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p>
    <w:p>
      <w:pPr>
        <w:spacing w:after="0"/>
        <w:rPr>
          <w:rFonts w:ascii="Times New Roman"/>
          <w:sz w:val="17"/>
        </w:rPr>
        <w:sectPr>
          <w:type w:val="continuous"/>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4"/>
        </w:rPr>
      </w:pPr>
    </w:p>
    <w:p>
      <w:pPr>
        <w:pStyle w:val="Heading2"/>
        <w:spacing w:line="249" w:lineRule="auto" w:before="55"/>
        <w:ind w:left="2114" w:right="1998"/>
        <w:jc w:val="center"/>
      </w:pPr>
      <w:r>
        <w:rPr>
          <w:color w:val="58595B"/>
          <w:w w:val="95"/>
        </w:rPr>
        <w:t>Aportaciones a los Estudios Económico-Administrativos</w:t>
      </w:r>
    </w:p>
    <w:p>
      <w:pPr>
        <w:pStyle w:val="BodyText"/>
        <w:spacing w:before="6"/>
        <w:rPr>
          <w:b/>
          <w:sz w:val="22"/>
        </w:rPr>
      </w:pPr>
    </w:p>
    <w:p>
      <w:pPr>
        <w:spacing w:line="247" w:lineRule="auto" w:before="0"/>
        <w:ind w:left="2505" w:right="2382" w:firstLine="115"/>
        <w:jc w:val="left"/>
        <w:rPr>
          <w:rFonts w:ascii="Trebuchet MS" w:hAnsi="Trebuchet MS"/>
          <w:b/>
          <w:i/>
          <w:sz w:val="20"/>
        </w:rPr>
      </w:pPr>
      <w:r>
        <w:rPr>
          <w:rFonts w:ascii="Trebuchet MS" w:hAnsi="Trebuchet MS"/>
          <w:b/>
          <w:i/>
          <w:color w:val="58595B"/>
          <w:sz w:val="20"/>
        </w:rPr>
        <w:t>Reflexiones teóricas </w:t>
      </w:r>
      <w:r>
        <w:rPr>
          <w:rFonts w:ascii="Trebuchet MS" w:hAnsi="Trebuchet MS"/>
          <w:b/>
          <w:i/>
          <w:color w:val="58595B"/>
          <w:w w:val="95"/>
          <w:sz w:val="20"/>
        </w:rPr>
        <w:t>y evidencias empíricas</w:t>
      </w:r>
    </w:p>
    <w:p>
      <w:pPr>
        <w:spacing w:after="0" w:line="247" w:lineRule="auto"/>
        <w:jc w:val="left"/>
        <w:rPr>
          <w:rFonts w:ascii="Trebuchet MS" w:hAnsi="Trebuchet MS"/>
          <w:sz w:val="20"/>
        </w:rPr>
        <w:sectPr>
          <w:pgSz w:w="9640" w:h="13890"/>
          <w:pgMar w:top="1300" w:bottom="280" w:left="1340" w:right="1340"/>
        </w:sect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19"/>
        </w:rPr>
      </w:pPr>
    </w:p>
    <w:p>
      <w:pPr>
        <w:pStyle w:val="BodyText"/>
        <w:ind w:left="3058"/>
        <w:rPr>
          <w:rFonts w:ascii="Trebuchet MS"/>
          <w:sz w:val="20"/>
        </w:rPr>
      </w:pPr>
      <w:r>
        <w:rPr>
          <w:rFonts w:ascii="Trebuchet MS"/>
          <w:sz w:val="20"/>
        </w:rPr>
        <w:drawing>
          <wp:inline distT="0" distB="0" distL="0" distR="0">
            <wp:extent cx="542547" cy="542544"/>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542547" cy="542544"/>
                    </a:xfrm>
                    <a:prstGeom prst="rect">
                      <a:avLst/>
                    </a:prstGeom>
                  </pic:spPr>
                </pic:pic>
              </a:graphicData>
            </a:graphic>
          </wp:inline>
        </w:drawing>
      </w:r>
      <w:r>
        <w:rPr>
          <w:rFonts w:ascii="Trebuchet MS"/>
          <w:sz w:val="20"/>
        </w:rPr>
      </w:r>
    </w:p>
    <w:p>
      <w:pPr>
        <w:pStyle w:val="BodyText"/>
        <w:spacing w:before="11"/>
        <w:rPr>
          <w:rFonts w:ascii="Trebuchet MS"/>
          <w:b/>
          <w:i/>
          <w:sz w:val="12"/>
        </w:rPr>
      </w:pPr>
      <w:r>
        <w:rPr/>
        <w:pict>
          <v:group style="position:absolute;margin-left:184.315598pt;margin-top:12.7292pt;width:47.1pt;height:12.15pt;mso-position-horizontal-relative:page;mso-position-vertical-relative:paragraph;z-index:0;mso-wrap-distance-left:0;mso-wrap-distance-right:0" coordorigin="3686,255" coordsize="942,243">
            <v:shape style="position:absolute;left:3686;top:255;width:644;height:230" type="#_x0000_t75" stroked="false">
              <v:imagedata r:id="rId6" o:title=""/>
            </v:shape>
            <v:shape style="position:absolute;left:4362;top:255;width:266;height:242" type="#_x0000_t75" stroked="false">
              <v:imagedata r:id="rId7" o:title=""/>
            </v:shape>
            <w10:wrap type="topAndBottom"/>
          </v:group>
        </w:pict>
      </w:r>
      <w:r>
        <w:rPr/>
        <w:pict>
          <v:line style="position:absolute;mso-position-horizontal-relative:page;mso-position-vertical-relative:paragraph;z-index:1048;mso-wrap-distance-left:0;mso-wrap-distance-right:0" from="236.820007pt,9.668pt" to="236.820007pt,27.912pt" stroked="true" strokeweight=".342pt" strokecolor="#58595b">
            <w10:wrap type="topAndBottom"/>
          </v:line>
        </w:pict>
      </w:r>
      <w:r>
        <w:rPr/>
        <w:drawing>
          <wp:anchor distT="0" distB="0" distL="0" distR="0" allowOverlap="1" layoutInCell="1" locked="0" behindDoc="0" simplePos="0" relativeHeight="1072">
            <wp:simplePos x="0" y="0"/>
            <wp:positionH relativeFrom="page">
              <wp:posOffset>3074835</wp:posOffset>
            </wp:positionH>
            <wp:positionV relativeFrom="paragraph">
              <wp:posOffset>163753</wp:posOffset>
            </wp:positionV>
            <wp:extent cx="709708" cy="135350"/>
            <wp:effectExtent l="0" t="0" r="0" b="0"/>
            <wp:wrapTopAndBottom/>
            <wp:docPr id="3" name="image4.png" descr=""/>
            <wp:cNvGraphicFramePr>
              <a:graphicFrameLocks noChangeAspect="1"/>
            </wp:cNvGraphicFramePr>
            <a:graphic>
              <a:graphicData uri="http://schemas.openxmlformats.org/drawingml/2006/picture">
                <pic:pic>
                  <pic:nvPicPr>
                    <pic:cNvPr id="4" name="image4.png"/>
                    <pic:cNvPicPr/>
                  </pic:nvPicPr>
                  <pic:blipFill>
                    <a:blip r:embed="rId8" cstate="print"/>
                    <a:stretch>
                      <a:fillRect/>
                    </a:stretch>
                  </pic:blipFill>
                  <pic:spPr>
                    <a:xfrm>
                      <a:off x="0" y="0"/>
                      <a:ext cx="709708" cy="135350"/>
                    </a:xfrm>
                    <a:prstGeom prst="rect">
                      <a:avLst/>
                    </a:prstGeom>
                  </pic:spPr>
                </pic:pic>
              </a:graphicData>
            </a:graphic>
          </wp:anchor>
        </w:drawing>
      </w:r>
    </w:p>
    <w:p>
      <w:pPr>
        <w:pStyle w:val="BodyText"/>
        <w:spacing w:before="9"/>
        <w:rPr>
          <w:rFonts w:ascii="Trebuchet MS"/>
          <w:b/>
          <w:i/>
          <w:sz w:val="29"/>
        </w:rPr>
      </w:pPr>
    </w:p>
    <w:p>
      <w:pPr>
        <w:spacing w:line="182" w:lineRule="exact" w:before="81"/>
        <w:ind w:left="1998" w:right="1998" w:firstLine="0"/>
        <w:jc w:val="center"/>
        <w:rPr>
          <w:sz w:val="16"/>
        </w:rPr>
      </w:pPr>
      <w:r>
        <w:rPr>
          <w:color w:val="231F20"/>
          <w:sz w:val="16"/>
        </w:rPr>
        <w:t>Dr. en D. Jorge Olvera García</w:t>
      </w:r>
    </w:p>
    <w:p>
      <w:pPr>
        <w:spacing w:line="182" w:lineRule="exact" w:before="0"/>
        <w:ind w:left="1998" w:right="1998" w:firstLine="0"/>
        <w:jc w:val="center"/>
        <w:rPr>
          <w:i/>
          <w:sz w:val="16"/>
        </w:rPr>
      </w:pPr>
      <w:r>
        <w:rPr>
          <w:i/>
          <w:color w:val="231F20"/>
          <w:sz w:val="16"/>
        </w:rPr>
        <w:t>Rector</w:t>
      </w:r>
    </w:p>
    <w:p>
      <w:pPr>
        <w:pStyle w:val="BodyText"/>
        <w:spacing w:before="3"/>
        <w:rPr>
          <w:i/>
          <w:sz w:val="15"/>
        </w:rPr>
      </w:pPr>
    </w:p>
    <w:p>
      <w:pPr>
        <w:spacing w:line="182" w:lineRule="exact" w:before="0"/>
        <w:ind w:left="1131" w:right="1131" w:firstLine="0"/>
        <w:jc w:val="center"/>
        <w:rPr>
          <w:sz w:val="16"/>
        </w:rPr>
      </w:pPr>
      <w:r>
        <w:rPr>
          <w:color w:val="231F20"/>
          <w:sz w:val="16"/>
        </w:rPr>
        <w:t>Dra. en Est. Lat. Ángeles Ma. del Rosario Pérez Bernal</w:t>
      </w:r>
    </w:p>
    <w:p>
      <w:pPr>
        <w:spacing w:line="182" w:lineRule="exact" w:before="0"/>
        <w:ind w:left="1131" w:right="1131" w:firstLine="0"/>
        <w:jc w:val="center"/>
        <w:rPr>
          <w:i/>
          <w:sz w:val="16"/>
        </w:rPr>
      </w:pPr>
      <w:r>
        <w:rPr>
          <w:i/>
          <w:color w:val="231F20"/>
          <w:sz w:val="16"/>
        </w:rPr>
        <w:t>Secretaria de Investigación y Estudios Avanzados</w:t>
      </w:r>
    </w:p>
    <w:p>
      <w:pPr>
        <w:pStyle w:val="BodyText"/>
        <w:spacing w:before="3"/>
        <w:rPr>
          <w:i/>
          <w:sz w:val="15"/>
        </w:rPr>
      </w:pPr>
    </w:p>
    <w:p>
      <w:pPr>
        <w:spacing w:line="182" w:lineRule="exact" w:before="0"/>
        <w:ind w:left="1998" w:right="1998" w:firstLine="0"/>
        <w:jc w:val="center"/>
        <w:rPr>
          <w:sz w:val="16"/>
        </w:rPr>
      </w:pPr>
      <w:r>
        <w:rPr>
          <w:color w:val="231F20"/>
          <w:sz w:val="16"/>
        </w:rPr>
        <w:t>Dra. en E. Reyna Vergara González</w:t>
      </w:r>
    </w:p>
    <w:p>
      <w:pPr>
        <w:spacing w:line="182" w:lineRule="exact" w:before="0"/>
        <w:ind w:left="1998" w:right="1998" w:firstLine="0"/>
        <w:jc w:val="center"/>
        <w:rPr>
          <w:i/>
          <w:sz w:val="16"/>
        </w:rPr>
      </w:pPr>
      <w:r>
        <w:rPr>
          <w:i/>
          <w:color w:val="231F20"/>
          <w:sz w:val="16"/>
        </w:rPr>
        <w:t>Directora de la Facultad de Economía</w:t>
      </w:r>
    </w:p>
    <w:p>
      <w:pPr>
        <w:pStyle w:val="BodyText"/>
        <w:spacing w:before="3"/>
        <w:rPr>
          <w:i/>
          <w:sz w:val="15"/>
        </w:rPr>
      </w:pPr>
    </w:p>
    <w:p>
      <w:pPr>
        <w:spacing w:line="182" w:lineRule="exact" w:before="0"/>
        <w:ind w:left="1131" w:right="1131" w:firstLine="0"/>
        <w:jc w:val="center"/>
        <w:rPr>
          <w:sz w:val="16"/>
        </w:rPr>
      </w:pPr>
      <w:r>
        <w:rPr>
          <w:color w:val="231F20"/>
          <w:sz w:val="16"/>
        </w:rPr>
        <w:t>L. C. C. María del Socorro Castañeda Díaz</w:t>
      </w:r>
    </w:p>
    <w:p>
      <w:pPr>
        <w:spacing w:line="180" w:lineRule="exact" w:before="4"/>
        <w:ind w:left="1576" w:right="1574" w:firstLine="0"/>
        <w:jc w:val="center"/>
        <w:rPr>
          <w:i/>
          <w:sz w:val="16"/>
        </w:rPr>
      </w:pPr>
      <w:r>
        <w:rPr>
          <w:i/>
          <w:color w:val="231F20"/>
          <w:sz w:val="16"/>
        </w:rPr>
        <w:t>Directora de Difusión y Promoción de la Investigación </w:t>
      </w:r>
      <w:r>
        <w:rPr>
          <w:i/>
          <w:color w:val="231F20"/>
          <w:sz w:val="16"/>
        </w:rPr>
        <w:t>y los Estudios Avanzados</w:t>
      </w:r>
    </w:p>
    <w:p>
      <w:pPr>
        <w:spacing w:after="0" w:line="180" w:lineRule="exact"/>
        <w:jc w:val="center"/>
        <w:rPr>
          <w:sz w:val="16"/>
        </w:rPr>
        <w:sectPr>
          <w:pgSz w:w="9640" w:h="13890"/>
          <w:pgMar w:top="1300" w:bottom="280" w:left="1340" w:right="1340"/>
        </w:sectPr>
      </w:pPr>
    </w:p>
    <w:p>
      <w:pPr>
        <w:pStyle w:val="BodyText"/>
        <w:rPr>
          <w:i/>
          <w:sz w:val="20"/>
        </w:rPr>
      </w:pPr>
      <w:r>
        <w:rPr/>
        <w:pict>
          <v:group style="position:absolute;margin-left:0pt;margin-top:4.251976pt;width:253.15pt;height:690.25pt;mso-position-horizontal-relative:page;mso-position-vertical-relative:page;z-index:-246808" coordorigin="0,85" coordsize="5063,13805">
            <v:shape style="position:absolute;left:0;top:85;width:4745;height:13805" type="#_x0000_t75" stroked="false">
              <v:imagedata r:id="rId9" o:title=""/>
            </v:shape>
            <v:shape style="position:absolute;left:4008;top:12211;width:749;height:264" type="#_x0000_t75" stroked="false">
              <v:imagedata r:id="rId10" o:title=""/>
            </v:shape>
            <v:shape style="position:absolute;left:4608;top:11717;width:422;height:67" type="#_x0000_t75" stroked="false">
              <v:imagedata r:id="rId11" o:title=""/>
            </v:shape>
            <v:shape style="position:absolute;left:4689;top:11803;width:255;height:242" type="#_x0000_t75" stroked="false">
              <v:imagedata r:id="rId12" o:title=""/>
            </v:shape>
            <v:shape style="position:absolute;left:4575;top:11708;width:488;height:432" type="#_x0000_t75" stroked="false">
              <v:imagedata r:id="rId13" o:title=""/>
            </v:shape>
            <w10:wrap type="none"/>
          </v:group>
        </w:pic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line="249" w:lineRule="auto" w:before="210"/>
        <w:ind w:left="3200" w:right="1744" w:firstLine="0"/>
        <w:jc w:val="center"/>
        <w:rPr>
          <w:b/>
          <w:sz w:val="26"/>
        </w:rPr>
      </w:pPr>
      <w:r>
        <w:rPr>
          <w:b/>
          <w:color w:val="231F20"/>
          <w:w w:val="95"/>
          <w:sz w:val="26"/>
        </w:rPr>
        <w:t>Aportaciones a los Estudios Económico-Administrativos</w:t>
      </w:r>
    </w:p>
    <w:p>
      <w:pPr>
        <w:pStyle w:val="BodyText"/>
        <w:spacing w:before="8"/>
        <w:rPr>
          <w:b/>
          <w:sz w:val="26"/>
        </w:rPr>
      </w:pPr>
    </w:p>
    <w:p>
      <w:pPr>
        <w:spacing w:line="247" w:lineRule="auto" w:before="1"/>
        <w:ind w:left="3599" w:right="2091" w:firstLine="178"/>
        <w:jc w:val="left"/>
        <w:rPr>
          <w:rFonts w:ascii="Trebuchet MS" w:hAnsi="Trebuchet MS"/>
          <w:b/>
          <w:i/>
          <w:sz w:val="24"/>
        </w:rPr>
      </w:pPr>
      <w:r>
        <w:rPr>
          <w:rFonts w:ascii="Trebuchet MS" w:hAnsi="Trebuchet MS"/>
          <w:b/>
          <w:i/>
          <w:color w:val="231F20"/>
          <w:sz w:val="24"/>
        </w:rPr>
        <w:t>Reflexiones teóricas </w:t>
      </w:r>
      <w:r>
        <w:rPr>
          <w:rFonts w:ascii="Trebuchet MS" w:hAnsi="Trebuchet MS"/>
          <w:b/>
          <w:i/>
          <w:color w:val="231F20"/>
          <w:w w:val="95"/>
          <w:sz w:val="24"/>
        </w:rPr>
        <w:t>y evidencias empíricas</w:t>
      </w:r>
    </w:p>
    <w:p>
      <w:pPr>
        <w:pStyle w:val="BodyText"/>
        <w:spacing w:before="5"/>
        <w:rPr>
          <w:rFonts w:ascii="Trebuchet MS"/>
          <w:b/>
          <w:i/>
          <w:sz w:val="24"/>
        </w:rPr>
      </w:pPr>
    </w:p>
    <w:p>
      <w:pPr>
        <w:pStyle w:val="Heading3"/>
        <w:spacing w:line="249" w:lineRule="auto"/>
        <w:ind w:left="3476" w:right="2010" w:firstLine="123"/>
        <w:rPr>
          <w:rFonts w:ascii="Arial"/>
        </w:rPr>
      </w:pPr>
      <w:r>
        <w:rPr>
          <w:rFonts w:ascii="Arial"/>
          <w:color w:val="231F20"/>
          <w:spacing w:val="-3"/>
          <w:w w:val="105"/>
        </w:rPr>
        <w:t>Patricia </w:t>
      </w:r>
      <w:r>
        <w:rPr>
          <w:rFonts w:ascii="Arial"/>
          <w:color w:val="231F20"/>
          <w:w w:val="105"/>
        </w:rPr>
        <w:t>Mercado Salgado y</w:t>
      </w:r>
      <w:r>
        <w:rPr>
          <w:rFonts w:ascii="Arial"/>
          <w:color w:val="231F20"/>
          <w:spacing w:val="-23"/>
          <w:w w:val="105"/>
        </w:rPr>
        <w:t> </w:t>
      </w:r>
      <w:r>
        <w:rPr>
          <w:rFonts w:ascii="Arial"/>
          <w:color w:val="231F20"/>
          <w:w w:val="105"/>
        </w:rPr>
        <w:t>Daniel</w:t>
      </w:r>
      <w:r>
        <w:rPr>
          <w:rFonts w:ascii="Arial"/>
          <w:color w:val="231F20"/>
          <w:spacing w:val="-26"/>
          <w:w w:val="105"/>
        </w:rPr>
        <w:t> </w:t>
      </w:r>
      <w:r>
        <w:rPr>
          <w:rFonts w:ascii="Arial"/>
          <w:color w:val="231F20"/>
          <w:w w:val="105"/>
        </w:rPr>
        <w:t>Arturo</w:t>
      </w:r>
      <w:r>
        <w:rPr>
          <w:rFonts w:ascii="Arial"/>
          <w:color w:val="231F20"/>
          <w:spacing w:val="-23"/>
          <w:w w:val="105"/>
        </w:rPr>
        <w:t> </w:t>
      </w:r>
      <w:r>
        <w:rPr>
          <w:rFonts w:ascii="Arial"/>
          <w:color w:val="231F20"/>
          <w:w w:val="105"/>
        </w:rPr>
        <w:t>Cernas</w:t>
      </w:r>
      <w:r>
        <w:rPr>
          <w:rFonts w:ascii="Arial"/>
          <w:color w:val="231F20"/>
          <w:spacing w:val="-23"/>
          <w:w w:val="105"/>
        </w:rPr>
        <w:t> </w:t>
      </w:r>
      <w:r>
        <w:rPr>
          <w:rFonts w:ascii="Arial"/>
          <w:color w:val="231F20"/>
          <w:w w:val="105"/>
        </w:rPr>
        <w:t>Ortiz</w:t>
      </w:r>
    </w:p>
    <w:p>
      <w:pPr>
        <w:spacing w:before="104"/>
        <w:ind w:left="3200" w:right="1742" w:firstLine="0"/>
        <w:jc w:val="center"/>
        <w:rPr>
          <w:sz w:val="18"/>
        </w:rPr>
      </w:pPr>
      <w:r>
        <w:rPr>
          <w:color w:val="231F20"/>
          <w:w w:val="105"/>
          <w:sz w:val="18"/>
        </w:rPr>
        <w:t>Coords.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drawing>
          <wp:anchor distT="0" distB="0" distL="0" distR="0" allowOverlap="1" layoutInCell="1" locked="0" behindDoc="0" simplePos="0" relativeHeight="1096">
            <wp:simplePos x="0" y="0"/>
            <wp:positionH relativeFrom="page">
              <wp:posOffset>3066894</wp:posOffset>
            </wp:positionH>
            <wp:positionV relativeFrom="paragraph">
              <wp:posOffset>229915</wp:posOffset>
            </wp:positionV>
            <wp:extent cx="499394" cy="95250"/>
            <wp:effectExtent l="0" t="0" r="0" b="0"/>
            <wp:wrapTopAndBottom/>
            <wp:docPr id="5" name="image10.png" descr=""/>
            <wp:cNvGraphicFramePr>
              <a:graphicFrameLocks noChangeAspect="1"/>
            </wp:cNvGraphicFramePr>
            <a:graphic>
              <a:graphicData uri="http://schemas.openxmlformats.org/drawingml/2006/picture">
                <pic:pic>
                  <pic:nvPicPr>
                    <pic:cNvPr id="6" name="image10.png"/>
                    <pic:cNvPicPr/>
                  </pic:nvPicPr>
                  <pic:blipFill>
                    <a:blip r:embed="rId14" cstate="print"/>
                    <a:stretch>
                      <a:fillRect/>
                    </a:stretch>
                  </pic:blipFill>
                  <pic:spPr>
                    <a:xfrm>
                      <a:off x="0" y="0"/>
                      <a:ext cx="499394" cy="95250"/>
                    </a:xfrm>
                    <a:prstGeom prst="rect">
                      <a:avLst/>
                    </a:prstGeom>
                  </pic:spPr>
                </pic:pic>
              </a:graphicData>
            </a:graphic>
          </wp:anchor>
        </w:drawing>
      </w:r>
    </w:p>
    <w:p>
      <w:pPr>
        <w:spacing w:after="0"/>
        <w:rPr>
          <w:sz w:val="28"/>
        </w:rPr>
        <w:sectPr>
          <w:pgSz w:w="9640" w:h="13890"/>
          <w:pgMar w:top="80" w:bottom="0" w:left="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spacing w:line="249" w:lineRule="auto" w:before="0"/>
        <w:ind w:left="103" w:right="2954" w:firstLine="0"/>
        <w:jc w:val="left"/>
        <w:rPr>
          <w:rFonts w:ascii="Times New Roman" w:hAnsi="Times New Roman"/>
          <w:i/>
          <w:sz w:val="18"/>
        </w:rPr>
      </w:pPr>
      <w:r>
        <w:rPr>
          <w:rFonts w:ascii="Times New Roman" w:hAnsi="Times New Roman"/>
          <w:i/>
          <w:color w:val="231F20"/>
          <w:sz w:val="18"/>
        </w:rPr>
        <w:t>Aportaciones</w:t>
      </w:r>
      <w:r>
        <w:rPr>
          <w:rFonts w:ascii="Times New Roman" w:hAnsi="Times New Roman"/>
          <w:i/>
          <w:color w:val="231F20"/>
          <w:spacing w:val="-23"/>
          <w:sz w:val="18"/>
        </w:rPr>
        <w:t> </w:t>
      </w:r>
      <w:r>
        <w:rPr>
          <w:rFonts w:ascii="Times New Roman" w:hAnsi="Times New Roman"/>
          <w:i/>
          <w:color w:val="231F20"/>
          <w:sz w:val="18"/>
        </w:rPr>
        <w:t>a</w:t>
      </w:r>
      <w:r>
        <w:rPr>
          <w:rFonts w:ascii="Times New Roman" w:hAnsi="Times New Roman"/>
          <w:i/>
          <w:color w:val="231F20"/>
          <w:spacing w:val="-23"/>
          <w:sz w:val="18"/>
        </w:rPr>
        <w:t> </w:t>
      </w:r>
      <w:r>
        <w:rPr>
          <w:rFonts w:ascii="Times New Roman" w:hAnsi="Times New Roman"/>
          <w:i/>
          <w:color w:val="231F20"/>
          <w:sz w:val="18"/>
        </w:rPr>
        <w:t>los</w:t>
      </w:r>
      <w:r>
        <w:rPr>
          <w:rFonts w:ascii="Times New Roman" w:hAnsi="Times New Roman"/>
          <w:i/>
          <w:color w:val="231F20"/>
          <w:spacing w:val="-23"/>
          <w:sz w:val="18"/>
        </w:rPr>
        <w:t> </w:t>
      </w:r>
      <w:r>
        <w:rPr>
          <w:rFonts w:ascii="Times New Roman" w:hAnsi="Times New Roman"/>
          <w:i/>
          <w:color w:val="231F20"/>
          <w:sz w:val="18"/>
        </w:rPr>
        <w:t>Estudios</w:t>
      </w:r>
      <w:r>
        <w:rPr>
          <w:rFonts w:ascii="Times New Roman" w:hAnsi="Times New Roman"/>
          <w:i/>
          <w:color w:val="231F20"/>
          <w:spacing w:val="-23"/>
          <w:sz w:val="18"/>
        </w:rPr>
        <w:t> </w:t>
      </w:r>
      <w:r>
        <w:rPr>
          <w:rFonts w:ascii="Times New Roman" w:hAnsi="Times New Roman"/>
          <w:i/>
          <w:color w:val="231F20"/>
          <w:sz w:val="18"/>
        </w:rPr>
        <w:t>Económico-Administrativos. </w:t>
      </w:r>
      <w:r>
        <w:rPr>
          <w:rFonts w:ascii="Times New Roman" w:hAnsi="Times New Roman"/>
          <w:i/>
          <w:color w:val="231F20"/>
          <w:sz w:val="18"/>
        </w:rPr>
        <w:t>Reflexiones teóricas y evidencias</w:t>
      </w:r>
      <w:r>
        <w:rPr>
          <w:rFonts w:ascii="Times New Roman" w:hAnsi="Times New Roman"/>
          <w:i/>
          <w:color w:val="231F20"/>
          <w:spacing w:val="-15"/>
          <w:sz w:val="18"/>
        </w:rPr>
        <w:t> </w:t>
      </w:r>
      <w:r>
        <w:rPr>
          <w:rFonts w:ascii="Times New Roman" w:hAnsi="Times New Roman"/>
          <w:i/>
          <w:color w:val="231F20"/>
          <w:sz w:val="18"/>
        </w:rPr>
        <w:t>empíricas.</w:t>
      </w:r>
    </w:p>
    <w:p>
      <w:pPr>
        <w:pStyle w:val="BodyText"/>
        <w:spacing w:before="3"/>
        <w:rPr>
          <w:rFonts w:ascii="Times New Roman"/>
          <w:i/>
          <w:sz w:val="16"/>
        </w:rPr>
      </w:pPr>
    </w:p>
    <w:p>
      <w:pPr>
        <w:spacing w:before="0"/>
        <w:ind w:left="103" w:right="0" w:firstLine="0"/>
        <w:jc w:val="both"/>
        <w:rPr>
          <w:sz w:val="16"/>
        </w:rPr>
      </w:pPr>
      <w:r>
        <w:rPr>
          <w:color w:val="231F20"/>
          <w:sz w:val="16"/>
        </w:rPr>
        <w:t>1a edición, abril 2016</w:t>
      </w:r>
    </w:p>
    <w:p>
      <w:pPr>
        <w:pStyle w:val="BodyText"/>
        <w:spacing w:before="4"/>
        <w:rPr>
          <w:sz w:val="17"/>
        </w:rPr>
      </w:pPr>
    </w:p>
    <w:p>
      <w:pPr>
        <w:spacing w:before="0"/>
        <w:ind w:left="103" w:right="0" w:firstLine="0"/>
        <w:jc w:val="both"/>
        <w:rPr>
          <w:sz w:val="16"/>
        </w:rPr>
      </w:pPr>
      <w:r>
        <w:rPr>
          <w:color w:val="231F20"/>
          <w:sz w:val="16"/>
        </w:rPr>
        <w:t>ISBN: 978-607-422-703-1</w:t>
      </w:r>
    </w:p>
    <w:p>
      <w:pPr>
        <w:pStyle w:val="ListParagraph"/>
        <w:numPr>
          <w:ilvl w:val="1"/>
          <w:numId w:val="1"/>
        </w:numPr>
        <w:tabs>
          <w:tab w:pos="446" w:val="left" w:leader="none"/>
        </w:tabs>
        <w:spacing w:line="249" w:lineRule="auto" w:before="121" w:after="0"/>
        <w:ind w:left="103" w:right="2966" w:firstLine="0"/>
        <w:jc w:val="left"/>
        <w:rPr>
          <w:sz w:val="16"/>
        </w:rPr>
      </w:pPr>
      <w:r>
        <w:rPr>
          <w:color w:val="231F20"/>
          <w:sz w:val="16"/>
        </w:rPr>
        <w:t>© Universidad Autónoma del Estado de </w:t>
      </w:r>
      <w:r>
        <w:rPr>
          <w:color w:val="231F20"/>
          <w:spacing w:val="-2"/>
          <w:sz w:val="16"/>
        </w:rPr>
        <w:t>México </w:t>
      </w:r>
      <w:r>
        <w:rPr>
          <w:color w:val="231F20"/>
          <w:spacing w:val="2"/>
          <w:sz w:val="16"/>
        </w:rPr>
        <w:t>Instituto Literario núm. </w:t>
      </w:r>
      <w:r>
        <w:rPr>
          <w:color w:val="231F20"/>
          <w:sz w:val="16"/>
        </w:rPr>
        <w:t>100 </w:t>
      </w:r>
      <w:r>
        <w:rPr>
          <w:color w:val="231F20"/>
          <w:spacing w:val="2"/>
          <w:sz w:val="16"/>
        </w:rPr>
        <w:t>Ote., Centro, </w:t>
      </w:r>
      <w:r>
        <w:rPr>
          <w:color w:val="231F20"/>
          <w:spacing w:val="-4"/>
          <w:sz w:val="16"/>
        </w:rPr>
        <w:t>C.P.    </w:t>
      </w:r>
      <w:r>
        <w:rPr>
          <w:color w:val="231F20"/>
          <w:spacing w:val="12"/>
          <w:sz w:val="16"/>
        </w:rPr>
        <w:t> </w:t>
      </w:r>
      <w:r>
        <w:rPr>
          <w:color w:val="231F20"/>
          <w:spacing w:val="2"/>
          <w:sz w:val="16"/>
        </w:rPr>
        <w:t>50000,</w:t>
      </w:r>
    </w:p>
    <w:p>
      <w:pPr>
        <w:spacing w:line="249" w:lineRule="auto" w:before="1"/>
        <w:ind w:left="103" w:right="4993" w:firstLine="0"/>
        <w:jc w:val="left"/>
        <w:rPr>
          <w:sz w:val="16"/>
        </w:rPr>
      </w:pPr>
      <w:r>
        <w:rPr>
          <w:color w:val="231F20"/>
          <w:sz w:val="16"/>
        </w:rPr>
        <w:t>Toluca, México </w:t>
      </w:r>
      <w:hyperlink r:id="rId15">
        <w:r>
          <w:rPr>
            <w:color w:val="231F20"/>
            <w:sz w:val="16"/>
          </w:rPr>
          <w:t>http://www.uaemex.mx</w:t>
        </w:r>
      </w:hyperlink>
    </w:p>
    <w:p>
      <w:pPr>
        <w:pStyle w:val="BodyText"/>
        <w:spacing w:before="8"/>
        <w:rPr>
          <w:sz w:val="16"/>
        </w:rPr>
      </w:pPr>
    </w:p>
    <w:p>
      <w:pPr>
        <w:spacing w:line="249" w:lineRule="auto" w:before="1"/>
        <w:ind w:left="103" w:right="4993" w:firstLine="0"/>
        <w:jc w:val="left"/>
        <w:rPr>
          <w:sz w:val="16"/>
        </w:rPr>
      </w:pPr>
      <w:r>
        <w:rPr>
          <w:color w:val="231F20"/>
          <w:sz w:val="16"/>
        </w:rPr>
        <w:t>Impreso y hecho en México Printed and made in Mexico</w:t>
      </w:r>
    </w:p>
    <w:p>
      <w:pPr>
        <w:pStyle w:val="BodyText"/>
        <w:spacing w:before="8"/>
        <w:rPr>
          <w:sz w:val="16"/>
        </w:rPr>
      </w:pPr>
    </w:p>
    <w:p>
      <w:pPr>
        <w:spacing w:line="249" w:lineRule="auto" w:before="1"/>
        <w:ind w:left="103" w:right="2954" w:firstLine="0"/>
        <w:jc w:val="left"/>
        <w:rPr>
          <w:sz w:val="16"/>
        </w:rPr>
      </w:pPr>
      <w:r>
        <w:rPr>
          <w:color w:val="231F20"/>
          <w:sz w:val="16"/>
        </w:rPr>
        <w:t>La presente investigación fue sometida a dictamen en el sistema de pares ciegos.</w:t>
      </w:r>
    </w:p>
    <w:p>
      <w:pPr>
        <w:pStyle w:val="BodyText"/>
        <w:spacing w:before="8"/>
        <w:rPr>
          <w:sz w:val="16"/>
        </w:rPr>
      </w:pPr>
    </w:p>
    <w:p>
      <w:pPr>
        <w:spacing w:line="249" w:lineRule="auto" w:before="1"/>
        <w:ind w:left="103" w:right="2952" w:firstLine="0"/>
        <w:jc w:val="left"/>
        <w:rPr>
          <w:sz w:val="16"/>
        </w:rPr>
      </w:pPr>
      <w:r>
        <w:rPr>
          <w:color w:val="231F20"/>
          <w:sz w:val="16"/>
        </w:rPr>
        <w:t>El</w:t>
      </w:r>
      <w:r>
        <w:rPr>
          <w:color w:val="231F20"/>
          <w:spacing w:val="-15"/>
          <w:sz w:val="16"/>
        </w:rPr>
        <w:t> </w:t>
      </w:r>
      <w:r>
        <w:rPr>
          <w:color w:val="231F20"/>
          <w:sz w:val="16"/>
        </w:rPr>
        <w:t>contenido</w:t>
      </w:r>
      <w:r>
        <w:rPr>
          <w:color w:val="231F20"/>
          <w:spacing w:val="-15"/>
          <w:sz w:val="16"/>
        </w:rPr>
        <w:t> </w:t>
      </w:r>
      <w:r>
        <w:rPr>
          <w:color w:val="231F20"/>
          <w:sz w:val="16"/>
        </w:rPr>
        <w:t>de</w:t>
      </w:r>
      <w:r>
        <w:rPr>
          <w:color w:val="231F20"/>
          <w:spacing w:val="-15"/>
          <w:sz w:val="16"/>
        </w:rPr>
        <w:t> </w:t>
      </w:r>
      <w:r>
        <w:rPr>
          <w:color w:val="231F20"/>
          <w:sz w:val="16"/>
        </w:rPr>
        <w:t>esta</w:t>
      </w:r>
      <w:r>
        <w:rPr>
          <w:color w:val="231F20"/>
          <w:spacing w:val="-15"/>
          <w:sz w:val="16"/>
        </w:rPr>
        <w:t> </w:t>
      </w:r>
      <w:r>
        <w:rPr>
          <w:color w:val="231F20"/>
          <w:sz w:val="16"/>
        </w:rPr>
        <w:t>publicación</w:t>
      </w:r>
      <w:r>
        <w:rPr>
          <w:color w:val="231F20"/>
          <w:spacing w:val="-15"/>
          <w:sz w:val="16"/>
        </w:rPr>
        <w:t> </w:t>
      </w:r>
      <w:r>
        <w:rPr>
          <w:color w:val="231F20"/>
          <w:sz w:val="16"/>
        </w:rPr>
        <w:t>es</w:t>
      </w:r>
      <w:r>
        <w:rPr>
          <w:color w:val="231F20"/>
          <w:spacing w:val="-15"/>
          <w:sz w:val="16"/>
        </w:rPr>
        <w:t> </w:t>
      </w:r>
      <w:r>
        <w:rPr>
          <w:color w:val="231F20"/>
          <w:sz w:val="16"/>
        </w:rPr>
        <w:t>responsabilidad</w:t>
      </w:r>
      <w:r>
        <w:rPr>
          <w:color w:val="231F20"/>
          <w:spacing w:val="-15"/>
          <w:sz w:val="16"/>
        </w:rPr>
        <w:t> </w:t>
      </w:r>
      <w:r>
        <w:rPr>
          <w:color w:val="231F20"/>
          <w:sz w:val="16"/>
        </w:rPr>
        <w:t>de</w:t>
      </w:r>
      <w:r>
        <w:rPr>
          <w:color w:val="231F20"/>
          <w:spacing w:val="-15"/>
          <w:sz w:val="16"/>
        </w:rPr>
        <w:t> </w:t>
      </w:r>
      <w:r>
        <w:rPr>
          <w:color w:val="231F20"/>
          <w:sz w:val="16"/>
        </w:rPr>
        <w:t>los autores.</w:t>
      </w:r>
    </w:p>
    <w:p>
      <w:pPr>
        <w:pStyle w:val="BodyText"/>
        <w:spacing w:before="8"/>
        <w:rPr>
          <w:sz w:val="16"/>
        </w:rPr>
      </w:pPr>
    </w:p>
    <w:p>
      <w:pPr>
        <w:spacing w:line="249" w:lineRule="auto" w:before="1"/>
        <w:ind w:left="103" w:right="2966" w:firstLine="0"/>
        <w:jc w:val="both"/>
        <w:rPr>
          <w:sz w:val="16"/>
        </w:rPr>
      </w:pPr>
      <w:r>
        <w:rPr>
          <w:color w:val="231F20"/>
          <w:sz w:val="16"/>
        </w:rPr>
        <w:t>Queda</w:t>
      </w:r>
      <w:r>
        <w:rPr>
          <w:color w:val="231F20"/>
          <w:spacing w:val="-27"/>
          <w:sz w:val="16"/>
        </w:rPr>
        <w:t> </w:t>
      </w:r>
      <w:r>
        <w:rPr>
          <w:color w:val="231F20"/>
          <w:spacing w:val="-3"/>
          <w:sz w:val="16"/>
        </w:rPr>
        <w:t>prohibida</w:t>
      </w:r>
      <w:r>
        <w:rPr>
          <w:color w:val="231F20"/>
          <w:spacing w:val="-27"/>
          <w:sz w:val="16"/>
        </w:rPr>
        <w:t> </w:t>
      </w:r>
      <w:r>
        <w:rPr>
          <w:color w:val="231F20"/>
          <w:sz w:val="16"/>
        </w:rPr>
        <w:t>la</w:t>
      </w:r>
      <w:r>
        <w:rPr>
          <w:color w:val="231F20"/>
          <w:spacing w:val="-27"/>
          <w:sz w:val="16"/>
        </w:rPr>
        <w:t> </w:t>
      </w:r>
      <w:r>
        <w:rPr>
          <w:color w:val="231F20"/>
          <w:spacing w:val="-3"/>
          <w:sz w:val="16"/>
        </w:rPr>
        <w:t>reproducción</w:t>
      </w:r>
      <w:r>
        <w:rPr>
          <w:color w:val="231F20"/>
          <w:spacing w:val="-27"/>
          <w:sz w:val="16"/>
        </w:rPr>
        <w:t> </w:t>
      </w:r>
      <w:r>
        <w:rPr>
          <w:color w:val="231F20"/>
          <w:spacing w:val="-3"/>
          <w:sz w:val="16"/>
        </w:rPr>
        <w:t>parcial</w:t>
      </w:r>
      <w:r>
        <w:rPr>
          <w:color w:val="231F20"/>
          <w:spacing w:val="-27"/>
          <w:sz w:val="16"/>
        </w:rPr>
        <w:t> </w:t>
      </w:r>
      <w:r>
        <w:rPr>
          <w:color w:val="231F20"/>
          <w:sz w:val="16"/>
        </w:rPr>
        <w:t>o</w:t>
      </w:r>
      <w:r>
        <w:rPr>
          <w:color w:val="231F20"/>
          <w:spacing w:val="-27"/>
          <w:sz w:val="16"/>
        </w:rPr>
        <w:t> </w:t>
      </w:r>
      <w:r>
        <w:rPr>
          <w:color w:val="231F20"/>
          <w:sz w:val="16"/>
        </w:rPr>
        <w:t>total</w:t>
      </w:r>
      <w:r>
        <w:rPr>
          <w:color w:val="231F20"/>
          <w:spacing w:val="-27"/>
          <w:sz w:val="16"/>
        </w:rPr>
        <w:t> </w:t>
      </w:r>
      <w:r>
        <w:rPr>
          <w:color w:val="231F20"/>
          <w:sz w:val="16"/>
        </w:rPr>
        <w:t>del</w:t>
      </w:r>
      <w:r>
        <w:rPr>
          <w:color w:val="231F20"/>
          <w:spacing w:val="-27"/>
          <w:sz w:val="16"/>
        </w:rPr>
        <w:t> </w:t>
      </w:r>
      <w:r>
        <w:rPr>
          <w:color w:val="231F20"/>
          <w:sz w:val="16"/>
        </w:rPr>
        <w:t>contenido de</w:t>
      </w:r>
      <w:r>
        <w:rPr>
          <w:color w:val="231F20"/>
          <w:spacing w:val="-30"/>
          <w:sz w:val="16"/>
        </w:rPr>
        <w:t> </w:t>
      </w:r>
      <w:r>
        <w:rPr>
          <w:color w:val="231F20"/>
          <w:sz w:val="16"/>
        </w:rPr>
        <w:t>la</w:t>
      </w:r>
      <w:r>
        <w:rPr>
          <w:color w:val="231F20"/>
          <w:spacing w:val="-30"/>
          <w:sz w:val="16"/>
        </w:rPr>
        <w:t> </w:t>
      </w:r>
      <w:r>
        <w:rPr>
          <w:color w:val="231F20"/>
          <w:spacing w:val="-4"/>
          <w:sz w:val="16"/>
        </w:rPr>
        <w:t>presente</w:t>
      </w:r>
      <w:r>
        <w:rPr>
          <w:color w:val="231F20"/>
          <w:spacing w:val="-30"/>
          <w:sz w:val="16"/>
        </w:rPr>
        <w:t> </w:t>
      </w:r>
      <w:r>
        <w:rPr>
          <w:color w:val="231F20"/>
          <w:spacing w:val="-4"/>
          <w:sz w:val="16"/>
        </w:rPr>
        <w:t>obra,</w:t>
      </w:r>
      <w:r>
        <w:rPr>
          <w:color w:val="231F20"/>
          <w:spacing w:val="-30"/>
          <w:sz w:val="16"/>
        </w:rPr>
        <w:t> </w:t>
      </w:r>
      <w:r>
        <w:rPr>
          <w:color w:val="231F20"/>
          <w:spacing w:val="-3"/>
          <w:sz w:val="16"/>
        </w:rPr>
        <w:t>sin</w:t>
      </w:r>
      <w:r>
        <w:rPr>
          <w:color w:val="231F20"/>
          <w:spacing w:val="-30"/>
          <w:sz w:val="16"/>
        </w:rPr>
        <w:t> </w:t>
      </w:r>
      <w:r>
        <w:rPr>
          <w:color w:val="231F20"/>
          <w:spacing w:val="-4"/>
          <w:sz w:val="16"/>
        </w:rPr>
        <w:t>contar</w:t>
      </w:r>
      <w:r>
        <w:rPr>
          <w:color w:val="231F20"/>
          <w:spacing w:val="-30"/>
          <w:sz w:val="16"/>
        </w:rPr>
        <w:t> </w:t>
      </w:r>
      <w:r>
        <w:rPr>
          <w:color w:val="231F20"/>
          <w:spacing w:val="-4"/>
          <w:sz w:val="16"/>
        </w:rPr>
        <w:t>previamente</w:t>
      </w:r>
      <w:r>
        <w:rPr>
          <w:color w:val="231F20"/>
          <w:spacing w:val="-30"/>
          <w:sz w:val="16"/>
        </w:rPr>
        <w:t> </w:t>
      </w:r>
      <w:r>
        <w:rPr>
          <w:color w:val="231F20"/>
          <w:spacing w:val="-3"/>
          <w:sz w:val="16"/>
        </w:rPr>
        <w:t>con</w:t>
      </w:r>
      <w:r>
        <w:rPr>
          <w:color w:val="231F20"/>
          <w:spacing w:val="-30"/>
          <w:sz w:val="16"/>
        </w:rPr>
        <w:t> </w:t>
      </w:r>
      <w:r>
        <w:rPr>
          <w:color w:val="231F20"/>
          <w:sz w:val="16"/>
        </w:rPr>
        <w:t>la</w:t>
      </w:r>
      <w:r>
        <w:rPr>
          <w:color w:val="231F20"/>
          <w:spacing w:val="-30"/>
          <w:sz w:val="16"/>
        </w:rPr>
        <w:t> </w:t>
      </w:r>
      <w:r>
        <w:rPr>
          <w:color w:val="231F20"/>
          <w:spacing w:val="-4"/>
          <w:sz w:val="16"/>
        </w:rPr>
        <w:t>autorización </w:t>
      </w:r>
      <w:r>
        <w:rPr>
          <w:color w:val="231F20"/>
          <w:sz w:val="16"/>
        </w:rPr>
        <w:t>por</w:t>
      </w:r>
      <w:r>
        <w:rPr>
          <w:color w:val="231F20"/>
          <w:spacing w:val="-16"/>
          <w:sz w:val="16"/>
        </w:rPr>
        <w:t> </w:t>
      </w:r>
      <w:r>
        <w:rPr>
          <w:color w:val="231F20"/>
          <w:sz w:val="16"/>
        </w:rPr>
        <w:t>escrito</w:t>
      </w:r>
      <w:r>
        <w:rPr>
          <w:color w:val="231F20"/>
          <w:spacing w:val="-16"/>
          <w:sz w:val="16"/>
        </w:rPr>
        <w:t> </w:t>
      </w:r>
      <w:r>
        <w:rPr>
          <w:color w:val="231F20"/>
          <w:sz w:val="16"/>
        </w:rPr>
        <w:t>del</w:t>
      </w:r>
      <w:r>
        <w:rPr>
          <w:color w:val="231F20"/>
          <w:spacing w:val="-16"/>
          <w:sz w:val="16"/>
        </w:rPr>
        <w:t> </w:t>
      </w:r>
      <w:r>
        <w:rPr>
          <w:color w:val="231F20"/>
          <w:sz w:val="16"/>
        </w:rPr>
        <w:t>titular</w:t>
      </w:r>
      <w:r>
        <w:rPr>
          <w:color w:val="231F20"/>
          <w:spacing w:val="-16"/>
          <w:sz w:val="16"/>
        </w:rPr>
        <w:t> </w:t>
      </w:r>
      <w:r>
        <w:rPr>
          <w:color w:val="231F20"/>
          <w:sz w:val="16"/>
        </w:rPr>
        <w:t>de</w:t>
      </w:r>
      <w:r>
        <w:rPr>
          <w:color w:val="231F20"/>
          <w:spacing w:val="-16"/>
          <w:sz w:val="16"/>
        </w:rPr>
        <w:t> </w:t>
      </w:r>
      <w:r>
        <w:rPr>
          <w:color w:val="231F20"/>
          <w:sz w:val="16"/>
        </w:rPr>
        <w:t>los</w:t>
      </w:r>
      <w:r>
        <w:rPr>
          <w:color w:val="231F20"/>
          <w:spacing w:val="-16"/>
          <w:sz w:val="16"/>
        </w:rPr>
        <w:t> </w:t>
      </w:r>
      <w:r>
        <w:rPr>
          <w:color w:val="231F20"/>
          <w:sz w:val="16"/>
        </w:rPr>
        <w:t>derechos</w:t>
      </w:r>
      <w:r>
        <w:rPr>
          <w:color w:val="231F20"/>
          <w:spacing w:val="-16"/>
          <w:sz w:val="16"/>
        </w:rPr>
        <w:t> </w:t>
      </w:r>
      <w:r>
        <w:rPr>
          <w:color w:val="231F20"/>
          <w:sz w:val="16"/>
        </w:rPr>
        <w:t>en</w:t>
      </w:r>
      <w:r>
        <w:rPr>
          <w:color w:val="231F20"/>
          <w:spacing w:val="-16"/>
          <w:sz w:val="16"/>
        </w:rPr>
        <w:t> </w:t>
      </w:r>
      <w:r>
        <w:rPr>
          <w:color w:val="231F20"/>
          <w:sz w:val="16"/>
        </w:rPr>
        <w:t>términos</w:t>
      </w:r>
      <w:r>
        <w:rPr>
          <w:color w:val="231F20"/>
          <w:spacing w:val="-16"/>
          <w:sz w:val="16"/>
        </w:rPr>
        <w:t> </w:t>
      </w:r>
      <w:r>
        <w:rPr>
          <w:color w:val="231F20"/>
          <w:sz w:val="16"/>
        </w:rPr>
        <w:t>de</w:t>
      </w:r>
      <w:r>
        <w:rPr>
          <w:color w:val="231F20"/>
          <w:spacing w:val="-16"/>
          <w:sz w:val="16"/>
        </w:rPr>
        <w:t> </w:t>
      </w:r>
      <w:r>
        <w:rPr>
          <w:color w:val="231F20"/>
          <w:sz w:val="16"/>
        </w:rPr>
        <w:t>la</w:t>
      </w:r>
      <w:r>
        <w:rPr>
          <w:color w:val="231F20"/>
          <w:spacing w:val="-16"/>
          <w:sz w:val="16"/>
        </w:rPr>
        <w:t> </w:t>
      </w:r>
      <w:r>
        <w:rPr>
          <w:color w:val="231F20"/>
          <w:sz w:val="16"/>
        </w:rPr>
        <w:t>Ley Federal</w:t>
      </w:r>
      <w:r>
        <w:rPr>
          <w:color w:val="231F20"/>
          <w:spacing w:val="-11"/>
          <w:sz w:val="16"/>
        </w:rPr>
        <w:t> </w:t>
      </w:r>
      <w:r>
        <w:rPr>
          <w:color w:val="231F20"/>
          <w:sz w:val="16"/>
        </w:rPr>
        <w:t>del</w:t>
      </w:r>
      <w:r>
        <w:rPr>
          <w:color w:val="231F20"/>
          <w:spacing w:val="-11"/>
          <w:sz w:val="16"/>
        </w:rPr>
        <w:t> </w:t>
      </w:r>
      <w:r>
        <w:rPr>
          <w:color w:val="231F20"/>
          <w:sz w:val="16"/>
        </w:rPr>
        <w:t>Derecho</w:t>
      </w:r>
      <w:r>
        <w:rPr>
          <w:color w:val="231F20"/>
          <w:spacing w:val="-11"/>
          <w:sz w:val="16"/>
        </w:rPr>
        <w:t> </w:t>
      </w:r>
      <w:r>
        <w:rPr>
          <w:color w:val="231F20"/>
          <w:sz w:val="16"/>
        </w:rPr>
        <w:t>de</w:t>
      </w:r>
      <w:r>
        <w:rPr>
          <w:color w:val="231F20"/>
          <w:spacing w:val="-11"/>
          <w:sz w:val="16"/>
        </w:rPr>
        <w:t> </w:t>
      </w:r>
      <w:r>
        <w:rPr>
          <w:color w:val="231F20"/>
          <w:sz w:val="16"/>
        </w:rPr>
        <w:t>Autor</w:t>
      </w:r>
      <w:r>
        <w:rPr>
          <w:color w:val="231F20"/>
          <w:spacing w:val="-11"/>
          <w:sz w:val="16"/>
        </w:rPr>
        <w:t> </w:t>
      </w:r>
      <w:r>
        <w:rPr>
          <w:color w:val="231F20"/>
          <w:sz w:val="16"/>
        </w:rPr>
        <w:t>y</w:t>
      </w:r>
      <w:r>
        <w:rPr>
          <w:color w:val="231F20"/>
          <w:spacing w:val="-11"/>
          <w:sz w:val="16"/>
        </w:rPr>
        <w:t> </w:t>
      </w:r>
      <w:r>
        <w:rPr>
          <w:color w:val="231F20"/>
          <w:sz w:val="16"/>
        </w:rPr>
        <w:t>en</w:t>
      </w:r>
      <w:r>
        <w:rPr>
          <w:color w:val="231F20"/>
          <w:spacing w:val="-11"/>
          <w:sz w:val="16"/>
        </w:rPr>
        <w:t> </w:t>
      </w:r>
      <w:r>
        <w:rPr>
          <w:color w:val="231F20"/>
          <w:sz w:val="16"/>
        </w:rPr>
        <w:t>su</w:t>
      </w:r>
      <w:r>
        <w:rPr>
          <w:color w:val="231F20"/>
          <w:spacing w:val="-11"/>
          <w:sz w:val="16"/>
        </w:rPr>
        <w:t> </w:t>
      </w:r>
      <w:r>
        <w:rPr>
          <w:color w:val="231F20"/>
          <w:sz w:val="16"/>
        </w:rPr>
        <w:t>caso</w:t>
      </w:r>
      <w:r>
        <w:rPr>
          <w:color w:val="231F20"/>
          <w:spacing w:val="-11"/>
          <w:sz w:val="16"/>
        </w:rPr>
        <w:t> </w:t>
      </w:r>
      <w:r>
        <w:rPr>
          <w:color w:val="231F20"/>
          <w:sz w:val="16"/>
        </w:rPr>
        <w:t>de</w:t>
      </w:r>
      <w:r>
        <w:rPr>
          <w:color w:val="231F20"/>
          <w:spacing w:val="-11"/>
          <w:sz w:val="16"/>
        </w:rPr>
        <w:t> </w:t>
      </w:r>
      <w:r>
        <w:rPr>
          <w:color w:val="231F20"/>
          <w:sz w:val="16"/>
        </w:rPr>
        <w:t>los</w:t>
      </w:r>
      <w:r>
        <w:rPr>
          <w:color w:val="231F20"/>
          <w:spacing w:val="-11"/>
          <w:sz w:val="16"/>
        </w:rPr>
        <w:t> </w:t>
      </w:r>
      <w:r>
        <w:rPr>
          <w:color w:val="231F20"/>
          <w:sz w:val="16"/>
        </w:rPr>
        <w:t>tratados </w:t>
      </w:r>
      <w:r>
        <w:rPr>
          <w:color w:val="231F20"/>
          <w:w w:val="95"/>
          <w:sz w:val="16"/>
        </w:rPr>
        <w:t>internacionales</w:t>
      </w:r>
      <w:r>
        <w:rPr>
          <w:color w:val="231F20"/>
          <w:spacing w:val="15"/>
          <w:w w:val="95"/>
          <w:sz w:val="16"/>
        </w:rPr>
        <w:t> </w:t>
      </w:r>
      <w:r>
        <w:rPr>
          <w:color w:val="231F20"/>
          <w:w w:val="95"/>
          <w:sz w:val="16"/>
        </w:rPr>
        <w:t>aplicables.</w:t>
      </w:r>
    </w:p>
    <w:p>
      <w:pPr>
        <w:spacing w:after="0" w:line="249" w:lineRule="auto"/>
        <w:jc w:val="both"/>
        <w:rPr>
          <w:sz w:val="16"/>
        </w:rPr>
        <w:sectPr>
          <w:pgSz w:w="9640" w:h="13890"/>
          <w:pgMar w:top="1300" w:bottom="280" w:left="1200" w:right="1340"/>
        </w:sectPr>
      </w:pPr>
    </w:p>
    <w:p>
      <w:pPr>
        <w:pStyle w:val="BodyText"/>
        <w:spacing w:before="5"/>
        <w:rPr>
          <w:sz w:val="23"/>
        </w:rPr>
      </w:pPr>
    </w:p>
    <w:p>
      <w:pPr>
        <w:spacing w:before="30"/>
        <w:ind w:left="984" w:right="0" w:firstLine="0"/>
        <w:jc w:val="both"/>
        <w:rPr>
          <w:rFonts w:ascii="Calibri" w:hAnsi="Calibri"/>
          <w:sz w:val="28"/>
        </w:rPr>
      </w:pPr>
      <w:r>
        <w:rPr>
          <w:rFonts w:ascii="Calibri" w:hAnsi="Calibri"/>
          <w:color w:val="231F20"/>
          <w:sz w:val="28"/>
        </w:rPr>
        <w:t>Índice</w:t>
      </w:r>
    </w:p>
    <w:p>
      <w:pPr>
        <w:spacing w:after="0"/>
        <w:jc w:val="both"/>
        <w:rPr>
          <w:rFonts w:ascii="Calibri" w:hAnsi="Calibri"/>
          <w:sz w:val="28"/>
        </w:rPr>
        <w:sectPr>
          <w:pgSz w:w="9640" w:h="13890"/>
          <w:pgMar w:top="1300" w:bottom="2054" w:left="1340" w:right="1340"/>
        </w:sectPr>
      </w:pPr>
    </w:p>
    <w:sdt>
      <w:sdtPr>
        <w:docPartObj>
          <w:docPartGallery w:val="Table of Contents"/>
          <w:docPartUnique/>
        </w:docPartObj>
      </w:sdtPr>
      <w:sdtEndPr/>
      <w:sdtContent>
        <w:p>
          <w:pPr>
            <w:pStyle w:val="TOC2"/>
            <w:tabs>
              <w:tab w:pos="6200" w:val="right" w:leader="dot"/>
            </w:tabs>
            <w:spacing w:line="240" w:lineRule="auto" w:before="603"/>
            <w:ind w:right="0"/>
            <w:jc w:val="both"/>
          </w:pPr>
          <w:hyperlink w:history="true" w:anchor="_TOC_250003">
            <w:r>
              <w:rPr>
                <w:color w:val="231F20"/>
                <w:w w:val="105"/>
              </w:rPr>
              <w:t>Introducción</w:t>
              <w:tab/>
              <w:t>9</w:t>
            </w:r>
          </w:hyperlink>
        </w:p>
        <w:p>
          <w:pPr>
            <w:pStyle w:val="TOC2"/>
            <w:numPr>
              <w:ilvl w:val="2"/>
              <w:numId w:val="1"/>
            </w:numPr>
            <w:tabs>
              <w:tab w:pos="1170" w:val="left" w:leader="none"/>
              <w:tab w:pos="6195" w:val="right" w:leader="dot"/>
            </w:tabs>
            <w:spacing w:line="264" w:lineRule="exact" w:before="371" w:after="0"/>
            <w:ind w:left="984" w:right="750" w:firstLine="0"/>
            <w:jc w:val="both"/>
          </w:pPr>
          <w:r>
            <w:rPr>
              <w:color w:val="231F20"/>
              <w:w w:val="105"/>
            </w:rPr>
            <w:t>La sustentabilidad organizacional desde la teoría de</w:t>
          </w:r>
          <w:r>
            <w:rPr>
              <w:color w:val="231F20"/>
              <w:spacing w:val="52"/>
              <w:w w:val="105"/>
            </w:rPr>
            <w:t> </w:t>
          </w:r>
          <w:r>
            <w:rPr>
              <w:color w:val="231F20"/>
              <w:w w:val="105"/>
            </w:rPr>
            <w:t>la </w:t>
          </w:r>
          <w:r>
            <w:rPr>
              <w:color w:val="231F20"/>
              <w:spacing w:val="2"/>
              <w:w w:val="105"/>
            </w:rPr>
            <w:t>dependencia </w:t>
          </w:r>
          <w:r>
            <w:rPr>
              <w:color w:val="231F20"/>
              <w:w w:val="105"/>
            </w:rPr>
            <w:t>de </w:t>
          </w:r>
          <w:r>
            <w:rPr>
              <w:color w:val="231F20"/>
              <w:spacing w:val="2"/>
              <w:w w:val="105"/>
            </w:rPr>
            <w:t>recursos </w:t>
          </w:r>
          <w:r>
            <w:rPr>
              <w:color w:val="231F20"/>
              <w:w w:val="105"/>
            </w:rPr>
            <w:t>y la teoría de </w:t>
          </w:r>
          <w:r>
            <w:rPr>
              <w:color w:val="231F20"/>
              <w:spacing w:val="2"/>
              <w:w w:val="105"/>
            </w:rPr>
            <w:t>recursos </w:t>
          </w:r>
          <w:r>
            <w:rPr>
              <w:color w:val="231F20"/>
              <w:w w:val="105"/>
            </w:rPr>
            <w:t>y capacidades</w:t>
            <w:tab/>
          </w:r>
          <w:r>
            <w:rPr>
              <w:color w:val="231F20"/>
              <w:spacing w:val="-5"/>
              <w:w w:val="105"/>
            </w:rPr>
            <w:t>17</w:t>
          </w:r>
        </w:p>
        <w:p>
          <w:pPr>
            <w:pStyle w:val="TOC2"/>
            <w:ind w:right="1037"/>
          </w:pPr>
          <w:r>
            <w:rPr>
              <w:color w:val="4C4D4F"/>
              <w:w w:val="105"/>
            </w:rPr>
            <w:t>Patricia Mercado Salgado, Patricia García Hernández y Carmen Patricia Jiménez Terrazas</w:t>
          </w:r>
        </w:p>
        <w:p>
          <w:pPr>
            <w:pStyle w:val="TOC2"/>
            <w:numPr>
              <w:ilvl w:val="2"/>
              <w:numId w:val="1"/>
            </w:numPr>
            <w:tabs>
              <w:tab w:pos="1190" w:val="left" w:leader="none"/>
              <w:tab w:pos="6184" w:val="right" w:leader="dot"/>
            </w:tabs>
            <w:spacing w:line="264" w:lineRule="exact" w:before="283" w:after="0"/>
            <w:ind w:left="984" w:right="755" w:firstLine="0"/>
            <w:jc w:val="left"/>
          </w:pPr>
          <w:hyperlink w:history="true" w:anchor="_TOC_250002">
            <w:r>
              <w:rPr>
                <w:color w:val="231F20"/>
              </w:rPr>
              <w:t>Determinantes de la competitividad empresarial desde el enfoque de la </w:t>
            </w:r>
            <w:r>
              <w:rPr>
                <w:color w:val="231F20"/>
                <w:spacing w:val="3"/>
              </w:rPr>
              <w:t> </w:t>
            </w:r>
            <w:r>
              <w:rPr>
                <w:color w:val="231F20"/>
              </w:rPr>
              <w:t>competitividad</w:t>
            </w:r>
            <w:r>
              <w:rPr>
                <w:color w:val="231F20"/>
                <w:spacing w:val="13"/>
              </w:rPr>
              <w:t> </w:t>
            </w:r>
            <w:r>
              <w:rPr>
                <w:color w:val="231F20"/>
              </w:rPr>
              <w:t>sistémica</w:t>
              <w:tab/>
              <w:t>39</w:t>
            </w:r>
          </w:hyperlink>
        </w:p>
        <w:p>
          <w:pPr>
            <w:pStyle w:val="TOC2"/>
            <w:ind w:right="1046"/>
          </w:pPr>
          <w:r>
            <w:rPr>
              <w:color w:val="4C4D4F"/>
              <w:w w:val="105"/>
            </w:rPr>
            <w:t>María del Rosario Demuner Flores, Patricia Mercado Salgado y Rosa María Nava Rogel</w:t>
          </w:r>
        </w:p>
        <w:p>
          <w:pPr>
            <w:pStyle w:val="TOC2"/>
            <w:numPr>
              <w:ilvl w:val="2"/>
              <w:numId w:val="1"/>
            </w:numPr>
            <w:tabs>
              <w:tab w:pos="1285" w:val="left" w:leader="none"/>
              <w:tab w:pos="6184" w:val="right" w:leader="dot"/>
            </w:tabs>
            <w:spacing w:line="264" w:lineRule="exact" w:before="283" w:after="0"/>
            <w:ind w:left="984" w:right="753" w:firstLine="0"/>
            <w:jc w:val="left"/>
          </w:pPr>
          <w:r>
            <w:rPr>
              <w:color w:val="231F20"/>
              <w:w w:val="105"/>
            </w:rPr>
            <w:t>El </w:t>
          </w:r>
          <w:r>
            <w:rPr>
              <w:color w:val="231F20"/>
              <w:spacing w:val="2"/>
              <w:w w:val="105"/>
            </w:rPr>
            <w:t>aprendizaje organizacional </w:t>
          </w:r>
          <w:r>
            <w:rPr>
              <w:color w:val="231F20"/>
              <w:w w:val="105"/>
            </w:rPr>
            <w:t>en la </w:t>
          </w:r>
          <w:r>
            <w:rPr>
              <w:color w:val="231F20"/>
              <w:spacing w:val="2"/>
              <w:w w:val="105"/>
            </w:rPr>
            <w:t>competitividad </w:t>
          </w:r>
          <w:r>
            <w:rPr>
              <w:color w:val="231F20"/>
              <w:w w:val="105"/>
            </w:rPr>
            <w:t>municipal</w:t>
            <w:tab/>
            <w:t>65</w:t>
          </w:r>
        </w:p>
        <w:p>
          <w:pPr>
            <w:pStyle w:val="TOC2"/>
            <w:ind w:right="1282"/>
          </w:pPr>
          <w:r>
            <w:rPr>
              <w:color w:val="4C4D4F"/>
              <w:w w:val="105"/>
            </w:rPr>
            <w:t>María del Rocío Gómez Díaz y Elsa Mireya Rosales Estrada</w:t>
          </w:r>
        </w:p>
        <w:p>
          <w:pPr>
            <w:pStyle w:val="TOC2"/>
            <w:numPr>
              <w:ilvl w:val="2"/>
              <w:numId w:val="1"/>
            </w:numPr>
            <w:tabs>
              <w:tab w:pos="1261" w:val="left" w:leader="none"/>
              <w:tab w:pos="6195" w:val="right" w:leader="dot"/>
            </w:tabs>
            <w:spacing w:line="264" w:lineRule="exact" w:before="283" w:after="0"/>
            <w:ind w:left="984" w:right="752" w:firstLine="0"/>
            <w:jc w:val="left"/>
          </w:pPr>
          <w:r>
            <w:rPr>
              <w:color w:val="231F20"/>
              <w:w w:val="105"/>
            </w:rPr>
            <w:t>Desempeño</w:t>
          </w:r>
          <w:r>
            <w:rPr>
              <w:color w:val="231F20"/>
              <w:spacing w:val="-22"/>
              <w:w w:val="105"/>
            </w:rPr>
            <w:t> </w:t>
          </w:r>
          <w:r>
            <w:rPr>
              <w:color w:val="231F20"/>
              <w:spacing w:val="-3"/>
              <w:w w:val="105"/>
            </w:rPr>
            <w:t>organizacional</w:t>
          </w:r>
          <w:r>
            <w:rPr>
              <w:color w:val="231F20"/>
              <w:spacing w:val="-22"/>
              <w:w w:val="105"/>
            </w:rPr>
            <w:t> </w:t>
          </w:r>
          <w:r>
            <w:rPr>
              <w:color w:val="231F20"/>
              <w:w w:val="105"/>
            </w:rPr>
            <w:t>y</w:t>
          </w:r>
          <w:r>
            <w:rPr>
              <w:color w:val="231F20"/>
              <w:spacing w:val="-22"/>
              <w:w w:val="105"/>
            </w:rPr>
            <w:t> </w:t>
          </w:r>
          <w:r>
            <w:rPr>
              <w:color w:val="231F20"/>
              <w:spacing w:val="-3"/>
              <w:w w:val="105"/>
            </w:rPr>
            <w:t>excelencia</w:t>
          </w:r>
          <w:r>
            <w:rPr>
              <w:color w:val="231F20"/>
              <w:spacing w:val="-22"/>
              <w:w w:val="105"/>
            </w:rPr>
            <w:t> </w:t>
          </w:r>
          <w:r>
            <w:rPr>
              <w:color w:val="231F20"/>
              <w:spacing w:val="-3"/>
              <w:w w:val="105"/>
            </w:rPr>
            <w:t>administrativa </w:t>
          </w:r>
          <w:r>
            <w:rPr>
              <w:color w:val="231F20"/>
              <w:w w:val="105"/>
            </w:rPr>
            <w:t>en</w:t>
          </w:r>
          <w:r>
            <w:rPr>
              <w:color w:val="231F20"/>
              <w:spacing w:val="7"/>
              <w:w w:val="105"/>
            </w:rPr>
            <w:t> </w:t>
          </w:r>
          <w:r>
            <w:rPr>
              <w:color w:val="231F20"/>
              <w:w w:val="105"/>
            </w:rPr>
            <w:t>universidades</w:t>
            <w:tab/>
          </w:r>
          <w:r>
            <w:rPr>
              <w:color w:val="231F20"/>
              <w:spacing w:val="-5"/>
              <w:w w:val="105"/>
            </w:rPr>
            <w:t>87</w:t>
          </w:r>
        </w:p>
        <w:p>
          <w:pPr>
            <w:pStyle w:val="TOC2"/>
            <w:ind w:right="1230"/>
          </w:pPr>
          <w:r>
            <w:rPr>
              <w:color w:val="4C4D4F"/>
              <w:w w:val="105"/>
            </w:rPr>
            <w:t>Felipe Machorro Ramos, Patricia Mercado Salgado y María Vanessa Romero Ortiz</w:t>
          </w:r>
        </w:p>
        <w:p>
          <w:pPr>
            <w:pStyle w:val="TOC2"/>
            <w:numPr>
              <w:ilvl w:val="2"/>
              <w:numId w:val="1"/>
            </w:numPr>
            <w:tabs>
              <w:tab w:pos="1228" w:val="left" w:leader="none"/>
              <w:tab w:pos="6200" w:val="right" w:leader="dot"/>
            </w:tabs>
            <w:spacing w:line="264" w:lineRule="exact" w:before="283" w:after="0"/>
            <w:ind w:left="984" w:right="755" w:firstLine="0"/>
            <w:jc w:val="left"/>
          </w:pPr>
          <w:r>
            <w:rPr>
              <w:color w:val="231F20"/>
            </w:rPr>
            <w:t>Redes y conocimiento en el marco de la economía del conocimiento: una</w:t>
          </w:r>
          <w:r>
            <w:rPr>
              <w:color w:val="231F20"/>
              <w:spacing w:val="31"/>
            </w:rPr>
            <w:t> </w:t>
          </w:r>
          <w:r>
            <w:rPr>
              <w:color w:val="231F20"/>
            </w:rPr>
            <w:t>propuesta</w:t>
          </w:r>
          <w:r>
            <w:rPr>
              <w:color w:val="231F20"/>
              <w:spacing w:val="15"/>
            </w:rPr>
            <w:t> </w:t>
          </w:r>
          <w:r>
            <w:rPr>
              <w:color w:val="231F20"/>
            </w:rPr>
            <w:t>metodológica</w:t>
            <w:tab/>
            <w:t>115</w:t>
          </w:r>
        </w:p>
        <w:p>
          <w:pPr>
            <w:pStyle w:val="TOC2"/>
            <w:ind w:right="1037"/>
          </w:pPr>
          <w:r>
            <w:rPr>
              <w:color w:val="4C4D4F"/>
              <w:w w:val="105"/>
            </w:rPr>
            <w:t>Rosa Azalea Canales García, Juan Andrés Godínez Enciso y Reyna Vergara González</w:t>
          </w:r>
        </w:p>
        <w:p>
          <w:pPr>
            <w:pStyle w:val="TOC2"/>
            <w:numPr>
              <w:ilvl w:val="2"/>
              <w:numId w:val="1"/>
            </w:numPr>
            <w:tabs>
              <w:tab w:pos="1240" w:val="left" w:leader="none"/>
              <w:tab w:pos="6197" w:val="right" w:leader="dot"/>
            </w:tabs>
            <w:spacing w:line="264" w:lineRule="exact" w:before="283" w:after="0"/>
            <w:ind w:left="984" w:right="753" w:firstLine="0"/>
            <w:jc w:val="both"/>
          </w:pPr>
          <w:r>
            <w:rPr>
              <w:color w:val="231F20"/>
              <w:spacing w:val="-7"/>
            </w:rPr>
            <w:t>Análisis </w:t>
          </w:r>
          <w:r>
            <w:rPr>
              <w:color w:val="231F20"/>
              <w:spacing w:val="-5"/>
            </w:rPr>
            <w:t>del </w:t>
          </w:r>
          <w:r>
            <w:rPr>
              <w:color w:val="231F20"/>
              <w:spacing w:val="-7"/>
            </w:rPr>
            <w:t>efecto </w:t>
          </w:r>
          <w:r>
            <w:rPr>
              <w:color w:val="231F20"/>
              <w:spacing w:val="-4"/>
            </w:rPr>
            <w:t>de la </w:t>
          </w:r>
          <w:r>
            <w:rPr>
              <w:color w:val="231F20"/>
              <w:spacing w:val="-7"/>
            </w:rPr>
            <w:t>formación </w:t>
          </w:r>
          <w:r>
            <w:rPr>
              <w:color w:val="231F20"/>
              <w:spacing w:val="-4"/>
            </w:rPr>
            <w:t>de </w:t>
          </w:r>
          <w:r>
            <w:rPr>
              <w:color w:val="231F20"/>
              <w:spacing w:val="-7"/>
            </w:rPr>
            <w:t>alianzas estratégicas </w:t>
          </w:r>
          <w:r>
            <w:rPr>
              <w:color w:val="231F20"/>
            </w:rPr>
            <w:t>en la rentabilidad empresarial. Caso de las </w:t>
          </w:r>
          <w:r>
            <w:rPr>
              <w:i/>
              <w:color w:val="231F20"/>
            </w:rPr>
            <w:t>joint ventures </w:t>
          </w:r>
          <w:r>
            <w:rPr>
              <w:color w:val="231F20"/>
            </w:rPr>
            <w:t>de manufactura versus las </w:t>
          </w:r>
          <w:r>
            <w:rPr>
              <w:color w:val="231F20"/>
              <w:spacing w:val="20"/>
            </w:rPr>
            <w:t> </w:t>
          </w:r>
          <w:r>
            <w:rPr>
              <w:color w:val="231F20"/>
            </w:rPr>
            <w:t>de</w:t>
          </w:r>
          <w:r>
            <w:rPr>
              <w:color w:val="231F20"/>
              <w:spacing w:val="17"/>
            </w:rPr>
            <w:t> </w:t>
          </w:r>
          <w:r>
            <w:rPr>
              <w:color w:val="231F20"/>
            </w:rPr>
            <w:t>mercadotecnia</w:t>
            <w:tab/>
          </w:r>
          <w:r>
            <w:rPr>
              <w:color w:val="231F20"/>
              <w:spacing w:val="-3"/>
            </w:rPr>
            <w:t>137</w:t>
          </w:r>
        </w:p>
        <w:p>
          <w:pPr>
            <w:pStyle w:val="TOC2"/>
            <w:ind w:right="1227"/>
          </w:pPr>
          <w:r>
            <w:rPr>
              <w:color w:val="4C4D4F"/>
              <w:w w:val="105"/>
            </w:rPr>
            <w:t>Daniel Arturo Cernas Ortiz, Rosa María Nava Rogel y Miguel Octavio Caballero Santín</w:t>
          </w:r>
        </w:p>
        <w:p>
          <w:pPr>
            <w:pStyle w:val="TOC1"/>
            <w:numPr>
              <w:ilvl w:val="2"/>
              <w:numId w:val="1"/>
            </w:numPr>
            <w:tabs>
              <w:tab w:pos="1237" w:val="left" w:leader="none"/>
              <w:tab w:pos="6027" w:val="right" w:leader="dot"/>
            </w:tabs>
            <w:spacing w:line="264" w:lineRule="exact" w:before="78" w:after="0"/>
            <w:ind w:left="814" w:right="919" w:firstLine="0"/>
            <w:jc w:val="left"/>
          </w:pPr>
          <w:r>
            <w:rPr>
              <w:color w:val="231F20"/>
              <w:spacing w:val="4"/>
              <w:w w:val="105"/>
            </w:rPr>
            <w:t>Mercado </w:t>
          </w:r>
          <w:r>
            <w:rPr>
              <w:color w:val="231F20"/>
              <w:spacing w:val="3"/>
              <w:w w:val="105"/>
            </w:rPr>
            <w:t>de </w:t>
          </w:r>
          <w:r>
            <w:rPr>
              <w:color w:val="231F20"/>
              <w:spacing w:val="4"/>
              <w:w w:val="105"/>
            </w:rPr>
            <w:t>trabajo. </w:t>
          </w:r>
          <w:r>
            <w:rPr>
              <w:color w:val="231F20"/>
              <w:spacing w:val="3"/>
              <w:w w:val="105"/>
            </w:rPr>
            <w:t>Teoría </w:t>
          </w:r>
          <w:r>
            <w:rPr>
              <w:color w:val="231F20"/>
              <w:spacing w:val="5"/>
              <w:w w:val="105"/>
            </w:rPr>
            <w:t>neoclásica </w:t>
          </w:r>
          <w:r>
            <w:rPr>
              <w:color w:val="231F20"/>
              <w:w w:val="105"/>
            </w:rPr>
            <w:t>y </w:t>
          </w:r>
          <w:r>
            <w:rPr>
              <w:color w:val="231F20"/>
              <w:spacing w:val="3"/>
              <w:w w:val="105"/>
            </w:rPr>
            <w:t>de </w:t>
          </w:r>
          <w:r>
            <w:rPr>
              <w:color w:val="231F20"/>
              <w:spacing w:val="6"/>
              <w:w w:val="105"/>
            </w:rPr>
            <w:t>la </w:t>
          </w:r>
          <w:r>
            <w:rPr>
              <w:color w:val="231F20"/>
              <w:w w:val="105"/>
            </w:rPr>
            <w:t>segmentación</w:t>
            <w:tab/>
          </w:r>
          <w:r>
            <w:rPr>
              <w:color w:val="231F20"/>
              <w:spacing w:val="-3"/>
              <w:w w:val="105"/>
            </w:rPr>
            <w:t>159</w:t>
          </w:r>
        </w:p>
        <w:p>
          <w:pPr>
            <w:pStyle w:val="TOC1"/>
            <w:spacing w:line="240" w:lineRule="auto" w:before="58"/>
            <w:jc w:val="both"/>
          </w:pPr>
          <w:r>
            <w:rPr>
              <w:color w:val="4C4D4F"/>
              <w:w w:val="105"/>
            </w:rPr>
            <w:t>Lisy Rubio Hernández y María del Carmen Salgado Vega</w:t>
          </w:r>
        </w:p>
        <w:p>
          <w:pPr>
            <w:pStyle w:val="TOC1"/>
            <w:numPr>
              <w:ilvl w:val="2"/>
              <w:numId w:val="1"/>
            </w:numPr>
            <w:tabs>
              <w:tab w:pos="1244" w:val="left" w:leader="none"/>
              <w:tab w:pos="6029" w:val="right" w:leader="dot"/>
            </w:tabs>
            <w:spacing w:line="264" w:lineRule="exact" w:before="277" w:after="0"/>
            <w:ind w:left="814" w:right="925" w:firstLine="0"/>
            <w:jc w:val="left"/>
          </w:pPr>
          <w:r>
            <w:rPr>
              <w:color w:val="231F20"/>
            </w:rPr>
            <w:t>Rol institucional del gobierno en dependencia de </w:t>
          </w:r>
          <w:r>
            <w:rPr>
              <w:rFonts w:ascii="Arial" w:hAnsi="Arial"/>
              <w:color w:val="231F20"/>
            </w:rPr>
            <w:t>recursos</w:t>
          </w:r>
          <w:r>
            <w:rPr>
              <w:rFonts w:ascii="Arial" w:hAnsi="Arial"/>
              <w:color w:val="231F20"/>
              <w:spacing w:val="-27"/>
            </w:rPr>
            <w:t> </w:t>
          </w:r>
          <w:r>
            <w:rPr>
              <w:rFonts w:ascii="Arial" w:hAnsi="Arial"/>
              <w:color w:val="231F20"/>
            </w:rPr>
            <w:t>naturales:</w:t>
          </w:r>
          <w:r>
            <w:rPr>
              <w:rFonts w:ascii="Arial" w:hAnsi="Arial"/>
              <w:color w:val="231F20"/>
              <w:spacing w:val="-27"/>
            </w:rPr>
            <w:t> </w:t>
          </w:r>
          <w:r>
            <w:rPr>
              <w:rFonts w:ascii="Arial" w:hAnsi="Arial"/>
              <w:color w:val="231F20"/>
            </w:rPr>
            <w:t>implementación</w:t>
          </w:r>
          <w:r>
            <w:rPr>
              <w:rFonts w:ascii="Arial" w:hAnsi="Arial"/>
              <w:color w:val="231F20"/>
              <w:spacing w:val="-27"/>
            </w:rPr>
            <w:t> </w:t>
          </w:r>
          <w:r>
            <w:rPr>
              <w:rFonts w:ascii="Arial" w:hAnsi="Arial"/>
              <w:color w:val="231F20"/>
            </w:rPr>
            <w:t>de</w:t>
          </w:r>
          <w:r>
            <w:rPr>
              <w:rFonts w:ascii="Arial" w:hAnsi="Arial"/>
              <w:color w:val="231F20"/>
              <w:spacing w:val="-27"/>
            </w:rPr>
            <w:t> </w:t>
          </w:r>
          <w:r>
            <w:rPr>
              <w:rFonts w:ascii="Arial" w:hAnsi="Arial"/>
              <w:color w:val="231F20"/>
            </w:rPr>
            <w:t>regla</w:t>
          </w:r>
          <w:r>
            <w:rPr>
              <w:rFonts w:ascii="Arial" w:hAnsi="Arial"/>
              <w:color w:val="231F20"/>
              <w:spacing w:val="-27"/>
            </w:rPr>
            <w:t> </w:t>
          </w:r>
          <w:r>
            <w:rPr>
              <w:rFonts w:ascii="Arial" w:hAnsi="Arial"/>
              <w:color w:val="231F20"/>
            </w:rPr>
            <w:t>fiscal</w:t>
          </w:r>
          <w:r>
            <w:rPr>
              <w:color w:val="231F20"/>
            </w:rPr>
            <w:tab/>
          </w:r>
          <w:r>
            <w:rPr>
              <w:color w:val="231F20"/>
              <w:spacing w:val="-9"/>
            </w:rPr>
            <w:t>183</w:t>
          </w:r>
        </w:p>
        <w:p>
          <w:pPr>
            <w:pStyle w:val="TOC1"/>
            <w:ind w:right="1568"/>
          </w:pPr>
          <w:r>
            <w:rPr>
              <w:color w:val="4C4D4F"/>
              <w:w w:val="105"/>
            </w:rPr>
            <w:t>Roger Alejandro Banegas Rivero y Reyna </w:t>
          </w:r>
          <w:r>
            <w:rPr>
              <w:color w:val="4C4D4F"/>
              <w:spacing w:val="-3"/>
              <w:w w:val="105"/>
            </w:rPr>
            <w:t>Vergara </w:t>
          </w:r>
          <w:r>
            <w:rPr>
              <w:color w:val="4C4D4F"/>
              <w:w w:val="105"/>
            </w:rPr>
            <w:t>González</w:t>
          </w:r>
        </w:p>
        <w:p>
          <w:pPr>
            <w:pStyle w:val="TOC1"/>
            <w:numPr>
              <w:ilvl w:val="2"/>
              <w:numId w:val="1"/>
            </w:numPr>
            <w:tabs>
              <w:tab w:pos="1167" w:val="left" w:leader="none"/>
              <w:tab w:pos="6017" w:val="right" w:leader="dot"/>
            </w:tabs>
            <w:spacing w:line="264" w:lineRule="exact" w:before="283" w:after="0"/>
            <w:ind w:left="814" w:right="907" w:firstLine="0"/>
            <w:jc w:val="both"/>
          </w:pPr>
          <w:r>
            <w:rPr>
              <w:color w:val="231F20"/>
              <w:spacing w:val="4"/>
              <w:w w:val="105"/>
            </w:rPr>
            <w:t>Administración </w:t>
          </w:r>
          <w:r>
            <w:rPr>
              <w:color w:val="231F20"/>
              <w:spacing w:val="2"/>
              <w:w w:val="105"/>
            </w:rPr>
            <w:t>de </w:t>
          </w:r>
          <w:r>
            <w:rPr>
              <w:color w:val="231F20"/>
              <w:spacing w:val="4"/>
              <w:w w:val="105"/>
            </w:rPr>
            <w:t>riesgos </w:t>
          </w:r>
          <w:r>
            <w:rPr>
              <w:color w:val="231F20"/>
              <w:w w:val="105"/>
            </w:rPr>
            <w:t>a </w:t>
          </w:r>
          <w:r>
            <w:rPr>
              <w:color w:val="231F20"/>
              <w:spacing w:val="3"/>
              <w:w w:val="105"/>
            </w:rPr>
            <w:t>través </w:t>
          </w:r>
          <w:r>
            <w:rPr>
              <w:color w:val="231F20"/>
              <w:spacing w:val="2"/>
              <w:w w:val="105"/>
            </w:rPr>
            <w:t>de </w:t>
          </w:r>
          <w:r>
            <w:rPr>
              <w:color w:val="231F20"/>
              <w:spacing w:val="5"/>
              <w:w w:val="105"/>
            </w:rPr>
            <w:t>opciones </w:t>
          </w:r>
          <w:r>
            <w:rPr>
              <w:color w:val="231F20"/>
              <w:spacing w:val="13"/>
              <w:w w:val="105"/>
            </w:rPr>
            <w:t>sobre </w:t>
          </w:r>
          <w:r>
            <w:rPr>
              <w:color w:val="231F20"/>
              <w:spacing w:val="12"/>
              <w:w w:val="105"/>
            </w:rPr>
            <w:t>tipo </w:t>
          </w:r>
          <w:r>
            <w:rPr>
              <w:color w:val="231F20"/>
              <w:spacing w:val="8"/>
              <w:w w:val="105"/>
            </w:rPr>
            <w:t>de </w:t>
          </w:r>
          <w:r>
            <w:rPr>
              <w:color w:val="231F20"/>
              <w:spacing w:val="14"/>
              <w:w w:val="105"/>
            </w:rPr>
            <w:t>cambio </w:t>
          </w:r>
          <w:r>
            <w:rPr>
              <w:color w:val="231F20"/>
              <w:spacing w:val="12"/>
              <w:w w:val="105"/>
            </w:rPr>
            <w:t>peso </w:t>
          </w:r>
          <w:r>
            <w:rPr>
              <w:color w:val="231F20"/>
              <w:spacing w:val="16"/>
              <w:w w:val="105"/>
            </w:rPr>
            <w:t>mexicano-dólar </w:t>
          </w:r>
          <w:r>
            <w:rPr>
              <w:color w:val="231F20"/>
              <w:w w:val="105"/>
            </w:rPr>
            <w:t>estadounidense</w:t>
            <w:tab/>
          </w:r>
          <w:r>
            <w:rPr>
              <w:color w:val="231F20"/>
              <w:spacing w:val="-13"/>
              <w:w w:val="105"/>
            </w:rPr>
            <w:t>203</w:t>
          </w:r>
        </w:p>
        <w:p>
          <w:pPr>
            <w:pStyle w:val="TOC1"/>
            <w:ind w:right="1409"/>
          </w:pPr>
          <w:r>
            <w:rPr>
              <w:color w:val="4C4D4F"/>
              <w:w w:val="105"/>
            </w:rPr>
            <w:t>María de Lourdes Nájera López y Máximo Augusto Agüero Granados</w:t>
          </w:r>
        </w:p>
        <w:p>
          <w:pPr>
            <w:pStyle w:val="TOC1"/>
            <w:numPr>
              <w:ilvl w:val="2"/>
              <w:numId w:val="1"/>
            </w:numPr>
            <w:tabs>
              <w:tab w:pos="1088" w:val="left" w:leader="none"/>
              <w:tab w:pos="6027" w:val="right" w:leader="dot"/>
            </w:tabs>
            <w:spacing w:line="264" w:lineRule="exact" w:before="283" w:after="0"/>
            <w:ind w:left="814" w:right="924" w:firstLine="0"/>
            <w:jc w:val="left"/>
          </w:pPr>
          <w:r>
            <w:rPr>
              <w:color w:val="231F20"/>
              <w:w w:val="105"/>
            </w:rPr>
            <w:t>El </w:t>
          </w:r>
          <w:r>
            <w:rPr>
              <w:color w:val="231F20"/>
              <w:spacing w:val="2"/>
              <w:w w:val="105"/>
            </w:rPr>
            <w:t>crecimiento </w:t>
          </w:r>
          <w:r>
            <w:rPr>
              <w:color w:val="231F20"/>
              <w:w w:val="105"/>
            </w:rPr>
            <w:t>económico </w:t>
          </w:r>
          <w:r>
            <w:rPr>
              <w:color w:val="231F20"/>
              <w:spacing w:val="2"/>
              <w:w w:val="105"/>
            </w:rPr>
            <w:t>regional </w:t>
          </w:r>
          <w:r>
            <w:rPr>
              <w:color w:val="231F20"/>
              <w:w w:val="105"/>
            </w:rPr>
            <w:t>a través de </w:t>
          </w:r>
          <w:r>
            <w:rPr>
              <w:color w:val="231F20"/>
              <w:spacing w:val="3"/>
              <w:w w:val="105"/>
            </w:rPr>
            <w:t>sus </w:t>
          </w:r>
          <w:r>
            <w:rPr>
              <w:color w:val="231F20"/>
              <w:w w:val="105"/>
            </w:rPr>
            <w:t>enfoques</w:t>
            <w:tab/>
          </w:r>
          <w:r>
            <w:rPr>
              <w:color w:val="231F20"/>
              <w:spacing w:val="-3"/>
              <w:w w:val="105"/>
            </w:rPr>
            <w:t>235</w:t>
          </w:r>
        </w:p>
        <w:p>
          <w:pPr>
            <w:pStyle w:val="TOC1"/>
            <w:spacing w:line="240" w:lineRule="auto" w:before="58"/>
            <w:jc w:val="both"/>
          </w:pPr>
          <w:r>
            <w:rPr>
              <w:color w:val="4C4D4F"/>
              <w:w w:val="105"/>
            </w:rPr>
            <w:t>Liliana Rendón Rojas y María del Carmen Salgado Vega</w:t>
          </w:r>
        </w:p>
        <w:p>
          <w:pPr>
            <w:pStyle w:val="TOC1"/>
            <w:numPr>
              <w:ilvl w:val="2"/>
              <w:numId w:val="1"/>
            </w:numPr>
            <w:tabs>
              <w:tab w:pos="1124" w:val="left" w:leader="none"/>
              <w:tab w:pos="6027" w:val="right" w:leader="dot"/>
            </w:tabs>
            <w:spacing w:line="264" w:lineRule="exact" w:before="277" w:after="0"/>
            <w:ind w:left="814" w:right="927" w:firstLine="0"/>
            <w:jc w:val="left"/>
          </w:pPr>
          <w:r>
            <w:rPr>
              <w:color w:val="231F20"/>
              <w:w w:val="105"/>
            </w:rPr>
            <w:t>Relación teórica entre inversión extranjera directa y competitividad</w:t>
            <w:tab/>
          </w:r>
          <w:r>
            <w:rPr>
              <w:color w:val="231F20"/>
              <w:spacing w:val="-3"/>
              <w:w w:val="105"/>
            </w:rPr>
            <w:t>261</w:t>
          </w:r>
        </w:p>
        <w:p>
          <w:pPr>
            <w:pStyle w:val="TOC1"/>
            <w:ind w:right="1108"/>
          </w:pPr>
          <w:r>
            <w:rPr>
              <w:color w:val="4C4D4F"/>
              <w:w w:val="105"/>
            </w:rPr>
            <w:t>Gabriela Munguía Vázquez, Sara Quiroz Cuenca y Joel Martínez Bello</w:t>
          </w:r>
        </w:p>
        <w:p>
          <w:pPr>
            <w:pStyle w:val="TOC1"/>
            <w:numPr>
              <w:ilvl w:val="2"/>
              <w:numId w:val="1"/>
            </w:numPr>
            <w:tabs>
              <w:tab w:pos="1177" w:val="left" w:leader="none"/>
              <w:tab w:pos="6027" w:val="right" w:leader="dot"/>
            </w:tabs>
            <w:spacing w:line="264" w:lineRule="exact" w:before="283" w:after="0"/>
            <w:ind w:left="814" w:right="927" w:firstLine="0"/>
            <w:jc w:val="left"/>
          </w:pPr>
          <w:r>
            <w:rPr>
              <w:color w:val="231F20"/>
              <w:w w:val="105"/>
            </w:rPr>
            <w:t>El empleo y la desocupación: un análisis desde los enfoques</w:t>
          </w:r>
          <w:r>
            <w:rPr>
              <w:color w:val="231F20"/>
              <w:spacing w:val="7"/>
              <w:w w:val="105"/>
            </w:rPr>
            <w:t> </w:t>
          </w:r>
          <w:r>
            <w:rPr>
              <w:color w:val="231F20"/>
              <w:w w:val="105"/>
            </w:rPr>
            <w:t>teóricos</w:t>
          </w:r>
          <w:r>
            <w:rPr>
              <w:color w:val="231F20"/>
              <w:spacing w:val="7"/>
              <w:w w:val="105"/>
            </w:rPr>
            <w:t> </w:t>
          </w:r>
          <w:r>
            <w:rPr>
              <w:color w:val="231F20"/>
              <w:w w:val="105"/>
            </w:rPr>
            <w:t>keynesianos</w:t>
            <w:tab/>
          </w:r>
          <w:r>
            <w:rPr>
              <w:color w:val="231F20"/>
              <w:spacing w:val="-3"/>
              <w:w w:val="105"/>
            </w:rPr>
            <w:t>285</w:t>
          </w:r>
        </w:p>
        <w:p>
          <w:pPr>
            <w:pStyle w:val="TOC1"/>
            <w:spacing w:line="240" w:lineRule="auto" w:before="58"/>
            <w:jc w:val="both"/>
          </w:pPr>
          <w:hyperlink w:history="true" w:anchor="_TOC_250001">
            <w:r>
              <w:rPr>
                <w:color w:val="4C4D4F"/>
                <w:w w:val="105"/>
              </w:rPr>
              <w:t>Luis Brito Cruz</w:t>
            </w:r>
          </w:hyperlink>
        </w:p>
        <w:p>
          <w:pPr>
            <w:pStyle w:val="TOC1"/>
            <w:tabs>
              <w:tab w:pos="6028" w:val="right" w:leader="dot"/>
            </w:tabs>
            <w:spacing w:line="240" w:lineRule="auto" w:before="279"/>
          </w:pPr>
          <w:hyperlink w:history="true" w:anchor="_TOC_250000">
            <w:r>
              <w:rPr>
                <w:color w:val="231F20"/>
                <w:w w:val="105"/>
              </w:rPr>
              <w:t>Reseñas</w:t>
            </w:r>
            <w:r>
              <w:rPr>
                <w:color w:val="231F20"/>
                <w:spacing w:val="8"/>
                <w:w w:val="105"/>
              </w:rPr>
              <w:t> </w:t>
            </w:r>
            <w:r>
              <w:rPr>
                <w:color w:val="231F20"/>
                <w:w w:val="105"/>
              </w:rPr>
              <w:t>curriculares</w:t>
              <w:tab/>
            </w:r>
            <w:r>
              <w:rPr>
                <w:color w:val="231F20"/>
                <w:spacing w:val="-3"/>
                <w:w w:val="105"/>
              </w:rPr>
              <w:t>309</w:t>
            </w:r>
          </w:hyperlink>
        </w:p>
      </w:sdtContent>
    </w:sdt>
    <w:p>
      <w:pPr>
        <w:spacing w:after="0" w:line="240" w:lineRule="auto"/>
        <w:sectPr>
          <w:type w:val="continuous"/>
          <w:pgSz w:w="9640" w:h="13890"/>
          <w:pgMar w:top="1310" w:bottom="2054" w:left="1340" w:right="134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20"/>
        </w:rPr>
      </w:pPr>
    </w:p>
    <w:p>
      <w:pPr>
        <w:pStyle w:val="Heading2"/>
        <w:ind w:left="688" w:right="692"/>
        <w:jc w:val="center"/>
      </w:pPr>
      <w:bookmarkStart w:name="_TOC_250003" w:id="1"/>
      <w:bookmarkEnd w:id="1"/>
      <w:r>
        <w:rPr>
          <w:color w:val="231F20"/>
        </w:rPr>
        <w:t>INTRODUCCIÓN</w:t>
      </w:r>
    </w:p>
    <w:p>
      <w:pPr>
        <w:pStyle w:val="BodyText"/>
        <w:rPr>
          <w:b/>
          <w:sz w:val="20"/>
        </w:rPr>
      </w:pPr>
    </w:p>
    <w:p>
      <w:pPr>
        <w:pStyle w:val="BodyText"/>
        <w:spacing w:before="10"/>
        <w:rPr>
          <w:b/>
          <w:sz w:val="15"/>
        </w:rPr>
      </w:pPr>
    </w:p>
    <w:p>
      <w:pPr>
        <w:pStyle w:val="BodyText"/>
        <w:spacing w:line="259" w:lineRule="auto"/>
        <w:ind w:left="1180" w:right="115" w:firstLine="1"/>
        <w:jc w:val="both"/>
      </w:pPr>
      <w:r>
        <w:rPr/>
        <w:pict>
          <v:shapetype id="_x0000_t202" o:spt="202" coordsize="21600,21600" path="m,l,21600r21600,l21600,xe">
            <v:stroke joinstyle="miter"/>
            <v:path gradientshapeok="t" o:connecttype="rect"/>
          </v:shapetype>
          <v:shape style="position:absolute;margin-left:82.218903pt;margin-top:11.58099pt;width:31.2pt;height:51pt;mso-position-horizontal-relative:page;mso-position-vertical-relative:paragraph;z-index:114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 objetivo de este libro es difundir las aportaciones hechas a los estudios económico-administrativos, ya sea como re- flexiones teóricas o a modo de evidencia empírica, pues la conjunción de varias ciencias ayuda a comprender fenóme- nos complejos mejor que una disciplina en forma aislada.</w:t>
      </w:r>
    </w:p>
    <w:p>
      <w:pPr>
        <w:pStyle w:val="BodyText"/>
        <w:spacing w:line="259" w:lineRule="auto"/>
        <w:ind w:left="117" w:right="114"/>
        <w:jc w:val="both"/>
      </w:pPr>
      <w:r>
        <w:rPr>
          <w:color w:val="231F20"/>
          <w:w w:val="105"/>
        </w:rPr>
        <w:t>Más</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homogeneidad</w:t>
      </w:r>
      <w:r>
        <w:rPr>
          <w:color w:val="231F20"/>
          <w:spacing w:val="-14"/>
          <w:w w:val="105"/>
        </w:rPr>
        <w:t> </w:t>
      </w:r>
      <w:r>
        <w:rPr>
          <w:color w:val="231F20"/>
          <w:w w:val="105"/>
        </w:rPr>
        <w:t>de</w:t>
      </w:r>
      <w:r>
        <w:rPr>
          <w:color w:val="231F20"/>
          <w:spacing w:val="-14"/>
          <w:w w:val="105"/>
        </w:rPr>
        <w:t> </w:t>
      </w:r>
      <w:r>
        <w:rPr>
          <w:color w:val="231F20"/>
          <w:w w:val="105"/>
        </w:rPr>
        <w:t>teorías</w:t>
      </w:r>
      <w:r>
        <w:rPr>
          <w:color w:val="231F20"/>
          <w:spacing w:val="-14"/>
          <w:w w:val="105"/>
        </w:rPr>
        <w:t> </w:t>
      </w:r>
      <w:r>
        <w:rPr>
          <w:color w:val="231F20"/>
          <w:w w:val="105"/>
        </w:rPr>
        <w:t>o</w:t>
      </w:r>
      <w:r>
        <w:rPr>
          <w:color w:val="231F20"/>
          <w:spacing w:val="-14"/>
          <w:w w:val="105"/>
        </w:rPr>
        <w:t> </w:t>
      </w:r>
      <w:r>
        <w:rPr>
          <w:color w:val="231F20"/>
          <w:w w:val="105"/>
        </w:rPr>
        <w:t>hegemonía</w:t>
      </w:r>
      <w:r>
        <w:rPr>
          <w:color w:val="231F20"/>
          <w:spacing w:val="-14"/>
          <w:w w:val="105"/>
        </w:rPr>
        <w:t> </w:t>
      </w:r>
      <w:r>
        <w:rPr>
          <w:color w:val="231F20"/>
          <w:w w:val="105"/>
        </w:rPr>
        <w:t>de</w:t>
      </w:r>
      <w:r>
        <w:rPr>
          <w:color w:val="231F20"/>
          <w:spacing w:val="-14"/>
          <w:w w:val="105"/>
        </w:rPr>
        <w:t> </w:t>
      </w:r>
      <w:r>
        <w:rPr>
          <w:color w:val="231F20"/>
          <w:w w:val="105"/>
        </w:rPr>
        <w:t>unas</w:t>
      </w:r>
      <w:r>
        <w:rPr>
          <w:color w:val="231F20"/>
          <w:spacing w:val="-14"/>
          <w:w w:val="105"/>
        </w:rPr>
        <w:t> </w:t>
      </w:r>
      <w:r>
        <w:rPr>
          <w:color w:val="231F20"/>
          <w:w w:val="105"/>
        </w:rPr>
        <w:t>sobre</w:t>
      </w:r>
      <w:r>
        <w:rPr>
          <w:color w:val="231F20"/>
          <w:spacing w:val="-14"/>
          <w:w w:val="105"/>
        </w:rPr>
        <w:t> </w:t>
      </w:r>
      <w:r>
        <w:rPr>
          <w:color w:val="231F20"/>
          <w:w w:val="105"/>
        </w:rPr>
        <w:t>otras, la</w:t>
      </w:r>
      <w:r>
        <w:rPr>
          <w:color w:val="231F20"/>
          <w:spacing w:val="-17"/>
          <w:w w:val="105"/>
        </w:rPr>
        <w:t> </w:t>
      </w:r>
      <w:r>
        <w:rPr>
          <w:color w:val="231F20"/>
          <w:w w:val="105"/>
        </w:rPr>
        <w:t>investigación</w:t>
      </w:r>
      <w:r>
        <w:rPr>
          <w:color w:val="231F20"/>
          <w:spacing w:val="-17"/>
          <w:w w:val="105"/>
        </w:rPr>
        <w:t> </w:t>
      </w:r>
      <w:r>
        <w:rPr>
          <w:color w:val="231F20"/>
          <w:w w:val="105"/>
        </w:rPr>
        <w:t>interdisciplinaria</w:t>
      </w:r>
      <w:r>
        <w:rPr>
          <w:color w:val="231F20"/>
          <w:spacing w:val="-17"/>
          <w:w w:val="105"/>
        </w:rPr>
        <w:t> </w:t>
      </w:r>
      <w:r>
        <w:rPr>
          <w:color w:val="231F20"/>
          <w:w w:val="105"/>
        </w:rPr>
        <w:t>construye</w:t>
      </w:r>
      <w:r>
        <w:rPr>
          <w:color w:val="231F20"/>
          <w:spacing w:val="-17"/>
          <w:w w:val="105"/>
        </w:rPr>
        <w:t> </w:t>
      </w:r>
      <w:r>
        <w:rPr>
          <w:color w:val="231F20"/>
          <w:w w:val="105"/>
        </w:rPr>
        <w:t>un</w:t>
      </w:r>
      <w:r>
        <w:rPr>
          <w:color w:val="231F20"/>
          <w:spacing w:val="-17"/>
          <w:w w:val="105"/>
        </w:rPr>
        <w:t> </w:t>
      </w:r>
      <w:r>
        <w:rPr>
          <w:color w:val="231F20"/>
          <w:w w:val="105"/>
        </w:rPr>
        <w:t>acercamiento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diversi- dad</w:t>
      </w:r>
      <w:r>
        <w:rPr>
          <w:color w:val="231F20"/>
          <w:spacing w:val="-11"/>
          <w:w w:val="105"/>
        </w:rPr>
        <w:t> </w:t>
      </w:r>
      <w:r>
        <w:rPr>
          <w:color w:val="231F20"/>
          <w:w w:val="105"/>
        </w:rPr>
        <w:t>de</w:t>
      </w:r>
      <w:r>
        <w:rPr>
          <w:color w:val="231F20"/>
          <w:spacing w:val="-11"/>
          <w:w w:val="105"/>
        </w:rPr>
        <w:t> </w:t>
      </w:r>
      <w:r>
        <w:rPr>
          <w:color w:val="231F20"/>
          <w:w w:val="105"/>
        </w:rPr>
        <w:t>puntos</w:t>
      </w:r>
      <w:r>
        <w:rPr>
          <w:color w:val="231F20"/>
          <w:spacing w:val="-11"/>
          <w:w w:val="105"/>
        </w:rPr>
        <w:t> </w:t>
      </w:r>
      <w:r>
        <w:rPr>
          <w:color w:val="231F20"/>
          <w:w w:val="105"/>
        </w:rPr>
        <w:t>de</w:t>
      </w:r>
      <w:r>
        <w:rPr>
          <w:color w:val="231F20"/>
          <w:spacing w:val="-11"/>
          <w:w w:val="105"/>
        </w:rPr>
        <w:t> </w:t>
      </w:r>
      <w:r>
        <w:rPr>
          <w:color w:val="231F20"/>
          <w:w w:val="105"/>
        </w:rPr>
        <w:t>vista:</w:t>
      </w:r>
      <w:r>
        <w:rPr>
          <w:color w:val="231F20"/>
          <w:spacing w:val="-11"/>
          <w:w w:val="105"/>
        </w:rPr>
        <w:t> </w:t>
      </w:r>
      <w:r>
        <w:rPr>
          <w:color w:val="231F20"/>
          <w:w w:val="105"/>
        </w:rPr>
        <w:t>se</w:t>
      </w:r>
      <w:r>
        <w:rPr>
          <w:color w:val="231F20"/>
          <w:spacing w:val="-11"/>
          <w:w w:val="105"/>
        </w:rPr>
        <w:t> </w:t>
      </w:r>
      <w:r>
        <w:rPr>
          <w:color w:val="231F20"/>
          <w:w w:val="105"/>
        </w:rPr>
        <w:t>buscan</w:t>
      </w:r>
      <w:r>
        <w:rPr>
          <w:color w:val="231F20"/>
          <w:spacing w:val="-11"/>
          <w:w w:val="105"/>
        </w:rPr>
        <w:t> </w:t>
      </w:r>
      <w:r>
        <w:rPr>
          <w:color w:val="231F20"/>
          <w:w w:val="105"/>
        </w:rPr>
        <w:t>factores,</w:t>
      </w:r>
      <w:r>
        <w:rPr>
          <w:color w:val="231F20"/>
          <w:spacing w:val="-16"/>
          <w:w w:val="105"/>
        </w:rPr>
        <w:t> </w:t>
      </w:r>
      <w:r>
        <w:rPr>
          <w:color w:val="231F20"/>
          <w:w w:val="105"/>
        </w:rPr>
        <w:t>métodos</w:t>
      </w:r>
      <w:r>
        <w:rPr>
          <w:color w:val="231F20"/>
          <w:spacing w:val="-11"/>
          <w:w w:val="105"/>
        </w:rPr>
        <w:t> </w:t>
      </w:r>
      <w:r>
        <w:rPr>
          <w:color w:val="231F20"/>
          <w:w w:val="105"/>
        </w:rPr>
        <w:t>o</w:t>
      </w:r>
      <w:r>
        <w:rPr>
          <w:color w:val="231F20"/>
          <w:spacing w:val="-11"/>
          <w:w w:val="105"/>
        </w:rPr>
        <w:t> </w:t>
      </w:r>
      <w:r>
        <w:rPr>
          <w:color w:val="231F20"/>
          <w:w w:val="105"/>
        </w:rPr>
        <w:t>lenguajes</w:t>
      </w:r>
      <w:r>
        <w:rPr>
          <w:color w:val="231F20"/>
          <w:spacing w:val="-11"/>
          <w:w w:val="105"/>
        </w:rPr>
        <w:t> </w:t>
      </w:r>
      <w:r>
        <w:rPr>
          <w:color w:val="231F20"/>
          <w:w w:val="105"/>
        </w:rPr>
        <w:t>comu- nes alrededor de un objeto de estudio (Fernández, 2009; Martínez, 1997), llegándose a conformar una comunidad científica con antece- dentes</w:t>
      </w:r>
      <w:r>
        <w:rPr>
          <w:color w:val="231F20"/>
          <w:spacing w:val="-8"/>
          <w:w w:val="105"/>
        </w:rPr>
        <w:t> </w:t>
      </w:r>
      <w:r>
        <w:rPr>
          <w:color w:val="231F20"/>
          <w:w w:val="105"/>
        </w:rPr>
        <w:t>disciplinarios</w:t>
      </w:r>
      <w:r>
        <w:rPr>
          <w:color w:val="231F20"/>
          <w:spacing w:val="-8"/>
          <w:w w:val="105"/>
        </w:rPr>
        <w:t> </w:t>
      </w:r>
      <w:r>
        <w:rPr>
          <w:color w:val="231F20"/>
          <w:w w:val="105"/>
        </w:rPr>
        <w:t>diferentes,</w:t>
      </w:r>
      <w:r>
        <w:rPr>
          <w:color w:val="231F20"/>
          <w:spacing w:val="-14"/>
          <w:w w:val="105"/>
        </w:rPr>
        <w:t> </w:t>
      </w:r>
      <w:r>
        <w:rPr>
          <w:color w:val="231F20"/>
          <w:w w:val="105"/>
        </w:rPr>
        <w:t>pero</w:t>
      </w:r>
      <w:r>
        <w:rPr>
          <w:color w:val="231F20"/>
          <w:spacing w:val="-8"/>
          <w:w w:val="105"/>
        </w:rPr>
        <w:t> </w:t>
      </w:r>
      <w:r>
        <w:rPr>
          <w:color w:val="231F20"/>
          <w:w w:val="105"/>
        </w:rPr>
        <w:t>con</w:t>
      </w:r>
      <w:r>
        <w:rPr>
          <w:color w:val="231F20"/>
          <w:spacing w:val="-8"/>
          <w:w w:val="105"/>
        </w:rPr>
        <w:t> </w:t>
      </w:r>
      <w:r>
        <w:rPr>
          <w:color w:val="231F20"/>
          <w:w w:val="105"/>
        </w:rPr>
        <w:t>cierta</w:t>
      </w:r>
      <w:r>
        <w:rPr>
          <w:color w:val="231F20"/>
          <w:spacing w:val="-8"/>
          <w:w w:val="105"/>
        </w:rPr>
        <w:t> </w:t>
      </w:r>
      <w:r>
        <w:rPr>
          <w:color w:val="231F20"/>
          <w:w w:val="105"/>
        </w:rPr>
        <w:t>unidad,</w:t>
      </w:r>
      <w:r>
        <w:rPr>
          <w:color w:val="231F20"/>
          <w:spacing w:val="-14"/>
          <w:w w:val="105"/>
        </w:rPr>
        <w:t> </w:t>
      </w:r>
      <w:r>
        <w:rPr>
          <w:color w:val="231F20"/>
          <w:w w:val="105"/>
        </w:rPr>
        <w:t>relaciones</w:t>
      </w:r>
      <w:r>
        <w:rPr>
          <w:color w:val="231F20"/>
          <w:spacing w:val="-8"/>
          <w:w w:val="105"/>
        </w:rPr>
        <w:t> </w:t>
      </w:r>
      <w:r>
        <w:rPr>
          <w:color w:val="231F20"/>
          <w:w w:val="105"/>
        </w:rPr>
        <w:t>y</w:t>
      </w:r>
      <w:r>
        <w:rPr>
          <w:color w:val="231F20"/>
          <w:spacing w:val="-8"/>
          <w:w w:val="105"/>
        </w:rPr>
        <w:t> </w:t>
      </w:r>
      <w:r>
        <w:rPr>
          <w:color w:val="231F20"/>
          <w:w w:val="105"/>
        </w:rPr>
        <w:t>ac- ciones</w:t>
      </w:r>
      <w:r>
        <w:rPr>
          <w:color w:val="231F20"/>
          <w:spacing w:val="-38"/>
          <w:w w:val="105"/>
        </w:rPr>
        <w:t> </w:t>
      </w:r>
      <w:r>
        <w:rPr>
          <w:color w:val="231F20"/>
          <w:w w:val="105"/>
        </w:rPr>
        <w:t>recíprocas</w:t>
      </w:r>
      <w:r>
        <w:rPr>
          <w:color w:val="231F20"/>
          <w:spacing w:val="-38"/>
          <w:w w:val="105"/>
        </w:rPr>
        <w:t> </w:t>
      </w:r>
      <w:r>
        <w:rPr>
          <w:color w:val="231F20"/>
          <w:w w:val="105"/>
        </w:rPr>
        <w:t>(Kuhn,</w:t>
      </w:r>
      <w:r>
        <w:rPr>
          <w:color w:val="231F20"/>
          <w:spacing w:val="-41"/>
          <w:w w:val="105"/>
        </w:rPr>
        <w:t> </w:t>
      </w:r>
      <w:r>
        <w:rPr>
          <w:color w:val="231F20"/>
          <w:w w:val="105"/>
        </w:rPr>
        <w:t>1995).</w:t>
      </w:r>
    </w:p>
    <w:p>
      <w:pPr>
        <w:pStyle w:val="BodyText"/>
        <w:spacing w:line="259" w:lineRule="auto"/>
        <w:ind w:left="117" w:right="121" w:firstLine="567"/>
        <w:jc w:val="both"/>
      </w:pPr>
      <w:r>
        <w:rPr>
          <w:color w:val="231F20"/>
          <w:w w:val="105"/>
        </w:rPr>
        <w:t>Así,</w:t>
      </w:r>
      <w:r>
        <w:rPr>
          <w:color w:val="231F20"/>
          <w:spacing w:val="-14"/>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texto</w:t>
      </w:r>
      <w:r>
        <w:rPr>
          <w:color w:val="231F20"/>
          <w:spacing w:val="-8"/>
          <w:w w:val="105"/>
        </w:rPr>
        <w:t> </w:t>
      </w:r>
      <w:r>
        <w:rPr>
          <w:color w:val="231F20"/>
          <w:w w:val="105"/>
        </w:rPr>
        <w:t>el</w:t>
      </w:r>
      <w:r>
        <w:rPr>
          <w:color w:val="231F20"/>
          <w:spacing w:val="-8"/>
          <w:w w:val="105"/>
        </w:rPr>
        <w:t> </w:t>
      </w:r>
      <w:r>
        <w:rPr>
          <w:color w:val="231F20"/>
          <w:w w:val="105"/>
        </w:rPr>
        <w:t>objeto</w:t>
      </w:r>
      <w:r>
        <w:rPr>
          <w:color w:val="231F20"/>
          <w:spacing w:val="-8"/>
          <w:w w:val="105"/>
        </w:rPr>
        <w:t> </w:t>
      </w:r>
      <w:r>
        <w:rPr>
          <w:color w:val="231F20"/>
          <w:w w:val="105"/>
        </w:rPr>
        <w:t>de</w:t>
      </w:r>
      <w:r>
        <w:rPr>
          <w:color w:val="231F20"/>
          <w:spacing w:val="-8"/>
          <w:w w:val="105"/>
        </w:rPr>
        <w:t> </w:t>
      </w:r>
      <w:r>
        <w:rPr>
          <w:color w:val="231F20"/>
          <w:w w:val="105"/>
        </w:rPr>
        <w:t>estudio</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funcionamiento</w:t>
      </w:r>
      <w:r>
        <w:rPr>
          <w:color w:val="231F20"/>
          <w:spacing w:val="-8"/>
          <w:w w:val="105"/>
        </w:rPr>
        <w:t> </w:t>
      </w:r>
      <w:r>
        <w:rPr>
          <w:color w:val="231F20"/>
          <w:w w:val="105"/>
        </w:rPr>
        <w:t>e</w:t>
      </w:r>
      <w:r>
        <w:rPr>
          <w:color w:val="231F20"/>
          <w:spacing w:val="-8"/>
          <w:w w:val="105"/>
        </w:rPr>
        <w:t> </w:t>
      </w:r>
      <w:r>
        <w:rPr>
          <w:color w:val="231F20"/>
          <w:w w:val="105"/>
        </w:rPr>
        <w:t>inte- racción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organizaciones,</w:t>
      </w:r>
      <w:r>
        <w:rPr>
          <w:color w:val="231F20"/>
          <w:spacing w:val="-15"/>
          <w:w w:val="105"/>
        </w:rPr>
        <w:t> </w:t>
      </w:r>
      <w:r>
        <w:rPr>
          <w:color w:val="231F20"/>
          <w:w w:val="105"/>
        </w:rPr>
        <w:t>como</w:t>
      </w:r>
      <w:r>
        <w:rPr>
          <w:color w:val="231F20"/>
          <w:spacing w:val="-10"/>
          <w:w w:val="105"/>
        </w:rPr>
        <w:t> </w:t>
      </w:r>
      <w:r>
        <w:rPr>
          <w:color w:val="231F20"/>
          <w:w w:val="105"/>
        </w:rPr>
        <w:t>integrantes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sectores</w:t>
      </w:r>
      <w:r>
        <w:rPr>
          <w:color w:val="231F20"/>
          <w:spacing w:val="-10"/>
          <w:w w:val="105"/>
        </w:rPr>
        <w:t> </w:t>
      </w:r>
      <w:r>
        <w:rPr>
          <w:color w:val="231F20"/>
          <w:w w:val="105"/>
        </w:rPr>
        <w:t>econó- micos,</w:t>
      </w:r>
      <w:r>
        <w:rPr>
          <w:color w:val="231F20"/>
          <w:spacing w:val="-16"/>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mercados</w:t>
      </w:r>
      <w:r>
        <w:rPr>
          <w:color w:val="231F20"/>
          <w:spacing w:val="-12"/>
          <w:w w:val="105"/>
        </w:rPr>
        <w:t> </w:t>
      </w:r>
      <w:r>
        <w:rPr>
          <w:color w:val="231F20"/>
          <w:w w:val="105"/>
        </w:rPr>
        <w:t>locales</w:t>
      </w:r>
      <w:r>
        <w:rPr>
          <w:color w:val="231F20"/>
          <w:spacing w:val="-12"/>
          <w:w w:val="105"/>
        </w:rPr>
        <w:t> </w:t>
      </w:r>
      <w:r>
        <w:rPr>
          <w:color w:val="231F20"/>
          <w:w w:val="105"/>
        </w:rPr>
        <w:t>y</w:t>
      </w:r>
      <w:r>
        <w:rPr>
          <w:color w:val="231F20"/>
          <w:spacing w:val="-12"/>
          <w:w w:val="105"/>
        </w:rPr>
        <w:t> </w:t>
      </w:r>
      <w:r>
        <w:rPr>
          <w:color w:val="231F20"/>
          <w:w w:val="105"/>
        </w:rPr>
        <w:t>globales.</w:t>
      </w:r>
      <w:r>
        <w:rPr>
          <w:color w:val="231F20"/>
          <w:spacing w:val="-16"/>
          <w:w w:val="105"/>
        </w:rPr>
        <w:t> </w:t>
      </w:r>
      <w:r>
        <w:rPr>
          <w:color w:val="231F20"/>
          <w:w w:val="105"/>
        </w:rPr>
        <w:t>La</w:t>
      </w:r>
      <w:r>
        <w:rPr>
          <w:color w:val="231F20"/>
          <w:spacing w:val="-12"/>
          <w:w w:val="105"/>
        </w:rPr>
        <w:t> </w:t>
      </w:r>
      <w:r>
        <w:rPr>
          <w:color w:val="231F20"/>
          <w:w w:val="105"/>
        </w:rPr>
        <w:t>comunidad</w:t>
      </w:r>
      <w:r>
        <w:rPr>
          <w:color w:val="231F20"/>
          <w:spacing w:val="-12"/>
          <w:w w:val="105"/>
        </w:rPr>
        <w:t> </w:t>
      </w:r>
      <w:r>
        <w:rPr>
          <w:color w:val="231F20"/>
          <w:w w:val="105"/>
        </w:rPr>
        <w:t>científica</w:t>
      </w:r>
      <w:r>
        <w:rPr>
          <w:color w:val="231F20"/>
          <w:spacing w:val="-12"/>
          <w:w w:val="105"/>
        </w:rPr>
        <w:t> </w:t>
      </w:r>
      <w:r>
        <w:rPr>
          <w:color w:val="231F20"/>
          <w:w w:val="105"/>
        </w:rPr>
        <w:t>está conformada por investigadores y egresados del Doctorado en</w:t>
      </w:r>
      <w:r>
        <w:rPr>
          <w:color w:val="231F20"/>
          <w:spacing w:val="-27"/>
          <w:w w:val="105"/>
        </w:rPr>
        <w:t> </w:t>
      </w:r>
      <w:r>
        <w:rPr>
          <w:color w:val="231F20"/>
          <w:w w:val="105"/>
        </w:rPr>
        <w:t>Ciencias Económico-Administrativas,</w:t>
      </w:r>
      <w:r>
        <w:rPr>
          <w:color w:val="231F20"/>
          <w:spacing w:val="-12"/>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nace</w:t>
      </w:r>
      <w:r>
        <w:rPr>
          <w:color w:val="231F20"/>
          <w:spacing w:val="-8"/>
          <w:w w:val="105"/>
        </w:rPr>
        <w:t> </w:t>
      </w:r>
      <w:r>
        <w:rPr>
          <w:color w:val="231F20"/>
          <w:w w:val="105"/>
        </w:rPr>
        <w:t>en</w:t>
      </w:r>
      <w:r>
        <w:rPr>
          <w:color w:val="231F20"/>
          <w:spacing w:val="-8"/>
          <w:w w:val="105"/>
        </w:rPr>
        <w:t> </w:t>
      </w:r>
      <w:r>
        <w:rPr>
          <w:color w:val="231F20"/>
          <w:w w:val="105"/>
        </w:rPr>
        <w:t>2006</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11"/>
          <w:w w:val="105"/>
        </w:rPr>
        <w:t> </w:t>
      </w:r>
      <w:r>
        <w:rPr>
          <w:color w:val="231F20"/>
          <w:w w:val="105"/>
        </w:rPr>
        <w:t>Au- tónoma</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3"/>
          <w:w w:val="105"/>
        </w:rPr>
        <w:t> </w:t>
      </w:r>
      <w:r>
        <w:rPr>
          <w:color w:val="231F20"/>
          <w:w w:val="105"/>
        </w:rPr>
        <w:t>México,</w:t>
      </w:r>
      <w:r>
        <w:rPr>
          <w:color w:val="231F20"/>
          <w:spacing w:val="-20"/>
          <w:w w:val="105"/>
        </w:rPr>
        <w:t> </w:t>
      </w:r>
      <w:r>
        <w:rPr>
          <w:color w:val="231F20"/>
          <w:w w:val="105"/>
        </w:rPr>
        <w:t>a</w:t>
      </w:r>
      <w:r>
        <w:rPr>
          <w:color w:val="231F20"/>
          <w:spacing w:val="-13"/>
          <w:w w:val="105"/>
        </w:rPr>
        <w:t> </w:t>
      </w:r>
      <w:r>
        <w:rPr>
          <w:color w:val="231F20"/>
          <w:w w:val="105"/>
        </w:rPr>
        <w:t>cargo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de</w:t>
      </w:r>
      <w:r>
        <w:rPr>
          <w:color w:val="231F20"/>
          <w:spacing w:val="-13"/>
          <w:w w:val="105"/>
        </w:rPr>
        <w:t> </w:t>
      </w:r>
      <w:r>
        <w:rPr>
          <w:color w:val="231F20"/>
          <w:w w:val="105"/>
        </w:rPr>
        <w:t>Educación </w:t>
      </w:r>
      <w:r>
        <w:rPr>
          <w:color w:val="231F20"/>
        </w:rPr>
        <w:t>Superior  (DES)</w:t>
      </w:r>
      <w:r>
        <w:rPr>
          <w:color w:val="231F20"/>
          <w:spacing w:val="1"/>
        </w:rPr>
        <w:t> </w:t>
      </w:r>
      <w:r>
        <w:rPr>
          <w:color w:val="231F20"/>
        </w:rPr>
        <w:t>Económico-Administrativa.</w:t>
      </w:r>
    </w:p>
    <w:p>
      <w:pPr>
        <w:pStyle w:val="BodyText"/>
        <w:rPr>
          <w:sz w:val="20"/>
        </w:rPr>
      </w:pPr>
    </w:p>
    <w:p>
      <w:pPr>
        <w:pStyle w:val="BodyText"/>
        <w:spacing w:before="7"/>
        <w:rPr>
          <w:sz w:val="18"/>
        </w:rPr>
      </w:pPr>
    </w:p>
    <w:p>
      <w:pPr>
        <w:pStyle w:val="Heading2"/>
      </w:pPr>
      <w:r>
        <w:rPr>
          <w:color w:val="231F20"/>
          <w:w w:val="95"/>
        </w:rPr>
        <w:t>Sobre los estudios económico-administrativos</w:t>
      </w:r>
    </w:p>
    <w:p>
      <w:pPr>
        <w:pStyle w:val="BodyText"/>
        <w:rPr>
          <w:b/>
          <w:sz w:val="22"/>
        </w:rPr>
      </w:pPr>
    </w:p>
    <w:p>
      <w:pPr>
        <w:pStyle w:val="BodyText"/>
        <w:spacing w:line="259" w:lineRule="auto" w:before="160"/>
        <w:ind w:left="117" w:right="121"/>
        <w:jc w:val="both"/>
      </w:pPr>
      <w:r>
        <w:rPr>
          <w:color w:val="231F20"/>
          <w:w w:val="105"/>
        </w:rPr>
        <w:t>La</w:t>
      </w:r>
      <w:r>
        <w:rPr>
          <w:color w:val="231F20"/>
          <w:spacing w:val="-38"/>
          <w:w w:val="105"/>
        </w:rPr>
        <w:t> </w:t>
      </w:r>
      <w:r>
        <w:rPr>
          <w:color w:val="231F20"/>
          <w:w w:val="105"/>
        </w:rPr>
        <w:t>economía</w:t>
      </w:r>
      <w:r>
        <w:rPr>
          <w:color w:val="231F20"/>
          <w:spacing w:val="-38"/>
          <w:w w:val="105"/>
        </w:rPr>
        <w:t> </w:t>
      </w:r>
      <w:r>
        <w:rPr>
          <w:color w:val="231F20"/>
          <w:w w:val="105"/>
        </w:rPr>
        <w:t>y</w:t>
      </w:r>
      <w:r>
        <w:rPr>
          <w:color w:val="231F20"/>
          <w:spacing w:val="-38"/>
          <w:w w:val="105"/>
        </w:rPr>
        <w:t> </w:t>
      </w:r>
      <w:r>
        <w:rPr>
          <w:color w:val="231F20"/>
          <w:w w:val="105"/>
        </w:rPr>
        <w:t>la</w:t>
      </w:r>
      <w:r>
        <w:rPr>
          <w:color w:val="231F20"/>
          <w:spacing w:val="-38"/>
          <w:w w:val="105"/>
        </w:rPr>
        <w:t> </w:t>
      </w:r>
      <w:r>
        <w:rPr>
          <w:color w:val="231F20"/>
          <w:w w:val="105"/>
        </w:rPr>
        <w:t>administración</w:t>
      </w:r>
      <w:r>
        <w:rPr>
          <w:color w:val="231F20"/>
          <w:spacing w:val="-38"/>
          <w:w w:val="105"/>
        </w:rPr>
        <w:t> </w:t>
      </w:r>
      <w:r>
        <w:rPr>
          <w:color w:val="231F20"/>
          <w:w w:val="105"/>
        </w:rPr>
        <w:t>están</w:t>
      </w:r>
      <w:r>
        <w:rPr>
          <w:color w:val="231F20"/>
          <w:spacing w:val="-38"/>
          <w:w w:val="105"/>
        </w:rPr>
        <w:t> </w:t>
      </w:r>
      <w:r>
        <w:rPr>
          <w:color w:val="231F20"/>
          <w:w w:val="105"/>
        </w:rPr>
        <w:t>inmersas</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w w:val="105"/>
        </w:rPr>
        <w:t>universo</w:t>
      </w:r>
      <w:r>
        <w:rPr>
          <w:color w:val="231F20"/>
          <w:spacing w:val="-38"/>
          <w:w w:val="105"/>
        </w:rPr>
        <w:t> </w:t>
      </w:r>
      <w:r>
        <w:rPr>
          <w:color w:val="231F20"/>
          <w:w w:val="105"/>
        </w:rPr>
        <w:t>de</w:t>
      </w:r>
      <w:r>
        <w:rPr>
          <w:color w:val="231F20"/>
          <w:spacing w:val="-38"/>
          <w:w w:val="105"/>
        </w:rPr>
        <w:t> </w:t>
      </w:r>
      <w:r>
        <w:rPr>
          <w:color w:val="231F20"/>
          <w:w w:val="105"/>
        </w:rPr>
        <w:t>las</w:t>
      </w:r>
      <w:r>
        <w:rPr>
          <w:color w:val="231F20"/>
          <w:spacing w:val="-38"/>
          <w:w w:val="105"/>
        </w:rPr>
        <w:t> </w:t>
      </w:r>
      <w:r>
        <w:rPr>
          <w:color w:val="231F20"/>
          <w:w w:val="105"/>
        </w:rPr>
        <w:t>cien- cias</w:t>
      </w:r>
      <w:r>
        <w:rPr>
          <w:color w:val="231F20"/>
          <w:spacing w:val="-25"/>
          <w:w w:val="105"/>
        </w:rPr>
        <w:t> </w:t>
      </w:r>
      <w:r>
        <w:rPr>
          <w:color w:val="231F20"/>
          <w:w w:val="105"/>
        </w:rPr>
        <w:t>sociales,</w:t>
      </w:r>
      <w:r>
        <w:rPr>
          <w:color w:val="231F20"/>
          <w:spacing w:val="8"/>
          <w:w w:val="105"/>
        </w:rPr>
        <w:t> </w:t>
      </w:r>
      <w:r>
        <w:rPr>
          <w:color w:val="231F20"/>
          <w:spacing w:val="-3"/>
          <w:w w:val="105"/>
        </w:rPr>
        <w:t>áreas</w:t>
      </w:r>
      <w:r>
        <w:rPr>
          <w:color w:val="231F20"/>
          <w:spacing w:val="-25"/>
          <w:w w:val="105"/>
        </w:rPr>
        <w:t> </w:t>
      </w:r>
      <w:r>
        <w:rPr>
          <w:color w:val="231F20"/>
          <w:w w:val="105"/>
        </w:rPr>
        <w:t>del</w:t>
      </w:r>
      <w:r>
        <w:rPr>
          <w:color w:val="231F20"/>
          <w:spacing w:val="-25"/>
          <w:w w:val="105"/>
        </w:rPr>
        <w:t> </w:t>
      </w:r>
      <w:r>
        <w:rPr>
          <w:color w:val="231F20"/>
          <w:w w:val="105"/>
        </w:rPr>
        <w:t>conocimiento</w:t>
      </w:r>
      <w:r>
        <w:rPr>
          <w:color w:val="231F20"/>
          <w:spacing w:val="-25"/>
          <w:w w:val="105"/>
        </w:rPr>
        <w:t> </w:t>
      </w:r>
      <w:r>
        <w:rPr>
          <w:color w:val="231F20"/>
          <w:w w:val="105"/>
        </w:rPr>
        <w:t>que</w:t>
      </w:r>
      <w:r>
        <w:rPr>
          <w:color w:val="231F20"/>
          <w:spacing w:val="-25"/>
          <w:w w:val="105"/>
        </w:rPr>
        <w:t> </w:t>
      </w:r>
      <w:r>
        <w:rPr>
          <w:color w:val="231F20"/>
          <w:spacing w:val="-3"/>
          <w:w w:val="105"/>
        </w:rPr>
        <w:t>comprenden</w:t>
      </w:r>
      <w:r>
        <w:rPr>
          <w:color w:val="231F20"/>
          <w:spacing w:val="-25"/>
          <w:w w:val="105"/>
        </w:rPr>
        <w:t> </w:t>
      </w:r>
      <w:r>
        <w:rPr>
          <w:color w:val="231F20"/>
          <w:w w:val="105"/>
        </w:rPr>
        <w:t>dominios</w:t>
      </w:r>
      <w:r>
        <w:rPr>
          <w:color w:val="231F20"/>
          <w:spacing w:val="-25"/>
          <w:w w:val="105"/>
        </w:rPr>
        <w:t> </w:t>
      </w:r>
      <w:r>
        <w:rPr>
          <w:color w:val="231F20"/>
          <w:spacing w:val="-3"/>
          <w:w w:val="105"/>
        </w:rPr>
        <w:t>diferen- </w:t>
      </w:r>
      <w:r>
        <w:rPr>
          <w:color w:val="231F20"/>
          <w:w w:val="105"/>
        </w:rPr>
        <w:t>tes, </w:t>
      </w:r>
      <w:r>
        <w:rPr>
          <w:color w:val="231F20"/>
          <w:spacing w:val="-3"/>
          <w:w w:val="105"/>
        </w:rPr>
        <w:t>pero </w:t>
      </w:r>
      <w:r>
        <w:rPr>
          <w:color w:val="231F20"/>
          <w:w w:val="105"/>
        </w:rPr>
        <w:t>también </w:t>
      </w:r>
      <w:r>
        <w:rPr>
          <w:color w:val="231F20"/>
          <w:spacing w:val="-3"/>
          <w:w w:val="105"/>
        </w:rPr>
        <w:t>convergen </w:t>
      </w:r>
      <w:r>
        <w:rPr>
          <w:color w:val="231F20"/>
          <w:w w:val="105"/>
        </w:rPr>
        <w:t>y se intersectan en un objeto de estudio: las</w:t>
      </w:r>
      <w:r>
        <w:rPr>
          <w:color w:val="231F20"/>
          <w:spacing w:val="-19"/>
          <w:w w:val="105"/>
        </w:rPr>
        <w:t> </w:t>
      </w:r>
      <w:r>
        <w:rPr>
          <w:color w:val="231F20"/>
          <w:spacing w:val="-3"/>
          <w:w w:val="105"/>
        </w:rPr>
        <w:t>organizacienones</w:t>
      </w:r>
      <w:r>
        <w:rPr>
          <w:color w:val="231F20"/>
          <w:spacing w:val="-19"/>
          <w:w w:val="105"/>
        </w:rPr>
        <w:t> </w:t>
      </w:r>
      <w:r>
        <w:rPr>
          <w:color w:val="231F20"/>
          <w:w w:val="105"/>
        </w:rPr>
        <w:t>y</w:t>
      </w:r>
      <w:r>
        <w:rPr>
          <w:color w:val="231F20"/>
          <w:spacing w:val="-19"/>
          <w:w w:val="105"/>
        </w:rPr>
        <w:t> </w:t>
      </w:r>
      <w:r>
        <w:rPr>
          <w:color w:val="231F20"/>
          <w:w w:val="105"/>
        </w:rPr>
        <w:t>sus</w:t>
      </w:r>
      <w:r>
        <w:rPr>
          <w:color w:val="231F20"/>
          <w:spacing w:val="-19"/>
          <w:w w:val="105"/>
        </w:rPr>
        <w:t> </w:t>
      </w:r>
      <w:r>
        <w:rPr>
          <w:color w:val="231F20"/>
          <w:spacing w:val="-3"/>
          <w:w w:val="105"/>
        </w:rPr>
        <w:t>agregados</w:t>
      </w:r>
      <w:r>
        <w:rPr>
          <w:color w:val="231F20"/>
          <w:spacing w:val="-19"/>
          <w:w w:val="105"/>
        </w:rPr>
        <w:t> </w:t>
      </w:r>
      <w:r>
        <w:rPr>
          <w:color w:val="231F20"/>
          <w:w w:val="105"/>
        </w:rPr>
        <w:t>(industrias</w:t>
      </w:r>
      <w:r>
        <w:rPr>
          <w:color w:val="231F20"/>
          <w:spacing w:val="-19"/>
          <w:w w:val="105"/>
        </w:rPr>
        <w:t> </w:t>
      </w:r>
      <w:r>
        <w:rPr>
          <w:color w:val="231F20"/>
          <w:w w:val="105"/>
        </w:rPr>
        <w:t>o</w:t>
      </w:r>
      <w:r>
        <w:rPr>
          <w:color w:val="231F20"/>
          <w:spacing w:val="-19"/>
          <w:w w:val="105"/>
        </w:rPr>
        <w:t> </w:t>
      </w:r>
      <w:r>
        <w:rPr>
          <w:color w:val="231F20"/>
          <w:spacing w:val="-3"/>
          <w:w w:val="105"/>
        </w:rPr>
        <w:t>sectores).</w:t>
      </w:r>
      <w:r>
        <w:rPr>
          <w:color w:val="231F20"/>
          <w:spacing w:val="-24"/>
          <w:w w:val="105"/>
        </w:rPr>
        <w:t> </w:t>
      </w:r>
      <w:r>
        <w:rPr>
          <w:color w:val="231F20"/>
          <w:w w:val="105"/>
        </w:rPr>
        <w:t>Desde</w:t>
      </w:r>
      <w:r>
        <w:rPr>
          <w:color w:val="231F20"/>
          <w:spacing w:val="-19"/>
          <w:w w:val="105"/>
        </w:rPr>
        <w:t> </w:t>
      </w:r>
      <w:r>
        <w:rPr>
          <w:color w:val="231F20"/>
          <w:spacing w:val="-2"/>
          <w:w w:val="105"/>
        </w:rPr>
        <w:t>una </w:t>
      </w:r>
      <w:r>
        <w:rPr>
          <w:color w:val="231F20"/>
          <w:w w:val="105"/>
        </w:rPr>
        <w:t>perspectiva</w:t>
      </w:r>
      <w:r>
        <w:rPr>
          <w:color w:val="231F20"/>
          <w:spacing w:val="-44"/>
          <w:w w:val="105"/>
        </w:rPr>
        <w:t> </w:t>
      </w:r>
      <w:r>
        <w:rPr>
          <w:color w:val="231F20"/>
          <w:w w:val="105"/>
        </w:rPr>
        <w:t>social,</w:t>
      </w:r>
      <w:r>
        <w:rPr>
          <w:color w:val="231F20"/>
          <w:spacing w:val="-48"/>
          <w:w w:val="105"/>
        </w:rPr>
        <w:t> </w:t>
      </w:r>
      <w:r>
        <w:rPr>
          <w:color w:val="231F20"/>
          <w:w w:val="105"/>
        </w:rPr>
        <w:t>los</w:t>
      </w:r>
      <w:r>
        <w:rPr>
          <w:color w:val="231F20"/>
          <w:spacing w:val="-44"/>
          <w:w w:val="105"/>
        </w:rPr>
        <w:t> </w:t>
      </w:r>
      <w:r>
        <w:rPr>
          <w:color w:val="231F20"/>
          <w:w w:val="105"/>
        </w:rPr>
        <w:t>estudios</w:t>
      </w:r>
      <w:r>
        <w:rPr>
          <w:color w:val="231F20"/>
          <w:spacing w:val="-44"/>
          <w:w w:val="105"/>
        </w:rPr>
        <w:t> </w:t>
      </w:r>
      <w:r>
        <w:rPr>
          <w:color w:val="231F20"/>
          <w:spacing w:val="-3"/>
          <w:w w:val="105"/>
        </w:rPr>
        <w:t>económico-administrativos</w:t>
      </w:r>
      <w:r>
        <w:rPr>
          <w:color w:val="231F20"/>
          <w:spacing w:val="-44"/>
          <w:w w:val="105"/>
        </w:rPr>
        <w:t> </w:t>
      </w:r>
      <w:r>
        <w:rPr>
          <w:color w:val="231F20"/>
          <w:w w:val="105"/>
        </w:rPr>
        <w:t>informan</w:t>
      </w:r>
      <w:r>
        <w:rPr>
          <w:color w:val="231F20"/>
          <w:spacing w:val="-44"/>
          <w:w w:val="105"/>
        </w:rPr>
        <w:t> </w:t>
      </w:r>
      <w:r>
        <w:rPr>
          <w:color w:val="231F20"/>
          <w:spacing w:val="-3"/>
          <w:w w:val="105"/>
        </w:rPr>
        <w:t>sobre </w:t>
      </w:r>
      <w:r>
        <w:rPr>
          <w:color w:val="231F20"/>
          <w:w w:val="105"/>
        </w:rPr>
        <w:t>cómo</w:t>
      </w:r>
      <w:r>
        <w:rPr>
          <w:color w:val="231F20"/>
          <w:spacing w:val="-15"/>
          <w:w w:val="105"/>
        </w:rPr>
        <w:t> </w:t>
      </w:r>
      <w:r>
        <w:rPr>
          <w:color w:val="231F20"/>
          <w:w w:val="105"/>
        </w:rPr>
        <w:t>hacer</w:t>
      </w:r>
      <w:r>
        <w:rPr>
          <w:color w:val="231F20"/>
          <w:spacing w:val="-15"/>
          <w:w w:val="105"/>
        </w:rPr>
        <w:t> </w:t>
      </w:r>
      <w:r>
        <w:rPr>
          <w:color w:val="231F20"/>
          <w:w w:val="105"/>
        </w:rPr>
        <w:t>eficientes</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spacing w:val="-3"/>
          <w:w w:val="105"/>
        </w:rPr>
        <w:t>organizaciones</w:t>
      </w:r>
      <w:r>
        <w:rPr>
          <w:color w:val="231F20"/>
          <w:spacing w:val="-15"/>
          <w:w w:val="105"/>
        </w:rPr>
        <w:t> </w:t>
      </w:r>
      <w:r>
        <w:rPr>
          <w:color w:val="231F20"/>
          <w:w w:val="105"/>
        </w:rPr>
        <w:t>y</w:t>
      </w:r>
      <w:r>
        <w:rPr>
          <w:color w:val="231F20"/>
          <w:spacing w:val="-15"/>
          <w:w w:val="105"/>
        </w:rPr>
        <w:t> </w:t>
      </w:r>
      <w:r>
        <w:rPr>
          <w:color w:val="231F20"/>
          <w:w w:val="105"/>
        </w:rPr>
        <w:t>competitivos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spacing w:val="-3"/>
          <w:w w:val="105"/>
        </w:rPr>
        <w:t>sectores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finalidad</w:t>
      </w:r>
      <w:r>
        <w:rPr>
          <w:color w:val="231F20"/>
          <w:spacing w:val="-19"/>
          <w:w w:val="105"/>
        </w:rPr>
        <w:t> </w:t>
      </w:r>
      <w:r>
        <w:rPr>
          <w:color w:val="231F20"/>
          <w:w w:val="105"/>
        </w:rPr>
        <w:t>de</w:t>
      </w:r>
      <w:r>
        <w:rPr>
          <w:color w:val="231F20"/>
          <w:spacing w:val="-19"/>
          <w:w w:val="105"/>
        </w:rPr>
        <w:t> </w:t>
      </w:r>
      <w:r>
        <w:rPr>
          <w:color w:val="231F20"/>
          <w:w w:val="105"/>
        </w:rPr>
        <w:t>impactar</w:t>
      </w:r>
      <w:r>
        <w:rPr>
          <w:color w:val="231F20"/>
          <w:spacing w:val="-19"/>
          <w:w w:val="105"/>
        </w:rPr>
        <w:t> </w:t>
      </w:r>
      <w:r>
        <w:rPr>
          <w:color w:val="231F20"/>
          <w:w w:val="105"/>
        </w:rPr>
        <w:t>positivamente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justicia</w:t>
      </w:r>
      <w:r>
        <w:rPr>
          <w:color w:val="231F20"/>
          <w:spacing w:val="-19"/>
          <w:w w:val="105"/>
        </w:rPr>
        <w:t> </w:t>
      </w:r>
      <w:r>
        <w:rPr>
          <w:color w:val="231F20"/>
          <w:w w:val="105"/>
        </w:rPr>
        <w:t>social</w:t>
      </w:r>
      <w:r>
        <w:rPr>
          <w:color w:val="231F20"/>
          <w:spacing w:val="-19"/>
          <w:w w:val="105"/>
        </w:rPr>
        <w:t> </w:t>
      </w:r>
      <w:r>
        <w:rPr>
          <w:color w:val="231F20"/>
          <w:w w:val="105"/>
        </w:rPr>
        <w:t>(por</w:t>
      </w:r>
      <w:r>
        <w:rPr>
          <w:color w:val="231F20"/>
          <w:spacing w:val="-19"/>
          <w:w w:val="105"/>
        </w:rPr>
        <w:t> </w:t>
      </w:r>
      <w:r>
        <w:rPr>
          <w:color w:val="231F20"/>
          <w:w w:val="105"/>
        </w:rPr>
        <w:t>ejem-</w:t>
      </w:r>
    </w:p>
    <w:p>
      <w:pPr>
        <w:spacing w:after="0" w:line="259" w:lineRule="auto"/>
        <w:jc w:val="both"/>
        <w:sectPr>
          <w:pgSz w:w="9640" w:h="13890"/>
          <w:pgMar w:top="1300" w:bottom="280" w:left="1300" w:right="1180"/>
        </w:sectPr>
      </w:pPr>
    </w:p>
    <w:p>
      <w:pPr>
        <w:pStyle w:val="BodyText"/>
        <w:spacing w:line="259" w:lineRule="auto" w:before="92"/>
        <w:ind w:left="103" w:right="115"/>
        <w:jc w:val="both"/>
      </w:pPr>
      <w:r>
        <w:rPr>
          <w:color w:val="231F20"/>
          <w:w w:val="105"/>
        </w:rPr>
        <w:t>plo:</w:t>
      </w:r>
      <w:r>
        <w:rPr>
          <w:color w:val="231F20"/>
          <w:spacing w:val="-13"/>
          <w:w w:val="105"/>
        </w:rPr>
        <w:t> </w:t>
      </w:r>
      <w:r>
        <w:rPr>
          <w:color w:val="231F20"/>
          <w:w w:val="105"/>
        </w:rPr>
        <w:t>mediante</w:t>
      </w:r>
      <w:r>
        <w:rPr>
          <w:color w:val="231F20"/>
          <w:spacing w:val="-13"/>
          <w:w w:val="105"/>
        </w:rPr>
        <w:t> </w:t>
      </w:r>
      <w:r>
        <w:rPr>
          <w:color w:val="231F20"/>
          <w:spacing w:val="-3"/>
          <w:w w:val="105"/>
        </w:rPr>
        <w:t>productos</w:t>
      </w:r>
      <w:r>
        <w:rPr>
          <w:color w:val="231F20"/>
          <w:spacing w:val="-13"/>
          <w:w w:val="105"/>
        </w:rPr>
        <w:t> </w:t>
      </w:r>
      <w:r>
        <w:rPr>
          <w:color w:val="231F20"/>
          <w:w w:val="105"/>
        </w:rPr>
        <w:t>de</w:t>
      </w:r>
      <w:r>
        <w:rPr>
          <w:color w:val="231F20"/>
          <w:spacing w:val="-13"/>
          <w:w w:val="105"/>
        </w:rPr>
        <w:t> </w:t>
      </w:r>
      <w:r>
        <w:rPr>
          <w:color w:val="231F20"/>
          <w:w w:val="105"/>
        </w:rPr>
        <w:t>mejor</w:t>
      </w:r>
      <w:r>
        <w:rPr>
          <w:color w:val="231F20"/>
          <w:spacing w:val="-13"/>
          <w:w w:val="105"/>
        </w:rPr>
        <w:t> </w:t>
      </w:r>
      <w:r>
        <w:rPr>
          <w:color w:val="231F20"/>
          <w:w w:val="105"/>
        </w:rPr>
        <w:t>calidad</w:t>
      </w:r>
      <w:r>
        <w:rPr>
          <w:color w:val="231F20"/>
          <w:spacing w:val="-13"/>
          <w:w w:val="105"/>
        </w:rPr>
        <w:t> </w:t>
      </w:r>
      <w:r>
        <w:rPr>
          <w:color w:val="231F20"/>
          <w:w w:val="105"/>
        </w:rPr>
        <w:t>a</w:t>
      </w:r>
      <w:r>
        <w:rPr>
          <w:color w:val="231F20"/>
          <w:spacing w:val="-13"/>
          <w:w w:val="105"/>
        </w:rPr>
        <w:t> </w:t>
      </w:r>
      <w:r>
        <w:rPr>
          <w:color w:val="231F20"/>
          <w:spacing w:val="-3"/>
          <w:w w:val="105"/>
        </w:rPr>
        <w:t>mejores</w:t>
      </w:r>
      <w:r>
        <w:rPr>
          <w:color w:val="231F20"/>
          <w:spacing w:val="-13"/>
          <w:w w:val="105"/>
        </w:rPr>
        <w:t> </w:t>
      </w:r>
      <w:r>
        <w:rPr>
          <w:color w:val="231F20"/>
          <w:spacing w:val="-3"/>
          <w:w w:val="105"/>
        </w:rPr>
        <w:t>precios).</w:t>
      </w:r>
      <w:r>
        <w:rPr>
          <w:color w:val="231F20"/>
          <w:spacing w:val="-19"/>
          <w:w w:val="105"/>
        </w:rPr>
        <w:t> </w:t>
      </w:r>
      <w:r>
        <w:rPr>
          <w:color w:val="231F20"/>
          <w:w w:val="105"/>
        </w:rPr>
        <w:t>El</w:t>
      </w:r>
      <w:r>
        <w:rPr>
          <w:color w:val="231F20"/>
          <w:spacing w:val="-13"/>
          <w:w w:val="105"/>
        </w:rPr>
        <w:t> </w:t>
      </w:r>
      <w:r>
        <w:rPr>
          <w:color w:val="231F20"/>
          <w:w w:val="105"/>
        </w:rPr>
        <w:t>auge</w:t>
      </w:r>
      <w:r>
        <w:rPr>
          <w:color w:val="231F20"/>
          <w:spacing w:val="-13"/>
          <w:w w:val="105"/>
        </w:rPr>
        <w:t> </w:t>
      </w:r>
      <w:r>
        <w:rPr>
          <w:color w:val="231F20"/>
          <w:w w:val="105"/>
        </w:rPr>
        <w:t>de este</w:t>
      </w:r>
      <w:r>
        <w:rPr>
          <w:color w:val="231F20"/>
          <w:spacing w:val="-12"/>
          <w:w w:val="105"/>
        </w:rPr>
        <w:t> </w:t>
      </w:r>
      <w:r>
        <w:rPr>
          <w:color w:val="231F20"/>
          <w:w w:val="105"/>
        </w:rPr>
        <w:t>tipo</w:t>
      </w:r>
      <w:r>
        <w:rPr>
          <w:color w:val="231F20"/>
          <w:spacing w:val="-12"/>
          <w:w w:val="105"/>
        </w:rPr>
        <w:t> </w:t>
      </w:r>
      <w:r>
        <w:rPr>
          <w:color w:val="231F20"/>
          <w:w w:val="105"/>
        </w:rPr>
        <w:t>de</w:t>
      </w:r>
      <w:r>
        <w:rPr>
          <w:color w:val="231F20"/>
          <w:spacing w:val="-12"/>
          <w:w w:val="105"/>
        </w:rPr>
        <w:t> </w:t>
      </w:r>
      <w:r>
        <w:rPr>
          <w:color w:val="231F20"/>
          <w:w w:val="105"/>
        </w:rPr>
        <w:t>estudios</w:t>
      </w:r>
      <w:r>
        <w:rPr>
          <w:color w:val="231F20"/>
          <w:spacing w:val="-12"/>
          <w:w w:val="105"/>
        </w:rPr>
        <w:t> </w:t>
      </w:r>
      <w:r>
        <w:rPr>
          <w:color w:val="231F20"/>
          <w:w w:val="105"/>
        </w:rPr>
        <w:t>está</w:t>
      </w:r>
      <w:r>
        <w:rPr>
          <w:color w:val="231F20"/>
          <w:spacing w:val="-12"/>
          <w:w w:val="105"/>
        </w:rPr>
        <w:t> </w:t>
      </w:r>
      <w:r>
        <w:rPr>
          <w:color w:val="231F20"/>
          <w:w w:val="105"/>
        </w:rPr>
        <w:t>extendido</w:t>
      </w:r>
      <w:r>
        <w:rPr>
          <w:color w:val="231F20"/>
          <w:spacing w:val="-12"/>
          <w:w w:val="105"/>
        </w:rPr>
        <w:t> </w:t>
      </w:r>
      <w:r>
        <w:rPr>
          <w:color w:val="231F20"/>
          <w:w w:val="105"/>
        </w:rPr>
        <w:t>a</w:t>
      </w:r>
      <w:r>
        <w:rPr>
          <w:color w:val="231F20"/>
          <w:spacing w:val="-12"/>
          <w:w w:val="105"/>
        </w:rPr>
        <w:t> </w:t>
      </w:r>
      <w:r>
        <w:rPr>
          <w:color w:val="231F20"/>
          <w:w w:val="105"/>
        </w:rPr>
        <w:t>fenómenos</w:t>
      </w:r>
      <w:r>
        <w:rPr>
          <w:color w:val="231F20"/>
          <w:spacing w:val="-12"/>
          <w:w w:val="105"/>
        </w:rPr>
        <w:t> </w:t>
      </w:r>
      <w:r>
        <w:rPr>
          <w:color w:val="231F20"/>
          <w:w w:val="105"/>
        </w:rPr>
        <w:t>clave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mundo</w:t>
      </w:r>
      <w:r>
        <w:rPr>
          <w:color w:val="231F20"/>
          <w:spacing w:val="-12"/>
          <w:w w:val="105"/>
        </w:rPr>
        <w:t> </w:t>
      </w:r>
      <w:r>
        <w:rPr>
          <w:color w:val="231F20"/>
          <w:w w:val="105"/>
        </w:rPr>
        <w:t>de </w:t>
      </w:r>
      <w:r>
        <w:rPr>
          <w:color w:val="231F20"/>
          <w:spacing w:val="-4"/>
          <w:w w:val="105"/>
        </w:rPr>
        <w:t>hoy,</w:t>
      </w:r>
      <w:r>
        <w:rPr>
          <w:color w:val="231F20"/>
          <w:spacing w:val="-41"/>
          <w:w w:val="105"/>
        </w:rPr>
        <w:t> </w:t>
      </w:r>
      <w:r>
        <w:rPr>
          <w:color w:val="231F20"/>
          <w:w w:val="105"/>
        </w:rPr>
        <w:t>tales</w:t>
      </w:r>
      <w:r>
        <w:rPr>
          <w:color w:val="231F20"/>
          <w:spacing w:val="-37"/>
          <w:w w:val="105"/>
        </w:rPr>
        <w:t> </w:t>
      </w:r>
      <w:r>
        <w:rPr>
          <w:color w:val="231F20"/>
          <w:w w:val="105"/>
        </w:rPr>
        <w:t>como:</w:t>
      </w:r>
      <w:r>
        <w:rPr>
          <w:color w:val="231F20"/>
          <w:spacing w:val="-37"/>
          <w:w w:val="105"/>
        </w:rPr>
        <w:t> </w:t>
      </w:r>
      <w:r>
        <w:rPr>
          <w:color w:val="231F20"/>
          <w:w w:val="105"/>
        </w:rPr>
        <w:t>la</w:t>
      </w:r>
      <w:r>
        <w:rPr>
          <w:color w:val="231F20"/>
          <w:spacing w:val="-37"/>
          <w:w w:val="105"/>
        </w:rPr>
        <w:t> </w:t>
      </w:r>
      <w:r>
        <w:rPr>
          <w:color w:val="231F20"/>
          <w:w w:val="105"/>
        </w:rPr>
        <w:t>ventaja</w:t>
      </w:r>
      <w:r>
        <w:rPr>
          <w:color w:val="231F20"/>
          <w:spacing w:val="-37"/>
          <w:w w:val="105"/>
        </w:rPr>
        <w:t> </w:t>
      </w:r>
      <w:r>
        <w:rPr>
          <w:color w:val="231F20"/>
          <w:w w:val="105"/>
        </w:rPr>
        <w:t>competitiva,</w:t>
      </w:r>
      <w:r>
        <w:rPr>
          <w:color w:val="231F20"/>
          <w:spacing w:val="-41"/>
          <w:w w:val="105"/>
        </w:rPr>
        <w:t> </w:t>
      </w:r>
      <w:r>
        <w:rPr>
          <w:color w:val="231F20"/>
          <w:w w:val="105"/>
        </w:rPr>
        <w:t>la</w:t>
      </w:r>
      <w:r>
        <w:rPr>
          <w:color w:val="231F20"/>
          <w:spacing w:val="-37"/>
          <w:w w:val="105"/>
        </w:rPr>
        <w:t> </w:t>
      </w:r>
      <w:r>
        <w:rPr>
          <w:color w:val="231F20"/>
          <w:w w:val="105"/>
        </w:rPr>
        <w:t>innovación,</w:t>
      </w:r>
      <w:r>
        <w:rPr>
          <w:color w:val="231F20"/>
          <w:spacing w:val="-41"/>
          <w:w w:val="105"/>
        </w:rPr>
        <w:t> </w:t>
      </w:r>
      <w:r>
        <w:rPr>
          <w:color w:val="231F20"/>
          <w:w w:val="105"/>
        </w:rPr>
        <w:t>la</w:t>
      </w:r>
      <w:r>
        <w:rPr>
          <w:color w:val="231F20"/>
          <w:spacing w:val="-37"/>
          <w:w w:val="105"/>
        </w:rPr>
        <w:t> </w:t>
      </w:r>
      <w:r>
        <w:rPr>
          <w:color w:val="231F20"/>
          <w:w w:val="105"/>
        </w:rPr>
        <w:t>administración</w:t>
      </w:r>
      <w:r>
        <w:rPr>
          <w:color w:val="231F20"/>
          <w:spacing w:val="-37"/>
          <w:w w:val="105"/>
        </w:rPr>
        <w:t> </w:t>
      </w:r>
      <w:r>
        <w:rPr>
          <w:color w:val="231F20"/>
          <w:w w:val="105"/>
        </w:rPr>
        <w:t>de la</w:t>
      </w:r>
      <w:r>
        <w:rPr>
          <w:color w:val="231F20"/>
          <w:spacing w:val="-23"/>
          <w:w w:val="105"/>
        </w:rPr>
        <w:t> </w:t>
      </w:r>
      <w:r>
        <w:rPr>
          <w:color w:val="231F20"/>
          <w:w w:val="105"/>
        </w:rPr>
        <w:t>cadena</w:t>
      </w:r>
      <w:r>
        <w:rPr>
          <w:color w:val="231F20"/>
          <w:spacing w:val="-23"/>
          <w:w w:val="105"/>
        </w:rPr>
        <w:t> </w:t>
      </w:r>
      <w:r>
        <w:rPr>
          <w:color w:val="231F20"/>
          <w:w w:val="105"/>
        </w:rPr>
        <w:t>de</w:t>
      </w:r>
      <w:r>
        <w:rPr>
          <w:color w:val="231F20"/>
          <w:spacing w:val="-23"/>
          <w:w w:val="105"/>
        </w:rPr>
        <w:t> </w:t>
      </w:r>
      <w:r>
        <w:rPr>
          <w:color w:val="231F20"/>
          <w:spacing w:val="-3"/>
          <w:w w:val="105"/>
        </w:rPr>
        <w:t>suministros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administración</w:t>
      </w:r>
      <w:r>
        <w:rPr>
          <w:color w:val="231F20"/>
          <w:spacing w:val="-23"/>
          <w:w w:val="105"/>
        </w:rPr>
        <w:t> </w:t>
      </w:r>
      <w:r>
        <w:rPr>
          <w:color w:val="231F20"/>
          <w:spacing w:val="-3"/>
          <w:w w:val="105"/>
        </w:rPr>
        <w:t>verde,</w:t>
      </w:r>
      <w:r>
        <w:rPr>
          <w:color w:val="231F20"/>
          <w:spacing w:val="-28"/>
          <w:w w:val="105"/>
        </w:rPr>
        <w:t> </w:t>
      </w:r>
      <w:r>
        <w:rPr>
          <w:color w:val="231F20"/>
          <w:spacing w:val="-3"/>
          <w:w w:val="105"/>
        </w:rPr>
        <w:t>entre</w:t>
      </w:r>
      <w:r>
        <w:rPr>
          <w:color w:val="231F20"/>
          <w:spacing w:val="-23"/>
          <w:w w:val="105"/>
        </w:rPr>
        <w:t> </w:t>
      </w:r>
      <w:r>
        <w:rPr>
          <w:color w:val="231F20"/>
          <w:spacing w:val="-3"/>
          <w:w w:val="105"/>
        </w:rPr>
        <w:t>otros.</w:t>
      </w:r>
    </w:p>
    <w:p>
      <w:pPr>
        <w:pStyle w:val="BodyText"/>
        <w:spacing w:line="259" w:lineRule="auto"/>
        <w:ind w:left="103" w:right="115" w:firstLine="567"/>
        <w:jc w:val="both"/>
      </w:pPr>
      <w:r>
        <w:rPr>
          <w:color w:val="231F20"/>
          <w:w w:val="105"/>
        </w:rPr>
        <w:t>Desde</w:t>
      </w:r>
      <w:r>
        <w:rPr>
          <w:color w:val="231F20"/>
          <w:spacing w:val="-23"/>
          <w:w w:val="105"/>
        </w:rPr>
        <w:t> </w:t>
      </w:r>
      <w:r>
        <w:rPr>
          <w:color w:val="231F20"/>
          <w:w w:val="105"/>
        </w:rPr>
        <w:t>el</w:t>
      </w:r>
      <w:r>
        <w:rPr>
          <w:color w:val="231F20"/>
          <w:spacing w:val="-23"/>
          <w:w w:val="105"/>
        </w:rPr>
        <w:t> </w:t>
      </w:r>
      <w:r>
        <w:rPr>
          <w:color w:val="231F20"/>
          <w:w w:val="105"/>
        </w:rPr>
        <w:t>siglo</w:t>
      </w:r>
      <w:r>
        <w:rPr>
          <w:color w:val="231F20"/>
          <w:spacing w:val="-25"/>
          <w:w w:val="105"/>
        </w:rPr>
        <w:t> </w:t>
      </w:r>
      <w:r>
        <w:rPr>
          <w:color w:val="231F20"/>
          <w:w w:val="105"/>
        </w:rPr>
        <w:t>XVIII,</w:t>
      </w:r>
      <w:r>
        <w:rPr>
          <w:color w:val="231F20"/>
          <w:spacing w:val="-28"/>
          <w:w w:val="105"/>
        </w:rPr>
        <w:t> </w:t>
      </w:r>
      <w:r>
        <w:rPr>
          <w:color w:val="231F20"/>
          <w:w w:val="105"/>
        </w:rPr>
        <w:t>bajo</w:t>
      </w:r>
      <w:r>
        <w:rPr>
          <w:color w:val="231F20"/>
          <w:spacing w:val="-23"/>
          <w:w w:val="105"/>
        </w:rPr>
        <w:t> </w:t>
      </w:r>
      <w:r>
        <w:rPr>
          <w:color w:val="231F20"/>
          <w:w w:val="105"/>
        </w:rPr>
        <w:t>las</w:t>
      </w:r>
      <w:r>
        <w:rPr>
          <w:color w:val="231F20"/>
          <w:spacing w:val="-23"/>
          <w:w w:val="105"/>
        </w:rPr>
        <w:t> </w:t>
      </w:r>
      <w:r>
        <w:rPr>
          <w:color w:val="231F20"/>
          <w:w w:val="105"/>
        </w:rPr>
        <w:t>ideas</w:t>
      </w:r>
      <w:r>
        <w:rPr>
          <w:color w:val="231F20"/>
          <w:spacing w:val="-23"/>
          <w:w w:val="105"/>
        </w:rPr>
        <w:t> </w:t>
      </w:r>
      <w:r>
        <w:rPr>
          <w:color w:val="231F20"/>
          <w:w w:val="105"/>
        </w:rPr>
        <w:t>de</w:t>
      </w:r>
      <w:r>
        <w:rPr>
          <w:color w:val="231F20"/>
          <w:spacing w:val="-23"/>
          <w:w w:val="105"/>
        </w:rPr>
        <w:t> </w:t>
      </w:r>
      <w:r>
        <w:rPr>
          <w:color w:val="231F20"/>
          <w:w w:val="105"/>
        </w:rPr>
        <w:t>renombrados</w:t>
      </w:r>
      <w:r>
        <w:rPr>
          <w:color w:val="231F20"/>
          <w:spacing w:val="-23"/>
          <w:w w:val="105"/>
        </w:rPr>
        <w:t> </w:t>
      </w:r>
      <w:r>
        <w:rPr>
          <w:color w:val="231F20"/>
          <w:w w:val="105"/>
        </w:rPr>
        <w:t>filósofos</w:t>
      </w:r>
      <w:r>
        <w:rPr>
          <w:color w:val="231F20"/>
          <w:spacing w:val="-23"/>
          <w:w w:val="105"/>
        </w:rPr>
        <w:t> </w:t>
      </w:r>
      <w:r>
        <w:rPr>
          <w:color w:val="231F20"/>
          <w:w w:val="105"/>
        </w:rPr>
        <w:t>socia- les</w:t>
      </w:r>
      <w:r>
        <w:rPr>
          <w:color w:val="231F20"/>
          <w:spacing w:val="-11"/>
          <w:w w:val="105"/>
        </w:rPr>
        <w:t> </w:t>
      </w:r>
      <w:r>
        <w:rPr>
          <w:color w:val="231F20"/>
          <w:w w:val="105"/>
        </w:rPr>
        <w:t>como</w:t>
      </w:r>
      <w:r>
        <w:rPr>
          <w:color w:val="231F20"/>
          <w:spacing w:val="-14"/>
          <w:w w:val="105"/>
        </w:rPr>
        <w:t> </w:t>
      </w:r>
      <w:r>
        <w:rPr>
          <w:color w:val="231F20"/>
          <w:w w:val="105"/>
        </w:rPr>
        <w:t>Augusto</w:t>
      </w:r>
      <w:r>
        <w:rPr>
          <w:color w:val="231F20"/>
          <w:spacing w:val="-11"/>
          <w:w w:val="105"/>
        </w:rPr>
        <w:t> </w:t>
      </w:r>
      <w:r>
        <w:rPr>
          <w:color w:val="231F20"/>
          <w:w w:val="105"/>
        </w:rPr>
        <w:t>Comte,</w:t>
      </w:r>
      <w:r>
        <w:rPr>
          <w:color w:val="231F20"/>
          <w:spacing w:val="-16"/>
          <w:w w:val="105"/>
        </w:rPr>
        <w:t> </w:t>
      </w:r>
      <w:r>
        <w:rPr>
          <w:color w:val="231F20"/>
          <w:w w:val="105"/>
        </w:rPr>
        <w:t>la</w:t>
      </w:r>
      <w:r>
        <w:rPr>
          <w:color w:val="231F20"/>
          <w:spacing w:val="-11"/>
          <w:w w:val="105"/>
        </w:rPr>
        <w:t> </w:t>
      </w:r>
      <w:r>
        <w:rPr>
          <w:color w:val="231F20"/>
          <w:w w:val="105"/>
        </w:rPr>
        <w:t>sociología</w:t>
      </w:r>
      <w:r>
        <w:rPr>
          <w:color w:val="231F20"/>
          <w:spacing w:val="-11"/>
          <w:w w:val="105"/>
        </w:rPr>
        <w:t> </w:t>
      </w:r>
      <w:r>
        <w:rPr>
          <w:color w:val="231F20"/>
          <w:w w:val="105"/>
        </w:rPr>
        <w:t>se</w:t>
      </w:r>
      <w:r>
        <w:rPr>
          <w:color w:val="231F20"/>
          <w:spacing w:val="-11"/>
          <w:w w:val="105"/>
        </w:rPr>
        <w:t> </w:t>
      </w:r>
      <w:r>
        <w:rPr>
          <w:color w:val="231F20"/>
          <w:w w:val="105"/>
        </w:rPr>
        <w:t>enfoca</w:t>
      </w:r>
      <w:r>
        <w:rPr>
          <w:color w:val="231F20"/>
          <w:spacing w:val="-11"/>
          <w:w w:val="105"/>
        </w:rPr>
        <w:t> </w:t>
      </w:r>
      <w:r>
        <w:rPr>
          <w:color w:val="231F20"/>
          <w:w w:val="105"/>
        </w:rPr>
        <w:t>al</w:t>
      </w:r>
      <w:r>
        <w:rPr>
          <w:color w:val="231F20"/>
          <w:spacing w:val="-11"/>
          <w:w w:val="105"/>
        </w:rPr>
        <w:t> </w:t>
      </w:r>
      <w:r>
        <w:rPr>
          <w:color w:val="231F20"/>
          <w:w w:val="105"/>
        </w:rPr>
        <w:t>análisis</w:t>
      </w:r>
      <w:r>
        <w:rPr>
          <w:color w:val="231F20"/>
          <w:spacing w:val="-11"/>
          <w:w w:val="105"/>
        </w:rPr>
        <w:t> </w:t>
      </w:r>
      <w:r>
        <w:rPr>
          <w:color w:val="231F20"/>
          <w:w w:val="105"/>
        </w:rPr>
        <w:t>de</w:t>
      </w:r>
      <w:r>
        <w:rPr>
          <w:color w:val="231F20"/>
          <w:spacing w:val="-11"/>
          <w:w w:val="105"/>
        </w:rPr>
        <w:t> </w:t>
      </w:r>
      <w:r>
        <w:rPr>
          <w:color w:val="231F20"/>
          <w:w w:val="105"/>
        </w:rPr>
        <w:t>fenóme- nos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sociedad</w:t>
      </w:r>
      <w:r>
        <w:rPr>
          <w:color w:val="231F20"/>
          <w:spacing w:val="-6"/>
          <w:w w:val="105"/>
        </w:rPr>
        <w:t> </w:t>
      </w:r>
      <w:r>
        <w:rPr>
          <w:color w:val="231F20"/>
          <w:w w:val="105"/>
        </w:rPr>
        <w:t>como</w:t>
      </w:r>
      <w:r>
        <w:rPr>
          <w:color w:val="231F20"/>
          <w:spacing w:val="-6"/>
          <w:w w:val="105"/>
        </w:rPr>
        <w:t> </w:t>
      </w:r>
      <w:r>
        <w:rPr>
          <w:color w:val="231F20"/>
          <w:w w:val="105"/>
        </w:rPr>
        <w:t>un</w:t>
      </w:r>
      <w:r>
        <w:rPr>
          <w:color w:val="231F20"/>
          <w:spacing w:val="-6"/>
          <w:w w:val="105"/>
        </w:rPr>
        <w:t> </w:t>
      </w:r>
      <w:r>
        <w:rPr>
          <w:color w:val="231F20"/>
          <w:w w:val="105"/>
        </w:rPr>
        <w:t>todo;</w:t>
      </w:r>
      <w:r>
        <w:rPr>
          <w:color w:val="231F20"/>
          <w:spacing w:val="-6"/>
          <w:w w:val="105"/>
        </w:rPr>
        <w:t> </w:t>
      </w:r>
      <w:r>
        <w:rPr>
          <w:color w:val="231F20"/>
          <w:w w:val="105"/>
        </w:rPr>
        <w:t>posteriormente</w:t>
      </w:r>
      <w:r>
        <w:rPr>
          <w:color w:val="231F20"/>
          <w:spacing w:val="-6"/>
          <w:w w:val="105"/>
        </w:rPr>
        <w:t> </w:t>
      </w:r>
      <w:r>
        <w:rPr>
          <w:color w:val="231F20"/>
          <w:w w:val="105"/>
        </w:rPr>
        <w:t>germina</w:t>
      </w:r>
      <w:r>
        <w:rPr>
          <w:color w:val="231F20"/>
          <w:spacing w:val="-6"/>
          <w:w w:val="105"/>
        </w:rPr>
        <w:t> </w:t>
      </w:r>
      <w:r>
        <w:rPr>
          <w:color w:val="231F20"/>
          <w:w w:val="105"/>
        </w:rPr>
        <w:t>la</w:t>
      </w:r>
      <w:r>
        <w:rPr>
          <w:color w:val="231F20"/>
          <w:spacing w:val="-6"/>
          <w:w w:val="105"/>
        </w:rPr>
        <w:t> </w:t>
      </w:r>
      <w:r>
        <w:rPr>
          <w:color w:val="231F20"/>
          <w:w w:val="105"/>
        </w:rPr>
        <w:t>sociología organizacional.</w:t>
      </w:r>
      <w:r>
        <w:rPr>
          <w:color w:val="231F20"/>
          <w:spacing w:val="-27"/>
          <w:w w:val="105"/>
        </w:rPr>
        <w:t> </w:t>
      </w:r>
      <w:r>
        <w:rPr>
          <w:color w:val="231F20"/>
          <w:spacing w:val="-4"/>
          <w:w w:val="105"/>
        </w:rPr>
        <w:t>Para</w:t>
      </w:r>
      <w:r>
        <w:rPr>
          <w:color w:val="231F20"/>
          <w:spacing w:val="-23"/>
          <w:w w:val="105"/>
        </w:rPr>
        <w:t> </w:t>
      </w:r>
      <w:r>
        <w:rPr>
          <w:color w:val="231F20"/>
          <w:w w:val="105"/>
        </w:rPr>
        <w:t>esta</w:t>
      </w:r>
      <w:r>
        <w:rPr>
          <w:color w:val="231F20"/>
          <w:spacing w:val="-23"/>
          <w:w w:val="105"/>
        </w:rPr>
        <w:t> </w:t>
      </w:r>
      <w:r>
        <w:rPr>
          <w:color w:val="231F20"/>
          <w:w w:val="105"/>
        </w:rPr>
        <w:t>rama,</w:t>
      </w:r>
      <w:r>
        <w:rPr>
          <w:color w:val="231F20"/>
          <w:spacing w:val="-27"/>
          <w:w w:val="105"/>
        </w:rPr>
        <w:t> </w:t>
      </w:r>
      <w:r>
        <w:rPr>
          <w:color w:val="231F20"/>
          <w:w w:val="105"/>
        </w:rPr>
        <w:t>las</w:t>
      </w:r>
      <w:r>
        <w:rPr>
          <w:color w:val="231F20"/>
          <w:spacing w:val="-23"/>
          <w:w w:val="105"/>
        </w:rPr>
        <w:t> </w:t>
      </w:r>
      <w:r>
        <w:rPr>
          <w:color w:val="231F20"/>
          <w:w w:val="105"/>
        </w:rPr>
        <w:t>organizaciones</w:t>
      </w:r>
      <w:r>
        <w:rPr>
          <w:color w:val="231F20"/>
          <w:spacing w:val="-23"/>
          <w:w w:val="105"/>
        </w:rPr>
        <w:t> </w:t>
      </w:r>
      <w:r>
        <w:rPr>
          <w:color w:val="231F20"/>
          <w:w w:val="105"/>
        </w:rPr>
        <w:t>son</w:t>
      </w:r>
      <w:r>
        <w:rPr>
          <w:color w:val="231F20"/>
          <w:spacing w:val="-23"/>
          <w:w w:val="105"/>
        </w:rPr>
        <w:t> </w:t>
      </w:r>
      <w:r>
        <w:rPr>
          <w:color w:val="231F20"/>
          <w:w w:val="105"/>
        </w:rPr>
        <w:t>instrumentos</w:t>
      </w:r>
      <w:r>
        <w:rPr>
          <w:color w:val="231F20"/>
          <w:spacing w:val="-23"/>
          <w:w w:val="105"/>
        </w:rPr>
        <w:t> </w:t>
      </w:r>
      <w:r>
        <w:rPr>
          <w:color w:val="231F20"/>
          <w:w w:val="105"/>
        </w:rPr>
        <w:t>por medio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cuales</w:t>
      </w:r>
      <w:r>
        <w:rPr>
          <w:color w:val="231F20"/>
          <w:spacing w:val="-8"/>
          <w:w w:val="105"/>
        </w:rPr>
        <w:t> </w:t>
      </w:r>
      <w:r>
        <w:rPr>
          <w:color w:val="231F20"/>
          <w:w w:val="105"/>
        </w:rPr>
        <w:t>las</w:t>
      </w:r>
      <w:r>
        <w:rPr>
          <w:color w:val="231F20"/>
          <w:spacing w:val="-8"/>
          <w:w w:val="105"/>
        </w:rPr>
        <w:t> </w:t>
      </w:r>
      <w:r>
        <w:rPr>
          <w:color w:val="231F20"/>
          <w:w w:val="105"/>
        </w:rPr>
        <w:t>sociedades</w:t>
      </w:r>
      <w:r>
        <w:rPr>
          <w:color w:val="231F20"/>
          <w:spacing w:val="-8"/>
          <w:w w:val="105"/>
        </w:rPr>
        <w:t> </w:t>
      </w:r>
      <w:r>
        <w:rPr>
          <w:color w:val="231F20"/>
          <w:w w:val="105"/>
        </w:rPr>
        <w:t>complejas</w:t>
      </w:r>
      <w:r>
        <w:rPr>
          <w:color w:val="231F20"/>
          <w:spacing w:val="-8"/>
          <w:w w:val="105"/>
        </w:rPr>
        <w:t> </w:t>
      </w:r>
      <w:r>
        <w:rPr>
          <w:color w:val="231F20"/>
          <w:w w:val="105"/>
        </w:rPr>
        <w:t>cubren</w:t>
      </w:r>
      <w:r>
        <w:rPr>
          <w:color w:val="231F20"/>
          <w:spacing w:val="-8"/>
          <w:w w:val="105"/>
        </w:rPr>
        <w:t> </w:t>
      </w:r>
      <w:r>
        <w:rPr>
          <w:color w:val="231F20"/>
          <w:w w:val="105"/>
        </w:rPr>
        <w:t>necesidades</w:t>
      </w:r>
      <w:r>
        <w:rPr>
          <w:color w:val="231F20"/>
          <w:spacing w:val="-8"/>
          <w:w w:val="105"/>
        </w:rPr>
        <w:t> </w:t>
      </w:r>
      <w:r>
        <w:rPr>
          <w:color w:val="231F20"/>
          <w:w w:val="105"/>
        </w:rPr>
        <w:t>que no</w:t>
      </w:r>
      <w:r>
        <w:rPr>
          <w:color w:val="231F20"/>
          <w:spacing w:val="-32"/>
          <w:w w:val="105"/>
        </w:rPr>
        <w:t> </w:t>
      </w:r>
      <w:r>
        <w:rPr>
          <w:color w:val="231F20"/>
          <w:w w:val="105"/>
        </w:rPr>
        <w:t>pueden</w:t>
      </w:r>
      <w:r>
        <w:rPr>
          <w:color w:val="231F20"/>
          <w:spacing w:val="-32"/>
          <w:w w:val="105"/>
        </w:rPr>
        <w:t> </w:t>
      </w:r>
      <w:r>
        <w:rPr>
          <w:color w:val="231F20"/>
          <w:w w:val="105"/>
        </w:rPr>
        <w:t>ser</w:t>
      </w:r>
      <w:r>
        <w:rPr>
          <w:color w:val="231F20"/>
          <w:spacing w:val="-32"/>
          <w:w w:val="105"/>
        </w:rPr>
        <w:t> </w:t>
      </w:r>
      <w:r>
        <w:rPr>
          <w:color w:val="231F20"/>
          <w:w w:val="105"/>
        </w:rPr>
        <w:t>satisfechas</w:t>
      </w:r>
      <w:r>
        <w:rPr>
          <w:color w:val="231F20"/>
          <w:spacing w:val="-32"/>
          <w:w w:val="105"/>
        </w:rPr>
        <w:t> </w:t>
      </w:r>
      <w:r>
        <w:rPr>
          <w:color w:val="231F20"/>
          <w:w w:val="105"/>
        </w:rPr>
        <w:t>por</w:t>
      </w:r>
      <w:r>
        <w:rPr>
          <w:color w:val="231F20"/>
          <w:spacing w:val="-32"/>
          <w:w w:val="105"/>
        </w:rPr>
        <w:t> </w:t>
      </w:r>
      <w:r>
        <w:rPr>
          <w:color w:val="231F20"/>
          <w:w w:val="105"/>
        </w:rPr>
        <w:t>individuos</w:t>
      </w:r>
      <w:r>
        <w:rPr>
          <w:color w:val="231F20"/>
          <w:spacing w:val="-32"/>
          <w:w w:val="105"/>
        </w:rPr>
        <w:t> </w:t>
      </w:r>
      <w:r>
        <w:rPr>
          <w:color w:val="231F20"/>
          <w:w w:val="105"/>
        </w:rPr>
        <w:t>particulares</w:t>
      </w:r>
      <w:r>
        <w:rPr>
          <w:color w:val="231F20"/>
          <w:spacing w:val="-32"/>
          <w:w w:val="105"/>
        </w:rPr>
        <w:t> </w:t>
      </w:r>
      <w:r>
        <w:rPr>
          <w:color w:val="231F20"/>
          <w:w w:val="105"/>
        </w:rPr>
        <w:t>(Etzioni,</w:t>
      </w:r>
      <w:r>
        <w:rPr>
          <w:color w:val="231F20"/>
          <w:spacing w:val="-36"/>
          <w:w w:val="105"/>
        </w:rPr>
        <w:t> </w:t>
      </w:r>
      <w:r>
        <w:rPr>
          <w:color w:val="231F20"/>
          <w:w w:val="105"/>
        </w:rPr>
        <w:t>1964).</w:t>
      </w:r>
      <w:r>
        <w:rPr>
          <w:color w:val="231F20"/>
          <w:spacing w:val="-36"/>
          <w:w w:val="105"/>
        </w:rPr>
        <w:t> </w:t>
      </w:r>
      <w:r>
        <w:rPr>
          <w:color w:val="231F20"/>
          <w:w w:val="105"/>
        </w:rPr>
        <w:t>Con el</w:t>
      </w:r>
      <w:r>
        <w:rPr>
          <w:color w:val="231F20"/>
          <w:spacing w:val="-7"/>
          <w:w w:val="105"/>
        </w:rPr>
        <w:t> </w:t>
      </w:r>
      <w:r>
        <w:rPr>
          <w:color w:val="231F20"/>
          <w:w w:val="105"/>
        </w:rPr>
        <w:t>paso</w:t>
      </w:r>
      <w:r>
        <w:rPr>
          <w:color w:val="231F20"/>
          <w:spacing w:val="-7"/>
          <w:w w:val="105"/>
        </w:rPr>
        <w:t> </w:t>
      </w:r>
      <w:r>
        <w:rPr>
          <w:color w:val="231F20"/>
          <w:w w:val="105"/>
        </w:rPr>
        <w:t>del</w:t>
      </w:r>
      <w:r>
        <w:rPr>
          <w:color w:val="231F20"/>
          <w:spacing w:val="-7"/>
          <w:w w:val="105"/>
        </w:rPr>
        <w:t> </w:t>
      </w:r>
      <w:r>
        <w:rPr>
          <w:color w:val="231F20"/>
          <w:w w:val="105"/>
        </w:rPr>
        <w:t>tiempo,</w:t>
      </w:r>
      <w:r>
        <w:rPr>
          <w:color w:val="231F20"/>
          <w:spacing w:val="-13"/>
          <w:w w:val="105"/>
        </w:rPr>
        <w:t> </w:t>
      </w:r>
      <w:r>
        <w:rPr>
          <w:color w:val="231F20"/>
          <w:w w:val="105"/>
        </w:rPr>
        <w:t>la</w:t>
      </w:r>
      <w:r>
        <w:rPr>
          <w:color w:val="231F20"/>
          <w:spacing w:val="-7"/>
          <w:w w:val="105"/>
        </w:rPr>
        <w:t> </w:t>
      </w:r>
      <w:r>
        <w:rPr>
          <w:color w:val="231F20"/>
          <w:w w:val="105"/>
        </w:rPr>
        <w:t>sociología</w:t>
      </w:r>
      <w:r>
        <w:rPr>
          <w:color w:val="231F20"/>
          <w:spacing w:val="-7"/>
          <w:w w:val="105"/>
        </w:rPr>
        <w:t> </w:t>
      </w:r>
      <w:r>
        <w:rPr>
          <w:color w:val="231F20"/>
          <w:w w:val="105"/>
        </w:rPr>
        <w:t>organizacional</w:t>
      </w:r>
      <w:r>
        <w:rPr>
          <w:color w:val="231F20"/>
          <w:spacing w:val="-7"/>
          <w:w w:val="105"/>
        </w:rPr>
        <w:t> </w:t>
      </w:r>
      <w:r>
        <w:rPr>
          <w:color w:val="231F20"/>
          <w:w w:val="105"/>
        </w:rPr>
        <w:t>engendra</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hoy</w:t>
      </w:r>
      <w:r>
        <w:rPr>
          <w:color w:val="231F20"/>
          <w:spacing w:val="-7"/>
          <w:w w:val="105"/>
        </w:rPr>
        <w:t> </w:t>
      </w:r>
      <w:r>
        <w:rPr>
          <w:color w:val="231F20"/>
          <w:w w:val="105"/>
        </w:rPr>
        <w:t>se conoce</w:t>
      </w:r>
      <w:r>
        <w:rPr>
          <w:color w:val="231F20"/>
          <w:spacing w:val="-10"/>
          <w:w w:val="105"/>
        </w:rPr>
        <w:t> </w:t>
      </w:r>
      <w:r>
        <w:rPr>
          <w:color w:val="231F20"/>
          <w:w w:val="105"/>
        </w:rPr>
        <w:t>como</w:t>
      </w:r>
      <w:r>
        <w:rPr>
          <w:color w:val="231F20"/>
          <w:spacing w:val="-10"/>
          <w:w w:val="105"/>
        </w:rPr>
        <w:t> </w:t>
      </w:r>
      <w:r>
        <w:rPr>
          <w:color w:val="231F20"/>
          <w:w w:val="105"/>
        </w:rPr>
        <w:t>teoría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organización</w:t>
      </w:r>
      <w:r>
        <w:rPr>
          <w:color w:val="231F20"/>
          <w:spacing w:val="-10"/>
          <w:w w:val="105"/>
        </w:rPr>
        <w:t> </w:t>
      </w:r>
      <w:r>
        <w:rPr>
          <w:color w:val="231F20"/>
          <w:w w:val="105"/>
        </w:rPr>
        <w:t>(Hinnings</w:t>
      </w:r>
      <w:r>
        <w:rPr>
          <w:color w:val="231F20"/>
          <w:spacing w:val="-10"/>
          <w:w w:val="105"/>
        </w:rPr>
        <w:t> </w:t>
      </w:r>
      <w:r>
        <w:rPr>
          <w:color w:val="231F20"/>
          <w:w w:val="105"/>
        </w:rPr>
        <w:t>y</w:t>
      </w:r>
      <w:r>
        <w:rPr>
          <w:color w:val="231F20"/>
          <w:spacing w:val="-10"/>
          <w:w w:val="105"/>
        </w:rPr>
        <w:t> </w:t>
      </w:r>
      <w:r>
        <w:rPr>
          <w:color w:val="231F20"/>
          <w:w w:val="105"/>
        </w:rPr>
        <w:t>Greenwood,</w:t>
      </w:r>
      <w:r>
        <w:rPr>
          <w:color w:val="231F20"/>
          <w:spacing w:val="-16"/>
          <w:w w:val="105"/>
        </w:rPr>
        <w:t> </w:t>
      </w:r>
      <w:r>
        <w:rPr>
          <w:color w:val="231F20"/>
          <w:w w:val="105"/>
        </w:rPr>
        <w:t>2002)</w:t>
      </w:r>
      <w:r>
        <w:rPr>
          <w:color w:val="231F20"/>
          <w:spacing w:val="-10"/>
          <w:w w:val="105"/>
        </w:rPr>
        <w:t> </w:t>
      </w:r>
      <w:r>
        <w:rPr>
          <w:color w:val="231F20"/>
          <w:w w:val="105"/>
        </w:rPr>
        <w:t>y a</w:t>
      </w:r>
      <w:r>
        <w:rPr>
          <w:color w:val="231F20"/>
          <w:spacing w:val="-17"/>
          <w:w w:val="105"/>
        </w:rPr>
        <w:t> </w:t>
      </w:r>
      <w:r>
        <w:rPr>
          <w:color w:val="231F20"/>
          <w:w w:val="105"/>
        </w:rPr>
        <w:t>finales</w:t>
      </w:r>
      <w:r>
        <w:rPr>
          <w:color w:val="231F20"/>
          <w:spacing w:val="-17"/>
          <w:w w:val="105"/>
        </w:rPr>
        <w:t> </w:t>
      </w:r>
      <w:r>
        <w:rPr>
          <w:color w:val="231F20"/>
          <w:w w:val="105"/>
        </w:rPr>
        <w:t>del</w:t>
      </w:r>
      <w:r>
        <w:rPr>
          <w:color w:val="231F20"/>
          <w:spacing w:val="-17"/>
          <w:w w:val="105"/>
        </w:rPr>
        <w:t> </w:t>
      </w:r>
      <w:r>
        <w:rPr>
          <w:color w:val="231F20"/>
          <w:w w:val="105"/>
        </w:rPr>
        <w:t>siglo</w:t>
      </w:r>
      <w:r>
        <w:rPr>
          <w:color w:val="231F20"/>
          <w:spacing w:val="-20"/>
          <w:w w:val="105"/>
        </w:rPr>
        <w:t> </w:t>
      </w:r>
      <w:r>
        <w:rPr>
          <w:color w:val="231F20"/>
          <w:w w:val="105"/>
        </w:rPr>
        <w:t>XIX,</w:t>
      </w:r>
      <w:r>
        <w:rPr>
          <w:color w:val="231F20"/>
          <w:spacing w:val="-23"/>
          <w:w w:val="105"/>
        </w:rPr>
        <w:t> </w:t>
      </w:r>
      <w:r>
        <w:rPr>
          <w:color w:val="231F20"/>
          <w:w w:val="105"/>
        </w:rPr>
        <w:t>al</w:t>
      </w:r>
      <w:r>
        <w:rPr>
          <w:color w:val="231F20"/>
          <w:spacing w:val="-17"/>
          <w:w w:val="105"/>
        </w:rPr>
        <w:t> </w:t>
      </w:r>
      <w:r>
        <w:rPr>
          <w:color w:val="231F20"/>
          <w:w w:val="105"/>
        </w:rPr>
        <w:t>adoptarse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currículo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escuelas</w:t>
      </w:r>
      <w:r>
        <w:rPr>
          <w:color w:val="231F20"/>
          <w:spacing w:val="-17"/>
          <w:w w:val="105"/>
        </w:rPr>
        <w:t> </w:t>
      </w:r>
      <w:r>
        <w:rPr>
          <w:color w:val="231F20"/>
          <w:w w:val="105"/>
        </w:rPr>
        <w:t>de</w:t>
      </w:r>
      <w:r>
        <w:rPr>
          <w:color w:val="231F20"/>
          <w:spacing w:val="-17"/>
          <w:w w:val="105"/>
        </w:rPr>
        <w:t> </w:t>
      </w:r>
      <w:r>
        <w:rPr>
          <w:color w:val="231F20"/>
          <w:w w:val="105"/>
        </w:rPr>
        <w:t>ne- gocios,</w:t>
      </w:r>
      <w:r>
        <w:rPr>
          <w:color w:val="231F20"/>
          <w:spacing w:val="-18"/>
          <w:w w:val="105"/>
        </w:rPr>
        <w:t> </w:t>
      </w:r>
      <w:r>
        <w:rPr>
          <w:color w:val="231F20"/>
          <w:w w:val="105"/>
        </w:rPr>
        <w:t>dio</w:t>
      </w:r>
      <w:r>
        <w:rPr>
          <w:color w:val="231F20"/>
          <w:spacing w:val="-12"/>
          <w:w w:val="105"/>
        </w:rPr>
        <w:t> </w:t>
      </w:r>
      <w:r>
        <w:rPr>
          <w:color w:val="231F20"/>
          <w:w w:val="105"/>
        </w:rPr>
        <w:t>cuerpo</w:t>
      </w:r>
      <w:r>
        <w:rPr>
          <w:color w:val="231F20"/>
          <w:spacing w:val="-12"/>
          <w:w w:val="105"/>
        </w:rPr>
        <w:t> </w:t>
      </w:r>
      <w:r>
        <w:rPr>
          <w:color w:val="231F20"/>
          <w:w w:val="105"/>
        </w:rPr>
        <w:t>teórico</w:t>
      </w:r>
      <w:r>
        <w:rPr>
          <w:color w:val="231F20"/>
          <w:spacing w:val="-12"/>
          <w:w w:val="105"/>
        </w:rPr>
        <w:t> </w:t>
      </w:r>
      <w:r>
        <w:rPr>
          <w:color w:val="231F20"/>
          <w:w w:val="105"/>
        </w:rPr>
        <w:t>a</w:t>
      </w:r>
      <w:r>
        <w:rPr>
          <w:color w:val="231F20"/>
          <w:spacing w:val="-12"/>
          <w:w w:val="105"/>
        </w:rPr>
        <w:t> </w:t>
      </w:r>
      <w:r>
        <w:rPr>
          <w:color w:val="231F20"/>
          <w:w w:val="105"/>
        </w:rPr>
        <w:t>una</w:t>
      </w:r>
      <w:r>
        <w:rPr>
          <w:color w:val="231F20"/>
          <w:spacing w:val="-12"/>
          <w:w w:val="105"/>
        </w:rPr>
        <w:t> </w:t>
      </w:r>
      <w:r>
        <w:rPr>
          <w:color w:val="231F20"/>
          <w:w w:val="105"/>
        </w:rPr>
        <w:t>disciplina</w:t>
      </w:r>
      <w:r>
        <w:rPr>
          <w:color w:val="231F20"/>
          <w:spacing w:val="-12"/>
          <w:w w:val="105"/>
        </w:rPr>
        <w:t> </w:t>
      </w:r>
      <w:r>
        <w:rPr>
          <w:color w:val="231F20"/>
          <w:w w:val="105"/>
        </w:rPr>
        <w:t>centrada</w:t>
      </w:r>
      <w:r>
        <w:rPr>
          <w:color w:val="231F20"/>
          <w:spacing w:val="-12"/>
          <w:w w:val="105"/>
        </w:rPr>
        <w:t> </w:t>
      </w:r>
      <w:r>
        <w:rPr>
          <w:color w:val="231F20"/>
          <w:w w:val="105"/>
        </w:rPr>
        <w:t>en</w:t>
      </w:r>
      <w:r>
        <w:rPr>
          <w:color w:val="231F20"/>
          <w:spacing w:val="-12"/>
          <w:w w:val="105"/>
        </w:rPr>
        <w:t> </w:t>
      </w:r>
      <w:r>
        <w:rPr>
          <w:color w:val="231F20"/>
          <w:w w:val="105"/>
        </w:rPr>
        <w:t>cómo</w:t>
      </w:r>
      <w:r>
        <w:rPr>
          <w:color w:val="231F20"/>
          <w:spacing w:val="-12"/>
          <w:w w:val="105"/>
        </w:rPr>
        <w:t> </w:t>
      </w:r>
      <w:r>
        <w:rPr>
          <w:color w:val="231F20"/>
          <w:w w:val="105"/>
        </w:rPr>
        <w:t>hacer</w:t>
      </w:r>
      <w:r>
        <w:rPr>
          <w:color w:val="231F20"/>
          <w:spacing w:val="-12"/>
          <w:w w:val="105"/>
        </w:rPr>
        <w:t> </w:t>
      </w:r>
      <w:r>
        <w:rPr>
          <w:color w:val="231F20"/>
          <w:w w:val="105"/>
        </w:rPr>
        <w:t>a</w:t>
      </w:r>
      <w:r>
        <w:rPr>
          <w:color w:val="231F20"/>
          <w:spacing w:val="-12"/>
          <w:w w:val="105"/>
        </w:rPr>
        <w:t> </w:t>
      </w:r>
      <w:r>
        <w:rPr>
          <w:color w:val="231F20"/>
          <w:w w:val="105"/>
        </w:rPr>
        <w:t>las organizaciones</w:t>
      </w:r>
      <w:r>
        <w:rPr>
          <w:color w:val="231F20"/>
          <w:spacing w:val="-34"/>
          <w:w w:val="105"/>
        </w:rPr>
        <w:t> </w:t>
      </w:r>
      <w:r>
        <w:rPr>
          <w:color w:val="231F20"/>
          <w:w w:val="105"/>
        </w:rPr>
        <w:t>más</w:t>
      </w:r>
      <w:r>
        <w:rPr>
          <w:color w:val="231F20"/>
          <w:spacing w:val="-34"/>
          <w:w w:val="105"/>
        </w:rPr>
        <w:t> </w:t>
      </w:r>
      <w:r>
        <w:rPr>
          <w:color w:val="231F20"/>
          <w:w w:val="105"/>
        </w:rPr>
        <w:t>eficientes</w:t>
      </w:r>
      <w:r>
        <w:rPr>
          <w:color w:val="231F20"/>
          <w:spacing w:val="-34"/>
          <w:w w:val="105"/>
        </w:rPr>
        <w:t> </w:t>
      </w:r>
      <w:r>
        <w:rPr>
          <w:color w:val="231F20"/>
          <w:w w:val="105"/>
        </w:rPr>
        <w:t>y</w:t>
      </w:r>
      <w:r>
        <w:rPr>
          <w:color w:val="231F20"/>
          <w:spacing w:val="-34"/>
          <w:w w:val="105"/>
        </w:rPr>
        <w:t> </w:t>
      </w:r>
      <w:r>
        <w:rPr>
          <w:color w:val="231F20"/>
          <w:w w:val="105"/>
        </w:rPr>
        <w:t>eficaces:</w:t>
      </w:r>
      <w:r>
        <w:rPr>
          <w:color w:val="231F20"/>
          <w:spacing w:val="-34"/>
          <w:w w:val="105"/>
        </w:rPr>
        <w:t> </w:t>
      </w:r>
      <w:r>
        <w:rPr>
          <w:color w:val="231F20"/>
          <w:w w:val="105"/>
        </w:rPr>
        <w:t>la</w:t>
      </w:r>
      <w:r>
        <w:rPr>
          <w:color w:val="231F20"/>
          <w:spacing w:val="-34"/>
          <w:w w:val="105"/>
        </w:rPr>
        <w:t> </w:t>
      </w:r>
      <w:r>
        <w:rPr>
          <w:color w:val="231F20"/>
          <w:w w:val="105"/>
        </w:rPr>
        <w:t>administración.</w:t>
      </w:r>
    </w:p>
    <w:p>
      <w:pPr>
        <w:pStyle w:val="BodyText"/>
        <w:spacing w:line="259" w:lineRule="auto"/>
        <w:ind w:left="103" w:right="115" w:firstLine="567"/>
        <w:jc w:val="both"/>
      </w:pPr>
      <w:r>
        <w:rPr>
          <w:color w:val="231F20"/>
          <w:w w:val="105"/>
        </w:rPr>
        <w:t>Como ciencia, la administración se enfoca de forma importante más</w:t>
      </w:r>
      <w:r>
        <w:rPr>
          <w:color w:val="231F20"/>
          <w:spacing w:val="-30"/>
          <w:w w:val="105"/>
        </w:rPr>
        <w:t> </w:t>
      </w:r>
      <w:r>
        <w:rPr>
          <w:color w:val="231F20"/>
          <w:w w:val="105"/>
        </w:rPr>
        <w:t>no</w:t>
      </w:r>
      <w:r>
        <w:rPr>
          <w:color w:val="231F20"/>
          <w:spacing w:val="-30"/>
          <w:w w:val="105"/>
        </w:rPr>
        <w:t> </w:t>
      </w:r>
      <w:r>
        <w:rPr>
          <w:color w:val="231F20"/>
          <w:w w:val="105"/>
        </w:rPr>
        <w:t>exclusiva,</w:t>
      </w:r>
      <w:r>
        <w:rPr>
          <w:color w:val="231F20"/>
          <w:spacing w:val="-35"/>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funcionamiento</w:t>
      </w:r>
      <w:r>
        <w:rPr>
          <w:color w:val="231F20"/>
          <w:spacing w:val="-30"/>
          <w:w w:val="105"/>
        </w:rPr>
        <w:t> </w:t>
      </w:r>
      <w:r>
        <w:rPr>
          <w:color w:val="231F20"/>
          <w:w w:val="105"/>
        </w:rPr>
        <w:t>interno</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organizaciones.</w:t>
      </w:r>
      <w:r>
        <w:rPr>
          <w:color w:val="231F20"/>
          <w:spacing w:val="-35"/>
          <w:w w:val="105"/>
        </w:rPr>
        <w:t> </w:t>
      </w:r>
      <w:r>
        <w:rPr>
          <w:color w:val="231F20"/>
          <w:w w:val="105"/>
        </w:rPr>
        <w:t>Sin embrago,</w:t>
      </w:r>
      <w:r>
        <w:rPr>
          <w:color w:val="231F20"/>
          <w:spacing w:val="-17"/>
          <w:w w:val="105"/>
        </w:rPr>
        <w:t> </w:t>
      </w:r>
      <w:r>
        <w:rPr>
          <w:color w:val="231F20"/>
          <w:w w:val="105"/>
        </w:rPr>
        <w:t>aunque</w:t>
      </w:r>
      <w:r>
        <w:rPr>
          <w:color w:val="231F20"/>
          <w:spacing w:val="-12"/>
          <w:w w:val="105"/>
        </w:rPr>
        <w:t> </w:t>
      </w:r>
      <w:r>
        <w:rPr>
          <w:color w:val="231F20"/>
          <w:w w:val="105"/>
        </w:rPr>
        <w:t>su</w:t>
      </w:r>
      <w:r>
        <w:rPr>
          <w:color w:val="231F20"/>
          <w:spacing w:val="-12"/>
          <w:w w:val="105"/>
        </w:rPr>
        <w:t> </w:t>
      </w:r>
      <w:r>
        <w:rPr>
          <w:color w:val="231F20"/>
          <w:w w:val="105"/>
        </w:rPr>
        <w:t>campo</w:t>
      </w:r>
      <w:r>
        <w:rPr>
          <w:color w:val="231F20"/>
          <w:spacing w:val="-12"/>
          <w:w w:val="105"/>
        </w:rPr>
        <w:t> </w:t>
      </w:r>
      <w:r>
        <w:rPr>
          <w:color w:val="231F20"/>
          <w:w w:val="105"/>
        </w:rPr>
        <w:t>de</w:t>
      </w:r>
      <w:r>
        <w:rPr>
          <w:color w:val="231F20"/>
          <w:spacing w:val="-12"/>
          <w:w w:val="105"/>
        </w:rPr>
        <w:t> </w:t>
      </w:r>
      <w:r>
        <w:rPr>
          <w:color w:val="231F20"/>
          <w:w w:val="105"/>
        </w:rPr>
        <w:t>estudio</w:t>
      </w:r>
      <w:r>
        <w:rPr>
          <w:color w:val="231F20"/>
          <w:spacing w:val="-12"/>
          <w:w w:val="105"/>
        </w:rPr>
        <w:t> </w:t>
      </w:r>
      <w:r>
        <w:rPr>
          <w:color w:val="231F20"/>
          <w:w w:val="105"/>
        </w:rPr>
        <w:t>es</w:t>
      </w:r>
      <w:r>
        <w:rPr>
          <w:color w:val="231F20"/>
          <w:spacing w:val="-12"/>
          <w:w w:val="105"/>
        </w:rPr>
        <w:t> </w:t>
      </w:r>
      <w:r>
        <w:rPr>
          <w:color w:val="231F20"/>
          <w:w w:val="105"/>
        </w:rPr>
        <w:t>amplio,</w:t>
      </w:r>
      <w:r>
        <w:rPr>
          <w:color w:val="231F20"/>
          <w:spacing w:val="-17"/>
          <w:w w:val="105"/>
        </w:rPr>
        <w:t> </w:t>
      </w:r>
      <w:r>
        <w:rPr>
          <w:color w:val="231F20"/>
          <w:w w:val="105"/>
        </w:rPr>
        <w:t>también</w:t>
      </w:r>
      <w:r>
        <w:rPr>
          <w:color w:val="231F20"/>
          <w:spacing w:val="-12"/>
          <w:w w:val="105"/>
        </w:rPr>
        <w:t> </w:t>
      </w:r>
      <w:r>
        <w:rPr>
          <w:color w:val="231F20"/>
          <w:w w:val="105"/>
        </w:rPr>
        <w:t>está</w:t>
      </w:r>
      <w:r>
        <w:rPr>
          <w:color w:val="231F20"/>
          <w:spacing w:val="-12"/>
          <w:w w:val="105"/>
        </w:rPr>
        <w:t> </w:t>
      </w:r>
      <w:r>
        <w:rPr>
          <w:color w:val="231F20"/>
          <w:w w:val="105"/>
        </w:rPr>
        <w:t>limitada para abordar ciertas problemáticas debido a que pone poca atención a las</w:t>
      </w:r>
      <w:r>
        <w:rPr>
          <w:color w:val="231F20"/>
          <w:spacing w:val="-26"/>
          <w:w w:val="105"/>
        </w:rPr>
        <w:t> </w:t>
      </w:r>
      <w:r>
        <w:rPr>
          <w:color w:val="231F20"/>
          <w:w w:val="105"/>
        </w:rPr>
        <w:t>relaciones</w:t>
      </w:r>
      <w:r>
        <w:rPr>
          <w:color w:val="231F20"/>
          <w:spacing w:val="-26"/>
          <w:w w:val="105"/>
        </w:rPr>
        <w:t> </w:t>
      </w:r>
      <w:r>
        <w:rPr>
          <w:color w:val="231F20"/>
          <w:w w:val="105"/>
        </w:rPr>
        <w:t>interorganizacionales,</w:t>
      </w:r>
      <w:r>
        <w:rPr>
          <w:color w:val="231F20"/>
          <w:spacing w:val="-30"/>
          <w:w w:val="105"/>
        </w:rPr>
        <w:t> </w:t>
      </w:r>
      <w:r>
        <w:rPr>
          <w:color w:val="231F20"/>
          <w:w w:val="105"/>
        </w:rPr>
        <w:t>y</w:t>
      </w:r>
      <w:r>
        <w:rPr>
          <w:color w:val="231F20"/>
          <w:spacing w:val="-26"/>
          <w:w w:val="105"/>
        </w:rPr>
        <w:t> </w:t>
      </w:r>
      <w:r>
        <w:rPr>
          <w:color w:val="231F20"/>
          <w:w w:val="105"/>
        </w:rPr>
        <w:t>menos</w:t>
      </w:r>
      <w:r>
        <w:rPr>
          <w:color w:val="231F20"/>
          <w:spacing w:val="-26"/>
          <w:w w:val="105"/>
        </w:rPr>
        <w:t> </w:t>
      </w:r>
      <w:r>
        <w:rPr>
          <w:color w:val="231F20"/>
          <w:w w:val="105"/>
        </w:rPr>
        <w:t>aún</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industrias</w:t>
      </w:r>
      <w:r>
        <w:rPr>
          <w:color w:val="231F20"/>
          <w:spacing w:val="-26"/>
          <w:w w:val="105"/>
        </w:rPr>
        <w:t> </w:t>
      </w:r>
      <w:r>
        <w:rPr>
          <w:color w:val="231F20"/>
          <w:w w:val="105"/>
        </w:rPr>
        <w:t>y</w:t>
      </w:r>
      <w:r>
        <w:rPr>
          <w:color w:val="231F20"/>
          <w:spacing w:val="-26"/>
          <w:w w:val="105"/>
        </w:rPr>
        <w:t> </w:t>
      </w:r>
      <w:r>
        <w:rPr>
          <w:color w:val="231F20"/>
          <w:w w:val="105"/>
        </w:rPr>
        <w:t>al</w:t>
      </w:r>
      <w:r>
        <w:rPr>
          <w:color w:val="231F20"/>
          <w:spacing w:val="-26"/>
          <w:w w:val="105"/>
        </w:rPr>
        <w:t> </w:t>
      </w:r>
      <w:r>
        <w:rPr>
          <w:color w:val="231F20"/>
          <w:w w:val="105"/>
        </w:rPr>
        <w:t>pa- pel</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empresa</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economía</w:t>
      </w:r>
      <w:r>
        <w:rPr>
          <w:color w:val="231F20"/>
          <w:spacing w:val="-24"/>
          <w:w w:val="105"/>
        </w:rPr>
        <w:t> </w:t>
      </w:r>
      <w:r>
        <w:rPr>
          <w:color w:val="231F20"/>
          <w:w w:val="105"/>
        </w:rPr>
        <w:t>como</w:t>
      </w:r>
      <w:r>
        <w:rPr>
          <w:color w:val="231F20"/>
          <w:spacing w:val="-24"/>
          <w:w w:val="105"/>
        </w:rPr>
        <w:t> </w:t>
      </w:r>
      <w:r>
        <w:rPr>
          <w:color w:val="231F20"/>
          <w:w w:val="105"/>
        </w:rPr>
        <w:t>un</w:t>
      </w:r>
      <w:r>
        <w:rPr>
          <w:color w:val="231F20"/>
          <w:spacing w:val="-24"/>
          <w:w w:val="105"/>
        </w:rPr>
        <w:t> </w:t>
      </w:r>
      <w:r>
        <w:rPr>
          <w:color w:val="231F20"/>
          <w:w w:val="105"/>
        </w:rPr>
        <w:t>todo.</w:t>
      </w:r>
      <w:r>
        <w:rPr>
          <w:color w:val="231F20"/>
          <w:spacing w:val="-29"/>
          <w:w w:val="105"/>
        </w:rPr>
        <w:t> </w:t>
      </w:r>
      <w:r>
        <w:rPr>
          <w:color w:val="231F20"/>
          <w:w w:val="105"/>
        </w:rPr>
        <w:t>Fenómenos</w:t>
      </w:r>
      <w:r>
        <w:rPr>
          <w:color w:val="231F20"/>
          <w:spacing w:val="-24"/>
          <w:w w:val="105"/>
        </w:rPr>
        <w:t> </w:t>
      </w:r>
      <w:r>
        <w:rPr>
          <w:color w:val="231F20"/>
          <w:w w:val="105"/>
        </w:rPr>
        <w:t>como</w:t>
      </w:r>
      <w:r>
        <w:rPr>
          <w:color w:val="231F20"/>
          <w:spacing w:val="-24"/>
          <w:w w:val="105"/>
        </w:rPr>
        <w:t> </w:t>
      </w:r>
      <w:r>
        <w:rPr>
          <w:color w:val="231F20"/>
          <w:w w:val="105"/>
        </w:rPr>
        <w:t>éstos son</w:t>
      </w:r>
      <w:r>
        <w:rPr>
          <w:color w:val="231F20"/>
          <w:spacing w:val="-15"/>
          <w:w w:val="105"/>
        </w:rPr>
        <w:t> </w:t>
      </w:r>
      <w:r>
        <w:rPr>
          <w:color w:val="231F20"/>
          <w:w w:val="105"/>
        </w:rPr>
        <w:t>abordados</w:t>
      </w:r>
      <w:r>
        <w:rPr>
          <w:color w:val="231F20"/>
          <w:spacing w:val="-15"/>
          <w:w w:val="105"/>
        </w:rPr>
        <w:t> </w:t>
      </w:r>
      <w:r>
        <w:rPr>
          <w:color w:val="231F20"/>
          <w:w w:val="105"/>
        </w:rPr>
        <w:t>a</w:t>
      </w:r>
      <w:r>
        <w:rPr>
          <w:color w:val="231F20"/>
          <w:spacing w:val="-15"/>
          <w:w w:val="105"/>
        </w:rPr>
        <w:t> </w:t>
      </w:r>
      <w:r>
        <w:rPr>
          <w:color w:val="231F20"/>
          <w:w w:val="105"/>
        </w:rPr>
        <w:t>detalle</w:t>
      </w:r>
      <w:r>
        <w:rPr>
          <w:color w:val="231F20"/>
          <w:spacing w:val="-15"/>
          <w:w w:val="105"/>
        </w:rPr>
        <w:t> </w:t>
      </w:r>
      <w:r>
        <w:rPr>
          <w:color w:val="231F20"/>
          <w:w w:val="105"/>
        </w:rPr>
        <w:t>por</w:t>
      </w:r>
      <w:r>
        <w:rPr>
          <w:color w:val="231F20"/>
          <w:spacing w:val="-15"/>
          <w:w w:val="105"/>
        </w:rPr>
        <w:t> </w:t>
      </w:r>
      <w:r>
        <w:rPr>
          <w:color w:val="231F20"/>
          <w:w w:val="105"/>
        </w:rPr>
        <w:t>otra</w:t>
      </w:r>
      <w:r>
        <w:rPr>
          <w:color w:val="231F20"/>
          <w:spacing w:val="-15"/>
          <w:w w:val="105"/>
        </w:rPr>
        <w:t> </w:t>
      </w:r>
      <w:r>
        <w:rPr>
          <w:color w:val="231F20"/>
          <w:w w:val="105"/>
        </w:rPr>
        <w:t>ciencia</w:t>
      </w:r>
      <w:r>
        <w:rPr>
          <w:color w:val="231F20"/>
          <w:spacing w:val="-15"/>
          <w:w w:val="105"/>
        </w:rPr>
        <w:t> </w:t>
      </w:r>
      <w:r>
        <w:rPr>
          <w:color w:val="231F20"/>
          <w:w w:val="105"/>
        </w:rPr>
        <w:t>social:</w:t>
      </w:r>
      <w:r>
        <w:rPr>
          <w:color w:val="231F20"/>
          <w:spacing w:val="-15"/>
          <w:w w:val="105"/>
        </w:rPr>
        <w:t> </w:t>
      </w:r>
      <w:r>
        <w:rPr>
          <w:color w:val="231F20"/>
          <w:w w:val="105"/>
        </w:rPr>
        <w:t>la</w:t>
      </w:r>
      <w:r>
        <w:rPr>
          <w:color w:val="231F20"/>
          <w:spacing w:val="-15"/>
          <w:w w:val="105"/>
        </w:rPr>
        <w:t> </w:t>
      </w:r>
      <w:r>
        <w:rPr>
          <w:color w:val="231F20"/>
          <w:w w:val="105"/>
        </w:rPr>
        <w:t>economía.</w:t>
      </w:r>
    </w:p>
    <w:p>
      <w:pPr>
        <w:pStyle w:val="BodyText"/>
        <w:spacing w:line="259" w:lineRule="auto"/>
        <w:ind w:left="103" w:right="108" w:firstLine="567"/>
        <w:jc w:val="both"/>
      </w:pPr>
      <w:r>
        <w:rPr>
          <w:color w:val="231F20"/>
          <w:w w:val="105"/>
        </w:rPr>
        <w:t>La</w:t>
      </w:r>
      <w:r>
        <w:rPr>
          <w:color w:val="231F20"/>
          <w:spacing w:val="-9"/>
          <w:w w:val="105"/>
        </w:rPr>
        <w:t> </w:t>
      </w:r>
      <w:r>
        <w:rPr>
          <w:color w:val="231F20"/>
          <w:w w:val="105"/>
        </w:rPr>
        <w:t>economía</w:t>
      </w:r>
      <w:r>
        <w:rPr>
          <w:color w:val="231F20"/>
          <w:spacing w:val="-9"/>
          <w:w w:val="105"/>
        </w:rPr>
        <w:t> </w:t>
      </w:r>
      <w:r>
        <w:rPr>
          <w:color w:val="231F20"/>
          <w:w w:val="105"/>
        </w:rPr>
        <w:t>estudia</w:t>
      </w:r>
      <w:r>
        <w:rPr>
          <w:color w:val="231F20"/>
          <w:spacing w:val="-9"/>
          <w:w w:val="105"/>
        </w:rPr>
        <w:t> </w:t>
      </w:r>
      <w:r>
        <w:rPr>
          <w:color w:val="231F20"/>
          <w:w w:val="105"/>
        </w:rPr>
        <w:t>la</w:t>
      </w:r>
      <w:r>
        <w:rPr>
          <w:color w:val="231F20"/>
          <w:spacing w:val="-9"/>
          <w:w w:val="105"/>
        </w:rPr>
        <w:t> </w:t>
      </w:r>
      <w:r>
        <w:rPr>
          <w:color w:val="231F20"/>
          <w:w w:val="105"/>
        </w:rPr>
        <w:t>manera</w:t>
      </w:r>
      <w:r>
        <w:rPr>
          <w:color w:val="231F20"/>
          <w:spacing w:val="-9"/>
          <w:w w:val="105"/>
        </w:rPr>
        <w:t> </w:t>
      </w:r>
      <w:r>
        <w:rPr>
          <w:color w:val="231F20"/>
          <w:w w:val="105"/>
        </w:rPr>
        <w:t>en</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sociedades</w:t>
      </w:r>
      <w:r>
        <w:rPr>
          <w:color w:val="231F20"/>
          <w:spacing w:val="-9"/>
          <w:w w:val="105"/>
        </w:rPr>
        <w:t> </w:t>
      </w:r>
      <w:r>
        <w:rPr>
          <w:color w:val="231F20"/>
          <w:w w:val="105"/>
        </w:rPr>
        <w:t>utilizan</w:t>
      </w:r>
      <w:r>
        <w:rPr>
          <w:color w:val="231F20"/>
          <w:spacing w:val="-9"/>
          <w:w w:val="105"/>
        </w:rPr>
        <w:t> </w:t>
      </w:r>
      <w:r>
        <w:rPr>
          <w:color w:val="231F20"/>
          <w:w w:val="105"/>
        </w:rPr>
        <w:t>los recursos</w:t>
      </w:r>
      <w:r>
        <w:rPr>
          <w:color w:val="231F20"/>
          <w:spacing w:val="-16"/>
          <w:w w:val="105"/>
        </w:rPr>
        <w:t> </w:t>
      </w:r>
      <w:r>
        <w:rPr>
          <w:color w:val="231F20"/>
          <w:w w:val="105"/>
        </w:rPr>
        <w:t>escasos</w:t>
      </w:r>
      <w:r>
        <w:rPr>
          <w:color w:val="231F20"/>
          <w:spacing w:val="-16"/>
          <w:w w:val="105"/>
        </w:rPr>
        <w:t> </w:t>
      </w:r>
      <w:r>
        <w:rPr>
          <w:color w:val="231F20"/>
          <w:w w:val="105"/>
        </w:rPr>
        <w:t>para</w:t>
      </w:r>
      <w:r>
        <w:rPr>
          <w:color w:val="231F20"/>
          <w:spacing w:val="-16"/>
          <w:w w:val="105"/>
        </w:rPr>
        <w:t> </w:t>
      </w:r>
      <w:r>
        <w:rPr>
          <w:color w:val="231F20"/>
          <w:w w:val="105"/>
        </w:rPr>
        <w:t>producir</w:t>
      </w:r>
      <w:r>
        <w:rPr>
          <w:color w:val="231F20"/>
          <w:spacing w:val="-16"/>
          <w:w w:val="105"/>
        </w:rPr>
        <w:t> </w:t>
      </w:r>
      <w:r>
        <w:rPr>
          <w:color w:val="231F20"/>
          <w:w w:val="105"/>
        </w:rPr>
        <w:t>mercancías</w:t>
      </w:r>
      <w:r>
        <w:rPr>
          <w:color w:val="231F20"/>
          <w:spacing w:val="-16"/>
          <w:w w:val="105"/>
        </w:rPr>
        <w:t> </w:t>
      </w:r>
      <w:r>
        <w:rPr>
          <w:color w:val="231F20"/>
          <w:w w:val="105"/>
        </w:rPr>
        <w:t>valiosas</w:t>
      </w:r>
      <w:r>
        <w:rPr>
          <w:color w:val="231F20"/>
          <w:spacing w:val="-16"/>
          <w:w w:val="105"/>
        </w:rPr>
        <w:t> </w:t>
      </w:r>
      <w:r>
        <w:rPr>
          <w:color w:val="231F20"/>
          <w:w w:val="105"/>
        </w:rPr>
        <w:t>y</w:t>
      </w:r>
      <w:r>
        <w:rPr>
          <w:color w:val="231F20"/>
          <w:spacing w:val="-16"/>
          <w:w w:val="105"/>
        </w:rPr>
        <w:t> </w:t>
      </w:r>
      <w:r>
        <w:rPr>
          <w:color w:val="231F20"/>
          <w:w w:val="105"/>
        </w:rPr>
        <w:t>distribuirlas</w:t>
      </w:r>
      <w:r>
        <w:rPr>
          <w:color w:val="231F20"/>
          <w:spacing w:val="-16"/>
          <w:w w:val="105"/>
        </w:rPr>
        <w:t> </w:t>
      </w:r>
      <w:r>
        <w:rPr>
          <w:color w:val="231F20"/>
          <w:w w:val="105"/>
        </w:rPr>
        <w:t>entre los</w:t>
      </w:r>
      <w:r>
        <w:rPr>
          <w:color w:val="231F20"/>
          <w:spacing w:val="-17"/>
          <w:w w:val="105"/>
        </w:rPr>
        <w:t> </w:t>
      </w:r>
      <w:r>
        <w:rPr>
          <w:color w:val="231F20"/>
          <w:w w:val="105"/>
        </w:rPr>
        <w:t>diferentes</w:t>
      </w:r>
      <w:r>
        <w:rPr>
          <w:color w:val="231F20"/>
          <w:spacing w:val="-17"/>
          <w:w w:val="105"/>
        </w:rPr>
        <w:t> </w:t>
      </w:r>
      <w:r>
        <w:rPr>
          <w:color w:val="231F20"/>
          <w:w w:val="105"/>
        </w:rPr>
        <w:t>grupos</w:t>
      </w:r>
      <w:r>
        <w:rPr>
          <w:color w:val="231F20"/>
          <w:spacing w:val="-17"/>
          <w:w w:val="105"/>
        </w:rPr>
        <w:t> </w:t>
      </w:r>
      <w:r>
        <w:rPr>
          <w:color w:val="231F20"/>
          <w:w w:val="105"/>
        </w:rPr>
        <w:t>de</w:t>
      </w:r>
      <w:r>
        <w:rPr>
          <w:color w:val="231F20"/>
          <w:spacing w:val="-17"/>
          <w:w w:val="105"/>
        </w:rPr>
        <w:t> </w:t>
      </w:r>
      <w:r>
        <w:rPr>
          <w:color w:val="231F20"/>
          <w:w w:val="105"/>
        </w:rPr>
        <w:t>individuos</w:t>
      </w:r>
      <w:r>
        <w:rPr>
          <w:color w:val="231F20"/>
          <w:spacing w:val="-17"/>
          <w:w w:val="105"/>
        </w:rPr>
        <w:t> </w:t>
      </w:r>
      <w:r>
        <w:rPr>
          <w:color w:val="231F20"/>
          <w:w w:val="105"/>
        </w:rPr>
        <w:t>(Samuelson</w:t>
      </w:r>
      <w:r>
        <w:rPr>
          <w:color w:val="231F20"/>
          <w:spacing w:val="-17"/>
          <w:w w:val="105"/>
        </w:rPr>
        <w:t> </w:t>
      </w:r>
      <w:r>
        <w:rPr>
          <w:color w:val="231F20"/>
          <w:w w:val="105"/>
        </w:rPr>
        <w:t>y</w:t>
      </w:r>
      <w:r>
        <w:rPr>
          <w:color w:val="231F20"/>
          <w:spacing w:val="-17"/>
          <w:w w:val="105"/>
        </w:rPr>
        <w:t> </w:t>
      </w:r>
      <w:r>
        <w:rPr>
          <w:color w:val="231F20"/>
          <w:w w:val="105"/>
        </w:rPr>
        <w:t>Nordhaus,</w:t>
      </w:r>
      <w:r>
        <w:rPr>
          <w:color w:val="231F20"/>
          <w:spacing w:val="-21"/>
          <w:w w:val="105"/>
        </w:rPr>
        <w:t> </w:t>
      </w:r>
      <w:r>
        <w:rPr>
          <w:color w:val="231F20"/>
          <w:w w:val="105"/>
        </w:rPr>
        <w:t>1992).</w:t>
      </w:r>
      <w:r>
        <w:rPr>
          <w:color w:val="231F20"/>
          <w:spacing w:val="-21"/>
          <w:w w:val="105"/>
        </w:rPr>
        <w:t> </w:t>
      </w:r>
      <w:r>
        <w:rPr>
          <w:color w:val="231F20"/>
          <w:w w:val="105"/>
        </w:rPr>
        <w:t>Esta ciencia se divide en dos ramas: macroeconomía y microeconomía. La primera se encarga del estudio de grandes agregados como el consu- mo,</w:t>
      </w:r>
      <w:r>
        <w:rPr>
          <w:color w:val="231F20"/>
          <w:spacing w:val="-28"/>
          <w:w w:val="105"/>
        </w:rPr>
        <w:t> </w:t>
      </w:r>
      <w:r>
        <w:rPr>
          <w:color w:val="231F20"/>
          <w:w w:val="105"/>
        </w:rPr>
        <w:t>ahorro,</w:t>
      </w:r>
      <w:r>
        <w:rPr>
          <w:color w:val="231F20"/>
          <w:spacing w:val="-28"/>
          <w:w w:val="105"/>
        </w:rPr>
        <w:t> </w:t>
      </w:r>
      <w:r>
        <w:rPr>
          <w:color w:val="231F20"/>
          <w:w w:val="105"/>
        </w:rPr>
        <w:t>inversión,</w:t>
      </w:r>
      <w:r>
        <w:rPr>
          <w:color w:val="231F20"/>
          <w:spacing w:val="-28"/>
          <w:w w:val="105"/>
        </w:rPr>
        <w:t> </w:t>
      </w:r>
      <w:r>
        <w:rPr>
          <w:color w:val="231F20"/>
          <w:w w:val="105"/>
        </w:rPr>
        <w:t>inflación,</w:t>
      </w:r>
      <w:r>
        <w:rPr>
          <w:color w:val="231F20"/>
          <w:spacing w:val="-28"/>
          <w:w w:val="105"/>
        </w:rPr>
        <w:t> </w:t>
      </w:r>
      <w:r>
        <w:rPr>
          <w:color w:val="231F20"/>
          <w:w w:val="105"/>
        </w:rPr>
        <w:t>política</w:t>
      </w:r>
      <w:r>
        <w:rPr>
          <w:color w:val="231F20"/>
          <w:spacing w:val="-23"/>
          <w:w w:val="105"/>
        </w:rPr>
        <w:t> </w:t>
      </w:r>
      <w:r>
        <w:rPr>
          <w:color w:val="231F20"/>
          <w:w w:val="105"/>
        </w:rPr>
        <w:t>monetaria</w:t>
      </w:r>
      <w:r>
        <w:rPr>
          <w:color w:val="231F20"/>
          <w:spacing w:val="-23"/>
          <w:w w:val="105"/>
        </w:rPr>
        <w:t> </w:t>
      </w:r>
      <w:r>
        <w:rPr>
          <w:color w:val="231F20"/>
          <w:w w:val="105"/>
        </w:rPr>
        <w:t>y</w:t>
      </w:r>
      <w:r>
        <w:rPr>
          <w:color w:val="231F20"/>
          <w:spacing w:val="-23"/>
          <w:w w:val="105"/>
        </w:rPr>
        <w:t> </w:t>
      </w:r>
      <w:r>
        <w:rPr>
          <w:color w:val="231F20"/>
          <w:w w:val="105"/>
        </w:rPr>
        <w:t>desempleo</w:t>
      </w:r>
      <w:r>
        <w:rPr>
          <w:color w:val="231F20"/>
          <w:spacing w:val="-23"/>
          <w:w w:val="105"/>
        </w:rPr>
        <w:t> </w:t>
      </w:r>
      <w:r>
        <w:rPr>
          <w:color w:val="231F20"/>
          <w:w w:val="105"/>
        </w:rPr>
        <w:t>(Mankiw, 2007).</w:t>
      </w:r>
      <w:r>
        <w:rPr>
          <w:color w:val="231F20"/>
          <w:spacing w:val="-28"/>
          <w:w w:val="105"/>
        </w:rPr>
        <w:t> </w:t>
      </w:r>
      <w:r>
        <w:rPr>
          <w:color w:val="231F20"/>
          <w:w w:val="105"/>
        </w:rPr>
        <w:t>La</w:t>
      </w:r>
      <w:r>
        <w:rPr>
          <w:color w:val="231F20"/>
          <w:spacing w:val="-23"/>
          <w:w w:val="105"/>
        </w:rPr>
        <w:t> </w:t>
      </w:r>
      <w:r>
        <w:rPr>
          <w:color w:val="231F20"/>
          <w:w w:val="105"/>
        </w:rPr>
        <w:t>segunda</w:t>
      </w:r>
      <w:r>
        <w:rPr>
          <w:color w:val="231F20"/>
          <w:spacing w:val="-23"/>
          <w:w w:val="105"/>
        </w:rPr>
        <w:t> </w:t>
      </w:r>
      <w:r>
        <w:rPr>
          <w:color w:val="231F20"/>
          <w:w w:val="105"/>
        </w:rPr>
        <w:t>aborda</w:t>
      </w:r>
      <w:r>
        <w:rPr>
          <w:color w:val="231F20"/>
          <w:spacing w:val="-23"/>
          <w:w w:val="105"/>
        </w:rPr>
        <w:t> </w:t>
      </w:r>
      <w:r>
        <w:rPr>
          <w:color w:val="231F20"/>
          <w:w w:val="105"/>
        </w:rPr>
        <w:t>problemas</w:t>
      </w:r>
      <w:r>
        <w:rPr>
          <w:color w:val="231F20"/>
          <w:spacing w:val="-23"/>
          <w:w w:val="105"/>
        </w:rPr>
        <w:t> </w:t>
      </w:r>
      <w:r>
        <w:rPr>
          <w:color w:val="231F20"/>
          <w:w w:val="105"/>
        </w:rPr>
        <w:t>relacionados</w:t>
      </w:r>
      <w:r>
        <w:rPr>
          <w:color w:val="231F20"/>
          <w:spacing w:val="-23"/>
          <w:w w:val="105"/>
        </w:rPr>
        <w:t> </w:t>
      </w:r>
      <w:r>
        <w:rPr>
          <w:color w:val="231F20"/>
          <w:w w:val="105"/>
        </w:rPr>
        <w:t>con</w:t>
      </w:r>
      <w:r>
        <w:rPr>
          <w:color w:val="231F20"/>
          <w:spacing w:val="-23"/>
          <w:w w:val="105"/>
        </w:rPr>
        <w:t> </w:t>
      </w:r>
      <w:r>
        <w:rPr>
          <w:color w:val="231F20"/>
          <w:w w:val="105"/>
        </w:rPr>
        <w:t>unidades</w:t>
      </w:r>
      <w:r>
        <w:rPr>
          <w:color w:val="231F20"/>
          <w:spacing w:val="-23"/>
          <w:w w:val="105"/>
        </w:rPr>
        <w:t> </w:t>
      </w:r>
      <w:r>
        <w:rPr>
          <w:color w:val="231F20"/>
          <w:w w:val="105"/>
        </w:rPr>
        <w:t>econó- micas</w:t>
      </w:r>
      <w:r>
        <w:rPr>
          <w:color w:val="231F20"/>
          <w:spacing w:val="-11"/>
          <w:w w:val="105"/>
        </w:rPr>
        <w:t> </w:t>
      </w:r>
      <w:r>
        <w:rPr>
          <w:color w:val="231F20"/>
          <w:w w:val="105"/>
        </w:rPr>
        <w:t>particulares,</w:t>
      </w:r>
      <w:r>
        <w:rPr>
          <w:color w:val="231F20"/>
          <w:spacing w:val="-16"/>
          <w:w w:val="105"/>
        </w:rPr>
        <w:t> </w:t>
      </w:r>
      <w:r>
        <w:rPr>
          <w:color w:val="231F20"/>
          <w:w w:val="105"/>
        </w:rPr>
        <w:t>tales</w:t>
      </w:r>
      <w:r>
        <w:rPr>
          <w:color w:val="231F20"/>
          <w:spacing w:val="-11"/>
          <w:w w:val="105"/>
        </w:rPr>
        <w:t> </w:t>
      </w:r>
      <w:r>
        <w:rPr>
          <w:color w:val="231F20"/>
          <w:w w:val="105"/>
        </w:rPr>
        <w:t>como</w:t>
      </w:r>
      <w:r>
        <w:rPr>
          <w:color w:val="231F20"/>
          <w:spacing w:val="-11"/>
          <w:w w:val="105"/>
        </w:rPr>
        <w:t> </w:t>
      </w:r>
      <w:r>
        <w:rPr>
          <w:color w:val="231F20"/>
          <w:w w:val="105"/>
        </w:rPr>
        <w:t>individuos</w:t>
      </w:r>
      <w:r>
        <w:rPr>
          <w:color w:val="231F20"/>
          <w:spacing w:val="-11"/>
          <w:w w:val="105"/>
        </w:rPr>
        <w:t> </w:t>
      </w:r>
      <w:r>
        <w:rPr>
          <w:color w:val="231F20"/>
          <w:w w:val="105"/>
        </w:rPr>
        <w:t>(y</w:t>
      </w:r>
      <w:r>
        <w:rPr>
          <w:color w:val="231F20"/>
          <w:spacing w:val="-11"/>
          <w:w w:val="105"/>
        </w:rPr>
        <w:t> </w:t>
      </w:r>
      <w:r>
        <w:rPr>
          <w:color w:val="231F20"/>
          <w:w w:val="105"/>
        </w:rPr>
        <w:t>éstos</w:t>
      </w:r>
      <w:r>
        <w:rPr>
          <w:color w:val="231F20"/>
          <w:spacing w:val="-11"/>
          <w:w w:val="105"/>
        </w:rPr>
        <w:t> </w:t>
      </w:r>
      <w:r>
        <w:rPr>
          <w:color w:val="231F20"/>
          <w:w w:val="105"/>
        </w:rPr>
        <w:t>como</w:t>
      </w:r>
      <w:r>
        <w:rPr>
          <w:color w:val="231F20"/>
          <w:spacing w:val="-11"/>
          <w:w w:val="105"/>
        </w:rPr>
        <w:t> </w:t>
      </w:r>
      <w:r>
        <w:rPr>
          <w:color w:val="231F20"/>
          <w:w w:val="105"/>
        </w:rPr>
        <w:t>consumidores), empresas</w:t>
      </w:r>
      <w:r>
        <w:rPr>
          <w:color w:val="231F20"/>
          <w:spacing w:val="-42"/>
          <w:w w:val="105"/>
        </w:rPr>
        <w:t> </w:t>
      </w:r>
      <w:r>
        <w:rPr>
          <w:color w:val="231F20"/>
          <w:w w:val="105"/>
        </w:rPr>
        <w:t>y</w:t>
      </w:r>
      <w:r>
        <w:rPr>
          <w:color w:val="231F20"/>
          <w:spacing w:val="-42"/>
          <w:w w:val="105"/>
        </w:rPr>
        <w:t> </w:t>
      </w:r>
      <w:r>
        <w:rPr>
          <w:color w:val="231F20"/>
          <w:w w:val="105"/>
        </w:rPr>
        <w:t>mercados</w:t>
      </w:r>
      <w:r>
        <w:rPr>
          <w:color w:val="231F20"/>
          <w:spacing w:val="-42"/>
          <w:w w:val="105"/>
        </w:rPr>
        <w:t> </w:t>
      </w:r>
      <w:r>
        <w:rPr>
          <w:color w:val="231F20"/>
          <w:w w:val="105"/>
        </w:rPr>
        <w:t>(sectores)</w:t>
      </w:r>
      <w:r>
        <w:rPr>
          <w:color w:val="231F20"/>
          <w:spacing w:val="-42"/>
          <w:w w:val="105"/>
        </w:rPr>
        <w:t> </w:t>
      </w:r>
      <w:r>
        <w:rPr>
          <w:color w:val="231F20"/>
          <w:w w:val="105"/>
        </w:rPr>
        <w:t>(Pindyck</w:t>
      </w:r>
      <w:r>
        <w:rPr>
          <w:color w:val="231F20"/>
          <w:spacing w:val="-42"/>
          <w:w w:val="105"/>
        </w:rPr>
        <w:t> </w:t>
      </w:r>
      <w:r>
        <w:rPr>
          <w:color w:val="231F20"/>
          <w:w w:val="105"/>
        </w:rPr>
        <w:t>y</w:t>
      </w:r>
      <w:r>
        <w:rPr>
          <w:color w:val="231F20"/>
          <w:spacing w:val="-42"/>
          <w:w w:val="105"/>
        </w:rPr>
        <w:t> </w:t>
      </w:r>
      <w:r>
        <w:rPr>
          <w:color w:val="231F20"/>
          <w:w w:val="105"/>
        </w:rPr>
        <w:t>Rubinfeld,</w:t>
      </w:r>
      <w:r>
        <w:rPr>
          <w:color w:val="231F20"/>
          <w:spacing w:val="-45"/>
          <w:w w:val="105"/>
        </w:rPr>
        <w:t> </w:t>
      </w:r>
      <w:r>
        <w:rPr>
          <w:color w:val="231F20"/>
          <w:w w:val="105"/>
        </w:rPr>
        <w:t>2005).</w:t>
      </w:r>
      <w:r>
        <w:rPr>
          <w:color w:val="231F20"/>
          <w:spacing w:val="-45"/>
          <w:w w:val="105"/>
        </w:rPr>
        <w:t> </w:t>
      </w:r>
      <w:r>
        <w:rPr>
          <w:color w:val="231F20"/>
          <w:w w:val="105"/>
        </w:rPr>
        <w:t>De</w:t>
      </w:r>
      <w:r>
        <w:rPr>
          <w:color w:val="231F20"/>
          <w:spacing w:val="-42"/>
          <w:w w:val="105"/>
        </w:rPr>
        <w:t> </w:t>
      </w:r>
      <w:r>
        <w:rPr>
          <w:color w:val="231F20"/>
          <w:w w:val="105"/>
        </w:rPr>
        <w:t>cada</w:t>
      </w:r>
      <w:r>
        <w:rPr>
          <w:color w:val="231F20"/>
          <w:spacing w:val="-42"/>
          <w:w w:val="105"/>
        </w:rPr>
        <w:t> </w:t>
      </w:r>
      <w:r>
        <w:rPr>
          <w:color w:val="231F20"/>
          <w:w w:val="105"/>
        </w:rPr>
        <w:t>una de</w:t>
      </w:r>
      <w:r>
        <w:rPr>
          <w:color w:val="231F20"/>
          <w:spacing w:val="-15"/>
          <w:w w:val="105"/>
        </w:rPr>
        <w:t> </w:t>
      </w:r>
      <w:r>
        <w:rPr>
          <w:color w:val="231F20"/>
          <w:w w:val="105"/>
        </w:rPr>
        <w:t>estas</w:t>
      </w:r>
      <w:r>
        <w:rPr>
          <w:color w:val="231F20"/>
          <w:spacing w:val="-15"/>
          <w:w w:val="105"/>
        </w:rPr>
        <w:t> </w:t>
      </w:r>
      <w:r>
        <w:rPr>
          <w:color w:val="231F20"/>
          <w:w w:val="105"/>
        </w:rPr>
        <w:t>dos</w:t>
      </w:r>
      <w:r>
        <w:rPr>
          <w:color w:val="231F20"/>
          <w:spacing w:val="-15"/>
          <w:w w:val="105"/>
        </w:rPr>
        <w:t> </w:t>
      </w:r>
      <w:r>
        <w:rPr>
          <w:color w:val="231F20"/>
          <w:w w:val="105"/>
        </w:rPr>
        <w:t>grandes</w:t>
      </w:r>
      <w:r>
        <w:rPr>
          <w:color w:val="231F20"/>
          <w:spacing w:val="-15"/>
          <w:w w:val="105"/>
        </w:rPr>
        <w:t> </w:t>
      </w:r>
      <w:r>
        <w:rPr>
          <w:color w:val="231F20"/>
          <w:w w:val="105"/>
        </w:rPr>
        <w:t>divisiones</w:t>
      </w:r>
      <w:r>
        <w:rPr>
          <w:color w:val="231F20"/>
          <w:spacing w:val="-15"/>
          <w:w w:val="105"/>
        </w:rPr>
        <w:t> </w:t>
      </w:r>
      <w:r>
        <w:rPr>
          <w:color w:val="231F20"/>
          <w:w w:val="105"/>
        </w:rPr>
        <w:t>han</w:t>
      </w:r>
      <w:r>
        <w:rPr>
          <w:color w:val="231F20"/>
          <w:spacing w:val="-15"/>
          <w:w w:val="105"/>
        </w:rPr>
        <w:t> </w:t>
      </w:r>
      <w:r>
        <w:rPr>
          <w:color w:val="231F20"/>
          <w:w w:val="105"/>
        </w:rPr>
        <w:t>surgido</w:t>
      </w:r>
      <w:r>
        <w:rPr>
          <w:color w:val="231F20"/>
          <w:spacing w:val="-15"/>
          <w:w w:val="105"/>
        </w:rPr>
        <w:t> </w:t>
      </w:r>
      <w:r>
        <w:rPr>
          <w:color w:val="231F20"/>
          <w:w w:val="105"/>
        </w:rPr>
        <w:t>sub-disciplinas</w:t>
      </w:r>
      <w:r>
        <w:rPr>
          <w:color w:val="231F20"/>
          <w:spacing w:val="-15"/>
          <w:w w:val="105"/>
        </w:rPr>
        <w:t> </w:t>
      </w:r>
      <w:r>
        <w:rPr>
          <w:color w:val="231F20"/>
          <w:w w:val="105"/>
        </w:rPr>
        <w:t>que</w:t>
      </w:r>
      <w:r>
        <w:rPr>
          <w:color w:val="231F20"/>
          <w:spacing w:val="-15"/>
          <w:w w:val="105"/>
        </w:rPr>
        <w:t> </w:t>
      </w:r>
      <w:r>
        <w:rPr>
          <w:color w:val="231F20"/>
          <w:w w:val="105"/>
        </w:rPr>
        <w:t>profun- dizan en problemáticas particulares. </w:t>
      </w:r>
      <w:r>
        <w:rPr>
          <w:color w:val="231F20"/>
          <w:spacing w:val="-6"/>
          <w:w w:val="105"/>
        </w:rPr>
        <w:t>Por </w:t>
      </w:r>
      <w:r>
        <w:rPr>
          <w:color w:val="231F20"/>
          <w:w w:val="105"/>
        </w:rPr>
        <w:t>ejemplo la organización</w:t>
      </w:r>
      <w:r>
        <w:rPr>
          <w:color w:val="231F20"/>
          <w:spacing w:val="-37"/>
          <w:w w:val="105"/>
        </w:rPr>
        <w:t> </w:t>
      </w:r>
      <w:r>
        <w:rPr>
          <w:color w:val="231F20"/>
          <w:w w:val="105"/>
        </w:rPr>
        <w:t>indus- trial</w:t>
      </w:r>
      <w:r>
        <w:rPr>
          <w:color w:val="231F20"/>
          <w:spacing w:val="-4"/>
          <w:w w:val="105"/>
        </w:rPr>
        <w:t> </w:t>
      </w:r>
      <w:r>
        <w:rPr>
          <w:color w:val="231F20"/>
          <w:w w:val="105"/>
        </w:rPr>
        <w:t>que,</w:t>
      </w:r>
      <w:r>
        <w:rPr>
          <w:color w:val="231F20"/>
          <w:spacing w:val="-9"/>
          <w:w w:val="105"/>
        </w:rPr>
        <w:t> </w:t>
      </w:r>
      <w:r>
        <w:rPr>
          <w:color w:val="231F20"/>
          <w:w w:val="105"/>
        </w:rPr>
        <w:t>enraizada</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microeconomía,</w:t>
      </w:r>
      <w:r>
        <w:rPr>
          <w:color w:val="231F20"/>
          <w:spacing w:val="-9"/>
          <w:w w:val="105"/>
        </w:rPr>
        <w:t> </w:t>
      </w:r>
      <w:r>
        <w:rPr>
          <w:color w:val="231F20"/>
          <w:w w:val="105"/>
        </w:rPr>
        <w:t>estudia</w:t>
      </w:r>
      <w:r>
        <w:rPr>
          <w:color w:val="231F20"/>
          <w:spacing w:val="-4"/>
          <w:w w:val="105"/>
        </w:rPr>
        <w:t> </w:t>
      </w:r>
      <w:r>
        <w:rPr>
          <w:color w:val="231F20"/>
          <w:w w:val="105"/>
        </w:rPr>
        <w:t>la</w:t>
      </w:r>
      <w:r>
        <w:rPr>
          <w:color w:val="231F20"/>
          <w:spacing w:val="-4"/>
          <w:w w:val="105"/>
        </w:rPr>
        <w:t> </w:t>
      </w:r>
      <w:r>
        <w:rPr>
          <w:color w:val="231F20"/>
          <w:w w:val="105"/>
        </w:rPr>
        <w:t>estructura</w:t>
      </w:r>
      <w:r>
        <w:rPr>
          <w:color w:val="231F20"/>
          <w:spacing w:val="-4"/>
          <w:w w:val="105"/>
        </w:rPr>
        <w:t> </w:t>
      </w:r>
      <w:r>
        <w:rPr>
          <w:color w:val="231F20"/>
          <w:w w:val="105"/>
        </w:rPr>
        <w:t>del</w:t>
      </w:r>
      <w:r>
        <w:rPr>
          <w:color w:val="231F20"/>
          <w:spacing w:val="-4"/>
          <w:w w:val="105"/>
        </w:rPr>
        <w:t> </w:t>
      </w:r>
      <w:r>
        <w:rPr>
          <w:color w:val="231F20"/>
          <w:w w:val="105"/>
        </w:rPr>
        <w:t>mer- cado con la finalidad de identificar factores que interfieren con la sana competencia</w:t>
      </w:r>
      <w:r>
        <w:rPr>
          <w:color w:val="231F20"/>
          <w:spacing w:val="-32"/>
          <w:w w:val="105"/>
        </w:rPr>
        <w:t> </w:t>
      </w:r>
      <w:r>
        <w:rPr>
          <w:color w:val="231F20"/>
          <w:w w:val="105"/>
        </w:rPr>
        <w:t>(Cernas</w:t>
      </w:r>
      <w:r>
        <w:rPr>
          <w:color w:val="231F20"/>
          <w:spacing w:val="-32"/>
          <w:w w:val="105"/>
        </w:rPr>
        <w:t> </w:t>
      </w:r>
      <w:r>
        <w:rPr>
          <w:color w:val="231F20"/>
          <w:w w:val="105"/>
        </w:rPr>
        <w:t>y</w:t>
      </w:r>
      <w:r>
        <w:rPr>
          <w:color w:val="231F20"/>
          <w:spacing w:val="-32"/>
          <w:w w:val="105"/>
        </w:rPr>
        <w:t> </w:t>
      </w:r>
      <w:r>
        <w:rPr>
          <w:color w:val="231F20"/>
          <w:w w:val="105"/>
        </w:rPr>
        <w:t>Mercado,</w:t>
      </w:r>
      <w:r>
        <w:rPr>
          <w:color w:val="231F20"/>
          <w:spacing w:val="-36"/>
          <w:w w:val="105"/>
        </w:rPr>
        <w:t> </w:t>
      </w:r>
      <w:r>
        <w:rPr>
          <w:color w:val="231F20"/>
          <w:w w:val="105"/>
        </w:rPr>
        <w:t>2013).</w:t>
      </w:r>
    </w:p>
    <w:p>
      <w:pPr>
        <w:pStyle w:val="BodyText"/>
        <w:spacing w:line="259" w:lineRule="auto"/>
        <w:ind w:left="103" w:right="115" w:firstLine="567"/>
        <w:jc w:val="both"/>
      </w:pPr>
      <w:r>
        <w:rPr>
          <w:color w:val="231F20"/>
          <w:w w:val="105"/>
        </w:rPr>
        <w:t>Al</w:t>
      </w:r>
      <w:r>
        <w:rPr>
          <w:color w:val="231F20"/>
          <w:spacing w:val="-19"/>
          <w:w w:val="105"/>
        </w:rPr>
        <w:t> </w:t>
      </w:r>
      <w:r>
        <w:rPr>
          <w:color w:val="231F20"/>
          <w:spacing w:val="-3"/>
          <w:w w:val="105"/>
        </w:rPr>
        <w:t>margen</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spacing w:val="-3"/>
          <w:w w:val="105"/>
        </w:rPr>
        <w:t>prestigio</w:t>
      </w:r>
      <w:r>
        <w:rPr>
          <w:color w:val="231F20"/>
          <w:spacing w:val="-19"/>
          <w:w w:val="105"/>
        </w:rPr>
        <w:t> </w:t>
      </w:r>
      <w:r>
        <w:rPr>
          <w:color w:val="231F20"/>
          <w:w w:val="105"/>
        </w:rPr>
        <w:t>científico,</w:t>
      </w:r>
      <w:r>
        <w:rPr>
          <w:color w:val="231F20"/>
          <w:spacing w:val="-24"/>
          <w:w w:val="105"/>
        </w:rPr>
        <w:t> </w:t>
      </w:r>
      <w:r>
        <w:rPr>
          <w:color w:val="231F20"/>
          <w:w w:val="105"/>
        </w:rPr>
        <w:t>la</w:t>
      </w:r>
      <w:r>
        <w:rPr>
          <w:color w:val="231F20"/>
          <w:spacing w:val="-19"/>
          <w:w w:val="105"/>
        </w:rPr>
        <w:t> </w:t>
      </w:r>
      <w:r>
        <w:rPr>
          <w:color w:val="231F20"/>
          <w:w w:val="105"/>
        </w:rPr>
        <w:t>economía</w:t>
      </w:r>
      <w:r>
        <w:rPr>
          <w:color w:val="231F20"/>
          <w:spacing w:val="-19"/>
          <w:w w:val="105"/>
        </w:rPr>
        <w:t> </w:t>
      </w:r>
      <w:r>
        <w:rPr>
          <w:color w:val="231F20"/>
          <w:w w:val="105"/>
        </w:rPr>
        <w:t>también</w:t>
      </w:r>
      <w:r>
        <w:rPr>
          <w:color w:val="231F20"/>
          <w:spacing w:val="-19"/>
          <w:w w:val="105"/>
        </w:rPr>
        <w:t> </w:t>
      </w:r>
      <w:r>
        <w:rPr>
          <w:color w:val="231F20"/>
          <w:w w:val="105"/>
        </w:rPr>
        <w:t>tiene</w:t>
      </w:r>
      <w:r>
        <w:rPr>
          <w:color w:val="231F20"/>
          <w:spacing w:val="-19"/>
          <w:w w:val="105"/>
        </w:rPr>
        <w:t> </w:t>
      </w:r>
      <w:r>
        <w:rPr>
          <w:color w:val="231F20"/>
          <w:spacing w:val="-2"/>
          <w:w w:val="105"/>
        </w:rPr>
        <w:t>sus </w:t>
      </w:r>
      <w:r>
        <w:rPr>
          <w:color w:val="231F20"/>
          <w:w w:val="105"/>
        </w:rPr>
        <w:t>limitaciones para </w:t>
      </w:r>
      <w:r>
        <w:rPr>
          <w:color w:val="231F20"/>
          <w:spacing w:val="-3"/>
          <w:w w:val="105"/>
        </w:rPr>
        <w:t>abordar </w:t>
      </w:r>
      <w:r>
        <w:rPr>
          <w:color w:val="231F20"/>
          <w:w w:val="105"/>
        </w:rPr>
        <w:t>ciertos </w:t>
      </w:r>
      <w:r>
        <w:rPr>
          <w:color w:val="231F20"/>
          <w:spacing w:val="-3"/>
          <w:w w:val="105"/>
        </w:rPr>
        <w:t>problemas relativos </w:t>
      </w:r>
      <w:r>
        <w:rPr>
          <w:color w:val="231F20"/>
          <w:w w:val="105"/>
        </w:rPr>
        <w:t>a las </w:t>
      </w:r>
      <w:r>
        <w:rPr>
          <w:color w:val="231F20"/>
          <w:spacing w:val="-3"/>
          <w:w w:val="105"/>
        </w:rPr>
        <w:t>organizacio- </w:t>
      </w:r>
      <w:r>
        <w:rPr>
          <w:color w:val="231F20"/>
          <w:w w:val="105"/>
        </w:rPr>
        <w:t>nes.</w:t>
      </w:r>
      <w:r>
        <w:rPr>
          <w:color w:val="231F20"/>
          <w:spacing w:val="-36"/>
          <w:w w:val="105"/>
        </w:rPr>
        <w:t> </w:t>
      </w:r>
      <w:r>
        <w:rPr>
          <w:color w:val="231F20"/>
          <w:w w:val="105"/>
        </w:rPr>
        <w:t>Además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controversial</w:t>
      </w:r>
      <w:r>
        <w:rPr>
          <w:color w:val="231F20"/>
          <w:spacing w:val="-29"/>
          <w:w w:val="105"/>
        </w:rPr>
        <w:t> </w:t>
      </w:r>
      <w:r>
        <w:rPr>
          <w:color w:val="231F20"/>
          <w:w w:val="105"/>
        </w:rPr>
        <w:t>suposición</w:t>
      </w:r>
      <w:r>
        <w:rPr>
          <w:color w:val="231F20"/>
          <w:spacing w:val="-29"/>
          <w:w w:val="105"/>
        </w:rPr>
        <w:t> </w:t>
      </w:r>
      <w:r>
        <w:rPr>
          <w:color w:val="231F20"/>
          <w:w w:val="105"/>
        </w:rPr>
        <w:t>de</w:t>
      </w:r>
      <w:r>
        <w:rPr>
          <w:color w:val="231F20"/>
          <w:spacing w:val="-29"/>
          <w:w w:val="105"/>
        </w:rPr>
        <w:t> </w:t>
      </w:r>
      <w:r>
        <w:rPr>
          <w:color w:val="231F20"/>
          <w:w w:val="105"/>
        </w:rPr>
        <w:t>racionalidad</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spacing w:val="-3"/>
          <w:w w:val="105"/>
        </w:rPr>
        <w:t>actores </w:t>
      </w:r>
      <w:r>
        <w:rPr>
          <w:color w:val="231F20"/>
          <w:w w:val="105"/>
        </w:rPr>
        <w:t>económicos,</w:t>
      </w:r>
      <w:r>
        <w:rPr>
          <w:color w:val="231F20"/>
          <w:spacing w:val="-19"/>
          <w:w w:val="105"/>
        </w:rPr>
        <w:t> </w:t>
      </w:r>
      <w:r>
        <w:rPr>
          <w:color w:val="231F20"/>
          <w:w w:val="105"/>
        </w:rPr>
        <w:t>quizá</w:t>
      </w:r>
      <w:r>
        <w:rPr>
          <w:color w:val="231F20"/>
          <w:spacing w:val="-14"/>
          <w:w w:val="105"/>
        </w:rPr>
        <w:t> </w:t>
      </w:r>
      <w:r>
        <w:rPr>
          <w:color w:val="231F20"/>
          <w:w w:val="105"/>
        </w:rPr>
        <w:t>lo</w:t>
      </w:r>
      <w:r>
        <w:rPr>
          <w:color w:val="231F20"/>
          <w:spacing w:val="-14"/>
          <w:w w:val="105"/>
        </w:rPr>
        <w:t> </w:t>
      </w:r>
      <w:r>
        <w:rPr>
          <w:color w:val="231F20"/>
          <w:w w:val="105"/>
        </w:rPr>
        <w:t>más</w:t>
      </w:r>
      <w:r>
        <w:rPr>
          <w:color w:val="231F20"/>
          <w:spacing w:val="-14"/>
          <w:w w:val="105"/>
        </w:rPr>
        <w:t> </w:t>
      </w:r>
      <w:r>
        <w:rPr>
          <w:color w:val="231F20"/>
          <w:w w:val="105"/>
        </w:rPr>
        <w:t>discutido</w:t>
      </w:r>
      <w:r>
        <w:rPr>
          <w:color w:val="231F20"/>
          <w:spacing w:val="-14"/>
          <w:w w:val="105"/>
        </w:rPr>
        <w:t> </w:t>
      </w:r>
      <w:r>
        <w:rPr>
          <w:color w:val="231F20"/>
          <w:w w:val="105"/>
        </w:rPr>
        <w:t>sea</w:t>
      </w:r>
      <w:r>
        <w:rPr>
          <w:color w:val="231F20"/>
          <w:spacing w:val="-14"/>
          <w:w w:val="105"/>
        </w:rPr>
        <w:t> </w:t>
      </w:r>
      <w:r>
        <w:rPr>
          <w:color w:val="231F20"/>
          <w:w w:val="105"/>
        </w:rPr>
        <w:t>el</w:t>
      </w:r>
      <w:r>
        <w:rPr>
          <w:color w:val="231F20"/>
          <w:spacing w:val="-14"/>
          <w:w w:val="105"/>
        </w:rPr>
        <w:t> </w:t>
      </w:r>
      <w:r>
        <w:rPr>
          <w:color w:val="231F20"/>
          <w:w w:val="105"/>
        </w:rPr>
        <w:t>comportamiento</w:t>
      </w:r>
      <w:r>
        <w:rPr>
          <w:color w:val="231F20"/>
          <w:spacing w:val="-14"/>
          <w:w w:val="105"/>
        </w:rPr>
        <w:t> </w:t>
      </w:r>
      <w:r>
        <w:rPr>
          <w:color w:val="231F20"/>
          <w:spacing w:val="-3"/>
          <w:w w:val="105"/>
        </w:rPr>
        <w:t>antropomór- </w:t>
      </w:r>
      <w:r>
        <w:rPr>
          <w:color w:val="231F20"/>
          <w:w w:val="105"/>
        </w:rPr>
        <w:t>fico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empresa;</w:t>
      </w:r>
      <w:r>
        <w:rPr>
          <w:color w:val="231F20"/>
          <w:spacing w:val="-9"/>
          <w:w w:val="105"/>
        </w:rPr>
        <w:t> </w:t>
      </w:r>
      <w:r>
        <w:rPr>
          <w:color w:val="231F20"/>
          <w:w w:val="105"/>
        </w:rPr>
        <w:t>esto</w:t>
      </w:r>
      <w:r>
        <w:rPr>
          <w:color w:val="231F20"/>
          <w:spacing w:val="-9"/>
          <w:w w:val="105"/>
        </w:rPr>
        <w:t> </w:t>
      </w:r>
      <w:r>
        <w:rPr>
          <w:color w:val="231F20"/>
          <w:w w:val="105"/>
        </w:rPr>
        <w:t>es,</w:t>
      </w:r>
      <w:r>
        <w:rPr>
          <w:color w:val="231F20"/>
          <w:spacing w:val="-14"/>
          <w:w w:val="105"/>
        </w:rPr>
        <w:t> </w:t>
      </w:r>
      <w:r>
        <w:rPr>
          <w:color w:val="231F20"/>
          <w:w w:val="105"/>
        </w:rPr>
        <w:t>un</w:t>
      </w:r>
      <w:r>
        <w:rPr>
          <w:color w:val="231F20"/>
          <w:spacing w:val="-9"/>
          <w:w w:val="105"/>
        </w:rPr>
        <w:t> </w:t>
      </w:r>
      <w:r>
        <w:rPr>
          <w:color w:val="231F20"/>
          <w:spacing w:val="-3"/>
          <w:w w:val="105"/>
        </w:rPr>
        <w:t>“empresario</w:t>
      </w:r>
      <w:r>
        <w:rPr>
          <w:color w:val="231F20"/>
          <w:spacing w:val="-9"/>
          <w:w w:val="105"/>
        </w:rPr>
        <w:t> </w:t>
      </w:r>
      <w:r>
        <w:rPr>
          <w:color w:val="231F20"/>
          <w:w w:val="105"/>
        </w:rPr>
        <w:t>único”</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w w:val="105"/>
        </w:rPr>
        <w:t>campo</w:t>
      </w:r>
      <w:r>
        <w:rPr>
          <w:color w:val="231F20"/>
          <w:spacing w:val="-9"/>
          <w:w w:val="105"/>
        </w:rPr>
        <w:t> </w:t>
      </w:r>
      <w:r>
        <w:rPr>
          <w:color w:val="231F20"/>
          <w:w w:val="105"/>
        </w:rPr>
        <w:t>de</w:t>
      </w:r>
      <w:r>
        <w:rPr>
          <w:color w:val="231F20"/>
          <w:spacing w:val="-9"/>
          <w:w w:val="105"/>
        </w:rPr>
        <w:t> </w:t>
      </w:r>
      <w:r>
        <w:rPr>
          <w:color w:val="231F20"/>
          <w:spacing w:val="-4"/>
          <w:w w:val="105"/>
        </w:rPr>
        <w:t>“em- </w:t>
      </w:r>
      <w:r>
        <w:rPr>
          <w:color w:val="231F20"/>
          <w:spacing w:val="-3"/>
          <w:w w:val="105"/>
        </w:rPr>
        <w:t>presarios</w:t>
      </w:r>
      <w:r>
        <w:rPr>
          <w:color w:val="231F20"/>
          <w:spacing w:val="-8"/>
          <w:w w:val="105"/>
        </w:rPr>
        <w:t> </w:t>
      </w:r>
      <w:r>
        <w:rPr>
          <w:color w:val="231F20"/>
          <w:w w:val="105"/>
        </w:rPr>
        <w:t>únicos”</w:t>
      </w:r>
      <w:r>
        <w:rPr>
          <w:color w:val="231F20"/>
          <w:spacing w:val="-8"/>
          <w:w w:val="105"/>
        </w:rPr>
        <w:t> </w:t>
      </w:r>
      <w:r>
        <w:rPr>
          <w:color w:val="231F20"/>
          <w:w w:val="105"/>
        </w:rPr>
        <w:t>que</w:t>
      </w:r>
      <w:r>
        <w:rPr>
          <w:color w:val="231F20"/>
          <w:spacing w:val="-8"/>
          <w:w w:val="105"/>
        </w:rPr>
        <w:t> </w:t>
      </w:r>
      <w:r>
        <w:rPr>
          <w:color w:val="231F20"/>
          <w:w w:val="105"/>
        </w:rPr>
        <w:t>ignora,</w:t>
      </w:r>
      <w:r>
        <w:rPr>
          <w:color w:val="231F20"/>
          <w:spacing w:val="-12"/>
          <w:w w:val="105"/>
        </w:rPr>
        <w:t> </w:t>
      </w:r>
      <w:r>
        <w:rPr>
          <w:color w:val="231F20"/>
          <w:w w:val="105"/>
        </w:rPr>
        <w:t>la</w:t>
      </w:r>
      <w:r>
        <w:rPr>
          <w:color w:val="231F20"/>
          <w:spacing w:val="-8"/>
          <w:w w:val="105"/>
        </w:rPr>
        <w:t> </w:t>
      </w:r>
      <w:r>
        <w:rPr>
          <w:color w:val="231F20"/>
          <w:w w:val="105"/>
        </w:rPr>
        <w:t>mayoría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veces,</w:t>
      </w:r>
      <w:r>
        <w:rPr>
          <w:color w:val="231F20"/>
          <w:spacing w:val="-12"/>
          <w:w w:val="105"/>
        </w:rPr>
        <w:t> </w:t>
      </w:r>
      <w:r>
        <w:rPr>
          <w:color w:val="231F20"/>
          <w:w w:val="105"/>
        </w:rPr>
        <w:t>las</w:t>
      </w:r>
      <w:r>
        <w:rPr>
          <w:color w:val="231F20"/>
          <w:spacing w:val="-8"/>
          <w:w w:val="105"/>
        </w:rPr>
        <w:t> </w:t>
      </w:r>
      <w:r>
        <w:rPr>
          <w:color w:val="231F20"/>
          <w:w w:val="105"/>
        </w:rPr>
        <w:t>dinámicas</w:t>
      </w:r>
      <w:r>
        <w:rPr>
          <w:color w:val="231F20"/>
          <w:spacing w:val="-8"/>
          <w:w w:val="105"/>
        </w:rPr>
        <w:t> </w:t>
      </w:r>
      <w:r>
        <w:rPr>
          <w:color w:val="231F20"/>
          <w:w w:val="105"/>
        </w:rPr>
        <w:t>de</w:t>
      </w:r>
    </w:p>
    <w:p>
      <w:pPr>
        <w:pStyle w:val="BodyText"/>
        <w:rPr>
          <w:sz w:val="20"/>
        </w:rPr>
      </w:pPr>
    </w:p>
    <w:p>
      <w:pPr>
        <w:pStyle w:val="BodyText"/>
        <w:rPr>
          <w:sz w:val="20"/>
        </w:rPr>
      </w:pPr>
    </w:p>
    <w:p>
      <w:pPr>
        <w:pStyle w:val="BodyText"/>
        <w:spacing w:before="7"/>
        <w:rPr>
          <w:sz w:val="27"/>
        </w:rPr>
      </w:pPr>
    </w:p>
    <w:p>
      <w:pPr>
        <w:tabs>
          <w:tab w:pos="1317" w:val="left" w:leader="none"/>
        </w:tabs>
        <w:spacing w:before="70"/>
        <w:ind w:left="267" w:right="17" w:firstLine="0"/>
        <w:jc w:val="left"/>
        <w:rPr>
          <w:rFonts w:ascii="Calibri"/>
          <w:sz w:val="15"/>
        </w:rPr>
      </w:pPr>
      <w:r>
        <w:rPr/>
        <w:pict>
          <v:line style="position:absolute;mso-position-horizontal-relative:page;mso-position-vertical-relative:paragraph;z-index:-246760" from="110.551201pt,3.703713pt" to="110.551201pt,39.506112pt" stroked="true" strokeweight=".35pt" strokecolor="#231f20">
            <w10:wrap type="none"/>
          </v:line>
        </w:pict>
      </w:r>
      <w:r>
        <w:rPr>
          <w:color w:val="414042"/>
          <w:w w:val="105"/>
          <w:position w:val="-5"/>
          <w:sz w:val="20"/>
        </w:rPr>
        <w:t>10</w:t>
        <w:tab/>
      </w:r>
      <w:r>
        <w:rPr>
          <w:rFonts w:ascii="Calibri"/>
          <w:color w:val="6D6E71"/>
          <w:w w:val="105"/>
          <w:sz w:val="15"/>
        </w:rPr>
        <w:t>Patricia</w:t>
      </w:r>
      <w:r>
        <w:rPr>
          <w:rFonts w:ascii="Calibri"/>
          <w:color w:val="6D6E71"/>
          <w:spacing w:val="-11"/>
          <w:w w:val="105"/>
          <w:sz w:val="15"/>
        </w:rPr>
        <w:t> </w:t>
      </w:r>
      <w:r>
        <w:rPr>
          <w:rFonts w:ascii="Calibri"/>
          <w:color w:val="6D6E71"/>
          <w:w w:val="105"/>
          <w:sz w:val="15"/>
        </w:rPr>
        <w:t>Mercado</w:t>
      </w:r>
      <w:r>
        <w:rPr>
          <w:rFonts w:ascii="Calibri"/>
          <w:color w:val="6D6E71"/>
          <w:spacing w:val="-11"/>
          <w:w w:val="105"/>
          <w:sz w:val="15"/>
        </w:rPr>
        <w:t> </w:t>
      </w:r>
      <w:r>
        <w:rPr>
          <w:rFonts w:ascii="Calibri"/>
          <w:color w:val="6D6E71"/>
          <w:w w:val="105"/>
          <w:sz w:val="15"/>
        </w:rPr>
        <w:t>Salgado</w:t>
      </w:r>
      <w:r>
        <w:rPr>
          <w:rFonts w:ascii="Calibri"/>
          <w:color w:val="6D6E71"/>
          <w:spacing w:val="-12"/>
          <w:w w:val="105"/>
          <w:sz w:val="15"/>
        </w:rPr>
        <w:t> </w:t>
      </w:r>
      <w:r>
        <w:rPr>
          <w:rFonts w:ascii="Calibri"/>
          <w:color w:val="6D6E71"/>
          <w:w w:val="105"/>
          <w:sz w:val="15"/>
        </w:rPr>
        <w:t>y</w:t>
      </w:r>
      <w:r>
        <w:rPr>
          <w:rFonts w:ascii="Calibri"/>
          <w:color w:val="6D6E71"/>
          <w:spacing w:val="-11"/>
          <w:w w:val="105"/>
          <w:sz w:val="15"/>
        </w:rPr>
        <w:t> </w:t>
      </w:r>
      <w:r>
        <w:rPr>
          <w:rFonts w:ascii="Calibri"/>
          <w:color w:val="6D6E71"/>
          <w:w w:val="105"/>
          <w:sz w:val="15"/>
        </w:rPr>
        <w:t>Daniel</w:t>
      </w:r>
      <w:r>
        <w:rPr>
          <w:rFonts w:ascii="Calibri"/>
          <w:color w:val="6D6E71"/>
          <w:spacing w:val="-11"/>
          <w:w w:val="105"/>
          <w:sz w:val="15"/>
        </w:rPr>
        <w:t> </w:t>
      </w:r>
      <w:r>
        <w:rPr>
          <w:rFonts w:ascii="Calibri"/>
          <w:color w:val="6D6E71"/>
          <w:w w:val="105"/>
          <w:sz w:val="15"/>
        </w:rPr>
        <w:t>Arturo</w:t>
      </w:r>
      <w:r>
        <w:rPr>
          <w:rFonts w:ascii="Calibri"/>
          <w:color w:val="6D6E71"/>
          <w:spacing w:val="-11"/>
          <w:w w:val="105"/>
          <w:sz w:val="15"/>
        </w:rPr>
        <w:t> </w:t>
      </w:r>
      <w:r>
        <w:rPr>
          <w:rFonts w:ascii="Calibri"/>
          <w:color w:val="6D6E71"/>
          <w:w w:val="105"/>
          <w:sz w:val="15"/>
        </w:rPr>
        <w:t>Cernas</w:t>
      </w:r>
      <w:r>
        <w:rPr>
          <w:rFonts w:ascii="Calibri"/>
          <w:color w:val="6D6E71"/>
          <w:spacing w:val="-11"/>
          <w:w w:val="105"/>
          <w:sz w:val="15"/>
        </w:rPr>
        <w:t> </w:t>
      </w:r>
      <w:r>
        <w:rPr>
          <w:rFonts w:ascii="Calibri"/>
          <w:color w:val="6D6E71"/>
          <w:w w:val="105"/>
          <w:sz w:val="15"/>
        </w:rPr>
        <w:t>Ortiz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8" w:val="right" w:leader="none"/>
        </w:tabs>
        <w:spacing w:before="58"/>
        <w:ind w:left="77" w:right="239" w:firstLine="0"/>
        <w:jc w:val="right"/>
        <w:rPr>
          <w:sz w:val="20"/>
        </w:rPr>
      </w:pPr>
      <w:r>
        <w:rPr/>
        <w:pict>
          <v:line style="position:absolute;mso-position-horizontal-relative:page;mso-position-vertical-relative:paragraph;z-index:-246736" from="384.061005pt,-25.301146pt" to="384.061005pt,9.564704pt" stroked="true" strokeweight=".35pt" strokecolor="#231f20">
            <w10:wrap type="none"/>
          </v:line>
        </w:pict>
      </w:r>
      <w:r>
        <w:rPr>
          <w:rFonts w:ascii="Calibri" w:hAnsi="Calibri"/>
          <w:color w:val="6D6E71"/>
          <w:sz w:val="14"/>
        </w:rPr>
        <w:t>INTRODUCCIÓN</w:t>
      </w:r>
      <w:r>
        <w:rPr>
          <w:color w:val="414042"/>
          <w:position w:val="-3"/>
          <w:sz w:val="20"/>
        </w:rPr>
        <w:tab/>
        <w:t>11</w:t>
      </w:r>
    </w:p>
    <w:p>
      <w:pPr>
        <w:pStyle w:val="BodyText"/>
        <w:rPr>
          <w:sz w:val="20"/>
        </w:rPr>
      </w:pPr>
    </w:p>
    <w:p>
      <w:pPr>
        <w:pStyle w:val="BodyText"/>
        <w:rPr>
          <w:sz w:val="20"/>
        </w:rPr>
      </w:pPr>
    </w:p>
    <w:p>
      <w:pPr>
        <w:pStyle w:val="BodyText"/>
        <w:spacing w:line="259" w:lineRule="auto" w:before="176"/>
        <w:ind w:left="117" w:right="119"/>
        <w:jc w:val="both"/>
      </w:pPr>
      <w:r>
        <w:rPr>
          <w:color w:val="231F20"/>
          <w:w w:val="105"/>
        </w:rPr>
        <w:t>funcionamiento</w:t>
      </w:r>
      <w:r>
        <w:rPr>
          <w:color w:val="231F20"/>
          <w:spacing w:val="-22"/>
          <w:w w:val="105"/>
        </w:rPr>
        <w:t> </w:t>
      </w:r>
      <w:r>
        <w:rPr>
          <w:color w:val="231F20"/>
          <w:w w:val="105"/>
        </w:rPr>
        <w:t>interno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entidad</w:t>
      </w:r>
      <w:r>
        <w:rPr>
          <w:color w:val="231F20"/>
          <w:spacing w:val="-22"/>
          <w:w w:val="105"/>
        </w:rPr>
        <w:t> </w:t>
      </w:r>
      <w:r>
        <w:rPr>
          <w:color w:val="231F20"/>
          <w:w w:val="105"/>
        </w:rPr>
        <w:t>económica</w:t>
      </w:r>
      <w:r>
        <w:rPr>
          <w:color w:val="231F20"/>
          <w:spacing w:val="-22"/>
          <w:w w:val="105"/>
        </w:rPr>
        <w:t> </w:t>
      </w:r>
      <w:r>
        <w:rPr>
          <w:color w:val="231F20"/>
          <w:w w:val="105"/>
        </w:rPr>
        <w:t>junto</w:t>
      </w:r>
      <w:r>
        <w:rPr>
          <w:color w:val="231F20"/>
          <w:spacing w:val="-22"/>
          <w:w w:val="105"/>
        </w:rPr>
        <w:t> </w:t>
      </w:r>
      <w:r>
        <w:rPr>
          <w:color w:val="231F20"/>
          <w:w w:val="105"/>
        </w:rPr>
        <w:t>con</w:t>
      </w:r>
      <w:r>
        <w:rPr>
          <w:color w:val="231F20"/>
          <w:spacing w:val="-22"/>
          <w:w w:val="105"/>
        </w:rPr>
        <w:t> </w:t>
      </w:r>
      <w:r>
        <w:rPr>
          <w:color w:val="231F20"/>
          <w:w w:val="105"/>
        </w:rPr>
        <w:t>todos</w:t>
      </w:r>
      <w:r>
        <w:rPr>
          <w:color w:val="231F20"/>
          <w:spacing w:val="-22"/>
          <w:w w:val="105"/>
        </w:rPr>
        <w:t> </w:t>
      </w:r>
      <w:r>
        <w:rPr>
          <w:color w:val="231F20"/>
          <w:w w:val="105"/>
        </w:rPr>
        <w:t>sus</w:t>
      </w:r>
      <w:r>
        <w:rPr>
          <w:color w:val="231F20"/>
          <w:spacing w:val="-22"/>
          <w:w w:val="105"/>
        </w:rPr>
        <w:t> </w:t>
      </w:r>
      <w:r>
        <w:rPr>
          <w:color w:val="231F20"/>
          <w:w w:val="105"/>
        </w:rPr>
        <w:t>ma- tices</w:t>
      </w:r>
      <w:r>
        <w:rPr>
          <w:color w:val="231F20"/>
          <w:spacing w:val="-27"/>
          <w:w w:val="105"/>
        </w:rPr>
        <w:t> </w:t>
      </w:r>
      <w:r>
        <w:rPr>
          <w:color w:val="231F20"/>
          <w:w w:val="105"/>
        </w:rPr>
        <w:t>de</w:t>
      </w:r>
      <w:r>
        <w:rPr>
          <w:color w:val="231F20"/>
          <w:spacing w:val="-27"/>
          <w:w w:val="105"/>
        </w:rPr>
        <w:t> </w:t>
      </w:r>
      <w:r>
        <w:rPr>
          <w:color w:val="231F20"/>
          <w:w w:val="105"/>
        </w:rPr>
        <w:t>conflicto,</w:t>
      </w:r>
      <w:r>
        <w:rPr>
          <w:color w:val="231F20"/>
          <w:spacing w:val="-32"/>
          <w:w w:val="105"/>
        </w:rPr>
        <w:t> </w:t>
      </w:r>
      <w:r>
        <w:rPr>
          <w:color w:val="231F20"/>
          <w:w w:val="105"/>
        </w:rPr>
        <w:t>negociación</w:t>
      </w:r>
      <w:r>
        <w:rPr>
          <w:color w:val="231F20"/>
          <w:spacing w:val="-27"/>
          <w:w w:val="105"/>
        </w:rPr>
        <w:t> </w:t>
      </w:r>
      <w:r>
        <w:rPr>
          <w:color w:val="231F20"/>
          <w:w w:val="105"/>
        </w:rPr>
        <w:t>e</w:t>
      </w:r>
      <w:r>
        <w:rPr>
          <w:color w:val="231F20"/>
          <w:spacing w:val="-27"/>
          <w:w w:val="105"/>
        </w:rPr>
        <w:t> </w:t>
      </w:r>
      <w:r>
        <w:rPr>
          <w:color w:val="231F20"/>
          <w:w w:val="105"/>
        </w:rPr>
        <w:t>irracionalidad</w:t>
      </w:r>
      <w:r>
        <w:rPr>
          <w:color w:val="231F20"/>
          <w:spacing w:val="-27"/>
          <w:w w:val="105"/>
        </w:rPr>
        <w:t> </w:t>
      </w:r>
      <w:r>
        <w:rPr>
          <w:color w:val="231F20"/>
          <w:w w:val="105"/>
        </w:rPr>
        <w:t>(Cernas</w:t>
      </w:r>
      <w:r>
        <w:rPr>
          <w:color w:val="231F20"/>
          <w:spacing w:val="-27"/>
          <w:w w:val="105"/>
        </w:rPr>
        <w:t> </w:t>
      </w:r>
      <w:r>
        <w:rPr>
          <w:color w:val="231F20"/>
          <w:w w:val="105"/>
        </w:rPr>
        <w:t>y</w:t>
      </w:r>
      <w:r>
        <w:rPr>
          <w:color w:val="231F20"/>
          <w:spacing w:val="-27"/>
          <w:w w:val="105"/>
        </w:rPr>
        <w:t> </w:t>
      </w:r>
      <w:r>
        <w:rPr>
          <w:color w:val="231F20"/>
          <w:spacing w:val="-3"/>
          <w:w w:val="105"/>
        </w:rPr>
        <w:t>Mercado,</w:t>
      </w:r>
      <w:r>
        <w:rPr>
          <w:color w:val="231F20"/>
          <w:spacing w:val="-32"/>
          <w:w w:val="105"/>
        </w:rPr>
        <w:t> </w:t>
      </w:r>
      <w:r>
        <w:rPr>
          <w:color w:val="231F20"/>
          <w:spacing w:val="-2"/>
          <w:w w:val="105"/>
        </w:rPr>
        <w:t>2013). </w:t>
      </w:r>
      <w:r>
        <w:rPr>
          <w:color w:val="231F20"/>
          <w:w w:val="105"/>
        </w:rPr>
        <w:t>Como</w:t>
      </w:r>
      <w:r>
        <w:rPr>
          <w:color w:val="231F20"/>
          <w:spacing w:val="-25"/>
          <w:w w:val="105"/>
        </w:rPr>
        <w:t> </w:t>
      </w:r>
      <w:r>
        <w:rPr>
          <w:color w:val="231F20"/>
          <w:w w:val="105"/>
        </w:rPr>
        <w:t>se</w:t>
      </w:r>
      <w:r>
        <w:rPr>
          <w:color w:val="231F20"/>
          <w:spacing w:val="-25"/>
          <w:w w:val="105"/>
        </w:rPr>
        <w:t> </w:t>
      </w:r>
      <w:r>
        <w:rPr>
          <w:color w:val="231F20"/>
          <w:w w:val="105"/>
        </w:rPr>
        <w:t>implica,</w:t>
      </w:r>
      <w:r>
        <w:rPr>
          <w:color w:val="231F20"/>
          <w:spacing w:val="-29"/>
          <w:w w:val="105"/>
        </w:rPr>
        <w:t> </w:t>
      </w:r>
      <w:r>
        <w:rPr>
          <w:color w:val="231F20"/>
          <w:w w:val="105"/>
        </w:rPr>
        <w:t>la</w:t>
      </w:r>
      <w:r>
        <w:rPr>
          <w:color w:val="231F20"/>
          <w:spacing w:val="-25"/>
          <w:w w:val="105"/>
        </w:rPr>
        <w:t> </w:t>
      </w:r>
      <w:r>
        <w:rPr>
          <w:color w:val="231F20"/>
          <w:w w:val="105"/>
        </w:rPr>
        <w:t>economía</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administración</w:t>
      </w:r>
      <w:r>
        <w:rPr>
          <w:color w:val="231F20"/>
          <w:spacing w:val="-25"/>
          <w:w w:val="105"/>
        </w:rPr>
        <w:t> </w:t>
      </w:r>
      <w:r>
        <w:rPr>
          <w:color w:val="231F20"/>
          <w:w w:val="105"/>
        </w:rPr>
        <w:t>son</w:t>
      </w:r>
      <w:r>
        <w:rPr>
          <w:color w:val="231F20"/>
          <w:spacing w:val="-25"/>
          <w:w w:val="105"/>
        </w:rPr>
        <w:t> </w:t>
      </w:r>
      <w:r>
        <w:rPr>
          <w:color w:val="231F20"/>
          <w:w w:val="105"/>
        </w:rPr>
        <w:t>dos</w:t>
      </w:r>
      <w:r>
        <w:rPr>
          <w:color w:val="231F20"/>
          <w:spacing w:val="-25"/>
          <w:w w:val="105"/>
        </w:rPr>
        <w:t> </w:t>
      </w:r>
      <w:r>
        <w:rPr>
          <w:color w:val="231F20"/>
          <w:w w:val="105"/>
        </w:rPr>
        <w:t>ciencias</w:t>
      </w:r>
      <w:r>
        <w:rPr>
          <w:color w:val="231F20"/>
          <w:spacing w:val="-25"/>
          <w:w w:val="105"/>
        </w:rPr>
        <w:t> </w:t>
      </w:r>
      <w:r>
        <w:rPr>
          <w:color w:val="231F20"/>
          <w:w w:val="105"/>
        </w:rPr>
        <w:t>socia- les</w:t>
      </w:r>
      <w:r>
        <w:rPr>
          <w:color w:val="231F20"/>
          <w:spacing w:val="-23"/>
          <w:w w:val="105"/>
        </w:rPr>
        <w:t> </w:t>
      </w:r>
      <w:r>
        <w:rPr>
          <w:color w:val="231F20"/>
          <w:w w:val="105"/>
        </w:rPr>
        <w:t>afines,</w:t>
      </w:r>
      <w:r>
        <w:rPr>
          <w:color w:val="231F20"/>
          <w:spacing w:val="-27"/>
          <w:w w:val="105"/>
        </w:rPr>
        <w:t> </w:t>
      </w:r>
      <w:r>
        <w:rPr>
          <w:color w:val="231F20"/>
          <w:w w:val="105"/>
        </w:rPr>
        <w:t>aunque</w:t>
      </w:r>
      <w:r>
        <w:rPr>
          <w:color w:val="231F20"/>
          <w:spacing w:val="-23"/>
          <w:w w:val="105"/>
        </w:rPr>
        <w:t> </w:t>
      </w:r>
      <w:r>
        <w:rPr>
          <w:color w:val="231F20"/>
          <w:w w:val="105"/>
        </w:rPr>
        <w:t>con</w:t>
      </w:r>
      <w:r>
        <w:rPr>
          <w:color w:val="231F20"/>
          <w:spacing w:val="-23"/>
          <w:w w:val="105"/>
        </w:rPr>
        <w:t> </w:t>
      </w:r>
      <w:r>
        <w:rPr>
          <w:color w:val="231F20"/>
          <w:w w:val="105"/>
        </w:rPr>
        <w:t>cierta</w:t>
      </w:r>
      <w:r>
        <w:rPr>
          <w:color w:val="231F20"/>
          <w:spacing w:val="-23"/>
          <w:w w:val="105"/>
        </w:rPr>
        <w:t> </w:t>
      </w:r>
      <w:r>
        <w:rPr>
          <w:color w:val="231F20"/>
          <w:w w:val="105"/>
        </w:rPr>
        <w:t>separación</w:t>
      </w:r>
      <w:r>
        <w:rPr>
          <w:color w:val="231F20"/>
          <w:spacing w:val="-23"/>
          <w:w w:val="105"/>
        </w:rPr>
        <w:t> </w:t>
      </w:r>
      <w:r>
        <w:rPr>
          <w:color w:val="231F20"/>
          <w:w w:val="105"/>
        </w:rPr>
        <w:t>y</w:t>
      </w:r>
      <w:r>
        <w:rPr>
          <w:color w:val="231F20"/>
          <w:spacing w:val="-23"/>
          <w:w w:val="105"/>
        </w:rPr>
        <w:t> </w:t>
      </w:r>
      <w:r>
        <w:rPr>
          <w:color w:val="231F20"/>
          <w:w w:val="105"/>
        </w:rPr>
        <w:t>distancia.</w:t>
      </w:r>
      <w:r>
        <w:rPr>
          <w:color w:val="231F20"/>
          <w:spacing w:val="-27"/>
          <w:w w:val="105"/>
        </w:rPr>
        <w:t> </w:t>
      </w:r>
      <w:r>
        <w:rPr>
          <w:color w:val="231F20"/>
          <w:w w:val="105"/>
        </w:rPr>
        <w:t>Cada</w:t>
      </w:r>
      <w:r>
        <w:rPr>
          <w:color w:val="231F20"/>
          <w:spacing w:val="-23"/>
          <w:w w:val="105"/>
        </w:rPr>
        <w:t> </w:t>
      </w:r>
      <w:r>
        <w:rPr>
          <w:color w:val="231F20"/>
          <w:w w:val="105"/>
        </w:rPr>
        <w:t>una</w:t>
      </w:r>
      <w:r>
        <w:rPr>
          <w:color w:val="231F20"/>
          <w:spacing w:val="-23"/>
          <w:w w:val="105"/>
        </w:rPr>
        <w:t> </w:t>
      </w:r>
      <w:r>
        <w:rPr>
          <w:color w:val="231F20"/>
          <w:w w:val="105"/>
        </w:rPr>
        <w:t>aborda</w:t>
      </w:r>
      <w:r>
        <w:rPr>
          <w:color w:val="231F20"/>
          <w:spacing w:val="-23"/>
          <w:w w:val="105"/>
        </w:rPr>
        <w:t> </w:t>
      </w:r>
      <w:r>
        <w:rPr>
          <w:color w:val="231F20"/>
          <w:w w:val="105"/>
        </w:rPr>
        <w:t>su objeto de estudio desde una perspectiva particular y bajo suposiciones fundamentales diferentes. </w:t>
      </w:r>
      <w:r>
        <w:rPr>
          <w:color w:val="231F20"/>
          <w:spacing w:val="-6"/>
          <w:w w:val="105"/>
        </w:rPr>
        <w:t>Por </w:t>
      </w:r>
      <w:r>
        <w:rPr>
          <w:color w:val="231F20"/>
          <w:w w:val="105"/>
        </w:rPr>
        <w:t>un lado, la economía supone un ser hu- mano que maximiza su utilidad, que es egoísta, autointeresado y que aspira a tomar decisiones óptimas (hombre económico o racional). </w:t>
      </w:r>
      <w:r>
        <w:rPr>
          <w:color w:val="231F20"/>
          <w:spacing w:val="-6"/>
          <w:w w:val="105"/>
        </w:rPr>
        <w:t>Por </w:t>
      </w:r>
      <w:r>
        <w:rPr>
          <w:color w:val="231F20"/>
          <w:w w:val="105"/>
        </w:rPr>
        <w:t>otro</w:t>
      </w:r>
      <w:r>
        <w:rPr>
          <w:color w:val="231F20"/>
          <w:spacing w:val="-20"/>
          <w:w w:val="105"/>
        </w:rPr>
        <w:t> </w:t>
      </w:r>
      <w:r>
        <w:rPr>
          <w:color w:val="231F20"/>
          <w:w w:val="105"/>
        </w:rPr>
        <w:t>lado,</w:t>
      </w:r>
      <w:r>
        <w:rPr>
          <w:color w:val="231F20"/>
          <w:spacing w:val="-26"/>
          <w:w w:val="105"/>
        </w:rPr>
        <w:t> </w:t>
      </w:r>
      <w:r>
        <w:rPr>
          <w:color w:val="231F20"/>
          <w:w w:val="105"/>
        </w:rPr>
        <w:t>la</w:t>
      </w:r>
      <w:r>
        <w:rPr>
          <w:color w:val="231F20"/>
          <w:spacing w:val="-20"/>
          <w:w w:val="105"/>
        </w:rPr>
        <w:t> </w:t>
      </w:r>
      <w:r>
        <w:rPr>
          <w:color w:val="231F20"/>
          <w:w w:val="105"/>
        </w:rPr>
        <w:t>administración</w:t>
      </w:r>
      <w:r>
        <w:rPr>
          <w:color w:val="231F20"/>
          <w:spacing w:val="-20"/>
          <w:w w:val="105"/>
        </w:rPr>
        <w:t> </w:t>
      </w:r>
      <w:r>
        <w:rPr>
          <w:color w:val="231F20"/>
          <w:w w:val="105"/>
        </w:rPr>
        <w:t>supone</w:t>
      </w:r>
      <w:r>
        <w:rPr>
          <w:color w:val="231F20"/>
          <w:spacing w:val="-20"/>
          <w:w w:val="105"/>
        </w:rPr>
        <w:t> </w:t>
      </w:r>
      <w:r>
        <w:rPr>
          <w:color w:val="231F20"/>
          <w:w w:val="105"/>
        </w:rPr>
        <w:t>un</w:t>
      </w:r>
      <w:r>
        <w:rPr>
          <w:color w:val="231F20"/>
          <w:spacing w:val="-20"/>
          <w:w w:val="105"/>
        </w:rPr>
        <w:t> </w:t>
      </w:r>
      <w:r>
        <w:rPr>
          <w:color w:val="231F20"/>
          <w:w w:val="105"/>
        </w:rPr>
        <w:t>ser</w:t>
      </w:r>
      <w:r>
        <w:rPr>
          <w:color w:val="231F20"/>
          <w:spacing w:val="-20"/>
          <w:w w:val="105"/>
        </w:rPr>
        <w:t> </w:t>
      </w:r>
      <w:r>
        <w:rPr>
          <w:color w:val="231F20"/>
          <w:w w:val="105"/>
        </w:rPr>
        <w:t>humano</w:t>
      </w:r>
      <w:r>
        <w:rPr>
          <w:color w:val="231F20"/>
          <w:spacing w:val="-20"/>
          <w:w w:val="105"/>
        </w:rPr>
        <w:t> </w:t>
      </w:r>
      <w:r>
        <w:rPr>
          <w:color w:val="231F20"/>
          <w:w w:val="105"/>
        </w:rPr>
        <w:t>que</w:t>
      </w:r>
      <w:r>
        <w:rPr>
          <w:color w:val="231F20"/>
          <w:spacing w:val="-20"/>
          <w:w w:val="105"/>
        </w:rPr>
        <w:t> </w:t>
      </w:r>
      <w:r>
        <w:rPr>
          <w:color w:val="231F20"/>
          <w:w w:val="105"/>
        </w:rPr>
        <w:t>no</w:t>
      </w:r>
      <w:r>
        <w:rPr>
          <w:color w:val="231F20"/>
          <w:spacing w:val="-20"/>
          <w:w w:val="105"/>
        </w:rPr>
        <w:t> </w:t>
      </w:r>
      <w:r>
        <w:rPr>
          <w:color w:val="231F20"/>
          <w:w w:val="105"/>
        </w:rPr>
        <w:t>siempre</w:t>
      </w:r>
      <w:r>
        <w:rPr>
          <w:color w:val="231F20"/>
          <w:spacing w:val="-20"/>
          <w:w w:val="105"/>
        </w:rPr>
        <w:t> </w:t>
      </w:r>
      <w:r>
        <w:rPr>
          <w:color w:val="231F20"/>
          <w:w w:val="105"/>
        </w:rPr>
        <w:t>maxi- miza</w:t>
      </w:r>
      <w:r>
        <w:rPr>
          <w:color w:val="231F20"/>
          <w:spacing w:val="-25"/>
          <w:w w:val="105"/>
        </w:rPr>
        <w:t> </w:t>
      </w:r>
      <w:r>
        <w:rPr>
          <w:color w:val="231F20"/>
          <w:w w:val="105"/>
        </w:rPr>
        <w:t>su</w:t>
      </w:r>
      <w:r>
        <w:rPr>
          <w:color w:val="231F20"/>
          <w:spacing w:val="-25"/>
          <w:w w:val="105"/>
        </w:rPr>
        <w:t> </w:t>
      </w:r>
      <w:r>
        <w:rPr>
          <w:color w:val="231F20"/>
          <w:w w:val="105"/>
        </w:rPr>
        <w:t>utilidad</w:t>
      </w:r>
      <w:r>
        <w:rPr>
          <w:color w:val="231F20"/>
          <w:spacing w:val="-25"/>
          <w:w w:val="105"/>
        </w:rPr>
        <w:t> </w:t>
      </w:r>
      <w:r>
        <w:rPr>
          <w:color w:val="231F20"/>
          <w:w w:val="105"/>
        </w:rPr>
        <w:t>(hombre</w:t>
      </w:r>
      <w:r>
        <w:rPr>
          <w:color w:val="231F20"/>
          <w:spacing w:val="-25"/>
          <w:w w:val="105"/>
        </w:rPr>
        <w:t> </w:t>
      </w:r>
      <w:r>
        <w:rPr>
          <w:color w:val="231F20"/>
          <w:w w:val="105"/>
        </w:rPr>
        <w:t>administrativo</w:t>
      </w:r>
      <w:r>
        <w:rPr>
          <w:color w:val="231F20"/>
          <w:spacing w:val="-25"/>
          <w:w w:val="105"/>
        </w:rPr>
        <w:t> </w:t>
      </w:r>
      <w:r>
        <w:rPr>
          <w:color w:val="231F20"/>
          <w:w w:val="105"/>
        </w:rPr>
        <w:t>o</w:t>
      </w:r>
      <w:r>
        <w:rPr>
          <w:color w:val="231F20"/>
          <w:spacing w:val="-25"/>
          <w:w w:val="105"/>
        </w:rPr>
        <w:t> </w:t>
      </w:r>
      <w:r>
        <w:rPr>
          <w:color w:val="231F20"/>
          <w:w w:val="105"/>
        </w:rPr>
        <w:t>limitadamente</w:t>
      </w:r>
      <w:r>
        <w:rPr>
          <w:color w:val="231F20"/>
          <w:spacing w:val="-25"/>
          <w:w w:val="105"/>
        </w:rPr>
        <w:t> </w:t>
      </w:r>
      <w:r>
        <w:rPr>
          <w:color w:val="231F20"/>
          <w:w w:val="105"/>
        </w:rPr>
        <w:t>racional),</w:t>
      </w:r>
      <w:r>
        <w:rPr>
          <w:color w:val="231F20"/>
          <w:spacing w:val="-30"/>
          <w:w w:val="105"/>
        </w:rPr>
        <w:t> </w:t>
      </w:r>
      <w:r>
        <w:rPr>
          <w:color w:val="231F20"/>
          <w:w w:val="105"/>
        </w:rPr>
        <w:t>que</w:t>
      </w:r>
      <w:r>
        <w:rPr>
          <w:color w:val="231F20"/>
          <w:spacing w:val="-25"/>
          <w:w w:val="105"/>
        </w:rPr>
        <w:t> </w:t>
      </w:r>
      <w:r>
        <w:rPr>
          <w:color w:val="231F20"/>
          <w:w w:val="105"/>
        </w:rPr>
        <w:t>es cooperativo</w:t>
      </w:r>
      <w:r>
        <w:rPr>
          <w:color w:val="231F20"/>
          <w:spacing w:val="-7"/>
          <w:w w:val="105"/>
        </w:rPr>
        <w:t> </w:t>
      </w:r>
      <w:r>
        <w:rPr>
          <w:color w:val="231F20"/>
          <w:w w:val="105"/>
        </w:rPr>
        <w:t>y</w:t>
      </w:r>
      <w:r>
        <w:rPr>
          <w:color w:val="231F20"/>
          <w:spacing w:val="-7"/>
          <w:w w:val="105"/>
        </w:rPr>
        <w:t> </w:t>
      </w:r>
      <w:r>
        <w:rPr>
          <w:color w:val="231F20"/>
          <w:w w:val="105"/>
        </w:rPr>
        <w:t>altruista,</w:t>
      </w:r>
      <w:r>
        <w:rPr>
          <w:color w:val="231F20"/>
          <w:spacing w:val="-12"/>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más</w:t>
      </w:r>
      <w:r>
        <w:rPr>
          <w:color w:val="231F20"/>
          <w:spacing w:val="-7"/>
          <w:w w:val="105"/>
        </w:rPr>
        <w:t> </w:t>
      </w:r>
      <w:r>
        <w:rPr>
          <w:color w:val="231F20"/>
          <w:w w:val="105"/>
        </w:rPr>
        <w:t>que</w:t>
      </w:r>
      <w:r>
        <w:rPr>
          <w:color w:val="231F20"/>
          <w:spacing w:val="-7"/>
          <w:w w:val="105"/>
        </w:rPr>
        <w:t> </w:t>
      </w:r>
      <w:r>
        <w:rPr>
          <w:color w:val="231F20"/>
          <w:w w:val="105"/>
        </w:rPr>
        <w:t>aspira</w:t>
      </w:r>
      <w:r>
        <w:rPr>
          <w:color w:val="231F20"/>
          <w:spacing w:val="-7"/>
          <w:w w:val="105"/>
        </w:rPr>
        <w:t> </w:t>
      </w:r>
      <w:r>
        <w:rPr>
          <w:color w:val="231F20"/>
          <w:w w:val="105"/>
        </w:rPr>
        <w:t>es</w:t>
      </w:r>
      <w:r>
        <w:rPr>
          <w:color w:val="231F20"/>
          <w:spacing w:val="-7"/>
          <w:w w:val="105"/>
        </w:rPr>
        <w:t> </w:t>
      </w:r>
      <w:r>
        <w:rPr>
          <w:color w:val="231F20"/>
          <w:w w:val="105"/>
        </w:rPr>
        <w:t>a</w:t>
      </w:r>
      <w:r>
        <w:rPr>
          <w:color w:val="231F20"/>
          <w:spacing w:val="-7"/>
          <w:w w:val="105"/>
        </w:rPr>
        <w:t> </w:t>
      </w:r>
      <w:r>
        <w:rPr>
          <w:color w:val="231F20"/>
          <w:w w:val="105"/>
        </w:rPr>
        <w:t>tomar</w:t>
      </w:r>
      <w:r>
        <w:rPr>
          <w:color w:val="231F20"/>
          <w:spacing w:val="-7"/>
          <w:w w:val="105"/>
        </w:rPr>
        <w:t> </w:t>
      </w:r>
      <w:r>
        <w:rPr>
          <w:color w:val="231F20"/>
          <w:w w:val="105"/>
        </w:rPr>
        <w:t>decisiones satisfacientes</w:t>
      </w:r>
      <w:r>
        <w:rPr>
          <w:color w:val="231F20"/>
          <w:spacing w:val="-30"/>
          <w:w w:val="105"/>
        </w:rPr>
        <w:t> </w:t>
      </w:r>
      <w:r>
        <w:rPr>
          <w:color w:val="231F20"/>
          <w:w w:val="105"/>
        </w:rPr>
        <w:t>y</w:t>
      </w:r>
      <w:r>
        <w:rPr>
          <w:color w:val="231F20"/>
          <w:spacing w:val="-30"/>
          <w:w w:val="105"/>
        </w:rPr>
        <w:t> </w:t>
      </w:r>
      <w:r>
        <w:rPr>
          <w:color w:val="231F20"/>
          <w:w w:val="105"/>
        </w:rPr>
        <w:t>no</w:t>
      </w:r>
      <w:r>
        <w:rPr>
          <w:color w:val="231F20"/>
          <w:spacing w:val="-30"/>
          <w:w w:val="105"/>
        </w:rPr>
        <w:t> </w:t>
      </w:r>
      <w:r>
        <w:rPr>
          <w:color w:val="231F20"/>
          <w:w w:val="105"/>
        </w:rPr>
        <w:t>óptimas</w:t>
      </w:r>
      <w:r>
        <w:rPr>
          <w:color w:val="231F20"/>
          <w:spacing w:val="-30"/>
          <w:w w:val="105"/>
        </w:rPr>
        <w:t> </w:t>
      </w:r>
      <w:r>
        <w:rPr>
          <w:color w:val="231F20"/>
          <w:w w:val="105"/>
        </w:rPr>
        <w:t>(March</w:t>
      </w:r>
      <w:r>
        <w:rPr>
          <w:color w:val="231F20"/>
          <w:spacing w:val="-30"/>
          <w:w w:val="105"/>
        </w:rPr>
        <w:t> </w:t>
      </w:r>
      <w:r>
        <w:rPr>
          <w:color w:val="231F20"/>
          <w:w w:val="105"/>
        </w:rPr>
        <w:t>y</w:t>
      </w:r>
      <w:r>
        <w:rPr>
          <w:color w:val="231F20"/>
          <w:spacing w:val="-30"/>
          <w:w w:val="105"/>
        </w:rPr>
        <w:t> </w:t>
      </w:r>
      <w:r>
        <w:rPr>
          <w:color w:val="231F20"/>
          <w:w w:val="105"/>
        </w:rPr>
        <w:t>Simon,</w:t>
      </w:r>
      <w:r>
        <w:rPr>
          <w:color w:val="231F20"/>
          <w:spacing w:val="-34"/>
          <w:w w:val="105"/>
        </w:rPr>
        <w:t> </w:t>
      </w:r>
      <w:r>
        <w:rPr>
          <w:color w:val="231F20"/>
          <w:w w:val="105"/>
        </w:rPr>
        <w:t>1958).</w:t>
      </w:r>
      <w:r>
        <w:rPr>
          <w:color w:val="231F20"/>
          <w:spacing w:val="-34"/>
          <w:w w:val="105"/>
        </w:rPr>
        <w:t> </w:t>
      </w:r>
      <w:r>
        <w:rPr>
          <w:color w:val="231F20"/>
          <w:w w:val="105"/>
        </w:rPr>
        <w:t>La</w:t>
      </w:r>
      <w:r>
        <w:rPr>
          <w:color w:val="231F20"/>
          <w:spacing w:val="-30"/>
          <w:w w:val="105"/>
        </w:rPr>
        <w:t> </w:t>
      </w:r>
      <w:r>
        <w:rPr>
          <w:color w:val="231F20"/>
          <w:w w:val="105"/>
        </w:rPr>
        <w:t>diferencia</w:t>
      </w:r>
      <w:r>
        <w:rPr>
          <w:color w:val="231F20"/>
          <w:spacing w:val="-30"/>
          <w:w w:val="105"/>
        </w:rPr>
        <w:t> </w:t>
      </w:r>
      <w:r>
        <w:rPr>
          <w:color w:val="231F20"/>
          <w:w w:val="105"/>
        </w:rPr>
        <w:t>en</w:t>
      </w:r>
      <w:r>
        <w:rPr>
          <w:color w:val="231F20"/>
          <w:spacing w:val="-30"/>
          <w:w w:val="105"/>
        </w:rPr>
        <w:t> </w:t>
      </w:r>
      <w:r>
        <w:rPr>
          <w:color w:val="231F20"/>
          <w:w w:val="105"/>
        </w:rPr>
        <w:t>supo- siciones fundamentales hace que estas disciplinas hablen “idiomas”</w:t>
      </w:r>
      <w:r>
        <w:rPr>
          <w:color w:val="231F20"/>
          <w:spacing w:val="-23"/>
          <w:w w:val="105"/>
        </w:rPr>
        <w:t> </w:t>
      </w:r>
      <w:r>
        <w:rPr>
          <w:color w:val="231F20"/>
          <w:w w:val="105"/>
        </w:rPr>
        <w:t>un tanto</w:t>
      </w:r>
      <w:r>
        <w:rPr>
          <w:color w:val="231F20"/>
          <w:spacing w:val="-8"/>
          <w:w w:val="105"/>
        </w:rPr>
        <w:t> </w:t>
      </w:r>
      <w:r>
        <w:rPr>
          <w:color w:val="231F20"/>
          <w:w w:val="105"/>
        </w:rPr>
        <w:t>diferentes,</w:t>
      </w:r>
      <w:r>
        <w:rPr>
          <w:color w:val="231F20"/>
          <w:spacing w:val="-13"/>
          <w:w w:val="105"/>
        </w:rPr>
        <w:t> </w:t>
      </w:r>
      <w:r>
        <w:rPr>
          <w:color w:val="231F20"/>
          <w:w w:val="105"/>
        </w:rPr>
        <w:t>lo</w:t>
      </w:r>
      <w:r>
        <w:rPr>
          <w:color w:val="231F20"/>
          <w:spacing w:val="-8"/>
          <w:w w:val="105"/>
        </w:rPr>
        <w:t> </w:t>
      </w:r>
      <w:r>
        <w:rPr>
          <w:color w:val="231F20"/>
          <w:w w:val="105"/>
        </w:rPr>
        <w:t>cual</w:t>
      </w:r>
      <w:r>
        <w:rPr>
          <w:color w:val="231F20"/>
          <w:spacing w:val="-8"/>
          <w:w w:val="105"/>
        </w:rPr>
        <w:t> </w:t>
      </w:r>
      <w:r>
        <w:rPr>
          <w:color w:val="231F20"/>
          <w:w w:val="105"/>
        </w:rPr>
        <w:t>complica</w:t>
      </w:r>
      <w:r>
        <w:rPr>
          <w:color w:val="231F20"/>
          <w:spacing w:val="-8"/>
          <w:w w:val="105"/>
        </w:rPr>
        <w:t> </w:t>
      </w:r>
      <w:r>
        <w:rPr>
          <w:color w:val="231F20"/>
          <w:w w:val="105"/>
        </w:rPr>
        <w:t>la</w:t>
      </w:r>
      <w:r>
        <w:rPr>
          <w:color w:val="231F20"/>
          <w:spacing w:val="-8"/>
          <w:w w:val="105"/>
        </w:rPr>
        <w:t> </w:t>
      </w:r>
      <w:r>
        <w:rPr>
          <w:color w:val="231F20"/>
          <w:w w:val="105"/>
        </w:rPr>
        <w:t>comunicación</w:t>
      </w:r>
      <w:r>
        <w:rPr>
          <w:color w:val="231F20"/>
          <w:spacing w:val="-8"/>
          <w:w w:val="105"/>
        </w:rPr>
        <w:t> </w:t>
      </w:r>
      <w:r>
        <w:rPr>
          <w:color w:val="231F20"/>
          <w:w w:val="105"/>
        </w:rPr>
        <w:t>entre</w:t>
      </w:r>
      <w:r>
        <w:rPr>
          <w:color w:val="231F20"/>
          <w:spacing w:val="-8"/>
          <w:w w:val="105"/>
        </w:rPr>
        <w:t> </w:t>
      </w:r>
      <w:r>
        <w:rPr>
          <w:color w:val="231F20"/>
          <w:w w:val="105"/>
        </w:rPr>
        <w:t>ellas</w:t>
      </w:r>
      <w:r>
        <w:rPr>
          <w:color w:val="231F20"/>
          <w:spacing w:val="-8"/>
          <w:w w:val="105"/>
        </w:rPr>
        <w:t> </w:t>
      </w:r>
      <w:r>
        <w:rPr>
          <w:color w:val="231F20"/>
          <w:w w:val="105"/>
        </w:rPr>
        <w:t>y</w:t>
      </w:r>
      <w:r>
        <w:rPr>
          <w:color w:val="231F20"/>
          <w:spacing w:val="-8"/>
          <w:w w:val="105"/>
        </w:rPr>
        <w:t> </w:t>
      </w:r>
      <w:r>
        <w:rPr>
          <w:color w:val="231F20"/>
          <w:w w:val="105"/>
        </w:rPr>
        <w:t>su</w:t>
      </w:r>
      <w:r>
        <w:rPr>
          <w:color w:val="231F20"/>
          <w:spacing w:val="-8"/>
          <w:w w:val="105"/>
        </w:rPr>
        <w:t> </w:t>
      </w:r>
      <w:r>
        <w:rPr>
          <w:color w:val="231F20"/>
          <w:w w:val="105"/>
        </w:rPr>
        <w:t>fertili- zación</w:t>
      </w:r>
      <w:r>
        <w:rPr>
          <w:color w:val="231F20"/>
          <w:spacing w:val="-26"/>
          <w:w w:val="105"/>
        </w:rPr>
        <w:t> </w:t>
      </w:r>
      <w:r>
        <w:rPr>
          <w:color w:val="231F20"/>
          <w:w w:val="105"/>
        </w:rPr>
        <w:t>mutua.</w:t>
      </w:r>
      <w:r>
        <w:rPr>
          <w:color w:val="231F20"/>
          <w:spacing w:val="-31"/>
          <w:w w:val="105"/>
        </w:rPr>
        <w:t> </w:t>
      </w:r>
      <w:r>
        <w:rPr>
          <w:color w:val="231F20"/>
          <w:w w:val="105"/>
        </w:rPr>
        <w:t>Debido</w:t>
      </w:r>
      <w:r>
        <w:rPr>
          <w:color w:val="231F20"/>
          <w:spacing w:val="-26"/>
          <w:w w:val="105"/>
        </w:rPr>
        <w:t> </w:t>
      </w:r>
      <w:r>
        <w:rPr>
          <w:color w:val="231F20"/>
          <w:w w:val="105"/>
        </w:rPr>
        <w:t>a</w:t>
      </w:r>
      <w:r>
        <w:rPr>
          <w:color w:val="231F20"/>
          <w:spacing w:val="-26"/>
          <w:w w:val="105"/>
        </w:rPr>
        <w:t> </w:t>
      </w:r>
      <w:r>
        <w:rPr>
          <w:color w:val="231F20"/>
          <w:w w:val="105"/>
        </w:rPr>
        <w:t>una</w:t>
      </w:r>
      <w:r>
        <w:rPr>
          <w:color w:val="231F20"/>
          <w:spacing w:val="-26"/>
          <w:w w:val="105"/>
        </w:rPr>
        <w:t> </w:t>
      </w:r>
      <w:r>
        <w:rPr>
          <w:color w:val="231F20"/>
          <w:w w:val="105"/>
        </w:rPr>
        <w:t>mayor</w:t>
      </w:r>
      <w:r>
        <w:rPr>
          <w:color w:val="231F20"/>
          <w:spacing w:val="-26"/>
          <w:w w:val="105"/>
        </w:rPr>
        <w:t> </w:t>
      </w:r>
      <w:r>
        <w:rPr>
          <w:color w:val="231F20"/>
          <w:w w:val="105"/>
        </w:rPr>
        <w:t>atención</w:t>
      </w:r>
      <w:r>
        <w:rPr>
          <w:color w:val="231F20"/>
          <w:spacing w:val="-26"/>
          <w:w w:val="105"/>
        </w:rPr>
        <w:t> </w:t>
      </w:r>
      <w:r>
        <w:rPr>
          <w:color w:val="231F20"/>
          <w:w w:val="105"/>
        </w:rPr>
        <w:t>en</w:t>
      </w:r>
      <w:r>
        <w:rPr>
          <w:color w:val="231F20"/>
          <w:spacing w:val="-26"/>
          <w:w w:val="105"/>
        </w:rPr>
        <w:t> </w:t>
      </w:r>
      <w:r>
        <w:rPr>
          <w:color w:val="231F20"/>
          <w:w w:val="105"/>
        </w:rPr>
        <w:t>sus</w:t>
      </w:r>
      <w:r>
        <w:rPr>
          <w:color w:val="231F20"/>
          <w:spacing w:val="-26"/>
          <w:w w:val="105"/>
        </w:rPr>
        <w:t> </w:t>
      </w:r>
      <w:r>
        <w:rPr>
          <w:color w:val="231F20"/>
          <w:w w:val="105"/>
        </w:rPr>
        <w:t>disimilitudes,</w:t>
      </w:r>
      <w:r>
        <w:rPr>
          <w:color w:val="231F20"/>
          <w:spacing w:val="-31"/>
          <w:w w:val="105"/>
        </w:rPr>
        <w:t> </w:t>
      </w:r>
      <w:r>
        <w:rPr>
          <w:color w:val="231F20"/>
          <w:w w:val="105"/>
        </w:rPr>
        <w:t>algunos autores</w:t>
      </w:r>
      <w:r>
        <w:rPr>
          <w:color w:val="231F20"/>
          <w:spacing w:val="-6"/>
          <w:w w:val="105"/>
        </w:rPr>
        <w:t> </w:t>
      </w:r>
      <w:r>
        <w:rPr>
          <w:color w:val="231F20"/>
          <w:w w:val="105"/>
        </w:rPr>
        <w:t>renombrados</w:t>
      </w:r>
      <w:r>
        <w:rPr>
          <w:color w:val="231F20"/>
          <w:spacing w:val="-6"/>
          <w:w w:val="105"/>
        </w:rPr>
        <w:t> </w:t>
      </w:r>
      <w:r>
        <w:rPr>
          <w:color w:val="231F20"/>
          <w:w w:val="105"/>
        </w:rPr>
        <w:t>comentan</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comunicación</w:t>
      </w:r>
      <w:r>
        <w:rPr>
          <w:color w:val="231F20"/>
          <w:spacing w:val="-6"/>
          <w:w w:val="105"/>
        </w:rPr>
        <w:t> </w:t>
      </w:r>
      <w:r>
        <w:rPr>
          <w:color w:val="231F20"/>
          <w:w w:val="105"/>
        </w:rPr>
        <w:t>entre</w:t>
      </w:r>
      <w:r>
        <w:rPr>
          <w:color w:val="231F20"/>
          <w:spacing w:val="-6"/>
          <w:w w:val="105"/>
        </w:rPr>
        <w:t> </w:t>
      </w:r>
      <w:r>
        <w:rPr>
          <w:color w:val="231F20"/>
          <w:w w:val="105"/>
        </w:rPr>
        <w:t>economía</w:t>
      </w:r>
      <w:r>
        <w:rPr>
          <w:color w:val="231F20"/>
          <w:spacing w:val="-6"/>
          <w:w w:val="105"/>
        </w:rPr>
        <w:t> </w:t>
      </w:r>
      <w:r>
        <w:rPr>
          <w:color w:val="231F20"/>
          <w:w w:val="105"/>
        </w:rPr>
        <w:t>y administración</w:t>
      </w:r>
      <w:r>
        <w:rPr>
          <w:color w:val="231F20"/>
          <w:spacing w:val="-35"/>
          <w:w w:val="105"/>
        </w:rPr>
        <w:t> </w:t>
      </w:r>
      <w:r>
        <w:rPr>
          <w:color w:val="231F20"/>
          <w:w w:val="105"/>
        </w:rPr>
        <w:t>ha</w:t>
      </w:r>
      <w:r>
        <w:rPr>
          <w:color w:val="231F20"/>
          <w:spacing w:val="-35"/>
          <w:w w:val="105"/>
        </w:rPr>
        <w:t> </w:t>
      </w:r>
      <w:r>
        <w:rPr>
          <w:color w:val="231F20"/>
          <w:w w:val="105"/>
        </w:rPr>
        <w:t>sido</w:t>
      </w:r>
      <w:r>
        <w:rPr>
          <w:color w:val="231F20"/>
          <w:spacing w:val="-35"/>
          <w:w w:val="105"/>
        </w:rPr>
        <w:t> </w:t>
      </w:r>
      <w:r>
        <w:rPr>
          <w:color w:val="231F20"/>
          <w:w w:val="105"/>
        </w:rPr>
        <w:t>poca</w:t>
      </w:r>
      <w:r>
        <w:rPr>
          <w:color w:val="231F20"/>
          <w:spacing w:val="-35"/>
          <w:w w:val="105"/>
        </w:rPr>
        <w:t> </w:t>
      </w:r>
      <w:r>
        <w:rPr>
          <w:color w:val="231F20"/>
          <w:spacing w:val="-4"/>
          <w:w w:val="105"/>
        </w:rPr>
        <w:t>(Porter,</w:t>
      </w:r>
      <w:r>
        <w:rPr>
          <w:color w:val="231F20"/>
          <w:spacing w:val="-40"/>
          <w:w w:val="105"/>
        </w:rPr>
        <w:t> </w:t>
      </w:r>
      <w:r>
        <w:rPr>
          <w:color w:val="231F20"/>
          <w:w w:val="105"/>
        </w:rPr>
        <w:t>1981),</w:t>
      </w:r>
      <w:r>
        <w:rPr>
          <w:color w:val="231F20"/>
          <w:spacing w:val="-40"/>
          <w:w w:val="105"/>
        </w:rPr>
        <w:t> </w:t>
      </w:r>
      <w:r>
        <w:rPr>
          <w:color w:val="231F20"/>
          <w:w w:val="105"/>
        </w:rPr>
        <w:t>distante</w:t>
      </w:r>
      <w:r>
        <w:rPr>
          <w:color w:val="231F20"/>
          <w:spacing w:val="-35"/>
          <w:w w:val="105"/>
        </w:rPr>
        <w:t> </w:t>
      </w:r>
      <w:r>
        <w:rPr>
          <w:color w:val="231F20"/>
          <w:spacing w:val="-4"/>
          <w:w w:val="105"/>
        </w:rPr>
        <w:t>(Perrow,</w:t>
      </w:r>
      <w:r>
        <w:rPr>
          <w:color w:val="231F20"/>
          <w:spacing w:val="-40"/>
          <w:w w:val="105"/>
        </w:rPr>
        <w:t> </w:t>
      </w:r>
      <w:r>
        <w:rPr>
          <w:color w:val="231F20"/>
          <w:w w:val="105"/>
        </w:rPr>
        <w:t>1986)</w:t>
      </w:r>
      <w:r>
        <w:rPr>
          <w:color w:val="231F20"/>
          <w:spacing w:val="-35"/>
          <w:w w:val="105"/>
        </w:rPr>
        <w:t> </w:t>
      </w:r>
      <w:r>
        <w:rPr>
          <w:color w:val="231F20"/>
          <w:w w:val="105"/>
        </w:rPr>
        <w:t>y</w:t>
      </w:r>
      <w:r>
        <w:rPr>
          <w:color w:val="231F20"/>
          <w:spacing w:val="-35"/>
          <w:w w:val="105"/>
        </w:rPr>
        <w:t> </w:t>
      </w:r>
      <w:r>
        <w:rPr>
          <w:color w:val="231F20"/>
          <w:w w:val="105"/>
        </w:rPr>
        <w:t>hasta </w:t>
      </w:r>
      <w:r>
        <w:rPr>
          <w:color w:val="231F20"/>
        </w:rPr>
        <w:t>peligrosa (Pfeffer,</w:t>
      </w:r>
      <w:r>
        <w:rPr>
          <w:color w:val="231F20"/>
          <w:spacing w:val="14"/>
        </w:rPr>
        <w:t> </w:t>
      </w:r>
      <w:r>
        <w:rPr>
          <w:color w:val="231F20"/>
        </w:rPr>
        <w:t>2002).</w:t>
      </w:r>
    </w:p>
    <w:p>
      <w:pPr>
        <w:pStyle w:val="BodyText"/>
        <w:spacing w:line="259" w:lineRule="auto"/>
        <w:ind w:left="117" w:right="122" w:firstLine="567"/>
        <w:jc w:val="both"/>
      </w:pPr>
      <w:r>
        <w:rPr>
          <w:color w:val="231F20"/>
          <w:w w:val="105"/>
        </w:rPr>
        <w:t>En</w:t>
      </w:r>
      <w:r>
        <w:rPr>
          <w:color w:val="231F20"/>
          <w:spacing w:val="-26"/>
          <w:w w:val="105"/>
        </w:rPr>
        <w:t> </w:t>
      </w:r>
      <w:r>
        <w:rPr>
          <w:color w:val="231F20"/>
          <w:w w:val="105"/>
        </w:rPr>
        <w:t>esencia,</w:t>
      </w:r>
      <w:r>
        <w:rPr>
          <w:color w:val="231F20"/>
          <w:spacing w:val="-31"/>
          <w:w w:val="105"/>
        </w:rPr>
        <w:t> </w:t>
      </w:r>
      <w:r>
        <w:rPr>
          <w:color w:val="231F20"/>
          <w:w w:val="105"/>
        </w:rPr>
        <w:t>la</w:t>
      </w:r>
      <w:r>
        <w:rPr>
          <w:color w:val="231F20"/>
          <w:spacing w:val="-26"/>
          <w:w w:val="105"/>
        </w:rPr>
        <w:t> </w:t>
      </w:r>
      <w:r>
        <w:rPr>
          <w:color w:val="231F20"/>
          <w:w w:val="105"/>
        </w:rPr>
        <w:t>economía</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administración</w:t>
      </w:r>
      <w:r>
        <w:rPr>
          <w:color w:val="231F20"/>
          <w:spacing w:val="-26"/>
          <w:w w:val="105"/>
        </w:rPr>
        <w:t> </w:t>
      </w:r>
      <w:r>
        <w:rPr>
          <w:color w:val="231F20"/>
          <w:w w:val="105"/>
        </w:rPr>
        <w:t>incluyen</w:t>
      </w:r>
      <w:r>
        <w:rPr>
          <w:color w:val="231F20"/>
          <w:spacing w:val="-26"/>
          <w:w w:val="105"/>
        </w:rPr>
        <w:t> </w:t>
      </w:r>
      <w:r>
        <w:rPr>
          <w:color w:val="231F20"/>
          <w:w w:val="105"/>
        </w:rPr>
        <w:t>en</w:t>
      </w:r>
      <w:r>
        <w:rPr>
          <w:color w:val="231F20"/>
          <w:spacing w:val="-26"/>
          <w:w w:val="105"/>
        </w:rPr>
        <w:t> </w:t>
      </w:r>
      <w:r>
        <w:rPr>
          <w:color w:val="231F20"/>
          <w:w w:val="105"/>
        </w:rPr>
        <w:t>su</w:t>
      </w:r>
      <w:r>
        <w:rPr>
          <w:color w:val="231F20"/>
          <w:spacing w:val="-26"/>
          <w:w w:val="105"/>
        </w:rPr>
        <w:t> </w:t>
      </w:r>
      <w:r>
        <w:rPr>
          <w:color w:val="231F20"/>
          <w:w w:val="105"/>
        </w:rPr>
        <w:t>dominio el</w:t>
      </w:r>
      <w:r>
        <w:rPr>
          <w:color w:val="231F20"/>
          <w:spacing w:val="-7"/>
          <w:w w:val="105"/>
        </w:rPr>
        <w:t> </w:t>
      </w:r>
      <w:r>
        <w:rPr>
          <w:color w:val="231F20"/>
          <w:w w:val="105"/>
        </w:rPr>
        <w:t>estudio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organizaciones</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sectores,</w:t>
      </w:r>
      <w:r>
        <w:rPr>
          <w:color w:val="231F20"/>
          <w:spacing w:val="-11"/>
          <w:w w:val="105"/>
        </w:rPr>
        <w:t> </w:t>
      </w:r>
      <w:r>
        <w:rPr>
          <w:color w:val="231F20"/>
          <w:w w:val="105"/>
        </w:rPr>
        <w:t>cuyo</w:t>
      </w:r>
      <w:r>
        <w:rPr>
          <w:color w:val="231F20"/>
          <w:spacing w:val="-7"/>
          <w:w w:val="105"/>
        </w:rPr>
        <w:t> </w:t>
      </w:r>
      <w:r>
        <w:rPr>
          <w:color w:val="231F20"/>
          <w:w w:val="105"/>
        </w:rPr>
        <w:t>análisis</w:t>
      </w:r>
      <w:r>
        <w:rPr>
          <w:color w:val="231F20"/>
          <w:spacing w:val="-7"/>
          <w:w w:val="105"/>
        </w:rPr>
        <w:t> </w:t>
      </w:r>
      <w:r>
        <w:rPr>
          <w:color w:val="231F20"/>
          <w:w w:val="105"/>
        </w:rPr>
        <w:t>requie- ren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integración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dos</w:t>
      </w:r>
      <w:r>
        <w:rPr>
          <w:color w:val="231F20"/>
          <w:spacing w:val="-9"/>
          <w:w w:val="105"/>
        </w:rPr>
        <w:t> </w:t>
      </w:r>
      <w:r>
        <w:rPr>
          <w:color w:val="231F20"/>
          <w:w w:val="105"/>
        </w:rPr>
        <w:t>ciencias</w:t>
      </w:r>
      <w:r>
        <w:rPr>
          <w:color w:val="231F20"/>
          <w:spacing w:val="-9"/>
          <w:w w:val="105"/>
        </w:rPr>
        <w:t> </w:t>
      </w:r>
      <w:r>
        <w:rPr>
          <w:color w:val="231F20"/>
          <w:w w:val="105"/>
        </w:rPr>
        <w:t>para</w:t>
      </w:r>
      <w:r>
        <w:rPr>
          <w:color w:val="231F20"/>
          <w:spacing w:val="-9"/>
          <w:w w:val="105"/>
        </w:rPr>
        <w:t> </w:t>
      </w:r>
      <w:r>
        <w:rPr>
          <w:color w:val="231F20"/>
          <w:w w:val="105"/>
        </w:rPr>
        <w:t>su</w:t>
      </w:r>
      <w:r>
        <w:rPr>
          <w:color w:val="231F20"/>
          <w:spacing w:val="-9"/>
          <w:w w:val="105"/>
        </w:rPr>
        <w:t> </w:t>
      </w:r>
      <w:r>
        <w:rPr>
          <w:color w:val="231F20"/>
          <w:w w:val="105"/>
        </w:rPr>
        <w:t>exploración</w:t>
      </w:r>
      <w:r>
        <w:rPr>
          <w:color w:val="231F20"/>
          <w:spacing w:val="-9"/>
          <w:w w:val="105"/>
        </w:rPr>
        <w:t> </w:t>
      </w:r>
      <w:r>
        <w:rPr>
          <w:color w:val="231F20"/>
          <w:w w:val="105"/>
        </w:rPr>
        <w:t>amplia.</w:t>
      </w:r>
      <w:r>
        <w:rPr>
          <w:color w:val="231F20"/>
          <w:spacing w:val="-15"/>
          <w:w w:val="105"/>
        </w:rPr>
        <w:t> </w:t>
      </w:r>
      <w:r>
        <w:rPr>
          <w:color w:val="231F20"/>
          <w:w w:val="105"/>
        </w:rPr>
        <w:t>Un esfuerzo</w:t>
      </w:r>
      <w:r>
        <w:rPr>
          <w:color w:val="231F20"/>
          <w:spacing w:val="-20"/>
          <w:w w:val="105"/>
        </w:rPr>
        <w:t> </w:t>
      </w:r>
      <w:r>
        <w:rPr>
          <w:color w:val="231F20"/>
          <w:w w:val="105"/>
        </w:rPr>
        <w:t>serio</w:t>
      </w:r>
      <w:r>
        <w:rPr>
          <w:color w:val="231F20"/>
          <w:spacing w:val="-20"/>
          <w:w w:val="105"/>
        </w:rPr>
        <w:t> </w:t>
      </w:r>
      <w:r>
        <w:rPr>
          <w:color w:val="231F20"/>
          <w:w w:val="105"/>
        </w:rPr>
        <w:t>y</w:t>
      </w:r>
      <w:r>
        <w:rPr>
          <w:color w:val="231F20"/>
          <w:spacing w:val="-20"/>
          <w:w w:val="105"/>
        </w:rPr>
        <w:t> </w:t>
      </w:r>
      <w:r>
        <w:rPr>
          <w:color w:val="231F20"/>
          <w:w w:val="105"/>
        </w:rPr>
        <w:t>colectivo</w:t>
      </w:r>
      <w:r>
        <w:rPr>
          <w:color w:val="231F20"/>
          <w:spacing w:val="-20"/>
          <w:w w:val="105"/>
        </w:rPr>
        <w:t> </w:t>
      </w:r>
      <w:r>
        <w:rPr>
          <w:color w:val="231F20"/>
          <w:w w:val="105"/>
        </w:rPr>
        <w:t>para</w:t>
      </w:r>
      <w:r>
        <w:rPr>
          <w:color w:val="231F20"/>
          <w:spacing w:val="-20"/>
          <w:w w:val="105"/>
        </w:rPr>
        <w:t> </w:t>
      </w:r>
      <w:r>
        <w:rPr>
          <w:color w:val="231F20"/>
          <w:w w:val="105"/>
        </w:rPr>
        <w:t>llegar</w:t>
      </w:r>
      <w:r>
        <w:rPr>
          <w:color w:val="231F20"/>
          <w:spacing w:val="-20"/>
          <w:w w:val="105"/>
        </w:rPr>
        <w:t> </w:t>
      </w:r>
      <w:r>
        <w:rPr>
          <w:color w:val="231F20"/>
          <w:w w:val="105"/>
        </w:rPr>
        <w:t>a</w:t>
      </w:r>
      <w:r>
        <w:rPr>
          <w:color w:val="231F20"/>
          <w:spacing w:val="-20"/>
          <w:w w:val="105"/>
        </w:rPr>
        <w:t> </w:t>
      </w:r>
      <w:r>
        <w:rPr>
          <w:color w:val="231F20"/>
          <w:w w:val="105"/>
        </w:rPr>
        <w:t>ello</w:t>
      </w:r>
      <w:r>
        <w:rPr>
          <w:color w:val="231F20"/>
          <w:spacing w:val="-20"/>
          <w:w w:val="105"/>
        </w:rPr>
        <w:t> </w:t>
      </w:r>
      <w:r>
        <w:rPr>
          <w:color w:val="231F20"/>
          <w:w w:val="105"/>
        </w:rPr>
        <w:t>está</w:t>
      </w:r>
      <w:r>
        <w:rPr>
          <w:color w:val="231F20"/>
          <w:spacing w:val="-20"/>
          <w:w w:val="105"/>
        </w:rPr>
        <w:t> </w:t>
      </w:r>
      <w:r>
        <w:rPr>
          <w:color w:val="231F20"/>
          <w:w w:val="105"/>
        </w:rPr>
        <w:t>contenido</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páginas de este</w:t>
      </w:r>
      <w:r>
        <w:rPr>
          <w:color w:val="231F20"/>
          <w:spacing w:val="-33"/>
          <w:w w:val="105"/>
        </w:rPr>
        <w:t> </w:t>
      </w:r>
      <w:r>
        <w:rPr>
          <w:color w:val="231F20"/>
          <w:w w:val="105"/>
        </w:rPr>
        <w:t>texto.</w:t>
      </w:r>
    </w:p>
    <w:p>
      <w:pPr>
        <w:pStyle w:val="BodyText"/>
        <w:rPr>
          <w:sz w:val="20"/>
        </w:rPr>
      </w:pPr>
    </w:p>
    <w:p>
      <w:pPr>
        <w:pStyle w:val="BodyText"/>
        <w:spacing w:before="7"/>
        <w:rPr>
          <w:sz w:val="18"/>
        </w:rPr>
      </w:pPr>
    </w:p>
    <w:p>
      <w:pPr>
        <w:pStyle w:val="Heading2"/>
      </w:pPr>
      <w:r>
        <w:rPr>
          <w:color w:val="231F20"/>
          <w:w w:val="95"/>
        </w:rPr>
        <w:t>El Doctorado en Ciencias Económico-Administrativas  (DCEA)</w:t>
      </w:r>
    </w:p>
    <w:p>
      <w:pPr>
        <w:pStyle w:val="BodyText"/>
        <w:rPr>
          <w:b/>
          <w:sz w:val="22"/>
        </w:rPr>
      </w:pPr>
    </w:p>
    <w:p>
      <w:pPr>
        <w:pStyle w:val="BodyText"/>
        <w:spacing w:line="259" w:lineRule="auto" w:before="160"/>
        <w:ind w:left="117" w:right="121"/>
        <w:jc w:val="both"/>
      </w:pPr>
      <w:r>
        <w:rPr>
          <w:color w:val="231F20"/>
          <w:w w:val="105"/>
        </w:rPr>
        <w:t>La</w:t>
      </w:r>
      <w:r>
        <w:rPr>
          <w:color w:val="231F20"/>
          <w:spacing w:val="-12"/>
          <w:w w:val="105"/>
        </w:rPr>
        <w:t> </w:t>
      </w:r>
      <w:r>
        <w:rPr>
          <w:color w:val="231F20"/>
          <w:w w:val="105"/>
        </w:rPr>
        <w:t>responsabilidad</w:t>
      </w:r>
      <w:r>
        <w:rPr>
          <w:color w:val="231F20"/>
          <w:spacing w:val="-12"/>
          <w:w w:val="105"/>
        </w:rPr>
        <w:t> </w:t>
      </w:r>
      <w:r>
        <w:rPr>
          <w:color w:val="231F20"/>
          <w:w w:val="105"/>
        </w:rPr>
        <w:t>social</w:t>
      </w:r>
      <w:r>
        <w:rPr>
          <w:color w:val="231F20"/>
          <w:spacing w:val="-12"/>
          <w:w w:val="105"/>
        </w:rPr>
        <w:t> </w:t>
      </w:r>
      <w:r>
        <w:rPr>
          <w:color w:val="231F20"/>
          <w:w w:val="105"/>
        </w:rPr>
        <w:t>como</w:t>
      </w:r>
      <w:r>
        <w:rPr>
          <w:color w:val="231F20"/>
          <w:spacing w:val="-12"/>
          <w:w w:val="105"/>
        </w:rPr>
        <w:t> </w:t>
      </w:r>
      <w:r>
        <w:rPr>
          <w:color w:val="231F20"/>
          <w:w w:val="105"/>
        </w:rPr>
        <w:t>valor</w:t>
      </w:r>
      <w:r>
        <w:rPr>
          <w:color w:val="231F20"/>
          <w:spacing w:val="-12"/>
          <w:w w:val="105"/>
        </w:rPr>
        <w:t> </w:t>
      </w:r>
      <w:r>
        <w:rPr>
          <w:color w:val="231F20"/>
          <w:w w:val="105"/>
        </w:rPr>
        <w:t>que</w:t>
      </w:r>
      <w:r>
        <w:rPr>
          <w:color w:val="231F20"/>
          <w:spacing w:val="-12"/>
          <w:w w:val="105"/>
        </w:rPr>
        <w:t> </w:t>
      </w:r>
      <w:r>
        <w:rPr>
          <w:color w:val="231F20"/>
          <w:w w:val="105"/>
        </w:rPr>
        <w:t>sustenta</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educación</w:t>
      </w:r>
      <w:r>
        <w:rPr>
          <w:color w:val="231F20"/>
          <w:spacing w:val="-12"/>
          <w:w w:val="105"/>
        </w:rPr>
        <w:t> </w:t>
      </w:r>
      <w:r>
        <w:rPr>
          <w:color w:val="231F20"/>
          <w:w w:val="105"/>
        </w:rPr>
        <w:t>supe- rior</w:t>
      </w:r>
      <w:r>
        <w:rPr>
          <w:color w:val="231F20"/>
          <w:spacing w:val="-24"/>
          <w:w w:val="105"/>
        </w:rPr>
        <w:t> </w:t>
      </w:r>
      <w:r>
        <w:rPr>
          <w:color w:val="231F20"/>
          <w:w w:val="105"/>
        </w:rPr>
        <w:t>se</w:t>
      </w:r>
      <w:r>
        <w:rPr>
          <w:color w:val="231F20"/>
          <w:spacing w:val="-24"/>
          <w:w w:val="105"/>
        </w:rPr>
        <w:t> </w:t>
      </w:r>
      <w:r>
        <w:rPr>
          <w:color w:val="231F20"/>
          <w:w w:val="105"/>
        </w:rPr>
        <w:t>expresa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compromiso</w:t>
      </w:r>
      <w:r>
        <w:rPr>
          <w:color w:val="231F20"/>
          <w:spacing w:val="-24"/>
          <w:w w:val="105"/>
        </w:rPr>
        <w:t> </w:t>
      </w:r>
      <w:r>
        <w:rPr>
          <w:color w:val="231F20"/>
          <w:w w:val="105"/>
        </w:rPr>
        <w:t>con</w:t>
      </w:r>
      <w:r>
        <w:rPr>
          <w:color w:val="231F20"/>
          <w:spacing w:val="-24"/>
          <w:w w:val="105"/>
        </w:rPr>
        <w:t> </w:t>
      </w:r>
      <w:r>
        <w:rPr>
          <w:color w:val="231F20"/>
          <w:w w:val="105"/>
        </w:rPr>
        <w:t>el</w:t>
      </w:r>
      <w:r>
        <w:rPr>
          <w:color w:val="231F20"/>
          <w:spacing w:val="-24"/>
          <w:w w:val="105"/>
        </w:rPr>
        <w:t> </w:t>
      </w:r>
      <w:r>
        <w:rPr>
          <w:color w:val="231F20"/>
          <w:w w:val="105"/>
        </w:rPr>
        <w:t>desarrollo</w:t>
      </w:r>
      <w:r>
        <w:rPr>
          <w:color w:val="231F20"/>
          <w:spacing w:val="-24"/>
          <w:w w:val="105"/>
        </w:rPr>
        <w:t> </w:t>
      </w:r>
      <w:r>
        <w:rPr>
          <w:color w:val="231F20"/>
          <w:w w:val="105"/>
        </w:rPr>
        <w:t>nacional</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w w:val="105"/>
        </w:rPr>
        <w:t>bienestar de</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5"/>
          <w:w w:val="105"/>
        </w:rPr>
        <w:t> </w:t>
      </w:r>
      <w:r>
        <w:rPr>
          <w:color w:val="231F20"/>
          <w:w w:val="105"/>
        </w:rPr>
        <w:t>a</w:t>
      </w:r>
      <w:r>
        <w:rPr>
          <w:color w:val="231F20"/>
          <w:spacing w:val="-10"/>
          <w:w w:val="105"/>
        </w:rPr>
        <w:t> </w:t>
      </w:r>
      <w:r>
        <w:rPr>
          <w:color w:val="231F20"/>
          <w:w w:val="105"/>
        </w:rPr>
        <w:t>partir</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desafíos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frente</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gran- </w:t>
      </w:r>
      <w:r>
        <w:rPr>
          <w:color w:val="231F20"/>
        </w:rPr>
        <w:t>des transformaciones contemporáneas (ANUIES,</w:t>
      </w:r>
      <w:r>
        <w:rPr>
          <w:color w:val="231F20"/>
          <w:spacing w:val="43"/>
        </w:rPr>
        <w:t> </w:t>
      </w:r>
      <w:r>
        <w:rPr>
          <w:color w:val="231F20"/>
        </w:rPr>
        <w:t>2010).</w:t>
      </w:r>
    </w:p>
    <w:p>
      <w:pPr>
        <w:pStyle w:val="BodyText"/>
        <w:spacing w:line="259" w:lineRule="auto"/>
        <w:ind w:left="117" w:right="115" w:firstLine="567"/>
        <w:jc w:val="both"/>
      </w:pPr>
      <w:r>
        <w:rPr>
          <w:color w:val="231F20"/>
          <w:w w:val="105"/>
        </w:rPr>
        <w:t>La</w:t>
      </w:r>
      <w:r>
        <w:rPr>
          <w:color w:val="231F20"/>
          <w:spacing w:val="-7"/>
          <w:w w:val="105"/>
        </w:rPr>
        <w:t> </w:t>
      </w:r>
      <w:r>
        <w:rPr>
          <w:color w:val="231F20"/>
          <w:w w:val="105"/>
        </w:rPr>
        <w:t>globalización,</w:t>
      </w:r>
      <w:r>
        <w:rPr>
          <w:color w:val="231F20"/>
          <w:spacing w:val="-13"/>
          <w:w w:val="105"/>
        </w:rPr>
        <w:t> </w:t>
      </w:r>
      <w:r>
        <w:rPr>
          <w:color w:val="231F20"/>
          <w:w w:val="105"/>
        </w:rPr>
        <w:t>la</w:t>
      </w:r>
      <w:r>
        <w:rPr>
          <w:color w:val="231F20"/>
          <w:spacing w:val="-7"/>
          <w:w w:val="105"/>
        </w:rPr>
        <w:t> </w:t>
      </w:r>
      <w:r>
        <w:rPr>
          <w:color w:val="231F20"/>
          <w:w w:val="105"/>
        </w:rPr>
        <w:t>era</w:t>
      </w:r>
      <w:r>
        <w:rPr>
          <w:color w:val="231F20"/>
          <w:spacing w:val="-7"/>
          <w:w w:val="105"/>
        </w:rPr>
        <w:t> </w:t>
      </w:r>
      <w:r>
        <w:rPr>
          <w:color w:val="231F20"/>
          <w:w w:val="105"/>
        </w:rPr>
        <w:t>del</w:t>
      </w:r>
      <w:r>
        <w:rPr>
          <w:color w:val="231F20"/>
          <w:spacing w:val="-7"/>
          <w:w w:val="105"/>
        </w:rPr>
        <w:t> </w:t>
      </w:r>
      <w:r>
        <w:rPr>
          <w:color w:val="231F20"/>
          <w:w w:val="105"/>
        </w:rPr>
        <w:t>conocimiento</w:t>
      </w:r>
      <w:r>
        <w:rPr>
          <w:color w:val="231F20"/>
          <w:spacing w:val="-7"/>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procesos</w:t>
      </w:r>
      <w:r>
        <w:rPr>
          <w:color w:val="231F20"/>
          <w:spacing w:val="-7"/>
          <w:w w:val="105"/>
        </w:rPr>
        <w:t> </w:t>
      </w:r>
      <w:r>
        <w:rPr>
          <w:color w:val="231F20"/>
          <w:w w:val="105"/>
        </w:rPr>
        <w:t>económi- cos</w:t>
      </w:r>
      <w:r>
        <w:rPr>
          <w:color w:val="231F20"/>
          <w:spacing w:val="-11"/>
          <w:w w:val="105"/>
        </w:rPr>
        <w:t> </w:t>
      </w:r>
      <w:r>
        <w:rPr>
          <w:color w:val="231F20"/>
          <w:w w:val="105"/>
        </w:rPr>
        <w:t>sustentados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revolución</w:t>
      </w:r>
      <w:r>
        <w:rPr>
          <w:color w:val="231F20"/>
          <w:spacing w:val="-11"/>
          <w:w w:val="105"/>
        </w:rPr>
        <w:t> </w:t>
      </w:r>
      <w:r>
        <w:rPr>
          <w:color w:val="231F20"/>
          <w:w w:val="105"/>
        </w:rPr>
        <w:t>tecnológica,</w:t>
      </w:r>
      <w:r>
        <w:rPr>
          <w:color w:val="231F20"/>
          <w:spacing w:val="-16"/>
          <w:w w:val="105"/>
        </w:rPr>
        <w:t> </w:t>
      </w:r>
      <w:r>
        <w:rPr>
          <w:color w:val="231F20"/>
          <w:w w:val="105"/>
        </w:rPr>
        <w:t>han</w:t>
      </w:r>
      <w:r>
        <w:rPr>
          <w:color w:val="231F20"/>
          <w:spacing w:val="-11"/>
          <w:w w:val="105"/>
        </w:rPr>
        <w:t> </w:t>
      </w:r>
      <w:r>
        <w:rPr>
          <w:color w:val="231F20"/>
          <w:w w:val="105"/>
        </w:rPr>
        <w:t>generado</w:t>
      </w:r>
      <w:r>
        <w:rPr>
          <w:color w:val="231F20"/>
          <w:spacing w:val="-11"/>
          <w:w w:val="105"/>
        </w:rPr>
        <w:t> </w:t>
      </w:r>
      <w:r>
        <w:rPr>
          <w:color w:val="231F20"/>
          <w:w w:val="105"/>
        </w:rPr>
        <w:t>nuevos</w:t>
      </w:r>
      <w:r>
        <w:rPr>
          <w:color w:val="231F20"/>
          <w:spacing w:val="-11"/>
          <w:w w:val="105"/>
        </w:rPr>
        <w:t> </w:t>
      </w:r>
      <w:r>
        <w:rPr>
          <w:color w:val="231F20"/>
          <w:w w:val="105"/>
        </w:rPr>
        <w:t>pa- trones</w:t>
      </w:r>
      <w:r>
        <w:rPr>
          <w:color w:val="231F20"/>
          <w:spacing w:val="-16"/>
          <w:w w:val="105"/>
        </w:rPr>
        <w:t> </w:t>
      </w:r>
      <w:r>
        <w:rPr>
          <w:color w:val="231F20"/>
          <w:w w:val="105"/>
        </w:rPr>
        <w:t>de</w:t>
      </w:r>
      <w:r>
        <w:rPr>
          <w:color w:val="231F20"/>
          <w:spacing w:val="-16"/>
          <w:w w:val="105"/>
        </w:rPr>
        <w:t> </w:t>
      </w:r>
      <w:r>
        <w:rPr>
          <w:color w:val="231F20"/>
          <w:w w:val="105"/>
        </w:rPr>
        <w:t>producción,</w:t>
      </w:r>
      <w:r>
        <w:rPr>
          <w:color w:val="231F20"/>
          <w:spacing w:val="-22"/>
          <w:w w:val="105"/>
        </w:rPr>
        <w:t> </w:t>
      </w:r>
      <w:r>
        <w:rPr>
          <w:color w:val="231F20"/>
          <w:w w:val="105"/>
        </w:rPr>
        <w:t>comercialización</w:t>
      </w:r>
      <w:r>
        <w:rPr>
          <w:color w:val="231F20"/>
          <w:spacing w:val="-16"/>
          <w:w w:val="105"/>
        </w:rPr>
        <w:t> </w:t>
      </w:r>
      <w:r>
        <w:rPr>
          <w:color w:val="231F20"/>
          <w:w w:val="105"/>
        </w:rPr>
        <w:t>y</w:t>
      </w:r>
      <w:r>
        <w:rPr>
          <w:color w:val="231F20"/>
          <w:spacing w:val="-16"/>
          <w:w w:val="105"/>
        </w:rPr>
        <w:t> </w:t>
      </w:r>
      <w:r>
        <w:rPr>
          <w:color w:val="231F20"/>
          <w:w w:val="105"/>
        </w:rPr>
        <w:t>consumo</w:t>
      </w:r>
      <w:r>
        <w:rPr>
          <w:color w:val="231F20"/>
          <w:spacing w:val="-16"/>
          <w:w w:val="105"/>
        </w:rPr>
        <w:t> </w:t>
      </w:r>
      <w:r>
        <w:rPr>
          <w:color w:val="231F20"/>
          <w:w w:val="105"/>
        </w:rPr>
        <w:t>con</w:t>
      </w:r>
      <w:r>
        <w:rPr>
          <w:color w:val="231F20"/>
          <w:spacing w:val="-16"/>
          <w:w w:val="105"/>
        </w:rPr>
        <w:t> </w:t>
      </w:r>
      <w:r>
        <w:rPr>
          <w:color w:val="231F20"/>
          <w:w w:val="105"/>
        </w:rPr>
        <w:t>implicaciones</w:t>
      </w:r>
      <w:r>
        <w:rPr>
          <w:color w:val="231F20"/>
          <w:spacing w:val="-16"/>
          <w:w w:val="105"/>
        </w:rPr>
        <w:t> </w:t>
      </w:r>
      <w:r>
        <w:rPr>
          <w:color w:val="231F20"/>
          <w:w w:val="105"/>
        </w:rPr>
        <w:t>en la</w:t>
      </w:r>
      <w:r>
        <w:rPr>
          <w:color w:val="231F20"/>
          <w:spacing w:val="-13"/>
          <w:w w:val="105"/>
        </w:rPr>
        <w:t> </w:t>
      </w:r>
      <w:r>
        <w:rPr>
          <w:color w:val="231F20"/>
          <w:w w:val="105"/>
        </w:rPr>
        <w:t>organización</w:t>
      </w:r>
      <w:r>
        <w:rPr>
          <w:color w:val="231F20"/>
          <w:spacing w:val="-13"/>
          <w:w w:val="105"/>
        </w:rPr>
        <w:t> </w:t>
      </w:r>
      <w:r>
        <w:rPr>
          <w:color w:val="231F20"/>
          <w:w w:val="105"/>
        </w:rPr>
        <w:t>social,</w:t>
      </w:r>
      <w:r>
        <w:rPr>
          <w:color w:val="231F20"/>
          <w:spacing w:val="-19"/>
          <w:w w:val="105"/>
        </w:rPr>
        <w:t> </w:t>
      </w:r>
      <w:r>
        <w:rPr>
          <w:color w:val="231F20"/>
          <w:w w:val="105"/>
        </w:rPr>
        <w:t>la</w:t>
      </w:r>
      <w:r>
        <w:rPr>
          <w:color w:val="231F20"/>
          <w:spacing w:val="-13"/>
          <w:w w:val="105"/>
        </w:rPr>
        <w:t> </w:t>
      </w:r>
      <w:r>
        <w:rPr>
          <w:color w:val="231F20"/>
          <w:w w:val="105"/>
        </w:rPr>
        <w:t>movilidad</w:t>
      </w:r>
      <w:r>
        <w:rPr>
          <w:color w:val="231F20"/>
          <w:spacing w:val="-13"/>
          <w:w w:val="105"/>
        </w:rPr>
        <w:t> </w:t>
      </w:r>
      <w:r>
        <w:rPr>
          <w:color w:val="231F20"/>
          <w:w w:val="105"/>
        </w:rPr>
        <w:t>de</w:t>
      </w:r>
      <w:r>
        <w:rPr>
          <w:color w:val="231F20"/>
          <w:spacing w:val="-13"/>
          <w:w w:val="105"/>
        </w:rPr>
        <w:t> </w:t>
      </w:r>
      <w:r>
        <w:rPr>
          <w:color w:val="231F20"/>
          <w:w w:val="105"/>
        </w:rPr>
        <w:t>población,</w:t>
      </w:r>
      <w:r>
        <w:rPr>
          <w:color w:val="231F20"/>
          <w:spacing w:val="-19"/>
          <w:w w:val="105"/>
        </w:rPr>
        <w:t> </w:t>
      </w:r>
      <w:r>
        <w:rPr>
          <w:color w:val="231F20"/>
          <w:w w:val="105"/>
        </w:rPr>
        <w:t>los</w:t>
      </w:r>
      <w:r>
        <w:rPr>
          <w:color w:val="231F20"/>
          <w:spacing w:val="-13"/>
          <w:w w:val="105"/>
        </w:rPr>
        <w:t> </w:t>
      </w:r>
      <w:r>
        <w:rPr>
          <w:color w:val="231F20"/>
          <w:w w:val="105"/>
        </w:rPr>
        <w:t>valores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cultura. Este escenario nos obliga a profundizar en la investigación de por qué algunas organizaciones mueren mientras otras viven, por qué algunas empresas tienen más éxito que otras en un sector, o por qué algunos sectores enfrentan mejor que otros las exigencias de la</w:t>
      </w:r>
      <w:r>
        <w:rPr>
          <w:color w:val="231F20"/>
          <w:spacing w:val="-19"/>
          <w:w w:val="105"/>
        </w:rPr>
        <w:t> </w:t>
      </w:r>
      <w:r>
        <w:rPr>
          <w:color w:val="231F20"/>
          <w:w w:val="105"/>
        </w:rPr>
        <w:t>competitividad, la</w:t>
      </w:r>
      <w:r>
        <w:rPr>
          <w:color w:val="231F20"/>
          <w:spacing w:val="-9"/>
          <w:w w:val="105"/>
        </w:rPr>
        <w:t> </w:t>
      </w:r>
      <w:r>
        <w:rPr>
          <w:color w:val="231F20"/>
          <w:w w:val="105"/>
        </w:rPr>
        <w:t>inserción</w:t>
      </w:r>
      <w:r>
        <w:rPr>
          <w:color w:val="231F20"/>
          <w:spacing w:val="-9"/>
          <w:w w:val="105"/>
        </w:rPr>
        <w:t> </w:t>
      </w:r>
      <w:r>
        <w:rPr>
          <w:color w:val="231F20"/>
          <w:w w:val="105"/>
        </w:rPr>
        <w:t>favorable</w:t>
      </w:r>
      <w:r>
        <w:rPr>
          <w:color w:val="231F20"/>
          <w:spacing w:val="-9"/>
          <w:w w:val="105"/>
        </w:rPr>
        <w:t> </w:t>
      </w:r>
      <w:r>
        <w:rPr>
          <w:color w:val="231F20"/>
          <w:w w:val="105"/>
        </w:rPr>
        <w:t>en</w:t>
      </w:r>
      <w:r>
        <w:rPr>
          <w:color w:val="231F20"/>
          <w:spacing w:val="-9"/>
          <w:w w:val="105"/>
        </w:rPr>
        <w:t> </w:t>
      </w:r>
      <w:r>
        <w:rPr>
          <w:color w:val="231F20"/>
          <w:w w:val="105"/>
        </w:rPr>
        <w:t>una</w:t>
      </w:r>
      <w:r>
        <w:rPr>
          <w:color w:val="231F20"/>
          <w:spacing w:val="-9"/>
          <w:w w:val="105"/>
        </w:rPr>
        <w:t> </w:t>
      </w:r>
      <w:r>
        <w:rPr>
          <w:color w:val="231F20"/>
          <w:w w:val="105"/>
        </w:rPr>
        <w:t>economía</w:t>
      </w:r>
      <w:r>
        <w:rPr>
          <w:color w:val="231F20"/>
          <w:spacing w:val="-9"/>
          <w:w w:val="105"/>
        </w:rPr>
        <w:t> </w:t>
      </w:r>
      <w:r>
        <w:rPr>
          <w:color w:val="231F20"/>
          <w:w w:val="105"/>
        </w:rPr>
        <w:t>globalizada</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desarrollo</w:t>
      </w:r>
      <w:r>
        <w:rPr>
          <w:color w:val="231F20"/>
          <w:spacing w:val="-9"/>
          <w:w w:val="105"/>
        </w:rPr>
        <w:t> </w:t>
      </w:r>
      <w:r>
        <w:rPr>
          <w:color w:val="231F20"/>
          <w:w w:val="105"/>
        </w:rPr>
        <w:t>cien- tífico</w:t>
      </w:r>
      <w:r>
        <w:rPr>
          <w:color w:val="231F20"/>
          <w:spacing w:val="8"/>
          <w:w w:val="105"/>
        </w:rPr>
        <w:t> </w:t>
      </w:r>
      <w:r>
        <w:rPr>
          <w:color w:val="231F20"/>
          <w:w w:val="105"/>
        </w:rPr>
        <w:t>tecnológico.</w:t>
      </w:r>
    </w:p>
    <w:p>
      <w:pPr>
        <w:spacing w:after="0" w:line="259" w:lineRule="auto"/>
        <w:jc w:val="both"/>
        <w:sectPr>
          <w:pgSz w:w="9640" w:h="13890"/>
          <w:pgMar w:top="0" w:bottom="280" w:left="1300" w:right="1180"/>
        </w:sectPr>
      </w:pPr>
    </w:p>
    <w:p>
      <w:pPr>
        <w:pStyle w:val="BodyText"/>
        <w:spacing w:line="259" w:lineRule="auto" w:before="78"/>
        <w:ind w:left="103" w:right="109" w:firstLine="567"/>
        <w:jc w:val="both"/>
      </w:pPr>
      <w:r>
        <w:rPr>
          <w:color w:val="231F20"/>
          <w:spacing w:val="-4"/>
          <w:w w:val="105"/>
        </w:rPr>
        <w:t>Para </w:t>
      </w:r>
      <w:r>
        <w:rPr>
          <w:color w:val="231F20"/>
          <w:w w:val="105"/>
        </w:rPr>
        <w:t>proponer respuestas, en 2006 la Universidad Autónoma del Estado de México a través de la Dependencia de Educación Superior (DES)</w:t>
      </w:r>
      <w:r>
        <w:rPr>
          <w:color w:val="231F20"/>
          <w:spacing w:val="-18"/>
          <w:w w:val="105"/>
        </w:rPr>
        <w:t> </w:t>
      </w:r>
      <w:r>
        <w:rPr>
          <w:color w:val="231F20"/>
          <w:w w:val="105"/>
        </w:rPr>
        <w:t>Económico-Administrativa,</w:t>
      </w:r>
      <w:r>
        <w:rPr>
          <w:color w:val="231F20"/>
          <w:spacing w:val="-23"/>
          <w:w w:val="105"/>
        </w:rPr>
        <w:t> </w:t>
      </w:r>
      <w:r>
        <w:rPr>
          <w:color w:val="231F20"/>
          <w:w w:val="105"/>
        </w:rPr>
        <w:t>conformada</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Facultad</w:t>
      </w:r>
      <w:r>
        <w:rPr>
          <w:color w:val="231F20"/>
          <w:spacing w:val="-18"/>
          <w:w w:val="105"/>
        </w:rPr>
        <w:t> </w:t>
      </w:r>
      <w:r>
        <w:rPr>
          <w:color w:val="231F20"/>
          <w:w w:val="105"/>
        </w:rPr>
        <w:t>de</w:t>
      </w:r>
      <w:r>
        <w:rPr>
          <w:color w:val="231F20"/>
          <w:spacing w:val="-18"/>
          <w:w w:val="105"/>
        </w:rPr>
        <w:t> </w:t>
      </w:r>
      <w:r>
        <w:rPr>
          <w:color w:val="231F20"/>
          <w:w w:val="105"/>
        </w:rPr>
        <w:t>Conta- duría y Administración y la Facultad de Economía, dio inicio al DCEA, cuyo</w:t>
      </w:r>
      <w:r>
        <w:rPr>
          <w:color w:val="231F20"/>
          <w:spacing w:val="-14"/>
          <w:w w:val="105"/>
        </w:rPr>
        <w:t> </w:t>
      </w:r>
      <w:r>
        <w:rPr>
          <w:color w:val="231F20"/>
          <w:w w:val="105"/>
        </w:rPr>
        <w:t>objetivo</w:t>
      </w:r>
      <w:r>
        <w:rPr>
          <w:color w:val="231F20"/>
          <w:spacing w:val="-14"/>
          <w:w w:val="105"/>
        </w:rPr>
        <w:t> </w:t>
      </w:r>
      <w:r>
        <w:rPr>
          <w:color w:val="231F20"/>
          <w:w w:val="105"/>
        </w:rPr>
        <w:t>es</w:t>
      </w:r>
      <w:r>
        <w:rPr>
          <w:color w:val="231F20"/>
          <w:spacing w:val="-14"/>
          <w:w w:val="105"/>
        </w:rPr>
        <w:t> </w:t>
      </w:r>
      <w:r>
        <w:rPr>
          <w:color w:val="231F20"/>
          <w:w w:val="105"/>
        </w:rPr>
        <w:t>formar</w:t>
      </w:r>
      <w:r>
        <w:rPr>
          <w:color w:val="231F20"/>
          <w:spacing w:val="-14"/>
          <w:w w:val="105"/>
        </w:rPr>
        <w:t> </w:t>
      </w:r>
      <w:r>
        <w:rPr>
          <w:color w:val="231F20"/>
          <w:w w:val="105"/>
        </w:rPr>
        <w:t>investigadores</w:t>
      </w:r>
      <w:r>
        <w:rPr>
          <w:color w:val="231F20"/>
          <w:spacing w:val="-14"/>
          <w:w w:val="105"/>
        </w:rPr>
        <w:t> </w:t>
      </w:r>
      <w:r>
        <w:rPr>
          <w:color w:val="231F20"/>
          <w:w w:val="105"/>
        </w:rPr>
        <w:t>capaces</w:t>
      </w:r>
      <w:r>
        <w:rPr>
          <w:color w:val="231F20"/>
          <w:spacing w:val="-14"/>
          <w:w w:val="105"/>
        </w:rPr>
        <w:t> </w:t>
      </w:r>
      <w:r>
        <w:rPr>
          <w:color w:val="231F20"/>
          <w:w w:val="105"/>
        </w:rPr>
        <w:t>de</w:t>
      </w:r>
      <w:r>
        <w:rPr>
          <w:color w:val="231F20"/>
          <w:spacing w:val="-14"/>
          <w:w w:val="105"/>
        </w:rPr>
        <w:t> </w:t>
      </w:r>
      <w:r>
        <w:rPr>
          <w:color w:val="231F20"/>
          <w:w w:val="105"/>
        </w:rPr>
        <w:t>generar</w:t>
      </w:r>
      <w:r>
        <w:rPr>
          <w:color w:val="231F20"/>
          <w:spacing w:val="-14"/>
          <w:w w:val="105"/>
        </w:rPr>
        <w:t> </w:t>
      </w:r>
      <w:r>
        <w:rPr>
          <w:color w:val="231F20"/>
          <w:w w:val="105"/>
        </w:rPr>
        <w:t>conocimien- to</w:t>
      </w:r>
      <w:r>
        <w:rPr>
          <w:color w:val="231F20"/>
          <w:spacing w:val="-10"/>
          <w:w w:val="105"/>
        </w:rPr>
        <w:t> </w:t>
      </w:r>
      <w:r>
        <w:rPr>
          <w:color w:val="231F20"/>
          <w:w w:val="105"/>
        </w:rPr>
        <w:t>sobre</w:t>
      </w:r>
      <w:r>
        <w:rPr>
          <w:color w:val="231F20"/>
          <w:spacing w:val="-10"/>
          <w:w w:val="105"/>
        </w:rPr>
        <w:t> </w:t>
      </w:r>
      <w:r>
        <w:rPr>
          <w:color w:val="231F20"/>
          <w:w w:val="105"/>
        </w:rPr>
        <w:t>el</w:t>
      </w:r>
      <w:r>
        <w:rPr>
          <w:color w:val="231F20"/>
          <w:spacing w:val="-10"/>
          <w:w w:val="105"/>
        </w:rPr>
        <w:t> </w:t>
      </w:r>
      <w:r>
        <w:rPr>
          <w:color w:val="231F20"/>
          <w:w w:val="105"/>
        </w:rPr>
        <w:t>comportamiento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organizaciones</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sectores</w:t>
      </w:r>
      <w:r>
        <w:rPr>
          <w:color w:val="231F20"/>
          <w:spacing w:val="-10"/>
          <w:w w:val="105"/>
        </w:rPr>
        <w:t> </w:t>
      </w:r>
      <w:r>
        <w:rPr>
          <w:color w:val="231F20"/>
          <w:w w:val="105"/>
        </w:rPr>
        <w:t>econó- micos</w:t>
      </w:r>
      <w:r>
        <w:rPr>
          <w:color w:val="231F20"/>
          <w:spacing w:val="-25"/>
          <w:w w:val="105"/>
        </w:rPr>
        <w:t> </w:t>
      </w:r>
      <w:r>
        <w:rPr>
          <w:color w:val="231F20"/>
          <w:w w:val="105"/>
        </w:rPr>
        <w:t>enfatizando</w:t>
      </w:r>
      <w:r>
        <w:rPr>
          <w:color w:val="231F20"/>
          <w:spacing w:val="-25"/>
          <w:w w:val="105"/>
        </w:rPr>
        <w:t> </w:t>
      </w:r>
      <w:r>
        <w:rPr>
          <w:color w:val="231F20"/>
          <w:w w:val="105"/>
        </w:rPr>
        <w:t>su</w:t>
      </w:r>
      <w:r>
        <w:rPr>
          <w:color w:val="231F20"/>
          <w:spacing w:val="-25"/>
          <w:w w:val="105"/>
        </w:rPr>
        <w:t> </w:t>
      </w:r>
      <w:r>
        <w:rPr>
          <w:color w:val="231F20"/>
          <w:w w:val="105"/>
        </w:rPr>
        <w:t>interacción</w:t>
      </w:r>
      <w:r>
        <w:rPr>
          <w:color w:val="231F20"/>
          <w:spacing w:val="-25"/>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mercados</w:t>
      </w:r>
      <w:r>
        <w:rPr>
          <w:color w:val="231F20"/>
          <w:spacing w:val="-25"/>
          <w:w w:val="105"/>
        </w:rPr>
        <w:t> </w:t>
      </w:r>
      <w:r>
        <w:rPr>
          <w:color w:val="231F20"/>
          <w:w w:val="105"/>
        </w:rPr>
        <w:t>locales</w:t>
      </w:r>
      <w:r>
        <w:rPr>
          <w:color w:val="231F20"/>
          <w:spacing w:val="-25"/>
          <w:w w:val="105"/>
        </w:rPr>
        <w:t> </w:t>
      </w:r>
      <w:r>
        <w:rPr>
          <w:color w:val="231F20"/>
          <w:w w:val="105"/>
        </w:rPr>
        <w:t>y</w:t>
      </w:r>
      <w:r>
        <w:rPr>
          <w:color w:val="231F20"/>
          <w:spacing w:val="-25"/>
          <w:w w:val="105"/>
        </w:rPr>
        <w:t> </w:t>
      </w:r>
      <w:r>
        <w:rPr>
          <w:color w:val="231F20"/>
          <w:w w:val="105"/>
        </w:rPr>
        <w:t>globales,</w:t>
      </w:r>
      <w:r>
        <w:rPr>
          <w:color w:val="231F20"/>
          <w:spacing w:val="-29"/>
          <w:w w:val="105"/>
        </w:rPr>
        <w:t> </w:t>
      </w:r>
      <w:r>
        <w:rPr>
          <w:color w:val="231F20"/>
          <w:w w:val="105"/>
        </w:rPr>
        <w:t>con la finalidad de proporcionar información que apoye la toma de decisio- nes</w:t>
      </w:r>
      <w:r>
        <w:rPr>
          <w:color w:val="231F20"/>
          <w:spacing w:val="-22"/>
          <w:w w:val="105"/>
        </w:rPr>
        <w:t> </w:t>
      </w:r>
      <w:r>
        <w:rPr>
          <w:color w:val="231F20"/>
          <w:w w:val="105"/>
        </w:rPr>
        <w:t>frente</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problemática</w:t>
      </w:r>
      <w:r>
        <w:rPr>
          <w:color w:val="231F20"/>
          <w:spacing w:val="-22"/>
          <w:w w:val="105"/>
        </w:rPr>
        <w:t> </w:t>
      </w:r>
      <w:r>
        <w:rPr>
          <w:color w:val="231F20"/>
          <w:w w:val="105"/>
        </w:rPr>
        <w:t>económico-administrativa.</w:t>
      </w:r>
    </w:p>
    <w:p>
      <w:pPr>
        <w:pStyle w:val="BodyText"/>
        <w:spacing w:line="259" w:lineRule="auto"/>
        <w:ind w:left="103" w:right="109" w:firstLine="567"/>
        <w:jc w:val="both"/>
      </w:pP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marco</w:t>
      </w:r>
      <w:r>
        <w:rPr>
          <w:color w:val="231F20"/>
          <w:spacing w:val="-19"/>
          <w:w w:val="105"/>
        </w:rPr>
        <w:t> </w:t>
      </w:r>
      <w:r>
        <w:rPr>
          <w:color w:val="231F20"/>
          <w:w w:val="105"/>
        </w:rPr>
        <w:t>del</w:t>
      </w:r>
      <w:r>
        <w:rPr>
          <w:color w:val="231F20"/>
          <w:spacing w:val="-19"/>
          <w:w w:val="105"/>
        </w:rPr>
        <w:t> </w:t>
      </w:r>
      <w:r>
        <w:rPr>
          <w:color w:val="231F20"/>
          <w:w w:val="105"/>
        </w:rPr>
        <w:t>DCEA</w:t>
      </w:r>
      <w:r>
        <w:rPr>
          <w:color w:val="231F20"/>
          <w:spacing w:val="-22"/>
          <w:w w:val="105"/>
        </w:rPr>
        <w:t> </w:t>
      </w:r>
      <w:r>
        <w:rPr>
          <w:color w:val="231F20"/>
          <w:w w:val="105"/>
        </w:rPr>
        <w:t>la</w:t>
      </w:r>
      <w:r>
        <w:rPr>
          <w:color w:val="231F20"/>
          <w:spacing w:val="-19"/>
          <w:w w:val="105"/>
        </w:rPr>
        <w:t> </w:t>
      </w:r>
      <w:r>
        <w:rPr>
          <w:color w:val="231F20"/>
          <w:w w:val="105"/>
        </w:rPr>
        <w:t>formación</w:t>
      </w:r>
      <w:r>
        <w:rPr>
          <w:color w:val="231F20"/>
          <w:spacing w:val="-19"/>
          <w:w w:val="105"/>
        </w:rPr>
        <w:t> </w:t>
      </w:r>
      <w:r>
        <w:rPr>
          <w:color w:val="231F20"/>
          <w:w w:val="105"/>
        </w:rPr>
        <w:t>de</w:t>
      </w:r>
      <w:r>
        <w:rPr>
          <w:color w:val="231F20"/>
          <w:spacing w:val="-19"/>
          <w:w w:val="105"/>
        </w:rPr>
        <w:t> </w:t>
      </w:r>
      <w:r>
        <w:rPr>
          <w:color w:val="231F20"/>
          <w:w w:val="105"/>
        </w:rPr>
        <w:t>investigadores</w:t>
      </w:r>
      <w:r>
        <w:rPr>
          <w:color w:val="231F20"/>
          <w:spacing w:val="-19"/>
          <w:w w:val="105"/>
        </w:rPr>
        <w:t> </w:t>
      </w:r>
      <w:r>
        <w:rPr>
          <w:color w:val="231F20"/>
          <w:w w:val="105"/>
        </w:rPr>
        <w:t>con</w:t>
      </w:r>
      <w:r>
        <w:rPr>
          <w:color w:val="231F20"/>
          <w:spacing w:val="-19"/>
          <w:w w:val="105"/>
        </w:rPr>
        <w:t> </w:t>
      </w:r>
      <w:r>
        <w:rPr>
          <w:color w:val="231F20"/>
          <w:w w:val="105"/>
        </w:rPr>
        <w:t>enfoque interdisciplinario</w:t>
      </w:r>
      <w:r>
        <w:rPr>
          <w:color w:val="231F20"/>
          <w:spacing w:val="-10"/>
          <w:w w:val="105"/>
        </w:rPr>
        <w:t> </w:t>
      </w:r>
      <w:r>
        <w:rPr>
          <w:color w:val="231F20"/>
          <w:w w:val="105"/>
        </w:rPr>
        <w:t>contribuye</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exigencia</w:t>
      </w:r>
      <w:r>
        <w:rPr>
          <w:color w:val="231F20"/>
          <w:spacing w:val="-10"/>
          <w:w w:val="105"/>
        </w:rPr>
        <w:t> </w:t>
      </w:r>
      <w:r>
        <w:rPr>
          <w:color w:val="231F20"/>
          <w:w w:val="105"/>
        </w:rPr>
        <w:t>social</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calidad</w:t>
      </w:r>
      <w:r>
        <w:rPr>
          <w:color w:val="231F20"/>
          <w:spacing w:val="-10"/>
          <w:w w:val="105"/>
        </w:rPr>
        <w:t> </w:t>
      </w:r>
      <w:r>
        <w:rPr>
          <w:color w:val="231F20"/>
          <w:w w:val="105"/>
        </w:rPr>
        <w:t>educativa y converge en puntos estratégicos impulsores del quehacer científico, tecnológico</w:t>
      </w:r>
      <w:r>
        <w:rPr>
          <w:color w:val="231F20"/>
          <w:spacing w:val="-10"/>
          <w:w w:val="105"/>
        </w:rPr>
        <w:t> </w:t>
      </w:r>
      <w:r>
        <w:rPr>
          <w:color w:val="231F20"/>
          <w:w w:val="105"/>
        </w:rPr>
        <w:t>y</w:t>
      </w:r>
      <w:r>
        <w:rPr>
          <w:color w:val="231F20"/>
          <w:spacing w:val="-10"/>
          <w:w w:val="105"/>
        </w:rPr>
        <w:t> </w:t>
      </w:r>
      <w:r>
        <w:rPr>
          <w:color w:val="231F20"/>
          <w:w w:val="105"/>
        </w:rPr>
        <w:t>humanístico.</w:t>
      </w:r>
      <w:r>
        <w:rPr>
          <w:color w:val="231F20"/>
          <w:spacing w:val="-21"/>
          <w:w w:val="105"/>
        </w:rPr>
        <w:t> </w:t>
      </w:r>
      <w:r>
        <w:rPr>
          <w:color w:val="231F20"/>
          <w:spacing w:val="-6"/>
          <w:w w:val="105"/>
        </w:rPr>
        <w:t>Todo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marco</w:t>
      </w:r>
      <w:r>
        <w:rPr>
          <w:color w:val="231F20"/>
          <w:spacing w:val="-10"/>
          <w:w w:val="105"/>
        </w:rPr>
        <w:t> </w:t>
      </w:r>
      <w:r>
        <w:rPr>
          <w:color w:val="231F20"/>
          <w:w w:val="105"/>
        </w:rPr>
        <w:t>de</w:t>
      </w:r>
      <w:r>
        <w:rPr>
          <w:color w:val="231F20"/>
          <w:spacing w:val="-10"/>
          <w:w w:val="105"/>
        </w:rPr>
        <w:t> </w:t>
      </w:r>
      <w:r>
        <w:rPr>
          <w:color w:val="231F20"/>
          <w:w w:val="105"/>
        </w:rPr>
        <w:t>programas</w:t>
      </w:r>
      <w:r>
        <w:rPr>
          <w:color w:val="231F20"/>
          <w:spacing w:val="-10"/>
          <w:w w:val="105"/>
        </w:rPr>
        <w:t> </w:t>
      </w:r>
      <w:r>
        <w:rPr>
          <w:color w:val="231F20"/>
          <w:w w:val="105"/>
        </w:rPr>
        <w:t>académicos con</w:t>
      </w:r>
      <w:r>
        <w:rPr>
          <w:color w:val="231F20"/>
          <w:spacing w:val="-21"/>
          <w:w w:val="105"/>
        </w:rPr>
        <w:t> </w:t>
      </w:r>
      <w:r>
        <w:rPr>
          <w:color w:val="231F20"/>
          <w:w w:val="105"/>
        </w:rPr>
        <w:t>estándares</w:t>
      </w:r>
      <w:r>
        <w:rPr>
          <w:color w:val="231F20"/>
          <w:spacing w:val="-21"/>
          <w:w w:val="105"/>
        </w:rPr>
        <w:t> </w:t>
      </w:r>
      <w:r>
        <w:rPr>
          <w:color w:val="231F20"/>
          <w:w w:val="105"/>
        </w:rPr>
        <w:t>de</w:t>
      </w:r>
      <w:r>
        <w:rPr>
          <w:color w:val="231F20"/>
          <w:spacing w:val="-21"/>
          <w:w w:val="105"/>
        </w:rPr>
        <w:t> </w:t>
      </w:r>
      <w:r>
        <w:rPr>
          <w:color w:val="231F20"/>
          <w:w w:val="105"/>
        </w:rPr>
        <w:t>calidad</w:t>
      </w:r>
      <w:r>
        <w:rPr>
          <w:color w:val="231F20"/>
          <w:spacing w:val="-21"/>
          <w:w w:val="105"/>
        </w:rPr>
        <w:t> </w:t>
      </w:r>
      <w:r>
        <w:rPr>
          <w:color w:val="231F20"/>
          <w:w w:val="105"/>
        </w:rPr>
        <w:t>reconocidos</w:t>
      </w:r>
      <w:r>
        <w:rPr>
          <w:color w:val="231F20"/>
          <w:spacing w:val="-21"/>
          <w:w w:val="105"/>
        </w:rPr>
        <w:t> </w:t>
      </w:r>
      <w:r>
        <w:rPr>
          <w:color w:val="231F20"/>
          <w:w w:val="105"/>
        </w:rPr>
        <w:t>por</w:t>
      </w:r>
      <w:r>
        <w:rPr>
          <w:color w:val="231F20"/>
          <w:spacing w:val="-21"/>
          <w:w w:val="105"/>
        </w:rPr>
        <w:t> </w:t>
      </w:r>
      <w:r>
        <w:rPr>
          <w:color w:val="231F20"/>
          <w:w w:val="105"/>
        </w:rPr>
        <w:t>el</w:t>
      </w:r>
      <w:r>
        <w:rPr>
          <w:color w:val="231F20"/>
          <w:spacing w:val="-21"/>
          <w:w w:val="105"/>
        </w:rPr>
        <w:t> </w:t>
      </w:r>
      <w:r>
        <w:rPr>
          <w:color w:val="231F20"/>
          <w:w w:val="105"/>
        </w:rPr>
        <w:t>Consejo</w:t>
      </w:r>
      <w:r>
        <w:rPr>
          <w:color w:val="231F20"/>
          <w:spacing w:val="-21"/>
          <w:w w:val="105"/>
        </w:rPr>
        <w:t> </w:t>
      </w:r>
      <w:r>
        <w:rPr>
          <w:color w:val="231F20"/>
          <w:w w:val="105"/>
        </w:rPr>
        <w:t>Nacional</w:t>
      </w:r>
      <w:r>
        <w:rPr>
          <w:color w:val="231F20"/>
          <w:spacing w:val="-21"/>
          <w:w w:val="105"/>
        </w:rPr>
        <w:t> </w:t>
      </w:r>
      <w:r>
        <w:rPr>
          <w:color w:val="231F20"/>
          <w:w w:val="105"/>
        </w:rPr>
        <w:t>de</w:t>
      </w:r>
      <w:r>
        <w:rPr>
          <w:color w:val="231F20"/>
          <w:spacing w:val="-21"/>
          <w:w w:val="105"/>
        </w:rPr>
        <w:t> </w:t>
      </w:r>
      <w:r>
        <w:rPr>
          <w:color w:val="231F20"/>
          <w:w w:val="105"/>
        </w:rPr>
        <w:t>Cien- cia</w:t>
      </w:r>
      <w:r>
        <w:rPr>
          <w:color w:val="231F20"/>
          <w:spacing w:val="-20"/>
          <w:w w:val="105"/>
        </w:rPr>
        <w:t> </w:t>
      </w:r>
      <w:r>
        <w:rPr>
          <w:color w:val="231F20"/>
          <w:w w:val="105"/>
        </w:rPr>
        <w:t>y</w:t>
      </w:r>
      <w:r>
        <w:rPr>
          <w:color w:val="231F20"/>
          <w:spacing w:val="-24"/>
          <w:w w:val="105"/>
        </w:rPr>
        <w:t> </w:t>
      </w:r>
      <w:r>
        <w:rPr>
          <w:color w:val="231F20"/>
          <w:spacing w:val="-3"/>
          <w:w w:val="105"/>
        </w:rPr>
        <w:t>Tecnología</w:t>
      </w:r>
      <w:r>
        <w:rPr>
          <w:color w:val="231F20"/>
          <w:spacing w:val="-20"/>
          <w:w w:val="105"/>
        </w:rPr>
        <w:t> </w:t>
      </w:r>
      <w:r>
        <w:rPr>
          <w:color w:val="231F20"/>
          <w:w w:val="105"/>
        </w:rPr>
        <w:t>(Conacyt)</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del</w:t>
      </w:r>
      <w:r>
        <w:rPr>
          <w:color w:val="231F20"/>
          <w:spacing w:val="-20"/>
          <w:w w:val="105"/>
        </w:rPr>
        <w:t> </w:t>
      </w:r>
      <w:r>
        <w:rPr>
          <w:color w:val="231F20"/>
          <w:spacing w:val="-3"/>
          <w:w w:val="105"/>
        </w:rPr>
        <w:t>Programa</w:t>
      </w:r>
      <w:r>
        <w:rPr>
          <w:color w:val="231F20"/>
          <w:spacing w:val="-20"/>
          <w:w w:val="105"/>
        </w:rPr>
        <w:t> </w:t>
      </w:r>
      <w:r>
        <w:rPr>
          <w:color w:val="231F20"/>
          <w:w w:val="105"/>
        </w:rPr>
        <w:t>Nacional</w:t>
      </w:r>
      <w:r>
        <w:rPr>
          <w:color w:val="231F20"/>
          <w:spacing w:val="-20"/>
          <w:w w:val="105"/>
        </w:rPr>
        <w:t> </w:t>
      </w:r>
      <w:r>
        <w:rPr>
          <w:color w:val="231F20"/>
          <w:w w:val="105"/>
        </w:rPr>
        <w:t>de</w:t>
      </w:r>
      <w:r>
        <w:rPr>
          <w:color w:val="231F20"/>
          <w:spacing w:val="-20"/>
          <w:w w:val="105"/>
        </w:rPr>
        <w:t> </w:t>
      </w:r>
      <w:r>
        <w:rPr>
          <w:color w:val="231F20"/>
          <w:spacing w:val="-3"/>
          <w:w w:val="105"/>
        </w:rPr>
        <w:t>Posgrados </w:t>
      </w:r>
      <w:r>
        <w:rPr>
          <w:color w:val="231F20"/>
        </w:rPr>
        <w:t>de Calidad</w:t>
      </w:r>
      <w:r>
        <w:rPr>
          <w:color w:val="231F20"/>
          <w:spacing w:val="-6"/>
        </w:rPr>
        <w:t> </w:t>
      </w:r>
      <w:r>
        <w:rPr>
          <w:color w:val="231F20"/>
        </w:rPr>
        <w:t>(PNPC).</w:t>
      </w:r>
    </w:p>
    <w:p>
      <w:pPr>
        <w:pStyle w:val="BodyText"/>
        <w:spacing w:line="259" w:lineRule="auto"/>
        <w:ind w:left="103" w:right="108" w:firstLine="567"/>
        <w:jc w:val="both"/>
      </w:pPr>
      <w:r>
        <w:rPr>
          <w:color w:val="231F20"/>
          <w:w w:val="105"/>
        </w:rPr>
        <w:t>En este sentido, y para fortalecer la formación de investigadores, desde el primer semestre el alumno está acompañado de un comité</w:t>
      </w:r>
      <w:r>
        <w:rPr>
          <w:color w:val="231F20"/>
          <w:spacing w:val="-39"/>
          <w:w w:val="105"/>
        </w:rPr>
        <w:t> </w:t>
      </w:r>
      <w:r>
        <w:rPr>
          <w:color w:val="231F20"/>
          <w:w w:val="105"/>
        </w:rPr>
        <w:t>de tutores integrado por un tutor académico y dos tutores lectores, que le apoyan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fundamentación,</w:t>
      </w:r>
      <w:r>
        <w:rPr>
          <w:color w:val="231F20"/>
          <w:spacing w:val="-19"/>
          <w:w w:val="105"/>
        </w:rPr>
        <w:t> </w:t>
      </w:r>
      <w:r>
        <w:rPr>
          <w:color w:val="231F20"/>
          <w:w w:val="105"/>
        </w:rPr>
        <w:t>diseño,</w:t>
      </w:r>
      <w:r>
        <w:rPr>
          <w:color w:val="231F20"/>
          <w:spacing w:val="-19"/>
          <w:w w:val="105"/>
        </w:rPr>
        <w:t> </w:t>
      </w:r>
      <w:r>
        <w:rPr>
          <w:color w:val="231F20"/>
          <w:w w:val="105"/>
        </w:rPr>
        <w:t>ejecución</w:t>
      </w:r>
      <w:r>
        <w:rPr>
          <w:color w:val="231F20"/>
          <w:spacing w:val="-13"/>
          <w:w w:val="105"/>
        </w:rPr>
        <w:t> </w:t>
      </w:r>
      <w:r>
        <w:rPr>
          <w:color w:val="231F20"/>
          <w:w w:val="105"/>
        </w:rPr>
        <w:t>y</w:t>
      </w:r>
      <w:r>
        <w:rPr>
          <w:color w:val="231F20"/>
          <w:spacing w:val="-13"/>
          <w:w w:val="105"/>
        </w:rPr>
        <w:t> </w:t>
      </w:r>
      <w:r>
        <w:rPr>
          <w:color w:val="231F20"/>
          <w:w w:val="105"/>
        </w:rPr>
        <w:t>seguimiento</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in- vestigación</w:t>
      </w:r>
      <w:r>
        <w:rPr>
          <w:color w:val="231F20"/>
          <w:spacing w:val="-22"/>
          <w:w w:val="105"/>
        </w:rPr>
        <w:t> </w:t>
      </w:r>
      <w:r>
        <w:rPr>
          <w:color w:val="231F20"/>
          <w:w w:val="105"/>
        </w:rPr>
        <w:t>doctoral</w:t>
      </w:r>
      <w:r>
        <w:rPr>
          <w:color w:val="231F20"/>
          <w:spacing w:val="-22"/>
          <w:w w:val="105"/>
        </w:rPr>
        <w:t> </w:t>
      </w:r>
      <w:r>
        <w:rPr>
          <w:color w:val="231F20"/>
          <w:w w:val="105"/>
        </w:rPr>
        <w:t>y</w:t>
      </w:r>
      <w:r>
        <w:rPr>
          <w:color w:val="231F20"/>
          <w:spacing w:val="-22"/>
          <w:w w:val="105"/>
        </w:rPr>
        <w:t> </w:t>
      </w:r>
      <w:r>
        <w:rPr>
          <w:color w:val="231F20"/>
          <w:w w:val="105"/>
        </w:rPr>
        <w:t>su</w:t>
      </w:r>
      <w:r>
        <w:rPr>
          <w:color w:val="231F20"/>
          <w:spacing w:val="-22"/>
          <w:w w:val="105"/>
        </w:rPr>
        <w:t> </w:t>
      </w:r>
      <w:r>
        <w:rPr>
          <w:color w:val="231F20"/>
          <w:w w:val="105"/>
        </w:rPr>
        <w:t>producción</w:t>
      </w:r>
      <w:r>
        <w:rPr>
          <w:color w:val="231F20"/>
          <w:spacing w:val="-22"/>
          <w:w w:val="105"/>
        </w:rPr>
        <w:t> </w:t>
      </w:r>
      <w:r>
        <w:rPr>
          <w:color w:val="231F20"/>
          <w:w w:val="105"/>
        </w:rPr>
        <w:t>científica,</w:t>
      </w:r>
      <w:r>
        <w:rPr>
          <w:color w:val="231F20"/>
          <w:spacing w:val="-27"/>
          <w:w w:val="105"/>
        </w:rPr>
        <w:t> </w:t>
      </w:r>
      <w:r>
        <w:rPr>
          <w:color w:val="231F20"/>
          <w:w w:val="105"/>
        </w:rPr>
        <w:t>como</w:t>
      </w:r>
      <w:r>
        <w:rPr>
          <w:color w:val="231F20"/>
          <w:spacing w:val="-22"/>
          <w:w w:val="105"/>
        </w:rPr>
        <w:t> </w:t>
      </w:r>
      <w:r>
        <w:rPr>
          <w:color w:val="231F20"/>
          <w:w w:val="105"/>
        </w:rPr>
        <w:t>es:</w:t>
      </w:r>
      <w:r>
        <w:rPr>
          <w:color w:val="231F20"/>
          <w:spacing w:val="-22"/>
          <w:w w:val="105"/>
        </w:rPr>
        <w:t> </w:t>
      </w:r>
      <w:r>
        <w:rPr>
          <w:color w:val="231F20"/>
          <w:w w:val="105"/>
        </w:rPr>
        <w:t>participación</w:t>
      </w:r>
      <w:r>
        <w:rPr>
          <w:color w:val="231F20"/>
          <w:spacing w:val="-22"/>
          <w:w w:val="105"/>
        </w:rPr>
        <w:t> </w:t>
      </w:r>
      <w:r>
        <w:rPr>
          <w:color w:val="231F20"/>
          <w:w w:val="105"/>
        </w:rPr>
        <w:t>en congresos,</w:t>
      </w:r>
      <w:r>
        <w:rPr>
          <w:color w:val="231F20"/>
          <w:spacing w:val="-12"/>
          <w:w w:val="105"/>
        </w:rPr>
        <w:t> </w:t>
      </w:r>
      <w:r>
        <w:rPr>
          <w:color w:val="231F20"/>
          <w:w w:val="105"/>
        </w:rPr>
        <w:t>publicación</w:t>
      </w:r>
      <w:r>
        <w:rPr>
          <w:color w:val="231F20"/>
          <w:spacing w:val="-6"/>
          <w:w w:val="105"/>
        </w:rPr>
        <w:t> </w:t>
      </w:r>
      <w:r>
        <w:rPr>
          <w:color w:val="231F20"/>
          <w:w w:val="105"/>
        </w:rPr>
        <w:t>de</w:t>
      </w:r>
      <w:r>
        <w:rPr>
          <w:color w:val="231F20"/>
          <w:spacing w:val="-6"/>
          <w:w w:val="105"/>
        </w:rPr>
        <w:t> </w:t>
      </w:r>
      <w:r>
        <w:rPr>
          <w:color w:val="231F20"/>
          <w:w w:val="105"/>
        </w:rPr>
        <w:t>artículos</w:t>
      </w:r>
      <w:r>
        <w:rPr>
          <w:color w:val="231F20"/>
          <w:spacing w:val="-6"/>
          <w:w w:val="105"/>
        </w:rPr>
        <w:t> </w:t>
      </w:r>
      <w:r>
        <w:rPr>
          <w:color w:val="231F20"/>
          <w:w w:val="105"/>
        </w:rPr>
        <w:t>científicos</w:t>
      </w:r>
      <w:r>
        <w:rPr>
          <w:color w:val="231F20"/>
          <w:spacing w:val="-6"/>
          <w:w w:val="105"/>
        </w:rPr>
        <w:t> </w:t>
      </w:r>
      <w:r>
        <w:rPr>
          <w:color w:val="231F20"/>
          <w:w w:val="105"/>
        </w:rPr>
        <w:t>y</w:t>
      </w:r>
      <w:r>
        <w:rPr>
          <w:color w:val="231F20"/>
          <w:spacing w:val="-6"/>
          <w:w w:val="105"/>
        </w:rPr>
        <w:t> </w:t>
      </w:r>
      <w:r>
        <w:rPr>
          <w:color w:val="231F20"/>
          <w:w w:val="105"/>
        </w:rPr>
        <w:t>elaboración</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tesis doctoral.</w:t>
      </w:r>
      <w:r>
        <w:rPr>
          <w:color w:val="231F20"/>
          <w:spacing w:val="-31"/>
          <w:w w:val="105"/>
        </w:rPr>
        <w:t> </w:t>
      </w:r>
      <w:r>
        <w:rPr>
          <w:color w:val="231F20"/>
          <w:w w:val="105"/>
        </w:rPr>
        <w:t>El</w:t>
      </w:r>
      <w:r>
        <w:rPr>
          <w:color w:val="231F20"/>
          <w:spacing w:val="-27"/>
          <w:w w:val="105"/>
        </w:rPr>
        <w:t> </w:t>
      </w:r>
      <w:r>
        <w:rPr>
          <w:color w:val="231F20"/>
          <w:w w:val="105"/>
        </w:rPr>
        <w:t>resultado</w:t>
      </w:r>
      <w:r>
        <w:rPr>
          <w:color w:val="231F20"/>
          <w:spacing w:val="-27"/>
          <w:w w:val="105"/>
        </w:rPr>
        <w:t> </w:t>
      </w:r>
      <w:r>
        <w:rPr>
          <w:color w:val="231F20"/>
          <w:w w:val="105"/>
        </w:rPr>
        <w:t>de</w:t>
      </w:r>
      <w:r>
        <w:rPr>
          <w:color w:val="231F20"/>
          <w:spacing w:val="-27"/>
          <w:w w:val="105"/>
        </w:rPr>
        <w:t> </w:t>
      </w:r>
      <w:r>
        <w:rPr>
          <w:color w:val="231F20"/>
          <w:w w:val="105"/>
        </w:rPr>
        <w:t>esta</w:t>
      </w:r>
      <w:r>
        <w:rPr>
          <w:color w:val="231F20"/>
          <w:spacing w:val="-27"/>
          <w:w w:val="105"/>
        </w:rPr>
        <w:t> </w:t>
      </w:r>
      <w:r>
        <w:rPr>
          <w:color w:val="231F20"/>
          <w:w w:val="105"/>
        </w:rPr>
        <w:t>táctica</w:t>
      </w:r>
      <w:r>
        <w:rPr>
          <w:color w:val="231F20"/>
          <w:spacing w:val="-27"/>
          <w:w w:val="105"/>
        </w:rPr>
        <w:t> </w:t>
      </w:r>
      <w:r>
        <w:rPr>
          <w:color w:val="231F20"/>
          <w:w w:val="105"/>
        </w:rPr>
        <w:t>es</w:t>
      </w:r>
      <w:r>
        <w:rPr>
          <w:color w:val="231F20"/>
          <w:spacing w:val="-27"/>
          <w:w w:val="105"/>
        </w:rPr>
        <w:t> </w:t>
      </w:r>
      <w:r>
        <w:rPr>
          <w:color w:val="231F20"/>
          <w:w w:val="105"/>
        </w:rPr>
        <w:t>una</w:t>
      </w:r>
      <w:r>
        <w:rPr>
          <w:color w:val="231F20"/>
          <w:spacing w:val="-27"/>
          <w:w w:val="105"/>
        </w:rPr>
        <w:t> </w:t>
      </w:r>
      <w:r>
        <w:rPr>
          <w:color w:val="231F20"/>
          <w:w w:val="105"/>
        </w:rPr>
        <w:t>tasa</w:t>
      </w:r>
      <w:r>
        <w:rPr>
          <w:color w:val="231F20"/>
          <w:spacing w:val="-27"/>
          <w:w w:val="105"/>
        </w:rPr>
        <w:t> </w:t>
      </w:r>
      <w:r>
        <w:rPr>
          <w:color w:val="231F20"/>
          <w:w w:val="105"/>
        </w:rPr>
        <w:t>de</w:t>
      </w:r>
      <w:r>
        <w:rPr>
          <w:color w:val="231F20"/>
          <w:spacing w:val="-27"/>
          <w:w w:val="105"/>
        </w:rPr>
        <w:t> </w:t>
      </w:r>
      <w:r>
        <w:rPr>
          <w:color w:val="231F20"/>
          <w:w w:val="105"/>
        </w:rPr>
        <w:t>titulación</w:t>
      </w:r>
      <w:r>
        <w:rPr>
          <w:color w:val="231F20"/>
          <w:spacing w:val="-27"/>
          <w:w w:val="105"/>
        </w:rPr>
        <w:t> </w:t>
      </w:r>
      <w:r>
        <w:rPr>
          <w:color w:val="231F20"/>
          <w:w w:val="105"/>
        </w:rPr>
        <w:t>de</w:t>
      </w:r>
      <w:r>
        <w:rPr>
          <w:color w:val="231F20"/>
          <w:spacing w:val="-27"/>
          <w:w w:val="105"/>
        </w:rPr>
        <w:t> </w:t>
      </w:r>
      <w:r>
        <w:rPr>
          <w:color w:val="231F20"/>
          <w:w w:val="105"/>
        </w:rPr>
        <w:t>casi</w:t>
      </w:r>
      <w:r>
        <w:rPr>
          <w:color w:val="231F20"/>
          <w:spacing w:val="-27"/>
          <w:w w:val="105"/>
        </w:rPr>
        <w:t> </w:t>
      </w:r>
      <w:r>
        <w:rPr>
          <w:color w:val="231F20"/>
          <w:w w:val="105"/>
        </w:rPr>
        <w:t>70% en</w:t>
      </w:r>
      <w:r>
        <w:rPr>
          <w:color w:val="231F20"/>
          <w:spacing w:val="-22"/>
          <w:w w:val="105"/>
        </w:rPr>
        <w:t> </w:t>
      </w:r>
      <w:r>
        <w:rPr>
          <w:color w:val="231F20"/>
          <w:w w:val="105"/>
        </w:rPr>
        <w:t>seis</w:t>
      </w:r>
      <w:r>
        <w:rPr>
          <w:color w:val="231F20"/>
          <w:spacing w:val="-22"/>
          <w:w w:val="105"/>
        </w:rPr>
        <w:t> </w:t>
      </w:r>
      <w:r>
        <w:rPr>
          <w:color w:val="231F20"/>
          <w:w w:val="105"/>
        </w:rPr>
        <w:t>generaciones</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pertenencia</w:t>
      </w:r>
      <w:r>
        <w:rPr>
          <w:color w:val="231F20"/>
          <w:spacing w:val="-22"/>
          <w:w w:val="105"/>
        </w:rPr>
        <w:t> </w:t>
      </w:r>
      <w:r>
        <w:rPr>
          <w:color w:val="231F20"/>
          <w:w w:val="105"/>
        </w:rPr>
        <w:t>del</w:t>
      </w:r>
      <w:r>
        <w:rPr>
          <w:color w:val="231F20"/>
          <w:spacing w:val="-22"/>
          <w:w w:val="105"/>
        </w:rPr>
        <w:t> </w:t>
      </w:r>
      <w:r>
        <w:rPr>
          <w:color w:val="231F20"/>
          <w:w w:val="105"/>
        </w:rPr>
        <w:t>50%</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titulados</w:t>
      </w:r>
      <w:r>
        <w:rPr>
          <w:color w:val="231F20"/>
          <w:spacing w:val="-22"/>
          <w:w w:val="105"/>
        </w:rPr>
        <w:t> </w:t>
      </w:r>
      <w:r>
        <w:rPr>
          <w:color w:val="231F20"/>
          <w:w w:val="105"/>
        </w:rPr>
        <w:t>al</w:t>
      </w:r>
      <w:r>
        <w:rPr>
          <w:color w:val="231F20"/>
          <w:spacing w:val="-22"/>
          <w:w w:val="105"/>
        </w:rPr>
        <w:t> </w:t>
      </w:r>
      <w:r>
        <w:rPr>
          <w:color w:val="231F20"/>
          <w:w w:val="105"/>
        </w:rPr>
        <w:t>Sistema </w:t>
      </w:r>
      <w:r>
        <w:rPr>
          <w:color w:val="231F20"/>
        </w:rPr>
        <w:t>Nacional de Investigadores</w:t>
      </w:r>
      <w:r>
        <w:rPr>
          <w:color w:val="231F20"/>
          <w:spacing w:val="45"/>
        </w:rPr>
        <w:t> </w:t>
      </w:r>
      <w:r>
        <w:rPr>
          <w:color w:val="231F20"/>
        </w:rPr>
        <w:t>(SNI-Conacyt).</w:t>
      </w:r>
    </w:p>
    <w:p>
      <w:pPr>
        <w:pStyle w:val="BodyText"/>
        <w:spacing w:line="259" w:lineRule="auto"/>
        <w:ind w:left="103" w:right="114" w:firstLine="567"/>
        <w:jc w:val="both"/>
      </w:pPr>
      <w:r>
        <w:rPr>
          <w:color w:val="231F20"/>
          <w:w w:val="105"/>
        </w:rPr>
        <w:t>Lo anterior es parte de la conformación de una comunidad</w:t>
      </w:r>
      <w:r>
        <w:rPr>
          <w:color w:val="231F20"/>
          <w:spacing w:val="-32"/>
          <w:w w:val="105"/>
        </w:rPr>
        <w:t> </w:t>
      </w:r>
      <w:r>
        <w:rPr>
          <w:color w:val="231F20"/>
          <w:w w:val="105"/>
        </w:rPr>
        <w:t>cientí- fica,</w:t>
      </w:r>
      <w:r>
        <w:rPr>
          <w:color w:val="231F20"/>
          <w:spacing w:val="-10"/>
          <w:w w:val="105"/>
        </w:rPr>
        <w:t> </w:t>
      </w:r>
      <w:r>
        <w:rPr>
          <w:color w:val="231F20"/>
          <w:w w:val="105"/>
        </w:rPr>
        <w:t>la</w:t>
      </w:r>
      <w:r>
        <w:rPr>
          <w:color w:val="231F20"/>
          <w:spacing w:val="-3"/>
          <w:w w:val="105"/>
        </w:rPr>
        <w:t> </w:t>
      </w:r>
      <w:r>
        <w:rPr>
          <w:color w:val="231F20"/>
          <w:w w:val="105"/>
        </w:rPr>
        <w:t>cual</w:t>
      </w:r>
      <w:r>
        <w:rPr>
          <w:color w:val="231F20"/>
          <w:spacing w:val="-3"/>
          <w:w w:val="105"/>
        </w:rPr>
        <w:t> </w:t>
      </w:r>
      <w:r>
        <w:rPr>
          <w:color w:val="231F20"/>
          <w:w w:val="105"/>
        </w:rPr>
        <w:t>buscamos</w:t>
      </w:r>
      <w:r>
        <w:rPr>
          <w:color w:val="231F20"/>
          <w:spacing w:val="-3"/>
          <w:w w:val="105"/>
        </w:rPr>
        <w:t> </w:t>
      </w:r>
      <w:r>
        <w:rPr>
          <w:color w:val="231F20"/>
          <w:w w:val="105"/>
        </w:rPr>
        <w:t>que</w:t>
      </w:r>
      <w:r>
        <w:rPr>
          <w:color w:val="231F20"/>
          <w:spacing w:val="-3"/>
          <w:w w:val="105"/>
        </w:rPr>
        <w:t> </w:t>
      </w:r>
      <w:r>
        <w:rPr>
          <w:color w:val="231F20"/>
          <w:w w:val="105"/>
        </w:rPr>
        <w:t>se</w:t>
      </w:r>
      <w:r>
        <w:rPr>
          <w:color w:val="231F20"/>
          <w:spacing w:val="-3"/>
          <w:w w:val="105"/>
        </w:rPr>
        <w:t> </w:t>
      </w:r>
      <w:r>
        <w:rPr>
          <w:color w:val="231F20"/>
          <w:w w:val="105"/>
        </w:rPr>
        <w:t>geste</w:t>
      </w:r>
      <w:r>
        <w:rPr>
          <w:color w:val="231F20"/>
          <w:spacing w:val="-3"/>
          <w:w w:val="105"/>
        </w:rPr>
        <w:t> </w:t>
      </w:r>
      <w:r>
        <w:rPr>
          <w:color w:val="231F20"/>
          <w:w w:val="105"/>
        </w:rPr>
        <w:t>en</w:t>
      </w:r>
      <w:r>
        <w:rPr>
          <w:color w:val="231F20"/>
          <w:spacing w:val="-3"/>
          <w:w w:val="105"/>
        </w:rPr>
        <w:t> </w:t>
      </w:r>
      <w:r>
        <w:rPr>
          <w:color w:val="231F20"/>
          <w:w w:val="105"/>
        </w:rPr>
        <w:t>tres</w:t>
      </w:r>
      <w:r>
        <w:rPr>
          <w:color w:val="231F20"/>
          <w:spacing w:val="-3"/>
          <w:w w:val="105"/>
        </w:rPr>
        <w:t> </w:t>
      </w:r>
      <w:r>
        <w:rPr>
          <w:color w:val="231F20"/>
          <w:w w:val="105"/>
        </w:rPr>
        <w:t>niveles;</w:t>
      </w:r>
      <w:r>
        <w:rPr>
          <w:color w:val="231F20"/>
          <w:spacing w:val="-3"/>
          <w:w w:val="105"/>
        </w:rPr>
        <w:t> </w:t>
      </w:r>
      <w:r>
        <w:rPr>
          <w:color w:val="231F20"/>
          <w:w w:val="105"/>
        </w:rPr>
        <w:t>dos</w:t>
      </w:r>
      <w:r>
        <w:rPr>
          <w:color w:val="231F20"/>
          <w:spacing w:val="-3"/>
          <w:w w:val="105"/>
        </w:rPr>
        <w:t> </w:t>
      </w:r>
      <w:r>
        <w:rPr>
          <w:color w:val="231F20"/>
          <w:w w:val="105"/>
        </w:rPr>
        <w:t>al</w:t>
      </w:r>
      <w:r>
        <w:rPr>
          <w:color w:val="231F20"/>
          <w:spacing w:val="-3"/>
          <w:w w:val="105"/>
        </w:rPr>
        <w:t> </w:t>
      </w:r>
      <w:r>
        <w:rPr>
          <w:color w:val="231F20"/>
          <w:w w:val="105"/>
        </w:rPr>
        <w:t>interior</w:t>
      </w:r>
      <w:r>
        <w:rPr>
          <w:color w:val="231F20"/>
          <w:spacing w:val="-3"/>
          <w:w w:val="105"/>
        </w:rPr>
        <w:t> </w:t>
      </w:r>
      <w:r>
        <w:rPr>
          <w:color w:val="231F20"/>
          <w:w w:val="105"/>
        </w:rPr>
        <w:t>de</w:t>
      </w:r>
      <w:r>
        <w:rPr>
          <w:color w:val="231F20"/>
          <w:spacing w:val="-3"/>
          <w:w w:val="105"/>
        </w:rPr>
        <w:t> </w:t>
      </w:r>
      <w:r>
        <w:rPr>
          <w:color w:val="231F20"/>
          <w:w w:val="105"/>
        </w:rPr>
        <w:t>la DES</w:t>
      </w:r>
      <w:r>
        <w:rPr>
          <w:color w:val="231F20"/>
          <w:spacing w:val="-25"/>
          <w:w w:val="105"/>
        </w:rPr>
        <w:t> </w:t>
      </w:r>
      <w:r>
        <w:rPr>
          <w:color w:val="231F20"/>
          <w:w w:val="105"/>
        </w:rPr>
        <w:t>económico-administrativa</w:t>
      </w:r>
      <w:r>
        <w:rPr>
          <w:color w:val="231F20"/>
          <w:spacing w:val="-25"/>
          <w:w w:val="105"/>
        </w:rPr>
        <w:t> </w:t>
      </w:r>
      <w:r>
        <w:rPr>
          <w:color w:val="231F20"/>
          <w:w w:val="105"/>
        </w:rPr>
        <w:t>y</w:t>
      </w:r>
      <w:r>
        <w:rPr>
          <w:color w:val="231F20"/>
          <w:spacing w:val="-25"/>
          <w:w w:val="105"/>
        </w:rPr>
        <w:t> </w:t>
      </w:r>
      <w:r>
        <w:rPr>
          <w:color w:val="231F20"/>
          <w:w w:val="105"/>
        </w:rPr>
        <w:t>uno</w:t>
      </w:r>
      <w:r>
        <w:rPr>
          <w:color w:val="231F20"/>
          <w:spacing w:val="-25"/>
          <w:w w:val="105"/>
        </w:rPr>
        <w:t> </w:t>
      </w:r>
      <w:r>
        <w:rPr>
          <w:color w:val="231F20"/>
          <w:w w:val="105"/>
        </w:rPr>
        <w:t>al</w:t>
      </w:r>
      <w:r>
        <w:rPr>
          <w:color w:val="231F20"/>
          <w:spacing w:val="-25"/>
          <w:w w:val="105"/>
        </w:rPr>
        <w:t> </w:t>
      </w:r>
      <w:r>
        <w:rPr>
          <w:color w:val="231F20"/>
          <w:w w:val="105"/>
        </w:rPr>
        <w:t>exterior.</w:t>
      </w:r>
      <w:r>
        <w:rPr>
          <w:color w:val="231F20"/>
          <w:spacing w:val="-29"/>
          <w:w w:val="105"/>
        </w:rPr>
        <w:t> </w:t>
      </w:r>
      <w:r>
        <w:rPr>
          <w:color w:val="231F20"/>
          <w:spacing w:val="-6"/>
          <w:w w:val="105"/>
        </w:rPr>
        <w:t>Por</w:t>
      </w:r>
      <w:r>
        <w:rPr>
          <w:color w:val="231F20"/>
          <w:spacing w:val="-25"/>
          <w:w w:val="105"/>
        </w:rPr>
        <w:t> </w:t>
      </w:r>
      <w:r>
        <w:rPr>
          <w:color w:val="231F20"/>
          <w:w w:val="105"/>
        </w:rPr>
        <w:t>un</w:t>
      </w:r>
      <w:r>
        <w:rPr>
          <w:color w:val="231F20"/>
          <w:spacing w:val="-25"/>
          <w:w w:val="105"/>
        </w:rPr>
        <w:t> </w:t>
      </w:r>
      <w:r>
        <w:rPr>
          <w:color w:val="231F20"/>
          <w:w w:val="105"/>
        </w:rPr>
        <w:t>lado,</w:t>
      </w:r>
      <w:r>
        <w:rPr>
          <w:color w:val="231F20"/>
          <w:spacing w:val="-29"/>
          <w:w w:val="105"/>
        </w:rPr>
        <w:t> </w:t>
      </w:r>
      <w:r>
        <w:rPr>
          <w:color w:val="231F20"/>
          <w:w w:val="105"/>
        </w:rPr>
        <w:t>en</w:t>
      </w:r>
      <w:r>
        <w:rPr>
          <w:color w:val="231F20"/>
          <w:spacing w:val="-25"/>
          <w:w w:val="105"/>
        </w:rPr>
        <w:t> </w:t>
      </w:r>
      <w:r>
        <w:rPr>
          <w:color w:val="231F20"/>
          <w:w w:val="105"/>
        </w:rPr>
        <w:t>los</w:t>
      </w:r>
      <w:r>
        <w:rPr>
          <w:color w:val="231F20"/>
          <w:spacing w:val="-25"/>
          <w:w w:val="105"/>
        </w:rPr>
        <w:t> </w:t>
      </w:r>
      <w:r>
        <w:rPr>
          <w:color w:val="231F20"/>
          <w:w w:val="105"/>
        </w:rPr>
        <w:t>comi- tés</w:t>
      </w:r>
      <w:r>
        <w:rPr>
          <w:color w:val="231F20"/>
          <w:spacing w:val="-7"/>
          <w:w w:val="105"/>
        </w:rPr>
        <w:t> </w:t>
      </w:r>
      <w:r>
        <w:rPr>
          <w:color w:val="231F20"/>
          <w:w w:val="105"/>
        </w:rPr>
        <w:t>tutoriales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alumnos</w:t>
      </w:r>
      <w:r>
        <w:rPr>
          <w:color w:val="231F20"/>
          <w:spacing w:val="-7"/>
          <w:w w:val="105"/>
        </w:rPr>
        <w:t> </w:t>
      </w:r>
      <w:r>
        <w:rPr>
          <w:color w:val="231F20"/>
          <w:w w:val="105"/>
        </w:rPr>
        <w:t>participan</w:t>
      </w:r>
      <w:r>
        <w:rPr>
          <w:color w:val="231F20"/>
          <w:spacing w:val="-7"/>
          <w:w w:val="105"/>
        </w:rPr>
        <w:t> </w:t>
      </w:r>
      <w:r>
        <w:rPr>
          <w:color w:val="231F20"/>
          <w:w w:val="105"/>
        </w:rPr>
        <w:t>todos</w:t>
      </w:r>
      <w:r>
        <w:rPr>
          <w:color w:val="231F20"/>
          <w:spacing w:val="-7"/>
          <w:w w:val="105"/>
        </w:rPr>
        <w:t> </w:t>
      </w:r>
      <w:r>
        <w:rPr>
          <w:color w:val="231F20"/>
          <w:w w:val="105"/>
        </w:rPr>
        <w:t>los</w:t>
      </w:r>
      <w:r>
        <w:rPr>
          <w:color w:val="231F20"/>
          <w:spacing w:val="-7"/>
          <w:w w:val="105"/>
        </w:rPr>
        <w:t> </w:t>
      </w:r>
      <w:r>
        <w:rPr>
          <w:color w:val="231F20"/>
          <w:w w:val="105"/>
        </w:rPr>
        <w:t>integrantes</w:t>
      </w:r>
      <w:r>
        <w:rPr>
          <w:color w:val="231F20"/>
          <w:spacing w:val="-7"/>
          <w:w w:val="105"/>
        </w:rPr>
        <w:t> </w:t>
      </w:r>
      <w:r>
        <w:rPr>
          <w:color w:val="231F20"/>
          <w:w w:val="105"/>
        </w:rPr>
        <w:t>del</w:t>
      </w:r>
      <w:r>
        <w:rPr>
          <w:color w:val="231F20"/>
          <w:spacing w:val="-7"/>
          <w:w w:val="105"/>
        </w:rPr>
        <w:t> </w:t>
      </w:r>
      <w:r>
        <w:rPr>
          <w:color w:val="231F20"/>
          <w:w w:val="105"/>
        </w:rPr>
        <w:t>núcleo académico básico. </w:t>
      </w:r>
      <w:r>
        <w:rPr>
          <w:color w:val="231F20"/>
          <w:spacing w:val="-6"/>
          <w:w w:val="105"/>
        </w:rPr>
        <w:t>Por </w:t>
      </w:r>
      <w:r>
        <w:rPr>
          <w:color w:val="231F20"/>
          <w:w w:val="105"/>
        </w:rPr>
        <w:t>el otro, están cuatro cuerpos académicos y tres líneas</w:t>
      </w:r>
      <w:r>
        <w:rPr>
          <w:color w:val="231F20"/>
          <w:spacing w:val="-20"/>
          <w:w w:val="105"/>
        </w:rPr>
        <w:t> </w:t>
      </w:r>
      <w:r>
        <w:rPr>
          <w:color w:val="231F20"/>
          <w:w w:val="105"/>
        </w:rPr>
        <w:t>de</w:t>
      </w:r>
      <w:r>
        <w:rPr>
          <w:color w:val="231F20"/>
          <w:spacing w:val="-20"/>
          <w:w w:val="105"/>
        </w:rPr>
        <w:t> </w:t>
      </w:r>
      <w:r>
        <w:rPr>
          <w:color w:val="231F20"/>
          <w:w w:val="105"/>
        </w:rPr>
        <w:t>investigación.</w:t>
      </w:r>
      <w:r>
        <w:rPr>
          <w:color w:val="231F20"/>
          <w:spacing w:val="-25"/>
          <w:w w:val="105"/>
        </w:rPr>
        <w:t> </w:t>
      </w:r>
      <w:r>
        <w:rPr>
          <w:color w:val="231F20"/>
          <w:w w:val="105"/>
        </w:rPr>
        <w:t>Los</w:t>
      </w:r>
      <w:r>
        <w:rPr>
          <w:color w:val="231F20"/>
          <w:spacing w:val="-20"/>
          <w:w w:val="105"/>
        </w:rPr>
        <w:t> </w:t>
      </w:r>
      <w:r>
        <w:rPr>
          <w:color w:val="231F20"/>
          <w:w w:val="105"/>
        </w:rPr>
        <w:t>primeros</w:t>
      </w:r>
      <w:r>
        <w:rPr>
          <w:color w:val="231F20"/>
          <w:spacing w:val="-20"/>
          <w:w w:val="105"/>
        </w:rPr>
        <w:t> </w:t>
      </w:r>
      <w:r>
        <w:rPr>
          <w:color w:val="231F20"/>
          <w:w w:val="105"/>
        </w:rPr>
        <w:t>son:</w:t>
      </w:r>
      <w:r>
        <w:rPr>
          <w:color w:val="231F20"/>
          <w:spacing w:val="-20"/>
          <w:w w:val="105"/>
        </w:rPr>
        <w:t> </w:t>
      </w:r>
      <w:r>
        <w:rPr>
          <w:color w:val="231F20"/>
          <w:w w:val="105"/>
        </w:rPr>
        <w:t>Gestión</w:t>
      </w:r>
      <w:r>
        <w:rPr>
          <w:color w:val="231F20"/>
          <w:spacing w:val="-20"/>
          <w:w w:val="105"/>
        </w:rPr>
        <w:t> </w:t>
      </w:r>
      <w:r>
        <w:rPr>
          <w:color w:val="231F20"/>
          <w:w w:val="105"/>
        </w:rPr>
        <w:t>del</w:t>
      </w:r>
      <w:r>
        <w:rPr>
          <w:color w:val="231F20"/>
          <w:spacing w:val="-20"/>
          <w:w w:val="105"/>
        </w:rPr>
        <w:t> </w:t>
      </w:r>
      <w:r>
        <w:rPr>
          <w:color w:val="231F20"/>
          <w:w w:val="105"/>
        </w:rPr>
        <w:t>capital</w:t>
      </w:r>
      <w:r>
        <w:rPr>
          <w:color w:val="231F20"/>
          <w:spacing w:val="-20"/>
          <w:w w:val="105"/>
        </w:rPr>
        <w:t> </w:t>
      </w:r>
      <w:r>
        <w:rPr>
          <w:color w:val="231F20"/>
          <w:w w:val="105"/>
        </w:rPr>
        <w:t>intelectual; Economía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sectores</w:t>
      </w:r>
      <w:r>
        <w:rPr>
          <w:color w:val="231F20"/>
          <w:spacing w:val="-8"/>
          <w:w w:val="105"/>
        </w:rPr>
        <w:t> </w:t>
      </w:r>
      <w:r>
        <w:rPr>
          <w:color w:val="231F20"/>
          <w:w w:val="105"/>
        </w:rPr>
        <w:t>productivos</w:t>
      </w:r>
      <w:r>
        <w:rPr>
          <w:color w:val="231F20"/>
          <w:spacing w:val="-8"/>
          <w:w w:val="105"/>
        </w:rPr>
        <w:t> </w:t>
      </w:r>
      <w:r>
        <w:rPr>
          <w:color w:val="231F20"/>
          <w:w w:val="105"/>
        </w:rPr>
        <w:t>e</w:t>
      </w:r>
      <w:r>
        <w:rPr>
          <w:color w:val="231F20"/>
          <w:spacing w:val="-8"/>
          <w:w w:val="105"/>
        </w:rPr>
        <w:t> </w:t>
      </w:r>
      <w:r>
        <w:rPr>
          <w:color w:val="231F20"/>
          <w:w w:val="105"/>
        </w:rPr>
        <w:t>institucionales;</w:t>
      </w:r>
      <w:r>
        <w:rPr>
          <w:color w:val="231F20"/>
          <w:spacing w:val="-8"/>
          <w:w w:val="105"/>
        </w:rPr>
        <w:t> </w:t>
      </w:r>
      <w:r>
        <w:rPr>
          <w:color w:val="231F20"/>
          <w:w w:val="105"/>
        </w:rPr>
        <w:t>Desarrollo</w:t>
      </w:r>
      <w:r>
        <w:rPr>
          <w:color w:val="231F20"/>
          <w:spacing w:val="-8"/>
          <w:w w:val="105"/>
        </w:rPr>
        <w:t> </w:t>
      </w:r>
      <w:r>
        <w:rPr>
          <w:color w:val="231F20"/>
          <w:w w:val="105"/>
        </w:rPr>
        <w:t>eco- nómico,</w:t>
      </w:r>
      <w:r>
        <w:rPr>
          <w:color w:val="231F20"/>
          <w:spacing w:val="-21"/>
          <w:w w:val="105"/>
        </w:rPr>
        <w:t> </w:t>
      </w:r>
      <w:r>
        <w:rPr>
          <w:color w:val="231F20"/>
          <w:w w:val="105"/>
        </w:rPr>
        <w:t>social</w:t>
      </w:r>
      <w:r>
        <w:rPr>
          <w:color w:val="231F20"/>
          <w:spacing w:val="-14"/>
          <w:w w:val="105"/>
        </w:rPr>
        <w:t> </w:t>
      </w:r>
      <w:r>
        <w:rPr>
          <w:color w:val="231F20"/>
          <w:w w:val="105"/>
        </w:rPr>
        <w:t>y</w:t>
      </w:r>
      <w:r>
        <w:rPr>
          <w:color w:val="231F20"/>
          <w:spacing w:val="-14"/>
          <w:w w:val="105"/>
        </w:rPr>
        <w:t> </w:t>
      </w:r>
      <w:r>
        <w:rPr>
          <w:color w:val="231F20"/>
          <w:w w:val="105"/>
        </w:rPr>
        <w:t>regional;</w:t>
      </w:r>
      <w:r>
        <w:rPr>
          <w:color w:val="231F20"/>
          <w:spacing w:val="-14"/>
          <w:w w:val="105"/>
        </w:rPr>
        <w:t> </w:t>
      </w:r>
      <w:r>
        <w:rPr>
          <w:color w:val="231F20"/>
          <w:w w:val="105"/>
        </w:rPr>
        <w:t>y</w:t>
      </w:r>
      <w:r>
        <w:rPr>
          <w:color w:val="231F20"/>
          <w:spacing w:val="-14"/>
          <w:w w:val="105"/>
        </w:rPr>
        <w:t> </w:t>
      </w:r>
      <w:r>
        <w:rPr>
          <w:color w:val="231F20"/>
          <w:w w:val="105"/>
        </w:rPr>
        <w:t>Crecimiento</w:t>
      </w:r>
      <w:r>
        <w:rPr>
          <w:color w:val="231F20"/>
          <w:spacing w:val="-14"/>
          <w:w w:val="105"/>
        </w:rPr>
        <w:t> </w:t>
      </w:r>
      <w:r>
        <w:rPr>
          <w:color w:val="231F20"/>
          <w:w w:val="105"/>
        </w:rPr>
        <w:t>económico,</w:t>
      </w:r>
      <w:r>
        <w:rPr>
          <w:color w:val="231F20"/>
          <w:spacing w:val="-21"/>
          <w:w w:val="105"/>
        </w:rPr>
        <w:t> </w:t>
      </w:r>
      <w:r>
        <w:rPr>
          <w:color w:val="231F20"/>
          <w:w w:val="105"/>
        </w:rPr>
        <w:t>empleo</w:t>
      </w:r>
      <w:r>
        <w:rPr>
          <w:color w:val="231F20"/>
          <w:spacing w:val="-14"/>
          <w:w w:val="105"/>
        </w:rPr>
        <w:t> </w:t>
      </w:r>
      <w:r>
        <w:rPr>
          <w:color w:val="231F20"/>
          <w:w w:val="105"/>
        </w:rPr>
        <w:t>y</w:t>
      </w:r>
      <w:r>
        <w:rPr>
          <w:color w:val="231F20"/>
          <w:spacing w:val="-14"/>
          <w:w w:val="105"/>
        </w:rPr>
        <w:t> </w:t>
      </w:r>
      <w:r>
        <w:rPr>
          <w:color w:val="231F20"/>
          <w:w w:val="105"/>
        </w:rPr>
        <w:t>competiti- vidad</w:t>
      </w:r>
      <w:r>
        <w:rPr>
          <w:color w:val="231F20"/>
          <w:spacing w:val="-16"/>
          <w:w w:val="105"/>
        </w:rPr>
        <w:t> </w:t>
      </w:r>
      <w:r>
        <w:rPr>
          <w:color w:val="231F20"/>
          <w:w w:val="105"/>
        </w:rPr>
        <w:t>secto-regional.</w:t>
      </w:r>
      <w:r>
        <w:rPr>
          <w:color w:val="231F20"/>
          <w:spacing w:val="-21"/>
          <w:w w:val="105"/>
        </w:rPr>
        <w:t> </w:t>
      </w:r>
      <w:r>
        <w:rPr>
          <w:color w:val="231F20"/>
          <w:w w:val="105"/>
        </w:rPr>
        <w:t>Las</w:t>
      </w:r>
      <w:r>
        <w:rPr>
          <w:color w:val="231F20"/>
          <w:spacing w:val="-16"/>
          <w:w w:val="105"/>
        </w:rPr>
        <w:t> </w:t>
      </w:r>
      <w:r>
        <w:rPr>
          <w:color w:val="231F20"/>
          <w:w w:val="105"/>
        </w:rPr>
        <w:t>segundas</w:t>
      </w:r>
      <w:r>
        <w:rPr>
          <w:color w:val="231F20"/>
          <w:spacing w:val="-16"/>
          <w:w w:val="105"/>
        </w:rPr>
        <w:t> </w:t>
      </w:r>
      <w:r>
        <w:rPr>
          <w:color w:val="231F20"/>
          <w:w w:val="105"/>
        </w:rPr>
        <w:t>son:</w:t>
      </w:r>
      <w:r>
        <w:rPr>
          <w:color w:val="231F20"/>
          <w:spacing w:val="-16"/>
          <w:w w:val="105"/>
        </w:rPr>
        <w:t> </w:t>
      </w:r>
      <w:r>
        <w:rPr>
          <w:color w:val="231F20"/>
          <w:w w:val="105"/>
        </w:rPr>
        <w:t>Gestión</w:t>
      </w:r>
      <w:r>
        <w:rPr>
          <w:color w:val="231F20"/>
          <w:spacing w:val="-16"/>
          <w:w w:val="105"/>
        </w:rPr>
        <w:t> </w:t>
      </w:r>
      <w:r>
        <w:rPr>
          <w:color w:val="231F20"/>
          <w:w w:val="105"/>
        </w:rPr>
        <w:t>de</w:t>
      </w:r>
      <w:r>
        <w:rPr>
          <w:color w:val="231F20"/>
          <w:spacing w:val="-16"/>
          <w:w w:val="105"/>
        </w:rPr>
        <w:t> </w:t>
      </w:r>
      <w:r>
        <w:rPr>
          <w:color w:val="231F20"/>
          <w:w w:val="105"/>
        </w:rPr>
        <w:t>intangibles</w:t>
      </w:r>
      <w:r>
        <w:rPr>
          <w:color w:val="231F20"/>
          <w:spacing w:val="-16"/>
          <w:w w:val="105"/>
        </w:rPr>
        <w:t> </w:t>
      </w:r>
      <w:r>
        <w:rPr>
          <w:color w:val="231F20"/>
          <w:w w:val="105"/>
        </w:rPr>
        <w:t>y</w:t>
      </w:r>
      <w:r>
        <w:rPr>
          <w:color w:val="231F20"/>
          <w:spacing w:val="-16"/>
          <w:w w:val="105"/>
        </w:rPr>
        <w:t> </w:t>
      </w:r>
      <w:r>
        <w:rPr>
          <w:color w:val="231F20"/>
          <w:w w:val="105"/>
        </w:rPr>
        <w:t>capital intelectual</w:t>
      </w:r>
      <w:r>
        <w:rPr>
          <w:color w:val="231F20"/>
          <w:spacing w:val="-29"/>
          <w:w w:val="105"/>
        </w:rPr>
        <w:t> </w:t>
      </w:r>
      <w:r>
        <w:rPr>
          <w:color w:val="231F20"/>
          <w:w w:val="105"/>
        </w:rPr>
        <w:t>en</w:t>
      </w:r>
      <w:r>
        <w:rPr>
          <w:color w:val="231F20"/>
          <w:spacing w:val="-29"/>
          <w:w w:val="105"/>
        </w:rPr>
        <w:t> </w:t>
      </w:r>
      <w:r>
        <w:rPr>
          <w:color w:val="231F20"/>
          <w:w w:val="105"/>
        </w:rPr>
        <w:t>organizaciones</w:t>
      </w:r>
      <w:r>
        <w:rPr>
          <w:color w:val="231F20"/>
          <w:spacing w:val="-29"/>
          <w:w w:val="105"/>
        </w:rPr>
        <w:t> </w:t>
      </w:r>
      <w:r>
        <w:rPr>
          <w:color w:val="231F20"/>
          <w:w w:val="105"/>
        </w:rPr>
        <w:t>y</w:t>
      </w:r>
      <w:r>
        <w:rPr>
          <w:color w:val="231F20"/>
          <w:spacing w:val="-29"/>
          <w:w w:val="105"/>
        </w:rPr>
        <w:t> </w:t>
      </w:r>
      <w:r>
        <w:rPr>
          <w:color w:val="231F20"/>
          <w:w w:val="105"/>
        </w:rPr>
        <w:t>sectores;</w:t>
      </w:r>
      <w:r>
        <w:rPr>
          <w:color w:val="231F20"/>
          <w:spacing w:val="-29"/>
          <w:w w:val="105"/>
        </w:rPr>
        <w:t> </w:t>
      </w:r>
      <w:r>
        <w:rPr>
          <w:color w:val="231F20"/>
          <w:w w:val="105"/>
        </w:rPr>
        <w:t>Mercado</w:t>
      </w:r>
      <w:r>
        <w:rPr>
          <w:color w:val="231F20"/>
          <w:spacing w:val="-29"/>
          <w:w w:val="105"/>
        </w:rPr>
        <w:t> </w:t>
      </w:r>
      <w:r>
        <w:rPr>
          <w:color w:val="231F20"/>
          <w:w w:val="105"/>
        </w:rPr>
        <w:t>laboral</w:t>
      </w:r>
      <w:r>
        <w:rPr>
          <w:color w:val="231F20"/>
          <w:spacing w:val="-29"/>
          <w:w w:val="105"/>
        </w:rPr>
        <w:t> </w:t>
      </w:r>
      <w:r>
        <w:rPr>
          <w:color w:val="231F20"/>
          <w:w w:val="105"/>
        </w:rPr>
        <w:t>y</w:t>
      </w:r>
      <w:r>
        <w:rPr>
          <w:color w:val="231F20"/>
          <w:spacing w:val="-29"/>
          <w:w w:val="105"/>
        </w:rPr>
        <w:t> </w:t>
      </w:r>
      <w:r>
        <w:rPr>
          <w:color w:val="231F20"/>
          <w:w w:val="105"/>
        </w:rPr>
        <w:t>capital</w:t>
      </w:r>
      <w:r>
        <w:rPr>
          <w:color w:val="231F20"/>
          <w:spacing w:val="-29"/>
          <w:w w:val="105"/>
        </w:rPr>
        <w:t> </w:t>
      </w:r>
      <w:r>
        <w:rPr>
          <w:color w:val="231F20"/>
          <w:w w:val="105"/>
        </w:rPr>
        <w:t>huma- no;</w:t>
      </w:r>
      <w:r>
        <w:rPr>
          <w:color w:val="231F20"/>
          <w:spacing w:val="-11"/>
          <w:w w:val="105"/>
        </w:rPr>
        <w:t> </w:t>
      </w:r>
      <w:r>
        <w:rPr>
          <w:color w:val="231F20"/>
          <w:w w:val="105"/>
        </w:rPr>
        <w:t>e</w:t>
      </w:r>
      <w:r>
        <w:rPr>
          <w:color w:val="231F20"/>
          <w:spacing w:val="-11"/>
          <w:w w:val="105"/>
        </w:rPr>
        <w:t> </w:t>
      </w:r>
      <w:r>
        <w:rPr>
          <w:color w:val="231F20"/>
          <w:w w:val="105"/>
        </w:rPr>
        <w:t>Integración</w:t>
      </w:r>
      <w:r>
        <w:rPr>
          <w:color w:val="231F20"/>
          <w:spacing w:val="-11"/>
          <w:w w:val="105"/>
        </w:rPr>
        <w:t> </w:t>
      </w:r>
      <w:r>
        <w:rPr>
          <w:color w:val="231F20"/>
          <w:w w:val="105"/>
        </w:rPr>
        <w:t>económica</w:t>
      </w:r>
      <w:r>
        <w:rPr>
          <w:color w:val="231F20"/>
          <w:spacing w:val="-11"/>
          <w:w w:val="105"/>
        </w:rPr>
        <w:t> </w:t>
      </w:r>
      <w:r>
        <w:rPr>
          <w:color w:val="231F20"/>
          <w:w w:val="105"/>
        </w:rPr>
        <w:t>nacional</w:t>
      </w:r>
      <w:r>
        <w:rPr>
          <w:color w:val="231F20"/>
          <w:spacing w:val="-11"/>
          <w:w w:val="105"/>
        </w:rPr>
        <w:t> </w:t>
      </w:r>
      <w:r>
        <w:rPr>
          <w:color w:val="231F20"/>
          <w:w w:val="105"/>
        </w:rPr>
        <w:t>e</w:t>
      </w:r>
      <w:r>
        <w:rPr>
          <w:color w:val="231F20"/>
          <w:spacing w:val="-11"/>
          <w:w w:val="105"/>
        </w:rPr>
        <w:t> </w:t>
      </w:r>
      <w:r>
        <w:rPr>
          <w:color w:val="231F20"/>
          <w:w w:val="105"/>
        </w:rPr>
        <w:t>internacional</w:t>
      </w:r>
      <w:r>
        <w:rPr>
          <w:color w:val="231F20"/>
          <w:spacing w:val="-11"/>
          <w:w w:val="105"/>
        </w:rPr>
        <w:t> </w:t>
      </w:r>
      <w:r>
        <w:rPr>
          <w:color w:val="231F20"/>
          <w:w w:val="105"/>
        </w:rPr>
        <w:t>de</w:t>
      </w:r>
      <w:r>
        <w:rPr>
          <w:color w:val="231F20"/>
          <w:spacing w:val="-11"/>
          <w:w w:val="105"/>
        </w:rPr>
        <w:t> </w:t>
      </w:r>
      <w:r>
        <w:rPr>
          <w:color w:val="231F20"/>
          <w:w w:val="105"/>
        </w:rPr>
        <w:t>organizaciones </w:t>
      </w:r>
      <w:r>
        <w:rPr>
          <w:color w:val="231F20"/>
        </w:rPr>
        <w:t>y</w:t>
      </w:r>
      <w:r>
        <w:rPr>
          <w:color w:val="231F20"/>
          <w:spacing w:val="-8"/>
        </w:rPr>
        <w:t> </w:t>
      </w:r>
      <w:r>
        <w:rPr>
          <w:color w:val="231F20"/>
        </w:rPr>
        <w:t>sectores.</w:t>
      </w:r>
    </w:p>
    <w:p>
      <w:pPr>
        <w:pStyle w:val="BodyText"/>
        <w:spacing w:line="259" w:lineRule="auto"/>
        <w:ind w:left="103" w:right="114" w:firstLine="567"/>
        <w:jc w:val="both"/>
      </w:pPr>
      <w:r>
        <w:rPr>
          <w:color w:val="231F20"/>
          <w:w w:val="105"/>
        </w:rPr>
        <w:t>Cuando los miembros de una comunidad científica pertenecen a varios</w:t>
      </w:r>
      <w:r>
        <w:rPr>
          <w:color w:val="231F20"/>
          <w:spacing w:val="-12"/>
          <w:w w:val="105"/>
        </w:rPr>
        <w:t> </w:t>
      </w:r>
      <w:r>
        <w:rPr>
          <w:color w:val="231F20"/>
          <w:w w:val="105"/>
        </w:rPr>
        <w:t>grupos</w:t>
      </w:r>
      <w:r>
        <w:rPr>
          <w:color w:val="231F20"/>
          <w:spacing w:val="-12"/>
          <w:w w:val="105"/>
        </w:rPr>
        <w:t> </w:t>
      </w:r>
      <w:r>
        <w:rPr>
          <w:color w:val="231F20"/>
          <w:w w:val="105"/>
        </w:rPr>
        <w:t>simultáneamente,</w:t>
      </w:r>
      <w:r>
        <w:rPr>
          <w:color w:val="231F20"/>
          <w:spacing w:val="-18"/>
          <w:w w:val="105"/>
        </w:rPr>
        <w:t> </w:t>
      </w:r>
      <w:r>
        <w:rPr>
          <w:color w:val="231F20"/>
          <w:w w:val="105"/>
        </w:rPr>
        <w:t>hay</w:t>
      </w:r>
      <w:r>
        <w:rPr>
          <w:color w:val="231F20"/>
          <w:spacing w:val="-12"/>
          <w:w w:val="105"/>
        </w:rPr>
        <w:t> </w:t>
      </w:r>
      <w:r>
        <w:rPr>
          <w:color w:val="231F20"/>
          <w:w w:val="105"/>
        </w:rPr>
        <w:t>cabida</w:t>
      </w:r>
      <w:r>
        <w:rPr>
          <w:color w:val="231F20"/>
          <w:spacing w:val="-12"/>
          <w:w w:val="105"/>
        </w:rPr>
        <w:t> </w:t>
      </w:r>
      <w:r>
        <w:rPr>
          <w:color w:val="231F20"/>
          <w:w w:val="105"/>
        </w:rPr>
        <w:t>a</w:t>
      </w:r>
      <w:r>
        <w:rPr>
          <w:color w:val="231F20"/>
          <w:spacing w:val="-12"/>
          <w:w w:val="105"/>
        </w:rPr>
        <w:t> </w:t>
      </w:r>
      <w:r>
        <w:rPr>
          <w:color w:val="231F20"/>
          <w:w w:val="105"/>
        </w:rPr>
        <w:t>redes</w:t>
      </w:r>
      <w:r>
        <w:rPr>
          <w:color w:val="231F20"/>
          <w:spacing w:val="-12"/>
          <w:w w:val="105"/>
        </w:rPr>
        <w:t> </w:t>
      </w:r>
      <w:r>
        <w:rPr>
          <w:color w:val="231F20"/>
          <w:w w:val="105"/>
        </w:rPr>
        <w:t>de</w:t>
      </w:r>
      <w:r>
        <w:rPr>
          <w:color w:val="231F20"/>
          <w:spacing w:val="-12"/>
          <w:w w:val="105"/>
        </w:rPr>
        <w:t> </w:t>
      </w:r>
      <w:r>
        <w:rPr>
          <w:color w:val="231F20"/>
          <w:w w:val="105"/>
        </w:rPr>
        <w:t>conocimiento</w:t>
      </w:r>
      <w:r>
        <w:rPr>
          <w:color w:val="231F20"/>
          <w:spacing w:val="-12"/>
          <w:w w:val="105"/>
        </w:rPr>
        <w:t> </w:t>
      </w:r>
      <w:r>
        <w:rPr>
          <w:color w:val="231F20"/>
          <w:w w:val="105"/>
        </w:rPr>
        <w:t>en donde desenvolverse y seguir colaborando (Olivé, 2012). Institucional- mente</w:t>
      </w:r>
      <w:r>
        <w:rPr>
          <w:color w:val="231F20"/>
          <w:spacing w:val="-9"/>
          <w:w w:val="105"/>
        </w:rPr>
        <w:t> </w:t>
      </w:r>
      <w:r>
        <w:rPr>
          <w:color w:val="231F20"/>
          <w:w w:val="105"/>
        </w:rPr>
        <w:t>se</w:t>
      </w:r>
      <w:r>
        <w:rPr>
          <w:color w:val="231F20"/>
          <w:spacing w:val="-9"/>
          <w:w w:val="105"/>
        </w:rPr>
        <w:t> </w:t>
      </w:r>
      <w:r>
        <w:rPr>
          <w:color w:val="231F20"/>
          <w:w w:val="105"/>
        </w:rPr>
        <w:t>marca</w:t>
      </w:r>
      <w:r>
        <w:rPr>
          <w:color w:val="231F20"/>
          <w:spacing w:val="-9"/>
          <w:w w:val="105"/>
        </w:rPr>
        <w:t> </w:t>
      </w:r>
      <w:r>
        <w:rPr>
          <w:color w:val="231F20"/>
          <w:w w:val="105"/>
        </w:rPr>
        <w:t>como</w:t>
      </w:r>
      <w:r>
        <w:rPr>
          <w:color w:val="231F20"/>
          <w:spacing w:val="-9"/>
          <w:w w:val="105"/>
        </w:rPr>
        <w:t> </w:t>
      </w:r>
      <w:r>
        <w:rPr>
          <w:color w:val="231F20"/>
          <w:w w:val="105"/>
        </w:rPr>
        <w:t>estrategia</w:t>
      </w:r>
      <w:r>
        <w:rPr>
          <w:color w:val="231F20"/>
          <w:spacing w:val="-9"/>
          <w:w w:val="105"/>
        </w:rPr>
        <w:t> </w:t>
      </w:r>
      <w:r>
        <w:rPr>
          <w:color w:val="231F20"/>
          <w:w w:val="105"/>
        </w:rPr>
        <w:t>de</w:t>
      </w:r>
      <w:r>
        <w:rPr>
          <w:color w:val="231F20"/>
          <w:spacing w:val="-9"/>
          <w:w w:val="105"/>
        </w:rPr>
        <w:t> </w:t>
      </w:r>
      <w:r>
        <w:rPr>
          <w:color w:val="231F20"/>
          <w:w w:val="105"/>
        </w:rPr>
        <w:t>fortalecimiento</w:t>
      </w:r>
      <w:r>
        <w:rPr>
          <w:color w:val="231F20"/>
          <w:spacing w:val="-9"/>
          <w:w w:val="105"/>
        </w:rPr>
        <w:t> </w:t>
      </w:r>
      <w:r>
        <w:rPr>
          <w:color w:val="231F20"/>
          <w:w w:val="105"/>
        </w:rPr>
        <w:t>integrar</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inves- tigadores y cuerpos académicos en redes nacionales e</w:t>
      </w:r>
      <w:r>
        <w:rPr>
          <w:color w:val="231F20"/>
          <w:spacing w:val="-12"/>
          <w:w w:val="105"/>
        </w:rPr>
        <w:t> </w:t>
      </w:r>
      <w:r>
        <w:rPr>
          <w:color w:val="231F20"/>
          <w:w w:val="105"/>
        </w:rPr>
        <w:t>internacionales para</w:t>
      </w:r>
      <w:r>
        <w:rPr>
          <w:color w:val="231F20"/>
          <w:spacing w:val="-13"/>
          <w:w w:val="105"/>
        </w:rPr>
        <w:t> </w:t>
      </w:r>
      <w:r>
        <w:rPr>
          <w:color w:val="231F20"/>
          <w:w w:val="105"/>
        </w:rPr>
        <w:t>la</w:t>
      </w:r>
      <w:r>
        <w:rPr>
          <w:color w:val="231F20"/>
          <w:spacing w:val="-13"/>
          <w:w w:val="105"/>
        </w:rPr>
        <w:t> </w:t>
      </w:r>
      <w:r>
        <w:rPr>
          <w:color w:val="231F20"/>
          <w:w w:val="105"/>
        </w:rPr>
        <w:t>generación,</w:t>
      </w:r>
      <w:r>
        <w:rPr>
          <w:color w:val="231F20"/>
          <w:spacing w:val="-19"/>
          <w:w w:val="105"/>
        </w:rPr>
        <w:t> </w:t>
      </w:r>
      <w:r>
        <w:rPr>
          <w:color w:val="231F20"/>
          <w:w w:val="105"/>
        </w:rPr>
        <w:t>transferencia</w:t>
      </w:r>
      <w:r>
        <w:rPr>
          <w:color w:val="231F20"/>
          <w:spacing w:val="-13"/>
          <w:w w:val="105"/>
        </w:rPr>
        <w:t> </w:t>
      </w:r>
      <w:r>
        <w:rPr>
          <w:color w:val="231F20"/>
          <w:w w:val="105"/>
        </w:rPr>
        <w:t>y</w:t>
      </w:r>
      <w:r>
        <w:rPr>
          <w:color w:val="231F20"/>
          <w:spacing w:val="-13"/>
          <w:w w:val="105"/>
        </w:rPr>
        <w:t> </w:t>
      </w:r>
      <w:r>
        <w:rPr>
          <w:color w:val="231F20"/>
          <w:w w:val="105"/>
        </w:rPr>
        <w:t>aplicación</w:t>
      </w:r>
      <w:r>
        <w:rPr>
          <w:color w:val="231F20"/>
          <w:spacing w:val="-13"/>
          <w:w w:val="105"/>
        </w:rPr>
        <w:t> </w:t>
      </w:r>
      <w:r>
        <w:rPr>
          <w:color w:val="231F20"/>
          <w:w w:val="105"/>
        </w:rPr>
        <w:t>del</w:t>
      </w:r>
      <w:r>
        <w:rPr>
          <w:color w:val="231F20"/>
          <w:spacing w:val="-13"/>
          <w:w w:val="105"/>
        </w:rPr>
        <w:t> </w:t>
      </w:r>
      <w:r>
        <w:rPr>
          <w:color w:val="231F20"/>
          <w:w w:val="105"/>
        </w:rPr>
        <w:t>conocimiento.</w:t>
      </w:r>
      <w:r>
        <w:rPr>
          <w:color w:val="231F20"/>
          <w:spacing w:val="-19"/>
          <w:w w:val="105"/>
        </w:rPr>
        <w:t> </w:t>
      </w:r>
      <w:r>
        <w:rPr>
          <w:color w:val="231F20"/>
          <w:w w:val="105"/>
        </w:rPr>
        <w:t>De</w:t>
      </w:r>
      <w:r>
        <w:rPr>
          <w:color w:val="231F20"/>
          <w:spacing w:val="-13"/>
          <w:w w:val="105"/>
        </w:rPr>
        <w:t> </w:t>
      </w:r>
      <w:r>
        <w:rPr>
          <w:color w:val="231F20"/>
          <w:w w:val="105"/>
        </w:rPr>
        <w:t>esto</w:t>
      </w:r>
    </w:p>
    <w:p>
      <w:pPr>
        <w:pStyle w:val="BodyText"/>
        <w:rPr>
          <w:sz w:val="20"/>
        </w:rPr>
      </w:pPr>
    </w:p>
    <w:p>
      <w:pPr>
        <w:pStyle w:val="BodyText"/>
        <w:spacing w:before="3"/>
        <w:rPr>
          <w:sz w:val="26"/>
        </w:rPr>
      </w:pPr>
    </w:p>
    <w:p>
      <w:pPr>
        <w:tabs>
          <w:tab w:pos="1317" w:val="left" w:leader="none"/>
        </w:tabs>
        <w:spacing w:before="70"/>
        <w:ind w:left="267" w:right="17" w:firstLine="0"/>
        <w:jc w:val="left"/>
        <w:rPr>
          <w:rFonts w:ascii="Calibri"/>
          <w:sz w:val="15"/>
        </w:rPr>
      </w:pPr>
      <w:r>
        <w:rPr/>
        <w:pict>
          <v:line style="position:absolute;mso-position-horizontal-relative:page;mso-position-vertical-relative:paragraph;z-index:-246712" from="110.551201pt,3.703713pt" to="110.551201pt,39.506112pt" stroked="true" strokeweight=".35pt" strokecolor="#231f20">
            <w10:wrap type="none"/>
          </v:line>
        </w:pict>
      </w:r>
      <w:r>
        <w:rPr>
          <w:color w:val="414042"/>
          <w:w w:val="105"/>
          <w:position w:val="-5"/>
          <w:sz w:val="20"/>
        </w:rPr>
        <w:t>12</w:t>
        <w:tab/>
      </w:r>
      <w:r>
        <w:rPr>
          <w:rFonts w:ascii="Calibri"/>
          <w:color w:val="6D6E71"/>
          <w:w w:val="105"/>
          <w:sz w:val="15"/>
        </w:rPr>
        <w:t>Patricia</w:t>
      </w:r>
      <w:r>
        <w:rPr>
          <w:rFonts w:ascii="Calibri"/>
          <w:color w:val="6D6E71"/>
          <w:spacing w:val="-11"/>
          <w:w w:val="105"/>
          <w:sz w:val="15"/>
        </w:rPr>
        <w:t> </w:t>
      </w:r>
      <w:r>
        <w:rPr>
          <w:rFonts w:ascii="Calibri"/>
          <w:color w:val="6D6E71"/>
          <w:w w:val="105"/>
          <w:sz w:val="15"/>
        </w:rPr>
        <w:t>Mercado</w:t>
      </w:r>
      <w:r>
        <w:rPr>
          <w:rFonts w:ascii="Calibri"/>
          <w:color w:val="6D6E71"/>
          <w:spacing w:val="-11"/>
          <w:w w:val="105"/>
          <w:sz w:val="15"/>
        </w:rPr>
        <w:t> </w:t>
      </w:r>
      <w:r>
        <w:rPr>
          <w:rFonts w:ascii="Calibri"/>
          <w:color w:val="6D6E71"/>
          <w:w w:val="105"/>
          <w:sz w:val="15"/>
        </w:rPr>
        <w:t>Salgado</w:t>
      </w:r>
      <w:r>
        <w:rPr>
          <w:rFonts w:ascii="Calibri"/>
          <w:color w:val="6D6E71"/>
          <w:spacing w:val="-12"/>
          <w:w w:val="105"/>
          <w:sz w:val="15"/>
        </w:rPr>
        <w:t> </w:t>
      </w:r>
      <w:r>
        <w:rPr>
          <w:rFonts w:ascii="Calibri"/>
          <w:color w:val="6D6E71"/>
          <w:w w:val="105"/>
          <w:sz w:val="15"/>
        </w:rPr>
        <w:t>y</w:t>
      </w:r>
      <w:r>
        <w:rPr>
          <w:rFonts w:ascii="Calibri"/>
          <w:color w:val="6D6E71"/>
          <w:spacing w:val="-11"/>
          <w:w w:val="105"/>
          <w:sz w:val="15"/>
        </w:rPr>
        <w:t> </w:t>
      </w:r>
      <w:r>
        <w:rPr>
          <w:rFonts w:ascii="Calibri"/>
          <w:color w:val="6D6E71"/>
          <w:w w:val="105"/>
          <w:sz w:val="15"/>
        </w:rPr>
        <w:t>Daniel</w:t>
      </w:r>
      <w:r>
        <w:rPr>
          <w:rFonts w:ascii="Calibri"/>
          <w:color w:val="6D6E71"/>
          <w:spacing w:val="-11"/>
          <w:w w:val="105"/>
          <w:sz w:val="15"/>
        </w:rPr>
        <w:t> </w:t>
      </w:r>
      <w:r>
        <w:rPr>
          <w:rFonts w:ascii="Calibri"/>
          <w:color w:val="6D6E71"/>
          <w:w w:val="105"/>
          <w:sz w:val="15"/>
        </w:rPr>
        <w:t>Arturo</w:t>
      </w:r>
      <w:r>
        <w:rPr>
          <w:rFonts w:ascii="Calibri"/>
          <w:color w:val="6D6E71"/>
          <w:spacing w:val="-11"/>
          <w:w w:val="105"/>
          <w:sz w:val="15"/>
        </w:rPr>
        <w:t> </w:t>
      </w:r>
      <w:r>
        <w:rPr>
          <w:rFonts w:ascii="Calibri"/>
          <w:color w:val="6D6E71"/>
          <w:w w:val="105"/>
          <w:sz w:val="15"/>
        </w:rPr>
        <w:t>Cernas</w:t>
      </w:r>
      <w:r>
        <w:rPr>
          <w:rFonts w:ascii="Calibri"/>
          <w:color w:val="6D6E71"/>
          <w:spacing w:val="-11"/>
          <w:w w:val="105"/>
          <w:sz w:val="15"/>
        </w:rPr>
        <w:t> </w:t>
      </w:r>
      <w:r>
        <w:rPr>
          <w:rFonts w:ascii="Calibri"/>
          <w:color w:val="6D6E71"/>
          <w:w w:val="105"/>
          <w:sz w:val="15"/>
        </w:rPr>
        <w:t>Ortiz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1578" w:val="right" w:leader="none"/>
        </w:tabs>
        <w:spacing w:before="58"/>
        <w:ind w:left="103" w:right="219" w:firstLine="0"/>
        <w:jc w:val="right"/>
        <w:rPr>
          <w:sz w:val="20"/>
        </w:rPr>
      </w:pPr>
      <w:r>
        <w:rPr/>
        <w:pict>
          <v:line style="position:absolute;mso-position-horizontal-relative:page;mso-position-vertical-relative:paragraph;z-index:-246688" from="384.061005pt,-25.301146pt" to="384.061005pt,9.564704pt" stroked="true" strokeweight=".35pt" strokecolor="#231f20">
            <w10:wrap type="none"/>
          </v:line>
        </w:pict>
      </w:r>
      <w:r>
        <w:rPr>
          <w:rFonts w:ascii="Calibri" w:hAnsi="Calibri"/>
          <w:color w:val="6D6E71"/>
          <w:sz w:val="14"/>
        </w:rPr>
        <w:t>INTRODUCCIÓN</w:t>
      </w:r>
      <w:r>
        <w:rPr>
          <w:color w:val="414042"/>
          <w:position w:val="-3"/>
          <w:sz w:val="20"/>
        </w:rPr>
        <w:tab/>
        <w:t>13</w:t>
      </w:r>
    </w:p>
    <w:p>
      <w:pPr>
        <w:pStyle w:val="BodyText"/>
        <w:spacing w:line="259" w:lineRule="auto" w:before="608"/>
        <w:ind w:left="117" w:right="101"/>
        <w:jc w:val="both"/>
      </w:pPr>
      <w:r>
        <w:rPr>
          <w:color w:val="231F20"/>
          <w:w w:val="105"/>
        </w:rPr>
        <w:t>se trata el tercer nivel de conformación: la Red de Estudios Económi- co-Administrativos</w:t>
      </w:r>
      <w:r>
        <w:rPr>
          <w:color w:val="231F20"/>
          <w:spacing w:val="-18"/>
          <w:w w:val="105"/>
        </w:rPr>
        <w:t> </w:t>
      </w:r>
      <w:r>
        <w:rPr>
          <w:color w:val="231F20"/>
          <w:w w:val="105"/>
        </w:rPr>
        <w:t>formalizada</w:t>
      </w:r>
      <w:r>
        <w:rPr>
          <w:color w:val="231F20"/>
          <w:spacing w:val="-18"/>
          <w:w w:val="105"/>
        </w:rPr>
        <w:t> </w:t>
      </w:r>
      <w:r>
        <w:rPr>
          <w:color w:val="231F20"/>
          <w:w w:val="105"/>
        </w:rPr>
        <w:t>bajo</w:t>
      </w:r>
      <w:r>
        <w:rPr>
          <w:color w:val="231F20"/>
          <w:spacing w:val="-18"/>
          <w:w w:val="105"/>
        </w:rPr>
        <w:t> </w:t>
      </w:r>
      <w:r>
        <w:rPr>
          <w:color w:val="231F20"/>
          <w:w w:val="105"/>
        </w:rPr>
        <w:t>el</w:t>
      </w:r>
      <w:r>
        <w:rPr>
          <w:color w:val="231F20"/>
          <w:spacing w:val="-18"/>
          <w:w w:val="105"/>
        </w:rPr>
        <w:t> </w:t>
      </w:r>
      <w:r>
        <w:rPr>
          <w:color w:val="231F20"/>
          <w:spacing w:val="-3"/>
          <w:w w:val="105"/>
        </w:rPr>
        <w:t>Programa</w:t>
      </w:r>
      <w:r>
        <w:rPr>
          <w:color w:val="231F20"/>
          <w:spacing w:val="-18"/>
          <w:w w:val="105"/>
        </w:rPr>
        <w:t> </w:t>
      </w:r>
      <w:r>
        <w:rPr>
          <w:color w:val="231F20"/>
          <w:w w:val="105"/>
        </w:rPr>
        <w:t>de</w:t>
      </w:r>
      <w:r>
        <w:rPr>
          <w:color w:val="231F20"/>
          <w:spacing w:val="-18"/>
          <w:w w:val="105"/>
        </w:rPr>
        <w:t> </w:t>
      </w:r>
      <w:r>
        <w:rPr>
          <w:color w:val="231F20"/>
          <w:w w:val="105"/>
        </w:rPr>
        <w:t>Desarrollo</w:t>
      </w:r>
      <w:r>
        <w:rPr>
          <w:color w:val="231F20"/>
          <w:spacing w:val="-18"/>
          <w:w w:val="105"/>
        </w:rPr>
        <w:t> </w:t>
      </w:r>
      <w:r>
        <w:rPr>
          <w:color w:val="231F20"/>
          <w:w w:val="105"/>
        </w:rPr>
        <w:t>Profesio- nal</w:t>
      </w:r>
      <w:r>
        <w:rPr>
          <w:color w:val="231F20"/>
          <w:spacing w:val="-28"/>
          <w:w w:val="105"/>
        </w:rPr>
        <w:t> </w:t>
      </w:r>
      <w:r>
        <w:rPr>
          <w:color w:val="231F20"/>
          <w:w w:val="105"/>
        </w:rPr>
        <w:t>Docente</w:t>
      </w:r>
      <w:r>
        <w:rPr>
          <w:color w:val="231F20"/>
          <w:spacing w:val="-28"/>
          <w:w w:val="105"/>
        </w:rPr>
        <w:t> </w:t>
      </w:r>
      <w:r>
        <w:rPr>
          <w:color w:val="231F20"/>
          <w:w w:val="105"/>
        </w:rPr>
        <w:t>(Prodep-SEP),</w:t>
      </w:r>
      <w:r>
        <w:rPr>
          <w:color w:val="231F20"/>
          <w:spacing w:val="-32"/>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participación</w:t>
      </w:r>
      <w:r>
        <w:rPr>
          <w:color w:val="231F20"/>
          <w:spacing w:val="-28"/>
          <w:w w:val="105"/>
        </w:rPr>
        <w:t> </w:t>
      </w:r>
      <w:r>
        <w:rPr>
          <w:color w:val="231F20"/>
          <w:w w:val="105"/>
        </w:rPr>
        <w:t>de</w:t>
      </w:r>
      <w:r>
        <w:rPr>
          <w:color w:val="231F20"/>
          <w:spacing w:val="-28"/>
          <w:w w:val="105"/>
        </w:rPr>
        <w:t> </w:t>
      </w:r>
      <w:r>
        <w:rPr>
          <w:color w:val="231F20"/>
          <w:w w:val="105"/>
        </w:rPr>
        <w:t>tres</w:t>
      </w:r>
      <w:r>
        <w:rPr>
          <w:color w:val="231F20"/>
          <w:spacing w:val="-28"/>
          <w:w w:val="105"/>
        </w:rPr>
        <w:t> </w:t>
      </w:r>
      <w:r>
        <w:rPr>
          <w:color w:val="231F20"/>
          <w:w w:val="105"/>
        </w:rPr>
        <w:t>cuerpos</w:t>
      </w:r>
      <w:r>
        <w:rPr>
          <w:color w:val="231F20"/>
          <w:spacing w:val="-28"/>
          <w:w w:val="105"/>
        </w:rPr>
        <w:t> </w:t>
      </w:r>
      <w:r>
        <w:rPr>
          <w:color w:val="231F20"/>
          <w:w w:val="105"/>
        </w:rPr>
        <w:t>académi- cos:</w:t>
      </w:r>
      <w:r>
        <w:rPr>
          <w:color w:val="231F20"/>
          <w:spacing w:val="-18"/>
          <w:w w:val="105"/>
        </w:rPr>
        <w:t> </w:t>
      </w:r>
      <w:r>
        <w:rPr>
          <w:color w:val="231F20"/>
          <w:w w:val="105"/>
        </w:rPr>
        <w:t>uno</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w w:val="105"/>
        </w:rPr>
        <w:t>programa</w:t>
      </w:r>
      <w:r>
        <w:rPr>
          <w:color w:val="231F20"/>
          <w:spacing w:val="-18"/>
          <w:w w:val="105"/>
        </w:rPr>
        <w:t> </w:t>
      </w:r>
      <w:r>
        <w:rPr>
          <w:color w:val="231F20"/>
          <w:w w:val="105"/>
        </w:rPr>
        <w:t>doctoral,</w:t>
      </w:r>
      <w:r>
        <w:rPr>
          <w:color w:val="231F20"/>
          <w:spacing w:val="-24"/>
          <w:w w:val="105"/>
        </w:rPr>
        <w:t> </w:t>
      </w:r>
      <w:r>
        <w:rPr>
          <w:color w:val="231F20"/>
          <w:w w:val="105"/>
        </w:rPr>
        <w:t>otro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Universidad</w:t>
      </w:r>
      <w:r>
        <w:rPr>
          <w:color w:val="231F20"/>
          <w:spacing w:val="-22"/>
          <w:w w:val="105"/>
        </w:rPr>
        <w:t> </w:t>
      </w:r>
      <w:r>
        <w:rPr>
          <w:color w:val="231F20"/>
          <w:w w:val="105"/>
        </w:rPr>
        <w:t>Autónoma</w:t>
      </w:r>
      <w:r>
        <w:rPr>
          <w:color w:val="231F20"/>
          <w:spacing w:val="-18"/>
          <w:w w:val="105"/>
        </w:rPr>
        <w:t> </w:t>
      </w:r>
      <w:r>
        <w:rPr>
          <w:color w:val="231F20"/>
          <w:w w:val="105"/>
        </w:rPr>
        <w:t>de Ciudad</w:t>
      </w:r>
      <w:r>
        <w:rPr>
          <w:color w:val="231F20"/>
          <w:spacing w:val="-26"/>
          <w:w w:val="105"/>
        </w:rPr>
        <w:t> </w:t>
      </w:r>
      <w:r>
        <w:rPr>
          <w:color w:val="231F20"/>
          <w:w w:val="105"/>
        </w:rPr>
        <w:t>Juárez</w:t>
      </w:r>
      <w:r>
        <w:rPr>
          <w:color w:val="231F20"/>
          <w:spacing w:val="-24"/>
          <w:w w:val="105"/>
        </w:rPr>
        <w:t> </w:t>
      </w:r>
      <w:r>
        <w:rPr>
          <w:color w:val="231F20"/>
          <w:w w:val="105"/>
        </w:rPr>
        <w:t>(UACJ)</w:t>
      </w:r>
      <w:r>
        <w:rPr>
          <w:color w:val="231F20"/>
          <w:spacing w:val="-24"/>
          <w:w w:val="105"/>
        </w:rPr>
        <w:t> </w:t>
      </w:r>
      <w:r>
        <w:rPr>
          <w:color w:val="231F20"/>
          <w:w w:val="105"/>
        </w:rPr>
        <w:t>y</w:t>
      </w:r>
      <w:r>
        <w:rPr>
          <w:color w:val="231F20"/>
          <w:spacing w:val="-24"/>
          <w:w w:val="105"/>
        </w:rPr>
        <w:t> </w:t>
      </w:r>
      <w:r>
        <w:rPr>
          <w:color w:val="231F20"/>
          <w:w w:val="105"/>
        </w:rPr>
        <w:t>uno</w:t>
      </w:r>
      <w:r>
        <w:rPr>
          <w:color w:val="231F20"/>
          <w:spacing w:val="-24"/>
          <w:w w:val="105"/>
        </w:rPr>
        <w:t> </w:t>
      </w:r>
      <w:r>
        <w:rPr>
          <w:color w:val="231F20"/>
          <w:w w:val="105"/>
        </w:rPr>
        <w:t>más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Universidad</w:t>
      </w:r>
      <w:r>
        <w:rPr>
          <w:color w:val="231F20"/>
          <w:spacing w:val="-27"/>
          <w:w w:val="105"/>
        </w:rPr>
        <w:t> </w:t>
      </w:r>
      <w:r>
        <w:rPr>
          <w:color w:val="231F20"/>
          <w:w w:val="105"/>
        </w:rPr>
        <w:t>Autónoma</w:t>
      </w:r>
      <w:r>
        <w:rPr>
          <w:color w:val="231F20"/>
          <w:spacing w:val="-24"/>
          <w:w w:val="105"/>
        </w:rPr>
        <w:t> </w:t>
      </w:r>
      <w:r>
        <w:rPr>
          <w:color w:val="231F20"/>
          <w:w w:val="105"/>
        </w:rPr>
        <w:t>de</w:t>
      </w:r>
      <w:r>
        <w:rPr>
          <w:color w:val="231F20"/>
          <w:spacing w:val="-27"/>
          <w:w w:val="105"/>
        </w:rPr>
        <w:t> </w:t>
      </w:r>
      <w:r>
        <w:rPr>
          <w:color w:val="231F20"/>
          <w:w w:val="105"/>
        </w:rPr>
        <w:t>Aguas- </w:t>
      </w:r>
      <w:r>
        <w:rPr>
          <w:color w:val="231F20"/>
        </w:rPr>
        <w:t>calientes</w:t>
      </w:r>
      <w:r>
        <w:rPr>
          <w:color w:val="231F20"/>
          <w:spacing w:val="-11"/>
        </w:rPr>
        <w:t> </w:t>
      </w:r>
      <w:r>
        <w:rPr>
          <w:color w:val="231F20"/>
        </w:rPr>
        <w:t>(UAG).</w:t>
      </w:r>
    </w:p>
    <w:p>
      <w:pPr>
        <w:pStyle w:val="BodyText"/>
        <w:spacing w:line="259" w:lineRule="auto"/>
        <w:ind w:left="117" w:right="101" w:firstLine="567"/>
        <w:jc w:val="both"/>
      </w:pPr>
      <w:r>
        <w:rPr>
          <w:color w:val="231F20"/>
          <w:spacing w:val="-3"/>
          <w:w w:val="105"/>
        </w:rPr>
        <w:t>Entonces, para fomentar </w:t>
      </w:r>
      <w:r>
        <w:rPr>
          <w:color w:val="231F20"/>
          <w:w w:val="105"/>
        </w:rPr>
        <w:t>la </w:t>
      </w:r>
      <w:r>
        <w:rPr>
          <w:color w:val="231F20"/>
          <w:spacing w:val="-3"/>
          <w:w w:val="105"/>
        </w:rPr>
        <w:t>colaboración académica </w:t>
      </w:r>
      <w:r>
        <w:rPr>
          <w:color w:val="231F20"/>
          <w:w w:val="105"/>
        </w:rPr>
        <w:t>y </w:t>
      </w:r>
      <w:r>
        <w:rPr>
          <w:color w:val="231F20"/>
          <w:spacing w:val="-3"/>
          <w:w w:val="105"/>
        </w:rPr>
        <w:t>contribuir al fortalecimiento </w:t>
      </w:r>
      <w:r>
        <w:rPr>
          <w:color w:val="231F20"/>
          <w:w w:val="105"/>
        </w:rPr>
        <w:t>de </w:t>
      </w:r>
      <w:r>
        <w:rPr>
          <w:color w:val="231F20"/>
          <w:spacing w:val="-3"/>
          <w:w w:val="105"/>
        </w:rPr>
        <w:t>esta comunidad científica, </w:t>
      </w:r>
      <w:r>
        <w:rPr>
          <w:color w:val="231F20"/>
          <w:w w:val="105"/>
        </w:rPr>
        <w:t>en los 12 </w:t>
      </w:r>
      <w:r>
        <w:rPr>
          <w:color w:val="231F20"/>
          <w:spacing w:val="-3"/>
          <w:w w:val="105"/>
        </w:rPr>
        <w:t>capítulos conteni- </w:t>
      </w:r>
      <w:r>
        <w:rPr>
          <w:color w:val="231F20"/>
          <w:w w:val="105"/>
        </w:rPr>
        <w:t>dos</w:t>
      </w:r>
      <w:r>
        <w:rPr>
          <w:color w:val="231F20"/>
          <w:spacing w:val="-16"/>
          <w:w w:val="105"/>
        </w:rPr>
        <w:t> </w:t>
      </w:r>
      <w:r>
        <w:rPr>
          <w:color w:val="231F20"/>
          <w:w w:val="105"/>
        </w:rPr>
        <w:t>en</w:t>
      </w:r>
      <w:r>
        <w:rPr>
          <w:color w:val="231F20"/>
          <w:spacing w:val="-16"/>
          <w:w w:val="105"/>
        </w:rPr>
        <w:t> </w:t>
      </w:r>
      <w:r>
        <w:rPr>
          <w:color w:val="231F20"/>
          <w:spacing w:val="-3"/>
          <w:w w:val="105"/>
        </w:rPr>
        <w:t>este</w:t>
      </w:r>
      <w:r>
        <w:rPr>
          <w:color w:val="231F20"/>
          <w:spacing w:val="-16"/>
          <w:w w:val="105"/>
        </w:rPr>
        <w:t> </w:t>
      </w:r>
      <w:r>
        <w:rPr>
          <w:color w:val="231F20"/>
          <w:spacing w:val="-3"/>
          <w:w w:val="105"/>
        </w:rPr>
        <w:t>texto</w:t>
      </w:r>
      <w:r>
        <w:rPr>
          <w:color w:val="231F20"/>
          <w:spacing w:val="-16"/>
          <w:w w:val="105"/>
        </w:rPr>
        <w:t> </w:t>
      </w:r>
      <w:r>
        <w:rPr>
          <w:color w:val="231F20"/>
          <w:spacing w:val="-3"/>
          <w:w w:val="105"/>
        </w:rPr>
        <w:t>participan</w:t>
      </w:r>
      <w:r>
        <w:rPr>
          <w:color w:val="231F20"/>
          <w:spacing w:val="-16"/>
          <w:w w:val="105"/>
        </w:rPr>
        <w:t> </w:t>
      </w:r>
      <w:r>
        <w:rPr>
          <w:color w:val="231F20"/>
          <w:spacing w:val="-3"/>
          <w:w w:val="105"/>
        </w:rPr>
        <w:t>tutores</w:t>
      </w:r>
      <w:r>
        <w:rPr>
          <w:color w:val="231F20"/>
          <w:spacing w:val="-16"/>
          <w:w w:val="105"/>
        </w:rPr>
        <w:t> </w:t>
      </w:r>
      <w:r>
        <w:rPr>
          <w:color w:val="231F20"/>
          <w:w w:val="105"/>
        </w:rPr>
        <w:t>y</w:t>
      </w:r>
      <w:r>
        <w:rPr>
          <w:color w:val="231F20"/>
          <w:spacing w:val="-16"/>
          <w:w w:val="105"/>
        </w:rPr>
        <w:t> </w:t>
      </w:r>
      <w:r>
        <w:rPr>
          <w:color w:val="231F20"/>
          <w:spacing w:val="-3"/>
          <w:w w:val="105"/>
        </w:rPr>
        <w:t>tutorados,</w:t>
      </w:r>
      <w:r>
        <w:rPr>
          <w:color w:val="231F20"/>
          <w:spacing w:val="-21"/>
          <w:w w:val="105"/>
        </w:rPr>
        <w:t> </w:t>
      </w:r>
      <w:r>
        <w:rPr>
          <w:color w:val="231F20"/>
          <w:spacing w:val="-3"/>
          <w:w w:val="105"/>
        </w:rPr>
        <w:t>investigadores</w:t>
      </w:r>
      <w:r>
        <w:rPr>
          <w:color w:val="231F20"/>
          <w:spacing w:val="-16"/>
          <w:w w:val="105"/>
        </w:rPr>
        <w:t> </w:t>
      </w:r>
      <w:r>
        <w:rPr>
          <w:color w:val="231F20"/>
          <w:w w:val="105"/>
        </w:rPr>
        <w:t>y</w:t>
      </w:r>
      <w:r>
        <w:rPr>
          <w:color w:val="231F20"/>
          <w:spacing w:val="-16"/>
          <w:w w:val="105"/>
        </w:rPr>
        <w:t> </w:t>
      </w:r>
      <w:r>
        <w:rPr>
          <w:color w:val="231F20"/>
          <w:spacing w:val="-3"/>
          <w:w w:val="105"/>
        </w:rPr>
        <w:t>alumnos </w:t>
      </w:r>
      <w:r>
        <w:rPr>
          <w:color w:val="231F20"/>
          <w:w w:val="105"/>
        </w:rPr>
        <w:t>o</w:t>
      </w:r>
      <w:r>
        <w:rPr>
          <w:color w:val="231F20"/>
          <w:spacing w:val="-22"/>
          <w:w w:val="105"/>
        </w:rPr>
        <w:t> </w:t>
      </w:r>
      <w:r>
        <w:rPr>
          <w:color w:val="231F20"/>
          <w:spacing w:val="-3"/>
          <w:w w:val="105"/>
        </w:rPr>
        <w:t>egresados</w:t>
      </w:r>
      <w:r>
        <w:rPr>
          <w:color w:val="231F20"/>
          <w:spacing w:val="-22"/>
          <w:w w:val="105"/>
        </w:rPr>
        <w:t> </w:t>
      </w:r>
      <w:r>
        <w:rPr>
          <w:color w:val="231F20"/>
          <w:w w:val="105"/>
        </w:rPr>
        <w:t>del</w:t>
      </w:r>
      <w:r>
        <w:rPr>
          <w:color w:val="231F20"/>
          <w:spacing w:val="-22"/>
          <w:w w:val="105"/>
        </w:rPr>
        <w:t> </w:t>
      </w:r>
      <w:r>
        <w:rPr>
          <w:color w:val="231F20"/>
          <w:spacing w:val="-3"/>
          <w:w w:val="105"/>
        </w:rPr>
        <w:t>DCEA,</w:t>
      </w:r>
      <w:r>
        <w:rPr>
          <w:color w:val="231F20"/>
          <w:spacing w:val="-27"/>
          <w:w w:val="105"/>
        </w:rPr>
        <w:t> </w:t>
      </w:r>
      <w:r>
        <w:rPr>
          <w:color w:val="231F20"/>
          <w:spacing w:val="-3"/>
          <w:w w:val="105"/>
        </w:rPr>
        <w:t>retomando</w:t>
      </w:r>
      <w:r>
        <w:rPr>
          <w:color w:val="231F20"/>
          <w:spacing w:val="-22"/>
          <w:w w:val="105"/>
        </w:rPr>
        <w:t> </w:t>
      </w:r>
      <w:r>
        <w:rPr>
          <w:color w:val="231F20"/>
          <w:spacing w:val="-3"/>
          <w:w w:val="105"/>
        </w:rPr>
        <w:t>teorías</w:t>
      </w:r>
      <w:r>
        <w:rPr>
          <w:color w:val="231F20"/>
          <w:spacing w:val="-22"/>
          <w:w w:val="105"/>
        </w:rPr>
        <w:t> </w:t>
      </w:r>
      <w:r>
        <w:rPr>
          <w:color w:val="231F20"/>
          <w:w w:val="105"/>
        </w:rPr>
        <w:t>que</w:t>
      </w:r>
      <w:r>
        <w:rPr>
          <w:color w:val="231F20"/>
          <w:spacing w:val="-22"/>
          <w:w w:val="105"/>
        </w:rPr>
        <w:t> </w:t>
      </w:r>
      <w:r>
        <w:rPr>
          <w:color w:val="231F20"/>
          <w:spacing w:val="-3"/>
          <w:w w:val="105"/>
        </w:rPr>
        <w:t>explican</w:t>
      </w:r>
      <w:r>
        <w:rPr>
          <w:color w:val="231F20"/>
          <w:spacing w:val="-22"/>
          <w:w w:val="105"/>
        </w:rPr>
        <w:t> </w:t>
      </w:r>
      <w:r>
        <w:rPr>
          <w:color w:val="231F20"/>
          <w:w w:val="105"/>
        </w:rPr>
        <w:t>el</w:t>
      </w:r>
      <w:r>
        <w:rPr>
          <w:color w:val="231F20"/>
          <w:spacing w:val="-22"/>
          <w:w w:val="105"/>
        </w:rPr>
        <w:t> </w:t>
      </w:r>
      <w:r>
        <w:rPr>
          <w:color w:val="231F20"/>
          <w:spacing w:val="-3"/>
          <w:w w:val="105"/>
        </w:rPr>
        <w:t>comportamien- </w:t>
      </w:r>
      <w:r>
        <w:rPr>
          <w:color w:val="231F20"/>
          <w:w w:val="105"/>
        </w:rPr>
        <w:t>to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spacing w:val="-3"/>
          <w:w w:val="105"/>
        </w:rPr>
        <w:t>organizaciones,</w:t>
      </w:r>
      <w:r>
        <w:rPr>
          <w:color w:val="231F20"/>
          <w:spacing w:val="-23"/>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spacing w:val="-3"/>
          <w:w w:val="105"/>
        </w:rPr>
        <w:t>sectores</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interrelación</w:t>
      </w:r>
      <w:r>
        <w:rPr>
          <w:color w:val="231F20"/>
          <w:spacing w:val="-18"/>
          <w:w w:val="105"/>
        </w:rPr>
        <w:t> </w:t>
      </w:r>
      <w:r>
        <w:rPr>
          <w:color w:val="231F20"/>
          <w:spacing w:val="-3"/>
          <w:w w:val="105"/>
        </w:rPr>
        <w:t>entre</w:t>
      </w:r>
      <w:r>
        <w:rPr>
          <w:color w:val="231F20"/>
          <w:spacing w:val="-18"/>
          <w:w w:val="105"/>
        </w:rPr>
        <w:t> </w:t>
      </w:r>
      <w:r>
        <w:rPr>
          <w:color w:val="231F20"/>
          <w:spacing w:val="-3"/>
          <w:w w:val="105"/>
        </w:rPr>
        <w:t>unas</w:t>
      </w:r>
      <w:r>
        <w:rPr>
          <w:color w:val="231F20"/>
          <w:spacing w:val="-18"/>
          <w:w w:val="105"/>
        </w:rPr>
        <w:t> </w:t>
      </w:r>
      <w:r>
        <w:rPr>
          <w:color w:val="231F20"/>
          <w:w w:val="105"/>
        </w:rPr>
        <w:t>u </w:t>
      </w:r>
      <w:r>
        <w:rPr>
          <w:color w:val="231F20"/>
          <w:spacing w:val="-4"/>
          <w:w w:val="105"/>
        </w:rPr>
        <w:t>otros.</w:t>
      </w:r>
    </w:p>
    <w:p>
      <w:pPr>
        <w:spacing w:line="259" w:lineRule="auto" w:before="0"/>
        <w:ind w:left="117" w:right="101" w:firstLine="567"/>
        <w:jc w:val="both"/>
        <w:rPr>
          <w:sz w:val="21"/>
        </w:rPr>
      </w:pPr>
      <w:r>
        <w:rPr>
          <w:color w:val="231F20"/>
          <w:w w:val="105"/>
          <w:sz w:val="21"/>
        </w:rPr>
        <w:t>En</w:t>
      </w:r>
      <w:r>
        <w:rPr>
          <w:color w:val="231F20"/>
          <w:spacing w:val="-27"/>
          <w:w w:val="105"/>
          <w:sz w:val="21"/>
        </w:rPr>
        <w:t> </w:t>
      </w:r>
      <w:r>
        <w:rPr>
          <w:color w:val="231F20"/>
          <w:w w:val="105"/>
          <w:sz w:val="21"/>
        </w:rPr>
        <w:t>el</w:t>
      </w:r>
      <w:r>
        <w:rPr>
          <w:color w:val="231F20"/>
          <w:spacing w:val="-27"/>
          <w:w w:val="105"/>
          <w:sz w:val="21"/>
        </w:rPr>
        <w:t> </w:t>
      </w:r>
      <w:r>
        <w:rPr>
          <w:color w:val="231F20"/>
          <w:w w:val="105"/>
          <w:sz w:val="21"/>
        </w:rPr>
        <w:t>capítulo</w:t>
      </w:r>
      <w:r>
        <w:rPr>
          <w:color w:val="231F20"/>
          <w:spacing w:val="-27"/>
          <w:w w:val="105"/>
          <w:sz w:val="21"/>
        </w:rPr>
        <w:t> </w:t>
      </w:r>
      <w:r>
        <w:rPr>
          <w:color w:val="231F20"/>
          <w:w w:val="105"/>
          <w:sz w:val="21"/>
        </w:rPr>
        <w:t>I</w:t>
      </w:r>
      <w:r>
        <w:rPr>
          <w:color w:val="231F20"/>
          <w:spacing w:val="-27"/>
          <w:w w:val="105"/>
          <w:sz w:val="21"/>
        </w:rPr>
        <w:t> </w:t>
      </w:r>
      <w:r>
        <w:rPr>
          <w:i/>
          <w:color w:val="231F20"/>
          <w:w w:val="105"/>
          <w:sz w:val="21"/>
        </w:rPr>
        <w:t>La</w:t>
      </w:r>
      <w:r>
        <w:rPr>
          <w:i/>
          <w:color w:val="231F20"/>
          <w:spacing w:val="-27"/>
          <w:w w:val="105"/>
          <w:sz w:val="21"/>
        </w:rPr>
        <w:t> </w:t>
      </w:r>
      <w:r>
        <w:rPr>
          <w:i/>
          <w:color w:val="231F20"/>
          <w:w w:val="105"/>
          <w:sz w:val="21"/>
        </w:rPr>
        <w:t>sustentabilidad</w:t>
      </w:r>
      <w:r>
        <w:rPr>
          <w:i/>
          <w:color w:val="231F20"/>
          <w:spacing w:val="-27"/>
          <w:w w:val="105"/>
          <w:sz w:val="21"/>
        </w:rPr>
        <w:t> </w:t>
      </w:r>
      <w:r>
        <w:rPr>
          <w:i/>
          <w:color w:val="231F20"/>
          <w:w w:val="105"/>
          <w:sz w:val="21"/>
        </w:rPr>
        <w:t>organizacional</w:t>
      </w:r>
      <w:r>
        <w:rPr>
          <w:i/>
          <w:color w:val="231F20"/>
          <w:spacing w:val="-27"/>
          <w:w w:val="105"/>
          <w:sz w:val="21"/>
        </w:rPr>
        <w:t> </w:t>
      </w:r>
      <w:r>
        <w:rPr>
          <w:i/>
          <w:color w:val="231F20"/>
          <w:w w:val="105"/>
          <w:sz w:val="21"/>
        </w:rPr>
        <w:t>desde</w:t>
      </w:r>
      <w:r>
        <w:rPr>
          <w:i/>
          <w:color w:val="231F20"/>
          <w:spacing w:val="-27"/>
          <w:w w:val="105"/>
          <w:sz w:val="21"/>
        </w:rPr>
        <w:t> </w:t>
      </w:r>
      <w:r>
        <w:rPr>
          <w:i/>
          <w:color w:val="231F20"/>
          <w:w w:val="105"/>
          <w:sz w:val="21"/>
        </w:rPr>
        <w:t>la</w:t>
      </w:r>
      <w:r>
        <w:rPr>
          <w:i/>
          <w:color w:val="231F20"/>
          <w:spacing w:val="-27"/>
          <w:w w:val="105"/>
          <w:sz w:val="21"/>
        </w:rPr>
        <w:t> </w:t>
      </w:r>
      <w:r>
        <w:rPr>
          <w:i/>
          <w:color w:val="231F20"/>
          <w:w w:val="105"/>
          <w:sz w:val="21"/>
        </w:rPr>
        <w:t>teoría</w:t>
      </w:r>
      <w:r>
        <w:rPr>
          <w:i/>
          <w:color w:val="231F20"/>
          <w:spacing w:val="-27"/>
          <w:w w:val="105"/>
          <w:sz w:val="21"/>
        </w:rPr>
        <w:t> </w:t>
      </w:r>
      <w:r>
        <w:rPr>
          <w:i/>
          <w:color w:val="231F20"/>
          <w:w w:val="105"/>
          <w:sz w:val="21"/>
        </w:rPr>
        <w:t>de </w:t>
      </w:r>
      <w:r>
        <w:rPr>
          <w:i/>
          <w:color w:val="231F20"/>
          <w:w w:val="105"/>
          <w:sz w:val="21"/>
        </w:rPr>
        <w:t>la</w:t>
      </w:r>
      <w:r>
        <w:rPr>
          <w:i/>
          <w:color w:val="231F20"/>
          <w:spacing w:val="-8"/>
          <w:w w:val="105"/>
          <w:sz w:val="21"/>
        </w:rPr>
        <w:t> </w:t>
      </w:r>
      <w:r>
        <w:rPr>
          <w:i/>
          <w:color w:val="231F20"/>
          <w:w w:val="105"/>
          <w:sz w:val="21"/>
        </w:rPr>
        <w:t>dependencia</w:t>
      </w:r>
      <w:r>
        <w:rPr>
          <w:i/>
          <w:color w:val="231F20"/>
          <w:spacing w:val="-8"/>
          <w:w w:val="105"/>
          <w:sz w:val="21"/>
        </w:rPr>
        <w:t> </w:t>
      </w:r>
      <w:r>
        <w:rPr>
          <w:i/>
          <w:color w:val="231F20"/>
          <w:w w:val="105"/>
          <w:sz w:val="21"/>
        </w:rPr>
        <w:t>de</w:t>
      </w:r>
      <w:r>
        <w:rPr>
          <w:i/>
          <w:color w:val="231F20"/>
          <w:spacing w:val="-8"/>
          <w:w w:val="105"/>
          <w:sz w:val="21"/>
        </w:rPr>
        <w:t> </w:t>
      </w:r>
      <w:r>
        <w:rPr>
          <w:i/>
          <w:color w:val="231F20"/>
          <w:w w:val="105"/>
          <w:sz w:val="21"/>
        </w:rPr>
        <w:t>recursos</w:t>
      </w:r>
      <w:r>
        <w:rPr>
          <w:i/>
          <w:color w:val="231F20"/>
          <w:spacing w:val="-8"/>
          <w:w w:val="105"/>
          <w:sz w:val="21"/>
        </w:rPr>
        <w:t> </w:t>
      </w:r>
      <w:r>
        <w:rPr>
          <w:i/>
          <w:color w:val="231F20"/>
          <w:w w:val="105"/>
          <w:sz w:val="21"/>
        </w:rPr>
        <w:t>y</w:t>
      </w:r>
      <w:r>
        <w:rPr>
          <w:i/>
          <w:color w:val="231F20"/>
          <w:spacing w:val="-8"/>
          <w:w w:val="105"/>
          <w:sz w:val="21"/>
        </w:rPr>
        <w:t> </w:t>
      </w:r>
      <w:r>
        <w:rPr>
          <w:i/>
          <w:color w:val="231F20"/>
          <w:w w:val="105"/>
          <w:sz w:val="21"/>
        </w:rPr>
        <w:t>la</w:t>
      </w:r>
      <w:r>
        <w:rPr>
          <w:i/>
          <w:color w:val="231F20"/>
          <w:spacing w:val="-8"/>
          <w:w w:val="105"/>
          <w:sz w:val="21"/>
        </w:rPr>
        <w:t> </w:t>
      </w:r>
      <w:r>
        <w:rPr>
          <w:i/>
          <w:color w:val="231F20"/>
          <w:w w:val="105"/>
          <w:sz w:val="21"/>
        </w:rPr>
        <w:t>teoría</w:t>
      </w:r>
      <w:r>
        <w:rPr>
          <w:i/>
          <w:color w:val="231F20"/>
          <w:spacing w:val="-8"/>
          <w:w w:val="105"/>
          <w:sz w:val="21"/>
        </w:rPr>
        <w:t> </w:t>
      </w:r>
      <w:r>
        <w:rPr>
          <w:i/>
          <w:color w:val="231F20"/>
          <w:w w:val="105"/>
          <w:sz w:val="21"/>
        </w:rPr>
        <w:t>de</w:t>
      </w:r>
      <w:r>
        <w:rPr>
          <w:i/>
          <w:color w:val="231F20"/>
          <w:spacing w:val="-8"/>
          <w:w w:val="105"/>
          <w:sz w:val="21"/>
        </w:rPr>
        <w:t> </w:t>
      </w:r>
      <w:r>
        <w:rPr>
          <w:i/>
          <w:color w:val="231F20"/>
          <w:w w:val="105"/>
          <w:sz w:val="21"/>
        </w:rPr>
        <w:t>recursos</w:t>
      </w:r>
      <w:r>
        <w:rPr>
          <w:i/>
          <w:color w:val="231F20"/>
          <w:spacing w:val="-8"/>
          <w:w w:val="105"/>
          <w:sz w:val="21"/>
        </w:rPr>
        <w:t> </w:t>
      </w:r>
      <w:r>
        <w:rPr>
          <w:i/>
          <w:color w:val="231F20"/>
          <w:w w:val="105"/>
          <w:sz w:val="21"/>
        </w:rPr>
        <w:t>y</w:t>
      </w:r>
      <w:r>
        <w:rPr>
          <w:i/>
          <w:color w:val="231F20"/>
          <w:spacing w:val="-8"/>
          <w:w w:val="105"/>
          <w:sz w:val="21"/>
        </w:rPr>
        <w:t> </w:t>
      </w:r>
      <w:r>
        <w:rPr>
          <w:i/>
          <w:color w:val="231F20"/>
          <w:w w:val="105"/>
          <w:sz w:val="21"/>
        </w:rPr>
        <w:t>capacidades</w:t>
      </w:r>
      <w:r>
        <w:rPr>
          <w:color w:val="231F20"/>
          <w:w w:val="105"/>
          <w:sz w:val="21"/>
        </w:rPr>
        <w:t>,</w:t>
      </w:r>
      <w:r>
        <w:rPr>
          <w:color w:val="231F20"/>
          <w:spacing w:val="-13"/>
          <w:w w:val="105"/>
          <w:sz w:val="21"/>
        </w:rPr>
        <w:t> </w:t>
      </w:r>
      <w:r>
        <w:rPr>
          <w:color w:val="231F20"/>
          <w:w w:val="105"/>
          <w:sz w:val="21"/>
        </w:rPr>
        <w:t>Mer- cado,</w:t>
      </w:r>
      <w:r>
        <w:rPr>
          <w:color w:val="231F20"/>
          <w:spacing w:val="-31"/>
          <w:w w:val="105"/>
          <w:sz w:val="21"/>
        </w:rPr>
        <w:t> </w:t>
      </w:r>
      <w:r>
        <w:rPr>
          <w:color w:val="231F20"/>
          <w:w w:val="105"/>
          <w:sz w:val="21"/>
        </w:rPr>
        <w:t>García</w:t>
      </w:r>
      <w:r>
        <w:rPr>
          <w:color w:val="231F20"/>
          <w:spacing w:val="-26"/>
          <w:w w:val="105"/>
          <w:sz w:val="21"/>
        </w:rPr>
        <w:t> </w:t>
      </w:r>
      <w:r>
        <w:rPr>
          <w:color w:val="231F20"/>
          <w:w w:val="105"/>
          <w:sz w:val="21"/>
        </w:rPr>
        <w:t>y</w:t>
      </w:r>
      <w:r>
        <w:rPr>
          <w:color w:val="231F20"/>
          <w:spacing w:val="-28"/>
          <w:w w:val="105"/>
          <w:sz w:val="21"/>
        </w:rPr>
        <w:t> </w:t>
      </w:r>
      <w:r>
        <w:rPr>
          <w:color w:val="231F20"/>
          <w:w w:val="105"/>
          <w:sz w:val="21"/>
        </w:rPr>
        <w:t>Jiménez</w:t>
      </w:r>
      <w:r>
        <w:rPr>
          <w:color w:val="231F20"/>
          <w:spacing w:val="-26"/>
          <w:w w:val="105"/>
          <w:sz w:val="21"/>
        </w:rPr>
        <w:t> </w:t>
      </w:r>
      <w:r>
        <w:rPr>
          <w:color w:val="231F20"/>
          <w:w w:val="105"/>
          <w:sz w:val="21"/>
        </w:rPr>
        <w:t>revisan</w:t>
      </w:r>
      <w:r>
        <w:rPr>
          <w:color w:val="231F20"/>
          <w:spacing w:val="-26"/>
          <w:w w:val="105"/>
          <w:sz w:val="21"/>
        </w:rPr>
        <w:t> </w:t>
      </w:r>
      <w:r>
        <w:rPr>
          <w:color w:val="231F20"/>
          <w:w w:val="105"/>
          <w:sz w:val="21"/>
        </w:rPr>
        <w:t>y</w:t>
      </w:r>
      <w:r>
        <w:rPr>
          <w:color w:val="231F20"/>
          <w:spacing w:val="-26"/>
          <w:w w:val="105"/>
          <w:sz w:val="21"/>
        </w:rPr>
        <w:t> </w:t>
      </w:r>
      <w:r>
        <w:rPr>
          <w:color w:val="231F20"/>
          <w:w w:val="105"/>
          <w:sz w:val="21"/>
        </w:rPr>
        <w:t>contrastan</w:t>
      </w:r>
      <w:r>
        <w:rPr>
          <w:color w:val="231F20"/>
          <w:spacing w:val="-26"/>
          <w:w w:val="105"/>
          <w:sz w:val="21"/>
        </w:rPr>
        <w:t> </w:t>
      </w:r>
      <w:r>
        <w:rPr>
          <w:color w:val="231F20"/>
          <w:w w:val="105"/>
          <w:sz w:val="21"/>
        </w:rPr>
        <w:t>ambas</w:t>
      </w:r>
      <w:r>
        <w:rPr>
          <w:color w:val="231F20"/>
          <w:spacing w:val="-26"/>
          <w:w w:val="105"/>
          <w:sz w:val="21"/>
        </w:rPr>
        <w:t> </w:t>
      </w:r>
      <w:r>
        <w:rPr>
          <w:color w:val="231F20"/>
          <w:w w:val="105"/>
          <w:sz w:val="21"/>
        </w:rPr>
        <w:t>teorías</w:t>
      </w:r>
      <w:r>
        <w:rPr>
          <w:color w:val="231F20"/>
          <w:spacing w:val="-26"/>
          <w:w w:val="105"/>
          <w:sz w:val="21"/>
        </w:rPr>
        <w:t> </w:t>
      </w:r>
      <w:r>
        <w:rPr>
          <w:color w:val="231F20"/>
          <w:w w:val="105"/>
          <w:sz w:val="21"/>
        </w:rPr>
        <w:t>para</w:t>
      </w:r>
      <w:r>
        <w:rPr>
          <w:color w:val="231F20"/>
          <w:spacing w:val="-26"/>
          <w:w w:val="105"/>
          <w:sz w:val="21"/>
        </w:rPr>
        <w:t> </w:t>
      </w:r>
      <w:r>
        <w:rPr>
          <w:color w:val="231F20"/>
          <w:w w:val="105"/>
          <w:sz w:val="21"/>
        </w:rPr>
        <w:t>soportar un</w:t>
      </w:r>
      <w:r>
        <w:rPr>
          <w:color w:val="231F20"/>
          <w:spacing w:val="-22"/>
          <w:w w:val="105"/>
          <w:sz w:val="21"/>
        </w:rPr>
        <w:t> </w:t>
      </w:r>
      <w:r>
        <w:rPr>
          <w:color w:val="231F20"/>
          <w:w w:val="105"/>
          <w:sz w:val="21"/>
        </w:rPr>
        <w:t>modelo</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organización</w:t>
      </w:r>
      <w:r>
        <w:rPr>
          <w:color w:val="231F20"/>
          <w:spacing w:val="-22"/>
          <w:w w:val="105"/>
          <w:sz w:val="21"/>
        </w:rPr>
        <w:t> </w:t>
      </w:r>
      <w:r>
        <w:rPr>
          <w:color w:val="231F20"/>
          <w:w w:val="105"/>
          <w:sz w:val="21"/>
        </w:rPr>
        <w:t>sustentable,</w:t>
      </w:r>
      <w:r>
        <w:rPr>
          <w:color w:val="231F20"/>
          <w:spacing w:val="-27"/>
          <w:w w:val="105"/>
          <w:sz w:val="21"/>
        </w:rPr>
        <w:t> </w:t>
      </w:r>
      <w:r>
        <w:rPr>
          <w:color w:val="231F20"/>
          <w:w w:val="105"/>
          <w:sz w:val="21"/>
        </w:rPr>
        <w:t>ya</w:t>
      </w:r>
      <w:r>
        <w:rPr>
          <w:color w:val="231F20"/>
          <w:spacing w:val="-22"/>
          <w:w w:val="105"/>
          <w:sz w:val="21"/>
        </w:rPr>
        <w:t> </w:t>
      </w:r>
      <w:r>
        <w:rPr>
          <w:color w:val="231F20"/>
          <w:w w:val="105"/>
          <w:sz w:val="21"/>
        </w:rPr>
        <w:t>que</w:t>
      </w:r>
      <w:r>
        <w:rPr>
          <w:color w:val="231F20"/>
          <w:spacing w:val="-22"/>
          <w:w w:val="105"/>
          <w:sz w:val="21"/>
        </w:rPr>
        <w:t> </w:t>
      </w:r>
      <w:r>
        <w:rPr>
          <w:color w:val="231F20"/>
          <w:w w:val="105"/>
          <w:sz w:val="21"/>
        </w:rPr>
        <w:t>todas</w:t>
      </w:r>
      <w:r>
        <w:rPr>
          <w:color w:val="231F20"/>
          <w:spacing w:val="-22"/>
          <w:w w:val="105"/>
          <w:sz w:val="21"/>
        </w:rPr>
        <w:t> </w:t>
      </w:r>
      <w:r>
        <w:rPr>
          <w:color w:val="231F20"/>
          <w:w w:val="105"/>
          <w:sz w:val="21"/>
        </w:rPr>
        <w:t>las</w:t>
      </w:r>
      <w:r>
        <w:rPr>
          <w:color w:val="231F20"/>
          <w:spacing w:val="-22"/>
          <w:w w:val="105"/>
          <w:sz w:val="21"/>
        </w:rPr>
        <w:t> </w:t>
      </w:r>
      <w:r>
        <w:rPr>
          <w:color w:val="231F20"/>
          <w:w w:val="105"/>
          <w:sz w:val="21"/>
        </w:rPr>
        <w:t>organizaciones deben hacer frente a su dependencia con el exterior e incrementar su poder y control en el sector donde se desenvuelven, como alternativa para tener disponibles recursos valiosos y desarrollar capacidades</w:t>
      </w:r>
      <w:r>
        <w:rPr>
          <w:color w:val="231F20"/>
          <w:spacing w:val="-23"/>
          <w:w w:val="105"/>
          <w:sz w:val="21"/>
        </w:rPr>
        <w:t> </w:t>
      </w:r>
      <w:r>
        <w:rPr>
          <w:color w:val="231F20"/>
          <w:w w:val="105"/>
          <w:sz w:val="21"/>
        </w:rPr>
        <w:t>que les</w:t>
      </w:r>
      <w:r>
        <w:rPr>
          <w:color w:val="231F20"/>
          <w:spacing w:val="-18"/>
          <w:w w:val="105"/>
          <w:sz w:val="21"/>
        </w:rPr>
        <w:t> </w:t>
      </w:r>
      <w:r>
        <w:rPr>
          <w:color w:val="231F20"/>
          <w:w w:val="105"/>
          <w:sz w:val="21"/>
        </w:rPr>
        <w:t>permitan</w:t>
      </w:r>
      <w:r>
        <w:rPr>
          <w:color w:val="231F20"/>
          <w:spacing w:val="-18"/>
          <w:w w:val="105"/>
          <w:sz w:val="21"/>
        </w:rPr>
        <w:t> </w:t>
      </w:r>
      <w:r>
        <w:rPr>
          <w:color w:val="231F20"/>
          <w:w w:val="105"/>
          <w:sz w:val="21"/>
        </w:rPr>
        <w:t>construir</w:t>
      </w:r>
      <w:r>
        <w:rPr>
          <w:color w:val="231F20"/>
          <w:spacing w:val="-18"/>
          <w:w w:val="105"/>
          <w:sz w:val="21"/>
        </w:rPr>
        <w:t> </w:t>
      </w:r>
      <w:r>
        <w:rPr>
          <w:color w:val="231F20"/>
          <w:w w:val="105"/>
          <w:sz w:val="21"/>
        </w:rPr>
        <w:t>una</w:t>
      </w:r>
      <w:r>
        <w:rPr>
          <w:color w:val="231F20"/>
          <w:spacing w:val="-18"/>
          <w:w w:val="105"/>
          <w:sz w:val="21"/>
        </w:rPr>
        <w:t> </w:t>
      </w:r>
      <w:r>
        <w:rPr>
          <w:color w:val="231F20"/>
          <w:w w:val="105"/>
          <w:sz w:val="21"/>
        </w:rPr>
        <w:t>ventaja</w:t>
      </w:r>
      <w:r>
        <w:rPr>
          <w:color w:val="231F20"/>
          <w:spacing w:val="-18"/>
          <w:w w:val="105"/>
          <w:sz w:val="21"/>
        </w:rPr>
        <w:t> </w:t>
      </w:r>
      <w:r>
        <w:rPr>
          <w:color w:val="231F20"/>
          <w:w w:val="105"/>
          <w:sz w:val="21"/>
        </w:rPr>
        <w:t>competitiva.</w:t>
      </w:r>
    </w:p>
    <w:p>
      <w:pPr>
        <w:spacing w:line="259" w:lineRule="auto" w:before="0"/>
        <w:ind w:left="117" w:right="101" w:firstLine="567"/>
        <w:jc w:val="both"/>
        <w:rPr>
          <w:sz w:val="21"/>
        </w:rPr>
      </w:pPr>
      <w:r>
        <w:rPr>
          <w:color w:val="231F20"/>
          <w:w w:val="105"/>
          <w:sz w:val="21"/>
        </w:rPr>
        <w:t>En el capítulo II </w:t>
      </w:r>
      <w:r>
        <w:rPr>
          <w:i/>
          <w:color w:val="231F20"/>
          <w:w w:val="105"/>
          <w:sz w:val="21"/>
        </w:rPr>
        <w:t>Determinantes de la competitividad empresarial </w:t>
      </w:r>
      <w:r>
        <w:rPr>
          <w:i/>
          <w:color w:val="231F20"/>
          <w:w w:val="105"/>
          <w:sz w:val="21"/>
        </w:rPr>
        <w:t>desde el enfoque de la competitividad sistémica</w:t>
      </w:r>
      <w:r>
        <w:rPr>
          <w:color w:val="231F20"/>
          <w:w w:val="105"/>
          <w:sz w:val="21"/>
        </w:rPr>
        <w:t>, Demuner, Mercado y Nava identifican seis determinantes que impulsan la competitividad a nivel</w:t>
      </w:r>
      <w:r>
        <w:rPr>
          <w:color w:val="231F20"/>
          <w:spacing w:val="-13"/>
          <w:w w:val="105"/>
          <w:sz w:val="21"/>
        </w:rPr>
        <w:t> </w:t>
      </w:r>
      <w:r>
        <w:rPr>
          <w:color w:val="231F20"/>
          <w:w w:val="105"/>
          <w:sz w:val="21"/>
        </w:rPr>
        <w:t>empresarial:</w:t>
      </w:r>
      <w:r>
        <w:rPr>
          <w:color w:val="231F20"/>
          <w:spacing w:val="-13"/>
          <w:w w:val="105"/>
          <w:sz w:val="21"/>
        </w:rPr>
        <w:t> </w:t>
      </w:r>
      <w:r>
        <w:rPr>
          <w:color w:val="231F20"/>
          <w:w w:val="105"/>
          <w:sz w:val="21"/>
        </w:rPr>
        <w:t>tecnología</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estructura</w:t>
      </w:r>
      <w:r>
        <w:rPr>
          <w:color w:val="231F20"/>
          <w:spacing w:val="-13"/>
          <w:w w:val="105"/>
          <w:sz w:val="21"/>
        </w:rPr>
        <w:t> </w:t>
      </w:r>
      <w:r>
        <w:rPr>
          <w:color w:val="231F20"/>
          <w:w w:val="105"/>
          <w:sz w:val="21"/>
        </w:rPr>
        <w:t>productiva,</w:t>
      </w:r>
      <w:r>
        <w:rPr>
          <w:color w:val="231F20"/>
          <w:spacing w:val="-19"/>
          <w:w w:val="105"/>
          <w:sz w:val="21"/>
        </w:rPr>
        <w:t> </w:t>
      </w:r>
      <w:r>
        <w:rPr>
          <w:color w:val="231F20"/>
          <w:w w:val="105"/>
          <w:sz w:val="21"/>
        </w:rPr>
        <w:t>sistema</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ad- ministración, mercado, gestión de calidad, gestión financiera y sistema de</w:t>
      </w:r>
      <w:r>
        <w:rPr>
          <w:color w:val="231F20"/>
          <w:spacing w:val="-29"/>
          <w:w w:val="105"/>
          <w:sz w:val="21"/>
        </w:rPr>
        <w:t> </w:t>
      </w:r>
      <w:r>
        <w:rPr>
          <w:color w:val="231F20"/>
          <w:w w:val="105"/>
          <w:sz w:val="21"/>
        </w:rPr>
        <w:t>información.</w:t>
      </w:r>
      <w:r>
        <w:rPr>
          <w:color w:val="231F20"/>
          <w:spacing w:val="-33"/>
          <w:w w:val="105"/>
          <w:sz w:val="21"/>
        </w:rPr>
        <w:t> </w:t>
      </w:r>
      <w:r>
        <w:rPr>
          <w:color w:val="231F20"/>
          <w:spacing w:val="-6"/>
          <w:w w:val="105"/>
          <w:sz w:val="21"/>
        </w:rPr>
        <w:t>Por</w:t>
      </w:r>
      <w:r>
        <w:rPr>
          <w:color w:val="231F20"/>
          <w:spacing w:val="-29"/>
          <w:w w:val="105"/>
          <w:sz w:val="21"/>
        </w:rPr>
        <w:t> </w:t>
      </w:r>
      <w:r>
        <w:rPr>
          <w:color w:val="231F20"/>
          <w:w w:val="105"/>
          <w:sz w:val="21"/>
        </w:rPr>
        <w:t>su</w:t>
      </w:r>
      <w:r>
        <w:rPr>
          <w:color w:val="231F20"/>
          <w:spacing w:val="-29"/>
          <w:w w:val="105"/>
          <w:sz w:val="21"/>
        </w:rPr>
        <w:t> </w:t>
      </w:r>
      <w:r>
        <w:rPr>
          <w:color w:val="231F20"/>
          <w:w w:val="105"/>
          <w:sz w:val="21"/>
        </w:rPr>
        <w:t>parte,</w:t>
      </w:r>
      <w:r>
        <w:rPr>
          <w:color w:val="231F20"/>
          <w:spacing w:val="-33"/>
          <w:w w:val="105"/>
          <w:sz w:val="21"/>
        </w:rPr>
        <w:t> </w:t>
      </w:r>
      <w:r>
        <w:rPr>
          <w:color w:val="231F20"/>
          <w:w w:val="105"/>
          <w:sz w:val="21"/>
        </w:rPr>
        <w:t>Gómez</w:t>
      </w:r>
      <w:r>
        <w:rPr>
          <w:color w:val="231F20"/>
          <w:spacing w:val="-29"/>
          <w:w w:val="105"/>
          <w:sz w:val="21"/>
        </w:rPr>
        <w:t> </w:t>
      </w:r>
      <w:r>
        <w:rPr>
          <w:color w:val="231F20"/>
          <w:w w:val="105"/>
          <w:sz w:val="21"/>
        </w:rPr>
        <w:t>y</w:t>
      </w:r>
      <w:r>
        <w:rPr>
          <w:color w:val="231F20"/>
          <w:spacing w:val="-29"/>
          <w:w w:val="105"/>
          <w:sz w:val="21"/>
        </w:rPr>
        <w:t> </w:t>
      </w:r>
      <w:r>
        <w:rPr>
          <w:color w:val="231F20"/>
          <w:w w:val="105"/>
          <w:sz w:val="21"/>
        </w:rPr>
        <w:t>Rosales,</w:t>
      </w:r>
      <w:r>
        <w:rPr>
          <w:color w:val="231F20"/>
          <w:spacing w:val="-33"/>
          <w:w w:val="105"/>
          <w:sz w:val="21"/>
        </w:rPr>
        <w:t> </w:t>
      </w:r>
      <w:r>
        <w:rPr>
          <w:color w:val="231F20"/>
          <w:w w:val="105"/>
          <w:sz w:val="21"/>
        </w:rPr>
        <w:t>en</w:t>
      </w:r>
      <w:r>
        <w:rPr>
          <w:color w:val="231F20"/>
          <w:spacing w:val="-29"/>
          <w:w w:val="105"/>
          <w:sz w:val="21"/>
        </w:rPr>
        <w:t> </w:t>
      </w:r>
      <w:r>
        <w:rPr>
          <w:color w:val="231F20"/>
          <w:w w:val="105"/>
          <w:sz w:val="21"/>
        </w:rPr>
        <w:t>el</w:t>
      </w:r>
      <w:r>
        <w:rPr>
          <w:color w:val="231F20"/>
          <w:spacing w:val="-29"/>
          <w:w w:val="105"/>
          <w:sz w:val="21"/>
        </w:rPr>
        <w:t> </w:t>
      </w:r>
      <w:r>
        <w:rPr>
          <w:color w:val="231F20"/>
          <w:w w:val="105"/>
          <w:sz w:val="21"/>
        </w:rPr>
        <w:t>Capítulo</w:t>
      </w:r>
      <w:r>
        <w:rPr>
          <w:color w:val="231F20"/>
          <w:spacing w:val="-29"/>
          <w:w w:val="105"/>
          <w:sz w:val="21"/>
        </w:rPr>
        <w:t> </w:t>
      </w:r>
      <w:r>
        <w:rPr>
          <w:color w:val="231F20"/>
          <w:w w:val="105"/>
          <w:sz w:val="21"/>
        </w:rPr>
        <w:t>III</w:t>
      </w:r>
      <w:r>
        <w:rPr>
          <w:color w:val="231F20"/>
          <w:spacing w:val="-29"/>
          <w:w w:val="105"/>
          <w:sz w:val="21"/>
        </w:rPr>
        <w:t> </w:t>
      </w:r>
      <w:r>
        <w:rPr>
          <w:i/>
          <w:color w:val="231F20"/>
          <w:w w:val="105"/>
          <w:sz w:val="21"/>
        </w:rPr>
        <w:t>El</w:t>
      </w:r>
      <w:r>
        <w:rPr>
          <w:i/>
          <w:color w:val="231F20"/>
          <w:spacing w:val="-29"/>
          <w:w w:val="105"/>
          <w:sz w:val="21"/>
        </w:rPr>
        <w:t> </w:t>
      </w:r>
      <w:r>
        <w:rPr>
          <w:i/>
          <w:color w:val="231F20"/>
          <w:w w:val="105"/>
          <w:sz w:val="21"/>
        </w:rPr>
        <w:t>apren- </w:t>
      </w:r>
      <w:r>
        <w:rPr>
          <w:i/>
          <w:color w:val="231F20"/>
          <w:w w:val="105"/>
          <w:sz w:val="21"/>
        </w:rPr>
        <w:t>dizaje</w:t>
      </w:r>
      <w:r>
        <w:rPr>
          <w:i/>
          <w:color w:val="231F20"/>
          <w:spacing w:val="-14"/>
          <w:w w:val="105"/>
          <w:sz w:val="21"/>
        </w:rPr>
        <w:t> </w:t>
      </w:r>
      <w:r>
        <w:rPr>
          <w:i/>
          <w:color w:val="231F20"/>
          <w:w w:val="105"/>
          <w:sz w:val="21"/>
        </w:rPr>
        <w:t>organizacional</w:t>
      </w:r>
      <w:r>
        <w:rPr>
          <w:i/>
          <w:color w:val="231F20"/>
          <w:spacing w:val="-14"/>
          <w:w w:val="105"/>
          <w:sz w:val="21"/>
        </w:rPr>
        <w:t> </w:t>
      </w:r>
      <w:r>
        <w:rPr>
          <w:i/>
          <w:color w:val="231F20"/>
          <w:w w:val="105"/>
          <w:sz w:val="21"/>
        </w:rPr>
        <w:t>en</w:t>
      </w:r>
      <w:r>
        <w:rPr>
          <w:i/>
          <w:color w:val="231F20"/>
          <w:spacing w:val="-14"/>
          <w:w w:val="105"/>
          <w:sz w:val="21"/>
        </w:rPr>
        <w:t> </w:t>
      </w:r>
      <w:r>
        <w:rPr>
          <w:i/>
          <w:color w:val="231F20"/>
          <w:w w:val="105"/>
          <w:sz w:val="21"/>
        </w:rPr>
        <w:t>la</w:t>
      </w:r>
      <w:r>
        <w:rPr>
          <w:i/>
          <w:color w:val="231F20"/>
          <w:spacing w:val="-14"/>
          <w:w w:val="105"/>
          <w:sz w:val="21"/>
        </w:rPr>
        <w:t> </w:t>
      </w:r>
      <w:r>
        <w:rPr>
          <w:i/>
          <w:color w:val="231F20"/>
          <w:w w:val="105"/>
          <w:sz w:val="21"/>
        </w:rPr>
        <w:t>competitividad</w:t>
      </w:r>
      <w:r>
        <w:rPr>
          <w:i/>
          <w:color w:val="231F20"/>
          <w:spacing w:val="-14"/>
          <w:w w:val="105"/>
          <w:sz w:val="21"/>
        </w:rPr>
        <w:t> </w:t>
      </w:r>
      <w:r>
        <w:rPr>
          <w:i/>
          <w:color w:val="231F20"/>
          <w:w w:val="105"/>
          <w:sz w:val="21"/>
        </w:rPr>
        <w:t>municipal,</w:t>
      </w:r>
      <w:r>
        <w:rPr>
          <w:i/>
          <w:color w:val="231F20"/>
          <w:spacing w:val="-14"/>
          <w:w w:val="105"/>
          <w:sz w:val="21"/>
        </w:rPr>
        <w:t> </w:t>
      </w:r>
      <w:r>
        <w:rPr>
          <w:color w:val="231F20"/>
          <w:w w:val="105"/>
          <w:sz w:val="21"/>
        </w:rPr>
        <w:t>argumentan</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el impulso</w:t>
      </w:r>
      <w:r>
        <w:rPr>
          <w:color w:val="231F20"/>
          <w:spacing w:val="-14"/>
          <w:w w:val="105"/>
          <w:sz w:val="21"/>
        </w:rPr>
        <w:t> </w:t>
      </w:r>
      <w:r>
        <w:rPr>
          <w:color w:val="231F20"/>
          <w:w w:val="105"/>
          <w:sz w:val="21"/>
        </w:rPr>
        <w:t>al</w:t>
      </w:r>
      <w:r>
        <w:rPr>
          <w:color w:val="231F20"/>
          <w:spacing w:val="-14"/>
          <w:w w:val="105"/>
          <w:sz w:val="21"/>
        </w:rPr>
        <w:t> </w:t>
      </w:r>
      <w:r>
        <w:rPr>
          <w:color w:val="231F20"/>
          <w:w w:val="105"/>
          <w:sz w:val="21"/>
        </w:rPr>
        <w:t>crecimiento</w:t>
      </w:r>
      <w:r>
        <w:rPr>
          <w:color w:val="231F20"/>
          <w:spacing w:val="-14"/>
          <w:w w:val="105"/>
          <w:sz w:val="21"/>
        </w:rPr>
        <w:t> </w:t>
      </w:r>
      <w:r>
        <w:rPr>
          <w:color w:val="231F20"/>
          <w:w w:val="105"/>
          <w:sz w:val="21"/>
        </w:rPr>
        <w:t>y</w:t>
      </w:r>
      <w:r>
        <w:rPr>
          <w:color w:val="231F20"/>
          <w:spacing w:val="-14"/>
          <w:w w:val="105"/>
          <w:sz w:val="21"/>
        </w:rPr>
        <w:t> </w:t>
      </w:r>
      <w:r>
        <w:rPr>
          <w:color w:val="231F20"/>
          <w:w w:val="105"/>
          <w:sz w:val="21"/>
        </w:rPr>
        <w:t>desarrollo</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los</w:t>
      </w:r>
      <w:r>
        <w:rPr>
          <w:color w:val="231F20"/>
          <w:spacing w:val="-14"/>
          <w:w w:val="105"/>
          <w:sz w:val="21"/>
        </w:rPr>
        <w:t> </w:t>
      </w:r>
      <w:r>
        <w:rPr>
          <w:color w:val="231F20"/>
          <w:w w:val="105"/>
          <w:sz w:val="21"/>
        </w:rPr>
        <w:t>municipios</w:t>
      </w:r>
      <w:r>
        <w:rPr>
          <w:color w:val="231F20"/>
          <w:spacing w:val="-14"/>
          <w:w w:val="105"/>
          <w:sz w:val="21"/>
        </w:rPr>
        <w:t> </w:t>
      </w:r>
      <w:r>
        <w:rPr>
          <w:color w:val="231F20"/>
          <w:w w:val="105"/>
          <w:sz w:val="21"/>
        </w:rPr>
        <w:t>del</w:t>
      </w:r>
      <w:r>
        <w:rPr>
          <w:color w:val="231F20"/>
          <w:spacing w:val="-14"/>
          <w:w w:val="105"/>
          <w:sz w:val="21"/>
        </w:rPr>
        <w:t> </w:t>
      </w:r>
      <w:r>
        <w:rPr>
          <w:color w:val="231F20"/>
          <w:w w:val="105"/>
          <w:sz w:val="21"/>
        </w:rPr>
        <w:t>país</w:t>
      </w:r>
      <w:r>
        <w:rPr>
          <w:color w:val="231F20"/>
          <w:spacing w:val="-14"/>
          <w:w w:val="105"/>
          <w:sz w:val="21"/>
        </w:rPr>
        <w:t> </w:t>
      </w:r>
      <w:r>
        <w:rPr>
          <w:color w:val="231F20"/>
          <w:w w:val="105"/>
          <w:sz w:val="21"/>
        </w:rPr>
        <w:t>es</w:t>
      </w:r>
      <w:r>
        <w:rPr>
          <w:color w:val="231F20"/>
          <w:spacing w:val="-14"/>
          <w:w w:val="105"/>
          <w:sz w:val="21"/>
        </w:rPr>
        <w:t> </w:t>
      </w:r>
      <w:r>
        <w:rPr>
          <w:color w:val="231F20"/>
          <w:w w:val="105"/>
          <w:sz w:val="21"/>
        </w:rPr>
        <w:t>una</w:t>
      </w:r>
      <w:r>
        <w:rPr>
          <w:color w:val="231F20"/>
          <w:spacing w:val="-14"/>
          <w:w w:val="105"/>
          <w:sz w:val="21"/>
        </w:rPr>
        <w:t> </w:t>
      </w:r>
      <w:r>
        <w:rPr>
          <w:color w:val="231F20"/>
          <w:w w:val="105"/>
          <w:sz w:val="21"/>
        </w:rPr>
        <w:t>ne- cesidad</w:t>
      </w:r>
      <w:r>
        <w:rPr>
          <w:color w:val="231F20"/>
          <w:spacing w:val="-23"/>
          <w:w w:val="105"/>
          <w:sz w:val="21"/>
        </w:rPr>
        <w:t> </w:t>
      </w:r>
      <w:r>
        <w:rPr>
          <w:color w:val="231F20"/>
          <w:w w:val="105"/>
          <w:sz w:val="21"/>
        </w:rPr>
        <w:t>impostergable,</w:t>
      </w:r>
      <w:r>
        <w:rPr>
          <w:color w:val="231F20"/>
          <w:spacing w:val="-28"/>
          <w:w w:val="105"/>
          <w:sz w:val="21"/>
        </w:rPr>
        <w:t> </w:t>
      </w:r>
      <w:r>
        <w:rPr>
          <w:color w:val="231F20"/>
          <w:w w:val="105"/>
          <w:sz w:val="21"/>
        </w:rPr>
        <w:t>puesto</w:t>
      </w:r>
      <w:r>
        <w:rPr>
          <w:color w:val="231F20"/>
          <w:spacing w:val="-23"/>
          <w:w w:val="105"/>
          <w:sz w:val="21"/>
        </w:rPr>
        <w:t> </w:t>
      </w:r>
      <w:r>
        <w:rPr>
          <w:color w:val="231F20"/>
          <w:w w:val="105"/>
          <w:sz w:val="21"/>
        </w:rPr>
        <w:t>que</w:t>
      </w:r>
      <w:r>
        <w:rPr>
          <w:color w:val="231F20"/>
          <w:spacing w:val="-23"/>
          <w:w w:val="105"/>
          <w:sz w:val="21"/>
        </w:rPr>
        <w:t> </w:t>
      </w:r>
      <w:r>
        <w:rPr>
          <w:color w:val="231F20"/>
          <w:w w:val="105"/>
          <w:sz w:val="21"/>
        </w:rPr>
        <w:t>en</w:t>
      </w:r>
      <w:r>
        <w:rPr>
          <w:color w:val="231F20"/>
          <w:spacing w:val="-23"/>
          <w:w w:val="105"/>
          <w:sz w:val="21"/>
        </w:rPr>
        <w:t> </w:t>
      </w:r>
      <w:r>
        <w:rPr>
          <w:color w:val="231F20"/>
          <w:w w:val="105"/>
          <w:sz w:val="21"/>
        </w:rPr>
        <w:t>este</w:t>
      </w:r>
      <w:r>
        <w:rPr>
          <w:color w:val="231F20"/>
          <w:spacing w:val="-23"/>
          <w:w w:val="105"/>
          <w:sz w:val="21"/>
        </w:rPr>
        <w:t> </w:t>
      </w:r>
      <w:r>
        <w:rPr>
          <w:color w:val="231F20"/>
          <w:w w:val="105"/>
          <w:sz w:val="21"/>
        </w:rPr>
        <w:t>espacio</w:t>
      </w:r>
      <w:r>
        <w:rPr>
          <w:color w:val="231F20"/>
          <w:spacing w:val="-23"/>
          <w:w w:val="105"/>
          <w:sz w:val="21"/>
        </w:rPr>
        <w:t> </w:t>
      </w:r>
      <w:r>
        <w:rPr>
          <w:color w:val="231F20"/>
          <w:w w:val="105"/>
          <w:sz w:val="21"/>
        </w:rPr>
        <w:t>se</w:t>
      </w:r>
      <w:r>
        <w:rPr>
          <w:color w:val="231F20"/>
          <w:spacing w:val="-23"/>
          <w:w w:val="105"/>
          <w:sz w:val="21"/>
        </w:rPr>
        <w:t> </w:t>
      </w:r>
      <w:r>
        <w:rPr>
          <w:color w:val="231F20"/>
          <w:w w:val="105"/>
          <w:sz w:val="21"/>
        </w:rPr>
        <w:t>generan</w:t>
      </w:r>
      <w:r>
        <w:rPr>
          <w:color w:val="231F20"/>
          <w:spacing w:val="-23"/>
          <w:w w:val="105"/>
          <w:sz w:val="21"/>
        </w:rPr>
        <w:t> </w:t>
      </w:r>
      <w:r>
        <w:rPr>
          <w:color w:val="231F20"/>
          <w:w w:val="105"/>
          <w:sz w:val="21"/>
        </w:rPr>
        <w:t>acciones que</w:t>
      </w:r>
      <w:r>
        <w:rPr>
          <w:color w:val="231F20"/>
          <w:spacing w:val="-8"/>
          <w:w w:val="105"/>
          <w:sz w:val="21"/>
        </w:rPr>
        <w:t> </w:t>
      </w:r>
      <w:r>
        <w:rPr>
          <w:color w:val="231F20"/>
          <w:w w:val="105"/>
          <w:sz w:val="21"/>
        </w:rPr>
        <w:t>inciden</w:t>
      </w:r>
      <w:r>
        <w:rPr>
          <w:color w:val="231F20"/>
          <w:spacing w:val="-8"/>
          <w:w w:val="105"/>
          <w:sz w:val="21"/>
        </w:rPr>
        <w:t> </w:t>
      </w:r>
      <w:r>
        <w:rPr>
          <w:color w:val="231F20"/>
          <w:w w:val="105"/>
          <w:sz w:val="21"/>
        </w:rPr>
        <w:t>en</w:t>
      </w:r>
      <w:r>
        <w:rPr>
          <w:color w:val="231F20"/>
          <w:spacing w:val="-8"/>
          <w:w w:val="105"/>
          <w:sz w:val="21"/>
        </w:rPr>
        <w:t> </w:t>
      </w:r>
      <w:r>
        <w:rPr>
          <w:color w:val="231F20"/>
          <w:w w:val="105"/>
          <w:sz w:val="21"/>
        </w:rPr>
        <w:t>la</w:t>
      </w:r>
      <w:r>
        <w:rPr>
          <w:color w:val="231F20"/>
          <w:spacing w:val="-8"/>
          <w:w w:val="105"/>
          <w:sz w:val="21"/>
        </w:rPr>
        <w:t> </w:t>
      </w:r>
      <w:r>
        <w:rPr>
          <w:color w:val="231F20"/>
          <w:w w:val="105"/>
          <w:sz w:val="21"/>
        </w:rPr>
        <w:t>calidad</w:t>
      </w:r>
      <w:r>
        <w:rPr>
          <w:color w:val="231F20"/>
          <w:spacing w:val="-8"/>
          <w:w w:val="105"/>
          <w:sz w:val="21"/>
        </w:rPr>
        <w:t> </w:t>
      </w:r>
      <w:r>
        <w:rPr>
          <w:color w:val="231F20"/>
          <w:w w:val="105"/>
          <w:sz w:val="21"/>
        </w:rPr>
        <w:t>de</w:t>
      </w:r>
      <w:r>
        <w:rPr>
          <w:color w:val="231F20"/>
          <w:spacing w:val="-8"/>
          <w:w w:val="105"/>
          <w:sz w:val="21"/>
        </w:rPr>
        <w:t> </w:t>
      </w:r>
      <w:r>
        <w:rPr>
          <w:color w:val="231F20"/>
          <w:w w:val="105"/>
          <w:sz w:val="21"/>
        </w:rPr>
        <w:t>vida.</w:t>
      </w:r>
    </w:p>
    <w:p>
      <w:pPr>
        <w:pStyle w:val="BodyText"/>
        <w:spacing w:line="259" w:lineRule="auto"/>
        <w:ind w:left="117" w:right="101" w:firstLine="567"/>
        <w:jc w:val="both"/>
      </w:pP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Capítulo</w:t>
      </w:r>
      <w:r>
        <w:rPr>
          <w:color w:val="231F20"/>
          <w:spacing w:val="-26"/>
          <w:w w:val="105"/>
        </w:rPr>
        <w:t> </w:t>
      </w:r>
      <w:r>
        <w:rPr>
          <w:color w:val="231F20"/>
          <w:w w:val="105"/>
        </w:rPr>
        <w:t>IV</w:t>
      </w:r>
      <w:r>
        <w:rPr>
          <w:color w:val="231F20"/>
          <w:spacing w:val="-29"/>
          <w:w w:val="105"/>
        </w:rPr>
        <w:t> </w:t>
      </w:r>
      <w:r>
        <w:rPr>
          <w:i/>
          <w:color w:val="231F20"/>
          <w:w w:val="105"/>
        </w:rPr>
        <w:t>Desempeño</w:t>
      </w:r>
      <w:r>
        <w:rPr>
          <w:i/>
          <w:color w:val="231F20"/>
          <w:spacing w:val="-26"/>
          <w:w w:val="105"/>
        </w:rPr>
        <w:t> </w:t>
      </w:r>
      <w:r>
        <w:rPr>
          <w:i/>
          <w:color w:val="231F20"/>
          <w:w w:val="105"/>
        </w:rPr>
        <w:t>organizacional</w:t>
      </w:r>
      <w:r>
        <w:rPr>
          <w:i/>
          <w:color w:val="231F20"/>
          <w:spacing w:val="-26"/>
          <w:w w:val="105"/>
        </w:rPr>
        <w:t> </w:t>
      </w:r>
      <w:r>
        <w:rPr>
          <w:i/>
          <w:color w:val="231F20"/>
          <w:w w:val="105"/>
        </w:rPr>
        <w:t>y</w:t>
      </w:r>
      <w:r>
        <w:rPr>
          <w:i/>
          <w:color w:val="231F20"/>
          <w:spacing w:val="-26"/>
          <w:w w:val="105"/>
        </w:rPr>
        <w:t> </w:t>
      </w:r>
      <w:r>
        <w:rPr>
          <w:i/>
          <w:color w:val="231F20"/>
          <w:w w:val="105"/>
        </w:rPr>
        <w:t>excelencia</w:t>
      </w:r>
      <w:r>
        <w:rPr>
          <w:i/>
          <w:color w:val="231F20"/>
          <w:spacing w:val="-26"/>
          <w:w w:val="105"/>
        </w:rPr>
        <w:t> </w:t>
      </w:r>
      <w:r>
        <w:rPr>
          <w:i/>
          <w:color w:val="231F20"/>
          <w:w w:val="105"/>
        </w:rPr>
        <w:t>adminis- </w:t>
      </w:r>
      <w:r>
        <w:rPr>
          <w:i/>
          <w:color w:val="231F20"/>
          <w:w w:val="105"/>
        </w:rPr>
        <w:t>trativa</w:t>
      </w:r>
      <w:r>
        <w:rPr>
          <w:i/>
          <w:color w:val="231F20"/>
          <w:spacing w:val="-16"/>
          <w:w w:val="105"/>
        </w:rPr>
        <w:t> </w:t>
      </w:r>
      <w:r>
        <w:rPr>
          <w:i/>
          <w:color w:val="231F20"/>
          <w:w w:val="105"/>
        </w:rPr>
        <w:t>en</w:t>
      </w:r>
      <w:r>
        <w:rPr>
          <w:i/>
          <w:color w:val="231F20"/>
          <w:spacing w:val="-16"/>
          <w:w w:val="105"/>
        </w:rPr>
        <w:t> </w:t>
      </w:r>
      <w:r>
        <w:rPr>
          <w:i/>
          <w:color w:val="231F20"/>
          <w:w w:val="105"/>
        </w:rPr>
        <w:t>universidades,</w:t>
      </w:r>
      <w:r>
        <w:rPr>
          <w:i/>
          <w:color w:val="231F20"/>
          <w:spacing w:val="-21"/>
          <w:w w:val="105"/>
        </w:rPr>
        <w:t> </w:t>
      </w:r>
      <w:r>
        <w:rPr>
          <w:color w:val="231F20"/>
          <w:w w:val="105"/>
        </w:rPr>
        <w:t>Machorro,</w:t>
      </w:r>
      <w:r>
        <w:rPr>
          <w:color w:val="231F20"/>
          <w:spacing w:val="-21"/>
          <w:w w:val="105"/>
        </w:rPr>
        <w:t> </w:t>
      </w:r>
      <w:r>
        <w:rPr>
          <w:color w:val="231F20"/>
          <w:w w:val="105"/>
        </w:rPr>
        <w:t>Mercado</w:t>
      </w:r>
      <w:r>
        <w:rPr>
          <w:color w:val="231F20"/>
          <w:spacing w:val="-16"/>
          <w:w w:val="105"/>
        </w:rPr>
        <w:t> </w:t>
      </w:r>
      <w:r>
        <w:rPr>
          <w:color w:val="231F20"/>
          <w:w w:val="105"/>
        </w:rPr>
        <w:t>y</w:t>
      </w:r>
      <w:r>
        <w:rPr>
          <w:color w:val="231F20"/>
          <w:spacing w:val="-16"/>
          <w:w w:val="105"/>
        </w:rPr>
        <w:t> </w:t>
      </w:r>
      <w:r>
        <w:rPr>
          <w:color w:val="231F20"/>
          <w:w w:val="105"/>
        </w:rPr>
        <w:t>Romero</w:t>
      </w:r>
      <w:r>
        <w:rPr>
          <w:color w:val="231F20"/>
          <w:spacing w:val="-16"/>
          <w:w w:val="105"/>
        </w:rPr>
        <w:t> </w:t>
      </w:r>
      <w:r>
        <w:rPr>
          <w:color w:val="231F20"/>
          <w:w w:val="105"/>
        </w:rPr>
        <w:t>explican</w:t>
      </w:r>
      <w:r>
        <w:rPr>
          <w:color w:val="231F20"/>
          <w:spacing w:val="-16"/>
          <w:w w:val="105"/>
        </w:rPr>
        <w:t> </w:t>
      </w:r>
      <w:r>
        <w:rPr>
          <w:color w:val="231F20"/>
          <w:w w:val="105"/>
        </w:rPr>
        <w:t>por</w:t>
      </w:r>
      <w:r>
        <w:rPr>
          <w:color w:val="231F20"/>
          <w:spacing w:val="-16"/>
          <w:w w:val="105"/>
        </w:rPr>
        <w:t> </w:t>
      </w:r>
      <w:r>
        <w:rPr>
          <w:color w:val="231F20"/>
          <w:w w:val="105"/>
        </w:rPr>
        <w:t>qué y</w:t>
      </w:r>
      <w:r>
        <w:rPr>
          <w:color w:val="231F20"/>
          <w:spacing w:val="-10"/>
          <w:w w:val="105"/>
        </w:rPr>
        <w:t> </w:t>
      </w:r>
      <w:r>
        <w:rPr>
          <w:color w:val="231F20"/>
          <w:w w:val="105"/>
        </w:rPr>
        <w:t>cómo</w:t>
      </w:r>
      <w:r>
        <w:rPr>
          <w:color w:val="231F20"/>
          <w:spacing w:val="-10"/>
          <w:w w:val="105"/>
        </w:rPr>
        <w:t> </w:t>
      </w:r>
      <w:r>
        <w:rPr>
          <w:color w:val="231F20"/>
          <w:w w:val="105"/>
        </w:rPr>
        <w:t>la</w:t>
      </w:r>
      <w:r>
        <w:rPr>
          <w:color w:val="231F20"/>
          <w:spacing w:val="-10"/>
          <w:w w:val="105"/>
        </w:rPr>
        <w:t> </w:t>
      </w:r>
      <w:r>
        <w:rPr>
          <w:color w:val="231F20"/>
          <w:w w:val="105"/>
        </w:rPr>
        <w:t>evaluación</w:t>
      </w:r>
      <w:r>
        <w:rPr>
          <w:color w:val="231F20"/>
          <w:spacing w:val="-10"/>
          <w:w w:val="105"/>
        </w:rPr>
        <w:t> </w:t>
      </w:r>
      <w:r>
        <w:rPr>
          <w:color w:val="231F20"/>
          <w:w w:val="105"/>
        </w:rPr>
        <w:t>del</w:t>
      </w:r>
      <w:r>
        <w:rPr>
          <w:color w:val="231F20"/>
          <w:spacing w:val="-10"/>
          <w:w w:val="105"/>
        </w:rPr>
        <w:t> </w:t>
      </w:r>
      <w:r>
        <w:rPr>
          <w:color w:val="231F20"/>
          <w:w w:val="105"/>
        </w:rPr>
        <w:t>desempeño</w:t>
      </w:r>
      <w:r>
        <w:rPr>
          <w:color w:val="231F20"/>
          <w:spacing w:val="-10"/>
          <w:w w:val="105"/>
        </w:rPr>
        <w:t> </w:t>
      </w:r>
      <w:r>
        <w:rPr>
          <w:color w:val="231F20"/>
          <w:w w:val="105"/>
        </w:rPr>
        <w:t>organizacional</w:t>
      </w:r>
      <w:r>
        <w:rPr>
          <w:color w:val="231F20"/>
          <w:spacing w:val="-10"/>
          <w:w w:val="105"/>
        </w:rPr>
        <w:t> </w:t>
      </w:r>
      <w:r>
        <w:rPr>
          <w:color w:val="231F20"/>
          <w:w w:val="105"/>
        </w:rPr>
        <w:t>favorece</w:t>
      </w:r>
      <w:r>
        <w:rPr>
          <w:color w:val="231F20"/>
          <w:spacing w:val="-10"/>
          <w:w w:val="105"/>
        </w:rPr>
        <w:t> </w:t>
      </w:r>
      <w:r>
        <w:rPr>
          <w:color w:val="231F20"/>
          <w:w w:val="105"/>
        </w:rPr>
        <w:t>la</w:t>
      </w:r>
      <w:r>
        <w:rPr>
          <w:color w:val="231F20"/>
          <w:spacing w:val="-10"/>
          <w:w w:val="105"/>
        </w:rPr>
        <w:t> </w:t>
      </w:r>
      <w:r>
        <w:rPr>
          <w:color w:val="231F20"/>
          <w:w w:val="105"/>
        </w:rPr>
        <w:t>confor- mación</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ventaja</w:t>
      </w:r>
      <w:r>
        <w:rPr>
          <w:color w:val="231F20"/>
          <w:spacing w:val="-6"/>
          <w:w w:val="105"/>
        </w:rPr>
        <w:t> </w:t>
      </w:r>
      <w:r>
        <w:rPr>
          <w:color w:val="231F20"/>
          <w:w w:val="105"/>
        </w:rPr>
        <w:t>competitiva.</w:t>
      </w:r>
      <w:r>
        <w:rPr>
          <w:color w:val="231F20"/>
          <w:spacing w:val="-11"/>
          <w:w w:val="105"/>
        </w:rPr>
        <w:t> </w:t>
      </w:r>
      <w:r>
        <w:rPr>
          <w:color w:val="231F20"/>
          <w:spacing w:val="-6"/>
          <w:w w:val="105"/>
        </w:rPr>
        <w:t>Por </w:t>
      </w:r>
      <w:r>
        <w:rPr>
          <w:color w:val="231F20"/>
          <w:w w:val="105"/>
        </w:rPr>
        <w:t>un</w:t>
      </w:r>
      <w:r>
        <w:rPr>
          <w:color w:val="231F20"/>
          <w:spacing w:val="-6"/>
          <w:w w:val="105"/>
        </w:rPr>
        <w:t> </w:t>
      </w:r>
      <w:r>
        <w:rPr>
          <w:color w:val="231F20"/>
          <w:w w:val="105"/>
        </w:rPr>
        <w:t>lado,</w:t>
      </w:r>
      <w:r>
        <w:rPr>
          <w:color w:val="231F20"/>
          <w:spacing w:val="-11"/>
          <w:w w:val="105"/>
        </w:rPr>
        <w:t> </w:t>
      </w:r>
      <w:r>
        <w:rPr>
          <w:color w:val="231F20"/>
          <w:w w:val="105"/>
        </w:rPr>
        <w:t>revisan</w:t>
      </w:r>
      <w:r>
        <w:rPr>
          <w:color w:val="231F20"/>
          <w:spacing w:val="-6"/>
          <w:w w:val="105"/>
        </w:rPr>
        <w:t> </w:t>
      </w: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subje- tiva</w:t>
      </w:r>
      <w:r>
        <w:rPr>
          <w:color w:val="231F20"/>
          <w:spacing w:val="-4"/>
          <w:w w:val="105"/>
        </w:rPr>
        <w:t> </w:t>
      </w:r>
      <w:r>
        <w:rPr>
          <w:color w:val="231F20"/>
          <w:w w:val="105"/>
        </w:rPr>
        <w:t>del</w:t>
      </w:r>
      <w:r>
        <w:rPr>
          <w:color w:val="231F20"/>
          <w:spacing w:val="-4"/>
          <w:w w:val="105"/>
        </w:rPr>
        <w:t> </w:t>
      </w:r>
      <w:r>
        <w:rPr>
          <w:color w:val="231F20"/>
          <w:w w:val="105"/>
        </w:rPr>
        <w:t>valor</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teoría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i/>
          <w:color w:val="231F20"/>
          <w:w w:val="105"/>
        </w:rPr>
        <w:t>stakeholders</w:t>
      </w:r>
      <w:r>
        <w:rPr>
          <w:color w:val="231F20"/>
          <w:w w:val="105"/>
        </w:rPr>
        <w:t>,</w:t>
      </w:r>
      <w:r>
        <w:rPr>
          <w:color w:val="231F20"/>
          <w:spacing w:val="-10"/>
          <w:w w:val="105"/>
        </w:rPr>
        <w:t> </w:t>
      </w:r>
      <w:r>
        <w:rPr>
          <w:color w:val="231F20"/>
          <w:w w:val="105"/>
        </w:rPr>
        <w:t>y</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otro,</w:t>
      </w:r>
      <w:r>
        <w:rPr>
          <w:color w:val="231F20"/>
          <w:spacing w:val="-10"/>
          <w:w w:val="105"/>
        </w:rPr>
        <w:t> </w:t>
      </w:r>
      <w:r>
        <w:rPr>
          <w:color w:val="231F20"/>
          <w:w w:val="105"/>
        </w:rPr>
        <w:t>la</w:t>
      </w:r>
      <w:r>
        <w:rPr>
          <w:color w:val="231F20"/>
          <w:spacing w:val="-4"/>
          <w:w w:val="105"/>
        </w:rPr>
        <w:t> </w:t>
      </w:r>
      <w:r>
        <w:rPr>
          <w:color w:val="231F20"/>
          <w:w w:val="105"/>
        </w:rPr>
        <w:t>teoría</w:t>
      </w:r>
      <w:r>
        <w:rPr>
          <w:color w:val="231F20"/>
          <w:spacing w:val="-4"/>
          <w:w w:val="105"/>
        </w:rPr>
        <w:t> </w:t>
      </w:r>
      <w:r>
        <w:rPr>
          <w:color w:val="231F20"/>
          <w:w w:val="105"/>
        </w:rPr>
        <w:t>de</w:t>
      </w:r>
      <w:r>
        <w:rPr>
          <w:color w:val="231F20"/>
          <w:spacing w:val="-4"/>
          <w:w w:val="105"/>
        </w:rPr>
        <w:t> </w:t>
      </w:r>
      <w:r>
        <w:rPr>
          <w:color w:val="231F20"/>
          <w:w w:val="105"/>
        </w:rPr>
        <w:t>la dependencia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recursos</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teoría</w:t>
      </w:r>
      <w:r>
        <w:rPr>
          <w:color w:val="231F20"/>
          <w:spacing w:val="-12"/>
          <w:w w:val="105"/>
        </w:rPr>
        <w:t> </w:t>
      </w:r>
      <w:r>
        <w:rPr>
          <w:color w:val="231F20"/>
          <w:w w:val="105"/>
        </w:rPr>
        <w:t>de</w:t>
      </w:r>
      <w:r>
        <w:rPr>
          <w:color w:val="231F20"/>
          <w:spacing w:val="-12"/>
          <w:w w:val="105"/>
        </w:rPr>
        <w:t> </w:t>
      </w:r>
      <w:r>
        <w:rPr>
          <w:color w:val="231F20"/>
          <w:w w:val="105"/>
        </w:rPr>
        <w:t>recursos</w:t>
      </w:r>
      <w:r>
        <w:rPr>
          <w:color w:val="231F20"/>
          <w:spacing w:val="-12"/>
          <w:w w:val="105"/>
        </w:rPr>
        <w:t> </w:t>
      </w:r>
      <w:r>
        <w:rPr>
          <w:color w:val="231F20"/>
          <w:w w:val="105"/>
        </w:rPr>
        <w:t>y</w:t>
      </w:r>
      <w:r>
        <w:rPr>
          <w:color w:val="231F20"/>
          <w:spacing w:val="-12"/>
          <w:w w:val="105"/>
        </w:rPr>
        <w:t> </w:t>
      </w:r>
      <w:r>
        <w:rPr>
          <w:color w:val="231F20"/>
          <w:w w:val="105"/>
        </w:rPr>
        <w:t>capacidades</w:t>
      </w:r>
      <w:r>
        <w:rPr>
          <w:color w:val="231F20"/>
          <w:spacing w:val="-12"/>
          <w:w w:val="105"/>
        </w:rPr>
        <w:t> </w:t>
      </w:r>
      <w:r>
        <w:rPr>
          <w:color w:val="231F20"/>
          <w:w w:val="105"/>
        </w:rPr>
        <w:t>para soportar el modelo de excelencia administrativa de la Fundación Euro- pea</w:t>
      </w:r>
      <w:r>
        <w:rPr>
          <w:color w:val="231F20"/>
          <w:spacing w:val="-8"/>
          <w:w w:val="105"/>
        </w:rPr>
        <w:t> </w:t>
      </w:r>
      <w:r>
        <w:rPr>
          <w:color w:val="231F20"/>
          <w:w w:val="105"/>
        </w:rPr>
        <w:t>de</w:t>
      </w:r>
      <w:r>
        <w:rPr>
          <w:color w:val="231F20"/>
          <w:spacing w:val="-8"/>
          <w:w w:val="105"/>
        </w:rPr>
        <w:t> </w:t>
      </w:r>
      <w:r>
        <w:rPr>
          <w:color w:val="231F20"/>
          <w:w w:val="105"/>
        </w:rPr>
        <w:t>Gestión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Calidad</w:t>
      </w:r>
      <w:r>
        <w:rPr>
          <w:color w:val="231F20"/>
          <w:spacing w:val="-8"/>
          <w:w w:val="105"/>
        </w:rPr>
        <w:t> </w:t>
      </w:r>
      <w:r>
        <w:rPr>
          <w:color w:val="231F20"/>
          <w:w w:val="105"/>
        </w:rPr>
        <w:t>(EFQM)</w:t>
      </w:r>
      <w:r>
        <w:rPr>
          <w:color w:val="231F20"/>
          <w:spacing w:val="-8"/>
          <w:w w:val="105"/>
        </w:rPr>
        <w:t> </w:t>
      </w:r>
      <w:r>
        <w:rPr>
          <w:color w:val="231F20"/>
          <w:w w:val="105"/>
        </w:rPr>
        <w:t>como</w:t>
      </w:r>
      <w:r>
        <w:rPr>
          <w:color w:val="231F20"/>
          <w:spacing w:val="-8"/>
          <w:w w:val="105"/>
        </w:rPr>
        <w:t> </w:t>
      </w:r>
      <w:r>
        <w:rPr>
          <w:color w:val="231F20"/>
          <w:w w:val="105"/>
        </w:rPr>
        <w:t>opción</w:t>
      </w:r>
      <w:r>
        <w:rPr>
          <w:color w:val="231F20"/>
          <w:spacing w:val="-8"/>
          <w:w w:val="105"/>
        </w:rPr>
        <w:t> </w:t>
      </w:r>
      <w:r>
        <w:rPr>
          <w:color w:val="231F20"/>
          <w:w w:val="105"/>
        </w:rPr>
        <w:t>para</w:t>
      </w:r>
      <w:r>
        <w:rPr>
          <w:color w:val="231F20"/>
          <w:spacing w:val="-8"/>
          <w:w w:val="105"/>
        </w:rPr>
        <w:t> </w:t>
      </w:r>
      <w:r>
        <w:rPr>
          <w:color w:val="231F20"/>
          <w:w w:val="105"/>
        </w:rPr>
        <w:t>diagnosticar</w:t>
      </w:r>
      <w:r>
        <w:rPr>
          <w:color w:val="231F20"/>
          <w:spacing w:val="-8"/>
          <w:w w:val="105"/>
        </w:rPr>
        <w:t> </w:t>
      </w:r>
      <w:r>
        <w:rPr>
          <w:color w:val="231F20"/>
          <w:w w:val="105"/>
        </w:rPr>
        <w:t>el cumplimiento de objetivos y metas como respuesta a los lineamientos que</w:t>
      </w:r>
      <w:r>
        <w:rPr>
          <w:color w:val="231F20"/>
          <w:spacing w:val="-14"/>
          <w:w w:val="105"/>
        </w:rPr>
        <w:t> </w:t>
      </w:r>
      <w:r>
        <w:rPr>
          <w:color w:val="231F20"/>
          <w:w w:val="105"/>
        </w:rPr>
        <w:t>requiere</w:t>
      </w:r>
      <w:r>
        <w:rPr>
          <w:color w:val="231F20"/>
          <w:spacing w:val="-14"/>
          <w:w w:val="105"/>
        </w:rPr>
        <w:t> </w:t>
      </w:r>
      <w:r>
        <w:rPr>
          <w:color w:val="231F20"/>
          <w:w w:val="105"/>
        </w:rPr>
        <w:t>una</w:t>
      </w:r>
      <w:r>
        <w:rPr>
          <w:color w:val="231F20"/>
          <w:spacing w:val="-14"/>
          <w:w w:val="105"/>
        </w:rPr>
        <w:t> </w:t>
      </w:r>
      <w:r>
        <w:rPr>
          <w:color w:val="231F20"/>
          <w:w w:val="105"/>
        </w:rPr>
        <w:t>universidad</w:t>
      </w:r>
      <w:r>
        <w:rPr>
          <w:color w:val="231F20"/>
          <w:spacing w:val="-14"/>
          <w:w w:val="105"/>
        </w:rPr>
        <w:t> </w:t>
      </w:r>
      <w:r>
        <w:rPr>
          <w:color w:val="231F20"/>
          <w:w w:val="105"/>
        </w:rPr>
        <w:t>de</w:t>
      </w:r>
      <w:r>
        <w:rPr>
          <w:color w:val="231F20"/>
          <w:spacing w:val="-14"/>
          <w:w w:val="105"/>
        </w:rPr>
        <w:t> </w:t>
      </w:r>
      <w:r>
        <w:rPr>
          <w:color w:val="231F20"/>
          <w:w w:val="105"/>
        </w:rPr>
        <w:t>clase</w:t>
      </w:r>
      <w:r>
        <w:rPr>
          <w:color w:val="231F20"/>
          <w:spacing w:val="-14"/>
          <w:w w:val="105"/>
        </w:rPr>
        <w:t> </w:t>
      </w:r>
      <w:r>
        <w:rPr>
          <w:color w:val="231F20"/>
          <w:w w:val="105"/>
        </w:rPr>
        <w:t>mundial.</w:t>
      </w:r>
    </w:p>
    <w:p>
      <w:pPr>
        <w:pStyle w:val="BodyText"/>
        <w:spacing w:line="259" w:lineRule="auto"/>
        <w:ind w:left="117" w:right="101" w:firstLine="567"/>
        <w:jc w:val="both"/>
      </w:pPr>
      <w:r>
        <w:rPr>
          <w:color w:val="231F20"/>
          <w:w w:val="105"/>
        </w:rPr>
        <w:t>Canales, Godínez y González proponen un marco metodológico para</w:t>
      </w:r>
      <w:r>
        <w:rPr>
          <w:color w:val="231F20"/>
          <w:spacing w:val="-13"/>
          <w:w w:val="105"/>
        </w:rPr>
        <w:t> </w:t>
      </w:r>
      <w:r>
        <w:rPr>
          <w:color w:val="231F20"/>
          <w:w w:val="105"/>
        </w:rPr>
        <w:t>examinar</w:t>
      </w:r>
      <w:r>
        <w:rPr>
          <w:color w:val="231F20"/>
          <w:spacing w:val="-13"/>
          <w:w w:val="105"/>
        </w:rPr>
        <w:t> </w:t>
      </w:r>
      <w:r>
        <w:rPr>
          <w:color w:val="231F20"/>
          <w:w w:val="105"/>
        </w:rPr>
        <w:t>de</w:t>
      </w:r>
      <w:r>
        <w:rPr>
          <w:color w:val="231F20"/>
          <w:spacing w:val="-13"/>
          <w:w w:val="105"/>
        </w:rPr>
        <w:t> </w:t>
      </w:r>
      <w:r>
        <w:rPr>
          <w:color w:val="231F20"/>
          <w:w w:val="105"/>
        </w:rPr>
        <w:t>forma</w:t>
      </w:r>
      <w:r>
        <w:rPr>
          <w:color w:val="231F20"/>
          <w:spacing w:val="-13"/>
          <w:w w:val="105"/>
        </w:rPr>
        <w:t> </w:t>
      </w:r>
      <w:r>
        <w:rPr>
          <w:color w:val="231F20"/>
          <w:w w:val="105"/>
        </w:rPr>
        <w:t>conjunta</w:t>
      </w:r>
      <w:r>
        <w:rPr>
          <w:color w:val="231F20"/>
          <w:spacing w:val="-13"/>
          <w:w w:val="105"/>
        </w:rPr>
        <w:t> </w:t>
      </w:r>
      <w:r>
        <w:rPr>
          <w:color w:val="231F20"/>
          <w:w w:val="105"/>
        </w:rPr>
        <w:t>las</w:t>
      </w:r>
      <w:r>
        <w:rPr>
          <w:color w:val="231F20"/>
          <w:spacing w:val="-13"/>
          <w:w w:val="105"/>
        </w:rPr>
        <w:t> </w:t>
      </w:r>
      <w:r>
        <w:rPr>
          <w:color w:val="231F20"/>
          <w:w w:val="105"/>
        </w:rPr>
        <w:t>redes</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conocimiento</w:t>
      </w:r>
      <w:r>
        <w:rPr>
          <w:color w:val="231F20"/>
          <w:spacing w:val="-13"/>
          <w:w w:val="105"/>
        </w:rPr>
        <w:t> </w:t>
      </w:r>
      <w:r>
        <w:rPr>
          <w:color w:val="231F20"/>
          <w:w w:val="105"/>
        </w:rPr>
        <w:t>a</w:t>
      </w:r>
      <w:r>
        <w:rPr>
          <w:color w:val="231F20"/>
          <w:spacing w:val="-13"/>
          <w:w w:val="105"/>
        </w:rPr>
        <w:t> </w:t>
      </w:r>
      <w:r>
        <w:rPr>
          <w:color w:val="231F20"/>
          <w:w w:val="105"/>
        </w:rPr>
        <w:t>partir</w:t>
      </w:r>
      <w:r>
        <w:rPr>
          <w:color w:val="231F20"/>
          <w:spacing w:val="-13"/>
          <w:w w:val="105"/>
        </w:rPr>
        <w:t> </w:t>
      </w:r>
      <w:r>
        <w:rPr>
          <w:color w:val="231F20"/>
          <w:w w:val="105"/>
        </w:rPr>
        <w:t>del enfoque</w:t>
      </w:r>
      <w:r>
        <w:rPr>
          <w:color w:val="231F20"/>
          <w:spacing w:val="-27"/>
          <w:w w:val="105"/>
        </w:rPr>
        <w:t> </w:t>
      </w:r>
      <w:r>
        <w:rPr>
          <w:color w:val="231F20"/>
          <w:w w:val="105"/>
        </w:rPr>
        <w:t>análisis</w:t>
      </w:r>
      <w:r>
        <w:rPr>
          <w:color w:val="231F20"/>
          <w:spacing w:val="-27"/>
          <w:w w:val="105"/>
        </w:rPr>
        <w:t> </w:t>
      </w:r>
      <w:r>
        <w:rPr>
          <w:color w:val="231F20"/>
          <w:w w:val="105"/>
        </w:rPr>
        <w:t>de</w:t>
      </w:r>
      <w:r>
        <w:rPr>
          <w:color w:val="231F20"/>
          <w:spacing w:val="-27"/>
          <w:w w:val="105"/>
        </w:rPr>
        <w:t> </w:t>
      </w:r>
      <w:r>
        <w:rPr>
          <w:color w:val="231F20"/>
          <w:w w:val="105"/>
        </w:rPr>
        <w:t>redes</w:t>
      </w:r>
      <w:r>
        <w:rPr>
          <w:color w:val="231F20"/>
          <w:spacing w:val="-27"/>
          <w:w w:val="105"/>
        </w:rPr>
        <w:t> </w:t>
      </w:r>
      <w:r>
        <w:rPr>
          <w:color w:val="231F20"/>
          <w:w w:val="105"/>
        </w:rPr>
        <w:t>sociales</w:t>
      </w:r>
      <w:r>
        <w:rPr>
          <w:color w:val="231F20"/>
          <w:spacing w:val="-27"/>
          <w:w w:val="105"/>
        </w:rPr>
        <w:t> </w:t>
      </w:r>
      <w:r>
        <w:rPr>
          <w:color w:val="231F20"/>
          <w:w w:val="105"/>
        </w:rPr>
        <w:t>(ARS)</w:t>
      </w:r>
      <w:r>
        <w:rPr>
          <w:color w:val="231F20"/>
          <w:spacing w:val="-27"/>
          <w:w w:val="105"/>
        </w:rPr>
        <w:t> </w:t>
      </w:r>
      <w:r>
        <w:rPr>
          <w:color w:val="231F20"/>
          <w:w w:val="105"/>
        </w:rPr>
        <w:t>como</w:t>
      </w:r>
      <w:r>
        <w:rPr>
          <w:color w:val="231F20"/>
          <w:spacing w:val="-27"/>
          <w:w w:val="105"/>
        </w:rPr>
        <w:t> </w:t>
      </w:r>
      <w:r>
        <w:rPr>
          <w:color w:val="231F20"/>
          <w:w w:val="105"/>
        </w:rPr>
        <w:t>perspectiva</w:t>
      </w:r>
      <w:r>
        <w:rPr>
          <w:color w:val="231F20"/>
          <w:spacing w:val="-27"/>
          <w:w w:val="105"/>
        </w:rPr>
        <w:t> </w:t>
      </w:r>
      <w:r>
        <w:rPr>
          <w:color w:val="231F20"/>
          <w:w w:val="105"/>
        </w:rPr>
        <w:t>representati-</w:t>
      </w:r>
    </w:p>
    <w:p>
      <w:pPr>
        <w:spacing w:after="0" w:line="259" w:lineRule="auto"/>
        <w:jc w:val="both"/>
        <w:sectPr>
          <w:pgSz w:w="9640" w:h="13890"/>
          <w:pgMar w:top="0" w:bottom="280" w:left="1300" w:right="1200"/>
        </w:sectPr>
      </w:pPr>
    </w:p>
    <w:p>
      <w:pPr>
        <w:spacing w:line="259" w:lineRule="auto" w:before="120"/>
        <w:ind w:left="115" w:right="106" w:firstLine="0"/>
        <w:jc w:val="both"/>
        <w:rPr>
          <w:i/>
          <w:sz w:val="21"/>
        </w:rPr>
      </w:pPr>
      <w:r>
        <w:rPr>
          <w:color w:val="231F20"/>
          <w:w w:val="105"/>
          <w:sz w:val="21"/>
        </w:rPr>
        <w:t>va</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las</w:t>
      </w:r>
      <w:r>
        <w:rPr>
          <w:color w:val="231F20"/>
          <w:spacing w:val="-16"/>
          <w:w w:val="105"/>
          <w:sz w:val="21"/>
        </w:rPr>
        <w:t> </w:t>
      </w:r>
      <w:r>
        <w:rPr>
          <w:color w:val="231F20"/>
          <w:w w:val="105"/>
          <w:sz w:val="21"/>
        </w:rPr>
        <w:t>redes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conocimiento.</w:t>
      </w:r>
      <w:r>
        <w:rPr>
          <w:color w:val="231F20"/>
          <w:spacing w:val="-22"/>
          <w:w w:val="105"/>
          <w:sz w:val="21"/>
        </w:rPr>
        <w:t> </w:t>
      </w:r>
      <w:r>
        <w:rPr>
          <w:color w:val="231F20"/>
          <w:w w:val="105"/>
          <w:sz w:val="21"/>
        </w:rPr>
        <w:t>De</w:t>
      </w:r>
      <w:r>
        <w:rPr>
          <w:color w:val="231F20"/>
          <w:spacing w:val="-16"/>
          <w:w w:val="105"/>
          <w:sz w:val="21"/>
        </w:rPr>
        <w:t> </w:t>
      </w:r>
      <w:r>
        <w:rPr>
          <w:color w:val="231F20"/>
          <w:w w:val="105"/>
          <w:sz w:val="21"/>
        </w:rPr>
        <w:t>aquí</w:t>
      </w:r>
      <w:r>
        <w:rPr>
          <w:color w:val="231F20"/>
          <w:spacing w:val="-16"/>
          <w:w w:val="105"/>
          <w:sz w:val="21"/>
        </w:rPr>
        <w:t> </w:t>
      </w:r>
      <w:r>
        <w:rPr>
          <w:color w:val="231F20"/>
          <w:w w:val="105"/>
          <w:sz w:val="21"/>
        </w:rPr>
        <w:t>el</w:t>
      </w:r>
      <w:r>
        <w:rPr>
          <w:color w:val="231F20"/>
          <w:spacing w:val="-16"/>
          <w:w w:val="105"/>
          <w:sz w:val="21"/>
        </w:rPr>
        <w:t> </w:t>
      </w:r>
      <w:r>
        <w:rPr>
          <w:color w:val="231F20"/>
          <w:w w:val="105"/>
          <w:sz w:val="21"/>
        </w:rPr>
        <w:t>título</w:t>
      </w:r>
      <w:r>
        <w:rPr>
          <w:color w:val="231F20"/>
          <w:spacing w:val="-16"/>
          <w:w w:val="105"/>
          <w:sz w:val="21"/>
        </w:rPr>
        <w:t> </w:t>
      </w:r>
      <w:r>
        <w:rPr>
          <w:color w:val="231F20"/>
          <w:w w:val="105"/>
          <w:sz w:val="21"/>
        </w:rPr>
        <w:t>del</w:t>
      </w:r>
      <w:r>
        <w:rPr>
          <w:color w:val="231F20"/>
          <w:spacing w:val="-16"/>
          <w:w w:val="105"/>
          <w:sz w:val="21"/>
        </w:rPr>
        <w:t> </w:t>
      </w:r>
      <w:r>
        <w:rPr>
          <w:color w:val="231F20"/>
          <w:w w:val="105"/>
          <w:sz w:val="21"/>
        </w:rPr>
        <w:t>Capítulo</w:t>
      </w:r>
      <w:r>
        <w:rPr>
          <w:color w:val="231F20"/>
          <w:spacing w:val="-20"/>
          <w:w w:val="105"/>
          <w:sz w:val="21"/>
        </w:rPr>
        <w:t> </w:t>
      </w:r>
      <w:r>
        <w:rPr>
          <w:color w:val="231F20"/>
          <w:w w:val="105"/>
          <w:sz w:val="21"/>
        </w:rPr>
        <w:t>V.</w:t>
      </w:r>
      <w:r>
        <w:rPr>
          <w:color w:val="231F20"/>
          <w:spacing w:val="-22"/>
          <w:w w:val="105"/>
          <w:sz w:val="21"/>
        </w:rPr>
        <w:t> </w:t>
      </w:r>
      <w:r>
        <w:rPr>
          <w:color w:val="231F20"/>
          <w:w w:val="105"/>
          <w:sz w:val="21"/>
        </w:rPr>
        <w:t>R</w:t>
      </w:r>
      <w:r>
        <w:rPr>
          <w:i/>
          <w:color w:val="231F20"/>
          <w:w w:val="105"/>
          <w:sz w:val="21"/>
        </w:rPr>
        <w:t>edes</w:t>
      </w:r>
      <w:r>
        <w:rPr>
          <w:i/>
          <w:color w:val="231F20"/>
          <w:spacing w:val="-16"/>
          <w:w w:val="105"/>
          <w:sz w:val="21"/>
        </w:rPr>
        <w:t> </w:t>
      </w:r>
      <w:r>
        <w:rPr>
          <w:i/>
          <w:color w:val="231F20"/>
          <w:w w:val="105"/>
          <w:sz w:val="21"/>
        </w:rPr>
        <w:t>y </w:t>
      </w:r>
      <w:r>
        <w:rPr>
          <w:i/>
          <w:color w:val="231F20"/>
          <w:w w:val="105"/>
          <w:sz w:val="21"/>
        </w:rPr>
        <w:t>conocimiento</w:t>
      </w:r>
      <w:r>
        <w:rPr>
          <w:i/>
          <w:color w:val="231F20"/>
          <w:spacing w:val="-25"/>
          <w:w w:val="105"/>
          <w:sz w:val="21"/>
        </w:rPr>
        <w:t> </w:t>
      </w:r>
      <w:r>
        <w:rPr>
          <w:i/>
          <w:color w:val="231F20"/>
          <w:w w:val="105"/>
          <w:sz w:val="21"/>
        </w:rPr>
        <w:t>en</w:t>
      </w:r>
      <w:r>
        <w:rPr>
          <w:i/>
          <w:color w:val="231F20"/>
          <w:spacing w:val="-25"/>
          <w:w w:val="105"/>
          <w:sz w:val="21"/>
        </w:rPr>
        <w:t> </w:t>
      </w:r>
      <w:r>
        <w:rPr>
          <w:i/>
          <w:color w:val="231F20"/>
          <w:w w:val="105"/>
          <w:sz w:val="21"/>
        </w:rPr>
        <w:t>el</w:t>
      </w:r>
      <w:r>
        <w:rPr>
          <w:i/>
          <w:color w:val="231F20"/>
          <w:spacing w:val="-25"/>
          <w:w w:val="105"/>
          <w:sz w:val="21"/>
        </w:rPr>
        <w:t> </w:t>
      </w:r>
      <w:r>
        <w:rPr>
          <w:i/>
          <w:color w:val="231F20"/>
          <w:w w:val="105"/>
          <w:sz w:val="21"/>
        </w:rPr>
        <w:t>marco</w:t>
      </w:r>
      <w:r>
        <w:rPr>
          <w:i/>
          <w:color w:val="231F20"/>
          <w:spacing w:val="-25"/>
          <w:w w:val="105"/>
          <w:sz w:val="21"/>
        </w:rPr>
        <w:t> </w:t>
      </w:r>
      <w:r>
        <w:rPr>
          <w:i/>
          <w:color w:val="231F20"/>
          <w:w w:val="105"/>
          <w:sz w:val="21"/>
        </w:rPr>
        <w:t>de</w:t>
      </w:r>
      <w:r>
        <w:rPr>
          <w:i/>
          <w:color w:val="231F20"/>
          <w:spacing w:val="-25"/>
          <w:w w:val="105"/>
          <w:sz w:val="21"/>
        </w:rPr>
        <w:t> </w:t>
      </w:r>
      <w:r>
        <w:rPr>
          <w:i/>
          <w:color w:val="231F20"/>
          <w:w w:val="105"/>
          <w:sz w:val="21"/>
        </w:rPr>
        <w:t>la</w:t>
      </w:r>
      <w:r>
        <w:rPr>
          <w:i/>
          <w:color w:val="231F20"/>
          <w:spacing w:val="-25"/>
          <w:w w:val="105"/>
          <w:sz w:val="21"/>
        </w:rPr>
        <w:t> </w:t>
      </w:r>
      <w:r>
        <w:rPr>
          <w:i/>
          <w:color w:val="231F20"/>
          <w:w w:val="105"/>
          <w:sz w:val="21"/>
        </w:rPr>
        <w:t>economía</w:t>
      </w:r>
      <w:r>
        <w:rPr>
          <w:i/>
          <w:color w:val="231F20"/>
          <w:spacing w:val="-25"/>
          <w:w w:val="105"/>
          <w:sz w:val="21"/>
        </w:rPr>
        <w:t> </w:t>
      </w:r>
      <w:r>
        <w:rPr>
          <w:i/>
          <w:color w:val="231F20"/>
          <w:w w:val="105"/>
          <w:sz w:val="21"/>
        </w:rPr>
        <w:t>del</w:t>
      </w:r>
      <w:r>
        <w:rPr>
          <w:i/>
          <w:color w:val="231F20"/>
          <w:spacing w:val="-25"/>
          <w:w w:val="105"/>
          <w:sz w:val="21"/>
        </w:rPr>
        <w:t> </w:t>
      </w:r>
      <w:r>
        <w:rPr>
          <w:i/>
          <w:color w:val="231F20"/>
          <w:w w:val="105"/>
          <w:sz w:val="21"/>
        </w:rPr>
        <w:t>conocimiento:</w:t>
      </w:r>
      <w:r>
        <w:rPr>
          <w:i/>
          <w:color w:val="231F20"/>
          <w:spacing w:val="-25"/>
          <w:w w:val="105"/>
          <w:sz w:val="21"/>
        </w:rPr>
        <w:t> </w:t>
      </w:r>
      <w:r>
        <w:rPr>
          <w:i/>
          <w:color w:val="231F20"/>
          <w:w w:val="105"/>
          <w:sz w:val="21"/>
        </w:rPr>
        <w:t>una</w:t>
      </w:r>
      <w:r>
        <w:rPr>
          <w:i/>
          <w:color w:val="231F20"/>
          <w:spacing w:val="-25"/>
          <w:w w:val="105"/>
          <w:sz w:val="21"/>
        </w:rPr>
        <w:t> </w:t>
      </w:r>
      <w:r>
        <w:rPr>
          <w:i/>
          <w:color w:val="231F20"/>
          <w:w w:val="105"/>
          <w:sz w:val="21"/>
        </w:rPr>
        <w:t>propues- ta</w:t>
      </w:r>
      <w:r>
        <w:rPr>
          <w:i/>
          <w:color w:val="231F20"/>
          <w:spacing w:val="-8"/>
          <w:w w:val="105"/>
          <w:sz w:val="21"/>
        </w:rPr>
        <w:t> </w:t>
      </w:r>
      <w:r>
        <w:rPr>
          <w:i/>
          <w:color w:val="231F20"/>
          <w:w w:val="105"/>
          <w:sz w:val="21"/>
        </w:rPr>
        <w:t>metodológica.</w:t>
      </w:r>
    </w:p>
    <w:p>
      <w:pPr>
        <w:pStyle w:val="BodyText"/>
        <w:spacing w:line="259" w:lineRule="auto"/>
        <w:ind w:left="115" w:right="106" w:firstLine="567"/>
        <w:jc w:val="both"/>
      </w:pPr>
      <w:r>
        <w:rPr>
          <w:color w:val="231F20"/>
          <w:w w:val="105"/>
        </w:rPr>
        <w:t>Como ejemplo de evidencia empírica, y a partir de datos secun- darios, Cernas, Nava y Caballero construyen el Capítulo VI.</w:t>
      </w:r>
      <w:r>
        <w:rPr>
          <w:color w:val="231F20"/>
          <w:spacing w:val="-43"/>
          <w:w w:val="105"/>
        </w:rPr>
        <w:t> </w:t>
      </w:r>
      <w:r>
        <w:rPr>
          <w:color w:val="231F20"/>
          <w:w w:val="105"/>
        </w:rPr>
        <w:t>Análisis del efecto de la </w:t>
      </w:r>
      <w:r>
        <w:rPr>
          <w:color w:val="231F20"/>
          <w:spacing w:val="-4"/>
          <w:w w:val="105"/>
        </w:rPr>
        <w:t>formación </w:t>
      </w:r>
      <w:r>
        <w:rPr>
          <w:color w:val="231F20"/>
          <w:w w:val="105"/>
        </w:rPr>
        <w:t>de </w:t>
      </w:r>
      <w:r>
        <w:rPr>
          <w:color w:val="231F20"/>
          <w:spacing w:val="-4"/>
          <w:w w:val="105"/>
        </w:rPr>
        <w:t>alianzas estratégicas </w:t>
      </w:r>
      <w:r>
        <w:rPr>
          <w:color w:val="231F20"/>
          <w:w w:val="105"/>
        </w:rPr>
        <w:t>en la </w:t>
      </w:r>
      <w:r>
        <w:rPr>
          <w:color w:val="231F20"/>
          <w:spacing w:val="-4"/>
          <w:w w:val="105"/>
        </w:rPr>
        <w:t>rentabilidad empre- sarial.</w:t>
      </w:r>
      <w:r>
        <w:rPr>
          <w:color w:val="231F20"/>
          <w:spacing w:val="-19"/>
          <w:w w:val="105"/>
        </w:rPr>
        <w:t> </w:t>
      </w:r>
      <w:r>
        <w:rPr>
          <w:color w:val="231F20"/>
          <w:spacing w:val="-4"/>
          <w:w w:val="105"/>
        </w:rPr>
        <w:t>Caso</w:t>
      </w:r>
      <w:r>
        <w:rPr>
          <w:color w:val="231F20"/>
          <w:spacing w:val="-15"/>
          <w:w w:val="105"/>
        </w:rPr>
        <w:t> </w:t>
      </w:r>
      <w:r>
        <w:rPr>
          <w:color w:val="231F20"/>
          <w:w w:val="105"/>
        </w:rPr>
        <w:t>de</w:t>
      </w:r>
      <w:r>
        <w:rPr>
          <w:color w:val="231F20"/>
          <w:spacing w:val="-15"/>
          <w:w w:val="105"/>
        </w:rPr>
        <w:t> </w:t>
      </w:r>
      <w:r>
        <w:rPr>
          <w:color w:val="231F20"/>
          <w:spacing w:val="-3"/>
          <w:w w:val="105"/>
        </w:rPr>
        <w:t>las</w:t>
      </w:r>
      <w:r>
        <w:rPr>
          <w:color w:val="231F20"/>
          <w:spacing w:val="-15"/>
          <w:w w:val="105"/>
        </w:rPr>
        <w:t> </w:t>
      </w:r>
      <w:r>
        <w:rPr>
          <w:color w:val="231F20"/>
          <w:spacing w:val="-4"/>
          <w:w w:val="105"/>
        </w:rPr>
        <w:t>joint</w:t>
      </w:r>
      <w:r>
        <w:rPr>
          <w:color w:val="231F20"/>
          <w:spacing w:val="-15"/>
          <w:w w:val="105"/>
        </w:rPr>
        <w:t> </w:t>
      </w:r>
      <w:r>
        <w:rPr>
          <w:color w:val="231F20"/>
          <w:spacing w:val="-4"/>
          <w:w w:val="105"/>
        </w:rPr>
        <w:t>venture</w:t>
      </w:r>
      <w:r>
        <w:rPr>
          <w:color w:val="231F20"/>
          <w:spacing w:val="-15"/>
          <w:w w:val="105"/>
        </w:rPr>
        <w:t> </w:t>
      </w:r>
      <w:r>
        <w:rPr>
          <w:color w:val="231F20"/>
          <w:w w:val="105"/>
        </w:rPr>
        <w:t>de</w:t>
      </w:r>
      <w:r>
        <w:rPr>
          <w:color w:val="231F20"/>
          <w:spacing w:val="-15"/>
          <w:w w:val="105"/>
        </w:rPr>
        <w:t> </w:t>
      </w:r>
      <w:r>
        <w:rPr>
          <w:color w:val="231F20"/>
          <w:spacing w:val="-4"/>
          <w:w w:val="105"/>
        </w:rPr>
        <w:t>manufactura</w:t>
      </w:r>
      <w:r>
        <w:rPr>
          <w:color w:val="231F20"/>
          <w:spacing w:val="-15"/>
          <w:w w:val="105"/>
        </w:rPr>
        <w:t> </w:t>
      </w:r>
      <w:r>
        <w:rPr>
          <w:color w:val="231F20"/>
          <w:spacing w:val="-4"/>
          <w:w w:val="105"/>
        </w:rPr>
        <w:t>versus</w:t>
      </w:r>
      <w:r>
        <w:rPr>
          <w:color w:val="231F20"/>
          <w:spacing w:val="-15"/>
          <w:w w:val="105"/>
        </w:rPr>
        <w:t> </w:t>
      </w:r>
      <w:r>
        <w:rPr>
          <w:color w:val="231F20"/>
          <w:spacing w:val="-3"/>
          <w:w w:val="105"/>
        </w:rPr>
        <w:t>las</w:t>
      </w:r>
      <w:r>
        <w:rPr>
          <w:color w:val="231F20"/>
          <w:spacing w:val="-15"/>
          <w:w w:val="105"/>
        </w:rPr>
        <w:t> </w:t>
      </w:r>
      <w:r>
        <w:rPr>
          <w:color w:val="231F20"/>
          <w:w w:val="105"/>
        </w:rPr>
        <w:t>de</w:t>
      </w:r>
      <w:r>
        <w:rPr>
          <w:color w:val="231F20"/>
          <w:spacing w:val="-15"/>
          <w:w w:val="105"/>
        </w:rPr>
        <w:t> </w:t>
      </w:r>
      <w:r>
        <w:rPr>
          <w:color w:val="231F20"/>
          <w:spacing w:val="-4"/>
          <w:w w:val="105"/>
        </w:rPr>
        <w:t>mercadotec- </w:t>
      </w:r>
      <w:r>
        <w:rPr>
          <w:color w:val="231F20"/>
          <w:spacing w:val="-3"/>
          <w:w w:val="105"/>
        </w:rPr>
        <w:t>nia,</w:t>
      </w:r>
      <w:r>
        <w:rPr>
          <w:color w:val="231F20"/>
          <w:spacing w:val="-28"/>
          <w:w w:val="105"/>
        </w:rPr>
        <w:t> </w:t>
      </w:r>
      <w:r>
        <w:rPr>
          <w:color w:val="231F20"/>
          <w:spacing w:val="-4"/>
          <w:w w:val="105"/>
        </w:rPr>
        <w:t>llegando</w:t>
      </w:r>
      <w:r>
        <w:rPr>
          <w:color w:val="231F20"/>
          <w:spacing w:val="-22"/>
          <w:w w:val="105"/>
        </w:rPr>
        <w:t> </w:t>
      </w:r>
      <w:r>
        <w:rPr>
          <w:color w:val="231F20"/>
          <w:w w:val="105"/>
        </w:rPr>
        <w:t>a</w:t>
      </w:r>
      <w:r>
        <w:rPr>
          <w:color w:val="231F20"/>
          <w:spacing w:val="-20"/>
          <w:w w:val="105"/>
        </w:rPr>
        <w:t> </w:t>
      </w:r>
      <w:r>
        <w:rPr>
          <w:color w:val="231F20"/>
          <w:w w:val="105"/>
        </w:rPr>
        <w:t>confirmar</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retorno</w:t>
      </w:r>
      <w:r>
        <w:rPr>
          <w:color w:val="231F20"/>
          <w:spacing w:val="-17"/>
          <w:w w:val="105"/>
        </w:rPr>
        <w:t> </w:t>
      </w:r>
      <w:r>
        <w:rPr>
          <w:color w:val="231F20"/>
          <w:w w:val="105"/>
        </w:rPr>
        <w:t>sobre</w:t>
      </w:r>
      <w:r>
        <w:rPr>
          <w:color w:val="231F20"/>
          <w:spacing w:val="-17"/>
          <w:w w:val="105"/>
        </w:rPr>
        <w:t> </w:t>
      </w:r>
      <w:r>
        <w:rPr>
          <w:color w:val="231F20"/>
          <w:w w:val="105"/>
        </w:rPr>
        <w:t>los</w:t>
      </w:r>
      <w:r>
        <w:rPr>
          <w:color w:val="231F20"/>
          <w:spacing w:val="-17"/>
          <w:w w:val="105"/>
        </w:rPr>
        <w:t> </w:t>
      </w:r>
      <w:r>
        <w:rPr>
          <w:color w:val="231F20"/>
          <w:w w:val="105"/>
        </w:rPr>
        <w:t>activos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empresas cambió</w:t>
      </w:r>
      <w:r>
        <w:rPr>
          <w:color w:val="231F20"/>
          <w:spacing w:val="-10"/>
          <w:w w:val="105"/>
        </w:rPr>
        <w:t> </w:t>
      </w:r>
      <w:r>
        <w:rPr>
          <w:color w:val="231F20"/>
          <w:w w:val="105"/>
        </w:rPr>
        <w:t>después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formación</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joint</w:t>
      </w:r>
      <w:r>
        <w:rPr>
          <w:color w:val="231F20"/>
          <w:spacing w:val="-10"/>
          <w:w w:val="105"/>
        </w:rPr>
        <w:t> </w:t>
      </w:r>
      <w:r>
        <w:rPr>
          <w:color w:val="231F20"/>
          <w:w w:val="105"/>
        </w:rPr>
        <w:t>venture,</w:t>
      </w:r>
      <w:r>
        <w:rPr>
          <w:color w:val="231F20"/>
          <w:spacing w:val="-16"/>
          <w:w w:val="105"/>
        </w:rPr>
        <w:t> </w:t>
      </w:r>
      <w:r>
        <w:rPr>
          <w:color w:val="231F20"/>
          <w:w w:val="105"/>
        </w:rPr>
        <w:t>y</w:t>
      </w:r>
      <w:r>
        <w:rPr>
          <w:color w:val="231F20"/>
          <w:spacing w:val="-10"/>
          <w:w w:val="105"/>
        </w:rPr>
        <w:t> </w:t>
      </w:r>
      <w:r>
        <w:rPr>
          <w:color w:val="231F20"/>
          <w:w w:val="105"/>
        </w:rPr>
        <w:t>que</w:t>
      </w:r>
      <w:r>
        <w:rPr>
          <w:color w:val="231F20"/>
          <w:spacing w:val="-10"/>
          <w:w w:val="105"/>
        </w:rPr>
        <w:t> </w:t>
      </w:r>
      <w:r>
        <w:rPr>
          <w:color w:val="231F20"/>
          <w:w w:val="105"/>
        </w:rPr>
        <w:t>este</w:t>
      </w:r>
      <w:r>
        <w:rPr>
          <w:color w:val="231F20"/>
          <w:spacing w:val="-10"/>
          <w:w w:val="105"/>
        </w:rPr>
        <w:t> </w:t>
      </w:r>
      <w:r>
        <w:rPr>
          <w:color w:val="231F20"/>
          <w:w w:val="105"/>
        </w:rPr>
        <w:t>cambio fue</w:t>
      </w:r>
      <w:r>
        <w:rPr>
          <w:color w:val="231F20"/>
          <w:spacing w:val="-9"/>
          <w:w w:val="105"/>
        </w:rPr>
        <w:t> </w:t>
      </w:r>
      <w:r>
        <w:rPr>
          <w:color w:val="231F20"/>
          <w:w w:val="105"/>
        </w:rPr>
        <w:t>sólo</w:t>
      </w:r>
      <w:r>
        <w:rPr>
          <w:color w:val="231F20"/>
          <w:spacing w:val="-9"/>
          <w:w w:val="105"/>
        </w:rPr>
        <w:t> </w:t>
      </w:r>
      <w:r>
        <w:rPr>
          <w:color w:val="231F20"/>
          <w:w w:val="105"/>
        </w:rPr>
        <w:t>marginalmente</w:t>
      </w:r>
      <w:r>
        <w:rPr>
          <w:color w:val="231F20"/>
          <w:spacing w:val="-9"/>
          <w:w w:val="105"/>
        </w:rPr>
        <w:t> </w:t>
      </w:r>
      <w:r>
        <w:rPr>
          <w:color w:val="231F20"/>
          <w:w w:val="105"/>
        </w:rPr>
        <w:t>distinto</w:t>
      </w:r>
      <w:r>
        <w:rPr>
          <w:color w:val="231F20"/>
          <w:spacing w:val="-9"/>
          <w:w w:val="105"/>
        </w:rPr>
        <w:t> </w:t>
      </w:r>
      <w:r>
        <w:rPr>
          <w:color w:val="231F20"/>
          <w:w w:val="105"/>
        </w:rPr>
        <w:t>entre</w:t>
      </w:r>
      <w:r>
        <w:rPr>
          <w:color w:val="231F20"/>
          <w:spacing w:val="-9"/>
          <w:w w:val="105"/>
        </w:rPr>
        <w:t> </w:t>
      </w:r>
      <w:r>
        <w:rPr>
          <w:color w:val="231F20"/>
          <w:w w:val="105"/>
        </w:rPr>
        <w:t>aquellas</w:t>
      </w:r>
      <w:r>
        <w:rPr>
          <w:color w:val="231F20"/>
          <w:spacing w:val="-9"/>
          <w:w w:val="105"/>
        </w:rPr>
        <w:t> </w:t>
      </w:r>
      <w:r>
        <w:rPr>
          <w:color w:val="231F20"/>
          <w:w w:val="105"/>
        </w:rPr>
        <w:t>empresas</w:t>
      </w:r>
      <w:r>
        <w:rPr>
          <w:color w:val="231F20"/>
          <w:spacing w:val="-9"/>
          <w:w w:val="105"/>
        </w:rPr>
        <w:t> </w:t>
      </w:r>
      <w:r>
        <w:rPr>
          <w:color w:val="231F20"/>
          <w:w w:val="105"/>
        </w:rPr>
        <w:t>que</w:t>
      </w:r>
      <w:r>
        <w:rPr>
          <w:color w:val="231F20"/>
          <w:spacing w:val="-9"/>
          <w:w w:val="105"/>
        </w:rPr>
        <w:t> </w:t>
      </w:r>
      <w:r>
        <w:rPr>
          <w:color w:val="231F20"/>
          <w:w w:val="105"/>
        </w:rPr>
        <w:t>decidieron colaborar</w:t>
      </w:r>
      <w:r>
        <w:rPr>
          <w:color w:val="231F20"/>
          <w:spacing w:val="-17"/>
          <w:w w:val="105"/>
        </w:rPr>
        <w:t> </w:t>
      </w:r>
      <w:r>
        <w:rPr>
          <w:color w:val="231F20"/>
          <w:w w:val="105"/>
        </w:rPr>
        <w:t>en</w:t>
      </w:r>
      <w:r>
        <w:rPr>
          <w:color w:val="231F20"/>
          <w:spacing w:val="-17"/>
          <w:w w:val="105"/>
        </w:rPr>
        <w:t> </w:t>
      </w:r>
      <w:r>
        <w:rPr>
          <w:color w:val="231F20"/>
          <w:w w:val="105"/>
        </w:rPr>
        <w:t>mercadotecnia</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que</w:t>
      </w:r>
      <w:r>
        <w:rPr>
          <w:color w:val="231F20"/>
          <w:spacing w:val="-17"/>
          <w:w w:val="105"/>
        </w:rPr>
        <w:t> </w:t>
      </w:r>
      <w:r>
        <w:rPr>
          <w:color w:val="231F20"/>
          <w:w w:val="105"/>
        </w:rPr>
        <w:t>lo</w:t>
      </w:r>
      <w:r>
        <w:rPr>
          <w:color w:val="231F20"/>
          <w:spacing w:val="-17"/>
          <w:w w:val="105"/>
        </w:rPr>
        <w:t> </w:t>
      </w:r>
      <w:r>
        <w:rPr>
          <w:color w:val="231F20"/>
          <w:w w:val="105"/>
        </w:rPr>
        <w:t>hicieron</w:t>
      </w:r>
      <w:r>
        <w:rPr>
          <w:color w:val="231F20"/>
          <w:spacing w:val="-17"/>
          <w:w w:val="105"/>
        </w:rPr>
        <w:t> </w:t>
      </w:r>
      <w:r>
        <w:rPr>
          <w:color w:val="231F20"/>
          <w:w w:val="105"/>
        </w:rPr>
        <w:t>en</w:t>
      </w:r>
      <w:r>
        <w:rPr>
          <w:color w:val="231F20"/>
          <w:spacing w:val="-17"/>
          <w:w w:val="105"/>
        </w:rPr>
        <w:t> </w:t>
      </w:r>
      <w:r>
        <w:rPr>
          <w:color w:val="231F20"/>
          <w:w w:val="105"/>
        </w:rPr>
        <w:t>manufactura.</w:t>
      </w:r>
    </w:p>
    <w:p>
      <w:pPr>
        <w:spacing w:line="259" w:lineRule="auto" w:before="0"/>
        <w:ind w:left="115" w:right="100" w:firstLine="567"/>
        <w:jc w:val="both"/>
        <w:rPr>
          <w:sz w:val="21"/>
        </w:rPr>
      </w:pPr>
      <w:r>
        <w:rPr>
          <w:color w:val="231F20"/>
          <w:w w:val="105"/>
          <w:sz w:val="21"/>
        </w:rPr>
        <w:t>Rubio</w:t>
      </w:r>
      <w:r>
        <w:rPr>
          <w:color w:val="231F20"/>
          <w:spacing w:val="-17"/>
          <w:w w:val="105"/>
          <w:sz w:val="21"/>
        </w:rPr>
        <w:t> </w:t>
      </w:r>
      <w:r>
        <w:rPr>
          <w:color w:val="231F20"/>
          <w:w w:val="105"/>
          <w:sz w:val="21"/>
        </w:rPr>
        <w:t>y</w:t>
      </w:r>
      <w:r>
        <w:rPr>
          <w:color w:val="231F20"/>
          <w:spacing w:val="-17"/>
          <w:w w:val="105"/>
          <w:sz w:val="21"/>
        </w:rPr>
        <w:t> </w:t>
      </w:r>
      <w:r>
        <w:rPr>
          <w:color w:val="231F20"/>
          <w:w w:val="105"/>
          <w:sz w:val="21"/>
        </w:rPr>
        <w:t>Salgado</w:t>
      </w:r>
      <w:r>
        <w:rPr>
          <w:color w:val="231F20"/>
          <w:spacing w:val="-17"/>
          <w:w w:val="105"/>
          <w:sz w:val="21"/>
        </w:rPr>
        <w:t> </w:t>
      </w:r>
      <w:r>
        <w:rPr>
          <w:color w:val="231F20"/>
          <w:w w:val="105"/>
          <w:sz w:val="21"/>
        </w:rPr>
        <w:t>hacen</w:t>
      </w:r>
      <w:r>
        <w:rPr>
          <w:color w:val="231F20"/>
          <w:spacing w:val="-17"/>
          <w:w w:val="105"/>
          <w:sz w:val="21"/>
        </w:rPr>
        <w:t> </w:t>
      </w:r>
      <w:r>
        <w:rPr>
          <w:color w:val="231F20"/>
          <w:w w:val="105"/>
          <w:sz w:val="21"/>
        </w:rPr>
        <w:t>una</w:t>
      </w:r>
      <w:r>
        <w:rPr>
          <w:color w:val="231F20"/>
          <w:spacing w:val="-17"/>
          <w:w w:val="105"/>
          <w:sz w:val="21"/>
        </w:rPr>
        <w:t> </w:t>
      </w:r>
      <w:r>
        <w:rPr>
          <w:color w:val="231F20"/>
          <w:w w:val="105"/>
          <w:sz w:val="21"/>
        </w:rPr>
        <w:t>revisión</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tres</w:t>
      </w:r>
      <w:r>
        <w:rPr>
          <w:color w:val="231F20"/>
          <w:spacing w:val="-17"/>
          <w:w w:val="105"/>
          <w:sz w:val="21"/>
        </w:rPr>
        <w:t> </w:t>
      </w:r>
      <w:r>
        <w:rPr>
          <w:color w:val="231F20"/>
          <w:w w:val="105"/>
          <w:sz w:val="21"/>
        </w:rPr>
        <w:t>teorías</w:t>
      </w:r>
      <w:r>
        <w:rPr>
          <w:color w:val="231F20"/>
          <w:spacing w:val="-17"/>
          <w:w w:val="105"/>
          <w:sz w:val="21"/>
        </w:rPr>
        <w:t> </w:t>
      </w:r>
      <w:r>
        <w:rPr>
          <w:color w:val="231F20"/>
          <w:w w:val="105"/>
          <w:sz w:val="21"/>
        </w:rPr>
        <w:t>del</w:t>
      </w:r>
      <w:r>
        <w:rPr>
          <w:color w:val="231F20"/>
          <w:spacing w:val="-17"/>
          <w:w w:val="105"/>
          <w:sz w:val="21"/>
        </w:rPr>
        <w:t> </w:t>
      </w:r>
      <w:r>
        <w:rPr>
          <w:color w:val="231F20"/>
          <w:w w:val="105"/>
          <w:sz w:val="21"/>
        </w:rPr>
        <w:t>mercado</w:t>
      </w:r>
      <w:r>
        <w:rPr>
          <w:color w:val="231F20"/>
          <w:spacing w:val="-17"/>
          <w:w w:val="105"/>
          <w:sz w:val="21"/>
        </w:rPr>
        <w:t> </w:t>
      </w:r>
      <w:r>
        <w:rPr>
          <w:color w:val="231F20"/>
          <w:w w:val="105"/>
          <w:sz w:val="21"/>
        </w:rPr>
        <w:t>de trabajo:</w:t>
      </w:r>
      <w:r>
        <w:rPr>
          <w:color w:val="231F20"/>
          <w:spacing w:val="-5"/>
          <w:w w:val="105"/>
          <w:sz w:val="21"/>
        </w:rPr>
        <w:t> </w:t>
      </w:r>
      <w:r>
        <w:rPr>
          <w:color w:val="231F20"/>
          <w:w w:val="105"/>
          <w:sz w:val="21"/>
        </w:rPr>
        <w:t>neoclásica,</w:t>
      </w:r>
      <w:r>
        <w:rPr>
          <w:color w:val="231F20"/>
          <w:spacing w:val="-10"/>
          <w:w w:val="105"/>
          <w:sz w:val="21"/>
        </w:rPr>
        <w:t> </w:t>
      </w:r>
      <w:r>
        <w:rPr>
          <w:color w:val="231F20"/>
          <w:w w:val="105"/>
          <w:sz w:val="21"/>
        </w:rPr>
        <w:t>institucionalista</w:t>
      </w:r>
      <w:r>
        <w:rPr>
          <w:color w:val="231F20"/>
          <w:spacing w:val="-5"/>
          <w:w w:val="105"/>
          <w:sz w:val="21"/>
        </w:rPr>
        <w:t> </w:t>
      </w:r>
      <w:r>
        <w:rPr>
          <w:color w:val="231F20"/>
          <w:w w:val="105"/>
          <w:sz w:val="21"/>
        </w:rPr>
        <w:t>y</w:t>
      </w:r>
      <w:r>
        <w:rPr>
          <w:color w:val="231F20"/>
          <w:spacing w:val="-5"/>
          <w:w w:val="105"/>
          <w:sz w:val="21"/>
        </w:rPr>
        <w:t> </w:t>
      </w:r>
      <w:r>
        <w:rPr>
          <w:color w:val="231F20"/>
          <w:w w:val="105"/>
          <w:sz w:val="21"/>
        </w:rPr>
        <w:t>de</w:t>
      </w:r>
      <w:r>
        <w:rPr>
          <w:color w:val="231F20"/>
          <w:spacing w:val="-5"/>
          <w:w w:val="105"/>
          <w:sz w:val="21"/>
        </w:rPr>
        <w:t> </w:t>
      </w:r>
      <w:r>
        <w:rPr>
          <w:color w:val="231F20"/>
          <w:w w:val="105"/>
          <w:sz w:val="21"/>
        </w:rPr>
        <w:t>la</w:t>
      </w:r>
      <w:r>
        <w:rPr>
          <w:color w:val="231F20"/>
          <w:spacing w:val="-5"/>
          <w:w w:val="105"/>
          <w:sz w:val="21"/>
        </w:rPr>
        <w:t> </w:t>
      </w:r>
      <w:r>
        <w:rPr>
          <w:color w:val="231F20"/>
          <w:w w:val="105"/>
          <w:sz w:val="21"/>
        </w:rPr>
        <w:t>segmentación.</w:t>
      </w:r>
      <w:r>
        <w:rPr>
          <w:color w:val="231F20"/>
          <w:spacing w:val="-10"/>
          <w:w w:val="105"/>
          <w:sz w:val="21"/>
        </w:rPr>
        <w:t> </w:t>
      </w:r>
      <w:r>
        <w:rPr>
          <w:color w:val="231F20"/>
          <w:w w:val="105"/>
          <w:sz w:val="21"/>
        </w:rPr>
        <w:t>Con</w:t>
      </w:r>
      <w:r>
        <w:rPr>
          <w:color w:val="231F20"/>
          <w:spacing w:val="-5"/>
          <w:w w:val="105"/>
          <w:sz w:val="21"/>
        </w:rPr>
        <w:t> </w:t>
      </w:r>
      <w:r>
        <w:rPr>
          <w:color w:val="231F20"/>
          <w:w w:val="105"/>
          <w:sz w:val="21"/>
        </w:rPr>
        <w:t>ello</w:t>
      </w:r>
      <w:r>
        <w:rPr>
          <w:color w:val="231F20"/>
          <w:spacing w:val="-5"/>
          <w:w w:val="105"/>
          <w:sz w:val="21"/>
        </w:rPr>
        <w:t> </w:t>
      </w:r>
      <w:r>
        <w:rPr>
          <w:color w:val="231F20"/>
          <w:w w:val="105"/>
          <w:sz w:val="21"/>
        </w:rPr>
        <w:t>con- forman</w:t>
      </w:r>
      <w:r>
        <w:rPr>
          <w:color w:val="231F20"/>
          <w:spacing w:val="-21"/>
          <w:w w:val="105"/>
          <w:sz w:val="21"/>
        </w:rPr>
        <w:t> </w:t>
      </w:r>
      <w:r>
        <w:rPr>
          <w:color w:val="231F20"/>
          <w:w w:val="105"/>
          <w:sz w:val="21"/>
        </w:rPr>
        <w:t>el</w:t>
      </w:r>
      <w:r>
        <w:rPr>
          <w:color w:val="231F20"/>
          <w:spacing w:val="-21"/>
          <w:w w:val="105"/>
          <w:sz w:val="21"/>
        </w:rPr>
        <w:t> </w:t>
      </w:r>
      <w:r>
        <w:rPr>
          <w:color w:val="231F20"/>
          <w:w w:val="105"/>
          <w:sz w:val="21"/>
        </w:rPr>
        <w:t>Capítulo</w:t>
      </w:r>
      <w:r>
        <w:rPr>
          <w:color w:val="231F20"/>
          <w:spacing w:val="-24"/>
          <w:w w:val="105"/>
          <w:sz w:val="21"/>
        </w:rPr>
        <w:t> </w:t>
      </w:r>
      <w:r>
        <w:rPr>
          <w:color w:val="231F20"/>
          <w:w w:val="105"/>
          <w:sz w:val="21"/>
        </w:rPr>
        <w:t>VII</w:t>
      </w:r>
      <w:r>
        <w:rPr>
          <w:color w:val="231F20"/>
          <w:spacing w:val="-21"/>
          <w:w w:val="105"/>
          <w:sz w:val="21"/>
        </w:rPr>
        <w:t> </w:t>
      </w:r>
      <w:r>
        <w:rPr>
          <w:i/>
          <w:color w:val="231F20"/>
          <w:w w:val="105"/>
          <w:sz w:val="21"/>
        </w:rPr>
        <w:t>Mercado</w:t>
      </w:r>
      <w:r>
        <w:rPr>
          <w:i/>
          <w:color w:val="231F20"/>
          <w:spacing w:val="-21"/>
          <w:w w:val="105"/>
          <w:sz w:val="21"/>
        </w:rPr>
        <w:t> </w:t>
      </w:r>
      <w:r>
        <w:rPr>
          <w:i/>
          <w:color w:val="231F20"/>
          <w:w w:val="105"/>
          <w:sz w:val="21"/>
        </w:rPr>
        <w:t>de</w:t>
      </w:r>
      <w:r>
        <w:rPr>
          <w:i/>
          <w:color w:val="231F20"/>
          <w:spacing w:val="-21"/>
          <w:w w:val="105"/>
          <w:sz w:val="21"/>
        </w:rPr>
        <w:t> </w:t>
      </w:r>
      <w:r>
        <w:rPr>
          <w:i/>
          <w:color w:val="231F20"/>
          <w:w w:val="105"/>
          <w:sz w:val="21"/>
        </w:rPr>
        <w:t>trabajo:</w:t>
      </w:r>
      <w:r>
        <w:rPr>
          <w:i/>
          <w:color w:val="231F20"/>
          <w:spacing w:val="-21"/>
          <w:w w:val="105"/>
          <w:sz w:val="21"/>
        </w:rPr>
        <w:t> </w:t>
      </w:r>
      <w:r>
        <w:rPr>
          <w:i/>
          <w:color w:val="231F20"/>
          <w:w w:val="105"/>
          <w:sz w:val="21"/>
        </w:rPr>
        <w:t>teoría</w:t>
      </w:r>
      <w:r>
        <w:rPr>
          <w:i/>
          <w:color w:val="231F20"/>
          <w:spacing w:val="-21"/>
          <w:w w:val="105"/>
          <w:sz w:val="21"/>
        </w:rPr>
        <w:t> </w:t>
      </w:r>
      <w:r>
        <w:rPr>
          <w:i/>
          <w:color w:val="231F20"/>
          <w:w w:val="105"/>
          <w:sz w:val="21"/>
        </w:rPr>
        <w:t>neoclásica</w:t>
      </w:r>
      <w:r>
        <w:rPr>
          <w:i/>
          <w:color w:val="231F20"/>
          <w:spacing w:val="-21"/>
          <w:w w:val="105"/>
          <w:sz w:val="21"/>
        </w:rPr>
        <w:t> </w:t>
      </w:r>
      <w:r>
        <w:rPr>
          <w:i/>
          <w:color w:val="231F20"/>
          <w:w w:val="105"/>
          <w:sz w:val="21"/>
        </w:rPr>
        <w:t>y</w:t>
      </w:r>
      <w:r>
        <w:rPr>
          <w:i/>
          <w:color w:val="231F20"/>
          <w:spacing w:val="-21"/>
          <w:w w:val="105"/>
          <w:sz w:val="21"/>
        </w:rPr>
        <w:t> </w:t>
      </w:r>
      <w:r>
        <w:rPr>
          <w:i/>
          <w:color w:val="231F20"/>
          <w:w w:val="105"/>
          <w:sz w:val="21"/>
        </w:rPr>
        <w:t>teoría</w:t>
      </w:r>
      <w:r>
        <w:rPr>
          <w:i/>
          <w:color w:val="231F20"/>
          <w:spacing w:val="-21"/>
          <w:w w:val="105"/>
          <w:sz w:val="21"/>
        </w:rPr>
        <w:t> </w:t>
      </w:r>
      <w:r>
        <w:rPr>
          <w:i/>
          <w:color w:val="231F20"/>
          <w:w w:val="105"/>
          <w:sz w:val="21"/>
        </w:rPr>
        <w:t>de</w:t>
      </w:r>
      <w:r>
        <w:rPr>
          <w:i/>
          <w:color w:val="231F20"/>
          <w:spacing w:val="-21"/>
          <w:w w:val="105"/>
          <w:sz w:val="21"/>
        </w:rPr>
        <w:t> </w:t>
      </w:r>
      <w:r>
        <w:rPr>
          <w:i/>
          <w:color w:val="231F20"/>
          <w:w w:val="105"/>
          <w:sz w:val="21"/>
        </w:rPr>
        <w:t>la </w:t>
      </w:r>
      <w:r>
        <w:rPr>
          <w:i/>
          <w:color w:val="231F20"/>
          <w:w w:val="105"/>
          <w:sz w:val="21"/>
        </w:rPr>
        <w:t>segmentación.</w:t>
      </w:r>
      <w:r>
        <w:rPr>
          <w:i/>
          <w:color w:val="231F20"/>
          <w:spacing w:val="-31"/>
          <w:w w:val="105"/>
          <w:sz w:val="21"/>
        </w:rPr>
        <w:t> </w:t>
      </w:r>
      <w:r>
        <w:rPr>
          <w:color w:val="231F20"/>
          <w:spacing w:val="-6"/>
          <w:w w:val="105"/>
          <w:sz w:val="21"/>
        </w:rPr>
        <w:t>Por</w:t>
      </w:r>
      <w:r>
        <w:rPr>
          <w:color w:val="231F20"/>
          <w:spacing w:val="-26"/>
          <w:w w:val="105"/>
          <w:sz w:val="21"/>
        </w:rPr>
        <w:t> </w:t>
      </w:r>
      <w:r>
        <w:rPr>
          <w:color w:val="231F20"/>
          <w:w w:val="105"/>
          <w:sz w:val="21"/>
        </w:rPr>
        <w:t>su</w:t>
      </w:r>
      <w:r>
        <w:rPr>
          <w:color w:val="231F20"/>
          <w:spacing w:val="-26"/>
          <w:w w:val="105"/>
          <w:sz w:val="21"/>
        </w:rPr>
        <w:t> </w:t>
      </w:r>
      <w:r>
        <w:rPr>
          <w:color w:val="231F20"/>
          <w:w w:val="105"/>
          <w:sz w:val="21"/>
        </w:rPr>
        <w:t>parte,</w:t>
      </w:r>
      <w:r>
        <w:rPr>
          <w:color w:val="231F20"/>
          <w:spacing w:val="-31"/>
          <w:w w:val="105"/>
          <w:sz w:val="21"/>
        </w:rPr>
        <w:t> </w:t>
      </w:r>
      <w:r>
        <w:rPr>
          <w:color w:val="231F20"/>
          <w:w w:val="105"/>
          <w:sz w:val="21"/>
        </w:rPr>
        <w:t>en</w:t>
      </w:r>
      <w:r>
        <w:rPr>
          <w:color w:val="231F20"/>
          <w:spacing w:val="-26"/>
          <w:w w:val="105"/>
          <w:sz w:val="21"/>
        </w:rPr>
        <w:t> </w:t>
      </w:r>
      <w:r>
        <w:rPr>
          <w:color w:val="231F20"/>
          <w:w w:val="105"/>
          <w:sz w:val="21"/>
        </w:rPr>
        <w:t>el</w:t>
      </w:r>
      <w:r>
        <w:rPr>
          <w:color w:val="231F20"/>
          <w:spacing w:val="-26"/>
          <w:w w:val="105"/>
          <w:sz w:val="21"/>
        </w:rPr>
        <w:t> </w:t>
      </w:r>
      <w:r>
        <w:rPr>
          <w:color w:val="231F20"/>
          <w:w w:val="105"/>
          <w:sz w:val="21"/>
        </w:rPr>
        <w:t>Capítulo</w:t>
      </w:r>
      <w:r>
        <w:rPr>
          <w:color w:val="231F20"/>
          <w:spacing w:val="-29"/>
          <w:w w:val="105"/>
          <w:sz w:val="21"/>
        </w:rPr>
        <w:t> </w:t>
      </w:r>
      <w:r>
        <w:rPr>
          <w:color w:val="231F20"/>
          <w:w w:val="105"/>
          <w:sz w:val="21"/>
        </w:rPr>
        <w:t>VIII</w:t>
      </w:r>
      <w:r>
        <w:rPr>
          <w:color w:val="231F20"/>
          <w:spacing w:val="-26"/>
          <w:w w:val="105"/>
          <w:sz w:val="21"/>
        </w:rPr>
        <w:t> </w:t>
      </w:r>
      <w:r>
        <w:rPr>
          <w:i/>
          <w:color w:val="231F20"/>
          <w:w w:val="105"/>
          <w:sz w:val="21"/>
        </w:rPr>
        <w:t>Rol</w:t>
      </w:r>
      <w:r>
        <w:rPr>
          <w:i/>
          <w:color w:val="231F20"/>
          <w:spacing w:val="-26"/>
          <w:w w:val="105"/>
          <w:sz w:val="21"/>
        </w:rPr>
        <w:t> </w:t>
      </w:r>
      <w:r>
        <w:rPr>
          <w:i/>
          <w:color w:val="231F20"/>
          <w:w w:val="105"/>
          <w:sz w:val="21"/>
        </w:rPr>
        <w:t>institucional</w:t>
      </w:r>
      <w:r>
        <w:rPr>
          <w:i/>
          <w:color w:val="231F20"/>
          <w:spacing w:val="-26"/>
          <w:w w:val="105"/>
          <w:sz w:val="21"/>
        </w:rPr>
        <w:t> </w:t>
      </w:r>
      <w:r>
        <w:rPr>
          <w:i/>
          <w:color w:val="231F20"/>
          <w:w w:val="105"/>
          <w:sz w:val="21"/>
        </w:rPr>
        <w:t>del</w:t>
      </w:r>
      <w:r>
        <w:rPr>
          <w:i/>
          <w:color w:val="231F20"/>
          <w:spacing w:val="-26"/>
          <w:w w:val="105"/>
          <w:sz w:val="21"/>
        </w:rPr>
        <w:t> </w:t>
      </w:r>
      <w:r>
        <w:rPr>
          <w:i/>
          <w:color w:val="231F20"/>
          <w:w w:val="105"/>
          <w:sz w:val="21"/>
        </w:rPr>
        <w:t>gobier- </w:t>
      </w:r>
      <w:r>
        <w:rPr>
          <w:i/>
          <w:color w:val="231F20"/>
          <w:w w:val="105"/>
          <w:sz w:val="21"/>
        </w:rPr>
        <w:t>no</w:t>
      </w:r>
      <w:r>
        <w:rPr>
          <w:i/>
          <w:color w:val="231F20"/>
          <w:spacing w:val="-23"/>
          <w:w w:val="105"/>
          <w:sz w:val="21"/>
        </w:rPr>
        <w:t> </w:t>
      </w:r>
      <w:r>
        <w:rPr>
          <w:i/>
          <w:color w:val="231F20"/>
          <w:w w:val="105"/>
          <w:sz w:val="21"/>
        </w:rPr>
        <w:t>para</w:t>
      </w:r>
      <w:r>
        <w:rPr>
          <w:i/>
          <w:color w:val="231F20"/>
          <w:spacing w:val="-23"/>
          <w:w w:val="105"/>
          <w:sz w:val="21"/>
        </w:rPr>
        <w:t> </w:t>
      </w:r>
      <w:r>
        <w:rPr>
          <w:i/>
          <w:color w:val="231F20"/>
          <w:w w:val="105"/>
          <w:sz w:val="21"/>
        </w:rPr>
        <w:t>el</w:t>
      </w:r>
      <w:r>
        <w:rPr>
          <w:i/>
          <w:color w:val="231F20"/>
          <w:spacing w:val="-23"/>
          <w:w w:val="105"/>
          <w:sz w:val="21"/>
        </w:rPr>
        <w:t> </w:t>
      </w:r>
      <w:r>
        <w:rPr>
          <w:i/>
          <w:color w:val="231F20"/>
          <w:w w:val="105"/>
          <w:sz w:val="21"/>
        </w:rPr>
        <w:t>manejo</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la</w:t>
      </w:r>
      <w:r>
        <w:rPr>
          <w:i/>
          <w:color w:val="231F20"/>
          <w:spacing w:val="-23"/>
          <w:w w:val="105"/>
          <w:sz w:val="21"/>
        </w:rPr>
        <w:t> </w:t>
      </w:r>
      <w:r>
        <w:rPr>
          <w:i/>
          <w:color w:val="231F20"/>
          <w:w w:val="105"/>
          <w:sz w:val="21"/>
        </w:rPr>
        <w:t>posición</w:t>
      </w:r>
      <w:r>
        <w:rPr>
          <w:i/>
          <w:color w:val="231F20"/>
          <w:spacing w:val="-23"/>
          <w:w w:val="105"/>
          <w:sz w:val="21"/>
        </w:rPr>
        <w:t> </w:t>
      </w:r>
      <w:r>
        <w:rPr>
          <w:i/>
          <w:color w:val="231F20"/>
          <w:w w:val="105"/>
          <w:sz w:val="21"/>
        </w:rPr>
        <w:t>fiscal:</w:t>
      </w:r>
      <w:r>
        <w:rPr>
          <w:i/>
          <w:color w:val="231F20"/>
          <w:spacing w:val="-23"/>
          <w:w w:val="105"/>
          <w:sz w:val="21"/>
        </w:rPr>
        <w:t> </w:t>
      </w:r>
      <w:r>
        <w:rPr>
          <w:i/>
          <w:color w:val="231F20"/>
          <w:w w:val="105"/>
          <w:sz w:val="21"/>
        </w:rPr>
        <w:t>implementación</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reglas</w:t>
      </w:r>
      <w:r>
        <w:rPr>
          <w:i/>
          <w:color w:val="231F20"/>
          <w:spacing w:val="-23"/>
          <w:w w:val="105"/>
          <w:sz w:val="21"/>
        </w:rPr>
        <w:t> </w:t>
      </w:r>
      <w:r>
        <w:rPr>
          <w:i/>
          <w:color w:val="231F20"/>
          <w:w w:val="105"/>
          <w:sz w:val="21"/>
        </w:rPr>
        <w:t>fiscales</w:t>
      </w:r>
      <w:r>
        <w:rPr>
          <w:color w:val="231F20"/>
          <w:w w:val="105"/>
          <w:sz w:val="21"/>
        </w:rPr>
        <w:t>, Banegas</w:t>
      </w:r>
      <w:r>
        <w:rPr>
          <w:color w:val="231F20"/>
          <w:spacing w:val="-32"/>
          <w:w w:val="105"/>
          <w:sz w:val="21"/>
        </w:rPr>
        <w:t> </w:t>
      </w:r>
      <w:r>
        <w:rPr>
          <w:color w:val="231F20"/>
          <w:w w:val="105"/>
          <w:sz w:val="21"/>
        </w:rPr>
        <w:t>y</w:t>
      </w:r>
      <w:r>
        <w:rPr>
          <w:color w:val="231F20"/>
          <w:spacing w:val="-32"/>
          <w:w w:val="105"/>
          <w:sz w:val="21"/>
        </w:rPr>
        <w:t> </w:t>
      </w:r>
      <w:r>
        <w:rPr>
          <w:color w:val="231F20"/>
          <w:w w:val="105"/>
          <w:sz w:val="21"/>
        </w:rPr>
        <w:t>González</w:t>
      </w:r>
      <w:r>
        <w:rPr>
          <w:color w:val="231F20"/>
          <w:spacing w:val="-32"/>
          <w:w w:val="105"/>
          <w:sz w:val="21"/>
        </w:rPr>
        <w:t> </w:t>
      </w:r>
      <w:r>
        <w:rPr>
          <w:color w:val="231F20"/>
          <w:w w:val="105"/>
          <w:sz w:val="21"/>
        </w:rPr>
        <w:t>dan</w:t>
      </w:r>
      <w:r>
        <w:rPr>
          <w:color w:val="231F20"/>
          <w:spacing w:val="-32"/>
          <w:w w:val="105"/>
          <w:sz w:val="21"/>
        </w:rPr>
        <w:t> </w:t>
      </w:r>
      <w:r>
        <w:rPr>
          <w:color w:val="231F20"/>
          <w:w w:val="105"/>
          <w:sz w:val="21"/>
        </w:rPr>
        <w:t>respuesta</w:t>
      </w:r>
      <w:r>
        <w:rPr>
          <w:color w:val="231F20"/>
          <w:spacing w:val="-32"/>
          <w:w w:val="105"/>
          <w:sz w:val="21"/>
        </w:rPr>
        <w:t> </w:t>
      </w:r>
      <w:r>
        <w:rPr>
          <w:color w:val="231F20"/>
          <w:w w:val="105"/>
          <w:sz w:val="21"/>
        </w:rPr>
        <w:t>a:</w:t>
      </w:r>
      <w:r>
        <w:rPr>
          <w:color w:val="231F20"/>
          <w:spacing w:val="-32"/>
          <w:w w:val="105"/>
          <w:sz w:val="21"/>
        </w:rPr>
        <w:t> </w:t>
      </w:r>
      <w:r>
        <w:rPr>
          <w:color w:val="231F20"/>
          <w:w w:val="105"/>
          <w:sz w:val="21"/>
        </w:rPr>
        <w:t>¿Cuál</w:t>
      </w:r>
      <w:r>
        <w:rPr>
          <w:color w:val="231F20"/>
          <w:spacing w:val="-32"/>
          <w:w w:val="105"/>
          <w:sz w:val="21"/>
        </w:rPr>
        <w:t> </w:t>
      </w:r>
      <w:r>
        <w:rPr>
          <w:color w:val="231F20"/>
          <w:w w:val="105"/>
          <w:sz w:val="21"/>
        </w:rPr>
        <w:t>es</w:t>
      </w:r>
      <w:r>
        <w:rPr>
          <w:color w:val="231F20"/>
          <w:spacing w:val="-32"/>
          <w:w w:val="105"/>
          <w:sz w:val="21"/>
        </w:rPr>
        <w:t> </w:t>
      </w:r>
      <w:r>
        <w:rPr>
          <w:color w:val="231F20"/>
          <w:w w:val="105"/>
          <w:sz w:val="21"/>
        </w:rPr>
        <w:t>la</w:t>
      </w:r>
      <w:r>
        <w:rPr>
          <w:color w:val="231F20"/>
          <w:spacing w:val="-32"/>
          <w:w w:val="105"/>
          <w:sz w:val="21"/>
        </w:rPr>
        <w:t> </w:t>
      </w:r>
      <w:r>
        <w:rPr>
          <w:color w:val="231F20"/>
          <w:w w:val="105"/>
          <w:sz w:val="21"/>
        </w:rPr>
        <w:t>relevancia</w:t>
      </w:r>
      <w:r>
        <w:rPr>
          <w:color w:val="231F20"/>
          <w:spacing w:val="-32"/>
          <w:w w:val="105"/>
          <w:sz w:val="21"/>
        </w:rPr>
        <w:t> </w:t>
      </w:r>
      <w:r>
        <w:rPr>
          <w:color w:val="231F20"/>
          <w:w w:val="105"/>
          <w:sz w:val="21"/>
        </w:rPr>
        <w:t>del</w:t>
      </w:r>
      <w:r>
        <w:rPr>
          <w:color w:val="231F20"/>
          <w:spacing w:val="-32"/>
          <w:w w:val="105"/>
          <w:sz w:val="21"/>
        </w:rPr>
        <w:t> </w:t>
      </w:r>
      <w:r>
        <w:rPr>
          <w:color w:val="231F20"/>
          <w:w w:val="105"/>
          <w:sz w:val="21"/>
        </w:rPr>
        <w:t>rol</w:t>
      </w:r>
      <w:r>
        <w:rPr>
          <w:color w:val="231F20"/>
          <w:spacing w:val="-32"/>
          <w:w w:val="105"/>
          <w:sz w:val="21"/>
        </w:rPr>
        <w:t> </w:t>
      </w:r>
      <w:r>
        <w:rPr>
          <w:color w:val="231F20"/>
          <w:w w:val="105"/>
          <w:sz w:val="21"/>
        </w:rPr>
        <w:t>institu- cional</w:t>
      </w:r>
      <w:r>
        <w:rPr>
          <w:color w:val="231F20"/>
          <w:spacing w:val="-13"/>
          <w:w w:val="105"/>
          <w:sz w:val="21"/>
        </w:rPr>
        <w:t> </w:t>
      </w:r>
      <w:r>
        <w:rPr>
          <w:color w:val="231F20"/>
          <w:w w:val="105"/>
          <w:sz w:val="21"/>
        </w:rPr>
        <w:t>del</w:t>
      </w:r>
      <w:r>
        <w:rPr>
          <w:color w:val="231F20"/>
          <w:spacing w:val="-13"/>
          <w:w w:val="105"/>
          <w:sz w:val="21"/>
        </w:rPr>
        <w:t> </w:t>
      </w:r>
      <w:r>
        <w:rPr>
          <w:color w:val="231F20"/>
          <w:w w:val="105"/>
          <w:sz w:val="21"/>
        </w:rPr>
        <w:t>gobierno</w:t>
      </w:r>
      <w:r>
        <w:rPr>
          <w:color w:val="231F20"/>
          <w:spacing w:val="-13"/>
          <w:w w:val="105"/>
          <w:sz w:val="21"/>
        </w:rPr>
        <w:t> </w:t>
      </w:r>
      <w:r>
        <w:rPr>
          <w:color w:val="231F20"/>
          <w:w w:val="105"/>
          <w:sz w:val="21"/>
        </w:rPr>
        <w:t>en</w:t>
      </w:r>
      <w:r>
        <w:rPr>
          <w:color w:val="231F20"/>
          <w:spacing w:val="-13"/>
          <w:w w:val="105"/>
          <w:sz w:val="21"/>
        </w:rPr>
        <w:t> </w:t>
      </w:r>
      <w:r>
        <w:rPr>
          <w:color w:val="231F20"/>
          <w:w w:val="105"/>
          <w:sz w:val="21"/>
        </w:rPr>
        <w:t>países</w:t>
      </w:r>
      <w:r>
        <w:rPr>
          <w:color w:val="231F20"/>
          <w:spacing w:val="-13"/>
          <w:w w:val="105"/>
          <w:sz w:val="21"/>
        </w:rPr>
        <w:t> </w:t>
      </w:r>
      <w:r>
        <w:rPr>
          <w:color w:val="231F20"/>
          <w:w w:val="105"/>
          <w:sz w:val="21"/>
        </w:rPr>
        <w:t>dependientes</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recursos</w:t>
      </w:r>
      <w:r>
        <w:rPr>
          <w:color w:val="231F20"/>
          <w:spacing w:val="-13"/>
          <w:w w:val="105"/>
          <w:sz w:val="21"/>
        </w:rPr>
        <w:t> </w:t>
      </w:r>
      <w:r>
        <w:rPr>
          <w:color w:val="231F20"/>
          <w:w w:val="105"/>
          <w:sz w:val="21"/>
        </w:rPr>
        <w:t>naturales?</w:t>
      </w:r>
      <w:r>
        <w:rPr>
          <w:color w:val="231F20"/>
          <w:spacing w:val="-13"/>
          <w:w w:val="105"/>
          <w:sz w:val="21"/>
        </w:rPr>
        <w:t> </w:t>
      </w:r>
      <w:r>
        <w:rPr>
          <w:color w:val="231F20"/>
          <w:spacing w:val="-4"/>
          <w:w w:val="105"/>
          <w:sz w:val="21"/>
        </w:rPr>
        <w:t>¿Por </w:t>
      </w:r>
      <w:r>
        <w:rPr>
          <w:color w:val="231F20"/>
          <w:w w:val="105"/>
          <w:sz w:val="21"/>
        </w:rPr>
        <w:t>qué</w:t>
      </w:r>
      <w:r>
        <w:rPr>
          <w:color w:val="231F20"/>
          <w:spacing w:val="-14"/>
          <w:w w:val="105"/>
          <w:sz w:val="21"/>
        </w:rPr>
        <w:t> </w:t>
      </w:r>
      <w:r>
        <w:rPr>
          <w:color w:val="231F20"/>
          <w:w w:val="105"/>
          <w:sz w:val="21"/>
        </w:rPr>
        <w:t>es</w:t>
      </w:r>
      <w:r>
        <w:rPr>
          <w:color w:val="231F20"/>
          <w:spacing w:val="-14"/>
          <w:w w:val="105"/>
          <w:sz w:val="21"/>
        </w:rPr>
        <w:t> </w:t>
      </w:r>
      <w:r>
        <w:rPr>
          <w:color w:val="231F20"/>
          <w:w w:val="105"/>
          <w:sz w:val="21"/>
        </w:rPr>
        <w:t>importante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implementación</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una</w:t>
      </w:r>
      <w:r>
        <w:rPr>
          <w:color w:val="231F20"/>
          <w:spacing w:val="-14"/>
          <w:w w:val="105"/>
          <w:sz w:val="21"/>
        </w:rPr>
        <w:t> </w:t>
      </w:r>
      <w:r>
        <w:rPr>
          <w:color w:val="231F20"/>
          <w:w w:val="105"/>
          <w:sz w:val="21"/>
        </w:rPr>
        <w:t>regla</w:t>
      </w:r>
      <w:r>
        <w:rPr>
          <w:color w:val="231F20"/>
          <w:spacing w:val="-14"/>
          <w:w w:val="105"/>
          <w:sz w:val="21"/>
        </w:rPr>
        <w:t> </w:t>
      </w:r>
      <w:r>
        <w:rPr>
          <w:color w:val="231F20"/>
          <w:w w:val="105"/>
          <w:sz w:val="21"/>
        </w:rPr>
        <w:t>fiscal?</w:t>
      </w:r>
    </w:p>
    <w:p>
      <w:pPr>
        <w:spacing w:line="259" w:lineRule="auto" w:before="0"/>
        <w:ind w:left="115" w:right="106" w:firstLine="567"/>
        <w:jc w:val="both"/>
        <w:rPr>
          <w:sz w:val="21"/>
        </w:rPr>
      </w:pPr>
      <w:r>
        <w:rPr>
          <w:color w:val="231F20"/>
          <w:w w:val="105"/>
          <w:sz w:val="21"/>
        </w:rPr>
        <w:t>En el Capítulo IX A</w:t>
      </w:r>
      <w:r>
        <w:rPr>
          <w:i/>
          <w:color w:val="231F20"/>
          <w:w w:val="105"/>
          <w:sz w:val="21"/>
        </w:rPr>
        <w:t>dministración de riesgos a través de opciones </w:t>
      </w:r>
      <w:r>
        <w:rPr>
          <w:i/>
          <w:color w:val="231F20"/>
          <w:w w:val="105"/>
          <w:sz w:val="21"/>
        </w:rPr>
        <w:t>sobre tipo de cambio peso mexicano-dólar estadounidense, </w:t>
      </w:r>
      <w:r>
        <w:rPr>
          <w:color w:val="231F20"/>
          <w:w w:val="105"/>
          <w:sz w:val="21"/>
        </w:rPr>
        <w:t>Nájera y Agüero</w:t>
      </w:r>
      <w:r>
        <w:rPr>
          <w:color w:val="231F20"/>
          <w:spacing w:val="-14"/>
          <w:w w:val="105"/>
          <w:sz w:val="21"/>
        </w:rPr>
        <w:t> </w:t>
      </w:r>
      <w:r>
        <w:rPr>
          <w:color w:val="231F20"/>
          <w:w w:val="105"/>
          <w:sz w:val="21"/>
        </w:rPr>
        <w:t>examinan,</w:t>
      </w:r>
      <w:r>
        <w:rPr>
          <w:color w:val="231F20"/>
          <w:spacing w:val="-20"/>
          <w:w w:val="105"/>
          <w:sz w:val="21"/>
        </w:rPr>
        <w:t> </w:t>
      </w:r>
      <w:r>
        <w:rPr>
          <w:color w:val="231F20"/>
          <w:w w:val="105"/>
          <w:sz w:val="21"/>
        </w:rPr>
        <w:t>a</w:t>
      </w:r>
      <w:r>
        <w:rPr>
          <w:color w:val="231F20"/>
          <w:spacing w:val="-14"/>
          <w:w w:val="105"/>
          <w:sz w:val="21"/>
        </w:rPr>
        <w:t> </w:t>
      </w:r>
      <w:r>
        <w:rPr>
          <w:color w:val="231F20"/>
          <w:w w:val="105"/>
          <w:sz w:val="21"/>
        </w:rPr>
        <w:t>partir</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una</w:t>
      </w:r>
      <w:r>
        <w:rPr>
          <w:color w:val="231F20"/>
          <w:spacing w:val="-14"/>
          <w:w w:val="105"/>
          <w:sz w:val="21"/>
        </w:rPr>
        <w:t> </w:t>
      </w:r>
      <w:r>
        <w:rPr>
          <w:color w:val="231F20"/>
          <w:w w:val="105"/>
          <w:sz w:val="21"/>
        </w:rPr>
        <w:t>muestra</w:t>
      </w:r>
      <w:r>
        <w:rPr>
          <w:color w:val="231F20"/>
          <w:spacing w:val="-14"/>
          <w:w w:val="105"/>
          <w:sz w:val="21"/>
        </w:rPr>
        <w:t> </w:t>
      </w:r>
      <w:r>
        <w:rPr>
          <w:color w:val="231F20"/>
          <w:w w:val="105"/>
          <w:sz w:val="21"/>
        </w:rPr>
        <w:t>diaria</w:t>
      </w:r>
      <w:r>
        <w:rPr>
          <w:color w:val="231F20"/>
          <w:spacing w:val="-14"/>
          <w:w w:val="105"/>
          <w:sz w:val="21"/>
        </w:rPr>
        <w:t> </w:t>
      </w:r>
      <w:r>
        <w:rPr>
          <w:color w:val="231F20"/>
          <w:w w:val="105"/>
          <w:sz w:val="21"/>
        </w:rPr>
        <w:t>durante</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periodo</w:t>
      </w:r>
      <w:r>
        <w:rPr>
          <w:color w:val="231F20"/>
          <w:spacing w:val="-14"/>
          <w:w w:val="105"/>
          <w:sz w:val="21"/>
        </w:rPr>
        <w:t> </w:t>
      </w:r>
      <w:r>
        <w:rPr>
          <w:color w:val="231F20"/>
          <w:w w:val="105"/>
          <w:sz w:val="21"/>
        </w:rPr>
        <w:t>2003 a 2012 para opciones del tipo de cambio peso mexicano-dólar</w:t>
      </w:r>
      <w:r>
        <w:rPr>
          <w:color w:val="231F20"/>
          <w:spacing w:val="-32"/>
          <w:w w:val="105"/>
          <w:sz w:val="21"/>
        </w:rPr>
        <w:t> </w:t>
      </w:r>
      <w:r>
        <w:rPr>
          <w:color w:val="231F20"/>
          <w:w w:val="105"/>
          <w:sz w:val="21"/>
        </w:rPr>
        <w:t>estadou- nidense</w:t>
      </w:r>
      <w:r>
        <w:rPr>
          <w:color w:val="231F20"/>
          <w:spacing w:val="-6"/>
          <w:w w:val="105"/>
          <w:sz w:val="21"/>
        </w:rPr>
        <w:t> </w:t>
      </w:r>
      <w:r>
        <w:rPr>
          <w:color w:val="231F20"/>
          <w:w w:val="105"/>
          <w:sz w:val="21"/>
        </w:rPr>
        <w:t>negociado</w:t>
      </w:r>
      <w:r>
        <w:rPr>
          <w:color w:val="231F20"/>
          <w:spacing w:val="-6"/>
          <w:w w:val="105"/>
          <w:sz w:val="21"/>
        </w:rPr>
        <w:t> </w:t>
      </w:r>
      <w:r>
        <w:rPr>
          <w:color w:val="231F20"/>
          <w:w w:val="105"/>
          <w:sz w:val="21"/>
        </w:rPr>
        <w:t>en</w:t>
      </w:r>
      <w:r>
        <w:rPr>
          <w:color w:val="231F20"/>
          <w:spacing w:val="-6"/>
          <w:w w:val="105"/>
          <w:sz w:val="21"/>
        </w:rPr>
        <w:t> </w:t>
      </w:r>
      <w:r>
        <w:rPr>
          <w:color w:val="231F20"/>
          <w:w w:val="105"/>
          <w:sz w:val="21"/>
        </w:rPr>
        <w:t>el</w:t>
      </w:r>
      <w:r>
        <w:rPr>
          <w:color w:val="231F20"/>
          <w:spacing w:val="-6"/>
          <w:w w:val="105"/>
          <w:sz w:val="21"/>
        </w:rPr>
        <w:t> </w:t>
      </w:r>
      <w:r>
        <w:rPr>
          <w:color w:val="231F20"/>
          <w:w w:val="105"/>
          <w:sz w:val="21"/>
        </w:rPr>
        <w:t>Mercado</w:t>
      </w:r>
      <w:r>
        <w:rPr>
          <w:color w:val="231F20"/>
          <w:spacing w:val="-6"/>
          <w:w w:val="105"/>
          <w:sz w:val="21"/>
        </w:rPr>
        <w:t> </w:t>
      </w:r>
      <w:r>
        <w:rPr>
          <w:color w:val="231F20"/>
          <w:w w:val="105"/>
          <w:sz w:val="21"/>
        </w:rPr>
        <w:t>Mexicano</w:t>
      </w:r>
      <w:r>
        <w:rPr>
          <w:color w:val="231F20"/>
          <w:spacing w:val="-6"/>
          <w:w w:val="105"/>
          <w:sz w:val="21"/>
        </w:rPr>
        <w:t> </w:t>
      </w:r>
      <w:r>
        <w:rPr>
          <w:color w:val="231F20"/>
          <w:w w:val="105"/>
          <w:sz w:val="21"/>
        </w:rPr>
        <w:t>de</w:t>
      </w:r>
      <w:r>
        <w:rPr>
          <w:color w:val="231F20"/>
          <w:spacing w:val="-6"/>
          <w:w w:val="105"/>
          <w:sz w:val="21"/>
        </w:rPr>
        <w:t> </w:t>
      </w:r>
      <w:r>
        <w:rPr>
          <w:color w:val="231F20"/>
          <w:w w:val="105"/>
          <w:sz w:val="21"/>
        </w:rPr>
        <w:t>Derivados,</w:t>
      </w:r>
      <w:r>
        <w:rPr>
          <w:color w:val="231F20"/>
          <w:spacing w:val="-12"/>
          <w:w w:val="105"/>
          <w:sz w:val="21"/>
        </w:rPr>
        <w:t> </w:t>
      </w:r>
      <w:r>
        <w:rPr>
          <w:color w:val="231F20"/>
          <w:w w:val="105"/>
          <w:sz w:val="21"/>
        </w:rPr>
        <w:t>el</w:t>
      </w:r>
      <w:r>
        <w:rPr>
          <w:color w:val="231F20"/>
          <w:spacing w:val="-6"/>
          <w:w w:val="105"/>
          <w:sz w:val="21"/>
        </w:rPr>
        <w:t> </w:t>
      </w:r>
      <w:r>
        <w:rPr>
          <w:color w:val="231F20"/>
          <w:w w:val="105"/>
          <w:sz w:val="21"/>
        </w:rPr>
        <w:t>comporta- miento del precio de la opción bajo modelos con volatilidad constante y estocástica</w:t>
      </w:r>
      <w:r>
        <w:rPr>
          <w:color w:val="231F20"/>
          <w:spacing w:val="-18"/>
          <w:w w:val="105"/>
          <w:sz w:val="21"/>
        </w:rPr>
        <w:t> </w:t>
      </w:r>
      <w:r>
        <w:rPr>
          <w:color w:val="231F20"/>
          <w:w w:val="105"/>
          <w:sz w:val="21"/>
        </w:rPr>
        <w:t>para</w:t>
      </w:r>
      <w:r>
        <w:rPr>
          <w:color w:val="231F20"/>
          <w:spacing w:val="-18"/>
          <w:w w:val="105"/>
          <w:sz w:val="21"/>
        </w:rPr>
        <w:t> </w:t>
      </w:r>
      <w:r>
        <w:rPr>
          <w:color w:val="231F20"/>
          <w:w w:val="105"/>
          <w:sz w:val="21"/>
        </w:rPr>
        <w:t>reducir</w:t>
      </w:r>
      <w:r>
        <w:rPr>
          <w:color w:val="231F20"/>
          <w:spacing w:val="-18"/>
          <w:w w:val="105"/>
          <w:sz w:val="21"/>
        </w:rPr>
        <w:t> </w:t>
      </w:r>
      <w:r>
        <w:rPr>
          <w:color w:val="231F20"/>
          <w:w w:val="105"/>
          <w:sz w:val="21"/>
        </w:rPr>
        <w:t>el</w:t>
      </w:r>
      <w:r>
        <w:rPr>
          <w:color w:val="231F20"/>
          <w:spacing w:val="-18"/>
          <w:w w:val="105"/>
          <w:sz w:val="21"/>
        </w:rPr>
        <w:t> </w:t>
      </w:r>
      <w:r>
        <w:rPr>
          <w:color w:val="231F20"/>
          <w:w w:val="105"/>
          <w:sz w:val="21"/>
        </w:rPr>
        <w:t>riesgo</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mercado.</w:t>
      </w:r>
    </w:p>
    <w:p>
      <w:pPr>
        <w:spacing w:line="259" w:lineRule="auto" w:before="0"/>
        <w:ind w:left="115" w:right="107" w:firstLine="567"/>
        <w:jc w:val="both"/>
        <w:rPr>
          <w:i/>
          <w:sz w:val="21"/>
        </w:rPr>
      </w:pPr>
      <w:r>
        <w:rPr>
          <w:color w:val="231F20"/>
          <w:spacing w:val="-4"/>
          <w:w w:val="105"/>
          <w:sz w:val="21"/>
        </w:rPr>
        <w:t>Para</w:t>
      </w:r>
      <w:r>
        <w:rPr>
          <w:color w:val="231F20"/>
          <w:spacing w:val="-19"/>
          <w:w w:val="105"/>
          <w:sz w:val="21"/>
        </w:rPr>
        <w:t> </w:t>
      </w:r>
      <w:r>
        <w:rPr>
          <w:color w:val="231F20"/>
          <w:w w:val="105"/>
          <w:sz w:val="21"/>
        </w:rPr>
        <w:t>explicar</w:t>
      </w:r>
      <w:r>
        <w:rPr>
          <w:color w:val="231F20"/>
          <w:spacing w:val="-19"/>
          <w:w w:val="105"/>
          <w:sz w:val="21"/>
        </w:rPr>
        <w:t> </w:t>
      </w:r>
      <w:r>
        <w:rPr>
          <w:color w:val="231F20"/>
          <w:w w:val="105"/>
          <w:sz w:val="21"/>
        </w:rPr>
        <w:t>las</w:t>
      </w:r>
      <w:r>
        <w:rPr>
          <w:color w:val="231F20"/>
          <w:spacing w:val="-19"/>
          <w:w w:val="105"/>
          <w:sz w:val="21"/>
        </w:rPr>
        <w:t> </w:t>
      </w:r>
      <w:r>
        <w:rPr>
          <w:color w:val="231F20"/>
          <w:w w:val="105"/>
          <w:sz w:val="21"/>
        </w:rPr>
        <w:t>causas</w:t>
      </w:r>
      <w:r>
        <w:rPr>
          <w:color w:val="231F20"/>
          <w:spacing w:val="-19"/>
          <w:w w:val="105"/>
          <w:sz w:val="21"/>
        </w:rPr>
        <w:t> </w:t>
      </w:r>
      <w:r>
        <w:rPr>
          <w:color w:val="231F20"/>
          <w:w w:val="105"/>
          <w:sz w:val="21"/>
        </w:rPr>
        <w:t>del</w:t>
      </w:r>
      <w:r>
        <w:rPr>
          <w:color w:val="231F20"/>
          <w:spacing w:val="-19"/>
          <w:w w:val="105"/>
          <w:sz w:val="21"/>
        </w:rPr>
        <w:t> </w:t>
      </w:r>
      <w:r>
        <w:rPr>
          <w:color w:val="231F20"/>
          <w:w w:val="105"/>
          <w:sz w:val="21"/>
        </w:rPr>
        <w:t>crecimiento</w:t>
      </w:r>
      <w:r>
        <w:rPr>
          <w:color w:val="231F20"/>
          <w:spacing w:val="-19"/>
          <w:w w:val="105"/>
          <w:sz w:val="21"/>
        </w:rPr>
        <w:t> </w:t>
      </w:r>
      <w:r>
        <w:rPr>
          <w:color w:val="231F20"/>
          <w:w w:val="105"/>
          <w:sz w:val="21"/>
        </w:rPr>
        <w:t>económico</w:t>
      </w:r>
      <w:r>
        <w:rPr>
          <w:color w:val="231F20"/>
          <w:spacing w:val="-19"/>
          <w:w w:val="105"/>
          <w:sz w:val="21"/>
        </w:rPr>
        <w:t> </w:t>
      </w:r>
      <w:r>
        <w:rPr>
          <w:color w:val="231F20"/>
          <w:w w:val="105"/>
          <w:sz w:val="21"/>
        </w:rPr>
        <w:t>regional</w:t>
      </w:r>
      <w:r>
        <w:rPr>
          <w:color w:val="231F20"/>
          <w:spacing w:val="-19"/>
          <w:w w:val="105"/>
          <w:sz w:val="21"/>
        </w:rPr>
        <w:t> </w:t>
      </w:r>
      <w:r>
        <w:rPr>
          <w:color w:val="231F20"/>
          <w:w w:val="105"/>
          <w:sz w:val="21"/>
        </w:rPr>
        <w:t>desde la</w:t>
      </w:r>
      <w:r>
        <w:rPr>
          <w:color w:val="231F20"/>
          <w:spacing w:val="-6"/>
          <w:w w:val="105"/>
          <w:sz w:val="21"/>
        </w:rPr>
        <w:t> </w:t>
      </w:r>
      <w:r>
        <w:rPr>
          <w:color w:val="231F20"/>
          <w:w w:val="105"/>
          <w:sz w:val="21"/>
        </w:rPr>
        <w:t>oferta</w:t>
      </w:r>
      <w:r>
        <w:rPr>
          <w:color w:val="231F20"/>
          <w:spacing w:val="-6"/>
          <w:w w:val="105"/>
          <w:sz w:val="21"/>
        </w:rPr>
        <w:t> </w:t>
      </w:r>
      <w:r>
        <w:rPr>
          <w:color w:val="231F20"/>
          <w:w w:val="105"/>
          <w:sz w:val="21"/>
        </w:rPr>
        <w:t>y</w:t>
      </w:r>
      <w:r>
        <w:rPr>
          <w:color w:val="231F20"/>
          <w:spacing w:val="-6"/>
          <w:w w:val="105"/>
          <w:sz w:val="21"/>
        </w:rPr>
        <w:t> </w:t>
      </w:r>
      <w:r>
        <w:rPr>
          <w:color w:val="231F20"/>
          <w:w w:val="105"/>
          <w:sz w:val="21"/>
        </w:rPr>
        <w:t>la</w:t>
      </w:r>
      <w:r>
        <w:rPr>
          <w:color w:val="231F20"/>
          <w:spacing w:val="-6"/>
          <w:w w:val="105"/>
          <w:sz w:val="21"/>
        </w:rPr>
        <w:t> </w:t>
      </w:r>
      <w:r>
        <w:rPr>
          <w:color w:val="231F20"/>
          <w:w w:val="105"/>
          <w:sz w:val="21"/>
        </w:rPr>
        <w:t>demanda,</w:t>
      </w:r>
      <w:r>
        <w:rPr>
          <w:color w:val="231F20"/>
          <w:spacing w:val="-12"/>
          <w:w w:val="105"/>
          <w:sz w:val="21"/>
        </w:rPr>
        <w:t> </w:t>
      </w:r>
      <w:r>
        <w:rPr>
          <w:color w:val="231F20"/>
          <w:w w:val="105"/>
          <w:sz w:val="21"/>
        </w:rPr>
        <w:t>Rendón</w:t>
      </w:r>
      <w:r>
        <w:rPr>
          <w:color w:val="231F20"/>
          <w:spacing w:val="-6"/>
          <w:w w:val="105"/>
          <w:sz w:val="21"/>
        </w:rPr>
        <w:t> </w:t>
      </w:r>
      <w:r>
        <w:rPr>
          <w:color w:val="231F20"/>
          <w:w w:val="105"/>
          <w:sz w:val="21"/>
        </w:rPr>
        <w:t>y</w:t>
      </w:r>
      <w:r>
        <w:rPr>
          <w:color w:val="231F20"/>
          <w:spacing w:val="-6"/>
          <w:w w:val="105"/>
          <w:sz w:val="21"/>
        </w:rPr>
        <w:t> </w:t>
      </w:r>
      <w:r>
        <w:rPr>
          <w:color w:val="231F20"/>
          <w:w w:val="105"/>
          <w:sz w:val="21"/>
        </w:rPr>
        <w:t>Salgado</w:t>
      </w:r>
      <w:r>
        <w:rPr>
          <w:color w:val="231F20"/>
          <w:spacing w:val="-6"/>
          <w:w w:val="105"/>
          <w:sz w:val="21"/>
        </w:rPr>
        <w:t> </w:t>
      </w:r>
      <w:r>
        <w:rPr>
          <w:color w:val="231F20"/>
          <w:w w:val="105"/>
          <w:sz w:val="21"/>
        </w:rPr>
        <w:t>recurren</w:t>
      </w:r>
      <w:r>
        <w:rPr>
          <w:color w:val="231F20"/>
          <w:spacing w:val="-6"/>
          <w:w w:val="105"/>
          <w:sz w:val="21"/>
        </w:rPr>
        <w:t> </w:t>
      </w:r>
      <w:r>
        <w:rPr>
          <w:color w:val="231F20"/>
          <w:w w:val="105"/>
          <w:sz w:val="21"/>
        </w:rPr>
        <w:t>a</w:t>
      </w:r>
      <w:r>
        <w:rPr>
          <w:color w:val="231F20"/>
          <w:spacing w:val="-6"/>
          <w:w w:val="105"/>
          <w:sz w:val="21"/>
        </w:rPr>
        <w:t> </w:t>
      </w:r>
      <w:r>
        <w:rPr>
          <w:color w:val="231F20"/>
          <w:w w:val="105"/>
          <w:sz w:val="21"/>
        </w:rPr>
        <w:t>las</w:t>
      </w:r>
      <w:r>
        <w:rPr>
          <w:color w:val="231F20"/>
          <w:spacing w:val="-6"/>
          <w:w w:val="105"/>
          <w:sz w:val="21"/>
        </w:rPr>
        <w:t> </w:t>
      </w:r>
      <w:r>
        <w:rPr>
          <w:color w:val="231F20"/>
          <w:w w:val="105"/>
          <w:sz w:val="21"/>
        </w:rPr>
        <w:t>teorías</w:t>
      </w:r>
      <w:r>
        <w:rPr>
          <w:color w:val="231F20"/>
          <w:spacing w:val="-6"/>
          <w:w w:val="105"/>
          <w:sz w:val="21"/>
        </w:rPr>
        <w:t> </w:t>
      </w:r>
      <w:r>
        <w:rPr>
          <w:color w:val="231F20"/>
          <w:w w:val="105"/>
          <w:sz w:val="21"/>
        </w:rPr>
        <w:t>neoclá- sicas</w:t>
      </w:r>
      <w:r>
        <w:rPr>
          <w:color w:val="231F20"/>
          <w:spacing w:val="-14"/>
          <w:w w:val="105"/>
          <w:sz w:val="21"/>
        </w:rPr>
        <w:t> </w:t>
      </w:r>
      <w:r>
        <w:rPr>
          <w:color w:val="231F20"/>
          <w:w w:val="105"/>
          <w:sz w:val="21"/>
        </w:rPr>
        <w:t>y</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visión</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Keynes</w:t>
      </w:r>
      <w:r>
        <w:rPr>
          <w:color w:val="231F20"/>
          <w:spacing w:val="-14"/>
          <w:w w:val="105"/>
          <w:sz w:val="21"/>
        </w:rPr>
        <w:t> </w:t>
      </w:r>
      <w:r>
        <w:rPr>
          <w:color w:val="231F20"/>
          <w:w w:val="105"/>
          <w:sz w:val="21"/>
        </w:rPr>
        <w:t>y</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Kaldor,</w:t>
      </w:r>
      <w:r>
        <w:rPr>
          <w:color w:val="231F20"/>
          <w:spacing w:val="-18"/>
          <w:w w:val="105"/>
          <w:sz w:val="21"/>
        </w:rPr>
        <w:t> </w:t>
      </w:r>
      <w:r>
        <w:rPr>
          <w:color w:val="231F20"/>
          <w:w w:val="105"/>
          <w:sz w:val="21"/>
        </w:rPr>
        <w:t>conformando</w:t>
      </w:r>
      <w:r>
        <w:rPr>
          <w:color w:val="231F20"/>
          <w:spacing w:val="-14"/>
          <w:w w:val="105"/>
          <w:sz w:val="21"/>
        </w:rPr>
        <w:t> </w:t>
      </w:r>
      <w:r>
        <w:rPr>
          <w:color w:val="231F20"/>
          <w:w w:val="105"/>
          <w:sz w:val="21"/>
        </w:rPr>
        <w:t>así</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Capítulo</w:t>
      </w:r>
      <w:r>
        <w:rPr>
          <w:color w:val="231F20"/>
          <w:spacing w:val="-15"/>
          <w:w w:val="105"/>
          <w:sz w:val="21"/>
        </w:rPr>
        <w:t> </w:t>
      </w:r>
      <w:r>
        <w:rPr>
          <w:color w:val="231F20"/>
          <w:w w:val="105"/>
          <w:sz w:val="21"/>
        </w:rPr>
        <w:t>X</w:t>
      </w:r>
      <w:r>
        <w:rPr>
          <w:color w:val="231F20"/>
          <w:spacing w:val="-15"/>
          <w:w w:val="105"/>
          <w:sz w:val="21"/>
        </w:rPr>
        <w:t> </w:t>
      </w:r>
      <w:r>
        <w:rPr>
          <w:i/>
          <w:color w:val="231F20"/>
          <w:w w:val="105"/>
          <w:sz w:val="21"/>
        </w:rPr>
        <w:t>El </w:t>
      </w:r>
      <w:r>
        <w:rPr>
          <w:i/>
          <w:color w:val="231F20"/>
          <w:w w:val="105"/>
          <w:sz w:val="21"/>
        </w:rPr>
        <w:t>crecimiento</w:t>
      </w:r>
      <w:r>
        <w:rPr>
          <w:i/>
          <w:color w:val="231F20"/>
          <w:spacing w:val="-27"/>
          <w:w w:val="105"/>
          <w:sz w:val="21"/>
        </w:rPr>
        <w:t> </w:t>
      </w:r>
      <w:r>
        <w:rPr>
          <w:i/>
          <w:color w:val="231F20"/>
          <w:w w:val="105"/>
          <w:sz w:val="21"/>
        </w:rPr>
        <w:t>económico</w:t>
      </w:r>
      <w:r>
        <w:rPr>
          <w:i/>
          <w:color w:val="231F20"/>
          <w:spacing w:val="-27"/>
          <w:w w:val="105"/>
          <w:sz w:val="21"/>
        </w:rPr>
        <w:t> </w:t>
      </w:r>
      <w:r>
        <w:rPr>
          <w:i/>
          <w:color w:val="231F20"/>
          <w:w w:val="105"/>
          <w:sz w:val="21"/>
        </w:rPr>
        <w:t>regional</w:t>
      </w:r>
      <w:r>
        <w:rPr>
          <w:i/>
          <w:color w:val="231F20"/>
          <w:spacing w:val="-27"/>
          <w:w w:val="105"/>
          <w:sz w:val="21"/>
        </w:rPr>
        <w:t> </w:t>
      </w:r>
      <w:r>
        <w:rPr>
          <w:i/>
          <w:color w:val="231F20"/>
          <w:w w:val="105"/>
          <w:sz w:val="21"/>
        </w:rPr>
        <w:t>a</w:t>
      </w:r>
      <w:r>
        <w:rPr>
          <w:i/>
          <w:color w:val="231F20"/>
          <w:spacing w:val="-27"/>
          <w:w w:val="105"/>
          <w:sz w:val="21"/>
        </w:rPr>
        <w:t> </w:t>
      </w:r>
      <w:r>
        <w:rPr>
          <w:i/>
          <w:color w:val="231F20"/>
          <w:w w:val="105"/>
          <w:sz w:val="21"/>
        </w:rPr>
        <w:t>través</w:t>
      </w:r>
      <w:r>
        <w:rPr>
          <w:i/>
          <w:color w:val="231F20"/>
          <w:spacing w:val="-27"/>
          <w:w w:val="105"/>
          <w:sz w:val="21"/>
        </w:rPr>
        <w:t> </w:t>
      </w:r>
      <w:r>
        <w:rPr>
          <w:i/>
          <w:color w:val="231F20"/>
          <w:w w:val="105"/>
          <w:sz w:val="21"/>
        </w:rPr>
        <w:t>de</w:t>
      </w:r>
      <w:r>
        <w:rPr>
          <w:i/>
          <w:color w:val="231F20"/>
          <w:spacing w:val="-27"/>
          <w:w w:val="105"/>
          <w:sz w:val="21"/>
        </w:rPr>
        <w:t> </w:t>
      </w:r>
      <w:r>
        <w:rPr>
          <w:i/>
          <w:color w:val="231F20"/>
          <w:w w:val="105"/>
          <w:sz w:val="21"/>
        </w:rPr>
        <w:t>sus</w:t>
      </w:r>
      <w:r>
        <w:rPr>
          <w:i/>
          <w:color w:val="231F20"/>
          <w:spacing w:val="-27"/>
          <w:w w:val="105"/>
          <w:sz w:val="21"/>
        </w:rPr>
        <w:t> </w:t>
      </w:r>
      <w:r>
        <w:rPr>
          <w:i/>
          <w:color w:val="231F20"/>
          <w:w w:val="105"/>
          <w:sz w:val="21"/>
        </w:rPr>
        <w:t>enfoques.</w:t>
      </w:r>
    </w:p>
    <w:p>
      <w:pPr>
        <w:pStyle w:val="BodyText"/>
        <w:spacing w:line="259" w:lineRule="auto"/>
        <w:ind w:left="115" w:right="106" w:firstLine="566"/>
        <w:jc w:val="both"/>
      </w:pPr>
      <w:r>
        <w:rPr>
          <w:color w:val="231F20"/>
          <w:spacing w:val="-4"/>
          <w:w w:val="105"/>
        </w:rPr>
        <w:t>Munguía,</w:t>
      </w:r>
      <w:r>
        <w:rPr>
          <w:color w:val="231F20"/>
          <w:spacing w:val="-14"/>
          <w:w w:val="105"/>
        </w:rPr>
        <w:t> </w:t>
      </w:r>
      <w:r>
        <w:rPr>
          <w:color w:val="231F20"/>
          <w:spacing w:val="-4"/>
          <w:w w:val="105"/>
        </w:rPr>
        <w:t>Quiroz</w:t>
      </w:r>
      <w:r>
        <w:rPr>
          <w:color w:val="231F20"/>
          <w:spacing w:val="-9"/>
          <w:w w:val="105"/>
        </w:rPr>
        <w:t> </w:t>
      </w:r>
      <w:r>
        <w:rPr>
          <w:color w:val="231F20"/>
          <w:w w:val="105"/>
        </w:rPr>
        <w:t>y</w:t>
      </w:r>
      <w:r>
        <w:rPr>
          <w:color w:val="231F20"/>
          <w:spacing w:val="-9"/>
          <w:w w:val="105"/>
        </w:rPr>
        <w:t> </w:t>
      </w:r>
      <w:r>
        <w:rPr>
          <w:color w:val="231F20"/>
          <w:spacing w:val="-4"/>
          <w:w w:val="105"/>
        </w:rPr>
        <w:t>Martínez</w:t>
      </w:r>
      <w:r>
        <w:rPr>
          <w:color w:val="231F20"/>
          <w:spacing w:val="-9"/>
          <w:w w:val="105"/>
        </w:rPr>
        <w:t> </w:t>
      </w:r>
      <w:r>
        <w:rPr>
          <w:color w:val="231F20"/>
          <w:spacing w:val="-4"/>
          <w:w w:val="105"/>
        </w:rPr>
        <w:t>elaboran</w:t>
      </w:r>
      <w:r>
        <w:rPr>
          <w:color w:val="231F20"/>
          <w:spacing w:val="-9"/>
          <w:w w:val="105"/>
        </w:rPr>
        <w:t> </w:t>
      </w:r>
      <w:r>
        <w:rPr>
          <w:color w:val="231F20"/>
          <w:w w:val="105"/>
        </w:rPr>
        <w:t>el</w:t>
      </w:r>
      <w:r>
        <w:rPr>
          <w:color w:val="231F20"/>
          <w:spacing w:val="-9"/>
          <w:w w:val="105"/>
        </w:rPr>
        <w:t> </w:t>
      </w:r>
      <w:r>
        <w:rPr>
          <w:color w:val="231F20"/>
          <w:spacing w:val="-4"/>
          <w:w w:val="105"/>
        </w:rPr>
        <w:t>Capítulo</w:t>
      </w:r>
      <w:r>
        <w:rPr>
          <w:color w:val="231F20"/>
          <w:spacing w:val="-12"/>
          <w:w w:val="105"/>
        </w:rPr>
        <w:t> </w:t>
      </w:r>
      <w:r>
        <w:rPr>
          <w:color w:val="231F20"/>
          <w:w w:val="105"/>
        </w:rPr>
        <w:t>XI</w:t>
      </w:r>
      <w:r>
        <w:rPr>
          <w:color w:val="231F20"/>
          <w:spacing w:val="-9"/>
          <w:w w:val="105"/>
        </w:rPr>
        <w:t> </w:t>
      </w:r>
      <w:r>
        <w:rPr>
          <w:i/>
          <w:color w:val="231F20"/>
          <w:spacing w:val="-4"/>
          <w:w w:val="105"/>
        </w:rPr>
        <w:t>Relación</w:t>
      </w:r>
      <w:r>
        <w:rPr>
          <w:i/>
          <w:color w:val="231F20"/>
          <w:spacing w:val="-9"/>
          <w:w w:val="105"/>
        </w:rPr>
        <w:t> </w:t>
      </w:r>
      <w:r>
        <w:rPr>
          <w:i/>
          <w:color w:val="231F20"/>
          <w:spacing w:val="-4"/>
          <w:w w:val="105"/>
        </w:rPr>
        <w:t>teórica </w:t>
      </w:r>
      <w:r>
        <w:rPr>
          <w:i/>
          <w:color w:val="231F20"/>
          <w:spacing w:val="-4"/>
          <w:w w:val="105"/>
        </w:rPr>
        <w:t>entre</w:t>
      </w:r>
      <w:r>
        <w:rPr>
          <w:i/>
          <w:color w:val="231F20"/>
          <w:spacing w:val="-22"/>
          <w:w w:val="105"/>
        </w:rPr>
        <w:t> </w:t>
      </w:r>
      <w:r>
        <w:rPr>
          <w:i/>
          <w:color w:val="231F20"/>
          <w:spacing w:val="-4"/>
          <w:w w:val="105"/>
        </w:rPr>
        <w:t>inversión</w:t>
      </w:r>
      <w:r>
        <w:rPr>
          <w:i/>
          <w:color w:val="231F20"/>
          <w:spacing w:val="-22"/>
          <w:w w:val="105"/>
        </w:rPr>
        <w:t> </w:t>
      </w:r>
      <w:r>
        <w:rPr>
          <w:i/>
          <w:color w:val="231F20"/>
          <w:spacing w:val="-5"/>
          <w:w w:val="105"/>
        </w:rPr>
        <w:t>extranjera</w:t>
      </w:r>
      <w:r>
        <w:rPr>
          <w:i/>
          <w:color w:val="231F20"/>
          <w:spacing w:val="-22"/>
          <w:w w:val="105"/>
        </w:rPr>
        <w:t> </w:t>
      </w:r>
      <w:r>
        <w:rPr>
          <w:i/>
          <w:color w:val="231F20"/>
          <w:spacing w:val="-4"/>
          <w:w w:val="105"/>
        </w:rPr>
        <w:t>directa</w:t>
      </w:r>
      <w:r>
        <w:rPr>
          <w:i/>
          <w:color w:val="231F20"/>
          <w:spacing w:val="-22"/>
          <w:w w:val="105"/>
        </w:rPr>
        <w:t> </w:t>
      </w:r>
      <w:r>
        <w:rPr>
          <w:i/>
          <w:color w:val="231F20"/>
          <w:w w:val="105"/>
        </w:rPr>
        <w:t>y</w:t>
      </w:r>
      <w:r>
        <w:rPr>
          <w:i/>
          <w:color w:val="231F20"/>
          <w:spacing w:val="-22"/>
          <w:w w:val="105"/>
        </w:rPr>
        <w:t> </w:t>
      </w:r>
      <w:r>
        <w:rPr>
          <w:i/>
          <w:color w:val="231F20"/>
          <w:spacing w:val="-4"/>
          <w:w w:val="105"/>
        </w:rPr>
        <w:t>competitividad.</w:t>
      </w:r>
      <w:r>
        <w:rPr>
          <w:i/>
          <w:color w:val="231F20"/>
          <w:spacing w:val="-28"/>
          <w:w w:val="105"/>
        </w:rPr>
        <w:t> </w:t>
      </w:r>
      <w:r>
        <w:rPr>
          <w:color w:val="231F20"/>
          <w:spacing w:val="-4"/>
          <w:w w:val="105"/>
        </w:rPr>
        <w:t>Como</w:t>
      </w:r>
      <w:r>
        <w:rPr>
          <w:color w:val="231F20"/>
          <w:spacing w:val="-22"/>
          <w:w w:val="105"/>
        </w:rPr>
        <w:t> </w:t>
      </w:r>
      <w:r>
        <w:rPr>
          <w:color w:val="231F20"/>
          <w:spacing w:val="-5"/>
          <w:w w:val="105"/>
        </w:rPr>
        <w:t>indicador,</w:t>
      </w:r>
      <w:r>
        <w:rPr>
          <w:color w:val="231F20"/>
          <w:spacing w:val="-28"/>
          <w:w w:val="105"/>
        </w:rPr>
        <w:t> </w:t>
      </w:r>
      <w:r>
        <w:rPr>
          <w:color w:val="231F20"/>
          <w:w w:val="105"/>
        </w:rPr>
        <w:t>la</w:t>
      </w:r>
      <w:r>
        <w:rPr>
          <w:color w:val="231F20"/>
          <w:spacing w:val="-22"/>
          <w:w w:val="105"/>
        </w:rPr>
        <w:t> </w:t>
      </w:r>
      <w:r>
        <w:rPr>
          <w:color w:val="231F20"/>
          <w:spacing w:val="-5"/>
          <w:w w:val="105"/>
        </w:rPr>
        <w:t>inver- </w:t>
      </w:r>
      <w:r>
        <w:rPr>
          <w:color w:val="231F20"/>
          <w:spacing w:val="-3"/>
          <w:w w:val="105"/>
        </w:rPr>
        <w:t>sión</w:t>
      </w:r>
      <w:r>
        <w:rPr>
          <w:color w:val="231F20"/>
          <w:spacing w:val="-28"/>
          <w:w w:val="105"/>
        </w:rPr>
        <w:t> </w:t>
      </w:r>
      <w:r>
        <w:rPr>
          <w:color w:val="231F20"/>
          <w:spacing w:val="-5"/>
          <w:w w:val="105"/>
        </w:rPr>
        <w:t>extranjera</w:t>
      </w:r>
      <w:r>
        <w:rPr>
          <w:color w:val="231F20"/>
          <w:spacing w:val="-28"/>
          <w:w w:val="105"/>
        </w:rPr>
        <w:t> </w:t>
      </w:r>
      <w:r>
        <w:rPr>
          <w:color w:val="231F20"/>
          <w:spacing w:val="-4"/>
          <w:w w:val="105"/>
        </w:rPr>
        <w:t>directa</w:t>
      </w:r>
      <w:r>
        <w:rPr>
          <w:color w:val="231F20"/>
          <w:spacing w:val="-28"/>
          <w:w w:val="105"/>
        </w:rPr>
        <w:t> </w:t>
      </w:r>
      <w:r>
        <w:rPr>
          <w:color w:val="231F20"/>
          <w:spacing w:val="-4"/>
          <w:w w:val="105"/>
        </w:rPr>
        <w:t>permite</w:t>
      </w:r>
      <w:r>
        <w:rPr>
          <w:color w:val="231F20"/>
          <w:spacing w:val="-28"/>
          <w:w w:val="105"/>
        </w:rPr>
        <w:t> </w:t>
      </w:r>
      <w:r>
        <w:rPr>
          <w:color w:val="231F20"/>
          <w:spacing w:val="-4"/>
          <w:w w:val="105"/>
        </w:rPr>
        <w:t>incrementar</w:t>
      </w:r>
      <w:r>
        <w:rPr>
          <w:color w:val="231F20"/>
          <w:spacing w:val="-28"/>
          <w:w w:val="105"/>
        </w:rPr>
        <w:t> </w:t>
      </w:r>
      <w:r>
        <w:rPr>
          <w:color w:val="231F20"/>
          <w:spacing w:val="-3"/>
          <w:w w:val="105"/>
        </w:rPr>
        <w:t>los</w:t>
      </w:r>
      <w:r>
        <w:rPr>
          <w:color w:val="231F20"/>
          <w:spacing w:val="-28"/>
          <w:w w:val="105"/>
        </w:rPr>
        <w:t> </w:t>
      </w:r>
      <w:r>
        <w:rPr>
          <w:color w:val="231F20"/>
          <w:spacing w:val="-4"/>
          <w:w w:val="105"/>
        </w:rPr>
        <w:t>recursos</w:t>
      </w:r>
      <w:r>
        <w:rPr>
          <w:color w:val="231F20"/>
          <w:spacing w:val="-28"/>
          <w:w w:val="105"/>
        </w:rPr>
        <w:t> </w:t>
      </w:r>
      <w:r>
        <w:rPr>
          <w:color w:val="231F20"/>
          <w:spacing w:val="-4"/>
          <w:w w:val="105"/>
        </w:rPr>
        <w:t>disponibles</w:t>
      </w:r>
      <w:r>
        <w:rPr>
          <w:color w:val="231F20"/>
          <w:spacing w:val="-28"/>
          <w:w w:val="105"/>
        </w:rPr>
        <w:t> </w:t>
      </w:r>
      <w:r>
        <w:rPr>
          <w:color w:val="231F20"/>
          <w:spacing w:val="-4"/>
          <w:w w:val="105"/>
        </w:rPr>
        <w:t>para</w:t>
      </w:r>
      <w:r>
        <w:rPr>
          <w:color w:val="231F20"/>
          <w:spacing w:val="-28"/>
          <w:w w:val="105"/>
        </w:rPr>
        <w:t> </w:t>
      </w:r>
      <w:r>
        <w:rPr>
          <w:color w:val="231F20"/>
          <w:spacing w:val="-4"/>
          <w:w w:val="105"/>
        </w:rPr>
        <w:t>las inversiones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spacing w:val="-4"/>
          <w:w w:val="105"/>
        </w:rPr>
        <w:t>formación</w:t>
      </w:r>
      <w:r>
        <w:rPr>
          <w:color w:val="231F20"/>
          <w:spacing w:val="-23"/>
          <w:w w:val="105"/>
        </w:rPr>
        <w:t> </w:t>
      </w:r>
      <w:r>
        <w:rPr>
          <w:color w:val="231F20"/>
          <w:w w:val="105"/>
        </w:rPr>
        <w:t>de</w:t>
      </w:r>
      <w:r>
        <w:rPr>
          <w:color w:val="231F20"/>
          <w:spacing w:val="-23"/>
          <w:w w:val="105"/>
        </w:rPr>
        <w:t> </w:t>
      </w:r>
      <w:r>
        <w:rPr>
          <w:color w:val="231F20"/>
          <w:spacing w:val="-4"/>
          <w:w w:val="105"/>
        </w:rPr>
        <w:t>capital,</w:t>
      </w:r>
      <w:r>
        <w:rPr>
          <w:color w:val="231F20"/>
          <w:spacing w:val="-29"/>
          <w:w w:val="105"/>
        </w:rPr>
        <w:t> </w:t>
      </w:r>
      <w:r>
        <w:rPr>
          <w:color w:val="231F20"/>
          <w:spacing w:val="-4"/>
          <w:w w:val="105"/>
        </w:rPr>
        <w:t>además</w:t>
      </w:r>
      <w:r>
        <w:rPr>
          <w:color w:val="231F20"/>
          <w:spacing w:val="-23"/>
          <w:w w:val="105"/>
        </w:rPr>
        <w:t> </w:t>
      </w:r>
      <w:r>
        <w:rPr>
          <w:color w:val="231F20"/>
          <w:w w:val="105"/>
        </w:rPr>
        <w:t>de</w:t>
      </w:r>
      <w:r>
        <w:rPr>
          <w:color w:val="231F20"/>
          <w:spacing w:val="-23"/>
          <w:w w:val="105"/>
        </w:rPr>
        <w:t> </w:t>
      </w:r>
      <w:r>
        <w:rPr>
          <w:color w:val="231F20"/>
          <w:spacing w:val="-3"/>
          <w:w w:val="105"/>
        </w:rPr>
        <w:t>que</w:t>
      </w:r>
      <w:r>
        <w:rPr>
          <w:color w:val="231F20"/>
          <w:spacing w:val="-23"/>
          <w:w w:val="105"/>
        </w:rPr>
        <w:t> </w:t>
      </w:r>
      <w:r>
        <w:rPr>
          <w:color w:val="231F20"/>
          <w:spacing w:val="-4"/>
          <w:w w:val="105"/>
        </w:rPr>
        <w:t>también</w:t>
      </w:r>
      <w:r>
        <w:rPr>
          <w:color w:val="231F20"/>
          <w:spacing w:val="-23"/>
          <w:w w:val="105"/>
        </w:rPr>
        <w:t> </w:t>
      </w:r>
      <w:r>
        <w:rPr>
          <w:color w:val="231F20"/>
          <w:spacing w:val="-4"/>
          <w:w w:val="105"/>
        </w:rPr>
        <w:t>constituye</w:t>
      </w:r>
      <w:r>
        <w:rPr>
          <w:color w:val="231F20"/>
          <w:spacing w:val="-23"/>
          <w:w w:val="105"/>
        </w:rPr>
        <w:t> </w:t>
      </w:r>
      <w:r>
        <w:rPr>
          <w:color w:val="231F20"/>
          <w:spacing w:val="-4"/>
          <w:w w:val="105"/>
        </w:rPr>
        <w:t>un detonante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4"/>
          <w:w w:val="105"/>
        </w:rPr>
        <w:t>productividad</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país</w:t>
      </w:r>
      <w:r>
        <w:rPr>
          <w:color w:val="231F20"/>
          <w:spacing w:val="-14"/>
          <w:w w:val="105"/>
        </w:rPr>
        <w:t> </w:t>
      </w:r>
      <w:r>
        <w:rPr>
          <w:color w:val="231F20"/>
          <w:spacing w:val="-4"/>
          <w:w w:val="105"/>
        </w:rPr>
        <w:t>receptor</w:t>
      </w:r>
      <w:r>
        <w:rPr>
          <w:color w:val="231F20"/>
          <w:spacing w:val="-14"/>
          <w:w w:val="105"/>
        </w:rPr>
        <w:t> </w:t>
      </w:r>
      <w:r>
        <w:rPr>
          <w:color w:val="231F20"/>
          <w:w w:val="105"/>
        </w:rPr>
        <w:t>a</w:t>
      </w:r>
      <w:r>
        <w:rPr>
          <w:color w:val="231F20"/>
          <w:spacing w:val="-14"/>
          <w:w w:val="105"/>
        </w:rPr>
        <w:t> </w:t>
      </w:r>
      <w:r>
        <w:rPr>
          <w:color w:val="231F20"/>
          <w:spacing w:val="-4"/>
          <w:w w:val="105"/>
        </w:rPr>
        <w:t>través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4"/>
          <w:w w:val="105"/>
        </w:rPr>
        <w:t>difusión</w:t>
      </w:r>
      <w:r>
        <w:rPr>
          <w:color w:val="231F20"/>
          <w:spacing w:val="-14"/>
          <w:w w:val="105"/>
        </w:rPr>
        <w:t> </w:t>
      </w:r>
      <w:r>
        <w:rPr>
          <w:color w:val="231F20"/>
          <w:spacing w:val="-4"/>
          <w:w w:val="105"/>
        </w:rPr>
        <w:t>de tecnologías</w:t>
      </w:r>
      <w:r>
        <w:rPr>
          <w:color w:val="231F20"/>
          <w:spacing w:val="-22"/>
          <w:w w:val="105"/>
        </w:rPr>
        <w:t> </w:t>
      </w:r>
      <w:r>
        <w:rPr>
          <w:color w:val="231F20"/>
          <w:spacing w:val="-4"/>
          <w:w w:val="105"/>
        </w:rPr>
        <w:t>avanzadas</w:t>
      </w:r>
      <w:r>
        <w:rPr>
          <w:color w:val="231F20"/>
          <w:spacing w:val="-22"/>
          <w:w w:val="105"/>
        </w:rPr>
        <w:t> </w:t>
      </w:r>
      <w:r>
        <w:rPr>
          <w:color w:val="231F20"/>
          <w:spacing w:val="-4"/>
          <w:w w:val="105"/>
        </w:rPr>
        <w:t>para</w:t>
      </w:r>
      <w:r>
        <w:rPr>
          <w:color w:val="231F20"/>
          <w:spacing w:val="-22"/>
          <w:w w:val="105"/>
        </w:rPr>
        <w:t> </w:t>
      </w:r>
      <w:r>
        <w:rPr>
          <w:color w:val="231F20"/>
          <w:w w:val="105"/>
        </w:rPr>
        <w:t>la</w:t>
      </w:r>
      <w:r>
        <w:rPr>
          <w:color w:val="231F20"/>
          <w:spacing w:val="-22"/>
          <w:w w:val="105"/>
        </w:rPr>
        <w:t> </w:t>
      </w:r>
      <w:r>
        <w:rPr>
          <w:color w:val="231F20"/>
          <w:spacing w:val="-4"/>
          <w:w w:val="105"/>
        </w:rPr>
        <w:t>producción,</w:t>
      </w:r>
      <w:r>
        <w:rPr>
          <w:color w:val="231F20"/>
          <w:spacing w:val="-28"/>
          <w:w w:val="105"/>
        </w:rPr>
        <w:t> </w:t>
      </w:r>
      <w:r>
        <w:rPr>
          <w:color w:val="231F20"/>
          <w:w w:val="105"/>
        </w:rPr>
        <w:t>la</w:t>
      </w:r>
      <w:r>
        <w:rPr>
          <w:color w:val="231F20"/>
          <w:spacing w:val="-22"/>
          <w:w w:val="105"/>
        </w:rPr>
        <w:t> </w:t>
      </w:r>
      <w:r>
        <w:rPr>
          <w:color w:val="231F20"/>
          <w:spacing w:val="-4"/>
          <w:w w:val="105"/>
        </w:rPr>
        <w:t>innovación</w:t>
      </w:r>
      <w:r>
        <w:rPr>
          <w:color w:val="231F20"/>
          <w:spacing w:val="-22"/>
          <w:w w:val="105"/>
        </w:rPr>
        <w:t> </w:t>
      </w:r>
      <w:r>
        <w:rPr>
          <w:color w:val="231F20"/>
          <w:w w:val="105"/>
        </w:rPr>
        <w:t>y</w:t>
      </w:r>
      <w:r>
        <w:rPr>
          <w:color w:val="231F20"/>
          <w:spacing w:val="-22"/>
          <w:w w:val="105"/>
        </w:rPr>
        <w:t> </w:t>
      </w:r>
      <w:r>
        <w:rPr>
          <w:color w:val="231F20"/>
          <w:spacing w:val="-4"/>
          <w:w w:val="105"/>
        </w:rPr>
        <w:t>capacidad</w:t>
      </w:r>
      <w:r>
        <w:rPr>
          <w:color w:val="231F20"/>
          <w:spacing w:val="-22"/>
          <w:w w:val="105"/>
        </w:rPr>
        <w:t> </w:t>
      </w:r>
      <w:r>
        <w:rPr>
          <w:color w:val="231F20"/>
          <w:spacing w:val="-4"/>
          <w:w w:val="105"/>
        </w:rPr>
        <w:t>técni- </w:t>
      </w:r>
      <w:r>
        <w:rPr>
          <w:color w:val="231F20"/>
          <w:w w:val="105"/>
        </w:rPr>
        <w:t>ca</w:t>
      </w:r>
      <w:r>
        <w:rPr>
          <w:color w:val="231F20"/>
          <w:spacing w:val="-31"/>
          <w:w w:val="105"/>
        </w:rPr>
        <w:t> </w:t>
      </w:r>
      <w:r>
        <w:rPr>
          <w:color w:val="231F20"/>
          <w:spacing w:val="-4"/>
          <w:w w:val="105"/>
        </w:rPr>
        <w:t>para</w:t>
      </w:r>
      <w:r>
        <w:rPr>
          <w:color w:val="231F20"/>
          <w:spacing w:val="-31"/>
          <w:w w:val="105"/>
        </w:rPr>
        <w:t> </w:t>
      </w:r>
      <w:r>
        <w:rPr>
          <w:color w:val="231F20"/>
          <w:spacing w:val="-4"/>
          <w:w w:val="105"/>
        </w:rPr>
        <w:t>tener</w:t>
      </w:r>
      <w:r>
        <w:rPr>
          <w:color w:val="231F20"/>
          <w:spacing w:val="-31"/>
          <w:w w:val="105"/>
        </w:rPr>
        <w:t> </w:t>
      </w:r>
      <w:r>
        <w:rPr>
          <w:color w:val="231F20"/>
          <w:spacing w:val="-4"/>
          <w:w w:val="105"/>
        </w:rPr>
        <w:t>acceso</w:t>
      </w:r>
      <w:r>
        <w:rPr>
          <w:color w:val="231F20"/>
          <w:spacing w:val="-31"/>
          <w:w w:val="105"/>
        </w:rPr>
        <w:t> </w:t>
      </w:r>
      <w:r>
        <w:rPr>
          <w:color w:val="231F20"/>
          <w:w w:val="105"/>
        </w:rPr>
        <w:t>a</w:t>
      </w:r>
      <w:r>
        <w:rPr>
          <w:color w:val="231F20"/>
          <w:spacing w:val="-31"/>
          <w:w w:val="105"/>
        </w:rPr>
        <w:t> </w:t>
      </w:r>
      <w:r>
        <w:rPr>
          <w:color w:val="231F20"/>
          <w:spacing w:val="-3"/>
          <w:w w:val="105"/>
        </w:rPr>
        <w:t>las</w:t>
      </w:r>
      <w:r>
        <w:rPr>
          <w:color w:val="231F20"/>
          <w:spacing w:val="-31"/>
          <w:w w:val="105"/>
        </w:rPr>
        <w:t> </w:t>
      </w:r>
      <w:r>
        <w:rPr>
          <w:color w:val="231F20"/>
          <w:spacing w:val="-4"/>
          <w:w w:val="105"/>
        </w:rPr>
        <w:t>redes</w:t>
      </w:r>
      <w:r>
        <w:rPr>
          <w:color w:val="231F20"/>
          <w:spacing w:val="-31"/>
          <w:w w:val="105"/>
        </w:rPr>
        <w:t> </w:t>
      </w:r>
      <w:r>
        <w:rPr>
          <w:color w:val="231F20"/>
          <w:spacing w:val="-4"/>
          <w:w w:val="105"/>
        </w:rPr>
        <w:t>internacionales</w:t>
      </w:r>
      <w:r>
        <w:rPr>
          <w:color w:val="231F20"/>
          <w:spacing w:val="-31"/>
          <w:w w:val="105"/>
        </w:rPr>
        <w:t> </w:t>
      </w:r>
      <w:r>
        <w:rPr>
          <w:color w:val="231F20"/>
          <w:w w:val="105"/>
        </w:rPr>
        <w:t>de</w:t>
      </w:r>
      <w:r>
        <w:rPr>
          <w:color w:val="231F20"/>
          <w:spacing w:val="-31"/>
          <w:w w:val="105"/>
        </w:rPr>
        <w:t> </w:t>
      </w:r>
      <w:r>
        <w:rPr>
          <w:color w:val="231F20"/>
          <w:spacing w:val="-5"/>
          <w:w w:val="105"/>
        </w:rPr>
        <w:t>comercialización.</w:t>
      </w:r>
    </w:p>
    <w:p>
      <w:pPr>
        <w:spacing w:line="259" w:lineRule="auto" w:before="0"/>
        <w:ind w:left="115" w:right="106" w:firstLine="567"/>
        <w:jc w:val="both"/>
        <w:rPr>
          <w:sz w:val="21"/>
        </w:rPr>
      </w:pPr>
      <w:r>
        <w:rPr>
          <w:color w:val="231F20"/>
          <w:w w:val="105"/>
          <w:sz w:val="21"/>
        </w:rPr>
        <w:t>Finalmente,</w:t>
      </w:r>
      <w:r>
        <w:rPr>
          <w:color w:val="231F20"/>
          <w:spacing w:val="-26"/>
          <w:w w:val="105"/>
          <w:sz w:val="21"/>
        </w:rPr>
        <w:t> </w:t>
      </w:r>
      <w:r>
        <w:rPr>
          <w:color w:val="231F20"/>
          <w:w w:val="105"/>
          <w:sz w:val="21"/>
        </w:rPr>
        <w:t>en</w:t>
      </w:r>
      <w:r>
        <w:rPr>
          <w:color w:val="231F20"/>
          <w:spacing w:val="-22"/>
          <w:w w:val="105"/>
          <w:sz w:val="21"/>
        </w:rPr>
        <w:t> </w:t>
      </w:r>
      <w:r>
        <w:rPr>
          <w:color w:val="231F20"/>
          <w:w w:val="105"/>
          <w:sz w:val="21"/>
        </w:rPr>
        <w:t>el</w:t>
      </w:r>
      <w:r>
        <w:rPr>
          <w:color w:val="231F20"/>
          <w:spacing w:val="-22"/>
          <w:w w:val="105"/>
          <w:sz w:val="21"/>
        </w:rPr>
        <w:t> </w:t>
      </w:r>
      <w:r>
        <w:rPr>
          <w:color w:val="231F20"/>
          <w:w w:val="105"/>
          <w:sz w:val="21"/>
        </w:rPr>
        <w:t>Capítulo</w:t>
      </w:r>
      <w:r>
        <w:rPr>
          <w:color w:val="231F20"/>
          <w:spacing w:val="-23"/>
          <w:w w:val="105"/>
          <w:sz w:val="21"/>
        </w:rPr>
        <w:t> </w:t>
      </w:r>
      <w:r>
        <w:rPr>
          <w:color w:val="231F20"/>
          <w:w w:val="105"/>
          <w:sz w:val="21"/>
        </w:rPr>
        <w:t>XII</w:t>
      </w:r>
      <w:r>
        <w:rPr>
          <w:color w:val="231F20"/>
          <w:spacing w:val="-22"/>
          <w:w w:val="105"/>
          <w:sz w:val="21"/>
        </w:rPr>
        <w:t> </w:t>
      </w:r>
      <w:r>
        <w:rPr>
          <w:i/>
          <w:color w:val="231F20"/>
          <w:w w:val="105"/>
          <w:sz w:val="21"/>
        </w:rPr>
        <w:t>El</w:t>
      </w:r>
      <w:r>
        <w:rPr>
          <w:i/>
          <w:color w:val="231F20"/>
          <w:spacing w:val="-22"/>
          <w:w w:val="105"/>
          <w:sz w:val="21"/>
        </w:rPr>
        <w:t> </w:t>
      </w:r>
      <w:r>
        <w:rPr>
          <w:i/>
          <w:color w:val="231F20"/>
          <w:w w:val="105"/>
          <w:sz w:val="21"/>
        </w:rPr>
        <w:t>empleo</w:t>
      </w:r>
      <w:r>
        <w:rPr>
          <w:i/>
          <w:color w:val="231F20"/>
          <w:spacing w:val="-22"/>
          <w:w w:val="105"/>
          <w:sz w:val="21"/>
        </w:rPr>
        <w:t> </w:t>
      </w:r>
      <w:r>
        <w:rPr>
          <w:i/>
          <w:color w:val="231F20"/>
          <w:w w:val="105"/>
          <w:sz w:val="21"/>
        </w:rPr>
        <w:t>y</w:t>
      </w:r>
      <w:r>
        <w:rPr>
          <w:i/>
          <w:color w:val="231F20"/>
          <w:spacing w:val="-22"/>
          <w:w w:val="105"/>
          <w:sz w:val="21"/>
        </w:rPr>
        <w:t> </w:t>
      </w:r>
      <w:r>
        <w:rPr>
          <w:i/>
          <w:color w:val="231F20"/>
          <w:w w:val="105"/>
          <w:sz w:val="21"/>
        </w:rPr>
        <w:t>la</w:t>
      </w:r>
      <w:r>
        <w:rPr>
          <w:i/>
          <w:color w:val="231F20"/>
          <w:spacing w:val="-22"/>
          <w:w w:val="105"/>
          <w:sz w:val="21"/>
        </w:rPr>
        <w:t> </w:t>
      </w:r>
      <w:r>
        <w:rPr>
          <w:i/>
          <w:color w:val="231F20"/>
          <w:w w:val="105"/>
          <w:sz w:val="21"/>
        </w:rPr>
        <w:t>desocupación:</w:t>
      </w:r>
      <w:r>
        <w:rPr>
          <w:i/>
          <w:color w:val="231F20"/>
          <w:spacing w:val="-22"/>
          <w:w w:val="105"/>
          <w:sz w:val="21"/>
        </w:rPr>
        <w:t> </w:t>
      </w:r>
      <w:r>
        <w:rPr>
          <w:i/>
          <w:color w:val="231F20"/>
          <w:w w:val="105"/>
          <w:sz w:val="21"/>
        </w:rPr>
        <w:t>un</w:t>
      </w:r>
      <w:r>
        <w:rPr>
          <w:i/>
          <w:color w:val="231F20"/>
          <w:spacing w:val="-22"/>
          <w:w w:val="105"/>
          <w:sz w:val="21"/>
        </w:rPr>
        <w:t> </w:t>
      </w:r>
      <w:r>
        <w:rPr>
          <w:i/>
          <w:color w:val="231F20"/>
          <w:w w:val="105"/>
          <w:sz w:val="21"/>
        </w:rPr>
        <w:t>aná- </w:t>
      </w:r>
      <w:r>
        <w:rPr>
          <w:i/>
          <w:color w:val="231F20"/>
          <w:w w:val="105"/>
          <w:sz w:val="21"/>
        </w:rPr>
        <w:t>lisis</w:t>
      </w:r>
      <w:r>
        <w:rPr>
          <w:i/>
          <w:color w:val="231F20"/>
          <w:spacing w:val="-21"/>
          <w:w w:val="105"/>
          <w:sz w:val="21"/>
        </w:rPr>
        <w:t> </w:t>
      </w:r>
      <w:r>
        <w:rPr>
          <w:i/>
          <w:color w:val="231F20"/>
          <w:w w:val="105"/>
          <w:sz w:val="21"/>
        </w:rPr>
        <w:t>desde</w:t>
      </w:r>
      <w:r>
        <w:rPr>
          <w:i/>
          <w:color w:val="231F20"/>
          <w:spacing w:val="-21"/>
          <w:w w:val="105"/>
          <w:sz w:val="21"/>
        </w:rPr>
        <w:t> </w:t>
      </w:r>
      <w:r>
        <w:rPr>
          <w:i/>
          <w:color w:val="231F20"/>
          <w:w w:val="105"/>
          <w:sz w:val="21"/>
        </w:rPr>
        <w:t>los</w:t>
      </w:r>
      <w:r>
        <w:rPr>
          <w:i/>
          <w:color w:val="231F20"/>
          <w:spacing w:val="-21"/>
          <w:w w:val="105"/>
          <w:sz w:val="21"/>
        </w:rPr>
        <w:t> </w:t>
      </w:r>
      <w:r>
        <w:rPr>
          <w:i/>
          <w:color w:val="231F20"/>
          <w:w w:val="105"/>
          <w:sz w:val="21"/>
        </w:rPr>
        <w:t>enfoques</w:t>
      </w:r>
      <w:r>
        <w:rPr>
          <w:i/>
          <w:color w:val="231F20"/>
          <w:spacing w:val="-21"/>
          <w:w w:val="105"/>
          <w:sz w:val="21"/>
        </w:rPr>
        <w:t> </w:t>
      </w:r>
      <w:r>
        <w:rPr>
          <w:i/>
          <w:color w:val="231F20"/>
          <w:w w:val="105"/>
          <w:sz w:val="21"/>
        </w:rPr>
        <w:t>teóricos</w:t>
      </w:r>
      <w:r>
        <w:rPr>
          <w:i/>
          <w:color w:val="231F20"/>
          <w:spacing w:val="-21"/>
          <w:w w:val="105"/>
          <w:sz w:val="21"/>
        </w:rPr>
        <w:t> </w:t>
      </w:r>
      <w:r>
        <w:rPr>
          <w:i/>
          <w:color w:val="231F20"/>
          <w:w w:val="105"/>
          <w:sz w:val="21"/>
        </w:rPr>
        <w:t>keynesianos,</w:t>
      </w:r>
      <w:r>
        <w:rPr>
          <w:i/>
          <w:color w:val="231F20"/>
          <w:spacing w:val="-25"/>
          <w:w w:val="105"/>
          <w:sz w:val="21"/>
        </w:rPr>
        <w:t> </w:t>
      </w:r>
      <w:r>
        <w:rPr>
          <w:color w:val="231F20"/>
          <w:w w:val="105"/>
          <w:sz w:val="21"/>
        </w:rPr>
        <w:t>Brito</w:t>
      </w:r>
      <w:r>
        <w:rPr>
          <w:color w:val="231F20"/>
          <w:spacing w:val="-21"/>
          <w:w w:val="105"/>
          <w:sz w:val="21"/>
        </w:rPr>
        <w:t> </w:t>
      </w:r>
      <w:r>
        <w:rPr>
          <w:color w:val="231F20"/>
          <w:w w:val="105"/>
          <w:sz w:val="21"/>
        </w:rPr>
        <w:t>expone</w:t>
      </w:r>
      <w:r>
        <w:rPr>
          <w:color w:val="231F20"/>
          <w:spacing w:val="-21"/>
          <w:w w:val="105"/>
          <w:sz w:val="21"/>
        </w:rPr>
        <w:t> </w:t>
      </w:r>
      <w:r>
        <w:rPr>
          <w:color w:val="231F20"/>
          <w:w w:val="105"/>
          <w:sz w:val="21"/>
        </w:rPr>
        <w:t>mayores</w:t>
      </w:r>
      <w:r>
        <w:rPr>
          <w:color w:val="231F20"/>
          <w:spacing w:val="-21"/>
          <w:w w:val="105"/>
          <w:sz w:val="21"/>
        </w:rPr>
        <w:t> </w:t>
      </w:r>
      <w:r>
        <w:rPr>
          <w:color w:val="231F20"/>
          <w:w w:val="105"/>
          <w:sz w:val="21"/>
        </w:rPr>
        <w:t>ele- mentos</w:t>
      </w:r>
      <w:r>
        <w:rPr>
          <w:color w:val="231F20"/>
          <w:spacing w:val="-19"/>
          <w:w w:val="105"/>
          <w:sz w:val="21"/>
        </w:rPr>
        <w:t> </w:t>
      </w:r>
      <w:r>
        <w:rPr>
          <w:color w:val="231F20"/>
          <w:w w:val="105"/>
          <w:sz w:val="21"/>
        </w:rPr>
        <w:t>teóricos</w:t>
      </w:r>
      <w:r>
        <w:rPr>
          <w:color w:val="231F20"/>
          <w:spacing w:val="-19"/>
          <w:w w:val="105"/>
          <w:sz w:val="21"/>
        </w:rPr>
        <w:t> </w:t>
      </w:r>
      <w:r>
        <w:rPr>
          <w:color w:val="231F20"/>
          <w:w w:val="105"/>
          <w:sz w:val="21"/>
        </w:rPr>
        <w:t>para</w:t>
      </w:r>
      <w:r>
        <w:rPr>
          <w:color w:val="231F20"/>
          <w:spacing w:val="-19"/>
          <w:w w:val="105"/>
          <w:sz w:val="21"/>
        </w:rPr>
        <w:t> </w:t>
      </w:r>
      <w:r>
        <w:rPr>
          <w:color w:val="231F20"/>
          <w:w w:val="105"/>
          <w:sz w:val="21"/>
        </w:rPr>
        <w:t>comprender</w:t>
      </w:r>
      <w:r>
        <w:rPr>
          <w:color w:val="231F20"/>
          <w:spacing w:val="-19"/>
          <w:w w:val="105"/>
          <w:sz w:val="21"/>
        </w:rPr>
        <w:t> </w:t>
      </w:r>
      <w:r>
        <w:rPr>
          <w:color w:val="231F20"/>
          <w:w w:val="105"/>
          <w:sz w:val="21"/>
        </w:rPr>
        <w:t>la</w:t>
      </w:r>
      <w:r>
        <w:rPr>
          <w:color w:val="231F20"/>
          <w:spacing w:val="-19"/>
          <w:w w:val="105"/>
          <w:sz w:val="21"/>
        </w:rPr>
        <w:t> </w:t>
      </w:r>
      <w:r>
        <w:rPr>
          <w:color w:val="231F20"/>
          <w:w w:val="105"/>
          <w:sz w:val="21"/>
        </w:rPr>
        <w:t>dinámica</w:t>
      </w:r>
      <w:r>
        <w:rPr>
          <w:color w:val="231F20"/>
          <w:spacing w:val="-19"/>
          <w:w w:val="105"/>
          <w:sz w:val="21"/>
        </w:rPr>
        <w:t> </w:t>
      </w:r>
      <w:r>
        <w:rPr>
          <w:color w:val="231F20"/>
          <w:w w:val="105"/>
          <w:sz w:val="21"/>
        </w:rPr>
        <w:t>del</w:t>
      </w:r>
      <w:r>
        <w:rPr>
          <w:color w:val="231F20"/>
          <w:spacing w:val="-19"/>
          <w:w w:val="105"/>
          <w:sz w:val="21"/>
        </w:rPr>
        <w:t> </w:t>
      </w:r>
      <w:r>
        <w:rPr>
          <w:color w:val="231F20"/>
          <w:w w:val="105"/>
          <w:sz w:val="21"/>
        </w:rPr>
        <w:t>empleo</w:t>
      </w:r>
      <w:r>
        <w:rPr>
          <w:color w:val="231F20"/>
          <w:spacing w:val="-19"/>
          <w:w w:val="105"/>
          <w:sz w:val="21"/>
        </w:rPr>
        <w:t> </w:t>
      </w:r>
      <w:r>
        <w:rPr>
          <w:color w:val="231F20"/>
          <w:w w:val="105"/>
          <w:sz w:val="21"/>
        </w:rPr>
        <w:t>y</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la</w:t>
      </w:r>
      <w:r>
        <w:rPr>
          <w:color w:val="231F20"/>
          <w:spacing w:val="-19"/>
          <w:w w:val="105"/>
          <w:sz w:val="21"/>
        </w:rPr>
        <w:t> </w:t>
      </w:r>
      <w:r>
        <w:rPr>
          <w:color w:val="231F20"/>
          <w:w w:val="105"/>
          <w:sz w:val="21"/>
        </w:rPr>
        <w:t>desocu- pación</w:t>
      </w:r>
      <w:r>
        <w:rPr>
          <w:color w:val="231F20"/>
          <w:spacing w:val="-26"/>
          <w:w w:val="105"/>
          <w:sz w:val="21"/>
        </w:rPr>
        <w:t> </w:t>
      </w:r>
      <w:r>
        <w:rPr>
          <w:color w:val="231F20"/>
          <w:w w:val="105"/>
          <w:sz w:val="21"/>
        </w:rPr>
        <w:t>y</w:t>
      </w:r>
      <w:r>
        <w:rPr>
          <w:color w:val="231F20"/>
          <w:spacing w:val="-26"/>
          <w:w w:val="105"/>
          <w:sz w:val="21"/>
        </w:rPr>
        <w:t> </w:t>
      </w:r>
      <w:r>
        <w:rPr>
          <w:color w:val="231F20"/>
          <w:w w:val="105"/>
          <w:sz w:val="21"/>
        </w:rPr>
        <w:t>las</w:t>
      </w:r>
      <w:r>
        <w:rPr>
          <w:color w:val="231F20"/>
          <w:spacing w:val="-26"/>
          <w:w w:val="105"/>
          <w:sz w:val="21"/>
        </w:rPr>
        <w:t> </w:t>
      </w:r>
      <w:r>
        <w:rPr>
          <w:color w:val="231F20"/>
          <w:w w:val="105"/>
          <w:sz w:val="21"/>
        </w:rPr>
        <w:t>relaciones</w:t>
      </w:r>
      <w:r>
        <w:rPr>
          <w:color w:val="231F20"/>
          <w:spacing w:val="-26"/>
          <w:w w:val="105"/>
          <w:sz w:val="21"/>
        </w:rPr>
        <w:t> </w:t>
      </w:r>
      <w:r>
        <w:rPr>
          <w:color w:val="231F20"/>
          <w:w w:val="105"/>
          <w:sz w:val="21"/>
        </w:rPr>
        <w:t>con</w:t>
      </w:r>
      <w:r>
        <w:rPr>
          <w:color w:val="231F20"/>
          <w:spacing w:val="-26"/>
          <w:w w:val="105"/>
          <w:sz w:val="21"/>
        </w:rPr>
        <w:t> </w:t>
      </w:r>
      <w:r>
        <w:rPr>
          <w:color w:val="231F20"/>
          <w:w w:val="105"/>
          <w:sz w:val="21"/>
        </w:rPr>
        <w:t>sus</w:t>
      </w:r>
      <w:r>
        <w:rPr>
          <w:color w:val="231F20"/>
          <w:spacing w:val="-26"/>
          <w:w w:val="105"/>
          <w:sz w:val="21"/>
        </w:rPr>
        <w:t> </w:t>
      </w:r>
      <w:r>
        <w:rPr>
          <w:color w:val="231F20"/>
          <w:w w:val="105"/>
          <w:sz w:val="21"/>
        </w:rPr>
        <w:t>principales</w:t>
      </w:r>
      <w:r>
        <w:rPr>
          <w:color w:val="231F20"/>
          <w:spacing w:val="-26"/>
          <w:w w:val="105"/>
          <w:sz w:val="21"/>
        </w:rPr>
        <w:t> </w:t>
      </w:r>
      <w:r>
        <w:rPr>
          <w:color w:val="231F20"/>
          <w:w w:val="105"/>
          <w:sz w:val="21"/>
        </w:rPr>
        <w:t>variables</w:t>
      </w:r>
      <w:r>
        <w:rPr>
          <w:color w:val="231F20"/>
          <w:spacing w:val="-26"/>
          <w:w w:val="105"/>
          <w:sz w:val="21"/>
        </w:rPr>
        <w:t> </w:t>
      </w:r>
      <w:r>
        <w:rPr>
          <w:color w:val="231F20"/>
          <w:w w:val="105"/>
          <w:sz w:val="21"/>
        </w:rPr>
        <w:t>determinantes.</w:t>
      </w: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57" w:val="left" w:leader="none"/>
        </w:tabs>
        <w:spacing w:before="70"/>
        <w:ind w:left="307" w:right="0" w:firstLine="0"/>
        <w:jc w:val="left"/>
        <w:rPr>
          <w:rFonts w:ascii="Calibri"/>
          <w:sz w:val="15"/>
        </w:rPr>
      </w:pPr>
      <w:r>
        <w:rPr/>
        <w:pict>
          <v:line style="position:absolute;mso-position-horizontal-relative:page;mso-position-vertical-relative:paragraph;z-index:-246664" from="110.551201pt,3.703713pt" to="110.551201pt,39.506112pt" stroked="true" strokeweight=".35pt" strokecolor="#231f20">
            <w10:wrap type="none"/>
          </v:line>
        </w:pict>
      </w:r>
      <w:r>
        <w:rPr>
          <w:color w:val="414042"/>
          <w:w w:val="105"/>
          <w:position w:val="-5"/>
          <w:sz w:val="20"/>
        </w:rPr>
        <w:t>14</w:t>
        <w:tab/>
      </w:r>
      <w:r>
        <w:rPr>
          <w:rFonts w:ascii="Calibri"/>
          <w:color w:val="6D6E71"/>
          <w:w w:val="105"/>
          <w:sz w:val="15"/>
        </w:rPr>
        <w:t>Patricia</w:t>
      </w:r>
      <w:r>
        <w:rPr>
          <w:rFonts w:ascii="Calibri"/>
          <w:color w:val="6D6E71"/>
          <w:spacing w:val="-11"/>
          <w:w w:val="105"/>
          <w:sz w:val="15"/>
        </w:rPr>
        <w:t> </w:t>
      </w:r>
      <w:r>
        <w:rPr>
          <w:rFonts w:ascii="Calibri"/>
          <w:color w:val="6D6E71"/>
          <w:w w:val="105"/>
          <w:sz w:val="15"/>
        </w:rPr>
        <w:t>Mercado</w:t>
      </w:r>
      <w:r>
        <w:rPr>
          <w:rFonts w:ascii="Calibri"/>
          <w:color w:val="6D6E71"/>
          <w:spacing w:val="-11"/>
          <w:w w:val="105"/>
          <w:sz w:val="15"/>
        </w:rPr>
        <w:t> </w:t>
      </w:r>
      <w:r>
        <w:rPr>
          <w:rFonts w:ascii="Calibri"/>
          <w:color w:val="6D6E71"/>
          <w:w w:val="105"/>
          <w:sz w:val="15"/>
        </w:rPr>
        <w:t>Salgado</w:t>
      </w:r>
      <w:r>
        <w:rPr>
          <w:rFonts w:ascii="Calibri"/>
          <w:color w:val="6D6E71"/>
          <w:spacing w:val="-12"/>
          <w:w w:val="105"/>
          <w:sz w:val="15"/>
        </w:rPr>
        <w:t> </w:t>
      </w:r>
      <w:r>
        <w:rPr>
          <w:rFonts w:ascii="Calibri"/>
          <w:color w:val="6D6E71"/>
          <w:w w:val="105"/>
          <w:sz w:val="15"/>
        </w:rPr>
        <w:t>y</w:t>
      </w:r>
      <w:r>
        <w:rPr>
          <w:rFonts w:ascii="Calibri"/>
          <w:color w:val="6D6E71"/>
          <w:spacing w:val="-11"/>
          <w:w w:val="105"/>
          <w:sz w:val="15"/>
        </w:rPr>
        <w:t> </w:t>
      </w:r>
      <w:r>
        <w:rPr>
          <w:rFonts w:ascii="Calibri"/>
          <w:color w:val="6D6E71"/>
          <w:w w:val="105"/>
          <w:sz w:val="15"/>
        </w:rPr>
        <w:t>Daniel</w:t>
      </w:r>
      <w:r>
        <w:rPr>
          <w:rFonts w:ascii="Calibri"/>
          <w:color w:val="6D6E71"/>
          <w:spacing w:val="-11"/>
          <w:w w:val="105"/>
          <w:sz w:val="15"/>
        </w:rPr>
        <w:t> </w:t>
      </w:r>
      <w:r>
        <w:rPr>
          <w:rFonts w:ascii="Calibri"/>
          <w:color w:val="6D6E71"/>
          <w:w w:val="105"/>
          <w:sz w:val="15"/>
        </w:rPr>
        <w:t>Arturo</w:t>
      </w:r>
      <w:r>
        <w:rPr>
          <w:rFonts w:ascii="Calibri"/>
          <w:color w:val="6D6E71"/>
          <w:spacing w:val="-11"/>
          <w:w w:val="105"/>
          <w:sz w:val="15"/>
        </w:rPr>
        <w:t> </w:t>
      </w:r>
      <w:r>
        <w:rPr>
          <w:rFonts w:ascii="Calibri"/>
          <w:color w:val="6D6E71"/>
          <w:w w:val="105"/>
          <w:sz w:val="15"/>
        </w:rPr>
        <w:t>Cernas</w:t>
      </w:r>
      <w:r>
        <w:rPr>
          <w:rFonts w:ascii="Calibri"/>
          <w:color w:val="6D6E71"/>
          <w:spacing w:val="-11"/>
          <w:w w:val="105"/>
          <w:sz w:val="15"/>
        </w:rPr>
        <w:t> </w:t>
      </w:r>
      <w:r>
        <w:rPr>
          <w:rFonts w:ascii="Calibri"/>
          <w:color w:val="6D6E71"/>
          <w:w w:val="105"/>
          <w:sz w:val="15"/>
        </w:rPr>
        <w:t>Ortiz</w:t>
      </w:r>
    </w:p>
    <w:p>
      <w:pPr>
        <w:spacing w:after="0"/>
        <w:jc w:val="left"/>
        <w:rPr>
          <w:rFonts w:ascii="Calibri"/>
          <w:sz w:val="15"/>
        </w:rPr>
        <w:sectPr>
          <w:pgSz w:w="9640" w:h="13890"/>
          <w:pgMar w:top="1300" w:bottom="0" w:left="1160" w:right="1280"/>
        </w:sectPr>
      </w:pPr>
    </w:p>
    <w:p>
      <w:pPr>
        <w:pStyle w:val="BodyText"/>
        <w:rPr>
          <w:rFonts w:ascii="Calibri"/>
          <w:sz w:val="20"/>
        </w:rPr>
      </w:pPr>
    </w:p>
    <w:p>
      <w:pPr>
        <w:pStyle w:val="BodyText"/>
        <w:spacing w:before="8"/>
        <w:rPr>
          <w:rFonts w:ascii="Calibri"/>
          <w:sz w:val="20"/>
        </w:rPr>
      </w:pPr>
    </w:p>
    <w:p>
      <w:pPr>
        <w:tabs>
          <w:tab w:pos="1578" w:val="right" w:leader="none"/>
        </w:tabs>
        <w:spacing w:before="58"/>
        <w:ind w:left="77" w:right="239" w:firstLine="0"/>
        <w:jc w:val="right"/>
        <w:rPr>
          <w:sz w:val="20"/>
        </w:rPr>
      </w:pPr>
      <w:r>
        <w:rPr/>
        <w:pict>
          <v:line style="position:absolute;mso-position-horizontal-relative:page;mso-position-vertical-relative:paragraph;z-index:-246640" from="384.061005pt,-25.301146pt" to="384.061005pt,9.564704pt" stroked="true" strokeweight=".35pt" strokecolor="#231f20">
            <w10:wrap type="none"/>
          </v:line>
        </w:pict>
      </w:r>
      <w:r>
        <w:rPr>
          <w:rFonts w:ascii="Calibri" w:hAnsi="Calibri"/>
          <w:color w:val="6D6E71"/>
          <w:sz w:val="14"/>
        </w:rPr>
        <w:t>INTRODUCCIÓN</w:t>
      </w:r>
      <w:r>
        <w:rPr>
          <w:color w:val="414042"/>
          <w:position w:val="-3"/>
          <w:sz w:val="20"/>
        </w:rPr>
        <w:tab/>
        <w:t>15</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Sin</w:t>
      </w:r>
      <w:r>
        <w:rPr>
          <w:color w:val="231F20"/>
          <w:spacing w:val="-25"/>
          <w:w w:val="105"/>
        </w:rPr>
        <w:t> </w:t>
      </w:r>
      <w:r>
        <w:rPr>
          <w:color w:val="231F20"/>
          <w:w w:val="105"/>
        </w:rPr>
        <w:t>duda,</w:t>
      </w:r>
      <w:r>
        <w:rPr>
          <w:color w:val="231F20"/>
          <w:spacing w:val="-30"/>
          <w:w w:val="105"/>
        </w:rPr>
        <w:t> </w:t>
      </w:r>
      <w:r>
        <w:rPr>
          <w:color w:val="231F20"/>
          <w:w w:val="105"/>
        </w:rPr>
        <w:t>éste</w:t>
      </w:r>
      <w:r>
        <w:rPr>
          <w:color w:val="231F20"/>
          <w:spacing w:val="-25"/>
          <w:w w:val="105"/>
        </w:rPr>
        <w:t> </w:t>
      </w:r>
      <w:r>
        <w:rPr>
          <w:color w:val="231F20"/>
          <w:w w:val="105"/>
        </w:rPr>
        <w:t>es</w:t>
      </w:r>
      <w:r>
        <w:rPr>
          <w:color w:val="231F20"/>
          <w:spacing w:val="-25"/>
          <w:w w:val="105"/>
        </w:rPr>
        <w:t> </w:t>
      </w:r>
      <w:r>
        <w:rPr>
          <w:color w:val="231F20"/>
          <w:w w:val="105"/>
        </w:rPr>
        <w:t>un</w:t>
      </w:r>
      <w:r>
        <w:rPr>
          <w:color w:val="231F20"/>
          <w:spacing w:val="-25"/>
          <w:w w:val="105"/>
        </w:rPr>
        <w:t> </w:t>
      </w:r>
      <w:r>
        <w:rPr>
          <w:color w:val="231F20"/>
          <w:w w:val="105"/>
        </w:rPr>
        <w:t>texto</w:t>
      </w:r>
      <w:r>
        <w:rPr>
          <w:color w:val="231F20"/>
          <w:spacing w:val="-25"/>
          <w:w w:val="105"/>
        </w:rPr>
        <w:t> </w:t>
      </w:r>
      <w:r>
        <w:rPr>
          <w:color w:val="231F20"/>
          <w:w w:val="105"/>
        </w:rPr>
        <w:t>obligado</w:t>
      </w:r>
      <w:r>
        <w:rPr>
          <w:color w:val="231F20"/>
          <w:spacing w:val="-25"/>
          <w:w w:val="105"/>
        </w:rPr>
        <w:t> </w:t>
      </w:r>
      <w:r>
        <w:rPr>
          <w:color w:val="231F20"/>
          <w:w w:val="105"/>
        </w:rPr>
        <w:t>para</w:t>
      </w:r>
      <w:r>
        <w:rPr>
          <w:color w:val="231F20"/>
          <w:spacing w:val="-25"/>
          <w:w w:val="105"/>
        </w:rPr>
        <w:t> </w:t>
      </w:r>
      <w:r>
        <w:rPr>
          <w:color w:val="231F20"/>
          <w:w w:val="105"/>
        </w:rPr>
        <w:t>los</w:t>
      </w:r>
      <w:r>
        <w:rPr>
          <w:color w:val="231F20"/>
          <w:spacing w:val="-25"/>
          <w:w w:val="105"/>
        </w:rPr>
        <w:t> </w:t>
      </w:r>
      <w:r>
        <w:rPr>
          <w:color w:val="231F20"/>
          <w:w w:val="105"/>
        </w:rPr>
        <w:t>estudiosos,</w:t>
      </w:r>
      <w:r>
        <w:rPr>
          <w:color w:val="231F20"/>
          <w:spacing w:val="-30"/>
          <w:w w:val="105"/>
        </w:rPr>
        <w:t> </w:t>
      </w:r>
      <w:r>
        <w:rPr>
          <w:color w:val="231F20"/>
          <w:w w:val="105"/>
        </w:rPr>
        <w:t>a</w:t>
      </w:r>
      <w:r>
        <w:rPr>
          <w:color w:val="231F20"/>
          <w:spacing w:val="-25"/>
          <w:w w:val="105"/>
        </w:rPr>
        <w:t> </w:t>
      </w:r>
      <w:r>
        <w:rPr>
          <w:color w:val="231F20"/>
          <w:w w:val="105"/>
        </w:rPr>
        <w:t>nivel</w:t>
      </w:r>
      <w:r>
        <w:rPr>
          <w:color w:val="231F20"/>
          <w:spacing w:val="-25"/>
          <w:w w:val="105"/>
        </w:rPr>
        <w:t> </w:t>
      </w:r>
      <w:r>
        <w:rPr>
          <w:color w:val="231F20"/>
          <w:w w:val="105"/>
        </w:rPr>
        <w:t>licenciatu- ra</w:t>
      </w:r>
      <w:r>
        <w:rPr>
          <w:color w:val="231F20"/>
          <w:spacing w:val="-14"/>
          <w:w w:val="105"/>
        </w:rPr>
        <w:t> </w:t>
      </w:r>
      <w:r>
        <w:rPr>
          <w:color w:val="231F20"/>
          <w:w w:val="105"/>
        </w:rPr>
        <w:t>y</w:t>
      </w:r>
      <w:r>
        <w:rPr>
          <w:color w:val="231F20"/>
          <w:spacing w:val="-14"/>
          <w:w w:val="105"/>
        </w:rPr>
        <w:t> </w:t>
      </w:r>
      <w:r>
        <w:rPr>
          <w:color w:val="231F20"/>
          <w:w w:val="105"/>
        </w:rPr>
        <w:t>posgrado,</w:t>
      </w:r>
      <w:r>
        <w:rPr>
          <w:color w:val="231F20"/>
          <w:spacing w:val="-20"/>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economía</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administración,</w:t>
      </w:r>
      <w:r>
        <w:rPr>
          <w:color w:val="231F20"/>
          <w:spacing w:val="-20"/>
          <w:w w:val="105"/>
        </w:rPr>
        <w:t> </w:t>
      </w:r>
      <w:r>
        <w:rPr>
          <w:color w:val="231F20"/>
          <w:w w:val="105"/>
        </w:rPr>
        <w:t>aunque</w:t>
      </w:r>
      <w:r>
        <w:rPr>
          <w:color w:val="231F20"/>
          <w:spacing w:val="-14"/>
          <w:w w:val="105"/>
        </w:rPr>
        <w:t> </w:t>
      </w:r>
      <w:r>
        <w:rPr>
          <w:color w:val="231F20"/>
          <w:w w:val="105"/>
        </w:rPr>
        <w:t>también</w:t>
      </w:r>
      <w:r>
        <w:rPr>
          <w:color w:val="231F20"/>
          <w:spacing w:val="-14"/>
          <w:w w:val="105"/>
        </w:rPr>
        <w:t> </w:t>
      </w:r>
      <w:r>
        <w:rPr>
          <w:color w:val="231F20"/>
          <w:w w:val="105"/>
        </w:rPr>
        <w:t>para tomadores</w:t>
      </w:r>
      <w:r>
        <w:rPr>
          <w:color w:val="231F20"/>
          <w:spacing w:val="-10"/>
          <w:w w:val="105"/>
        </w:rPr>
        <w:t> </w:t>
      </w:r>
      <w:r>
        <w:rPr>
          <w:color w:val="231F20"/>
          <w:w w:val="105"/>
        </w:rPr>
        <w:t>de</w:t>
      </w:r>
      <w:r>
        <w:rPr>
          <w:color w:val="231F20"/>
          <w:spacing w:val="-10"/>
          <w:w w:val="105"/>
        </w:rPr>
        <w:t> </w:t>
      </w:r>
      <w:r>
        <w:rPr>
          <w:color w:val="231F20"/>
          <w:w w:val="105"/>
        </w:rPr>
        <w:t>decisiones</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pequeñas,</w:t>
      </w:r>
      <w:r>
        <w:rPr>
          <w:color w:val="231F20"/>
          <w:spacing w:val="-14"/>
          <w:w w:val="105"/>
        </w:rPr>
        <w:t> </w:t>
      </w:r>
      <w:r>
        <w:rPr>
          <w:color w:val="231F20"/>
          <w:w w:val="105"/>
        </w:rPr>
        <w:t>medianas</w:t>
      </w:r>
      <w:r>
        <w:rPr>
          <w:color w:val="231F20"/>
          <w:spacing w:val="-10"/>
          <w:w w:val="105"/>
        </w:rPr>
        <w:t> </w:t>
      </w:r>
      <w:r>
        <w:rPr>
          <w:color w:val="231F20"/>
          <w:w w:val="105"/>
        </w:rPr>
        <w:t>y</w:t>
      </w:r>
      <w:r>
        <w:rPr>
          <w:color w:val="231F20"/>
          <w:spacing w:val="-10"/>
          <w:w w:val="105"/>
        </w:rPr>
        <w:t> </w:t>
      </w:r>
      <w:r>
        <w:rPr>
          <w:color w:val="231F20"/>
          <w:w w:val="105"/>
        </w:rPr>
        <w:t>grandes</w:t>
      </w:r>
      <w:r>
        <w:rPr>
          <w:color w:val="231F20"/>
          <w:spacing w:val="-10"/>
          <w:w w:val="105"/>
        </w:rPr>
        <w:t> </w:t>
      </w:r>
      <w:r>
        <w:rPr>
          <w:color w:val="231F20"/>
          <w:w w:val="105"/>
        </w:rPr>
        <w:t>empre- </w:t>
      </w:r>
      <w:r>
        <w:rPr>
          <w:color w:val="231F20"/>
          <w:spacing w:val="-3"/>
          <w:w w:val="105"/>
        </w:rPr>
        <w:t>sas, para </w:t>
      </w:r>
      <w:r>
        <w:rPr>
          <w:color w:val="231F20"/>
          <w:w w:val="105"/>
        </w:rPr>
        <w:t>los que </w:t>
      </w:r>
      <w:r>
        <w:rPr>
          <w:color w:val="231F20"/>
          <w:spacing w:val="-3"/>
          <w:w w:val="105"/>
        </w:rPr>
        <w:t>proponen, construyen </w:t>
      </w:r>
      <w:r>
        <w:rPr>
          <w:color w:val="231F20"/>
          <w:w w:val="105"/>
        </w:rPr>
        <w:t>y </w:t>
      </w:r>
      <w:r>
        <w:rPr>
          <w:color w:val="231F20"/>
          <w:spacing w:val="-3"/>
          <w:w w:val="105"/>
        </w:rPr>
        <w:t>operan políticas públicas, para </w:t>
      </w:r>
      <w:r>
        <w:rPr>
          <w:color w:val="231F20"/>
          <w:w w:val="105"/>
        </w:rPr>
        <w:t>los</w:t>
      </w:r>
      <w:r>
        <w:rPr>
          <w:color w:val="231F20"/>
          <w:spacing w:val="-10"/>
          <w:w w:val="105"/>
        </w:rPr>
        <w:t> </w:t>
      </w:r>
      <w:r>
        <w:rPr>
          <w:color w:val="231F20"/>
          <w:w w:val="105"/>
        </w:rPr>
        <w:t>funcionarios</w:t>
      </w:r>
      <w:r>
        <w:rPr>
          <w:color w:val="231F20"/>
          <w:spacing w:val="-10"/>
          <w:w w:val="105"/>
        </w:rPr>
        <w:t> </w:t>
      </w:r>
      <w:r>
        <w:rPr>
          <w:color w:val="231F20"/>
          <w:w w:val="105"/>
        </w:rPr>
        <w:t>del</w:t>
      </w:r>
      <w:r>
        <w:rPr>
          <w:color w:val="231F20"/>
          <w:spacing w:val="-10"/>
          <w:w w:val="105"/>
        </w:rPr>
        <w:t> </w:t>
      </w:r>
      <w:r>
        <w:rPr>
          <w:color w:val="231F20"/>
          <w:w w:val="105"/>
        </w:rPr>
        <w:t>sector</w:t>
      </w:r>
      <w:r>
        <w:rPr>
          <w:color w:val="231F20"/>
          <w:spacing w:val="-10"/>
          <w:w w:val="105"/>
        </w:rPr>
        <w:t> </w:t>
      </w:r>
      <w:r>
        <w:rPr>
          <w:color w:val="231F20"/>
          <w:w w:val="105"/>
        </w:rPr>
        <w:t>gubernamental</w:t>
      </w:r>
      <w:r>
        <w:rPr>
          <w:color w:val="231F20"/>
          <w:spacing w:val="-10"/>
          <w:w w:val="105"/>
        </w:rPr>
        <w:t> </w:t>
      </w:r>
      <w:r>
        <w:rPr>
          <w:color w:val="231F20"/>
          <w:w w:val="105"/>
        </w:rPr>
        <w:t>y</w:t>
      </w:r>
      <w:r>
        <w:rPr>
          <w:color w:val="231F20"/>
          <w:spacing w:val="-10"/>
          <w:w w:val="105"/>
        </w:rPr>
        <w:t> </w:t>
      </w:r>
      <w:r>
        <w:rPr>
          <w:color w:val="231F20"/>
          <w:w w:val="105"/>
        </w:rPr>
        <w:t>también</w:t>
      </w:r>
      <w:r>
        <w:rPr>
          <w:color w:val="231F20"/>
          <w:spacing w:val="-10"/>
          <w:w w:val="105"/>
        </w:rPr>
        <w:t> </w:t>
      </w:r>
      <w:r>
        <w:rPr>
          <w:color w:val="231F20"/>
          <w:w w:val="105"/>
        </w:rPr>
        <w:t>para</w:t>
      </w:r>
      <w:r>
        <w:rPr>
          <w:color w:val="231F20"/>
          <w:spacing w:val="-10"/>
          <w:w w:val="105"/>
        </w:rPr>
        <w:t> </w:t>
      </w:r>
      <w:r>
        <w:rPr>
          <w:color w:val="231F20"/>
          <w:w w:val="105"/>
        </w:rPr>
        <w:t>quienes</w:t>
      </w:r>
      <w:r>
        <w:rPr>
          <w:color w:val="231F20"/>
          <w:spacing w:val="-10"/>
          <w:w w:val="105"/>
        </w:rPr>
        <w:t> </w:t>
      </w:r>
      <w:r>
        <w:rPr>
          <w:color w:val="231F20"/>
          <w:w w:val="105"/>
        </w:rPr>
        <w:t>parti- cipan</w:t>
      </w:r>
      <w:r>
        <w:rPr>
          <w:color w:val="231F20"/>
          <w:spacing w:val="-31"/>
          <w:w w:val="105"/>
        </w:rPr>
        <w:t> </w:t>
      </w:r>
      <w:r>
        <w:rPr>
          <w:color w:val="231F20"/>
          <w:w w:val="105"/>
        </w:rPr>
        <w:t>en</w:t>
      </w:r>
      <w:r>
        <w:rPr>
          <w:color w:val="231F20"/>
          <w:spacing w:val="-31"/>
          <w:w w:val="105"/>
        </w:rPr>
        <w:t> </w:t>
      </w:r>
      <w:r>
        <w:rPr>
          <w:color w:val="231F20"/>
          <w:w w:val="105"/>
        </w:rPr>
        <w:t>organizaciones</w:t>
      </w:r>
      <w:r>
        <w:rPr>
          <w:color w:val="231F20"/>
          <w:spacing w:val="-31"/>
          <w:w w:val="105"/>
        </w:rPr>
        <w:t> </w:t>
      </w:r>
      <w:r>
        <w:rPr>
          <w:color w:val="231F20"/>
          <w:w w:val="105"/>
        </w:rPr>
        <w:t>no</w:t>
      </w:r>
      <w:r>
        <w:rPr>
          <w:color w:val="231F20"/>
          <w:spacing w:val="-31"/>
          <w:w w:val="105"/>
        </w:rPr>
        <w:t> </w:t>
      </w:r>
      <w:r>
        <w:rPr>
          <w:color w:val="231F20"/>
          <w:w w:val="105"/>
        </w:rPr>
        <w:t>lucrativas.</w:t>
      </w:r>
    </w:p>
    <w:p>
      <w:pPr>
        <w:pStyle w:val="BodyText"/>
        <w:spacing w:line="259" w:lineRule="auto"/>
        <w:ind w:left="117" w:right="119" w:firstLine="567"/>
        <w:jc w:val="both"/>
      </w:pPr>
      <w:r>
        <w:rPr>
          <w:color w:val="231F20"/>
          <w:w w:val="105"/>
        </w:rPr>
        <w:t>En la seguridad de que el lector encontrará útil, interesante y re- flexivo</w:t>
      </w:r>
      <w:r>
        <w:rPr>
          <w:color w:val="231F20"/>
          <w:spacing w:val="-16"/>
          <w:w w:val="105"/>
        </w:rPr>
        <w:t> </w:t>
      </w:r>
      <w:r>
        <w:rPr>
          <w:color w:val="231F20"/>
          <w:w w:val="105"/>
        </w:rPr>
        <w:t>el</w:t>
      </w:r>
      <w:r>
        <w:rPr>
          <w:color w:val="231F20"/>
          <w:spacing w:val="-16"/>
          <w:w w:val="105"/>
        </w:rPr>
        <w:t> </w:t>
      </w:r>
      <w:r>
        <w:rPr>
          <w:color w:val="231F20"/>
          <w:w w:val="105"/>
        </w:rPr>
        <w:t>contenido</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obra,</w:t>
      </w:r>
      <w:r>
        <w:rPr>
          <w:color w:val="231F20"/>
          <w:spacing w:val="-22"/>
          <w:w w:val="105"/>
        </w:rPr>
        <w:t> </w:t>
      </w:r>
      <w:r>
        <w:rPr>
          <w:color w:val="231F20"/>
          <w:w w:val="105"/>
        </w:rPr>
        <w:t>agradecemos</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Secretaría</w:t>
      </w:r>
      <w:r>
        <w:rPr>
          <w:color w:val="231F20"/>
          <w:spacing w:val="-16"/>
          <w:w w:val="105"/>
        </w:rPr>
        <w:t> </w:t>
      </w:r>
      <w:r>
        <w:rPr>
          <w:color w:val="231F20"/>
          <w:w w:val="105"/>
        </w:rPr>
        <w:t>de</w:t>
      </w:r>
      <w:r>
        <w:rPr>
          <w:color w:val="231F20"/>
          <w:spacing w:val="-16"/>
          <w:w w:val="105"/>
        </w:rPr>
        <w:t> </w:t>
      </w:r>
      <w:r>
        <w:rPr>
          <w:color w:val="231F20"/>
          <w:w w:val="105"/>
        </w:rPr>
        <w:t>Inves- tigación y Estudios Avanzados de la Universidad Autónoma del</w:t>
      </w:r>
      <w:r>
        <w:rPr>
          <w:color w:val="231F20"/>
          <w:spacing w:val="-31"/>
          <w:w w:val="105"/>
        </w:rPr>
        <w:t> </w:t>
      </w:r>
      <w:r>
        <w:rPr>
          <w:color w:val="231F20"/>
          <w:spacing w:val="2"/>
          <w:w w:val="105"/>
        </w:rPr>
        <w:t>Estado </w:t>
      </w:r>
      <w:r>
        <w:rPr>
          <w:color w:val="231F20"/>
          <w:w w:val="105"/>
        </w:rPr>
        <w:t>de México su compromiso y apoyo en la contribución a la difusión </w:t>
      </w:r>
      <w:r>
        <w:rPr>
          <w:color w:val="231F20"/>
          <w:spacing w:val="2"/>
          <w:w w:val="105"/>
        </w:rPr>
        <w:t>del </w:t>
      </w:r>
      <w:r>
        <w:rPr>
          <w:color w:val="231F20"/>
          <w:w w:val="105"/>
        </w:rPr>
        <w:t>quehacer de esta comunidad científica. Siempre es importante</w:t>
      </w:r>
      <w:r>
        <w:rPr>
          <w:color w:val="231F20"/>
          <w:spacing w:val="-18"/>
          <w:w w:val="105"/>
        </w:rPr>
        <w:t> </w:t>
      </w:r>
      <w:r>
        <w:rPr>
          <w:color w:val="231F20"/>
          <w:w w:val="105"/>
        </w:rPr>
        <w:t>recono- cer</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logros</w:t>
      </w:r>
      <w:r>
        <w:rPr>
          <w:color w:val="231F20"/>
          <w:spacing w:val="-15"/>
          <w:w w:val="105"/>
        </w:rPr>
        <w:t> </w:t>
      </w:r>
      <w:r>
        <w:rPr>
          <w:color w:val="231F20"/>
          <w:w w:val="105"/>
        </w:rPr>
        <w:t>expresados</w:t>
      </w:r>
      <w:r>
        <w:rPr>
          <w:color w:val="231F20"/>
          <w:spacing w:val="-15"/>
          <w:w w:val="105"/>
        </w:rPr>
        <w:t> </w:t>
      </w:r>
      <w:r>
        <w:rPr>
          <w:color w:val="231F20"/>
          <w:w w:val="105"/>
        </w:rPr>
        <w:t>en</w:t>
      </w:r>
      <w:r>
        <w:rPr>
          <w:color w:val="231F20"/>
          <w:spacing w:val="-15"/>
          <w:w w:val="105"/>
        </w:rPr>
        <w:t> </w:t>
      </w:r>
      <w:r>
        <w:rPr>
          <w:color w:val="231F20"/>
          <w:w w:val="105"/>
        </w:rPr>
        <w:t>cifras,</w:t>
      </w:r>
      <w:r>
        <w:rPr>
          <w:color w:val="231F20"/>
          <w:spacing w:val="-21"/>
          <w:w w:val="105"/>
        </w:rPr>
        <w:t> </w:t>
      </w:r>
      <w:r>
        <w:rPr>
          <w:color w:val="231F20"/>
          <w:w w:val="105"/>
        </w:rPr>
        <w:t>necesariamente</w:t>
      </w:r>
      <w:r>
        <w:rPr>
          <w:color w:val="231F20"/>
          <w:spacing w:val="-15"/>
          <w:w w:val="105"/>
        </w:rPr>
        <w:t> </w:t>
      </w:r>
      <w:r>
        <w:rPr>
          <w:color w:val="231F20"/>
          <w:w w:val="105"/>
        </w:rPr>
        <w:t>están</w:t>
      </w:r>
      <w:r>
        <w:rPr>
          <w:color w:val="231F20"/>
          <w:spacing w:val="-15"/>
          <w:w w:val="105"/>
        </w:rPr>
        <w:t> </w:t>
      </w:r>
      <w:r>
        <w:rPr>
          <w:color w:val="231F20"/>
          <w:w w:val="105"/>
        </w:rPr>
        <w:t>acompa- ñados de la calidad académica conformada por la producción</w:t>
      </w:r>
      <w:r>
        <w:rPr>
          <w:color w:val="231F20"/>
          <w:spacing w:val="-29"/>
          <w:w w:val="105"/>
        </w:rPr>
        <w:t> </w:t>
      </w:r>
      <w:r>
        <w:rPr>
          <w:color w:val="231F20"/>
          <w:w w:val="105"/>
        </w:rPr>
        <w:t>científica y la labor cotidiana de todos los que trabajamos y vigilamos el cumpli- miento de este esfuerzo</w:t>
      </w:r>
      <w:r>
        <w:rPr>
          <w:color w:val="231F20"/>
          <w:spacing w:val="3"/>
          <w:w w:val="105"/>
        </w:rPr>
        <w:t> </w:t>
      </w:r>
      <w:r>
        <w:rPr>
          <w:color w:val="231F20"/>
          <w:w w:val="105"/>
        </w:rPr>
        <w:t>institucional.</w:t>
      </w:r>
    </w:p>
    <w:p>
      <w:pPr>
        <w:pStyle w:val="BodyText"/>
        <w:spacing w:before="3"/>
        <w:rPr>
          <w:sz w:val="23"/>
        </w:rPr>
      </w:pPr>
    </w:p>
    <w:p>
      <w:pPr>
        <w:spacing w:before="0"/>
        <w:ind w:left="77" w:right="121" w:firstLine="0"/>
        <w:jc w:val="right"/>
        <w:rPr>
          <w:sz w:val="18"/>
        </w:rPr>
      </w:pPr>
      <w:r>
        <w:rPr>
          <w:color w:val="231F20"/>
          <w:w w:val="105"/>
          <w:sz w:val="18"/>
        </w:rPr>
        <w:t>Patricia Mercado Salgado y Daniel Arturo Cernas Ortiz</w:t>
      </w:r>
    </w:p>
    <w:p>
      <w:pPr>
        <w:spacing w:line="278" w:lineRule="auto" w:before="33"/>
        <w:ind w:left="5143" w:right="116" w:firstLine="1173"/>
        <w:jc w:val="right"/>
        <w:rPr>
          <w:sz w:val="18"/>
        </w:rPr>
      </w:pPr>
      <w:r>
        <w:rPr>
          <w:color w:val="231F20"/>
          <w:w w:val="105"/>
          <w:sz w:val="18"/>
        </w:rPr>
        <w:t>Coords.</w:t>
      </w:r>
      <w:r>
        <w:rPr>
          <w:color w:val="231F20"/>
          <w:w w:val="100"/>
          <w:sz w:val="18"/>
        </w:rPr>
        <w:t> </w:t>
      </w:r>
      <w:r>
        <w:rPr>
          <w:color w:val="231F20"/>
          <w:w w:val="105"/>
          <w:sz w:val="18"/>
        </w:rPr>
        <w:t>Toluca de Lerdo, 2016</w:t>
      </w:r>
    </w:p>
    <w:p>
      <w:pPr>
        <w:spacing w:after="0" w:line="278" w:lineRule="auto"/>
        <w:jc w:val="right"/>
        <w:rPr>
          <w:sz w:val="18"/>
        </w:rPr>
        <w:sectPr>
          <w:pgSz w:w="9640" w:h="13890"/>
          <w:pgMar w:top="0" w:bottom="280" w:left="1300" w:right="1180"/>
        </w:sectPr>
      </w:pPr>
    </w:p>
    <w:p>
      <w:pPr>
        <w:pStyle w:val="Heading2"/>
        <w:spacing w:before="121"/>
        <w:ind w:left="103" w:right="17"/>
        <w:jc w:val="left"/>
      </w:pPr>
      <w:r>
        <w:rPr>
          <w:color w:val="231F20"/>
        </w:rPr>
        <w:t>Referencias</w:t>
      </w:r>
    </w:p>
    <w:p>
      <w:pPr>
        <w:pStyle w:val="BodyText"/>
        <w:rPr>
          <w:b/>
          <w:sz w:val="22"/>
        </w:rPr>
      </w:pPr>
    </w:p>
    <w:p>
      <w:pPr>
        <w:spacing w:line="259" w:lineRule="auto" w:before="160"/>
        <w:ind w:left="841" w:right="114" w:hanging="738"/>
        <w:jc w:val="both"/>
        <w:rPr>
          <w:sz w:val="21"/>
        </w:rPr>
      </w:pPr>
      <w:r>
        <w:rPr>
          <w:color w:val="231F20"/>
          <w:sz w:val="21"/>
        </w:rPr>
        <w:t>Asociación Nacional de Universidades e Instituciones de Educación Su- perior (ANUIES) (2010). </w:t>
      </w:r>
      <w:r>
        <w:rPr>
          <w:i/>
          <w:color w:val="231F20"/>
          <w:sz w:val="21"/>
        </w:rPr>
        <w:t>Consolidación y avance de la educación </w:t>
      </w:r>
      <w:r>
        <w:rPr>
          <w:i/>
          <w:color w:val="231F20"/>
          <w:sz w:val="21"/>
        </w:rPr>
        <w:t>superior en México. Elementos de diagnóstico y propuestas</w:t>
      </w:r>
      <w:r>
        <w:rPr>
          <w:color w:val="231F20"/>
          <w:sz w:val="21"/>
        </w:rPr>
        <w:t>. Mé- xico: Anuies</w:t>
      </w:r>
    </w:p>
    <w:p>
      <w:pPr>
        <w:spacing w:line="259" w:lineRule="auto" w:before="0"/>
        <w:ind w:left="841" w:right="108" w:hanging="738"/>
        <w:jc w:val="both"/>
        <w:rPr>
          <w:sz w:val="21"/>
        </w:rPr>
      </w:pPr>
      <w:r>
        <w:rPr>
          <w:color w:val="231F20"/>
          <w:w w:val="105"/>
          <w:sz w:val="21"/>
        </w:rPr>
        <w:t>Cernas,</w:t>
      </w:r>
      <w:r>
        <w:rPr>
          <w:color w:val="231F20"/>
          <w:spacing w:val="-28"/>
          <w:w w:val="105"/>
          <w:sz w:val="21"/>
        </w:rPr>
        <w:t> </w:t>
      </w:r>
      <w:r>
        <w:rPr>
          <w:color w:val="231F20"/>
          <w:spacing w:val="-3"/>
          <w:w w:val="105"/>
          <w:sz w:val="21"/>
        </w:rPr>
        <w:t>D.A.</w:t>
      </w:r>
      <w:r>
        <w:rPr>
          <w:color w:val="231F20"/>
          <w:spacing w:val="-28"/>
          <w:w w:val="105"/>
          <w:sz w:val="21"/>
        </w:rPr>
        <w:t> </w:t>
      </w:r>
      <w:r>
        <w:rPr>
          <w:color w:val="231F20"/>
          <w:w w:val="105"/>
          <w:sz w:val="21"/>
        </w:rPr>
        <w:t>y</w:t>
      </w:r>
      <w:r>
        <w:rPr>
          <w:color w:val="231F20"/>
          <w:spacing w:val="-24"/>
          <w:w w:val="105"/>
          <w:sz w:val="21"/>
        </w:rPr>
        <w:t> </w:t>
      </w:r>
      <w:r>
        <w:rPr>
          <w:color w:val="231F20"/>
          <w:w w:val="105"/>
          <w:sz w:val="21"/>
        </w:rPr>
        <w:t>Mercado,</w:t>
      </w:r>
      <w:r>
        <w:rPr>
          <w:color w:val="231F20"/>
          <w:spacing w:val="-28"/>
          <w:w w:val="105"/>
          <w:sz w:val="21"/>
        </w:rPr>
        <w:t> </w:t>
      </w:r>
      <w:r>
        <w:rPr>
          <w:color w:val="231F20"/>
          <w:spacing w:val="-16"/>
          <w:w w:val="105"/>
          <w:sz w:val="21"/>
        </w:rPr>
        <w:t>P.</w:t>
      </w:r>
      <w:r>
        <w:rPr>
          <w:color w:val="231F20"/>
          <w:spacing w:val="-28"/>
          <w:w w:val="105"/>
          <w:sz w:val="21"/>
        </w:rPr>
        <w:t> </w:t>
      </w:r>
      <w:r>
        <w:rPr>
          <w:color w:val="231F20"/>
          <w:w w:val="105"/>
          <w:sz w:val="21"/>
        </w:rPr>
        <w:t>(2013).</w:t>
      </w:r>
      <w:r>
        <w:rPr>
          <w:color w:val="231F20"/>
          <w:spacing w:val="-28"/>
          <w:w w:val="105"/>
          <w:sz w:val="21"/>
        </w:rPr>
        <w:t> </w:t>
      </w:r>
      <w:r>
        <w:rPr>
          <w:color w:val="231F20"/>
          <w:w w:val="105"/>
          <w:sz w:val="21"/>
        </w:rPr>
        <w:t>Los</w:t>
      </w:r>
      <w:r>
        <w:rPr>
          <w:color w:val="231F20"/>
          <w:spacing w:val="-24"/>
          <w:w w:val="105"/>
          <w:sz w:val="21"/>
        </w:rPr>
        <w:t> </w:t>
      </w:r>
      <w:r>
        <w:rPr>
          <w:color w:val="231F20"/>
          <w:w w:val="105"/>
          <w:sz w:val="21"/>
        </w:rPr>
        <w:t>estudios</w:t>
      </w:r>
      <w:r>
        <w:rPr>
          <w:color w:val="231F20"/>
          <w:spacing w:val="-24"/>
          <w:w w:val="105"/>
          <w:sz w:val="21"/>
        </w:rPr>
        <w:t> </w:t>
      </w:r>
      <w:r>
        <w:rPr>
          <w:color w:val="231F20"/>
          <w:w w:val="105"/>
          <w:sz w:val="21"/>
        </w:rPr>
        <w:t>económico-Administrati- vos:</w:t>
      </w:r>
      <w:r>
        <w:rPr>
          <w:color w:val="231F20"/>
          <w:spacing w:val="-39"/>
          <w:w w:val="105"/>
          <w:sz w:val="21"/>
        </w:rPr>
        <w:t> </w:t>
      </w:r>
      <w:r>
        <w:rPr>
          <w:color w:val="231F20"/>
          <w:w w:val="105"/>
          <w:sz w:val="21"/>
        </w:rPr>
        <w:t>origen,</w:t>
      </w:r>
      <w:r>
        <w:rPr>
          <w:color w:val="231F20"/>
          <w:spacing w:val="-42"/>
          <w:w w:val="105"/>
          <w:sz w:val="21"/>
        </w:rPr>
        <w:t> </w:t>
      </w:r>
      <w:r>
        <w:rPr>
          <w:color w:val="231F20"/>
          <w:w w:val="105"/>
          <w:sz w:val="21"/>
        </w:rPr>
        <w:t>críticas</w:t>
      </w:r>
      <w:r>
        <w:rPr>
          <w:color w:val="231F20"/>
          <w:spacing w:val="-39"/>
          <w:w w:val="105"/>
          <w:sz w:val="21"/>
        </w:rPr>
        <w:t> </w:t>
      </w:r>
      <w:r>
        <w:rPr>
          <w:color w:val="231F20"/>
          <w:w w:val="105"/>
          <w:sz w:val="21"/>
        </w:rPr>
        <w:t>y</w:t>
      </w:r>
      <w:r>
        <w:rPr>
          <w:color w:val="231F20"/>
          <w:spacing w:val="-39"/>
          <w:w w:val="105"/>
          <w:sz w:val="21"/>
        </w:rPr>
        <w:t> </w:t>
      </w:r>
      <w:r>
        <w:rPr>
          <w:color w:val="231F20"/>
          <w:w w:val="105"/>
          <w:sz w:val="21"/>
        </w:rPr>
        <w:t>nuevos</w:t>
      </w:r>
      <w:r>
        <w:rPr>
          <w:color w:val="231F20"/>
          <w:spacing w:val="-39"/>
          <w:w w:val="105"/>
          <w:sz w:val="21"/>
        </w:rPr>
        <w:t> </w:t>
      </w:r>
      <w:r>
        <w:rPr>
          <w:color w:val="231F20"/>
          <w:w w:val="105"/>
          <w:sz w:val="21"/>
        </w:rPr>
        <w:t>rumbos.</w:t>
      </w:r>
      <w:r>
        <w:rPr>
          <w:color w:val="231F20"/>
          <w:spacing w:val="-42"/>
          <w:w w:val="105"/>
          <w:sz w:val="21"/>
        </w:rPr>
        <w:t> </w:t>
      </w:r>
      <w:r>
        <w:rPr>
          <w:color w:val="231F20"/>
          <w:w w:val="105"/>
          <w:sz w:val="21"/>
        </w:rPr>
        <w:t>En:</w:t>
      </w:r>
      <w:r>
        <w:rPr>
          <w:color w:val="231F20"/>
          <w:spacing w:val="-39"/>
          <w:w w:val="105"/>
          <w:sz w:val="21"/>
        </w:rPr>
        <w:t> </w:t>
      </w:r>
      <w:r>
        <w:rPr>
          <w:i/>
          <w:color w:val="231F20"/>
          <w:w w:val="105"/>
          <w:sz w:val="21"/>
        </w:rPr>
        <w:t>Escalas</w:t>
      </w:r>
      <w:r>
        <w:rPr>
          <w:i/>
          <w:color w:val="231F20"/>
          <w:spacing w:val="-39"/>
          <w:w w:val="105"/>
          <w:sz w:val="21"/>
        </w:rPr>
        <w:t> </w:t>
      </w:r>
      <w:r>
        <w:rPr>
          <w:i/>
          <w:color w:val="231F20"/>
          <w:w w:val="105"/>
          <w:sz w:val="21"/>
        </w:rPr>
        <w:t>del</w:t>
      </w:r>
      <w:r>
        <w:rPr>
          <w:i/>
          <w:color w:val="231F20"/>
          <w:spacing w:val="-39"/>
          <w:w w:val="105"/>
          <w:sz w:val="21"/>
        </w:rPr>
        <w:t> </w:t>
      </w:r>
      <w:r>
        <w:rPr>
          <w:i/>
          <w:color w:val="231F20"/>
          <w:w w:val="105"/>
          <w:sz w:val="21"/>
        </w:rPr>
        <w:t>conocimien- </w:t>
      </w:r>
      <w:r>
        <w:rPr>
          <w:i/>
          <w:color w:val="231F20"/>
          <w:w w:val="105"/>
          <w:sz w:val="21"/>
        </w:rPr>
        <w:t>to.</w:t>
      </w:r>
      <w:r>
        <w:rPr>
          <w:i/>
          <w:color w:val="231F20"/>
          <w:spacing w:val="-26"/>
          <w:w w:val="105"/>
          <w:sz w:val="21"/>
        </w:rPr>
        <w:t> </w:t>
      </w:r>
      <w:r>
        <w:rPr>
          <w:i/>
          <w:color w:val="231F20"/>
          <w:w w:val="105"/>
          <w:sz w:val="21"/>
        </w:rPr>
        <w:t>Las</w:t>
      </w:r>
      <w:r>
        <w:rPr>
          <w:i/>
          <w:color w:val="231F20"/>
          <w:spacing w:val="-22"/>
          <w:w w:val="105"/>
          <w:sz w:val="21"/>
        </w:rPr>
        <w:t> </w:t>
      </w:r>
      <w:r>
        <w:rPr>
          <w:i/>
          <w:color w:val="231F20"/>
          <w:w w:val="105"/>
          <w:sz w:val="21"/>
        </w:rPr>
        <w:t>formas</w:t>
      </w:r>
      <w:r>
        <w:rPr>
          <w:i/>
          <w:color w:val="231F20"/>
          <w:spacing w:val="-22"/>
          <w:w w:val="105"/>
          <w:sz w:val="21"/>
        </w:rPr>
        <w:t> </w:t>
      </w:r>
      <w:r>
        <w:rPr>
          <w:i/>
          <w:color w:val="231F20"/>
          <w:w w:val="105"/>
          <w:sz w:val="21"/>
        </w:rPr>
        <w:t>de</w:t>
      </w:r>
      <w:r>
        <w:rPr>
          <w:i/>
          <w:color w:val="231F20"/>
          <w:spacing w:val="-22"/>
          <w:w w:val="105"/>
          <w:sz w:val="21"/>
        </w:rPr>
        <w:t> </w:t>
      </w:r>
      <w:r>
        <w:rPr>
          <w:i/>
          <w:color w:val="231F20"/>
          <w:w w:val="105"/>
          <w:sz w:val="21"/>
        </w:rPr>
        <w:t>construcción</w:t>
      </w:r>
      <w:r>
        <w:rPr>
          <w:i/>
          <w:color w:val="231F20"/>
          <w:spacing w:val="-22"/>
          <w:w w:val="105"/>
          <w:sz w:val="21"/>
        </w:rPr>
        <w:t> </w:t>
      </w:r>
      <w:r>
        <w:rPr>
          <w:i/>
          <w:color w:val="231F20"/>
          <w:w w:val="105"/>
          <w:sz w:val="21"/>
        </w:rPr>
        <w:t>del</w:t>
      </w:r>
      <w:r>
        <w:rPr>
          <w:i/>
          <w:color w:val="231F20"/>
          <w:spacing w:val="-22"/>
          <w:w w:val="105"/>
          <w:sz w:val="21"/>
        </w:rPr>
        <w:t> </w:t>
      </w:r>
      <w:r>
        <w:rPr>
          <w:i/>
          <w:color w:val="231F20"/>
          <w:w w:val="105"/>
          <w:sz w:val="21"/>
        </w:rPr>
        <w:t>objeto</w:t>
      </w:r>
      <w:r>
        <w:rPr>
          <w:i/>
          <w:color w:val="231F20"/>
          <w:spacing w:val="-22"/>
          <w:w w:val="105"/>
          <w:sz w:val="21"/>
        </w:rPr>
        <w:t> </w:t>
      </w:r>
      <w:r>
        <w:rPr>
          <w:i/>
          <w:color w:val="231F20"/>
          <w:w w:val="105"/>
          <w:sz w:val="21"/>
        </w:rPr>
        <w:t>en</w:t>
      </w:r>
      <w:r>
        <w:rPr>
          <w:i/>
          <w:color w:val="231F20"/>
          <w:spacing w:val="-22"/>
          <w:w w:val="105"/>
          <w:sz w:val="21"/>
        </w:rPr>
        <w:t> </w:t>
      </w:r>
      <w:r>
        <w:rPr>
          <w:i/>
          <w:color w:val="231F20"/>
          <w:w w:val="105"/>
          <w:sz w:val="21"/>
        </w:rPr>
        <w:t>las</w:t>
      </w:r>
      <w:r>
        <w:rPr>
          <w:i/>
          <w:color w:val="231F20"/>
          <w:spacing w:val="-22"/>
          <w:w w:val="105"/>
          <w:sz w:val="21"/>
        </w:rPr>
        <w:t> </w:t>
      </w:r>
      <w:r>
        <w:rPr>
          <w:i/>
          <w:color w:val="231F20"/>
          <w:w w:val="105"/>
          <w:sz w:val="21"/>
        </w:rPr>
        <w:t>disciplinas</w:t>
      </w:r>
      <w:r>
        <w:rPr>
          <w:i/>
          <w:color w:val="231F20"/>
          <w:spacing w:val="-22"/>
          <w:w w:val="105"/>
          <w:sz w:val="21"/>
        </w:rPr>
        <w:t> </w:t>
      </w:r>
      <w:r>
        <w:rPr>
          <w:i/>
          <w:color w:val="231F20"/>
          <w:w w:val="105"/>
          <w:sz w:val="21"/>
        </w:rPr>
        <w:t>socia- les</w:t>
      </w:r>
      <w:r>
        <w:rPr>
          <w:color w:val="231F20"/>
          <w:w w:val="105"/>
          <w:sz w:val="21"/>
        </w:rPr>
        <w:t>.</w:t>
      </w:r>
      <w:r>
        <w:rPr>
          <w:color w:val="231F20"/>
          <w:spacing w:val="-33"/>
          <w:w w:val="105"/>
          <w:sz w:val="21"/>
        </w:rPr>
        <w:t> </w:t>
      </w:r>
      <w:r>
        <w:rPr>
          <w:color w:val="231F20"/>
          <w:w w:val="105"/>
          <w:sz w:val="21"/>
        </w:rPr>
        <w:t>González,</w:t>
      </w:r>
      <w:r>
        <w:rPr>
          <w:color w:val="231F20"/>
          <w:spacing w:val="-33"/>
          <w:w w:val="105"/>
          <w:sz w:val="21"/>
        </w:rPr>
        <w:t> </w:t>
      </w:r>
      <w:r>
        <w:rPr>
          <w:color w:val="231F20"/>
          <w:spacing w:val="-11"/>
          <w:w w:val="105"/>
          <w:sz w:val="21"/>
        </w:rPr>
        <w:t>F.</w:t>
      </w:r>
      <w:r>
        <w:rPr>
          <w:color w:val="231F20"/>
          <w:spacing w:val="-33"/>
          <w:w w:val="105"/>
          <w:sz w:val="21"/>
        </w:rPr>
        <w:t> </w:t>
      </w:r>
      <w:r>
        <w:rPr>
          <w:color w:val="231F20"/>
          <w:w w:val="105"/>
          <w:sz w:val="21"/>
        </w:rPr>
        <w:t>y</w:t>
      </w:r>
      <w:r>
        <w:rPr>
          <w:color w:val="231F20"/>
          <w:spacing w:val="-32"/>
          <w:w w:val="105"/>
          <w:sz w:val="21"/>
        </w:rPr>
        <w:t> </w:t>
      </w:r>
      <w:r>
        <w:rPr>
          <w:color w:val="231F20"/>
          <w:w w:val="105"/>
          <w:sz w:val="21"/>
        </w:rPr>
        <w:t>Aguado,</w:t>
      </w:r>
      <w:r>
        <w:rPr>
          <w:color w:val="231F20"/>
          <w:spacing w:val="-33"/>
          <w:w w:val="105"/>
          <w:sz w:val="21"/>
        </w:rPr>
        <w:t> </w:t>
      </w:r>
      <w:r>
        <w:rPr>
          <w:color w:val="231F20"/>
          <w:w w:val="105"/>
          <w:sz w:val="21"/>
        </w:rPr>
        <w:t>E.</w:t>
      </w:r>
      <w:r>
        <w:rPr>
          <w:color w:val="231F20"/>
          <w:spacing w:val="-33"/>
          <w:w w:val="105"/>
          <w:sz w:val="21"/>
        </w:rPr>
        <w:t> </w:t>
      </w:r>
      <w:r>
        <w:rPr>
          <w:color w:val="231F20"/>
          <w:w w:val="105"/>
          <w:sz w:val="21"/>
        </w:rPr>
        <w:t>(coord.),</w:t>
      </w:r>
      <w:r>
        <w:rPr>
          <w:color w:val="231F20"/>
          <w:spacing w:val="-33"/>
          <w:w w:val="105"/>
          <w:sz w:val="21"/>
        </w:rPr>
        <w:t> </w:t>
      </w:r>
      <w:r>
        <w:rPr>
          <w:color w:val="231F20"/>
          <w:w w:val="105"/>
          <w:sz w:val="21"/>
        </w:rPr>
        <w:t>México:</w:t>
      </w:r>
      <w:r>
        <w:rPr>
          <w:color w:val="231F20"/>
          <w:spacing w:val="-30"/>
          <w:w w:val="105"/>
          <w:sz w:val="21"/>
        </w:rPr>
        <w:t> </w:t>
      </w:r>
      <w:r>
        <w:rPr>
          <w:color w:val="231F20"/>
          <w:w w:val="105"/>
          <w:sz w:val="21"/>
        </w:rPr>
        <w:t>Notabilis</w:t>
      </w:r>
      <w:r>
        <w:rPr>
          <w:color w:val="231F20"/>
          <w:spacing w:val="-30"/>
          <w:w w:val="105"/>
          <w:sz w:val="21"/>
        </w:rPr>
        <w:t> </w:t>
      </w:r>
      <w:r>
        <w:rPr>
          <w:color w:val="231F20"/>
          <w:w w:val="105"/>
          <w:sz w:val="21"/>
        </w:rPr>
        <w:t>Scientia. 63-88.</w:t>
      </w:r>
    </w:p>
    <w:p>
      <w:pPr>
        <w:spacing w:line="259" w:lineRule="auto" w:before="0"/>
        <w:ind w:left="841" w:right="115" w:hanging="738"/>
        <w:jc w:val="both"/>
        <w:rPr>
          <w:sz w:val="21"/>
        </w:rPr>
      </w:pPr>
      <w:r>
        <w:rPr>
          <w:color w:val="231F20"/>
          <w:sz w:val="21"/>
        </w:rPr>
        <w:t>Etzioni,</w:t>
      </w:r>
      <w:r>
        <w:rPr>
          <w:color w:val="231F20"/>
          <w:spacing w:val="-15"/>
          <w:sz w:val="21"/>
        </w:rPr>
        <w:t> </w:t>
      </w:r>
      <w:r>
        <w:rPr>
          <w:color w:val="231F20"/>
          <w:sz w:val="21"/>
        </w:rPr>
        <w:t>A.</w:t>
      </w:r>
      <w:r>
        <w:rPr>
          <w:color w:val="231F20"/>
          <w:spacing w:val="-11"/>
          <w:sz w:val="21"/>
        </w:rPr>
        <w:t> </w:t>
      </w:r>
      <w:r>
        <w:rPr>
          <w:color w:val="231F20"/>
          <w:sz w:val="21"/>
        </w:rPr>
        <w:t>(1964).</w:t>
      </w:r>
      <w:r>
        <w:rPr>
          <w:color w:val="231F20"/>
          <w:spacing w:val="-11"/>
          <w:sz w:val="21"/>
        </w:rPr>
        <w:t> </w:t>
      </w:r>
      <w:r>
        <w:rPr>
          <w:i/>
          <w:color w:val="231F20"/>
          <w:sz w:val="21"/>
        </w:rPr>
        <w:t>Modern</w:t>
      </w:r>
      <w:r>
        <w:rPr>
          <w:i/>
          <w:color w:val="231F20"/>
          <w:spacing w:val="-1"/>
          <w:sz w:val="21"/>
        </w:rPr>
        <w:t> </w:t>
      </w:r>
      <w:r>
        <w:rPr>
          <w:i/>
          <w:color w:val="231F20"/>
          <w:sz w:val="21"/>
        </w:rPr>
        <w:t>organizations</w:t>
      </w:r>
      <w:r>
        <w:rPr>
          <w:color w:val="231F20"/>
          <w:sz w:val="21"/>
        </w:rPr>
        <w:t>.</w:t>
      </w:r>
      <w:r>
        <w:rPr>
          <w:color w:val="231F20"/>
          <w:spacing w:val="-11"/>
          <w:sz w:val="21"/>
        </w:rPr>
        <w:t> </w:t>
      </w:r>
      <w:r>
        <w:rPr>
          <w:color w:val="231F20"/>
          <w:sz w:val="21"/>
        </w:rPr>
        <w:t>Upper</w:t>
      </w:r>
      <w:r>
        <w:rPr>
          <w:color w:val="231F20"/>
          <w:spacing w:val="-1"/>
          <w:sz w:val="21"/>
        </w:rPr>
        <w:t> </w:t>
      </w:r>
      <w:r>
        <w:rPr>
          <w:color w:val="231F20"/>
          <w:sz w:val="21"/>
        </w:rPr>
        <w:t>Saddle</w:t>
      </w:r>
      <w:r>
        <w:rPr>
          <w:color w:val="231F20"/>
          <w:spacing w:val="-1"/>
          <w:sz w:val="21"/>
        </w:rPr>
        <w:t> </w:t>
      </w:r>
      <w:r>
        <w:rPr>
          <w:color w:val="231F20"/>
          <w:sz w:val="21"/>
        </w:rPr>
        <w:t>River,</w:t>
      </w:r>
      <w:r>
        <w:rPr>
          <w:color w:val="231F20"/>
          <w:spacing w:val="-11"/>
          <w:sz w:val="21"/>
        </w:rPr>
        <w:t> </w:t>
      </w:r>
      <w:r>
        <w:rPr>
          <w:color w:val="231F20"/>
          <w:sz w:val="21"/>
        </w:rPr>
        <w:t>New</w:t>
      </w:r>
      <w:r>
        <w:rPr>
          <w:color w:val="231F20"/>
          <w:spacing w:val="-5"/>
          <w:sz w:val="21"/>
        </w:rPr>
        <w:t> </w:t>
      </w:r>
      <w:r>
        <w:rPr>
          <w:color w:val="231F20"/>
          <w:sz w:val="21"/>
        </w:rPr>
        <w:t>Jersey: Prentice</w:t>
      </w:r>
      <w:r>
        <w:rPr>
          <w:color w:val="231F20"/>
          <w:spacing w:val="-5"/>
          <w:sz w:val="21"/>
        </w:rPr>
        <w:t> </w:t>
      </w:r>
      <w:r>
        <w:rPr>
          <w:color w:val="231F20"/>
          <w:sz w:val="21"/>
        </w:rPr>
        <w:t>Hall.</w:t>
      </w:r>
    </w:p>
    <w:p>
      <w:pPr>
        <w:spacing w:line="259" w:lineRule="auto" w:before="0"/>
        <w:ind w:left="841" w:right="115" w:hanging="738"/>
        <w:jc w:val="both"/>
        <w:rPr>
          <w:sz w:val="21"/>
        </w:rPr>
      </w:pPr>
      <w:r>
        <w:rPr>
          <w:color w:val="231F20"/>
          <w:sz w:val="21"/>
        </w:rPr>
        <w:t>Fernández, A.M. (2009). </w:t>
      </w:r>
      <w:r>
        <w:rPr>
          <w:i/>
          <w:color w:val="231F20"/>
          <w:sz w:val="21"/>
        </w:rPr>
        <w:t>La investigación social. Caminos, recursos, acer- </w:t>
      </w:r>
      <w:r>
        <w:rPr>
          <w:i/>
          <w:color w:val="231F20"/>
          <w:sz w:val="21"/>
        </w:rPr>
        <w:t>camientos y consejos. </w:t>
      </w:r>
      <w:r>
        <w:rPr>
          <w:color w:val="231F20"/>
          <w:sz w:val="21"/>
        </w:rPr>
        <w:t>México: Trillas:</w:t>
      </w:r>
    </w:p>
    <w:p>
      <w:pPr>
        <w:spacing w:line="259" w:lineRule="auto" w:before="0"/>
        <w:ind w:left="841" w:right="115" w:hanging="738"/>
        <w:jc w:val="both"/>
        <w:rPr>
          <w:sz w:val="21"/>
        </w:rPr>
      </w:pPr>
      <w:r>
        <w:rPr>
          <w:color w:val="231F20"/>
          <w:w w:val="105"/>
          <w:sz w:val="21"/>
        </w:rPr>
        <w:t>Hinnings, R. y Greenwood, R. (2002). “Disconnects and</w:t>
      </w:r>
      <w:r>
        <w:rPr>
          <w:color w:val="231F20"/>
          <w:spacing w:val="-11"/>
          <w:w w:val="105"/>
          <w:sz w:val="21"/>
        </w:rPr>
        <w:t> </w:t>
      </w:r>
      <w:r>
        <w:rPr>
          <w:color w:val="231F20"/>
          <w:w w:val="105"/>
          <w:sz w:val="21"/>
        </w:rPr>
        <w:t>consequences in</w:t>
      </w:r>
      <w:r>
        <w:rPr>
          <w:color w:val="231F20"/>
          <w:spacing w:val="-14"/>
          <w:w w:val="105"/>
          <w:sz w:val="21"/>
        </w:rPr>
        <w:t> </w:t>
      </w:r>
      <w:r>
        <w:rPr>
          <w:color w:val="231F20"/>
          <w:w w:val="105"/>
          <w:sz w:val="21"/>
        </w:rPr>
        <w:t>organization</w:t>
      </w:r>
      <w:r>
        <w:rPr>
          <w:color w:val="231F20"/>
          <w:spacing w:val="-14"/>
          <w:w w:val="105"/>
          <w:sz w:val="21"/>
        </w:rPr>
        <w:t> </w:t>
      </w:r>
      <w:r>
        <w:rPr>
          <w:color w:val="231F20"/>
          <w:w w:val="105"/>
          <w:sz w:val="21"/>
        </w:rPr>
        <w:t>theory?”</w:t>
      </w:r>
      <w:r>
        <w:rPr>
          <w:color w:val="231F20"/>
          <w:spacing w:val="-14"/>
          <w:w w:val="105"/>
          <w:sz w:val="21"/>
        </w:rPr>
        <w:t> </w:t>
      </w:r>
      <w:r>
        <w:rPr>
          <w:i/>
          <w:color w:val="231F20"/>
          <w:w w:val="105"/>
          <w:sz w:val="21"/>
        </w:rPr>
        <w:t>Administrative</w:t>
      </w:r>
      <w:r>
        <w:rPr>
          <w:i/>
          <w:color w:val="231F20"/>
          <w:spacing w:val="-14"/>
          <w:w w:val="105"/>
          <w:sz w:val="21"/>
        </w:rPr>
        <w:t> </w:t>
      </w:r>
      <w:r>
        <w:rPr>
          <w:i/>
          <w:color w:val="231F20"/>
          <w:w w:val="105"/>
          <w:sz w:val="21"/>
        </w:rPr>
        <w:t>Science</w:t>
      </w:r>
      <w:r>
        <w:rPr>
          <w:i/>
          <w:color w:val="231F20"/>
          <w:spacing w:val="-14"/>
          <w:w w:val="105"/>
          <w:sz w:val="21"/>
        </w:rPr>
        <w:t> </w:t>
      </w:r>
      <w:r>
        <w:rPr>
          <w:i/>
          <w:color w:val="231F20"/>
          <w:w w:val="105"/>
          <w:sz w:val="21"/>
        </w:rPr>
        <w:t>Quarterly</w:t>
      </w:r>
      <w:r>
        <w:rPr>
          <w:color w:val="231F20"/>
          <w:w w:val="105"/>
          <w:sz w:val="21"/>
        </w:rPr>
        <w:t>,</w:t>
      </w:r>
      <w:r>
        <w:rPr>
          <w:color w:val="231F20"/>
          <w:spacing w:val="-18"/>
          <w:w w:val="105"/>
          <w:sz w:val="21"/>
        </w:rPr>
        <w:t> </w:t>
      </w:r>
      <w:r>
        <w:rPr>
          <w:color w:val="231F20"/>
          <w:w w:val="105"/>
          <w:sz w:val="21"/>
        </w:rPr>
        <w:t>47(3): 411-421.</w:t>
      </w:r>
    </w:p>
    <w:p>
      <w:pPr>
        <w:pStyle w:val="BodyText"/>
        <w:spacing w:line="259" w:lineRule="auto"/>
        <w:ind w:left="103" w:right="17"/>
      </w:pPr>
      <w:r>
        <w:rPr>
          <w:color w:val="231F20"/>
        </w:rPr>
        <w:t>Kuhn, </w:t>
      </w:r>
      <w:r>
        <w:rPr>
          <w:color w:val="231F20"/>
          <w:spacing w:val="-9"/>
        </w:rPr>
        <w:t>T. </w:t>
      </w:r>
      <w:r>
        <w:rPr>
          <w:color w:val="231F20"/>
        </w:rPr>
        <w:t>(1995). La estructura de las revoluciones científicas. México: FCE. Mankiw, G. (2007). </w:t>
      </w:r>
      <w:r>
        <w:rPr>
          <w:i/>
          <w:color w:val="231F20"/>
        </w:rPr>
        <w:t>Macroeconomics</w:t>
      </w:r>
      <w:r>
        <w:rPr>
          <w:color w:val="231F20"/>
        </w:rPr>
        <w:t>. New </w:t>
      </w:r>
      <w:r>
        <w:rPr>
          <w:color w:val="231F20"/>
          <w:spacing w:val="-4"/>
        </w:rPr>
        <w:t>York: </w:t>
      </w:r>
      <w:r>
        <w:rPr>
          <w:color w:val="231F20"/>
          <w:spacing w:val="-3"/>
        </w:rPr>
        <w:t>Worth </w:t>
      </w:r>
      <w:r>
        <w:rPr>
          <w:color w:val="231F20"/>
        </w:rPr>
        <w:t>Publishers.</w:t>
      </w:r>
    </w:p>
    <w:p>
      <w:pPr>
        <w:spacing w:line="259" w:lineRule="auto" w:before="0"/>
        <w:ind w:left="841" w:right="115" w:hanging="738"/>
        <w:jc w:val="both"/>
        <w:rPr>
          <w:sz w:val="21"/>
        </w:rPr>
      </w:pPr>
      <w:r>
        <w:rPr>
          <w:color w:val="231F20"/>
          <w:sz w:val="21"/>
        </w:rPr>
        <w:t>March, J. G. y Simon, H. A. (1958). </w:t>
      </w:r>
      <w:r>
        <w:rPr>
          <w:i/>
          <w:color w:val="231F20"/>
          <w:sz w:val="21"/>
        </w:rPr>
        <w:t>Cognitive limits on rationality</w:t>
      </w:r>
      <w:r>
        <w:rPr>
          <w:color w:val="231F20"/>
          <w:sz w:val="21"/>
        </w:rPr>
        <w:t>. USA: John Wiley y Sons.</w:t>
      </w:r>
    </w:p>
    <w:p>
      <w:pPr>
        <w:spacing w:line="259" w:lineRule="auto" w:before="0"/>
        <w:ind w:left="841" w:right="115" w:hanging="738"/>
        <w:jc w:val="both"/>
        <w:rPr>
          <w:sz w:val="21"/>
        </w:rPr>
      </w:pPr>
      <w:r>
        <w:rPr>
          <w:color w:val="231F20"/>
          <w:w w:val="105"/>
          <w:sz w:val="21"/>
        </w:rPr>
        <w:t>Martínez,</w:t>
      </w:r>
      <w:r>
        <w:rPr>
          <w:color w:val="231F20"/>
          <w:spacing w:val="-29"/>
          <w:w w:val="105"/>
          <w:sz w:val="21"/>
        </w:rPr>
        <w:t> </w:t>
      </w:r>
      <w:r>
        <w:rPr>
          <w:color w:val="231F20"/>
          <w:w w:val="105"/>
          <w:sz w:val="21"/>
        </w:rPr>
        <w:t>M.</w:t>
      </w:r>
      <w:r>
        <w:rPr>
          <w:color w:val="231F20"/>
          <w:spacing w:val="-29"/>
          <w:w w:val="105"/>
          <w:sz w:val="21"/>
        </w:rPr>
        <w:t> </w:t>
      </w:r>
      <w:r>
        <w:rPr>
          <w:color w:val="231F20"/>
          <w:w w:val="105"/>
          <w:sz w:val="21"/>
        </w:rPr>
        <w:t>(1997).</w:t>
      </w:r>
      <w:r>
        <w:rPr>
          <w:color w:val="231F20"/>
          <w:spacing w:val="-28"/>
          <w:w w:val="105"/>
          <w:sz w:val="21"/>
        </w:rPr>
        <w:t> </w:t>
      </w:r>
      <w:r>
        <w:rPr>
          <w:i/>
          <w:color w:val="231F20"/>
          <w:w w:val="105"/>
          <w:sz w:val="21"/>
        </w:rPr>
        <w:t>El</w:t>
      </w:r>
      <w:r>
        <w:rPr>
          <w:i/>
          <w:color w:val="231F20"/>
          <w:spacing w:val="-24"/>
          <w:w w:val="105"/>
          <w:sz w:val="21"/>
        </w:rPr>
        <w:t> </w:t>
      </w:r>
      <w:r>
        <w:rPr>
          <w:i/>
          <w:color w:val="231F20"/>
          <w:w w:val="105"/>
          <w:sz w:val="21"/>
        </w:rPr>
        <w:t>paradigma</w:t>
      </w:r>
      <w:r>
        <w:rPr>
          <w:i/>
          <w:color w:val="231F20"/>
          <w:spacing w:val="-24"/>
          <w:w w:val="105"/>
          <w:sz w:val="21"/>
        </w:rPr>
        <w:t> </w:t>
      </w:r>
      <w:r>
        <w:rPr>
          <w:i/>
          <w:color w:val="231F20"/>
          <w:w w:val="105"/>
          <w:sz w:val="21"/>
        </w:rPr>
        <w:t>emergente.</w:t>
      </w:r>
      <w:r>
        <w:rPr>
          <w:i/>
          <w:color w:val="231F20"/>
          <w:spacing w:val="-29"/>
          <w:w w:val="105"/>
          <w:sz w:val="21"/>
        </w:rPr>
        <w:t> </w:t>
      </w:r>
      <w:r>
        <w:rPr>
          <w:i/>
          <w:color w:val="231F20"/>
          <w:w w:val="105"/>
          <w:sz w:val="21"/>
        </w:rPr>
        <w:t>Hacia</w:t>
      </w:r>
      <w:r>
        <w:rPr>
          <w:i/>
          <w:color w:val="231F20"/>
          <w:spacing w:val="-24"/>
          <w:w w:val="105"/>
          <w:sz w:val="21"/>
        </w:rPr>
        <w:t> </w:t>
      </w:r>
      <w:r>
        <w:rPr>
          <w:i/>
          <w:color w:val="231F20"/>
          <w:w w:val="105"/>
          <w:sz w:val="21"/>
        </w:rPr>
        <w:t>una</w:t>
      </w:r>
      <w:r>
        <w:rPr>
          <w:i/>
          <w:color w:val="231F20"/>
          <w:spacing w:val="-24"/>
          <w:w w:val="105"/>
          <w:sz w:val="21"/>
        </w:rPr>
        <w:t> </w:t>
      </w:r>
      <w:r>
        <w:rPr>
          <w:i/>
          <w:color w:val="231F20"/>
          <w:w w:val="105"/>
          <w:sz w:val="21"/>
        </w:rPr>
        <w:t>nueva</w:t>
      </w:r>
      <w:r>
        <w:rPr>
          <w:i/>
          <w:color w:val="231F20"/>
          <w:spacing w:val="-24"/>
          <w:w w:val="105"/>
          <w:sz w:val="21"/>
        </w:rPr>
        <w:t> </w:t>
      </w:r>
      <w:r>
        <w:rPr>
          <w:i/>
          <w:color w:val="231F20"/>
          <w:w w:val="105"/>
          <w:sz w:val="21"/>
        </w:rPr>
        <w:t>teoría</w:t>
      </w:r>
      <w:r>
        <w:rPr>
          <w:i/>
          <w:color w:val="231F20"/>
          <w:spacing w:val="-24"/>
          <w:w w:val="105"/>
          <w:sz w:val="21"/>
        </w:rPr>
        <w:t> </w:t>
      </w:r>
      <w:r>
        <w:rPr>
          <w:i/>
          <w:color w:val="231F20"/>
          <w:w w:val="105"/>
          <w:sz w:val="21"/>
        </w:rPr>
        <w:t>de </w:t>
      </w:r>
      <w:r>
        <w:rPr>
          <w:i/>
          <w:color w:val="231F20"/>
          <w:w w:val="105"/>
          <w:sz w:val="21"/>
        </w:rPr>
        <w:t>la</w:t>
      </w:r>
      <w:r>
        <w:rPr>
          <w:i/>
          <w:color w:val="231F20"/>
          <w:spacing w:val="-32"/>
          <w:w w:val="105"/>
          <w:sz w:val="21"/>
        </w:rPr>
        <w:t> </w:t>
      </w:r>
      <w:r>
        <w:rPr>
          <w:i/>
          <w:color w:val="231F20"/>
          <w:w w:val="105"/>
          <w:sz w:val="21"/>
        </w:rPr>
        <w:t>racionalidad</w:t>
      </w:r>
      <w:r>
        <w:rPr>
          <w:i/>
          <w:color w:val="231F20"/>
          <w:spacing w:val="-32"/>
          <w:w w:val="105"/>
          <w:sz w:val="21"/>
        </w:rPr>
        <w:t> </w:t>
      </w:r>
      <w:r>
        <w:rPr>
          <w:i/>
          <w:color w:val="231F20"/>
          <w:w w:val="105"/>
          <w:sz w:val="21"/>
        </w:rPr>
        <w:t>científica</w:t>
      </w:r>
      <w:r>
        <w:rPr>
          <w:color w:val="231F20"/>
          <w:w w:val="105"/>
          <w:sz w:val="21"/>
        </w:rPr>
        <w:t>.</w:t>
      </w:r>
      <w:r>
        <w:rPr>
          <w:color w:val="231F20"/>
          <w:spacing w:val="-36"/>
          <w:w w:val="105"/>
          <w:sz w:val="21"/>
        </w:rPr>
        <w:t> </w:t>
      </w:r>
      <w:r>
        <w:rPr>
          <w:color w:val="231F20"/>
          <w:w w:val="105"/>
          <w:sz w:val="21"/>
        </w:rPr>
        <w:t>México:</w:t>
      </w:r>
      <w:r>
        <w:rPr>
          <w:color w:val="231F20"/>
          <w:spacing w:val="-35"/>
          <w:w w:val="105"/>
          <w:sz w:val="21"/>
        </w:rPr>
        <w:t> </w:t>
      </w:r>
      <w:r>
        <w:rPr>
          <w:color w:val="231F20"/>
          <w:spacing w:val="-3"/>
          <w:w w:val="105"/>
          <w:sz w:val="21"/>
        </w:rPr>
        <w:t>Trillas.</w:t>
      </w:r>
    </w:p>
    <w:p>
      <w:pPr>
        <w:spacing w:line="259" w:lineRule="auto" w:before="0"/>
        <w:ind w:left="841" w:right="116" w:hanging="738"/>
        <w:jc w:val="both"/>
        <w:rPr>
          <w:sz w:val="21"/>
        </w:rPr>
      </w:pPr>
      <w:r>
        <w:rPr>
          <w:color w:val="231F20"/>
          <w:w w:val="105"/>
          <w:sz w:val="21"/>
        </w:rPr>
        <w:t>Olivé,</w:t>
      </w:r>
      <w:r>
        <w:rPr>
          <w:color w:val="231F20"/>
          <w:spacing w:val="-31"/>
          <w:w w:val="105"/>
          <w:sz w:val="21"/>
        </w:rPr>
        <w:t> </w:t>
      </w:r>
      <w:r>
        <w:rPr>
          <w:color w:val="231F20"/>
          <w:w w:val="105"/>
          <w:sz w:val="21"/>
        </w:rPr>
        <w:t>L.</w:t>
      </w:r>
      <w:r>
        <w:rPr>
          <w:color w:val="231F20"/>
          <w:spacing w:val="-31"/>
          <w:w w:val="105"/>
          <w:sz w:val="21"/>
        </w:rPr>
        <w:t> </w:t>
      </w:r>
      <w:r>
        <w:rPr>
          <w:color w:val="231F20"/>
          <w:w w:val="105"/>
          <w:sz w:val="21"/>
        </w:rPr>
        <w:t>(2012).</w:t>
      </w:r>
      <w:r>
        <w:rPr>
          <w:color w:val="231F20"/>
          <w:spacing w:val="-31"/>
          <w:w w:val="105"/>
          <w:sz w:val="21"/>
        </w:rPr>
        <w:t> </w:t>
      </w:r>
      <w:r>
        <w:rPr>
          <w:i/>
          <w:color w:val="231F20"/>
          <w:w w:val="105"/>
          <w:sz w:val="21"/>
        </w:rPr>
        <w:t>El</w:t>
      </w:r>
      <w:r>
        <w:rPr>
          <w:i/>
          <w:color w:val="231F20"/>
          <w:spacing w:val="-26"/>
          <w:w w:val="105"/>
          <w:sz w:val="21"/>
        </w:rPr>
        <w:t> </w:t>
      </w:r>
      <w:r>
        <w:rPr>
          <w:i/>
          <w:color w:val="231F20"/>
          <w:w w:val="105"/>
          <w:sz w:val="21"/>
        </w:rPr>
        <w:t>bien,</w:t>
      </w:r>
      <w:r>
        <w:rPr>
          <w:i/>
          <w:color w:val="231F20"/>
          <w:spacing w:val="-31"/>
          <w:w w:val="105"/>
          <w:sz w:val="21"/>
        </w:rPr>
        <w:t> </w:t>
      </w:r>
      <w:r>
        <w:rPr>
          <w:i/>
          <w:color w:val="231F20"/>
          <w:w w:val="105"/>
          <w:sz w:val="21"/>
        </w:rPr>
        <w:t>el</w:t>
      </w:r>
      <w:r>
        <w:rPr>
          <w:i/>
          <w:color w:val="231F20"/>
          <w:spacing w:val="-26"/>
          <w:w w:val="105"/>
          <w:sz w:val="21"/>
        </w:rPr>
        <w:t> </w:t>
      </w:r>
      <w:r>
        <w:rPr>
          <w:i/>
          <w:color w:val="231F20"/>
          <w:w w:val="105"/>
          <w:sz w:val="21"/>
        </w:rPr>
        <w:t>mal</w:t>
      </w:r>
      <w:r>
        <w:rPr>
          <w:i/>
          <w:color w:val="231F20"/>
          <w:spacing w:val="-26"/>
          <w:w w:val="105"/>
          <w:sz w:val="21"/>
        </w:rPr>
        <w:t> </w:t>
      </w:r>
      <w:r>
        <w:rPr>
          <w:i/>
          <w:color w:val="231F20"/>
          <w:w w:val="105"/>
          <w:sz w:val="21"/>
        </w:rPr>
        <w:t>y</w:t>
      </w:r>
      <w:r>
        <w:rPr>
          <w:i/>
          <w:color w:val="231F20"/>
          <w:spacing w:val="-26"/>
          <w:w w:val="105"/>
          <w:sz w:val="21"/>
        </w:rPr>
        <w:t> </w:t>
      </w:r>
      <w:r>
        <w:rPr>
          <w:i/>
          <w:color w:val="231F20"/>
          <w:w w:val="105"/>
          <w:sz w:val="21"/>
        </w:rPr>
        <w:t>la</w:t>
      </w:r>
      <w:r>
        <w:rPr>
          <w:i/>
          <w:color w:val="231F20"/>
          <w:spacing w:val="-26"/>
          <w:w w:val="105"/>
          <w:sz w:val="21"/>
        </w:rPr>
        <w:t> </w:t>
      </w:r>
      <w:r>
        <w:rPr>
          <w:i/>
          <w:color w:val="231F20"/>
          <w:w w:val="105"/>
          <w:sz w:val="21"/>
        </w:rPr>
        <w:t>razón.</w:t>
      </w:r>
      <w:r>
        <w:rPr>
          <w:i/>
          <w:color w:val="231F20"/>
          <w:spacing w:val="-31"/>
          <w:w w:val="105"/>
          <w:sz w:val="21"/>
        </w:rPr>
        <w:t> </w:t>
      </w:r>
      <w:r>
        <w:rPr>
          <w:i/>
          <w:color w:val="231F20"/>
          <w:w w:val="105"/>
          <w:sz w:val="21"/>
        </w:rPr>
        <w:t>Facetas</w:t>
      </w:r>
      <w:r>
        <w:rPr>
          <w:i/>
          <w:color w:val="231F20"/>
          <w:spacing w:val="-26"/>
          <w:w w:val="105"/>
          <w:sz w:val="21"/>
        </w:rPr>
        <w:t> </w:t>
      </w:r>
      <w:r>
        <w:rPr>
          <w:i/>
          <w:color w:val="231F20"/>
          <w:w w:val="105"/>
          <w:sz w:val="21"/>
        </w:rPr>
        <w:t>de</w:t>
      </w:r>
      <w:r>
        <w:rPr>
          <w:i/>
          <w:color w:val="231F20"/>
          <w:spacing w:val="-26"/>
          <w:w w:val="105"/>
          <w:sz w:val="21"/>
        </w:rPr>
        <w:t> </w:t>
      </w:r>
      <w:r>
        <w:rPr>
          <w:i/>
          <w:color w:val="231F20"/>
          <w:w w:val="105"/>
          <w:sz w:val="21"/>
        </w:rPr>
        <w:t>la</w:t>
      </w:r>
      <w:r>
        <w:rPr>
          <w:i/>
          <w:color w:val="231F20"/>
          <w:spacing w:val="-26"/>
          <w:w w:val="105"/>
          <w:sz w:val="21"/>
        </w:rPr>
        <w:t> </w:t>
      </w:r>
      <w:r>
        <w:rPr>
          <w:i/>
          <w:color w:val="231F20"/>
          <w:w w:val="105"/>
          <w:sz w:val="21"/>
        </w:rPr>
        <w:t>ciencia</w:t>
      </w:r>
      <w:r>
        <w:rPr>
          <w:i/>
          <w:color w:val="231F20"/>
          <w:spacing w:val="-26"/>
          <w:w w:val="105"/>
          <w:sz w:val="21"/>
        </w:rPr>
        <w:t> </w:t>
      </w:r>
      <w:r>
        <w:rPr>
          <w:i/>
          <w:color w:val="231F20"/>
          <w:w w:val="105"/>
          <w:sz w:val="21"/>
        </w:rPr>
        <w:t>y</w:t>
      </w:r>
      <w:r>
        <w:rPr>
          <w:i/>
          <w:color w:val="231F20"/>
          <w:spacing w:val="-26"/>
          <w:w w:val="105"/>
          <w:sz w:val="21"/>
        </w:rPr>
        <w:t> </w:t>
      </w:r>
      <w:r>
        <w:rPr>
          <w:i/>
          <w:color w:val="231F20"/>
          <w:w w:val="105"/>
          <w:sz w:val="21"/>
        </w:rPr>
        <w:t>de</w:t>
      </w:r>
      <w:r>
        <w:rPr>
          <w:i/>
          <w:color w:val="231F20"/>
          <w:spacing w:val="-26"/>
          <w:w w:val="105"/>
          <w:sz w:val="21"/>
        </w:rPr>
        <w:t> </w:t>
      </w:r>
      <w:r>
        <w:rPr>
          <w:i/>
          <w:color w:val="231F20"/>
          <w:w w:val="105"/>
          <w:sz w:val="21"/>
        </w:rPr>
        <w:t>la</w:t>
      </w:r>
      <w:r>
        <w:rPr>
          <w:i/>
          <w:color w:val="231F20"/>
          <w:spacing w:val="-26"/>
          <w:w w:val="105"/>
          <w:sz w:val="21"/>
        </w:rPr>
        <w:t> </w:t>
      </w:r>
      <w:r>
        <w:rPr>
          <w:i/>
          <w:color w:val="231F20"/>
          <w:w w:val="105"/>
          <w:sz w:val="21"/>
        </w:rPr>
        <w:t>tec- </w:t>
      </w:r>
      <w:r>
        <w:rPr>
          <w:i/>
          <w:color w:val="231F20"/>
          <w:w w:val="105"/>
          <w:sz w:val="21"/>
        </w:rPr>
        <w:t>nología</w:t>
      </w:r>
      <w:r>
        <w:rPr>
          <w:color w:val="231F20"/>
          <w:w w:val="105"/>
          <w:sz w:val="21"/>
        </w:rPr>
        <w:t>.</w:t>
      </w:r>
      <w:r>
        <w:rPr>
          <w:color w:val="231F20"/>
          <w:spacing w:val="-29"/>
          <w:w w:val="105"/>
          <w:sz w:val="21"/>
        </w:rPr>
        <w:t> </w:t>
      </w:r>
      <w:r>
        <w:rPr>
          <w:color w:val="231F20"/>
          <w:w w:val="105"/>
          <w:sz w:val="21"/>
        </w:rPr>
        <w:t>México:</w:t>
      </w:r>
      <w:r>
        <w:rPr>
          <w:color w:val="231F20"/>
          <w:spacing w:val="-24"/>
          <w:w w:val="105"/>
          <w:sz w:val="21"/>
        </w:rPr>
        <w:t> </w:t>
      </w:r>
      <w:r>
        <w:rPr>
          <w:color w:val="231F20"/>
          <w:w w:val="105"/>
          <w:sz w:val="21"/>
        </w:rPr>
        <w:t>UNAM.</w:t>
      </w:r>
    </w:p>
    <w:p>
      <w:pPr>
        <w:spacing w:line="259" w:lineRule="auto" w:before="0"/>
        <w:ind w:left="841" w:right="115" w:hanging="738"/>
        <w:jc w:val="both"/>
        <w:rPr>
          <w:sz w:val="21"/>
        </w:rPr>
      </w:pPr>
      <w:r>
        <w:rPr>
          <w:color w:val="231F20"/>
          <w:spacing w:val="-4"/>
          <w:w w:val="105"/>
          <w:sz w:val="21"/>
        </w:rPr>
        <w:t>Perrow,</w:t>
      </w:r>
      <w:r>
        <w:rPr>
          <w:color w:val="231F20"/>
          <w:spacing w:val="-28"/>
          <w:w w:val="105"/>
          <w:sz w:val="21"/>
        </w:rPr>
        <w:t> </w:t>
      </w:r>
      <w:r>
        <w:rPr>
          <w:color w:val="231F20"/>
          <w:w w:val="105"/>
          <w:sz w:val="21"/>
        </w:rPr>
        <w:t>C.</w:t>
      </w:r>
      <w:r>
        <w:rPr>
          <w:color w:val="231F20"/>
          <w:spacing w:val="-28"/>
          <w:w w:val="105"/>
          <w:sz w:val="21"/>
        </w:rPr>
        <w:t> </w:t>
      </w:r>
      <w:r>
        <w:rPr>
          <w:color w:val="231F20"/>
          <w:w w:val="105"/>
          <w:sz w:val="21"/>
        </w:rPr>
        <w:t>(1986).</w:t>
      </w:r>
      <w:r>
        <w:rPr>
          <w:color w:val="231F20"/>
          <w:spacing w:val="-28"/>
          <w:w w:val="105"/>
          <w:sz w:val="21"/>
        </w:rPr>
        <w:t> </w:t>
      </w:r>
      <w:r>
        <w:rPr>
          <w:color w:val="231F20"/>
          <w:w w:val="105"/>
          <w:sz w:val="21"/>
        </w:rPr>
        <w:t>“Economic</w:t>
      </w:r>
      <w:r>
        <w:rPr>
          <w:color w:val="231F20"/>
          <w:spacing w:val="-23"/>
          <w:w w:val="105"/>
          <w:sz w:val="21"/>
        </w:rPr>
        <w:t> </w:t>
      </w:r>
      <w:r>
        <w:rPr>
          <w:color w:val="231F20"/>
          <w:w w:val="105"/>
          <w:sz w:val="21"/>
        </w:rPr>
        <w:t>theories</w:t>
      </w:r>
      <w:r>
        <w:rPr>
          <w:color w:val="231F20"/>
          <w:spacing w:val="-23"/>
          <w:w w:val="105"/>
          <w:sz w:val="21"/>
        </w:rPr>
        <w:t> </w:t>
      </w:r>
      <w:r>
        <w:rPr>
          <w:color w:val="231F20"/>
          <w:w w:val="105"/>
          <w:sz w:val="21"/>
        </w:rPr>
        <w:t>of</w:t>
      </w:r>
      <w:r>
        <w:rPr>
          <w:color w:val="231F20"/>
          <w:spacing w:val="-20"/>
          <w:w w:val="105"/>
          <w:sz w:val="21"/>
        </w:rPr>
        <w:t> </w:t>
      </w:r>
      <w:r>
        <w:rPr>
          <w:color w:val="231F20"/>
          <w:spacing w:val="-3"/>
          <w:w w:val="105"/>
          <w:sz w:val="21"/>
        </w:rPr>
        <w:t>organizations”.</w:t>
      </w:r>
      <w:r>
        <w:rPr>
          <w:color w:val="231F20"/>
          <w:spacing w:val="-28"/>
          <w:w w:val="105"/>
          <w:sz w:val="21"/>
        </w:rPr>
        <w:t> </w:t>
      </w:r>
      <w:r>
        <w:rPr>
          <w:i/>
          <w:color w:val="231F20"/>
          <w:w w:val="105"/>
          <w:sz w:val="21"/>
        </w:rPr>
        <w:t>Theory</w:t>
      </w:r>
      <w:r>
        <w:rPr>
          <w:i/>
          <w:color w:val="231F20"/>
          <w:spacing w:val="-23"/>
          <w:w w:val="105"/>
          <w:sz w:val="21"/>
        </w:rPr>
        <w:t> </w:t>
      </w:r>
      <w:r>
        <w:rPr>
          <w:i/>
          <w:color w:val="231F20"/>
          <w:w w:val="105"/>
          <w:sz w:val="21"/>
        </w:rPr>
        <w:t>and</w:t>
      </w:r>
      <w:r>
        <w:rPr>
          <w:i/>
          <w:color w:val="231F20"/>
          <w:spacing w:val="-23"/>
          <w:w w:val="105"/>
          <w:sz w:val="21"/>
        </w:rPr>
        <w:t> </w:t>
      </w:r>
      <w:r>
        <w:rPr>
          <w:i/>
          <w:color w:val="231F20"/>
          <w:w w:val="105"/>
          <w:sz w:val="21"/>
        </w:rPr>
        <w:t>soci- </w:t>
      </w:r>
      <w:r>
        <w:rPr>
          <w:i/>
          <w:color w:val="231F20"/>
          <w:w w:val="105"/>
          <w:sz w:val="21"/>
        </w:rPr>
        <w:t>ety</w:t>
      </w:r>
      <w:r>
        <w:rPr>
          <w:color w:val="231F20"/>
          <w:w w:val="105"/>
          <w:sz w:val="21"/>
        </w:rPr>
        <w:t>,</w:t>
      </w:r>
      <w:r>
        <w:rPr>
          <w:color w:val="231F20"/>
          <w:spacing w:val="-33"/>
          <w:w w:val="105"/>
          <w:sz w:val="21"/>
        </w:rPr>
        <w:t> </w:t>
      </w:r>
      <w:r>
        <w:rPr>
          <w:color w:val="231F20"/>
          <w:w w:val="105"/>
          <w:sz w:val="21"/>
        </w:rPr>
        <w:t>15</w:t>
      </w:r>
      <w:r>
        <w:rPr>
          <w:color w:val="231F20"/>
          <w:spacing w:val="-28"/>
          <w:w w:val="105"/>
          <w:sz w:val="21"/>
        </w:rPr>
        <w:t> </w:t>
      </w:r>
      <w:r>
        <w:rPr>
          <w:color w:val="231F20"/>
          <w:w w:val="105"/>
          <w:sz w:val="21"/>
        </w:rPr>
        <w:t>(15):</w:t>
      </w:r>
      <w:r>
        <w:rPr>
          <w:color w:val="231F20"/>
          <w:spacing w:val="-28"/>
          <w:w w:val="105"/>
          <w:sz w:val="21"/>
        </w:rPr>
        <w:t> </w:t>
      </w:r>
      <w:r>
        <w:rPr>
          <w:color w:val="231F20"/>
          <w:w w:val="105"/>
          <w:sz w:val="21"/>
        </w:rPr>
        <w:t>11-45.</w:t>
      </w:r>
    </w:p>
    <w:p>
      <w:pPr>
        <w:spacing w:line="259" w:lineRule="auto" w:before="0"/>
        <w:ind w:left="841" w:right="115" w:hanging="738"/>
        <w:jc w:val="both"/>
        <w:rPr>
          <w:sz w:val="21"/>
        </w:rPr>
      </w:pPr>
      <w:r>
        <w:rPr>
          <w:color w:val="231F20"/>
          <w:sz w:val="21"/>
        </w:rPr>
        <w:t>Pfeffer, J. 2002. </w:t>
      </w:r>
      <w:r>
        <w:rPr>
          <w:i/>
          <w:color w:val="231F20"/>
          <w:sz w:val="21"/>
        </w:rPr>
        <w:t>Nuevos rumbos en la Teoría de la Organización. </w:t>
      </w:r>
      <w:r>
        <w:rPr>
          <w:color w:val="231F20"/>
          <w:sz w:val="21"/>
        </w:rPr>
        <w:t>México: Oxford University Press.</w:t>
      </w:r>
    </w:p>
    <w:p>
      <w:pPr>
        <w:pStyle w:val="BodyText"/>
        <w:spacing w:line="259" w:lineRule="auto"/>
        <w:ind w:left="841" w:right="108" w:hanging="738"/>
        <w:jc w:val="both"/>
      </w:pPr>
      <w:r>
        <w:rPr>
          <w:color w:val="231F20"/>
          <w:w w:val="105"/>
        </w:rPr>
        <w:t>Pindyck,</w:t>
      </w:r>
      <w:r>
        <w:rPr>
          <w:color w:val="231F20"/>
          <w:spacing w:val="-26"/>
          <w:w w:val="105"/>
        </w:rPr>
        <w:t> </w:t>
      </w:r>
      <w:r>
        <w:rPr>
          <w:color w:val="231F20"/>
          <w:w w:val="105"/>
        </w:rPr>
        <w:t>R.</w:t>
      </w:r>
      <w:r>
        <w:rPr>
          <w:color w:val="231F20"/>
          <w:spacing w:val="-26"/>
          <w:w w:val="105"/>
        </w:rPr>
        <w:t> </w:t>
      </w:r>
      <w:r>
        <w:rPr>
          <w:color w:val="231F20"/>
          <w:w w:val="105"/>
        </w:rPr>
        <w:t>y</w:t>
      </w:r>
      <w:r>
        <w:rPr>
          <w:color w:val="231F20"/>
          <w:spacing w:val="-22"/>
          <w:w w:val="105"/>
        </w:rPr>
        <w:t> </w:t>
      </w:r>
      <w:r>
        <w:rPr>
          <w:color w:val="231F20"/>
          <w:w w:val="105"/>
        </w:rPr>
        <w:t>Rubinfeld,</w:t>
      </w:r>
      <w:r>
        <w:rPr>
          <w:color w:val="231F20"/>
          <w:spacing w:val="-26"/>
          <w:w w:val="105"/>
        </w:rPr>
        <w:t> </w:t>
      </w:r>
      <w:r>
        <w:rPr>
          <w:color w:val="231F20"/>
          <w:spacing w:val="-6"/>
          <w:w w:val="105"/>
        </w:rPr>
        <w:t>D.</w:t>
      </w:r>
      <w:r>
        <w:rPr>
          <w:color w:val="231F20"/>
          <w:spacing w:val="-26"/>
          <w:w w:val="105"/>
        </w:rPr>
        <w:t> </w:t>
      </w:r>
      <w:r>
        <w:rPr>
          <w:color w:val="231F20"/>
          <w:w w:val="105"/>
        </w:rPr>
        <w:t>(2005).</w:t>
      </w:r>
      <w:r>
        <w:rPr>
          <w:color w:val="231F20"/>
          <w:spacing w:val="-26"/>
          <w:w w:val="105"/>
        </w:rPr>
        <w:t> </w:t>
      </w:r>
      <w:r>
        <w:rPr>
          <w:i/>
          <w:color w:val="231F20"/>
          <w:w w:val="105"/>
        </w:rPr>
        <w:t>Microeconomics.</w:t>
      </w:r>
      <w:r>
        <w:rPr>
          <w:i/>
          <w:color w:val="231F20"/>
          <w:spacing w:val="-22"/>
          <w:w w:val="105"/>
        </w:rPr>
        <w:t> </w:t>
      </w:r>
      <w:r>
        <w:rPr>
          <w:color w:val="231F20"/>
          <w:w w:val="105"/>
        </w:rPr>
        <w:t>Upper</w:t>
      </w:r>
      <w:r>
        <w:rPr>
          <w:color w:val="231F20"/>
          <w:spacing w:val="-22"/>
          <w:w w:val="105"/>
        </w:rPr>
        <w:t> </w:t>
      </w:r>
      <w:r>
        <w:rPr>
          <w:color w:val="231F20"/>
          <w:w w:val="105"/>
        </w:rPr>
        <w:t>Saddle</w:t>
      </w:r>
      <w:r>
        <w:rPr>
          <w:color w:val="231F20"/>
          <w:spacing w:val="-22"/>
          <w:w w:val="105"/>
        </w:rPr>
        <w:t> </w:t>
      </w:r>
      <w:r>
        <w:rPr>
          <w:color w:val="231F20"/>
          <w:w w:val="105"/>
        </w:rPr>
        <w:t>River, </w:t>
      </w:r>
      <w:r>
        <w:rPr>
          <w:color w:val="231F20"/>
        </w:rPr>
        <w:t>New Jersey:</w:t>
      </w:r>
      <w:r>
        <w:rPr>
          <w:color w:val="231F20"/>
          <w:spacing w:val="2"/>
        </w:rPr>
        <w:t> </w:t>
      </w:r>
      <w:r>
        <w:rPr>
          <w:color w:val="231F20"/>
        </w:rPr>
        <w:t>Prentice-Hall.</w:t>
      </w:r>
    </w:p>
    <w:p>
      <w:pPr>
        <w:spacing w:line="259" w:lineRule="auto" w:before="0"/>
        <w:ind w:left="841" w:right="115" w:hanging="738"/>
        <w:jc w:val="both"/>
        <w:rPr>
          <w:sz w:val="21"/>
        </w:rPr>
      </w:pPr>
      <w:r>
        <w:rPr>
          <w:color w:val="231F20"/>
          <w:spacing w:val="-5"/>
          <w:w w:val="105"/>
          <w:sz w:val="21"/>
        </w:rPr>
        <w:t>Porter,</w:t>
      </w:r>
      <w:r>
        <w:rPr>
          <w:color w:val="231F20"/>
          <w:spacing w:val="-27"/>
          <w:w w:val="105"/>
          <w:sz w:val="21"/>
        </w:rPr>
        <w:t> </w:t>
      </w:r>
      <w:r>
        <w:rPr>
          <w:color w:val="231F20"/>
          <w:w w:val="105"/>
          <w:sz w:val="21"/>
        </w:rPr>
        <w:t>M.</w:t>
      </w:r>
      <w:r>
        <w:rPr>
          <w:color w:val="231F20"/>
          <w:spacing w:val="-27"/>
          <w:w w:val="105"/>
          <w:sz w:val="21"/>
        </w:rPr>
        <w:t> </w:t>
      </w:r>
      <w:r>
        <w:rPr>
          <w:color w:val="231F20"/>
          <w:w w:val="105"/>
          <w:sz w:val="21"/>
        </w:rPr>
        <w:t>(1981).</w:t>
      </w:r>
      <w:r>
        <w:rPr>
          <w:color w:val="231F20"/>
          <w:spacing w:val="-27"/>
          <w:w w:val="105"/>
          <w:sz w:val="21"/>
        </w:rPr>
        <w:t> </w:t>
      </w:r>
      <w:r>
        <w:rPr>
          <w:color w:val="231F20"/>
          <w:w w:val="105"/>
          <w:sz w:val="21"/>
        </w:rPr>
        <w:t>“The</w:t>
      </w:r>
      <w:r>
        <w:rPr>
          <w:color w:val="231F20"/>
          <w:spacing w:val="-22"/>
          <w:w w:val="105"/>
          <w:sz w:val="21"/>
        </w:rPr>
        <w:t> </w:t>
      </w:r>
      <w:r>
        <w:rPr>
          <w:color w:val="231F20"/>
          <w:w w:val="105"/>
          <w:sz w:val="21"/>
        </w:rPr>
        <w:t>contributions</w:t>
      </w:r>
      <w:r>
        <w:rPr>
          <w:color w:val="231F20"/>
          <w:spacing w:val="-22"/>
          <w:w w:val="105"/>
          <w:sz w:val="21"/>
        </w:rPr>
        <w:t> </w:t>
      </w:r>
      <w:r>
        <w:rPr>
          <w:color w:val="231F20"/>
          <w:w w:val="105"/>
          <w:sz w:val="21"/>
        </w:rPr>
        <w:t>of</w:t>
      </w:r>
      <w:r>
        <w:rPr>
          <w:color w:val="231F20"/>
          <w:spacing w:val="-17"/>
          <w:w w:val="105"/>
          <w:sz w:val="21"/>
        </w:rPr>
        <w:t> </w:t>
      </w:r>
      <w:r>
        <w:rPr>
          <w:color w:val="231F20"/>
          <w:w w:val="105"/>
          <w:sz w:val="21"/>
        </w:rPr>
        <w:t>industrial</w:t>
      </w:r>
      <w:r>
        <w:rPr>
          <w:color w:val="231F20"/>
          <w:spacing w:val="-22"/>
          <w:w w:val="105"/>
          <w:sz w:val="21"/>
        </w:rPr>
        <w:t> </w:t>
      </w:r>
      <w:r>
        <w:rPr>
          <w:color w:val="231F20"/>
          <w:w w:val="105"/>
          <w:sz w:val="21"/>
        </w:rPr>
        <w:t>organization</w:t>
      </w:r>
      <w:r>
        <w:rPr>
          <w:color w:val="231F20"/>
          <w:spacing w:val="-22"/>
          <w:w w:val="105"/>
          <w:sz w:val="21"/>
        </w:rPr>
        <w:t> </w:t>
      </w:r>
      <w:r>
        <w:rPr>
          <w:color w:val="231F20"/>
          <w:w w:val="105"/>
          <w:sz w:val="21"/>
        </w:rPr>
        <w:t>to</w:t>
      </w:r>
      <w:r>
        <w:rPr>
          <w:color w:val="231F20"/>
          <w:spacing w:val="-22"/>
          <w:w w:val="105"/>
          <w:sz w:val="21"/>
        </w:rPr>
        <w:t> </w:t>
      </w:r>
      <w:r>
        <w:rPr>
          <w:color w:val="231F20"/>
          <w:w w:val="105"/>
          <w:sz w:val="21"/>
        </w:rPr>
        <w:t>strategic management”.</w:t>
      </w:r>
      <w:r>
        <w:rPr>
          <w:color w:val="231F20"/>
          <w:spacing w:val="-37"/>
          <w:w w:val="105"/>
          <w:sz w:val="21"/>
        </w:rPr>
        <w:t> </w:t>
      </w:r>
      <w:r>
        <w:rPr>
          <w:i/>
          <w:color w:val="231F20"/>
          <w:w w:val="105"/>
          <w:sz w:val="21"/>
        </w:rPr>
        <w:t>Academy</w:t>
      </w:r>
      <w:r>
        <w:rPr>
          <w:i/>
          <w:color w:val="231F20"/>
          <w:spacing w:val="-33"/>
          <w:w w:val="105"/>
          <w:sz w:val="21"/>
        </w:rPr>
        <w:t> </w:t>
      </w:r>
      <w:r>
        <w:rPr>
          <w:i/>
          <w:color w:val="231F20"/>
          <w:w w:val="105"/>
          <w:sz w:val="21"/>
        </w:rPr>
        <w:t>of</w:t>
      </w:r>
      <w:r>
        <w:rPr>
          <w:i/>
          <w:color w:val="231F20"/>
          <w:spacing w:val="-31"/>
          <w:w w:val="105"/>
          <w:sz w:val="21"/>
        </w:rPr>
        <w:t> </w:t>
      </w:r>
      <w:r>
        <w:rPr>
          <w:i/>
          <w:color w:val="231F20"/>
          <w:w w:val="105"/>
          <w:sz w:val="21"/>
        </w:rPr>
        <w:t>Management</w:t>
      </w:r>
      <w:r>
        <w:rPr>
          <w:i/>
          <w:color w:val="231F20"/>
          <w:spacing w:val="-33"/>
          <w:w w:val="105"/>
          <w:sz w:val="21"/>
        </w:rPr>
        <w:t> </w:t>
      </w:r>
      <w:r>
        <w:rPr>
          <w:i/>
          <w:color w:val="231F20"/>
          <w:w w:val="105"/>
          <w:sz w:val="21"/>
        </w:rPr>
        <w:t>Review</w:t>
      </w:r>
      <w:r>
        <w:rPr>
          <w:color w:val="231F20"/>
          <w:w w:val="105"/>
          <w:sz w:val="21"/>
        </w:rPr>
        <w:t>,</w:t>
      </w:r>
      <w:r>
        <w:rPr>
          <w:color w:val="231F20"/>
          <w:spacing w:val="-37"/>
          <w:w w:val="105"/>
          <w:sz w:val="21"/>
        </w:rPr>
        <w:t> </w:t>
      </w:r>
      <w:r>
        <w:rPr>
          <w:color w:val="231F20"/>
          <w:w w:val="105"/>
          <w:sz w:val="21"/>
        </w:rPr>
        <w:t>6</w:t>
      </w:r>
      <w:r>
        <w:rPr>
          <w:color w:val="231F20"/>
          <w:spacing w:val="-33"/>
          <w:w w:val="105"/>
          <w:sz w:val="21"/>
        </w:rPr>
        <w:t> </w:t>
      </w:r>
      <w:r>
        <w:rPr>
          <w:color w:val="231F20"/>
          <w:w w:val="105"/>
          <w:sz w:val="21"/>
        </w:rPr>
        <w:t>(4):</w:t>
      </w:r>
      <w:r>
        <w:rPr>
          <w:color w:val="231F20"/>
          <w:spacing w:val="-33"/>
          <w:w w:val="105"/>
          <w:sz w:val="21"/>
        </w:rPr>
        <w:t> </w:t>
      </w:r>
      <w:r>
        <w:rPr>
          <w:color w:val="231F20"/>
          <w:w w:val="105"/>
          <w:sz w:val="21"/>
        </w:rPr>
        <w:t>609-620.</w:t>
      </w:r>
    </w:p>
    <w:p>
      <w:pPr>
        <w:pStyle w:val="BodyText"/>
        <w:spacing w:line="259" w:lineRule="auto"/>
        <w:ind w:left="103" w:right="106"/>
      </w:pPr>
      <w:r>
        <w:rPr>
          <w:color w:val="231F20"/>
        </w:rPr>
        <w:t>Samuelson, P. y Nordhaus, W. (1992). </w:t>
      </w:r>
      <w:r>
        <w:rPr>
          <w:i/>
          <w:color w:val="231F20"/>
        </w:rPr>
        <w:t>Economía</w:t>
      </w:r>
      <w:r>
        <w:rPr>
          <w:color w:val="231F20"/>
        </w:rPr>
        <w:t>. México: McGraw-Hill. Universidad  Autónoma  del  Estado  de  México. Dependencia  de Educa-</w:t>
      </w:r>
    </w:p>
    <w:p>
      <w:pPr>
        <w:spacing w:line="259" w:lineRule="auto" w:before="0"/>
        <w:ind w:left="841" w:right="114" w:firstLine="0"/>
        <w:jc w:val="both"/>
        <w:rPr>
          <w:sz w:val="21"/>
        </w:rPr>
      </w:pPr>
      <w:r>
        <w:rPr>
          <w:color w:val="231F20"/>
          <w:sz w:val="21"/>
        </w:rPr>
        <w:t>ción Superior (DES) Económico-Administrativa. </w:t>
      </w:r>
      <w:r>
        <w:rPr>
          <w:i/>
          <w:color w:val="231F20"/>
          <w:sz w:val="21"/>
        </w:rPr>
        <w:t>Reestructuración </w:t>
      </w:r>
      <w:r>
        <w:rPr>
          <w:i/>
          <w:color w:val="231F20"/>
          <w:sz w:val="21"/>
        </w:rPr>
        <w:t>del Doctorado en Ciencias Económico-Administrativas. </w:t>
      </w:r>
      <w:r>
        <w:rPr>
          <w:color w:val="231F20"/>
          <w:sz w:val="21"/>
        </w:rPr>
        <w:t>Enero 2013. Disponible  en: </w:t>
      </w:r>
      <w:hyperlink r:id="rId16">
        <w:r>
          <w:rPr>
            <w:color w:val="231F20"/>
            <w:sz w:val="21"/>
          </w:rPr>
          <w:t>www.dcea.fca.uaemex.mx</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tabs>
          <w:tab w:pos="1317" w:val="left" w:leader="none"/>
        </w:tabs>
        <w:spacing w:before="71"/>
        <w:ind w:left="267" w:right="17" w:firstLine="0"/>
        <w:jc w:val="left"/>
        <w:rPr>
          <w:rFonts w:ascii="Calibri"/>
          <w:sz w:val="15"/>
        </w:rPr>
      </w:pPr>
      <w:r>
        <w:rPr/>
        <w:pict>
          <v:line style="position:absolute;mso-position-horizontal-relative:page;mso-position-vertical-relative:paragraph;z-index:-246616" from="110.551201pt,3.753713pt" to="110.551201pt,39.556112pt" stroked="true" strokeweight=".35pt" strokecolor="#231f20">
            <w10:wrap type="none"/>
          </v:line>
        </w:pict>
      </w:r>
      <w:r>
        <w:rPr>
          <w:color w:val="414042"/>
          <w:w w:val="105"/>
          <w:position w:val="-5"/>
          <w:sz w:val="20"/>
        </w:rPr>
        <w:t>16</w:t>
        <w:tab/>
      </w:r>
      <w:r>
        <w:rPr>
          <w:rFonts w:ascii="Calibri"/>
          <w:color w:val="6D6E71"/>
          <w:w w:val="105"/>
          <w:sz w:val="15"/>
        </w:rPr>
        <w:t>Patricia</w:t>
      </w:r>
      <w:r>
        <w:rPr>
          <w:rFonts w:ascii="Calibri"/>
          <w:color w:val="6D6E71"/>
          <w:spacing w:val="-11"/>
          <w:w w:val="105"/>
          <w:sz w:val="15"/>
        </w:rPr>
        <w:t> </w:t>
      </w:r>
      <w:r>
        <w:rPr>
          <w:rFonts w:ascii="Calibri"/>
          <w:color w:val="6D6E71"/>
          <w:w w:val="105"/>
          <w:sz w:val="15"/>
        </w:rPr>
        <w:t>Mercado</w:t>
      </w:r>
      <w:r>
        <w:rPr>
          <w:rFonts w:ascii="Calibri"/>
          <w:color w:val="6D6E71"/>
          <w:spacing w:val="-11"/>
          <w:w w:val="105"/>
          <w:sz w:val="15"/>
        </w:rPr>
        <w:t> </w:t>
      </w:r>
      <w:r>
        <w:rPr>
          <w:rFonts w:ascii="Calibri"/>
          <w:color w:val="6D6E71"/>
          <w:w w:val="105"/>
          <w:sz w:val="15"/>
        </w:rPr>
        <w:t>Salgado</w:t>
      </w:r>
      <w:r>
        <w:rPr>
          <w:rFonts w:ascii="Calibri"/>
          <w:color w:val="6D6E71"/>
          <w:spacing w:val="-12"/>
          <w:w w:val="105"/>
          <w:sz w:val="15"/>
        </w:rPr>
        <w:t> </w:t>
      </w:r>
      <w:r>
        <w:rPr>
          <w:rFonts w:ascii="Calibri"/>
          <w:color w:val="6D6E71"/>
          <w:w w:val="105"/>
          <w:sz w:val="15"/>
        </w:rPr>
        <w:t>y</w:t>
      </w:r>
      <w:r>
        <w:rPr>
          <w:rFonts w:ascii="Calibri"/>
          <w:color w:val="6D6E71"/>
          <w:spacing w:val="-11"/>
          <w:w w:val="105"/>
          <w:sz w:val="15"/>
        </w:rPr>
        <w:t> </w:t>
      </w:r>
      <w:r>
        <w:rPr>
          <w:rFonts w:ascii="Calibri"/>
          <w:color w:val="6D6E71"/>
          <w:w w:val="105"/>
          <w:sz w:val="15"/>
        </w:rPr>
        <w:t>Daniel</w:t>
      </w:r>
      <w:r>
        <w:rPr>
          <w:rFonts w:ascii="Calibri"/>
          <w:color w:val="6D6E71"/>
          <w:spacing w:val="-11"/>
          <w:w w:val="105"/>
          <w:sz w:val="15"/>
        </w:rPr>
        <w:t> </w:t>
      </w:r>
      <w:r>
        <w:rPr>
          <w:rFonts w:ascii="Calibri"/>
          <w:color w:val="6D6E71"/>
          <w:w w:val="105"/>
          <w:sz w:val="15"/>
        </w:rPr>
        <w:t>Arturo</w:t>
      </w:r>
      <w:r>
        <w:rPr>
          <w:rFonts w:ascii="Calibri"/>
          <w:color w:val="6D6E71"/>
          <w:spacing w:val="-11"/>
          <w:w w:val="105"/>
          <w:sz w:val="15"/>
        </w:rPr>
        <w:t> </w:t>
      </w:r>
      <w:r>
        <w:rPr>
          <w:rFonts w:ascii="Calibri"/>
          <w:color w:val="6D6E71"/>
          <w:w w:val="105"/>
          <w:sz w:val="15"/>
        </w:rPr>
        <w:t>Cernas</w:t>
      </w:r>
      <w:r>
        <w:rPr>
          <w:rFonts w:ascii="Calibri"/>
          <w:color w:val="6D6E71"/>
          <w:spacing w:val="-11"/>
          <w:w w:val="105"/>
          <w:sz w:val="15"/>
        </w:rPr>
        <w:t> </w:t>
      </w:r>
      <w:r>
        <w:rPr>
          <w:rFonts w:ascii="Calibri"/>
          <w:color w:val="6D6E71"/>
          <w:w w:val="105"/>
          <w:sz w:val="15"/>
        </w:rPr>
        <w:t>Ortiz</w:t>
      </w:r>
    </w:p>
    <w:p>
      <w:pPr>
        <w:spacing w:after="0"/>
        <w:jc w:val="left"/>
        <w:rPr>
          <w:rFonts w:ascii="Calibri"/>
          <w:sz w:val="15"/>
        </w:rPr>
        <w:sectPr>
          <w:pgSz w:w="9640" w:h="13890"/>
          <w:pgMar w:top="1300" w:bottom="0" w:left="1200" w:right="1300"/>
        </w:sectPr>
      </w:pPr>
    </w:p>
    <w:p>
      <w:pPr>
        <w:pStyle w:val="BodyText"/>
        <w:rPr>
          <w:rFonts w:ascii="Calibri"/>
          <w:sz w:val="20"/>
        </w:rPr>
      </w:pPr>
      <w:r>
        <w:rPr/>
        <w:drawing>
          <wp:anchor distT="0" distB="0" distL="0" distR="0" allowOverlap="1" layoutInCell="1" locked="0" behindDoc="1" simplePos="0" relativeHeight="268188863">
            <wp:simplePos x="0" y="0"/>
            <wp:positionH relativeFrom="page">
              <wp:posOffset>7200</wp:posOffset>
            </wp:positionH>
            <wp:positionV relativeFrom="page">
              <wp:posOffset>0</wp:posOffset>
            </wp:positionV>
            <wp:extent cx="6112802" cy="8819997"/>
            <wp:effectExtent l="0" t="0" r="0" b="0"/>
            <wp:wrapNone/>
            <wp:docPr id="7" name="image11.png" descr=""/>
            <wp:cNvGraphicFramePr>
              <a:graphicFrameLocks noChangeAspect="1"/>
            </wp:cNvGraphicFramePr>
            <a:graphic>
              <a:graphicData uri="http://schemas.openxmlformats.org/drawingml/2006/picture">
                <pic:pic>
                  <pic:nvPicPr>
                    <pic:cNvPr id="8"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5"/>
        </w:rPr>
      </w:pPr>
    </w:p>
    <w:p>
      <w:pPr>
        <w:pStyle w:val="Heading1"/>
        <w:numPr>
          <w:ilvl w:val="0"/>
          <w:numId w:val="2"/>
        </w:numPr>
        <w:tabs>
          <w:tab w:pos="1657" w:val="left" w:leader="none"/>
        </w:tabs>
        <w:spacing w:line="288" w:lineRule="exact" w:before="38" w:after="0"/>
        <w:ind w:left="1263" w:right="3144" w:firstLine="215"/>
        <w:jc w:val="right"/>
      </w:pPr>
      <w:r>
        <w:rPr>
          <w:color w:val="FFFFFF"/>
          <w:w w:val="110"/>
        </w:rPr>
        <w:t>LA</w:t>
      </w:r>
      <w:r>
        <w:rPr>
          <w:color w:val="FFFFFF"/>
          <w:spacing w:val="-38"/>
          <w:w w:val="110"/>
        </w:rPr>
        <w:t> </w:t>
      </w:r>
      <w:r>
        <w:rPr>
          <w:color w:val="FFFFFF"/>
          <w:w w:val="110"/>
        </w:rPr>
        <w:t>SUSTENTABILIDAD</w:t>
      </w:r>
      <w:r>
        <w:rPr>
          <w:color w:val="FFFFFF"/>
          <w:w w:val="107"/>
        </w:rPr>
        <w:t> </w:t>
      </w:r>
      <w:r>
        <w:rPr>
          <w:color w:val="FFFFFF"/>
          <w:w w:val="105"/>
        </w:rPr>
        <w:t>ORftANIZACIONAL  DESDE</w:t>
      </w:r>
    </w:p>
    <w:p>
      <w:pPr>
        <w:spacing w:line="288" w:lineRule="exact" w:before="0"/>
        <w:ind w:left="684" w:right="3144" w:hanging="172"/>
        <w:jc w:val="right"/>
        <w:rPr>
          <w:rFonts w:ascii="Calibri" w:hAnsi="Calibri"/>
          <w:sz w:val="24"/>
        </w:rPr>
      </w:pPr>
      <w:r>
        <w:rPr>
          <w:rFonts w:ascii="Calibri" w:hAnsi="Calibri"/>
          <w:color w:val="FFFFFF"/>
          <w:w w:val="110"/>
          <w:sz w:val="24"/>
        </w:rPr>
        <w:t>LA TEORÍA DE LA DEPENDENCIA</w:t>
      </w:r>
      <w:r>
        <w:rPr>
          <w:rFonts w:ascii="Calibri" w:hAnsi="Calibri"/>
          <w:color w:val="FFFFFF"/>
          <w:w w:val="107"/>
          <w:sz w:val="24"/>
        </w:rPr>
        <w:t> </w:t>
      </w:r>
      <w:r>
        <w:rPr>
          <w:rFonts w:ascii="Calibri" w:hAnsi="Calibri"/>
          <w:color w:val="FFFFFF"/>
          <w:w w:val="110"/>
          <w:sz w:val="24"/>
        </w:rPr>
        <w:t>DE RECURSOS Y LA TEORÍA DE</w:t>
      </w:r>
      <w:r>
        <w:rPr>
          <w:rFonts w:ascii="Calibri" w:hAnsi="Calibri"/>
          <w:color w:val="FFFFFF"/>
          <w:w w:val="108"/>
          <w:sz w:val="24"/>
        </w:rPr>
        <w:t> </w:t>
      </w:r>
      <w:r>
        <w:rPr>
          <w:rFonts w:ascii="Calibri" w:hAnsi="Calibri"/>
          <w:color w:val="FFFFFF"/>
          <w:w w:val="110"/>
          <w:sz w:val="24"/>
        </w:rPr>
        <w:t>RECURSOS Y CAPACIDADES</w:t>
      </w:r>
    </w:p>
    <w:p>
      <w:pPr>
        <w:pStyle w:val="Heading3"/>
        <w:spacing w:before="127"/>
        <w:ind w:right="102"/>
      </w:pPr>
      <w:r>
        <w:rPr>
          <w:color w:val="FFFFFF"/>
          <w:w w:val="105"/>
        </w:rPr>
        <w:t>Patricia Mercado Salgado Patricia García Hernández Carmen</w:t>
      </w:r>
      <w:r>
        <w:rPr>
          <w:color w:val="FFFFFF"/>
          <w:spacing w:val="-29"/>
          <w:w w:val="105"/>
        </w:rPr>
        <w:t> </w:t>
      </w:r>
      <w:r>
        <w:rPr>
          <w:color w:val="FFFFFF"/>
          <w:w w:val="105"/>
        </w:rPr>
        <w:t>Patricia</w:t>
      </w:r>
      <w:r>
        <w:rPr>
          <w:color w:val="FFFFFF"/>
          <w:spacing w:val="-29"/>
          <w:w w:val="105"/>
        </w:rPr>
        <w:t> </w:t>
      </w:r>
      <w:r>
        <w:rPr>
          <w:color w:val="FFFFFF"/>
          <w:w w:val="105"/>
        </w:rPr>
        <w:t>Jiménez</w:t>
      </w:r>
      <w:r>
        <w:rPr>
          <w:color w:val="FFFFFF"/>
          <w:spacing w:val="-31"/>
          <w:w w:val="105"/>
        </w:rPr>
        <w:t> </w:t>
      </w:r>
      <w:r>
        <w:rPr>
          <w:color w:val="FFFFFF"/>
          <w:spacing w:val="-3"/>
          <w:w w:val="105"/>
        </w:rPr>
        <w:t>Terrazas</w:t>
      </w:r>
    </w:p>
    <w:p>
      <w:pPr>
        <w:spacing w:after="0"/>
        <w:sectPr>
          <w:pgSz w:w="9640" w:h="13890"/>
          <w:pgMar w:top="1300" w:bottom="280" w:left="1340" w:right="122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0"/>
        <w:ind w:left="117" w:right="17" w:firstLine="0"/>
        <w:jc w:val="left"/>
        <w:rPr>
          <w:b/>
          <w:sz w:val="22"/>
        </w:rPr>
      </w:pPr>
      <w:r>
        <w:rPr>
          <w:b/>
          <w:color w:val="231F20"/>
          <w:sz w:val="22"/>
        </w:rPr>
        <w:t>Resumen</w:t>
      </w:r>
    </w:p>
    <w:p>
      <w:pPr>
        <w:pStyle w:val="BodyText"/>
        <w:rPr>
          <w:b/>
          <w:sz w:val="20"/>
        </w:rPr>
      </w:pPr>
    </w:p>
    <w:p>
      <w:pPr>
        <w:pStyle w:val="BodyText"/>
        <w:spacing w:line="254" w:lineRule="auto" w:before="174"/>
        <w:ind w:left="1180" w:right="101"/>
        <w:jc w:val="both"/>
      </w:pPr>
      <w:r>
        <w:rPr/>
        <w:pict>
          <v:shape style="position:absolute;margin-left:82.218903pt;margin-top:20.849203pt;width:31.2pt;height:51pt;mso-position-horizontal-relative:page;mso-position-vertical-relative:paragraph;z-index:136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7"/>
          <w:w w:val="105"/>
        </w:rPr>
        <w:t> </w:t>
      </w:r>
      <w:r>
        <w:rPr>
          <w:color w:val="231F20"/>
          <w:w w:val="105"/>
        </w:rPr>
        <w:t>objetivo</w:t>
      </w:r>
      <w:r>
        <w:rPr>
          <w:color w:val="231F20"/>
          <w:spacing w:val="-7"/>
          <w:w w:val="105"/>
        </w:rPr>
        <w:t> </w:t>
      </w:r>
      <w:r>
        <w:rPr>
          <w:color w:val="231F20"/>
          <w:w w:val="105"/>
        </w:rPr>
        <w:t>de</w:t>
      </w:r>
      <w:r>
        <w:rPr>
          <w:color w:val="231F20"/>
          <w:spacing w:val="-7"/>
          <w:w w:val="105"/>
        </w:rPr>
        <w:t> </w:t>
      </w:r>
      <w:r>
        <w:rPr>
          <w:color w:val="231F20"/>
          <w:w w:val="105"/>
        </w:rPr>
        <w:t>este</w:t>
      </w:r>
      <w:r>
        <w:rPr>
          <w:color w:val="231F20"/>
          <w:spacing w:val="-7"/>
          <w:w w:val="105"/>
        </w:rPr>
        <w:t> </w:t>
      </w:r>
      <w:r>
        <w:rPr>
          <w:color w:val="231F20"/>
          <w:w w:val="105"/>
        </w:rPr>
        <w:t>capítulo</w:t>
      </w:r>
      <w:r>
        <w:rPr>
          <w:color w:val="231F20"/>
          <w:spacing w:val="-7"/>
          <w:w w:val="105"/>
        </w:rPr>
        <w:t> </w:t>
      </w:r>
      <w:r>
        <w:rPr>
          <w:color w:val="231F20"/>
          <w:w w:val="105"/>
        </w:rPr>
        <w:t>es</w:t>
      </w:r>
      <w:r>
        <w:rPr>
          <w:color w:val="231F20"/>
          <w:spacing w:val="-7"/>
          <w:w w:val="105"/>
        </w:rPr>
        <w:t> </w:t>
      </w:r>
      <w:r>
        <w:rPr>
          <w:color w:val="231F20"/>
          <w:w w:val="105"/>
        </w:rPr>
        <w:t>revisar</w:t>
      </w:r>
      <w:r>
        <w:rPr>
          <w:color w:val="231F20"/>
          <w:spacing w:val="-7"/>
          <w:w w:val="105"/>
        </w:rPr>
        <w:t> </w:t>
      </w:r>
      <w:r>
        <w:rPr>
          <w:color w:val="231F20"/>
          <w:w w:val="105"/>
        </w:rPr>
        <w:t>y</w:t>
      </w:r>
      <w:r>
        <w:rPr>
          <w:color w:val="231F20"/>
          <w:spacing w:val="-7"/>
          <w:w w:val="105"/>
        </w:rPr>
        <w:t> </w:t>
      </w:r>
      <w:r>
        <w:rPr>
          <w:color w:val="231F20"/>
          <w:w w:val="105"/>
        </w:rPr>
        <w:t>contrastar</w:t>
      </w:r>
      <w:r>
        <w:rPr>
          <w:color w:val="231F20"/>
          <w:spacing w:val="-7"/>
          <w:w w:val="105"/>
        </w:rPr>
        <w:t> </w:t>
      </w:r>
      <w:r>
        <w:rPr>
          <w:color w:val="231F20"/>
          <w:w w:val="105"/>
        </w:rPr>
        <w:t>la</w:t>
      </w:r>
      <w:r>
        <w:rPr>
          <w:color w:val="231F20"/>
          <w:spacing w:val="-8"/>
          <w:w w:val="105"/>
        </w:rPr>
        <w:t> </w:t>
      </w:r>
      <w:r>
        <w:rPr>
          <w:color w:val="231F20"/>
          <w:w w:val="105"/>
          <w:sz w:val="22"/>
        </w:rPr>
        <w:t>teoría</w:t>
      </w:r>
      <w:r>
        <w:rPr>
          <w:color w:val="231F20"/>
          <w:spacing w:val="-7"/>
          <w:w w:val="105"/>
          <w:sz w:val="22"/>
        </w:rPr>
        <w:t> </w:t>
      </w:r>
      <w:r>
        <w:rPr>
          <w:color w:val="231F20"/>
          <w:w w:val="105"/>
          <w:sz w:val="22"/>
        </w:rPr>
        <w:t>de la</w:t>
      </w:r>
      <w:r>
        <w:rPr>
          <w:color w:val="231F20"/>
          <w:spacing w:val="-7"/>
          <w:w w:val="105"/>
          <w:sz w:val="22"/>
        </w:rPr>
        <w:t> </w:t>
      </w:r>
      <w:r>
        <w:rPr>
          <w:color w:val="231F20"/>
          <w:w w:val="105"/>
          <w:sz w:val="22"/>
        </w:rPr>
        <w:t>dependencia</w:t>
      </w:r>
      <w:r>
        <w:rPr>
          <w:color w:val="231F20"/>
          <w:spacing w:val="-7"/>
          <w:w w:val="105"/>
          <w:sz w:val="22"/>
        </w:rPr>
        <w:t> </w:t>
      </w:r>
      <w:r>
        <w:rPr>
          <w:color w:val="231F20"/>
          <w:w w:val="105"/>
          <w:sz w:val="22"/>
        </w:rPr>
        <w:t>de</w:t>
      </w:r>
      <w:r>
        <w:rPr>
          <w:color w:val="231F20"/>
          <w:spacing w:val="-7"/>
          <w:w w:val="105"/>
          <w:sz w:val="22"/>
        </w:rPr>
        <w:t> </w:t>
      </w:r>
      <w:r>
        <w:rPr>
          <w:color w:val="231F20"/>
          <w:w w:val="105"/>
          <w:sz w:val="22"/>
        </w:rPr>
        <w:t>recursos</w:t>
      </w:r>
      <w:r>
        <w:rPr>
          <w:color w:val="231F20"/>
          <w:spacing w:val="-7"/>
          <w:w w:val="105"/>
          <w:sz w:val="22"/>
        </w:rPr>
        <w:t> </w:t>
      </w:r>
      <w:r>
        <w:rPr>
          <w:color w:val="231F20"/>
          <w:w w:val="105"/>
        </w:rPr>
        <w:t>(TDR)</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teoría</w:t>
      </w:r>
      <w:r>
        <w:rPr>
          <w:color w:val="231F20"/>
          <w:spacing w:val="-7"/>
          <w:w w:val="105"/>
        </w:rPr>
        <w:t> </w:t>
      </w:r>
      <w:r>
        <w:rPr>
          <w:color w:val="231F20"/>
          <w:w w:val="105"/>
        </w:rPr>
        <w:t>de</w:t>
      </w:r>
      <w:r>
        <w:rPr>
          <w:color w:val="231F20"/>
          <w:spacing w:val="-7"/>
          <w:w w:val="105"/>
        </w:rPr>
        <w:t> </w:t>
      </w:r>
      <w:r>
        <w:rPr>
          <w:color w:val="231F20"/>
          <w:w w:val="105"/>
        </w:rPr>
        <w:t>recursos</w:t>
      </w:r>
      <w:r>
        <w:rPr>
          <w:color w:val="231F20"/>
          <w:spacing w:val="-7"/>
          <w:w w:val="105"/>
        </w:rPr>
        <w:t> </w:t>
      </w:r>
      <w:r>
        <w:rPr>
          <w:color w:val="231F20"/>
          <w:w w:val="105"/>
        </w:rPr>
        <w:t>y capacidades (TRyC), como soporte para la propuesta de</w:t>
      </w:r>
      <w:r>
        <w:rPr>
          <w:color w:val="231F20"/>
          <w:spacing w:val="-7"/>
          <w:w w:val="105"/>
        </w:rPr>
        <w:t> </w:t>
      </w:r>
      <w:r>
        <w:rPr>
          <w:color w:val="231F20"/>
          <w:w w:val="105"/>
        </w:rPr>
        <w:t>un modelo de sustentabilidad organizacional integrado de cua- tro dimensiones: social, ambiental, económico-financiera  </w:t>
      </w:r>
      <w:r>
        <w:rPr>
          <w:color w:val="231F20"/>
          <w:spacing w:val="16"/>
          <w:w w:val="105"/>
        </w:rPr>
        <w:t> </w:t>
      </w:r>
      <w:r>
        <w:rPr>
          <w:color w:val="231F20"/>
          <w:w w:val="105"/>
        </w:rPr>
        <w:t>y</w:t>
      </w:r>
    </w:p>
    <w:p>
      <w:pPr>
        <w:pStyle w:val="BodyText"/>
        <w:spacing w:line="259" w:lineRule="auto" w:before="4"/>
        <w:ind w:left="117" w:right="101"/>
        <w:jc w:val="both"/>
      </w:pPr>
      <w:r>
        <w:rPr>
          <w:color w:val="231F20"/>
          <w:w w:val="105"/>
        </w:rPr>
        <w:t>organizativa.</w:t>
      </w:r>
      <w:r>
        <w:rPr>
          <w:color w:val="231F20"/>
          <w:spacing w:val="-22"/>
          <w:w w:val="105"/>
        </w:rPr>
        <w:t> </w:t>
      </w:r>
      <w:r>
        <w:rPr>
          <w:color w:val="231F20"/>
          <w:w w:val="105"/>
        </w:rPr>
        <w:t>Puesto</w:t>
      </w:r>
      <w:r>
        <w:rPr>
          <w:color w:val="231F20"/>
          <w:spacing w:val="-17"/>
          <w:w w:val="105"/>
        </w:rPr>
        <w:t> </w:t>
      </w:r>
      <w:r>
        <w:rPr>
          <w:color w:val="231F20"/>
          <w:w w:val="105"/>
        </w:rPr>
        <w:t>que</w:t>
      </w:r>
      <w:r>
        <w:rPr>
          <w:color w:val="231F20"/>
          <w:spacing w:val="-17"/>
          <w:w w:val="105"/>
        </w:rPr>
        <w:t> </w:t>
      </w:r>
      <w:r>
        <w:rPr>
          <w:color w:val="231F20"/>
          <w:w w:val="105"/>
        </w:rPr>
        <w:t>las</w:t>
      </w:r>
      <w:r>
        <w:rPr>
          <w:color w:val="231F20"/>
          <w:spacing w:val="-17"/>
          <w:w w:val="105"/>
        </w:rPr>
        <w:t> </w:t>
      </w:r>
      <w:r>
        <w:rPr>
          <w:color w:val="231F20"/>
          <w:w w:val="105"/>
        </w:rPr>
        <w:t>organizaciones</w:t>
      </w:r>
      <w:r>
        <w:rPr>
          <w:color w:val="231F20"/>
          <w:spacing w:val="-17"/>
          <w:w w:val="105"/>
        </w:rPr>
        <w:t> </w:t>
      </w:r>
      <w:r>
        <w:rPr>
          <w:color w:val="231F20"/>
          <w:w w:val="105"/>
        </w:rPr>
        <w:t>deben</w:t>
      </w:r>
      <w:r>
        <w:rPr>
          <w:color w:val="231F20"/>
          <w:spacing w:val="-17"/>
          <w:w w:val="105"/>
        </w:rPr>
        <w:t> </w:t>
      </w:r>
      <w:r>
        <w:rPr>
          <w:color w:val="231F20"/>
          <w:w w:val="105"/>
        </w:rPr>
        <w:t>hacer</w:t>
      </w:r>
      <w:r>
        <w:rPr>
          <w:color w:val="231F20"/>
          <w:spacing w:val="-17"/>
          <w:w w:val="105"/>
        </w:rPr>
        <w:t> </w:t>
      </w:r>
      <w:r>
        <w:rPr>
          <w:color w:val="231F20"/>
          <w:w w:val="105"/>
        </w:rPr>
        <w:t>frente</w:t>
      </w:r>
      <w:r>
        <w:rPr>
          <w:color w:val="231F20"/>
          <w:spacing w:val="-17"/>
          <w:w w:val="105"/>
        </w:rPr>
        <w:t> </w:t>
      </w:r>
      <w:r>
        <w:rPr>
          <w:color w:val="231F20"/>
          <w:w w:val="105"/>
        </w:rPr>
        <w:t>a</w:t>
      </w:r>
      <w:r>
        <w:rPr>
          <w:color w:val="231F20"/>
          <w:spacing w:val="-17"/>
          <w:w w:val="105"/>
        </w:rPr>
        <w:t> </w:t>
      </w:r>
      <w:r>
        <w:rPr>
          <w:color w:val="231F20"/>
          <w:w w:val="105"/>
        </w:rPr>
        <w:t>su</w:t>
      </w:r>
      <w:r>
        <w:rPr>
          <w:color w:val="231F20"/>
          <w:spacing w:val="-17"/>
          <w:w w:val="105"/>
        </w:rPr>
        <w:t> </w:t>
      </w:r>
      <w:r>
        <w:rPr>
          <w:color w:val="231F20"/>
          <w:w w:val="105"/>
        </w:rPr>
        <w:t>de- pendencia</w:t>
      </w:r>
      <w:r>
        <w:rPr>
          <w:color w:val="231F20"/>
          <w:spacing w:val="-16"/>
          <w:w w:val="105"/>
        </w:rPr>
        <w:t> </w:t>
      </w:r>
      <w:r>
        <w:rPr>
          <w:color w:val="231F20"/>
          <w:w w:val="105"/>
        </w:rPr>
        <w:t>del</w:t>
      </w:r>
      <w:r>
        <w:rPr>
          <w:color w:val="231F20"/>
          <w:spacing w:val="-16"/>
          <w:w w:val="105"/>
        </w:rPr>
        <w:t> </w:t>
      </w:r>
      <w:r>
        <w:rPr>
          <w:color w:val="231F20"/>
          <w:w w:val="105"/>
        </w:rPr>
        <w:t>exterior</w:t>
      </w:r>
      <w:r>
        <w:rPr>
          <w:color w:val="231F20"/>
          <w:spacing w:val="-16"/>
          <w:w w:val="105"/>
        </w:rPr>
        <w:t> </w:t>
      </w:r>
      <w:r>
        <w:rPr>
          <w:color w:val="231F20"/>
          <w:w w:val="105"/>
        </w:rPr>
        <w:t>e</w:t>
      </w:r>
      <w:r>
        <w:rPr>
          <w:color w:val="231F20"/>
          <w:spacing w:val="-16"/>
          <w:w w:val="105"/>
        </w:rPr>
        <w:t> </w:t>
      </w:r>
      <w:r>
        <w:rPr>
          <w:color w:val="231F20"/>
          <w:w w:val="105"/>
        </w:rPr>
        <w:t>incrementar</w:t>
      </w:r>
      <w:r>
        <w:rPr>
          <w:color w:val="231F20"/>
          <w:spacing w:val="-16"/>
          <w:w w:val="105"/>
        </w:rPr>
        <w:t> </w:t>
      </w:r>
      <w:r>
        <w:rPr>
          <w:color w:val="231F20"/>
          <w:w w:val="105"/>
        </w:rPr>
        <w:t>su</w:t>
      </w:r>
      <w:r>
        <w:rPr>
          <w:color w:val="231F20"/>
          <w:spacing w:val="-16"/>
          <w:w w:val="105"/>
        </w:rPr>
        <w:t> </w:t>
      </w:r>
      <w:r>
        <w:rPr>
          <w:color w:val="231F20"/>
          <w:w w:val="105"/>
        </w:rPr>
        <w:t>poder</w:t>
      </w:r>
      <w:r>
        <w:rPr>
          <w:color w:val="231F20"/>
          <w:spacing w:val="-16"/>
          <w:w w:val="105"/>
        </w:rPr>
        <w:t> </w:t>
      </w:r>
      <w:r>
        <w:rPr>
          <w:color w:val="231F20"/>
          <w:w w:val="105"/>
        </w:rPr>
        <w:t>y</w:t>
      </w:r>
      <w:r>
        <w:rPr>
          <w:color w:val="231F20"/>
          <w:spacing w:val="-16"/>
          <w:w w:val="105"/>
        </w:rPr>
        <w:t> </w:t>
      </w:r>
      <w:r>
        <w:rPr>
          <w:color w:val="231F20"/>
          <w:w w:val="105"/>
        </w:rPr>
        <w:t>control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sector</w:t>
      </w:r>
      <w:r>
        <w:rPr>
          <w:color w:val="231F20"/>
          <w:spacing w:val="-16"/>
          <w:w w:val="105"/>
        </w:rPr>
        <w:t> </w:t>
      </w:r>
      <w:r>
        <w:rPr>
          <w:color w:val="231F20"/>
          <w:w w:val="105"/>
        </w:rPr>
        <w:t>don- de se desenvuelven, la sustentabilidad organizacional pudiera ser una estrategia para ello, al garantizar la generación de valor económico, la protección</w:t>
      </w:r>
      <w:r>
        <w:rPr>
          <w:color w:val="231F20"/>
          <w:spacing w:val="-18"/>
          <w:w w:val="105"/>
        </w:rPr>
        <w:t> </w:t>
      </w:r>
      <w:r>
        <w:rPr>
          <w:color w:val="231F20"/>
          <w:w w:val="105"/>
        </w:rPr>
        <w:t>del</w:t>
      </w:r>
      <w:r>
        <w:rPr>
          <w:color w:val="231F20"/>
          <w:spacing w:val="-18"/>
          <w:w w:val="105"/>
        </w:rPr>
        <w:t> </w:t>
      </w:r>
      <w:r>
        <w:rPr>
          <w:color w:val="231F20"/>
          <w:w w:val="105"/>
        </w:rPr>
        <w:t>entorno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uso</w:t>
      </w:r>
      <w:r>
        <w:rPr>
          <w:color w:val="231F20"/>
          <w:spacing w:val="-18"/>
          <w:w w:val="105"/>
        </w:rPr>
        <w:t> </w:t>
      </w:r>
      <w:r>
        <w:rPr>
          <w:color w:val="231F20"/>
          <w:w w:val="105"/>
        </w:rPr>
        <w:t>racional</w:t>
      </w:r>
      <w:r>
        <w:rPr>
          <w:color w:val="231F20"/>
          <w:spacing w:val="-18"/>
          <w:w w:val="105"/>
        </w:rPr>
        <w:t> </w:t>
      </w:r>
      <w:r>
        <w:rPr>
          <w:color w:val="231F20"/>
          <w:w w:val="105"/>
        </w:rPr>
        <w:t>de</w:t>
      </w:r>
      <w:r>
        <w:rPr>
          <w:color w:val="231F20"/>
          <w:spacing w:val="-18"/>
          <w:w w:val="105"/>
        </w:rPr>
        <w:t> </w:t>
      </w:r>
      <w:r>
        <w:rPr>
          <w:color w:val="231F20"/>
          <w:w w:val="105"/>
        </w:rPr>
        <w:t>recursos,</w:t>
      </w:r>
      <w:r>
        <w:rPr>
          <w:color w:val="231F20"/>
          <w:spacing w:val="-24"/>
          <w:w w:val="105"/>
        </w:rPr>
        <w:t> </w:t>
      </w:r>
      <w:r>
        <w:rPr>
          <w:color w:val="231F20"/>
          <w:w w:val="105"/>
        </w:rPr>
        <w:t>tanto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presente como en el</w:t>
      </w:r>
      <w:r>
        <w:rPr>
          <w:color w:val="231F20"/>
          <w:spacing w:val="-22"/>
          <w:w w:val="105"/>
        </w:rPr>
        <w:t> </w:t>
      </w:r>
      <w:r>
        <w:rPr>
          <w:color w:val="231F20"/>
          <w:w w:val="105"/>
        </w:rPr>
        <w:t>futuro.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01"/>
        <w:jc w:val="both"/>
      </w:pPr>
      <w:r>
        <w:rPr>
          <w:color w:val="231F20"/>
          <w:w w:val="105"/>
        </w:rPr>
        <w:t>La</w:t>
      </w:r>
      <w:r>
        <w:rPr>
          <w:color w:val="231F20"/>
          <w:spacing w:val="-31"/>
          <w:w w:val="105"/>
        </w:rPr>
        <w:t> </w:t>
      </w:r>
      <w:r>
        <w:rPr>
          <w:color w:val="231F20"/>
          <w:w w:val="105"/>
        </w:rPr>
        <w:t>teoría</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spacing w:val="-3"/>
          <w:w w:val="105"/>
        </w:rPr>
        <w:t>organizaciones</w:t>
      </w:r>
      <w:r>
        <w:rPr>
          <w:color w:val="231F20"/>
          <w:spacing w:val="-31"/>
          <w:w w:val="105"/>
        </w:rPr>
        <w:t> </w:t>
      </w:r>
      <w:r>
        <w:rPr>
          <w:color w:val="231F20"/>
          <w:w w:val="105"/>
        </w:rPr>
        <w:t>se</w:t>
      </w:r>
      <w:r>
        <w:rPr>
          <w:color w:val="231F20"/>
          <w:spacing w:val="-31"/>
          <w:w w:val="105"/>
        </w:rPr>
        <w:t> </w:t>
      </w:r>
      <w:r>
        <w:rPr>
          <w:color w:val="231F20"/>
          <w:w w:val="105"/>
        </w:rPr>
        <w:t>ha</w:t>
      </w:r>
      <w:r>
        <w:rPr>
          <w:color w:val="231F20"/>
          <w:spacing w:val="-31"/>
          <w:w w:val="105"/>
        </w:rPr>
        <w:t> </w:t>
      </w:r>
      <w:r>
        <w:rPr>
          <w:color w:val="231F20"/>
          <w:w w:val="105"/>
        </w:rPr>
        <w:t>conformado</w:t>
      </w:r>
      <w:r>
        <w:rPr>
          <w:color w:val="231F20"/>
          <w:spacing w:val="-31"/>
          <w:w w:val="105"/>
        </w:rPr>
        <w:t> </w:t>
      </w:r>
      <w:r>
        <w:rPr>
          <w:color w:val="231F20"/>
          <w:w w:val="105"/>
        </w:rPr>
        <w:t>con</w:t>
      </w:r>
      <w:r>
        <w:rPr>
          <w:color w:val="231F20"/>
          <w:spacing w:val="-31"/>
          <w:w w:val="105"/>
        </w:rPr>
        <w:t> </w:t>
      </w:r>
      <w:r>
        <w:rPr>
          <w:color w:val="231F20"/>
          <w:w w:val="105"/>
        </w:rPr>
        <w:t>disciplinas</w:t>
      </w:r>
      <w:r>
        <w:rPr>
          <w:color w:val="231F20"/>
          <w:spacing w:val="-31"/>
          <w:w w:val="105"/>
        </w:rPr>
        <w:t> </w:t>
      </w:r>
      <w:r>
        <w:rPr>
          <w:color w:val="231F20"/>
          <w:w w:val="105"/>
        </w:rPr>
        <w:t>tan</w:t>
      </w:r>
      <w:r>
        <w:rPr>
          <w:color w:val="231F20"/>
          <w:spacing w:val="-31"/>
          <w:w w:val="105"/>
        </w:rPr>
        <w:t> </w:t>
      </w:r>
      <w:r>
        <w:rPr>
          <w:color w:val="231F20"/>
          <w:spacing w:val="-3"/>
          <w:w w:val="105"/>
        </w:rPr>
        <w:t>fuer- </w:t>
      </w:r>
      <w:r>
        <w:rPr>
          <w:color w:val="231F20"/>
          <w:w w:val="105"/>
        </w:rPr>
        <w:t>tes y antiguas como la sociología y la economía. De éstas han </w:t>
      </w:r>
      <w:r>
        <w:rPr>
          <w:color w:val="231F20"/>
          <w:spacing w:val="-3"/>
          <w:w w:val="105"/>
        </w:rPr>
        <w:t>surgido </w:t>
      </w:r>
      <w:r>
        <w:rPr>
          <w:color w:val="231F20"/>
          <w:w w:val="105"/>
        </w:rPr>
        <w:t>subdisciplinas</w:t>
      </w:r>
      <w:r>
        <w:rPr>
          <w:color w:val="231F20"/>
          <w:spacing w:val="-33"/>
          <w:w w:val="105"/>
        </w:rPr>
        <w:t> </w:t>
      </w:r>
      <w:r>
        <w:rPr>
          <w:color w:val="231F20"/>
          <w:w w:val="105"/>
        </w:rPr>
        <w:t>como</w:t>
      </w:r>
      <w:r>
        <w:rPr>
          <w:color w:val="231F20"/>
          <w:spacing w:val="-33"/>
          <w:w w:val="105"/>
        </w:rPr>
        <w:t> </w:t>
      </w:r>
      <w:r>
        <w:rPr>
          <w:color w:val="231F20"/>
          <w:w w:val="105"/>
        </w:rPr>
        <w:t>la</w:t>
      </w:r>
      <w:r>
        <w:rPr>
          <w:color w:val="231F20"/>
          <w:spacing w:val="-33"/>
          <w:w w:val="105"/>
        </w:rPr>
        <w:t> </w:t>
      </w:r>
      <w:r>
        <w:rPr>
          <w:color w:val="231F20"/>
          <w:spacing w:val="-3"/>
          <w:w w:val="105"/>
        </w:rPr>
        <w:t>organización</w:t>
      </w:r>
      <w:r>
        <w:rPr>
          <w:color w:val="231F20"/>
          <w:spacing w:val="-33"/>
          <w:w w:val="105"/>
        </w:rPr>
        <w:t> </w:t>
      </w:r>
      <w:r>
        <w:rPr>
          <w:color w:val="231F20"/>
          <w:w w:val="105"/>
        </w:rPr>
        <w:t>industrial,</w:t>
      </w:r>
      <w:r>
        <w:rPr>
          <w:color w:val="231F20"/>
          <w:spacing w:val="-37"/>
          <w:w w:val="105"/>
        </w:rPr>
        <w:t> </w:t>
      </w:r>
      <w:r>
        <w:rPr>
          <w:color w:val="231F20"/>
          <w:w w:val="105"/>
        </w:rPr>
        <w:t>sociología</w:t>
      </w:r>
      <w:r>
        <w:rPr>
          <w:color w:val="231F20"/>
          <w:spacing w:val="-33"/>
          <w:w w:val="105"/>
        </w:rPr>
        <w:t> </w:t>
      </w:r>
      <w:r>
        <w:rPr>
          <w:color w:val="231F20"/>
          <w:w w:val="105"/>
        </w:rPr>
        <w:t>industrial</w:t>
      </w:r>
      <w:r>
        <w:rPr>
          <w:color w:val="231F20"/>
          <w:spacing w:val="-33"/>
          <w:w w:val="105"/>
        </w:rPr>
        <w:t> </w:t>
      </w:r>
      <w:r>
        <w:rPr>
          <w:color w:val="231F20"/>
          <w:w w:val="105"/>
        </w:rPr>
        <w:t>y</w:t>
      </w:r>
      <w:r>
        <w:rPr>
          <w:color w:val="231F20"/>
          <w:spacing w:val="-33"/>
          <w:w w:val="105"/>
        </w:rPr>
        <w:t> </w:t>
      </w:r>
      <w:r>
        <w:rPr>
          <w:color w:val="231F20"/>
          <w:w w:val="105"/>
        </w:rPr>
        <w:t>eco- nomía</w:t>
      </w:r>
      <w:r>
        <w:rPr>
          <w:color w:val="231F20"/>
          <w:spacing w:val="-13"/>
          <w:w w:val="105"/>
        </w:rPr>
        <w:t> </w:t>
      </w:r>
      <w:r>
        <w:rPr>
          <w:color w:val="231F20"/>
          <w:spacing w:val="-3"/>
          <w:w w:val="105"/>
        </w:rPr>
        <w:t>organizacional,</w:t>
      </w:r>
      <w:r>
        <w:rPr>
          <w:color w:val="231F20"/>
          <w:spacing w:val="-18"/>
          <w:w w:val="105"/>
        </w:rPr>
        <w:t> </w:t>
      </w:r>
      <w:r>
        <w:rPr>
          <w:color w:val="231F20"/>
          <w:spacing w:val="-3"/>
          <w:w w:val="105"/>
        </w:rPr>
        <w:t>entre</w:t>
      </w:r>
      <w:r>
        <w:rPr>
          <w:color w:val="231F20"/>
          <w:spacing w:val="-13"/>
          <w:w w:val="105"/>
        </w:rPr>
        <w:t> </w:t>
      </w:r>
      <w:r>
        <w:rPr>
          <w:color w:val="231F20"/>
          <w:spacing w:val="-2"/>
          <w:w w:val="105"/>
        </w:rPr>
        <w:t>otras,</w:t>
      </w:r>
      <w:r>
        <w:rPr>
          <w:color w:val="231F20"/>
          <w:spacing w:val="-18"/>
          <w:w w:val="105"/>
        </w:rPr>
        <w:t> </w:t>
      </w:r>
      <w:r>
        <w:rPr>
          <w:color w:val="231F20"/>
          <w:w w:val="105"/>
        </w:rPr>
        <w:t>para</w:t>
      </w:r>
      <w:r>
        <w:rPr>
          <w:color w:val="231F20"/>
          <w:spacing w:val="-13"/>
          <w:w w:val="105"/>
        </w:rPr>
        <w:t> </w:t>
      </w:r>
      <w:r>
        <w:rPr>
          <w:color w:val="231F20"/>
          <w:spacing w:val="-3"/>
          <w:w w:val="105"/>
        </w:rPr>
        <w:t>tratar</w:t>
      </w:r>
      <w:r>
        <w:rPr>
          <w:color w:val="231F20"/>
          <w:spacing w:val="-13"/>
          <w:w w:val="105"/>
        </w:rPr>
        <w:t> </w:t>
      </w:r>
      <w:r>
        <w:rPr>
          <w:color w:val="231F20"/>
          <w:w w:val="105"/>
        </w:rPr>
        <w:t>fenómenos</w:t>
      </w:r>
      <w:r>
        <w:rPr>
          <w:color w:val="231F20"/>
          <w:spacing w:val="-13"/>
          <w:w w:val="105"/>
        </w:rPr>
        <w:t> </w:t>
      </w:r>
      <w:r>
        <w:rPr>
          <w:color w:val="231F20"/>
          <w:w w:val="105"/>
        </w:rPr>
        <w:t>que</w:t>
      </w:r>
      <w:r>
        <w:rPr>
          <w:color w:val="231F20"/>
          <w:spacing w:val="-13"/>
          <w:w w:val="105"/>
        </w:rPr>
        <w:t> </w:t>
      </w:r>
      <w:r>
        <w:rPr>
          <w:color w:val="231F20"/>
          <w:w w:val="105"/>
        </w:rPr>
        <w:t>dan</w:t>
      </w:r>
      <w:r>
        <w:rPr>
          <w:color w:val="231F20"/>
          <w:spacing w:val="-13"/>
          <w:w w:val="105"/>
        </w:rPr>
        <w:t> </w:t>
      </w:r>
      <w:r>
        <w:rPr>
          <w:color w:val="231F20"/>
          <w:spacing w:val="-2"/>
          <w:w w:val="105"/>
        </w:rPr>
        <w:t>origen </w:t>
      </w:r>
      <w:r>
        <w:rPr>
          <w:color w:val="231F20"/>
          <w:w w:val="105"/>
        </w:rPr>
        <w:t>a</w:t>
      </w:r>
      <w:r>
        <w:rPr>
          <w:color w:val="231F20"/>
          <w:spacing w:val="-34"/>
          <w:w w:val="105"/>
        </w:rPr>
        <w:t> </w:t>
      </w:r>
      <w:r>
        <w:rPr>
          <w:color w:val="231F20"/>
          <w:w w:val="105"/>
        </w:rPr>
        <w:t>los</w:t>
      </w:r>
      <w:r>
        <w:rPr>
          <w:color w:val="231F20"/>
          <w:spacing w:val="-34"/>
          <w:w w:val="105"/>
        </w:rPr>
        <w:t> </w:t>
      </w:r>
      <w:r>
        <w:rPr>
          <w:color w:val="231F20"/>
          <w:w w:val="105"/>
        </w:rPr>
        <w:t>estudios</w:t>
      </w:r>
      <w:r>
        <w:rPr>
          <w:color w:val="231F20"/>
          <w:spacing w:val="-34"/>
          <w:w w:val="105"/>
        </w:rPr>
        <w:t> </w:t>
      </w:r>
      <w:r>
        <w:rPr>
          <w:color w:val="231F20"/>
          <w:spacing w:val="-3"/>
          <w:w w:val="105"/>
        </w:rPr>
        <w:t>económico-administrativos,</w:t>
      </w:r>
      <w:r>
        <w:rPr>
          <w:color w:val="231F20"/>
          <w:spacing w:val="-39"/>
          <w:w w:val="105"/>
        </w:rPr>
        <w:t> </w:t>
      </w:r>
      <w:r>
        <w:rPr>
          <w:color w:val="231F20"/>
          <w:w w:val="105"/>
        </w:rPr>
        <w:t>tales</w:t>
      </w:r>
      <w:r>
        <w:rPr>
          <w:color w:val="231F20"/>
          <w:spacing w:val="-34"/>
          <w:w w:val="105"/>
        </w:rPr>
        <w:t> </w:t>
      </w:r>
      <w:r>
        <w:rPr>
          <w:color w:val="231F20"/>
          <w:w w:val="105"/>
        </w:rPr>
        <w:t>como</w:t>
      </w:r>
      <w:r>
        <w:rPr>
          <w:color w:val="231F20"/>
          <w:spacing w:val="-34"/>
          <w:w w:val="105"/>
        </w:rPr>
        <w:t> </w:t>
      </w:r>
      <w:r>
        <w:rPr>
          <w:color w:val="231F20"/>
          <w:w w:val="105"/>
        </w:rPr>
        <w:t>la</w:t>
      </w:r>
      <w:r>
        <w:rPr>
          <w:color w:val="231F20"/>
          <w:spacing w:val="-34"/>
          <w:w w:val="105"/>
        </w:rPr>
        <w:t> </w:t>
      </w:r>
      <w:r>
        <w:rPr>
          <w:color w:val="231F20"/>
          <w:w w:val="105"/>
        </w:rPr>
        <w:t>ventaja</w:t>
      </w:r>
      <w:r>
        <w:rPr>
          <w:color w:val="231F20"/>
          <w:spacing w:val="-34"/>
          <w:w w:val="105"/>
        </w:rPr>
        <w:t> </w:t>
      </w:r>
      <w:r>
        <w:rPr>
          <w:color w:val="231F20"/>
          <w:w w:val="105"/>
        </w:rPr>
        <w:t>competiti- va,</w:t>
      </w:r>
      <w:r>
        <w:rPr>
          <w:color w:val="231F20"/>
          <w:spacing w:val="-35"/>
          <w:w w:val="105"/>
        </w:rPr>
        <w:t> </w:t>
      </w:r>
      <w:r>
        <w:rPr>
          <w:color w:val="231F20"/>
          <w:w w:val="105"/>
        </w:rPr>
        <w:t>la</w:t>
      </w:r>
      <w:r>
        <w:rPr>
          <w:color w:val="231F20"/>
          <w:spacing w:val="-31"/>
          <w:w w:val="105"/>
        </w:rPr>
        <w:t> </w:t>
      </w:r>
      <w:r>
        <w:rPr>
          <w:color w:val="231F20"/>
          <w:w w:val="105"/>
        </w:rPr>
        <w:t>administración</w:t>
      </w:r>
      <w:r>
        <w:rPr>
          <w:color w:val="231F20"/>
          <w:spacing w:val="-31"/>
          <w:w w:val="105"/>
        </w:rPr>
        <w:t> </w:t>
      </w:r>
      <w:r>
        <w:rPr>
          <w:color w:val="231F20"/>
          <w:spacing w:val="-3"/>
          <w:w w:val="105"/>
        </w:rPr>
        <w:t>estratégica,</w:t>
      </w:r>
      <w:r>
        <w:rPr>
          <w:color w:val="231F20"/>
          <w:spacing w:val="-35"/>
          <w:w w:val="105"/>
        </w:rPr>
        <w:t> </w:t>
      </w:r>
      <w:r>
        <w:rPr>
          <w:color w:val="231F20"/>
          <w:w w:val="105"/>
        </w:rPr>
        <w:t>la</w:t>
      </w:r>
      <w:r>
        <w:rPr>
          <w:color w:val="231F20"/>
          <w:spacing w:val="-31"/>
          <w:w w:val="105"/>
        </w:rPr>
        <w:t> </w:t>
      </w:r>
      <w:r>
        <w:rPr>
          <w:color w:val="231F20"/>
          <w:spacing w:val="-3"/>
          <w:w w:val="105"/>
        </w:rPr>
        <w:t>organización</w:t>
      </w:r>
      <w:r>
        <w:rPr>
          <w:color w:val="231F20"/>
          <w:spacing w:val="-31"/>
          <w:w w:val="105"/>
        </w:rPr>
        <w:t> </w:t>
      </w:r>
      <w:r>
        <w:rPr>
          <w:color w:val="231F20"/>
          <w:w w:val="105"/>
        </w:rPr>
        <w:t>industrial</w:t>
      </w:r>
      <w:r>
        <w:rPr>
          <w:color w:val="231F20"/>
          <w:spacing w:val="-31"/>
          <w:w w:val="105"/>
        </w:rPr>
        <w:t> </w:t>
      </w:r>
      <w:r>
        <w:rPr>
          <w:color w:val="231F20"/>
          <w:w w:val="105"/>
        </w:rPr>
        <w:t>o</w:t>
      </w:r>
      <w:r>
        <w:rPr>
          <w:color w:val="231F20"/>
          <w:spacing w:val="-31"/>
          <w:w w:val="105"/>
        </w:rPr>
        <w:t> </w:t>
      </w:r>
      <w:r>
        <w:rPr>
          <w:color w:val="231F20"/>
          <w:w w:val="105"/>
        </w:rPr>
        <w:t>la</w:t>
      </w:r>
      <w:r>
        <w:rPr>
          <w:color w:val="231F20"/>
          <w:spacing w:val="-31"/>
          <w:w w:val="105"/>
        </w:rPr>
        <w:t> </w:t>
      </w:r>
      <w:r>
        <w:rPr>
          <w:color w:val="231F20"/>
          <w:w w:val="105"/>
        </w:rPr>
        <w:t>innovación </w:t>
      </w:r>
      <w:r>
        <w:rPr>
          <w:color w:val="231F20"/>
          <w:spacing w:val="-3"/>
          <w:w w:val="105"/>
        </w:rPr>
        <w:t>organizativa,</w:t>
      </w:r>
      <w:r>
        <w:rPr>
          <w:color w:val="231F20"/>
          <w:spacing w:val="-36"/>
          <w:w w:val="105"/>
        </w:rPr>
        <w:t> </w:t>
      </w:r>
      <w:r>
        <w:rPr>
          <w:color w:val="231F20"/>
          <w:w w:val="105"/>
        </w:rPr>
        <w:t>por</w:t>
      </w:r>
      <w:r>
        <w:rPr>
          <w:color w:val="231F20"/>
          <w:spacing w:val="-32"/>
          <w:w w:val="105"/>
        </w:rPr>
        <w:t> </w:t>
      </w:r>
      <w:r>
        <w:rPr>
          <w:color w:val="231F20"/>
          <w:w w:val="105"/>
        </w:rPr>
        <w:t>mencionar</w:t>
      </w:r>
      <w:r>
        <w:rPr>
          <w:color w:val="231F20"/>
          <w:spacing w:val="-32"/>
          <w:w w:val="105"/>
        </w:rPr>
        <w:t> </w:t>
      </w:r>
      <w:r>
        <w:rPr>
          <w:color w:val="231F20"/>
          <w:w w:val="105"/>
        </w:rPr>
        <w:t>algunos</w:t>
      </w:r>
      <w:r>
        <w:rPr>
          <w:color w:val="231F20"/>
          <w:spacing w:val="-32"/>
          <w:w w:val="105"/>
        </w:rPr>
        <w:t> </w:t>
      </w:r>
      <w:r>
        <w:rPr>
          <w:color w:val="231F20"/>
          <w:w w:val="105"/>
        </w:rPr>
        <w:t>(Cernas</w:t>
      </w:r>
      <w:r>
        <w:rPr>
          <w:color w:val="231F20"/>
          <w:spacing w:val="-32"/>
          <w:w w:val="105"/>
        </w:rPr>
        <w:t> </w:t>
      </w:r>
      <w:r>
        <w:rPr>
          <w:color w:val="231F20"/>
          <w:w w:val="105"/>
        </w:rPr>
        <w:t>y</w:t>
      </w:r>
      <w:r>
        <w:rPr>
          <w:color w:val="231F20"/>
          <w:spacing w:val="-32"/>
          <w:w w:val="105"/>
        </w:rPr>
        <w:t> </w:t>
      </w:r>
      <w:r>
        <w:rPr>
          <w:color w:val="231F20"/>
          <w:spacing w:val="-3"/>
          <w:w w:val="105"/>
        </w:rPr>
        <w:t>Mercado,</w:t>
      </w:r>
      <w:r>
        <w:rPr>
          <w:color w:val="231F20"/>
          <w:spacing w:val="-36"/>
          <w:w w:val="105"/>
        </w:rPr>
        <w:t> </w:t>
      </w:r>
      <w:r>
        <w:rPr>
          <w:color w:val="231F20"/>
          <w:spacing w:val="-2"/>
          <w:w w:val="105"/>
        </w:rPr>
        <w:t>2013).</w:t>
      </w:r>
    </w:p>
    <w:p>
      <w:pPr>
        <w:pStyle w:val="BodyText"/>
        <w:spacing w:line="259" w:lineRule="auto"/>
        <w:ind w:left="117" w:right="92" w:firstLine="567"/>
      </w:pPr>
      <w:r>
        <w:rPr>
          <w:color w:val="231F20"/>
          <w:w w:val="105"/>
        </w:rPr>
        <w:t>Ante los peligros del calentamiento global y las emisiones de</w:t>
      </w:r>
      <w:r>
        <w:rPr>
          <w:color w:val="231F20"/>
          <w:spacing w:val="-18"/>
          <w:w w:val="105"/>
        </w:rPr>
        <w:t> </w:t>
      </w:r>
      <w:r>
        <w:rPr>
          <w:color w:val="231F20"/>
          <w:w w:val="105"/>
        </w:rPr>
        <w:t>gas de</w:t>
      </w:r>
      <w:r>
        <w:rPr>
          <w:color w:val="231F20"/>
          <w:spacing w:val="-32"/>
          <w:w w:val="105"/>
        </w:rPr>
        <w:t> </w:t>
      </w:r>
      <w:r>
        <w:rPr>
          <w:color w:val="231F20"/>
          <w:w w:val="105"/>
        </w:rPr>
        <w:t>efecto</w:t>
      </w:r>
      <w:r>
        <w:rPr>
          <w:color w:val="231F20"/>
          <w:spacing w:val="-32"/>
          <w:w w:val="105"/>
        </w:rPr>
        <w:t> </w:t>
      </w:r>
      <w:r>
        <w:rPr>
          <w:color w:val="231F20"/>
          <w:w w:val="105"/>
        </w:rPr>
        <w:t>invernadero,</w:t>
      </w:r>
      <w:r>
        <w:rPr>
          <w:color w:val="231F20"/>
          <w:spacing w:val="-36"/>
          <w:w w:val="105"/>
        </w:rPr>
        <w:t> </w:t>
      </w:r>
      <w:r>
        <w:rPr>
          <w:color w:val="231F20"/>
          <w:w w:val="105"/>
        </w:rPr>
        <w:t>países</w:t>
      </w:r>
      <w:r>
        <w:rPr>
          <w:color w:val="231F20"/>
          <w:spacing w:val="-32"/>
          <w:w w:val="105"/>
        </w:rPr>
        <w:t> </w:t>
      </w:r>
      <w:r>
        <w:rPr>
          <w:color w:val="231F20"/>
          <w:w w:val="105"/>
        </w:rPr>
        <w:t>y</w:t>
      </w:r>
      <w:r>
        <w:rPr>
          <w:color w:val="231F20"/>
          <w:spacing w:val="-32"/>
          <w:w w:val="105"/>
        </w:rPr>
        <w:t> </w:t>
      </w:r>
      <w:r>
        <w:rPr>
          <w:color w:val="231F20"/>
          <w:w w:val="105"/>
        </w:rPr>
        <w:t>organizaciones</w:t>
      </w:r>
      <w:r>
        <w:rPr>
          <w:color w:val="231F20"/>
          <w:spacing w:val="-32"/>
          <w:w w:val="105"/>
        </w:rPr>
        <w:t> </w:t>
      </w:r>
      <w:r>
        <w:rPr>
          <w:color w:val="231F20"/>
          <w:w w:val="105"/>
        </w:rPr>
        <w:t>deben</w:t>
      </w:r>
      <w:r>
        <w:rPr>
          <w:color w:val="231F20"/>
          <w:spacing w:val="-32"/>
          <w:w w:val="105"/>
        </w:rPr>
        <w:t> </w:t>
      </w:r>
      <w:r>
        <w:rPr>
          <w:color w:val="231F20"/>
          <w:w w:val="105"/>
        </w:rPr>
        <w:t>replantear</w:t>
      </w:r>
      <w:r>
        <w:rPr>
          <w:color w:val="231F20"/>
          <w:spacing w:val="-32"/>
          <w:w w:val="105"/>
        </w:rPr>
        <w:t> </w:t>
      </w:r>
      <w:r>
        <w:rPr>
          <w:color w:val="231F20"/>
          <w:w w:val="105"/>
        </w:rPr>
        <w:t>sus</w:t>
      </w:r>
      <w:r>
        <w:rPr>
          <w:color w:val="231F20"/>
          <w:spacing w:val="-32"/>
          <w:w w:val="105"/>
        </w:rPr>
        <w:t> </w:t>
      </w:r>
      <w:r>
        <w:rPr>
          <w:color w:val="231F20"/>
          <w:w w:val="105"/>
        </w:rPr>
        <w:t>mo-</w:t>
      </w:r>
    </w:p>
    <w:p>
      <w:pPr>
        <w:spacing w:after="0" w:line="259" w:lineRule="auto"/>
        <w:sectPr>
          <w:pgSz w:w="9640" w:h="13890"/>
          <w:pgMar w:top="1300" w:bottom="280" w:left="1300" w:right="1200"/>
        </w:sectPr>
      </w:pPr>
    </w:p>
    <w:p>
      <w:pPr>
        <w:pStyle w:val="BodyText"/>
        <w:spacing w:line="259" w:lineRule="auto" w:before="120"/>
        <w:ind w:left="103" w:right="114"/>
        <w:jc w:val="both"/>
      </w:pPr>
      <w:r>
        <w:rPr>
          <w:color w:val="231F20"/>
          <w:w w:val="105"/>
        </w:rPr>
        <w:t>delos de crecimiento e integrar en su estrategia el ingrediente ambien- talista, como un componente de la sustentanbilidad organizacional, lo que</w:t>
      </w:r>
      <w:r>
        <w:rPr>
          <w:color w:val="231F20"/>
          <w:spacing w:val="-7"/>
          <w:w w:val="105"/>
        </w:rPr>
        <w:t> </w:t>
      </w:r>
      <w:r>
        <w:rPr>
          <w:color w:val="231F20"/>
          <w:w w:val="105"/>
        </w:rPr>
        <w:t>da</w:t>
      </w:r>
      <w:r>
        <w:rPr>
          <w:color w:val="231F20"/>
          <w:spacing w:val="-7"/>
          <w:w w:val="105"/>
        </w:rPr>
        <w:t> </w:t>
      </w:r>
      <w:r>
        <w:rPr>
          <w:color w:val="231F20"/>
          <w:w w:val="105"/>
        </w:rPr>
        <w:t>lugar</w:t>
      </w:r>
      <w:r>
        <w:rPr>
          <w:color w:val="231F20"/>
          <w:spacing w:val="-7"/>
          <w:w w:val="105"/>
        </w:rPr>
        <w:t> </w:t>
      </w:r>
      <w:r>
        <w:rPr>
          <w:color w:val="231F20"/>
          <w:w w:val="105"/>
        </w:rPr>
        <w:t>al</w:t>
      </w:r>
      <w:r>
        <w:rPr>
          <w:color w:val="231F20"/>
          <w:spacing w:val="-7"/>
          <w:w w:val="105"/>
        </w:rPr>
        <w:t> </w:t>
      </w:r>
      <w:r>
        <w:rPr>
          <w:color w:val="231F20"/>
          <w:w w:val="105"/>
        </w:rPr>
        <w:t>abordaje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economía</w:t>
      </w:r>
      <w:r>
        <w:rPr>
          <w:color w:val="231F20"/>
          <w:spacing w:val="-7"/>
          <w:w w:val="105"/>
        </w:rPr>
        <w:t> </w:t>
      </w:r>
      <w:r>
        <w:rPr>
          <w:color w:val="231F20"/>
          <w:w w:val="105"/>
        </w:rPr>
        <w:t>ecológica</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ecología</w:t>
      </w:r>
      <w:r>
        <w:rPr>
          <w:color w:val="231F20"/>
          <w:spacing w:val="-7"/>
          <w:w w:val="105"/>
        </w:rPr>
        <w:t> </w:t>
      </w:r>
      <w:r>
        <w:rPr>
          <w:color w:val="231F20"/>
          <w:w w:val="105"/>
        </w:rPr>
        <w:t>organi- zacional,</w:t>
      </w:r>
      <w:r>
        <w:rPr>
          <w:color w:val="231F20"/>
          <w:spacing w:val="-25"/>
          <w:w w:val="105"/>
        </w:rPr>
        <w:t> </w:t>
      </w:r>
      <w:r>
        <w:rPr>
          <w:color w:val="231F20"/>
          <w:w w:val="105"/>
        </w:rPr>
        <w:t>para</w:t>
      </w:r>
      <w:r>
        <w:rPr>
          <w:color w:val="231F20"/>
          <w:spacing w:val="-19"/>
          <w:w w:val="105"/>
        </w:rPr>
        <w:t> </w:t>
      </w:r>
      <w:r>
        <w:rPr>
          <w:color w:val="231F20"/>
          <w:w w:val="105"/>
        </w:rPr>
        <w:t>explicar</w:t>
      </w:r>
      <w:r>
        <w:rPr>
          <w:color w:val="231F20"/>
          <w:spacing w:val="-19"/>
          <w:w w:val="105"/>
        </w:rPr>
        <w:t> </w:t>
      </w:r>
      <w:r>
        <w:rPr>
          <w:color w:val="231F20"/>
          <w:w w:val="105"/>
        </w:rPr>
        <w:t>cómo</w:t>
      </w:r>
      <w:r>
        <w:rPr>
          <w:color w:val="231F20"/>
          <w:spacing w:val="-19"/>
          <w:w w:val="105"/>
        </w:rPr>
        <w:t> </w:t>
      </w:r>
      <w:r>
        <w:rPr>
          <w:color w:val="231F20"/>
          <w:w w:val="105"/>
        </w:rPr>
        <w:t>vivir</w:t>
      </w:r>
      <w:r>
        <w:rPr>
          <w:color w:val="231F20"/>
          <w:spacing w:val="-19"/>
          <w:w w:val="105"/>
        </w:rPr>
        <w:t> </w:t>
      </w:r>
      <w:r>
        <w:rPr>
          <w:color w:val="231F20"/>
          <w:w w:val="105"/>
        </w:rPr>
        <w:t>y</w:t>
      </w:r>
      <w:r>
        <w:rPr>
          <w:color w:val="231F20"/>
          <w:spacing w:val="-19"/>
          <w:w w:val="105"/>
        </w:rPr>
        <w:t> </w:t>
      </w:r>
      <w:r>
        <w:rPr>
          <w:color w:val="231F20"/>
          <w:w w:val="105"/>
        </w:rPr>
        <w:t>crecer</w:t>
      </w:r>
      <w:r>
        <w:rPr>
          <w:color w:val="231F20"/>
          <w:spacing w:val="-19"/>
          <w:w w:val="105"/>
        </w:rPr>
        <w:t> </w:t>
      </w:r>
      <w:r>
        <w:rPr>
          <w:color w:val="231F20"/>
          <w:w w:val="105"/>
        </w:rPr>
        <w:t>en</w:t>
      </w:r>
      <w:r>
        <w:rPr>
          <w:color w:val="231F20"/>
          <w:spacing w:val="-19"/>
          <w:w w:val="105"/>
        </w:rPr>
        <w:t> </w:t>
      </w:r>
      <w:r>
        <w:rPr>
          <w:color w:val="231F20"/>
          <w:w w:val="105"/>
        </w:rPr>
        <w:t>entornos</w:t>
      </w:r>
      <w:r>
        <w:rPr>
          <w:color w:val="231F20"/>
          <w:spacing w:val="-19"/>
          <w:w w:val="105"/>
        </w:rPr>
        <w:t> </w:t>
      </w:r>
      <w:r>
        <w:rPr>
          <w:color w:val="231F20"/>
          <w:w w:val="105"/>
        </w:rPr>
        <w:t>turbulentos</w:t>
      </w:r>
      <w:r>
        <w:rPr>
          <w:color w:val="231F20"/>
          <w:spacing w:val="-19"/>
          <w:w w:val="105"/>
        </w:rPr>
        <w:t> </w:t>
      </w:r>
      <w:r>
        <w:rPr>
          <w:color w:val="231F20"/>
          <w:w w:val="105"/>
        </w:rPr>
        <w:t>y</w:t>
      </w:r>
      <w:r>
        <w:rPr>
          <w:color w:val="231F20"/>
          <w:spacing w:val="-19"/>
          <w:w w:val="105"/>
        </w:rPr>
        <w:t> </w:t>
      </w:r>
      <w:r>
        <w:rPr>
          <w:color w:val="231F20"/>
          <w:w w:val="105"/>
        </w:rPr>
        <w:t>bajo condiciones</w:t>
      </w:r>
      <w:r>
        <w:rPr>
          <w:color w:val="231F20"/>
          <w:spacing w:val="-4"/>
          <w:w w:val="105"/>
        </w:rPr>
        <w:t> </w:t>
      </w:r>
      <w:r>
        <w:rPr>
          <w:color w:val="231F20"/>
          <w:w w:val="105"/>
        </w:rPr>
        <w:t>impredecibles.</w:t>
      </w:r>
    </w:p>
    <w:p>
      <w:pPr>
        <w:pStyle w:val="BodyText"/>
        <w:spacing w:line="259" w:lineRule="auto"/>
        <w:ind w:left="103" w:right="110" w:firstLine="567"/>
        <w:jc w:val="both"/>
      </w:pPr>
      <w:r>
        <w:rPr>
          <w:color w:val="231F20"/>
          <w:w w:val="105"/>
        </w:rPr>
        <w:t>Puesto</w:t>
      </w:r>
      <w:r>
        <w:rPr>
          <w:color w:val="231F20"/>
          <w:spacing w:val="-17"/>
          <w:w w:val="105"/>
        </w:rPr>
        <w:t> </w:t>
      </w:r>
      <w:r>
        <w:rPr>
          <w:color w:val="231F20"/>
          <w:w w:val="105"/>
        </w:rPr>
        <w:t>que</w:t>
      </w:r>
      <w:r>
        <w:rPr>
          <w:color w:val="231F20"/>
          <w:spacing w:val="-17"/>
          <w:w w:val="105"/>
        </w:rPr>
        <w:t> </w:t>
      </w:r>
      <w:r>
        <w:rPr>
          <w:color w:val="231F20"/>
          <w:w w:val="105"/>
        </w:rPr>
        <w:t>las</w:t>
      </w:r>
      <w:r>
        <w:rPr>
          <w:color w:val="231F20"/>
          <w:spacing w:val="-17"/>
          <w:w w:val="105"/>
        </w:rPr>
        <w:t> </w:t>
      </w:r>
      <w:r>
        <w:rPr>
          <w:color w:val="231F20"/>
          <w:w w:val="105"/>
        </w:rPr>
        <w:t>organizaciones</w:t>
      </w:r>
      <w:r>
        <w:rPr>
          <w:color w:val="231F20"/>
          <w:spacing w:val="-17"/>
          <w:w w:val="105"/>
        </w:rPr>
        <w:t> </w:t>
      </w:r>
      <w:r>
        <w:rPr>
          <w:color w:val="231F20"/>
          <w:w w:val="105"/>
        </w:rPr>
        <w:t>primero</w:t>
      </w:r>
      <w:r>
        <w:rPr>
          <w:color w:val="231F20"/>
          <w:spacing w:val="-17"/>
          <w:w w:val="105"/>
        </w:rPr>
        <w:t> </w:t>
      </w:r>
      <w:r>
        <w:rPr>
          <w:color w:val="231F20"/>
          <w:w w:val="105"/>
        </w:rPr>
        <w:t>deben</w:t>
      </w:r>
      <w:r>
        <w:rPr>
          <w:color w:val="231F20"/>
          <w:spacing w:val="-17"/>
          <w:w w:val="105"/>
        </w:rPr>
        <w:t> </w:t>
      </w:r>
      <w:r>
        <w:rPr>
          <w:color w:val="231F20"/>
          <w:w w:val="105"/>
        </w:rPr>
        <w:t>sobrevivir</w:t>
      </w:r>
      <w:r>
        <w:rPr>
          <w:color w:val="231F20"/>
          <w:spacing w:val="-17"/>
          <w:w w:val="105"/>
        </w:rPr>
        <w:t> </w:t>
      </w:r>
      <w:r>
        <w:rPr>
          <w:color w:val="231F20"/>
          <w:w w:val="105"/>
        </w:rPr>
        <w:t>para</w:t>
      </w:r>
      <w:r>
        <w:rPr>
          <w:color w:val="231F20"/>
          <w:spacing w:val="-17"/>
          <w:w w:val="105"/>
        </w:rPr>
        <w:t> </w:t>
      </w:r>
      <w:r>
        <w:rPr>
          <w:color w:val="231F20"/>
          <w:w w:val="105"/>
        </w:rPr>
        <w:t>des- pués</w:t>
      </w:r>
      <w:r>
        <w:rPr>
          <w:color w:val="231F20"/>
          <w:spacing w:val="-14"/>
          <w:w w:val="105"/>
        </w:rPr>
        <w:t> </w:t>
      </w:r>
      <w:r>
        <w:rPr>
          <w:color w:val="231F20"/>
          <w:w w:val="105"/>
        </w:rPr>
        <w:t>evolucionar</w:t>
      </w:r>
      <w:r>
        <w:rPr>
          <w:color w:val="231F20"/>
          <w:spacing w:val="-14"/>
          <w:w w:val="105"/>
        </w:rPr>
        <w:t> </w:t>
      </w:r>
      <w:r>
        <w:rPr>
          <w:color w:val="231F20"/>
          <w:w w:val="105"/>
        </w:rPr>
        <w:t>y</w:t>
      </w:r>
      <w:r>
        <w:rPr>
          <w:color w:val="231F20"/>
          <w:spacing w:val="-14"/>
          <w:w w:val="105"/>
        </w:rPr>
        <w:t> </w:t>
      </w:r>
      <w:r>
        <w:rPr>
          <w:color w:val="231F20"/>
          <w:w w:val="105"/>
        </w:rPr>
        <w:t>llegar</w:t>
      </w:r>
      <w:r>
        <w:rPr>
          <w:color w:val="231F20"/>
          <w:spacing w:val="-14"/>
          <w:w w:val="105"/>
        </w:rPr>
        <w:t> </w:t>
      </w:r>
      <w:r>
        <w:rPr>
          <w:color w:val="231F20"/>
          <w:w w:val="105"/>
        </w:rPr>
        <w:t>a</w:t>
      </w:r>
      <w:r>
        <w:rPr>
          <w:color w:val="231F20"/>
          <w:spacing w:val="-14"/>
          <w:w w:val="105"/>
        </w:rPr>
        <w:t> </w:t>
      </w:r>
      <w:r>
        <w:rPr>
          <w:color w:val="231F20"/>
          <w:w w:val="105"/>
        </w:rPr>
        <w:t>ser</w:t>
      </w:r>
      <w:r>
        <w:rPr>
          <w:color w:val="231F20"/>
          <w:spacing w:val="-14"/>
          <w:w w:val="105"/>
        </w:rPr>
        <w:t> </w:t>
      </w:r>
      <w:r>
        <w:rPr>
          <w:color w:val="231F20"/>
          <w:w w:val="105"/>
        </w:rPr>
        <w:t>sustentables,</w:t>
      </w:r>
      <w:r>
        <w:rPr>
          <w:color w:val="231F20"/>
          <w:spacing w:val="-19"/>
          <w:w w:val="105"/>
        </w:rPr>
        <w:t> </w:t>
      </w:r>
      <w:r>
        <w:rPr>
          <w:color w:val="231F20"/>
          <w:w w:val="105"/>
        </w:rPr>
        <w:t>recurrimos</w:t>
      </w:r>
      <w:r>
        <w:rPr>
          <w:color w:val="231F20"/>
          <w:spacing w:val="-14"/>
          <w:w w:val="105"/>
        </w:rPr>
        <w:t> </w:t>
      </w:r>
      <w:r>
        <w:rPr>
          <w:color w:val="231F20"/>
          <w:w w:val="105"/>
        </w:rPr>
        <w:t>al</w:t>
      </w:r>
      <w:r>
        <w:rPr>
          <w:color w:val="231F20"/>
          <w:spacing w:val="-14"/>
          <w:w w:val="105"/>
        </w:rPr>
        <w:t> </w:t>
      </w:r>
      <w:r>
        <w:rPr>
          <w:color w:val="231F20"/>
          <w:w w:val="105"/>
        </w:rPr>
        <w:t>poder</w:t>
      </w:r>
      <w:r>
        <w:rPr>
          <w:color w:val="231F20"/>
          <w:spacing w:val="-14"/>
          <w:w w:val="105"/>
        </w:rPr>
        <w:t> </w:t>
      </w:r>
      <w:r>
        <w:rPr>
          <w:color w:val="231F20"/>
          <w:w w:val="105"/>
        </w:rPr>
        <w:t>predic- tivo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teoría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dependencia</w:t>
      </w:r>
      <w:r>
        <w:rPr>
          <w:color w:val="231F20"/>
          <w:spacing w:val="-20"/>
          <w:w w:val="105"/>
        </w:rPr>
        <w:t> </w:t>
      </w:r>
      <w:r>
        <w:rPr>
          <w:color w:val="231F20"/>
          <w:w w:val="105"/>
        </w:rPr>
        <w:t>de</w:t>
      </w:r>
      <w:r>
        <w:rPr>
          <w:color w:val="231F20"/>
          <w:spacing w:val="-20"/>
          <w:w w:val="105"/>
        </w:rPr>
        <w:t> </w:t>
      </w:r>
      <w:r>
        <w:rPr>
          <w:color w:val="231F20"/>
          <w:w w:val="105"/>
        </w:rPr>
        <w:t>recursos</w:t>
      </w:r>
      <w:r>
        <w:rPr>
          <w:color w:val="231F20"/>
          <w:spacing w:val="-20"/>
          <w:w w:val="105"/>
        </w:rPr>
        <w:t> </w:t>
      </w:r>
      <w:r>
        <w:rPr>
          <w:color w:val="231F20"/>
          <w:w w:val="105"/>
        </w:rPr>
        <w:t>(TDR)</w:t>
      </w:r>
      <w:r>
        <w:rPr>
          <w:color w:val="231F20"/>
          <w:spacing w:val="-20"/>
          <w:w w:val="105"/>
        </w:rPr>
        <w:t> </w:t>
      </w:r>
      <w:r>
        <w:rPr>
          <w:color w:val="231F20"/>
          <w:w w:val="105"/>
        </w:rPr>
        <w:t>(Pfeffer</w:t>
      </w:r>
      <w:r>
        <w:rPr>
          <w:color w:val="231F20"/>
          <w:spacing w:val="-20"/>
          <w:w w:val="105"/>
        </w:rPr>
        <w:t> </w:t>
      </w:r>
      <w:r>
        <w:rPr>
          <w:color w:val="231F20"/>
          <w:w w:val="105"/>
        </w:rPr>
        <w:t>y</w:t>
      </w:r>
      <w:r>
        <w:rPr>
          <w:color w:val="231F20"/>
          <w:spacing w:val="-20"/>
          <w:w w:val="105"/>
        </w:rPr>
        <w:t> </w:t>
      </w:r>
      <w:r>
        <w:rPr>
          <w:color w:val="231F20"/>
          <w:w w:val="105"/>
        </w:rPr>
        <w:t>Salancik, 1978),</w:t>
      </w:r>
      <w:r>
        <w:rPr>
          <w:color w:val="231F20"/>
          <w:spacing w:val="-19"/>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radica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minimización</w:t>
      </w:r>
      <w:r>
        <w:rPr>
          <w:color w:val="231F20"/>
          <w:spacing w:val="-13"/>
          <w:w w:val="105"/>
        </w:rPr>
        <w:t> </w:t>
      </w:r>
      <w:r>
        <w:rPr>
          <w:color w:val="231F20"/>
          <w:w w:val="105"/>
        </w:rPr>
        <w:t>de</w:t>
      </w:r>
      <w:r>
        <w:rPr>
          <w:color w:val="231F20"/>
          <w:spacing w:val="-13"/>
          <w:w w:val="105"/>
        </w:rPr>
        <w:t> </w:t>
      </w:r>
      <w:r>
        <w:rPr>
          <w:color w:val="231F20"/>
          <w:w w:val="105"/>
        </w:rPr>
        <w:t>incertidumbre</w:t>
      </w:r>
      <w:r>
        <w:rPr>
          <w:color w:val="231F20"/>
          <w:spacing w:val="-13"/>
          <w:w w:val="105"/>
        </w:rPr>
        <w:t> </w:t>
      </w:r>
      <w:r>
        <w:rPr>
          <w:color w:val="231F20"/>
          <w:w w:val="105"/>
        </w:rPr>
        <w:t>del</w:t>
      </w:r>
      <w:r>
        <w:rPr>
          <w:color w:val="231F20"/>
          <w:spacing w:val="-13"/>
          <w:w w:val="105"/>
        </w:rPr>
        <w:t> </w:t>
      </w:r>
      <w:r>
        <w:rPr>
          <w:color w:val="231F20"/>
          <w:w w:val="105"/>
        </w:rPr>
        <w:t>ambiente</w:t>
      </w:r>
      <w:r>
        <w:rPr>
          <w:color w:val="231F20"/>
          <w:spacing w:val="-13"/>
          <w:w w:val="105"/>
        </w:rPr>
        <w:t> </w:t>
      </w:r>
      <w:r>
        <w:rPr>
          <w:color w:val="231F20"/>
          <w:w w:val="105"/>
        </w:rPr>
        <w:t>y acrecentamiento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relaciones</w:t>
      </w:r>
      <w:r>
        <w:rPr>
          <w:color w:val="231F20"/>
          <w:spacing w:val="-20"/>
          <w:w w:val="105"/>
        </w:rPr>
        <w:t> </w:t>
      </w:r>
      <w:r>
        <w:rPr>
          <w:color w:val="231F20"/>
          <w:w w:val="105"/>
        </w:rPr>
        <w:t>interorganizacionales</w:t>
      </w:r>
      <w:r>
        <w:rPr>
          <w:color w:val="231F20"/>
          <w:spacing w:val="-20"/>
          <w:w w:val="105"/>
        </w:rPr>
        <w:t> </w:t>
      </w:r>
      <w:r>
        <w:rPr>
          <w:color w:val="231F20"/>
          <w:w w:val="105"/>
        </w:rPr>
        <w:t>para</w:t>
      </w:r>
      <w:r>
        <w:rPr>
          <w:color w:val="231F20"/>
          <w:spacing w:val="-20"/>
          <w:w w:val="105"/>
        </w:rPr>
        <w:t> </w:t>
      </w:r>
      <w:r>
        <w:rPr>
          <w:color w:val="231F20"/>
          <w:w w:val="105"/>
        </w:rPr>
        <w:t>garantizar la disponibilidad de recursos y aumentar el poder y control sobre otras organizaciones.</w:t>
      </w:r>
      <w:r>
        <w:rPr>
          <w:color w:val="231F20"/>
          <w:spacing w:val="-28"/>
          <w:w w:val="105"/>
        </w:rPr>
        <w:t> </w:t>
      </w:r>
      <w:r>
        <w:rPr>
          <w:color w:val="231F20"/>
          <w:spacing w:val="-6"/>
          <w:w w:val="105"/>
        </w:rPr>
        <w:t>Por</w:t>
      </w:r>
      <w:r>
        <w:rPr>
          <w:color w:val="231F20"/>
          <w:spacing w:val="-25"/>
          <w:w w:val="105"/>
        </w:rPr>
        <w:t> </w:t>
      </w:r>
      <w:r>
        <w:rPr>
          <w:color w:val="231F20"/>
          <w:w w:val="105"/>
        </w:rPr>
        <w:t>su</w:t>
      </w:r>
      <w:r>
        <w:rPr>
          <w:color w:val="231F20"/>
          <w:spacing w:val="-25"/>
          <w:w w:val="105"/>
        </w:rPr>
        <w:t> </w:t>
      </w:r>
      <w:r>
        <w:rPr>
          <w:color w:val="231F20"/>
          <w:w w:val="105"/>
        </w:rPr>
        <w:t>parte,</w:t>
      </w:r>
      <w:r>
        <w:rPr>
          <w:color w:val="231F20"/>
          <w:spacing w:val="-28"/>
          <w:w w:val="105"/>
        </w:rPr>
        <w:t> </w:t>
      </w:r>
      <w:r>
        <w:rPr>
          <w:color w:val="231F20"/>
          <w:w w:val="105"/>
        </w:rPr>
        <w:t>la</w:t>
      </w:r>
      <w:r>
        <w:rPr>
          <w:color w:val="231F20"/>
          <w:spacing w:val="-25"/>
          <w:w w:val="105"/>
        </w:rPr>
        <w:t> </w:t>
      </w:r>
      <w:r>
        <w:rPr>
          <w:color w:val="231F20"/>
          <w:w w:val="105"/>
        </w:rPr>
        <w:t>teoría</w:t>
      </w:r>
      <w:r>
        <w:rPr>
          <w:color w:val="231F20"/>
          <w:spacing w:val="-25"/>
          <w:w w:val="105"/>
        </w:rPr>
        <w:t> </w:t>
      </w:r>
      <w:r>
        <w:rPr>
          <w:color w:val="231F20"/>
          <w:w w:val="105"/>
        </w:rPr>
        <w:t>de</w:t>
      </w:r>
      <w:r>
        <w:rPr>
          <w:color w:val="231F20"/>
          <w:spacing w:val="-25"/>
          <w:w w:val="105"/>
        </w:rPr>
        <w:t> </w:t>
      </w:r>
      <w:r>
        <w:rPr>
          <w:color w:val="231F20"/>
          <w:w w:val="105"/>
        </w:rPr>
        <w:t>recursos</w:t>
      </w:r>
      <w:r>
        <w:rPr>
          <w:color w:val="231F20"/>
          <w:spacing w:val="-25"/>
          <w:w w:val="105"/>
        </w:rPr>
        <w:t> </w:t>
      </w:r>
      <w:r>
        <w:rPr>
          <w:color w:val="231F20"/>
          <w:w w:val="105"/>
        </w:rPr>
        <w:t>y</w:t>
      </w:r>
      <w:r>
        <w:rPr>
          <w:color w:val="231F20"/>
          <w:spacing w:val="-25"/>
          <w:w w:val="105"/>
        </w:rPr>
        <w:t> </w:t>
      </w:r>
      <w:r>
        <w:rPr>
          <w:color w:val="231F20"/>
          <w:w w:val="105"/>
        </w:rPr>
        <w:t>capacidades</w:t>
      </w:r>
      <w:r>
        <w:rPr>
          <w:color w:val="231F20"/>
          <w:spacing w:val="-25"/>
          <w:w w:val="105"/>
        </w:rPr>
        <w:t> </w:t>
      </w:r>
      <w:r>
        <w:rPr>
          <w:color w:val="231F20"/>
          <w:w w:val="105"/>
        </w:rPr>
        <w:t>(TRyC) (Barney,</w:t>
      </w:r>
      <w:r>
        <w:rPr>
          <w:color w:val="231F20"/>
          <w:spacing w:val="-20"/>
          <w:w w:val="105"/>
        </w:rPr>
        <w:t> </w:t>
      </w:r>
      <w:r>
        <w:rPr>
          <w:color w:val="231F20"/>
          <w:w w:val="105"/>
        </w:rPr>
        <w:t>1996)</w:t>
      </w:r>
      <w:r>
        <w:rPr>
          <w:color w:val="231F20"/>
          <w:spacing w:val="-14"/>
          <w:w w:val="105"/>
        </w:rPr>
        <w:t> </w:t>
      </w:r>
      <w:r>
        <w:rPr>
          <w:color w:val="231F20"/>
          <w:w w:val="105"/>
        </w:rPr>
        <w:t>contribuye</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explicación</w:t>
      </w:r>
      <w:r>
        <w:rPr>
          <w:color w:val="231F20"/>
          <w:spacing w:val="-14"/>
          <w:w w:val="105"/>
        </w:rPr>
        <w:t> </w:t>
      </w:r>
      <w:r>
        <w:rPr>
          <w:color w:val="231F20"/>
          <w:w w:val="105"/>
        </w:rPr>
        <w:t>de</w:t>
      </w:r>
      <w:r>
        <w:rPr>
          <w:color w:val="231F20"/>
          <w:spacing w:val="-14"/>
          <w:w w:val="105"/>
        </w:rPr>
        <w:t> </w:t>
      </w:r>
      <w:r>
        <w:rPr>
          <w:color w:val="231F20"/>
          <w:w w:val="105"/>
        </w:rPr>
        <w:t>cómo</w:t>
      </w:r>
      <w:r>
        <w:rPr>
          <w:color w:val="231F20"/>
          <w:spacing w:val="-14"/>
          <w:w w:val="105"/>
        </w:rPr>
        <w:t> </w:t>
      </w:r>
      <w:r>
        <w:rPr>
          <w:color w:val="231F20"/>
          <w:w w:val="105"/>
        </w:rPr>
        <w:t>éstos</w:t>
      </w:r>
      <w:r>
        <w:rPr>
          <w:color w:val="231F20"/>
          <w:spacing w:val="-14"/>
          <w:w w:val="105"/>
        </w:rPr>
        <w:t> </w:t>
      </w:r>
      <w:r>
        <w:rPr>
          <w:color w:val="231F20"/>
          <w:w w:val="105"/>
        </w:rPr>
        <w:t>pueden</w:t>
      </w:r>
      <w:r>
        <w:rPr>
          <w:color w:val="231F20"/>
          <w:spacing w:val="-14"/>
          <w:w w:val="105"/>
        </w:rPr>
        <w:t> </w:t>
      </w:r>
      <w:r>
        <w:rPr>
          <w:color w:val="231F20"/>
          <w:w w:val="105"/>
        </w:rPr>
        <w:t>ser</w:t>
      </w:r>
      <w:r>
        <w:rPr>
          <w:color w:val="231F20"/>
          <w:spacing w:val="-14"/>
          <w:w w:val="105"/>
        </w:rPr>
        <w:t> </w:t>
      </w:r>
      <w:r>
        <w:rPr>
          <w:color w:val="231F20"/>
          <w:w w:val="105"/>
        </w:rPr>
        <w:t>di- ferenciados e</w:t>
      </w:r>
      <w:r>
        <w:rPr>
          <w:color w:val="231F20"/>
          <w:spacing w:val="-45"/>
          <w:w w:val="105"/>
        </w:rPr>
        <w:t> </w:t>
      </w:r>
      <w:r>
        <w:rPr>
          <w:color w:val="231F20"/>
          <w:w w:val="105"/>
        </w:rPr>
        <w:t>inimitables.</w:t>
      </w:r>
    </w:p>
    <w:p>
      <w:pPr>
        <w:pStyle w:val="BodyText"/>
        <w:spacing w:line="259" w:lineRule="auto"/>
        <w:ind w:left="103" w:right="109" w:firstLine="567"/>
        <w:jc w:val="both"/>
      </w:pPr>
      <w:r>
        <w:rPr>
          <w:color w:val="231F20"/>
          <w:w w:val="105"/>
        </w:rPr>
        <w:t>Ambas</w:t>
      </w:r>
      <w:r>
        <w:rPr>
          <w:color w:val="231F20"/>
          <w:spacing w:val="-9"/>
          <w:w w:val="105"/>
        </w:rPr>
        <w:t> </w:t>
      </w:r>
      <w:r>
        <w:rPr>
          <w:color w:val="231F20"/>
          <w:w w:val="105"/>
        </w:rPr>
        <w:t>teorías</w:t>
      </w:r>
      <w:r>
        <w:rPr>
          <w:color w:val="231F20"/>
          <w:spacing w:val="-9"/>
          <w:w w:val="105"/>
        </w:rPr>
        <w:t> </w:t>
      </w:r>
      <w:r>
        <w:rPr>
          <w:color w:val="231F20"/>
          <w:w w:val="105"/>
        </w:rPr>
        <w:t>dan</w:t>
      </w:r>
      <w:r>
        <w:rPr>
          <w:color w:val="231F20"/>
          <w:spacing w:val="-9"/>
          <w:w w:val="105"/>
        </w:rPr>
        <w:t> </w:t>
      </w:r>
      <w:r>
        <w:rPr>
          <w:color w:val="231F20"/>
          <w:w w:val="105"/>
        </w:rPr>
        <w:t>lugar</w:t>
      </w:r>
      <w:r>
        <w:rPr>
          <w:color w:val="231F20"/>
          <w:spacing w:val="-9"/>
          <w:w w:val="105"/>
        </w:rPr>
        <w:t> </w:t>
      </w:r>
      <w:r>
        <w:rPr>
          <w:color w:val="231F20"/>
          <w:w w:val="105"/>
        </w:rPr>
        <w:t>a</w:t>
      </w:r>
      <w:r>
        <w:rPr>
          <w:color w:val="231F20"/>
          <w:spacing w:val="-9"/>
          <w:w w:val="105"/>
        </w:rPr>
        <w:t> </w:t>
      </w:r>
      <w:r>
        <w:rPr>
          <w:color w:val="231F20"/>
          <w:w w:val="105"/>
        </w:rPr>
        <w:t>tratar</w:t>
      </w:r>
      <w:r>
        <w:rPr>
          <w:color w:val="231F20"/>
          <w:spacing w:val="-9"/>
          <w:w w:val="105"/>
        </w:rPr>
        <w:t> </w:t>
      </w:r>
      <w:r>
        <w:rPr>
          <w:color w:val="231F20"/>
          <w:w w:val="105"/>
        </w:rPr>
        <w:t>la</w:t>
      </w:r>
      <w:r>
        <w:rPr>
          <w:color w:val="231F20"/>
          <w:spacing w:val="-9"/>
          <w:w w:val="105"/>
        </w:rPr>
        <w:t> </w:t>
      </w:r>
      <w:r>
        <w:rPr>
          <w:color w:val="231F20"/>
          <w:w w:val="105"/>
        </w:rPr>
        <w:t>sustentabilidad</w:t>
      </w:r>
      <w:r>
        <w:rPr>
          <w:color w:val="231F20"/>
          <w:spacing w:val="-9"/>
          <w:w w:val="105"/>
        </w:rPr>
        <w:t> </w:t>
      </w:r>
      <w:r>
        <w:rPr>
          <w:color w:val="231F20"/>
          <w:w w:val="105"/>
        </w:rPr>
        <w:t>organizacional como</w:t>
      </w:r>
      <w:r>
        <w:rPr>
          <w:color w:val="231F20"/>
          <w:spacing w:val="-23"/>
          <w:w w:val="105"/>
        </w:rPr>
        <w:t> </w:t>
      </w:r>
      <w:r>
        <w:rPr>
          <w:color w:val="231F20"/>
          <w:w w:val="105"/>
        </w:rPr>
        <w:t>fenómeno</w:t>
      </w:r>
      <w:r>
        <w:rPr>
          <w:color w:val="231F20"/>
          <w:spacing w:val="-23"/>
          <w:w w:val="105"/>
        </w:rPr>
        <w:t> </w:t>
      </w:r>
      <w:r>
        <w:rPr>
          <w:color w:val="231F20"/>
          <w:w w:val="105"/>
        </w:rPr>
        <w:t>de</w:t>
      </w:r>
      <w:r>
        <w:rPr>
          <w:color w:val="231F20"/>
          <w:spacing w:val="-23"/>
          <w:w w:val="105"/>
        </w:rPr>
        <w:t> </w:t>
      </w:r>
      <w:r>
        <w:rPr>
          <w:color w:val="231F20"/>
          <w:w w:val="105"/>
        </w:rPr>
        <w:t>interés</w:t>
      </w:r>
      <w:r>
        <w:rPr>
          <w:color w:val="231F20"/>
          <w:spacing w:val="-23"/>
          <w:w w:val="105"/>
        </w:rPr>
        <w:t> </w:t>
      </w:r>
      <w:r>
        <w:rPr>
          <w:color w:val="231F20"/>
          <w:w w:val="105"/>
        </w:rPr>
        <w:t>para</w:t>
      </w:r>
      <w:r>
        <w:rPr>
          <w:color w:val="231F20"/>
          <w:spacing w:val="-23"/>
          <w:w w:val="105"/>
        </w:rPr>
        <w:t> </w:t>
      </w:r>
      <w:r>
        <w:rPr>
          <w:color w:val="231F20"/>
          <w:w w:val="105"/>
        </w:rPr>
        <w:t>los</w:t>
      </w:r>
      <w:r>
        <w:rPr>
          <w:color w:val="231F20"/>
          <w:spacing w:val="-23"/>
          <w:w w:val="105"/>
        </w:rPr>
        <w:t> </w:t>
      </w:r>
      <w:r>
        <w:rPr>
          <w:color w:val="231F20"/>
          <w:w w:val="105"/>
        </w:rPr>
        <w:t>estudios</w:t>
      </w:r>
      <w:r>
        <w:rPr>
          <w:color w:val="231F20"/>
          <w:spacing w:val="-23"/>
          <w:w w:val="105"/>
        </w:rPr>
        <w:t> </w:t>
      </w:r>
      <w:r>
        <w:rPr>
          <w:color w:val="231F20"/>
          <w:w w:val="105"/>
        </w:rPr>
        <w:t>económico-administrativos, ya que se toman como soporte para proponer un modelo integrado por cuatro</w:t>
      </w:r>
      <w:r>
        <w:rPr>
          <w:color w:val="231F20"/>
          <w:spacing w:val="-29"/>
          <w:w w:val="105"/>
        </w:rPr>
        <w:t> </w:t>
      </w:r>
      <w:r>
        <w:rPr>
          <w:color w:val="231F20"/>
          <w:w w:val="105"/>
        </w:rPr>
        <w:t>aspectos:</w:t>
      </w:r>
      <w:r>
        <w:rPr>
          <w:color w:val="231F20"/>
          <w:spacing w:val="-29"/>
          <w:w w:val="105"/>
        </w:rPr>
        <w:t> </w:t>
      </w:r>
      <w:r>
        <w:rPr>
          <w:color w:val="231F20"/>
          <w:w w:val="105"/>
        </w:rPr>
        <w:t>social,</w:t>
      </w:r>
      <w:r>
        <w:rPr>
          <w:color w:val="231F20"/>
          <w:spacing w:val="-33"/>
          <w:w w:val="105"/>
        </w:rPr>
        <w:t> </w:t>
      </w:r>
      <w:r>
        <w:rPr>
          <w:color w:val="231F20"/>
          <w:w w:val="105"/>
        </w:rPr>
        <w:t>ambiental,</w:t>
      </w:r>
      <w:r>
        <w:rPr>
          <w:color w:val="231F20"/>
          <w:spacing w:val="-33"/>
          <w:w w:val="105"/>
        </w:rPr>
        <w:t> </w:t>
      </w:r>
      <w:r>
        <w:rPr>
          <w:color w:val="231F20"/>
          <w:w w:val="105"/>
        </w:rPr>
        <w:t>económico-financiero</w:t>
      </w:r>
      <w:r>
        <w:rPr>
          <w:color w:val="231F20"/>
          <w:spacing w:val="-29"/>
          <w:w w:val="105"/>
        </w:rPr>
        <w:t> </w:t>
      </w:r>
      <w:r>
        <w:rPr>
          <w:color w:val="231F20"/>
          <w:w w:val="105"/>
        </w:rPr>
        <w:t>y</w:t>
      </w:r>
      <w:r>
        <w:rPr>
          <w:color w:val="231F20"/>
          <w:spacing w:val="-29"/>
          <w:w w:val="105"/>
        </w:rPr>
        <w:t> </w:t>
      </w:r>
      <w:r>
        <w:rPr>
          <w:color w:val="231F20"/>
          <w:w w:val="105"/>
        </w:rPr>
        <w:t>organizativo.</w:t>
      </w:r>
    </w:p>
    <w:p>
      <w:pPr>
        <w:pStyle w:val="BodyText"/>
        <w:spacing w:line="259" w:lineRule="auto"/>
        <w:ind w:left="103" w:right="115" w:firstLine="567"/>
        <w:jc w:val="both"/>
      </w:pPr>
      <w:r>
        <w:rPr>
          <w:color w:val="231F20"/>
          <w:spacing w:val="-3"/>
          <w:w w:val="105"/>
        </w:rPr>
        <w:t>Entonces,</w:t>
      </w:r>
      <w:r>
        <w:rPr>
          <w:color w:val="231F20"/>
          <w:spacing w:val="-37"/>
          <w:w w:val="105"/>
        </w:rPr>
        <w:t> </w:t>
      </w:r>
      <w:r>
        <w:rPr>
          <w:color w:val="231F20"/>
          <w:w w:val="105"/>
        </w:rPr>
        <w:t>las</w:t>
      </w:r>
      <w:r>
        <w:rPr>
          <w:color w:val="231F20"/>
          <w:spacing w:val="-33"/>
          <w:w w:val="105"/>
        </w:rPr>
        <w:t> </w:t>
      </w:r>
      <w:r>
        <w:rPr>
          <w:color w:val="231F20"/>
          <w:spacing w:val="-3"/>
          <w:w w:val="105"/>
        </w:rPr>
        <w:t>preguntas</w:t>
      </w:r>
      <w:r>
        <w:rPr>
          <w:color w:val="231F20"/>
          <w:spacing w:val="-33"/>
          <w:w w:val="105"/>
        </w:rPr>
        <w:t> </w:t>
      </w:r>
      <w:r>
        <w:rPr>
          <w:color w:val="231F20"/>
          <w:w w:val="105"/>
        </w:rPr>
        <w:t>que</w:t>
      </w:r>
      <w:r>
        <w:rPr>
          <w:color w:val="231F20"/>
          <w:spacing w:val="-33"/>
          <w:w w:val="105"/>
        </w:rPr>
        <w:t> </w:t>
      </w:r>
      <w:r>
        <w:rPr>
          <w:color w:val="231F20"/>
          <w:spacing w:val="-3"/>
          <w:w w:val="105"/>
        </w:rPr>
        <w:t>guían</w:t>
      </w:r>
      <w:r>
        <w:rPr>
          <w:color w:val="231F20"/>
          <w:spacing w:val="-33"/>
          <w:w w:val="105"/>
        </w:rPr>
        <w:t> </w:t>
      </w:r>
      <w:r>
        <w:rPr>
          <w:color w:val="231F20"/>
          <w:spacing w:val="-3"/>
          <w:w w:val="105"/>
        </w:rPr>
        <w:t>este</w:t>
      </w:r>
      <w:r>
        <w:rPr>
          <w:color w:val="231F20"/>
          <w:spacing w:val="-33"/>
          <w:w w:val="105"/>
        </w:rPr>
        <w:t> </w:t>
      </w:r>
      <w:r>
        <w:rPr>
          <w:color w:val="231F20"/>
          <w:spacing w:val="-3"/>
          <w:w w:val="105"/>
        </w:rPr>
        <w:t>trabajo</w:t>
      </w:r>
      <w:r>
        <w:rPr>
          <w:color w:val="231F20"/>
          <w:spacing w:val="-33"/>
          <w:w w:val="105"/>
        </w:rPr>
        <w:t> </w:t>
      </w:r>
      <w:r>
        <w:rPr>
          <w:color w:val="231F20"/>
          <w:spacing w:val="-3"/>
          <w:w w:val="105"/>
        </w:rPr>
        <w:t>son:</w:t>
      </w:r>
      <w:r>
        <w:rPr>
          <w:color w:val="231F20"/>
          <w:spacing w:val="-33"/>
          <w:w w:val="105"/>
        </w:rPr>
        <w:t> </w:t>
      </w:r>
      <w:r>
        <w:rPr>
          <w:color w:val="231F20"/>
          <w:spacing w:val="-3"/>
          <w:w w:val="105"/>
        </w:rPr>
        <w:t>¿por</w:t>
      </w:r>
      <w:r>
        <w:rPr>
          <w:color w:val="231F20"/>
          <w:spacing w:val="-33"/>
          <w:w w:val="105"/>
        </w:rPr>
        <w:t> </w:t>
      </w:r>
      <w:r>
        <w:rPr>
          <w:color w:val="231F20"/>
          <w:w w:val="105"/>
        </w:rPr>
        <w:t>qué</w:t>
      </w:r>
      <w:r>
        <w:rPr>
          <w:color w:val="231F20"/>
          <w:spacing w:val="-33"/>
          <w:w w:val="105"/>
        </w:rPr>
        <w:t> </w:t>
      </w:r>
      <w:r>
        <w:rPr>
          <w:color w:val="231F20"/>
          <w:w w:val="105"/>
        </w:rPr>
        <w:t>y</w:t>
      </w:r>
      <w:r>
        <w:rPr>
          <w:color w:val="231F20"/>
          <w:spacing w:val="-33"/>
          <w:w w:val="105"/>
        </w:rPr>
        <w:t> </w:t>
      </w:r>
      <w:r>
        <w:rPr>
          <w:color w:val="231F20"/>
          <w:spacing w:val="-3"/>
          <w:w w:val="105"/>
        </w:rPr>
        <w:t>cómo </w:t>
      </w:r>
      <w:r>
        <w:rPr>
          <w:color w:val="231F20"/>
          <w:w w:val="105"/>
        </w:rPr>
        <w:t>la</w:t>
      </w:r>
      <w:r>
        <w:rPr>
          <w:color w:val="231F20"/>
          <w:spacing w:val="-43"/>
          <w:w w:val="105"/>
        </w:rPr>
        <w:t> </w:t>
      </w:r>
      <w:r>
        <w:rPr>
          <w:color w:val="231F20"/>
          <w:w w:val="105"/>
        </w:rPr>
        <w:t>TDR</w:t>
      </w:r>
      <w:r>
        <w:rPr>
          <w:color w:val="231F20"/>
          <w:spacing w:val="-40"/>
          <w:w w:val="105"/>
        </w:rPr>
        <w:t> </w:t>
      </w:r>
      <w:r>
        <w:rPr>
          <w:color w:val="231F20"/>
          <w:w w:val="105"/>
        </w:rPr>
        <w:t>y</w:t>
      </w:r>
      <w:r>
        <w:rPr>
          <w:color w:val="231F20"/>
          <w:spacing w:val="-40"/>
          <w:w w:val="105"/>
        </w:rPr>
        <w:t> </w:t>
      </w:r>
      <w:r>
        <w:rPr>
          <w:color w:val="231F20"/>
          <w:w w:val="105"/>
        </w:rPr>
        <w:t>la</w:t>
      </w:r>
      <w:r>
        <w:rPr>
          <w:color w:val="231F20"/>
          <w:spacing w:val="-43"/>
          <w:w w:val="105"/>
        </w:rPr>
        <w:t> </w:t>
      </w:r>
      <w:r>
        <w:rPr>
          <w:color w:val="231F20"/>
          <w:spacing w:val="-3"/>
          <w:w w:val="105"/>
        </w:rPr>
        <w:t>TRyC</w:t>
      </w:r>
      <w:r>
        <w:rPr>
          <w:color w:val="231F20"/>
          <w:spacing w:val="-40"/>
          <w:w w:val="105"/>
        </w:rPr>
        <w:t> </w:t>
      </w:r>
      <w:r>
        <w:rPr>
          <w:color w:val="231F20"/>
          <w:spacing w:val="-3"/>
          <w:w w:val="105"/>
        </w:rPr>
        <w:t>apoyan</w:t>
      </w:r>
      <w:r>
        <w:rPr>
          <w:color w:val="231F20"/>
          <w:spacing w:val="-40"/>
          <w:w w:val="105"/>
        </w:rPr>
        <w:t> </w:t>
      </w:r>
      <w:r>
        <w:rPr>
          <w:color w:val="231F20"/>
          <w:w w:val="105"/>
        </w:rPr>
        <w:t>la</w:t>
      </w:r>
      <w:r>
        <w:rPr>
          <w:color w:val="231F20"/>
          <w:spacing w:val="-40"/>
          <w:w w:val="105"/>
        </w:rPr>
        <w:t> </w:t>
      </w:r>
      <w:r>
        <w:rPr>
          <w:color w:val="231F20"/>
          <w:spacing w:val="-3"/>
          <w:w w:val="105"/>
        </w:rPr>
        <w:t>suposición</w:t>
      </w:r>
      <w:r>
        <w:rPr>
          <w:color w:val="231F20"/>
          <w:spacing w:val="-40"/>
          <w:w w:val="105"/>
        </w:rPr>
        <w:t> </w:t>
      </w:r>
      <w:r>
        <w:rPr>
          <w:color w:val="231F20"/>
          <w:w w:val="105"/>
        </w:rPr>
        <w:t>de</w:t>
      </w:r>
      <w:r>
        <w:rPr>
          <w:color w:val="231F20"/>
          <w:spacing w:val="-40"/>
          <w:w w:val="105"/>
        </w:rPr>
        <w:t> </w:t>
      </w:r>
      <w:r>
        <w:rPr>
          <w:color w:val="231F20"/>
          <w:w w:val="105"/>
        </w:rPr>
        <w:t>que</w:t>
      </w:r>
      <w:r>
        <w:rPr>
          <w:color w:val="231F20"/>
          <w:spacing w:val="-40"/>
          <w:w w:val="105"/>
        </w:rPr>
        <w:t> </w:t>
      </w:r>
      <w:r>
        <w:rPr>
          <w:color w:val="231F20"/>
          <w:w w:val="105"/>
        </w:rPr>
        <w:t>una</w:t>
      </w:r>
      <w:r>
        <w:rPr>
          <w:color w:val="231F20"/>
          <w:spacing w:val="-40"/>
          <w:w w:val="105"/>
        </w:rPr>
        <w:t> </w:t>
      </w:r>
      <w:r>
        <w:rPr>
          <w:color w:val="231F20"/>
          <w:spacing w:val="-3"/>
          <w:w w:val="105"/>
        </w:rPr>
        <w:t>organización</w:t>
      </w:r>
      <w:r>
        <w:rPr>
          <w:color w:val="231F20"/>
          <w:spacing w:val="-40"/>
          <w:w w:val="105"/>
        </w:rPr>
        <w:t> </w:t>
      </w:r>
      <w:r>
        <w:rPr>
          <w:color w:val="231F20"/>
          <w:spacing w:val="-3"/>
          <w:w w:val="105"/>
        </w:rPr>
        <w:t>sustentable puede reducir </w:t>
      </w:r>
      <w:r>
        <w:rPr>
          <w:color w:val="231F20"/>
          <w:w w:val="105"/>
        </w:rPr>
        <w:t>la </w:t>
      </w:r>
      <w:r>
        <w:rPr>
          <w:color w:val="231F20"/>
          <w:spacing w:val="-4"/>
          <w:w w:val="105"/>
        </w:rPr>
        <w:t>incertidumbre </w:t>
      </w:r>
      <w:r>
        <w:rPr>
          <w:color w:val="231F20"/>
          <w:w w:val="105"/>
        </w:rPr>
        <w:t>que le </w:t>
      </w:r>
      <w:r>
        <w:rPr>
          <w:color w:val="231F20"/>
          <w:spacing w:val="-3"/>
          <w:w w:val="105"/>
        </w:rPr>
        <w:t>genera </w:t>
      </w:r>
      <w:r>
        <w:rPr>
          <w:color w:val="231F20"/>
          <w:w w:val="105"/>
        </w:rPr>
        <w:t>su </w:t>
      </w:r>
      <w:r>
        <w:rPr>
          <w:color w:val="231F20"/>
          <w:spacing w:val="-3"/>
          <w:w w:val="105"/>
        </w:rPr>
        <w:t>ambiente </w:t>
      </w:r>
      <w:r>
        <w:rPr>
          <w:color w:val="231F20"/>
          <w:w w:val="105"/>
        </w:rPr>
        <w:t>e </w:t>
      </w:r>
      <w:r>
        <w:rPr>
          <w:color w:val="231F20"/>
          <w:spacing w:val="-4"/>
          <w:w w:val="105"/>
        </w:rPr>
        <w:t>incrementar </w:t>
      </w:r>
      <w:r>
        <w:rPr>
          <w:color w:val="231F20"/>
          <w:w w:val="105"/>
        </w:rPr>
        <w:t>el</w:t>
      </w:r>
      <w:r>
        <w:rPr>
          <w:color w:val="231F20"/>
          <w:spacing w:val="-20"/>
          <w:w w:val="105"/>
        </w:rPr>
        <w:t> </w:t>
      </w:r>
      <w:r>
        <w:rPr>
          <w:color w:val="231F20"/>
          <w:spacing w:val="-3"/>
          <w:w w:val="105"/>
        </w:rPr>
        <w:t>control</w:t>
      </w:r>
      <w:r>
        <w:rPr>
          <w:color w:val="231F20"/>
          <w:spacing w:val="-20"/>
          <w:w w:val="105"/>
        </w:rPr>
        <w:t> </w:t>
      </w:r>
      <w:r>
        <w:rPr>
          <w:color w:val="231F20"/>
          <w:w w:val="105"/>
        </w:rPr>
        <w:t>y</w:t>
      </w:r>
      <w:r>
        <w:rPr>
          <w:color w:val="231F20"/>
          <w:spacing w:val="-20"/>
          <w:w w:val="105"/>
        </w:rPr>
        <w:t> </w:t>
      </w:r>
      <w:r>
        <w:rPr>
          <w:color w:val="231F20"/>
          <w:spacing w:val="-3"/>
          <w:w w:val="105"/>
        </w:rPr>
        <w:t>poder</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sector</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spacing w:val="-3"/>
          <w:w w:val="105"/>
        </w:rPr>
        <w:t>desenvuelve?</w:t>
      </w:r>
      <w:r>
        <w:rPr>
          <w:color w:val="231F20"/>
          <w:spacing w:val="-20"/>
          <w:w w:val="105"/>
        </w:rPr>
        <w:t> </w:t>
      </w:r>
      <w:r>
        <w:rPr>
          <w:color w:val="231F20"/>
          <w:w w:val="105"/>
        </w:rPr>
        <w:t>y</w:t>
      </w:r>
      <w:r>
        <w:rPr>
          <w:color w:val="231F20"/>
          <w:spacing w:val="-20"/>
          <w:w w:val="105"/>
        </w:rPr>
        <w:t> </w:t>
      </w:r>
      <w:r>
        <w:rPr>
          <w:color w:val="231F20"/>
          <w:spacing w:val="-3"/>
          <w:w w:val="105"/>
        </w:rPr>
        <w:t>¿bajo</w:t>
      </w:r>
      <w:r>
        <w:rPr>
          <w:color w:val="231F20"/>
          <w:spacing w:val="-20"/>
          <w:w w:val="105"/>
        </w:rPr>
        <w:t> </w:t>
      </w:r>
      <w:r>
        <w:rPr>
          <w:color w:val="231F20"/>
          <w:w w:val="105"/>
        </w:rPr>
        <w:t>qué</w:t>
      </w:r>
      <w:r>
        <w:rPr>
          <w:color w:val="231F20"/>
          <w:spacing w:val="-20"/>
          <w:w w:val="105"/>
        </w:rPr>
        <w:t> </w:t>
      </w:r>
      <w:r>
        <w:rPr>
          <w:color w:val="231F20"/>
          <w:spacing w:val="-3"/>
          <w:w w:val="105"/>
        </w:rPr>
        <w:t>con- diciones</w:t>
      </w:r>
      <w:r>
        <w:rPr>
          <w:color w:val="231F20"/>
          <w:spacing w:val="-11"/>
          <w:w w:val="105"/>
        </w:rPr>
        <w:t> </w:t>
      </w:r>
      <w:r>
        <w:rPr>
          <w:color w:val="231F20"/>
          <w:w w:val="105"/>
        </w:rPr>
        <w:t>la</w:t>
      </w:r>
      <w:r>
        <w:rPr>
          <w:color w:val="231F20"/>
          <w:spacing w:val="-11"/>
          <w:w w:val="105"/>
        </w:rPr>
        <w:t> </w:t>
      </w:r>
      <w:r>
        <w:rPr>
          <w:color w:val="231F20"/>
          <w:spacing w:val="-3"/>
          <w:w w:val="105"/>
        </w:rPr>
        <w:t>sustentabilidad</w:t>
      </w:r>
      <w:r>
        <w:rPr>
          <w:color w:val="231F20"/>
          <w:spacing w:val="-11"/>
          <w:w w:val="105"/>
        </w:rPr>
        <w:t> </w:t>
      </w:r>
      <w:r>
        <w:rPr>
          <w:color w:val="231F20"/>
          <w:spacing w:val="-3"/>
          <w:w w:val="105"/>
        </w:rPr>
        <w:t>organizacional</w:t>
      </w:r>
      <w:r>
        <w:rPr>
          <w:color w:val="231F20"/>
          <w:spacing w:val="-11"/>
          <w:w w:val="105"/>
        </w:rPr>
        <w:t> </w:t>
      </w:r>
      <w:r>
        <w:rPr>
          <w:color w:val="231F20"/>
          <w:w w:val="105"/>
        </w:rPr>
        <w:t>se</w:t>
      </w:r>
      <w:r>
        <w:rPr>
          <w:color w:val="231F20"/>
          <w:spacing w:val="-11"/>
          <w:w w:val="105"/>
        </w:rPr>
        <w:t> </w:t>
      </w:r>
      <w:r>
        <w:rPr>
          <w:color w:val="231F20"/>
          <w:spacing w:val="-3"/>
          <w:w w:val="105"/>
        </w:rPr>
        <w:t>convierte</w:t>
      </w:r>
      <w:r>
        <w:rPr>
          <w:color w:val="231F20"/>
          <w:spacing w:val="-11"/>
          <w:w w:val="105"/>
        </w:rPr>
        <w:t> </w:t>
      </w:r>
      <w:r>
        <w:rPr>
          <w:color w:val="231F20"/>
          <w:w w:val="105"/>
        </w:rPr>
        <w:t>en</w:t>
      </w:r>
      <w:r>
        <w:rPr>
          <w:color w:val="231F20"/>
          <w:spacing w:val="-11"/>
          <w:w w:val="105"/>
        </w:rPr>
        <w:t> </w:t>
      </w:r>
      <w:r>
        <w:rPr>
          <w:color w:val="231F20"/>
          <w:spacing w:val="-4"/>
          <w:w w:val="105"/>
        </w:rPr>
        <w:t>estrategia</w:t>
      </w:r>
      <w:r>
        <w:rPr>
          <w:color w:val="231F20"/>
          <w:spacing w:val="-11"/>
          <w:w w:val="105"/>
        </w:rPr>
        <w:t> </w:t>
      </w:r>
      <w:r>
        <w:rPr>
          <w:color w:val="231F20"/>
          <w:spacing w:val="-3"/>
          <w:w w:val="105"/>
        </w:rPr>
        <w:t>para enfrentar </w:t>
      </w:r>
      <w:r>
        <w:rPr>
          <w:color w:val="231F20"/>
          <w:w w:val="105"/>
        </w:rPr>
        <w:t>la </w:t>
      </w:r>
      <w:r>
        <w:rPr>
          <w:color w:val="231F20"/>
          <w:spacing w:val="-3"/>
          <w:w w:val="105"/>
        </w:rPr>
        <w:t>inestabilidad </w:t>
      </w:r>
      <w:r>
        <w:rPr>
          <w:color w:val="231F20"/>
          <w:w w:val="105"/>
        </w:rPr>
        <w:t>del </w:t>
      </w:r>
      <w:r>
        <w:rPr>
          <w:color w:val="231F20"/>
          <w:spacing w:val="-3"/>
          <w:w w:val="105"/>
        </w:rPr>
        <w:t>contexto </w:t>
      </w:r>
      <w:r>
        <w:rPr>
          <w:color w:val="231F20"/>
          <w:w w:val="105"/>
        </w:rPr>
        <w:t>e </w:t>
      </w:r>
      <w:r>
        <w:rPr>
          <w:color w:val="231F20"/>
          <w:spacing w:val="-3"/>
          <w:w w:val="105"/>
        </w:rPr>
        <w:t>incrementar </w:t>
      </w:r>
      <w:r>
        <w:rPr>
          <w:color w:val="231F20"/>
          <w:w w:val="105"/>
        </w:rPr>
        <w:t>el </w:t>
      </w:r>
      <w:r>
        <w:rPr>
          <w:color w:val="231F20"/>
          <w:spacing w:val="-3"/>
          <w:w w:val="105"/>
        </w:rPr>
        <w:t>control </w:t>
      </w:r>
      <w:r>
        <w:rPr>
          <w:color w:val="231F20"/>
          <w:w w:val="105"/>
        </w:rPr>
        <w:t>de sus </w:t>
      </w:r>
      <w:r>
        <w:rPr>
          <w:color w:val="231F20"/>
          <w:spacing w:val="-3"/>
          <w:w w:val="105"/>
        </w:rPr>
        <w:t>re- cursos</w:t>
      </w:r>
      <w:r>
        <w:rPr>
          <w:color w:val="231F20"/>
          <w:spacing w:val="-24"/>
          <w:w w:val="105"/>
        </w:rPr>
        <w:t> </w:t>
      </w:r>
      <w:r>
        <w:rPr>
          <w:color w:val="231F20"/>
          <w:w w:val="105"/>
        </w:rPr>
        <w:t>y</w:t>
      </w:r>
      <w:r>
        <w:rPr>
          <w:color w:val="231F20"/>
          <w:spacing w:val="-24"/>
          <w:w w:val="105"/>
        </w:rPr>
        <w:t> </w:t>
      </w:r>
      <w:r>
        <w:rPr>
          <w:color w:val="231F20"/>
          <w:spacing w:val="-3"/>
          <w:w w:val="105"/>
        </w:rPr>
        <w:t>mejorar</w:t>
      </w:r>
      <w:r>
        <w:rPr>
          <w:color w:val="231F20"/>
          <w:spacing w:val="-24"/>
          <w:w w:val="105"/>
        </w:rPr>
        <w:t> </w:t>
      </w:r>
      <w:r>
        <w:rPr>
          <w:color w:val="231F20"/>
          <w:spacing w:val="-3"/>
          <w:w w:val="105"/>
        </w:rPr>
        <w:t>continuamente</w:t>
      </w:r>
      <w:r>
        <w:rPr>
          <w:color w:val="231F20"/>
          <w:spacing w:val="-24"/>
          <w:w w:val="105"/>
        </w:rPr>
        <w:t> </w:t>
      </w:r>
      <w:r>
        <w:rPr>
          <w:color w:val="231F20"/>
          <w:w w:val="105"/>
        </w:rPr>
        <w:t>el</w:t>
      </w:r>
      <w:r>
        <w:rPr>
          <w:color w:val="231F20"/>
          <w:spacing w:val="-24"/>
          <w:w w:val="105"/>
        </w:rPr>
        <w:t> </w:t>
      </w:r>
      <w:r>
        <w:rPr>
          <w:color w:val="231F20"/>
          <w:spacing w:val="-3"/>
          <w:w w:val="105"/>
        </w:rPr>
        <w:t>desarrollo</w:t>
      </w:r>
      <w:r>
        <w:rPr>
          <w:color w:val="231F20"/>
          <w:spacing w:val="-24"/>
          <w:w w:val="105"/>
        </w:rPr>
        <w:t> </w:t>
      </w:r>
      <w:r>
        <w:rPr>
          <w:color w:val="231F20"/>
          <w:w w:val="105"/>
        </w:rPr>
        <w:t>de</w:t>
      </w:r>
      <w:r>
        <w:rPr>
          <w:color w:val="231F20"/>
          <w:spacing w:val="-24"/>
          <w:w w:val="105"/>
        </w:rPr>
        <w:t> </w:t>
      </w:r>
      <w:r>
        <w:rPr>
          <w:color w:val="231F20"/>
          <w:spacing w:val="-3"/>
          <w:w w:val="105"/>
        </w:rPr>
        <w:t>capacidades?</w:t>
      </w:r>
    </w:p>
    <w:p>
      <w:pPr>
        <w:pStyle w:val="BodyText"/>
        <w:rPr>
          <w:sz w:val="20"/>
        </w:rPr>
      </w:pPr>
    </w:p>
    <w:p>
      <w:pPr>
        <w:pStyle w:val="BodyText"/>
        <w:spacing w:before="7"/>
        <w:rPr>
          <w:sz w:val="18"/>
        </w:rPr>
      </w:pPr>
    </w:p>
    <w:p>
      <w:pPr>
        <w:pStyle w:val="Heading2"/>
        <w:spacing w:line="247" w:lineRule="auto"/>
        <w:ind w:left="103" w:right="115"/>
      </w:pPr>
      <w:r>
        <w:rPr>
          <w:color w:val="231F20"/>
        </w:rPr>
        <w:t>La</w:t>
      </w:r>
      <w:r>
        <w:rPr>
          <w:color w:val="231F20"/>
          <w:spacing w:val="-19"/>
        </w:rPr>
        <w:t> </w:t>
      </w:r>
      <w:r>
        <w:rPr>
          <w:color w:val="231F20"/>
        </w:rPr>
        <w:t>sustentabilidad</w:t>
      </w:r>
      <w:r>
        <w:rPr>
          <w:color w:val="231F20"/>
          <w:spacing w:val="-19"/>
        </w:rPr>
        <w:t> </w:t>
      </w:r>
      <w:r>
        <w:rPr>
          <w:color w:val="231F20"/>
        </w:rPr>
        <w:t>organizacional</w:t>
      </w:r>
      <w:r>
        <w:rPr>
          <w:color w:val="231F20"/>
          <w:spacing w:val="-19"/>
        </w:rPr>
        <w:t> </w:t>
      </w:r>
      <w:r>
        <w:rPr>
          <w:color w:val="231F20"/>
        </w:rPr>
        <w:t>desde</w:t>
      </w:r>
      <w:r>
        <w:rPr>
          <w:color w:val="231F20"/>
          <w:spacing w:val="-19"/>
        </w:rPr>
        <w:t> </w:t>
      </w:r>
      <w:r>
        <w:rPr>
          <w:color w:val="231F20"/>
        </w:rPr>
        <w:t>la</w:t>
      </w:r>
      <w:r>
        <w:rPr>
          <w:color w:val="231F20"/>
          <w:spacing w:val="-19"/>
        </w:rPr>
        <w:t> </w:t>
      </w:r>
      <w:r>
        <w:rPr>
          <w:color w:val="231F20"/>
        </w:rPr>
        <w:t>economía</w:t>
      </w:r>
      <w:r>
        <w:rPr>
          <w:color w:val="231F20"/>
          <w:spacing w:val="-19"/>
        </w:rPr>
        <w:t> </w:t>
      </w:r>
      <w:r>
        <w:rPr>
          <w:color w:val="231F20"/>
        </w:rPr>
        <w:t>ecológica</w:t>
      </w:r>
      <w:r>
        <w:rPr>
          <w:color w:val="231F20"/>
          <w:spacing w:val="-19"/>
        </w:rPr>
        <w:t> </w:t>
      </w:r>
      <w:r>
        <w:rPr>
          <w:color w:val="231F20"/>
        </w:rPr>
        <w:t>y</w:t>
      </w:r>
      <w:r>
        <w:rPr>
          <w:color w:val="231F20"/>
          <w:spacing w:val="-19"/>
        </w:rPr>
        <w:t> </w:t>
      </w:r>
      <w:r>
        <w:rPr>
          <w:color w:val="231F20"/>
        </w:rPr>
        <w:t>la </w:t>
      </w:r>
      <w:r>
        <w:rPr>
          <w:color w:val="231F20"/>
          <w:w w:val="95"/>
        </w:rPr>
        <w:t>ecología</w:t>
      </w:r>
      <w:r>
        <w:rPr>
          <w:color w:val="231F20"/>
          <w:spacing w:val="57"/>
          <w:w w:val="95"/>
        </w:rPr>
        <w:t> </w:t>
      </w:r>
      <w:r>
        <w:rPr>
          <w:color w:val="231F20"/>
          <w:w w:val="95"/>
        </w:rPr>
        <w:t>organizacional</w:t>
      </w:r>
    </w:p>
    <w:p>
      <w:pPr>
        <w:pStyle w:val="BodyText"/>
        <w:rPr>
          <w:b/>
          <w:sz w:val="22"/>
        </w:rPr>
      </w:pPr>
    </w:p>
    <w:p>
      <w:pPr>
        <w:pStyle w:val="BodyText"/>
        <w:spacing w:line="259" w:lineRule="auto" w:before="153"/>
        <w:ind w:left="103" w:right="114"/>
        <w:jc w:val="both"/>
      </w:pPr>
      <w:r>
        <w:rPr>
          <w:color w:val="231F20"/>
          <w:spacing w:val="-10"/>
          <w:w w:val="105"/>
        </w:rPr>
        <w:t>Ya</w:t>
      </w:r>
      <w:r>
        <w:rPr>
          <w:color w:val="231F20"/>
          <w:spacing w:val="-11"/>
          <w:w w:val="105"/>
        </w:rPr>
        <w:t> </w:t>
      </w:r>
      <w:r>
        <w:rPr>
          <w:color w:val="231F20"/>
          <w:w w:val="105"/>
        </w:rPr>
        <w:t>se</w:t>
      </w:r>
      <w:r>
        <w:rPr>
          <w:color w:val="231F20"/>
          <w:spacing w:val="-11"/>
          <w:w w:val="105"/>
        </w:rPr>
        <w:t> </w:t>
      </w:r>
      <w:r>
        <w:rPr>
          <w:color w:val="231F20"/>
          <w:w w:val="105"/>
        </w:rPr>
        <w:t>está</w:t>
      </w:r>
      <w:r>
        <w:rPr>
          <w:color w:val="231F20"/>
          <w:spacing w:val="-11"/>
          <w:w w:val="105"/>
        </w:rPr>
        <w:t> </w:t>
      </w:r>
      <w:r>
        <w:rPr>
          <w:color w:val="231F20"/>
          <w:w w:val="105"/>
        </w:rPr>
        <w:t>superando</w:t>
      </w:r>
      <w:r>
        <w:rPr>
          <w:color w:val="231F20"/>
          <w:spacing w:val="-11"/>
          <w:w w:val="105"/>
        </w:rPr>
        <w:t> </w:t>
      </w:r>
      <w:r>
        <w:rPr>
          <w:color w:val="231F20"/>
          <w:w w:val="105"/>
        </w:rPr>
        <w:t>la</w:t>
      </w:r>
      <w:r>
        <w:rPr>
          <w:color w:val="231F20"/>
          <w:spacing w:val="-11"/>
          <w:w w:val="105"/>
        </w:rPr>
        <w:t> </w:t>
      </w:r>
      <w:r>
        <w:rPr>
          <w:color w:val="231F20"/>
          <w:w w:val="105"/>
        </w:rPr>
        <w:t>tendencia</w:t>
      </w:r>
      <w:r>
        <w:rPr>
          <w:color w:val="231F20"/>
          <w:spacing w:val="-11"/>
          <w:w w:val="105"/>
        </w:rPr>
        <w:t> </w:t>
      </w:r>
      <w:r>
        <w:rPr>
          <w:color w:val="231F20"/>
          <w:w w:val="105"/>
        </w:rPr>
        <w:t>al</w:t>
      </w:r>
      <w:r>
        <w:rPr>
          <w:color w:val="231F20"/>
          <w:spacing w:val="-11"/>
          <w:w w:val="105"/>
        </w:rPr>
        <w:t> </w:t>
      </w:r>
      <w:r>
        <w:rPr>
          <w:color w:val="231F20"/>
          <w:w w:val="105"/>
        </w:rPr>
        <w:t>reduccionismo</w:t>
      </w:r>
      <w:r>
        <w:rPr>
          <w:color w:val="231F20"/>
          <w:spacing w:val="-11"/>
          <w:w w:val="105"/>
        </w:rPr>
        <w:t> </w:t>
      </w:r>
      <w:r>
        <w:rPr>
          <w:color w:val="231F20"/>
          <w:w w:val="105"/>
        </w:rPr>
        <w:t>medio</w:t>
      </w:r>
      <w:r>
        <w:rPr>
          <w:color w:val="231F20"/>
          <w:spacing w:val="-11"/>
          <w:w w:val="105"/>
        </w:rPr>
        <w:t> </w:t>
      </w:r>
      <w:r>
        <w:rPr>
          <w:color w:val="231F20"/>
          <w:w w:val="105"/>
        </w:rPr>
        <w:t>ambientalis- ta al escuchar el término “sustentabilidad”; es mucho más. Significa un modo</w:t>
      </w:r>
      <w:r>
        <w:rPr>
          <w:color w:val="231F20"/>
          <w:spacing w:val="-7"/>
          <w:w w:val="105"/>
        </w:rPr>
        <w:t> </w:t>
      </w:r>
      <w:r>
        <w:rPr>
          <w:color w:val="231F20"/>
          <w:w w:val="105"/>
        </w:rPr>
        <w:t>de</w:t>
      </w:r>
      <w:r>
        <w:rPr>
          <w:color w:val="231F20"/>
          <w:spacing w:val="-7"/>
          <w:w w:val="105"/>
        </w:rPr>
        <w:t> </w:t>
      </w:r>
      <w:r>
        <w:rPr>
          <w:color w:val="231F20"/>
          <w:w w:val="105"/>
        </w:rPr>
        <w:t>entender</w:t>
      </w:r>
      <w:r>
        <w:rPr>
          <w:color w:val="231F20"/>
          <w:spacing w:val="-7"/>
          <w:w w:val="105"/>
        </w:rPr>
        <w:t> </w:t>
      </w:r>
      <w:r>
        <w:rPr>
          <w:color w:val="231F20"/>
          <w:w w:val="105"/>
        </w:rPr>
        <w:t>la</w:t>
      </w:r>
      <w:r>
        <w:rPr>
          <w:color w:val="231F20"/>
          <w:spacing w:val="-7"/>
          <w:w w:val="105"/>
        </w:rPr>
        <w:t> </w:t>
      </w:r>
      <w:r>
        <w:rPr>
          <w:color w:val="231F20"/>
          <w:w w:val="105"/>
        </w:rPr>
        <w:t>gestión</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sistema</w:t>
      </w:r>
      <w:r>
        <w:rPr>
          <w:color w:val="231F20"/>
          <w:spacing w:val="-7"/>
          <w:w w:val="105"/>
        </w:rPr>
        <w:t> </w:t>
      </w:r>
      <w:r>
        <w:rPr>
          <w:color w:val="231F20"/>
          <w:w w:val="105"/>
        </w:rPr>
        <w:t>a</w:t>
      </w:r>
      <w:r>
        <w:rPr>
          <w:color w:val="231F20"/>
          <w:spacing w:val="-7"/>
          <w:w w:val="105"/>
        </w:rPr>
        <w:t> </w:t>
      </w:r>
      <w:r>
        <w:rPr>
          <w:color w:val="231F20"/>
          <w:w w:val="105"/>
        </w:rPr>
        <w:t>nivel</w:t>
      </w:r>
      <w:r>
        <w:rPr>
          <w:color w:val="231F20"/>
          <w:spacing w:val="-7"/>
          <w:w w:val="105"/>
        </w:rPr>
        <w:t> </w:t>
      </w:r>
      <w:r>
        <w:rPr>
          <w:color w:val="231F20"/>
          <w:w w:val="105"/>
        </w:rPr>
        <w:t>global</w:t>
      </w:r>
      <w:r>
        <w:rPr>
          <w:color w:val="231F20"/>
          <w:spacing w:val="-7"/>
          <w:w w:val="105"/>
        </w:rPr>
        <w:t> </w:t>
      </w:r>
      <w:r>
        <w:rPr>
          <w:color w:val="231F20"/>
          <w:w w:val="105"/>
        </w:rPr>
        <w:t>que</w:t>
      </w:r>
      <w:r>
        <w:rPr>
          <w:color w:val="231F20"/>
          <w:spacing w:val="-7"/>
          <w:w w:val="105"/>
        </w:rPr>
        <w:t> </w:t>
      </w:r>
      <w:r>
        <w:rPr>
          <w:color w:val="231F20"/>
          <w:w w:val="105"/>
        </w:rPr>
        <w:t>busca</w:t>
      </w:r>
      <w:r>
        <w:rPr>
          <w:color w:val="231F20"/>
          <w:spacing w:val="-7"/>
          <w:w w:val="105"/>
        </w:rPr>
        <w:t> </w:t>
      </w:r>
      <w:r>
        <w:rPr>
          <w:color w:val="231F20"/>
          <w:w w:val="105"/>
        </w:rPr>
        <w:t>re- ducir</w:t>
      </w:r>
      <w:r>
        <w:rPr>
          <w:color w:val="231F20"/>
          <w:spacing w:val="-17"/>
          <w:w w:val="105"/>
        </w:rPr>
        <w:t> </w:t>
      </w:r>
      <w:r>
        <w:rPr>
          <w:color w:val="231F20"/>
          <w:w w:val="105"/>
        </w:rPr>
        <w:t>los</w:t>
      </w:r>
      <w:r>
        <w:rPr>
          <w:color w:val="231F20"/>
          <w:spacing w:val="-17"/>
          <w:w w:val="105"/>
        </w:rPr>
        <w:t> </w:t>
      </w:r>
      <w:r>
        <w:rPr>
          <w:color w:val="231F20"/>
          <w:w w:val="105"/>
        </w:rPr>
        <w:t>desequilibrios</w:t>
      </w:r>
      <w:r>
        <w:rPr>
          <w:color w:val="231F20"/>
          <w:spacing w:val="-17"/>
          <w:w w:val="105"/>
        </w:rPr>
        <w:t> </w:t>
      </w:r>
      <w:r>
        <w:rPr>
          <w:color w:val="231F20"/>
          <w:w w:val="105"/>
        </w:rPr>
        <w:t>en</w:t>
      </w:r>
      <w:r>
        <w:rPr>
          <w:color w:val="231F20"/>
          <w:spacing w:val="-17"/>
          <w:w w:val="105"/>
        </w:rPr>
        <w:t> </w:t>
      </w:r>
      <w:r>
        <w:rPr>
          <w:color w:val="231F20"/>
          <w:w w:val="105"/>
        </w:rPr>
        <w:t>lo</w:t>
      </w:r>
      <w:r>
        <w:rPr>
          <w:color w:val="231F20"/>
          <w:spacing w:val="-17"/>
          <w:w w:val="105"/>
        </w:rPr>
        <w:t> </w:t>
      </w:r>
      <w:r>
        <w:rPr>
          <w:color w:val="231F20"/>
          <w:w w:val="105"/>
        </w:rPr>
        <w:t>económico,</w:t>
      </w:r>
      <w:r>
        <w:rPr>
          <w:color w:val="231F20"/>
          <w:spacing w:val="-24"/>
          <w:w w:val="105"/>
        </w:rPr>
        <w:t> </w:t>
      </w:r>
      <w:r>
        <w:rPr>
          <w:color w:val="231F20"/>
          <w:w w:val="105"/>
        </w:rPr>
        <w:t>social</w:t>
      </w:r>
      <w:r>
        <w:rPr>
          <w:color w:val="231F20"/>
          <w:spacing w:val="-17"/>
          <w:w w:val="105"/>
        </w:rPr>
        <w:t> </w:t>
      </w:r>
      <w:r>
        <w:rPr>
          <w:color w:val="231F20"/>
          <w:w w:val="105"/>
        </w:rPr>
        <w:t>y</w:t>
      </w:r>
      <w:r>
        <w:rPr>
          <w:color w:val="231F20"/>
          <w:spacing w:val="-17"/>
          <w:w w:val="105"/>
        </w:rPr>
        <w:t> </w:t>
      </w:r>
      <w:r>
        <w:rPr>
          <w:color w:val="231F20"/>
          <w:w w:val="105"/>
        </w:rPr>
        <w:t>medio</w:t>
      </w:r>
      <w:r>
        <w:rPr>
          <w:color w:val="231F20"/>
          <w:spacing w:val="-17"/>
          <w:w w:val="105"/>
        </w:rPr>
        <w:t> </w:t>
      </w:r>
      <w:r>
        <w:rPr>
          <w:color w:val="231F20"/>
          <w:w w:val="105"/>
        </w:rPr>
        <w:t>ambiental,</w:t>
      </w:r>
      <w:r>
        <w:rPr>
          <w:color w:val="231F20"/>
          <w:spacing w:val="-24"/>
          <w:w w:val="105"/>
        </w:rPr>
        <w:t> </w:t>
      </w:r>
      <w:r>
        <w:rPr>
          <w:color w:val="231F20"/>
          <w:w w:val="105"/>
        </w:rPr>
        <w:t>como una</w:t>
      </w:r>
      <w:r>
        <w:rPr>
          <w:color w:val="231F20"/>
          <w:spacing w:val="-32"/>
          <w:w w:val="105"/>
        </w:rPr>
        <w:t> </w:t>
      </w:r>
      <w:r>
        <w:rPr>
          <w:color w:val="231F20"/>
          <w:w w:val="105"/>
        </w:rPr>
        <w:t>estrategia</w:t>
      </w:r>
      <w:r>
        <w:rPr>
          <w:color w:val="231F20"/>
          <w:spacing w:val="-32"/>
          <w:w w:val="105"/>
        </w:rPr>
        <w:t> </w:t>
      </w:r>
      <w:r>
        <w:rPr>
          <w:color w:val="231F20"/>
          <w:w w:val="105"/>
        </w:rPr>
        <w:t>corporativa</w:t>
      </w:r>
      <w:r>
        <w:rPr>
          <w:color w:val="231F20"/>
          <w:w w:val="105"/>
          <w:position w:val="7"/>
          <w:sz w:val="12"/>
        </w:rPr>
        <w:t>1</w:t>
      </w:r>
      <w:r>
        <w:rPr>
          <w:color w:val="231F20"/>
          <w:spacing w:val="-6"/>
          <w:w w:val="105"/>
          <w:position w:val="7"/>
          <w:sz w:val="12"/>
        </w:rPr>
        <w:t> </w:t>
      </w:r>
      <w:r>
        <w:rPr>
          <w:color w:val="231F20"/>
          <w:spacing w:val="-3"/>
          <w:w w:val="105"/>
        </w:rPr>
        <w:t>(Perelli,</w:t>
      </w:r>
      <w:r>
        <w:rPr>
          <w:color w:val="231F20"/>
          <w:spacing w:val="-36"/>
          <w:w w:val="105"/>
        </w:rPr>
        <w:t> </w:t>
      </w:r>
      <w:r>
        <w:rPr>
          <w:color w:val="231F20"/>
          <w:w w:val="105"/>
        </w:rPr>
        <w:t>2014).</w:t>
      </w:r>
    </w:p>
    <w:p>
      <w:pPr>
        <w:pStyle w:val="BodyText"/>
        <w:spacing w:line="259" w:lineRule="auto"/>
        <w:ind w:left="103" w:right="114" w:firstLine="567"/>
        <w:jc w:val="both"/>
      </w:pPr>
      <w:r>
        <w:rPr>
          <w:color w:val="231F20"/>
          <w:w w:val="105"/>
        </w:rPr>
        <w:t>El</w:t>
      </w:r>
      <w:r>
        <w:rPr>
          <w:color w:val="231F20"/>
          <w:spacing w:val="-6"/>
          <w:w w:val="105"/>
        </w:rPr>
        <w:t> </w:t>
      </w:r>
      <w:r>
        <w:rPr>
          <w:color w:val="231F20"/>
          <w:w w:val="105"/>
        </w:rPr>
        <w:t>estudio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sustentabilidad</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organizaciones</w:t>
      </w:r>
      <w:r>
        <w:rPr>
          <w:color w:val="231F20"/>
          <w:spacing w:val="-6"/>
          <w:w w:val="105"/>
        </w:rPr>
        <w:t> </w:t>
      </w:r>
      <w:r>
        <w:rPr>
          <w:color w:val="231F20"/>
          <w:w w:val="105"/>
        </w:rPr>
        <w:t>se</w:t>
      </w:r>
      <w:r>
        <w:rPr>
          <w:color w:val="231F20"/>
          <w:spacing w:val="-6"/>
          <w:w w:val="105"/>
        </w:rPr>
        <w:t> </w:t>
      </w:r>
      <w:r>
        <w:rPr>
          <w:color w:val="231F20"/>
          <w:w w:val="105"/>
        </w:rPr>
        <w:t>remonta a</w:t>
      </w:r>
      <w:r>
        <w:rPr>
          <w:color w:val="231F20"/>
          <w:spacing w:val="-26"/>
          <w:w w:val="105"/>
        </w:rPr>
        <w:t> </w:t>
      </w:r>
      <w:r>
        <w:rPr>
          <w:color w:val="231F20"/>
          <w:w w:val="105"/>
        </w:rPr>
        <w:t>los</w:t>
      </w:r>
      <w:r>
        <w:rPr>
          <w:color w:val="231F20"/>
          <w:spacing w:val="-26"/>
          <w:w w:val="105"/>
        </w:rPr>
        <w:t> </w:t>
      </w:r>
      <w:r>
        <w:rPr>
          <w:color w:val="231F20"/>
          <w:w w:val="105"/>
        </w:rPr>
        <w:t>trabajos</w:t>
      </w:r>
      <w:r>
        <w:rPr>
          <w:color w:val="231F20"/>
          <w:spacing w:val="-26"/>
          <w:w w:val="105"/>
        </w:rPr>
        <w:t> </w:t>
      </w:r>
      <w:r>
        <w:rPr>
          <w:color w:val="231F20"/>
          <w:w w:val="105"/>
        </w:rPr>
        <w:t>de</w:t>
      </w:r>
      <w:r>
        <w:rPr>
          <w:color w:val="231F20"/>
          <w:spacing w:val="-26"/>
          <w:w w:val="105"/>
        </w:rPr>
        <w:t> </w:t>
      </w:r>
      <w:r>
        <w:rPr>
          <w:color w:val="231F20"/>
          <w:w w:val="105"/>
        </w:rPr>
        <w:t>Max</w:t>
      </w:r>
      <w:r>
        <w:rPr>
          <w:color w:val="231F20"/>
          <w:spacing w:val="-28"/>
          <w:w w:val="105"/>
        </w:rPr>
        <w:t> </w:t>
      </w:r>
      <w:r>
        <w:rPr>
          <w:color w:val="231F20"/>
          <w:w w:val="105"/>
        </w:rPr>
        <w:t>Weber</w:t>
      </w:r>
      <w:r>
        <w:rPr>
          <w:color w:val="231F20"/>
          <w:spacing w:val="-26"/>
          <w:w w:val="105"/>
        </w:rPr>
        <w:t> </w:t>
      </w:r>
      <w:r>
        <w:rPr>
          <w:color w:val="231F20"/>
          <w:w w:val="105"/>
        </w:rPr>
        <w:t>(2010),</w:t>
      </w:r>
      <w:r>
        <w:rPr>
          <w:color w:val="231F20"/>
          <w:spacing w:val="-31"/>
          <w:w w:val="105"/>
        </w:rPr>
        <w:t> </w:t>
      </w:r>
      <w:r>
        <w:rPr>
          <w:color w:val="231F20"/>
          <w:w w:val="105"/>
        </w:rPr>
        <w:t>cuando</w:t>
      </w:r>
      <w:r>
        <w:rPr>
          <w:color w:val="231F20"/>
          <w:spacing w:val="-26"/>
          <w:w w:val="105"/>
        </w:rPr>
        <w:t> </w:t>
      </w:r>
      <w:r>
        <w:rPr>
          <w:color w:val="231F20"/>
          <w:w w:val="105"/>
        </w:rPr>
        <w:t>en</w:t>
      </w:r>
      <w:r>
        <w:rPr>
          <w:color w:val="231F20"/>
          <w:spacing w:val="-26"/>
          <w:w w:val="105"/>
        </w:rPr>
        <w:t> </w:t>
      </w:r>
      <w:r>
        <w:rPr>
          <w:color w:val="231F20"/>
          <w:w w:val="105"/>
        </w:rPr>
        <w:t>respuesta</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restriccio- nes</w:t>
      </w:r>
      <w:r>
        <w:rPr>
          <w:color w:val="231F20"/>
          <w:spacing w:val="-24"/>
          <w:w w:val="105"/>
        </w:rPr>
        <w:t> </w:t>
      </w:r>
      <w:r>
        <w:rPr>
          <w:color w:val="231F20"/>
          <w:w w:val="105"/>
        </w:rPr>
        <w:t>sociales,</w:t>
      </w:r>
      <w:r>
        <w:rPr>
          <w:color w:val="231F20"/>
          <w:spacing w:val="-29"/>
          <w:w w:val="105"/>
        </w:rPr>
        <w:t> </w:t>
      </w:r>
      <w:r>
        <w:rPr>
          <w:color w:val="231F20"/>
          <w:w w:val="105"/>
        </w:rPr>
        <w:t>económicas</w:t>
      </w:r>
      <w:r>
        <w:rPr>
          <w:color w:val="231F20"/>
          <w:spacing w:val="-24"/>
          <w:w w:val="105"/>
        </w:rPr>
        <w:t> </w:t>
      </w:r>
      <w:r>
        <w:rPr>
          <w:color w:val="231F20"/>
          <w:w w:val="105"/>
        </w:rPr>
        <w:t>y</w:t>
      </w:r>
      <w:r>
        <w:rPr>
          <w:color w:val="231F20"/>
          <w:spacing w:val="-24"/>
          <w:w w:val="105"/>
        </w:rPr>
        <w:t> </w:t>
      </w:r>
      <w:r>
        <w:rPr>
          <w:color w:val="231F20"/>
          <w:w w:val="105"/>
        </w:rPr>
        <w:t>tecnológicas</w:t>
      </w:r>
      <w:r>
        <w:rPr>
          <w:color w:val="231F20"/>
          <w:spacing w:val="-24"/>
          <w:w w:val="105"/>
        </w:rPr>
        <w:t> </w:t>
      </w:r>
      <w:r>
        <w:rPr>
          <w:color w:val="231F20"/>
          <w:w w:val="105"/>
        </w:rPr>
        <w:t>de</w:t>
      </w:r>
      <w:r>
        <w:rPr>
          <w:color w:val="231F20"/>
          <w:spacing w:val="-24"/>
          <w:w w:val="105"/>
        </w:rPr>
        <w:t> </w:t>
      </w:r>
      <w:r>
        <w:rPr>
          <w:color w:val="231F20"/>
          <w:w w:val="105"/>
        </w:rPr>
        <w:t>un</w:t>
      </w:r>
      <w:r>
        <w:rPr>
          <w:color w:val="231F20"/>
          <w:spacing w:val="-24"/>
          <w:w w:val="105"/>
        </w:rPr>
        <w:t> </w:t>
      </w:r>
      <w:r>
        <w:rPr>
          <w:color w:val="231F20"/>
          <w:w w:val="105"/>
        </w:rPr>
        <w:t>momento</w:t>
      </w:r>
      <w:r>
        <w:rPr>
          <w:color w:val="231F20"/>
          <w:spacing w:val="-24"/>
          <w:w w:val="105"/>
        </w:rPr>
        <w:t> </w:t>
      </w:r>
      <w:r>
        <w:rPr>
          <w:color w:val="231F20"/>
          <w:w w:val="105"/>
        </w:rPr>
        <w:t>específico</w:t>
      </w:r>
      <w:r>
        <w:rPr>
          <w:color w:val="231F20"/>
          <w:spacing w:val="-24"/>
          <w:w w:val="105"/>
        </w:rPr>
        <w:t> </w:t>
      </w:r>
      <w:r>
        <w:rPr>
          <w:color w:val="231F20"/>
          <w:w w:val="105"/>
        </w:rPr>
        <w:t>de</w:t>
      </w:r>
      <w:r>
        <w:rPr>
          <w:color w:val="231F20"/>
          <w:spacing w:val="-24"/>
          <w:w w:val="105"/>
        </w:rPr>
        <w:t> </w:t>
      </w:r>
      <w:r>
        <w:rPr>
          <w:color w:val="231F20"/>
          <w:w w:val="105"/>
        </w:rPr>
        <w:t>la historia,</w:t>
      </w:r>
      <w:r>
        <w:rPr>
          <w:color w:val="231F20"/>
          <w:spacing w:val="-31"/>
          <w:w w:val="105"/>
        </w:rPr>
        <w:t> </w:t>
      </w:r>
      <w:r>
        <w:rPr>
          <w:color w:val="231F20"/>
          <w:w w:val="105"/>
        </w:rPr>
        <w:t>emerge</w:t>
      </w:r>
      <w:r>
        <w:rPr>
          <w:color w:val="231F20"/>
          <w:spacing w:val="-25"/>
          <w:w w:val="105"/>
        </w:rPr>
        <w:t> </w:t>
      </w:r>
      <w:r>
        <w:rPr>
          <w:color w:val="231F20"/>
          <w:w w:val="105"/>
        </w:rPr>
        <w:t>un</w:t>
      </w:r>
      <w:r>
        <w:rPr>
          <w:color w:val="231F20"/>
          <w:spacing w:val="-25"/>
          <w:w w:val="105"/>
        </w:rPr>
        <w:t> </w:t>
      </w:r>
      <w:r>
        <w:rPr>
          <w:color w:val="231F20"/>
          <w:w w:val="105"/>
        </w:rPr>
        <w:t>tipo</w:t>
      </w:r>
      <w:r>
        <w:rPr>
          <w:color w:val="231F20"/>
          <w:spacing w:val="-25"/>
          <w:w w:val="105"/>
        </w:rPr>
        <w:t> </w:t>
      </w:r>
      <w:r>
        <w:rPr>
          <w:color w:val="231F20"/>
          <w:w w:val="105"/>
        </w:rPr>
        <w:t>particular</w:t>
      </w:r>
      <w:r>
        <w:rPr>
          <w:color w:val="231F20"/>
          <w:spacing w:val="-25"/>
          <w:w w:val="105"/>
        </w:rPr>
        <w:t> </w:t>
      </w:r>
      <w:r>
        <w:rPr>
          <w:color w:val="231F20"/>
          <w:w w:val="105"/>
        </w:rPr>
        <w:t>de</w:t>
      </w:r>
      <w:r>
        <w:rPr>
          <w:color w:val="231F20"/>
          <w:spacing w:val="-25"/>
          <w:w w:val="105"/>
        </w:rPr>
        <w:t> </w:t>
      </w:r>
      <w:r>
        <w:rPr>
          <w:color w:val="231F20"/>
          <w:w w:val="105"/>
        </w:rPr>
        <w:t>organizaciones,</w:t>
      </w:r>
      <w:r>
        <w:rPr>
          <w:color w:val="231F20"/>
          <w:spacing w:val="-31"/>
          <w:w w:val="105"/>
        </w:rPr>
        <w:t> </w:t>
      </w:r>
      <w:r>
        <w:rPr>
          <w:color w:val="231F20"/>
          <w:w w:val="105"/>
        </w:rPr>
        <w:t>mientras</w:t>
      </w:r>
      <w:r>
        <w:rPr>
          <w:color w:val="231F20"/>
          <w:spacing w:val="-25"/>
          <w:w w:val="105"/>
        </w:rPr>
        <w:t> </w:t>
      </w:r>
      <w:r>
        <w:rPr>
          <w:color w:val="231F20"/>
          <w:w w:val="105"/>
        </w:rPr>
        <w:t>que</w:t>
      </w:r>
      <w:r>
        <w:rPr>
          <w:color w:val="231F20"/>
          <w:spacing w:val="-25"/>
          <w:w w:val="105"/>
        </w:rPr>
        <w:t> </w:t>
      </w:r>
      <w:r>
        <w:rPr>
          <w:color w:val="231F20"/>
          <w:w w:val="105"/>
        </w:rPr>
        <w:t>aque- llas</w:t>
      </w:r>
      <w:r>
        <w:rPr>
          <w:color w:val="231F20"/>
          <w:spacing w:val="-27"/>
          <w:w w:val="105"/>
        </w:rPr>
        <w:t> </w:t>
      </w:r>
      <w:r>
        <w:rPr>
          <w:color w:val="231F20"/>
          <w:w w:val="105"/>
        </w:rPr>
        <w:t>que</w:t>
      </w:r>
      <w:r>
        <w:rPr>
          <w:color w:val="231F20"/>
          <w:spacing w:val="-27"/>
          <w:w w:val="105"/>
        </w:rPr>
        <w:t> </w:t>
      </w:r>
      <w:r>
        <w:rPr>
          <w:color w:val="231F20"/>
          <w:w w:val="105"/>
        </w:rPr>
        <w:t>no</w:t>
      </w:r>
      <w:r>
        <w:rPr>
          <w:color w:val="231F20"/>
          <w:spacing w:val="-27"/>
          <w:w w:val="105"/>
        </w:rPr>
        <w:t> </w:t>
      </w:r>
      <w:r>
        <w:rPr>
          <w:color w:val="231F20"/>
          <w:w w:val="105"/>
        </w:rPr>
        <w:t>logran</w:t>
      </w:r>
      <w:r>
        <w:rPr>
          <w:color w:val="231F20"/>
          <w:spacing w:val="-27"/>
          <w:w w:val="105"/>
        </w:rPr>
        <w:t> </w:t>
      </w:r>
      <w:r>
        <w:rPr>
          <w:color w:val="231F20"/>
          <w:w w:val="105"/>
        </w:rPr>
        <w:t>adaptarse</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w w:val="105"/>
        </w:rPr>
        <w:t>nuevas</w:t>
      </w:r>
      <w:r>
        <w:rPr>
          <w:color w:val="231F20"/>
          <w:spacing w:val="-27"/>
          <w:w w:val="105"/>
        </w:rPr>
        <w:t> </w:t>
      </w:r>
      <w:r>
        <w:rPr>
          <w:color w:val="231F20"/>
          <w:w w:val="105"/>
        </w:rPr>
        <w:t>condiciones</w:t>
      </w:r>
      <w:r>
        <w:rPr>
          <w:color w:val="231F20"/>
          <w:spacing w:val="-27"/>
          <w:w w:val="105"/>
        </w:rPr>
        <w:t> </w:t>
      </w:r>
      <w:r>
        <w:rPr>
          <w:color w:val="231F20"/>
          <w:w w:val="105"/>
        </w:rPr>
        <w:t>desaparecen,</w:t>
      </w:r>
      <w:r>
        <w:rPr>
          <w:color w:val="231F20"/>
          <w:spacing w:val="-32"/>
          <w:w w:val="105"/>
        </w:rPr>
        <w:t> </w:t>
      </w:r>
      <w:r>
        <w:rPr>
          <w:color w:val="231F20"/>
          <w:w w:val="105"/>
        </w:rPr>
        <w:t>idea</w:t>
      </w:r>
    </w:p>
    <w:p>
      <w:pPr>
        <w:pStyle w:val="BodyText"/>
        <w:spacing w:before="4"/>
        <w:rPr>
          <w:sz w:val="29"/>
        </w:rPr>
      </w:pPr>
      <w:r>
        <w:rPr/>
        <w:pict>
          <v:line style="position:absolute;mso-position-horizontal-relative:page;mso-position-vertical-relative:paragraph;z-index:1384;mso-wrap-distance-left:0;mso-wrap-distance-right:0" from="65.196899pt,18.977663pt" to="178.582899pt,18.977663pt" stroked="true" strokeweight=".25pt" strokecolor="#231f20">
            <w10:wrap type="topAndBottom"/>
          </v:line>
        </w:pict>
      </w:r>
    </w:p>
    <w:p>
      <w:pPr>
        <w:spacing w:before="8"/>
        <w:ind w:left="103" w:right="17" w:firstLine="0"/>
        <w:jc w:val="left"/>
        <w:rPr>
          <w:rFonts w:ascii="Calibri" w:hAnsi="Calibri"/>
          <w:sz w:val="16"/>
        </w:rPr>
      </w:pPr>
      <w:r>
        <w:rPr>
          <w:rFonts w:ascii="Calibri" w:hAnsi="Calibri"/>
          <w:color w:val="414042"/>
          <w:position w:val="5"/>
          <w:sz w:val="9"/>
        </w:rPr>
        <w:t>1  </w:t>
      </w:r>
      <w:r>
        <w:rPr>
          <w:rFonts w:ascii="Calibri" w:hAnsi="Calibri"/>
          <w:color w:val="414042"/>
          <w:sz w:val="16"/>
        </w:rPr>
        <w:t>En este nivel de estrategia se gesta la misión, visión, valores y filosofía de la   organización</w:t>
      </w:r>
    </w:p>
    <w:p>
      <w:pPr>
        <w:pStyle w:val="BodyText"/>
        <w:rPr>
          <w:rFonts w:ascii="Calibri"/>
          <w:sz w:val="20"/>
        </w:rPr>
      </w:pPr>
    </w:p>
    <w:p>
      <w:pPr>
        <w:pStyle w:val="BodyText"/>
        <w:spacing w:before="10"/>
        <w:rPr>
          <w:rFonts w:ascii="Calibri"/>
          <w:sz w:val="27"/>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652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20</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3"/>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496"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21</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pStyle w:val="BodyText"/>
        <w:spacing w:line="259" w:lineRule="auto" w:before="169"/>
        <w:ind w:left="117" w:right="114"/>
      </w:pPr>
      <w:r>
        <w:rPr>
          <w:color w:val="231F20"/>
          <w:w w:val="105"/>
        </w:rPr>
        <w:t>que</w:t>
      </w:r>
      <w:r>
        <w:rPr>
          <w:color w:val="231F20"/>
          <w:spacing w:val="-16"/>
          <w:w w:val="105"/>
        </w:rPr>
        <w:t> </w:t>
      </w:r>
      <w:r>
        <w:rPr>
          <w:color w:val="231F20"/>
          <w:w w:val="105"/>
        </w:rPr>
        <w:t>irremediablemente</w:t>
      </w:r>
      <w:r>
        <w:rPr>
          <w:color w:val="231F20"/>
          <w:spacing w:val="-16"/>
          <w:w w:val="105"/>
        </w:rPr>
        <w:t> </w:t>
      </w:r>
      <w:r>
        <w:rPr>
          <w:color w:val="231F20"/>
          <w:w w:val="105"/>
        </w:rPr>
        <w:t>remite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teoría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evolución</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especies de</w:t>
      </w:r>
      <w:r>
        <w:rPr>
          <w:color w:val="231F20"/>
          <w:spacing w:val="-20"/>
          <w:w w:val="105"/>
        </w:rPr>
        <w:t> </w:t>
      </w:r>
      <w:r>
        <w:rPr>
          <w:color w:val="231F20"/>
          <w:w w:val="105"/>
        </w:rPr>
        <w:t>Darwin,</w:t>
      </w:r>
      <w:r>
        <w:rPr>
          <w:color w:val="231F20"/>
          <w:spacing w:val="-26"/>
          <w:w w:val="105"/>
        </w:rPr>
        <w:t> </w:t>
      </w:r>
      <w:r>
        <w:rPr>
          <w:color w:val="231F20"/>
          <w:w w:val="105"/>
        </w:rPr>
        <w:t>sacada</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luz</w:t>
      </w:r>
      <w:r>
        <w:rPr>
          <w:color w:val="231F20"/>
          <w:spacing w:val="-20"/>
          <w:w w:val="105"/>
        </w:rPr>
        <w:t> </w:t>
      </w:r>
      <w:r>
        <w:rPr>
          <w:color w:val="231F20"/>
          <w:w w:val="105"/>
        </w:rPr>
        <w:t>a</w:t>
      </w:r>
      <w:r>
        <w:rPr>
          <w:color w:val="231F20"/>
          <w:spacing w:val="-20"/>
          <w:w w:val="105"/>
        </w:rPr>
        <w:t> </w:t>
      </w:r>
      <w:r>
        <w:rPr>
          <w:color w:val="231F20"/>
          <w:w w:val="105"/>
        </w:rPr>
        <w:t>mediados</w:t>
      </w:r>
      <w:r>
        <w:rPr>
          <w:color w:val="231F20"/>
          <w:spacing w:val="-20"/>
          <w:w w:val="105"/>
        </w:rPr>
        <w:t> </w:t>
      </w:r>
      <w:r>
        <w:rPr>
          <w:color w:val="231F20"/>
          <w:w w:val="105"/>
        </w:rPr>
        <w:t>del</w:t>
      </w:r>
      <w:r>
        <w:rPr>
          <w:color w:val="231F20"/>
          <w:spacing w:val="-20"/>
          <w:w w:val="105"/>
        </w:rPr>
        <w:t> </w:t>
      </w:r>
      <w:r>
        <w:rPr>
          <w:color w:val="231F20"/>
          <w:w w:val="105"/>
        </w:rPr>
        <w:t>siglo</w:t>
      </w:r>
      <w:r>
        <w:rPr>
          <w:color w:val="231F20"/>
          <w:spacing w:val="-22"/>
          <w:w w:val="105"/>
        </w:rPr>
        <w:t> </w:t>
      </w:r>
      <w:r>
        <w:rPr>
          <w:color w:val="231F20"/>
          <w:w w:val="105"/>
        </w:rPr>
        <w:t>XIX.</w:t>
      </w:r>
    </w:p>
    <w:p>
      <w:pPr>
        <w:pStyle w:val="BodyText"/>
        <w:spacing w:line="259" w:lineRule="auto"/>
        <w:ind w:left="117" w:right="115" w:firstLine="567"/>
        <w:jc w:val="both"/>
      </w:pPr>
      <w:r>
        <w:rPr>
          <w:color w:val="231F20"/>
          <w:w w:val="105"/>
        </w:rPr>
        <w:t>La importancia de aterrizar en definición alguna, radica en que otros términos contribuyen a la confusión, aunque también al enrique- cimiento de lo que puede entenderse como organización sustentable. Ejemplo de éstos son: desempeño sustentable, desarrollo organizacio- nal sustentable y ventaja competitiva sustentable.</w:t>
      </w:r>
    </w:p>
    <w:p>
      <w:pPr>
        <w:pStyle w:val="BodyText"/>
        <w:spacing w:line="259" w:lineRule="auto"/>
        <w:ind w:left="117" w:right="115" w:firstLine="567"/>
        <w:jc w:val="both"/>
        <w:rPr>
          <w:i/>
        </w:rPr>
      </w:pPr>
      <w:r>
        <w:rPr>
          <w:color w:val="231F20"/>
          <w:w w:val="105"/>
        </w:rPr>
        <w:t>La sustentabilidad organizacional, como estrategia corporativa, persigue garantizar la consecución de los objetivos empresariales y la generación de valor económico, integrando la protección del entorno social</w:t>
      </w:r>
      <w:r>
        <w:rPr>
          <w:color w:val="231F20"/>
          <w:spacing w:val="-17"/>
          <w:w w:val="105"/>
        </w:rPr>
        <w:t> </w:t>
      </w:r>
      <w:r>
        <w:rPr>
          <w:color w:val="231F20"/>
          <w:w w:val="105"/>
        </w:rPr>
        <w:t>y</w:t>
      </w:r>
      <w:r>
        <w:rPr>
          <w:color w:val="231F20"/>
          <w:spacing w:val="-17"/>
          <w:w w:val="105"/>
        </w:rPr>
        <w:t> </w:t>
      </w:r>
      <w:r>
        <w:rPr>
          <w:color w:val="231F20"/>
          <w:w w:val="105"/>
        </w:rPr>
        <w:t>medioambiental</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presente</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futuro,</w:t>
      </w:r>
      <w:r>
        <w:rPr>
          <w:color w:val="231F20"/>
          <w:spacing w:val="-22"/>
          <w:w w:val="105"/>
        </w:rPr>
        <w:t> </w:t>
      </w:r>
      <w:r>
        <w:rPr>
          <w:color w:val="231F20"/>
          <w:w w:val="105"/>
        </w:rPr>
        <w:t>el</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operaciones y</w:t>
      </w:r>
      <w:r>
        <w:rPr>
          <w:color w:val="231F20"/>
          <w:spacing w:val="-19"/>
          <w:w w:val="105"/>
        </w:rPr>
        <w:t> </w:t>
      </w:r>
      <w:r>
        <w:rPr>
          <w:color w:val="231F20"/>
          <w:w w:val="105"/>
        </w:rPr>
        <w:t>el</w:t>
      </w:r>
      <w:r>
        <w:rPr>
          <w:color w:val="231F20"/>
          <w:spacing w:val="-19"/>
          <w:w w:val="105"/>
        </w:rPr>
        <w:t> </w:t>
      </w:r>
      <w:r>
        <w:rPr>
          <w:color w:val="231F20"/>
          <w:w w:val="105"/>
        </w:rPr>
        <w:t>de</w:t>
      </w:r>
      <w:r>
        <w:rPr>
          <w:color w:val="231F20"/>
          <w:spacing w:val="-19"/>
          <w:w w:val="105"/>
        </w:rPr>
        <w:t> </w:t>
      </w:r>
      <w:r>
        <w:rPr>
          <w:color w:val="231F20"/>
          <w:w w:val="105"/>
        </w:rPr>
        <w:t>sus</w:t>
      </w:r>
      <w:r>
        <w:rPr>
          <w:color w:val="231F20"/>
          <w:spacing w:val="-19"/>
          <w:w w:val="105"/>
        </w:rPr>
        <w:t> </w:t>
      </w:r>
      <w:r>
        <w:rPr>
          <w:color w:val="231F20"/>
          <w:w w:val="105"/>
        </w:rPr>
        <w:t>grupos</w:t>
      </w:r>
      <w:r>
        <w:rPr>
          <w:color w:val="231F20"/>
          <w:spacing w:val="-19"/>
          <w:w w:val="105"/>
        </w:rPr>
        <w:t> </w:t>
      </w:r>
      <w:r>
        <w:rPr>
          <w:color w:val="231F20"/>
          <w:w w:val="105"/>
        </w:rPr>
        <w:t>de</w:t>
      </w:r>
      <w:r>
        <w:rPr>
          <w:color w:val="231F20"/>
          <w:spacing w:val="-19"/>
          <w:w w:val="105"/>
        </w:rPr>
        <w:t> </w:t>
      </w:r>
      <w:r>
        <w:rPr>
          <w:color w:val="231F20"/>
          <w:w w:val="105"/>
        </w:rPr>
        <w:t>interés</w:t>
      </w:r>
      <w:r>
        <w:rPr>
          <w:color w:val="231F20"/>
          <w:spacing w:val="-19"/>
          <w:w w:val="105"/>
        </w:rPr>
        <w:t> </w:t>
      </w:r>
      <w:r>
        <w:rPr>
          <w:color w:val="231F20"/>
          <w:spacing w:val="-3"/>
          <w:w w:val="105"/>
        </w:rPr>
        <w:t>(Perelli,</w:t>
      </w:r>
      <w:r>
        <w:rPr>
          <w:color w:val="231F20"/>
          <w:spacing w:val="-25"/>
          <w:w w:val="105"/>
        </w:rPr>
        <w:t> </w:t>
      </w:r>
      <w:r>
        <w:rPr>
          <w:color w:val="231F20"/>
          <w:w w:val="105"/>
        </w:rPr>
        <w:t>2014)</w:t>
      </w:r>
      <w:r>
        <w:rPr>
          <w:i/>
          <w:color w:val="231F20"/>
          <w:w w:val="105"/>
        </w:rPr>
        <w:t>.</w:t>
      </w:r>
    </w:p>
    <w:p>
      <w:pPr>
        <w:pStyle w:val="BodyText"/>
        <w:spacing w:line="259" w:lineRule="auto"/>
        <w:ind w:left="117" w:right="116" w:firstLine="567"/>
        <w:jc w:val="both"/>
      </w:pPr>
      <w:r>
        <w:rPr>
          <w:color w:val="231F20"/>
          <w:w w:val="105"/>
        </w:rPr>
        <w:t>Una</w:t>
      </w:r>
      <w:r>
        <w:rPr>
          <w:color w:val="231F20"/>
          <w:spacing w:val="-34"/>
          <w:w w:val="105"/>
        </w:rPr>
        <w:t> </w:t>
      </w:r>
      <w:r>
        <w:rPr>
          <w:color w:val="231F20"/>
          <w:w w:val="105"/>
        </w:rPr>
        <w:t>organización</w:t>
      </w:r>
      <w:r>
        <w:rPr>
          <w:color w:val="231F20"/>
          <w:spacing w:val="-34"/>
          <w:w w:val="105"/>
        </w:rPr>
        <w:t> </w:t>
      </w:r>
      <w:r>
        <w:rPr>
          <w:color w:val="231F20"/>
          <w:w w:val="105"/>
        </w:rPr>
        <w:t>sustentable</w:t>
      </w:r>
      <w:r>
        <w:rPr>
          <w:color w:val="231F20"/>
          <w:spacing w:val="-34"/>
          <w:w w:val="105"/>
        </w:rPr>
        <w:t> </w:t>
      </w:r>
      <w:r>
        <w:rPr>
          <w:color w:val="231F20"/>
          <w:w w:val="105"/>
        </w:rPr>
        <w:t>alcanza</w:t>
      </w:r>
      <w:r>
        <w:rPr>
          <w:color w:val="231F20"/>
          <w:spacing w:val="-34"/>
          <w:w w:val="105"/>
        </w:rPr>
        <w:t> </w:t>
      </w:r>
      <w:r>
        <w:rPr>
          <w:color w:val="231F20"/>
          <w:w w:val="105"/>
        </w:rPr>
        <w:t>sus</w:t>
      </w:r>
      <w:r>
        <w:rPr>
          <w:color w:val="231F20"/>
          <w:spacing w:val="-34"/>
          <w:w w:val="105"/>
        </w:rPr>
        <w:t> </w:t>
      </w:r>
      <w:r>
        <w:rPr>
          <w:color w:val="231F20"/>
          <w:w w:val="105"/>
        </w:rPr>
        <w:t>fines</w:t>
      </w:r>
      <w:r>
        <w:rPr>
          <w:color w:val="231F20"/>
          <w:spacing w:val="-34"/>
          <w:w w:val="105"/>
        </w:rPr>
        <w:t> </w:t>
      </w:r>
      <w:r>
        <w:rPr>
          <w:color w:val="231F20"/>
          <w:w w:val="105"/>
        </w:rPr>
        <w:t>al</w:t>
      </w:r>
      <w:r>
        <w:rPr>
          <w:color w:val="231F20"/>
          <w:spacing w:val="-34"/>
          <w:w w:val="105"/>
        </w:rPr>
        <w:t> </w:t>
      </w:r>
      <w:r>
        <w:rPr>
          <w:color w:val="231F20"/>
          <w:w w:val="105"/>
        </w:rPr>
        <w:t>tiempo</w:t>
      </w:r>
      <w:r>
        <w:rPr>
          <w:color w:val="231F20"/>
          <w:spacing w:val="-34"/>
          <w:w w:val="105"/>
        </w:rPr>
        <w:t> </w:t>
      </w:r>
      <w:r>
        <w:rPr>
          <w:color w:val="231F20"/>
          <w:w w:val="105"/>
        </w:rPr>
        <w:t>que</w:t>
      </w:r>
      <w:r>
        <w:rPr>
          <w:color w:val="231F20"/>
          <w:spacing w:val="-34"/>
          <w:w w:val="105"/>
        </w:rPr>
        <w:t> </w:t>
      </w:r>
      <w:r>
        <w:rPr>
          <w:color w:val="231F20"/>
          <w:w w:val="105"/>
        </w:rPr>
        <w:t>desa- rrolla</w:t>
      </w:r>
      <w:r>
        <w:rPr>
          <w:color w:val="231F20"/>
          <w:spacing w:val="-31"/>
          <w:w w:val="105"/>
        </w:rPr>
        <w:t> </w:t>
      </w:r>
      <w:r>
        <w:rPr>
          <w:color w:val="231F20"/>
          <w:w w:val="105"/>
        </w:rPr>
        <w:t>sus</w:t>
      </w:r>
      <w:r>
        <w:rPr>
          <w:color w:val="231F20"/>
          <w:spacing w:val="-31"/>
          <w:w w:val="105"/>
        </w:rPr>
        <w:t> </w:t>
      </w:r>
      <w:r>
        <w:rPr>
          <w:color w:val="231F20"/>
          <w:w w:val="105"/>
        </w:rPr>
        <w:t>recursos</w:t>
      </w:r>
      <w:r>
        <w:rPr>
          <w:color w:val="231F20"/>
          <w:spacing w:val="-31"/>
          <w:w w:val="105"/>
        </w:rPr>
        <w:t> </w:t>
      </w:r>
      <w:r>
        <w:rPr>
          <w:color w:val="231F20"/>
          <w:w w:val="105"/>
        </w:rPr>
        <w:t>y</w:t>
      </w:r>
      <w:r>
        <w:rPr>
          <w:color w:val="231F20"/>
          <w:spacing w:val="-31"/>
          <w:w w:val="105"/>
        </w:rPr>
        <w:t> </w:t>
      </w:r>
      <w:r>
        <w:rPr>
          <w:color w:val="231F20"/>
          <w:w w:val="105"/>
        </w:rPr>
        <w:t>capacidades</w:t>
      </w:r>
      <w:r>
        <w:rPr>
          <w:color w:val="231F20"/>
          <w:spacing w:val="-31"/>
          <w:w w:val="105"/>
        </w:rPr>
        <w:t> </w:t>
      </w:r>
      <w:r>
        <w:rPr>
          <w:color w:val="231F20"/>
          <w:w w:val="105"/>
        </w:rPr>
        <w:t>para</w:t>
      </w:r>
      <w:r>
        <w:rPr>
          <w:color w:val="231F20"/>
          <w:spacing w:val="-31"/>
          <w:w w:val="105"/>
        </w:rPr>
        <w:t> </w:t>
      </w:r>
      <w:r>
        <w:rPr>
          <w:color w:val="231F20"/>
          <w:w w:val="105"/>
        </w:rPr>
        <w:t>sobrevivir,</w:t>
      </w:r>
      <w:r>
        <w:rPr>
          <w:color w:val="231F20"/>
          <w:spacing w:val="-35"/>
          <w:w w:val="105"/>
        </w:rPr>
        <w:t> </w:t>
      </w:r>
      <w:r>
        <w:rPr>
          <w:color w:val="231F20"/>
          <w:w w:val="105"/>
        </w:rPr>
        <w:t>adaptarse,</w:t>
      </w:r>
      <w:r>
        <w:rPr>
          <w:color w:val="231F20"/>
          <w:spacing w:val="-35"/>
          <w:w w:val="105"/>
        </w:rPr>
        <w:t> </w:t>
      </w:r>
      <w:r>
        <w:rPr>
          <w:color w:val="231F20"/>
          <w:w w:val="105"/>
        </w:rPr>
        <w:t>mantenerse y</w:t>
      </w:r>
      <w:r>
        <w:rPr>
          <w:color w:val="231F20"/>
          <w:spacing w:val="-17"/>
          <w:w w:val="105"/>
        </w:rPr>
        <w:t> </w:t>
      </w:r>
      <w:r>
        <w:rPr>
          <w:color w:val="231F20"/>
          <w:w w:val="105"/>
        </w:rPr>
        <w:t>crecer</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ambiente</w:t>
      </w:r>
      <w:r>
        <w:rPr>
          <w:color w:val="231F20"/>
          <w:spacing w:val="-17"/>
          <w:w w:val="105"/>
        </w:rPr>
        <w:t> </w:t>
      </w:r>
      <w:r>
        <w:rPr>
          <w:color w:val="231F20"/>
          <w:w w:val="105"/>
        </w:rPr>
        <w:t>incierto</w:t>
      </w:r>
      <w:r>
        <w:rPr>
          <w:color w:val="231F20"/>
          <w:spacing w:val="-17"/>
          <w:w w:val="105"/>
        </w:rPr>
        <w:t> </w:t>
      </w:r>
      <w:r>
        <w:rPr>
          <w:color w:val="231F20"/>
          <w:w w:val="105"/>
        </w:rPr>
        <w:t>y</w:t>
      </w:r>
      <w:r>
        <w:rPr>
          <w:color w:val="231F20"/>
          <w:spacing w:val="-17"/>
          <w:w w:val="105"/>
        </w:rPr>
        <w:t> </w:t>
      </w:r>
      <w:r>
        <w:rPr>
          <w:color w:val="231F20"/>
          <w:w w:val="105"/>
        </w:rPr>
        <w:t>del</w:t>
      </w:r>
      <w:r>
        <w:rPr>
          <w:color w:val="231F20"/>
          <w:spacing w:val="-17"/>
          <w:w w:val="105"/>
        </w:rPr>
        <w:t> </w:t>
      </w:r>
      <w:r>
        <w:rPr>
          <w:color w:val="231F20"/>
          <w:w w:val="105"/>
        </w:rPr>
        <w:t>cual</w:t>
      </w:r>
      <w:r>
        <w:rPr>
          <w:color w:val="231F20"/>
          <w:spacing w:val="-17"/>
          <w:w w:val="105"/>
        </w:rPr>
        <w:t> </w:t>
      </w:r>
      <w:r>
        <w:rPr>
          <w:color w:val="231F20"/>
          <w:w w:val="105"/>
        </w:rPr>
        <w:t>depende.</w:t>
      </w:r>
      <w:r>
        <w:rPr>
          <w:color w:val="231F20"/>
          <w:spacing w:val="-26"/>
          <w:w w:val="105"/>
        </w:rPr>
        <w:t> </w:t>
      </w:r>
      <w:r>
        <w:rPr>
          <w:color w:val="231F20"/>
          <w:w w:val="105"/>
        </w:rPr>
        <w:t>Así,</w:t>
      </w:r>
      <w:r>
        <w:rPr>
          <w:color w:val="231F20"/>
          <w:spacing w:val="-22"/>
          <w:w w:val="105"/>
        </w:rPr>
        <w:t> </w:t>
      </w:r>
      <w:r>
        <w:rPr>
          <w:color w:val="231F20"/>
          <w:w w:val="105"/>
        </w:rPr>
        <w:t>la</w:t>
      </w:r>
      <w:r>
        <w:rPr>
          <w:color w:val="231F20"/>
          <w:spacing w:val="-17"/>
          <w:w w:val="105"/>
        </w:rPr>
        <w:t> </w:t>
      </w:r>
      <w:r>
        <w:rPr>
          <w:color w:val="231F20"/>
          <w:w w:val="105"/>
        </w:rPr>
        <w:t>empresa</w:t>
      </w:r>
      <w:r>
        <w:rPr>
          <w:color w:val="231F20"/>
          <w:spacing w:val="-17"/>
          <w:w w:val="105"/>
        </w:rPr>
        <w:t> </w:t>
      </w:r>
      <w:r>
        <w:rPr>
          <w:color w:val="231F20"/>
          <w:w w:val="105"/>
        </w:rPr>
        <w:t>que gestiona</w:t>
      </w:r>
      <w:r>
        <w:rPr>
          <w:color w:val="231F20"/>
          <w:spacing w:val="-31"/>
          <w:w w:val="105"/>
        </w:rPr>
        <w:t> </w:t>
      </w:r>
      <w:r>
        <w:rPr>
          <w:color w:val="231F20"/>
          <w:w w:val="105"/>
        </w:rPr>
        <w:t>sus</w:t>
      </w:r>
      <w:r>
        <w:rPr>
          <w:color w:val="231F20"/>
          <w:spacing w:val="-31"/>
          <w:w w:val="105"/>
        </w:rPr>
        <w:t> </w:t>
      </w:r>
      <w:r>
        <w:rPr>
          <w:color w:val="231F20"/>
          <w:w w:val="105"/>
        </w:rPr>
        <w:t>recursos</w:t>
      </w:r>
      <w:r>
        <w:rPr>
          <w:color w:val="231F20"/>
          <w:spacing w:val="-31"/>
          <w:w w:val="105"/>
        </w:rPr>
        <w:t> </w:t>
      </w:r>
      <w:r>
        <w:rPr>
          <w:color w:val="231F20"/>
          <w:w w:val="105"/>
        </w:rPr>
        <w:t>de</w:t>
      </w:r>
      <w:r>
        <w:rPr>
          <w:color w:val="231F20"/>
          <w:spacing w:val="-31"/>
          <w:w w:val="105"/>
        </w:rPr>
        <w:t> </w:t>
      </w:r>
      <w:r>
        <w:rPr>
          <w:color w:val="231F20"/>
          <w:w w:val="105"/>
        </w:rPr>
        <w:t>manera</w:t>
      </w:r>
      <w:r>
        <w:rPr>
          <w:color w:val="231F20"/>
          <w:spacing w:val="-31"/>
          <w:w w:val="105"/>
        </w:rPr>
        <w:t> </w:t>
      </w:r>
      <w:r>
        <w:rPr>
          <w:color w:val="231F20"/>
          <w:w w:val="105"/>
        </w:rPr>
        <w:t>sustentable,</w:t>
      </w:r>
      <w:r>
        <w:rPr>
          <w:color w:val="231F20"/>
          <w:spacing w:val="-35"/>
          <w:w w:val="105"/>
        </w:rPr>
        <w:t> </w:t>
      </w:r>
      <w:r>
        <w:rPr>
          <w:color w:val="231F20"/>
          <w:w w:val="105"/>
        </w:rPr>
        <w:t>está</w:t>
      </w:r>
      <w:r>
        <w:rPr>
          <w:color w:val="231F20"/>
          <w:spacing w:val="-31"/>
          <w:w w:val="105"/>
        </w:rPr>
        <w:t> </w:t>
      </w:r>
      <w:r>
        <w:rPr>
          <w:color w:val="231F20"/>
          <w:w w:val="105"/>
        </w:rPr>
        <w:t>trabajando</w:t>
      </w:r>
      <w:r>
        <w:rPr>
          <w:color w:val="231F20"/>
          <w:spacing w:val="-31"/>
          <w:w w:val="105"/>
        </w:rPr>
        <w:t> </w:t>
      </w:r>
      <w:r>
        <w:rPr>
          <w:color w:val="231F20"/>
          <w:w w:val="105"/>
        </w:rPr>
        <w:t>para</w:t>
      </w:r>
      <w:r>
        <w:rPr>
          <w:color w:val="231F20"/>
          <w:spacing w:val="-31"/>
          <w:w w:val="105"/>
        </w:rPr>
        <w:t> </w:t>
      </w:r>
      <w:r>
        <w:rPr>
          <w:color w:val="231F20"/>
          <w:w w:val="105"/>
        </w:rPr>
        <w:t>llegar a</w:t>
      </w:r>
      <w:r>
        <w:rPr>
          <w:color w:val="231F20"/>
          <w:spacing w:val="-5"/>
          <w:w w:val="105"/>
        </w:rPr>
        <w:t> </w:t>
      </w:r>
      <w:r>
        <w:rPr>
          <w:color w:val="231F20"/>
          <w:w w:val="105"/>
        </w:rPr>
        <w:t>ser</w:t>
      </w:r>
      <w:r>
        <w:rPr>
          <w:color w:val="231F20"/>
          <w:spacing w:val="-5"/>
          <w:w w:val="105"/>
        </w:rPr>
        <w:t> </w:t>
      </w:r>
      <w:r>
        <w:rPr>
          <w:color w:val="231F20"/>
          <w:w w:val="105"/>
        </w:rPr>
        <w:t>una</w:t>
      </w:r>
      <w:r>
        <w:rPr>
          <w:color w:val="231F20"/>
          <w:spacing w:val="-5"/>
          <w:w w:val="105"/>
        </w:rPr>
        <w:t> </w:t>
      </w:r>
      <w:r>
        <w:rPr>
          <w:color w:val="231F20"/>
          <w:w w:val="105"/>
        </w:rPr>
        <w:t>organización</w:t>
      </w:r>
      <w:r>
        <w:rPr>
          <w:color w:val="231F20"/>
          <w:spacing w:val="-5"/>
          <w:w w:val="105"/>
        </w:rPr>
        <w:t> </w:t>
      </w:r>
      <w:r>
        <w:rPr>
          <w:color w:val="231F20"/>
          <w:w w:val="105"/>
        </w:rPr>
        <w:t>saludable,</w:t>
      </w:r>
      <w:r>
        <w:rPr>
          <w:color w:val="231F20"/>
          <w:spacing w:val="-9"/>
          <w:w w:val="105"/>
        </w:rPr>
        <w:t> </w:t>
      </w:r>
      <w:r>
        <w:rPr>
          <w:color w:val="231F20"/>
          <w:w w:val="105"/>
        </w:rPr>
        <w:t>la</w:t>
      </w:r>
      <w:r>
        <w:rPr>
          <w:color w:val="231F20"/>
          <w:spacing w:val="-5"/>
          <w:w w:val="105"/>
        </w:rPr>
        <w:t> </w:t>
      </w:r>
      <w:r>
        <w:rPr>
          <w:color w:val="231F20"/>
          <w:w w:val="105"/>
        </w:rPr>
        <w:t>cual</w:t>
      </w:r>
      <w:r>
        <w:rPr>
          <w:color w:val="231F20"/>
          <w:spacing w:val="-5"/>
          <w:w w:val="105"/>
        </w:rPr>
        <w:t> </w:t>
      </w:r>
      <w:r>
        <w:rPr>
          <w:color w:val="231F20"/>
          <w:w w:val="105"/>
        </w:rPr>
        <w:t>se</w:t>
      </w:r>
      <w:r>
        <w:rPr>
          <w:color w:val="231F20"/>
          <w:spacing w:val="-5"/>
          <w:w w:val="105"/>
        </w:rPr>
        <w:t> </w:t>
      </w:r>
      <w:r>
        <w:rPr>
          <w:color w:val="231F20"/>
          <w:w w:val="105"/>
        </w:rPr>
        <w:t>caracteriza</w:t>
      </w:r>
      <w:r>
        <w:rPr>
          <w:color w:val="231F20"/>
          <w:spacing w:val="-5"/>
          <w:w w:val="105"/>
        </w:rPr>
        <w:t> </w:t>
      </w:r>
      <w:r>
        <w:rPr>
          <w:color w:val="231F20"/>
          <w:w w:val="105"/>
        </w:rPr>
        <w:t>por</w:t>
      </w:r>
      <w:r>
        <w:rPr>
          <w:color w:val="231F20"/>
          <w:spacing w:val="-5"/>
          <w:w w:val="105"/>
        </w:rPr>
        <w:t> </w:t>
      </w:r>
      <w:r>
        <w:rPr>
          <w:color w:val="231F20"/>
          <w:w w:val="105"/>
        </w:rPr>
        <w:t>su</w:t>
      </w:r>
      <w:r>
        <w:rPr>
          <w:color w:val="231F20"/>
          <w:spacing w:val="-5"/>
          <w:w w:val="105"/>
        </w:rPr>
        <w:t> </w:t>
      </w:r>
      <w:r>
        <w:rPr>
          <w:color w:val="231F20"/>
          <w:w w:val="105"/>
        </w:rPr>
        <w:t>(Schein, 1982): adaptabilidad (habilidad para resolver problemas y reaccionar con</w:t>
      </w:r>
      <w:r>
        <w:rPr>
          <w:color w:val="231F20"/>
          <w:spacing w:val="-10"/>
          <w:w w:val="105"/>
        </w:rPr>
        <w:t> </w:t>
      </w:r>
      <w:r>
        <w:rPr>
          <w:color w:val="231F20"/>
          <w:w w:val="105"/>
        </w:rPr>
        <w:t>flexibilidad</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exigencias</w:t>
      </w:r>
      <w:r>
        <w:rPr>
          <w:color w:val="231F20"/>
          <w:spacing w:val="-10"/>
          <w:w w:val="105"/>
        </w:rPr>
        <w:t> </w:t>
      </w:r>
      <w:r>
        <w:rPr>
          <w:color w:val="231F20"/>
          <w:w w:val="105"/>
        </w:rPr>
        <w:t>del</w:t>
      </w:r>
      <w:r>
        <w:rPr>
          <w:color w:val="231F20"/>
          <w:spacing w:val="-10"/>
          <w:w w:val="105"/>
        </w:rPr>
        <w:t> </w:t>
      </w:r>
      <w:r>
        <w:rPr>
          <w:color w:val="231F20"/>
          <w:w w:val="105"/>
        </w:rPr>
        <w:t>ambiente);</w:t>
      </w:r>
      <w:r>
        <w:rPr>
          <w:color w:val="231F20"/>
          <w:spacing w:val="-10"/>
          <w:w w:val="105"/>
        </w:rPr>
        <w:t> </w:t>
      </w:r>
      <w:r>
        <w:rPr>
          <w:color w:val="231F20"/>
          <w:w w:val="105"/>
        </w:rPr>
        <w:t>sentido</w:t>
      </w:r>
      <w:r>
        <w:rPr>
          <w:color w:val="231F20"/>
          <w:spacing w:val="-10"/>
          <w:w w:val="105"/>
        </w:rPr>
        <w:t> </w:t>
      </w:r>
      <w:r>
        <w:rPr>
          <w:color w:val="231F20"/>
          <w:w w:val="105"/>
        </w:rPr>
        <w:t>de</w:t>
      </w:r>
      <w:r>
        <w:rPr>
          <w:color w:val="231F20"/>
          <w:spacing w:val="-10"/>
          <w:w w:val="105"/>
        </w:rPr>
        <w:t> </w:t>
      </w:r>
      <w:r>
        <w:rPr>
          <w:color w:val="231F20"/>
          <w:w w:val="105"/>
        </w:rPr>
        <w:t>identidad</w:t>
      </w:r>
      <w:r>
        <w:rPr>
          <w:color w:val="231F20"/>
          <w:spacing w:val="-10"/>
          <w:w w:val="105"/>
        </w:rPr>
        <w:t> </w:t>
      </w:r>
      <w:r>
        <w:rPr>
          <w:color w:val="231F20"/>
          <w:w w:val="105"/>
        </w:rPr>
        <w:t>(co- nocimiento</w:t>
      </w:r>
      <w:r>
        <w:rPr>
          <w:color w:val="231F20"/>
          <w:spacing w:val="-9"/>
          <w:w w:val="105"/>
        </w:rPr>
        <w:t> </w:t>
      </w:r>
      <w:r>
        <w:rPr>
          <w:color w:val="231F20"/>
          <w:w w:val="105"/>
        </w:rPr>
        <w:t>y</w:t>
      </w:r>
      <w:r>
        <w:rPr>
          <w:color w:val="231F20"/>
          <w:spacing w:val="-9"/>
          <w:w w:val="105"/>
        </w:rPr>
        <w:t> </w:t>
      </w:r>
      <w:r>
        <w:rPr>
          <w:color w:val="231F20"/>
          <w:w w:val="105"/>
        </w:rPr>
        <w:t>visión</w:t>
      </w:r>
      <w:r>
        <w:rPr>
          <w:color w:val="231F20"/>
          <w:spacing w:val="-9"/>
          <w:w w:val="105"/>
        </w:rPr>
        <w:t> </w:t>
      </w:r>
      <w:r>
        <w:rPr>
          <w:color w:val="231F20"/>
          <w:w w:val="105"/>
        </w:rPr>
        <w:t>para</w:t>
      </w:r>
      <w:r>
        <w:rPr>
          <w:color w:val="231F20"/>
          <w:spacing w:val="-9"/>
          <w:w w:val="105"/>
        </w:rPr>
        <w:t> </w:t>
      </w:r>
      <w:r>
        <w:rPr>
          <w:color w:val="231F20"/>
          <w:w w:val="105"/>
        </w:rPr>
        <w:t>determinar</w:t>
      </w:r>
      <w:r>
        <w:rPr>
          <w:color w:val="231F20"/>
          <w:spacing w:val="-9"/>
          <w:w w:val="105"/>
        </w:rPr>
        <w:t> </w:t>
      </w:r>
      <w:r>
        <w:rPr>
          <w:color w:val="231F20"/>
          <w:w w:val="105"/>
        </w:rPr>
        <w:t>qué</w:t>
      </w:r>
      <w:r>
        <w:rPr>
          <w:color w:val="231F20"/>
          <w:spacing w:val="-9"/>
          <w:w w:val="105"/>
        </w:rPr>
        <w:t> </w:t>
      </w:r>
      <w:r>
        <w:rPr>
          <w:color w:val="231F20"/>
          <w:w w:val="105"/>
        </w:rPr>
        <w:t>es,</w:t>
      </w:r>
      <w:r>
        <w:rPr>
          <w:color w:val="231F20"/>
          <w:spacing w:val="-15"/>
          <w:w w:val="105"/>
        </w:rPr>
        <w:t> </w:t>
      </w:r>
      <w:r>
        <w:rPr>
          <w:color w:val="231F20"/>
          <w:w w:val="105"/>
        </w:rPr>
        <w:t>qué</w:t>
      </w:r>
      <w:r>
        <w:rPr>
          <w:color w:val="231F20"/>
          <w:spacing w:val="-9"/>
          <w:w w:val="105"/>
        </w:rPr>
        <w:t> </w:t>
      </w:r>
      <w:r>
        <w:rPr>
          <w:color w:val="231F20"/>
          <w:w w:val="105"/>
        </w:rPr>
        <w:t>fines</w:t>
      </w:r>
      <w:r>
        <w:rPr>
          <w:color w:val="231F20"/>
          <w:spacing w:val="-9"/>
          <w:w w:val="105"/>
        </w:rPr>
        <w:t> </w:t>
      </w:r>
      <w:r>
        <w:rPr>
          <w:color w:val="231F20"/>
          <w:w w:val="105"/>
        </w:rPr>
        <w:t>persigue</w:t>
      </w:r>
      <w:r>
        <w:rPr>
          <w:color w:val="231F20"/>
          <w:spacing w:val="-9"/>
          <w:w w:val="105"/>
        </w:rPr>
        <w:t> </w:t>
      </w:r>
      <w:r>
        <w:rPr>
          <w:color w:val="231F20"/>
          <w:w w:val="105"/>
        </w:rPr>
        <w:t>y</w:t>
      </w:r>
      <w:r>
        <w:rPr>
          <w:color w:val="231F20"/>
          <w:spacing w:val="-9"/>
          <w:w w:val="105"/>
        </w:rPr>
        <w:t> </w:t>
      </w:r>
      <w:r>
        <w:rPr>
          <w:color w:val="231F20"/>
          <w:w w:val="105"/>
        </w:rPr>
        <w:t>qué</w:t>
      </w:r>
      <w:r>
        <w:rPr>
          <w:color w:val="231F20"/>
          <w:spacing w:val="-9"/>
          <w:w w:val="105"/>
        </w:rPr>
        <w:t> </w:t>
      </w:r>
      <w:r>
        <w:rPr>
          <w:color w:val="231F20"/>
          <w:w w:val="105"/>
        </w:rPr>
        <w:t>es lo</w:t>
      </w:r>
      <w:r>
        <w:rPr>
          <w:color w:val="231F20"/>
          <w:spacing w:val="-14"/>
          <w:w w:val="105"/>
        </w:rPr>
        <w:t> </w:t>
      </w:r>
      <w:r>
        <w:rPr>
          <w:color w:val="231F20"/>
          <w:w w:val="105"/>
        </w:rPr>
        <w:t>que</w:t>
      </w:r>
      <w:r>
        <w:rPr>
          <w:color w:val="231F20"/>
          <w:spacing w:val="-14"/>
          <w:w w:val="105"/>
        </w:rPr>
        <w:t> </w:t>
      </w:r>
      <w:r>
        <w:rPr>
          <w:color w:val="231F20"/>
          <w:w w:val="105"/>
        </w:rPr>
        <w:t>hace);</w:t>
      </w:r>
      <w:r>
        <w:rPr>
          <w:color w:val="231F20"/>
          <w:spacing w:val="-14"/>
          <w:w w:val="105"/>
        </w:rPr>
        <w:t> </w:t>
      </w:r>
      <w:r>
        <w:rPr>
          <w:color w:val="231F20"/>
          <w:w w:val="105"/>
        </w:rPr>
        <w:t>capacidad</w:t>
      </w:r>
      <w:r>
        <w:rPr>
          <w:color w:val="231F20"/>
          <w:spacing w:val="-14"/>
          <w:w w:val="105"/>
        </w:rPr>
        <w:t> </w:t>
      </w:r>
      <w:r>
        <w:rPr>
          <w:color w:val="231F20"/>
          <w:w w:val="105"/>
        </w:rPr>
        <w:t>para</w:t>
      </w:r>
      <w:r>
        <w:rPr>
          <w:color w:val="231F20"/>
          <w:spacing w:val="-14"/>
          <w:w w:val="105"/>
        </w:rPr>
        <w:t> </w:t>
      </w:r>
      <w:r>
        <w:rPr>
          <w:color w:val="231F20"/>
          <w:w w:val="105"/>
        </w:rPr>
        <w:t>ver</w:t>
      </w:r>
      <w:r>
        <w:rPr>
          <w:color w:val="231F20"/>
          <w:spacing w:val="-14"/>
          <w:w w:val="105"/>
        </w:rPr>
        <w:t> </w:t>
      </w:r>
      <w:r>
        <w:rPr>
          <w:color w:val="231F20"/>
          <w:w w:val="105"/>
        </w:rPr>
        <w:t>la</w:t>
      </w:r>
      <w:r>
        <w:rPr>
          <w:color w:val="231F20"/>
          <w:spacing w:val="-14"/>
          <w:w w:val="105"/>
        </w:rPr>
        <w:t> </w:t>
      </w:r>
      <w:r>
        <w:rPr>
          <w:color w:val="231F20"/>
          <w:w w:val="105"/>
        </w:rPr>
        <w:t>realidad</w:t>
      </w:r>
      <w:r>
        <w:rPr>
          <w:color w:val="231F20"/>
          <w:spacing w:val="-14"/>
          <w:w w:val="105"/>
        </w:rPr>
        <w:t> </w:t>
      </w:r>
      <w:r>
        <w:rPr>
          <w:color w:val="231F20"/>
          <w:w w:val="105"/>
        </w:rPr>
        <w:t>(habilidad</w:t>
      </w:r>
      <w:r>
        <w:rPr>
          <w:color w:val="231F20"/>
          <w:spacing w:val="-14"/>
          <w:w w:val="105"/>
        </w:rPr>
        <w:t> </w:t>
      </w:r>
      <w:r>
        <w:rPr>
          <w:color w:val="231F20"/>
          <w:w w:val="105"/>
        </w:rPr>
        <w:t>para</w:t>
      </w:r>
      <w:r>
        <w:rPr>
          <w:color w:val="231F20"/>
          <w:spacing w:val="-14"/>
          <w:w w:val="105"/>
        </w:rPr>
        <w:t> </w:t>
      </w:r>
      <w:r>
        <w:rPr>
          <w:color w:val="231F20"/>
          <w:w w:val="105"/>
        </w:rPr>
        <w:t>interpretar</w:t>
      </w:r>
      <w:r>
        <w:rPr>
          <w:color w:val="231F20"/>
          <w:spacing w:val="-14"/>
          <w:w w:val="105"/>
        </w:rPr>
        <w:t> </w:t>
      </w:r>
      <w:r>
        <w:rPr>
          <w:color w:val="231F20"/>
          <w:w w:val="105"/>
        </w:rPr>
        <w:t>e incorporar las propiedades del medio al funcionamiento de la</w:t>
      </w:r>
      <w:r>
        <w:rPr>
          <w:color w:val="231F20"/>
          <w:spacing w:val="-23"/>
          <w:w w:val="105"/>
        </w:rPr>
        <w:t> </w:t>
      </w:r>
      <w:r>
        <w:rPr>
          <w:color w:val="231F20"/>
          <w:w w:val="105"/>
        </w:rPr>
        <w:t>organiza- ción);</w:t>
      </w:r>
      <w:r>
        <w:rPr>
          <w:color w:val="231F20"/>
          <w:spacing w:val="-17"/>
          <w:w w:val="105"/>
        </w:rPr>
        <w:t> </w:t>
      </w:r>
      <w:r>
        <w:rPr>
          <w:color w:val="231F20"/>
          <w:w w:val="105"/>
        </w:rPr>
        <w:t>e</w:t>
      </w:r>
      <w:r>
        <w:rPr>
          <w:color w:val="231F20"/>
          <w:spacing w:val="-17"/>
          <w:w w:val="105"/>
        </w:rPr>
        <w:t> </w:t>
      </w:r>
      <w:r>
        <w:rPr>
          <w:color w:val="231F20"/>
          <w:w w:val="105"/>
        </w:rPr>
        <w:t>integración</w:t>
      </w:r>
      <w:r>
        <w:rPr>
          <w:color w:val="231F20"/>
          <w:spacing w:val="-17"/>
          <w:w w:val="105"/>
        </w:rPr>
        <w:t> </w:t>
      </w:r>
      <w:r>
        <w:rPr>
          <w:color w:val="231F20"/>
          <w:w w:val="105"/>
        </w:rPr>
        <w:t>entre</w:t>
      </w:r>
      <w:r>
        <w:rPr>
          <w:color w:val="231F20"/>
          <w:spacing w:val="-17"/>
          <w:w w:val="105"/>
        </w:rPr>
        <w:t> </w:t>
      </w:r>
      <w:r>
        <w:rPr>
          <w:color w:val="231F20"/>
          <w:w w:val="105"/>
        </w:rPr>
        <w:t>las</w:t>
      </w:r>
      <w:r>
        <w:rPr>
          <w:color w:val="231F20"/>
          <w:spacing w:val="-17"/>
          <w:w w:val="105"/>
        </w:rPr>
        <w:t> </w:t>
      </w:r>
      <w:r>
        <w:rPr>
          <w:color w:val="231F20"/>
          <w:w w:val="105"/>
        </w:rPr>
        <w:t>partes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organización.</w:t>
      </w:r>
    </w:p>
    <w:p>
      <w:pPr>
        <w:pStyle w:val="BodyText"/>
        <w:spacing w:line="259" w:lineRule="auto"/>
        <w:ind w:left="117" w:right="121" w:firstLine="567"/>
        <w:jc w:val="both"/>
      </w:pPr>
      <w:r>
        <w:rPr>
          <w:color w:val="231F20"/>
          <w:w w:val="105"/>
        </w:rPr>
        <w:t>Elkington</w:t>
      </w:r>
      <w:r>
        <w:rPr>
          <w:color w:val="231F20"/>
          <w:spacing w:val="-7"/>
          <w:w w:val="105"/>
        </w:rPr>
        <w:t> </w:t>
      </w:r>
      <w:r>
        <w:rPr>
          <w:color w:val="231F20"/>
          <w:w w:val="105"/>
        </w:rPr>
        <w:t>(1997)</w:t>
      </w:r>
      <w:r>
        <w:rPr>
          <w:color w:val="231F20"/>
          <w:spacing w:val="-7"/>
          <w:w w:val="105"/>
        </w:rPr>
        <w:t> </w:t>
      </w:r>
      <w:r>
        <w:rPr>
          <w:color w:val="231F20"/>
          <w:w w:val="105"/>
        </w:rPr>
        <w:t>propone</w:t>
      </w:r>
      <w:r>
        <w:rPr>
          <w:color w:val="231F20"/>
          <w:spacing w:val="-7"/>
          <w:w w:val="105"/>
        </w:rPr>
        <w:t> </w:t>
      </w:r>
      <w:r>
        <w:rPr>
          <w:color w:val="231F20"/>
          <w:w w:val="105"/>
        </w:rPr>
        <w:t>la</w:t>
      </w:r>
      <w:r>
        <w:rPr>
          <w:color w:val="231F20"/>
          <w:spacing w:val="-7"/>
          <w:w w:val="105"/>
        </w:rPr>
        <w:t> </w:t>
      </w:r>
      <w:r>
        <w:rPr>
          <w:color w:val="231F20"/>
          <w:w w:val="105"/>
        </w:rPr>
        <w:t>cuádruple</w:t>
      </w:r>
      <w:r>
        <w:rPr>
          <w:color w:val="231F20"/>
          <w:spacing w:val="-7"/>
          <w:w w:val="105"/>
        </w:rPr>
        <w:t> </w:t>
      </w:r>
      <w:r>
        <w:rPr>
          <w:color w:val="231F20"/>
          <w:w w:val="105"/>
        </w:rPr>
        <w:t>línea</w:t>
      </w:r>
      <w:r>
        <w:rPr>
          <w:color w:val="231F20"/>
          <w:spacing w:val="-7"/>
          <w:w w:val="105"/>
        </w:rPr>
        <w:t> </w:t>
      </w:r>
      <w:r>
        <w:rPr>
          <w:color w:val="231F20"/>
          <w:w w:val="105"/>
        </w:rPr>
        <w:t>base</w:t>
      </w:r>
      <w:r>
        <w:rPr>
          <w:color w:val="231F20"/>
          <w:spacing w:val="-7"/>
          <w:w w:val="105"/>
        </w:rPr>
        <w:t> </w:t>
      </w:r>
      <w:r>
        <w:rPr>
          <w:color w:val="231F20"/>
          <w:w w:val="105"/>
        </w:rPr>
        <w:t>para</w:t>
      </w:r>
      <w:r>
        <w:rPr>
          <w:color w:val="231F20"/>
          <w:spacing w:val="-7"/>
          <w:w w:val="105"/>
        </w:rPr>
        <w:t> </w:t>
      </w:r>
      <w:r>
        <w:rPr>
          <w:color w:val="231F20"/>
          <w:w w:val="105"/>
        </w:rPr>
        <w:t>estudiar</w:t>
      </w:r>
      <w:r>
        <w:rPr>
          <w:color w:val="231F20"/>
          <w:spacing w:val="-7"/>
          <w:w w:val="105"/>
        </w:rPr>
        <w:t> </w:t>
      </w:r>
      <w:r>
        <w:rPr>
          <w:color w:val="231F20"/>
          <w:w w:val="105"/>
        </w:rPr>
        <w:t>la sustentabilidad organizacional, incluyendo cuatro dimensiones: econó- mica</w:t>
      </w:r>
      <w:r>
        <w:rPr>
          <w:color w:val="231F20"/>
          <w:spacing w:val="-16"/>
          <w:w w:val="105"/>
        </w:rPr>
        <w:t> </w:t>
      </w:r>
      <w:r>
        <w:rPr>
          <w:color w:val="231F20"/>
          <w:w w:val="105"/>
        </w:rPr>
        <w:t>(beneficio),</w:t>
      </w:r>
      <w:r>
        <w:rPr>
          <w:color w:val="231F20"/>
          <w:spacing w:val="-20"/>
          <w:w w:val="105"/>
        </w:rPr>
        <w:t> </w:t>
      </w:r>
      <w:r>
        <w:rPr>
          <w:color w:val="231F20"/>
          <w:w w:val="105"/>
        </w:rPr>
        <w:t>social</w:t>
      </w:r>
      <w:r>
        <w:rPr>
          <w:color w:val="231F20"/>
          <w:spacing w:val="-16"/>
          <w:w w:val="105"/>
        </w:rPr>
        <w:t> </w:t>
      </w:r>
      <w:r>
        <w:rPr>
          <w:color w:val="231F20"/>
          <w:w w:val="105"/>
        </w:rPr>
        <w:t>(personas),</w:t>
      </w:r>
      <w:r>
        <w:rPr>
          <w:color w:val="231F20"/>
          <w:spacing w:val="-20"/>
          <w:w w:val="105"/>
        </w:rPr>
        <w:t> </w:t>
      </w:r>
      <w:r>
        <w:rPr>
          <w:color w:val="231F20"/>
          <w:w w:val="105"/>
        </w:rPr>
        <w:t>ambiental</w:t>
      </w:r>
      <w:r>
        <w:rPr>
          <w:color w:val="231F20"/>
          <w:spacing w:val="-16"/>
          <w:w w:val="105"/>
        </w:rPr>
        <w:t> </w:t>
      </w:r>
      <w:r>
        <w:rPr>
          <w:color w:val="231F20"/>
          <w:w w:val="105"/>
        </w:rPr>
        <w:t>(planeta)</w:t>
      </w:r>
      <w:r>
        <w:rPr>
          <w:color w:val="231F20"/>
          <w:spacing w:val="-16"/>
          <w:w w:val="105"/>
        </w:rPr>
        <w:t> </w:t>
      </w:r>
      <w:r>
        <w:rPr>
          <w:color w:val="231F20"/>
          <w:w w:val="105"/>
        </w:rPr>
        <w:t>y</w:t>
      </w:r>
      <w:r>
        <w:rPr>
          <w:color w:val="231F20"/>
          <w:spacing w:val="-16"/>
          <w:w w:val="105"/>
        </w:rPr>
        <w:t> </w:t>
      </w:r>
      <w:r>
        <w:rPr>
          <w:color w:val="231F20"/>
          <w:w w:val="105"/>
        </w:rPr>
        <w:t>organizativa</w:t>
      </w:r>
      <w:r>
        <w:rPr>
          <w:color w:val="231F20"/>
          <w:spacing w:val="-16"/>
          <w:w w:val="105"/>
        </w:rPr>
        <w:t> </w:t>
      </w:r>
      <w:r>
        <w:rPr>
          <w:color w:val="231F20"/>
          <w:w w:val="105"/>
        </w:rPr>
        <w:t>(o institucional).</w:t>
      </w:r>
      <w:r>
        <w:rPr>
          <w:color w:val="231F20"/>
          <w:spacing w:val="-31"/>
          <w:w w:val="105"/>
        </w:rPr>
        <w:t> </w:t>
      </w:r>
      <w:r>
        <w:rPr>
          <w:color w:val="231F20"/>
          <w:w w:val="105"/>
        </w:rPr>
        <w:t>Esta</w:t>
      </w:r>
      <w:r>
        <w:rPr>
          <w:color w:val="231F20"/>
          <w:spacing w:val="-27"/>
          <w:w w:val="105"/>
        </w:rPr>
        <w:t> </w:t>
      </w:r>
      <w:r>
        <w:rPr>
          <w:color w:val="231F20"/>
          <w:w w:val="105"/>
        </w:rPr>
        <w:t>última</w:t>
      </w:r>
      <w:r>
        <w:rPr>
          <w:color w:val="231F20"/>
          <w:spacing w:val="-27"/>
          <w:w w:val="105"/>
        </w:rPr>
        <w:t> </w:t>
      </w:r>
      <w:r>
        <w:rPr>
          <w:color w:val="231F20"/>
          <w:w w:val="105"/>
        </w:rPr>
        <w:t>como</w:t>
      </w:r>
      <w:r>
        <w:rPr>
          <w:color w:val="231F20"/>
          <w:spacing w:val="-27"/>
          <w:w w:val="105"/>
        </w:rPr>
        <w:t> </w:t>
      </w:r>
      <w:r>
        <w:rPr>
          <w:color w:val="231F20"/>
          <w:w w:val="105"/>
        </w:rPr>
        <w:t>la</w:t>
      </w:r>
      <w:r>
        <w:rPr>
          <w:color w:val="231F20"/>
          <w:spacing w:val="-27"/>
          <w:w w:val="105"/>
        </w:rPr>
        <w:t> </w:t>
      </w:r>
      <w:r>
        <w:rPr>
          <w:color w:val="231F20"/>
          <w:w w:val="105"/>
        </w:rPr>
        <w:t>variable</w:t>
      </w:r>
      <w:r>
        <w:rPr>
          <w:color w:val="231F20"/>
          <w:spacing w:val="-27"/>
          <w:w w:val="105"/>
        </w:rPr>
        <w:t> </w:t>
      </w:r>
      <w:r>
        <w:rPr>
          <w:color w:val="231F20"/>
          <w:w w:val="105"/>
        </w:rPr>
        <w:t>que</w:t>
      </w:r>
      <w:r>
        <w:rPr>
          <w:color w:val="231F20"/>
          <w:spacing w:val="-27"/>
          <w:w w:val="105"/>
        </w:rPr>
        <w:t> </w:t>
      </w:r>
      <w:r>
        <w:rPr>
          <w:color w:val="231F20"/>
          <w:w w:val="105"/>
        </w:rPr>
        <w:t>gestiona</w:t>
      </w:r>
      <w:r>
        <w:rPr>
          <w:color w:val="231F20"/>
          <w:spacing w:val="-27"/>
          <w:w w:val="105"/>
        </w:rPr>
        <w:t> </w:t>
      </w:r>
      <w:r>
        <w:rPr>
          <w:color w:val="231F20"/>
          <w:w w:val="105"/>
        </w:rPr>
        <w:t>las</w:t>
      </w:r>
      <w:r>
        <w:rPr>
          <w:color w:val="231F20"/>
          <w:spacing w:val="-27"/>
          <w:w w:val="105"/>
        </w:rPr>
        <w:t> </w:t>
      </w:r>
      <w:r>
        <w:rPr>
          <w:color w:val="231F20"/>
          <w:w w:val="105"/>
        </w:rPr>
        <w:t>acciones</w:t>
      </w:r>
      <w:r>
        <w:rPr>
          <w:color w:val="231F20"/>
          <w:spacing w:val="-27"/>
          <w:w w:val="105"/>
        </w:rPr>
        <w:t> </w:t>
      </w:r>
      <w:r>
        <w:rPr>
          <w:color w:val="231F20"/>
          <w:w w:val="105"/>
        </w:rPr>
        <w:t>sus- tentables. La sustentabilidad organizacional se logra siempre y</w:t>
      </w:r>
      <w:r>
        <w:rPr>
          <w:color w:val="231F20"/>
          <w:spacing w:val="-12"/>
          <w:w w:val="105"/>
        </w:rPr>
        <w:t> </w:t>
      </w:r>
      <w:r>
        <w:rPr>
          <w:color w:val="231F20"/>
          <w:w w:val="105"/>
        </w:rPr>
        <w:t>cuando se</w:t>
      </w:r>
      <w:r>
        <w:rPr>
          <w:color w:val="231F20"/>
          <w:spacing w:val="-19"/>
          <w:w w:val="105"/>
        </w:rPr>
        <w:t> </w:t>
      </w:r>
      <w:r>
        <w:rPr>
          <w:color w:val="231F20"/>
          <w:w w:val="105"/>
        </w:rPr>
        <w:t>preste</w:t>
      </w:r>
      <w:r>
        <w:rPr>
          <w:color w:val="231F20"/>
          <w:spacing w:val="-19"/>
          <w:w w:val="105"/>
        </w:rPr>
        <w:t> </w:t>
      </w:r>
      <w:r>
        <w:rPr>
          <w:color w:val="231F20"/>
          <w:w w:val="105"/>
        </w:rPr>
        <w:t>atención</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totalidad</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intersecciones;</w:t>
      </w:r>
      <w:r>
        <w:rPr>
          <w:color w:val="231F20"/>
          <w:spacing w:val="-19"/>
          <w:w w:val="105"/>
        </w:rPr>
        <w:t> </w:t>
      </w:r>
      <w:r>
        <w:rPr>
          <w:color w:val="231F20"/>
          <w:w w:val="105"/>
        </w:rPr>
        <w:t>si</w:t>
      </w:r>
      <w:r>
        <w:rPr>
          <w:color w:val="231F20"/>
          <w:spacing w:val="-19"/>
          <w:w w:val="105"/>
        </w:rPr>
        <w:t> </w:t>
      </w:r>
      <w:r>
        <w:rPr>
          <w:color w:val="231F20"/>
          <w:w w:val="105"/>
        </w:rPr>
        <w:t>alguna</w:t>
      </w:r>
      <w:r>
        <w:rPr>
          <w:color w:val="231F20"/>
          <w:spacing w:val="-19"/>
          <w:w w:val="105"/>
        </w:rPr>
        <w:t> </w:t>
      </w:r>
      <w:r>
        <w:rPr>
          <w:color w:val="231F20"/>
          <w:w w:val="105"/>
        </w:rPr>
        <w:t>de</w:t>
      </w:r>
      <w:r>
        <w:rPr>
          <w:color w:val="231F20"/>
          <w:spacing w:val="-19"/>
          <w:w w:val="105"/>
        </w:rPr>
        <w:t> </w:t>
      </w:r>
      <w:r>
        <w:rPr>
          <w:color w:val="231F20"/>
          <w:w w:val="105"/>
        </w:rPr>
        <w:t>éstas llegara</w:t>
      </w:r>
      <w:r>
        <w:rPr>
          <w:color w:val="231F20"/>
          <w:spacing w:val="-17"/>
          <w:w w:val="105"/>
        </w:rPr>
        <w:t> </w:t>
      </w:r>
      <w:r>
        <w:rPr>
          <w:color w:val="231F20"/>
          <w:w w:val="105"/>
        </w:rPr>
        <w:t>a</w:t>
      </w:r>
      <w:r>
        <w:rPr>
          <w:color w:val="231F20"/>
          <w:spacing w:val="-17"/>
          <w:w w:val="105"/>
        </w:rPr>
        <w:t> </w:t>
      </w:r>
      <w:r>
        <w:rPr>
          <w:color w:val="231F20"/>
          <w:w w:val="105"/>
        </w:rPr>
        <w:t>omitirse</w:t>
      </w:r>
      <w:r>
        <w:rPr>
          <w:color w:val="231F20"/>
          <w:spacing w:val="-17"/>
          <w:w w:val="105"/>
        </w:rPr>
        <w:t> </w:t>
      </w:r>
      <w:r>
        <w:rPr>
          <w:color w:val="231F20"/>
          <w:w w:val="105"/>
        </w:rPr>
        <w:t>se</w:t>
      </w:r>
      <w:r>
        <w:rPr>
          <w:color w:val="231F20"/>
          <w:spacing w:val="-17"/>
          <w:w w:val="105"/>
        </w:rPr>
        <w:t> </w:t>
      </w:r>
      <w:r>
        <w:rPr>
          <w:color w:val="231F20"/>
          <w:w w:val="105"/>
        </w:rPr>
        <w:t>tendría</w:t>
      </w:r>
      <w:r>
        <w:rPr>
          <w:color w:val="231F20"/>
          <w:spacing w:val="-17"/>
          <w:w w:val="105"/>
        </w:rPr>
        <w:t> </w:t>
      </w:r>
      <w:r>
        <w:rPr>
          <w:color w:val="231F20"/>
          <w:w w:val="105"/>
        </w:rPr>
        <w:t>una</w:t>
      </w:r>
      <w:r>
        <w:rPr>
          <w:color w:val="231F20"/>
          <w:spacing w:val="-17"/>
          <w:w w:val="105"/>
        </w:rPr>
        <w:t> </w:t>
      </w:r>
      <w:r>
        <w:rPr>
          <w:color w:val="231F20"/>
          <w:w w:val="105"/>
        </w:rPr>
        <w:t>organización</w:t>
      </w:r>
      <w:r>
        <w:rPr>
          <w:color w:val="231F20"/>
          <w:spacing w:val="-17"/>
          <w:w w:val="105"/>
        </w:rPr>
        <w:t> </w:t>
      </w:r>
      <w:r>
        <w:rPr>
          <w:color w:val="231F20"/>
          <w:w w:val="105"/>
        </w:rPr>
        <w:t>soportable</w:t>
      </w:r>
      <w:r>
        <w:rPr>
          <w:color w:val="231F20"/>
          <w:spacing w:val="-17"/>
          <w:w w:val="105"/>
        </w:rPr>
        <w:t> </w:t>
      </w:r>
      <w:r>
        <w:rPr>
          <w:color w:val="231F20"/>
          <w:w w:val="105"/>
        </w:rPr>
        <w:t>ecológicamen- te,</w:t>
      </w:r>
      <w:r>
        <w:rPr>
          <w:color w:val="231F20"/>
          <w:spacing w:val="-20"/>
          <w:w w:val="105"/>
        </w:rPr>
        <w:t> </w:t>
      </w:r>
      <w:r>
        <w:rPr>
          <w:color w:val="231F20"/>
          <w:w w:val="105"/>
        </w:rPr>
        <w:t>o</w:t>
      </w:r>
      <w:r>
        <w:rPr>
          <w:color w:val="231F20"/>
          <w:spacing w:val="-14"/>
          <w:w w:val="105"/>
        </w:rPr>
        <w:t> </w:t>
      </w:r>
      <w:r>
        <w:rPr>
          <w:color w:val="231F20"/>
          <w:w w:val="105"/>
        </w:rPr>
        <w:t>viable</w:t>
      </w:r>
      <w:r>
        <w:rPr>
          <w:color w:val="231F20"/>
          <w:spacing w:val="-14"/>
          <w:w w:val="105"/>
        </w:rPr>
        <w:t> </w:t>
      </w:r>
      <w:r>
        <w:rPr>
          <w:color w:val="231F20"/>
          <w:w w:val="105"/>
        </w:rPr>
        <w:t>de</w:t>
      </w:r>
      <w:r>
        <w:rPr>
          <w:color w:val="231F20"/>
          <w:spacing w:val="-14"/>
          <w:w w:val="105"/>
        </w:rPr>
        <w:t> </w:t>
      </w:r>
      <w:r>
        <w:rPr>
          <w:color w:val="231F20"/>
          <w:w w:val="105"/>
        </w:rPr>
        <w:t>llevarse</w:t>
      </w:r>
      <w:r>
        <w:rPr>
          <w:color w:val="231F20"/>
          <w:spacing w:val="-14"/>
          <w:w w:val="105"/>
        </w:rPr>
        <w:t> </w:t>
      </w:r>
      <w:r>
        <w:rPr>
          <w:color w:val="231F20"/>
          <w:w w:val="105"/>
        </w:rPr>
        <w:t>a</w:t>
      </w:r>
      <w:r>
        <w:rPr>
          <w:color w:val="231F20"/>
          <w:spacing w:val="-14"/>
          <w:w w:val="105"/>
        </w:rPr>
        <w:t> </w:t>
      </w:r>
      <w:r>
        <w:rPr>
          <w:color w:val="231F20"/>
          <w:w w:val="105"/>
        </w:rPr>
        <w:t>cabo</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capacidad</w:t>
      </w:r>
      <w:r>
        <w:rPr>
          <w:color w:val="231F20"/>
          <w:spacing w:val="-14"/>
          <w:w w:val="105"/>
        </w:rPr>
        <w:t> </w:t>
      </w:r>
      <w:r>
        <w:rPr>
          <w:color w:val="231F20"/>
          <w:w w:val="105"/>
        </w:rPr>
        <w:t>para</w:t>
      </w:r>
      <w:r>
        <w:rPr>
          <w:color w:val="231F20"/>
          <w:spacing w:val="-14"/>
          <w:w w:val="105"/>
        </w:rPr>
        <w:t> </w:t>
      </w:r>
      <w:r>
        <w:rPr>
          <w:color w:val="231F20"/>
          <w:w w:val="105"/>
        </w:rPr>
        <w:t>contribuir</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crea- ción</w:t>
      </w:r>
      <w:r>
        <w:rPr>
          <w:color w:val="231F20"/>
          <w:spacing w:val="-8"/>
          <w:w w:val="105"/>
        </w:rPr>
        <w:t> </w:t>
      </w:r>
      <w:r>
        <w:rPr>
          <w:color w:val="231F20"/>
          <w:w w:val="105"/>
        </w:rPr>
        <w:t>de</w:t>
      </w:r>
      <w:r>
        <w:rPr>
          <w:color w:val="231F20"/>
          <w:spacing w:val="-8"/>
          <w:w w:val="105"/>
        </w:rPr>
        <w:t> </w:t>
      </w:r>
      <w:r>
        <w:rPr>
          <w:color w:val="231F20"/>
          <w:w w:val="105"/>
        </w:rPr>
        <w:t>riqueza,</w:t>
      </w:r>
      <w:r>
        <w:rPr>
          <w:color w:val="231F20"/>
          <w:spacing w:val="-14"/>
          <w:w w:val="105"/>
        </w:rPr>
        <w:t> </w:t>
      </w:r>
      <w:r>
        <w:rPr>
          <w:color w:val="231F20"/>
          <w:w w:val="105"/>
        </w:rPr>
        <w:t>o</w:t>
      </w:r>
      <w:r>
        <w:rPr>
          <w:color w:val="231F20"/>
          <w:spacing w:val="-8"/>
          <w:w w:val="105"/>
        </w:rPr>
        <w:t> </w:t>
      </w:r>
      <w:r>
        <w:rPr>
          <w:color w:val="231F20"/>
          <w:w w:val="105"/>
        </w:rPr>
        <w:t>equitativa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distribución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beneficios</w:t>
      </w:r>
      <w:r>
        <w:rPr>
          <w:color w:val="231F20"/>
          <w:spacing w:val="-8"/>
          <w:w w:val="105"/>
        </w:rPr>
        <w:t> </w:t>
      </w:r>
      <w:r>
        <w:rPr>
          <w:color w:val="231F20"/>
          <w:w w:val="105"/>
        </w:rPr>
        <w:t>para</w:t>
      </w:r>
      <w:r>
        <w:rPr>
          <w:color w:val="231F20"/>
          <w:spacing w:val="-8"/>
          <w:w w:val="105"/>
        </w:rPr>
        <w:t> </w:t>
      </w:r>
      <w:r>
        <w:rPr>
          <w:color w:val="231F20"/>
          <w:w w:val="105"/>
        </w:rPr>
        <w:t>las comunidades</w:t>
      </w:r>
      <w:r>
        <w:rPr>
          <w:color w:val="231F20"/>
          <w:spacing w:val="-37"/>
          <w:w w:val="105"/>
        </w:rPr>
        <w:t> </w:t>
      </w:r>
      <w:r>
        <w:rPr>
          <w:color w:val="231F20"/>
          <w:w w:val="105"/>
        </w:rPr>
        <w:t>locales</w:t>
      </w:r>
      <w:r>
        <w:rPr>
          <w:color w:val="231F20"/>
          <w:spacing w:val="-37"/>
          <w:w w:val="105"/>
        </w:rPr>
        <w:t> </w:t>
      </w:r>
      <w:r>
        <w:rPr>
          <w:color w:val="231F20"/>
          <w:w w:val="105"/>
        </w:rPr>
        <w:t>(Guzmán,</w:t>
      </w:r>
      <w:r>
        <w:rPr>
          <w:color w:val="231F20"/>
          <w:spacing w:val="-40"/>
          <w:w w:val="105"/>
        </w:rPr>
        <w:t> </w:t>
      </w:r>
      <w:r>
        <w:rPr>
          <w:color w:val="231F20"/>
          <w:w w:val="105"/>
        </w:rPr>
        <w:t>San</w:t>
      </w:r>
      <w:r>
        <w:rPr>
          <w:color w:val="231F20"/>
          <w:spacing w:val="-37"/>
          <w:w w:val="105"/>
        </w:rPr>
        <w:t> </w:t>
      </w:r>
      <w:r>
        <w:rPr>
          <w:color w:val="231F20"/>
          <w:w w:val="105"/>
        </w:rPr>
        <w:t>Martín</w:t>
      </w:r>
      <w:r>
        <w:rPr>
          <w:color w:val="231F20"/>
          <w:spacing w:val="-37"/>
          <w:w w:val="105"/>
        </w:rPr>
        <w:t> </w:t>
      </w:r>
      <w:r>
        <w:rPr>
          <w:color w:val="231F20"/>
          <w:w w:val="105"/>
        </w:rPr>
        <w:t>y</w:t>
      </w:r>
      <w:r>
        <w:rPr>
          <w:color w:val="231F20"/>
          <w:spacing w:val="-37"/>
          <w:w w:val="105"/>
        </w:rPr>
        <w:t> </w:t>
      </w:r>
      <w:r>
        <w:rPr>
          <w:color w:val="231F20"/>
          <w:w w:val="105"/>
        </w:rPr>
        <w:t>Barber,</w:t>
      </w:r>
      <w:r>
        <w:rPr>
          <w:color w:val="231F20"/>
          <w:spacing w:val="-40"/>
          <w:w w:val="105"/>
        </w:rPr>
        <w:t> </w:t>
      </w:r>
      <w:r>
        <w:rPr>
          <w:color w:val="231F20"/>
          <w:w w:val="105"/>
        </w:rPr>
        <w:t>2010).</w:t>
      </w:r>
    </w:p>
    <w:p>
      <w:pPr>
        <w:pStyle w:val="BodyText"/>
        <w:spacing w:line="259" w:lineRule="auto"/>
        <w:ind w:left="117" w:right="121" w:firstLine="567"/>
        <w:jc w:val="both"/>
      </w:pPr>
      <w:r>
        <w:rPr>
          <w:color w:val="231F20"/>
          <w:w w:val="105"/>
        </w:rPr>
        <w:t>Para enriquecer lo anterior, se recurre a identificar el alcance de la economía ecológica y la ecología organizacional con la finalidad de enmarcar el comportamiento sustentable de las organizaciones, como perspectiva que conlleva la reducción de dependencia de los recursos del ambiente, y al mismo tiempo, mayor poder y control sobre éstos.</w:t>
      </w:r>
    </w:p>
    <w:p>
      <w:pPr>
        <w:pStyle w:val="BodyText"/>
        <w:spacing w:line="259" w:lineRule="auto"/>
        <w:ind w:left="117" w:right="121" w:firstLine="567"/>
        <w:jc w:val="both"/>
      </w:pPr>
      <w:r>
        <w:rPr>
          <w:color w:val="231F20"/>
          <w:w w:val="105"/>
        </w:rPr>
        <w:t>La</w:t>
      </w:r>
      <w:r>
        <w:rPr>
          <w:color w:val="231F20"/>
          <w:spacing w:val="-8"/>
          <w:w w:val="105"/>
        </w:rPr>
        <w:t> </w:t>
      </w:r>
      <w:r>
        <w:rPr>
          <w:color w:val="231F20"/>
          <w:w w:val="105"/>
        </w:rPr>
        <w:t>economía</w:t>
      </w:r>
      <w:r>
        <w:rPr>
          <w:color w:val="231F20"/>
          <w:spacing w:val="-8"/>
          <w:w w:val="105"/>
        </w:rPr>
        <w:t> </w:t>
      </w:r>
      <w:r>
        <w:rPr>
          <w:color w:val="231F20"/>
          <w:w w:val="105"/>
        </w:rPr>
        <w:t>ecológica</w:t>
      </w:r>
      <w:r>
        <w:rPr>
          <w:color w:val="231F20"/>
          <w:spacing w:val="-8"/>
          <w:w w:val="105"/>
        </w:rPr>
        <w:t> </w:t>
      </w:r>
      <w:r>
        <w:rPr>
          <w:color w:val="231F20"/>
          <w:w w:val="105"/>
        </w:rPr>
        <w:t>estudia</w:t>
      </w:r>
      <w:r>
        <w:rPr>
          <w:color w:val="231F20"/>
          <w:spacing w:val="-8"/>
          <w:w w:val="105"/>
        </w:rPr>
        <w:t> </w:t>
      </w:r>
      <w:r>
        <w:rPr>
          <w:color w:val="231F20"/>
          <w:w w:val="105"/>
        </w:rPr>
        <w:t>el</w:t>
      </w:r>
      <w:r>
        <w:rPr>
          <w:color w:val="231F20"/>
          <w:spacing w:val="-8"/>
          <w:w w:val="105"/>
        </w:rPr>
        <w:t> </w:t>
      </w:r>
      <w:r>
        <w:rPr>
          <w:color w:val="231F20"/>
          <w:w w:val="105"/>
        </w:rPr>
        <w:t>desafío</w:t>
      </w:r>
      <w:r>
        <w:rPr>
          <w:color w:val="231F20"/>
          <w:spacing w:val="-8"/>
          <w:w w:val="105"/>
        </w:rPr>
        <w:t> </w:t>
      </w:r>
      <w:r>
        <w:rPr>
          <w:color w:val="231F20"/>
          <w:w w:val="105"/>
        </w:rPr>
        <w:t>para</w:t>
      </w:r>
      <w:r>
        <w:rPr>
          <w:color w:val="231F20"/>
          <w:spacing w:val="-8"/>
          <w:w w:val="105"/>
        </w:rPr>
        <w:t> </w:t>
      </w:r>
      <w:r>
        <w:rPr>
          <w:color w:val="231F20"/>
          <w:w w:val="105"/>
        </w:rPr>
        <w:t>las</w:t>
      </w:r>
      <w:r>
        <w:rPr>
          <w:color w:val="231F20"/>
          <w:spacing w:val="-8"/>
          <w:w w:val="105"/>
        </w:rPr>
        <w:t> </w:t>
      </w:r>
      <w:r>
        <w:rPr>
          <w:color w:val="231F20"/>
          <w:w w:val="105"/>
        </w:rPr>
        <w:t>estructuras</w:t>
      </w:r>
      <w:r>
        <w:rPr>
          <w:color w:val="231F20"/>
          <w:spacing w:val="-8"/>
          <w:w w:val="105"/>
        </w:rPr>
        <w:t> </w:t>
      </w:r>
      <w:r>
        <w:rPr>
          <w:color w:val="231F20"/>
          <w:w w:val="105"/>
        </w:rPr>
        <w:t>del sistema</w:t>
      </w:r>
      <w:r>
        <w:rPr>
          <w:color w:val="231F20"/>
          <w:spacing w:val="-9"/>
          <w:w w:val="105"/>
        </w:rPr>
        <w:t> </w:t>
      </w:r>
      <w:r>
        <w:rPr>
          <w:color w:val="231F20"/>
          <w:w w:val="105"/>
        </w:rPr>
        <w:t>económico</w:t>
      </w:r>
      <w:r>
        <w:rPr>
          <w:color w:val="231F20"/>
          <w:spacing w:val="-9"/>
          <w:w w:val="105"/>
        </w:rPr>
        <w:t> </w:t>
      </w:r>
      <w:r>
        <w:rPr>
          <w:color w:val="231F20"/>
          <w:w w:val="105"/>
        </w:rPr>
        <w:t>a</w:t>
      </w:r>
      <w:r>
        <w:rPr>
          <w:color w:val="231F20"/>
          <w:spacing w:val="-9"/>
          <w:w w:val="105"/>
        </w:rPr>
        <w:t> </w:t>
      </w:r>
      <w:r>
        <w:rPr>
          <w:color w:val="231F20"/>
          <w:w w:val="105"/>
        </w:rPr>
        <w:t>partir</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causas</w:t>
      </w:r>
      <w:r>
        <w:rPr>
          <w:color w:val="231F20"/>
          <w:spacing w:val="-9"/>
          <w:w w:val="105"/>
        </w:rPr>
        <w:t> </w:t>
      </w:r>
      <w:r>
        <w:rPr>
          <w:color w:val="231F20"/>
          <w:w w:val="105"/>
        </w:rPr>
        <w:t>del</w:t>
      </w:r>
      <w:r>
        <w:rPr>
          <w:color w:val="231F20"/>
          <w:spacing w:val="-9"/>
          <w:w w:val="105"/>
        </w:rPr>
        <w:t> </w:t>
      </w:r>
      <w:r>
        <w:rPr>
          <w:color w:val="231F20"/>
          <w:w w:val="105"/>
        </w:rPr>
        <w:t>daño</w:t>
      </w:r>
      <w:r>
        <w:rPr>
          <w:color w:val="231F20"/>
          <w:spacing w:val="-9"/>
          <w:w w:val="105"/>
        </w:rPr>
        <w:t> </w:t>
      </w:r>
      <w:r>
        <w:rPr>
          <w:color w:val="231F20"/>
          <w:w w:val="105"/>
        </w:rPr>
        <w:t>medioambiental radican en las actividades económicas: en la producción agrícola e in- dustrial, en el consumo de energía y en la descarga de residuos,</w:t>
      </w:r>
      <w:r>
        <w:rPr>
          <w:color w:val="231F20"/>
          <w:spacing w:val="17"/>
          <w:w w:val="105"/>
        </w:rPr>
        <w:t> </w:t>
      </w:r>
      <w:r>
        <w:rPr>
          <w:color w:val="231F20"/>
          <w:w w:val="105"/>
        </w:rPr>
        <w:t>entre</w:t>
      </w:r>
    </w:p>
    <w:p>
      <w:pPr>
        <w:spacing w:after="0" w:line="259" w:lineRule="auto"/>
        <w:jc w:val="both"/>
        <w:sectPr>
          <w:pgSz w:w="9640" w:h="13890"/>
          <w:pgMar w:top="0" w:bottom="280" w:left="1300" w:right="1180"/>
        </w:sectPr>
      </w:pPr>
    </w:p>
    <w:p>
      <w:pPr>
        <w:pStyle w:val="BodyText"/>
        <w:spacing w:line="259" w:lineRule="auto" w:before="64"/>
        <w:ind w:left="103" w:right="114"/>
        <w:jc w:val="both"/>
      </w:pPr>
      <w:r>
        <w:rPr>
          <w:color w:val="231F20"/>
          <w:w w:val="105"/>
        </w:rPr>
        <w:t>otros factores. La dimensión ecológica de la actividad económica tiene un</w:t>
      </w:r>
      <w:r>
        <w:rPr>
          <w:color w:val="231F20"/>
          <w:spacing w:val="-4"/>
          <w:w w:val="105"/>
        </w:rPr>
        <w:t> </w:t>
      </w:r>
      <w:r>
        <w:rPr>
          <w:color w:val="231F20"/>
          <w:w w:val="105"/>
        </w:rPr>
        <w:t>profundo</w:t>
      </w:r>
      <w:r>
        <w:rPr>
          <w:color w:val="231F20"/>
          <w:spacing w:val="-4"/>
          <w:w w:val="105"/>
        </w:rPr>
        <w:t> </w:t>
      </w:r>
      <w:r>
        <w:rPr>
          <w:color w:val="231F20"/>
          <w:w w:val="105"/>
        </w:rPr>
        <w:t>efecto</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economía,</w:t>
      </w:r>
      <w:r>
        <w:rPr>
          <w:color w:val="231F20"/>
          <w:spacing w:val="-10"/>
          <w:w w:val="105"/>
        </w:rPr>
        <w:t> </w:t>
      </w:r>
      <w:r>
        <w:rPr>
          <w:color w:val="231F20"/>
          <w:w w:val="105"/>
        </w:rPr>
        <w:t>ya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protección</w:t>
      </w:r>
      <w:r>
        <w:rPr>
          <w:color w:val="231F20"/>
          <w:spacing w:val="-4"/>
          <w:w w:val="105"/>
        </w:rPr>
        <w:t> </w:t>
      </w:r>
      <w:r>
        <w:rPr>
          <w:color w:val="231F20"/>
          <w:w w:val="105"/>
        </w:rPr>
        <w:t>del</w:t>
      </w:r>
      <w:r>
        <w:rPr>
          <w:color w:val="231F20"/>
          <w:spacing w:val="-4"/>
          <w:w w:val="105"/>
        </w:rPr>
        <w:t> </w:t>
      </w:r>
      <w:r>
        <w:rPr>
          <w:color w:val="231F20"/>
          <w:w w:val="105"/>
        </w:rPr>
        <w:t>medio</w:t>
      </w:r>
      <w:r>
        <w:rPr>
          <w:color w:val="231F20"/>
          <w:spacing w:val="-4"/>
          <w:w w:val="105"/>
        </w:rPr>
        <w:t> </w:t>
      </w:r>
      <w:r>
        <w:rPr>
          <w:color w:val="231F20"/>
          <w:w w:val="105"/>
        </w:rPr>
        <w:t>am- biente</w:t>
      </w:r>
      <w:r>
        <w:rPr>
          <w:color w:val="231F20"/>
          <w:spacing w:val="-7"/>
          <w:w w:val="105"/>
        </w:rPr>
        <w:t> </w:t>
      </w:r>
      <w:r>
        <w:rPr>
          <w:color w:val="231F20"/>
          <w:w w:val="105"/>
        </w:rPr>
        <w:t>no</w:t>
      </w:r>
      <w:r>
        <w:rPr>
          <w:color w:val="231F20"/>
          <w:spacing w:val="-7"/>
          <w:w w:val="105"/>
        </w:rPr>
        <w:t> </w:t>
      </w:r>
      <w:r>
        <w:rPr>
          <w:color w:val="231F20"/>
          <w:w w:val="105"/>
        </w:rPr>
        <w:t>puede</w:t>
      </w:r>
      <w:r>
        <w:rPr>
          <w:color w:val="231F20"/>
          <w:spacing w:val="-7"/>
          <w:w w:val="105"/>
        </w:rPr>
        <w:t> </w:t>
      </w:r>
      <w:r>
        <w:rPr>
          <w:color w:val="231F20"/>
          <w:w w:val="105"/>
        </w:rPr>
        <w:t>lograrse</w:t>
      </w:r>
      <w:r>
        <w:rPr>
          <w:color w:val="231F20"/>
          <w:spacing w:val="-7"/>
          <w:w w:val="105"/>
        </w:rPr>
        <w:t> </w:t>
      </w:r>
      <w:r>
        <w:rPr>
          <w:color w:val="231F20"/>
          <w:w w:val="105"/>
        </w:rPr>
        <w:t>a</w:t>
      </w:r>
      <w:r>
        <w:rPr>
          <w:color w:val="231F20"/>
          <w:spacing w:val="-7"/>
          <w:w w:val="105"/>
        </w:rPr>
        <w:t> </w:t>
      </w:r>
      <w:r>
        <w:rPr>
          <w:color w:val="231F20"/>
          <w:w w:val="105"/>
        </w:rPr>
        <w:t>menos</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política</w:t>
      </w:r>
      <w:r>
        <w:rPr>
          <w:color w:val="231F20"/>
          <w:spacing w:val="-7"/>
          <w:w w:val="105"/>
        </w:rPr>
        <w:t> </w:t>
      </w:r>
      <w:r>
        <w:rPr>
          <w:color w:val="231F20"/>
          <w:w w:val="105"/>
        </w:rPr>
        <w:t>económica</w:t>
      </w:r>
      <w:r>
        <w:rPr>
          <w:color w:val="231F20"/>
          <w:spacing w:val="-7"/>
          <w:w w:val="105"/>
        </w:rPr>
        <w:t> </w:t>
      </w:r>
      <w:r>
        <w:rPr>
          <w:color w:val="231F20"/>
          <w:w w:val="105"/>
        </w:rPr>
        <w:t>se</w:t>
      </w:r>
      <w:r>
        <w:rPr>
          <w:color w:val="231F20"/>
          <w:spacing w:val="-7"/>
          <w:w w:val="105"/>
        </w:rPr>
        <w:t> </w:t>
      </w:r>
      <w:r>
        <w:rPr>
          <w:color w:val="231F20"/>
          <w:w w:val="105"/>
        </w:rPr>
        <w:t>inte- gre</w:t>
      </w:r>
      <w:r>
        <w:rPr>
          <w:color w:val="231F20"/>
          <w:spacing w:val="-17"/>
          <w:w w:val="105"/>
        </w:rPr>
        <w:t> </w:t>
      </w:r>
      <w:r>
        <w:rPr>
          <w:color w:val="231F20"/>
          <w:w w:val="105"/>
        </w:rPr>
        <w:t>una</w:t>
      </w:r>
      <w:r>
        <w:rPr>
          <w:color w:val="231F20"/>
          <w:spacing w:val="-17"/>
          <w:w w:val="105"/>
        </w:rPr>
        <w:t> </w:t>
      </w:r>
      <w:r>
        <w:rPr>
          <w:color w:val="231F20"/>
          <w:w w:val="105"/>
        </w:rPr>
        <w:t>perspectiva</w:t>
      </w:r>
      <w:r>
        <w:rPr>
          <w:color w:val="231F20"/>
          <w:spacing w:val="-17"/>
          <w:w w:val="105"/>
        </w:rPr>
        <w:t> </w:t>
      </w:r>
      <w:r>
        <w:rPr>
          <w:color w:val="231F20"/>
          <w:w w:val="105"/>
        </w:rPr>
        <w:t>medioambiental</w:t>
      </w:r>
      <w:r>
        <w:rPr>
          <w:color w:val="231F20"/>
          <w:spacing w:val="-17"/>
          <w:w w:val="105"/>
        </w:rPr>
        <w:t> </w:t>
      </w:r>
      <w:r>
        <w:rPr>
          <w:color w:val="231F20"/>
          <w:w w:val="105"/>
        </w:rPr>
        <w:t>(Jacobs,</w:t>
      </w:r>
      <w:r>
        <w:rPr>
          <w:color w:val="231F20"/>
          <w:spacing w:val="-22"/>
          <w:w w:val="105"/>
        </w:rPr>
        <w:t> </w:t>
      </w:r>
      <w:r>
        <w:rPr>
          <w:color w:val="231F20"/>
          <w:w w:val="105"/>
        </w:rPr>
        <w:t>1997).</w:t>
      </w:r>
      <w:r>
        <w:rPr>
          <w:color w:val="231F20"/>
          <w:spacing w:val="-22"/>
          <w:w w:val="105"/>
        </w:rPr>
        <w:t> </w:t>
      </w:r>
      <w:r>
        <w:rPr>
          <w:color w:val="231F20"/>
          <w:w w:val="105"/>
        </w:rPr>
        <w:t>Muestra</w:t>
      </w:r>
      <w:r>
        <w:rPr>
          <w:color w:val="231F20"/>
          <w:spacing w:val="-17"/>
          <w:w w:val="105"/>
        </w:rPr>
        <w:t> </w:t>
      </w:r>
      <w:r>
        <w:rPr>
          <w:color w:val="231F20"/>
          <w:w w:val="105"/>
        </w:rPr>
        <w:t>de</w:t>
      </w:r>
      <w:r>
        <w:rPr>
          <w:color w:val="231F20"/>
          <w:spacing w:val="-17"/>
          <w:w w:val="105"/>
        </w:rPr>
        <w:t> </w:t>
      </w:r>
      <w:r>
        <w:rPr>
          <w:color w:val="231F20"/>
          <w:w w:val="105"/>
        </w:rPr>
        <w:t>esto</w:t>
      </w:r>
      <w:r>
        <w:rPr>
          <w:color w:val="231F20"/>
          <w:spacing w:val="-17"/>
          <w:w w:val="105"/>
        </w:rPr>
        <w:t> </w:t>
      </w:r>
      <w:r>
        <w:rPr>
          <w:color w:val="231F20"/>
          <w:w w:val="105"/>
        </w:rPr>
        <w:t>es que</w:t>
      </w:r>
      <w:r>
        <w:rPr>
          <w:color w:val="231F20"/>
          <w:spacing w:val="-23"/>
          <w:w w:val="105"/>
        </w:rPr>
        <w:t> </w:t>
      </w:r>
      <w:r>
        <w:rPr>
          <w:color w:val="231F20"/>
          <w:w w:val="105"/>
        </w:rPr>
        <w:t>en</w:t>
      </w:r>
      <w:r>
        <w:rPr>
          <w:color w:val="231F20"/>
          <w:spacing w:val="-23"/>
          <w:w w:val="105"/>
        </w:rPr>
        <w:t> </w:t>
      </w:r>
      <w:r>
        <w:rPr>
          <w:color w:val="231F20"/>
          <w:w w:val="105"/>
        </w:rPr>
        <w:t>2015</w:t>
      </w:r>
      <w:r>
        <w:rPr>
          <w:color w:val="231F20"/>
          <w:spacing w:val="-23"/>
          <w:w w:val="105"/>
        </w:rPr>
        <w:t> </w:t>
      </w:r>
      <w:r>
        <w:rPr>
          <w:color w:val="231F20"/>
          <w:w w:val="105"/>
        </w:rPr>
        <w:t>se</w:t>
      </w:r>
      <w:r>
        <w:rPr>
          <w:color w:val="231F20"/>
          <w:spacing w:val="-23"/>
          <w:w w:val="105"/>
        </w:rPr>
        <w:t> </w:t>
      </w:r>
      <w:r>
        <w:rPr>
          <w:color w:val="231F20"/>
          <w:w w:val="105"/>
        </w:rPr>
        <w:t>signa</w:t>
      </w:r>
      <w:r>
        <w:rPr>
          <w:color w:val="231F20"/>
          <w:spacing w:val="-23"/>
          <w:w w:val="105"/>
        </w:rPr>
        <w:t> </w:t>
      </w:r>
      <w:r>
        <w:rPr>
          <w:color w:val="231F20"/>
          <w:w w:val="105"/>
        </w:rPr>
        <w:t>en</w:t>
      </w:r>
      <w:r>
        <w:rPr>
          <w:color w:val="231F20"/>
          <w:spacing w:val="-23"/>
          <w:w w:val="105"/>
        </w:rPr>
        <w:t> </w:t>
      </w:r>
      <w:r>
        <w:rPr>
          <w:color w:val="231F20"/>
          <w:spacing w:val="-3"/>
          <w:w w:val="105"/>
        </w:rPr>
        <w:t>Paris</w:t>
      </w:r>
      <w:r>
        <w:rPr>
          <w:color w:val="231F20"/>
          <w:spacing w:val="-23"/>
          <w:w w:val="105"/>
        </w:rPr>
        <w:t> </w:t>
      </w:r>
      <w:r>
        <w:rPr>
          <w:color w:val="231F20"/>
          <w:w w:val="105"/>
        </w:rPr>
        <w:t>el</w:t>
      </w:r>
      <w:r>
        <w:rPr>
          <w:color w:val="231F20"/>
          <w:spacing w:val="-27"/>
          <w:w w:val="105"/>
        </w:rPr>
        <w:t> </w:t>
      </w:r>
      <w:r>
        <w:rPr>
          <w:color w:val="231F20"/>
          <w:w w:val="105"/>
        </w:rPr>
        <w:t>Acuerdo</w:t>
      </w:r>
      <w:r>
        <w:rPr>
          <w:color w:val="231F20"/>
          <w:spacing w:val="-23"/>
          <w:w w:val="105"/>
        </w:rPr>
        <w:t> </w:t>
      </w:r>
      <w:r>
        <w:rPr>
          <w:color w:val="231F20"/>
          <w:w w:val="105"/>
        </w:rPr>
        <w:t>Mundial</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Clima</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par- ticipación</w:t>
      </w:r>
      <w:r>
        <w:rPr>
          <w:color w:val="231F20"/>
          <w:spacing w:val="-24"/>
          <w:w w:val="105"/>
        </w:rPr>
        <w:t> </w:t>
      </w:r>
      <w:r>
        <w:rPr>
          <w:color w:val="231F20"/>
          <w:w w:val="105"/>
        </w:rPr>
        <w:t>de</w:t>
      </w:r>
      <w:r>
        <w:rPr>
          <w:color w:val="231F20"/>
          <w:spacing w:val="-24"/>
          <w:w w:val="105"/>
        </w:rPr>
        <w:t> </w:t>
      </w:r>
      <w:r>
        <w:rPr>
          <w:color w:val="231F20"/>
          <w:w w:val="105"/>
        </w:rPr>
        <w:t>cerca</w:t>
      </w:r>
      <w:r>
        <w:rPr>
          <w:color w:val="231F20"/>
          <w:spacing w:val="-24"/>
          <w:w w:val="105"/>
        </w:rPr>
        <w:t> </w:t>
      </w:r>
      <w:r>
        <w:rPr>
          <w:color w:val="231F20"/>
          <w:w w:val="105"/>
        </w:rPr>
        <w:t>de</w:t>
      </w:r>
      <w:r>
        <w:rPr>
          <w:color w:val="231F20"/>
          <w:spacing w:val="-24"/>
          <w:w w:val="105"/>
        </w:rPr>
        <w:t> </w:t>
      </w:r>
      <w:r>
        <w:rPr>
          <w:color w:val="231F20"/>
          <w:w w:val="105"/>
        </w:rPr>
        <w:t>200</w:t>
      </w:r>
      <w:r>
        <w:rPr>
          <w:color w:val="231F20"/>
          <w:spacing w:val="-24"/>
          <w:w w:val="105"/>
        </w:rPr>
        <w:t> </w:t>
      </w:r>
      <w:r>
        <w:rPr>
          <w:color w:val="231F20"/>
          <w:w w:val="105"/>
        </w:rPr>
        <w:t>países,</w:t>
      </w:r>
      <w:r>
        <w:rPr>
          <w:color w:val="231F20"/>
          <w:spacing w:val="-29"/>
          <w:w w:val="105"/>
        </w:rPr>
        <w:t> </w:t>
      </w:r>
      <w:r>
        <w:rPr>
          <w:color w:val="231F20"/>
          <w:w w:val="105"/>
        </w:rPr>
        <w:t>el</w:t>
      </w:r>
      <w:r>
        <w:rPr>
          <w:color w:val="231F20"/>
          <w:spacing w:val="-24"/>
          <w:w w:val="105"/>
        </w:rPr>
        <w:t> </w:t>
      </w:r>
      <w:r>
        <w:rPr>
          <w:color w:val="231F20"/>
          <w:w w:val="105"/>
        </w:rPr>
        <w:t>cual</w:t>
      </w:r>
      <w:r>
        <w:rPr>
          <w:color w:val="231F20"/>
          <w:spacing w:val="-24"/>
          <w:w w:val="105"/>
        </w:rPr>
        <w:t> </w:t>
      </w:r>
      <w:r>
        <w:rPr>
          <w:color w:val="231F20"/>
          <w:w w:val="105"/>
        </w:rPr>
        <w:t>fija,</w:t>
      </w:r>
      <w:r>
        <w:rPr>
          <w:color w:val="231F20"/>
          <w:spacing w:val="-29"/>
          <w:w w:val="105"/>
        </w:rPr>
        <w:t> </w:t>
      </w:r>
      <w:r>
        <w:rPr>
          <w:color w:val="231F20"/>
          <w:w w:val="105"/>
        </w:rPr>
        <w:t>entre</w:t>
      </w:r>
      <w:r>
        <w:rPr>
          <w:color w:val="231F20"/>
          <w:spacing w:val="-24"/>
          <w:w w:val="105"/>
        </w:rPr>
        <w:t> </w:t>
      </w:r>
      <w:r>
        <w:rPr>
          <w:color w:val="231F20"/>
          <w:w w:val="105"/>
        </w:rPr>
        <w:t>otros</w:t>
      </w:r>
      <w:r>
        <w:rPr>
          <w:color w:val="231F20"/>
          <w:spacing w:val="-24"/>
          <w:w w:val="105"/>
        </w:rPr>
        <w:t> </w:t>
      </w:r>
      <w:r>
        <w:rPr>
          <w:color w:val="231F20"/>
          <w:w w:val="105"/>
        </w:rPr>
        <w:t>objetivos,</w:t>
      </w:r>
      <w:r>
        <w:rPr>
          <w:color w:val="231F20"/>
          <w:spacing w:val="-29"/>
          <w:w w:val="105"/>
        </w:rPr>
        <w:t> </w:t>
      </w:r>
      <w:r>
        <w:rPr>
          <w:color w:val="231F20"/>
          <w:w w:val="105"/>
        </w:rPr>
        <w:t>elevar los</w:t>
      </w:r>
      <w:r>
        <w:rPr>
          <w:color w:val="231F20"/>
          <w:spacing w:val="-31"/>
          <w:w w:val="105"/>
        </w:rPr>
        <w:t> </w:t>
      </w:r>
      <w:r>
        <w:rPr>
          <w:color w:val="231F20"/>
          <w:w w:val="105"/>
        </w:rPr>
        <w:t>flujos</w:t>
      </w:r>
      <w:r>
        <w:rPr>
          <w:color w:val="231F20"/>
          <w:spacing w:val="-31"/>
          <w:w w:val="105"/>
        </w:rPr>
        <w:t> </w:t>
      </w:r>
      <w:r>
        <w:rPr>
          <w:color w:val="231F20"/>
          <w:w w:val="105"/>
        </w:rPr>
        <w:t>financieros</w:t>
      </w:r>
      <w:r>
        <w:rPr>
          <w:color w:val="231F20"/>
          <w:spacing w:val="-31"/>
          <w:w w:val="105"/>
        </w:rPr>
        <w:t> </w:t>
      </w:r>
      <w:r>
        <w:rPr>
          <w:color w:val="231F20"/>
          <w:w w:val="105"/>
        </w:rPr>
        <w:t>para</w:t>
      </w:r>
      <w:r>
        <w:rPr>
          <w:color w:val="231F20"/>
          <w:spacing w:val="-31"/>
          <w:w w:val="105"/>
        </w:rPr>
        <w:t> </w:t>
      </w:r>
      <w:r>
        <w:rPr>
          <w:color w:val="231F20"/>
          <w:w w:val="105"/>
        </w:rPr>
        <w:t>caminar</w:t>
      </w:r>
      <w:r>
        <w:rPr>
          <w:color w:val="231F20"/>
          <w:spacing w:val="-31"/>
          <w:w w:val="105"/>
        </w:rPr>
        <w:t> </w:t>
      </w:r>
      <w:r>
        <w:rPr>
          <w:color w:val="231F20"/>
          <w:w w:val="105"/>
        </w:rPr>
        <w:t>hacia</w:t>
      </w:r>
      <w:r>
        <w:rPr>
          <w:color w:val="231F20"/>
          <w:spacing w:val="-31"/>
          <w:w w:val="105"/>
        </w:rPr>
        <w:t> </w:t>
      </w:r>
      <w:r>
        <w:rPr>
          <w:color w:val="231F20"/>
          <w:w w:val="105"/>
        </w:rPr>
        <w:t>una</w:t>
      </w:r>
      <w:r>
        <w:rPr>
          <w:color w:val="231F20"/>
          <w:spacing w:val="-31"/>
          <w:w w:val="105"/>
        </w:rPr>
        <w:t> </w:t>
      </w:r>
      <w:r>
        <w:rPr>
          <w:color w:val="231F20"/>
          <w:w w:val="105"/>
        </w:rPr>
        <w:t>economía</w:t>
      </w:r>
      <w:r>
        <w:rPr>
          <w:color w:val="231F20"/>
          <w:spacing w:val="-31"/>
          <w:w w:val="105"/>
        </w:rPr>
        <w:t> </w:t>
      </w:r>
      <w:r>
        <w:rPr>
          <w:color w:val="231F20"/>
          <w:w w:val="105"/>
        </w:rPr>
        <w:t>baja</w:t>
      </w:r>
      <w:r>
        <w:rPr>
          <w:color w:val="231F20"/>
          <w:spacing w:val="-31"/>
          <w:w w:val="105"/>
        </w:rPr>
        <w:t> </w:t>
      </w:r>
      <w:r>
        <w:rPr>
          <w:color w:val="231F20"/>
          <w:w w:val="105"/>
        </w:rPr>
        <w:t>en</w:t>
      </w:r>
      <w:r>
        <w:rPr>
          <w:color w:val="231F20"/>
          <w:spacing w:val="-31"/>
          <w:w w:val="105"/>
        </w:rPr>
        <w:t> </w:t>
      </w:r>
      <w:r>
        <w:rPr>
          <w:color w:val="231F20"/>
          <w:w w:val="105"/>
        </w:rPr>
        <w:t>emisiones de gases de efecto invernadero, cuya acumulación en la atmósfera</w:t>
      </w:r>
      <w:r>
        <w:rPr>
          <w:color w:val="231F20"/>
          <w:spacing w:val="-30"/>
          <w:w w:val="105"/>
        </w:rPr>
        <w:t> </w:t>
      </w:r>
      <w:r>
        <w:rPr>
          <w:color w:val="231F20"/>
          <w:w w:val="105"/>
        </w:rPr>
        <w:t>por las</w:t>
      </w:r>
      <w:r>
        <w:rPr>
          <w:color w:val="231F20"/>
          <w:spacing w:val="-30"/>
          <w:w w:val="105"/>
        </w:rPr>
        <w:t> </w:t>
      </w:r>
      <w:r>
        <w:rPr>
          <w:color w:val="231F20"/>
          <w:w w:val="105"/>
        </w:rPr>
        <w:t>actividades</w:t>
      </w:r>
      <w:r>
        <w:rPr>
          <w:color w:val="231F20"/>
          <w:spacing w:val="-30"/>
          <w:w w:val="105"/>
        </w:rPr>
        <w:t> </w:t>
      </w:r>
      <w:r>
        <w:rPr>
          <w:color w:val="231F20"/>
          <w:w w:val="105"/>
        </w:rPr>
        <w:t>humanas</w:t>
      </w:r>
      <w:r>
        <w:rPr>
          <w:color w:val="231F20"/>
          <w:spacing w:val="-30"/>
          <w:w w:val="105"/>
        </w:rPr>
        <w:t> </w:t>
      </w:r>
      <w:r>
        <w:rPr>
          <w:color w:val="231F20"/>
          <w:w w:val="105"/>
        </w:rPr>
        <w:t>ha</w:t>
      </w:r>
      <w:r>
        <w:rPr>
          <w:color w:val="231F20"/>
          <w:spacing w:val="-30"/>
          <w:w w:val="105"/>
        </w:rPr>
        <w:t> </w:t>
      </w:r>
      <w:r>
        <w:rPr>
          <w:color w:val="231F20"/>
          <w:w w:val="105"/>
        </w:rPr>
        <w:t>desencadenado</w:t>
      </w:r>
      <w:r>
        <w:rPr>
          <w:color w:val="231F20"/>
          <w:spacing w:val="-30"/>
          <w:w w:val="105"/>
        </w:rPr>
        <w:t> </w:t>
      </w:r>
      <w:r>
        <w:rPr>
          <w:color w:val="231F20"/>
          <w:w w:val="105"/>
        </w:rPr>
        <w:t>el</w:t>
      </w:r>
      <w:r>
        <w:rPr>
          <w:color w:val="231F20"/>
          <w:spacing w:val="-30"/>
          <w:w w:val="105"/>
        </w:rPr>
        <w:t> </w:t>
      </w:r>
      <w:r>
        <w:rPr>
          <w:color w:val="231F20"/>
          <w:w w:val="105"/>
        </w:rPr>
        <w:t>cambio</w:t>
      </w:r>
      <w:r>
        <w:rPr>
          <w:color w:val="231F20"/>
          <w:spacing w:val="-30"/>
          <w:w w:val="105"/>
        </w:rPr>
        <w:t> </w:t>
      </w:r>
      <w:r>
        <w:rPr>
          <w:color w:val="231F20"/>
          <w:w w:val="105"/>
        </w:rPr>
        <w:t>clímatico.</w:t>
      </w:r>
      <w:r>
        <w:rPr>
          <w:color w:val="231F20"/>
          <w:spacing w:val="-34"/>
          <w:w w:val="105"/>
        </w:rPr>
        <w:t> </w:t>
      </w:r>
      <w:r>
        <w:rPr>
          <w:color w:val="231F20"/>
          <w:w w:val="105"/>
        </w:rPr>
        <w:t>Se</w:t>
      </w:r>
      <w:r>
        <w:rPr>
          <w:color w:val="231F20"/>
          <w:spacing w:val="-30"/>
          <w:w w:val="105"/>
        </w:rPr>
        <w:t> </w:t>
      </w:r>
      <w:r>
        <w:rPr>
          <w:color w:val="231F20"/>
          <w:w w:val="105"/>
        </w:rPr>
        <w:t>trata de</w:t>
      </w:r>
      <w:r>
        <w:rPr>
          <w:color w:val="231F20"/>
          <w:spacing w:val="-26"/>
          <w:w w:val="105"/>
        </w:rPr>
        <w:t> </w:t>
      </w:r>
      <w:r>
        <w:rPr>
          <w:color w:val="231F20"/>
          <w:w w:val="105"/>
        </w:rPr>
        <w:t>movilizar</w:t>
      </w:r>
      <w:r>
        <w:rPr>
          <w:color w:val="231F20"/>
          <w:spacing w:val="-26"/>
          <w:w w:val="105"/>
        </w:rPr>
        <w:t> </w:t>
      </w:r>
      <w:r>
        <w:rPr>
          <w:color w:val="231F20"/>
          <w:w w:val="105"/>
        </w:rPr>
        <w:t>la</w:t>
      </w:r>
      <w:r>
        <w:rPr>
          <w:color w:val="231F20"/>
          <w:spacing w:val="-26"/>
          <w:w w:val="105"/>
        </w:rPr>
        <w:t> </w:t>
      </w:r>
      <w:r>
        <w:rPr>
          <w:color w:val="231F20"/>
          <w:w w:val="105"/>
        </w:rPr>
        <w:t>inversión</w:t>
      </w:r>
      <w:r>
        <w:rPr>
          <w:color w:val="231F20"/>
          <w:spacing w:val="-26"/>
          <w:w w:val="105"/>
        </w:rPr>
        <w:t> </w:t>
      </w:r>
      <w:r>
        <w:rPr>
          <w:color w:val="231F20"/>
          <w:w w:val="105"/>
        </w:rPr>
        <w:t>para</w:t>
      </w:r>
      <w:r>
        <w:rPr>
          <w:color w:val="231F20"/>
          <w:spacing w:val="-26"/>
          <w:w w:val="105"/>
        </w:rPr>
        <w:t> </w:t>
      </w:r>
      <w:r>
        <w:rPr>
          <w:color w:val="231F20"/>
          <w:w w:val="105"/>
        </w:rPr>
        <w:t>lograr</w:t>
      </w:r>
      <w:r>
        <w:rPr>
          <w:color w:val="231F20"/>
          <w:spacing w:val="-26"/>
          <w:w w:val="105"/>
        </w:rPr>
        <w:t> </w:t>
      </w:r>
      <w:r>
        <w:rPr>
          <w:color w:val="231F20"/>
          <w:w w:val="105"/>
        </w:rPr>
        <w:t>una</w:t>
      </w:r>
      <w:r>
        <w:rPr>
          <w:color w:val="231F20"/>
          <w:spacing w:val="-26"/>
          <w:w w:val="105"/>
        </w:rPr>
        <w:t> </w:t>
      </w:r>
      <w:r>
        <w:rPr>
          <w:color w:val="231F20"/>
          <w:w w:val="105"/>
        </w:rPr>
        <w:t>transición</w:t>
      </w:r>
      <w:r>
        <w:rPr>
          <w:color w:val="231F20"/>
          <w:spacing w:val="-26"/>
          <w:w w:val="105"/>
        </w:rPr>
        <w:t> </w:t>
      </w:r>
      <w:r>
        <w:rPr>
          <w:color w:val="231F20"/>
          <w:w w:val="105"/>
        </w:rPr>
        <w:t>a</w:t>
      </w:r>
      <w:r>
        <w:rPr>
          <w:color w:val="231F20"/>
          <w:spacing w:val="-26"/>
          <w:w w:val="105"/>
        </w:rPr>
        <w:t> </w:t>
      </w:r>
      <w:r>
        <w:rPr>
          <w:color w:val="231F20"/>
          <w:w w:val="105"/>
        </w:rPr>
        <w:t>una</w:t>
      </w:r>
      <w:r>
        <w:rPr>
          <w:color w:val="231F20"/>
          <w:spacing w:val="-26"/>
          <w:w w:val="105"/>
        </w:rPr>
        <w:t> </w:t>
      </w:r>
      <w:r>
        <w:rPr>
          <w:color w:val="231F20"/>
          <w:w w:val="105"/>
        </w:rPr>
        <w:t>economía</w:t>
      </w:r>
      <w:r>
        <w:rPr>
          <w:color w:val="231F20"/>
          <w:spacing w:val="-26"/>
          <w:w w:val="105"/>
        </w:rPr>
        <w:t> </w:t>
      </w:r>
      <w:r>
        <w:rPr>
          <w:color w:val="231F20"/>
          <w:w w:val="105"/>
        </w:rPr>
        <w:t>limpia </w:t>
      </w:r>
      <w:r>
        <w:rPr>
          <w:color w:val="231F20"/>
        </w:rPr>
        <w:t>(Planelles,</w:t>
      </w:r>
      <w:r>
        <w:rPr>
          <w:color w:val="231F20"/>
          <w:spacing w:val="-19"/>
        </w:rPr>
        <w:t> </w:t>
      </w:r>
      <w:r>
        <w:rPr>
          <w:color w:val="231F20"/>
        </w:rPr>
        <w:t>2015).</w:t>
      </w:r>
    </w:p>
    <w:p>
      <w:pPr>
        <w:pStyle w:val="BodyText"/>
        <w:spacing w:line="259" w:lineRule="auto"/>
        <w:ind w:left="103" w:right="109" w:firstLine="567"/>
        <w:jc w:val="both"/>
      </w:pPr>
      <w:r>
        <w:rPr>
          <w:color w:val="231F20"/>
          <w:w w:val="105"/>
        </w:rPr>
        <w:t>Esta relación del sistema económico con el ambiente se</w:t>
      </w:r>
      <w:r>
        <w:rPr>
          <w:color w:val="231F20"/>
          <w:spacing w:val="-41"/>
          <w:w w:val="105"/>
        </w:rPr>
        <w:t> </w:t>
      </w:r>
      <w:r>
        <w:rPr>
          <w:color w:val="231F20"/>
          <w:w w:val="105"/>
        </w:rPr>
        <w:t>extiende a los sistemas sociales (Costanza,</w:t>
      </w:r>
      <w:r>
        <w:rPr>
          <w:color w:val="231F20"/>
          <w:spacing w:val="-44"/>
          <w:w w:val="105"/>
        </w:rPr>
        <w:t> </w:t>
      </w:r>
      <w:r>
        <w:rPr>
          <w:color w:val="231F20"/>
          <w:w w:val="105"/>
        </w:rPr>
        <w:t>1989) e incluye la base espiritual de la relación humana con el medio, es decir, en cuánto valora la gente el medio</w:t>
      </w:r>
      <w:r>
        <w:rPr>
          <w:color w:val="231F20"/>
          <w:spacing w:val="-20"/>
          <w:w w:val="105"/>
        </w:rPr>
        <w:t> </w:t>
      </w:r>
      <w:r>
        <w:rPr>
          <w:color w:val="231F20"/>
          <w:w w:val="105"/>
        </w:rPr>
        <w:t>ambiente</w:t>
      </w:r>
      <w:r>
        <w:rPr>
          <w:color w:val="231F20"/>
          <w:spacing w:val="-20"/>
          <w:w w:val="105"/>
        </w:rPr>
        <w:t> </w:t>
      </w:r>
      <w:r>
        <w:rPr>
          <w:color w:val="231F20"/>
          <w:w w:val="105"/>
        </w:rPr>
        <w:t>(Jacobs,</w:t>
      </w:r>
      <w:r>
        <w:rPr>
          <w:color w:val="231F20"/>
          <w:spacing w:val="-25"/>
          <w:w w:val="105"/>
        </w:rPr>
        <w:t> </w:t>
      </w:r>
      <w:r>
        <w:rPr>
          <w:color w:val="231F20"/>
          <w:w w:val="105"/>
        </w:rPr>
        <w:t>1997).</w:t>
      </w:r>
      <w:r>
        <w:rPr>
          <w:color w:val="231F20"/>
          <w:spacing w:val="-25"/>
          <w:w w:val="105"/>
        </w:rPr>
        <w:t> </w:t>
      </w:r>
      <w:r>
        <w:rPr>
          <w:color w:val="231F20"/>
          <w:spacing w:val="-6"/>
          <w:w w:val="105"/>
        </w:rPr>
        <w:t>Por</w:t>
      </w:r>
      <w:r>
        <w:rPr>
          <w:color w:val="231F20"/>
          <w:spacing w:val="-20"/>
          <w:w w:val="105"/>
        </w:rPr>
        <w:t> </w:t>
      </w:r>
      <w:r>
        <w:rPr>
          <w:color w:val="231F20"/>
          <w:w w:val="105"/>
        </w:rPr>
        <w:t>esto,</w:t>
      </w:r>
      <w:r>
        <w:rPr>
          <w:color w:val="231F20"/>
          <w:spacing w:val="-25"/>
          <w:w w:val="105"/>
        </w:rPr>
        <w:t> </w:t>
      </w:r>
      <w:r>
        <w:rPr>
          <w:color w:val="231F20"/>
          <w:w w:val="105"/>
        </w:rPr>
        <w:t>el</w:t>
      </w:r>
      <w:r>
        <w:rPr>
          <w:color w:val="231F20"/>
          <w:spacing w:val="-20"/>
          <w:w w:val="105"/>
        </w:rPr>
        <w:t> </w:t>
      </w:r>
      <w:r>
        <w:rPr>
          <w:color w:val="231F20"/>
          <w:w w:val="105"/>
        </w:rPr>
        <w:t>comportamiento</w:t>
      </w:r>
      <w:r>
        <w:rPr>
          <w:color w:val="231F20"/>
          <w:spacing w:val="-20"/>
          <w:w w:val="105"/>
        </w:rPr>
        <w:t> </w:t>
      </w:r>
      <w:r>
        <w:rPr>
          <w:color w:val="231F20"/>
          <w:w w:val="105"/>
        </w:rPr>
        <w:t>económico tiene que entenderse dentro de un contexto institucional y cultural más amplio en el que opera, para no perder de vista el compromiso hacia las</w:t>
      </w:r>
      <w:r>
        <w:rPr>
          <w:color w:val="231F20"/>
          <w:spacing w:val="-14"/>
          <w:w w:val="105"/>
        </w:rPr>
        <w:t> </w:t>
      </w:r>
      <w:r>
        <w:rPr>
          <w:color w:val="231F20"/>
          <w:w w:val="105"/>
        </w:rPr>
        <w:t>generaciones</w:t>
      </w:r>
      <w:r>
        <w:rPr>
          <w:color w:val="231F20"/>
          <w:spacing w:val="-14"/>
          <w:w w:val="105"/>
        </w:rPr>
        <w:t> </w:t>
      </w:r>
      <w:r>
        <w:rPr>
          <w:color w:val="231F20"/>
          <w:w w:val="105"/>
        </w:rPr>
        <w:t>futuras</w:t>
      </w:r>
      <w:r>
        <w:rPr>
          <w:color w:val="231F20"/>
          <w:spacing w:val="-14"/>
          <w:w w:val="105"/>
        </w:rPr>
        <w:t> </w:t>
      </w:r>
      <w:r>
        <w:rPr>
          <w:color w:val="231F20"/>
          <w:w w:val="105"/>
        </w:rPr>
        <w:t>sobre</w:t>
      </w:r>
      <w:r>
        <w:rPr>
          <w:color w:val="231F20"/>
          <w:spacing w:val="-14"/>
          <w:w w:val="105"/>
        </w:rPr>
        <w:t> </w:t>
      </w:r>
      <w:r>
        <w:rPr>
          <w:color w:val="231F20"/>
          <w:w w:val="105"/>
        </w:rPr>
        <w:t>el</w:t>
      </w:r>
      <w:r>
        <w:rPr>
          <w:color w:val="231F20"/>
          <w:spacing w:val="-14"/>
          <w:w w:val="105"/>
        </w:rPr>
        <w:t> </w:t>
      </w:r>
      <w:r>
        <w:rPr>
          <w:color w:val="231F20"/>
          <w:w w:val="105"/>
        </w:rPr>
        <w:t>impacto</w:t>
      </w:r>
      <w:r>
        <w:rPr>
          <w:color w:val="231F20"/>
          <w:spacing w:val="-14"/>
          <w:w w:val="105"/>
        </w:rPr>
        <w:t> </w:t>
      </w:r>
      <w:r>
        <w:rPr>
          <w:color w:val="231F20"/>
          <w:w w:val="105"/>
        </w:rPr>
        <w:t>que</w:t>
      </w:r>
      <w:r>
        <w:rPr>
          <w:color w:val="231F20"/>
          <w:spacing w:val="-14"/>
          <w:w w:val="105"/>
        </w:rPr>
        <w:t> </w:t>
      </w:r>
      <w:r>
        <w:rPr>
          <w:color w:val="231F20"/>
          <w:w w:val="105"/>
        </w:rPr>
        <w:t>su</w:t>
      </w:r>
      <w:r>
        <w:rPr>
          <w:color w:val="231F20"/>
          <w:spacing w:val="-14"/>
          <w:w w:val="105"/>
        </w:rPr>
        <w:t> </w:t>
      </w:r>
      <w:r>
        <w:rPr>
          <w:color w:val="231F20"/>
          <w:w w:val="105"/>
        </w:rPr>
        <w:t>explotación</w:t>
      </w:r>
      <w:r>
        <w:rPr>
          <w:color w:val="231F20"/>
          <w:spacing w:val="-14"/>
          <w:w w:val="105"/>
        </w:rPr>
        <w:t> </w:t>
      </w:r>
      <w:r>
        <w:rPr>
          <w:color w:val="231F20"/>
          <w:w w:val="105"/>
        </w:rPr>
        <w:t>tiene</w:t>
      </w:r>
      <w:r>
        <w:rPr>
          <w:color w:val="231F20"/>
          <w:spacing w:val="-14"/>
          <w:w w:val="105"/>
        </w:rPr>
        <w:t> </w:t>
      </w:r>
      <w:r>
        <w:rPr>
          <w:color w:val="231F20"/>
          <w:w w:val="105"/>
        </w:rPr>
        <w:t>en</w:t>
      </w:r>
      <w:r>
        <w:rPr>
          <w:color w:val="231F20"/>
          <w:spacing w:val="-14"/>
          <w:w w:val="105"/>
        </w:rPr>
        <w:t> </w:t>
      </w:r>
      <w:r>
        <w:rPr>
          <w:color w:val="231F20"/>
          <w:w w:val="105"/>
        </w:rPr>
        <w:t>el mantenimiento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biosfera</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vida</w:t>
      </w:r>
      <w:r>
        <w:rPr>
          <w:color w:val="231F20"/>
          <w:spacing w:val="-11"/>
          <w:w w:val="105"/>
        </w:rPr>
        <w:t> </w:t>
      </w:r>
      <w:r>
        <w:rPr>
          <w:color w:val="231F20"/>
          <w:w w:val="105"/>
        </w:rPr>
        <w:t>humana</w:t>
      </w:r>
      <w:r>
        <w:rPr>
          <w:color w:val="231F20"/>
          <w:spacing w:val="-11"/>
          <w:w w:val="105"/>
        </w:rPr>
        <w:t> </w:t>
      </w:r>
      <w:r>
        <w:rPr>
          <w:color w:val="231F20"/>
          <w:w w:val="105"/>
        </w:rPr>
        <w:t>(Aguilera</w:t>
      </w:r>
      <w:r>
        <w:rPr>
          <w:color w:val="231F20"/>
          <w:spacing w:val="-11"/>
          <w:w w:val="105"/>
        </w:rPr>
        <w:t> </w:t>
      </w:r>
      <w:r>
        <w:rPr>
          <w:color w:val="231F20"/>
          <w:w w:val="105"/>
        </w:rPr>
        <w:t>y</w:t>
      </w:r>
      <w:r>
        <w:rPr>
          <w:color w:val="231F20"/>
          <w:spacing w:val="-14"/>
          <w:w w:val="105"/>
        </w:rPr>
        <w:t> </w:t>
      </w:r>
      <w:r>
        <w:rPr>
          <w:color w:val="231F20"/>
          <w:w w:val="105"/>
        </w:rPr>
        <w:t>Alcántara, 1994).</w:t>
      </w:r>
      <w:r>
        <w:rPr>
          <w:color w:val="231F20"/>
          <w:spacing w:val="-31"/>
          <w:w w:val="105"/>
        </w:rPr>
        <w:t> </w:t>
      </w:r>
      <w:r>
        <w:rPr>
          <w:color w:val="231F20"/>
          <w:w w:val="105"/>
        </w:rPr>
        <w:t>De</w:t>
      </w:r>
      <w:r>
        <w:rPr>
          <w:color w:val="231F20"/>
          <w:spacing w:val="-25"/>
          <w:w w:val="105"/>
        </w:rPr>
        <w:t> </w:t>
      </w:r>
      <w:r>
        <w:rPr>
          <w:color w:val="231F20"/>
          <w:w w:val="105"/>
        </w:rPr>
        <w:t>aquí</w:t>
      </w:r>
      <w:r>
        <w:rPr>
          <w:color w:val="231F20"/>
          <w:spacing w:val="-25"/>
          <w:w w:val="105"/>
        </w:rPr>
        <w:t> </w:t>
      </w:r>
      <w:r>
        <w:rPr>
          <w:color w:val="231F20"/>
          <w:w w:val="105"/>
        </w:rPr>
        <w:t>que</w:t>
      </w:r>
      <w:r>
        <w:rPr>
          <w:color w:val="231F20"/>
          <w:spacing w:val="-25"/>
          <w:w w:val="105"/>
        </w:rPr>
        <w:t> </w:t>
      </w:r>
      <w:r>
        <w:rPr>
          <w:color w:val="231F20"/>
          <w:w w:val="105"/>
        </w:rPr>
        <w:t>un</w:t>
      </w:r>
      <w:r>
        <w:rPr>
          <w:color w:val="231F20"/>
          <w:spacing w:val="-25"/>
          <w:w w:val="105"/>
        </w:rPr>
        <w:t> </w:t>
      </w:r>
      <w:r>
        <w:rPr>
          <w:color w:val="231F20"/>
          <w:w w:val="105"/>
        </w:rPr>
        <w:t>término</w:t>
      </w:r>
      <w:r>
        <w:rPr>
          <w:color w:val="231F20"/>
          <w:spacing w:val="-25"/>
          <w:w w:val="105"/>
        </w:rPr>
        <w:t> </w:t>
      </w:r>
      <w:r>
        <w:rPr>
          <w:color w:val="231F20"/>
          <w:w w:val="105"/>
        </w:rPr>
        <w:t>clave</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economía</w:t>
      </w:r>
      <w:r>
        <w:rPr>
          <w:color w:val="231F20"/>
          <w:spacing w:val="-25"/>
          <w:w w:val="105"/>
        </w:rPr>
        <w:t> </w:t>
      </w:r>
      <w:r>
        <w:rPr>
          <w:color w:val="231F20"/>
          <w:w w:val="105"/>
        </w:rPr>
        <w:t>ecológica</w:t>
      </w:r>
      <w:r>
        <w:rPr>
          <w:color w:val="231F20"/>
          <w:spacing w:val="-25"/>
          <w:w w:val="105"/>
        </w:rPr>
        <w:t> </w:t>
      </w:r>
      <w:r>
        <w:rPr>
          <w:color w:val="231F20"/>
          <w:w w:val="105"/>
        </w:rPr>
        <w:t>es</w:t>
      </w:r>
      <w:r>
        <w:rPr>
          <w:color w:val="231F20"/>
          <w:spacing w:val="-25"/>
          <w:w w:val="105"/>
        </w:rPr>
        <w:t> </w:t>
      </w:r>
      <w:r>
        <w:rPr>
          <w:color w:val="231F20"/>
          <w:w w:val="105"/>
        </w:rPr>
        <w:t>la</w:t>
      </w:r>
      <w:r>
        <w:rPr>
          <w:color w:val="231F20"/>
          <w:spacing w:val="-25"/>
          <w:w w:val="105"/>
        </w:rPr>
        <w:t> </w:t>
      </w:r>
      <w:r>
        <w:rPr>
          <w:color w:val="231F20"/>
          <w:w w:val="105"/>
        </w:rPr>
        <w:t>salud de</w:t>
      </w:r>
      <w:r>
        <w:rPr>
          <w:color w:val="231F20"/>
          <w:spacing w:val="-40"/>
          <w:w w:val="105"/>
        </w:rPr>
        <w:t> </w:t>
      </w:r>
      <w:r>
        <w:rPr>
          <w:color w:val="231F20"/>
          <w:w w:val="105"/>
        </w:rPr>
        <w:t>los</w:t>
      </w:r>
      <w:r>
        <w:rPr>
          <w:color w:val="231F20"/>
          <w:spacing w:val="-40"/>
          <w:w w:val="105"/>
        </w:rPr>
        <w:t> </w:t>
      </w:r>
      <w:r>
        <w:rPr>
          <w:color w:val="231F20"/>
          <w:w w:val="105"/>
        </w:rPr>
        <w:t>ecosistemas.</w:t>
      </w:r>
    </w:p>
    <w:p>
      <w:pPr>
        <w:pStyle w:val="BodyText"/>
        <w:spacing w:line="259" w:lineRule="auto"/>
        <w:ind w:left="103" w:right="108" w:firstLine="567"/>
        <w:jc w:val="both"/>
      </w:pPr>
      <w:r>
        <w:rPr>
          <w:color w:val="231F20"/>
          <w:w w:val="105"/>
        </w:rPr>
        <w:t>Según</w:t>
      </w:r>
      <w:r>
        <w:rPr>
          <w:color w:val="231F20"/>
          <w:spacing w:val="-21"/>
          <w:w w:val="105"/>
        </w:rPr>
        <w:t> </w:t>
      </w:r>
      <w:r>
        <w:rPr>
          <w:color w:val="231F20"/>
          <w:spacing w:val="-4"/>
          <w:w w:val="105"/>
        </w:rPr>
        <w:t>Pascual-Trillo</w:t>
      </w:r>
      <w:r>
        <w:rPr>
          <w:color w:val="231F20"/>
          <w:spacing w:val="-21"/>
          <w:w w:val="105"/>
        </w:rPr>
        <w:t> </w:t>
      </w:r>
      <w:r>
        <w:rPr>
          <w:color w:val="231F20"/>
          <w:w w:val="105"/>
        </w:rPr>
        <w:t>(2011),</w:t>
      </w:r>
      <w:r>
        <w:rPr>
          <w:color w:val="231F20"/>
          <w:spacing w:val="-25"/>
          <w:w w:val="105"/>
        </w:rPr>
        <w:t> </w:t>
      </w:r>
      <w:r>
        <w:rPr>
          <w:color w:val="231F20"/>
          <w:w w:val="105"/>
        </w:rPr>
        <w:t>la</w:t>
      </w:r>
      <w:r>
        <w:rPr>
          <w:color w:val="231F20"/>
          <w:spacing w:val="-21"/>
          <w:w w:val="105"/>
        </w:rPr>
        <w:t> </w:t>
      </w:r>
      <w:r>
        <w:rPr>
          <w:color w:val="231F20"/>
          <w:w w:val="105"/>
        </w:rPr>
        <w:t>ciencia</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tecnología</w:t>
      </w:r>
      <w:r>
        <w:rPr>
          <w:color w:val="231F20"/>
          <w:spacing w:val="-21"/>
          <w:w w:val="105"/>
        </w:rPr>
        <w:t> </w:t>
      </w:r>
      <w:r>
        <w:rPr>
          <w:color w:val="231F20"/>
          <w:w w:val="105"/>
        </w:rPr>
        <w:t>modernas</w:t>
      </w:r>
      <w:r>
        <w:rPr>
          <w:color w:val="231F20"/>
          <w:spacing w:val="-21"/>
          <w:w w:val="105"/>
        </w:rPr>
        <w:t> </w:t>
      </w:r>
      <w:r>
        <w:rPr>
          <w:color w:val="231F20"/>
          <w:w w:val="105"/>
        </w:rPr>
        <w:t>se han</w:t>
      </w:r>
      <w:r>
        <w:rPr>
          <w:color w:val="231F20"/>
          <w:spacing w:val="-6"/>
          <w:w w:val="105"/>
        </w:rPr>
        <w:t> </w:t>
      </w:r>
      <w:r>
        <w:rPr>
          <w:color w:val="231F20"/>
          <w:w w:val="105"/>
        </w:rPr>
        <w:t>fusionado</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“tecnociencia”</w:t>
      </w:r>
      <w:r>
        <w:rPr>
          <w:color w:val="231F20"/>
          <w:spacing w:val="-6"/>
          <w:w w:val="105"/>
        </w:rPr>
        <w:t> </w:t>
      </w:r>
      <w:r>
        <w:rPr>
          <w:color w:val="231F20"/>
          <w:w w:val="105"/>
        </w:rPr>
        <w:t>guiada</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mercado</w:t>
      </w:r>
      <w:r>
        <w:rPr>
          <w:color w:val="231F20"/>
          <w:spacing w:val="-6"/>
          <w:w w:val="105"/>
        </w:rPr>
        <w:t> </w:t>
      </w:r>
      <w:r>
        <w:rPr>
          <w:color w:val="231F20"/>
          <w:spacing w:val="-4"/>
          <w:w w:val="105"/>
        </w:rPr>
        <w:t>y,</w:t>
      </w:r>
      <w:r>
        <w:rPr>
          <w:color w:val="231F20"/>
          <w:spacing w:val="-12"/>
          <w:w w:val="105"/>
        </w:rPr>
        <w:t> </w:t>
      </w:r>
      <w:r>
        <w:rPr>
          <w:color w:val="231F20"/>
          <w:w w:val="105"/>
        </w:rPr>
        <w:t>al</w:t>
      </w:r>
      <w:r>
        <w:rPr>
          <w:color w:val="231F20"/>
          <w:spacing w:val="-6"/>
          <w:w w:val="105"/>
        </w:rPr>
        <w:t> </w:t>
      </w:r>
      <w:r>
        <w:rPr>
          <w:color w:val="231F20"/>
          <w:w w:val="105"/>
        </w:rPr>
        <w:t>mismo tiempo, la sociedad mundial se ha vuelto insostenible en escala global. Es</w:t>
      </w:r>
      <w:r>
        <w:rPr>
          <w:color w:val="231F20"/>
          <w:spacing w:val="-25"/>
          <w:w w:val="105"/>
        </w:rPr>
        <w:t> </w:t>
      </w:r>
      <w:r>
        <w:rPr>
          <w:color w:val="231F20"/>
          <w:w w:val="105"/>
        </w:rPr>
        <w:t>preciso</w:t>
      </w:r>
      <w:r>
        <w:rPr>
          <w:color w:val="231F20"/>
          <w:spacing w:val="-25"/>
          <w:w w:val="105"/>
        </w:rPr>
        <w:t> </w:t>
      </w:r>
      <w:r>
        <w:rPr>
          <w:color w:val="231F20"/>
          <w:w w:val="105"/>
        </w:rPr>
        <w:t>buscar</w:t>
      </w:r>
      <w:r>
        <w:rPr>
          <w:color w:val="231F20"/>
          <w:spacing w:val="-25"/>
          <w:w w:val="105"/>
        </w:rPr>
        <w:t> </w:t>
      </w:r>
      <w:r>
        <w:rPr>
          <w:color w:val="231F20"/>
          <w:w w:val="105"/>
        </w:rPr>
        <w:t>la</w:t>
      </w:r>
      <w:r>
        <w:rPr>
          <w:color w:val="231F20"/>
          <w:spacing w:val="-25"/>
          <w:w w:val="105"/>
        </w:rPr>
        <w:t> </w:t>
      </w:r>
      <w:r>
        <w:rPr>
          <w:color w:val="231F20"/>
          <w:w w:val="105"/>
        </w:rPr>
        <w:t>solución</w:t>
      </w:r>
      <w:r>
        <w:rPr>
          <w:color w:val="231F20"/>
          <w:spacing w:val="-25"/>
          <w:w w:val="105"/>
        </w:rPr>
        <w:t> </w:t>
      </w:r>
      <w:r>
        <w:rPr>
          <w:color w:val="231F20"/>
          <w:w w:val="105"/>
        </w:rPr>
        <w:t>en</w:t>
      </w:r>
      <w:r>
        <w:rPr>
          <w:color w:val="231F20"/>
          <w:spacing w:val="-25"/>
          <w:w w:val="105"/>
        </w:rPr>
        <w:t> </w:t>
      </w:r>
      <w:r>
        <w:rPr>
          <w:color w:val="231F20"/>
          <w:w w:val="105"/>
        </w:rPr>
        <w:t>una</w:t>
      </w:r>
      <w:r>
        <w:rPr>
          <w:color w:val="231F20"/>
          <w:spacing w:val="-25"/>
          <w:w w:val="105"/>
        </w:rPr>
        <w:t> </w:t>
      </w:r>
      <w:r>
        <w:rPr>
          <w:color w:val="231F20"/>
          <w:w w:val="105"/>
        </w:rPr>
        <w:t>reorientación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objetivos</w:t>
      </w:r>
      <w:r>
        <w:rPr>
          <w:color w:val="231F20"/>
          <w:spacing w:val="-25"/>
          <w:w w:val="105"/>
        </w:rPr>
        <w:t> </w:t>
      </w:r>
      <w:r>
        <w:rPr>
          <w:color w:val="231F20"/>
          <w:w w:val="105"/>
        </w:rPr>
        <w:t>y</w:t>
      </w:r>
      <w:r>
        <w:rPr>
          <w:color w:val="231F20"/>
          <w:spacing w:val="-25"/>
          <w:w w:val="105"/>
        </w:rPr>
        <w:t> </w:t>
      </w:r>
      <w:r>
        <w:rPr>
          <w:color w:val="231F20"/>
          <w:w w:val="105"/>
        </w:rPr>
        <w:t>fines de la sociedad mundial. Esta reorientación debe venir de la economía ecológica</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supeditación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economía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política</w:t>
      </w:r>
      <w:r>
        <w:rPr>
          <w:color w:val="231F20"/>
          <w:spacing w:val="-9"/>
          <w:w w:val="105"/>
        </w:rPr>
        <w:t> </w:t>
      </w:r>
      <w:r>
        <w:rPr>
          <w:color w:val="231F20"/>
          <w:w w:val="105"/>
        </w:rPr>
        <w:t>democrática. Una</w:t>
      </w:r>
      <w:r>
        <w:rPr>
          <w:color w:val="231F20"/>
          <w:spacing w:val="-28"/>
          <w:w w:val="105"/>
        </w:rPr>
        <w:t> </w:t>
      </w:r>
      <w:r>
        <w:rPr>
          <w:color w:val="231F20"/>
          <w:w w:val="105"/>
        </w:rPr>
        <w:t>vez</w:t>
      </w:r>
      <w:r>
        <w:rPr>
          <w:color w:val="231F20"/>
          <w:spacing w:val="-28"/>
          <w:w w:val="105"/>
        </w:rPr>
        <w:t> </w:t>
      </w:r>
      <w:r>
        <w:rPr>
          <w:color w:val="231F20"/>
          <w:w w:val="105"/>
        </w:rPr>
        <w:t>conseguida</w:t>
      </w:r>
      <w:r>
        <w:rPr>
          <w:color w:val="231F20"/>
          <w:spacing w:val="-28"/>
          <w:w w:val="105"/>
        </w:rPr>
        <w:t> </w:t>
      </w:r>
      <w:r>
        <w:rPr>
          <w:color w:val="231F20"/>
          <w:w w:val="105"/>
        </w:rPr>
        <w:t>esa</w:t>
      </w:r>
      <w:r>
        <w:rPr>
          <w:color w:val="231F20"/>
          <w:spacing w:val="-28"/>
          <w:w w:val="105"/>
        </w:rPr>
        <w:t> </w:t>
      </w:r>
      <w:r>
        <w:rPr>
          <w:color w:val="231F20"/>
          <w:w w:val="105"/>
        </w:rPr>
        <w:t>deriva,</w:t>
      </w:r>
      <w:r>
        <w:rPr>
          <w:color w:val="231F20"/>
          <w:spacing w:val="-32"/>
          <w:w w:val="105"/>
        </w:rPr>
        <w:t> </w:t>
      </w:r>
      <w:r>
        <w:rPr>
          <w:color w:val="231F20"/>
          <w:w w:val="105"/>
        </w:rPr>
        <w:t>la</w:t>
      </w:r>
      <w:r>
        <w:rPr>
          <w:color w:val="231F20"/>
          <w:spacing w:val="-28"/>
          <w:w w:val="105"/>
        </w:rPr>
        <w:t> </w:t>
      </w:r>
      <w:r>
        <w:rPr>
          <w:color w:val="231F20"/>
          <w:w w:val="105"/>
        </w:rPr>
        <w:t>ciencia,</w:t>
      </w:r>
      <w:r>
        <w:rPr>
          <w:color w:val="231F20"/>
          <w:spacing w:val="-32"/>
          <w:w w:val="105"/>
        </w:rPr>
        <w:t> </w:t>
      </w:r>
      <w:r>
        <w:rPr>
          <w:color w:val="231F20"/>
          <w:w w:val="105"/>
        </w:rPr>
        <w:t>la</w:t>
      </w:r>
      <w:r>
        <w:rPr>
          <w:color w:val="231F20"/>
          <w:spacing w:val="-28"/>
          <w:w w:val="105"/>
        </w:rPr>
        <w:t> </w:t>
      </w:r>
      <w:r>
        <w:rPr>
          <w:color w:val="231F20"/>
          <w:w w:val="105"/>
        </w:rPr>
        <w:t>tecnología,</w:t>
      </w:r>
      <w:r>
        <w:rPr>
          <w:color w:val="231F20"/>
          <w:spacing w:val="-32"/>
          <w:w w:val="105"/>
        </w:rPr>
        <w:t> </w:t>
      </w:r>
      <w:r>
        <w:rPr>
          <w:color w:val="231F20"/>
          <w:w w:val="105"/>
        </w:rPr>
        <w:t>la</w:t>
      </w:r>
      <w:r>
        <w:rPr>
          <w:color w:val="231F20"/>
          <w:spacing w:val="-28"/>
          <w:w w:val="105"/>
        </w:rPr>
        <w:t> </w:t>
      </w:r>
      <w:r>
        <w:rPr>
          <w:color w:val="231F20"/>
          <w:w w:val="105"/>
        </w:rPr>
        <w:t>educación</w:t>
      </w:r>
      <w:r>
        <w:rPr>
          <w:color w:val="231F20"/>
          <w:spacing w:val="-28"/>
          <w:w w:val="105"/>
        </w:rPr>
        <w:t> </w:t>
      </w:r>
      <w:r>
        <w:rPr>
          <w:color w:val="231F20"/>
          <w:w w:val="105"/>
        </w:rPr>
        <w:t>y</w:t>
      </w:r>
      <w:r>
        <w:rPr>
          <w:color w:val="231F20"/>
          <w:spacing w:val="-28"/>
          <w:w w:val="105"/>
        </w:rPr>
        <w:t> </w:t>
      </w:r>
      <w:r>
        <w:rPr>
          <w:color w:val="231F20"/>
          <w:w w:val="105"/>
        </w:rPr>
        <w:t>la comunicación</w:t>
      </w:r>
      <w:r>
        <w:rPr>
          <w:color w:val="231F20"/>
          <w:spacing w:val="-19"/>
          <w:w w:val="105"/>
        </w:rPr>
        <w:t> </w:t>
      </w:r>
      <w:r>
        <w:rPr>
          <w:color w:val="231F20"/>
          <w:w w:val="105"/>
        </w:rPr>
        <w:t>reencontrarán</w:t>
      </w:r>
      <w:r>
        <w:rPr>
          <w:color w:val="231F20"/>
          <w:spacing w:val="-19"/>
          <w:w w:val="105"/>
        </w:rPr>
        <w:t> </w:t>
      </w:r>
      <w:r>
        <w:rPr>
          <w:color w:val="231F20"/>
          <w:w w:val="105"/>
        </w:rPr>
        <w:t>su</w:t>
      </w:r>
      <w:r>
        <w:rPr>
          <w:color w:val="231F20"/>
          <w:spacing w:val="-19"/>
          <w:w w:val="105"/>
        </w:rPr>
        <w:t> </w:t>
      </w:r>
      <w:r>
        <w:rPr>
          <w:color w:val="231F20"/>
          <w:w w:val="105"/>
        </w:rPr>
        <w:t>sentido</w:t>
      </w:r>
      <w:r>
        <w:rPr>
          <w:color w:val="231F20"/>
          <w:spacing w:val="-19"/>
          <w:w w:val="105"/>
        </w:rPr>
        <w:t> </w:t>
      </w:r>
      <w:r>
        <w:rPr>
          <w:color w:val="231F20"/>
          <w:w w:val="105"/>
        </w:rPr>
        <w:t>al</w:t>
      </w:r>
      <w:r>
        <w:rPr>
          <w:color w:val="231F20"/>
          <w:spacing w:val="-19"/>
          <w:w w:val="105"/>
        </w:rPr>
        <w:t> </w:t>
      </w:r>
      <w:r>
        <w:rPr>
          <w:color w:val="231F20"/>
          <w:w w:val="105"/>
        </w:rPr>
        <w:t>servicio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sociedad.</w:t>
      </w:r>
    </w:p>
    <w:p>
      <w:pPr>
        <w:pStyle w:val="BodyText"/>
        <w:spacing w:line="259" w:lineRule="auto"/>
        <w:ind w:left="103" w:right="114" w:firstLine="567"/>
        <w:jc w:val="both"/>
      </w:pPr>
      <w:r>
        <w:rPr>
          <w:color w:val="231F20"/>
          <w:spacing w:val="-6"/>
        </w:rPr>
        <w:t>Por </w:t>
      </w:r>
      <w:r>
        <w:rPr>
          <w:color w:val="231F20"/>
        </w:rPr>
        <w:t>su parte, la ecología organizacional aplica principios ecológi- cos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estudios</w:t>
      </w:r>
      <w:r>
        <w:rPr>
          <w:color w:val="231F20"/>
          <w:spacing w:val="-6"/>
        </w:rPr>
        <w:t> </w:t>
      </w:r>
      <w:r>
        <w:rPr>
          <w:color w:val="231F20"/>
        </w:rPr>
        <w:t>organizacionales.</w:t>
      </w:r>
      <w:r>
        <w:rPr>
          <w:color w:val="231F20"/>
          <w:spacing w:val="-14"/>
        </w:rPr>
        <w:t> </w:t>
      </w:r>
      <w:r>
        <w:rPr>
          <w:color w:val="231F20"/>
        </w:rPr>
        <w:t>La</w:t>
      </w:r>
      <w:r>
        <w:rPr>
          <w:color w:val="231F20"/>
          <w:spacing w:val="-6"/>
        </w:rPr>
        <w:t> </w:t>
      </w:r>
      <w:r>
        <w:rPr>
          <w:color w:val="231F20"/>
        </w:rPr>
        <w:t>ecología</w:t>
      </w:r>
      <w:r>
        <w:rPr>
          <w:color w:val="231F20"/>
          <w:spacing w:val="-6"/>
        </w:rPr>
        <w:t> </w:t>
      </w:r>
      <w:r>
        <w:rPr>
          <w:color w:val="231F20"/>
        </w:rPr>
        <w:t>se</w:t>
      </w:r>
      <w:r>
        <w:rPr>
          <w:color w:val="231F20"/>
          <w:spacing w:val="-6"/>
        </w:rPr>
        <w:t> </w:t>
      </w:r>
      <w:r>
        <w:rPr>
          <w:color w:val="231F20"/>
        </w:rPr>
        <w:t>refiere</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sistema</w:t>
      </w:r>
      <w:r>
        <w:rPr>
          <w:color w:val="231F20"/>
          <w:spacing w:val="-6"/>
        </w:rPr>
        <w:t> </w:t>
      </w:r>
      <w:r>
        <w:rPr>
          <w:color w:val="231F20"/>
        </w:rPr>
        <w:t>de organismos y su ambiente natural cuyas interrelaciones son necesarias para la sustentabilidad del sistema. Utilizando esto como metáfora, el sis- tema de las organizaciones puede ser visto como una conformación de instituciones, historias de esas instituciones, regiones geográficas, perso- nas, subgrupos, culturas, normas, contexto político-cultural, y también la relación entre todos los componentes (Scott y Davis, </w:t>
      </w:r>
      <w:r>
        <w:rPr>
          <w:color w:val="231F20"/>
          <w:spacing w:val="37"/>
        </w:rPr>
        <w:t> </w:t>
      </w:r>
      <w:r>
        <w:rPr>
          <w:color w:val="231F20"/>
        </w:rPr>
        <w:t>2008).</w:t>
      </w:r>
    </w:p>
    <w:p>
      <w:pPr>
        <w:pStyle w:val="BodyText"/>
        <w:spacing w:line="259" w:lineRule="auto"/>
        <w:ind w:left="103" w:right="111" w:firstLine="567"/>
        <w:jc w:val="both"/>
      </w:pPr>
      <w:r>
        <w:rPr>
          <w:color w:val="231F20"/>
          <w:w w:val="105"/>
        </w:rPr>
        <w:t>La</w:t>
      </w:r>
      <w:r>
        <w:rPr>
          <w:color w:val="231F20"/>
          <w:spacing w:val="-15"/>
          <w:w w:val="105"/>
        </w:rPr>
        <w:t> </w:t>
      </w:r>
      <w:r>
        <w:rPr>
          <w:color w:val="231F20"/>
          <w:spacing w:val="-3"/>
          <w:w w:val="105"/>
        </w:rPr>
        <w:t>ecología</w:t>
      </w:r>
      <w:r>
        <w:rPr>
          <w:color w:val="231F20"/>
          <w:spacing w:val="-15"/>
          <w:w w:val="105"/>
        </w:rPr>
        <w:t> </w:t>
      </w:r>
      <w:r>
        <w:rPr>
          <w:color w:val="231F20"/>
          <w:spacing w:val="-3"/>
          <w:w w:val="105"/>
        </w:rPr>
        <w:t>organizacional</w:t>
      </w:r>
      <w:r>
        <w:rPr>
          <w:color w:val="231F20"/>
          <w:spacing w:val="-15"/>
          <w:w w:val="105"/>
        </w:rPr>
        <w:t> </w:t>
      </w:r>
      <w:r>
        <w:rPr>
          <w:color w:val="231F20"/>
          <w:spacing w:val="-3"/>
          <w:w w:val="105"/>
        </w:rPr>
        <w:t>explica</w:t>
      </w:r>
      <w:r>
        <w:rPr>
          <w:color w:val="231F20"/>
          <w:spacing w:val="-15"/>
          <w:w w:val="105"/>
        </w:rPr>
        <w:t> </w:t>
      </w:r>
      <w:r>
        <w:rPr>
          <w:color w:val="231F20"/>
          <w:spacing w:val="-3"/>
          <w:w w:val="105"/>
        </w:rPr>
        <w:t>cómo</w:t>
      </w:r>
      <w:r>
        <w:rPr>
          <w:color w:val="231F20"/>
          <w:spacing w:val="-15"/>
          <w:w w:val="105"/>
        </w:rPr>
        <w:t> </w:t>
      </w:r>
      <w:r>
        <w:rPr>
          <w:color w:val="231F20"/>
          <w:w w:val="105"/>
        </w:rPr>
        <w:t>las</w:t>
      </w:r>
      <w:r>
        <w:rPr>
          <w:color w:val="231F20"/>
          <w:spacing w:val="-15"/>
          <w:w w:val="105"/>
        </w:rPr>
        <w:t> </w:t>
      </w:r>
      <w:r>
        <w:rPr>
          <w:color w:val="231F20"/>
          <w:spacing w:val="-3"/>
          <w:w w:val="105"/>
        </w:rPr>
        <w:t>organizaciones</w:t>
      </w:r>
      <w:r>
        <w:rPr>
          <w:color w:val="231F20"/>
          <w:spacing w:val="-15"/>
          <w:w w:val="105"/>
        </w:rPr>
        <w:t> </w:t>
      </w:r>
      <w:r>
        <w:rPr>
          <w:color w:val="231F20"/>
          <w:spacing w:val="-3"/>
          <w:w w:val="105"/>
        </w:rPr>
        <w:t>nacen, cambian,</w:t>
      </w:r>
      <w:r>
        <w:rPr>
          <w:color w:val="231F20"/>
          <w:spacing w:val="-18"/>
          <w:w w:val="105"/>
        </w:rPr>
        <w:t> </w:t>
      </w:r>
      <w:r>
        <w:rPr>
          <w:color w:val="231F20"/>
          <w:spacing w:val="-3"/>
          <w:w w:val="105"/>
        </w:rPr>
        <w:t>crecen</w:t>
      </w:r>
      <w:r>
        <w:rPr>
          <w:color w:val="231F20"/>
          <w:spacing w:val="-13"/>
          <w:w w:val="105"/>
        </w:rPr>
        <w:t> </w:t>
      </w:r>
      <w:r>
        <w:rPr>
          <w:color w:val="231F20"/>
          <w:w w:val="105"/>
        </w:rPr>
        <w:t>y</w:t>
      </w:r>
      <w:r>
        <w:rPr>
          <w:color w:val="231F20"/>
          <w:spacing w:val="-13"/>
          <w:w w:val="105"/>
        </w:rPr>
        <w:t> </w:t>
      </w:r>
      <w:r>
        <w:rPr>
          <w:color w:val="231F20"/>
          <w:spacing w:val="-3"/>
          <w:w w:val="105"/>
        </w:rPr>
        <w:t>mueren;</w:t>
      </w:r>
      <w:r>
        <w:rPr>
          <w:color w:val="231F20"/>
          <w:spacing w:val="-13"/>
          <w:w w:val="105"/>
        </w:rPr>
        <w:t> </w:t>
      </w:r>
      <w:r>
        <w:rPr>
          <w:color w:val="231F20"/>
          <w:spacing w:val="-3"/>
          <w:w w:val="105"/>
        </w:rPr>
        <w:t>cómo</w:t>
      </w:r>
      <w:r>
        <w:rPr>
          <w:color w:val="231F20"/>
          <w:spacing w:val="-13"/>
          <w:w w:val="105"/>
        </w:rPr>
        <w:t> </w:t>
      </w:r>
      <w:r>
        <w:rPr>
          <w:color w:val="231F20"/>
          <w:w w:val="105"/>
        </w:rPr>
        <w:t>las</w:t>
      </w:r>
      <w:r>
        <w:rPr>
          <w:color w:val="231F20"/>
          <w:spacing w:val="-13"/>
          <w:w w:val="105"/>
        </w:rPr>
        <w:t> </w:t>
      </w:r>
      <w:r>
        <w:rPr>
          <w:color w:val="231F20"/>
          <w:spacing w:val="-3"/>
          <w:w w:val="105"/>
        </w:rPr>
        <w:t>condiciones</w:t>
      </w:r>
      <w:r>
        <w:rPr>
          <w:color w:val="231F20"/>
          <w:spacing w:val="-13"/>
          <w:w w:val="105"/>
        </w:rPr>
        <w:t> </w:t>
      </w:r>
      <w:r>
        <w:rPr>
          <w:color w:val="231F20"/>
          <w:spacing w:val="-3"/>
          <w:w w:val="105"/>
        </w:rPr>
        <w:t>políticas,</w:t>
      </w:r>
      <w:r>
        <w:rPr>
          <w:color w:val="231F20"/>
          <w:spacing w:val="-18"/>
          <w:w w:val="105"/>
        </w:rPr>
        <w:t> </w:t>
      </w:r>
      <w:r>
        <w:rPr>
          <w:color w:val="231F20"/>
          <w:spacing w:val="-3"/>
          <w:w w:val="105"/>
        </w:rPr>
        <w:t>económicas</w:t>
      </w:r>
      <w:r>
        <w:rPr>
          <w:color w:val="231F20"/>
          <w:spacing w:val="-13"/>
          <w:w w:val="105"/>
        </w:rPr>
        <w:t> </w:t>
      </w:r>
      <w:r>
        <w:rPr>
          <w:color w:val="231F20"/>
          <w:w w:val="105"/>
        </w:rPr>
        <w:t>y </w:t>
      </w:r>
      <w:r>
        <w:rPr>
          <w:color w:val="231F20"/>
          <w:spacing w:val="-3"/>
          <w:w w:val="105"/>
        </w:rPr>
        <w:t>sociales</w:t>
      </w:r>
      <w:r>
        <w:rPr>
          <w:color w:val="231F20"/>
          <w:spacing w:val="-16"/>
          <w:w w:val="105"/>
        </w:rPr>
        <w:t> </w:t>
      </w:r>
      <w:r>
        <w:rPr>
          <w:color w:val="231F20"/>
          <w:spacing w:val="-3"/>
          <w:w w:val="105"/>
        </w:rPr>
        <w:t>conforman</w:t>
      </w:r>
      <w:r>
        <w:rPr>
          <w:color w:val="231F20"/>
          <w:spacing w:val="-16"/>
          <w:w w:val="105"/>
        </w:rPr>
        <w:t> </w:t>
      </w:r>
      <w:r>
        <w:rPr>
          <w:color w:val="231F20"/>
          <w:w w:val="105"/>
        </w:rPr>
        <w:t>los</w:t>
      </w:r>
      <w:r>
        <w:rPr>
          <w:color w:val="231F20"/>
          <w:spacing w:val="-16"/>
          <w:w w:val="105"/>
        </w:rPr>
        <w:t> </w:t>
      </w:r>
      <w:r>
        <w:rPr>
          <w:color w:val="231F20"/>
          <w:spacing w:val="-3"/>
          <w:w w:val="105"/>
        </w:rPr>
        <w:t>cambios</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spacing w:val="-3"/>
          <w:w w:val="105"/>
        </w:rPr>
        <w:t>organizaciones</w:t>
      </w:r>
      <w:r>
        <w:rPr>
          <w:color w:val="231F20"/>
          <w:spacing w:val="-16"/>
          <w:w w:val="105"/>
        </w:rPr>
        <w:t> </w:t>
      </w:r>
      <w:r>
        <w:rPr>
          <w:color w:val="231F20"/>
          <w:w w:val="105"/>
        </w:rPr>
        <w:t>a</w:t>
      </w:r>
      <w:r>
        <w:rPr>
          <w:color w:val="231F20"/>
          <w:spacing w:val="-16"/>
          <w:w w:val="105"/>
        </w:rPr>
        <w:t> </w:t>
      </w:r>
      <w:r>
        <w:rPr>
          <w:color w:val="231F20"/>
          <w:w w:val="105"/>
        </w:rPr>
        <w:t>lo</w:t>
      </w:r>
      <w:r>
        <w:rPr>
          <w:color w:val="231F20"/>
          <w:spacing w:val="-16"/>
          <w:w w:val="105"/>
        </w:rPr>
        <w:t> </w:t>
      </w:r>
      <w:r>
        <w:rPr>
          <w:color w:val="231F20"/>
          <w:spacing w:val="-3"/>
          <w:w w:val="105"/>
        </w:rPr>
        <w:t>largo</w:t>
      </w:r>
      <w:r>
        <w:rPr>
          <w:color w:val="231F20"/>
          <w:spacing w:val="-16"/>
          <w:w w:val="105"/>
        </w:rPr>
        <w:t> </w:t>
      </w:r>
      <w:r>
        <w:rPr>
          <w:color w:val="231F20"/>
          <w:w w:val="105"/>
        </w:rPr>
        <w:t>del</w:t>
      </w:r>
      <w:r>
        <w:rPr>
          <w:color w:val="231F20"/>
          <w:spacing w:val="-16"/>
          <w:w w:val="105"/>
        </w:rPr>
        <w:t> </w:t>
      </w:r>
      <w:r>
        <w:rPr>
          <w:color w:val="231F20"/>
          <w:spacing w:val="-3"/>
          <w:w w:val="105"/>
        </w:rPr>
        <w:t>tiem- </w:t>
      </w:r>
      <w:r>
        <w:rPr>
          <w:color w:val="231F20"/>
          <w:w w:val="105"/>
        </w:rPr>
        <w:t>po; </w:t>
      </w:r>
      <w:r>
        <w:rPr>
          <w:color w:val="231F20"/>
          <w:spacing w:val="-3"/>
          <w:w w:val="105"/>
        </w:rPr>
        <w:t>cómo </w:t>
      </w:r>
      <w:r>
        <w:rPr>
          <w:color w:val="231F20"/>
          <w:w w:val="105"/>
        </w:rPr>
        <w:t>las </w:t>
      </w:r>
      <w:r>
        <w:rPr>
          <w:color w:val="231F20"/>
          <w:spacing w:val="-3"/>
          <w:w w:val="105"/>
        </w:rPr>
        <w:t>organizaciones enfrentan </w:t>
      </w:r>
      <w:r>
        <w:rPr>
          <w:color w:val="231F20"/>
          <w:w w:val="105"/>
        </w:rPr>
        <w:t>su </w:t>
      </w:r>
      <w:r>
        <w:rPr>
          <w:color w:val="231F20"/>
          <w:spacing w:val="-3"/>
          <w:w w:val="105"/>
        </w:rPr>
        <w:t>ambiente </w:t>
      </w:r>
      <w:r>
        <w:rPr>
          <w:color w:val="231F20"/>
          <w:w w:val="105"/>
        </w:rPr>
        <w:t>a </w:t>
      </w:r>
      <w:r>
        <w:rPr>
          <w:color w:val="231F20"/>
          <w:spacing w:val="-3"/>
          <w:w w:val="105"/>
        </w:rPr>
        <w:t>través </w:t>
      </w:r>
      <w:r>
        <w:rPr>
          <w:color w:val="231F20"/>
          <w:w w:val="105"/>
        </w:rPr>
        <w:t>de la </w:t>
      </w:r>
      <w:r>
        <w:rPr>
          <w:color w:val="231F20"/>
          <w:spacing w:val="-3"/>
          <w:w w:val="105"/>
        </w:rPr>
        <w:t>imita- ción,</w:t>
      </w:r>
      <w:r>
        <w:rPr>
          <w:color w:val="231F20"/>
          <w:spacing w:val="-25"/>
          <w:w w:val="105"/>
        </w:rPr>
        <w:t> </w:t>
      </w:r>
      <w:r>
        <w:rPr>
          <w:color w:val="231F20"/>
          <w:w w:val="105"/>
        </w:rPr>
        <w:t>la</w:t>
      </w:r>
      <w:r>
        <w:rPr>
          <w:color w:val="231F20"/>
          <w:spacing w:val="-20"/>
          <w:w w:val="105"/>
        </w:rPr>
        <w:t> </w:t>
      </w:r>
      <w:r>
        <w:rPr>
          <w:color w:val="231F20"/>
          <w:spacing w:val="-3"/>
          <w:w w:val="105"/>
        </w:rPr>
        <w:t>adaptación</w:t>
      </w:r>
      <w:r>
        <w:rPr>
          <w:color w:val="231F20"/>
          <w:spacing w:val="-20"/>
          <w:w w:val="105"/>
        </w:rPr>
        <w:t> </w:t>
      </w:r>
      <w:r>
        <w:rPr>
          <w:color w:val="231F20"/>
          <w:w w:val="105"/>
        </w:rPr>
        <w:t>u</w:t>
      </w:r>
      <w:r>
        <w:rPr>
          <w:color w:val="231F20"/>
          <w:spacing w:val="-20"/>
          <w:w w:val="105"/>
        </w:rPr>
        <w:t> </w:t>
      </w:r>
      <w:r>
        <w:rPr>
          <w:color w:val="231F20"/>
          <w:spacing w:val="-3"/>
          <w:w w:val="105"/>
        </w:rPr>
        <w:t>otras</w:t>
      </w:r>
      <w:r>
        <w:rPr>
          <w:color w:val="231F20"/>
          <w:spacing w:val="-20"/>
          <w:w w:val="105"/>
        </w:rPr>
        <w:t> </w:t>
      </w:r>
      <w:r>
        <w:rPr>
          <w:color w:val="231F20"/>
          <w:spacing w:val="-3"/>
          <w:w w:val="105"/>
        </w:rPr>
        <w:t>tácticas;</w:t>
      </w:r>
      <w:r>
        <w:rPr>
          <w:color w:val="231F20"/>
          <w:spacing w:val="-20"/>
          <w:w w:val="105"/>
        </w:rPr>
        <w:t> </w:t>
      </w:r>
      <w:r>
        <w:rPr>
          <w:color w:val="231F20"/>
          <w:w w:val="105"/>
        </w:rPr>
        <w:t>y</w:t>
      </w:r>
      <w:r>
        <w:rPr>
          <w:color w:val="231F20"/>
          <w:spacing w:val="-20"/>
          <w:w w:val="105"/>
        </w:rPr>
        <w:t> </w:t>
      </w:r>
      <w:r>
        <w:rPr>
          <w:color w:val="231F20"/>
          <w:spacing w:val="-3"/>
          <w:w w:val="105"/>
        </w:rPr>
        <w:t>cómo</w:t>
      </w:r>
      <w:r>
        <w:rPr>
          <w:color w:val="231F20"/>
          <w:spacing w:val="-20"/>
          <w:w w:val="105"/>
        </w:rPr>
        <w:t> </w:t>
      </w:r>
      <w:r>
        <w:rPr>
          <w:color w:val="231F20"/>
          <w:w w:val="105"/>
        </w:rPr>
        <w:t>las</w:t>
      </w:r>
      <w:r>
        <w:rPr>
          <w:color w:val="231F20"/>
          <w:spacing w:val="-20"/>
          <w:w w:val="105"/>
        </w:rPr>
        <w:t> </w:t>
      </w:r>
      <w:r>
        <w:rPr>
          <w:color w:val="231F20"/>
          <w:spacing w:val="-3"/>
          <w:w w:val="105"/>
        </w:rPr>
        <w:t>organizaciones</w:t>
      </w:r>
      <w:r>
        <w:rPr>
          <w:color w:val="231F20"/>
          <w:spacing w:val="-20"/>
          <w:w w:val="105"/>
        </w:rPr>
        <w:t> </w:t>
      </w:r>
      <w:r>
        <w:rPr>
          <w:color w:val="231F20"/>
          <w:spacing w:val="-4"/>
          <w:w w:val="105"/>
        </w:rPr>
        <w:t>interactúan </w:t>
      </w:r>
      <w:r>
        <w:rPr>
          <w:color w:val="231F20"/>
          <w:w w:val="105"/>
        </w:rPr>
        <w:t>con</w:t>
      </w:r>
      <w:r>
        <w:rPr>
          <w:color w:val="231F20"/>
          <w:spacing w:val="-37"/>
          <w:w w:val="105"/>
        </w:rPr>
        <w:t> </w:t>
      </w:r>
      <w:r>
        <w:rPr>
          <w:color w:val="231F20"/>
          <w:w w:val="105"/>
        </w:rPr>
        <w:t>sus</w:t>
      </w:r>
      <w:r>
        <w:rPr>
          <w:color w:val="231F20"/>
          <w:spacing w:val="-37"/>
          <w:w w:val="105"/>
        </w:rPr>
        <w:t> </w:t>
      </w:r>
      <w:r>
        <w:rPr>
          <w:color w:val="231F20"/>
          <w:spacing w:val="-3"/>
          <w:w w:val="105"/>
        </w:rPr>
        <w:t>competidores</w:t>
      </w:r>
      <w:r>
        <w:rPr>
          <w:color w:val="231F20"/>
          <w:spacing w:val="-37"/>
          <w:w w:val="105"/>
        </w:rPr>
        <w:t> </w:t>
      </w:r>
      <w:r>
        <w:rPr>
          <w:color w:val="231F20"/>
          <w:w w:val="105"/>
        </w:rPr>
        <w:t>u</w:t>
      </w:r>
      <w:r>
        <w:rPr>
          <w:color w:val="231F20"/>
          <w:spacing w:val="-37"/>
          <w:w w:val="105"/>
        </w:rPr>
        <w:t> </w:t>
      </w:r>
      <w:r>
        <w:rPr>
          <w:color w:val="231F20"/>
          <w:spacing w:val="-3"/>
          <w:w w:val="105"/>
        </w:rPr>
        <w:t>otros</w:t>
      </w:r>
      <w:r>
        <w:rPr>
          <w:color w:val="231F20"/>
          <w:spacing w:val="-37"/>
          <w:w w:val="105"/>
        </w:rPr>
        <w:t> </w:t>
      </w:r>
      <w:r>
        <w:rPr>
          <w:color w:val="231F20"/>
          <w:spacing w:val="-3"/>
          <w:w w:val="105"/>
        </w:rPr>
        <w:t>actores</w:t>
      </w:r>
      <w:r>
        <w:rPr>
          <w:color w:val="231F20"/>
          <w:spacing w:val="-37"/>
          <w:w w:val="105"/>
        </w:rPr>
        <w:t> </w:t>
      </w:r>
      <w:r>
        <w:rPr>
          <w:color w:val="231F20"/>
          <w:w w:val="105"/>
        </w:rPr>
        <w:t>(o</w:t>
      </w:r>
      <w:r>
        <w:rPr>
          <w:color w:val="231F20"/>
          <w:spacing w:val="-37"/>
          <w:w w:val="105"/>
        </w:rPr>
        <w:t> </w:t>
      </w:r>
      <w:r>
        <w:rPr>
          <w:color w:val="231F20"/>
          <w:spacing w:val="-3"/>
          <w:w w:val="105"/>
        </w:rPr>
        <w:t>agentes)</w:t>
      </w:r>
      <w:r>
        <w:rPr>
          <w:color w:val="231F20"/>
          <w:spacing w:val="-37"/>
          <w:w w:val="105"/>
        </w:rPr>
        <w:t> </w:t>
      </w:r>
      <w:r>
        <w:rPr>
          <w:color w:val="231F20"/>
          <w:w w:val="105"/>
        </w:rPr>
        <w:t>en</w:t>
      </w:r>
      <w:r>
        <w:rPr>
          <w:color w:val="231F20"/>
          <w:spacing w:val="-37"/>
          <w:w w:val="105"/>
        </w:rPr>
        <w:t> </w:t>
      </w:r>
      <w:r>
        <w:rPr>
          <w:color w:val="231F20"/>
          <w:w w:val="105"/>
        </w:rPr>
        <w:t>su</w:t>
      </w:r>
      <w:r>
        <w:rPr>
          <w:color w:val="231F20"/>
          <w:spacing w:val="-37"/>
          <w:w w:val="105"/>
        </w:rPr>
        <w:t> </w:t>
      </w:r>
      <w:r>
        <w:rPr>
          <w:color w:val="231F20"/>
          <w:spacing w:val="-3"/>
          <w:w w:val="105"/>
        </w:rPr>
        <w:t>ambiente</w:t>
      </w:r>
      <w:r>
        <w:rPr>
          <w:color w:val="231F20"/>
          <w:spacing w:val="-37"/>
          <w:w w:val="105"/>
        </w:rPr>
        <w:t> </w:t>
      </w:r>
      <w:r>
        <w:rPr>
          <w:color w:val="231F20"/>
          <w:spacing w:val="-3"/>
          <w:w w:val="105"/>
        </w:rPr>
        <w:t>(Li,</w:t>
      </w:r>
      <w:r>
        <w:rPr>
          <w:color w:val="231F20"/>
          <w:spacing w:val="-41"/>
          <w:w w:val="105"/>
        </w:rPr>
        <w:t> </w:t>
      </w:r>
      <w:r>
        <w:rPr>
          <w:color w:val="231F20"/>
          <w:spacing w:val="-3"/>
          <w:w w:val="105"/>
        </w:rPr>
        <w:t>2012).</w:t>
      </w:r>
    </w:p>
    <w:p>
      <w:pPr>
        <w:pStyle w:val="BodyText"/>
        <w:rPr>
          <w:sz w:val="20"/>
        </w:rPr>
      </w:pPr>
    </w:p>
    <w:p>
      <w:pPr>
        <w:pStyle w:val="BodyText"/>
        <w:spacing w:before="5"/>
        <w:rPr>
          <w:sz w:val="27"/>
        </w:rPr>
      </w:pPr>
    </w:p>
    <w:p>
      <w:pPr>
        <w:tabs>
          <w:tab w:pos="1317" w:val="left" w:leader="none"/>
        </w:tabs>
        <w:spacing w:before="71"/>
        <w:ind w:left="267" w:right="17" w:firstLine="0"/>
        <w:jc w:val="left"/>
        <w:rPr>
          <w:rFonts w:ascii="Calibri" w:hAnsi="Calibri"/>
          <w:sz w:val="15"/>
        </w:rPr>
      </w:pPr>
      <w:r>
        <w:rPr/>
        <w:pict>
          <v:group style="position:absolute;margin-left:101.817299pt;margin-top:-16.749887pt;width:17.850pt;height:56.5pt;mso-position-horizontal-relative:page;mso-position-vertical-relative:paragraph;z-index:-24647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22</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4"/>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448"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23</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pStyle w:val="BodyText"/>
        <w:spacing w:line="259" w:lineRule="auto" w:before="169"/>
        <w:ind w:left="117" w:right="121"/>
        <w:jc w:val="both"/>
      </w:pPr>
      <w:r>
        <w:rPr>
          <w:color w:val="231F20"/>
          <w:w w:val="105"/>
        </w:rPr>
        <w:t>La ecología </w:t>
      </w:r>
      <w:r>
        <w:rPr>
          <w:color w:val="231F20"/>
          <w:spacing w:val="-3"/>
          <w:w w:val="105"/>
        </w:rPr>
        <w:t>organizacional </w:t>
      </w:r>
      <w:r>
        <w:rPr>
          <w:color w:val="231F20"/>
          <w:w w:val="105"/>
        </w:rPr>
        <w:t>parte de que la </w:t>
      </w:r>
      <w:r>
        <w:rPr>
          <w:color w:val="231F20"/>
          <w:spacing w:val="-3"/>
          <w:w w:val="105"/>
        </w:rPr>
        <w:t>organización </w:t>
      </w:r>
      <w:r>
        <w:rPr>
          <w:color w:val="231F20"/>
          <w:w w:val="105"/>
        </w:rPr>
        <w:t>es un sistema ecológico</w:t>
      </w:r>
      <w:r>
        <w:rPr>
          <w:color w:val="231F20"/>
          <w:spacing w:val="-15"/>
          <w:w w:val="105"/>
        </w:rPr>
        <w:t> </w:t>
      </w:r>
      <w:r>
        <w:rPr>
          <w:color w:val="231F20"/>
          <w:w w:val="105"/>
        </w:rPr>
        <w:t>complejo</w:t>
      </w:r>
      <w:r>
        <w:rPr>
          <w:color w:val="231F20"/>
          <w:spacing w:val="-15"/>
          <w:w w:val="105"/>
        </w:rPr>
        <w:t> </w:t>
      </w:r>
      <w:r>
        <w:rPr>
          <w:color w:val="231F20"/>
          <w:w w:val="105"/>
        </w:rPr>
        <w:t>caracterizado</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spacing w:val="-3"/>
          <w:w w:val="105"/>
        </w:rPr>
        <w:t>interdependencia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subsis- temas</w:t>
      </w:r>
      <w:r>
        <w:rPr>
          <w:color w:val="231F20"/>
          <w:spacing w:val="-7"/>
          <w:w w:val="105"/>
        </w:rPr>
        <w:t> </w:t>
      </w:r>
      <w:r>
        <w:rPr>
          <w:color w:val="231F20"/>
          <w:w w:val="105"/>
        </w:rPr>
        <w:t>social</w:t>
      </w:r>
      <w:r>
        <w:rPr>
          <w:color w:val="231F20"/>
          <w:spacing w:val="-7"/>
          <w:w w:val="105"/>
        </w:rPr>
        <w:t> </w:t>
      </w:r>
      <w:r>
        <w:rPr>
          <w:color w:val="231F20"/>
          <w:w w:val="105"/>
        </w:rPr>
        <w:t>y</w:t>
      </w:r>
      <w:r>
        <w:rPr>
          <w:color w:val="231F20"/>
          <w:spacing w:val="-7"/>
          <w:w w:val="105"/>
        </w:rPr>
        <w:t> </w:t>
      </w:r>
      <w:r>
        <w:rPr>
          <w:color w:val="231F20"/>
          <w:w w:val="105"/>
        </w:rPr>
        <w:t>técnico.</w:t>
      </w:r>
      <w:r>
        <w:rPr>
          <w:color w:val="231F20"/>
          <w:spacing w:val="-12"/>
          <w:w w:val="105"/>
        </w:rPr>
        <w:t> </w:t>
      </w:r>
      <w:r>
        <w:rPr>
          <w:color w:val="231F20"/>
          <w:w w:val="105"/>
        </w:rPr>
        <w:t>Se</w:t>
      </w:r>
      <w:r>
        <w:rPr>
          <w:color w:val="231F20"/>
          <w:spacing w:val="-7"/>
          <w:w w:val="105"/>
        </w:rPr>
        <w:t> </w:t>
      </w:r>
      <w:r>
        <w:rPr>
          <w:color w:val="231F20"/>
          <w:w w:val="105"/>
        </w:rPr>
        <w:t>asume</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supervivencia</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desempeño </w:t>
      </w:r>
      <w:r>
        <w:rPr>
          <w:color w:val="231F20"/>
          <w:spacing w:val="-3"/>
          <w:w w:val="105"/>
        </w:rPr>
        <w:t>organizacionales</w:t>
      </w:r>
      <w:r>
        <w:rPr>
          <w:color w:val="231F20"/>
          <w:spacing w:val="-40"/>
          <w:w w:val="105"/>
        </w:rPr>
        <w:t> </w:t>
      </w:r>
      <w:r>
        <w:rPr>
          <w:color w:val="231F20"/>
          <w:w w:val="105"/>
        </w:rPr>
        <w:t>están</w:t>
      </w:r>
      <w:r>
        <w:rPr>
          <w:color w:val="231F20"/>
          <w:spacing w:val="-40"/>
          <w:w w:val="105"/>
        </w:rPr>
        <w:t> </w:t>
      </w:r>
      <w:r>
        <w:rPr>
          <w:color w:val="231F20"/>
          <w:w w:val="105"/>
        </w:rPr>
        <w:t>altamente</w:t>
      </w:r>
      <w:r>
        <w:rPr>
          <w:color w:val="231F20"/>
          <w:spacing w:val="-40"/>
          <w:w w:val="105"/>
        </w:rPr>
        <w:t> </w:t>
      </w:r>
      <w:r>
        <w:rPr>
          <w:color w:val="231F20"/>
          <w:spacing w:val="-3"/>
          <w:w w:val="105"/>
        </w:rPr>
        <w:t>correlacionados</w:t>
      </w:r>
      <w:r>
        <w:rPr>
          <w:color w:val="231F20"/>
          <w:spacing w:val="-40"/>
          <w:w w:val="105"/>
        </w:rPr>
        <w:t> </w:t>
      </w:r>
      <w:r>
        <w:rPr>
          <w:color w:val="231F20"/>
          <w:w w:val="105"/>
        </w:rPr>
        <w:t>como</w:t>
      </w:r>
      <w:r>
        <w:rPr>
          <w:color w:val="231F20"/>
          <w:spacing w:val="-40"/>
          <w:w w:val="105"/>
        </w:rPr>
        <w:t> </w:t>
      </w:r>
      <w:r>
        <w:rPr>
          <w:color w:val="231F20"/>
          <w:w w:val="105"/>
        </w:rPr>
        <w:t>consecuencia</w:t>
      </w:r>
      <w:r>
        <w:rPr>
          <w:color w:val="231F20"/>
          <w:spacing w:val="-40"/>
          <w:w w:val="105"/>
        </w:rPr>
        <w:t> </w:t>
      </w:r>
      <w:r>
        <w:rPr>
          <w:color w:val="231F20"/>
          <w:w w:val="105"/>
        </w:rPr>
        <w:t>de </w:t>
      </w:r>
      <w:r>
        <w:rPr>
          <w:color w:val="231F20"/>
          <w:spacing w:val="-3"/>
          <w:w w:val="105"/>
        </w:rPr>
        <w:t>procesos</w:t>
      </w:r>
      <w:r>
        <w:rPr>
          <w:color w:val="231F20"/>
          <w:spacing w:val="-28"/>
          <w:w w:val="105"/>
        </w:rPr>
        <w:t> </w:t>
      </w:r>
      <w:r>
        <w:rPr>
          <w:color w:val="231F20"/>
          <w:w w:val="105"/>
        </w:rPr>
        <w:t>de</w:t>
      </w:r>
      <w:r>
        <w:rPr>
          <w:color w:val="231F20"/>
          <w:spacing w:val="-28"/>
          <w:w w:val="105"/>
        </w:rPr>
        <w:t> </w:t>
      </w:r>
      <w:r>
        <w:rPr>
          <w:color w:val="231F20"/>
          <w:w w:val="105"/>
        </w:rPr>
        <w:t>adaptación</w:t>
      </w:r>
      <w:r>
        <w:rPr>
          <w:color w:val="231F20"/>
          <w:spacing w:val="-28"/>
          <w:w w:val="105"/>
        </w:rPr>
        <w:t> </w:t>
      </w:r>
      <w:r>
        <w:rPr>
          <w:color w:val="231F20"/>
          <w:w w:val="105"/>
        </w:rPr>
        <w:t>y</w:t>
      </w:r>
      <w:r>
        <w:rPr>
          <w:color w:val="231F20"/>
          <w:spacing w:val="-28"/>
          <w:w w:val="105"/>
        </w:rPr>
        <w:t> </w:t>
      </w:r>
      <w:r>
        <w:rPr>
          <w:color w:val="231F20"/>
          <w:w w:val="105"/>
        </w:rPr>
        <w:t>selección</w:t>
      </w:r>
      <w:r>
        <w:rPr>
          <w:color w:val="231F20"/>
          <w:spacing w:val="-28"/>
          <w:w w:val="105"/>
        </w:rPr>
        <w:t> </w:t>
      </w:r>
      <w:r>
        <w:rPr>
          <w:color w:val="231F20"/>
          <w:spacing w:val="-3"/>
          <w:w w:val="105"/>
        </w:rPr>
        <w:t>natural</w:t>
      </w:r>
      <w:r>
        <w:rPr>
          <w:color w:val="231F20"/>
          <w:spacing w:val="-28"/>
          <w:w w:val="105"/>
        </w:rPr>
        <w:t> </w:t>
      </w:r>
      <w:r>
        <w:rPr>
          <w:color w:val="231F20"/>
          <w:spacing w:val="-4"/>
          <w:w w:val="105"/>
        </w:rPr>
        <w:t>(Pfeffer,</w:t>
      </w:r>
      <w:r>
        <w:rPr>
          <w:color w:val="231F20"/>
          <w:spacing w:val="-32"/>
          <w:w w:val="105"/>
        </w:rPr>
        <w:t> </w:t>
      </w:r>
      <w:r>
        <w:rPr>
          <w:color w:val="231F20"/>
          <w:w w:val="105"/>
        </w:rPr>
        <w:t>2000).</w:t>
      </w:r>
      <w:r>
        <w:rPr>
          <w:color w:val="231F20"/>
          <w:spacing w:val="-32"/>
          <w:w w:val="105"/>
        </w:rPr>
        <w:t> </w:t>
      </w:r>
      <w:r>
        <w:rPr>
          <w:color w:val="231F20"/>
          <w:w w:val="105"/>
        </w:rPr>
        <w:t>Esto</w:t>
      </w:r>
      <w:r>
        <w:rPr>
          <w:color w:val="231F20"/>
          <w:spacing w:val="-28"/>
          <w:w w:val="105"/>
        </w:rPr>
        <w:t> </w:t>
      </w:r>
      <w:r>
        <w:rPr>
          <w:color w:val="231F20"/>
          <w:w w:val="105"/>
        </w:rPr>
        <w:t>es,</w:t>
      </w:r>
      <w:r>
        <w:rPr>
          <w:color w:val="231F20"/>
          <w:spacing w:val="-32"/>
          <w:w w:val="105"/>
        </w:rPr>
        <w:t> </w:t>
      </w:r>
      <w:r>
        <w:rPr>
          <w:color w:val="231F20"/>
          <w:w w:val="105"/>
        </w:rPr>
        <w:t>las</w:t>
      </w:r>
      <w:r>
        <w:rPr>
          <w:color w:val="231F20"/>
          <w:spacing w:val="-28"/>
          <w:w w:val="105"/>
        </w:rPr>
        <w:t> </w:t>
      </w:r>
      <w:r>
        <w:rPr>
          <w:color w:val="231F20"/>
          <w:spacing w:val="-3"/>
          <w:w w:val="105"/>
        </w:rPr>
        <w:t>or- </w:t>
      </w:r>
      <w:r>
        <w:rPr>
          <w:color w:val="231F20"/>
          <w:w w:val="105"/>
        </w:rPr>
        <w:t>ganizaciones</w:t>
      </w:r>
      <w:r>
        <w:rPr>
          <w:color w:val="231F20"/>
          <w:spacing w:val="-31"/>
          <w:w w:val="105"/>
        </w:rPr>
        <w:t> </w:t>
      </w:r>
      <w:r>
        <w:rPr>
          <w:color w:val="231F20"/>
          <w:w w:val="105"/>
        </w:rPr>
        <w:t>son</w:t>
      </w:r>
      <w:r>
        <w:rPr>
          <w:color w:val="231F20"/>
          <w:spacing w:val="-31"/>
          <w:w w:val="105"/>
        </w:rPr>
        <w:t> </w:t>
      </w:r>
      <w:r>
        <w:rPr>
          <w:color w:val="231F20"/>
          <w:w w:val="105"/>
        </w:rPr>
        <w:t>seleccionadas</w:t>
      </w:r>
      <w:r>
        <w:rPr>
          <w:color w:val="231F20"/>
          <w:spacing w:val="-31"/>
          <w:w w:val="105"/>
        </w:rPr>
        <w:t> </w:t>
      </w:r>
      <w:r>
        <w:rPr>
          <w:color w:val="231F20"/>
          <w:w w:val="105"/>
        </w:rPr>
        <w:t>por</w:t>
      </w:r>
      <w:r>
        <w:rPr>
          <w:color w:val="231F20"/>
          <w:spacing w:val="-31"/>
          <w:w w:val="105"/>
        </w:rPr>
        <w:t> </w:t>
      </w:r>
      <w:r>
        <w:rPr>
          <w:color w:val="231F20"/>
          <w:w w:val="105"/>
        </w:rPr>
        <w:t>el</w:t>
      </w:r>
      <w:r>
        <w:rPr>
          <w:color w:val="231F20"/>
          <w:spacing w:val="-31"/>
          <w:w w:val="105"/>
        </w:rPr>
        <w:t> </w:t>
      </w:r>
      <w:r>
        <w:rPr>
          <w:color w:val="231F20"/>
          <w:w w:val="105"/>
        </w:rPr>
        <w:t>ambiente</w:t>
      </w:r>
      <w:r>
        <w:rPr>
          <w:color w:val="231F20"/>
          <w:spacing w:val="-31"/>
          <w:w w:val="105"/>
        </w:rPr>
        <w:t> </w:t>
      </w:r>
      <w:r>
        <w:rPr>
          <w:color w:val="231F20"/>
          <w:w w:val="105"/>
        </w:rPr>
        <w:t>y</w:t>
      </w:r>
      <w:r>
        <w:rPr>
          <w:color w:val="231F20"/>
          <w:spacing w:val="-31"/>
          <w:w w:val="105"/>
        </w:rPr>
        <w:t> </w:t>
      </w:r>
      <w:r>
        <w:rPr>
          <w:color w:val="231F20"/>
          <w:w w:val="105"/>
        </w:rPr>
        <w:t>las</w:t>
      </w:r>
      <w:r>
        <w:rPr>
          <w:color w:val="231F20"/>
          <w:spacing w:val="-31"/>
          <w:w w:val="105"/>
        </w:rPr>
        <w:t> </w:t>
      </w:r>
      <w:r>
        <w:rPr>
          <w:color w:val="231F20"/>
          <w:w w:val="105"/>
        </w:rPr>
        <w:t>que</w:t>
      </w:r>
      <w:r>
        <w:rPr>
          <w:color w:val="231F20"/>
          <w:spacing w:val="-31"/>
          <w:w w:val="105"/>
        </w:rPr>
        <w:t> </w:t>
      </w:r>
      <w:r>
        <w:rPr>
          <w:color w:val="231F20"/>
          <w:w w:val="105"/>
        </w:rPr>
        <w:t>mejor</w:t>
      </w:r>
      <w:r>
        <w:rPr>
          <w:color w:val="231F20"/>
          <w:spacing w:val="-31"/>
          <w:w w:val="105"/>
        </w:rPr>
        <w:t> </w:t>
      </w:r>
      <w:r>
        <w:rPr>
          <w:color w:val="231F20"/>
          <w:w w:val="105"/>
        </w:rPr>
        <w:t>cumplen con</w:t>
      </w:r>
      <w:r>
        <w:rPr>
          <w:color w:val="231F20"/>
          <w:spacing w:val="-26"/>
          <w:w w:val="105"/>
        </w:rPr>
        <w:t> </w:t>
      </w:r>
      <w:r>
        <w:rPr>
          <w:color w:val="231F20"/>
          <w:w w:val="105"/>
        </w:rPr>
        <w:t>los</w:t>
      </w:r>
      <w:r>
        <w:rPr>
          <w:color w:val="231F20"/>
          <w:spacing w:val="-26"/>
          <w:w w:val="105"/>
        </w:rPr>
        <w:t> </w:t>
      </w:r>
      <w:r>
        <w:rPr>
          <w:color w:val="231F20"/>
          <w:spacing w:val="-3"/>
          <w:w w:val="105"/>
        </w:rPr>
        <w:t>requisios</w:t>
      </w:r>
      <w:r>
        <w:rPr>
          <w:color w:val="231F20"/>
          <w:spacing w:val="-26"/>
          <w:w w:val="105"/>
        </w:rPr>
        <w:t> </w:t>
      </w:r>
      <w:r>
        <w:rPr>
          <w:color w:val="231F20"/>
          <w:w w:val="105"/>
        </w:rPr>
        <w:t>de</w:t>
      </w:r>
      <w:r>
        <w:rPr>
          <w:color w:val="231F20"/>
          <w:spacing w:val="-26"/>
          <w:w w:val="105"/>
        </w:rPr>
        <w:t> </w:t>
      </w:r>
      <w:r>
        <w:rPr>
          <w:color w:val="231F20"/>
          <w:w w:val="105"/>
        </w:rPr>
        <w:t>un</w:t>
      </w:r>
      <w:r>
        <w:rPr>
          <w:color w:val="231F20"/>
          <w:spacing w:val="-26"/>
          <w:w w:val="105"/>
        </w:rPr>
        <w:t> </w:t>
      </w:r>
      <w:r>
        <w:rPr>
          <w:color w:val="231F20"/>
          <w:w w:val="105"/>
        </w:rPr>
        <w:t>medio</w:t>
      </w:r>
      <w:r>
        <w:rPr>
          <w:color w:val="231F20"/>
          <w:spacing w:val="-26"/>
          <w:w w:val="105"/>
        </w:rPr>
        <w:t> </w:t>
      </w:r>
      <w:r>
        <w:rPr>
          <w:color w:val="231F20"/>
          <w:w w:val="105"/>
        </w:rPr>
        <w:t>ambiente</w:t>
      </w:r>
      <w:r>
        <w:rPr>
          <w:color w:val="231F20"/>
          <w:spacing w:val="-26"/>
          <w:w w:val="105"/>
        </w:rPr>
        <w:t> </w:t>
      </w:r>
      <w:r>
        <w:rPr>
          <w:color w:val="231F20"/>
          <w:spacing w:val="-3"/>
          <w:w w:val="105"/>
        </w:rPr>
        <w:t>sobreviven,</w:t>
      </w:r>
      <w:r>
        <w:rPr>
          <w:color w:val="231F20"/>
          <w:spacing w:val="-32"/>
          <w:w w:val="105"/>
        </w:rPr>
        <w:t> </w:t>
      </w:r>
      <w:r>
        <w:rPr>
          <w:color w:val="231F20"/>
          <w:w w:val="105"/>
        </w:rPr>
        <w:t>mientras</w:t>
      </w:r>
      <w:r>
        <w:rPr>
          <w:color w:val="231F20"/>
          <w:spacing w:val="-26"/>
          <w:w w:val="105"/>
        </w:rPr>
        <w:t> </w:t>
      </w:r>
      <w:r>
        <w:rPr>
          <w:color w:val="231F20"/>
          <w:w w:val="105"/>
        </w:rPr>
        <w:t>que</w:t>
      </w:r>
      <w:r>
        <w:rPr>
          <w:color w:val="231F20"/>
          <w:spacing w:val="-26"/>
          <w:w w:val="105"/>
        </w:rPr>
        <w:t> </w:t>
      </w:r>
      <w:r>
        <w:rPr>
          <w:color w:val="231F20"/>
          <w:w w:val="105"/>
        </w:rPr>
        <w:t>tienden a</w:t>
      </w:r>
      <w:r>
        <w:rPr>
          <w:color w:val="231F20"/>
          <w:spacing w:val="-30"/>
          <w:w w:val="105"/>
        </w:rPr>
        <w:t> </w:t>
      </w:r>
      <w:r>
        <w:rPr>
          <w:color w:val="231F20"/>
          <w:spacing w:val="-3"/>
          <w:w w:val="105"/>
        </w:rPr>
        <w:t>desaparecer</w:t>
      </w:r>
      <w:r>
        <w:rPr>
          <w:color w:val="231F20"/>
          <w:spacing w:val="-30"/>
          <w:w w:val="105"/>
        </w:rPr>
        <w:t> </w:t>
      </w:r>
      <w:r>
        <w:rPr>
          <w:color w:val="231F20"/>
          <w:w w:val="105"/>
        </w:rPr>
        <w:t>aquellas</w:t>
      </w:r>
      <w:r>
        <w:rPr>
          <w:color w:val="231F20"/>
          <w:spacing w:val="-30"/>
          <w:w w:val="105"/>
        </w:rPr>
        <w:t> </w:t>
      </w:r>
      <w:r>
        <w:rPr>
          <w:color w:val="231F20"/>
          <w:w w:val="105"/>
        </w:rPr>
        <w:t>que</w:t>
      </w:r>
      <w:r>
        <w:rPr>
          <w:color w:val="231F20"/>
          <w:spacing w:val="-30"/>
          <w:w w:val="105"/>
        </w:rPr>
        <w:t> </w:t>
      </w:r>
      <w:r>
        <w:rPr>
          <w:color w:val="231F20"/>
          <w:w w:val="105"/>
        </w:rPr>
        <w:t>no</w:t>
      </w:r>
      <w:r>
        <w:rPr>
          <w:color w:val="231F20"/>
          <w:spacing w:val="-30"/>
          <w:w w:val="105"/>
        </w:rPr>
        <w:t> </w:t>
      </w:r>
      <w:r>
        <w:rPr>
          <w:color w:val="231F20"/>
          <w:w w:val="105"/>
        </w:rPr>
        <w:t>lo</w:t>
      </w:r>
      <w:r>
        <w:rPr>
          <w:color w:val="231F20"/>
          <w:spacing w:val="-30"/>
          <w:w w:val="105"/>
        </w:rPr>
        <w:t> </w:t>
      </w:r>
      <w:r>
        <w:rPr>
          <w:color w:val="231F20"/>
          <w:w w:val="105"/>
        </w:rPr>
        <w:t>hacen</w:t>
      </w:r>
      <w:r>
        <w:rPr>
          <w:color w:val="231F20"/>
          <w:spacing w:val="-30"/>
          <w:w w:val="105"/>
        </w:rPr>
        <w:t> </w:t>
      </w:r>
      <w:r>
        <w:rPr>
          <w:color w:val="231F20"/>
          <w:w w:val="105"/>
        </w:rPr>
        <w:t>(Hannan</w:t>
      </w:r>
      <w:r>
        <w:rPr>
          <w:color w:val="231F20"/>
          <w:spacing w:val="-30"/>
          <w:w w:val="105"/>
        </w:rPr>
        <w:t> </w:t>
      </w:r>
      <w:r>
        <w:rPr>
          <w:color w:val="231F20"/>
          <w:w w:val="105"/>
        </w:rPr>
        <w:t>y</w:t>
      </w:r>
      <w:r>
        <w:rPr>
          <w:color w:val="231F20"/>
          <w:spacing w:val="-30"/>
          <w:w w:val="105"/>
        </w:rPr>
        <w:t> </w:t>
      </w:r>
      <w:r>
        <w:rPr>
          <w:color w:val="231F20"/>
          <w:spacing w:val="-4"/>
          <w:w w:val="105"/>
        </w:rPr>
        <w:t>Freeman,</w:t>
      </w:r>
      <w:r>
        <w:rPr>
          <w:color w:val="231F20"/>
          <w:spacing w:val="-35"/>
          <w:w w:val="105"/>
        </w:rPr>
        <w:t> </w:t>
      </w:r>
      <w:r>
        <w:rPr>
          <w:color w:val="231F20"/>
          <w:spacing w:val="-2"/>
          <w:w w:val="105"/>
        </w:rPr>
        <w:t>1977).</w:t>
      </w:r>
    </w:p>
    <w:p>
      <w:pPr>
        <w:pStyle w:val="BodyText"/>
        <w:spacing w:line="259" w:lineRule="auto"/>
        <w:ind w:left="117" w:right="115" w:firstLine="567"/>
        <w:jc w:val="both"/>
      </w:pPr>
      <w:r>
        <w:rPr>
          <w:color w:val="231F20"/>
          <w:spacing w:val="-4"/>
          <w:w w:val="105"/>
        </w:rPr>
        <w:t>Para</w:t>
      </w:r>
      <w:r>
        <w:rPr>
          <w:color w:val="231F20"/>
          <w:spacing w:val="-23"/>
          <w:w w:val="105"/>
        </w:rPr>
        <w:t> </w:t>
      </w:r>
      <w:r>
        <w:rPr>
          <w:color w:val="231F20"/>
          <w:w w:val="105"/>
        </w:rPr>
        <w:t>la</w:t>
      </w:r>
      <w:r>
        <w:rPr>
          <w:color w:val="231F20"/>
          <w:spacing w:val="-23"/>
          <w:w w:val="105"/>
        </w:rPr>
        <w:t> </w:t>
      </w:r>
      <w:r>
        <w:rPr>
          <w:color w:val="231F20"/>
          <w:w w:val="105"/>
        </w:rPr>
        <w:t>sobrevivencia,</w:t>
      </w:r>
      <w:r>
        <w:rPr>
          <w:color w:val="231F20"/>
          <w:spacing w:val="-27"/>
          <w:w w:val="105"/>
        </w:rPr>
        <w:t> </w:t>
      </w:r>
      <w:r>
        <w:rPr>
          <w:color w:val="231F20"/>
          <w:w w:val="105"/>
        </w:rPr>
        <w:t>las</w:t>
      </w:r>
      <w:r>
        <w:rPr>
          <w:color w:val="231F20"/>
          <w:spacing w:val="-23"/>
          <w:w w:val="105"/>
        </w:rPr>
        <w:t> </w:t>
      </w:r>
      <w:r>
        <w:rPr>
          <w:color w:val="231F20"/>
          <w:w w:val="105"/>
        </w:rPr>
        <w:t>organizaciones</w:t>
      </w:r>
      <w:r>
        <w:rPr>
          <w:color w:val="231F20"/>
          <w:spacing w:val="-23"/>
          <w:w w:val="105"/>
        </w:rPr>
        <w:t> </w:t>
      </w:r>
      <w:r>
        <w:rPr>
          <w:color w:val="231F20"/>
          <w:w w:val="105"/>
        </w:rPr>
        <w:t>cuentan</w:t>
      </w:r>
      <w:r>
        <w:rPr>
          <w:color w:val="231F20"/>
          <w:spacing w:val="-23"/>
          <w:w w:val="105"/>
        </w:rPr>
        <w:t> </w:t>
      </w:r>
      <w:r>
        <w:rPr>
          <w:color w:val="231F20"/>
          <w:w w:val="105"/>
        </w:rPr>
        <w:t>con</w:t>
      </w:r>
      <w:r>
        <w:rPr>
          <w:color w:val="231F20"/>
          <w:spacing w:val="-23"/>
          <w:w w:val="105"/>
        </w:rPr>
        <w:t> </w:t>
      </w:r>
      <w:r>
        <w:rPr>
          <w:color w:val="231F20"/>
          <w:w w:val="105"/>
        </w:rPr>
        <w:t>estructuras, rutinas y procedimientos organizacionales reproductibles (Hannan y Freeman,</w:t>
      </w:r>
      <w:r>
        <w:rPr>
          <w:color w:val="231F20"/>
          <w:spacing w:val="-26"/>
          <w:w w:val="105"/>
        </w:rPr>
        <w:t> </w:t>
      </w:r>
      <w:r>
        <w:rPr>
          <w:color w:val="231F20"/>
          <w:w w:val="105"/>
        </w:rPr>
        <w:t>1977).</w:t>
      </w:r>
      <w:r>
        <w:rPr>
          <w:color w:val="231F20"/>
          <w:spacing w:val="-26"/>
          <w:w w:val="105"/>
        </w:rPr>
        <w:t> </w:t>
      </w:r>
      <w:r>
        <w:rPr>
          <w:color w:val="231F20"/>
          <w:w w:val="105"/>
        </w:rPr>
        <w:t>La</w:t>
      </w:r>
      <w:r>
        <w:rPr>
          <w:color w:val="231F20"/>
          <w:spacing w:val="-22"/>
          <w:w w:val="105"/>
        </w:rPr>
        <w:t> </w:t>
      </w:r>
      <w:r>
        <w:rPr>
          <w:color w:val="231F20"/>
          <w:w w:val="105"/>
        </w:rPr>
        <w:t>ecología</w:t>
      </w:r>
      <w:r>
        <w:rPr>
          <w:color w:val="231F20"/>
          <w:spacing w:val="-22"/>
          <w:w w:val="105"/>
        </w:rPr>
        <w:t> </w:t>
      </w:r>
      <w:r>
        <w:rPr>
          <w:color w:val="231F20"/>
          <w:w w:val="105"/>
        </w:rPr>
        <w:t>organizacional</w:t>
      </w:r>
      <w:r>
        <w:rPr>
          <w:color w:val="231F20"/>
          <w:spacing w:val="-22"/>
          <w:w w:val="105"/>
        </w:rPr>
        <w:t> </w:t>
      </w:r>
      <w:r>
        <w:rPr>
          <w:color w:val="231F20"/>
          <w:w w:val="105"/>
        </w:rPr>
        <w:t>se</w:t>
      </w:r>
      <w:r>
        <w:rPr>
          <w:color w:val="231F20"/>
          <w:spacing w:val="-22"/>
          <w:w w:val="105"/>
        </w:rPr>
        <w:t> </w:t>
      </w:r>
      <w:r>
        <w:rPr>
          <w:color w:val="231F20"/>
          <w:w w:val="105"/>
        </w:rPr>
        <w:t>avoca</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diseño,</w:t>
      </w:r>
      <w:r>
        <w:rPr>
          <w:color w:val="231F20"/>
          <w:spacing w:val="-26"/>
          <w:w w:val="105"/>
        </w:rPr>
        <w:t> </w:t>
      </w:r>
      <w:r>
        <w:rPr>
          <w:color w:val="231F20"/>
          <w:w w:val="105"/>
        </w:rPr>
        <w:t>uso</w:t>
      </w:r>
      <w:r>
        <w:rPr>
          <w:color w:val="231F20"/>
          <w:spacing w:val="-22"/>
          <w:w w:val="105"/>
        </w:rPr>
        <w:t> </w:t>
      </w:r>
      <w:r>
        <w:rPr>
          <w:color w:val="231F20"/>
          <w:w w:val="105"/>
        </w:rPr>
        <w:t>y administración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espacios</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en</w:t>
      </w:r>
      <w:r>
        <w:rPr>
          <w:color w:val="231F20"/>
          <w:spacing w:val="-20"/>
          <w:w w:val="105"/>
        </w:rPr>
        <w:t> </w:t>
      </w:r>
      <w:r>
        <w:rPr>
          <w:color w:val="231F20"/>
          <w:w w:val="105"/>
        </w:rPr>
        <w:t>organizaciones</w:t>
      </w:r>
      <w:r>
        <w:rPr>
          <w:color w:val="231F20"/>
          <w:spacing w:val="-20"/>
          <w:w w:val="105"/>
        </w:rPr>
        <w:t> </w:t>
      </w:r>
      <w:r>
        <w:rPr>
          <w:color w:val="231F20"/>
          <w:w w:val="105"/>
        </w:rPr>
        <w:t>que</w:t>
      </w:r>
      <w:r>
        <w:rPr>
          <w:color w:val="231F20"/>
          <w:spacing w:val="-20"/>
          <w:w w:val="105"/>
        </w:rPr>
        <w:t> </w:t>
      </w:r>
      <w:r>
        <w:rPr>
          <w:color w:val="231F20"/>
          <w:w w:val="105"/>
        </w:rPr>
        <w:t>enfren- tan</w:t>
      </w:r>
      <w:r>
        <w:rPr>
          <w:color w:val="231F20"/>
          <w:spacing w:val="-16"/>
          <w:w w:val="105"/>
        </w:rPr>
        <w:t> </w:t>
      </w:r>
      <w:r>
        <w:rPr>
          <w:color w:val="231F20"/>
          <w:w w:val="105"/>
        </w:rPr>
        <w:t>los</w:t>
      </w:r>
      <w:r>
        <w:rPr>
          <w:color w:val="231F20"/>
          <w:spacing w:val="-16"/>
          <w:w w:val="105"/>
        </w:rPr>
        <w:t> </w:t>
      </w:r>
      <w:r>
        <w:rPr>
          <w:color w:val="231F20"/>
          <w:w w:val="105"/>
        </w:rPr>
        <w:t>altos</w:t>
      </w:r>
      <w:r>
        <w:rPr>
          <w:color w:val="231F20"/>
          <w:spacing w:val="-16"/>
          <w:w w:val="105"/>
        </w:rPr>
        <w:t> </w:t>
      </w:r>
      <w:r>
        <w:rPr>
          <w:color w:val="231F20"/>
          <w:w w:val="105"/>
        </w:rPr>
        <w:t>índices</w:t>
      </w:r>
      <w:r>
        <w:rPr>
          <w:color w:val="231F20"/>
          <w:spacing w:val="-16"/>
          <w:w w:val="105"/>
        </w:rPr>
        <w:t> </w:t>
      </w:r>
      <w:r>
        <w:rPr>
          <w:color w:val="231F20"/>
          <w:w w:val="105"/>
        </w:rPr>
        <w:t>de</w:t>
      </w:r>
      <w:r>
        <w:rPr>
          <w:color w:val="231F20"/>
          <w:spacing w:val="-16"/>
          <w:w w:val="105"/>
        </w:rPr>
        <w:t> </w:t>
      </w:r>
      <w:r>
        <w:rPr>
          <w:color w:val="231F20"/>
          <w:w w:val="105"/>
        </w:rPr>
        <w:t>cambio</w:t>
      </w:r>
      <w:r>
        <w:rPr>
          <w:color w:val="231F20"/>
          <w:spacing w:val="-16"/>
          <w:w w:val="105"/>
        </w:rPr>
        <w:t> </w:t>
      </w:r>
      <w:r>
        <w:rPr>
          <w:color w:val="231F20"/>
          <w:w w:val="105"/>
        </w:rPr>
        <w:t>e</w:t>
      </w:r>
      <w:r>
        <w:rPr>
          <w:color w:val="231F20"/>
          <w:spacing w:val="-16"/>
          <w:w w:val="105"/>
        </w:rPr>
        <w:t> </w:t>
      </w:r>
      <w:r>
        <w:rPr>
          <w:color w:val="231F20"/>
          <w:w w:val="105"/>
        </w:rPr>
        <w:t>incertidumbre</w:t>
      </w:r>
      <w:r>
        <w:rPr>
          <w:color w:val="231F20"/>
          <w:spacing w:val="-16"/>
          <w:w w:val="105"/>
        </w:rPr>
        <w:t> </w:t>
      </w:r>
      <w:r>
        <w:rPr>
          <w:color w:val="231F20"/>
          <w:w w:val="105"/>
        </w:rPr>
        <w:t>y</w:t>
      </w:r>
      <w:r>
        <w:rPr>
          <w:color w:val="231F20"/>
          <w:spacing w:val="-16"/>
          <w:w w:val="105"/>
        </w:rPr>
        <w:t> </w:t>
      </w:r>
      <w:r>
        <w:rPr>
          <w:color w:val="231F20"/>
          <w:w w:val="105"/>
        </w:rPr>
        <w:t>cuya</w:t>
      </w:r>
      <w:r>
        <w:rPr>
          <w:color w:val="231F20"/>
          <w:spacing w:val="-16"/>
          <w:w w:val="105"/>
        </w:rPr>
        <w:t> </w:t>
      </w:r>
      <w:r>
        <w:rPr>
          <w:color w:val="231F20"/>
          <w:w w:val="105"/>
        </w:rPr>
        <w:t>supervivencia</w:t>
      </w:r>
      <w:r>
        <w:rPr>
          <w:color w:val="231F20"/>
          <w:spacing w:val="-16"/>
          <w:w w:val="105"/>
        </w:rPr>
        <w:t> </w:t>
      </w:r>
      <w:r>
        <w:rPr>
          <w:color w:val="231F20"/>
          <w:w w:val="105"/>
        </w:rPr>
        <w:t>de- pende</w:t>
      </w:r>
      <w:r>
        <w:rPr>
          <w:color w:val="231F20"/>
          <w:spacing w:val="-14"/>
          <w:w w:val="105"/>
        </w:rPr>
        <w:t> </w:t>
      </w:r>
      <w:r>
        <w:rPr>
          <w:color w:val="231F20"/>
          <w:w w:val="105"/>
        </w:rPr>
        <w:t>del</w:t>
      </w:r>
      <w:r>
        <w:rPr>
          <w:color w:val="231F20"/>
          <w:spacing w:val="-14"/>
          <w:w w:val="105"/>
        </w:rPr>
        <w:t> </w:t>
      </w:r>
      <w:r>
        <w:rPr>
          <w:color w:val="231F20"/>
          <w:w w:val="105"/>
        </w:rPr>
        <w:t>aprendizaje</w:t>
      </w:r>
      <w:r>
        <w:rPr>
          <w:color w:val="231F20"/>
          <w:spacing w:val="-14"/>
          <w:w w:val="105"/>
        </w:rPr>
        <w:t> </w:t>
      </w:r>
      <w:r>
        <w:rPr>
          <w:color w:val="231F20"/>
          <w:w w:val="105"/>
        </w:rPr>
        <w:t>continuo</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incorporación</w:t>
      </w:r>
      <w:r>
        <w:rPr>
          <w:color w:val="231F20"/>
          <w:spacing w:val="-14"/>
          <w:w w:val="105"/>
        </w:rPr>
        <w:t> </w:t>
      </w:r>
      <w:r>
        <w:rPr>
          <w:color w:val="231F20"/>
          <w:w w:val="105"/>
        </w:rPr>
        <w:t>sobre</w:t>
      </w:r>
      <w:r>
        <w:rPr>
          <w:color w:val="231F20"/>
          <w:spacing w:val="-14"/>
          <w:w w:val="105"/>
        </w:rPr>
        <w:t> </w:t>
      </w:r>
      <w:r>
        <w:rPr>
          <w:color w:val="231F20"/>
          <w:w w:val="105"/>
        </w:rPr>
        <w:t>(Becker,</w:t>
      </w:r>
      <w:r>
        <w:rPr>
          <w:color w:val="231F20"/>
          <w:spacing w:val="-19"/>
          <w:w w:val="105"/>
        </w:rPr>
        <w:t> </w:t>
      </w:r>
      <w:r>
        <w:rPr>
          <w:color w:val="231F20"/>
          <w:w w:val="105"/>
        </w:rPr>
        <w:t>2007): eco</w:t>
      </w:r>
      <w:r>
        <w:rPr>
          <w:color w:val="231F20"/>
          <w:spacing w:val="-12"/>
          <w:w w:val="105"/>
        </w:rPr>
        <w:t> </w:t>
      </w:r>
      <w:r>
        <w:rPr>
          <w:color w:val="231F20"/>
          <w:w w:val="105"/>
        </w:rPr>
        <w:t>diversidad</w:t>
      </w:r>
      <w:r>
        <w:rPr>
          <w:color w:val="231F20"/>
          <w:spacing w:val="-12"/>
          <w:w w:val="105"/>
        </w:rPr>
        <w:t> </w:t>
      </w:r>
      <w:r>
        <w:rPr>
          <w:color w:val="231F20"/>
          <w:w w:val="105"/>
        </w:rPr>
        <w:t>(entre</w:t>
      </w:r>
      <w:r>
        <w:rPr>
          <w:color w:val="231F20"/>
          <w:spacing w:val="-12"/>
          <w:w w:val="105"/>
        </w:rPr>
        <w:t> </w:t>
      </w:r>
      <w:r>
        <w:rPr>
          <w:color w:val="231F20"/>
          <w:w w:val="105"/>
        </w:rPr>
        <w:t>más</w:t>
      </w:r>
      <w:r>
        <w:rPr>
          <w:color w:val="231F20"/>
          <w:spacing w:val="-12"/>
          <w:w w:val="105"/>
        </w:rPr>
        <w:t> </w:t>
      </w:r>
      <w:r>
        <w:rPr>
          <w:color w:val="231F20"/>
          <w:w w:val="105"/>
        </w:rPr>
        <w:t>variados</w:t>
      </w:r>
      <w:r>
        <w:rPr>
          <w:color w:val="231F20"/>
          <w:spacing w:val="-12"/>
          <w:w w:val="105"/>
        </w:rPr>
        <w:t> </w:t>
      </w:r>
      <w:r>
        <w:rPr>
          <w:color w:val="231F20"/>
          <w:w w:val="105"/>
        </w:rPr>
        <w:t>son</w:t>
      </w:r>
      <w:r>
        <w:rPr>
          <w:color w:val="231F20"/>
          <w:spacing w:val="-12"/>
          <w:w w:val="105"/>
        </w:rPr>
        <w:t> </w:t>
      </w:r>
      <w:r>
        <w:rPr>
          <w:color w:val="231F20"/>
          <w:w w:val="105"/>
        </w:rPr>
        <w:t>los</w:t>
      </w:r>
      <w:r>
        <w:rPr>
          <w:color w:val="231F20"/>
          <w:spacing w:val="-12"/>
          <w:w w:val="105"/>
        </w:rPr>
        <w:t> </w:t>
      </w:r>
      <w:r>
        <w:rPr>
          <w:color w:val="231F20"/>
          <w:w w:val="105"/>
        </w:rPr>
        <w:t>espacios</w:t>
      </w:r>
      <w:r>
        <w:rPr>
          <w:color w:val="231F20"/>
          <w:spacing w:val="-12"/>
          <w:w w:val="105"/>
        </w:rPr>
        <w:t> </w:t>
      </w:r>
      <w:r>
        <w:rPr>
          <w:color w:val="231F20"/>
          <w:w w:val="105"/>
        </w:rPr>
        <w:t>donde</w:t>
      </w:r>
      <w:r>
        <w:rPr>
          <w:color w:val="231F20"/>
          <w:spacing w:val="-12"/>
          <w:w w:val="105"/>
        </w:rPr>
        <w:t> </w:t>
      </w:r>
      <w:r>
        <w:rPr>
          <w:color w:val="231F20"/>
          <w:w w:val="105"/>
        </w:rPr>
        <w:t>se</w:t>
      </w:r>
      <w:r>
        <w:rPr>
          <w:color w:val="231F20"/>
          <w:spacing w:val="-12"/>
          <w:w w:val="105"/>
        </w:rPr>
        <w:t> </w:t>
      </w:r>
      <w:r>
        <w:rPr>
          <w:color w:val="231F20"/>
          <w:w w:val="105"/>
        </w:rPr>
        <w:t>realiza</w:t>
      </w:r>
      <w:r>
        <w:rPr>
          <w:color w:val="231F20"/>
          <w:spacing w:val="-12"/>
          <w:w w:val="105"/>
        </w:rPr>
        <w:t> </w:t>
      </w:r>
      <w:r>
        <w:rPr>
          <w:color w:val="231F20"/>
          <w:w w:val="105"/>
        </w:rPr>
        <w:t>el trabajo,</w:t>
      </w:r>
      <w:r>
        <w:rPr>
          <w:color w:val="231F20"/>
          <w:spacing w:val="-15"/>
          <w:w w:val="105"/>
        </w:rPr>
        <w:t> </w:t>
      </w:r>
      <w:r>
        <w:rPr>
          <w:color w:val="231F20"/>
          <w:w w:val="105"/>
        </w:rPr>
        <w:t>mayor</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aprendizaje);</w:t>
      </w:r>
      <w:r>
        <w:rPr>
          <w:color w:val="231F20"/>
          <w:spacing w:val="-10"/>
          <w:w w:val="105"/>
        </w:rPr>
        <w:t> </w:t>
      </w:r>
      <w:r>
        <w:rPr>
          <w:color w:val="231F20"/>
          <w:w w:val="105"/>
        </w:rPr>
        <w:t>transparencia</w:t>
      </w:r>
      <w:r>
        <w:rPr>
          <w:color w:val="231F20"/>
          <w:spacing w:val="-10"/>
          <w:w w:val="105"/>
        </w:rPr>
        <w:t> </w:t>
      </w:r>
      <w:r>
        <w:rPr>
          <w:color w:val="231F20"/>
          <w:w w:val="105"/>
        </w:rPr>
        <w:t>espacial</w:t>
      </w:r>
      <w:r>
        <w:rPr>
          <w:color w:val="231F20"/>
          <w:spacing w:val="-10"/>
          <w:w w:val="105"/>
        </w:rPr>
        <w:t> </w:t>
      </w:r>
      <w:r>
        <w:rPr>
          <w:color w:val="231F20"/>
          <w:w w:val="105"/>
        </w:rPr>
        <w:t>(mientras</w:t>
      </w:r>
      <w:r>
        <w:rPr>
          <w:color w:val="231F20"/>
          <w:spacing w:val="-10"/>
          <w:w w:val="105"/>
        </w:rPr>
        <w:t> </w:t>
      </w:r>
      <w:r>
        <w:rPr>
          <w:color w:val="231F20"/>
          <w:w w:val="105"/>
        </w:rPr>
        <w:t>más oportunidad</w:t>
      </w:r>
      <w:r>
        <w:rPr>
          <w:color w:val="231F20"/>
          <w:spacing w:val="-14"/>
          <w:w w:val="105"/>
        </w:rPr>
        <w:t> </w:t>
      </w:r>
      <w:r>
        <w:rPr>
          <w:color w:val="231F20"/>
          <w:w w:val="105"/>
        </w:rPr>
        <w:t>tengan</w:t>
      </w:r>
      <w:r>
        <w:rPr>
          <w:color w:val="231F20"/>
          <w:spacing w:val="-14"/>
          <w:w w:val="105"/>
        </w:rPr>
        <w:t> </w:t>
      </w:r>
      <w:r>
        <w:rPr>
          <w:color w:val="231F20"/>
          <w:w w:val="105"/>
        </w:rPr>
        <w:t>los</w:t>
      </w:r>
      <w:r>
        <w:rPr>
          <w:color w:val="231F20"/>
          <w:spacing w:val="-14"/>
          <w:w w:val="105"/>
        </w:rPr>
        <w:t> </w:t>
      </w:r>
      <w:r>
        <w:rPr>
          <w:color w:val="231F20"/>
          <w:w w:val="105"/>
        </w:rPr>
        <w:t>empleados</w:t>
      </w:r>
      <w:r>
        <w:rPr>
          <w:color w:val="231F20"/>
          <w:spacing w:val="-14"/>
          <w:w w:val="105"/>
        </w:rPr>
        <w:t> </w:t>
      </w:r>
      <w:r>
        <w:rPr>
          <w:color w:val="231F20"/>
          <w:w w:val="105"/>
        </w:rPr>
        <w:t>de</w:t>
      </w:r>
      <w:r>
        <w:rPr>
          <w:color w:val="231F20"/>
          <w:spacing w:val="-14"/>
          <w:w w:val="105"/>
        </w:rPr>
        <w:t> </w:t>
      </w:r>
      <w:r>
        <w:rPr>
          <w:color w:val="231F20"/>
          <w:w w:val="105"/>
        </w:rPr>
        <w:t>ver</w:t>
      </w:r>
      <w:r>
        <w:rPr>
          <w:color w:val="231F20"/>
          <w:spacing w:val="-14"/>
          <w:w w:val="105"/>
        </w:rPr>
        <w:t> </w:t>
      </w:r>
      <w:r>
        <w:rPr>
          <w:color w:val="231F20"/>
          <w:w w:val="105"/>
        </w:rPr>
        <w:t>y</w:t>
      </w:r>
      <w:r>
        <w:rPr>
          <w:color w:val="231F20"/>
          <w:spacing w:val="-14"/>
          <w:w w:val="105"/>
        </w:rPr>
        <w:t> </w:t>
      </w:r>
      <w:r>
        <w:rPr>
          <w:color w:val="231F20"/>
          <w:w w:val="105"/>
        </w:rPr>
        <w:t>escuchar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otros</w:t>
      </w:r>
      <w:r>
        <w:rPr>
          <w:color w:val="231F20"/>
          <w:spacing w:val="-14"/>
          <w:w w:val="105"/>
        </w:rPr>
        <w:t> </w:t>
      </w:r>
      <w:r>
        <w:rPr>
          <w:color w:val="231F20"/>
          <w:w w:val="105"/>
        </w:rPr>
        <w:t>hacen desde</w:t>
      </w:r>
      <w:r>
        <w:rPr>
          <w:color w:val="231F20"/>
          <w:spacing w:val="-6"/>
          <w:w w:val="105"/>
        </w:rPr>
        <w:t> </w:t>
      </w:r>
      <w:r>
        <w:rPr>
          <w:color w:val="231F20"/>
          <w:w w:val="105"/>
        </w:rPr>
        <w:t>su</w:t>
      </w:r>
      <w:r>
        <w:rPr>
          <w:color w:val="231F20"/>
          <w:spacing w:val="-6"/>
          <w:w w:val="105"/>
        </w:rPr>
        <w:t> </w:t>
      </w:r>
      <w:r>
        <w:rPr>
          <w:color w:val="231F20"/>
          <w:w w:val="105"/>
        </w:rPr>
        <w:t>propio</w:t>
      </w:r>
      <w:r>
        <w:rPr>
          <w:color w:val="231F20"/>
          <w:spacing w:val="-6"/>
          <w:w w:val="105"/>
        </w:rPr>
        <w:t> </w:t>
      </w:r>
      <w:r>
        <w:rPr>
          <w:color w:val="231F20"/>
          <w:w w:val="105"/>
        </w:rPr>
        <w:t>espacio</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6"/>
          <w:w w:val="105"/>
        </w:rPr>
        <w:t> </w:t>
      </w:r>
      <w:r>
        <w:rPr>
          <w:color w:val="231F20"/>
          <w:w w:val="105"/>
        </w:rPr>
        <w:t>e</w:t>
      </w:r>
      <w:r>
        <w:rPr>
          <w:color w:val="231F20"/>
          <w:spacing w:val="-6"/>
          <w:w w:val="105"/>
        </w:rPr>
        <w:t> </w:t>
      </w:r>
      <w:r>
        <w:rPr>
          <w:color w:val="231F20"/>
          <w:w w:val="105"/>
        </w:rPr>
        <w:t>involucrándose</w:t>
      </w:r>
      <w:r>
        <w:rPr>
          <w:color w:val="231F20"/>
          <w:spacing w:val="-6"/>
          <w:w w:val="105"/>
        </w:rPr>
        <w:t> </w:t>
      </w:r>
      <w:r>
        <w:rPr>
          <w:color w:val="231F20"/>
          <w:w w:val="105"/>
        </w:rPr>
        <w:t>con</w:t>
      </w:r>
      <w:r>
        <w:rPr>
          <w:color w:val="231F20"/>
          <w:spacing w:val="-6"/>
          <w:w w:val="105"/>
        </w:rPr>
        <w:t> </w:t>
      </w:r>
      <w:r>
        <w:rPr>
          <w:color w:val="231F20"/>
          <w:w w:val="105"/>
        </w:rPr>
        <w:t>otros</w:t>
      </w:r>
      <w:r>
        <w:rPr>
          <w:color w:val="231F20"/>
          <w:spacing w:val="-6"/>
          <w:w w:val="105"/>
        </w:rPr>
        <w:t> </w:t>
      </w:r>
      <w:r>
        <w:rPr>
          <w:color w:val="231F20"/>
          <w:w w:val="105"/>
        </w:rPr>
        <w:t>equipos en sus respectivos espacios, mayores oportunidades para modelar el comportamiento, compartir información y fomentar la confianza, cohe- sión</w:t>
      </w:r>
      <w:r>
        <w:rPr>
          <w:color w:val="231F20"/>
          <w:spacing w:val="-29"/>
          <w:w w:val="105"/>
        </w:rPr>
        <w:t> </w:t>
      </w:r>
      <w:r>
        <w:rPr>
          <w:color w:val="231F20"/>
          <w:w w:val="105"/>
        </w:rPr>
        <w:t>y</w:t>
      </w:r>
      <w:r>
        <w:rPr>
          <w:color w:val="231F20"/>
          <w:spacing w:val="-29"/>
          <w:w w:val="105"/>
        </w:rPr>
        <w:t> </w:t>
      </w:r>
      <w:r>
        <w:rPr>
          <w:color w:val="231F20"/>
          <w:w w:val="105"/>
        </w:rPr>
        <w:t>retroalimentación);</w:t>
      </w:r>
      <w:r>
        <w:rPr>
          <w:color w:val="231F20"/>
          <w:spacing w:val="-29"/>
          <w:w w:val="105"/>
        </w:rPr>
        <w:t> </w:t>
      </w:r>
      <w:r>
        <w:rPr>
          <w:color w:val="231F20"/>
          <w:w w:val="105"/>
        </w:rPr>
        <w:t>áreas</w:t>
      </w:r>
      <w:r>
        <w:rPr>
          <w:color w:val="231F20"/>
          <w:spacing w:val="-29"/>
          <w:w w:val="105"/>
        </w:rPr>
        <w:t> </w:t>
      </w:r>
      <w:r>
        <w:rPr>
          <w:color w:val="231F20"/>
          <w:w w:val="105"/>
        </w:rPr>
        <w:t>funcionales</w:t>
      </w:r>
      <w:r>
        <w:rPr>
          <w:color w:val="231F20"/>
          <w:spacing w:val="-29"/>
          <w:w w:val="105"/>
        </w:rPr>
        <w:t> </w:t>
      </w:r>
      <w:r>
        <w:rPr>
          <w:color w:val="231F20"/>
          <w:w w:val="105"/>
        </w:rPr>
        <w:t>convenientes</w:t>
      </w:r>
      <w:r>
        <w:rPr>
          <w:color w:val="231F20"/>
          <w:spacing w:val="-29"/>
          <w:w w:val="105"/>
        </w:rPr>
        <w:t> </w:t>
      </w:r>
      <w:r>
        <w:rPr>
          <w:color w:val="231F20"/>
          <w:w w:val="105"/>
        </w:rPr>
        <w:t>(el</w:t>
      </w:r>
      <w:r>
        <w:rPr>
          <w:color w:val="231F20"/>
          <w:spacing w:val="-29"/>
          <w:w w:val="105"/>
        </w:rPr>
        <w:t> </w:t>
      </w:r>
      <w:r>
        <w:rPr>
          <w:color w:val="231F20"/>
          <w:w w:val="105"/>
        </w:rPr>
        <w:t>aprendizaje puede</w:t>
      </w:r>
      <w:r>
        <w:rPr>
          <w:color w:val="231F20"/>
          <w:spacing w:val="-12"/>
          <w:w w:val="105"/>
        </w:rPr>
        <w:t> </w:t>
      </w:r>
      <w:r>
        <w:rPr>
          <w:color w:val="231F20"/>
          <w:w w:val="105"/>
        </w:rPr>
        <w:t>ser</w:t>
      </w:r>
      <w:r>
        <w:rPr>
          <w:color w:val="231F20"/>
          <w:spacing w:val="-12"/>
          <w:w w:val="105"/>
        </w:rPr>
        <w:t> </w:t>
      </w:r>
      <w:r>
        <w:rPr>
          <w:color w:val="231F20"/>
          <w:w w:val="105"/>
        </w:rPr>
        <w:t>mayor</w:t>
      </w:r>
      <w:r>
        <w:rPr>
          <w:color w:val="231F20"/>
          <w:spacing w:val="-12"/>
          <w:w w:val="105"/>
        </w:rPr>
        <w:t> </w:t>
      </w:r>
      <w:r>
        <w:rPr>
          <w:color w:val="231F20"/>
          <w:w w:val="105"/>
        </w:rPr>
        <w:t>cuando</w:t>
      </w:r>
      <w:r>
        <w:rPr>
          <w:color w:val="231F20"/>
          <w:spacing w:val="-12"/>
          <w:w w:val="105"/>
        </w:rPr>
        <w:t> </w:t>
      </w:r>
      <w:r>
        <w:rPr>
          <w:color w:val="231F20"/>
          <w:w w:val="105"/>
        </w:rPr>
        <w:t>hay</w:t>
      </w:r>
      <w:r>
        <w:rPr>
          <w:color w:val="231F20"/>
          <w:spacing w:val="-12"/>
          <w:w w:val="105"/>
        </w:rPr>
        <w:t> </w:t>
      </w:r>
      <w:r>
        <w:rPr>
          <w:color w:val="231F20"/>
          <w:w w:val="105"/>
        </w:rPr>
        <w:t>espacios</w:t>
      </w:r>
      <w:r>
        <w:rPr>
          <w:color w:val="231F20"/>
          <w:spacing w:val="-12"/>
          <w:w w:val="105"/>
        </w:rPr>
        <w:t> </w:t>
      </w:r>
      <w:r>
        <w:rPr>
          <w:color w:val="231F20"/>
          <w:w w:val="105"/>
        </w:rPr>
        <w:t>que</w:t>
      </w:r>
      <w:r>
        <w:rPr>
          <w:color w:val="231F20"/>
          <w:spacing w:val="-12"/>
          <w:w w:val="105"/>
        </w:rPr>
        <w:t> </w:t>
      </w:r>
      <w:r>
        <w:rPr>
          <w:color w:val="231F20"/>
          <w:w w:val="105"/>
        </w:rPr>
        <w:t>faciliten</w:t>
      </w:r>
      <w:r>
        <w:rPr>
          <w:color w:val="231F20"/>
          <w:spacing w:val="-12"/>
          <w:w w:val="105"/>
        </w:rPr>
        <w:t> </w:t>
      </w:r>
      <w:r>
        <w:rPr>
          <w:color w:val="231F20"/>
          <w:w w:val="105"/>
        </w:rPr>
        <w:t>los</w:t>
      </w:r>
      <w:r>
        <w:rPr>
          <w:color w:val="231F20"/>
          <w:spacing w:val="-12"/>
          <w:w w:val="105"/>
        </w:rPr>
        <w:t> </w:t>
      </w:r>
      <w:r>
        <w:rPr>
          <w:color w:val="231F20"/>
          <w:w w:val="105"/>
        </w:rPr>
        <w:t>encuentros);</w:t>
      </w:r>
      <w:r>
        <w:rPr>
          <w:color w:val="231F20"/>
          <w:spacing w:val="-12"/>
          <w:w w:val="105"/>
        </w:rPr>
        <w:t> </w:t>
      </w:r>
      <w:r>
        <w:rPr>
          <w:color w:val="231F20"/>
          <w:w w:val="105"/>
        </w:rPr>
        <w:t>es- cala</w:t>
      </w:r>
      <w:r>
        <w:rPr>
          <w:color w:val="231F20"/>
          <w:spacing w:val="-26"/>
          <w:w w:val="105"/>
        </w:rPr>
        <w:t> </w:t>
      </w:r>
      <w:r>
        <w:rPr>
          <w:color w:val="231F20"/>
          <w:w w:val="105"/>
        </w:rPr>
        <w:t>humana</w:t>
      </w:r>
      <w:r>
        <w:rPr>
          <w:color w:val="231F20"/>
          <w:spacing w:val="-26"/>
          <w:w w:val="105"/>
        </w:rPr>
        <w:t> </w:t>
      </w:r>
      <w:r>
        <w:rPr>
          <w:color w:val="231F20"/>
          <w:w w:val="105"/>
        </w:rPr>
        <w:t>(los</w:t>
      </w:r>
      <w:r>
        <w:rPr>
          <w:color w:val="231F20"/>
          <w:spacing w:val="-26"/>
          <w:w w:val="105"/>
        </w:rPr>
        <w:t> </w:t>
      </w:r>
      <w:r>
        <w:rPr>
          <w:color w:val="231F20"/>
          <w:w w:val="105"/>
        </w:rPr>
        <w:t>departamentos</w:t>
      </w:r>
      <w:r>
        <w:rPr>
          <w:color w:val="231F20"/>
          <w:spacing w:val="-26"/>
          <w:w w:val="105"/>
        </w:rPr>
        <w:t> </w:t>
      </w:r>
      <w:r>
        <w:rPr>
          <w:color w:val="231F20"/>
          <w:w w:val="105"/>
        </w:rPr>
        <w:t>y</w:t>
      </w:r>
      <w:r>
        <w:rPr>
          <w:color w:val="231F20"/>
          <w:spacing w:val="-26"/>
          <w:w w:val="105"/>
        </w:rPr>
        <w:t> </w:t>
      </w:r>
      <w:r>
        <w:rPr>
          <w:color w:val="231F20"/>
          <w:w w:val="105"/>
        </w:rPr>
        <w:t>equipos</w:t>
      </w:r>
      <w:r>
        <w:rPr>
          <w:color w:val="231F20"/>
          <w:spacing w:val="-26"/>
          <w:w w:val="105"/>
        </w:rPr>
        <w:t> </w:t>
      </w:r>
      <w:r>
        <w:rPr>
          <w:color w:val="231F20"/>
          <w:w w:val="105"/>
        </w:rPr>
        <w:t>organizados</w:t>
      </w:r>
      <w:r>
        <w:rPr>
          <w:color w:val="231F20"/>
          <w:spacing w:val="-26"/>
          <w:w w:val="105"/>
        </w:rPr>
        <w:t> </w:t>
      </w:r>
      <w:r>
        <w:rPr>
          <w:color w:val="231F20"/>
          <w:w w:val="105"/>
        </w:rPr>
        <w:t>en</w:t>
      </w:r>
      <w:r>
        <w:rPr>
          <w:color w:val="231F20"/>
          <w:spacing w:val="-26"/>
          <w:w w:val="105"/>
        </w:rPr>
        <w:t> </w:t>
      </w:r>
      <w:r>
        <w:rPr>
          <w:color w:val="231F20"/>
          <w:w w:val="105"/>
        </w:rPr>
        <w:t>áreas</w:t>
      </w:r>
      <w:r>
        <w:rPr>
          <w:color w:val="231F20"/>
          <w:spacing w:val="-26"/>
          <w:w w:val="105"/>
        </w:rPr>
        <w:t> </w:t>
      </w:r>
      <w:r>
        <w:rPr>
          <w:color w:val="231F20"/>
          <w:w w:val="105"/>
        </w:rPr>
        <w:t>peque- ñas</w:t>
      </w:r>
      <w:r>
        <w:rPr>
          <w:color w:val="231F20"/>
          <w:spacing w:val="-23"/>
          <w:w w:val="105"/>
        </w:rPr>
        <w:t> </w:t>
      </w:r>
      <w:r>
        <w:rPr>
          <w:color w:val="231F20"/>
          <w:w w:val="105"/>
        </w:rPr>
        <w:t>se</w:t>
      </w:r>
      <w:r>
        <w:rPr>
          <w:color w:val="231F20"/>
          <w:spacing w:val="-23"/>
          <w:w w:val="105"/>
        </w:rPr>
        <w:t> </w:t>
      </w:r>
      <w:r>
        <w:rPr>
          <w:color w:val="231F20"/>
          <w:w w:val="105"/>
        </w:rPr>
        <w:t>involucran</w:t>
      </w:r>
      <w:r>
        <w:rPr>
          <w:color w:val="231F20"/>
          <w:spacing w:val="-23"/>
          <w:w w:val="105"/>
        </w:rPr>
        <w:t> </w:t>
      </w:r>
      <w:r>
        <w:rPr>
          <w:color w:val="231F20"/>
          <w:w w:val="105"/>
        </w:rPr>
        <w:t>más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aprendizaje</w:t>
      </w:r>
      <w:r>
        <w:rPr>
          <w:color w:val="231F20"/>
          <w:spacing w:val="-23"/>
          <w:w w:val="105"/>
        </w:rPr>
        <w:t> </w:t>
      </w:r>
      <w:r>
        <w:rPr>
          <w:color w:val="231F20"/>
          <w:w w:val="105"/>
        </w:rPr>
        <w:t>informal,</w:t>
      </w:r>
      <w:r>
        <w:rPr>
          <w:color w:val="231F20"/>
          <w:spacing w:val="-29"/>
          <w:w w:val="105"/>
        </w:rPr>
        <w:t> </w:t>
      </w:r>
      <w:r>
        <w:rPr>
          <w:color w:val="231F20"/>
          <w:w w:val="105"/>
        </w:rPr>
        <w:t>que</w:t>
      </w:r>
      <w:r>
        <w:rPr>
          <w:color w:val="231F20"/>
          <w:spacing w:val="-23"/>
          <w:w w:val="105"/>
        </w:rPr>
        <w:t> </w:t>
      </w:r>
      <w:r>
        <w:rPr>
          <w:color w:val="231F20"/>
          <w:w w:val="105"/>
        </w:rPr>
        <w:t>aquellos</w:t>
      </w:r>
      <w:r>
        <w:rPr>
          <w:color w:val="231F20"/>
          <w:spacing w:val="-23"/>
          <w:w w:val="105"/>
        </w:rPr>
        <w:t> </w:t>
      </w:r>
      <w:r>
        <w:rPr>
          <w:color w:val="231F20"/>
          <w:w w:val="105"/>
        </w:rPr>
        <w:t>equipos</w:t>
      </w:r>
      <w:r>
        <w:rPr>
          <w:color w:val="231F20"/>
          <w:spacing w:val="-23"/>
          <w:w w:val="105"/>
        </w:rPr>
        <w:t> </w:t>
      </w:r>
      <w:r>
        <w:rPr>
          <w:color w:val="231F20"/>
          <w:w w:val="105"/>
        </w:rPr>
        <w:t>o departamentos</w:t>
      </w:r>
      <w:r>
        <w:rPr>
          <w:color w:val="231F20"/>
          <w:spacing w:val="-7"/>
          <w:w w:val="105"/>
        </w:rPr>
        <w:t> </w:t>
      </w:r>
      <w:r>
        <w:rPr>
          <w:color w:val="231F20"/>
          <w:w w:val="105"/>
        </w:rPr>
        <w:t>del</w:t>
      </w:r>
      <w:r>
        <w:rPr>
          <w:color w:val="231F20"/>
          <w:spacing w:val="-7"/>
          <w:w w:val="105"/>
        </w:rPr>
        <w:t> </w:t>
      </w:r>
      <w:r>
        <w:rPr>
          <w:color w:val="231F20"/>
          <w:w w:val="105"/>
        </w:rPr>
        <w:t>mismo</w:t>
      </w:r>
      <w:r>
        <w:rPr>
          <w:color w:val="231F20"/>
          <w:spacing w:val="-7"/>
          <w:w w:val="105"/>
        </w:rPr>
        <w:t> </w:t>
      </w:r>
      <w:r>
        <w:rPr>
          <w:color w:val="231F20"/>
          <w:w w:val="105"/>
        </w:rPr>
        <w:t>tamaño,</w:t>
      </w:r>
      <w:r>
        <w:rPr>
          <w:color w:val="231F20"/>
          <w:spacing w:val="-13"/>
          <w:w w:val="105"/>
        </w:rPr>
        <w:t> </w:t>
      </w:r>
      <w:r>
        <w:rPr>
          <w:color w:val="231F20"/>
          <w:w w:val="105"/>
        </w:rPr>
        <w:t>pero</w:t>
      </w:r>
      <w:r>
        <w:rPr>
          <w:color w:val="231F20"/>
          <w:spacing w:val="-7"/>
          <w:w w:val="105"/>
        </w:rPr>
        <w:t> </w:t>
      </w:r>
      <w:r>
        <w:rPr>
          <w:color w:val="231F20"/>
          <w:w w:val="105"/>
        </w:rPr>
        <w:t>que</w:t>
      </w:r>
      <w:r>
        <w:rPr>
          <w:color w:val="231F20"/>
          <w:spacing w:val="-7"/>
          <w:w w:val="105"/>
        </w:rPr>
        <w:t> </w:t>
      </w:r>
      <w:r>
        <w:rPr>
          <w:color w:val="231F20"/>
          <w:w w:val="105"/>
        </w:rPr>
        <w:t>ocupan</w:t>
      </w:r>
      <w:r>
        <w:rPr>
          <w:color w:val="231F20"/>
          <w:spacing w:val="-7"/>
          <w:w w:val="105"/>
        </w:rPr>
        <w:t> </w:t>
      </w:r>
      <w:r>
        <w:rPr>
          <w:color w:val="231F20"/>
          <w:w w:val="105"/>
        </w:rPr>
        <w:t>grandes</w:t>
      </w:r>
      <w:r>
        <w:rPr>
          <w:color w:val="231F20"/>
          <w:spacing w:val="-7"/>
          <w:w w:val="105"/>
        </w:rPr>
        <w:t> </w:t>
      </w:r>
      <w:r>
        <w:rPr>
          <w:color w:val="231F20"/>
          <w:w w:val="105"/>
        </w:rPr>
        <w:t>espacios) y</w:t>
      </w:r>
      <w:r>
        <w:rPr>
          <w:color w:val="231F20"/>
          <w:spacing w:val="-34"/>
          <w:w w:val="105"/>
        </w:rPr>
        <w:t> </w:t>
      </w:r>
      <w:r>
        <w:rPr>
          <w:color w:val="231F20"/>
          <w:w w:val="105"/>
        </w:rPr>
        <w:t>zonas</w:t>
      </w:r>
      <w:r>
        <w:rPr>
          <w:color w:val="231F20"/>
          <w:spacing w:val="-34"/>
          <w:w w:val="105"/>
        </w:rPr>
        <w:t> </w:t>
      </w:r>
      <w:r>
        <w:rPr>
          <w:color w:val="231F20"/>
          <w:w w:val="105"/>
        </w:rPr>
        <w:t>neutrales</w:t>
      </w:r>
      <w:r>
        <w:rPr>
          <w:color w:val="231F20"/>
          <w:spacing w:val="-34"/>
          <w:w w:val="105"/>
        </w:rPr>
        <w:t> </w:t>
      </w:r>
      <w:r>
        <w:rPr>
          <w:color w:val="231F20"/>
          <w:w w:val="105"/>
        </w:rPr>
        <w:t>(la</w:t>
      </w:r>
      <w:r>
        <w:rPr>
          <w:color w:val="231F20"/>
          <w:spacing w:val="-34"/>
          <w:w w:val="105"/>
        </w:rPr>
        <w:t> </w:t>
      </w:r>
      <w:r>
        <w:rPr>
          <w:color w:val="231F20"/>
          <w:w w:val="105"/>
        </w:rPr>
        <w:t>interacción</w:t>
      </w:r>
      <w:r>
        <w:rPr>
          <w:color w:val="231F20"/>
          <w:spacing w:val="-34"/>
          <w:w w:val="105"/>
        </w:rPr>
        <w:t> </w:t>
      </w:r>
      <w:r>
        <w:rPr>
          <w:color w:val="231F20"/>
          <w:w w:val="105"/>
        </w:rPr>
        <w:t>y</w:t>
      </w:r>
      <w:r>
        <w:rPr>
          <w:color w:val="231F20"/>
          <w:spacing w:val="-34"/>
          <w:w w:val="105"/>
        </w:rPr>
        <w:t> </w:t>
      </w:r>
      <w:r>
        <w:rPr>
          <w:color w:val="231F20"/>
          <w:w w:val="105"/>
        </w:rPr>
        <w:t>el</w:t>
      </w:r>
      <w:r>
        <w:rPr>
          <w:color w:val="231F20"/>
          <w:spacing w:val="-34"/>
          <w:w w:val="105"/>
        </w:rPr>
        <w:t> </w:t>
      </w:r>
      <w:r>
        <w:rPr>
          <w:color w:val="231F20"/>
          <w:w w:val="105"/>
        </w:rPr>
        <w:t>aprendizaje</w:t>
      </w:r>
      <w:r>
        <w:rPr>
          <w:color w:val="231F20"/>
          <w:spacing w:val="-34"/>
          <w:w w:val="105"/>
        </w:rPr>
        <w:t> </w:t>
      </w:r>
      <w:r>
        <w:rPr>
          <w:color w:val="231F20"/>
          <w:w w:val="105"/>
        </w:rPr>
        <w:t>es</w:t>
      </w:r>
      <w:r>
        <w:rPr>
          <w:color w:val="231F20"/>
          <w:spacing w:val="-34"/>
          <w:w w:val="105"/>
        </w:rPr>
        <w:t> </w:t>
      </w:r>
      <w:r>
        <w:rPr>
          <w:color w:val="231F20"/>
          <w:w w:val="105"/>
        </w:rPr>
        <w:t>mayor</w:t>
      </w:r>
      <w:r>
        <w:rPr>
          <w:color w:val="231F20"/>
          <w:spacing w:val="-34"/>
          <w:w w:val="105"/>
        </w:rPr>
        <w:t> </w:t>
      </w:r>
      <w:r>
        <w:rPr>
          <w:color w:val="231F20"/>
          <w:w w:val="105"/>
        </w:rPr>
        <w:t>en</w:t>
      </w:r>
      <w:r>
        <w:rPr>
          <w:color w:val="231F20"/>
          <w:spacing w:val="-34"/>
          <w:w w:val="105"/>
        </w:rPr>
        <w:t> </w:t>
      </w:r>
      <w:r>
        <w:rPr>
          <w:color w:val="231F20"/>
          <w:w w:val="105"/>
        </w:rPr>
        <w:t>espacios</w:t>
      </w:r>
      <w:r>
        <w:rPr>
          <w:color w:val="231F20"/>
          <w:spacing w:val="-34"/>
          <w:w w:val="105"/>
        </w:rPr>
        <w:t> </w:t>
      </w:r>
      <w:r>
        <w:rPr>
          <w:color w:val="231F20"/>
          <w:w w:val="105"/>
        </w:rPr>
        <w:t>sin distinciones</w:t>
      </w:r>
      <w:r>
        <w:rPr>
          <w:color w:val="231F20"/>
          <w:spacing w:val="-41"/>
          <w:w w:val="105"/>
        </w:rPr>
        <w:t> </w:t>
      </w:r>
      <w:r>
        <w:rPr>
          <w:color w:val="231F20"/>
          <w:w w:val="105"/>
        </w:rPr>
        <w:t>especiales</w:t>
      </w:r>
      <w:r>
        <w:rPr>
          <w:color w:val="231F20"/>
          <w:spacing w:val="-41"/>
          <w:w w:val="105"/>
        </w:rPr>
        <w:t> </w:t>
      </w:r>
      <w:r>
        <w:rPr>
          <w:color w:val="231F20"/>
          <w:w w:val="105"/>
        </w:rPr>
        <w:t>de</w:t>
      </w:r>
      <w:r>
        <w:rPr>
          <w:color w:val="231F20"/>
          <w:spacing w:val="-41"/>
          <w:w w:val="105"/>
        </w:rPr>
        <w:t> </w:t>
      </w:r>
      <w:r>
        <w:rPr>
          <w:color w:val="231F20"/>
          <w:w w:val="105"/>
        </w:rPr>
        <w:t>status).</w:t>
      </w:r>
    </w:p>
    <w:p>
      <w:pPr>
        <w:pStyle w:val="BodyText"/>
        <w:spacing w:line="259" w:lineRule="auto"/>
        <w:ind w:left="117" w:right="116" w:firstLine="567"/>
        <w:jc w:val="both"/>
      </w:pPr>
      <w:r>
        <w:rPr>
          <w:color w:val="231F20"/>
          <w:w w:val="105"/>
        </w:rPr>
        <w:t>En</w:t>
      </w:r>
      <w:r>
        <w:rPr>
          <w:color w:val="231F20"/>
          <w:spacing w:val="-36"/>
          <w:w w:val="105"/>
        </w:rPr>
        <w:t> </w:t>
      </w:r>
      <w:r>
        <w:rPr>
          <w:color w:val="231F20"/>
          <w:w w:val="105"/>
        </w:rPr>
        <w:t>este</w:t>
      </w:r>
      <w:r>
        <w:rPr>
          <w:color w:val="231F20"/>
          <w:spacing w:val="-36"/>
          <w:w w:val="105"/>
        </w:rPr>
        <w:t> </w:t>
      </w:r>
      <w:r>
        <w:rPr>
          <w:color w:val="231F20"/>
          <w:w w:val="105"/>
        </w:rPr>
        <w:t>sentido,</w:t>
      </w:r>
      <w:r>
        <w:rPr>
          <w:color w:val="231F20"/>
          <w:spacing w:val="-41"/>
          <w:w w:val="105"/>
        </w:rPr>
        <w:t> </w:t>
      </w:r>
      <w:r>
        <w:rPr>
          <w:color w:val="231F20"/>
          <w:w w:val="105"/>
        </w:rPr>
        <w:t>la</w:t>
      </w:r>
      <w:r>
        <w:rPr>
          <w:color w:val="231F20"/>
          <w:spacing w:val="-36"/>
          <w:w w:val="105"/>
        </w:rPr>
        <w:t> </w:t>
      </w:r>
      <w:r>
        <w:rPr>
          <w:color w:val="231F20"/>
          <w:w w:val="105"/>
        </w:rPr>
        <w:t>sustentabilidad</w:t>
      </w:r>
      <w:r>
        <w:rPr>
          <w:color w:val="231F20"/>
          <w:spacing w:val="-36"/>
          <w:w w:val="105"/>
        </w:rPr>
        <w:t> </w:t>
      </w:r>
      <w:r>
        <w:rPr>
          <w:color w:val="231F20"/>
          <w:w w:val="105"/>
        </w:rPr>
        <w:t>organizacional</w:t>
      </w:r>
      <w:r>
        <w:rPr>
          <w:color w:val="231F20"/>
          <w:spacing w:val="-36"/>
          <w:w w:val="105"/>
        </w:rPr>
        <w:t> </w:t>
      </w:r>
      <w:r>
        <w:rPr>
          <w:color w:val="231F20"/>
          <w:w w:val="105"/>
        </w:rPr>
        <w:t>(como</w:t>
      </w:r>
      <w:r>
        <w:rPr>
          <w:color w:val="231F20"/>
          <w:spacing w:val="-36"/>
          <w:w w:val="105"/>
        </w:rPr>
        <w:t> </w:t>
      </w:r>
      <w:r>
        <w:rPr>
          <w:color w:val="231F20"/>
          <w:w w:val="105"/>
        </w:rPr>
        <w:t>estrategia) orienta la construcción continua de una estructura provista con los ele- mentos</w:t>
      </w:r>
      <w:r>
        <w:rPr>
          <w:color w:val="231F20"/>
          <w:spacing w:val="-15"/>
          <w:w w:val="105"/>
        </w:rPr>
        <w:t> </w:t>
      </w:r>
      <w:r>
        <w:rPr>
          <w:color w:val="231F20"/>
          <w:w w:val="105"/>
        </w:rPr>
        <w:t>necesarios</w:t>
      </w:r>
      <w:r>
        <w:rPr>
          <w:color w:val="231F20"/>
          <w:spacing w:val="-15"/>
          <w:w w:val="105"/>
        </w:rPr>
        <w:t> </w:t>
      </w:r>
      <w:r>
        <w:rPr>
          <w:color w:val="231F20"/>
          <w:w w:val="105"/>
        </w:rPr>
        <w:t>para</w:t>
      </w:r>
      <w:r>
        <w:rPr>
          <w:color w:val="231F20"/>
          <w:spacing w:val="-15"/>
          <w:w w:val="105"/>
        </w:rPr>
        <w:t> </w:t>
      </w:r>
      <w:r>
        <w:rPr>
          <w:color w:val="231F20"/>
          <w:w w:val="105"/>
        </w:rPr>
        <w:t>permanecer</w:t>
      </w:r>
      <w:r>
        <w:rPr>
          <w:color w:val="231F20"/>
          <w:spacing w:val="-15"/>
          <w:w w:val="105"/>
        </w:rPr>
        <w:t> </w:t>
      </w:r>
      <w:r>
        <w:rPr>
          <w:color w:val="231F20"/>
          <w:w w:val="105"/>
        </w:rPr>
        <w:t>y</w:t>
      </w:r>
      <w:r>
        <w:rPr>
          <w:color w:val="231F20"/>
          <w:spacing w:val="-15"/>
          <w:w w:val="105"/>
        </w:rPr>
        <w:t> </w:t>
      </w:r>
      <w:r>
        <w:rPr>
          <w:color w:val="231F20"/>
          <w:w w:val="105"/>
        </w:rPr>
        <w:t>mejorar</w:t>
      </w:r>
      <w:r>
        <w:rPr>
          <w:color w:val="231F20"/>
          <w:spacing w:val="-15"/>
          <w:w w:val="105"/>
        </w:rPr>
        <w:t> </w:t>
      </w:r>
      <w:r>
        <w:rPr>
          <w:color w:val="231F20"/>
          <w:w w:val="105"/>
        </w:rPr>
        <w:t>continuamente</w:t>
      </w:r>
      <w:r>
        <w:rPr>
          <w:color w:val="231F20"/>
          <w:spacing w:val="-15"/>
          <w:w w:val="105"/>
        </w:rPr>
        <w:t> </w:t>
      </w:r>
      <w:r>
        <w:rPr>
          <w:color w:val="231F20"/>
          <w:w w:val="105"/>
        </w:rPr>
        <w:t>en</w:t>
      </w:r>
      <w:r>
        <w:rPr>
          <w:color w:val="231F20"/>
          <w:spacing w:val="-15"/>
          <w:w w:val="105"/>
        </w:rPr>
        <w:t> </w:t>
      </w:r>
      <w:r>
        <w:rPr>
          <w:color w:val="231F20"/>
          <w:w w:val="105"/>
        </w:rPr>
        <w:t>busca de una misión definida. Esta continuidad requiere de autosuficiencia fi- nanciera,</w:t>
      </w:r>
      <w:r>
        <w:rPr>
          <w:color w:val="231F20"/>
          <w:spacing w:val="-36"/>
          <w:w w:val="105"/>
        </w:rPr>
        <w:t> </w:t>
      </w:r>
      <w:r>
        <w:rPr>
          <w:color w:val="231F20"/>
          <w:w w:val="105"/>
        </w:rPr>
        <w:t>procesos</w:t>
      </w:r>
      <w:r>
        <w:rPr>
          <w:color w:val="231F20"/>
          <w:spacing w:val="-33"/>
          <w:w w:val="105"/>
        </w:rPr>
        <w:t> </w:t>
      </w:r>
      <w:r>
        <w:rPr>
          <w:color w:val="231F20"/>
          <w:w w:val="105"/>
        </w:rPr>
        <w:t>funcionales</w:t>
      </w:r>
      <w:r>
        <w:rPr>
          <w:color w:val="231F20"/>
          <w:spacing w:val="-33"/>
          <w:w w:val="105"/>
        </w:rPr>
        <w:t> </w:t>
      </w:r>
      <w:r>
        <w:rPr>
          <w:color w:val="231F20"/>
          <w:w w:val="105"/>
        </w:rPr>
        <w:t>y</w:t>
      </w:r>
      <w:r>
        <w:rPr>
          <w:color w:val="231F20"/>
          <w:spacing w:val="-33"/>
          <w:w w:val="105"/>
        </w:rPr>
        <w:t> </w:t>
      </w:r>
      <w:r>
        <w:rPr>
          <w:color w:val="231F20"/>
          <w:w w:val="105"/>
        </w:rPr>
        <w:t>fortaleza</w:t>
      </w:r>
      <w:r>
        <w:rPr>
          <w:color w:val="231F20"/>
          <w:spacing w:val="-33"/>
          <w:w w:val="105"/>
        </w:rPr>
        <w:t> </w:t>
      </w:r>
      <w:r>
        <w:rPr>
          <w:color w:val="231F20"/>
          <w:w w:val="105"/>
        </w:rPr>
        <w:t>institucional</w:t>
      </w:r>
      <w:r>
        <w:rPr>
          <w:color w:val="231F20"/>
          <w:spacing w:val="-33"/>
          <w:w w:val="105"/>
        </w:rPr>
        <w:t> </w:t>
      </w:r>
      <w:r>
        <w:rPr>
          <w:color w:val="231F20"/>
          <w:w w:val="105"/>
        </w:rPr>
        <w:t>y</w:t>
      </w:r>
      <w:r>
        <w:rPr>
          <w:color w:val="231F20"/>
          <w:spacing w:val="-33"/>
          <w:w w:val="105"/>
        </w:rPr>
        <w:t> </w:t>
      </w:r>
      <w:r>
        <w:rPr>
          <w:color w:val="231F20"/>
          <w:w w:val="105"/>
        </w:rPr>
        <w:t>moral</w:t>
      </w:r>
      <w:r>
        <w:rPr>
          <w:color w:val="231F20"/>
          <w:spacing w:val="-33"/>
          <w:w w:val="105"/>
        </w:rPr>
        <w:t> </w:t>
      </w:r>
      <w:r>
        <w:rPr>
          <w:color w:val="231F20"/>
          <w:w w:val="105"/>
        </w:rPr>
        <w:t>(Coblentz, 2002;</w:t>
      </w:r>
      <w:r>
        <w:rPr>
          <w:color w:val="231F20"/>
          <w:spacing w:val="-30"/>
          <w:w w:val="105"/>
        </w:rPr>
        <w:t> </w:t>
      </w:r>
      <w:r>
        <w:rPr>
          <w:color w:val="231F20"/>
          <w:w w:val="105"/>
        </w:rPr>
        <w:t>Carlenton,</w:t>
      </w:r>
      <w:r>
        <w:rPr>
          <w:color w:val="231F20"/>
          <w:spacing w:val="-34"/>
          <w:w w:val="105"/>
        </w:rPr>
        <w:t> </w:t>
      </w:r>
      <w:r>
        <w:rPr>
          <w:color w:val="231F20"/>
          <w:w w:val="105"/>
        </w:rPr>
        <w:t>2009).</w:t>
      </w:r>
    </w:p>
    <w:p>
      <w:pPr>
        <w:pStyle w:val="BodyText"/>
        <w:spacing w:line="259" w:lineRule="auto"/>
        <w:ind w:left="117" w:right="121" w:firstLine="567"/>
        <w:jc w:val="both"/>
      </w:pPr>
      <w:r>
        <w:rPr>
          <w:color w:val="231F20"/>
          <w:spacing w:val="-6"/>
          <w:w w:val="105"/>
        </w:rPr>
        <w:t>Toda</w:t>
      </w:r>
      <w:r>
        <w:rPr>
          <w:color w:val="231F20"/>
          <w:spacing w:val="-19"/>
          <w:w w:val="105"/>
        </w:rPr>
        <w:t> </w:t>
      </w:r>
      <w:r>
        <w:rPr>
          <w:color w:val="231F20"/>
          <w:w w:val="105"/>
        </w:rPr>
        <w:t>vez</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sustentabilidad</w:t>
      </w:r>
      <w:r>
        <w:rPr>
          <w:color w:val="231F20"/>
          <w:spacing w:val="-19"/>
          <w:w w:val="105"/>
        </w:rPr>
        <w:t> </w:t>
      </w:r>
      <w:r>
        <w:rPr>
          <w:color w:val="231F20"/>
          <w:w w:val="105"/>
        </w:rPr>
        <w:t>organizacional</w:t>
      </w:r>
      <w:r>
        <w:rPr>
          <w:color w:val="231F20"/>
          <w:spacing w:val="-19"/>
          <w:w w:val="105"/>
        </w:rPr>
        <w:t> </w:t>
      </w:r>
      <w:r>
        <w:rPr>
          <w:color w:val="231F20"/>
          <w:w w:val="105"/>
        </w:rPr>
        <w:t>es</w:t>
      </w:r>
      <w:r>
        <w:rPr>
          <w:color w:val="231F20"/>
          <w:spacing w:val="-19"/>
          <w:w w:val="105"/>
        </w:rPr>
        <w:t> </w:t>
      </w:r>
      <w:r>
        <w:rPr>
          <w:color w:val="231F20"/>
          <w:w w:val="105"/>
        </w:rPr>
        <w:t>asegurar</w:t>
      </w:r>
      <w:r>
        <w:rPr>
          <w:color w:val="231F20"/>
          <w:spacing w:val="-19"/>
          <w:w w:val="105"/>
        </w:rPr>
        <w:t> </w:t>
      </w:r>
      <w:r>
        <w:rPr>
          <w:color w:val="231F20"/>
          <w:w w:val="105"/>
        </w:rPr>
        <w:t>la</w:t>
      </w:r>
      <w:r>
        <w:rPr>
          <w:color w:val="231F20"/>
          <w:spacing w:val="-19"/>
          <w:w w:val="105"/>
        </w:rPr>
        <w:t> </w:t>
      </w:r>
      <w:r>
        <w:rPr>
          <w:color w:val="231F20"/>
          <w:w w:val="105"/>
        </w:rPr>
        <w:t>con- tinuidad de la organización haciendo uso de sus habilidades para co- nocer los impactos en su contexto, y de su capacidad para aprender e innovar</w:t>
      </w:r>
      <w:r>
        <w:rPr>
          <w:color w:val="231F20"/>
          <w:spacing w:val="-20"/>
          <w:w w:val="105"/>
        </w:rPr>
        <w:t> </w:t>
      </w:r>
      <w:r>
        <w:rPr>
          <w:color w:val="231F20"/>
          <w:w w:val="105"/>
        </w:rPr>
        <w:t>en</w:t>
      </w:r>
      <w:r>
        <w:rPr>
          <w:color w:val="231F20"/>
          <w:spacing w:val="-20"/>
          <w:w w:val="105"/>
        </w:rPr>
        <w:t> </w:t>
      </w:r>
      <w:r>
        <w:rPr>
          <w:color w:val="231F20"/>
          <w:w w:val="105"/>
        </w:rPr>
        <w:t>respuesta</w:t>
      </w:r>
      <w:r>
        <w:rPr>
          <w:color w:val="231F20"/>
          <w:spacing w:val="-20"/>
          <w:w w:val="105"/>
        </w:rPr>
        <w:t> </w:t>
      </w:r>
      <w:r>
        <w:rPr>
          <w:color w:val="231F20"/>
          <w:w w:val="105"/>
        </w:rPr>
        <w:t>a</w:t>
      </w:r>
      <w:r>
        <w:rPr>
          <w:color w:val="231F20"/>
          <w:spacing w:val="-20"/>
          <w:w w:val="105"/>
        </w:rPr>
        <w:t> </w:t>
      </w:r>
      <w:r>
        <w:rPr>
          <w:color w:val="231F20"/>
          <w:w w:val="105"/>
        </w:rPr>
        <w:t>esos</w:t>
      </w:r>
      <w:r>
        <w:rPr>
          <w:color w:val="231F20"/>
          <w:spacing w:val="-20"/>
          <w:w w:val="105"/>
        </w:rPr>
        <w:t> </w:t>
      </w:r>
      <w:r>
        <w:rPr>
          <w:color w:val="231F20"/>
          <w:w w:val="105"/>
        </w:rPr>
        <w:t>impactos</w:t>
      </w:r>
      <w:r>
        <w:rPr>
          <w:color w:val="231F20"/>
          <w:spacing w:val="-20"/>
          <w:w w:val="105"/>
        </w:rPr>
        <w:t> </w:t>
      </w:r>
      <w:r>
        <w:rPr>
          <w:color w:val="231F20"/>
          <w:w w:val="105"/>
        </w:rPr>
        <w:t>(McElroy,</w:t>
      </w:r>
      <w:r>
        <w:rPr>
          <w:color w:val="231F20"/>
          <w:spacing w:val="-25"/>
          <w:w w:val="105"/>
        </w:rPr>
        <w:t> </w:t>
      </w:r>
      <w:r>
        <w:rPr>
          <w:color w:val="231F20"/>
          <w:w w:val="105"/>
        </w:rPr>
        <w:t>2006),</w:t>
      </w:r>
      <w:r>
        <w:rPr>
          <w:color w:val="231F20"/>
          <w:spacing w:val="-25"/>
          <w:w w:val="105"/>
        </w:rPr>
        <w:t> </w:t>
      </w:r>
      <w:r>
        <w:rPr>
          <w:color w:val="231F20"/>
          <w:w w:val="105"/>
        </w:rPr>
        <w:t>se</w:t>
      </w:r>
      <w:r>
        <w:rPr>
          <w:color w:val="231F20"/>
          <w:spacing w:val="-20"/>
          <w:w w:val="105"/>
        </w:rPr>
        <w:t> </w:t>
      </w:r>
      <w:r>
        <w:rPr>
          <w:color w:val="231F20"/>
          <w:w w:val="105"/>
        </w:rPr>
        <w:t>hace</w:t>
      </w:r>
      <w:r>
        <w:rPr>
          <w:color w:val="231F20"/>
          <w:spacing w:val="-20"/>
          <w:w w:val="105"/>
        </w:rPr>
        <w:t> </w:t>
      </w:r>
      <w:r>
        <w:rPr>
          <w:color w:val="231F20"/>
          <w:w w:val="105"/>
        </w:rPr>
        <w:t>obligada la</w:t>
      </w:r>
      <w:r>
        <w:rPr>
          <w:color w:val="231F20"/>
          <w:spacing w:val="-23"/>
          <w:w w:val="105"/>
        </w:rPr>
        <w:t> </w:t>
      </w:r>
      <w:r>
        <w:rPr>
          <w:color w:val="231F20"/>
          <w:w w:val="105"/>
        </w:rPr>
        <w:t>mención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7"/>
          <w:w w:val="105"/>
        </w:rPr>
        <w:t> </w:t>
      </w:r>
      <w:r>
        <w:rPr>
          <w:color w:val="231F20"/>
          <w:w w:val="105"/>
        </w:rPr>
        <w:t>TDR</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7"/>
          <w:w w:val="105"/>
        </w:rPr>
        <w:t> </w:t>
      </w:r>
      <w:r>
        <w:rPr>
          <w:color w:val="231F20"/>
          <w:w w:val="105"/>
        </w:rPr>
        <w:t>TRyC</w:t>
      </w:r>
      <w:r>
        <w:rPr>
          <w:color w:val="231F20"/>
          <w:spacing w:val="-23"/>
          <w:w w:val="105"/>
        </w:rPr>
        <w:t> </w:t>
      </w:r>
      <w:r>
        <w:rPr>
          <w:color w:val="231F20"/>
          <w:w w:val="105"/>
        </w:rPr>
        <w:t>como</w:t>
      </w:r>
      <w:r>
        <w:rPr>
          <w:color w:val="231F20"/>
          <w:spacing w:val="-23"/>
          <w:w w:val="105"/>
        </w:rPr>
        <w:t> </w:t>
      </w:r>
      <w:r>
        <w:rPr>
          <w:color w:val="231F20"/>
          <w:w w:val="105"/>
        </w:rPr>
        <w:t>dos</w:t>
      </w:r>
      <w:r>
        <w:rPr>
          <w:color w:val="231F20"/>
          <w:spacing w:val="-23"/>
          <w:w w:val="105"/>
        </w:rPr>
        <w:t> </w:t>
      </w:r>
      <w:r>
        <w:rPr>
          <w:color w:val="231F20"/>
          <w:w w:val="105"/>
        </w:rPr>
        <w:t>escuelas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organiza- cional, con la finalidad de ensamblar un marco integrador para</w:t>
      </w:r>
      <w:r>
        <w:rPr>
          <w:color w:val="231F20"/>
          <w:spacing w:val="-12"/>
          <w:w w:val="105"/>
        </w:rPr>
        <w:t> </w:t>
      </w:r>
      <w:r>
        <w:rPr>
          <w:color w:val="231F20"/>
          <w:w w:val="105"/>
        </w:rPr>
        <w:t>explicar por</w:t>
      </w:r>
      <w:r>
        <w:rPr>
          <w:color w:val="231F20"/>
          <w:spacing w:val="-12"/>
          <w:w w:val="105"/>
        </w:rPr>
        <w:t> </w:t>
      </w:r>
      <w:r>
        <w:rPr>
          <w:color w:val="231F20"/>
          <w:w w:val="105"/>
        </w:rPr>
        <w:t>qué</w:t>
      </w:r>
      <w:r>
        <w:rPr>
          <w:color w:val="231F20"/>
          <w:spacing w:val="-12"/>
          <w:w w:val="105"/>
        </w:rPr>
        <w:t> </w:t>
      </w:r>
      <w:r>
        <w:rPr>
          <w:color w:val="231F20"/>
          <w:w w:val="105"/>
        </w:rPr>
        <w:t>y</w:t>
      </w:r>
      <w:r>
        <w:rPr>
          <w:color w:val="231F20"/>
          <w:spacing w:val="-12"/>
          <w:w w:val="105"/>
        </w:rPr>
        <w:t> </w:t>
      </w:r>
      <w:r>
        <w:rPr>
          <w:color w:val="231F20"/>
          <w:w w:val="105"/>
        </w:rPr>
        <w:t>cómo</w:t>
      </w:r>
      <w:r>
        <w:rPr>
          <w:color w:val="231F20"/>
          <w:spacing w:val="-12"/>
          <w:w w:val="105"/>
        </w:rPr>
        <w:t> </w:t>
      </w:r>
      <w:r>
        <w:rPr>
          <w:color w:val="231F20"/>
          <w:w w:val="105"/>
        </w:rPr>
        <w:t>una</w:t>
      </w:r>
      <w:r>
        <w:rPr>
          <w:color w:val="231F20"/>
          <w:spacing w:val="-12"/>
          <w:w w:val="105"/>
        </w:rPr>
        <w:t> </w:t>
      </w:r>
      <w:r>
        <w:rPr>
          <w:color w:val="231F20"/>
          <w:w w:val="105"/>
        </w:rPr>
        <w:t>organización</w:t>
      </w:r>
      <w:r>
        <w:rPr>
          <w:color w:val="231F20"/>
          <w:spacing w:val="-12"/>
          <w:w w:val="105"/>
        </w:rPr>
        <w:t> </w:t>
      </w:r>
      <w:r>
        <w:rPr>
          <w:color w:val="231F20"/>
          <w:w w:val="105"/>
        </w:rPr>
        <w:t>sustentable</w:t>
      </w:r>
      <w:r>
        <w:rPr>
          <w:color w:val="231F20"/>
          <w:spacing w:val="-12"/>
          <w:w w:val="105"/>
        </w:rPr>
        <w:t> </w:t>
      </w:r>
      <w:r>
        <w:rPr>
          <w:color w:val="231F20"/>
          <w:w w:val="105"/>
        </w:rPr>
        <w:t>pudiera</w:t>
      </w:r>
      <w:r>
        <w:rPr>
          <w:color w:val="231F20"/>
          <w:spacing w:val="-12"/>
          <w:w w:val="105"/>
        </w:rPr>
        <w:t> </w:t>
      </w:r>
      <w:r>
        <w:rPr>
          <w:color w:val="231F20"/>
          <w:w w:val="105"/>
        </w:rPr>
        <w:t>llegar</w:t>
      </w:r>
      <w:r>
        <w:rPr>
          <w:color w:val="231F20"/>
          <w:spacing w:val="-12"/>
          <w:w w:val="105"/>
        </w:rPr>
        <w:t> </w:t>
      </w:r>
      <w:r>
        <w:rPr>
          <w:color w:val="231F20"/>
          <w:w w:val="105"/>
        </w:rPr>
        <w:t>a</w:t>
      </w:r>
      <w:r>
        <w:rPr>
          <w:color w:val="231F20"/>
          <w:spacing w:val="-12"/>
          <w:w w:val="105"/>
        </w:rPr>
        <w:t> </w:t>
      </w:r>
      <w:r>
        <w:rPr>
          <w:color w:val="231F20"/>
          <w:w w:val="105"/>
        </w:rPr>
        <w:t>depender menos</w:t>
      </w:r>
      <w:r>
        <w:rPr>
          <w:color w:val="231F20"/>
          <w:spacing w:val="-20"/>
          <w:w w:val="105"/>
        </w:rPr>
        <w:t> </w:t>
      </w:r>
      <w:r>
        <w:rPr>
          <w:color w:val="231F20"/>
          <w:w w:val="105"/>
        </w:rPr>
        <w:t>de</w:t>
      </w:r>
      <w:r>
        <w:rPr>
          <w:color w:val="231F20"/>
          <w:spacing w:val="-20"/>
          <w:w w:val="105"/>
        </w:rPr>
        <w:t> </w:t>
      </w:r>
      <w:r>
        <w:rPr>
          <w:color w:val="231F20"/>
          <w:w w:val="105"/>
        </w:rPr>
        <w:t>su</w:t>
      </w:r>
      <w:r>
        <w:rPr>
          <w:color w:val="231F20"/>
          <w:spacing w:val="-20"/>
          <w:w w:val="105"/>
        </w:rPr>
        <w:t> </w:t>
      </w:r>
      <w:r>
        <w:rPr>
          <w:color w:val="231F20"/>
          <w:w w:val="105"/>
        </w:rPr>
        <w:t>ambiente</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medida</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desarrolle</w:t>
      </w:r>
      <w:r>
        <w:rPr>
          <w:color w:val="231F20"/>
          <w:spacing w:val="-20"/>
          <w:w w:val="105"/>
        </w:rPr>
        <w:t> </w:t>
      </w:r>
      <w:r>
        <w:rPr>
          <w:color w:val="231F20"/>
          <w:w w:val="105"/>
        </w:rPr>
        <w:t>sus</w:t>
      </w:r>
      <w:r>
        <w:rPr>
          <w:color w:val="231F20"/>
          <w:spacing w:val="-20"/>
          <w:w w:val="105"/>
        </w:rPr>
        <w:t> </w:t>
      </w:r>
      <w:r>
        <w:rPr>
          <w:color w:val="231F20"/>
          <w:w w:val="105"/>
        </w:rPr>
        <w:t>recursos</w:t>
      </w:r>
      <w:r>
        <w:rPr>
          <w:color w:val="231F20"/>
          <w:spacing w:val="-20"/>
          <w:w w:val="105"/>
        </w:rPr>
        <w:t> </w:t>
      </w:r>
      <w:r>
        <w:rPr>
          <w:color w:val="231F20"/>
          <w:w w:val="105"/>
        </w:rPr>
        <w:t>y</w:t>
      </w:r>
      <w:r>
        <w:rPr>
          <w:color w:val="231F20"/>
          <w:spacing w:val="-20"/>
          <w:w w:val="105"/>
        </w:rPr>
        <w:t> </w:t>
      </w:r>
      <w:r>
        <w:rPr>
          <w:color w:val="231F20"/>
          <w:w w:val="105"/>
        </w:rPr>
        <w:t>ca- pacidades.</w:t>
      </w:r>
      <w:r>
        <w:rPr>
          <w:color w:val="231F20"/>
          <w:spacing w:val="-21"/>
          <w:w w:val="105"/>
        </w:rPr>
        <w:t> </w:t>
      </w:r>
      <w:r>
        <w:rPr>
          <w:color w:val="231F20"/>
          <w:w w:val="105"/>
        </w:rPr>
        <w:t>En</w:t>
      </w:r>
      <w:r>
        <w:rPr>
          <w:color w:val="231F20"/>
          <w:spacing w:val="-16"/>
          <w:w w:val="105"/>
        </w:rPr>
        <w:t> </w:t>
      </w:r>
      <w:r>
        <w:rPr>
          <w:color w:val="231F20"/>
          <w:w w:val="105"/>
        </w:rPr>
        <w:t>este</w:t>
      </w:r>
      <w:r>
        <w:rPr>
          <w:color w:val="231F20"/>
          <w:spacing w:val="-16"/>
          <w:w w:val="105"/>
        </w:rPr>
        <w:t> </w:t>
      </w:r>
      <w:r>
        <w:rPr>
          <w:color w:val="231F20"/>
          <w:w w:val="105"/>
        </w:rPr>
        <w:t>sentido,</w:t>
      </w:r>
      <w:r>
        <w:rPr>
          <w:color w:val="231F20"/>
          <w:spacing w:val="-21"/>
          <w:w w:val="105"/>
        </w:rPr>
        <w:t> </w:t>
      </w:r>
      <w:r>
        <w:rPr>
          <w:color w:val="231F20"/>
          <w:w w:val="105"/>
        </w:rPr>
        <w:t>no</w:t>
      </w:r>
      <w:r>
        <w:rPr>
          <w:color w:val="231F20"/>
          <w:spacing w:val="-16"/>
          <w:w w:val="105"/>
        </w:rPr>
        <w:t> </w:t>
      </w:r>
      <w:r>
        <w:rPr>
          <w:color w:val="231F20"/>
          <w:w w:val="105"/>
        </w:rPr>
        <w:t>debe</w:t>
      </w:r>
      <w:r>
        <w:rPr>
          <w:color w:val="231F20"/>
          <w:spacing w:val="-16"/>
          <w:w w:val="105"/>
        </w:rPr>
        <w:t> </w:t>
      </w:r>
      <w:r>
        <w:rPr>
          <w:color w:val="231F20"/>
          <w:w w:val="105"/>
        </w:rPr>
        <w:t>importar</w:t>
      </w:r>
      <w:r>
        <w:rPr>
          <w:color w:val="231F20"/>
          <w:spacing w:val="-16"/>
          <w:w w:val="105"/>
        </w:rPr>
        <w:t> </w:t>
      </w:r>
      <w:r>
        <w:rPr>
          <w:color w:val="231F20"/>
          <w:w w:val="105"/>
        </w:rPr>
        <w:t>si</w:t>
      </w:r>
      <w:r>
        <w:rPr>
          <w:color w:val="231F20"/>
          <w:spacing w:val="-16"/>
          <w:w w:val="105"/>
        </w:rPr>
        <w:t> </w:t>
      </w:r>
      <w:r>
        <w:rPr>
          <w:color w:val="231F20"/>
          <w:w w:val="105"/>
        </w:rPr>
        <w:t>se</w:t>
      </w:r>
      <w:r>
        <w:rPr>
          <w:color w:val="231F20"/>
          <w:spacing w:val="-16"/>
          <w:w w:val="105"/>
        </w:rPr>
        <w:t> </w:t>
      </w:r>
      <w:r>
        <w:rPr>
          <w:color w:val="231F20"/>
          <w:w w:val="105"/>
        </w:rPr>
        <w:t>trata</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empresa</w:t>
      </w:r>
    </w:p>
    <w:p>
      <w:pPr>
        <w:spacing w:after="0" w:line="259" w:lineRule="auto"/>
        <w:jc w:val="both"/>
        <w:sectPr>
          <w:pgSz w:w="9640" w:h="13890"/>
          <w:pgMar w:top="0" w:bottom="280" w:left="1300" w:right="1180"/>
        </w:sectPr>
      </w:pPr>
    </w:p>
    <w:p>
      <w:pPr>
        <w:pStyle w:val="BodyText"/>
        <w:spacing w:line="259" w:lineRule="auto" w:before="120"/>
        <w:ind w:left="103" w:right="114"/>
        <w:jc w:val="both"/>
      </w:pPr>
      <w:r>
        <w:rPr>
          <w:color w:val="231F20"/>
          <w:w w:val="105"/>
        </w:rPr>
        <w:t>lucrativa o una organización sin fines de lucro (como las universidades públicas), ya que éstas si bien no persiguen beneficios económicos, sí tienen la obligación de responder con transparencia y contribuir a una sociedad más justa y equitativa.</w:t>
      </w:r>
    </w:p>
    <w:p>
      <w:pPr>
        <w:pStyle w:val="BodyText"/>
        <w:rPr>
          <w:sz w:val="20"/>
        </w:rPr>
      </w:pPr>
    </w:p>
    <w:p>
      <w:pPr>
        <w:pStyle w:val="BodyText"/>
        <w:spacing w:before="7"/>
        <w:rPr>
          <w:sz w:val="18"/>
        </w:rPr>
      </w:pPr>
    </w:p>
    <w:p>
      <w:pPr>
        <w:pStyle w:val="Heading2"/>
        <w:ind w:left="103"/>
      </w:pPr>
      <w:r>
        <w:rPr>
          <w:color w:val="231F20"/>
        </w:rPr>
        <w:t>Teoría de la dependencia de recursos</w:t>
      </w:r>
    </w:p>
    <w:p>
      <w:pPr>
        <w:pStyle w:val="BodyText"/>
        <w:rPr>
          <w:b/>
          <w:sz w:val="22"/>
        </w:rPr>
      </w:pPr>
    </w:p>
    <w:p>
      <w:pPr>
        <w:pStyle w:val="BodyText"/>
        <w:spacing w:line="259" w:lineRule="auto" w:before="160"/>
        <w:ind w:left="103" w:right="114"/>
        <w:jc w:val="both"/>
      </w:pPr>
      <w:r>
        <w:rPr>
          <w:color w:val="231F20"/>
          <w:w w:val="105"/>
        </w:rPr>
        <w:t>Las</w:t>
      </w:r>
      <w:r>
        <w:rPr>
          <w:color w:val="231F20"/>
          <w:spacing w:val="-33"/>
          <w:w w:val="105"/>
        </w:rPr>
        <w:t> </w:t>
      </w:r>
      <w:r>
        <w:rPr>
          <w:color w:val="231F20"/>
          <w:w w:val="105"/>
        </w:rPr>
        <w:t>organizaciones</w:t>
      </w:r>
      <w:r>
        <w:rPr>
          <w:color w:val="231F20"/>
          <w:spacing w:val="-33"/>
          <w:w w:val="105"/>
        </w:rPr>
        <w:t> </w:t>
      </w:r>
      <w:r>
        <w:rPr>
          <w:color w:val="231F20"/>
          <w:w w:val="105"/>
        </w:rPr>
        <w:t>deben</w:t>
      </w:r>
      <w:r>
        <w:rPr>
          <w:color w:val="231F20"/>
          <w:spacing w:val="-33"/>
          <w:w w:val="105"/>
        </w:rPr>
        <w:t> </w:t>
      </w:r>
      <w:r>
        <w:rPr>
          <w:color w:val="231F20"/>
          <w:w w:val="105"/>
        </w:rPr>
        <w:t>tratarse</w:t>
      </w:r>
      <w:r>
        <w:rPr>
          <w:color w:val="231F20"/>
          <w:spacing w:val="-33"/>
          <w:w w:val="105"/>
        </w:rPr>
        <w:t> </w:t>
      </w:r>
      <w:r>
        <w:rPr>
          <w:color w:val="231F20"/>
          <w:w w:val="105"/>
        </w:rPr>
        <w:t>como</w:t>
      </w:r>
      <w:r>
        <w:rPr>
          <w:color w:val="231F20"/>
          <w:spacing w:val="-33"/>
          <w:w w:val="105"/>
        </w:rPr>
        <w:t> </w:t>
      </w:r>
      <w:r>
        <w:rPr>
          <w:color w:val="231F20"/>
          <w:w w:val="105"/>
        </w:rPr>
        <w:t>sistemas</w:t>
      </w:r>
      <w:r>
        <w:rPr>
          <w:color w:val="231F20"/>
          <w:spacing w:val="-33"/>
          <w:w w:val="105"/>
        </w:rPr>
        <w:t> </w:t>
      </w:r>
      <w:r>
        <w:rPr>
          <w:color w:val="231F20"/>
          <w:w w:val="105"/>
        </w:rPr>
        <w:t>sociotécnicos</w:t>
      </w:r>
      <w:r>
        <w:rPr>
          <w:color w:val="231F20"/>
          <w:spacing w:val="-33"/>
          <w:w w:val="105"/>
        </w:rPr>
        <w:t> </w:t>
      </w:r>
      <w:r>
        <w:rPr>
          <w:color w:val="231F20"/>
          <w:w w:val="105"/>
        </w:rPr>
        <w:t>comple- jos,</w:t>
      </w:r>
      <w:r>
        <w:rPr>
          <w:color w:val="231F20"/>
          <w:spacing w:val="-13"/>
          <w:w w:val="105"/>
        </w:rPr>
        <w:t> </w:t>
      </w:r>
      <w:r>
        <w:rPr>
          <w:color w:val="231F20"/>
          <w:w w:val="105"/>
        </w:rPr>
        <w:t>en</w:t>
      </w:r>
      <w:r>
        <w:rPr>
          <w:color w:val="231F20"/>
          <w:spacing w:val="-7"/>
          <w:w w:val="105"/>
        </w:rPr>
        <w:t> </w:t>
      </w:r>
      <w:r>
        <w:rPr>
          <w:color w:val="231F20"/>
          <w:w w:val="105"/>
        </w:rPr>
        <w:t>donde</w:t>
      </w:r>
      <w:r>
        <w:rPr>
          <w:color w:val="231F20"/>
          <w:spacing w:val="-7"/>
          <w:w w:val="105"/>
        </w:rPr>
        <w:t> </w:t>
      </w:r>
      <w:r>
        <w:rPr>
          <w:color w:val="231F20"/>
          <w:w w:val="105"/>
        </w:rPr>
        <w:t>las</w:t>
      </w:r>
      <w:r>
        <w:rPr>
          <w:color w:val="231F20"/>
          <w:spacing w:val="-7"/>
          <w:w w:val="105"/>
        </w:rPr>
        <w:t> </w:t>
      </w:r>
      <w:r>
        <w:rPr>
          <w:color w:val="231F20"/>
          <w:w w:val="105"/>
        </w:rPr>
        <w:t>personas</w:t>
      </w:r>
      <w:r>
        <w:rPr>
          <w:color w:val="231F20"/>
          <w:spacing w:val="-7"/>
          <w:w w:val="105"/>
        </w:rPr>
        <w:t> </w:t>
      </w:r>
      <w:r>
        <w:rPr>
          <w:color w:val="231F20"/>
          <w:w w:val="105"/>
        </w:rPr>
        <w:t>interactúan</w:t>
      </w:r>
      <w:r>
        <w:rPr>
          <w:color w:val="231F20"/>
          <w:spacing w:val="-7"/>
          <w:w w:val="105"/>
        </w:rPr>
        <w:t> </w:t>
      </w:r>
      <w:r>
        <w:rPr>
          <w:color w:val="231F20"/>
          <w:w w:val="105"/>
        </w:rPr>
        <w:t>con</w:t>
      </w:r>
      <w:r>
        <w:rPr>
          <w:color w:val="231F20"/>
          <w:spacing w:val="-7"/>
          <w:w w:val="105"/>
        </w:rPr>
        <w:t> </w:t>
      </w:r>
      <w:r>
        <w:rPr>
          <w:color w:val="231F20"/>
          <w:w w:val="105"/>
        </w:rPr>
        <w:t>factores</w:t>
      </w:r>
      <w:r>
        <w:rPr>
          <w:color w:val="231F20"/>
          <w:spacing w:val="-7"/>
          <w:w w:val="105"/>
        </w:rPr>
        <w:t> </w:t>
      </w:r>
      <w:r>
        <w:rPr>
          <w:color w:val="231F20"/>
          <w:w w:val="105"/>
        </w:rPr>
        <w:t>sociales,</w:t>
      </w:r>
      <w:r>
        <w:rPr>
          <w:color w:val="231F20"/>
          <w:spacing w:val="-13"/>
          <w:w w:val="105"/>
        </w:rPr>
        <w:t> </w:t>
      </w:r>
      <w:r>
        <w:rPr>
          <w:color w:val="231F20"/>
          <w:w w:val="105"/>
        </w:rPr>
        <w:t>tecnológi- cos</w:t>
      </w:r>
      <w:r>
        <w:rPr>
          <w:color w:val="231F20"/>
          <w:spacing w:val="-20"/>
          <w:w w:val="105"/>
        </w:rPr>
        <w:t> </w:t>
      </w:r>
      <w:r>
        <w:rPr>
          <w:color w:val="231F20"/>
          <w:w w:val="105"/>
        </w:rPr>
        <w:t>y</w:t>
      </w:r>
      <w:r>
        <w:rPr>
          <w:color w:val="231F20"/>
          <w:spacing w:val="-20"/>
          <w:w w:val="105"/>
        </w:rPr>
        <w:t> </w:t>
      </w:r>
      <w:r>
        <w:rPr>
          <w:color w:val="231F20"/>
          <w:w w:val="105"/>
        </w:rPr>
        <w:t>ambientales</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w w:val="105"/>
        </w:rPr>
        <w:t>logro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tarea</w:t>
      </w:r>
      <w:r>
        <w:rPr>
          <w:color w:val="231F20"/>
          <w:spacing w:val="-20"/>
          <w:w w:val="105"/>
        </w:rPr>
        <w:t> </w:t>
      </w:r>
      <w:r>
        <w:rPr>
          <w:color w:val="231F20"/>
          <w:w w:val="105"/>
        </w:rPr>
        <w:t>(Rice,</w:t>
      </w:r>
      <w:r>
        <w:rPr>
          <w:color w:val="231F20"/>
          <w:spacing w:val="-25"/>
          <w:w w:val="105"/>
        </w:rPr>
        <w:t> </w:t>
      </w:r>
      <w:r>
        <w:rPr>
          <w:color w:val="231F20"/>
          <w:w w:val="105"/>
        </w:rPr>
        <w:t>1963).</w:t>
      </w:r>
      <w:r>
        <w:rPr>
          <w:color w:val="231F20"/>
          <w:spacing w:val="-25"/>
          <w:w w:val="105"/>
        </w:rPr>
        <w:t> </w:t>
      </w:r>
      <w:r>
        <w:rPr>
          <w:color w:val="231F20"/>
          <w:w w:val="105"/>
        </w:rPr>
        <w:t>Las</w:t>
      </w:r>
      <w:r>
        <w:rPr>
          <w:color w:val="231F20"/>
          <w:spacing w:val="-20"/>
          <w:w w:val="105"/>
        </w:rPr>
        <w:t> </w:t>
      </w:r>
      <w:r>
        <w:rPr>
          <w:color w:val="231F20"/>
          <w:w w:val="105"/>
        </w:rPr>
        <w:t>organizacio- nes existen en sistemas abiertos, en un conjunto de medios dinámicos conformados</w:t>
      </w:r>
      <w:r>
        <w:rPr>
          <w:color w:val="231F20"/>
          <w:spacing w:val="-18"/>
          <w:w w:val="105"/>
        </w:rPr>
        <w:t> </w:t>
      </w:r>
      <w:r>
        <w:rPr>
          <w:color w:val="231F20"/>
          <w:w w:val="105"/>
        </w:rPr>
        <w:t>por</w:t>
      </w:r>
      <w:r>
        <w:rPr>
          <w:color w:val="231F20"/>
          <w:spacing w:val="-18"/>
          <w:w w:val="105"/>
        </w:rPr>
        <w:t> </w:t>
      </w:r>
      <w:r>
        <w:rPr>
          <w:color w:val="231F20"/>
          <w:w w:val="105"/>
        </w:rPr>
        <w:t>un</w:t>
      </w:r>
      <w:r>
        <w:rPr>
          <w:color w:val="231F20"/>
          <w:spacing w:val="-18"/>
          <w:w w:val="105"/>
        </w:rPr>
        <w:t> </w:t>
      </w:r>
      <w:r>
        <w:rPr>
          <w:color w:val="231F20"/>
          <w:w w:val="105"/>
        </w:rPr>
        <w:t>sinnúmero</w:t>
      </w:r>
      <w:r>
        <w:rPr>
          <w:color w:val="231F20"/>
          <w:spacing w:val="-18"/>
          <w:w w:val="105"/>
        </w:rPr>
        <w:t> </w:t>
      </w:r>
      <w:r>
        <w:rPr>
          <w:color w:val="231F20"/>
          <w:w w:val="105"/>
        </w:rPr>
        <w:t>de</w:t>
      </w:r>
      <w:r>
        <w:rPr>
          <w:color w:val="231F20"/>
          <w:spacing w:val="-18"/>
          <w:w w:val="105"/>
        </w:rPr>
        <w:t> </w:t>
      </w:r>
      <w:r>
        <w:rPr>
          <w:color w:val="231F20"/>
          <w:w w:val="105"/>
        </w:rPr>
        <w:t>otros</w:t>
      </w:r>
      <w:r>
        <w:rPr>
          <w:color w:val="231F20"/>
          <w:spacing w:val="-18"/>
          <w:w w:val="105"/>
        </w:rPr>
        <w:t> </w:t>
      </w:r>
      <w:r>
        <w:rPr>
          <w:color w:val="231F20"/>
          <w:w w:val="105"/>
        </w:rPr>
        <w:t>sistemas,</w:t>
      </w:r>
      <w:r>
        <w:rPr>
          <w:color w:val="231F20"/>
          <w:spacing w:val="-23"/>
          <w:w w:val="105"/>
        </w:rPr>
        <w:t> </w:t>
      </w:r>
      <w:r>
        <w:rPr>
          <w:color w:val="231F20"/>
          <w:w w:val="105"/>
        </w:rPr>
        <w:t>algunos</w:t>
      </w:r>
      <w:r>
        <w:rPr>
          <w:color w:val="231F20"/>
          <w:spacing w:val="-18"/>
          <w:w w:val="105"/>
        </w:rPr>
        <w:t> </w:t>
      </w:r>
      <w:r>
        <w:rPr>
          <w:color w:val="231F20"/>
          <w:w w:val="105"/>
        </w:rPr>
        <w:t>más</w:t>
      </w:r>
      <w:r>
        <w:rPr>
          <w:color w:val="231F20"/>
          <w:spacing w:val="-18"/>
          <w:w w:val="105"/>
        </w:rPr>
        <w:t> </w:t>
      </w:r>
      <w:r>
        <w:rPr>
          <w:color w:val="231F20"/>
          <w:w w:val="105"/>
        </w:rPr>
        <w:t>grandes y</w:t>
      </w:r>
      <w:r>
        <w:rPr>
          <w:color w:val="231F20"/>
          <w:spacing w:val="-21"/>
          <w:w w:val="105"/>
        </w:rPr>
        <w:t> </w:t>
      </w:r>
      <w:r>
        <w:rPr>
          <w:color w:val="231F20"/>
          <w:w w:val="105"/>
        </w:rPr>
        <w:t>otros</w:t>
      </w:r>
      <w:r>
        <w:rPr>
          <w:color w:val="231F20"/>
          <w:spacing w:val="-21"/>
          <w:w w:val="105"/>
        </w:rPr>
        <w:t> </w:t>
      </w:r>
      <w:r>
        <w:rPr>
          <w:color w:val="231F20"/>
          <w:w w:val="105"/>
        </w:rPr>
        <w:t>más</w:t>
      </w:r>
      <w:r>
        <w:rPr>
          <w:color w:val="231F20"/>
          <w:spacing w:val="-21"/>
          <w:w w:val="105"/>
        </w:rPr>
        <w:t> </w:t>
      </w:r>
      <w:r>
        <w:rPr>
          <w:color w:val="231F20"/>
          <w:w w:val="105"/>
        </w:rPr>
        <w:t>pequeños</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propia</w:t>
      </w:r>
      <w:r>
        <w:rPr>
          <w:color w:val="231F20"/>
          <w:spacing w:val="-21"/>
          <w:w w:val="105"/>
        </w:rPr>
        <w:t> </w:t>
      </w:r>
      <w:r>
        <w:rPr>
          <w:color w:val="231F20"/>
          <w:w w:val="105"/>
        </w:rPr>
        <w:t>organización</w:t>
      </w:r>
      <w:r>
        <w:rPr>
          <w:color w:val="231F20"/>
          <w:spacing w:val="-21"/>
          <w:w w:val="105"/>
        </w:rPr>
        <w:t> </w:t>
      </w:r>
      <w:r>
        <w:rPr>
          <w:color w:val="231F20"/>
          <w:w w:val="105"/>
        </w:rPr>
        <w:t>(Schein,</w:t>
      </w:r>
      <w:r>
        <w:rPr>
          <w:color w:val="231F20"/>
          <w:spacing w:val="-26"/>
          <w:w w:val="105"/>
        </w:rPr>
        <w:t> </w:t>
      </w:r>
      <w:r>
        <w:rPr>
          <w:color w:val="231F20"/>
          <w:w w:val="105"/>
        </w:rPr>
        <w:t>1982).</w:t>
      </w:r>
    </w:p>
    <w:p>
      <w:pPr>
        <w:pStyle w:val="BodyText"/>
        <w:spacing w:line="259" w:lineRule="auto"/>
        <w:ind w:left="103" w:right="115" w:firstLine="567"/>
        <w:jc w:val="both"/>
      </w:pPr>
      <w:r>
        <w:rPr>
          <w:color w:val="231F20"/>
          <w:w w:val="105"/>
        </w:rPr>
        <w:t>Puesto</w:t>
      </w:r>
      <w:r>
        <w:rPr>
          <w:color w:val="231F20"/>
          <w:spacing w:val="-36"/>
          <w:w w:val="105"/>
        </w:rPr>
        <w:t> </w:t>
      </w:r>
      <w:r>
        <w:rPr>
          <w:color w:val="231F20"/>
          <w:w w:val="105"/>
        </w:rPr>
        <w:t>que</w:t>
      </w:r>
      <w:r>
        <w:rPr>
          <w:color w:val="231F20"/>
          <w:spacing w:val="-36"/>
          <w:w w:val="105"/>
        </w:rPr>
        <w:t> </w:t>
      </w:r>
      <w:r>
        <w:rPr>
          <w:color w:val="231F20"/>
          <w:w w:val="105"/>
        </w:rPr>
        <w:t>las</w:t>
      </w:r>
      <w:r>
        <w:rPr>
          <w:color w:val="231F20"/>
          <w:spacing w:val="-36"/>
          <w:w w:val="105"/>
        </w:rPr>
        <w:t> </w:t>
      </w:r>
      <w:r>
        <w:rPr>
          <w:color w:val="231F20"/>
          <w:w w:val="105"/>
        </w:rPr>
        <w:t>organizaciones</w:t>
      </w:r>
      <w:r>
        <w:rPr>
          <w:color w:val="231F20"/>
          <w:spacing w:val="-36"/>
          <w:w w:val="105"/>
        </w:rPr>
        <w:t> </w:t>
      </w:r>
      <w:r>
        <w:rPr>
          <w:color w:val="231F20"/>
          <w:w w:val="105"/>
        </w:rPr>
        <w:t>son</w:t>
      </w:r>
      <w:r>
        <w:rPr>
          <w:color w:val="231F20"/>
          <w:spacing w:val="-36"/>
          <w:w w:val="105"/>
        </w:rPr>
        <w:t> </w:t>
      </w:r>
      <w:r>
        <w:rPr>
          <w:color w:val="231F20"/>
          <w:w w:val="105"/>
        </w:rPr>
        <w:t>sistemas</w:t>
      </w:r>
      <w:r>
        <w:rPr>
          <w:color w:val="231F20"/>
          <w:spacing w:val="-36"/>
          <w:w w:val="105"/>
        </w:rPr>
        <w:t> </w:t>
      </w:r>
      <w:r>
        <w:rPr>
          <w:color w:val="231F20"/>
          <w:w w:val="105"/>
        </w:rPr>
        <w:t>abiertos</w:t>
      </w:r>
      <w:r>
        <w:rPr>
          <w:color w:val="231F20"/>
          <w:spacing w:val="-36"/>
          <w:w w:val="105"/>
        </w:rPr>
        <w:t> </w:t>
      </w:r>
      <w:r>
        <w:rPr>
          <w:color w:val="231F20"/>
          <w:w w:val="105"/>
        </w:rPr>
        <w:t>en</w:t>
      </w:r>
      <w:r>
        <w:rPr>
          <w:color w:val="231F20"/>
          <w:spacing w:val="-36"/>
          <w:w w:val="105"/>
        </w:rPr>
        <w:t> </w:t>
      </w:r>
      <w:r>
        <w:rPr>
          <w:color w:val="231F20"/>
          <w:w w:val="105"/>
        </w:rPr>
        <w:t>interacción constante</w:t>
      </w:r>
      <w:r>
        <w:rPr>
          <w:color w:val="231F20"/>
          <w:spacing w:val="-18"/>
          <w:w w:val="105"/>
        </w:rPr>
        <w:t> </w:t>
      </w:r>
      <w:r>
        <w:rPr>
          <w:color w:val="231F20"/>
          <w:w w:val="105"/>
        </w:rPr>
        <w:t>(Katz</w:t>
      </w:r>
      <w:r>
        <w:rPr>
          <w:color w:val="231F20"/>
          <w:spacing w:val="-18"/>
          <w:w w:val="105"/>
        </w:rPr>
        <w:t> </w:t>
      </w:r>
      <w:r>
        <w:rPr>
          <w:color w:val="231F20"/>
          <w:w w:val="105"/>
        </w:rPr>
        <w:t>y</w:t>
      </w:r>
      <w:r>
        <w:rPr>
          <w:color w:val="231F20"/>
          <w:spacing w:val="-18"/>
          <w:w w:val="105"/>
        </w:rPr>
        <w:t> </w:t>
      </w:r>
      <w:r>
        <w:rPr>
          <w:color w:val="231F20"/>
          <w:w w:val="105"/>
        </w:rPr>
        <w:t>Kahn,</w:t>
      </w:r>
      <w:r>
        <w:rPr>
          <w:color w:val="231F20"/>
          <w:spacing w:val="-23"/>
          <w:w w:val="105"/>
        </w:rPr>
        <w:t> </w:t>
      </w:r>
      <w:r>
        <w:rPr>
          <w:color w:val="231F20"/>
          <w:w w:val="105"/>
        </w:rPr>
        <w:t>1966),</w:t>
      </w:r>
      <w:r>
        <w:rPr>
          <w:color w:val="231F20"/>
          <w:spacing w:val="-23"/>
          <w:w w:val="105"/>
        </w:rPr>
        <w:t> </w:t>
      </w:r>
      <w:r>
        <w:rPr>
          <w:color w:val="231F20"/>
          <w:w w:val="105"/>
        </w:rPr>
        <w:t>los</w:t>
      </w:r>
      <w:r>
        <w:rPr>
          <w:color w:val="231F20"/>
          <w:spacing w:val="-18"/>
          <w:w w:val="105"/>
        </w:rPr>
        <w:t> </w:t>
      </w:r>
      <w:r>
        <w:rPr>
          <w:color w:val="231F20"/>
          <w:w w:val="105"/>
        </w:rPr>
        <w:t>medios</w:t>
      </w:r>
      <w:r>
        <w:rPr>
          <w:color w:val="231F20"/>
          <w:spacing w:val="-18"/>
          <w:w w:val="105"/>
        </w:rPr>
        <w:t> </w:t>
      </w:r>
      <w:r>
        <w:rPr>
          <w:color w:val="231F20"/>
          <w:w w:val="105"/>
        </w:rPr>
        <w:t>les</w:t>
      </w:r>
      <w:r>
        <w:rPr>
          <w:color w:val="231F20"/>
          <w:spacing w:val="-18"/>
          <w:w w:val="105"/>
        </w:rPr>
        <w:t> </w:t>
      </w:r>
      <w:r>
        <w:rPr>
          <w:color w:val="231F20"/>
          <w:w w:val="105"/>
        </w:rPr>
        <w:t>hacen</w:t>
      </w:r>
      <w:r>
        <w:rPr>
          <w:color w:val="231F20"/>
          <w:spacing w:val="-18"/>
          <w:w w:val="105"/>
        </w:rPr>
        <w:t> </w:t>
      </w:r>
      <w:r>
        <w:rPr>
          <w:color w:val="231F20"/>
          <w:w w:val="105"/>
        </w:rPr>
        <w:t>exigencias</w:t>
      </w:r>
      <w:r>
        <w:rPr>
          <w:color w:val="231F20"/>
          <w:spacing w:val="-18"/>
          <w:w w:val="105"/>
        </w:rPr>
        <w:t> </w:t>
      </w:r>
      <w:r>
        <w:rPr>
          <w:color w:val="231F20"/>
          <w:w w:val="105"/>
        </w:rPr>
        <w:t>y</w:t>
      </w:r>
      <w:r>
        <w:rPr>
          <w:color w:val="231F20"/>
          <w:spacing w:val="-18"/>
          <w:w w:val="105"/>
        </w:rPr>
        <w:t> </w:t>
      </w:r>
      <w:r>
        <w:rPr>
          <w:color w:val="231F20"/>
          <w:w w:val="105"/>
        </w:rPr>
        <w:t>les</w:t>
      </w:r>
      <w:r>
        <w:rPr>
          <w:color w:val="231F20"/>
          <w:spacing w:val="-18"/>
          <w:w w:val="105"/>
        </w:rPr>
        <w:t> </w:t>
      </w:r>
      <w:r>
        <w:rPr>
          <w:color w:val="231F20"/>
          <w:w w:val="105"/>
        </w:rPr>
        <w:t>im- ponen</w:t>
      </w:r>
      <w:r>
        <w:rPr>
          <w:color w:val="231F20"/>
          <w:spacing w:val="-19"/>
          <w:w w:val="105"/>
        </w:rPr>
        <w:t> </w:t>
      </w:r>
      <w:r>
        <w:rPr>
          <w:color w:val="231F20"/>
          <w:w w:val="105"/>
        </w:rPr>
        <w:t>límites.</w:t>
      </w:r>
      <w:r>
        <w:rPr>
          <w:color w:val="231F20"/>
          <w:spacing w:val="-27"/>
          <w:w w:val="105"/>
        </w:rPr>
        <w:t> </w:t>
      </w:r>
      <w:r>
        <w:rPr>
          <w:color w:val="231F20"/>
          <w:spacing w:val="-9"/>
          <w:w w:val="105"/>
        </w:rPr>
        <w:t>Y,</w:t>
      </w:r>
      <w:r>
        <w:rPr>
          <w:color w:val="231F20"/>
          <w:spacing w:val="-24"/>
          <w:w w:val="105"/>
        </w:rPr>
        <w:t> </w:t>
      </w:r>
      <w:r>
        <w:rPr>
          <w:color w:val="231F20"/>
          <w:w w:val="105"/>
        </w:rPr>
        <w:t>como</w:t>
      </w:r>
      <w:r>
        <w:rPr>
          <w:color w:val="231F20"/>
          <w:spacing w:val="-19"/>
          <w:w w:val="105"/>
        </w:rPr>
        <w:t> </w:t>
      </w:r>
      <w:r>
        <w:rPr>
          <w:color w:val="231F20"/>
          <w:w w:val="105"/>
        </w:rPr>
        <w:t>sistemas</w:t>
      </w:r>
      <w:r>
        <w:rPr>
          <w:color w:val="231F20"/>
          <w:spacing w:val="-19"/>
          <w:w w:val="105"/>
        </w:rPr>
        <w:t> </w:t>
      </w:r>
      <w:r>
        <w:rPr>
          <w:color w:val="231F20"/>
          <w:w w:val="105"/>
        </w:rPr>
        <w:t>abiertos,</w:t>
      </w:r>
      <w:r>
        <w:rPr>
          <w:color w:val="231F20"/>
          <w:spacing w:val="-24"/>
          <w:w w:val="105"/>
        </w:rPr>
        <w:t> </w:t>
      </w:r>
      <w:r>
        <w:rPr>
          <w:color w:val="231F20"/>
          <w:w w:val="105"/>
        </w:rPr>
        <w:t>deberían</w:t>
      </w:r>
      <w:r>
        <w:rPr>
          <w:color w:val="231F20"/>
          <w:spacing w:val="-19"/>
          <w:w w:val="105"/>
        </w:rPr>
        <w:t> </w:t>
      </w:r>
      <w:r>
        <w:rPr>
          <w:color w:val="231F20"/>
          <w:w w:val="105"/>
        </w:rPr>
        <w:t>ser</w:t>
      </w:r>
      <w:r>
        <w:rPr>
          <w:color w:val="231F20"/>
          <w:spacing w:val="-19"/>
          <w:w w:val="105"/>
        </w:rPr>
        <w:t> </w:t>
      </w:r>
      <w:r>
        <w:rPr>
          <w:color w:val="231F20"/>
          <w:w w:val="105"/>
        </w:rPr>
        <w:t>capaces</w:t>
      </w:r>
      <w:r>
        <w:rPr>
          <w:color w:val="231F20"/>
          <w:spacing w:val="-19"/>
          <w:w w:val="105"/>
        </w:rPr>
        <w:t> </w:t>
      </w:r>
      <w:r>
        <w:rPr>
          <w:color w:val="231F20"/>
          <w:w w:val="105"/>
        </w:rPr>
        <w:t>de</w:t>
      </w:r>
      <w:r>
        <w:rPr>
          <w:color w:val="231F20"/>
          <w:spacing w:val="-19"/>
          <w:w w:val="105"/>
        </w:rPr>
        <w:t> </w:t>
      </w:r>
      <w:r>
        <w:rPr>
          <w:color w:val="231F20"/>
          <w:w w:val="105"/>
        </w:rPr>
        <w:t>man- tenerse a partir del rendimiento de recursos que toman de su</w:t>
      </w:r>
      <w:r>
        <w:rPr>
          <w:color w:val="231F20"/>
          <w:spacing w:val="-26"/>
          <w:w w:val="105"/>
        </w:rPr>
        <w:t> </w:t>
      </w:r>
      <w:r>
        <w:rPr>
          <w:color w:val="231F20"/>
          <w:w w:val="105"/>
        </w:rPr>
        <w:t>ambiente (Scott</w:t>
      </w:r>
      <w:r>
        <w:rPr>
          <w:color w:val="231F20"/>
          <w:spacing w:val="-15"/>
          <w:w w:val="105"/>
        </w:rPr>
        <w:t> </w:t>
      </w:r>
      <w:r>
        <w:rPr>
          <w:color w:val="231F20"/>
          <w:w w:val="105"/>
        </w:rPr>
        <w:t>y</w:t>
      </w:r>
      <w:r>
        <w:rPr>
          <w:color w:val="231F20"/>
          <w:spacing w:val="-15"/>
          <w:w w:val="105"/>
        </w:rPr>
        <w:t> </w:t>
      </w:r>
      <w:r>
        <w:rPr>
          <w:color w:val="231F20"/>
          <w:w w:val="105"/>
        </w:rPr>
        <w:t>Davis,</w:t>
      </w:r>
      <w:r>
        <w:rPr>
          <w:color w:val="231F20"/>
          <w:spacing w:val="-19"/>
          <w:w w:val="105"/>
        </w:rPr>
        <w:t> </w:t>
      </w:r>
      <w:r>
        <w:rPr>
          <w:color w:val="231F20"/>
          <w:w w:val="105"/>
        </w:rPr>
        <w:t>2008).</w:t>
      </w:r>
      <w:r>
        <w:rPr>
          <w:color w:val="231F20"/>
          <w:spacing w:val="-19"/>
          <w:w w:val="105"/>
        </w:rPr>
        <w:t> </w:t>
      </w:r>
      <w:r>
        <w:rPr>
          <w:color w:val="231F20"/>
          <w:w w:val="105"/>
        </w:rPr>
        <w:t>La</w:t>
      </w:r>
      <w:r>
        <w:rPr>
          <w:color w:val="231F20"/>
          <w:spacing w:val="-15"/>
          <w:w w:val="105"/>
        </w:rPr>
        <w:t> </w:t>
      </w:r>
      <w:r>
        <w:rPr>
          <w:color w:val="231F20"/>
          <w:w w:val="105"/>
        </w:rPr>
        <w:t>organización</w:t>
      </w:r>
      <w:r>
        <w:rPr>
          <w:color w:val="231F20"/>
          <w:spacing w:val="-15"/>
          <w:w w:val="105"/>
        </w:rPr>
        <w:t> </w:t>
      </w:r>
      <w:r>
        <w:rPr>
          <w:color w:val="231F20"/>
          <w:w w:val="105"/>
        </w:rPr>
        <w:t>está</w:t>
      </w:r>
      <w:r>
        <w:rPr>
          <w:color w:val="231F20"/>
          <w:spacing w:val="-15"/>
          <w:w w:val="105"/>
        </w:rPr>
        <w:t> </w:t>
      </w:r>
      <w:r>
        <w:rPr>
          <w:color w:val="231F20"/>
          <w:w w:val="105"/>
        </w:rPr>
        <w:t>en</w:t>
      </w:r>
      <w:r>
        <w:rPr>
          <w:color w:val="231F20"/>
          <w:spacing w:val="-15"/>
          <w:w w:val="105"/>
        </w:rPr>
        <w:t> </w:t>
      </w:r>
      <w:r>
        <w:rPr>
          <w:color w:val="231F20"/>
          <w:w w:val="105"/>
        </w:rPr>
        <w:t>constante</w:t>
      </w:r>
      <w:r>
        <w:rPr>
          <w:color w:val="231F20"/>
          <w:spacing w:val="-15"/>
          <w:w w:val="105"/>
        </w:rPr>
        <w:t> </w:t>
      </w:r>
      <w:r>
        <w:rPr>
          <w:color w:val="231F20"/>
          <w:w w:val="105"/>
        </w:rPr>
        <w:t>interacción</w:t>
      </w:r>
      <w:r>
        <w:rPr>
          <w:color w:val="231F20"/>
          <w:spacing w:val="-15"/>
          <w:w w:val="105"/>
        </w:rPr>
        <w:t> </w:t>
      </w:r>
      <w:r>
        <w:rPr>
          <w:color w:val="231F20"/>
          <w:w w:val="105"/>
        </w:rPr>
        <w:t>con todos sus medios, asimilando materia prima, personas, energía e</w:t>
      </w:r>
      <w:r>
        <w:rPr>
          <w:color w:val="231F20"/>
          <w:spacing w:val="-40"/>
          <w:w w:val="105"/>
        </w:rPr>
        <w:t> </w:t>
      </w:r>
      <w:r>
        <w:rPr>
          <w:color w:val="231F20"/>
          <w:w w:val="105"/>
        </w:rPr>
        <w:t>infor- mación</w:t>
      </w:r>
      <w:r>
        <w:rPr>
          <w:color w:val="231F20"/>
          <w:spacing w:val="-10"/>
          <w:w w:val="105"/>
        </w:rPr>
        <w:t> </w:t>
      </w:r>
      <w:r>
        <w:rPr>
          <w:color w:val="231F20"/>
          <w:w w:val="105"/>
        </w:rPr>
        <w:t>y</w:t>
      </w:r>
      <w:r>
        <w:rPr>
          <w:color w:val="231F20"/>
          <w:spacing w:val="-10"/>
          <w:w w:val="105"/>
        </w:rPr>
        <w:t> </w:t>
      </w:r>
      <w:r>
        <w:rPr>
          <w:color w:val="231F20"/>
          <w:w w:val="105"/>
        </w:rPr>
        <w:t>transformándola</w:t>
      </w:r>
      <w:r>
        <w:rPr>
          <w:color w:val="231F20"/>
          <w:spacing w:val="-10"/>
          <w:w w:val="105"/>
        </w:rPr>
        <w:t> </w:t>
      </w:r>
      <w:r>
        <w:rPr>
          <w:color w:val="231F20"/>
          <w:w w:val="105"/>
        </w:rPr>
        <w:t>o</w:t>
      </w:r>
      <w:r>
        <w:rPr>
          <w:color w:val="231F20"/>
          <w:spacing w:val="-10"/>
          <w:w w:val="105"/>
        </w:rPr>
        <w:t> </w:t>
      </w:r>
      <w:r>
        <w:rPr>
          <w:color w:val="231F20"/>
          <w:w w:val="105"/>
        </w:rPr>
        <w:t>convirtiéndola</w:t>
      </w:r>
      <w:r>
        <w:rPr>
          <w:color w:val="231F20"/>
          <w:spacing w:val="-10"/>
          <w:w w:val="105"/>
        </w:rPr>
        <w:t> </w:t>
      </w:r>
      <w:r>
        <w:rPr>
          <w:color w:val="231F20"/>
          <w:w w:val="105"/>
        </w:rPr>
        <w:t>en</w:t>
      </w:r>
      <w:r>
        <w:rPr>
          <w:color w:val="231F20"/>
          <w:spacing w:val="-10"/>
          <w:w w:val="105"/>
        </w:rPr>
        <w:t> </w:t>
      </w:r>
      <w:r>
        <w:rPr>
          <w:color w:val="231F20"/>
          <w:w w:val="105"/>
        </w:rPr>
        <w:t>productos</w:t>
      </w:r>
      <w:r>
        <w:rPr>
          <w:color w:val="231F20"/>
          <w:spacing w:val="-10"/>
          <w:w w:val="105"/>
        </w:rPr>
        <w:t> </w:t>
      </w:r>
      <w:r>
        <w:rPr>
          <w:color w:val="231F20"/>
          <w:w w:val="105"/>
        </w:rPr>
        <w:t>y</w:t>
      </w:r>
      <w:r>
        <w:rPr>
          <w:color w:val="231F20"/>
          <w:spacing w:val="-10"/>
          <w:w w:val="105"/>
        </w:rPr>
        <w:t> </w:t>
      </w:r>
      <w:r>
        <w:rPr>
          <w:color w:val="231F20"/>
          <w:w w:val="105"/>
        </w:rPr>
        <w:t>servicios</w:t>
      </w:r>
      <w:r>
        <w:rPr>
          <w:color w:val="231F20"/>
          <w:spacing w:val="-10"/>
          <w:w w:val="105"/>
        </w:rPr>
        <w:t> </w:t>
      </w:r>
      <w:r>
        <w:rPr>
          <w:color w:val="231F20"/>
          <w:w w:val="105"/>
        </w:rPr>
        <w:t>que luego</w:t>
      </w:r>
      <w:r>
        <w:rPr>
          <w:color w:val="231F20"/>
          <w:spacing w:val="-26"/>
          <w:w w:val="105"/>
        </w:rPr>
        <w:t> </w:t>
      </w:r>
      <w:r>
        <w:rPr>
          <w:color w:val="231F20"/>
          <w:w w:val="105"/>
        </w:rPr>
        <w:t>se</w:t>
      </w:r>
      <w:r>
        <w:rPr>
          <w:color w:val="231F20"/>
          <w:spacing w:val="-26"/>
          <w:w w:val="105"/>
        </w:rPr>
        <w:t> </w:t>
      </w:r>
      <w:r>
        <w:rPr>
          <w:color w:val="231F20"/>
          <w:w w:val="105"/>
        </w:rPr>
        <w:t>envían</w:t>
      </w:r>
      <w:r>
        <w:rPr>
          <w:color w:val="231F20"/>
          <w:spacing w:val="-26"/>
          <w:w w:val="105"/>
        </w:rPr>
        <w:t> </w:t>
      </w:r>
      <w:r>
        <w:rPr>
          <w:color w:val="231F20"/>
          <w:w w:val="105"/>
        </w:rPr>
        <w:t>a</w:t>
      </w:r>
      <w:r>
        <w:rPr>
          <w:color w:val="231F20"/>
          <w:spacing w:val="-26"/>
          <w:w w:val="105"/>
        </w:rPr>
        <w:t> </w:t>
      </w:r>
      <w:r>
        <w:rPr>
          <w:color w:val="231F20"/>
          <w:w w:val="105"/>
        </w:rPr>
        <w:t>esos</w:t>
      </w:r>
      <w:r>
        <w:rPr>
          <w:color w:val="231F20"/>
          <w:spacing w:val="-26"/>
          <w:w w:val="105"/>
        </w:rPr>
        <w:t> </w:t>
      </w:r>
      <w:r>
        <w:rPr>
          <w:color w:val="231F20"/>
          <w:w w:val="105"/>
        </w:rPr>
        <w:t>diversos</w:t>
      </w:r>
      <w:r>
        <w:rPr>
          <w:color w:val="231F20"/>
          <w:spacing w:val="-26"/>
          <w:w w:val="105"/>
        </w:rPr>
        <w:t> </w:t>
      </w:r>
      <w:r>
        <w:rPr>
          <w:color w:val="231F20"/>
          <w:w w:val="105"/>
        </w:rPr>
        <w:t>medios.</w:t>
      </w:r>
    </w:p>
    <w:p>
      <w:pPr>
        <w:pStyle w:val="BodyText"/>
        <w:spacing w:line="259" w:lineRule="auto"/>
        <w:ind w:left="103" w:right="114" w:firstLine="567"/>
        <w:jc w:val="both"/>
      </w:pPr>
      <w:r>
        <w:rPr>
          <w:color w:val="231F20"/>
          <w:w w:val="105"/>
        </w:rPr>
        <w:t>En esencia: todas las organizaciones dependen de su ambiente para</w:t>
      </w:r>
      <w:r>
        <w:rPr>
          <w:color w:val="231F20"/>
          <w:spacing w:val="-11"/>
          <w:w w:val="105"/>
        </w:rPr>
        <w:t> </w:t>
      </w:r>
      <w:r>
        <w:rPr>
          <w:color w:val="231F20"/>
          <w:w w:val="105"/>
        </w:rPr>
        <w:t>obtener</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necesarios</w:t>
      </w:r>
      <w:r>
        <w:rPr>
          <w:color w:val="231F20"/>
          <w:spacing w:val="-11"/>
          <w:w w:val="105"/>
        </w:rPr>
        <w:t> </w:t>
      </w:r>
      <w:r>
        <w:rPr>
          <w:color w:val="231F20"/>
          <w:w w:val="105"/>
        </w:rPr>
        <w:t>para</w:t>
      </w:r>
      <w:r>
        <w:rPr>
          <w:color w:val="231F20"/>
          <w:spacing w:val="-11"/>
          <w:w w:val="105"/>
        </w:rPr>
        <w:t> </w:t>
      </w:r>
      <w:r>
        <w:rPr>
          <w:color w:val="231F20"/>
          <w:w w:val="105"/>
        </w:rPr>
        <w:t>sobrevivir</w:t>
      </w:r>
      <w:r>
        <w:rPr>
          <w:color w:val="231F20"/>
          <w:spacing w:val="-11"/>
          <w:w w:val="105"/>
        </w:rPr>
        <w:t> </w:t>
      </w:r>
      <w:r>
        <w:rPr>
          <w:color w:val="231F20"/>
          <w:w w:val="105"/>
        </w:rPr>
        <w:t>y</w:t>
      </w:r>
      <w:r>
        <w:rPr>
          <w:color w:val="231F20"/>
          <w:spacing w:val="-11"/>
          <w:w w:val="105"/>
        </w:rPr>
        <w:t> </w:t>
      </w:r>
      <w:r>
        <w:rPr>
          <w:color w:val="231F20"/>
          <w:spacing w:val="-3"/>
          <w:w w:val="105"/>
        </w:rPr>
        <w:t>crecer,</w:t>
      </w:r>
      <w:r>
        <w:rPr>
          <w:color w:val="231F20"/>
          <w:spacing w:val="-16"/>
          <w:w w:val="105"/>
        </w:rPr>
        <w:t> </w:t>
      </w:r>
      <w:r>
        <w:rPr>
          <w:color w:val="231F20"/>
          <w:w w:val="105"/>
        </w:rPr>
        <w:t>lo</w:t>
      </w:r>
      <w:r>
        <w:rPr>
          <w:color w:val="231F20"/>
          <w:spacing w:val="-11"/>
          <w:w w:val="105"/>
        </w:rPr>
        <w:t> </w:t>
      </w:r>
      <w:r>
        <w:rPr>
          <w:color w:val="231F20"/>
          <w:w w:val="105"/>
        </w:rPr>
        <w:t>cual</w:t>
      </w:r>
      <w:r>
        <w:rPr>
          <w:color w:val="231F20"/>
          <w:spacing w:val="-11"/>
          <w:w w:val="105"/>
        </w:rPr>
        <w:t> </w:t>
      </w:r>
      <w:r>
        <w:rPr>
          <w:color w:val="231F20"/>
          <w:w w:val="105"/>
        </w:rPr>
        <w:t>in- cluye que las organizaciones dependan unas de otras para contar con recursos que les permitan existir en uno o varios sectores. </w:t>
      </w:r>
      <w:r>
        <w:rPr>
          <w:color w:val="231F20"/>
          <w:spacing w:val="-5"/>
          <w:w w:val="105"/>
        </w:rPr>
        <w:t>Pero, </w:t>
      </w:r>
      <w:r>
        <w:rPr>
          <w:color w:val="231F20"/>
          <w:w w:val="105"/>
        </w:rPr>
        <w:t>¿qué pueden hacer (estrategias) las organizaciones para enfrentar la</w:t>
      </w:r>
      <w:r>
        <w:rPr>
          <w:color w:val="231F20"/>
          <w:spacing w:val="-14"/>
          <w:w w:val="105"/>
        </w:rPr>
        <w:t> </w:t>
      </w:r>
      <w:r>
        <w:rPr>
          <w:color w:val="231F20"/>
          <w:w w:val="105"/>
        </w:rPr>
        <w:t>incerti- dumbre de su ambiente e incrementar el acceso, poder y control de</w:t>
      </w:r>
      <w:r>
        <w:rPr>
          <w:color w:val="231F20"/>
          <w:spacing w:val="-37"/>
          <w:w w:val="105"/>
        </w:rPr>
        <w:t> </w:t>
      </w:r>
      <w:r>
        <w:rPr>
          <w:color w:val="231F20"/>
          <w:w w:val="105"/>
        </w:rPr>
        <w:t>los recursos</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finalidad</w:t>
      </w:r>
      <w:r>
        <w:rPr>
          <w:color w:val="231F20"/>
          <w:spacing w:val="-19"/>
          <w:w w:val="105"/>
        </w:rPr>
        <w:t> </w:t>
      </w:r>
      <w:r>
        <w:rPr>
          <w:color w:val="231F20"/>
          <w:w w:val="105"/>
        </w:rPr>
        <w:t>de</w:t>
      </w:r>
      <w:r>
        <w:rPr>
          <w:color w:val="231F20"/>
          <w:spacing w:val="-19"/>
          <w:w w:val="105"/>
        </w:rPr>
        <w:t> </w:t>
      </w:r>
      <w:r>
        <w:rPr>
          <w:color w:val="231F20"/>
          <w:w w:val="105"/>
        </w:rPr>
        <w:t>maximizar</w:t>
      </w:r>
      <w:r>
        <w:rPr>
          <w:color w:val="231F20"/>
          <w:spacing w:val="-19"/>
          <w:w w:val="105"/>
        </w:rPr>
        <w:t> </w:t>
      </w:r>
      <w:r>
        <w:rPr>
          <w:color w:val="231F20"/>
          <w:w w:val="105"/>
        </w:rPr>
        <w:t>su</w:t>
      </w:r>
      <w:r>
        <w:rPr>
          <w:color w:val="231F20"/>
          <w:spacing w:val="-19"/>
          <w:w w:val="105"/>
        </w:rPr>
        <w:t> </w:t>
      </w:r>
      <w:r>
        <w:rPr>
          <w:color w:val="231F20"/>
          <w:w w:val="105"/>
        </w:rPr>
        <w:t>dominio?</w:t>
      </w:r>
    </w:p>
    <w:p>
      <w:pPr>
        <w:pStyle w:val="BodyText"/>
        <w:spacing w:line="259" w:lineRule="auto"/>
        <w:ind w:left="103" w:right="115" w:firstLine="567"/>
        <w:jc w:val="both"/>
      </w:pPr>
      <w:r>
        <w:rPr>
          <w:color w:val="231F20"/>
          <w:w w:val="105"/>
        </w:rPr>
        <w:t>De</w:t>
      </w:r>
      <w:r>
        <w:rPr>
          <w:color w:val="231F20"/>
          <w:spacing w:val="-30"/>
          <w:w w:val="105"/>
        </w:rPr>
        <w:t> </w:t>
      </w:r>
      <w:r>
        <w:rPr>
          <w:color w:val="231F20"/>
          <w:w w:val="105"/>
        </w:rPr>
        <w:t>esto</w:t>
      </w:r>
      <w:r>
        <w:rPr>
          <w:color w:val="231F20"/>
          <w:spacing w:val="-30"/>
          <w:w w:val="105"/>
        </w:rPr>
        <w:t> </w:t>
      </w:r>
      <w:r>
        <w:rPr>
          <w:color w:val="231F20"/>
          <w:w w:val="105"/>
        </w:rPr>
        <w:t>trata</w:t>
      </w:r>
      <w:r>
        <w:rPr>
          <w:color w:val="231F20"/>
          <w:spacing w:val="-30"/>
          <w:w w:val="105"/>
        </w:rPr>
        <w:t> </w:t>
      </w:r>
      <w:r>
        <w:rPr>
          <w:color w:val="231F20"/>
          <w:w w:val="105"/>
        </w:rPr>
        <w:t>la</w:t>
      </w:r>
      <w:r>
        <w:rPr>
          <w:color w:val="231F20"/>
          <w:spacing w:val="-30"/>
          <w:w w:val="105"/>
        </w:rPr>
        <w:t> </w:t>
      </w:r>
      <w:r>
        <w:rPr>
          <w:color w:val="231F20"/>
          <w:w w:val="105"/>
        </w:rPr>
        <w:t>teoría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dependencia</w:t>
      </w:r>
      <w:r>
        <w:rPr>
          <w:color w:val="231F20"/>
          <w:spacing w:val="-30"/>
          <w:w w:val="105"/>
        </w:rPr>
        <w:t> </w:t>
      </w:r>
      <w:r>
        <w:rPr>
          <w:color w:val="231F20"/>
          <w:w w:val="105"/>
        </w:rPr>
        <w:t>de</w:t>
      </w:r>
      <w:r>
        <w:rPr>
          <w:color w:val="231F20"/>
          <w:spacing w:val="-30"/>
          <w:w w:val="105"/>
        </w:rPr>
        <w:t> </w:t>
      </w:r>
      <w:r>
        <w:rPr>
          <w:color w:val="231F20"/>
          <w:w w:val="105"/>
        </w:rPr>
        <w:t>recursos</w:t>
      </w:r>
      <w:r>
        <w:rPr>
          <w:color w:val="231F20"/>
          <w:spacing w:val="-30"/>
          <w:w w:val="105"/>
        </w:rPr>
        <w:t> </w:t>
      </w:r>
      <w:r>
        <w:rPr>
          <w:color w:val="231F20"/>
          <w:w w:val="105"/>
        </w:rPr>
        <w:t>(TDR):</w:t>
      </w:r>
      <w:r>
        <w:rPr>
          <w:color w:val="231F20"/>
          <w:spacing w:val="-30"/>
          <w:w w:val="105"/>
        </w:rPr>
        <w:t> </w:t>
      </w:r>
      <w:r>
        <w:rPr>
          <w:color w:val="231F20"/>
          <w:w w:val="105"/>
        </w:rPr>
        <w:t>la</w:t>
      </w:r>
      <w:r>
        <w:rPr>
          <w:color w:val="231F20"/>
          <w:spacing w:val="-30"/>
          <w:w w:val="105"/>
        </w:rPr>
        <w:t> </w:t>
      </w:r>
      <w:r>
        <w:rPr>
          <w:color w:val="231F20"/>
          <w:w w:val="105"/>
        </w:rPr>
        <w:t>meta de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2"/>
          <w:w w:val="105"/>
        </w:rPr>
        <w:t> </w:t>
      </w:r>
      <w:r>
        <w:rPr>
          <w:color w:val="231F20"/>
          <w:w w:val="105"/>
        </w:rPr>
        <w:t>consiste</w:t>
      </w:r>
      <w:r>
        <w:rPr>
          <w:color w:val="231F20"/>
          <w:spacing w:val="-12"/>
          <w:w w:val="105"/>
        </w:rPr>
        <w:t> </w:t>
      </w:r>
      <w:r>
        <w:rPr>
          <w:color w:val="231F20"/>
          <w:w w:val="105"/>
        </w:rPr>
        <w:t>en</w:t>
      </w:r>
      <w:r>
        <w:rPr>
          <w:color w:val="231F20"/>
          <w:spacing w:val="-12"/>
          <w:w w:val="105"/>
        </w:rPr>
        <w:t> </w:t>
      </w:r>
      <w:r>
        <w:rPr>
          <w:color w:val="231F20"/>
          <w:w w:val="105"/>
        </w:rPr>
        <w:t>minimizar</w:t>
      </w:r>
      <w:r>
        <w:rPr>
          <w:color w:val="231F20"/>
          <w:spacing w:val="-12"/>
          <w:w w:val="105"/>
        </w:rPr>
        <w:t> </w:t>
      </w:r>
      <w:r>
        <w:rPr>
          <w:color w:val="231F20"/>
          <w:w w:val="105"/>
        </w:rPr>
        <w:t>su</w:t>
      </w:r>
      <w:r>
        <w:rPr>
          <w:color w:val="231F20"/>
          <w:spacing w:val="-12"/>
          <w:w w:val="105"/>
        </w:rPr>
        <w:t> </w:t>
      </w:r>
      <w:r>
        <w:rPr>
          <w:color w:val="231F20"/>
          <w:w w:val="105"/>
        </w:rPr>
        <w:t>dependencia</w:t>
      </w:r>
      <w:r>
        <w:rPr>
          <w:color w:val="231F20"/>
          <w:spacing w:val="-12"/>
          <w:w w:val="105"/>
        </w:rPr>
        <w:t> </w:t>
      </w:r>
      <w:r>
        <w:rPr>
          <w:color w:val="231F20"/>
          <w:w w:val="105"/>
        </w:rPr>
        <w:t>de</w:t>
      </w:r>
      <w:r>
        <w:rPr>
          <w:color w:val="231F20"/>
          <w:spacing w:val="-12"/>
          <w:w w:val="105"/>
        </w:rPr>
        <w:t> </w:t>
      </w:r>
      <w:r>
        <w:rPr>
          <w:color w:val="231F20"/>
          <w:w w:val="105"/>
        </w:rPr>
        <w:t>otras</w:t>
      </w:r>
      <w:r>
        <w:rPr>
          <w:color w:val="231F20"/>
          <w:spacing w:val="-12"/>
          <w:w w:val="105"/>
        </w:rPr>
        <w:t> </w:t>
      </w:r>
      <w:r>
        <w:rPr>
          <w:color w:val="231F20"/>
          <w:w w:val="105"/>
        </w:rPr>
        <w:t>orga- nizaciones</w:t>
      </w:r>
      <w:r>
        <w:rPr>
          <w:color w:val="231F20"/>
          <w:spacing w:val="-6"/>
          <w:w w:val="105"/>
        </w:rPr>
        <w:t> </w:t>
      </w:r>
      <w:r>
        <w:rPr>
          <w:color w:val="231F20"/>
          <w:w w:val="105"/>
        </w:rPr>
        <w:t>para</w:t>
      </w:r>
      <w:r>
        <w:rPr>
          <w:color w:val="231F20"/>
          <w:spacing w:val="-6"/>
          <w:w w:val="105"/>
        </w:rPr>
        <w:t> </w:t>
      </w:r>
      <w:r>
        <w:rPr>
          <w:color w:val="231F20"/>
          <w:w w:val="105"/>
        </w:rPr>
        <w:t>el</w:t>
      </w:r>
      <w:r>
        <w:rPr>
          <w:color w:val="231F20"/>
          <w:spacing w:val="-6"/>
          <w:w w:val="105"/>
        </w:rPr>
        <w:t> </w:t>
      </w:r>
      <w:r>
        <w:rPr>
          <w:color w:val="231F20"/>
          <w:w w:val="105"/>
        </w:rPr>
        <w:t>suministro</w:t>
      </w:r>
      <w:r>
        <w:rPr>
          <w:color w:val="231F20"/>
          <w:spacing w:val="-6"/>
          <w:w w:val="105"/>
        </w:rPr>
        <w:t> </w:t>
      </w:r>
      <w:r>
        <w:rPr>
          <w:color w:val="231F20"/>
          <w:w w:val="105"/>
        </w:rPr>
        <w:t>de</w:t>
      </w:r>
      <w:r>
        <w:rPr>
          <w:color w:val="231F20"/>
          <w:spacing w:val="-6"/>
          <w:w w:val="105"/>
        </w:rPr>
        <w:t> </w:t>
      </w:r>
      <w:r>
        <w:rPr>
          <w:color w:val="231F20"/>
          <w:w w:val="105"/>
        </w:rPr>
        <w:t>recursos</w:t>
      </w:r>
      <w:r>
        <w:rPr>
          <w:color w:val="231F20"/>
          <w:spacing w:val="-6"/>
          <w:w w:val="105"/>
        </w:rPr>
        <w:t> </w:t>
      </w:r>
      <w:r>
        <w:rPr>
          <w:color w:val="231F20"/>
          <w:w w:val="105"/>
        </w:rPr>
        <w:t>limitados</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ambiente,</w:t>
      </w:r>
      <w:r>
        <w:rPr>
          <w:color w:val="231F20"/>
          <w:spacing w:val="-11"/>
          <w:w w:val="105"/>
        </w:rPr>
        <w:t> </w:t>
      </w:r>
      <w:r>
        <w:rPr>
          <w:color w:val="231F20"/>
          <w:w w:val="105"/>
        </w:rPr>
        <w:t>así como influir en otras para asegurar los recursos que necesita (Pfeffer</w:t>
      </w:r>
      <w:r>
        <w:rPr>
          <w:color w:val="231F20"/>
          <w:spacing w:val="-22"/>
          <w:w w:val="105"/>
        </w:rPr>
        <w:t> </w:t>
      </w:r>
      <w:r>
        <w:rPr>
          <w:color w:val="231F20"/>
          <w:w w:val="105"/>
        </w:rPr>
        <w:t>y Salancik,</w:t>
      </w:r>
      <w:r>
        <w:rPr>
          <w:color w:val="231F20"/>
          <w:spacing w:val="-24"/>
          <w:w w:val="105"/>
        </w:rPr>
        <w:t> </w:t>
      </w:r>
      <w:r>
        <w:rPr>
          <w:color w:val="231F20"/>
          <w:w w:val="105"/>
        </w:rPr>
        <w:t>1978),</w:t>
      </w:r>
      <w:r>
        <w:rPr>
          <w:color w:val="231F20"/>
          <w:spacing w:val="-24"/>
          <w:w w:val="105"/>
        </w:rPr>
        <w:t> </w:t>
      </w:r>
      <w:r>
        <w:rPr>
          <w:color w:val="231F20"/>
          <w:w w:val="105"/>
        </w:rPr>
        <w:t>es</w:t>
      </w:r>
      <w:r>
        <w:rPr>
          <w:color w:val="231F20"/>
          <w:spacing w:val="-20"/>
          <w:w w:val="105"/>
        </w:rPr>
        <w:t> </w:t>
      </w:r>
      <w:r>
        <w:rPr>
          <w:color w:val="231F20"/>
          <w:w w:val="105"/>
        </w:rPr>
        <w:t>decir,</w:t>
      </w:r>
      <w:r>
        <w:rPr>
          <w:color w:val="231F20"/>
          <w:spacing w:val="-24"/>
          <w:w w:val="105"/>
        </w:rPr>
        <w:t> </w:t>
      </w:r>
      <w:r>
        <w:rPr>
          <w:color w:val="231F20"/>
          <w:w w:val="105"/>
        </w:rPr>
        <w:t>la</w:t>
      </w:r>
      <w:r>
        <w:rPr>
          <w:color w:val="231F20"/>
          <w:spacing w:val="-23"/>
          <w:w w:val="105"/>
        </w:rPr>
        <w:t> </w:t>
      </w:r>
      <w:r>
        <w:rPr>
          <w:color w:val="231F20"/>
          <w:w w:val="105"/>
        </w:rPr>
        <w:t>TDR</w:t>
      </w:r>
      <w:r>
        <w:rPr>
          <w:color w:val="231F20"/>
          <w:spacing w:val="-20"/>
          <w:w w:val="105"/>
        </w:rPr>
        <w:t> </w:t>
      </w:r>
      <w:r>
        <w:rPr>
          <w:color w:val="231F20"/>
          <w:w w:val="105"/>
        </w:rPr>
        <w:t>explica</w:t>
      </w:r>
      <w:r>
        <w:rPr>
          <w:color w:val="231F20"/>
          <w:spacing w:val="-20"/>
          <w:w w:val="105"/>
        </w:rPr>
        <w:t> </w:t>
      </w:r>
      <w:r>
        <w:rPr>
          <w:color w:val="231F20"/>
          <w:w w:val="105"/>
        </w:rPr>
        <w:t>por</w:t>
      </w:r>
      <w:r>
        <w:rPr>
          <w:color w:val="231F20"/>
          <w:spacing w:val="-20"/>
          <w:w w:val="105"/>
        </w:rPr>
        <w:t> </w:t>
      </w:r>
      <w:r>
        <w:rPr>
          <w:color w:val="231F20"/>
          <w:w w:val="105"/>
        </w:rPr>
        <w:t>qué</w:t>
      </w:r>
      <w:r>
        <w:rPr>
          <w:color w:val="231F20"/>
          <w:spacing w:val="-20"/>
          <w:w w:val="105"/>
        </w:rPr>
        <w:t> </w:t>
      </w:r>
      <w:r>
        <w:rPr>
          <w:color w:val="231F20"/>
          <w:w w:val="105"/>
        </w:rPr>
        <w:t>y</w:t>
      </w:r>
      <w:r>
        <w:rPr>
          <w:color w:val="231F20"/>
          <w:spacing w:val="-20"/>
          <w:w w:val="105"/>
        </w:rPr>
        <w:t> </w:t>
      </w:r>
      <w:r>
        <w:rPr>
          <w:color w:val="231F20"/>
          <w:w w:val="105"/>
        </w:rPr>
        <w:t>cómo</w:t>
      </w:r>
      <w:r>
        <w:rPr>
          <w:color w:val="231F20"/>
          <w:spacing w:val="-20"/>
          <w:w w:val="105"/>
        </w:rPr>
        <w:t> </w:t>
      </w:r>
      <w:r>
        <w:rPr>
          <w:color w:val="231F20"/>
          <w:w w:val="105"/>
        </w:rPr>
        <w:t>las</w:t>
      </w:r>
      <w:r>
        <w:rPr>
          <w:color w:val="231F20"/>
          <w:spacing w:val="-20"/>
          <w:w w:val="105"/>
        </w:rPr>
        <w:t> </w:t>
      </w:r>
      <w:r>
        <w:rPr>
          <w:color w:val="231F20"/>
          <w:w w:val="105"/>
        </w:rPr>
        <w:t>organizacio- nes</w:t>
      </w:r>
      <w:r>
        <w:rPr>
          <w:color w:val="231F20"/>
          <w:spacing w:val="-21"/>
          <w:w w:val="105"/>
        </w:rPr>
        <w:t> </w:t>
      </w:r>
      <w:r>
        <w:rPr>
          <w:color w:val="231F20"/>
          <w:w w:val="105"/>
        </w:rPr>
        <w:t>reducen</w:t>
      </w:r>
      <w:r>
        <w:rPr>
          <w:color w:val="231F20"/>
          <w:spacing w:val="-21"/>
          <w:w w:val="105"/>
        </w:rPr>
        <w:t> </w:t>
      </w:r>
      <w:r>
        <w:rPr>
          <w:color w:val="231F20"/>
          <w:w w:val="105"/>
        </w:rPr>
        <w:t>su</w:t>
      </w:r>
      <w:r>
        <w:rPr>
          <w:color w:val="231F20"/>
          <w:spacing w:val="-21"/>
          <w:w w:val="105"/>
        </w:rPr>
        <w:t> </w:t>
      </w:r>
      <w:r>
        <w:rPr>
          <w:color w:val="231F20"/>
          <w:w w:val="105"/>
        </w:rPr>
        <w:t>incertidumbre</w:t>
      </w:r>
      <w:r>
        <w:rPr>
          <w:color w:val="231F20"/>
          <w:spacing w:val="-21"/>
          <w:w w:val="105"/>
        </w:rPr>
        <w:t> </w:t>
      </w:r>
      <w:r>
        <w:rPr>
          <w:color w:val="231F20"/>
          <w:w w:val="105"/>
        </w:rPr>
        <w:t>e</w:t>
      </w:r>
      <w:r>
        <w:rPr>
          <w:color w:val="231F20"/>
          <w:spacing w:val="-21"/>
          <w:w w:val="105"/>
        </w:rPr>
        <w:t> </w:t>
      </w:r>
      <w:r>
        <w:rPr>
          <w:color w:val="231F20"/>
          <w:w w:val="105"/>
        </w:rPr>
        <w:t>interdependencia</w:t>
      </w:r>
      <w:r>
        <w:rPr>
          <w:color w:val="231F20"/>
          <w:spacing w:val="-21"/>
          <w:w w:val="105"/>
        </w:rPr>
        <w:t> </w:t>
      </w:r>
      <w:r>
        <w:rPr>
          <w:color w:val="231F20"/>
          <w:w w:val="105"/>
        </w:rPr>
        <w:t>ambiental</w:t>
      </w:r>
      <w:r>
        <w:rPr>
          <w:color w:val="231F20"/>
          <w:spacing w:val="-21"/>
          <w:w w:val="105"/>
        </w:rPr>
        <w:t> </w:t>
      </w:r>
      <w:r>
        <w:rPr>
          <w:color w:val="231F20"/>
          <w:w w:val="105"/>
        </w:rPr>
        <w:t>y</w:t>
      </w:r>
      <w:r>
        <w:rPr>
          <w:color w:val="231F20"/>
          <w:spacing w:val="-21"/>
          <w:w w:val="105"/>
        </w:rPr>
        <w:t> </w:t>
      </w:r>
      <w:r>
        <w:rPr>
          <w:color w:val="231F20"/>
          <w:w w:val="105"/>
        </w:rPr>
        <w:t>aumentan su</w:t>
      </w:r>
      <w:r>
        <w:rPr>
          <w:color w:val="231F20"/>
          <w:spacing w:val="-15"/>
          <w:w w:val="105"/>
        </w:rPr>
        <w:t> </w:t>
      </w:r>
      <w:r>
        <w:rPr>
          <w:color w:val="231F20"/>
          <w:w w:val="105"/>
        </w:rPr>
        <w:t>control</w:t>
      </w:r>
      <w:r>
        <w:rPr>
          <w:color w:val="231F20"/>
          <w:spacing w:val="-15"/>
          <w:w w:val="105"/>
        </w:rPr>
        <w:t> </w:t>
      </w:r>
      <w:r>
        <w:rPr>
          <w:color w:val="231F20"/>
          <w:w w:val="105"/>
        </w:rPr>
        <w:t>y</w:t>
      </w:r>
      <w:r>
        <w:rPr>
          <w:color w:val="231F20"/>
          <w:spacing w:val="-15"/>
          <w:w w:val="105"/>
        </w:rPr>
        <w:t> </w:t>
      </w:r>
      <w:r>
        <w:rPr>
          <w:color w:val="231F20"/>
          <w:w w:val="105"/>
        </w:rPr>
        <w:t>poder</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sector.</w:t>
      </w:r>
    </w:p>
    <w:p>
      <w:pPr>
        <w:pStyle w:val="BodyText"/>
        <w:spacing w:line="259" w:lineRule="auto"/>
        <w:ind w:left="103" w:right="114" w:firstLine="567"/>
        <w:jc w:val="both"/>
      </w:pPr>
      <w:r>
        <w:rPr>
          <w:color w:val="231F20"/>
          <w:w w:val="105"/>
        </w:rPr>
        <w:t>Fuertemente arraigado en la sociología, el éxito organizacional desde</w:t>
      </w:r>
      <w:r>
        <w:rPr>
          <w:color w:val="231F20"/>
          <w:spacing w:val="-8"/>
          <w:w w:val="105"/>
        </w:rPr>
        <w:t> </w:t>
      </w:r>
      <w:r>
        <w:rPr>
          <w:color w:val="231F20"/>
          <w:w w:val="105"/>
        </w:rPr>
        <w:t>la</w:t>
      </w:r>
      <w:r>
        <w:rPr>
          <w:color w:val="231F20"/>
          <w:spacing w:val="-8"/>
          <w:w w:val="105"/>
        </w:rPr>
        <w:t> </w:t>
      </w:r>
      <w:r>
        <w:rPr>
          <w:color w:val="231F20"/>
          <w:w w:val="105"/>
        </w:rPr>
        <w:t>perspectiva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dependencia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se</w:t>
      </w:r>
      <w:r>
        <w:rPr>
          <w:color w:val="231F20"/>
          <w:spacing w:val="-8"/>
          <w:w w:val="105"/>
        </w:rPr>
        <w:t> </w:t>
      </w:r>
      <w:r>
        <w:rPr>
          <w:color w:val="231F20"/>
          <w:w w:val="105"/>
        </w:rPr>
        <w:t>define</w:t>
      </w:r>
      <w:r>
        <w:rPr>
          <w:color w:val="231F20"/>
          <w:spacing w:val="-8"/>
          <w:w w:val="105"/>
        </w:rPr>
        <w:t> </w:t>
      </w:r>
      <w:r>
        <w:rPr>
          <w:color w:val="231F20"/>
          <w:w w:val="105"/>
        </w:rPr>
        <w:t>como maximización de poder, por lo que las organizaciones son vistas como coaliciones</w:t>
      </w:r>
      <w:r>
        <w:rPr>
          <w:color w:val="231F20"/>
          <w:spacing w:val="-28"/>
          <w:w w:val="105"/>
        </w:rPr>
        <w:t> </w:t>
      </w:r>
      <w:r>
        <w:rPr>
          <w:color w:val="231F20"/>
          <w:w w:val="105"/>
        </w:rPr>
        <w:t>que</w:t>
      </w:r>
      <w:r>
        <w:rPr>
          <w:color w:val="231F20"/>
          <w:spacing w:val="-28"/>
          <w:w w:val="105"/>
        </w:rPr>
        <w:t> </w:t>
      </w:r>
      <w:r>
        <w:rPr>
          <w:color w:val="231F20"/>
          <w:w w:val="105"/>
        </w:rPr>
        <w:t>alteran</w:t>
      </w:r>
      <w:r>
        <w:rPr>
          <w:color w:val="231F20"/>
          <w:spacing w:val="-28"/>
          <w:w w:val="105"/>
        </w:rPr>
        <w:t> </w:t>
      </w:r>
      <w:r>
        <w:rPr>
          <w:color w:val="231F20"/>
          <w:w w:val="105"/>
        </w:rPr>
        <w:t>sus</w:t>
      </w:r>
      <w:r>
        <w:rPr>
          <w:color w:val="231F20"/>
          <w:spacing w:val="-28"/>
          <w:w w:val="105"/>
        </w:rPr>
        <w:t> </w:t>
      </w:r>
      <w:r>
        <w:rPr>
          <w:color w:val="231F20"/>
          <w:w w:val="105"/>
        </w:rPr>
        <w:t>estructuras</w:t>
      </w:r>
      <w:r>
        <w:rPr>
          <w:color w:val="231F20"/>
          <w:spacing w:val="-28"/>
          <w:w w:val="105"/>
        </w:rPr>
        <w:t> </w:t>
      </w:r>
      <w:r>
        <w:rPr>
          <w:color w:val="231F20"/>
          <w:w w:val="105"/>
        </w:rPr>
        <w:t>y</w:t>
      </w:r>
      <w:r>
        <w:rPr>
          <w:color w:val="231F20"/>
          <w:spacing w:val="-28"/>
          <w:w w:val="105"/>
        </w:rPr>
        <w:t> </w:t>
      </w:r>
      <w:r>
        <w:rPr>
          <w:color w:val="231F20"/>
          <w:w w:val="105"/>
        </w:rPr>
        <w:t>modos</w:t>
      </w:r>
      <w:r>
        <w:rPr>
          <w:color w:val="231F20"/>
          <w:spacing w:val="-28"/>
          <w:w w:val="105"/>
        </w:rPr>
        <w:t> </w:t>
      </w:r>
      <w:r>
        <w:rPr>
          <w:color w:val="231F20"/>
          <w:w w:val="105"/>
        </w:rPr>
        <w:t>de</w:t>
      </w:r>
      <w:r>
        <w:rPr>
          <w:color w:val="231F20"/>
          <w:spacing w:val="-28"/>
          <w:w w:val="105"/>
        </w:rPr>
        <w:t> </w:t>
      </w:r>
      <w:r>
        <w:rPr>
          <w:color w:val="231F20"/>
          <w:w w:val="105"/>
        </w:rPr>
        <w:t>comportamiento</w:t>
      </w:r>
      <w:r>
        <w:rPr>
          <w:color w:val="231F20"/>
          <w:spacing w:val="-28"/>
          <w:w w:val="105"/>
        </w:rPr>
        <w:t> </w:t>
      </w:r>
      <w:r>
        <w:rPr>
          <w:color w:val="231F20"/>
          <w:w w:val="105"/>
        </w:rPr>
        <w:t>para adquirir</w:t>
      </w:r>
      <w:r>
        <w:rPr>
          <w:color w:val="231F20"/>
          <w:spacing w:val="-29"/>
          <w:w w:val="105"/>
        </w:rPr>
        <w:t> </w:t>
      </w:r>
      <w:r>
        <w:rPr>
          <w:color w:val="231F20"/>
          <w:w w:val="105"/>
        </w:rPr>
        <w:t>y</w:t>
      </w:r>
      <w:r>
        <w:rPr>
          <w:color w:val="231F20"/>
          <w:spacing w:val="-29"/>
          <w:w w:val="105"/>
        </w:rPr>
        <w:t> </w:t>
      </w:r>
      <w:r>
        <w:rPr>
          <w:color w:val="231F20"/>
          <w:w w:val="105"/>
        </w:rPr>
        <w:t>mantener</w:t>
      </w:r>
      <w:r>
        <w:rPr>
          <w:color w:val="231F20"/>
          <w:spacing w:val="-29"/>
          <w:w w:val="105"/>
        </w:rPr>
        <w:t> </w:t>
      </w:r>
      <w:r>
        <w:rPr>
          <w:color w:val="231F20"/>
          <w:w w:val="105"/>
        </w:rPr>
        <w:t>los</w:t>
      </w:r>
      <w:r>
        <w:rPr>
          <w:color w:val="231F20"/>
          <w:spacing w:val="-29"/>
          <w:w w:val="105"/>
        </w:rPr>
        <w:t> </w:t>
      </w:r>
      <w:r>
        <w:rPr>
          <w:color w:val="231F20"/>
          <w:w w:val="105"/>
        </w:rPr>
        <w:t>recursos</w:t>
      </w:r>
      <w:r>
        <w:rPr>
          <w:color w:val="231F20"/>
          <w:spacing w:val="-29"/>
          <w:w w:val="105"/>
        </w:rPr>
        <w:t> </w:t>
      </w:r>
      <w:r>
        <w:rPr>
          <w:color w:val="231F20"/>
          <w:w w:val="105"/>
        </w:rPr>
        <w:t>necesarios</w:t>
      </w:r>
      <w:r>
        <w:rPr>
          <w:color w:val="231F20"/>
          <w:spacing w:val="-29"/>
          <w:w w:val="105"/>
        </w:rPr>
        <w:t> </w:t>
      </w:r>
      <w:r>
        <w:rPr>
          <w:color w:val="231F20"/>
          <w:w w:val="105"/>
        </w:rPr>
        <w:t>(Ulrich</w:t>
      </w:r>
      <w:r>
        <w:rPr>
          <w:color w:val="231F20"/>
          <w:spacing w:val="-29"/>
          <w:w w:val="105"/>
        </w:rPr>
        <w:t> </w:t>
      </w:r>
      <w:r>
        <w:rPr>
          <w:color w:val="231F20"/>
          <w:w w:val="105"/>
        </w:rPr>
        <w:t>y</w:t>
      </w:r>
      <w:r>
        <w:rPr>
          <w:color w:val="231F20"/>
          <w:spacing w:val="-29"/>
          <w:w w:val="105"/>
        </w:rPr>
        <w:t> </w:t>
      </w:r>
      <w:r>
        <w:rPr>
          <w:color w:val="231F20"/>
          <w:w w:val="105"/>
        </w:rPr>
        <w:t>Barney,</w:t>
      </w:r>
      <w:r>
        <w:rPr>
          <w:color w:val="231F20"/>
          <w:spacing w:val="-33"/>
          <w:w w:val="105"/>
        </w:rPr>
        <w:t> </w:t>
      </w:r>
      <w:r>
        <w:rPr>
          <w:color w:val="231F20"/>
          <w:w w:val="105"/>
        </w:rPr>
        <w:t>1984).</w:t>
      </w:r>
    </w:p>
    <w:p>
      <w:pPr>
        <w:pStyle w:val="BodyText"/>
        <w:rPr>
          <w:sz w:val="20"/>
        </w:rPr>
      </w:pPr>
    </w:p>
    <w:p>
      <w:pPr>
        <w:pStyle w:val="BodyText"/>
        <w:rPr>
          <w:sz w:val="20"/>
        </w:rPr>
      </w:pPr>
    </w:p>
    <w:p>
      <w:pPr>
        <w:pStyle w:val="BodyText"/>
        <w:rPr>
          <w:sz w:val="20"/>
        </w:rPr>
      </w:pPr>
    </w:p>
    <w:p>
      <w:pPr>
        <w:pStyle w:val="BodyText"/>
        <w:spacing w:before="7"/>
      </w:pPr>
    </w:p>
    <w:p>
      <w:pPr>
        <w:tabs>
          <w:tab w:pos="1317" w:val="left" w:leader="none"/>
        </w:tabs>
        <w:spacing w:before="71"/>
        <w:ind w:left="267" w:right="17" w:firstLine="0"/>
        <w:jc w:val="left"/>
        <w:rPr>
          <w:rFonts w:ascii="Calibri" w:hAnsi="Calibri"/>
          <w:sz w:val="15"/>
        </w:rPr>
      </w:pPr>
      <w:r>
        <w:rPr/>
        <w:pict>
          <v:group style="position:absolute;margin-left:101.817299pt;margin-top:-16.749887pt;width:17.850pt;height:56.5pt;mso-position-horizontal-relative:page;mso-position-vertical-relative:paragraph;z-index:-24642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24</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5"/>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400"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25</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pStyle w:val="BodyText"/>
        <w:spacing w:line="259" w:lineRule="auto" w:before="169"/>
        <w:ind w:left="117" w:right="121"/>
        <w:jc w:val="both"/>
      </w:pPr>
      <w:r>
        <w:rPr>
          <w:color w:val="231F20"/>
          <w:w w:val="105"/>
        </w:rPr>
        <w:t>Las organizaciones viven y conviven con la incertidumbre del</w:t>
      </w:r>
      <w:r>
        <w:rPr>
          <w:color w:val="231F20"/>
          <w:spacing w:val="-39"/>
          <w:w w:val="105"/>
        </w:rPr>
        <w:t> </w:t>
      </w:r>
      <w:r>
        <w:rPr>
          <w:color w:val="231F20"/>
          <w:w w:val="105"/>
        </w:rPr>
        <w:t>ambiente como</w:t>
      </w:r>
      <w:r>
        <w:rPr>
          <w:color w:val="231F20"/>
          <w:spacing w:val="-19"/>
          <w:w w:val="105"/>
        </w:rPr>
        <w:t> </w:t>
      </w:r>
      <w:r>
        <w:rPr>
          <w:color w:val="231F20"/>
          <w:w w:val="105"/>
        </w:rPr>
        <w:t>amenaza</w:t>
      </w:r>
      <w:r>
        <w:rPr>
          <w:color w:val="231F20"/>
          <w:spacing w:val="-19"/>
          <w:w w:val="105"/>
        </w:rPr>
        <w:t> </w:t>
      </w:r>
      <w:r>
        <w:rPr>
          <w:color w:val="231F20"/>
          <w:w w:val="105"/>
        </w:rPr>
        <w:t>de</w:t>
      </w:r>
      <w:r>
        <w:rPr>
          <w:color w:val="231F20"/>
          <w:spacing w:val="-19"/>
          <w:w w:val="105"/>
        </w:rPr>
        <w:t> </w:t>
      </w:r>
      <w:r>
        <w:rPr>
          <w:color w:val="231F20"/>
          <w:w w:val="105"/>
        </w:rPr>
        <w:t>su</w:t>
      </w:r>
      <w:r>
        <w:rPr>
          <w:color w:val="231F20"/>
          <w:spacing w:val="-19"/>
          <w:w w:val="105"/>
        </w:rPr>
        <w:t> </w:t>
      </w:r>
      <w:r>
        <w:rPr>
          <w:color w:val="231F20"/>
          <w:w w:val="105"/>
        </w:rPr>
        <w:t>éxito,</w:t>
      </w:r>
      <w:r>
        <w:rPr>
          <w:color w:val="231F20"/>
          <w:spacing w:val="-26"/>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dificulta</w:t>
      </w:r>
      <w:r>
        <w:rPr>
          <w:color w:val="231F20"/>
          <w:spacing w:val="-19"/>
          <w:w w:val="105"/>
        </w:rPr>
        <w:t> </w:t>
      </w:r>
      <w:r>
        <w:rPr>
          <w:color w:val="231F20"/>
          <w:w w:val="105"/>
        </w:rPr>
        <w:t>el</w:t>
      </w:r>
      <w:r>
        <w:rPr>
          <w:color w:val="231F20"/>
          <w:spacing w:val="-19"/>
          <w:w w:val="105"/>
        </w:rPr>
        <w:t> </w:t>
      </w:r>
      <w:r>
        <w:rPr>
          <w:color w:val="231F20"/>
          <w:w w:val="105"/>
        </w:rPr>
        <w:t>control</w:t>
      </w:r>
      <w:r>
        <w:rPr>
          <w:color w:val="231F20"/>
          <w:spacing w:val="-19"/>
          <w:w w:val="105"/>
        </w:rPr>
        <w:t> </w:t>
      </w:r>
      <w:r>
        <w:rPr>
          <w:color w:val="231F20"/>
          <w:w w:val="105"/>
        </w:rPr>
        <w:t>del</w:t>
      </w:r>
      <w:r>
        <w:rPr>
          <w:color w:val="231F20"/>
          <w:spacing w:val="-19"/>
          <w:w w:val="105"/>
        </w:rPr>
        <w:t> </w:t>
      </w:r>
      <w:r>
        <w:rPr>
          <w:color w:val="231F20"/>
          <w:w w:val="105"/>
        </w:rPr>
        <w:t>flujo</w:t>
      </w:r>
      <w:r>
        <w:rPr>
          <w:color w:val="231F20"/>
          <w:spacing w:val="-19"/>
          <w:w w:val="105"/>
        </w:rPr>
        <w:t> </w:t>
      </w:r>
      <w:r>
        <w:rPr>
          <w:color w:val="231F20"/>
          <w:w w:val="105"/>
        </w:rPr>
        <w:t>de</w:t>
      </w:r>
      <w:r>
        <w:rPr>
          <w:color w:val="231F20"/>
          <w:spacing w:val="-19"/>
          <w:w w:val="105"/>
        </w:rPr>
        <w:t> </w:t>
      </w:r>
      <w:r>
        <w:rPr>
          <w:color w:val="231F20"/>
          <w:w w:val="105"/>
        </w:rPr>
        <w:t>recursos que</w:t>
      </w:r>
      <w:r>
        <w:rPr>
          <w:color w:val="231F20"/>
          <w:spacing w:val="-22"/>
          <w:w w:val="105"/>
        </w:rPr>
        <w:t> </w:t>
      </w:r>
      <w:r>
        <w:rPr>
          <w:color w:val="231F20"/>
          <w:w w:val="105"/>
        </w:rPr>
        <w:t>necesitan</w:t>
      </w:r>
      <w:r>
        <w:rPr>
          <w:color w:val="231F20"/>
          <w:spacing w:val="-22"/>
          <w:w w:val="105"/>
        </w:rPr>
        <w:t> </w:t>
      </w:r>
      <w:r>
        <w:rPr>
          <w:color w:val="231F20"/>
          <w:w w:val="105"/>
        </w:rPr>
        <w:t>para</w:t>
      </w:r>
      <w:r>
        <w:rPr>
          <w:color w:val="231F20"/>
          <w:spacing w:val="-22"/>
          <w:w w:val="105"/>
        </w:rPr>
        <w:t> </w:t>
      </w:r>
      <w:r>
        <w:rPr>
          <w:color w:val="231F20"/>
          <w:w w:val="105"/>
        </w:rPr>
        <w:t>proteger</w:t>
      </w:r>
      <w:r>
        <w:rPr>
          <w:color w:val="231F20"/>
          <w:spacing w:val="-22"/>
          <w:w w:val="105"/>
        </w:rPr>
        <w:t> </w:t>
      </w:r>
      <w:r>
        <w:rPr>
          <w:color w:val="231F20"/>
          <w:w w:val="105"/>
        </w:rPr>
        <w:t>y</w:t>
      </w:r>
      <w:r>
        <w:rPr>
          <w:color w:val="231F20"/>
          <w:spacing w:val="-22"/>
          <w:w w:val="105"/>
        </w:rPr>
        <w:t> </w:t>
      </w:r>
      <w:r>
        <w:rPr>
          <w:color w:val="231F20"/>
          <w:w w:val="105"/>
        </w:rPr>
        <w:t>ampliar</w:t>
      </w:r>
      <w:r>
        <w:rPr>
          <w:color w:val="231F20"/>
          <w:spacing w:val="-22"/>
          <w:w w:val="105"/>
        </w:rPr>
        <w:t> </w:t>
      </w:r>
      <w:r>
        <w:rPr>
          <w:color w:val="231F20"/>
          <w:w w:val="105"/>
        </w:rPr>
        <w:t>su</w:t>
      </w:r>
      <w:r>
        <w:rPr>
          <w:color w:val="231F20"/>
          <w:spacing w:val="-22"/>
          <w:w w:val="105"/>
        </w:rPr>
        <w:t> </w:t>
      </w:r>
      <w:r>
        <w:rPr>
          <w:color w:val="231F20"/>
          <w:w w:val="105"/>
        </w:rPr>
        <w:t>poder.</w:t>
      </w:r>
      <w:r>
        <w:rPr>
          <w:color w:val="231F20"/>
          <w:spacing w:val="-30"/>
          <w:w w:val="105"/>
        </w:rPr>
        <w:t> </w:t>
      </w:r>
      <w:r>
        <w:rPr>
          <w:color w:val="231F20"/>
          <w:w w:val="105"/>
        </w:rPr>
        <w:t>Ante</w:t>
      </w:r>
      <w:r>
        <w:rPr>
          <w:color w:val="231F20"/>
          <w:spacing w:val="-22"/>
          <w:w w:val="105"/>
        </w:rPr>
        <w:t> </w:t>
      </w:r>
      <w:r>
        <w:rPr>
          <w:color w:val="231F20"/>
          <w:w w:val="105"/>
        </w:rPr>
        <w:t>ello,</w:t>
      </w:r>
      <w:r>
        <w:rPr>
          <w:color w:val="231F20"/>
          <w:spacing w:val="-27"/>
          <w:w w:val="105"/>
        </w:rPr>
        <w:t> </w:t>
      </w:r>
      <w:r>
        <w:rPr>
          <w:color w:val="231F20"/>
          <w:w w:val="105"/>
        </w:rPr>
        <w:t>las</w:t>
      </w:r>
      <w:r>
        <w:rPr>
          <w:color w:val="231F20"/>
          <w:spacing w:val="-22"/>
          <w:w w:val="105"/>
        </w:rPr>
        <w:t> </w:t>
      </w:r>
      <w:r>
        <w:rPr>
          <w:color w:val="231F20"/>
          <w:w w:val="105"/>
        </w:rPr>
        <w:t>estrategias gerenciales</w:t>
      </w:r>
      <w:r>
        <w:rPr>
          <w:color w:val="231F20"/>
          <w:spacing w:val="-25"/>
          <w:w w:val="105"/>
        </w:rPr>
        <w:t> </w:t>
      </w:r>
      <w:r>
        <w:rPr>
          <w:color w:val="231F20"/>
          <w:w w:val="105"/>
        </w:rPr>
        <w:t>se</w:t>
      </w:r>
      <w:r>
        <w:rPr>
          <w:color w:val="231F20"/>
          <w:spacing w:val="-25"/>
          <w:w w:val="105"/>
        </w:rPr>
        <w:t> </w:t>
      </w:r>
      <w:r>
        <w:rPr>
          <w:color w:val="231F20"/>
          <w:w w:val="105"/>
        </w:rPr>
        <w:t>dirigen</w:t>
      </w:r>
      <w:r>
        <w:rPr>
          <w:color w:val="231F20"/>
          <w:spacing w:val="-25"/>
          <w:w w:val="105"/>
        </w:rPr>
        <w:t> </w:t>
      </w:r>
      <w:r>
        <w:rPr>
          <w:color w:val="231F20"/>
          <w:w w:val="105"/>
        </w:rPr>
        <w:t>a</w:t>
      </w:r>
      <w:r>
        <w:rPr>
          <w:color w:val="231F20"/>
          <w:spacing w:val="-25"/>
          <w:w w:val="105"/>
        </w:rPr>
        <w:t> </w:t>
      </w:r>
      <w:r>
        <w:rPr>
          <w:color w:val="231F20"/>
          <w:w w:val="105"/>
        </w:rPr>
        <w:t>tener</w:t>
      </w:r>
      <w:r>
        <w:rPr>
          <w:color w:val="231F20"/>
          <w:spacing w:val="-25"/>
          <w:w w:val="105"/>
        </w:rPr>
        <w:t> </w:t>
      </w:r>
      <w:r>
        <w:rPr>
          <w:color w:val="231F20"/>
          <w:w w:val="105"/>
        </w:rPr>
        <w:t>el</w:t>
      </w:r>
      <w:r>
        <w:rPr>
          <w:color w:val="231F20"/>
          <w:spacing w:val="-25"/>
          <w:w w:val="105"/>
        </w:rPr>
        <w:t> </w:t>
      </w:r>
      <w:r>
        <w:rPr>
          <w:color w:val="231F20"/>
          <w:w w:val="105"/>
        </w:rPr>
        <w:t>suministro</w:t>
      </w:r>
      <w:r>
        <w:rPr>
          <w:color w:val="231F20"/>
          <w:spacing w:val="-25"/>
          <w:w w:val="105"/>
        </w:rPr>
        <w:t> </w:t>
      </w:r>
      <w:r>
        <w:rPr>
          <w:color w:val="231F20"/>
          <w:w w:val="105"/>
        </w:rPr>
        <w:t>estable</w:t>
      </w:r>
      <w:r>
        <w:rPr>
          <w:color w:val="231F20"/>
          <w:spacing w:val="-25"/>
          <w:w w:val="105"/>
        </w:rPr>
        <w:t> </w:t>
      </w:r>
      <w:r>
        <w:rPr>
          <w:color w:val="231F20"/>
          <w:w w:val="105"/>
        </w:rPr>
        <w:t>y</w:t>
      </w:r>
      <w:r>
        <w:rPr>
          <w:color w:val="231F20"/>
          <w:spacing w:val="-25"/>
          <w:w w:val="105"/>
        </w:rPr>
        <w:t> </w:t>
      </w:r>
      <w:r>
        <w:rPr>
          <w:color w:val="231F20"/>
          <w:w w:val="105"/>
        </w:rPr>
        <w:t>abundante</w:t>
      </w:r>
      <w:r>
        <w:rPr>
          <w:color w:val="231F20"/>
          <w:spacing w:val="-25"/>
          <w:w w:val="105"/>
        </w:rPr>
        <w:t> </w:t>
      </w:r>
      <w:r>
        <w:rPr>
          <w:color w:val="231F20"/>
          <w:w w:val="105"/>
        </w:rPr>
        <w:t>de</w:t>
      </w:r>
      <w:r>
        <w:rPr>
          <w:color w:val="231F20"/>
          <w:spacing w:val="-25"/>
          <w:w w:val="105"/>
        </w:rPr>
        <w:t> </w:t>
      </w:r>
      <w:r>
        <w:rPr>
          <w:color w:val="231F20"/>
          <w:w w:val="105"/>
        </w:rPr>
        <w:t>recur- </w:t>
      </w:r>
      <w:r>
        <w:rPr>
          <w:color w:val="231F20"/>
        </w:rPr>
        <w:t>sos (Jones,</w:t>
      </w:r>
      <w:r>
        <w:rPr>
          <w:color w:val="231F20"/>
          <w:spacing w:val="-33"/>
        </w:rPr>
        <w:t> </w:t>
      </w:r>
      <w:r>
        <w:rPr>
          <w:color w:val="231F20"/>
        </w:rPr>
        <w:t>2013).</w:t>
      </w:r>
    </w:p>
    <w:p>
      <w:pPr>
        <w:pStyle w:val="BodyText"/>
        <w:spacing w:line="259" w:lineRule="auto"/>
        <w:ind w:left="117" w:right="115" w:firstLine="567"/>
        <w:jc w:val="both"/>
      </w:pPr>
      <w:r>
        <w:rPr>
          <w:color w:val="231F20"/>
          <w:w w:val="105"/>
        </w:rPr>
        <w:t>Además</w:t>
      </w:r>
      <w:r>
        <w:rPr>
          <w:color w:val="231F20"/>
          <w:spacing w:val="-20"/>
          <w:w w:val="105"/>
        </w:rPr>
        <w:t> </w:t>
      </w:r>
      <w:r>
        <w:rPr>
          <w:color w:val="231F20"/>
          <w:w w:val="105"/>
        </w:rPr>
        <w:t>de</w:t>
      </w:r>
      <w:r>
        <w:rPr>
          <w:color w:val="231F20"/>
          <w:spacing w:val="-20"/>
          <w:w w:val="105"/>
        </w:rPr>
        <w:t> </w:t>
      </w:r>
      <w:r>
        <w:rPr>
          <w:color w:val="231F20"/>
          <w:w w:val="105"/>
        </w:rPr>
        <w:t>generar</w:t>
      </w:r>
      <w:r>
        <w:rPr>
          <w:color w:val="231F20"/>
          <w:spacing w:val="-20"/>
          <w:w w:val="105"/>
        </w:rPr>
        <w:t> </w:t>
      </w:r>
      <w:r>
        <w:rPr>
          <w:color w:val="231F20"/>
          <w:w w:val="105"/>
        </w:rPr>
        <w:t>incertidumbre,</w:t>
      </w:r>
      <w:r>
        <w:rPr>
          <w:color w:val="231F20"/>
          <w:spacing w:val="-25"/>
          <w:w w:val="105"/>
        </w:rPr>
        <w:t> </w:t>
      </w:r>
      <w:r>
        <w:rPr>
          <w:color w:val="231F20"/>
          <w:w w:val="105"/>
        </w:rPr>
        <w:t>las</w:t>
      </w:r>
      <w:r>
        <w:rPr>
          <w:color w:val="231F20"/>
          <w:spacing w:val="-20"/>
          <w:w w:val="105"/>
        </w:rPr>
        <w:t> </w:t>
      </w:r>
      <w:r>
        <w:rPr>
          <w:color w:val="231F20"/>
          <w:w w:val="105"/>
        </w:rPr>
        <w:t>fuerzas</w:t>
      </w:r>
      <w:r>
        <w:rPr>
          <w:color w:val="231F20"/>
          <w:spacing w:val="-20"/>
          <w:w w:val="105"/>
        </w:rPr>
        <w:t> </w:t>
      </w:r>
      <w:r>
        <w:rPr>
          <w:color w:val="231F20"/>
          <w:w w:val="105"/>
        </w:rPr>
        <w:t>económicas,</w:t>
      </w:r>
      <w:r>
        <w:rPr>
          <w:color w:val="231F20"/>
          <w:spacing w:val="-25"/>
          <w:w w:val="105"/>
        </w:rPr>
        <w:t> </w:t>
      </w:r>
      <w:r>
        <w:rPr>
          <w:color w:val="231F20"/>
          <w:w w:val="105"/>
        </w:rPr>
        <w:t>tecno- lógicas,</w:t>
      </w:r>
      <w:r>
        <w:rPr>
          <w:color w:val="231F20"/>
          <w:spacing w:val="-16"/>
          <w:w w:val="105"/>
        </w:rPr>
        <w:t> </w:t>
      </w:r>
      <w:r>
        <w:rPr>
          <w:color w:val="231F20"/>
          <w:w w:val="105"/>
        </w:rPr>
        <w:t>políticas,</w:t>
      </w:r>
      <w:r>
        <w:rPr>
          <w:color w:val="231F20"/>
          <w:spacing w:val="-16"/>
          <w:w w:val="105"/>
        </w:rPr>
        <w:t> </w:t>
      </w:r>
      <w:r>
        <w:rPr>
          <w:color w:val="231F20"/>
          <w:w w:val="105"/>
        </w:rPr>
        <w:t>éticas</w:t>
      </w:r>
      <w:r>
        <w:rPr>
          <w:color w:val="231F20"/>
          <w:spacing w:val="-10"/>
          <w:w w:val="105"/>
        </w:rPr>
        <w:t> </w:t>
      </w:r>
      <w:r>
        <w:rPr>
          <w:color w:val="231F20"/>
          <w:w w:val="105"/>
        </w:rPr>
        <w:t>y</w:t>
      </w:r>
      <w:r>
        <w:rPr>
          <w:color w:val="231F20"/>
          <w:spacing w:val="-10"/>
          <w:w w:val="105"/>
        </w:rPr>
        <w:t> </w:t>
      </w:r>
      <w:r>
        <w:rPr>
          <w:color w:val="231F20"/>
          <w:w w:val="105"/>
        </w:rPr>
        <w:t>ambientales</w:t>
      </w:r>
      <w:r>
        <w:rPr>
          <w:color w:val="231F20"/>
          <w:spacing w:val="-10"/>
          <w:w w:val="105"/>
        </w:rPr>
        <w:t> </w:t>
      </w:r>
      <w:r>
        <w:rPr>
          <w:color w:val="231F20"/>
          <w:w w:val="105"/>
        </w:rPr>
        <w:t>tiñen</w:t>
      </w:r>
      <w:r>
        <w:rPr>
          <w:color w:val="231F20"/>
          <w:spacing w:val="-10"/>
          <w:w w:val="105"/>
        </w:rPr>
        <w:t> </w:t>
      </w:r>
      <w:r>
        <w:rPr>
          <w:color w:val="231F20"/>
          <w:w w:val="105"/>
        </w:rPr>
        <w:t>de</w:t>
      </w:r>
      <w:r>
        <w:rPr>
          <w:color w:val="231F20"/>
          <w:spacing w:val="-10"/>
          <w:w w:val="105"/>
        </w:rPr>
        <w:t> </w:t>
      </w:r>
      <w:r>
        <w:rPr>
          <w:color w:val="231F20"/>
          <w:w w:val="105"/>
        </w:rPr>
        <w:t>complejidad,</w:t>
      </w:r>
      <w:r>
        <w:rPr>
          <w:color w:val="231F20"/>
          <w:spacing w:val="-16"/>
          <w:w w:val="105"/>
        </w:rPr>
        <w:t> </w:t>
      </w:r>
      <w:r>
        <w:rPr>
          <w:color w:val="231F20"/>
          <w:w w:val="105"/>
        </w:rPr>
        <w:t>dinamismo y</w:t>
      </w:r>
      <w:r>
        <w:rPr>
          <w:color w:val="231F20"/>
          <w:spacing w:val="-6"/>
          <w:w w:val="105"/>
        </w:rPr>
        <w:t> </w:t>
      </w:r>
      <w:r>
        <w:rPr>
          <w:color w:val="231F20"/>
          <w:w w:val="105"/>
        </w:rPr>
        <w:t>riqueza</w:t>
      </w:r>
      <w:r>
        <w:rPr>
          <w:color w:val="231F20"/>
          <w:spacing w:val="-6"/>
          <w:w w:val="105"/>
        </w:rPr>
        <w:t> </w:t>
      </w:r>
      <w:r>
        <w:rPr>
          <w:color w:val="231F20"/>
          <w:w w:val="105"/>
        </w:rPr>
        <w:t>al</w:t>
      </w:r>
      <w:r>
        <w:rPr>
          <w:color w:val="231F20"/>
          <w:spacing w:val="-6"/>
          <w:w w:val="105"/>
        </w:rPr>
        <w:t> </w:t>
      </w:r>
      <w:r>
        <w:rPr>
          <w:color w:val="231F20"/>
          <w:w w:val="105"/>
        </w:rPr>
        <w:t>ambiente</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organizaciones</w:t>
      </w:r>
      <w:r>
        <w:rPr>
          <w:color w:val="231F20"/>
          <w:spacing w:val="-6"/>
          <w:w w:val="105"/>
        </w:rPr>
        <w:t> </w:t>
      </w:r>
      <w:r>
        <w:rPr>
          <w:color w:val="231F20"/>
          <w:w w:val="105"/>
        </w:rPr>
        <w:t>(Hillman,</w:t>
      </w:r>
      <w:r>
        <w:rPr>
          <w:color w:val="231F20"/>
          <w:spacing w:val="-13"/>
          <w:w w:val="105"/>
        </w:rPr>
        <w:t> </w:t>
      </w:r>
      <w:r>
        <w:rPr>
          <w:color w:val="231F20"/>
          <w:w w:val="105"/>
        </w:rPr>
        <w:t>Withers</w:t>
      </w:r>
      <w:r>
        <w:rPr>
          <w:color w:val="231F20"/>
          <w:spacing w:val="-6"/>
          <w:w w:val="105"/>
        </w:rPr>
        <w:t> </w:t>
      </w:r>
      <w:r>
        <w:rPr>
          <w:color w:val="231F20"/>
          <w:w w:val="105"/>
        </w:rPr>
        <w:t>y</w:t>
      </w:r>
      <w:r>
        <w:rPr>
          <w:color w:val="231F20"/>
          <w:spacing w:val="-6"/>
          <w:w w:val="105"/>
        </w:rPr>
        <w:t> </w:t>
      </w:r>
      <w:r>
        <w:rPr>
          <w:color w:val="231F20"/>
          <w:w w:val="105"/>
        </w:rPr>
        <w:t>Collins, 2009).</w:t>
      </w:r>
      <w:r>
        <w:rPr>
          <w:color w:val="231F20"/>
          <w:spacing w:val="-15"/>
          <w:w w:val="105"/>
        </w:rPr>
        <w:t> </w:t>
      </w:r>
      <w:r>
        <w:rPr>
          <w:color w:val="231F20"/>
          <w:w w:val="105"/>
        </w:rPr>
        <w:t>Cuanto</w:t>
      </w:r>
      <w:r>
        <w:rPr>
          <w:color w:val="231F20"/>
          <w:spacing w:val="-9"/>
          <w:w w:val="105"/>
        </w:rPr>
        <w:t> </w:t>
      </w:r>
      <w:r>
        <w:rPr>
          <w:color w:val="231F20"/>
          <w:w w:val="105"/>
        </w:rPr>
        <w:t>más</w:t>
      </w:r>
      <w:r>
        <w:rPr>
          <w:color w:val="231F20"/>
          <w:spacing w:val="-9"/>
          <w:w w:val="105"/>
        </w:rPr>
        <w:t> </w:t>
      </w:r>
      <w:r>
        <w:rPr>
          <w:color w:val="231F20"/>
          <w:w w:val="105"/>
        </w:rPr>
        <w:t>complejo</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ambiente,</w:t>
      </w:r>
      <w:r>
        <w:rPr>
          <w:color w:val="231F20"/>
          <w:spacing w:val="-15"/>
          <w:w w:val="105"/>
        </w:rPr>
        <w:t> </w:t>
      </w:r>
      <w:r>
        <w:rPr>
          <w:color w:val="231F20"/>
          <w:w w:val="105"/>
        </w:rPr>
        <w:t>mayor</w:t>
      </w:r>
      <w:r>
        <w:rPr>
          <w:color w:val="231F20"/>
          <w:spacing w:val="-9"/>
          <w:w w:val="105"/>
        </w:rPr>
        <w:t> </w:t>
      </w:r>
      <w:r>
        <w:rPr>
          <w:color w:val="231F20"/>
          <w:w w:val="105"/>
        </w:rPr>
        <w:t>la</w:t>
      </w:r>
      <w:r>
        <w:rPr>
          <w:color w:val="231F20"/>
          <w:spacing w:val="-9"/>
          <w:w w:val="105"/>
        </w:rPr>
        <w:t> </w:t>
      </w:r>
      <w:r>
        <w:rPr>
          <w:color w:val="231F20"/>
          <w:w w:val="105"/>
        </w:rPr>
        <w:t>incertidumbre</w:t>
      </w:r>
      <w:r>
        <w:rPr>
          <w:color w:val="231F20"/>
          <w:spacing w:val="-9"/>
          <w:w w:val="105"/>
        </w:rPr>
        <w:t> </w:t>
      </w:r>
      <w:r>
        <w:rPr>
          <w:color w:val="231F20"/>
          <w:w w:val="105"/>
        </w:rPr>
        <w:t>or- ganizacional,</w:t>
      </w:r>
      <w:r>
        <w:rPr>
          <w:color w:val="231F20"/>
          <w:spacing w:val="-18"/>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predecir</w:t>
      </w:r>
      <w:r>
        <w:rPr>
          <w:color w:val="231F20"/>
          <w:spacing w:val="-11"/>
          <w:w w:val="105"/>
        </w:rPr>
        <w:t> </w:t>
      </w:r>
      <w:r>
        <w:rPr>
          <w:color w:val="231F20"/>
          <w:w w:val="105"/>
        </w:rPr>
        <w:t>y</w:t>
      </w:r>
      <w:r>
        <w:rPr>
          <w:color w:val="231F20"/>
          <w:spacing w:val="-11"/>
          <w:w w:val="105"/>
        </w:rPr>
        <w:t> </w:t>
      </w:r>
      <w:r>
        <w:rPr>
          <w:color w:val="231F20"/>
          <w:w w:val="105"/>
        </w:rPr>
        <w:t>controlar</w:t>
      </w:r>
      <w:r>
        <w:rPr>
          <w:color w:val="231F20"/>
          <w:spacing w:val="-11"/>
          <w:w w:val="105"/>
        </w:rPr>
        <w:t> </w:t>
      </w:r>
      <w:r>
        <w:rPr>
          <w:color w:val="231F20"/>
          <w:w w:val="105"/>
        </w:rPr>
        <w:t>el</w:t>
      </w:r>
      <w:r>
        <w:rPr>
          <w:color w:val="231F20"/>
          <w:spacing w:val="-11"/>
          <w:w w:val="105"/>
        </w:rPr>
        <w:t> </w:t>
      </w:r>
      <w:r>
        <w:rPr>
          <w:color w:val="231F20"/>
          <w:w w:val="105"/>
        </w:rPr>
        <w:t>flujo</w:t>
      </w:r>
      <w:r>
        <w:rPr>
          <w:color w:val="231F20"/>
          <w:spacing w:val="-11"/>
          <w:w w:val="105"/>
        </w:rPr>
        <w:t> </w:t>
      </w:r>
      <w:r>
        <w:rPr>
          <w:color w:val="231F20"/>
          <w:w w:val="105"/>
        </w:rPr>
        <w:t>de</w:t>
      </w:r>
      <w:r>
        <w:rPr>
          <w:color w:val="231F20"/>
          <w:spacing w:val="-11"/>
          <w:w w:val="105"/>
        </w:rPr>
        <w:t> </w:t>
      </w:r>
      <w:r>
        <w:rPr>
          <w:color w:val="231F20"/>
          <w:w w:val="105"/>
        </w:rPr>
        <w:t>recursos</w:t>
      </w:r>
      <w:r>
        <w:rPr>
          <w:color w:val="231F20"/>
          <w:spacing w:val="-11"/>
          <w:w w:val="105"/>
        </w:rPr>
        <w:t> </w:t>
      </w:r>
      <w:r>
        <w:rPr>
          <w:color w:val="231F20"/>
          <w:w w:val="105"/>
        </w:rPr>
        <w:t>se</w:t>
      </w:r>
      <w:r>
        <w:rPr>
          <w:color w:val="231F20"/>
          <w:spacing w:val="-11"/>
          <w:w w:val="105"/>
        </w:rPr>
        <w:t> </w:t>
      </w:r>
      <w:r>
        <w:rPr>
          <w:color w:val="231F20"/>
          <w:w w:val="105"/>
        </w:rPr>
        <w:t>torna difícil.</w:t>
      </w:r>
      <w:r>
        <w:rPr>
          <w:color w:val="231F20"/>
          <w:spacing w:val="-19"/>
          <w:w w:val="105"/>
        </w:rPr>
        <w:t> </w:t>
      </w:r>
      <w:r>
        <w:rPr>
          <w:color w:val="231F20"/>
          <w:w w:val="105"/>
        </w:rPr>
        <w:t>El</w:t>
      </w:r>
      <w:r>
        <w:rPr>
          <w:color w:val="231F20"/>
          <w:spacing w:val="-13"/>
          <w:w w:val="105"/>
        </w:rPr>
        <w:t> </w:t>
      </w:r>
      <w:r>
        <w:rPr>
          <w:color w:val="231F20"/>
          <w:w w:val="105"/>
        </w:rPr>
        <w:t>dinamismo</w:t>
      </w:r>
      <w:r>
        <w:rPr>
          <w:color w:val="231F20"/>
          <w:spacing w:val="-13"/>
          <w:w w:val="105"/>
        </w:rPr>
        <w:t> </w:t>
      </w:r>
      <w:r>
        <w:rPr>
          <w:color w:val="231F20"/>
          <w:w w:val="105"/>
        </w:rPr>
        <w:t>está</w:t>
      </w:r>
      <w:r>
        <w:rPr>
          <w:color w:val="231F20"/>
          <w:spacing w:val="-13"/>
          <w:w w:val="105"/>
        </w:rPr>
        <w:t> </w:t>
      </w:r>
      <w:r>
        <w:rPr>
          <w:color w:val="231F20"/>
          <w:w w:val="105"/>
        </w:rPr>
        <w:t>en</w:t>
      </w:r>
      <w:r>
        <w:rPr>
          <w:color w:val="231F20"/>
          <w:spacing w:val="-13"/>
          <w:w w:val="105"/>
        </w:rPr>
        <w:t> </w:t>
      </w:r>
      <w:r>
        <w:rPr>
          <w:color w:val="231F20"/>
          <w:w w:val="105"/>
        </w:rPr>
        <w:t>función</w:t>
      </w:r>
      <w:r>
        <w:rPr>
          <w:color w:val="231F20"/>
          <w:spacing w:val="-13"/>
          <w:w w:val="105"/>
        </w:rPr>
        <w:t> </w:t>
      </w:r>
      <w:r>
        <w:rPr>
          <w:color w:val="231F20"/>
          <w:w w:val="105"/>
        </w:rPr>
        <w:t>de</w:t>
      </w:r>
      <w:r>
        <w:rPr>
          <w:color w:val="231F20"/>
          <w:spacing w:val="-13"/>
          <w:w w:val="105"/>
        </w:rPr>
        <w:t> </w:t>
      </w:r>
      <w:r>
        <w:rPr>
          <w:color w:val="231F20"/>
          <w:w w:val="105"/>
        </w:rPr>
        <w:t>cuánto</w:t>
      </w:r>
      <w:r>
        <w:rPr>
          <w:color w:val="231F20"/>
          <w:spacing w:val="-13"/>
          <w:w w:val="105"/>
        </w:rPr>
        <w:t> </w:t>
      </w:r>
      <w:r>
        <w:rPr>
          <w:color w:val="231F20"/>
          <w:w w:val="105"/>
        </w:rPr>
        <w:t>y</w:t>
      </w:r>
      <w:r>
        <w:rPr>
          <w:color w:val="231F20"/>
          <w:spacing w:val="-13"/>
          <w:w w:val="105"/>
        </w:rPr>
        <w:t> </w:t>
      </w:r>
      <w:r>
        <w:rPr>
          <w:color w:val="231F20"/>
          <w:w w:val="105"/>
        </w:rPr>
        <w:t>qué</w:t>
      </w:r>
      <w:r>
        <w:rPr>
          <w:color w:val="231F20"/>
          <w:spacing w:val="-13"/>
          <w:w w:val="105"/>
        </w:rPr>
        <w:t> </w:t>
      </w:r>
      <w:r>
        <w:rPr>
          <w:color w:val="231F20"/>
          <w:w w:val="105"/>
        </w:rPr>
        <w:t>tan</w:t>
      </w:r>
      <w:r>
        <w:rPr>
          <w:color w:val="231F20"/>
          <w:spacing w:val="-13"/>
          <w:w w:val="105"/>
        </w:rPr>
        <w:t> </w:t>
      </w:r>
      <w:r>
        <w:rPr>
          <w:color w:val="231F20"/>
          <w:w w:val="105"/>
        </w:rPr>
        <w:t>rápido</w:t>
      </w:r>
      <w:r>
        <w:rPr>
          <w:color w:val="231F20"/>
          <w:spacing w:val="-13"/>
          <w:w w:val="105"/>
        </w:rPr>
        <w:t> </w:t>
      </w:r>
      <w:r>
        <w:rPr>
          <w:color w:val="231F20"/>
          <w:w w:val="105"/>
        </w:rPr>
        <w:t>cambian las</w:t>
      </w:r>
      <w:r>
        <w:rPr>
          <w:color w:val="231F20"/>
          <w:spacing w:val="-15"/>
          <w:w w:val="105"/>
        </w:rPr>
        <w:t> </w:t>
      </w:r>
      <w:r>
        <w:rPr>
          <w:color w:val="231F20"/>
          <w:w w:val="105"/>
        </w:rPr>
        <w:t>fuerzas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ambiente:</w:t>
      </w:r>
      <w:r>
        <w:rPr>
          <w:color w:val="231F20"/>
          <w:spacing w:val="-15"/>
          <w:w w:val="105"/>
        </w:rPr>
        <w:t> </w:t>
      </w:r>
      <w:r>
        <w:rPr>
          <w:color w:val="231F20"/>
          <w:w w:val="105"/>
        </w:rPr>
        <w:t>el</w:t>
      </w:r>
      <w:r>
        <w:rPr>
          <w:color w:val="231F20"/>
          <w:spacing w:val="-15"/>
          <w:w w:val="105"/>
        </w:rPr>
        <w:t> </w:t>
      </w:r>
      <w:r>
        <w:rPr>
          <w:color w:val="231F20"/>
          <w:w w:val="105"/>
        </w:rPr>
        <w:t>entorno</w:t>
      </w:r>
      <w:r>
        <w:rPr>
          <w:color w:val="231F20"/>
          <w:spacing w:val="-15"/>
          <w:w w:val="105"/>
        </w:rPr>
        <w:t> </w:t>
      </w:r>
      <w:r>
        <w:rPr>
          <w:color w:val="231F20"/>
          <w:w w:val="105"/>
        </w:rPr>
        <w:t>es</w:t>
      </w:r>
      <w:r>
        <w:rPr>
          <w:color w:val="231F20"/>
          <w:spacing w:val="-15"/>
          <w:w w:val="105"/>
        </w:rPr>
        <w:t> </w:t>
      </w:r>
      <w:r>
        <w:rPr>
          <w:color w:val="231F20"/>
          <w:w w:val="105"/>
        </w:rPr>
        <w:t>estable</w:t>
      </w:r>
      <w:r>
        <w:rPr>
          <w:color w:val="231F20"/>
          <w:spacing w:val="-15"/>
          <w:w w:val="105"/>
        </w:rPr>
        <w:t> </w:t>
      </w:r>
      <w:r>
        <w:rPr>
          <w:color w:val="231F20"/>
          <w:w w:val="105"/>
        </w:rPr>
        <w:t>si</w:t>
      </w:r>
      <w:r>
        <w:rPr>
          <w:color w:val="231F20"/>
          <w:spacing w:val="-15"/>
          <w:w w:val="105"/>
        </w:rPr>
        <w:t> </w:t>
      </w:r>
      <w:r>
        <w:rPr>
          <w:color w:val="231F20"/>
          <w:w w:val="105"/>
        </w:rPr>
        <w:t>las</w:t>
      </w:r>
      <w:r>
        <w:rPr>
          <w:color w:val="231F20"/>
          <w:spacing w:val="-15"/>
          <w:w w:val="105"/>
        </w:rPr>
        <w:t> </w:t>
      </w:r>
      <w:r>
        <w:rPr>
          <w:color w:val="231F20"/>
          <w:w w:val="105"/>
        </w:rPr>
        <w:t>fuerzas</w:t>
      </w:r>
      <w:r>
        <w:rPr>
          <w:color w:val="231F20"/>
          <w:spacing w:val="-15"/>
          <w:w w:val="105"/>
        </w:rPr>
        <w:t> </w:t>
      </w:r>
      <w:r>
        <w:rPr>
          <w:color w:val="231F20"/>
          <w:w w:val="105"/>
        </w:rPr>
        <w:t>afectan</w:t>
      </w:r>
      <w:r>
        <w:rPr>
          <w:color w:val="231F20"/>
          <w:spacing w:val="-15"/>
          <w:w w:val="105"/>
        </w:rPr>
        <w:t> </w:t>
      </w:r>
      <w:r>
        <w:rPr>
          <w:color w:val="231F20"/>
          <w:w w:val="105"/>
        </w:rPr>
        <w:t>el suministro</w:t>
      </w:r>
      <w:r>
        <w:rPr>
          <w:color w:val="231F20"/>
          <w:spacing w:val="-20"/>
          <w:w w:val="105"/>
        </w:rPr>
        <w:t> </w:t>
      </w:r>
      <w:r>
        <w:rPr>
          <w:color w:val="231F20"/>
          <w:w w:val="105"/>
        </w:rPr>
        <w:t>de</w:t>
      </w:r>
      <w:r>
        <w:rPr>
          <w:color w:val="231F20"/>
          <w:spacing w:val="-20"/>
          <w:w w:val="105"/>
        </w:rPr>
        <w:t> </w:t>
      </w:r>
      <w:r>
        <w:rPr>
          <w:color w:val="231F20"/>
          <w:w w:val="105"/>
        </w:rPr>
        <w:t>recursos</w:t>
      </w:r>
      <w:r>
        <w:rPr>
          <w:color w:val="231F20"/>
          <w:spacing w:val="-20"/>
          <w:w w:val="105"/>
        </w:rPr>
        <w:t> </w:t>
      </w:r>
      <w:r>
        <w:rPr>
          <w:color w:val="231F20"/>
          <w:w w:val="105"/>
        </w:rPr>
        <w:t>de</w:t>
      </w:r>
      <w:r>
        <w:rPr>
          <w:color w:val="231F20"/>
          <w:spacing w:val="-20"/>
          <w:w w:val="105"/>
        </w:rPr>
        <w:t> </w:t>
      </w:r>
      <w:r>
        <w:rPr>
          <w:color w:val="231F20"/>
          <w:w w:val="105"/>
        </w:rPr>
        <w:t>manera</w:t>
      </w:r>
      <w:r>
        <w:rPr>
          <w:color w:val="231F20"/>
          <w:spacing w:val="-20"/>
          <w:w w:val="105"/>
        </w:rPr>
        <w:t> </w:t>
      </w:r>
      <w:r>
        <w:rPr>
          <w:color w:val="231F20"/>
          <w:w w:val="105"/>
        </w:rPr>
        <w:t>predecible;</w:t>
      </w:r>
      <w:r>
        <w:rPr>
          <w:color w:val="231F20"/>
          <w:spacing w:val="-20"/>
          <w:w w:val="105"/>
        </w:rPr>
        <w:t> </w:t>
      </w:r>
      <w:r>
        <w:rPr>
          <w:color w:val="231F20"/>
          <w:w w:val="105"/>
        </w:rPr>
        <w:t>y</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inversa,</w:t>
      </w:r>
      <w:r>
        <w:rPr>
          <w:color w:val="231F20"/>
          <w:spacing w:val="-25"/>
          <w:w w:val="105"/>
        </w:rPr>
        <w:t> </w:t>
      </w:r>
      <w:r>
        <w:rPr>
          <w:color w:val="231F20"/>
          <w:w w:val="105"/>
        </w:rPr>
        <w:t>es</w:t>
      </w:r>
      <w:r>
        <w:rPr>
          <w:color w:val="231F20"/>
          <w:spacing w:val="-20"/>
          <w:w w:val="105"/>
        </w:rPr>
        <w:t> </w:t>
      </w:r>
      <w:r>
        <w:rPr>
          <w:color w:val="231F20"/>
          <w:w w:val="105"/>
        </w:rPr>
        <w:t>inestable si</w:t>
      </w:r>
      <w:r>
        <w:rPr>
          <w:color w:val="231F20"/>
          <w:spacing w:val="-8"/>
          <w:w w:val="105"/>
        </w:rPr>
        <w:t> </w:t>
      </w:r>
      <w:r>
        <w:rPr>
          <w:color w:val="231F20"/>
          <w:w w:val="105"/>
        </w:rPr>
        <w:t>una</w:t>
      </w:r>
      <w:r>
        <w:rPr>
          <w:color w:val="231F20"/>
          <w:spacing w:val="-8"/>
          <w:w w:val="105"/>
        </w:rPr>
        <w:t> </w:t>
      </w:r>
      <w:r>
        <w:rPr>
          <w:color w:val="231F20"/>
          <w:w w:val="105"/>
        </w:rPr>
        <w:t>organización</w:t>
      </w:r>
      <w:r>
        <w:rPr>
          <w:color w:val="231F20"/>
          <w:spacing w:val="-8"/>
          <w:w w:val="105"/>
        </w:rPr>
        <w:t> </w:t>
      </w:r>
      <w:r>
        <w:rPr>
          <w:color w:val="231F20"/>
          <w:w w:val="105"/>
        </w:rPr>
        <w:t>no</w:t>
      </w:r>
      <w:r>
        <w:rPr>
          <w:color w:val="231F20"/>
          <w:spacing w:val="-8"/>
          <w:w w:val="105"/>
        </w:rPr>
        <w:t> </w:t>
      </w:r>
      <w:r>
        <w:rPr>
          <w:color w:val="231F20"/>
          <w:w w:val="105"/>
        </w:rPr>
        <w:t>puede</w:t>
      </w:r>
      <w:r>
        <w:rPr>
          <w:color w:val="231F20"/>
          <w:spacing w:val="-8"/>
          <w:w w:val="105"/>
        </w:rPr>
        <w:t> </w:t>
      </w:r>
      <w:r>
        <w:rPr>
          <w:color w:val="231F20"/>
          <w:w w:val="105"/>
        </w:rPr>
        <w:t>predecir</w:t>
      </w:r>
      <w:r>
        <w:rPr>
          <w:color w:val="231F20"/>
          <w:spacing w:val="-8"/>
          <w:w w:val="105"/>
        </w:rPr>
        <w:t> </w:t>
      </w:r>
      <w:r>
        <w:rPr>
          <w:color w:val="231F20"/>
          <w:w w:val="105"/>
        </w:rPr>
        <w:t>la</w:t>
      </w:r>
      <w:r>
        <w:rPr>
          <w:color w:val="231F20"/>
          <w:spacing w:val="-8"/>
          <w:w w:val="105"/>
        </w:rPr>
        <w:t> </w:t>
      </w:r>
      <w:r>
        <w:rPr>
          <w:color w:val="231F20"/>
          <w:w w:val="105"/>
        </w:rPr>
        <w:t>forma</w:t>
      </w:r>
      <w:r>
        <w:rPr>
          <w:color w:val="231F20"/>
          <w:spacing w:val="-8"/>
          <w:w w:val="105"/>
        </w:rPr>
        <w:t> </w:t>
      </w:r>
      <w:r>
        <w:rPr>
          <w:color w:val="231F20"/>
          <w:w w:val="105"/>
        </w:rPr>
        <w:t>en</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fuerzas</w:t>
      </w:r>
      <w:r>
        <w:rPr>
          <w:color w:val="231F20"/>
          <w:spacing w:val="-8"/>
          <w:w w:val="105"/>
        </w:rPr>
        <w:t> </w:t>
      </w:r>
      <w:r>
        <w:rPr>
          <w:color w:val="231F20"/>
          <w:w w:val="105"/>
        </w:rPr>
        <w:t>cam- biarán con el tiempo. La riqueza ambiental es la cantidad de recursos disponibles</w:t>
      </w:r>
      <w:r>
        <w:rPr>
          <w:color w:val="231F20"/>
          <w:spacing w:val="-13"/>
          <w:w w:val="105"/>
        </w:rPr>
        <w:t> </w:t>
      </w:r>
      <w:r>
        <w:rPr>
          <w:color w:val="231F20"/>
          <w:w w:val="105"/>
        </w:rPr>
        <w:t>para</w:t>
      </w:r>
      <w:r>
        <w:rPr>
          <w:color w:val="231F20"/>
          <w:spacing w:val="-13"/>
          <w:w w:val="105"/>
        </w:rPr>
        <w:t> </w:t>
      </w:r>
      <w:r>
        <w:rPr>
          <w:color w:val="231F20"/>
          <w:w w:val="105"/>
        </w:rPr>
        <w:t>apoyar</w:t>
      </w:r>
      <w:r>
        <w:rPr>
          <w:color w:val="231F20"/>
          <w:spacing w:val="-13"/>
          <w:w w:val="105"/>
        </w:rPr>
        <w:t> </w:t>
      </w:r>
      <w:r>
        <w:rPr>
          <w:color w:val="231F20"/>
          <w:w w:val="105"/>
        </w:rPr>
        <w:t>el</w:t>
      </w:r>
      <w:r>
        <w:rPr>
          <w:color w:val="231F20"/>
          <w:spacing w:val="-13"/>
          <w:w w:val="105"/>
        </w:rPr>
        <w:t> </w:t>
      </w:r>
      <w:r>
        <w:rPr>
          <w:color w:val="231F20"/>
          <w:w w:val="105"/>
        </w:rPr>
        <w:t>dominio</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organización.</w:t>
      </w:r>
      <w:r>
        <w:rPr>
          <w:color w:val="231F20"/>
          <w:spacing w:val="-20"/>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ambien- tes ricos, la incertidumbre es baja porque los recursos son abundantes y las organizaciones no necesitan competir por ellos; en los ambientes pobres, la incertidumbre es alta porque los recursos son limitados y</w:t>
      </w:r>
      <w:r>
        <w:rPr>
          <w:color w:val="231F20"/>
          <w:spacing w:val="-24"/>
          <w:w w:val="105"/>
        </w:rPr>
        <w:t> </w:t>
      </w:r>
      <w:r>
        <w:rPr>
          <w:color w:val="231F20"/>
          <w:w w:val="105"/>
        </w:rPr>
        <w:t>las organizaciones compiten por ellos. Combinando estas tres</w:t>
      </w:r>
      <w:r>
        <w:rPr>
          <w:color w:val="231F20"/>
          <w:spacing w:val="-24"/>
          <w:w w:val="105"/>
        </w:rPr>
        <w:t> </w:t>
      </w:r>
      <w:r>
        <w:rPr>
          <w:color w:val="231F20"/>
          <w:w w:val="105"/>
        </w:rPr>
        <w:t>característi- cas,</w:t>
      </w:r>
      <w:r>
        <w:rPr>
          <w:color w:val="231F20"/>
          <w:spacing w:val="-25"/>
          <w:w w:val="105"/>
        </w:rPr>
        <w:t> </w:t>
      </w:r>
      <w:r>
        <w:rPr>
          <w:color w:val="231F20"/>
          <w:w w:val="105"/>
        </w:rPr>
        <w:t>el</w:t>
      </w:r>
      <w:r>
        <w:rPr>
          <w:color w:val="231F20"/>
          <w:spacing w:val="-19"/>
          <w:w w:val="105"/>
        </w:rPr>
        <w:t> </w:t>
      </w:r>
      <w:r>
        <w:rPr>
          <w:color w:val="231F20"/>
          <w:w w:val="105"/>
        </w:rPr>
        <w:t>ambiente</w:t>
      </w:r>
      <w:r>
        <w:rPr>
          <w:color w:val="231F20"/>
          <w:spacing w:val="-19"/>
          <w:w w:val="105"/>
        </w:rPr>
        <w:t> </w:t>
      </w:r>
      <w:r>
        <w:rPr>
          <w:color w:val="231F20"/>
          <w:w w:val="105"/>
        </w:rPr>
        <w:t>puede</w:t>
      </w:r>
      <w:r>
        <w:rPr>
          <w:color w:val="231F20"/>
          <w:spacing w:val="-19"/>
          <w:w w:val="105"/>
        </w:rPr>
        <w:t> </w:t>
      </w:r>
      <w:r>
        <w:rPr>
          <w:color w:val="231F20"/>
          <w:w w:val="105"/>
        </w:rPr>
        <w:t>ser</w:t>
      </w:r>
      <w:r>
        <w:rPr>
          <w:color w:val="231F20"/>
          <w:spacing w:val="-19"/>
          <w:w w:val="105"/>
        </w:rPr>
        <w:t> </w:t>
      </w:r>
      <w:r>
        <w:rPr>
          <w:color w:val="231F20"/>
          <w:w w:val="105"/>
        </w:rPr>
        <w:t>pobre,</w:t>
      </w:r>
      <w:r>
        <w:rPr>
          <w:color w:val="231F20"/>
          <w:spacing w:val="-25"/>
          <w:w w:val="105"/>
        </w:rPr>
        <w:t> </w:t>
      </w:r>
      <w:r>
        <w:rPr>
          <w:color w:val="231F20"/>
          <w:w w:val="105"/>
        </w:rPr>
        <w:t>inestable</w:t>
      </w:r>
      <w:r>
        <w:rPr>
          <w:color w:val="231F20"/>
          <w:spacing w:val="-19"/>
          <w:w w:val="105"/>
        </w:rPr>
        <w:t> </w:t>
      </w:r>
      <w:r>
        <w:rPr>
          <w:color w:val="231F20"/>
          <w:w w:val="105"/>
        </w:rPr>
        <w:t>y</w:t>
      </w:r>
      <w:r>
        <w:rPr>
          <w:color w:val="231F20"/>
          <w:spacing w:val="-19"/>
          <w:w w:val="105"/>
        </w:rPr>
        <w:t> </w:t>
      </w:r>
      <w:r>
        <w:rPr>
          <w:color w:val="231F20"/>
          <w:w w:val="105"/>
        </w:rPr>
        <w:t>complejo</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son difíciles</w:t>
      </w:r>
      <w:r>
        <w:rPr>
          <w:color w:val="231F20"/>
          <w:spacing w:val="-7"/>
          <w:w w:val="105"/>
        </w:rPr>
        <w:t> </w:t>
      </w:r>
      <w:r>
        <w:rPr>
          <w:color w:val="231F20"/>
          <w:w w:val="105"/>
        </w:rPr>
        <w:t>de</w:t>
      </w:r>
      <w:r>
        <w:rPr>
          <w:color w:val="231F20"/>
          <w:spacing w:val="-7"/>
          <w:w w:val="105"/>
        </w:rPr>
        <w:t> </w:t>
      </w:r>
      <w:r>
        <w:rPr>
          <w:color w:val="231F20"/>
          <w:w w:val="105"/>
        </w:rPr>
        <w:t>obtener</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incertidumbre</w:t>
      </w:r>
      <w:r>
        <w:rPr>
          <w:color w:val="231F20"/>
          <w:spacing w:val="-7"/>
          <w:w w:val="105"/>
        </w:rPr>
        <w:t> </w:t>
      </w:r>
      <w:r>
        <w:rPr>
          <w:color w:val="231F20"/>
          <w:w w:val="105"/>
        </w:rPr>
        <w:t>es</w:t>
      </w:r>
      <w:r>
        <w:rPr>
          <w:color w:val="231F20"/>
          <w:spacing w:val="-7"/>
          <w:w w:val="105"/>
        </w:rPr>
        <w:t> </w:t>
      </w:r>
      <w:r>
        <w:rPr>
          <w:color w:val="231F20"/>
          <w:w w:val="105"/>
        </w:rPr>
        <w:t>mayor)</w:t>
      </w:r>
      <w:r>
        <w:rPr>
          <w:color w:val="231F20"/>
          <w:spacing w:val="-7"/>
          <w:w w:val="105"/>
        </w:rPr>
        <w:t> </w:t>
      </w:r>
      <w:r>
        <w:rPr>
          <w:color w:val="231F20"/>
          <w:w w:val="105"/>
        </w:rPr>
        <w:t>o</w:t>
      </w:r>
      <w:r>
        <w:rPr>
          <w:color w:val="231F20"/>
          <w:spacing w:val="-7"/>
          <w:w w:val="105"/>
        </w:rPr>
        <w:t> </w:t>
      </w:r>
      <w:r>
        <w:rPr>
          <w:color w:val="231F20"/>
          <w:w w:val="105"/>
        </w:rPr>
        <w:t>rico,</w:t>
      </w:r>
      <w:r>
        <w:rPr>
          <w:color w:val="231F20"/>
          <w:spacing w:val="-14"/>
          <w:w w:val="105"/>
        </w:rPr>
        <w:t> </w:t>
      </w:r>
      <w:r>
        <w:rPr>
          <w:color w:val="231F20"/>
          <w:w w:val="105"/>
        </w:rPr>
        <w:t>estable</w:t>
      </w:r>
      <w:r>
        <w:rPr>
          <w:color w:val="231F20"/>
          <w:spacing w:val="-7"/>
          <w:w w:val="105"/>
        </w:rPr>
        <w:t> </w:t>
      </w:r>
      <w:r>
        <w:rPr>
          <w:color w:val="231F20"/>
          <w:w w:val="105"/>
        </w:rPr>
        <w:t>y</w:t>
      </w:r>
      <w:r>
        <w:rPr>
          <w:color w:val="231F20"/>
          <w:spacing w:val="-7"/>
          <w:w w:val="105"/>
        </w:rPr>
        <w:t> </w:t>
      </w:r>
      <w:r>
        <w:rPr>
          <w:color w:val="231F20"/>
          <w:w w:val="105"/>
        </w:rPr>
        <w:t>simple (los</w:t>
      </w:r>
      <w:r>
        <w:rPr>
          <w:color w:val="231F20"/>
          <w:spacing w:val="-23"/>
          <w:w w:val="105"/>
        </w:rPr>
        <w:t> </w:t>
      </w:r>
      <w:r>
        <w:rPr>
          <w:color w:val="231F20"/>
          <w:w w:val="105"/>
        </w:rPr>
        <w:t>recursos</w:t>
      </w:r>
      <w:r>
        <w:rPr>
          <w:color w:val="231F20"/>
          <w:spacing w:val="-23"/>
          <w:w w:val="105"/>
        </w:rPr>
        <w:t> </w:t>
      </w:r>
      <w:r>
        <w:rPr>
          <w:color w:val="231F20"/>
          <w:w w:val="105"/>
        </w:rPr>
        <w:t>vienen</w:t>
      </w:r>
      <w:r>
        <w:rPr>
          <w:color w:val="231F20"/>
          <w:spacing w:val="-23"/>
          <w:w w:val="105"/>
        </w:rPr>
        <w:t> </w:t>
      </w:r>
      <w:r>
        <w:rPr>
          <w:color w:val="231F20"/>
          <w:w w:val="105"/>
        </w:rPr>
        <w:t>fácilmente</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incertidumbre</w:t>
      </w:r>
      <w:r>
        <w:rPr>
          <w:color w:val="231F20"/>
          <w:spacing w:val="-23"/>
          <w:w w:val="105"/>
        </w:rPr>
        <w:t> </w:t>
      </w:r>
      <w:r>
        <w:rPr>
          <w:color w:val="231F20"/>
          <w:w w:val="105"/>
        </w:rPr>
        <w:t>es</w:t>
      </w:r>
      <w:r>
        <w:rPr>
          <w:color w:val="231F20"/>
          <w:spacing w:val="-23"/>
          <w:w w:val="105"/>
        </w:rPr>
        <w:t> </w:t>
      </w:r>
      <w:r>
        <w:rPr>
          <w:color w:val="231F20"/>
          <w:w w:val="105"/>
        </w:rPr>
        <w:t>baja).</w:t>
      </w:r>
    </w:p>
    <w:p>
      <w:pPr>
        <w:pStyle w:val="BodyText"/>
        <w:spacing w:line="259" w:lineRule="auto"/>
        <w:ind w:left="117" w:right="115" w:firstLine="567"/>
        <w:jc w:val="right"/>
      </w:pPr>
      <w:r>
        <w:rPr>
          <w:color w:val="231F20"/>
          <w:w w:val="105"/>
        </w:rPr>
        <w:t>Es</w:t>
      </w:r>
      <w:r>
        <w:rPr>
          <w:color w:val="231F20"/>
          <w:spacing w:val="-6"/>
          <w:w w:val="105"/>
        </w:rPr>
        <w:t> </w:t>
      </w:r>
      <w:r>
        <w:rPr>
          <w:color w:val="231F20"/>
          <w:w w:val="105"/>
        </w:rPr>
        <w:t>por</w:t>
      </w:r>
      <w:r>
        <w:rPr>
          <w:color w:val="231F20"/>
          <w:spacing w:val="-6"/>
          <w:w w:val="105"/>
        </w:rPr>
        <w:t> </w:t>
      </w:r>
      <w:r>
        <w:rPr>
          <w:color w:val="231F20"/>
          <w:spacing w:val="-3"/>
          <w:w w:val="105"/>
        </w:rPr>
        <w:t>esto</w:t>
      </w:r>
      <w:r>
        <w:rPr>
          <w:color w:val="231F20"/>
          <w:spacing w:val="-6"/>
          <w:w w:val="105"/>
        </w:rPr>
        <w:t> </w:t>
      </w:r>
      <w:r>
        <w:rPr>
          <w:color w:val="231F20"/>
          <w:w w:val="105"/>
        </w:rPr>
        <w:t>que</w:t>
      </w:r>
      <w:r>
        <w:rPr>
          <w:color w:val="231F20"/>
          <w:spacing w:val="-6"/>
          <w:w w:val="105"/>
        </w:rPr>
        <w:t> </w:t>
      </w:r>
      <w:r>
        <w:rPr>
          <w:color w:val="231F20"/>
          <w:spacing w:val="-3"/>
          <w:w w:val="105"/>
        </w:rPr>
        <w:t>recurrimos</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11"/>
          <w:w w:val="105"/>
        </w:rPr>
        <w:t> </w:t>
      </w:r>
      <w:r>
        <w:rPr>
          <w:color w:val="231F20"/>
          <w:w w:val="105"/>
        </w:rPr>
        <w:t>TDR</w:t>
      </w:r>
      <w:r>
        <w:rPr>
          <w:color w:val="231F20"/>
          <w:spacing w:val="-6"/>
          <w:w w:val="105"/>
        </w:rPr>
        <w:t> </w:t>
      </w:r>
      <w:r>
        <w:rPr>
          <w:color w:val="231F20"/>
          <w:spacing w:val="-3"/>
          <w:w w:val="105"/>
        </w:rPr>
        <w:t>para</w:t>
      </w:r>
      <w:r>
        <w:rPr>
          <w:color w:val="231F20"/>
          <w:spacing w:val="-6"/>
          <w:w w:val="105"/>
        </w:rPr>
        <w:t> </w:t>
      </w:r>
      <w:r>
        <w:rPr>
          <w:color w:val="231F20"/>
          <w:spacing w:val="-3"/>
          <w:w w:val="105"/>
        </w:rPr>
        <w:t>explicar</w:t>
      </w:r>
      <w:r>
        <w:rPr>
          <w:color w:val="231F20"/>
          <w:spacing w:val="-6"/>
          <w:w w:val="105"/>
        </w:rPr>
        <w:t> </w:t>
      </w:r>
      <w:r>
        <w:rPr>
          <w:color w:val="231F20"/>
          <w:w w:val="105"/>
        </w:rPr>
        <w:t>por</w:t>
      </w:r>
      <w:r>
        <w:rPr>
          <w:color w:val="231F20"/>
          <w:spacing w:val="-6"/>
          <w:w w:val="105"/>
        </w:rPr>
        <w:t> </w:t>
      </w:r>
      <w:r>
        <w:rPr>
          <w:color w:val="231F20"/>
          <w:w w:val="105"/>
        </w:rPr>
        <w:t>qué</w:t>
      </w:r>
      <w:r>
        <w:rPr>
          <w:color w:val="231F20"/>
          <w:spacing w:val="-6"/>
          <w:w w:val="105"/>
        </w:rPr>
        <w:t> </w:t>
      </w:r>
      <w:r>
        <w:rPr>
          <w:color w:val="231F20"/>
          <w:w w:val="105"/>
        </w:rPr>
        <w:t>y</w:t>
      </w:r>
      <w:r>
        <w:rPr>
          <w:color w:val="231F20"/>
          <w:spacing w:val="-6"/>
          <w:w w:val="105"/>
        </w:rPr>
        <w:t> </w:t>
      </w:r>
      <w:r>
        <w:rPr>
          <w:color w:val="231F20"/>
          <w:spacing w:val="-3"/>
          <w:w w:val="105"/>
        </w:rPr>
        <w:t>cómo</w:t>
      </w:r>
      <w:r>
        <w:rPr>
          <w:color w:val="231F20"/>
          <w:spacing w:val="-3"/>
          <w:w w:val="106"/>
        </w:rPr>
        <w:t> </w:t>
      </w:r>
      <w:r>
        <w:rPr>
          <w:color w:val="231F20"/>
          <w:w w:val="105"/>
        </w:rPr>
        <w:t>una </w:t>
      </w:r>
      <w:r>
        <w:rPr>
          <w:color w:val="231F20"/>
          <w:spacing w:val="-3"/>
          <w:w w:val="105"/>
        </w:rPr>
        <w:t>organización sustentable llega </w:t>
      </w:r>
      <w:r>
        <w:rPr>
          <w:color w:val="231F20"/>
          <w:w w:val="105"/>
        </w:rPr>
        <w:t>a </w:t>
      </w:r>
      <w:r>
        <w:rPr>
          <w:color w:val="231F20"/>
          <w:spacing w:val="-3"/>
          <w:w w:val="105"/>
        </w:rPr>
        <w:t>reducir </w:t>
      </w:r>
      <w:r>
        <w:rPr>
          <w:color w:val="231F20"/>
          <w:w w:val="105"/>
        </w:rPr>
        <w:t>la </w:t>
      </w:r>
      <w:r>
        <w:rPr>
          <w:color w:val="231F20"/>
          <w:spacing w:val="-4"/>
          <w:w w:val="105"/>
        </w:rPr>
        <w:t>incertidumbre </w:t>
      </w:r>
      <w:r>
        <w:rPr>
          <w:color w:val="231F20"/>
          <w:w w:val="105"/>
        </w:rPr>
        <w:t>de</w:t>
      </w:r>
      <w:r>
        <w:rPr>
          <w:color w:val="231F20"/>
          <w:spacing w:val="51"/>
          <w:w w:val="105"/>
        </w:rPr>
        <w:t> </w:t>
      </w:r>
      <w:r>
        <w:rPr>
          <w:color w:val="231F20"/>
          <w:w w:val="105"/>
        </w:rPr>
        <w:t>su</w:t>
      </w:r>
      <w:r>
        <w:rPr>
          <w:color w:val="231F20"/>
          <w:spacing w:val="4"/>
          <w:w w:val="105"/>
        </w:rPr>
        <w:t> </w:t>
      </w:r>
      <w:r>
        <w:rPr>
          <w:color w:val="231F20"/>
          <w:w w:val="105"/>
        </w:rPr>
        <w:t>am-</w:t>
      </w:r>
      <w:r>
        <w:rPr>
          <w:color w:val="231F20"/>
          <w:w w:val="96"/>
        </w:rPr>
        <w:t> </w:t>
      </w:r>
      <w:r>
        <w:rPr>
          <w:color w:val="231F20"/>
          <w:spacing w:val="-3"/>
          <w:w w:val="105"/>
        </w:rPr>
        <w:t>biente</w:t>
      </w:r>
      <w:r>
        <w:rPr>
          <w:color w:val="231F20"/>
          <w:spacing w:val="-24"/>
          <w:w w:val="105"/>
        </w:rPr>
        <w:t> </w:t>
      </w:r>
      <w:r>
        <w:rPr>
          <w:color w:val="231F20"/>
          <w:spacing w:val="-3"/>
          <w:w w:val="105"/>
        </w:rPr>
        <w:t>mediante</w:t>
      </w:r>
      <w:r>
        <w:rPr>
          <w:color w:val="231F20"/>
          <w:spacing w:val="-24"/>
          <w:w w:val="105"/>
        </w:rPr>
        <w:t> </w:t>
      </w:r>
      <w:r>
        <w:rPr>
          <w:color w:val="231F20"/>
          <w:w w:val="105"/>
        </w:rPr>
        <w:t>la</w:t>
      </w:r>
      <w:r>
        <w:rPr>
          <w:color w:val="231F20"/>
          <w:spacing w:val="-24"/>
          <w:w w:val="105"/>
        </w:rPr>
        <w:t> </w:t>
      </w:r>
      <w:r>
        <w:rPr>
          <w:color w:val="231F20"/>
          <w:spacing w:val="-3"/>
          <w:w w:val="105"/>
        </w:rPr>
        <w:t>interrelación</w:t>
      </w:r>
      <w:r>
        <w:rPr>
          <w:color w:val="231F20"/>
          <w:spacing w:val="-24"/>
          <w:w w:val="105"/>
        </w:rPr>
        <w:t> </w:t>
      </w:r>
      <w:r>
        <w:rPr>
          <w:color w:val="231F20"/>
          <w:w w:val="105"/>
        </w:rPr>
        <w:t>con</w:t>
      </w:r>
      <w:r>
        <w:rPr>
          <w:color w:val="231F20"/>
          <w:spacing w:val="-24"/>
          <w:w w:val="105"/>
        </w:rPr>
        <w:t> </w:t>
      </w:r>
      <w:r>
        <w:rPr>
          <w:color w:val="231F20"/>
          <w:spacing w:val="-3"/>
          <w:w w:val="105"/>
        </w:rPr>
        <w:t>otras</w:t>
      </w:r>
      <w:r>
        <w:rPr>
          <w:color w:val="231F20"/>
          <w:spacing w:val="-24"/>
          <w:w w:val="105"/>
        </w:rPr>
        <w:t> </w:t>
      </w:r>
      <w:r>
        <w:rPr>
          <w:color w:val="231F20"/>
          <w:spacing w:val="-3"/>
          <w:w w:val="105"/>
        </w:rPr>
        <w:t>organizaciones,</w:t>
      </w:r>
      <w:r>
        <w:rPr>
          <w:color w:val="231F20"/>
          <w:spacing w:val="-30"/>
          <w:w w:val="105"/>
        </w:rPr>
        <w:t> </w:t>
      </w:r>
      <w:r>
        <w:rPr>
          <w:color w:val="231F20"/>
          <w:spacing w:val="-3"/>
          <w:w w:val="105"/>
        </w:rPr>
        <w:t>siempre</w:t>
      </w:r>
      <w:r>
        <w:rPr>
          <w:color w:val="231F20"/>
          <w:spacing w:val="-24"/>
          <w:w w:val="105"/>
        </w:rPr>
        <w:t> </w:t>
      </w:r>
      <w:r>
        <w:rPr>
          <w:color w:val="231F20"/>
          <w:w w:val="105"/>
        </w:rPr>
        <w:t>y</w:t>
      </w:r>
      <w:r>
        <w:rPr>
          <w:color w:val="231F20"/>
          <w:spacing w:val="-24"/>
          <w:w w:val="105"/>
        </w:rPr>
        <w:t> </w:t>
      </w:r>
      <w:r>
        <w:rPr>
          <w:color w:val="231F20"/>
          <w:spacing w:val="-3"/>
          <w:w w:val="105"/>
        </w:rPr>
        <w:t>cuan-</w:t>
      </w:r>
      <w:r>
        <w:rPr>
          <w:color w:val="231F20"/>
          <w:w w:val="96"/>
        </w:rPr>
        <w:t> </w:t>
      </w:r>
      <w:r>
        <w:rPr>
          <w:color w:val="231F20"/>
          <w:w w:val="105"/>
        </w:rPr>
        <w:t>do</w:t>
      </w:r>
      <w:r>
        <w:rPr>
          <w:color w:val="231F20"/>
          <w:spacing w:val="-23"/>
          <w:w w:val="105"/>
        </w:rPr>
        <w:t> </w:t>
      </w:r>
      <w:r>
        <w:rPr>
          <w:color w:val="231F20"/>
          <w:spacing w:val="-3"/>
          <w:w w:val="105"/>
        </w:rPr>
        <w:t>mantenga</w:t>
      </w:r>
      <w:r>
        <w:rPr>
          <w:color w:val="231F20"/>
          <w:spacing w:val="-23"/>
          <w:w w:val="105"/>
        </w:rPr>
        <w:t> </w:t>
      </w:r>
      <w:r>
        <w:rPr>
          <w:color w:val="231F20"/>
          <w:w w:val="105"/>
        </w:rPr>
        <w:t>el</w:t>
      </w:r>
      <w:r>
        <w:rPr>
          <w:color w:val="231F20"/>
          <w:spacing w:val="-23"/>
          <w:w w:val="105"/>
        </w:rPr>
        <w:t> </w:t>
      </w:r>
      <w:r>
        <w:rPr>
          <w:color w:val="231F20"/>
          <w:spacing w:val="-3"/>
          <w:w w:val="105"/>
        </w:rPr>
        <w:t>poder</w:t>
      </w:r>
      <w:r>
        <w:rPr>
          <w:color w:val="231F20"/>
          <w:spacing w:val="-23"/>
          <w:w w:val="105"/>
        </w:rPr>
        <w:t> </w:t>
      </w:r>
      <w:r>
        <w:rPr>
          <w:color w:val="231F20"/>
          <w:w w:val="105"/>
        </w:rPr>
        <w:t>y</w:t>
      </w:r>
      <w:r>
        <w:rPr>
          <w:color w:val="231F20"/>
          <w:spacing w:val="-23"/>
          <w:w w:val="105"/>
        </w:rPr>
        <w:t> </w:t>
      </w:r>
      <w:r>
        <w:rPr>
          <w:color w:val="231F20"/>
          <w:spacing w:val="-3"/>
          <w:w w:val="105"/>
        </w:rPr>
        <w:t>control</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spacing w:val="-3"/>
          <w:w w:val="105"/>
        </w:rPr>
        <w:t>sector</w:t>
      </w:r>
      <w:r>
        <w:rPr>
          <w:color w:val="231F20"/>
          <w:spacing w:val="-23"/>
          <w:w w:val="105"/>
        </w:rPr>
        <w:t> </w:t>
      </w:r>
      <w:r>
        <w:rPr>
          <w:color w:val="231F20"/>
          <w:spacing w:val="-3"/>
          <w:w w:val="105"/>
        </w:rPr>
        <w:t>donde</w:t>
      </w:r>
      <w:r>
        <w:rPr>
          <w:color w:val="231F20"/>
          <w:spacing w:val="-23"/>
          <w:w w:val="105"/>
        </w:rPr>
        <w:t> </w:t>
      </w:r>
      <w:r>
        <w:rPr>
          <w:color w:val="231F20"/>
          <w:w w:val="105"/>
        </w:rPr>
        <w:t>se</w:t>
      </w:r>
      <w:r>
        <w:rPr>
          <w:color w:val="231F20"/>
          <w:spacing w:val="-23"/>
          <w:w w:val="105"/>
        </w:rPr>
        <w:t> </w:t>
      </w:r>
      <w:r>
        <w:rPr>
          <w:color w:val="231F20"/>
          <w:spacing w:val="-3"/>
          <w:w w:val="105"/>
        </w:rPr>
        <w:t>desenvuelve,</w:t>
      </w:r>
      <w:r>
        <w:rPr>
          <w:color w:val="231F20"/>
          <w:spacing w:val="-29"/>
          <w:w w:val="105"/>
        </w:rPr>
        <w:t> </w:t>
      </w:r>
      <w:r>
        <w:rPr>
          <w:color w:val="231F20"/>
          <w:spacing w:val="-3"/>
          <w:w w:val="105"/>
        </w:rPr>
        <w:t>para</w:t>
      </w:r>
      <w:r>
        <w:rPr>
          <w:color w:val="231F20"/>
          <w:spacing w:val="-23"/>
          <w:w w:val="105"/>
        </w:rPr>
        <w:t> </w:t>
      </w:r>
      <w:r>
        <w:rPr>
          <w:color w:val="231F20"/>
          <w:spacing w:val="-3"/>
          <w:w w:val="105"/>
        </w:rPr>
        <w:t>lo</w:t>
      </w:r>
      <w:r>
        <w:rPr>
          <w:color w:val="231F20"/>
          <w:spacing w:val="-3"/>
          <w:w w:val="110"/>
        </w:rPr>
        <w:t> </w:t>
      </w:r>
      <w:r>
        <w:rPr>
          <w:color w:val="231F20"/>
          <w:spacing w:val="-3"/>
          <w:w w:val="105"/>
        </w:rPr>
        <w:t>cual debe entender </w:t>
      </w:r>
      <w:r>
        <w:rPr>
          <w:color w:val="231F20"/>
          <w:w w:val="105"/>
        </w:rPr>
        <w:t>el </w:t>
      </w:r>
      <w:r>
        <w:rPr>
          <w:color w:val="231F20"/>
          <w:spacing w:val="-3"/>
          <w:w w:val="105"/>
        </w:rPr>
        <w:t>comportamiento </w:t>
      </w:r>
      <w:r>
        <w:rPr>
          <w:color w:val="231F20"/>
          <w:w w:val="105"/>
        </w:rPr>
        <w:t>de la </w:t>
      </w:r>
      <w:r>
        <w:rPr>
          <w:color w:val="231F20"/>
          <w:spacing w:val="-3"/>
          <w:w w:val="105"/>
        </w:rPr>
        <w:t>organización</w:t>
      </w:r>
      <w:r>
        <w:rPr>
          <w:color w:val="231F20"/>
          <w:spacing w:val="4"/>
          <w:w w:val="105"/>
        </w:rPr>
        <w:t> </w:t>
      </w:r>
      <w:r>
        <w:rPr>
          <w:color w:val="231F20"/>
          <w:spacing w:val="-3"/>
          <w:w w:val="105"/>
        </w:rPr>
        <w:t>como</w:t>
      </w:r>
      <w:r>
        <w:rPr>
          <w:color w:val="231F20"/>
          <w:spacing w:val="-1"/>
          <w:w w:val="105"/>
        </w:rPr>
        <w:t> </w:t>
      </w:r>
      <w:r>
        <w:rPr>
          <w:color w:val="231F20"/>
          <w:spacing w:val="-3"/>
          <w:w w:val="105"/>
        </w:rPr>
        <w:t>sistema</w:t>
      </w:r>
      <w:r>
        <w:rPr>
          <w:color w:val="231F20"/>
          <w:spacing w:val="-3"/>
          <w:w w:val="99"/>
        </w:rPr>
        <w:t> </w:t>
      </w:r>
      <w:r>
        <w:rPr>
          <w:color w:val="231F20"/>
          <w:spacing w:val="-4"/>
          <w:w w:val="105"/>
        </w:rPr>
        <w:t>abierto,</w:t>
      </w:r>
      <w:r>
        <w:rPr>
          <w:color w:val="231F20"/>
          <w:spacing w:val="-29"/>
          <w:w w:val="105"/>
        </w:rPr>
        <w:t> </w:t>
      </w:r>
      <w:r>
        <w:rPr>
          <w:color w:val="231F20"/>
          <w:spacing w:val="-3"/>
          <w:w w:val="105"/>
        </w:rPr>
        <w:t>dependiente</w:t>
      </w:r>
      <w:r>
        <w:rPr>
          <w:color w:val="231F20"/>
          <w:spacing w:val="-23"/>
          <w:w w:val="105"/>
        </w:rPr>
        <w:t> </w:t>
      </w:r>
      <w:r>
        <w:rPr>
          <w:color w:val="231F20"/>
          <w:w w:val="105"/>
        </w:rPr>
        <w:t>y</w:t>
      </w:r>
      <w:r>
        <w:rPr>
          <w:color w:val="231F20"/>
          <w:spacing w:val="-23"/>
          <w:w w:val="105"/>
        </w:rPr>
        <w:t> </w:t>
      </w:r>
      <w:r>
        <w:rPr>
          <w:color w:val="231F20"/>
          <w:spacing w:val="-3"/>
          <w:w w:val="105"/>
        </w:rPr>
        <w:t>expuesto</w:t>
      </w:r>
      <w:r>
        <w:rPr>
          <w:color w:val="231F20"/>
          <w:spacing w:val="-23"/>
          <w:w w:val="105"/>
        </w:rPr>
        <w:t> </w:t>
      </w:r>
      <w:r>
        <w:rPr>
          <w:color w:val="231F20"/>
          <w:w w:val="105"/>
        </w:rPr>
        <w:t>a</w:t>
      </w:r>
      <w:r>
        <w:rPr>
          <w:color w:val="231F20"/>
          <w:spacing w:val="-23"/>
          <w:w w:val="105"/>
        </w:rPr>
        <w:t> </w:t>
      </w:r>
      <w:r>
        <w:rPr>
          <w:color w:val="231F20"/>
          <w:w w:val="105"/>
        </w:rPr>
        <w:t>las</w:t>
      </w:r>
      <w:r>
        <w:rPr>
          <w:color w:val="231F20"/>
          <w:spacing w:val="-23"/>
          <w:w w:val="105"/>
        </w:rPr>
        <w:t> </w:t>
      </w:r>
      <w:r>
        <w:rPr>
          <w:color w:val="231F20"/>
          <w:spacing w:val="-3"/>
          <w:w w:val="105"/>
        </w:rPr>
        <w:t>contingencias</w:t>
      </w:r>
      <w:r>
        <w:rPr>
          <w:color w:val="231F20"/>
          <w:spacing w:val="-23"/>
          <w:w w:val="105"/>
        </w:rPr>
        <w:t> </w:t>
      </w:r>
      <w:r>
        <w:rPr>
          <w:color w:val="231F20"/>
          <w:w w:val="105"/>
        </w:rPr>
        <w:t>del</w:t>
      </w:r>
      <w:r>
        <w:rPr>
          <w:color w:val="231F20"/>
          <w:spacing w:val="-23"/>
          <w:w w:val="105"/>
        </w:rPr>
        <w:t> </w:t>
      </w:r>
      <w:r>
        <w:rPr>
          <w:color w:val="231F20"/>
          <w:spacing w:val="-3"/>
          <w:w w:val="105"/>
        </w:rPr>
        <w:t>ambiente</w:t>
      </w:r>
      <w:r>
        <w:rPr>
          <w:color w:val="231F20"/>
          <w:spacing w:val="-23"/>
          <w:w w:val="105"/>
        </w:rPr>
        <w:t> </w:t>
      </w:r>
      <w:r>
        <w:rPr>
          <w:color w:val="231F20"/>
          <w:spacing w:val="-3"/>
          <w:w w:val="105"/>
        </w:rPr>
        <w:t>externo.</w:t>
      </w:r>
      <w:r>
        <w:rPr>
          <w:color w:val="231F20"/>
          <w:w w:val="93"/>
        </w:rPr>
        <w:t> </w:t>
      </w:r>
      <w:r>
        <w:rPr>
          <w:color w:val="231F20"/>
          <w:w w:val="105"/>
        </w:rPr>
        <w:t>La TDR explica la influencia de los factores externos</w:t>
      </w:r>
      <w:r>
        <w:rPr>
          <w:color w:val="231F20"/>
          <w:spacing w:val="-41"/>
          <w:w w:val="105"/>
        </w:rPr>
        <w:t> </w:t>
      </w:r>
      <w:r>
        <w:rPr>
          <w:color w:val="231F20"/>
          <w:w w:val="105"/>
        </w:rPr>
        <w:t>del</w:t>
      </w:r>
      <w:r>
        <w:rPr>
          <w:color w:val="231F20"/>
          <w:spacing w:val="-4"/>
          <w:w w:val="105"/>
        </w:rPr>
        <w:t> </w:t>
      </w:r>
      <w:r>
        <w:rPr>
          <w:color w:val="231F20"/>
          <w:w w:val="105"/>
        </w:rPr>
        <w:t>contexto</w:t>
      </w:r>
      <w:r>
        <w:rPr>
          <w:color w:val="231F20"/>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comportamiento</w:t>
      </w:r>
      <w:r>
        <w:rPr>
          <w:color w:val="231F20"/>
          <w:spacing w:val="-7"/>
          <w:w w:val="105"/>
        </w:rPr>
        <w:t> </w:t>
      </w:r>
      <w:r>
        <w:rPr>
          <w:color w:val="231F20"/>
          <w:w w:val="105"/>
        </w:rPr>
        <w:t>organizacional</w:t>
      </w:r>
      <w:r>
        <w:rPr>
          <w:color w:val="231F20"/>
          <w:spacing w:val="-7"/>
          <w:w w:val="105"/>
        </w:rPr>
        <w:t> </w:t>
      </w:r>
      <w:r>
        <w:rPr>
          <w:color w:val="231F20"/>
          <w:spacing w:val="-4"/>
          <w:w w:val="105"/>
        </w:rPr>
        <w:t>y,</w:t>
      </w:r>
      <w:r>
        <w:rPr>
          <w:color w:val="231F20"/>
          <w:spacing w:val="-13"/>
          <w:w w:val="105"/>
        </w:rPr>
        <w:t> </w:t>
      </w:r>
      <w:r>
        <w:rPr>
          <w:color w:val="231F20"/>
          <w:w w:val="105"/>
        </w:rPr>
        <w:t>aunque</w:t>
      </w:r>
      <w:r>
        <w:rPr>
          <w:color w:val="231F20"/>
          <w:spacing w:val="-7"/>
          <w:w w:val="105"/>
        </w:rPr>
        <w:t> </w:t>
      </w:r>
      <w:r>
        <w:rPr>
          <w:color w:val="231F20"/>
          <w:w w:val="105"/>
        </w:rPr>
        <w:t>presionados,</w:t>
      </w:r>
      <w:r>
        <w:rPr>
          <w:color w:val="231F20"/>
          <w:spacing w:val="-13"/>
          <w:w w:val="105"/>
        </w:rPr>
        <w:t> </w:t>
      </w:r>
      <w:r>
        <w:rPr>
          <w:color w:val="231F20"/>
          <w:w w:val="105"/>
        </w:rPr>
        <w:t>los</w:t>
      </w:r>
      <w:r>
        <w:rPr>
          <w:color w:val="231F20"/>
          <w:spacing w:val="-7"/>
          <w:w w:val="105"/>
        </w:rPr>
        <w:t> </w:t>
      </w:r>
      <w:r>
        <w:rPr>
          <w:color w:val="231F20"/>
          <w:w w:val="105"/>
        </w:rPr>
        <w:t>ge-</w:t>
      </w:r>
      <w:r>
        <w:rPr>
          <w:color w:val="231F20"/>
          <w:w w:val="96"/>
        </w:rPr>
        <w:t> </w:t>
      </w:r>
      <w:r>
        <w:rPr>
          <w:color w:val="231F20"/>
          <w:w w:val="105"/>
        </w:rPr>
        <w:t>rentes</w:t>
      </w:r>
      <w:r>
        <w:rPr>
          <w:color w:val="231F20"/>
          <w:spacing w:val="-13"/>
          <w:w w:val="105"/>
        </w:rPr>
        <w:t> </w:t>
      </w:r>
      <w:r>
        <w:rPr>
          <w:color w:val="231F20"/>
          <w:w w:val="105"/>
        </w:rPr>
        <w:t>pueden</w:t>
      </w:r>
      <w:r>
        <w:rPr>
          <w:color w:val="231F20"/>
          <w:spacing w:val="-13"/>
          <w:w w:val="105"/>
        </w:rPr>
        <w:t> </w:t>
      </w:r>
      <w:r>
        <w:rPr>
          <w:color w:val="231F20"/>
          <w:w w:val="105"/>
        </w:rPr>
        <w:t>actuar</w:t>
      </w:r>
      <w:r>
        <w:rPr>
          <w:color w:val="231F20"/>
          <w:spacing w:val="-13"/>
          <w:w w:val="105"/>
        </w:rPr>
        <w:t> </w:t>
      </w:r>
      <w:r>
        <w:rPr>
          <w:color w:val="231F20"/>
          <w:w w:val="105"/>
        </w:rPr>
        <w:t>para</w:t>
      </w:r>
      <w:r>
        <w:rPr>
          <w:color w:val="231F20"/>
          <w:spacing w:val="-13"/>
          <w:w w:val="105"/>
        </w:rPr>
        <w:t> </w:t>
      </w:r>
      <w:r>
        <w:rPr>
          <w:color w:val="231F20"/>
          <w:w w:val="105"/>
        </w:rPr>
        <w:t>reducir</w:t>
      </w:r>
      <w:r>
        <w:rPr>
          <w:color w:val="231F20"/>
          <w:spacing w:val="-13"/>
          <w:w w:val="105"/>
        </w:rPr>
        <w:t> </w:t>
      </w:r>
      <w:r>
        <w:rPr>
          <w:color w:val="231F20"/>
          <w:w w:val="105"/>
        </w:rPr>
        <w:t>la</w:t>
      </w:r>
      <w:r>
        <w:rPr>
          <w:color w:val="231F20"/>
          <w:spacing w:val="-13"/>
          <w:w w:val="105"/>
        </w:rPr>
        <w:t> </w:t>
      </w:r>
      <w:r>
        <w:rPr>
          <w:color w:val="231F20"/>
          <w:w w:val="105"/>
        </w:rPr>
        <w:t>incertidumbre</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del</w:t>
      </w:r>
      <w:r>
        <w:rPr>
          <w:color w:val="231F20"/>
          <w:w w:val="109"/>
        </w:rPr>
        <w:t> </w:t>
      </w:r>
      <w:r>
        <w:rPr>
          <w:color w:val="231F20"/>
          <w:w w:val="105"/>
        </w:rPr>
        <w:t>ambiente,</w:t>
      </w:r>
      <w:r>
        <w:rPr>
          <w:color w:val="231F20"/>
          <w:spacing w:val="-16"/>
          <w:w w:val="105"/>
        </w:rPr>
        <w:t> </w:t>
      </w:r>
      <w:r>
        <w:rPr>
          <w:color w:val="231F20"/>
          <w:w w:val="105"/>
        </w:rPr>
        <w:t>tomando</w:t>
      </w:r>
      <w:r>
        <w:rPr>
          <w:color w:val="231F20"/>
          <w:spacing w:val="-11"/>
          <w:w w:val="105"/>
        </w:rPr>
        <w:t> </w:t>
      </w:r>
      <w:r>
        <w:rPr>
          <w:color w:val="231F20"/>
          <w:w w:val="105"/>
        </w:rPr>
        <w:t>en</w:t>
      </w:r>
      <w:r>
        <w:rPr>
          <w:color w:val="231F20"/>
          <w:spacing w:val="-11"/>
          <w:w w:val="105"/>
        </w:rPr>
        <w:t> </w:t>
      </w:r>
      <w:r>
        <w:rPr>
          <w:color w:val="231F20"/>
          <w:w w:val="105"/>
        </w:rPr>
        <w:t>cuenta</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relaciones</w:t>
      </w:r>
      <w:r>
        <w:rPr>
          <w:color w:val="231F20"/>
          <w:spacing w:val="-11"/>
          <w:w w:val="105"/>
        </w:rPr>
        <w:t> </w:t>
      </w:r>
      <w:r>
        <w:rPr>
          <w:color w:val="231F20"/>
          <w:w w:val="105"/>
        </w:rPr>
        <w:t>interorganizaciona-</w:t>
      </w:r>
    </w:p>
    <w:p>
      <w:pPr>
        <w:pStyle w:val="BodyText"/>
        <w:spacing w:line="241" w:lineRule="exact"/>
        <w:ind w:left="117"/>
        <w:jc w:val="both"/>
      </w:pPr>
      <w:r>
        <w:rPr>
          <w:color w:val="231F20"/>
        </w:rPr>
        <w:t>les (Hillman, </w:t>
      </w:r>
      <w:r>
        <w:rPr>
          <w:i/>
          <w:color w:val="231F20"/>
        </w:rPr>
        <w:t>et al, </w:t>
      </w:r>
      <w:r>
        <w:rPr>
          <w:color w:val="231F20"/>
        </w:rPr>
        <w:t>2009; Pfeefer, 1987):</w:t>
      </w:r>
    </w:p>
    <w:p>
      <w:pPr>
        <w:pStyle w:val="BodyText"/>
        <w:spacing w:before="2"/>
        <w:rPr>
          <w:sz w:val="24"/>
        </w:rPr>
      </w:pPr>
    </w:p>
    <w:p>
      <w:pPr>
        <w:pStyle w:val="ListParagraph"/>
        <w:numPr>
          <w:ilvl w:val="0"/>
          <w:numId w:val="6"/>
        </w:numPr>
        <w:tabs>
          <w:tab w:pos="1328" w:val="left" w:leader="none"/>
        </w:tabs>
        <w:spacing w:line="259" w:lineRule="auto" w:before="0" w:after="0"/>
        <w:ind w:left="1327" w:right="122" w:hanging="360"/>
        <w:jc w:val="both"/>
        <w:rPr>
          <w:sz w:val="21"/>
        </w:rPr>
      </w:pPr>
      <w:r>
        <w:rPr>
          <w:color w:val="231F20"/>
          <w:sz w:val="21"/>
        </w:rPr>
        <w:t>Las organizaciones son las unidades fundamentales, no las personas.</w:t>
      </w:r>
    </w:p>
    <w:p>
      <w:pPr>
        <w:pStyle w:val="ListParagraph"/>
        <w:numPr>
          <w:ilvl w:val="0"/>
          <w:numId w:val="6"/>
        </w:numPr>
        <w:tabs>
          <w:tab w:pos="1328" w:val="left" w:leader="none"/>
        </w:tabs>
        <w:spacing w:line="259" w:lineRule="auto" w:before="0" w:after="0"/>
        <w:ind w:left="1327" w:right="120" w:hanging="360"/>
        <w:jc w:val="both"/>
        <w:rPr>
          <w:sz w:val="21"/>
        </w:rPr>
      </w:pPr>
      <w:r>
        <w:rPr>
          <w:color w:val="231F20"/>
          <w:w w:val="105"/>
          <w:sz w:val="21"/>
        </w:rPr>
        <w:t>Las</w:t>
      </w:r>
      <w:r>
        <w:rPr>
          <w:color w:val="231F20"/>
          <w:spacing w:val="-6"/>
          <w:w w:val="105"/>
          <w:sz w:val="21"/>
        </w:rPr>
        <w:t> </w:t>
      </w:r>
      <w:r>
        <w:rPr>
          <w:color w:val="231F20"/>
          <w:w w:val="105"/>
          <w:sz w:val="21"/>
        </w:rPr>
        <w:t>organizaciones</w:t>
      </w:r>
      <w:r>
        <w:rPr>
          <w:color w:val="231F20"/>
          <w:spacing w:val="-6"/>
          <w:w w:val="105"/>
          <w:sz w:val="21"/>
        </w:rPr>
        <w:t> </w:t>
      </w:r>
      <w:r>
        <w:rPr>
          <w:color w:val="231F20"/>
          <w:w w:val="105"/>
          <w:sz w:val="21"/>
        </w:rPr>
        <w:t>no</w:t>
      </w:r>
      <w:r>
        <w:rPr>
          <w:color w:val="231F20"/>
          <w:spacing w:val="-6"/>
          <w:w w:val="105"/>
          <w:sz w:val="21"/>
        </w:rPr>
        <w:t> </w:t>
      </w:r>
      <w:r>
        <w:rPr>
          <w:color w:val="231F20"/>
          <w:w w:val="105"/>
          <w:sz w:val="21"/>
        </w:rPr>
        <w:t>son</w:t>
      </w:r>
      <w:r>
        <w:rPr>
          <w:color w:val="231F20"/>
          <w:spacing w:val="-6"/>
          <w:w w:val="105"/>
          <w:sz w:val="21"/>
        </w:rPr>
        <w:t> </w:t>
      </w:r>
      <w:r>
        <w:rPr>
          <w:color w:val="231F20"/>
          <w:w w:val="105"/>
          <w:sz w:val="21"/>
        </w:rPr>
        <w:t>anónimas</w:t>
      </w:r>
      <w:r>
        <w:rPr>
          <w:color w:val="231F20"/>
          <w:spacing w:val="-6"/>
          <w:w w:val="105"/>
          <w:sz w:val="21"/>
        </w:rPr>
        <w:t> </w:t>
      </w:r>
      <w:r>
        <w:rPr>
          <w:color w:val="231F20"/>
          <w:spacing w:val="-4"/>
          <w:w w:val="105"/>
          <w:sz w:val="21"/>
        </w:rPr>
        <w:t>y,</w:t>
      </w:r>
      <w:r>
        <w:rPr>
          <w:color w:val="231F20"/>
          <w:spacing w:val="-12"/>
          <w:w w:val="105"/>
          <w:sz w:val="21"/>
        </w:rPr>
        <w:t> </w:t>
      </w:r>
      <w:r>
        <w:rPr>
          <w:color w:val="231F20"/>
          <w:w w:val="105"/>
          <w:sz w:val="21"/>
        </w:rPr>
        <w:t>más</w:t>
      </w:r>
      <w:r>
        <w:rPr>
          <w:color w:val="231F20"/>
          <w:spacing w:val="-6"/>
          <w:w w:val="105"/>
          <w:sz w:val="21"/>
        </w:rPr>
        <w:t> </w:t>
      </w:r>
      <w:r>
        <w:rPr>
          <w:color w:val="231F20"/>
          <w:w w:val="105"/>
          <w:sz w:val="21"/>
        </w:rPr>
        <w:t>bien,</w:t>
      </w:r>
      <w:r>
        <w:rPr>
          <w:color w:val="231F20"/>
          <w:spacing w:val="-12"/>
          <w:w w:val="105"/>
          <w:sz w:val="21"/>
        </w:rPr>
        <w:t> </w:t>
      </w:r>
      <w:r>
        <w:rPr>
          <w:color w:val="231F20"/>
          <w:w w:val="105"/>
          <w:sz w:val="21"/>
        </w:rPr>
        <w:t>viven</w:t>
      </w:r>
      <w:r>
        <w:rPr>
          <w:color w:val="231F20"/>
          <w:spacing w:val="-6"/>
          <w:w w:val="105"/>
          <w:sz w:val="21"/>
        </w:rPr>
        <w:t> </w:t>
      </w:r>
      <w:r>
        <w:rPr>
          <w:color w:val="231F20"/>
          <w:w w:val="105"/>
          <w:sz w:val="21"/>
        </w:rPr>
        <w:t>en redes de interdependencia, aunque éstas no siempre se formalicen.</w:t>
      </w:r>
    </w:p>
    <w:p>
      <w:pPr>
        <w:pStyle w:val="ListParagraph"/>
        <w:numPr>
          <w:ilvl w:val="0"/>
          <w:numId w:val="6"/>
        </w:numPr>
        <w:tabs>
          <w:tab w:pos="1327" w:val="left" w:leader="none"/>
          <w:tab w:pos="1328" w:val="left" w:leader="none"/>
        </w:tabs>
        <w:spacing w:line="241" w:lineRule="exact" w:before="0" w:after="0"/>
        <w:ind w:left="1327" w:right="0" w:hanging="360"/>
        <w:jc w:val="left"/>
        <w:rPr>
          <w:sz w:val="21"/>
        </w:rPr>
      </w:pPr>
      <w:r>
        <w:rPr>
          <w:color w:val="231F20"/>
          <w:w w:val="105"/>
          <w:sz w:val="21"/>
        </w:rPr>
        <w:t>La</w:t>
      </w:r>
      <w:r>
        <w:rPr>
          <w:color w:val="231F20"/>
          <w:spacing w:val="-16"/>
          <w:w w:val="105"/>
          <w:sz w:val="21"/>
        </w:rPr>
        <w:t> </w:t>
      </w:r>
      <w:r>
        <w:rPr>
          <w:color w:val="231F20"/>
          <w:w w:val="105"/>
          <w:sz w:val="21"/>
        </w:rPr>
        <w:t>incertidumbre</w:t>
      </w:r>
      <w:r>
        <w:rPr>
          <w:color w:val="231F20"/>
          <w:spacing w:val="-16"/>
          <w:w w:val="105"/>
          <w:sz w:val="21"/>
        </w:rPr>
        <w:t> </w:t>
      </w:r>
      <w:r>
        <w:rPr>
          <w:color w:val="231F20"/>
          <w:w w:val="105"/>
          <w:sz w:val="21"/>
        </w:rPr>
        <w:t>está</w:t>
      </w:r>
      <w:r>
        <w:rPr>
          <w:color w:val="231F20"/>
          <w:spacing w:val="-16"/>
          <w:w w:val="105"/>
          <w:sz w:val="21"/>
        </w:rPr>
        <w:t> </w:t>
      </w:r>
      <w:r>
        <w:rPr>
          <w:color w:val="231F20"/>
          <w:w w:val="105"/>
          <w:sz w:val="21"/>
        </w:rPr>
        <w:t>presente</w:t>
      </w:r>
      <w:r>
        <w:rPr>
          <w:color w:val="231F20"/>
          <w:spacing w:val="-16"/>
          <w:w w:val="105"/>
          <w:sz w:val="21"/>
        </w:rPr>
        <w:t> </w:t>
      </w:r>
      <w:r>
        <w:rPr>
          <w:color w:val="231F20"/>
          <w:w w:val="105"/>
          <w:sz w:val="21"/>
        </w:rPr>
        <w:t>en</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interdependencia.</w:t>
      </w:r>
    </w:p>
    <w:p>
      <w:pPr>
        <w:spacing w:after="0" w:line="241" w:lineRule="exact"/>
        <w:jc w:val="left"/>
        <w:rPr>
          <w:sz w:val="21"/>
        </w:rPr>
        <w:sectPr>
          <w:pgSz w:w="9640" w:h="13890"/>
          <w:pgMar w:top="0" w:bottom="280" w:left="1300" w:right="1180"/>
        </w:sectPr>
      </w:pPr>
    </w:p>
    <w:p>
      <w:pPr>
        <w:pStyle w:val="ListParagraph"/>
        <w:numPr>
          <w:ilvl w:val="0"/>
          <w:numId w:val="6"/>
        </w:numPr>
        <w:tabs>
          <w:tab w:pos="1315" w:val="left" w:leader="none"/>
        </w:tabs>
        <w:spacing w:line="259" w:lineRule="auto" w:before="120" w:after="0"/>
        <w:ind w:left="1314" w:right="115" w:hanging="360"/>
        <w:jc w:val="both"/>
        <w:rPr>
          <w:sz w:val="21"/>
        </w:rPr>
      </w:pPr>
      <w:r>
        <w:rPr>
          <w:color w:val="231F20"/>
          <w:sz w:val="21"/>
        </w:rPr>
        <w:t>Las organizaciones toman acciones para controlar esa inter- dependencia.</w:t>
      </w:r>
    </w:p>
    <w:p>
      <w:pPr>
        <w:pStyle w:val="ListParagraph"/>
        <w:numPr>
          <w:ilvl w:val="0"/>
          <w:numId w:val="6"/>
        </w:numPr>
        <w:tabs>
          <w:tab w:pos="1315" w:val="left" w:leader="none"/>
        </w:tabs>
        <w:spacing w:line="259" w:lineRule="auto" w:before="0" w:after="0"/>
        <w:ind w:left="1314" w:right="115" w:hanging="360"/>
        <w:jc w:val="both"/>
        <w:rPr>
          <w:sz w:val="21"/>
        </w:rPr>
      </w:pPr>
      <w:r>
        <w:rPr>
          <w:color w:val="231F20"/>
          <w:w w:val="105"/>
          <w:sz w:val="21"/>
        </w:rPr>
        <w:t>Los patrones de dependencia generan poder a nivel inter e</w:t>
      </w:r>
      <w:r>
        <w:rPr>
          <w:color w:val="231F20"/>
          <w:spacing w:val="-6"/>
          <w:w w:val="105"/>
          <w:sz w:val="21"/>
        </w:rPr>
        <w:t> </w:t>
      </w:r>
      <w:r>
        <w:rPr>
          <w:color w:val="231F20"/>
          <w:w w:val="105"/>
          <w:sz w:val="21"/>
        </w:rPr>
        <w:t>intraorganizacional,</w:t>
      </w:r>
      <w:r>
        <w:rPr>
          <w:color w:val="231F20"/>
          <w:spacing w:val="-11"/>
          <w:w w:val="105"/>
          <w:sz w:val="21"/>
        </w:rPr>
        <w:t> </w:t>
      </w:r>
      <w:r>
        <w:rPr>
          <w:color w:val="231F20"/>
          <w:w w:val="105"/>
          <w:sz w:val="21"/>
        </w:rPr>
        <w:t>el</w:t>
      </w:r>
      <w:r>
        <w:rPr>
          <w:color w:val="231F20"/>
          <w:spacing w:val="-6"/>
          <w:w w:val="105"/>
          <w:sz w:val="21"/>
        </w:rPr>
        <w:t> </w:t>
      </w:r>
      <w:r>
        <w:rPr>
          <w:color w:val="231F20"/>
          <w:w w:val="105"/>
          <w:sz w:val="21"/>
        </w:rPr>
        <w:t>cual</w:t>
      </w:r>
      <w:r>
        <w:rPr>
          <w:color w:val="231F20"/>
          <w:spacing w:val="-6"/>
          <w:w w:val="105"/>
          <w:sz w:val="21"/>
        </w:rPr>
        <w:t> </w:t>
      </w:r>
      <w:r>
        <w:rPr>
          <w:color w:val="231F20"/>
          <w:w w:val="105"/>
          <w:sz w:val="21"/>
        </w:rPr>
        <w:t>tiene</w:t>
      </w:r>
      <w:r>
        <w:rPr>
          <w:color w:val="231F20"/>
          <w:spacing w:val="-6"/>
          <w:w w:val="105"/>
          <w:sz w:val="21"/>
        </w:rPr>
        <w:t> </w:t>
      </w:r>
      <w:r>
        <w:rPr>
          <w:color w:val="231F20"/>
          <w:w w:val="105"/>
          <w:sz w:val="21"/>
        </w:rPr>
        <w:t>efecto</w:t>
      </w:r>
      <w:r>
        <w:rPr>
          <w:color w:val="231F20"/>
          <w:spacing w:val="-6"/>
          <w:w w:val="105"/>
          <w:sz w:val="21"/>
        </w:rPr>
        <w:t> </w:t>
      </w:r>
      <w:r>
        <w:rPr>
          <w:color w:val="231F20"/>
          <w:w w:val="105"/>
          <w:sz w:val="21"/>
        </w:rPr>
        <w:t>en</w:t>
      </w:r>
      <w:r>
        <w:rPr>
          <w:color w:val="231F20"/>
          <w:spacing w:val="-6"/>
          <w:w w:val="105"/>
          <w:sz w:val="21"/>
        </w:rPr>
        <w:t> </w:t>
      </w:r>
      <w:r>
        <w:rPr>
          <w:color w:val="231F20"/>
          <w:w w:val="105"/>
          <w:sz w:val="21"/>
        </w:rPr>
        <w:t>el</w:t>
      </w:r>
      <w:r>
        <w:rPr>
          <w:color w:val="231F20"/>
          <w:spacing w:val="-6"/>
          <w:w w:val="105"/>
          <w:sz w:val="21"/>
        </w:rPr>
        <w:t> </w:t>
      </w:r>
      <w:r>
        <w:rPr>
          <w:color w:val="231F20"/>
          <w:w w:val="105"/>
          <w:sz w:val="21"/>
        </w:rPr>
        <w:t>desempeño organizacional.</w:t>
      </w:r>
    </w:p>
    <w:p>
      <w:pPr>
        <w:pStyle w:val="BodyText"/>
        <w:spacing w:before="6"/>
        <w:rPr>
          <w:sz w:val="22"/>
        </w:rPr>
      </w:pPr>
    </w:p>
    <w:p>
      <w:pPr>
        <w:pStyle w:val="BodyText"/>
        <w:spacing w:line="259" w:lineRule="auto"/>
        <w:ind w:left="103" w:right="114"/>
        <w:jc w:val="both"/>
      </w:pPr>
      <w:r>
        <w:rPr>
          <w:color w:val="231F20"/>
          <w:w w:val="105"/>
        </w:rPr>
        <w:t>A</w:t>
      </w:r>
      <w:r>
        <w:rPr>
          <w:color w:val="231F20"/>
          <w:spacing w:val="-8"/>
          <w:w w:val="105"/>
        </w:rPr>
        <w:t> </w:t>
      </w:r>
      <w:r>
        <w:rPr>
          <w:color w:val="231F20"/>
          <w:w w:val="105"/>
        </w:rPr>
        <w:t>partir</w:t>
      </w:r>
      <w:r>
        <w:rPr>
          <w:color w:val="231F20"/>
          <w:spacing w:val="-4"/>
          <w:w w:val="105"/>
        </w:rPr>
        <w:t> </w:t>
      </w:r>
      <w:r>
        <w:rPr>
          <w:color w:val="231F20"/>
          <w:w w:val="105"/>
        </w:rPr>
        <w:t>de</w:t>
      </w:r>
      <w:r>
        <w:rPr>
          <w:color w:val="231F20"/>
          <w:spacing w:val="-4"/>
          <w:w w:val="105"/>
        </w:rPr>
        <w:t> </w:t>
      </w:r>
      <w:r>
        <w:rPr>
          <w:color w:val="231F20"/>
          <w:w w:val="105"/>
        </w:rPr>
        <w:t>lo</w:t>
      </w:r>
      <w:r>
        <w:rPr>
          <w:color w:val="231F20"/>
          <w:spacing w:val="-4"/>
          <w:w w:val="105"/>
        </w:rPr>
        <w:t> </w:t>
      </w:r>
      <w:r>
        <w:rPr>
          <w:color w:val="231F20"/>
          <w:w w:val="105"/>
        </w:rPr>
        <w:t>vital</w:t>
      </w:r>
      <w:r>
        <w:rPr>
          <w:color w:val="231F20"/>
          <w:spacing w:val="-4"/>
          <w:w w:val="105"/>
        </w:rPr>
        <w:t> </w:t>
      </w:r>
      <w:r>
        <w:rPr>
          <w:color w:val="231F20"/>
          <w:w w:val="105"/>
        </w:rPr>
        <w:t>del</w:t>
      </w:r>
      <w:r>
        <w:rPr>
          <w:color w:val="231F20"/>
          <w:spacing w:val="-4"/>
          <w:w w:val="105"/>
        </w:rPr>
        <w:t> </w:t>
      </w:r>
      <w:r>
        <w:rPr>
          <w:color w:val="231F20"/>
          <w:w w:val="105"/>
        </w:rPr>
        <w:t>recurso</w:t>
      </w:r>
      <w:r>
        <w:rPr>
          <w:color w:val="231F20"/>
          <w:spacing w:val="-4"/>
          <w:w w:val="105"/>
        </w:rPr>
        <w:t> </w:t>
      </w:r>
      <w:r>
        <w:rPr>
          <w:color w:val="231F20"/>
          <w:w w:val="105"/>
        </w:rPr>
        <w:t>y</w:t>
      </w:r>
      <w:r>
        <w:rPr>
          <w:color w:val="231F20"/>
          <w:spacing w:val="-4"/>
          <w:w w:val="105"/>
        </w:rPr>
        <w:t> </w:t>
      </w:r>
      <w:r>
        <w:rPr>
          <w:color w:val="231F20"/>
          <w:w w:val="105"/>
        </w:rPr>
        <w:t>quién</w:t>
      </w:r>
      <w:r>
        <w:rPr>
          <w:color w:val="231F20"/>
          <w:spacing w:val="-4"/>
          <w:w w:val="105"/>
        </w:rPr>
        <w:t> </w:t>
      </w:r>
      <w:r>
        <w:rPr>
          <w:color w:val="231F20"/>
          <w:w w:val="105"/>
        </w:rPr>
        <w:t>o</w:t>
      </w:r>
      <w:r>
        <w:rPr>
          <w:color w:val="231F20"/>
          <w:spacing w:val="-4"/>
          <w:w w:val="105"/>
        </w:rPr>
        <w:t> </w:t>
      </w:r>
      <w:r>
        <w:rPr>
          <w:color w:val="231F20"/>
          <w:w w:val="105"/>
        </w:rPr>
        <w:t>quiénes</w:t>
      </w:r>
      <w:r>
        <w:rPr>
          <w:color w:val="231F20"/>
          <w:spacing w:val="-4"/>
          <w:w w:val="105"/>
        </w:rPr>
        <w:t> </w:t>
      </w:r>
      <w:r>
        <w:rPr>
          <w:color w:val="231F20"/>
          <w:w w:val="105"/>
        </w:rPr>
        <w:t>pueden</w:t>
      </w:r>
      <w:r>
        <w:rPr>
          <w:color w:val="231F20"/>
          <w:spacing w:val="-4"/>
          <w:w w:val="105"/>
        </w:rPr>
        <w:t> </w:t>
      </w:r>
      <w:r>
        <w:rPr>
          <w:color w:val="231F20"/>
          <w:w w:val="105"/>
        </w:rPr>
        <w:t>tener</w:t>
      </w:r>
      <w:r>
        <w:rPr>
          <w:color w:val="231F20"/>
          <w:spacing w:val="-4"/>
          <w:w w:val="105"/>
        </w:rPr>
        <w:t> </w:t>
      </w:r>
      <w:r>
        <w:rPr>
          <w:color w:val="231F20"/>
          <w:w w:val="105"/>
        </w:rPr>
        <w:t>el</w:t>
      </w:r>
      <w:r>
        <w:rPr>
          <w:color w:val="231F20"/>
          <w:spacing w:val="-4"/>
          <w:w w:val="105"/>
        </w:rPr>
        <w:t> </w:t>
      </w:r>
      <w:r>
        <w:rPr>
          <w:color w:val="231F20"/>
          <w:w w:val="105"/>
        </w:rPr>
        <w:t>control sobre éste, la organización debe vigilar simultáneamente dos</w:t>
      </w:r>
      <w:r>
        <w:rPr>
          <w:color w:val="231F20"/>
          <w:spacing w:val="-13"/>
          <w:w w:val="105"/>
        </w:rPr>
        <w:t> </w:t>
      </w:r>
      <w:r>
        <w:rPr>
          <w:color w:val="231F20"/>
          <w:w w:val="105"/>
        </w:rPr>
        <w:t>aspectos en</w:t>
      </w:r>
      <w:r>
        <w:rPr>
          <w:color w:val="231F20"/>
          <w:spacing w:val="-7"/>
          <w:w w:val="105"/>
        </w:rPr>
        <w:t> </w:t>
      </w:r>
      <w:r>
        <w:rPr>
          <w:color w:val="231F20"/>
          <w:w w:val="105"/>
        </w:rPr>
        <w:t>cuanto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dependencia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recursos.</w:t>
      </w:r>
      <w:r>
        <w:rPr>
          <w:color w:val="231F20"/>
          <w:spacing w:val="-12"/>
          <w:w w:val="105"/>
        </w:rPr>
        <w:t> </w:t>
      </w:r>
      <w:r>
        <w:rPr>
          <w:color w:val="231F20"/>
          <w:spacing w:val="-3"/>
          <w:w w:val="105"/>
        </w:rPr>
        <w:t>Primero,</w:t>
      </w:r>
      <w:r>
        <w:rPr>
          <w:color w:val="231F20"/>
          <w:spacing w:val="-12"/>
          <w:w w:val="105"/>
        </w:rPr>
        <w:t> </w:t>
      </w:r>
      <w:r>
        <w:rPr>
          <w:color w:val="231F20"/>
          <w:w w:val="105"/>
        </w:rPr>
        <w:t>ejercer</w:t>
      </w:r>
      <w:r>
        <w:rPr>
          <w:color w:val="231F20"/>
          <w:spacing w:val="-7"/>
          <w:w w:val="105"/>
        </w:rPr>
        <w:t> </w:t>
      </w:r>
      <w:r>
        <w:rPr>
          <w:color w:val="231F20"/>
          <w:w w:val="105"/>
        </w:rPr>
        <w:t>influencia en</w:t>
      </w:r>
      <w:r>
        <w:rPr>
          <w:color w:val="231F20"/>
          <w:spacing w:val="-8"/>
          <w:w w:val="105"/>
        </w:rPr>
        <w:t> </w:t>
      </w:r>
      <w:r>
        <w:rPr>
          <w:color w:val="231F20"/>
          <w:w w:val="105"/>
        </w:rPr>
        <w:t>otras</w:t>
      </w:r>
      <w:r>
        <w:rPr>
          <w:color w:val="231F20"/>
          <w:spacing w:val="-8"/>
          <w:w w:val="105"/>
        </w:rPr>
        <w:t> </w:t>
      </w:r>
      <w:r>
        <w:rPr>
          <w:color w:val="231F20"/>
          <w:w w:val="105"/>
        </w:rPr>
        <w:t>organizaciones</w:t>
      </w:r>
      <w:r>
        <w:rPr>
          <w:color w:val="231F20"/>
          <w:spacing w:val="-8"/>
          <w:w w:val="105"/>
        </w:rPr>
        <w:t> </w:t>
      </w:r>
      <w:r>
        <w:rPr>
          <w:color w:val="231F20"/>
          <w:w w:val="105"/>
        </w:rPr>
        <w:t>para</w:t>
      </w:r>
      <w:r>
        <w:rPr>
          <w:color w:val="231F20"/>
          <w:spacing w:val="-8"/>
          <w:w w:val="105"/>
        </w:rPr>
        <w:t> </w:t>
      </w:r>
      <w:r>
        <w:rPr>
          <w:color w:val="231F20"/>
          <w:w w:val="105"/>
        </w:rPr>
        <w:t>obtener</w:t>
      </w:r>
      <w:r>
        <w:rPr>
          <w:color w:val="231F20"/>
          <w:spacing w:val="-8"/>
          <w:w w:val="105"/>
        </w:rPr>
        <w:t> </w:t>
      </w:r>
      <w:r>
        <w:rPr>
          <w:color w:val="231F20"/>
          <w:w w:val="105"/>
        </w:rPr>
        <w:t>recursos</w:t>
      </w:r>
      <w:r>
        <w:rPr>
          <w:color w:val="231F20"/>
          <w:spacing w:val="-8"/>
          <w:w w:val="105"/>
        </w:rPr>
        <w:t> </w:t>
      </w:r>
      <w:r>
        <w:rPr>
          <w:color w:val="231F20"/>
          <w:spacing w:val="-4"/>
          <w:w w:val="105"/>
        </w:rPr>
        <w:t>y,</w:t>
      </w:r>
      <w:r>
        <w:rPr>
          <w:color w:val="231F20"/>
          <w:spacing w:val="-13"/>
          <w:w w:val="105"/>
        </w:rPr>
        <w:t> </w:t>
      </w:r>
      <w:r>
        <w:rPr>
          <w:color w:val="231F20"/>
          <w:w w:val="105"/>
        </w:rPr>
        <w:t>segundo,</w:t>
      </w:r>
      <w:r>
        <w:rPr>
          <w:color w:val="231F20"/>
          <w:spacing w:val="-13"/>
          <w:w w:val="105"/>
        </w:rPr>
        <w:t> </w:t>
      </w:r>
      <w:r>
        <w:rPr>
          <w:color w:val="231F20"/>
          <w:w w:val="105"/>
        </w:rPr>
        <w:t>responder</w:t>
      </w:r>
      <w:r>
        <w:rPr>
          <w:color w:val="231F20"/>
          <w:spacing w:val="-8"/>
          <w:w w:val="105"/>
        </w:rPr>
        <w:t> </w:t>
      </w:r>
      <w:r>
        <w:rPr>
          <w:color w:val="231F20"/>
          <w:w w:val="105"/>
        </w:rPr>
        <w:t>a las</w:t>
      </w:r>
      <w:r>
        <w:rPr>
          <w:color w:val="231F20"/>
          <w:spacing w:val="-25"/>
          <w:w w:val="105"/>
        </w:rPr>
        <w:t> </w:t>
      </w:r>
      <w:r>
        <w:rPr>
          <w:color w:val="231F20"/>
          <w:w w:val="105"/>
        </w:rPr>
        <w:t>necesidades</w:t>
      </w:r>
      <w:r>
        <w:rPr>
          <w:color w:val="231F20"/>
          <w:spacing w:val="-25"/>
          <w:w w:val="105"/>
        </w:rPr>
        <w:t> </w:t>
      </w:r>
      <w:r>
        <w:rPr>
          <w:color w:val="231F20"/>
          <w:w w:val="105"/>
        </w:rPr>
        <w:t>y</w:t>
      </w:r>
      <w:r>
        <w:rPr>
          <w:color w:val="231F20"/>
          <w:spacing w:val="-25"/>
          <w:w w:val="105"/>
        </w:rPr>
        <w:t> </w:t>
      </w:r>
      <w:r>
        <w:rPr>
          <w:color w:val="231F20"/>
          <w:w w:val="105"/>
        </w:rPr>
        <w:t>demandas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otras</w:t>
      </w:r>
      <w:r>
        <w:rPr>
          <w:color w:val="231F20"/>
          <w:spacing w:val="-25"/>
          <w:w w:val="105"/>
        </w:rPr>
        <w:t> </w:t>
      </w:r>
      <w:r>
        <w:rPr>
          <w:color w:val="231F20"/>
          <w:w w:val="105"/>
        </w:rPr>
        <w:t>organizaciones</w:t>
      </w:r>
      <w:r>
        <w:rPr>
          <w:color w:val="231F20"/>
          <w:spacing w:val="-25"/>
          <w:w w:val="105"/>
        </w:rPr>
        <w:t> </w:t>
      </w:r>
      <w:r>
        <w:rPr>
          <w:color w:val="231F20"/>
          <w:w w:val="105"/>
        </w:rPr>
        <w:t>en</w:t>
      </w:r>
      <w:r>
        <w:rPr>
          <w:color w:val="231F20"/>
          <w:spacing w:val="-25"/>
          <w:w w:val="105"/>
        </w:rPr>
        <w:t> </w:t>
      </w:r>
      <w:r>
        <w:rPr>
          <w:color w:val="231F20"/>
          <w:w w:val="105"/>
        </w:rPr>
        <w:t>su</w:t>
      </w:r>
      <w:r>
        <w:rPr>
          <w:color w:val="231F20"/>
          <w:spacing w:val="-25"/>
          <w:w w:val="105"/>
        </w:rPr>
        <w:t> </w:t>
      </w:r>
      <w:r>
        <w:rPr>
          <w:color w:val="231F20"/>
          <w:w w:val="105"/>
        </w:rPr>
        <w:t>ambiente </w:t>
      </w:r>
      <w:r>
        <w:rPr>
          <w:color w:val="231F20"/>
        </w:rPr>
        <w:t>(Jones,</w:t>
      </w:r>
      <w:r>
        <w:rPr>
          <w:color w:val="231F20"/>
          <w:spacing w:val="-15"/>
        </w:rPr>
        <w:t> </w:t>
      </w:r>
      <w:r>
        <w:rPr>
          <w:color w:val="231F20"/>
        </w:rPr>
        <w:t>2013).</w:t>
      </w:r>
    </w:p>
    <w:p>
      <w:pPr>
        <w:pStyle w:val="BodyText"/>
        <w:spacing w:line="259" w:lineRule="auto"/>
        <w:ind w:left="103" w:right="110" w:firstLine="567"/>
        <w:jc w:val="both"/>
        <w:rPr>
          <w:i/>
        </w:rPr>
      </w:pPr>
      <w:r>
        <w:rPr>
          <w:color w:val="231F20"/>
          <w:spacing w:val="-3"/>
          <w:w w:val="105"/>
        </w:rPr>
        <w:t>Lo </w:t>
      </w:r>
      <w:r>
        <w:rPr>
          <w:color w:val="231F20"/>
          <w:w w:val="105"/>
        </w:rPr>
        <w:t>anterior aplica a cualquier </w:t>
      </w:r>
      <w:r>
        <w:rPr>
          <w:color w:val="231F20"/>
          <w:spacing w:val="-3"/>
          <w:w w:val="105"/>
        </w:rPr>
        <w:t>organización </w:t>
      </w:r>
      <w:r>
        <w:rPr>
          <w:color w:val="231F20"/>
          <w:w w:val="105"/>
        </w:rPr>
        <w:t>de cualquier </w:t>
      </w:r>
      <w:r>
        <w:rPr>
          <w:color w:val="231F20"/>
          <w:spacing w:val="-4"/>
          <w:w w:val="105"/>
        </w:rPr>
        <w:t>sector, </w:t>
      </w:r>
      <w:r>
        <w:rPr>
          <w:color w:val="231F20"/>
          <w:w w:val="105"/>
        </w:rPr>
        <w:t>ya que</w:t>
      </w:r>
      <w:r>
        <w:rPr>
          <w:color w:val="231F20"/>
          <w:spacing w:val="-16"/>
          <w:w w:val="105"/>
        </w:rPr>
        <w:t> </w:t>
      </w:r>
      <w:r>
        <w:rPr>
          <w:color w:val="231F20"/>
          <w:w w:val="105"/>
        </w:rPr>
        <w:t>si</w:t>
      </w:r>
      <w:r>
        <w:rPr>
          <w:color w:val="231F20"/>
          <w:spacing w:val="-16"/>
          <w:w w:val="105"/>
        </w:rPr>
        <w:t> </w:t>
      </w:r>
      <w:r>
        <w:rPr>
          <w:color w:val="231F20"/>
          <w:w w:val="105"/>
        </w:rPr>
        <w:t>bien</w:t>
      </w:r>
      <w:r>
        <w:rPr>
          <w:color w:val="231F20"/>
          <w:spacing w:val="-16"/>
          <w:w w:val="105"/>
        </w:rPr>
        <w:t> </w:t>
      </w:r>
      <w:r>
        <w:rPr>
          <w:color w:val="231F20"/>
          <w:w w:val="105"/>
        </w:rPr>
        <w:t>algunas</w:t>
      </w:r>
      <w:r>
        <w:rPr>
          <w:color w:val="231F20"/>
          <w:spacing w:val="-16"/>
          <w:w w:val="105"/>
        </w:rPr>
        <w:t> </w:t>
      </w:r>
      <w:r>
        <w:rPr>
          <w:color w:val="231F20"/>
          <w:w w:val="105"/>
        </w:rPr>
        <w:t>pudieran</w:t>
      </w:r>
      <w:r>
        <w:rPr>
          <w:color w:val="231F20"/>
          <w:spacing w:val="-16"/>
          <w:w w:val="105"/>
        </w:rPr>
        <w:t> </w:t>
      </w:r>
      <w:r>
        <w:rPr>
          <w:color w:val="231F20"/>
          <w:w w:val="105"/>
        </w:rPr>
        <w:t>no</w:t>
      </w:r>
      <w:r>
        <w:rPr>
          <w:color w:val="231F20"/>
          <w:spacing w:val="-16"/>
          <w:w w:val="105"/>
        </w:rPr>
        <w:t> </w:t>
      </w:r>
      <w:r>
        <w:rPr>
          <w:color w:val="231F20"/>
          <w:w w:val="105"/>
        </w:rPr>
        <w:t>tener</w:t>
      </w:r>
      <w:r>
        <w:rPr>
          <w:color w:val="231F20"/>
          <w:spacing w:val="-16"/>
          <w:w w:val="105"/>
        </w:rPr>
        <w:t> </w:t>
      </w:r>
      <w:r>
        <w:rPr>
          <w:color w:val="231F20"/>
          <w:spacing w:val="-3"/>
          <w:w w:val="105"/>
        </w:rPr>
        <w:t>recursos</w:t>
      </w:r>
      <w:r>
        <w:rPr>
          <w:color w:val="231F20"/>
          <w:spacing w:val="-16"/>
          <w:w w:val="105"/>
        </w:rPr>
        <w:t> </w:t>
      </w:r>
      <w:r>
        <w:rPr>
          <w:color w:val="231F20"/>
          <w:w w:val="105"/>
        </w:rPr>
        <w:t>limitados,</w:t>
      </w:r>
      <w:r>
        <w:rPr>
          <w:color w:val="231F20"/>
          <w:spacing w:val="-21"/>
          <w:w w:val="105"/>
        </w:rPr>
        <w:t> </w:t>
      </w:r>
      <w:r>
        <w:rPr>
          <w:color w:val="231F20"/>
          <w:w w:val="105"/>
        </w:rPr>
        <w:t>todas</w:t>
      </w:r>
      <w:r>
        <w:rPr>
          <w:color w:val="231F20"/>
          <w:spacing w:val="-16"/>
          <w:w w:val="105"/>
        </w:rPr>
        <w:t> </w:t>
      </w:r>
      <w:r>
        <w:rPr>
          <w:color w:val="231F20"/>
          <w:w w:val="105"/>
        </w:rPr>
        <w:t>viven</w:t>
      </w:r>
      <w:r>
        <w:rPr>
          <w:color w:val="231F20"/>
          <w:spacing w:val="-16"/>
          <w:w w:val="105"/>
        </w:rPr>
        <w:t> </w:t>
      </w:r>
      <w:r>
        <w:rPr>
          <w:color w:val="231F20"/>
          <w:w w:val="105"/>
        </w:rPr>
        <w:t>in- </w:t>
      </w:r>
      <w:r>
        <w:rPr>
          <w:color w:val="231F20"/>
          <w:spacing w:val="-3"/>
          <w:w w:val="105"/>
        </w:rPr>
        <w:t>certidumbre,</w:t>
      </w:r>
      <w:r>
        <w:rPr>
          <w:color w:val="231F20"/>
          <w:spacing w:val="-26"/>
          <w:w w:val="105"/>
        </w:rPr>
        <w:t> </w:t>
      </w:r>
      <w:r>
        <w:rPr>
          <w:color w:val="231F20"/>
          <w:spacing w:val="-3"/>
          <w:w w:val="105"/>
        </w:rPr>
        <w:t>retos</w:t>
      </w:r>
      <w:r>
        <w:rPr>
          <w:color w:val="231F20"/>
          <w:spacing w:val="-19"/>
          <w:w w:val="105"/>
        </w:rPr>
        <w:t> </w:t>
      </w:r>
      <w:r>
        <w:rPr>
          <w:color w:val="231F20"/>
          <w:spacing w:val="-3"/>
          <w:w w:val="105"/>
        </w:rPr>
        <w:t>frente</w:t>
      </w:r>
      <w:r>
        <w:rPr>
          <w:color w:val="231F20"/>
          <w:spacing w:val="-19"/>
          <w:w w:val="105"/>
        </w:rPr>
        <w:t> </w:t>
      </w:r>
      <w:r>
        <w:rPr>
          <w:color w:val="231F20"/>
          <w:w w:val="105"/>
        </w:rPr>
        <w:t>a</w:t>
      </w:r>
      <w:r>
        <w:rPr>
          <w:color w:val="231F20"/>
          <w:spacing w:val="-19"/>
          <w:w w:val="105"/>
        </w:rPr>
        <w:t> </w:t>
      </w:r>
      <w:r>
        <w:rPr>
          <w:color w:val="231F20"/>
          <w:w w:val="105"/>
        </w:rPr>
        <w:t>lo</w:t>
      </w:r>
      <w:r>
        <w:rPr>
          <w:color w:val="231F20"/>
          <w:spacing w:val="-19"/>
          <w:w w:val="105"/>
        </w:rPr>
        <w:t> </w:t>
      </w:r>
      <w:r>
        <w:rPr>
          <w:color w:val="231F20"/>
          <w:w w:val="105"/>
        </w:rPr>
        <w:t>acelerado</w:t>
      </w:r>
      <w:r>
        <w:rPr>
          <w:color w:val="231F20"/>
          <w:spacing w:val="-19"/>
          <w:w w:val="105"/>
        </w:rPr>
        <w:t> </w:t>
      </w:r>
      <w:r>
        <w:rPr>
          <w:color w:val="231F20"/>
          <w:w w:val="105"/>
        </w:rPr>
        <w:t>del</w:t>
      </w:r>
      <w:r>
        <w:rPr>
          <w:color w:val="231F20"/>
          <w:spacing w:val="-19"/>
          <w:w w:val="105"/>
        </w:rPr>
        <w:t> </w:t>
      </w:r>
      <w:r>
        <w:rPr>
          <w:color w:val="231F20"/>
          <w:w w:val="105"/>
        </w:rPr>
        <w:t>cambio,</w:t>
      </w:r>
      <w:r>
        <w:rPr>
          <w:color w:val="231F20"/>
          <w:spacing w:val="-26"/>
          <w:w w:val="105"/>
        </w:rPr>
        <w:t> </w:t>
      </w:r>
      <w:r>
        <w:rPr>
          <w:color w:val="231F20"/>
          <w:w w:val="105"/>
        </w:rPr>
        <w:t>adaptación</w:t>
      </w:r>
      <w:r>
        <w:rPr>
          <w:color w:val="231F20"/>
          <w:spacing w:val="-19"/>
          <w:w w:val="105"/>
        </w:rPr>
        <w:t> </w:t>
      </w:r>
      <w:r>
        <w:rPr>
          <w:color w:val="231F20"/>
          <w:w w:val="105"/>
        </w:rPr>
        <w:t>y</w:t>
      </w:r>
      <w:r>
        <w:rPr>
          <w:color w:val="231F20"/>
          <w:spacing w:val="-19"/>
          <w:w w:val="105"/>
        </w:rPr>
        <w:t> </w:t>
      </w:r>
      <w:r>
        <w:rPr>
          <w:color w:val="231F20"/>
          <w:w w:val="105"/>
        </w:rPr>
        <w:t>desem- peño</w:t>
      </w:r>
      <w:r>
        <w:rPr>
          <w:color w:val="231F20"/>
          <w:spacing w:val="-20"/>
          <w:w w:val="105"/>
        </w:rPr>
        <w:t> </w:t>
      </w:r>
      <w:r>
        <w:rPr>
          <w:color w:val="231F20"/>
          <w:spacing w:val="-3"/>
          <w:w w:val="105"/>
        </w:rPr>
        <w:t>superiores.</w:t>
      </w:r>
      <w:r>
        <w:rPr>
          <w:color w:val="231F20"/>
          <w:spacing w:val="-25"/>
          <w:w w:val="105"/>
        </w:rPr>
        <w:t> </w:t>
      </w:r>
      <w:r>
        <w:rPr>
          <w:color w:val="231F20"/>
          <w:w w:val="105"/>
        </w:rPr>
        <w:t>Entonces,</w:t>
      </w:r>
      <w:r>
        <w:rPr>
          <w:color w:val="231F20"/>
          <w:spacing w:val="-25"/>
          <w:w w:val="105"/>
        </w:rPr>
        <w:t> </w:t>
      </w:r>
      <w:r>
        <w:rPr>
          <w:color w:val="231F20"/>
          <w:w w:val="105"/>
        </w:rPr>
        <w:t>desde</w:t>
      </w:r>
      <w:r>
        <w:rPr>
          <w:color w:val="231F20"/>
          <w:spacing w:val="-20"/>
          <w:w w:val="105"/>
        </w:rPr>
        <w:t> </w:t>
      </w:r>
      <w:r>
        <w:rPr>
          <w:color w:val="231F20"/>
          <w:w w:val="105"/>
        </w:rPr>
        <w:t>la</w:t>
      </w:r>
      <w:r>
        <w:rPr>
          <w:color w:val="231F20"/>
          <w:spacing w:val="-20"/>
          <w:w w:val="105"/>
        </w:rPr>
        <w:t> </w:t>
      </w:r>
      <w:r>
        <w:rPr>
          <w:color w:val="231F20"/>
          <w:w w:val="105"/>
        </w:rPr>
        <w:t>perspectiva</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recursos</w:t>
      </w:r>
      <w:r>
        <w:rPr>
          <w:color w:val="231F20"/>
          <w:spacing w:val="-20"/>
          <w:w w:val="105"/>
        </w:rPr>
        <w:t> </w:t>
      </w:r>
      <w:r>
        <w:rPr>
          <w:color w:val="231F20"/>
          <w:spacing w:val="-3"/>
          <w:w w:val="105"/>
        </w:rPr>
        <w:t>(TRyC), </w:t>
      </w:r>
      <w:r>
        <w:rPr>
          <w:color w:val="231F20"/>
          <w:w w:val="105"/>
        </w:rPr>
        <w:t>podría</w:t>
      </w:r>
      <w:r>
        <w:rPr>
          <w:color w:val="231F20"/>
          <w:spacing w:val="-30"/>
          <w:w w:val="105"/>
        </w:rPr>
        <w:t> </w:t>
      </w:r>
      <w:r>
        <w:rPr>
          <w:color w:val="231F20"/>
          <w:w w:val="105"/>
        </w:rPr>
        <w:t>decirse</w:t>
      </w:r>
      <w:r>
        <w:rPr>
          <w:color w:val="231F20"/>
          <w:spacing w:val="-30"/>
          <w:w w:val="105"/>
        </w:rPr>
        <w:t> </w:t>
      </w:r>
      <w:r>
        <w:rPr>
          <w:color w:val="231F20"/>
          <w:w w:val="105"/>
        </w:rPr>
        <w:t>que</w:t>
      </w:r>
      <w:r>
        <w:rPr>
          <w:color w:val="231F20"/>
          <w:spacing w:val="-30"/>
          <w:w w:val="105"/>
        </w:rPr>
        <w:t> </w:t>
      </w:r>
      <w:r>
        <w:rPr>
          <w:color w:val="231F20"/>
          <w:w w:val="105"/>
        </w:rPr>
        <w:t>la</w:t>
      </w:r>
      <w:r>
        <w:rPr>
          <w:color w:val="231F20"/>
          <w:spacing w:val="-30"/>
          <w:w w:val="105"/>
        </w:rPr>
        <w:t> </w:t>
      </w:r>
      <w:r>
        <w:rPr>
          <w:color w:val="231F20"/>
          <w:w w:val="105"/>
        </w:rPr>
        <w:t>sustentabilidad</w:t>
      </w:r>
      <w:r>
        <w:rPr>
          <w:color w:val="231F20"/>
          <w:spacing w:val="-30"/>
          <w:w w:val="105"/>
        </w:rPr>
        <w:t> </w:t>
      </w:r>
      <w:r>
        <w:rPr>
          <w:color w:val="231F20"/>
          <w:spacing w:val="-3"/>
          <w:w w:val="105"/>
        </w:rPr>
        <w:t>organizacional</w:t>
      </w:r>
      <w:r>
        <w:rPr>
          <w:color w:val="231F20"/>
          <w:spacing w:val="-30"/>
          <w:w w:val="105"/>
        </w:rPr>
        <w:t> </w:t>
      </w:r>
      <w:r>
        <w:rPr>
          <w:color w:val="231F20"/>
          <w:w w:val="105"/>
        </w:rPr>
        <w:t>es</w:t>
      </w:r>
      <w:r>
        <w:rPr>
          <w:color w:val="231F20"/>
          <w:spacing w:val="-30"/>
          <w:w w:val="105"/>
        </w:rPr>
        <w:t> </w:t>
      </w:r>
      <w:r>
        <w:rPr>
          <w:color w:val="231F20"/>
          <w:w w:val="105"/>
        </w:rPr>
        <w:t>un</w:t>
      </w:r>
      <w:r>
        <w:rPr>
          <w:color w:val="231F20"/>
          <w:spacing w:val="-30"/>
          <w:w w:val="105"/>
        </w:rPr>
        <w:t> </w:t>
      </w:r>
      <w:r>
        <w:rPr>
          <w:color w:val="231F20"/>
          <w:w w:val="105"/>
        </w:rPr>
        <w:t>estado</w:t>
      </w:r>
      <w:r>
        <w:rPr>
          <w:color w:val="231F20"/>
          <w:spacing w:val="-30"/>
          <w:w w:val="105"/>
        </w:rPr>
        <w:t> </w:t>
      </w:r>
      <w:r>
        <w:rPr>
          <w:color w:val="231F20"/>
          <w:w w:val="105"/>
        </w:rPr>
        <w:t>dinámi- co</w:t>
      </w:r>
      <w:r>
        <w:rPr>
          <w:color w:val="231F20"/>
          <w:spacing w:val="-19"/>
          <w:w w:val="105"/>
        </w:rPr>
        <w:t> </w:t>
      </w:r>
      <w:r>
        <w:rPr>
          <w:color w:val="231F20"/>
          <w:w w:val="105"/>
        </w:rPr>
        <w:t>construido</w:t>
      </w:r>
      <w:r>
        <w:rPr>
          <w:color w:val="231F20"/>
          <w:spacing w:val="-19"/>
          <w:w w:val="105"/>
        </w:rPr>
        <w:t> </w:t>
      </w:r>
      <w:r>
        <w:rPr>
          <w:color w:val="231F20"/>
          <w:w w:val="105"/>
        </w:rPr>
        <w:t>a</w:t>
      </w:r>
      <w:r>
        <w:rPr>
          <w:color w:val="231F20"/>
          <w:spacing w:val="-19"/>
          <w:w w:val="105"/>
        </w:rPr>
        <w:t> </w:t>
      </w:r>
      <w:r>
        <w:rPr>
          <w:color w:val="231F20"/>
          <w:spacing w:val="-2"/>
          <w:w w:val="105"/>
        </w:rPr>
        <w:t>partir</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spacing w:val="-3"/>
          <w:w w:val="105"/>
        </w:rPr>
        <w:t>relaciones</w:t>
      </w:r>
      <w:r>
        <w:rPr>
          <w:color w:val="231F20"/>
          <w:spacing w:val="-19"/>
          <w:w w:val="105"/>
        </w:rPr>
        <w:t> </w:t>
      </w:r>
      <w:r>
        <w:rPr>
          <w:color w:val="231F20"/>
          <w:spacing w:val="-3"/>
          <w:w w:val="105"/>
        </w:rPr>
        <w:t>interorganizacionales</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que</w:t>
      </w:r>
      <w:r>
        <w:rPr>
          <w:color w:val="231F20"/>
          <w:spacing w:val="-19"/>
          <w:w w:val="105"/>
        </w:rPr>
        <w:t> </w:t>
      </w:r>
      <w:r>
        <w:rPr>
          <w:color w:val="231F20"/>
          <w:w w:val="105"/>
        </w:rPr>
        <w:t>se hace</w:t>
      </w:r>
      <w:r>
        <w:rPr>
          <w:color w:val="231F20"/>
          <w:spacing w:val="-31"/>
          <w:w w:val="105"/>
        </w:rPr>
        <w:t> </w:t>
      </w:r>
      <w:r>
        <w:rPr>
          <w:color w:val="231F20"/>
          <w:w w:val="105"/>
        </w:rPr>
        <w:t>uso</w:t>
      </w:r>
      <w:r>
        <w:rPr>
          <w:color w:val="231F20"/>
          <w:spacing w:val="-31"/>
          <w:w w:val="105"/>
        </w:rPr>
        <w:t> </w:t>
      </w:r>
      <w:r>
        <w:rPr>
          <w:color w:val="231F20"/>
          <w:w w:val="105"/>
        </w:rPr>
        <w:t>racional</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spacing w:val="-3"/>
          <w:w w:val="105"/>
        </w:rPr>
        <w:t>recursos</w:t>
      </w:r>
      <w:r>
        <w:rPr>
          <w:color w:val="231F20"/>
          <w:spacing w:val="-31"/>
          <w:w w:val="105"/>
        </w:rPr>
        <w:t> </w:t>
      </w:r>
      <w:r>
        <w:rPr>
          <w:color w:val="231F20"/>
          <w:w w:val="105"/>
        </w:rPr>
        <w:t>económicos,</w:t>
      </w:r>
      <w:r>
        <w:rPr>
          <w:color w:val="231F20"/>
          <w:spacing w:val="-35"/>
          <w:w w:val="105"/>
        </w:rPr>
        <w:t> </w:t>
      </w:r>
      <w:r>
        <w:rPr>
          <w:color w:val="231F20"/>
          <w:w w:val="105"/>
        </w:rPr>
        <w:t>humanos</w:t>
      </w:r>
      <w:r>
        <w:rPr>
          <w:color w:val="231F20"/>
          <w:spacing w:val="-31"/>
          <w:w w:val="105"/>
        </w:rPr>
        <w:t> </w:t>
      </w:r>
      <w:r>
        <w:rPr>
          <w:color w:val="231F20"/>
          <w:w w:val="105"/>
        </w:rPr>
        <w:t>y</w:t>
      </w:r>
      <w:r>
        <w:rPr>
          <w:color w:val="231F20"/>
          <w:spacing w:val="-31"/>
          <w:w w:val="105"/>
        </w:rPr>
        <w:t> </w:t>
      </w:r>
      <w:r>
        <w:rPr>
          <w:color w:val="231F20"/>
          <w:spacing w:val="-3"/>
          <w:w w:val="105"/>
        </w:rPr>
        <w:t>naturales,</w:t>
      </w:r>
      <w:r>
        <w:rPr>
          <w:color w:val="231F20"/>
          <w:spacing w:val="-35"/>
          <w:w w:val="105"/>
        </w:rPr>
        <w:t> </w:t>
      </w:r>
      <w:r>
        <w:rPr>
          <w:color w:val="231F20"/>
          <w:w w:val="105"/>
        </w:rPr>
        <w:t>para satisfacer</w:t>
      </w:r>
      <w:r>
        <w:rPr>
          <w:color w:val="231F20"/>
          <w:spacing w:val="-31"/>
          <w:w w:val="105"/>
        </w:rPr>
        <w:t> </w:t>
      </w:r>
      <w:r>
        <w:rPr>
          <w:color w:val="231F20"/>
          <w:w w:val="105"/>
        </w:rPr>
        <w:t>las</w:t>
      </w:r>
      <w:r>
        <w:rPr>
          <w:color w:val="231F20"/>
          <w:spacing w:val="-31"/>
          <w:w w:val="105"/>
        </w:rPr>
        <w:t> </w:t>
      </w:r>
      <w:r>
        <w:rPr>
          <w:color w:val="231F20"/>
          <w:w w:val="105"/>
        </w:rPr>
        <w:t>necesidades</w:t>
      </w:r>
      <w:r>
        <w:rPr>
          <w:color w:val="231F20"/>
          <w:spacing w:val="-31"/>
          <w:w w:val="105"/>
        </w:rPr>
        <w:t> </w:t>
      </w:r>
      <w:r>
        <w:rPr>
          <w:color w:val="231F20"/>
          <w:spacing w:val="-3"/>
          <w:w w:val="105"/>
        </w:rPr>
        <w:t>presentes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spacing w:val="-3"/>
          <w:w w:val="105"/>
        </w:rPr>
        <w:t>organización,</w:t>
      </w:r>
      <w:r>
        <w:rPr>
          <w:color w:val="231F20"/>
          <w:spacing w:val="-35"/>
          <w:w w:val="105"/>
        </w:rPr>
        <w:t> </w:t>
      </w:r>
      <w:r>
        <w:rPr>
          <w:color w:val="231F20"/>
          <w:w w:val="105"/>
        </w:rPr>
        <w:t>sin</w:t>
      </w:r>
      <w:r>
        <w:rPr>
          <w:color w:val="231F20"/>
          <w:spacing w:val="-31"/>
          <w:w w:val="105"/>
        </w:rPr>
        <w:t> </w:t>
      </w:r>
      <w:r>
        <w:rPr>
          <w:color w:val="231F20"/>
          <w:spacing w:val="-3"/>
          <w:w w:val="105"/>
        </w:rPr>
        <w:t>comprometer </w:t>
      </w:r>
      <w:r>
        <w:rPr>
          <w:color w:val="231F20"/>
          <w:w w:val="105"/>
        </w:rPr>
        <w:t>su</w:t>
      </w:r>
      <w:r>
        <w:rPr>
          <w:color w:val="231F20"/>
          <w:spacing w:val="-36"/>
          <w:w w:val="105"/>
        </w:rPr>
        <w:t> </w:t>
      </w:r>
      <w:r>
        <w:rPr>
          <w:color w:val="231F20"/>
          <w:w w:val="105"/>
        </w:rPr>
        <w:t>disponibilidad</w:t>
      </w:r>
      <w:r>
        <w:rPr>
          <w:color w:val="231F20"/>
          <w:spacing w:val="-36"/>
          <w:w w:val="105"/>
        </w:rPr>
        <w:t> </w:t>
      </w:r>
      <w:r>
        <w:rPr>
          <w:color w:val="231F20"/>
          <w:w w:val="105"/>
        </w:rPr>
        <w:t>para</w:t>
      </w:r>
      <w:r>
        <w:rPr>
          <w:color w:val="231F20"/>
          <w:spacing w:val="-36"/>
          <w:w w:val="105"/>
        </w:rPr>
        <w:t> </w:t>
      </w:r>
      <w:r>
        <w:rPr>
          <w:color w:val="231F20"/>
          <w:w w:val="105"/>
        </w:rPr>
        <w:t>las</w:t>
      </w:r>
      <w:r>
        <w:rPr>
          <w:color w:val="231F20"/>
          <w:spacing w:val="-36"/>
          <w:w w:val="105"/>
        </w:rPr>
        <w:t> </w:t>
      </w:r>
      <w:r>
        <w:rPr>
          <w:color w:val="231F20"/>
          <w:spacing w:val="-2"/>
          <w:w w:val="105"/>
        </w:rPr>
        <w:t>generaciones</w:t>
      </w:r>
      <w:r>
        <w:rPr>
          <w:color w:val="231F20"/>
          <w:spacing w:val="-36"/>
          <w:w w:val="105"/>
        </w:rPr>
        <w:t> </w:t>
      </w:r>
      <w:r>
        <w:rPr>
          <w:color w:val="231F20"/>
          <w:w w:val="105"/>
        </w:rPr>
        <w:t>futuras</w:t>
      </w:r>
      <w:r>
        <w:rPr>
          <w:color w:val="231F20"/>
          <w:spacing w:val="-36"/>
          <w:w w:val="105"/>
        </w:rPr>
        <w:t> </w:t>
      </w:r>
      <w:r>
        <w:rPr>
          <w:color w:val="231F20"/>
          <w:spacing w:val="-3"/>
          <w:w w:val="105"/>
        </w:rPr>
        <w:t>(Heemskerk,</w:t>
      </w:r>
      <w:r>
        <w:rPr>
          <w:color w:val="231F20"/>
          <w:spacing w:val="-39"/>
          <w:w w:val="105"/>
        </w:rPr>
        <w:t> </w:t>
      </w:r>
      <w:r>
        <w:rPr>
          <w:color w:val="231F20"/>
          <w:w w:val="105"/>
        </w:rPr>
        <w:t>2005)</w:t>
      </w:r>
      <w:r>
        <w:rPr>
          <w:i/>
          <w:color w:val="231F20"/>
          <w:w w:val="105"/>
        </w:rPr>
        <w:t>.</w:t>
      </w:r>
    </w:p>
    <w:p>
      <w:pPr>
        <w:pStyle w:val="BodyText"/>
        <w:rPr>
          <w:i/>
          <w:sz w:val="20"/>
        </w:rPr>
      </w:pPr>
    </w:p>
    <w:p>
      <w:pPr>
        <w:pStyle w:val="BodyText"/>
        <w:spacing w:before="7"/>
        <w:rPr>
          <w:i/>
          <w:sz w:val="18"/>
        </w:rPr>
      </w:pPr>
    </w:p>
    <w:p>
      <w:pPr>
        <w:pStyle w:val="Heading2"/>
        <w:ind w:left="103"/>
      </w:pPr>
      <w:r>
        <w:rPr>
          <w:color w:val="231F20"/>
        </w:rPr>
        <w:t>Teoría de recursos y capacidades</w:t>
      </w:r>
    </w:p>
    <w:p>
      <w:pPr>
        <w:pStyle w:val="BodyText"/>
        <w:rPr>
          <w:b/>
          <w:sz w:val="22"/>
        </w:rPr>
      </w:pPr>
    </w:p>
    <w:p>
      <w:pPr>
        <w:pStyle w:val="BodyText"/>
        <w:spacing w:line="259" w:lineRule="auto" w:before="160"/>
        <w:ind w:left="103" w:right="115"/>
        <w:jc w:val="both"/>
      </w:pPr>
      <w:r>
        <w:rPr>
          <w:color w:val="231F20"/>
          <w:w w:val="105"/>
        </w:rPr>
        <w:t>Las organizaciones que busquen construir ventajas competitivas sus- tentables</w:t>
      </w:r>
      <w:r>
        <w:rPr>
          <w:color w:val="231F20"/>
          <w:spacing w:val="-12"/>
          <w:w w:val="105"/>
        </w:rPr>
        <w:t> </w:t>
      </w:r>
      <w:r>
        <w:rPr>
          <w:color w:val="231F20"/>
          <w:w w:val="105"/>
        </w:rPr>
        <w:t>requieren</w:t>
      </w:r>
      <w:r>
        <w:rPr>
          <w:color w:val="231F20"/>
          <w:spacing w:val="-12"/>
          <w:w w:val="105"/>
        </w:rPr>
        <w:t> </w:t>
      </w:r>
      <w:r>
        <w:rPr>
          <w:color w:val="231F20"/>
          <w:w w:val="105"/>
        </w:rPr>
        <w:t>explotar</w:t>
      </w:r>
      <w:r>
        <w:rPr>
          <w:color w:val="231F20"/>
          <w:spacing w:val="-12"/>
          <w:w w:val="105"/>
        </w:rPr>
        <w:t> </w:t>
      </w:r>
      <w:r>
        <w:rPr>
          <w:color w:val="231F20"/>
          <w:w w:val="105"/>
        </w:rPr>
        <w:t>sus</w:t>
      </w:r>
      <w:r>
        <w:rPr>
          <w:color w:val="231F20"/>
          <w:spacing w:val="-12"/>
          <w:w w:val="105"/>
        </w:rPr>
        <w:t> </w:t>
      </w:r>
      <w:r>
        <w:rPr>
          <w:color w:val="231F20"/>
          <w:w w:val="105"/>
        </w:rPr>
        <w:t>fortalezas</w:t>
      </w:r>
      <w:r>
        <w:rPr>
          <w:color w:val="231F20"/>
          <w:spacing w:val="-12"/>
          <w:w w:val="105"/>
        </w:rPr>
        <w:t> </w:t>
      </w:r>
      <w:r>
        <w:rPr>
          <w:color w:val="231F20"/>
          <w:w w:val="105"/>
        </w:rPr>
        <w:t>internas</w:t>
      </w:r>
      <w:r>
        <w:rPr>
          <w:color w:val="231F20"/>
          <w:spacing w:val="-12"/>
          <w:w w:val="105"/>
        </w:rPr>
        <w:t> </w:t>
      </w:r>
      <w:r>
        <w:rPr>
          <w:color w:val="231F20"/>
          <w:w w:val="105"/>
        </w:rPr>
        <w:t>para</w:t>
      </w:r>
      <w:r>
        <w:rPr>
          <w:color w:val="231F20"/>
          <w:spacing w:val="-12"/>
          <w:w w:val="105"/>
        </w:rPr>
        <w:t> </w:t>
      </w:r>
      <w:r>
        <w:rPr>
          <w:color w:val="231F20"/>
          <w:w w:val="105"/>
        </w:rPr>
        <w:t>aprovechar</w:t>
      </w:r>
      <w:r>
        <w:rPr>
          <w:color w:val="231F20"/>
          <w:spacing w:val="-12"/>
          <w:w w:val="105"/>
        </w:rPr>
        <w:t> </w:t>
      </w:r>
      <w:r>
        <w:rPr>
          <w:color w:val="231F20"/>
          <w:w w:val="105"/>
        </w:rPr>
        <w:t>las oportunidades</w:t>
      </w:r>
      <w:r>
        <w:rPr>
          <w:color w:val="231F20"/>
          <w:spacing w:val="-26"/>
          <w:w w:val="105"/>
        </w:rPr>
        <w:t> </w:t>
      </w:r>
      <w:r>
        <w:rPr>
          <w:color w:val="231F20"/>
          <w:w w:val="105"/>
        </w:rPr>
        <w:t>del</w:t>
      </w:r>
      <w:r>
        <w:rPr>
          <w:color w:val="231F20"/>
          <w:spacing w:val="-26"/>
          <w:w w:val="105"/>
        </w:rPr>
        <w:t> </w:t>
      </w:r>
      <w:r>
        <w:rPr>
          <w:color w:val="231F20"/>
          <w:w w:val="105"/>
        </w:rPr>
        <w:t>ambiente</w:t>
      </w:r>
      <w:r>
        <w:rPr>
          <w:color w:val="231F20"/>
          <w:spacing w:val="-26"/>
          <w:w w:val="105"/>
        </w:rPr>
        <w:t> </w:t>
      </w:r>
      <w:r>
        <w:rPr>
          <w:color w:val="231F20"/>
          <w:spacing w:val="-4"/>
          <w:w w:val="105"/>
        </w:rPr>
        <w:t>y,</w:t>
      </w:r>
      <w:r>
        <w:rPr>
          <w:color w:val="231F20"/>
          <w:spacing w:val="-30"/>
          <w:w w:val="105"/>
        </w:rPr>
        <w:t> </w:t>
      </w:r>
      <w:r>
        <w:rPr>
          <w:color w:val="231F20"/>
          <w:w w:val="105"/>
        </w:rPr>
        <w:t>con</w:t>
      </w:r>
      <w:r>
        <w:rPr>
          <w:color w:val="231F20"/>
          <w:spacing w:val="-26"/>
          <w:w w:val="105"/>
        </w:rPr>
        <w:t> </w:t>
      </w:r>
      <w:r>
        <w:rPr>
          <w:color w:val="231F20"/>
          <w:w w:val="105"/>
        </w:rPr>
        <w:t>ello,</w:t>
      </w:r>
      <w:r>
        <w:rPr>
          <w:color w:val="231F20"/>
          <w:spacing w:val="-30"/>
          <w:w w:val="105"/>
        </w:rPr>
        <w:t> </w:t>
      </w:r>
      <w:r>
        <w:rPr>
          <w:color w:val="231F20"/>
          <w:w w:val="105"/>
        </w:rPr>
        <w:t>neutralizar</w:t>
      </w:r>
      <w:r>
        <w:rPr>
          <w:color w:val="231F20"/>
          <w:spacing w:val="-26"/>
          <w:w w:val="105"/>
        </w:rPr>
        <w:t> </w:t>
      </w:r>
      <w:r>
        <w:rPr>
          <w:color w:val="231F20"/>
          <w:w w:val="105"/>
        </w:rPr>
        <w:t>sus</w:t>
      </w:r>
      <w:r>
        <w:rPr>
          <w:color w:val="231F20"/>
          <w:spacing w:val="-26"/>
          <w:w w:val="105"/>
        </w:rPr>
        <w:t> </w:t>
      </w:r>
      <w:r>
        <w:rPr>
          <w:color w:val="231F20"/>
          <w:w w:val="105"/>
        </w:rPr>
        <w:t>amenazas</w:t>
      </w:r>
      <w:r>
        <w:rPr>
          <w:color w:val="231F20"/>
          <w:spacing w:val="-26"/>
          <w:w w:val="105"/>
        </w:rPr>
        <w:t> </w:t>
      </w:r>
      <w:r>
        <w:rPr>
          <w:color w:val="231F20"/>
          <w:w w:val="105"/>
        </w:rPr>
        <w:t>y</w:t>
      </w:r>
      <w:r>
        <w:rPr>
          <w:color w:val="231F20"/>
          <w:spacing w:val="-26"/>
          <w:w w:val="105"/>
        </w:rPr>
        <w:t> </w:t>
      </w:r>
      <w:r>
        <w:rPr>
          <w:color w:val="231F20"/>
          <w:w w:val="105"/>
        </w:rPr>
        <w:t>evitar debilidades</w:t>
      </w:r>
      <w:r>
        <w:rPr>
          <w:color w:val="231F20"/>
          <w:spacing w:val="-36"/>
          <w:w w:val="105"/>
        </w:rPr>
        <w:t> </w:t>
      </w:r>
      <w:r>
        <w:rPr>
          <w:color w:val="231F20"/>
          <w:w w:val="105"/>
        </w:rPr>
        <w:t>internas</w:t>
      </w:r>
      <w:r>
        <w:rPr>
          <w:color w:val="231F20"/>
          <w:spacing w:val="-36"/>
          <w:w w:val="105"/>
        </w:rPr>
        <w:t> </w:t>
      </w:r>
      <w:r>
        <w:rPr>
          <w:color w:val="231F20"/>
          <w:w w:val="105"/>
        </w:rPr>
        <w:t>(Barney,</w:t>
      </w:r>
      <w:r>
        <w:rPr>
          <w:color w:val="231F20"/>
          <w:spacing w:val="-39"/>
          <w:w w:val="105"/>
        </w:rPr>
        <w:t> </w:t>
      </w:r>
      <w:r>
        <w:rPr>
          <w:color w:val="231F20"/>
          <w:w w:val="105"/>
        </w:rPr>
        <w:t>1986).</w:t>
      </w:r>
    </w:p>
    <w:p>
      <w:pPr>
        <w:pStyle w:val="BodyText"/>
        <w:spacing w:line="259" w:lineRule="auto"/>
        <w:ind w:left="103" w:right="114" w:firstLine="567"/>
        <w:jc w:val="both"/>
      </w:pPr>
      <w:r>
        <w:rPr>
          <w:color w:val="231F20"/>
          <w:w w:val="105"/>
        </w:rPr>
        <w:t>Bajo</w:t>
      </w:r>
      <w:r>
        <w:rPr>
          <w:color w:val="231F20"/>
          <w:spacing w:val="-26"/>
          <w:w w:val="105"/>
        </w:rPr>
        <w:t> </w:t>
      </w:r>
      <w:r>
        <w:rPr>
          <w:color w:val="231F20"/>
          <w:w w:val="105"/>
        </w:rPr>
        <w:t>estos</w:t>
      </w:r>
      <w:r>
        <w:rPr>
          <w:color w:val="231F20"/>
          <w:spacing w:val="-26"/>
          <w:w w:val="105"/>
        </w:rPr>
        <w:t> </w:t>
      </w:r>
      <w:r>
        <w:rPr>
          <w:color w:val="231F20"/>
          <w:w w:val="105"/>
        </w:rPr>
        <w:t>supuestos,</w:t>
      </w:r>
      <w:r>
        <w:rPr>
          <w:color w:val="231F20"/>
          <w:spacing w:val="-30"/>
          <w:w w:val="105"/>
        </w:rPr>
        <w:t> </w:t>
      </w:r>
      <w:r>
        <w:rPr>
          <w:color w:val="231F20"/>
          <w:w w:val="105"/>
        </w:rPr>
        <w:t>las</w:t>
      </w:r>
      <w:r>
        <w:rPr>
          <w:color w:val="231F20"/>
          <w:spacing w:val="-26"/>
          <w:w w:val="105"/>
        </w:rPr>
        <w:t> </w:t>
      </w:r>
      <w:r>
        <w:rPr>
          <w:color w:val="231F20"/>
          <w:w w:val="105"/>
        </w:rPr>
        <w:t>condiciones</w:t>
      </w:r>
      <w:r>
        <w:rPr>
          <w:color w:val="231F20"/>
          <w:spacing w:val="-26"/>
          <w:w w:val="105"/>
        </w:rPr>
        <w:t> </w:t>
      </w:r>
      <w:r>
        <w:rPr>
          <w:color w:val="231F20"/>
          <w:w w:val="105"/>
        </w:rPr>
        <w:t>ambientales</w:t>
      </w:r>
      <w:r>
        <w:rPr>
          <w:color w:val="231F20"/>
          <w:spacing w:val="-26"/>
          <w:w w:val="105"/>
        </w:rPr>
        <w:t> </w:t>
      </w:r>
      <w:r>
        <w:rPr>
          <w:color w:val="231F20"/>
          <w:w w:val="105"/>
        </w:rPr>
        <w:t>favorecen</w:t>
      </w:r>
      <w:r>
        <w:rPr>
          <w:color w:val="231F20"/>
          <w:spacing w:val="-26"/>
          <w:w w:val="105"/>
        </w:rPr>
        <w:t> </w:t>
      </w:r>
      <w:r>
        <w:rPr>
          <w:color w:val="231F20"/>
          <w:w w:val="105"/>
        </w:rPr>
        <w:t>altos niveles</w:t>
      </w:r>
      <w:r>
        <w:rPr>
          <w:color w:val="231F20"/>
          <w:spacing w:val="-9"/>
          <w:w w:val="105"/>
        </w:rPr>
        <w:t> </w:t>
      </w:r>
      <w:r>
        <w:rPr>
          <w:color w:val="231F20"/>
          <w:w w:val="105"/>
        </w:rPr>
        <w:t>de</w:t>
      </w:r>
      <w:r>
        <w:rPr>
          <w:color w:val="231F20"/>
          <w:spacing w:val="-9"/>
          <w:w w:val="105"/>
        </w:rPr>
        <w:t> </w:t>
      </w:r>
      <w:r>
        <w:rPr>
          <w:color w:val="231F20"/>
          <w:w w:val="105"/>
        </w:rPr>
        <w:t>desempeño</w:t>
      </w:r>
      <w:r>
        <w:rPr>
          <w:color w:val="231F20"/>
          <w:spacing w:val="-9"/>
          <w:w w:val="105"/>
        </w:rPr>
        <w:t> </w:t>
      </w:r>
      <w:r>
        <w:rPr>
          <w:color w:val="231F20"/>
          <w:w w:val="105"/>
        </w:rPr>
        <w:t>organizacional</w:t>
      </w:r>
      <w:r>
        <w:rPr>
          <w:color w:val="231F20"/>
          <w:spacing w:val="-9"/>
          <w:w w:val="105"/>
        </w:rPr>
        <w:t> </w:t>
      </w:r>
      <w:r>
        <w:rPr>
          <w:color w:val="231F20"/>
          <w:w w:val="105"/>
        </w:rPr>
        <w:t>bajo</w:t>
      </w:r>
      <w:r>
        <w:rPr>
          <w:color w:val="231F20"/>
          <w:spacing w:val="-9"/>
          <w:w w:val="105"/>
        </w:rPr>
        <w:t> </w:t>
      </w:r>
      <w:r>
        <w:rPr>
          <w:color w:val="231F20"/>
          <w:w w:val="105"/>
        </w:rPr>
        <w:t>dos</w:t>
      </w:r>
      <w:r>
        <w:rPr>
          <w:color w:val="231F20"/>
          <w:spacing w:val="-9"/>
          <w:w w:val="105"/>
        </w:rPr>
        <w:t> </w:t>
      </w:r>
      <w:r>
        <w:rPr>
          <w:color w:val="231F20"/>
          <w:w w:val="105"/>
        </w:rPr>
        <w:t>premisas</w:t>
      </w:r>
      <w:r>
        <w:rPr>
          <w:color w:val="231F20"/>
          <w:spacing w:val="-9"/>
          <w:w w:val="105"/>
        </w:rPr>
        <w:t> </w:t>
      </w:r>
      <w:r>
        <w:rPr>
          <w:color w:val="231F20"/>
          <w:spacing w:val="-4"/>
          <w:w w:val="105"/>
        </w:rPr>
        <w:t>(Porter,</w:t>
      </w:r>
      <w:r>
        <w:rPr>
          <w:color w:val="231F20"/>
          <w:spacing w:val="-15"/>
          <w:w w:val="105"/>
        </w:rPr>
        <w:t> </w:t>
      </w:r>
      <w:r>
        <w:rPr>
          <w:color w:val="231F20"/>
          <w:w w:val="105"/>
        </w:rPr>
        <w:t>2008): primero, las empresas dentro de una industria o sector son iguales en términos</w:t>
      </w:r>
      <w:r>
        <w:rPr>
          <w:color w:val="231F20"/>
          <w:spacing w:val="-8"/>
          <w:w w:val="105"/>
        </w:rPr>
        <w:t> </w:t>
      </w:r>
      <w:r>
        <w:rPr>
          <w:color w:val="231F20"/>
          <w:w w:val="105"/>
        </w:rPr>
        <w:t>del</w:t>
      </w:r>
      <w:r>
        <w:rPr>
          <w:color w:val="231F20"/>
          <w:spacing w:val="-8"/>
          <w:w w:val="105"/>
        </w:rPr>
        <w:t> </w:t>
      </w:r>
      <w:r>
        <w:rPr>
          <w:color w:val="231F20"/>
          <w:w w:val="105"/>
        </w:rPr>
        <w:t>control</w:t>
      </w:r>
      <w:r>
        <w:rPr>
          <w:color w:val="231F20"/>
          <w:spacing w:val="-8"/>
          <w:w w:val="105"/>
        </w:rPr>
        <w:t> </w:t>
      </w:r>
      <w:r>
        <w:rPr>
          <w:color w:val="231F20"/>
          <w:w w:val="105"/>
        </w:rPr>
        <w:t>de</w:t>
      </w:r>
      <w:r>
        <w:rPr>
          <w:color w:val="231F20"/>
          <w:spacing w:val="-8"/>
          <w:w w:val="105"/>
        </w:rPr>
        <w:t> </w:t>
      </w:r>
      <w:r>
        <w:rPr>
          <w:color w:val="231F20"/>
          <w:w w:val="105"/>
        </w:rPr>
        <w:t>recursos</w:t>
      </w:r>
      <w:r>
        <w:rPr>
          <w:color w:val="231F20"/>
          <w:spacing w:val="-8"/>
          <w:w w:val="105"/>
        </w:rPr>
        <w:t> </w:t>
      </w:r>
      <w:r>
        <w:rPr>
          <w:color w:val="231F20"/>
          <w:w w:val="105"/>
        </w:rPr>
        <w:t>relevantes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persecución</w:t>
      </w:r>
      <w:r>
        <w:rPr>
          <w:color w:val="231F20"/>
          <w:spacing w:val="-8"/>
          <w:w w:val="105"/>
        </w:rPr>
        <w:t> </w:t>
      </w:r>
      <w:r>
        <w:rPr>
          <w:color w:val="231F20"/>
          <w:w w:val="105"/>
        </w:rPr>
        <w:t>de</w:t>
      </w:r>
      <w:r>
        <w:rPr>
          <w:color w:val="231F20"/>
          <w:spacing w:val="-8"/>
          <w:w w:val="105"/>
        </w:rPr>
        <w:t> </w:t>
      </w:r>
      <w:r>
        <w:rPr>
          <w:color w:val="231F20"/>
          <w:w w:val="105"/>
        </w:rPr>
        <w:t>estrate- gias;</w:t>
      </w:r>
      <w:r>
        <w:rPr>
          <w:color w:val="231F20"/>
          <w:spacing w:val="-16"/>
          <w:w w:val="105"/>
        </w:rPr>
        <w:t> </w:t>
      </w:r>
      <w:r>
        <w:rPr>
          <w:color w:val="231F20"/>
          <w:w w:val="105"/>
        </w:rPr>
        <w:t>segundo,</w:t>
      </w:r>
      <w:r>
        <w:rPr>
          <w:color w:val="231F20"/>
          <w:spacing w:val="-21"/>
          <w:w w:val="105"/>
        </w:rPr>
        <w:t> </w:t>
      </w:r>
      <w:r>
        <w:rPr>
          <w:color w:val="231F20"/>
          <w:w w:val="105"/>
        </w:rPr>
        <w:t>las</w:t>
      </w:r>
      <w:r>
        <w:rPr>
          <w:color w:val="231F20"/>
          <w:spacing w:val="-16"/>
          <w:w w:val="105"/>
        </w:rPr>
        <w:t> </w:t>
      </w:r>
      <w:r>
        <w:rPr>
          <w:color w:val="231F20"/>
          <w:w w:val="105"/>
        </w:rPr>
        <w:t>empresas</w:t>
      </w:r>
      <w:r>
        <w:rPr>
          <w:color w:val="231F20"/>
          <w:spacing w:val="-16"/>
          <w:w w:val="105"/>
        </w:rPr>
        <w:t> </w:t>
      </w:r>
      <w:r>
        <w:rPr>
          <w:color w:val="231F20"/>
          <w:w w:val="105"/>
        </w:rPr>
        <w:t>del</w:t>
      </w:r>
      <w:r>
        <w:rPr>
          <w:color w:val="231F20"/>
          <w:spacing w:val="-16"/>
          <w:w w:val="105"/>
        </w:rPr>
        <w:t> </w:t>
      </w:r>
      <w:r>
        <w:rPr>
          <w:color w:val="231F20"/>
          <w:w w:val="105"/>
        </w:rPr>
        <w:t>sector</w:t>
      </w:r>
      <w:r>
        <w:rPr>
          <w:color w:val="231F20"/>
          <w:spacing w:val="-16"/>
          <w:w w:val="105"/>
        </w:rPr>
        <w:t> </w:t>
      </w:r>
      <w:r>
        <w:rPr>
          <w:color w:val="231F20"/>
          <w:w w:val="105"/>
        </w:rPr>
        <w:t>buscan</w:t>
      </w:r>
      <w:r>
        <w:rPr>
          <w:color w:val="231F20"/>
          <w:spacing w:val="-16"/>
          <w:w w:val="105"/>
        </w:rPr>
        <w:t> </w:t>
      </w:r>
      <w:r>
        <w:rPr>
          <w:color w:val="231F20"/>
          <w:w w:val="105"/>
        </w:rPr>
        <w:t>la</w:t>
      </w:r>
      <w:r>
        <w:rPr>
          <w:color w:val="231F20"/>
          <w:spacing w:val="-16"/>
          <w:w w:val="105"/>
        </w:rPr>
        <w:t> </w:t>
      </w:r>
      <w:r>
        <w:rPr>
          <w:color w:val="231F20"/>
          <w:w w:val="105"/>
        </w:rPr>
        <w:t>heterogeneidad</w:t>
      </w:r>
      <w:r>
        <w:rPr>
          <w:color w:val="231F20"/>
          <w:spacing w:val="-16"/>
          <w:w w:val="105"/>
        </w:rPr>
        <w:t> </w:t>
      </w:r>
      <w:r>
        <w:rPr>
          <w:color w:val="231F20"/>
          <w:w w:val="105"/>
        </w:rPr>
        <w:t>de</w:t>
      </w:r>
      <w:r>
        <w:rPr>
          <w:color w:val="231F20"/>
          <w:spacing w:val="-16"/>
          <w:w w:val="105"/>
        </w:rPr>
        <w:t> </w:t>
      </w:r>
      <w:r>
        <w:rPr>
          <w:color w:val="231F20"/>
          <w:w w:val="105"/>
        </w:rPr>
        <w:t>los recursos</w:t>
      </w:r>
      <w:r>
        <w:rPr>
          <w:color w:val="231F20"/>
          <w:spacing w:val="-22"/>
          <w:w w:val="105"/>
        </w:rPr>
        <w:t> </w:t>
      </w:r>
      <w:r>
        <w:rPr>
          <w:color w:val="231F20"/>
          <w:w w:val="105"/>
        </w:rPr>
        <w:t>aunque</w:t>
      </w:r>
      <w:r>
        <w:rPr>
          <w:color w:val="231F20"/>
          <w:spacing w:val="-22"/>
          <w:w w:val="105"/>
        </w:rPr>
        <w:t> </w:t>
      </w:r>
      <w:r>
        <w:rPr>
          <w:color w:val="231F20"/>
          <w:w w:val="105"/>
        </w:rPr>
        <w:t>ésta</w:t>
      </w:r>
      <w:r>
        <w:rPr>
          <w:color w:val="231F20"/>
          <w:spacing w:val="-22"/>
          <w:w w:val="105"/>
        </w:rPr>
        <w:t> </w:t>
      </w:r>
      <w:r>
        <w:rPr>
          <w:color w:val="231F20"/>
          <w:w w:val="105"/>
        </w:rPr>
        <w:t>tenga</w:t>
      </w:r>
      <w:r>
        <w:rPr>
          <w:color w:val="231F20"/>
          <w:spacing w:val="-22"/>
          <w:w w:val="105"/>
        </w:rPr>
        <w:t> </w:t>
      </w:r>
      <w:r>
        <w:rPr>
          <w:color w:val="231F20"/>
          <w:w w:val="105"/>
        </w:rPr>
        <w:t>poco</w:t>
      </w:r>
      <w:r>
        <w:rPr>
          <w:color w:val="231F20"/>
          <w:spacing w:val="-22"/>
          <w:w w:val="105"/>
        </w:rPr>
        <w:t> </w:t>
      </w:r>
      <w:r>
        <w:rPr>
          <w:color w:val="231F20"/>
          <w:w w:val="105"/>
        </w:rPr>
        <w:t>tiempo</w:t>
      </w:r>
      <w:r>
        <w:rPr>
          <w:color w:val="231F20"/>
          <w:spacing w:val="-22"/>
          <w:w w:val="105"/>
        </w:rPr>
        <w:t> </w:t>
      </w:r>
      <w:r>
        <w:rPr>
          <w:color w:val="231F20"/>
          <w:w w:val="105"/>
        </w:rPr>
        <w:t>de</w:t>
      </w:r>
      <w:r>
        <w:rPr>
          <w:color w:val="231F20"/>
          <w:spacing w:val="-22"/>
          <w:w w:val="105"/>
        </w:rPr>
        <w:t> </w:t>
      </w:r>
      <w:r>
        <w:rPr>
          <w:color w:val="231F20"/>
          <w:w w:val="105"/>
        </w:rPr>
        <w:t>vida,</w:t>
      </w:r>
      <w:r>
        <w:rPr>
          <w:color w:val="231F20"/>
          <w:spacing w:val="-28"/>
          <w:w w:val="105"/>
        </w:rPr>
        <w:t> </w:t>
      </w:r>
      <w:r>
        <w:rPr>
          <w:color w:val="231F20"/>
          <w:w w:val="105"/>
        </w:rPr>
        <w:t>por</w:t>
      </w:r>
      <w:r>
        <w:rPr>
          <w:color w:val="231F20"/>
          <w:spacing w:val="-22"/>
          <w:w w:val="105"/>
        </w:rPr>
        <w:t> </w:t>
      </w:r>
      <w:r>
        <w:rPr>
          <w:color w:val="231F20"/>
          <w:w w:val="105"/>
        </w:rPr>
        <w:t>lo</w:t>
      </w:r>
      <w:r>
        <w:rPr>
          <w:color w:val="231F20"/>
          <w:spacing w:val="-22"/>
          <w:w w:val="105"/>
        </w:rPr>
        <w:t> </w:t>
      </w:r>
      <w:r>
        <w:rPr>
          <w:color w:val="231F20"/>
          <w:w w:val="105"/>
        </w:rPr>
        <w:t>cambiante</w:t>
      </w:r>
      <w:r>
        <w:rPr>
          <w:color w:val="231F20"/>
          <w:spacing w:val="-22"/>
          <w:w w:val="105"/>
        </w:rPr>
        <w:t> </w:t>
      </w:r>
      <w:r>
        <w:rPr>
          <w:color w:val="231F20"/>
          <w:w w:val="105"/>
        </w:rPr>
        <w:t>de</w:t>
      </w:r>
      <w:r>
        <w:rPr>
          <w:color w:val="231F20"/>
          <w:spacing w:val="-22"/>
          <w:w w:val="105"/>
        </w:rPr>
        <w:t> </w:t>
      </w:r>
      <w:r>
        <w:rPr>
          <w:color w:val="231F20"/>
          <w:w w:val="105"/>
        </w:rPr>
        <w:t>las </w:t>
      </w:r>
      <w:r>
        <w:rPr>
          <w:color w:val="231F20"/>
        </w:rPr>
        <w:t>estrategias (Barney,</w:t>
      </w:r>
      <w:r>
        <w:rPr>
          <w:color w:val="231F20"/>
          <w:spacing w:val="-17"/>
        </w:rPr>
        <w:t> </w:t>
      </w:r>
      <w:r>
        <w:rPr>
          <w:color w:val="231F20"/>
        </w:rPr>
        <w:t>1991).</w:t>
      </w:r>
    </w:p>
    <w:p>
      <w:pPr>
        <w:pStyle w:val="BodyText"/>
        <w:spacing w:line="259" w:lineRule="auto"/>
        <w:ind w:left="103" w:right="108" w:firstLine="567"/>
        <w:jc w:val="both"/>
      </w:pPr>
      <w:r>
        <w:rPr>
          <w:color w:val="231F20"/>
          <w:w w:val="105"/>
        </w:rPr>
        <w:t>Los</w:t>
      </w:r>
      <w:r>
        <w:rPr>
          <w:color w:val="231F20"/>
          <w:spacing w:val="-13"/>
          <w:w w:val="105"/>
        </w:rPr>
        <w:t> </w:t>
      </w:r>
      <w:r>
        <w:rPr>
          <w:color w:val="231F20"/>
          <w:w w:val="105"/>
        </w:rPr>
        <w:t>recursos</w:t>
      </w:r>
      <w:r>
        <w:rPr>
          <w:color w:val="231F20"/>
          <w:spacing w:val="-13"/>
          <w:w w:val="105"/>
        </w:rPr>
        <w:t> </w:t>
      </w:r>
      <w:r>
        <w:rPr>
          <w:color w:val="231F20"/>
          <w:w w:val="105"/>
        </w:rPr>
        <w:t>son</w:t>
      </w:r>
      <w:r>
        <w:rPr>
          <w:color w:val="231F20"/>
          <w:spacing w:val="-13"/>
          <w:w w:val="105"/>
        </w:rPr>
        <w:t> </w:t>
      </w:r>
      <w:r>
        <w:rPr>
          <w:color w:val="231F20"/>
          <w:w w:val="105"/>
        </w:rPr>
        <w:t>la</w:t>
      </w:r>
      <w:r>
        <w:rPr>
          <w:color w:val="231F20"/>
          <w:spacing w:val="-13"/>
          <w:w w:val="105"/>
        </w:rPr>
        <w:t> </w:t>
      </w:r>
      <w:r>
        <w:rPr>
          <w:color w:val="231F20"/>
          <w:w w:val="105"/>
        </w:rPr>
        <w:t>base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capacidad</w:t>
      </w:r>
      <w:r>
        <w:rPr>
          <w:color w:val="231F20"/>
          <w:spacing w:val="-13"/>
          <w:w w:val="105"/>
        </w:rPr>
        <w:t> </w:t>
      </w:r>
      <w:r>
        <w:rPr>
          <w:color w:val="231F20"/>
          <w:w w:val="105"/>
        </w:rPr>
        <w:t>y</w:t>
      </w:r>
      <w:r>
        <w:rPr>
          <w:color w:val="231F20"/>
          <w:spacing w:val="-13"/>
          <w:w w:val="105"/>
        </w:rPr>
        <w:t> </w:t>
      </w:r>
      <w:r>
        <w:rPr>
          <w:color w:val="231F20"/>
          <w:w w:val="105"/>
        </w:rPr>
        <w:t>rentabilidad</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or- ganización</w:t>
      </w:r>
      <w:r>
        <w:rPr>
          <w:color w:val="231F20"/>
          <w:spacing w:val="-35"/>
          <w:w w:val="105"/>
        </w:rPr>
        <w:t> </w:t>
      </w:r>
      <w:r>
        <w:rPr>
          <w:color w:val="231F20"/>
          <w:w w:val="105"/>
        </w:rPr>
        <w:t>(Grant,</w:t>
      </w:r>
      <w:r>
        <w:rPr>
          <w:color w:val="231F20"/>
          <w:spacing w:val="-38"/>
          <w:w w:val="105"/>
        </w:rPr>
        <w:t> </w:t>
      </w:r>
      <w:r>
        <w:rPr>
          <w:color w:val="231F20"/>
          <w:w w:val="105"/>
        </w:rPr>
        <w:t>1991)</w:t>
      </w:r>
      <w:r>
        <w:rPr>
          <w:color w:val="231F20"/>
          <w:spacing w:val="-35"/>
          <w:w w:val="105"/>
        </w:rPr>
        <w:t> </w:t>
      </w:r>
      <w:r>
        <w:rPr>
          <w:color w:val="231F20"/>
          <w:w w:val="105"/>
        </w:rPr>
        <w:t>e</w:t>
      </w:r>
      <w:r>
        <w:rPr>
          <w:color w:val="231F20"/>
          <w:spacing w:val="-35"/>
          <w:w w:val="105"/>
        </w:rPr>
        <w:t> </w:t>
      </w:r>
      <w:r>
        <w:rPr>
          <w:color w:val="231F20"/>
          <w:w w:val="105"/>
        </w:rPr>
        <w:t>incluyen</w:t>
      </w:r>
      <w:r>
        <w:rPr>
          <w:color w:val="231F20"/>
          <w:spacing w:val="-35"/>
          <w:w w:val="105"/>
        </w:rPr>
        <w:t> </w:t>
      </w:r>
      <w:r>
        <w:rPr>
          <w:color w:val="231F20"/>
          <w:w w:val="105"/>
        </w:rPr>
        <w:t>cualquier</w:t>
      </w:r>
      <w:r>
        <w:rPr>
          <w:color w:val="231F20"/>
          <w:spacing w:val="-35"/>
          <w:w w:val="105"/>
        </w:rPr>
        <w:t> </w:t>
      </w:r>
      <w:r>
        <w:rPr>
          <w:color w:val="231F20"/>
          <w:w w:val="105"/>
        </w:rPr>
        <w:t>cosa</w:t>
      </w:r>
      <w:r>
        <w:rPr>
          <w:color w:val="231F20"/>
          <w:spacing w:val="-35"/>
          <w:w w:val="105"/>
        </w:rPr>
        <w:t> </w:t>
      </w:r>
      <w:r>
        <w:rPr>
          <w:color w:val="231F20"/>
          <w:w w:val="105"/>
        </w:rPr>
        <w:t>(activos,</w:t>
      </w:r>
      <w:r>
        <w:rPr>
          <w:color w:val="231F20"/>
          <w:spacing w:val="-38"/>
          <w:w w:val="105"/>
        </w:rPr>
        <w:t> </w:t>
      </w:r>
      <w:r>
        <w:rPr>
          <w:color w:val="231F20"/>
          <w:w w:val="105"/>
        </w:rPr>
        <w:t>capacidades, procesos,</w:t>
      </w:r>
      <w:r>
        <w:rPr>
          <w:color w:val="231F20"/>
          <w:spacing w:val="-28"/>
          <w:w w:val="105"/>
        </w:rPr>
        <w:t> </w:t>
      </w:r>
      <w:r>
        <w:rPr>
          <w:color w:val="231F20"/>
          <w:w w:val="105"/>
        </w:rPr>
        <w:t>atributos</w:t>
      </w:r>
      <w:r>
        <w:rPr>
          <w:color w:val="231F20"/>
          <w:spacing w:val="-23"/>
          <w:w w:val="105"/>
        </w:rPr>
        <w:t> </w:t>
      </w:r>
      <w:r>
        <w:rPr>
          <w:color w:val="231F20"/>
          <w:w w:val="105"/>
        </w:rPr>
        <w:t>gerenciales,</w:t>
      </w:r>
      <w:r>
        <w:rPr>
          <w:color w:val="231F20"/>
          <w:spacing w:val="-28"/>
          <w:w w:val="105"/>
        </w:rPr>
        <w:t> </w:t>
      </w:r>
      <w:r>
        <w:rPr>
          <w:color w:val="231F20"/>
          <w:w w:val="105"/>
        </w:rPr>
        <w:t>información,</w:t>
      </w:r>
      <w:r>
        <w:rPr>
          <w:color w:val="231F20"/>
          <w:spacing w:val="-28"/>
          <w:w w:val="105"/>
        </w:rPr>
        <w:t> </w:t>
      </w:r>
      <w:r>
        <w:rPr>
          <w:color w:val="231F20"/>
          <w:w w:val="105"/>
        </w:rPr>
        <w:t>conocimiento,</w:t>
      </w:r>
      <w:r>
        <w:rPr>
          <w:color w:val="231F20"/>
          <w:spacing w:val="-28"/>
          <w:w w:val="105"/>
        </w:rPr>
        <w:t> </w:t>
      </w:r>
      <w:r>
        <w:rPr>
          <w:color w:val="231F20"/>
          <w:w w:val="105"/>
        </w:rPr>
        <w:t>capital</w:t>
      </w:r>
      <w:r>
        <w:rPr>
          <w:color w:val="231F20"/>
          <w:spacing w:val="-23"/>
          <w:w w:val="105"/>
        </w:rPr>
        <w:t> </w:t>
      </w:r>
      <w:r>
        <w:rPr>
          <w:color w:val="231F20"/>
          <w:w w:val="105"/>
        </w:rPr>
        <w:t>físico y</w:t>
      </w:r>
      <w:r>
        <w:rPr>
          <w:color w:val="231F20"/>
          <w:spacing w:val="-8"/>
          <w:w w:val="105"/>
        </w:rPr>
        <w:t> </w:t>
      </w:r>
      <w:r>
        <w:rPr>
          <w:color w:val="231F20"/>
          <w:w w:val="105"/>
        </w:rPr>
        <w:t>capital</w:t>
      </w:r>
      <w:r>
        <w:rPr>
          <w:color w:val="231F20"/>
          <w:spacing w:val="-8"/>
          <w:w w:val="105"/>
        </w:rPr>
        <w:t> </w:t>
      </w:r>
      <w:r>
        <w:rPr>
          <w:color w:val="231F20"/>
          <w:w w:val="105"/>
        </w:rPr>
        <w:t>humano,</w:t>
      </w:r>
      <w:r>
        <w:rPr>
          <w:color w:val="231F20"/>
          <w:spacing w:val="-14"/>
          <w:w w:val="105"/>
        </w:rPr>
        <w:t> </w:t>
      </w:r>
      <w:r>
        <w:rPr>
          <w:color w:val="231F20"/>
          <w:w w:val="105"/>
        </w:rPr>
        <w:t>por</w:t>
      </w:r>
      <w:r>
        <w:rPr>
          <w:color w:val="231F20"/>
          <w:spacing w:val="-8"/>
          <w:w w:val="105"/>
        </w:rPr>
        <w:t> </w:t>
      </w:r>
      <w:r>
        <w:rPr>
          <w:color w:val="231F20"/>
          <w:w w:val="105"/>
        </w:rPr>
        <w:t>ejemplo)</w:t>
      </w:r>
      <w:r>
        <w:rPr>
          <w:color w:val="231F20"/>
          <w:spacing w:val="-8"/>
          <w:w w:val="105"/>
        </w:rPr>
        <w:t> </w:t>
      </w:r>
      <w:r>
        <w:rPr>
          <w:color w:val="231F20"/>
          <w:w w:val="105"/>
        </w:rPr>
        <w:t>que</w:t>
      </w:r>
      <w:r>
        <w:rPr>
          <w:color w:val="231F20"/>
          <w:spacing w:val="-8"/>
          <w:w w:val="105"/>
        </w:rPr>
        <w:t> </w:t>
      </w:r>
      <w:r>
        <w:rPr>
          <w:color w:val="231F20"/>
          <w:w w:val="105"/>
        </w:rPr>
        <w:t>pueda</w:t>
      </w:r>
      <w:r>
        <w:rPr>
          <w:color w:val="231F20"/>
          <w:spacing w:val="-8"/>
          <w:w w:val="105"/>
        </w:rPr>
        <w:t> </w:t>
      </w:r>
      <w:r>
        <w:rPr>
          <w:color w:val="231F20"/>
          <w:w w:val="105"/>
        </w:rPr>
        <w:t>ser</w:t>
      </w:r>
      <w:r>
        <w:rPr>
          <w:color w:val="231F20"/>
          <w:spacing w:val="-8"/>
          <w:w w:val="105"/>
        </w:rPr>
        <w:t> </w:t>
      </w:r>
      <w:r>
        <w:rPr>
          <w:color w:val="231F20"/>
          <w:w w:val="105"/>
        </w:rPr>
        <w:t>controlada</w:t>
      </w:r>
      <w:r>
        <w:rPr>
          <w:color w:val="231F20"/>
          <w:spacing w:val="-8"/>
          <w:w w:val="105"/>
        </w:rPr>
        <w:t> </w:t>
      </w:r>
      <w:r>
        <w:rPr>
          <w:color w:val="231F20"/>
          <w:w w:val="105"/>
        </w:rPr>
        <w:t>y</w:t>
      </w:r>
      <w:r>
        <w:rPr>
          <w:color w:val="231F20"/>
          <w:spacing w:val="-8"/>
          <w:w w:val="105"/>
        </w:rPr>
        <w:t> </w:t>
      </w:r>
      <w:r>
        <w:rPr>
          <w:color w:val="231F20"/>
          <w:w w:val="105"/>
        </w:rPr>
        <w:t>utilizada</w:t>
      </w:r>
      <w:r>
        <w:rPr>
          <w:color w:val="231F20"/>
          <w:spacing w:val="-8"/>
          <w:w w:val="105"/>
        </w:rPr>
        <w:t> </w:t>
      </w:r>
      <w:r>
        <w:rPr>
          <w:color w:val="231F20"/>
          <w:w w:val="105"/>
        </w:rPr>
        <w:t>por la empresa para planear e implementar estrategias que mejoren su</w:t>
      </w:r>
      <w:r>
        <w:rPr>
          <w:color w:val="231F20"/>
          <w:spacing w:val="-26"/>
          <w:w w:val="105"/>
        </w:rPr>
        <w:t> </w:t>
      </w:r>
      <w:r>
        <w:rPr>
          <w:color w:val="231F20"/>
          <w:w w:val="105"/>
        </w:rPr>
        <w:t>efi- ciencia</w:t>
      </w:r>
      <w:r>
        <w:rPr>
          <w:color w:val="231F20"/>
          <w:spacing w:val="-34"/>
          <w:w w:val="105"/>
        </w:rPr>
        <w:t> </w:t>
      </w:r>
      <w:r>
        <w:rPr>
          <w:color w:val="231F20"/>
          <w:w w:val="105"/>
        </w:rPr>
        <w:t>y</w:t>
      </w:r>
      <w:r>
        <w:rPr>
          <w:color w:val="231F20"/>
          <w:spacing w:val="-34"/>
          <w:w w:val="105"/>
        </w:rPr>
        <w:t> </w:t>
      </w:r>
      <w:r>
        <w:rPr>
          <w:color w:val="231F20"/>
          <w:w w:val="105"/>
        </w:rPr>
        <w:t>efectividad</w:t>
      </w:r>
      <w:r>
        <w:rPr>
          <w:color w:val="231F20"/>
          <w:spacing w:val="-34"/>
          <w:w w:val="105"/>
        </w:rPr>
        <w:t> </w:t>
      </w:r>
      <w:r>
        <w:rPr>
          <w:color w:val="231F20"/>
          <w:w w:val="105"/>
        </w:rPr>
        <w:t>(Barney,</w:t>
      </w:r>
      <w:r>
        <w:rPr>
          <w:color w:val="231F20"/>
          <w:spacing w:val="-38"/>
          <w:w w:val="105"/>
        </w:rPr>
        <w:t> </w:t>
      </w:r>
      <w:r>
        <w:rPr>
          <w:color w:val="231F20"/>
          <w:w w:val="105"/>
        </w:rPr>
        <w:t>1991).</w:t>
      </w:r>
    </w:p>
    <w:p>
      <w:pPr>
        <w:pStyle w:val="BodyText"/>
        <w:rPr>
          <w:sz w:val="20"/>
        </w:rPr>
      </w:pPr>
    </w:p>
    <w:p>
      <w:pPr>
        <w:pStyle w:val="BodyText"/>
        <w:rPr>
          <w:sz w:val="20"/>
        </w:rPr>
      </w:pPr>
    </w:p>
    <w:p>
      <w:pPr>
        <w:pStyle w:val="BodyText"/>
        <w:rPr>
          <w:sz w:val="19"/>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637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26</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7"/>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328"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27</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pStyle w:val="BodyText"/>
        <w:spacing w:line="259" w:lineRule="auto" w:before="169"/>
        <w:ind w:left="117" w:right="115"/>
        <w:jc w:val="both"/>
      </w:pPr>
      <w:r>
        <w:rPr>
          <w:color w:val="231F20"/>
          <w:w w:val="105"/>
        </w:rPr>
        <w:t>De</w:t>
      </w:r>
      <w:r>
        <w:rPr>
          <w:color w:val="231F20"/>
          <w:spacing w:val="-31"/>
          <w:w w:val="105"/>
        </w:rPr>
        <w:t> </w:t>
      </w:r>
      <w:r>
        <w:rPr>
          <w:color w:val="231F20"/>
          <w:w w:val="105"/>
        </w:rPr>
        <w:t>acuerdo</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5"/>
          <w:w w:val="105"/>
        </w:rPr>
        <w:t> </w:t>
      </w:r>
      <w:r>
        <w:rPr>
          <w:color w:val="231F20"/>
          <w:w w:val="105"/>
        </w:rPr>
        <w:t>TRyC,</w:t>
      </w:r>
      <w:r>
        <w:rPr>
          <w:color w:val="231F20"/>
          <w:spacing w:val="-35"/>
          <w:w w:val="105"/>
        </w:rPr>
        <w:t> </w:t>
      </w:r>
      <w:r>
        <w:rPr>
          <w:color w:val="231F20"/>
          <w:w w:val="105"/>
        </w:rPr>
        <w:t>perspectiva</w:t>
      </w:r>
      <w:r>
        <w:rPr>
          <w:color w:val="231F20"/>
          <w:spacing w:val="-31"/>
          <w:w w:val="105"/>
        </w:rPr>
        <w:t> </w:t>
      </w:r>
      <w:r>
        <w:rPr>
          <w:color w:val="231F20"/>
          <w:w w:val="105"/>
        </w:rPr>
        <w:t>generada</w:t>
      </w:r>
      <w:r>
        <w:rPr>
          <w:color w:val="231F20"/>
          <w:spacing w:val="-31"/>
          <w:w w:val="105"/>
        </w:rPr>
        <w:t> </w:t>
      </w:r>
      <w:r>
        <w:rPr>
          <w:color w:val="231F20"/>
          <w:w w:val="105"/>
        </w:rPr>
        <w:t>por</w:t>
      </w:r>
      <w:r>
        <w:rPr>
          <w:color w:val="231F20"/>
          <w:spacing w:val="-31"/>
          <w:w w:val="105"/>
        </w:rPr>
        <w:t> </w:t>
      </w:r>
      <w:r>
        <w:rPr>
          <w:color w:val="231F20"/>
          <w:w w:val="105"/>
        </w:rPr>
        <w:t>Edith</w:t>
      </w:r>
      <w:r>
        <w:rPr>
          <w:color w:val="231F20"/>
          <w:spacing w:val="-31"/>
          <w:w w:val="105"/>
        </w:rPr>
        <w:t> </w:t>
      </w:r>
      <w:r>
        <w:rPr>
          <w:color w:val="231F20"/>
          <w:spacing w:val="-3"/>
          <w:w w:val="105"/>
        </w:rPr>
        <w:t>Penrose</w:t>
      </w:r>
      <w:r>
        <w:rPr>
          <w:color w:val="231F20"/>
          <w:spacing w:val="-31"/>
          <w:w w:val="105"/>
        </w:rPr>
        <w:t> </w:t>
      </w:r>
      <w:r>
        <w:rPr>
          <w:color w:val="231F20"/>
          <w:w w:val="105"/>
        </w:rPr>
        <w:t>como</w:t>
      </w:r>
      <w:r>
        <w:rPr>
          <w:color w:val="231F20"/>
          <w:spacing w:val="-31"/>
          <w:w w:val="105"/>
        </w:rPr>
        <w:t> </w:t>
      </w:r>
      <w:r>
        <w:rPr>
          <w:color w:val="231F20"/>
          <w:w w:val="105"/>
        </w:rPr>
        <w:t>una teoría</w:t>
      </w:r>
      <w:r>
        <w:rPr>
          <w:color w:val="231F20"/>
          <w:spacing w:val="-26"/>
          <w:w w:val="105"/>
        </w:rPr>
        <w:t> </w:t>
      </w:r>
      <w:r>
        <w:rPr>
          <w:color w:val="231F20"/>
          <w:w w:val="105"/>
        </w:rPr>
        <w:t>de</w:t>
      </w:r>
      <w:r>
        <w:rPr>
          <w:color w:val="231F20"/>
          <w:spacing w:val="-26"/>
          <w:w w:val="105"/>
        </w:rPr>
        <w:t> </w:t>
      </w:r>
      <w:r>
        <w:rPr>
          <w:color w:val="231F20"/>
          <w:w w:val="105"/>
        </w:rPr>
        <w:t>crecimiento</w:t>
      </w:r>
      <w:r>
        <w:rPr>
          <w:color w:val="231F20"/>
          <w:spacing w:val="-26"/>
          <w:w w:val="105"/>
        </w:rPr>
        <w:t> </w:t>
      </w:r>
      <w:r>
        <w:rPr>
          <w:color w:val="231F20"/>
          <w:w w:val="105"/>
        </w:rPr>
        <w:t>organizacional</w:t>
      </w:r>
      <w:r>
        <w:rPr>
          <w:color w:val="231F20"/>
          <w:spacing w:val="-26"/>
          <w:w w:val="105"/>
        </w:rPr>
        <w:t> </w:t>
      </w:r>
      <w:r>
        <w:rPr>
          <w:color w:val="231F20"/>
          <w:w w:val="105"/>
        </w:rPr>
        <w:t>basada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conocimiento</w:t>
      </w:r>
      <w:r>
        <w:rPr>
          <w:color w:val="231F20"/>
          <w:spacing w:val="-26"/>
          <w:w w:val="105"/>
        </w:rPr>
        <w:t> </w:t>
      </w:r>
      <w:r>
        <w:rPr>
          <w:color w:val="231F20"/>
          <w:w w:val="105"/>
        </w:rPr>
        <w:t>(Barney, 1996),</w:t>
      </w:r>
      <w:r>
        <w:rPr>
          <w:color w:val="231F20"/>
          <w:spacing w:val="-22"/>
          <w:w w:val="105"/>
        </w:rPr>
        <w:t> </w:t>
      </w:r>
      <w:r>
        <w:rPr>
          <w:color w:val="231F20"/>
          <w:w w:val="105"/>
        </w:rPr>
        <w:t>la</w:t>
      </w:r>
      <w:r>
        <w:rPr>
          <w:color w:val="231F20"/>
          <w:spacing w:val="-17"/>
          <w:w w:val="105"/>
        </w:rPr>
        <w:t> </w:t>
      </w:r>
      <w:r>
        <w:rPr>
          <w:color w:val="231F20"/>
          <w:w w:val="105"/>
        </w:rPr>
        <w:t>ventaja</w:t>
      </w:r>
      <w:r>
        <w:rPr>
          <w:color w:val="231F20"/>
          <w:spacing w:val="-17"/>
          <w:w w:val="105"/>
        </w:rPr>
        <w:t> </w:t>
      </w:r>
      <w:r>
        <w:rPr>
          <w:color w:val="231F20"/>
          <w:w w:val="105"/>
        </w:rPr>
        <w:t>competitiva</w:t>
      </w:r>
      <w:r>
        <w:rPr>
          <w:color w:val="231F20"/>
          <w:spacing w:val="-17"/>
          <w:w w:val="105"/>
        </w:rPr>
        <w:t> </w:t>
      </w:r>
      <w:r>
        <w:rPr>
          <w:color w:val="231F20"/>
          <w:w w:val="105"/>
        </w:rPr>
        <w:t>sostenida</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w w:val="105"/>
        </w:rPr>
        <w:t>organización</w:t>
      </w:r>
      <w:r>
        <w:rPr>
          <w:color w:val="231F20"/>
          <w:spacing w:val="-17"/>
          <w:w w:val="105"/>
        </w:rPr>
        <w:t> </w:t>
      </w:r>
      <w:r>
        <w:rPr>
          <w:color w:val="231F20"/>
          <w:w w:val="105"/>
        </w:rPr>
        <w:t>está</w:t>
      </w:r>
      <w:r>
        <w:rPr>
          <w:color w:val="231F20"/>
          <w:spacing w:val="-17"/>
          <w:w w:val="105"/>
        </w:rPr>
        <w:t> </w:t>
      </w:r>
      <w:r>
        <w:rPr>
          <w:color w:val="231F20"/>
          <w:w w:val="105"/>
        </w:rPr>
        <w:t>en</w:t>
      </w:r>
      <w:r>
        <w:rPr>
          <w:color w:val="231F20"/>
          <w:spacing w:val="-17"/>
          <w:w w:val="105"/>
        </w:rPr>
        <w:t> </w:t>
      </w:r>
      <w:r>
        <w:rPr>
          <w:color w:val="231F20"/>
          <w:w w:val="105"/>
        </w:rPr>
        <w:t>fun- ción del control interno y la combinación de sus recursos. </w:t>
      </w:r>
      <w:r>
        <w:rPr>
          <w:color w:val="231F20"/>
          <w:spacing w:val="-4"/>
          <w:w w:val="105"/>
        </w:rPr>
        <w:t>Para </w:t>
      </w:r>
      <w:r>
        <w:rPr>
          <w:color w:val="231F20"/>
          <w:w w:val="105"/>
        </w:rPr>
        <w:t>ello se requiere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implementación</w:t>
      </w:r>
      <w:r>
        <w:rPr>
          <w:color w:val="231F20"/>
          <w:spacing w:val="-5"/>
          <w:w w:val="105"/>
        </w:rPr>
        <w:t> </w:t>
      </w:r>
      <w:r>
        <w:rPr>
          <w:color w:val="231F20"/>
          <w:w w:val="105"/>
        </w:rPr>
        <w:t>de</w:t>
      </w:r>
      <w:r>
        <w:rPr>
          <w:color w:val="231F20"/>
          <w:spacing w:val="-5"/>
          <w:w w:val="105"/>
        </w:rPr>
        <w:t> </w:t>
      </w:r>
      <w:r>
        <w:rPr>
          <w:color w:val="231F20"/>
          <w:w w:val="105"/>
        </w:rPr>
        <w:t>una</w:t>
      </w:r>
      <w:r>
        <w:rPr>
          <w:color w:val="231F20"/>
          <w:spacing w:val="-5"/>
          <w:w w:val="105"/>
        </w:rPr>
        <w:t> </w:t>
      </w:r>
      <w:r>
        <w:rPr>
          <w:color w:val="231F20"/>
          <w:w w:val="105"/>
        </w:rPr>
        <w:t>estrategia</w:t>
      </w:r>
      <w:r>
        <w:rPr>
          <w:color w:val="231F20"/>
          <w:spacing w:val="-5"/>
          <w:w w:val="105"/>
        </w:rPr>
        <w:t> </w:t>
      </w:r>
      <w:r>
        <w:rPr>
          <w:color w:val="231F20"/>
          <w:w w:val="105"/>
        </w:rPr>
        <w:t>creadora</w:t>
      </w:r>
      <w:r>
        <w:rPr>
          <w:color w:val="231F20"/>
          <w:spacing w:val="-5"/>
          <w:w w:val="105"/>
        </w:rPr>
        <w:t> </w:t>
      </w:r>
      <w:r>
        <w:rPr>
          <w:color w:val="231F20"/>
          <w:w w:val="105"/>
        </w:rPr>
        <w:t>de</w:t>
      </w:r>
      <w:r>
        <w:rPr>
          <w:color w:val="231F20"/>
          <w:spacing w:val="-5"/>
          <w:w w:val="105"/>
        </w:rPr>
        <w:t> </w:t>
      </w:r>
      <w:r>
        <w:rPr>
          <w:color w:val="231F20"/>
          <w:w w:val="105"/>
        </w:rPr>
        <w:t>valor</w:t>
      </w:r>
      <w:r>
        <w:rPr>
          <w:color w:val="231F20"/>
          <w:w w:val="105"/>
          <w:position w:val="7"/>
          <w:sz w:val="12"/>
        </w:rPr>
        <w:t>2</w:t>
      </w:r>
      <w:r>
        <w:rPr>
          <w:color w:val="231F20"/>
          <w:w w:val="105"/>
        </w:rPr>
        <w:t>,</w:t>
      </w:r>
      <w:r>
        <w:rPr>
          <w:color w:val="231F20"/>
          <w:spacing w:val="-11"/>
          <w:w w:val="105"/>
        </w:rPr>
        <w:t> </w:t>
      </w:r>
      <w:r>
        <w:rPr>
          <w:color w:val="231F20"/>
          <w:w w:val="105"/>
        </w:rPr>
        <w:t>re- conociendo</w:t>
      </w:r>
      <w:r>
        <w:rPr>
          <w:color w:val="231F20"/>
          <w:spacing w:val="-14"/>
          <w:w w:val="105"/>
        </w:rPr>
        <w:t> </w:t>
      </w:r>
      <w:r>
        <w:rPr>
          <w:color w:val="231F20"/>
          <w:w w:val="105"/>
        </w:rPr>
        <w:t>la</w:t>
      </w:r>
      <w:r>
        <w:rPr>
          <w:color w:val="231F20"/>
          <w:spacing w:val="-14"/>
          <w:w w:val="105"/>
        </w:rPr>
        <w:t> </w:t>
      </w:r>
      <w:r>
        <w:rPr>
          <w:color w:val="231F20"/>
          <w:w w:val="105"/>
        </w:rPr>
        <w:t>naturaleza</w:t>
      </w:r>
      <w:r>
        <w:rPr>
          <w:color w:val="231F20"/>
          <w:spacing w:val="-14"/>
          <w:w w:val="105"/>
        </w:rPr>
        <w:t> </w:t>
      </w:r>
      <w:r>
        <w:rPr>
          <w:color w:val="231F20"/>
          <w:w w:val="105"/>
        </w:rPr>
        <w:t>dinámica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capacidades:</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w w:val="105"/>
        </w:rPr>
        <w:t>creación de nuevos recursos; para obtener utilidades al usar los recursos y</w:t>
      </w:r>
      <w:r>
        <w:rPr>
          <w:color w:val="231F20"/>
          <w:spacing w:val="-26"/>
          <w:w w:val="105"/>
        </w:rPr>
        <w:t> </w:t>
      </w:r>
      <w:r>
        <w:rPr>
          <w:color w:val="231F20"/>
          <w:w w:val="105"/>
        </w:rPr>
        <w:t>para concebir</w:t>
      </w:r>
      <w:r>
        <w:rPr>
          <w:color w:val="231F20"/>
          <w:spacing w:val="-36"/>
          <w:w w:val="105"/>
        </w:rPr>
        <w:t> </w:t>
      </w:r>
      <w:r>
        <w:rPr>
          <w:color w:val="231F20"/>
          <w:w w:val="105"/>
        </w:rPr>
        <w:t>nuevos</w:t>
      </w:r>
      <w:r>
        <w:rPr>
          <w:color w:val="231F20"/>
          <w:spacing w:val="-36"/>
          <w:w w:val="105"/>
        </w:rPr>
        <w:t> </w:t>
      </w:r>
      <w:r>
        <w:rPr>
          <w:color w:val="231F20"/>
          <w:w w:val="105"/>
        </w:rPr>
        <w:t>usos</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recursos</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w w:val="105"/>
        </w:rPr>
        <w:t>organización.</w:t>
      </w:r>
      <w:r>
        <w:rPr>
          <w:color w:val="231F20"/>
          <w:spacing w:val="-41"/>
          <w:w w:val="105"/>
        </w:rPr>
        <w:t> </w:t>
      </w:r>
      <w:r>
        <w:rPr>
          <w:color w:val="231F20"/>
          <w:w w:val="105"/>
        </w:rPr>
        <w:t>Juntos,</w:t>
      </w:r>
      <w:r>
        <w:rPr>
          <w:color w:val="231F20"/>
          <w:spacing w:val="-40"/>
          <w:w w:val="105"/>
        </w:rPr>
        <w:t> </w:t>
      </w:r>
      <w:r>
        <w:rPr>
          <w:color w:val="231F20"/>
          <w:w w:val="105"/>
        </w:rPr>
        <w:t>recursos y capacidades, deben reunir cuatro condiciones para ser considerados fuente de ventaja competitiva sostenida: ser estratégicamente útiles</w:t>
      </w:r>
      <w:r>
        <w:rPr>
          <w:color w:val="231F20"/>
          <w:spacing w:val="-21"/>
          <w:w w:val="105"/>
        </w:rPr>
        <w:t> </w:t>
      </w:r>
      <w:r>
        <w:rPr>
          <w:color w:val="231F20"/>
          <w:w w:val="105"/>
        </w:rPr>
        <w:t>en el sentido de que puedan utilizarse para aprovechar las oportunidades del</w:t>
      </w:r>
      <w:r>
        <w:rPr>
          <w:color w:val="231F20"/>
          <w:spacing w:val="-15"/>
          <w:w w:val="105"/>
        </w:rPr>
        <w:t> </w:t>
      </w:r>
      <w:r>
        <w:rPr>
          <w:color w:val="231F20"/>
          <w:w w:val="105"/>
        </w:rPr>
        <w:t>entorno;</w:t>
      </w:r>
      <w:r>
        <w:rPr>
          <w:color w:val="231F20"/>
          <w:spacing w:val="-15"/>
          <w:w w:val="105"/>
        </w:rPr>
        <w:t> </w:t>
      </w:r>
      <w:r>
        <w:rPr>
          <w:color w:val="231F20"/>
          <w:w w:val="105"/>
        </w:rPr>
        <w:t>ser</w:t>
      </w:r>
      <w:r>
        <w:rPr>
          <w:color w:val="231F20"/>
          <w:spacing w:val="-15"/>
          <w:w w:val="105"/>
        </w:rPr>
        <w:t> </w:t>
      </w:r>
      <w:r>
        <w:rPr>
          <w:color w:val="231F20"/>
          <w:w w:val="105"/>
        </w:rPr>
        <w:t>raros,</w:t>
      </w:r>
      <w:r>
        <w:rPr>
          <w:color w:val="231F20"/>
          <w:spacing w:val="-22"/>
          <w:w w:val="105"/>
        </w:rPr>
        <w:t> </w:t>
      </w:r>
      <w:r>
        <w:rPr>
          <w:color w:val="231F20"/>
          <w:w w:val="105"/>
        </w:rPr>
        <w:t>es</w:t>
      </w:r>
      <w:r>
        <w:rPr>
          <w:color w:val="231F20"/>
          <w:spacing w:val="-15"/>
          <w:w w:val="105"/>
        </w:rPr>
        <w:t> </w:t>
      </w:r>
      <w:r>
        <w:rPr>
          <w:color w:val="231F20"/>
          <w:w w:val="105"/>
        </w:rPr>
        <w:t>decir,</w:t>
      </w:r>
      <w:r>
        <w:rPr>
          <w:color w:val="231F20"/>
          <w:spacing w:val="-22"/>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los</w:t>
      </w:r>
      <w:r>
        <w:rPr>
          <w:color w:val="231F20"/>
          <w:spacing w:val="-15"/>
          <w:w w:val="105"/>
        </w:rPr>
        <w:t> </w:t>
      </w:r>
      <w:r>
        <w:rPr>
          <w:color w:val="231F20"/>
          <w:w w:val="105"/>
        </w:rPr>
        <w:t>posea</w:t>
      </w:r>
      <w:r>
        <w:rPr>
          <w:color w:val="231F20"/>
          <w:spacing w:val="-15"/>
          <w:w w:val="105"/>
        </w:rPr>
        <w:t> </w:t>
      </w:r>
      <w:r>
        <w:rPr>
          <w:color w:val="231F20"/>
          <w:w w:val="105"/>
        </w:rPr>
        <w:t>la</w:t>
      </w:r>
      <w:r>
        <w:rPr>
          <w:color w:val="231F20"/>
          <w:spacing w:val="-15"/>
          <w:w w:val="105"/>
        </w:rPr>
        <w:t> </w:t>
      </w:r>
      <w:r>
        <w:rPr>
          <w:color w:val="231F20"/>
          <w:w w:val="105"/>
        </w:rPr>
        <w:t>competencia;</w:t>
      </w:r>
      <w:r>
        <w:rPr>
          <w:color w:val="231F20"/>
          <w:spacing w:val="-15"/>
          <w:w w:val="105"/>
        </w:rPr>
        <w:t> </w:t>
      </w:r>
      <w:r>
        <w:rPr>
          <w:color w:val="231F20"/>
          <w:w w:val="105"/>
        </w:rPr>
        <w:t>ser</w:t>
      </w:r>
      <w:r>
        <w:rPr>
          <w:color w:val="231F20"/>
          <w:spacing w:val="-15"/>
          <w:w w:val="105"/>
        </w:rPr>
        <w:t> </w:t>
      </w:r>
      <w:r>
        <w:rPr>
          <w:color w:val="231F20"/>
          <w:w w:val="105"/>
        </w:rPr>
        <w:t>ini- mitables,</w:t>
      </w:r>
      <w:r>
        <w:rPr>
          <w:color w:val="231F20"/>
          <w:spacing w:val="-24"/>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logra</w:t>
      </w:r>
      <w:r>
        <w:rPr>
          <w:color w:val="231F20"/>
          <w:spacing w:val="-19"/>
          <w:w w:val="105"/>
        </w:rPr>
        <w:t> </w:t>
      </w:r>
      <w:r>
        <w:rPr>
          <w:color w:val="231F20"/>
          <w:w w:val="105"/>
        </w:rPr>
        <w:t>cuando</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son</w:t>
      </w:r>
      <w:r>
        <w:rPr>
          <w:color w:val="231F20"/>
          <w:spacing w:val="-19"/>
          <w:w w:val="105"/>
        </w:rPr>
        <w:t> </w:t>
      </w:r>
      <w:r>
        <w:rPr>
          <w:color w:val="231F20"/>
          <w:w w:val="105"/>
        </w:rPr>
        <w:t>creados</w:t>
      </w:r>
      <w:r>
        <w:rPr>
          <w:color w:val="231F20"/>
          <w:spacing w:val="-19"/>
          <w:w w:val="105"/>
        </w:rPr>
        <w:t> </w:t>
      </w:r>
      <w:r>
        <w:rPr>
          <w:color w:val="231F20"/>
          <w:w w:val="105"/>
        </w:rPr>
        <w:t>o</w:t>
      </w:r>
      <w:r>
        <w:rPr>
          <w:color w:val="231F20"/>
          <w:spacing w:val="-19"/>
          <w:w w:val="105"/>
        </w:rPr>
        <w:t> </w:t>
      </w:r>
      <w:r>
        <w:rPr>
          <w:color w:val="231F20"/>
          <w:w w:val="105"/>
        </w:rPr>
        <w:t>adquiridos</w:t>
      </w:r>
      <w:r>
        <w:rPr>
          <w:color w:val="231F20"/>
          <w:spacing w:val="-19"/>
          <w:w w:val="105"/>
        </w:rPr>
        <w:t> </w:t>
      </w:r>
      <w:r>
        <w:rPr>
          <w:color w:val="231F20"/>
          <w:w w:val="105"/>
        </w:rPr>
        <w:t>a través</w:t>
      </w:r>
      <w:r>
        <w:rPr>
          <w:color w:val="231F20"/>
          <w:spacing w:val="-16"/>
          <w:w w:val="105"/>
        </w:rPr>
        <w:t> </w:t>
      </w:r>
      <w:r>
        <w:rPr>
          <w:color w:val="231F20"/>
          <w:w w:val="105"/>
        </w:rPr>
        <w:t>de</w:t>
      </w:r>
      <w:r>
        <w:rPr>
          <w:color w:val="231F20"/>
          <w:spacing w:val="-16"/>
          <w:w w:val="105"/>
        </w:rPr>
        <w:t> </w:t>
      </w:r>
      <w:r>
        <w:rPr>
          <w:color w:val="231F20"/>
          <w:w w:val="105"/>
        </w:rPr>
        <w:t>condiciones</w:t>
      </w:r>
      <w:r>
        <w:rPr>
          <w:color w:val="231F20"/>
          <w:spacing w:val="-16"/>
          <w:w w:val="105"/>
        </w:rPr>
        <w:t> </w:t>
      </w:r>
      <w:r>
        <w:rPr>
          <w:color w:val="231F20"/>
          <w:w w:val="105"/>
        </w:rPr>
        <w:t>históricas</w:t>
      </w:r>
      <w:r>
        <w:rPr>
          <w:color w:val="231F20"/>
          <w:spacing w:val="-16"/>
          <w:w w:val="105"/>
        </w:rPr>
        <w:t> </w:t>
      </w:r>
      <w:r>
        <w:rPr>
          <w:color w:val="231F20"/>
          <w:w w:val="105"/>
        </w:rPr>
        <w:t>únicas</w:t>
      </w:r>
      <w:r>
        <w:rPr>
          <w:color w:val="231F20"/>
          <w:spacing w:val="-16"/>
          <w:w w:val="105"/>
        </w:rPr>
        <w:t> </w:t>
      </w:r>
      <w:r>
        <w:rPr>
          <w:color w:val="231F20"/>
          <w:w w:val="105"/>
        </w:rPr>
        <w:t>o</w:t>
      </w:r>
      <w:r>
        <w:rPr>
          <w:color w:val="231F20"/>
          <w:spacing w:val="-16"/>
          <w:w w:val="105"/>
        </w:rPr>
        <w:t> </w:t>
      </w:r>
      <w:r>
        <w:rPr>
          <w:color w:val="231F20"/>
          <w:w w:val="105"/>
        </w:rPr>
        <w:t>cuando</w:t>
      </w:r>
      <w:r>
        <w:rPr>
          <w:color w:val="231F20"/>
          <w:spacing w:val="-16"/>
          <w:w w:val="105"/>
        </w:rPr>
        <w:t> </w:t>
      </w:r>
      <w:r>
        <w:rPr>
          <w:color w:val="231F20"/>
          <w:w w:val="105"/>
        </w:rPr>
        <w:t>son</w:t>
      </w:r>
      <w:r>
        <w:rPr>
          <w:color w:val="231F20"/>
          <w:spacing w:val="-16"/>
          <w:w w:val="105"/>
        </w:rPr>
        <w:t> </w:t>
      </w:r>
      <w:r>
        <w:rPr>
          <w:color w:val="231F20"/>
          <w:w w:val="105"/>
        </w:rPr>
        <w:t>usados</w:t>
      </w:r>
      <w:r>
        <w:rPr>
          <w:color w:val="231F20"/>
          <w:spacing w:val="-16"/>
          <w:w w:val="105"/>
        </w:rPr>
        <w:t> </w:t>
      </w:r>
      <w:r>
        <w:rPr>
          <w:color w:val="231F20"/>
          <w:w w:val="105"/>
        </w:rPr>
        <w:t>en</w:t>
      </w:r>
      <w:r>
        <w:rPr>
          <w:color w:val="231F20"/>
          <w:spacing w:val="-16"/>
          <w:w w:val="105"/>
        </w:rPr>
        <w:t> </w:t>
      </w:r>
      <w:r>
        <w:rPr>
          <w:color w:val="231F20"/>
          <w:w w:val="105"/>
        </w:rPr>
        <w:t>contex- tos</w:t>
      </w:r>
      <w:r>
        <w:rPr>
          <w:color w:val="231F20"/>
          <w:spacing w:val="-19"/>
          <w:w w:val="105"/>
        </w:rPr>
        <w:t> </w:t>
      </w:r>
      <w:r>
        <w:rPr>
          <w:color w:val="231F20"/>
          <w:w w:val="105"/>
        </w:rPr>
        <w:t>socialmente</w:t>
      </w:r>
      <w:r>
        <w:rPr>
          <w:color w:val="231F20"/>
          <w:spacing w:val="-19"/>
          <w:w w:val="105"/>
        </w:rPr>
        <w:t> </w:t>
      </w:r>
      <w:r>
        <w:rPr>
          <w:color w:val="231F20"/>
          <w:w w:val="105"/>
        </w:rPr>
        <w:t>complejos;</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ser</w:t>
      </w:r>
      <w:r>
        <w:rPr>
          <w:color w:val="231F20"/>
          <w:spacing w:val="-19"/>
          <w:w w:val="105"/>
        </w:rPr>
        <w:t> </w:t>
      </w:r>
      <w:r>
        <w:rPr>
          <w:color w:val="231F20"/>
          <w:w w:val="105"/>
        </w:rPr>
        <w:t>sustituibles,</w:t>
      </w:r>
      <w:r>
        <w:rPr>
          <w:color w:val="231F20"/>
          <w:spacing w:val="-25"/>
          <w:w w:val="105"/>
        </w:rPr>
        <w:t> </w:t>
      </w:r>
      <w:r>
        <w:rPr>
          <w:color w:val="231F20"/>
          <w:w w:val="105"/>
        </w:rPr>
        <w:t>o</w:t>
      </w:r>
      <w:r>
        <w:rPr>
          <w:color w:val="231F20"/>
          <w:spacing w:val="-19"/>
          <w:w w:val="105"/>
        </w:rPr>
        <w:t> </w:t>
      </w:r>
      <w:r>
        <w:rPr>
          <w:color w:val="231F20"/>
          <w:w w:val="105"/>
        </w:rPr>
        <w:t>sea,</w:t>
      </w:r>
      <w:r>
        <w:rPr>
          <w:color w:val="231F20"/>
          <w:spacing w:val="-25"/>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tengan</w:t>
      </w:r>
      <w:r>
        <w:rPr>
          <w:color w:val="231F20"/>
          <w:spacing w:val="-19"/>
          <w:w w:val="105"/>
        </w:rPr>
        <w:t> </w:t>
      </w:r>
      <w:r>
        <w:rPr>
          <w:color w:val="231F20"/>
          <w:w w:val="105"/>
        </w:rPr>
        <w:t>un equivalente</w:t>
      </w:r>
      <w:r>
        <w:rPr>
          <w:color w:val="231F20"/>
          <w:spacing w:val="-10"/>
          <w:w w:val="105"/>
        </w:rPr>
        <w:t> </w:t>
      </w:r>
      <w:r>
        <w:rPr>
          <w:color w:val="231F20"/>
          <w:w w:val="105"/>
        </w:rPr>
        <w:t>valioso</w:t>
      </w:r>
      <w:r>
        <w:rPr>
          <w:color w:val="231F20"/>
          <w:spacing w:val="-10"/>
          <w:w w:val="105"/>
        </w:rPr>
        <w:t> </w:t>
      </w:r>
      <w:r>
        <w:rPr>
          <w:color w:val="231F20"/>
          <w:w w:val="105"/>
        </w:rPr>
        <w:t>y</w:t>
      </w:r>
      <w:r>
        <w:rPr>
          <w:color w:val="231F20"/>
          <w:spacing w:val="-10"/>
          <w:w w:val="105"/>
        </w:rPr>
        <w:t> </w:t>
      </w:r>
      <w:r>
        <w:rPr>
          <w:color w:val="231F20"/>
          <w:w w:val="105"/>
        </w:rPr>
        <w:t>útil</w:t>
      </w:r>
      <w:r>
        <w:rPr>
          <w:color w:val="231F20"/>
          <w:spacing w:val="-10"/>
          <w:w w:val="105"/>
        </w:rPr>
        <w:t> </w:t>
      </w:r>
      <w:r>
        <w:rPr>
          <w:color w:val="231F20"/>
          <w:w w:val="105"/>
        </w:rPr>
        <w:t>dentro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propia</w:t>
      </w:r>
      <w:r>
        <w:rPr>
          <w:color w:val="231F20"/>
          <w:spacing w:val="-10"/>
          <w:w w:val="105"/>
        </w:rPr>
        <w:t> </w:t>
      </w:r>
      <w:r>
        <w:rPr>
          <w:color w:val="231F20"/>
          <w:w w:val="105"/>
        </w:rPr>
        <w:t>organización.</w:t>
      </w:r>
    </w:p>
    <w:p>
      <w:pPr>
        <w:pStyle w:val="BodyText"/>
        <w:spacing w:line="259" w:lineRule="auto"/>
        <w:ind w:left="117" w:right="115" w:firstLine="567"/>
        <w:jc w:val="both"/>
      </w:pPr>
      <w:r>
        <w:rPr>
          <w:color w:val="231F20"/>
          <w:w w:val="105"/>
        </w:rPr>
        <w:t>Al</w:t>
      </w:r>
      <w:r>
        <w:rPr>
          <w:color w:val="231F20"/>
          <w:spacing w:val="-21"/>
          <w:w w:val="105"/>
        </w:rPr>
        <w:t> </w:t>
      </w:r>
      <w:r>
        <w:rPr>
          <w:color w:val="231F20"/>
          <w:w w:val="105"/>
        </w:rPr>
        <w:t>margen</w:t>
      </w:r>
      <w:r>
        <w:rPr>
          <w:color w:val="231F20"/>
          <w:spacing w:val="-21"/>
          <w:w w:val="105"/>
        </w:rPr>
        <w:t> </w:t>
      </w:r>
      <w:r>
        <w:rPr>
          <w:color w:val="231F20"/>
          <w:w w:val="105"/>
        </w:rPr>
        <w:t>de</w:t>
      </w:r>
      <w:r>
        <w:rPr>
          <w:color w:val="231F20"/>
          <w:spacing w:val="-21"/>
          <w:w w:val="105"/>
        </w:rPr>
        <w:t> </w:t>
      </w:r>
      <w:r>
        <w:rPr>
          <w:color w:val="231F20"/>
          <w:w w:val="105"/>
        </w:rPr>
        <w:t>lo</w:t>
      </w:r>
      <w:r>
        <w:rPr>
          <w:color w:val="231F20"/>
          <w:spacing w:val="-21"/>
          <w:w w:val="105"/>
        </w:rPr>
        <w:t> </w:t>
      </w:r>
      <w:r>
        <w:rPr>
          <w:color w:val="231F20"/>
          <w:w w:val="105"/>
        </w:rPr>
        <w:t>anterior,</w:t>
      </w:r>
      <w:r>
        <w:rPr>
          <w:color w:val="231F20"/>
          <w:spacing w:val="-26"/>
          <w:w w:val="105"/>
        </w:rPr>
        <w:t> </w:t>
      </w:r>
      <w:r>
        <w:rPr>
          <w:color w:val="231F20"/>
          <w:w w:val="105"/>
        </w:rPr>
        <w:t>Connell</w:t>
      </w:r>
      <w:r>
        <w:rPr>
          <w:color w:val="231F20"/>
          <w:spacing w:val="-21"/>
          <w:w w:val="105"/>
        </w:rPr>
        <w:t> </w:t>
      </w:r>
      <w:r>
        <w:rPr>
          <w:color w:val="231F20"/>
          <w:w w:val="105"/>
        </w:rPr>
        <w:t>(2009)</w:t>
      </w:r>
      <w:r>
        <w:rPr>
          <w:color w:val="231F20"/>
          <w:spacing w:val="-21"/>
          <w:w w:val="105"/>
        </w:rPr>
        <w:t> </w:t>
      </w:r>
      <w:r>
        <w:rPr>
          <w:color w:val="231F20"/>
          <w:w w:val="105"/>
        </w:rPr>
        <w:t>llama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reflexión</w:t>
      </w:r>
      <w:r>
        <w:rPr>
          <w:color w:val="231F20"/>
          <w:spacing w:val="-21"/>
          <w:w w:val="105"/>
        </w:rPr>
        <w:t> </w:t>
      </w:r>
      <w:r>
        <w:rPr>
          <w:color w:val="231F20"/>
          <w:w w:val="105"/>
        </w:rPr>
        <w:t>y</w:t>
      </w:r>
      <w:r>
        <w:rPr>
          <w:color w:val="231F20"/>
          <w:spacing w:val="-21"/>
          <w:w w:val="105"/>
        </w:rPr>
        <w:t> </w:t>
      </w:r>
      <w:r>
        <w:rPr>
          <w:color w:val="231F20"/>
          <w:w w:val="105"/>
        </w:rPr>
        <w:t>cues- tiona</w:t>
      </w:r>
      <w:r>
        <w:rPr>
          <w:color w:val="231F20"/>
          <w:spacing w:val="-7"/>
          <w:w w:val="105"/>
        </w:rPr>
        <w:t> </w:t>
      </w:r>
      <w:r>
        <w:rPr>
          <w:color w:val="231F20"/>
          <w:w w:val="105"/>
        </w:rPr>
        <w:t>la</w:t>
      </w:r>
      <w:r>
        <w:rPr>
          <w:color w:val="231F20"/>
          <w:spacing w:val="-12"/>
          <w:w w:val="105"/>
        </w:rPr>
        <w:t> </w:t>
      </w:r>
      <w:r>
        <w:rPr>
          <w:color w:val="231F20"/>
          <w:w w:val="105"/>
        </w:rPr>
        <w:t>TRyC,</w:t>
      </w:r>
      <w:r>
        <w:rPr>
          <w:color w:val="231F20"/>
          <w:spacing w:val="-14"/>
          <w:w w:val="105"/>
        </w:rPr>
        <w:t> </w:t>
      </w:r>
      <w:r>
        <w:rPr>
          <w:color w:val="231F20"/>
          <w:w w:val="105"/>
        </w:rPr>
        <w:t>toda</w:t>
      </w:r>
      <w:r>
        <w:rPr>
          <w:color w:val="231F20"/>
          <w:spacing w:val="-7"/>
          <w:w w:val="105"/>
        </w:rPr>
        <w:t> </w:t>
      </w:r>
      <w:r>
        <w:rPr>
          <w:color w:val="231F20"/>
          <w:w w:val="105"/>
        </w:rPr>
        <w:t>vez</w:t>
      </w:r>
      <w:r>
        <w:rPr>
          <w:color w:val="231F20"/>
          <w:spacing w:val="-7"/>
          <w:w w:val="105"/>
        </w:rPr>
        <w:t> </w:t>
      </w:r>
      <w:r>
        <w:rPr>
          <w:color w:val="231F20"/>
          <w:w w:val="105"/>
        </w:rPr>
        <w:t>que</w:t>
      </w:r>
      <w:r>
        <w:rPr>
          <w:color w:val="231F20"/>
          <w:spacing w:val="-7"/>
          <w:w w:val="105"/>
        </w:rPr>
        <w:t> </w:t>
      </w:r>
      <w:r>
        <w:rPr>
          <w:color w:val="231F20"/>
          <w:w w:val="105"/>
        </w:rPr>
        <w:t>ignora</w:t>
      </w:r>
      <w:r>
        <w:rPr>
          <w:color w:val="231F20"/>
          <w:spacing w:val="-7"/>
          <w:w w:val="105"/>
        </w:rPr>
        <w:t> </w:t>
      </w:r>
      <w:r>
        <w:rPr>
          <w:color w:val="231F20"/>
          <w:w w:val="105"/>
        </w:rPr>
        <w:t>el</w:t>
      </w:r>
      <w:r>
        <w:rPr>
          <w:color w:val="231F20"/>
          <w:spacing w:val="-7"/>
          <w:w w:val="105"/>
        </w:rPr>
        <w:t> </w:t>
      </w:r>
      <w:r>
        <w:rPr>
          <w:color w:val="231F20"/>
          <w:w w:val="105"/>
        </w:rPr>
        <w:t>papel</w:t>
      </w:r>
      <w:r>
        <w:rPr>
          <w:color w:val="231F20"/>
          <w:spacing w:val="-7"/>
          <w:w w:val="105"/>
        </w:rPr>
        <w:t> </w:t>
      </w:r>
      <w:r>
        <w:rPr>
          <w:color w:val="231F20"/>
          <w:w w:val="105"/>
        </w:rPr>
        <w:t>del</w:t>
      </w:r>
      <w:r>
        <w:rPr>
          <w:color w:val="231F20"/>
          <w:spacing w:val="-7"/>
          <w:w w:val="105"/>
        </w:rPr>
        <w:t> </w:t>
      </w:r>
      <w:r>
        <w:rPr>
          <w:color w:val="231F20"/>
          <w:w w:val="105"/>
        </w:rPr>
        <w:t>gobierno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construc- ción de estrategias conjuntas para enfrentar los retos internacionales, refiriéndose principalmente a empresas transnacionales con</w:t>
      </w:r>
      <w:r>
        <w:rPr>
          <w:color w:val="231F20"/>
          <w:spacing w:val="-36"/>
          <w:w w:val="105"/>
        </w:rPr>
        <w:t> </w:t>
      </w:r>
      <w:r>
        <w:rPr>
          <w:color w:val="231F20"/>
          <w:w w:val="105"/>
        </w:rPr>
        <w:t>capacidad de</w:t>
      </w:r>
      <w:r>
        <w:rPr>
          <w:color w:val="231F20"/>
          <w:spacing w:val="-21"/>
          <w:w w:val="105"/>
        </w:rPr>
        <w:t> </w:t>
      </w:r>
      <w:r>
        <w:rPr>
          <w:color w:val="231F20"/>
          <w:w w:val="105"/>
        </w:rPr>
        <w:t>decisión</w:t>
      </w:r>
      <w:r>
        <w:rPr>
          <w:color w:val="231F20"/>
          <w:spacing w:val="-21"/>
          <w:w w:val="105"/>
        </w:rPr>
        <w:t> </w:t>
      </w:r>
      <w:r>
        <w:rPr>
          <w:color w:val="231F20"/>
          <w:w w:val="105"/>
        </w:rPr>
        <w:t>para</w:t>
      </w:r>
      <w:r>
        <w:rPr>
          <w:color w:val="231F20"/>
          <w:spacing w:val="-21"/>
          <w:w w:val="105"/>
        </w:rPr>
        <w:t> </w:t>
      </w:r>
      <w:r>
        <w:rPr>
          <w:color w:val="231F20"/>
          <w:w w:val="105"/>
        </w:rPr>
        <w:t>mover</w:t>
      </w:r>
      <w:r>
        <w:rPr>
          <w:color w:val="231F20"/>
          <w:spacing w:val="-21"/>
          <w:w w:val="105"/>
        </w:rPr>
        <w:t> </w:t>
      </w:r>
      <w:r>
        <w:rPr>
          <w:color w:val="231F20"/>
          <w:w w:val="105"/>
        </w:rPr>
        <w:t>sus</w:t>
      </w:r>
      <w:r>
        <w:rPr>
          <w:color w:val="231F20"/>
          <w:spacing w:val="-21"/>
          <w:w w:val="105"/>
        </w:rPr>
        <w:t> </w:t>
      </w:r>
      <w:r>
        <w:rPr>
          <w:color w:val="231F20"/>
          <w:w w:val="105"/>
        </w:rPr>
        <w:t>recursos</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país</w:t>
      </w:r>
      <w:r>
        <w:rPr>
          <w:color w:val="231F20"/>
          <w:spacing w:val="-21"/>
          <w:w w:val="105"/>
        </w:rPr>
        <w:t> </w:t>
      </w:r>
      <w:r>
        <w:rPr>
          <w:color w:val="231F20"/>
          <w:w w:val="105"/>
        </w:rPr>
        <w:t>a</w:t>
      </w:r>
      <w:r>
        <w:rPr>
          <w:color w:val="231F20"/>
          <w:spacing w:val="-21"/>
          <w:w w:val="105"/>
        </w:rPr>
        <w:t> </w:t>
      </w:r>
      <w:r>
        <w:rPr>
          <w:color w:val="231F20"/>
          <w:w w:val="105"/>
        </w:rPr>
        <w:t>otro.</w:t>
      </w:r>
      <w:r>
        <w:rPr>
          <w:color w:val="231F20"/>
          <w:spacing w:val="-26"/>
          <w:w w:val="105"/>
        </w:rPr>
        <w:t> </w:t>
      </w:r>
      <w:r>
        <w:rPr>
          <w:color w:val="231F20"/>
          <w:w w:val="105"/>
        </w:rPr>
        <w:t>Esto</w:t>
      </w:r>
      <w:r>
        <w:rPr>
          <w:color w:val="231F20"/>
          <w:spacing w:val="-21"/>
          <w:w w:val="105"/>
        </w:rPr>
        <w:t> </w:t>
      </w:r>
      <w:r>
        <w:rPr>
          <w:color w:val="231F20"/>
          <w:w w:val="105"/>
        </w:rPr>
        <w:t>es,</w:t>
      </w:r>
      <w:r>
        <w:rPr>
          <w:color w:val="231F20"/>
          <w:spacing w:val="-26"/>
          <w:w w:val="105"/>
        </w:rPr>
        <w:t> </w:t>
      </w:r>
      <w:r>
        <w:rPr>
          <w:color w:val="231F20"/>
          <w:w w:val="105"/>
        </w:rPr>
        <w:t>en</w:t>
      </w:r>
      <w:r>
        <w:rPr>
          <w:color w:val="231F20"/>
          <w:spacing w:val="-21"/>
          <w:w w:val="105"/>
        </w:rPr>
        <w:t> </w:t>
      </w:r>
      <w:r>
        <w:rPr>
          <w:color w:val="231F20"/>
          <w:w w:val="105"/>
        </w:rPr>
        <w:t>un</w:t>
      </w:r>
      <w:r>
        <w:rPr>
          <w:color w:val="231F20"/>
          <w:spacing w:val="-21"/>
          <w:w w:val="105"/>
        </w:rPr>
        <w:t> </w:t>
      </w:r>
      <w:r>
        <w:rPr>
          <w:color w:val="231F20"/>
          <w:w w:val="105"/>
        </w:rPr>
        <w:t>en- torno internacional enmarcado en la economía del conocimiento, tanto organizaciones como gobierno son actores del crecimiento</w:t>
      </w:r>
      <w:r>
        <w:rPr>
          <w:color w:val="231F20"/>
          <w:spacing w:val="-19"/>
          <w:w w:val="105"/>
        </w:rPr>
        <w:t> </w:t>
      </w:r>
      <w:r>
        <w:rPr>
          <w:color w:val="231F20"/>
          <w:w w:val="105"/>
        </w:rPr>
        <w:t>económico, en</w:t>
      </w:r>
      <w:r>
        <w:rPr>
          <w:color w:val="231F20"/>
          <w:spacing w:val="-12"/>
          <w:w w:val="105"/>
        </w:rPr>
        <w:t> </w:t>
      </w:r>
      <w:r>
        <w:rPr>
          <w:color w:val="231F20"/>
          <w:w w:val="105"/>
        </w:rPr>
        <w:t>donde</w:t>
      </w:r>
      <w:r>
        <w:rPr>
          <w:color w:val="231F20"/>
          <w:spacing w:val="-12"/>
          <w:w w:val="105"/>
        </w:rPr>
        <w:t> </w:t>
      </w:r>
      <w:r>
        <w:rPr>
          <w:color w:val="231F20"/>
          <w:w w:val="105"/>
        </w:rPr>
        <w:t>un</w:t>
      </w:r>
      <w:r>
        <w:rPr>
          <w:color w:val="231F20"/>
          <w:spacing w:val="-12"/>
          <w:w w:val="105"/>
        </w:rPr>
        <w:t> </w:t>
      </w:r>
      <w:r>
        <w:rPr>
          <w:color w:val="231F20"/>
          <w:w w:val="105"/>
        </w:rPr>
        <w:t>ingrediente</w:t>
      </w:r>
      <w:r>
        <w:rPr>
          <w:color w:val="231F20"/>
          <w:spacing w:val="-12"/>
          <w:w w:val="105"/>
        </w:rPr>
        <w:t> </w:t>
      </w:r>
      <w:r>
        <w:rPr>
          <w:color w:val="231F20"/>
          <w:w w:val="105"/>
        </w:rPr>
        <w:t>esencial</w:t>
      </w:r>
      <w:r>
        <w:rPr>
          <w:color w:val="231F20"/>
          <w:spacing w:val="-12"/>
          <w:w w:val="105"/>
        </w:rPr>
        <w:t> </w:t>
      </w:r>
      <w:r>
        <w:rPr>
          <w:color w:val="231F20"/>
          <w:w w:val="105"/>
        </w:rPr>
        <w:t>es</w:t>
      </w:r>
      <w:r>
        <w:rPr>
          <w:color w:val="231F20"/>
          <w:spacing w:val="-12"/>
          <w:w w:val="105"/>
        </w:rPr>
        <w:t> </w:t>
      </w:r>
      <w:r>
        <w:rPr>
          <w:color w:val="231F20"/>
          <w:w w:val="105"/>
        </w:rPr>
        <w:t>la</w:t>
      </w:r>
      <w:r>
        <w:rPr>
          <w:color w:val="231F20"/>
          <w:spacing w:val="-12"/>
          <w:w w:val="105"/>
        </w:rPr>
        <w:t> </w:t>
      </w:r>
      <w:r>
        <w:rPr>
          <w:color w:val="231F20"/>
          <w:w w:val="105"/>
        </w:rPr>
        <w:t>colaboración.</w:t>
      </w:r>
    </w:p>
    <w:p>
      <w:pPr>
        <w:pStyle w:val="BodyText"/>
        <w:rPr>
          <w:sz w:val="20"/>
        </w:rPr>
      </w:pPr>
    </w:p>
    <w:p>
      <w:pPr>
        <w:pStyle w:val="BodyText"/>
        <w:spacing w:before="7"/>
        <w:rPr>
          <w:sz w:val="18"/>
        </w:rPr>
      </w:pPr>
    </w:p>
    <w:p>
      <w:pPr>
        <w:pStyle w:val="Heading2"/>
      </w:pPr>
      <w:r>
        <w:rPr>
          <w:color w:val="231F20"/>
          <w:w w:val="95"/>
        </w:rPr>
        <w:t>Confrontación de ambas perspectivas</w:t>
      </w:r>
    </w:p>
    <w:p>
      <w:pPr>
        <w:pStyle w:val="BodyText"/>
        <w:rPr>
          <w:b/>
          <w:sz w:val="22"/>
        </w:rPr>
      </w:pPr>
    </w:p>
    <w:p>
      <w:pPr>
        <w:pStyle w:val="BodyText"/>
        <w:spacing w:line="259" w:lineRule="auto" w:before="160"/>
        <w:ind w:left="117" w:right="121"/>
        <w:jc w:val="both"/>
      </w:pPr>
      <w:r>
        <w:rPr>
          <w:color w:val="231F20"/>
          <w:w w:val="105"/>
        </w:rPr>
        <w:t>Al integrar la TDR y la TRyC pueden detectarse nuevos puntos de vis- ta (figura 1) para explicar la sustentabilidad organizacional, es decir, la dotación,</w:t>
      </w:r>
      <w:r>
        <w:rPr>
          <w:color w:val="231F20"/>
          <w:spacing w:val="-24"/>
          <w:w w:val="105"/>
        </w:rPr>
        <w:t> </w:t>
      </w:r>
      <w:r>
        <w:rPr>
          <w:color w:val="231F20"/>
          <w:w w:val="105"/>
        </w:rPr>
        <w:t>abastecimiento,</w:t>
      </w:r>
      <w:r>
        <w:rPr>
          <w:color w:val="231F20"/>
          <w:spacing w:val="-24"/>
          <w:w w:val="105"/>
        </w:rPr>
        <w:t> </w:t>
      </w:r>
      <w:r>
        <w:rPr>
          <w:color w:val="231F20"/>
          <w:w w:val="105"/>
        </w:rPr>
        <w:t>disponibilidad</w:t>
      </w:r>
      <w:r>
        <w:rPr>
          <w:color w:val="231F20"/>
          <w:spacing w:val="-18"/>
          <w:w w:val="105"/>
        </w:rPr>
        <w:t> </w:t>
      </w:r>
      <w:r>
        <w:rPr>
          <w:color w:val="231F20"/>
          <w:w w:val="105"/>
        </w:rPr>
        <w:t>y</w:t>
      </w:r>
      <w:r>
        <w:rPr>
          <w:color w:val="231F20"/>
          <w:spacing w:val="-18"/>
          <w:w w:val="105"/>
        </w:rPr>
        <w:t> </w:t>
      </w:r>
      <w:r>
        <w:rPr>
          <w:color w:val="231F20"/>
          <w:w w:val="105"/>
        </w:rPr>
        <w:t>generación</w:t>
      </w:r>
      <w:r>
        <w:rPr>
          <w:color w:val="231F20"/>
          <w:spacing w:val="-18"/>
          <w:w w:val="105"/>
        </w:rPr>
        <w:t> </w:t>
      </w:r>
      <w:r>
        <w:rPr>
          <w:color w:val="231F20"/>
          <w:w w:val="105"/>
        </w:rPr>
        <w:t>de</w:t>
      </w:r>
      <w:r>
        <w:rPr>
          <w:color w:val="231F20"/>
          <w:spacing w:val="-18"/>
          <w:w w:val="105"/>
        </w:rPr>
        <w:t> </w:t>
      </w:r>
      <w:r>
        <w:rPr>
          <w:color w:val="231F20"/>
          <w:w w:val="105"/>
        </w:rPr>
        <w:t>recursos</w:t>
      </w:r>
      <w:r>
        <w:rPr>
          <w:color w:val="231F20"/>
          <w:spacing w:val="-18"/>
          <w:w w:val="105"/>
        </w:rPr>
        <w:t> </w:t>
      </w:r>
      <w:r>
        <w:rPr>
          <w:color w:val="231F20"/>
          <w:w w:val="105"/>
        </w:rPr>
        <w:t>nece- sarios</w:t>
      </w:r>
      <w:r>
        <w:rPr>
          <w:color w:val="231F20"/>
          <w:spacing w:val="-8"/>
          <w:w w:val="105"/>
        </w:rPr>
        <w:t> </w:t>
      </w:r>
      <w:r>
        <w:rPr>
          <w:color w:val="231F20"/>
          <w:w w:val="105"/>
        </w:rPr>
        <w:t>para</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organización</w:t>
      </w:r>
      <w:r>
        <w:rPr>
          <w:color w:val="231F20"/>
          <w:spacing w:val="-8"/>
          <w:w w:val="105"/>
        </w:rPr>
        <w:t> </w:t>
      </w:r>
      <w:r>
        <w:rPr>
          <w:color w:val="231F20"/>
          <w:w w:val="105"/>
        </w:rPr>
        <w:t>sobreviva</w:t>
      </w:r>
      <w:r>
        <w:rPr>
          <w:color w:val="231F20"/>
          <w:spacing w:val="-8"/>
          <w:w w:val="105"/>
        </w:rPr>
        <w:t> </w:t>
      </w:r>
      <w:r>
        <w:rPr>
          <w:color w:val="231F20"/>
          <w:w w:val="105"/>
        </w:rPr>
        <w:t>en</w:t>
      </w:r>
      <w:r>
        <w:rPr>
          <w:color w:val="231F20"/>
          <w:spacing w:val="-8"/>
          <w:w w:val="105"/>
        </w:rPr>
        <w:t> </w:t>
      </w:r>
      <w:r>
        <w:rPr>
          <w:color w:val="231F20"/>
          <w:w w:val="105"/>
        </w:rPr>
        <w:t>contextos</w:t>
      </w:r>
      <w:r>
        <w:rPr>
          <w:color w:val="231F20"/>
          <w:spacing w:val="-8"/>
          <w:w w:val="105"/>
        </w:rPr>
        <w:t> </w:t>
      </w:r>
      <w:r>
        <w:rPr>
          <w:color w:val="231F20"/>
          <w:w w:val="105"/>
        </w:rPr>
        <w:t>inciertos</w:t>
      </w:r>
      <w:r>
        <w:rPr>
          <w:color w:val="231F20"/>
          <w:spacing w:val="-8"/>
          <w:w w:val="105"/>
        </w:rPr>
        <w:t> </w:t>
      </w:r>
      <w:r>
        <w:rPr>
          <w:color w:val="231F20"/>
          <w:w w:val="105"/>
        </w:rPr>
        <w:t>y</w:t>
      </w:r>
      <w:r>
        <w:rPr>
          <w:color w:val="231F20"/>
          <w:spacing w:val="-8"/>
          <w:w w:val="105"/>
        </w:rPr>
        <w:t> </w:t>
      </w:r>
      <w:r>
        <w:rPr>
          <w:color w:val="231F20"/>
          <w:w w:val="105"/>
        </w:rPr>
        <w:t>diná- micos,</w:t>
      </w:r>
      <w:r>
        <w:rPr>
          <w:color w:val="231F20"/>
          <w:spacing w:val="-16"/>
          <w:w w:val="105"/>
        </w:rPr>
        <w:t> </w:t>
      </w:r>
      <w:r>
        <w:rPr>
          <w:color w:val="231F20"/>
          <w:w w:val="105"/>
        </w:rPr>
        <w:t>al</w:t>
      </w:r>
      <w:r>
        <w:rPr>
          <w:color w:val="231F20"/>
          <w:spacing w:val="-10"/>
          <w:w w:val="105"/>
        </w:rPr>
        <w:t> </w:t>
      </w:r>
      <w:r>
        <w:rPr>
          <w:color w:val="231F20"/>
          <w:w w:val="105"/>
        </w:rPr>
        <w:t>mismo</w:t>
      </w:r>
      <w:r>
        <w:rPr>
          <w:color w:val="231F20"/>
          <w:spacing w:val="-10"/>
          <w:w w:val="105"/>
        </w:rPr>
        <w:t> </w:t>
      </w:r>
      <w:r>
        <w:rPr>
          <w:color w:val="231F20"/>
          <w:w w:val="105"/>
        </w:rPr>
        <w:t>tiempo</w:t>
      </w:r>
      <w:r>
        <w:rPr>
          <w:color w:val="231F20"/>
          <w:spacing w:val="-10"/>
          <w:w w:val="105"/>
        </w:rPr>
        <w:t> </w:t>
      </w:r>
      <w:r>
        <w:rPr>
          <w:color w:val="231F20"/>
          <w:w w:val="105"/>
        </w:rPr>
        <w:t>que</w:t>
      </w:r>
      <w:r>
        <w:rPr>
          <w:color w:val="231F20"/>
          <w:spacing w:val="-10"/>
          <w:w w:val="105"/>
        </w:rPr>
        <w:t> </w:t>
      </w:r>
      <w:r>
        <w:rPr>
          <w:color w:val="231F20"/>
          <w:w w:val="105"/>
        </w:rPr>
        <w:t>contribuya</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cuidado</w:t>
      </w:r>
      <w:r>
        <w:rPr>
          <w:color w:val="231F20"/>
          <w:spacing w:val="-10"/>
          <w:w w:val="105"/>
        </w:rPr>
        <w:t> </w:t>
      </w:r>
      <w:r>
        <w:rPr>
          <w:color w:val="231F20"/>
          <w:w w:val="105"/>
        </w:rPr>
        <w:t>del</w:t>
      </w:r>
      <w:r>
        <w:rPr>
          <w:color w:val="231F20"/>
          <w:spacing w:val="-10"/>
          <w:w w:val="105"/>
        </w:rPr>
        <w:t> </w:t>
      </w:r>
      <w:r>
        <w:rPr>
          <w:color w:val="231F20"/>
          <w:w w:val="105"/>
        </w:rPr>
        <w:t>ambiente</w:t>
      </w:r>
      <w:r>
        <w:rPr>
          <w:color w:val="231F20"/>
          <w:spacing w:val="-10"/>
          <w:w w:val="105"/>
        </w:rPr>
        <w:t> </w:t>
      </w:r>
      <w:r>
        <w:rPr>
          <w:color w:val="231F20"/>
          <w:w w:val="105"/>
        </w:rPr>
        <w:t>y</w:t>
      </w:r>
      <w:r>
        <w:rPr>
          <w:color w:val="231F20"/>
          <w:spacing w:val="-10"/>
          <w:w w:val="105"/>
        </w:rPr>
        <w:t> </w:t>
      </w:r>
      <w:r>
        <w:rPr>
          <w:color w:val="231F20"/>
          <w:w w:val="105"/>
        </w:rPr>
        <w:t>el </w:t>
      </w:r>
      <w:r>
        <w:rPr>
          <w:color w:val="231F20"/>
        </w:rPr>
        <w:t>bienestar</w:t>
      </w:r>
      <w:r>
        <w:rPr>
          <w:color w:val="231F20"/>
          <w:spacing w:val="29"/>
        </w:rPr>
        <w:t> </w:t>
      </w:r>
      <w:r>
        <w:rPr>
          <w:color w:val="231F20"/>
        </w:rPr>
        <w:t>social.</w:t>
      </w:r>
    </w:p>
    <w:p>
      <w:pPr>
        <w:pStyle w:val="BodyText"/>
        <w:rPr>
          <w:sz w:val="20"/>
        </w:rPr>
      </w:pPr>
    </w:p>
    <w:p>
      <w:pPr>
        <w:pStyle w:val="BodyText"/>
        <w:rPr>
          <w:sz w:val="20"/>
        </w:rPr>
      </w:pPr>
    </w:p>
    <w:p>
      <w:pPr>
        <w:pStyle w:val="BodyText"/>
        <w:rPr>
          <w:sz w:val="20"/>
        </w:rPr>
      </w:pPr>
    </w:p>
    <w:p>
      <w:pPr>
        <w:pStyle w:val="BodyText"/>
        <w:spacing w:before="6"/>
      </w:pPr>
      <w:r>
        <w:rPr/>
        <w:pict>
          <v:line style="position:absolute;mso-position-horizontal-relative:page;mso-position-vertical-relative:paragraph;z-index:1576;mso-wrap-distance-left:0;mso-wrap-distance-right:0" from="70.866096pt,14.480601pt" to="184.252096pt,14.480601pt" stroked="true" strokeweight=".25pt" strokecolor="#231f20">
            <w10:wrap type="topAndBottom"/>
          </v:line>
        </w:pict>
      </w:r>
    </w:p>
    <w:p>
      <w:pPr>
        <w:spacing w:line="192" w:lineRule="exact" w:before="7"/>
        <w:ind w:left="117" w:right="121" w:hanging="1"/>
        <w:jc w:val="both"/>
        <w:rPr>
          <w:rFonts w:ascii="Calibri" w:hAnsi="Calibri"/>
          <w:sz w:val="16"/>
        </w:rPr>
      </w:pPr>
      <w:r>
        <w:rPr>
          <w:rFonts w:ascii="Calibri" w:hAnsi="Calibri"/>
          <w:color w:val="414042"/>
          <w:position w:val="5"/>
          <w:sz w:val="9"/>
        </w:rPr>
        <w:t>2 </w:t>
      </w:r>
      <w:r>
        <w:rPr>
          <w:rFonts w:ascii="Calibri" w:hAnsi="Calibri"/>
          <w:color w:val="414042"/>
          <w:sz w:val="16"/>
        </w:rPr>
        <w:t>La creación de conocimiento organizacional es el resultado de las actividades y capacidades de la or- ganización, aunque para convertirlo en estrategia creadora de valor también debe ser diseminado y tra- ducido en productos, servicios y sistemas (Nonaka y Takeuchi, 1995).  Un nuevo conocimiento puede ser  la idea de un nuevo producto, nuevos procedimientos de logística, nuevos sistemas de gestión u otras innovaciones mediante las cuales se llegue a la reducción de costos y a precios más competitivos, alta calidad, excelencia en el servicio o innovación de productos y servicios (Nonaka,  </w:t>
      </w:r>
      <w:r>
        <w:rPr>
          <w:rFonts w:ascii="Calibri" w:hAnsi="Calibri"/>
          <w:color w:val="414042"/>
          <w:spacing w:val="32"/>
          <w:sz w:val="16"/>
        </w:rPr>
        <w:t> </w:t>
      </w:r>
      <w:r>
        <w:rPr>
          <w:rFonts w:ascii="Calibri" w:hAnsi="Calibri"/>
          <w:color w:val="414042"/>
          <w:sz w:val="16"/>
        </w:rPr>
        <w:t>2007).</w:t>
      </w:r>
    </w:p>
    <w:p>
      <w:pPr>
        <w:spacing w:after="0" w:line="192" w:lineRule="exact"/>
        <w:jc w:val="both"/>
        <w:rPr>
          <w:rFonts w:ascii="Calibri" w:hAnsi="Calibri"/>
          <w:sz w:val="16"/>
        </w:rPr>
        <w:sectPr>
          <w:pgSz w:w="9640" w:h="13890"/>
          <w:pgMar w:top="0" w:bottom="280" w:left="1300" w:right="1180"/>
        </w:sectPr>
      </w:pPr>
    </w:p>
    <w:p>
      <w:pPr>
        <w:spacing w:before="118"/>
        <w:ind w:left="1890" w:right="114" w:firstLine="0"/>
        <w:jc w:val="left"/>
        <w:rPr>
          <w:sz w:val="18"/>
        </w:rPr>
      </w:pPr>
      <w:r>
        <w:rPr>
          <w:color w:val="231F20"/>
          <w:w w:val="105"/>
          <w:sz w:val="18"/>
        </w:rPr>
        <w:t>Figura 1. Integración de la TDR y la TRyC.</w:t>
      </w:r>
    </w:p>
    <w:p>
      <w:pPr>
        <w:pStyle w:val="BodyText"/>
        <w:spacing w:before="5"/>
        <w:rPr>
          <w:sz w:val="13"/>
        </w:rPr>
      </w:pPr>
    </w:p>
    <w:tbl>
      <w:tblPr>
        <w:tblW w:w="0" w:type="auto"/>
        <w:jc w:val="left"/>
        <w:tblInd w:w="116" w:type="dxa"/>
        <w:tblBorders>
          <w:top w:val="single" w:sz="2" w:space="0" w:color="414042"/>
          <w:left w:val="single" w:sz="2" w:space="0" w:color="414042"/>
          <w:bottom w:val="single" w:sz="2" w:space="0" w:color="414042"/>
          <w:right w:val="single" w:sz="2" w:space="0" w:color="414042"/>
          <w:insideH w:val="single" w:sz="2" w:space="0" w:color="414042"/>
          <w:insideV w:val="single" w:sz="2" w:space="0" w:color="414042"/>
        </w:tblBorders>
        <w:tblLayout w:type="fixed"/>
        <w:tblCellMar>
          <w:top w:w="0" w:type="dxa"/>
          <w:left w:w="0" w:type="dxa"/>
          <w:bottom w:w="0" w:type="dxa"/>
          <w:right w:w="0" w:type="dxa"/>
        </w:tblCellMar>
        <w:tblLook w:val="01E0"/>
      </w:tblPr>
      <w:tblGrid>
        <w:gridCol w:w="1426"/>
        <w:gridCol w:w="2750"/>
        <w:gridCol w:w="2750"/>
      </w:tblGrid>
      <w:tr>
        <w:trPr>
          <w:trHeight w:val="340" w:hRule="exact"/>
        </w:trPr>
        <w:tc>
          <w:tcPr>
            <w:tcW w:w="1426" w:type="dxa"/>
          </w:tcPr>
          <w:p>
            <w:pPr>
              <w:pStyle w:val="TableParagraph"/>
              <w:spacing w:before="88"/>
              <w:ind w:left="226"/>
              <w:rPr>
                <w:sz w:val="18"/>
              </w:rPr>
            </w:pPr>
            <w:r>
              <w:rPr>
                <w:color w:val="231F20"/>
                <w:sz w:val="18"/>
              </w:rPr>
              <w:t>ELEMENTO</w:t>
            </w:r>
          </w:p>
        </w:tc>
        <w:tc>
          <w:tcPr>
            <w:tcW w:w="2750" w:type="dxa"/>
          </w:tcPr>
          <w:p>
            <w:pPr>
              <w:pStyle w:val="TableParagraph"/>
              <w:spacing w:before="88"/>
              <w:ind w:left="1121" w:right="1121"/>
              <w:jc w:val="center"/>
              <w:rPr>
                <w:sz w:val="18"/>
              </w:rPr>
            </w:pPr>
            <w:r>
              <w:rPr>
                <w:color w:val="231F20"/>
                <w:sz w:val="18"/>
              </w:rPr>
              <w:t>TDR</w:t>
            </w:r>
          </w:p>
        </w:tc>
        <w:tc>
          <w:tcPr>
            <w:tcW w:w="2750" w:type="dxa"/>
          </w:tcPr>
          <w:p>
            <w:pPr>
              <w:pStyle w:val="TableParagraph"/>
              <w:spacing w:before="88"/>
              <w:ind w:left="1121" w:right="1121"/>
              <w:jc w:val="center"/>
              <w:rPr>
                <w:sz w:val="18"/>
              </w:rPr>
            </w:pPr>
            <w:r>
              <w:rPr>
                <w:color w:val="231F20"/>
                <w:sz w:val="18"/>
              </w:rPr>
              <w:t>TRyC</w:t>
            </w:r>
          </w:p>
        </w:tc>
      </w:tr>
      <w:tr>
        <w:trPr>
          <w:trHeight w:val="1420" w:hRule="exact"/>
        </w:trPr>
        <w:tc>
          <w:tcPr>
            <w:tcW w:w="1426" w:type="dxa"/>
          </w:tcPr>
          <w:p>
            <w:pPr>
              <w:pStyle w:val="TableParagraph"/>
              <w:spacing w:line="249" w:lineRule="auto" w:before="88"/>
              <w:ind w:left="77"/>
              <w:rPr>
                <w:sz w:val="18"/>
              </w:rPr>
            </w:pPr>
            <w:r>
              <w:rPr>
                <w:color w:val="231F20"/>
                <w:sz w:val="18"/>
              </w:rPr>
              <w:t>Éxito organizacional</w:t>
            </w:r>
          </w:p>
        </w:tc>
        <w:tc>
          <w:tcPr>
            <w:tcW w:w="2750" w:type="dxa"/>
          </w:tcPr>
          <w:p>
            <w:pPr>
              <w:pStyle w:val="TableParagraph"/>
              <w:spacing w:line="249" w:lineRule="auto" w:before="88"/>
              <w:ind w:left="77" w:right="74"/>
              <w:jc w:val="both"/>
              <w:rPr>
                <w:sz w:val="18"/>
              </w:rPr>
            </w:pPr>
            <w:r>
              <w:rPr>
                <w:color w:val="231F20"/>
                <w:w w:val="105"/>
                <w:sz w:val="18"/>
              </w:rPr>
              <w:t>Las organizaciones recurren a </w:t>
            </w:r>
            <w:r>
              <w:rPr>
                <w:color w:val="231F20"/>
                <w:spacing w:val="-3"/>
                <w:w w:val="105"/>
                <w:sz w:val="18"/>
              </w:rPr>
              <w:t>una</w:t>
            </w:r>
            <w:r>
              <w:rPr>
                <w:color w:val="231F20"/>
                <w:spacing w:val="-30"/>
                <w:w w:val="105"/>
                <w:sz w:val="18"/>
              </w:rPr>
              <w:t> </w:t>
            </w:r>
            <w:r>
              <w:rPr>
                <w:color w:val="231F20"/>
                <w:spacing w:val="-4"/>
                <w:w w:val="105"/>
                <w:sz w:val="18"/>
              </w:rPr>
              <w:t>variedad </w:t>
            </w:r>
            <w:r>
              <w:rPr>
                <w:color w:val="231F20"/>
                <w:w w:val="105"/>
                <w:sz w:val="18"/>
              </w:rPr>
              <w:t>de</w:t>
            </w:r>
            <w:r>
              <w:rPr>
                <w:color w:val="231F20"/>
                <w:spacing w:val="-30"/>
                <w:w w:val="105"/>
                <w:sz w:val="18"/>
              </w:rPr>
              <w:t> </w:t>
            </w:r>
            <w:r>
              <w:rPr>
                <w:color w:val="231F20"/>
                <w:spacing w:val="-4"/>
                <w:w w:val="105"/>
                <w:sz w:val="18"/>
              </w:rPr>
              <w:t>estrategias</w:t>
            </w:r>
            <w:r>
              <w:rPr>
                <w:color w:val="231F20"/>
                <w:spacing w:val="-30"/>
                <w:w w:val="105"/>
                <w:sz w:val="18"/>
              </w:rPr>
              <w:t> </w:t>
            </w:r>
            <w:r>
              <w:rPr>
                <w:color w:val="231F20"/>
                <w:spacing w:val="-4"/>
                <w:w w:val="105"/>
                <w:sz w:val="18"/>
              </w:rPr>
              <w:t>para </w:t>
            </w:r>
            <w:r>
              <w:rPr>
                <w:color w:val="231F20"/>
                <w:w w:val="105"/>
                <w:sz w:val="18"/>
              </w:rPr>
              <w:t>aumentar su autonomía,</w:t>
            </w:r>
            <w:r>
              <w:rPr>
                <w:color w:val="231F20"/>
                <w:spacing w:val="-26"/>
                <w:w w:val="105"/>
                <w:sz w:val="18"/>
              </w:rPr>
              <w:t> </w:t>
            </w:r>
            <w:r>
              <w:rPr>
                <w:color w:val="231F20"/>
                <w:w w:val="105"/>
                <w:sz w:val="18"/>
              </w:rPr>
              <w:t>dismi- nuir su dependencia del entor- no,</w:t>
            </w:r>
            <w:r>
              <w:rPr>
                <w:color w:val="231F20"/>
                <w:spacing w:val="-24"/>
                <w:w w:val="105"/>
                <w:sz w:val="18"/>
              </w:rPr>
              <w:t> </w:t>
            </w:r>
            <w:r>
              <w:rPr>
                <w:color w:val="231F20"/>
                <w:w w:val="105"/>
                <w:sz w:val="18"/>
              </w:rPr>
              <w:t>maximizar</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poder</w:t>
            </w:r>
            <w:r>
              <w:rPr>
                <w:color w:val="231F20"/>
                <w:spacing w:val="-18"/>
                <w:w w:val="105"/>
                <w:sz w:val="18"/>
              </w:rPr>
              <w:t> </w:t>
            </w:r>
            <w:r>
              <w:rPr>
                <w:color w:val="231F20"/>
                <w:w w:val="105"/>
                <w:sz w:val="18"/>
              </w:rPr>
              <w:t>y</w:t>
            </w:r>
            <w:r>
              <w:rPr>
                <w:color w:val="231F20"/>
                <w:spacing w:val="-18"/>
                <w:w w:val="105"/>
                <w:sz w:val="18"/>
              </w:rPr>
              <w:t> </w:t>
            </w:r>
            <w:r>
              <w:rPr>
                <w:color w:val="231F20"/>
                <w:w w:val="105"/>
                <w:sz w:val="18"/>
              </w:rPr>
              <w:t>control en</w:t>
            </w:r>
            <w:r>
              <w:rPr>
                <w:color w:val="231F20"/>
                <w:spacing w:val="-27"/>
                <w:w w:val="105"/>
                <w:sz w:val="18"/>
              </w:rPr>
              <w:t> </w:t>
            </w:r>
            <w:r>
              <w:rPr>
                <w:color w:val="231F20"/>
                <w:w w:val="105"/>
                <w:sz w:val="18"/>
              </w:rPr>
              <w:t>su</w:t>
            </w:r>
            <w:r>
              <w:rPr>
                <w:color w:val="231F20"/>
                <w:spacing w:val="-27"/>
                <w:w w:val="105"/>
                <w:sz w:val="18"/>
              </w:rPr>
              <w:t> </w:t>
            </w:r>
            <w:r>
              <w:rPr>
                <w:color w:val="231F20"/>
                <w:w w:val="105"/>
                <w:sz w:val="18"/>
              </w:rPr>
              <w:t>contexto.</w:t>
            </w:r>
          </w:p>
        </w:tc>
        <w:tc>
          <w:tcPr>
            <w:tcW w:w="2750" w:type="dxa"/>
          </w:tcPr>
          <w:p>
            <w:pPr>
              <w:pStyle w:val="TableParagraph"/>
              <w:spacing w:line="249" w:lineRule="auto" w:before="88"/>
              <w:ind w:left="77" w:right="72"/>
              <w:jc w:val="both"/>
              <w:rPr>
                <w:sz w:val="18"/>
              </w:rPr>
            </w:pPr>
            <w:r>
              <w:rPr>
                <w:color w:val="231F20"/>
                <w:w w:val="105"/>
                <w:sz w:val="18"/>
              </w:rPr>
              <w:t>Las organizaciones</w:t>
            </w:r>
            <w:r>
              <w:rPr>
                <w:color w:val="231F20"/>
                <w:spacing w:val="-26"/>
                <w:w w:val="105"/>
                <w:sz w:val="18"/>
              </w:rPr>
              <w:t> </w:t>
            </w:r>
            <w:r>
              <w:rPr>
                <w:color w:val="231F20"/>
                <w:w w:val="105"/>
                <w:sz w:val="18"/>
              </w:rPr>
              <w:t>construyen </w:t>
            </w:r>
            <w:r>
              <w:rPr>
                <w:color w:val="231F20"/>
                <w:spacing w:val="2"/>
                <w:w w:val="105"/>
                <w:sz w:val="18"/>
              </w:rPr>
              <w:t>ventajas competitivas sosteni- </w:t>
            </w:r>
            <w:r>
              <w:rPr>
                <w:color w:val="231F20"/>
                <w:w w:val="105"/>
                <w:sz w:val="18"/>
              </w:rPr>
              <w:t>das e implementan estrategias creadoras</w:t>
            </w:r>
            <w:r>
              <w:rPr>
                <w:color w:val="231F20"/>
                <w:spacing w:val="-29"/>
                <w:w w:val="105"/>
                <w:sz w:val="18"/>
              </w:rPr>
              <w:t> </w:t>
            </w:r>
            <w:r>
              <w:rPr>
                <w:color w:val="231F20"/>
                <w:w w:val="105"/>
                <w:sz w:val="18"/>
              </w:rPr>
              <w:t>de</w:t>
            </w:r>
            <w:r>
              <w:rPr>
                <w:color w:val="231F20"/>
                <w:spacing w:val="-29"/>
                <w:w w:val="105"/>
                <w:sz w:val="18"/>
              </w:rPr>
              <w:t> </w:t>
            </w:r>
            <w:r>
              <w:rPr>
                <w:color w:val="231F20"/>
                <w:spacing w:val="-3"/>
                <w:w w:val="105"/>
                <w:sz w:val="18"/>
              </w:rPr>
              <w:t>valor.</w:t>
            </w:r>
          </w:p>
        </w:tc>
      </w:tr>
      <w:tr>
        <w:trPr>
          <w:trHeight w:val="772" w:hRule="exact"/>
        </w:trPr>
        <w:tc>
          <w:tcPr>
            <w:tcW w:w="1426" w:type="dxa"/>
          </w:tcPr>
          <w:p>
            <w:pPr>
              <w:pStyle w:val="TableParagraph"/>
              <w:spacing w:line="249" w:lineRule="auto" w:before="88"/>
              <w:ind w:left="77"/>
              <w:rPr>
                <w:sz w:val="18"/>
              </w:rPr>
            </w:pPr>
            <w:r>
              <w:rPr>
                <w:color w:val="231F20"/>
                <w:sz w:val="18"/>
              </w:rPr>
              <w:t>Eje organizacional</w:t>
            </w:r>
          </w:p>
        </w:tc>
        <w:tc>
          <w:tcPr>
            <w:tcW w:w="2750" w:type="dxa"/>
          </w:tcPr>
          <w:p>
            <w:pPr>
              <w:pStyle w:val="TableParagraph"/>
              <w:spacing w:line="249" w:lineRule="auto" w:before="88"/>
              <w:ind w:left="77" w:right="69"/>
              <w:jc w:val="both"/>
              <w:rPr>
                <w:sz w:val="18"/>
              </w:rPr>
            </w:pPr>
            <w:r>
              <w:rPr>
                <w:color w:val="231F20"/>
                <w:w w:val="105"/>
                <w:sz w:val="18"/>
              </w:rPr>
              <w:t>Entender</w:t>
            </w:r>
            <w:r>
              <w:rPr>
                <w:color w:val="231F20"/>
                <w:spacing w:val="-13"/>
                <w:w w:val="105"/>
                <w:sz w:val="18"/>
              </w:rPr>
              <w:t> </w:t>
            </w:r>
            <w:r>
              <w:rPr>
                <w:color w:val="231F20"/>
                <w:w w:val="105"/>
                <w:sz w:val="18"/>
              </w:rPr>
              <w:t>lo</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pasa</w:t>
            </w:r>
            <w:r>
              <w:rPr>
                <w:color w:val="231F20"/>
                <w:spacing w:val="-13"/>
                <w:w w:val="105"/>
                <w:sz w:val="18"/>
              </w:rPr>
              <w:t> </w:t>
            </w:r>
            <w:r>
              <w:rPr>
                <w:color w:val="231F20"/>
                <w:w w:val="105"/>
                <w:sz w:val="18"/>
              </w:rPr>
              <w:t>dentro</w:t>
            </w:r>
            <w:r>
              <w:rPr>
                <w:color w:val="231F20"/>
                <w:spacing w:val="-13"/>
                <w:w w:val="105"/>
                <w:sz w:val="18"/>
              </w:rPr>
              <w:t> </w:t>
            </w:r>
            <w:r>
              <w:rPr>
                <w:color w:val="231F20"/>
                <w:w w:val="105"/>
                <w:sz w:val="18"/>
              </w:rPr>
              <w:t>de la </w:t>
            </w:r>
            <w:r>
              <w:rPr>
                <w:color w:val="231F20"/>
                <w:spacing w:val="2"/>
                <w:w w:val="105"/>
                <w:sz w:val="18"/>
              </w:rPr>
              <w:t>organización </w:t>
            </w:r>
            <w:r>
              <w:rPr>
                <w:color w:val="231F20"/>
                <w:w w:val="105"/>
                <w:sz w:val="18"/>
              </w:rPr>
              <w:t>y </w:t>
            </w:r>
            <w:r>
              <w:rPr>
                <w:color w:val="231F20"/>
                <w:spacing w:val="2"/>
                <w:w w:val="105"/>
                <w:sz w:val="18"/>
              </w:rPr>
              <w:t>decidir </w:t>
            </w:r>
            <w:r>
              <w:rPr>
                <w:color w:val="231F20"/>
                <w:w w:val="105"/>
                <w:sz w:val="18"/>
              </w:rPr>
              <w:t>qué acciones</w:t>
            </w:r>
            <w:r>
              <w:rPr>
                <w:color w:val="231F20"/>
                <w:spacing w:val="-33"/>
                <w:w w:val="105"/>
                <w:sz w:val="18"/>
              </w:rPr>
              <w:t> </w:t>
            </w:r>
            <w:r>
              <w:rPr>
                <w:color w:val="231F20"/>
                <w:w w:val="105"/>
                <w:sz w:val="18"/>
              </w:rPr>
              <w:t>tomar</w:t>
            </w:r>
            <w:r>
              <w:rPr>
                <w:color w:val="231F20"/>
                <w:spacing w:val="-33"/>
                <w:w w:val="105"/>
                <w:sz w:val="18"/>
              </w:rPr>
              <w:t> </w:t>
            </w:r>
            <w:r>
              <w:rPr>
                <w:color w:val="231F20"/>
                <w:w w:val="105"/>
                <w:sz w:val="18"/>
              </w:rPr>
              <w:t>hacia</w:t>
            </w:r>
            <w:r>
              <w:rPr>
                <w:color w:val="231F20"/>
                <w:spacing w:val="-33"/>
                <w:w w:val="105"/>
                <w:sz w:val="18"/>
              </w:rPr>
              <w:t> </w:t>
            </w:r>
            <w:r>
              <w:rPr>
                <w:color w:val="231F20"/>
                <w:w w:val="105"/>
                <w:sz w:val="18"/>
              </w:rPr>
              <w:t>el</w:t>
            </w:r>
            <w:r>
              <w:rPr>
                <w:color w:val="231F20"/>
                <w:spacing w:val="-33"/>
                <w:w w:val="105"/>
                <w:sz w:val="18"/>
              </w:rPr>
              <w:t> </w:t>
            </w:r>
            <w:r>
              <w:rPr>
                <w:color w:val="231F20"/>
                <w:w w:val="105"/>
                <w:sz w:val="18"/>
              </w:rPr>
              <w:t>exterior.</w:t>
            </w:r>
          </w:p>
        </w:tc>
        <w:tc>
          <w:tcPr>
            <w:tcW w:w="2750" w:type="dxa"/>
          </w:tcPr>
          <w:p>
            <w:pPr>
              <w:pStyle w:val="TableParagraph"/>
              <w:spacing w:line="249" w:lineRule="auto" w:before="88"/>
              <w:ind w:left="77" w:right="72"/>
              <w:jc w:val="both"/>
              <w:rPr>
                <w:sz w:val="18"/>
              </w:rPr>
            </w:pPr>
            <w:r>
              <w:rPr>
                <w:color w:val="231F20"/>
                <w:w w:val="105"/>
                <w:sz w:val="18"/>
              </w:rPr>
              <w:t>Control interno y combinación de</w:t>
            </w:r>
            <w:r>
              <w:rPr>
                <w:color w:val="231F20"/>
                <w:spacing w:val="-21"/>
                <w:w w:val="105"/>
                <w:sz w:val="18"/>
              </w:rPr>
              <w:t> </w:t>
            </w:r>
            <w:r>
              <w:rPr>
                <w:color w:val="231F20"/>
                <w:w w:val="105"/>
                <w:sz w:val="18"/>
              </w:rPr>
              <w:t>recursos;</w:t>
            </w:r>
            <w:r>
              <w:rPr>
                <w:color w:val="231F20"/>
                <w:spacing w:val="-21"/>
                <w:w w:val="105"/>
                <w:sz w:val="18"/>
              </w:rPr>
              <w:t> </w:t>
            </w:r>
            <w:r>
              <w:rPr>
                <w:color w:val="231F20"/>
                <w:w w:val="105"/>
                <w:sz w:val="18"/>
              </w:rPr>
              <w:t>naturaleza</w:t>
            </w:r>
            <w:r>
              <w:rPr>
                <w:color w:val="231F20"/>
                <w:spacing w:val="-21"/>
                <w:w w:val="105"/>
                <w:sz w:val="18"/>
              </w:rPr>
              <w:t> </w:t>
            </w:r>
            <w:r>
              <w:rPr>
                <w:color w:val="231F20"/>
                <w:w w:val="105"/>
                <w:sz w:val="18"/>
              </w:rPr>
              <w:t>dinámi- ca</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las</w:t>
            </w:r>
            <w:r>
              <w:rPr>
                <w:color w:val="231F20"/>
                <w:spacing w:val="-33"/>
                <w:w w:val="105"/>
                <w:sz w:val="18"/>
              </w:rPr>
              <w:t> </w:t>
            </w:r>
            <w:r>
              <w:rPr>
                <w:color w:val="231F20"/>
                <w:w w:val="105"/>
                <w:sz w:val="18"/>
              </w:rPr>
              <w:t>capacidades.</w:t>
            </w:r>
          </w:p>
        </w:tc>
      </w:tr>
      <w:tr>
        <w:trPr>
          <w:trHeight w:val="3796" w:hRule="exact"/>
        </w:trPr>
        <w:tc>
          <w:tcPr>
            <w:tcW w:w="1426"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60"/>
              <w:ind w:left="77"/>
              <w:rPr>
                <w:sz w:val="18"/>
              </w:rPr>
            </w:pPr>
            <w:r>
              <w:rPr>
                <w:color w:val="231F20"/>
                <w:sz w:val="18"/>
              </w:rPr>
              <w:t>Supuestos</w:t>
            </w:r>
          </w:p>
        </w:tc>
        <w:tc>
          <w:tcPr>
            <w:tcW w:w="2750" w:type="dxa"/>
          </w:tcPr>
          <w:p>
            <w:pPr>
              <w:pStyle w:val="TableParagraph"/>
              <w:numPr>
                <w:ilvl w:val="0"/>
                <w:numId w:val="8"/>
              </w:numPr>
              <w:tabs>
                <w:tab w:pos="305" w:val="left" w:leader="none"/>
              </w:tabs>
              <w:spacing w:line="249" w:lineRule="auto" w:before="88" w:after="0"/>
              <w:ind w:left="304" w:right="74" w:hanging="227"/>
              <w:jc w:val="both"/>
              <w:rPr>
                <w:sz w:val="18"/>
              </w:rPr>
            </w:pPr>
            <w:r>
              <w:rPr>
                <w:color w:val="231F20"/>
                <w:sz w:val="18"/>
              </w:rPr>
              <w:t>En el</w:t>
            </w:r>
            <w:r>
              <w:rPr>
                <w:color w:val="231F20"/>
                <w:spacing w:val="-37"/>
                <w:sz w:val="18"/>
              </w:rPr>
              <w:t> </w:t>
            </w:r>
            <w:r>
              <w:rPr>
                <w:color w:val="231F20"/>
                <w:spacing w:val="-4"/>
                <w:sz w:val="18"/>
              </w:rPr>
              <w:t>ambiente están </w:t>
            </w:r>
            <w:r>
              <w:rPr>
                <w:color w:val="231F20"/>
                <w:spacing w:val="-3"/>
                <w:sz w:val="18"/>
              </w:rPr>
              <w:t>los </w:t>
            </w:r>
            <w:r>
              <w:rPr>
                <w:color w:val="231F20"/>
                <w:spacing w:val="-5"/>
                <w:sz w:val="18"/>
              </w:rPr>
              <w:t>recur- </w:t>
            </w:r>
            <w:r>
              <w:rPr>
                <w:color w:val="231F20"/>
                <w:spacing w:val="-3"/>
                <w:sz w:val="18"/>
              </w:rPr>
              <w:t>sos</w:t>
            </w:r>
            <w:r>
              <w:rPr>
                <w:color w:val="231F20"/>
                <w:spacing w:val="-21"/>
                <w:sz w:val="18"/>
              </w:rPr>
              <w:t> </w:t>
            </w:r>
            <w:r>
              <w:rPr>
                <w:color w:val="231F20"/>
                <w:spacing w:val="-4"/>
                <w:sz w:val="18"/>
              </w:rPr>
              <w:t>valiosos</w:t>
            </w:r>
            <w:r>
              <w:rPr>
                <w:color w:val="231F20"/>
                <w:spacing w:val="-21"/>
                <w:sz w:val="18"/>
              </w:rPr>
              <w:t> </w:t>
            </w:r>
            <w:r>
              <w:rPr>
                <w:color w:val="231F20"/>
                <w:sz w:val="18"/>
              </w:rPr>
              <w:t>y</w:t>
            </w:r>
            <w:r>
              <w:rPr>
                <w:color w:val="231F20"/>
                <w:spacing w:val="-21"/>
                <w:sz w:val="18"/>
              </w:rPr>
              <w:t> </w:t>
            </w:r>
            <w:r>
              <w:rPr>
                <w:color w:val="231F20"/>
                <w:spacing w:val="-4"/>
                <w:sz w:val="18"/>
              </w:rPr>
              <w:t>escasos,</w:t>
            </w:r>
            <w:r>
              <w:rPr>
                <w:color w:val="231F20"/>
                <w:spacing w:val="-27"/>
                <w:sz w:val="18"/>
              </w:rPr>
              <w:t> </w:t>
            </w:r>
            <w:r>
              <w:rPr>
                <w:color w:val="231F20"/>
                <w:spacing w:val="-4"/>
                <w:sz w:val="18"/>
              </w:rPr>
              <w:t>aunque </w:t>
            </w:r>
            <w:r>
              <w:rPr>
                <w:color w:val="231F20"/>
                <w:sz w:val="18"/>
              </w:rPr>
              <w:t>el ambiente es</w:t>
            </w:r>
            <w:r>
              <w:rPr>
                <w:color w:val="231F20"/>
                <w:spacing w:val="34"/>
                <w:sz w:val="18"/>
              </w:rPr>
              <w:t> </w:t>
            </w:r>
            <w:r>
              <w:rPr>
                <w:color w:val="231F20"/>
                <w:sz w:val="18"/>
              </w:rPr>
              <w:t>incierto.</w:t>
            </w:r>
          </w:p>
          <w:p>
            <w:pPr>
              <w:pStyle w:val="TableParagraph"/>
              <w:numPr>
                <w:ilvl w:val="0"/>
                <w:numId w:val="8"/>
              </w:numPr>
              <w:tabs>
                <w:tab w:pos="305" w:val="left" w:leader="none"/>
              </w:tabs>
              <w:spacing w:line="249" w:lineRule="auto" w:before="1" w:after="0"/>
              <w:ind w:left="304" w:right="74" w:hanging="227"/>
              <w:jc w:val="both"/>
              <w:rPr>
                <w:sz w:val="18"/>
              </w:rPr>
            </w:pPr>
            <w:r>
              <w:rPr>
                <w:color w:val="231F20"/>
                <w:sz w:val="18"/>
              </w:rPr>
              <w:t>El </w:t>
            </w:r>
            <w:r>
              <w:rPr>
                <w:color w:val="231F20"/>
                <w:spacing w:val="2"/>
                <w:sz w:val="18"/>
              </w:rPr>
              <w:t>poder está basado </w:t>
            </w:r>
            <w:r>
              <w:rPr>
                <w:color w:val="231F20"/>
                <w:sz w:val="18"/>
              </w:rPr>
              <w:t>en el intercambio en función de las necesidades y recursos</w:t>
            </w:r>
            <w:r>
              <w:rPr>
                <w:color w:val="231F20"/>
                <w:spacing w:val="-33"/>
                <w:sz w:val="18"/>
              </w:rPr>
              <w:t> </w:t>
            </w:r>
            <w:r>
              <w:rPr>
                <w:color w:val="231F20"/>
                <w:sz w:val="18"/>
              </w:rPr>
              <w:t>espe- cíficos.</w:t>
            </w:r>
          </w:p>
          <w:p>
            <w:pPr>
              <w:pStyle w:val="TableParagraph"/>
              <w:numPr>
                <w:ilvl w:val="0"/>
                <w:numId w:val="8"/>
              </w:numPr>
              <w:tabs>
                <w:tab w:pos="305" w:val="left" w:leader="none"/>
              </w:tabs>
              <w:spacing w:line="249" w:lineRule="auto" w:before="1" w:after="0"/>
              <w:ind w:left="304" w:right="71" w:hanging="227"/>
              <w:jc w:val="both"/>
              <w:rPr>
                <w:sz w:val="18"/>
              </w:rPr>
            </w:pPr>
            <w:r>
              <w:rPr>
                <w:color w:val="231F20"/>
                <w:w w:val="105"/>
                <w:sz w:val="18"/>
              </w:rPr>
              <w:t>Las</w:t>
            </w:r>
            <w:r>
              <w:rPr>
                <w:color w:val="231F20"/>
                <w:spacing w:val="-23"/>
                <w:w w:val="105"/>
                <w:sz w:val="18"/>
              </w:rPr>
              <w:t> </w:t>
            </w:r>
            <w:r>
              <w:rPr>
                <w:color w:val="231F20"/>
                <w:spacing w:val="2"/>
                <w:w w:val="105"/>
                <w:sz w:val="18"/>
              </w:rPr>
              <w:t>respuestas</w:t>
            </w:r>
            <w:r>
              <w:rPr>
                <w:color w:val="231F20"/>
                <w:spacing w:val="-23"/>
                <w:w w:val="105"/>
                <w:sz w:val="18"/>
              </w:rPr>
              <w:t> </w:t>
            </w:r>
            <w:r>
              <w:rPr>
                <w:color w:val="231F20"/>
                <w:spacing w:val="2"/>
                <w:w w:val="105"/>
                <w:sz w:val="18"/>
              </w:rPr>
              <w:t>organizacio- </w:t>
            </w:r>
            <w:r>
              <w:rPr>
                <w:color w:val="231F20"/>
                <w:w w:val="105"/>
                <w:sz w:val="18"/>
              </w:rPr>
              <w:t>nales a la interdependencia son: crecer en grande;</w:t>
            </w:r>
            <w:r>
              <w:rPr>
                <w:color w:val="231F20"/>
                <w:spacing w:val="-17"/>
                <w:w w:val="105"/>
                <w:sz w:val="18"/>
              </w:rPr>
              <w:t> </w:t>
            </w:r>
            <w:r>
              <w:rPr>
                <w:color w:val="231F20"/>
                <w:w w:val="105"/>
                <w:sz w:val="18"/>
              </w:rPr>
              <w:t>tener </w:t>
            </w:r>
            <w:r>
              <w:rPr>
                <w:color w:val="231F20"/>
                <w:spacing w:val="-4"/>
                <w:w w:val="105"/>
                <w:sz w:val="18"/>
              </w:rPr>
              <w:t>oportunidades para</w:t>
            </w:r>
            <w:r>
              <w:rPr>
                <w:color w:val="231F20"/>
                <w:spacing w:val="-32"/>
                <w:w w:val="105"/>
                <w:sz w:val="18"/>
              </w:rPr>
              <w:t> </w:t>
            </w:r>
            <w:r>
              <w:rPr>
                <w:color w:val="231F20"/>
                <w:spacing w:val="-4"/>
                <w:w w:val="105"/>
                <w:sz w:val="18"/>
              </w:rPr>
              <w:t>mantener </w:t>
            </w:r>
            <w:r>
              <w:rPr>
                <w:color w:val="231F20"/>
                <w:spacing w:val="-1"/>
                <w:sz w:val="18"/>
              </w:rPr>
              <w:t>mecanismos</w:t>
            </w:r>
            <w:r>
              <w:rPr>
                <w:color w:val="231F20"/>
                <w:spacing w:val="-23"/>
                <w:sz w:val="18"/>
              </w:rPr>
              <w:t> </w:t>
            </w:r>
            <w:r>
              <w:rPr>
                <w:color w:val="231F20"/>
                <w:sz w:val="18"/>
              </w:rPr>
              <w:t>puente,</w:t>
            </w:r>
            <w:r>
              <w:rPr>
                <w:color w:val="231F20"/>
                <w:spacing w:val="-27"/>
                <w:sz w:val="18"/>
              </w:rPr>
              <w:t> </w:t>
            </w:r>
            <w:r>
              <w:rPr>
                <w:color w:val="231F20"/>
                <w:sz w:val="18"/>
              </w:rPr>
              <w:t>alianzas, </w:t>
            </w:r>
            <w:r>
              <w:rPr>
                <w:color w:val="231F20"/>
                <w:w w:val="105"/>
                <w:sz w:val="18"/>
              </w:rPr>
              <w:t>cooptación,</w:t>
            </w:r>
            <w:r>
              <w:rPr>
                <w:color w:val="231F20"/>
                <w:spacing w:val="-32"/>
                <w:w w:val="105"/>
                <w:sz w:val="18"/>
              </w:rPr>
              <w:t> </w:t>
            </w:r>
            <w:r>
              <w:rPr>
                <w:color w:val="231F20"/>
                <w:w w:val="105"/>
                <w:sz w:val="18"/>
              </w:rPr>
              <w:t>fusiones</w:t>
            </w:r>
            <w:r>
              <w:rPr>
                <w:color w:val="231F20"/>
                <w:spacing w:val="-28"/>
                <w:w w:val="105"/>
                <w:sz w:val="18"/>
              </w:rPr>
              <w:t> </w:t>
            </w:r>
            <w:r>
              <w:rPr>
                <w:color w:val="231F20"/>
                <w:w w:val="105"/>
                <w:sz w:val="18"/>
              </w:rPr>
              <w:t>y</w:t>
            </w:r>
            <w:r>
              <w:rPr>
                <w:color w:val="231F20"/>
                <w:spacing w:val="-28"/>
                <w:w w:val="105"/>
                <w:sz w:val="18"/>
              </w:rPr>
              <w:t> </w:t>
            </w:r>
            <w:r>
              <w:rPr>
                <w:color w:val="231F20"/>
                <w:w w:val="105"/>
                <w:sz w:val="18"/>
              </w:rPr>
              <w:t>adqui- siciones; mantener</w:t>
            </w:r>
            <w:r>
              <w:rPr>
                <w:color w:val="231F20"/>
                <w:spacing w:val="-32"/>
                <w:w w:val="105"/>
                <w:sz w:val="18"/>
              </w:rPr>
              <w:t> </w:t>
            </w:r>
            <w:r>
              <w:rPr>
                <w:color w:val="231F20"/>
                <w:w w:val="105"/>
                <w:sz w:val="18"/>
              </w:rPr>
              <w:t>acciones </w:t>
            </w:r>
            <w:r>
              <w:rPr>
                <w:color w:val="231F20"/>
                <w:spacing w:val="2"/>
                <w:w w:val="105"/>
                <w:sz w:val="18"/>
              </w:rPr>
              <w:t>colectivas </w:t>
            </w:r>
            <w:r>
              <w:rPr>
                <w:color w:val="231F20"/>
                <w:w w:val="105"/>
                <w:sz w:val="18"/>
              </w:rPr>
              <w:t>con</w:t>
            </w:r>
            <w:r>
              <w:rPr>
                <w:color w:val="231F20"/>
                <w:spacing w:val="-28"/>
                <w:w w:val="105"/>
                <w:sz w:val="18"/>
              </w:rPr>
              <w:t> </w:t>
            </w:r>
            <w:r>
              <w:rPr>
                <w:color w:val="231F20"/>
                <w:spacing w:val="3"/>
                <w:w w:val="105"/>
                <w:sz w:val="18"/>
              </w:rPr>
              <w:t>asociaciones </w:t>
            </w:r>
            <w:r>
              <w:rPr>
                <w:color w:val="231F20"/>
                <w:sz w:val="18"/>
              </w:rPr>
              <w:t>comerciales, carteles, conse- jos,</w:t>
            </w:r>
            <w:r>
              <w:rPr>
                <w:color w:val="231F20"/>
                <w:spacing w:val="-12"/>
                <w:sz w:val="18"/>
              </w:rPr>
              <w:t> </w:t>
            </w:r>
            <w:r>
              <w:rPr>
                <w:color w:val="231F20"/>
                <w:sz w:val="18"/>
              </w:rPr>
              <w:t>etc.</w:t>
            </w:r>
          </w:p>
        </w:tc>
        <w:tc>
          <w:tcPr>
            <w:tcW w:w="2750" w:type="dxa"/>
          </w:tcPr>
          <w:p>
            <w:pPr>
              <w:pStyle w:val="TableParagraph"/>
              <w:numPr>
                <w:ilvl w:val="0"/>
                <w:numId w:val="9"/>
              </w:numPr>
              <w:tabs>
                <w:tab w:pos="305" w:val="left" w:leader="none"/>
              </w:tabs>
              <w:spacing w:line="249" w:lineRule="auto" w:before="88" w:after="0"/>
              <w:ind w:left="304" w:right="70" w:hanging="227"/>
              <w:jc w:val="both"/>
              <w:rPr>
                <w:sz w:val="18"/>
              </w:rPr>
            </w:pPr>
            <w:r>
              <w:rPr>
                <w:color w:val="231F20"/>
                <w:w w:val="105"/>
                <w:sz w:val="18"/>
              </w:rPr>
              <w:t>Las</w:t>
            </w:r>
            <w:r>
              <w:rPr>
                <w:color w:val="231F20"/>
                <w:spacing w:val="-32"/>
                <w:w w:val="105"/>
                <w:sz w:val="18"/>
              </w:rPr>
              <w:t> </w:t>
            </w:r>
            <w:r>
              <w:rPr>
                <w:color w:val="231F20"/>
                <w:w w:val="105"/>
                <w:sz w:val="18"/>
              </w:rPr>
              <w:t>empresas</w:t>
            </w:r>
            <w:r>
              <w:rPr>
                <w:color w:val="231F20"/>
                <w:spacing w:val="-32"/>
                <w:w w:val="105"/>
                <w:sz w:val="18"/>
              </w:rPr>
              <w:t> </w:t>
            </w:r>
            <w:r>
              <w:rPr>
                <w:color w:val="231F20"/>
                <w:w w:val="105"/>
                <w:sz w:val="18"/>
              </w:rPr>
              <w:t>dentro</w:t>
            </w:r>
            <w:r>
              <w:rPr>
                <w:color w:val="231F20"/>
                <w:spacing w:val="-32"/>
                <w:w w:val="105"/>
                <w:sz w:val="18"/>
              </w:rPr>
              <w:t> </w:t>
            </w:r>
            <w:r>
              <w:rPr>
                <w:color w:val="231F20"/>
                <w:w w:val="105"/>
                <w:sz w:val="18"/>
              </w:rPr>
              <w:t>del</w:t>
            </w:r>
            <w:r>
              <w:rPr>
                <w:color w:val="231F20"/>
                <w:spacing w:val="-32"/>
                <w:w w:val="105"/>
                <w:sz w:val="18"/>
              </w:rPr>
              <w:t> </w:t>
            </w:r>
            <w:r>
              <w:rPr>
                <w:color w:val="231F20"/>
                <w:w w:val="105"/>
                <w:sz w:val="18"/>
              </w:rPr>
              <w:t>sec- tor son </w:t>
            </w:r>
            <w:r>
              <w:rPr>
                <w:color w:val="231F20"/>
                <w:spacing w:val="2"/>
                <w:w w:val="105"/>
                <w:sz w:val="18"/>
              </w:rPr>
              <w:t>iguales </w:t>
            </w:r>
            <w:r>
              <w:rPr>
                <w:color w:val="231F20"/>
                <w:w w:val="105"/>
                <w:sz w:val="18"/>
              </w:rPr>
              <w:t>en </w:t>
            </w:r>
            <w:r>
              <w:rPr>
                <w:color w:val="231F20"/>
                <w:spacing w:val="3"/>
                <w:w w:val="105"/>
                <w:sz w:val="18"/>
              </w:rPr>
              <w:t>términos </w:t>
            </w:r>
            <w:r>
              <w:rPr>
                <w:color w:val="231F20"/>
                <w:w w:val="105"/>
                <w:sz w:val="18"/>
              </w:rPr>
              <w:t>del control de </w:t>
            </w:r>
            <w:r>
              <w:rPr>
                <w:color w:val="231F20"/>
                <w:spacing w:val="2"/>
                <w:w w:val="105"/>
                <w:sz w:val="18"/>
              </w:rPr>
              <w:t>recursos </w:t>
            </w:r>
            <w:r>
              <w:rPr>
                <w:color w:val="231F20"/>
                <w:w w:val="105"/>
                <w:sz w:val="18"/>
              </w:rPr>
              <w:t>y </w:t>
            </w:r>
            <w:r>
              <w:rPr>
                <w:color w:val="231F20"/>
                <w:spacing w:val="3"/>
                <w:w w:val="105"/>
                <w:sz w:val="18"/>
              </w:rPr>
              <w:t>la </w:t>
            </w:r>
            <w:r>
              <w:rPr>
                <w:color w:val="231F20"/>
                <w:sz w:val="18"/>
              </w:rPr>
              <w:t>persecución de</w:t>
            </w:r>
            <w:r>
              <w:rPr>
                <w:color w:val="231F20"/>
                <w:spacing w:val="26"/>
                <w:sz w:val="18"/>
              </w:rPr>
              <w:t> </w:t>
            </w:r>
            <w:r>
              <w:rPr>
                <w:color w:val="231F20"/>
                <w:sz w:val="18"/>
              </w:rPr>
              <w:t>estrategias.</w:t>
            </w:r>
          </w:p>
          <w:p>
            <w:pPr>
              <w:pStyle w:val="TableParagraph"/>
              <w:numPr>
                <w:ilvl w:val="0"/>
                <w:numId w:val="9"/>
              </w:numPr>
              <w:tabs>
                <w:tab w:pos="305" w:val="left" w:leader="none"/>
              </w:tabs>
              <w:spacing w:line="249" w:lineRule="auto" w:before="1" w:after="0"/>
              <w:ind w:left="304" w:right="74" w:hanging="227"/>
              <w:jc w:val="both"/>
              <w:rPr>
                <w:sz w:val="18"/>
              </w:rPr>
            </w:pPr>
            <w:r>
              <w:rPr>
                <w:color w:val="231F20"/>
                <w:spacing w:val="-3"/>
                <w:sz w:val="18"/>
              </w:rPr>
              <w:t>La </w:t>
            </w:r>
            <w:r>
              <w:rPr>
                <w:color w:val="231F20"/>
                <w:spacing w:val="-5"/>
                <w:sz w:val="18"/>
              </w:rPr>
              <w:t>empresa </w:t>
            </w:r>
            <w:r>
              <w:rPr>
                <w:color w:val="231F20"/>
                <w:spacing w:val="-4"/>
                <w:sz w:val="18"/>
              </w:rPr>
              <w:t>busca </w:t>
            </w:r>
            <w:r>
              <w:rPr>
                <w:color w:val="231F20"/>
                <w:spacing w:val="-3"/>
                <w:sz w:val="18"/>
              </w:rPr>
              <w:t>la</w:t>
            </w:r>
            <w:r>
              <w:rPr>
                <w:color w:val="231F20"/>
                <w:spacing w:val="-21"/>
                <w:sz w:val="18"/>
              </w:rPr>
              <w:t> </w:t>
            </w:r>
            <w:r>
              <w:rPr>
                <w:color w:val="231F20"/>
                <w:spacing w:val="-5"/>
                <w:sz w:val="18"/>
              </w:rPr>
              <w:t>heteroge- </w:t>
            </w:r>
            <w:r>
              <w:rPr>
                <w:color w:val="231F20"/>
                <w:sz w:val="18"/>
              </w:rPr>
              <w:t>neidad de los</w:t>
            </w:r>
            <w:r>
              <w:rPr>
                <w:color w:val="231F20"/>
                <w:spacing w:val="21"/>
                <w:sz w:val="18"/>
              </w:rPr>
              <w:t> </w:t>
            </w:r>
            <w:r>
              <w:rPr>
                <w:color w:val="231F20"/>
                <w:sz w:val="18"/>
              </w:rPr>
              <w:t>recursos.</w:t>
            </w:r>
          </w:p>
          <w:p>
            <w:pPr>
              <w:pStyle w:val="TableParagraph"/>
              <w:numPr>
                <w:ilvl w:val="0"/>
                <w:numId w:val="9"/>
              </w:numPr>
              <w:tabs>
                <w:tab w:pos="305" w:val="left" w:leader="none"/>
              </w:tabs>
              <w:spacing w:line="249" w:lineRule="auto" w:before="1" w:after="0"/>
              <w:ind w:left="304" w:right="68" w:hanging="227"/>
              <w:jc w:val="both"/>
              <w:rPr>
                <w:sz w:val="18"/>
              </w:rPr>
            </w:pPr>
            <w:r>
              <w:rPr>
                <w:color w:val="231F20"/>
                <w:spacing w:val="-4"/>
                <w:sz w:val="18"/>
              </w:rPr>
              <w:t>Los</w:t>
            </w:r>
            <w:r>
              <w:rPr>
                <w:color w:val="231F20"/>
                <w:spacing w:val="-18"/>
                <w:sz w:val="18"/>
              </w:rPr>
              <w:t> </w:t>
            </w:r>
            <w:r>
              <w:rPr>
                <w:color w:val="231F20"/>
                <w:spacing w:val="-4"/>
                <w:sz w:val="18"/>
              </w:rPr>
              <w:t>recursos</w:t>
            </w:r>
            <w:r>
              <w:rPr>
                <w:color w:val="231F20"/>
                <w:spacing w:val="-18"/>
                <w:sz w:val="18"/>
              </w:rPr>
              <w:t> </w:t>
            </w:r>
            <w:r>
              <w:rPr>
                <w:color w:val="231F20"/>
                <w:sz w:val="18"/>
              </w:rPr>
              <w:t>y</w:t>
            </w:r>
            <w:r>
              <w:rPr>
                <w:color w:val="231F20"/>
                <w:spacing w:val="-18"/>
                <w:sz w:val="18"/>
              </w:rPr>
              <w:t> </w:t>
            </w:r>
            <w:r>
              <w:rPr>
                <w:color w:val="231F20"/>
                <w:spacing w:val="-3"/>
                <w:sz w:val="18"/>
              </w:rPr>
              <w:t>las</w:t>
            </w:r>
            <w:r>
              <w:rPr>
                <w:color w:val="231F20"/>
                <w:spacing w:val="-18"/>
                <w:sz w:val="18"/>
              </w:rPr>
              <w:t> </w:t>
            </w:r>
            <w:r>
              <w:rPr>
                <w:color w:val="231F20"/>
                <w:spacing w:val="-4"/>
                <w:sz w:val="18"/>
              </w:rPr>
              <w:t>capacidades </w:t>
            </w:r>
            <w:r>
              <w:rPr>
                <w:color w:val="231F20"/>
                <w:sz w:val="18"/>
              </w:rPr>
              <w:t>deben ser valiosos, escasos, inimitables, insustituibles, du- raderos e</w:t>
            </w:r>
            <w:r>
              <w:rPr>
                <w:color w:val="231F20"/>
                <w:spacing w:val="17"/>
                <w:sz w:val="18"/>
              </w:rPr>
              <w:t> </w:t>
            </w:r>
            <w:r>
              <w:rPr>
                <w:color w:val="231F20"/>
                <w:sz w:val="18"/>
              </w:rPr>
              <w:t>intransferibles.</w:t>
            </w:r>
          </w:p>
        </w:tc>
      </w:tr>
      <w:tr>
        <w:trPr>
          <w:trHeight w:val="556" w:hRule="exact"/>
        </w:trPr>
        <w:tc>
          <w:tcPr>
            <w:tcW w:w="1426" w:type="dxa"/>
          </w:tcPr>
          <w:p>
            <w:pPr>
              <w:pStyle w:val="TableParagraph"/>
              <w:spacing w:before="88"/>
              <w:ind w:left="77"/>
              <w:rPr>
                <w:sz w:val="18"/>
              </w:rPr>
            </w:pPr>
            <w:r>
              <w:rPr>
                <w:color w:val="231F20"/>
                <w:w w:val="105"/>
                <w:sz w:val="18"/>
              </w:rPr>
              <w:t>Literatura</w:t>
            </w:r>
          </w:p>
        </w:tc>
        <w:tc>
          <w:tcPr>
            <w:tcW w:w="2750" w:type="dxa"/>
          </w:tcPr>
          <w:p>
            <w:pPr>
              <w:pStyle w:val="TableParagraph"/>
              <w:spacing w:before="88"/>
              <w:ind w:left="77" w:right="188"/>
              <w:rPr>
                <w:sz w:val="18"/>
              </w:rPr>
            </w:pPr>
            <w:r>
              <w:rPr>
                <w:color w:val="231F20"/>
                <w:sz w:val="18"/>
              </w:rPr>
              <w:t>Sociología y Ciencia Política</w:t>
            </w:r>
          </w:p>
        </w:tc>
        <w:tc>
          <w:tcPr>
            <w:tcW w:w="2750" w:type="dxa"/>
          </w:tcPr>
          <w:p>
            <w:pPr>
              <w:pStyle w:val="TableParagraph"/>
              <w:spacing w:line="249" w:lineRule="auto" w:before="88"/>
              <w:ind w:left="77" w:right="188"/>
              <w:rPr>
                <w:sz w:val="18"/>
              </w:rPr>
            </w:pPr>
            <w:r>
              <w:rPr>
                <w:color w:val="231F20"/>
                <w:w w:val="105"/>
                <w:sz w:val="18"/>
              </w:rPr>
              <w:t>Teoría de crecimiento econó- mico</w:t>
            </w:r>
          </w:p>
        </w:tc>
      </w:tr>
      <w:tr>
        <w:trPr>
          <w:trHeight w:val="556" w:hRule="exact"/>
        </w:trPr>
        <w:tc>
          <w:tcPr>
            <w:tcW w:w="1426" w:type="dxa"/>
          </w:tcPr>
          <w:p>
            <w:pPr>
              <w:pStyle w:val="TableParagraph"/>
              <w:spacing w:before="88"/>
              <w:ind w:left="77"/>
              <w:rPr>
                <w:sz w:val="18"/>
              </w:rPr>
            </w:pPr>
            <w:r>
              <w:rPr>
                <w:color w:val="231F20"/>
                <w:sz w:val="18"/>
              </w:rPr>
              <w:t>Trabajos clave</w:t>
            </w:r>
          </w:p>
        </w:tc>
        <w:tc>
          <w:tcPr>
            <w:tcW w:w="2750" w:type="dxa"/>
          </w:tcPr>
          <w:p>
            <w:pPr>
              <w:pStyle w:val="TableParagraph"/>
              <w:spacing w:line="249" w:lineRule="auto" w:before="88"/>
              <w:ind w:left="77" w:right="205"/>
              <w:rPr>
                <w:sz w:val="18"/>
              </w:rPr>
            </w:pPr>
            <w:r>
              <w:rPr>
                <w:color w:val="231F20"/>
                <w:sz w:val="18"/>
              </w:rPr>
              <w:t>Pfeffer y Salancik, 1978 Pfeffer, 1987</w:t>
            </w:r>
          </w:p>
        </w:tc>
        <w:tc>
          <w:tcPr>
            <w:tcW w:w="2750" w:type="dxa"/>
          </w:tcPr>
          <w:p>
            <w:pPr>
              <w:pStyle w:val="TableParagraph"/>
              <w:spacing w:before="88"/>
              <w:ind w:left="77" w:right="188"/>
              <w:rPr>
                <w:sz w:val="18"/>
              </w:rPr>
            </w:pPr>
            <w:r>
              <w:rPr>
                <w:color w:val="231F20"/>
                <w:sz w:val="18"/>
              </w:rPr>
              <w:t>Penrose, 1955</w:t>
            </w:r>
          </w:p>
          <w:p>
            <w:pPr>
              <w:pStyle w:val="TableParagraph"/>
              <w:spacing w:before="9"/>
              <w:ind w:left="77" w:right="188"/>
              <w:rPr>
                <w:sz w:val="18"/>
              </w:rPr>
            </w:pPr>
            <w:r>
              <w:rPr>
                <w:color w:val="231F20"/>
                <w:sz w:val="18"/>
              </w:rPr>
              <w:t>Barney, 1986</w:t>
            </w:r>
          </w:p>
        </w:tc>
      </w:tr>
    </w:tbl>
    <w:p>
      <w:pPr>
        <w:spacing w:before="18"/>
        <w:ind w:left="123"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23" w:right="115"/>
        <w:jc w:val="both"/>
      </w:pPr>
      <w:r>
        <w:rPr>
          <w:color w:val="231F20"/>
          <w:w w:val="105"/>
        </w:rPr>
        <w:t>Desde</w:t>
      </w:r>
      <w:r>
        <w:rPr>
          <w:color w:val="231F20"/>
          <w:spacing w:val="-23"/>
          <w:w w:val="105"/>
        </w:rPr>
        <w:t> </w:t>
      </w:r>
      <w:r>
        <w:rPr>
          <w:color w:val="231F20"/>
          <w:w w:val="105"/>
        </w:rPr>
        <w:t>lo</w:t>
      </w:r>
      <w:r>
        <w:rPr>
          <w:color w:val="231F20"/>
          <w:spacing w:val="-23"/>
          <w:w w:val="105"/>
        </w:rPr>
        <w:t> </w:t>
      </w:r>
      <w:r>
        <w:rPr>
          <w:color w:val="231F20"/>
          <w:w w:val="105"/>
        </w:rPr>
        <w:t>económico-administrativo,</w:t>
      </w:r>
      <w:r>
        <w:rPr>
          <w:color w:val="231F20"/>
          <w:spacing w:val="-28"/>
          <w:w w:val="105"/>
        </w:rPr>
        <w:t> </w:t>
      </w:r>
      <w:r>
        <w:rPr>
          <w:color w:val="231F20"/>
          <w:w w:val="105"/>
        </w:rPr>
        <w:t>la</w:t>
      </w:r>
      <w:r>
        <w:rPr>
          <w:color w:val="231F20"/>
          <w:spacing w:val="-23"/>
          <w:w w:val="105"/>
        </w:rPr>
        <w:t> </w:t>
      </w:r>
      <w:r>
        <w:rPr>
          <w:color w:val="231F20"/>
          <w:w w:val="105"/>
        </w:rPr>
        <w:t>comparación</w:t>
      </w:r>
      <w:r>
        <w:rPr>
          <w:color w:val="231F20"/>
          <w:spacing w:val="-23"/>
          <w:w w:val="105"/>
        </w:rPr>
        <w:t> </w:t>
      </w:r>
      <w:r>
        <w:rPr>
          <w:color w:val="231F20"/>
          <w:w w:val="105"/>
        </w:rPr>
        <w:t>de</w:t>
      </w:r>
      <w:r>
        <w:rPr>
          <w:color w:val="231F20"/>
          <w:spacing w:val="-23"/>
          <w:w w:val="105"/>
        </w:rPr>
        <w:t> </w:t>
      </w:r>
      <w:r>
        <w:rPr>
          <w:color w:val="231F20"/>
          <w:w w:val="105"/>
        </w:rPr>
        <w:t>estas</w:t>
      </w:r>
      <w:r>
        <w:rPr>
          <w:color w:val="231F20"/>
          <w:spacing w:val="-23"/>
          <w:w w:val="105"/>
        </w:rPr>
        <w:t> </w:t>
      </w:r>
      <w:r>
        <w:rPr>
          <w:color w:val="231F20"/>
          <w:w w:val="105"/>
        </w:rPr>
        <w:t>dos</w:t>
      </w:r>
      <w:r>
        <w:rPr>
          <w:color w:val="231F20"/>
          <w:spacing w:val="-23"/>
          <w:w w:val="105"/>
        </w:rPr>
        <w:t> </w:t>
      </w:r>
      <w:r>
        <w:rPr>
          <w:color w:val="231F20"/>
          <w:w w:val="105"/>
        </w:rPr>
        <w:t>teorías permite</w:t>
      </w:r>
      <w:r>
        <w:rPr>
          <w:color w:val="231F20"/>
          <w:spacing w:val="-30"/>
          <w:w w:val="105"/>
        </w:rPr>
        <w:t> </w:t>
      </w:r>
      <w:r>
        <w:rPr>
          <w:color w:val="231F20"/>
          <w:w w:val="105"/>
        </w:rPr>
        <w:t>confirmar</w:t>
      </w:r>
      <w:r>
        <w:rPr>
          <w:color w:val="231F20"/>
          <w:spacing w:val="-30"/>
          <w:w w:val="105"/>
        </w:rPr>
        <w:t> </w:t>
      </w:r>
      <w:r>
        <w:rPr>
          <w:color w:val="231F20"/>
          <w:w w:val="105"/>
        </w:rPr>
        <w:t>cómo</w:t>
      </w:r>
      <w:r>
        <w:rPr>
          <w:color w:val="231F20"/>
          <w:spacing w:val="-30"/>
          <w:w w:val="105"/>
        </w:rPr>
        <w:t> </w:t>
      </w:r>
      <w:r>
        <w:rPr>
          <w:color w:val="231F20"/>
          <w:w w:val="105"/>
        </w:rPr>
        <w:t>las</w:t>
      </w:r>
      <w:r>
        <w:rPr>
          <w:color w:val="231F20"/>
          <w:spacing w:val="-30"/>
          <w:w w:val="105"/>
        </w:rPr>
        <w:t> </w:t>
      </w:r>
      <w:r>
        <w:rPr>
          <w:color w:val="231F20"/>
          <w:w w:val="105"/>
        </w:rPr>
        <w:t>organizaciones</w:t>
      </w:r>
      <w:r>
        <w:rPr>
          <w:color w:val="231F20"/>
          <w:spacing w:val="-30"/>
          <w:w w:val="105"/>
        </w:rPr>
        <w:t> </w:t>
      </w:r>
      <w:r>
        <w:rPr>
          <w:color w:val="231F20"/>
          <w:w w:val="105"/>
        </w:rPr>
        <w:t>especifican</w:t>
      </w:r>
      <w:r>
        <w:rPr>
          <w:color w:val="231F20"/>
          <w:spacing w:val="-30"/>
          <w:w w:val="105"/>
        </w:rPr>
        <w:t> </w:t>
      </w:r>
      <w:r>
        <w:rPr>
          <w:color w:val="231F20"/>
          <w:w w:val="105"/>
        </w:rPr>
        <w:t>internamente</w:t>
      </w:r>
      <w:r>
        <w:rPr>
          <w:color w:val="231F20"/>
          <w:spacing w:val="-30"/>
          <w:w w:val="105"/>
        </w:rPr>
        <w:t> </w:t>
      </w:r>
      <w:r>
        <w:rPr>
          <w:color w:val="231F20"/>
          <w:w w:val="105"/>
        </w:rPr>
        <w:t>sus necesidades de recursos y capacidades y cómo se relacionan</w:t>
      </w:r>
      <w:r>
        <w:rPr>
          <w:color w:val="231F20"/>
          <w:spacing w:val="-27"/>
          <w:w w:val="105"/>
        </w:rPr>
        <w:t> </w:t>
      </w:r>
      <w:r>
        <w:rPr>
          <w:color w:val="231F20"/>
          <w:w w:val="105"/>
        </w:rPr>
        <w:t>externa- mente para conformar u obtenerlos, aunque también la manera en</w:t>
      </w:r>
      <w:r>
        <w:rPr>
          <w:color w:val="231F20"/>
          <w:spacing w:val="-12"/>
          <w:w w:val="105"/>
        </w:rPr>
        <w:t> </w:t>
      </w:r>
      <w:r>
        <w:rPr>
          <w:color w:val="231F20"/>
          <w:w w:val="105"/>
        </w:rPr>
        <w:t>que las</w:t>
      </w:r>
      <w:r>
        <w:rPr>
          <w:color w:val="231F20"/>
          <w:spacing w:val="-22"/>
          <w:w w:val="105"/>
        </w:rPr>
        <w:t> </w:t>
      </w:r>
      <w:r>
        <w:rPr>
          <w:color w:val="231F20"/>
          <w:w w:val="105"/>
        </w:rPr>
        <w:t>organizaciones</w:t>
      </w:r>
      <w:r>
        <w:rPr>
          <w:color w:val="231F20"/>
          <w:spacing w:val="-22"/>
          <w:w w:val="105"/>
        </w:rPr>
        <w:t> </w:t>
      </w:r>
      <w:r>
        <w:rPr>
          <w:color w:val="231F20"/>
          <w:w w:val="105"/>
        </w:rPr>
        <w:t>pueden</w:t>
      </w:r>
      <w:r>
        <w:rPr>
          <w:color w:val="231F20"/>
          <w:spacing w:val="-22"/>
          <w:w w:val="105"/>
        </w:rPr>
        <w:t> </w:t>
      </w:r>
      <w:r>
        <w:rPr>
          <w:color w:val="231F20"/>
          <w:w w:val="105"/>
        </w:rPr>
        <w:t>incrementar</w:t>
      </w:r>
      <w:r>
        <w:rPr>
          <w:color w:val="231F20"/>
          <w:spacing w:val="-22"/>
          <w:w w:val="105"/>
        </w:rPr>
        <w:t> </w:t>
      </w:r>
      <w:r>
        <w:rPr>
          <w:color w:val="231F20"/>
          <w:w w:val="105"/>
        </w:rPr>
        <w:t>su</w:t>
      </w:r>
      <w:r>
        <w:rPr>
          <w:color w:val="231F20"/>
          <w:spacing w:val="-22"/>
          <w:w w:val="105"/>
        </w:rPr>
        <w:t> </w:t>
      </w:r>
      <w:r>
        <w:rPr>
          <w:color w:val="231F20"/>
          <w:w w:val="105"/>
        </w:rPr>
        <w:t>control</w:t>
      </w:r>
      <w:r>
        <w:rPr>
          <w:color w:val="231F20"/>
          <w:spacing w:val="-22"/>
          <w:w w:val="105"/>
        </w:rPr>
        <w:t> </w:t>
      </w:r>
      <w:r>
        <w:rPr>
          <w:color w:val="231F20"/>
          <w:w w:val="105"/>
        </w:rPr>
        <w:t>sobre</w:t>
      </w:r>
      <w:r>
        <w:rPr>
          <w:color w:val="231F20"/>
          <w:spacing w:val="-22"/>
          <w:w w:val="105"/>
        </w:rPr>
        <w:t> </w:t>
      </w:r>
      <w:r>
        <w:rPr>
          <w:color w:val="231F20"/>
          <w:w w:val="105"/>
        </w:rPr>
        <w:t>los</w:t>
      </w:r>
      <w:r>
        <w:rPr>
          <w:color w:val="231F20"/>
          <w:spacing w:val="-22"/>
          <w:w w:val="105"/>
        </w:rPr>
        <w:t> </w:t>
      </w:r>
      <w:r>
        <w:rPr>
          <w:color w:val="231F20"/>
          <w:w w:val="105"/>
        </w:rPr>
        <w:t>recursos</w:t>
      </w:r>
      <w:r>
        <w:rPr>
          <w:color w:val="231F20"/>
          <w:spacing w:val="-22"/>
          <w:w w:val="105"/>
        </w:rPr>
        <w:t> </w:t>
      </w:r>
      <w:r>
        <w:rPr>
          <w:color w:val="231F20"/>
          <w:w w:val="105"/>
        </w:rPr>
        <w:t>crí- ticos</w:t>
      </w:r>
      <w:r>
        <w:rPr>
          <w:color w:val="231F20"/>
          <w:spacing w:val="-20"/>
          <w:w w:val="105"/>
        </w:rPr>
        <w:t> </w:t>
      </w:r>
      <w:r>
        <w:rPr>
          <w:color w:val="231F20"/>
          <w:w w:val="105"/>
        </w:rPr>
        <w:t>que</w:t>
      </w:r>
      <w:r>
        <w:rPr>
          <w:color w:val="231F20"/>
          <w:spacing w:val="-20"/>
          <w:w w:val="105"/>
        </w:rPr>
        <w:t> </w:t>
      </w:r>
      <w:r>
        <w:rPr>
          <w:color w:val="231F20"/>
          <w:w w:val="105"/>
        </w:rPr>
        <w:t>ofrecen</w:t>
      </w:r>
      <w:r>
        <w:rPr>
          <w:color w:val="231F20"/>
          <w:spacing w:val="-20"/>
          <w:w w:val="105"/>
        </w:rPr>
        <w:t> </w:t>
      </w:r>
      <w:r>
        <w:rPr>
          <w:color w:val="231F20"/>
          <w:w w:val="105"/>
        </w:rPr>
        <w:t>ventaja</w:t>
      </w:r>
      <w:r>
        <w:rPr>
          <w:color w:val="231F20"/>
          <w:spacing w:val="-20"/>
          <w:w w:val="105"/>
        </w:rPr>
        <w:t> </w:t>
      </w:r>
      <w:r>
        <w:rPr>
          <w:color w:val="231F20"/>
          <w:w w:val="105"/>
        </w:rPr>
        <w:t>competitiva</w:t>
      </w:r>
      <w:r>
        <w:rPr>
          <w:color w:val="231F20"/>
          <w:spacing w:val="-20"/>
          <w:w w:val="105"/>
        </w:rPr>
        <w:t> </w:t>
      </w:r>
      <w:r>
        <w:rPr>
          <w:color w:val="231F20"/>
          <w:w w:val="105"/>
        </w:rPr>
        <w:t>y</w:t>
      </w:r>
      <w:r>
        <w:rPr>
          <w:color w:val="231F20"/>
          <w:spacing w:val="-20"/>
          <w:w w:val="105"/>
        </w:rPr>
        <w:t> </w:t>
      </w:r>
      <w:r>
        <w:rPr>
          <w:color w:val="231F20"/>
          <w:w w:val="105"/>
        </w:rPr>
        <w:t>cómo</w:t>
      </w:r>
      <w:r>
        <w:rPr>
          <w:color w:val="231F20"/>
          <w:spacing w:val="-20"/>
          <w:w w:val="105"/>
        </w:rPr>
        <w:t> </w:t>
      </w:r>
      <w:r>
        <w:rPr>
          <w:color w:val="231F20"/>
          <w:w w:val="105"/>
        </w:rPr>
        <w:t>el</w:t>
      </w:r>
      <w:r>
        <w:rPr>
          <w:color w:val="231F20"/>
          <w:spacing w:val="-20"/>
          <w:w w:val="105"/>
        </w:rPr>
        <w:t> </w:t>
      </w:r>
      <w:r>
        <w:rPr>
          <w:color w:val="231F20"/>
          <w:w w:val="105"/>
        </w:rPr>
        <w:t>desarrollo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interde- pendencias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recursos</w:t>
      </w:r>
      <w:r>
        <w:rPr>
          <w:color w:val="231F20"/>
          <w:spacing w:val="-21"/>
          <w:w w:val="105"/>
        </w:rPr>
        <w:t> </w:t>
      </w:r>
      <w:r>
        <w:rPr>
          <w:color w:val="231F20"/>
          <w:w w:val="105"/>
        </w:rPr>
        <w:t>afecta</w:t>
      </w:r>
      <w:r>
        <w:rPr>
          <w:color w:val="231F20"/>
          <w:spacing w:val="-21"/>
          <w:w w:val="105"/>
        </w:rPr>
        <w:t> </w:t>
      </w:r>
      <w:r>
        <w:rPr>
          <w:color w:val="231F20"/>
          <w:w w:val="105"/>
        </w:rPr>
        <w:t>la</w:t>
      </w:r>
      <w:r>
        <w:rPr>
          <w:color w:val="231F20"/>
          <w:spacing w:val="-21"/>
          <w:w w:val="105"/>
        </w:rPr>
        <w:t> </w:t>
      </w:r>
      <w:r>
        <w:rPr>
          <w:color w:val="231F20"/>
          <w:w w:val="105"/>
        </w:rPr>
        <w:t>ventaja</w:t>
      </w:r>
      <w:r>
        <w:rPr>
          <w:color w:val="231F20"/>
          <w:spacing w:val="-21"/>
          <w:w w:val="105"/>
        </w:rPr>
        <w:t> </w:t>
      </w:r>
      <w:r>
        <w:rPr>
          <w:color w:val="231F20"/>
          <w:w w:val="105"/>
        </w:rPr>
        <w:t>derivada</w:t>
      </w:r>
      <w:r>
        <w:rPr>
          <w:color w:val="231F20"/>
          <w:spacing w:val="-21"/>
          <w:w w:val="105"/>
        </w:rPr>
        <w:t> </w:t>
      </w:r>
      <w:r>
        <w:rPr>
          <w:color w:val="231F20"/>
          <w:w w:val="105"/>
        </w:rPr>
        <w:t>de</w:t>
      </w:r>
      <w:r>
        <w:rPr>
          <w:color w:val="231F20"/>
          <w:spacing w:val="-21"/>
          <w:w w:val="105"/>
        </w:rPr>
        <w:t> </w:t>
      </w:r>
      <w:r>
        <w:rPr>
          <w:color w:val="231F20"/>
          <w:w w:val="105"/>
        </w:rPr>
        <w:t>ellos.</w:t>
      </w:r>
    </w:p>
    <w:p>
      <w:pPr>
        <w:pStyle w:val="BodyText"/>
        <w:spacing w:line="259" w:lineRule="auto"/>
        <w:ind w:left="123" w:right="115" w:firstLine="567"/>
        <w:jc w:val="both"/>
      </w:pPr>
      <w:r>
        <w:rPr>
          <w:color w:val="231F20"/>
        </w:rPr>
        <w:t>Los lazos entre las organizaciones se dan, necesariamente, entre agentes externos y pueden ser de alcance simbiótico (de sobrevivencia)   o competitivo (Hillman, </w:t>
      </w:r>
      <w:r>
        <w:rPr>
          <w:i/>
          <w:color w:val="231F20"/>
        </w:rPr>
        <w:t>et al</w:t>
      </w:r>
      <w:r>
        <w:rPr>
          <w:color w:val="231F20"/>
        </w:rPr>
        <w:t>, 2009). </w:t>
      </w:r>
      <w:r>
        <w:rPr>
          <w:color w:val="231F20"/>
          <w:spacing w:val="-6"/>
        </w:rPr>
        <w:t>Por </w:t>
      </w:r>
      <w:r>
        <w:rPr>
          <w:color w:val="231F20"/>
        </w:rPr>
        <w:t>ejemplo las instituciones de  </w:t>
      </w:r>
      <w:r>
        <w:rPr>
          <w:color w:val="231F20"/>
          <w:spacing w:val="37"/>
        </w:rPr>
        <w:t> </w:t>
      </w:r>
      <w:r>
        <w:rPr>
          <w:color w:val="231F20"/>
        </w:rPr>
        <w:t>edu-</w:t>
      </w:r>
    </w:p>
    <w:p>
      <w:pPr>
        <w:pStyle w:val="BodyText"/>
        <w:rPr>
          <w:sz w:val="20"/>
        </w:rPr>
      </w:pPr>
    </w:p>
    <w:p>
      <w:pPr>
        <w:pStyle w:val="BodyText"/>
        <w:rPr>
          <w:sz w:val="20"/>
        </w:rPr>
      </w:pPr>
    </w:p>
    <w:p>
      <w:pPr>
        <w:pStyle w:val="BodyText"/>
        <w:rPr>
          <w:sz w:val="27"/>
        </w:rPr>
      </w:pPr>
    </w:p>
    <w:p>
      <w:pPr>
        <w:tabs>
          <w:tab w:pos="1337" w:val="left" w:leader="none"/>
        </w:tabs>
        <w:spacing w:before="70"/>
        <w:ind w:left="287" w:right="114" w:firstLine="0"/>
        <w:jc w:val="left"/>
        <w:rPr>
          <w:rFonts w:ascii="Calibri" w:hAnsi="Calibri"/>
          <w:sz w:val="15"/>
        </w:rPr>
      </w:pPr>
      <w:r>
        <w:rPr/>
        <w:pict>
          <v:group style="position:absolute;margin-left:101.817299pt;margin-top:-16.799887pt;width:17.850pt;height:56.5pt;mso-position-horizontal-relative:page;mso-position-vertical-relative:paragraph;z-index:-24630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28</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180" w:right="1300"/>
        </w:sectPr>
      </w:pPr>
    </w:p>
    <w:p>
      <w:pPr>
        <w:pStyle w:val="BodyText"/>
        <w:rPr>
          <w:rFonts w:ascii="Calibri"/>
          <w:sz w:val="20"/>
        </w:rPr>
      </w:pPr>
    </w:p>
    <w:p>
      <w:pPr>
        <w:pStyle w:val="BodyText"/>
        <w:spacing w:before="8"/>
        <w:rPr>
          <w:rFonts w:ascii="Calibri"/>
          <w:sz w:val="20"/>
        </w:rPr>
      </w:pPr>
    </w:p>
    <w:p>
      <w:pPr>
        <w:pStyle w:val="ListParagraph"/>
        <w:numPr>
          <w:ilvl w:val="0"/>
          <w:numId w:val="10"/>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280"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29</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spacing w:before="3"/>
        <w:rPr>
          <w:rFonts w:ascii="Lucida Sans Unicode"/>
          <w:sz w:val="29"/>
        </w:rPr>
      </w:pPr>
    </w:p>
    <w:p>
      <w:pPr>
        <w:pStyle w:val="BodyText"/>
        <w:spacing w:line="259" w:lineRule="auto"/>
        <w:ind w:left="117" w:right="115"/>
        <w:jc w:val="both"/>
      </w:pPr>
      <w:r>
        <w:rPr>
          <w:color w:val="231F20"/>
          <w:w w:val="105"/>
        </w:rPr>
        <w:t>cación</w:t>
      </w:r>
      <w:r>
        <w:rPr>
          <w:color w:val="231F20"/>
          <w:spacing w:val="-20"/>
          <w:w w:val="105"/>
        </w:rPr>
        <w:t> </w:t>
      </w:r>
      <w:r>
        <w:rPr>
          <w:color w:val="231F20"/>
          <w:w w:val="105"/>
        </w:rPr>
        <w:t>superior</w:t>
      </w:r>
      <w:r>
        <w:rPr>
          <w:color w:val="231F20"/>
          <w:spacing w:val="-20"/>
          <w:w w:val="105"/>
        </w:rPr>
        <w:t> </w:t>
      </w:r>
      <w:r>
        <w:rPr>
          <w:color w:val="231F20"/>
          <w:w w:val="105"/>
        </w:rPr>
        <w:t>(IES)</w:t>
      </w:r>
      <w:r>
        <w:rPr>
          <w:color w:val="231F20"/>
          <w:spacing w:val="-20"/>
          <w:w w:val="105"/>
        </w:rPr>
        <w:t> </w:t>
      </w:r>
      <w:r>
        <w:rPr>
          <w:color w:val="231F20"/>
          <w:w w:val="105"/>
        </w:rPr>
        <w:t>requieren</w:t>
      </w:r>
      <w:r>
        <w:rPr>
          <w:color w:val="231F20"/>
          <w:spacing w:val="-20"/>
          <w:w w:val="105"/>
        </w:rPr>
        <w:t> </w:t>
      </w:r>
      <w:r>
        <w:rPr>
          <w:color w:val="231F20"/>
          <w:w w:val="105"/>
        </w:rPr>
        <w:t>de</w:t>
      </w:r>
      <w:r>
        <w:rPr>
          <w:color w:val="231F20"/>
          <w:spacing w:val="-20"/>
          <w:w w:val="105"/>
        </w:rPr>
        <w:t> </w:t>
      </w:r>
      <w:r>
        <w:rPr>
          <w:color w:val="231F20"/>
          <w:w w:val="105"/>
        </w:rPr>
        <w:t>alumnos,</w:t>
      </w:r>
      <w:r>
        <w:rPr>
          <w:color w:val="231F20"/>
          <w:spacing w:val="-25"/>
          <w:w w:val="105"/>
        </w:rPr>
        <w:t> </w:t>
      </w:r>
      <w:r>
        <w:rPr>
          <w:color w:val="231F20"/>
          <w:w w:val="105"/>
        </w:rPr>
        <w:t>proveedores</w:t>
      </w:r>
      <w:r>
        <w:rPr>
          <w:color w:val="231F20"/>
          <w:spacing w:val="-20"/>
          <w:w w:val="105"/>
        </w:rPr>
        <w:t> </w:t>
      </w:r>
      <w:r>
        <w:rPr>
          <w:color w:val="231F20"/>
          <w:w w:val="105"/>
        </w:rPr>
        <w:t>y</w:t>
      </w:r>
      <w:r>
        <w:rPr>
          <w:color w:val="231F20"/>
          <w:spacing w:val="-20"/>
          <w:w w:val="105"/>
        </w:rPr>
        <w:t> </w:t>
      </w:r>
      <w:r>
        <w:rPr>
          <w:color w:val="231F20"/>
          <w:w w:val="105"/>
        </w:rPr>
        <w:t>del</w:t>
      </w:r>
      <w:r>
        <w:rPr>
          <w:color w:val="231F20"/>
          <w:spacing w:val="-20"/>
          <w:w w:val="105"/>
        </w:rPr>
        <w:t> </w:t>
      </w:r>
      <w:r>
        <w:rPr>
          <w:color w:val="231F20"/>
          <w:w w:val="105"/>
        </w:rPr>
        <w:t>reconoci- miento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sociedad</w:t>
      </w:r>
      <w:r>
        <w:rPr>
          <w:color w:val="231F20"/>
          <w:spacing w:val="-17"/>
          <w:w w:val="105"/>
        </w:rPr>
        <w:t> </w:t>
      </w:r>
      <w:r>
        <w:rPr>
          <w:color w:val="231F20"/>
          <w:w w:val="105"/>
        </w:rPr>
        <w:t>(enfoque</w:t>
      </w:r>
      <w:r>
        <w:rPr>
          <w:color w:val="231F20"/>
          <w:spacing w:val="-17"/>
          <w:w w:val="105"/>
        </w:rPr>
        <w:t> </w:t>
      </w:r>
      <w:r>
        <w:rPr>
          <w:color w:val="231F20"/>
          <w:w w:val="105"/>
        </w:rPr>
        <w:t>simbiótico),</w:t>
      </w:r>
      <w:r>
        <w:rPr>
          <w:color w:val="231F20"/>
          <w:spacing w:val="-23"/>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corresponde</w:t>
      </w:r>
      <w:r>
        <w:rPr>
          <w:color w:val="231F20"/>
          <w:spacing w:val="-17"/>
          <w:w w:val="105"/>
        </w:rPr>
        <w:t> </w:t>
      </w:r>
      <w:r>
        <w:rPr>
          <w:color w:val="231F20"/>
          <w:w w:val="105"/>
        </w:rPr>
        <w:t>más</w:t>
      </w:r>
      <w:r>
        <w:rPr>
          <w:color w:val="231F20"/>
          <w:spacing w:val="-17"/>
          <w:w w:val="105"/>
        </w:rPr>
        <w:t> </w:t>
      </w:r>
      <w:r>
        <w:rPr>
          <w:color w:val="231F20"/>
          <w:w w:val="105"/>
        </w:rPr>
        <w:t>a</w:t>
      </w:r>
      <w:r>
        <w:rPr>
          <w:color w:val="231F20"/>
          <w:spacing w:val="-17"/>
          <w:w w:val="105"/>
        </w:rPr>
        <w:t> </w:t>
      </w:r>
      <w:r>
        <w:rPr>
          <w:color w:val="231F20"/>
          <w:w w:val="105"/>
        </w:rPr>
        <w:t>la perspectiva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33"/>
          <w:w w:val="105"/>
        </w:rPr>
        <w:t> </w:t>
      </w:r>
      <w:r>
        <w:rPr>
          <w:color w:val="231F20"/>
          <w:w w:val="105"/>
        </w:rPr>
        <w:t>TDR.</w:t>
      </w:r>
      <w:r>
        <w:rPr>
          <w:color w:val="231F20"/>
          <w:spacing w:val="-34"/>
          <w:w w:val="105"/>
        </w:rPr>
        <w:t> </w:t>
      </w:r>
      <w:r>
        <w:rPr>
          <w:color w:val="231F20"/>
          <w:spacing w:val="-6"/>
          <w:w w:val="105"/>
        </w:rPr>
        <w:t>Por</w:t>
      </w:r>
      <w:r>
        <w:rPr>
          <w:color w:val="231F20"/>
          <w:spacing w:val="-29"/>
          <w:w w:val="105"/>
        </w:rPr>
        <w:t> </w:t>
      </w:r>
      <w:r>
        <w:rPr>
          <w:color w:val="231F20"/>
          <w:w w:val="105"/>
        </w:rPr>
        <w:t>otro</w:t>
      </w:r>
      <w:r>
        <w:rPr>
          <w:color w:val="231F20"/>
          <w:spacing w:val="-29"/>
          <w:w w:val="105"/>
        </w:rPr>
        <w:t> </w:t>
      </w:r>
      <w:r>
        <w:rPr>
          <w:color w:val="231F20"/>
          <w:w w:val="105"/>
        </w:rPr>
        <w:t>lado,</w:t>
      </w:r>
      <w:r>
        <w:rPr>
          <w:color w:val="231F20"/>
          <w:spacing w:val="-34"/>
          <w:w w:val="105"/>
        </w:rPr>
        <w:t> </w:t>
      </w:r>
      <w:r>
        <w:rPr>
          <w:color w:val="231F20"/>
          <w:w w:val="105"/>
        </w:rPr>
        <w:t>la</w:t>
      </w:r>
      <w:r>
        <w:rPr>
          <w:color w:val="231F20"/>
          <w:spacing w:val="-29"/>
          <w:w w:val="105"/>
        </w:rPr>
        <w:t> </w:t>
      </w:r>
      <w:r>
        <w:rPr>
          <w:color w:val="231F20"/>
          <w:w w:val="105"/>
        </w:rPr>
        <w:t>manera</w:t>
      </w:r>
      <w:r>
        <w:rPr>
          <w:color w:val="231F20"/>
          <w:spacing w:val="-29"/>
          <w:w w:val="105"/>
        </w:rPr>
        <w:t> </w:t>
      </w:r>
      <w:r>
        <w:rPr>
          <w:color w:val="231F20"/>
          <w:w w:val="105"/>
        </w:rPr>
        <w:t>en</w:t>
      </w:r>
      <w:r>
        <w:rPr>
          <w:color w:val="231F20"/>
          <w:spacing w:val="-29"/>
          <w:w w:val="105"/>
        </w:rPr>
        <w:t> </w:t>
      </w:r>
      <w:r>
        <w:rPr>
          <w:color w:val="231F20"/>
          <w:w w:val="105"/>
        </w:rPr>
        <w:t>que</w:t>
      </w:r>
      <w:r>
        <w:rPr>
          <w:color w:val="231F20"/>
          <w:spacing w:val="-29"/>
          <w:w w:val="105"/>
        </w:rPr>
        <w:t> </w:t>
      </w:r>
      <w:r>
        <w:rPr>
          <w:color w:val="231F20"/>
          <w:w w:val="105"/>
        </w:rPr>
        <w:t>las</w:t>
      </w:r>
      <w:r>
        <w:rPr>
          <w:color w:val="231F20"/>
          <w:spacing w:val="-29"/>
          <w:w w:val="105"/>
        </w:rPr>
        <w:t> </w:t>
      </w:r>
      <w:r>
        <w:rPr>
          <w:color w:val="231F20"/>
          <w:w w:val="105"/>
        </w:rPr>
        <w:t>organizaciones pueden</w:t>
      </w:r>
      <w:r>
        <w:rPr>
          <w:color w:val="231F20"/>
          <w:spacing w:val="-9"/>
          <w:w w:val="105"/>
        </w:rPr>
        <w:t> </w:t>
      </w:r>
      <w:r>
        <w:rPr>
          <w:color w:val="231F20"/>
          <w:w w:val="105"/>
        </w:rPr>
        <w:t>reducir</w:t>
      </w:r>
      <w:r>
        <w:rPr>
          <w:color w:val="231F20"/>
          <w:spacing w:val="-9"/>
          <w:w w:val="105"/>
        </w:rPr>
        <w:t> </w:t>
      </w:r>
      <w:r>
        <w:rPr>
          <w:color w:val="231F20"/>
          <w:w w:val="105"/>
        </w:rPr>
        <w:t>la</w:t>
      </w:r>
      <w:r>
        <w:rPr>
          <w:color w:val="231F20"/>
          <w:spacing w:val="-9"/>
          <w:w w:val="105"/>
        </w:rPr>
        <w:t> </w:t>
      </w:r>
      <w:r>
        <w:rPr>
          <w:color w:val="231F20"/>
          <w:w w:val="105"/>
        </w:rPr>
        <w:t>mayor</w:t>
      </w:r>
      <w:r>
        <w:rPr>
          <w:color w:val="231F20"/>
          <w:spacing w:val="-9"/>
          <w:w w:val="105"/>
        </w:rPr>
        <w:t> </w:t>
      </w:r>
      <w:r>
        <w:rPr>
          <w:color w:val="231F20"/>
          <w:w w:val="105"/>
        </w:rPr>
        <w:t>incertidumbre</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menor</w:t>
      </w:r>
      <w:r>
        <w:rPr>
          <w:color w:val="231F20"/>
          <w:spacing w:val="-9"/>
          <w:w w:val="105"/>
        </w:rPr>
        <w:t> </w:t>
      </w:r>
      <w:r>
        <w:rPr>
          <w:color w:val="231F20"/>
          <w:w w:val="105"/>
        </w:rPr>
        <w:t>pérdida</w:t>
      </w:r>
      <w:r>
        <w:rPr>
          <w:color w:val="231F20"/>
          <w:spacing w:val="-9"/>
          <w:w w:val="105"/>
        </w:rPr>
        <w:t> </w:t>
      </w:r>
      <w:r>
        <w:rPr>
          <w:color w:val="231F20"/>
          <w:w w:val="105"/>
        </w:rPr>
        <w:t>de</w:t>
      </w:r>
      <w:r>
        <w:rPr>
          <w:color w:val="231F20"/>
          <w:spacing w:val="-9"/>
          <w:w w:val="105"/>
        </w:rPr>
        <w:t> </w:t>
      </w:r>
      <w:r>
        <w:rPr>
          <w:color w:val="231F20"/>
          <w:w w:val="105"/>
        </w:rPr>
        <w:t>control, es abordada por la TRyC, ya que la organización se desempeña mejor cuando</w:t>
      </w:r>
      <w:r>
        <w:rPr>
          <w:color w:val="231F20"/>
          <w:spacing w:val="-22"/>
          <w:w w:val="105"/>
        </w:rPr>
        <w:t> </w:t>
      </w:r>
      <w:r>
        <w:rPr>
          <w:color w:val="231F20"/>
          <w:w w:val="105"/>
        </w:rPr>
        <w:t>construye</w:t>
      </w:r>
      <w:r>
        <w:rPr>
          <w:color w:val="231F20"/>
          <w:spacing w:val="-22"/>
          <w:w w:val="105"/>
        </w:rPr>
        <w:t> </w:t>
      </w:r>
      <w:r>
        <w:rPr>
          <w:color w:val="231F20"/>
          <w:w w:val="105"/>
        </w:rPr>
        <w:t>su</w:t>
      </w:r>
      <w:r>
        <w:rPr>
          <w:color w:val="231F20"/>
          <w:spacing w:val="-22"/>
          <w:w w:val="105"/>
        </w:rPr>
        <w:t> </w:t>
      </w:r>
      <w:r>
        <w:rPr>
          <w:color w:val="231F20"/>
          <w:w w:val="105"/>
        </w:rPr>
        <w:t>ventaja</w:t>
      </w:r>
      <w:r>
        <w:rPr>
          <w:color w:val="231F20"/>
          <w:spacing w:val="-22"/>
          <w:w w:val="105"/>
        </w:rPr>
        <w:t> </w:t>
      </w:r>
      <w:r>
        <w:rPr>
          <w:color w:val="231F20"/>
          <w:w w:val="105"/>
        </w:rPr>
        <w:t>competitiva</w:t>
      </w:r>
      <w:r>
        <w:rPr>
          <w:color w:val="231F20"/>
          <w:spacing w:val="-22"/>
          <w:w w:val="105"/>
        </w:rPr>
        <w:t> </w:t>
      </w:r>
      <w:r>
        <w:rPr>
          <w:color w:val="231F20"/>
          <w:w w:val="105"/>
        </w:rPr>
        <w:t>a</w:t>
      </w:r>
      <w:r>
        <w:rPr>
          <w:color w:val="231F20"/>
          <w:spacing w:val="-22"/>
          <w:w w:val="105"/>
        </w:rPr>
        <w:t> </w:t>
      </w:r>
      <w:r>
        <w:rPr>
          <w:color w:val="231F20"/>
          <w:w w:val="105"/>
        </w:rPr>
        <w:t>partir</w:t>
      </w:r>
      <w:r>
        <w:rPr>
          <w:color w:val="231F20"/>
          <w:spacing w:val="-22"/>
          <w:w w:val="105"/>
        </w:rPr>
        <w:t> </w:t>
      </w:r>
      <w:r>
        <w:rPr>
          <w:color w:val="231F20"/>
          <w:w w:val="105"/>
        </w:rPr>
        <w:t>de</w:t>
      </w:r>
      <w:r>
        <w:rPr>
          <w:color w:val="231F20"/>
          <w:spacing w:val="-22"/>
          <w:w w:val="105"/>
        </w:rPr>
        <w:t> </w:t>
      </w:r>
      <w:r>
        <w:rPr>
          <w:color w:val="231F20"/>
          <w:w w:val="105"/>
        </w:rPr>
        <w:t>recursos</w:t>
      </w:r>
      <w:r>
        <w:rPr>
          <w:color w:val="231F20"/>
          <w:spacing w:val="-22"/>
          <w:w w:val="105"/>
        </w:rPr>
        <w:t> </w:t>
      </w:r>
      <w:r>
        <w:rPr>
          <w:color w:val="231F20"/>
          <w:w w:val="105"/>
        </w:rPr>
        <w:t>y</w:t>
      </w:r>
      <w:r>
        <w:rPr>
          <w:color w:val="231F20"/>
          <w:spacing w:val="-22"/>
          <w:w w:val="105"/>
        </w:rPr>
        <w:t> </w:t>
      </w:r>
      <w:r>
        <w:rPr>
          <w:color w:val="231F20"/>
          <w:w w:val="105"/>
        </w:rPr>
        <w:t>capacida- des</w:t>
      </w:r>
      <w:r>
        <w:rPr>
          <w:color w:val="231F20"/>
          <w:spacing w:val="-13"/>
          <w:w w:val="105"/>
        </w:rPr>
        <w:t> </w:t>
      </w:r>
      <w:r>
        <w:rPr>
          <w:color w:val="231F20"/>
          <w:w w:val="105"/>
        </w:rPr>
        <w:t>diferenciadas</w:t>
      </w:r>
      <w:r>
        <w:rPr>
          <w:color w:val="231F20"/>
          <w:spacing w:val="-13"/>
          <w:w w:val="105"/>
        </w:rPr>
        <w:t> </w:t>
      </w:r>
      <w:r>
        <w:rPr>
          <w:color w:val="231F20"/>
          <w:w w:val="105"/>
        </w:rPr>
        <w:t>e</w:t>
      </w:r>
      <w:r>
        <w:rPr>
          <w:color w:val="231F20"/>
          <w:spacing w:val="-13"/>
          <w:w w:val="105"/>
        </w:rPr>
        <w:t> </w:t>
      </w:r>
      <w:r>
        <w:rPr>
          <w:color w:val="231F20"/>
          <w:w w:val="105"/>
        </w:rPr>
        <w:t>inimitables</w:t>
      </w:r>
      <w:r>
        <w:rPr>
          <w:color w:val="231F20"/>
          <w:spacing w:val="-13"/>
          <w:w w:val="105"/>
        </w:rPr>
        <w:t> </w:t>
      </w:r>
      <w:r>
        <w:rPr>
          <w:color w:val="231F20"/>
          <w:w w:val="105"/>
        </w:rPr>
        <w:t>(enfoque</w:t>
      </w:r>
      <w:r>
        <w:rPr>
          <w:color w:val="231F20"/>
          <w:spacing w:val="-13"/>
          <w:w w:val="105"/>
        </w:rPr>
        <w:t> </w:t>
      </w:r>
      <w:r>
        <w:rPr>
          <w:color w:val="231F20"/>
          <w:w w:val="105"/>
        </w:rPr>
        <w:t>competitivo).</w:t>
      </w:r>
    </w:p>
    <w:p>
      <w:pPr>
        <w:pStyle w:val="BodyText"/>
        <w:spacing w:line="259" w:lineRule="auto"/>
        <w:ind w:left="117" w:right="121" w:firstLine="567"/>
        <w:jc w:val="both"/>
      </w:pPr>
      <w:r>
        <w:rPr>
          <w:color w:val="231F20"/>
          <w:w w:val="105"/>
        </w:rPr>
        <w:t>Desde la TDR, las empresas requieren colaborar con otras orga- nizaciones</w:t>
      </w:r>
      <w:r>
        <w:rPr>
          <w:color w:val="231F20"/>
          <w:spacing w:val="-19"/>
          <w:w w:val="105"/>
        </w:rPr>
        <w:t> </w:t>
      </w:r>
      <w:r>
        <w:rPr>
          <w:color w:val="231F20"/>
          <w:w w:val="105"/>
        </w:rPr>
        <w:t>para</w:t>
      </w:r>
      <w:r>
        <w:rPr>
          <w:color w:val="231F20"/>
          <w:spacing w:val="-19"/>
          <w:w w:val="105"/>
        </w:rPr>
        <w:t> </w:t>
      </w:r>
      <w:r>
        <w:rPr>
          <w:color w:val="231F20"/>
          <w:w w:val="105"/>
        </w:rPr>
        <w:t>allegarse</w:t>
      </w:r>
      <w:r>
        <w:rPr>
          <w:color w:val="231F20"/>
          <w:spacing w:val="-19"/>
          <w:w w:val="105"/>
        </w:rPr>
        <w:t> </w:t>
      </w:r>
      <w:r>
        <w:rPr>
          <w:color w:val="231F20"/>
          <w:w w:val="105"/>
        </w:rPr>
        <w:t>de</w:t>
      </w:r>
      <w:r>
        <w:rPr>
          <w:color w:val="231F20"/>
          <w:spacing w:val="-19"/>
          <w:w w:val="105"/>
        </w:rPr>
        <w:t> </w:t>
      </w:r>
      <w:r>
        <w:rPr>
          <w:color w:val="231F20"/>
          <w:w w:val="105"/>
        </w:rPr>
        <w:t>recursos</w:t>
      </w:r>
      <w:r>
        <w:rPr>
          <w:color w:val="231F20"/>
          <w:spacing w:val="-19"/>
          <w:w w:val="105"/>
        </w:rPr>
        <w:t> </w:t>
      </w:r>
      <w:r>
        <w:rPr>
          <w:color w:val="231F20"/>
          <w:w w:val="105"/>
        </w:rPr>
        <w:t>(Pfeffer,</w:t>
      </w:r>
      <w:r>
        <w:rPr>
          <w:color w:val="231F20"/>
          <w:spacing w:val="-23"/>
          <w:w w:val="105"/>
        </w:rPr>
        <w:t> </w:t>
      </w:r>
      <w:r>
        <w:rPr>
          <w:color w:val="231F20"/>
          <w:w w:val="105"/>
        </w:rPr>
        <w:t>2000)</w:t>
      </w:r>
      <w:r>
        <w:rPr>
          <w:color w:val="231F20"/>
          <w:spacing w:val="-19"/>
          <w:w w:val="105"/>
        </w:rPr>
        <w:t> </w:t>
      </w:r>
      <w:r>
        <w:rPr>
          <w:color w:val="231F20"/>
          <w:w w:val="105"/>
        </w:rPr>
        <w:t>y</w:t>
      </w:r>
      <w:r>
        <w:rPr>
          <w:color w:val="231F20"/>
          <w:spacing w:val="-19"/>
          <w:w w:val="105"/>
        </w:rPr>
        <w:t> </w:t>
      </w:r>
      <w:r>
        <w:rPr>
          <w:color w:val="231F20"/>
          <w:w w:val="105"/>
        </w:rPr>
        <w:t>sobrevivir</w:t>
      </w:r>
      <w:r>
        <w:rPr>
          <w:color w:val="231F20"/>
          <w:spacing w:val="-19"/>
          <w:w w:val="105"/>
        </w:rPr>
        <w:t> </w:t>
      </w:r>
      <w:r>
        <w:rPr>
          <w:color w:val="231F20"/>
          <w:w w:val="105"/>
        </w:rPr>
        <w:t>en</w:t>
      </w:r>
      <w:r>
        <w:rPr>
          <w:color w:val="231F20"/>
          <w:spacing w:val="-19"/>
          <w:w w:val="105"/>
        </w:rPr>
        <w:t> </w:t>
      </w:r>
      <w:r>
        <w:rPr>
          <w:color w:val="231F20"/>
          <w:w w:val="105"/>
        </w:rPr>
        <w:t>am- bientes</w:t>
      </w:r>
      <w:r>
        <w:rPr>
          <w:color w:val="231F20"/>
          <w:spacing w:val="-25"/>
          <w:w w:val="105"/>
        </w:rPr>
        <w:t> </w:t>
      </w:r>
      <w:r>
        <w:rPr>
          <w:color w:val="231F20"/>
          <w:w w:val="105"/>
        </w:rPr>
        <w:t>competitivos.</w:t>
      </w:r>
      <w:r>
        <w:rPr>
          <w:color w:val="231F20"/>
          <w:spacing w:val="-29"/>
          <w:w w:val="105"/>
        </w:rPr>
        <w:t> </w:t>
      </w:r>
      <w:r>
        <w:rPr>
          <w:color w:val="231F20"/>
          <w:w w:val="105"/>
        </w:rPr>
        <w:t>Desde</w:t>
      </w:r>
      <w:r>
        <w:rPr>
          <w:color w:val="231F20"/>
          <w:spacing w:val="-25"/>
          <w:w w:val="105"/>
        </w:rPr>
        <w:t> </w:t>
      </w:r>
      <w:r>
        <w:rPr>
          <w:color w:val="231F20"/>
          <w:w w:val="105"/>
        </w:rPr>
        <w:t>la</w:t>
      </w:r>
      <w:r>
        <w:rPr>
          <w:color w:val="231F20"/>
          <w:spacing w:val="-28"/>
          <w:w w:val="105"/>
        </w:rPr>
        <w:t> </w:t>
      </w:r>
      <w:r>
        <w:rPr>
          <w:color w:val="231F20"/>
          <w:w w:val="105"/>
        </w:rPr>
        <w:t>TRyC,</w:t>
      </w:r>
      <w:r>
        <w:rPr>
          <w:color w:val="231F20"/>
          <w:spacing w:val="-29"/>
          <w:w w:val="105"/>
        </w:rPr>
        <w:t> </w:t>
      </w:r>
      <w:r>
        <w:rPr>
          <w:color w:val="231F20"/>
          <w:w w:val="105"/>
        </w:rPr>
        <w:t>algunos</w:t>
      </w:r>
      <w:r>
        <w:rPr>
          <w:color w:val="231F20"/>
          <w:spacing w:val="-25"/>
          <w:w w:val="105"/>
        </w:rPr>
        <w:t> </w:t>
      </w:r>
      <w:r>
        <w:rPr>
          <w:color w:val="231F20"/>
          <w:w w:val="105"/>
        </w:rPr>
        <w:t>recursos</w:t>
      </w:r>
      <w:r>
        <w:rPr>
          <w:color w:val="231F20"/>
          <w:spacing w:val="-25"/>
          <w:w w:val="105"/>
        </w:rPr>
        <w:t> </w:t>
      </w:r>
      <w:r>
        <w:rPr>
          <w:color w:val="231F20"/>
          <w:w w:val="105"/>
        </w:rPr>
        <w:t>son</w:t>
      </w:r>
      <w:r>
        <w:rPr>
          <w:color w:val="231F20"/>
          <w:spacing w:val="-25"/>
          <w:w w:val="105"/>
        </w:rPr>
        <w:t> </w:t>
      </w:r>
      <w:r>
        <w:rPr>
          <w:color w:val="231F20"/>
          <w:w w:val="105"/>
        </w:rPr>
        <w:t>únicos;</w:t>
      </w:r>
      <w:r>
        <w:rPr>
          <w:color w:val="231F20"/>
          <w:spacing w:val="-25"/>
          <w:w w:val="105"/>
        </w:rPr>
        <w:t> </w:t>
      </w:r>
      <w:r>
        <w:rPr>
          <w:color w:val="231F20"/>
          <w:w w:val="105"/>
        </w:rPr>
        <w:t>otros son</w:t>
      </w:r>
      <w:r>
        <w:rPr>
          <w:color w:val="231F20"/>
          <w:spacing w:val="-24"/>
          <w:w w:val="105"/>
        </w:rPr>
        <w:t> </w:t>
      </w:r>
      <w:r>
        <w:rPr>
          <w:color w:val="231F20"/>
          <w:w w:val="105"/>
        </w:rPr>
        <w:t>difíciles</w:t>
      </w:r>
      <w:r>
        <w:rPr>
          <w:color w:val="231F20"/>
          <w:spacing w:val="-24"/>
          <w:w w:val="105"/>
        </w:rPr>
        <w:t> </w:t>
      </w:r>
      <w:r>
        <w:rPr>
          <w:color w:val="231F20"/>
          <w:w w:val="105"/>
        </w:rPr>
        <w:t>de</w:t>
      </w:r>
      <w:r>
        <w:rPr>
          <w:color w:val="231F20"/>
          <w:spacing w:val="-24"/>
          <w:w w:val="105"/>
        </w:rPr>
        <w:t> </w:t>
      </w:r>
      <w:r>
        <w:rPr>
          <w:color w:val="231F20"/>
          <w:w w:val="105"/>
        </w:rPr>
        <w:t>obtener</w:t>
      </w:r>
      <w:r>
        <w:rPr>
          <w:color w:val="231F20"/>
          <w:spacing w:val="-24"/>
          <w:w w:val="105"/>
        </w:rPr>
        <w:t> </w:t>
      </w:r>
      <w:r>
        <w:rPr>
          <w:color w:val="231F20"/>
          <w:w w:val="105"/>
        </w:rPr>
        <w:t>o</w:t>
      </w:r>
      <w:r>
        <w:rPr>
          <w:color w:val="231F20"/>
          <w:spacing w:val="-24"/>
          <w:w w:val="105"/>
        </w:rPr>
        <w:t> </w:t>
      </w:r>
      <w:r>
        <w:rPr>
          <w:color w:val="231F20"/>
          <w:w w:val="105"/>
        </w:rPr>
        <w:t>imitarse;</w:t>
      </w:r>
      <w:r>
        <w:rPr>
          <w:color w:val="231F20"/>
          <w:spacing w:val="-24"/>
          <w:w w:val="105"/>
        </w:rPr>
        <w:t> </w:t>
      </w:r>
      <w:r>
        <w:rPr>
          <w:color w:val="231F20"/>
          <w:w w:val="105"/>
        </w:rPr>
        <w:t>algunos</w:t>
      </w:r>
      <w:r>
        <w:rPr>
          <w:color w:val="231F20"/>
          <w:spacing w:val="-24"/>
          <w:w w:val="105"/>
        </w:rPr>
        <w:t> </w:t>
      </w:r>
      <w:r>
        <w:rPr>
          <w:color w:val="231F20"/>
          <w:w w:val="105"/>
        </w:rPr>
        <w:t>más</w:t>
      </w:r>
      <w:r>
        <w:rPr>
          <w:color w:val="231F20"/>
          <w:spacing w:val="-24"/>
          <w:w w:val="105"/>
        </w:rPr>
        <w:t> </w:t>
      </w:r>
      <w:r>
        <w:rPr>
          <w:color w:val="231F20"/>
          <w:w w:val="105"/>
        </w:rPr>
        <w:t>no</w:t>
      </w:r>
      <w:r>
        <w:rPr>
          <w:color w:val="231F20"/>
          <w:spacing w:val="-24"/>
          <w:w w:val="105"/>
        </w:rPr>
        <w:t> </w:t>
      </w:r>
      <w:r>
        <w:rPr>
          <w:color w:val="231F20"/>
          <w:w w:val="105"/>
        </w:rPr>
        <w:t>los</w:t>
      </w:r>
      <w:r>
        <w:rPr>
          <w:color w:val="231F20"/>
          <w:spacing w:val="-24"/>
          <w:w w:val="105"/>
        </w:rPr>
        <w:t> </w:t>
      </w:r>
      <w:r>
        <w:rPr>
          <w:color w:val="231F20"/>
          <w:w w:val="105"/>
        </w:rPr>
        <w:t>poseen</w:t>
      </w:r>
      <w:r>
        <w:rPr>
          <w:color w:val="231F20"/>
          <w:spacing w:val="-24"/>
          <w:w w:val="105"/>
        </w:rPr>
        <w:t> </w:t>
      </w:r>
      <w:r>
        <w:rPr>
          <w:color w:val="231F20"/>
          <w:w w:val="105"/>
        </w:rPr>
        <w:t>las</w:t>
      </w:r>
      <w:r>
        <w:rPr>
          <w:color w:val="231F20"/>
          <w:spacing w:val="-24"/>
          <w:w w:val="105"/>
        </w:rPr>
        <w:t> </w:t>
      </w:r>
      <w:r>
        <w:rPr>
          <w:color w:val="231F20"/>
          <w:w w:val="105"/>
        </w:rPr>
        <w:t>empre- sas</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deben</w:t>
      </w:r>
      <w:r>
        <w:rPr>
          <w:color w:val="231F20"/>
          <w:spacing w:val="-8"/>
          <w:w w:val="105"/>
        </w:rPr>
        <w:t> </w:t>
      </w:r>
      <w:r>
        <w:rPr>
          <w:color w:val="231F20"/>
          <w:w w:val="105"/>
        </w:rPr>
        <w:t>obtener</w:t>
      </w:r>
      <w:r>
        <w:rPr>
          <w:color w:val="231F20"/>
          <w:spacing w:val="-8"/>
          <w:w w:val="105"/>
        </w:rPr>
        <w:t> </w:t>
      </w:r>
      <w:r>
        <w:rPr>
          <w:color w:val="231F20"/>
          <w:w w:val="105"/>
        </w:rPr>
        <w:t>del</w:t>
      </w:r>
      <w:r>
        <w:rPr>
          <w:color w:val="231F20"/>
          <w:spacing w:val="-8"/>
          <w:w w:val="105"/>
        </w:rPr>
        <w:t> </w:t>
      </w:r>
      <w:r>
        <w:rPr>
          <w:color w:val="231F20"/>
          <w:w w:val="105"/>
        </w:rPr>
        <w:t>exterior.</w:t>
      </w:r>
      <w:r>
        <w:rPr>
          <w:color w:val="231F20"/>
          <w:spacing w:val="-14"/>
          <w:w w:val="105"/>
        </w:rPr>
        <w:t> </w:t>
      </w:r>
      <w:r>
        <w:rPr>
          <w:color w:val="231F20"/>
          <w:w w:val="105"/>
        </w:rPr>
        <w:t>La</w:t>
      </w:r>
      <w:r>
        <w:rPr>
          <w:color w:val="231F20"/>
          <w:spacing w:val="-8"/>
          <w:w w:val="105"/>
        </w:rPr>
        <w:t> </w:t>
      </w:r>
      <w:r>
        <w:rPr>
          <w:color w:val="231F20"/>
          <w:w w:val="105"/>
        </w:rPr>
        <w:t>dependencia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empresa,</w:t>
      </w:r>
      <w:r>
        <w:rPr>
          <w:color w:val="231F20"/>
          <w:spacing w:val="-14"/>
          <w:w w:val="105"/>
        </w:rPr>
        <w:t> </w:t>
      </w:r>
      <w:r>
        <w:rPr>
          <w:color w:val="231F20"/>
          <w:w w:val="105"/>
        </w:rPr>
        <w:t>en relación</w:t>
      </w:r>
      <w:r>
        <w:rPr>
          <w:color w:val="231F20"/>
          <w:spacing w:val="-13"/>
          <w:w w:val="105"/>
        </w:rPr>
        <w:t> </w:t>
      </w:r>
      <w:r>
        <w:rPr>
          <w:color w:val="231F20"/>
          <w:w w:val="105"/>
        </w:rPr>
        <w:t>a</w:t>
      </w:r>
      <w:r>
        <w:rPr>
          <w:color w:val="231F20"/>
          <w:spacing w:val="-13"/>
          <w:w w:val="105"/>
        </w:rPr>
        <w:t> </w:t>
      </w:r>
      <w:r>
        <w:rPr>
          <w:color w:val="231F20"/>
          <w:w w:val="105"/>
        </w:rPr>
        <w:t>recursos</w:t>
      </w:r>
      <w:r>
        <w:rPr>
          <w:color w:val="231F20"/>
          <w:spacing w:val="-13"/>
          <w:w w:val="105"/>
        </w:rPr>
        <w:t> </w:t>
      </w:r>
      <w:r>
        <w:rPr>
          <w:color w:val="231F20"/>
          <w:w w:val="105"/>
        </w:rPr>
        <w:t>externos,</w:t>
      </w:r>
      <w:r>
        <w:rPr>
          <w:color w:val="231F20"/>
          <w:spacing w:val="-19"/>
          <w:w w:val="105"/>
        </w:rPr>
        <w:t> </w:t>
      </w:r>
      <w:r>
        <w:rPr>
          <w:color w:val="231F20"/>
          <w:w w:val="105"/>
        </w:rPr>
        <w:t>está</w:t>
      </w:r>
      <w:r>
        <w:rPr>
          <w:color w:val="231F20"/>
          <w:spacing w:val="-13"/>
          <w:w w:val="105"/>
        </w:rPr>
        <w:t> </w:t>
      </w:r>
      <w:r>
        <w:rPr>
          <w:color w:val="231F20"/>
          <w:w w:val="105"/>
        </w:rPr>
        <w:t>influenciada</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importancia</w:t>
      </w:r>
      <w:r>
        <w:rPr>
          <w:color w:val="231F20"/>
          <w:spacing w:val="-13"/>
          <w:w w:val="105"/>
        </w:rPr>
        <w:t> </w:t>
      </w:r>
      <w:r>
        <w:rPr>
          <w:color w:val="231F20"/>
          <w:w w:val="105"/>
        </w:rPr>
        <w:t>del</w:t>
      </w:r>
      <w:r>
        <w:rPr>
          <w:color w:val="231F20"/>
          <w:spacing w:val="-13"/>
          <w:w w:val="105"/>
        </w:rPr>
        <w:t> </w:t>
      </w:r>
      <w:r>
        <w:rPr>
          <w:color w:val="231F20"/>
          <w:w w:val="105"/>
        </w:rPr>
        <w:t>re- curso,</w:t>
      </w:r>
      <w:r>
        <w:rPr>
          <w:color w:val="231F20"/>
          <w:spacing w:val="-25"/>
          <w:w w:val="105"/>
        </w:rPr>
        <w:t> </w:t>
      </w:r>
      <w:r>
        <w:rPr>
          <w:color w:val="231F20"/>
          <w:w w:val="105"/>
        </w:rPr>
        <w:t>por</w:t>
      </w:r>
      <w:r>
        <w:rPr>
          <w:color w:val="231F20"/>
          <w:spacing w:val="-20"/>
          <w:w w:val="105"/>
        </w:rPr>
        <w:t> </w:t>
      </w:r>
      <w:r>
        <w:rPr>
          <w:color w:val="231F20"/>
          <w:w w:val="105"/>
        </w:rPr>
        <w:t>su</w:t>
      </w:r>
      <w:r>
        <w:rPr>
          <w:color w:val="231F20"/>
          <w:spacing w:val="-20"/>
          <w:w w:val="105"/>
        </w:rPr>
        <w:t> </w:t>
      </w:r>
      <w:r>
        <w:rPr>
          <w:color w:val="231F20"/>
          <w:w w:val="105"/>
        </w:rPr>
        <w:t>control</w:t>
      </w:r>
      <w:r>
        <w:rPr>
          <w:color w:val="231F20"/>
          <w:spacing w:val="-20"/>
          <w:w w:val="105"/>
        </w:rPr>
        <w:t> </w:t>
      </w:r>
      <w:r>
        <w:rPr>
          <w:color w:val="231F20"/>
          <w:w w:val="105"/>
        </w:rPr>
        <w:t>y</w:t>
      </w:r>
      <w:r>
        <w:rPr>
          <w:color w:val="231F20"/>
          <w:spacing w:val="-20"/>
          <w:w w:val="105"/>
        </w:rPr>
        <w:t> </w:t>
      </w:r>
      <w:r>
        <w:rPr>
          <w:color w:val="231F20"/>
          <w:w w:val="105"/>
        </w:rPr>
        <w:t>por</w:t>
      </w:r>
      <w:r>
        <w:rPr>
          <w:color w:val="231F20"/>
          <w:spacing w:val="-20"/>
          <w:w w:val="105"/>
        </w:rPr>
        <w:t> </w:t>
      </w:r>
      <w:r>
        <w:rPr>
          <w:color w:val="231F20"/>
          <w:w w:val="105"/>
        </w:rPr>
        <w:t>su</w:t>
      </w:r>
      <w:r>
        <w:rPr>
          <w:color w:val="231F20"/>
          <w:spacing w:val="-20"/>
          <w:w w:val="105"/>
        </w:rPr>
        <w:t> </w:t>
      </w:r>
      <w:r>
        <w:rPr>
          <w:color w:val="231F20"/>
          <w:w w:val="105"/>
        </w:rPr>
        <w:t>carácter</w:t>
      </w:r>
      <w:r>
        <w:rPr>
          <w:color w:val="231F20"/>
          <w:spacing w:val="-20"/>
          <w:w w:val="105"/>
        </w:rPr>
        <w:t> </w:t>
      </w:r>
      <w:r>
        <w:rPr>
          <w:color w:val="231F20"/>
          <w:w w:val="105"/>
        </w:rPr>
        <w:t>(in)sustituible.</w:t>
      </w:r>
      <w:r>
        <w:rPr>
          <w:color w:val="231F20"/>
          <w:spacing w:val="-25"/>
          <w:w w:val="105"/>
        </w:rPr>
        <w:t> </w:t>
      </w:r>
      <w:r>
        <w:rPr>
          <w:color w:val="231F20"/>
          <w:w w:val="105"/>
        </w:rPr>
        <w:t>Bajo</w:t>
      </w:r>
      <w:r>
        <w:rPr>
          <w:color w:val="231F20"/>
          <w:spacing w:val="-20"/>
          <w:w w:val="105"/>
        </w:rPr>
        <w:t> </w:t>
      </w:r>
      <w:r>
        <w:rPr>
          <w:color w:val="231F20"/>
          <w:w w:val="105"/>
        </w:rPr>
        <w:t>la</w:t>
      </w:r>
      <w:r>
        <w:rPr>
          <w:color w:val="231F20"/>
          <w:spacing w:val="-20"/>
          <w:w w:val="105"/>
        </w:rPr>
        <w:t> </w:t>
      </w:r>
      <w:r>
        <w:rPr>
          <w:color w:val="231F20"/>
          <w:w w:val="105"/>
        </w:rPr>
        <w:t>condición</w:t>
      </w:r>
      <w:r>
        <w:rPr>
          <w:color w:val="231F20"/>
          <w:spacing w:val="-20"/>
          <w:w w:val="105"/>
        </w:rPr>
        <w:t> </w:t>
      </w:r>
      <w:r>
        <w:rPr>
          <w:color w:val="231F20"/>
          <w:w w:val="105"/>
        </w:rPr>
        <w:t>de recursos</w:t>
      </w:r>
      <w:r>
        <w:rPr>
          <w:color w:val="231F20"/>
          <w:spacing w:val="-27"/>
          <w:w w:val="105"/>
        </w:rPr>
        <w:t> </w:t>
      </w:r>
      <w:r>
        <w:rPr>
          <w:color w:val="231F20"/>
          <w:w w:val="105"/>
        </w:rPr>
        <w:t>limitados,</w:t>
      </w:r>
      <w:r>
        <w:rPr>
          <w:color w:val="231F20"/>
          <w:spacing w:val="-31"/>
          <w:w w:val="105"/>
        </w:rPr>
        <w:t> </w:t>
      </w:r>
      <w:r>
        <w:rPr>
          <w:color w:val="231F20"/>
          <w:w w:val="105"/>
        </w:rPr>
        <w:t>las</w:t>
      </w:r>
      <w:r>
        <w:rPr>
          <w:color w:val="231F20"/>
          <w:spacing w:val="-27"/>
          <w:w w:val="105"/>
        </w:rPr>
        <w:t> </w:t>
      </w:r>
      <w:r>
        <w:rPr>
          <w:color w:val="231F20"/>
          <w:w w:val="105"/>
        </w:rPr>
        <w:t>empresas</w:t>
      </w:r>
      <w:r>
        <w:rPr>
          <w:color w:val="231F20"/>
          <w:spacing w:val="-27"/>
          <w:w w:val="105"/>
        </w:rPr>
        <w:t> </w:t>
      </w:r>
      <w:r>
        <w:rPr>
          <w:color w:val="231F20"/>
          <w:w w:val="105"/>
        </w:rPr>
        <w:t>deben</w:t>
      </w:r>
      <w:r>
        <w:rPr>
          <w:color w:val="231F20"/>
          <w:spacing w:val="-27"/>
          <w:w w:val="105"/>
        </w:rPr>
        <w:t> </w:t>
      </w:r>
      <w:r>
        <w:rPr>
          <w:color w:val="231F20"/>
          <w:w w:val="105"/>
        </w:rPr>
        <w:t>contactar</w:t>
      </w:r>
      <w:r>
        <w:rPr>
          <w:color w:val="231F20"/>
          <w:spacing w:val="-27"/>
          <w:w w:val="105"/>
        </w:rPr>
        <w:t> </w:t>
      </w:r>
      <w:r>
        <w:rPr>
          <w:color w:val="231F20"/>
          <w:w w:val="105"/>
        </w:rPr>
        <w:t>a</w:t>
      </w:r>
      <w:r>
        <w:rPr>
          <w:color w:val="231F20"/>
          <w:spacing w:val="-27"/>
          <w:w w:val="105"/>
        </w:rPr>
        <w:t> </w:t>
      </w:r>
      <w:r>
        <w:rPr>
          <w:color w:val="231F20"/>
          <w:w w:val="105"/>
        </w:rPr>
        <w:t>otras</w:t>
      </w:r>
      <w:r>
        <w:rPr>
          <w:color w:val="231F20"/>
          <w:spacing w:val="-27"/>
          <w:w w:val="105"/>
        </w:rPr>
        <w:t> </w:t>
      </w:r>
      <w:r>
        <w:rPr>
          <w:color w:val="231F20"/>
          <w:w w:val="105"/>
        </w:rPr>
        <w:t>organizaciones que</w:t>
      </w:r>
      <w:r>
        <w:rPr>
          <w:color w:val="231F20"/>
          <w:spacing w:val="-18"/>
          <w:w w:val="105"/>
        </w:rPr>
        <w:t> </w:t>
      </w:r>
      <w:r>
        <w:rPr>
          <w:color w:val="231F20"/>
          <w:w w:val="105"/>
        </w:rPr>
        <w:t>posean</w:t>
      </w:r>
      <w:r>
        <w:rPr>
          <w:color w:val="231F20"/>
          <w:spacing w:val="-18"/>
          <w:w w:val="105"/>
        </w:rPr>
        <w:t> </w:t>
      </w:r>
      <w:r>
        <w:rPr>
          <w:color w:val="231F20"/>
          <w:w w:val="105"/>
        </w:rPr>
        <w:t>el</w:t>
      </w:r>
      <w:r>
        <w:rPr>
          <w:color w:val="231F20"/>
          <w:spacing w:val="-18"/>
          <w:w w:val="105"/>
        </w:rPr>
        <w:t> </w:t>
      </w:r>
      <w:r>
        <w:rPr>
          <w:color w:val="231F20"/>
          <w:w w:val="105"/>
        </w:rPr>
        <w:t>recurso</w:t>
      </w:r>
      <w:r>
        <w:rPr>
          <w:color w:val="231F20"/>
          <w:spacing w:val="-18"/>
          <w:w w:val="105"/>
        </w:rPr>
        <w:t> </w:t>
      </w:r>
      <w:r>
        <w:rPr>
          <w:color w:val="231F20"/>
          <w:w w:val="105"/>
        </w:rPr>
        <w:t>requerido</w:t>
      </w:r>
      <w:r>
        <w:rPr>
          <w:color w:val="231F20"/>
          <w:spacing w:val="-18"/>
          <w:w w:val="105"/>
        </w:rPr>
        <w:t> </w:t>
      </w:r>
      <w:r>
        <w:rPr>
          <w:color w:val="231F20"/>
          <w:w w:val="105"/>
        </w:rPr>
        <w:t>y</w:t>
      </w:r>
      <w:r>
        <w:rPr>
          <w:color w:val="231F20"/>
          <w:spacing w:val="-18"/>
          <w:w w:val="105"/>
        </w:rPr>
        <w:t> </w:t>
      </w:r>
      <w:r>
        <w:rPr>
          <w:color w:val="231F20"/>
          <w:w w:val="105"/>
        </w:rPr>
        <w:t>buscar</w:t>
      </w:r>
      <w:r>
        <w:rPr>
          <w:color w:val="231F20"/>
          <w:spacing w:val="-18"/>
          <w:w w:val="105"/>
        </w:rPr>
        <w:t> </w:t>
      </w:r>
      <w:r>
        <w:rPr>
          <w:color w:val="231F20"/>
          <w:w w:val="105"/>
        </w:rPr>
        <w:t>la</w:t>
      </w:r>
      <w:r>
        <w:rPr>
          <w:color w:val="231F20"/>
          <w:spacing w:val="-18"/>
          <w:w w:val="105"/>
        </w:rPr>
        <w:t> </w:t>
      </w:r>
      <w:r>
        <w:rPr>
          <w:color w:val="231F20"/>
          <w:w w:val="105"/>
        </w:rPr>
        <w:t>colaboración</w:t>
      </w:r>
      <w:r>
        <w:rPr>
          <w:color w:val="231F20"/>
          <w:spacing w:val="-18"/>
          <w:w w:val="105"/>
        </w:rPr>
        <w:t> </w:t>
      </w:r>
      <w:r>
        <w:rPr>
          <w:color w:val="231F20"/>
          <w:w w:val="105"/>
        </w:rPr>
        <w:t>para</w:t>
      </w:r>
      <w:r>
        <w:rPr>
          <w:color w:val="231F20"/>
          <w:spacing w:val="-18"/>
          <w:w w:val="105"/>
        </w:rPr>
        <w:t> </w:t>
      </w:r>
      <w:r>
        <w:rPr>
          <w:color w:val="231F20"/>
          <w:w w:val="105"/>
        </w:rPr>
        <w:t>subsanar faltantes</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pueden</w:t>
      </w:r>
      <w:r>
        <w:rPr>
          <w:color w:val="231F20"/>
          <w:spacing w:val="-11"/>
          <w:w w:val="105"/>
        </w:rPr>
        <w:t> </w:t>
      </w:r>
      <w:r>
        <w:rPr>
          <w:color w:val="231F20"/>
          <w:w w:val="105"/>
        </w:rPr>
        <w:t>cubrirse</w:t>
      </w:r>
      <w:r>
        <w:rPr>
          <w:color w:val="231F20"/>
          <w:spacing w:val="-11"/>
          <w:w w:val="105"/>
        </w:rPr>
        <w:t> </w:t>
      </w:r>
      <w:r>
        <w:rPr>
          <w:color w:val="231F20"/>
          <w:w w:val="105"/>
        </w:rPr>
        <w:t>de</w:t>
      </w:r>
      <w:r>
        <w:rPr>
          <w:color w:val="231F20"/>
          <w:spacing w:val="-11"/>
          <w:w w:val="105"/>
        </w:rPr>
        <w:t> </w:t>
      </w:r>
      <w:r>
        <w:rPr>
          <w:color w:val="231F20"/>
          <w:w w:val="105"/>
        </w:rPr>
        <w:t>otra</w:t>
      </w:r>
      <w:r>
        <w:rPr>
          <w:color w:val="231F20"/>
          <w:spacing w:val="-11"/>
          <w:w w:val="105"/>
        </w:rPr>
        <w:t> </w:t>
      </w:r>
      <w:r>
        <w:rPr>
          <w:color w:val="231F20"/>
          <w:w w:val="105"/>
        </w:rPr>
        <w:t>manera,</w:t>
      </w:r>
      <w:r>
        <w:rPr>
          <w:color w:val="231F20"/>
          <w:spacing w:val="-17"/>
          <w:w w:val="105"/>
        </w:rPr>
        <w:t> </w:t>
      </w:r>
      <w:r>
        <w:rPr>
          <w:color w:val="231F20"/>
          <w:w w:val="105"/>
        </w:rPr>
        <w:t>los</w:t>
      </w:r>
      <w:r>
        <w:rPr>
          <w:color w:val="231F20"/>
          <w:spacing w:val="-11"/>
          <w:w w:val="105"/>
        </w:rPr>
        <w:t> </w:t>
      </w:r>
      <w:r>
        <w:rPr>
          <w:color w:val="231F20"/>
          <w:w w:val="105"/>
        </w:rPr>
        <w:t>cuales</w:t>
      </w:r>
      <w:r>
        <w:rPr>
          <w:color w:val="231F20"/>
          <w:spacing w:val="-11"/>
          <w:w w:val="105"/>
        </w:rPr>
        <w:t> </w:t>
      </w:r>
      <w:r>
        <w:rPr>
          <w:color w:val="231F20"/>
          <w:w w:val="105"/>
        </w:rPr>
        <w:t>pueden</w:t>
      </w:r>
      <w:r>
        <w:rPr>
          <w:color w:val="231F20"/>
          <w:spacing w:val="-11"/>
          <w:w w:val="105"/>
        </w:rPr>
        <w:t> </w:t>
      </w:r>
      <w:r>
        <w:rPr>
          <w:color w:val="231F20"/>
          <w:w w:val="105"/>
        </w:rPr>
        <w:t>ser de</w:t>
      </w:r>
      <w:r>
        <w:rPr>
          <w:color w:val="231F20"/>
          <w:spacing w:val="-26"/>
          <w:w w:val="105"/>
        </w:rPr>
        <w:t> </w:t>
      </w:r>
      <w:r>
        <w:rPr>
          <w:color w:val="231F20"/>
          <w:w w:val="105"/>
        </w:rPr>
        <w:t>naturaleza</w:t>
      </w:r>
      <w:r>
        <w:rPr>
          <w:color w:val="231F20"/>
          <w:spacing w:val="-26"/>
          <w:w w:val="105"/>
        </w:rPr>
        <w:t> </w:t>
      </w:r>
      <w:r>
        <w:rPr>
          <w:color w:val="231F20"/>
          <w:w w:val="105"/>
        </w:rPr>
        <w:t>tangible</w:t>
      </w:r>
      <w:r>
        <w:rPr>
          <w:color w:val="231F20"/>
          <w:spacing w:val="-26"/>
          <w:w w:val="105"/>
        </w:rPr>
        <w:t> </w:t>
      </w:r>
      <w:r>
        <w:rPr>
          <w:color w:val="231F20"/>
          <w:w w:val="105"/>
        </w:rPr>
        <w:t>(recursos)</w:t>
      </w:r>
      <w:r>
        <w:rPr>
          <w:color w:val="231F20"/>
          <w:spacing w:val="-26"/>
          <w:w w:val="105"/>
        </w:rPr>
        <w:t> </w:t>
      </w:r>
      <w:r>
        <w:rPr>
          <w:color w:val="231F20"/>
          <w:w w:val="105"/>
        </w:rPr>
        <w:t>o</w:t>
      </w:r>
      <w:r>
        <w:rPr>
          <w:color w:val="231F20"/>
          <w:spacing w:val="-26"/>
          <w:w w:val="105"/>
        </w:rPr>
        <w:t> </w:t>
      </w:r>
      <w:r>
        <w:rPr>
          <w:color w:val="231F20"/>
          <w:w w:val="105"/>
        </w:rPr>
        <w:t>intangible</w:t>
      </w:r>
      <w:r>
        <w:rPr>
          <w:color w:val="231F20"/>
          <w:spacing w:val="-26"/>
          <w:w w:val="105"/>
        </w:rPr>
        <w:t> </w:t>
      </w:r>
      <w:r>
        <w:rPr>
          <w:color w:val="231F20"/>
          <w:w w:val="105"/>
        </w:rPr>
        <w:t>(capacidades).</w:t>
      </w:r>
    </w:p>
    <w:p>
      <w:pPr>
        <w:pStyle w:val="BodyText"/>
        <w:spacing w:line="259" w:lineRule="auto"/>
        <w:ind w:left="117" w:right="121" w:firstLine="567"/>
        <w:jc w:val="both"/>
      </w:pPr>
      <w:r>
        <w:rPr>
          <w:color w:val="231F20"/>
          <w:w w:val="105"/>
        </w:rPr>
        <w:t>Aunque</w:t>
      </w:r>
      <w:r>
        <w:rPr>
          <w:color w:val="231F20"/>
          <w:spacing w:val="-6"/>
          <w:w w:val="105"/>
        </w:rPr>
        <w:t> </w:t>
      </w:r>
      <w:r>
        <w:rPr>
          <w:color w:val="231F20"/>
          <w:w w:val="105"/>
        </w:rPr>
        <w:t>es</w:t>
      </w:r>
      <w:r>
        <w:rPr>
          <w:color w:val="231F20"/>
          <w:spacing w:val="-6"/>
          <w:w w:val="105"/>
        </w:rPr>
        <w:t> </w:t>
      </w:r>
      <w:r>
        <w:rPr>
          <w:color w:val="231F20"/>
          <w:w w:val="105"/>
        </w:rPr>
        <w:t>difícil</w:t>
      </w:r>
      <w:r>
        <w:rPr>
          <w:color w:val="231F20"/>
          <w:spacing w:val="-6"/>
          <w:w w:val="105"/>
        </w:rPr>
        <w:t> </w:t>
      </w:r>
      <w:r>
        <w:rPr>
          <w:color w:val="231F20"/>
          <w:w w:val="105"/>
        </w:rPr>
        <w:t>separarlas,</w:t>
      </w:r>
      <w:r>
        <w:rPr>
          <w:color w:val="231F20"/>
          <w:spacing w:val="-12"/>
          <w:w w:val="105"/>
        </w:rPr>
        <w:t> </w:t>
      </w:r>
      <w:r>
        <w:rPr>
          <w:color w:val="231F20"/>
          <w:w w:val="105"/>
        </w:rPr>
        <w:t>parece</w:t>
      </w:r>
      <w:r>
        <w:rPr>
          <w:color w:val="231F20"/>
          <w:spacing w:val="-6"/>
          <w:w w:val="105"/>
        </w:rPr>
        <w:t> </w:t>
      </w:r>
      <w:r>
        <w:rPr>
          <w:color w:val="231F20"/>
          <w:w w:val="105"/>
        </w:rPr>
        <w:t>ser</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10"/>
          <w:w w:val="105"/>
        </w:rPr>
        <w:t> </w:t>
      </w:r>
      <w:r>
        <w:rPr>
          <w:color w:val="231F20"/>
          <w:w w:val="105"/>
        </w:rPr>
        <w:t>TDR</w:t>
      </w:r>
      <w:r>
        <w:rPr>
          <w:color w:val="231F20"/>
          <w:spacing w:val="-6"/>
          <w:w w:val="105"/>
        </w:rPr>
        <w:t> </w:t>
      </w:r>
      <w:r>
        <w:rPr>
          <w:color w:val="231F20"/>
          <w:w w:val="105"/>
        </w:rPr>
        <w:t>apoya</w:t>
      </w:r>
      <w:r>
        <w:rPr>
          <w:color w:val="231F20"/>
          <w:spacing w:val="-6"/>
          <w:w w:val="105"/>
        </w:rPr>
        <w:t> </w:t>
      </w:r>
      <w:r>
        <w:rPr>
          <w:color w:val="231F20"/>
          <w:w w:val="105"/>
        </w:rPr>
        <w:t>más</w:t>
      </w:r>
      <w:r>
        <w:rPr>
          <w:color w:val="231F20"/>
          <w:spacing w:val="-6"/>
          <w:w w:val="105"/>
        </w:rPr>
        <w:t> </w:t>
      </w:r>
      <w:r>
        <w:rPr>
          <w:color w:val="231F20"/>
          <w:w w:val="105"/>
        </w:rPr>
        <w:t>la interdependencia</w:t>
      </w:r>
      <w:r>
        <w:rPr>
          <w:color w:val="231F20"/>
          <w:spacing w:val="-31"/>
          <w:w w:val="105"/>
        </w:rPr>
        <w:t> </w:t>
      </w:r>
      <w:r>
        <w:rPr>
          <w:color w:val="231F20"/>
          <w:w w:val="105"/>
        </w:rPr>
        <w:t>simbiótica,</w:t>
      </w:r>
      <w:r>
        <w:rPr>
          <w:color w:val="231F20"/>
          <w:spacing w:val="-36"/>
          <w:w w:val="105"/>
        </w:rPr>
        <w:t> </w:t>
      </w:r>
      <w:r>
        <w:rPr>
          <w:color w:val="231F20"/>
          <w:w w:val="105"/>
        </w:rPr>
        <w:t>mientras</w:t>
      </w:r>
      <w:r>
        <w:rPr>
          <w:color w:val="231F20"/>
          <w:spacing w:val="-31"/>
          <w:w w:val="105"/>
        </w:rPr>
        <w:t> </w:t>
      </w:r>
      <w:r>
        <w:rPr>
          <w:color w:val="231F20"/>
          <w:w w:val="105"/>
        </w:rPr>
        <w:t>que</w:t>
      </w:r>
      <w:r>
        <w:rPr>
          <w:color w:val="231F20"/>
          <w:spacing w:val="-31"/>
          <w:w w:val="105"/>
        </w:rPr>
        <w:t> </w:t>
      </w:r>
      <w:r>
        <w:rPr>
          <w:color w:val="231F20"/>
          <w:w w:val="105"/>
        </w:rPr>
        <w:t>la</w:t>
      </w:r>
      <w:r>
        <w:rPr>
          <w:color w:val="231F20"/>
          <w:spacing w:val="-35"/>
          <w:w w:val="105"/>
        </w:rPr>
        <w:t> </w:t>
      </w:r>
      <w:r>
        <w:rPr>
          <w:color w:val="231F20"/>
          <w:w w:val="105"/>
        </w:rPr>
        <w:t>TRyC</w:t>
      </w:r>
      <w:r>
        <w:rPr>
          <w:color w:val="231F20"/>
          <w:spacing w:val="-31"/>
          <w:w w:val="105"/>
        </w:rPr>
        <w:t> </w:t>
      </w:r>
      <w:r>
        <w:rPr>
          <w:color w:val="231F20"/>
          <w:w w:val="105"/>
        </w:rPr>
        <w:t>se</w:t>
      </w:r>
      <w:r>
        <w:rPr>
          <w:color w:val="231F20"/>
          <w:spacing w:val="-31"/>
          <w:w w:val="105"/>
        </w:rPr>
        <w:t> </w:t>
      </w:r>
      <w:r>
        <w:rPr>
          <w:color w:val="231F20"/>
          <w:w w:val="105"/>
        </w:rPr>
        <w:t>enfoca</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interde- pendencia</w:t>
      </w:r>
      <w:r>
        <w:rPr>
          <w:color w:val="231F20"/>
          <w:spacing w:val="-10"/>
          <w:w w:val="105"/>
        </w:rPr>
        <w:t> </w:t>
      </w:r>
      <w:r>
        <w:rPr>
          <w:color w:val="231F20"/>
          <w:w w:val="105"/>
        </w:rPr>
        <w:t>competitiva.</w:t>
      </w:r>
      <w:r>
        <w:rPr>
          <w:color w:val="231F20"/>
          <w:spacing w:val="-15"/>
          <w:w w:val="105"/>
        </w:rPr>
        <w:t> </w:t>
      </w:r>
      <w:r>
        <w:rPr>
          <w:color w:val="231F20"/>
          <w:w w:val="105"/>
        </w:rPr>
        <w:t>Lo</w:t>
      </w:r>
      <w:r>
        <w:rPr>
          <w:color w:val="231F20"/>
          <w:spacing w:val="-10"/>
          <w:w w:val="105"/>
        </w:rPr>
        <w:t> </w:t>
      </w:r>
      <w:r>
        <w:rPr>
          <w:color w:val="231F20"/>
          <w:w w:val="105"/>
        </w:rPr>
        <w:t>importante</w:t>
      </w:r>
      <w:r>
        <w:rPr>
          <w:color w:val="231F20"/>
          <w:spacing w:val="-10"/>
          <w:w w:val="105"/>
        </w:rPr>
        <w:t> </w:t>
      </w:r>
      <w:r>
        <w:rPr>
          <w:color w:val="231F20"/>
          <w:w w:val="105"/>
        </w:rPr>
        <w:t>es</w:t>
      </w:r>
      <w:r>
        <w:rPr>
          <w:color w:val="231F20"/>
          <w:spacing w:val="-10"/>
          <w:w w:val="105"/>
        </w:rPr>
        <w:t> </w:t>
      </w:r>
      <w:r>
        <w:rPr>
          <w:color w:val="231F20"/>
          <w:w w:val="105"/>
        </w:rPr>
        <w:t>que</w:t>
      </w:r>
      <w:r>
        <w:rPr>
          <w:color w:val="231F20"/>
          <w:spacing w:val="-10"/>
          <w:w w:val="105"/>
        </w:rPr>
        <w:t> </w:t>
      </w:r>
      <w:r>
        <w:rPr>
          <w:color w:val="231F20"/>
          <w:w w:val="105"/>
        </w:rPr>
        <w:t>para</w:t>
      </w:r>
      <w:r>
        <w:rPr>
          <w:color w:val="231F20"/>
          <w:spacing w:val="-10"/>
          <w:w w:val="105"/>
        </w:rPr>
        <w:t> </w:t>
      </w:r>
      <w:r>
        <w:rPr>
          <w:color w:val="231F20"/>
          <w:w w:val="105"/>
        </w:rPr>
        <w:t>construir</w:t>
      </w:r>
      <w:r>
        <w:rPr>
          <w:color w:val="231F20"/>
          <w:spacing w:val="-10"/>
          <w:w w:val="105"/>
        </w:rPr>
        <w:t> </w:t>
      </w:r>
      <w:r>
        <w:rPr>
          <w:color w:val="231F20"/>
          <w:w w:val="105"/>
        </w:rPr>
        <w:t>la</w:t>
      </w:r>
      <w:r>
        <w:rPr>
          <w:color w:val="231F20"/>
          <w:spacing w:val="-10"/>
          <w:w w:val="105"/>
        </w:rPr>
        <w:t> </w:t>
      </w:r>
      <w:r>
        <w:rPr>
          <w:color w:val="231F20"/>
          <w:w w:val="105"/>
        </w:rPr>
        <w:t>sustenta- bilidad</w:t>
      </w:r>
      <w:r>
        <w:rPr>
          <w:color w:val="231F20"/>
          <w:spacing w:val="-18"/>
          <w:w w:val="105"/>
        </w:rPr>
        <w:t> </w:t>
      </w:r>
      <w:r>
        <w:rPr>
          <w:color w:val="231F20"/>
          <w:w w:val="105"/>
        </w:rPr>
        <w:t>que</w:t>
      </w:r>
      <w:r>
        <w:rPr>
          <w:color w:val="231F20"/>
          <w:spacing w:val="-18"/>
          <w:w w:val="105"/>
        </w:rPr>
        <w:t> </w:t>
      </w:r>
      <w:r>
        <w:rPr>
          <w:color w:val="231F20"/>
          <w:w w:val="105"/>
        </w:rPr>
        <w:t>las</w:t>
      </w:r>
      <w:r>
        <w:rPr>
          <w:color w:val="231F20"/>
          <w:spacing w:val="-18"/>
          <w:w w:val="105"/>
        </w:rPr>
        <w:t> </w:t>
      </w:r>
      <w:r>
        <w:rPr>
          <w:color w:val="231F20"/>
          <w:w w:val="105"/>
        </w:rPr>
        <w:t>organizaciones</w:t>
      </w:r>
      <w:r>
        <w:rPr>
          <w:color w:val="231F20"/>
          <w:spacing w:val="-18"/>
          <w:w w:val="105"/>
        </w:rPr>
        <w:t> </w:t>
      </w:r>
      <w:r>
        <w:rPr>
          <w:color w:val="231F20"/>
          <w:w w:val="105"/>
        </w:rPr>
        <w:t>requieren,</w:t>
      </w:r>
      <w:r>
        <w:rPr>
          <w:color w:val="231F20"/>
          <w:spacing w:val="-23"/>
          <w:w w:val="105"/>
        </w:rPr>
        <w:t> </w:t>
      </w:r>
      <w:r>
        <w:rPr>
          <w:color w:val="231F20"/>
          <w:w w:val="105"/>
        </w:rPr>
        <w:t>vale</w:t>
      </w:r>
      <w:r>
        <w:rPr>
          <w:color w:val="231F20"/>
          <w:spacing w:val="-18"/>
          <w:w w:val="105"/>
        </w:rPr>
        <w:t> </w:t>
      </w:r>
      <w:r>
        <w:rPr>
          <w:color w:val="231F20"/>
          <w:w w:val="105"/>
        </w:rPr>
        <w:t>más</w:t>
      </w:r>
      <w:r>
        <w:rPr>
          <w:color w:val="231F20"/>
          <w:spacing w:val="-18"/>
          <w:w w:val="105"/>
        </w:rPr>
        <w:t> </w:t>
      </w:r>
      <w:r>
        <w:rPr>
          <w:color w:val="231F20"/>
          <w:w w:val="105"/>
        </w:rPr>
        <w:t>colaborar</w:t>
      </w:r>
      <w:r>
        <w:rPr>
          <w:color w:val="231F20"/>
          <w:spacing w:val="-18"/>
          <w:w w:val="105"/>
        </w:rPr>
        <w:t> </w:t>
      </w:r>
      <w:r>
        <w:rPr>
          <w:color w:val="231F20"/>
          <w:w w:val="105"/>
        </w:rPr>
        <w:t>y</w:t>
      </w:r>
      <w:r>
        <w:rPr>
          <w:color w:val="231F20"/>
          <w:spacing w:val="-18"/>
          <w:w w:val="105"/>
        </w:rPr>
        <w:t> </w:t>
      </w:r>
      <w:r>
        <w:rPr>
          <w:color w:val="231F20"/>
          <w:w w:val="105"/>
        </w:rPr>
        <w:t>contribuir a una distribución equitativa de poder y control, y dejar de lado la com- petencia</w:t>
      </w:r>
      <w:r>
        <w:rPr>
          <w:color w:val="231F20"/>
          <w:spacing w:val="-12"/>
          <w:w w:val="105"/>
        </w:rPr>
        <w:t> </w:t>
      </w:r>
      <w:r>
        <w:rPr>
          <w:color w:val="231F20"/>
          <w:w w:val="105"/>
        </w:rPr>
        <w:t>desmedida.</w:t>
      </w:r>
    </w:p>
    <w:p>
      <w:pPr>
        <w:pStyle w:val="BodyText"/>
        <w:spacing w:line="259" w:lineRule="auto"/>
        <w:ind w:left="117" w:right="115" w:firstLine="567"/>
        <w:jc w:val="both"/>
      </w:pPr>
      <w:r>
        <w:rPr>
          <w:color w:val="231F20"/>
          <w:spacing w:val="-4"/>
          <w:w w:val="105"/>
        </w:rPr>
        <w:t>Para </w:t>
      </w:r>
      <w:r>
        <w:rPr>
          <w:color w:val="231F20"/>
          <w:w w:val="105"/>
        </w:rPr>
        <w:t>avanzar en el conocimiento, las implicaciones teóricas de- ben</w:t>
      </w:r>
      <w:r>
        <w:rPr>
          <w:color w:val="231F20"/>
          <w:spacing w:val="-5"/>
          <w:w w:val="105"/>
        </w:rPr>
        <w:t> </w:t>
      </w:r>
      <w:r>
        <w:rPr>
          <w:color w:val="231F20"/>
          <w:w w:val="105"/>
        </w:rPr>
        <w:t>confrontarse</w:t>
      </w:r>
      <w:r>
        <w:rPr>
          <w:color w:val="231F20"/>
          <w:spacing w:val="-5"/>
          <w:w w:val="105"/>
        </w:rPr>
        <w:t> </w:t>
      </w:r>
      <w:r>
        <w:rPr>
          <w:color w:val="231F20"/>
          <w:w w:val="105"/>
        </w:rPr>
        <w:t>con</w:t>
      </w:r>
      <w:r>
        <w:rPr>
          <w:color w:val="231F20"/>
          <w:spacing w:val="-5"/>
          <w:w w:val="105"/>
        </w:rPr>
        <w:t> </w:t>
      </w:r>
      <w:r>
        <w:rPr>
          <w:color w:val="231F20"/>
          <w:w w:val="105"/>
        </w:rPr>
        <w:t>evidencia</w:t>
      </w:r>
      <w:r>
        <w:rPr>
          <w:color w:val="231F20"/>
          <w:spacing w:val="-5"/>
          <w:w w:val="105"/>
        </w:rPr>
        <w:t> </w:t>
      </w:r>
      <w:r>
        <w:rPr>
          <w:color w:val="231F20"/>
          <w:w w:val="105"/>
        </w:rPr>
        <w:t>científica.</w:t>
      </w:r>
      <w:r>
        <w:rPr>
          <w:color w:val="231F20"/>
          <w:spacing w:val="-11"/>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sentido,</w:t>
      </w:r>
      <w:r>
        <w:rPr>
          <w:color w:val="231F20"/>
          <w:spacing w:val="-11"/>
          <w:w w:val="105"/>
        </w:rPr>
        <w:t> </w:t>
      </w:r>
      <w:r>
        <w:rPr>
          <w:color w:val="231F20"/>
          <w:w w:val="105"/>
        </w:rPr>
        <w:t>y</w:t>
      </w:r>
      <w:r>
        <w:rPr>
          <w:color w:val="231F20"/>
          <w:spacing w:val="-5"/>
          <w:w w:val="105"/>
        </w:rPr>
        <w:t> </w:t>
      </w:r>
      <w:r>
        <w:rPr>
          <w:color w:val="231F20"/>
          <w:w w:val="105"/>
        </w:rPr>
        <w:t>al</w:t>
      </w:r>
      <w:r>
        <w:rPr>
          <w:color w:val="231F20"/>
          <w:spacing w:val="-5"/>
          <w:w w:val="105"/>
        </w:rPr>
        <w:t> </w:t>
      </w:r>
      <w:r>
        <w:rPr>
          <w:color w:val="231F20"/>
          <w:w w:val="105"/>
        </w:rPr>
        <w:t>registrar el caso de empresas incubadas, Amezcua </w:t>
      </w:r>
      <w:r>
        <w:rPr>
          <w:i/>
          <w:color w:val="231F20"/>
          <w:w w:val="105"/>
        </w:rPr>
        <w:t>et al </w:t>
      </w:r>
      <w:r>
        <w:rPr>
          <w:color w:val="231F20"/>
          <w:w w:val="105"/>
        </w:rPr>
        <w:t>(2013) consideran que la</w:t>
      </w:r>
      <w:r>
        <w:rPr>
          <w:color w:val="231F20"/>
          <w:spacing w:val="-17"/>
          <w:w w:val="105"/>
        </w:rPr>
        <w:t> </w:t>
      </w:r>
      <w:r>
        <w:rPr>
          <w:color w:val="231F20"/>
          <w:w w:val="105"/>
        </w:rPr>
        <w:t>TDR</w:t>
      </w:r>
      <w:r>
        <w:rPr>
          <w:color w:val="231F20"/>
          <w:spacing w:val="-13"/>
          <w:w w:val="105"/>
        </w:rPr>
        <w:t> </w:t>
      </w:r>
      <w:r>
        <w:rPr>
          <w:color w:val="231F20"/>
          <w:w w:val="105"/>
        </w:rPr>
        <w:t>no</w:t>
      </w:r>
      <w:r>
        <w:rPr>
          <w:color w:val="231F20"/>
          <w:spacing w:val="-13"/>
          <w:w w:val="105"/>
        </w:rPr>
        <w:t> </w:t>
      </w:r>
      <w:r>
        <w:rPr>
          <w:color w:val="231F20"/>
          <w:w w:val="105"/>
        </w:rPr>
        <w:t>alcanza</w:t>
      </w:r>
      <w:r>
        <w:rPr>
          <w:color w:val="231F20"/>
          <w:spacing w:val="-13"/>
          <w:w w:val="105"/>
        </w:rPr>
        <w:t> </w:t>
      </w:r>
      <w:r>
        <w:rPr>
          <w:color w:val="231F20"/>
          <w:w w:val="105"/>
        </w:rPr>
        <w:t>a</w:t>
      </w:r>
      <w:r>
        <w:rPr>
          <w:color w:val="231F20"/>
          <w:spacing w:val="-13"/>
          <w:w w:val="105"/>
        </w:rPr>
        <w:t> </w:t>
      </w:r>
      <w:r>
        <w:rPr>
          <w:color w:val="231F20"/>
          <w:w w:val="105"/>
        </w:rPr>
        <w:t>explicar</w:t>
      </w:r>
      <w:r>
        <w:rPr>
          <w:color w:val="231F20"/>
          <w:spacing w:val="-13"/>
          <w:w w:val="105"/>
        </w:rPr>
        <w:t> </w:t>
      </w:r>
      <w:r>
        <w:rPr>
          <w:color w:val="231F20"/>
          <w:w w:val="105"/>
        </w:rPr>
        <w:t>la</w:t>
      </w:r>
      <w:r>
        <w:rPr>
          <w:color w:val="231F20"/>
          <w:spacing w:val="-13"/>
          <w:w w:val="105"/>
        </w:rPr>
        <w:t> </w:t>
      </w:r>
      <w:r>
        <w:rPr>
          <w:color w:val="231F20"/>
          <w:w w:val="105"/>
        </w:rPr>
        <w:t>sobrevivencia</w:t>
      </w:r>
      <w:r>
        <w:rPr>
          <w:color w:val="231F20"/>
          <w:spacing w:val="-13"/>
          <w:w w:val="105"/>
        </w:rPr>
        <w:t> </w:t>
      </w:r>
      <w:r>
        <w:rPr>
          <w:color w:val="231F20"/>
          <w:w w:val="105"/>
        </w:rPr>
        <w:t>o</w:t>
      </w:r>
      <w:r>
        <w:rPr>
          <w:color w:val="231F20"/>
          <w:spacing w:val="-13"/>
          <w:w w:val="105"/>
        </w:rPr>
        <w:t> </w:t>
      </w:r>
      <w:r>
        <w:rPr>
          <w:color w:val="231F20"/>
          <w:w w:val="105"/>
        </w:rPr>
        <w:t>muerte</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empresas de reciente creación, ya que no es suficiente la disponibilidad de</w:t>
      </w:r>
      <w:r>
        <w:rPr>
          <w:color w:val="231F20"/>
          <w:spacing w:val="-26"/>
          <w:w w:val="105"/>
        </w:rPr>
        <w:t> </w:t>
      </w:r>
      <w:r>
        <w:rPr>
          <w:color w:val="231F20"/>
          <w:w w:val="105"/>
        </w:rPr>
        <w:t>recur- sos</w:t>
      </w:r>
      <w:r>
        <w:rPr>
          <w:color w:val="231F20"/>
          <w:spacing w:val="-12"/>
          <w:w w:val="105"/>
        </w:rPr>
        <w:t> </w:t>
      </w:r>
      <w:r>
        <w:rPr>
          <w:color w:val="231F20"/>
          <w:w w:val="105"/>
        </w:rPr>
        <w:t>provenientes</w:t>
      </w:r>
      <w:r>
        <w:rPr>
          <w:color w:val="231F20"/>
          <w:spacing w:val="-12"/>
          <w:w w:val="105"/>
        </w:rPr>
        <w:t> </w:t>
      </w:r>
      <w:r>
        <w:rPr>
          <w:color w:val="231F20"/>
          <w:w w:val="105"/>
        </w:rPr>
        <w:t>de</w:t>
      </w:r>
      <w:r>
        <w:rPr>
          <w:color w:val="231F20"/>
          <w:spacing w:val="-12"/>
          <w:w w:val="105"/>
        </w:rPr>
        <w:t> </w:t>
      </w:r>
      <w:r>
        <w:rPr>
          <w:color w:val="231F20"/>
          <w:w w:val="105"/>
        </w:rPr>
        <w:t>patrocinios,</w:t>
      </w:r>
      <w:r>
        <w:rPr>
          <w:color w:val="231F20"/>
          <w:spacing w:val="-17"/>
          <w:w w:val="105"/>
        </w:rPr>
        <w:t> </w:t>
      </w:r>
      <w:r>
        <w:rPr>
          <w:color w:val="231F20"/>
          <w:w w:val="105"/>
        </w:rPr>
        <w:t>aunque</w:t>
      </w:r>
      <w:r>
        <w:rPr>
          <w:color w:val="231F20"/>
          <w:spacing w:val="-12"/>
          <w:w w:val="105"/>
        </w:rPr>
        <w:t> </w:t>
      </w:r>
      <w:r>
        <w:rPr>
          <w:color w:val="231F20"/>
          <w:w w:val="105"/>
        </w:rPr>
        <w:t>sí</w:t>
      </w:r>
      <w:r>
        <w:rPr>
          <w:color w:val="231F20"/>
          <w:spacing w:val="-12"/>
          <w:w w:val="105"/>
        </w:rPr>
        <w:t> </w:t>
      </w:r>
      <w:r>
        <w:rPr>
          <w:color w:val="231F20"/>
          <w:w w:val="105"/>
        </w:rPr>
        <w:t>favorece</w:t>
      </w:r>
      <w:r>
        <w:rPr>
          <w:color w:val="231F20"/>
          <w:spacing w:val="-12"/>
          <w:w w:val="105"/>
        </w:rPr>
        <w:t> </w:t>
      </w:r>
      <w:r>
        <w:rPr>
          <w:color w:val="231F20"/>
          <w:w w:val="105"/>
        </w:rPr>
        <w:t>la</w:t>
      </w:r>
      <w:r>
        <w:rPr>
          <w:color w:val="231F20"/>
          <w:spacing w:val="-12"/>
          <w:w w:val="105"/>
        </w:rPr>
        <w:t> </w:t>
      </w:r>
      <w:r>
        <w:rPr>
          <w:color w:val="231F20"/>
          <w:w w:val="105"/>
        </w:rPr>
        <w:t>conformación</w:t>
      </w:r>
      <w:r>
        <w:rPr>
          <w:color w:val="231F20"/>
          <w:spacing w:val="-12"/>
          <w:w w:val="105"/>
        </w:rPr>
        <w:t> </w:t>
      </w:r>
      <w:r>
        <w:rPr>
          <w:color w:val="231F20"/>
          <w:w w:val="105"/>
        </w:rPr>
        <w:t>de contextos </w:t>
      </w:r>
      <w:r>
        <w:rPr>
          <w:color w:val="231F20"/>
          <w:spacing w:val="-4"/>
          <w:w w:val="105"/>
        </w:rPr>
        <w:t>“generosos”, </w:t>
      </w:r>
      <w:r>
        <w:rPr>
          <w:color w:val="231F20"/>
          <w:w w:val="105"/>
        </w:rPr>
        <w:t>que disminuyen la incertidumbre del ambiente. Alternativamente, proponen que el emprendedurismo, como</w:t>
      </w:r>
      <w:r>
        <w:rPr>
          <w:color w:val="231F20"/>
          <w:spacing w:val="-28"/>
          <w:w w:val="105"/>
        </w:rPr>
        <w:t> </w:t>
      </w:r>
      <w:r>
        <w:rPr>
          <w:color w:val="231F20"/>
          <w:w w:val="105"/>
        </w:rPr>
        <w:t>capacidad dinámica,</w:t>
      </w:r>
      <w:r>
        <w:rPr>
          <w:color w:val="231F20"/>
          <w:spacing w:val="-24"/>
          <w:w w:val="105"/>
        </w:rPr>
        <w:t> </w:t>
      </w:r>
      <w:r>
        <w:rPr>
          <w:color w:val="231F20"/>
          <w:w w:val="105"/>
        </w:rPr>
        <w:t>medie</w:t>
      </w:r>
      <w:r>
        <w:rPr>
          <w:color w:val="231F20"/>
          <w:spacing w:val="-18"/>
          <w:w w:val="105"/>
        </w:rPr>
        <w:t> </w:t>
      </w:r>
      <w:r>
        <w:rPr>
          <w:color w:val="231F20"/>
          <w:w w:val="105"/>
        </w:rPr>
        <w:t>la</w:t>
      </w:r>
      <w:r>
        <w:rPr>
          <w:color w:val="231F20"/>
          <w:spacing w:val="-18"/>
          <w:w w:val="105"/>
        </w:rPr>
        <w:t> </w:t>
      </w:r>
      <w:r>
        <w:rPr>
          <w:color w:val="231F20"/>
          <w:w w:val="105"/>
        </w:rPr>
        <w:t>relación</w:t>
      </w:r>
      <w:r>
        <w:rPr>
          <w:color w:val="231F20"/>
          <w:spacing w:val="-18"/>
          <w:w w:val="105"/>
        </w:rPr>
        <w:t> </w:t>
      </w:r>
      <w:r>
        <w:rPr>
          <w:color w:val="231F20"/>
          <w:w w:val="105"/>
        </w:rPr>
        <w:t>entre</w:t>
      </w:r>
      <w:r>
        <w:rPr>
          <w:color w:val="231F20"/>
          <w:spacing w:val="-18"/>
          <w:w w:val="105"/>
        </w:rPr>
        <w:t> </w:t>
      </w:r>
      <w:r>
        <w:rPr>
          <w:color w:val="231F20"/>
          <w:w w:val="105"/>
        </w:rPr>
        <w:t>un</w:t>
      </w:r>
      <w:r>
        <w:rPr>
          <w:color w:val="231F20"/>
          <w:spacing w:val="-18"/>
          <w:w w:val="105"/>
        </w:rPr>
        <w:t> </w:t>
      </w:r>
      <w:r>
        <w:rPr>
          <w:color w:val="231F20"/>
          <w:w w:val="105"/>
        </w:rPr>
        <w:t>patrocinio</w:t>
      </w:r>
      <w:r>
        <w:rPr>
          <w:color w:val="231F20"/>
          <w:spacing w:val="-18"/>
          <w:w w:val="105"/>
        </w:rPr>
        <w:t> </w:t>
      </w:r>
      <w:r>
        <w:rPr>
          <w:color w:val="231F20"/>
          <w:w w:val="105"/>
        </w:rPr>
        <w:t>organizacional,</w:t>
      </w:r>
      <w:r>
        <w:rPr>
          <w:color w:val="231F20"/>
          <w:spacing w:val="-24"/>
          <w:w w:val="105"/>
        </w:rPr>
        <w:t> </w:t>
      </w:r>
      <w:r>
        <w:rPr>
          <w:color w:val="231F20"/>
          <w:w w:val="105"/>
        </w:rPr>
        <w:t>como</w:t>
      </w:r>
      <w:r>
        <w:rPr>
          <w:color w:val="231F20"/>
          <w:spacing w:val="-18"/>
          <w:w w:val="105"/>
        </w:rPr>
        <w:t> </w:t>
      </w:r>
      <w:r>
        <w:rPr>
          <w:color w:val="231F20"/>
          <w:w w:val="105"/>
        </w:rPr>
        <w:t>“in- yección</w:t>
      </w:r>
      <w:r>
        <w:rPr>
          <w:color w:val="231F20"/>
          <w:spacing w:val="-27"/>
          <w:w w:val="105"/>
        </w:rPr>
        <w:t> </w:t>
      </w:r>
      <w:r>
        <w:rPr>
          <w:color w:val="231F20"/>
          <w:w w:val="105"/>
        </w:rPr>
        <w:t>de</w:t>
      </w:r>
      <w:r>
        <w:rPr>
          <w:color w:val="231F20"/>
          <w:spacing w:val="-27"/>
          <w:w w:val="105"/>
        </w:rPr>
        <w:t> </w:t>
      </w:r>
      <w:r>
        <w:rPr>
          <w:color w:val="231F20"/>
          <w:w w:val="105"/>
        </w:rPr>
        <w:t>recursos</w:t>
      </w:r>
      <w:r>
        <w:rPr>
          <w:color w:val="231F20"/>
          <w:spacing w:val="-27"/>
          <w:w w:val="105"/>
        </w:rPr>
        <w:t> </w:t>
      </w:r>
      <w:r>
        <w:rPr>
          <w:color w:val="231F20"/>
          <w:w w:val="105"/>
        </w:rPr>
        <w:t>frescos”</w:t>
      </w:r>
      <w:r>
        <w:rPr>
          <w:color w:val="231F20"/>
          <w:spacing w:val="-27"/>
          <w:w w:val="105"/>
        </w:rPr>
        <w:t> </w:t>
      </w:r>
      <w:r>
        <w:rPr>
          <w:color w:val="231F20"/>
          <w:w w:val="105"/>
        </w:rPr>
        <w:t>en</w:t>
      </w:r>
      <w:r>
        <w:rPr>
          <w:color w:val="231F20"/>
          <w:spacing w:val="-27"/>
          <w:w w:val="105"/>
        </w:rPr>
        <w:t> </w:t>
      </w:r>
      <w:r>
        <w:rPr>
          <w:color w:val="231F20"/>
          <w:w w:val="105"/>
        </w:rPr>
        <w:t>un</w:t>
      </w:r>
      <w:r>
        <w:rPr>
          <w:color w:val="231F20"/>
          <w:spacing w:val="-27"/>
          <w:w w:val="105"/>
        </w:rPr>
        <w:t> </w:t>
      </w:r>
      <w:r>
        <w:rPr>
          <w:color w:val="231F20"/>
          <w:w w:val="105"/>
        </w:rPr>
        <w:t>ambiente</w:t>
      </w:r>
      <w:r>
        <w:rPr>
          <w:color w:val="231F20"/>
          <w:spacing w:val="-27"/>
          <w:w w:val="105"/>
        </w:rPr>
        <w:t> </w:t>
      </w:r>
      <w:r>
        <w:rPr>
          <w:color w:val="231F20"/>
          <w:w w:val="105"/>
        </w:rPr>
        <w:t>y</w:t>
      </w:r>
      <w:r>
        <w:rPr>
          <w:color w:val="231F20"/>
          <w:spacing w:val="-27"/>
          <w:w w:val="105"/>
        </w:rPr>
        <w:t> </w:t>
      </w:r>
      <w:r>
        <w:rPr>
          <w:color w:val="231F20"/>
          <w:w w:val="105"/>
        </w:rPr>
        <w:t>las</w:t>
      </w:r>
      <w:r>
        <w:rPr>
          <w:color w:val="231F20"/>
          <w:spacing w:val="-27"/>
          <w:w w:val="105"/>
        </w:rPr>
        <w:t> </w:t>
      </w:r>
      <w:r>
        <w:rPr>
          <w:color w:val="231F20"/>
          <w:w w:val="105"/>
        </w:rPr>
        <w:t>tasas</w:t>
      </w:r>
      <w:r>
        <w:rPr>
          <w:color w:val="231F20"/>
          <w:spacing w:val="-27"/>
          <w:w w:val="105"/>
        </w:rPr>
        <w:t> </w:t>
      </w:r>
      <w:r>
        <w:rPr>
          <w:color w:val="231F20"/>
          <w:w w:val="105"/>
        </w:rPr>
        <w:t>de</w:t>
      </w:r>
      <w:r>
        <w:rPr>
          <w:color w:val="231F20"/>
          <w:spacing w:val="-27"/>
          <w:w w:val="105"/>
        </w:rPr>
        <w:t> </w:t>
      </w:r>
      <w:r>
        <w:rPr>
          <w:color w:val="231F20"/>
          <w:w w:val="105"/>
        </w:rPr>
        <w:t>sobrevivencia de</w:t>
      </w:r>
      <w:r>
        <w:rPr>
          <w:color w:val="231F20"/>
          <w:spacing w:val="-36"/>
          <w:w w:val="105"/>
        </w:rPr>
        <w:t> </w:t>
      </w:r>
      <w:r>
        <w:rPr>
          <w:color w:val="231F20"/>
          <w:w w:val="105"/>
        </w:rPr>
        <w:t>empresas</w:t>
      </w:r>
      <w:r>
        <w:rPr>
          <w:color w:val="231F20"/>
          <w:spacing w:val="-36"/>
          <w:w w:val="105"/>
        </w:rPr>
        <w:t> </w:t>
      </w:r>
      <w:r>
        <w:rPr>
          <w:color w:val="231F20"/>
          <w:w w:val="105"/>
        </w:rPr>
        <w:t>nacientes.</w:t>
      </w:r>
      <w:r>
        <w:rPr>
          <w:color w:val="231F20"/>
          <w:spacing w:val="-40"/>
          <w:w w:val="105"/>
        </w:rPr>
        <w:t> </w:t>
      </w:r>
      <w:r>
        <w:rPr>
          <w:color w:val="231F20"/>
          <w:w w:val="105"/>
        </w:rPr>
        <w:t>Esta</w:t>
      </w:r>
      <w:r>
        <w:rPr>
          <w:color w:val="231F20"/>
          <w:spacing w:val="-36"/>
          <w:w w:val="105"/>
        </w:rPr>
        <w:t> </w:t>
      </w:r>
      <w:r>
        <w:rPr>
          <w:color w:val="231F20"/>
          <w:w w:val="105"/>
        </w:rPr>
        <w:t>extensión</w:t>
      </w:r>
      <w:r>
        <w:rPr>
          <w:color w:val="231F20"/>
          <w:spacing w:val="-36"/>
          <w:w w:val="105"/>
        </w:rPr>
        <w:t> </w:t>
      </w:r>
      <w:r>
        <w:rPr>
          <w:color w:val="231F20"/>
          <w:w w:val="105"/>
        </w:rPr>
        <w:t>hacia</w:t>
      </w:r>
      <w:r>
        <w:rPr>
          <w:color w:val="231F20"/>
          <w:spacing w:val="-36"/>
          <w:w w:val="105"/>
        </w:rPr>
        <w:t> </w:t>
      </w:r>
      <w:r>
        <w:rPr>
          <w:color w:val="231F20"/>
          <w:w w:val="105"/>
        </w:rPr>
        <w:t>el</w:t>
      </w:r>
      <w:r>
        <w:rPr>
          <w:color w:val="231F20"/>
          <w:spacing w:val="-36"/>
          <w:w w:val="105"/>
        </w:rPr>
        <w:t> </w:t>
      </w:r>
      <w:r>
        <w:rPr>
          <w:color w:val="231F20"/>
          <w:w w:val="105"/>
        </w:rPr>
        <w:t>emprendedurismo</w:t>
      </w:r>
      <w:r>
        <w:rPr>
          <w:color w:val="231F20"/>
          <w:spacing w:val="-36"/>
          <w:w w:val="105"/>
        </w:rPr>
        <w:t> </w:t>
      </w:r>
      <w:r>
        <w:rPr>
          <w:color w:val="231F20"/>
          <w:w w:val="105"/>
        </w:rPr>
        <w:t>es</w:t>
      </w:r>
      <w:r>
        <w:rPr>
          <w:color w:val="231F20"/>
          <w:spacing w:val="-36"/>
          <w:w w:val="105"/>
        </w:rPr>
        <w:t> </w:t>
      </w:r>
      <w:r>
        <w:rPr>
          <w:color w:val="231F20"/>
          <w:w w:val="105"/>
        </w:rPr>
        <w:t>me- jor</w:t>
      </w:r>
      <w:r>
        <w:rPr>
          <w:color w:val="231F20"/>
          <w:spacing w:val="-25"/>
          <w:w w:val="105"/>
        </w:rPr>
        <w:t> </w:t>
      </w:r>
      <w:r>
        <w:rPr>
          <w:color w:val="231F20"/>
          <w:w w:val="105"/>
        </w:rPr>
        <w:t>explicada</w:t>
      </w:r>
      <w:r>
        <w:rPr>
          <w:color w:val="231F20"/>
          <w:spacing w:val="-25"/>
          <w:w w:val="105"/>
        </w:rPr>
        <w:t> </w:t>
      </w:r>
      <w:r>
        <w:rPr>
          <w:color w:val="231F20"/>
          <w:w w:val="105"/>
        </w:rPr>
        <w:t>por</w:t>
      </w:r>
      <w:r>
        <w:rPr>
          <w:color w:val="231F20"/>
          <w:spacing w:val="-25"/>
          <w:w w:val="105"/>
        </w:rPr>
        <w:t> </w:t>
      </w:r>
      <w:r>
        <w:rPr>
          <w:color w:val="231F20"/>
          <w:w w:val="105"/>
        </w:rPr>
        <w:t>la</w:t>
      </w:r>
      <w:r>
        <w:rPr>
          <w:color w:val="231F20"/>
          <w:spacing w:val="-28"/>
          <w:w w:val="105"/>
        </w:rPr>
        <w:t> </w:t>
      </w:r>
      <w:r>
        <w:rPr>
          <w:color w:val="231F20"/>
          <w:w w:val="105"/>
        </w:rPr>
        <w:t>TRyC.</w:t>
      </w:r>
    </w:p>
    <w:p>
      <w:pPr>
        <w:pStyle w:val="BodyText"/>
        <w:spacing w:line="259" w:lineRule="auto"/>
        <w:ind w:left="117" w:right="116" w:firstLine="567"/>
        <w:jc w:val="both"/>
      </w:pPr>
      <w:r>
        <w:rPr>
          <w:color w:val="231F20"/>
          <w:spacing w:val="-6"/>
          <w:w w:val="105"/>
        </w:rPr>
        <w:t>Por</w:t>
      </w:r>
      <w:r>
        <w:rPr>
          <w:color w:val="231F20"/>
          <w:spacing w:val="-11"/>
          <w:w w:val="105"/>
        </w:rPr>
        <w:t> </w:t>
      </w:r>
      <w:r>
        <w:rPr>
          <w:color w:val="231F20"/>
          <w:w w:val="105"/>
        </w:rPr>
        <w:t>su</w:t>
      </w:r>
      <w:r>
        <w:rPr>
          <w:color w:val="231F20"/>
          <w:spacing w:val="-11"/>
          <w:w w:val="105"/>
        </w:rPr>
        <w:t> </w:t>
      </w:r>
      <w:r>
        <w:rPr>
          <w:color w:val="231F20"/>
          <w:w w:val="105"/>
        </w:rPr>
        <w:t>parte,</w:t>
      </w:r>
      <w:r>
        <w:rPr>
          <w:color w:val="231F20"/>
          <w:spacing w:val="-21"/>
          <w:w w:val="105"/>
        </w:rPr>
        <w:t> </w:t>
      </w:r>
      <w:r>
        <w:rPr>
          <w:color w:val="231F20"/>
          <w:spacing w:val="-4"/>
          <w:w w:val="105"/>
        </w:rPr>
        <w:t>Yang,</w:t>
      </w:r>
      <w:r>
        <w:rPr>
          <w:color w:val="231F20"/>
          <w:spacing w:val="-17"/>
          <w:w w:val="105"/>
        </w:rPr>
        <w:t> </w:t>
      </w:r>
      <w:r>
        <w:rPr>
          <w:i/>
          <w:color w:val="231F20"/>
          <w:w w:val="105"/>
        </w:rPr>
        <w:t>et</w:t>
      </w:r>
      <w:r>
        <w:rPr>
          <w:i/>
          <w:color w:val="231F20"/>
          <w:spacing w:val="-11"/>
          <w:w w:val="105"/>
        </w:rPr>
        <w:t> </w:t>
      </w:r>
      <w:r>
        <w:rPr>
          <w:i/>
          <w:color w:val="231F20"/>
          <w:w w:val="105"/>
        </w:rPr>
        <w:t>al</w:t>
      </w:r>
      <w:r>
        <w:rPr>
          <w:i/>
          <w:color w:val="231F20"/>
          <w:spacing w:val="-11"/>
          <w:w w:val="105"/>
        </w:rPr>
        <w:t> </w:t>
      </w:r>
      <w:r>
        <w:rPr>
          <w:color w:val="231F20"/>
          <w:w w:val="105"/>
        </w:rPr>
        <w:t>(2014)</w:t>
      </w:r>
      <w:r>
        <w:rPr>
          <w:color w:val="231F20"/>
          <w:spacing w:val="-11"/>
          <w:w w:val="105"/>
        </w:rPr>
        <w:t> </w:t>
      </w:r>
      <w:r>
        <w:rPr>
          <w:color w:val="231F20"/>
          <w:w w:val="105"/>
        </w:rPr>
        <w:t>afirman</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cultura</w:t>
      </w:r>
      <w:r>
        <w:rPr>
          <w:color w:val="231F20"/>
          <w:spacing w:val="-11"/>
          <w:w w:val="105"/>
        </w:rPr>
        <w:t> </w:t>
      </w:r>
      <w:r>
        <w:rPr>
          <w:color w:val="231F20"/>
          <w:w w:val="105"/>
        </w:rPr>
        <w:t>organizacio- nal,</w:t>
      </w:r>
      <w:r>
        <w:rPr>
          <w:color w:val="231F20"/>
          <w:spacing w:val="-19"/>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recursos</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utilización</w:t>
      </w:r>
      <w:r>
        <w:rPr>
          <w:color w:val="231F20"/>
          <w:spacing w:val="-13"/>
          <w:w w:val="105"/>
        </w:rPr>
        <w:t> </w:t>
      </w:r>
      <w:r>
        <w:rPr>
          <w:color w:val="231F20"/>
          <w:w w:val="105"/>
        </w:rPr>
        <w:t>de</w:t>
      </w:r>
      <w:r>
        <w:rPr>
          <w:color w:val="231F20"/>
          <w:spacing w:val="-13"/>
          <w:w w:val="105"/>
        </w:rPr>
        <w:t> </w:t>
      </w:r>
      <w:r>
        <w:rPr>
          <w:color w:val="231F20"/>
          <w:w w:val="105"/>
        </w:rPr>
        <w:t>tecnologías</w:t>
      </w:r>
      <w:r>
        <w:rPr>
          <w:color w:val="231F20"/>
          <w:spacing w:val="-13"/>
          <w:w w:val="105"/>
        </w:rPr>
        <w:t> </w:t>
      </w:r>
      <w:r>
        <w:rPr>
          <w:color w:val="231F20"/>
          <w:w w:val="105"/>
        </w:rPr>
        <w:t>de</w:t>
      </w:r>
      <w:r>
        <w:rPr>
          <w:color w:val="231F20"/>
          <w:spacing w:val="-13"/>
          <w:w w:val="105"/>
        </w:rPr>
        <w:t> </w:t>
      </w:r>
      <w:r>
        <w:rPr>
          <w:color w:val="231F20"/>
          <w:w w:val="105"/>
        </w:rPr>
        <w:t>co- municación facilitan las relaciones interorganizacionales; sin embargo, en</w:t>
      </w:r>
      <w:r>
        <w:rPr>
          <w:color w:val="231F20"/>
          <w:spacing w:val="-12"/>
          <w:w w:val="105"/>
        </w:rPr>
        <w:t> </w:t>
      </w:r>
      <w:r>
        <w:rPr>
          <w:color w:val="231F20"/>
          <w:w w:val="105"/>
        </w:rPr>
        <w:t>ambientes</w:t>
      </w:r>
      <w:r>
        <w:rPr>
          <w:color w:val="231F20"/>
          <w:spacing w:val="-12"/>
          <w:w w:val="105"/>
        </w:rPr>
        <w:t> </w:t>
      </w:r>
      <w:r>
        <w:rPr>
          <w:color w:val="231F20"/>
          <w:w w:val="105"/>
        </w:rPr>
        <w:t>inciertos</w:t>
      </w:r>
      <w:r>
        <w:rPr>
          <w:color w:val="231F20"/>
          <w:spacing w:val="-12"/>
          <w:w w:val="105"/>
        </w:rPr>
        <w:t> </w:t>
      </w:r>
      <w:r>
        <w:rPr>
          <w:color w:val="231F20"/>
          <w:w w:val="105"/>
        </w:rPr>
        <w:t>estos</w:t>
      </w:r>
      <w:r>
        <w:rPr>
          <w:color w:val="231F20"/>
          <w:spacing w:val="-12"/>
          <w:w w:val="105"/>
        </w:rPr>
        <w:t> </w:t>
      </w:r>
      <w:r>
        <w:rPr>
          <w:color w:val="231F20"/>
          <w:w w:val="105"/>
        </w:rPr>
        <w:t>componentes</w:t>
      </w:r>
      <w:r>
        <w:rPr>
          <w:color w:val="231F20"/>
          <w:spacing w:val="-12"/>
          <w:w w:val="105"/>
        </w:rPr>
        <w:t> </w:t>
      </w:r>
      <w:r>
        <w:rPr>
          <w:color w:val="231F20"/>
          <w:w w:val="105"/>
        </w:rPr>
        <w:t>pueden</w:t>
      </w:r>
      <w:r>
        <w:rPr>
          <w:color w:val="231F20"/>
          <w:spacing w:val="-12"/>
          <w:w w:val="105"/>
        </w:rPr>
        <w:t> </w:t>
      </w:r>
      <w:r>
        <w:rPr>
          <w:color w:val="231F20"/>
          <w:w w:val="105"/>
        </w:rPr>
        <w:t>no</w:t>
      </w:r>
      <w:r>
        <w:rPr>
          <w:color w:val="231F20"/>
          <w:spacing w:val="-12"/>
          <w:w w:val="105"/>
        </w:rPr>
        <w:t> </w:t>
      </w:r>
      <w:r>
        <w:rPr>
          <w:color w:val="231F20"/>
          <w:w w:val="105"/>
        </w:rPr>
        <w:t>ser</w:t>
      </w:r>
      <w:r>
        <w:rPr>
          <w:color w:val="231F20"/>
          <w:spacing w:val="-12"/>
          <w:w w:val="105"/>
        </w:rPr>
        <w:t> </w:t>
      </w:r>
      <w:r>
        <w:rPr>
          <w:color w:val="231F20"/>
          <w:w w:val="105"/>
        </w:rPr>
        <w:t>efectivos,</w:t>
      </w:r>
      <w:r>
        <w:rPr>
          <w:color w:val="231F20"/>
          <w:spacing w:val="-17"/>
          <w:w w:val="105"/>
        </w:rPr>
        <w:t> </w:t>
      </w:r>
      <w:r>
        <w:rPr>
          <w:color w:val="231F20"/>
          <w:w w:val="105"/>
        </w:rPr>
        <w:t>por lo</w:t>
      </w:r>
      <w:r>
        <w:rPr>
          <w:color w:val="231F20"/>
          <w:spacing w:val="-11"/>
          <w:w w:val="105"/>
        </w:rPr>
        <w:t> </w:t>
      </w:r>
      <w:r>
        <w:rPr>
          <w:color w:val="231F20"/>
          <w:w w:val="105"/>
        </w:rPr>
        <w:t>que</w:t>
      </w:r>
      <w:r>
        <w:rPr>
          <w:color w:val="231F20"/>
          <w:spacing w:val="-11"/>
          <w:w w:val="105"/>
        </w:rPr>
        <w:t> </w:t>
      </w:r>
      <w:r>
        <w:rPr>
          <w:color w:val="231F20"/>
          <w:w w:val="105"/>
        </w:rPr>
        <w:t>proponen</w:t>
      </w:r>
      <w:r>
        <w:rPr>
          <w:color w:val="231F20"/>
          <w:spacing w:val="-11"/>
          <w:w w:val="105"/>
        </w:rPr>
        <w:t> </w:t>
      </w:r>
      <w:r>
        <w:rPr>
          <w:color w:val="231F20"/>
          <w:w w:val="105"/>
        </w:rPr>
        <w:t>formas</w:t>
      </w:r>
      <w:r>
        <w:rPr>
          <w:color w:val="231F20"/>
          <w:spacing w:val="-11"/>
          <w:w w:val="105"/>
        </w:rPr>
        <w:t> </w:t>
      </w:r>
      <w:r>
        <w:rPr>
          <w:color w:val="231F20"/>
          <w:w w:val="105"/>
        </w:rPr>
        <w:t>y</w:t>
      </w:r>
      <w:r>
        <w:rPr>
          <w:color w:val="231F20"/>
          <w:spacing w:val="-11"/>
          <w:w w:val="105"/>
        </w:rPr>
        <w:t> </w:t>
      </w:r>
      <w:r>
        <w:rPr>
          <w:color w:val="231F20"/>
          <w:w w:val="105"/>
        </w:rPr>
        <w:t>acciones</w:t>
      </w:r>
      <w:r>
        <w:rPr>
          <w:color w:val="231F20"/>
          <w:spacing w:val="-11"/>
          <w:w w:val="105"/>
        </w:rPr>
        <w:t> </w:t>
      </w:r>
      <w:r>
        <w:rPr>
          <w:color w:val="231F20"/>
          <w:w w:val="105"/>
        </w:rPr>
        <w:t>para</w:t>
      </w:r>
      <w:r>
        <w:rPr>
          <w:color w:val="231F20"/>
          <w:spacing w:val="-11"/>
          <w:w w:val="105"/>
        </w:rPr>
        <w:t> </w:t>
      </w:r>
      <w:r>
        <w:rPr>
          <w:color w:val="231F20"/>
          <w:w w:val="105"/>
        </w:rPr>
        <w:t>detonar</w:t>
      </w:r>
      <w:r>
        <w:rPr>
          <w:color w:val="231F20"/>
          <w:spacing w:val="-11"/>
          <w:w w:val="105"/>
        </w:rPr>
        <w:t> </w:t>
      </w:r>
      <w:r>
        <w:rPr>
          <w:color w:val="231F20"/>
          <w:w w:val="105"/>
        </w:rPr>
        <w:t>el</w:t>
      </w:r>
      <w:r>
        <w:rPr>
          <w:color w:val="231F20"/>
          <w:spacing w:val="-11"/>
          <w:w w:val="105"/>
        </w:rPr>
        <w:t> </w:t>
      </w:r>
      <w:r>
        <w:rPr>
          <w:color w:val="231F20"/>
          <w:w w:val="105"/>
        </w:rPr>
        <w:t>comercio</w:t>
      </w:r>
      <w:r>
        <w:rPr>
          <w:color w:val="231F20"/>
          <w:spacing w:val="-11"/>
          <w:w w:val="105"/>
        </w:rPr>
        <w:t> </w:t>
      </w:r>
      <w:r>
        <w:rPr>
          <w:color w:val="231F20"/>
          <w:w w:val="105"/>
        </w:rPr>
        <w:t>colaborati- vo</w:t>
      </w:r>
      <w:r>
        <w:rPr>
          <w:color w:val="231F20"/>
          <w:spacing w:val="-17"/>
          <w:w w:val="105"/>
        </w:rPr>
        <w:t> </w:t>
      </w:r>
      <w:r>
        <w:rPr>
          <w:color w:val="231F20"/>
          <w:w w:val="105"/>
        </w:rPr>
        <w:t>(</w:t>
      </w:r>
      <w:r>
        <w:rPr>
          <w:i/>
          <w:color w:val="231F20"/>
          <w:w w:val="105"/>
        </w:rPr>
        <w:t>c-</w:t>
      </w:r>
      <w:r>
        <w:rPr>
          <w:color w:val="231F20"/>
          <w:w w:val="105"/>
        </w:rPr>
        <w:t>commerce)</w:t>
      </w:r>
      <w:r>
        <w:rPr>
          <w:color w:val="231F20"/>
          <w:spacing w:val="-17"/>
          <w:w w:val="105"/>
        </w:rPr>
        <w:t> </w:t>
      </w:r>
      <w:r>
        <w:rPr>
          <w:color w:val="231F20"/>
          <w:w w:val="105"/>
        </w:rPr>
        <w:t>como</w:t>
      </w:r>
      <w:r>
        <w:rPr>
          <w:color w:val="231F20"/>
          <w:spacing w:val="-17"/>
          <w:w w:val="105"/>
        </w:rPr>
        <w:t> </w:t>
      </w:r>
      <w:r>
        <w:rPr>
          <w:color w:val="231F20"/>
          <w:w w:val="105"/>
        </w:rPr>
        <w:t>una</w:t>
      </w:r>
      <w:r>
        <w:rPr>
          <w:color w:val="231F20"/>
          <w:spacing w:val="-17"/>
          <w:w w:val="105"/>
        </w:rPr>
        <w:t> </w:t>
      </w:r>
      <w:r>
        <w:rPr>
          <w:color w:val="231F20"/>
          <w:w w:val="105"/>
        </w:rPr>
        <w:t>nueva</w:t>
      </w:r>
      <w:r>
        <w:rPr>
          <w:color w:val="231F20"/>
          <w:spacing w:val="-17"/>
          <w:w w:val="105"/>
        </w:rPr>
        <w:t> </w:t>
      </w:r>
      <w:r>
        <w:rPr>
          <w:color w:val="231F20"/>
          <w:w w:val="105"/>
        </w:rPr>
        <w:t>perspectiva</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éxito</w:t>
      </w:r>
      <w:r>
        <w:rPr>
          <w:color w:val="231F20"/>
          <w:spacing w:val="-17"/>
          <w:w w:val="105"/>
        </w:rPr>
        <w:t> </w:t>
      </w:r>
      <w:r>
        <w:rPr>
          <w:color w:val="231F20"/>
          <w:w w:val="105"/>
        </w:rPr>
        <w:t>organizacio- nal.</w:t>
      </w:r>
      <w:r>
        <w:rPr>
          <w:color w:val="231F20"/>
          <w:spacing w:val="-17"/>
          <w:w w:val="105"/>
        </w:rPr>
        <w:t> </w:t>
      </w:r>
      <w:r>
        <w:rPr>
          <w:color w:val="231F20"/>
          <w:spacing w:val="-3"/>
          <w:w w:val="105"/>
        </w:rPr>
        <w:t>Parece,</w:t>
      </w:r>
      <w:r>
        <w:rPr>
          <w:color w:val="231F20"/>
          <w:spacing w:val="-17"/>
          <w:w w:val="105"/>
        </w:rPr>
        <w:t> </w:t>
      </w:r>
      <w:r>
        <w:rPr>
          <w:color w:val="231F20"/>
          <w:w w:val="105"/>
        </w:rPr>
        <w:t>entonces,</w:t>
      </w:r>
      <w:r>
        <w:rPr>
          <w:color w:val="231F20"/>
          <w:spacing w:val="-17"/>
          <w:w w:val="105"/>
        </w:rPr>
        <w:t> </w:t>
      </w:r>
      <w:r>
        <w:rPr>
          <w:color w:val="231F20"/>
          <w:w w:val="105"/>
        </w:rPr>
        <w:t>que</w:t>
      </w:r>
      <w:r>
        <w:rPr>
          <w:color w:val="231F20"/>
          <w:spacing w:val="-12"/>
          <w:w w:val="105"/>
        </w:rPr>
        <w:t> </w:t>
      </w:r>
      <w:r>
        <w:rPr>
          <w:color w:val="231F20"/>
          <w:w w:val="105"/>
        </w:rPr>
        <w:t>para</w:t>
      </w:r>
      <w:r>
        <w:rPr>
          <w:color w:val="231F20"/>
          <w:spacing w:val="-12"/>
          <w:w w:val="105"/>
        </w:rPr>
        <w:t> </w:t>
      </w:r>
      <w:r>
        <w:rPr>
          <w:color w:val="231F20"/>
          <w:w w:val="105"/>
        </w:rPr>
        <w:t>explicar</w:t>
      </w:r>
      <w:r>
        <w:rPr>
          <w:color w:val="231F20"/>
          <w:spacing w:val="-12"/>
          <w:w w:val="105"/>
        </w:rPr>
        <w:t> </w:t>
      </w:r>
      <w:r>
        <w:rPr>
          <w:color w:val="231F20"/>
          <w:w w:val="105"/>
        </w:rPr>
        <w:t>este</w:t>
      </w:r>
      <w:r>
        <w:rPr>
          <w:color w:val="231F20"/>
          <w:spacing w:val="-12"/>
          <w:w w:val="105"/>
        </w:rPr>
        <w:t> </w:t>
      </w:r>
      <w:r>
        <w:rPr>
          <w:color w:val="231F20"/>
          <w:w w:val="105"/>
        </w:rPr>
        <w:t>fenómeno</w:t>
      </w:r>
      <w:r>
        <w:rPr>
          <w:color w:val="231F20"/>
          <w:spacing w:val="-12"/>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suficiente</w:t>
      </w:r>
    </w:p>
    <w:p>
      <w:pPr>
        <w:spacing w:after="0" w:line="259" w:lineRule="auto"/>
        <w:jc w:val="both"/>
        <w:sectPr>
          <w:pgSz w:w="9640" w:h="13890"/>
          <w:pgMar w:top="0" w:bottom="280" w:left="1300" w:right="1180"/>
        </w:sectPr>
      </w:pPr>
    </w:p>
    <w:p>
      <w:pPr>
        <w:pStyle w:val="BodyText"/>
        <w:spacing w:line="259" w:lineRule="auto" w:before="120"/>
        <w:ind w:left="103" w:right="115"/>
        <w:jc w:val="both"/>
      </w:pPr>
      <w:r>
        <w:rPr>
          <w:color w:val="231F20"/>
          <w:w w:val="105"/>
        </w:rPr>
        <w:t>la</w:t>
      </w:r>
      <w:r>
        <w:rPr>
          <w:color w:val="231F20"/>
          <w:spacing w:val="-12"/>
          <w:w w:val="105"/>
        </w:rPr>
        <w:t> </w:t>
      </w:r>
      <w:r>
        <w:rPr>
          <w:color w:val="231F20"/>
          <w:w w:val="105"/>
        </w:rPr>
        <w:t>TRyC</w:t>
      </w:r>
      <w:r>
        <w:rPr>
          <w:color w:val="231F20"/>
          <w:spacing w:val="-8"/>
          <w:w w:val="105"/>
        </w:rPr>
        <w:t> </w:t>
      </w:r>
      <w:r>
        <w:rPr>
          <w:color w:val="231F20"/>
          <w:w w:val="105"/>
        </w:rPr>
        <w:t>y</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12"/>
          <w:w w:val="105"/>
        </w:rPr>
        <w:t> </w:t>
      </w:r>
      <w:r>
        <w:rPr>
          <w:color w:val="231F20"/>
          <w:w w:val="105"/>
        </w:rPr>
        <w:t>TDR</w:t>
      </w:r>
      <w:r>
        <w:rPr>
          <w:color w:val="231F20"/>
          <w:spacing w:val="-8"/>
          <w:w w:val="105"/>
        </w:rPr>
        <w:t> </w:t>
      </w:r>
      <w:r>
        <w:rPr>
          <w:color w:val="231F20"/>
          <w:w w:val="105"/>
        </w:rPr>
        <w:t>es</w:t>
      </w:r>
      <w:r>
        <w:rPr>
          <w:color w:val="231F20"/>
          <w:spacing w:val="-8"/>
          <w:w w:val="105"/>
        </w:rPr>
        <w:t> </w:t>
      </w:r>
      <w:r>
        <w:rPr>
          <w:color w:val="231F20"/>
          <w:w w:val="105"/>
        </w:rPr>
        <w:t>más</w:t>
      </w:r>
      <w:r>
        <w:rPr>
          <w:color w:val="231F20"/>
          <w:spacing w:val="-8"/>
          <w:w w:val="105"/>
        </w:rPr>
        <w:t> </w:t>
      </w:r>
      <w:r>
        <w:rPr>
          <w:color w:val="231F20"/>
          <w:w w:val="105"/>
        </w:rPr>
        <w:t>aplicable,</w:t>
      </w:r>
      <w:r>
        <w:rPr>
          <w:color w:val="231F20"/>
          <w:spacing w:val="-13"/>
          <w:w w:val="105"/>
        </w:rPr>
        <w:t> </w:t>
      </w:r>
      <w:r>
        <w:rPr>
          <w:color w:val="231F20"/>
          <w:w w:val="105"/>
        </w:rPr>
        <w:t>sobre</w:t>
      </w:r>
      <w:r>
        <w:rPr>
          <w:color w:val="231F20"/>
          <w:spacing w:val="-8"/>
          <w:w w:val="105"/>
        </w:rPr>
        <w:t> </w:t>
      </w:r>
      <w:r>
        <w:rPr>
          <w:color w:val="231F20"/>
          <w:w w:val="105"/>
        </w:rPr>
        <w:t>todo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énfasis</w:t>
      </w:r>
      <w:r>
        <w:rPr>
          <w:color w:val="231F20"/>
          <w:spacing w:val="-8"/>
          <w:w w:val="105"/>
        </w:rPr>
        <w:t> </w:t>
      </w:r>
      <w:r>
        <w:rPr>
          <w:color w:val="231F20"/>
          <w:w w:val="105"/>
        </w:rPr>
        <w:t>en</w:t>
      </w:r>
      <w:r>
        <w:rPr>
          <w:color w:val="231F20"/>
          <w:spacing w:val="-8"/>
          <w:w w:val="105"/>
        </w:rPr>
        <w:t> </w:t>
      </w:r>
      <w:r>
        <w:rPr>
          <w:color w:val="231F20"/>
          <w:w w:val="105"/>
        </w:rPr>
        <w:t>las </w:t>
      </w:r>
      <w:r>
        <w:rPr>
          <w:color w:val="231F20"/>
        </w:rPr>
        <w:t>interrelaciones </w:t>
      </w:r>
      <w:r>
        <w:rPr>
          <w:color w:val="231F20"/>
          <w:spacing w:val="12"/>
        </w:rPr>
        <w:t> </w:t>
      </w:r>
      <w:r>
        <w:rPr>
          <w:color w:val="231F20"/>
        </w:rPr>
        <w:t>colaborativas.</w:t>
      </w:r>
    </w:p>
    <w:p>
      <w:pPr>
        <w:pStyle w:val="BodyText"/>
        <w:spacing w:line="259" w:lineRule="auto"/>
        <w:ind w:left="103" w:right="109" w:firstLine="567"/>
        <w:jc w:val="both"/>
      </w:pPr>
      <w:r>
        <w:rPr>
          <w:color w:val="231F20"/>
          <w:spacing w:val="-10"/>
          <w:w w:val="105"/>
        </w:rPr>
        <w:t>Ya </w:t>
      </w:r>
      <w:r>
        <w:rPr>
          <w:color w:val="231F20"/>
          <w:w w:val="105"/>
        </w:rPr>
        <w:t>es insuficiente actuar meramente al interior de la </w:t>
      </w:r>
      <w:r>
        <w:rPr>
          <w:color w:val="231F20"/>
          <w:spacing w:val="-3"/>
          <w:w w:val="105"/>
        </w:rPr>
        <w:t>organización </w:t>
      </w:r>
      <w:r>
        <w:rPr>
          <w:color w:val="231F20"/>
          <w:w w:val="105"/>
        </w:rPr>
        <w:t>o</w:t>
      </w:r>
      <w:r>
        <w:rPr>
          <w:color w:val="231F20"/>
          <w:spacing w:val="-11"/>
          <w:w w:val="105"/>
        </w:rPr>
        <w:t> </w:t>
      </w:r>
      <w:r>
        <w:rPr>
          <w:color w:val="231F20"/>
          <w:spacing w:val="-2"/>
          <w:w w:val="105"/>
        </w:rPr>
        <w:t>considerar</w:t>
      </w:r>
      <w:r>
        <w:rPr>
          <w:color w:val="231F20"/>
          <w:spacing w:val="-11"/>
          <w:w w:val="105"/>
        </w:rPr>
        <w:t> </w:t>
      </w:r>
      <w:r>
        <w:rPr>
          <w:color w:val="231F20"/>
          <w:w w:val="105"/>
        </w:rPr>
        <w:t>sólo</w:t>
      </w:r>
      <w:r>
        <w:rPr>
          <w:color w:val="231F20"/>
          <w:spacing w:val="-11"/>
          <w:w w:val="105"/>
        </w:rPr>
        <w:t> </w:t>
      </w:r>
      <w:r>
        <w:rPr>
          <w:color w:val="231F20"/>
          <w:w w:val="105"/>
        </w:rPr>
        <w:t>al</w:t>
      </w:r>
      <w:r>
        <w:rPr>
          <w:color w:val="231F20"/>
          <w:spacing w:val="-11"/>
          <w:w w:val="105"/>
        </w:rPr>
        <w:t> </w:t>
      </w:r>
      <w:r>
        <w:rPr>
          <w:color w:val="231F20"/>
          <w:spacing w:val="-3"/>
          <w:w w:val="105"/>
        </w:rPr>
        <w:t>mercado</w:t>
      </w:r>
      <w:r>
        <w:rPr>
          <w:color w:val="231F20"/>
          <w:spacing w:val="-11"/>
          <w:w w:val="105"/>
        </w:rPr>
        <w:t> </w:t>
      </w:r>
      <w:r>
        <w:rPr>
          <w:color w:val="231F20"/>
          <w:w w:val="105"/>
        </w:rPr>
        <w:t>como</w:t>
      </w:r>
      <w:r>
        <w:rPr>
          <w:color w:val="231F20"/>
          <w:spacing w:val="-11"/>
          <w:w w:val="105"/>
        </w:rPr>
        <w:t> </w:t>
      </w:r>
      <w:r>
        <w:rPr>
          <w:color w:val="231F20"/>
          <w:w w:val="105"/>
        </w:rPr>
        <w:t>lo</w:t>
      </w:r>
      <w:r>
        <w:rPr>
          <w:color w:val="231F20"/>
          <w:spacing w:val="-11"/>
          <w:w w:val="105"/>
        </w:rPr>
        <w:t> </w:t>
      </w:r>
      <w:r>
        <w:rPr>
          <w:color w:val="231F20"/>
          <w:spacing w:val="-3"/>
          <w:w w:val="105"/>
        </w:rPr>
        <w:t>externo.</w:t>
      </w:r>
      <w:r>
        <w:rPr>
          <w:color w:val="231F20"/>
          <w:spacing w:val="-16"/>
          <w:w w:val="105"/>
        </w:rPr>
        <w:t> </w:t>
      </w:r>
      <w:r>
        <w:rPr>
          <w:color w:val="231F20"/>
          <w:spacing w:val="-7"/>
          <w:w w:val="105"/>
        </w:rPr>
        <w:t>Por</w:t>
      </w:r>
      <w:r>
        <w:rPr>
          <w:color w:val="231F20"/>
          <w:spacing w:val="-11"/>
          <w:w w:val="105"/>
        </w:rPr>
        <w:t> </w:t>
      </w:r>
      <w:r>
        <w:rPr>
          <w:color w:val="231F20"/>
          <w:w w:val="105"/>
        </w:rPr>
        <w:t>ello,</w:t>
      </w:r>
      <w:r>
        <w:rPr>
          <w:color w:val="231F20"/>
          <w:spacing w:val="-16"/>
          <w:w w:val="105"/>
        </w:rPr>
        <w:t> </w:t>
      </w:r>
      <w:r>
        <w:rPr>
          <w:color w:val="231F20"/>
          <w:w w:val="105"/>
        </w:rPr>
        <w:t>y</w:t>
      </w:r>
      <w:r>
        <w:rPr>
          <w:color w:val="231F20"/>
          <w:spacing w:val="-11"/>
          <w:w w:val="105"/>
        </w:rPr>
        <w:t> </w:t>
      </w:r>
      <w:r>
        <w:rPr>
          <w:color w:val="231F20"/>
          <w:w w:val="105"/>
        </w:rPr>
        <w:t>una</w:t>
      </w:r>
      <w:r>
        <w:rPr>
          <w:color w:val="231F20"/>
          <w:spacing w:val="-11"/>
          <w:w w:val="105"/>
        </w:rPr>
        <w:t> </w:t>
      </w:r>
      <w:r>
        <w:rPr>
          <w:color w:val="231F20"/>
          <w:w w:val="105"/>
        </w:rPr>
        <w:t>vez</w:t>
      </w:r>
      <w:r>
        <w:rPr>
          <w:color w:val="231F20"/>
          <w:spacing w:val="-11"/>
          <w:w w:val="105"/>
        </w:rPr>
        <w:t> </w:t>
      </w:r>
      <w:r>
        <w:rPr>
          <w:color w:val="231F20"/>
          <w:w w:val="105"/>
        </w:rPr>
        <w:t>que</w:t>
      </w:r>
      <w:r>
        <w:rPr>
          <w:color w:val="231F20"/>
          <w:spacing w:val="-11"/>
          <w:w w:val="105"/>
        </w:rPr>
        <w:t> </w:t>
      </w:r>
      <w:r>
        <w:rPr>
          <w:color w:val="231F20"/>
          <w:w w:val="105"/>
        </w:rPr>
        <w:t>se han</w:t>
      </w:r>
      <w:r>
        <w:rPr>
          <w:color w:val="231F20"/>
          <w:spacing w:val="-20"/>
          <w:w w:val="105"/>
        </w:rPr>
        <w:t> </w:t>
      </w:r>
      <w:r>
        <w:rPr>
          <w:color w:val="231F20"/>
          <w:spacing w:val="-3"/>
          <w:w w:val="105"/>
        </w:rPr>
        <w:t>abordado</w:t>
      </w:r>
      <w:r>
        <w:rPr>
          <w:color w:val="231F20"/>
          <w:spacing w:val="-20"/>
          <w:w w:val="105"/>
        </w:rPr>
        <w:t> </w:t>
      </w:r>
      <w:r>
        <w:rPr>
          <w:color w:val="231F20"/>
          <w:w w:val="105"/>
        </w:rPr>
        <w:t>los</w:t>
      </w:r>
      <w:r>
        <w:rPr>
          <w:color w:val="231F20"/>
          <w:spacing w:val="-20"/>
          <w:w w:val="105"/>
        </w:rPr>
        <w:t> </w:t>
      </w:r>
      <w:r>
        <w:rPr>
          <w:color w:val="231F20"/>
          <w:w w:val="105"/>
        </w:rPr>
        <w:t>supuestos</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implicaciones</w:t>
      </w:r>
      <w:r>
        <w:rPr>
          <w:color w:val="231F20"/>
          <w:spacing w:val="-20"/>
          <w:w w:val="105"/>
        </w:rPr>
        <w:t> </w:t>
      </w:r>
      <w:r>
        <w:rPr>
          <w:color w:val="231F20"/>
          <w:w w:val="105"/>
        </w:rPr>
        <w:t>empíricas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3"/>
          <w:w w:val="105"/>
        </w:rPr>
        <w:t> </w:t>
      </w:r>
      <w:r>
        <w:rPr>
          <w:color w:val="231F20"/>
          <w:w w:val="105"/>
        </w:rPr>
        <w:t>TDR</w:t>
      </w:r>
      <w:r>
        <w:rPr>
          <w:color w:val="231F20"/>
          <w:spacing w:val="-20"/>
          <w:w w:val="105"/>
        </w:rPr>
        <w:t> </w:t>
      </w:r>
      <w:r>
        <w:rPr>
          <w:color w:val="231F20"/>
          <w:w w:val="105"/>
        </w:rPr>
        <w:t>y</w:t>
      </w:r>
      <w:r>
        <w:rPr>
          <w:color w:val="231F20"/>
          <w:spacing w:val="-20"/>
          <w:w w:val="105"/>
        </w:rPr>
        <w:t> </w:t>
      </w:r>
      <w:r>
        <w:rPr>
          <w:color w:val="231F20"/>
          <w:w w:val="105"/>
        </w:rPr>
        <w:t>la TRyC, en cuanto a cómo lo incierto del ambiente y lo </w:t>
      </w:r>
      <w:r>
        <w:rPr>
          <w:color w:val="231F20"/>
          <w:spacing w:val="-3"/>
          <w:w w:val="105"/>
        </w:rPr>
        <w:t>estratégico </w:t>
      </w:r>
      <w:r>
        <w:rPr>
          <w:color w:val="231F20"/>
          <w:w w:val="105"/>
        </w:rPr>
        <w:t>de </w:t>
      </w:r>
      <w:r>
        <w:rPr>
          <w:color w:val="231F20"/>
          <w:spacing w:val="-2"/>
          <w:w w:val="105"/>
        </w:rPr>
        <w:t>los </w:t>
      </w:r>
      <w:r>
        <w:rPr>
          <w:color w:val="231F20"/>
          <w:spacing w:val="-3"/>
          <w:w w:val="105"/>
        </w:rPr>
        <w:t>recursos</w:t>
      </w:r>
      <w:r>
        <w:rPr>
          <w:color w:val="231F20"/>
          <w:spacing w:val="-21"/>
          <w:w w:val="105"/>
        </w:rPr>
        <w:t> </w:t>
      </w:r>
      <w:r>
        <w:rPr>
          <w:color w:val="231F20"/>
          <w:w w:val="105"/>
        </w:rPr>
        <w:t>y</w:t>
      </w:r>
      <w:r>
        <w:rPr>
          <w:color w:val="231F20"/>
          <w:spacing w:val="-21"/>
          <w:w w:val="105"/>
        </w:rPr>
        <w:t> </w:t>
      </w:r>
      <w:r>
        <w:rPr>
          <w:color w:val="231F20"/>
          <w:w w:val="105"/>
        </w:rPr>
        <w:t>capacidades</w:t>
      </w:r>
      <w:r>
        <w:rPr>
          <w:color w:val="231F20"/>
          <w:spacing w:val="-21"/>
          <w:w w:val="105"/>
        </w:rPr>
        <w:t> </w:t>
      </w:r>
      <w:r>
        <w:rPr>
          <w:color w:val="231F20"/>
          <w:w w:val="105"/>
        </w:rPr>
        <w:t>afectan</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spacing w:val="-3"/>
          <w:w w:val="105"/>
        </w:rPr>
        <w:t>sobrevivencia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spacing w:val="-3"/>
          <w:w w:val="105"/>
        </w:rPr>
        <w:t>organizaciones, </w:t>
      </w:r>
      <w:r>
        <w:rPr>
          <w:color w:val="231F20"/>
          <w:w w:val="105"/>
        </w:rPr>
        <w:t>este</w:t>
      </w:r>
      <w:r>
        <w:rPr>
          <w:color w:val="231F20"/>
          <w:spacing w:val="-21"/>
          <w:w w:val="105"/>
        </w:rPr>
        <w:t> </w:t>
      </w:r>
      <w:r>
        <w:rPr>
          <w:color w:val="231F20"/>
          <w:w w:val="105"/>
        </w:rPr>
        <w:t>documento</w:t>
      </w:r>
      <w:r>
        <w:rPr>
          <w:color w:val="231F20"/>
          <w:spacing w:val="-21"/>
          <w:w w:val="105"/>
        </w:rPr>
        <w:t> </w:t>
      </w:r>
      <w:r>
        <w:rPr>
          <w:color w:val="231F20"/>
          <w:spacing w:val="-2"/>
          <w:w w:val="105"/>
        </w:rPr>
        <w:t>cierra</w:t>
      </w:r>
      <w:r>
        <w:rPr>
          <w:color w:val="231F20"/>
          <w:spacing w:val="-21"/>
          <w:w w:val="105"/>
        </w:rPr>
        <w:t> </w:t>
      </w:r>
      <w:r>
        <w:rPr>
          <w:color w:val="231F20"/>
          <w:w w:val="105"/>
        </w:rPr>
        <w:t>con</w:t>
      </w:r>
      <w:r>
        <w:rPr>
          <w:color w:val="231F20"/>
          <w:spacing w:val="-21"/>
          <w:w w:val="105"/>
        </w:rPr>
        <w:t> </w:t>
      </w:r>
      <w:r>
        <w:rPr>
          <w:color w:val="231F20"/>
          <w:w w:val="105"/>
        </w:rPr>
        <w:t>la</w:t>
      </w:r>
      <w:r>
        <w:rPr>
          <w:color w:val="231F20"/>
          <w:spacing w:val="-21"/>
          <w:w w:val="105"/>
        </w:rPr>
        <w:t> </w:t>
      </w:r>
      <w:r>
        <w:rPr>
          <w:color w:val="231F20"/>
          <w:spacing w:val="-3"/>
          <w:w w:val="105"/>
        </w:rPr>
        <w:t>propuesta</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modelo</w:t>
      </w:r>
      <w:r>
        <w:rPr>
          <w:color w:val="231F20"/>
          <w:spacing w:val="-21"/>
          <w:w w:val="105"/>
        </w:rPr>
        <w:t> </w:t>
      </w:r>
      <w:r>
        <w:rPr>
          <w:color w:val="231F20"/>
          <w:w w:val="105"/>
        </w:rPr>
        <w:t>de</w:t>
      </w:r>
      <w:r>
        <w:rPr>
          <w:color w:val="231F20"/>
          <w:spacing w:val="-21"/>
          <w:w w:val="105"/>
        </w:rPr>
        <w:t> </w:t>
      </w:r>
      <w:r>
        <w:rPr>
          <w:color w:val="231F20"/>
          <w:w w:val="105"/>
        </w:rPr>
        <w:t>sustentabilidad </w:t>
      </w:r>
      <w:r>
        <w:rPr>
          <w:color w:val="231F20"/>
          <w:spacing w:val="-3"/>
          <w:w w:val="105"/>
        </w:rPr>
        <w:t>organizacional </w:t>
      </w:r>
      <w:r>
        <w:rPr>
          <w:color w:val="231F20"/>
          <w:w w:val="105"/>
        </w:rPr>
        <w:t>construido a </w:t>
      </w:r>
      <w:r>
        <w:rPr>
          <w:color w:val="231F20"/>
          <w:spacing w:val="-2"/>
          <w:w w:val="105"/>
        </w:rPr>
        <w:t>partir </w:t>
      </w:r>
      <w:r>
        <w:rPr>
          <w:color w:val="231F20"/>
          <w:w w:val="105"/>
        </w:rPr>
        <w:t>de las </w:t>
      </w:r>
      <w:r>
        <w:rPr>
          <w:color w:val="231F20"/>
          <w:spacing w:val="-3"/>
          <w:w w:val="105"/>
        </w:rPr>
        <w:t>cuatro </w:t>
      </w:r>
      <w:r>
        <w:rPr>
          <w:color w:val="231F20"/>
          <w:w w:val="105"/>
        </w:rPr>
        <w:t>dimensiones de la cuá- druple</w:t>
      </w:r>
      <w:r>
        <w:rPr>
          <w:color w:val="231F20"/>
          <w:spacing w:val="-40"/>
          <w:w w:val="105"/>
        </w:rPr>
        <w:t> </w:t>
      </w:r>
      <w:r>
        <w:rPr>
          <w:color w:val="231F20"/>
          <w:w w:val="105"/>
        </w:rPr>
        <w:t>línea</w:t>
      </w:r>
      <w:r>
        <w:rPr>
          <w:color w:val="231F20"/>
          <w:spacing w:val="-40"/>
          <w:w w:val="105"/>
        </w:rPr>
        <w:t> </w:t>
      </w:r>
      <w:r>
        <w:rPr>
          <w:color w:val="231F20"/>
          <w:w w:val="105"/>
        </w:rPr>
        <w:t>base:</w:t>
      </w:r>
      <w:r>
        <w:rPr>
          <w:color w:val="231F20"/>
          <w:spacing w:val="-40"/>
          <w:w w:val="105"/>
        </w:rPr>
        <w:t> </w:t>
      </w:r>
      <w:r>
        <w:rPr>
          <w:color w:val="231F20"/>
          <w:w w:val="105"/>
        </w:rPr>
        <w:t>social,</w:t>
      </w:r>
      <w:r>
        <w:rPr>
          <w:color w:val="231F20"/>
          <w:spacing w:val="-43"/>
          <w:w w:val="105"/>
        </w:rPr>
        <w:t> </w:t>
      </w:r>
      <w:r>
        <w:rPr>
          <w:color w:val="231F20"/>
          <w:w w:val="105"/>
        </w:rPr>
        <w:t>ambiental,</w:t>
      </w:r>
      <w:r>
        <w:rPr>
          <w:color w:val="231F20"/>
          <w:spacing w:val="-43"/>
          <w:w w:val="105"/>
        </w:rPr>
        <w:t> </w:t>
      </w:r>
      <w:r>
        <w:rPr>
          <w:color w:val="231F20"/>
          <w:w w:val="105"/>
        </w:rPr>
        <w:t>económico-financiera</w:t>
      </w:r>
      <w:r>
        <w:rPr>
          <w:color w:val="231F20"/>
          <w:spacing w:val="-40"/>
          <w:w w:val="105"/>
        </w:rPr>
        <w:t> </w:t>
      </w:r>
      <w:r>
        <w:rPr>
          <w:color w:val="231F20"/>
          <w:w w:val="105"/>
        </w:rPr>
        <w:t>y</w:t>
      </w:r>
      <w:r>
        <w:rPr>
          <w:color w:val="231F20"/>
          <w:spacing w:val="-40"/>
          <w:w w:val="105"/>
        </w:rPr>
        <w:t> </w:t>
      </w:r>
      <w:r>
        <w:rPr>
          <w:color w:val="231F20"/>
          <w:spacing w:val="-3"/>
          <w:w w:val="105"/>
        </w:rPr>
        <w:t>organizativa.</w:t>
      </w:r>
    </w:p>
    <w:p>
      <w:pPr>
        <w:pStyle w:val="BodyText"/>
        <w:rPr>
          <w:sz w:val="20"/>
        </w:rPr>
      </w:pPr>
    </w:p>
    <w:p>
      <w:pPr>
        <w:pStyle w:val="BodyText"/>
        <w:spacing w:before="7"/>
        <w:rPr>
          <w:sz w:val="18"/>
        </w:rPr>
      </w:pPr>
    </w:p>
    <w:p>
      <w:pPr>
        <w:pStyle w:val="Heading2"/>
        <w:ind w:left="103"/>
      </w:pPr>
      <w:r>
        <w:rPr>
          <w:color w:val="231F20"/>
        </w:rPr>
        <w:t>Propuesta de un modelo de sustentabilidad organizacional</w:t>
      </w:r>
    </w:p>
    <w:p>
      <w:pPr>
        <w:pStyle w:val="BodyText"/>
        <w:rPr>
          <w:b/>
          <w:sz w:val="22"/>
        </w:rPr>
      </w:pPr>
    </w:p>
    <w:p>
      <w:pPr>
        <w:pStyle w:val="BodyText"/>
        <w:spacing w:line="259" w:lineRule="auto" w:before="160"/>
        <w:ind w:left="103" w:right="114"/>
        <w:jc w:val="both"/>
        <w:rPr>
          <w:i/>
        </w:rPr>
      </w:pPr>
      <w:r>
        <w:rPr>
          <w:color w:val="231F20"/>
        </w:rPr>
        <w:t>El modelo (figura 2) enfatiza la necesidad de emprender una gestión que obtenga resultados económicos, sociales y ambientales positivos, produ- ciendo a partir de los recursos naturales (habilidad de creación), bienes y servicios que satisfagan las necesidades humanas a precios competitivos (equidad) y reduciendo los impactos ambientales a niveles cercanos a     lo soportable por el planeta (ecoeficiencia) (Elkington, 1997). Estos tres componentes deben estar articulados y operados por uno más: la sus- tentabilidad  organizativa  (García-Hernández,</w:t>
      </w:r>
      <w:r>
        <w:rPr>
          <w:color w:val="231F20"/>
          <w:spacing w:val="-30"/>
        </w:rPr>
        <w:t> </w:t>
      </w:r>
      <w:r>
        <w:rPr>
          <w:color w:val="231F20"/>
        </w:rPr>
        <w:t>2013)</w:t>
      </w:r>
      <w:r>
        <w:rPr>
          <w:i/>
          <w:color w:val="231F20"/>
        </w:rPr>
        <w:t>.</w:t>
      </w:r>
    </w:p>
    <w:p>
      <w:pPr>
        <w:pStyle w:val="BodyText"/>
        <w:spacing w:before="2"/>
        <w:rPr>
          <w:i/>
        </w:rPr>
      </w:pPr>
    </w:p>
    <w:p>
      <w:pPr>
        <w:spacing w:before="0"/>
        <w:ind w:left="1388" w:right="17" w:firstLine="0"/>
        <w:jc w:val="left"/>
        <w:rPr>
          <w:sz w:val="18"/>
        </w:rPr>
      </w:pPr>
      <w:r>
        <w:rPr>
          <w:color w:val="231F20"/>
          <w:w w:val="105"/>
          <w:sz w:val="18"/>
        </w:rPr>
        <w:t>Figura 2. Modelo de Sustentabilidad Organizacional.</w:t>
      </w:r>
    </w:p>
    <w:p>
      <w:pPr>
        <w:pStyle w:val="BodyText"/>
        <w:spacing w:before="4" w:after="1"/>
        <w:rPr>
          <w:sz w:val="18"/>
        </w:rPr>
      </w:pPr>
    </w:p>
    <w:tbl>
      <w:tblPr>
        <w:tblW w:w="0" w:type="auto"/>
        <w:jc w:val="left"/>
        <w:tblInd w:w="101" w:type="dxa"/>
        <w:tblBorders>
          <w:top w:val="single" w:sz="2" w:space="0" w:color="414042"/>
          <w:left w:val="single" w:sz="2" w:space="0" w:color="414042"/>
          <w:bottom w:val="single" w:sz="2" w:space="0" w:color="414042"/>
          <w:right w:val="single" w:sz="2" w:space="0" w:color="414042"/>
          <w:insideH w:val="single" w:sz="2" w:space="0" w:color="414042"/>
          <w:insideV w:val="single" w:sz="2" w:space="0" w:color="414042"/>
        </w:tblBorders>
        <w:tblLayout w:type="fixed"/>
        <w:tblCellMar>
          <w:top w:w="0" w:type="dxa"/>
          <w:left w:w="0" w:type="dxa"/>
          <w:bottom w:w="0" w:type="dxa"/>
          <w:right w:w="0" w:type="dxa"/>
        </w:tblCellMar>
        <w:tblLook w:val="01E0"/>
      </w:tblPr>
      <w:tblGrid>
        <w:gridCol w:w="2310"/>
        <w:gridCol w:w="2307"/>
        <w:gridCol w:w="2305"/>
      </w:tblGrid>
      <w:tr>
        <w:trPr>
          <w:trHeight w:val="669" w:hRule="exact"/>
        </w:trPr>
        <w:tc>
          <w:tcPr>
            <w:tcW w:w="6922" w:type="dxa"/>
            <w:gridSpan w:val="3"/>
            <w:tcBorders>
              <w:bottom w:val="dotted" w:sz="2" w:space="0" w:color="414042"/>
            </w:tcBorders>
          </w:tcPr>
          <w:p>
            <w:pPr>
              <w:pStyle w:val="TableParagraph"/>
              <w:tabs>
                <w:tab w:pos="4522" w:val="left" w:leader="none"/>
              </w:tabs>
              <w:spacing w:before="58"/>
              <w:ind w:left="2546"/>
              <w:rPr>
                <w:sz w:val="18"/>
              </w:rPr>
            </w:pPr>
            <w:r>
              <w:rPr>
                <w:position w:val="-19"/>
              </w:rPr>
              <w:drawing>
                <wp:inline distT="0" distB="0" distL="0" distR="0">
                  <wp:extent cx="161828" cy="252412"/>
                  <wp:effectExtent l="0" t="0" r="0" b="0"/>
                  <wp:docPr id="9" name="image14.png" descr=""/>
                  <wp:cNvGraphicFramePr>
                    <a:graphicFrameLocks noChangeAspect="1"/>
                  </wp:cNvGraphicFramePr>
                  <a:graphic>
                    <a:graphicData uri="http://schemas.openxmlformats.org/drawingml/2006/picture">
                      <pic:pic>
                        <pic:nvPicPr>
                          <pic:cNvPr id="10" name="image14.png"/>
                          <pic:cNvPicPr/>
                        </pic:nvPicPr>
                        <pic:blipFill>
                          <a:blip r:embed="rId20" cstate="print"/>
                          <a:stretch>
                            <a:fillRect/>
                          </a:stretch>
                        </pic:blipFill>
                        <pic:spPr>
                          <a:xfrm>
                            <a:off x="0" y="0"/>
                            <a:ext cx="161828" cy="252412"/>
                          </a:xfrm>
                          <a:prstGeom prst="rect">
                            <a:avLst/>
                          </a:prstGeom>
                        </pic:spPr>
                      </pic:pic>
                    </a:graphicData>
                  </a:graphic>
                </wp:inline>
              </w:drawing>
            </w:r>
            <w:r>
              <w:rPr>
                <w:position w:val="-19"/>
              </w:rPr>
            </w:r>
            <w:r>
              <w:rPr>
                <w:rFonts w:ascii="Times New Roman"/>
                <w:sz w:val="20"/>
              </w:rPr>
              <w:t>     </w:t>
            </w:r>
            <w:r>
              <w:rPr>
                <w:color w:val="231F20"/>
                <w:sz w:val="18"/>
              </w:rPr>
              <w:t>E N T O R</w:t>
            </w:r>
            <w:r>
              <w:rPr>
                <w:color w:val="231F20"/>
                <w:spacing w:val="-32"/>
                <w:sz w:val="18"/>
              </w:rPr>
              <w:t> </w:t>
            </w:r>
            <w:r>
              <w:rPr>
                <w:color w:val="231F20"/>
                <w:sz w:val="18"/>
              </w:rPr>
              <w:t>N</w:t>
            </w:r>
            <w:r>
              <w:rPr>
                <w:color w:val="231F20"/>
                <w:spacing w:val="-5"/>
                <w:sz w:val="18"/>
              </w:rPr>
              <w:t> </w:t>
            </w:r>
            <w:r>
              <w:rPr>
                <w:color w:val="231F20"/>
                <w:sz w:val="18"/>
              </w:rPr>
              <w:t>O</w:t>
              <w:tab/>
            </w:r>
            <w:r>
              <w:rPr>
                <w:color w:val="231F20"/>
                <w:position w:val="-19"/>
                <w:sz w:val="18"/>
              </w:rPr>
              <w:drawing>
                <wp:inline distT="0" distB="0" distL="0" distR="0">
                  <wp:extent cx="161828" cy="252412"/>
                  <wp:effectExtent l="0" t="0" r="0" b="0"/>
                  <wp:docPr id="11" name="image15.png" descr=""/>
                  <wp:cNvGraphicFramePr>
                    <a:graphicFrameLocks noChangeAspect="1"/>
                  </wp:cNvGraphicFramePr>
                  <a:graphic>
                    <a:graphicData uri="http://schemas.openxmlformats.org/drawingml/2006/picture">
                      <pic:pic>
                        <pic:nvPicPr>
                          <pic:cNvPr id="12" name="image15.png"/>
                          <pic:cNvPicPr/>
                        </pic:nvPicPr>
                        <pic:blipFill>
                          <a:blip r:embed="rId21" cstate="print"/>
                          <a:stretch>
                            <a:fillRect/>
                          </a:stretch>
                        </pic:blipFill>
                        <pic:spPr>
                          <a:xfrm>
                            <a:off x="0" y="0"/>
                            <a:ext cx="161828" cy="252412"/>
                          </a:xfrm>
                          <a:prstGeom prst="rect">
                            <a:avLst/>
                          </a:prstGeom>
                        </pic:spPr>
                      </pic:pic>
                    </a:graphicData>
                  </a:graphic>
                </wp:inline>
              </w:drawing>
            </w:r>
            <w:r>
              <w:rPr>
                <w:color w:val="231F20"/>
                <w:position w:val="-19"/>
                <w:sz w:val="18"/>
              </w:rPr>
            </w:r>
          </w:p>
        </w:tc>
      </w:tr>
      <w:tr>
        <w:trPr>
          <w:trHeight w:val="1437" w:hRule="exact"/>
        </w:trPr>
        <w:tc>
          <w:tcPr>
            <w:tcW w:w="2310" w:type="dxa"/>
            <w:tcBorders>
              <w:top w:val="dotted" w:sz="2" w:space="0" w:color="414042"/>
              <w:bottom w:val="dotted" w:sz="2" w:space="0" w:color="414042"/>
              <w:right w:val="dotted" w:sz="4" w:space="0" w:color="414042"/>
            </w:tcBorders>
          </w:tcPr>
          <w:p>
            <w:pPr>
              <w:pStyle w:val="TableParagraph"/>
              <w:spacing w:before="97"/>
              <w:ind w:left="248"/>
              <w:rPr>
                <w:sz w:val="18"/>
              </w:rPr>
            </w:pPr>
            <w:r>
              <w:rPr>
                <w:color w:val="231F20"/>
                <w:w w:val="105"/>
                <w:sz w:val="18"/>
              </w:rPr>
              <w:t>Sustentabilidad social</w:t>
            </w:r>
          </w:p>
          <w:p>
            <w:pPr>
              <w:pStyle w:val="TableParagraph"/>
              <w:numPr>
                <w:ilvl w:val="0"/>
                <w:numId w:val="11"/>
              </w:numPr>
              <w:tabs>
                <w:tab w:pos="220" w:val="left" w:leader="none"/>
              </w:tabs>
              <w:spacing w:line="240" w:lineRule="auto" w:before="9" w:after="0"/>
              <w:ind w:left="219" w:right="0" w:hanging="142"/>
              <w:jc w:val="left"/>
              <w:rPr>
                <w:sz w:val="18"/>
              </w:rPr>
            </w:pPr>
            <w:r>
              <w:rPr>
                <w:color w:val="231F20"/>
                <w:w w:val="105"/>
                <w:sz w:val="18"/>
              </w:rPr>
              <w:t>Calidad de</w:t>
            </w:r>
            <w:r>
              <w:rPr>
                <w:color w:val="231F20"/>
                <w:spacing w:val="-15"/>
                <w:w w:val="105"/>
                <w:sz w:val="18"/>
              </w:rPr>
              <w:t> </w:t>
            </w:r>
            <w:r>
              <w:rPr>
                <w:color w:val="231F20"/>
                <w:w w:val="105"/>
                <w:sz w:val="18"/>
              </w:rPr>
              <w:t>vida</w:t>
            </w:r>
          </w:p>
          <w:p>
            <w:pPr>
              <w:pStyle w:val="TableParagraph"/>
              <w:numPr>
                <w:ilvl w:val="0"/>
                <w:numId w:val="11"/>
              </w:numPr>
              <w:tabs>
                <w:tab w:pos="220" w:val="left" w:leader="none"/>
              </w:tabs>
              <w:spacing w:line="240" w:lineRule="auto" w:before="9" w:after="0"/>
              <w:ind w:left="219" w:right="0" w:hanging="142"/>
              <w:jc w:val="left"/>
              <w:rPr>
                <w:sz w:val="18"/>
              </w:rPr>
            </w:pPr>
            <w:r>
              <w:rPr>
                <w:color w:val="231F20"/>
                <w:w w:val="105"/>
                <w:sz w:val="18"/>
              </w:rPr>
              <w:t>Vida</w:t>
            </w:r>
            <w:r>
              <w:rPr>
                <w:color w:val="231F20"/>
                <w:spacing w:val="-32"/>
                <w:w w:val="105"/>
                <w:sz w:val="18"/>
              </w:rPr>
              <w:t> </w:t>
            </w:r>
            <w:r>
              <w:rPr>
                <w:color w:val="231F20"/>
                <w:w w:val="105"/>
                <w:sz w:val="18"/>
              </w:rPr>
              <w:t>saludable</w:t>
            </w:r>
          </w:p>
          <w:p>
            <w:pPr>
              <w:pStyle w:val="TableParagraph"/>
              <w:numPr>
                <w:ilvl w:val="0"/>
                <w:numId w:val="11"/>
              </w:numPr>
              <w:tabs>
                <w:tab w:pos="220" w:val="left" w:leader="none"/>
              </w:tabs>
              <w:spacing w:line="240" w:lineRule="auto" w:before="9" w:after="0"/>
              <w:ind w:left="219" w:right="0" w:hanging="142"/>
              <w:jc w:val="left"/>
              <w:rPr>
                <w:sz w:val="18"/>
              </w:rPr>
            </w:pPr>
            <w:r>
              <w:rPr>
                <w:color w:val="231F20"/>
                <w:w w:val="105"/>
                <w:sz w:val="18"/>
              </w:rPr>
              <w:t>Equidad y</w:t>
            </w:r>
            <w:r>
              <w:rPr>
                <w:color w:val="231F20"/>
                <w:spacing w:val="-16"/>
                <w:w w:val="105"/>
                <w:sz w:val="18"/>
              </w:rPr>
              <w:t> </w:t>
            </w:r>
            <w:r>
              <w:rPr>
                <w:color w:val="231F20"/>
                <w:w w:val="105"/>
                <w:sz w:val="18"/>
              </w:rPr>
              <w:t>diversidad</w:t>
            </w:r>
          </w:p>
          <w:p>
            <w:pPr>
              <w:pStyle w:val="TableParagraph"/>
              <w:numPr>
                <w:ilvl w:val="0"/>
                <w:numId w:val="11"/>
              </w:numPr>
              <w:tabs>
                <w:tab w:pos="220" w:val="left" w:leader="none"/>
              </w:tabs>
              <w:spacing w:line="249" w:lineRule="auto" w:before="9" w:after="0"/>
              <w:ind w:left="219" w:right="507" w:hanging="142"/>
              <w:jc w:val="left"/>
              <w:rPr>
                <w:sz w:val="18"/>
              </w:rPr>
            </w:pPr>
            <w:r>
              <w:rPr>
                <w:color w:val="231F20"/>
                <w:w w:val="105"/>
                <w:sz w:val="18"/>
              </w:rPr>
              <w:t>Vinculación</w:t>
            </w:r>
            <w:r>
              <w:rPr>
                <w:color w:val="231F20"/>
                <w:spacing w:val="-22"/>
                <w:w w:val="105"/>
                <w:sz w:val="18"/>
              </w:rPr>
              <w:t> </w:t>
            </w:r>
            <w:r>
              <w:rPr>
                <w:color w:val="231F20"/>
                <w:w w:val="105"/>
                <w:sz w:val="18"/>
              </w:rPr>
              <w:t>con</w:t>
            </w:r>
            <w:r>
              <w:rPr>
                <w:color w:val="231F20"/>
                <w:spacing w:val="-22"/>
                <w:w w:val="105"/>
                <w:sz w:val="18"/>
              </w:rPr>
              <w:t> </w:t>
            </w:r>
            <w:r>
              <w:rPr>
                <w:color w:val="231F20"/>
                <w:w w:val="105"/>
                <w:sz w:val="18"/>
              </w:rPr>
              <w:t>los stakeholders</w:t>
            </w:r>
          </w:p>
        </w:tc>
        <w:tc>
          <w:tcPr>
            <w:tcW w:w="2307" w:type="dxa"/>
            <w:tcBorders>
              <w:top w:val="dotted" w:sz="2" w:space="0" w:color="414042"/>
              <w:left w:val="dotted" w:sz="4" w:space="0" w:color="414042"/>
              <w:bottom w:val="dotted" w:sz="2" w:space="0" w:color="414042"/>
              <w:right w:val="dotted" w:sz="4" w:space="0" w:color="414042"/>
            </w:tcBorders>
          </w:tcPr>
          <w:p>
            <w:pPr>
              <w:pStyle w:val="TableParagraph"/>
              <w:spacing w:line="249" w:lineRule="auto" w:before="97"/>
              <w:ind w:left="731" w:right="484" w:hanging="231"/>
              <w:rPr>
                <w:sz w:val="18"/>
              </w:rPr>
            </w:pPr>
            <w:r>
              <w:rPr>
                <w:color w:val="231F20"/>
                <w:w w:val="105"/>
                <w:sz w:val="18"/>
              </w:rPr>
              <w:t>Sustentabilidad</w:t>
            </w:r>
            <w:r>
              <w:rPr>
                <w:color w:val="231F20"/>
                <w:w w:val="104"/>
                <w:sz w:val="18"/>
              </w:rPr>
              <w:t> </w:t>
            </w:r>
            <w:r>
              <w:rPr>
                <w:color w:val="231F20"/>
                <w:w w:val="105"/>
                <w:sz w:val="18"/>
              </w:rPr>
              <w:t>ambiental</w:t>
            </w:r>
          </w:p>
          <w:p>
            <w:pPr>
              <w:pStyle w:val="TableParagraph"/>
              <w:numPr>
                <w:ilvl w:val="0"/>
                <w:numId w:val="12"/>
              </w:numPr>
              <w:tabs>
                <w:tab w:pos="215" w:val="left" w:leader="none"/>
              </w:tabs>
              <w:spacing w:line="249" w:lineRule="auto" w:before="1" w:after="0"/>
              <w:ind w:left="214" w:right="193" w:hanging="142"/>
              <w:jc w:val="left"/>
              <w:rPr>
                <w:sz w:val="18"/>
              </w:rPr>
            </w:pPr>
            <w:r>
              <w:rPr>
                <w:color w:val="231F20"/>
                <w:w w:val="105"/>
                <w:sz w:val="18"/>
              </w:rPr>
              <w:t>Manejo de</w:t>
            </w:r>
            <w:r>
              <w:rPr>
                <w:color w:val="231F20"/>
                <w:spacing w:val="-30"/>
                <w:w w:val="105"/>
                <w:sz w:val="18"/>
              </w:rPr>
              <w:t> </w:t>
            </w:r>
            <w:r>
              <w:rPr>
                <w:color w:val="231F20"/>
                <w:w w:val="105"/>
                <w:sz w:val="18"/>
              </w:rPr>
              <w:t>emisiones</w:t>
            </w:r>
            <w:r>
              <w:rPr>
                <w:color w:val="231F20"/>
                <w:spacing w:val="-15"/>
                <w:w w:val="105"/>
                <w:sz w:val="18"/>
              </w:rPr>
              <w:t> </w:t>
            </w:r>
            <w:r>
              <w:rPr>
                <w:color w:val="231F20"/>
                <w:w w:val="105"/>
                <w:sz w:val="18"/>
              </w:rPr>
              <w:t>y</w:t>
            </w:r>
            <w:r>
              <w:rPr>
                <w:color w:val="231F20"/>
                <w:w w:val="97"/>
                <w:sz w:val="18"/>
              </w:rPr>
              <w:t> </w:t>
            </w:r>
            <w:r>
              <w:rPr>
                <w:color w:val="231F20"/>
                <w:w w:val="105"/>
                <w:sz w:val="18"/>
              </w:rPr>
              <w:t>residuos</w:t>
            </w:r>
          </w:p>
          <w:p>
            <w:pPr>
              <w:pStyle w:val="TableParagraph"/>
              <w:numPr>
                <w:ilvl w:val="0"/>
                <w:numId w:val="12"/>
              </w:numPr>
              <w:tabs>
                <w:tab w:pos="215" w:val="left" w:leader="none"/>
              </w:tabs>
              <w:spacing w:line="249" w:lineRule="auto" w:before="1" w:after="0"/>
              <w:ind w:left="214" w:right="169" w:hanging="142"/>
              <w:jc w:val="left"/>
              <w:rPr>
                <w:sz w:val="18"/>
              </w:rPr>
            </w:pPr>
            <w:r>
              <w:rPr>
                <w:color w:val="231F20"/>
                <w:w w:val="105"/>
                <w:sz w:val="18"/>
              </w:rPr>
              <w:t>Actividades</w:t>
            </w:r>
            <w:r>
              <w:rPr>
                <w:color w:val="231F20"/>
                <w:spacing w:val="-28"/>
                <w:w w:val="105"/>
                <w:sz w:val="18"/>
              </w:rPr>
              <w:t> </w:t>
            </w:r>
            <w:r>
              <w:rPr>
                <w:color w:val="231F20"/>
                <w:w w:val="105"/>
                <w:sz w:val="18"/>
              </w:rPr>
              <w:t>de</w:t>
            </w:r>
            <w:r>
              <w:rPr>
                <w:color w:val="231F20"/>
                <w:spacing w:val="-28"/>
                <w:w w:val="105"/>
                <w:sz w:val="18"/>
              </w:rPr>
              <w:t> </w:t>
            </w:r>
            <w:r>
              <w:rPr>
                <w:color w:val="231F20"/>
                <w:spacing w:val="-3"/>
                <w:w w:val="105"/>
                <w:sz w:val="18"/>
              </w:rPr>
              <w:t>3R’s</w:t>
            </w:r>
            <w:r>
              <w:rPr>
                <w:color w:val="231F20"/>
                <w:spacing w:val="-28"/>
                <w:w w:val="105"/>
                <w:sz w:val="18"/>
              </w:rPr>
              <w:t> </w:t>
            </w:r>
            <w:r>
              <w:rPr>
                <w:color w:val="231F20"/>
                <w:w w:val="105"/>
                <w:sz w:val="18"/>
              </w:rPr>
              <w:t>(re- ciclar,</w:t>
            </w:r>
            <w:r>
              <w:rPr>
                <w:color w:val="231F20"/>
                <w:spacing w:val="-33"/>
                <w:w w:val="105"/>
                <w:sz w:val="18"/>
              </w:rPr>
              <w:t> </w:t>
            </w:r>
            <w:r>
              <w:rPr>
                <w:color w:val="231F20"/>
                <w:w w:val="105"/>
                <w:sz w:val="18"/>
              </w:rPr>
              <w:t>reusar</w:t>
            </w:r>
            <w:r>
              <w:rPr>
                <w:color w:val="231F20"/>
                <w:spacing w:val="-29"/>
                <w:w w:val="105"/>
                <w:sz w:val="18"/>
              </w:rPr>
              <w:t> </w:t>
            </w:r>
            <w:r>
              <w:rPr>
                <w:color w:val="231F20"/>
                <w:w w:val="105"/>
                <w:sz w:val="18"/>
              </w:rPr>
              <w:t>y</w:t>
            </w:r>
            <w:r>
              <w:rPr>
                <w:color w:val="231F20"/>
                <w:spacing w:val="-29"/>
                <w:w w:val="105"/>
                <w:sz w:val="18"/>
              </w:rPr>
              <w:t> </w:t>
            </w:r>
            <w:r>
              <w:rPr>
                <w:color w:val="231F20"/>
                <w:w w:val="105"/>
                <w:sz w:val="18"/>
              </w:rPr>
              <w:t>reducir)</w:t>
            </w:r>
          </w:p>
        </w:tc>
        <w:tc>
          <w:tcPr>
            <w:tcW w:w="2305" w:type="dxa"/>
            <w:tcBorders>
              <w:top w:val="dotted" w:sz="2" w:space="0" w:color="414042"/>
              <w:left w:val="dotted" w:sz="4" w:space="0" w:color="414042"/>
              <w:bottom w:val="dotted" w:sz="2" w:space="0" w:color="414042"/>
            </w:tcBorders>
          </w:tcPr>
          <w:p>
            <w:pPr>
              <w:pStyle w:val="TableParagraph"/>
              <w:spacing w:line="249" w:lineRule="auto" w:before="97"/>
              <w:ind w:left="613" w:right="49" w:hanging="526"/>
              <w:rPr>
                <w:sz w:val="18"/>
              </w:rPr>
            </w:pPr>
            <w:r>
              <w:rPr>
                <w:color w:val="231F20"/>
                <w:w w:val="105"/>
                <w:sz w:val="18"/>
              </w:rPr>
              <w:t>Sustentabilidad económi- co-financiera</w:t>
            </w:r>
          </w:p>
          <w:p>
            <w:pPr>
              <w:pStyle w:val="TableParagraph"/>
              <w:numPr>
                <w:ilvl w:val="0"/>
                <w:numId w:val="13"/>
              </w:numPr>
              <w:tabs>
                <w:tab w:pos="215" w:val="left" w:leader="none"/>
              </w:tabs>
              <w:spacing w:line="240" w:lineRule="auto" w:before="1" w:after="0"/>
              <w:ind w:left="214" w:right="0" w:hanging="142"/>
              <w:jc w:val="left"/>
              <w:rPr>
                <w:sz w:val="18"/>
              </w:rPr>
            </w:pPr>
            <w:r>
              <w:rPr>
                <w:color w:val="231F20"/>
                <w:sz w:val="18"/>
              </w:rPr>
              <w:t>Planeación</w:t>
            </w:r>
            <w:r>
              <w:rPr>
                <w:color w:val="231F20"/>
                <w:spacing w:val="20"/>
                <w:sz w:val="18"/>
              </w:rPr>
              <w:t> </w:t>
            </w:r>
            <w:r>
              <w:rPr>
                <w:color w:val="231F20"/>
                <w:sz w:val="18"/>
              </w:rPr>
              <w:t>financiera</w:t>
            </w:r>
          </w:p>
          <w:p>
            <w:pPr>
              <w:pStyle w:val="TableParagraph"/>
              <w:numPr>
                <w:ilvl w:val="0"/>
                <w:numId w:val="13"/>
              </w:numPr>
              <w:tabs>
                <w:tab w:pos="215" w:val="left" w:leader="none"/>
              </w:tabs>
              <w:spacing w:line="240" w:lineRule="auto" w:before="9" w:after="0"/>
              <w:ind w:left="214" w:right="0" w:hanging="142"/>
              <w:jc w:val="left"/>
              <w:rPr>
                <w:sz w:val="18"/>
              </w:rPr>
            </w:pPr>
            <w:r>
              <w:rPr>
                <w:color w:val="231F20"/>
                <w:sz w:val="18"/>
              </w:rPr>
              <w:t>Transparencia</w:t>
            </w:r>
          </w:p>
          <w:p>
            <w:pPr>
              <w:pStyle w:val="TableParagraph"/>
              <w:numPr>
                <w:ilvl w:val="0"/>
                <w:numId w:val="13"/>
              </w:numPr>
              <w:tabs>
                <w:tab w:pos="215" w:val="left" w:leader="none"/>
              </w:tabs>
              <w:spacing w:line="249" w:lineRule="auto" w:before="9" w:after="0"/>
              <w:ind w:left="214" w:right="155" w:hanging="142"/>
              <w:jc w:val="left"/>
              <w:rPr>
                <w:sz w:val="18"/>
              </w:rPr>
            </w:pPr>
            <w:r>
              <w:rPr>
                <w:color w:val="231F20"/>
                <w:w w:val="105"/>
                <w:sz w:val="18"/>
              </w:rPr>
              <w:t>Diversificación</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fuen-</w:t>
            </w:r>
            <w:r>
              <w:rPr>
                <w:color w:val="231F20"/>
                <w:w w:val="96"/>
                <w:sz w:val="18"/>
              </w:rPr>
              <w:t> </w:t>
            </w:r>
            <w:r>
              <w:rPr>
                <w:color w:val="231F20"/>
                <w:w w:val="105"/>
                <w:sz w:val="18"/>
              </w:rPr>
              <w:t>tes de</w:t>
            </w:r>
            <w:r>
              <w:rPr>
                <w:color w:val="231F20"/>
                <w:spacing w:val="-23"/>
                <w:w w:val="105"/>
                <w:sz w:val="18"/>
              </w:rPr>
              <w:t> </w:t>
            </w:r>
            <w:r>
              <w:rPr>
                <w:color w:val="231F20"/>
                <w:w w:val="105"/>
                <w:sz w:val="18"/>
              </w:rPr>
              <w:t>ingreso</w:t>
            </w:r>
          </w:p>
        </w:tc>
      </w:tr>
      <w:tr>
        <w:trPr>
          <w:trHeight w:val="988" w:hRule="exact"/>
        </w:trPr>
        <w:tc>
          <w:tcPr>
            <w:tcW w:w="6922" w:type="dxa"/>
            <w:gridSpan w:val="3"/>
            <w:tcBorders>
              <w:top w:val="dotted" w:sz="3" w:space="0" w:color="414042"/>
              <w:left w:val="single" w:sz="4" w:space="0" w:color="414042"/>
            </w:tcBorders>
          </w:tcPr>
          <w:p>
            <w:pPr>
              <w:pStyle w:val="TableParagraph"/>
              <w:spacing w:before="87"/>
              <w:ind w:left="2333"/>
              <w:rPr>
                <w:sz w:val="18"/>
              </w:rPr>
            </w:pPr>
            <w:r>
              <w:rPr>
                <w:color w:val="231F20"/>
                <w:w w:val="105"/>
                <w:sz w:val="18"/>
              </w:rPr>
              <w:t>Sustentabilidad organizativa</w:t>
            </w:r>
          </w:p>
          <w:p>
            <w:pPr>
              <w:pStyle w:val="TableParagraph"/>
              <w:numPr>
                <w:ilvl w:val="0"/>
                <w:numId w:val="14"/>
              </w:numPr>
              <w:tabs>
                <w:tab w:pos="2058" w:val="left" w:leader="none"/>
              </w:tabs>
              <w:spacing w:line="240" w:lineRule="auto" w:before="9" w:after="0"/>
              <w:ind w:left="2058" w:right="0" w:hanging="142"/>
              <w:jc w:val="left"/>
              <w:rPr>
                <w:sz w:val="18"/>
              </w:rPr>
            </w:pPr>
            <w:r>
              <w:rPr>
                <w:color w:val="231F20"/>
                <w:sz w:val="18"/>
              </w:rPr>
              <w:t>Estrategias y funciones</w:t>
            </w:r>
            <w:r>
              <w:rPr>
                <w:color w:val="231F20"/>
                <w:spacing w:val="15"/>
                <w:sz w:val="18"/>
              </w:rPr>
              <w:t> </w:t>
            </w:r>
            <w:r>
              <w:rPr>
                <w:color w:val="231F20"/>
                <w:sz w:val="18"/>
              </w:rPr>
              <w:t>sustentables</w:t>
            </w:r>
          </w:p>
          <w:p>
            <w:pPr>
              <w:pStyle w:val="TableParagraph"/>
              <w:numPr>
                <w:ilvl w:val="1"/>
                <w:numId w:val="14"/>
              </w:numPr>
              <w:tabs>
                <w:tab w:pos="3021" w:val="left" w:leader="none"/>
              </w:tabs>
              <w:spacing w:line="240" w:lineRule="auto" w:before="9" w:after="0"/>
              <w:ind w:left="3020" w:right="0" w:hanging="142"/>
              <w:jc w:val="left"/>
              <w:rPr>
                <w:sz w:val="18"/>
              </w:rPr>
            </w:pPr>
            <w:r>
              <w:rPr>
                <w:color w:val="231F20"/>
                <w:sz w:val="18"/>
              </w:rPr>
              <w:t>Gobernanza</w:t>
            </w:r>
          </w:p>
        </w:tc>
      </w:tr>
    </w:tbl>
    <w:p>
      <w:pPr>
        <w:spacing w:before="18"/>
        <w:ind w:left="103" w:right="0" w:firstLine="0"/>
        <w:jc w:val="both"/>
        <w:rPr>
          <w:sz w:val="16"/>
        </w:rPr>
      </w:pPr>
      <w:r>
        <w:rPr/>
        <w:drawing>
          <wp:anchor distT="0" distB="0" distL="0" distR="0" allowOverlap="1" layoutInCell="1" locked="0" behindDoc="0" simplePos="0" relativeHeight="1696">
            <wp:simplePos x="0" y="0"/>
            <wp:positionH relativeFrom="page">
              <wp:posOffset>1519560</wp:posOffset>
            </wp:positionH>
            <wp:positionV relativeFrom="paragraph">
              <wp:posOffset>-544582</wp:posOffset>
            </wp:positionV>
            <wp:extent cx="161828" cy="252412"/>
            <wp:effectExtent l="0" t="0" r="0" b="0"/>
            <wp:wrapNone/>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22" cstate="print"/>
                    <a:stretch>
                      <a:fillRect/>
                    </a:stretch>
                  </pic:blipFill>
                  <pic:spPr>
                    <a:xfrm>
                      <a:off x="0" y="0"/>
                      <a:ext cx="161828" cy="252412"/>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4436812</wp:posOffset>
            </wp:positionH>
            <wp:positionV relativeFrom="paragraph">
              <wp:posOffset>-544582</wp:posOffset>
            </wp:positionV>
            <wp:extent cx="161828" cy="252412"/>
            <wp:effectExtent l="0" t="0" r="0" b="0"/>
            <wp:wrapNone/>
            <wp:docPr id="15" name="image17.png" descr=""/>
            <wp:cNvGraphicFramePr>
              <a:graphicFrameLocks noChangeAspect="1"/>
            </wp:cNvGraphicFramePr>
            <a:graphic>
              <a:graphicData uri="http://schemas.openxmlformats.org/drawingml/2006/picture">
                <pic:pic>
                  <pic:nvPicPr>
                    <pic:cNvPr id="16" name="image17.png"/>
                    <pic:cNvPicPr/>
                  </pic:nvPicPr>
                  <pic:blipFill>
                    <a:blip r:embed="rId23" cstate="print"/>
                    <a:stretch>
                      <a:fillRect/>
                    </a:stretch>
                  </pic:blipFill>
                  <pic:spPr>
                    <a:xfrm>
                      <a:off x="0" y="0"/>
                      <a:ext cx="161828" cy="252412"/>
                    </a:xfrm>
                    <a:prstGeom prst="rect">
                      <a:avLst/>
                    </a:prstGeom>
                  </pic:spPr>
                </pic:pic>
              </a:graphicData>
            </a:graphic>
          </wp:anchor>
        </w:drawing>
      </w:r>
      <w:r>
        <w:rPr>
          <w:color w:val="231F20"/>
          <w:w w:val="105"/>
          <w:sz w:val="16"/>
        </w:rPr>
        <w:t>Fuente: elaboración propia.</w:t>
      </w:r>
    </w:p>
    <w:p>
      <w:pPr>
        <w:pStyle w:val="BodyText"/>
        <w:rPr>
          <w:sz w:val="16"/>
        </w:rPr>
      </w:pPr>
    </w:p>
    <w:p>
      <w:pPr>
        <w:pStyle w:val="BodyText"/>
        <w:spacing w:line="259" w:lineRule="auto" w:before="105"/>
        <w:ind w:left="103" w:right="114"/>
        <w:jc w:val="both"/>
      </w:pPr>
      <w:r>
        <w:rPr>
          <w:color w:val="231F20"/>
          <w:w w:val="105"/>
        </w:rPr>
        <w:t>Sustentabilidad</w:t>
      </w:r>
      <w:r>
        <w:rPr>
          <w:color w:val="231F20"/>
          <w:spacing w:val="-22"/>
          <w:w w:val="105"/>
        </w:rPr>
        <w:t> </w:t>
      </w:r>
      <w:r>
        <w:rPr>
          <w:color w:val="231F20"/>
          <w:w w:val="105"/>
        </w:rPr>
        <w:t>ambiental.</w:t>
      </w:r>
      <w:r>
        <w:rPr>
          <w:color w:val="231F20"/>
          <w:spacing w:val="-27"/>
          <w:w w:val="105"/>
        </w:rPr>
        <w:t> </w:t>
      </w:r>
      <w:r>
        <w:rPr>
          <w:color w:val="231F20"/>
          <w:w w:val="105"/>
        </w:rPr>
        <w:t>Desde</w:t>
      </w:r>
      <w:r>
        <w:rPr>
          <w:color w:val="231F20"/>
          <w:spacing w:val="-22"/>
          <w:w w:val="105"/>
        </w:rPr>
        <w:t> </w:t>
      </w:r>
      <w:r>
        <w:rPr>
          <w:color w:val="231F20"/>
          <w:w w:val="105"/>
        </w:rPr>
        <w:t>la</w:t>
      </w:r>
      <w:r>
        <w:rPr>
          <w:color w:val="231F20"/>
          <w:spacing w:val="-22"/>
          <w:w w:val="105"/>
        </w:rPr>
        <w:t> </w:t>
      </w:r>
      <w:r>
        <w:rPr>
          <w:color w:val="231F20"/>
          <w:w w:val="105"/>
        </w:rPr>
        <w:t>referida</w:t>
      </w:r>
      <w:r>
        <w:rPr>
          <w:color w:val="231F20"/>
          <w:spacing w:val="-22"/>
          <w:w w:val="105"/>
        </w:rPr>
        <w:t> </w:t>
      </w:r>
      <w:r>
        <w:rPr>
          <w:color w:val="231F20"/>
          <w:w w:val="105"/>
        </w:rPr>
        <w:t>economía</w:t>
      </w:r>
      <w:r>
        <w:rPr>
          <w:color w:val="231F20"/>
          <w:spacing w:val="-22"/>
          <w:w w:val="105"/>
        </w:rPr>
        <w:t> </w:t>
      </w:r>
      <w:r>
        <w:rPr>
          <w:color w:val="231F20"/>
          <w:w w:val="105"/>
        </w:rPr>
        <w:t>ecológica,</w:t>
      </w:r>
      <w:r>
        <w:rPr>
          <w:color w:val="231F20"/>
          <w:spacing w:val="-27"/>
          <w:w w:val="105"/>
        </w:rPr>
        <w:t> </w:t>
      </w:r>
      <w:r>
        <w:rPr>
          <w:color w:val="231F20"/>
          <w:w w:val="105"/>
        </w:rPr>
        <w:t>la</w:t>
      </w:r>
      <w:r>
        <w:rPr>
          <w:color w:val="231F20"/>
          <w:spacing w:val="-22"/>
          <w:w w:val="105"/>
        </w:rPr>
        <w:t> </w:t>
      </w:r>
      <w:r>
        <w:rPr>
          <w:color w:val="231F20"/>
          <w:w w:val="105"/>
        </w:rPr>
        <w:t>pro- ducción</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consumo</w:t>
      </w:r>
      <w:r>
        <w:rPr>
          <w:color w:val="231F20"/>
          <w:spacing w:val="-15"/>
          <w:w w:val="105"/>
        </w:rPr>
        <w:t> </w:t>
      </w:r>
      <w:r>
        <w:rPr>
          <w:color w:val="231F20"/>
          <w:w w:val="105"/>
        </w:rPr>
        <w:t>sustentables</w:t>
      </w:r>
      <w:r>
        <w:rPr>
          <w:color w:val="231F20"/>
          <w:spacing w:val="-15"/>
          <w:w w:val="105"/>
        </w:rPr>
        <w:t> </w:t>
      </w:r>
      <w:r>
        <w:rPr>
          <w:color w:val="231F20"/>
          <w:w w:val="105"/>
        </w:rPr>
        <w:t>son</w:t>
      </w:r>
      <w:r>
        <w:rPr>
          <w:color w:val="231F20"/>
          <w:spacing w:val="-15"/>
          <w:w w:val="105"/>
        </w:rPr>
        <w:t> </w:t>
      </w:r>
      <w:r>
        <w:rPr>
          <w:color w:val="231F20"/>
          <w:w w:val="105"/>
        </w:rPr>
        <w:t>necesarios</w:t>
      </w:r>
      <w:r>
        <w:rPr>
          <w:color w:val="231F20"/>
          <w:spacing w:val="-15"/>
          <w:w w:val="105"/>
        </w:rPr>
        <w:t> </w:t>
      </w:r>
      <w:r>
        <w:rPr>
          <w:color w:val="231F20"/>
          <w:w w:val="105"/>
        </w:rPr>
        <w:t>para</w:t>
      </w:r>
      <w:r>
        <w:rPr>
          <w:color w:val="231F20"/>
          <w:spacing w:val="-15"/>
          <w:w w:val="105"/>
        </w:rPr>
        <w:t> </w:t>
      </w:r>
      <w:r>
        <w:rPr>
          <w:color w:val="231F20"/>
          <w:w w:val="105"/>
        </w:rPr>
        <w:t>mantener</w:t>
      </w:r>
      <w:r>
        <w:rPr>
          <w:color w:val="231F20"/>
          <w:spacing w:val="-15"/>
          <w:w w:val="105"/>
        </w:rPr>
        <w:t> </w:t>
      </w:r>
      <w:r>
        <w:rPr>
          <w:color w:val="231F20"/>
          <w:w w:val="105"/>
        </w:rPr>
        <w:t>el</w:t>
      </w:r>
      <w:r>
        <w:rPr>
          <w:color w:val="231F20"/>
          <w:spacing w:val="-15"/>
          <w:w w:val="105"/>
        </w:rPr>
        <w:t> </w:t>
      </w:r>
      <w:r>
        <w:rPr>
          <w:color w:val="231F20"/>
          <w:w w:val="105"/>
        </w:rPr>
        <w:t>ca- pital</w:t>
      </w:r>
      <w:r>
        <w:rPr>
          <w:color w:val="231F20"/>
          <w:spacing w:val="-14"/>
          <w:w w:val="105"/>
        </w:rPr>
        <w:t> </w:t>
      </w:r>
      <w:r>
        <w:rPr>
          <w:color w:val="231F20"/>
          <w:w w:val="105"/>
        </w:rPr>
        <w:t>natural</w:t>
      </w:r>
      <w:r>
        <w:rPr>
          <w:color w:val="231F20"/>
          <w:spacing w:val="-14"/>
          <w:w w:val="105"/>
        </w:rPr>
        <w:t> </w:t>
      </w:r>
      <w:r>
        <w:rPr>
          <w:color w:val="231F20"/>
          <w:w w:val="105"/>
        </w:rPr>
        <w:t>como</w:t>
      </w:r>
      <w:r>
        <w:rPr>
          <w:color w:val="231F20"/>
          <w:spacing w:val="-14"/>
          <w:w w:val="105"/>
        </w:rPr>
        <w:t> </w:t>
      </w:r>
      <w:r>
        <w:rPr>
          <w:color w:val="231F20"/>
          <w:w w:val="105"/>
        </w:rPr>
        <w:t>fuente</w:t>
      </w:r>
      <w:r>
        <w:rPr>
          <w:color w:val="231F20"/>
          <w:spacing w:val="-14"/>
          <w:w w:val="105"/>
        </w:rPr>
        <w:t> </w:t>
      </w:r>
      <w:r>
        <w:rPr>
          <w:color w:val="231F20"/>
          <w:w w:val="105"/>
        </w:rPr>
        <w:t>de</w:t>
      </w:r>
      <w:r>
        <w:rPr>
          <w:color w:val="231F20"/>
          <w:spacing w:val="-14"/>
          <w:w w:val="105"/>
        </w:rPr>
        <w:t> </w:t>
      </w:r>
      <w:r>
        <w:rPr>
          <w:color w:val="231F20"/>
          <w:w w:val="105"/>
        </w:rPr>
        <w:t>recursos</w:t>
      </w:r>
      <w:r>
        <w:rPr>
          <w:color w:val="231F20"/>
          <w:spacing w:val="-14"/>
          <w:w w:val="105"/>
        </w:rPr>
        <w:t> </w:t>
      </w:r>
      <w:r>
        <w:rPr>
          <w:color w:val="231F20"/>
          <w:w w:val="105"/>
        </w:rPr>
        <w:t>y</w:t>
      </w:r>
      <w:r>
        <w:rPr>
          <w:color w:val="231F20"/>
          <w:spacing w:val="-14"/>
          <w:w w:val="105"/>
        </w:rPr>
        <w:t> </w:t>
      </w:r>
      <w:r>
        <w:rPr>
          <w:color w:val="231F20"/>
          <w:w w:val="105"/>
        </w:rPr>
        <w:t>vertedero</w:t>
      </w:r>
      <w:r>
        <w:rPr>
          <w:color w:val="231F20"/>
          <w:spacing w:val="-14"/>
          <w:w w:val="105"/>
        </w:rPr>
        <w:t> </w:t>
      </w:r>
      <w:r>
        <w:rPr>
          <w:color w:val="231F20"/>
          <w:w w:val="105"/>
        </w:rPr>
        <w:t>de</w:t>
      </w:r>
      <w:r>
        <w:rPr>
          <w:color w:val="231F20"/>
          <w:spacing w:val="-14"/>
          <w:w w:val="105"/>
        </w:rPr>
        <w:t> </w:t>
      </w:r>
      <w:r>
        <w:rPr>
          <w:color w:val="231F20"/>
          <w:w w:val="105"/>
        </w:rPr>
        <w:t>desechos;</w:t>
      </w:r>
      <w:r>
        <w:rPr>
          <w:color w:val="231F20"/>
          <w:spacing w:val="-14"/>
          <w:w w:val="105"/>
        </w:rPr>
        <w:t> </w:t>
      </w:r>
      <w:r>
        <w:rPr>
          <w:color w:val="231F20"/>
          <w:w w:val="105"/>
        </w:rPr>
        <w:t>y</w:t>
      </w:r>
      <w:r>
        <w:rPr>
          <w:color w:val="231F20"/>
          <w:spacing w:val="-14"/>
          <w:w w:val="105"/>
        </w:rPr>
        <w:t> </w:t>
      </w:r>
      <w:r>
        <w:rPr>
          <w:color w:val="231F20"/>
          <w:w w:val="105"/>
        </w:rPr>
        <w:t>para</w:t>
      </w:r>
      <w:r>
        <w:rPr>
          <w:color w:val="231F20"/>
          <w:spacing w:val="-14"/>
          <w:w w:val="105"/>
        </w:rPr>
        <w:t> </w:t>
      </w:r>
      <w:r>
        <w:rPr>
          <w:color w:val="231F20"/>
          <w:w w:val="105"/>
        </w:rPr>
        <w:t>el logro</w:t>
      </w:r>
      <w:r>
        <w:rPr>
          <w:color w:val="231F20"/>
          <w:spacing w:val="-9"/>
          <w:w w:val="105"/>
        </w:rPr>
        <w:t> </w:t>
      </w:r>
      <w:r>
        <w:rPr>
          <w:color w:val="231F20"/>
          <w:w w:val="105"/>
        </w:rPr>
        <w:t>de</w:t>
      </w:r>
      <w:r>
        <w:rPr>
          <w:color w:val="231F20"/>
          <w:spacing w:val="-9"/>
          <w:w w:val="105"/>
        </w:rPr>
        <w:t> </w:t>
      </w:r>
      <w:r>
        <w:rPr>
          <w:color w:val="231F20"/>
          <w:w w:val="105"/>
        </w:rPr>
        <w:t>este</w:t>
      </w:r>
      <w:r>
        <w:rPr>
          <w:color w:val="231F20"/>
          <w:spacing w:val="-9"/>
          <w:w w:val="105"/>
        </w:rPr>
        <w:t> </w:t>
      </w:r>
      <w:r>
        <w:rPr>
          <w:color w:val="231F20"/>
          <w:w w:val="105"/>
        </w:rPr>
        <w:t>objetivo</w:t>
      </w:r>
      <w:r>
        <w:rPr>
          <w:color w:val="231F20"/>
          <w:spacing w:val="-9"/>
          <w:w w:val="105"/>
        </w:rPr>
        <w:t> </w:t>
      </w:r>
      <w:r>
        <w:rPr>
          <w:color w:val="231F20"/>
          <w:w w:val="105"/>
        </w:rPr>
        <w:t>la</w:t>
      </w:r>
      <w:r>
        <w:rPr>
          <w:color w:val="231F20"/>
          <w:spacing w:val="-9"/>
          <w:w w:val="105"/>
        </w:rPr>
        <w:t> </w:t>
      </w:r>
      <w:r>
        <w:rPr>
          <w:color w:val="231F20"/>
          <w:w w:val="105"/>
        </w:rPr>
        <w:t>humanidad</w:t>
      </w:r>
      <w:r>
        <w:rPr>
          <w:color w:val="231F20"/>
          <w:spacing w:val="-9"/>
          <w:w w:val="105"/>
        </w:rPr>
        <w:t> </w:t>
      </w:r>
      <w:r>
        <w:rPr>
          <w:color w:val="231F20"/>
          <w:w w:val="105"/>
        </w:rPr>
        <w:t>debe</w:t>
      </w:r>
      <w:r>
        <w:rPr>
          <w:color w:val="231F20"/>
          <w:spacing w:val="-9"/>
          <w:w w:val="105"/>
        </w:rPr>
        <w:t> </w:t>
      </w:r>
      <w:r>
        <w:rPr>
          <w:color w:val="231F20"/>
          <w:w w:val="105"/>
        </w:rPr>
        <w:t>aprender</w:t>
      </w:r>
      <w:r>
        <w:rPr>
          <w:color w:val="231F20"/>
          <w:spacing w:val="-9"/>
          <w:w w:val="105"/>
        </w:rPr>
        <w:t> </w:t>
      </w:r>
      <w:r>
        <w:rPr>
          <w:color w:val="231F20"/>
          <w:w w:val="105"/>
        </w:rPr>
        <w:t>a</w:t>
      </w:r>
      <w:r>
        <w:rPr>
          <w:color w:val="231F20"/>
          <w:spacing w:val="-9"/>
          <w:w w:val="105"/>
        </w:rPr>
        <w:t> </w:t>
      </w:r>
      <w:r>
        <w:rPr>
          <w:color w:val="231F20"/>
          <w:w w:val="105"/>
        </w:rPr>
        <w:t>vivir</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limita-</w:t>
      </w:r>
    </w:p>
    <w:p>
      <w:pPr>
        <w:pStyle w:val="BodyText"/>
        <w:rPr>
          <w:sz w:val="20"/>
        </w:rPr>
      </w:pPr>
    </w:p>
    <w:p>
      <w:pPr>
        <w:pStyle w:val="BodyText"/>
        <w:rPr>
          <w:sz w:val="20"/>
        </w:rPr>
      </w:pPr>
    </w:p>
    <w:p>
      <w:pPr>
        <w:tabs>
          <w:tab w:pos="1317" w:val="left" w:leader="none"/>
        </w:tabs>
        <w:spacing w:before="194"/>
        <w:ind w:left="267" w:right="17" w:firstLine="0"/>
        <w:jc w:val="left"/>
        <w:rPr>
          <w:rFonts w:ascii="Calibri" w:hAnsi="Calibri"/>
          <w:sz w:val="15"/>
        </w:rPr>
      </w:pPr>
      <w:r>
        <w:rPr/>
        <w:pict>
          <v:group style="position:absolute;margin-left:101.817299pt;margin-top:-10.599887pt;width:17.850pt;height:56.5pt;mso-position-horizontal-relative:page;mso-position-vertical-relative:paragraph;z-index:-246256" coordorigin="2036,-212" coordsize="357,1130">
            <v:line style="position:absolute" from="2211,198" to="2211,914" stroked="true" strokeweight=".3pt" strokecolor="#231f20"/>
            <v:shape style="position:absolute;left:2036;top:-38;width:356;height:609" type="#_x0000_t75" stroked="false">
              <v:imagedata r:id="rId18" o:title=""/>
            </v:shape>
            <v:shape style="position:absolute;left:2036;top:-212;width:356;height:783" type="#_x0000_t75" stroked="false">
              <v:imagedata r:id="rId19" o:title=""/>
            </v:shape>
            <w10:wrap type="none"/>
          </v:group>
        </w:pict>
      </w:r>
      <w:r>
        <w:rPr>
          <w:color w:val="414042"/>
          <w:position w:val="-5"/>
          <w:sz w:val="20"/>
        </w:rPr>
        <w:t>30</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15"/>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184"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31</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pStyle w:val="BodyText"/>
        <w:spacing w:line="259" w:lineRule="auto" w:before="169"/>
        <w:ind w:left="117" w:right="121"/>
        <w:jc w:val="both"/>
      </w:pPr>
      <w:r>
        <w:rPr>
          <w:color w:val="231F20"/>
          <w:w w:val="105"/>
        </w:rPr>
        <w:t>ciones</w:t>
      </w:r>
      <w:r>
        <w:rPr>
          <w:color w:val="231F20"/>
          <w:spacing w:val="-11"/>
          <w:w w:val="105"/>
        </w:rPr>
        <w:t> </w:t>
      </w:r>
      <w:r>
        <w:rPr>
          <w:color w:val="231F20"/>
          <w:w w:val="105"/>
        </w:rPr>
        <w:t>del</w:t>
      </w:r>
      <w:r>
        <w:rPr>
          <w:color w:val="231F20"/>
          <w:spacing w:val="-11"/>
          <w:w w:val="105"/>
        </w:rPr>
        <w:t> </w:t>
      </w:r>
      <w:r>
        <w:rPr>
          <w:color w:val="231F20"/>
          <w:w w:val="105"/>
        </w:rPr>
        <w:t>ambiente</w:t>
      </w:r>
      <w:r>
        <w:rPr>
          <w:color w:val="231F20"/>
          <w:spacing w:val="-11"/>
          <w:w w:val="105"/>
        </w:rPr>
        <w:t> </w:t>
      </w:r>
      <w:r>
        <w:rPr>
          <w:color w:val="231F20"/>
          <w:w w:val="105"/>
        </w:rPr>
        <w:t>biofísico</w:t>
      </w:r>
      <w:r>
        <w:rPr>
          <w:color w:val="231F20"/>
          <w:spacing w:val="-11"/>
          <w:w w:val="105"/>
        </w:rPr>
        <w:t> </w:t>
      </w:r>
      <w:r>
        <w:rPr>
          <w:color w:val="231F20"/>
          <w:w w:val="105"/>
        </w:rPr>
        <w:t>(Daly,</w:t>
      </w:r>
      <w:r>
        <w:rPr>
          <w:color w:val="231F20"/>
          <w:spacing w:val="-16"/>
          <w:w w:val="105"/>
        </w:rPr>
        <w:t> </w:t>
      </w:r>
      <w:r>
        <w:rPr>
          <w:color w:val="231F20"/>
          <w:w w:val="105"/>
        </w:rPr>
        <w:t>1998).</w:t>
      </w:r>
      <w:r>
        <w:rPr>
          <w:color w:val="231F20"/>
          <w:spacing w:val="-16"/>
          <w:w w:val="105"/>
        </w:rPr>
        <w:t> </w:t>
      </w:r>
      <w:r>
        <w:rPr>
          <w:color w:val="231F20"/>
          <w:w w:val="105"/>
        </w:rPr>
        <w:t>La</w:t>
      </w:r>
      <w:r>
        <w:rPr>
          <w:color w:val="231F20"/>
          <w:spacing w:val="-11"/>
          <w:w w:val="105"/>
        </w:rPr>
        <w:t> </w:t>
      </w:r>
      <w:r>
        <w:rPr>
          <w:color w:val="231F20"/>
          <w:w w:val="105"/>
        </w:rPr>
        <w:t>sustentabilidad</w:t>
      </w:r>
      <w:r>
        <w:rPr>
          <w:color w:val="231F20"/>
          <w:spacing w:val="-11"/>
          <w:w w:val="105"/>
        </w:rPr>
        <w:t> </w:t>
      </w:r>
      <w:r>
        <w:rPr>
          <w:color w:val="231F20"/>
          <w:w w:val="105"/>
        </w:rPr>
        <w:t>ambiental es la cualidad de aprovechar los recursos en las operaciones de la or- ganización sin limitar su disponibilidad para las generaciones futuras y minimizar</w:t>
      </w:r>
      <w:r>
        <w:rPr>
          <w:color w:val="231F20"/>
          <w:spacing w:val="-24"/>
          <w:w w:val="105"/>
        </w:rPr>
        <w:t> </w:t>
      </w:r>
      <w:r>
        <w:rPr>
          <w:color w:val="231F20"/>
          <w:w w:val="105"/>
        </w:rPr>
        <w:t>su</w:t>
      </w:r>
      <w:r>
        <w:rPr>
          <w:color w:val="231F20"/>
          <w:spacing w:val="-24"/>
          <w:w w:val="105"/>
        </w:rPr>
        <w:t> </w:t>
      </w:r>
      <w:r>
        <w:rPr>
          <w:color w:val="231F20"/>
          <w:w w:val="105"/>
        </w:rPr>
        <w:t>impacto</w:t>
      </w:r>
      <w:r>
        <w:rPr>
          <w:color w:val="231F20"/>
          <w:spacing w:val="-24"/>
          <w:w w:val="105"/>
        </w:rPr>
        <w:t> </w:t>
      </w:r>
      <w:r>
        <w:rPr>
          <w:color w:val="231F20"/>
          <w:w w:val="105"/>
        </w:rPr>
        <w:t>sobre</w:t>
      </w:r>
      <w:r>
        <w:rPr>
          <w:color w:val="231F20"/>
          <w:spacing w:val="-24"/>
          <w:w w:val="105"/>
        </w:rPr>
        <w:t> </w:t>
      </w:r>
      <w:r>
        <w:rPr>
          <w:color w:val="231F20"/>
          <w:w w:val="105"/>
        </w:rPr>
        <w:t>los</w:t>
      </w:r>
      <w:r>
        <w:rPr>
          <w:color w:val="231F20"/>
          <w:spacing w:val="-24"/>
          <w:w w:val="105"/>
        </w:rPr>
        <w:t> </w:t>
      </w:r>
      <w:r>
        <w:rPr>
          <w:color w:val="231F20"/>
          <w:w w:val="105"/>
        </w:rPr>
        <w:t>vertederos</w:t>
      </w:r>
      <w:r>
        <w:rPr>
          <w:color w:val="231F20"/>
          <w:spacing w:val="-24"/>
          <w:w w:val="105"/>
        </w:rPr>
        <w:t> </w:t>
      </w:r>
      <w:r>
        <w:rPr>
          <w:color w:val="231F20"/>
          <w:w w:val="105"/>
        </w:rPr>
        <w:t>artificiales</w:t>
      </w:r>
      <w:r>
        <w:rPr>
          <w:color w:val="231F20"/>
          <w:spacing w:val="-24"/>
          <w:w w:val="105"/>
        </w:rPr>
        <w:t> </w:t>
      </w:r>
      <w:r>
        <w:rPr>
          <w:color w:val="231F20"/>
          <w:w w:val="105"/>
        </w:rPr>
        <w:t>y</w:t>
      </w:r>
      <w:r>
        <w:rPr>
          <w:color w:val="231F20"/>
          <w:spacing w:val="-24"/>
          <w:w w:val="105"/>
        </w:rPr>
        <w:t> </w:t>
      </w:r>
      <w:r>
        <w:rPr>
          <w:color w:val="231F20"/>
          <w:w w:val="105"/>
        </w:rPr>
        <w:t>naturales.</w:t>
      </w:r>
    </w:p>
    <w:p>
      <w:pPr>
        <w:pStyle w:val="BodyText"/>
        <w:spacing w:line="259" w:lineRule="auto"/>
        <w:ind w:left="117" w:right="115" w:firstLine="567"/>
        <w:jc w:val="both"/>
      </w:pPr>
      <w:r>
        <w:rPr>
          <w:color w:val="231F20"/>
        </w:rPr>
        <w:t>Sustentabilidad social. Está por encima de la sustentabilidad ambiental y requiere un compromiso directivo con la cohesión de las sociedades,</w:t>
      </w:r>
      <w:r>
        <w:rPr>
          <w:color w:val="231F20"/>
          <w:spacing w:val="-15"/>
        </w:rPr>
        <w:t> </w:t>
      </w:r>
      <w:r>
        <w:rPr>
          <w:color w:val="231F20"/>
        </w:rPr>
        <w:t>la</w:t>
      </w:r>
      <w:r>
        <w:rPr>
          <w:color w:val="231F20"/>
          <w:spacing w:val="-6"/>
        </w:rPr>
        <w:t> </w:t>
      </w:r>
      <w:r>
        <w:rPr>
          <w:color w:val="231F20"/>
        </w:rPr>
        <w:t>aversión</w:t>
      </w:r>
      <w:r>
        <w:rPr>
          <w:color w:val="231F20"/>
          <w:spacing w:val="-6"/>
        </w:rPr>
        <w:t> </w:t>
      </w:r>
      <w:r>
        <w:rPr>
          <w:color w:val="231F20"/>
        </w:rPr>
        <w:t>hacia</w:t>
      </w:r>
      <w:r>
        <w:rPr>
          <w:color w:val="231F20"/>
          <w:spacing w:val="-6"/>
        </w:rPr>
        <w:t> </w:t>
      </w:r>
      <w:r>
        <w:rPr>
          <w:color w:val="231F20"/>
        </w:rPr>
        <w:t>la</w:t>
      </w:r>
      <w:r>
        <w:rPr>
          <w:color w:val="231F20"/>
          <w:spacing w:val="-6"/>
        </w:rPr>
        <w:t> </w:t>
      </w:r>
      <w:r>
        <w:rPr>
          <w:color w:val="231F20"/>
        </w:rPr>
        <w:t>exclusión,</w:t>
      </w:r>
      <w:r>
        <w:rPr>
          <w:color w:val="231F20"/>
          <w:spacing w:val="-15"/>
        </w:rPr>
        <w:t> </w:t>
      </w:r>
      <w:r>
        <w:rPr>
          <w:color w:val="231F20"/>
        </w:rPr>
        <w:t>y</w:t>
      </w:r>
      <w:r>
        <w:rPr>
          <w:color w:val="231F20"/>
          <w:spacing w:val="-6"/>
        </w:rPr>
        <w:t> </w:t>
      </w:r>
      <w:r>
        <w:rPr>
          <w:color w:val="231F20"/>
        </w:rPr>
        <w:t>el</w:t>
      </w:r>
      <w:r>
        <w:rPr>
          <w:color w:val="231F20"/>
          <w:spacing w:val="-6"/>
        </w:rPr>
        <w:t> </w:t>
      </w:r>
      <w:r>
        <w:rPr>
          <w:color w:val="231F20"/>
        </w:rPr>
        <w:t>fomento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participación. Implica el mejoramiento de las condiciones de vida y de los procesos necesarios para lograr mejoras en las organizaciones, para lo cual se re- quiere del establecimiento de estructuras y procesos que garanticen la justicia traducida en equidad y diversidad, vinculación y calidad de vida  en la organización (García-Hernández,</w:t>
      </w:r>
      <w:r>
        <w:rPr>
          <w:color w:val="231F20"/>
          <w:spacing w:val="25"/>
        </w:rPr>
        <w:t> </w:t>
      </w:r>
      <w:r>
        <w:rPr>
          <w:color w:val="231F20"/>
        </w:rPr>
        <w:t>2013).</w:t>
      </w:r>
    </w:p>
    <w:p>
      <w:pPr>
        <w:pStyle w:val="BodyText"/>
        <w:spacing w:line="259" w:lineRule="auto"/>
        <w:ind w:left="117" w:right="115" w:firstLine="567"/>
        <w:jc w:val="both"/>
      </w:pPr>
      <w:r>
        <w:rPr>
          <w:color w:val="231F20"/>
          <w:w w:val="105"/>
        </w:rPr>
        <w:t>La equidad y diversidad requiere que la comunidad promueva el respeto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diversidad</w:t>
      </w:r>
      <w:r>
        <w:rPr>
          <w:color w:val="231F20"/>
          <w:spacing w:val="-9"/>
          <w:w w:val="105"/>
        </w:rPr>
        <w:t> </w:t>
      </w:r>
      <w:r>
        <w:rPr>
          <w:color w:val="231F20"/>
          <w:w w:val="105"/>
        </w:rPr>
        <w:t>de</w:t>
      </w:r>
      <w:r>
        <w:rPr>
          <w:color w:val="231F20"/>
          <w:spacing w:val="-9"/>
          <w:w w:val="105"/>
        </w:rPr>
        <w:t> </w:t>
      </w:r>
      <w:r>
        <w:rPr>
          <w:color w:val="231F20"/>
          <w:w w:val="105"/>
        </w:rPr>
        <w:t>opiniones</w:t>
      </w:r>
      <w:r>
        <w:rPr>
          <w:color w:val="231F20"/>
          <w:spacing w:val="-9"/>
          <w:w w:val="105"/>
        </w:rPr>
        <w:t> </w:t>
      </w:r>
      <w:r>
        <w:rPr>
          <w:color w:val="231F20"/>
          <w:w w:val="105"/>
        </w:rPr>
        <w:t>y</w:t>
      </w:r>
      <w:r>
        <w:rPr>
          <w:color w:val="231F20"/>
          <w:spacing w:val="-9"/>
          <w:w w:val="105"/>
        </w:rPr>
        <w:t> </w:t>
      </w:r>
      <w:r>
        <w:rPr>
          <w:color w:val="231F20"/>
          <w:w w:val="105"/>
        </w:rPr>
        <w:t>preferencias,</w:t>
      </w:r>
      <w:r>
        <w:rPr>
          <w:color w:val="231F20"/>
          <w:spacing w:val="-14"/>
          <w:w w:val="105"/>
        </w:rPr>
        <w:t> </w:t>
      </w:r>
      <w:r>
        <w:rPr>
          <w:color w:val="231F20"/>
          <w:w w:val="105"/>
        </w:rPr>
        <w:t>además</w:t>
      </w:r>
      <w:r>
        <w:rPr>
          <w:color w:val="231F20"/>
          <w:spacing w:val="-9"/>
          <w:w w:val="105"/>
        </w:rPr>
        <w:t> </w:t>
      </w:r>
      <w:r>
        <w:rPr>
          <w:color w:val="231F20"/>
          <w:w w:val="105"/>
        </w:rPr>
        <w:t>de</w:t>
      </w:r>
      <w:r>
        <w:rPr>
          <w:color w:val="231F20"/>
          <w:spacing w:val="-9"/>
          <w:w w:val="105"/>
        </w:rPr>
        <w:t> </w:t>
      </w:r>
      <w:r>
        <w:rPr>
          <w:color w:val="231F20"/>
          <w:w w:val="105"/>
        </w:rPr>
        <w:t>proveer oportunidades y beneficios para todos. </w:t>
      </w:r>
      <w:r>
        <w:rPr>
          <w:color w:val="231F20"/>
          <w:spacing w:val="-6"/>
          <w:w w:val="105"/>
        </w:rPr>
        <w:t>Por </w:t>
      </w:r>
      <w:r>
        <w:rPr>
          <w:color w:val="231F20"/>
          <w:w w:val="105"/>
        </w:rPr>
        <w:t>ejemplo, en las universida- des</w:t>
      </w:r>
      <w:r>
        <w:rPr>
          <w:color w:val="231F20"/>
          <w:spacing w:val="-13"/>
          <w:w w:val="105"/>
        </w:rPr>
        <w:t> </w:t>
      </w:r>
      <w:r>
        <w:rPr>
          <w:color w:val="231F20"/>
          <w:w w:val="105"/>
        </w:rPr>
        <w:t>la</w:t>
      </w:r>
      <w:r>
        <w:rPr>
          <w:color w:val="231F20"/>
          <w:spacing w:val="-13"/>
          <w:w w:val="105"/>
        </w:rPr>
        <w:t> </w:t>
      </w:r>
      <w:r>
        <w:rPr>
          <w:color w:val="231F20"/>
          <w:w w:val="105"/>
        </w:rPr>
        <w:t>equidad</w:t>
      </w:r>
      <w:r>
        <w:rPr>
          <w:color w:val="231F20"/>
          <w:spacing w:val="-13"/>
          <w:w w:val="105"/>
        </w:rPr>
        <w:t> </w:t>
      </w:r>
      <w:r>
        <w:rPr>
          <w:color w:val="231F20"/>
          <w:w w:val="105"/>
        </w:rPr>
        <w:t>y</w:t>
      </w:r>
      <w:r>
        <w:rPr>
          <w:color w:val="231F20"/>
          <w:spacing w:val="-13"/>
          <w:w w:val="105"/>
        </w:rPr>
        <w:t> </w:t>
      </w:r>
      <w:r>
        <w:rPr>
          <w:color w:val="231F20"/>
          <w:w w:val="105"/>
        </w:rPr>
        <w:t>diversidad</w:t>
      </w:r>
      <w:r>
        <w:rPr>
          <w:color w:val="231F20"/>
          <w:spacing w:val="-13"/>
          <w:w w:val="105"/>
        </w:rPr>
        <w:t> </w:t>
      </w:r>
      <w:r>
        <w:rPr>
          <w:color w:val="231F20"/>
          <w:w w:val="105"/>
        </w:rPr>
        <w:t>implica</w:t>
      </w:r>
      <w:r>
        <w:rPr>
          <w:color w:val="231F20"/>
          <w:spacing w:val="-13"/>
          <w:w w:val="105"/>
        </w:rPr>
        <w:t> </w:t>
      </w:r>
      <w:r>
        <w:rPr>
          <w:color w:val="231F20"/>
          <w:w w:val="105"/>
        </w:rPr>
        <w:t>un</w:t>
      </w:r>
      <w:r>
        <w:rPr>
          <w:color w:val="231F20"/>
          <w:spacing w:val="-13"/>
          <w:w w:val="105"/>
        </w:rPr>
        <w:t> </w:t>
      </w:r>
      <w:r>
        <w:rPr>
          <w:color w:val="231F20"/>
          <w:w w:val="105"/>
        </w:rPr>
        <w:t>compromiso</w:t>
      </w:r>
      <w:r>
        <w:rPr>
          <w:color w:val="231F20"/>
          <w:spacing w:val="-13"/>
          <w:w w:val="105"/>
        </w:rPr>
        <w:t> </w:t>
      </w:r>
      <w:r>
        <w:rPr>
          <w:color w:val="231F20"/>
          <w:w w:val="105"/>
        </w:rPr>
        <w:t>con</w:t>
      </w:r>
      <w:r>
        <w:rPr>
          <w:color w:val="231F20"/>
          <w:spacing w:val="-13"/>
          <w:w w:val="105"/>
        </w:rPr>
        <w:t> </w:t>
      </w:r>
      <w:r>
        <w:rPr>
          <w:color w:val="231F20"/>
          <w:w w:val="105"/>
        </w:rPr>
        <w:t>los</w:t>
      </w:r>
      <w:r>
        <w:rPr>
          <w:color w:val="231F20"/>
          <w:spacing w:val="-13"/>
          <w:w w:val="105"/>
        </w:rPr>
        <w:t> </w:t>
      </w:r>
      <w:r>
        <w:rPr>
          <w:color w:val="231F20"/>
          <w:w w:val="105"/>
        </w:rPr>
        <w:t>principios</w:t>
      </w:r>
      <w:r>
        <w:rPr>
          <w:color w:val="231F20"/>
          <w:spacing w:val="-13"/>
          <w:w w:val="105"/>
        </w:rPr>
        <w:t> </w:t>
      </w:r>
      <w:r>
        <w:rPr>
          <w:color w:val="231F20"/>
          <w:w w:val="105"/>
        </w:rPr>
        <w:t>de justicia</w:t>
      </w:r>
      <w:r>
        <w:rPr>
          <w:color w:val="231F20"/>
          <w:spacing w:val="-17"/>
          <w:w w:val="105"/>
        </w:rPr>
        <w:t> </w:t>
      </w:r>
      <w:r>
        <w:rPr>
          <w:color w:val="231F20"/>
          <w:w w:val="105"/>
        </w:rPr>
        <w:t>social,</w:t>
      </w:r>
      <w:r>
        <w:rPr>
          <w:color w:val="231F20"/>
          <w:spacing w:val="-22"/>
          <w:w w:val="105"/>
        </w:rPr>
        <w:t> </w:t>
      </w:r>
      <w:r>
        <w:rPr>
          <w:color w:val="231F20"/>
          <w:w w:val="105"/>
        </w:rPr>
        <w:t>igualdad</w:t>
      </w:r>
      <w:r>
        <w:rPr>
          <w:color w:val="231F20"/>
          <w:spacing w:val="-17"/>
          <w:w w:val="105"/>
        </w:rPr>
        <w:t> </w:t>
      </w:r>
      <w:r>
        <w:rPr>
          <w:color w:val="231F20"/>
          <w:w w:val="105"/>
        </w:rPr>
        <w:t>de</w:t>
      </w:r>
      <w:r>
        <w:rPr>
          <w:color w:val="231F20"/>
          <w:spacing w:val="-17"/>
          <w:w w:val="105"/>
        </w:rPr>
        <w:t> </w:t>
      </w:r>
      <w:r>
        <w:rPr>
          <w:color w:val="231F20"/>
          <w:w w:val="105"/>
        </w:rPr>
        <w:t>oportunidades</w:t>
      </w:r>
      <w:r>
        <w:rPr>
          <w:color w:val="231F20"/>
          <w:spacing w:val="-17"/>
          <w:w w:val="105"/>
        </w:rPr>
        <w:t> </w:t>
      </w:r>
      <w:r>
        <w:rPr>
          <w:color w:val="231F20"/>
          <w:w w:val="105"/>
        </w:rPr>
        <w:t>y</w:t>
      </w:r>
      <w:r>
        <w:rPr>
          <w:color w:val="231F20"/>
          <w:spacing w:val="-17"/>
          <w:w w:val="105"/>
        </w:rPr>
        <w:t> </w:t>
      </w:r>
      <w:r>
        <w:rPr>
          <w:color w:val="231F20"/>
          <w:w w:val="105"/>
        </w:rPr>
        <w:t>diversidad</w:t>
      </w:r>
      <w:r>
        <w:rPr>
          <w:color w:val="231F20"/>
          <w:spacing w:val="-17"/>
          <w:w w:val="105"/>
        </w:rPr>
        <w:t> </w:t>
      </w:r>
      <w:r>
        <w:rPr>
          <w:color w:val="231F20"/>
          <w:w w:val="105"/>
        </w:rPr>
        <w:t>cultural.</w:t>
      </w:r>
      <w:r>
        <w:rPr>
          <w:color w:val="231F20"/>
          <w:spacing w:val="-22"/>
          <w:w w:val="105"/>
        </w:rPr>
        <w:t> </w:t>
      </w:r>
      <w:r>
        <w:rPr>
          <w:color w:val="231F20"/>
          <w:w w:val="105"/>
        </w:rPr>
        <w:t>Se</w:t>
      </w:r>
      <w:r>
        <w:rPr>
          <w:color w:val="231F20"/>
          <w:spacing w:val="-17"/>
          <w:w w:val="105"/>
        </w:rPr>
        <w:t> </w:t>
      </w:r>
      <w:r>
        <w:rPr>
          <w:color w:val="231F20"/>
          <w:w w:val="105"/>
        </w:rPr>
        <w:t>busca introducir</w:t>
      </w:r>
      <w:r>
        <w:rPr>
          <w:color w:val="231F20"/>
          <w:spacing w:val="-24"/>
          <w:w w:val="105"/>
        </w:rPr>
        <w:t> </w:t>
      </w:r>
      <w:r>
        <w:rPr>
          <w:color w:val="231F20"/>
          <w:w w:val="105"/>
        </w:rPr>
        <w:t>estos</w:t>
      </w:r>
      <w:r>
        <w:rPr>
          <w:color w:val="231F20"/>
          <w:spacing w:val="-24"/>
          <w:w w:val="105"/>
        </w:rPr>
        <w:t> </w:t>
      </w:r>
      <w:r>
        <w:rPr>
          <w:color w:val="231F20"/>
          <w:w w:val="105"/>
        </w:rPr>
        <w:t>valores</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conductas</w:t>
      </w:r>
      <w:r>
        <w:rPr>
          <w:color w:val="231F20"/>
          <w:spacing w:val="-24"/>
          <w:w w:val="105"/>
        </w:rPr>
        <w:t> </w:t>
      </w:r>
      <w:r>
        <w:rPr>
          <w:color w:val="231F20"/>
          <w:w w:val="105"/>
        </w:rPr>
        <w:t>y</w:t>
      </w:r>
      <w:r>
        <w:rPr>
          <w:color w:val="231F20"/>
          <w:spacing w:val="-24"/>
          <w:w w:val="105"/>
        </w:rPr>
        <w:t> </w:t>
      </w:r>
      <w:r>
        <w:rPr>
          <w:color w:val="231F20"/>
          <w:w w:val="105"/>
        </w:rPr>
        <w:t>actividades</w:t>
      </w:r>
      <w:r>
        <w:rPr>
          <w:color w:val="231F20"/>
          <w:spacing w:val="-24"/>
          <w:w w:val="105"/>
        </w:rPr>
        <w:t> </w:t>
      </w:r>
      <w:r>
        <w:rPr>
          <w:color w:val="231F20"/>
          <w:w w:val="105"/>
        </w:rPr>
        <w:t>de</w:t>
      </w:r>
      <w:r>
        <w:rPr>
          <w:color w:val="231F20"/>
          <w:spacing w:val="-24"/>
          <w:w w:val="105"/>
        </w:rPr>
        <w:t> </w:t>
      </w:r>
      <w:r>
        <w:rPr>
          <w:color w:val="231F20"/>
          <w:w w:val="105"/>
        </w:rPr>
        <w:t>todos,</w:t>
      </w:r>
      <w:r>
        <w:rPr>
          <w:color w:val="231F20"/>
          <w:spacing w:val="-29"/>
          <w:w w:val="105"/>
        </w:rPr>
        <w:t> </w:t>
      </w:r>
      <w:r>
        <w:rPr>
          <w:color w:val="231F20"/>
          <w:w w:val="105"/>
        </w:rPr>
        <w:t>es</w:t>
      </w:r>
      <w:r>
        <w:rPr>
          <w:color w:val="231F20"/>
          <w:spacing w:val="-24"/>
          <w:w w:val="105"/>
        </w:rPr>
        <w:t> </w:t>
      </w:r>
      <w:r>
        <w:rPr>
          <w:color w:val="231F20"/>
          <w:w w:val="105"/>
        </w:rPr>
        <w:t>decir, en la gestión</w:t>
      </w:r>
      <w:r>
        <w:rPr>
          <w:color w:val="231F20"/>
          <w:spacing w:val="-43"/>
          <w:w w:val="105"/>
        </w:rPr>
        <w:t> </w:t>
      </w:r>
      <w:r>
        <w:rPr>
          <w:color w:val="231F20"/>
          <w:w w:val="105"/>
        </w:rPr>
        <w:t>institucional.</w:t>
      </w:r>
    </w:p>
    <w:p>
      <w:pPr>
        <w:pStyle w:val="BodyText"/>
        <w:spacing w:line="259" w:lineRule="auto"/>
        <w:ind w:left="117" w:right="121" w:firstLine="567"/>
        <w:jc w:val="both"/>
      </w:pPr>
      <w:r>
        <w:rPr>
          <w:color w:val="231F20"/>
          <w:w w:val="105"/>
        </w:rPr>
        <w:t>La vinculación se construye cuando la comunidad promueve</w:t>
      </w:r>
      <w:r>
        <w:rPr>
          <w:color w:val="231F20"/>
          <w:spacing w:val="-18"/>
          <w:w w:val="105"/>
        </w:rPr>
        <w:t> </w:t>
      </w:r>
      <w:r>
        <w:rPr>
          <w:color w:val="231F20"/>
          <w:w w:val="105"/>
        </w:rPr>
        <w:t>pro- cesos,</w:t>
      </w:r>
      <w:r>
        <w:rPr>
          <w:color w:val="231F20"/>
          <w:spacing w:val="-21"/>
          <w:w w:val="105"/>
        </w:rPr>
        <w:t> </w:t>
      </w:r>
      <w:r>
        <w:rPr>
          <w:color w:val="231F20"/>
          <w:w w:val="105"/>
        </w:rPr>
        <w:t>sistemas</w:t>
      </w:r>
      <w:r>
        <w:rPr>
          <w:color w:val="231F20"/>
          <w:spacing w:val="-17"/>
          <w:w w:val="105"/>
        </w:rPr>
        <w:t> </w:t>
      </w:r>
      <w:r>
        <w:rPr>
          <w:color w:val="231F20"/>
          <w:w w:val="105"/>
        </w:rPr>
        <w:t>y</w:t>
      </w:r>
      <w:r>
        <w:rPr>
          <w:color w:val="231F20"/>
          <w:spacing w:val="-17"/>
          <w:w w:val="105"/>
        </w:rPr>
        <w:t> </w:t>
      </w:r>
      <w:r>
        <w:rPr>
          <w:color w:val="231F20"/>
          <w:w w:val="105"/>
        </w:rPr>
        <w:t>estructuras</w:t>
      </w:r>
      <w:r>
        <w:rPr>
          <w:color w:val="231F20"/>
          <w:spacing w:val="-17"/>
          <w:w w:val="105"/>
        </w:rPr>
        <w:t> </w:t>
      </w:r>
      <w:r>
        <w:rPr>
          <w:color w:val="231F20"/>
          <w:w w:val="105"/>
        </w:rPr>
        <w:t>que</w:t>
      </w:r>
      <w:r>
        <w:rPr>
          <w:color w:val="231F20"/>
          <w:spacing w:val="-17"/>
          <w:w w:val="105"/>
        </w:rPr>
        <w:t> </w:t>
      </w:r>
      <w:r>
        <w:rPr>
          <w:color w:val="231F20"/>
          <w:w w:val="105"/>
        </w:rPr>
        <w:t>favorecen</w:t>
      </w:r>
      <w:r>
        <w:rPr>
          <w:color w:val="231F20"/>
          <w:spacing w:val="-17"/>
          <w:w w:val="105"/>
        </w:rPr>
        <w:t> </w:t>
      </w:r>
      <w:r>
        <w:rPr>
          <w:color w:val="231F20"/>
          <w:w w:val="105"/>
        </w:rPr>
        <w:t>su</w:t>
      </w:r>
      <w:r>
        <w:rPr>
          <w:color w:val="231F20"/>
          <w:spacing w:val="-17"/>
          <w:w w:val="105"/>
        </w:rPr>
        <w:t> </w:t>
      </w:r>
      <w:r>
        <w:rPr>
          <w:color w:val="231F20"/>
          <w:w w:val="105"/>
        </w:rPr>
        <w:t>conexión</w:t>
      </w:r>
      <w:r>
        <w:rPr>
          <w:color w:val="231F20"/>
          <w:spacing w:val="-17"/>
          <w:w w:val="105"/>
        </w:rPr>
        <w:t> </w:t>
      </w:r>
      <w:r>
        <w:rPr>
          <w:color w:val="231F20"/>
          <w:w w:val="105"/>
        </w:rPr>
        <w:t>(formal</w:t>
      </w:r>
      <w:r>
        <w:rPr>
          <w:color w:val="231F20"/>
          <w:spacing w:val="-17"/>
          <w:w w:val="105"/>
        </w:rPr>
        <w:t> </w:t>
      </w:r>
      <w:r>
        <w:rPr>
          <w:color w:val="231F20"/>
          <w:w w:val="105"/>
        </w:rPr>
        <w:t>o</w:t>
      </w:r>
      <w:r>
        <w:rPr>
          <w:color w:val="231F20"/>
          <w:spacing w:val="-17"/>
          <w:w w:val="105"/>
        </w:rPr>
        <w:t> </w:t>
      </w:r>
      <w:r>
        <w:rPr>
          <w:color w:val="231F20"/>
          <w:w w:val="105"/>
        </w:rPr>
        <w:t>infor- mal) hacia adentro y hacia afuera. </w:t>
      </w:r>
      <w:r>
        <w:rPr>
          <w:color w:val="231F20"/>
          <w:spacing w:val="-6"/>
          <w:w w:val="105"/>
        </w:rPr>
        <w:t>Por </w:t>
      </w:r>
      <w:r>
        <w:rPr>
          <w:color w:val="231F20"/>
          <w:w w:val="105"/>
        </w:rPr>
        <w:t>ejemplo, en las universidades la vinculación</w:t>
      </w:r>
      <w:r>
        <w:rPr>
          <w:color w:val="231F20"/>
          <w:spacing w:val="-9"/>
          <w:w w:val="105"/>
        </w:rPr>
        <w:t> </w:t>
      </w:r>
      <w:r>
        <w:rPr>
          <w:color w:val="231F20"/>
          <w:w w:val="105"/>
        </w:rPr>
        <w:t>es</w:t>
      </w:r>
      <w:r>
        <w:rPr>
          <w:color w:val="231F20"/>
          <w:spacing w:val="-9"/>
          <w:w w:val="105"/>
        </w:rPr>
        <w:t> </w:t>
      </w:r>
      <w:r>
        <w:rPr>
          <w:color w:val="231F20"/>
          <w:w w:val="105"/>
        </w:rPr>
        <w:t>un</w:t>
      </w:r>
      <w:r>
        <w:rPr>
          <w:color w:val="231F20"/>
          <w:spacing w:val="-9"/>
          <w:w w:val="105"/>
        </w:rPr>
        <w:t> </w:t>
      </w:r>
      <w:r>
        <w:rPr>
          <w:color w:val="231F20"/>
          <w:w w:val="105"/>
        </w:rPr>
        <w:t>proceso</w:t>
      </w:r>
      <w:r>
        <w:rPr>
          <w:color w:val="231F20"/>
          <w:spacing w:val="-9"/>
          <w:w w:val="105"/>
        </w:rPr>
        <w:t> </w:t>
      </w:r>
      <w:r>
        <w:rPr>
          <w:color w:val="231F20"/>
          <w:w w:val="105"/>
        </w:rPr>
        <w:t>integral</w:t>
      </w:r>
      <w:r>
        <w:rPr>
          <w:color w:val="231F20"/>
          <w:spacing w:val="-9"/>
          <w:w w:val="105"/>
        </w:rPr>
        <w:t> </w:t>
      </w:r>
      <w:r>
        <w:rPr>
          <w:color w:val="231F20"/>
          <w:w w:val="105"/>
        </w:rPr>
        <w:t>que</w:t>
      </w:r>
      <w:r>
        <w:rPr>
          <w:color w:val="231F20"/>
          <w:spacing w:val="-9"/>
          <w:w w:val="105"/>
        </w:rPr>
        <w:t> </w:t>
      </w:r>
      <w:r>
        <w:rPr>
          <w:color w:val="231F20"/>
          <w:w w:val="105"/>
        </w:rPr>
        <w:t>articula</w:t>
      </w:r>
      <w:r>
        <w:rPr>
          <w:color w:val="231F20"/>
          <w:spacing w:val="-9"/>
          <w:w w:val="105"/>
        </w:rPr>
        <w:t> </w:t>
      </w:r>
      <w:r>
        <w:rPr>
          <w:color w:val="231F20"/>
          <w:w w:val="105"/>
        </w:rPr>
        <w:t>la</w:t>
      </w:r>
      <w:r>
        <w:rPr>
          <w:color w:val="231F20"/>
          <w:spacing w:val="-9"/>
          <w:w w:val="105"/>
        </w:rPr>
        <w:t> </w:t>
      </w:r>
      <w:r>
        <w:rPr>
          <w:color w:val="231F20"/>
          <w:w w:val="105"/>
        </w:rPr>
        <w:t>docencia,</w:t>
      </w:r>
      <w:r>
        <w:rPr>
          <w:color w:val="231F20"/>
          <w:spacing w:val="-14"/>
          <w:w w:val="105"/>
        </w:rPr>
        <w:t> </w:t>
      </w:r>
      <w:r>
        <w:rPr>
          <w:color w:val="231F20"/>
          <w:w w:val="105"/>
        </w:rPr>
        <w:t>la</w:t>
      </w:r>
      <w:r>
        <w:rPr>
          <w:color w:val="231F20"/>
          <w:spacing w:val="-9"/>
          <w:w w:val="105"/>
        </w:rPr>
        <w:t> </w:t>
      </w:r>
      <w:r>
        <w:rPr>
          <w:color w:val="231F20"/>
          <w:w w:val="105"/>
        </w:rPr>
        <w:t>investiga- ción y la extensión de la cultura y conocimientos generados en la insti- tución.</w:t>
      </w:r>
      <w:r>
        <w:rPr>
          <w:color w:val="231F20"/>
          <w:spacing w:val="-11"/>
          <w:w w:val="105"/>
        </w:rPr>
        <w:t> </w:t>
      </w:r>
      <w:r>
        <w:rPr>
          <w:color w:val="231F20"/>
          <w:w w:val="105"/>
        </w:rPr>
        <w:t>La</w:t>
      </w:r>
      <w:r>
        <w:rPr>
          <w:color w:val="231F20"/>
          <w:spacing w:val="-6"/>
          <w:w w:val="105"/>
        </w:rPr>
        <w:t> </w:t>
      </w:r>
      <w:r>
        <w:rPr>
          <w:color w:val="231F20"/>
          <w:w w:val="105"/>
        </w:rPr>
        <w:t>vinculación</w:t>
      </w:r>
      <w:r>
        <w:rPr>
          <w:color w:val="231F20"/>
          <w:spacing w:val="-6"/>
          <w:w w:val="105"/>
        </w:rPr>
        <w:t> </w:t>
      </w:r>
      <w:r>
        <w:rPr>
          <w:color w:val="231F20"/>
          <w:w w:val="105"/>
        </w:rPr>
        <w:t>busca</w:t>
      </w:r>
      <w:r>
        <w:rPr>
          <w:color w:val="231F20"/>
          <w:spacing w:val="-6"/>
          <w:w w:val="105"/>
        </w:rPr>
        <w:t> </w:t>
      </w:r>
      <w:r>
        <w:rPr>
          <w:color w:val="231F20"/>
          <w:w w:val="105"/>
        </w:rPr>
        <w:t>una</w:t>
      </w:r>
      <w:r>
        <w:rPr>
          <w:color w:val="231F20"/>
          <w:spacing w:val="-6"/>
          <w:w w:val="105"/>
        </w:rPr>
        <w:t> </w:t>
      </w:r>
      <w:r>
        <w:rPr>
          <w:color w:val="231F20"/>
          <w:w w:val="105"/>
        </w:rPr>
        <w:t>interacción</w:t>
      </w:r>
      <w:r>
        <w:rPr>
          <w:color w:val="231F20"/>
          <w:spacing w:val="-6"/>
          <w:w w:val="105"/>
        </w:rPr>
        <w:t> </w:t>
      </w:r>
      <w:r>
        <w:rPr>
          <w:color w:val="231F20"/>
          <w:w w:val="105"/>
        </w:rPr>
        <w:t>eficaz</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entorno,</w:t>
      </w:r>
      <w:r>
        <w:rPr>
          <w:color w:val="231F20"/>
          <w:spacing w:val="-11"/>
          <w:w w:val="105"/>
        </w:rPr>
        <w:t> </w:t>
      </w:r>
      <w:r>
        <w:rPr>
          <w:color w:val="231F20"/>
          <w:w w:val="105"/>
        </w:rPr>
        <w:t>para desarrollar</w:t>
      </w:r>
      <w:r>
        <w:rPr>
          <w:color w:val="231F20"/>
          <w:spacing w:val="-11"/>
          <w:w w:val="105"/>
        </w:rPr>
        <w:t> </w:t>
      </w:r>
      <w:r>
        <w:rPr>
          <w:color w:val="231F20"/>
          <w:w w:val="105"/>
        </w:rPr>
        <w:t>acciones</w:t>
      </w:r>
      <w:r>
        <w:rPr>
          <w:color w:val="231F20"/>
          <w:spacing w:val="-11"/>
          <w:w w:val="105"/>
        </w:rPr>
        <w:t> </w:t>
      </w:r>
      <w:r>
        <w:rPr>
          <w:color w:val="231F20"/>
          <w:w w:val="105"/>
        </w:rPr>
        <w:t>y</w:t>
      </w:r>
      <w:r>
        <w:rPr>
          <w:color w:val="231F20"/>
          <w:spacing w:val="-11"/>
          <w:w w:val="105"/>
        </w:rPr>
        <w:t> </w:t>
      </w:r>
      <w:r>
        <w:rPr>
          <w:color w:val="231F20"/>
          <w:w w:val="105"/>
        </w:rPr>
        <w:t>proyectos</w:t>
      </w:r>
      <w:r>
        <w:rPr>
          <w:color w:val="231F20"/>
          <w:spacing w:val="-11"/>
          <w:w w:val="105"/>
        </w:rPr>
        <w:t> </w:t>
      </w:r>
      <w:r>
        <w:rPr>
          <w:color w:val="231F20"/>
          <w:w w:val="105"/>
        </w:rPr>
        <w:t>de</w:t>
      </w:r>
      <w:r>
        <w:rPr>
          <w:color w:val="231F20"/>
          <w:spacing w:val="-11"/>
          <w:w w:val="105"/>
        </w:rPr>
        <w:t> </w:t>
      </w:r>
      <w:r>
        <w:rPr>
          <w:color w:val="231F20"/>
          <w:w w:val="105"/>
        </w:rPr>
        <w:t>beneficio</w:t>
      </w:r>
      <w:r>
        <w:rPr>
          <w:color w:val="231F20"/>
          <w:spacing w:val="-11"/>
          <w:w w:val="105"/>
        </w:rPr>
        <w:t> </w:t>
      </w:r>
      <w:r>
        <w:rPr>
          <w:color w:val="231F20"/>
          <w:w w:val="105"/>
        </w:rPr>
        <w:t>mutuo,</w:t>
      </w:r>
      <w:r>
        <w:rPr>
          <w:color w:val="231F20"/>
          <w:spacing w:val="-17"/>
          <w:w w:val="105"/>
        </w:rPr>
        <w:t> </w:t>
      </w:r>
      <w:r>
        <w:rPr>
          <w:color w:val="231F20"/>
          <w:w w:val="105"/>
        </w:rPr>
        <w:t>que</w:t>
      </w:r>
      <w:r>
        <w:rPr>
          <w:color w:val="231F20"/>
          <w:spacing w:val="-11"/>
          <w:w w:val="105"/>
        </w:rPr>
        <w:t> </w:t>
      </w:r>
      <w:r>
        <w:rPr>
          <w:color w:val="231F20"/>
          <w:w w:val="105"/>
        </w:rPr>
        <w:t>contribuyan</w:t>
      </w:r>
      <w:r>
        <w:rPr>
          <w:color w:val="231F20"/>
          <w:spacing w:val="-11"/>
          <w:w w:val="105"/>
        </w:rPr>
        <w:t> </w:t>
      </w:r>
      <w:r>
        <w:rPr>
          <w:color w:val="231F20"/>
          <w:w w:val="105"/>
        </w:rPr>
        <w:t>al reconocimiento</w:t>
      </w:r>
      <w:r>
        <w:rPr>
          <w:color w:val="231F20"/>
          <w:spacing w:val="-16"/>
          <w:w w:val="105"/>
        </w:rPr>
        <w:t> </w:t>
      </w:r>
      <w:r>
        <w:rPr>
          <w:color w:val="231F20"/>
          <w:w w:val="105"/>
        </w:rPr>
        <w:t>social</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instituciones</w:t>
      </w:r>
      <w:r>
        <w:rPr>
          <w:color w:val="231F20"/>
          <w:spacing w:val="-16"/>
          <w:w w:val="105"/>
        </w:rPr>
        <w:t> </w:t>
      </w:r>
      <w:r>
        <w:rPr>
          <w:color w:val="231F20"/>
          <w:w w:val="105"/>
        </w:rPr>
        <w:t>de</w:t>
      </w:r>
      <w:r>
        <w:rPr>
          <w:color w:val="231F20"/>
          <w:spacing w:val="-16"/>
          <w:w w:val="105"/>
        </w:rPr>
        <w:t> </w:t>
      </w:r>
      <w:r>
        <w:rPr>
          <w:color w:val="231F20"/>
          <w:w w:val="105"/>
        </w:rPr>
        <w:t>educación</w:t>
      </w:r>
      <w:r>
        <w:rPr>
          <w:color w:val="231F20"/>
          <w:spacing w:val="-16"/>
          <w:w w:val="105"/>
        </w:rPr>
        <w:t> </w:t>
      </w:r>
      <w:r>
        <w:rPr>
          <w:color w:val="231F20"/>
          <w:w w:val="105"/>
        </w:rPr>
        <w:t>superior.</w:t>
      </w:r>
    </w:p>
    <w:p>
      <w:pPr>
        <w:pStyle w:val="BodyText"/>
        <w:spacing w:line="259" w:lineRule="auto"/>
        <w:ind w:left="117" w:right="121" w:firstLine="567"/>
        <w:jc w:val="both"/>
      </w:pPr>
      <w:r>
        <w:rPr>
          <w:color w:val="231F20"/>
          <w:w w:val="105"/>
        </w:rPr>
        <w:t>La</w:t>
      </w:r>
      <w:r>
        <w:rPr>
          <w:color w:val="231F20"/>
          <w:spacing w:val="-14"/>
          <w:w w:val="105"/>
        </w:rPr>
        <w:t> </w:t>
      </w:r>
      <w:r>
        <w:rPr>
          <w:color w:val="231F20"/>
          <w:w w:val="105"/>
        </w:rPr>
        <w:t>calidad</w:t>
      </w:r>
      <w:r>
        <w:rPr>
          <w:color w:val="231F20"/>
          <w:spacing w:val="-14"/>
          <w:w w:val="105"/>
        </w:rPr>
        <w:t> </w:t>
      </w:r>
      <w:r>
        <w:rPr>
          <w:color w:val="231F20"/>
          <w:w w:val="105"/>
        </w:rPr>
        <w:t>de</w:t>
      </w:r>
      <w:r>
        <w:rPr>
          <w:color w:val="231F20"/>
          <w:spacing w:val="-14"/>
          <w:w w:val="105"/>
        </w:rPr>
        <w:t> </w:t>
      </w:r>
      <w:r>
        <w:rPr>
          <w:color w:val="231F20"/>
          <w:w w:val="105"/>
        </w:rPr>
        <w:t>vida</w:t>
      </w:r>
      <w:r>
        <w:rPr>
          <w:color w:val="231F20"/>
          <w:spacing w:val="-14"/>
          <w:w w:val="105"/>
        </w:rPr>
        <w:t> </w:t>
      </w:r>
      <w:r>
        <w:rPr>
          <w:color w:val="231F20"/>
          <w:w w:val="105"/>
        </w:rPr>
        <w:t>es</w:t>
      </w:r>
      <w:r>
        <w:rPr>
          <w:color w:val="231F20"/>
          <w:spacing w:val="-14"/>
          <w:w w:val="105"/>
        </w:rPr>
        <w:t> </w:t>
      </w:r>
      <w:r>
        <w:rPr>
          <w:color w:val="231F20"/>
          <w:w w:val="105"/>
        </w:rPr>
        <w:t>un</w:t>
      </w:r>
      <w:r>
        <w:rPr>
          <w:color w:val="231F20"/>
          <w:spacing w:val="-14"/>
          <w:w w:val="105"/>
        </w:rPr>
        <w:t> </w:t>
      </w:r>
      <w:r>
        <w:rPr>
          <w:color w:val="231F20"/>
          <w:w w:val="105"/>
        </w:rPr>
        <w:t>estado</w:t>
      </w:r>
      <w:r>
        <w:rPr>
          <w:color w:val="231F20"/>
          <w:spacing w:val="-14"/>
          <w:w w:val="105"/>
        </w:rPr>
        <w:t> </w:t>
      </w:r>
      <w:r>
        <w:rPr>
          <w:color w:val="231F20"/>
          <w:w w:val="105"/>
        </w:rPr>
        <w:t>de</w:t>
      </w:r>
      <w:r>
        <w:rPr>
          <w:color w:val="231F20"/>
          <w:spacing w:val="-14"/>
          <w:w w:val="105"/>
        </w:rPr>
        <w:t> </w:t>
      </w:r>
      <w:r>
        <w:rPr>
          <w:color w:val="231F20"/>
          <w:w w:val="105"/>
        </w:rPr>
        <w:t>satisfacción</w:t>
      </w:r>
      <w:r>
        <w:rPr>
          <w:color w:val="231F20"/>
          <w:spacing w:val="-14"/>
          <w:w w:val="105"/>
        </w:rPr>
        <w:t> </w:t>
      </w:r>
      <w:r>
        <w:rPr>
          <w:color w:val="231F20"/>
          <w:w w:val="105"/>
        </w:rPr>
        <w:t>derivado</w:t>
      </w:r>
      <w:r>
        <w:rPr>
          <w:color w:val="231F20"/>
          <w:spacing w:val="-14"/>
          <w:w w:val="105"/>
        </w:rPr>
        <w:t> </w:t>
      </w:r>
      <w:r>
        <w:rPr>
          <w:color w:val="231F20"/>
          <w:w w:val="105"/>
        </w:rPr>
        <w:t>del</w:t>
      </w:r>
      <w:r>
        <w:rPr>
          <w:color w:val="231F20"/>
          <w:spacing w:val="-14"/>
          <w:w w:val="105"/>
        </w:rPr>
        <w:t> </w:t>
      </w:r>
      <w:r>
        <w:rPr>
          <w:color w:val="231F20"/>
          <w:w w:val="105"/>
        </w:rPr>
        <w:t>desa- rrollo de las potencialidades de la persona, lo que provoca una sensa- ción</w:t>
      </w:r>
      <w:r>
        <w:rPr>
          <w:color w:val="231F20"/>
          <w:spacing w:val="-13"/>
          <w:w w:val="105"/>
        </w:rPr>
        <w:t> </w:t>
      </w:r>
      <w:r>
        <w:rPr>
          <w:color w:val="231F20"/>
          <w:w w:val="105"/>
        </w:rPr>
        <w:t>de</w:t>
      </w:r>
      <w:r>
        <w:rPr>
          <w:color w:val="231F20"/>
          <w:spacing w:val="-13"/>
          <w:w w:val="105"/>
        </w:rPr>
        <w:t> </w:t>
      </w:r>
      <w:r>
        <w:rPr>
          <w:color w:val="231F20"/>
          <w:w w:val="105"/>
        </w:rPr>
        <w:t>bienestar</w:t>
      </w:r>
      <w:r>
        <w:rPr>
          <w:color w:val="231F20"/>
          <w:spacing w:val="-13"/>
          <w:w w:val="105"/>
        </w:rPr>
        <w:t> </w:t>
      </w:r>
      <w:r>
        <w:rPr>
          <w:color w:val="231F20"/>
          <w:w w:val="105"/>
        </w:rPr>
        <w:t>físico,</w:t>
      </w:r>
      <w:r>
        <w:rPr>
          <w:color w:val="231F20"/>
          <w:spacing w:val="-18"/>
          <w:w w:val="105"/>
        </w:rPr>
        <w:t> </w:t>
      </w:r>
      <w:r>
        <w:rPr>
          <w:color w:val="231F20"/>
          <w:w w:val="105"/>
        </w:rPr>
        <w:t>psicológico</w:t>
      </w:r>
      <w:r>
        <w:rPr>
          <w:color w:val="231F20"/>
          <w:spacing w:val="-13"/>
          <w:w w:val="105"/>
        </w:rPr>
        <w:t> </w:t>
      </w:r>
      <w:r>
        <w:rPr>
          <w:color w:val="231F20"/>
          <w:w w:val="105"/>
        </w:rPr>
        <w:t>y</w:t>
      </w:r>
      <w:r>
        <w:rPr>
          <w:color w:val="231F20"/>
          <w:spacing w:val="-13"/>
          <w:w w:val="105"/>
        </w:rPr>
        <w:t> </w:t>
      </w:r>
      <w:r>
        <w:rPr>
          <w:color w:val="231F20"/>
          <w:w w:val="105"/>
        </w:rPr>
        <w:t>social.</w:t>
      </w:r>
      <w:r>
        <w:rPr>
          <w:color w:val="231F20"/>
          <w:spacing w:val="-18"/>
          <w:w w:val="105"/>
        </w:rPr>
        <w:t> </w:t>
      </w:r>
      <w:r>
        <w:rPr>
          <w:color w:val="231F20"/>
          <w:w w:val="105"/>
        </w:rPr>
        <w:t>La</w:t>
      </w:r>
      <w:r>
        <w:rPr>
          <w:color w:val="231F20"/>
          <w:spacing w:val="-13"/>
          <w:w w:val="105"/>
        </w:rPr>
        <w:t> </w:t>
      </w:r>
      <w:r>
        <w:rPr>
          <w:color w:val="231F20"/>
          <w:w w:val="105"/>
        </w:rPr>
        <w:t>calidad</w:t>
      </w:r>
      <w:r>
        <w:rPr>
          <w:color w:val="231F20"/>
          <w:spacing w:val="-13"/>
          <w:w w:val="105"/>
        </w:rPr>
        <w:t> </w:t>
      </w:r>
      <w:r>
        <w:rPr>
          <w:color w:val="231F20"/>
          <w:w w:val="105"/>
        </w:rPr>
        <w:t>de</w:t>
      </w:r>
      <w:r>
        <w:rPr>
          <w:color w:val="231F20"/>
          <w:spacing w:val="-13"/>
          <w:w w:val="105"/>
        </w:rPr>
        <w:t> </w:t>
      </w:r>
      <w:r>
        <w:rPr>
          <w:color w:val="231F20"/>
          <w:w w:val="105"/>
        </w:rPr>
        <w:t>vida</w:t>
      </w:r>
      <w:r>
        <w:rPr>
          <w:color w:val="231F20"/>
          <w:spacing w:val="-13"/>
          <w:w w:val="105"/>
        </w:rPr>
        <w:t> </w:t>
      </w:r>
      <w:r>
        <w:rPr>
          <w:color w:val="231F20"/>
          <w:w w:val="105"/>
        </w:rPr>
        <w:t>se</w:t>
      </w:r>
      <w:r>
        <w:rPr>
          <w:color w:val="231F20"/>
          <w:spacing w:val="-13"/>
          <w:w w:val="105"/>
        </w:rPr>
        <w:t> </w:t>
      </w:r>
      <w:r>
        <w:rPr>
          <w:color w:val="231F20"/>
          <w:w w:val="105"/>
        </w:rPr>
        <w:t>mani- fiesta</w:t>
      </w:r>
      <w:r>
        <w:rPr>
          <w:color w:val="231F20"/>
          <w:spacing w:val="-22"/>
          <w:w w:val="105"/>
        </w:rPr>
        <w:t> </w:t>
      </w:r>
      <w:r>
        <w:rPr>
          <w:color w:val="231F20"/>
          <w:w w:val="105"/>
        </w:rPr>
        <w:t>en</w:t>
      </w:r>
      <w:r>
        <w:rPr>
          <w:color w:val="231F20"/>
          <w:spacing w:val="-22"/>
          <w:w w:val="105"/>
        </w:rPr>
        <w:t> </w:t>
      </w:r>
      <w:r>
        <w:rPr>
          <w:color w:val="231F20"/>
          <w:w w:val="105"/>
        </w:rPr>
        <w:t>aspectos</w:t>
      </w:r>
      <w:r>
        <w:rPr>
          <w:color w:val="231F20"/>
          <w:spacing w:val="-22"/>
          <w:w w:val="105"/>
        </w:rPr>
        <w:t> </w:t>
      </w:r>
      <w:r>
        <w:rPr>
          <w:color w:val="231F20"/>
          <w:w w:val="105"/>
        </w:rPr>
        <w:t>subjetivos</w:t>
      </w:r>
      <w:r>
        <w:rPr>
          <w:color w:val="231F20"/>
          <w:spacing w:val="-22"/>
          <w:w w:val="105"/>
        </w:rPr>
        <w:t> </w:t>
      </w:r>
      <w:r>
        <w:rPr>
          <w:color w:val="231F20"/>
          <w:w w:val="105"/>
        </w:rPr>
        <w:t>(intimidad,</w:t>
      </w:r>
      <w:r>
        <w:rPr>
          <w:color w:val="231F20"/>
          <w:spacing w:val="-26"/>
          <w:w w:val="105"/>
        </w:rPr>
        <w:t> </w:t>
      </w:r>
      <w:r>
        <w:rPr>
          <w:color w:val="231F20"/>
          <w:w w:val="105"/>
        </w:rPr>
        <w:t>expresión</w:t>
      </w:r>
      <w:r>
        <w:rPr>
          <w:color w:val="231F20"/>
          <w:spacing w:val="-22"/>
          <w:w w:val="105"/>
        </w:rPr>
        <w:t> </w:t>
      </w:r>
      <w:r>
        <w:rPr>
          <w:color w:val="231F20"/>
          <w:w w:val="105"/>
        </w:rPr>
        <w:t>emocional,</w:t>
      </w:r>
      <w:r>
        <w:rPr>
          <w:color w:val="231F20"/>
          <w:spacing w:val="-26"/>
          <w:w w:val="105"/>
        </w:rPr>
        <w:t> </w:t>
      </w:r>
      <w:r>
        <w:rPr>
          <w:color w:val="231F20"/>
          <w:w w:val="105"/>
        </w:rPr>
        <w:t>seguridad percibida, productividad personal y sentirse sano aunque no lo esté); y aspectos</w:t>
      </w:r>
      <w:r>
        <w:rPr>
          <w:color w:val="231F20"/>
          <w:spacing w:val="-11"/>
          <w:w w:val="105"/>
        </w:rPr>
        <w:t> </w:t>
      </w:r>
      <w:r>
        <w:rPr>
          <w:color w:val="231F20"/>
          <w:w w:val="105"/>
        </w:rPr>
        <w:t>objetivos</w:t>
      </w:r>
      <w:r>
        <w:rPr>
          <w:color w:val="231F20"/>
          <w:spacing w:val="-11"/>
          <w:w w:val="105"/>
        </w:rPr>
        <w:t> </w:t>
      </w:r>
      <w:r>
        <w:rPr>
          <w:color w:val="231F20"/>
          <w:w w:val="105"/>
        </w:rPr>
        <w:t>(bienestar</w:t>
      </w:r>
      <w:r>
        <w:rPr>
          <w:color w:val="231F20"/>
          <w:spacing w:val="-11"/>
          <w:w w:val="105"/>
        </w:rPr>
        <w:t> </w:t>
      </w:r>
      <w:r>
        <w:rPr>
          <w:color w:val="231F20"/>
          <w:w w:val="105"/>
        </w:rPr>
        <w:t>material,</w:t>
      </w:r>
      <w:r>
        <w:rPr>
          <w:color w:val="231F20"/>
          <w:spacing w:val="-15"/>
          <w:w w:val="105"/>
        </w:rPr>
        <w:t> </w:t>
      </w:r>
      <w:r>
        <w:rPr>
          <w:color w:val="231F20"/>
          <w:w w:val="105"/>
        </w:rPr>
        <w:t>relaciones</w:t>
      </w:r>
      <w:r>
        <w:rPr>
          <w:color w:val="231F20"/>
          <w:spacing w:val="-11"/>
          <w:w w:val="105"/>
        </w:rPr>
        <w:t> </w:t>
      </w:r>
      <w:r>
        <w:rPr>
          <w:color w:val="231F20"/>
          <w:w w:val="105"/>
        </w:rPr>
        <w:t>armónicas</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am- biente</w:t>
      </w:r>
      <w:r>
        <w:rPr>
          <w:color w:val="231F20"/>
          <w:spacing w:val="-11"/>
          <w:w w:val="105"/>
        </w:rPr>
        <w:t> </w:t>
      </w:r>
      <w:r>
        <w:rPr>
          <w:color w:val="231F20"/>
          <w:w w:val="105"/>
        </w:rPr>
        <w:t>natural</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comunidad,</w:t>
      </w:r>
      <w:r>
        <w:rPr>
          <w:color w:val="231F20"/>
          <w:spacing w:val="-18"/>
          <w:w w:val="105"/>
        </w:rPr>
        <w:t> </w:t>
      </w:r>
      <w:r>
        <w:rPr>
          <w:color w:val="231F20"/>
          <w:w w:val="105"/>
        </w:rPr>
        <w:t>y</w:t>
      </w:r>
      <w:r>
        <w:rPr>
          <w:color w:val="231F20"/>
          <w:spacing w:val="-11"/>
          <w:w w:val="105"/>
        </w:rPr>
        <w:t> </w:t>
      </w:r>
      <w:r>
        <w:rPr>
          <w:color w:val="231F20"/>
          <w:w w:val="105"/>
        </w:rPr>
        <w:t>salud</w:t>
      </w:r>
      <w:r>
        <w:rPr>
          <w:color w:val="231F20"/>
          <w:spacing w:val="-11"/>
          <w:w w:val="105"/>
        </w:rPr>
        <w:t> </w:t>
      </w:r>
      <w:r>
        <w:rPr>
          <w:color w:val="231F20"/>
          <w:w w:val="105"/>
        </w:rPr>
        <w:t>objetivamente</w:t>
      </w:r>
      <w:r>
        <w:rPr>
          <w:color w:val="231F20"/>
          <w:spacing w:val="-11"/>
          <w:w w:val="105"/>
        </w:rPr>
        <w:t> </w:t>
      </w:r>
      <w:r>
        <w:rPr>
          <w:color w:val="231F20"/>
          <w:w w:val="105"/>
        </w:rPr>
        <w:t>percibida).</w:t>
      </w:r>
    </w:p>
    <w:p>
      <w:pPr>
        <w:pStyle w:val="BodyText"/>
        <w:spacing w:line="259" w:lineRule="auto"/>
        <w:ind w:left="117" w:right="121" w:firstLine="567"/>
        <w:jc w:val="both"/>
      </w:pPr>
      <w:r>
        <w:rPr>
          <w:color w:val="231F20"/>
          <w:w w:val="105"/>
        </w:rPr>
        <w:t>Sustentabilidad económico-financiera. Esta dimensión parte del supuesto de que la economía es la encargada de procurar que el uso de</w:t>
      </w:r>
      <w:r>
        <w:rPr>
          <w:color w:val="231F20"/>
          <w:spacing w:val="-19"/>
          <w:w w:val="105"/>
        </w:rPr>
        <w:t> </w:t>
      </w:r>
      <w:r>
        <w:rPr>
          <w:color w:val="231F20"/>
          <w:w w:val="105"/>
        </w:rPr>
        <w:t>recursos</w:t>
      </w:r>
      <w:r>
        <w:rPr>
          <w:color w:val="231F20"/>
          <w:spacing w:val="-19"/>
          <w:w w:val="105"/>
        </w:rPr>
        <w:t> </w:t>
      </w:r>
      <w:r>
        <w:rPr>
          <w:color w:val="231F20"/>
          <w:w w:val="105"/>
        </w:rPr>
        <w:t>renovables</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renovables</w:t>
      </w:r>
      <w:r>
        <w:rPr>
          <w:color w:val="231F20"/>
          <w:spacing w:val="-19"/>
          <w:w w:val="105"/>
        </w:rPr>
        <w:t> </w:t>
      </w:r>
      <w:r>
        <w:rPr>
          <w:color w:val="231F20"/>
          <w:w w:val="105"/>
        </w:rPr>
        <w:t>genere</w:t>
      </w:r>
      <w:r>
        <w:rPr>
          <w:color w:val="231F20"/>
          <w:spacing w:val="-19"/>
          <w:w w:val="105"/>
        </w:rPr>
        <w:t> </w:t>
      </w:r>
      <w:r>
        <w:rPr>
          <w:color w:val="231F20"/>
          <w:w w:val="105"/>
        </w:rPr>
        <w:t>bienestar</w:t>
      </w:r>
      <w:r>
        <w:rPr>
          <w:color w:val="231F20"/>
          <w:spacing w:val="-19"/>
          <w:w w:val="105"/>
        </w:rPr>
        <w:t> </w:t>
      </w:r>
      <w:r>
        <w:rPr>
          <w:color w:val="231F20"/>
          <w:w w:val="105"/>
        </w:rPr>
        <w:t>entre</w:t>
      </w:r>
      <w:r>
        <w:rPr>
          <w:color w:val="231F20"/>
          <w:spacing w:val="-19"/>
          <w:w w:val="105"/>
        </w:rPr>
        <w:t> </w:t>
      </w:r>
      <w:r>
        <w:rPr>
          <w:color w:val="231F20"/>
          <w:w w:val="105"/>
        </w:rPr>
        <w:t>la</w:t>
      </w:r>
      <w:r>
        <w:rPr>
          <w:color w:val="231F20"/>
          <w:spacing w:val="-19"/>
          <w:w w:val="105"/>
        </w:rPr>
        <w:t> </w:t>
      </w:r>
      <w:r>
        <w:rPr>
          <w:color w:val="231F20"/>
          <w:w w:val="105"/>
        </w:rPr>
        <w:t>pobla- ción, sin empobrecerla. Anand y Sen (2000) coinciden en que el papel de la sustentabilidad es lograr que la capacidad de generar riqueza y bienestar</w:t>
      </w:r>
      <w:r>
        <w:rPr>
          <w:color w:val="231F20"/>
          <w:spacing w:val="-20"/>
          <w:w w:val="105"/>
        </w:rPr>
        <w:t> </w:t>
      </w:r>
      <w:r>
        <w:rPr>
          <w:color w:val="231F20"/>
          <w:w w:val="105"/>
        </w:rPr>
        <w:t>sea</w:t>
      </w:r>
      <w:r>
        <w:rPr>
          <w:color w:val="231F20"/>
          <w:spacing w:val="-20"/>
          <w:w w:val="105"/>
        </w:rPr>
        <w:t> </w:t>
      </w:r>
      <w:r>
        <w:rPr>
          <w:color w:val="231F20"/>
          <w:w w:val="105"/>
        </w:rPr>
        <w:t>compartida</w:t>
      </w:r>
      <w:r>
        <w:rPr>
          <w:color w:val="231F20"/>
          <w:spacing w:val="-20"/>
          <w:w w:val="105"/>
        </w:rPr>
        <w:t> </w:t>
      </w:r>
      <w:r>
        <w:rPr>
          <w:color w:val="231F20"/>
          <w:w w:val="105"/>
        </w:rPr>
        <w:t>entre</w:t>
      </w:r>
      <w:r>
        <w:rPr>
          <w:color w:val="231F20"/>
          <w:spacing w:val="-20"/>
          <w:w w:val="105"/>
        </w:rPr>
        <w:t> </w:t>
      </w:r>
      <w:r>
        <w:rPr>
          <w:color w:val="231F20"/>
          <w:w w:val="105"/>
        </w:rPr>
        <w:t>las</w:t>
      </w:r>
      <w:r>
        <w:rPr>
          <w:color w:val="231F20"/>
          <w:spacing w:val="-20"/>
          <w:w w:val="105"/>
        </w:rPr>
        <w:t> </w:t>
      </w:r>
      <w:r>
        <w:rPr>
          <w:color w:val="231F20"/>
          <w:w w:val="105"/>
        </w:rPr>
        <w:t>generaciones</w:t>
      </w:r>
      <w:r>
        <w:rPr>
          <w:color w:val="231F20"/>
          <w:spacing w:val="-20"/>
          <w:w w:val="105"/>
        </w:rPr>
        <w:t> </w:t>
      </w:r>
      <w:r>
        <w:rPr>
          <w:color w:val="231F20"/>
          <w:w w:val="105"/>
        </w:rPr>
        <w:t>presentes</w:t>
      </w:r>
      <w:r>
        <w:rPr>
          <w:color w:val="231F20"/>
          <w:spacing w:val="-20"/>
          <w:w w:val="105"/>
        </w:rPr>
        <w:t> </w:t>
      </w:r>
      <w:r>
        <w:rPr>
          <w:color w:val="231F20"/>
          <w:w w:val="105"/>
        </w:rPr>
        <w:t>y</w:t>
      </w:r>
      <w:r>
        <w:rPr>
          <w:color w:val="231F20"/>
          <w:spacing w:val="-20"/>
          <w:w w:val="105"/>
        </w:rPr>
        <w:t> </w:t>
      </w:r>
      <w:r>
        <w:rPr>
          <w:color w:val="231F20"/>
          <w:w w:val="105"/>
        </w:rPr>
        <w:t>futuras.</w:t>
      </w:r>
      <w:r>
        <w:rPr>
          <w:color w:val="231F20"/>
          <w:spacing w:val="-24"/>
          <w:w w:val="105"/>
        </w:rPr>
        <w:t> </w:t>
      </w:r>
      <w:r>
        <w:rPr>
          <w:color w:val="231F20"/>
          <w:w w:val="105"/>
        </w:rPr>
        <w:t>El- kington</w:t>
      </w:r>
      <w:r>
        <w:rPr>
          <w:color w:val="231F20"/>
          <w:spacing w:val="-8"/>
          <w:w w:val="105"/>
        </w:rPr>
        <w:t> </w:t>
      </w:r>
      <w:r>
        <w:rPr>
          <w:color w:val="231F20"/>
          <w:w w:val="105"/>
        </w:rPr>
        <w:t>(1997)</w:t>
      </w:r>
      <w:r>
        <w:rPr>
          <w:color w:val="231F20"/>
          <w:spacing w:val="-8"/>
          <w:w w:val="105"/>
        </w:rPr>
        <w:t> </w:t>
      </w:r>
      <w:r>
        <w:rPr>
          <w:color w:val="231F20"/>
          <w:w w:val="105"/>
        </w:rPr>
        <w:t>traslada</w:t>
      </w:r>
      <w:r>
        <w:rPr>
          <w:color w:val="231F20"/>
          <w:spacing w:val="-8"/>
          <w:w w:val="105"/>
        </w:rPr>
        <w:t> </w:t>
      </w:r>
      <w:r>
        <w:rPr>
          <w:color w:val="231F20"/>
          <w:w w:val="105"/>
        </w:rPr>
        <w:t>estos</w:t>
      </w:r>
      <w:r>
        <w:rPr>
          <w:color w:val="231F20"/>
          <w:spacing w:val="-8"/>
          <w:w w:val="105"/>
        </w:rPr>
        <w:t> </w:t>
      </w:r>
      <w:r>
        <w:rPr>
          <w:color w:val="231F20"/>
          <w:w w:val="105"/>
        </w:rPr>
        <w:t>conceptos</w:t>
      </w:r>
      <w:r>
        <w:rPr>
          <w:color w:val="231F20"/>
          <w:spacing w:val="-8"/>
          <w:w w:val="105"/>
        </w:rPr>
        <w:t> </w:t>
      </w:r>
      <w:r>
        <w:rPr>
          <w:color w:val="231F20"/>
          <w:w w:val="105"/>
        </w:rPr>
        <w:t>al</w:t>
      </w:r>
      <w:r>
        <w:rPr>
          <w:color w:val="231F20"/>
          <w:spacing w:val="-8"/>
          <w:w w:val="105"/>
        </w:rPr>
        <w:t> </w:t>
      </w:r>
      <w:r>
        <w:rPr>
          <w:color w:val="231F20"/>
          <w:w w:val="105"/>
        </w:rPr>
        <w:t>estudio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sustentabilidad en</w:t>
      </w:r>
      <w:r>
        <w:rPr>
          <w:color w:val="231F20"/>
          <w:spacing w:val="-28"/>
          <w:w w:val="105"/>
        </w:rPr>
        <w:t> </w:t>
      </w:r>
      <w:r>
        <w:rPr>
          <w:color w:val="231F20"/>
          <w:w w:val="105"/>
        </w:rPr>
        <w:t>las</w:t>
      </w:r>
      <w:r>
        <w:rPr>
          <w:color w:val="231F20"/>
          <w:spacing w:val="-28"/>
          <w:w w:val="105"/>
        </w:rPr>
        <w:t> </w:t>
      </w:r>
      <w:r>
        <w:rPr>
          <w:color w:val="231F20"/>
          <w:w w:val="105"/>
        </w:rPr>
        <w:t>organizaciones</w:t>
      </w:r>
      <w:r>
        <w:rPr>
          <w:color w:val="231F20"/>
          <w:spacing w:val="-28"/>
          <w:w w:val="105"/>
        </w:rPr>
        <w:t> </w:t>
      </w:r>
      <w:r>
        <w:rPr>
          <w:color w:val="231F20"/>
          <w:w w:val="105"/>
        </w:rPr>
        <w:t>en</w:t>
      </w:r>
      <w:r>
        <w:rPr>
          <w:color w:val="231F20"/>
          <w:spacing w:val="-28"/>
          <w:w w:val="105"/>
        </w:rPr>
        <w:t> </w:t>
      </w:r>
      <w:r>
        <w:rPr>
          <w:color w:val="231F20"/>
          <w:w w:val="105"/>
        </w:rPr>
        <w:t>las</w:t>
      </w:r>
      <w:r>
        <w:rPr>
          <w:color w:val="231F20"/>
          <w:spacing w:val="-28"/>
          <w:w w:val="105"/>
        </w:rPr>
        <w:t> </w:t>
      </w:r>
      <w:r>
        <w:rPr>
          <w:color w:val="231F20"/>
          <w:w w:val="105"/>
        </w:rPr>
        <w:t>que</w:t>
      </w:r>
      <w:r>
        <w:rPr>
          <w:color w:val="231F20"/>
          <w:spacing w:val="-28"/>
          <w:w w:val="105"/>
        </w:rPr>
        <w:t> </w:t>
      </w:r>
      <w:r>
        <w:rPr>
          <w:color w:val="231F20"/>
          <w:w w:val="105"/>
        </w:rPr>
        <w:t>ésta</w:t>
      </w:r>
      <w:r>
        <w:rPr>
          <w:color w:val="231F20"/>
          <w:spacing w:val="-28"/>
          <w:w w:val="105"/>
        </w:rPr>
        <w:t> </w:t>
      </w:r>
      <w:r>
        <w:rPr>
          <w:color w:val="231F20"/>
          <w:w w:val="105"/>
        </w:rPr>
        <w:t>implica</w:t>
      </w:r>
      <w:r>
        <w:rPr>
          <w:color w:val="231F20"/>
          <w:spacing w:val="-28"/>
          <w:w w:val="105"/>
        </w:rPr>
        <w:t> </w:t>
      </w:r>
      <w:r>
        <w:rPr>
          <w:color w:val="231F20"/>
          <w:w w:val="105"/>
        </w:rPr>
        <w:t>el</w:t>
      </w:r>
      <w:r>
        <w:rPr>
          <w:color w:val="231F20"/>
          <w:spacing w:val="-28"/>
          <w:w w:val="105"/>
        </w:rPr>
        <w:t> </w:t>
      </w:r>
      <w:r>
        <w:rPr>
          <w:color w:val="231F20"/>
          <w:w w:val="105"/>
        </w:rPr>
        <w:t>desempeño</w:t>
      </w:r>
      <w:r>
        <w:rPr>
          <w:color w:val="231F20"/>
          <w:spacing w:val="-28"/>
          <w:w w:val="105"/>
        </w:rPr>
        <w:t> </w:t>
      </w:r>
      <w:r>
        <w:rPr>
          <w:color w:val="231F20"/>
          <w:w w:val="105"/>
        </w:rPr>
        <w:t>y</w:t>
      </w:r>
      <w:r>
        <w:rPr>
          <w:color w:val="231F20"/>
          <w:spacing w:val="-28"/>
          <w:w w:val="105"/>
        </w:rPr>
        <w:t> </w:t>
      </w:r>
      <w:r>
        <w:rPr>
          <w:color w:val="231F20"/>
          <w:w w:val="105"/>
        </w:rPr>
        <w:t>uso</w:t>
      </w:r>
      <w:r>
        <w:rPr>
          <w:color w:val="231F20"/>
          <w:spacing w:val="-28"/>
          <w:w w:val="105"/>
        </w:rPr>
        <w:t> </w:t>
      </w:r>
      <w:r>
        <w:rPr>
          <w:color w:val="231F20"/>
          <w:w w:val="105"/>
        </w:rPr>
        <w:t>eficien-</w:t>
      </w:r>
    </w:p>
    <w:p>
      <w:pPr>
        <w:spacing w:after="0" w:line="259" w:lineRule="auto"/>
        <w:jc w:val="both"/>
        <w:sectPr>
          <w:pgSz w:w="9640" w:h="13890"/>
          <w:pgMar w:top="0" w:bottom="280" w:left="1300" w:right="1180"/>
        </w:sectPr>
      </w:pPr>
    </w:p>
    <w:p>
      <w:pPr>
        <w:pStyle w:val="BodyText"/>
        <w:spacing w:line="259" w:lineRule="auto" w:before="120"/>
        <w:ind w:left="103" w:right="107"/>
      </w:pPr>
      <w:r>
        <w:rPr>
          <w:color w:val="231F20"/>
          <w:w w:val="105"/>
        </w:rPr>
        <w:t>te</w:t>
      </w:r>
      <w:r>
        <w:rPr>
          <w:color w:val="231F20"/>
          <w:spacing w:val="-22"/>
          <w:w w:val="105"/>
        </w:rPr>
        <w:t> </w:t>
      </w:r>
      <w:r>
        <w:rPr>
          <w:color w:val="231F20"/>
          <w:w w:val="105"/>
        </w:rPr>
        <w:t>de</w:t>
      </w:r>
      <w:r>
        <w:rPr>
          <w:color w:val="231F20"/>
          <w:spacing w:val="-22"/>
          <w:w w:val="105"/>
        </w:rPr>
        <w:t> </w:t>
      </w:r>
      <w:r>
        <w:rPr>
          <w:color w:val="231F20"/>
          <w:w w:val="105"/>
        </w:rPr>
        <w:t>sus</w:t>
      </w:r>
      <w:r>
        <w:rPr>
          <w:color w:val="231F20"/>
          <w:spacing w:val="-22"/>
          <w:w w:val="105"/>
        </w:rPr>
        <w:t> </w:t>
      </w:r>
      <w:r>
        <w:rPr>
          <w:color w:val="231F20"/>
          <w:w w:val="105"/>
        </w:rPr>
        <w:t>recursos</w:t>
      </w:r>
      <w:r>
        <w:rPr>
          <w:color w:val="231F20"/>
          <w:spacing w:val="-22"/>
          <w:w w:val="105"/>
        </w:rPr>
        <w:t> </w:t>
      </w:r>
      <w:r>
        <w:rPr>
          <w:color w:val="231F20"/>
          <w:w w:val="105"/>
        </w:rPr>
        <w:t>para</w:t>
      </w:r>
      <w:r>
        <w:rPr>
          <w:color w:val="231F20"/>
          <w:spacing w:val="-22"/>
          <w:w w:val="105"/>
        </w:rPr>
        <w:t> </w:t>
      </w:r>
      <w:r>
        <w:rPr>
          <w:color w:val="231F20"/>
          <w:w w:val="105"/>
        </w:rPr>
        <w:t>generar</w:t>
      </w:r>
      <w:r>
        <w:rPr>
          <w:color w:val="231F20"/>
          <w:spacing w:val="-22"/>
          <w:w w:val="105"/>
        </w:rPr>
        <w:t> </w:t>
      </w:r>
      <w:r>
        <w:rPr>
          <w:color w:val="231F20"/>
          <w:w w:val="105"/>
        </w:rPr>
        <w:t>ventajas</w:t>
      </w:r>
      <w:r>
        <w:rPr>
          <w:color w:val="231F20"/>
          <w:spacing w:val="-22"/>
          <w:w w:val="105"/>
        </w:rPr>
        <w:t> </w:t>
      </w:r>
      <w:r>
        <w:rPr>
          <w:color w:val="231F20"/>
          <w:w w:val="105"/>
        </w:rPr>
        <w:t>competitivas,</w:t>
      </w:r>
      <w:r>
        <w:rPr>
          <w:color w:val="231F20"/>
          <w:spacing w:val="-26"/>
          <w:w w:val="105"/>
        </w:rPr>
        <w:t> </w:t>
      </w:r>
      <w:r>
        <w:rPr>
          <w:color w:val="231F20"/>
          <w:w w:val="105"/>
        </w:rPr>
        <w:t>permanecer</w:t>
      </w:r>
      <w:r>
        <w:rPr>
          <w:color w:val="231F20"/>
          <w:spacing w:val="-22"/>
          <w:w w:val="105"/>
        </w:rPr>
        <w:t> </w:t>
      </w:r>
      <w:r>
        <w:rPr>
          <w:color w:val="231F20"/>
          <w:w w:val="105"/>
        </w:rPr>
        <w:t>en</w:t>
      </w:r>
      <w:r>
        <w:rPr>
          <w:color w:val="231F20"/>
          <w:spacing w:val="-22"/>
          <w:w w:val="105"/>
        </w:rPr>
        <w:t> </w:t>
      </w:r>
      <w:r>
        <w:rPr>
          <w:color w:val="231F20"/>
          <w:w w:val="105"/>
        </w:rPr>
        <w:t>el mercado</w:t>
      </w:r>
      <w:r>
        <w:rPr>
          <w:color w:val="231F20"/>
          <w:spacing w:val="-18"/>
          <w:w w:val="105"/>
        </w:rPr>
        <w:t> </w:t>
      </w:r>
      <w:r>
        <w:rPr>
          <w:color w:val="231F20"/>
          <w:w w:val="105"/>
        </w:rPr>
        <w:t>y</w:t>
      </w:r>
      <w:r>
        <w:rPr>
          <w:color w:val="231F20"/>
          <w:spacing w:val="-18"/>
          <w:w w:val="105"/>
        </w:rPr>
        <w:t> </w:t>
      </w:r>
      <w:r>
        <w:rPr>
          <w:color w:val="231F20"/>
          <w:w w:val="105"/>
        </w:rPr>
        <w:t>obtener</w:t>
      </w:r>
      <w:r>
        <w:rPr>
          <w:color w:val="231F20"/>
          <w:spacing w:val="-18"/>
          <w:w w:val="105"/>
        </w:rPr>
        <w:t> </w:t>
      </w:r>
      <w:r>
        <w:rPr>
          <w:color w:val="231F20"/>
          <w:w w:val="105"/>
        </w:rPr>
        <w:t>beneficios</w:t>
      </w:r>
      <w:r>
        <w:rPr>
          <w:color w:val="231F20"/>
          <w:spacing w:val="-18"/>
          <w:w w:val="105"/>
        </w:rPr>
        <w:t> </w:t>
      </w:r>
      <w:r>
        <w:rPr>
          <w:color w:val="231F20"/>
          <w:w w:val="105"/>
        </w:rPr>
        <w:t>para</w:t>
      </w:r>
      <w:r>
        <w:rPr>
          <w:color w:val="231F20"/>
          <w:spacing w:val="-18"/>
          <w:w w:val="105"/>
        </w:rPr>
        <w:t> </w:t>
      </w:r>
      <w:r>
        <w:rPr>
          <w:color w:val="231F20"/>
          <w:w w:val="105"/>
        </w:rPr>
        <w:t>sus</w:t>
      </w:r>
      <w:r>
        <w:rPr>
          <w:color w:val="231F20"/>
          <w:spacing w:val="-18"/>
          <w:w w:val="105"/>
        </w:rPr>
        <w:t> </w:t>
      </w:r>
      <w:r>
        <w:rPr>
          <w:color w:val="231F20"/>
          <w:w w:val="105"/>
        </w:rPr>
        <w:t>públicos</w:t>
      </w:r>
      <w:r>
        <w:rPr>
          <w:color w:val="231F20"/>
          <w:spacing w:val="-18"/>
          <w:w w:val="105"/>
        </w:rPr>
        <w:t> </w:t>
      </w:r>
      <w:r>
        <w:rPr>
          <w:color w:val="231F20"/>
          <w:w w:val="105"/>
        </w:rPr>
        <w:t>interesados.</w:t>
      </w:r>
    </w:p>
    <w:p>
      <w:pPr>
        <w:pStyle w:val="BodyText"/>
        <w:spacing w:line="259" w:lineRule="auto"/>
        <w:ind w:left="103" w:right="109" w:firstLine="567"/>
        <w:jc w:val="both"/>
      </w:pPr>
      <w:r>
        <w:rPr>
          <w:color w:val="231F20"/>
          <w:w w:val="105"/>
        </w:rPr>
        <w:t>La</w:t>
      </w:r>
      <w:r>
        <w:rPr>
          <w:color w:val="231F20"/>
          <w:spacing w:val="-28"/>
          <w:w w:val="105"/>
        </w:rPr>
        <w:t> </w:t>
      </w:r>
      <w:r>
        <w:rPr>
          <w:color w:val="231F20"/>
          <w:w w:val="105"/>
        </w:rPr>
        <w:t>sustentabilidad</w:t>
      </w:r>
      <w:r>
        <w:rPr>
          <w:color w:val="231F20"/>
          <w:spacing w:val="-28"/>
          <w:w w:val="105"/>
        </w:rPr>
        <w:t> </w:t>
      </w:r>
      <w:r>
        <w:rPr>
          <w:color w:val="231F20"/>
          <w:w w:val="105"/>
        </w:rPr>
        <w:t>financiera</w:t>
      </w:r>
      <w:r>
        <w:rPr>
          <w:color w:val="231F20"/>
          <w:spacing w:val="-28"/>
          <w:w w:val="105"/>
        </w:rPr>
        <w:t> </w:t>
      </w:r>
      <w:r>
        <w:rPr>
          <w:color w:val="231F20"/>
          <w:w w:val="105"/>
        </w:rPr>
        <w:t>requiere</w:t>
      </w:r>
      <w:r>
        <w:rPr>
          <w:color w:val="231F20"/>
          <w:spacing w:val="-28"/>
          <w:w w:val="105"/>
        </w:rPr>
        <w:t> </w:t>
      </w:r>
      <w:r>
        <w:rPr>
          <w:color w:val="231F20"/>
          <w:w w:val="105"/>
        </w:rPr>
        <w:t>la</w:t>
      </w:r>
      <w:r>
        <w:rPr>
          <w:color w:val="231F20"/>
          <w:spacing w:val="-28"/>
          <w:w w:val="105"/>
        </w:rPr>
        <w:t> </w:t>
      </w:r>
      <w:r>
        <w:rPr>
          <w:color w:val="231F20"/>
          <w:w w:val="105"/>
        </w:rPr>
        <w:t>concurrencia</w:t>
      </w:r>
      <w:r>
        <w:rPr>
          <w:color w:val="231F20"/>
          <w:spacing w:val="-28"/>
          <w:w w:val="105"/>
        </w:rPr>
        <w:t> </w:t>
      </w:r>
      <w:r>
        <w:rPr>
          <w:color w:val="231F20"/>
          <w:w w:val="105"/>
        </w:rPr>
        <w:t>de</w:t>
      </w:r>
      <w:r>
        <w:rPr>
          <w:color w:val="231F20"/>
          <w:spacing w:val="-28"/>
          <w:w w:val="105"/>
        </w:rPr>
        <w:t> </w:t>
      </w:r>
      <w:r>
        <w:rPr>
          <w:color w:val="231F20"/>
          <w:w w:val="105"/>
        </w:rPr>
        <w:t>cuatro</w:t>
      </w:r>
      <w:r>
        <w:rPr>
          <w:color w:val="231F20"/>
          <w:spacing w:val="-28"/>
          <w:w w:val="105"/>
        </w:rPr>
        <w:t> </w:t>
      </w:r>
      <w:r>
        <w:rPr>
          <w:color w:val="231F20"/>
          <w:w w:val="105"/>
        </w:rPr>
        <w:t>as- pectos</w:t>
      </w:r>
      <w:r>
        <w:rPr>
          <w:color w:val="231F20"/>
          <w:spacing w:val="-39"/>
          <w:w w:val="105"/>
        </w:rPr>
        <w:t> </w:t>
      </w:r>
      <w:r>
        <w:rPr>
          <w:color w:val="231F20"/>
          <w:w w:val="105"/>
        </w:rPr>
        <w:t>fundamentales:</w:t>
      </w:r>
      <w:r>
        <w:rPr>
          <w:color w:val="231F20"/>
          <w:spacing w:val="-39"/>
          <w:w w:val="105"/>
        </w:rPr>
        <w:t> </w:t>
      </w:r>
      <w:r>
        <w:rPr>
          <w:color w:val="231F20"/>
          <w:w w:val="105"/>
        </w:rPr>
        <w:t>(a)</w:t>
      </w:r>
      <w:r>
        <w:rPr>
          <w:color w:val="231F20"/>
          <w:spacing w:val="-39"/>
          <w:w w:val="105"/>
        </w:rPr>
        <w:t> </w:t>
      </w:r>
      <w:r>
        <w:rPr>
          <w:color w:val="231F20"/>
          <w:w w:val="105"/>
        </w:rPr>
        <w:t>planeación</w:t>
      </w:r>
      <w:r>
        <w:rPr>
          <w:color w:val="231F20"/>
          <w:spacing w:val="-39"/>
          <w:w w:val="105"/>
        </w:rPr>
        <w:t> </w:t>
      </w:r>
      <w:r>
        <w:rPr>
          <w:color w:val="231F20"/>
          <w:w w:val="105"/>
        </w:rPr>
        <w:t>financiera</w:t>
      </w:r>
      <w:r>
        <w:rPr>
          <w:color w:val="231F20"/>
          <w:spacing w:val="-39"/>
          <w:w w:val="105"/>
        </w:rPr>
        <w:t> </w:t>
      </w:r>
      <w:r>
        <w:rPr>
          <w:color w:val="231F20"/>
          <w:w w:val="105"/>
        </w:rPr>
        <w:t>estratégica,</w:t>
      </w:r>
      <w:r>
        <w:rPr>
          <w:color w:val="231F20"/>
          <w:spacing w:val="-43"/>
          <w:w w:val="105"/>
        </w:rPr>
        <w:t> </w:t>
      </w:r>
      <w:r>
        <w:rPr>
          <w:color w:val="231F20"/>
          <w:w w:val="105"/>
        </w:rPr>
        <w:t>para</w:t>
      </w:r>
      <w:r>
        <w:rPr>
          <w:color w:val="231F20"/>
          <w:spacing w:val="-39"/>
          <w:w w:val="105"/>
        </w:rPr>
        <w:t> </w:t>
      </w:r>
      <w:r>
        <w:rPr>
          <w:color w:val="231F20"/>
          <w:w w:val="105"/>
        </w:rPr>
        <w:t>proyec- tar</w:t>
      </w:r>
      <w:r>
        <w:rPr>
          <w:color w:val="231F20"/>
          <w:spacing w:val="-21"/>
          <w:w w:val="105"/>
        </w:rPr>
        <w:t> </w:t>
      </w:r>
      <w:r>
        <w:rPr>
          <w:color w:val="231F20"/>
          <w:w w:val="105"/>
        </w:rPr>
        <w:t>tanto</w:t>
      </w:r>
      <w:r>
        <w:rPr>
          <w:color w:val="231F20"/>
          <w:spacing w:val="-21"/>
          <w:w w:val="105"/>
        </w:rPr>
        <w:t> </w:t>
      </w:r>
      <w:r>
        <w:rPr>
          <w:color w:val="231F20"/>
          <w:w w:val="105"/>
        </w:rPr>
        <w:t>los</w:t>
      </w:r>
      <w:r>
        <w:rPr>
          <w:color w:val="231F20"/>
          <w:spacing w:val="-21"/>
          <w:w w:val="105"/>
        </w:rPr>
        <w:t> </w:t>
      </w:r>
      <w:r>
        <w:rPr>
          <w:color w:val="231F20"/>
          <w:w w:val="105"/>
        </w:rPr>
        <w:t>gastos</w:t>
      </w:r>
      <w:r>
        <w:rPr>
          <w:color w:val="231F20"/>
          <w:spacing w:val="-21"/>
          <w:w w:val="105"/>
        </w:rPr>
        <w:t> </w:t>
      </w:r>
      <w:r>
        <w:rPr>
          <w:color w:val="231F20"/>
          <w:w w:val="105"/>
        </w:rPr>
        <w:t>como</w:t>
      </w:r>
      <w:r>
        <w:rPr>
          <w:color w:val="231F20"/>
          <w:spacing w:val="-21"/>
          <w:w w:val="105"/>
        </w:rPr>
        <w:t> </w:t>
      </w:r>
      <w:r>
        <w:rPr>
          <w:color w:val="231F20"/>
          <w:w w:val="105"/>
        </w:rPr>
        <w:t>los</w:t>
      </w:r>
      <w:r>
        <w:rPr>
          <w:color w:val="231F20"/>
          <w:spacing w:val="-21"/>
          <w:w w:val="105"/>
        </w:rPr>
        <w:t> </w:t>
      </w:r>
      <w:r>
        <w:rPr>
          <w:color w:val="231F20"/>
          <w:w w:val="105"/>
        </w:rPr>
        <w:t>ingresos</w:t>
      </w:r>
      <w:r>
        <w:rPr>
          <w:color w:val="231F20"/>
          <w:spacing w:val="-21"/>
          <w:w w:val="105"/>
        </w:rPr>
        <w:t> </w:t>
      </w:r>
      <w:r>
        <w:rPr>
          <w:color w:val="231F20"/>
          <w:w w:val="105"/>
        </w:rPr>
        <w:t>necesarios</w:t>
      </w:r>
      <w:r>
        <w:rPr>
          <w:color w:val="231F20"/>
          <w:spacing w:val="-21"/>
          <w:w w:val="105"/>
        </w:rPr>
        <w:t> </w:t>
      </w:r>
      <w:r>
        <w:rPr>
          <w:color w:val="231F20"/>
          <w:w w:val="105"/>
        </w:rPr>
        <w:t>para</w:t>
      </w:r>
      <w:r>
        <w:rPr>
          <w:color w:val="231F20"/>
          <w:spacing w:val="-21"/>
          <w:w w:val="105"/>
        </w:rPr>
        <w:t> </w:t>
      </w:r>
      <w:r>
        <w:rPr>
          <w:color w:val="231F20"/>
          <w:w w:val="105"/>
        </w:rPr>
        <w:t>cubrir</w:t>
      </w:r>
      <w:r>
        <w:rPr>
          <w:color w:val="231F20"/>
          <w:spacing w:val="-21"/>
          <w:w w:val="105"/>
        </w:rPr>
        <w:t> </w:t>
      </w:r>
      <w:r>
        <w:rPr>
          <w:color w:val="231F20"/>
          <w:w w:val="105"/>
        </w:rPr>
        <w:t>dichos</w:t>
      </w:r>
      <w:r>
        <w:rPr>
          <w:color w:val="231F20"/>
          <w:spacing w:val="-21"/>
          <w:w w:val="105"/>
        </w:rPr>
        <w:t> </w:t>
      </w:r>
      <w:r>
        <w:rPr>
          <w:color w:val="231F20"/>
          <w:w w:val="105"/>
        </w:rPr>
        <w:t>gas- tos; (b) administración eficiente y transparente de recursos financieros, con</w:t>
      </w:r>
      <w:r>
        <w:rPr>
          <w:color w:val="231F20"/>
          <w:spacing w:val="-20"/>
          <w:w w:val="105"/>
        </w:rPr>
        <w:t> </w:t>
      </w:r>
      <w:r>
        <w:rPr>
          <w:color w:val="231F20"/>
          <w:w w:val="105"/>
        </w:rPr>
        <w:t>incentivos</w:t>
      </w:r>
      <w:r>
        <w:rPr>
          <w:color w:val="231F20"/>
          <w:spacing w:val="-20"/>
          <w:w w:val="105"/>
        </w:rPr>
        <w:t> </w:t>
      </w:r>
      <w:r>
        <w:rPr>
          <w:color w:val="231F20"/>
          <w:w w:val="105"/>
        </w:rPr>
        <w:t>para</w:t>
      </w:r>
      <w:r>
        <w:rPr>
          <w:color w:val="231F20"/>
          <w:spacing w:val="-20"/>
          <w:w w:val="105"/>
        </w:rPr>
        <w:t> </w:t>
      </w:r>
      <w:r>
        <w:rPr>
          <w:color w:val="231F20"/>
          <w:w w:val="105"/>
        </w:rPr>
        <w:t>los</w:t>
      </w:r>
      <w:r>
        <w:rPr>
          <w:color w:val="231F20"/>
          <w:spacing w:val="-20"/>
          <w:w w:val="105"/>
        </w:rPr>
        <w:t> </w:t>
      </w:r>
      <w:r>
        <w:rPr>
          <w:color w:val="231F20"/>
          <w:w w:val="105"/>
        </w:rPr>
        <w:t>administradores</w:t>
      </w:r>
      <w:r>
        <w:rPr>
          <w:color w:val="231F20"/>
          <w:spacing w:val="-20"/>
          <w:w w:val="105"/>
        </w:rPr>
        <w:t> </w:t>
      </w:r>
      <w:r>
        <w:rPr>
          <w:color w:val="231F20"/>
          <w:w w:val="105"/>
        </w:rPr>
        <w:t>por</w:t>
      </w:r>
      <w:r>
        <w:rPr>
          <w:color w:val="231F20"/>
          <w:spacing w:val="-20"/>
          <w:w w:val="105"/>
        </w:rPr>
        <w:t> </w:t>
      </w:r>
      <w:r>
        <w:rPr>
          <w:color w:val="231F20"/>
          <w:w w:val="105"/>
        </w:rPr>
        <w:t>generar</w:t>
      </w:r>
      <w:r>
        <w:rPr>
          <w:color w:val="231F20"/>
          <w:spacing w:val="-20"/>
          <w:w w:val="105"/>
        </w:rPr>
        <w:t> </w:t>
      </w:r>
      <w:r>
        <w:rPr>
          <w:color w:val="231F20"/>
          <w:w w:val="105"/>
        </w:rPr>
        <w:t>y</w:t>
      </w:r>
      <w:r>
        <w:rPr>
          <w:color w:val="231F20"/>
          <w:spacing w:val="-20"/>
          <w:w w:val="105"/>
        </w:rPr>
        <w:t> </w:t>
      </w:r>
      <w:r>
        <w:rPr>
          <w:color w:val="231F20"/>
          <w:w w:val="105"/>
        </w:rPr>
        <w:t>retener</w:t>
      </w:r>
      <w:r>
        <w:rPr>
          <w:color w:val="231F20"/>
          <w:spacing w:val="-20"/>
          <w:w w:val="105"/>
        </w:rPr>
        <w:t> </w:t>
      </w:r>
      <w:r>
        <w:rPr>
          <w:color w:val="231F20"/>
          <w:w w:val="105"/>
        </w:rPr>
        <w:t>fondos;</w:t>
      </w:r>
      <w:r>
        <w:rPr>
          <w:color w:val="231F20"/>
          <w:spacing w:val="-20"/>
          <w:w w:val="105"/>
        </w:rPr>
        <w:t> </w:t>
      </w:r>
      <w:r>
        <w:rPr>
          <w:color w:val="231F20"/>
          <w:w w:val="105"/>
        </w:rPr>
        <w:t>(c) una</w:t>
      </w:r>
      <w:r>
        <w:rPr>
          <w:color w:val="231F20"/>
          <w:spacing w:val="-7"/>
          <w:w w:val="105"/>
        </w:rPr>
        <w:t> </w:t>
      </w:r>
      <w:r>
        <w:rPr>
          <w:color w:val="231F20"/>
          <w:w w:val="105"/>
        </w:rPr>
        <w:t>cartera</w:t>
      </w:r>
      <w:r>
        <w:rPr>
          <w:color w:val="231F20"/>
          <w:spacing w:val="-7"/>
          <w:w w:val="105"/>
        </w:rPr>
        <w:t> </w:t>
      </w:r>
      <w:r>
        <w:rPr>
          <w:color w:val="231F20"/>
          <w:w w:val="105"/>
        </w:rPr>
        <w:t>de</w:t>
      </w:r>
      <w:r>
        <w:rPr>
          <w:color w:val="231F20"/>
          <w:spacing w:val="-7"/>
          <w:w w:val="105"/>
        </w:rPr>
        <w:t> </w:t>
      </w:r>
      <w:r>
        <w:rPr>
          <w:color w:val="231F20"/>
          <w:w w:val="105"/>
        </w:rPr>
        <w:t>financiamiento</w:t>
      </w:r>
      <w:r>
        <w:rPr>
          <w:color w:val="231F20"/>
          <w:spacing w:val="-7"/>
          <w:w w:val="105"/>
        </w:rPr>
        <w:t> </w:t>
      </w:r>
      <w:r>
        <w:rPr>
          <w:color w:val="231F20"/>
          <w:w w:val="105"/>
        </w:rPr>
        <w:t>diverso,</w:t>
      </w:r>
      <w:r>
        <w:rPr>
          <w:color w:val="231F20"/>
          <w:spacing w:val="-12"/>
          <w:w w:val="105"/>
        </w:rPr>
        <w:t> </w:t>
      </w:r>
      <w:r>
        <w:rPr>
          <w:color w:val="231F20"/>
          <w:w w:val="105"/>
        </w:rPr>
        <w:t>estable</w:t>
      </w:r>
      <w:r>
        <w:rPr>
          <w:color w:val="231F20"/>
          <w:spacing w:val="-7"/>
          <w:w w:val="105"/>
        </w:rPr>
        <w:t> </w:t>
      </w:r>
      <w:r>
        <w:rPr>
          <w:color w:val="231F20"/>
          <w:w w:val="105"/>
        </w:rPr>
        <w:t>y</w:t>
      </w:r>
      <w:r>
        <w:rPr>
          <w:color w:val="231F20"/>
          <w:spacing w:val="-7"/>
          <w:w w:val="105"/>
        </w:rPr>
        <w:t> </w:t>
      </w:r>
      <w:r>
        <w:rPr>
          <w:color w:val="231F20"/>
          <w:w w:val="105"/>
        </w:rPr>
        <w:t>seguro,</w:t>
      </w:r>
      <w:r>
        <w:rPr>
          <w:color w:val="231F20"/>
          <w:spacing w:val="-12"/>
          <w:w w:val="105"/>
        </w:rPr>
        <w:t> </w:t>
      </w:r>
      <w:r>
        <w:rPr>
          <w:color w:val="231F20"/>
          <w:w w:val="105"/>
        </w:rPr>
        <w:t>con</w:t>
      </w:r>
      <w:r>
        <w:rPr>
          <w:color w:val="231F20"/>
          <w:spacing w:val="-7"/>
          <w:w w:val="105"/>
        </w:rPr>
        <w:t> </w:t>
      </w:r>
      <w:r>
        <w:rPr>
          <w:color w:val="231F20"/>
          <w:w w:val="105"/>
        </w:rPr>
        <w:t>fuentes</w:t>
      </w:r>
      <w:r>
        <w:rPr>
          <w:color w:val="231F20"/>
          <w:spacing w:val="-7"/>
          <w:w w:val="105"/>
        </w:rPr>
        <w:t> </w:t>
      </w:r>
      <w:r>
        <w:rPr>
          <w:color w:val="231F20"/>
          <w:w w:val="105"/>
        </w:rPr>
        <w:t>de ingresos</w:t>
      </w:r>
      <w:r>
        <w:rPr>
          <w:color w:val="231F20"/>
          <w:spacing w:val="-8"/>
          <w:w w:val="105"/>
        </w:rPr>
        <w:t> </w:t>
      </w:r>
      <w:r>
        <w:rPr>
          <w:color w:val="231F20"/>
          <w:w w:val="105"/>
        </w:rPr>
        <w:t>externos</w:t>
      </w:r>
      <w:r>
        <w:rPr>
          <w:color w:val="231F20"/>
          <w:spacing w:val="-8"/>
          <w:w w:val="105"/>
        </w:rPr>
        <w:t> </w:t>
      </w:r>
      <w:r>
        <w:rPr>
          <w:color w:val="231F20"/>
          <w:w w:val="105"/>
        </w:rPr>
        <w:t>e</w:t>
      </w:r>
      <w:r>
        <w:rPr>
          <w:color w:val="231F20"/>
          <w:spacing w:val="-8"/>
          <w:w w:val="105"/>
        </w:rPr>
        <w:t> </w:t>
      </w:r>
      <w:r>
        <w:rPr>
          <w:color w:val="231F20"/>
          <w:w w:val="105"/>
        </w:rPr>
        <w:t>internos,</w:t>
      </w:r>
      <w:r>
        <w:rPr>
          <w:color w:val="231F20"/>
          <w:spacing w:val="-13"/>
          <w:w w:val="105"/>
        </w:rPr>
        <w:t> </w:t>
      </w:r>
      <w:r>
        <w:rPr>
          <w:color w:val="231F20"/>
          <w:w w:val="105"/>
        </w:rPr>
        <w:t>y</w:t>
      </w:r>
      <w:r>
        <w:rPr>
          <w:color w:val="231F20"/>
          <w:spacing w:val="-8"/>
          <w:w w:val="105"/>
        </w:rPr>
        <w:t> </w:t>
      </w:r>
      <w:r>
        <w:rPr>
          <w:color w:val="231F20"/>
          <w:w w:val="105"/>
        </w:rPr>
        <w:t>(d)</w:t>
      </w:r>
      <w:r>
        <w:rPr>
          <w:color w:val="231F20"/>
          <w:spacing w:val="-8"/>
          <w:w w:val="105"/>
        </w:rPr>
        <w:t> </w:t>
      </w:r>
      <w:r>
        <w:rPr>
          <w:color w:val="231F20"/>
          <w:w w:val="105"/>
        </w:rPr>
        <w:t>un</w:t>
      </w:r>
      <w:r>
        <w:rPr>
          <w:color w:val="231F20"/>
          <w:spacing w:val="-8"/>
          <w:w w:val="105"/>
        </w:rPr>
        <w:t> </w:t>
      </w:r>
      <w:r>
        <w:rPr>
          <w:color w:val="231F20"/>
          <w:w w:val="105"/>
        </w:rPr>
        <w:t>sistema</w:t>
      </w:r>
      <w:r>
        <w:rPr>
          <w:color w:val="231F20"/>
          <w:spacing w:val="-8"/>
          <w:w w:val="105"/>
        </w:rPr>
        <w:t> </w:t>
      </w:r>
      <w:r>
        <w:rPr>
          <w:color w:val="231F20"/>
          <w:w w:val="105"/>
        </w:rPr>
        <w:t>de</w:t>
      </w:r>
      <w:r>
        <w:rPr>
          <w:color w:val="231F20"/>
          <w:spacing w:val="-8"/>
          <w:w w:val="105"/>
        </w:rPr>
        <w:t> </w:t>
      </w:r>
      <w:r>
        <w:rPr>
          <w:color w:val="231F20"/>
          <w:w w:val="105"/>
        </w:rPr>
        <w:t>recompensas</w:t>
      </w:r>
      <w:r>
        <w:rPr>
          <w:color w:val="231F20"/>
          <w:spacing w:val="-8"/>
          <w:w w:val="105"/>
        </w:rPr>
        <w:t> </w:t>
      </w:r>
      <w:r>
        <w:rPr>
          <w:color w:val="231F20"/>
          <w:w w:val="105"/>
        </w:rPr>
        <w:t>para</w:t>
      </w:r>
      <w:r>
        <w:rPr>
          <w:color w:val="231F20"/>
          <w:spacing w:val="-8"/>
          <w:w w:val="105"/>
        </w:rPr>
        <w:t> </w:t>
      </w:r>
      <w:r>
        <w:rPr>
          <w:color w:val="231F20"/>
          <w:w w:val="105"/>
        </w:rPr>
        <w:t>los grupos interesados que soportan el costo de operación de la organiza- ción</w:t>
      </w:r>
      <w:r>
        <w:rPr>
          <w:color w:val="231F20"/>
          <w:spacing w:val="-34"/>
          <w:w w:val="105"/>
        </w:rPr>
        <w:t> </w:t>
      </w:r>
      <w:r>
        <w:rPr>
          <w:color w:val="231F20"/>
          <w:w w:val="105"/>
        </w:rPr>
        <w:t>(Emerton,</w:t>
      </w:r>
      <w:r>
        <w:rPr>
          <w:color w:val="231F20"/>
          <w:spacing w:val="-37"/>
          <w:w w:val="105"/>
        </w:rPr>
        <w:t> </w:t>
      </w:r>
      <w:r>
        <w:rPr>
          <w:color w:val="231F20"/>
          <w:w w:val="105"/>
        </w:rPr>
        <w:t>Bishop</w:t>
      </w:r>
      <w:r>
        <w:rPr>
          <w:color w:val="231F20"/>
          <w:spacing w:val="-34"/>
          <w:w w:val="105"/>
        </w:rPr>
        <w:t> </w:t>
      </w:r>
      <w:r>
        <w:rPr>
          <w:color w:val="231F20"/>
          <w:w w:val="105"/>
        </w:rPr>
        <w:t>y</w:t>
      </w:r>
      <w:r>
        <w:rPr>
          <w:color w:val="231F20"/>
          <w:spacing w:val="-36"/>
          <w:w w:val="105"/>
        </w:rPr>
        <w:t> </w:t>
      </w:r>
      <w:r>
        <w:rPr>
          <w:color w:val="231F20"/>
          <w:w w:val="105"/>
        </w:rPr>
        <w:t>Thomas</w:t>
      </w:r>
      <w:r>
        <w:rPr>
          <w:i/>
          <w:color w:val="231F20"/>
          <w:w w:val="105"/>
        </w:rPr>
        <w:t>,</w:t>
      </w:r>
      <w:r>
        <w:rPr>
          <w:i/>
          <w:color w:val="231F20"/>
          <w:spacing w:val="-37"/>
          <w:w w:val="105"/>
        </w:rPr>
        <w:t> </w:t>
      </w:r>
      <w:r>
        <w:rPr>
          <w:color w:val="231F20"/>
          <w:w w:val="105"/>
        </w:rPr>
        <w:t>2006).</w:t>
      </w:r>
    </w:p>
    <w:p>
      <w:pPr>
        <w:pStyle w:val="BodyText"/>
        <w:spacing w:line="259" w:lineRule="auto"/>
        <w:ind w:left="103" w:right="114" w:firstLine="567"/>
        <w:jc w:val="both"/>
      </w:pPr>
      <w:r>
        <w:rPr>
          <w:color w:val="231F20"/>
        </w:rPr>
        <w:t>Sustentabilidad organizativa. Las instituciones actúan como regu- ladoras de las actividades humanas y del uso de recursos, por lo que deben estar abiertas a que la sociedad o sus representantes, manifiesten interés en sus actividades (Spangenberg, 2008). Es fundamental atender estas preocupaciones mediante la apertura de procesos, estrategias de acceso, participación y transparencia en la toma de decisiones, así como estrategias y funciones operacionales (García-Hernández,</w:t>
      </w:r>
      <w:r>
        <w:rPr>
          <w:color w:val="231F20"/>
          <w:spacing w:val="50"/>
        </w:rPr>
        <w:t> </w:t>
      </w:r>
      <w:r>
        <w:rPr>
          <w:color w:val="231F20"/>
        </w:rPr>
        <w:t>2013).</w:t>
      </w:r>
    </w:p>
    <w:p>
      <w:pPr>
        <w:pStyle w:val="BodyText"/>
        <w:spacing w:line="259" w:lineRule="auto"/>
        <w:ind w:left="103" w:right="115" w:firstLine="567"/>
        <w:jc w:val="both"/>
      </w:pPr>
      <w:r>
        <w:rPr>
          <w:color w:val="231F20"/>
          <w:w w:val="105"/>
        </w:rPr>
        <w:t>Puesto</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éxito</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organización</w:t>
      </w:r>
      <w:r>
        <w:rPr>
          <w:color w:val="231F20"/>
          <w:spacing w:val="-15"/>
          <w:w w:val="105"/>
        </w:rPr>
        <w:t> </w:t>
      </w:r>
      <w:r>
        <w:rPr>
          <w:color w:val="231F20"/>
          <w:w w:val="105"/>
        </w:rPr>
        <w:t>o</w:t>
      </w:r>
      <w:r>
        <w:rPr>
          <w:color w:val="231F20"/>
          <w:spacing w:val="-15"/>
          <w:w w:val="105"/>
        </w:rPr>
        <w:t> </w:t>
      </w:r>
      <w:r>
        <w:rPr>
          <w:color w:val="231F20"/>
          <w:w w:val="105"/>
        </w:rPr>
        <w:t>la</w:t>
      </w:r>
      <w:r>
        <w:rPr>
          <w:color w:val="231F20"/>
          <w:spacing w:val="-15"/>
          <w:w w:val="105"/>
        </w:rPr>
        <w:t> </w:t>
      </w:r>
      <w:r>
        <w:rPr>
          <w:color w:val="231F20"/>
          <w:w w:val="105"/>
        </w:rPr>
        <w:t>fuerza</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ventaja competitiva radica en la adaptabilidad efectiva (Schein, 1982), para al- canzar la sustentabilidad la organización debe orientar sus estrategias hacia la reducción de la incertidumbre del ambiente e incrementar su control</w:t>
      </w:r>
      <w:r>
        <w:rPr>
          <w:color w:val="231F20"/>
          <w:spacing w:val="-16"/>
          <w:w w:val="105"/>
        </w:rPr>
        <w:t> </w:t>
      </w:r>
      <w:r>
        <w:rPr>
          <w:color w:val="231F20"/>
          <w:w w:val="105"/>
        </w:rPr>
        <w:t>y</w:t>
      </w:r>
      <w:r>
        <w:rPr>
          <w:color w:val="231F20"/>
          <w:spacing w:val="-16"/>
          <w:w w:val="105"/>
        </w:rPr>
        <w:t> </w:t>
      </w:r>
      <w:r>
        <w:rPr>
          <w:color w:val="231F20"/>
          <w:w w:val="105"/>
        </w:rPr>
        <w:t>poder</w:t>
      </w:r>
      <w:r>
        <w:rPr>
          <w:color w:val="231F20"/>
          <w:spacing w:val="-16"/>
          <w:w w:val="105"/>
        </w:rPr>
        <w:t> </w:t>
      </w:r>
      <w:r>
        <w:rPr>
          <w:color w:val="231F20"/>
          <w:w w:val="105"/>
        </w:rPr>
        <w:t>sobre</w:t>
      </w:r>
      <w:r>
        <w:rPr>
          <w:color w:val="231F20"/>
          <w:spacing w:val="-16"/>
          <w:w w:val="105"/>
        </w:rPr>
        <w:t> </w:t>
      </w:r>
      <w:r>
        <w:rPr>
          <w:color w:val="231F20"/>
          <w:w w:val="105"/>
        </w:rPr>
        <w:t>otras</w:t>
      </w:r>
      <w:r>
        <w:rPr>
          <w:color w:val="231F20"/>
          <w:spacing w:val="-16"/>
          <w:w w:val="105"/>
        </w:rPr>
        <w:t> </w:t>
      </w:r>
      <w:r>
        <w:rPr>
          <w:color w:val="231F20"/>
          <w:w w:val="105"/>
        </w:rPr>
        <w:t>organizaciones.</w:t>
      </w:r>
    </w:p>
    <w:p>
      <w:pPr>
        <w:pStyle w:val="BodyText"/>
        <w:spacing w:line="259" w:lineRule="auto"/>
        <w:ind w:left="103" w:right="115" w:firstLine="567"/>
        <w:jc w:val="both"/>
      </w:pPr>
      <w:r>
        <w:rPr>
          <w:color w:val="231F20"/>
          <w:w w:val="105"/>
        </w:rPr>
        <w:t>Las</w:t>
      </w:r>
      <w:r>
        <w:rPr>
          <w:color w:val="231F20"/>
          <w:spacing w:val="-22"/>
          <w:w w:val="105"/>
        </w:rPr>
        <w:t> </w:t>
      </w:r>
      <w:r>
        <w:rPr>
          <w:color w:val="231F20"/>
          <w:spacing w:val="-3"/>
          <w:w w:val="105"/>
        </w:rPr>
        <w:t>estrategias</w:t>
      </w:r>
      <w:r>
        <w:rPr>
          <w:color w:val="231F20"/>
          <w:spacing w:val="-22"/>
          <w:w w:val="105"/>
        </w:rPr>
        <w:t> </w:t>
      </w:r>
      <w:r>
        <w:rPr>
          <w:color w:val="231F20"/>
          <w:w w:val="105"/>
        </w:rPr>
        <w:t>como</w:t>
      </w:r>
      <w:r>
        <w:rPr>
          <w:color w:val="231F20"/>
          <w:spacing w:val="-22"/>
          <w:w w:val="105"/>
        </w:rPr>
        <w:t> </w:t>
      </w:r>
      <w:r>
        <w:rPr>
          <w:color w:val="231F20"/>
          <w:w w:val="105"/>
        </w:rPr>
        <w:t>componente</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sustentabilidad</w:t>
      </w:r>
      <w:r>
        <w:rPr>
          <w:color w:val="231F20"/>
          <w:spacing w:val="-22"/>
          <w:w w:val="105"/>
        </w:rPr>
        <w:t> </w:t>
      </w:r>
      <w:r>
        <w:rPr>
          <w:color w:val="231F20"/>
          <w:spacing w:val="-3"/>
          <w:w w:val="105"/>
        </w:rPr>
        <w:t>organizati- </w:t>
      </w:r>
      <w:r>
        <w:rPr>
          <w:color w:val="231F20"/>
          <w:w w:val="105"/>
        </w:rPr>
        <w:t>va</w:t>
      </w:r>
      <w:r>
        <w:rPr>
          <w:color w:val="231F20"/>
          <w:spacing w:val="-20"/>
          <w:w w:val="105"/>
        </w:rPr>
        <w:t> </w:t>
      </w:r>
      <w:r>
        <w:rPr>
          <w:color w:val="231F20"/>
          <w:w w:val="105"/>
        </w:rPr>
        <w:t>orientan</w:t>
      </w:r>
      <w:r>
        <w:rPr>
          <w:color w:val="231F20"/>
          <w:spacing w:val="-20"/>
          <w:w w:val="105"/>
        </w:rPr>
        <w:t> </w:t>
      </w:r>
      <w:r>
        <w:rPr>
          <w:color w:val="231F20"/>
          <w:w w:val="105"/>
        </w:rPr>
        <w:t>y</w:t>
      </w:r>
      <w:r>
        <w:rPr>
          <w:color w:val="231F20"/>
          <w:spacing w:val="-20"/>
          <w:w w:val="105"/>
        </w:rPr>
        <w:t> </w:t>
      </w:r>
      <w:r>
        <w:rPr>
          <w:color w:val="231F20"/>
          <w:w w:val="105"/>
        </w:rPr>
        <w:t>dan</w:t>
      </w:r>
      <w:r>
        <w:rPr>
          <w:color w:val="231F20"/>
          <w:spacing w:val="-20"/>
          <w:w w:val="105"/>
        </w:rPr>
        <w:t> </w:t>
      </w:r>
      <w:r>
        <w:rPr>
          <w:color w:val="231F20"/>
          <w:spacing w:val="-3"/>
          <w:w w:val="105"/>
        </w:rPr>
        <w:t>coherencia</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actuación</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organización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tiem- po;</w:t>
      </w:r>
      <w:r>
        <w:rPr>
          <w:color w:val="231F20"/>
          <w:spacing w:val="-18"/>
          <w:w w:val="105"/>
        </w:rPr>
        <w:t> </w:t>
      </w:r>
      <w:r>
        <w:rPr>
          <w:color w:val="231F20"/>
          <w:w w:val="105"/>
        </w:rPr>
        <w:t>son</w:t>
      </w:r>
      <w:r>
        <w:rPr>
          <w:color w:val="231F20"/>
          <w:spacing w:val="-18"/>
          <w:w w:val="105"/>
        </w:rPr>
        <w:t> </w:t>
      </w:r>
      <w:r>
        <w:rPr>
          <w:color w:val="231F20"/>
          <w:w w:val="105"/>
        </w:rPr>
        <w:t>planes</w:t>
      </w:r>
      <w:r>
        <w:rPr>
          <w:color w:val="231F20"/>
          <w:spacing w:val="-18"/>
          <w:w w:val="105"/>
        </w:rPr>
        <w:t> </w:t>
      </w:r>
      <w:r>
        <w:rPr>
          <w:color w:val="231F20"/>
          <w:w w:val="105"/>
        </w:rPr>
        <w:t>construidos</w:t>
      </w:r>
      <w:r>
        <w:rPr>
          <w:color w:val="231F20"/>
          <w:spacing w:val="-18"/>
          <w:w w:val="105"/>
        </w:rPr>
        <w:t> </w:t>
      </w:r>
      <w:r>
        <w:rPr>
          <w:color w:val="231F20"/>
          <w:w w:val="105"/>
        </w:rPr>
        <w:t>como</w:t>
      </w:r>
      <w:r>
        <w:rPr>
          <w:color w:val="231F20"/>
          <w:spacing w:val="-18"/>
          <w:w w:val="105"/>
        </w:rPr>
        <w:t> </w:t>
      </w:r>
      <w:r>
        <w:rPr>
          <w:color w:val="231F20"/>
          <w:spacing w:val="-3"/>
          <w:w w:val="105"/>
        </w:rPr>
        <w:t>patrón</w:t>
      </w:r>
      <w:r>
        <w:rPr>
          <w:color w:val="231F20"/>
          <w:spacing w:val="-18"/>
          <w:w w:val="105"/>
        </w:rPr>
        <w:t> </w:t>
      </w:r>
      <w:r>
        <w:rPr>
          <w:color w:val="231F20"/>
          <w:w w:val="105"/>
        </w:rPr>
        <w:t>de</w:t>
      </w:r>
      <w:r>
        <w:rPr>
          <w:color w:val="231F20"/>
          <w:spacing w:val="-18"/>
          <w:w w:val="105"/>
        </w:rPr>
        <w:t> </w:t>
      </w:r>
      <w:r>
        <w:rPr>
          <w:color w:val="231F20"/>
          <w:w w:val="105"/>
        </w:rPr>
        <w:t>conductas</w:t>
      </w:r>
      <w:r>
        <w:rPr>
          <w:color w:val="231F20"/>
          <w:spacing w:val="-18"/>
          <w:w w:val="105"/>
        </w:rPr>
        <w:t> </w:t>
      </w:r>
      <w:r>
        <w:rPr>
          <w:color w:val="231F20"/>
          <w:w w:val="105"/>
        </w:rPr>
        <w:t>dirigidas</w:t>
      </w:r>
      <w:r>
        <w:rPr>
          <w:color w:val="231F20"/>
          <w:spacing w:val="-18"/>
          <w:w w:val="105"/>
        </w:rPr>
        <w:t> </w:t>
      </w:r>
      <w:r>
        <w:rPr>
          <w:color w:val="231F20"/>
          <w:w w:val="105"/>
        </w:rPr>
        <w:t>a</w:t>
      </w:r>
      <w:r>
        <w:rPr>
          <w:color w:val="231F20"/>
          <w:spacing w:val="-18"/>
          <w:w w:val="105"/>
        </w:rPr>
        <w:t> </w:t>
      </w:r>
      <w:r>
        <w:rPr>
          <w:color w:val="231F20"/>
          <w:w w:val="105"/>
        </w:rPr>
        <w:t>conse- guir</w:t>
      </w:r>
      <w:r>
        <w:rPr>
          <w:color w:val="231F20"/>
          <w:spacing w:val="-10"/>
          <w:w w:val="105"/>
        </w:rPr>
        <w:t> </w:t>
      </w:r>
      <w:r>
        <w:rPr>
          <w:color w:val="231F20"/>
          <w:w w:val="105"/>
        </w:rPr>
        <w:t>un</w:t>
      </w:r>
      <w:r>
        <w:rPr>
          <w:color w:val="231F20"/>
          <w:spacing w:val="-10"/>
          <w:w w:val="105"/>
        </w:rPr>
        <w:t> </w:t>
      </w:r>
      <w:r>
        <w:rPr>
          <w:color w:val="231F20"/>
          <w:spacing w:val="-3"/>
          <w:w w:val="105"/>
        </w:rPr>
        <w:t>propósito</w:t>
      </w:r>
      <w:r>
        <w:rPr>
          <w:color w:val="231F20"/>
          <w:spacing w:val="-10"/>
          <w:w w:val="105"/>
        </w:rPr>
        <w:t> </w:t>
      </w:r>
      <w:r>
        <w:rPr>
          <w:color w:val="231F20"/>
          <w:spacing w:val="-3"/>
          <w:w w:val="105"/>
        </w:rPr>
        <w:t>(Mintzberg,</w:t>
      </w:r>
      <w:r>
        <w:rPr>
          <w:color w:val="231F20"/>
          <w:spacing w:val="-15"/>
          <w:w w:val="105"/>
        </w:rPr>
        <w:t> </w:t>
      </w:r>
      <w:r>
        <w:rPr>
          <w:color w:val="231F20"/>
          <w:w w:val="105"/>
        </w:rPr>
        <w:t>1987).</w:t>
      </w:r>
      <w:r>
        <w:rPr>
          <w:color w:val="231F20"/>
          <w:spacing w:val="-15"/>
          <w:w w:val="105"/>
        </w:rPr>
        <w:t> </w:t>
      </w:r>
      <w:r>
        <w:rPr>
          <w:color w:val="231F20"/>
          <w:w w:val="105"/>
        </w:rPr>
        <w:t>La</w:t>
      </w:r>
      <w:r>
        <w:rPr>
          <w:color w:val="231F20"/>
          <w:spacing w:val="-10"/>
          <w:w w:val="105"/>
        </w:rPr>
        <w:t> </w:t>
      </w:r>
      <w:r>
        <w:rPr>
          <w:color w:val="231F20"/>
          <w:spacing w:val="-2"/>
          <w:w w:val="105"/>
        </w:rPr>
        <w:t>manera</w:t>
      </w:r>
      <w:r>
        <w:rPr>
          <w:color w:val="231F20"/>
          <w:spacing w:val="-10"/>
          <w:w w:val="105"/>
        </w:rPr>
        <w:t> </w:t>
      </w:r>
      <w:r>
        <w:rPr>
          <w:color w:val="231F20"/>
          <w:w w:val="105"/>
        </w:rPr>
        <w:t>en</w:t>
      </w:r>
      <w:r>
        <w:rPr>
          <w:color w:val="231F20"/>
          <w:spacing w:val="-10"/>
          <w:w w:val="105"/>
        </w:rPr>
        <w:t> </w:t>
      </w:r>
      <w:r>
        <w:rPr>
          <w:color w:val="231F20"/>
          <w:w w:val="105"/>
        </w:rPr>
        <w:t>que</w:t>
      </w:r>
      <w:r>
        <w:rPr>
          <w:color w:val="231F20"/>
          <w:spacing w:val="-10"/>
          <w:w w:val="105"/>
        </w:rPr>
        <w:t> </w:t>
      </w:r>
      <w:r>
        <w:rPr>
          <w:color w:val="231F20"/>
          <w:w w:val="105"/>
        </w:rPr>
        <w:t>una</w:t>
      </w:r>
      <w:r>
        <w:rPr>
          <w:color w:val="231F20"/>
          <w:spacing w:val="-10"/>
          <w:w w:val="105"/>
        </w:rPr>
        <w:t> </w:t>
      </w:r>
      <w:r>
        <w:rPr>
          <w:color w:val="231F20"/>
          <w:spacing w:val="-3"/>
          <w:w w:val="105"/>
        </w:rPr>
        <w:t>organización </w:t>
      </w:r>
      <w:r>
        <w:rPr>
          <w:color w:val="231F20"/>
          <w:w w:val="105"/>
        </w:rPr>
        <w:t>fije</w:t>
      </w:r>
      <w:r>
        <w:rPr>
          <w:color w:val="231F20"/>
          <w:spacing w:val="-25"/>
          <w:w w:val="105"/>
        </w:rPr>
        <w:t> </w:t>
      </w:r>
      <w:r>
        <w:rPr>
          <w:color w:val="231F20"/>
          <w:w w:val="105"/>
        </w:rPr>
        <w:t>sus</w:t>
      </w:r>
      <w:r>
        <w:rPr>
          <w:color w:val="231F20"/>
          <w:spacing w:val="-25"/>
          <w:w w:val="105"/>
        </w:rPr>
        <w:t> </w:t>
      </w:r>
      <w:r>
        <w:rPr>
          <w:color w:val="231F20"/>
          <w:w w:val="105"/>
        </w:rPr>
        <w:t>metas</w:t>
      </w:r>
      <w:r>
        <w:rPr>
          <w:color w:val="231F20"/>
          <w:spacing w:val="-25"/>
          <w:w w:val="105"/>
        </w:rPr>
        <w:t> </w:t>
      </w:r>
      <w:r>
        <w:rPr>
          <w:color w:val="231F20"/>
          <w:w w:val="105"/>
        </w:rPr>
        <w:t>depende,</w:t>
      </w:r>
      <w:r>
        <w:rPr>
          <w:color w:val="231F20"/>
          <w:spacing w:val="-31"/>
          <w:w w:val="105"/>
        </w:rPr>
        <w:t> </w:t>
      </w:r>
      <w:r>
        <w:rPr>
          <w:color w:val="231F20"/>
          <w:w w:val="105"/>
        </w:rPr>
        <w:t>en</w:t>
      </w:r>
      <w:r>
        <w:rPr>
          <w:color w:val="231F20"/>
          <w:spacing w:val="-25"/>
          <w:w w:val="105"/>
        </w:rPr>
        <w:t> </w:t>
      </w:r>
      <w:r>
        <w:rPr>
          <w:color w:val="231F20"/>
          <w:w w:val="105"/>
        </w:rPr>
        <w:t>gran</w:t>
      </w:r>
      <w:r>
        <w:rPr>
          <w:color w:val="231F20"/>
          <w:spacing w:val="-25"/>
          <w:w w:val="105"/>
        </w:rPr>
        <w:t> </w:t>
      </w:r>
      <w:r>
        <w:rPr>
          <w:color w:val="231F20"/>
          <w:spacing w:val="-2"/>
          <w:w w:val="105"/>
        </w:rPr>
        <w:t>parte,</w:t>
      </w:r>
      <w:r>
        <w:rPr>
          <w:color w:val="231F20"/>
          <w:spacing w:val="-31"/>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medida</w:t>
      </w:r>
      <w:r>
        <w:rPr>
          <w:color w:val="231F20"/>
          <w:spacing w:val="-25"/>
          <w:w w:val="105"/>
        </w:rPr>
        <w:t> </w:t>
      </w:r>
      <w:r>
        <w:rPr>
          <w:color w:val="231F20"/>
          <w:w w:val="105"/>
        </w:rPr>
        <w:t>en</w:t>
      </w:r>
      <w:r>
        <w:rPr>
          <w:color w:val="231F20"/>
          <w:spacing w:val="-25"/>
          <w:w w:val="105"/>
        </w:rPr>
        <w:t> </w:t>
      </w:r>
      <w:r>
        <w:rPr>
          <w:color w:val="231F20"/>
          <w:w w:val="105"/>
        </w:rPr>
        <w:t>que</w:t>
      </w:r>
      <w:r>
        <w:rPr>
          <w:color w:val="231F20"/>
          <w:spacing w:val="-25"/>
          <w:w w:val="105"/>
        </w:rPr>
        <w:t> </w:t>
      </w:r>
      <w:r>
        <w:rPr>
          <w:color w:val="231F20"/>
          <w:w w:val="105"/>
        </w:rPr>
        <w:t>puede</w:t>
      </w:r>
      <w:r>
        <w:rPr>
          <w:color w:val="231F20"/>
          <w:spacing w:val="-25"/>
          <w:w w:val="105"/>
        </w:rPr>
        <w:t> </w:t>
      </w:r>
      <w:r>
        <w:rPr>
          <w:color w:val="231F20"/>
          <w:spacing w:val="-3"/>
          <w:w w:val="105"/>
        </w:rPr>
        <w:t>contro- </w:t>
      </w:r>
      <w:r>
        <w:rPr>
          <w:color w:val="231F20"/>
          <w:w w:val="105"/>
        </w:rPr>
        <w:t>lar</w:t>
      </w:r>
      <w:r>
        <w:rPr>
          <w:color w:val="231F20"/>
          <w:spacing w:val="-30"/>
          <w:w w:val="105"/>
        </w:rPr>
        <w:t> </w:t>
      </w:r>
      <w:r>
        <w:rPr>
          <w:color w:val="231F20"/>
          <w:w w:val="105"/>
        </w:rPr>
        <w:t>el</w:t>
      </w:r>
      <w:r>
        <w:rPr>
          <w:color w:val="231F20"/>
          <w:spacing w:val="-30"/>
          <w:w w:val="105"/>
        </w:rPr>
        <w:t> </w:t>
      </w:r>
      <w:r>
        <w:rPr>
          <w:color w:val="231F20"/>
          <w:w w:val="105"/>
        </w:rPr>
        <w:t>medio</w:t>
      </w:r>
      <w:r>
        <w:rPr>
          <w:color w:val="231F20"/>
          <w:spacing w:val="-30"/>
          <w:w w:val="105"/>
        </w:rPr>
        <w:t> </w:t>
      </w:r>
      <w:r>
        <w:rPr>
          <w:color w:val="231F20"/>
          <w:w w:val="105"/>
        </w:rPr>
        <w:t>(Schein,</w:t>
      </w:r>
      <w:r>
        <w:rPr>
          <w:color w:val="231F20"/>
          <w:spacing w:val="-34"/>
          <w:w w:val="105"/>
        </w:rPr>
        <w:t> </w:t>
      </w:r>
      <w:r>
        <w:rPr>
          <w:color w:val="231F20"/>
          <w:w w:val="105"/>
        </w:rPr>
        <w:t>1982).</w:t>
      </w:r>
      <w:r>
        <w:rPr>
          <w:color w:val="231F20"/>
          <w:spacing w:val="-34"/>
          <w:w w:val="105"/>
        </w:rPr>
        <w:t> </w:t>
      </w:r>
      <w:r>
        <w:rPr>
          <w:color w:val="231F20"/>
          <w:w w:val="105"/>
        </w:rPr>
        <w:t>Estos</w:t>
      </w:r>
      <w:r>
        <w:rPr>
          <w:color w:val="231F20"/>
          <w:spacing w:val="-30"/>
          <w:w w:val="105"/>
        </w:rPr>
        <w:t> </w:t>
      </w:r>
      <w:r>
        <w:rPr>
          <w:color w:val="231F20"/>
          <w:spacing w:val="-3"/>
          <w:w w:val="105"/>
        </w:rPr>
        <w:t>patrones</w:t>
      </w:r>
      <w:r>
        <w:rPr>
          <w:color w:val="231F20"/>
          <w:spacing w:val="-30"/>
          <w:w w:val="105"/>
        </w:rPr>
        <w:t> </w:t>
      </w:r>
      <w:r>
        <w:rPr>
          <w:color w:val="231F20"/>
          <w:w w:val="105"/>
        </w:rPr>
        <w:t>de</w:t>
      </w:r>
      <w:r>
        <w:rPr>
          <w:color w:val="231F20"/>
          <w:spacing w:val="-30"/>
          <w:w w:val="105"/>
        </w:rPr>
        <w:t> </w:t>
      </w:r>
      <w:r>
        <w:rPr>
          <w:color w:val="231F20"/>
          <w:w w:val="105"/>
        </w:rPr>
        <w:t>comportamiento</w:t>
      </w:r>
      <w:r>
        <w:rPr>
          <w:color w:val="231F20"/>
          <w:spacing w:val="-30"/>
          <w:w w:val="105"/>
        </w:rPr>
        <w:t> </w:t>
      </w:r>
      <w:r>
        <w:rPr>
          <w:color w:val="231F20"/>
          <w:spacing w:val="-3"/>
          <w:w w:val="105"/>
        </w:rPr>
        <w:t>provienen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forma</w:t>
      </w:r>
      <w:r>
        <w:rPr>
          <w:color w:val="231F20"/>
          <w:spacing w:val="-16"/>
          <w:w w:val="105"/>
        </w:rPr>
        <w:t> </w:t>
      </w:r>
      <w:r>
        <w:rPr>
          <w:color w:val="231F20"/>
          <w:w w:val="105"/>
        </w:rPr>
        <w:t>en</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spacing w:val="-3"/>
          <w:w w:val="105"/>
        </w:rPr>
        <w:t>organización</w:t>
      </w:r>
      <w:r>
        <w:rPr>
          <w:color w:val="231F20"/>
          <w:spacing w:val="-16"/>
          <w:w w:val="105"/>
        </w:rPr>
        <w:t> </w:t>
      </w:r>
      <w:r>
        <w:rPr>
          <w:color w:val="231F20"/>
          <w:w w:val="105"/>
        </w:rPr>
        <w:t>concibe</w:t>
      </w:r>
      <w:r>
        <w:rPr>
          <w:color w:val="231F20"/>
          <w:spacing w:val="-16"/>
          <w:w w:val="105"/>
        </w:rPr>
        <w:t> </w:t>
      </w:r>
      <w:r>
        <w:rPr>
          <w:color w:val="231F20"/>
          <w:w w:val="105"/>
        </w:rPr>
        <w:t>su</w:t>
      </w:r>
      <w:r>
        <w:rPr>
          <w:color w:val="231F20"/>
          <w:spacing w:val="-16"/>
          <w:w w:val="105"/>
        </w:rPr>
        <w:t> </w:t>
      </w:r>
      <w:r>
        <w:rPr>
          <w:color w:val="231F20"/>
          <w:w w:val="105"/>
        </w:rPr>
        <w:t>papel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entorno.</w:t>
      </w:r>
    </w:p>
    <w:p>
      <w:pPr>
        <w:pStyle w:val="BodyText"/>
        <w:spacing w:line="259" w:lineRule="auto"/>
        <w:ind w:left="103" w:right="114" w:firstLine="567"/>
        <w:jc w:val="both"/>
      </w:pPr>
      <w:r>
        <w:rPr>
          <w:color w:val="231F20"/>
          <w:w w:val="105"/>
        </w:rPr>
        <w:t>Las</w:t>
      </w:r>
      <w:r>
        <w:rPr>
          <w:color w:val="231F20"/>
          <w:spacing w:val="-12"/>
          <w:w w:val="105"/>
        </w:rPr>
        <w:t> </w:t>
      </w:r>
      <w:r>
        <w:rPr>
          <w:color w:val="231F20"/>
          <w:w w:val="105"/>
        </w:rPr>
        <w:t>estrategias</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2"/>
          <w:w w:val="105"/>
        </w:rPr>
        <w:t> </w:t>
      </w:r>
      <w:r>
        <w:rPr>
          <w:color w:val="231F20"/>
          <w:w w:val="105"/>
        </w:rPr>
        <w:t>adopta</w:t>
      </w:r>
      <w:r>
        <w:rPr>
          <w:color w:val="231F20"/>
          <w:spacing w:val="-12"/>
          <w:w w:val="105"/>
        </w:rPr>
        <w:t> </w:t>
      </w:r>
      <w:r>
        <w:rPr>
          <w:color w:val="231F20"/>
          <w:w w:val="105"/>
        </w:rPr>
        <w:t>para</w:t>
      </w:r>
      <w:r>
        <w:rPr>
          <w:color w:val="231F20"/>
          <w:spacing w:val="-12"/>
          <w:w w:val="105"/>
        </w:rPr>
        <w:t> </w:t>
      </w:r>
      <w:r>
        <w:rPr>
          <w:color w:val="231F20"/>
          <w:w w:val="105"/>
        </w:rPr>
        <w:t>alcanzar</w:t>
      </w:r>
      <w:r>
        <w:rPr>
          <w:color w:val="231F20"/>
          <w:spacing w:val="-12"/>
          <w:w w:val="105"/>
        </w:rPr>
        <w:t> </w:t>
      </w:r>
      <w:r>
        <w:rPr>
          <w:color w:val="231F20"/>
          <w:w w:val="105"/>
        </w:rPr>
        <w:t>y</w:t>
      </w:r>
      <w:r>
        <w:rPr>
          <w:color w:val="231F20"/>
          <w:spacing w:val="-12"/>
          <w:w w:val="105"/>
        </w:rPr>
        <w:t> </w:t>
      </w:r>
      <w:r>
        <w:rPr>
          <w:color w:val="231F20"/>
          <w:w w:val="105"/>
        </w:rPr>
        <w:t>contri- buir</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sustentabilidad</w:t>
      </w:r>
      <w:r>
        <w:rPr>
          <w:color w:val="231F20"/>
          <w:spacing w:val="-5"/>
          <w:w w:val="105"/>
        </w:rPr>
        <w:t> </w:t>
      </w:r>
      <w:r>
        <w:rPr>
          <w:color w:val="231F20"/>
          <w:w w:val="105"/>
        </w:rPr>
        <w:t>deberán</w:t>
      </w:r>
      <w:r>
        <w:rPr>
          <w:color w:val="231F20"/>
          <w:spacing w:val="-5"/>
          <w:w w:val="105"/>
        </w:rPr>
        <w:t> </w:t>
      </w:r>
      <w:r>
        <w:rPr>
          <w:color w:val="231F20"/>
          <w:w w:val="105"/>
        </w:rPr>
        <w:t>orientar</w:t>
      </w:r>
      <w:r>
        <w:rPr>
          <w:color w:val="231F20"/>
          <w:spacing w:val="-5"/>
          <w:w w:val="105"/>
        </w:rPr>
        <w:t> </w:t>
      </w:r>
      <w:r>
        <w:rPr>
          <w:color w:val="231F20"/>
          <w:w w:val="105"/>
        </w:rPr>
        <w:t>su</w:t>
      </w:r>
      <w:r>
        <w:rPr>
          <w:color w:val="231F20"/>
          <w:spacing w:val="-5"/>
          <w:w w:val="105"/>
        </w:rPr>
        <w:t> </w:t>
      </w:r>
      <w:r>
        <w:rPr>
          <w:color w:val="231F20"/>
          <w:w w:val="105"/>
        </w:rPr>
        <w:t>actuación</w:t>
      </w:r>
      <w:r>
        <w:rPr>
          <w:color w:val="231F20"/>
          <w:spacing w:val="-5"/>
          <w:w w:val="105"/>
        </w:rPr>
        <w:t> </w:t>
      </w:r>
      <w:r>
        <w:rPr>
          <w:color w:val="231F20"/>
          <w:w w:val="105"/>
        </w:rPr>
        <w:t>al</w:t>
      </w:r>
      <w:r>
        <w:rPr>
          <w:color w:val="231F20"/>
          <w:spacing w:val="-5"/>
          <w:w w:val="105"/>
        </w:rPr>
        <w:t> </w:t>
      </w:r>
      <w:r>
        <w:rPr>
          <w:color w:val="231F20"/>
          <w:w w:val="105"/>
        </w:rPr>
        <w:t>manejo</w:t>
      </w:r>
      <w:r>
        <w:rPr>
          <w:color w:val="231F20"/>
          <w:spacing w:val="-5"/>
          <w:w w:val="105"/>
        </w:rPr>
        <w:t> </w:t>
      </w:r>
      <w:r>
        <w:rPr>
          <w:color w:val="231F20"/>
          <w:w w:val="105"/>
        </w:rPr>
        <w:t>de</w:t>
      </w:r>
      <w:r>
        <w:rPr>
          <w:color w:val="231F20"/>
          <w:spacing w:val="-5"/>
          <w:w w:val="105"/>
        </w:rPr>
        <w:t> </w:t>
      </w:r>
      <w:r>
        <w:rPr>
          <w:color w:val="231F20"/>
          <w:w w:val="105"/>
        </w:rPr>
        <w:t>los recursos</w:t>
      </w:r>
      <w:r>
        <w:rPr>
          <w:color w:val="231F20"/>
          <w:spacing w:val="-35"/>
          <w:w w:val="105"/>
        </w:rPr>
        <w:t> </w:t>
      </w:r>
      <w:r>
        <w:rPr>
          <w:color w:val="231F20"/>
          <w:w w:val="105"/>
        </w:rPr>
        <w:t>naturales,</w:t>
      </w:r>
      <w:r>
        <w:rPr>
          <w:color w:val="231F20"/>
          <w:spacing w:val="-38"/>
          <w:w w:val="105"/>
        </w:rPr>
        <w:t> </w:t>
      </w:r>
      <w:r>
        <w:rPr>
          <w:color w:val="231F20"/>
          <w:w w:val="105"/>
        </w:rPr>
        <w:t>sociales</w:t>
      </w:r>
      <w:r>
        <w:rPr>
          <w:color w:val="231F20"/>
          <w:spacing w:val="-35"/>
          <w:w w:val="105"/>
        </w:rPr>
        <w:t> </w:t>
      </w:r>
      <w:r>
        <w:rPr>
          <w:color w:val="231F20"/>
          <w:w w:val="105"/>
        </w:rPr>
        <w:t>y</w:t>
      </w:r>
      <w:r>
        <w:rPr>
          <w:color w:val="231F20"/>
          <w:spacing w:val="-35"/>
          <w:w w:val="105"/>
        </w:rPr>
        <w:t> </w:t>
      </w:r>
      <w:r>
        <w:rPr>
          <w:color w:val="231F20"/>
          <w:w w:val="105"/>
        </w:rPr>
        <w:t>financieros</w:t>
      </w:r>
      <w:r>
        <w:rPr>
          <w:color w:val="231F20"/>
          <w:spacing w:val="-35"/>
          <w:w w:val="105"/>
        </w:rPr>
        <w:t> </w:t>
      </w:r>
      <w:r>
        <w:rPr>
          <w:color w:val="231F20"/>
          <w:w w:val="105"/>
        </w:rPr>
        <w:t>para</w:t>
      </w:r>
      <w:r>
        <w:rPr>
          <w:color w:val="231F20"/>
          <w:spacing w:val="-35"/>
          <w:w w:val="105"/>
        </w:rPr>
        <w:t> </w:t>
      </w:r>
      <w:r>
        <w:rPr>
          <w:color w:val="231F20"/>
          <w:w w:val="105"/>
        </w:rPr>
        <w:t>alcanzar</w:t>
      </w:r>
      <w:r>
        <w:rPr>
          <w:color w:val="231F20"/>
          <w:spacing w:val="-35"/>
          <w:w w:val="105"/>
        </w:rPr>
        <w:t> </w:t>
      </w:r>
      <w:r>
        <w:rPr>
          <w:color w:val="231F20"/>
          <w:w w:val="105"/>
        </w:rPr>
        <w:t>una</w:t>
      </w:r>
      <w:r>
        <w:rPr>
          <w:color w:val="231F20"/>
          <w:spacing w:val="-35"/>
          <w:w w:val="105"/>
        </w:rPr>
        <w:t> </w:t>
      </w:r>
      <w:r>
        <w:rPr>
          <w:color w:val="231F20"/>
          <w:w w:val="105"/>
        </w:rPr>
        <w:t>mejor</w:t>
      </w:r>
      <w:r>
        <w:rPr>
          <w:color w:val="231F20"/>
          <w:spacing w:val="-35"/>
          <w:w w:val="105"/>
        </w:rPr>
        <w:t> </w:t>
      </w:r>
      <w:r>
        <w:rPr>
          <w:color w:val="231F20"/>
          <w:w w:val="105"/>
        </w:rPr>
        <w:t>calidad de</w:t>
      </w:r>
      <w:r>
        <w:rPr>
          <w:color w:val="231F20"/>
          <w:spacing w:val="-11"/>
          <w:w w:val="105"/>
        </w:rPr>
        <w:t> </w:t>
      </w:r>
      <w:r>
        <w:rPr>
          <w:color w:val="231F20"/>
          <w:w w:val="105"/>
        </w:rPr>
        <w:t>vida</w:t>
      </w:r>
      <w:r>
        <w:rPr>
          <w:color w:val="231F20"/>
          <w:spacing w:val="-11"/>
          <w:w w:val="105"/>
        </w:rPr>
        <w:t> </w:t>
      </w:r>
      <w:r>
        <w:rPr>
          <w:color w:val="231F20"/>
          <w:w w:val="105"/>
        </w:rPr>
        <w:t>para</w:t>
      </w:r>
      <w:r>
        <w:rPr>
          <w:color w:val="231F20"/>
          <w:spacing w:val="-11"/>
          <w:w w:val="105"/>
        </w:rPr>
        <w:t> </w:t>
      </w:r>
      <w:r>
        <w:rPr>
          <w:color w:val="231F20"/>
          <w:w w:val="105"/>
        </w:rPr>
        <w:t>sus</w:t>
      </w:r>
      <w:r>
        <w:rPr>
          <w:color w:val="231F20"/>
          <w:spacing w:val="-11"/>
          <w:w w:val="105"/>
        </w:rPr>
        <w:t> </w:t>
      </w:r>
      <w:r>
        <w:rPr>
          <w:color w:val="231F20"/>
          <w:w w:val="105"/>
        </w:rPr>
        <w:t>públicos</w:t>
      </w:r>
      <w:r>
        <w:rPr>
          <w:color w:val="231F20"/>
          <w:spacing w:val="-11"/>
          <w:w w:val="105"/>
        </w:rPr>
        <w:t> </w:t>
      </w:r>
      <w:r>
        <w:rPr>
          <w:color w:val="231F20"/>
          <w:w w:val="105"/>
        </w:rPr>
        <w:t>interesados,</w:t>
      </w:r>
      <w:r>
        <w:rPr>
          <w:color w:val="231F20"/>
          <w:spacing w:val="-16"/>
          <w:w w:val="105"/>
        </w:rPr>
        <w:t> </w:t>
      </w:r>
      <w:r>
        <w:rPr>
          <w:color w:val="231F20"/>
          <w:w w:val="105"/>
        </w:rPr>
        <w:t>evitando</w:t>
      </w:r>
      <w:r>
        <w:rPr>
          <w:color w:val="231F20"/>
          <w:spacing w:val="-11"/>
          <w:w w:val="105"/>
        </w:rPr>
        <w:t> </w:t>
      </w:r>
      <w:r>
        <w:rPr>
          <w:color w:val="231F20"/>
          <w:w w:val="105"/>
        </w:rPr>
        <w:t>que</w:t>
      </w:r>
      <w:r>
        <w:rPr>
          <w:color w:val="231F20"/>
          <w:spacing w:val="-11"/>
          <w:w w:val="105"/>
        </w:rPr>
        <w:t> </w:t>
      </w:r>
      <w:r>
        <w:rPr>
          <w:color w:val="231F20"/>
          <w:w w:val="105"/>
        </w:rPr>
        <w:t>patrones</w:t>
      </w:r>
      <w:r>
        <w:rPr>
          <w:color w:val="231F20"/>
          <w:spacing w:val="-11"/>
          <w:w w:val="105"/>
        </w:rPr>
        <w:t> </w:t>
      </w:r>
      <w:r>
        <w:rPr>
          <w:color w:val="231F20"/>
          <w:w w:val="105"/>
        </w:rPr>
        <w:t>de</w:t>
      </w:r>
      <w:r>
        <w:rPr>
          <w:color w:val="231F20"/>
          <w:spacing w:val="-11"/>
          <w:w w:val="105"/>
        </w:rPr>
        <w:t> </w:t>
      </w:r>
      <w:r>
        <w:rPr>
          <w:color w:val="231F20"/>
          <w:w w:val="105"/>
        </w:rPr>
        <w:t>consu- mo afecten el bienestar de las generaciones futuras (Aragón, Senise y Matías,</w:t>
      </w:r>
      <w:r>
        <w:rPr>
          <w:color w:val="231F20"/>
          <w:spacing w:val="-40"/>
          <w:w w:val="105"/>
        </w:rPr>
        <w:t> </w:t>
      </w:r>
      <w:r>
        <w:rPr>
          <w:color w:val="231F20"/>
          <w:w w:val="105"/>
        </w:rPr>
        <w:t>1998).</w:t>
      </w:r>
      <w:r>
        <w:rPr>
          <w:color w:val="231F20"/>
          <w:spacing w:val="-40"/>
          <w:w w:val="105"/>
        </w:rPr>
        <w:t> </w:t>
      </w:r>
      <w:r>
        <w:rPr>
          <w:color w:val="231F20"/>
          <w:w w:val="105"/>
        </w:rPr>
        <w:t>Con</w:t>
      </w:r>
      <w:r>
        <w:rPr>
          <w:color w:val="231F20"/>
          <w:spacing w:val="-37"/>
          <w:w w:val="105"/>
        </w:rPr>
        <w:t> </w:t>
      </w:r>
      <w:r>
        <w:rPr>
          <w:color w:val="231F20"/>
          <w:w w:val="105"/>
        </w:rPr>
        <w:t>esta</w:t>
      </w:r>
      <w:r>
        <w:rPr>
          <w:color w:val="231F20"/>
          <w:spacing w:val="-37"/>
          <w:w w:val="105"/>
        </w:rPr>
        <w:t> </w:t>
      </w:r>
      <w:r>
        <w:rPr>
          <w:color w:val="231F20"/>
          <w:w w:val="105"/>
        </w:rPr>
        <w:t>perspectiva,</w:t>
      </w:r>
      <w:r>
        <w:rPr>
          <w:color w:val="231F20"/>
          <w:spacing w:val="-40"/>
          <w:w w:val="105"/>
        </w:rPr>
        <w:t> </w:t>
      </w:r>
      <w:r>
        <w:rPr>
          <w:color w:val="231F20"/>
          <w:w w:val="105"/>
        </w:rPr>
        <w:t>las</w:t>
      </w:r>
      <w:r>
        <w:rPr>
          <w:color w:val="231F20"/>
          <w:spacing w:val="-37"/>
          <w:w w:val="105"/>
        </w:rPr>
        <w:t> </w:t>
      </w:r>
      <w:r>
        <w:rPr>
          <w:color w:val="231F20"/>
          <w:w w:val="105"/>
        </w:rPr>
        <w:t>estrategias</w:t>
      </w:r>
      <w:r>
        <w:rPr>
          <w:color w:val="231F20"/>
          <w:spacing w:val="-37"/>
          <w:w w:val="105"/>
        </w:rPr>
        <w:t> </w:t>
      </w:r>
      <w:r>
        <w:rPr>
          <w:color w:val="231F20"/>
          <w:w w:val="105"/>
        </w:rPr>
        <w:t>organizacionales</w:t>
      </w:r>
      <w:r>
        <w:rPr>
          <w:color w:val="231F20"/>
          <w:spacing w:val="-37"/>
          <w:w w:val="105"/>
        </w:rPr>
        <w:t> </w:t>
      </w:r>
      <w:r>
        <w:rPr>
          <w:color w:val="231F20"/>
          <w:w w:val="105"/>
        </w:rPr>
        <w:t>son instrumentos políticos y legales requeridos para apoyar a las</w:t>
      </w:r>
      <w:r>
        <w:rPr>
          <w:color w:val="231F20"/>
          <w:spacing w:val="-34"/>
          <w:w w:val="105"/>
        </w:rPr>
        <w:t> </w:t>
      </w:r>
      <w:r>
        <w:rPr>
          <w:color w:val="231F20"/>
          <w:w w:val="105"/>
        </w:rPr>
        <w:t>dimensio- nes</w:t>
      </w:r>
      <w:r>
        <w:rPr>
          <w:color w:val="231F20"/>
          <w:spacing w:val="-24"/>
          <w:w w:val="105"/>
        </w:rPr>
        <w:t> </w:t>
      </w:r>
      <w:r>
        <w:rPr>
          <w:color w:val="231F20"/>
          <w:w w:val="105"/>
        </w:rPr>
        <w:t>social,</w:t>
      </w:r>
      <w:r>
        <w:rPr>
          <w:color w:val="231F20"/>
          <w:spacing w:val="-30"/>
          <w:w w:val="105"/>
        </w:rPr>
        <w:t> </w:t>
      </w:r>
      <w:r>
        <w:rPr>
          <w:color w:val="231F20"/>
          <w:w w:val="105"/>
        </w:rPr>
        <w:t>ambiental</w:t>
      </w:r>
      <w:r>
        <w:rPr>
          <w:color w:val="231F20"/>
          <w:spacing w:val="-24"/>
          <w:w w:val="105"/>
        </w:rPr>
        <w:t> </w:t>
      </w:r>
      <w:r>
        <w:rPr>
          <w:color w:val="231F20"/>
          <w:w w:val="105"/>
        </w:rPr>
        <w:t>y</w:t>
      </w:r>
      <w:r>
        <w:rPr>
          <w:color w:val="231F20"/>
          <w:spacing w:val="-24"/>
          <w:w w:val="105"/>
        </w:rPr>
        <w:t> </w:t>
      </w:r>
      <w:r>
        <w:rPr>
          <w:color w:val="231F20"/>
          <w:w w:val="105"/>
        </w:rPr>
        <w:t>económico-financiera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logro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sustentabi- lidad</w:t>
      </w:r>
      <w:r>
        <w:rPr>
          <w:color w:val="231F20"/>
          <w:spacing w:val="-23"/>
          <w:w w:val="105"/>
        </w:rPr>
        <w:t> </w:t>
      </w:r>
      <w:r>
        <w:rPr>
          <w:color w:val="231F20"/>
          <w:w w:val="105"/>
        </w:rPr>
        <w:t>organizacional,</w:t>
      </w:r>
      <w:r>
        <w:rPr>
          <w:color w:val="231F20"/>
          <w:spacing w:val="-27"/>
          <w:w w:val="105"/>
        </w:rPr>
        <w:t> </w:t>
      </w:r>
      <w:r>
        <w:rPr>
          <w:color w:val="231F20"/>
          <w:w w:val="105"/>
        </w:rPr>
        <w:t>mientras</w:t>
      </w:r>
      <w:r>
        <w:rPr>
          <w:color w:val="231F20"/>
          <w:spacing w:val="-23"/>
          <w:w w:val="105"/>
        </w:rPr>
        <w:t> </w:t>
      </w:r>
      <w:r>
        <w:rPr>
          <w:color w:val="231F20"/>
          <w:w w:val="105"/>
        </w:rPr>
        <w:t>que</w:t>
      </w:r>
      <w:r>
        <w:rPr>
          <w:color w:val="231F20"/>
          <w:spacing w:val="-23"/>
          <w:w w:val="105"/>
        </w:rPr>
        <w:t> </w:t>
      </w:r>
      <w:r>
        <w:rPr>
          <w:color w:val="231F20"/>
          <w:w w:val="105"/>
        </w:rPr>
        <w:t>las</w:t>
      </w:r>
      <w:r>
        <w:rPr>
          <w:color w:val="231F20"/>
          <w:spacing w:val="-23"/>
          <w:w w:val="105"/>
        </w:rPr>
        <w:t> </w:t>
      </w:r>
      <w:r>
        <w:rPr>
          <w:color w:val="231F20"/>
          <w:w w:val="105"/>
        </w:rPr>
        <w:t>funciones</w:t>
      </w:r>
      <w:r>
        <w:rPr>
          <w:color w:val="231F20"/>
          <w:spacing w:val="-23"/>
          <w:w w:val="105"/>
        </w:rPr>
        <w:t> </w:t>
      </w:r>
      <w:r>
        <w:rPr>
          <w:color w:val="231F20"/>
          <w:w w:val="105"/>
        </w:rPr>
        <w:t>organizativas</w:t>
      </w:r>
      <w:r>
        <w:rPr>
          <w:color w:val="231F20"/>
          <w:spacing w:val="-23"/>
          <w:w w:val="105"/>
        </w:rPr>
        <w:t> </w:t>
      </w:r>
      <w:r>
        <w:rPr>
          <w:color w:val="231F20"/>
          <w:w w:val="105"/>
        </w:rPr>
        <w:t>deben</w:t>
      </w:r>
      <w:r>
        <w:rPr>
          <w:color w:val="231F20"/>
          <w:spacing w:val="-23"/>
          <w:w w:val="105"/>
        </w:rPr>
        <w:t> </w:t>
      </w:r>
      <w:r>
        <w:rPr>
          <w:color w:val="231F20"/>
          <w:w w:val="105"/>
        </w:rPr>
        <w:t>es- tar</w:t>
      </w:r>
      <w:r>
        <w:rPr>
          <w:color w:val="231F20"/>
          <w:spacing w:val="-27"/>
          <w:w w:val="105"/>
        </w:rPr>
        <w:t> </w:t>
      </w:r>
      <w:r>
        <w:rPr>
          <w:color w:val="231F20"/>
          <w:w w:val="105"/>
        </w:rPr>
        <w:t>dirigidas</w:t>
      </w:r>
      <w:r>
        <w:rPr>
          <w:color w:val="231F20"/>
          <w:spacing w:val="-27"/>
          <w:w w:val="105"/>
        </w:rPr>
        <w:t> </w:t>
      </w:r>
      <w:r>
        <w:rPr>
          <w:color w:val="231F20"/>
          <w:w w:val="105"/>
        </w:rPr>
        <w:t>al</w:t>
      </w:r>
      <w:r>
        <w:rPr>
          <w:color w:val="231F20"/>
          <w:spacing w:val="-27"/>
          <w:w w:val="105"/>
        </w:rPr>
        <w:t> </w:t>
      </w:r>
      <w:r>
        <w:rPr>
          <w:color w:val="231F20"/>
          <w:w w:val="105"/>
        </w:rPr>
        <w:t>desarrollo</w:t>
      </w:r>
      <w:r>
        <w:rPr>
          <w:color w:val="231F20"/>
          <w:spacing w:val="-27"/>
          <w:w w:val="105"/>
        </w:rPr>
        <w:t> </w:t>
      </w:r>
      <w:r>
        <w:rPr>
          <w:color w:val="231F20"/>
          <w:w w:val="105"/>
        </w:rPr>
        <w:t>de</w:t>
      </w:r>
      <w:r>
        <w:rPr>
          <w:color w:val="231F20"/>
          <w:spacing w:val="-27"/>
          <w:w w:val="105"/>
        </w:rPr>
        <w:t> </w:t>
      </w:r>
      <w:r>
        <w:rPr>
          <w:color w:val="231F20"/>
          <w:w w:val="105"/>
        </w:rPr>
        <w:t>recursos</w:t>
      </w:r>
      <w:r>
        <w:rPr>
          <w:color w:val="231F20"/>
          <w:spacing w:val="-27"/>
          <w:w w:val="105"/>
        </w:rPr>
        <w:t> </w:t>
      </w:r>
      <w:r>
        <w:rPr>
          <w:color w:val="231F20"/>
          <w:w w:val="105"/>
        </w:rPr>
        <w:t>y</w:t>
      </w:r>
      <w:r>
        <w:rPr>
          <w:color w:val="231F20"/>
          <w:spacing w:val="-27"/>
          <w:w w:val="105"/>
        </w:rPr>
        <w:t> </w:t>
      </w:r>
      <w:r>
        <w:rPr>
          <w:color w:val="231F20"/>
          <w:w w:val="105"/>
        </w:rPr>
        <w:t>capacidades</w:t>
      </w:r>
      <w:r>
        <w:rPr>
          <w:color w:val="231F20"/>
          <w:spacing w:val="-27"/>
          <w:w w:val="105"/>
        </w:rPr>
        <w:t> </w:t>
      </w:r>
      <w:r>
        <w:rPr>
          <w:color w:val="231F20"/>
          <w:w w:val="105"/>
        </w:rPr>
        <w:t>humanas,</w:t>
      </w:r>
      <w:r>
        <w:rPr>
          <w:color w:val="231F20"/>
          <w:spacing w:val="-31"/>
          <w:w w:val="105"/>
        </w:rPr>
        <w:t> </w:t>
      </w:r>
      <w:r>
        <w:rPr>
          <w:color w:val="231F20"/>
          <w:w w:val="105"/>
        </w:rPr>
        <w:t>científicas y</w:t>
      </w:r>
      <w:r>
        <w:rPr>
          <w:color w:val="231F20"/>
          <w:spacing w:val="-21"/>
          <w:w w:val="105"/>
        </w:rPr>
        <w:t> </w:t>
      </w:r>
      <w:r>
        <w:rPr>
          <w:color w:val="231F20"/>
          <w:w w:val="105"/>
        </w:rPr>
        <w:t>tecnológicas</w:t>
      </w:r>
      <w:r>
        <w:rPr>
          <w:color w:val="231F20"/>
          <w:spacing w:val="-21"/>
          <w:w w:val="105"/>
        </w:rPr>
        <w:t> </w:t>
      </w:r>
      <w:r>
        <w:rPr>
          <w:color w:val="231F20"/>
          <w:w w:val="105"/>
        </w:rPr>
        <w:t>para</w:t>
      </w:r>
      <w:r>
        <w:rPr>
          <w:color w:val="231F20"/>
          <w:spacing w:val="-21"/>
          <w:w w:val="105"/>
        </w:rPr>
        <w:t> </w:t>
      </w:r>
      <w:r>
        <w:rPr>
          <w:color w:val="231F20"/>
          <w:w w:val="105"/>
        </w:rPr>
        <w:t>progresar</w:t>
      </w:r>
      <w:r>
        <w:rPr>
          <w:color w:val="231F20"/>
          <w:spacing w:val="-21"/>
          <w:w w:val="105"/>
        </w:rPr>
        <w:t> </w:t>
      </w:r>
      <w:r>
        <w:rPr>
          <w:color w:val="231F20"/>
          <w:w w:val="105"/>
        </w:rPr>
        <w:t>hacia</w:t>
      </w:r>
      <w:r>
        <w:rPr>
          <w:color w:val="231F20"/>
          <w:spacing w:val="-21"/>
          <w:w w:val="105"/>
        </w:rPr>
        <w:t> </w:t>
      </w:r>
      <w:r>
        <w:rPr>
          <w:color w:val="231F20"/>
          <w:w w:val="105"/>
        </w:rPr>
        <w:t>la</w:t>
      </w:r>
      <w:r>
        <w:rPr>
          <w:color w:val="231F20"/>
          <w:spacing w:val="-21"/>
          <w:w w:val="105"/>
        </w:rPr>
        <w:t> </w:t>
      </w:r>
      <w:r>
        <w:rPr>
          <w:color w:val="231F20"/>
          <w:w w:val="105"/>
        </w:rPr>
        <w:t>sustentabilidad.</w:t>
      </w: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616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32</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16"/>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136"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33</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spacing w:before="1"/>
        <w:rPr>
          <w:rFonts w:ascii="Lucida Sans Unicode"/>
          <w:sz w:val="31"/>
        </w:rPr>
      </w:pPr>
    </w:p>
    <w:p>
      <w:pPr>
        <w:pStyle w:val="Heading2"/>
      </w:pPr>
      <w:r>
        <w:rPr>
          <w:color w:val="231F20"/>
          <w:w w:val="95"/>
        </w:rPr>
        <w:t>Reflexión final</w:t>
      </w:r>
    </w:p>
    <w:p>
      <w:pPr>
        <w:pStyle w:val="BodyText"/>
        <w:rPr>
          <w:b/>
          <w:sz w:val="22"/>
        </w:rPr>
      </w:pPr>
    </w:p>
    <w:p>
      <w:pPr>
        <w:pStyle w:val="BodyText"/>
        <w:spacing w:line="259" w:lineRule="auto" w:before="160"/>
        <w:ind w:left="117" w:right="121"/>
        <w:jc w:val="both"/>
      </w:pPr>
      <w:r>
        <w:rPr>
          <w:color w:val="231F20"/>
          <w:spacing w:val="-5"/>
          <w:w w:val="105"/>
        </w:rPr>
        <w:t>Tanto</w:t>
      </w:r>
      <w:r>
        <w:rPr>
          <w:color w:val="231F20"/>
          <w:spacing w:val="-23"/>
          <w:w w:val="105"/>
        </w:rPr>
        <w:t> </w:t>
      </w:r>
      <w:r>
        <w:rPr>
          <w:color w:val="231F20"/>
          <w:w w:val="105"/>
        </w:rPr>
        <w:t>la</w:t>
      </w:r>
      <w:r>
        <w:rPr>
          <w:color w:val="231F20"/>
          <w:spacing w:val="-27"/>
          <w:w w:val="105"/>
        </w:rPr>
        <w:t> </w:t>
      </w:r>
      <w:r>
        <w:rPr>
          <w:color w:val="231F20"/>
          <w:w w:val="105"/>
        </w:rPr>
        <w:t>TDR</w:t>
      </w:r>
      <w:r>
        <w:rPr>
          <w:color w:val="231F20"/>
          <w:spacing w:val="-23"/>
          <w:w w:val="105"/>
        </w:rPr>
        <w:t> </w:t>
      </w:r>
      <w:r>
        <w:rPr>
          <w:color w:val="231F20"/>
          <w:w w:val="105"/>
        </w:rPr>
        <w:t>como</w:t>
      </w:r>
      <w:r>
        <w:rPr>
          <w:color w:val="231F20"/>
          <w:spacing w:val="-23"/>
          <w:w w:val="105"/>
        </w:rPr>
        <w:t> </w:t>
      </w:r>
      <w:r>
        <w:rPr>
          <w:color w:val="231F20"/>
          <w:w w:val="105"/>
        </w:rPr>
        <w:t>la</w:t>
      </w:r>
      <w:r>
        <w:rPr>
          <w:color w:val="231F20"/>
          <w:spacing w:val="-27"/>
          <w:w w:val="105"/>
        </w:rPr>
        <w:t> </w:t>
      </w:r>
      <w:r>
        <w:rPr>
          <w:color w:val="231F20"/>
          <w:w w:val="105"/>
        </w:rPr>
        <w:t>TRyC</w:t>
      </w:r>
      <w:r>
        <w:rPr>
          <w:color w:val="231F20"/>
          <w:spacing w:val="-23"/>
          <w:w w:val="105"/>
        </w:rPr>
        <w:t> </w:t>
      </w:r>
      <w:r>
        <w:rPr>
          <w:color w:val="231F20"/>
          <w:w w:val="105"/>
        </w:rPr>
        <w:t>explican</w:t>
      </w:r>
      <w:r>
        <w:rPr>
          <w:color w:val="231F20"/>
          <w:spacing w:val="-23"/>
          <w:w w:val="105"/>
        </w:rPr>
        <w:t> </w:t>
      </w:r>
      <w:r>
        <w:rPr>
          <w:color w:val="231F20"/>
          <w:w w:val="105"/>
        </w:rPr>
        <w:t>cómo</w:t>
      </w:r>
      <w:r>
        <w:rPr>
          <w:color w:val="231F20"/>
          <w:spacing w:val="-23"/>
          <w:w w:val="105"/>
        </w:rPr>
        <w:t> </w:t>
      </w:r>
      <w:r>
        <w:rPr>
          <w:color w:val="231F20"/>
          <w:w w:val="105"/>
        </w:rPr>
        <w:t>dar</w:t>
      </w:r>
      <w:r>
        <w:rPr>
          <w:color w:val="231F20"/>
          <w:spacing w:val="-23"/>
          <w:w w:val="105"/>
        </w:rPr>
        <w:t> </w:t>
      </w:r>
      <w:r>
        <w:rPr>
          <w:color w:val="231F20"/>
          <w:w w:val="105"/>
        </w:rPr>
        <w:t>respuesta</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incertidum- bre en el ambiente organizacional (interno y externo), y cómo buscar recursos</w:t>
      </w:r>
      <w:r>
        <w:rPr>
          <w:color w:val="231F20"/>
          <w:spacing w:val="-20"/>
          <w:w w:val="105"/>
        </w:rPr>
        <w:t> </w:t>
      </w:r>
      <w:r>
        <w:rPr>
          <w:color w:val="231F20"/>
          <w:w w:val="105"/>
        </w:rPr>
        <w:t>para</w:t>
      </w:r>
      <w:r>
        <w:rPr>
          <w:color w:val="231F20"/>
          <w:spacing w:val="-20"/>
          <w:w w:val="105"/>
        </w:rPr>
        <w:t> </w:t>
      </w:r>
      <w:r>
        <w:rPr>
          <w:color w:val="231F20"/>
          <w:w w:val="105"/>
        </w:rPr>
        <w:t>satisfacer</w:t>
      </w:r>
      <w:r>
        <w:rPr>
          <w:color w:val="231F20"/>
          <w:spacing w:val="-20"/>
          <w:w w:val="105"/>
        </w:rPr>
        <w:t> </w:t>
      </w:r>
      <w:r>
        <w:rPr>
          <w:color w:val="231F20"/>
          <w:w w:val="105"/>
        </w:rPr>
        <w:t>las</w:t>
      </w:r>
      <w:r>
        <w:rPr>
          <w:color w:val="231F20"/>
          <w:spacing w:val="-20"/>
          <w:w w:val="105"/>
        </w:rPr>
        <w:t> </w:t>
      </w:r>
      <w:r>
        <w:rPr>
          <w:color w:val="231F20"/>
          <w:w w:val="105"/>
        </w:rPr>
        <w:t>necesidades</w:t>
      </w:r>
      <w:r>
        <w:rPr>
          <w:color w:val="231F20"/>
          <w:spacing w:val="-20"/>
          <w:w w:val="105"/>
        </w:rPr>
        <w:t> </w:t>
      </w:r>
      <w:r>
        <w:rPr>
          <w:color w:val="231F20"/>
          <w:w w:val="105"/>
        </w:rPr>
        <w:t>presentes</w:t>
      </w:r>
      <w:r>
        <w:rPr>
          <w:color w:val="231F20"/>
          <w:spacing w:val="-20"/>
          <w:w w:val="105"/>
        </w:rPr>
        <w:t> </w:t>
      </w:r>
      <w:r>
        <w:rPr>
          <w:color w:val="231F20"/>
          <w:w w:val="105"/>
        </w:rPr>
        <w:t>sin</w:t>
      </w:r>
      <w:r>
        <w:rPr>
          <w:color w:val="231F20"/>
          <w:spacing w:val="-20"/>
          <w:w w:val="105"/>
        </w:rPr>
        <w:t> </w:t>
      </w:r>
      <w:r>
        <w:rPr>
          <w:color w:val="231F20"/>
          <w:w w:val="105"/>
        </w:rPr>
        <w:t>comprometer</w:t>
      </w:r>
      <w:r>
        <w:rPr>
          <w:color w:val="231F20"/>
          <w:spacing w:val="-20"/>
          <w:w w:val="105"/>
        </w:rPr>
        <w:t> </w:t>
      </w:r>
      <w:r>
        <w:rPr>
          <w:color w:val="231F20"/>
          <w:w w:val="105"/>
        </w:rPr>
        <w:t>los recursos</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generaciones</w:t>
      </w:r>
      <w:r>
        <w:rPr>
          <w:color w:val="231F20"/>
          <w:spacing w:val="-27"/>
          <w:w w:val="105"/>
        </w:rPr>
        <w:t> </w:t>
      </w:r>
      <w:r>
        <w:rPr>
          <w:color w:val="231F20"/>
          <w:w w:val="105"/>
        </w:rPr>
        <w:t>venideras.</w:t>
      </w:r>
      <w:r>
        <w:rPr>
          <w:color w:val="231F20"/>
          <w:spacing w:val="-31"/>
          <w:w w:val="105"/>
        </w:rPr>
        <w:t> </w:t>
      </w:r>
      <w:r>
        <w:rPr>
          <w:color w:val="231F20"/>
          <w:w w:val="105"/>
        </w:rPr>
        <w:t>Estas</w:t>
      </w:r>
      <w:r>
        <w:rPr>
          <w:color w:val="231F20"/>
          <w:spacing w:val="-27"/>
          <w:w w:val="105"/>
        </w:rPr>
        <w:t> </w:t>
      </w:r>
      <w:r>
        <w:rPr>
          <w:color w:val="231F20"/>
          <w:w w:val="105"/>
        </w:rPr>
        <w:t>perspectivas</w:t>
      </w:r>
      <w:r>
        <w:rPr>
          <w:color w:val="231F20"/>
          <w:spacing w:val="-27"/>
          <w:w w:val="105"/>
        </w:rPr>
        <w:t> </w:t>
      </w:r>
      <w:r>
        <w:rPr>
          <w:color w:val="231F20"/>
          <w:w w:val="105"/>
        </w:rPr>
        <w:t>no</w:t>
      </w:r>
      <w:r>
        <w:rPr>
          <w:color w:val="231F20"/>
          <w:spacing w:val="-27"/>
          <w:w w:val="105"/>
        </w:rPr>
        <w:t> </w:t>
      </w:r>
      <w:r>
        <w:rPr>
          <w:color w:val="231F20"/>
          <w:w w:val="105"/>
        </w:rPr>
        <w:t>compiten con la economía ecológica y la ecología organizacional para abordar</w:t>
      </w:r>
      <w:r>
        <w:rPr>
          <w:color w:val="231F20"/>
          <w:spacing w:val="-36"/>
          <w:w w:val="105"/>
        </w:rPr>
        <w:t> </w:t>
      </w:r>
      <w:r>
        <w:rPr>
          <w:color w:val="231F20"/>
          <w:w w:val="105"/>
        </w:rPr>
        <w:t>la sustentabilidad</w:t>
      </w:r>
      <w:r>
        <w:rPr>
          <w:color w:val="231F20"/>
          <w:spacing w:val="-24"/>
          <w:w w:val="105"/>
        </w:rPr>
        <w:t> </w:t>
      </w:r>
      <w:r>
        <w:rPr>
          <w:color w:val="231F20"/>
          <w:w w:val="105"/>
        </w:rPr>
        <w:t>en</w:t>
      </w:r>
      <w:r>
        <w:rPr>
          <w:color w:val="231F20"/>
          <w:spacing w:val="-24"/>
          <w:w w:val="105"/>
        </w:rPr>
        <w:t> </w:t>
      </w:r>
      <w:r>
        <w:rPr>
          <w:color w:val="231F20"/>
          <w:w w:val="105"/>
        </w:rPr>
        <w:t>las</w:t>
      </w:r>
      <w:r>
        <w:rPr>
          <w:color w:val="231F20"/>
          <w:spacing w:val="-24"/>
          <w:w w:val="105"/>
        </w:rPr>
        <w:t> </w:t>
      </w:r>
      <w:r>
        <w:rPr>
          <w:color w:val="231F20"/>
          <w:w w:val="105"/>
        </w:rPr>
        <w:t>organizaciones,</w:t>
      </w:r>
      <w:r>
        <w:rPr>
          <w:color w:val="231F20"/>
          <w:spacing w:val="-29"/>
          <w:w w:val="105"/>
        </w:rPr>
        <w:t> </w:t>
      </w:r>
      <w:r>
        <w:rPr>
          <w:color w:val="231F20"/>
          <w:w w:val="105"/>
        </w:rPr>
        <w:t>sino</w:t>
      </w:r>
      <w:r>
        <w:rPr>
          <w:color w:val="231F20"/>
          <w:spacing w:val="-24"/>
          <w:w w:val="105"/>
        </w:rPr>
        <w:t> </w:t>
      </w:r>
      <w:r>
        <w:rPr>
          <w:color w:val="231F20"/>
          <w:w w:val="105"/>
        </w:rPr>
        <w:t>que</w:t>
      </w:r>
      <w:r>
        <w:rPr>
          <w:color w:val="231F20"/>
          <w:spacing w:val="-24"/>
          <w:w w:val="105"/>
        </w:rPr>
        <w:t> </w:t>
      </w:r>
      <w:r>
        <w:rPr>
          <w:color w:val="231F20"/>
          <w:w w:val="105"/>
        </w:rPr>
        <w:t>son</w:t>
      </w:r>
      <w:r>
        <w:rPr>
          <w:color w:val="231F20"/>
          <w:spacing w:val="-24"/>
          <w:w w:val="105"/>
        </w:rPr>
        <w:t> </w:t>
      </w:r>
      <w:r>
        <w:rPr>
          <w:color w:val="231F20"/>
          <w:w w:val="105"/>
        </w:rPr>
        <w:t>niveles</w:t>
      </w:r>
      <w:r>
        <w:rPr>
          <w:color w:val="231F20"/>
          <w:spacing w:val="-24"/>
          <w:w w:val="105"/>
        </w:rPr>
        <w:t> </w:t>
      </w:r>
      <w:r>
        <w:rPr>
          <w:color w:val="231F20"/>
          <w:w w:val="105"/>
        </w:rPr>
        <w:t>cognitivos</w:t>
      </w:r>
      <w:r>
        <w:rPr>
          <w:color w:val="231F20"/>
          <w:spacing w:val="-24"/>
          <w:w w:val="105"/>
        </w:rPr>
        <w:t> </w:t>
      </w:r>
      <w:r>
        <w:rPr>
          <w:color w:val="231F20"/>
          <w:w w:val="105"/>
        </w:rPr>
        <w:t>di- ferentes que complementan el entendimiento sobre el comportamiento sustentable</w:t>
      </w:r>
      <w:r>
        <w:rPr>
          <w:color w:val="231F20"/>
          <w:spacing w:val="-38"/>
          <w:w w:val="105"/>
        </w:rPr>
        <w:t> </w:t>
      </w:r>
      <w:r>
        <w:rPr>
          <w:color w:val="231F20"/>
          <w:w w:val="105"/>
        </w:rPr>
        <w:t>de</w:t>
      </w:r>
      <w:r>
        <w:rPr>
          <w:color w:val="231F20"/>
          <w:spacing w:val="-38"/>
          <w:w w:val="105"/>
        </w:rPr>
        <w:t> </w:t>
      </w:r>
      <w:r>
        <w:rPr>
          <w:color w:val="231F20"/>
          <w:w w:val="105"/>
        </w:rPr>
        <w:t>las</w:t>
      </w:r>
      <w:r>
        <w:rPr>
          <w:color w:val="231F20"/>
          <w:spacing w:val="-38"/>
          <w:w w:val="105"/>
        </w:rPr>
        <w:t> </w:t>
      </w:r>
      <w:r>
        <w:rPr>
          <w:color w:val="231F20"/>
          <w:w w:val="105"/>
        </w:rPr>
        <w:t>organizaciones.</w:t>
      </w:r>
    </w:p>
    <w:p>
      <w:pPr>
        <w:pStyle w:val="BodyText"/>
        <w:spacing w:line="259" w:lineRule="auto"/>
        <w:ind w:left="117" w:right="115" w:firstLine="567"/>
        <w:jc w:val="right"/>
      </w:pPr>
      <w:r>
        <w:rPr>
          <w:color w:val="231F20"/>
          <w:w w:val="105"/>
        </w:rPr>
        <w:t>Si</w:t>
      </w:r>
      <w:r>
        <w:rPr>
          <w:color w:val="231F20"/>
          <w:spacing w:val="-7"/>
          <w:w w:val="105"/>
        </w:rPr>
        <w:t> </w:t>
      </w:r>
      <w:r>
        <w:rPr>
          <w:color w:val="231F20"/>
          <w:w w:val="105"/>
        </w:rPr>
        <w:t>bien</w:t>
      </w:r>
      <w:r>
        <w:rPr>
          <w:color w:val="231F20"/>
          <w:spacing w:val="-7"/>
          <w:w w:val="105"/>
        </w:rPr>
        <w:t> </w:t>
      </w:r>
      <w:r>
        <w:rPr>
          <w:color w:val="231F20"/>
          <w:w w:val="105"/>
        </w:rPr>
        <w:t>ambas</w:t>
      </w:r>
      <w:r>
        <w:rPr>
          <w:color w:val="231F20"/>
          <w:spacing w:val="-7"/>
          <w:w w:val="105"/>
        </w:rPr>
        <w:t> </w:t>
      </w:r>
      <w:r>
        <w:rPr>
          <w:color w:val="231F20"/>
          <w:w w:val="105"/>
        </w:rPr>
        <w:t>perspectivas</w:t>
      </w:r>
      <w:r>
        <w:rPr>
          <w:color w:val="231F20"/>
          <w:spacing w:val="-7"/>
          <w:w w:val="105"/>
        </w:rPr>
        <w:t> </w:t>
      </w:r>
      <w:r>
        <w:rPr>
          <w:color w:val="231F20"/>
          <w:w w:val="105"/>
        </w:rPr>
        <w:t>teóricas,</w:t>
      </w:r>
      <w:r>
        <w:rPr>
          <w:color w:val="231F20"/>
          <w:spacing w:val="-11"/>
          <w:w w:val="105"/>
        </w:rPr>
        <w:t> </w:t>
      </w:r>
      <w:r>
        <w:rPr>
          <w:color w:val="231F20"/>
          <w:w w:val="105"/>
        </w:rPr>
        <w:t>la</w:t>
      </w:r>
      <w:r>
        <w:rPr>
          <w:color w:val="231F20"/>
          <w:spacing w:val="-10"/>
          <w:w w:val="105"/>
        </w:rPr>
        <w:t> </w:t>
      </w:r>
      <w:r>
        <w:rPr>
          <w:color w:val="231F20"/>
          <w:w w:val="105"/>
        </w:rPr>
        <w:t>TDR</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10"/>
          <w:w w:val="105"/>
        </w:rPr>
        <w:t> </w:t>
      </w:r>
      <w:r>
        <w:rPr>
          <w:color w:val="231F20"/>
          <w:w w:val="105"/>
        </w:rPr>
        <w:t>TRyC,</w:t>
      </w:r>
      <w:r>
        <w:rPr>
          <w:color w:val="231F20"/>
          <w:spacing w:val="-11"/>
          <w:w w:val="105"/>
        </w:rPr>
        <w:t> </w:t>
      </w:r>
      <w:r>
        <w:rPr>
          <w:color w:val="231F20"/>
          <w:w w:val="105"/>
        </w:rPr>
        <w:t>coinciden</w:t>
      </w:r>
      <w:r>
        <w:rPr>
          <w:color w:val="231F20"/>
          <w:w w:val="106"/>
        </w:rPr>
        <w:t> </w:t>
      </w:r>
      <w:r>
        <w:rPr>
          <w:color w:val="231F20"/>
          <w:w w:val="105"/>
        </w:rPr>
        <w:t>en</w:t>
      </w:r>
      <w:r>
        <w:rPr>
          <w:color w:val="231F20"/>
          <w:spacing w:val="-21"/>
          <w:w w:val="105"/>
        </w:rPr>
        <w:t> </w:t>
      </w:r>
      <w:r>
        <w:rPr>
          <w:color w:val="231F20"/>
          <w:w w:val="105"/>
        </w:rPr>
        <w:t>que</w:t>
      </w:r>
      <w:r>
        <w:rPr>
          <w:color w:val="231F20"/>
          <w:spacing w:val="-21"/>
          <w:w w:val="105"/>
        </w:rPr>
        <w:t> </w:t>
      </w:r>
      <w:r>
        <w:rPr>
          <w:color w:val="231F20"/>
          <w:w w:val="105"/>
        </w:rPr>
        <w:t>las</w:t>
      </w:r>
      <w:r>
        <w:rPr>
          <w:color w:val="231F20"/>
          <w:spacing w:val="-21"/>
          <w:w w:val="105"/>
        </w:rPr>
        <w:t> </w:t>
      </w:r>
      <w:r>
        <w:rPr>
          <w:color w:val="231F20"/>
          <w:w w:val="105"/>
        </w:rPr>
        <w:t>organizaciones</w:t>
      </w:r>
      <w:r>
        <w:rPr>
          <w:color w:val="231F20"/>
          <w:spacing w:val="-21"/>
          <w:w w:val="105"/>
        </w:rPr>
        <w:t> </w:t>
      </w:r>
      <w:r>
        <w:rPr>
          <w:color w:val="231F20"/>
          <w:w w:val="105"/>
        </w:rPr>
        <w:t>pueden</w:t>
      </w:r>
      <w:r>
        <w:rPr>
          <w:color w:val="231F20"/>
          <w:spacing w:val="-21"/>
          <w:w w:val="105"/>
        </w:rPr>
        <w:t> </w:t>
      </w:r>
      <w:r>
        <w:rPr>
          <w:color w:val="231F20"/>
          <w:w w:val="105"/>
        </w:rPr>
        <w:t>allegarse</w:t>
      </w:r>
      <w:r>
        <w:rPr>
          <w:color w:val="231F20"/>
          <w:spacing w:val="-21"/>
          <w:w w:val="105"/>
        </w:rPr>
        <w:t> </w:t>
      </w:r>
      <w:r>
        <w:rPr>
          <w:color w:val="231F20"/>
          <w:w w:val="105"/>
        </w:rPr>
        <w:t>de</w:t>
      </w:r>
      <w:r>
        <w:rPr>
          <w:color w:val="231F20"/>
          <w:spacing w:val="-21"/>
          <w:w w:val="105"/>
        </w:rPr>
        <w:t> </w:t>
      </w:r>
      <w:r>
        <w:rPr>
          <w:color w:val="231F20"/>
          <w:w w:val="105"/>
        </w:rPr>
        <w:t>recursos</w:t>
      </w:r>
      <w:r>
        <w:rPr>
          <w:color w:val="231F20"/>
          <w:spacing w:val="-21"/>
          <w:w w:val="105"/>
        </w:rPr>
        <w:t> </w:t>
      </w:r>
      <w:r>
        <w:rPr>
          <w:color w:val="231F20"/>
          <w:w w:val="105"/>
        </w:rPr>
        <w:t>para</w:t>
      </w:r>
      <w:r>
        <w:rPr>
          <w:color w:val="231F20"/>
          <w:spacing w:val="-21"/>
          <w:w w:val="105"/>
        </w:rPr>
        <w:t> </w:t>
      </w:r>
      <w:r>
        <w:rPr>
          <w:color w:val="231F20"/>
          <w:w w:val="105"/>
        </w:rPr>
        <w:t>sobrevivir,</w:t>
      </w:r>
      <w:r>
        <w:rPr>
          <w:color w:val="231F20"/>
          <w:w w:val="93"/>
        </w:rPr>
        <w:t> </w:t>
      </w:r>
      <w:r>
        <w:rPr>
          <w:color w:val="231F20"/>
          <w:w w:val="105"/>
        </w:rPr>
        <w:t>mantenerse y crecer mediante relaciones de</w:t>
      </w:r>
      <w:r>
        <w:rPr>
          <w:color w:val="231F20"/>
          <w:spacing w:val="-28"/>
          <w:w w:val="105"/>
        </w:rPr>
        <w:t> </w:t>
      </w:r>
      <w:r>
        <w:rPr>
          <w:color w:val="231F20"/>
          <w:w w:val="105"/>
        </w:rPr>
        <w:t>interdependencia</w:t>
      </w:r>
      <w:r>
        <w:rPr>
          <w:color w:val="231F20"/>
          <w:spacing w:val="-13"/>
          <w:w w:val="105"/>
        </w:rPr>
        <w:t> </w:t>
      </w:r>
      <w:r>
        <w:rPr>
          <w:color w:val="231F20"/>
          <w:w w:val="105"/>
        </w:rPr>
        <w:t>(simbió-</w:t>
      </w:r>
      <w:r>
        <w:rPr>
          <w:color w:val="231F20"/>
          <w:w w:val="96"/>
        </w:rPr>
        <w:t> </w:t>
      </w:r>
      <w:r>
        <w:rPr>
          <w:color w:val="231F20"/>
          <w:w w:val="105"/>
        </w:rPr>
        <w:t>ticas</w:t>
      </w:r>
      <w:r>
        <w:rPr>
          <w:color w:val="231F20"/>
          <w:spacing w:val="-17"/>
          <w:w w:val="105"/>
        </w:rPr>
        <w:t> </w:t>
      </w:r>
      <w:r>
        <w:rPr>
          <w:color w:val="231F20"/>
          <w:w w:val="105"/>
        </w:rPr>
        <w:t>o</w:t>
      </w:r>
      <w:r>
        <w:rPr>
          <w:color w:val="231F20"/>
          <w:spacing w:val="-17"/>
          <w:w w:val="105"/>
        </w:rPr>
        <w:t> </w:t>
      </w:r>
      <w:r>
        <w:rPr>
          <w:color w:val="231F20"/>
          <w:w w:val="105"/>
        </w:rPr>
        <w:t>competitivas),</w:t>
      </w:r>
      <w:r>
        <w:rPr>
          <w:color w:val="231F20"/>
          <w:spacing w:val="-22"/>
          <w:w w:val="105"/>
        </w:rPr>
        <w:t> </w:t>
      </w:r>
      <w:r>
        <w:rPr>
          <w:color w:val="231F20"/>
          <w:w w:val="105"/>
        </w:rPr>
        <w:t>una</w:t>
      </w:r>
      <w:r>
        <w:rPr>
          <w:color w:val="231F20"/>
          <w:spacing w:val="-17"/>
          <w:w w:val="105"/>
        </w:rPr>
        <w:t> </w:t>
      </w:r>
      <w:r>
        <w:rPr>
          <w:color w:val="231F20"/>
          <w:w w:val="105"/>
        </w:rPr>
        <w:t>diferencia</w:t>
      </w:r>
      <w:r>
        <w:rPr>
          <w:color w:val="231F20"/>
          <w:spacing w:val="-17"/>
          <w:w w:val="105"/>
        </w:rPr>
        <w:t> </w:t>
      </w:r>
      <w:r>
        <w:rPr>
          <w:color w:val="231F20"/>
          <w:w w:val="105"/>
        </w:rPr>
        <w:t>entre</w:t>
      </w:r>
      <w:r>
        <w:rPr>
          <w:color w:val="231F20"/>
          <w:spacing w:val="-17"/>
          <w:w w:val="105"/>
        </w:rPr>
        <w:t> </w:t>
      </w:r>
      <w:r>
        <w:rPr>
          <w:color w:val="231F20"/>
          <w:w w:val="105"/>
        </w:rPr>
        <w:t>ambas</w:t>
      </w:r>
      <w:r>
        <w:rPr>
          <w:color w:val="231F20"/>
          <w:spacing w:val="-17"/>
          <w:w w:val="105"/>
        </w:rPr>
        <w:t> </w:t>
      </w:r>
      <w:r>
        <w:rPr>
          <w:color w:val="231F20"/>
          <w:w w:val="105"/>
        </w:rPr>
        <w:t>es</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21"/>
          <w:w w:val="105"/>
        </w:rPr>
        <w:t> </w:t>
      </w:r>
      <w:r>
        <w:rPr>
          <w:color w:val="231F20"/>
          <w:w w:val="105"/>
        </w:rPr>
        <w:t>TRyC</w:t>
      </w:r>
      <w:r>
        <w:rPr>
          <w:color w:val="231F20"/>
          <w:spacing w:val="-17"/>
          <w:w w:val="105"/>
        </w:rPr>
        <w:t> </w:t>
      </w:r>
      <w:r>
        <w:rPr>
          <w:color w:val="231F20"/>
          <w:w w:val="105"/>
        </w:rPr>
        <w:t>ignora,</w:t>
      </w:r>
      <w:r>
        <w:rPr>
          <w:color w:val="231F20"/>
          <w:w w:val="95"/>
        </w:rPr>
        <w:t> </w:t>
      </w:r>
      <w:r>
        <w:rPr>
          <w:color w:val="231F20"/>
          <w:w w:val="105"/>
        </w:rPr>
        <w:t>según Connell (2009), el papel del gobierno en la construcción</w:t>
      </w:r>
      <w:r>
        <w:rPr>
          <w:color w:val="231F20"/>
          <w:spacing w:val="45"/>
          <w:w w:val="105"/>
        </w:rPr>
        <w:t> </w:t>
      </w:r>
      <w:r>
        <w:rPr>
          <w:color w:val="231F20"/>
          <w:w w:val="105"/>
        </w:rPr>
        <w:t>de</w:t>
      </w:r>
      <w:r>
        <w:rPr>
          <w:color w:val="231F20"/>
          <w:spacing w:val="11"/>
          <w:w w:val="105"/>
        </w:rPr>
        <w:t> </w:t>
      </w:r>
      <w:r>
        <w:rPr>
          <w:color w:val="231F20"/>
          <w:w w:val="105"/>
        </w:rPr>
        <w:t>es-</w:t>
      </w:r>
      <w:r>
        <w:rPr>
          <w:color w:val="231F20"/>
          <w:w w:val="96"/>
        </w:rPr>
        <w:t> </w:t>
      </w:r>
      <w:r>
        <w:rPr>
          <w:color w:val="231F20"/>
          <w:w w:val="105"/>
        </w:rPr>
        <w:t>trategias</w:t>
      </w:r>
      <w:r>
        <w:rPr>
          <w:color w:val="231F20"/>
          <w:spacing w:val="-28"/>
          <w:w w:val="105"/>
        </w:rPr>
        <w:t> </w:t>
      </w:r>
      <w:r>
        <w:rPr>
          <w:color w:val="231F20"/>
          <w:w w:val="105"/>
        </w:rPr>
        <w:t>conjuntas</w:t>
      </w:r>
      <w:r>
        <w:rPr>
          <w:color w:val="231F20"/>
          <w:spacing w:val="-28"/>
          <w:w w:val="105"/>
        </w:rPr>
        <w:t> </w:t>
      </w:r>
      <w:r>
        <w:rPr>
          <w:color w:val="231F20"/>
          <w:w w:val="105"/>
        </w:rPr>
        <w:t>para</w:t>
      </w:r>
      <w:r>
        <w:rPr>
          <w:color w:val="231F20"/>
          <w:spacing w:val="-28"/>
          <w:w w:val="105"/>
        </w:rPr>
        <w:t> </w:t>
      </w:r>
      <w:r>
        <w:rPr>
          <w:color w:val="231F20"/>
          <w:w w:val="105"/>
        </w:rPr>
        <w:t>enfrentar</w:t>
      </w:r>
      <w:r>
        <w:rPr>
          <w:color w:val="231F20"/>
          <w:spacing w:val="-28"/>
          <w:w w:val="105"/>
        </w:rPr>
        <w:t> </w:t>
      </w:r>
      <w:r>
        <w:rPr>
          <w:color w:val="231F20"/>
          <w:w w:val="105"/>
        </w:rPr>
        <w:t>los</w:t>
      </w:r>
      <w:r>
        <w:rPr>
          <w:color w:val="231F20"/>
          <w:spacing w:val="-28"/>
          <w:w w:val="105"/>
        </w:rPr>
        <w:t> </w:t>
      </w:r>
      <w:r>
        <w:rPr>
          <w:color w:val="231F20"/>
          <w:w w:val="105"/>
        </w:rPr>
        <w:t>retos</w:t>
      </w:r>
      <w:r>
        <w:rPr>
          <w:color w:val="231F20"/>
          <w:spacing w:val="-28"/>
          <w:w w:val="105"/>
        </w:rPr>
        <w:t> </w:t>
      </w:r>
      <w:r>
        <w:rPr>
          <w:color w:val="231F20"/>
          <w:w w:val="105"/>
        </w:rPr>
        <w:t>sectoriales</w:t>
      </w:r>
      <w:r>
        <w:rPr>
          <w:color w:val="231F20"/>
          <w:spacing w:val="-28"/>
          <w:w w:val="105"/>
        </w:rPr>
        <w:t> </w:t>
      </w:r>
      <w:r>
        <w:rPr>
          <w:color w:val="231F20"/>
          <w:w w:val="105"/>
        </w:rPr>
        <w:t>e</w:t>
      </w:r>
      <w:r>
        <w:rPr>
          <w:color w:val="231F20"/>
          <w:spacing w:val="-28"/>
          <w:w w:val="105"/>
        </w:rPr>
        <w:t> </w:t>
      </w:r>
      <w:r>
        <w:rPr>
          <w:color w:val="231F20"/>
          <w:w w:val="105"/>
        </w:rPr>
        <w:t>internacionales.</w:t>
      </w:r>
      <w:r>
        <w:rPr>
          <w:color w:val="231F20"/>
          <w:w w:val="102"/>
        </w:rPr>
        <w:t> </w:t>
      </w:r>
      <w:r>
        <w:rPr>
          <w:color w:val="231F20"/>
          <w:w w:val="105"/>
        </w:rPr>
        <w:t>La</w:t>
      </w:r>
      <w:r>
        <w:rPr>
          <w:color w:val="231F20"/>
          <w:spacing w:val="-30"/>
          <w:w w:val="105"/>
        </w:rPr>
        <w:t> </w:t>
      </w:r>
      <w:r>
        <w:rPr>
          <w:color w:val="231F20"/>
          <w:w w:val="105"/>
        </w:rPr>
        <w:t>organización</w:t>
      </w:r>
      <w:r>
        <w:rPr>
          <w:color w:val="231F20"/>
          <w:spacing w:val="-30"/>
          <w:w w:val="105"/>
        </w:rPr>
        <w:t> </w:t>
      </w:r>
      <w:r>
        <w:rPr>
          <w:color w:val="231F20"/>
          <w:w w:val="105"/>
        </w:rPr>
        <w:t>debe</w:t>
      </w:r>
      <w:r>
        <w:rPr>
          <w:color w:val="231F20"/>
          <w:spacing w:val="-30"/>
          <w:w w:val="105"/>
        </w:rPr>
        <w:t> </w:t>
      </w:r>
      <w:r>
        <w:rPr>
          <w:color w:val="231F20"/>
          <w:w w:val="105"/>
        </w:rPr>
        <w:t>generar</w:t>
      </w:r>
      <w:r>
        <w:rPr>
          <w:color w:val="231F20"/>
          <w:spacing w:val="-30"/>
          <w:w w:val="105"/>
        </w:rPr>
        <w:t> </w:t>
      </w:r>
      <w:r>
        <w:rPr>
          <w:color w:val="231F20"/>
          <w:w w:val="105"/>
        </w:rPr>
        <w:t>estrategias</w:t>
      </w:r>
      <w:r>
        <w:rPr>
          <w:color w:val="231F20"/>
          <w:spacing w:val="-30"/>
          <w:w w:val="105"/>
        </w:rPr>
        <w:t> </w:t>
      </w:r>
      <w:r>
        <w:rPr>
          <w:color w:val="231F20"/>
          <w:w w:val="105"/>
        </w:rPr>
        <w:t>para</w:t>
      </w:r>
      <w:r>
        <w:rPr>
          <w:color w:val="231F20"/>
          <w:spacing w:val="-30"/>
          <w:w w:val="105"/>
        </w:rPr>
        <w:t> </w:t>
      </w:r>
      <w:r>
        <w:rPr>
          <w:color w:val="231F20"/>
          <w:w w:val="105"/>
        </w:rPr>
        <w:t>gestionar</w:t>
      </w:r>
      <w:r>
        <w:rPr>
          <w:color w:val="231F20"/>
          <w:spacing w:val="-30"/>
          <w:w w:val="105"/>
        </w:rPr>
        <w:t> </w:t>
      </w:r>
      <w:r>
        <w:rPr>
          <w:color w:val="231F20"/>
          <w:w w:val="105"/>
        </w:rPr>
        <w:t>su</w:t>
      </w:r>
      <w:r>
        <w:rPr>
          <w:color w:val="231F20"/>
          <w:spacing w:val="-30"/>
          <w:w w:val="105"/>
        </w:rPr>
        <w:t> </w:t>
      </w:r>
      <w:r>
        <w:rPr>
          <w:color w:val="231F20"/>
          <w:w w:val="105"/>
        </w:rPr>
        <w:t>depen-</w:t>
      </w:r>
      <w:r>
        <w:rPr>
          <w:color w:val="231F20"/>
          <w:w w:val="96"/>
        </w:rPr>
        <w:t> </w:t>
      </w:r>
      <w:r>
        <w:rPr>
          <w:color w:val="231F20"/>
          <w:w w:val="105"/>
        </w:rPr>
        <w:t>dencia</w:t>
      </w:r>
      <w:r>
        <w:rPr>
          <w:color w:val="231F20"/>
          <w:spacing w:val="-31"/>
          <w:w w:val="105"/>
        </w:rPr>
        <w:t> </w:t>
      </w:r>
      <w:r>
        <w:rPr>
          <w:color w:val="231F20"/>
          <w:w w:val="105"/>
        </w:rPr>
        <w:t>de</w:t>
      </w:r>
      <w:r>
        <w:rPr>
          <w:color w:val="231F20"/>
          <w:spacing w:val="-31"/>
          <w:w w:val="105"/>
        </w:rPr>
        <w:t> </w:t>
      </w:r>
      <w:r>
        <w:rPr>
          <w:color w:val="231F20"/>
          <w:w w:val="105"/>
        </w:rPr>
        <w:t>recursos,</w:t>
      </w:r>
      <w:r>
        <w:rPr>
          <w:color w:val="231F20"/>
          <w:spacing w:val="-35"/>
          <w:w w:val="105"/>
        </w:rPr>
        <w:t> </w:t>
      </w:r>
      <w:r>
        <w:rPr>
          <w:color w:val="231F20"/>
          <w:w w:val="105"/>
        </w:rPr>
        <w:t>las</w:t>
      </w:r>
      <w:r>
        <w:rPr>
          <w:color w:val="231F20"/>
          <w:spacing w:val="-31"/>
          <w:w w:val="105"/>
        </w:rPr>
        <w:t> </w:t>
      </w:r>
      <w:r>
        <w:rPr>
          <w:color w:val="231F20"/>
          <w:w w:val="105"/>
        </w:rPr>
        <w:t>cuales</w:t>
      </w:r>
      <w:r>
        <w:rPr>
          <w:color w:val="231F20"/>
          <w:spacing w:val="-31"/>
          <w:w w:val="105"/>
        </w:rPr>
        <w:t> </w:t>
      </w:r>
      <w:r>
        <w:rPr>
          <w:color w:val="231F20"/>
          <w:w w:val="105"/>
        </w:rPr>
        <w:t>estarán</w:t>
      </w:r>
      <w:r>
        <w:rPr>
          <w:color w:val="231F20"/>
          <w:spacing w:val="-31"/>
          <w:w w:val="105"/>
        </w:rPr>
        <w:t> </w:t>
      </w:r>
      <w:r>
        <w:rPr>
          <w:color w:val="231F20"/>
          <w:w w:val="105"/>
        </w:rPr>
        <w:t>dirigidas</w:t>
      </w:r>
      <w:r>
        <w:rPr>
          <w:color w:val="231F20"/>
          <w:spacing w:val="-31"/>
          <w:w w:val="105"/>
        </w:rPr>
        <w:t> </w:t>
      </w:r>
      <w:r>
        <w:rPr>
          <w:color w:val="231F20"/>
          <w:w w:val="105"/>
        </w:rPr>
        <w:t>a</w:t>
      </w:r>
      <w:r>
        <w:rPr>
          <w:color w:val="231F20"/>
          <w:spacing w:val="-31"/>
          <w:w w:val="105"/>
        </w:rPr>
        <w:t> </w:t>
      </w:r>
      <w:r>
        <w:rPr>
          <w:color w:val="231F20"/>
          <w:w w:val="105"/>
        </w:rPr>
        <w:t>encontrar</w:t>
      </w:r>
      <w:r>
        <w:rPr>
          <w:color w:val="231F20"/>
          <w:spacing w:val="-31"/>
          <w:w w:val="105"/>
        </w:rPr>
        <w:t> </w:t>
      </w:r>
      <w:r>
        <w:rPr>
          <w:color w:val="231F20"/>
          <w:w w:val="105"/>
        </w:rPr>
        <w:t>formas</w:t>
      </w:r>
      <w:r>
        <w:rPr>
          <w:color w:val="231F20"/>
          <w:spacing w:val="-31"/>
          <w:w w:val="105"/>
        </w:rPr>
        <w:t> </w:t>
      </w:r>
      <w:r>
        <w:rPr>
          <w:color w:val="231F20"/>
          <w:w w:val="105"/>
        </w:rPr>
        <w:t>de</w:t>
      </w:r>
      <w:r>
        <w:rPr>
          <w:color w:val="231F20"/>
          <w:spacing w:val="-31"/>
          <w:w w:val="105"/>
        </w:rPr>
        <w:t> </w:t>
      </w:r>
      <w:r>
        <w:rPr>
          <w:color w:val="231F20"/>
          <w:w w:val="105"/>
        </w:rPr>
        <w:t>au-</w:t>
      </w:r>
      <w:r>
        <w:rPr>
          <w:color w:val="231F20"/>
          <w:w w:val="96"/>
        </w:rPr>
        <w:t> </w:t>
      </w:r>
      <w:r>
        <w:rPr>
          <w:color w:val="231F20"/>
          <w:w w:val="105"/>
        </w:rPr>
        <w:t>mentar</w:t>
      </w:r>
      <w:r>
        <w:rPr>
          <w:color w:val="231F20"/>
          <w:spacing w:val="-6"/>
          <w:w w:val="105"/>
        </w:rPr>
        <w:t> </w:t>
      </w:r>
      <w:r>
        <w:rPr>
          <w:color w:val="231F20"/>
          <w:w w:val="105"/>
        </w:rPr>
        <w:t>su</w:t>
      </w:r>
      <w:r>
        <w:rPr>
          <w:color w:val="231F20"/>
          <w:spacing w:val="-6"/>
          <w:w w:val="105"/>
        </w:rPr>
        <w:t> </w:t>
      </w:r>
      <w:r>
        <w:rPr>
          <w:color w:val="231F20"/>
          <w:w w:val="105"/>
        </w:rPr>
        <w:t>influencia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ambiente</w:t>
      </w:r>
      <w:r>
        <w:rPr>
          <w:color w:val="231F20"/>
          <w:spacing w:val="-6"/>
          <w:w w:val="105"/>
        </w:rPr>
        <w:t> </w:t>
      </w:r>
      <w:r>
        <w:rPr>
          <w:color w:val="231F20"/>
          <w:w w:val="105"/>
        </w:rPr>
        <w:t>y</w:t>
      </w:r>
      <w:r>
        <w:rPr>
          <w:color w:val="231F20"/>
          <w:spacing w:val="-6"/>
          <w:w w:val="105"/>
        </w:rPr>
        <w:t> </w:t>
      </w:r>
      <w:r>
        <w:rPr>
          <w:color w:val="231F20"/>
          <w:w w:val="105"/>
        </w:rPr>
        <w:t>reducir</w:t>
      </w:r>
      <w:r>
        <w:rPr>
          <w:color w:val="231F20"/>
          <w:spacing w:val="-6"/>
          <w:w w:val="105"/>
        </w:rPr>
        <w:t> </w:t>
      </w:r>
      <w:r>
        <w:rPr>
          <w:color w:val="231F20"/>
          <w:w w:val="105"/>
        </w:rPr>
        <w:t>la</w:t>
      </w:r>
      <w:r>
        <w:rPr>
          <w:color w:val="231F20"/>
          <w:spacing w:val="-6"/>
          <w:w w:val="105"/>
        </w:rPr>
        <w:t> </w:t>
      </w:r>
      <w:r>
        <w:rPr>
          <w:color w:val="231F20"/>
          <w:w w:val="105"/>
        </w:rPr>
        <w:t>incertidumbre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dis-</w:t>
      </w:r>
      <w:r>
        <w:rPr>
          <w:color w:val="231F20"/>
          <w:w w:val="96"/>
        </w:rPr>
        <w:t> </w:t>
      </w:r>
      <w:r>
        <w:rPr>
          <w:color w:val="231F20"/>
          <w:w w:val="105"/>
        </w:rPr>
        <w:t>posición</w:t>
      </w:r>
      <w:r>
        <w:rPr>
          <w:color w:val="231F20"/>
          <w:spacing w:val="-19"/>
          <w:w w:val="105"/>
        </w:rPr>
        <w:t> </w:t>
      </w:r>
      <w:r>
        <w:rPr>
          <w:color w:val="231F20"/>
          <w:w w:val="105"/>
        </w:rPr>
        <w:t>de</w:t>
      </w:r>
      <w:r>
        <w:rPr>
          <w:color w:val="231F20"/>
          <w:spacing w:val="-19"/>
          <w:w w:val="105"/>
        </w:rPr>
        <w:t> </w:t>
      </w:r>
      <w:r>
        <w:rPr>
          <w:color w:val="231F20"/>
          <w:w w:val="105"/>
        </w:rPr>
        <w:t>recursos</w:t>
      </w:r>
      <w:r>
        <w:rPr>
          <w:color w:val="231F20"/>
          <w:spacing w:val="-19"/>
          <w:w w:val="105"/>
        </w:rPr>
        <w:t> </w:t>
      </w:r>
      <w:r>
        <w:rPr>
          <w:color w:val="231F20"/>
          <w:w w:val="105"/>
        </w:rPr>
        <w:t>y</w:t>
      </w:r>
      <w:r>
        <w:rPr>
          <w:color w:val="231F20"/>
          <w:spacing w:val="-19"/>
          <w:w w:val="105"/>
        </w:rPr>
        <w:t> </w:t>
      </w:r>
      <w:r>
        <w:rPr>
          <w:color w:val="231F20"/>
          <w:w w:val="105"/>
        </w:rPr>
        <w:t>fortalecer</w:t>
      </w:r>
      <w:r>
        <w:rPr>
          <w:color w:val="231F20"/>
          <w:spacing w:val="-19"/>
          <w:w w:val="105"/>
        </w:rPr>
        <w:t> </w:t>
      </w:r>
      <w:r>
        <w:rPr>
          <w:color w:val="231F20"/>
          <w:w w:val="105"/>
        </w:rPr>
        <w:t>la</w:t>
      </w:r>
      <w:r>
        <w:rPr>
          <w:color w:val="231F20"/>
          <w:spacing w:val="-19"/>
          <w:w w:val="105"/>
        </w:rPr>
        <w:t> </w:t>
      </w:r>
      <w:r>
        <w:rPr>
          <w:color w:val="231F20"/>
          <w:w w:val="105"/>
        </w:rPr>
        <w:t>interdependencia,</w:t>
      </w:r>
      <w:r>
        <w:rPr>
          <w:color w:val="231F20"/>
          <w:spacing w:val="-24"/>
          <w:w w:val="105"/>
        </w:rPr>
        <w:t> </w:t>
      </w:r>
      <w:r>
        <w:rPr>
          <w:color w:val="231F20"/>
          <w:w w:val="105"/>
        </w:rPr>
        <w:t>es</w:t>
      </w:r>
      <w:r>
        <w:rPr>
          <w:color w:val="231F20"/>
          <w:spacing w:val="-19"/>
          <w:w w:val="105"/>
        </w:rPr>
        <w:t> </w:t>
      </w:r>
      <w:r>
        <w:rPr>
          <w:color w:val="231F20"/>
          <w:w w:val="105"/>
        </w:rPr>
        <w:t>decir,</w:t>
      </w:r>
      <w:r>
        <w:rPr>
          <w:color w:val="231F20"/>
          <w:spacing w:val="-24"/>
          <w:w w:val="105"/>
        </w:rPr>
        <w:t> </w:t>
      </w:r>
      <w:r>
        <w:rPr>
          <w:color w:val="231F20"/>
          <w:w w:val="105"/>
        </w:rPr>
        <w:t>gestionar</w:t>
      </w:r>
      <w:r>
        <w:rPr>
          <w:color w:val="231F20"/>
          <w:w w:val="104"/>
        </w:rPr>
        <w:t> </w:t>
      </w:r>
      <w:r>
        <w:rPr>
          <w:color w:val="231F20"/>
          <w:w w:val="105"/>
        </w:rPr>
        <w:t>su</w:t>
      </w:r>
      <w:r>
        <w:rPr>
          <w:color w:val="231F20"/>
          <w:spacing w:val="-32"/>
          <w:w w:val="105"/>
        </w:rPr>
        <w:t> </w:t>
      </w:r>
      <w:r>
        <w:rPr>
          <w:color w:val="231F20"/>
          <w:w w:val="105"/>
        </w:rPr>
        <w:t>adaptabilidad,</w:t>
      </w:r>
      <w:r>
        <w:rPr>
          <w:color w:val="231F20"/>
          <w:spacing w:val="-36"/>
          <w:w w:val="105"/>
        </w:rPr>
        <w:t> </w:t>
      </w:r>
      <w:r>
        <w:rPr>
          <w:color w:val="231F20"/>
          <w:w w:val="105"/>
        </w:rPr>
        <w:t>la</w:t>
      </w:r>
      <w:r>
        <w:rPr>
          <w:color w:val="231F20"/>
          <w:spacing w:val="-32"/>
          <w:w w:val="105"/>
        </w:rPr>
        <w:t> </w:t>
      </w:r>
      <w:r>
        <w:rPr>
          <w:color w:val="231F20"/>
          <w:w w:val="105"/>
        </w:rPr>
        <w:t>cual</w:t>
      </w:r>
      <w:r>
        <w:rPr>
          <w:color w:val="231F20"/>
          <w:spacing w:val="-32"/>
          <w:w w:val="105"/>
        </w:rPr>
        <w:t> </w:t>
      </w:r>
      <w:r>
        <w:rPr>
          <w:color w:val="231F20"/>
          <w:w w:val="105"/>
        </w:rPr>
        <w:t>encierra,</w:t>
      </w:r>
      <w:r>
        <w:rPr>
          <w:color w:val="231F20"/>
          <w:spacing w:val="-36"/>
          <w:w w:val="105"/>
        </w:rPr>
        <w:t> </w:t>
      </w:r>
      <w:r>
        <w:rPr>
          <w:color w:val="231F20"/>
          <w:w w:val="105"/>
        </w:rPr>
        <w:t>según</w:t>
      </w:r>
      <w:r>
        <w:rPr>
          <w:color w:val="231F20"/>
          <w:spacing w:val="-32"/>
          <w:w w:val="105"/>
        </w:rPr>
        <w:t> </w:t>
      </w:r>
      <w:r>
        <w:rPr>
          <w:color w:val="231F20"/>
          <w:w w:val="105"/>
        </w:rPr>
        <w:t>Schein</w:t>
      </w:r>
      <w:r>
        <w:rPr>
          <w:color w:val="231F20"/>
          <w:spacing w:val="-32"/>
          <w:w w:val="105"/>
        </w:rPr>
        <w:t> </w:t>
      </w:r>
      <w:r>
        <w:rPr>
          <w:color w:val="231F20"/>
          <w:w w:val="105"/>
        </w:rPr>
        <w:t>(1982),</w:t>
      </w:r>
      <w:r>
        <w:rPr>
          <w:color w:val="231F20"/>
          <w:spacing w:val="-36"/>
          <w:w w:val="105"/>
        </w:rPr>
        <w:t> </w:t>
      </w:r>
      <w:r>
        <w:rPr>
          <w:color w:val="231F20"/>
          <w:w w:val="105"/>
        </w:rPr>
        <w:t>una</w:t>
      </w:r>
      <w:r>
        <w:rPr>
          <w:color w:val="231F20"/>
          <w:spacing w:val="-32"/>
          <w:w w:val="105"/>
        </w:rPr>
        <w:t> </w:t>
      </w:r>
      <w:r>
        <w:rPr>
          <w:color w:val="231F20"/>
          <w:w w:val="105"/>
        </w:rPr>
        <w:t>secuencia</w:t>
      </w:r>
      <w:r>
        <w:rPr>
          <w:color w:val="231F20"/>
          <w:spacing w:val="-32"/>
          <w:w w:val="105"/>
        </w:rPr>
        <w:t> </w:t>
      </w:r>
      <w:r>
        <w:rPr>
          <w:color w:val="231F20"/>
          <w:w w:val="105"/>
        </w:rPr>
        <w:t>de</w:t>
      </w:r>
      <w:r>
        <w:rPr>
          <w:color w:val="231F20"/>
          <w:w w:val="108"/>
        </w:rPr>
        <w:t> </w:t>
      </w:r>
      <w:r>
        <w:rPr>
          <w:color w:val="231F20"/>
          <w:w w:val="105"/>
        </w:rPr>
        <w:t>actividades o procesos que empieza con un cambio en</w:t>
      </w:r>
      <w:r>
        <w:rPr>
          <w:color w:val="231F20"/>
          <w:spacing w:val="35"/>
          <w:w w:val="105"/>
        </w:rPr>
        <w:t> </w:t>
      </w:r>
      <w:r>
        <w:rPr>
          <w:color w:val="231F20"/>
          <w:w w:val="105"/>
        </w:rPr>
        <w:t>algún</w:t>
      </w:r>
      <w:r>
        <w:rPr>
          <w:color w:val="231F20"/>
          <w:spacing w:val="10"/>
          <w:w w:val="105"/>
        </w:rPr>
        <w:t> </w:t>
      </w:r>
      <w:r>
        <w:rPr>
          <w:color w:val="231F20"/>
          <w:w w:val="105"/>
        </w:rPr>
        <w:t>aspecto</w:t>
      </w:r>
      <w:r>
        <w:rPr>
          <w:color w:val="231F20"/>
          <w:w w:val="103"/>
        </w:rPr>
        <w:t> </w:t>
      </w:r>
      <w:r>
        <w:rPr>
          <w:color w:val="231F20"/>
          <w:w w:val="105"/>
        </w:rPr>
        <w:t>del</w:t>
      </w:r>
      <w:r>
        <w:rPr>
          <w:color w:val="231F20"/>
          <w:spacing w:val="-7"/>
          <w:w w:val="105"/>
        </w:rPr>
        <w:t> </w:t>
      </w:r>
      <w:r>
        <w:rPr>
          <w:color w:val="231F20"/>
          <w:w w:val="105"/>
        </w:rPr>
        <w:t>medio</w:t>
      </w:r>
      <w:r>
        <w:rPr>
          <w:color w:val="231F20"/>
          <w:spacing w:val="-7"/>
          <w:w w:val="105"/>
        </w:rPr>
        <w:t> </w:t>
      </w:r>
      <w:r>
        <w:rPr>
          <w:color w:val="231F20"/>
          <w:w w:val="105"/>
        </w:rPr>
        <w:t>interno</w:t>
      </w:r>
      <w:r>
        <w:rPr>
          <w:color w:val="231F20"/>
          <w:spacing w:val="-7"/>
          <w:w w:val="105"/>
        </w:rPr>
        <w:t> </w:t>
      </w:r>
      <w:r>
        <w:rPr>
          <w:color w:val="231F20"/>
          <w:w w:val="105"/>
        </w:rPr>
        <w:t>o</w:t>
      </w:r>
      <w:r>
        <w:rPr>
          <w:color w:val="231F20"/>
          <w:spacing w:val="-7"/>
          <w:w w:val="105"/>
        </w:rPr>
        <w:t> </w:t>
      </w:r>
      <w:r>
        <w:rPr>
          <w:color w:val="231F20"/>
          <w:w w:val="105"/>
        </w:rPr>
        <w:t>externo</w:t>
      </w:r>
      <w:r>
        <w:rPr>
          <w:color w:val="231F20"/>
          <w:spacing w:val="-7"/>
          <w:w w:val="105"/>
        </w:rPr>
        <w:t> </w:t>
      </w:r>
      <w:r>
        <w:rPr>
          <w:color w:val="231F20"/>
          <w:w w:val="105"/>
        </w:rPr>
        <w:t>y</w:t>
      </w:r>
      <w:r>
        <w:rPr>
          <w:color w:val="231F20"/>
          <w:spacing w:val="-7"/>
          <w:w w:val="105"/>
        </w:rPr>
        <w:t> </w:t>
      </w:r>
      <w:r>
        <w:rPr>
          <w:color w:val="231F20"/>
          <w:w w:val="105"/>
        </w:rPr>
        <w:t>termina</w:t>
      </w:r>
      <w:r>
        <w:rPr>
          <w:color w:val="231F20"/>
          <w:spacing w:val="-7"/>
          <w:w w:val="105"/>
        </w:rPr>
        <w:t> </w:t>
      </w:r>
      <w:r>
        <w:rPr>
          <w:color w:val="231F20"/>
          <w:w w:val="105"/>
        </w:rPr>
        <w:t>con</w:t>
      </w:r>
      <w:r>
        <w:rPr>
          <w:color w:val="231F20"/>
          <w:spacing w:val="-7"/>
          <w:w w:val="105"/>
        </w:rPr>
        <w:t> </w:t>
      </w:r>
      <w:r>
        <w:rPr>
          <w:color w:val="231F20"/>
          <w:w w:val="105"/>
        </w:rPr>
        <w:t>un</w:t>
      </w:r>
      <w:r>
        <w:rPr>
          <w:color w:val="231F20"/>
          <w:spacing w:val="-7"/>
          <w:w w:val="105"/>
        </w:rPr>
        <w:t> </w:t>
      </w:r>
      <w:r>
        <w:rPr>
          <w:color w:val="231F20"/>
          <w:w w:val="105"/>
        </w:rPr>
        <w:t>equilibrio</w:t>
      </w:r>
      <w:r>
        <w:rPr>
          <w:color w:val="231F20"/>
          <w:spacing w:val="-7"/>
          <w:w w:val="105"/>
        </w:rPr>
        <w:t> </w:t>
      </w:r>
      <w:r>
        <w:rPr>
          <w:color w:val="231F20"/>
          <w:w w:val="105"/>
        </w:rPr>
        <w:t>más</w:t>
      </w:r>
      <w:r>
        <w:rPr>
          <w:color w:val="231F20"/>
          <w:spacing w:val="-7"/>
          <w:w w:val="105"/>
        </w:rPr>
        <w:t> </w:t>
      </w:r>
      <w:r>
        <w:rPr>
          <w:color w:val="231F20"/>
          <w:w w:val="105"/>
        </w:rPr>
        <w:t>adaptable</w:t>
      </w:r>
      <w:r>
        <w:rPr>
          <w:color w:val="231F20"/>
          <w:spacing w:val="-7"/>
          <w:w w:val="105"/>
        </w:rPr>
        <w:t> </w:t>
      </w:r>
      <w:r>
        <w:rPr>
          <w:color w:val="231F20"/>
          <w:w w:val="105"/>
        </w:rPr>
        <w:t>y</w:t>
      </w:r>
    </w:p>
    <w:p>
      <w:pPr>
        <w:pStyle w:val="BodyText"/>
        <w:spacing w:line="241" w:lineRule="exact"/>
        <w:ind w:left="117"/>
        <w:jc w:val="both"/>
      </w:pPr>
      <w:r>
        <w:rPr>
          <w:color w:val="231F20"/>
          <w:w w:val="105"/>
        </w:rPr>
        <w:t>dinámico para confrontar un cambio.</w:t>
      </w:r>
    </w:p>
    <w:p>
      <w:pPr>
        <w:pStyle w:val="BodyText"/>
        <w:spacing w:line="259" w:lineRule="auto" w:before="18"/>
        <w:ind w:left="117" w:right="121" w:firstLine="567"/>
        <w:jc w:val="both"/>
      </w:pPr>
      <w:r>
        <w:rPr>
          <w:color w:val="231F20"/>
          <w:w w:val="105"/>
        </w:rPr>
        <w:t>El</w:t>
      </w:r>
      <w:r>
        <w:rPr>
          <w:color w:val="231F20"/>
          <w:spacing w:val="-18"/>
          <w:w w:val="105"/>
        </w:rPr>
        <w:t> </w:t>
      </w:r>
      <w:r>
        <w:rPr>
          <w:color w:val="231F20"/>
          <w:w w:val="105"/>
        </w:rPr>
        <w:t>modelo</w:t>
      </w:r>
      <w:r>
        <w:rPr>
          <w:color w:val="231F20"/>
          <w:spacing w:val="-18"/>
          <w:w w:val="105"/>
        </w:rPr>
        <w:t> </w:t>
      </w:r>
      <w:r>
        <w:rPr>
          <w:color w:val="231F20"/>
          <w:w w:val="105"/>
        </w:rPr>
        <w:t>propuesto</w:t>
      </w:r>
      <w:r>
        <w:rPr>
          <w:color w:val="231F20"/>
          <w:spacing w:val="-18"/>
          <w:w w:val="105"/>
        </w:rPr>
        <w:t> </w:t>
      </w:r>
      <w:r>
        <w:rPr>
          <w:color w:val="231F20"/>
          <w:w w:val="105"/>
        </w:rPr>
        <w:t>de</w:t>
      </w:r>
      <w:r>
        <w:rPr>
          <w:color w:val="231F20"/>
          <w:spacing w:val="-18"/>
          <w:w w:val="105"/>
        </w:rPr>
        <w:t> </w:t>
      </w:r>
      <w:r>
        <w:rPr>
          <w:color w:val="231F20"/>
          <w:w w:val="105"/>
        </w:rPr>
        <w:t>sustentabilidad</w:t>
      </w:r>
      <w:r>
        <w:rPr>
          <w:color w:val="231F20"/>
          <w:spacing w:val="-18"/>
          <w:w w:val="105"/>
        </w:rPr>
        <w:t> </w:t>
      </w:r>
      <w:r>
        <w:rPr>
          <w:color w:val="231F20"/>
          <w:w w:val="105"/>
        </w:rPr>
        <w:t>organizacional</w:t>
      </w:r>
      <w:r>
        <w:rPr>
          <w:color w:val="231F20"/>
          <w:spacing w:val="-18"/>
          <w:w w:val="105"/>
        </w:rPr>
        <w:t> </w:t>
      </w:r>
      <w:r>
        <w:rPr>
          <w:color w:val="231F20"/>
          <w:w w:val="105"/>
        </w:rPr>
        <w:t>se</w:t>
      </w:r>
      <w:r>
        <w:rPr>
          <w:color w:val="231F20"/>
          <w:spacing w:val="-18"/>
          <w:w w:val="105"/>
        </w:rPr>
        <w:t> </w:t>
      </w:r>
      <w:r>
        <w:rPr>
          <w:color w:val="231F20"/>
          <w:w w:val="105"/>
        </w:rPr>
        <w:t>basa</w:t>
      </w:r>
      <w:r>
        <w:rPr>
          <w:color w:val="231F20"/>
          <w:spacing w:val="-18"/>
          <w:w w:val="105"/>
        </w:rPr>
        <w:t> </w:t>
      </w:r>
      <w:r>
        <w:rPr>
          <w:color w:val="231F20"/>
          <w:w w:val="105"/>
        </w:rPr>
        <w:t>en la</w:t>
      </w:r>
      <w:r>
        <w:rPr>
          <w:color w:val="231F20"/>
          <w:spacing w:val="-20"/>
          <w:w w:val="105"/>
        </w:rPr>
        <w:t> </w:t>
      </w:r>
      <w:r>
        <w:rPr>
          <w:color w:val="231F20"/>
          <w:w w:val="105"/>
        </w:rPr>
        <w:t>cuádruple</w:t>
      </w:r>
      <w:r>
        <w:rPr>
          <w:color w:val="231F20"/>
          <w:spacing w:val="-20"/>
          <w:w w:val="105"/>
        </w:rPr>
        <w:t> </w:t>
      </w:r>
      <w:r>
        <w:rPr>
          <w:color w:val="231F20"/>
          <w:w w:val="105"/>
        </w:rPr>
        <w:t>línea</w:t>
      </w:r>
      <w:r>
        <w:rPr>
          <w:color w:val="231F20"/>
          <w:spacing w:val="-20"/>
          <w:w w:val="105"/>
        </w:rPr>
        <w:t> </w:t>
      </w:r>
      <w:r>
        <w:rPr>
          <w:color w:val="231F20"/>
          <w:w w:val="105"/>
        </w:rPr>
        <w:t>base</w:t>
      </w:r>
      <w:r>
        <w:rPr>
          <w:color w:val="231F20"/>
          <w:spacing w:val="-20"/>
          <w:w w:val="105"/>
        </w:rPr>
        <w:t> </w:t>
      </w:r>
      <w:r>
        <w:rPr>
          <w:color w:val="231F20"/>
          <w:w w:val="105"/>
        </w:rPr>
        <w:t>y</w:t>
      </w:r>
      <w:r>
        <w:rPr>
          <w:color w:val="231F20"/>
          <w:spacing w:val="-20"/>
          <w:w w:val="105"/>
        </w:rPr>
        <w:t> </w:t>
      </w:r>
      <w:r>
        <w:rPr>
          <w:color w:val="231F20"/>
          <w:w w:val="105"/>
        </w:rPr>
        <w:t>se</w:t>
      </w:r>
      <w:r>
        <w:rPr>
          <w:color w:val="231F20"/>
          <w:spacing w:val="-20"/>
          <w:w w:val="105"/>
        </w:rPr>
        <w:t> </w:t>
      </w:r>
      <w:r>
        <w:rPr>
          <w:color w:val="231F20"/>
          <w:w w:val="105"/>
        </w:rPr>
        <w:t>compone</w:t>
      </w:r>
      <w:r>
        <w:rPr>
          <w:color w:val="231F20"/>
          <w:spacing w:val="-20"/>
          <w:w w:val="105"/>
        </w:rPr>
        <w:t> </w:t>
      </w:r>
      <w:r>
        <w:rPr>
          <w:color w:val="231F20"/>
          <w:w w:val="105"/>
        </w:rPr>
        <w:t>de</w:t>
      </w:r>
      <w:r>
        <w:rPr>
          <w:color w:val="231F20"/>
          <w:spacing w:val="-20"/>
          <w:w w:val="105"/>
        </w:rPr>
        <w:t> </w:t>
      </w:r>
      <w:r>
        <w:rPr>
          <w:color w:val="231F20"/>
          <w:w w:val="105"/>
        </w:rPr>
        <w:t>cuatro</w:t>
      </w:r>
      <w:r>
        <w:rPr>
          <w:color w:val="231F20"/>
          <w:spacing w:val="-20"/>
          <w:w w:val="105"/>
        </w:rPr>
        <w:t> </w:t>
      </w:r>
      <w:r>
        <w:rPr>
          <w:color w:val="231F20"/>
          <w:w w:val="105"/>
        </w:rPr>
        <w:t>bloques:</w:t>
      </w:r>
      <w:r>
        <w:rPr>
          <w:color w:val="231F20"/>
          <w:spacing w:val="-20"/>
          <w:w w:val="105"/>
        </w:rPr>
        <w:t> </w:t>
      </w:r>
      <w:r>
        <w:rPr>
          <w:color w:val="231F20"/>
          <w:w w:val="105"/>
        </w:rPr>
        <w:t>social,</w:t>
      </w:r>
      <w:r>
        <w:rPr>
          <w:color w:val="231F20"/>
          <w:spacing w:val="-26"/>
          <w:w w:val="105"/>
        </w:rPr>
        <w:t> </w:t>
      </w:r>
      <w:r>
        <w:rPr>
          <w:color w:val="231F20"/>
          <w:w w:val="105"/>
        </w:rPr>
        <w:t>ambien- tal, económico-financiero y organizativo, mismos que requieren de evi- dencia</w:t>
      </w:r>
      <w:r>
        <w:rPr>
          <w:color w:val="231F20"/>
          <w:spacing w:val="-16"/>
          <w:w w:val="105"/>
        </w:rPr>
        <w:t> </w:t>
      </w:r>
      <w:r>
        <w:rPr>
          <w:color w:val="231F20"/>
          <w:w w:val="105"/>
        </w:rPr>
        <w:t>empírica</w:t>
      </w:r>
      <w:r>
        <w:rPr>
          <w:color w:val="231F20"/>
          <w:spacing w:val="-16"/>
          <w:w w:val="105"/>
        </w:rPr>
        <w:t> </w:t>
      </w:r>
      <w:r>
        <w:rPr>
          <w:color w:val="231F20"/>
          <w:w w:val="105"/>
        </w:rPr>
        <w:t>para</w:t>
      </w:r>
      <w:r>
        <w:rPr>
          <w:color w:val="231F20"/>
          <w:spacing w:val="-16"/>
          <w:w w:val="105"/>
        </w:rPr>
        <w:t> </w:t>
      </w:r>
      <w:r>
        <w:rPr>
          <w:color w:val="231F20"/>
          <w:w w:val="105"/>
        </w:rPr>
        <w:t>confirmar</w:t>
      </w:r>
      <w:r>
        <w:rPr>
          <w:color w:val="231F20"/>
          <w:spacing w:val="-16"/>
          <w:w w:val="105"/>
        </w:rPr>
        <w:t> </w:t>
      </w:r>
      <w:r>
        <w:rPr>
          <w:color w:val="231F20"/>
          <w:w w:val="105"/>
        </w:rPr>
        <w:t>la</w:t>
      </w:r>
      <w:r>
        <w:rPr>
          <w:color w:val="231F20"/>
          <w:spacing w:val="-16"/>
          <w:w w:val="105"/>
        </w:rPr>
        <w:t> </w:t>
      </w:r>
      <w:r>
        <w:rPr>
          <w:color w:val="231F20"/>
          <w:w w:val="105"/>
        </w:rPr>
        <w:t>multidimensionalidad</w:t>
      </w:r>
      <w:r>
        <w:rPr>
          <w:color w:val="231F20"/>
          <w:spacing w:val="-16"/>
          <w:w w:val="105"/>
        </w:rPr>
        <w:t> </w:t>
      </w:r>
      <w:r>
        <w:rPr>
          <w:color w:val="231F20"/>
          <w:w w:val="105"/>
        </w:rPr>
        <w:t>respectiva.</w:t>
      </w:r>
    </w:p>
    <w:p>
      <w:pPr>
        <w:pStyle w:val="BodyText"/>
        <w:spacing w:line="259" w:lineRule="auto"/>
        <w:ind w:left="117" w:right="121" w:firstLine="567"/>
        <w:jc w:val="both"/>
      </w:pPr>
      <w:r>
        <w:rPr>
          <w:color w:val="231F20"/>
          <w:w w:val="105"/>
        </w:rPr>
        <w:t>La</w:t>
      </w:r>
      <w:r>
        <w:rPr>
          <w:color w:val="231F20"/>
          <w:spacing w:val="-10"/>
          <w:w w:val="105"/>
        </w:rPr>
        <w:t> </w:t>
      </w:r>
      <w:r>
        <w:rPr>
          <w:color w:val="231F20"/>
          <w:w w:val="105"/>
        </w:rPr>
        <w:t>sustentabilidad</w:t>
      </w:r>
      <w:r>
        <w:rPr>
          <w:color w:val="231F20"/>
          <w:spacing w:val="-10"/>
          <w:w w:val="105"/>
        </w:rPr>
        <w:t> </w:t>
      </w:r>
      <w:r>
        <w:rPr>
          <w:color w:val="231F20"/>
          <w:w w:val="105"/>
        </w:rPr>
        <w:t>organizacional</w:t>
      </w:r>
      <w:r>
        <w:rPr>
          <w:color w:val="231F20"/>
          <w:spacing w:val="-10"/>
          <w:w w:val="105"/>
        </w:rPr>
        <w:t> </w:t>
      </w:r>
      <w:r>
        <w:rPr>
          <w:color w:val="231F20"/>
          <w:w w:val="105"/>
        </w:rPr>
        <w:t>se</w:t>
      </w:r>
      <w:r>
        <w:rPr>
          <w:color w:val="231F20"/>
          <w:spacing w:val="-10"/>
          <w:w w:val="105"/>
        </w:rPr>
        <w:t> </w:t>
      </w:r>
      <w:r>
        <w:rPr>
          <w:color w:val="231F20"/>
          <w:w w:val="105"/>
        </w:rPr>
        <w:t>convertiría</w:t>
      </w:r>
      <w:r>
        <w:rPr>
          <w:color w:val="231F20"/>
          <w:spacing w:val="-10"/>
          <w:w w:val="105"/>
        </w:rPr>
        <w:t> </w:t>
      </w:r>
      <w:r>
        <w:rPr>
          <w:color w:val="231F20"/>
          <w:w w:val="105"/>
        </w:rPr>
        <w:t>en</w:t>
      </w:r>
      <w:r>
        <w:rPr>
          <w:color w:val="231F20"/>
          <w:spacing w:val="-10"/>
          <w:w w:val="105"/>
        </w:rPr>
        <w:t> </w:t>
      </w:r>
      <w:r>
        <w:rPr>
          <w:color w:val="231F20"/>
          <w:w w:val="105"/>
        </w:rPr>
        <w:t>una</w:t>
      </w:r>
      <w:r>
        <w:rPr>
          <w:color w:val="231F20"/>
          <w:spacing w:val="-10"/>
          <w:w w:val="105"/>
        </w:rPr>
        <w:t> </w:t>
      </w:r>
      <w:r>
        <w:rPr>
          <w:color w:val="231F20"/>
          <w:w w:val="105"/>
        </w:rPr>
        <w:t>estrategia creadora de valor, siempre y cuando las organizaciones cultiven como una fuente de sus recursos las relaciones simbióticas (más que las de competencia), y a la par generen internamente recursos y</w:t>
      </w:r>
      <w:r>
        <w:rPr>
          <w:color w:val="231F20"/>
          <w:spacing w:val="-35"/>
          <w:w w:val="105"/>
        </w:rPr>
        <w:t> </w:t>
      </w:r>
      <w:r>
        <w:rPr>
          <w:color w:val="231F20"/>
          <w:w w:val="105"/>
        </w:rPr>
        <w:t>capacidades útiles</w:t>
      </w:r>
      <w:r>
        <w:rPr>
          <w:color w:val="231F20"/>
          <w:spacing w:val="-22"/>
          <w:w w:val="105"/>
        </w:rPr>
        <w:t> </w:t>
      </w:r>
      <w:r>
        <w:rPr>
          <w:color w:val="231F20"/>
          <w:w w:val="105"/>
        </w:rPr>
        <w:t>aprovechando</w:t>
      </w:r>
      <w:r>
        <w:rPr>
          <w:color w:val="231F20"/>
          <w:spacing w:val="-22"/>
          <w:w w:val="105"/>
        </w:rPr>
        <w:t> </w:t>
      </w:r>
      <w:r>
        <w:rPr>
          <w:color w:val="231F20"/>
          <w:w w:val="105"/>
        </w:rPr>
        <w:t>las</w:t>
      </w:r>
      <w:r>
        <w:rPr>
          <w:color w:val="231F20"/>
          <w:spacing w:val="-22"/>
          <w:w w:val="105"/>
        </w:rPr>
        <w:t> </w:t>
      </w:r>
      <w:r>
        <w:rPr>
          <w:color w:val="231F20"/>
          <w:w w:val="105"/>
        </w:rPr>
        <w:t>bondades</w:t>
      </w:r>
      <w:r>
        <w:rPr>
          <w:color w:val="231F20"/>
          <w:spacing w:val="-22"/>
          <w:w w:val="105"/>
        </w:rPr>
        <w:t> </w:t>
      </w:r>
      <w:r>
        <w:rPr>
          <w:color w:val="231F20"/>
          <w:w w:val="105"/>
        </w:rPr>
        <w:t>del</w:t>
      </w:r>
      <w:r>
        <w:rPr>
          <w:color w:val="231F20"/>
          <w:spacing w:val="-22"/>
          <w:w w:val="105"/>
        </w:rPr>
        <w:t> </w:t>
      </w:r>
      <w:r>
        <w:rPr>
          <w:color w:val="231F20"/>
          <w:w w:val="105"/>
        </w:rPr>
        <w:t>contexto.</w:t>
      </w:r>
      <w:r>
        <w:rPr>
          <w:color w:val="231F20"/>
          <w:spacing w:val="-28"/>
          <w:w w:val="105"/>
        </w:rPr>
        <w:t> </w:t>
      </w:r>
      <w:r>
        <w:rPr>
          <w:color w:val="231F20"/>
          <w:w w:val="105"/>
        </w:rPr>
        <w:t>Esto</w:t>
      </w:r>
      <w:r>
        <w:rPr>
          <w:color w:val="231F20"/>
          <w:spacing w:val="-22"/>
          <w:w w:val="105"/>
        </w:rPr>
        <w:t> </w:t>
      </w:r>
      <w:r>
        <w:rPr>
          <w:color w:val="231F20"/>
          <w:w w:val="105"/>
        </w:rPr>
        <w:t>es,</w:t>
      </w:r>
      <w:r>
        <w:rPr>
          <w:color w:val="231F20"/>
          <w:spacing w:val="-28"/>
          <w:w w:val="105"/>
        </w:rPr>
        <w:t> </w:t>
      </w:r>
      <w:r>
        <w:rPr>
          <w:color w:val="231F20"/>
          <w:w w:val="105"/>
        </w:rPr>
        <w:t>las</w:t>
      </w:r>
      <w:r>
        <w:rPr>
          <w:color w:val="231F20"/>
          <w:spacing w:val="-22"/>
          <w:w w:val="105"/>
        </w:rPr>
        <w:t> </w:t>
      </w:r>
      <w:r>
        <w:rPr>
          <w:color w:val="231F20"/>
          <w:w w:val="105"/>
        </w:rPr>
        <w:t>organizacio- nes</w:t>
      </w:r>
      <w:r>
        <w:rPr>
          <w:color w:val="231F20"/>
          <w:spacing w:val="-27"/>
          <w:w w:val="105"/>
        </w:rPr>
        <w:t> </w:t>
      </w:r>
      <w:r>
        <w:rPr>
          <w:color w:val="231F20"/>
          <w:w w:val="105"/>
        </w:rPr>
        <w:t>deben</w:t>
      </w:r>
      <w:r>
        <w:rPr>
          <w:color w:val="231F20"/>
          <w:spacing w:val="-27"/>
          <w:w w:val="105"/>
        </w:rPr>
        <w:t> </w:t>
      </w:r>
      <w:r>
        <w:rPr>
          <w:color w:val="231F20"/>
          <w:w w:val="105"/>
        </w:rPr>
        <w:t>trabajar</w:t>
      </w:r>
      <w:r>
        <w:rPr>
          <w:color w:val="231F20"/>
          <w:spacing w:val="-27"/>
          <w:w w:val="105"/>
        </w:rPr>
        <w:t> </w:t>
      </w:r>
      <w:r>
        <w:rPr>
          <w:color w:val="231F20"/>
          <w:w w:val="105"/>
        </w:rPr>
        <w:t>más</w:t>
      </w:r>
      <w:r>
        <w:rPr>
          <w:color w:val="231F20"/>
          <w:spacing w:val="-27"/>
          <w:w w:val="105"/>
        </w:rPr>
        <w:t> </w:t>
      </w:r>
      <w:r>
        <w:rPr>
          <w:color w:val="231F20"/>
          <w:w w:val="105"/>
        </w:rPr>
        <w:t>para</w:t>
      </w:r>
      <w:r>
        <w:rPr>
          <w:color w:val="231F20"/>
          <w:spacing w:val="-27"/>
          <w:w w:val="105"/>
        </w:rPr>
        <w:t> </w:t>
      </w:r>
      <w:r>
        <w:rPr>
          <w:color w:val="231F20"/>
          <w:w w:val="105"/>
        </w:rPr>
        <w:t>generar</w:t>
      </w:r>
      <w:r>
        <w:rPr>
          <w:color w:val="231F20"/>
          <w:spacing w:val="-27"/>
          <w:w w:val="105"/>
        </w:rPr>
        <w:t> </w:t>
      </w:r>
      <w:r>
        <w:rPr>
          <w:color w:val="231F20"/>
          <w:w w:val="105"/>
        </w:rPr>
        <w:t>sus</w:t>
      </w:r>
      <w:r>
        <w:rPr>
          <w:color w:val="231F20"/>
          <w:spacing w:val="-27"/>
          <w:w w:val="105"/>
        </w:rPr>
        <w:t> </w:t>
      </w:r>
      <w:r>
        <w:rPr>
          <w:color w:val="231F20"/>
          <w:w w:val="105"/>
        </w:rPr>
        <w:t>recursos</w:t>
      </w:r>
      <w:r>
        <w:rPr>
          <w:color w:val="231F20"/>
          <w:spacing w:val="-27"/>
          <w:w w:val="105"/>
        </w:rPr>
        <w:t> </w:t>
      </w:r>
      <w:r>
        <w:rPr>
          <w:color w:val="231F20"/>
          <w:w w:val="105"/>
        </w:rPr>
        <w:t>diferenciados,</w:t>
      </w:r>
      <w:r>
        <w:rPr>
          <w:color w:val="231F20"/>
          <w:spacing w:val="-32"/>
          <w:w w:val="105"/>
        </w:rPr>
        <w:t> </w:t>
      </w:r>
      <w:r>
        <w:rPr>
          <w:color w:val="231F20"/>
          <w:w w:val="105"/>
        </w:rPr>
        <w:t>inimita- bles y útiles, al mismo tiempo que contribuyen al cuidado del ambiente y</w:t>
      </w:r>
      <w:r>
        <w:rPr>
          <w:color w:val="231F20"/>
          <w:spacing w:val="-27"/>
          <w:w w:val="105"/>
        </w:rPr>
        <w:t> </w:t>
      </w:r>
      <w:r>
        <w:rPr>
          <w:color w:val="231F20"/>
          <w:w w:val="105"/>
        </w:rPr>
        <w:t>al</w:t>
      </w:r>
      <w:r>
        <w:rPr>
          <w:color w:val="231F20"/>
          <w:spacing w:val="-27"/>
          <w:w w:val="105"/>
        </w:rPr>
        <w:t> </w:t>
      </w:r>
      <w:r>
        <w:rPr>
          <w:color w:val="231F20"/>
          <w:w w:val="105"/>
        </w:rPr>
        <w:t>bienestar</w:t>
      </w:r>
      <w:r>
        <w:rPr>
          <w:color w:val="231F20"/>
          <w:spacing w:val="-27"/>
          <w:w w:val="105"/>
        </w:rPr>
        <w:t> </w:t>
      </w:r>
      <w:r>
        <w:rPr>
          <w:color w:val="231F20"/>
          <w:w w:val="105"/>
        </w:rPr>
        <w:t>social.</w:t>
      </w:r>
    </w:p>
    <w:p>
      <w:pPr>
        <w:pStyle w:val="BodyText"/>
        <w:spacing w:line="259" w:lineRule="auto"/>
        <w:ind w:left="117" w:right="115" w:firstLine="567"/>
        <w:jc w:val="both"/>
      </w:pPr>
      <w:r>
        <w:rPr>
          <w:color w:val="231F20"/>
          <w:w w:val="105"/>
        </w:rPr>
        <w:t>Como</w:t>
      </w:r>
      <w:r>
        <w:rPr>
          <w:color w:val="231F20"/>
          <w:spacing w:val="-15"/>
          <w:w w:val="105"/>
        </w:rPr>
        <w:t> </w:t>
      </w:r>
      <w:r>
        <w:rPr>
          <w:color w:val="231F20"/>
          <w:w w:val="105"/>
        </w:rPr>
        <w:t>sociedad</w:t>
      </w:r>
      <w:r>
        <w:rPr>
          <w:color w:val="231F20"/>
          <w:spacing w:val="-15"/>
          <w:w w:val="105"/>
        </w:rPr>
        <w:t> </w:t>
      </w:r>
      <w:r>
        <w:rPr>
          <w:color w:val="231F20"/>
          <w:w w:val="105"/>
        </w:rPr>
        <w:t>del</w:t>
      </w:r>
      <w:r>
        <w:rPr>
          <w:color w:val="231F20"/>
          <w:spacing w:val="-15"/>
          <w:w w:val="105"/>
        </w:rPr>
        <w:t> </w:t>
      </w:r>
      <w:r>
        <w:rPr>
          <w:color w:val="231F20"/>
          <w:w w:val="105"/>
        </w:rPr>
        <w:t>conocimiento</w:t>
      </w:r>
      <w:r>
        <w:rPr>
          <w:color w:val="231F20"/>
          <w:spacing w:val="-15"/>
          <w:w w:val="105"/>
        </w:rPr>
        <w:t> </w:t>
      </w:r>
      <w:r>
        <w:rPr>
          <w:color w:val="231F20"/>
          <w:w w:val="105"/>
        </w:rPr>
        <w:t>nos</w:t>
      </w:r>
      <w:r>
        <w:rPr>
          <w:color w:val="231F20"/>
          <w:spacing w:val="-15"/>
          <w:w w:val="105"/>
        </w:rPr>
        <w:t> </w:t>
      </w:r>
      <w:r>
        <w:rPr>
          <w:color w:val="231F20"/>
          <w:w w:val="105"/>
        </w:rPr>
        <w:t>ha</w:t>
      </w:r>
      <w:r>
        <w:rPr>
          <w:color w:val="231F20"/>
          <w:spacing w:val="-15"/>
          <w:w w:val="105"/>
        </w:rPr>
        <w:t> </w:t>
      </w:r>
      <w:r>
        <w:rPr>
          <w:color w:val="231F20"/>
          <w:w w:val="105"/>
        </w:rPr>
        <w:t>tocado</w:t>
      </w:r>
      <w:r>
        <w:rPr>
          <w:color w:val="231F20"/>
          <w:spacing w:val="-15"/>
          <w:w w:val="105"/>
        </w:rPr>
        <w:t> </w:t>
      </w:r>
      <w:r>
        <w:rPr>
          <w:color w:val="231F20"/>
          <w:w w:val="105"/>
        </w:rPr>
        <w:t>vivir</w:t>
      </w:r>
      <w:r>
        <w:rPr>
          <w:color w:val="231F20"/>
          <w:spacing w:val="-15"/>
          <w:w w:val="105"/>
        </w:rPr>
        <w:t> </w:t>
      </w:r>
      <w:r>
        <w:rPr>
          <w:color w:val="231F20"/>
          <w:w w:val="105"/>
        </w:rPr>
        <w:t>la</w:t>
      </w:r>
      <w:r>
        <w:rPr>
          <w:color w:val="231F20"/>
          <w:spacing w:val="-15"/>
          <w:w w:val="105"/>
        </w:rPr>
        <w:t> </w:t>
      </w:r>
      <w:r>
        <w:rPr>
          <w:color w:val="231F20"/>
          <w:w w:val="105"/>
        </w:rPr>
        <w:t>coexisten- cia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mayores</w:t>
      </w:r>
      <w:r>
        <w:rPr>
          <w:color w:val="231F20"/>
          <w:spacing w:val="-15"/>
          <w:w w:val="105"/>
        </w:rPr>
        <w:t> </w:t>
      </w:r>
      <w:r>
        <w:rPr>
          <w:color w:val="231F20"/>
          <w:spacing w:val="-3"/>
          <w:w w:val="105"/>
        </w:rPr>
        <w:t>retos</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que</w:t>
      </w:r>
      <w:r>
        <w:rPr>
          <w:color w:val="231F20"/>
          <w:spacing w:val="-15"/>
          <w:w w:val="105"/>
        </w:rPr>
        <w:t> </w:t>
      </w:r>
      <w:r>
        <w:rPr>
          <w:color w:val="231F20"/>
          <w:w w:val="105"/>
        </w:rPr>
        <w:t>ha</w:t>
      </w:r>
      <w:r>
        <w:rPr>
          <w:color w:val="231F20"/>
          <w:spacing w:val="-15"/>
          <w:w w:val="105"/>
        </w:rPr>
        <w:t> </w:t>
      </w:r>
      <w:r>
        <w:rPr>
          <w:color w:val="231F20"/>
          <w:w w:val="105"/>
        </w:rPr>
        <w:t>hecho</w:t>
      </w:r>
      <w:r>
        <w:rPr>
          <w:color w:val="231F20"/>
          <w:spacing w:val="-15"/>
          <w:w w:val="105"/>
        </w:rPr>
        <w:t> </w:t>
      </w:r>
      <w:r>
        <w:rPr>
          <w:color w:val="231F20"/>
          <w:spacing w:val="-3"/>
          <w:w w:val="105"/>
        </w:rPr>
        <w:t>frente</w:t>
      </w:r>
      <w:r>
        <w:rPr>
          <w:color w:val="231F20"/>
          <w:spacing w:val="-15"/>
          <w:w w:val="105"/>
        </w:rPr>
        <w:t> </w:t>
      </w:r>
      <w:r>
        <w:rPr>
          <w:color w:val="231F20"/>
          <w:w w:val="105"/>
        </w:rPr>
        <w:t>la</w:t>
      </w:r>
      <w:r>
        <w:rPr>
          <w:color w:val="231F20"/>
          <w:spacing w:val="-15"/>
          <w:w w:val="105"/>
        </w:rPr>
        <w:t> </w:t>
      </w:r>
      <w:r>
        <w:rPr>
          <w:color w:val="231F20"/>
          <w:w w:val="105"/>
        </w:rPr>
        <w:t>humanidad,</w:t>
      </w:r>
      <w:r>
        <w:rPr>
          <w:color w:val="231F20"/>
          <w:spacing w:val="-20"/>
          <w:w w:val="105"/>
        </w:rPr>
        <w:t> </w:t>
      </w:r>
      <w:r>
        <w:rPr>
          <w:color w:val="231F20"/>
          <w:w w:val="105"/>
        </w:rPr>
        <w:t>con</w:t>
      </w:r>
      <w:r>
        <w:rPr>
          <w:color w:val="231F20"/>
          <w:spacing w:val="-15"/>
          <w:w w:val="105"/>
        </w:rPr>
        <w:t> </w:t>
      </w:r>
      <w:r>
        <w:rPr>
          <w:color w:val="231F20"/>
          <w:spacing w:val="-2"/>
          <w:w w:val="105"/>
        </w:rPr>
        <w:t>las </w:t>
      </w:r>
      <w:r>
        <w:rPr>
          <w:color w:val="231F20"/>
          <w:spacing w:val="-3"/>
          <w:w w:val="105"/>
        </w:rPr>
        <w:t>mayores</w:t>
      </w:r>
      <w:r>
        <w:rPr>
          <w:color w:val="231F20"/>
          <w:spacing w:val="-19"/>
          <w:w w:val="105"/>
        </w:rPr>
        <w:t> </w:t>
      </w:r>
      <w:r>
        <w:rPr>
          <w:color w:val="231F20"/>
          <w:w w:val="105"/>
        </w:rPr>
        <w:t>capacidades</w:t>
      </w:r>
      <w:r>
        <w:rPr>
          <w:color w:val="231F20"/>
          <w:spacing w:val="-19"/>
          <w:w w:val="105"/>
        </w:rPr>
        <w:t> </w:t>
      </w:r>
      <w:r>
        <w:rPr>
          <w:color w:val="231F20"/>
          <w:w w:val="105"/>
        </w:rPr>
        <w:t>y</w:t>
      </w:r>
      <w:r>
        <w:rPr>
          <w:color w:val="231F20"/>
          <w:spacing w:val="-19"/>
          <w:w w:val="105"/>
        </w:rPr>
        <w:t> </w:t>
      </w:r>
      <w:r>
        <w:rPr>
          <w:color w:val="231F20"/>
          <w:spacing w:val="-3"/>
          <w:w w:val="105"/>
        </w:rPr>
        <w:t>recursos</w:t>
      </w:r>
      <w:r>
        <w:rPr>
          <w:color w:val="231F20"/>
          <w:spacing w:val="-19"/>
          <w:w w:val="105"/>
        </w:rPr>
        <w:t> </w:t>
      </w:r>
      <w:r>
        <w:rPr>
          <w:color w:val="231F20"/>
          <w:w w:val="105"/>
        </w:rPr>
        <w:t>para</w:t>
      </w:r>
      <w:r>
        <w:rPr>
          <w:color w:val="231F20"/>
          <w:spacing w:val="-19"/>
          <w:w w:val="105"/>
        </w:rPr>
        <w:t> </w:t>
      </w:r>
      <w:r>
        <w:rPr>
          <w:color w:val="231F20"/>
          <w:w w:val="105"/>
        </w:rPr>
        <w:t>generar</w:t>
      </w:r>
      <w:r>
        <w:rPr>
          <w:color w:val="231F20"/>
          <w:spacing w:val="-19"/>
          <w:w w:val="105"/>
        </w:rPr>
        <w:t> </w:t>
      </w:r>
      <w:r>
        <w:rPr>
          <w:color w:val="231F20"/>
          <w:w w:val="105"/>
        </w:rPr>
        <w:t>y</w:t>
      </w:r>
      <w:r>
        <w:rPr>
          <w:color w:val="231F20"/>
          <w:spacing w:val="-19"/>
          <w:w w:val="105"/>
        </w:rPr>
        <w:t> </w:t>
      </w:r>
      <w:r>
        <w:rPr>
          <w:color w:val="231F20"/>
          <w:spacing w:val="-3"/>
          <w:w w:val="105"/>
        </w:rPr>
        <w:t>ofrecer</w:t>
      </w:r>
      <w:r>
        <w:rPr>
          <w:color w:val="231F20"/>
          <w:spacing w:val="-19"/>
          <w:w w:val="105"/>
        </w:rPr>
        <w:t> </w:t>
      </w:r>
      <w:r>
        <w:rPr>
          <w:color w:val="231F20"/>
          <w:w w:val="105"/>
        </w:rPr>
        <w:t>soluciones</w:t>
      </w:r>
      <w:r>
        <w:rPr>
          <w:color w:val="231F20"/>
          <w:spacing w:val="-19"/>
          <w:w w:val="105"/>
        </w:rPr>
        <w:t> </w:t>
      </w:r>
      <w:r>
        <w:rPr>
          <w:color w:val="231F20"/>
          <w:w w:val="105"/>
        </w:rPr>
        <w:t>inno- vadoras</w:t>
      </w:r>
      <w:r>
        <w:rPr>
          <w:color w:val="231F20"/>
          <w:spacing w:val="-19"/>
          <w:w w:val="105"/>
        </w:rPr>
        <w:t> </w:t>
      </w:r>
      <w:r>
        <w:rPr>
          <w:color w:val="231F20"/>
          <w:w w:val="105"/>
        </w:rPr>
        <w:t>que</w:t>
      </w:r>
      <w:r>
        <w:rPr>
          <w:color w:val="231F20"/>
          <w:spacing w:val="-19"/>
          <w:w w:val="105"/>
        </w:rPr>
        <w:t> </w:t>
      </w:r>
      <w:r>
        <w:rPr>
          <w:color w:val="231F20"/>
          <w:spacing w:val="-3"/>
          <w:w w:val="105"/>
        </w:rPr>
        <w:t>creen</w:t>
      </w:r>
      <w:r>
        <w:rPr>
          <w:color w:val="231F20"/>
          <w:spacing w:val="-19"/>
          <w:w w:val="105"/>
        </w:rPr>
        <w:t> </w:t>
      </w:r>
      <w:r>
        <w:rPr>
          <w:color w:val="231F20"/>
          <w:w w:val="105"/>
        </w:rPr>
        <w:t>valor</w:t>
      </w:r>
      <w:r>
        <w:rPr>
          <w:color w:val="231F20"/>
          <w:spacing w:val="-19"/>
          <w:w w:val="105"/>
        </w:rPr>
        <w:t> </w:t>
      </w:r>
      <w:r>
        <w:rPr>
          <w:color w:val="231F20"/>
          <w:w w:val="105"/>
        </w:rPr>
        <w:t>social</w:t>
      </w:r>
      <w:r>
        <w:rPr>
          <w:color w:val="231F20"/>
          <w:spacing w:val="-19"/>
          <w:w w:val="105"/>
        </w:rPr>
        <w:t> </w:t>
      </w:r>
      <w:r>
        <w:rPr>
          <w:color w:val="231F20"/>
          <w:w w:val="105"/>
        </w:rPr>
        <w:t>y</w:t>
      </w:r>
      <w:r>
        <w:rPr>
          <w:color w:val="231F20"/>
          <w:spacing w:val="-19"/>
          <w:w w:val="105"/>
        </w:rPr>
        <w:t> </w:t>
      </w:r>
      <w:r>
        <w:rPr>
          <w:color w:val="231F20"/>
          <w:w w:val="105"/>
        </w:rPr>
        <w:t>económico</w:t>
      </w:r>
      <w:r>
        <w:rPr>
          <w:color w:val="231F20"/>
          <w:spacing w:val="-19"/>
          <w:w w:val="105"/>
        </w:rPr>
        <w:t> </w:t>
      </w:r>
      <w:r>
        <w:rPr>
          <w:color w:val="231F20"/>
          <w:spacing w:val="-4"/>
          <w:w w:val="105"/>
        </w:rPr>
        <w:t>(Perelli,</w:t>
      </w:r>
      <w:r>
        <w:rPr>
          <w:color w:val="231F20"/>
          <w:spacing w:val="-23"/>
          <w:w w:val="105"/>
        </w:rPr>
        <w:t> </w:t>
      </w:r>
      <w:r>
        <w:rPr>
          <w:color w:val="231F20"/>
          <w:w w:val="105"/>
        </w:rPr>
        <w:t>2014).</w:t>
      </w:r>
      <w:r>
        <w:rPr>
          <w:color w:val="231F20"/>
          <w:spacing w:val="-23"/>
          <w:w w:val="105"/>
        </w:rPr>
        <w:t> </w:t>
      </w:r>
      <w:r>
        <w:rPr>
          <w:color w:val="231F20"/>
          <w:w w:val="105"/>
        </w:rPr>
        <w:t>Sin</w:t>
      </w:r>
      <w:r>
        <w:rPr>
          <w:color w:val="231F20"/>
          <w:spacing w:val="-19"/>
          <w:w w:val="105"/>
        </w:rPr>
        <w:t> </w:t>
      </w:r>
      <w:r>
        <w:rPr>
          <w:color w:val="231F20"/>
          <w:spacing w:val="-3"/>
          <w:w w:val="105"/>
        </w:rPr>
        <w:t>embargo, </w:t>
      </w:r>
      <w:r>
        <w:rPr>
          <w:color w:val="231F20"/>
          <w:w w:val="105"/>
        </w:rPr>
        <w:t>no </w:t>
      </w:r>
      <w:r>
        <w:rPr>
          <w:color w:val="231F20"/>
          <w:spacing w:val="-3"/>
          <w:w w:val="105"/>
        </w:rPr>
        <w:t>siempre </w:t>
      </w:r>
      <w:r>
        <w:rPr>
          <w:color w:val="231F20"/>
          <w:w w:val="105"/>
        </w:rPr>
        <w:t>hemos sabido </w:t>
      </w:r>
      <w:r>
        <w:rPr>
          <w:color w:val="231F20"/>
          <w:spacing w:val="-3"/>
          <w:w w:val="105"/>
        </w:rPr>
        <w:t>aprovechar </w:t>
      </w:r>
      <w:r>
        <w:rPr>
          <w:color w:val="231F20"/>
          <w:w w:val="105"/>
        </w:rPr>
        <w:t>las oportunidades y con </w:t>
      </w:r>
      <w:r>
        <w:rPr>
          <w:color w:val="231F20"/>
          <w:spacing w:val="-3"/>
          <w:w w:val="105"/>
        </w:rPr>
        <w:t>carácter inmoderado,</w:t>
      </w:r>
      <w:r>
        <w:rPr>
          <w:color w:val="231F20"/>
          <w:spacing w:val="-22"/>
          <w:w w:val="105"/>
        </w:rPr>
        <w:t> </w:t>
      </w:r>
      <w:r>
        <w:rPr>
          <w:color w:val="231F20"/>
          <w:w w:val="105"/>
        </w:rPr>
        <w:t>tendemos</w:t>
      </w:r>
      <w:r>
        <w:rPr>
          <w:color w:val="231F20"/>
          <w:spacing w:val="-17"/>
          <w:w w:val="105"/>
        </w:rPr>
        <w:t> </w:t>
      </w:r>
      <w:r>
        <w:rPr>
          <w:color w:val="231F20"/>
          <w:w w:val="105"/>
        </w:rPr>
        <w:t>a</w:t>
      </w:r>
      <w:r>
        <w:rPr>
          <w:color w:val="231F20"/>
          <w:spacing w:val="-17"/>
          <w:w w:val="105"/>
        </w:rPr>
        <w:t> </w:t>
      </w:r>
      <w:r>
        <w:rPr>
          <w:color w:val="231F20"/>
          <w:w w:val="105"/>
        </w:rPr>
        <w:t>afectar</w:t>
      </w:r>
      <w:r>
        <w:rPr>
          <w:color w:val="231F20"/>
          <w:spacing w:val="-17"/>
          <w:w w:val="105"/>
        </w:rPr>
        <w:t> </w:t>
      </w:r>
      <w:r>
        <w:rPr>
          <w:color w:val="231F20"/>
          <w:w w:val="105"/>
        </w:rPr>
        <w:t>al</w:t>
      </w:r>
      <w:r>
        <w:rPr>
          <w:color w:val="231F20"/>
          <w:spacing w:val="-17"/>
          <w:w w:val="105"/>
        </w:rPr>
        <w:t> </w:t>
      </w:r>
      <w:r>
        <w:rPr>
          <w:color w:val="231F20"/>
          <w:spacing w:val="-3"/>
          <w:w w:val="105"/>
        </w:rPr>
        <w:t>otro</w:t>
      </w:r>
      <w:r>
        <w:rPr>
          <w:color w:val="231F20"/>
          <w:spacing w:val="-17"/>
          <w:w w:val="105"/>
        </w:rPr>
        <w:t> </w:t>
      </w:r>
      <w:r>
        <w:rPr>
          <w:color w:val="231F20"/>
          <w:w w:val="105"/>
        </w:rPr>
        <w:t>para</w:t>
      </w:r>
      <w:r>
        <w:rPr>
          <w:color w:val="231F20"/>
          <w:spacing w:val="-17"/>
          <w:w w:val="105"/>
        </w:rPr>
        <w:t> </w:t>
      </w:r>
      <w:r>
        <w:rPr>
          <w:color w:val="231F20"/>
          <w:spacing w:val="-4"/>
          <w:w w:val="105"/>
        </w:rPr>
        <w:t>“sobrevivir”,</w:t>
      </w:r>
      <w:r>
        <w:rPr>
          <w:color w:val="231F20"/>
          <w:spacing w:val="-22"/>
          <w:w w:val="105"/>
        </w:rPr>
        <w:t> </w:t>
      </w:r>
      <w:r>
        <w:rPr>
          <w:color w:val="231F20"/>
          <w:w w:val="105"/>
        </w:rPr>
        <w:t>mientras</w:t>
      </w:r>
      <w:r>
        <w:rPr>
          <w:color w:val="231F20"/>
          <w:spacing w:val="-17"/>
          <w:w w:val="105"/>
        </w:rPr>
        <w:t> </w:t>
      </w:r>
      <w:r>
        <w:rPr>
          <w:color w:val="231F20"/>
          <w:w w:val="105"/>
        </w:rPr>
        <w:t>que</w:t>
      </w:r>
      <w:r>
        <w:rPr>
          <w:color w:val="231F20"/>
          <w:spacing w:val="-17"/>
          <w:w w:val="105"/>
        </w:rPr>
        <w:t> </w:t>
      </w:r>
      <w:r>
        <w:rPr>
          <w:color w:val="231F20"/>
          <w:w w:val="105"/>
        </w:rPr>
        <w:t>la</w:t>
      </w:r>
    </w:p>
    <w:p>
      <w:pPr>
        <w:spacing w:after="0" w:line="259" w:lineRule="auto"/>
        <w:jc w:val="both"/>
        <w:sectPr>
          <w:pgSz w:w="9640" w:h="13890"/>
          <w:pgMar w:top="0" w:bottom="280" w:left="1300" w:right="1180"/>
        </w:sectPr>
      </w:pPr>
    </w:p>
    <w:p>
      <w:pPr>
        <w:pStyle w:val="BodyText"/>
        <w:spacing w:line="259" w:lineRule="auto" w:before="120"/>
        <w:ind w:left="103" w:right="115"/>
        <w:jc w:val="both"/>
      </w:pPr>
      <w:r>
        <w:rPr>
          <w:color w:val="231F20"/>
          <w:spacing w:val="-3"/>
          <w:w w:val="105"/>
        </w:rPr>
        <w:t>estrategia</w:t>
      </w:r>
      <w:r>
        <w:rPr>
          <w:color w:val="231F20"/>
          <w:spacing w:val="-33"/>
          <w:w w:val="105"/>
        </w:rPr>
        <w:t> </w:t>
      </w:r>
      <w:r>
        <w:rPr>
          <w:color w:val="231F20"/>
          <w:w w:val="105"/>
        </w:rPr>
        <w:t>podría</w:t>
      </w:r>
      <w:r>
        <w:rPr>
          <w:color w:val="231F20"/>
          <w:spacing w:val="-33"/>
          <w:w w:val="105"/>
        </w:rPr>
        <w:t> </w:t>
      </w:r>
      <w:r>
        <w:rPr>
          <w:color w:val="231F20"/>
          <w:w w:val="105"/>
        </w:rPr>
        <w:t>ser</w:t>
      </w:r>
      <w:r>
        <w:rPr>
          <w:color w:val="231F20"/>
          <w:spacing w:val="-33"/>
          <w:w w:val="105"/>
        </w:rPr>
        <w:t> </w:t>
      </w:r>
      <w:r>
        <w:rPr>
          <w:color w:val="231F20"/>
          <w:w w:val="105"/>
        </w:rPr>
        <w:t>interactuar</w:t>
      </w:r>
      <w:r>
        <w:rPr>
          <w:color w:val="231F20"/>
          <w:spacing w:val="-33"/>
          <w:w w:val="105"/>
        </w:rPr>
        <w:t> </w:t>
      </w:r>
      <w:r>
        <w:rPr>
          <w:color w:val="231F20"/>
          <w:w w:val="105"/>
        </w:rPr>
        <w:t>con</w:t>
      </w:r>
      <w:r>
        <w:rPr>
          <w:color w:val="231F20"/>
          <w:spacing w:val="-33"/>
          <w:w w:val="105"/>
        </w:rPr>
        <w:t> </w:t>
      </w:r>
      <w:r>
        <w:rPr>
          <w:color w:val="231F20"/>
          <w:w w:val="105"/>
        </w:rPr>
        <w:t>el</w:t>
      </w:r>
      <w:r>
        <w:rPr>
          <w:color w:val="231F20"/>
          <w:spacing w:val="-33"/>
          <w:w w:val="105"/>
        </w:rPr>
        <w:t> </w:t>
      </w:r>
      <w:r>
        <w:rPr>
          <w:color w:val="231F20"/>
          <w:spacing w:val="-3"/>
          <w:w w:val="105"/>
        </w:rPr>
        <w:t>otro</w:t>
      </w:r>
      <w:r>
        <w:rPr>
          <w:color w:val="231F20"/>
          <w:spacing w:val="-33"/>
          <w:w w:val="105"/>
        </w:rPr>
        <w:t> </w:t>
      </w:r>
      <w:r>
        <w:rPr>
          <w:color w:val="231F20"/>
          <w:w w:val="105"/>
        </w:rPr>
        <w:t>para</w:t>
      </w:r>
      <w:r>
        <w:rPr>
          <w:color w:val="231F20"/>
          <w:spacing w:val="-33"/>
          <w:w w:val="105"/>
        </w:rPr>
        <w:t> </w:t>
      </w:r>
      <w:r>
        <w:rPr>
          <w:color w:val="231F20"/>
          <w:w w:val="105"/>
        </w:rPr>
        <w:t>allegarnos</w:t>
      </w:r>
      <w:r>
        <w:rPr>
          <w:color w:val="231F20"/>
          <w:spacing w:val="-33"/>
          <w:w w:val="105"/>
        </w:rPr>
        <w:t> </w:t>
      </w:r>
      <w:r>
        <w:rPr>
          <w:color w:val="231F20"/>
          <w:w w:val="105"/>
        </w:rPr>
        <w:t>de</w:t>
      </w:r>
      <w:r>
        <w:rPr>
          <w:color w:val="231F20"/>
          <w:spacing w:val="-33"/>
          <w:w w:val="105"/>
        </w:rPr>
        <w:t> </w:t>
      </w:r>
      <w:r>
        <w:rPr>
          <w:color w:val="231F20"/>
          <w:w w:val="105"/>
        </w:rPr>
        <w:t>más</w:t>
      </w:r>
      <w:r>
        <w:rPr>
          <w:color w:val="231F20"/>
          <w:spacing w:val="-33"/>
          <w:w w:val="105"/>
        </w:rPr>
        <w:t> </w:t>
      </w:r>
      <w:r>
        <w:rPr>
          <w:color w:val="231F20"/>
          <w:spacing w:val="-2"/>
          <w:w w:val="105"/>
        </w:rPr>
        <w:t>bienes </w:t>
      </w:r>
      <w:r>
        <w:rPr>
          <w:color w:val="231F20"/>
          <w:w w:val="105"/>
        </w:rPr>
        <w:t>y</w:t>
      </w:r>
      <w:r>
        <w:rPr>
          <w:color w:val="231F20"/>
          <w:spacing w:val="-38"/>
          <w:w w:val="105"/>
        </w:rPr>
        <w:t> </w:t>
      </w:r>
      <w:r>
        <w:rPr>
          <w:color w:val="231F20"/>
          <w:w w:val="105"/>
        </w:rPr>
        <w:t>combatir</w:t>
      </w:r>
      <w:r>
        <w:rPr>
          <w:color w:val="231F20"/>
          <w:spacing w:val="-38"/>
          <w:w w:val="105"/>
        </w:rPr>
        <w:t> </w:t>
      </w:r>
      <w:r>
        <w:rPr>
          <w:color w:val="231F20"/>
          <w:w w:val="105"/>
        </w:rPr>
        <w:t>los</w:t>
      </w:r>
      <w:r>
        <w:rPr>
          <w:color w:val="231F20"/>
          <w:spacing w:val="-38"/>
          <w:w w:val="105"/>
        </w:rPr>
        <w:t> </w:t>
      </w:r>
      <w:r>
        <w:rPr>
          <w:color w:val="231F20"/>
          <w:w w:val="105"/>
        </w:rPr>
        <w:t>males.</w:t>
      </w:r>
      <w:r>
        <w:rPr>
          <w:color w:val="231F20"/>
          <w:spacing w:val="-41"/>
          <w:w w:val="105"/>
        </w:rPr>
        <w:t> </w:t>
      </w:r>
      <w:r>
        <w:rPr>
          <w:color w:val="231F20"/>
          <w:w w:val="105"/>
        </w:rPr>
        <w:t>De</w:t>
      </w:r>
      <w:r>
        <w:rPr>
          <w:color w:val="231F20"/>
          <w:spacing w:val="-38"/>
          <w:w w:val="105"/>
        </w:rPr>
        <w:t> </w:t>
      </w:r>
      <w:r>
        <w:rPr>
          <w:color w:val="231F20"/>
          <w:w w:val="105"/>
        </w:rPr>
        <w:t>esto</w:t>
      </w:r>
      <w:r>
        <w:rPr>
          <w:color w:val="231F20"/>
          <w:spacing w:val="-38"/>
          <w:w w:val="105"/>
        </w:rPr>
        <w:t> </w:t>
      </w:r>
      <w:r>
        <w:rPr>
          <w:color w:val="231F20"/>
          <w:w w:val="105"/>
        </w:rPr>
        <w:t>se</w:t>
      </w:r>
      <w:r>
        <w:rPr>
          <w:color w:val="231F20"/>
          <w:spacing w:val="-38"/>
          <w:w w:val="105"/>
        </w:rPr>
        <w:t> </w:t>
      </w:r>
      <w:r>
        <w:rPr>
          <w:color w:val="231F20"/>
          <w:spacing w:val="-3"/>
          <w:w w:val="105"/>
        </w:rPr>
        <w:t>trata</w:t>
      </w:r>
      <w:r>
        <w:rPr>
          <w:color w:val="231F20"/>
          <w:spacing w:val="-38"/>
          <w:w w:val="105"/>
        </w:rPr>
        <w:t> </w:t>
      </w:r>
      <w:r>
        <w:rPr>
          <w:color w:val="231F20"/>
          <w:w w:val="105"/>
        </w:rPr>
        <w:t>la</w:t>
      </w:r>
      <w:r>
        <w:rPr>
          <w:color w:val="231F20"/>
          <w:spacing w:val="-38"/>
          <w:w w:val="105"/>
        </w:rPr>
        <w:t> </w:t>
      </w:r>
      <w:r>
        <w:rPr>
          <w:color w:val="231F20"/>
          <w:w w:val="105"/>
        </w:rPr>
        <w:t>sustentabilidad,</w:t>
      </w:r>
      <w:r>
        <w:rPr>
          <w:color w:val="231F20"/>
          <w:spacing w:val="-41"/>
          <w:w w:val="105"/>
        </w:rPr>
        <w:t> </w:t>
      </w:r>
      <w:r>
        <w:rPr>
          <w:color w:val="231F20"/>
          <w:w w:val="105"/>
        </w:rPr>
        <w:t>es</w:t>
      </w:r>
      <w:r>
        <w:rPr>
          <w:color w:val="231F20"/>
          <w:spacing w:val="-38"/>
          <w:w w:val="105"/>
        </w:rPr>
        <w:t> </w:t>
      </w:r>
      <w:r>
        <w:rPr>
          <w:color w:val="231F20"/>
          <w:spacing w:val="-4"/>
          <w:w w:val="105"/>
        </w:rPr>
        <w:t>decir,</w:t>
      </w:r>
      <w:r>
        <w:rPr>
          <w:color w:val="231F20"/>
          <w:spacing w:val="-41"/>
          <w:w w:val="105"/>
        </w:rPr>
        <w:t> </w:t>
      </w:r>
      <w:r>
        <w:rPr>
          <w:color w:val="231F20"/>
          <w:spacing w:val="-3"/>
          <w:w w:val="105"/>
        </w:rPr>
        <w:t>satisfacer </w:t>
      </w:r>
      <w:r>
        <w:rPr>
          <w:color w:val="231F20"/>
          <w:w w:val="105"/>
        </w:rPr>
        <w:t>nuestras</w:t>
      </w:r>
      <w:r>
        <w:rPr>
          <w:color w:val="231F20"/>
          <w:spacing w:val="-35"/>
          <w:w w:val="105"/>
        </w:rPr>
        <w:t> </w:t>
      </w:r>
      <w:r>
        <w:rPr>
          <w:color w:val="231F20"/>
          <w:w w:val="105"/>
        </w:rPr>
        <w:t>necesidades</w:t>
      </w:r>
      <w:r>
        <w:rPr>
          <w:color w:val="231F20"/>
          <w:spacing w:val="-35"/>
          <w:w w:val="105"/>
        </w:rPr>
        <w:t> </w:t>
      </w:r>
      <w:r>
        <w:rPr>
          <w:color w:val="231F20"/>
          <w:w w:val="105"/>
        </w:rPr>
        <w:t>actuales</w:t>
      </w:r>
      <w:r>
        <w:rPr>
          <w:color w:val="231F20"/>
          <w:spacing w:val="-35"/>
          <w:w w:val="105"/>
        </w:rPr>
        <w:t> </w:t>
      </w:r>
      <w:r>
        <w:rPr>
          <w:color w:val="231F20"/>
          <w:w w:val="105"/>
        </w:rPr>
        <w:t>sin</w:t>
      </w:r>
      <w:r>
        <w:rPr>
          <w:color w:val="231F20"/>
          <w:spacing w:val="-35"/>
          <w:w w:val="105"/>
        </w:rPr>
        <w:t> </w:t>
      </w:r>
      <w:r>
        <w:rPr>
          <w:color w:val="231F20"/>
          <w:spacing w:val="-3"/>
          <w:w w:val="105"/>
        </w:rPr>
        <w:t>comprometer</w:t>
      </w:r>
      <w:r>
        <w:rPr>
          <w:color w:val="231F20"/>
          <w:spacing w:val="-35"/>
          <w:w w:val="105"/>
        </w:rPr>
        <w:t> </w:t>
      </w:r>
      <w:r>
        <w:rPr>
          <w:color w:val="231F20"/>
          <w:w w:val="105"/>
        </w:rPr>
        <w:t>los</w:t>
      </w:r>
      <w:r>
        <w:rPr>
          <w:color w:val="231F20"/>
          <w:spacing w:val="-35"/>
          <w:w w:val="105"/>
        </w:rPr>
        <w:t> </w:t>
      </w:r>
      <w:r>
        <w:rPr>
          <w:color w:val="231F20"/>
          <w:spacing w:val="-3"/>
          <w:w w:val="105"/>
        </w:rPr>
        <w:t>recursos</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gene- raciones</w:t>
      </w:r>
      <w:r>
        <w:rPr>
          <w:color w:val="231F20"/>
          <w:spacing w:val="-35"/>
          <w:w w:val="105"/>
        </w:rPr>
        <w:t> </w:t>
      </w:r>
      <w:r>
        <w:rPr>
          <w:color w:val="231F20"/>
          <w:w w:val="105"/>
        </w:rPr>
        <w:t>venideras</w:t>
      </w:r>
      <w:r>
        <w:rPr>
          <w:color w:val="231F20"/>
          <w:spacing w:val="-35"/>
          <w:w w:val="105"/>
        </w:rPr>
        <w:t> </w:t>
      </w:r>
      <w:r>
        <w:rPr>
          <w:color w:val="231F20"/>
          <w:w w:val="105"/>
        </w:rPr>
        <w:t>y</w:t>
      </w:r>
      <w:r>
        <w:rPr>
          <w:color w:val="231F20"/>
          <w:spacing w:val="-35"/>
          <w:w w:val="105"/>
        </w:rPr>
        <w:t> </w:t>
      </w:r>
      <w:r>
        <w:rPr>
          <w:color w:val="231F20"/>
          <w:w w:val="105"/>
        </w:rPr>
        <w:t>sin</w:t>
      </w:r>
      <w:r>
        <w:rPr>
          <w:color w:val="231F20"/>
          <w:spacing w:val="-35"/>
          <w:w w:val="105"/>
        </w:rPr>
        <w:t> </w:t>
      </w:r>
      <w:r>
        <w:rPr>
          <w:color w:val="231F20"/>
          <w:w w:val="105"/>
        </w:rPr>
        <w:t>afectar</w:t>
      </w:r>
      <w:r>
        <w:rPr>
          <w:color w:val="231F20"/>
          <w:spacing w:val="-35"/>
          <w:w w:val="105"/>
        </w:rPr>
        <w:t> </w:t>
      </w:r>
      <w:r>
        <w:rPr>
          <w:color w:val="231F20"/>
          <w:w w:val="105"/>
        </w:rPr>
        <w:t>innecesariamente</w:t>
      </w:r>
      <w:r>
        <w:rPr>
          <w:color w:val="231F20"/>
          <w:spacing w:val="-35"/>
          <w:w w:val="105"/>
        </w:rPr>
        <w:t> </w:t>
      </w:r>
      <w:r>
        <w:rPr>
          <w:color w:val="231F20"/>
          <w:w w:val="105"/>
        </w:rPr>
        <w:t>al</w:t>
      </w:r>
      <w:r>
        <w:rPr>
          <w:color w:val="231F20"/>
          <w:spacing w:val="-35"/>
          <w:w w:val="105"/>
        </w:rPr>
        <w:t> </w:t>
      </w:r>
      <w:r>
        <w:rPr>
          <w:color w:val="231F20"/>
          <w:spacing w:val="-3"/>
          <w:w w:val="105"/>
        </w:rPr>
        <w:t>otro</w:t>
      </w:r>
      <w:r>
        <w:rPr>
          <w:color w:val="231F20"/>
          <w:spacing w:val="-35"/>
          <w:w w:val="105"/>
        </w:rPr>
        <w:t> </w:t>
      </w:r>
      <w:r>
        <w:rPr>
          <w:color w:val="231F20"/>
          <w:w w:val="105"/>
        </w:rPr>
        <w:t>y</w:t>
      </w:r>
      <w:r>
        <w:rPr>
          <w:color w:val="231F20"/>
          <w:spacing w:val="-35"/>
          <w:w w:val="105"/>
        </w:rPr>
        <w:t> </w:t>
      </w:r>
      <w:r>
        <w:rPr>
          <w:color w:val="231F20"/>
          <w:w w:val="105"/>
        </w:rPr>
        <w:t>al</w:t>
      </w:r>
      <w:r>
        <w:rPr>
          <w:color w:val="231F20"/>
          <w:spacing w:val="-35"/>
          <w:w w:val="105"/>
        </w:rPr>
        <w:t> </w:t>
      </w:r>
      <w:r>
        <w:rPr>
          <w:color w:val="231F20"/>
          <w:w w:val="105"/>
        </w:rPr>
        <w:t>ambiente.</w:t>
      </w:r>
    </w:p>
    <w:p>
      <w:pPr>
        <w:pStyle w:val="BodyText"/>
        <w:spacing w:line="259" w:lineRule="auto"/>
        <w:ind w:left="103" w:right="108" w:firstLine="567"/>
        <w:jc w:val="both"/>
      </w:pPr>
      <w:r>
        <w:rPr>
          <w:color w:val="231F20"/>
          <w:w w:val="105"/>
        </w:rPr>
        <w:t>Son</w:t>
      </w:r>
      <w:r>
        <w:rPr>
          <w:color w:val="231F20"/>
          <w:spacing w:val="-28"/>
          <w:w w:val="105"/>
        </w:rPr>
        <w:t> </w:t>
      </w:r>
      <w:r>
        <w:rPr>
          <w:color w:val="231F20"/>
          <w:w w:val="105"/>
        </w:rPr>
        <w:t>muchos</w:t>
      </w:r>
      <w:r>
        <w:rPr>
          <w:color w:val="231F20"/>
          <w:spacing w:val="-28"/>
          <w:w w:val="105"/>
        </w:rPr>
        <w:t> </w:t>
      </w:r>
      <w:r>
        <w:rPr>
          <w:color w:val="231F20"/>
          <w:w w:val="105"/>
        </w:rPr>
        <w:t>los</w:t>
      </w:r>
      <w:r>
        <w:rPr>
          <w:color w:val="231F20"/>
          <w:spacing w:val="-28"/>
          <w:w w:val="105"/>
        </w:rPr>
        <w:t> </w:t>
      </w:r>
      <w:r>
        <w:rPr>
          <w:color w:val="231F20"/>
          <w:w w:val="105"/>
        </w:rPr>
        <w:t>desafíos,</w:t>
      </w:r>
      <w:r>
        <w:rPr>
          <w:color w:val="231F20"/>
          <w:spacing w:val="-32"/>
          <w:w w:val="105"/>
        </w:rPr>
        <w:t> </w:t>
      </w:r>
      <w:r>
        <w:rPr>
          <w:color w:val="231F20"/>
          <w:w w:val="105"/>
        </w:rPr>
        <w:t>pero</w:t>
      </w:r>
      <w:r>
        <w:rPr>
          <w:color w:val="231F20"/>
          <w:spacing w:val="-28"/>
          <w:w w:val="105"/>
        </w:rPr>
        <w:t> </w:t>
      </w:r>
      <w:r>
        <w:rPr>
          <w:color w:val="231F20"/>
          <w:w w:val="105"/>
        </w:rPr>
        <w:t>también</w:t>
      </w:r>
      <w:r>
        <w:rPr>
          <w:color w:val="231F20"/>
          <w:spacing w:val="-28"/>
          <w:w w:val="105"/>
        </w:rPr>
        <w:t> </w:t>
      </w:r>
      <w:r>
        <w:rPr>
          <w:color w:val="231F20"/>
          <w:w w:val="105"/>
        </w:rPr>
        <w:t>lo</w:t>
      </w:r>
      <w:r>
        <w:rPr>
          <w:color w:val="231F20"/>
          <w:spacing w:val="-28"/>
          <w:w w:val="105"/>
        </w:rPr>
        <w:t> </w:t>
      </w:r>
      <w:r>
        <w:rPr>
          <w:color w:val="231F20"/>
          <w:w w:val="105"/>
        </w:rPr>
        <w:t>que</w:t>
      </w:r>
      <w:r>
        <w:rPr>
          <w:color w:val="231F20"/>
          <w:spacing w:val="-28"/>
          <w:w w:val="105"/>
        </w:rPr>
        <w:t> </w:t>
      </w:r>
      <w:r>
        <w:rPr>
          <w:color w:val="231F20"/>
          <w:w w:val="105"/>
        </w:rPr>
        <w:t>está</w:t>
      </w:r>
      <w:r>
        <w:rPr>
          <w:color w:val="231F20"/>
          <w:spacing w:val="-28"/>
          <w:w w:val="105"/>
        </w:rPr>
        <w:t> </w:t>
      </w:r>
      <w:r>
        <w:rPr>
          <w:color w:val="231F20"/>
          <w:w w:val="105"/>
        </w:rPr>
        <w:t>a</w:t>
      </w:r>
      <w:r>
        <w:rPr>
          <w:color w:val="231F20"/>
          <w:spacing w:val="-28"/>
          <w:w w:val="105"/>
        </w:rPr>
        <w:t> </w:t>
      </w:r>
      <w:r>
        <w:rPr>
          <w:color w:val="231F20"/>
          <w:w w:val="105"/>
        </w:rPr>
        <w:t>nuestro</w:t>
      </w:r>
      <w:r>
        <w:rPr>
          <w:color w:val="231F20"/>
          <w:spacing w:val="-28"/>
          <w:w w:val="105"/>
        </w:rPr>
        <w:t> </w:t>
      </w:r>
      <w:r>
        <w:rPr>
          <w:color w:val="231F20"/>
          <w:w w:val="105"/>
        </w:rPr>
        <w:t>alcan- ce,</w:t>
      </w:r>
      <w:r>
        <w:rPr>
          <w:color w:val="231F20"/>
          <w:spacing w:val="-32"/>
          <w:w w:val="105"/>
        </w:rPr>
        <w:t> </w:t>
      </w:r>
      <w:r>
        <w:rPr>
          <w:color w:val="231F20"/>
          <w:w w:val="105"/>
        </w:rPr>
        <w:t>pues</w:t>
      </w:r>
      <w:r>
        <w:rPr>
          <w:color w:val="231F20"/>
          <w:spacing w:val="-28"/>
          <w:w w:val="105"/>
        </w:rPr>
        <w:t> </w:t>
      </w:r>
      <w:r>
        <w:rPr>
          <w:color w:val="231F20"/>
          <w:w w:val="105"/>
        </w:rPr>
        <w:t>nunca</w:t>
      </w:r>
      <w:r>
        <w:rPr>
          <w:color w:val="231F20"/>
          <w:spacing w:val="-28"/>
          <w:w w:val="105"/>
        </w:rPr>
        <w:t> </w:t>
      </w:r>
      <w:r>
        <w:rPr>
          <w:color w:val="231F20"/>
          <w:w w:val="105"/>
        </w:rPr>
        <w:t>antes</w:t>
      </w:r>
      <w:r>
        <w:rPr>
          <w:color w:val="231F20"/>
          <w:spacing w:val="-28"/>
          <w:w w:val="105"/>
        </w:rPr>
        <w:t> </w:t>
      </w:r>
      <w:r>
        <w:rPr>
          <w:color w:val="231F20"/>
          <w:w w:val="105"/>
        </w:rPr>
        <w:t>nuestra</w:t>
      </w:r>
      <w:r>
        <w:rPr>
          <w:color w:val="231F20"/>
          <w:spacing w:val="-28"/>
          <w:w w:val="105"/>
        </w:rPr>
        <w:t> </w:t>
      </w:r>
      <w:r>
        <w:rPr>
          <w:color w:val="231F20"/>
          <w:w w:val="105"/>
        </w:rPr>
        <w:t>sociedad</w:t>
      </w:r>
      <w:r>
        <w:rPr>
          <w:color w:val="231F20"/>
          <w:spacing w:val="-28"/>
          <w:w w:val="105"/>
        </w:rPr>
        <w:t> </w:t>
      </w:r>
      <w:r>
        <w:rPr>
          <w:color w:val="231F20"/>
          <w:w w:val="105"/>
        </w:rPr>
        <w:t>tuvo</w:t>
      </w:r>
      <w:r>
        <w:rPr>
          <w:color w:val="231F20"/>
          <w:spacing w:val="-28"/>
          <w:w w:val="105"/>
        </w:rPr>
        <w:t> </w:t>
      </w:r>
      <w:r>
        <w:rPr>
          <w:color w:val="231F20"/>
          <w:w w:val="105"/>
        </w:rPr>
        <w:t>una</w:t>
      </w:r>
      <w:r>
        <w:rPr>
          <w:color w:val="231F20"/>
          <w:spacing w:val="-28"/>
          <w:w w:val="105"/>
        </w:rPr>
        <w:t> </w:t>
      </w:r>
      <w:r>
        <w:rPr>
          <w:color w:val="231F20"/>
          <w:w w:val="105"/>
        </w:rPr>
        <w:t>capacidad</w:t>
      </w:r>
      <w:r>
        <w:rPr>
          <w:color w:val="231F20"/>
          <w:spacing w:val="-28"/>
          <w:w w:val="105"/>
        </w:rPr>
        <w:t> </w:t>
      </w:r>
      <w:r>
        <w:rPr>
          <w:color w:val="231F20"/>
          <w:w w:val="105"/>
        </w:rPr>
        <w:t>semejante</w:t>
      </w:r>
      <w:r>
        <w:rPr>
          <w:color w:val="231F20"/>
          <w:spacing w:val="-28"/>
          <w:w w:val="105"/>
        </w:rPr>
        <w:t> </w:t>
      </w:r>
      <w:r>
        <w:rPr>
          <w:color w:val="231F20"/>
          <w:w w:val="105"/>
        </w:rPr>
        <w:t>de innovación</w:t>
      </w:r>
      <w:r>
        <w:rPr>
          <w:color w:val="231F20"/>
          <w:spacing w:val="-9"/>
          <w:w w:val="105"/>
        </w:rPr>
        <w:t> </w:t>
      </w:r>
      <w:r>
        <w:rPr>
          <w:color w:val="231F20"/>
          <w:w w:val="105"/>
        </w:rPr>
        <w:t>y</w:t>
      </w:r>
      <w:r>
        <w:rPr>
          <w:color w:val="231F20"/>
          <w:spacing w:val="-9"/>
          <w:w w:val="105"/>
        </w:rPr>
        <w:t> </w:t>
      </w:r>
      <w:r>
        <w:rPr>
          <w:color w:val="231F20"/>
          <w:w w:val="105"/>
        </w:rPr>
        <w:t>desarrollo</w:t>
      </w:r>
      <w:r>
        <w:rPr>
          <w:color w:val="231F20"/>
          <w:spacing w:val="-9"/>
          <w:w w:val="105"/>
        </w:rPr>
        <w:t> </w:t>
      </w:r>
      <w:r>
        <w:rPr>
          <w:color w:val="231F20"/>
          <w:w w:val="105"/>
        </w:rPr>
        <w:t>tecnológicos</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generación</w:t>
      </w:r>
      <w:r>
        <w:rPr>
          <w:color w:val="231F20"/>
          <w:spacing w:val="-9"/>
          <w:w w:val="105"/>
        </w:rPr>
        <w:t> </w:t>
      </w:r>
      <w:r>
        <w:rPr>
          <w:color w:val="231F20"/>
          <w:w w:val="105"/>
        </w:rPr>
        <w:t>de</w:t>
      </w:r>
      <w:r>
        <w:rPr>
          <w:color w:val="231F20"/>
          <w:spacing w:val="-9"/>
          <w:w w:val="105"/>
        </w:rPr>
        <w:t> </w:t>
      </w:r>
      <w:r>
        <w:rPr>
          <w:color w:val="231F20"/>
          <w:w w:val="105"/>
        </w:rPr>
        <w:t>valor</w:t>
      </w:r>
      <w:r>
        <w:rPr>
          <w:color w:val="231F20"/>
          <w:spacing w:val="-9"/>
          <w:w w:val="105"/>
        </w:rPr>
        <w:t> </w:t>
      </w:r>
      <w:r>
        <w:rPr>
          <w:color w:val="231F20"/>
          <w:w w:val="105"/>
        </w:rPr>
        <w:t>económi- co, social y medioambiental. </w:t>
      </w:r>
      <w:r>
        <w:rPr>
          <w:color w:val="231F20"/>
          <w:spacing w:val="-3"/>
          <w:w w:val="105"/>
        </w:rPr>
        <w:t>Tampoco </w:t>
      </w:r>
      <w:r>
        <w:rPr>
          <w:color w:val="231F20"/>
          <w:w w:val="105"/>
        </w:rPr>
        <w:t>un bagaje igual de</w:t>
      </w:r>
      <w:r>
        <w:rPr>
          <w:color w:val="231F20"/>
          <w:spacing w:val="-38"/>
          <w:w w:val="105"/>
        </w:rPr>
        <w:t> </w:t>
      </w:r>
      <w:r>
        <w:rPr>
          <w:color w:val="231F20"/>
          <w:w w:val="105"/>
        </w:rPr>
        <w:t>conocimiento e</w:t>
      </w:r>
      <w:r>
        <w:rPr>
          <w:color w:val="231F20"/>
          <w:spacing w:val="-24"/>
          <w:w w:val="105"/>
        </w:rPr>
        <w:t> </w:t>
      </w:r>
      <w:r>
        <w:rPr>
          <w:color w:val="231F20"/>
          <w:w w:val="105"/>
        </w:rPr>
        <w:t>información</w:t>
      </w:r>
      <w:r>
        <w:rPr>
          <w:color w:val="231F20"/>
          <w:spacing w:val="-24"/>
          <w:w w:val="105"/>
        </w:rPr>
        <w:t> </w:t>
      </w:r>
      <w:r>
        <w:rPr>
          <w:color w:val="231F20"/>
          <w:w w:val="105"/>
        </w:rPr>
        <w:t>(recursos),</w:t>
      </w:r>
      <w:r>
        <w:rPr>
          <w:color w:val="231F20"/>
          <w:spacing w:val="-29"/>
          <w:w w:val="105"/>
        </w:rPr>
        <w:t> </w:t>
      </w:r>
      <w:r>
        <w:rPr>
          <w:color w:val="231F20"/>
          <w:w w:val="105"/>
        </w:rPr>
        <w:t>ni</w:t>
      </w:r>
      <w:r>
        <w:rPr>
          <w:color w:val="231F20"/>
          <w:spacing w:val="-24"/>
          <w:w w:val="105"/>
        </w:rPr>
        <w:t> </w:t>
      </w:r>
      <w:r>
        <w:rPr>
          <w:color w:val="231F20"/>
          <w:w w:val="105"/>
        </w:rPr>
        <w:t>las</w:t>
      </w:r>
      <w:r>
        <w:rPr>
          <w:color w:val="231F20"/>
          <w:spacing w:val="-24"/>
          <w:w w:val="105"/>
        </w:rPr>
        <w:t> </w:t>
      </w:r>
      <w:r>
        <w:rPr>
          <w:color w:val="231F20"/>
          <w:w w:val="105"/>
        </w:rPr>
        <w:t>capacidades</w:t>
      </w:r>
      <w:r>
        <w:rPr>
          <w:color w:val="231F20"/>
          <w:spacing w:val="-24"/>
          <w:w w:val="105"/>
        </w:rPr>
        <w:t> </w:t>
      </w:r>
      <w:r>
        <w:rPr>
          <w:color w:val="231F20"/>
          <w:w w:val="105"/>
        </w:rPr>
        <w:t>de</w:t>
      </w:r>
      <w:r>
        <w:rPr>
          <w:color w:val="231F20"/>
          <w:spacing w:val="-24"/>
          <w:w w:val="105"/>
        </w:rPr>
        <w:t> </w:t>
      </w:r>
      <w:r>
        <w:rPr>
          <w:color w:val="231F20"/>
          <w:w w:val="105"/>
        </w:rPr>
        <w:t>tratamiento</w:t>
      </w:r>
      <w:r>
        <w:rPr>
          <w:color w:val="231F20"/>
          <w:spacing w:val="-24"/>
          <w:w w:val="105"/>
        </w:rPr>
        <w:t> </w:t>
      </w:r>
      <w:r>
        <w:rPr>
          <w:color w:val="231F20"/>
          <w:w w:val="105"/>
        </w:rPr>
        <w:t>y</w:t>
      </w:r>
      <w:r>
        <w:rPr>
          <w:color w:val="231F20"/>
          <w:spacing w:val="-24"/>
          <w:w w:val="105"/>
        </w:rPr>
        <w:t> </w:t>
      </w:r>
      <w:r>
        <w:rPr>
          <w:color w:val="231F20"/>
          <w:w w:val="105"/>
        </w:rPr>
        <w:t>explotación de</w:t>
      </w:r>
      <w:r>
        <w:rPr>
          <w:color w:val="231F20"/>
          <w:spacing w:val="-25"/>
          <w:w w:val="105"/>
        </w:rPr>
        <w:t> </w:t>
      </w:r>
      <w:r>
        <w:rPr>
          <w:color w:val="231F20"/>
          <w:w w:val="105"/>
        </w:rPr>
        <w:t>las</w:t>
      </w:r>
      <w:r>
        <w:rPr>
          <w:color w:val="231F20"/>
          <w:spacing w:val="-25"/>
          <w:w w:val="105"/>
        </w:rPr>
        <w:t> </w:t>
      </w:r>
      <w:r>
        <w:rPr>
          <w:color w:val="231F20"/>
          <w:w w:val="105"/>
        </w:rPr>
        <w:t>mismas</w:t>
      </w:r>
      <w:r>
        <w:rPr>
          <w:color w:val="231F20"/>
          <w:spacing w:val="-25"/>
          <w:w w:val="105"/>
        </w:rPr>
        <w:t> </w:t>
      </w:r>
      <w:r>
        <w:rPr>
          <w:color w:val="231F20"/>
          <w:w w:val="105"/>
        </w:rPr>
        <w:t>para</w:t>
      </w:r>
      <w:r>
        <w:rPr>
          <w:color w:val="231F20"/>
          <w:spacing w:val="-25"/>
          <w:w w:val="105"/>
        </w:rPr>
        <w:t> </w:t>
      </w:r>
      <w:r>
        <w:rPr>
          <w:color w:val="231F20"/>
          <w:w w:val="105"/>
        </w:rPr>
        <w:t>la</w:t>
      </w:r>
      <w:r>
        <w:rPr>
          <w:color w:val="231F20"/>
          <w:spacing w:val="-25"/>
          <w:w w:val="105"/>
        </w:rPr>
        <w:t> </w:t>
      </w:r>
      <w:r>
        <w:rPr>
          <w:color w:val="231F20"/>
          <w:w w:val="105"/>
        </w:rPr>
        <w:t>búsqueda</w:t>
      </w:r>
      <w:r>
        <w:rPr>
          <w:color w:val="231F20"/>
          <w:spacing w:val="-25"/>
          <w:w w:val="105"/>
        </w:rPr>
        <w:t> </w:t>
      </w:r>
      <w:r>
        <w:rPr>
          <w:color w:val="231F20"/>
          <w:w w:val="105"/>
        </w:rPr>
        <w:t>de</w:t>
      </w:r>
      <w:r>
        <w:rPr>
          <w:color w:val="231F20"/>
          <w:spacing w:val="-25"/>
          <w:w w:val="105"/>
        </w:rPr>
        <w:t> </w:t>
      </w:r>
      <w:r>
        <w:rPr>
          <w:color w:val="231F20"/>
          <w:w w:val="105"/>
        </w:rPr>
        <w:t>soluciones</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retos</w:t>
      </w:r>
      <w:r>
        <w:rPr>
          <w:color w:val="231F20"/>
          <w:spacing w:val="-25"/>
          <w:w w:val="105"/>
        </w:rPr>
        <w:t> </w:t>
      </w:r>
      <w:r>
        <w:rPr>
          <w:color w:val="231F20"/>
          <w:w w:val="105"/>
        </w:rPr>
        <w:t>y</w:t>
      </w:r>
      <w:r>
        <w:rPr>
          <w:color w:val="231F20"/>
          <w:spacing w:val="-25"/>
          <w:w w:val="105"/>
        </w:rPr>
        <w:t> </w:t>
      </w:r>
      <w:r>
        <w:rPr>
          <w:color w:val="231F20"/>
          <w:w w:val="105"/>
        </w:rPr>
        <w:t>demandas</w:t>
      </w:r>
      <w:r>
        <w:rPr>
          <w:color w:val="231F20"/>
          <w:spacing w:val="-25"/>
          <w:w w:val="105"/>
        </w:rPr>
        <w:t> </w:t>
      </w:r>
      <w:r>
        <w:rPr>
          <w:color w:val="231F20"/>
          <w:w w:val="105"/>
        </w:rPr>
        <w:t>de nuestro</w:t>
      </w:r>
      <w:r>
        <w:rPr>
          <w:color w:val="231F20"/>
          <w:spacing w:val="-15"/>
          <w:w w:val="105"/>
        </w:rPr>
        <w:t> </w:t>
      </w:r>
      <w:r>
        <w:rPr>
          <w:color w:val="231F20"/>
          <w:w w:val="105"/>
        </w:rPr>
        <w:t>tiempo</w:t>
      </w:r>
      <w:r>
        <w:rPr>
          <w:color w:val="231F20"/>
          <w:spacing w:val="-15"/>
          <w:w w:val="105"/>
        </w:rPr>
        <w:t> </w:t>
      </w:r>
      <w:r>
        <w:rPr>
          <w:color w:val="231F20"/>
          <w:spacing w:val="-3"/>
          <w:w w:val="105"/>
        </w:rPr>
        <w:t>(Perelli,</w:t>
      </w:r>
      <w:r>
        <w:rPr>
          <w:color w:val="231F20"/>
          <w:spacing w:val="-20"/>
          <w:w w:val="105"/>
        </w:rPr>
        <w:t> </w:t>
      </w:r>
      <w:r>
        <w:rPr>
          <w:color w:val="231F20"/>
          <w:w w:val="105"/>
        </w:rPr>
        <w:t>2014).</w:t>
      </w:r>
      <w:r>
        <w:rPr>
          <w:color w:val="231F20"/>
          <w:spacing w:val="-20"/>
          <w:w w:val="105"/>
        </w:rPr>
        <w:t> </w:t>
      </w:r>
      <w:r>
        <w:rPr>
          <w:color w:val="231F20"/>
          <w:w w:val="105"/>
        </w:rPr>
        <w:t>Sin</w:t>
      </w:r>
      <w:r>
        <w:rPr>
          <w:color w:val="231F20"/>
          <w:spacing w:val="-15"/>
          <w:w w:val="105"/>
        </w:rPr>
        <w:t> </w:t>
      </w:r>
      <w:r>
        <w:rPr>
          <w:color w:val="231F20"/>
          <w:w w:val="105"/>
        </w:rPr>
        <w:t>embargo,</w:t>
      </w:r>
      <w:r>
        <w:rPr>
          <w:color w:val="231F20"/>
          <w:spacing w:val="-20"/>
          <w:w w:val="105"/>
        </w:rPr>
        <w:t> </w:t>
      </w:r>
      <w:r>
        <w:rPr>
          <w:color w:val="231F20"/>
          <w:w w:val="105"/>
        </w:rPr>
        <w:t>explotar</w:t>
      </w:r>
      <w:r>
        <w:rPr>
          <w:color w:val="231F20"/>
          <w:spacing w:val="-15"/>
          <w:w w:val="105"/>
        </w:rPr>
        <w:t> </w:t>
      </w:r>
      <w:r>
        <w:rPr>
          <w:color w:val="231F20"/>
          <w:w w:val="105"/>
        </w:rPr>
        <w:t>lo</w:t>
      </w:r>
      <w:r>
        <w:rPr>
          <w:color w:val="231F20"/>
          <w:spacing w:val="-15"/>
          <w:w w:val="105"/>
        </w:rPr>
        <w:t> </w:t>
      </w:r>
      <w:r>
        <w:rPr>
          <w:color w:val="231F20"/>
          <w:w w:val="105"/>
        </w:rPr>
        <w:t>anterior</w:t>
      </w:r>
      <w:r>
        <w:rPr>
          <w:color w:val="231F20"/>
          <w:spacing w:val="-15"/>
          <w:w w:val="105"/>
        </w:rPr>
        <w:t> </w:t>
      </w:r>
      <w:r>
        <w:rPr>
          <w:color w:val="231F20"/>
          <w:w w:val="105"/>
        </w:rPr>
        <w:t>conlleva reconocer la presencia de los agentes externos,</w:t>
      </w:r>
      <w:r>
        <w:rPr>
          <w:color w:val="231F20"/>
          <w:spacing w:val="-43"/>
          <w:w w:val="105"/>
        </w:rPr>
        <w:t> </w:t>
      </w:r>
      <w:r>
        <w:rPr>
          <w:color w:val="231F20"/>
          <w:w w:val="105"/>
        </w:rPr>
        <w:t>por lo que queda en el tintero</w:t>
      </w:r>
      <w:r>
        <w:rPr>
          <w:color w:val="231F20"/>
          <w:spacing w:val="-26"/>
          <w:w w:val="105"/>
        </w:rPr>
        <w:t> </w:t>
      </w:r>
      <w:r>
        <w:rPr>
          <w:color w:val="231F20"/>
          <w:w w:val="105"/>
        </w:rPr>
        <w:t>reflexionar</w:t>
      </w:r>
      <w:r>
        <w:rPr>
          <w:color w:val="231F20"/>
          <w:spacing w:val="-26"/>
          <w:w w:val="105"/>
        </w:rPr>
        <w:t> </w:t>
      </w:r>
      <w:r>
        <w:rPr>
          <w:color w:val="231F20"/>
          <w:w w:val="105"/>
        </w:rPr>
        <w:t>sobre</w:t>
      </w:r>
      <w:r>
        <w:rPr>
          <w:color w:val="231F20"/>
          <w:spacing w:val="-26"/>
          <w:w w:val="105"/>
        </w:rPr>
        <w:t> </w:t>
      </w:r>
      <w:r>
        <w:rPr>
          <w:color w:val="231F20"/>
          <w:w w:val="105"/>
        </w:rPr>
        <w:t>la</w:t>
      </w:r>
      <w:r>
        <w:rPr>
          <w:color w:val="231F20"/>
          <w:spacing w:val="-26"/>
          <w:w w:val="105"/>
        </w:rPr>
        <w:t> </w:t>
      </w:r>
      <w:r>
        <w:rPr>
          <w:color w:val="231F20"/>
          <w:w w:val="105"/>
        </w:rPr>
        <w:t>teoría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i/>
          <w:color w:val="231F20"/>
          <w:w w:val="105"/>
        </w:rPr>
        <w:t>stakeholders</w:t>
      </w:r>
      <w:r>
        <w:rPr>
          <w:i/>
          <w:color w:val="231F20"/>
          <w:spacing w:val="-26"/>
          <w:w w:val="105"/>
        </w:rPr>
        <w:t> </w:t>
      </w:r>
      <w:r>
        <w:rPr>
          <w:color w:val="231F20"/>
          <w:w w:val="105"/>
        </w:rPr>
        <w:t>como</w:t>
      </w:r>
      <w:r>
        <w:rPr>
          <w:color w:val="231F20"/>
          <w:spacing w:val="-26"/>
          <w:w w:val="105"/>
        </w:rPr>
        <w:t> </w:t>
      </w:r>
      <w:r>
        <w:rPr>
          <w:color w:val="231F20"/>
          <w:w w:val="105"/>
        </w:rPr>
        <w:t>una</w:t>
      </w:r>
      <w:r>
        <w:rPr>
          <w:color w:val="231F20"/>
          <w:spacing w:val="-26"/>
          <w:w w:val="105"/>
        </w:rPr>
        <w:t> </w:t>
      </w:r>
      <w:r>
        <w:rPr>
          <w:color w:val="231F20"/>
          <w:w w:val="105"/>
        </w:rPr>
        <w:t>extensión de</w:t>
      </w:r>
      <w:r>
        <w:rPr>
          <w:color w:val="231F20"/>
          <w:spacing w:val="-48"/>
          <w:w w:val="105"/>
        </w:rPr>
        <w:t> </w:t>
      </w:r>
      <w:r>
        <w:rPr>
          <w:color w:val="231F20"/>
          <w:w w:val="105"/>
        </w:rPr>
        <w:t>las</w:t>
      </w:r>
      <w:r>
        <w:rPr>
          <w:color w:val="231F20"/>
          <w:spacing w:val="-50"/>
          <w:w w:val="105"/>
        </w:rPr>
        <w:t> </w:t>
      </w:r>
      <w:r>
        <w:rPr>
          <w:color w:val="231F20"/>
          <w:w w:val="105"/>
        </w:rPr>
        <w:t>TDR</w:t>
      </w:r>
      <w:r>
        <w:rPr>
          <w:color w:val="231F20"/>
          <w:spacing w:val="-48"/>
          <w:w w:val="105"/>
        </w:rPr>
        <w:t> </w:t>
      </w:r>
      <w:r>
        <w:rPr>
          <w:color w:val="231F20"/>
          <w:w w:val="105"/>
        </w:rPr>
        <w:t>y</w:t>
      </w:r>
      <w:r>
        <w:rPr>
          <w:color w:val="231F20"/>
          <w:spacing w:val="-50"/>
          <w:w w:val="105"/>
        </w:rPr>
        <w:t> </w:t>
      </w:r>
      <w:r>
        <w:rPr>
          <w:color w:val="231F20"/>
          <w:w w:val="105"/>
        </w:rPr>
        <w:t>TRyC</w:t>
      </w:r>
      <w:r>
        <w:rPr>
          <w:color w:val="231F20"/>
          <w:spacing w:val="-48"/>
          <w:w w:val="105"/>
        </w:rPr>
        <w:t> </w:t>
      </w:r>
      <w:r>
        <w:rPr>
          <w:color w:val="231F20"/>
          <w:w w:val="105"/>
        </w:rPr>
        <w:t>para</w:t>
      </w:r>
      <w:r>
        <w:rPr>
          <w:color w:val="231F20"/>
          <w:spacing w:val="-48"/>
          <w:w w:val="105"/>
        </w:rPr>
        <w:t> </w:t>
      </w:r>
      <w:r>
        <w:rPr>
          <w:color w:val="231F20"/>
          <w:w w:val="105"/>
        </w:rPr>
        <w:t>examinar</w:t>
      </w:r>
      <w:r>
        <w:rPr>
          <w:color w:val="231F20"/>
          <w:spacing w:val="-48"/>
          <w:w w:val="105"/>
        </w:rPr>
        <w:t> </w:t>
      </w:r>
      <w:r>
        <w:rPr>
          <w:color w:val="231F20"/>
          <w:w w:val="105"/>
        </w:rPr>
        <w:t>las</w:t>
      </w:r>
      <w:r>
        <w:rPr>
          <w:color w:val="231F20"/>
          <w:spacing w:val="-48"/>
          <w:w w:val="105"/>
        </w:rPr>
        <w:t> </w:t>
      </w:r>
      <w:r>
        <w:rPr>
          <w:color w:val="231F20"/>
          <w:w w:val="105"/>
        </w:rPr>
        <w:t>interdependencias</w:t>
      </w:r>
      <w:r>
        <w:rPr>
          <w:color w:val="231F20"/>
          <w:spacing w:val="-48"/>
          <w:w w:val="105"/>
        </w:rPr>
        <w:t> </w:t>
      </w:r>
      <w:r>
        <w:rPr>
          <w:color w:val="231F20"/>
          <w:w w:val="105"/>
        </w:rPr>
        <w:t>organizacionales. Al hacerlo, debemos tener presente que el modelo de grupos super- puestos</w:t>
      </w:r>
      <w:r>
        <w:rPr>
          <w:color w:val="231F20"/>
          <w:spacing w:val="-11"/>
          <w:w w:val="105"/>
        </w:rPr>
        <w:t> </w:t>
      </w:r>
      <w:r>
        <w:rPr>
          <w:color w:val="231F20"/>
          <w:w w:val="105"/>
        </w:rPr>
        <w:t>de</w:t>
      </w:r>
      <w:r>
        <w:rPr>
          <w:color w:val="231F20"/>
          <w:spacing w:val="-12"/>
          <w:w w:val="105"/>
        </w:rPr>
        <w:t> </w:t>
      </w:r>
      <w:r>
        <w:rPr>
          <w:color w:val="231F20"/>
          <w:w w:val="105"/>
        </w:rPr>
        <w:t>Likert,</w:t>
      </w:r>
      <w:r>
        <w:rPr>
          <w:color w:val="231F20"/>
          <w:spacing w:val="-17"/>
          <w:w w:val="105"/>
        </w:rPr>
        <w:t> </w:t>
      </w:r>
      <w:r>
        <w:rPr>
          <w:color w:val="231F20"/>
          <w:w w:val="105"/>
        </w:rPr>
        <w:t>quien</w:t>
      </w:r>
      <w:r>
        <w:rPr>
          <w:color w:val="231F20"/>
          <w:spacing w:val="-12"/>
          <w:w w:val="105"/>
        </w:rPr>
        <w:t> </w:t>
      </w:r>
      <w:r>
        <w:rPr>
          <w:color w:val="231F20"/>
          <w:w w:val="105"/>
        </w:rPr>
        <w:t>también</w:t>
      </w:r>
      <w:r>
        <w:rPr>
          <w:color w:val="231F20"/>
          <w:spacing w:val="-12"/>
          <w:w w:val="105"/>
        </w:rPr>
        <w:t> </w:t>
      </w:r>
      <w:r>
        <w:rPr>
          <w:color w:val="231F20"/>
          <w:w w:val="105"/>
        </w:rPr>
        <w:t>reconoce</w:t>
      </w:r>
      <w:r>
        <w:rPr>
          <w:color w:val="231F20"/>
          <w:spacing w:val="-12"/>
          <w:w w:val="105"/>
        </w:rPr>
        <w:t> </w:t>
      </w:r>
      <w:r>
        <w:rPr>
          <w:color w:val="231F20"/>
          <w:w w:val="105"/>
        </w:rPr>
        <w:t>que</w:t>
      </w:r>
      <w:r>
        <w:rPr>
          <w:color w:val="231F20"/>
          <w:spacing w:val="-12"/>
          <w:w w:val="105"/>
        </w:rPr>
        <w:t> </w:t>
      </w:r>
      <w:r>
        <w:rPr>
          <w:color w:val="231F20"/>
          <w:w w:val="105"/>
        </w:rPr>
        <w:t>si</w:t>
      </w:r>
      <w:r>
        <w:rPr>
          <w:color w:val="231F20"/>
          <w:spacing w:val="-12"/>
          <w:w w:val="105"/>
        </w:rPr>
        <w:t> </w:t>
      </w:r>
      <w:r>
        <w:rPr>
          <w:color w:val="231F20"/>
          <w:w w:val="105"/>
        </w:rPr>
        <w:t>la</w:t>
      </w:r>
      <w:r>
        <w:rPr>
          <w:color w:val="231F20"/>
          <w:spacing w:val="-11"/>
          <w:w w:val="105"/>
        </w:rPr>
        <w:t> </w:t>
      </w:r>
      <w:r>
        <w:rPr>
          <w:color w:val="231F20"/>
          <w:w w:val="105"/>
        </w:rPr>
        <w:t>organización</w:t>
      </w:r>
      <w:r>
        <w:rPr>
          <w:color w:val="231F20"/>
          <w:spacing w:val="-12"/>
          <w:w w:val="105"/>
        </w:rPr>
        <w:t> </w:t>
      </w:r>
      <w:r>
        <w:rPr>
          <w:color w:val="231F20"/>
          <w:w w:val="105"/>
        </w:rPr>
        <w:t>quiere entender</w:t>
      </w:r>
      <w:r>
        <w:rPr>
          <w:color w:val="231F20"/>
          <w:spacing w:val="-13"/>
          <w:w w:val="105"/>
        </w:rPr>
        <w:t> </w:t>
      </w:r>
      <w:r>
        <w:rPr>
          <w:color w:val="231F20"/>
          <w:w w:val="105"/>
        </w:rPr>
        <w:t>su</w:t>
      </w:r>
      <w:r>
        <w:rPr>
          <w:color w:val="231F20"/>
          <w:spacing w:val="-13"/>
          <w:w w:val="105"/>
        </w:rPr>
        <w:t> </w:t>
      </w:r>
      <w:r>
        <w:rPr>
          <w:color w:val="231F20"/>
          <w:w w:val="105"/>
        </w:rPr>
        <w:t>medio</w:t>
      </w:r>
      <w:r>
        <w:rPr>
          <w:color w:val="231F20"/>
          <w:spacing w:val="-13"/>
          <w:w w:val="105"/>
        </w:rPr>
        <w:t> </w:t>
      </w:r>
      <w:r>
        <w:rPr>
          <w:color w:val="231F20"/>
          <w:w w:val="105"/>
        </w:rPr>
        <w:t>y</w:t>
      </w:r>
      <w:r>
        <w:rPr>
          <w:color w:val="231F20"/>
          <w:spacing w:val="-13"/>
          <w:w w:val="105"/>
        </w:rPr>
        <w:t> </w:t>
      </w:r>
      <w:r>
        <w:rPr>
          <w:color w:val="231F20"/>
          <w:w w:val="105"/>
        </w:rPr>
        <w:t>relacionarse</w:t>
      </w:r>
      <w:r>
        <w:rPr>
          <w:color w:val="231F20"/>
          <w:spacing w:val="-13"/>
          <w:w w:val="105"/>
        </w:rPr>
        <w:t> </w:t>
      </w:r>
      <w:r>
        <w:rPr>
          <w:color w:val="231F20"/>
          <w:w w:val="105"/>
        </w:rPr>
        <w:t>con</w:t>
      </w:r>
      <w:r>
        <w:rPr>
          <w:color w:val="231F20"/>
          <w:spacing w:val="-13"/>
          <w:w w:val="105"/>
        </w:rPr>
        <w:t> </w:t>
      </w:r>
      <w:r>
        <w:rPr>
          <w:color w:val="231F20"/>
          <w:w w:val="105"/>
        </w:rPr>
        <w:t>él,</w:t>
      </w:r>
      <w:r>
        <w:rPr>
          <w:color w:val="231F20"/>
          <w:spacing w:val="-19"/>
          <w:w w:val="105"/>
        </w:rPr>
        <w:t> </w:t>
      </w:r>
      <w:r>
        <w:rPr>
          <w:color w:val="231F20"/>
          <w:w w:val="105"/>
        </w:rPr>
        <w:t>encierra</w:t>
      </w:r>
      <w:r>
        <w:rPr>
          <w:color w:val="231F20"/>
          <w:spacing w:val="-13"/>
          <w:w w:val="105"/>
        </w:rPr>
        <w:t> </w:t>
      </w:r>
      <w:r>
        <w:rPr>
          <w:color w:val="231F20"/>
          <w:w w:val="105"/>
        </w:rPr>
        <w:t>las</w:t>
      </w:r>
      <w:r>
        <w:rPr>
          <w:color w:val="231F20"/>
          <w:spacing w:val="-13"/>
          <w:w w:val="105"/>
        </w:rPr>
        <w:t> </w:t>
      </w:r>
      <w:r>
        <w:rPr>
          <w:color w:val="231F20"/>
          <w:w w:val="105"/>
        </w:rPr>
        <w:t>interdependencias entre la ubicación de las personas clave que sirven de enlace con ese medio</w:t>
      </w:r>
      <w:r>
        <w:rPr>
          <w:color w:val="231F20"/>
          <w:spacing w:val="-37"/>
          <w:w w:val="105"/>
        </w:rPr>
        <w:t> </w:t>
      </w:r>
      <w:r>
        <w:rPr>
          <w:color w:val="231F20"/>
          <w:w w:val="105"/>
        </w:rPr>
        <w:t>(Schein,</w:t>
      </w:r>
      <w:r>
        <w:rPr>
          <w:color w:val="231F20"/>
          <w:spacing w:val="-40"/>
          <w:w w:val="105"/>
        </w:rPr>
        <w:t> </w:t>
      </w:r>
      <w:r>
        <w:rPr>
          <w:color w:val="231F20"/>
          <w:w w:val="105"/>
        </w:rPr>
        <w:t>1982).</w:t>
      </w:r>
    </w:p>
    <w:p>
      <w:pPr>
        <w:pStyle w:val="BodyText"/>
        <w:spacing w:line="259" w:lineRule="auto"/>
        <w:ind w:left="104" w:right="108" w:firstLine="567"/>
        <w:jc w:val="both"/>
      </w:pPr>
      <w:r>
        <w:rPr>
          <w:color w:val="231F20"/>
          <w:w w:val="105"/>
        </w:rPr>
        <w:t>Las</w:t>
      </w:r>
      <w:r>
        <w:rPr>
          <w:color w:val="231F20"/>
          <w:spacing w:val="-30"/>
          <w:w w:val="105"/>
        </w:rPr>
        <w:t> </w:t>
      </w:r>
      <w:r>
        <w:rPr>
          <w:color w:val="231F20"/>
          <w:w w:val="105"/>
        </w:rPr>
        <w:t>organizaciones</w:t>
      </w:r>
      <w:r>
        <w:rPr>
          <w:color w:val="231F20"/>
          <w:spacing w:val="-30"/>
          <w:w w:val="105"/>
        </w:rPr>
        <w:t> </w:t>
      </w:r>
      <w:r>
        <w:rPr>
          <w:color w:val="231F20"/>
          <w:w w:val="105"/>
        </w:rPr>
        <w:t>sustentables</w:t>
      </w:r>
      <w:r>
        <w:rPr>
          <w:color w:val="231F20"/>
          <w:spacing w:val="-30"/>
          <w:w w:val="105"/>
        </w:rPr>
        <w:t> </w:t>
      </w:r>
      <w:r>
        <w:rPr>
          <w:color w:val="231F20"/>
          <w:w w:val="105"/>
        </w:rPr>
        <w:t>no</w:t>
      </w:r>
      <w:r>
        <w:rPr>
          <w:color w:val="231F20"/>
          <w:spacing w:val="-30"/>
          <w:w w:val="105"/>
        </w:rPr>
        <w:t> </w:t>
      </w:r>
      <w:r>
        <w:rPr>
          <w:color w:val="231F20"/>
          <w:w w:val="105"/>
        </w:rPr>
        <w:t>pueden</w:t>
      </w:r>
      <w:r>
        <w:rPr>
          <w:color w:val="231F20"/>
          <w:spacing w:val="-30"/>
          <w:w w:val="105"/>
        </w:rPr>
        <w:t> </w:t>
      </w:r>
      <w:r>
        <w:rPr>
          <w:color w:val="231F20"/>
          <w:w w:val="105"/>
        </w:rPr>
        <w:t>perder</w:t>
      </w:r>
      <w:r>
        <w:rPr>
          <w:color w:val="231F20"/>
          <w:spacing w:val="-30"/>
          <w:w w:val="105"/>
        </w:rPr>
        <w:t> </w:t>
      </w:r>
      <w:r>
        <w:rPr>
          <w:color w:val="231F20"/>
          <w:w w:val="105"/>
        </w:rPr>
        <w:t>de</w:t>
      </w:r>
      <w:r>
        <w:rPr>
          <w:color w:val="231F20"/>
          <w:spacing w:val="-30"/>
          <w:w w:val="105"/>
        </w:rPr>
        <w:t> </w:t>
      </w:r>
      <w:r>
        <w:rPr>
          <w:color w:val="231F20"/>
          <w:w w:val="105"/>
        </w:rPr>
        <w:t>vista</w:t>
      </w:r>
      <w:r>
        <w:rPr>
          <w:color w:val="231F20"/>
          <w:spacing w:val="-30"/>
          <w:w w:val="105"/>
        </w:rPr>
        <w:t> </w:t>
      </w:r>
      <w:r>
        <w:rPr>
          <w:color w:val="231F20"/>
          <w:w w:val="105"/>
        </w:rPr>
        <w:t>la</w:t>
      </w:r>
      <w:r>
        <w:rPr>
          <w:color w:val="231F20"/>
          <w:spacing w:val="-30"/>
          <w:w w:val="105"/>
        </w:rPr>
        <w:t> </w:t>
      </w:r>
      <w:r>
        <w:rPr>
          <w:color w:val="231F20"/>
          <w:w w:val="105"/>
        </w:rPr>
        <w:t>crea- ción de valor presente y futuro, tomando en cuenta a los grupos de in- terés</w:t>
      </w:r>
      <w:r>
        <w:rPr>
          <w:color w:val="231F20"/>
          <w:spacing w:val="-8"/>
          <w:w w:val="105"/>
        </w:rPr>
        <w:t> </w:t>
      </w:r>
      <w:r>
        <w:rPr>
          <w:color w:val="231F20"/>
          <w:w w:val="105"/>
        </w:rPr>
        <w:t>vinculados</w:t>
      </w:r>
      <w:r>
        <w:rPr>
          <w:color w:val="231F20"/>
          <w:spacing w:val="-8"/>
          <w:w w:val="105"/>
        </w:rPr>
        <w:t> </w:t>
      </w:r>
      <w:r>
        <w:rPr>
          <w:color w:val="231F20"/>
          <w:w w:val="105"/>
        </w:rPr>
        <w:t>a</w:t>
      </w:r>
      <w:r>
        <w:rPr>
          <w:color w:val="231F20"/>
          <w:spacing w:val="-8"/>
          <w:w w:val="105"/>
        </w:rPr>
        <w:t> </w:t>
      </w:r>
      <w:r>
        <w:rPr>
          <w:color w:val="231F20"/>
          <w:w w:val="105"/>
        </w:rPr>
        <w:t>ella.</w:t>
      </w:r>
      <w:r>
        <w:rPr>
          <w:color w:val="231F20"/>
          <w:spacing w:val="-13"/>
          <w:w w:val="105"/>
        </w:rPr>
        <w:t> </w:t>
      </w:r>
      <w:r>
        <w:rPr>
          <w:color w:val="231F20"/>
          <w:w w:val="105"/>
        </w:rPr>
        <w:t>Este</w:t>
      </w:r>
      <w:r>
        <w:rPr>
          <w:color w:val="231F20"/>
          <w:spacing w:val="-8"/>
          <w:w w:val="105"/>
        </w:rPr>
        <w:t> </w:t>
      </w:r>
      <w:r>
        <w:rPr>
          <w:color w:val="231F20"/>
          <w:w w:val="105"/>
        </w:rPr>
        <w:t>modo</w:t>
      </w:r>
      <w:r>
        <w:rPr>
          <w:color w:val="231F20"/>
          <w:spacing w:val="-8"/>
          <w:w w:val="105"/>
        </w:rPr>
        <w:t> </w:t>
      </w:r>
      <w:r>
        <w:rPr>
          <w:color w:val="231F20"/>
          <w:w w:val="105"/>
        </w:rPr>
        <w:t>de</w:t>
      </w:r>
      <w:r>
        <w:rPr>
          <w:color w:val="231F20"/>
          <w:spacing w:val="-8"/>
          <w:w w:val="105"/>
        </w:rPr>
        <w:t> </w:t>
      </w:r>
      <w:r>
        <w:rPr>
          <w:color w:val="231F20"/>
          <w:w w:val="105"/>
        </w:rPr>
        <w:t>gestión</w:t>
      </w:r>
      <w:r>
        <w:rPr>
          <w:color w:val="231F20"/>
          <w:spacing w:val="-8"/>
          <w:w w:val="105"/>
        </w:rPr>
        <w:t> </w:t>
      </w:r>
      <w:r>
        <w:rPr>
          <w:color w:val="231F20"/>
          <w:w w:val="105"/>
        </w:rPr>
        <w:t>supone</w:t>
      </w:r>
      <w:r>
        <w:rPr>
          <w:color w:val="231F20"/>
          <w:spacing w:val="-8"/>
          <w:w w:val="105"/>
        </w:rPr>
        <w:t> </w:t>
      </w:r>
      <w:r>
        <w:rPr>
          <w:color w:val="231F20"/>
          <w:w w:val="105"/>
        </w:rPr>
        <w:t>reconocer</w:t>
      </w:r>
      <w:r>
        <w:rPr>
          <w:color w:val="231F20"/>
          <w:spacing w:val="-8"/>
          <w:w w:val="105"/>
        </w:rPr>
        <w:t> </w:t>
      </w:r>
      <w:r>
        <w:rPr>
          <w:color w:val="231F20"/>
          <w:w w:val="105"/>
        </w:rPr>
        <w:t>un</w:t>
      </w:r>
      <w:r>
        <w:rPr>
          <w:color w:val="231F20"/>
          <w:spacing w:val="-8"/>
          <w:w w:val="105"/>
        </w:rPr>
        <w:t> </w:t>
      </w:r>
      <w:r>
        <w:rPr>
          <w:color w:val="231F20"/>
          <w:w w:val="105"/>
        </w:rPr>
        <w:t>uni- verso de relaciones complejas con grupos de interés que pueden</w:t>
      </w:r>
      <w:r>
        <w:rPr>
          <w:color w:val="231F20"/>
          <w:spacing w:val="-28"/>
          <w:w w:val="105"/>
        </w:rPr>
        <w:t> </w:t>
      </w:r>
      <w:r>
        <w:rPr>
          <w:color w:val="231F20"/>
          <w:w w:val="105"/>
        </w:rPr>
        <w:t>tener expectativas</w:t>
      </w:r>
      <w:r>
        <w:rPr>
          <w:color w:val="231F20"/>
          <w:spacing w:val="-31"/>
          <w:w w:val="105"/>
        </w:rPr>
        <w:t> </w:t>
      </w:r>
      <w:r>
        <w:rPr>
          <w:color w:val="231F20"/>
          <w:w w:val="105"/>
        </w:rPr>
        <w:t>diferentes</w:t>
      </w:r>
      <w:r>
        <w:rPr>
          <w:color w:val="231F20"/>
          <w:spacing w:val="-31"/>
          <w:w w:val="105"/>
        </w:rPr>
        <w:t> </w:t>
      </w:r>
      <w:r>
        <w:rPr>
          <w:color w:val="231F20"/>
          <w:w w:val="105"/>
        </w:rPr>
        <w:t>y</w:t>
      </w:r>
      <w:r>
        <w:rPr>
          <w:color w:val="231F20"/>
          <w:spacing w:val="-31"/>
          <w:w w:val="105"/>
        </w:rPr>
        <w:t> </w:t>
      </w:r>
      <w:r>
        <w:rPr>
          <w:color w:val="231F20"/>
          <w:w w:val="105"/>
        </w:rPr>
        <w:t>hasta</w:t>
      </w:r>
      <w:r>
        <w:rPr>
          <w:color w:val="231F20"/>
          <w:spacing w:val="-31"/>
          <w:w w:val="105"/>
        </w:rPr>
        <w:t> </w:t>
      </w:r>
      <w:r>
        <w:rPr>
          <w:color w:val="231F20"/>
          <w:w w:val="105"/>
        </w:rPr>
        <w:t>antagónicas,</w:t>
      </w:r>
      <w:r>
        <w:rPr>
          <w:color w:val="231F20"/>
          <w:spacing w:val="-36"/>
          <w:w w:val="105"/>
        </w:rPr>
        <w:t> </w:t>
      </w:r>
      <w:r>
        <w:rPr>
          <w:color w:val="231F20"/>
          <w:w w:val="105"/>
        </w:rPr>
        <w:t>ya</w:t>
      </w:r>
      <w:r>
        <w:rPr>
          <w:color w:val="231F20"/>
          <w:spacing w:val="-31"/>
          <w:w w:val="105"/>
        </w:rPr>
        <w:t> </w:t>
      </w:r>
      <w:r>
        <w:rPr>
          <w:color w:val="231F20"/>
          <w:w w:val="105"/>
        </w:rPr>
        <w:t>no</w:t>
      </w:r>
      <w:r>
        <w:rPr>
          <w:color w:val="231F20"/>
          <w:spacing w:val="-31"/>
          <w:w w:val="105"/>
        </w:rPr>
        <w:t> </w:t>
      </w:r>
      <w:r>
        <w:rPr>
          <w:color w:val="231F20"/>
          <w:w w:val="105"/>
        </w:rPr>
        <w:t>sólo</w:t>
      </w:r>
      <w:r>
        <w:rPr>
          <w:color w:val="231F20"/>
          <w:spacing w:val="-31"/>
          <w:w w:val="105"/>
        </w:rPr>
        <w:t> </w:t>
      </w:r>
      <w:r>
        <w:rPr>
          <w:color w:val="231F20"/>
          <w:w w:val="105"/>
        </w:rPr>
        <w:t>sobre</w:t>
      </w:r>
      <w:r>
        <w:rPr>
          <w:color w:val="231F20"/>
          <w:spacing w:val="-31"/>
          <w:w w:val="105"/>
        </w:rPr>
        <w:t> </w:t>
      </w:r>
      <w:r>
        <w:rPr>
          <w:color w:val="231F20"/>
          <w:w w:val="105"/>
        </w:rPr>
        <w:t>el</w:t>
      </w:r>
      <w:r>
        <w:rPr>
          <w:color w:val="231F20"/>
          <w:spacing w:val="-31"/>
          <w:w w:val="105"/>
        </w:rPr>
        <w:t> </w:t>
      </w:r>
      <w:r>
        <w:rPr>
          <w:color w:val="231F20"/>
          <w:w w:val="105"/>
        </w:rPr>
        <w:t>mercado, sino</w:t>
      </w:r>
      <w:r>
        <w:rPr>
          <w:color w:val="231F20"/>
          <w:spacing w:val="-15"/>
          <w:w w:val="105"/>
        </w:rPr>
        <w:t> </w:t>
      </w: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toda.</w:t>
      </w:r>
    </w:p>
    <w:p>
      <w:pPr>
        <w:pStyle w:val="BodyText"/>
        <w:spacing w:line="259" w:lineRule="auto"/>
        <w:ind w:left="104" w:right="110" w:firstLine="567"/>
        <w:jc w:val="both"/>
      </w:pPr>
      <w:r>
        <w:rPr>
          <w:color w:val="231F20"/>
          <w:spacing w:val="-3"/>
          <w:w w:val="105"/>
        </w:rPr>
        <w:t>Finalmente,</w:t>
      </w:r>
      <w:r>
        <w:rPr>
          <w:color w:val="231F20"/>
          <w:spacing w:val="-20"/>
          <w:w w:val="105"/>
        </w:rPr>
        <w:t> </w:t>
      </w:r>
      <w:r>
        <w:rPr>
          <w:color w:val="231F20"/>
          <w:w w:val="105"/>
        </w:rPr>
        <w:t>la</w:t>
      </w:r>
      <w:r>
        <w:rPr>
          <w:color w:val="231F20"/>
          <w:spacing w:val="-16"/>
          <w:w w:val="105"/>
        </w:rPr>
        <w:t> </w:t>
      </w:r>
      <w:r>
        <w:rPr>
          <w:color w:val="231F20"/>
          <w:spacing w:val="-3"/>
          <w:w w:val="105"/>
        </w:rPr>
        <w:t>sustentabilidad</w:t>
      </w:r>
      <w:r>
        <w:rPr>
          <w:color w:val="231F20"/>
          <w:spacing w:val="-16"/>
          <w:w w:val="105"/>
        </w:rPr>
        <w:t> </w:t>
      </w:r>
      <w:r>
        <w:rPr>
          <w:color w:val="231F20"/>
          <w:spacing w:val="-3"/>
          <w:w w:val="105"/>
        </w:rPr>
        <w:t>organizacional</w:t>
      </w:r>
      <w:r>
        <w:rPr>
          <w:color w:val="231F20"/>
          <w:spacing w:val="-16"/>
          <w:w w:val="105"/>
        </w:rPr>
        <w:t> </w:t>
      </w:r>
      <w:r>
        <w:rPr>
          <w:color w:val="231F20"/>
          <w:spacing w:val="-3"/>
          <w:w w:val="105"/>
        </w:rPr>
        <w:t>implica</w:t>
      </w:r>
      <w:r>
        <w:rPr>
          <w:color w:val="231F20"/>
          <w:spacing w:val="-16"/>
          <w:w w:val="105"/>
        </w:rPr>
        <w:t> </w:t>
      </w:r>
      <w:r>
        <w:rPr>
          <w:color w:val="231F20"/>
          <w:w w:val="105"/>
        </w:rPr>
        <w:t>la</w:t>
      </w:r>
      <w:r>
        <w:rPr>
          <w:color w:val="231F20"/>
          <w:spacing w:val="-16"/>
          <w:w w:val="105"/>
        </w:rPr>
        <w:t> </w:t>
      </w:r>
      <w:r>
        <w:rPr>
          <w:color w:val="231F20"/>
          <w:spacing w:val="-4"/>
          <w:w w:val="105"/>
        </w:rPr>
        <w:t>satisfacción </w:t>
      </w:r>
      <w:r>
        <w:rPr>
          <w:color w:val="231F20"/>
          <w:w w:val="105"/>
        </w:rPr>
        <w:t>de las </w:t>
      </w:r>
      <w:r>
        <w:rPr>
          <w:color w:val="231F20"/>
          <w:spacing w:val="-3"/>
          <w:w w:val="105"/>
        </w:rPr>
        <w:t>necesidades </w:t>
      </w:r>
      <w:r>
        <w:rPr>
          <w:color w:val="231F20"/>
          <w:w w:val="105"/>
        </w:rPr>
        <w:t>de </w:t>
      </w:r>
      <w:r>
        <w:rPr>
          <w:i/>
          <w:color w:val="231F20"/>
          <w:spacing w:val="-3"/>
          <w:w w:val="105"/>
        </w:rPr>
        <w:t>stakeholders </w:t>
      </w:r>
      <w:r>
        <w:rPr>
          <w:color w:val="231F20"/>
          <w:spacing w:val="-3"/>
          <w:w w:val="105"/>
        </w:rPr>
        <w:t>actuales (accionistas, </w:t>
      </w:r>
      <w:r>
        <w:rPr>
          <w:color w:val="231F20"/>
          <w:spacing w:val="-4"/>
          <w:w w:val="105"/>
        </w:rPr>
        <w:t>empleados, </w:t>
      </w:r>
      <w:r>
        <w:rPr>
          <w:color w:val="231F20"/>
          <w:spacing w:val="-3"/>
          <w:w w:val="105"/>
        </w:rPr>
        <w:t>clientes,</w:t>
      </w:r>
      <w:r>
        <w:rPr>
          <w:color w:val="231F20"/>
          <w:spacing w:val="-31"/>
          <w:w w:val="105"/>
        </w:rPr>
        <w:t> </w:t>
      </w:r>
      <w:r>
        <w:rPr>
          <w:color w:val="231F20"/>
          <w:spacing w:val="-3"/>
          <w:w w:val="105"/>
        </w:rPr>
        <w:t>grupos</w:t>
      </w:r>
      <w:r>
        <w:rPr>
          <w:color w:val="231F20"/>
          <w:spacing w:val="-26"/>
          <w:w w:val="105"/>
        </w:rPr>
        <w:t> </w:t>
      </w:r>
      <w:r>
        <w:rPr>
          <w:color w:val="231F20"/>
          <w:w w:val="105"/>
        </w:rPr>
        <w:t>de</w:t>
      </w:r>
      <w:r>
        <w:rPr>
          <w:color w:val="231F20"/>
          <w:spacing w:val="-26"/>
          <w:w w:val="105"/>
        </w:rPr>
        <w:t> </w:t>
      </w:r>
      <w:r>
        <w:rPr>
          <w:color w:val="231F20"/>
          <w:spacing w:val="-3"/>
          <w:w w:val="105"/>
        </w:rPr>
        <w:t>presión,</w:t>
      </w:r>
      <w:r>
        <w:rPr>
          <w:color w:val="231F20"/>
          <w:spacing w:val="-31"/>
          <w:w w:val="105"/>
        </w:rPr>
        <w:t> </w:t>
      </w:r>
      <w:r>
        <w:rPr>
          <w:color w:val="231F20"/>
          <w:spacing w:val="-3"/>
          <w:w w:val="105"/>
        </w:rPr>
        <w:t>comunidades),</w:t>
      </w:r>
      <w:r>
        <w:rPr>
          <w:color w:val="231F20"/>
          <w:spacing w:val="-31"/>
          <w:w w:val="105"/>
        </w:rPr>
        <w:t> </w:t>
      </w:r>
      <w:r>
        <w:rPr>
          <w:color w:val="231F20"/>
          <w:w w:val="105"/>
        </w:rPr>
        <w:t>sin</w:t>
      </w:r>
      <w:r>
        <w:rPr>
          <w:color w:val="231F20"/>
          <w:spacing w:val="-26"/>
          <w:w w:val="105"/>
        </w:rPr>
        <w:t> </w:t>
      </w:r>
      <w:r>
        <w:rPr>
          <w:color w:val="231F20"/>
          <w:spacing w:val="-3"/>
          <w:w w:val="105"/>
        </w:rPr>
        <w:t>comprometer</w:t>
      </w:r>
      <w:r>
        <w:rPr>
          <w:color w:val="231F20"/>
          <w:spacing w:val="-26"/>
          <w:w w:val="105"/>
        </w:rPr>
        <w:t> </w:t>
      </w:r>
      <w:r>
        <w:rPr>
          <w:color w:val="231F20"/>
          <w:w w:val="105"/>
        </w:rPr>
        <w:t>las</w:t>
      </w:r>
      <w:r>
        <w:rPr>
          <w:color w:val="231F20"/>
          <w:spacing w:val="-26"/>
          <w:w w:val="105"/>
        </w:rPr>
        <w:t> </w:t>
      </w:r>
      <w:r>
        <w:rPr>
          <w:color w:val="231F20"/>
          <w:spacing w:val="-3"/>
          <w:w w:val="105"/>
        </w:rPr>
        <w:t>necesida- </w:t>
      </w:r>
      <w:r>
        <w:rPr>
          <w:color w:val="231F20"/>
          <w:w w:val="105"/>
        </w:rPr>
        <w:t>des</w:t>
      </w:r>
      <w:r>
        <w:rPr>
          <w:color w:val="231F20"/>
          <w:spacing w:val="-30"/>
          <w:w w:val="105"/>
        </w:rPr>
        <w:t> </w:t>
      </w:r>
      <w:r>
        <w:rPr>
          <w:color w:val="231F20"/>
          <w:w w:val="105"/>
        </w:rPr>
        <w:t>de</w:t>
      </w:r>
      <w:r>
        <w:rPr>
          <w:color w:val="231F20"/>
          <w:spacing w:val="-30"/>
          <w:w w:val="105"/>
        </w:rPr>
        <w:t> </w:t>
      </w:r>
      <w:r>
        <w:rPr>
          <w:i/>
          <w:color w:val="231F20"/>
          <w:spacing w:val="-3"/>
          <w:w w:val="105"/>
        </w:rPr>
        <w:t>stakeholders</w:t>
      </w:r>
      <w:r>
        <w:rPr>
          <w:i/>
          <w:color w:val="231F20"/>
          <w:spacing w:val="-30"/>
          <w:w w:val="105"/>
        </w:rPr>
        <w:t> </w:t>
      </w:r>
      <w:r>
        <w:rPr>
          <w:color w:val="231F20"/>
          <w:spacing w:val="-3"/>
          <w:w w:val="105"/>
        </w:rPr>
        <w:t>futuros</w:t>
      </w:r>
      <w:r>
        <w:rPr>
          <w:i/>
          <w:color w:val="231F20"/>
          <w:spacing w:val="-3"/>
          <w:w w:val="105"/>
        </w:rPr>
        <w:t>.</w:t>
      </w:r>
      <w:r>
        <w:rPr>
          <w:i/>
          <w:color w:val="231F20"/>
          <w:spacing w:val="-30"/>
          <w:w w:val="105"/>
        </w:rPr>
        <w:t> </w:t>
      </w:r>
      <w:r>
        <w:rPr>
          <w:color w:val="231F20"/>
          <w:spacing w:val="-3"/>
          <w:w w:val="105"/>
        </w:rPr>
        <w:t>Con</w:t>
      </w:r>
      <w:r>
        <w:rPr>
          <w:color w:val="231F20"/>
          <w:spacing w:val="-30"/>
          <w:w w:val="105"/>
        </w:rPr>
        <w:t> </w:t>
      </w:r>
      <w:r>
        <w:rPr>
          <w:color w:val="231F20"/>
          <w:spacing w:val="-3"/>
          <w:w w:val="105"/>
        </w:rPr>
        <w:t>este</w:t>
      </w:r>
      <w:r>
        <w:rPr>
          <w:color w:val="231F20"/>
          <w:spacing w:val="-30"/>
          <w:w w:val="105"/>
        </w:rPr>
        <w:t> </w:t>
      </w:r>
      <w:r>
        <w:rPr>
          <w:color w:val="231F20"/>
          <w:w w:val="105"/>
        </w:rPr>
        <w:t>fin,</w:t>
      </w:r>
      <w:r>
        <w:rPr>
          <w:color w:val="231F20"/>
          <w:spacing w:val="-35"/>
          <w:w w:val="105"/>
        </w:rPr>
        <w:t> </w:t>
      </w:r>
      <w:r>
        <w:rPr>
          <w:color w:val="231F20"/>
          <w:w w:val="105"/>
        </w:rPr>
        <w:t>la</w:t>
      </w:r>
      <w:r>
        <w:rPr>
          <w:color w:val="231F20"/>
          <w:spacing w:val="-30"/>
          <w:w w:val="105"/>
        </w:rPr>
        <w:t> </w:t>
      </w:r>
      <w:r>
        <w:rPr>
          <w:color w:val="231F20"/>
          <w:spacing w:val="-3"/>
          <w:w w:val="105"/>
        </w:rPr>
        <w:t>organización</w:t>
      </w:r>
      <w:r>
        <w:rPr>
          <w:color w:val="231F20"/>
          <w:spacing w:val="-30"/>
          <w:w w:val="105"/>
        </w:rPr>
        <w:t> </w:t>
      </w:r>
      <w:r>
        <w:rPr>
          <w:color w:val="231F20"/>
          <w:spacing w:val="-3"/>
          <w:w w:val="105"/>
        </w:rPr>
        <w:t>debe</w:t>
      </w:r>
      <w:r>
        <w:rPr>
          <w:color w:val="231F20"/>
          <w:spacing w:val="-30"/>
          <w:w w:val="105"/>
        </w:rPr>
        <w:t> </w:t>
      </w:r>
      <w:r>
        <w:rPr>
          <w:color w:val="231F20"/>
          <w:spacing w:val="-3"/>
          <w:w w:val="105"/>
        </w:rPr>
        <w:t>conservar</w:t>
      </w:r>
      <w:r>
        <w:rPr>
          <w:color w:val="231F20"/>
          <w:spacing w:val="-30"/>
          <w:w w:val="105"/>
        </w:rPr>
        <w:t> </w:t>
      </w:r>
      <w:r>
        <w:rPr>
          <w:color w:val="231F20"/>
          <w:w w:val="105"/>
        </w:rPr>
        <w:t>y </w:t>
      </w:r>
      <w:r>
        <w:rPr>
          <w:color w:val="231F20"/>
          <w:spacing w:val="-3"/>
          <w:w w:val="105"/>
        </w:rPr>
        <w:t>aumentar</w:t>
      </w:r>
      <w:r>
        <w:rPr>
          <w:color w:val="231F20"/>
          <w:spacing w:val="-18"/>
          <w:w w:val="105"/>
        </w:rPr>
        <w:t> </w:t>
      </w:r>
      <w:r>
        <w:rPr>
          <w:color w:val="231F20"/>
          <w:w w:val="105"/>
        </w:rPr>
        <w:t>su</w:t>
      </w:r>
      <w:r>
        <w:rPr>
          <w:color w:val="231F20"/>
          <w:spacing w:val="-18"/>
          <w:w w:val="105"/>
        </w:rPr>
        <w:t> </w:t>
      </w:r>
      <w:r>
        <w:rPr>
          <w:color w:val="231F20"/>
          <w:spacing w:val="-3"/>
          <w:w w:val="105"/>
        </w:rPr>
        <w:t>base</w:t>
      </w:r>
      <w:r>
        <w:rPr>
          <w:color w:val="231F20"/>
          <w:spacing w:val="-18"/>
          <w:w w:val="105"/>
        </w:rPr>
        <w:t> </w:t>
      </w:r>
      <w:r>
        <w:rPr>
          <w:color w:val="231F20"/>
          <w:w w:val="105"/>
        </w:rPr>
        <w:t>de</w:t>
      </w:r>
      <w:r>
        <w:rPr>
          <w:color w:val="231F20"/>
          <w:spacing w:val="-18"/>
          <w:w w:val="105"/>
        </w:rPr>
        <w:t> </w:t>
      </w:r>
      <w:r>
        <w:rPr>
          <w:color w:val="231F20"/>
          <w:spacing w:val="-3"/>
          <w:w w:val="105"/>
        </w:rPr>
        <w:t>capital</w:t>
      </w:r>
      <w:r>
        <w:rPr>
          <w:color w:val="231F20"/>
          <w:spacing w:val="-18"/>
          <w:w w:val="105"/>
        </w:rPr>
        <w:t> </w:t>
      </w:r>
      <w:r>
        <w:rPr>
          <w:color w:val="231F20"/>
          <w:spacing w:val="-3"/>
          <w:w w:val="105"/>
        </w:rPr>
        <w:t>económico,</w:t>
      </w:r>
      <w:r>
        <w:rPr>
          <w:color w:val="231F20"/>
          <w:spacing w:val="-23"/>
          <w:w w:val="105"/>
        </w:rPr>
        <w:t> </w:t>
      </w:r>
      <w:r>
        <w:rPr>
          <w:color w:val="231F20"/>
          <w:spacing w:val="-3"/>
          <w:w w:val="105"/>
        </w:rPr>
        <w:t>social</w:t>
      </w:r>
      <w:r>
        <w:rPr>
          <w:color w:val="231F20"/>
          <w:spacing w:val="-18"/>
          <w:w w:val="105"/>
        </w:rPr>
        <w:t> </w:t>
      </w:r>
      <w:r>
        <w:rPr>
          <w:color w:val="231F20"/>
          <w:w w:val="105"/>
        </w:rPr>
        <w:t>y</w:t>
      </w:r>
      <w:r>
        <w:rPr>
          <w:color w:val="231F20"/>
          <w:spacing w:val="-18"/>
          <w:w w:val="105"/>
        </w:rPr>
        <w:t> </w:t>
      </w:r>
      <w:r>
        <w:rPr>
          <w:color w:val="231F20"/>
          <w:spacing w:val="-3"/>
          <w:w w:val="105"/>
        </w:rPr>
        <w:t>ambiental,</w:t>
      </w:r>
      <w:r>
        <w:rPr>
          <w:color w:val="231F20"/>
          <w:spacing w:val="-23"/>
          <w:w w:val="105"/>
        </w:rPr>
        <w:t> </w:t>
      </w:r>
      <w:r>
        <w:rPr>
          <w:color w:val="231F20"/>
          <w:spacing w:val="-3"/>
          <w:w w:val="105"/>
        </w:rPr>
        <w:t>mientras</w:t>
      </w:r>
      <w:r>
        <w:rPr>
          <w:color w:val="231F20"/>
          <w:spacing w:val="-18"/>
          <w:w w:val="105"/>
        </w:rPr>
        <w:t> </w:t>
      </w:r>
      <w:r>
        <w:rPr>
          <w:color w:val="231F20"/>
          <w:spacing w:val="-3"/>
          <w:w w:val="105"/>
        </w:rPr>
        <w:t>con- tribuye</w:t>
      </w:r>
      <w:r>
        <w:rPr>
          <w:color w:val="231F20"/>
          <w:spacing w:val="-15"/>
          <w:w w:val="105"/>
        </w:rPr>
        <w:t> </w:t>
      </w:r>
      <w:r>
        <w:rPr>
          <w:color w:val="231F20"/>
          <w:spacing w:val="-3"/>
          <w:w w:val="105"/>
        </w:rPr>
        <w:t>activamente</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3"/>
          <w:w w:val="105"/>
        </w:rPr>
        <w:t>sustentabilidad</w:t>
      </w:r>
      <w:r>
        <w:rPr>
          <w:color w:val="231F20"/>
          <w:spacing w:val="-15"/>
          <w:w w:val="105"/>
        </w:rPr>
        <w:t> </w:t>
      </w:r>
      <w:r>
        <w:rPr>
          <w:color w:val="231F20"/>
          <w:spacing w:val="-3"/>
          <w:w w:val="105"/>
        </w:rPr>
        <w:t>desde</w:t>
      </w:r>
      <w:r>
        <w:rPr>
          <w:color w:val="231F20"/>
          <w:spacing w:val="-15"/>
          <w:w w:val="105"/>
        </w:rPr>
        <w:t> </w:t>
      </w:r>
      <w:r>
        <w:rPr>
          <w:color w:val="231F20"/>
          <w:w w:val="105"/>
        </w:rPr>
        <w:t>el</w:t>
      </w:r>
      <w:r>
        <w:rPr>
          <w:color w:val="231F20"/>
          <w:spacing w:val="-15"/>
          <w:w w:val="105"/>
        </w:rPr>
        <w:t> </w:t>
      </w:r>
      <w:r>
        <w:rPr>
          <w:color w:val="231F20"/>
          <w:spacing w:val="-3"/>
          <w:w w:val="105"/>
        </w:rPr>
        <w:t>dominio</w:t>
      </w:r>
      <w:r>
        <w:rPr>
          <w:color w:val="231F20"/>
          <w:spacing w:val="-15"/>
          <w:w w:val="105"/>
        </w:rPr>
        <w:t> </w:t>
      </w:r>
      <w:r>
        <w:rPr>
          <w:color w:val="231F20"/>
          <w:spacing w:val="-4"/>
          <w:w w:val="105"/>
        </w:rPr>
        <w:t>organizacional.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tabs>
          <w:tab w:pos="1317" w:val="left" w:leader="none"/>
        </w:tabs>
        <w:spacing w:before="0"/>
        <w:ind w:left="267" w:right="17" w:firstLine="0"/>
        <w:jc w:val="left"/>
        <w:rPr>
          <w:rFonts w:ascii="Calibri" w:hAnsi="Calibri"/>
          <w:sz w:val="15"/>
        </w:rPr>
      </w:pPr>
      <w:r>
        <w:rPr/>
        <w:pict>
          <v:group style="position:absolute;margin-left:101.817299pt;margin-top:-20.299887pt;width:17.850pt;height:56.5pt;mso-position-horizontal-relative:page;mso-position-vertical-relative:paragraph;z-index:-246112"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34</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17"/>
        </w:numPr>
        <w:tabs>
          <w:tab w:pos="1427" w:val="left" w:leader="none"/>
          <w:tab w:pos="6916" w:val="right" w:leader="none"/>
        </w:tabs>
        <w:spacing w:line="208" w:lineRule="exact" w:before="52" w:after="0"/>
        <w:ind w:left="1426" w:right="0" w:hanging="101"/>
        <w:jc w:val="left"/>
        <w:rPr>
          <w:sz w:val="20"/>
        </w:rPr>
      </w:pPr>
      <w:r>
        <w:rPr/>
        <w:pict>
          <v:line style="position:absolute;mso-position-horizontal-relative:page;mso-position-vertical-relative:paragraph;z-index:-246088"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35</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spacing w:before="1"/>
        <w:rPr>
          <w:rFonts w:ascii="Lucida Sans Unicode"/>
          <w:sz w:val="31"/>
        </w:rPr>
      </w:pPr>
    </w:p>
    <w:p>
      <w:pPr>
        <w:pStyle w:val="Heading2"/>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sz w:val="21"/>
        </w:rPr>
        <w:t>Aguilera, F. y Alcántara, V. (1994). “De la economía ambiental a la eco- nomía ecológica” en: </w:t>
      </w:r>
      <w:r>
        <w:rPr>
          <w:i/>
          <w:color w:val="231F20"/>
          <w:sz w:val="21"/>
        </w:rPr>
        <w:t>De la economía ambiental a la economía </w:t>
      </w:r>
      <w:r>
        <w:rPr>
          <w:i/>
          <w:color w:val="231F20"/>
          <w:sz w:val="21"/>
        </w:rPr>
        <w:t>ecológica. </w:t>
      </w:r>
      <w:r>
        <w:rPr>
          <w:color w:val="231F20"/>
          <w:sz w:val="21"/>
        </w:rPr>
        <w:t>Barcelona: ICARIA: FUHEM, 9-21.</w:t>
      </w:r>
    </w:p>
    <w:p>
      <w:pPr>
        <w:pStyle w:val="BodyText"/>
        <w:spacing w:line="259" w:lineRule="auto"/>
        <w:ind w:left="854" w:right="121" w:hanging="738"/>
        <w:jc w:val="both"/>
      </w:pPr>
      <w:r>
        <w:rPr>
          <w:color w:val="231F20"/>
          <w:w w:val="105"/>
        </w:rPr>
        <w:t>Anad,</w:t>
      </w:r>
      <w:r>
        <w:rPr>
          <w:color w:val="231F20"/>
          <w:spacing w:val="-11"/>
          <w:w w:val="105"/>
        </w:rPr>
        <w:t> </w:t>
      </w:r>
      <w:r>
        <w:rPr>
          <w:color w:val="231F20"/>
          <w:w w:val="105"/>
        </w:rPr>
        <w:t>S.</w:t>
      </w:r>
      <w:r>
        <w:rPr>
          <w:color w:val="231F20"/>
          <w:spacing w:val="-11"/>
          <w:w w:val="105"/>
        </w:rPr>
        <w:t> </w:t>
      </w:r>
      <w:r>
        <w:rPr>
          <w:color w:val="231F20"/>
          <w:w w:val="105"/>
        </w:rPr>
        <w:t>y</w:t>
      </w:r>
      <w:r>
        <w:rPr>
          <w:color w:val="231F20"/>
          <w:spacing w:val="-6"/>
          <w:w w:val="105"/>
        </w:rPr>
        <w:t> </w:t>
      </w:r>
      <w:r>
        <w:rPr>
          <w:color w:val="231F20"/>
          <w:w w:val="105"/>
        </w:rPr>
        <w:t>Sen,</w:t>
      </w:r>
      <w:r>
        <w:rPr>
          <w:color w:val="231F20"/>
          <w:spacing w:val="-14"/>
          <w:w w:val="105"/>
        </w:rPr>
        <w:t> </w:t>
      </w:r>
      <w:r>
        <w:rPr>
          <w:color w:val="231F20"/>
          <w:w w:val="105"/>
        </w:rPr>
        <w:t>A.</w:t>
      </w:r>
      <w:r>
        <w:rPr>
          <w:color w:val="231F20"/>
          <w:spacing w:val="-11"/>
          <w:w w:val="105"/>
        </w:rPr>
        <w:t> </w:t>
      </w:r>
      <w:r>
        <w:rPr>
          <w:color w:val="231F20"/>
          <w:w w:val="105"/>
        </w:rPr>
        <w:t>(2000).</w:t>
      </w:r>
      <w:r>
        <w:rPr>
          <w:color w:val="231F20"/>
          <w:spacing w:val="-11"/>
          <w:w w:val="105"/>
        </w:rPr>
        <w:t> </w:t>
      </w:r>
      <w:r>
        <w:rPr>
          <w:color w:val="231F20"/>
          <w:w w:val="105"/>
        </w:rPr>
        <w:t>“Human</w:t>
      </w:r>
      <w:r>
        <w:rPr>
          <w:color w:val="231F20"/>
          <w:spacing w:val="-6"/>
          <w:w w:val="105"/>
        </w:rPr>
        <w:t> </w:t>
      </w:r>
      <w:r>
        <w:rPr>
          <w:color w:val="231F20"/>
          <w:w w:val="105"/>
        </w:rPr>
        <w:t>development</w:t>
      </w:r>
      <w:r>
        <w:rPr>
          <w:color w:val="231F20"/>
          <w:spacing w:val="-6"/>
          <w:w w:val="105"/>
        </w:rPr>
        <w:t> </w:t>
      </w:r>
      <w:r>
        <w:rPr>
          <w:color w:val="231F20"/>
          <w:w w:val="105"/>
        </w:rPr>
        <w:t>and</w:t>
      </w:r>
      <w:r>
        <w:rPr>
          <w:color w:val="231F20"/>
          <w:spacing w:val="-6"/>
          <w:w w:val="105"/>
        </w:rPr>
        <w:t> </w:t>
      </w:r>
      <w:r>
        <w:rPr>
          <w:color w:val="231F20"/>
          <w:w w:val="105"/>
        </w:rPr>
        <w:t>economic</w:t>
      </w:r>
      <w:r>
        <w:rPr>
          <w:color w:val="231F20"/>
          <w:spacing w:val="-6"/>
          <w:w w:val="105"/>
        </w:rPr>
        <w:t> </w:t>
      </w:r>
      <w:r>
        <w:rPr>
          <w:color w:val="231F20"/>
          <w:w w:val="105"/>
        </w:rPr>
        <w:t>sustain- </w:t>
      </w:r>
      <w:r>
        <w:rPr>
          <w:color w:val="231F20"/>
          <w:spacing w:val="-3"/>
          <w:w w:val="105"/>
        </w:rPr>
        <w:t>ability”.</w:t>
      </w:r>
      <w:r>
        <w:rPr>
          <w:color w:val="231F20"/>
          <w:spacing w:val="-25"/>
          <w:w w:val="105"/>
        </w:rPr>
        <w:t> </w:t>
      </w:r>
      <w:r>
        <w:rPr>
          <w:i/>
          <w:color w:val="231F20"/>
          <w:w w:val="105"/>
        </w:rPr>
        <w:t>World</w:t>
      </w:r>
      <w:r>
        <w:rPr>
          <w:i/>
          <w:color w:val="231F20"/>
          <w:spacing w:val="-20"/>
          <w:w w:val="105"/>
        </w:rPr>
        <w:t> </w:t>
      </w:r>
      <w:r>
        <w:rPr>
          <w:i/>
          <w:color w:val="231F20"/>
          <w:w w:val="105"/>
        </w:rPr>
        <w:t>Development</w:t>
      </w:r>
      <w:r>
        <w:rPr>
          <w:color w:val="231F20"/>
          <w:w w:val="105"/>
        </w:rPr>
        <w:t>.</w:t>
      </w:r>
      <w:r>
        <w:rPr>
          <w:color w:val="231F20"/>
          <w:spacing w:val="-25"/>
          <w:w w:val="105"/>
        </w:rPr>
        <w:t> </w:t>
      </w:r>
      <w:r>
        <w:rPr>
          <w:color w:val="231F20"/>
          <w:w w:val="105"/>
        </w:rPr>
        <w:t>28(12):</w:t>
      </w:r>
      <w:r>
        <w:rPr>
          <w:color w:val="231F20"/>
          <w:spacing w:val="-20"/>
          <w:w w:val="105"/>
        </w:rPr>
        <w:t> </w:t>
      </w:r>
      <w:r>
        <w:rPr>
          <w:color w:val="231F20"/>
          <w:w w:val="105"/>
        </w:rPr>
        <w:t>2019-2049.</w:t>
      </w:r>
    </w:p>
    <w:p>
      <w:pPr>
        <w:pStyle w:val="BodyText"/>
        <w:spacing w:line="259" w:lineRule="auto"/>
        <w:ind w:left="854" w:right="115" w:hanging="738"/>
        <w:jc w:val="both"/>
      </w:pPr>
      <w:r>
        <w:rPr>
          <w:color w:val="231F20"/>
          <w:w w:val="105"/>
        </w:rPr>
        <w:t>Amezcua,</w:t>
      </w:r>
      <w:r>
        <w:rPr>
          <w:color w:val="231F20"/>
          <w:spacing w:val="-27"/>
          <w:w w:val="105"/>
        </w:rPr>
        <w:t> </w:t>
      </w:r>
      <w:r>
        <w:rPr>
          <w:color w:val="231F20"/>
          <w:w w:val="105"/>
        </w:rPr>
        <w:t>A.S.,</w:t>
      </w:r>
      <w:r>
        <w:rPr>
          <w:color w:val="231F20"/>
          <w:spacing w:val="-25"/>
          <w:w w:val="105"/>
        </w:rPr>
        <w:t> </w:t>
      </w:r>
      <w:r>
        <w:rPr>
          <w:color w:val="231F20"/>
          <w:w w:val="105"/>
        </w:rPr>
        <w:t>Grimes,</w:t>
      </w:r>
      <w:r>
        <w:rPr>
          <w:color w:val="231F20"/>
          <w:spacing w:val="-25"/>
          <w:w w:val="105"/>
        </w:rPr>
        <w:t> </w:t>
      </w:r>
      <w:r>
        <w:rPr>
          <w:color w:val="231F20"/>
          <w:w w:val="105"/>
        </w:rPr>
        <w:t>M.G.,</w:t>
      </w:r>
      <w:r>
        <w:rPr>
          <w:color w:val="231F20"/>
          <w:spacing w:val="-25"/>
          <w:w w:val="105"/>
        </w:rPr>
        <w:t> </w:t>
      </w:r>
      <w:r>
        <w:rPr>
          <w:color w:val="231F20"/>
          <w:w w:val="105"/>
        </w:rPr>
        <w:t>Bradley,</w:t>
      </w:r>
      <w:r>
        <w:rPr>
          <w:color w:val="231F20"/>
          <w:spacing w:val="-25"/>
          <w:w w:val="105"/>
        </w:rPr>
        <w:t> </w:t>
      </w:r>
      <w:r>
        <w:rPr>
          <w:color w:val="231F20"/>
          <w:spacing w:val="-6"/>
          <w:w w:val="105"/>
        </w:rPr>
        <w:t>S.W.,</w:t>
      </w:r>
      <w:r>
        <w:rPr>
          <w:color w:val="231F20"/>
          <w:spacing w:val="-25"/>
          <w:w w:val="105"/>
        </w:rPr>
        <w:t> </w:t>
      </w:r>
      <w:r>
        <w:rPr>
          <w:color w:val="231F20"/>
          <w:w w:val="105"/>
        </w:rPr>
        <w:t>y</w:t>
      </w:r>
      <w:r>
        <w:rPr>
          <w:color w:val="231F20"/>
          <w:spacing w:val="-23"/>
          <w:w w:val="105"/>
        </w:rPr>
        <w:t> </w:t>
      </w:r>
      <w:r>
        <w:rPr>
          <w:color w:val="231F20"/>
          <w:w w:val="105"/>
        </w:rPr>
        <w:t>Wiklund,</w:t>
      </w:r>
      <w:r>
        <w:rPr>
          <w:color w:val="231F20"/>
          <w:spacing w:val="-26"/>
          <w:w w:val="105"/>
        </w:rPr>
        <w:t> </w:t>
      </w:r>
      <w:r>
        <w:rPr>
          <w:color w:val="231F20"/>
          <w:w w:val="105"/>
        </w:rPr>
        <w:t>J.</w:t>
      </w:r>
      <w:r>
        <w:rPr>
          <w:color w:val="231F20"/>
          <w:spacing w:val="-25"/>
          <w:w w:val="105"/>
        </w:rPr>
        <w:t> </w:t>
      </w:r>
      <w:r>
        <w:rPr>
          <w:color w:val="231F20"/>
          <w:w w:val="105"/>
        </w:rPr>
        <w:t>(2013).</w:t>
      </w:r>
      <w:r>
        <w:rPr>
          <w:color w:val="231F20"/>
          <w:spacing w:val="-25"/>
          <w:w w:val="105"/>
        </w:rPr>
        <w:t> </w:t>
      </w:r>
      <w:r>
        <w:rPr>
          <w:color w:val="231F20"/>
          <w:w w:val="105"/>
        </w:rPr>
        <w:t>“Orga- nizational</w:t>
      </w:r>
      <w:r>
        <w:rPr>
          <w:color w:val="231F20"/>
          <w:spacing w:val="-11"/>
          <w:w w:val="105"/>
        </w:rPr>
        <w:t> </w:t>
      </w:r>
      <w:r>
        <w:rPr>
          <w:color w:val="231F20"/>
          <w:w w:val="105"/>
        </w:rPr>
        <w:t>sponsorship</w:t>
      </w:r>
      <w:r>
        <w:rPr>
          <w:color w:val="231F20"/>
          <w:spacing w:val="-11"/>
          <w:w w:val="105"/>
        </w:rPr>
        <w:t> </w:t>
      </w:r>
      <w:r>
        <w:rPr>
          <w:color w:val="231F20"/>
          <w:w w:val="105"/>
        </w:rPr>
        <w:t>and</w:t>
      </w:r>
      <w:r>
        <w:rPr>
          <w:color w:val="231F20"/>
          <w:spacing w:val="-11"/>
          <w:w w:val="105"/>
        </w:rPr>
        <w:t> </w:t>
      </w:r>
      <w:r>
        <w:rPr>
          <w:color w:val="231F20"/>
          <w:w w:val="105"/>
        </w:rPr>
        <w:t>founding</w:t>
      </w:r>
      <w:r>
        <w:rPr>
          <w:color w:val="231F20"/>
          <w:spacing w:val="-11"/>
          <w:w w:val="105"/>
        </w:rPr>
        <w:t> </w:t>
      </w:r>
      <w:r>
        <w:rPr>
          <w:color w:val="231F20"/>
          <w:w w:val="105"/>
        </w:rPr>
        <w:t>environments:</w:t>
      </w:r>
      <w:r>
        <w:rPr>
          <w:color w:val="231F20"/>
          <w:spacing w:val="-11"/>
          <w:w w:val="105"/>
        </w:rPr>
        <w:t> </w:t>
      </w:r>
      <w:r>
        <w:rPr>
          <w:color w:val="231F20"/>
          <w:w w:val="105"/>
        </w:rPr>
        <w:t>a</w:t>
      </w:r>
      <w:r>
        <w:rPr>
          <w:color w:val="231F20"/>
          <w:spacing w:val="-11"/>
          <w:w w:val="105"/>
        </w:rPr>
        <w:t> </w:t>
      </w:r>
      <w:r>
        <w:rPr>
          <w:color w:val="231F20"/>
          <w:w w:val="105"/>
        </w:rPr>
        <w:t>contingen- cy</w:t>
      </w:r>
      <w:r>
        <w:rPr>
          <w:color w:val="231F20"/>
          <w:spacing w:val="-13"/>
          <w:w w:val="105"/>
        </w:rPr>
        <w:t> </w:t>
      </w:r>
      <w:r>
        <w:rPr>
          <w:color w:val="231F20"/>
          <w:w w:val="105"/>
        </w:rPr>
        <w:t>view</w:t>
      </w:r>
      <w:r>
        <w:rPr>
          <w:color w:val="231F20"/>
          <w:spacing w:val="-13"/>
          <w:w w:val="105"/>
        </w:rPr>
        <w:t> </w:t>
      </w:r>
      <w:r>
        <w:rPr>
          <w:color w:val="231F20"/>
          <w:w w:val="105"/>
        </w:rPr>
        <w:t>on</w:t>
      </w:r>
      <w:r>
        <w:rPr>
          <w:color w:val="231F20"/>
          <w:spacing w:val="-13"/>
          <w:w w:val="105"/>
        </w:rPr>
        <w:t> </w:t>
      </w:r>
      <w:r>
        <w:rPr>
          <w:color w:val="231F20"/>
          <w:w w:val="105"/>
        </w:rPr>
        <w:t>the</w:t>
      </w:r>
      <w:r>
        <w:rPr>
          <w:color w:val="231F20"/>
          <w:spacing w:val="-13"/>
          <w:w w:val="105"/>
        </w:rPr>
        <w:t> </w:t>
      </w:r>
      <w:r>
        <w:rPr>
          <w:color w:val="231F20"/>
          <w:w w:val="105"/>
        </w:rPr>
        <w:t>survival</w:t>
      </w:r>
      <w:r>
        <w:rPr>
          <w:color w:val="231F20"/>
          <w:spacing w:val="-13"/>
          <w:w w:val="105"/>
        </w:rPr>
        <w:t> </w:t>
      </w:r>
      <w:r>
        <w:rPr>
          <w:color w:val="231F20"/>
          <w:w w:val="105"/>
        </w:rPr>
        <w:t>of</w:t>
      </w:r>
      <w:r>
        <w:rPr>
          <w:color w:val="231F20"/>
          <w:spacing w:val="-9"/>
          <w:w w:val="105"/>
        </w:rPr>
        <w:t> </w:t>
      </w:r>
      <w:r>
        <w:rPr>
          <w:color w:val="231F20"/>
          <w:w w:val="105"/>
        </w:rPr>
        <w:t>business-incubated</w:t>
      </w:r>
      <w:r>
        <w:rPr>
          <w:color w:val="231F20"/>
          <w:spacing w:val="-13"/>
          <w:w w:val="105"/>
        </w:rPr>
        <w:t> </w:t>
      </w:r>
      <w:r>
        <w:rPr>
          <w:color w:val="231F20"/>
          <w:w w:val="105"/>
        </w:rPr>
        <w:t>firms,</w:t>
      </w:r>
      <w:r>
        <w:rPr>
          <w:color w:val="231F20"/>
          <w:spacing w:val="-17"/>
          <w:w w:val="105"/>
        </w:rPr>
        <w:t> </w:t>
      </w:r>
      <w:r>
        <w:rPr>
          <w:color w:val="231F20"/>
          <w:spacing w:val="-3"/>
          <w:w w:val="105"/>
        </w:rPr>
        <w:t>1994–2007”. </w:t>
      </w:r>
      <w:r>
        <w:rPr>
          <w:i/>
          <w:color w:val="231F20"/>
          <w:w w:val="105"/>
        </w:rPr>
        <w:t>Academy</w:t>
      </w:r>
      <w:r>
        <w:rPr>
          <w:i/>
          <w:color w:val="231F20"/>
          <w:spacing w:val="-21"/>
          <w:w w:val="105"/>
        </w:rPr>
        <w:t> </w:t>
      </w:r>
      <w:r>
        <w:rPr>
          <w:i/>
          <w:color w:val="231F20"/>
          <w:w w:val="105"/>
        </w:rPr>
        <w:t>of</w:t>
      </w:r>
      <w:r>
        <w:rPr>
          <w:i/>
          <w:color w:val="231F20"/>
          <w:spacing w:val="-18"/>
          <w:w w:val="105"/>
        </w:rPr>
        <w:t> </w:t>
      </w:r>
      <w:r>
        <w:rPr>
          <w:i/>
          <w:color w:val="231F20"/>
          <w:w w:val="105"/>
        </w:rPr>
        <w:t>Management</w:t>
      </w:r>
      <w:r>
        <w:rPr>
          <w:i/>
          <w:color w:val="231F20"/>
          <w:spacing w:val="-23"/>
          <w:w w:val="105"/>
        </w:rPr>
        <w:t> </w:t>
      </w:r>
      <w:r>
        <w:rPr>
          <w:i/>
          <w:color w:val="231F20"/>
          <w:w w:val="105"/>
        </w:rPr>
        <w:t>Journal.</w:t>
      </w:r>
      <w:r>
        <w:rPr>
          <w:i/>
          <w:color w:val="231F20"/>
          <w:spacing w:val="-25"/>
          <w:w w:val="105"/>
        </w:rPr>
        <w:t> </w:t>
      </w:r>
      <w:r>
        <w:rPr>
          <w:color w:val="231F20"/>
          <w:w w:val="105"/>
        </w:rPr>
        <w:t>56(6):</w:t>
      </w:r>
      <w:r>
        <w:rPr>
          <w:color w:val="231F20"/>
          <w:spacing w:val="-21"/>
          <w:w w:val="105"/>
        </w:rPr>
        <w:t> </w:t>
      </w:r>
      <w:r>
        <w:rPr>
          <w:color w:val="231F20"/>
          <w:w w:val="105"/>
        </w:rPr>
        <w:t>1628–1654.</w:t>
      </w:r>
      <w:r>
        <w:rPr>
          <w:color w:val="231F20"/>
          <w:spacing w:val="-25"/>
          <w:w w:val="105"/>
        </w:rPr>
        <w:t> </w:t>
      </w:r>
      <w:r>
        <w:rPr>
          <w:color w:val="231F20"/>
          <w:w w:val="105"/>
        </w:rPr>
        <w:t>Disponible en:  </w:t>
      </w:r>
      <w:hyperlink r:id="rId24">
        <w:r>
          <w:rPr>
            <w:color w:val="231F20"/>
            <w:w w:val="105"/>
          </w:rPr>
          <w:t>http://dx.doi.org/10.5465/amj.2011.0652</w:t>
        </w:r>
      </w:hyperlink>
    </w:p>
    <w:p>
      <w:pPr>
        <w:spacing w:line="259" w:lineRule="auto" w:before="0"/>
        <w:ind w:left="854" w:right="116" w:hanging="738"/>
        <w:jc w:val="both"/>
        <w:rPr>
          <w:sz w:val="21"/>
        </w:rPr>
      </w:pPr>
      <w:r>
        <w:rPr>
          <w:color w:val="231F20"/>
          <w:sz w:val="21"/>
        </w:rPr>
        <w:t>Aragón, J. A., Senise, M. E. y Matías, F. (1998). “Estrategia, estructura or- ganizativa y desempeño ambiental: Repercusiones del ajuste”. </w:t>
      </w:r>
      <w:r>
        <w:rPr>
          <w:i/>
          <w:color w:val="231F20"/>
          <w:sz w:val="21"/>
        </w:rPr>
        <w:t>In- </w:t>
      </w:r>
      <w:r>
        <w:rPr>
          <w:i/>
          <w:color w:val="231F20"/>
          <w:sz w:val="21"/>
        </w:rPr>
        <w:t>vestigaciones Europeas de Dirección y Economía de la Empresa, </w:t>
      </w:r>
      <w:r>
        <w:rPr>
          <w:color w:val="231F20"/>
          <w:sz w:val="21"/>
        </w:rPr>
        <w:t>4(3): 41-56.</w:t>
      </w:r>
    </w:p>
    <w:p>
      <w:pPr>
        <w:spacing w:line="259" w:lineRule="auto" w:before="0"/>
        <w:ind w:left="854" w:right="115" w:hanging="738"/>
        <w:jc w:val="both"/>
        <w:rPr>
          <w:sz w:val="21"/>
        </w:rPr>
      </w:pPr>
      <w:r>
        <w:rPr>
          <w:color w:val="231F20"/>
          <w:w w:val="105"/>
          <w:sz w:val="21"/>
        </w:rPr>
        <w:t>Barney,</w:t>
      </w:r>
      <w:r>
        <w:rPr>
          <w:color w:val="231F20"/>
          <w:spacing w:val="-24"/>
          <w:w w:val="105"/>
          <w:sz w:val="21"/>
        </w:rPr>
        <w:t> </w:t>
      </w:r>
      <w:r>
        <w:rPr>
          <w:color w:val="231F20"/>
          <w:w w:val="105"/>
          <w:sz w:val="21"/>
        </w:rPr>
        <w:t>J.B.</w:t>
      </w:r>
      <w:r>
        <w:rPr>
          <w:color w:val="231F20"/>
          <w:spacing w:val="-22"/>
          <w:w w:val="105"/>
          <w:sz w:val="21"/>
        </w:rPr>
        <w:t> </w:t>
      </w:r>
      <w:r>
        <w:rPr>
          <w:color w:val="231F20"/>
          <w:w w:val="105"/>
          <w:sz w:val="21"/>
        </w:rPr>
        <w:t>(1986).</w:t>
      </w:r>
      <w:r>
        <w:rPr>
          <w:color w:val="231F20"/>
          <w:spacing w:val="-22"/>
          <w:w w:val="105"/>
          <w:sz w:val="21"/>
        </w:rPr>
        <w:t> </w:t>
      </w:r>
      <w:r>
        <w:rPr>
          <w:color w:val="231F20"/>
          <w:spacing w:val="-3"/>
          <w:w w:val="105"/>
          <w:sz w:val="21"/>
        </w:rPr>
        <w:t>“Types</w:t>
      </w:r>
      <w:r>
        <w:rPr>
          <w:color w:val="231F20"/>
          <w:spacing w:val="-17"/>
          <w:w w:val="105"/>
          <w:sz w:val="21"/>
        </w:rPr>
        <w:t> </w:t>
      </w:r>
      <w:r>
        <w:rPr>
          <w:color w:val="231F20"/>
          <w:w w:val="105"/>
          <w:sz w:val="21"/>
        </w:rPr>
        <w:t>of</w:t>
      </w:r>
      <w:r>
        <w:rPr>
          <w:color w:val="231F20"/>
          <w:spacing w:val="-13"/>
          <w:w w:val="105"/>
          <w:sz w:val="21"/>
        </w:rPr>
        <w:t> </w:t>
      </w:r>
      <w:r>
        <w:rPr>
          <w:color w:val="231F20"/>
          <w:w w:val="105"/>
          <w:sz w:val="21"/>
        </w:rPr>
        <w:t>competition</w:t>
      </w:r>
      <w:r>
        <w:rPr>
          <w:color w:val="231F20"/>
          <w:spacing w:val="-17"/>
          <w:w w:val="105"/>
          <w:sz w:val="21"/>
        </w:rPr>
        <w:t> </w:t>
      </w:r>
      <w:r>
        <w:rPr>
          <w:color w:val="231F20"/>
          <w:w w:val="105"/>
          <w:sz w:val="21"/>
        </w:rPr>
        <w:t>and</w:t>
      </w:r>
      <w:r>
        <w:rPr>
          <w:color w:val="231F20"/>
          <w:spacing w:val="-17"/>
          <w:w w:val="105"/>
          <w:sz w:val="21"/>
        </w:rPr>
        <w:t> </w:t>
      </w:r>
      <w:r>
        <w:rPr>
          <w:color w:val="231F20"/>
          <w:w w:val="105"/>
          <w:sz w:val="21"/>
        </w:rPr>
        <w:t>the</w:t>
      </w:r>
      <w:r>
        <w:rPr>
          <w:color w:val="231F20"/>
          <w:spacing w:val="-17"/>
          <w:w w:val="105"/>
          <w:sz w:val="21"/>
        </w:rPr>
        <w:t> </w:t>
      </w:r>
      <w:r>
        <w:rPr>
          <w:color w:val="231F20"/>
          <w:w w:val="105"/>
          <w:sz w:val="21"/>
        </w:rPr>
        <w:t>theory</w:t>
      </w:r>
      <w:r>
        <w:rPr>
          <w:color w:val="231F20"/>
          <w:spacing w:val="-17"/>
          <w:w w:val="105"/>
          <w:sz w:val="21"/>
        </w:rPr>
        <w:t> </w:t>
      </w:r>
      <w:r>
        <w:rPr>
          <w:color w:val="231F20"/>
          <w:w w:val="105"/>
          <w:sz w:val="21"/>
        </w:rPr>
        <w:t>of</w:t>
      </w:r>
      <w:r>
        <w:rPr>
          <w:color w:val="231F20"/>
          <w:spacing w:val="-13"/>
          <w:w w:val="105"/>
          <w:sz w:val="21"/>
        </w:rPr>
        <w:t> </w:t>
      </w:r>
      <w:r>
        <w:rPr>
          <w:color w:val="231F20"/>
          <w:w w:val="105"/>
          <w:sz w:val="21"/>
        </w:rPr>
        <w:t>strategy:</w:t>
      </w:r>
      <w:r>
        <w:rPr>
          <w:color w:val="231F20"/>
          <w:spacing w:val="-21"/>
          <w:w w:val="105"/>
          <w:sz w:val="21"/>
        </w:rPr>
        <w:t> </w:t>
      </w:r>
      <w:r>
        <w:rPr>
          <w:color w:val="231F20"/>
          <w:spacing w:val="-7"/>
          <w:w w:val="105"/>
          <w:sz w:val="21"/>
        </w:rPr>
        <w:t>To- </w:t>
      </w:r>
      <w:r>
        <w:rPr>
          <w:color w:val="231F20"/>
          <w:w w:val="105"/>
          <w:sz w:val="21"/>
        </w:rPr>
        <w:t>ward</w:t>
      </w:r>
      <w:r>
        <w:rPr>
          <w:color w:val="231F20"/>
          <w:spacing w:val="-33"/>
          <w:w w:val="105"/>
          <w:sz w:val="21"/>
        </w:rPr>
        <w:t> </w:t>
      </w:r>
      <w:r>
        <w:rPr>
          <w:color w:val="231F20"/>
          <w:w w:val="105"/>
          <w:sz w:val="21"/>
        </w:rPr>
        <w:t>an</w:t>
      </w:r>
      <w:r>
        <w:rPr>
          <w:color w:val="231F20"/>
          <w:spacing w:val="-33"/>
          <w:w w:val="105"/>
          <w:sz w:val="21"/>
        </w:rPr>
        <w:t> </w:t>
      </w:r>
      <w:r>
        <w:rPr>
          <w:color w:val="231F20"/>
          <w:w w:val="105"/>
          <w:sz w:val="21"/>
        </w:rPr>
        <w:t>integraive</w:t>
      </w:r>
      <w:r>
        <w:rPr>
          <w:color w:val="231F20"/>
          <w:spacing w:val="-33"/>
          <w:w w:val="105"/>
          <w:sz w:val="21"/>
        </w:rPr>
        <w:t> </w:t>
      </w:r>
      <w:r>
        <w:rPr>
          <w:color w:val="231F20"/>
          <w:spacing w:val="-3"/>
          <w:w w:val="105"/>
          <w:sz w:val="21"/>
        </w:rPr>
        <w:t>framework”.</w:t>
      </w:r>
      <w:r>
        <w:rPr>
          <w:color w:val="231F20"/>
          <w:spacing w:val="-37"/>
          <w:w w:val="105"/>
          <w:sz w:val="21"/>
        </w:rPr>
        <w:t> </w:t>
      </w:r>
      <w:r>
        <w:rPr>
          <w:i/>
          <w:color w:val="231F20"/>
          <w:w w:val="105"/>
          <w:sz w:val="21"/>
        </w:rPr>
        <w:t>Academy</w:t>
      </w:r>
      <w:r>
        <w:rPr>
          <w:i/>
          <w:color w:val="231F20"/>
          <w:spacing w:val="-33"/>
          <w:w w:val="105"/>
          <w:sz w:val="21"/>
        </w:rPr>
        <w:t> </w:t>
      </w:r>
      <w:r>
        <w:rPr>
          <w:i/>
          <w:color w:val="231F20"/>
          <w:w w:val="105"/>
          <w:sz w:val="21"/>
        </w:rPr>
        <w:t>of</w:t>
      </w:r>
      <w:r>
        <w:rPr>
          <w:i/>
          <w:color w:val="231F20"/>
          <w:spacing w:val="-30"/>
          <w:w w:val="105"/>
          <w:sz w:val="21"/>
        </w:rPr>
        <w:t> </w:t>
      </w:r>
      <w:r>
        <w:rPr>
          <w:i/>
          <w:color w:val="231F20"/>
          <w:w w:val="105"/>
          <w:sz w:val="21"/>
        </w:rPr>
        <w:t>management</w:t>
      </w:r>
      <w:r>
        <w:rPr>
          <w:i/>
          <w:color w:val="231F20"/>
          <w:spacing w:val="-33"/>
          <w:w w:val="105"/>
          <w:sz w:val="21"/>
        </w:rPr>
        <w:t> </w:t>
      </w:r>
      <w:r>
        <w:rPr>
          <w:i/>
          <w:color w:val="231F20"/>
          <w:w w:val="105"/>
          <w:sz w:val="21"/>
        </w:rPr>
        <w:t>Review. </w:t>
      </w:r>
      <w:r>
        <w:rPr>
          <w:color w:val="231F20"/>
          <w:w w:val="105"/>
          <w:sz w:val="21"/>
        </w:rPr>
        <w:t>11,</w:t>
      </w:r>
      <w:r>
        <w:rPr>
          <w:color w:val="231F20"/>
          <w:spacing w:val="-43"/>
          <w:w w:val="105"/>
          <w:sz w:val="21"/>
        </w:rPr>
        <w:t> </w:t>
      </w:r>
      <w:r>
        <w:rPr>
          <w:color w:val="231F20"/>
          <w:w w:val="105"/>
          <w:sz w:val="21"/>
        </w:rPr>
        <w:t>791-800.</w:t>
      </w:r>
    </w:p>
    <w:p>
      <w:pPr>
        <w:spacing w:line="259" w:lineRule="auto" w:before="0"/>
        <w:ind w:left="854" w:right="121" w:hanging="738"/>
        <w:jc w:val="both"/>
        <w:rPr>
          <w:sz w:val="21"/>
        </w:rPr>
      </w:pPr>
      <w:r>
        <w:rPr>
          <w:color w:val="231F20"/>
          <w:sz w:val="21"/>
        </w:rPr>
        <w:t>Barney, J.B. (1996). “The Resource-based Theory of the Firm”. </w:t>
      </w:r>
      <w:r>
        <w:rPr>
          <w:i/>
          <w:color w:val="231F20"/>
          <w:sz w:val="21"/>
        </w:rPr>
        <w:t>Organiza- </w:t>
      </w:r>
      <w:r>
        <w:rPr>
          <w:i/>
          <w:color w:val="231F20"/>
          <w:sz w:val="21"/>
        </w:rPr>
        <w:t>tion Science. </w:t>
      </w:r>
      <w:r>
        <w:rPr>
          <w:color w:val="231F20"/>
          <w:sz w:val="21"/>
        </w:rPr>
        <w:t>7(5): 469.</w:t>
      </w:r>
    </w:p>
    <w:p>
      <w:pPr>
        <w:spacing w:line="259" w:lineRule="auto" w:before="0"/>
        <w:ind w:left="854" w:right="121" w:hanging="738"/>
        <w:jc w:val="both"/>
        <w:rPr>
          <w:sz w:val="21"/>
        </w:rPr>
      </w:pPr>
      <w:r>
        <w:rPr>
          <w:color w:val="231F20"/>
          <w:w w:val="105"/>
          <w:sz w:val="21"/>
        </w:rPr>
        <w:t>Barney,</w:t>
      </w:r>
      <w:r>
        <w:rPr>
          <w:color w:val="231F20"/>
          <w:spacing w:val="-49"/>
          <w:w w:val="105"/>
          <w:sz w:val="21"/>
        </w:rPr>
        <w:t> </w:t>
      </w:r>
      <w:r>
        <w:rPr>
          <w:color w:val="231F20"/>
          <w:w w:val="105"/>
          <w:sz w:val="21"/>
        </w:rPr>
        <w:t>J.B.</w:t>
      </w:r>
      <w:r>
        <w:rPr>
          <w:color w:val="231F20"/>
          <w:spacing w:val="-48"/>
          <w:w w:val="105"/>
          <w:sz w:val="21"/>
        </w:rPr>
        <w:t> </w:t>
      </w:r>
      <w:r>
        <w:rPr>
          <w:color w:val="231F20"/>
          <w:w w:val="105"/>
          <w:sz w:val="21"/>
        </w:rPr>
        <w:t>(1991).</w:t>
      </w:r>
      <w:r>
        <w:rPr>
          <w:color w:val="231F20"/>
          <w:spacing w:val="-48"/>
          <w:w w:val="105"/>
          <w:sz w:val="21"/>
        </w:rPr>
        <w:t> </w:t>
      </w:r>
      <w:r>
        <w:rPr>
          <w:color w:val="231F20"/>
          <w:w w:val="105"/>
          <w:sz w:val="21"/>
        </w:rPr>
        <w:t>“Firm</w:t>
      </w:r>
      <w:r>
        <w:rPr>
          <w:color w:val="231F20"/>
          <w:spacing w:val="-46"/>
          <w:w w:val="105"/>
          <w:sz w:val="21"/>
        </w:rPr>
        <w:t> </w:t>
      </w:r>
      <w:r>
        <w:rPr>
          <w:color w:val="231F20"/>
          <w:w w:val="105"/>
          <w:sz w:val="21"/>
        </w:rPr>
        <w:t>Resources</w:t>
      </w:r>
      <w:r>
        <w:rPr>
          <w:color w:val="231F20"/>
          <w:spacing w:val="-46"/>
          <w:w w:val="105"/>
          <w:sz w:val="21"/>
        </w:rPr>
        <w:t> </w:t>
      </w:r>
      <w:r>
        <w:rPr>
          <w:color w:val="231F20"/>
          <w:w w:val="105"/>
          <w:sz w:val="21"/>
        </w:rPr>
        <w:t>and</w:t>
      </w:r>
      <w:r>
        <w:rPr>
          <w:color w:val="231F20"/>
          <w:spacing w:val="-46"/>
          <w:w w:val="105"/>
          <w:sz w:val="21"/>
        </w:rPr>
        <w:t> </w:t>
      </w:r>
      <w:r>
        <w:rPr>
          <w:color w:val="231F20"/>
          <w:w w:val="105"/>
          <w:sz w:val="21"/>
        </w:rPr>
        <w:t>Sustained</w:t>
      </w:r>
      <w:r>
        <w:rPr>
          <w:color w:val="231F20"/>
          <w:spacing w:val="-46"/>
          <w:w w:val="105"/>
          <w:sz w:val="21"/>
        </w:rPr>
        <w:t> </w:t>
      </w:r>
      <w:r>
        <w:rPr>
          <w:color w:val="231F20"/>
          <w:w w:val="105"/>
          <w:sz w:val="21"/>
        </w:rPr>
        <w:t>Competitive</w:t>
      </w:r>
      <w:r>
        <w:rPr>
          <w:color w:val="231F20"/>
          <w:spacing w:val="-47"/>
          <w:w w:val="105"/>
          <w:sz w:val="21"/>
        </w:rPr>
        <w:t> </w:t>
      </w:r>
      <w:r>
        <w:rPr>
          <w:color w:val="231F20"/>
          <w:w w:val="105"/>
          <w:sz w:val="21"/>
        </w:rPr>
        <w:t>Advanta- </w:t>
      </w:r>
      <w:r>
        <w:rPr>
          <w:color w:val="231F20"/>
          <w:spacing w:val="-7"/>
          <w:w w:val="105"/>
          <w:sz w:val="21"/>
        </w:rPr>
        <w:t>ge”.</w:t>
      </w:r>
      <w:r>
        <w:rPr>
          <w:color w:val="231F20"/>
          <w:spacing w:val="-28"/>
          <w:w w:val="105"/>
          <w:sz w:val="21"/>
        </w:rPr>
        <w:t> </w:t>
      </w:r>
      <w:r>
        <w:rPr>
          <w:i/>
          <w:color w:val="231F20"/>
          <w:w w:val="105"/>
          <w:sz w:val="21"/>
        </w:rPr>
        <w:t>Journal</w:t>
      </w:r>
      <w:r>
        <w:rPr>
          <w:i/>
          <w:color w:val="231F20"/>
          <w:spacing w:val="-23"/>
          <w:w w:val="105"/>
          <w:sz w:val="21"/>
        </w:rPr>
        <w:t> </w:t>
      </w:r>
      <w:r>
        <w:rPr>
          <w:i/>
          <w:color w:val="231F20"/>
          <w:w w:val="105"/>
          <w:sz w:val="21"/>
        </w:rPr>
        <w:t>of</w:t>
      </w:r>
      <w:r>
        <w:rPr>
          <w:i/>
          <w:color w:val="231F20"/>
          <w:spacing w:val="-19"/>
          <w:w w:val="105"/>
          <w:sz w:val="21"/>
        </w:rPr>
        <w:t> </w:t>
      </w:r>
      <w:r>
        <w:rPr>
          <w:i/>
          <w:color w:val="231F20"/>
          <w:w w:val="105"/>
          <w:sz w:val="21"/>
        </w:rPr>
        <w:t>Management.</w:t>
      </w:r>
      <w:r>
        <w:rPr>
          <w:i/>
          <w:color w:val="231F20"/>
          <w:spacing w:val="-28"/>
          <w:w w:val="105"/>
          <w:sz w:val="21"/>
        </w:rPr>
        <w:t> </w:t>
      </w:r>
      <w:r>
        <w:rPr>
          <w:color w:val="231F20"/>
          <w:w w:val="105"/>
          <w:sz w:val="21"/>
        </w:rPr>
        <w:t>17(1):</w:t>
      </w:r>
      <w:r>
        <w:rPr>
          <w:color w:val="231F20"/>
          <w:spacing w:val="-23"/>
          <w:w w:val="105"/>
          <w:sz w:val="21"/>
        </w:rPr>
        <w:t> </w:t>
      </w:r>
      <w:r>
        <w:rPr>
          <w:color w:val="231F20"/>
          <w:w w:val="105"/>
          <w:sz w:val="21"/>
        </w:rPr>
        <w:t>99-120.</w:t>
      </w:r>
    </w:p>
    <w:p>
      <w:pPr>
        <w:spacing w:line="259" w:lineRule="auto" w:before="0"/>
        <w:ind w:left="854" w:right="121" w:hanging="738"/>
        <w:jc w:val="both"/>
        <w:rPr>
          <w:sz w:val="21"/>
        </w:rPr>
      </w:pPr>
      <w:r>
        <w:rPr>
          <w:color w:val="231F20"/>
          <w:spacing w:val="-3"/>
          <w:w w:val="105"/>
          <w:sz w:val="21"/>
        </w:rPr>
        <w:t>Becker,</w:t>
      </w:r>
      <w:r>
        <w:rPr>
          <w:color w:val="231F20"/>
          <w:spacing w:val="-39"/>
          <w:w w:val="105"/>
          <w:sz w:val="21"/>
        </w:rPr>
        <w:t> </w:t>
      </w:r>
      <w:r>
        <w:rPr>
          <w:color w:val="231F20"/>
          <w:spacing w:val="-11"/>
          <w:w w:val="105"/>
          <w:sz w:val="21"/>
        </w:rPr>
        <w:t>F.</w:t>
      </w:r>
      <w:r>
        <w:rPr>
          <w:color w:val="231F20"/>
          <w:spacing w:val="-39"/>
          <w:w w:val="105"/>
          <w:sz w:val="21"/>
        </w:rPr>
        <w:t> </w:t>
      </w:r>
      <w:r>
        <w:rPr>
          <w:color w:val="231F20"/>
          <w:w w:val="105"/>
          <w:sz w:val="21"/>
        </w:rPr>
        <w:t>(2007).</w:t>
      </w:r>
      <w:r>
        <w:rPr>
          <w:color w:val="231F20"/>
          <w:spacing w:val="-39"/>
          <w:w w:val="105"/>
          <w:sz w:val="21"/>
        </w:rPr>
        <w:t> </w:t>
      </w:r>
      <w:r>
        <w:rPr>
          <w:color w:val="231F20"/>
          <w:w w:val="105"/>
          <w:sz w:val="21"/>
        </w:rPr>
        <w:t>“Organizational</w:t>
      </w:r>
      <w:r>
        <w:rPr>
          <w:color w:val="231F20"/>
          <w:spacing w:val="-35"/>
          <w:w w:val="105"/>
          <w:sz w:val="21"/>
        </w:rPr>
        <w:t> </w:t>
      </w:r>
      <w:r>
        <w:rPr>
          <w:color w:val="231F20"/>
          <w:w w:val="105"/>
          <w:sz w:val="21"/>
        </w:rPr>
        <w:t>Ecology</w:t>
      </w:r>
      <w:r>
        <w:rPr>
          <w:color w:val="231F20"/>
          <w:spacing w:val="-35"/>
          <w:w w:val="105"/>
          <w:sz w:val="21"/>
        </w:rPr>
        <w:t> </w:t>
      </w:r>
      <w:r>
        <w:rPr>
          <w:color w:val="231F20"/>
          <w:w w:val="105"/>
          <w:sz w:val="21"/>
        </w:rPr>
        <w:t>and</w:t>
      </w:r>
      <w:r>
        <w:rPr>
          <w:color w:val="231F20"/>
          <w:spacing w:val="-35"/>
          <w:w w:val="105"/>
          <w:sz w:val="21"/>
        </w:rPr>
        <w:t> </w:t>
      </w:r>
      <w:r>
        <w:rPr>
          <w:color w:val="231F20"/>
          <w:w w:val="105"/>
          <w:sz w:val="21"/>
        </w:rPr>
        <w:t>Knowledge</w:t>
      </w:r>
      <w:r>
        <w:rPr>
          <w:color w:val="231F20"/>
          <w:spacing w:val="-35"/>
          <w:w w:val="105"/>
          <w:sz w:val="21"/>
        </w:rPr>
        <w:t> </w:t>
      </w:r>
      <w:r>
        <w:rPr>
          <w:color w:val="231F20"/>
          <w:spacing w:val="-3"/>
          <w:w w:val="105"/>
          <w:sz w:val="21"/>
        </w:rPr>
        <w:t>Networks”.</w:t>
      </w:r>
      <w:r>
        <w:rPr>
          <w:color w:val="231F20"/>
          <w:spacing w:val="-39"/>
          <w:w w:val="105"/>
          <w:sz w:val="21"/>
        </w:rPr>
        <w:t> </w:t>
      </w:r>
      <w:r>
        <w:rPr>
          <w:i/>
          <w:color w:val="231F20"/>
          <w:w w:val="105"/>
          <w:sz w:val="21"/>
        </w:rPr>
        <w:t>Ca- </w:t>
      </w:r>
      <w:r>
        <w:rPr>
          <w:i/>
          <w:color w:val="231F20"/>
          <w:w w:val="105"/>
          <w:sz w:val="21"/>
        </w:rPr>
        <w:t>lifornia</w:t>
      </w:r>
      <w:r>
        <w:rPr>
          <w:i/>
          <w:color w:val="231F20"/>
          <w:spacing w:val="-37"/>
          <w:w w:val="105"/>
          <w:sz w:val="21"/>
        </w:rPr>
        <w:t> </w:t>
      </w:r>
      <w:r>
        <w:rPr>
          <w:i/>
          <w:color w:val="231F20"/>
          <w:w w:val="105"/>
          <w:sz w:val="21"/>
        </w:rPr>
        <w:t>Management</w:t>
      </w:r>
      <w:r>
        <w:rPr>
          <w:i/>
          <w:color w:val="231F20"/>
          <w:spacing w:val="-37"/>
          <w:w w:val="105"/>
          <w:sz w:val="21"/>
        </w:rPr>
        <w:t> </w:t>
      </w:r>
      <w:r>
        <w:rPr>
          <w:i/>
          <w:color w:val="231F20"/>
          <w:w w:val="105"/>
          <w:sz w:val="21"/>
        </w:rPr>
        <w:t>Review,</w:t>
      </w:r>
      <w:r>
        <w:rPr>
          <w:i/>
          <w:color w:val="231F20"/>
          <w:spacing w:val="-40"/>
          <w:w w:val="105"/>
          <w:sz w:val="21"/>
        </w:rPr>
        <w:t> </w:t>
      </w:r>
      <w:r>
        <w:rPr>
          <w:color w:val="231F20"/>
          <w:w w:val="105"/>
          <w:sz w:val="21"/>
        </w:rPr>
        <w:t>invierno,</w:t>
      </w:r>
      <w:r>
        <w:rPr>
          <w:color w:val="231F20"/>
          <w:spacing w:val="-40"/>
          <w:w w:val="105"/>
          <w:sz w:val="21"/>
        </w:rPr>
        <w:t> </w:t>
      </w:r>
      <w:r>
        <w:rPr>
          <w:color w:val="231F20"/>
          <w:w w:val="105"/>
          <w:sz w:val="21"/>
        </w:rPr>
        <w:t>49(2):</w:t>
      </w:r>
      <w:r>
        <w:rPr>
          <w:color w:val="231F20"/>
          <w:spacing w:val="-37"/>
          <w:w w:val="105"/>
          <w:sz w:val="21"/>
        </w:rPr>
        <w:t> </w:t>
      </w:r>
      <w:r>
        <w:rPr>
          <w:color w:val="231F20"/>
          <w:w w:val="105"/>
          <w:sz w:val="21"/>
        </w:rPr>
        <w:t>42-61.</w:t>
      </w:r>
    </w:p>
    <w:p>
      <w:pPr>
        <w:spacing w:line="259" w:lineRule="auto" w:before="0"/>
        <w:ind w:left="854" w:right="121" w:hanging="738"/>
        <w:jc w:val="both"/>
        <w:rPr>
          <w:sz w:val="21"/>
        </w:rPr>
      </w:pPr>
      <w:r>
        <w:rPr>
          <w:color w:val="231F20"/>
          <w:w w:val="105"/>
          <w:sz w:val="21"/>
        </w:rPr>
        <w:t>Carlenton,</w:t>
      </w:r>
      <w:r>
        <w:rPr>
          <w:color w:val="231F20"/>
          <w:spacing w:val="-34"/>
          <w:w w:val="105"/>
          <w:sz w:val="21"/>
        </w:rPr>
        <w:t> </w:t>
      </w:r>
      <w:r>
        <w:rPr>
          <w:color w:val="231F20"/>
          <w:w w:val="105"/>
          <w:sz w:val="21"/>
        </w:rPr>
        <w:t>K.</w:t>
      </w:r>
      <w:r>
        <w:rPr>
          <w:color w:val="231F20"/>
          <w:spacing w:val="-34"/>
          <w:w w:val="105"/>
          <w:sz w:val="21"/>
        </w:rPr>
        <w:t> </w:t>
      </w:r>
      <w:r>
        <w:rPr>
          <w:color w:val="231F20"/>
          <w:w w:val="105"/>
          <w:sz w:val="21"/>
        </w:rPr>
        <w:t>L.</w:t>
      </w:r>
      <w:r>
        <w:rPr>
          <w:color w:val="231F20"/>
          <w:spacing w:val="-34"/>
          <w:w w:val="105"/>
          <w:sz w:val="21"/>
        </w:rPr>
        <w:t> </w:t>
      </w:r>
      <w:r>
        <w:rPr>
          <w:color w:val="231F20"/>
          <w:w w:val="105"/>
          <w:sz w:val="21"/>
        </w:rPr>
        <w:t>(septiembre</w:t>
      </w:r>
      <w:r>
        <w:rPr>
          <w:color w:val="231F20"/>
          <w:spacing w:val="-30"/>
          <w:w w:val="105"/>
          <w:sz w:val="21"/>
        </w:rPr>
        <w:t> </w:t>
      </w:r>
      <w:r>
        <w:rPr>
          <w:color w:val="231F20"/>
          <w:w w:val="105"/>
          <w:sz w:val="21"/>
        </w:rPr>
        <w:t>de</w:t>
      </w:r>
      <w:r>
        <w:rPr>
          <w:color w:val="231F20"/>
          <w:spacing w:val="-30"/>
          <w:w w:val="105"/>
          <w:sz w:val="21"/>
        </w:rPr>
        <w:t> </w:t>
      </w:r>
      <w:r>
        <w:rPr>
          <w:color w:val="231F20"/>
          <w:w w:val="105"/>
          <w:sz w:val="21"/>
        </w:rPr>
        <w:t>2009).</w:t>
      </w:r>
      <w:r>
        <w:rPr>
          <w:color w:val="231F20"/>
          <w:spacing w:val="-34"/>
          <w:w w:val="105"/>
          <w:sz w:val="21"/>
        </w:rPr>
        <w:t> </w:t>
      </w:r>
      <w:r>
        <w:rPr>
          <w:color w:val="231F20"/>
          <w:w w:val="105"/>
          <w:sz w:val="21"/>
        </w:rPr>
        <w:t>“Framing</w:t>
      </w:r>
      <w:r>
        <w:rPr>
          <w:color w:val="231F20"/>
          <w:spacing w:val="-30"/>
          <w:w w:val="105"/>
          <w:sz w:val="21"/>
        </w:rPr>
        <w:t> </w:t>
      </w:r>
      <w:r>
        <w:rPr>
          <w:color w:val="231F20"/>
          <w:w w:val="105"/>
          <w:sz w:val="21"/>
        </w:rPr>
        <w:t>sustainable</w:t>
      </w:r>
      <w:r>
        <w:rPr>
          <w:color w:val="231F20"/>
          <w:spacing w:val="-30"/>
          <w:w w:val="105"/>
          <w:sz w:val="21"/>
        </w:rPr>
        <w:t> </w:t>
      </w:r>
      <w:r>
        <w:rPr>
          <w:color w:val="231F20"/>
          <w:w w:val="105"/>
          <w:sz w:val="21"/>
        </w:rPr>
        <w:t>performance with</w:t>
      </w:r>
      <w:r>
        <w:rPr>
          <w:color w:val="231F20"/>
          <w:spacing w:val="-44"/>
          <w:w w:val="105"/>
          <w:sz w:val="21"/>
        </w:rPr>
        <w:t> </w:t>
      </w:r>
      <w:r>
        <w:rPr>
          <w:color w:val="231F20"/>
          <w:spacing w:val="-5"/>
          <w:w w:val="105"/>
          <w:sz w:val="21"/>
        </w:rPr>
        <w:t>six-P”.</w:t>
      </w:r>
      <w:r>
        <w:rPr>
          <w:color w:val="231F20"/>
          <w:spacing w:val="-46"/>
          <w:w w:val="105"/>
          <w:sz w:val="21"/>
        </w:rPr>
        <w:t> </w:t>
      </w:r>
      <w:r>
        <w:rPr>
          <w:i/>
          <w:color w:val="231F20"/>
          <w:w w:val="105"/>
          <w:sz w:val="21"/>
        </w:rPr>
        <w:t>Performance</w:t>
      </w:r>
      <w:r>
        <w:rPr>
          <w:i/>
          <w:color w:val="231F20"/>
          <w:spacing w:val="-44"/>
          <w:w w:val="105"/>
          <w:sz w:val="21"/>
        </w:rPr>
        <w:t> </w:t>
      </w:r>
      <w:r>
        <w:rPr>
          <w:i/>
          <w:color w:val="231F20"/>
          <w:w w:val="105"/>
          <w:sz w:val="21"/>
        </w:rPr>
        <w:t>Improvement,</w:t>
      </w:r>
      <w:r>
        <w:rPr>
          <w:i/>
          <w:color w:val="231F20"/>
          <w:spacing w:val="-46"/>
          <w:w w:val="105"/>
          <w:sz w:val="21"/>
        </w:rPr>
        <w:t> </w:t>
      </w:r>
      <w:r>
        <w:rPr>
          <w:color w:val="231F20"/>
          <w:w w:val="105"/>
          <w:sz w:val="21"/>
        </w:rPr>
        <w:t>48(8):</w:t>
      </w:r>
      <w:r>
        <w:rPr>
          <w:color w:val="231F20"/>
          <w:spacing w:val="-44"/>
          <w:w w:val="105"/>
          <w:sz w:val="21"/>
        </w:rPr>
        <w:t> </w:t>
      </w:r>
      <w:r>
        <w:rPr>
          <w:color w:val="231F20"/>
          <w:w w:val="105"/>
          <w:sz w:val="21"/>
        </w:rPr>
        <w:t>37-48.</w:t>
      </w:r>
    </w:p>
    <w:p>
      <w:pPr>
        <w:spacing w:line="259" w:lineRule="auto" w:before="0"/>
        <w:ind w:left="854" w:right="115" w:hanging="738"/>
        <w:jc w:val="both"/>
        <w:rPr>
          <w:sz w:val="21"/>
        </w:rPr>
      </w:pPr>
      <w:r>
        <w:rPr>
          <w:color w:val="231F20"/>
          <w:w w:val="105"/>
          <w:sz w:val="21"/>
        </w:rPr>
        <w:t>Cernas,</w:t>
      </w:r>
      <w:r>
        <w:rPr>
          <w:color w:val="231F20"/>
          <w:spacing w:val="-34"/>
          <w:w w:val="105"/>
          <w:sz w:val="21"/>
        </w:rPr>
        <w:t> </w:t>
      </w:r>
      <w:r>
        <w:rPr>
          <w:color w:val="231F20"/>
          <w:spacing w:val="-3"/>
          <w:w w:val="105"/>
          <w:sz w:val="21"/>
        </w:rPr>
        <w:t>D.A.</w:t>
      </w:r>
      <w:r>
        <w:rPr>
          <w:color w:val="231F20"/>
          <w:spacing w:val="-34"/>
          <w:w w:val="105"/>
          <w:sz w:val="21"/>
        </w:rPr>
        <w:t> </w:t>
      </w:r>
      <w:r>
        <w:rPr>
          <w:color w:val="231F20"/>
          <w:w w:val="105"/>
          <w:sz w:val="21"/>
        </w:rPr>
        <w:t>y</w:t>
      </w:r>
      <w:r>
        <w:rPr>
          <w:color w:val="231F20"/>
          <w:spacing w:val="-30"/>
          <w:w w:val="105"/>
          <w:sz w:val="21"/>
        </w:rPr>
        <w:t> </w:t>
      </w:r>
      <w:r>
        <w:rPr>
          <w:color w:val="231F20"/>
          <w:w w:val="105"/>
          <w:sz w:val="21"/>
        </w:rPr>
        <w:t>Mercado,</w:t>
      </w:r>
      <w:r>
        <w:rPr>
          <w:color w:val="231F20"/>
          <w:spacing w:val="-34"/>
          <w:w w:val="105"/>
          <w:sz w:val="21"/>
        </w:rPr>
        <w:t> </w:t>
      </w:r>
      <w:r>
        <w:rPr>
          <w:color w:val="231F20"/>
          <w:spacing w:val="-16"/>
          <w:w w:val="105"/>
          <w:sz w:val="21"/>
        </w:rPr>
        <w:t>P.</w:t>
      </w:r>
      <w:r>
        <w:rPr>
          <w:color w:val="231F20"/>
          <w:spacing w:val="-34"/>
          <w:w w:val="105"/>
          <w:sz w:val="21"/>
        </w:rPr>
        <w:t> </w:t>
      </w:r>
      <w:r>
        <w:rPr>
          <w:color w:val="231F20"/>
          <w:w w:val="105"/>
          <w:sz w:val="21"/>
        </w:rPr>
        <w:t>(2013).</w:t>
      </w:r>
      <w:r>
        <w:rPr>
          <w:color w:val="231F20"/>
          <w:spacing w:val="-34"/>
          <w:w w:val="105"/>
          <w:sz w:val="21"/>
        </w:rPr>
        <w:t> </w:t>
      </w:r>
      <w:r>
        <w:rPr>
          <w:color w:val="231F20"/>
          <w:w w:val="105"/>
          <w:sz w:val="21"/>
        </w:rPr>
        <w:t>“Los</w:t>
      </w:r>
      <w:r>
        <w:rPr>
          <w:color w:val="231F20"/>
          <w:spacing w:val="-30"/>
          <w:w w:val="105"/>
          <w:sz w:val="21"/>
        </w:rPr>
        <w:t> </w:t>
      </w:r>
      <w:r>
        <w:rPr>
          <w:color w:val="231F20"/>
          <w:w w:val="105"/>
          <w:sz w:val="21"/>
        </w:rPr>
        <w:t>estudios</w:t>
      </w:r>
      <w:r>
        <w:rPr>
          <w:color w:val="231F20"/>
          <w:spacing w:val="-30"/>
          <w:w w:val="105"/>
          <w:sz w:val="21"/>
        </w:rPr>
        <w:t> </w:t>
      </w:r>
      <w:r>
        <w:rPr>
          <w:color w:val="231F20"/>
          <w:w w:val="105"/>
          <w:sz w:val="21"/>
        </w:rPr>
        <w:t>económico-administrati- vos:</w:t>
      </w:r>
      <w:r>
        <w:rPr>
          <w:color w:val="231F20"/>
          <w:spacing w:val="-13"/>
          <w:w w:val="105"/>
          <w:sz w:val="21"/>
        </w:rPr>
        <w:t> </w:t>
      </w:r>
      <w:r>
        <w:rPr>
          <w:color w:val="231F20"/>
          <w:w w:val="105"/>
          <w:sz w:val="21"/>
        </w:rPr>
        <w:t>origen,</w:t>
      </w:r>
      <w:r>
        <w:rPr>
          <w:color w:val="231F20"/>
          <w:spacing w:val="-17"/>
          <w:w w:val="105"/>
          <w:sz w:val="21"/>
        </w:rPr>
        <w:t> </w:t>
      </w:r>
      <w:r>
        <w:rPr>
          <w:color w:val="231F20"/>
          <w:w w:val="105"/>
          <w:sz w:val="21"/>
        </w:rPr>
        <w:t>críticas</w:t>
      </w:r>
      <w:r>
        <w:rPr>
          <w:color w:val="231F20"/>
          <w:spacing w:val="-13"/>
          <w:w w:val="105"/>
          <w:sz w:val="21"/>
        </w:rPr>
        <w:t> </w:t>
      </w:r>
      <w:r>
        <w:rPr>
          <w:color w:val="231F20"/>
          <w:w w:val="105"/>
          <w:sz w:val="21"/>
        </w:rPr>
        <w:t>y</w:t>
      </w:r>
      <w:r>
        <w:rPr>
          <w:color w:val="231F20"/>
          <w:spacing w:val="-13"/>
          <w:w w:val="105"/>
          <w:sz w:val="21"/>
        </w:rPr>
        <w:t> </w:t>
      </w:r>
      <w:r>
        <w:rPr>
          <w:color w:val="231F20"/>
          <w:w w:val="105"/>
          <w:sz w:val="21"/>
        </w:rPr>
        <w:t>nuevos</w:t>
      </w:r>
      <w:r>
        <w:rPr>
          <w:color w:val="231F20"/>
          <w:spacing w:val="-13"/>
          <w:w w:val="105"/>
          <w:sz w:val="21"/>
        </w:rPr>
        <w:t> </w:t>
      </w:r>
      <w:r>
        <w:rPr>
          <w:color w:val="231F20"/>
          <w:w w:val="105"/>
          <w:sz w:val="21"/>
        </w:rPr>
        <w:t>rumbos”</w:t>
      </w:r>
      <w:r>
        <w:rPr>
          <w:color w:val="231F20"/>
          <w:spacing w:val="-13"/>
          <w:w w:val="105"/>
          <w:sz w:val="21"/>
        </w:rPr>
        <w:t> </w:t>
      </w:r>
      <w:r>
        <w:rPr>
          <w:color w:val="231F20"/>
          <w:w w:val="105"/>
          <w:sz w:val="21"/>
        </w:rPr>
        <w:t>González,</w:t>
      </w:r>
      <w:r>
        <w:rPr>
          <w:color w:val="231F20"/>
          <w:spacing w:val="-17"/>
          <w:w w:val="105"/>
          <w:sz w:val="21"/>
        </w:rPr>
        <w:t> </w:t>
      </w:r>
      <w:r>
        <w:rPr>
          <w:color w:val="231F20"/>
          <w:spacing w:val="-11"/>
          <w:w w:val="105"/>
          <w:sz w:val="21"/>
        </w:rPr>
        <w:t>F.</w:t>
      </w:r>
      <w:r>
        <w:rPr>
          <w:color w:val="231F20"/>
          <w:spacing w:val="-17"/>
          <w:w w:val="105"/>
          <w:sz w:val="21"/>
        </w:rPr>
        <w:t> </w:t>
      </w:r>
      <w:r>
        <w:rPr>
          <w:color w:val="231F20"/>
          <w:w w:val="105"/>
          <w:sz w:val="21"/>
        </w:rPr>
        <w:t>y</w:t>
      </w:r>
      <w:r>
        <w:rPr>
          <w:color w:val="231F20"/>
          <w:spacing w:val="-16"/>
          <w:w w:val="105"/>
          <w:sz w:val="21"/>
        </w:rPr>
        <w:t> </w:t>
      </w:r>
      <w:r>
        <w:rPr>
          <w:color w:val="231F20"/>
          <w:w w:val="105"/>
          <w:sz w:val="21"/>
        </w:rPr>
        <w:t>Aguado,</w:t>
      </w:r>
      <w:r>
        <w:rPr>
          <w:color w:val="231F20"/>
          <w:spacing w:val="-17"/>
          <w:w w:val="105"/>
          <w:sz w:val="21"/>
        </w:rPr>
        <w:t> </w:t>
      </w:r>
      <w:r>
        <w:rPr>
          <w:color w:val="231F20"/>
          <w:w w:val="105"/>
          <w:sz w:val="21"/>
        </w:rPr>
        <w:t>E. (coord.)</w:t>
      </w:r>
      <w:r>
        <w:rPr>
          <w:color w:val="231F20"/>
          <w:spacing w:val="-39"/>
          <w:w w:val="105"/>
          <w:sz w:val="21"/>
        </w:rPr>
        <w:t> </w:t>
      </w:r>
      <w:r>
        <w:rPr>
          <w:color w:val="231F20"/>
          <w:w w:val="105"/>
          <w:sz w:val="21"/>
        </w:rPr>
        <w:t>en:</w:t>
      </w:r>
      <w:r>
        <w:rPr>
          <w:color w:val="231F20"/>
          <w:spacing w:val="-39"/>
          <w:w w:val="105"/>
          <w:sz w:val="21"/>
        </w:rPr>
        <w:t> </w:t>
      </w:r>
      <w:r>
        <w:rPr>
          <w:i/>
          <w:color w:val="231F20"/>
          <w:w w:val="105"/>
          <w:sz w:val="21"/>
        </w:rPr>
        <w:t>Escalas</w:t>
      </w:r>
      <w:r>
        <w:rPr>
          <w:i/>
          <w:color w:val="231F20"/>
          <w:spacing w:val="-39"/>
          <w:w w:val="105"/>
          <w:sz w:val="21"/>
        </w:rPr>
        <w:t> </w:t>
      </w:r>
      <w:r>
        <w:rPr>
          <w:i/>
          <w:color w:val="231F20"/>
          <w:w w:val="105"/>
          <w:sz w:val="21"/>
        </w:rPr>
        <w:t>del</w:t>
      </w:r>
      <w:r>
        <w:rPr>
          <w:i/>
          <w:color w:val="231F20"/>
          <w:spacing w:val="-39"/>
          <w:w w:val="105"/>
          <w:sz w:val="21"/>
        </w:rPr>
        <w:t> </w:t>
      </w:r>
      <w:r>
        <w:rPr>
          <w:i/>
          <w:color w:val="231F20"/>
          <w:w w:val="105"/>
          <w:sz w:val="21"/>
        </w:rPr>
        <w:t>conocimiento.</w:t>
      </w:r>
      <w:r>
        <w:rPr>
          <w:i/>
          <w:color w:val="231F20"/>
          <w:spacing w:val="-43"/>
          <w:w w:val="105"/>
          <w:sz w:val="21"/>
        </w:rPr>
        <w:t> </w:t>
      </w:r>
      <w:r>
        <w:rPr>
          <w:i/>
          <w:color w:val="231F20"/>
          <w:w w:val="105"/>
          <w:sz w:val="21"/>
        </w:rPr>
        <w:t>Las</w:t>
      </w:r>
      <w:r>
        <w:rPr>
          <w:i/>
          <w:color w:val="231F20"/>
          <w:spacing w:val="-39"/>
          <w:w w:val="105"/>
          <w:sz w:val="21"/>
        </w:rPr>
        <w:t> </w:t>
      </w:r>
      <w:r>
        <w:rPr>
          <w:i/>
          <w:color w:val="231F20"/>
          <w:w w:val="105"/>
          <w:sz w:val="21"/>
        </w:rPr>
        <w:t>formas</w:t>
      </w:r>
      <w:r>
        <w:rPr>
          <w:i/>
          <w:color w:val="231F20"/>
          <w:spacing w:val="-39"/>
          <w:w w:val="105"/>
          <w:sz w:val="21"/>
        </w:rPr>
        <w:t> </w:t>
      </w:r>
      <w:r>
        <w:rPr>
          <w:i/>
          <w:color w:val="231F20"/>
          <w:w w:val="105"/>
          <w:sz w:val="21"/>
        </w:rPr>
        <w:t>de</w:t>
      </w:r>
      <w:r>
        <w:rPr>
          <w:i/>
          <w:color w:val="231F20"/>
          <w:spacing w:val="-39"/>
          <w:w w:val="105"/>
          <w:sz w:val="21"/>
        </w:rPr>
        <w:t> </w:t>
      </w:r>
      <w:r>
        <w:rPr>
          <w:i/>
          <w:color w:val="231F20"/>
          <w:w w:val="105"/>
          <w:sz w:val="21"/>
        </w:rPr>
        <w:t>construcción </w:t>
      </w:r>
      <w:r>
        <w:rPr>
          <w:i/>
          <w:color w:val="231F20"/>
          <w:w w:val="105"/>
          <w:sz w:val="21"/>
        </w:rPr>
        <w:t>del</w:t>
      </w:r>
      <w:r>
        <w:rPr>
          <w:i/>
          <w:color w:val="231F20"/>
          <w:spacing w:val="-8"/>
          <w:w w:val="105"/>
          <w:sz w:val="21"/>
        </w:rPr>
        <w:t> </w:t>
      </w:r>
      <w:r>
        <w:rPr>
          <w:i/>
          <w:color w:val="231F20"/>
          <w:w w:val="105"/>
          <w:sz w:val="21"/>
        </w:rPr>
        <w:t>objeto</w:t>
      </w:r>
      <w:r>
        <w:rPr>
          <w:i/>
          <w:color w:val="231F20"/>
          <w:spacing w:val="-8"/>
          <w:w w:val="105"/>
          <w:sz w:val="21"/>
        </w:rPr>
        <w:t> </w:t>
      </w:r>
      <w:r>
        <w:rPr>
          <w:i/>
          <w:color w:val="231F20"/>
          <w:w w:val="105"/>
          <w:sz w:val="21"/>
        </w:rPr>
        <w:t>en</w:t>
      </w:r>
      <w:r>
        <w:rPr>
          <w:i/>
          <w:color w:val="231F20"/>
          <w:spacing w:val="-8"/>
          <w:w w:val="105"/>
          <w:sz w:val="21"/>
        </w:rPr>
        <w:t> </w:t>
      </w:r>
      <w:r>
        <w:rPr>
          <w:i/>
          <w:color w:val="231F20"/>
          <w:w w:val="105"/>
          <w:sz w:val="21"/>
        </w:rPr>
        <w:t>las</w:t>
      </w:r>
      <w:r>
        <w:rPr>
          <w:i/>
          <w:color w:val="231F20"/>
          <w:spacing w:val="-8"/>
          <w:w w:val="105"/>
          <w:sz w:val="21"/>
        </w:rPr>
        <w:t> </w:t>
      </w:r>
      <w:r>
        <w:rPr>
          <w:i/>
          <w:color w:val="231F20"/>
          <w:w w:val="105"/>
          <w:sz w:val="21"/>
        </w:rPr>
        <w:t>disciplinas</w:t>
      </w:r>
      <w:r>
        <w:rPr>
          <w:i/>
          <w:color w:val="231F20"/>
          <w:spacing w:val="-8"/>
          <w:w w:val="105"/>
          <w:sz w:val="21"/>
        </w:rPr>
        <w:t> </w:t>
      </w:r>
      <w:r>
        <w:rPr>
          <w:i/>
          <w:color w:val="231F20"/>
          <w:w w:val="105"/>
          <w:sz w:val="21"/>
        </w:rPr>
        <w:t>sociales.</w:t>
      </w:r>
      <w:r>
        <w:rPr>
          <w:i/>
          <w:color w:val="231F20"/>
          <w:spacing w:val="-8"/>
          <w:w w:val="105"/>
          <w:sz w:val="21"/>
        </w:rPr>
        <w:t> </w:t>
      </w:r>
      <w:r>
        <w:rPr>
          <w:color w:val="231F20"/>
          <w:w w:val="105"/>
          <w:sz w:val="21"/>
        </w:rPr>
        <w:t>México:</w:t>
      </w:r>
      <w:r>
        <w:rPr>
          <w:color w:val="231F20"/>
          <w:spacing w:val="-8"/>
          <w:w w:val="105"/>
          <w:sz w:val="21"/>
        </w:rPr>
        <w:t> </w:t>
      </w:r>
      <w:r>
        <w:rPr>
          <w:color w:val="231F20"/>
          <w:w w:val="105"/>
          <w:sz w:val="21"/>
        </w:rPr>
        <w:t>Notabilis</w:t>
      </w:r>
      <w:r>
        <w:rPr>
          <w:color w:val="231F20"/>
          <w:spacing w:val="-8"/>
          <w:w w:val="105"/>
          <w:sz w:val="21"/>
        </w:rPr>
        <w:t> </w:t>
      </w:r>
      <w:r>
        <w:rPr>
          <w:color w:val="231F20"/>
          <w:w w:val="105"/>
          <w:sz w:val="21"/>
        </w:rPr>
        <w:t>Scientia: 63-88.</w:t>
      </w:r>
    </w:p>
    <w:p>
      <w:pPr>
        <w:pStyle w:val="BodyText"/>
        <w:spacing w:line="259" w:lineRule="auto"/>
        <w:ind w:left="854" w:right="121" w:hanging="738"/>
        <w:jc w:val="both"/>
      </w:pPr>
      <w:r>
        <w:rPr>
          <w:color w:val="231F20"/>
          <w:w w:val="105"/>
        </w:rPr>
        <w:t>Coblentz, J. B. (2002). “Organizational sustainability: the three aspects that matter”. </w:t>
      </w:r>
      <w:r>
        <w:rPr>
          <w:i/>
          <w:color w:val="231F20"/>
          <w:w w:val="105"/>
        </w:rPr>
        <w:t>Academic for Education Development. </w:t>
      </w:r>
      <w:r>
        <w:rPr>
          <w:color w:val="231F20"/>
          <w:w w:val="105"/>
        </w:rPr>
        <w:t>Disponible en </w:t>
      </w:r>
      <w:hyperlink r:id="rId25">
        <w:r>
          <w:rPr>
            <w:color w:val="231F20"/>
            <w:w w:val="105"/>
          </w:rPr>
          <w:t>http://rocare.org/docs/Organizational%20Sustainability%20</w:t>
        </w:r>
      </w:hyperlink>
      <w:r>
        <w:rPr>
          <w:color w:val="231F20"/>
          <w:w w:val="105"/>
        </w:rPr>
        <w:t> by%20Joe%20COBLENTZ%202002-02.pdf</w:t>
      </w:r>
    </w:p>
    <w:p>
      <w:pPr>
        <w:spacing w:line="259" w:lineRule="auto" w:before="0"/>
        <w:ind w:left="117" w:right="115" w:hanging="1"/>
        <w:jc w:val="right"/>
        <w:rPr>
          <w:i/>
          <w:sz w:val="21"/>
        </w:rPr>
      </w:pPr>
      <w:r>
        <w:rPr>
          <w:color w:val="231F20"/>
          <w:w w:val="105"/>
          <w:sz w:val="21"/>
        </w:rPr>
        <w:t>Connell, C.M. (2009). “Method, Structure and Argument in</w:t>
      </w:r>
      <w:r>
        <w:rPr>
          <w:color w:val="231F20"/>
          <w:spacing w:val="-18"/>
          <w:w w:val="105"/>
          <w:sz w:val="21"/>
        </w:rPr>
        <w:t> </w:t>
      </w:r>
      <w:r>
        <w:rPr>
          <w:color w:val="231F20"/>
          <w:w w:val="105"/>
          <w:sz w:val="21"/>
        </w:rPr>
        <w:t>Edith</w:t>
      </w:r>
      <w:r>
        <w:rPr>
          <w:color w:val="231F20"/>
          <w:spacing w:val="1"/>
          <w:w w:val="105"/>
          <w:sz w:val="21"/>
        </w:rPr>
        <w:t> </w:t>
      </w:r>
      <w:r>
        <w:rPr>
          <w:color w:val="231F20"/>
          <w:spacing w:val="-4"/>
          <w:w w:val="105"/>
          <w:sz w:val="21"/>
        </w:rPr>
        <w:t>Penro-</w:t>
      </w:r>
      <w:r>
        <w:rPr>
          <w:color w:val="231F20"/>
          <w:w w:val="96"/>
          <w:sz w:val="21"/>
        </w:rPr>
        <w:t> </w:t>
      </w:r>
      <w:r>
        <w:rPr>
          <w:color w:val="231F20"/>
          <w:spacing w:val="-3"/>
          <w:sz w:val="21"/>
        </w:rPr>
        <w:t>se’s</w:t>
      </w:r>
      <w:r>
        <w:rPr>
          <w:color w:val="231F20"/>
          <w:spacing w:val="-15"/>
          <w:sz w:val="21"/>
        </w:rPr>
        <w:t> </w:t>
      </w:r>
      <w:r>
        <w:rPr>
          <w:color w:val="231F20"/>
          <w:sz w:val="21"/>
        </w:rPr>
        <w:t>Theory</w:t>
      </w:r>
      <w:r>
        <w:rPr>
          <w:color w:val="231F20"/>
          <w:spacing w:val="-9"/>
          <w:sz w:val="21"/>
        </w:rPr>
        <w:t> </w:t>
      </w:r>
      <w:r>
        <w:rPr>
          <w:color w:val="231F20"/>
          <w:spacing w:val="-4"/>
          <w:sz w:val="21"/>
        </w:rPr>
        <w:t>Growth”.</w:t>
      </w:r>
      <w:r>
        <w:rPr>
          <w:color w:val="231F20"/>
          <w:spacing w:val="-17"/>
          <w:sz w:val="21"/>
        </w:rPr>
        <w:t> </w:t>
      </w:r>
      <w:r>
        <w:rPr>
          <w:i/>
          <w:color w:val="231F20"/>
          <w:sz w:val="21"/>
        </w:rPr>
        <w:t>Review</w:t>
      </w:r>
      <w:r>
        <w:rPr>
          <w:i/>
          <w:color w:val="231F20"/>
          <w:spacing w:val="-9"/>
          <w:sz w:val="21"/>
        </w:rPr>
        <w:t> </w:t>
      </w:r>
      <w:r>
        <w:rPr>
          <w:i/>
          <w:color w:val="231F20"/>
          <w:sz w:val="21"/>
        </w:rPr>
        <w:t>of</w:t>
      </w:r>
      <w:r>
        <w:rPr>
          <w:i/>
          <w:color w:val="231F20"/>
          <w:spacing w:val="-3"/>
          <w:sz w:val="21"/>
        </w:rPr>
        <w:t> </w:t>
      </w:r>
      <w:r>
        <w:rPr>
          <w:i/>
          <w:color w:val="231F20"/>
          <w:sz w:val="21"/>
        </w:rPr>
        <w:t>Political</w:t>
      </w:r>
      <w:r>
        <w:rPr>
          <w:i/>
          <w:color w:val="231F20"/>
          <w:spacing w:val="-9"/>
          <w:sz w:val="21"/>
        </w:rPr>
        <w:t> </w:t>
      </w:r>
      <w:r>
        <w:rPr>
          <w:i/>
          <w:color w:val="231F20"/>
          <w:sz w:val="21"/>
        </w:rPr>
        <w:t>Economy</w:t>
      </w:r>
      <w:r>
        <w:rPr>
          <w:color w:val="231F20"/>
          <w:sz w:val="21"/>
        </w:rPr>
        <w:t>,</w:t>
      </w:r>
      <w:r>
        <w:rPr>
          <w:color w:val="231F20"/>
          <w:spacing w:val="-17"/>
          <w:sz w:val="21"/>
        </w:rPr>
        <w:t> </w:t>
      </w:r>
      <w:r>
        <w:rPr>
          <w:color w:val="231F20"/>
          <w:sz w:val="21"/>
        </w:rPr>
        <w:t>221(4),</w:t>
      </w:r>
      <w:r>
        <w:rPr>
          <w:color w:val="231F20"/>
          <w:spacing w:val="-17"/>
          <w:sz w:val="21"/>
        </w:rPr>
        <w:t> </w:t>
      </w:r>
      <w:r>
        <w:rPr>
          <w:color w:val="231F20"/>
          <w:sz w:val="21"/>
        </w:rPr>
        <w:t>549-566.</w:t>
      </w:r>
      <w:r>
        <w:rPr>
          <w:color w:val="231F20"/>
          <w:w w:val="102"/>
          <w:sz w:val="21"/>
        </w:rPr>
        <w:t> </w:t>
      </w:r>
      <w:r>
        <w:rPr>
          <w:color w:val="231F20"/>
          <w:w w:val="105"/>
          <w:sz w:val="21"/>
        </w:rPr>
        <w:t>Costanza,</w:t>
      </w:r>
      <w:r>
        <w:rPr>
          <w:color w:val="231F20"/>
          <w:spacing w:val="-37"/>
          <w:w w:val="105"/>
          <w:sz w:val="21"/>
        </w:rPr>
        <w:t> </w:t>
      </w:r>
      <w:r>
        <w:rPr>
          <w:color w:val="231F20"/>
          <w:w w:val="105"/>
          <w:sz w:val="21"/>
        </w:rPr>
        <w:t>R.</w:t>
      </w:r>
      <w:r>
        <w:rPr>
          <w:color w:val="231F20"/>
          <w:spacing w:val="-37"/>
          <w:w w:val="105"/>
          <w:sz w:val="21"/>
        </w:rPr>
        <w:t> </w:t>
      </w:r>
      <w:r>
        <w:rPr>
          <w:color w:val="231F20"/>
          <w:w w:val="105"/>
          <w:sz w:val="21"/>
        </w:rPr>
        <w:t>(1989).</w:t>
      </w:r>
      <w:r>
        <w:rPr>
          <w:color w:val="231F20"/>
          <w:spacing w:val="-37"/>
          <w:w w:val="105"/>
          <w:sz w:val="21"/>
        </w:rPr>
        <w:t> </w:t>
      </w:r>
      <w:r>
        <w:rPr>
          <w:color w:val="231F20"/>
          <w:w w:val="105"/>
          <w:sz w:val="21"/>
        </w:rPr>
        <w:t>“What</w:t>
      </w:r>
      <w:r>
        <w:rPr>
          <w:color w:val="231F20"/>
          <w:spacing w:val="-32"/>
          <w:w w:val="105"/>
          <w:sz w:val="21"/>
        </w:rPr>
        <w:t> </w:t>
      </w:r>
      <w:r>
        <w:rPr>
          <w:color w:val="231F20"/>
          <w:w w:val="105"/>
          <w:sz w:val="21"/>
        </w:rPr>
        <w:t>is</w:t>
      </w:r>
      <w:r>
        <w:rPr>
          <w:color w:val="231F20"/>
          <w:spacing w:val="-32"/>
          <w:w w:val="105"/>
          <w:sz w:val="21"/>
        </w:rPr>
        <w:t> </w:t>
      </w:r>
      <w:r>
        <w:rPr>
          <w:color w:val="231F20"/>
          <w:w w:val="105"/>
          <w:sz w:val="21"/>
        </w:rPr>
        <w:t>ecological</w:t>
      </w:r>
      <w:r>
        <w:rPr>
          <w:color w:val="231F20"/>
          <w:spacing w:val="-32"/>
          <w:w w:val="105"/>
          <w:sz w:val="21"/>
        </w:rPr>
        <w:t> </w:t>
      </w:r>
      <w:r>
        <w:rPr>
          <w:color w:val="231F20"/>
          <w:w w:val="105"/>
          <w:sz w:val="21"/>
        </w:rPr>
        <w:t>economics?”</w:t>
      </w:r>
      <w:r>
        <w:rPr>
          <w:color w:val="231F20"/>
          <w:spacing w:val="-32"/>
          <w:w w:val="105"/>
          <w:sz w:val="21"/>
        </w:rPr>
        <w:t> </w:t>
      </w:r>
      <w:r>
        <w:rPr>
          <w:color w:val="231F20"/>
          <w:w w:val="105"/>
          <w:sz w:val="21"/>
        </w:rPr>
        <w:t>en:</w:t>
      </w:r>
      <w:r>
        <w:rPr>
          <w:color w:val="231F20"/>
          <w:spacing w:val="-3"/>
          <w:w w:val="105"/>
          <w:sz w:val="21"/>
        </w:rPr>
        <w:t> </w:t>
      </w:r>
      <w:r>
        <w:rPr>
          <w:i/>
          <w:color w:val="231F20"/>
          <w:w w:val="105"/>
          <w:sz w:val="21"/>
        </w:rPr>
        <w:t>Ecological</w:t>
      </w:r>
      <w:r>
        <w:rPr>
          <w:i/>
          <w:color w:val="231F20"/>
          <w:spacing w:val="-32"/>
          <w:w w:val="105"/>
          <w:sz w:val="21"/>
        </w:rPr>
        <w:t> </w:t>
      </w:r>
      <w:r>
        <w:rPr>
          <w:i/>
          <w:color w:val="231F20"/>
          <w:w w:val="105"/>
          <w:sz w:val="21"/>
        </w:rPr>
        <w:t>eco-</w:t>
      </w:r>
    </w:p>
    <w:p>
      <w:pPr>
        <w:spacing w:line="241" w:lineRule="exact" w:before="0"/>
        <w:ind w:left="854" w:right="114" w:firstLine="0"/>
        <w:jc w:val="left"/>
        <w:rPr>
          <w:sz w:val="21"/>
        </w:rPr>
      </w:pPr>
      <w:r>
        <w:rPr>
          <w:i/>
          <w:color w:val="231F20"/>
          <w:sz w:val="21"/>
        </w:rPr>
        <w:t>nomics, </w:t>
      </w:r>
      <w:r>
        <w:rPr>
          <w:color w:val="231F20"/>
          <w:sz w:val="21"/>
        </w:rPr>
        <w:t>1, 1-7.</w:t>
      </w:r>
    </w:p>
    <w:p>
      <w:pPr>
        <w:pStyle w:val="BodyText"/>
        <w:spacing w:line="259" w:lineRule="auto" w:before="18"/>
        <w:ind w:left="854" w:right="121" w:hanging="738"/>
        <w:jc w:val="both"/>
      </w:pPr>
      <w:r>
        <w:rPr>
          <w:color w:val="231F20"/>
        </w:rPr>
        <w:t>Daly,</w:t>
      </w:r>
      <w:r>
        <w:rPr>
          <w:color w:val="231F20"/>
          <w:spacing w:val="-9"/>
        </w:rPr>
        <w:t> </w:t>
      </w:r>
      <w:r>
        <w:rPr>
          <w:color w:val="231F20"/>
        </w:rPr>
        <w:t>H.</w:t>
      </w:r>
      <w:r>
        <w:rPr>
          <w:color w:val="231F20"/>
          <w:spacing w:val="-9"/>
        </w:rPr>
        <w:t> </w:t>
      </w:r>
      <w:r>
        <w:rPr>
          <w:color w:val="231F20"/>
        </w:rPr>
        <w:t>E.</w:t>
      </w:r>
      <w:r>
        <w:rPr>
          <w:color w:val="231F20"/>
          <w:spacing w:val="-9"/>
        </w:rPr>
        <w:t> </w:t>
      </w:r>
      <w:r>
        <w:rPr>
          <w:color w:val="231F20"/>
        </w:rPr>
        <w:t>(1998).</w:t>
      </w:r>
      <w:r>
        <w:rPr>
          <w:color w:val="231F20"/>
          <w:spacing w:val="-9"/>
        </w:rPr>
        <w:t> </w:t>
      </w:r>
      <w:r>
        <w:rPr>
          <w:color w:val="231F20"/>
        </w:rPr>
        <w:t>“Steady-state</w:t>
      </w:r>
      <w:r>
        <w:rPr>
          <w:color w:val="231F20"/>
          <w:spacing w:val="-1"/>
        </w:rPr>
        <w:t> </w:t>
      </w:r>
      <w:r>
        <w:rPr>
          <w:color w:val="231F20"/>
        </w:rPr>
        <w:t>economics:</w:t>
      </w:r>
      <w:r>
        <w:rPr>
          <w:color w:val="231F20"/>
          <w:spacing w:val="-1"/>
        </w:rPr>
        <w:t> </w:t>
      </w:r>
      <w:r>
        <w:rPr>
          <w:color w:val="231F20"/>
        </w:rPr>
        <w:t>concepts,</w:t>
      </w:r>
      <w:r>
        <w:rPr>
          <w:color w:val="231F20"/>
          <w:spacing w:val="-9"/>
        </w:rPr>
        <w:t> </w:t>
      </w:r>
      <w:r>
        <w:rPr>
          <w:color w:val="231F20"/>
        </w:rPr>
        <w:t>questions,</w:t>
      </w:r>
      <w:r>
        <w:rPr>
          <w:color w:val="231F20"/>
          <w:spacing w:val="-9"/>
        </w:rPr>
        <w:t> </w:t>
      </w:r>
      <w:r>
        <w:rPr>
          <w:color w:val="231F20"/>
        </w:rPr>
        <w:t>policies” en:  </w:t>
      </w:r>
      <w:r>
        <w:rPr>
          <w:i/>
          <w:color w:val="231F20"/>
        </w:rPr>
        <w:t>Ecological Economics</w:t>
      </w:r>
      <w:r>
        <w:rPr>
          <w:color w:val="231F20"/>
        </w:rPr>
        <w:t>(6),</w:t>
      </w:r>
      <w:r>
        <w:rPr>
          <w:color w:val="231F20"/>
          <w:spacing w:val="25"/>
        </w:rPr>
        <w:t> </w:t>
      </w:r>
      <w:r>
        <w:rPr>
          <w:color w:val="231F20"/>
        </w:rPr>
        <w:t>333-338.</w:t>
      </w:r>
    </w:p>
    <w:p>
      <w:pPr>
        <w:spacing w:after="0" w:line="259" w:lineRule="auto"/>
        <w:jc w:val="both"/>
        <w:sectPr>
          <w:pgSz w:w="9640" w:h="13890"/>
          <w:pgMar w:top="0" w:bottom="280" w:left="1300" w:right="1180"/>
        </w:sectPr>
      </w:pPr>
    </w:p>
    <w:p>
      <w:pPr>
        <w:spacing w:line="259" w:lineRule="auto" w:before="120"/>
        <w:ind w:left="841" w:right="115" w:hanging="738"/>
        <w:jc w:val="both"/>
        <w:rPr>
          <w:sz w:val="21"/>
        </w:rPr>
      </w:pPr>
      <w:r>
        <w:rPr>
          <w:color w:val="231F20"/>
          <w:w w:val="105"/>
          <w:sz w:val="21"/>
        </w:rPr>
        <w:t>Elkington,</w:t>
      </w:r>
      <w:r>
        <w:rPr>
          <w:color w:val="231F20"/>
          <w:spacing w:val="-35"/>
          <w:w w:val="105"/>
          <w:sz w:val="21"/>
        </w:rPr>
        <w:t> </w:t>
      </w:r>
      <w:r>
        <w:rPr>
          <w:color w:val="231F20"/>
          <w:w w:val="105"/>
          <w:sz w:val="21"/>
        </w:rPr>
        <w:t>J.</w:t>
      </w:r>
      <w:r>
        <w:rPr>
          <w:color w:val="231F20"/>
          <w:spacing w:val="-33"/>
          <w:w w:val="105"/>
          <w:sz w:val="21"/>
        </w:rPr>
        <w:t> </w:t>
      </w:r>
      <w:r>
        <w:rPr>
          <w:color w:val="231F20"/>
          <w:w w:val="105"/>
          <w:sz w:val="21"/>
        </w:rPr>
        <w:t>(1997).</w:t>
      </w:r>
      <w:r>
        <w:rPr>
          <w:color w:val="231F20"/>
          <w:spacing w:val="-33"/>
          <w:w w:val="105"/>
          <w:sz w:val="21"/>
        </w:rPr>
        <w:t> </w:t>
      </w:r>
      <w:r>
        <w:rPr>
          <w:i/>
          <w:color w:val="231F20"/>
          <w:w w:val="105"/>
          <w:sz w:val="21"/>
        </w:rPr>
        <w:t>Cannibals</w:t>
      </w:r>
      <w:r>
        <w:rPr>
          <w:i/>
          <w:color w:val="231F20"/>
          <w:spacing w:val="-28"/>
          <w:w w:val="105"/>
          <w:sz w:val="21"/>
        </w:rPr>
        <w:t> </w:t>
      </w:r>
      <w:r>
        <w:rPr>
          <w:i/>
          <w:color w:val="231F20"/>
          <w:w w:val="105"/>
          <w:sz w:val="21"/>
        </w:rPr>
        <w:t>with</w:t>
      </w:r>
      <w:r>
        <w:rPr>
          <w:i/>
          <w:color w:val="231F20"/>
          <w:spacing w:val="-28"/>
          <w:w w:val="105"/>
          <w:sz w:val="21"/>
        </w:rPr>
        <w:t> </w:t>
      </w:r>
      <w:r>
        <w:rPr>
          <w:i/>
          <w:color w:val="231F20"/>
          <w:w w:val="105"/>
          <w:sz w:val="21"/>
        </w:rPr>
        <w:t>forks:</w:t>
      </w:r>
      <w:r>
        <w:rPr>
          <w:i/>
          <w:color w:val="231F20"/>
          <w:spacing w:val="-28"/>
          <w:w w:val="105"/>
          <w:sz w:val="21"/>
        </w:rPr>
        <w:t> </w:t>
      </w:r>
      <w:r>
        <w:rPr>
          <w:i/>
          <w:color w:val="231F20"/>
          <w:w w:val="105"/>
          <w:sz w:val="21"/>
        </w:rPr>
        <w:t>the</w:t>
      </w:r>
      <w:r>
        <w:rPr>
          <w:i/>
          <w:color w:val="231F20"/>
          <w:spacing w:val="-28"/>
          <w:w w:val="105"/>
          <w:sz w:val="21"/>
        </w:rPr>
        <w:t> </w:t>
      </w:r>
      <w:r>
        <w:rPr>
          <w:i/>
          <w:color w:val="231F20"/>
          <w:w w:val="105"/>
          <w:sz w:val="21"/>
        </w:rPr>
        <w:t>triple</w:t>
      </w:r>
      <w:r>
        <w:rPr>
          <w:i/>
          <w:color w:val="231F20"/>
          <w:spacing w:val="-28"/>
          <w:w w:val="105"/>
          <w:sz w:val="21"/>
        </w:rPr>
        <w:t> </w:t>
      </w:r>
      <w:r>
        <w:rPr>
          <w:i/>
          <w:color w:val="231F20"/>
          <w:w w:val="105"/>
          <w:sz w:val="21"/>
        </w:rPr>
        <w:t>botton</w:t>
      </w:r>
      <w:r>
        <w:rPr>
          <w:i/>
          <w:color w:val="231F20"/>
          <w:spacing w:val="-28"/>
          <w:w w:val="105"/>
          <w:sz w:val="21"/>
        </w:rPr>
        <w:t> </w:t>
      </w:r>
      <w:r>
        <w:rPr>
          <w:i/>
          <w:color w:val="231F20"/>
          <w:w w:val="105"/>
          <w:sz w:val="21"/>
        </w:rPr>
        <w:t>line</w:t>
      </w:r>
      <w:r>
        <w:rPr>
          <w:i/>
          <w:color w:val="231F20"/>
          <w:spacing w:val="-28"/>
          <w:w w:val="105"/>
          <w:sz w:val="21"/>
        </w:rPr>
        <w:t> </w:t>
      </w:r>
      <w:r>
        <w:rPr>
          <w:i/>
          <w:color w:val="231F20"/>
          <w:w w:val="105"/>
          <w:sz w:val="21"/>
        </w:rPr>
        <w:t>of</w:t>
      </w:r>
      <w:r>
        <w:rPr>
          <w:i/>
          <w:color w:val="231F20"/>
          <w:spacing w:val="-24"/>
          <w:w w:val="105"/>
          <w:sz w:val="21"/>
        </w:rPr>
        <w:t> </w:t>
      </w:r>
      <w:r>
        <w:rPr>
          <w:i/>
          <w:color w:val="231F20"/>
          <w:w w:val="105"/>
          <w:sz w:val="21"/>
        </w:rPr>
        <w:t>21st</w:t>
      </w:r>
      <w:r>
        <w:rPr>
          <w:i/>
          <w:color w:val="231F20"/>
          <w:spacing w:val="-28"/>
          <w:w w:val="105"/>
          <w:sz w:val="21"/>
        </w:rPr>
        <w:t> </w:t>
      </w:r>
      <w:r>
        <w:rPr>
          <w:i/>
          <w:color w:val="231F20"/>
          <w:w w:val="105"/>
          <w:sz w:val="21"/>
        </w:rPr>
        <w:t>cen- </w:t>
      </w:r>
      <w:r>
        <w:rPr>
          <w:i/>
          <w:color w:val="231F20"/>
          <w:w w:val="105"/>
          <w:sz w:val="21"/>
        </w:rPr>
        <w:t>tury</w:t>
      </w:r>
      <w:r>
        <w:rPr>
          <w:i/>
          <w:color w:val="231F20"/>
          <w:spacing w:val="-28"/>
          <w:w w:val="105"/>
          <w:sz w:val="21"/>
        </w:rPr>
        <w:t> </w:t>
      </w:r>
      <w:r>
        <w:rPr>
          <w:i/>
          <w:color w:val="231F20"/>
          <w:w w:val="105"/>
          <w:sz w:val="21"/>
        </w:rPr>
        <w:t>business.</w:t>
      </w:r>
      <w:r>
        <w:rPr>
          <w:i/>
          <w:color w:val="231F20"/>
          <w:spacing w:val="-28"/>
          <w:w w:val="105"/>
          <w:sz w:val="21"/>
        </w:rPr>
        <w:t> </w:t>
      </w:r>
      <w:r>
        <w:rPr>
          <w:color w:val="231F20"/>
          <w:w w:val="105"/>
          <w:sz w:val="21"/>
        </w:rPr>
        <w:t>Oxford:</w:t>
      </w:r>
      <w:r>
        <w:rPr>
          <w:color w:val="231F20"/>
          <w:spacing w:val="-28"/>
          <w:w w:val="105"/>
          <w:sz w:val="21"/>
        </w:rPr>
        <w:t> </w:t>
      </w:r>
      <w:r>
        <w:rPr>
          <w:color w:val="231F20"/>
          <w:w w:val="105"/>
          <w:sz w:val="21"/>
        </w:rPr>
        <w:t>Capstone</w:t>
      </w:r>
      <w:r>
        <w:rPr>
          <w:color w:val="231F20"/>
          <w:spacing w:val="-28"/>
          <w:w w:val="105"/>
          <w:sz w:val="21"/>
        </w:rPr>
        <w:t> </w:t>
      </w:r>
      <w:r>
        <w:rPr>
          <w:color w:val="231F20"/>
          <w:w w:val="105"/>
          <w:sz w:val="21"/>
        </w:rPr>
        <w:t>Publishing</w:t>
      </w:r>
      <w:r>
        <w:rPr>
          <w:color w:val="231F20"/>
          <w:spacing w:val="-28"/>
          <w:w w:val="105"/>
          <w:sz w:val="21"/>
        </w:rPr>
        <w:t> </w:t>
      </w:r>
      <w:r>
        <w:rPr>
          <w:color w:val="231F20"/>
          <w:w w:val="105"/>
          <w:sz w:val="21"/>
        </w:rPr>
        <w:t>Ltd.</w:t>
      </w:r>
    </w:p>
    <w:p>
      <w:pPr>
        <w:spacing w:line="259" w:lineRule="auto" w:before="0"/>
        <w:ind w:left="840" w:right="115" w:hanging="737"/>
        <w:jc w:val="both"/>
        <w:rPr>
          <w:sz w:val="21"/>
        </w:rPr>
      </w:pPr>
      <w:r>
        <w:rPr>
          <w:color w:val="231F20"/>
          <w:sz w:val="21"/>
        </w:rPr>
        <w:t>Emerton, L., Bishop, J. y Thomas, L. (2006). </w:t>
      </w:r>
      <w:r>
        <w:rPr>
          <w:i/>
          <w:color w:val="231F20"/>
          <w:sz w:val="21"/>
        </w:rPr>
        <w:t>Sustainable financing of pro- </w:t>
      </w:r>
      <w:r>
        <w:rPr>
          <w:i/>
          <w:color w:val="231F20"/>
          <w:sz w:val="21"/>
        </w:rPr>
        <w:t>tected areas </w:t>
      </w:r>
      <w:r>
        <w:rPr>
          <w:color w:val="231F20"/>
          <w:sz w:val="21"/>
        </w:rPr>
        <w:t>Vol. Best Practice Protected Area Guidelines Series No. 13. Gland, Switzerland: World Commission on Protected Ar- eas.</w:t>
      </w:r>
    </w:p>
    <w:p>
      <w:pPr>
        <w:spacing w:line="259" w:lineRule="auto" w:before="0"/>
        <w:ind w:left="840" w:right="115" w:hanging="737"/>
        <w:jc w:val="both"/>
        <w:rPr>
          <w:sz w:val="21"/>
        </w:rPr>
      </w:pPr>
      <w:r>
        <w:rPr>
          <w:color w:val="231F20"/>
          <w:sz w:val="21"/>
        </w:rPr>
        <w:t>García-Hernández, </w:t>
      </w:r>
      <w:r>
        <w:rPr>
          <w:color w:val="231F20"/>
          <w:spacing w:val="-16"/>
          <w:sz w:val="21"/>
        </w:rPr>
        <w:t>P. </w:t>
      </w:r>
      <w:r>
        <w:rPr>
          <w:color w:val="231F20"/>
          <w:sz w:val="21"/>
        </w:rPr>
        <w:t>(2013). </w:t>
      </w:r>
      <w:r>
        <w:rPr>
          <w:i/>
          <w:color w:val="231F20"/>
          <w:sz w:val="21"/>
        </w:rPr>
        <w:t>Modelo de sustentabilidad organizacional  </w:t>
      </w:r>
      <w:r>
        <w:rPr>
          <w:i/>
          <w:color w:val="231F20"/>
          <w:sz w:val="21"/>
        </w:rPr>
        <w:t>en instituciones públicas de educación superior</w:t>
      </w:r>
      <w:r>
        <w:rPr>
          <w:color w:val="231F20"/>
          <w:sz w:val="21"/>
        </w:rPr>
        <w:t>. Caso de estudio UAEMex 2012. </w:t>
      </w:r>
      <w:r>
        <w:rPr>
          <w:color w:val="231F20"/>
          <w:spacing w:val="-5"/>
          <w:sz w:val="21"/>
        </w:rPr>
        <w:t>Tesis </w:t>
      </w:r>
      <w:r>
        <w:rPr>
          <w:color w:val="231F20"/>
          <w:sz w:val="21"/>
        </w:rPr>
        <w:t>doctoral. Universidad Autónoma del Estado de</w:t>
      </w:r>
      <w:r>
        <w:rPr>
          <w:color w:val="231F20"/>
          <w:spacing w:val="34"/>
          <w:sz w:val="21"/>
        </w:rPr>
        <w:t> </w:t>
      </w:r>
      <w:r>
        <w:rPr>
          <w:color w:val="231F20"/>
          <w:sz w:val="21"/>
        </w:rPr>
        <w:t>México.</w:t>
      </w:r>
    </w:p>
    <w:p>
      <w:pPr>
        <w:spacing w:line="259" w:lineRule="auto" w:before="0"/>
        <w:ind w:left="840" w:right="115" w:hanging="738"/>
        <w:jc w:val="both"/>
        <w:rPr>
          <w:sz w:val="21"/>
        </w:rPr>
      </w:pPr>
      <w:r>
        <w:rPr>
          <w:color w:val="231F20"/>
          <w:sz w:val="21"/>
        </w:rPr>
        <w:t>Grant, R.M. (1991). </w:t>
      </w:r>
      <w:r>
        <w:rPr>
          <w:i/>
          <w:color w:val="231F20"/>
          <w:sz w:val="21"/>
        </w:rPr>
        <w:t>The resource-based theory of competitive advantage</w:t>
      </w:r>
      <w:r>
        <w:rPr>
          <w:color w:val="231F20"/>
          <w:sz w:val="21"/>
        </w:rPr>
        <w:t>: </w:t>
      </w:r>
      <w:r>
        <w:rPr>
          <w:i/>
          <w:color w:val="231F20"/>
          <w:sz w:val="21"/>
        </w:rPr>
        <w:t>Implications for strategy formulation. </w:t>
      </w:r>
      <w:r>
        <w:rPr>
          <w:color w:val="231F20"/>
          <w:sz w:val="21"/>
        </w:rPr>
        <w:t>California Management Re- view, 33(3): 114-135.</w:t>
      </w:r>
    </w:p>
    <w:p>
      <w:pPr>
        <w:pStyle w:val="BodyText"/>
        <w:spacing w:line="259" w:lineRule="auto"/>
        <w:ind w:left="840" w:right="115" w:hanging="738"/>
        <w:jc w:val="both"/>
      </w:pPr>
      <w:r>
        <w:rPr>
          <w:color w:val="231F20"/>
          <w:w w:val="105"/>
        </w:rPr>
        <w:t>Guzmán,</w:t>
      </w:r>
      <w:r>
        <w:rPr>
          <w:color w:val="231F20"/>
          <w:spacing w:val="-32"/>
          <w:w w:val="105"/>
        </w:rPr>
        <w:t> </w:t>
      </w:r>
      <w:r>
        <w:rPr>
          <w:color w:val="231F20"/>
          <w:w w:val="105"/>
        </w:rPr>
        <w:t>M.</w:t>
      </w:r>
      <w:r>
        <w:rPr>
          <w:color w:val="231F20"/>
          <w:spacing w:val="-32"/>
          <w:w w:val="105"/>
        </w:rPr>
        <w:t> </w:t>
      </w:r>
      <w:r>
        <w:rPr>
          <w:color w:val="231F20"/>
          <w:spacing w:val="-11"/>
          <w:w w:val="105"/>
        </w:rPr>
        <w:t>P.,</w:t>
      </w:r>
      <w:r>
        <w:rPr>
          <w:color w:val="231F20"/>
          <w:spacing w:val="-32"/>
          <w:w w:val="105"/>
        </w:rPr>
        <w:t> </w:t>
      </w:r>
      <w:r>
        <w:rPr>
          <w:color w:val="231F20"/>
          <w:w w:val="105"/>
        </w:rPr>
        <w:t>San</w:t>
      </w:r>
      <w:r>
        <w:rPr>
          <w:color w:val="231F20"/>
          <w:spacing w:val="-28"/>
          <w:w w:val="105"/>
        </w:rPr>
        <w:t> </w:t>
      </w:r>
      <w:r>
        <w:rPr>
          <w:color w:val="231F20"/>
          <w:w w:val="105"/>
        </w:rPr>
        <w:t>Martín,</w:t>
      </w:r>
      <w:r>
        <w:rPr>
          <w:color w:val="231F20"/>
          <w:spacing w:val="-32"/>
          <w:w w:val="105"/>
        </w:rPr>
        <w:t> </w:t>
      </w:r>
      <w:r>
        <w:rPr>
          <w:color w:val="231F20"/>
          <w:spacing w:val="-11"/>
          <w:w w:val="105"/>
        </w:rPr>
        <w:t>F.</w:t>
      </w:r>
      <w:r>
        <w:rPr>
          <w:color w:val="231F20"/>
          <w:spacing w:val="-32"/>
          <w:w w:val="105"/>
        </w:rPr>
        <w:t> </w:t>
      </w:r>
      <w:r>
        <w:rPr>
          <w:color w:val="231F20"/>
          <w:w w:val="105"/>
        </w:rPr>
        <w:t>y</w:t>
      </w:r>
      <w:r>
        <w:rPr>
          <w:color w:val="231F20"/>
          <w:spacing w:val="-28"/>
          <w:w w:val="105"/>
        </w:rPr>
        <w:t> </w:t>
      </w:r>
      <w:r>
        <w:rPr>
          <w:color w:val="231F20"/>
          <w:w w:val="105"/>
        </w:rPr>
        <w:t>Barber,</w:t>
      </w:r>
      <w:r>
        <w:rPr>
          <w:color w:val="231F20"/>
          <w:spacing w:val="-32"/>
          <w:w w:val="105"/>
        </w:rPr>
        <w:t> </w:t>
      </w:r>
      <w:r>
        <w:rPr>
          <w:color w:val="231F20"/>
          <w:w w:val="105"/>
        </w:rPr>
        <w:t>C.</w:t>
      </w:r>
      <w:r>
        <w:rPr>
          <w:color w:val="231F20"/>
          <w:spacing w:val="-32"/>
          <w:w w:val="105"/>
        </w:rPr>
        <w:t> </w:t>
      </w:r>
      <w:r>
        <w:rPr>
          <w:color w:val="231F20"/>
          <w:w w:val="105"/>
        </w:rPr>
        <w:t>M.</w:t>
      </w:r>
      <w:r>
        <w:rPr>
          <w:color w:val="231F20"/>
          <w:spacing w:val="-32"/>
          <w:w w:val="105"/>
        </w:rPr>
        <w:t> </w:t>
      </w:r>
      <w:r>
        <w:rPr>
          <w:color w:val="231F20"/>
          <w:w w:val="105"/>
        </w:rPr>
        <w:t>(2010).</w:t>
      </w:r>
      <w:r>
        <w:rPr>
          <w:color w:val="231F20"/>
          <w:spacing w:val="-32"/>
          <w:w w:val="105"/>
        </w:rPr>
        <w:t> </w:t>
      </w:r>
      <w:r>
        <w:rPr>
          <w:color w:val="231F20"/>
          <w:w w:val="105"/>
        </w:rPr>
        <w:t>El</w:t>
      </w:r>
      <w:r>
        <w:rPr>
          <w:color w:val="231F20"/>
          <w:spacing w:val="-28"/>
          <w:w w:val="105"/>
        </w:rPr>
        <w:t> </w:t>
      </w:r>
      <w:r>
        <w:rPr>
          <w:color w:val="231F20"/>
          <w:w w:val="105"/>
        </w:rPr>
        <w:t>desarrollo</w:t>
      </w:r>
      <w:r>
        <w:rPr>
          <w:color w:val="231F20"/>
          <w:spacing w:val="-28"/>
          <w:w w:val="105"/>
        </w:rPr>
        <w:t> </w:t>
      </w:r>
      <w:r>
        <w:rPr>
          <w:color w:val="231F20"/>
          <w:w w:val="105"/>
        </w:rPr>
        <w:t>susten- table. Modelo de conciliación entre el progreso económico, la justicia social y la preservación del medio ambiente. </w:t>
      </w:r>
      <w:r>
        <w:rPr>
          <w:i/>
          <w:color w:val="231F20"/>
          <w:w w:val="105"/>
        </w:rPr>
        <w:t>Gestión y </w:t>
      </w:r>
      <w:r>
        <w:rPr>
          <w:i/>
          <w:color w:val="231F20"/>
          <w:w w:val="105"/>
        </w:rPr>
        <w:t>Estrategia,</w:t>
      </w:r>
      <w:r>
        <w:rPr>
          <w:i/>
          <w:color w:val="231F20"/>
          <w:spacing w:val="-30"/>
          <w:w w:val="105"/>
        </w:rPr>
        <w:t> </w:t>
      </w:r>
      <w:r>
        <w:rPr>
          <w:color w:val="231F20"/>
          <w:w w:val="105"/>
        </w:rPr>
        <w:t>enero</w:t>
      </w:r>
      <w:r>
        <w:rPr>
          <w:color w:val="231F20"/>
          <w:spacing w:val="-25"/>
          <w:w w:val="105"/>
        </w:rPr>
        <w:t> </w:t>
      </w:r>
      <w:r>
        <w:rPr>
          <w:color w:val="231F20"/>
          <w:w w:val="105"/>
        </w:rPr>
        <w:t>-</w:t>
      </w:r>
      <w:r>
        <w:rPr>
          <w:color w:val="231F20"/>
          <w:spacing w:val="-25"/>
          <w:w w:val="105"/>
        </w:rPr>
        <w:t> </w:t>
      </w:r>
      <w:r>
        <w:rPr>
          <w:color w:val="231F20"/>
          <w:w w:val="105"/>
        </w:rPr>
        <w:t>junio,</w:t>
      </w:r>
      <w:r>
        <w:rPr>
          <w:color w:val="231F20"/>
          <w:spacing w:val="-30"/>
          <w:w w:val="105"/>
        </w:rPr>
        <w:t> </w:t>
      </w:r>
      <w:r>
        <w:rPr>
          <w:color w:val="231F20"/>
          <w:w w:val="105"/>
        </w:rPr>
        <w:t>núm.</w:t>
      </w:r>
      <w:r>
        <w:rPr>
          <w:color w:val="231F20"/>
          <w:spacing w:val="-30"/>
          <w:w w:val="105"/>
        </w:rPr>
        <w:t> </w:t>
      </w:r>
      <w:r>
        <w:rPr>
          <w:color w:val="231F20"/>
          <w:w w:val="105"/>
        </w:rPr>
        <w:t>37:</w:t>
      </w:r>
      <w:r>
        <w:rPr>
          <w:color w:val="231F20"/>
          <w:spacing w:val="-25"/>
          <w:w w:val="105"/>
        </w:rPr>
        <w:t> </w:t>
      </w:r>
      <w:r>
        <w:rPr>
          <w:color w:val="231F20"/>
          <w:w w:val="105"/>
        </w:rPr>
        <w:t>17-31.</w:t>
      </w:r>
    </w:p>
    <w:p>
      <w:pPr>
        <w:spacing w:line="259" w:lineRule="auto" w:before="0"/>
        <w:ind w:left="840" w:right="115" w:hanging="738"/>
        <w:jc w:val="both"/>
        <w:rPr>
          <w:sz w:val="21"/>
        </w:rPr>
      </w:pPr>
      <w:r>
        <w:rPr>
          <w:color w:val="231F20"/>
          <w:sz w:val="21"/>
        </w:rPr>
        <w:t>Hannan, M. T. y Freeman, J. (1977). “The population ecology of organiza- tions”.  </w:t>
      </w:r>
      <w:r>
        <w:rPr>
          <w:i/>
          <w:color w:val="231F20"/>
          <w:sz w:val="21"/>
        </w:rPr>
        <w:t>American Journal of Sociology, </w:t>
      </w:r>
      <w:r>
        <w:rPr>
          <w:color w:val="231F20"/>
          <w:sz w:val="21"/>
        </w:rPr>
        <w:t>82(5):  929-961.</w:t>
      </w:r>
    </w:p>
    <w:p>
      <w:pPr>
        <w:pStyle w:val="BodyText"/>
        <w:spacing w:line="259" w:lineRule="auto"/>
        <w:ind w:left="840" w:right="115" w:hanging="738"/>
        <w:jc w:val="both"/>
      </w:pPr>
      <w:r>
        <w:rPr>
          <w:color w:val="231F20"/>
          <w:w w:val="105"/>
        </w:rPr>
        <w:t>Heemskerk,</w:t>
      </w:r>
      <w:r>
        <w:rPr>
          <w:color w:val="231F20"/>
          <w:spacing w:val="-18"/>
          <w:w w:val="105"/>
        </w:rPr>
        <w:t> </w:t>
      </w:r>
      <w:r>
        <w:rPr>
          <w:color w:val="231F20"/>
          <w:w w:val="105"/>
        </w:rPr>
        <w:t>M.</w:t>
      </w:r>
      <w:r>
        <w:rPr>
          <w:color w:val="231F20"/>
          <w:spacing w:val="-18"/>
          <w:w w:val="105"/>
        </w:rPr>
        <w:t> </w:t>
      </w:r>
      <w:r>
        <w:rPr>
          <w:color w:val="231F20"/>
          <w:w w:val="105"/>
        </w:rPr>
        <w:t>(2005).</w:t>
      </w:r>
      <w:r>
        <w:rPr>
          <w:color w:val="231F20"/>
          <w:spacing w:val="-18"/>
          <w:w w:val="105"/>
        </w:rPr>
        <w:t> </w:t>
      </w:r>
      <w:r>
        <w:rPr>
          <w:color w:val="231F20"/>
          <w:w w:val="105"/>
        </w:rPr>
        <w:t>Collecting</w:t>
      </w:r>
      <w:r>
        <w:rPr>
          <w:color w:val="231F20"/>
          <w:spacing w:val="-14"/>
          <w:w w:val="105"/>
        </w:rPr>
        <w:t> </w:t>
      </w:r>
      <w:r>
        <w:rPr>
          <w:color w:val="231F20"/>
          <w:w w:val="105"/>
        </w:rPr>
        <w:t>data</w:t>
      </w:r>
      <w:r>
        <w:rPr>
          <w:color w:val="231F20"/>
          <w:spacing w:val="-14"/>
          <w:w w:val="105"/>
        </w:rPr>
        <w:t> </w:t>
      </w:r>
      <w:r>
        <w:rPr>
          <w:color w:val="231F20"/>
          <w:w w:val="105"/>
        </w:rPr>
        <w:t>in</w:t>
      </w:r>
      <w:r>
        <w:rPr>
          <w:color w:val="231F20"/>
          <w:spacing w:val="-14"/>
          <w:w w:val="105"/>
        </w:rPr>
        <w:t> </w:t>
      </w:r>
      <w:r>
        <w:rPr>
          <w:color w:val="231F20"/>
          <w:w w:val="105"/>
        </w:rPr>
        <w:t>artesanal</w:t>
      </w:r>
      <w:r>
        <w:rPr>
          <w:color w:val="231F20"/>
          <w:spacing w:val="-14"/>
          <w:w w:val="105"/>
        </w:rPr>
        <w:t> </w:t>
      </w:r>
      <w:r>
        <w:rPr>
          <w:color w:val="231F20"/>
          <w:w w:val="105"/>
        </w:rPr>
        <w:t>and</w:t>
      </w:r>
      <w:r>
        <w:rPr>
          <w:color w:val="231F20"/>
          <w:spacing w:val="-14"/>
          <w:w w:val="105"/>
        </w:rPr>
        <w:t> </w:t>
      </w:r>
      <w:r>
        <w:rPr>
          <w:color w:val="231F20"/>
          <w:w w:val="105"/>
        </w:rPr>
        <w:t>small-scale</w:t>
      </w:r>
      <w:r>
        <w:rPr>
          <w:color w:val="231F20"/>
          <w:spacing w:val="-14"/>
          <w:w w:val="105"/>
        </w:rPr>
        <w:t> </w:t>
      </w:r>
      <w:r>
        <w:rPr>
          <w:color w:val="231F20"/>
          <w:w w:val="105"/>
        </w:rPr>
        <w:t>min- ing communities: Measuring progress toward more sustainable livelihoods.</w:t>
      </w:r>
      <w:r>
        <w:rPr>
          <w:color w:val="231F20"/>
          <w:spacing w:val="-42"/>
          <w:w w:val="105"/>
        </w:rPr>
        <w:t> </w:t>
      </w:r>
      <w:r>
        <w:rPr>
          <w:i/>
          <w:color w:val="231F20"/>
          <w:w w:val="105"/>
        </w:rPr>
        <w:t>Natural</w:t>
      </w:r>
      <w:r>
        <w:rPr>
          <w:i/>
          <w:color w:val="231F20"/>
          <w:spacing w:val="-38"/>
          <w:w w:val="105"/>
        </w:rPr>
        <w:t> </w:t>
      </w:r>
      <w:r>
        <w:rPr>
          <w:i/>
          <w:color w:val="231F20"/>
          <w:w w:val="105"/>
        </w:rPr>
        <w:t>Resources</w:t>
      </w:r>
      <w:r>
        <w:rPr>
          <w:i/>
          <w:color w:val="231F20"/>
          <w:spacing w:val="-38"/>
          <w:w w:val="105"/>
        </w:rPr>
        <w:t> </w:t>
      </w:r>
      <w:r>
        <w:rPr>
          <w:i/>
          <w:color w:val="231F20"/>
          <w:w w:val="105"/>
        </w:rPr>
        <w:t>Forum.</w:t>
      </w:r>
      <w:r>
        <w:rPr>
          <w:i/>
          <w:color w:val="231F20"/>
          <w:spacing w:val="-42"/>
          <w:w w:val="105"/>
        </w:rPr>
        <w:t> </w:t>
      </w:r>
      <w:r>
        <w:rPr>
          <w:color w:val="231F20"/>
          <w:w w:val="105"/>
        </w:rPr>
        <w:t>Núm.</w:t>
      </w:r>
      <w:r>
        <w:rPr>
          <w:color w:val="231F20"/>
          <w:spacing w:val="-42"/>
          <w:w w:val="105"/>
        </w:rPr>
        <w:t> </w:t>
      </w:r>
      <w:r>
        <w:rPr>
          <w:color w:val="231F20"/>
          <w:w w:val="105"/>
        </w:rPr>
        <w:t>29:</w:t>
      </w:r>
      <w:r>
        <w:rPr>
          <w:color w:val="231F20"/>
          <w:spacing w:val="-38"/>
          <w:w w:val="105"/>
        </w:rPr>
        <w:t> </w:t>
      </w:r>
      <w:r>
        <w:rPr>
          <w:color w:val="231F20"/>
          <w:w w:val="105"/>
        </w:rPr>
        <w:t>82-87.</w:t>
      </w:r>
    </w:p>
    <w:p>
      <w:pPr>
        <w:pStyle w:val="BodyText"/>
        <w:spacing w:line="259" w:lineRule="auto"/>
        <w:ind w:left="840" w:right="115" w:hanging="738"/>
        <w:jc w:val="both"/>
      </w:pPr>
      <w:r>
        <w:rPr>
          <w:color w:val="231F20"/>
        </w:rPr>
        <w:t>Hillman, A.J., Withers, M.C. y Collins, B.J. (2009). “Resource</w:t>
      </w:r>
      <w:r>
        <w:rPr>
          <w:color w:val="231F20"/>
          <w:spacing w:val="-38"/>
        </w:rPr>
        <w:t> </w:t>
      </w:r>
      <w:r>
        <w:rPr>
          <w:color w:val="231F20"/>
        </w:rPr>
        <w:t>Development Theory: A </w:t>
      </w:r>
      <w:r>
        <w:rPr>
          <w:color w:val="231F20"/>
          <w:spacing w:val="-4"/>
        </w:rPr>
        <w:t>Review”. </w:t>
      </w:r>
      <w:r>
        <w:rPr>
          <w:i/>
          <w:color w:val="231F20"/>
        </w:rPr>
        <w:t>Journal of Managemente</w:t>
      </w:r>
      <w:r>
        <w:rPr>
          <w:color w:val="231F20"/>
        </w:rPr>
        <w:t>. 35(6): </w:t>
      </w:r>
      <w:r>
        <w:rPr>
          <w:color w:val="231F20"/>
          <w:spacing w:val="21"/>
        </w:rPr>
        <w:t> </w:t>
      </w:r>
      <w:r>
        <w:rPr>
          <w:color w:val="231F20"/>
        </w:rPr>
        <w:t>1404-1427.</w:t>
      </w:r>
    </w:p>
    <w:p>
      <w:pPr>
        <w:spacing w:line="259" w:lineRule="auto" w:before="0"/>
        <w:ind w:left="840" w:right="115" w:hanging="737"/>
        <w:jc w:val="both"/>
        <w:rPr>
          <w:sz w:val="21"/>
        </w:rPr>
      </w:pPr>
      <w:r>
        <w:rPr>
          <w:color w:val="231F20"/>
          <w:sz w:val="21"/>
        </w:rPr>
        <w:t>Jacobs, M. (1997). </w:t>
      </w:r>
      <w:r>
        <w:rPr>
          <w:i/>
          <w:color w:val="231F20"/>
          <w:sz w:val="21"/>
        </w:rPr>
        <w:t>La economía verde. Medio ambiente, desarrollo soste- </w:t>
      </w:r>
      <w:r>
        <w:rPr>
          <w:i/>
          <w:color w:val="231F20"/>
          <w:sz w:val="21"/>
        </w:rPr>
        <w:t>nible y la política del futuro</w:t>
      </w:r>
      <w:r>
        <w:rPr>
          <w:color w:val="231F20"/>
          <w:sz w:val="21"/>
        </w:rPr>
        <w:t>. 2ª ed. Barcelona: Economía  Crítica.</w:t>
      </w:r>
    </w:p>
    <w:p>
      <w:pPr>
        <w:spacing w:line="259" w:lineRule="auto" w:before="0"/>
        <w:ind w:left="840" w:right="115" w:hanging="738"/>
        <w:jc w:val="both"/>
        <w:rPr>
          <w:sz w:val="21"/>
        </w:rPr>
      </w:pPr>
      <w:r>
        <w:rPr>
          <w:color w:val="231F20"/>
          <w:sz w:val="21"/>
        </w:rPr>
        <w:t>Jones, G.R. (2013). </w:t>
      </w:r>
      <w:r>
        <w:rPr>
          <w:i/>
          <w:color w:val="231F20"/>
          <w:sz w:val="21"/>
        </w:rPr>
        <w:t>Teoría organizacional. Diseño y cambio en las organi- </w:t>
      </w:r>
      <w:r>
        <w:rPr>
          <w:i/>
          <w:color w:val="231F20"/>
          <w:sz w:val="21"/>
        </w:rPr>
        <w:t>zaciones. </w:t>
      </w:r>
      <w:r>
        <w:rPr>
          <w:color w:val="231F20"/>
          <w:sz w:val="21"/>
        </w:rPr>
        <w:t>7ª ed. México: Pearson.</w:t>
      </w:r>
    </w:p>
    <w:p>
      <w:pPr>
        <w:spacing w:line="259" w:lineRule="auto" w:before="0"/>
        <w:ind w:left="840" w:right="115" w:hanging="738"/>
        <w:jc w:val="both"/>
        <w:rPr>
          <w:sz w:val="21"/>
        </w:rPr>
      </w:pPr>
      <w:r>
        <w:rPr>
          <w:color w:val="231F20"/>
          <w:sz w:val="21"/>
        </w:rPr>
        <w:t>Katz,</w:t>
      </w:r>
      <w:r>
        <w:rPr>
          <w:color w:val="231F20"/>
          <w:spacing w:val="-18"/>
          <w:sz w:val="21"/>
        </w:rPr>
        <w:t> </w:t>
      </w:r>
      <w:r>
        <w:rPr>
          <w:color w:val="231F20"/>
          <w:spacing w:val="-6"/>
          <w:sz w:val="21"/>
        </w:rPr>
        <w:t>D.</w:t>
      </w:r>
      <w:r>
        <w:rPr>
          <w:color w:val="231F20"/>
          <w:spacing w:val="-18"/>
          <w:sz w:val="21"/>
        </w:rPr>
        <w:t> </w:t>
      </w:r>
      <w:r>
        <w:rPr>
          <w:color w:val="231F20"/>
          <w:sz w:val="21"/>
        </w:rPr>
        <w:t>y</w:t>
      </w:r>
      <w:r>
        <w:rPr>
          <w:color w:val="231F20"/>
          <w:spacing w:val="-12"/>
          <w:sz w:val="21"/>
        </w:rPr>
        <w:t> </w:t>
      </w:r>
      <w:r>
        <w:rPr>
          <w:color w:val="231F20"/>
          <w:sz w:val="21"/>
        </w:rPr>
        <w:t>Kahn,</w:t>
      </w:r>
      <w:r>
        <w:rPr>
          <w:color w:val="231F20"/>
          <w:spacing w:val="-18"/>
          <w:sz w:val="21"/>
        </w:rPr>
        <w:t> </w:t>
      </w:r>
      <w:r>
        <w:rPr>
          <w:color w:val="231F20"/>
          <w:sz w:val="21"/>
        </w:rPr>
        <w:t>R.L.</w:t>
      </w:r>
      <w:r>
        <w:rPr>
          <w:color w:val="231F20"/>
          <w:spacing w:val="-18"/>
          <w:sz w:val="21"/>
        </w:rPr>
        <w:t> </w:t>
      </w:r>
      <w:r>
        <w:rPr>
          <w:color w:val="231F20"/>
          <w:sz w:val="21"/>
        </w:rPr>
        <w:t>(1966).</w:t>
      </w:r>
      <w:r>
        <w:rPr>
          <w:color w:val="231F20"/>
          <w:spacing w:val="-18"/>
          <w:sz w:val="21"/>
        </w:rPr>
        <w:t> </w:t>
      </w:r>
      <w:r>
        <w:rPr>
          <w:i/>
          <w:color w:val="231F20"/>
          <w:sz w:val="21"/>
        </w:rPr>
        <w:t>The</w:t>
      </w:r>
      <w:r>
        <w:rPr>
          <w:i/>
          <w:color w:val="231F20"/>
          <w:spacing w:val="-12"/>
          <w:sz w:val="21"/>
        </w:rPr>
        <w:t> </w:t>
      </w:r>
      <w:r>
        <w:rPr>
          <w:i/>
          <w:color w:val="231F20"/>
          <w:sz w:val="21"/>
        </w:rPr>
        <w:t>social</w:t>
      </w:r>
      <w:r>
        <w:rPr>
          <w:i/>
          <w:color w:val="231F20"/>
          <w:spacing w:val="-12"/>
          <w:sz w:val="21"/>
        </w:rPr>
        <w:t> </w:t>
      </w:r>
      <w:r>
        <w:rPr>
          <w:i/>
          <w:color w:val="231F20"/>
          <w:sz w:val="21"/>
        </w:rPr>
        <w:t>psychology</w:t>
      </w:r>
      <w:r>
        <w:rPr>
          <w:i/>
          <w:color w:val="231F20"/>
          <w:spacing w:val="-12"/>
          <w:sz w:val="21"/>
        </w:rPr>
        <w:t> </w:t>
      </w:r>
      <w:r>
        <w:rPr>
          <w:i/>
          <w:color w:val="231F20"/>
          <w:sz w:val="21"/>
        </w:rPr>
        <w:t>of</w:t>
      </w:r>
      <w:r>
        <w:rPr>
          <w:i/>
          <w:color w:val="231F20"/>
          <w:spacing w:val="-7"/>
          <w:sz w:val="21"/>
        </w:rPr>
        <w:t> </w:t>
      </w:r>
      <w:r>
        <w:rPr>
          <w:i/>
          <w:color w:val="231F20"/>
          <w:sz w:val="21"/>
        </w:rPr>
        <w:t>organizations.</w:t>
      </w:r>
      <w:r>
        <w:rPr>
          <w:i/>
          <w:color w:val="231F20"/>
          <w:spacing w:val="-18"/>
          <w:sz w:val="21"/>
        </w:rPr>
        <w:t> </w:t>
      </w:r>
      <w:r>
        <w:rPr>
          <w:color w:val="231F20"/>
          <w:sz w:val="21"/>
        </w:rPr>
        <w:t>Nueva </w:t>
      </w:r>
      <w:r>
        <w:rPr>
          <w:color w:val="231F20"/>
          <w:spacing w:val="-4"/>
          <w:sz w:val="21"/>
        </w:rPr>
        <w:t>York:</w:t>
      </w:r>
      <w:r>
        <w:rPr>
          <w:color w:val="231F20"/>
          <w:spacing w:val="9"/>
          <w:sz w:val="21"/>
        </w:rPr>
        <w:t> </w:t>
      </w:r>
      <w:r>
        <w:rPr>
          <w:color w:val="231F20"/>
          <w:sz w:val="21"/>
        </w:rPr>
        <w:t>Wiley.</w:t>
      </w:r>
    </w:p>
    <w:p>
      <w:pPr>
        <w:pStyle w:val="BodyText"/>
        <w:spacing w:line="259" w:lineRule="auto"/>
        <w:ind w:left="840" w:right="115" w:hanging="738"/>
        <w:jc w:val="both"/>
      </w:pPr>
      <w:r>
        <w:rPr>
          <w:color w:val="231F20"/>
          <w:w w:val="105"/>
        </w:rPr>
        <w:t>Li,</w:t>
      </w:r>
      <w:r>
        <w:rPr>
          <w:color w:val="231F20"/>
          <w:spacing w:val="-15"/>
          <w:w w:val="105"/>
        </w:rPr>
        <w:t> </w:t>
      </w:r>
      <w:r>
        <w:rPr>
          <w:color w:val="231F20"/>
          <w:w w:val="105"/>
        </w:rPr>
        <w:t>X.</w:t>
      </w:r>
      <w:r>
        <w:rPr>
          <w:color w:val="231F20"/>
          <w:spacing w:val="-13"/>
          <w:w w:val="105"/>
        </w:rPr>
        <w:t> </w:t>
      </w:r>
      <w:r>
        <w:rPr>
          <w:color w:val="231F20"/>
          <w:w w:val="105"/>
        </w:rPr>
        <w:t>(2012).</w:t>
      </w:r>
      <w:r>
        <w:rPr>
          <w:color w:val="231F20"/>
          <w:spacing w:val="-13"/>
          <w:w w:val="105"/>
        </w:rPr>
        <w:t> </w:t>
      </w:r>
      <w:r>
        <w:rPr>
          <w:color w:val="231F20"/>
          <w:w w:val="105"/>
        </w:rPr>
        <w:t>“Turning</w:t>
      </w:r>
      <w:r>
        <w:rPr>
          <w:color w:val="231F20"/>
          <w:spacing w:val="-8"/>
          <w:w w:val="105"/>
        </w:rPr>
        <w:t> </w:t>
      </w:r>
      <w:r>
        <w:rPr>
          <w:color w:val="231F20"/>
          <w:w w:val="105"/>
        </w:rPr>
        <w:t>around</w:t>
      </w:r>
      <w:r>
        <w:rPr>
          <w:color w:val="231F20"/>
          <w:spacing w:val="-8"/>
          <w:w w:val="105"/>
        </w:rPr>
        <w:t> </w:t>
      </w:r>
      <w:r>
        <w:rPr>
          <w:color w:val="231F20"/>
          <w:w w:val="105"/>
        </w:rPr>
        <w:t>low-performing</w:t>
      </w:r>
      <w:r>
        <w:rPr>
          <w:color w:val="231F20"/>
          <w:spacing w:val="-8"/>
          <w:w w:val="105"/>
        </w:rPr>
        <w:t> </w:t>
      </w:r>
      <w:r>
        <w:rPr>
          <w:color w:val="231F20"/>
          <w:w w:val="105"/>
        </w:rPr>
        <w:t>private</w:t>
      </w:r>
      <w:r>
        <w:rPr>
          <w:color w:val="231F20"/>
          <w:spacing w:val="-8"/>
          <w:w w:val="105"/>
        </w:rPr>
        <w:t> </w:t>
      </w:r>
      <w:r>
        <w:rPr>
          <w:color w:val="231F20"/>
          <w:w w:val="105"/>
        </w:rPr>
        <w:t>universities</w:t>
      </w:r>
      <w:r>
        <w:rPr>
          <w:color w:val="231F20"/>
          <w:spacing w:val="-8"/>
          <w:w w:val="105"/>
        </w:rPr>
        <w:t> </w:t>
      </w:r>
      <w:r>
        <w:rPr>
          <w:color w:val="231F20"/>
          <w:w w:val="105"/>
        </w:rPr>
        <w:t>in</w:t>
      </w:r>
      <w:r>
        <w:rPr>
          <w:color w:val="231F20"/>
          <w:spacing w:val="-8"/>
          <w:w w:val="105"/>
        </w:rPr>
        <w:t> </w:t>
      </w:r>
      <w:r>
        <w:rPr>
          <w:color w:val="231F20"/>
          <w:w w:val="105"/>
        </w:rPr>
        <w:t>Chi- na:</w:t>
      </w:r>
      <w:r>
        <w:rPr>
          <w:color w:val="231F20"/>
          <w:spacing w:val="-30"/>
          <w:w w:val="105"/>
        </w:rPr>
        <w:t> </w:t>
      </w:r>
      <w:r>
        <w:rPr>
          <w:color w:val="231F20"/>
          <w:w w:val="105"/>
        </w:rPr>
        <w:t>A</w:t>
      </w:r>
      <w:r>
        <w:rPr>
          <w:color w:val="231F20"/>
          <w:spacing w:val="-30"/>
          <w:w w:val="105"/>
        </w:rPr>
        <w:t> </w:t>
      </w:r>
      <w:r>
        <w:rPr>
          <w:color w:val="231F20"/>
          <w:w w:val="105"/>
        </w:rPr>
        <w:t>perspective</w:t>
      </w:r>
      <w:r>
        <w:rPr>
          <w:color w:val="231F20"/>
          <w:spacing w:val="-27"/>
          <w:w w:val="105"/>
        </w:rPr>
        <w:t> </w:t>
      </w:r>
      <w:r>
        <w:rPr>
          <w:color w:val="231F20"/>
          <w:w w:val="105"/>
        </w:rPr>
        <w:t>of</w:t>
      </w:r>
      <w:r>
        <w:rPr>
          <w:color w:val="231F20"/>
          <w:spacing w:val="-24"/>
          <w:w w:val="105"/>
        </w:rPr>
        <w:t> </w:t>
      </w:r>
      <w:r>
        <w:rPr>
          <w:color w:val="231F20"/>
          <w:w w:val="105"/>
        </w:rPr>
        <w:t>organizational</w:t>
      </w:r>
      <w:r>
        <w:rPr>
          <w:color w:val="231F20"/>
          <w:spacing w:val="-27"/>
          <w:w w:val="105"/>
        </w:rPr>
        <w:t> </w:t>
      </w:r>
      <w:r>
        <w:rPr>
          <w:color w:val="231F20"/>
          <w:spacing w:val="-3"/>
          <w:w w:val="105"/>
        </w:rPr>
        <w:t>ecology”.</w:t>
      </w:r>
      <w:r>
        <w:rPr>
          <w:color w:val="231F20"/>
          <w:spacing w:val="-32"/>
          <w:w w:val="105"/>
        </w:rPr>
        <w:t> </w:t>
      </w:r>
      <w:r>
        <w:rPr>
          <w:i/>
          <w:color w:val="231F20"/>
          <w:w w:val="105"/>
        </w:rPr>
        <w:t>International</w:t>
      </w:r>
      <w:r>
        <w:rPr>
          <w:i/>
          <w:color w:val="231F20"/>
          <w:spacing w:val="-27"/>
          <w:w w:val="105"/>
        </w:rPr>
        <w:t> </w:t>
      </w:r>
      <w:r>
        <w:rPr>
          <w:i/>
          <w:color w:val="231F20"/>
          <w:w w:val="105"/>
        </w:rPr>
        <w:t>Review </w:t>
      </w:r>
      <w:r>
        <w:rPr>
          <w:i/>
          <w:color w:val="231F20"/>
          <w:w w:val="105"/>
        </w:rPr>
        <w:t>Education.</w:t>
      </w:r>
      <w:r>
        <w:rPr>
          <w:i/>
          <w:color w:val="231F20"/>
          <w:spacing w:val="-42"/>
          <w:w w:val="105"/>
        </w:rPr>
        <w:t> </w:t>
      </w:r>
      <w:r>
        <w:rPr>
          <w:color w:val="231F20"/>
          <w:w w:val="105"/>
        </w:rPr>
        <w:t>58:</w:t>
      </w:r>
      <w:r>
        <w:rPr>
          <w:color w:val="231F20"/>
          <w:spacing w:val="-38"/>
          <w:w w:val="105"/>
        </w:rPr>
        <w:t> </w:t>
      </w:r>
      <w:r>
        <w:rPr>
          <w:color w:val="231F20"/>
          <w:w w:val="105"/>
        </w:rPr>
        <w:t>735-758.</w:t>
      </w:r>
    </w:p>
    <w:p>
      <w:pPr>
        <w:spacing w:line="259" w:lineRule="auto" w:before="0"/>
        <w:ind w:left="840" w:right="115" w:hanging="737"/>
        <w:jc w:val="both"/>
        <w:rPr>
          <w:sz w:val="21"/>
        </w:rPr>
      </w:pPr>
      <w:r>
        <w:rPr>
          <w:color w:val="231F20"/>
          <w:w w:val="105"/>
          <w:sz w:val="21"/>
        </w:rPr>
        <w:t>McElroy,</w:t>
      </w:r>
      <w:r>
        <w:rPr>
          <w:color w:val="231F20"/>
          <w:spacing w:val="-27"/>
          <w:w w:val="105"/>
          <w:sz w:val="21"/>
        </w:rPr>
        <w:t> </w:t>
      </w:r>
      <w:r>
        <w:rPr>
          <w:color w:val="231F20"/>
          <w:w w:val="105"/>
          <w:sz w:val="21"/>
        </w:rPr>
        <w:t>M.</w:t>
      </w:r>
      <w:r>
        <w:rPr>
          <w:color w:val="231F20"/>
          <w:spacing w:val="-29"/>
          <w:w w:val="105"/>
          <w:sz w:val="21"/>
        </w:rPr>
        <w:t> </w:t>
      </w:r>
      <w:r>
        <w:rPr>
          <w:color w:val="231F20"/>
          <w:spacing w:val="-7"/>
          <w:w w:val="105"/>
          <w:sz w:val="21"/>
        </w:rPr>
        <w:t>W.</w:t>
      </w:r>
      <w:r>
        <w:rPr>
          <w:color w:val="231F20"/>
          <w:spacing w:val="-27"/>
          <w:w w:val="105"/>
          <w:sz w:val="21"/>
        </w:rPr>
        <w:t> </w:t>
      </w:r>
      <w:r>
        <w:rPr>
          <w:color w:val="231F20"/>
          <w:w w:val="105"/>
          <w:sz w:val="21"/>
        </w:rPr>
        <w:t>(2006).</w:t>
      </w:r>
      <w:r>
        <w:rPr>
          <w:color w:val="231F20"/>
          <w:spacing w:val="-28"/>
          <w:w w:val="105"/>
          <w:sz w:val="21"/>
        </w:rPr>
        <w:t> </w:t>
      </w:r>
      <w:r>
        <w:rPr>
          <w:i/>
          <w:color w:val="231F20"/>
          <w:w w:val="105"/>
          <w:sz w:val="21"/>
        </w:rPr>
        <w:t>The</w:t>
      </w:r>
      <w:r>
        <w:rPr>
          <w:i/>
          <w:color w:val="231F20"/>
          <w:spacing w:val="-23"/>
          <w:w w:val="105"/>
          <w:sz w:val="21"/>
        </w:rPr>
        <w:t> </w:t>
      </w:r>
      <w:r>
        <w:rPr>
          <w:i/>
          <w:color w:val="231F20"/>
          <w:w w:val="105"/>
          <w:sz w:val="21"/>
        </w:rPr>
        <w:t>sustainability</w:t>
      </w:r>
      <w:r>
        <w:rPr>
          <w:i/>
          <w:color w:val="231F20"/>
          <w:spacing w:val="-23"/>
          <w:w w:val="105"/>
          <w:sz w:val="21"/>
        </w:rPr>
        <w:t> </w:t>
      </w:r>
      <w:r>
        <w:rPr>
          <w:i/>
          <w:color w:val="231F20"/>
          <w:w w:val="105"/>
          <w:sz w:val="21"/>
        </w:rPr>
        <w:t>code.</w:t>
      </w:r>
      <w:r>
        <w:rPr>
          <w:i/>
          <w:color w:val="231F20"/>
          <w:spacing w:val="-30"/>
          <w:w w:val="105"/>
          <w:sz w:val="21"/>
        </w:rPr>
        <w:t> </w:t>
      </w:r>
      <w:r>
        <w:rPr>
          <w:i/>
          <w:color w:val="231F20"/>
          <w:w w:val="105"/>
          <w:sz w:val="21"/>
        </w:rPr>
        <w:t>A</w:t>
      </w:r>
      <w:r>
        <w:rPr>
          <w:i/>
          <w:color w:val="231F20"/>
          <w:spacing w:val="-26"/>
          <w:w w:val="105"/>
          <w:sz w:val="21"/>
        </w:rPr>
        <w:t> </w:t>
      </w:r>
      <w:r>
        <w:rPr>
          <w:i/>
          <w:color w:val="231F20"/>
          <w:w w:val="105"/>
          <w:sz w:val="21"/>
        </w:rPr>
        <w:t>policy</w:t>
      </w:r>
      <w:r>
        <w:rPr>
          <w:i/>
          <w:color w:val="231F20"/>
          <w:spacing w:val="-23"/>
          <w:w w:val="105"/>
          <w:sz w:val="21"/>
        </w:rPr>
        <w:t> </w:t>
      </w:r>
      <w:r>
        <w:rPr>
          <w:i/>
          <w:color w:val="231F20"/>
          <w:w w:val="105"/>
          <w:sz w:val="21"/>
        </w:rPr>
        <w:t>model</w:t>
      </w:r>
      <w:r>
        <w:rPr>
          <w:i/>
          <w:color w:val="231F20"/>
          <w:spacing w:val="-23"/>
          <w:w w:val="105"/>
          <w:sz w:val="21"/>
        </w:rPr>
        <w:t> </w:t>
      </w:r>
      <w:r>
        <w:rPr>
          <w:i/>
          <w:color w:val="231F20"/>
          <w:w w:val="105"/>
          <w:sz w:val="21"/>
        </w:rPr>
        <w:t>for</w:t>
      </w:r>
      <w:r>
        <w:rPr>
          <w:i/>
          <w:color w:val="231F20"/>
          <w:spacing w:val="-23"/>
          <w:w w:val="105"/>
          <w:sz w:val="21"/>
        </w:rPr>
        <w:t> </w:t>
      </w:r>
      <w:r>
        <w:rPr>
          <w:i/>
          <w:color w:val="231F20"/>
          <w:w w:val="105"/>
          <w:sz w:val="21"/>
        </w:rPr>
        <w:t>achiev- </w:t>
      </w:r>
      <w:r>
        <w:rPr>
          <w:i/>
          <w:color w:val="231F20"/>
          <w:w w:val="105"/>
          <w:sz w:val="21"/>
        </w:rPr>
        <w:t>ing sustainability in human social systems. </w:t>
      </w:r>
      <w:r>
        <w:rPr>
          <w:color w:val="231F20"/>
          <w:w w:val="105"/>
          <w:sz w:val="21"/>
        </w:rPr>
        <w:t>Recuperado el 1 de diciembre</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2011,</w:t>
      </w:r>
      <w:r>
        <w:rPr>
          <w:color w:val="231F20"/>
          <w:spacing w:val="-32"/>
          <w:w w:val="105"/>
          <w:sz w:val="21"/>
        </w:rPr>
        <w:t> </w:t>
      </w:r>
      <w:r>
        <w:rPr>
          <w:color w:val="231F20"/>
          <w:w w:val="105"/>
          <w:sz w:val="21"/>
        </w:rPr>
        <w:t>de</w:t>
      </w:r>
      <w:r>
        <w:rPr>
          <w:color w:val="231F20"/>
          <w:spacing w:val="-26"/>
          <w:w w:val="105"/>
          <w:sz w:val="21"/>
        </w:rPr>
        <w:t> </w:t>
      </w:r>
      <w:r>
        <w:rPr>
          <w:color w:val="231F20"/>
          <w:w w:val="105"/>
          <w:sz w:val="21"/>
        </w:rPr>
        <w:t>Center</w:t>
      </w:r>
      <w:r>
        <w:rPr>
          <w:color w:val="231F20"/>
          <w:spacing w:val="-26"/>
          <w:w w:val="105"/>
          <w:sz w:val="21"/>
        </w:rPr>
        <w:t> </w:t>
      </w:r>
      <w:r>
        <w:rPr>
          <w:color w:val="231F20"/>
          <w:w w:val="105"/>
          <w:sz w:val="21"/>
        </w:rPr>
        <w:t>for</w:t>
      </w:r>
      <w:r>
        <w:rPr>
          <w:color w:val="231F20"/>
          <w:spacing w:val="-26"/>
          <w:w w:val="105"/>
          <w:sz w:val="21"/>
        </w:rPr>
        <w:t> </w:t>
      </w:r>
      <w:r>
        <w:rPr>
          <w:color w:val="231F20"/>
          <w:w w:val="105"/>
          <w:sz w:val="21"/>
        </w:rPr>
        <w:t>Sustainable</w:t>
      </w:r>
      <w:r>
        <w:rPr>
          <w:color w:val="231F20"/>
          <w:spacing w:val="-26"/>
          <w:w w:val="105"/>
          <w:sz w:val="21"/>
        </w:rPr>
        <w:t> </w:t>
      </w:r>
      <w:r>
        <w:rPr>
          <w:color w:val="231F20"/>
          <w:w w:val="105"/>
          <w:sz w:val="21"/>
        </w:rPr>
        <w:t>Organizations;</w:t>
      </w:r>
      <w:r>
        <w:rPr>
          <w:color w:val="231F20"/>
          <w:spacing w:val="-26"/>
          <w:w w:val="105"/>
          <w:sz w:val="21"/>
        </w:rPr>
        <w:t> </w:t>
      </w:r>
      <w:r>
        <w:rPr>
          <w:color w:val="231F20"/>
          <w:w w:val="105"/>
          <w:sz w:val="21"/>
        </w:rPr>
        <w:t>Uni- versity</w:t>
      </w:r>
      <w:r>
        <w:rPr>
          <w:color w:val="231F20"/>
          <w:spacing w:val="-20"/>
          <w:w w:val="105"/>
          <w:sz w:val="21"/>
        </w:rPr>
        <w:t> </w:t>
      </w:r>
      <w:r>
        <w:rPr>
          <w:color w:val="231F20"/>
          <w:w w:val="105"/>
          <w:sz w:val="21"/>
        </w:rPr>
        <w:t>of</w:t>
      </w:r>
      <w:r>
        <w:rPr>
          <w:color w:val="231F20"/>
          <w:spacing w:val="-15"/>
          <w:w w:val="105"/>
          <w:sz w:val="21"/>
        </w:rPr>
        <w:t> </w:t>
      </w:r>
      <w:r>
        <w:rPr>
          <w:color w:val="231F20"/>
          <w:w w:val="105"/>
          <w:sz w:val="21"/>
        </w:rPr>
        <w:t>Groningen:</w:t>
      </w:r>
      <w:r>
        <w:rPr>
          <w:color w:val="231F20"/>
          <w:spacing w:val="-20"/>
          <w:w w:val="105"/>
          <w:sz w:val="21"/>
        </w:rPr>
        <w:t> </w:t>
      </w:r>
      <w:r>
        <w:rPr>
          <w:color w:val="231F20"/>
          <w:w w:val="105"/>
          <w:sz w:val="21"/>
        </w:rPr>
        <w:t>Disponible</w:t>
      </w:r>
      <w:r>
        <w:rPr>
          <w:color w:val="231F20"/>
          <w:spacing w:val="-20"/>
          <w:w w:val="105"/>
          <w:sz w:val="21"/>
        </w:rPr>
        <w:t> </w:t>
      </w:r>
      <w:r>
        <w:rPr>
          <w:color w:val="231F20"/>
          <w:w w:val="105"/>
          <w:sz w:val="21"/>
        </w:rPr>
        <w:t>en.</w:t>
      </w:r>
      <w:r>
        <w:rPr>
          <w:color w:val="231F20"/>
          <w:spacing w:val="-26"/>
          <w:w w:val="105"/>
          <w:sz w:val="21"/>
        </w:rPr>
        <w:t> </w:t>
      </w:r>
      <w:r>
        <w:rPr>
          <w:color w:val="231F20"/>
          <w:w w:val="105"/>
          <w:sz w:val="21"/>
        </w:rPr>
        <w:t>http://www.sustainableorga- nizations.org/The-Sustainability-Code.pdf</w:t>
      </w:r>
    </w:p>
    <w:p>
      <w:pPr>
        <w:spacing w:line="259" w:lineRule="auto" w:before="0"/>
        <w:ind w:left="840" w:right="116" w:hanging="738"/>
        <w:jc w:val="both"/>
        <w:rPr>
          <w:sz w:val="21"/>
        </w:rPr>
      </w:pPr>
      <w:r>
        <w:rPr>
          <w:color w:val="231F20"/>
          <w:w w:val="105"/>
          <w:sz w:val="21"/>
        </w:rPr>
        <w:t>Mintzberg,</w:t>
      </w:r>
      <w:r>
        <w:rPr>
          <w:color w:val="231F20"/>
          <w:spacing w:val="-19"/>
          <w:w w:val="105"/>
          <w:sz w:val="21"/>
        </w:rPr>
        <w:t> </w:t>
      </w:r>
      <w:r>
        <w:rPr>
          <w:color w:val="231F20"/>
          <w:w w:val="105"/>
          <w:sz w:val="21"/>
        </w:rPr>
        <w:t>H.</w:t>
      </w:r>
      <w:r>
        <w:rPr>
          <w:color w:val="231F20"/>
          <w:spacing w:val="-19"/>
          <w:w w:val="105"/>
          <w:sz w:val="21"/>
        </w:rPr>
        <w:t> </w:t>
      </w:r>
      <w:r>
        <w:rPr>
          <w:color w:val="231F20"/>
          <w:w w:val="105"/>
          <w:sz w:val="21"/>
        </w:rPr>
        <w:t>(otoño</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1987).</w:t>
      </w:r>
      <w:r>
        <w:rPr>
          <w:color w:val="231F20"/>
          <w:spacing w:val="-19"/>
          <w:w w:val="105"/>
          <w:sz w:val="21"/>
        </w:rPr>
        <w:t> </w:t>
      </w:r>
      <w:r>
        <w:rPr>
          <w:color w:val="231F20"/>
          <w:w w:val="105"/>
          <w:sz w:val="21"/>
        </w:rPr>
        <w:t>“The</w:t>
      </w:r>
      <w:r>
        <w:rPr>
          <w:color w:val="231F20"/>
          <w:spacing w:val="-14"/>
          <w:w w:val="105"/>
          <w:sz w:val="21"/>
        </w:rPr>
        <w:t> </w:t>
      </w:r>
      <w:r>
        <w:rPr>
          <w:color w:val="231F20"/>
          <w:w w:val="105"/>
          <w:sz w:val="21"/>
        </w:rPr>
        <w:t>strategy</w:t>
      </w:r>
      <w:r>
        <w:rPr>
          <w:color w:val="231F20"/>
          <w:spacing w:val="-14"/>
          <w:w w:val="105"/>
          <w:sz w:val="21"/>
        </w:rPr>
        <w:t> </w:t>
      </w:r>
      <w:r>
        <w:rPr>
          <w:color w:val="231F20"/>
          <w:w w:val="105"/>
          <w:sz w:val="21"/>
        </w:rPr>
        <w:t>concept</w:t>
      </w:r>
      <w:r>
        <w:rPr>
          <w:color w:val="231F20"/>
          <w:spacing w:val="-14"/>
          <w:w w:val="105"/>
          <w:sz w:val="21"/>
        </w:rPr>
        <w:t> </w:t>
      </w:r>
      <w:r>
        <w:rPr>
          <w:color w:val="231F20"/>
          <w:w w:val="105"/>
          <w:sz w:val="21"/>
        </w:rPr>
        <w:t>I:</w:t>
      </w:r>
      <w:r>
        <w:rPr>
          <w:color w:val="231F20"/>
          <w:spacing w:val="-14"/>
          <w:w w:val="105"/>
          <w:sz w:val="21"/>
        </w:rPr>
        <w:t> </w:t>
      </w:r>
      <w:r>
        <w:rPr>
          <w:color w:val="231F20"/>
          <w:w w:val="105"/>
          <w:sz w:val="21"/>
        </w:rPr>
        <w:t>five</w:t>
      </w:r>
      <w:r>
        <w:rPr>
          <w:color w:val="231F20"/>
          <w:spacing w:val="-14"/>
          <w:w w:val="105"/>
          <w:sz w:val="21"/>
        </w:rPr>
        <w:t> </w:t>
      </w:r>
      <w:r>
        <w:rPr>
          <w:color w:val="231F20"/>
          <w:spacing w:val="-6"/>
          <w:w w:val="105"/>
          <w:sz w:val="21"/>
        </w:rPr>
        <w:t>Ps</w:t>
      </w:r>
      <w:r>
        <w:rPr>
          <w:color w:val="231F20"/>
          <w:spacing w:val="-14"/>
          <w:w w:val="105"/>
          <w:sz w:val="21"/>
        </w:rPr>
        <w:t> </w:t>
      </w:r>
      <w:r>
        <w:rPr>
          <w:color w:val="231F20"/>
          <w:w w:val="105"/>
          <w:sz w:val="21"/>
        </w:rPr>
        <w:t>for</w:t>
      </w:r>
      <w:r>
        <w:rPr>
          <w:color w:val="231F20"/>
          <w:spacing w:val="-14"/>
          <w:w w:val="105"/>
          <w:sz w:val="21"/>
        </w:rPr>
        <w:t> </w:t>
      </w:r>
      <w:r>
        <w:rPr>
          <w:color w:val="231F20"/>
          <w:w w:val="105"/>
          <w:sz w:val="21"/>
        </w:rPr>
        <w:t>strate- </w:t>
      </w:r>
      <w:r>
        <w:rPr>
          <w:color w:val="231F20"/>
          <w:spacing w:val="-7"/>
          <w:w w:val="105"/>
          <w:sz w:val="21"/>
        </w:rPr>
        <w:t>gy”.</w:t>
      </w:r>
      <w:r>
        <w:rPr>
          <w:color w:val="231F20"/>
          <w:spacing w:val="-42"/>
          <w:w w:val="105"/>
          <w:sz w:val="21"/>
        </w:rPr>
        <w:t> </w:t>
      </w:r>
      <w:r>
        <w:rPr>
          <w:i/>
          <w:color w:val="231F20"/>
          <w:w w:val="105"/>
          <w:sz w:val="21"/>
        </w:rPr>
        <w:t>California</w:t>
      </w:r>
      <w:r>
        <w:rPr>
          <w:i/>
          <w:color w:val="231F20"/>
          <w:spacing w:val="-39"/>
          <w:w w:val="105"/>
          <w:sz w:val="21"/>
        </w:rPr>
        <w:t> </w:t>
      </w:r>
      <w:r>
        <w:rPr>
          <w:i/>
          <w:color w:val="231F20"/>
          <w:w w:val="105"/>
          <w:sz w:val="21"/>
        </w:rPr>
        <w:t>Management</w:t>
      </w:r>
      <w:r>
        <w:rPr>
          <w:i/>
          <w:color w:val="231F20"/>
          <w:spacing w:val="-39"/>
          <w:w w:val="105"/>
          <w:sz w:val="21"/>
        </w:rPr>
        <w:t> </w:t>
      </w:r>
      <w:r>
        <w:rPr>
          <w:i/>
          <w:color w:val="231F20"/>
          <w:w w:val="105"/>
          <w:sz w:val="21"/>
        </w:rPr>
        <w:t>Review,</w:t>
      </w:r>
      <w:r>
        <w:rPr>
          <w:i/>
          <w:color w:val="231F20"/>
          <w:spacing w:val="-42"/>
          <w:w w:val="105"/>
          <w:sz w:val="21"/>
        </w:rPr>
        <w:t> </w:t>
      </w:r>
      <w:r>
        <w:rPr>
          <w:i/>
          <w:color w:val="231F20"/>
          <w:w w:val="105"/>
          <w:sz w:val="21"/>
        </w:rPr>
        <w:t>30</w:t>
      </w:r>
      <w:r>
        <w:rPr>
          <w:color w:val="231F20"/>
          <w:w w:val="105"/>
          <w:sz w:val="21"/>
        </w:rPr>
        <w:t>(1):</w:t>
      </w:r>
      <w:r>
        <w:rPr>
          <w:color w:val="231F20"/>
          <w:spacing w:val="-39"/>
          <w:w w:val="105"/>
          <w:sz w:val="21"/>
        </w:rPr>
        <w:t> </w:t>
      </w:r>
      <w:r>
        <w:rPr>
          <w:color w:val="231F20"/>
          <w:w w:val="105"/>
          <w:sz w:val="21"/>
        </w:rPr>
        <w:t>11-24.</w:t>
      </w:r>
    </w:p>
    <w:p>
      <w:pPr>
        <w:spacing w:line="259" w:lineRule="auto" w:before="0"/>
        <w:ind w:left="840" w:right="116" w:hanging="738"/>
        <w:jc w:val="both"/>
        <w:rPr>
          <w:sz w:val="21"/>
        </w:rPr>
      </w:pPr>
      <w:r>
        <w:rPr>
          <w:color w:val="231F20"/>
          <w:w w:val="105"/>
          <w:sz w:val="21"/>
        </w:rPr>
        <w:t>Nonaka,</w:t>
      </w:r>
      <w:r>
        <w:rPr>
          <w:color w:val="231F20"/>
          <w:spacing w:val="-19"/>
          <w:w w:val="105"/>
          <w:sz w:val="21"/>
        </w:rPr>
        <w:t> </w:t>
      </w:r>
      <w:r>
        <w:rPr>
          <w:color w:val="231F20"/>
          <w:w w:val="105"/>
          <w:sz w:val="21"/>
        </w:rPr>
        <w:t>I.</w:t>
      </w:r>
      <w:r>
        <w:rPr>
          <w:color w:val="231F20"/>
          <w:spacing w:val="-19"/>
          <w:w w:val="105"/>
          <w:sz w:val="21"/>
        </w:rPr>
        <w:t> </w:t>
      </w:r>
      <w:r>
        <w:rPr>
          <w:color w:val="231F20"/>
          <w:w w:val="105"/>
          <w:sz w:val="21"/>
        </w:rPr>
        <w:t>(2007).</w:t>
      </w:r>
      <w:r>
        <w:rPr>
          <w:color w:val="231F20"/>
          <w:spacing w:val="-19"/>
          <w:w w:val="105"/>
          <w:sz w:val="21"/>
        </w:rPr>
        <w:t> </w:t>
      </w:r>
      <w:r>
        <w:rPr>
          <w:color w:val="231F20"/>
          <w:w w:val="105"/>
          <w:sz w:val="21"/>
        </w:rPr>
        <w:t>La</w:t>
      </w:r>
      <w:r>
        <w:rPr>
          <w:color w:val="231F20"/>
          <w:spacing w:val="-15"/>
          <w:w w:val="105"/>
          <w:sz w:val="21"/>
        </w:rPr>
        <w:t> </w:t>
      </w:r>
      <w:r>
        <w:rPr>
          <w:color w:val="231F20"/>
          <w:w w:val="105"/>
          <w:sz w:val="21"/>
        </w:rPr>
        <w:t>empresa</w:t>
      </w:r>
      <w:r>
        <w:rPr>
          <w:color w:val="231F20"/>
          <w:spacing w:val="-15"/>
          <w:w w:val="105"/>
          <w:sz w:val="21"/>
        </w:rPr>
        <w:t> </w:t>
      </w:r>
      <w:r>
        <w:rPr>
          <w:color w:val="231F20"/>
          <w:w w:val="105"/>
          <w:sz w:val="21"/>
        </w:rPr>
        <w:t>creadora</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conocimiento.</w:t>
      </w:r>
      <w:r>
        <w:rPr>
          <w:color w:val="231F20"/>
          <w:spacing w:val="-15"/>
          <w:w w:val="105"/>
          <w:sz w:val="21"/>
        </w:rPr>
        <w:t> </w:t>
      </w:r>
      <w:r>
        <w:rPr>
          <w:i/>
          <w:color w:val="231F20"/>
          <w:w w:val="105"/>
          <w:sz w:val="21"/>
        </w:rPr>
        <w:t>Harvard</w:t>
      </w:r>
      <w:r>
        <w:rPr>
          <w:i/>
          <w:color w:val="231F20"/>
          <w:spacing w:val="-15"/>
          <w:w w:val="105"/>
          <w:sz w:val="21"/>
        </w:rPr>
        <w:t> </w:t>
      </w:r>
      <w:r>
        <w:rPr>
          <w:i/>
          <w:color w:val="231F20"/>
          <w:w w:val="105"/>
          <w:sz w:val="21"/>
        </w:rPr>
        <w:t>Busi- </w:t>
      </w:r>
      <w:r>
        <w:rPr>
          <w:i/>
          <w:color w:val="231F20"/>
          <w:sz w:val="21"/>
        </w:rPr>
        <w:t>ness</w:t>
      </w:r>
      <w:r>
        <w:rPr>
          <w:i/>
          <w:color w:val="231F20"/>
          <w:spacing w:val="-13"/>
          <w:sz w:val="21"/>
        </w:rPr>
        <w:t> </w:t>
      </w:r>
      <w:r>
        <w:rPr>
          <w:i/>
          <w:color w:val="231F20"/>
          <w:sz w:val="21"/>
        </w:rPr>
        <w:t>Review</w:t>
      </w:r>
      <w:r>
        <w:rPr>
          <w:color w:val="231F20"/>
          <w:sz w:val="21"/>
        </w:rPr>
        <w:t>,</w:t>
      </w:r>
      <w:r>
        <w:rPr>
          <w:color w:val="231F20"/>
          <w:spacing w:val="-21"/>
          <w:sz w:val="21"/>
        </w:rPr>
        <w:t> </w:t>
      </w:r>
      <w:r>
        <w:rPr>
          <w:color w:val="231F20"/>
          <w:sz w:val="21"/>
        </w:rPr>
        <w:t>Julio,</w:t>
      </w:r>
      <w:r>
        <w:rPr>
          <w:color w:val="231F20"/>
          <w:spacing w:val="-19"/>
          <w:sz w:val="21"/>
        </w:rPr>
        <w:t> </w:t>
      </w:r>
      <w:r>
        <w:rPr>
          <w:color w:val="231F20"/>
          <w:sz w:val="21"/>
        </w:rPr>
        <w:t>1-9.</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606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36</w:t>
        <w:tab/>
      </w:r>
      <w:r>
        <w:rPr>
          <w:rFonts w:ascii="Calibri" w:hAnsi="Calibri"/>
          <w:color w:val="6D6E71"/>
          <w:sz w:val="15"/>
        </w:rPr>
        <w:t>Patricia Mercado Salgado, Patricia García Hernández y Carmen Patricia Jiménez  </w:t>
      </w:r>
      <w:r>
        <w:rPr>
          <w:rFonts w:ascii="Calibri" w:hAnsi="Calibri"/>
          <w:color w:val="6D6E71"/>
          <w:spacing w:val="14"/>
          <w:sz w:val="15"/>
        </w:rPr>
        <w:t> </w:t>
      </w:r>
      <w:r>
        <w:rPr>
          <w:rFonts w:ascii="Calibri" w:hAnsi="Calibri"/>
          <w:color w:val="6D6E71"/>
          <w:sz w:val="15"/>
        </w:rPr>
        <w:t>Terrazas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18"/>
        </w:numPr>
        <w:tabs>
          <w:tab w:pos="1427" w:val="left" w:leader="none"/>
          <w:tab w:pos="6916" w:val="right" w:leader="none"/>
        </w:tabs>
        <w:spacing w:line="208" w:lineRule="exact" w:before="52" w:after="0"/>
        <w:ind w:left="607" w:right="0" w:firstLine="718"/>
        <w:jc w:val="left"/>
        <w:rPr>
          <w:rFonts w:ascii="Lucida Sans Unicode" w:hAnsi="Lucida Sans Unicode"/>
          <w:color w:val="6D6E71"/>
          <w:sz w:val="14"/>
        </w:rPr>
      </w:pPr>
      <w:r>
        <w:rPr/>
        <w:pict>
          <v:line style="position:absolute;mso-position-horizontal-relative:page;mso-position-vertical-relative:paragraph;z-index:-246040" from="384.061005pt,-25.30427pt" to="384.061005pt,9.561580pt" stroked="true" strokeweight=".3pt" strokecolor="#231f20">
            <w10:wrap type="none"/>
          </v:line>
        </w:pic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sustentabILIdad</w:t>
      </w:r>
      <w:r>
        <w:rPr>
          <w:rFonts w:ascii="Lucida Sans Unicode" w:hAnsi="Lucida Sans Unicode"/>
          <w:color w:val="6D6E71"/>
          <w:spacing w:val="-14"/>
          <w:w w:val="105"/>
          <w:sz w:val="14"/>
        </w:rPr>
        <w:t> </w:t>
      </w:r>
      <w:r>
        <w:rPr>
          <w:rFonts w:ascii="Lucida Sans Unicode" w:hAnsi="Lucida Sans Unicode"/>
          <w:color w:val="6D6E71"/>
          <w:w w:val="105"/>
          <w:sz w:val="14"/>
        </w:rPr>
        <w:t>organIzacIonaL</w:t>
      </w:r>
      <w:r>
        <w:rPr>
          <w:rFonts w:ascii="Lucida Sans Unicode" w:hAnsi="Lucida Sans Unicode"/>
          <w:color w:val="6D6E71"/>
          <w:spacing w:val="-14"/>
          <w:w w:val="105"/>
          <w:sz w:val="14"/>
        </w:rPr>
        <w:t> </w:t>
      </w:r>
      <w:r>
        <w:rPr>
          <w:rFonts w:ascii="Lucida Sans Unicode" w:hAnsi="Lucida Sans Unicode"/>
          <w:color w:val="6D6E71"/>
          <w:w w:val="105"/>
          <w:sz w:val="14"/>
        </w:rPr>
        <w:t>desde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teoría</w:t>
      </w:r>
      <w:r>
        <w:rPr>
          <w:rFonts w:ascii="Lucida Sans Unicode" w:hAnsi="Lucida Sans Unicode"/>
          <w:color w:val="6D6E71"/>
          <w:spacing w:val="-14"/>
          <w:w w:val="105"/>
          <w:sz w:val="14"/>
        </w:rPr>
        <w:t> </w:t>
      </w:r>
      <w:r>
        <w:rPr>
          <w:rFonts w:ascii="Lucida Sans Unicode" w:hAnsi="Lucida Sans Unicode"/>
          <w:color w:val="6D6E71"/>
          <w:w w:val="105"/>
          <w:sz w:val="14"/>
        </w:rPr>
        <w:t>de</w:t>
      </w:r>
      <w:r>
        <w:rPr>
          <w:rFonts w:ascii="Lucida Sans Unicode" w:hAnsi="Lucida Sans Unicode"/>
          <w:color w:val="6D6E71"/>
          <w:spacing w:val="-14"/>
          <w:w w:val="105"/>
          <w:sz w:val="14"/>
        </w:rPr>
        <w:t> </w:t>
      </w:r>
      <w:r>
        <w:rPr>
          <w:rFonts w:ascii="Lucida Sans Unicode" w:hAnsi="Lucida Sans Unicode"/>
          <w:color w:val="6D6E71"/>
          <w:w w:val="105"/>
          <w:sz w:val="14"/>
        </w:rPr>
        <w:t>La</w:t>
      </w:r>
      <w:r>
        <w:rPr>
          <w:rFonts w:ascii="Lucida Sans Unicode" w:hAnsi="Lucida Sans Unicode"/>
          <w:color w:val="6D6E71"/>
          <w:spacing w:val="-14"/>
          <w:w w:val="105"/>
          <w:sz w:val="14"/>
        </w:rPr>
        <w:t> </w:t>
      </w:r>
      <w:r>
        <w:rPr>
          <w:rFonts w:ascii="Lucida Sans Unicode" w:hAnsi="Lucida Sans Unicode"/>
          <w:color w:val="6D6E71"/>
          <w:w w:val="105"/>
          <w:sz w:val="14"/>
        </w:rPr>
        <w:t>dependencIa</w:t>
      </w:r>
      <w:r>
        <w:rPr>
          <w:color w:val="414042"/>
          <w:w w:val="105"/>
          <w:position w:val="-3"/>
          <w:sz w:val="20"/>
        </w:rPr>
        <w:tab/>
        <w:t>37</w:t>
      </w:r>
    </w:p>
    <w:p>
      <w:pPr>
        <w:spacing w:line="187" w:lineRule="exact" w:before="0"/>
        <w:ind w:left="2742" w:right="114" w:firstLine="0"/>
        <w:jc w:val="left"/>
        <w:rPr>
          <w:rFonts w:ascii="Lucida Sans Unicode" w:hAnsi="Lucida Sans Unicode"/>
          <w:sz w:val="14"/>
        </w:rPr>
      </w:pPr>
      <w:r>
        <w:rPr>
          <w:rFonts w:ascii="Lucida Sans Unicode" w:hAnsi="Lucida Sans Unicode"/>
          <w:color w:val="6D6E71"/>
          <w:w w:val="105"/>
          <w:sz w:val="14"/>
        </w:rPr>
        <w:t>de recursos y La teoría de recursos y capacIdades</w:t>
      </w:r>
    </w:p>
    <w:p>
      <w:pPr>
        <w:pStyle w:val="BodyText"/>
        <w:rPr>
          <w:rFonts w:ascii="Lucida Sans Unicode"/>
          <w:sz w:val="20"/>
        </w:rPr>
      </w:pPr>
    </w:p>
    <w:p>
      <w:pPr>
        <w:spacing w:line="259" w:lineRule="auto" w:before="169"/>
        <w:ind w:left="854" w:right="121" w:hanging="738"/>
        <w:jc w:val="both"/>
        <w:rPr>
          <w:sz w:val="21"/>
        </w:rPr>
      </w:pPr>
      <w:r>
        <w:rPr>
          <w:color w:val="231F20"/>
          <w:sz w:val="21"/>
        </w:rPr>
        <w:t>Nonaka, I. y </w:t>
      </w:r>
      <w:r>
        <w:rPr>
          <w:color w:val="231F20"/>
          <w:spacing w:val="-3"/>
          <w:sz w:val="21"/>
        </w:rPr>
        <w:t>Takeuchi, </w:t>
      </w:r>
      <w:r>
        <w:rPr>
          <w:color w:val="231F20"/>
          <w:sz w:val="21"/>
        </w:rPr>
        <w:t>N. (1995). </w:t>
      </w:r>
      <w:r>
        <w:rPr>
          <w:i/>
          <w:color w:val="231F20"/>
          <w:sz w:val="21"/>
        </w:rPr>
        <w:t>The Knowledge Creating Company: how </w:t>
      </w:r>
      <w:r>
        <w:rPr>
          <w:i/>
          <w:color w:val="231F20"/>
          <w:sz w:val="21"/>
        </w:rPr>
        <w:t>Japanese Companies Create the Dynamics of Innovation.</w:t>
      </w:r>
      <w:r>
        <w:rPr>
          <w:i/>
          <w:color w:val="231F20"/>
          <w:spacing w:val="-21"/>
          <w:sz w:val="21"/>
        </w:rPr>
        <w:t> </w:t>
      </w:r>
      <w:r>
        <w:rPr>
          <w:color w:val="231F20"/>
          <w:sz w:val="21"/>
        </w:rPr>
        <w:t>Estados Unidos: Oxford University</w:t>
      </w:r>
      <w:r>
        <w:rPr>
          <w:color w:val="231F20"/>
          <w:spacing w:val="38"/>
          <w:sz w:val="21"/>
        </w:rPr>
        <w:t> </w:t>
      </w:r>
      <w:r>
        <w:rPr>
          <w:color w:val="231F20"/>
          <w:spacing w:val="-3"/>
          <w:sz w:val="21"/>
        </w:rPr>
        <w:t>Press,</w:t>
      </w:r>
    </w:p>
    <w:p>
      <w:pPr>
        <w:spacing w:line="259" w:lineRule="auto" w:before="0"/>
        <w:ind w:left="854" w:right="121" w:hanging="738"/>
        <w:jc w:val="both"/>
        <w:rPr>
          <w:sz w:val="21"/>
        </w:rPr>
      </w:pPr>
      <w:r>
        <w:rPr>
          <w:color w:val="231F20"/>
          <w:spacing w:val="-4"/>
          <w:w w:val="105"/>
          <w:sz w:val="21"/>
        </w:rPr>
        <w:t>Pascual-Trillo,</w:t>
      </w:r>
      <w:r>
        <w:rPr>
          <w:color w:val="231F20"/>
          <w:spacing w:val="-32"/>
          <w:w w:val="105"/>
          <w:sz w:val="21"/>
        </w:rPr>
        <w:t> </w:t>
      </w:r>
      <w:r>
        <w:rPr>
          <w:color w:val="231F20"/>
          <w:w w:val="105"/>
          <w:sz w:val="21"/>
        </w:rPr>
        <w:t>J.A.</w:t>
      </w:r>
      <w:r>
        <w:rPr>
          <w:color w:val="231F20"/>
          <w:spacing w:val="-31"/>
          <w:w w:val="105"/>
          <w:sz w:val="21"/>
        </w:rPr>
        <w:t> </w:t>
      </w:r>
      <w:r>
        <w:rPr>
          <w:color w:val="231F20"/>
          <w:w w:val="105"/>
          <w:sz w:val="21"/>
        </w:rPr>
        <w:t>(2011).</w:t>
      </w:r>
      <w:r>
        <w:rPr>
          <w:color w:val="231F20"/>
          <w:spacing w:val="-31"/>
          <w:w w:val="105"/>
          <w:sz w:val="21"/>
        </w:rPr>
        <w:t> </w:t>
      </w:r>
      <w:r>
        <w:rPr>
          <w:color w:val="231F20"/>
          <w:w w:val="105"/>
          <w:sz w:val="21"/>
        </w:rPr>
        <w:t>“Ciencia,</w:t>
      </w:r>
      <w:r>
        <w:rPr>
          <w:color w:val="231F20"/>
          <w:spacing w:val="-33"/>
          <w:w w:val="105"/>
          <w:sz w:val="21"/>
        </w:rPr>
        <w:t> </w:t>
      </w:r>
      <w:r>
        <w:rPr>
          <w:color w:val="231F20"/>
          <w:spacing w:val="-3"/>
          <w:w w:val="105"/>
          <w:sz w:val="21"/>
        </w:rPr>
        <w:t>Tecnología</w:t>
      </w:r>
      <w:r>
        <w:rPr>
          <w:color w:val="231F20"/>
          <w:spacing w:val="-28"/>
          <w:w w:val="105"/>
          <w:sz w:val="21"/>
        </w:rPr>
        <w:t> </w:t>
      </w:r>
      <w:r>
        <w:rPr>
          <w:color w:val="231F20"/>
          <w:w w:val="105"/>
          <w:sz w:val="21"/>
        </w:rPr>
        <w:t>y</w:t>
      </w:r>
      <w:r>
        <w:rPr>
          <w:color w:val="231F20"/>
          <w:spacing w:val="-28"/>
          <w:w w:val="105"/>
          <w:sz w:val="21"/>
        </w:rPr>
        <w:t> </w:t>
      </w:r>
      <w:r>
        <w:rPr>
          <w:color w:val="231F20"/>
          <w:w w:val="105"/>
          <w:sz w:val="21"/>
        </w:rPr>
        <w:t>Sostenibilidad”.</w:t>
      </w:r>
      <w:r>
        <w:rPr>
          <w:color w:val="231F20"/>
          <w:spacing w:val="-31"/>
          <w:w w:val="105"/>
          <w:sz w:val="21"/>
        </w:rPr>
        <w:t> </w:t>
      </w:r>
      <w:r>
        <w:rPr>
          <w:i/>
          <w:color w:val="231F20"/>
          <w:w w:val="105"/>
          <w:sz w:val="21"/>
        </w:rPr>
        <w:t>Revista </w:t>
      </w:r>
      <w:r>
        <w:rPr>
          <w:i/>
          <w:color w:val="231F20"/>
          <w:w w:val="105"/>
          <w:sz w:val="21"/>
        </w:rPr>
        <w:t>Gestión</w:t>
      </w:r>
      <w:r>
        <w:rPr>
          <w:i/>
          <w:color w:val="231F20"/>
          <w:spacing w:val="-31"/>
          <w:w w:val="105"/>
          <w:sz w:val="21"/>
        </w:rPr>
        <w:t> </w:t>
      </w:r>
      <w:r>
        <w:rPr>
          <w:i/>
          <w:color w:val="231F20"/>
          <w:w w:val="105"/>
          <w:sz w:val="21"/>
        </w:rPr>
        <w:t>de</w:t>
      </w:r>
      <w:r>
        <w:rPr>
          <w:i/>
          <w:color w:val="231F20"/>
          <w:spacing w:val="-31"/>
          <w:w w:val="105"/>
          <w:sz w:val="21"/>
        </w:rPr>
        <w:t> </w:t>
      </w:r>
      <w:r>
        <w:rPr>
          <w:i/>
          <w:color w:val="231F20"/>
          <w:w w:val="105"/>
          <w:sz w:val="21"/>
        </w:rPr>
        <w:t>las</w:t>
      </w:r>
      <w:r>
        <w:rPr>
          <w:i/>
          <w:color w:val="231F20"/>
          <w:spacing w:val="-31"/>
          <w:w w:val="105"/>
          <w:sz w:val="21"/>
        </w:rPr>
        <w:t> </w:t>
      </w:r>
      <w:r>
        <w:rPr>
          <w:i/>
          <w:color w:val="231F20"/>
          <w:w w:val="105"/>
          <w:sz w:val="21"/>
        </w:rPr>
        <w:t>Personas</w:t>
      </w:r>
      <w:r>
        <w:rPr>
          <w:i/>
          <w:color w:val="231F20"/>
          <w:spacing w:val="-31"/>
          <w:w w:val="105"/>
          <w:sz w:val="21"/>
        </w:rPr>
        <w:t> </w:t>
      </w:r>
      <w:r>
        <w:rPr>
          <w:i/>
          <w:color w:val="231F20"/>
          <w:w w:val="105"/>
          <w:sz w:val="21"/>
        </w:rPr>
        <w:t>y</w:t>
      </w:r>
      <w:r>
        <w:rPr>
          <w:i/>
          <w:color w:val="231F20"/>
          <w:spacing w:val="-31"/>
          <w:w w:val="105"/>
          <w:sz w:val="21"/>
        </w:rPr>
        <w:t> </w:t>
      </w:r>
      <w:r>
        <w:rPr>
          <w:i/>
          <w:color w:val="231F20"/>
          <w:w w:val="105"/>
          <w:sz w:val="21"/>
        </w:rPr>
        <w:t>la</w:t>
      </w:r>
      <w:r>
        <w:rPr>
          <w:i/>
          <w:color w:val="231F20"/>
          <w:spacing w:val="-34"/>
          <w:w w:val="105"/>
          <w:sz w:val="21"/>
        </w:rPr>
        <w:t> </w:t>
      </w:r>
      <w:r>
        <w:rPr>
          <w:i/>
          <w:color w:val="231F20"/>
          <w:w w:val="105"/>
          <w:sz w:val="21"/>
        </w:rPr>
        <w:t>Tecnología.</w:t>
      </w:r>
      <w:r>
        <w:rPr>
          <w:i/>
          <w:color w:val="231F20"/>
          <w:spacing w:val="-31"/>
          <w:w w:val="105"/>
          <w:sz w:val="21"/>
        </w:rPr>
        <w:t> </w:t>
      </w:r>
      <w:r>
        <w:rPr>
          <w:color w:val="231F20"/>
          <w:w w:val="105"/>
          <w:sz w:val="21"/>
        </w:rPr>
        <w:t>núm.</w:t>
      </w:r>
      <w:r>
        <w:rPr>
          <w:color w:val="231F20"/>
          <w:spacing w:val="-35"/>
          <w:w w:val="105"/>
          <w:sz w:val="21"/>
        </w:rPr>
        <w:t> </w:t>
      </w:r>
      <w:r>
        <w:rPr>
          <w:color w:val="231F20"/>
          <w:w w:val="105"/>
          <w:sz w:val="21"/>
        </w:rPr>
        <w:t>11,</w:t>
      </w:r>
      <w:r>
        <w:rPr>
          <w:color w:val="231F20"/>
          <w:spacing w:val="-35"/>
          <w:w w:val="105"/>
          <w:sz w:val="21"/>
        </w:rPr>
        <w:t> </w:t>
      </w:r>
      <w:r>
        <w:rPr>
          <w:color w:val="231F20"/>
          <w:w w:val="105"/>
          <w:sz w:val="21"/>
        </w:rPr>
        <w:t>74-83.</w:t>
      </w:r>
      <w:r>
        <w:rPr>
          <w:color w:val="231F20"/>
          <w:spacing w:val="-35"/>
          <w:w w:val="105"/>
          <w:sz w:val="21"/>
        </w:rPr>
        <w:t> </w:t>
      </w:r>
      <w:r>
        <w:rPr>
          <w:color w:val="231F20"/>
          <w:w w:val="105"/>
          <w:sz w:val="21"/>
        </w:rPr>
        <w:t>Disponi- ble en</w:t>
      </w:r>
      <w:r>
        <w:rPr>
          <w:color w:val="231F20"/>
          <w:spacing w:val="-1"/>
          <w:w w:val="105"/>
          <w:sz w:val="21"/>
        </w:rPr>
        <w:t> </w:t>
      </w:r>
      <w:r>
        <w:rPr>
          <w:color w:val="231F20"/>
          <w:w w:val="105"/>
          <w:sz w:val="21"/>
        </w:rPr>
        <w:t>ht</w:t>
      </w:r>
      <w:hyperlink r:id="rId26">
        <w:r>
          <w:rPr>
            <w:color w:val="231F20"/>
            <w:w w:val="105"/>
            <w:sz w:val="21"/>
          </w:rPr>
          <w:t>tps://www.academia.edu/</w:t>
        </w:r>
      </w:hyperlink>
    </w:p>
    <w:p>
      <w:pPr>
        <w:pStyle w:val="BodyText"/>
        <w:spacing w:line="259" w:lineRule="auto"/>
        <w:ind w:left="854" w:right="121" w:hanging="738"/>
        <w:jc w:val="both"/>
      </w:pPr>
      <w:r>
        <w:rPr>
          <w:color w:val="231F20"/>
          <w:spacing w:val="-3"/>
          <w:w w:val="105"/>
        </w:rPr>
        <w:t>Penrose,</w:t>
      </w:r>
      <w:r>
        <w:rPr>
          <w:color w:val="231F20"/>
          <w:spacing w:val="-23"/>
          <w:w w:val="105"/>
        </w:rPr>
        <w:t> </w:t>
      </w:r>
      <w:r>
        <w:rPr>
          <w:color w:val="231F20"/>
          <w:spacing w:val="-10"/>
          <w:w w:val="105"/>
        </w:rPr>
        <w:t>E.T.</w:t>
      </w:r>
      <w:r>
        <w:rPr>
          <w:color w:val="231F20"/>
          <w:spacing w:val="-23"/>
          <w:w w:val="105"/>
        </w:rPr>
        <w:t> </w:t>
      </w:r>
      <w:r>
        <w:rPr>
          <w:color w:val="231F20"/>
          <w:w w:val="105"/>
        </w:rPr>
        <w:t>(1955).</w:t>
      </w:r>
      <w:r>
        <w:rPr>
          <w:color w:val="231F20"/>
          <w:spacing w:val="-23"/>
          <w:w w:val="105"/>
        </w:rPr>
        <w:t> </w:t>
      </w:r>
      <w:r>
        <w:rPr>
          <w:color w:val="231F20"/>
          <w:w w:val="105"/>
        </w:rPr>
        <w:t>“Research</w:t>
      </w:r>
      <w:r>
        <w:rPr>
          <w:color w:val="231F20"/>
          <w:spacing w:val="-18"/>
          <w:w w:val="105"/>
        </w:rPr>
        <w:t> </w:t>
      </w:r>
      <w:r>
        <w:rPr>
          <w:color w:val="231F20"/>
          <w:w w:val="105"/>
        </w:rPr>
        <w:t>on</w:t>
      </w:r>
      <w:r>
        <w:rPr>
          <w:color w:val="231F20"/>
          <w:spacing w:val="-18"/>
          <w:w w:val="105"/>
        </w:rPr>
        <w:t> </w:t>
      </w:r>
      <w:r>
        <w:rPr>
          <w:color w:val="231F20"/>
          <w:w w:val="105"/>
        </w:rPr>
        <w:t>the</w:t>
      </w:r>
      <w:r>
        <w:rPr>
          <w:color w:val="231F20"/>
          <w:spacing w:val="-18"/>
          <w:w w:val="105"/>
        </w:rPr>
        <w:t> </w:t>
      </w:r>
      <w:r>
        <w:rPr>
          <w:color w:val="231F20"/>
          <w:w w:val="105"/>
        </w:rPr>
        <w:t>business</w:t>
      </w:r>
      <w:r>
        <w:rPr>
          <w:color w:val="231F20"/>
          <w:spacing w:val="-18"/>
          <w:w w:val="105"/>
        </w:rPr>
        <w:t> </w:t>
      </w:r>
      <w:r>
        <w:rPr>
          <w:color w:val="231F20"/>
          <w:w w:val="105"/>
        </w:rPr>
        <w:t>firm:</w:t>
      </w:r>
      <w:r>
        <w:rPr>
          <w:color w:val="231F20"/>
          <w:spacing w:val="-18"/>
          <w:w w:val="105"/>
        </w:rPr>
        <w:t> </w:t>
      </w:r>
      <w:r>
        <w:rPr>
          <w:color w:val="231F20"/>
          <w:w w:val="105"/>
        </w:rPr>
        <w:t>limits</w:t>
      </w:r>
      <w:r>
        <w:rPr>
          <w:color w:val="231F20"/>
          <w:spacing w:val="-18"/>
          <w:w w:val="105"/>
        </w:rPr>
        <w:t> </w:t>
      </w:r>
      <w:r>
        <w:rPr>
          <w:color w:val="231F20"/>
          <w:w w:val="105"/>
        </w:rPr>
        <w:t>of</w:t>
      </w:r>
      <w:r>
        <w:rPr>
          <w:color w:val="231F20"/>
          <w:spacing w:val="-15"/>
          <w:w w:val="105"/>
        </w:rPr>
        <w:t> </w:t>
      </w:r>
      <w:r>
        <w:rPr>
          <w:color w:val="231F20"/>
          <w:w w:val="105"/>
        </w:rPr>
        <w:t>the</w:t>
      </w:r>
      <w:r>
        <w:rPr>
          <w:color w:val="231F20"/>
          <w:spacing w:val="-18"/>
          <w:w w:val="105"/>
        </w:rPr>
        <w:t> </w:t>
      </w:r>
      <w:r>
        <w:rPr>
          <w:color w:val="231F20"/>
          <w:w w:val="105"/>
        </w:rPr>
        <w:t>growth and</w:t>
      </w:r>
      <w:r>
        <w:rPr>
          <w:color w:val="231F20"/>
          <w:spacing w:val="-28"/>
          <w:w w:val="105"/>
        </w:rPr>
        <w:t> </w:t>
      </w:r>
      <w:r>
        <w:rPr>
          <w:color w:val="231F20"/>
          <w:w w:val="105"/>
        </w:rPr>
        <w:t>size</w:t>
      </w:r>
      <w:r>
        <w:rPr>
          <w:color w:val="231F20"/>
          <w:spacing w:val="-28"/>
          <w:w w:val="105"/>
        </w:rPr>
        <w:t> </w:t>
      </w:r>
      <w:r>
        <w:rPr>
          <w:color w:val="231F20"/>
          <w:w w:val="105"/>
        </w:rPr>
        <w:t>of</w:t>
      </w:r>
      <w:r>
        <w:rPr>
          <w:color w:val="231F20"/>
          <w:spacing w:val="-25"/>
          <w:w w:val="105"/>
        </w:rPr>
        <w:t> </w:t>
      </w:r>
      <w:r>
        <w:rPr>
          <w:color w:val="231F20"/>
          <w:spacing w:val="-5"/>
          <w:w w:val="105"/>
        </w:rPr>
        <w:t>firm”.</w:t>
      </w:r>
      <w:r>
        <w:rPr>
          <w:color w:val="231F20"/>
          <w:spacing w:val="-33"/>
          <w:w w:val="105"/>
        </w:rPr>
        <w:t> </w:t>
      </w:r>
      <w:r>
        <w:rPr>
          <w:i/>
          <w:color w:val="231F20"/>
          <w:w w:val="105"/>
        </w:rPr>
        <w:t>American</w:t>
      </w:r>
      <w:r>
        <w:rPr>
          <w:i/>
          <w:color w:val="231F20"/>
          <w:spacing w:val="-28"/>
          <w:w w:val="105"/>
        </w:rPr>
        <w:t> </w:t>
      </w:r>
      <w:r>
        <w:rPr>
          <w:i/>
          <w:color w:val="231F20"/>
          <w:w w:val="105"/>
        </w:rPr>
        <w:t>Economic</w:t>
      </w:r>
      <w:r>
        <w:rPr>
          <w:i/>
          <w:color w:val="231F20"/>
          <w:spacing w:val="-28"/>
          <w:w w:val="105"/>
        </w:rPr>
        <w:t> </w:t>
      </w:r>
      <w:r>
        <w:rPr>
          <w:i/>
          <w:color w:val="231F20"/>
          <w:w w:val="105"/>
        </w:rPr>
        <w:t>Review.</w:t>
      </w:r>
      <w:r>
        <w:rPr>
          <w:i/>
          <w:color w:val="231F20"/>
          <w:spacing w:val="-33"/>
          <w:w w:val="105"/>
        </w:rPr>
        <w:t> </w:t>
      </w:r>
      <w:r>
        <w:rPr>
          <w:color w:val="231F20"/>
          <w:w w:val="105"/>
        </w:rPr>
        <w:t>45:</w:t>
      </w:r>
      <w:r>
        <w:rPr>
          <w:color w:val="231F20"/>
          <w:spacing w:val="-28"/>
          <w:w w:val="105"/>
        </w:rPr>
        <w:t> </w:t>
      </w:r>
      <w:r>
        <w:rPr>
          <w:color w:val="231F20"/>
          <w:w w:val="105"/>
        </w:rPr>
        <w:t>531-543.</w:t>
      </w:r>
    </w:p>
    <w:p>
      <w:pPr>
        <w:pStyle w:val="BodyText"/>
        <w:spacing w:line="241" w:lineRule="exact"/>
        <w:ind w:left="117"/>
      </w:pPr>
      <w:r>
        <w:rPr>
          <w:color w:val="231F20"/>
          <w:spacing w:val="-3"/>
          <w:w w:val="105"/>
        </w:rPr>
        <w:t>Perelli,</w:t>
      </w:r>
      <w:r>
        <w:rPr>
          <w:color w:val="231F20"/>
          <w:spacing w:val="-33"/>
          <w:w w:val="105"/>
        </w:rPr>
        <w:t> </w:t>
      </w:r>
      <w:r>
        <w:rPr>
          <w:color w:val="231F20"/>
          <w:w w:val="105"/>
        </w:rPr>
        <w:t>J.L.</w:t>
      </w:r>
      <w:r>
        <w:rPr>
          <w:color w:val="231F20"/>
          <w:spacing w:val="-31"/>
          <w:w w:val="105"/>
        </w:rPr>
        <w:t> </w:t>
      </w:r>
      <w:r>
        <w:rPr>
          <w:color w:val="231F20"/>
          <w:w w:val="105"/>
        </w:rPr>
        <w:t>(2014).</w:t>
      </w:r>
      <w:r>
        <w:rPr>
          <w:color w:val="231F20"/>
          <w:spacing w:val="-32"/>
          <w:w w:val="105"/>
        </w:rPr>
        <w:t> </w:t>
      </w:r>
      <w:r>
        <w:rPr>
          <w:color w:val="231F20"/>
          <w:w w:val="105"/>
        </w:rPr>
        <w:t>“La</w:t>
      </w:r>
      <w:r>
        <w:rPr>
          <w:color w:val="231F20"/>
          <w:spacing w:val="-28"/>
          <w:w w:val="105"/>
        </w:rPr>
        <w:t> </w:t>
      </w:r>
      <w:r>
        <w:rPr>
          <w:color w:val="231F20"/>
          <w:w w:val="105"/>
        </w:rPr>
        <w:t>sostenibilidad</w:t>
      </w:r>
      <w:r>
        <w:rPr>
          <w:color w:val="231F20"/>
          <w:spacing w:val="-28"/>
          <w:w w:val="105"/>
        </w:rPr>
        <w:t> </w:t>
      </w:r>
      <w:r>
        <w:rPr>
          <w:color w:val="231F20"/>
          <w:w w:val="105"/>
        </w:rPr>
        <w:t>es</w:t>
      </w:r>
      <w:r>
        <w:rPr>
          <w:color w:val="231F20"/>
          <w:spacing w:val="-28"/>
          <w:w w:val="105"/>
        </w:rPr>
        <w:t> </w:t>
      </w:r>
      <w:r>
        <w:rPr>
          <w:color w:val="231F20"/>
          <w:w w:val="105"/>
        </w:rPr>
        <w:t>la</w:t>
      </w:r>
      <w:r>
        <w:rPr>
          <w:color w:val="231F20"/>
          <w:spacing w:val="-28"/>
          <w:w w:val="105"/>
        </w:rPr>
        <w:t> </w:t>
      </w:r>
      <w:r>
        <w:rPr>
          <w:color w:val="231F20"/>
          <w:spacing w:val="-4"/>
          <w:w w:val="105"/>
        </w:rPr>
        <w:t>respuesta”.</w:t>
      </w:r>
      <w:r>
        <w:rPr>
          <w:color w:val="231F20"/>
          <w:spacing w:val="-31"/>
          <w:w w:val="105"/>
        </w:rPr>
        <w:t> </w:t>
      </w:r>
      <w:r>
        <w:rPr>
          <w:i/>
          <w:color w:val="231F20"/>
          <w:w w:val="105"/>
        </w:rPr>
        <w:t>El</w:t>
      </w:r>
      <w:r>
        <w:rPr>
          <w:i/>
          <w:color w:val="231F20"/>
          <w:spacing w:val="-28"/>
          <w:w w:val="105"/>
        </w:rPr>
        <w:t> </w:t>
      </w:r>
      <w:r>
        <w:rPr>
          <w:i/>
          <w:color w:val="231F20"/>
          <w:spacing w:val="-3"/>
          <w:w w:val="105"/>
        </w:rPr>
        <w:t>País.</w:t>
      </w:r>
      <w:r>
        <w:rPr>
          <w:i/>
          <w:color w:val="231F20"/>
          <w:spacing w:val="-28"/>
          <w:w w:val="105"/>
        </w:rPr>
        <w:t> </w:t>
      </w:r>
      <w:r>
        <w:rPr>
          <w:color w:val="231F20"/>
          <w:w w:val="105"/>
        </w:rPr>
        <w:t>29</w:t>
      </w:r>
      <w:r>
        <w:rPr>
          <w:color w:val="231F20"/>
          <w:spacing w:val="-28"/>
          <w:w w:val="105"/>
        </w:rPr>
        <w:t> </w:t>
      </w:r>
      <w:r>
        <w:rPr>
          <w:color w:val="231F20"/>
          <w:w w:val="105"/>
        </w:rPr>
        <w:t>de</w:t>
      </w:r>
      <w:r>
        <w:rPr>
          <w:color w:val="231F20"/>
          <w:spacing w:val="-28"/>
          <w:w w:val="105"/>
        </w:rPr>
        <w:t> </w:t>
      </w:r>
      <w:r>
        <w:rPr>
          <w:color w:val="231F20"/>
          <w:w w:val="105"/>
        </w:rPr>
        <w:t>junio.</w:t>
      </w:r>
    </w:p>
    <w:p>
      <w:pPr>
        <w:pStyle w:val="BodyText"/>
        <w:spacing w:before="18"/>
        <w:ind w:left="854" w:right="114"/>
      </w:pPr>
      <w:r>
        <w:rPr>
          <w:color w:val="231F20"/>
          <w:w w:val="105"/>
        </w:rPr>
        <w:t>Sección Negocios, pág. 13.</w:t>
      </w:r>
    </w:p>
    <w:p>
      <w:pPr>
        <w:spacing w:line="259" w:lineRule="auto" w:before="18"/>
        <w:ind w:left="854" w:right="121" w:hanging="738"/>
        <w:jc w:val="both"/>
        <w:rPr>
          <w:sz w:val="21"/>
        </w:rPr>
      </w:pPr>
      <w:r>
        <w:rPr>
          <w:color w:val="231F20"/>
          <w:w w:val="105"/>
          <w:sz w:val="21"/>
        </w:rPr>
        <w:t>Pfeffer,</w:t>
      </w:r>
      <w:r>
        <w:rPr>
          <w:color w:val="231F20"/>
          <w:spacing w:val="-15"/>
          <w:w w:val="105"/>
          <w:sz w:val="21"/>
        </w:rPr>
        <w:t> </w:t>
      </w:r>
      <w:r>
        <w:rPr>
          <w:color w:val="231F20"/>
          <w:w w:val="105"/>
          <w:sz w:val="21"/>
        </w:rPr>
        <w:t>J.</w:t>
      </w:r>
      <w:r>
        <w:rPr>
          <w:color w:val="231F20"/>
          <w:spacing w:val="-13"/>
          <w:w w:val="105"/>
          <w:sz w:val="21"/>
        </w:rPr>
        <w:t> </w:t>
      </w:r>
      <w:r>
        <w:rPr>
          <w:color w:val="231F20"/>
          <w:w w:val="105"/>
          <w:sz w:val="21"/>
        </w:rPr>
        <w:t>(1987).</w:t>
      </w:r>
      <w:r>
        <w:rPr>
          <w:color w:val="231F20"/>
          <w:spacing w:val="-13"/>
          <w:w w:val="105"/>
          <w:sz w:val="21"/>
        </w:rPr>
        <w:t> </w:t>
      </w:r>
      <w:r>
        <w:rPr>
          <w:color w:val="231F20"/>
          <w:spacing w:val="-8"/>
          <w:w w:val="105"/>
          <w:sz w:val="21"/>
        </w:rPr>
        <w:t>“A</w:t>
      </w:r>
      <w:r>
        <w:rPr>
          <w:color w:val="231F20"/>
          <w:spacing w:val="-11"/>
          <w:w w:val="105"/>
          <w:sz w:val="21"/>
        </w:rPr>
        <w:t> </w:t>
      </w:r>
      <w:r>
        <w:rPr>
          <w:color w:val="231F20"/>
          <w:w w:val="105"/>
          <w:sz w:val="21"/>
        </w:rPr>
        <w:t>resource</w:t>
      </w:r>
      <w:r>
        <w:rPr>
          <w:color w:val="231F20"/>
          <w:spacing w:val="-9"/>
          <w:w w:val="105"/>
          <w:sz w:val="21"/>
        </w:rPr>
        <w:t> </w:t>
      </w:r>
      <w:r>
        <w:rPr>
          <w:color w:val="231F20"/>
          <w:w w:val="105"/>
          <w:sz w:val="21"/>
        </w:rPr>
        <w:t>dependence</w:t>
      </w:r>
      <w:r>
        <w:rPr>
          <w:color w:val="231F20"/>
          <w:spacing w:val="-9"/>
          <w:w w:val="105"/>
          <w:sz w:val="21"/>
        </w:rPr>
        <w:t> </w:t>
      </w:r>
      <w:r>
        <w:rPr>
          <w:color w:val="231F20"/>
          <w:w w:val="105"/>
          <w:sz w:val="21"/>
        </w:rPr>
        <w:t>pespective</w:t>
      </w:r>
      <w:r>
        <w:rPr>
          <w:color w:val="231F20"/>
          <w:spacing w:val="-9"/>
          <w:w w:val="105"/>
          <w:sz w:val="21"/>
        </w:rPr>
        <w:t> </w:t>
      </w:r>
      <w:r>
        <w:rPr>
          <w:color w:val="231F20"/>
          <w:w w:val="105"/>
          <w:sz w:val="21"/>
        </w:rPr>
        <w:t>on</w:t>
      </w:r>
      <w:r>
        <w:rPr>
          <w:color w:val="231F20"/>
          <w:spacing w:val="-9"/>
          <w:w w:val="105"/>
          <w:sz w:val="21"/>
        </w:rPr>
        <w:t> </w:t>
      </w:r>
      <w:r>
        <w:rPr>
          <w:color w:val="231F20"/>
          <w:w w:val="105"/>
          <w:sz w:val="21"/>
        </w:rPr>
        <w:t>interorganiza- tional</w:t>
      </w:r>
      <w:r>
        <w:rPr>
          <w:color w:val="231F20"/>
          <w:spacing w:val="-23"/>
          <w:w w:val="105"/>
          <w:sz w:val="21"/>
        </w:rPr>
        <w:t> </w:t>
      </w:r>
      <w:r>
        <w:rPr>
          <w:color w:val="231F20"/>
          <w:w w:val="105"/>
          <w:sz w:val="21"/>
        </w:rPr>
        <w:t>relations”</w:t>
      </w:r>
      <w:r>
        <w:rPr>
          <w:color w:val="231F20"/>
          <w:spacing w:val="-23"/>
          <w:w w:val="105"/>
          <w:sz w:val="21"/>
        </w:rPr>
        <w:t> </w:t>
      </w:r>
      <w:r>
        <w:rPr>
          <w:color w:val="231F20"/>
          <w:w w:val="105"/>
          <w:sz w:val="21"/>
        </w:rPr>
        <w:t>En:</w:t>
      </w:r>
      <w:r>
        <w:rPr>
          <w:color w:val="231F20"/>
          <w:spacing w:val="-23"/>
          <w:w w:val="105"/>
          <w:sz w:val="21"/>
        </w:rPr>
        <w:t> </w:t>
      </w:r>
      <w:r>
        <w:rPr>
          <w:color w:val="231F20"/>
          <w:w w:val="105"/>
          <w:sz w:val="21"/>
        </w:rPr>
        <w:t>M.</w:t>
      </w:r>
      <w:r>
        <w:rPr>
          <w:color w:val="231F20"/>
          <w:spacing w:val="-27"/>
          <w:w w:val="105"/>
          <w:sz w:val="21"/>
        </w:rPr>
        <w:t> </w:t>
      </w:r>
      <w:r>
        <w:rPr>
          <w:color w:val="231F20"/>
          <w:w w:val="105"/>
          <w:sz w:val="21"/>
        </w:rPr>
        <w:t>S.</w:t>
      </w:r>
      <w:r>
        <w:rPr>
          <w:color w:val="231F20"/>
          <w:spacing w:val="-27"/>
          <w:w w:val="105"/>
          <w:sz w:val="21"/>
        </w:rPr>
        <w:t> </w:t>
      </w:r>
      <w:r>
        <w:rPr>
          <w:color w:val="231F20"/>
          <w:w w:val="105"/>
          <w:sz w:val="21"/>
        </w:rPr>
        <w:t>Mizruchi</w:t>
      </w:r>
      <w:r>
        <w:rPr>
          <w:color w:val="231F20"/>
          <w:spacing w:val="-23"/>
          <w:w w:val="105"/>
          <w:sz w:val="21"/>
        </w:rPr>
        <w:t> </w:t>
      </w:r>
      <w:r>
        <w:rPr>
          <w:color w:val="231F20"/>
          <w:w w:val="105"/>
          <w:sz w:val="21"/>
        </w:rPr>
        <w:t>y</w:t>
      </w:r>
      <w:r>
        <w:rPr>
          <w:color w:val="231F20"/>
          <w:spacing w:val="-23"/>
          <w:w w:val="105"/>
          <w:sz w:val="21"/>
        </w:rPr>
        <w:t> </w:t>
      </w:r>
      <w:r>
        <w:rPr>
          <w:color w:val="231F20"/>
          <w:w w:val="105"/>
          <w:sz w:val="21"/>
        </w:rPr>
        <w:t>M.</w:t>
      </w:r>
      <w:r>
        <w:rPr>
          <w:color w:val="231F20"/>
          <w:spacing w:val="-27"/>
          <w:w w:val="105"/>
          <w:sz w:val="21"/>
        </w:rPr>
        <w:t> </w:t>
      </w:r>
      <w:r>
        <w:rPr>
          <w:color w:val="231F20"/>
          <w:w w:val="105"/>
          <w:sz w:val="21"/>
        </w:rPr>
        <w:t>Schwartz</w:t>
      </w:r>
      <w:r>
        <w:rPr>
          <w:color w:val="231F20"/>
          <w:spacing w:val="-23"/>
          <w:w w:val="105"/>
          <w:sz w:val="21"/>
        </w:rPr>
        <w:t> </w:t>
      </w:r>
      <w:r>
        <w:rPr>
          <w:color w:val="231F20"/>
          <w:w w:val="105"/>
          <w:sz w:val="21"/>
        </w:rPr>
        <w:t>(editores),</w:t>
      </w:r>
      <w:r>
        <w:rPr>
          <w:color w:val="231F20"/>
          <w:spacing w:val="-27"/>
          <w:w w:val="105"/>
          <w:sz w:val="21"/>
        </w:rPr>
        <w:t> </w:t>
      </w:r>
      <w:r>
        <w:rPr>
          <w:i/>
          <w:color w:val="231F20"/>
          <w:w w:val="105"/>
          <w:sz w:val="21"/>
        </w:rPr>
        <w:t>Inter- </w:t>
      </w:r>
      <w:r>
        <w:rPr>
          <w:i/>
          <w:color w:val="231F20"/>
          <w:sz w:val="21"/>
        </w:rPr>
        <w:t>corporate</w:t>
      </w:r>
      <w:r>
        <w:rPr>
          <w:i/>
          <w:color w:val="231F20"/>
          <w:spacing w:val="-6"/>
          <w:sz w:val="21"/>
        </w:rPr>
        <w:t> </w:t>
      </w:r>
      <w:r>
        <w:rPr>
          <w:i/>
          <w:color w:val="231F20"/>
          <w:sz w:val="21"/>
        </w:rPr>
        <w:t>Relations:</w:t>
      </w:r>
      <w:r>
        <w:rPr>
          <w:i/>
          <w:color w:val="231F20"/>
          <w:spacing w:val="-12"/>
          <w:sz w:val="21"/>
        </w:rPr>
        <w:t> </w:t>
      </w:r>
      <w:r>
        <w:rPr>
          <w:i/>
          <w:color w:val="231F20"/>
          <w:sz w:val="21"/>
        </w:rPr>
        <w:t>The</w:t>
      </w:r>
      <w:r>
        <w:rPr>
          <w:i/>
          <w:color w:val="231F20"/>
          <w:spacing w:val="-6"/>
          <w:sz w:val="21"/>
        </w:rPr>
        <w:t> </w:t>
      </w:r>
      <w:r>
        <w:rPr>
          <w:i/>
          <w:color w:val="231F20"/>
          <w:sz w:val="21"/>
        </w:rPr>
        <w:t>Structural</w:t>
      </w:r>
      <w:r>
        <w:rPr>
          <w:i/>
          <w:color w:val="231F20"/>
          <w:spacing w:val="-10"/>
          <w:sz w:val="21"/>
        </w:rPr>
        <w:t> </w:t>
      </w:r>
      <w:r>
        <w:rPr>
          <w:i/>
          <w:color w:val="231F20"/>
          <w:sz w:val="21"/>
        </w:rPr>
        <w:t>Analysis</w:t>
      </w:r>
      <w:r>
        <w:rPr>
          <w:i/>
          <w:color w:val="231F20"/>
          <w:spacing w:val="-6"/>
          <w:sz w:val="21"/>
        </w:rPr>
        <w:t> </w:t>
      </w:r>
      <w:r>
        <w:rPr>
          <w:i/>
          <w:color w:val="231F20"/>
          <w:sz w:val="21"/>
        </w:rPr>
        <w:t>of</w:t>
      </w:r>
      <w:r>
        <w:rPr>
          <w:i/>
          <w:color w:val="231F20"/>
          <w:spacing w:val="-1"/>
          <w:sz w:val="21"/>
        </w:rPr>
        <w:t> </w:t>
      </w:r>
      <w:r>
        <w:rPr>
          <w:i/>
          <w:color w:val="231F20"/>
          <w:sz w:val="21"/>
        </w:rPr>
        <w:t>Business</w:t>
      </w:r>
      <w:r>
        <w:rPr>
          <w:color w:val="231F20"/>
          <w:sz w:val="21"/>
        </w:rPr>
        <w:t>.</w:t>
      </w:r>
      <w:r>
        <w:rPr>
          <w:color w:val="231F20"/>
          <w:spacing w:val="-13"/>
          <w:sz w:val="21"/>
        </w:rPr>
        <w:t> </w:t>
      </w:r>
      <w:r>
        <w:rPr>
          <w:color w:val="231F20"/>
          <w:sz w:val="21"/>
        </w:rPr>
        <w:t>Cambrid- </w:t>
      </w:r>
      <w:r>
        <w:rPr>
          <w:color w:val="231F20"/>
          <w:w w:val="105"/>
          <w:sz w:val="21"/>
        </w:rPr>
        <w:t>ge,</w:t>
      </w:r>
      <w:r>
        <w:rPr>
          <w:color w:val="231F20"/>
          <w:spacing w:val="-31"/>
          <w:w w:val="105"/>
          <w:sz w:val="21"/>
        </w:rPr>
        <w:t> </w:t>
      </w:r>
      <w:r>
        <w:rPr>
          <w:color w:val="231F20"/>
          <w:w w:val="105"/>
          <w:sz w:val="21"/>
        </w:rPr>
        <w:t>M.A.:</w:t>
      </w:r>
      <w:r>
        <w:rPr>
          <w:color w:val="231F20"/>
          <w:spacing w:val="-26"/>
          <w:w w:val="105"/>
          <w:sz w:val="21"/>
        </w:rPr>
        <w:t> </w:t>
      </w:r>
      <w:r>
        <w:rPr>
          <w:color w:val="231F20"/>
          <w:w w:val="105"/>
          <w:sz w:val="21"/>
        </w:rPr>
        <w:t>Cambridge</w:t>
      </w:r>
      <w:r>
        <w:rPr>
          <w:color w:val="231F20"/>
          <w:spacing w:val="-26"/>
          <w:w w:val="105"/>
          <w:sz w:val="21"/>
        </w:rPr>
        <w:t> </w:t>
      </w:r>
      <w:r>
        <w:rPr>
          <w:color w:val="231F20"/>
          <w:w w:val="105"/>
          <w:sz w:val="21"/>
        </w:rPr>
        <w:t>University</w:t>
      </w:r>
      <w:r>
        <w:rPr>
          <w:color w:val="231F20"/>
          <w:spacing w:val="-26"/>
          <w:w w:val="105"/>
          <w:sz w:val="21"/>
        </w:rPr>
        <w:t> </w:t>
      </w:r>
      <w:r>
        <w:rPr>
          <w:color w:val="231F20"/>
          <w:spacing w:val="-3"/>
          <w:w w:val="105"/>
          <w:sz w:val="21"/>
        </w:rPr>
        <w:t>Press,</w:t>
      </w:r>
      <w:r>
        <w:rPr>
          <w:color w:val="231F20"/>
          <w:spacing w:val="-31"/>
          <w:w w:val="105"/>
          <w:sz w:val="21"/>
        </w:rPr>
        <w:t> </w:t>
      </w:r>
      <w:r>
        <w:rPr>
          <w:color w:val="231F20"/>
          <w:w w:val="105"/>
          <w:sz w:val="21"/>
        </w:rPr>
        <w:t>pp.</w:t>
      </w:r>
      <w:r>
        <w:rPr>
          <w:color w:val="231F20"/>
          <w:spacing w:val="-31"/>
          <w:w w:val="105"/>
          <w:sz w:val="21"/>
        </w:rPr>
        <w:t> </w:t>
      </w:r>
      <w:r>
        <w:rPr>
          <w:color w:val="231F20"/>
          <w:w w:val="105"/>
          <w:sz w:val="21"/>
        </w:rPr>
        <w:t>25-55.</w:t>
      </w:r>
    </w:p>
    <w:p>
      <w:pPr>
        <w:spacing w:line="259" w:lineRule="auto" w:before="0"/>
        <w:ind w:left="854" w:right="122" w:hanging="738"/>
        <w:jc w:val="both"/>
        <w:rPr>
          <w:sz w:val="21"/>
        </w:rPr>
      </w:pPr>
      <w:r>
        <w:rPr>
          <w:color w:val="231F20"/>
          <w:w w:val="105"/>
          <w:sz w:val="21"/>
        </w:rPr>
        <w:t>Pfeffer,</w:t>
      </w:r>
      <w:r>
        <w:rPr>
          <w:color w:val="231F20"/>
          <w:spacing w:val="-27"/>
          <w:w w:val="105"/>
          <w:sz w:val="21"/>
        </w:rPr>
        <w:t> </w:t>
      </w:r>
      <w:r>
        <w:rPr>
          <w:color w:val="231F20"/>
          <w:w w:val="105"/>
          <w:sz w:val="21"/>
        </w:rPr>
        <w:t>J.</w:t>
      </w:r>
      <w:r>
        <w:rPr>
          <w:color w:val="231F20"/>
          <w:spacing w:val="-25"/>
          <w:w w:val="105"/>
          <w:sz w:val="21"/>
        </w:rPr>
        <w:t> </w:t>
      </w:r>
      <w:r>
        <w:rPr>
          <w:color w:val="231F20"/>
          <w:w w:val="105"/>
          <w:sz w:val="21"/>
        </w:rPr>
        <w:t>(2000).</w:t>
      </w:r>
      <w:r>
        <w:rPr>
          <w:color w:val="231F20"/>
          <w:spacing w:val="-25"/>
          <w:w w:val="105"/>
          <w:sz w:val="21"/>
        </w:rPr>
        <w:t> </w:t>
      </w:r>
      <w:r>
        <w:rPr>
          <w:i/>
          <w:color w:val="231F20"/>
          <w:w w:val="105"/>
          <w:sz w:val="21"/>
        </w:rPr>
        <w:t>Nuevos</w:t>
      </w:r>
      <w:r>
        <w:rPr>
          <w:i/>
          <w:color w:val="231F20"/>
          <w:spacing w:val="-21"/>
          <w:w w:val="105"/>
          <w:sz w:val="21"/>
        </w:rPr>
        <w:t> </w:t>
      </w:r>
      <w:r>
        <w:rPr>
          <w:i/>
          <w:color w:val="231F20"/>
          <w:w w:val="105"/>
          <w:sz w:val="21"/>
        </w:rPr>
        <w:t>rumbos</w:t>
      </w:r>
      <w:r>
        <w:rPr>
          <w:i/>
          <w:color w:val="231F20"/>
          <w:spacing w:val="-21"/>
          <w:w w:val="105"/>
          <w:sz w:val="21"/>
        </w:rPr>
        <w:t> </w:t>
      </w:r>
      <w:r>
        <w:rPr>
          <w:i/>
          <w:color w:val="231F20"/>
          <w:w w:val="105"/>
          <w:sz w:val="21"/>
        </w:rPr>
        <w:t>en</w:t>
      </w:r>
      <w:r>
        <w:rPr>
          <w:i/>
          <w:color w:val="231F20"/>
          <w:spacing w:val="-21"/>
          <w:w w:val="105"/>
          <w:sz w:val="21"/>
        </w:rPr>
        <w:t> </w:t>
      </w:r>
      <w:r>
        <w:rPr>
          <w:i/>
          <w:color w:val="231F20"/>
          <w:w w:val="105"/>
          <w:sz w:val="21"/>
        </w:rPr>
        <w:t>la</w:t>
      </w:r>
      <w:r>
        <w:rPr>
          <w:i/>
          <w:color w:val="231F20"/>
          <w:spacing w:val="-21"/>
          <w:w w:val="105"/>
          <w:sz w:val="21"/>
        </w:rPr>
        <w:t> </w:t>
      </w:r>
      <w:r>
        <w:rPr>
          <w:i/>
          <w:color w:val="231F20"/>
          <w:w w:val="105"/>
          <w:sz w:val="21"/>
        </w:rPr>
        <w:t>teoría</w:t>
      </w:r>
      <w:r>
        <w:rPr>
          <w:i/>
          <w:color w:val="231F20"/>
          <w:spacing w:val="-21"/>
          <w:w w:val="105"/>
          <w:sz w:val="21"/>
        </w:rPr>
        <w:t> </w:t>
      </w:r>
      <w:r>
        <w:rPr>
          <w:i/>
          <w:color w:val="231F20"/>
          <w:w w:val="105"/>
          <w:sz w:val="21"/>
        </w:rPr>
        <w:t>de</w:t>
      </w:r>
      <w:r>
        <w:rPr>
          <w:i/>
          <w:color w:val="231F20"/>
          <w:spacing w:val="-21"/>
          <w:w w:val="105"/>
          <w:sz w:val="21"/>
        </w:rPr>
        <w:t> </w:t>
      </w:r>
      <w:r>
        <w:rPr>
          <w:i/>
          <w:color w:val="231F20"/>
          <w:w w:val="105"/>
          <w:sz w:val="21"/>
        </w:rPr>
        <w:t>la</w:t>
      </w:r>
      <w:r>
        <w:rPr>
          <w:i/>
          <w:color w:val="231F20"/>
          <w:spacing w:val="-21"/>
          <w:w w:val="105"/>
          <w:sz w:val="21"/>
        </w:rPr>
        <w:t> </w:t>
      </w:r>
      <w:r>
        <w:rPr>
          <w:i/>
          <w:color w:val="231F20"/>
          <w:w w:val="105"/>
          <w:sz w:val="21"/>
        </w:rPr>
        <w:t>organización.</w:t>
      </w:r>
      <w:r>
        <w:rPr>
          <w:i/>
          <w:color w:val="231F20"/>
          <w:spacing w:val="-26"/>
          <w:w w:val="105"/>
          <w:sz w:val="21"/>
        </w:rPr>
        <w:t> </w:t>
      </w:r>
      <w:r>
        <w:rPr>
          <w:i/>
          <w:color w:val="231F20"/>
          <w:w w:val="105"/>
          <w:sz w:val="21"/>
        </w:rPr>
        <w:t>Proble- </w:t>
      </w:r>
      <w:r>
        <w:rPr>
          <w:i/>
          <w:color w:val="231F20"/>
          <w:w w:val="105"/>
          <w:sz w:val="21"/>
        </w:rPr>
        <w:t>mas</w:t>
      </w:r>
      <w:r>
        <w:rPr>
          <w:i/>
          <w:color w:val="231F20"/>
          <w:spacing w:val="-31"/>
          <w:w w:val="105"/>
          <w:sz w:val="21"/>
        </w:rPr>
        <w:t> </w:t>
      </w:r>
      <w:r>
        <w:rPr>
          <w:i/>
          <w:color w:val="231F20"/>
          <w:w w:val="105"/>
          <w:sz w:val="21"/>
        </w:rPr>
        <w:t>y</w:t>
      </w:r>
      <w:r>
        <w:rPr>
          <w:i/>
          <w:color w:val="231F20"/>
          <w:spacing w:val="-31"/>
          <w:w w:val="105"/>
          <w:sz w:val="21"/>
        </w:rPr>
        <w:t> </w:t>
      </w:r>
      <w:r>
        <w:rPr>
          <w:i/>
          <w:color w:val="231F20"/>
          <w:w w:val="105"/>
          <w:sz w:val="21"/>
        </w:rPr>
        <w:t>posibilidades</w:t>
      </w:r>
      <w:r>
        <w:rPr>
          <w:color w:val="231F20"/>
          <w:w w:val="105"/>
          <w:sz w:val="21"/>
        </w:rPr>
        <w:t>.</w:t>
      </w:r>
      <w:r>
        <w:rPr>
          <w:color w:val="231F20"/>
          <w:spacing w:val="-35"/>
          <w:w w:val="105"/>
          <w:sz w:val="21"/>
        </w:rPr>
        <w:t> </w:t>
      </w:r>
      <w:r>
        <w:rPr>
          <w:color w:val="231F20"/>
          <w:w w:val="105"/>
          <w:sz w:val="21"/>
        </w:rPr>
        <w:t>México:</w:t>
      </w:r>
      <w:r>
        <w:rPr>
          <w:color w:val="231F20"/>
          <w:spacing w:val="-31"/>
          <w:w w:val="105"/>
          <w:sz w:val="21"/>
        </w:rPr>
        <w:t> </w:t>
      </w:r>
      <w:r>
        <w:rPr>
          <w:color w:val="231F20"/>
          <w:w w:val="105"/>
          <w:sz w:val="21"/>
        </w:rPr>
        <w:t>Oxford</w:t>
      </w:r>
      <w:r>
        <w:rPr>
          <w:color w:val="231F20"/>
          <w:spacing w:val="-31"/>
          <w:w w:val="105"/>
          <w:sz w:val="21"/>
        </w:rPr>
        <w:t> </w:t>
      </w:r>
      <w:r>
        <w:rPr>
          <w:color w:val="231F20"/>
          <w:w w:val="105"/>
          <w:sz w:val="21"/>
        </w:rPr>
        <w:t>University</w:t>
      </w:r>
      <w:r>
        <w:rPr>
          <w:color w:val="231F20"/>
          <w:spacing w:val="-31"/>
          <w:w w:val="105"/>
          <w:sz w:val="21"/>
        </w:rPr>
        <w:t> </w:t>
      </w:r>
      <w:r>
        <w:rPr>
          <w:color w:val="231F20"/>
          <w:spacing w:val="-3"/>
          <w:w w:val="105"/>
          <w:sz w:val="21"/>
        </w:rPr>
        <w:t>Press.</w:t>
      </w:r>
    </w:p>
    <w:p>
      <w:pPr>
        <w:spacing w:line="259" w:lineRule="auto" w:before="0"/>
        <w:ind w:left="854" w:right="117" w:hanging="738"/>
        <w:jc w:val="both"/>
        <w:rPr>
          <w:sz w:val="21"/>
        </w:rPr>
      </w:pPr>
      <w:r>
        <w:rPr>
          <w:color w:val="231F20"/>
          <w:sz w:val="21"/>
        </w:rPr>
        <w:t>Pfeffer,</w:t>
      </w:r>
      <w:r>
        <w:rPr>
          <w:color w:val="231F20"/>
          <w:spacing w:val="-9"/>
          <w:sz w:val="21"/>
        </w:rPr>
        <w:t> </w:t>
      </w:r>
      <w:r>
        <w:rPr>
          <w:color w:val="231F20"/>
          <w:sz w:val="21"/>
        </w:rPr>
        <w:t>J.</w:t>
      </w:r>
      <w:r>
        <w:rPr>
          <w:color w:val="231F20"/>
          <w:spacing w:val="-7"/>
          <w:sz w:val="21"/>
        </w:rPr>
        <w:t> </w:t>
      </w:r>
      <w:r>
        <w:rPr>
          <w:color w:val="231F20"/>
          <w:sz w:val="21"/>
        </w:rPr>
        <w:t>y Salancik,</w:t>
      </w:r>
      <w:r>
        <w:rPr>
          <w:color w:val="231F20"/>
          <w:spacing w:val="-7"/>
          <w:sz w:val="21"/>
        </w:rPr>
        <w:t> </w:t>
      </w:r>
      <w:r>
        <w:rPr>
          <w:color w:val="231F20"/>
          <w:sz w:val="21"/>
        </w:rPr>
        <w:t>G.</w:t>
      </w:r>
      <w:r>
        <w:rPr>
          <w:color w:val="231F20"/>
          <w:spacing w:val="-7"/>
          <w:sz w:val="21"/>
        </w:rPr>
        <w:t> </w:t>
      </w:r>
      <w:r>
        <w:rPr>
          <w:color w:val="231F20"/>
          <w:sz w:val="21"/>
        </w:rPr>
        <w:t>R.</w:t>
      </w:r>
      <w:r>
        <w:rPr>
          <w:color w:val="231F20"/>
          <w:spacing w:val="-7"/>
          <w:sz w:val="21"/>
        </w:rPr>
        <w:t> </w:t>
      </w:r>
      <w:r>
        <w:rPr>
          <w:color w:val="231F20"/>
          <w:sz w:val="21"/>
        </w:rPr>
        <w:t>(1978).</w:t>
      </w:r>
      <w:r>
        <w:rPr>
          <w:color w:val="231F20"/>
          <w:spacing w:val="-7"/>
          <w:sz w:val="21"/>
        </w:rPr>
        <w:t> </w:t>
      </w:r>
      <w:r>
        <w:rPr>
          <w:i/>
          <w:color w:val="231F20"/>
          <w:sz w:val="21"/>
        </w:rPr>
        <w:t>The external control of</w:t>
      </w:r>
      <w:r>
        <w:rPr>
          <w:i/>
          <w:color w:val="231F20"/>
          <w:spacing w:val="5"/>
          <w:sz w:val="21"/>
        </w:rPr>
        <w:t> </w:t>
      </w:r>
      <w:r>
        <w:rPr>
          <w:i/>
          <w:color w:val="231F20"/>
          <w:sz w:val="21"/>
        </w:rPr>
        <w:t>organizations.</w:t>
      </w:r>
      <w:r>
        <w:rPr>
          <w:i/>
          <w:color w:val="231F20"/>
          <w:spacing w:val="-10"/>
          <w:sz w:val="21"/>
        </w:rPr>
        <w:t> </w:t>
      </w:r>
      <w:r>
        <w:rPr>
          <w:i/>
          <w:color w:val="231F20"/>
          <w:sz w:val="21"/>
        </w:rPr>
        <w:t>A </w:t>
      </w:r>
      <w:r>
        <w:rPr>
          <w:i/>
          <w:color w:val="231F20"/>
          <w:sz w:val="21"/>
        </w:rPr>
        <w:t>resorce dependence perspective</w:t>
      </w:r>
      <w:r>
        <w:rPr>
          <w:color w:val="231F20"/>
          <w:sz w:val="21"/>
        </w:rPr>
        <w:t>. Nueva </w:t>
      </w:r>
      <w:r>
        <w:rPr>
          <w:color w:val="231F20"/>
          <w:spacing w:val="-4"/>
          <w:sz w:val="21"/>
        </w:rPr>
        <w:t>York: </w:t>
      </w:r>
      <w:r>
        <w:rPr>
          <w:color w:val="231F20"/>
          <w:sz w:val="21"/>
        </w:rPr>
        <w:t>Harper y Row </w:t>
      </w:r>
      <w:r>
        <w:rPr>
          <w:color w:val="231F20"/>
          <w:spacing w:val="-4"/>
          <w:sz w:val="21"/>
        </w:rPr>
        <w:t>Pu- </w:t>
      </w:r>
      <w:r>
        <w:rPr>
          <w:color w:val="231F20"/>
          <w:sz w:val="21"/>
        </w:rPr>
        <w:t>blishers.</w:t>
      </w:r>
    </w:p>
    <w:p>
      <w:pPr>
        <w:pStyle w:val="BodyText"/>
        <w:spacing w:line="259" w:lineRule="auto"/>
        <w:ind w:left="854" w:right="121" w:hanging="738"/>
        <w:jc w:val="both"/>
      </w:pPr>
      <w:r>
        <w:rPr>
          <w:color w:val="231F20"/>
          <w:w w:val="105"/>
        </w:rPr>
        <w:t>Planelles,</w:t>
      </w:r>
      <w:r>
        <w:rPr>
          <w:color w:val="231F20"/>
          <w:spacing w:val="-34"/>
          <w:w w:val="105"/>
        </w:rPr>
        <w:t> </w:t>
      </w:r>
      <w:r>
        <w:rPr>
          <w:color w:val="231F20"/>
          <w:w w:val="105"/>
        </w:rPr>
        <w:t>M.</w:t>
      </w:r>
      <w:r>
        <w:rPr>
          <w:color w:val="231F20"/>
          <w:spacing w:val="-34"/>
          <w:w w:val="105"/>
        </w:rPr>
        <w:t> </w:t>
      </w:r>
      <w:r>
        <w:rPr>
          <w:color w:val="231F20"/>
          <w:w w:val="105"/>
        </w:rPr>
        <w:t>(2015).</w:t>
      </w:r>
      <w:r>
        <w:rPr>
          <w:color w:val="231F20"/>
          <w:spacing w:val="-34"/>
          <w:w w:val="105"/>
        </w:rPr>
        <w:t> </w:t>
      </w:r>
      <w:r>
        <w:rPr>
          <w:color w:val="231F20"/>
          <w:spacing w:val="-3"/>
          <w:w w:val="105"/>
        </w:rPr>
        <w:t>“Acuerdo</w:t>
      </w:r>
      <w:r>
        <w:rPr>
          <w:color w:val="231F20"/>
          <w:spacing w:val="-28"/>
          <w:w w:val="105"/>
        </w:rPr>
        <w:t> </w:t>
      </w:r>
      <w:r>
        <w:rPr>
          <w:color w:val="231F20"/>
          <w:w w:val="105"/>
        </w:rPr>
        <w:t>mundial</w:t>
      </w:r>
      <w:r>
        <w:rPr>
          <w:color w:val="231F20"/>
          <w:spacing w:val="-28"/>
          <w:w w:val="105"/>
        </w:rPr>
        <w:t> </w:t>
      </w:r>
      <w:r>
        <w:rPr>
          <w:color w:val="231F20"/>
          <w:w w:val="105"/>
        </w:rPr>
        <w:t>por</w:t>
      </w:r>
      <w:r>
        <w:rPr>
          <w:color w:val="231F20"/>
          <w:spacing w:val="-28"/>
          <w:w w:val="105"/>
        </w:rPr>
        <w:t> </w:t>
      </w:r>
      <w:r>
        <w:rPr>
          <w:color w:val="231F20"/>
          <w:w w:val="105"/>
        </w:rPr>
        <w:t>el</w:t>
      </w:r>
      <w:r>
        <w:rPr>
          <w:color w:val="231F20"/>
          <w:spacing w:val="-28"/>
          <w:w w:val="105"/>
        </w:rPr>
        <w:t> </w:t>
      </w:r>
      <w:r>
        <w:rPr>
          <w:color w:val="231F20"/>
          <w:spacing w:val="-5"/>
          <w:w w:val="105"/>
        </w:rPr>
        <w:t>clima”.</w:t>
      </w:r>
      <w:r>
        <w:rPr>
          <w:color w:val="231F20"/>
          <w:spacing w:val="-34"/>
          <w:w w:val="105"/>
        </w:rPr>
        <w:t> </w:t>
      </w:r>
      <w:r>
        <w:rPr>
          <w:i/>
          <w:color w:val="231F20"/>
          <w:w w:val="105"/>
        </w:rPr>
        <w:t>El</w:t>
      </w:r>
      <w:r>
        <w:rPr>
          <w:i/>
          <w:color w:val="231F20"/>
          <w:spacing w:val="-28"/>
          <w:w w:val="105"/>
        </w:rPr>
        <w:t> </w:t>
      </w:r>
      <w:r>
        <w:rPr>
          <w:i/>
          <w:color w:val="231F20"/>
          <w:spacing w:val="-3"/>
          <w:w w:val="105"/>
        </w:rPr>
        <w:t>País.</w:t>
      </w:r>
      <w:r>
        <w:rPr>
          <w:i/>
          <w:color w:val="231F20"/>
          <w:spacing w:val="-28"/>
          <w:w w:val="105"/>
        </w:rPr>
        <w:t> </w:t>
      </w:r>
      <w:r>
        <w:rPr>
          <w:color w:val="231F20"/>
          <w:w w:val="105"/>
        </w:rPr>
        <w:t>13</w:t>
      </w:r>
      <w:r>
        <w:rPr>
          <w:color w:val="231F20"/>
          <w:spacing w:val="-28"/>
          <w:w w:val="105"/>
        </w:rPr>
        <w:t> </w:t>
      </w:r>
      <w:r>
        <w:rPr>
          <w:color w:val="231F20"/>
          <w:w w:val="105"/>
        </w:rPr>
        <w:t>de</w:t>
      </w:r>
      <w:r>
        <w:rPr>
          <w:color w:val="231F20"/>
          <w:spacing w:val="-28"/>
          <w:w w:val="105"/>
        </w:rPr>
        <w:t> </w:t>
      </w:r>
      <w:r>
        <w:rPr>
          <w:color w:val="231F20"/>
          <w:w w:val="105"/>
        </w:rPr>
        <w:t>diciem- bre.</w:t>
      </w:r>
      <w:r>
        <w:rPr>
          <w:color w:val="231F20"/>
          <w:spacing w:val="-36"/>
          <w:w w:val="105"/>
        </w:rPr>
        <w:t> </w:t>
      </w:r>
      <w:r>
        <w:rPr>
          <w:color w:val="231F20"/>
          <w:w w:val="105"/>
        </w:rPr>
        <w:t>Sección</w:t>
      </w:r>
      <w:r>
        <w:rPr>
          <w:color w:val="231F20"/>
          <w:spacing w:val="-32"/>
          <w:w w:val="105"/>
        </w:rPr>
        <w:t> </w:t>
      </w:r>
      <w:r>
        <w:rPr>
          <w:color w:val="231F20"/>
          <w:w w:val="105"/>
        </w:rPr>
        <w:t>internacional,</w:t>
      </w:r>
      <w:r>
        <w:rPr>
          <w:color w:val="231F20"/>
          <w:spacing w:val="-36"/>
          <w:w w:val="105"/>
        </w:rPr>
        <w:t> </w:t>
      </w:r>
      <w:r>
        <w:rPr>
          <w:color w:val="231F20"/>
          <w:w w:val="105"/>
        </w:rPr>
        <w:t>1-5.</w:t>
      </w:r>
    </w:p>
    <w:p>
      <w:pPr>
        <w:spacing w:line="259" w:lineRule="auto" w:before="0"/>
        <w:ind w:left="854" w:right="115" w:hanging="738"/>
        <w:jc w:val="both"/>
        <w:rPr>
          <w:sz w:val="21"/>
        </w:rPr>
      </w:pPr>
      <w:r>
        <w:rPr>
          <w:color w:val="231F20"/>
          <w:spacing w:val="-5"/>
          <w:w w:val="105"/>
          <w:sz w:val="21"/>
        </w:rPr>
        <w:t>Porter,</w:t>
      </w:r>
      <w:r>
        <w:rPr>
          <w:color w:val="231F20"/>
          <w:spacing w:val="-36"/>
          <w:w w:val="105"/>
          <w:sz w:val="21"/>
        </w:rPr>
        <w:t> </w:t>
      </w:r>
      <w:r>
        <w:rPr>
          <w:color w:val="231F20"/>
          <w:spacing w:val="-9"/>
          <w:w w:val="105"/>
          <w:sz w:val="21"/>
        </w:rPr>
        <w:t>T.</w:t>
      </w:r>
      <w:r>
        <w:rPr>
          <w:color w:val="231F20"/>
          <w:spacing w:val="-32"/>
          <w:w w:val="105"/>
          <w:sz w:val="21"/>
        </w:rPr>
        <w:t> </w:t>
      </w:r>
      <w:r>
        <w:rPr>
          <w:color w:val="231F20"/>
          <w:w w:val="105"/>
          <w:sz w:val="21"/>
        </w:rPr>
        <w:t>B.</w:t>
      </w:r>
      <w:r>
        <w:rPr>
          <w:color w:val="231F20"/>
          <w:spacing w:val="-32"/>
          <w:w w:val="105"/>
          <w:sz w:val="21"/>
        </w:rPr>
        <w:t> </w:t>
      </w:r>
      <w:r>
        <w:rPr>
          <w:color w:val="231F20"/>
          <w:w w:val="105"/>
          <w:sz w:val="21"/>
        </w:rPr>
        <w:t>(2008).</w:t>
      </w:r>
      <w:r>
        <w:rPr>
          <w:color w:val="231F20"/>
          <w:spacing w:val="-32"/>
          <w:w w:val="105"/>
          <w:sz w:val="21"/>
        </w:rPr>
        <w:t> </w:t>
      </w:r>
      <w:r>
        <w:rPr>
          <w:color w:val="231F20"/>
          <w:w w:val="105"/>
          <w:sz w:val="21"/>
        </w:rPr>
        <w:t>“Managerial</w:t>
      </w:r>
      <w:r>
        <w:rPr>
          <w:color w:val="231F20"/>
          <w:spacing w:val="-28"/>
          <w:w w:val="105"/>
          <w:sz w:val="21"/>
        </w:rPr>
        <w:t> </w:t>
      </w:r>
      <w:r>
        <w:rPr>
          <w:color w:val="231F20"/>
          <w:w w:val="105"/>
          <w:sz w:val="21"/>
        </w:rPr>
        <w:t>applications</w:t>
      </w:r>
      <w:r>
        <w:rPr>
          <w:color w:val="231F20"/>
          <w:spacing w:val="-28"/>
          <w:w w:val="105"/>
          <w:sz w:val="21"/>
        </w:rPr>
        <w:t> </w:t>
      </w:r>
      <w:r>
        <w:rPr>
          <w:color w:val="231F20"/>
          <w:w w:val="105"/>
          <w:sz w:val="21"/>
        </w:rPr>
        <w:t>of</w:t>
      </w:r>
      <w:r>
        <w:rPr>
          <w:color w:val="231F20"/>
          <w:spacing w:val="-24"/>
          <w:w w:val="105"/>
          <w:sz w:val="21"/>
        </w:rPr>
        <w:t> </w:t>
      </w:r>
      <w:r>
        <w:rPr>
          <w:color w:val="231F20"/>
          <w:w w:val="105"/>
          <w:sz w:val="21"/>
        </w:rPr>
        <w:t>corporate</w:t>
      </w:r>
      <w:r>
        <w:rPr>
          <w:color w:val="231F20"/>
          <w:spacing w:val="-28"/>
          <w:w w:val="105"/>
          <w:sz w:val="21"/>
        </w:rPr>
        <w:t> </w:t>
      </w:r>
      <w:r>
        <w:rPr>
          <w:color w:val="231F20"/>
          <w:w w:val="105"/>
          <w:sz w:val="21"/>
        </w:rPr>
        <w:t>social</w:t>
      </w:r>
      <w:r>
        <w:rPr>
          <w:color w:val="231F20"/>
          <w:spacing w:val="-28"/>
          <w:w w:val="105"/>
          <w:sz w:val="21"/>
        </w:rPr>
        <w:t> </w:t>
      </w:r>
      <w:r>
        <w:rPr>
          <w:color w:val="231F20"/>
          <w:w w:val="105"/>
          <w:sz w:val="21"/>
        </w:rPr>
        <w:t>responsi- bility</w:t>
      </w:r>
      <w:r>
        <w:rPr>
          <w:color w:val="231F20"/>
          <w:spacing w:val="-20"/>
          <w:w w:val="105"/>
          <w:sz w:val="21"/>
        </w:rPr>
        <w:t> </w:t>
      </w:r>
      <w:r>
        <w:rPr>
          <w:color w:val="231F20"/>
          <w:w w:val="105"/>
          <w:sz w:val="21"/>
        </w:rPr>
        <w:t>and</w:t>
      </w:r>
      <w:r>
        <w:rPr>
          <w:color w:val="231F20"/>
          <w:spacing w:val="-20"/>
          <w:w w:val="105"/>
          <w:sz w:val="21"/>
        </w:rPr>
        <w:t> </w:t>
      </w:r>
      <w:r>
        <w:rPr>
          <w:color w:val="231F20"/>
          <w:w w:val="105"/>
          <w:sz w:val="21"/>
        </w:rPr>
        <w:t>systems</w:t>
      </w:r>
      <w:r>
        <w:rPr>
          <w:color w:val="231F20"/>
          <w:spacing w:val="-20"/>
          <w:w w:val="105"/>
          <w:sz w:val="21"/>
        </w:rPr>
        <w:t> </w:t>
      </w:r>
      <w:r>
        <w:rPr>
          <w:color w:val="231F20"/>
          <w:w w:val="105"/>
          <w:sz w:val="21"/>
        </w:rPr>
        <w:t>thinking</w:t>
      </w:r>
      <w:r>
        <w:rPr>
          <w:color w:val="231F20"/>
          <w:spacing w:val="-20"/>
          <w:w w:val="105"/>
          <w:sz w:val="21"/>
        </w:rPr>
        <w:t> </w:t>
      </w:r>
      <w:r>
        <w:rPr>
          <w:color w:val="231F20"/>
          <w:w w:val="105"/>
          <w:sz w:val="21"/>
        </w:rPr>
        <w:t>for</w:t>
      </w:r>
      <w:r>
        <w:rPr>
          <w:color w:val="231F20"/>
          <w:spacing w:val="-20"/>
          <w:w w:val="105"/>
          <w:sz w:val="21"/>
        </w:rPr>
        <w:t> </w:t>
      </w:r>
      <w:r>
        <w:rPr>
          <w:color w:val="231F20"/>
          <w:w w:val="105"/>
          <w:sz w:val="21"/>
        </w:rPr>
        <w:t>achieving</w:t>
      </w:r>
      <w:r>
        <w:rPr>
          <w:color w:val="231F20"/>
          <w:spacing w:val="-20"/>
          <w:w w:val="105"/>
          <w:sz w:val="21"/>
        </w:rPr>
        <w:t> </w:t>
      </w:r>
      <w:r>
        <w:rPr>
          <w:color w:val="231F20"/>
          <w:w w:val="105"/>
          <w:sz w:val="21"/>
        </w:rPr>
        <w:t>sustainability</w:t>
      </w:r>
      <w:r>
        <w:rPr>
          <w:color w:val="231F20"/>
          <w:spacing w:val="-20"/>
          <w:w w:val="105"/>
          <w:sz w:val="21"/>
        </w:rPr>
        <w:t> </w:t>
      </w:r>
      <w:r>
        <w:rPr>
          <w:color w:val="231F20"/>
          <w:spacing w:val="-3"/>
          <w:w w:val="105"/>
          <w:sz w:val="21"/>
        </w:rPr>
        <w:t>outcomes”. </w:t>
      </w:r>
      <w:r>
        <w:rPr>
          <w:i/>
          <w:color w:val="231F20"/>
          <w:sz w:val="21"/>
        </w:rPr>
        <w:t>Systems</w:t>
      </w:r>
      <w:r>
        <w:rPr>
          <w:i/>
          <w:color w:val="231F20"/>
          <w:spacing w:val="-14"/>
          <w:sz w:val="21"/>
        </w:rPr>
        <w:t> </w:t>
      </w:r>
      <w:r>
        <w:rPr>
          <w:i/>
          <w:color w:val="231F20"/>
          <w:sz w:val="21"/>
        </w:rPr>
        <w:t>Research</w:t>
      </w:r>
      <w:r>
        <w:rPr>
          <w:i/>
          <w:color w:val="231F20"/>
          <w:spacing w:val="-14"/>
          <w:sz w:val="21"/>
        </w:rPr>
        <w:t> </w:t>
      </w:r>
      <w:r>
        <w:rPr>
          <w:i/>
          <w:color w:val="231F20"/>
          <w:sz w:val="21"/>
        </w:rPr>
        <w:t>&amp;</w:t>
      </w:r>
      <w:r>
        <w:rPr>
          <w:i/>
          <w:color w:val="231F20"/>
          <w:spacing w:val="-14"/>
          <w:sz w:val="21"/>
        </w:rPr>
        <w:t> </w:t>
      </w:r>
      <w:r>
        <w:rPr>
          <w:i/>
          <w:color w:val="231F20"/>
          <w:sz w:val="21"/>
        </w:rPr>
        <w:t>Behavioral</w:t>
      </w:r>
      <w:r>
        <w:rPr>
          <w:i/>
          <w:color w:val="231F20"/>
          <w:spacing w:val="-14"/>
          <w:sz w:val="21"/>
        </w:rPr>
        <w:t> </w:t>
      </w:r>
      <w:r>
        <w:rPr>
          <w:i/>
          <w:color w:val="231F20"/>
          <w:sz w:val="21"/>
        </w:rPr>
        <w:t>Science,</w:t>
      </w:r>
      <w:r>
        <w:rPr>
          <w:i/>
          <w:color w:val="231F20"/>
          <w:spacing w:val="-20"/>
          <w:sz w:val="21"/>
        </w:rPr>
        <w:t> </w:t>
      </w:r>
      <w:r>
        <w:rPr>
          <w:i/>
          <w:color w:val="231F20"/>
          <w:sz w:val="21"/>
        </w:rPr>
        <w:t>25</w:t>
      </w:r>
      <w:r>
        <w:rPr>
          <w:color w:val="231F20"/>
          <w:sz w:val="21"/>
        </w:rPr>
        <w:t>(3):</w:t>
      </w:r>
      <w:r>
        <w:rPr>
          <w:color w:val="231F20"/>
          <w:spacing w:val="-14"/>
          <w:sz w:val="21"/>
        </w:rPr>
        <w:t> </w:t>
      </w:r>
      <w:r>
        <w:rPr>
          <w:color w:val="231F20"/>
          <w:sz w:val="21"/>
        </w:rPr>
        <w:t>397-411.</w:t>
      </w:r>
    </w:p>
    <w:p>
      <w:pPr>
        <w:spacing w:line="259" w:lineRule="auto" w:before="0"/>
        <w:ind w:left="854" w:right="121" w:hanging="738"/>
        <w:jc w:val="both"/>
        <w:rPr>
          <w:sz w:val="21"/>
        </w:rPr>
      </w:pPr>
      <w:r>
        <w:rPr>
          <w:color w:val="231F20"/>
          <w:sz w:val="21"/>
        </w:rPr>
        <w:t>Rice, A.K. (1963). </w:t>
      </w:r>
      <w:r>
        <w:rPr>
          <w:i/>
          <w:color w:val="231F20"/>
          <w:sz w:val="21"/>
        </w:rPr>
        <w:t>The enterprise and its environment. </w:t>
      </w:r>
      <w:r>
        <w:rPr>
          <w:color w:val="231F20"/>
          <w:sz w:val="21"/>
        </w:rPr>
        <w:t>London: Tavistock Publications.</w:t>
      </w:r>
    </w:p>
    <w:p>
      <w:pPr>
        <w:spacing w:line="259" w:lineRule="auto" w:before="0"/>
        <w:ind w:left="854" w:right="121" w:hanging="738"/>
        <w:jc w:val="both"/>
        <w:rPr>
          <w:sz w:val="21"/>
        </w:rPr>
      </w:pPr>
      <w:r>
        <w:rPr>
          <w:color w:val="231F20"/>
          <w:sz w:val="21"/>
        </w:rPr>
        <w:t>Schein,</w:t>
      </w:r>
      <w:r>
        <w:rPr>
          <w:color w:val="231F20"/>
          <w:spacing w:val="-8"/>
          <w:sz w:val="21"/>
        </w:rPr>
        <w:t> </w:t>
      </w:r>
      <w:r>
        <w:rPr>
          <w:color w:val="231F20"/>
          <w:sz w:val="21"/>
        </w:rPr>
        <w:t>E.H.</w:t>
      </w:r>
      <w:r>
        <w:rPr>
          <w:color w:val="231F20"/>
          <w:spacing w:val="-8"/>
          <w:sz w:val="21"/>
        </w:rPr>
        <w:t> </w:t>
      </w:r>
      <w:r>
        <w:rPr>
          <w:color w:val="231F20"/>
          <w:sz w:val="21"/>
        </w:rPr>
        <w:t>(1982).</w:t>
      </w:r>
      <w:r>
        <w:rPr>
          <w:color w:val="231F20"/>
          <w:spacing w:val="-8"/>
          <w:sz w:val="21"/>
        </w:rPr>
        <w:t> </w:t>
      </w:r>
      <w:r>
        <w:rPr>
          <w:i/>
          <w:color w:val="231F20"/>
          <w:sz w:val="21"/>
        </w:rPr>
        <w:t>Psicología</w:t>
      </w:r>
      <w:r>
        <w:rPr>
          <w:i/>
          <w:color w:val="231F20"/>
          <w:spacing w:val="-1"/>
          <w:sz w:val="21"/>
        </w:rPr>
        <w:t> </w:t>
      </w:r>
      <w:r>
        <w:rPr>
          <w:i/>
          <w:color w:val="231F20"/>
          <w:sz w:val="21"/>
        </w:rPr>
        <w:t>de</w:t>
      </w:r>
      <w:r>
        <w:rPr>
          <w:i/>
          <w:color w:val="231F20"/>
          <w:spacing w:val="-1"/>
          <w:sz w:val="21"/>
        </w:rPr>
        <w:t> </w:t>
      </w:r>
      <w:r>
        <w:rPr>
          <w:i/>
          <w:color w:val="231F20"/>
          <w:sz w:val="21"/>
        </w:rPr>
        <w:t>la</w:t>
      </w:r>
      <w:r>
        <w:rPr>
          <w:i/>
          <w:color w:val="231F20"/>
          <w:spacing w:val="-1"/>
          <w:sz w:val="21"/>
        </w:rPr>
        <w:t> </w:t>
      </w:r>
      <w:r>
        <w:rPr>
          <w:i/>
          <w:color w:val="231F20"/>
          <w:sz w:val="21"/>
        </w:rPr>
        <w:t>organización</w:t>
      </w:r>
      <w:r>
        <w:rPr>
          <w:color w:val="231F20"/>
          <w:sz w:val="21"/>
        </w:rPr>
        <w:t>.</w:t>
      </w:r>
      <w:r>
        <w:rPr>
          <w:color w:val="231F20"/>
          <w:spacing w:val="-8"/>
          <w:sz w:val="21"/>
        </w:rPr>
        <w:t> </w:t>
      </w:r>
      <w:r>
        <w:rPr>
          <w:color w:val="231F20"/>
          <w:sz w:val="21"/>
        </w:rPr>
        <w:t>3ª</w:t>
      </w:r>
      <w:r>
        <w:rPr>
          <w:color w:val="231F20"/>
          <w:spacing w:val="-1"/>
          <w:sz w:val="21"/>
        </w:rPr>
        <w:t> </w:t>
      </w:r>
      <w:r>
        <w:rPr>
          <w:color w:val="231F20"/>
          <w:sz w:val="21"/>
        </w:rPr>
        <w:t>ed.</w:t>
      </w:r>
      <w:r>
        <w:rPr>
          <w:color w:val="231F20"/>
          <w:spacing w:val="-8"/>
          <w:sz w:val="21"/>
        </w:rPr>
        <w:t> </w:t>
      </w:r>
      <w:r>
        <w:rPr>
          <w:color w:val="231F20"/>
          <w:sz w:val="21"/>
        </w:rPr>
        <w:t>México:</w:t>
      </w:r>
      <w:r>
        <w:rPr>
          <w:color w:val="231F20"/>
          <w:spacing w:val="-1"/>
          <w:sz w:val="21"/>
        </w:rPr>
        <w:t> </w:t>
      </w:r>
      <w:r>
        <w:rPr>
          <w:color w:val="231F20"/>
          <w:sz w:val="21"/>
        </w:rPr>
        <w:t>Prentice Hall.</w:t>
      </w:r>
    </w:p>
    <w:p>
      <w:pPr>
        <w:spacing w:line="259" w:lineRule="auto" w:before="0"/>
        <w:ind w:left="854" w:right="115" w:hanging="738"/>
        <w:jc w:val="both"/>
        <w:rPr>
          <w:sz w:val="21"/>
        </w:rPr>
      </w:pPr>
      <w:r>
        <w:rPr>
          <w:color w:val="231F20"/>
          <w:sz w:val="21"/>
        </w:rPr>
        <w:t>Scott, W.R. y Davis, G.F. (2008). </w:t>
      </w:r>
      <w:r>
        <w:rPr>
          <w:i/>
          <w:color w:val="231F20"/>
          <w:sz w:val="21"/>
        </w:rPr>
        <w:t>Organizations and Organizing. Rational, </w:t>
      </w:r>
      <w:r>
        <w:rPr>
          <w:i/>
          <w:color w:val="231F20"/>
          <w:sz w:val="21"/>
        </w:rPr>
        <w:t>Natural, and Open System Perspectives</w:t>
      </w:r>
      <w:r>
        <w:rPr>
          <w:color w:val="231F20"/>
          <w:sz w:val="21"/>
        </w:rPr>
        <w:t>. Upper Sadle River, New Jersey: Pearson Prentice-Hall.</w:t>
      </w:r>
    </w:p>
    <w:p>
      <w:pPr>
        <w:spacing w:line="259" w:lineRule="auto" w:before="0"/>
        <w:ind w:left="854" w:right="121" w:hanging="738"/>
        <w:jc w:val="both"/>
        <w:rPr>
          <w:sz w:val="21"/>
        </w:rPr>
      </w:pPr>
      <w:r>
        <w:rPr>
          <w:color w:val="231F20"/>
          <w:sz w:val="21"/>
        </w:rPr>
        <w:t>Spangenberg, J.H. (2008). “Second Order Governance: Learning Pro- cesses to Identify Indicators. </w:t>
      </w:r>
      <w:r>
        <w:rPr>
          <w:i/>
          <w:color w:val="231F20"/>
          <w:sz w:val="21"/>
        </w:rPr>
        <w:t>Corporate Social Responsability and </w:t>
      </w:r>
      <w:r>
        <w:rPr>
          <w:i/>
          <w:color w:val="231F20"/>
          <w:sz w:val="21"/>
        </w:rPr>
        <w:t>Enrivonment Management. </w:t>
      </w:r>
      <w:r>
        <w:rPr>
          <w:color w:val="231F20"/>
          <w:sz w:val="21"/>
        </w:rPr>
        <w:t>Núm. 15:  125-139.</w:t>
      </w:r>
    </w:p>
    <w:p>
      <w:pPr>
        <w:pStyle w:val="BodyText"/>
        <w:spacing w:line="259" w:lineRule="auto"/>
        <w:ind w:left="854" w:right="121" w:hanging="738"/>
        <w:jc w:val="both"/>
      </w:pPr>
      <w:r>
        <w:rPr>
          <w:color w:val="231F20"/>
        </w:rPr>
        <w:t>Ulrich, D. y Barney, J.B. (1984). “Perspectives in Organizations: Resource Dependence, Efficiency, and Population”. </w:t>
      </w:r>
      <w:r>
        <w:rPr>
          <w:i/>
          <w:color w:val="231F20"/>
        </w:rPr>
        <w:t>Academy of Manage- </w:t>
      </w:r>
      <w:r>
        <w:rPr>
          <w:i/>
          <w:color w:val="231F20"/>
        </w:rPr>
        <w:t>ment Review</w:t>
      </w:r>
      <w:r>
        <w:rPr>
          <w:color w:val="231F20"/>
        </w:rPr>
        <w:t>. 9(1): 471-481.</w:t>
      </w:r>
    </w:p>
    <w:p>
      <w:pPr>
        <w:pStyle w:val="BodyText"/>
        <w:spacing w:line="259" w:lineRule="auto"/>
        <w:ind w:left="854" w:right="121" w:hanging="738"/>
        <w:jc w:val="both"/>
      </w:pPr>
      <w:r>
        <w:rPr>
          <w:color w:val="231F20"/>
        </w:rPr>
        <w:t>Weber, M. (2010). Economía y Sociedad. En: </w:t>
      </w:r>
      <w:r>
        <w:rPr>
          <w:i/>
          <w:color w:val="231F20"/>
        </w:rPr>
        <w:t>Obras selectas. </w:t>
      </w:r>
      <w:r>
        <w:rPr>
          <w:color w:val="231F20"/>
        </w:rPr>
        <w:t>Buenos Ai- res: Distal.</w:t>
      </w:r>
    </w:p>
    <w:p>
      <w:pPr>
        <w:pStyle w:val="BodyText"/>
        <w:spacing w:line="259" w:lineRule="auto"/>
        <w:ind w:left="854" w:right="115" w:hanging="738"/>
        <w:jc w:val="both"/>
      </w:pPr>
      <w:r>
        <w:rPr>
          <w:color w:val="231F20"/>
          <w:spacing w:val="-4"/>
        </w:rPr>
        <w:t>Yang, </w:t>
      </w:r>
      <w:r>
        <w:rPr>
          <w:color w:val="231F20"/>
          <w:spacing w:val="-7"/>
        </w:rPr>
        <w:t>M.Y., </w:t>
      </w:r>
      <w:r>
        <w:rPr>
          <w:color w:val="231F20"/>
        </w:rPr>
        <w:t>Chao, </w:t>
      </w:r>
      <w:r>
        <w:rPr>
          <w:color w:val="231F20"/>
          <w:spacing w:val="-7"/>
        </w:rPr>
        <w:t>H.Y., </w:t>
      </w:r>
      <w:r>
        <w:rPr>
          <w:color w:val="231F20"/>
        </w:rPr>
        <w:t>Liu, S.C. y Chen, H.L. (2014). “Exploring the</w:t>
      </w:r>
      <w:r>
        <w:rPr>
          <w:color w:val="231F20"/>
          <w:spacing w:val="-36"/>
        </w:rPr>
        <w:t> </w:t>
      </w:r>
      <w:r>
        <w:rPr>
          <w:color w:val="231F20"/>
        </w:rPr>
        <w:t>Deter- minants and Effects of Relationships in Collaborative </w:t>
      </w:r>
      <w:r>
        <w:rPr>
          <w:color w:val="231F20"/>
          <w:spacing w:val="-4"/>
        </w:rPr>
        <w:t>Commerce”. </w:t>
      </w:r>
      <w:r>
        <w:rPr>
          <w:i/>
          <w:color w:val="231F20"/>
        </w:rPr>
        <w:t>Asia Pacific Management Review. </w:t>
      </w:r>
      <w:r>
        <w:rPr>
          <w:color w:val="231F20"/>
        </w:rPr>
        <w:t>19(3):</w:t>
      </w:r>
      <w:r>
        <w:rPr>
          <w:color w:val="231F20"/>
          <w:spacing w:val="-10"/>
        </w:rPr>
        <w:t> </w:t>
      </w:r>
      <w:r>
        <w:rPr>
          <w:color w:val="231F20"/>
        </w:rPr>
        <w:t>215-238</w:t>
      </w:r>
    </w:p>
    <w:p>
      <w:pPr>
        <w:spacing w:after="0" w:line="259" w:lineRule="auto"/>
        <w:jc w:val="both"/>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89439">
            <wp:simplePos x="0" y="0"/>
            <wp:positionH relativeFrom="page">
              <wp:posOffset>7200</wp:posOffset>
            </wp:positionH>
            <wp:positionV relativeFrom="page">
              <wp:posOffset>0</wp:posOffset>
            </wp:positionV>
            <wp:extent cx="6112802" cy="8819997"/>
            <wp:effectExtent l="0" t="0" r="0" b="0"/>
            <wp:wrapNone/>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numPr>
          <w:ilvl w:val="0"/>
          <w:numId w:val="18"/>
        </w:numPr>
        <w:tabs>
          <w:tab w:pos="1462" w:val="left" w:leader="none"/>
        </w:tabs>
        <w:spacing w:line="288" w:lineRule="exact" w:before="175" w:after="0"/>
        <w:ind w:left="607" w:right="3204" w:firstLine="616"/>
        <w:jc w:val="right"/>
        <w:rPr>
          <w:color w:val="FFFFFF"/>
        </w:rPr>
      </w:pPr>
      <w:bookmarkStart w:name="_TOC_250002" w:id="2"/>
      <w:r>
        <w:rPr>
          <w:color w:val="FFFFFF"/>
          <w:w w:val="105"/>
        </w:rPr>
        <w:t>DETERMINANTES</w:t>
      </w:r>
      <w:r>
        <w:rPr>
          <w:color w:val="FFFFFF"/>
          <w:spacing w:val="25"/>
          <w:w w:val="105"/>
        </w:rPr>
        <w:t> </w:t>
      </w:r>
      <w:r>
        <w:rPr>
          <w:color w:val="FFFFFF"/>
          <w:w w:val="105"/>
        </w:rPr>
        <w:t>DE</w:t>
      </w:r>
      <w:r>
        <w:rPr>
          <w:color w:val="FFFFFF"/>
          <w:spacing w:val="25"/>
          <w:w w:val="105"/>
        </w:rPr>
        <w:t> </w:t>
      </w:r>
      <w:r>
        <w:rPr>
          <w:color w:val="FFFFFF"/>
          <w:w w:val="105"/>
        </w:rPr>
        <w:t>LA</w:t>
      </w:r>
      <w:r>
        <w:rPr>
          <w:color w:val="FFFFFF"/>
          <w:w w:val="108"/>
        </w:rPr>
        <w:t> </w:t>
      </w:r>
      <w:r>
        <w:rPr>
          <w:color w:val="FFFFFF"/>
          <w:w w:val="105"/>
        </w:rPr>
        <w:t>COMPETITIVIDAD</w:t>
      </w:r>
      <w:r>
        <w:rPr>
          <w:color w:val="FFFFFF"/>
          <w:spacing w:val="18"/>
          <w:w w:val="105"/>
        </w:rPr>
        <w:t> </w:t>
      </w:r>
      <w:r>
        <w:rPr>
          <w:color w:val="FFFFFF"/>
          <w:w w:val="105"/>
        </w:rPr>
        <w:t>EMPRESARIAL</w:t>
      </w:r>
      <w:r>
        <w:rPr>
          <w:color w:val="FFFFFF"/>
          <w:w w:val="109"/>
        </w:rPr>
        <w:t> </w:t>
      </w:r>
      <w:r>
        <w:rPr>
          <w:color w:val="FFFFFF"/>
          <w:w w:val="105"/>
        </w:rPr>
        <w:t>DESDE EL ENFOQUE</w:t>
      </w:r>
      <w:r>
        <w:rPr>
          <w:color w:val="FFFFFF"/>
          <w:spacing w:val="-29"/>
          <w:w w:val="105"/>
        </w:rPr>
        <w:t> </w:t>
      </w:r>
      <w:r>
        <w:rPr>
          <w:color w:val="FFFFFF"/>
          <w:w w:val="105"/>
        </w:rPr>
        <w:t>DE</w:t>
      </w:r>
      <w:r>
        <w:rPr>
          <w:color w:val="FFFFFF"/>
          <w:spacing w:val="28"/>
          <w:w w:val="105"/>
        </w:rPr>
        <w:t> </w:t>
      </w:r>
      <w:r>
        <w:rPr>
          <w:color w:val="FFFFFF"/>
          <w:w w:val="105"/>
        </w:rPr>
        <w:t>LA</w:t>
      </w:r>
      <w:r>
        <w:rPr>
          <w:color w:val="FFFFFF"/>
          <w:w w:val="108"/>
        </w:rPr>
        <w:t> </w:t>
      </w:r>
      <w:r>
        <w:rPr>
          <w:color w:val="FFFFFF"/>
          <w:w w:val="105"/>
        </w:rPr>
        <w:t>COMPETITIVIDAD</w:t>
      </w:r>
      <w:r>
        <w:rPr>
          <w:color w:val="FFFFFF"/>
          <w:spacing w:val="-13"/>
          <w:w w:val="105"/>
        </w:rPr>
        <w:t> </w:t>
      </w:r>
      <w:bookmarkEnd w:id="2"/>
      <w:r>
        <w:rPr>
          <w:color w:val="FFFFFF"/>
          <w:w w:val="105"/>
        </w:rPr>
        <w:t>SISTÉMICA</w:t>
      </w:r>
    </w:p>
    <w:p>
      <w:pPr>
        <w:pStyle w:val="Heading3"/>
        <w:spacing w:before="156"/>
        <w:ind w:right="84"/>
      </w:pPr>
      <w:r>
        <w:rPr>
          <w:color w:val="FFFFFF"/>
          <w:w w:val="105"/>
        </w:rPr>
        <w:t>María</w:t>
      </w:r>
      <w:r>
        <w:rPr>
          <w:color w:val="FFFFFF"/>
          <w:spacing w:val="-24"/>
          <w:w w:val="105"/>
        </w:rPr>
        <w:t> </w:t>
      </w:r>
      <w:r>
        <w:rPr>
          <w:color w:val="FFFFFF"/>
          <w:w w:val="105"/>
        </w:rPr>
        <w:t>del</w:t>
      </w:r>
      <w:r>
        <w:rPr>
          <w:color w:val="FFFFFF"/>
          <w:spacing w:val="-24"/>
          <w:w w:val="105"/>
        </w:rPr>
        <w:t> </w:t>
      </w:r>
      <w:r>
        <w:rPr>
          <w:color w:val="FFFFFF"/>
          <w:w w:val="105"/>
        </w:rPr>
        <w:t>Rosario</w:t>
      </w:r>
      <w:r>
        <w:rPr>
          <w:color w:val="FFFFFF"/>
          <w:spacing w:val="-24"/>
          <w:w w:val="105"/>
        </w:rPr>
        <w:t> </w:t>
      </w:r>
      <w:r>
        <w:rPr>
          <w:color w:val="FFFFFF"/>
          <w:w w:val="105"/>
        </w:rPr>
        <w:t>Demuner</w:t>
      </w:r>
      <w:r>
        <w:rPr>
          <w:color w:val="FFFFFF"/>
          <w:spacing w:val="-24"/>
          <w:w w:val="105"/>
        </w:rPr>
        <w:t> </w:t>
      </w:r>
      <w:r>
        <w:rPr>
          <w:color w:val="FFFFFF"/>
          <w:w w:val="105"/>
        </w:rPr>
        <w:t>Flores Patricia</w:t>
      </w:r>
      <w:r>
        <w:rPr>
          <w:color w:val="FFFFFF"/>
          <w:spacing w:val="-35"/>
          <w:w w:val="105"/>
        </w:rPr>
        <w:t> </w:t>
      </w:r>
      <w:r>
        <w:rPr>
          <w:color w:val="FFFFFF"/>
          <w:w w:val="105"/>
        </w:rPr>
        <w:t>Mercado</w:t>
      </w:r>
      <w:r>
        <w:rPr>
          <w:color w:val="FFFFFF"/>
          <w:spacing w:val="-35"/>
          <w:w w:val="105"/>
        </w:rPr>
        <w:t> </w:t>
      </w:r>
      <w:r>
        <w:rPr>
          <w:color w:val="FFFFFF"/>
          <w:w w:val="105"/>
        </w:rPr>
        <w:t>Salgado</w:t>
      </w:r>
    </w:p>
    <w:p>
      <w:pPr>
        <w:spacing w:before="1"/>
        <w:ind w:left="3931" w:right="17" w:firstLine="0"/>
        <w:jc w:val="left"/>
        <w:rPr>
          <w:rFonts w:ascii="Calibri" w:hAnsi="Calibri"/>
          <w:sz w:val="22"/>
        </w:rPr>
      </w:pPr>
      <w:r>
        <w:rPr>
          <w:rFonts w:ascii="Calibri" w:hAnsi="Calibri"/>
          <w:color w:val="FFFFFF"/>
          <w:w w:val="105"/>
          <w:sz w:val="22"/>
        </w:rPr>
        <w:t>Rosa María Nava Rogel</w:t>
      </w:r>
    </w:p>
    <w:p>
      <w:pPr>
        <w:spacing w:after="0"/>
        <w:jc w:val="left"/>
        <w:rPr>
          <w:rFonts w:ascii="Calibri" w:hAnsi="Calibri"/>
          <w:sz w:val="22"/>
        </w:rPr>
        <w:sectPr>
          <w:pgSz w:w="9640" w:h="13890"/>
          <w:pgMar w:top="1300" w:bottom="280" w:left="1340" w:right="116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spacing w:before="54"/>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21"/>
        <w:jc w:val="both"/>
      </w:pPr>
      <w:r>
        <w:rPr/>
        <w:pict>
          <v:shape style="position:absolute;margin-left:82.667099pt;margin-top:13.282507pt;width:31.2pt;height:51pt;mso-position-horizontal-relative:page;mso-position-vertical-relative:paragraph;z-index:193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rPr>
        <w:t>a globalización y el libre mercado se retroalimentan de los constantes cambios en los planos tecnológico, político, so- cio-económico y hasta cultural, combinación que despierta la competitividad como factor determinante para el éxito en casi cualquier terreno. Específicamente, las empresas deben cons-</w:t>
      </w:r>
    </w:p>
    <w:p>
      <w:pPr>
        <w:pStyle w:val="BodyText"/>
        <w:spacing w:line="259" w:lineRule="auto"/>
        <w:ind w:left="117" w:right="121"/>
        <w:jc w:val="both"/>
      </w:pPr>
      <w:r>
        <w:rPr>
          <w:color w:val="231F20"/>
          <w:w w:val="105"/>
        </w:rPr>
        <w:t>truir</w:t>
      </w:r>
      <w:r>
        <w:rPr>
          <w:color w:val="231F20"/>
          <w:spacing w:val="-10"/>
          <w:w w:val="105"/>
        </w:rPr>
        <w:t> </w:t>
      </w:r>
      <w:r>
        <w:rPr>
          <w:color w:val="231F20"/>
          <w:w w:val="105"/>
        </w:rPr>
        <w:t>una</w:t>
      </w:r>
      <w:r>
        <w:rPr>
          <w:color w:val="231F20"/>
          <w:spacing w:val="-10"/>
          <w:w w:val="105"/>
        </w:rPr>
        <w:t> </w:t>
      </w:r>
      <w:r>
        <w:rPr>
          <w:color w:val="231F20"/>
          <w:w w:val="105"/>
        </w:rPr>
        <w:t>estrategia</w:t>
      </w:r>
      <w:r>
        <w:rPr>
          <w:color w:val="231F20"/>
          <w:spacing w:val="-10"/>
          <w:w w:val="105"/>
        </w:rPr>
        <w:t> </w:t>
      </w:r>
      <w:r>
        <w:rPr>
          <w:color w:val="231F20"/>
          <w:w w:val="105"/>
        </w:rPr>
        <w:t>global</w:t>
      </w:r>
      <w:r>
        <w:rPr>
          <w:color w:val="231F20"/>
          <w:spacing w:val="-10"/>
          <w:w w:val="105"/>
        </w:rPr>
        <w:t> </w:t>
      </w:r>
      <w:r>
        <w:rPr>
          <w:color w:val="231F20"/>
          <w:w w:val="105"/>
        </w:rPr>
        <w:t>con</w:t>
      </w:r>
      <w:r>
        <w:rPr>
          <w:color w:val="231F20"/>
          <w:spacing w:val="-10"/>
          <w:w w:val="105"/>
        </w:rPr>
        <w:t> </w:t>
      </w:r>
      <w:r>
        <w:rPr>
          <w:color w:val="231F20"/>
          <w:w w:val="105"/>
        </w:rPr>
        <w:t>un</w:t>
      </w:r>
      <w:r>
        <w:rPr>
          <w:color w:val="231F20"/>
          <w:spacing w:val="-10"/>
          <w:w w:val="105"/>
        </w:rPr>
        <w:t> </w:t>
      </w:r>
      <w:r>
        <w:rPr>
          <w:color w:val="231F20"/>
          <w:w w:val="105"/>
        </w:rPr>
        <w:t>doble</w:t>
      </w:r>
      <w:r>
        <w:rPr>
          <w:color w:val="231F20"/>
          <w:spacing w:val="-10"/>
          <w:w w:val="105"/>
        </w:rPr>
        <w:t> </w:t>
      </w:r>
      <w:r>
        <w:rPr>
          <w:color w:val="231F20"/>
          <w:w w:val="105"/>
        </w:rPr>
        <w:t>enfoque:</w:t>
      </w:r>
      <w:r>
        <w:rPr>
          <w:color w:val="231F20"/>
          <w:spacing w:val="-10"/>
          <w:w w:val="105"/>
        </w:rPr>
        <w:t> </w:t>
      </w:r>
      <w:r>
        <w:rPr>
          <w:color w:val="231F20"/>
          <w:w w:val="105"/>
        </w:rPr>
        <w:t>por</w:t>
      </w:r>
      <w:r>
        <w:rPr>
          <w:color w:val="231F20"/>
          <w:spacing w:val="-10"/>
          <w:w w:val="105"/>
        </w:rPr>
        <w:t> </w:t>
      </w:r>
      <w:r>
        <w:rPr>
          <w:color w:val="231F20"/>
          <w:w w:val="105"/>
        </w:rPr>
        <w:t>un</w:t>
      </w:r>
      <w:r>
        <w:rPr>
          <w:color w:val="231F20"/>
          <w:spacing w:val="-10"/>
          <w:w w:val="105"/>
        </w:rPr>
        <w:t> </w:t>
      </w:r>
      <w:r>
        <w:rPr>
          <w:color w:val="231F20"/>
          <w:w w:val="105"/>
        </w:rPr>
        <w:t>lado,</w:t>
      </w:r>
      <w:r>
        <w:rPr>
          <w:color w:val="231F20"/>
          <w:spacing w:val="-17"/>
          <w:w w:val="105"/>
        </w:rPr>
        <w:t> </w:t>
      </w:r>
      <w:r>
        <w:rPr>
          <w:color w:val="231F20"/>
          <w:w w:val="105"/>
        </w:rPr>
        <w:t>para</w:t>
      </w:r>
      <w:r>
        <w:rPr>
          <w:color w:val="231F20"/>
          <w:spacing w:val="-10"/>
          <w:w w:val="105"/>
        </w:rPr>
        <w:t> </w:t>
      </w:r>
      <w:r>
        <w:rPr>
          <w:color w:val="231F20"/>
          <w:w w:val="105"/>
        </w:rPr>
        <w:t>parti- cipar</w:t>
      </w:r>
      <w:r>
        <w:rPr>
          <w:color w:val="231F20"/>
          <w:spacing w:val="-11"/>
          <w:w w:val="105"/>
        </w:rPr>
        <w:t> </w:t>
      </w:r>
      <w:r>
        <w:rPr>
          <w:color w:val="231F20"/>
          <w:w w:val="105"/>
        </w:rPr>
        <w:t>en</w:t>
      </w:r>
      <w:r>
        <w:rPr>
          <w:color w:val="231F20"/>
          <w:spacing w:val="-11"/>
          <w:w w:val="105"/>
        </w:rPr>
        <w:t> </w:t>
      </w:r>
      <w:r>
        <w:rPr>
          <w:color w:val="231F20"/>
          <w:w w:val="105"/>
        </w:rPr>
        <w:t>mercados</w:t>
      </w:r>
      <w:r>
        <w:rPr>
          <w:color w:val="231F20"/>
          <w:spacing w:val="-11"/>
          <w:w w:val="105"/>
        </w:rPr>
        <w:t> </w:t>
      </w:r>
      <w:r>
        <w:rPr>
          <w:color w:val="231F20"/>
          <w:w w:val="105"/>
        </w:rPr>
        <w:t>internacionales</w:t>
      </w:r>
      <w:r>
        <w:rPr>
          <w:color w:val="231F20"/>
          <w:spacing w:val="-11"/>
          <w:w w:val="105"/>
        </w:rPr>
        <w:t> </w:t>
      </w:r>
      <w:r>
        <w:rPr>
          <w:color w:val="231F20"/>
          <w:spacing w:val="-4"/>
          <w:w w:val="105"/>
        </w:rPr>
        <w:t>y,</w:t>
      </w:r>
      <w:r>
        <w:rPr>
          <w:color w:val="231F20"/>
          <w:spacing w:val="-17"/>
          <w:w w:val="105"/>
        </w:rPr>
        <w:t> </w:t>
      </w:r>
      <w:r>
        <w:rPr>
          <w:color w:val="231F20"/>
          <w:w w:val="105"/>
        </w:rPr>
        <w:t>por</w:t>
      </w:r>
      <w:r>
        <w:rPr>
          <w:color w:val="231F20"/>
          <w:spacing w:val="-11"/>
          <w:w w:val="105"/>
        </w:rPr>
        <w:t> </w:t>
      </w:r>
      <w:r>
        <w:rPr>
          <w:color w:val="231F20"/>
          <w:w w:val="105"/>
        </w:rPr>
        <w:t>otro,</w:t>
      </w:r>
      <w:r>
        <w:rPr>
          <w:color w:val="231F20"/>
          <w:spacing w:val="-17"/>
          <w:w w:val="105"/>
        </w:rPr>
        <w:t> </w:t>
      </w:r>
      <w:r>
        <w:rPr>
          <w:color w:val="231F20"/>
          <w:w w:val="105"/>
        </w:rPr>
        <w:t>para</w:t>
      </w:r>
      <w:r>
        <w:rPr>
          <w:color w:val="231F20"/>
          <w:spacing w:val="-11"/>
          <w:w w:val="105"/>
        </w:rPr>
        <w:t> </w:t>
      </w:r>
      <w:r>
        <w:rPr>
          <w:color w:val="231F20"/>
          <w:w w:val="105"/>
        </w:rPr>
        <w:t>vigilar</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competi- dores</w:t>
      </w:r>
      <w:r>
        <w:rPr>
          <w:color w:val="231F20"/>
          <w:spacing w:val="-18"/>
          <w:w w:val="105"/>
        </w:rPr>
        <w:t> </w:t>
      </w:r>
      <w:r>
        <w:rPr>
          <w:color w:val="231F20"/>
          <w:w w:val="105"/>
        </w:rPr>
        <w:t>nacionales</w:t>
      </w:r>
      <w:r>
        <w:rPr>
          <w:color w:val="231F20"/>
          <w:spacing w:val="-18"/>
          <w:w w:val="105"/>
        </w:rPr>
        <w:t> </w:t>
      </w:r>
      <w:r>
        <w:rPr>
          <w:color w:val="231F20"/>
          <w:w w:val="105"/>
        </w:rPr>
        <w:t>y</w:t>
      </w:r>
      <w:r>
        <w:rPr>
          <w:color w:val="231F20"/>
          <w:spacing w:val="-18"/>
          <w:w w:val="105"/>
        </w:rPr>
        <w:t> </w:t>
      </w:r>
      <w:r>
        <w:rPr>
          <w:color w:val="231F20"/>
          <w:w w:val="105"/>
        </w:rPr>
        <w:t>extranjeros</w:t>
      </w:r>
      <w:r>
        <w:rPr>
          <w:color w:val="231F20"/>
          <w:spacing w:val="-18"/>
          <w:w w:val="105"/>
        </w:rPr>
        <w:t> </w:t>
      </w:r>
      <w:r>
        <w:rPr>
          <w:color w:val="231F20"/>
          <w:w w:val="105"/>
        </w:rPr>
        <w:t>que</w:t>
      </w:r>
      <w:r>
        <w:rPr>
          <w:color w:val="231F20"/>
          <w:spacing w:val="-18"/>
          <w:w w:val="105"/>
        </w:rPr>
        <w:t> </w:t>
      </w:r>
      <w:r>
        <w:rPr>
          <w:color w:val="231F20"/>
          <w:w w:val="105"/>
        </w:rPr>
        <w:t>entran</w:t>
      </w:r>
      <w:r>
        <w:rPr>
          <w:color w:val="231F20"/>
          <w:spacing w:val="-18"/>
          <w:w w:val="105"/>
        </w:rPr>
        <w:t> </w:t>
      </w:r>
      <w:r>
        <w:rPr>
          <w:color w:val="231F20"/>
          <w:w w:val="105"/>
        </w:rPr>
        <w:t>a</w:t>
      </w:r>
      <w:r>
        <w:rPr>
          <w:color w:val="231F20"/>
          <w:spacing w:val="-18"/>
          <w:w w:val="105"/>
        </w:rPr>
        <w:t> </w:t>
      </w:r>
      <w:r>
        <w:rPr>
          <w:color w:val="231F20"/>
          <w:w w:val="105"/>
        </w:rPr>
        <w:t>territorio</w:t>
      </w:r>
      <w:r>
        <w:rPr>
          <w:color w:val="231F20"/>
          <w:spacing w:val="-18"/>
          <w:w w:val="105"/>
        </w:rPr>
        <w:t> </w:t>
      </w:r>
      <w:r>
        <w:rPr>
          <w:color w:val="231F20"/>
          <w:w w:val="105"/>
        </w:rPr>
        <w:t>local.</w:t>
      </w:r>
    </w:p>
    <w:p>
      <w:pPr>
        <w:pStyle w:val="BodyText"/>
        <w:spacing w:line="259" w:lineRule="auto"/>
        <w:ind w:left="117" w:right="115" w:firstLine="567"/>
        <w:jc w:val="both"/>
      </w:pPr>
      <w:r>
        <w:rPr>
          <w:color w:val="231F20"/>
          <w:w w:val="105"/>
        </w:rPr>
        <w:t>Con el modelo de competitividad sistémica pueden reconocerse ambos</w:t>
      </w:r>
      <w:r>
        <w:rPr>
          <w:color w:val="231F20"/>
          <w:spacing w:val="-25"/>
          <w:w w:val="105"/>
        </w:rPr>
        <w:t> </w:t>
      </w:r>
      <w:r>
        <w:rPr>
          <w:color w:val="231F20"/>
          <w:w w:val="105"/>
        </w:rPr>
        <w:t>enfoques</w:t>
      </w:r>
      <w:r>
        <w:rPr>
          <w:color w:val="231F20"/>
          <w:spacing w:val="-25"/>
          <w:w w:val="105"/>
        </w:rPr>
        <w:t> </w:t>
      </w:r>
      <w:r>
        <w:rPr>
          <w:color w:val="231F20"/>
          <w:w w:val="105"/>
        </w:rPr>
        <w:t>mediante</w:t>
      </w:r>
      <w:r>
        <w:rPr>
          <w:color w:val="231F20"/>
          <w:spacing w:val="-25"/>
          <w:w w:val="105"/>
        </w:rPr>
        <w:t> </w:t>
      </w:r>
      <w:r>
        <w:rPr>
          <w:color w:val="231F20"/>
          <w:w w:val="105"/>
        </w:rPr>
        <w:t>la</w:t>
      </w:r>
      <w:r>
        <w:rPr>
          <w:color w:val="231F20"/>
          <w:spacing w:val="-25"/>
          <w:w w:val="105"/>
        </w:rPr>
        <w:t> </w:t>
      </w:r>
      <w:r>
        <w:rPr>
          <w:color w:val="231F20"/>
          <w:w w:val="105"/>
        </w:rPr>
        <w:t>interdependencia</w:t>
      </w:r>
      <w:r>
        <w:rPr>
          <w:color w:val="231F20"/>
          <w:spacing w:val="-25"/>
          <w:w w:val="105"/>
        </w:rPr>
        <w:t> </w:t>
      </w:r>
      <w:r>
        <w:rPr>
          <w:color w:val="231F20"/>
          <w:w w:val="105"/>
        </w:rPr>
        <w:t>de</w:t>
      </w:r>
      <w:r>
        <w:rPr>
          <w:color w:val="231F20"/>
          <w:spacing w:val="-25"/>
          <w:w w:val="105"/>
        </w:rPr>
        <w:t> </w:t>
      </w:r>
      <w:r>
        <w:rPr>
          <w:color w:val="231F20"/>
          <w:w w:val="105"/>
        </w:rPr>
        <w:t>cuatro</w:t>
      </w:r>
      <w:r>
        <w:rPr>
          <w:color w:val="231F20"/>
          <w:spacing w:val="-25"/>
          <w:w w:val="105"/>
        </w:rPr>
        <w:t> </w:t>
      </w:r>
      <w:r>
        <w:rPr>
          <w:color w:val="231F20"/>
          <w:w w:val="105"/>
        </w:rPr>
        <w:t>niveles:</w:t>
      </w:r>
      <w:r>
        <w:rPr>
          <w:color w:val="231F20"/>
          <w:spacing w:val="-25"/>
          <w:w w:val="105"/>
        </w:rPr>
        <w:t> </w:t>
      </w:r>
      <w:r>
        <w:rPr>
          <w:color w:val="231F20"/>
          <w:w w:val="105"/>
        </w:rPr>
        <w:t>macro, meta, meso y micro. Éste último refiere la rentabilidad, productividad, flexibilidad, calidad y diferenciación de las empresas y su integración sectorial</w:t>
      </w:r>
      <w:r>
        <w:rPr>
          <w:color w:val="231F20"/>
          <w:spacing w:val="-15"/>
          <w:w w:val="105"/>
        </w:rPr>
        <w:t> </w:t>
      </w:r>
      <w:r>
        <w:rPr>
          <w:color w:val="231F20"/>
          <w:w w:val="105"/>
        </w:rPr>
        <w:t>al</w:t>
      </w:r>
      <w:r>
        <w:rPr>
          <w:color w:val="231F20"/>
          <w:spacing w:val="-15"/>
          <w:w w:val="105"/>
        </w:rPr>
        <w:t> </w:t>
      </w:r>
      <w:r>
        <w:rPr>
          <w:color w:val="231F20"/>
          <w:w w:val="105"/>
        </w:rPr>
        <w:t>sostener</w:t>
      </w:r>
      <w:r>
        <w:rPr>
          <w:color w:val="231F20"/>
          <w:spacing w:val="-15"/>
          <w:w w:val="105"/>
        </w:rPr>
        <w:t> </w:t>
      </w:r>
      <w:r>
        <w:rPr>
          <w:color w:val="231F20"/>
          <w:w w:val="105"/>
        </w:rPr>
        <w:t>una</w:t>
      </w:r>
      <w:r>
        <w:rPr>
          <w:color w:val="231F20"/>
          <w:spacing w:val="-15"/>
          <w:w w:val="105"/>
        </w:rPr>
        <w:t> </w:t>
      </w:r>
      <w:r>
        <w:rPr>
          <w:color w:val="231F20"/>
          <w:w w:val="105"/>
        </w:rPr>
        <w:t>ventaja</w:t>
      </w:r>
      <w:r>
        <w:rPr>
          <w:color w:val="231F20"/>
          <w:spacing w:val="-15"/>
          <w:w w:val="105"/>
        </w:rPr>
        <w:t> </w:t>
      </w:r>
      <w:r>
        <w:rPr>
          <w:color w:val="231F20"/>
          <w:w w:val="105"/>
        </w:rPr>
        <w:t>competitiva.</w:t>
      </w:r>
      <w:r>
        <w:rPr>
          <w:color w:val="231F20"/>
          <w:spacing w:val="-21"/>
          <w:w w:val="105"/>
        </w:rPr>
        <w:t> </w:t>
      </w:r>
      <w:r>
        <w:rPr>
          <w:color w:val="231F20"/>
          <w:w w:val="105"/>
        </w:rPr>
        <w:t>Desde</w:t>
      </w:r>
      <w:r>
        <w:rPr>
          <w:color w:val="231F20"/>
          <w:spacing w:val="-15"/>
          <w:w w:val="105"/>
        </w:rPr>
        <w:t> </w:t>
      </w:r>
      <w:r>
        <w:rPr>
          <w:color w:val="231F20"/>
          <w:w w:val="105"/>
        </w:rPr>
        <w:t>esta</w:t>
      </w:r>
      <w:r>
        <w:rPr>
          <w:color w:val="231F20"/>
          <w:spacing w:val="-15"/>
          <w:w w:val="105"/>
        </w:rPr>
        <w:t> </w:t>
      </w:r>
      <w:r>
        <w:rPr>
          <w:color w:val="231F20"/>
          <w:w w:val="105"/>
        </w:rPr>
        <w:t>perspectiva,</w:t>
      </w:r>
      <w:r>
        <w:rPr>
          <w:color w:val="231F20"/>
          <w:spacing w:val="-21"/>
          <w:w w:val="105"/>
        </w:rPr>
        <w:t> </w:t>
      </w:r>
      <w:r>
        <w:rPr>
          <w:color w:val="231F20"/>
          <w:w w:val="105"/>
        </w:rPr>
        <w:t>el objetivo</w:t>
      </w:r>
      <w:r>
        <w:rPr>
          <w:color w:val="231F20"/>
          <w:spacing w:val="-6"/>
          <w:w w:val="105"/>
        </w:rPr>
        <w:t> </w:t>
      </w:r>
      <w:r>
        <w:rPr>
          <w:color w:val="231F20"/>
          <w:w w:val="105"/>
        </w:rPr>
        <w:t>de</w:t>
      </w:r>
      <w:r>
        <w:rPr>
          <w:color w:val="231F20"/>
          <w:spacing w:val="-6"/>
          <w:w w:val="105"/>
        </w:rPr>
        <w:t> </w:t>
      </w:r>
      <w:r>
        <w:rPr>
          <w:color w:val="231F20"/>
          <w:w w:val="105"/>
        </w:rPr>
        <w:t>este</w:t>
      </w:r>
      <w:r>
        <w:rPr>
          <w:color w:val="231F20"/>
          <w:spacing w:val="-6"/>
          <w:w w:val="105"/>
        </w:rPr>
        <w:t> </w:t>
      </w:r>
      <w:r>
        <w:rPr>
          <w:color w:val="231F20"/>
          <w:w w:val="105"/>
        </w:rPr>
        <w:t>capítulo</w:t>
      </w:r>
      <w:r>
        <w:rPr>
          <w:color w:val="231F20"/>
          <w:spacing w:val="-6"/>
          <w:w w:val="105"/>
        </w:rPr>
        <w:t> </w:t>
      </w:r>
      <w:r>
        <w:rPr>
          <w:color w:val="231F20"/>
          <w:w w:val="105"/>
        </w:rPr>
        <w:t>es</w:t>
      </w:r>
      <w:r>
        <w:rPr>
          <w:color w:val="231F20"/>
          <w:spacing w:val="-6"/>
          <w:w w:val="105"/>
        </w:rPr>
        <w:t> </w:t>
      </w:r>
      <w:r>
        <w:rPr>
          <w:color w:val="231F20"/>
          <w:w w:val="105"/>
        </w:rPr>
        <w:t>identificar</w:t>
      </w:r>
      <w:r>
        <w:rPr>
          <w:color w:val="231F20"/>
          <w:spacing w:val="-6"/>
          <w:w w:val="105"/>
        </w:rPr>
        <w:t> </w:t>
      </w:r>
      <w:r>
        <w:rPr>
          <w:color w:val="231F20"/>
          <w:w w:val="105"/>
        </w:rPr>
        <w:t>seis</w:t>
      </w:r>
      <w:r>
        <w:rPr>
          <w:color w:val="231F20"/>
          <w:spacing w:val="-6"/>
          <w:w w:val="105"/>
        </w:rPr>
        <w:t> </w:t>
      </w:r>
      <w:r>
        <w:rPr>
          <w:color w:val="231F20"/>
          <w:w w:val="105"/>
        </w:rPr>
        <w:t>determinantes</w:t>
      </w:r>
      <w:r>
        <w:rPr>
          <w:color w:val="231F20"/>
          <w:spacing w:val="-6"/>
          <w:w w:val="105"/>
        </w:rPr>
        <w:t> </w:t>
      </w:r>
      <w:r>
        <w:rPr>
          <w:color w:val="231F20"/>
          <w:w w:val="105"/>
        </w:rPr>
        <w:t>que</w:t>
      </w:r>
      <w:r>
        <w:rPr>
          <w:color w:val="231F20"/>
          <w:spacing w:val="-6"/>
          <w:w w:val="105"/>
        </w:rPr>
        <w:t> </w:t>
      </w:r>
      <w:r>
        <w:rPr>
          <w:color w:val="231F20"/>
          <w:w w:val="105"/>
        </w:rPr>
        <w:t>impulsan la competitividad a nivel empresarial: tecnología de la estructura pro- ductiva,</w:t>
      </w:r>
      <w:r>
        <w:rPr>
          <w:color w:val="231F20"/>
          <w:spacing w:val="-24"/>
          <w:w w:val="105"/>
        </w:rPr>
        <w:t> </w:t>
      </w:r>
      <w:r>
        <w:rPr>
          <w:color w:val="231F20"/>
          <w:w w:val="105"/>
        </w:rPr>
        <w:t>sistema</w:t>
      </w:r>
      <w:r>
        <w:rPr>
          <w:color w:val="231F20"/>
          <w:spacing w:val="-19"/>
          <w:w w:val="105"/>
        </w:rPr>
        <w:t> </w:t>
      </w:r>
      <w:r>
        <w:rPr>
          <w:color w:val="231F20"/>
          <w:w w:val="105"/>
        </w:rPr>
        <w:t>de</w:t>
      </w:r>
      <w:r>
        <w:rPr>
          <w:color w:val="231F20"/>
          <w:spacing w:val="-19"/>
          <w:w w:val="105"/>
        </w:rPr>
        <w:t> </w:t>
      </w:r>
      <w:r>
        <w:rPr>
          <w:color w:val="231F20"/>
          <w:w w:val="105"/>
        </w:rPr>
        <w:t>administración,</w:t>
      </w:r>
      <w:r>
        <w:rPr>
          <w:color w:val="231F20"/>
          <w:spacing w:val="-24"/>
          <w:w w:val="105"/>
        </w:rPr>
        <w:t> </w:t>
      </w:r>
      <w:r>
        <w:rPr>
          <w:color w:val="231F20"/>
          <w:w w:val="105"/>
        </w:rPr>
        <w:t>mercado,</w:t>
      </w:r>
      <w:r>
        <w:rPr>
          <w:color w:val="231F20"/>
          <w:spacing w:val="-24"/>
          <w:w w:val="105"/>
        </w:rPr>
        <w:t> </w:t>
      </w:r>
      <w:r>
        <w:rPr>
          <w:color w:val="231F20"/>
          <w:w w:val="105"/>
        </w:rPr>
        <w:t>gestión</w:t>
      </w:r>
      <w:r>
        <w:rPr>
          <w:color w:val="231F20"/>
          <w:spacing w:val="-19"/>
          <w:w w:val="105"/>
        </w:rPr>
        <w:t> </w:t>
      </w:r>
      <w:r>
        <w:rPr>
          <w:color w:val="231F20"/>
          <w:w w:val="105"/>
        </w:rPr>
        <w:t>de</w:t>
      </w:r>
      <w:r>
        <w:rPr>
          <w:color w:val="231F20"/>
          <w:spacing w:val="-19"/>
          <w:w w:val="105"/>
        </w:rPr>
        <w:t> </w:t>
      </w:r>
      <w:r>
        <w:rPr>
          <w:color w:val="231F20"/>
          <w:w w:val="105"/>
        </w:rPr>
        <w:t>calidad,</w:t>
      </w:r>
      <w:r>
        <w:rPr>
          <w:color w:val="231F20"/>
          <w:spacing w:val="-24"/>
          <w:w w:val="105"/>
        </w:rPr>
        <w:t> </w:t>
      </w:r>
      <w:r>
        <w:rPr>
          <w:color w:val="231F20"/>
          <w:w w:val="105"/>
        </w:rPr>
        <w:t>gestión financiera</w:t>
      </w:r>
      <w:r>
        <w:rPr>
          <w:color w:val="231F20"/>
          <w:spacing w:val="-24"/>
          <w:w w:val="105"/>
        </w:rPr>
        <w:t> </w:t>
      </w:r>
      <w:r>
        <w:rPr>
          <w:color w:val="231F20"/>
          <w:w w:val="105"/>
        </w:rPr>
        <w:t>y</w:t>
      </w:r>
      <w:r>
        <w:rPr>
          <w:color w:val="231F20"/>
          <w:spacing w:val="-24"/>
          <w:w w:val="105"/>
        </w:rPr>
        <w:t> </w:t>
      </w:r>
      <w:r>
        <w:rPr>
          <w:color w:val="231F20"/>
          <w:w w:val="105"/>
        </w:rPr>
        <w:t>sistema</w:t>
      </w:r>
      <w:r>
        <w:rPr>
          <w:color w:val="231F20"/>
          <w:spacing w:val="-24"/>
          <w:w w:val="105"/>
        </w:rPr>
        <w:t> </w:t>
      </w:r>
      <w:r>
        <w:rPr>
          <w:color w:val="231F20"/>
          <w:w w:val="105"/>
        </w:rPr>
        <w:t>de</w:t>
      </w:r>
      <w:r>
        <w:rPr>
          <w:color w:val="231F20"/>
          <w:spacing w:val="-24"/>
          <w:w w:val="105"/>
        </w:rPr>
        <w:t> </w:t>
      </w:r>
      <w:r>
        <w:rPr>
          <w:color w:val="231F20"/>
          <w:w w:val="105"/>
        </w:rPr>
        <w:t>información.</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0"/>
        <w:jc w:val="both"/>
      </w:pPr>
      <w:r>
        <w:rPr>
          <w:color w:val="231F20"/>
          <w:w w:val="105"/>
        </w:rPr>
        <w:t>El concepto competitividad es cada día más utilizado en la literatura y en</w:t>
      </w:r>
      <w:r>
        <w:rPr>
          <w:color w:val="231F20"/>
          <w:spacing w:val="-10"/>
          <w:w w:val="105"/>
        </w:rPr>
        <w:t> </w:t>
      </w:r>
      <w:r>
        <w:rPr>
          <w:color w:val="231F20"/>
          <w:w w:val="105"/>
        </w:rPr>
        <w:t>la</w:t>
      </w:r>
      <w:r>
        <w:rPr>
          <w:color w:val="231F20"/>
          <w:spacing w:val="-10"/>
          <w:w w:val="105"/>
        </w:rPr>
        <w:t> </w:t>
      </w:r>
      <w:r>
        <w:rPr>
          <w:color w:val="231F20"/>
          <w:w w:val="105"/>
        </w:rPr>
        <w:t>vida</w:t>
      </w:r>
      <w:r>
        <w:rPr>
          <w:color w:val="231F20"/>
          <w:spacing w:val="-10"/>
          <w:w w:val="105"/>
        </w:rPr>
        <w:t> </w:t>
      </w:r>
      <w:r>
        <w:rPr>
          <w:color w:val="231F20"/>
          <w:w w:val="105"/>
        </w:rPr>
        <w:t>cotidiana;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argot</w:t>
      </w:r>
      <w:r>
        <w:rPr>
          <w:color w:val="231F20"/>
          <w:spacing w:val="-10"/>
          <w:w w:val="105"/>
        </w:rPr>
        <w:t> </w:t>
      </w:r>
      <w:r>
        <w:rPr>
          <w:color w:val="231F20"/>
          <w:w w:val="105"/>
        </w:rPr>
        <w:t>común</w:t>
      </w:r>
      <w:r>
        <w:rPr>
          <w:color w:val="231F20"/>
          <w:spacing w:val="-10"/>
          <w:w w:val="105"/>
        </w:rPr>
        <w:t> </w:t>
      </w:r>
      <w:r>
        <w:rPr>
          <w:color w:val="231F20"/>
          <w:w w:val="105"/>
        </w:rPr>
        <w:t>se</w:t>
      </w:r>
      <w:r>
        <w:rPr>
          <w:color w:val="231F20"/>
          <w:spacing w:val="-10"/>
          <w:w w:val="105"/>
        </w:rPr>
        <w:t> </w:t>
      </w:r>
      <w:r>
        <w:rPr>
          <w:color w:val="231F20"/>
          <w:w w:val="105"/>
        </w:rPr>
        <w:t>usa</w:t>
      </w:r>
      <w:r>
        <w:rPr>
          <w:color w:val="231F20"/>
          <w:spacing w:val="-10"/>
          <w:w w:val="105"/>
        </w:rPr>
        <w:t> </w:t>
      </w:r>
      <w:r>
        <w:rPr>
          <w:color w:val="231F20"/>
          <w:w w:val="105"/>
        </w:rPr>
        <w:t>como</w:t>
      </w:r>
      <w:r>
        <w:rPr>
          <w:color w:val="231F20"/>
          <w:spacing w:val="-10"/>
          <w:w w:val="105"/>
        </w:rPr>
        <w:t> </w:t>
      </w:r>
      <w:r>
        <w:rPr>
          <w:color w:val="231F20"/>
          <w:w w:val="105"/>
        </w:rPr>
        <w:t>una</w:t>
      </w:r>
      <w:r>
        <w:rPr>
          <w:color w:val="231F20"/>
          <w:spacing w:val="-10"/>
          <w:w w:val="105"/>
        </w:rPr>
        <w:t> </w:t>
      </w:r>
      <w:r>
        <w:rPr>
          <w:color w:val="231F20"/>
          <w:w w:val="105"/>
        </w:rPr>
        <w:t>expresión</w:t>
      </w:r>
      <w:r>
        <w:rPr>
          <w:color w:val="231F20"/>
          <w:spacing w:val="-10"/>
          <w:w w:val="105"/>
        </w:rPr>
        <w:t> </w:t>
      </w:r>
      <w:r>
        <w:rPr>
          <w:color w:val="231F20"/>
          <w:w w:val="105"/>
        </w:rPr>
        <w:t>para mostrar una habilidad, capacidad o actitud sobresaliente que justifica un</w:t>
      </w:r>
      <w:r>
        <w:rPr>
          <w:color w:val="231F20"/>
          <w:spacing w:val="-41"/>
          <w:w w:val="105"/>
        </w:rPr>
        <w:t> </w:t>
      </w:r>
      <w:r>
        <w:rPr>
          <w:color w:val="231F20"/>
          <w:w w:val="105"/>
        </w:rPr>
        <w:t>esfuerzo.</w:t>
      </w:r>
    </w:p>
    <w:p>
      <w:pPr>
        <w:spacing w:after="0" w:line="259" w:lineRule="auto"/>
        <w:jc w:val="both"/>
        <w:sectPr>
          <w:pgSz w:w="9640" w:h="13890"/>
          <w:pgMar w:top="1300" w:bottom="280" w:left="1300" w:right="1180"/>
        </w:sectPr>
      </w:pPr>
    </w:p>
    <w:p>
      <w:pPr>
        <w:pStyle w:val="BodyText"/>
        <w:spacing w:line="259" w:lineRule="auto" w:before="120"/>
        <w:ind w:left="103" w:right="111"/>
        <w:jc w:val="both"/>
      </w:pPr>
      <w:r>
        <w:rPr>
          <w:color w:val="231F20"/>
          <w:w w:val="105"/>
        </w:rPr>
        <w:t>En la </w:t>
      </w:r>
      <w:r>
        <w:rPr>
          <w:color w:val="231F20"/>
          <w:spacing w:val="-3"/>
          <w:w w:val="105"/>
        </w:rPr>
        <w:t>dinámica global, </w:t>
      </w:r>
      <w:r>
        <w:rPr>
          <w:color w:val="231F20"/>
          <w:w w:val="105"/>
        </w:rPr>
        <w:t>la </w:t>
      </w:r>
      <w:r>
        <w:rPr>
          <w:color w:val="231F20"/>
          <w:spacing w:val="-3"/>
          <w:w w:val="105"/>
        </w:rPr>
        <w:t>competitividad </w:t>
      </w:r>
      <w:r>
        <w:rPr>
          <w:color w:val="231F20"/>
          <w:w w:val="105"/>
        </w:rPr>
        <w:t>se </w:t>
      </w:r>
      <w:r>
        <w:rPr>
          <w:color w:val="231F20"/>
          <w:spacing w:val="-3"/>
          <w:w w:val="105"/>
        </w:rPr>
        <w:t>entiende como </w:t>
      </w:r>
      <w:r>
        <w:rPr>
          <w:color w:val="231F20"/>
          <w:w w:val="105"/>
        </w:rPr>
        <w:t>la </w:t>
      </w:r>
      <w:r>
        <w:rPr>
          <w:color w:val="231F20"/>
          <w:spacing w:val="-3"/>
          <w:w w:val="105"/>
        </w:rPr>
        <w:t>capacidad para</w:t>
      </w:r>
      <w:r>
        <w:rPr>
          <w:color w:val="231F20"/>
          <w:spacing w:val="-29"/>
          <w:w w:val="105"/>
        </w:rPr>
        <w:t> </w:t>
      </w:r>
      <w:r>
        <w:rPr>
          <w:color w:val="231F20"/>
          <w:spacing w:val="-3"/>
          <w:w w:val="105"/>
        </w:rPr>
        <w:t>sostener</w:t>
      </w:r>
      <w:r>
        <w:rPr>
          <w:color w:val="231F20"/>
          <w:spacing w:val="-29"/>
          <w:w w:val="105"/>
        </w:rPr>
        <w:t> </w:t>
      </w:r>
      <w:r>
        <w:rPr>
          <w:color w:val="231F20"/>
          <w:w w:val="105"/>
        </w:rPr>
        <w:t>e</w:t>
      </w:r>
      <w:r>
        <w:rPr>
          <w:color w:val="231F20"/>
          <w:spacing w:val="-29"/>
          <w:w w:val="105"/>
        </w:rPr>
        <w:t> </w:t>
      </w:r>
      <w:r>
        <w:rPr>
          <w:color w:val="231F20"/>
          <w:spacing w:val="-3"/>
          <w:w w:val="105"/>
        </w:rPr>
        <w:t>incrementar</w:t>
      </w:r>
      <w:r>
        <w:rPr>
          <w:color w:val="231F20"/>
          <w:spacing w:val="-29"/>
          <w:w w:val="105"/>
        </w:rPr>
        <w:t> </w:t>
      </w:r>
      <w:r>
        <w:rPr>
          <w:color w:val="231F20"/>
          <w:w w:val="105"/>
        </w:rPr>
        <w:t>la</w:t>
      </w:r>
      <w:r>
        <w:rPr>
          <w:color w:val="231F20"/>
          <w:spacing w:val="-29"/>
          <w:w w:val="105"/>
        </w:rPr>
        <w:t> </w:t>
      </w:r>
      <w:r>
        <w:rPr>
          <w:color w:val="231F20"/>
          <w:spacing w:val="-3"/>
          <w:w w:val="105"/>
        </w:rPr>
        <w:t>participación</w:t>
      </w:r>
      <w:r>
        <w:rPr>
          <w:color w:val="231F20"/>
          <w:spacing w:val="-29"/>
          <w:w w:val="105"/>
        </w:rPr>
        <w:t> </w:t>
      </w:r>
      <w:r>
        <w:rPr>
          <w:color w:val="231F20"/>
          <w:w w:val="105"/>
        </w:rPr>
        <w:t>en</w:t>
      </w:r>
      <w:r>
        <w:rPr>
          <w:color w:val="231F20"/>
          <w:spacing w:val="-29"/>
          <w:w w:val="105"/>
        </w:rPr>
        <w:t> </w:t>
      </w:r>
      <w:r>
        <w:rPr>
          <w:color w:val="231F20"/>
          <w:w w:val="105"/>
        </w:rPr>
        <w:t>los</w:t>
      </w:r>
      <w:r>
        <w:rPr>
          <w:color w:val="231F20"/>
          <w:spacing w:val="-29"/>
          <w:w w:val="105"/>
        </w:rPr>
        <w:t> </w:t>
      </w:r>
      <w:r>
        <w:rPr>
          <w:color w:val="231F20"/>
          <w:spacing w:val="-3"/>
          <w:w w:val="105"/>
        </w:rPr>
        <w:t>mercados</w:t>
      </w:r>
      <w:r>
        <w:rPr>
          <w:color w:val="231F20"/>
          <w:spacing w:val="-29"/>
          <w:w w:val="105"/>
        </w:rPr>
        <w:t> </w:t>
      </w:r>
      <w:r>
        <w:rPr>
          <w:color w:val="231F20"/>
          <w:spacing w:val="-3"/>
          <w:w w:val="105"/>
        </w:rPr>
        <w:t>internaciona- les,</w:t>
      </w:r>
      <w:r>
        <w:rPr>
          <w:color w:val="231F20"/>
          <w:spacing w:val="-13"/>
          <w:w w:val="105"/>
        </w:rPr>
        <w:t> </w:t>
      </w:r>
      <w:r>
        <w:rPr>
          <w:color w:val="231F20"/>
          <w:spacing w:val="-3"/>
          <w:w w:val="105"/>
        </w:rPr>
        <w:t>paralelamente</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spacing w:val="-3"/>
          <w:w w:val="105"/>
        </w:rPr>
        <w:t>mejoramiento</w:t>
      </w:r>
      <w:r>
        <w:rPr>
          <w:color w:val="231F20"/>
          <w:spacing w:val="-7"/>
          <w:w w:val="105"/>
        </w:rPr>
        <w:t> </w:t>
      </w:r>
      <w:r>
        <w:rPr>
          <w:color w:val="231F20"/>
          <w:w w:val="105"/>
        </w:rPr>
        <w:t>del</w:t>
      </w:r>
      <w:r>
        <w:rPr>
          <w:color w:val="231F20"/>
          <w:spacing w:val="-7"/>
          <w:w w:val="105"/>
        </w:rPr>
        <w:t> </w:t>
      </w:r>
      <w:r>
        <w:rPr>
          <w:color w:val="231F20"/>
          <w:spacing w:val="-3"/>
          <w:w w:val="105"/>
        </w:rPr>
        <w:t>nivel</w:t>
      </w:r>
      <w:r>
        <w:rPr>
          <w:color w:val="231F20"/>
          <w:spacing w:val="-7"/>
          <w:w w:val="105"/>
        </w:rPr>
        <w:t> </w:t>
      </w:r>
      <w:r>
        <w:rPr>
          <w:color w:val="231F20"/>
          <w:w w:val="105"/>
        </w:rPr>
        <w:t>de</w:t>
      </w:r>
      <w:r>
        <w:rPr>
          <w:color w:val="231F20"/>
          <w:spacing w:val="-7"/>
          <w:w w:val="105"/>
        </w:rPr>
        <w:t> </w:t>
      </w:r>
      <w:r>
        <w:rPr>
          <w:color w:val="231F20"/>
          <w:spacing w:val="-3"/>
          <w:w w:val="105"/>
        </w:rPr>
        <w:t>vida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spacing w:val="-3"/>
          <w:w w:val="105"/>
        </w:rPr>
        <w:t>población, razón </w:t>
      </w:r>
      <w:r>
        <w:rPr>
          <w:color w:val="231F20"/>
          <w:w w:val="105"/>
        </w:rPr>
        <w:t>por la </w:t>
      </w:r>
      <w:r>
        <w:rPr>
          <w:color w:val="231F20"/>
          <w:spacing w:val="-3"/>
          <w:w w:val="105"/>
        </w:rPr>
        <w:t>cual </w:t>
      </w:r>
      <w:r>
        <w:rPr>
          <w:color w:val="231F20"/>
          <w:w w:val="105"/>
        </w:rPr>
        <w:t>el </w:t>
      </w:r>
      <w:r>
        <w:rPr>
          <w:color w:val="231F20"/>
          <w:spacing w:val="-3"/>
          <w:w w:val="105"/>
        </w:rPr>
        <w:t>crecimiento sostenido </w:t>
      </w:r>
      <w:r>
        <w:rPr>
          <w:color w:val="231F20"/>
          <w:w w:val="105"/>
        </w:rPr>
        <w:t>de la </w:t>
      </w:r>
      <w:r>
        <w:rPr>
          <w:color w:val="231F20"/>
          <w:spacing w:val="-3"/>
          <w:w w:val="105"/>
        </w:rPr>
        <w:t>productividad </w:t>
      </w:r>
      <w:r>
        <w:rPr>
          <w:color w:val="231F20"/>
          <w:spacing w:val="-4"/>
          <w:w w:val="105"/>
        </w:rPr>
        <w:t>requiere </w:t>
      </w:r>
      <w:r>
        <w:rPr>
          <w:color w:val="231F20"/>
          <w:w w:val="105"/>
        </w:rPr>
        <w:t>que</w:t>
      </w:r>
      <w:r>
        <w:rPr>
          <w:color w:val="231F20"/>
          <w:spacing w:val="-13"/>
          <w:w w:val="105"/>
        </w:rPr>
        <w:t> </w:t>
      </w:r>
      <w:r>
        <w:rPr>
          <w:color w:val="231F20"/>
          <w:w w:val="105"/>
        </w:rPr>
        <w:t>una</w:t>
      </w:r>
      <w:r>
        <w:rPr>
          <w:color w:val="231F20"/>
          <w:spacing w:val="-13"/>
          <w:w w:val="105"/>
        </w:rPr>
        <w:t> </w:t>
      </w:r>
      <w:r>
        <w:rPr>
          <w:color w:val="231F20"/>
          <w:spacing w:val="-3"/>
          <w:w w:val="105"/>
        </w:rPr>
        <w:t>economía</w:t>
      </w:r>
      <w:r>
        <w:rPr>
          <w:color w:val="231F20"/>
          <w:spacing w:val="-13"/>
          <w:w w:val="105"/>
        </w:rPr>
        <w:t> </w:t>
      </w:r>
      <w:r>
        <w:rPr>
          <w:color w:val="231F20"/>
          <w:w w:val="105"/>
        </w:rPr>
        <w:t>se</w:t>
      </w:r>
      <w:r>
        <w:rPr>
          <w:color w:val="231F20"/>
          <w:spacing w:val="-13"/>
          <w:w w:val="105"/>
        </w:rPr>
        <w:t> </w:t>
      </w:r>
      <w:r>
        <w:rPr>
          <w:color w:val="231F20"/>
          <w:spacing w:val="-3"/>
          <w:w w:val="105"/>
        </w:rPr>
        <w:t>perfeccione</w:t>
      </w:r>
      <w:r>
        <w:rPr>
          <w:color w:val="231F20"/>
          <w:spacing w:val="-13"/>
          <w:w w:val="105"/>
        </w:rPr>
        <w:t> </w:t>
      </w:r>
      <w:r>
        <w:rPr>
          <w:color w:val="231F20"/>
          <w:spacing w:val="-3"/>
          <w:w w:val="105"/>
        </w:rPr>
        <w:t>continuamente.</w:t>
      </w:r>
      <w:r>
        <w:rPr>
          <w:color w:val="231F20"/>
          <w:spacing w:val="-18"/>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spacing w:val="-3"/>
          <w:w w:val="105"/>
        </w:rPr>
        <w:t>nación,</w:t>
      </w:r>
      <w:r>
        <w:rPr>
          <w:color w:val="231F20"/>
          <w:spacing w:val="-18"/>
          <w:w w:val="105"/>
        </w:rPr>
        <w:t> </w:t>
      </w:r>
      <w:r>
        <w:rPr>
          <w:color w:val="231F20"/>
          <w:w w:val="105"/>
        </w:rPr>
        <w:t>es</w:t>
      </w:r>
      <w:r>
        <w:rPr>
          <w:color w:val="231F20"/>
          <w:spacing w:val="-13"/>
          <w:w w:val="105"/>
        </w:rPr>
        <w:t> </w:t>
      </w:r>
      <w:r>
        <w:rPr>
          <w:color w:val="231F20"/>
          <w:spacing w:val="-3"/>
          <w:w w:val="105"/>
        </w:rPr>
        <w:t>ina- propiado definir </w:t>
      </w:r>
      <w:r>
        <w:rPr>
          <w:color w:val="231F20"/>
          <w:w w:val="105"/>
        </w:rPr>
        <w:t>la </w:t>
      </w:r>
      <w:r>
        <w:rPr>
          <w:color w:val="231F20"/>
          <w:spacing w:val="-3"/>
          <w:w w:val="105"/>
        </w:rPr>
        <w:t>competitividad como </w:t>
      </w:r>
      <w:r>
        <w:rPr>
          <w:color w:val="231F20"/>
          <w:w w:val="105"/>
        </w:rPr>
        <w:t>el </w:t>
      </w:r>
      <w:r>
        <w:rPr>
          <w:color w:val="231F20"/>
          <w:spacing w:val="-3"/>
          <w:w w:val="105"/>
        </w:rPr>
        <w:t>logro </w:t>
      </w:r>
      <w:r>
        <w:rPr>
          <w:color w:val="231F20"/>
          <w:w w:val="105"/>
        </w:rPr>
        <w:t>de un </w:t>
      </w:r>
      <w:r>
        <w:rPr>
          <w:color w:val="231F20"/>
          <w:spacing w:val="-3"/>
          <w:w w:val="105"/>
        </w:rPr>
        <w:t>superávit </w:t>
      </w:r>
      <w:r>
        <w:rPr>
          <w:color w:val="231F20"/>
          <w:spacing w:val="-4"/>
          <w:w w:val="105"/>
        </w:rPr>
        <w:t>comer- </w:t>
      </w:r>
      <w:r>
        <w:rPr>
          <w:color w:val="231F20"/>
          <w:spacing w:val="-3"/>
          <w:w w:val="105"/>
        </w:rPr>
        <w:t>cial</w:t>
      </w:r>
      <w:r>
        <w:rPr>
          <w:color w:val="231F20"/>
          <w:spacing w:val="-16"/>
          <w:w w:val="105"/>
        </w:rPr>
        <w:t> </w:t>
      </w:r>
      <w:r>
        <w:rPr>
          <w:color w:val="231F20"/>
          <w:w w:val="105"/>
        </w:rPr>
        <w:t>o</w:t>
      </w:r>
      <w:r>
        <w:rPr>
          <w:color w:val="231F20"/>
          <w:spacing w:val="-16"/>
          <w:w w:val="105"/>
        </w:rPr>
        <w:t> </w:t>
      </w:r>
      <w:r>
        <w:rPr>
          <w:color w:val="231F20"/>
          <w:w w:val="105"/>
        </w:rPr>
        <w:t>un</w:t>
      </w:r>
      <w:r>
        <w:rPr>
          <w:color w:val="231F20"/>
          <w:spacing w:val="-16"/>
          <w:w w:val="105"/>
        </w:rPr>
        <w:t> </w:t>
      </w:r>
      <w:r>
        <w:rPr>
          <w:color w:val="231F20"/>
          <w:spacing w:val="-3"/>
          <w:w w:val="105"/>
        </w:rPr>
        <w:t>comercio</w:t>
      </w:r>
      <w:r>
        <w:rPr>
          <w:color w:val="231F20"/>
          <w:spacing w:val="-16"/>
          <w:w w:val="105"/>
        </w:rPr>
        <w:t> </w:t>
      </w:r>
      <w:r>
        <w:rPr>
          <w:color w:val="231F20"/>
          <w:spacing w:val="-3"/>
          <w:w w:val="105"/>
        </w:rPr>
        <w:t>equilibrado</w:t>
      </w:r>
      <w:r>
        <w:rPr>
          <w:color w:val="231F20"/>
          <w:spacing w:val="-16"/>
          <w:w w:val="105"/>
        </w:rPr>
        <w:t> </w:t>
      </w:r>
      <w:r>
        <w:rPr>
          <w:i/>
          <w:color w:val="231F20"/>
          <w:w w:val="105"/>
        </w:rPr>
        <w:t>per</w:t>
      </w:r>
      <w:r>
        <w:rPr>
          <w:i/>
          <w:color w:val="231F20"/>
          <w:spacing w:val="-16"/>
          <w:w w:val="105"/>
        </w:rPr>
        <w:t> </w:t>
      </w:r>
      <w:r>
        <w:rPr>
          <w:i/>
          <w:color w:val="231F20"/>
          <w:w w:val="105"/>
        </w:rPr>
        <w:t>se</w:t>
      </w:r>
      <w:r>
        <w:rPr>
          <w:i/>
          <w:color w:val="231F20"/>
          <w:spacing w:val="-16"/>
          <w:w w:val="105"/>
        </w:rPr>
        <w:t> </w:t>
      </w:r>
      <w:r>
        <w:rPr>
          <w:color w:val="231F20"/>
          <w:spacing w:val="-6"/>
          <w:w w:val="105"/>
        </w:rPr>
        <w:t>(Porter,</w:t>
      </w:r>
      <w:r>
        <w:rPr>
          <w:color w:val="231F20"/>
          <w:spacing w:val="-23"/>
          <w:w w:val="105"/>
        </w:rPr>
        <w:t> </w:t>
      </w:r>
      <w:r>
        <w:rPr>
          <w:color w:val="231F20"/>
          <w:spacing w:val="-3"/>
          <w:w w:val="105"/>
        </w:rPr>
        <w:t>1990),</w:t>
      </w:r>
      <w:r>
        <w:rPr>
          <w:color w:val="231F20"/>
          <w:spacing w:val="-23"/>
          <w:w w:val="105"/>
        </w:rPr>
        <w:t> </w:t>
      </w:r>
      <w:r>
        <w:rPr>
          <w:color w:val="231F20"/>
          <w:w w:val="105"/>
        </w:rPr>
        <w:t>ya</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spacing w:val="-3"/>
          <w:w w:val="105"/>
        </w:rPr>
        <w:t>aumento</w:t>
      </w:r>
      <w:r>
        <w:rPr>
          <w:color w:val="231F20"/>
          <w:spacing w:val="-16"/>
          <w:w w:val="105"/>
        </w:rPr>
        <w:t> </w:t>
      </w:r>
      <w:r>
        <w:rPr>
          <w:color w:val="231F20"/>
          <w:spacing w:val="-3"/>
          <w:w w:val="105"/>
        </w:rPr>
        <w:t>de </w:t>
      </w:r>
      <w:r>
        <w:rPr>
          <w:color w:val="231F20"/>
          <w:w w:val="105"/>
        </w:rPr>
        <w:t>las </w:t>
      </w:r>
      <w:r>
        <w:rPr>
          <w:color w:val="231F20"/>
          <w:spacing w:val="-3"/>
          <w:w w:val="105"/>
        </w:rPr>
        <w:t>exportaciones, </w:t>
      </w:r>
      <w:r>
        <w:rPr>
          <w:color w:val="231F20"/>
          <w:w w:val="105"/>
        </w:rPr>
        <w:t>vía </w:t>
      </w:r>
      <w:r>
        <w:rPr>
          <w:color w:val="231F20"/>
          <w:spacing w:val="-3"/>
          <w:w w:val="105"/>
        </w:rPr>
        <w:t>salarios bajos, </w:t>
      </w:r>
      <w:r>
        <w:rPr>
          <w:color w:val="231F20"/>
          <w:w w:val="105"/>
        </w:rPr>
        <w:t>una </w:t>
      </w:r>
      <w:r>
        <w:rPr>
          <w:color w:val="231F20"/>
          <w:spacing w:val="-3"/>
          <w:w w:val="105"/>
        </w:rPr>
        <w:t>moneda débil </w:t>
      </w:r>
      <w:r>
        <w:rPr>
          <w:color w:val="231F20"/>
          <w:w w:val="105"/>
        </w:rPr>
        <w:t>o la </w:t>
      </w:r>
      <w:r>
        <w:rPr>
          <w:color w:val="231F20"/>
          <w:spacing w:val="-4"/>
          <w:w w:val="105"/>
        </w:rPr>
        <w:t>importación </w:t>
      </w:r>
      <w:r>
        <w:rPr>
          <w:color w:val="231F20"/>
          <w:spacing w:val="-3"/>
          <w:w w:val="105"/>
        </w:rPr>
        <w:t>insuficiente </w:t>
      </w:r>
      <w:r>
        <w:rPr>
          <w:color w:val="231F20"/>
          <w:w w:val="105"/>
        </w:rPr>
        <w:t>de </w:t>
      </w:r>
      <w:r>
        <w:rPr>
          <w:color w:val="231F20"/>
          <w:spacing w:val="-3"/>
          <w:w w:val="105"/>
        </w:rPr>
        <w:t>bienes </w:t>
      </w:r>
      <w:r>
        <w:rPr>
          <w:color w:val="231F20"/>
          <w:w w:val="105"/>
        </w:rPr>
        <w:t>más </w:t>
      </w:r>
      <w:r>
        <w:rPr>
          <w:color w:val="231F20"/>
          <w:spacing w:val="-3"/>
          <w:w w:val="105"/>
        </w:rPr>
        <w:t>perfeccionados para competir </w:t>
      </w:r>
      <w:r>
        <w:rPr>
          <w:color w:val="231F20"/>
          <w:w w:val="105"/>
        </w:rPr>
        <w:t>con los </w:t>
      </w:r>
      <w:r>
        <w:rPr>
          <w:color w:val="231F20"/>
          <w:spacing w:val="-3"/>
          <w:w w:val="105"/>
        </w:rPr>
        <w:t>rivales </w:t>
      </w:r>
      <w:r>
        <w:rPr>
          <w:color w:val="231F20"/>
          <w:spacing w:val="-4"/>
          <w:w w:val="105"/>
        </w:rPr>
        <w:t>extranjeros,</w:t>
      </w:r>
      <w:r>
        <w:rPr>
          <w:color w:val="231F20"/>
          <w:spacing w:val="-23"/>
          <w:w w:val="105"/>
        </w:rPr>
        <w:t> </w:t>
      </w:r>
      <w:r>
        <w:rPr>
          <w:color w:val="231F20"/>
          <w:spacing w:val="-3"/>
          <w:w w:val="105"/>
        </w:rPr>
        <w:t>puede</w:t>
      </w:r>
      <w:r>
        <w:rPr>
          <w:color w:val="231F20"/>
          <w:spacing w:val="-18"/>
          <w:w w:val="105"/>
        </w:rPr>
        <w:t> </w:t>
      </w:r>
      <w:r>
        <w:rPr>
          <w:color w:val="231F20"/>
          <w:spacing w:val="-3"/>
          <w:w w:val="105"/>
        </w:rPr>
        <w:t>hacer</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spacing w:val="-3"/>
          <w:w w:val="105"/>
        </w:rPr>
        <w:t>balanza</w:t>
      </w:r>
      <w:r>
        <w:rPr>
          <w:color w:val="231F20"/>
          <w:spacing w:val="-18"/>
          <w:w w:val="105"/>
        </w:rPr>
        <w:t> </w:t>
      </w:r>
      <w:r>
        <w:rPr>
          <w:color w:val="231F20"/>
          <w:spacing w:val="-3"/>
          <w:w w:val="105"/>
        </w:rPr>
        <w:t>comercial</w:t>
      </w:r>
      <w:r>
        <w:rPr>
          <w:color w:val="231F20"/>
          <w:spacing w:val="-18"/>
          <w:w w:val="105"/>
        </w:rPr>
        <w:t> </w:t>
      </w:r>
      <w:r>
        <w:rPr>
          <w:color w:val="231F20"/>
          <w:w w:val="105"/>
        </w:rPr>
        <w:t>se</w:t>
      </w:r>
      <w:r>
        <w:rPr>
          <w:color w:val="231F20"/>
          <w:spacing w:val="-18"/>
          <w:w w:val="105"/>
        </w:rPr>
        <w:t> </w:t>
      </w:r>
      <w:r>
        <w:rPr>
          <w:color w:val="231F20"/>
          <w:spacing w:val="-3"/>
          <w:w w:val="105"/>
        </w:rPr>
        <w:t>equilibre</w:t>
      </w:r>
      <w:r>
        <w:rPr>
          <w:color w:val="231F20"/>
          <w:spacing w:val="-18"/>
          <w:w w:val="105"/>
        </w:rPr>
        <w:t> </w:t>
      </w:r>
      <w:r>
        <w:rPr>
          <w:color w:val="231F20"/>
          <w:w w:val="105"/>
        </w:rPr>
        <w:t>o</w:t>
      </w:r>
      <w:r>
        <w:rPr>
          <w:color w:val="231F20"/>
          <w:spacing w:val="-18"/>
          <w:w w:val="105"/>
        </w:rPr>
        <w:t> </w:t>
      </w:r>
      <w:r>
        <w:rPr>
          <w:color w:val="231F20"/>
          <w:spacing w:val="-4"/>
          <w:w w:val="105"/>
        </w:rPr>
        <w:t>presente </w:t>
      </w:r>
      <w:r>
        <w:rPr>
          <w:color w:val="231F20"/>
          <w:spacing w:val="-3"/>
          <w:w w:val="105"/>
        </w:rPr>
        <w:t>superávit,</w:t>
      </w:r>
      <w:r>
        <w:rPr>
          <w:color w:val="231F20"/>
          <w:spacing w:val="-15"/>
          <w:w w:val="105"/>
        </w:rPr>
        <w:t> </w:t>
      </w:r>
      <w:r>
        <w:rPr>
          <w:color w:val="231F20"/>
          <w:spacing w:val="-3"/>
          <w:w w:val="105"/>
        </w:rPr>
        <w:t>pero</w:t>
      </w:r>
      <w:r>
        <w:rPr>
          <w:color w:val="231F20"/>
          <w:spacing w:val="-9"/>
          <w:w w:val="105"/>
        </w:rPr>
        <w:t> </w:t>
      </w:r>
      <w:r>
        <w:rPr>
          <w:color w:val="231F20"/>
          <w:spacing w:val="-3"/>
          <w:w w:val="105"/>
        </w:rPr>
        <w:t>disminuye</w:t>
      </w:r>
      <w:r>
        <w:rPr>
          <w:color w:val="231F20"/>
          <w:spacing w:val="-9"/>
          <w:w w:val="105"/>
        </w:rPr>
        <w:t> </w:t>
      </w:r>
      <w:r>
        <w:rPr>
          <w:color w:val="231F20"/>
          <w:w w:val="105"/>
        </w:rPr>
        <w:t>la</w:t>
      </w:r>
      <w:r>
        <w:rPr>
          <w:color w:val="231F20"/>
          <w:spacing w:val="-9"/>
          <w:w w:val="105"/>
        </w:rPr>
        <w:t> </w:t>
      </w:r>
      <w:r>
        <w:rPr>
          <w:color w:val="231F20"/>
          <w:spacing w:val="-3"/>
          <w:w w:val="105"/>
        </w:rPr>
        <w:t>calidad</w:t>
      </w:r>
      <w:r>
        <w:rPr>
          <w:color w:val="231F20"/>
          <w:spacing w:val="-9"/>
          <w:w w:val="105"/>
        </w:rPr>
        <w:t> </w:t>
      </w:r>
      <w:r>
        <w:rPr>
          <w:color w:val="231F20"/>
          <w:w w:val="105"/>
        </w:rPr>
        <w:t>de</w:t>
      </w:r>
      <w:r>
        <w:rPr>
          <w:color w:val="231F20"/>
          <w:spacing w:val="-9"/>
          <w:w w:val="105"/>
        </w:rPr>
        <w:t> </w:t>
      </w:r>
      <w:r>
        <w:rPr>
          <w:color w:val="231F20"/>
          <w:spacing w:val="-3"/>
          <w:w w:val="105"/>
        </w:rPr>
        <w:t>vida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nación.</w:t>
      </w:r>
      <w:r>
        <w:rPr>
          <w:color w:val="231F20"/>
          <w:spacing w:val="-15"/>
          <w:w w:val="105"/>
        </w:rPr>
        <w:t> </w:t>
      </w:r>
      <w:r>
        <w:rPr>
          <w:color w:val="231F20"/>
          <w:w w:val="105"/>
        </w:rPr>
        <w:t>En</w:t>
      </w:r>
      <w:r>
        <w:rPr>
          <w:color w:val="231F20"/>
          <w:spacing w:val="-9"/>
          <w:w w:val="105"/>
        </w:rPr>
        <w:t> </w:t>
      </w:r>
      <w:r>
        <w:rPr>
          <w:color w:val="231F20"/>
          <w:spacing w:val="-4"/>
          <w:w w:val="105"/>
        </w:rPr>
        <w:t>contraparte, </w:t>
      </w:r>
      <w:r>
        <w:rPr>
          <w:color w:val="231F20"/>
          <w:w w:val="105"/>
        </w:rPr>
        <w:t>una</w:t>
      </w:r>
      <w:r>
        <w:rPr>
          <w:color w:val="231F20"/>
          <w:spacing w:val="-12"/>
          <w:w w:val="105"/>
        </w:rPr>
        <w:t> </w:t>
      </w:r>
      <w:r>
        <w:rPr>
          <w:color w:val="231F20"/>
          <w:spacing w:val="-3"/>
          <w:w w:val="105"/>
        </w:rPr>
        <w:t>combinación</w:t>
      </w:r>
      <w:r>
        <w:rPr>
          <w:color w:val="231F20"/>
          <w:spacing w:val="-12"/>
          <w:w w:val="105"/>
        </w:rPr>
        <w:t> </w:t>
      </w:r>
      <w:r>
        <w:rPr>
          <w:color w:val="231F20"/>
          <w:spacing w:val="-3"/>
          <w:w w:val="105"/>
        </w:rPr>
        <w:t>comercial</w:t>
      </w:r>
      <w:r>
        <w:rPr>
          <w:color w:val="231F20"/>
          <w:spacing w:val="-12"/>
          <w:w w:val="105"/>
        </w:rPr>
        <w:t> </w:t>
      </w:r>
      <w:r>
        <w:rPr>
          <w:color w:val="231F20"/>
          <w:spacing w:val="-3"/>
          <w:w w:val="105"/>
        </w:rPr>
        <w:t>favorable</w:t>
      </w:r>
      <w:r>
        <w:rPr>
          <w:color w:val="231F20"/>
          <w:spacing w:val="-12"/>
          <w:w w:val="105"/>
        </w:rPr>
        <w:t> </w:t>
      </w:r>
      <w:r>
        <w:rPr>
          <w:color w:val="231F20"/>
          <w:w w:val="105"/>
        </w:rPr>
        <w:t>en</w:t>
      </w:r>
      <w:r>
        <w:rPr>
          <w:color w:val="231F20"/>
          <w:spacing w:val="-12"/>
          <w:w w:val="105"/>
        </w:rPr>
        <w:t> </w:t>
      </w:r>
      <w:r>
        <w:rPr>
          <w:color w:val="231F20"/>
          <w:spacing w:val="-3"/>
          <w:w w:val="105"/>
        </w:rPr>
        <w:t>términos</w:t>
      </w:r>
      <w:r>
        <w:rPr>
          <w:color w:val="231F20"/>
          <w:spacing w:val="-12"/>
          <w:w w:val="105"/>
        </w:rPr>
        <w:t> </w:t>
      </w:r>
      <w:r>
        <w:rPr>
          <w:color w:val="231F20"/>
          <w:w w:val="105"/>
        </w:rPr>
        <w:t>de</w:t>
      </w:r>
      <w:r>
        <w:rPr>
          <w:color w:val="231F20"/>
          <w:spacing w:val="-12"/>
          <w:w w:val="105"/>
        </w:rPr>
        <w:t> </w:t>
      </w:r>
      <w:r>
        <w:rPr>
          <w:color w:val="231F20"/>
          <w:spacing w:val="-3"/>
          <w:w w:val="105"/>
        </w:rPr>
        <w:t>productividad</w:t>
      </w:r>
      <w:r>
        <w:rPr>
          <w:color w:val="231F20"/>
          <w:spacing w:val="-12"/>
          <w:w w:val="105"/>
        </w:rPr>
        <w:t> </w:t>
      </w:r>
      <w:r>
        <w:rPr>
          <w:color w:val="231F20"/>
          <w:w w:val="105"/>
        </w:rPr>
        <w:t>y</w:t>
      </w:r>
      <w:r>
        <w:rPr>
          <w:color w:val="231F20"/>
          <w:spacing w:val="-12"/>
          <w:w w:val="105"/>
        </w:rPr>
        <w:t> </w:t>
      </w:r>
      <w:r>
        <w:rPr>
          <w:color w:val="231F20"/>
          <w:spacing w:val="-3"/>
          <w:w w:val="105"/>
        </w:rPr>
        <w:t>alto nivel </w:t>
      </w:r>
      <w:r>
        <w:rPr>
          <w:color w:val="231F20"/>
          <w:w w:val="105"/>
        </w:rPr>
        <w:t>de </w:t>
      </w:r>
      <w:r>
        <w:rPr>
          <w:color w:val="231F20"/>
          <w:spacing w:val="-3"/>
          <w:w w:val="105"/>
        </w:rPr>
        <w:t>exportaciones </w:t>
      </w:r>
      <w:r>
        <w:rPr>
          <w:color w:val="231F20"/>
          <w:w w:val="105"/>
        </w:rPr>
        <w:t>e </w:t>
      </w:r>
      <w:r>
        <w:rPr>
          <w:color w:val="231F20"/>
          <w:spacing w:val="-3"/>
          <w:w w:val="105"/>
        </w:rPr>
        <w:t>importaciones, </w:t>
      </w:r>
      <w:r>
        <w:rPr>
          <w:color w:val="231F20"/>
          <w:w w:val="105"/>
        </w:rPr>
        <w:t>es </w:t>
      </w:r>
      <w:r>
        <w:rPr>
          <w:color w:val="231F20"/>
          <w:spacing w:val="-3"/>
          <w:w w:val="105"/>
        </w:rPr>
        <w:t>reflejo </w:t>
      </w:r>
      <w:r>
        <w:rPr>
          <w:color w:val="231F20"/>
          <w:w w:val="105"/>
        </w:rPr>
        <w:t>de la </w:t>
      </w:r>
      <w:r>
        <w:rPr>
          <w:color w:val="231F20"/>
          <w:spacing w:val="-3"/>
          <w:w w:val="105"/>
        </w:rPr>
        <w:t>capacidad </w:t>
      </w:r>
      <w:r>
        <w:rPr>
          <w:color w:val="231F20"/>
          <w:w w:val="105"/>
        </w:rPr>
        <w:t>de </w:t>
      </w:r>
      <w:r>
        <w:rPr>
          <w:color w:val="231F20"/>
          <w:spacing w:val="-3"/>
          <w:w w:val="105"/>
        </w:rPr>
        <w:t>los sectores,</w:t>
      </w:r>
      <w:r>
        <w:rPr>
          <w:color w:val="231F20"/>
          <w:spacing w:val="-24"/>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spacing w:val="-3"/>
          <w:w w:val="105"/>
        </w:rPr>
        <w:t>traduce</w:t>
      </w:r>
      <w:r>
        <w:rPr>
          <w:color w:val="231F20"/>
          <w:spacing w:val="-19"/>
          <w:w w:val="105"/>
        </w:rPr>
        <w:t> </w:t>
      </w:r>
      <w:r>
        <w:rPr>
          <w:color w:val="231F20"/>
          <w:w w:val="105"/>
        </w:rPr>
        <w:t>en</w:t>
      </w:r>
      <w:r>
        <w:rPr>
          <w:color w:val="231F20"/>
          <w:spacing w:val="-19"/>
          <w:w w:val="105"/>
        </w:rPr>
        <w:t> </w:t>
      </w:r>
      <w:r>
        <w:rPr>
          <w:color w:val="231F20"/>
          <w:w w:val="105"/>
        </w:rPr>
        <w:t>una</w:t>
      </w:r>
      <w:r>
        <w:rPr>
          <w:color w:val="231F20"/>
          <w:spacing w:val="-19"/>
          <w:w w:val="105"/>
        </w:rPr>
        <w:t> </w:t>
      </w:r>
      <w:r>
        <w:rPr>
          <w:color w:val="231F20"/>
          <w:spacing w:val="-3"/>
          <w:w w:val="105"/>
        </w:rPr>
        <w:t>productividad</w:t>
      </w:r>
      <w:r>
        <w:rPr>
          <w:color w:val="231F20"/>
          <w:spacing w:val="-19"/>
          <w:w w:val="105"/>
        </w:rPr>
        <w:t> </w:t>
      </w:r>
      <w:r>
        <w:rPr>
          <w:color w:val="231F20"/>
          <w:spacing w:val="-4"/>
          <w:w w:val="105"/>
        </w:rPr>
        <w:t>superior.</w:t>
      </w:r>
    </w:p>
    <w:p>
      <w:pPr>
        <w:pStyle w:val="BodyText"/>
        <w:spacing w:line="259" w:lineRule="auto"/>
        <w:ind w:left="103" w:right="115" w:firstLine="567"/>
        <w:jc w:val="both"/>
      </w:pP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ambiente</w:t>
      </w:r>
      <w:r>
        <w:rPr>
          <w:color w:val="231F20"/>
          <w:spacing w:val="-5"/>
          <w:w w:val="105"/>
        </w:rPr>
        <w:t> </w:t>
      </w:r>
      <w:r>
        <w:rPr>
          <w:color w:val="231F20"/>
          <w:w w:val="105"/>
        </w:rPr>
        <w:t>de</w:t>
      </w:r>
      <w:r>
        <w:rPr>
          <w:color w:val="231F20"/>
          <w:spacing w:val="-5"/>
          <w:w w:val="105"/>
        </w:rPr>
        <w:t> </w:t>
      </w:r>
      <w:r>
        <w:rPr>
          <w:color w:val="231F20"/>
          <w:w w:val="105"/>
        </w:rPr>
        <w:t>libre</w:t>
      </w:r>
      <w:r>
        <w:rPr>
          <w:color w:val="231F20"/>
          <w:spacing w:val="-5"/>
          <w:w w:val="105"/>
        </w:rPr>
        <w:t> </w:t>
      </w:r>
      <w:r>
        <w:rPr>
          <w:color w:val="231F20"/>
          <w:w w:val="105"/>
        </w:rPr>
        <w:t>competencia,</w:t>
      </w:r>
      <w:r>
        <w:rPr>
          <w:color w:val="231F20"/>
          <w:spacing w:val="-11"/>
          <w:w w:val="105"/>
        </w:rPr>
        <w:t> </w:t>
      </w:r>
      <w:r>
        <w:rPr>
          <w:color w:val="231F20"/>
          <w:w w:val="105"/>
        </w:rPr>
        <w:t>la</w:t>
      </w:r>
      <w:r>
        <w:rPr>
          <w:color w:val="231F20"/>
          <w:spacing w:val="-5"/>
          <w:w w:val="105"/>
        </w:rPr>
        <w:t> </w:t>
      </w:r>
      <w:r>
        <w:rPr>
          <w:color w:val="231F20"/>
          <w:w w:val="105"/>
        </w:rPr>
        <w:t>expansión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merca- dos como producto de la globalización, estimula a las organizaciones</w:t>
      </w:r>
      <w:r>
        <w:rPr>
          <w:color w:val="231F20"/>
          <w:spacing w:val="-36"/>
          <w:w w:val="105"/>
        </w:rPr>
        <w:t> </w:t>
      </w:r>
      <w:r>
        <w:rPr>
          <w:color w:val="231F20"/>
          <w:w w:val="105"/>
        </w:rPr>
        <w:t>a mantenerse con precios accesibles de productos y servicios, así como una calidad garantizada que satisfaga clientes cada vez más</w:t>
      </w:r>
      <w:r>
        <w:rPr>
          <w:color w:val="231F20"/>
          <w:spacing w:val="-35"/>
          <w:w w:val="105"/>
        </w:rPr>
        <w:t> </w:t>
      </w:r>
      <w:r>
        <w:rPr>
          <w:color w:val="231F20"/>
          <w:w w:val="105"/>
        </w:rPr>
        <w:t>exigentes (James, 2000). La necesidad de alcanzar una competitividad se</w:t>
      </w:r>
      <w:r>
        <w:rPr>
          <w:color w:val="231F20"/>
          <w:spacing w:val="-23"/>
          <w:w w:val="105"/>
        </w:rPr>
        <w:t> </w:t>
      </w:r>
      <w:r>
        <w:rPr>
          <w:color w:val="231F20"/>
          <w:w w:val="105"/>
        </w:rPr>
        <w:t>vuelve prioridad</w:t>
      </w:r>
      <w:r>
        <w:rPr>
          <w:color w:val="231F20"/>
          <w:spacing w:val="-26"/>
          <w:w w:val="105"/>
        </w:rPr>
        <w:t> </w:t>
      </w:r>
      <w:r>
        <w:rPr>
          <w:color w:val="231F20"/>
          <w:w w:val="105"/>
        </w:rPr>
        <w:t>para</w:t>
      </w:r>
      <w:r>
        <w:rPr>
          <w:color w:val="231F20"/>
          <w:spacing w:val="-26"/>
          <w:w w:val="105"/>
        </w:rPr>
        <w:t> </w:t>
      </w:r>
      <w:r>
        <w:rPr>
          <w:color w:val="231F20"/>
          <w:w w:val="105"/>
        </w:rPr>
        <w:t>ellas;</w:t>
      </w:r>
      <w:r>
        <w:rPr>
          <w:color w:val="231F20"/>
          <w:spacing w:val="-26"/>
          <w:w w:val="105"/>
        </w:rPr>
        <w:t> </w:t>
      </w:r>
      <w:r>
        <w:rPr>
          <w:color w:val="231F20"/>
          <w:w w:val="105"/>
        </w:rPr>
        <w:t>sus</w:t>
      </w:r>
      <w:r>
        <w:rPr>
          <w:color w:val="231F20"/>
          <w:spacing w:val="-26"/>
          <w:w w:val="105"/>
        </w:rPr>
        <w:t> </w:t>
      </w:r>
      <w:r>
        <w:rPr>
          <w:color w:val="231F20"/>
          <w:w w:val="105"/>
        </w:rPr>
        <w:t>directivos</w:t>
      </w:r>
      <w:r>
        <w:rPr>
          <w:color w:val="231F20"/>
          <w:spacing w:val="-26"/>
          <w:w w:val="105"/>
        </w:rPr>
        <w:t> </w:t>
      </w:r>
      <w:r>
        <w:rPr>
          <w:color w:val="231F20"/>
          <w:w w:val="105"/>
        </w:rPr>
        <w:t>se</w:t>
      </w:r>
      <w:r>
        <w:rPr>
          <w:color w:val="231F20"/>
          <w:spacing w:val="-26"/>
          <w:w w:val="105"/>
        </w:rPr>
        <w:t> </w:t>
      </w:r>
      <w:r>
        <w:rPr>
          <w:color w:val="231F20"/>
          <w:w w:val="105"/>
        </w:rPr>
        <w:t>esfuerzan</w:t>
      </w:r>
      <w:r>
        <w:rPr>
          <w:color w:val="231F20"/>
          <w:spacing w:val="-26"/>
          <w:w w:val="105"/>
        </w:rPr>
        <w:t> </w:t>
      </w:r>
      <w:r>
        <w:rPr>
          <w:color w:val="231F20"/>
          <w:w w:val="105"/>
        </w:rPr>
        <w:t>por</w:t>
      </w:r>
      <w:r>
        <w:rPr>
          <w:color w:val="231F20"/>
          <w:spacing w:val="-26"/>
          <w:w w:val="105"/>
        </w:rPr>
        <w:t> </w:t>
      </w:r>
      <w:r>
        <w:rPr>
          <w:color w:val="231F20"/>
          <w:w w:val="105"/>
        </w:rPr>
        <w:t>identificar</w:t>
      </w:r>
      <w:r>
        <w:rPr>
          <w:color w:val="231F20"/>
          <w:spacing w:val="-26"/>
          <w:w w:val="105"/>
        </w:rPr>
        <w:t> </w:t>
      </w:r>
      <w:r>
        <w:rPr>
          <w:color w:val="231F20"/>
          <w:w w:val="105"/>
        </w:rPr>
        <w:t>las</w:t>
      </w:r>
      <w:r>
        <w:rPr>
          <w:color w:val="231F20"/>
          <w:spacing w:val="-26"/>
          <w:w w:val="105"/>
        </w:rPr>
        <w:t> </w:t>
      </w:r>
      <w:r>
        <w:rPr>
          <w:color w:val="231F20"/>
          <w:w w:val="105"/>
        </w:rPr>
        <w:t>fuerzas que</w:t>
      </w:r>
      <w:r>
        <w:rPr>
          <w:color w:val="231F20"/>
          <w:spacing w:val="-12"/>
          <w:w w:val="105"/>
        </w:rPr>
        <w:t> </w:t>
      </w:r>
      <w:r>
        <w:rPr>
          <w:color w:val="231F20"/>
          <w:w w:val="105"/>
        </w:rPr>
        <w:t>hacen</w:t>
      </w:r>
      <w:r>
        <w:rPr>
          <w:color w:val="231F20"/>
          <w:spacing w:val="-12"/>
          <w:w w:val="105"/>
        </w:rPr>
        <w:t> </w:t>
      </w:r>
      <w:r>
        <w:rPr>
          <w:color w:val="231F20"/>
          <w:w w:val="105"/>
        </w:rPr>
        <w:t>peligrar</w:t>
      </w:r>
      <w:r>
        <w:rPr>
          <w:color w:val="231F20"/>
          <w:spacing w:val="-12"/>
          <w:w w:val="105"/>
        </w:rPr>
        <w:t> </w:t>
      </w:r>
      <w:r>
        <w:rPr>
          <w:color w:val="231F20"/>
          <w:w w:val="105"/>
        </w:rPr>
        <w:t>su</w:t>
      </w:r>
      <w:r>
        <w:rPr>
          <w:color w:val="231F20"/>
          <w:spacing w:val="-12"/>
          <w:w w:val="105"/>
        </w:rPr>
        <w:t> </w:t>
      </w:r>
      <w:r>
        <w:rPr>
          <w:color w:val="231F20"/>
          <w:w w:val="105"/>
        </w:rPr>
        <w:t>presencia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mercado</w:t>
      </w:r>
      <w:r>
        <w:rPr>
          <w:color w:val="231F20"/>
          <w:spacing w:val="-12"/>
          <w:w w:val="105"/>
        </w:rPr>
        <w:t> </w:t>
      </w:r>
      <w:r>
        <w:rPr>
          <w:color w:val="231F20"/>
          <w:w w:val="105"/>
        </w:rPr>
        <w:t>y</w:t>
      </w:r>
      <w:r>
        <w:rPr>
          <w:color w:val="231F20"/>
          <w:spacing w:val="-12"/>
          <w:w w:val="105"/>
        </w:rPr>
        <w:t> </w:t>
      </w:r>
      <w:r>
        <w:rPr>
          <w:color w:val="231F20"/>
          <w:w w:val="105"/>
        </w:rPr>
        <w:t>definir</w:t>
      </w:r>
      <w:r>
        <w:rPr>
          <w:color w:val="231F20"/>
          <w:spacing w:val="-12"/>
          <w:w w:val="105"/>
        </w:rPr>
        <w:t> </w:t>
      </w:r>
      <w:r>
        <w:rPr>
          <w:color w:val="231F20"/>
          <w:w w:val="105"/>
        </w:rPr>
        <w:t>los</w:t>
      </w:r>
      <w:r>
        <w:rPr>
          <w:color w:val="231F20"/>
          <w:spacing w:val="-12"/>
          <w:w w:val="105"/>
        </w:rPr>
        <w:t> </w:t>
      </w:r>
      <w:r>
        <w:rPr>
          <w:color w:val="231F20"/>
          <w:w w:val="105"/>
        </w:rPr>
        <w:t>factores</w:t>
      </w:r>
      <w:r>
        <w:rPr>
          <w:color w:val="231F20"/>
          <w:spacing w:val="-12"/>
          <w:w w:val="105"/>
        </w:rPr>
        <w:t> </w:t>
      </w:r>
      <w:r>
        <w:rPr>
          <w:color w:val="231F20"/>
          <w:w w:val="105"/>
        </w:rPr>
        <w:t>que deben</w:t>
      </w:r>
      <w:r>
        <w:rPr>
          <w:color w:val="231F20"/>
          <w:spacing w:val="-14"/>
          <w:w w:val="105"/>
        </w:rPr>
        <w:t> </w:t>
      </w:r>
      <w:r>
        <w:rPr>
          <w:color w:val="231F20"/>
          <w:w w:val="105"/>
        </w:rPr>
        <w:t>impulsar</w:t>
      </w:r>
      <w:r>
        <w:rPr>
          <w:color w:val="231F20"/>
          <w:spacing w:val="-14"/>
          <w:w w:val="105"/>
        </w:rPr>
        <w:t> </w:t>
      </w:r>
      <w:r>
        <w:rPr>
          <w:color w:val="231F20"/>
          <w:w w:val="105"/>
        </w:rPr>
        <w:t>para</w:t>
      </w:r>
      <w:r>
        <w:rPr>
          <w:color w:val="231F20"/>
          <w:spacing w:val="-14"/>
          <w:w w:val="105"/>
        </w:rPr>
        <w:t> </w:t>
      </w:r>
      <w:r>
        <w:rPr>
          <w:color w:val="231F20"/>
          <w:w w:val="105"/>
        </w:rPr>
        <w:t>competir</w:t>
      </w:r>
      <w:r>
        <w:rPr>
          <w:color w:val="231F20"/>
          <w:spacing w:val="-14"/>
          <w:w w:val="105"/>
        </w:rPr>
        <w:t> </w:t>
      </w:r>
      <w:r>
        <w:rPr>
          <w:color w:val="231F20"/>
          <w:w w:val="105"/>
        </w:rPr>
        <w:t>con</w:t>
      </w:r>
      <w:r>
        <w:rPr>
          <w:color w:val="231F20"/>
          <w:spacing w:val="-14"/>
          <w:w w:val="105"/>
        </w:rPr>
        <w:t> </w:t>
      </w:r>
      <w:r>
        <w:rPr>
          <w:color w:val="231F20"/>
          <w:w w:val="105"/>
        </w:rPr>
        <w:t>empresas</w:t>
      </w:r>
      <w:r>
        <w:rPr>
          <w:color w:val="231F20"/>
          <w:spacing w:val="-14"/>
          <w:w w:val="105"/>
        </w:rPr>
        <w:t> </w:t>
      </w:r>
      <w:r>
        <w:rPr>
          <w:color w:val="231F20"/>
          <w:w w:val="105"/>
        </w:rPr>
        <w:t>de</w:t>
      </w:r>
      <w:r>
        <w:rPr>
          <w:color w:val="231F20"/>
          <w:spacing w:val="-14"/>
          <w:w w:val="105"/>
        </w:rPr>
        <w:t> </w:t>
      </w:r>
      <w:r>
        <w:rPr>
          <w:color w:val="231F20"/>
          <w:w w:val="105"/>
        </w:rPr>
        <w:t>clase</w:t>
      </w:r>
      <w:r>
        <w:rPr>
          <w:color w:val="231F20"/>
          <w:spacing w:val="-14"/>
          <w:w w:val="105"/>
        </w:rPr>
        <w:t> </w:t>
      </w:r>
      <w:r>
        <w:rPr>
          <w:color w:val="231F20"/>
          <w:w w:val="105"/>
        </w:rPr>
        <w:t>mundial.</w:t>
      </w:r>
    </w:p>
    <w:p>
      <w:pPr>
        <w:pStyle w:val="BodyText"/>
        <w:spacing w:line="259" w:lineRule="auto"/>
        <w:ind w:left="103" w:right="114" w:firstLine="567"/>
        <w:jc w:val="both"/>
      </w:pP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sentido</w:t>
      </w:r>
      <w:r>
        <w:rPr>
          <w:color w:val="231F20"/>
          <w:spacing w:val="-12"/>
          <w:w w:val="105"/>
        </w:rPr>
        <w:t> </w:t>
      </w:r>
      <w:r>
        <w:rPr>
          <w:color w:val="231F20"/>
          <w:w w:val="105"/>
        </w:rPr>
        <w:t>el</w:t>
      </w:r>
      <w:r>
        <w:rPr>
          <w:color w:val="231F20"/>
          <w:spacing w:val="-12"/>
          <w:w w:val="105"/>
        </w:rPr>
        <w:t> </w:t>
      </w:r>
      <w:r>
        <w:rPr>
          <w:color w:val="231F20"/>
          <w:w w:val="105"/>
        </w:rPr>
        <w:t>objetivo</w:t>
      </w:r>
      <w:r>
        <w:rPr>
          <w:color w:val="231F20"/>
          <w:spacing w:val="-12"/>
          <w:w w:val="105"/>
        </w:rPr>
        <w:t> </w:t>
      </w:r>
      <w:r>
        <w:rPr>
          <w:color w:val="231F20"/>
          <w:w w:val="105"/>
        </w:rPr>
        <w:t>de</w:t>
      </w:r>
      <w:r>
        <w:rPr>
          <w:color w:val="231F20"/>
          <w:spacing w:val="-12"/>
          <w:w w:val="105"/>
        </w:rPr>
        <w:t> </w:t>
      </w:r>
      <w:r>
        <w:rPr>
          <w:color w:val="231F20"/>
          <w:w w:val="105"/>
        </w:rPr>
        <w:t>este</w:t>
      </w:r>
      <w:r>
        <w:rPr>
          <w:color w:val="231F20"/>
          <w:spacing w:val="-12"/>
          <w:w w:val="105"/>
        </w:rPr>
        <w:t> </w:t>
      </w:r>
      <w:r>
        <w:rPr>
          <w:color w:val="231F20"/>
          <w:w w:val="105"/>
        </w:rPr>
        <w:t>capítulo</w:t>
      </w:r>
      <w:r>
        <w:rPr>
          <w:color w:val="231F20"/>
          <w:spacing w:val="-12"/>
          <w:w w:val="105"/>
        </w:rPr>
        <w:t> </w:t>
      </w:r>
      <w:r>
        <w:rPr>
          <w:color w:val="231F20"/>
          <w:w w:val="105"/>
        </w:rPr>
        <w:t>es</w:t>
      </w:r>
      <w:r>
        <w:rPr>
          <w:color w:val="231F20"/>
          <w:spacing w:val="-12"/>
          <w:w w:val="105"/>
        </w:rPr>
        <w:t> </w:t>
      </w:r>
      <w:r>
        <w:rPr>
          <w:color w:val="231F20"/>
          <w:w w:val="105"/>
        </w:rPr>
        <w:t>identificar</w:t>
      </w:r>
      <w:r>
        <w:rPr>
          <w:color w:val="231F20"/>
          <w:spacing w:val="-12"/>
          <w:w w:val="105"/>
        </w:rPr>
        <w:t> </w:t>
      </w:r>
      <w:r>
        <w:rPr>
          <w:color w:val="231F20"/>
          <w:w w:val="105"/>
        </w:rPr>
        <w:t>los</w:t>
      </w:r>
      <w:r>
        <w:rPr>
          <w:color w:val="231F20"/>
          <w:spacing w:val="-12"/>
          <w:w w:val="105"/>
        </w:rPr>
        <w:t> </w:t>
      </w:r>
      <w:r>
        <w:rPr>
          <w:color w:val="231F20"/>
          <w:w w:val="105"/>
        </w:rPr>
        <w:t>deter- minantes</w:t>
      </w:r>
      <w:r>
        <w:rPr>
          <w:color w:val="231F20"/>
          <w:spacing w:val="-12"/>
          <w:w w:val="105"/>
        </w:rPr>
        <w:t> </w:t>
      </w:r>
      <w:r>
        <w:rPr>
          <w:color w:val="231F20"/>
          <w:w w:val="105"/>
        </w:rPr>
        <w:t>que</w:t>
      </w:r>
      <w:r>
        <w:rPr>
          <w:color w:val="231F20"/>
          <w:spacing w:val="-12"/>
          <w:w w:val="105"/>
        </w:rPr>
        <w:t> </w:t>
      </w:r>
      <w:r>
        <w:rPr>
          <w:color w:val="231F20"/>
          <w:w w:val="105"/>
        </w:rPr>
        <w:t>definen</w:t>
      </w:r>
      <w:r>
        <w:rPr>
          <w:color w:val="231F20"/>
          <w:spacing w:val="-12"/>
          <w:w w:val="105"/>
        </w:rPr>
        <w:t> </w:t>
      </w:r>
      <w:r>
        <w:rPr>
          <w:color w:val="231F20"/>
          <w:w w:val="105"/>
        </w:rPr>
        <w:t>la</w:t>
      </w:r>
      <w:r>
        <w:rPr>
          <w:color w:val="231F20"/>
          <w:spacing w:val="-12"/>
          <w:w w:val="105"/>
        </w:rPr>
        <w:t> </w:t>
      </w:r>
      <w:r>
        <w:rPr>
          <w:color w:val="231F20"/>
          <w:w w:val="105"/>
        </w:rPr>
        <w:t>competitividad</w:t>
      </w:r>
      <w:r>
        <w:rPr>
          <w:color w:val="231F20"/>
          <w:spacing w:val="-12"/>
          <w:w w:val="105"/>
        </w:rPr>
        <w:t> </w:t>
      </w:r>
      <w:r>
        <w:rPr>
          <w:color w:val="231F20"/>
          <w:w w:val="105"/>
        </w:rPr>
        <w:t>empresarial</w:t>
      </w:r>
      <w:r>
        <w:rPr>
          <w:color w:val="231F20"/>
          <w:spacing w:val="-12"/>
          <w:w w:val="105"/>
        </w:rPr>
        <w:t> </w:t>
      </w:r>
      <w:r>
        <w:rPr>
          <w:color w:val="231F20"/>
          <w:w w:val="105"/>
        </w:rPr>
        <w:t>a</w:t>
      </w:r>
      <w:r>
        <w:rPr>
          <w:color w:val="231F20"/>
          <w:spacing w:val="-12"/>
          <w:w w:val="105"/>
        </w:rPr>
        <w:t> </w:t>
      </w:r>
      <w:r>
        <w:rPr>
          <w:color w:val="231F20"/>
          <w:w w:val="105"/>
        </w:rPr>
        <w:t>nivel</w:t>
      </w:r>
      <w:r>
        <w:rPr>
          <w:color w:val="231F20"/>
          <w:spacing w:val="-12"/>
          <w:w w:val="105"/>
        </w:rPr>
        <w:t> </w:t>
      </w:r>
      <w:r>
        <w:rPr>
          <w:color w:val="231F20"/>
          <w:w w:val="105"/>
        </w:rPr>
        <w:t>micro</w:t>
      </w:r>
      <w:r>
        <w:rPr>
          <w:color w:val="231F20"/>
          <w:spacing w:val="-12"/>
          <w:w w:val="105"/>
        </w:rPr>
        <w:t> </w:t>
      </w:r>
      <w:r>
        <w:rPr>
          <w:color w:val="231F20"/>
          <w:w w:val="105"/>
        </w:rPr>
        <w:t>y</w:t>
      </w:r>
      <w:r>
        <w:rPr>
          <w:color w:val="231F20"/>
          <w:spacing w:val="-12"/>
          <w:w w:val="105"/>
        </w:rPr>
        <w:t> </w:t>
      </w:r>
      <w:r>
        <w:rPr>
          <w:color w:val="231F20"/>
          <w:w w:val="105"/>
        </w:rPr>
        <w:t>en</w:t>
      </w:r>
      <w:r>
        <w:rPr>
          <w:color w:val="231F20"/>
          <w:spacing w:val="-12"/>
          <w:w w:val="105"/>
        </w:rPr>
        <w:t> </w:t>
      </w:r>
      <w:r>
        <w:rPr>
          <w:color w:val="231F20"/>
          <w:w w:val="105"/>
        </w:rPr>
        <w:t>el marco del modelo de competitividad sistémica. </w:t>
      </w:r>
      <w:r>
        <w:rPr>
          <w:color w:val="231F20"/>
          <w:spacing w:val="-4"/>
          <w:w w:val="105"/>
        </w:rPr>
        <w:t>Para </w:t>
      </w:r>
      <w:r>
        <w:rPr>
          <w:color w:val="231F20"/>
          <w:w w:val="105"/>
        </w:rPr>
        <w:t>ello, el trabajo se organiza presentando en el primer apartado el abordaje de la competi- tividad desde el enfoque económico-administrativo; en el segundo, se presenta el modelo de competitividad sistémico, explicando los niveles que la integra; en el tercero se aborda la competitividad empresarial a partir</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perspectiva</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ventaja</w:t>
      </w:r>
      <w:r>
        <w:rPr>
          <w:color w:val="231F20"/>
          <w:spacing w:val="-18"/>
          <w:w w:val="105"/>
        </w:rPr>
        <w:t> </w:t>
      </w:r>
      <w:r>
        <w:rPr>
          <w:color w:val="231F20"/>
          <w:w w:val="105"/>
        </w:rPr>
        <w:t>competitiva</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teoría</w:t>
      </w:r>
      <w:r>
        <w:rPr>
          <w:color w:val="231F20"/>
          <w:spacing w:val="-18"/>
          <w:w w:val="105"/>
        </w:rPr>
        <w:t> </w:t>
      </w:r>
      <w:r>
        <w:rPr>
          <w:color w:val="231F20"/>
          <w:w w:val="105"/>
        </w:rPr>
        <w:t>de</w:t>
      </w:r>
      <w:r>
        <w:rPr>
          <w:color w:val="231F20"/>
          <w:spacing w:val="-18"/>
          <w:w w:val="105"/>
        </w:rPr>
        <w:t> </w:t>
      </w:r>
      <w:r>
        <w:rPr>
          <w:color w:val="231F20"/>
          <w:w w:val="105"/>
        </w:rPr>
        <w:t>recursos</w:t>
      </w:r>
      <w:r>
        <w:rPr>
          <w:color w:val="231F20"/>
          <w:spacing w:val="-18"/>
          <w:w w:val="105"/>
        </w:rPr>
        <w:t> </w:t>
      </w:r>
      <w:r>
        <w:rPr>
          <w:color w:val="231F20"/>
          <w:w w:val="105"/>
        </w:rPr>
        <w:t>y capacidades.</w:t>
      </w:r>
      <w:r>
        <w:rPr>
          <w:color w:val="231F20"/>
          <w:spacing w:val="-23"/>
          <w:w w:val="105"/>
        </w:rPr>
        <w:t> </w:t>
      </w:r>
      <w:r>
        <w:rPr>
          <w:color w:val="231F20"/>
          <w:w w:val="105"/>
        </w:rPr>
        <w:t>Con</w:t>
      </w:r>
      <w:r>
        <w:rPr>
          <w:color w:val="231F20"/>
          <w:spacing w:val="-17"/>
          <w:w w:val="105"/>
        </w:rPr>
        <w:t> </w:t>
      </w:r>
      <w:r>
        <w:rPr>
          <w:color w:val="231F20"/>
          <w:w w:val="105"/>
        </w:rPr>
        <w:t>esto</w:t>
      </w:r>
      <w:r>
        <w:rPr>
          <w:color w:val="231F20"/>
          <w:spacing w:val="-17"/>
          <w:w w:val="105"/>
        </w:rPr>
        <w:t> </w:t>
      </w:r>
      <w:r>
        <w:rPr>
          <w:color w:val="231F20"/>
          <w:w w:val="105"/>
        </w:rPr>
        <w:t>como</w:t>
      </w:r>
      <w:r>
        <w:rPr>
          <w:color w:val="231F20"/>
          <w:spacing w:val="-17"/>
          <w:w w:val="105"/>
        </w:rPr>
        <w:t> </w:t>
      </w:r>
      <w:r>
        <w:rPr>
          <w:color w:val="231F20"/>
          <w:w w:val="105"/>
        </w:rPr>
        <w:t>base,</w:t>
      </w:r>
      <w:r>
        <w:rPr>
          <w:color w:val="231F20"/>
          <w:spacing w:val="-23"/>
          <w:w w:val="105"/>
        </w:rPr>
        <w:t> </w:t>
      </w:r>
      <w:r>
        <w:rPr>
          <w:color w:val="231F20"/>
          <w:w w:val="105"/>
        </w:rPr>
        <w:t>el</w:t>
      </w:r>
      <w:r>
        <w:rPr>
          <w:color w:val="231F20"/>
          <w:spacing w:val="-17"/>
          <w:w w:val="105"/>
        </w:rPr>
        <w:t> </w:t>
      </w:r>
      <w:r>
        <w:rPr>
          <w:color w:val="231F20"/>
          <w:w w:val="105"/>
        </w:rPr>
        <w:t>capítulo</w:t>
      </w:r>
      <w:r>
        <w:rPr>
          <w:color w:val="231F20"/>
          <w:spacing w:val="-17"/>
          <w:w w:val="105"/>
        </w:rPr>
        <w:t> </w:t>
      </w:r>
      <w:r>
        <w:rPr>
          <w:color w:val="231F20"/>
          <w:w w:val="105"/>
        </w:rPr>
        <w:t>cierra</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de los</w:t>
      </w:r>
      <w:r>
        <w:rPr>
          <w:color w:val="231F20"/>
          <w:spacing w:val="-11"/>
          <w:w w:val="105"/>
        </w:rPr>
        <w:t> </w:t>
      </w:r>
      <w:r>
        <w:rPr>
          <w:color w:val="231F20"/>
          <w:w w:val="105"/>
        </w:rPr>
        <w:t>determinantes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competitividad</w:t>
      </w:r>
      <w:r>
        <w:rPr>
          <w:color w:val="231F20"/>
          <w:spacing w:val="-11"/>
          <w:w w:val="105"/>
        </w:rPr>
        <w:t> </w:t>
      </w:r>
      <w:r>
        <w:rPr>
          <w:color w:val="231F20"/>
          <w:w w:val="105"/>
        </w:rPr>
        <w:t>empresarial.</w:t>
      </w:r>
    </w:p>
    <w:p>
      <w:pPr>
        <w:pStyle w:val="BodyText"/>
        <w:rPr>
          <w:sz w:val="20"/>
        </w:rPr>
      </w:pPr>
    </w:p>
    <w:p>
      <w:pPr>
        <w:pStyle w:val="BodyText"/>
        <w:spacing w:before="7"/>
        <w:rPr>
          <w:sz w:val="18"/>
        </w:rPr>
      </w:pPr>
    </w:p>
    <w:p>
      <w:pPr>
        <w:pStyle w:val="Heading2"/>
        <w:ind w:left="103"/>
      </w:pPr>
      <w:r>
        <w:rPr>
          <w:color w:val="231F20"/>
        </w:rPr>
        <w:t>Abordaje económico administrativo de la competitividad</w:t>
      </w:r>
    </w:p>
    <w:p>
      <w:pPr>
        <w:pStyle w:val="BodyText"/>
        <w:rPr>
          <w:b/>
          <w:sz w:val="22"/>
        </w:rPr>
      </w:pPr>
    </w:p>
    <w:p>
      <w:pPr>
        <w:pStyle w:val="BodyText"/>
        <w:spacing w:line="259" w:lineRule="auto" w:before="160"/>
        <w:ind w:left="103" w:right="115"/>
        <w:jc w:val="both"/>
      </w:pPr>
      <w:r>
        <w:rPr>
          <w:color w:val="231F20"/>
          <w:w w:val="105"/>
        </w:rPr>
        <w:t>La competitividad data desde las discusiones de los clásicos de la</w:t>
      </w:r>
      <w:r>
        <w:rPr>
          <w:color w:val="231F20"/>
          <w:spacing w:val="-37"/>
          <w:w w:val="105"/>
        </w:rPr>
        <w:t> </w:t>
      </w:r>
      <w:r>
        <w:rPr>
          <w:color w:val="231F20"/>
          <w:w w:val="105"/>
        </w:rPr>
        <w:t>eco- nomía como Adam Smith (1979), quien consideró que la ampliación</w:t>
      </w:r>
      <w:r>
        <w:rPr>
          <w:color w:val="231F20"/>
          <w:spacing w:val="-28"/>
          <w:w w:val="105"/>
        </w:rPr>
        <w:t> </w:t>
      </w:r>
      <w:r>
        <w:rPr>
          <w:color w:val="231F20"/>
          <w:w w:val="105"/>
        </w:rPr>
        <w:t>de los mercados abriría posibilidades ilimitadas para que la sociedad au- mentara su riqueza y su bienestar mediante la producción especializa- da y el comercio entre las naciones. David Ricardo (1973) introdujo la noción de la competitividad a través de su razonamiento sobre la </w:t>
      </w:r>
      <w:r>
        <w:rPr>
          <w:color w:val="231F20"/>
          <w:spacing w:val="4"/>
          <w:w w:val="105"/>
        </w:rPr>
        <w:t> </w:t>
      </w:r>
      <w:r>
        <w:rPr>
          <w:color w:val="231F20"/>
          <w:w w:val="105"/>
        </w:rPr>
        <w:t>ven-</w:t>
      </w:r>
    </w:p>
    <w:p>
      <w:pPr>
        <w:pStyle w:val="BodyText"/>
        <w:rPr>
          <w:sz w:val="20"/>
        </w:rPr>
      </w:pPr>
    </w:p>
    <w:p>
      <w:pPr>
        <w:pStyle w:val="BodyText"/>
        <w:rPr>
          <w:sz w:val="20"/>
        </w:rPr>
      </w:pPr>
    </w:p>
    <w:p>
      <w:pPr>
        <w:pStyle w:val="BodyText"/>
        <w:rPr>
          <w:sz w:val="19"/>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96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42</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944"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43</w:t>
      </w:r>
    </w:p>
    <w:p>
      <w:pPr>
        <w:spacing w:line="187" w:lineRule="exact" w:before="0"/>
        <w:ind w:left="4186" w:right="17"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BodyText"/>
        <w:spacing w:line="259" w:lineRule="auto" w:before="169"/>
        <w:ind w:left="117" w:right="101"/>
        <w:jc w:val="both"/>
      </w:pPr>
      <w:r>
        <w:rPr>
          <w:color w:val="231F20"/>
          <w:w w:val="105"/>
        </w:rPr>
        <w:t>taja comparativa; y Schumpeter (1989) refirió la guerra constante</w:t>
      </w:r>
      <w:r>
        <w:rPr>
          <w:color w:val="231F20"/>
          <w:spacing w:val="-12"/>
          <w:w w:val="105"/>
        </w:rPr>
        <w:t> </w:t>
      </w:r>
      <w:r>
        <w:rPr>
          <w:color w:val="231F20"/>
          <w:w w:val="105"/>
        </w:rPr>
        <w:t>entre empresas,</w:t>
      </w:r>
      <w:r>
        <w:rPr>
          <w:color w:val="231F20"/>
          <w:spacing w:val="-23"/>
          <w:w w:val="105"/>
        </w:rPr>
        <w:t> </w:t>
      </w:r>
      <w:r>
        <w:rPr>
          <w:color w:val="231F20"/>
          <w:w w:val="105"/>
        </w:rPr>
        <w:t>poniendo</w:t>
      </w:r>
      <w:r>
        <w:rPr>
          <w:color w:val="231F20"/>
          <w:spacing w:val="-18"/>
          <w:w w:val="105"/>
        </w:rPr>
        <w:t> </w:t>
      </w:r>
      <w:r>
        <w:rPr>
          <w:color w:val="231F20"/>
          <w:w w:val="105"/>
        </w:rPr>
        <w:t>de</w:t>
      </w:r>
      <w:r>
        <w:rPr>
          <w:color w:val="231F20"/>
          <w:spacing w:val="-18"/>
          <w:w w:val="105"/>
        </w:rPr>
        <w:t> </w:t>
      </w:r>
      <w:r>
        <w:rPr>
          <w:color w:val="231F20"/>
          <w:w w:val="105"/>
        </w:rPr>
        <w:t>manifiesto</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competencia</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mismas ocurre</w:t>
      </w:r>
      <w:r>
        <w:rPr>
          <w:color w:val="231F20"/>
          <w:spacing w:val="-20"/>
          <w:w w:val="105"/>
        </w:rPr>
        <w:t> </w:t>
      </w:r>
      <w:r>
        <w:rPr>
          <w:color w:val="231F20"/>
          <w:w w:val="105"/>
        </w:rPr>
        <w:t>en</w:t>
      </w:r>
      <w:r>
        <w:rPr>
          <w:color w:val="231F20"/>
          <w:spacing w:val="-20"/>
          <w:w w:val="105"/>
        </w:rPr>
        <w:t> </w:t>
      </w:r>
      <w:r>
        <w:rPr>
          <w:color w:val="231F20"/>
          <w:w w:val="105"/>
        </w:rPr>
        <w:t>una</w:t>
      </w:r>
      <w:r>
        <w:rPr>
          <w:color w:val="231F20"/>
          <w:spacing w:val="-20"/>
          <w:w w:val="105"/>
        </w:rPr>
        <w:t> </w:t>
      </w:r>
      <w:r>
        <w:rPr>
          <w:color w:val="231F20"/>
          <w:w w:val="105"/>
        </w:rPr>
        <w:t>carrera</w:t>
      </w:r>
      <w:r>
        <w:rPr>
          <w:color w:val="231F20"/>
          <w:spacing w:val="-20"/>
          <w:w w:val="105"/>
        </w:rPr>
        <w:t> </w:t>
      </w:r>
      <w:r>
        <w:rPr>
          <w:color w:val="231F20"/>
          <w:w w:val="105"/>
        </w:rPr>
        <w:t>que</w:t>
      </w:r>
      <w:r>
        <w:rPr>
          <w:color w:val="231F20"/>
          <w:spacing w:val="-20"/>
          <w:w w:val="105"/>
        </w:rPr>
        <w:t> </w:t>
      </w:r>
      <w:r>
        <w:rPr>
          <w:color w:val="231F20"/>
          <w:w w:val="105"/>
        </w:rPr>
        <w:t>involucra</w:t>
      </w:r>
      <w:r>
        <w:rPr>
          <w:color w:val="231F20"/>
          <w:spacing w:val="-20"/>
          <w:w w:val="105"/>
        </w:rPr>
        <w:t> </w:t>
      </w:r>
      <w:r>
        <w:rPr>
          <w:color w:val="231F20"/>
          <w:w w:val="105"/>
        </w:rPr>
        <w:t>la</w:t>
      </w:r>
      <w:r>
        <w:rPr>
          <w:color w:val="231F20"/>
          <w:spacing w:val="-20"/>
          <w:w w:val="105"/>
        </w:rPr>
        <w:t> </w:t>
      </w:r>
      <w:r>
        <w:rPr>
          <w:color w:val="231F20"/>
          <w:w w:val="105"/>
        </w:rPr>
        <w:t>innovación.</w:t>
      </w:r>
      <w:r>
        <w:rPr>
          <w:color w:val="231F20"/>
          <w:spacing w:val="-24"/>
          <w:w w:val="105"/>
        </w:rPr>
        <w:t> </w:t>
      </w:r>
      <w:r>
        <w:rPr>
          <w:color w:val="231F20"/>
          <w:w w:val="105"/>
        </w:rPr>
        <w:t>Más</w:t>
      </w:r>
      <w:r>
        <w:rPr>
          <w:color w:val="231F20"/>
          <w:spacing w:val="-20"/>
          <w:w w:val="105"/>
        </w:rPr>
        <w:t> </w:t>
      </w:r>
      <w:r>
        <w:rPr>
          <w:color w:val="231F20"/>
          <w:w w:val="105"/>
        </w:rPr>
        <w:t>tarde,</w:t>
      </w:r>
      <w:r>
        <w:rPr>
          <w:color w:val="231F20"/>
          <w:spacing w:val="-24"/>
          <w:w w:val="105"/>
        </w:rPr>
        <w:t> </w:t>
      </w:r>
      <w:r>
        <w:rPr>
          <w:color w:val="231F20"/>
          <w:w w:val="105"/>
        </w:rPr>
        <w:t>Krugman</w:t>
      </w:r>
      <w:r>
        <w:rPr>
          <w:color w:val="231F20"/>
          <w:spacing w:val="-20"/>
          <w:w w:val="105"/>
        </w:rPr>
        <w:t> </w:t>
      </w:r>
      <w:r>
        <w:rPr>
          <w:color w:val="231F20"/>
          <w:w w:val="105"/>
        </w:rPr>
        <w:t>y Obstfeld</w:t>
      </w:r>
      <w:r>
        <w:rPr>
          <w:color w:val="231F20"/>
          <w:spacing w:val="-7"/>
          <w:w w:val="105"/>
        </w:rPr>
        <w:t> </w:t>
      </w:r>
      <w:r>
        <w:rPr>
          <w:color w:val="231F20"/>
          <w:w w:val="105"/>
        </w:rPr>
        <w:t>(1999)</w:t>
      </w:r>
      <w:r>
        <w:rPr>
          <w:color w:val="231F20"/>
          <w:spacing w:val="-7"/>
          <w:w w:val="105"/>
        </w:rPr>
        <w:t> </w:t>
      </w:r>
      <w:r>
        <w:rPr>
          <w:color w:val="231F20"/>
          <w:w w:val="105"/>
        </w:rPr>
        <w:t>argumentaron</w:t>
      </w:r>
      <w:r>
        <w:rPr>
          <w:color w:val="231F20"/>
          <w:spacing w:val="-7"/>
          <w:w w:val="105"/>
        </w:rPr>
        <w:t> </w:t>
      </w:r>
      <w:r>
        <w:rPr>
          <w:color w:val="231F20"/>
          <w:w w:val="105"/>
        </w:rPr>
        <w:t>que</w:t>
      </w:r>
      <w:r>
        <w:rPr>
          <w:color w:val="231F20"/>
          <w:spacing w:val="-7"/>
          <w:w w:val="105"/>
        </w:rPr>
        <w:t> </w:t>
      </w:r>
      <w:r>
        <w:rPr>
          <w:color w:val="231F20"/>
          <w:w w:val="105"/>
        </w:rPr>
        <w:t>el</w:t>
      </w:r>
      <w:r>
        <w:rPr>
          <w:color w:val="231F20"/>
          <w:spacing w:val="-7"/>
          <w:w w:val="105"/>
        </w:rPr>
        <w:t> </w:t>
      </w:r>
      <w:r>
        <w:rPr>
          <w:color w:val="231F20"/>
          <w:w w:val="105"/>
        </w:rPr>
        <w:t>modelo</w:t>
      </w:r>
      <w:r>
        <w:rPr>
          <w:color w:val="231F20"/>
          <w:spacing w:val="-7"/>
          <w:w w:val="105"/>
        </w:rPr>
        <w:t> </w:t>
      </w:r>
      <w:r>
        <w:rPr>
          <w:color w:val="231F20"/>
          <w:w w:val="105"/>
        </w:rPr>
        <w:t>económico</w:t>
      </w:r>
      <w:r>
        <w:rPr>
          <w:color w:val="231F20"/>
          <w:spacing w:val="-7"/>
          <w:w w:val="105"/>
        </w:rPr>
        <w:t> </w:t>
      </w:r>
      <w:r>
        <w:rPr>
          <w:color w:val="231F20"/>
          <w:w w:val="105"/>
        </w:rPr>
        <w:t>actual</w:t>
      </w:r>
      <w:r>
        <w:rPr>
          <w:color w:val="231F20"/>
          <w:spacing w:val="-7"/>
          <w:w w:val="105"/>
        </w:rPr>
        <w:t> </w:t>
      </w:r>
      <w:r>
        <w:rPr>
          <w:color w:val="231F20"/>
          <w:w w:val="105"/>
        </w:rPr>
        <w:t>sugiere que no solamente los países ganan con el comercio internacional,</w:t>
      </w:r>
      <w:r>
        <w:rPr>
          <w:color w:val="231F20"/>
          <w:spacing w:val="-12"/>
          <w:w w:val="105"/>
        </w:rPr>
        <w:t> </w:t>
      </w:r>
      <w:r>
        <w:rPr>
          <w:color w:val="231F20"/>
          <w:w w:val="105"/>
        </w:rPr>
        <w:t>sino que</w:t>
      </w:r>
      <w:r>
        <w:rPr>
          <w:color w:val="231F20"/>
          <w:spacing w:val="-13"/>
          <w:w w:val="105"/>
        </w:rPr>
        <w:t> </w:t>
      </w:r>
      <w:r>
        <w:rPr>
          <w:color w:val="231F20"/>
          <w:w w:val="105"/>
        </w:rPr>
        <w:t>como</w:t>
      </w:r>
      <w:r>
        <w:rPr>
          <w:color w:val="231F20"/>
          <w:spacing w:val="-13"/>
          <w:w w:val="105"/>
        </w:rPr>
        <w:t> </w:t>
      </w:r>
      <w:r>
        <w:rPr>
          <w:color w:val="231F20"/>
          <w:w w:val="105"/>
        </w:rPr>
        <w:t>consecuencia</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w w:val="105"/>
        </w:rPr>
        <w:t>individuos</w:t>
      </w:r>
      <w:r>
        <w:rPr>
          <w:color w:val="231F20"/>
          <w:spacing w:val="-13"/>
          <w:w w:val="105"/>
        </w:rPr>
        <w:t> </w:t>
      </w:r>
      <w:r>
        <w:rPr>
          <w:color w:val="231F20"/>
          <w:w w:val="105"/>
        </w:rPr>
        <w:t>mejoran.</w:t>
      </w:r>
    </w:p>
    <w:p>
      <w:pPr>
        <w:pStyle w:val="BodyText"/>
        <w:spacing w:line="259" w:lineRule="auto"/>
        <w:ind w:left="117" w:right="101" w:firstLine="567"/>
        <w:jc w:val="both"/>
      </w:pPr>
      <w:r>
        <w:rPr>
          <w:w w:val="105"/>
        </w:rPr>
        <w:t>Las</w:t>
      </w:r>
      <w:r>
        <w:rPr>
          <w:spacing w:val="-20"/>
          <w:w w:val="105"/>
        </w:rPr>
        <w:t> </w:t>
      </w:r>
      <w:r>
        <w:rPr>
          <w:w w:val="105"/>
        </w:rPr>
        <w:t>teorías</w:t>
      </w:r>
      <w:r>
        <w:rPr>
          <w:spacing w:val="-20"/>
          <w:w w:val="105"/>
        </w:rPr>
        <w:t> </w:t>
      </w:r>
      <w:r>
        <w:rPr>
          <w:w w:val="105"/>
        </w:rPr>
        <w:t>económicas</w:t>
      </w:r>
      <w:r>
        <w:rPr>
          <w:spacing w:val="-20"/>
          <w:w w:val="105"/>
        </w:rPr>
        <w:t> </w:t>
      </w:r>
      <w:r>
        <w:rPr>
          <w:w w:val="105"/>
        </w:rPr>
        <w:t>clásicas</w:t>
      </w:r>
      <w:r>
        <w:rPr>
          <w:spacing w:val="-20"/>
          <w:w w:val="105"/>
        </w:rPr>
        <w:t> </w:t>
      </w:r>
      <w:r>
        <w:rPr>
          <w:w w:val="105"/>
        </w:rPr>
        <w:t>dieron</w:t>
      </w:r>
      <w:r>
        <w:rPr>
          <w:spacing w:val="-20"/>
          <w:w w:val="105"/>
        </w:rPr>
        <w:t> </w:t>
      </w:r>
      <w:r>
        <w:rPr>
          <w:w w:val="105"/>
        </w:rPr>
        <w:t>forma</w:t>
      </w:r>
      <w:r>
        <w:rPr>
          <w:spacing w:val="-20"/>
          <w:w w:val="105"/>
        </w:rPr>
        <w:t> </w:t>
      </w:r>
      <w:r>
        <w:rPr>
          <w:w w:val="105"/>
        </w:rPr>
        <w:t>al</w:t>
      </w:r>
      <w:r>
        <w:rPr>
          <w:spacing w:val="-20"/>
          <w:w w:val="105"/>
        </w:rPr>
        <w:t> </w:t>
      </w:r>
      <w:r>
        <w:rPr>
          <w:w w:val="105"/>
        </w:rPr>
        <w:t>marco</w:t>
      </w:r>
      <w:r>
        <w:rPr>
          <w:spacing w:val="-20"/>
          <w:w w:val="105"/>
        </w:rPr>
        <w:t> </w:t>
      </w:r>
      <w:r>
        <w:rPr>
          <w:w w:val="105"/>
        </w:rPr>
        <w:t>conceptual de</w:t>
      </w:r>
      <w:r>
        <w:rPr>
          <w:spacing w:val="-6"/>
          <w:w w:val="105"/>
        </w:rPr>
        <w:t> </w:t>
      </w:r>
      <w:r>
        <w:rPr>
          <w:w w:val="105"/>
        </w:rPr>
        <w:t>la</w:t>
      </w:r>
      <w:r>
        <w:rPr>
          <w:spacing w:val="-6"/>
          <w:w w:val="105"/>
        </w:rPr>
        <w:t> </w:t>
      </w:r>
      <w:r>
        <w:rPr>
          <w:w w:val="105"/>
        </w:rPr>
        <w:t>competitividad,</w:t>
      </w:r>
      <w:r>
        <w:rPr>
          <w:spacing w:val="-13"/>
          <w:w w:val="105"/>
        </w:rPr>
        <w:t> </w:t>
      </w:r>
      <w:r>
        <w:rPr>
          <w:w w:val="105"/>
        </w:rPr>
        <w:t>y</w:t>
      </w:r>
      <w:r>
        <w:rPr>
          <w:spacing w:val="-6"/>
          <w:w w:val="105"/>
        </w:rPr>
        <w:t> </w:t>
      </w:r>
      <w:r>
        <w:rPr>
          <w:w w:val="105"/>
        </w:rPr>
        <w:t>la</w:t>
      </w:r>
      <w:r>
        <w:rPr>
          <w:spacing w:val="-6"/>
          <w:w w:val="105"/>
        </w:rPr>
        <w:t> </w:t>
      </w:r>
      <w:r>
        <w:rPr>
          <w:w w:val="105"/>
        </w:rPr>
        <w:t>definieron</w:t>
      </w:r>
      <w:r>
        <w:rPr>
          <w:spacing w:val="-6"/>
          <w:w w:val="105"/>
        </w:rPr>
        <w:t> </w:t>
      </w:r>
      <w:r>
        <w:rPr>
          <w:w w:val="105"/>
        </w:rPr>
        <w:t>en</w:t>
      </w:r>
      <w:r>
        <w:rPr>
          <w:spacing w:val="-6"/>
          <w:w w:val="105"/>
        </w:rPr>
        <w:t> </w:t>
      </w:r>
      <w:r>
        <w:rPr>
          <w:w w:val="105"/>
        </w:rPr>
        <w:t>términos</w:t>
      </w:r>
      <w:r>
        <w:rPr>
          <w:spacing w:val="-6"/>
          <w:w w:val="105"/>
        </w:rPr>
        <w:t> </w:t>
      </w:r>
      <w:r>
        <w:rPr>
          <w:w w:val="105"/>
        </w:rPr>
        <w:t>de</w:t>
      </w:r>
      <w:r>
        <w:rPr>
          <w:spacing w:val="-6"/>
          <w:w w:val="105"/>
        </w:rPr>
        <w:t> </w:t>
      </w:r>
      <w:r>
        <w:rPr>
          <w:w w:val="105"/>
        </w:rPr>
        <w:t>economía</w:t>
      </w:r>
      <w:r>
        <w:rPr>
          <w:spacing w:val="-6"/>
          <w:w w:val="105"/>
        </w:rPr>
        <w:t> </w:t>
      </w:r>
      <w:r>
        <w:rPr>
          <w:w w:val="105"/>
        </w:rPr>
        <w:t>basándo- se en el concepto de competencia. Con el paso del tiempo y el adveni- miento</w:t>
      </w:r>
      <w:r>
        <w:rPr>
          <w:spacing w:val="-19"/>
          <w:w w:val="105"/>
        </w:rPr>
        <w:t> </w:t>
      </w:r>
      <w:r>
        <w:rPr>
          <w:w w:val="105"/>
        </w:rPr>
        <w:t>de</w:t>
      </w:r>
      <w:r>
        <w:rPr>
          <w:spacing w:val="-19"/>
          <w:w w:val="105"/>
        </w:rPr>
        <w:t> </w:t>
      </w:r>
      <w:r>
        <w:rPr>
          <w:w w:val="105"/>
        </w:rPr>
        <w:t>las</w:t>
      </w:r>
      <w:r>
        <w:rPr>
          <w:spacing w:val="-19"/>
          <w:w w:val="105"/>
        </w:rPr>
        <w:t> </w:t>
      </w:r>
      <w:r>
        <w:rPr>
          <w:w w:val="105"/>
        </w:rPr>
        <w:t>nuevas</w:t>
      </w:r>
      <w:r>
        <w:rPr>
          <w:spacing w:val="-19"/>
          <w:w w:val="105"/>
        </w:rPr>
        <w:t> </w:t>
      </w:r>
      <w:r>
        <w:rPr>
          <w:w w:val="105"/>
        </w:rPr>
        <w:t>tendencias</w:t>
      </w:r>
      <w:r>
        <w:rPr>
          <w:spacing w:val="-19"/>
          <w:w w:val="105"/>
        </w:rPr>
        <w:t> </w:t>
      </w:r>
      <w:r>
        <w:rPr>
          <w:w w:val="105"/>
        </w:rPr>
        <w:t>de</w:t>
      </w:r>
      <w:r>
        <w:rPr>
          <w:spacing w:val="-19"/>
          <w:w w:val="105"/>
        </w:rPr>
        <w:t> </w:t>
      </w:r>
      <w:r>
        <w:rPr>
          <w:w w:val="105"/>
        </w:rPr>
        <w:t>la</w:t>
      </w:r>
      <w:r>
        <w:rPr>
          <w:spacing w:val="-19"/>
          <w:w w:val="105"/>
        </w:rPr>
        <w:t> </w:t>
      </w:r>
      <w:r>
        <w:rPr>
          <w:w w:val="105"/>
        </w:rPr>
        <w:t>economía</w:t>
      </w:r>
      <w:r>
        <w:rPr>
          <w:spacing w:val="-19"/>
          <w:w w:val="105"/>
        </w:rPr>
        <w:t> </w:t>
      </w:r>
      <w:r>
        <w:rPr>
          <w:w w:val="105"/>
        </w:rPr>
        <w:t>internacional,</w:t>
      </w:r>
      <w:r>
        <w:rPr>
          <w:spacing w:val="-24"/>
          <w:w w:val="105"/>
        </w:rPr>
        <w:t> </w:t>
      </w:r>
      <w:r>
        <w:rPr>
          <w:w w:val="105"/>
        </w:rPr>
        <w:t>afloraron una</w:t>
      </w:r>
      <w:r>
        <w:rPr>
          <w:spacing w:val="-14"/>
          <w:w w:val="105"/>
        </w:rPr>
        <w:t> </w:t>
      </w:r>
      <w:r>
        <w:rPr>
          <w:w w:val="105"/>
        </w:rPr>
        <w:t>serie</w:t>
      </w:r>
      <w:r>
        <w:rPr>
          <w:spacing w:val="-14"/>
          <w:w w:val="105"/>
        </w:rPr>
        <w:t> </w:t>
      </w:r>
      <w:r>
        <w:rPr>
          <w:w w:val="105"/>
        </w:rPr>
        <w:t>de</w:t>
      </w:r>
      <w:r>
        <w:rPr>
          <w:spacing w:val="-14"/>
          <w:w w:val="105"/>
        </w:rPr>
        <w:t> </w:t>
      </w:r>
      <w:r>
        <w:rPr>
          <w:w w:val="105"/>
        </w:rPr>
        <w:t>condiciones</w:t>
      </w:r>
      <w:r>
        <w:rPr>
          <w:spacing w:val="-14"/>
          <w:w w:val="105"/>
        </w:rPr>
        <w:t> </w:t>
      </w:r>
      <w:r>
        <w:rPr>
          <w:w w:val="105"/>
        </w:rPr>
        <w:t>a</w:t>
      </w:r>
      <w:r>
        <w:rPr>
          <w:spacing w:val="-14"/>
          <w:w w:val="105"/>
        </w:rPr>
        <w:t> </w:t>
      </w:r>
      <w:r>
        <w:rPr>
          <w:w w:val="105"/>
        </w:rPr>
        <w:t>las</w:t>
      </w:r>
      <w:r>
        <w:rPr>
          <w:spacing w:val="-14"/>
          <w:w w:val="105"/>
        </w:rPr>
        <w:t> </w:t>
      </w:r>
      <w:r>
        <w:rPr>
          <w:w w:val="105"/>
        </w:rPr>
        <w:t>cuales</w:t>
      </w:r>
      <w:r>
        <w:rPr>
          <w:spacing w:val="-14"/>
          <w:w w:val="105"/>
        </w:rPr>
        <w:t> </w:t>
      </w:r>
      <w:r>
        <w:rPr>
          <w:w w:val="105"/>
        </w:rPr>
        <w:t>debieron</w:t>
      </w:r>
      <w:r>
        <w:rPr>
          <w:spacing w:val="-14"/>
          <w:w w:val="105"/>
        </w:rPr>
        <w:t> </w:t>
      </w:r>
      <w:r>
        <w:rPr>
          <w:w w:val="105"/>
        </w:rPr>
        <w:t>adaptarse</w:t>
      </w:r>
      <w:r>
        <w:rPr>
          <w:spacing w:val="-14"/>
          <w:w w:val="105"/>
        </w:rPr>
        <w:t> </w:t>
      </w:r>
      <w:r>
        <w:rPr>
          <w:w w:val="105"/>
        </w:rPr>
        <w:t>los</w:t>
      </w:r>
      <w:r>
        <w:rPr>
          <w:spacing w:val="-14"/>
          <w:w w:val="105"/>
        </w:rPr>
        <w:t> </w:t>
      </w:r>
      <w:r>
        <w:rPr>
          <w:w w:val="105"/>
        </w:rPr>
        <w:t>actores</w:t>
      </w:r>
      <w:r>
        <w:rPr>
          <w:spacing w:val="-14"/>
          <w:w w:val="105"/>
        </w:rPr>
        <w:t> </w:t>
      </w:r>
      <w:r>
        <w:rPr>
          <w:w w:val="105"/>
        </w:rPr>
        <w:t>en el comercio; estas condiciones se refieren a un enfoque administrativo en el cual se destacó la participación de las empresas en la economía global.</w:t>
      </w:r>
      <w:r>
        <w:rPr>
          <w:spacing w:val="-27"/>
          <w:w w:val="105"/>
        </w:rPr>
        <w:t> </w:t>
      </w:r>
      <w:r>
        <w:rPr>
          <w:spacing w:val="-4"/>
          <w:w w:val="105"/>
        </w:rPr>
        <w:t>Porter</w:t>
      </w:r>
      <w:r>
        <w:rPr>
          <w:spacing w:val="-21"/>
          <w:w w:val="105"/>
        </w:rPr>
        <w:t> </w:t>
      </w:r>
      <w:r>
        <w:rPr>
          <w:w w:val="105"/>
        </w:rPr>
        <w:t>(1993)</w:t>
      </w:r>
      <w:r>
        <w:rPr>
          <w:spacing w:val="-21"/>
          <w:w w:val="105"/>
        </w:rPr>
        <w:t> </w:t>
      </w:r>
      <w:r>
        <w:rPr>
          <w:w w:val="105"/>
        </w:rPr>
        <w:t>contribuyó</w:t>
      </w:r>
      <w:r>
        <w:rPr>
          <w:spacing w:val="-21"/>
          <w:w w:val="105"/>
        </w:rPr>
        <w:t> </w:t>
      </w:r>
      <w:r>
        <w:rPr>
          <w:w w:val="105"/>
        </w:rPr>
        <w:t>a</w:t>
      </w:r>
      <w:r>
        <w:rPr>
          <w:spacing w:val="-21"/>
          <w:w w:val="105"/>
        </w:rPr>
        <w:t> </w:t>
      </w:r>
      <w:r>
        <w:rPr>
          <w:w w:val="105"/>
        </w:rPr>
        <w:t>este</w:t>
      </w:r>
      <w:r>
        <w:rPr>
          <w:spacing w:val="-21"/>
          <w:w w:val="105"/>
        </w:rPr>
        <w:t> </w:t>
      </w:r>
      <w:r>
        <w:rPr>
          <w:w w:val="105"/>
        </w:rPr>
        <w:t>enfoque</w:t>
      </w:r>
      <w:r>
        <w:rPr>
          <w:spacing w:val="-21"/>
          <w:w w:val="105"/>
        </w:rPr>
        <w:t> </w:t>
      </w:r>
      <w:r>
        <w:rPr>
          <w:w w:val="105"/>
        </w:rPr>
        <w:t>señalando</w:t>
      </w:r>
      <w:r>
        <w:rPr>
          <w:spacing w:val="-21"/>
          <w:w w:val="105"/>
        </w:rPr>
        <w:t> </w:t>
      </w:r>
      <w:r>
        <w:rPr>
          <w:w w:val="105"/>
        </w:rPr>
        <w:t>que</w:t>
      </w:r>
      <w:r>
        <w:rPr>
          <w:spacing w:val="-21"/>
          <w:w w:val="105"/>
        </w:rPr>
        <w:t> </w:t>
      </w:r>
      <w:r>
        <w:rPr>
          <w:w w:val="105"/>
        </w:rPr>
        <w:t>la</w:t>
      </w:r>
      <w:r>
        <w:rPr>
          <w:spacing w:val="-21"/>
          <w:w w:val="105"/>
        </w:rPr>
        <w:t> </w:t>
      </w:r>
      <w:r>
        <w:rPr>
          <w:w w:val="105"/>
        </w:rPr>
        <w:t>compe- titividad</w:t>
      </w:r>
      <w:r>
        <w:rPr>
          <w:spacing w:val="-30"/>
          <w:w w:val="105"/>
        </w:rPr>
        <w:t> </w:t>
      </w:r>
      <w:r>
        <w:rPr>
          <w:w w:val="105"/>
        </w:rPr>
        <w:t>se</w:t>
      </w:r>
      <w:r>
        <w:rPr>
          <w:spacing w:val="-30"/>
          <w:w w:val="105"/>
        </w:rPr>
        <w:t> </w:t>
      </w:r>
      <w:r>
        <w:rPr>
          <w:w w:val="105"/>
        </w:rPr>
        <w:t>gesta</w:t>
      </w:r>
      <w:r>
        <w:rPr>
          <w:spacing w:val="-30"/>
          <w:w w:val="105"/>
        </w:rPr>
        <w:t> </w:t>
      </w:r>
      <w:r>
        <w:rPr>
          <w:w w:val="105"/>
        </w:rPr>
        <w:t>en</w:t>
      </w:r>
      <w:r>
        <w:rPr>
          <w:spacing w:val="-30"/>
          <w:w w:val="105"/>
        </w:rPr>
        <w:t> </w:t>
      </w:r>
      <w:r>
        <w:rPr>
          <w:w w:val="105"/>
        </w:rPr>
        <w:t>las</w:t>
      </w:r>
      <w:r>
        <w:rPr>
          <w:spacing w:val="-30"/>
          <w:w w:val="105"/>
        </w:rPr>
        <w:t> </w:t>
      </w:r>
      <w:r>
        <w:rPr>
          <w:w w:val="105"/>
        </w:rPr>
        <w:t>empresas</w:t>
      </w:r>
      <w:r>
        <w:rPr>
          <w:spacing w:val="-30"/>
          <w:w w:val="105"/>
        </w:rPr>
        <w:t> </w:t>
      </w:r>
      <w:r>
        <w:rPr>
          <w:w w:val="105"/>
        </w:rPr>
        <w:t>y</w:t>
      </w:r>
      <w:r>
        <w:rPr>
          <w:spacing w:val="-30"/>
          <w:w w:val="105"/>
        </w:rPr>
        <w:t> </w:t>
      </w:r>
      <w:r>
        <w:rPr>
          <w:w w:val="105"/>
        </w:rPr>
        <w:t>no</w:t>
      </w:r>
      <w:r>
        <w:rPr>
          <w:spacing w:val="-30"/>
          <w:w w:val="105"/>
        </w:rPr>
        <w:t> </w:t>
      </w:r>
      <w:r>
        <w:rPr>
          <w:w w:val="105"/>
        </w:rPr>
        <w:t>en</w:t>
      </w:r>
      <w:r>
        <w:rPr>
          <w:spacing w:val="-30"/>
          <w:w w:val="105"/>
        </w:rPr>
        <w:t> </w:t>
      </w:r>
      <w:r>
        <w:rPr>
          <w:w w:val="105"/>
        </w:rPr>
        <w:t>los</w:t>
      </w:r>
      <w:r>
        <w:rPr>
          <w:spacing w:val="-30"/>
          <w:w w:val="105"/>
        </w:rPr>
        <w:t> </w:t>
      </w:r>
      <w:r>
        <w:rPr>
          <w:w w:val="105"/>
        </w:rPr>
        <w:t>países.</w:t>
      </w:r>
      <w:r>
        <w:rPr>
          <w:spacing w:val="-34"/>
          <w:w w:val="105"/>
        </w:rPr>
        <w:t> </w:t>
      </w:r>
      <w:r>
        <w:rPr>
          <w:w w:val="105"/>
        </w:rPr>
        <w:t>La</w:t>
      </w:r>
      <w:r>
        <w:rPr>
          <w:spacing w:val="-30"/>
          <w:w w:val="105"/>
        </w:rPr>
        <w:t> </w:t>
      </w:r>
      <w:r>
        <w:rPr>
          <w:w w:val="105"/>
        </w:rPr>
        <w:t>competitividad</w:t>
      </w:r>
      <w:r>
        <w:rPr>
          <w:spacing w:val="-30"/>
          <w:w w:val="105"/>
        </w:rPr>
        <w:t> </w:t>
      </w:r>
      <w:r>
        <w:rPr>
          <w:w w:val="105"/>
        </w:rPr>
        <w:t>se produce</w:t>
      </w:r>
      <w:r>
        <w:rPr>
          <w:spacing w:val="-13"/>
          <w:w w:val="105"/>
        </w:rPr>
        <w:t> </w:t>
      </w:r>
      <w:r>
        <w:rPr>
          <w:w w:val="105"/>
        </w:rPr>
        <w:t>en</w:t>
      </w:r>
      <w:r>
        <w:rPr>
          <w:spacing w:val="-13"/>
          <w:w w:val="105"/>
        </w:rPr>
        <w:t> </w:t>
      </w:r>
      <w:r>
        <w:rPr>
          <w:w w:val="105"/>
        </w:rPr>
        <w:t>aquellas</w:t>
      </w:r>
      <w:r>
        <w:rPr>
          <w:spacing w:val="-13"/>
          <w:w w:val="105"/>
        </w:rPr>
        <w:t> </w:t>
      </w:r>
      <w:r>
        <w:rPr>
          <w:w w:val="105"/>
        </w:rPr>
        <w:t>industrias</w:t>
      </w:r>
      <w:r>
        <w:rPr>
          <w:spacing w:val="-13"/>
          <w:w w:val="105"/>
        </w:rPr>
        <w:t> </w:t>
      </w:r>
      <w:r>
        <w:rPr>
          <w:w w:val="105"/>
        </w:rPr>
        <w:t>de</w:t>
      </w:r>
      <w:r>
        <w:rPr>
          <w:spacing w:val="-13"/>
          <w:w w:val="105"/>
        </w:rPr>
        <w:t> </w:t>
      </w:r>
      <w:r>
        <w:rPr>
          <w:w w:val="105"/>
        </w:rPr>
        <w:t>una</w:t>
      </w:r>
      <w:r>
        <w:rPr>
          <w:spacing w:val="-13"/>
          <w:w w:val="105"/>
        </w:rPr>
        <w:t> </w:t>
      </w:r>
      <w:r>
        <w:rPr>
          <w:w w:val="105"/>
        </w:rPr>
        <w:t>nación</w:t>
      </w:r>
      <w:r>
        <w:rPr>
          <w:spacing w:val="-13"/>
          <w:w w:val="105"/>
        </w:rPr>
        <w:t> </w:t>
      </w:r>
      <w:r>
        <w:rPr>
          <w:w w:val="105"/>
        </w:rPr>
        <w:t>que</w:t>
      </w:r>
      <w:r>
        <w:rPr>
          <w:spacing w:val="-13"/>
          <w:w w:val="105"/>
        </w:rPr>
        <w:t> </w:t>
      </w:r>
      <w:r>
        <w:rPr>
          <w:w w:val="105"/>
        </w:rPr>
        <w:t>obtienen</w:t>
      </w:r>
      <w:r>
        <w:rPr>
          <w:spacing w:val="-13"/>
          <w:w w:val="105"/>
        </w:rPr>
        <w:t> </w:t>
      </w:r>
      <w:r>
        <w:rPr>
          <w:w w:val="105"/>
        </w:rPr>
        <w:t>y</w:t>
      </w:r>
      <w:r>
        <w:rPr>
          <w:spacing w:val="-13"/>
          <w:w w:val="105"/>
        </w:rPr>
        <w:t> </w:t>
      </w:r>
      <w:r>
        <w:rPr>
          <w:w w:val="105"/>
        </w:rPr>
        <w:t>mantienen ciertas</w:t>
      </w:r>
      <w:r>
        <w:rPr>
          <w:spacing w:val="-35"/>
          <w:w w:val="105"/>
        </w:rPr>
        <w:t> </w:t>
      </w:r>
      <w:r>
        <w:rPr>
          <w:w w:val="105"/>
        </w:rPr>
        <w:t>ventajas</w:t>
      </w:r>
      <w:r>
        <w:rPr>
          <w:spacing w:val="-35"/>
          <w:w w:val="105"/>
        </w:rPr>
        <w:t> </w:t>
      </w:r>
      <w:r>
        <w:rPr>
          <w:w w:val="105"/>
        </w:rPr>
        <w:t>competitivas</w:t>
      </w:r>
      <w:r>
        <w:rPr>
          <w:spacing w:val="-35"/>
          <w:w w:val="105"/>
        </w:rPr>
        <w:t> </w:t>
      </w:r>
      <w:r>
        <w:rPr>
          <w:w w:val="105"/>
        </w:rPr>
        <w:t>sobre</w:t>
      </w:r>
      <w:r>
        <w:rPr>
          <w:spacing w:val="-35"/>
          <w:w w:val="105"/>
        </w:rPr>
        <w:t> </w:t>
      </w:r>
      <w:r>
        <w:rPr>
          <w:w w:val="105"/>
        </w:rPr>
        <w:t>sus</w:t>
      </w:r>
      <w:r>
        <w:rPr>
          <w:spacing w:val="-35"/>
          <w:w w:val="105"/>
        </w:rPr>
        <w:t> </w:t>
      </w:r>
      <w:r>
        <w:rPr>
          <w:w w:val="105"/>
        </w:rPr>
        <w:t>rivales</w:t>
      </w:r>
      <w:r>
        <w:rPr>
          <w:spacing w:val="-35"/>
          <w:w w:val="105"/>
        </w:rPr>
        <w:t> </w:t>
      </w:r>
      <w:r>
        <w:rPr>
          <w:w w:val="105"/>
        </w:rPr>
        <w:t>extranjeros,</w:t>
      </w:r>
      <w:r>
        <w:rPr>
          <w:spacing w:val="-39"/>
          <w:w w:val="105"/>
        </w:rPr>
        <w:t> </w:t>
      </w:r>
      <w:r>
        <w:rPr>
          <w:w w:val="105"/>
        </w:rPr>
        <w:t>y</w:t>
      </w:r>
      <w:r>
        <w:rPr>
          <w:spacing w:val="-35"/>
          <w:w w:val="105"/>
        </w:rPr>
        <w:t> </w:t>
      </w:r>
      <w:r>
        <w:rPr>
          <w:w w:val="105"/>
        </w:rPr>
        <w:t>de</w:t>
      </w:r>
      <w:r>
        <w:rPr>
          <w:spacing w:val="-35"/>
          <w:w w:val="105"/>
        </w:rPr>
        <w:t> </w:t>
      </w:r>
      <w:r>
        <w:rPr>
          <w:w w:val="105"/>
        </w:rPr>
        <w:t>esa</w:t>
      </w:r>
      <w:r>
        <w:rPr>
          <w:spacing w:val="-35"/>
          <w:w w:val="105"/>
        </w:rPr>
        <w:t> </w:t>
      </w:r>
      <w:r>
        <w:rPr>
          <w:w w:val="105"/>
        </w:rPr>
        <w:t>forma logran</w:t>
      </w:r>
      <w:r>
        <w:rPr>
          <w:spacing w:val="-16"/>
          <w:w w:val="105"/>
        </w:rPr>
        <w:t> </w:t>
      </w:r>
      <w:r>
        <w:rPr>
          <w:w w:val="105"/>
        </w:rPr>
        <w:t>crear</w:t>
      </w:r>
      <w:r>
        <w:rPr>
          <w:spacing w:val="-16"/>
          <w:w w:val="105"/>
        </w:rPr>
        <w:t> </w:t>
      </w:r>
      <w:r>
        <w:rPr>
          <w:w w:val="105"/>
        </w:rPr>
        <w:t>y</w:t>
      </w:r>
      <w:r>
        <w:rPr>
          <w:spacing w:val="-16"/>
          <w:w w:val="105"/>
        </w:rPr>
        <w:t> </w:t>
      </w:r>
      <w:r>
        <w:rPr>
          <w:w w:val="105"/>
        </w:rPr>
        <w:t>mejorar</w:t>
      </w:r>
      <w:r>
        <w:rPr>
          <w:spacing w:val="-16"/>
          <w:w w:val="105"/>
        </w:rPr>
        <w:t> </w:t>
      </w:r>
      <w:r>
        <w:rPr>
          <w:w w:val="105"/>
        </w:rPr>
        <w:t>productos</w:t>
      </w:r>
      <w:r>
        <w:rPr>
          <w:spacing w:val="-16"/>
          <w:w w:val="105"/>
        </w:rPr>
        <w:t> </w:t>
      </w:r>
      <w:r>
        <w:rPr>
          <w:w w:val="105"/>
        </w:rPr>
        <w:t>y</w:t>
      </w:r>
      <w:r>
        <w:rPr>
          <w:spacing w:val="-16"/>
          <w:w w:val="105"/>
        </w:rPr>
        <w:t> </w:t>
      </w:r>
      <w:r>
        <w:rPr>
          <w:w w:val="105"/>
        </w:rPr>
        <w:t>procesos.</w:t>
      </w:r>
    </w:p>
    <w:p>
      <w:pPr>
        <w:pStyle w:val="BodyText"/>
        <w:spacing w:line="259" w:lineRule="auto"/>
        <w:ind w:left="117" w:right="101" w:firstLine="567"/>
        <w:jc w:val="both"/>
      </w:pPr>
      <w:r>
        <w:rPr>
          <w:color w:val="231F20"/>
          <w:w w:val="105"/>
        </w:rPr>
        <w:t>Desde el enfoque económico, la competitividad se define, a nivel macro,</w:t>
      </w:r>
      <w:r>
        <w:rPr>
          <w:color w:val="231F20"/>
          <w:spacing w:val="-22"/>
          <w:w w:val="105"/>
        </w:rPr>
        <w:t> </w:t>
      </w:r>
      <w:r>
        <w:rPr>
          <w:color w:val="231F20"/>
          <w:w w:val="105"/>
        </w:rPr>
        <w:t>como</w:t>
      </w:r>
      <w:r>
        <w:rPr>
          <w:color w:val="231F20"/>
          <w:spacing w:val="-17"/>
          <w:w w:val="105"/>
        </w:rPr>
        <w:t> </w:t>
      </w:r>
      <w:r>
        <w:rPr>
          <w:color w:val="231F20"/>
          <w:w w:val="105"/>
        </w:rPr>
        <w:t>el</w:t>
      </w:r>
      <w:r>
        <w:rPr>
          <w:color w:val="231F20"/>
          <w:spacing w:val="-17"/>
          <w:w w:val="105"/>
        </w:rPr>
        <w:t> </w:t>
      </w:r>
      <w:r>
        <w:rPr>
          <w:color w:val="231F20"/>
          <w:w w:val="105"/>
        </w:rPr>
        <w:t>mejoramiento</w:t>
      </w:r>
      <w:r>
        <w:rPr>
          <w:color w:val="231F20"/>
          <w:spacing w:val="-17"/>
          <w:w w:val="105"/>
        </w:rPr>
        <w:t> </w:t>
      </w:r>
      <w:r>
        <w:rPr>
          <w:color w:val="231F20"/>
          <w:w w:val="105"/>
        </w:rPr>
        <w:t>de</w:t>
      </w:r>
      <w:r>
        <w:rPr>
          <w:color w:val="231F20"/>
          <w:spacing w:val="-17"/>
          <w:w w:val="105"/>
        </w:rPr>
        <w:t> </w:t>
      </w:r>
      <w:r>
        <w:rPr>
          <w:color w:val="231F20"/>
          <w:w w:val="105"/>
        </w:rPr>
        <w:t>factores</w:t>
      </w:r>
      <w:r>
        <w:rPr>
          <w:color w:val="231F20"/>
          <w:spacing w:val="-17"/>
          <w:w w:val="105"/>
        </w:rPr>
        <w:t> </w:t>
      </w:r>
      <w:r>
        <w:rPr>
          <w:color w:val="231F20"/>
          <w:w w:val="105"/>
        </w:rPr>
        <w:t>que</w:t>
      </w:r>
      <w:r>
        <w:rPr>
          <w:color w:val="231F20"/>
          <w:spacing w:val="-17"/>
          <w:w w:val="105"/>
        </w:rPr>
        <w:t> </w:t>
      </w:r>
      <w:r>
        <w:rPr>
          <w:color w:val="231F20"/>
          <w:w w:val="105"/>
        </w:rPr>
        <w:t>conducen</w:t>
      </w:r>
      <w:r>
        <w:rPr>
          <w:color w:val="231F20"/>
          <w:spacing w:val="-17"/>
          <w:w w:val="105"/>
        </w:rPr>
        <w:t> </w:t>
      </w:r>
      <w:r>
        <w:rPr>
          <w:color w:val="231F20"/>
          <w:w w:val="105"/>
        </w:rPr>
        <w:t>a</w:t>
      </w:r>
      <w:r>
        <w:rPr>
          <w:color w:val="231F20"/>
          <w:spacing w:val="-17"/>
          <w:w w:val="105"/>
        </w:rPr>
        <w:t> </w:t>
      </w:r>
      <w:r>
        <w:rPr>
          <w:color w:val="231F20"/>
          <w:w w:val="105"/>
        </w:rPr>
        <w:t>elevar</w:t>
      </w:r>
      <w:r>
        <w:rPr>
          <w:color w:val="231F20"/>
          <w:spacing w:val="-17"/>
          <w:w w:val="105"/>
        </w:rPr>
        <w:t> </w:t>
      </w:r>
      <w:r>
        <w:rPr>
          <w:color w:val="231F20"/>
          <w:w w:val="105"/>
        </w:rPr>
        <w:t>el</w:t>
      </w:r>
      <w:r>
        <w:rPr>
          <w:color w:val="231F20"/>
          <w:spacing w:val="-17"/>
          <w:w w:val="105"/>
        </w:rPr>
        <w:t> </w:t>
      </w:r>
      <w:r>
        <w:rPr>
          <w:color w:val="231F20"/>
          <w:w w:val="105"/>
        </w:rPr>
        <w:t>nivel de vida de la sociedad y a generar productividad que redunde en pros- peridad</w:t>
      </w:r>
      <w:r>
        <w:rPr>
          <w:color w:val="231F20"/>
          <w:spacing w:val="-20"/>
          <w:w w:val="105"/>
        </w:rPr>
        <w:t> </w:t>
      </w:r>
      <w:r>
        <w:rPr>
          <w:color w:val="231F20"/>
          <w:w w:val="105"/>
        </w:rPr>
        <w:t>para</w:t>
      </w:r>
      <w:r>
        <w:rPr>
          <w:color w:val="231F20"/>
          <w:spacing w:val="-20"/>
          <w:w w:val="105"/>
        </w:rPr>
        <w:t> </w:t>
      </w:r>
      <w:r>
        <w:rPr>
          <w:color w:val="231F20"/>
          <w:w w:val="105"/>
        </w:rPr>
        <w:t>un</w:t>
      </w:r>
      <w:r>
        <w:rPr>
          <w:color w:val="231F20"/>
          <w:spacing w:val="-20"/>
          <w:w w:val="105"/>
        </w:rPr>
        <w:t> </w:t>
      </w:r>
      <w:r>
        <w:rPr>
          <w:color w:val="231F20"/>
          <w:w w:val="105"/>
        </w:rPr>
        <w:t>país.</w:t>
      </w:r>
      <w:r>
        <w:rPr>
          <w:color w:val="231F20"/>
          <w:spacing w:val="-26"/>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plano</w:t>
      </w:r>
      <w:r>
        <w:rPr>
          <w:color w:val="231F20"/>
          <w:spacing w:val="-20"/>
          <w:w w:val="105"/>
        </w:rPr>
        <w:t> </w:t>
      </w:r>
      <w:r>
        <w:rPr>
          <w:color w:val="231F20"/>
          <w:w w:val="105"/>
        </w:rPr>
        <w:t>administrativo,</w:t>
      </w:r>
      <w:r>
        <w:rPr>
          <w:color w:val="231F20"/>
          <w:spacing w:val="-26"/>
          <w:w w:val="105"/>
        </w:rPr>
        <w:t> </w:t>
      </w:r>
      <w:r>
        <w:rPr>
          <w:color w:val="231F20"/>
          <w:w w:val="105"/>
        </w:rPr>
        <w:t>a</w:t>
      </w:r>
      <w:r>
        <w:rPr>
          <w:color w:val="231F20"/>
          <w:spacing w:val="-20"/>
          <w:w w:val="105"/>
        </w:rPr>
        <w:t> </w:t>
      </w:r>
      <w:r>
        <w:rPr>
          <w:color w:val="231F20"/>
          <w:w w:val="105"/>
        </w:rPr>
        <w:t>nivel</w:t>
      </w:r>
      <w:r>
        <w:rPr>
          <w:color w:val="231F20"/>
          <w:spacing w:val="-20"/>
          <w:w w:val="105"/>
        </w:rPr>
        <w:t> </w:t>
      </w:r>
      <w:r>
        <w:rPr>
          <w:color w:val="231F20"/>
          <w:w w:val="105"/>
        </w:rPr>
        <w:t>micro,</w:t>
      </w:r>
      <w:r>
        <w:rPr>
          <w:color w:val="231F20"/>
          <w:spacing w:val="-26"/>
          <w:w w:val="105"/>
        </w:rPr>
        <w:t> </w:t>
      </w:r>
      <w:r>
        <w:rPr>
          <w:color w:val="231F20"/>
          <w:w w:val="105"/>
        </w:rPr>
        <w:t>se</w:t>
      </w:r>
      <w:r>
        <w:rPr>
          <w:color w:val="231F20"/>
          <w:spacing w:val="-20"/>
          <w:w w:val="105"/>
        </w:rPr>
        <w:t> </w:t>
      </w:r>
      <w:r>
        <w:rPr>
          <w:color w:val="231F20"/>
          <w:w w:val="105"/>
        </w:rPr>
        <w:t>identifi- ca</w:t>
      </w:r>
      <w:r>
        <w:rPr>
          <w:color w:val="231F20"/>
          <w:spacing w:val="-18"/>
          <w:w w:val="105"/>
        </w:rPr>
        <w:t> </w:t>
      </w:r>
      <w:r>
        <w:rPr>
          <w:color w:val="231F20"/>
          <w:w w:val="105"/>
        </w:rPr>
        <w:t>la</w:t>
      </w:r>
      <w:r>
        <w:rPr>
          <w:color w:val="231F20"/>
          <w:spacing w:val="-18"/>
          <w:w w:val="105"/>
        </w:rPr>
        <w:t> </w:t>
      </w:r>
      <w:r>
        <w:rPr>
          <w:color w:val="231F20"/>
          <w:w w:val="105"/>
        </w:rPr>
        <w:t>capacidad</w:t>
      </w:r>
      <w:r>
        <w:rPr>
          <w:color w:val="231F20"/>
          <w:spacing w:val="-18"/>
          <w:w w:val="105"/>
        </w:rPr>
        <w:t> </w:t>
      </w:r>
      <w:r>
        <w:rPr>
          <w:color w:val="231F20"/>
          <w:w w:val="105"/>
        </w:rPr>
        <w:t>que</w:t>
      </w:r>
      <w:r>
        <w:rPr>
          <w:color w:val="231F20"/>
          <w:spacing w:val="-18"/>
          <w:w w:val="105"/>
        </w:rPr>
        <w:t> </w:t>
      </w:r>
      <w:r>
        <w:rPr>
          <w:color w:val="231F20"/>
          <w:w w:val="105"/>
        </w:rPr>
        <w:t>tiene</w:t>
      </w:r>
      <w:r>
        <w:rPr>
          <w:color w:val="231F20"/>
          <w:spacing w:val="-18"/>
          <w:w w:val="105"/>
        </w:rPr>
        <w:t> </w:t>
      </w:r>
      <w:r>
        <w:rPr>
          <w:color w:val="231F20"/>
          <w:w w:val="105"/>
        </w:rPr>
        <w:t>la</w:t>
      </w:r>
      <w:r>
        <w:rPr>
          <w:color w:val="231F20"/>
          <w:spacing w:val="-18"/>
          <w:w w:val="105"/>
        </w:rPr>
        <w:t> </w:t>
      </w:r>
      <w:r>
        <w:rPr>
          <w:color w:val="231F20"/>
          <w:w w:val="105"/>
        </w:rPr>
        <w:t>empresa</w:t>
      </w:r>
      <w:r>
        <w:rPr>
          <w:color w:val="231F20"/>
          <w:spacing w:val="-18"/>
          <w:w w:val="105"/>
        </w:rPr>
        <w:t> </w:t>
      </w:r>
      <w:r>
        <w:rPr>
          <w:color w:val="231F20"/>
          <w:w w:val="105"/>
        </w:rPr>
        <w:t>para</w:t>
      </w:r>
      <w:r>
        <w:rPr>
          <w:color w:val="231F20"/>
          <w:spacing w:val="-18"/>
          <w:w w:val="105"/>
        </w:rPr>
        <w:t> </w:t>
      </w:r>
      <w:r>
        <w:rPr>
          <w:color w:val="231F20"/>
          <w:w w:val="105"/>
        </w:rPr>
        <w:t>generar</w:t>
      </w:r>
      <w:r>
        <w:rPr>
          <w:color w:val="231F20"/>
          <w:spacing w:val="-18"/>
          <w:w w:val="105"/>
        </w:rPr>
        <w:t> </w:t>
      </w:r>
      <w:r>
        <w:rPr>
          <w:color w:val="231F20"/>
          <w:w w:val="105"/>
        </w:rPr>
        <w:t>productos</w:t>
      </w:r>
      <w:r>
        <w:rPr>
          <w:color w:val="231F20"/>
          <w:spacing w:val="-18"/>
          <w:w w:val="105"/>
        </w:rPr>
        <w:t> </w:t>
      </w:r>
      <w:r>
        <w:rPr>
          <w:color w:val="231F20"/>
          <w:w w:val="105"/>
        </w:rPr>
        <w:t>o</w:t>
      </w:r>
      <w:r>
        <w:rPr>
          <w:color w:val="231F20"/>
          <w:spacing w:val="-18"/>
          <w:w w:val="105"/>
        </w:rPr>
        <w:t> </w:t>
      </w:r>
      <w:r>
        <w:rPr>
          <w:color w:val="231F20"/>
          <w:w w:val="105"/>
        </w:rPr>
        <w:t>servicios de</w:t>
      </w:r>
      <w:r>
        <w:rPr>
          <w:color w:val="231F20"/>
          <w:spacing w:val="-16"/>
          <w:w w:val="105"/>
        </w:rPr>
        <w:t> </w:t>
      </w:r>
      <w:r>
        <w:rPr>
          <w:color w:val="231F20"/>
          <w:w w:val="105"/>
        </w:rPr>
        <w:t>calidad</w:t>
      </w:r>
      <w:r>
        <w:rPr>
          <w:color w:val="231F20"/>
          <w:spacing w:val="-16"/>
          <w:w w:val="105"/>
        </w:rPr>
        <w:t> </w:t>
      </w:r>
      <w:r>
        <w:rPr>
          <w:color w:val="231F20"/>
          <w:w w:val="105"/>
        </w:rPr>
        <w:t>con</w:t>
      </w:r>
      <w:r>
        <w:rPr>
          <w:color w:val="231F20"/>
          <w:spacing w:val="-16"/>
          <w:w w:val="105"/>
        </w:rPr>
        <w:t> </w:t>
      </w:r>
      <w:r>
        <w:rPr>
          <w:color w:val="231F20"/>
          <w:w w:val="105"/>
        </w:rPr>
        <w:t>costos</w:t>
      </w:r>
      <w:r>
        <w:rPr>
          <w:color w:val="231F20"/>
          <w:spacing w:val="-16"/>
          <w:w w:val="105"/>
        </w:rPr>
        <w:t> </w:t>
      </w:r>
      <w:r>
        <w:rPr>
          <w:color w:val="231F20"/>
          <w:w w:val="105"/>
        </w:rPr>
        <w:t>y</w:t>
      </w:r>
      <w:r>
        <w:rPr>
          <w:color w:val="231F20"/>
          <w:spacing w:val="-16"/>
          <w:w w:val="105"/>
        </w:rPr>
        <w:t> </w:t>
      </w:r>
      <w:r>
        <w:rPr>
          <w:color w:val="231F20"/>
          <w:w w:val="105"/>
        </w:rPr>
        <w:t>precios</w:t>
      </w:r>
      <w:r>
        <w:rPr>
          <w:color w:val="231F20"/>
          <w:spacing w:val="-16"/>
          <w:w w:val="105"/>
        </w:rPr>
        <w:t> </w:t>
      </w:r>
      <w:r>
        <w:rPr>
          <w:color w:val="231F20"/>
          <w:w w:val="105"/>
        </w:rPr>
        <w:t>atractivos,</w:t>
      </w:r>
      <w:r>
        <w:rPr>
          <w:color w:val="231F20"/>
          <w:spacing w:val="-21"/>
          <w:w w:val="105"/>
        </w:rPr>
        <w:t> </w:t>
      </w:r>
      <w:r>
        <w:rPr>
          <w:color w:val="231F20"/>
          <w:w w:val="105"/>
        </w:rPr>
        <w:t>los</w:t>
      </w:r>
      <w:r>
        <w:rPr>
          <w:color w:val="231F20"/>
          <w:spacing w:val="-16"/>
          <w:w w:val="105"/>
        </w:rPr>
        <w:t> </w:t>
      </w:r>
      <w:r>
        <w:rPr>
          <w:color w:val="231F20"/>
          <w:w w:val="105"/>
        </w:rPr>
        <w:t>cuales</w:t>
      </w:r>
      <w:r>
        <w:rPr>
          <w:color w:val="231F20"/>
          <w:spacing w:val="-16"/>
          <w:w w:val="105"/>
        </w:rPr>
        <w:t> </w:t>
      </w:r>
      <w:r>
        <w:rPr>
          <w:color w:val="231F20"/>
          <w:w w:val="105"/>
        </w:rPr>
        <w:t>involucran</w:t>
      </w:r>
      <w:r>
        <w:rPr>
          <w:color w:val="231F20"/>
          <w:spacing w:val="-16"/>
          <w:w w:val="105"/>
        </w:rPr>
        <w:t> </w:t>
      </w:r>
      <w:r>
        <w:rPr>
          <w:color w:val="231F20"/>
          <w:w w:val="105"/>
        </w:rPr>
        <w:t>un</w:t>
      </w:r>
      <w:r>
        <w:rPr>
          <w:color w:val="231F20"/>
          <w:spacing w:val="-16"/>
          <w:w w:val="105"/>
        </w:rPr>
        <w:t> </w:t>
      </w:r>
      <w:r>
        <w:rPr>
          <w:color w:val="231F20"/>
          <w:w w:val="105"/>
        </w:rPr>
        <w:t>valor agregado para competir en un mercado libre y lograr una posición</w:t>
      </w:r>
      <w:r>
        <w:rPr>
          <w:color w:val="231F20"/>
          <w:spacing w:val="-31"/>
          <w:w w:val="105"/>
        </w:rPr>
        <w:t> </w:t>
      </w:r>
      <w:r>
        <w:rPr>
          <w:color w:val="231F20"/>
          <w:w w:val="105"/>
        </w:rPr>
        <w:t>des- tacada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sector</w:t>
      </w:r>
      <w:r>
        <w:rPr>
          <w:color w:val="231F20"/>
          <w:spacing w:val="-19"/>
          <w:w w:val="105"/>
        </w:rPr>
        <w:t> </w:t>
      </w:r>
      <w:r>
        <w:rPr>
          <w:color w:val="231F20"/>
          <w:w w:val="105"/>
        </w:rPr>
        <w:t>en</w:t>
      </w:r>
      <w:r>
        <w:rPr>
          <w:color w:val="231F20"/>
          <w:spacing w:val="-19"/>
          <w:w w:val="105"/>
        </w:rPr>
        <w:t> </w:t>
      </w:r>
      <w:r>
        <w:rPr>
          <w:color w:val="231F20"/>
          <w:w w:val="105"/>
        </w:rPr>
        <w:t>que</w:t>
      </w:r>
      <w:r>
        <w:rPr>
          <w:color w:val="231F20"/>
          <w:spacing w:val="-19"/>
          <w:w w:val="105"/>
        </w:rPr>
        <w:t> </w:t>
      </w:r>
      <w:r>
        <w:rPr>
          <w:color w:val="231F20"/>
          <w:w w:val="105"/>
        </w:rPr>
        <w:t>actúa</w:t>
      </w:r>
      <w:r>
        <w:rPr>
          <w:color w:val="231F20"/>
          <w:spacing w:val="-19"/>
          <w:w w:val="105"/>
        </w:rPr>
        <w:t> </w:t>
      </w:r>
      <w:r>
        <w:rPr>
          <w:color w:val="231F20"/>
          <w:w w:val="105"/>
        </w:rPr>
        <w:t>(figura</w:t>
      </w:r>
      <w:r>
        <w:rPr>
          <w:color w:val="231F20"/>
          <w:spacing w:val="-19"/>
          <w:w w:val="105"/>
        </w:rPr>
        <w:t> </w:t>
      </w:r>
      <w:r>
        <w:rPr>
          <w:color w:val="231F20"/>
          <w:w w:val="105"/>
        </w:rPr>
        <w:t>1).</w:t>
      </w:r>
    </w:p>
    <w:p>
      <w:pPr>
        <w:spacing w:after="0" w:line="259" w:lineRule="auto"/>
        <w:jc w:val="both"/>
        <w:sectPr>
          <w:pgSz w:w="9640" w:h="13890"/>
          <w:pgMar w:top="0" w:bottom="280" w:left="1300" w:right="1200"/>
        </w:sectPr>
      </w:pPr>
    </w:p>
    <w:p>
      <w:pPr>
        <w:pStyle w:val="BodyText"/>
        <w:spacing w:before="2"/>
        <w:rPr>
          <w:sz w:val="26"/>
        </w:rPr>
      </w:pPr>
    </w:p>
    <w:p>
      <w:pPr>
        <w:spacing w:line="249" w:lineRule="auto" w:before="63"/>
        <w:ind w:left="2574" w:right="723" w:hanging="1798"/>
        <w:jc w:val="left"/>
        <w:rPr>
          <w:sz w:val="18"/>
        </w:rPr>
      </w:pPr>
      <w:r>
        <w:rPr>
          <w:color w:val="231F20"/>
          <w:w w:val="105"/>
          <w:sz w:val="18"/>
        </w:rPr>
        <w:t>Figura 1. Definiciones de competitividad a nivel macro (económico) y micro (administrativo).</w:t>
      </w:r>
    </w:p>
    <w:p>
      <w:pPr>
        <w:pStyle w:val="BodyText"/>
        <w:spacing w:before="9"/>
        <w:rPr>
          <w:sz w:val="12"/>
        </w:rPr>
      </w:pPr>
    </w:p>
    <w:tbl>
      <w:tblPr>
        <w:tblW w:w="0" w:type="auto"/>
        <w:jc w:val="left"/>
        <w:tblInd w:w="103" w:type="dxa"/>
        <w:tblBorders>
          <w:top w:val="single" w:sz="2" w:space="0" w:color="414042"/>
          <w:left w:val="single" w:sz="2" w:space="0" w:color="414042"/>
          <w:bottom w:val="single" w:sz="2" w:space="0" w:color="414042"/>
          <w:right w:val="single" w:sz="2" w:space="0" w:color="414042"/>
          <w:insideH w:val="single" w:sz="2" w:space="0" w:color="414042"/>
          <w:insideV w:val="single" w:sz="2" w:space="0" w:color="414042"/>
        </w:tblBorders>
        <w:tblLayout w:type="fixed"/>
        <w:tblCellMar>
          <w:top w:w="0" w:type="dxa"/>
          <w:left w:w="0" w:type="dxa"/>
          <w:bottom w:w="0" w:type="dxa"/>
          <w:right w:w="0" w:type="dxa"/>
        </w:tblCellMar>
        <w:tblLook w:val="01E0"/>
      </w:tblPr>
      <w:tblGrid>
        <w:gridCol w:w="1868"/>
        <w:gridCol w:w="5043"/>
      </w:tblGrid>
      <w:tr>
        <w:trPr>
          <w:trHeight w:val="290" w:hRule="exact"/>
        </w:trPr>
        <w:tc>
          <w:tcPr>
            <w:tcW w:w="1868" w:type="dxa"/>
          </w:tcPr>
          <w:p>
            <w:pPr>
              <w:pStyle w:val="TableParagraph"/>
              <w:spacing w:before="85"/>
              <w:ind w:left="684" w:right="684"/>
              <w:jc w:val="center"/>
              <w:rPr>
                <w:sz w:val="13"/>
              </w:rPr>
            </w:pPr>
            <w:r>
              <w:rPr>
                <w:color w:val="231F20"/>
                <w:sz w:val="13"/>
              </w:rPr>
              <w:t>AUTOR</w:t>
            </w:r>
          </w:p>
        </w:tc>
        <w:tc>
          <w:tcPr>
            <w:tcW w:w="5043" w:type="dxa"/>
          </w:tcPr>
          <w:p>
            <w:pPr>
              <w:pStyle w:val="TableParagraph"/>
              <w:spacing w:before="85"/>
              <w:ind w:left="2123" w:right="2123"/>
              <w:jc w:val="center"/>
              <w:rPr>
                <w:sz w:val="13"/>
              </w:rPr>
            </w:pPr>
            <w:r>
              <w:rPr>
                <w:color w:val="231F20"/>
                <w:sz w:val="13"/>
              </w:rPr>
              <w:t>DEFINICIÓN</w:t>
            </w:r>
          </w:p>
        </w:tc>
      </w:tr>
      <w:tr>
        <w:trPr>
          <w:trHeight w:val="290" w:hRule="exact"/>
        </w:trPr>
        <w:tc>
          <w:tcPr>
            <w:tcW w:w="6912" w:type="dxa"/>
            <w:gridSpan w:val="2"/>
          </w:tcPr>
          <w:p>
            <w:pPr>
              <w:pStyle w:val="TableParagraph"/>
              <w:spacing w:before="85"/>
              <w:ind w:left="1228" w:right="1228"/>
              <w:jc w:val="center"/>
              <w:rPr>
                <w:sz w:val="13"/>
              </w:rPr>
            </w:pPr>
            <w:r>
              <w:rPr>
                <w:color w:val="231F20"/>
                <w:w w:val="105"/>
                <w:sz w:val="13"/>
              </w:rPr>
              <w:t>Nivel macro</w:t>
            </w:r>
          </w:p>
        </w:tc>
      </w:tr>
      <w:tr>
        <w:trPr>
          <w:trHeight w:val="446" w:hRule="exact"/>
        </w:trPr>
        <w:tc>
          <w:tcPr>
            <w:tcW w:w="1868" w:type="dxa"/>
          </w:tcPr>
          <w:p>
            <w:pPr>
              <w:pStyle w:val="TableParagraph"/>
              <w:spacing w:before="85"/>
              <w:ind w:left="77"/>
              <w:rPr>
                <w:sz w:val="13"/>
              </w:rPr>
            </w:pPr>
            <w:r>
              <w:rPr>
                <w:color w:val="231F20"/>
                <w:w w:val="105"/>
                <w:sz w:val="13"/>
              </w:rPr>
              <w:t>Alic, 1987</w:t>
            </w:r>
          </w:p>
        </w:tc>
        <w:tc>
          <w:tcPr>
            <w:tcW w:w="5043" w:type="dxa"/>
          </w:tcPr>
          <w:p>
            <w:pPr>
              <w:pStyle w:val="TableParagraph"/>
              <w:spacing w:line="249" w:lineRule="auto" w:before="85"/>
              <w:ind w:left="77" w:right="72"/>
              <w:rPr>
                <w:sz w:val="13"/>
              </w:rPr>
            </w:pPr>
            <w:r>
              <w:rPr>
                <w:color w:val="231F20"/>
                <w:spacing w:val="-3"/>
                <w:w w:val="105"/>
                <w:sz w:val="13"/>
              </w:rPr>
              <w:t>Capacidad</w:t>
            </w:r>
            <w:r>
              <w:rPr>
                <w:color w:val="231F20"/>
                <w:spacing w:val="-19"/>
                <w:w w:val="105"/>
                <w:sz w:val="13"/>
              </w:rPr>
              <w:t> </w:t>
            </w:r>
            <w:r>
              <w:rPr>
                <w:color w:val="231F20"/>
                <w:w w:val="105"/>
                <w:sz w:val="13"/>
              </w:rPr>
              <w:t>de</w:t>
            </w:r>
            <w:r>
              <w:rPr>
                <w:color w:val="231F20"/>
                <w:spacing w:val="-19"/>
                <w:w w:val="105"/>
                <w:sz w:val="13"/>
              </w:rPr>
              <w:t> </w:t>
            </w:r>
            <w:r>
              <w:rPr>
                <w:color w:val="231F20"/>
                <w:w w:val="105"/>
                <w:sz w:val="13"/>
              </w:rPr>
              <w:t>las</w:t>
            </w:r>
            <w:r>
              <w:rPr>
                <w:color w:val="231F20"/>
                <w:spacing w:val="-19"/>
                <w:w w:val="105"/>
                <w:sz w:val="13"/>
              </w:rPr>
              <w:t> </w:t>
            </w:r>
            <w:r>
              <w:rPr>
                <w:color w:val="231F20"/>
                <w:spacing w:val="-3"/>
                <w:w w:val="105"/>
                <w:sz w:val="13"/>
              </w:rPr>
              <w:t>empresas</w:t>
            </w:r>
            <w:r>
              <w:rPr>
                <w:color w:val="231F20"/>
                <w:spacing w:val="-19"/>
                <w:w w:val="105"/>
                <w:sz w:val="13"/>
              </w:rPr>
              <w:t> </w:t>
            </w:r>
            <w:r>
              <w:rPr>
                <w:color w:val="231F20"/>
                <w:w w:val="105"/>
                <w:sz w:val="13"/>
              </w:rPr>
              <w:t>de</w:t>
            </w:r>
            <w:r>
              <w:rPr>
                <w:color w:val="231F20"/>
                <w:spacing w:val="-19"/>
                <w:w w:val="105"/>
                <w:sz w:val="13"/>
              </w:rPr>
              <w:t> </w:t>
            </w:r>
            <w:r>
              <w:rPr>
                <w:color w:val="231F20"/>
                <w:w w:val="105"/>
                <w:sz w:val="13"/>
              </w:rPr>
              <w:t>un</w:t>
            </w:r>
            <w:r>
              <w:rPr>
                <w:color w:val="231F20"/>
                <w:spacing w:val="-19"/>
                <w:w w:val="105"/>
                <w:sz w:val="13"/>
              </w:rPr>
              <w:t> </w:t>
            </w:r>
            <w:r>
              <w:rPr>
                <w:color w:val="231F20"/>
                <w:w w:val="105"/>
                <w:sz w:val="13"/>
              </w:rPr>
              <w:t>país</w:t>
            </w:r>
            <w:r>
              <w:rPr>
                <w:color w:val="231F20"/>
                <w:spacing w:val="-19"/>
                <w:w w:val="105"/>
                <w:sz w:val="13"/>
              </w:rPr>
              <w:t> </w:t>
            </w:r>
            <w:r>
              <w:rPr>
                <w:color w:val="231F20"/>
                <w:w w:val="105"/>
                <w:sz w:val="13"/>
              </w:rPr>
              <w:t>dado,</w:t>
            </w:r>
            <w:r>
              <w:rPr>
                <w:color w:val="231F20"/>
                <w:spacing w:val="-23"/>
                <w:w w:val="105"/>
                <w:sz w:val="13"/>
              </w:rPr>
              <w:t> </w:t>
            </w:r>
            <w:r>
              <w:rPr>
                <w:color w:val="231F20"/>
                <w:w w:val="105"/>
                <w:sz w:val="13"/>
              </w:rPr>
              <w:t>de</w:t>
            </w:r>
            <w:r>
              <w:rPr>
                <w:color w:val="231F20"/>
                <w:spacing w:val="-19"/>
                <w:w w:val="105"/>
                <w:sz w:val="13"/>
              </w:rPr>
              <w:t> </w:t>
            </w:r>
            <w:r>
              <w:rPr>
                <w:color w:val="231F20"/>
                <w:spacing w:val="-3"/>
                <w:w w:val="105"/>
                <w:sz w:val="13"/>
              </w:rPr>
              <w:t>diseñar,</w:t>
            </w:r>
            <w:r>
              <w:rPr>
                <w:color w:val="231F20"/>
                <w:spacing w:val="-23"/>
                <w:w w:val="105"/>
                <w:sz w:val="13"/>
              </w:rPr>
              <w:t> </w:t>
            </w:r>
            <w:r>
              <w:rPr>
                <w:color w:val="231F20"/>
                <w:spacing w:val="-3"/>
                <w:w w:val="105"/>
                <w:sz w:val="13"/>
              </w:rPr>
              <w:t>desarrollar,</w:t>
            </w:r>
            <w:r>
              <w:rPr>
                <w:color w:val="231F20"/>
                <w:spacing w:val="-23"/>
                <w:w w:val="105"/>
                <w:sz w:val="13"/>
              </w:rPr>
              <w:t> </w:t>
            </w:r>
            <w:r>
              <w:rPr>
                <w:color w:val="231F20"/>
                <w:spacing w:val="-3"/>
                <w:w w:val="105"/>
                <w:sz w:val="13"/>
              </w:rPr>
              <w:t>producir</w:t>
            </w:r>
            <w:r>
              <w:rPr>
                <w:color w:val="231F20"/>
                <w:spacing w:val="-19"/>
                <w:w w:val="105"/>
                <w:sz w:val="13"/>
              </w:rPr>
              <w:t> </w:t>
            </w:r>
            <w:r>
              <w:rPr>
                <w:color w:val="231F20"/>
                <w:w w:val="105"/>
                <w:sz w:val="13"/>
              </w:rPr>
              <w:t>y</w:t>
            </w:r>
            <w:r>
              <w:rPr>
                <w:color w:val="231F20"/>
                <w:spacing w:val="-19"/>
                <w:w w:val="105"/>
                <w:sz w:val="13"/>
              </w:rPr>
              <w:t> </w:t>
            </w:r>
            <w:r>
              <w:rPr>
                <w:color w:val="231F20"/>
                <w:spacing w:val="-2"/>
                <w:w w:val="105"/>
                <w:sz w:val="13"/>
              </w:rPr>
              <w:t>vender </w:t>
            </w:r>
            <w:r>
              <w:rPr>
                <w:color w:val="231F20"/>
                <w:w w:val="105"/>
                <w:sz w:val="13"/>
              </w:rPr>
              <w:t>sus</w:t>
            </w:r>
            <w:r>
              <w:rPr>
                <w:color w:val="231F20"/>
                <w:spacing w:val="-22"/>
                <w:w w:val="105"/>
                <w:sz w:val="13"/>
              </w:rPr>
              <w:t> </w:t>
            </w:r>
            <w:r>
              <w:rPr>
                <w:color w:val="231F20"/>
                <w:w w:val="105"/>
                <w:sz w:val="13"/>
              </w:rPr>
              <w:t>productos</w:t>
            </w:r>
            <w:r>
              <w:rPr>
                <w:color w:val="231F20"/>
                <w:spacing w:val="-22"/>
                <w:w w:val="105"/>
                <w:sz w:val="13"/>
              </w:rPr>
              <w:t> </w:t>
            </w:r>
            <w:r>
              <w:rPr>
                <w:color w:val="231F20"/>
                <w:w w:val="105"/>
                <w:sz w:val="13"/>
              </w:rPr>
              <w:t>en</w:t>
            </w:r>
            <w:r>
              <w:rPr>
                <w:color w:val="231F20"/>
                <w:spacing w:val="-22"/>
                <w:w w:val="105"/>
                <w:sz w:val="13"/>
              </w:rPr>
              <w:t> </w:t>
            </w:r>
            <w:r>
              <w:rPr>
                <w:color w:val="231F20"/>
                <w:w w:val="105"/>
                <w:sz w:val="13"/>
              </w:rPr>
              <w:t>competencia</w:t>
            </w:r>
            <w:r>
              <w:rPr>
                <w:color w:val="231F20"/>
                <w:spacing w:val="-22"/>
                <w:w w:val="105"/>
                <w:sz w:val="13"/>
              </w:rPr>
              <w:t> </w:t>
            </w:r>
            <w:r>
              <w:rPr>
                <w:color w:val="231F20"/>
                <w:w w:val="105"/>
                <w:sz w:val="13"/>
              </w:rPr>
              <w:t>con</w:t>
            </w:r>
            <w:r>
              <w:rPr>
                <w:color w:val="231F20"/>
                <w:spacing w:val="-22"/>
                <w:w w:val="105"/>
                <w:sz w:val="13"/>
              </w:rPr>
              <w:t> </w:t>
            </w:r>
            <w:r>
              <w:rPr>
                <w:color w:val="231F20"/>
                <w:w w:val="105"/>
                <w:sz w:val="13"/>
              </w:rPr>
              <w:t>las</w:t>
            </w:r>
            <w:r>
              <w:rPr>
                <w:color w:val="231F20"/>
                <w:spacing w:val="-22"/>
                <w:w w:val="105"/>
                <w:sz w:val="13"/>
              </w:rPr>
              <w:t> </w:t>
            </w:r>
            <w:r>
              <w:rPr>
                <w:color w:val="231F20"/>
                <w:w w:val="105"/>
                <w:sz w:val="13"/>
              </w:rPr>
              <w:t>empresas</w:t>
            </w:r>
            <w:r>
              <w:rPr>
                <w:color w:val="231F20"/>
                <w:spacing w:val="-22"/>
                <w:w w:val="105"/>
                <w:sz w:val="13"/>
              </w:rPr>
              <w:t> </w:t>
            </w:r>
            <w:r>
              <w:rPr>
                <w:color w:val="231F20"/>
                <w:w w:val="105"/>
                <w:sz w:val="13"/>
              </w:rPr>
              <w:t>en</w:t>
            </w:r>
            <w:r>
              <w:rPr>
                <w:color w:val="231F20"/>
                <w:spacing w:val="-22"/>
                <w:w w:val="105"/>
                <w:sz w:val="13"/>
              </w:rPr>
              <w:t> </w:t>
            </w:r>
            <w:r>
              <w:rPr>
                <w:color w:val="231F20"/>
                <w:w w:val="105"/>
                <w:sz w:val="13"/>
              </w:rPr>
              <w:t>otros</w:t>
            </w:r>
            <w:r>
              <w:rPr>
                <w:color w:val="231F20"/>
                <w:spacing w:val="-22"/>
                <w:w w:val="105"/>
                <w:sz w:val="13"/>
              </w:rPr>
              <w:t> </w:t>
            </w:r>
            <w:r>
              <w:rPr>
                <w:color w:val="231F20"/>
                <w:w w:val="105"/>
                <w:sz w:val="13"/>
              </w:rPr>
              <w:t>países.</w:t>
            </w:r>
          </w:p>
        </w:tc>
      </w:tr>
      <w:tr>
        <w:trPr>
          <w:trHeight w:val="602" w:hRule="exact"/>
        </w:trPr>
        <w:tc>
          <w:tcPr>
            <w:tcW w:w="1868" w:type="dxa"/>
          </w:tcPr>
          <w:p>
            <w:pPr>
              <w:pStyle w:val="TableParagraph"/>
              <w:spacing w:before="85"/>
              <w:ind w:left="77"/>
              <w:rPr>
                <w:sz w:val="13"/>
              </w:rPr>
            </w:pPr>
            <w:r>
              <w:rPr>
                <w:color w:val="231F20"/>
                <w:sz w:val="13"/>
              </w:rPr>
              <w:t>Jones y Teece, 1988</w:t>
            </w:r>
          </w:p>
        </w:tc>
        <w:tc>
          <w:tcPr>
            <w:tcW w:w="5043" w:type="dxa"/>
          </w:tcPr>
          <w:p>
            <w:pPr>
              <w:pStyle w:val="TableParagraph"/>
              <w:spacing w:line="249" w:lineRule="auto" w:before="85"/>
              <w:ind w:left="77" w:right="76"/>
              <w:jc w:val="both"/>
              <w:rPr>
                <w:sz w:val="13"/>
              </w:rPr>
            </w:pPr>
            <w:r>
              <w:rPr>
                <w:color w:val="231F20"/>
                <w:w w:val="105"/>
                <w:sz w:val="13"/>
              </w:rPr>
              <w:t>Grado por el cual un país, en mercados abiertos, produce bienes y servicios que satisfagan</w:t>
            </w:r>
            <w:r>
              <w:rPr>
                <w:color w:val="231F20"/>
                <w:spacing w:val="-15"/>
                <w:w w:val="105"/>
                <w:sz w:val="13"/>
              </w:rPr>
              <w:t> </w:t>
            </w:r>
            <w:r>
              <w:rPr>
                <w:color w:val="231F20"/>
                <w:w w:val="105"/>
                <w:sz w:val="13"/>
              </w:rPr>
              <w:t>las</w:t>
            </w:r>
            <w:r>
              <w:rPr>
                <w:color w:val="231F20"/>
                <w:spacing w:val="-15"/>
                <w:w w:val="105"/>
                <w:sz w:val="13"/>
              </w:rPr>
              <w:t> </w:t>
            </w:r>
            <w:r>
              <w:rPr>
                <w:color w:val="231F20"/>
                <w:w w:val="105"/>
                <w:sz w:val="13"/>
              </w:rPr>
              <w:t>exigencias</w:t>
            </w:r>
            <w:r>
              <w:rPr>
                <w:color w:val="231F20"/>
                <w:spacing w:val="-15"/>
                <w:w w:val="105"/>
                <w:sz w:val="13"/>
              </w:rPr>
              <w:t> </w:t>
            </w:r>
            <w:r>
              <w:rPr>
                <w:color w:val="231F20"/>
                <w:w w:val="105"/>
                <w:sz w:val="13"/>
              </w:rPr>
              <w:t>del</w:t>
            </w:r>
            <w:r>
              <w:rPr>
                <w:color w:val="231F20"/>
                <w:spacing w:val="-15"/>
                <w:w w:val="105"/>
                <w:sz w:val="13"/>
              </w:rPr>
              <w:t> </w:t>
            </w:r>
            <w:r>
              <w:rPr>
                <w:color w:val="231F20"/>
                <w:w w:val="105"/>
                <w:sz w:val="13"/>
              </w:rPr>
              <w:t>mercado</w:t>
            </w:r>
            <w:r>
              <w:rPr>
                <w:color w:val="231F20"/>
                <w:spacing w:val="-15"/>
                <w:w w:val="105"/>
                <w:sz w:val="13"/>
              </w:rPr>
              <w:t> </w:t>
            </w:r>
            <w:r>
              <w:rPr>
                <w:color w:val="231F20"/>
                <w:w w:val="105"/>
                <w:sz w:val="13"/>
              </w:rPr>
              <w:t>y</w:t>
            </w:r>
            <w:r>
              <w:rPr>
                <w:color w:val="231F20"/>
                <w:spacing w:val="-15"/>
                <w:w w:val="105"/>
                <w:sz w:val="13"/>
              </w:rPr>
              <w:t> </w:t>
            </w:r>
            <w:r>
              <w:rPr>
                <w:color w:val="231F20"/>
                <w:w w:val="105"/>
                <w:sz w:val="13"/>
              </w:rPr>
              <w:t>simultáneamente</w:t>
            </w:r>
            <w:r>
              <w:rPr>
                <w:color w:val="231F20"/>
                <w:spacing w:val="-15"/>
                <w:w w:val="105"/>
                <w:sz w:val="13"/>
              </w:rPr>
              <w:t> </w:t>
            </w:r>
            <w:r>
              <w:rPr>
                <w:color w:val="231F20"/>
                <w:w w:val="105"/>
                <w:sz w:val="13"/>
              </w:rPr>
              <w:t>expande</w:t>
            </w:r>
            <w:r>
              <w:rPr>
                <w:color w:val="231F20"/>
                <w:spacing w:val="-15"/>
                <w:w w:val="105"/>
                <w:sz w:val="13"/>
              </w:rPr>
              <w:t> </w:t>
            </w:r>
            <w:r>
              <w:rPr>
                <w:color w:val="231F20"/>
                <w:w w:val="105"/>
                <w:sz w:val="13"/>
              </w:rPr>
              <w:t>su</w:t>
            </w:r>
            <w:r>
              <w:rPr>
                <w:color w:val="231F20"/>
                <w:spacing w:val="-15"/>
                <w:w w:val="105"/>
                <w:sz w:val="13"/>
              </w:rPr>
              <w:t> </w:t>
            </w:r>
            <w:r>
              <w:rPr>
                <w:color w:val="231F20"/>
                <w:w w:val="105"/>
                <w:sz w:val="13"/>
              </w:rPr>
              <w:t>PIB</w:t>
            </w:r>
            <w:r>
              <w:rPr>
                <w:color w:val="231F20"/>
                <w:spacing w:val="-15"/>
                <w:w w:val="105"/>
                <w:sz w:val="13"/>
              </w:rPr>
              <w:t> </w:t>
            </w:r>
            <w:r>
              <w:rPr>
                <w:color w:val="231F20"/>
                <w:w w:val="105"/>
                <w:sz w:val="13"/>
              </w:rPr>
              <w:t>y</w:t>
            </w:r>
            <w:r>
              <w:rPr>
                <w:color w:val="231F20"/>
                <w:spacing w:val="-15"/>
                <w:w w:val="105"/>
                <w:sz w:val="13"/>
              </w:rPr>
              <w:t> </w:t>
            </w:r>
            <w:r>
              <w:rPr>
                <w:color w:val="231F20"/>
                <w:w w:val="105"/>
                <w:sz w:val="13"/>
              </w:rPr>
              <w:t>su</w:t>
            </w:r>
            <w:r>
              <w:rPr>
                <w:color w:val="231F20"/>
                <w:spacing w:val="-15"/>
                <w:w w:val="105"/>
                <w:sz w:val="13"/>
              </w:rPr>
              <w:t> </w:t>
            </w:r>
            <w:r>
              <w:rPr>
                <w:color w:val="231F20"/>
                <w:w w:val="105"/>
                <w:sz w:val="13"/>
              </w:rPr>
              <w:t>PIB per</w:t>
            </w:r>
            <w:r>
              <w:rPr>
                <w:color w:val="231F20"/>
                <w:spacing w:val="-20"/>
                <w:w w:val="105"/>
                <w:sz w:val="13"/>
              </w:rPr>
              <w:t> </w:t>
            </w:r>
            <w:r>
              <w:rPr>
                <w:color w:val="231F20"/>
                <w:w w:val="105"/>
                <w:sz w:val="13"/>
              </w:rPr>
              <w:t>cápita</w:t>
            </w:r>
            <w:r>
              <w:rPr>
                <w:color w:val="231F20"/>
                <w:spacing w:val="-20"/>
                <w:w w:val="105"/>
                <w:sz w:val="13"/>
              </w:rPr>
              <w:t> </w:t>
            </w:r>
            <w:r>
              <w:rPr>
                <w:color w:val="231F20"/>
                <w:w w:val="105"/>
                <w:sz w:val="13"/>
              </w:rPr>
              <w:t>al</w:t>
            </w:r>
            <w:r>
              <w:rPr>
                <w:color w:val="231F20"/>
                <w:spacing w:val="-20"/>
                <w:w w:val="105"/>
                <w:sz w:val="13"/>
              </w:rPr>
              <w:t> </w:t>
            </w:r>
            <w:r>
              <w:rPr>
                <w:color w:val="231F20"/>
                <w:w w:val="105"/>
                <w:sz w:val="13"/>
              </w:rPr>
              <w:t>menos</w:t>
            </w:r>
            <w:r>
              <w:rPr>
                <w:color w:val="231F20"/>
                <w:spacing w:val="-20"/>
                <w:w w:val="105"/>
                <w:sz w:val="13"/>
              </w:rPr>
              <w:t> </w:t>
            </w:r>
            <w:r>
              <w:rPr>
                <w:color w:val="231F20"/>
                <w:w w:val="105"/>
                <w:sz w:val="13"/>
              </w:rPr>
              <w:t>tan</w:t>
            </w:r>
            <w:r>
              <w:rPr>
                <w:color w:val="231F20"/>
                <w:spacing w:val="-20"/>
                <w:w w:val="105"/>
                <w:sz w:val="13"/>
              </w:rPr>
              <w:t> </w:t>
            </w:r>
            <w:r>
              <w:rPr>
                <w:color w:val="231F20"/>
                <w:w w:val="105"/>
                <w:sz w:val="13"/>
              </w:rPr>
              <w:t>rápidamente</w:t>
            </w:r>
            <w:r>
              <w:rPr>
                <w:color w:val="231F20"/>
                <w:spacing w:val="-20"/>
                <w:w w:val="105"/>
                <w:sz w:val="13"/>
              </w:rPr>
              <w:t> </w:t>
            </w:r>
            <w:r>
              <w:rPr>
                <w:color w:val="231F20"/>
                <w:w w:val="105"/>
                <w:sz w:val="13"/>
              </w:rPr>
              <w:t>como</w:t>
            </w:r>
            <w:r>
              <w:rPr>
                <w:color w:val="231F20"/>
                <w:spacing w:val="-20"/>
                <w:w w:val="105"/>
                <w:sz w:val="13"/>
              </w:rPr>
              <w:t> </w:t>
            </w:r>
            <w:r>
              <w:rPr>
                <w:color w:val="231F20"/>
                <w:w w:val="105"/>
                <w:sz w:val="13"/>
              </w:rPr>
              <w:t>sus</w:t>
            </w:r>
            <w:r>
              <w:rPr>
                <w:color w:val="231F20"/>
                <w:spacing w:val="-20"/>
                <w:w w:val="105"/>
                <w:sz w:val="13"/>
              </w:rPr>
              <w:t> </w:t>
            </w:r>
            <w:r>
              <w:rPr>
                <w:color w:val="231F20"/>
                <w:w w:val="105"/>
                <w:sz w:val="13"/>
              </w:rPr>
              <w:t>socios</w:t>
            </w:r>
            <w:r>
              <w:rPr>
                <w:color w:val="231F20"/>
                <w:spacing w:val="-20"/>
                <w:w w:val="105"/>
                <w:sz w:val="13"/>
              </w:rPr>
              <w:t> </w:t>
            </w:r>
            <w:r>
              <w:rPr>
                <w:color w:val="231F20"/>
                <w:w w:val="105"/>
                <w:sz w:val="13"/>
              </w:rPr>
              <w:t>comerciales.</w:t>
            </w:r>
          </w:p>
        </w:tc>
      </w:tr>
      <w:tr>
        <w:trPr>
          <w:trHeight w:val="602" w:hRule="exact"/>
        </w:trPr>
        <w:tc>
          <w:tcPr>
            <w:tcW w:w="1868" w:type="dxa"/>
          </w:tcPr>
          <w:p>
            <w:pPr>
              <w:pStyle w:val="TableParagraph"/>
              <w:spacing w:before="85"/>
              <w:ind w:left="77"/>
              <w:rPr>
                <w:sz w:val="13"/>
              </w:rPr>
            </w:pPr>
            <w:r>
              <w:rPr>
                <w:color w:val="231F20"/>
                <w:sz w:val="13"/>
              </w:rPr>
              <w:t>Haguenauer, 1989</w:t>
            </w:r>
          </w:p>
        </w:tc>
        <w:tc>
          <w:tcPr>
            <w:tcW w:w="5043" w:type="dxa"/>
          </w:tcPr>
          <w:p>
            <w:pPr>
              <w:pStyle w:val="TableParagraph"/>
              <w:spacing w:line="249" w:lineRule="auto" w:before="85"/>
              <w:ind w:left="77" w:right="72"/>
              <w:jc w:val="both"/>
              <w:rPr>
                <w:sz w:val="13"/>
              </w:rPr>
            </w:pPr>
            <w:r>
              <w:rPr>
                <w:color w:val="231F20"/>
                <w:spacing w:val="-2"/>
                <w:w w:val="105"/>
                <w:sz w:val="13"/>
              </w:rPr>
              <w:t>Capacidad</w:t>
            </w:r>
            <w:r>
              <w:rPr>
                <w:color w:val="231F20"/>
                <w:spacing w:val="-20"/>
                <w:w w:val="105"/>
                <w:sz w:val="13"/>
              </w:rPr>
              <w:t> </w:t>
            </w:r>
            <w:r>
              <w:rPr>
                <w:color w:val="231F20"/>
                <w:w w:val="105"/>
                <w:sz w:val="13"/>
              </w:rPr>
              <w:t>de</w:t>
            </w:r>
            <w:r>
              <w:rPr>
                <w:color w:val="231F20"/>
                <w:spacing w:val="-20"/>
                <w:w w:val="105"/>
                <w:sz w:val="13"/>
              </w:rPr>
              <w:t> </w:t>
            </w:r>
            <w:r>
              <w:rPr>
                <w:color w:val="231F20"/>
                <w:w w:val="105"/>
                <w:sz w:val="13"/>
              </w:rPr>
              <w:t>una</w:t>
            </w:r>
            <w:r>
              <w:rPr>
                <w:color w:val="231F20"/>
                <w:spacing w:val="-20"/>
                <w:w w:val="105"/>
                <w:sz w:val="13"/>
              </w:rPr>
              <w:t> </w:t>
            </w:r>
            <w:r>
              <w:rPr>
                <w:color w:val="231F20"/>
                <w:w w:val="105"/>
                <w:sz w:val="13"/>
              </w:rPr>
              <w:t>industria</w:t>
            </w:r>
            <w:r>
              <w:rPr>
                <w:color w:val="231F20"/>
                <w:spacing w:val="-20"/>
                <w:w w:val="105"/>
                <w:sz w:val="13"/>
              </w:rPr>
              <w:t> </w:t>
            </w:r>
            <w:r>
              <w:rPr>
                <w:color w:val="231F20"/>
                <w:w w:val="105"/>
                <w:sz w:val="13"/>
              </w:rPr>
              <w:t>para</w:t>
            </w:r>
            <w:r>
              <w:rPr>
                <w:color w:val="231F20"/>
                <w:spacing w:val="-20"/>
                <w:w w:val="105"/>
                <w:sz w:val="13"/>
              </w:rPr>
              <w:t> </w:t>
            </w:r>
            <w:r>
              <w:rPr>
                <w:color w:val="231F20"/>
                <w:w w:val="105"/>
                <w:sz w:val="13"/>
              </w:rPr>
              <w:t>producir</w:t>
            </w:r>
            <w:r>
              <w:rPr>
                <w:color w:val="231F20"/>
                <w:spacing w:val="-20"/>
                <w:w w:val="105"/>
                <w:sz w:val="13"/>
              </w:rPr>
              <w:t> </w:t>
            </w:r>
            <w:r>
              <w:rPr>
                <w:color w:val="231F20"/>
                <w:w w:val="105"/>
                <w:sz w:val="13"/>
              </w:rPr>
              <w:t>bienes</w:t>
            </w:r>
            <w:r>
              <w:rPr>
                <w:color w:val="231F20"/>
                <w:spacing w:val="-20"/>
                <w:w w:val="105"/>
                <w:sz w:val="13"/>
              </w:rPr>
              <w:t> </w:t>
            </w:r>
            <w:r>
              <w:rPr>
                <w:color w:val="231F20"/>
                <w:w w:val="105"/>
                <w:sz w:val="13"/>
              </w:rPr>
              <w:t>con</w:t>
            </w:r>
            <w:r>
              <w:rPr>
                <w:color w:val="231F20"/>
                <w:spacing w:val="-20"/>
                <w:w w:val="105"/>
                <w:sz w:val="13"/>
              </w:rPr>
              <w:t> </w:t>
            </w:r>
            <w:r>
              <w:rPr>
                <w:color w:val="231F20"/>
                <w:spacing w:val="-3"/>
                <w:w w:val="105"/>
                <w:sz w:val="13"/>
              </w:rPr>
              <w:t>patrones</w:t>
            </w:r>
            <w:r>
              <w:rPr>
                <w:color w:val="231F20"/>
                <w:spacing w:val="-20"/>
                <w:w w:val="105"/>
                <w:sz w:val="13"/>
              </w:rPr>
              <w:t> </w:t>
            </w:r>
            <w:r>
              <w:rPr>
                <w:color w:val="231F20"/>
                <w:w w:val="105"/>
                <w:sz w:val="13"/>
              </w:rPr>
              <w:t>de</w:t>
            </w:r>
            <w:r>
              <w:rPr>
                <w:color w:val="231F20"/>
                <w:spacing w:val="-20"/>
                <w:w w:val="105"/>
                <w:sz w:val="13"/>
              </w:rPr>
              <w:t> </w:t>
            </w:r>
            <w:r>
              <w:rPr>
                <w:color w:val="231F20"/>
                <w:w w:val="105"/>
                <w:sz w:val="13"/>
              </w:rPr>
              <w:t>calidad</w:t>
            </w:r>
            <w:r>
              <w:rPr>
                <w:color w:val="231F20"/>
                <w:spacing w:val="-20"/>
                <w:w w:val="105"/>
                <w:sz w:val="13"/>
              </w:rPr>
              <w:t> </w:t>
            </w:r>
            <w:r>
              <w:rPr>
                <w:color w:val="231F20"/>
                <w:spacing w:val="-3"/>
                <w:w w:val="105"/>
                <w:sz w:val="13"/>
              </w:rPr>
              <w:t>requeridos, </w:t>
            </w:r>
            <w:r>
              <w:rPr>
                <w:color w:val="231F20"/>
                <w:w w:val="105"/>
                <w:sz w:val="13"/>
              </w:rPr>
              <w:t>utilizando</w:t>
            </w:r>
            <w:r>
              <w:rPr>
                <w:color w:val="231F20"/>
                <w:spacing w:val="-23"/>
                <w:w w:val="105"/>
                <w:sz w:val="13"/>
              </w:rPr>
              <w:t> </w:t>
            </w:r>
            <w:r>
              <w:rPr>
                <w:color w:val="231F20"/>
                <w:w w:val="105"/>
                <w:sz w:val="13"/>
              </w:rPr>
              <w:t>iguales</w:t>
            </w:r>
            <w:r>
              <w:rPr>
                <w:color w:val="231F20"/>
                <w:spacing w:val="-23"/>
                <w:w w:val="105"/>
                <w:sz w:val="13"/>
              </w:rPr>
              <w:t> </w:t>
            </w:r>
            <w:r>
              <w:rPr>
                <w:color w:val="231F20"/>
                <w:w w:val="105"/>
                <w:sz w:val="13"/>
              </w:rPr>
              <w:t>o</w:t>
            </w:r>
            <w:r>
              <w:rPr>
                <w:color w:val="231F20"/>
                <w:spacing w:val="-23"/>
                <w:w w:val="105"/>
                <w:sz w:val="13"/>
              </w:rPr>
              <w:t> </w:t>
            </w:r>
            <w:r>
              <w:rPr>
                <w:color w:val="231F20"/>
                <w:w w:val="105"/>
                <w:sz w:val="13"/>
              </w:rPr>
              <w:t>inferiores</w:t>
            </w:r>
            <w:r>
              <w:rPr>
                <w:color w:val="231F20"/>
                <w:spacing w:val="-23"/>
                <w:w w:val="105"/>
                <w:sz w:val="13"/>
              </w:rPr>
              <w:t> </w:t>
            </w:r>
            <w:r>
              <w:rPr>
                <w:color w:val="231F20"/>
                <w:w w:val="105"/>
                <w:sz w:val="13"/>
              </w:rPr>
              <w:t>niveles</w:t>
            </w:r>
            <w:r>
              <w:rPr>
                <w:color w:val="231F20"/>
                <w:spacing w:val="-23"/>
                <w:w w:val="105"/>
                <w:sz w:val="13"/>
              </w:rPr>
              <w:t> </w:t>
            </w:r>
            <w:r>
              <w:rPr>
                <w:color w:val="231F20"/>
                <w:w w:val="105"/>
                <w:sz w:val="13"/>
              </w:rPr>
              <w:t>de</w:t>
            </w:r>
            <w:r>
              <w:rPr>
                <w:color w:val="231F20"/>
                <w:spacing w:val="-23"/>
                <w:w w:val="105"/>
                <w:sz w:val="13"/>
              </w:rPr>
              <w:t> </w:t>
            </w:r>
            <w:r>
              <w:rPr>
                <w:color w:val="231F20"/>
                <w:w w:val="105"/>
                <w:sz w:val="13"/>
              </w:rPr>
              <w:t>recursos</w:t>
            </w:r>
            <w:r>
              <w:rPr>
                <w:color w:val="231F20"/>
                <w:spacing w:val="-23"/>
                <w:w w:val="105"/>
                <w:sz w:val="13"/>
              </w:rPr>
              <w:t> </w:t>
            </w:r>
            <w:r>
              <w:rPr>
                <w:color w:val="231F20"/>
                <w:w w:val="105"/>
                <w:sz w:val="13"/>
              </w:rPr>
              <w:t>que</w:t>
            </w:r>
            <w:r>
              <w:rPr>
                <w:color w:val="231F20"/>
                <w:spacing w:val="-23"/>
                <w:w w:val="105"/>
                <w:sz w:val="13"/>
              </w:rPr>
              <w:t> </w:t>
            </w:r>
            <w:r>
              <w:rPr>
                <w:color w:val="231F20"/>
                <w:w w:val="105"/>
                <w:sz w:val="13"/>
              </w:rPr>
              <w:t>las</w:t>
            </w:r>
            <w:r>
              <w:rPr>
                <w:color w:val="231F20"/>
                <w:spacing w:val="-23"/>
                <w:w w:val="105"/>
                <w:sz w:val="13"/>
              </w:rPr>
              <w:t> </w:t>
            </w:r>
            <w:r>
              <w:rPr>
                <w:color w:val="231F20"/>
                <w:w w:val="105"/>
                <w:sz w:val="13"/>
              </w:rPr>
              <w:t>industrias</w:t>
            </w:r>
            <w:r>
              <w:rPr>
                <w:color w:val="231F20"/>
                <w:spacing w:val="-23"/>
                <w:w w:val="105"/>
                <w:sz w:val="13"/>
              </w:rPr>
              <w:t> </w:t>
            </w:r>
            <w:r>
              <w:rPr>
                <w:color w:val="231F20"/>
                <w:w w:val="105"/>
                <w:sz w:val="13"/>
              </w:rPr>
              <w:t>semejantes</w:t>
            </w:r>
            <w:r>
              <w:rPr>
                <w:color w:val="231F20"/>
                <w:spacing w:val="-23"/>
                <w:w w:val="105"/>
                <w:sz w:val="13"/>
              </w:rPr>
              <w:t> </w:t>
            </w:r>
            <w:r>
              <w:rPr>
                <w:color w:val="231F20"/>
                <w:w w:val="105"/>
                <w:sz w:val="13"/>
              </w:rPr>
              <w:t>en</w:t>
            </w:r>
            <w:r>
              <w:rPr>
                <w:color w:val="231F20"/>
                <w:spacing w:val="-23"/>
                <w:w w:val="105"/>
                <w:sz w:val="13"/>
              </w:rPr>
              <w:t> </w:t>
            </w:r>
            <w:r>
              <w:rPr>
                <w:color w:val="231F20"/>
                <w:w w:val="105"/>
                <w:sz w:val="13"/>
              </w:rPr>
              <w:t>el mundo,</w:t>
            </w:r>
            <w:r>
              <w:rPr>
                <w:color w:val="231F20"/>
                <w:spacing w:val="-10"/>
                <w:w w:val="105"/>
                <w:sz w:val="13"/>
              </w:rPr>
              <w:t> </w:t>
            </w:r>
            <w:r>
              <w:rPr>
                <w:color w:val="231F20"/>
                <w:w w:val="105"/>
                <w:sz w:val="13"/>
              </w:rPr>
              <w:t>durante</w:t>
            </w:r>
            <w:r>
              <w:rPr>
                <w:color w:val="231F20"/>
                <w:spacing w:val="-6"/>
                <w:w w:val="105"/>
                <w:sz w:val="13"/>
              </w:rPr>
              <w:t> </w:t>
            </w:r>
            <w:r>
              <w:rPr>
                <w:color w:val="231F20"/>
                <w:w w:val="105"/>
                <w:sz w:val="13"/>
              </w:rPr>
              <w:t>un</w:t>
            </w:r>
            <w:r>
              <w:rPr>
                <w:color w:val="231F20"/>
                <w:spacing w:val="-6"/>
                <w:w w:val="105"/>
                <w:sz w:val="13"/>
              </w:rPr>
              <w:t> </w:t>
            </w:r>
            <w:r>
              <w:rPr>
                <w:color w:val="231F20"/>
                <w:w w:val="105"/>
                <w:sz w:val="13"/>
              </w:rPr>
              <w:t>cierto</w:t>
            </w:r>
            <w:r>
              <w:rPr>
                <w:color w:val="231F20"/>
                <w:spacing w:val="-6"/>
                <w:w w:val="105"/>
                <w:sz w:val="13"/>
              </w:rPr>
              <w:t> </w:t>
            </w:r>
            <w:r>
              <w:rPr>
                <w:color w:val="231F20"/>
                <w:w w:val="105"/>
                <w:sz w:val="13"/>
              </w:rPr>
              <w:t>período</w:t>
            </w:r>
            <w:r>
              <w:rPr>
                <w:color w:val="231F20"/>
                <w:spacing w:val="-6"/>
                <w:w w:val="105"/>
                <w:sz w:val="13"/>
              </w:rPr>
              <w:t> </w:t>
            </w:r>
            <w:r>
              <w:rPr>
                <w:color w:val="231F20"/>
                <w:w w:val="105"/>
                <w:sz w:val="13"/>
              </w:rPr>
              <w:t>de</w:t>
            </w:r>
            <w:r>
              <w:rPr>
                <w:color w:val="231F20"/>
                <w:spacing w:val="-6"/>
                <w:w w:val="105"/>
                <w:sz w:val="13"/>
              </w:rPr>
              <w:t> </w:t>
            </w:r>
            <w:r>
              <w:rPr>
                <w:color w:val="231F20"/>
                <w:w w:val="105"/>
                <w:sz w:val="13"/>
              </w:rPr>
              <w:t>tiempo.</w:t>
            </w:r>
          </w:p>
        </w:tc>
      </w:tr>
      <w:tr>
        <w:trPr>
          <w:trHeight w:val="602" w:hRule="exact"/>
        </w:trPr>
        <w:tc>
          <w:tcPr>
            <w:tcW w:w="1868" w:type="dxa"/>
          </w:tcPr>
          <w:p>
            <w:pPr>
              <w:pStyle w:val="TableParagraph"/>
              <w:spacing w:before="85"/>
              <w:ind w:left="77"/>
              <w:rPr>
                <w:sz w:val="13"/>
              </w:rPr>
            </w:pPr>
            <w:r>
              <w:rPr>
                <w:color w:val="231F20"/>
                <w:w w:val="105"/>
                <w:sz w:val="13"/>
              </w:rPr>
              <w:t>Porter, 1990</w:t>
            </w:r>
          </w:p>
        </w:tc>
        <w:tc>
          <w:tcPr>
            <w:tcW w:w="5043" w:type="dxa"/>
          </w:tcPr>
          <w:p>
            <w:pPr>
              <w:pStyle w:val="TableParagraph"/>
              <w:spacing w:line="249" w:lineRule="auto" w:before="85"/>
              <w:ind w:left="77" w:right="76"/>
              <w:jc w:val="both"/>
              <w:rPr>
                <w:sz w:val="13"/>
              </w:rPr>
            </w:pPr>
            <w:r>
              <w:rPr>
                <w:color w:val="231F20"/>
                <w:w w:val="105"/>
                <w:sz w:val="13"/>
              </w:rPr>
              <w:t>Un</w:t>
            </w:r>
            <w:r>
              <w:rPr>
                <w:color w:val="231F20"/>
                <w:spacing w:val="-10"/>
                <w:w w:val="105"/>
                <w:sz w:val="13"/>
              </w:rPr>
              <w:t> </w:t>
            </w:r>
            <w:r>
              <w:rPr>
                <w:color w:val="231F20"/>
                <w:w w:val="105"/>
                <w:sz w:val="13"/>
              </w:rPr>
              <w:t>proceso</w:t>
            </w:r>
            <w:r>
              <w:rPr>
                <w:color w:val="231F20"/>
                <w:spacing w:val="-10"/>
                <w:w w:val="105"/>
                <w:sz w:val="13"/>
              </w:rPr>
              <w:t> </w:t>
            </w:r>
            <w:r>
              <w:rPr>
                <w:color w:val="231F20"/>
                <w:w w:val="105"/>
                <w:sz w:val="13"/>
              </w:rPr>
              <w:t>de</w:t>
            </w:r>
            <w:r>
              <w:rPr>
                <w:color w:val="231F20"/>
                <w:spacing w:val="-10"/>
                <w:w w:val="105"/>
                <w:sz w:val="13"/>
              </w:rPr>
              <w:t> </w:t>
            </w:r>
            <w:r>
              <w:rPr>
                <w:color w:val="231F20"/>
                <w:w w:val="105"/>
                <w:sz w:val="13"/>
              </w:rPr>
              <w:t>generación</w:t>
            </w:r>
            <w:r>
              <w:rPr>
                <w:color w:val="231F20"/>
                <w:spacing w:val="-10"/>
                <w:w w:val="105"/>
                <w:sz w:val="13"/>
              </w:rPr>
              <w:t> </w:t>
            </w:r>
            <w:r>
              <w:rPr>
                <w:color w:val="231F20"/>
                <w:w w:val="105"/>
                <w:sz w:val="13"/>
              </w:rPr>
              <w:t>y</w:t>
            </w:r>
            <w:r>
              <w:rPr>
                <w:color w:val="231F20"/>
                <w:spacing w:val="-10"/>
                <w:w w:val="105"/>
                <w:sz w:val="13"/>
              </w:rPr>
              <w:t> </w:t>
            </w:r>
            <w:r>
              <w:rPr>
                <w:color w:val="231F20"/>
                <w:w w:val="105"/>
                <w:sz w:val="13"/>
              </w:rPr>
              <w:t>difusión</w:t>
            </w:r>
            <w:r>
              <w:rPr>
                <w:color w:val="231F20"/>
                <w:spacing w:val="-10"/>
                <w:w w:val="105"/>
                <w:sz w:val="13"/>
              </w:rPr>
              <w:t> </w:t>
            </w:r>
            <w:r>
              <w:rPr>
                <w:color w:val="231F20"/>
                <w:w w:val="105"/>
                <w:sz w:val="13"/>
              </w:rPr>
              <w:t>de</w:t>
            </w:r>
            <w:r>
              <w:rPr>
                <w:color w:val="231F20"/>
                <w:spacing w:val="-10"/>
                <w:w w:val="105"/>
                <w:sz w:val="13"/>
              </w:rPr>
              <w:t> </w:t>
            </w:r>
            <w:r>
              <w:rPr>
                <w:color w:val="231F20"/>
                <w:w w:val="105"/>
                <w:sz w:val="13"/>
              </w:rPr>
              <w:t>competencias,</w:t>
            </w:r>
            <w:r>
              <w:rPr>
                <w:color w:val="231F20"/>
                <w:spacing w:val="-14"/>
                <w:w w:val="105"/>
                <w:sz w:val="13"/>
              </w:rPr>
              <w:t> </w:t>
            </w:r>
            <w:r>
              <w:rPr>
                <w:color w:val="231F20"/>
                <w:w w:val="105"/>
                <w:sz w:val="13"/>
              </w:rPr>
              <w:t>el</w:t>
            </w:r>
            <w:r>
              <w:rPr>
                <w:color w:val="231F20"/>
                <w:spacing w:val="-10"/>
                <w:w w:val="105"/>
                <w:sz w:val="13"/>
              </w:rPr>
              <w:t> </w:t>
            </w:r>
            <w:r>
              <w:rPr>
                <w:color w:val="231F20"/>
                <w:w w:val="105"/>
                <w:sz w:val="13"/>
              </w:rPr>
              <w:t>cual</w:t>
            </w:r>
            <w:r>
              <w:rPr>
                <w:color w:val="231F20"/>
                <w:spacing w:val="-10"/>
                <w:w w:val="105"/>
                <w:sz w:val="13"/>
              </w:rPr>
              <w:t> </w:t>
            </w:r>
            <w:r>
              <w:rPr>
                <w:color w:val="231F20"/>
                <w:w w:val="105"/>
                <w:sz w:val="13"/>
              </w:rPr>
              <w:t>depende</w:t>
            </w:r>
            <w:r>
              <w:rPr>
                <w:color w:val="231F20"/>
                <w:spacing w:val="-10"/>
                <w:w w:val="105"/>
                <w:sz w:val="13"/>
              </w:rPr>
              <w:t> </w:t>
            </w:r>
            <w:r>
              <w:rPr>
                <w:color w:val="231F20"/>
                <w:w w:val="105"/>
                <w:sz w:val="13"/>
              </w:rPr>
              <w:t>no</w:t>
            </w:r>
            <w:r>
              <w:rPr>
                <w:color w:val="231F20"/>
                <w:spacing w:val="-10"/>
                <w:w w:val="105"/>
                <w:sz w:val="13"/>
              </w:rPr>
              <w:t> </w:t>
            </w:r>
            <w:r>
              <w:rPr>
                <w:color w:val="231F20"/>
                <w:w w:val="105"/>
                <w:sz w:val="13"/>
              </w:rPr>
              <w:t>solo</w:t>
            </w:r>
            <w:r>
              <w:rPr>
                <w:color w:val="231F20"/>
                <w:spacing w:val="-10"/>
                <w:w w:val="105"/>
                <w:sz w:val="13"/>
              </w:rPr>
              <w:t> </w:t>
            </w:r>
            <w:r>
              <w:rPr>
                <w:color w:val="231F20"/>
                <w:w w:val="105"/>
                <w:sz w:val="13"/>
              </w:rPr>
              <w:t>de factores</w:t>
            </w:r>
            <w:r>
              <w:rPr>
                <w:color w:val="231F20"/>
                <w:spacing w:val="-19"/>
                <w:w w:val="105"/>
                <w:sz w:val="13"/>
              </w:rPr>
              <w:t> </w:t>
            </w:r>
            <w:r>
              <w:rPr>
                <w:color w:val="231F20"/>
                <w:w w:val="105"/>
                <w:sz w:val="13"/>
              </w:rPr>
              <w:t>macroeconómicos,</w:t>
            </w:r>
            <w:r>
              <w:rPr>
                <w:color w:val="231F20"/>
                <w:spacing w:val="-22"/>
                <w:w w:val="105"/>
                <w:sz w:val="13"/>
              </w:rPr>
              <w:t> </w:t>
            </w:r>
            <w:r>
              <w:rPr>
                <w:color w:val="231F20"/>
                <w:w w:val="105"/>
                <w:sz w:val="13"/>
              </w:rPr>
              <w:t>sino</w:t>
            </w:r>
            <w:r>
              <w:rPr>
                <w:color w:val="231F20"/>
                <w:spacing w:val="-19"/>
                <w:w w:val="105"/>
                <w:sz w:val="13"/>
              </w:rPr>
              <w:t> </w:t>
            </w:r>
            <w:r>
              <w:rPr>
                <w:color w:val="231F20"/>
                <w:w w:val="105"/>
                <w:sz w:val="13"/>
              </w:rPr>
              <w:t>también</w:t>
            </w:r>
            <w:r>
              <w:rPr>
                <w:color w:val="231F20"/>
                <w:spacing w:val="-19"/>
                <w:w w:val="105"/>
                <w:sz w:val="13"/>
              </w:rPr>
              <w:t> </w:t>
            </w:r>
            <w:r>
              <w:rPr>
                <w:color w:val="231F20"/>
                <w:w w:val="105"/>
                <w:sz w:val="13"/>
              </w:rPr>
              <w:t>de</w:t>
            </w:r>
            <w:r>
              <w:rPr>
                <w:color w:val="231F20"/>
                <w:spacing w:val="-19"/>
                <w:w w:val="105"/>
                <w:sz w:val="13"/>
              </w:rPr>
              <w:t> </w:t>
            </w:r>
            <w:r>
              <w:rPr>
                <w:color w:val="231F20"/>
                <w:w w:val="105"/>
                <w:sz w:val="13"/>
              </w:rPr>
              <w:t>las</w:t>
            </w:r>
            <w:r>
              <w:rPr>
                <w:color w:val="231F20"/>
                <w:spacing w:val="-19"/>
                <w:w w:val="105"/>
                <w:sz w:val="13"/>
              </w:rPr>
              <w:t> </w:t>
            </w:r>
            <w:r>
              <w:rPr>
                <w:color w:val="231F20"/>
                <w:w w:val="105"/>
                <w:sz w:val="13"/>
              </w:rPr>
              <w:t>capacidades</w:t>
            </w:r>
            <w:r>
              <w:rPr>
                <w:color w:val="231F20"/>
                <w:spacing w:val="-19"/>
                <w:w w:val="105"/>
                <w:sz w:val="13"/>
              </w:rPr>
              <w:t> </w:t>
            </w:r>
            <w:r>
              <w:rPr>
                <w:color w:val="231F20"/>
                <w:w w:val="105"/>
                <w:sz w:val="13"/>
              </w:rPr>
              <w:t>que</w:t>
            </w:r>
            <w:r>
              <w:rPr>
                <w:color w:val="231F20"/>
                <w:spacing w:val="-19"/>
                <w:w w:val="105"/>
                <w:sz w:val="13"/>
              </w:rPr>
              <w:t> </w:t>
            </w:r>
            <w:r>
              <w:rPr>
                <w:color w:val="231F20"/>
                <w:w w:val="105"/>
                <w:sz w:val="13"/>
              </w:rPr>
              <w:t>ofrece</w:t>
            </w:r>
            <w:r>
              <w:rPr>
                <w:color w:val="231F20"/>
                <w:spacing w:val="-19"/>
                <w:w w:val="105"/>
                <w:sz w:val="13"/>
              </w:rPr>
              <w:t> </w:t>
            </w:r>
            <w:r>
              <w:rPr>
                <w:color w:val="231F20"/>
                <w:w w:val="105"/>
                <w:sz w:val="13"/>
              </w:rPr>
              <w:t>el</w:t>
            </w:r>
            <w:r>
              <w:rPr>
                <w:color w:val="231F20"/>
                <w:spacing w:val="-19"/>
                <w:w w:val="105"/>
                <w:sz w:val="13"/>
              </w:rPr>
              <w:t> </w:t>
            </w:r>
            <w:r>
              <w:rPr>
                <w:color w:val="231F20"/>
                <w:w w:val="105"/>
                <w:sz w:val="13"/>
              </w:rPr>
              <w:t>territorio </w:t>
            </w:r>
            <w:r>
              <w:rPr>
                <w:color w:val="231F20"/>
                <w:sz w:val="13"/>
              </w:rPr>
              <w:t>para facilitar las actividades económicas.</w:t>
            </w:r>
          </w:p>
        </w:tc>
      </w:tr>
      <w:tr>
        <w:trPr>
          <w:trHeight w:val="602" w:hRule="exact"/>
        </w:trPr>
        <w:tc>
          <w:tcPr>
            <w:tcW w:w="1868" w:type="dxa"/>
          </w:tcPr>
          <w:p>
            <w:pPr>
              <w:pStyle w:val="TableParagraph"/>
              <w:spacing w:before="85"/>
              <w:ind w:left="77"/>
              <w:rPr>
                <w:sz w:val="13"/>
              </w:rPr>
            </w:pPr>
            <w:r>
              <w:rPr>
                <w:color w:val="231F20"/>
                <w:sz w:val="13"/>
              </w:rPr>
              <w:t>CPC, 1992</w:t>
            </w:r>
          </w:p>
        </w:tc>
        <w:tc>
          <w:tcPr>
            <w:tcW w:w="5043" w:type="dxa"/>
          </w:tcPr>
          <w:p>
            <w:pPr>
              <w:pStyle w:val="TableParagraph"/>
              <w:spacing w:line="249" w:lineRule="auto" w:before="85"/>
              <w:ind w:left="77" w:right="75"/>
              <w:jc w:val="both"/>
              <w:rPr>
                <w:sz w:val="13"/>
              </w:rPr>
            </w:pPr>
            <w:r>
              <w:rPr>
                <w:color w:val="231F20"/>
                <w:w w:val="105"/>
                <w:sz w:val="13"/>
              </w:rPr>
              <w:t>La</w:t>
            </w:r>
            <w:r>
              <w:rPr>
                <w:color w:val="231F20"/>
                <w:spacing w:val="-4"/>
                <w:w w:val="105"/>
                <w:sz w:val="13"/>
              </w:rPr>
              <w:t> </w:t>
            </w:r>
            <w:r>
              <w:rPr>
                <w:color w:val="231F20"/>
                <w:w w:val="105"/>
                <w:sz w:val="13"/>
              </w:rPr>
              <w:t>capacidad</w:t>
            </w:r>
            <w:r>
              <w:rPr>
                <w:color w:val="231F20"/>
                <w:spacing w:val="-4"/>
                <w:w w:val="105"/>
                <w:sz w:val="13"/>
              </w:rPr>
              <w:t> </w:t>
            </w:r>
            <w:r>
              <w:rPr>
                <w:color w:val="231F20"/>
                <w:w w:val="105"/>
                <w:sz w:val="13"/>
              </w:rPr>
              <w:t>de</w:t>
            </w:r>
            <w:r>
              <w:rPr>
                <w:color w:val="231F20"/>
                <w:spacing w:val="-4"/>
                <w:w w:val="105"/>
                <w:sz w:val="13"/>
              </w:rPr>
              <w:t> </w:t>
            </w:r>
            <w:r>
              <w:rPr>
                <w:color w:val="231F20"/>
                <w:w w:val="105"/>
                <w:sz w:val="13"/>
              </w:rPr>
              <w:t>producir</w:t>
            </w:r>
            <w:r>
              <w:rPr>
                <w:color w:val="231F20"/>
                <w:spacing w:val="-4"/>
                <w:w w:val="105"/>
                <w:sz w:val="13"/>
              </w:rPr>
              <w:t> </w:t>
            </w:r>
            <w:r>
              <w:rPr>
                <w:color w:val="231F20"/>
                <w:w w:val="105"/>
                <w:sz w:val="13"/>
              </w:rPr>
              <w:t>bienes</w:t>
            </w:r>
            <w:r>
              <w:rPr>
                <w:color w:val="231F20"/>
                <w:spacing w:val="-4"/>
                <w:w w:val="105"/>
                <w:sz w:val="13"/>
              </w:rPr>
              <w:t> </w:t>
            </w:r>
            <w:r>
              <w:rPr>
                <w:color w:val="231F20"/>
                <w:w w:val="105"/>
                <w:sz w:val="13"/>
              </w:rPr>
              <w:t>y</w:t>
            </w:r>
            <w:r>
              <w:rPr>
                <w:color w:val="231F20"/>
                <w:spacing w:val="-4"/>
                <w:w w:val="105"/>
                <w:sz w:val="13"/>
              </w:rPr>
              <w:t> </w:t>
            </w:r>
            <w:r>
              <w:rPr>
                <w:color w:val="231F20"/>
                <w:w w:val="105"/>
                <w:sz w:val="13"/>
              </w:rPr>
              <w:t>servicios</w:t>
            </w:r>
            <w:r>
              <w:rPr>
                <w:color w:val="231F20"/>
                <w:spacing w:val="-4"/>
                <w:w w:val="105"/>
                <w:sz w:val="13"/>
              </w:rPr>
              <w:t> </w:t>
            </w:r>
            <w:r>
              <w:rPr>
                <w:color w:val="231F20"/>
                <w:w w:val="105"/>
                <w:sz w:val="13"/>
              </w:rPr>
              <w:t>que</w:t>
            </w:r>
            <w:r>
              <w:rPr>
                <w:color w:val="231F20"/>
                <w:spacing w:val="-4"/>
                <w:w w:val="105"/>
                <w:sz w:val="13"/>
              </w:rPr>
              <w:t> </w:t>
            </w:r>
            <w:r>
              <w:rPr>
                <w:color w:val="231F20"/>
                <w:w w:val="105"/>
                <w:sz w:val="13"/>
              </w:rPr>
              <w:t>superen</w:t>
            </w:r>
            <w:r>
              <w:rPr>
                <w:color w:val="231F20"/>
                <w:spacing w:val="-4"/>
                <w:w w:val="105"/>
                <w:sz w:val="13"/>
              </w:rPr>
              <w:t> </w:t>
            </w:r>
            <w:r>
              <w:rPr>
                <w:color w:val="231F20"/>
                <w:w w:val="105"/>
                <w:sz w:val="13"/>
              </w:rPr>
              <w:t>la</w:t>
            </w:r>
            <w:r>
              <w:rPr>
                <w:color w:val="231F20"/>
                <w:spacing w:val="-4"/>
                <w:w w:val="105"/>
                <w:sz w:val="13"/>
              </w:rPr>
              <w:t> </w:t>
            </w:r>
            <w:r>
              <w:rPr>
                <w:color w:val="231F20"/>
                <w:w w:val="105"/>
                <w:sz w:val="13"/>
              </w:rPr>
              <w:t>prueba</w:t>
            </w:r>
            <w:r>
              <w:rPr>
                <w:color w:val="231F20"/>
                <w:spacing w:val="-4"/>
                <w:w w:val="105"/>
                <w:sz w:val="13"/>
              </w:rPr>
              <w:t> </w:t>
            </w:r>
            <w:r>
              <w:rPr>
                <w:color w:val="231F20"/>
                <w:w w:val="105"/>
                <w:sz w:val="13"/>
              </w:rPr>
              <w:t>de</w:t>
            </w:r>
            <w:r>
              <w:rPr>
                <w:color w:val="231F20"/>
                <w:spacing w:val="-4"/>
                <w:w w:val="105"/>
                <w:sz w:val="13"/>
              </w:rPr>
              <w:t> </w:t>
            </w:r>
            <w:r>
              <w:rPr>
                <w:color w:val="231F20"/>
                <w:w w:val="105"/>
                <w:sz w:val="13"/>
              </w:rPr>
              <w:t>los</w:t>
            </w:r>
            <w:r>
              <w:rPr>
                <w:color w:val="231F20"/>
                <w:spacing w:val="-4"/>
                <w:w w:val="105"/>
                <w:sz w:val="13"/>
              </w:rPr>
              <w:t> </w:t>
            </w:r>
            <w:r>
              <w:rPr>
                <w:color w:val="231F20"/>
                <w:w w:val="105"/>
                <w:sz w:val="13"/>
              </w:rPr>
              <w:t>merca- dos</w:t>
            </w:r>
            <w:r>
              <w:rPr>
                <w:color w:val="231F20"/>
                <w:spacing w:val="-12"/>
                <w:w w:val="105"/>
                <w:sz w:val="13"/>
              </w:rPr>
              <w:t> </w:t>
            </w:r>
            <w:r>
              <w:rPr>
                <w:color w:val="231F20"/>
                <w:w w:val="105"/>
                <w:sz w:val="13"/>
              </w:rPr>
              <w:t>internacionales,</w:t>
            </w:r>
            <w:r>
              <w:rPr>
                <w:color w:val="231F20"/>
                <w:spacing w:val="-15"/>
                <w:w w:val="105"/>
                <w:sz w:val="13"/>
              </w:rPr>
              <w:t> </w:t>
            </w:r>
            <w:r>
              <w:rPr>
                <w:color w:val="231F20"/>
                <w:w w:val="105"/>
                <w:sz w:val="13"/>
              </w:rPr>
              <w:t>mientras</w:t>
            </w:r>
            <w:r>
              <w:rPr>
                <w:color w:val="231F20"/>
                <w:spacing w:val="-12"/>
                <w:w w:val="105"/>
                <w:sz w:val="13"/>
              </w:rPr>
              <w:t> </w:t>
            </w:r>
            <w:r>
              <w:rPr>
                <w:color w:val="231F20"/>
                <w:w w:val="105"/>
                <w:sz w:val="13"/>
              </w:rPr>
              <w:t>los</w:t>
            </w:r>
            <w:r>
              <w:rPr>
                <w:color w:val="231F20"/>
                <w:spacing w:val="-12"/>
                <w:w w:val="105"/>
                <w:sz w:val="13"/>
              </w:rPr>
              <w:t> </w:t>
            </w:r>
            <w:r>
              <w:rPr>
                <w:color w:val="231F20"/>
                <w:w w:val="105"/>
                <w:sz w:val="13"/>
              </w:rPr>
              <w:t>ciudadanos</w:t>
            </w:r>
            <w:r>
              <w:rPr>
                <w:color w:val="231F20"/>
                <w:spacing w:val="-12"/>
                <w:w w:val="105"/>
                <w:sz w:val="13"/>
              </w:rPr>
              <w:t> </w:t>
            </w:r>
            <w:r>
              <w:rPr>
                <w:color w:val="231F20"/>
                <w:w w:val="105"/>
                <w:sz w:val="13"/>
              </w:rPr>
              <w:t>gozan</w:t>
            </w:r>
            <w:r>
              <w:rPr>
                <w:color w:val="231F20"/>
                <w:spacing w:val="-12"/>
                <w:w w:val="105"/>
                <w:sz w:val="13"/>
              </w:rPr>
              <w:t> </w:t>
            </w:r>
            <w:r>
              <w:rPr>
                <w:color w:val="231F20"/>
                <w:w w:val="105"/>
                <w:sz w:val="13"/>
              </w:rPr>
              <w:t>de</w:t>
            </w:r>
            <w:r>
              <w:rPr>
                <w:color w:val="231F20"/>
                <w:spacing w:val="-12"/>
                <w:w w:val="105"/>
                <w:sz w:val="13"/>
              </w:rPr>
              <w:t> </w:t>
            </w:r>
            <w:r>
              <w:rPr>
                <w:color w:val="231F20"/>
                <w:w w:val="105"/>
                <w:sz w:val="13"/>
              </w:rPr>
              <w:t>un</w:t>
            </w:r>
            <w:r>
              <w:rPr>
                <w:color w:val="231F20"/>
                <w:spacing w:val="-12"/>
                <w:w w:val="105"/>
                <w:sz w:val="13"/>
              </w:rPr>
              <w:t> </w:t>
            </w:r>
            <w:r>
              <w:rPr>
                <w:color w:val="231F20"/>
                <w:w w:val="105"/>
                <w:sz w:val="13"/>
              </w:rPr>
              <w:t>nivel</w:t>
            </w:r>
            <w:r>
              <w:rPr>
                <w:color w:val="231F20"/>
                <w:spacing w:val="-12"/>
                <w:w w:val="105"/>
                <w:sz w:val="13"/>
              </w:rPr>
              <w:t> </w:t>
            </w:r>
            <w:r>
              <w:rPr>
                <w:color w:val="231F20"/>
                <w:w w:val="105"/>
                <w:sz w:val="13"/>
              </w:rPr>
              <w:t>de</w:t>
            </w:r>
            <w:r>
              <w:rPr>
                <w:color w:val="231F20"/>
                <w:spacing w:val="-12"/>
                <w:w w:val="105"/>
                <w:sz w:val="13"/>
              </w:rPr>
              <w:t> </w:t>
            </w:r>
            <w:r>
              <w:rPr>
                <w:color w:val="231F20"/>
                <w:w w:val="105"/>
                <w:sz w:val="13"/>
              </w:rPr>
              <w:t>vida</w:t>
            </w:r>
            <w:r>
              <w:rPr>
                <w:color w:val="231F20"/>
                <w:spacing w:val="-12"/>
                <w:w w:val="105"/>
                <w:sz w:val="13"/>
              </w:rPr>
              <w:t> </w:t>
            </w:r>
            <w:r>
              <w:rPr>
                <w:color w:val="231F20"/>
                <w:w w:val="105"/>
                <w:sz w:val="13"/>
              </w:rPr>
              <w:t>creciente</w:t>
            </w:r>
            <w:r>
              <w:rPr>
                <w:color w:val="231F20"/>
                <w:spacing w:val="-12"/>
                <w:w w:val="105"/>
                <w:sz w:val="13"/>
              </w:rPr>
              <w:t> </w:t>
            </w:r>
            <w:r>
              <w:rPr>
                <w:color w:val="231F20"/>
                <w:w w:val="105"/>
                <w:sz w:val="13"/>
              </w:rPr>
              <w:t>y sostenible</w:t>
            </w:r>
            <w:r>
              <w:rPr>
                <w:color w:val="231F20"/>
                <w:spacing w:val="-19"/>
                <w:w w:val="105"/>
                <w:sz w:val="13"/>
              </w:rPr>
              <w:t> </w:t>
            </w:r>
            <w:r>
              <w:rPr>
                <w:color w:val="231F20"/>
                <w:w w:val="105"/>
                <w:sz w:val="13"/>
              </w:rPr>
              <w:t>a</w:t>
            </w:r>
            <w:r>
              <w:rPr>
                <w:color w:val="231F20"/>
                <w:spacing w:val="-19"/>
                <w:w w:val="105"/>
                <w:sz w:val="13"/>
              </w:rPr>
              <w:t> </w:t>
            </w:r>
            <w:r>
              <w:rPr>
                <w:color w:val="231F20"/>
                <w:w w:val="105"/>
                <w:sz w:val="13"/>
              </w:rPr>
              <w:t>largo</w:t>
            </w:r>
            <w:r>
              <w:rPr>
                <w:color w:val="231F20"/>
                <w:spacing w:val="-19"/>
                <w:w w:val="105"/>
                <w:sz w:val="13"/>
              </w:rPr>
              <w:t> </w:t>
            </w:r>
            <w:r>
              <w:rPr>
                <w:color w:val="231F20"/>
                <w:w w:val="105"/>
                <w:sz w:val="13"/>
              </w:rPr>
              <w:t>plazo.</w:t>
            </w:r>
          </w:p>
        </w:tc>
      </w:tr>
      <w:tr>
        <w:trPr>
          <w:trHeight w:val="446" w:hRule="exact"/>
        </w:trPr>
        <w:tc>
          <w:tcPr>
            <w:tcW w:w="1868" w:type="dxa"/>
          </w:tcPr>
          <w:p>
            <w:pPr>
              <w:pStyle w:val="TableParagraph"/>
              <w:spacing w:line="249" w:lineRule="auto" w:before="85"/>
              <w:ind w:left="77"/>
              <w:rPr>
                <w:sz w:val="13"/>
              </w:rPr>
            </w:pPr>
            <w:r>
              <w:rPr>
                <w:color w:val="231F20"/>
                <w:w w:val="105"/>
                <w:sz w:val="13"/>
              </w:rPr>
              <w:t>Grupo Consultivo sobre la Competitividad, 1995</w:t>
            </w:r>
          </w:p>
        </w:tc>
        <w:tc>
          <w:tcPr>
            <w:tcW w:w="5043" w:type="dxa"/>
          </w:tcPr>
          <w:p>
            <w:pPr>
              <w:pStyle w:val="TableParagraph"/>
              <w:spacing w:line="249" w:lineRule="auto" w:before="85"/>
              <w:ind w:left="77" w:right="71"/>
              <w:rPr>
                <w:sz w:val="13"/>
              </w:rPr>
            </w:pPr>
            <w:r>
              <w:rPr>
                <w:color w:val="231F20"/>
                <w:w w:val="105"/>
                <w:sz w:val="13"/>
              </w:rPr>
              <w:t>Implica</w:t>
            </w:r>
            <w:r>
              <w:rPr>
                <w:color w:val="231F20"/>
                <w:spacing w:val="-20"/>
                <w:w w:val="105"/>
                <w:sz w:val="13"/>
              </w:rPr>
              <w:t> </w:t>
            </w:r>
            <w:r>
              <w:rPr>
                <w:color w:val="231F20"/>
                <w:w w:val="105"/>
                <w:sz w:val="13"/>
              </w:rPr>
              <w:t>elementos</w:t>
            </w:r>
            <w:r>
              <w:rPr>
                <w:color w:val="231F20"/>
                <w:spacing w:val="-20"/>
                <w:w w:val="105"/>
                <w:sz w:val="13"/>
              </w:rPr>
              <w:t> </w:t>
            </w:r>
            <w:r>
              <w:rPr>
                <w:color w:val="231F20"/>
                <w:w w:val="105"/>
                <w:sz w:val="13"/>
              </w:rPr>
              <w:t>de</w:t>
            </w:r>
            <w:r>
              <w:rPr>
                <w:color w:val="231F20"/>
                <w:spacing w:val="-20"/>
                <w:w w:val="105"/>
                <w:sz w:val="13"/>
              </w:rPr>
              <w:t> </w:t>
            </w:r>
            <w:r>
              <w:rPr>
                <w:color w:val="231F20"/>
                <w:w w:val="105"/>
                <w:sz w:val="13"/>
              </w:rPr>
              <w:t>productividad,</w:t>
            </w:r>
            <w:r>
              <w:rPr>
                <w:color w:val="231F20"/>
                <w:spacing w:val="-23"/>
                <w:w w:val="105"/>
                <w:sz w:val="13"/>
              </w:rPr>
              <w:t> </w:t>
            </w:r>
            <w:r>
              <w:rPr>
                <w:color w:val="231F20"/>
                <w:w w:val="105"/>
                <w:sz w:val="13"/>
              </w:rPr>
              <w:t>eficiencia</w:t>
            </w:r>
            <w:r>
              <w:rPr>
                <w:color w:val="231F20"/>
                <w:spacing w:val="-20"/>
                <w:w w:val="105"/>
                <w:sz w:val="13"/>
              </w:rPr>
              <w:t> </w:t>
            </w:r>
            <w:r>
              <w:rPr>
                <w:color w:val="231F20"/>
                <w:w w:val="105"/>
                <w:sz w:val="13"/>
              </w:rPr>
              <w:t>y</w:t>
            </w:r>
            <w:r>
              <w:rPr>
                <w:color w:val="231F20"/>
                <w:spacing w:val="-20"/>
                <w:w w:val="105"/>
                <w:sz w:val="13"/>
              </w:rPr>
              <w:t> </w:t>
            </w:r>
            <w:r>
              <w:rPr>
                <w:color w:val="231F20"/>
                <w:w w:val="105"/>
                <w:sz w:val="13"/>
              </w:rPr>
              <w:t>rentabilidad.</w:t>
            </w:r>
            <w:r>
              <w:rPr>
                <w:color w:val="231F20"/>
                <w:spacing w:val="-23"/>
                <w:w w:val="105"/>
                <w:sz w:val="13"/>
              </w:rPr>
              <w:t> </w:t>
            </w:r>
            <w:r>
              <w:rPr>
                <w:color w:val="231F20"/>
                <w:w w:val="105"/>
                <w:sz w:val="13"/>
              </w:rPr>
              <w:t>Es</w:t>
            </w:r>
            <w:r>
              <w:rPr>
                <w:color w:val="231F20"/>
                <w:spacing w:val="-20"/>
                <w:w w:val="105"/>
                <w:sz w:val="13"/>
              </w:rPr>
              <w:t> </w:t>
            </w:r>
            <w:r>
              <w:rPr>
                <w:color w:val="231F20"/>
                <w:w w:val="105"/>
                <w:sz w:val="13"/>
              </w:rPr>
              <w:t>un</w:t>
            </w:r>
            <w:r>
              <w:rPr>
                <w:color w:val="231F20"/>
                <w:spacing w:val="-20"/>
                <w:w w:val="105"/>
                <w:sz w:val="13"/>
              </w:rPr>
              <w:t> </w:t>
            </w:r>
            <w:r>
              <w:rPr>
                <w:color w:val="231F20"/>
                <w:w w:val="105"/>
                <w:sz w:val="13"/>
              </w:rPr>
              <w:t>medio</w:t>
            </w:r>
            <w:r>
              <w:rPr>
                <w:color w:val="231F20"/>
                <w:spacing w:val="-20"/>
                <w:w w:val="105"/>
                <w:sz w:val="13"/>
              </w:rPr>
              <w:t> </w:t>
            </w:r>
            <w:r>
              <w:rPr>
                <w:color w:val="231F20"/>
                <w:w w:val="105"/>
                <w:sz w:val="13"/>
              </w:rPr>
              <w:t>poderoso para</w:t>
            </w:r>
            <w:r>
              <w:rPr>
                <w:color w:val="231F20"/>
                <w:spacing w:val="-21"/>
                <w:w w:val="105"/>
                <w:sz w:val="13"/>
              </w:rPr>
              <w:t> </w:t>
            </w:r>
            <w:r>
              <w:rPr>
                <w:color w:val="231F20"/>
                <w:w w:val="105"/>
                <w:sz w:val="13"/>
              </w:rPr>
              <w:t>alcanzar</w:t>
            </w:r>
            <w:r>
              <w:rPr>
                <w:color w:val="231F20"/>
                <w:spacing w:val="-21"/>
                <w:w w:val="105"/>
                <w:sz w:val="13"/>
              </w:rPr>
              <w:t> </w:t>
            </w:r>
            <w:r>
              <w:rPr>
                <w:color w:val="231F20"/>
                <w:w w:val="105"/>
                <w:sz w:val="13"/>
              </w:rPr>
              <w:t>mejores</w:t>
            </w:r>
            <w:r>
              <w:rPr>
                <w:color w:val="231F20"/>
                <w:spacing w:val="-21"/>
                <w:w w:val="105"/>
                <w:sz w:val="13"/>
              </w:rPr>
              <w:t> </w:t>
            </w:r>
            <w:r>
              <w:rPr>
                <w:color w:val="231F20"/>
                <w:w w:val="105"/>
                <w:sz w:val="13"/>
              </w:rPr>
              <w:t>niveles</w:t>
            </w:r>
            <w:r>
              <w:rPr>
                <w:color w:val="231F20"/>
                <w:spacing w:val="-21"/>
                <w:w w:val="105"/>
                <w:sz w:val="13"/>
              </w:rPr>
              <w:t> </w:t>
            </w:r>
            <w:r>
              <w:rPr>
                <w:color w:val="231F20"/>
                <w:w w:val="105"/>
                <w:sz w:val="13"/>
              </w:rPr>
              <w:t>de</w:t>
            </w:r>
            <w:r>
              <w:rPr>
                <w:color w:val="231F20"/>
                <w:spacing w:val="-21"/>
                <w:w w:val="105"/>
                <w:sz w:val="13"/>
              </w:rPr>
              <w:t> </w:t>
            </w:r>
            <w:r>
              <w:rPr>
                <w:color w:val="231F20"/>
                <w:w w:val="105"/>
                <w:sz w:val="13"/>
              </w:rPr>
              <w:t>vida</w:t>
            </w:r>
            <w:r>
              <w:rPr>
                <w:color w:val="231F20"/>
                <w:spacing w:val="-21"/>
                <w:w w:val="105"/>
                <w:sz w:val="13"/>
              </w:rPr>
              <w:t> </w:t>
            </w:r>
            <w:r>
              <w:rPr>
                <w:color w:val="231F20"/>
                <w:w w:val="105"/>
                <w:sz w:val="13"/>
              </w:rPr>
              <w:t>y</w:t>
            </w:r>
            <w:r>
              <w:rPr>
                <w:color w:val="231F20"/>
                <w:spacing w:val="-21"/>
                <w:w w:val="105"/>
                <w:sz w:val="13"/>
              </w:rPr>
              <w:t> </w:t>
            </w:r>
            <w:r>
              <w:rPr>
                <w:color w:val="231F20"/>
                <w:w w:val="105"/>
                <w:sz w:val="13"/>
              </w:rPr>
              <w:t>un</w:t>
            </w:r>
            <w:r>
              <w:rPr>
                <w:color w:val="231F20"/>
                <w:spacing w:val="-21"/>
                <w:w w:val="105"/>
                <w:sz w:val="13"/>
              </w:rPr>
              <w:t> </w:t>
            </w:r>
            <w:r>
              <w:rPr>
                <w:color w:val="231F20"/>
                <w:w w:val="105"/>
                <w:sz w:val="13"/>
              </w:rPr>
              <w:t>mayor</w:t>
            </w:r>
            <w:r>
              <w:rPr>
                <w:color w:val="231F20"/>
                <w:spacing w:val="-21"/>
                <w:w w:val="105"/>
                <w:sz w:val="13"/>
              </w:rPr>
              <w:t> </w:t>
            </w:r>
            <w:r>
              <w:rPr>
                <w:color w:val="231F20"/>
                <w:w w:val="105"/>
                <w:sz w:val="13"/>
              </w:rPr>
              <w:t>bienestar</w:t>
            </w:r>
            <w:r>
              <w:rPr>
                <w:color w:val="231F20"/>
                <w:spacing w:val="-21"/>
                <w:w w:val="105"/>
                <w:sz w:val="13"/>
              </w:rPr>
              <w:t> </w:t>
            </w:r>
            <w:r>
              <w:rPr>
                <w:color w:val="231F20"/>
                <w:w w:val="105"/>
                <w:sz w:val="13"/>
              </w:rPr>
              <w:t>social.</w:t>
            </w:r>
          </w:p>
        </w:tc>
      </w:tr>
      <w:tr>
        <w:trPr>
          <w:trHeight w:val="446" w:hRule="exact"/>
        </w:trPr>
        <w:tc>
          <w:tcPr>
            <w:tcW w:w="1868" w:type="dxa"/>
          </w:tcPr>
          <w:p>
            <w:pPr>
              <w:pStyle w:val="TableParagraph"/>
              <w:spacing w:line="249" w:lineRule="auto" w:before="86"/>
              <w:ind w:left="77"/>
              <w:rPr>
                <w:sz w:val="13"/>
              </w:rPr>
            </w:pPr>
            <w:r>
              <w:rPr>
                <w:color w:val="231F20"/>
                <w:w w:val="105"/>
                <w:sz w:val="13"/>
              </w:rPr>
              <w:t>Foro Económico Mundial, 1996</w:t>
            </w:r>
          </w:p>
        </w:tc>
        <w:tc>
          <w:tcPr>
            <w:tcW w:w="5043" w:type="dxa"/>
          </w:tcPr>
          <w:p>
            <w:pPr>
              <w:pStyle w:val="TableParagraph"/>
              <w:spacing w:line="249" w:lineRule="auto" w:before="86"/>
              <w:ind w:left="77" w:right="72"/>
              <w:rPr>
                <w:sz w:val="13"/>
              </w:rPr>
            </w:pPr>
            <w:r>
              <w:rPr>
                <w:color w:val="231F20"/>
                <w:w w:val="105"/>
                <w:sz w:val="13"/>
              </w:rPr>
              <w:t>Capacidad</w:t>
            </w:r>
            <w:r>
              <w:rPr>
                <w:color w:val="231F20"/>
                <w:spacing w:val="-11"/>
                <w:w w:val="105"/>
                <w:sz w:val="13"/>
              </w:rPr>
              <w:t> </w:t>
            </w:r>
            <w:r>
              <w:rPr>
                <w:color w:val="231F20"/>
                <w:w w:val="105"/>
                <w:sz w:val="13"/>
              </w:rPr>
              <w:t>de</w:t>
            </w:r>
            <w:r>
              <w:rPr>
                <w:color w:val="231F20"/>
                <w:spacing w:val="-11"/>
                <w:w w:val="105"/>
                <w:sz w:val="13"/>
              </w:rPr>
              <w:t> </w:t>
            </w:r>
            <w:r>
              <w:rPr>
                <w:color w:val="231F20"/>
                <w:w w:val="105"/>
                <w:sz w:val="13"/>
              </w:rPr>
              <w:t>un</w:t>
            </w:r>
            <w:r>
              <w:rPr>
                <w:color w:val="231F20"/>
                <w:spacing w:val="-11"/>
                <w:w w:val="105"/>
                <w:sz w:val="13"/>
              </w:rPr>
              <w:t> </w:t>
            </w:r>
            <w:r>
              <w:rPr>
                <w:color w:val="231F20"/>
                <w:w w:val="105"/>
                <w:sz w:val="13"/>
              </w:rPr>
              <w:t>país</w:t>
            </w:r>
            <w:r>
              <w:rPr>
                <w:color w:val="231F20"/>
                <w:spacing w:val="-11"/>
                <w:w w:val="105"/>
                <w:sz w:val="13"/>
              </w:rPr>
              <w:t> </w:t>
            </w:r>
            <w:r>
              <w:rPr>
                <w:color w:val="231F20"/>
                <w:w w:val="105"/>
                <w:sz w:val="13"/>
              </w:rPr>
              <w:t>de</w:t>
            </w:r>
            <w:r>
              <w:rPr>
                <w:color w:val="231F20"/>
                <w:spacing w:val="-11"/>
                <w:w w:val="105"/>
                <w:sz w:val="13"/>
              </w:rPr>
              <w:t> </w:t>
            </w:r>
            <w:r>
              <w:rPr>
                <w:color w:val="231F20"/>
                <w:w w:val="105"/>
                <w:sz w:val="13"/>
              </w:rPr>
              <w:t>alcanzar</w:t>
            </w:r>
            <w:r>
              <w:rPr>
                <w:color w:val="231F20"/>
                <w:spacing w:val="-11"/>
                <w:w w:val="105"/>
                <w:sz w:val="13"/>
              </w:rPr>
              <w:t> </w:t>
            </w:r>
            <w:r>
              <w:rPr>
                <w:color w:val="231F20"/>
                <w:w w:val="105"/>
                <w:sz w:val="13"/>
              </w:rPr>
              <w:t>en</w:t>
            </w:r>
            <w:r>
              <w:rPr>
                <w:color w:val="231F20"/>
                <w:spacing w:val="-11"/>
                <w:w w:val="105"/>
                <w:sz w:val="13"/>
              </w:rPr>
              <w:t> </w:t>
            </w:r>
            <w:r>
              <w:rPr>
                <w:color w:val="231F20"/>
                <w:w w:val="105"/>
                <w:sz w:val="13"/>
              </w:rPr>
              <w:t>forma</w:t>
            </w:r>
            <w:r>
              <w:rPr>
                <w:color w:val="231F20"/>
                <w:spacing w:val="-11"/>
                <w:w w:val="105"/>
                <w:sz w:val="13"/>
              </w:rPr>
              <w:t> </w:t>
            </w:r>
            <w:r>
              <w:rPr>
                <w:color w:val="231F20"/>
                <w:w w:val="105"/>
                <w:sz w:val="13"/>
              </w:rPr>
              <w:t>sostenida</w:t>
            </w:r>
            <w:r>
              <w:rPr>
                <w:color w:val="231F20"/>
                <w:spacing w:val="-11"/>
                <w:w w:val="105"/>
                <w:sz w:val="13"/>
              </w:rPr>
              <w:t> </w:t>
            </w:r>
            <w:r>
              <w:rPr>
                <w:color w:val="231F20"/>
                <w:w w:val="105"/>
                <w:sz w:val="13"/>
              </w:rPr>
              <w:t>altos</w:t>
            </w:r>
            <w:r>
              <w:rPr>
                <w:color w:val="231F20"/>
                <w:spacing w:val="-11"/>
                <w:w w:val="105"/>
                <w:sz w:val="13"/>
              </w:rPr>
              <w:t> </w:t>
            </w:r>
            <w:r>
              <w:rPr>
                <w:color w:val="231F20"/>
                <w:w w:val="105"/>
                <w:sz w:val="13"/>
              </w:rPr>
              <w:t>índices</w:t>
            </w:r>
            <w:r>
              <w:rPr>
                <w:color w:val="231F20"/>
                <w:spacing w:val="-11"/>
                <w:w w:val="105"/>
                <w:sz w:val="13"/>
              </w:rPr>
              <w:t> </w:t>
            </w:r>
            <w:r>
              <w:rPr>
                <w:color w:val="231F20"/>
                <w:w w:val="105"/>
                <w:sz w:val="13"/>
              </w:rPr>
              <w:t>de</w:t>
            </w:r>
            <w:r>
              <w:rPr>
                <w:color w:val="231F20"/>
                <w:spacing w:val="-11"/>
                <w:w w:val="105"/>
                <w:sz w:val="13"/>
              </w:rPr>
              <w:t> </w:t>
            </w:r>
            <w:r>
              <w:rPr>
                <w:color w:val="231F20"/>
                <w:w w:val="105"/>
                <w:sz w:val="13"/>
              </w:rPr>
              <w:t>crecimiento de</w:t>
            </w:r>
            <w:r>
              <w:rPr>
                <w:color w:val="231F20"/>
                <w:spacing w:val="-19"/>
                <w:w w:val="105"/>
                <w:sz w:val="13"/>
              </w:rPr>
              <w:t> </w:t>
            </w:r>
            <w:r>
              <w:rPr>
                <w:color w:val="231F20"/>
                <w:w w:val="105"/>
                <w:sz w:val="13"/>
              </w:rPr>
              <w:t>su</w:t>
            </w:r>
            <w:r>
              <w:rPr>
                <w:color w:val="231F20"/>
                <w:spacing w:val="-19"/>
                <w:w w:val="105"/>
                <w:sz w:val="13"/>
              </w:rPr>
              <w:t> </w:t>
            </w:r>
            <w:r>
              <w:rPr>
                <w:color w:val="231F20"/>
                <w:w w:val="105"/>
                <w:sz w:val="13"/>
              </w:rPr>
              <w:t>PIB</w:t>
            </w:r>
            <w:r>
              <w:rPr>
                <w:color w:val="231F20"/>
                <w:spacing w:val="-19"/>
                <w:w w:val="105"/>
                <w:sz w:val="13"/>
              </w:rPr>
              <w:t> </w:t>
            </w:r>
            <w:r>
              <w:rPr>
                <w:color w:val="231F20"/>
                <w:w w:val="105"/>
                <w:sz w:val="13"/>
              </w:rPr>
              <w:t>per</w:t>
            </w:r>
            <w:r>
              <w:rPr>
                <w:color w:val="231F20"/>
                <w:spacing w:val="-19"/>
                <w:w w:val="105"/>
                <w:sz w:val="13"/>
              </w:rPr>
              <w:t> </w:t>
            </w:r>
            <w:r>
              <w:rPr>
                <w:color w:val="231F20"/>
                <w:w w:val="105"/>
                <w:sz w:val="13"/>
              </w:rPr>
              <w:t>cápita.</w:t>
            </w:r>
          </w:p>
        </w:tc>
      </w:tr>
      <w:tr>
        <w:trPr>
          <w:trHeight w:val="758" w:hRule="exact"/>
        </w:trPr>
        <w:tc>
          <w:tcPr>
            <w:tcW w:w="1868" w:type="dxa"/>
          </w:tcPr>
          <w:p>
            <w:pPr>
              <w:pStyle w:val="TableParagraph"/>
              <w:spacing w:before="86"/>
              <w:ind w:left="77"/>
              <w:rPr>
                <w:sz w:val="13"/>
              </w:rPr>
            </w:pPr>
            <w:r>
              <w:rPr>
                <w:color w:val="231F20"/>
                <w:sz w:val="13"/>
              </w:rPr>
              <w:t>OCDE, 1996</w:t>
            </w:r>
          </w:p>
        </w:tc>
        <w:tc>
          <w:tcPr>
            <w:tcW w:w="5043" w:type="dxa"/>
          </w:tcPr>
          <w:p>
            <w:pPr>
              <w:pStyle w:val="TableParagraph"/>
              <w:spacing w:line="249" w:lineRule="auto" w:before="86"/>
              <w:ind w:left="77" w:right="75"/>
              <w:jc w:val="both"/>
              <w:rPr>
                <w:sz w:val="13"/>
              </w:rPr>
            </w:pPr>
            <w:r>
              <w:rPr>
                <w:color w:val="231F20"/>
                <w:w w:val="105"/>
                <w:sz w:val="13"/>
              </w:rPr>
              <w:t>Refleja</w:t>
            </w:r>
            <w:r>
              <w:rPr>
                <w:color w:val="231F20"/>
                <w:spacing w:val="-4"/>
                <w:w w:val="105"/>
                <w:sz w:val="13"/>
              </w:rPr>
              <w:t> </w:t>
            </w:r>
            <w:r>
              <w:rPr>
                <w:color w:val="231F20"/>
                <w:w w:val="105"/>
                <w:sz w:val="13"/>
              </w:rPr>
              <w:t>la</w:t>
            </w:r>
            <w:r>
              <w:rPr>
                <w:color w:val="231F20"/>
                <w:spacing w:val="-4"/>
                <w:w w:val="105"/>
                <w:sz w:val="13"/>
              </w:rPr>
              <w:t> </w:t>
            </w:r>
            <w:r>
              <w:rPr>
                <w:color w:val="231F20"/>
                <w:w w:val="105"/>
                <w:sz w:val="13"/>
              </w:rPr>
              <w:t>medida</w:t>
            </w:r>
            <w:r>
              <w:rPr>
                <w:color w:val="231F20"/>
                <w:spacing w:val="-4"/>
                <w:w w:val="105"/>
                <w:sz w:val="13"/>
              </w:rPr>
              <w:t> </w:t>
            </w:r>
            <w:r>
              <w:rPr>
                <w:color w:val="231F20"/>
                <w:w w:val="105"/>
                <w:sz w:val="13"/>
              </w:rPr>
              <w:t>en</w:t>
            </w:r>
            <w:r>
              <w:rPr>
                <w:color w:val="231F20"/>
                <w:spacing w:val="-4"/>
                <w:w w:val="105"/>
                <w:sz w:val="13"/>
              </w:rPr>
              <w:t> </w:t>
            </w:r>
            <w:r>
              <w:rPr>
                <w:color w:val="231F20"/>
                <w:w w:val="105"/>
                <w:sz w:val="13"/>
              </w:rPr>
              <w:t>que</w:t>
            </w:r>
            <w:r>
              <w:rPr>
                <w:color w:val="231F20"/>
                <w:spacing w:val="-4"/>
                <w:w w:val="105"/>
                <w:sz w:val="13"/>
              </w:rPr>
              <w:t> </w:t>
            </w:r>
            <w:r>
              <w:rPr>
                <w:color w:val="231F20"/>
                <w:w w:val="105"/>
                <w:sz w:val="13"/>
              </w:rPr>
              <w:t>una</w:t>
            </w:r>
            <w:r>
              <w:rPr>
                <w:color w:val="231F20"/>
                <w:spacing w:val="-4"/>
                <w:w w:val="105"/>
                <w:sz w:val="13"/>
              </w:rPr>
              <w:t> </w:t>
            </w:r>
            <w:r>
              <w:rPr>
                <w:color w:val="231F20"/>
                <w:w w:val="105"/>
                <w:sz w:val="13"/>
              </w:rPr>
              <w:t>nación,</w:t>
            </w:r>
            <w:r>
              <w:rPr>
                <w:color w:val="231F20"/>
                <w:spacing w:val="-7"/>
                <w:w w:val="105"/>
                <w:sz w:val="13"/>
              </w:rPr>
              <w:t> </w:t>
            </w:r>
            <w:r>
              <w:rPr>
                <w:color w:val="231F20"/>
                <w:w w:val="105"/>
                <w:sz w:val="13"/>
              </w:rPr>
              <w:t>en</w:t>
            </w:r>
            <w:r>
              <w:rPr>
                <w:color w:val="231F20"/>
                <w:spacing w:val="-4"/>
                <w:w w:val="105"/>
                <w:sz w:val="13"/>
              </w:rPr>
              <w:t> </w:t>
            </w:r>
            <w:r>
              <w:rPr>
                <w:color w:val="231F20"/>
                <w:w w:val="105"/>
                <w:sz w:val="13"/>
              </w:rPr>
              <w:t>un</w:t>
            </w:r>
            <w:r>
              <w:rPr>
                <w:color w:val="231F20"/>
                <w:spacing w:val="-4"/>
                <w:w w:val="105"/>
                <w:sz w:val="13"/>
              </w:rPr>
              <w:t> </w:t>
            </w:r>
            <w:r>
              <w:rPr>
                <w:color w:val="231F20"/>
                <w:w w:val="105"/>
                <w:sz w:val="13"/>
              </w:rPr>
              <w:t>sistema</w:t>
            </w:r>
            <w:r>
              <w:rPr>
                <w:color w:val="231F20"/>
                <w:spacing w:val="-4"/>
                <w:w w:val="105"/>
                <w:sz w:val="13"/>
              </w:rPr>
              <w:t> </w:t>
            </w:r>
            <w:r>
              <w:rPr>
                <w:color w:val="231F20"/>
                <w:w w:val="105"/>
                <w:sz w:val="13"/>
              </w:rPr>
              <w:t>de</w:t>
            </w:r>
            <w:r>
              <w:rPr>
                <w:color w:val="231F20"/>
                <w:spacing w:val="-4"/>
                <w:w w:val="105"/>
                <w:sz w:val="13"/>
              </w:rPr>
              <w:t> </w:t>
            </w:r>
            <w:r>
              <w:rPr>
                <w:color w:val="231F20"/>
                <w:w w:val="105"/>
                <w:sz w:val="13"/>
              </w:rPr>
              <w:t>libre</w:t>
            </w:r>
            <w:r>
              <w:rPr>
                <w:color w:val="231F20"/>
                <w:spacing w:val="-4"/>
                <w:w w:val="105"/>
                <w:sz w:val="13"/>
              </w:rPr>
              <w:t> </w:t>
            </w:r>
            <w:r>
              <w:rPr>
                <w:color w:val="231F20"/>
                <w:w w:val="105"/>
                <w:sz w:val="13"/>
              </w:rPr>
              <w:t>comercio</w:t>
            </w:r>
            <w:r>
              <w:rPr>
                <w:color w:val="231F20"/>
                <w:spacing w:val="-4"/>
                <w:w w:val="105"/>
                <w:sz w:val="13"/>
              </w:rPr>
              <w:t> </w:t>
            </w:r>
            <w:r>
              <w:rPr>
                <w:color w:val="231F20"/>
                <w:w w:val="105"/>
                <w:sz w:val="13"/>
              </w:rPr>
              <w:t>y</w:t>
            </w:r>
            <w:r>
              <w:rPr>
                <w:color w:val="231F20"/>
                <w:spacing w:val="-4"/>
                <w:w w:val="105"/>
                <w:sz w:val="13"/>
              </w:rPr>
              <w:t> </w:t>
            </w:r>
            <w:r>
              <w:rPr>
                <w:color w:val="231F20"/>
                <w:w w:val="105"/>
                <w:sz w:val="13"/>
              </w:rPr>
              <w:t>condicio- nes</w:t>
            </w:r>
            <w:r>
              <w:rPr>
                <w:color w:val="231F20"/>
                <w:spacing w:val="-12"/>
                <w:w w:val="105"/>
                <w:sz w:val="13"/>
              </w:rPr>
              <w:t> </w:t>
            </w:r>
            <w:r>
              <w:rPr>
                <w:color w:val="231F20"/>
                <w:w w:val="105"/>
                <w:sz w:val="13"/>
              </w:rPr>
              <w:t>equitativas</w:t>
            </w:r>
            <w:r>
              <w:rPr>
                <w:color w:val="231F20"/>
                <w:spacing w:val="-12"/>
                <w:w w:val="105"/>
                <w:sz w:val="13"/>
              </w:rPr>
              <w:t> </w:t>
            </w:r>
            <w:r>
              <w:rPr>
                <w:color w:val="231F20"/>
                <w:w w:val="105"/>
                <w:sz w:val="13"/>
              </w:rPr>
              <w:t>de</w:t>
            </w:r>
            <w:r>
              <w:rPr>
                <w:color w:val="231F20"/>
                <w:spacing w:val="-12"/>
                <w:w w:val="105"/>
                <w:sz w:val="13"/>
              </w:rPr>
              <w:t> </w:t>
            </w:r>
            <w:r>
              <w:rPr>
                <w:color w:val="231F20"/>
                <w:w w:val="105"/>
                <w:sz w:val="13"/>
              </w:rPr>
              <w:t>mercado,</w:t>
            </w:r>
            <w:r>
              <w:rPr>
                <w:color w:val="231F20"/>
                <w:spacing w:val="-15"/>
                <w:w w:val="105"/>
                <w:sz w:val="13"/>
              </w:rPr>
              <w:t> </w:t>
            </w:r>
            <w:r>
              <w:rPr>
                <w:color w:val="231F20"/>
                <w:w w:val="105"/>
                <w:sz w:val="13"/>
              </w:rPr>
              <w:t>produce</w:t>
            </w:r>
            <w:r>
              <w:rPr>
                <w:color w:val="231F20"/>
                <w:spacing w:val="-12"/>
                <w:w w:val="105"/>
                <w:sz w:val="13"/>
              </w:rPr>
              <w:t> </w:t>
            </w:r>
            <w:r>
              <w:rPr>
                <w:color w:val="231F20"/>
                <w:w w:val="105"/>
                <w:sz w:val="13"/>
              </w:rPr>
              <w:t>bienes</w:t>
            </w:r>
            <w:r>
              <w:rPr>
                <w:color w:val="231F20"/>
                <w:spacing w:val="-12"/>
                <w:w w:val="105"/>
                <w:sz w:val="13"/>
              </w:rPr>
              <w:t> </w:t>
            </w:r>
            <w:r>
              <w:rPr>
                <w:color w:val="231F20"/>
                <w:w w:val="105"/>
                <w:sz w:val="13"/>
              </w:rPr>
              <w:t>y</w:t>
            </w:r>
            <w:r>
              <w:rPr>
                <w:color w:val="231F20"/>
                <w:spacing w:val="-12"/>
                <w:w w:val="105"/>
                <w:sz w:val="13"/>
              </w:rPr>
              <w:t> </w:t>
            </w:r>
            <w:r>
              <w:rPr>
                <w:color w:val="231F20"/>
                <w:w w:val="105"/>
                <w:sz w:val="13"/>
              </w:rPr>
              <w:t>servicios</w:t>
            </w:r>
            <w:r>
              <w:rPr>
                <w:color w:val="231F20"/>
                <w:spacing w:val="-12"/>
                <w:w w:val="105"/>
                <w:sz w:val="13"/>
              </w:rPr>
              <w:t> </w:t>
            </w:r>
            <w:r>
              <w:rPr>
                <w:color w:val="231F20"/>
                <w:w w:val="105"/>
                <w:sz w:val="13"/>
              </w:rPr>
              <w:t>que</w:t>
            </w:r>
            <w:r>
              <w:rPr>
                <w:color w:val="231F20"/>
                <w:spacing w:val="-12"/>
                <w:w w:val="105"/>
                <w:sz w:val="13"/>
              </w:rPr>
              <w:t> </w:t>
            </w:r>
            <w:r>
              <w:rPr>
                <w:color w:val="231F20"/>
                <w:w w:val="105"/>
                <w:sz w:val="13"/>
              </w:rPr>
              <w:t>superan</w:t>
            </w:r>
            <w:r>
              <w:rPr>
                <w:color w:val="231F20"/>
                <w:spacing w:val="-12"/>
                <w:w w:val="105"/>
                <w:sz w:val="13"/>
              </w:rPr>
              <w:t> </w:t>
            </w:r>
            <w:r>
              <w:rPr>
                <w:color w:val="231F20"/>
                <w:w w:val="105"/>
                <w:sz w:val="13"/>
              </w:rPr>
              <w:t>los</w:t>
            </w:r>
            <w:r>
              <w:rPr>
                <w:color w:val="231F20"/>
                <w:spacing w:val="-12"/>
                <w:w w:val="105"/>
                <w:sz w:val="13"/>
              </w:rPr>
              <w:t> </w:t>
            </w:r>
            <w:r>
              <w:rPr>
                <w:color w:val="231F20"/>
                <w:w w:val="105"/>
                <w:sz w:val="13"/>
              </w:rPr>
              <w:t>mercados internacionales,</w:t>
            </w:r>
            <w:r>
              <w:rPr>
                <w:color w:val="231F20"/>
                <w:spacing w:val="-11"/>
                <w:w w:val="105"/>
                <w:sz w:val="13"/>
              </w:rPr>
              <w:t> </w:t>
            </w:r>
            <w:r>
              <w:rPr>
                <w:color w:val="231F20"/>
                <w:w w:val="105"/>
                <w:sz w:val="13"/>
              </w:rPr>
              <w:t>al</w:t>
            </w:r>
            <w:r>
              <w:rPr>
                <w:color w:val="231F20"/>
                <w:spacing w:val="-8"/>
                <w:w w:val="105"/>
                <w:sz w:val="13"/>
              </w:rPr>
              <w:t> </w:t>
            </w:r>
            <w:r>
              <w:rPr>
                <w:color w:val="231F20"/>
                <w:w w:val="105"/>
                <w:sz w:val="13"/>
              </w:rPr>
              <w:t>tiempo</w:t>
            </w:r>
            <w:r>
              <w:rPr>
                <w:color w:val="231F20"/>
                <w:spacing w:val="-8"/>
                <w:w w:val="105"/>
                <w:sz w:val="13"/>
              </w:rPr>
              <w:t> </w:t>
            </w:r>
            <w:r>
              <w:rPr>
                <w:color w:val="231F20"/>
                <w:w w:val="105"/>
                <w:sz w:val="13"/>
              </w:rPr>
              <w:t>que</w:t>
            </w:r>
            <w:r>
              <w:rPr>
                <w:color w:val="231F20"/>
                <w:spacing w:val="-8"/>
                <w:w w:val="105"/>
                <w:sz w:val="13"/>
              </w:rPr>
              <w:t> </w:t>
            </w:r>
            <w:r>
              <w:rPr>
                <w:color w:val="231F20"/>
                <w:w w:val="105"/>
                <w:sz w:val="13"/>
              </w:rPr>
              <w:t>mantiene</w:t>
            </w:r>
            <w:r>
              <w:rPr>
                <w:color w:val="231F20"/>
                <w:spacing w:val="-8"/>
                <w:w w:val="105"/>
                <w:sz w:val="13"/>
              </w:rPr>
              <w:t> </w:t>
            </w:r>
            <w:r>
              <w:rPr>
                <w:color w:val="231F20"/>
                <w:w w:val="105"/>
                <w:sz w:val="13"/>
              </w:rPr>
              <w:t>e</w:t>
            </w:r>
            <w:r>
              <w:rPr>
                <w:color w:val="231F20"/>
                <w:spacing w:val="-8"/>
                <w:w w:val="105"/>
                <w:sz w:val="13"/>
              </w:rPr>
              <w:t> </w:t>
            </w:r>
            <w:r>
              <w:rPr>
                <w:color w:val="231F20"/>
                <w:w w:val="105"/>
                <w:sz w:val="13"/>
              </w:rPr>
              <w:t>incrementa</w:t>
            </w:r>
            <w:r>
              <w:rPr>
                <w:color w:val="231F20"/>
                <w:spacing w:val="-8"/>
                <w:w w:val="105"/>
                <w:sz w:val="13"/>
              </w:rPr>
              <w:t> </w:t>
            </w:r>
            <w:r>
              <w:rPr>
                <w:color w:val="231F20"/>
                <w:w w:val="105"/>
                <w:sz w:val="13"/>
              </w:rPr>
              <w:t>el</w:t>
            </w:r>
            <w:r>
              <w:rPr>
                <w:color w:val="231F20"/>
                <w:spacing w:val="-8"/>
                <w:w w:val="105"/>
                <w:sz w:val="13"/>
              </w:rPr>
              <w:t> </w:t>
            </w:r>
            <w:r>
              <w:rPr>
                <w:color w:val="231F20"/>
                <w:w w:val="105"/>
                <w:sz w:val="13"/>
              </w:rPr>
              <w:t>ingreso</w:t>
            </w:r>
            <w:r>
              <w:rPr>
                <w:color w:val="231F20"/>
                <w:spacing w:val="-8"/>
                <w:w w:val="105"/>
                <w:sz w:val="13"/>
              </w:rPr>
              <w:t> </w:t>
            </w:r>
            <w:r>
              <w:rPr>
                <w:color w:val="231F20"/>
                <w:w w:val="105"/>
                <w:sz w:val="13"/>
              </w:rPr>
              <w:t>real</w:t>
            </w:r>
            <w:r>
              <w:rPr>
                <w:color w:val="231F20"/>
                <w:spacing w:val="-8"/>
                <w:w w:val="105"/>
                <w:sz w:val="13"/>
              </w:rPr>
              <w:t> </w:t>
            </w:r>
            <w:r>
              <w:rPr>
                <w:color w:val="231F20"/>
                <w:w w:val="105"/>
                <w:sz w:val="13"/>
              </w:rPr>
              <w:t>de</w:t>
            </w:r>
            <w:r>
              <w:rPr>
                <w:color w:val="231F20"/>
                <w:spacing w:val="-8"/>
                <w:w w:val="105"/>
                <w:sz w:val="13"/>
              </w:rPr>
              <w:t> </w:t>
            </w:r>
            <w:r>
              <w:rPr>
                <w:color w:val="231F20"/>
                <w:w w:val="105"/>
                <w:sz w:val="13"/>
              </w:rPr>
              <w:t>su</w:t>
            </w:r>
            <w:r>
              <w:rPr>
                <w:color w:val="231F20"/>
                <w:spacing w:val="-8"/>
                <w:w w:val="105"/>
                <w:sz w:val="13"/>
              </w:rPr>
              <w:t> </w:t>
            </w:r>
            <w:r>
              <w:rPr>
                <w:color w:val="231F20"/>
                <w:w w:val="105"/>
                <w:sz w:val="13"/>
              </w:rPr>
              <w:t>pueblo a</w:t>
            </w:r>
            <w:r>
              <w:rPr>
                <w:color w:val="231F20"/>
                <w:spacing w:val="-18"/>
                <w:w w:val="105"/>
                <w:sz w:val="13"/>
              </w:rPr>
              <w:t> </w:t>
            </w:r>
            <w:r>
              <w:rPr>
                <w:color w:val="231F20"/>
                <w:w w:val="105"/>
                <w:sz w:val="13"/>
              </w:rPr>
              <w:t>largo</w:t>
            </w:r>
            <w:r>
              <w:rPr>
                <w:color w:val="231F20"/>
                <w:spacing w:val="-18"/>
                <w:w w:val="105"/>
                <w:sz w:val="13"/>
              </w:rPr>
              <w:t> </w:t>
            </w:r>
            <w:r>
              <w:rPr>
                <w:color w:val="231F20"/>
                <w:w w:val="105"/>
                <w:sz w:val="13"/>
              </w:rPr>
              <w:t>plazo.</w:t>
            </w:r>
          </w:p>
        </w:tc>
      </w:tr>
      <w:tr>
        <w:trPr>
          <w:trHeight w:val="446" w:hRule="exact"/>
        </w:trPr>
        <w:tc>
          <w:tcPr>
            <w:tcW w:w="1868" w:type="dxa"/>
          </w:tcPr>
          <w:p>
            <w:pPr>
              <w:pStyle w:val="TableParagraph"/>
              <w:spacing w:before="86"/>
              <w:ind w:left="77"/>
              <w:rPr>
                <w:sz w:val="13"/>
              </w:rPr>
            </w:pPr>
            <w:r>
              <w:rPr>
                <w:color w:val="231F20"/>
                <w:sz w:val="13"/>
              </w:rPr>
              <w:t>Bejarano, 1998</w:t>
            </w:r>
          </w:p>
        </w:tc>
        <w:tc>
          <w:tcPr>
            <w:tcW w:w="5043" w:type="dxa"/>
          </w:tcPr>
          <w:p>
            <w:pPr>
              <w:pStyle w:val="TableParagraph"/>
              <w:spacing w:line="249" w:lineRule="auto" w:before="86"/>
              <w:ind w:left="77" w:right="72"/>
              <w:rPr>
                <w:sz w:val="13"/>
              </w:rPr>
            </w:pPr>
            <w:r>
              <w:rPr>
                <w:color w:val="231F20"/>
                <w:w w:val="105"/>
                <w:sz w:val="13"/>
              </w:rPr>
              <w:t>Se</w:t>
            </w:r>
            <w:r>
              <w:rPr>
                <w:color w:val="231F20"/>
                <w:spacing w:val="-29"/>
                <w:w w:val="105"/>
                <w:sz w:val="13"/>
              </w:rPr>
              <w:t> </w:t>
            </w:r>
            <w:r>
              <w:rPr>
                <w:color w:val="231F20"/>
                <w:w w:val="105"/>
                <w:sz w:val="13"/>
              </w:rPr>
              <w:t>refiere</w:t>
            </w:r>
            <w:r>
              <w:rPr>
                <w:color w:val="231F20"/>
                <w:spacing w:val="-29"/>
                <w:w w:val="105"/>
                <w:sz w:val="13"/>
              </w:rPr>
              <w:t> </w:t>
            </w:r>
            <w:r>
              <w:rPr>
                <w:color w:val="231F20"/>
                <w:w w:val="105"/>
                <w:sz w:val="13"/>
              </w:rPr>
              <w:t>a</w:t>
            </w:r>
            <w:r>
              <w:rPr>
                <w:color w:val="231F20"/>
                <w:spacing w:val="-29"/>
                <w:w w:val="105"/>
                <w:sz w:val="13"/>
              </w:rPr>
              <w:t> </w:t>
            </w:r>
            <w:r>
              <w:rPr>
                <w:color w:val="231F20"/>
                <w:w w:val="105"/>
                <w:sz w:val="13"/>
              </w:rPr>
              <w:t>la</w:t>
            </w:r>
            <w:r>
              <w:rPr>
                <w:color w:val="231F20"/>
                <w:spacing w:val="-29"/>
                <w:w w:val="105"/>
                <w:sz w:val="13"/>
              </w:rPr>
              <w:t> </w:t>
            </w:r>
            <w:r>
              <w:rPr>
                <w:color w:val="231F20"/>
                <w:spacing w:val="-2"/>
                <w:w w:val="105"/>
                <w:sz w:val="13"/>
              </w:rPr>
              <w:t>inserción</w:t>
            </w:r>
            <w:r>
              <w:rPr>
                <w:color w:val="231F20"/>
                <w:spacing w:val="-29"/>
                <w:w w:val="105"/>
                <w:sz w:val="13"/>
              </w:rPr>
              <w:t> </w:t>
            </w:r>
            <w:r>
              <w:rPr>
                <w:color w:val="231F20"/>
                <w:w w:val="105"/>
                <w:sz w:val="13"/>
              </w:rPr>
              <w:t>a</w:t>
            </w:r>
            <w:r>
              <w:rPr>
                <w:color w:val="231F20"/>
                <w:spacing w:val="-29"/>
                <w:w w:val="105"/>
                <w:sz w:val="13"/>
              </w:rPr>
              <w:t> </w:t>
            </w:r>
            <w:r>
              <w:rPr>
                <w:color w:val="231F20"/>
                <w:w w:val="105"/>
                <w:sz w:val="13"/>
              </w:rPr>
              <w:t>la</w:t>
            </w:r>
            <w:r>
              <w:rPr>
                <w:color w:val="231F20"/>
                <w:spacing w:val="-29"/>
                <w:w w:val="105"/>
                <w:sz w:val="13"/>
              </w:rPr>
              <w:t> </w:t>
            </w:r>
            <w:r>
              <w:rPr>
                <w:color w:val="231F20"/>
                <w:w w:val="105"/>
                <w:sz w:val="13"/>
              </w:rPr>
              <w:t>economía</w:t>
            </w:r>
            <w:r>
              <w:rPr>
                <w:color w:val="231F20"/>
                <w:spacing w:val="-29"/>
                <w:w w:val="105"/>
                <w:sz w:val="13"/>
              </w:rPr>
              <w:t> </w:t>
            </w:r>
            <w:r>
              <w:rPr>
                <w:color w:val="231F20"/>
                <w:w w:val="105"/>
                <w:sz w:val="13"/>
              </w:rPr>
              <w:t>internacional,</w:t>
            </w:r>
            <w:r>
              <w:rPr>
                <w:color w:val="231F20"/>
                <w:spacing w:val="-31"/>
                <w:w w:val="105"/>
                <w:sz w:val="13"/>
              </w:rPr>
              <w:t> </w:t>
            </w:r>
            <w:r>
              <w:rPr>
                <w:color w:val="231F20"/>
                <w:w w:val="105"/>
                <w:sz w:val="13"/>
              </w:rPr>
              <w:t>al</w:t>
            </w:r>
            <w:r>
              <w:rPr>
                <w:color w:val="231F20"/>
                <w:spacing w:val="-29"/>
                <w:w w:val="105"/>
                <w:sz w:val="13"/>
              </w:rPr>
              <w:t> </w:t>
            </w:r>
            <w:r>
              <w:rPr>
                <w:color w:val="231F20"/>
                <w:w w:val="105"/>
                <w:sz w:val="13"/>
              </w:rPr>
              <w:t>acceso</w:t>
            </w:r>
            <w:r>
              <w:rPr>
                <w:color w:val="231F20"/>
                <w:spacing w:val="-29"/>
                <w:w w:val="105"/>
                <w:sz w:val="13"/>
              </w:rPr>
              <w:t> </w:t>
            </w:r>
            <w:r>
              <w:rPr>
                <w:color w:val="231F20"/>
                <w:w w:val="105"/>
                <w:sz w:val="13"/>
              </w:rPr>
              <w:t>a</w:t>
            </w:r>
            <w:r>
              <w:rPr>
                <w:color w:val="231F20"/>
                <w:spacing w:val="-29"/>
                <w:w w:val="105"/>
                <w:sz w:val="13"/>
              </w:rPr>
              <w:t> </w:t>
            </w:r>
            <w:r>
              <w:rPr>
                <w:color w:val="231F20"/>
                <w:w w:val="105"/>
                <w:sz w:val="13"/>
              </w:rPr>
              <w:t>los</w:t>
            </w:r>
            <w:r>
              <w:rPr>
                <w:color w:val="231F20"/>
                <w:spacing w:val="-29"/>
                <w:w w:val="105"/>
                <w:sz w:val="13"/>
              </w:rPr>
              <w:t> </w:t>
            </w:r>
            <w:r>
              <w:rPr>
                <w:color w:val="231F20"/>
                <w:w w:val="105"/>
                <w:sz w:val="13"/>
              </w:rPr>
              <w:t>mercados</w:t>
            </w:r>
            <w:r>
              <w:rPr>
                <w:color w:val="231F20"/>
                <w:spacing w:val="-29"/>
                <w:w w:val="105"/>
                <w:sz w:val="13"/>
              </w:rPr>
              <w:t> </w:t>
            </w:r>
            <w:r>
              <w:rPr>
                <w:color w:val="231F20"/>
                <w:spacing w:val="-3"/>
                <w:w w:val="105"/>
                <w:sz w:val="13"/>
              </w:rPr>
              <w:t>externos </w:t>
            </w:r>
            <w:r>
              <w:rPr>
                <w:color w:val="231F20"/>
                <w:w w:val="105"/>
                <w:sz w:val="13"/>
              </w:rPr>
              <w:t>y</w:t>
            </w:r>
            <w:r>
              <w:rPr>
                <w:color w:val="231F20"/>
                <w:spacing w:val="-15"/>
                <w:w w:val="105"/>
                <w:sz w:val="13"/>
              </w:rPr>
              <w:t> </w:t>
            </w:r>
            <w:r>
              <w:rPr>
                <w:color w:val="231F20"/>
                <w:w w:val="105"/>
                <w:sz w:val="13"/>
              </w:rPr>
              <w:t>a</w:t>
            </w:r>
            <w:r>
              <w:rPr>
                <w:color w:val="231F20"/>
                <w:spacing w:val="-15"/>
                <w:w w:val="105"/>
                <w:sz w:val="13"/>
              </w:rPr>
              <w:t> </w:t>
            </w:r>
            <w:r>
              <w:rPr>
                <w:color w:val="231F20"/>
                <w:w w:val="105"/>
                <w:sz w:val="13"/>
              </w:rPr>
              <w:t>la</w:t>
            </w:r>
            <w:r>
              <w:rPr>
                <w:color w:val="231F20"/>
                <w:spacing w:val="-15"/>
                <w:w w:val="105"/>
                <w:sz w:val="13"/>
              </w:rPr>
              <w:t> </w:t>
            </w:r>
            <w:r>
              <w:rPr>
                <w:color w:val="231F20"/>
                <w:w w:val="105"/>
                <w:sz w:val="13"/>
              </w:rPr>
              <w:t>mejor</w:t>
            </w:r>
            <w:r>
              <w:rPr>
                <w:color w:val="231F20"/>
                <w:spacing w:val="-15"/>
                <w:w w:val="105"/>
                <w:sz w:val="13"/>
              </w:rPr>
              <w:t> </w:t>
            </w:r>
            <w:r>
              <w:rPr>
                <w:color w:val="231F20"/>
                <w:w w:val="105"/>
                <w:sz w:val="13"/>
              </w:rPr>
              <w:t>manera</w:t>
            </w:r>
            <w:r>
              <w:rPr>
                <w:color w:val="231F20"/>
                <w:spacing w:val="-15"/>
                <w:w w:val="105"/>
                <w:sz w:val="13"/>
              </w:rPr>
              <w:t> </w:t>
            </w:r>
            <w:r>
              <w:rPr>
                <w:color w:val="231F20"/>
                <w:w w:val="105"/>
                <w:sz w:val="13"/>
              </w:rPr>
              <w:t>de</w:t>
            </w:r>
            <w:r>
              <w:rPr>
                <w:color w:val="231F20"/>
                <w:spacing w:val="-15"/>
                <w:w w:val="105"/>
                <w:sz w:val="13"/>
              </w:rPr>
              <w:t> </w:t>
            </w:r>
            <w:r>
              <w:rPr>
                <w:color w:val="231F20"/>
                <w:w w:val="105"/>
                <w:sz w:val="13"/>
              </w:rPr>
              <w:t>preservar</w:t>
            </w:r>
            <w:r>
              <w:rPr>
                <w:color w:val="231F20"/>
                <w:spacing w:val="-15"/>
                <w:w w:val="105"/>
                <w:sz w:val="13"/>
              </w:rPr>
              <w:t> </w:t>
            </w:r>
            <w:r>
              <w:rPr>
                <w:color w:val="231F20"/>
                <w:w w:val="105"/>
                <w:sz w:val="13"/>
              </w:rPr>
              <w:t>el</w:t>
            </w:r>
            <w:r>
              <w:rPr>
                <w:color w:val="231F20"/>
                <w:spacing w:val="-15"/>
                <w:w w:val="105"/>
                <w:sz w:val="13"/>
              </w:rPr>
              <w:t> </w:t>
            </w:r>
            <w:r>
              <w:rPr>
                <w:color w:val="231F20"/>
                <w:w w:val="105"/>
                <w:sz w:val="13"/>
              </w:rPr>
              <w:t>mercado</w:t>
            </w:r>
            <w:r>
              <w:rPr>
                <w:color w:val="231F20"/>
                <w:spacing w:val="-15"/>
                <w:w w:val="105"/>
                <w:sz w:val="13"/>
              </w:rPr>
              <w:t> </w:t>
            </w:r>
            <w:r>
              <w:rPr>
                <w:color w:val="231F20"/>
                <w:w w:val="105"/>
                <w:sz w:val="13"/>
              </w:rPr>
              <w:t>doméstico.</w:t>
            </w:r>
          </w:p>
        </w:tc>
      </w:tr>
      <w:tr>
        <w:trPr>
          <w:trHeight w:val="446" w:hRule="exact"/>
        </w:trPr>
        <w:tc>
          <w:tcPr>
            <w:tcW w:w="1868" w:type="dxa"/>
          </w:tcPr>
          <w:p>
            <w:pPr>
              <w:pStyle w:val="TableParagraph"/>
              <w:spacing w:before="86"/>
              <w:ind w:left="77"/>
              <w:rPr>
                <w:sz w:val="13"/>
              </w:rPr>
            </w:pPr>
            <w:r>
              <w:rPr>
                <w:color w:val="231F20"/>
                <w:w w:val="105"/>
                <w:sz w:val="13"/>
              </w:rPr>
              <w:t>Porter, 2002</w:t>
            </w:r>
          </w:p>
        </w:tc>
        <w:tc>
          <w:tcPr>
            <w:tcW w:w="5043" w:type="dxa"/>
          </w:tcPr>
          <w:p>
            <w:pPr>
              <w:pStyle w:val="TableParagraph"/>
              <w:spacing w:line="249" w:lineRule="auto" w:before="86"/>
              <w:ind w:left="77" w:right="72"/>
              <w:rPr>
                <w:sz w:val="13"/>
              </w:rPr>
            </w:pPr>
            <w:r>
              <w:rPr>
                <w:color w:val="231F20"/>
                <w:w w:val="105"/>
                <w:sz w:val="13"/>
              </w:rPr>
              <w:t>La productividad nacional es el único concepto válido de competitividad a nivel nacional.</w:t>
            </w:r>
          </w:p>
        </w:tc>
      </w:tr>
      <w:tr>
        <w:trPr>
          <w:trHeight w:val="602" w:hRule="exact"/>
        </w:trPr>
        <w:tc>
          <w:tcPr>
            <w:tcW w:w="1868" w:type="dxa"/>
          </w:tcPr>
          <w:p>
            <w:pPr>
              <w:pStyle w:val="TableParagraph"/>
              <w:spacing w:line="249" w:lineRule="auto" w:before="86"/>
              <w:ind w:left="77"/>
              <w:rPr>
                <w:sz w:val="13"/>
              </w:rPr>
            </w:pPr>
            <w:r>
              <w:rPr>
                <w:color w:val="231F20"/>
                <w:w w:val="105"/>
                <w:sz w:val="13"/>
              </w:rPr>
              <w:t>Anuario de Competitividad Mundial, 2003</w:t>
            </w:r>
          </w:p>
        </w:tc>
        <w:tc>
          <w:tcPr>
            <w:tcW w:w="5043" w:type="dxa"/>
          </w:tcPr>
          <w:p>
            <w:pPr>
              <w:pStyle w:val="TableParagraph"/>
              <w:spacing w:line="249" w:lineRule="auto" w:before="86"/>
              <w:ind w:left="77" w:right="79"/>
              <w:jc w:val="both"/>
              <w:rPr>
                <w:sz w:val="13"/>
              </w:rPr>
            </w:pPr>
            <w:r>
              <w:rPr>
                <w:color w:val="231F20"/>
                <w:spacing w:val="-3"/>
                <w:w w:val="105"/>
                <w:sz w:val="13"/>
              </w:rPr>
              <w:t>Campo</w:t>
            </w:r>
            <w:r>
              <w:rPr>
                <w:color w:val="231F20"/>
                <w:spacing w:val="-22"/>
                <w:w w:val="105"/>
                <w:sz w:val="13"/>
              </w:rPr>
              <w:t> </w:t>
            </w:r>
            <w:r>
              <w:rPr>
                <w:color w:val="231F20"/>
                <w:w w:val="105"/>
                <w:sz w:val="13"/>
              </w:rPr>
              <w:t>de</w:t>
            </w:r>
            <w:r>
              <w:rPr>
                <w:color w:val="231F20"/>
                <w:spacing w:val="-22"/>
                <w:w w:val="105"/>
                <w:sz w:val="13"/>
              </w:rPr>
              <w:t> </w:t>
            </w:r>
            <w:r>
              <w:rPr>
                <w:color w:val="231F20"/>
                <w:w w:val="105"/>
                <w:sz w:val="13"/>
              </w:rPr>
              <w:t>la</w:t>
            </w:r>
            <w:r>
              <w:rPr>
                <w:color w:val="231F20"/>
                <w:spacing w:val="-22"/>
                <w:w w:val="105"/>
                <w:sz w:val="13"/>
              </w:rPr>
              <w:t> </w:t>
            </w:r>
            <w:r>
              <w:rPr>
                <w:color w:val="231F20"/>
                <w:spacing w:val="-3"/>
                <w:w w:val="105"/>
                <w:sz w:val="13"/>
              </w:rPr>
              <w:t>economía</w:t>
            </w:r>
            <w:r>
              <w:rPr>
                <w:color w:val="231F20"/>
                <w:spacing w:val="-22"/>
                <w:w w:val="105"/>
                <w:sz w:val="13"/>
              </w:rPr>
              <w:t> </w:t>
            </w:r>
            <w:r>
              <w:rPr>
                <w:color w:val="231F20"/>
                <w:w w:val="105"/>
                <w:sz w:val="13"/>
              </w:rPr>
              <w:t>que</w:t>
            </w:r>
            <w:r>
              <w:rPr>
                <w:color w:val="231F20"/>
                <w:spacing w:val="-22"/>
                <w:w w:val="105"/>
                <w:sz w:val="13"/>
              </w:rPr>
              <w:t> </w:t>
            </w:r>
            <w:r>
              <w:rPr>
                <w:color w:val="231F20"/>
                <w:spacing w:val="-3"/>
                <w:w w:val="105"/>
                <w:sz w:val="13"/>
              </w:rPr>
              <w:t>analiza</w:t>
            </w:r>
            <w:r>
              <w:rPr>
                <w:color w:val="231F20"/>
                <w:spacing w:val="-22"/>
                <w:w w:val="105"/>
                <w:sz w:val="13"/>
              </w:rPr>
              <w:t> </w:t>
            </w:r>
            <w:r>
              <w:rPr>
                <w:color w:val="231F20"/>
                <w:w w:val="105"/>
                <w:sz w:val="13"/>
              </w:rPr>
              <w:t>los</w:t>
            </w:r>
            <w:r>
              <w:rPr>
                <w:color w:val="231F20"/>
                <w:spacing w:val="-22"/>
                <w:w w:val="105"/>
                <w:sz w:val="13"/>
              </w:rPr>
              <w:t> </w:t>
            </w:r>
            <w:r>
              <w:rPr>
                <w:color w:val="231F20"/>
                <w:spacing w:val="-3"/>
                <w:w w:val="105"/>
                <w:sz w:val="13"/>
              </w:rPr>
              <w:t>hechos</w:t>
            </w:r>
            <w:r>
              <w:rPr>
                <w:color w:val="231F20"/>
                <w:spacing w:val="-22"/>
                <w:w w:val="105"/>
                <w:sz w:val="13"/>
              </w:rPr>
              <w:t> </w:t>
            </w:r>
            <w:r>
              <w:rPr>
                <w:color w:val="231F20"/>
                <w:w w:val="105"/>
                <w:sz w:val="13"/>
              </w:rPr>
              <w:t>y</w:t>
            </w:r>
            <w:r>
              <w:rPr>
                <w:color w:val="231F20"/>
                <w:spacing w:val="-22"/>
                <w:w w:val="105"/>
                <w:sz w:val="13"/>
              </w:rPr>
              <w:t> </w:t>
            </w:r>
            <w:r>
              <w:rPr>
                <w:color w:val="231F20"/>
                <w:spacing w:val="-3"/>
                <w:w w:val="105"/>
                <w:sz w:val="13"/>
              </w:rPr>
              <w:t>políticas</w:t>
            </w:r>
            <w:r>
              <w:rPr>
                <w:color w:val="231F20"/>
                <w:spacing w:val="-22"/>
                <w:w w:val="105"/>
                <w:sz w:val="13"/>
              </w:rPr>
              <w:t> </w:t>
            </w:r>
            <w:r>
              <w:rPr>
                <w:color w:val="231F20"/>
                <w:w w:val="105"/>
                <w:sz w:val="13"/>
              </w:rPr>
              <w:t>que</w:t>
            </w:r>
            <w:r>
              <w:rPr>
                <w:color w:val="231F20"/>
                <w:spacing w:val="-22"/>
                <w:w w:val="105"/>
                <w:sz w:val="13"/>
              </w:rPr>
              <w:t> </w:t>
            </w:r>
            <w:r>
              <w:rPr>
                <w:color w:val="231F20"/>
                <w:spacing w:val="-3"/>
                <w:w w:val="105"/>
                <w:sz w:val="13"/>
              </w:rPr>
              <w:t>determinan</w:t>
            </w:r>
            <w:r>
              <w:rPr>
                <w:color w:val="231F20"/>
                <w:spacing w:val="-22"/>
                <w:w w:val="105"/>
                <w:sz w:val="13"/>
              </w:rPr>
              <w:t> </w:t>
            </w:r>
            <w:r>
              <w:rPr>
                <w:color w:val="231F20"/>
                <w:w w:val="105"/>
                <w:sz w:val="13"/>
              </w:rPr>
              <w:t>la</w:t>
            </w:r>
            <w:r>
              <w:rPr>
                <w:color w:val="231F20"/>
                <w:spacing w:val="-22"/>
                <w:w w:val="105"/>
                <w:sz w:val="13"/>
              </w:rPr>
              <w:t> </w:t>
            </w:r>
            <w:r>
              <w:rPr>
                <w:color w:val="231F20"/>
                <w:spacing w:val="-3"/>
                <w:w w:val="105"/>
                <w:sz w:val="13"/>
              </w:rPr>
              <w:t>capacidad </w:t>
            </w:r>
            <w:r>
              <w:rPr>
                <w:color w:val="231F20"/>
                <w:w w:val="105"/>
                <w:sz w:val="13"/>
              </w:rPr>
              <w:t>de</w:t>
            </w:r>
            <w:r>
              <w:rPr>
                <w:color w:val="231F20"/>
                <w:spacing w:val="-26"/>
                <w:w w:val="105"/>
                <w:sz w:val="13"/>
              </w:rPr>
              <w:t> </w:t>
            </w:r>
            <w:r>
              <w:rPr>
                <w:color w:val="231F20"/>
                <w:w w:val="105"/>
                <w:sz w:val="13"/>
              </w:rPr>
              <w:t>una</w:t>
            </w:r>
            <w:r>
              <w:rPr>
                <w:color w:val="231F20"/>
                <w:spacing w:val="-26"/>
                <w:w w:val="105"/>
                <w:sz w:val="13"/>
              </w:rPr>
              <w:t> </w:t>
            </w:r>
            <w:r>
              <w:rPr>
                <w:color w:val="231F20"/>
                <w:w w:val="105"/>
                <w:sz w:val="13"/>
              </w:rPr>
              <w:t>nación,</w:t>
            </w:r>
            <w:r>
              <w:rPr>
                <w:color w:val="231F20"/>
                <w:spacing w:val="-28"/>
                <w:w w:val="105"/>
                <w:sz w:val="13"/>
              </w:rPr>
              <w:t> </w:t>
            </w:r>
            <w:r>
              <w:rPr>
                <w:color w:val="231F20"/>
                <w:w w:val="105"/>
                <w:sz w:val="13"/>
              </w:rPr>
              <w:t>para</w:t>
            </w:r>
            <w:r>
              <w:rPr>
                <w:color w:val="231F20"/>
                <w:spacing w:val="-26"/>
                <w:w w:val="105"/>
                <w:sz w:val="13"/>
              </w:rPr>
              <w:t> </w:t>
            </w:r>
            <w:r>
              <w:rPr>
                <w:color w:val="231F20"/>
                <w:spacing w:val="-3"/>
                <w:w w:val="105"/>
                <w:sz w:val="13"/>
              </w:rPr>
              <w:t>crear</w:t>
            </w:r>
            <w:r>
              <w:rPr>
                <w:color w:val="231F20"/>
                <w:spacing w:val="-26"/>
                <w:w w:val="105"/>
                <w:sz w:val="13"/>
              </w:rPr>
              <w:t> </w:t>
            </w:r>
            <w:r>
              <w:rPr>
                <w:color w:val="231F20"/>
                <w:w w:val="105"/>
                <w:sz w:val="13"/>
              </w:rPr>
              <w:t>y</w:t>
            </w:r>
            <w:r>
              <w:rPr>
                <w:color w:val="231F20"/>
                <w:spacing w:val="-26"/>
                <w:w w:val="105"/>
                <w:sz w:val="13"/>
              </w:rPr>
              <w:t> </w:t>
            </w:r>
            <w:r>
              <w:rPr>
                <w:color w:val="231F20"/>
                <w:w w:val="105"/>
                <w:sz w:val="13"/>
              </w:rPr>
              <w:t>mantener</w:t>
            </w:r>
            <w:r>
              <w:rPr>
                <w:color w:val="231F20"/>
                <w:spacing w:val="-26"/>
                <w:w w:val="105"/>
                <w:sz w:val="13"/>
              </w:rPr>
              <w:t> </w:t>
            </w:r>
            <w:r>
              <w:rPr>
                <w:color w:val="231F20"/>
                <w:w w:val="105"/>
                <w:sz w:val="13"/>
              </w:rPr>
              <w:t>un</w:t>
            </w:r>
            <w:r>
              <w:rPr>
                <w:color w:val="231F20"/>
                <w:spacing w:val="-26"/>
                <w:w w:val="105"/>
                <w:sz w:val="13"/>
              </w:rPr>
              <w:t> </w:t>
            </w:r>
            <w:r>
              <w:rPr>
                <w:color w:val="231F20"/>
                <w:w w:val="105"/>
                <w:sz w:val="13"/>
              </w:rPr>
              <w:t>entorno</w:t>
            </w:r>
            <w:r>
              <w:rPr>
                <w:color w:val="231F20"/>
                <w:spacing w:val="-26"/>
                <w:w w:val="105"/>
                <w:sz w:val="13"/>
              </w:rPr>
              <w:t> </w:t>
            </w:r>
            <w:r>
              <w:rPr>
                <w:color w:val="231F20"/>
                <w:w w:val="105"/>
                <w:sz w:val="13"/>
              </w:rPr>
              <w:t>que</w:t>
            </w:r>
            <w:r>
              <w:rPr>
                <w:color w:val="231F20"/>
                <w:spacing w:val="-26"/>
                <w:w w:val="105"/>
                <w:sz w:val="13"/>
              </w:rPr>
              <w:t> </w:t>
            </w:r>
            <w:r>
              <w:rPr>
                <w:color w:val="231F20"/>
                <w:w w:val="105"/>
                <w:sz w:val="13"/>
              </w:rPr>
              <w:t>sustente</w:t>
            </w:r>
            <w:r>
              <w:rPr>
                <w:color w:val="231F20"/>
                <w:spacing w:val="-26"/>
                <w:w w:val="105"/>
                <w:sz w:val="13"/>
              </w:rPr>
              <w:t> </w:t>
            </w:r>
            <w:r>
              <w:rPr>
                <w:color w:val="231F20"/>
                <w:w w:val="105"/>
                <w:sz w:val="13"/>
              </w:rPr>
              <w:t>la</w:t>
            </w:r>
            <w:r>
              <w:rPr>
                <w:color w:val="231F20"/>
                <w:spacing w:val="-26"/>
                <w:w w:val="105"/>
                <w:sz w:val="13"/>
              </w:rPr>
              <w:t> </w:t>
            </w:r>
            <w:r>
              <w:rPr>
                <w:color w:val="231F20"/>
                <w:w w:val="105"/>
                <w:sz w:val="13"/>
              </w:rPr>
              <w:t>generación</w:t>
            </w:r>
            <w:r>
              <w:rPr>
                <w:color w:val="231F20"/>
                <w:spacing w:val="-26"/>
                <w:w w:val="105"/>
                <w:sz w:val="13"/>
              </w:rPr>
              <w:t> </w:t>
            </w:r>
            <w:r>
              <w:rPr>
                <w:color w:val="231F20"/>
                <w:w w:val="105"/>
                <w:sz w:val="13"/>
              </w:rPr>
              <w:t>de</w:t>
            </w:r>
            <w:r>
              <w:rPr>
                <w:color w:val="231F20"/>
                <w:spacing w:val="-26"/>
                <w:w w:val="105"/>
                <w:sz w:val="13"/>
              </w:rPr>
              <w:t> </w:t>
            </w:r>
            <w:r>
              <w:rPr>
                <w:color w:val="231F20"/>
                <w:w w:val="105"/>
                <w:sz w:val="13"/>
              </w:rPr>
              <w:t>mayor valor</w:t>
            </w:r>
            <w:r>
              <w:rPr>
                <w:color w:val="231F20"/>
                <w:spacing w:val="-19"/>
                <w:w w:val="105"/>
                <w:sz w:val="13"/>
              </w:rPr>
              <w:t> </w:t>
            </w:r>
            <w:r>
              <w:rPr>
                <w:color w:val="231F20"/>
                <w:w w:val="105"/>
                <w:sz w:val="13"/>
              </w:rPr>
              <w:t>para</w:t>
            </w:r>
            <w:r>
              <w:rPr>
                <w:color w:val="231F20"/>
                <w:spacing w:val="-19"/>
                <w:w w:val="105"/>
                <w:sz w:val="13"/>
              </w:rPr>
              <w:t> </w:t>
            </w:r>
            <w:r>
              <w:rPr>
                <w:color w:val="231F20"/>
                <w:w w:val="105"/>
                <w:sz w:val="13"/>
              </w:rPr>
              <w:t>sus</w:t>
            </w:r>
            <w:r>
              <w:rPr>
                <w:color w:val="231F20"/>
                <w:spacing w:val="-19"/>
                <w:w w:val="105"/>
                <w:sz w:val="13"/>
              </w:rPr>
              <w:t> </w:t>
            </w:r>
            <w:r>
              <w:rPr>
                <w:color w:val="231F20"/>
                <w:w w:val="105"/>
                <w:sz w:val="13"/>
              </w:rPr>
              <w:t>empresas</w:t>
            </w:r>
            <w:r>
              <w:rPr>
                <w:color w:val="231F20"/>
                <w:spacing w:val="-19"/>
                <w:w w:val="105"/>
                <w:sz w:val="13"/>
              </w:rPr>
              <w:t> </w:t>
            </w:r>
            <w:r>
              <w:rPr>
                <w:color w:val="231F20"/>
                <w:w w:val="105"/>
                <w:sz w:val="13"/>
              </w:rPr>
              <w:t>y</w:t>
            </w:r>
            <w:r>
              <w:rPr>
                <w:color w:val="231F20"/>
                <w:spacing w:val="-19"/>
                <w:w w:val="105"/>
                <w:sz w:val="13"/>
              </w:rPr>
              <w:t> </w:t>
            </w:r>
            <w:r>
              <w:rPr>
                <w:color w:val="231F20"/>
                <w:w w:val="105"/>
                <w:sz w:val="13"/>
              </w:rPr>
              <w:t>más</w:t>
            </w:r>
            <w:r>
              <w:rPr>
                <w:color w:val="231F20"/>
                <w:spacing w:val="-19"/>
                <w:w w:val="105"/>
                <w:sz w:val="13"/>
              </w:rPr>
              <w:t> </w:t>
            </w:r>
            <w:r>
              <w:rPr>
                <w:color w:val="231F20"/>
                <w:w w:val="105"/>
                <w:sz w:val="13"/>
              </w:rPr>
              <w:t>prosperidad</w:t>
            </w:r>
            <w:r>
              <w:rPr>
                <w:color w:val="231F20"/>
                <w:spacing w:val="-19"/>
                <w:w w:val="105"/>
                <w:sz w:val="13"/>
              </w:rPr>
              <w:t> </w:t>
            </w:r>
            <w:r>
              <w:rPr>
                <w:color w:val="231F20"/>
                <w:w w:val="105"/>
                <w:sz w:val="13"/>
              </w:rPr>
              <w:t>para</w:t>
            </w:r>
            <w:r>
              <w:rPr>
                <w:color w:val="231F20"/>
                <w:spacing w:val="-19"/>
                <w:w w:val="105"/>
                <w:sz w:val="13"/>
              </w:rPr>
              <w:t> </w:t>
            </w:r>
            <w:r>
              <w:rPr>
                <w:color w:val="231F20"/>
                <w:w w:val="105"/>
                <w:sz w:val="13"/>
              </w:rPr>
              <w:t>su</w:t>
            </w:r>
            <w:r>
              <w:rPr>
                <w:color w:val="231F20"/>
                <w:spacing w:val="-19"/>
                <w:w w:val="105"/>
                <w:sz w:val="13"/>
              </w:rPr>
              <w:t> </w:t>
            </w:r>
            <w:r>
              <w:rPr>
                <w:color w:val="231F20"/>
                <w:w w:val="105"/>
                <w:sz w:val="13"/>
              </w:rPr>
              <w:t>pueblo.</w:t>
            </w:r>
          </w:p>
        </w:tc>
      </w:tr>
      <w:tr>
        <w:trPr>
          <w:trHeight w:val="290" w:hRule="exact"/>
        </w:trPr>
        <w:tc>
          <w:tcPr>
            <w:tcW w:w="1868" w:type="dxa"/>
          </w:tcPr>
          <w:p>
            <w:pPr>
              <w:pStyle w:val="TableParagraph"/>
              <w:spacing w:before="86"/>
              <w:ind w:left="77"/>
              <w:rPr>
                <w:sz w:val="13"/>
              </w:rPr>
            </w:pPr>
            <w:r>
              <w:rPr>
                <w:color w:val="231F20"/>
                <w:w w:val="105"/>
                <w:sz w:val="13"/>
              </w:rPr>
              <w:t>IMCO, 2007</w:t>
            </w:r>
          </w:p>
        </w:tc>
        <w:tc>
          <w:tcPr>
            <w:tcW w:w="5043" w:type="dxa"/>
          </w:tcPr>
          <w:p>
            <w:pPr>
              <w:pStyle w:val="TableParagraph"/>
              <w:spacing w:before="86"/>
              <w:ind w:left="77" w:right="72"/>
              <w:rPr>
                <w:sz w:val="13"/>
              </w:rPr>
            </w:pPr>
            <w:r>
              <w:rPr>
                <w:color w:val="231F20"/>
                <w:w w:val="105"/>
                <w:sz w:val="13"/>
              </w:rPr>
              <w:t>Capacidad para captar y retener inversión.</w:t>
            </w:r>
          </w:p>
        </w:tc>
      </w:tr>
      <w:tr>
        <w:trPr>
          <w:trHeight w:val="290" w:hRule="exact"/>
        </w:trPr>
        <w:tc>
          <w:tcPr>
            <w:tcW w:w="6912" w:type="dxa"/>
            <w:gridSpan w:val="2"/>
          </w:tcPr>
          <w:p>
            <w:pPr>
              <w:pStyle w:val="TableParagraph"/>
              <w:spacing w:before="86"/>
              <w:ind w:left="1228" w:right="1228"/>
              <w:jc w:val="center"/>
              <w:rPr>
                <w:sz w:val="13"/>
              </w:rPr>
            </w:pPr>
            <w:r>
              <w:rPr>
                <w:color w:val="231F20"/>
                <w:w w:val="105"/>
                <w:sz w:val="13"/>
              </w:rPr>
              <w:t>Nivel micro</w:t>
            </w:r>
          </w:p>
        </w:tc>
      </w:tr>
      <w:tr>
        <w:trPr>
          <w:trHeight w:val="446" w:hRule="exact"/>
        </w:trPr>
        <w:tc>
          <w:tcPr>
            <w:tcW w:w="1868" w:type="dxa"/>
          </w:tcPr>
          <w:p>
            <w:pPr>
              <w:pStyle w:val="TableParagraph"/>
              <w:spacing w:before="86"/>
              <w:ind w:left="77"/>
              <w:rPr>
                <w:sz w:val="13"/>
              </w:rPr>
            </w:pPr>
            <w:r>
              <w:rPr>
                <w:color w:val="231F20"/>
                <w:sz w:val="13"/>
              </w:rPr>
              <w:t>CLCI, 1985</w:t>
            </w:r>
          </w:p>
        </w:tc>
        <w:tc>
          <w:tcPr>
            <w:tcW w:w="5043" w:type="dxa"/>
          </w:tcPr>
          <w:p>
            <w:pPr>
              <w:pStyle w:val="TableParagraph"/>
              <w:spacing w:line="249" w:lineRule="auto" w:before="86"/>
              <w:ind w:left="77" w:right="72"/>
              <w:rPr>
                <w:sz w:val="13"/>
              </w:rPr>
            </w:pPr>
            <w:r>
              <w:rPr>
                <w:color w:val="231F20"/>
                <w:w w:val="105"/>
                <w:sz w:val="13"/>
              </w:rPr>
              <w:t>Una</w:t>
            </w:r>
            <w:r>
              <w:rPr>
                <w:color w:val="231F20"/>
                <w:spacing w:val="-27"/>
                <w:w w:val="105"/>
                <w:sz w:val="13"/>
              </w:rPr>
              <w:t> </w:t>
            </w:r>
            <w:r>
              <w:rPr>
                <w:color w:val="231F20"/>
                <w:w w:val="105"/>
                <w:sz w:val="13"/>
              </w:rPr>
              <w:t>empresa</w:t>
            </w:r>
            <w:r>
              <w:rPr>
                <w:color w:val="231F20"/>
                <w:spacing w:val="-27"/>
                <w:w w:val="105"/>
                <w:sz w:val="13"/>
              </w:rPr>
              <w:t> </w:t>
            </w:r>
            <w:r>
              <w:rPr>
                <w:color w:val="231F20"/>
                <w:w w:val="105"/>
                <w:sz w:val="13"/>
              </w:rPr>
              <w:t>es</w:t>
            </w:r>
            <w:r>
              <w:rPr>
                <w:color w:val="231F20"/>
                <w:spacing w:val="-27"/>
                <w:w w:val="105"/>
                <w:sz w:val="13"/>
              </w:rPr>
              <w:t> </w:t>
            </w:r>
            <w:r>
              <w:rPr>
                <w:color w:val="231F20"/>
                <w:w w:val="105"/>
                <w:sz w:val="13"/>
              </w:rPr>
              <w:t>competitiva</w:t>
            </w:r>
            <w:r>
              <w:rPr>
                <w:color w:val="231F20"/>
                <w:spacing w:val="-27"/>
                <w:w w:val="105"/>
                <w:sz w:val="13"/>
              </w:rPr>
              <w:t> </w:t>
            </w:r>
            <w:r>
              <w:rPr>
                <w:color w:val="231F20"/>
                <w:w w:val="105"/>
                <w:sz w:val="13"/>
              </w:rPr>
              <w:t>cuando</w:t>
            </w:r>
            <w:r>
              <w:rPr>
                <w:color w:val="231F20"/>
                <w:spacing w:val="-27"/>
                <w:w w:val="105"/>
                <w:sz w:val="13"/>
              </w:rPr>
              <w:t> </w:t>
            </w:r>
            <w:r>
              <w:rPr>
                <w:color w:val="231F20"/>
                <w:w w:val="105"/>
                <w:sz w:val="13"/>
              </w:rPr>
              <w:t>realiza</w:t>
            </w:r>
            <w:r>
              <w:rPr>
                <w:color w:val="231F20"/>
                <w:spacing w:val="-27"/>
                <w:w w:val="105"/>
                <w:sz w:val="13"/>
              </w:rPr>
              <w:t> </w:t>
            </w:r>
            <w:r>
              <w:rPr>
                <w:color w:val="231F20"/>
                <w:spacing w:val="-2"/>
                <w:w w:val="105"/>
                <w:sz w:val="13"/>
              </w:rPr>
              <w:t>productos</w:t>
            </w:r>
            <w:r>
              <w:rPr>
                <w:color w:val="231F20"/>
                <w:spacing w:val="-27"/>
                <w:w w:val="105"/>
                <w:sz w:val="13"/>
              </w:rPr>
              <w:t> </w:t>
            </w:r>
            <w:r>
              <w:rPr>
                <w:color w:val="231F20"/>
                <w:w w:val="105"/>
                <w:sz w:val="13"/>
              </w:rPr>
              <w:t>y</w:t>
            </w:r>
            <w:r>
              <w:rPr>
                <w:color w:val="231F20"/>
                <w:spacing w:val="-27"/>
                <w:w w:val="105"/>
                <w:sz w:val="13"/>
              </w:rPr>
              <w:t> </w:t>
            </w:r>
            <w:r>
              <w:rPr>
                <w:color w:val="231F20"/>
                <w:w w:val="105"/>
                <w:sz w:val="13"/>
              </w:rPr>
              <w:t>servicios</w:t>
            </w:r>
            <w:r>
              <w:rPr>
                <w:color w:val="231F20"/>
                <w:spacing w:val="-27"/>
                <w:w w:val="105"/>
                <w:sz w:val="13"/>
              </w:rPr>
              <w:t> </w:t>
            </w:r>
            <w:r>
              <w:rPr>
                <w:color w:val="231F20"/>
                <w:w w:val="105"/>
                <w:sz w:val="13"/>
              </w:rPr>
              <w:t>de</w:t>
            </w:r>
            <w:r>
              <w:rPr>
                <w:color w:val="231F20"/>
                <w:spacing w:val="-27"/>
                <w:w w:val="105"/>
                <w:sz w:val="13"/>
              </w:rPr>
              <w:t> </w:t>
            </w:r>
            <w:r>
              <w:rPr>
                <w:color w:val="231F20"/>
                <w:w w:val="105"/>
                <w:sz w:val="13"/>
              </w:rPr>
              <w:t>calidad</w:t>
            </w:r>
            <w:r>
              <w:rPr>
                <w:color w:val="231F20"/>
                <w:spacing w:val="-27"/>
                <w:w w:val="105"/>
                <w:sz w:val="13"/>
              </w:rPr>
              <w:t> </w:t>
            </w:r>
            <w:r>
              <w:rPr>
                <w:color w:val="231F20"/>
                <w:w w:val="105"/>
                <w:sz w:val="13"/>
              </w:rPr>
              <w:t>superior a</w:t>
            </w:r>
            <w:r>
              <w:rPr>
                <w:color w:val="231F20"/>
                <w:spacing w:val="-23"/>
                <w:w w:val="105"/>
                <w:sz w:val="13"/>
              </w:rPr>
              <w:t> </w:t>
            </w:r>
            <w:r>
              <w:rPr>
                <w:color w:val="231F20"/>
                <w:w w:val="105"/>
                <w:sz w:val="13"/>
              </w:rPr>
              <w:t>costos</w:t>
            </w:r>
            <w:r>
              <w:rPr>
                <w:color w:val="231F20"/>
                <w:spacing w:val="-23"/>
                <w:w w:val="105"/>
                <w:sz w:val="13"/>
              </w:rPr>
              <w:t> </w:t>
            </w:r>
            <w:r>
              <w:rPr>
                <w:color w:val="231F20"/>
                <w:w w:val="105"/>
                <w:sz w:val="13"/>
              </w:rPr>
              <w:t>inferiores</w:t>
            </w:r>
            <w:r>
              <w:rPr>
                <w:color w:val="231F20"/>
                <w:spacing w:val="-23"/>
                <w:w w:val="105"/>
                <w:sz w:val="13"/>
              </w:rPr>
              <w:t> </w:t>
            </w:r>
            <w:r>
              <w:rPr>
                <w:color w:val="231F20"/>
                <w:w w:val="105"/>
                <w:sz w:val="13"/>
              </w:rPr>
              <w:t>que</w:t>
            </w:r>
            <w:r>
              <w:rPr>
                <w:color w:val="231F20"/>
                <w:spacing w:val="-23"/>
                <w:w w:val="105"/>
                <w:sz w:val="13"/>
              </w:rPr>
              <w:t> </w:t>
            </w:r>
            <w:r>
              <w:rPr>
                <w:color w:val="231F20"/>
                <w:w w:val="105"/>
                <w:sz w:val="13"/>
              </w:rPr>
              <w:t>sus</w:t>
            </w:r>
            <w:r>
              <w:rPr>
                <w:color w:val="231F20"/>
                <w:spacing w:val="-23"/>
                <w:w w:val="105"/>
                <w:sz w:val="13"/>
              </w:rPr>
              <w:t> </w:t>
            </w:r>
            <w:r>
              <w:rPr>
                <w:color w:val="231F20"/>
                <w:w w:val="105"/>
                <w:sz w:val="13"/>
              </w:rPr>
              <w:t>competidores</w:t>
            </w:r>
            <w:r>
              <w:rPr>
                <w:color w:val="231F20"/>
                <w:spacing w:val="-23"/>
                <w:w w:val="105"/>
                <w:sz w:val="13"/>
              </w:rPr>
              <w:t> </w:t>
            </w:r>
            <w:r>
              <w:rPr>
                <w:color w:val="231F20"/>
                <w:w w:val="105"/>
                <w:sz w:val="13"/>
              </w:rPr>
              <w:t>nacionales</w:t>
            </w:r>
            <w:r>
              <w:rPr>
                <w:color w:val="231F20"/>
                <w:spacing w:val="-23"/>
                <w:w w:val="105"/>
                <w:sz w:val="13"/>
              </w:rPr>
              <w:t> </w:t>
            </w:r>
            <w:r>
              <w:rPr>
                <w:color w:val="231F20"/>
                <w:w w:val="105"/>
                <w:sz w:val="13"/>
              </w:rPr>
              <w:t>e</w:t>
            </w:r>
            <w:r>
              <w:rPr>
                <w:color w:val="231F20"/>
                <w:spacing w:val="-23"/>
                <w:w w:val="105"/>
                <w:sz w:val="13"/>
              </w:rPr>
              <w:t> </w:t>
            </w:r>
            <w:r>
              <w:rPr>
                <w:color w:val="231F20"/>
                <w:w w:val="105"/>
                <w:sz w:val="13"/>
              </w:rPr>
              <w:t>internacionales.</w:t>
            </w:r>
          </w:p>
        </w:tc>
      </w:tr>
      <w:tr>
        <w:trPr>
          <w:trHeight w:val="602" w:hRule="exact"/>
        </w:trPr>
        <w:tc>
          <w:tcPr>
            <w:tcW w:w="1868" w:type="dxa"/>
          </w:tcPr>
          <w:p>
            <w:pPr>
              <w:pStyle w:val="TableParagraph"/>
              <w:spacing w:before="86"/>
              <w:ind w:left="77"/>
              <w:rPr>
                <w:sz w:val="13"/>
              </w:rPr>
            </w:pPr>
            <w:r>
              <w:rPr>
                <w:color w:val="231F20"/>
                <w:w w:val="105"/>
                <w:sz w:val="13"/>
              </w:rPr>
              <w:t>Aguilar, 1994</w:t>
            </w:r>
          </w:p>
        </w:tc>
        <w:tc>
          <w:tcPr>
            <w:tcW w:w="5043" w:type="dxa"/>
          </w:tcPr>
          <w:p>
            <w:pPr>
              <w:pStyle w:val="TableParagraph"/>
              <w:spacing w:line="249" w:lineRule="auto" w:before="86"/>
              <w:ind w:left="77" w:right="76"/>
              <w:jc w:val="both"/>
              <w:rPr>
                <w:sz w:val="13"/>
              </w:rPr>
            </w:pPr>
            <w:r>
              <w:rPr>
                <w:color w:val="231F20"/>
                <w:w w:val="105"/>
                <w:sz w:val="13"/>
              </w:rPr>
              <w:t>Habilidad</w:t>
            </w:r>
            <w:r>
              <w:rPr>
                <w:color w:val="231F20"/>
                <w:spacing w:val="-22"/>
                <w:w w:val="105"/>
                <w:sz w:val="13"/>
              </w:rPr>
              <w:t> </w:t>
            </w:r>
            <w:r>
              <w:rPr>
                <w:color w:val="231F20"/>
                <w:w w:val="105"/>
                <w:sz w:val="13"/>
              </w:rPr>
              <w:t>para</w:t>
            </w:r>
            <w:r>
              <w:rPr>
                <w:color w:val="231F20"/>
                <w:spacing w:val="-22"/>
                <w:w w:val="105"/>
                <w:sz w:val="13"/>
              </w:rPr>
              <w:t> </w:t>
            </w:r>
            <w:r>
              <w:rPr>
                <w:color w:val="231F20"/>
                <w:spacing w:val="-3"/>
                <w:w w:val="105"/>
                <w:sz w:val="13"/>
              </w:rPr>
              <w:t>diseñar,</w:t>
            </w:r>
            <w:r>
              <w:rPr>
                <w:color w:val="231F20"/>
                <w:spacing w:val="-24"/>
                <w:w w:val="105"/>
                <w:sz w:val="13"/>
              </w:rPr>
              <w:t> </w:t>
            </w:r>
            <w:r>
              <w:rPr>
                <w:color w:val="231F20"/>
                <w:w w:val="105"/>
                <w:sz w:val="13"/>
              </w:rPr>
              <w:t>producir</w:t>
            </w:r>
            <w:r>
              <w:rPr>
                <w:color w:val="231F20"/>
                <w:spacing w:val="-22"/>
                <w:w w:val="105"/>
                <w:sz w:val="13"/>
              </w:rPr>
              <w:t> </w:t>
            </w:r>
            <w:r>
              <w:rPr>
                <w:color w:val="231F20"/>
                <w:w w:val="105"/>
                <w:sz w:val="13"/>
              </w:rPr>
              <w:t>y</w:t>
            </w:r>
            <w:r>
              <w:rPr>
                <w:color w:val="231F20"/>
                <w:spacing w:val="-22"/>
                <w:w w:val="105"/>
                <w:sz w:val="13"/>
              </w:rPr>
              <w:t> </w:t>
            </w:r>
            <w:r>
              <w:rPr>
                <w:color w:val="231F20"/>
                <w:spacing w:val="-2"/>
                <w:w w:val="105"/>
                <w:sz w:val="13"/>
              </w:rPr>
              <w:t>comercializar</w:t>
            </w:r>
            <w:r>
              <w:rPr>
                <w:color w:val="231F20"/>
                <w:spacing w:val="-22"/>
                <w:w w:val="105"/>
                <w:sz w:val="13"/>
              </w:rPr>
              <w:t> </w:t>
            </w:r>
            <w:r>
              <w:rPr>
                <w:color w:val="231F20"/>
                <w:w w:val="105"/>
                <w:sz w:val="13"/>
              </w:rPr>
              <w:t>bienes</w:t>
            </w:r>
            <w:r>
              <w:rPr>
                <w:color w:val="231F20"/>
                <w:spacing w:val="-22"/>
                <w:w w:val="105"/>
                <w:sz w:val="13"/>
              </w:rPr>
              <w:t> </w:t>
            </w:r>
            <w:r>
              <w:rPr>
                <w:color w:val="231F20"/>
                <w:w w:val="105"/>
                <w:sz w:val="13"/>
              </w:rPr>
              <w:t>y</w:t>
            </w:r>
            <w:r>
              <w:rPr>
                <w:color w:val="231F20"/>
                <w:spacing w:val="-22"/>
                <w:w w:val="105"/>
                <w:sz w:val="13"/>
              </w:rPr>
              <w:t> </w:t>
            </w:r>
            <w:r>
              <w:rPr>
                <w:color w:val="231F20"/>
                <w:w w:val="105"/>
                <w:sz w:val="13"/>
              </w:rPr>
              <w:t>servicios,</w:t>
            </w:r>
            <w:r>
              <w:rPr>
                <w:color w:val="231F20"/>
                <w:spacing w:val="-24"/>
                <w:w w:val="105"/>
                <w:sz w:val="13"/>
              </w:rPr>
              <w:t> </w:t>
            </w:r>
            <w:r>
              <w:rPr>
                <w:color w:val="231F20"/>
                <w:w w:val="105"/>
                <w:sz w:val="13"/>
              </w:rPr>
              <w:t>cuyas</w:t>
            </w:r>
            <w:r>
              <w:rPr>
                <w:color w:val="231F20"/>
                <w:spacing w:val="-22"/>
                <w:w w:val="105"/>
                <w:sz w:val="13"/>
              </w:rPr>
              <w:t> </w:t>
            </w:r>
            <w:r>
              <w:rPr>
                <w:color w:val="231F20"/>
                <w:w w:val="105"/>
                <w:sz w:val="13"/>
              </w:rPr>
              <w:t>cualidades de</w:t>
            </w:r>
            <w:r>
              <w:rPr>
                <w:color w:val="231F20"/>
                <w:spacing w:val="-7"/>
                <w:w w:val="105"/>
                <w:sz w:val="13"/>
              </w:rPr>
              <w:t> </w:t>
            </w:r>
            <w:r>
              <w:rPr>
                <w:color w:val="231F20"/>
                <w:w w:val="105"/>
                <w:sz w:val="13"/>
              </w:rPr>
              <w:t>precios</w:t>
            </w:r>
            <w:r>
              <w:rPr>
                <w:color w:val="231F20"/>
                <w:spacing w:val="-7"/>
                <w:w w:val="105"/>
                <w:sz w:val="13"/>
              </w:rPr>
              <w:t> </w:t>
            </w:r>
            <w:r>
              <w:rPr>
                <w:color w:val="231F20"/>
                <w:w w:val="105"/>
                <w:sz w:val="13"/>
              </w:rPr>
              <w:t>y</w:t>
            </w:r>
            <w:r>
              <w:rPr>
                <w:color w:val="231F20"/>
                <w:spacing w:val="-7"/>
                <w:w w:val="105"/>
                <w:sz w:val="13"/>
              </w:rPr>
              <w:t> </w:t>
            </w:r>
            <w:r>
              <w:rPr>
                <w:color w:val="231F20"/>
                <w:w w:val="105"/>
                <w:sz w:val="13"/>
              </w:rPr>
              <w:t>no</w:t>
            </w:r>
            <w:r>
              <w:rPr>
                <w:color w:val="231F20"/>
                <w:spacing w:val="-7"/>
                <w:w w:val="105"/>
                <w:sz w:val="13"/>
              </w:rPr>
              <w:t> </w:t>
            </w:r>
            <w:r>
              <w:rPr>
                <w:color w:val="231F20"/>
                <w:w w:val="105"/>
                <w:sz w:val="13"/>
              </w:rPr>
              <w:t>precios</w:t>
            </w:r>
            <w:r>
              <w:rPr>
                <w:color w:val="231F20"/>
                <w:spacing w:val="-7"/>
                <w:w w:val="105"/>
                <w:sz w:val="13"/>
              </w:rPr>
              <w:t> </w:t>
            </w:r>
            <w:r>
              <w:rPr>
                <w:color w:val="231F20"/>
                <w:w w:val="105"/>
                <w:sz w:val="13"/>
              </w:rPr>
              <w:t>forman</w:t>
            </w:r>
            <w:r>
              <w:rPr>
                <w:color w:val="231F20"/>
                <w:spacing w:val="-7"/>
                <w:w w:val="105"/>
                <w:sz w:val="13"/>
              </w:rPr>
              <w:t> </w:t>
            </w:r>
            <w:r>
              <w:rPr>
                <w:color w:val="231F20"/>
                <w:w w:val="105"/>
                <w:sz w:val="13"/>
              </w:rPr>
              <w:t>un</w:t>
            </w:r>
            <w:r>
              <w:rPr>
                <w:color w:val="231F20"/>
                <w:spacing w:val="-7"/>
                <w:w w:val="105"/>
                <w:sz w:val="13"/>
              </w:rPr>
              <w:t> </w:t>
            </w:r>
            <w:r>
              <w:rPr>
                <w:color w:val="231F20"/>
                <w:w w:val="105"/>
                <w:sz w:val="13"/>
              </w:rPr>
              <w:t>paquete</w:t>
            </w:r>
            <w:r>
              <w:rPr>
                <w:color w:val="231F20"/>
                <w:spacing w:val="-7"/>
                <w:w w:val="105"/>
                <w:sz w:val="13"/>
              </w:rPr>
              <w:t> </w:t>
            </w:r>
            <w:r>
              <w:rPr>
                <w:color w:val="231F20"/>
                <w:w w:val="105"/>
                <w:sz w:val="13"/>
              </w:rPr>
              <w:t>de</w:t>
            </w:r>
            <w:r>
              <w:rPr>
                <w:color w:val="231F20"/>
                <w:spacing w:val="-7"/>
                <w:w w:val="105"/>
                <w:sz w:val="13"/>
              </w:rPr>
              <w:t> </w:t>
            </w:r>
            <w:r>
              <w:rPr>
                <w:color w:val="231F20"/>
                <w:w w:val="105"/>
                <w:sz w:val="13"/>
              </w:rPr>
              <w:t>beneficios</w:t>
            </w:r>
            <w:r>
              <w:rPr>
                <w:color w:val="231F20"/>
                <w:spacing w:val="-7"/>
                <w:w w:val="105"/>
                <w:sz w:val="13"/>
              </w:rPr>
              <w:t> </w:t>
            </w:r>
            <w:r>
              <w:rPr>
                <w:color w:val="231F20"/>
                <w:w w:val="105"/>
                <w:sz w:val="13"/>
              </w:rPr>
              <w:t>más</w:t>
            </w:r>
            <w:r>
              <w:rPr>
                <w:color w:val="231F20"/>
                <w:spacing w:val="-7"/>
                <w:w w:val="105"/>
                <w:sz w:val="13"/>
              </w:rPr>
              <w:t> </w:t>
            </w:r>
            <w:r>
              <w:rPr>
                <w:color w:val="231F20"/>
                <w:w w:val="105"/>
                <w:sz w:val="13"/>
              </w:rPr>
              <w:t>atractivo</w:t>
            </w:r>
            <w:r>
              <w:rPr>
                <w:color w:val="231F20"/>
                <w:spacing w:val="-7"/>
                <w:w w:val="105"/>
                <w:sz w:val="13"/>
              </w:rPr>
              <w:t> </w:t>
            </w:r>
            <w:r>
              <w:rPr>
                <w:color w:val="231F20"/>
                <w:w w:val="105"/>
                <w:sz w:val="13"/>
              </w:rPr>
              <w:t>que</w:t>
            </w:r>
            <w:r>
              <w:rPr>
                <w:color w:val="231F20"/>
                <w:spacing w:val="-7"/>
                <w:w w:val="105"/>
                <w:sz w:val="13"/>
              </w:rPr>
              <w:t> </w:t>
            </w:r>
            <w:r>
              <w:rPr>
                <w:color w:val="231F20"/>
                <w:w w:val="105"/>
                <w:sz w:val="13"/>
              </w:rPr>
              <w:t>los</w:t>
            </w:r>
            <w:r>
              <w:rPr>
                <w:color w:val="231F20"/>
                <w:spacing w:val="-7"/>
                <w:w w:val="105"/>
                <w:sz w:val="13"/>
              </w:rPr>
              <w:t> </w:t>
            </w:r>
            <w:r>
              <w:rPr>
                <w:color w:val="231F20"/>
                <w:w w:val="105"/>
                <w:sz w:val="13"/>
              </w:rPr>
              <w:t>de los</w:t>
            </w:r>
            <w:r>
              <w:rPr>
                <w:color w:val="231F20"/>
                <w:spacing w:val="1"/>
                <w:w w:val="105"/>
                <w:sz w:val="13"/>
              </w:rPr>
              <w:t> </w:t>
            </w:r>
            <w:r>
              <w:rPr>
                <w:color w:val="231F20"/>
                <w:spacing w:val="-3"/>
                <w:w w:val="105"/>
                <w:sz w:val="13"/>
              </w:rPr>
              <w:t>competidores.</w:t>
            </w:r>
          </w:p>
        </w:tc>
      </w:tr>
      <w:tr>
        <w:trPr>
          <w:trHeight w:val="602" w:hRule="exact"/>
        </w:trPr>
        <w:tc>
          <w:tcPr>
            <w:tcW w:w="1868" w:type="dxa"/>
          </w:tcPr>
          <w:p>
            <w:pPr>
              <w:pStyle w:val="TableParagraph"/>
              <w:spacing w:before="86"/>
              <w:ind w:left="77"/>
              <w:rPr>
                <w:sz w:val="13"/>
              </w:rPr>
            </w:pPr>
            <w:r>
              <w:rPr>
                <w:color w:val="231F20"/>
                <w:sz w:val="13"/>
              </w:rPr>
              <w:t>Industry Canada, 1995</w:t>
            </w:r>
          </w:p>
        </w:tc>
        <w:tc>
          <w:tcPr>
            <w:tcW w:w="5043" w:type="dxa"/>
          </w:tcPr>
          <w:p>
            <w:pPr>
              <w:pStyle w:val="TableParagraph"/>
              <w:spacing w:line="249" w:lineRule="auto" w:before="86"/>
              <w:ind w:left="77" w:right="75"/>
              <w:jc w:val="both"/>
              <w:rPr>
                <w:sz w:val="13"/>
              </w:rPr>
            </w:pPr>
            <w:r>
              <w:rPr>
                <w:color w:val="231F20"/>
                <w:w w:val="105"/>
                <w:sz w:val="13"/>
              </w:rPr>
              <w:t>Se</w:t>
            </w:r>
            <w:r>
              <w:rPr>
                <w:color w:val="231F20"/>
                <w:spacing w:val="-21"/>
                <w:w w:val="105"/>
                <w:sz w:val="13"/>
              </w:rPr>
              <w:t> </w:t>
            </w:r>
            <w:r>
              <w:rPr>
                <w:color w:val="231F20"/>
                <w:w w:val="105"/>
                <w:sz w:val="13"/>
              </w:rPr>
              <w:t>da</w:t>
            </w:r>
            <w:r>
              <w:rPr>
                <w:color w:val="231F20"/>
                <w:spacing w:val="-21"/>
                <w:w w:val="105"/>
                <w:sz w:val="13"/>
              </w:rPr>
              <w:t> </w:t>
            </w:r>
            <w:r>
              <w:rPr>
                <w:color w:val="231F20"/>
                <w:w w:val="105"/>
                <w:sz w:val="13"/>
              </w:rPr>
              <w:t>en</w:t>
            </w:r>
            <w:r>
              <w:rPr>
                <w:color w:val="231F20"/>
                <w:spacing w:val="-21"/>
                <w:w w:val="105"/>
                <w:sz w:val="13"/>
              </w:rPr>
              <w:t> </w:t>
            </w:r>
            <w:r>
              <w:rPr>
                <w:color w:val="231F20"/>
                <w:w w:val="105"/>
                <w:sz w:val="13"/>
              </w:rPr>
              <w:t>una</w:t>
            </w:r>
            <w:r>
              <w:rPr>
                <w:color w:val="231F20"/>
                <w:spacing w:val="-21"/>
                <w:w w:val="105"/>
                <w:sz w:val="13"/>
              </w:rPr>
              <w:t> </w:t>
            </w:r>
            <w:r>
              <w:rPr>
                <w:color w:val="231F20"/>
                <w:spacing w:val="-3"/>
                <w:w w:val="105"/>
                <w:sz w:val="13"/>
              </w:rPr>
              <w:t>empresa</w:t>
            </w:r>
            <w:r>
              <w:rPr>
                <w:color w:val="231F20"/>
                <w:spacing w:val="-21"/>
                <w:w w:val="105"/>
                <w:sz w:val="13"/>
              </w:rPr>
              <w:t> </w:t>
            </w:r>
            <w:r>
              <w:rPr>
                <w:color w:val="231F20"/>
                <w:w w:val="105"/>
                <w:sz w:val="13"/>
              </w:rPr>
              <w:t>cuando</w:t>
            </w:r>
            <w:r>
              <w:rPr>
                <w:color w:val="231F20"/>
                <w:spacing w:val="-21"/>
                <w:w w:val="105"/>
                <w:sz w:val="13"/>
              </w:rPr>
              <w:t> </w:t>
            </w:r>
            <w:r>
              <w:rPr>
                <w:color w:val="231F20"/>
                <w:w w:val="105"/>
                <w:sz w:val="13"/>
              </w:rPr>
              <w:t>ésta</w:t>
            </w:r>
            <w:r>
              <w:rPr>
                <w:color w:val="231F20"/>
                <w:spacing w:val="-21"/>
                <w:w w:val="105"/>
                <w:sz w:val="13"/>
              </w:rPr>
              <w:t> </w:t>
            </w:r>
            <w:r>
              <w:rPr>
                <w:color w:val="231F20"/>
                <w:spacing w:val="-2"/>
                <w:w w:val="105"/>
                <w:sz w:val="13"/>
              </w:rPr>
              <w:t>demuestra</w:t>
            </w:r>
            <w:r>
              <w:rPr>
                <w:color w:val="231F20"/>
                <w:spacing w:val="-21"/>
                <w:w w:val="105"/>
                <w:sz w:val="13"/>
              </w:rPr>
              <w:t> </w:t>
            </w:r>
            <w:r>
              <w:rPr>
                <w:color w:val="231F20"/>
                <w:w w:val="105"/>
                <w:sz w:val="13"/>
              </w:rPr>
              <w:t>índices</w:t>
            </w:r>
            <w:r>
              <w:rPr>
                <w:color w:val="231F20"/>
                <w:spacing w:val="-21"/>
                <w:w w:val="105"/>
                <w:sz w:val="13"/>
              </w:rPr>
              <w:t> </w:t>
            </w:r>
            <w:r>
              <w:rPr>
                <w:color w:val="231F20"/>
                <w:w w:val="105"/>
                <w:sz w:val="13"/>
              </w:rPr>
              <w:t>de</w:t>
            </w:r>
            <w:r>
              <w:rPr>
                <w:color w:val="231F20"/>
                <w:spacing w:val="-21"/>
                <w:w w:val="105"/>
                <w:sz w:val="13"/>
              </w:rPr>
              <w:t> </w:t>
            </w:r>
            <w:r>
              <w:rPr>
                <w:color w:val="231F20"/>
                <w:spacing w:val="-3"/>
                <w:w w:val="105"/>
                <w:sz w:val="13"/>
              </w:rPr>
              <w:t>rentabilidad</w:t>
            </w:r>
            <w:r>
              <w:rPr>
                <w:color w:val="231F20"/>
                <w:spacing w:val="-21"/>
                <w:w w:val="105"/>
                <w:sz w:val="13"/>
              </w:rPr>
              <w:t> </w:t>
            </w:r>
            <w:r>
              <w:rPr>
                <w:color w:val="231F20"/>
                <w:w w:val="105"/>
                <w:sz w:val="13"/>
              </w:rPr>
              <w:t>que</w:t>
            </w:r>
            <w:r>
              <w:rPr>
                <w:color w:val="231F20"/>
                <w:spacing w:val="-21"/>
                <w:w w:val="105"/>
                <w:sz w:val="13"/>
              </w:rPr>
              <w:t> </w:t>
            </w:r>
            <w:r>
              <w:rPr>
                <w:color w:val="231F20"/>
                <w:w w:val="105"/>
                <w:sz w:val="13"/>
              </w:rPr>
              <w:t>de</w:t>
            </w:r>
            <w:r>
              <w:rPr>
                <w:color w:val="231F20"/>
                <w:spacing w:val="-21"/>
                <w:w w:val="105"/>
                <w:sz w:val="13"/>
              </w:rPr>
              <w:t> </w:t>
            </w:r>
            <w:r>
              <w:rPr>
                <w:color w:val="231F20"/>
                <w:spacing w:val="-3"/>
                <w:w w:val="105"/>
                <w:sz w:val="13"/>
              </w:rPr>
              <w:t>acuerdo </w:t>
            </w:r>
            <w:r>
              <w:rPr>
                <w:color w:val="231F20"/>
                <w:w w:val="105"/>
                <w:sz w:val="13"/>
              </w:rPr>
              <w:t>a</w:t>
            </w:r>
            <w:r>
              <w:rPr>
                <w:color w:val="231F20"/>
                <w:spacing w:val="-17"/>
                <w:w w:val="105"/>
                <w:sz w:val="13"/>
              </w:rPr>
              <w:t> </w:t>
            </w:r>
            <w:r>
              <w:rPr>
                <w:color w:val="231F20"/>
                <w:w w:val="105"/>
                <w:sz w:val="13"/>
              </w:rPr>
              <w:t>un</w:t>
            </w:r>
            <w:r>
              <w:rPr>
                <w:color w:val="231F20"/>
                <w:spacing w:val="-17"/>
                <w:w w:val="105"/>
                <w:sz w:val="13"/>
              </w:rPr>
              <w:t> </w:t>
            </w:r>
            <w:r>
              <w:rPr>
                <w:color w:val="231F20"/>
                <w:w w:val="105"/>
                <w:sz w:val="13"/>
              </w:rPr>
              <w:t>modelo</w:t>
            </w:r>
            <w:r>
              <w:rPr>
                <w:color w:val="231F20"/>
                <w:spacing w:val="-17"/>
                <w:w w:val="105"/>
                <w:sz w:val="13"/>
              </w:rPr>
              <w:t> </w:t>
            </w:r>
            <w:r>
              <w:rPr>
                <w:color w:val="231F20"/>
                <w:w w:val="105"/>
                <w:sz w:val="13"/>
              </w:rPr>
              <w:t>de</w:t>
            </w:r>
            <w:r>
              <w:rPr>
                <w:color w:val="231F20"/>
                <w:spacing w:val="-17"/>
                <w:w w:val="105"/>
                <w:sz w:val="13"/>
              </w:rPr>
              <w:t> </w:t>
            </w:r>
            <w:r>
              <w:rPr>
                <w:color w:val="231F20"/>
                <w:w w:val="105"/>
                <w:sz w:val="13"/>
              </w:rPr>
              <w:t>competencia</w:t>
            </w:r>
            <w:r>
              <w:rPr>
                <w:color w:val="231F20"/>
                <w:spacing w:val="-17"/>
                <w:w w:val="105"/>
                <w:sz w:val="13"/>
              </w:rPr>
              <w:t> </w:t>
            </w:r>
            <w:r>
              <w:rPr>
                <w:color w:val="231F20"/>
                <w:w w:val="105"/>
                <w:sz w:val="13"/>
              </w:rPr>
              <w:t>perfecta,</w:t>
            </w:r>
            <w:r>
              <w:rPr>
                <w:color w:val="231F20"/>
                <w:spacing w:val="-20"/>
                <w:w w:val="105"/>
                <w:sz w:val="13"/>
              </w:rPr>
              <w:t> </w:t>
            </w:r>
            <w:r>
              <w:rPr>
                <w:color w:val="231F20"/>
                <w:w w:val="105"/>
                <w:sz w:val="13"/>
              </w:rPr>
              <w:t>es</w:t>
            </w:r>
            <w:r>
              <w:rPr>
                <w:color w:val="231F20"/>
                <w:spacing w:val="-17"/>
                <w:w w:val="105"/>
                <w:sz w:val="13"/>
              </w:rPr>
              <w:t> </w:t>
            </w:r>
            <w:r>
              <w:rPr>
                <w:color w:val="231F20"/>
                <w:w w:val="105"/>
                <w:sz w:val="13"/>
              </w:rPr>
              <w:t>competitiva</w:t>
            </w:r>
            <w:r>
              <w:rPr>
                <w:color w:val="231F20"/>
                <w:spacing w:val="-17"/>
                <w:w w:val="105"/>
                <w:sz w:val="13"/>
              </w:rPr>
              <w:t> </w:t>
            </w:r>
            <w:r>
              <w:rPr>
                <w:color w:val="231F20"/>
                <w:w w:val="105"/>
                <w:sz w:val="13"/>
              </w:rPr>
              <w:t>cuando</w:t>
            </w:r>
            <w:r>
              <w:rPr>
                <w:color w:val="231F20"/>
                <w:spacing w:val="-17"/>
                <w:w w:val="105"/>
                <w:sz w:val="13"/>
              </w:rPr>
              <w:t> </w:t>
            </w:r>
            <w:r>
              <w:rPr>
                <w:color w:val="231F20"/>
                <w:w w:val="105"/>
                <w:sz w:val="13"/>
              </w:rPr>
              <w:t>su</w:t>
            </w:r>
            <w:r>
              <w:rPr>
                <w:color w:val="231F20"/>
                <w:spacing w:val="-17"/>
                <w:w w:val="105"/>
                <w:sz w:val="13"/>
              </w:rPr>
              <w:t> </w:t>
            </w:r>
            <w:r>
              <w:rPr>
                <w:color w:val="231F20"/>
                <w:w w:val="105"/>
                <w:sz w:val="13"/>
              </w:rPr>
              <w:t>costo</w:t>
            </w:r>
            <w:r>
              <w:rPr>
                <w:color w:val="231F20"/>
                <w:spacing w:val="-17"/>
                <w:w w:val="105"/>
                <w:sz w:val="13"/>
              </w:rPr>
              <w:t> </w:t>
            </w:r>
            <w:r>
              <w:rPr>
                <w:color w:val="231F20"/>
                <w:w w:val="105"/>
                <w:sz w:val="13"/>
              </w:rPr>
              <w:t>promedio</w:t>
            </w:r>
            <w:r>
              <w:rPr>
                <w:color w:val="231F20"/>
                <w:spacing w:val="-17"/>
                <w:w w:val="105"/>
                <w:sz w:val="13"/>
              </w:rPr>
              <w:t> </w:t>
            </w:r>
            <w:r>
              <w:rPr>
                <w:color w:val="231F20"/>
                <w:w w:val="105"/>
                <w:sz w:val="13"/>
              </w:rPr>
              <w:t>no excede</w:t>
            </w:r>
            <w:r>
              <w:rPr>
                <w:color w:val="231F20"/>
                <w:spacing w:val="-9"/>
                <w:w w:val="105"/>
                <w:sz w:val="13"/>
              </w:rPr>
              <w:t> </w:t>
            </w:r>
            <w:r>
              <w:rPr>
                <w:color w:val="231F20"/>
                <w:w w:val="105"/>
                <w:sz w:val="13"/>
              </w:rPr>
              <w:t>al</w:t>
            </w:r>
            <w:r>
              <w:rPr>
                <w:color w:val="231F20"/>
                <w:spacing w:val="-9"/>
                <w:w w:val="105"/>
                <w:sz w:val="13"/>
              </w:rPr>
              <w:t> </w:t>
            </w:r>
            <w:r>
              <w:rPr>
                <w:color w:val="231F20"/>
                <w:w w:val="105"/>
                <w:sz w:val="13"/>
              </w:rPr>
              <w:t>precio</w:t>
            </w:r>
            <w:r>
              <w:rPr>
                <w:color w:val="231F20"/>
                <w:spacing w:val="-9"/>
                <w:w w:val="105"/>
                <w:sz w:val="13"/>
              </w:rPr>
              <w:t> </w:t>
            </w:r>
            <w:r>
              <w:rPr>
                <w:color w:val="231F20"/>
                <w:w w:val="105"/>
                <w:sz w:val="13"/>
              </w:rPr>
              <w:t>de</w:t>
            </w:r>
            <w:r>
              <w:rPr>
                <w:color w:val="231F20"/>
                <w:spacing w:val="-9"/>
                <w:w w:val="105"/>
                <w:sz w:val="13"/>
              </w:rPr>
              <w:t> </w:t>
            </w:r>
            <w:r>
              <w:rPr>
                <w:color w:val="231F20"/>
                <w:w w:val="105"/>
                <w:sz w:val="13"/>
              </w:rPr>
              <w:t>mercado</w:t>
            </w:r>
            <w:r>
              <w:rPr>
                <w:color w:val="231F20"/>
                <w:spacing w:val="-9"/>
                <w:w w:val="105"/>
                <w:sz w:val="13"/>
              </w:rPr>
              <w:t> </w:t>
            </w:r>
            <w:r>
              <w:rPr>
                <w:color w:val="231F20"/>
                <w:w w:val="105"/>
                <w:sz w:val="13"/>
              </w:rPr>
              <w:t>de</w:t>
            </w:r>
            <w:r>
              <w:rPr>
                <w:color w:val="231F20"/>
                <w:spacing w:val="-9"/>
                <w:w w:val="105"/>
                <w:sz w:val="13"/>
              </w:rPr>
              <w:t> </w:t>
            </w:r>
            <w:r>
              <w:rPr>
                <w:color w:val="231F20"/>
                <w:w w:val="105"/>
                <w:sz w:val="13"/>
              </w:rPr>
              <w:t>oferta</w:t>
            </w:r>
            <w:r>
              <w:rPr>
                <w:color w:val="231F20"/>
                <w:spacing w:val="-9"/>
                <w:w w:val="105"/>
                <w:sz w:val="13"/>
              </w:rPr>
              <w:t> </w:t>
            </w:r>
            <w:r>
              <w:rPr>
                <w:color w:val="231F20"/>
                <w:w w:val="105"/>
                <w:sz w:val="13"/>
              </w:rPr>
              <w:t>de</w:t>
            </w:r>
            <w:r>
              <w:rPr>
                <w:color w:val="231F20"/>
                <w:spacing w:val="-9"/>
                <w:w w:val="105"/>
                <w:sz w:val="13"/>
              </w:rPr>
              <w:t> </w:t>
            </w:r>
            <w:r>
              <w:rPr>
                <w:color w:val="231F20"/>
                <w:w w:val="105"/>
                <w:sz w:val="13"/>
              </w:rPr>
              <w:t>producto.</w:t>
            </w:r>
          </w:p>
        </w:tc>
      </w:tr>
      <w:tr>
        <w:trPr>
          <w:trHeight w:val="446" w:hRule="exact"/>
        </w:trPr>
        <w:tc>
          <w:tcPr>
            <w:tcW w:w="1868" w:type="dxa"/>
          </w:tcPr>
          <w:p>
            <w:pPr>
              <w:pStyle w:val="TableParagraph"/>
              <w:spacing w:before="86"/>
              <w:ind w:left="77"/>
              <w:rPr>
                <w:sz w:val="13"/>
              </w:rPr>
            </w:pPr>
            <w:r>
              <w:rPr>
                <w:color w:val="231F20"/>
                <w:sz w:val="13"/>
              </w:rPr>
              <w:t>OCDE, 1996</w:t>
            </w:r>
          </w:p>
        </w:tc>
        <w:tc>
          <w:tcPr>
            <w:tcW w:w="5043" w:type="dxa"/>
          </w:tcPr>
          <w:p>
            <w:pPr>
              <w:pStyle w:val="TableParagraph"/>
              <w:spacing w:line="249" w:lineRule="auto" w:before="86"/>
              <w:ind w:left="77" w:right="71"/>
              <w:rPr>
                <w:sz w:val="13"/>
              </w:rPr>
            </w:pPr>
            <w:r>
              <w:rPr>
                <w:color w:val="231F20"/>
                <w:w w:val="105"/>
                <w:sz w:val="13"/>
              </w:rPr>
              <w:t>Capacidad</w:t>
            </w:r>
            <w:r>
              <w:rPr>
                <w:color w:val="231F20"/>
                <w:spacing w:val="-18"/>
                <w:w w:val="105"/>
                <w:sz w:val="13"/>
              </w:rPr>
              <w:t> </w:t>
            </w:r>
            <w:r>
              <w:rPr>
                <w:color w:val="231F20"/>
                <w:w w:val="105"/>
                <w:sz w:val="13"/>
              </w:rPr>
              <w:t>para</w:t>
            </w:r>
            <w:r>
              <w:rPr>
                <w:color w:val="231F20"/>
                <w:spacing w:val="-18"/>
                <w:w w:val="105"/>
                <w:sz w:val="13"/>
              </w:rPr>
              <w:t> </w:t>
            </w:r>
            <w:r>
              <w:rPr>
                <w:color w:val="231F20"/>
                <w:w w:val="105"/>
                <w:sz w:val="13"/>
              </w:rPr>
              <w:t>participar</w:t>
            </w:r>
            <w:r>
              <w:rPr>
                <w:color w:val="231F20"/>
                <w:spacing w:val="-18"/>
                <w:w w:val="105"/>
                <w:sz w:val="13"/>
              </w:rPr>
              <w:t> </w:t>
            </w:r>
            <w:r>
              <w:rPr>
                <w:color w:val="231F20"/>
                <w:w w:val="105"/>
                <w:sz w:val="13"/>
              </w:rPr>
              <w:t>en</w:t>
            </w:r>
            <w:r>
              <w:rPr>
                <w:color w:val="231F20"/>
                <w:spacing w:val="-18"/>
                <w:w w:val="105"/>
                <w:sz w:val="13"/>
              </w:rPr>
              <w:t> </w:t>
            </w:r>
            <w:r>
              <w:rPr>
                <w:color w:val="231F20"/>
                <w:w w:val="105"/>
                <w:sz w:val="13"/>
              </w:rPr>
              <w:t>el</w:t>
            </w:r>
            <w:r>
              <w:rPr>
                <w:color w:val="231F20"/>
                <w:spacing w:val="-18"/>
                <w:w w:val="105"/>
                <w:sz w:val="13"/>
              </w:rPr>
              <w:t> </w:t>
            </w:r>
            <w:r>
              <w:rPr>
                <w:color w:val="231F20"/>
                <w:w w:val="105"/>
                <w:sz w:val="13"/>
              </w:rPr>
              <w:t>mercado</w:t>
            </w:r>
            <w:r>
              <w:rPr>
                <w:color w:val="231F20"/>
                <w:spacing w:val="-18"/>
                <w:w w:val="105"/>
                <w:sz w:val="13"/>
              </w:rPr>
              <w:t> </w:t>
            </w:r>
            <w:r>
              <w:rPr>
                <w:color w:val="231F20"/>
                <w:w w:val="105"/>
                <w:sz w:val="13"/>
              </w:rPr>
              <w:t>internacional</w:t>
            </w:r>
            <w:r>
              <w:rPr>
                <w:color w:val="231F20"/>
                <w:spacing w:val="-18"/>
                <w:w w:val="105"/>
                <w:sz w:val="13"/>
              </w:rPr>
              <w:t> </w:t>
            </w:r>
            <w:r>
              <w:rPr>
                <w:color w:val="231F20"/>
                <w:w w:val="105"/>
                <w:sz w:val="13"/>
              </w:rPr>
              <w:t>de</w:t>
            </w:r>
            <w:r>
              <w:rPr>
                <w:color w:val="231F20"/>
                <w:spacing w:val="-18"/>
                <w:w w:val="105"/>
                <w:sz w:val="13"/>
              </w:rPr>
              <w:t> </w:t>
            </w:r>
            <w:r>
              <w:rPr>
                <w:color w:val="231F20"/>
                <w:w w:val="105"/>
                <w:sz w:val="13"/>
              </w:rPr>
              <w:t>bienes</w:t>
            </w:r>
            <w:r>
              <w:rPr>
                <w:color w:val="231F20"/>
                <w:spacing w:val="-18"/>
                <w:w w:val="105"/>
                <w:sz w:val="13"/>
              </w:rPr>
              <w:t> </w:t>
            </w:r>
            <w:r>
              <w:rPr>
                <w:color w:val="231F20"/>
                <w:w w:val="105"/>
                <w:sz w:val="13"/>
              </w:rPr>
              <w:t>de</w:t>
            </w:r>
            <w:r>
              <w:rPr>
                <w:color w:val="231F20"/>
                <w:spacing w:val="-18"/>
                <w:w w:val="105"/>
                <w:sz w:val="13"/>
              </w:rPr>
              <w:t> </w:t>
            </w:r>
            <w:r>
              <w:rPr>
                <w:color w:val="231F20"/>
                <w:w w:val="105"/>
                <w:sz w:val="13"/>
              </w:rPr>
              <w:t>alta</w:t>
            </w:r>
            <w:r>
              <w:rPr>
                <w:color w:val="231F20"/>
                <w:spacing w:val="-18"/>
                <w:w w:val="105"/>
                <w:sz w:val="13"/>
              </w:rPr>
              <w:t> </w:t>
            </w:r>
            <w:r>
              <w:rPr>
                <w:color w:val="231F20"/>
                <w:w w:val="105"/>
                <w:sz w:val="13"/>
              </w:rPr>
              <w:t>tecnología, los</w:t>
            </w:r>
            <w:r>
              <w:rPr>
                <w:color w:val="231F20"/>
                <w:spacing w:val="-18"/>
                <w:w w:val="105"/>
                <w:sz w:val="13"/>
              </w:rPr>
              <w:t> </w:t>
            </w:r>
            <w:r>
              <w:rPr>
                <w:color w:val="231F20"/>
                <w:w w:val="105"/>
                <w:sz w:val="13"/>
              </w:rPr>
              <w:t>cuales</w:t>
            </w:r>
            <w:r>
              <w:rPr>
                <w:color w:val="231F20"/>
                <w:spacing w:val="-18"/>
                <w:w w:val="105"/>
                <w:sz w:val="13"/>
              </w:rPr>
              <w:t> </w:t>
            </w:r>
            <w:r>
              <w:rPr>
                <w:color w:val="231F20"/>
                <w:w w:val="105"/>
                <w:sz w:val="13"/>
              </w:rPr>
              <w:t>involucran</w:t>
            </w:r>
            <w:r>
              <w:rPr>
                <w:color w:val="231F20"/>
                <w:spacing w:val="-18"/>
                <w:w w:val="105"/>
                <w:sz w:val="13"/>
              </w:rPr>
              <w:t> </w:t>
            </w:r>
            <w:r>
              <w:rPr>
                <w:color w:val="231F20"/>
                <w:w w:val="105"/>
                <w:sz w:val="13"/>
              </w:rPr>
              <w:t>un</w:t>
            </w:r>
            <w:r>
              <w:rPr>
                <w:color w:val="231F20"/>
                <w:spacing w:val="-18"/>
                <w:w w:val="105"/>
                <w:sz w:val="13"/>
              </w:rPr>
              <w:t> </w:t>
            </w:r>
            <w:r>
              <w:rPr>
                <w:color w:val="231F20"/>
                <w:w w:val="105"/>
                <w:sz w:val="13"/>
              </w:rPr>
              <w:t>alto</w:t>
            </w:r>
            <w:r>
              <w:rPr>
                <w:color w:val="231F20"/>
                <w:spacing w:val="-18"/>
                <w:w w:val="105"/>
                <w:sz w:val="13"/>
              </w:rPr>
              <w:t> </w:t>
            </w:r>
            <w:r>
              <w:rPr>
                <w:color w:val="231F20"/>
                <w:w w:val="105"/>
                <w:sz w:val="13"/>
              </w:rPr>
              <w:t>valor</w:t>
            </w:r>
            <w:r>
              <w:rPr>
                <w:color w:val="231F20"/>
                <w:spacing w:val="-18"/>
                <w:w w:val="105"/>
                <w:sz w:val="13"/>
              </w:rPr>
              <w:t> </w:t>
            </w:r>
            <w:r>
              <w:rPr>
                <w:color w:val="231F20"/>
                <w:w w:val="105"/>
                <w:sz w:val="13"/>
              </w:rPr>
              <w:t>agregado.</w:t>
            </w:r>
          </w:p>
        </w:tc>
      </w:tr>
      <w:tr>
        <w:trPr>
          <w:trHeight w:val="602" w:hRule="exact"/>
        </w:trPr>
        <w:tc>
          <w:tcPr>
            <w:tcW w:w="1868" w:type="dxa"/>
          </w:tcPr>
          <w:p>
            <w:pPr>
              <w:pStyle w:val="TableParagraph"/>
              <w:spacing w:before="86"/>
              <w:ind w:left="77"/>
              <w:rPr>
                <w:sz w:val="13"/>
              </w:rPr>
            </w:pPr>
            <w:r>
              <w:rPr>
                <w:color w:val="231F20"/>
                <w:sz w:val="13"/>
              </w:rPr>
              <w:t>Guzmán 1997</w:t>
            </w:r>
          </w:p>
        </w:tc>
        <w:tc>
          <w:tcPr>
            <w:tcW w:w="5043" w:type="dxa"/>
          </w:tcPr>
          <w:p>
            <w:pPr>
              <w:pStyle w:val="TableParagraph"/>
              <w:spacing w:line="249" w:lineRule="auto" w:before="86"/>
              <w:ind w:left="77" w:right="76"/>
              <w:jc w:val="both"/>
              <w:rPr>
                <w:sz w:val="13"/>
              </w:rPr>
            </w:pPr>
            <w:r>
              <w:rPr>
                <w:color w:val="231F20"/>
                <w:w w:val="105"/>
                <w:sz w:val="13"/>
              </w:rPr>
              <w:t>Capacidad</w:t>
            </w:r>
            <w:r>
              <w:rPr>
                <w:color w:val="231F20"/>
                <w:spacing w:val="-21"/>
                <w:w w:val="105"/>
                <w:sz w:val="13"/>
              </w:rPr>
              <w:t> </w:t>
            </w:r>
            <w:r>
              <w:rPr>
                <w:color w:val="231F20"/>
                <w:w w:val="105"/>
                <w:sz w:val="13"/>
              </w:rPr>
              <w:t>de</w:t>
            </w:r>
            <w:r>
              <w:rPr>
                <w:color w:val="231F20"/>
                <w:spacing w:val="-21"/>
                <w:w w:val="105"/>
                <w:sz w:val="13"/>
              </w:rPr>
              <w:t> </w:t>
            </w:r>
            <w:r>
              <w:rPr>
                <w:color w:val="231F20"/>
                <w:w w:val="105"/>
                <w:sz w:val="13"/>
              </w:rPr>
              <w:t>cualquier</w:t>
            </w:r>
            <w:r>
              <w:rPr>
                <w:color w:val="231F20"/>
                <w:spacing w:val="-21"/>
                <w:w w:val="105"/>
                <w:sz w:val="13"/>
              </w:rPr>
              <w:t> </w:t>
            </w:r>
            <w:r>
              <w:rPr>
                <w:color w:val="231F20"/>
                <w:w w:val="105"/>
                <w:sz w:val="13"/>
              </w:rPr>
              <w:t>tipo</w:t>
            </w:r>
            <w:r>
              <w:rPr>
                <w:color w:val="231F20"/>
                <w:spacing w:val="-21"/>
                <w:w w:val="105"/>
                <w:sz w:val="13"/>
              </w:rPr>
              <w:t> </w:t>
            </w:r>
            <w:r>
              <w:rPr>
                <w:color w:val="231F20"/>
                <w:w w:val="105"/>
                <w:sz w:val="13"/>
              </w:rPr>
              <w:t>de</w:t>
            </w:r>
            <w:r>
              <w:rPr>
                <w:color w:val="231F20"/>
                <w:spacing w:val="-21"/>
                <w:w w:val="105"/>
                <w:sz w:val="13"/>
              </w:rPr>
              <w:t> </w:t>
            </w:r>
            <w:r>
              <w:rPr>
                <w:color w:val="231F20"/>
                <w:w w:val="105"/>
                <w:sz w:val="13"/>
              </w:rPr>
              <w:t>empresa</w:t>
            </w:r>
            <w:r>
              <w:rPr>
                <w:color w:val="231F20"/>
                <w:spacing w:val="-21"/>
                <w:w w:val="105"/>
                <w:sz w:val="13"/>
              </w:rPr>
              <w:t> </w:t>
            </w:r>
            <w:r>
              <w:rPr>
                <w:color w:val="231F20"/>
                <w:w w:val="105"/>
                <w:sz w:val="13"/>
              </w:rPr>
              <w:t>u</w:t>
            </w:r>
            <w:r>
              <w:rPr>
                <w:color w:val="231F20"/>
                <w:spacing w:val="-21"/>
                <w:w w:val="105"/>
                <w:sz w:val="13"/>
              </w:rPr>
              <w:t> </w:t>
            </w:r>
            <w:r>
              <w:rPr>
                <w:color w:val="231F20"/>
                <w:w w:val="105"/>
                <w:sz w:val="13"/>
              </w:rPr>
              <w:t>organización</w:t>
            </w:r>
            <w:r>
              <w:rPr>
                <w:color w:val="231F20"/>
                <w:spacing w:val="-21"/>
                <w:w w:val="105"/>
                <w:sz w:val="13"/>
              </w:rPr>
              <w:t> </w:t>
            </w:r>
            <w:r>
              <w:rPr>
                <w:color w:val="231F20"/>
                <w:w w:val="105"/>
                <w:sz w:val="13"/>
              </w:rPr>
              <w:t>para</w:t>
            </w:r>
            <w:r>
              <w:rPr>
                <w:color w:val="231F20"/>
                <w:spacing w:val="-21"/>
                <w:w w:val="105"/>
                <w:sz w:val="13"/>
              </w:rPr>
              <w:t> </w:t>
            </w:r>
            <w:r>
              <w:rPr>
                <w:color w:val="231F20"/>
                <w:w w:val="105"/>
                <w:sz w:val="13"/>
              </w:rPr>
              <w:t>desarrollar</w:t>
            </w:r>
            <w:r>
              <w:rPr>
                <w:color w:val="231F20"/>
                <w:spacing w:val="-21"/>
                <w:w w:val="105"/>
                <w:sz w:val="13"/>
              </w:rPr>
              <w:t> </w:t>
            </w:r>
            <w:r>
              <w:rPr>
                <w:color w:val="231F20"/>
                <w:w w:val="105"/>
                <w:sz w:val="13"/>
              </w:rPr>
              <w:t>y</w:t>
            </w:r>
            <w:r>
              <w:rPr>
                <w:color w:val="231F20"/>
                <w:spacing w:val="-21"/>
                <w:w w:val="105"/>
                <w:sz w:val="13"/>
              </w:rPr>
              <w:t> </w:t>
            </w:r>
            <w:r>
              <w:rPr>
                <w:color w:val="231F20"/>
                <w:w w:val="105"/>
                <w:sz w:val="13"/>
              </w:rPr>
              <w:t>mantener sistemáticamente</w:t>
            </w:r>
            <w:r>
              <w:rPr>
                <w:color w:val="231F20"/>
                <w:spacing w:val="-8"/>
                <w:w w:val="105"/>
                <w:sz w:val="13"/>
              </w:rPr>
              <w:t> </w:t>
            </w:r>
            <w:r>
              <w:rPr>
                <w:color w:val="231F20"/>
                <w:w w:val="105"/>
                <w:sz w:val="13"/>
              </w:rPr>
              <w:t>ventajas</w:t>
            </w:r>
            <w:r>
              <w:rPr>
                <w:color w:val="231F20"/>
                <w:spacing w:val="-8"/>
                <w:w w:val="105"/>
                <w:sz w:val="13"/>
              </w:rPr>
              <w:t> </w:t>
            </w:r>
            <w:r>
              <w:rPr>
                <w:color w:val="231F20"/>
                <w:w w:val="105"/>
                <w:sz w:val="13"/>
              </w:rPr>
              <w:t>competitivas</w:t>
            </w:r>
            <w:r>
              <w:rPr>
                <w:color w:val="231F20"/>
                <w:spacing w:val="-8"/>
                <w:w w:val="105"/>
                <w:sz w:val="13"/>
              </w:rPr>
              <w:t> </w:t>
            </w:r>
            <w:r>
              <w:rPr>
                <w:color w:val="231F20"/>
                <w:w w:val="105"/>
                <w:sz w:val="13"/>
              </w:rPr>
              <w:t>que</w:t>
            </w:r>
            <w:r>
              <w:rPr>
                <w:color w:val="231F20"/>
                <w:spacing w:val="-8"/>
                <w:w w:val="105"/>
                <w:sz w:val="13"/>
              </w:rPr>
              <w:t> </w:t>
            </w:r>
            <w:r>
              <w:rPr>
                <w:color w:val="231F20"/>
                <w:w w:val="105"/>
                <w:sz w:val="13"/>
              </w:rPr>
              <w:t>le</w:t>
            </w:r>
            <w:r>
              <w:rPr>
                <w:color w:val="231F20"/>
                <w:spacing w:val="-8"/>
                <w:w w:val="105"/>
                <w:sz w:val="13"/>
              </w:rPr>
              <w:t> </w:t>
            </w:r>
            <w:r>
              <w:rPr>
                <w:color w:val="231F20"/>
                <w:w w:val="105"/>
                <w:sz w:val="13"/>
              </w:rPr>
              <w:t>permitan</w:t>
            </w:r>
            <w:r>
              <w:rPr>
                <w:color w:val="231F20"/>
                <w:spacing w:val="-8"/>
                <w:w w:val="105"/>
                <w:sz w:val="13"/>
              </w:rPr>
              <w:t> </w:t>
            </w:r>
            <w:r>
              <w:rPr>
                <w:color w:val="231F20"/>
                <w:w w:val="105"/>
                <w:sz w:val="13"/>
              </w:rPr>
              <w:t>disfrutar</w:t>
            </w:r>
            <w:r>
              <w:rPr>
                <w:color w:val="231F20"/>
                <w:spacing w:val="-8"/>
                <w:w w:val="105"/>
                <w:sz w:val="13"/>
              </w:rPr>
              <w:t> </w:t>
            </w:r>
            <w:r>
              <w:rPr>
                <w:color w:val="231F20"/>
                <w:w w:val="105"/>
                <w:sz w:val="13"/>
              </w:rPr>
              <w:t>y</w:t>
            </w:r>
            <w:r>
              <w:rPr>
                <w:color w:val="231F20"/>
                <w:spacing w:val="-8"/>
                <w:w w:val="105"/>
                <w:sz w:val="13"/>
              </w:rPr>
              <w:t> </w:t>
            </w:r>
            <w:r>
              <w:rPr>
                <w:color w:val="231F20"/>
                <w:w w:val="105"/>
                <w:sz w:val="13"/>
              </w:rPr>
              <w:t>sostener</w:t>
            </w:r>
            <w:r>
              <w:rPr>
                <w:color w:val="231F20"/>
                <w:spacing w:val="-8"/>
                <w:w w:val="105"/>
                <w:sz w:val="13"/>
              </w:rPr>
              <w:t> </w:t>
            </w:r>
            <w:r>
              <w:rPr>
                <w:color w:val="231F20"/>
                <w:w w:val="105"/>
                <w:sz w:val="13"/>
              </w:rPr>
              <w:t>en</w:t>
            </w:r>
            <w:r>
              <w:rPr>
                <w:color w:val="231F20"/>
                <w:spacing w:val="-8"/>
                <w:w w:val="105"/>
                <w:sz w:val="13"/>
              </w:rPr>
              <w:t> </w:t>
            </w:r>
            <w:r>
              <w:rPr>
                <w:color w:val="231F20"/>
                <w:w w:val="105"/>
                <w:sz w:val="13"/>
              </w:rPr>
              <w:t>el tiempo</w:t>
            </w:r>
            <w:r>
              <w:rPr>
                <w:color w:val="231F20"/>
                <w:spacing w:val="-13"/>
                <w:w w:val="105"/>
                <w:sz w:val="13"/>
              </w:rPr>
              <w:t> </w:t>
            </w:r>
            <w:r>
              <w:rPr>
                <w:color w:val="231F20"/>
                <w:w w:val="105"/>
                <w:sz w:val="13"/>
              </w:rPr>
              <w:t>una</w:t>
            </w:r>
            <w:r>
              <w:rPr>
                <w:color w:val="231F20"/>
                <w:spacing w:val="-13"/>
                <w:w w:val="105"/>
                <w:sz w:val="13"/>
              </w:rPr>
              <w:t> </w:t>
            </w:r>
            <w:r>
              <w:rPr>
                <w:color w:val="231F20"/>
                <w:w w:val="105"/>
                <w:sz w:val="13"/>
              </w:rPr>
              <w:t>posición</w:t>
            </w:r>
            <w:r>
              <w:rPr>
                <w:color w:val="231F20"/>
                <w:spacing w:val="-13"/>
                <w:w w:val="105"/>
                <w:sz w:val="13"/>
              </w:rPr>
              <w:t> </w:t>
            </w:r>
            <w:r>
              <w:rPr>
                <w:color w:val="231F20"/>
                <w:w w:val="105"/>
                <w:sz w:val="13"/>
              </w:rPr>
              <w:t>destacada</w:t>
            </w:r>
            <w:r>
              <w:rPr>
                <w:color w:val="231F20"/>
                <w:spacing w:val="-13"/>
                <w:w w:val="105"/>
                <w:sz w:val="13"/>
              </w:rPr>
              <w:t> </w:t>
            </w:r>
            <w:r>
              <w:rPr>
                <w:color w:val="231F20"/>
                <w:w w:val="105"/>
                <w:sz w:val="13"/>
              </w:rPr>
              <w:t>en</w:t>
            </w:r>
            <w:r>
              <w:rPr>
                <w:color w:val="231F20"/>
                <w:spacing w:val="-13"/>
                <w:w w:val="105"/>
                <w:sz w:val="13"/>
              </w:rPr>
              <w:t> </w:t>
            </w:r>
            <w:r>
              <w:rPr>
                <w:color w:val="231F20"/>
                <w:w w:val="105"/>
                <w:sz w:val="13"/>
              </w:rPr>
              <w:t>el</w:t>
            </w:r>
            <w:r>
              <w:rPr>
                <w:color w:val="231F20"/>
                <w:spacing w:val="-13"/>
                <w:w w:val="105"/>
                <w:sz w:val="13"/>
              </w:rPr>
              <w:t> </w:t>
            </w:r>
            <w:r>
              <w:rPr>
                <w:color w:val="231F20"/>
                <w:w w:val="105"/>
                <w:sz w:val="13"/>
              </w:rPr>
              <w:t>entorno</w:t>
            </w:r>
            <w:r>
              <w:rPr>
                <w:color w:val="231F20"/>
                <w:spacing w:val="-13"/>
                <w:w w:val="105"/>
                <w:sz w:val="13"/>
              </w:rPr>
              <w:t> </w:t>
            </w:r>
            <w:r>
              <w:rPr>
                <w:color w:val="231F20"/>
                <w:w w:val="105"/>
                <w:sz w:val="13"/>
              </w:rPr>
              <w:t>en</w:t>
            </w:r>
            <w:r>
              <w:rPr>
                <w:color w:val="231F20"/>
                <w:spacing w:val="-13"/>
                <w:w w:val="105"/>
                <w:sz w:val="13"/>
              </w:rPr>
              <w:t> </w:t>
            </w:r>
            <w:r>
              <w:rPr>
                <w:color w:val="231F20"/>
                <w:w w:val="105"/>
                <w:sz w:val="13"/>
              </w:rPr>
              <w:t>que</w:t>
            </w:r>
            <w:r>
              <w:rPr>
                <w:color w:val="231F20"/>
                <w:spacing w:val="-13"/>
                <w:w w:val="105"/>
                <w:sz w:val="13"/>
              </w:rPr>
              <w:t> </w:t>
            </w:r>
            <w:r>
              <w:rPr>
                <w:color w:val="231F20"/>
                <w:w w:val="105"/>
                <w:sz w:val="13"/>
              </w:rPr>
              <w:t>actúa.</w:t>
            </w:r>
          </w:p>
        </w:tc>
      </w:tr>
    </w:tbl>
    <w:p>
      <w:pPr>
        <w:spacing w:before="18"/>
        <w:ind w:left="103" w:right="17" w:firstLine="0"/>
        <w:jc w:val="left"/>
        <w:rPr>
          <w:sz w:val="16"/>
        </w:rPr>
      </w:pPr>
      <w:r>
        <w:rPr>
          <w:color w:val="231F20"/>
          <w:sz w:val="16"/>
        </w:rPr>
        <w:t>Fuente: Demuner, 2010.</w:t>
      </w:r>
    </w:p>
    <w:p>
      <w:pPr>
        <w:pStyle w:val="BodyText"/>
        <w:rPr>
          <w:sz w:val="20"/>
        </w:rPr>
      </w:pPr>
    </w:p>
    <w:p>
      <w:pPr>
        <w:pStyle w:val="BodyText"/>
        <w:rPr>
          <w:sz w:val="20"/>
        </w:rPr>
      </w:pPr>
    </w:p>
    <w:p>
      <w:pPr>
        <w:pStyle w:val="BodyText"/>
        <w:spacing w:before="1"/>
        <w:rPr>
          <w:sz w:val="28"/>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92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44</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896"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45</w:t>
      </w:r>
    </w:p>
    <w:p>
      <w:pPr>
        <w:spacing w:line="187" w:lineRule="exact" w:before="0"/>
        <w:ind w:left="4186" w:right="17"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BodyText"/>
        <w:spacing w:line="259" w:lineRule="auto" w:before="169"/>
        <w:ind w:left="117" w:right="101"/>
        <w:jc w:val="both"/>
      </w:pPr>
      <w:r>
        <w:rPr>
          <w:color w:val="231F20"/>
          <w:w w:val="105"/>
        </w:rPr>
        <w:t>La</w:t>
      </w:r>
      <w:r>
        <w:rPr>
          <w:color w:val="231F20"/>
          <w:spacing w:val="-15"/>
          <w:w w:val="105"/>
        </w:rPr>
        <w:t> </w:t>
      </w:r>
      <w:r>
        <w:rPr>
          <w:color w:val="231F20"/>
          <w:spacing w:val="-3"/>
          <w:w w:val="105"/>
        </w:rPr>
        <w:t>intersección</w:t>
      </w:r>
      <w:r>
        <w:rPr>
          <w:color w:val="231F20"/>
          <w:spacing w:val="-15"/>
          <w:w w:val="105"/>
        </w:rPr>
        <w:t> </w:t>
      </w:r>
      <w:r>
        <w:rPr>
          <w:color w:val="231F20"/>
          <w:spacing w:val="-3"/>
          <w:w w:val="105"/>
        </w:rPr>
        <w:t>entre</w:t>
      </w:r>
      <w:r>
        <w:rPr>
          <w:color w:val="231F20"/>
          <w:spacing w:val="-15"/>
          <w:w w:val="105"/>
        </w:rPr>
        <w:t> </w:t>
      </w:r>
      <w:r>
        <w:rPr>
          <w:color w:val="231F20"/>
          <w:w w:val="105"/>
        </w:rPr>
        <w:t>los</w:t>
      </w:r>
      <w:r>
        <w:rPr>
          <w:color w:val="231F20"/>
          <w:spacing w:val="-15"/>
          <w:w w:val="105"/>
        </w:rPr>
        <w:t> </w:t>
      </w:r>
      <w:r>
        <w:rPr>
          <w:color w:val="231F20"/>
          <w:spacing w:val="-3"/>
          <w:w w:val="105"/>
        </w:rPr>
        <w:t>enfoques</w:t>
      </w:r>
      <w:r>
        <w:rPr>
          <w:color w:val="231F20"/>
          <w:spacing w:val="-15"/>
          <w:w w:val="105"/>
        </w:rPr>
        <w:t> </w:t>
      </w:r>
      <w:r>
        <w:rPr>
          <w:color w:val="231F20"/>
          <w:spacing w:val="-3"/>
          <w:w w:val="105"/>
        </w:rPr>
        <w:t>macro</w:t>
      </w:r>
      <w:r>
        <w:rPr>
          <w:color w:val="231F20"/>
          <w:spacing w:val="-15"/>
          <w:w w:val="105"/>
        </w:rPr>
        <w:t> </w:t>
      </w:r>
      <w:r>
        <w:rPr>
          <w:color w:val="231F20"/>
          <w:w w:val="105"/>
        </w:rPr>
        <w:t>y</w:t>
      </w:r>
      <w:r>
        <w:rPr>
          <w:color w:val="231F20"/>
          <w:spacing w:val="-15"/>
          <w:w w:val="105"/>
        </w:rPr>
        <w:t> </w:t>
      </w:r>
      <w:r>
        <w:rPr>
          <w:color w:val="231F20"/>
          <w:spacing w:val="-3"/>
          <w:w w:val="105"/>
        </w:rPr>
        <w:t>micro</w:t>
      </w:r>
      <w:r>
        <w:rPr>
          <w:color w:val="231F20"/>
          <w:spacing w:val="-15"/>
          <w:w w:val="105"/>
        </w:rPr>
        <w:t> </w:t>
      </w:r>
      <w:r>
        <w:rPr>
          <w:color w:val="231F20"/>
          <w:spacing w:val="-3"/>
          <w:w w:val="105"/>
        </w:rPr>
        <w:t>queda</w:t>
      </w:r>
      <w:r>
        <w:rPr>
          <w:color w:val="231F20"/>
          <w:spacing w:val="-15"/>
          <w:w w:val="105"/>
        </w:rPr>
        <w:t> </w:t>
      </w:r>
      <w:r>
        <w:rPr>
          <w:color w:val="231F20"/>
          <w:spacing w:val="-3"/>
          <w:w w:val="105"/>
        </w:rPr>
        <w:t>manifiesta</w:t>
      </w:r>
      <w:r>
        <w:rPr>
          <w:color w:val="231F20"/>
          <w:spacing w:val="-15"/>
          <w:w w:val="105"/>
        </w:rPr>
        <w:t> </w:t>
      </w:r>
      <w:r>
        <w:rPr>
          <w:color w:val="231F20"/>
          <w:w w:val="105"/>
        </w:rPr>
        <w:t>en</w:t>
      </w:r>
      <w:r>
        <w:rPr>
          <w:color w:val="231F20"/>
          <w:spacing w:val="-15"/>
          <w:w w:val="105"/>
        </w:rPr>
        <w:t> </w:t>
      </w:r>
      <w:r>
        <w:rPr>
          <w:color w:val="231F20"/>
          <w:spacing w:val="-3"/>
          <w:w w:val="105"/>
        </w:rPr>
        <w:t>las definiciones anteriores, pues para </w:t>
      </w:r>
      <w:r>
        <w:rPr>
          <w:color w:val="231F20"/>
          <w:w w:val="105"/>
        </w:rPr>
        <w:t>que la </w:t>
      </w:r>
      <w:r>
        <w:rPr>
          <w:color w:val="231F20"/>
          <w:spacing w:val="-3"/>
          <w:w w:val="105"/>
        </w:rPr>
        <w:t>competitividad </w:t>
      </w:r>
      <w:r>
        <w:rPr>
          <w:color w:val="231F20"/>
          <w:w w:val="105"/>
        </w:rPr>
        <w:t>se </w:t>
      </w:r>
      <w:r>
        <w:rPr>
          <w:color w:val="231F20"/>
          <w:spacing w:val="-3"/>
          <w:w w:val="105"/>
        </w:rPr>
        <w:t>lleve </w:t>
      </w:r>
      <w:r>
        <w:rPr>
          <w:color w:val="231F20"/>
          <w:w w:val="105"/>
        </w:rPr>
        <w:t>a </w:t>
      </w:r>
      <w:r>
        <w:rPr>
          <w:color w:val="231F20"/>
          <w:spacing w:val="-3"/>
          <w:w w:val="105"/>
        </w:rPr>
        <w:t>cabo </w:t>
      </w:r>
      <w:r>
        <w:rPr>
          <w:color w:val="231F20"/>
          <w:w w:val="105"/>
        </w:rPr>
        <w:t>es </w:t>
      </w:r>
      <w:r>
        <w:rPr>
          <w:color w:val="231F20"/>
          <w:spacing w:val="-3"/>
          <w:w w:val="105"/>
        </w:rPr>
        <w:t>necesario </w:t>
      </w:r>
      <w:r>
        <w:rPr>
          <w:color w:val="231F20"/>
          <w:w w:val="105"/>
        </w:rPr>
        <w:t>que la </w:t>
      </w:r>
      <w:r>
        <w:rPr>
          <w:color w:val="231F20"/>
          <w:spacing w:val="-3"/>
          <w:w w:val="105"/>
        </w:rPr>
        <w:t>empresa sobresalga </w:t>
      </w:r>
      <w:r>
        <w:rPr>
          <w:color w:val="231F20"/>
          <w:w w:val="105"/>
        </w:rPr>
        <w:t>en el </w:t>
      </w:r>
      <w:r>
        <w:rPr>
          <w:color w:val="231F20"/>
          <w:spacing w:val="-3"/>
          <w:w w:val="105"/>
        </w:rPr>
        <w:t>contexto </w:t>
      </w:r>
      <w:r>
        <w:rPr>
          <w:color w:val="231F20"/>
          <w:w w:val="105"/>
        </w:rPr>
        <w:t>o </w:t>
      </w:r>
      <w:r>
        <w:rPr>
          <w:color w:val="231F20"/>
          <w:spacing w:val="-3"/>
          <w:w w:val="105"/>
        </w:rPr>
        <w:t>sector </w:t>
      </w:r>
      <w:r>
        <w:rPr>
          <w:color w:val="231F20"/>
          <w:w w:val="105"/>
        </w:rPr>
        <w:t>en </w:t>
      </w:r>
      <w:r>
        <w:rPr>
          <w:color w:val="231F20"/>
          <w:spacing w:val="-3"/>
          <w:w w:val="105"/>
        </w:rPr>
        <w:t>que </w:t>
      </w:r>
      <w:r>
        <w:rPr>
          <w:color w:val="231F20"/>
          <w:w w:val="105"/>
        </w:rPr>
        <w:t>se</w:t>
      </w:r>
      <w:r>
        <w:rPr>
          <w:color w:val="231F20"/>
          <w:spacing w:val="-9"/>
          <w:w w:val="105"/>
        </w:rPr>
        <w:t> </w:t>
      </w:r>
      <w:r>
        <w:rPr>
          <w:color w:val="231F20"/>
          <w:spacing w:val="-3"/>
          <w:w w:val="105"/>
        </w:rPr>
        <w:t>desenvuelve.</w:t>
      </w:r>
      <w:r>
        <w:rPr>
          <w:color w:val="231F20"/>
          <w:spacing w:val="-15"/>
          <w:w w:val="105"/>
        </w:rPr>
        <w:t> </w:t>
      </w:r>
      <w:r>
        <w:rPr>
          <w:color w:val="231F20"/>
          <w:spacing w:val="-3"/>
          <w:w w:val="105"/>
        </w:rPr>
        <w:t>Desde</w:t>
      </w:r>
      <w:r>
        <w:rPr>
          <w:color w:val="231F20"/>
          <w:spacing w:val="-9"/>
          <w:w w:val="105"/>
        </w:rPr>
        <w:t> </w:t>
      </w:r>
      <w:r>
        <w:rPr>
          <w:color w:val="231F20"/>
          <w:w w:val="105"/>
        </w:rPr>
        <w:t>el</w:t>
      </w:r>
      <w:r>
        <w:rPr>
          <w:color w:val="231F20"/>
          <w:spacing w:val="-9"/>
          <w:w w:val="105"/>
        </w:rPr>
        <w:t> </w:t>
      </w:r>
      <w:r>
        <w:rPr>
          <w:color w:val="231F20"/>
          <w:spacing w:val="-3"/>
          <w:w w:val="105"/>
        </w:rPr>
        <w:t>enfoque</w:t>
      </w:r>
      <w:r>
        <w:rPr>
          <w:color w:val="231F20"/>
          <w:spacing w:val="-9"/>
          <w:w w:val="105"/>
        </w:rPr>
        <w:t> </w:t>
      </w:r>
      <w:r>
        <w:rPr>
          <w:color w:val="231F20"/>
          <w:spacing w:val="-3"/>
          <w:w w:val="105"/>
        </w:rPr>
        <w:t>económico</w:t>
      </w:r>
      <w:r>
        <w:rPr>
          <w:color w:val="231F20"/>
          <w:spacing w:val="-9"/>
          <w:w w:val="105"/>
        </w:rPr>
        <w:t> </w:t>
      </w:r>
      <w:r>
        <w:rPr>
          <w:color w:val="231F20"/>
          <w:spacing w:val="-4"/>
          <w:w w:val="105"/>
        </w:rPr>
        <w:t>administrativo,</w:t>
      </w:r>
      <w:r>
        <w:rPr>
          <w:color w:val="231F20"/>
          <w:spacing w:val="-15"/>
          <w:w w:val="105"/>
        </w:rPr>
        <w:t> </w:t>
      </w:r>
      <w:r>
        <w:rPr>
          <w:color w:val="231F20"/>
          <w:w w:val="105"/>
        </w:rPr>
        <w:t>la</w:t>
      </w:r>
      <w:r>
        <w:rPr>
          <w:color w:val="231F20"/>
          <w:spacing w:val="-9"/>
          <w:w w:val="105"/>
        </w:rPr>
        <w:t> </w:t>
      </w:r>
      <w:r>
        <w:rPr>
          <w:color w:val="231F20"/>
          <w:spacing w:val="-3"/>
          <w:w w:val="105"/>
        </w:rPr>
        <w:t>competi- tividad</w:t>
      </w:r>
      <w:r>
        <w:rPr>
          <w:color w:val="231F20"/>
          <w:spacing w:val="-13"/>
          <w:w w:val="105"/>
        </w:rPr>
        <w:t> </w:t>
      </w:r>
      <w:r>
        <w:rPr>
          <w:color w:val="231F20"/>
          <w:spacing w:val="-3"/>
          <w:w w:val="105"/>
        </w:rPr>
        <w:t>empresarial</w:t>
      </w:r>
      <w:r>
        <w:rPr>
          <w:color w:val="231F20"/>
          <w:spacing w:val="-13"/>
          <w:w w:val="105"/>
        </w:rPr>
        <w:t> </w:t>
      </w:r>
      <w:r>
        <w:rPr>
          <w:color w:val="231F20"/>
          <w:spacing w:val="-3"/>
          <w:w w:val="105"/>
        </w:rPr>
        <w:t>reside</w:t>
      </w:r>
      <w:r>
        <w:rPr>
          <w:color w:val="231F20"/>
          <w:spacing w:val="-13"/>
          <w:w w:val="105"/>
        </w:rPr>
        <w:t> </w:t>
      </w:r>
      <w:r>
        <w:rPr>
          <w:color w:val="231F20"/>
          <w:w w:val="105"/>
        </w:rPr>
        <w:t>en</w:t>
      </w:r>
      <w:r>
        <w:rPr>
          <w:color w:val="231F20"/>
          <w:spacing w:val="-13"/>
          <w:w w:val="105"/>
        </w:rPr>
        <w:t> </w:t>
      </w:r>
      <w:r>
        <w:rPr>
          <w:color w:val="231F20"/>
          <w:spacing w:val="-3"/>
          <w:w w:val="105"/>
        </w:rPr>
        <w:t>lograr</w:t>
      </w:r>
      <w:r>
        <w:rPr>
          <w:color w:val="231F20"/>
          <w:spacing w:val="-13"/>
          <w:w w:val="105"/>
        </w:rPr>
        <w:t> </w:t>
      </w:r>
      <w:r>
        <w:rPr>
          <w:color w:val="231F20"/>
          <w:w w:val="105"/>
        </w:rPr>
        <w:t>la</w:t>
      </w:r>
      <w:r>
        <w:rPr>
          <w:color w:val="231F20"/>
          <w:spacing w:val="-13"/>
          <w:w w:val="105"/>
        </w:rPr>
        <w:t> </w:t>
      </w:r>
      <w:r>
        <w:rPr>
          <w:color w:val="231F20"/>
          <w:spacing w:val="-3"/>
          <w:w w:val="105"/>
        </w:rPr>
        <w:t>superioridad</w:t>
      </w:r>
      <w:r>
        <w:rPr>
          <w:color w:val="231F20"/>
          <w:spacing w:val="-13"/>
          <w:w w:val="105"/>
        </w:rPr>
        <w:t> </w:t>
      </w:r>
      <w:r>
        <w:rPr>
          <w:color w:val="231F20"/>
          <w:spacing w:val="-3"/>
          <w:w w:val="105"/>
        </w:rPr>
        <w:t>entre</w:t>
      </w:r>
      <w:r>
        <w:rPr>
          <w:color w:val="231F20"/>
          <w:spacing w:val="-13"/>
          <w:w w:val="105"/>
        </w:rPr>
        <w:t> </w:t>
      </w:r>
      <w:r>
        <w:rPr>
          <w:color w:val="231F20"/>
          <w:spacing w:val="-3"/>
          <w:w w:val="105"/>
        </w:rPr>
        <w:t>pares</w:t>
      </w:r>
      <w:r>
        <w:rPr>
          <w:color w:val="231F20"/>
          <w:spacing w:val="-13"/>
          <w:w w:val="105"/>
        </w:rPr>
        <w:t> </w:t>
      </w:r>
      <w:r>
        <w:rPr>
          <w:color w:val="231F20"/>
          <w:w w:val="105"/>
        </w:rPr>
        <w:t>a</w:t>
      </w:r>
      <w:r>
        <w:rPr>
          <w:color w:val="231F20"/>
          <w:spacing w:val="-13"/>
          <w:w w:val="105"/>
        </w:rPr>
        <w:t> </w:t>
      </w:r>
      <w:r>
        <w:rPr>
          <w:color w:val="231F20"/>
          <w:spacing w:val="-3"/>
          <w:w w:val="105"/>
        </w:rPr>
        <w:t>partir</w:t>
      </w:r>
      <w:r>
        <w:rPr>
          <w:color w:val="231F20"/>
          <w:spacing w:val="-13"/>
          <w:w w:val="105"/>
        </w:rPr>
        <w:t> </w:t>
      </w:r>
      <w:r>
        <w:rPr>
          <w:color w:val="231F20"/>
          <w:spacing w:val="-3"/>
          <w:w w:val="105"/>
        </w:rPr>
        <w:t>de cualidades</w:t>
      </w:r>
      <w:r>
        <w:rPr>
          <w:color w:val="231F20"/>
          <w:spacing w:val="-22"/>
          <w:w w:val="105"/>
        </w:rPr>
        <w:t> </w:t>
      </w:r>
      <w:r>
        <w:rPr>
          <w:color w:val="231F20"/>
          <w:spacing w:val="-3"/>
          <w:w w:val="105"/>
        </w:rPr>
        <w:t>distintivas</w:t>
      </w:r>
      <w:r>
        <w:rPr>
          <w:color w:val="231F20"/>
          <w:spacing w:val="-22"/>
          <w:w w:val="105"/>
        </w:rPr>
        <w:t> </w:t>
      </w:r>
      <w:r>
        <w:rPr>
          <w:color w:val="231F20"/>
          <w:spacing w:val="-3"/>
          <w:w w:val="105"/>
        </w:rPr>
        <w:t>para</w:t>
      </w:r>
      <w:r>
        <w:rPr>
          <w:color w:val="231F20"/>
          <w:spacing w:val="-22"/>
          <w:w w:val="105"/>
        </w:rPr>
        <w:t> </w:t>
      </w:r>
      <w:r>
        <w:rPr>
          <w:color w:val="231F20"/>
          <w:spacing w:val="-3"/>
          <w:w w:val="105"/>
        </w:rPr>
        <w:t>obtener</w:t>
      </w:r>
      <w:r>
        <w:rPr>
          <w:color w:val="231F20"/>
          <w:spacing w:val="-22"/>
          <w:w w:val="105"/>
        </w:rPr>
        <w:t> </w:t>
      </w:r>
      <w:r>
        <w:rPr>
          <w:color w:val="231F20"/>
          <w:w w:val="105"/>
        </w:rPr>
        <w:t>un</w:t>
      </w:r>
      <w:r>
        <w:rPr>
          <w:color w:val="231F20"/>
          <w:spacing w:val="-22"/>
          <w:w w:val="105"/>
        </w:rPr>
        <w:t> </w:t>
      </w:r>
      <w:r>
        <w:rPr>
          <w:color w:val="231F20"/>
          <w:spacing w:val="-3"/>
          <w:w w:val="105"/>
        </w:rPr>
        <w:t>beneficio</w:t>
      </w:r>
      <w:r>
        <w:rPr>
          <w:color w:val="231F20"/>
          <w:spacing w:val="-22"/>
          <w:w w:val="105"/>
        </w:rPr>
        <w:t> </w:t>
      </w:r>
      <w:r>
        <w:rPr>
          <w:color w:val="231F20"/>
          <w:w w:val="105"/>
        </w:rPr>
        <w:t>e</w:t>
      </w:r>
      <w:r>
        <w:rPr>
          <w:color w:val="231F20"/>
          <w:spacing w:val="-22"/>
          <w:w w:val="105"/>
        </w:rPr>
        <w:t> </w:t>
      </w:r>
      <w:r>
        <w:rPr>
          <w:color w:val="231F20"/>
          <w:spacing w:val="-3"/>
          <w:w w:val="105"/>
        </w:rPr>
        <w:t>imponerse</w:t>
      </w:r>
      <w:r>
        <w:rPr>
          <w:color w:val="231F20"/>
          <w:spacing w:val="-22"/>
          <w:w w:val="105"/>
        </w:rPr>
        <w:t> </w:t>
      </w:r>
      <w:r>
        <w:rPr>
          <w:color w:val="231F20"/>
          <w:spacing w:val="-3"/>
          <w:w w:val="105"/>
        </w:rPr>
        <w:t>sobre</w:t>
      </w:r>
      <w:r>
        <w:rPr>
          <w:color w:val="231F20"/>
          <w:spacing w:val="-22"/>
          <w:w w:val="105"/>
        </w:rPr>
        <w:t> </w:t>
      </w:r>
      <w:r>
        <w:rPr>
          <w:color w:val="231F20"/>
          <w:spacing w:val="-3"/>
          <w:w w:val="105"/>
        </w:rPr>
        <w:t>otros</w:t>
      </w:r>
      <w:r>
        <w:rPr>
          <w:color w:val="231F20"/>
          <w:spacing w:val="-22"/>
          <w:w w:val="105"/>
        </w:rPr>
        <w:t> </w:t>
      </w:r>
      <w:r>
        <w:rPr>
          <w:color w:val="231F20"/>
          <w:w w:val="105"/>
        </w:rPr>
        <w:t>a </w:t>
      </w:r>
      <w:r>
        <w:rPr>
          <w:color w:val="231F20"/>
          <w:spacing w:val="-3"/>
          <w:w w:val="105"/>
        </w:rPr>
        <w:t>través</w:t>
      </w:r>
      <w:r>
        <w:rPr>
          <w:color w:val="231F20"/>
          <w:spacing w:val="-30"/>
          <w:w w:val="105"/>
        </w:rPr>
        <w:t> </w:t>
      </w:r>
      <w:r>
        <w:rPr>
          <w:color w:val="231F20"/>
          <w:w w:val="105"/>
        </w:rPr>
        <w:t>de</w:t>
      </w:r>
      <w:r>
        <w:rPr>
          <w:color w:val="231F20"/>
          <w:spacing w:val="-30"/>
          <w:w w:val="105"/>
        </w:rPr>
        <w:t> </w:t>
      </w:r>
      <w:r>
        <w:rPr>
          <w:color w:val="231F20"/>
          <w:spacing w:val="-3"/>
          <w:w w:val="105"/>
        </w:rPr>
        <w:t>atributos</w:t>
      </w:r>
      <w:r>
        <w:rPr>
          <w:color w:val="231F20"/>
          <w:spacing w:val="-30"/>
          <w:w w:val="105"/>
        </w:rPr>
        <w:t> </w:t>
      </w:r>
      <w:r>
        <w:rPr>
          <w:color w:val="231F20"/>
          <w:spacing w:val="-4"/>
          <w:w w:val="105"/>
        </w:rPr>
        <w:t>diferenciadores</w:t>
      </w:r>
      <w:r>
        <w:rPr>
          <w:color w:val="231F20"/>
          <w:spacing w:val="-30"/>
          <w:w w:val="105"/>
        </w:rPr>
        <w:t> </w:t>
      </w:r>
      <w:r>
        <w:rPr>
          <w:color w:val="231F20"/>
          <w:spacing w:val="-6"/>
          <w:w w:val="105"/>
        </w:rPr>
        <w:t>(Porter,</w:t>
      </w:r>
      <w:r>
        <w:rPr>
          <w:color w:val="231F20"/>
          <w:spacing w:val="-35"/>
          <w:w w:val="105"/>
        </w:rPr>
        <w:t> </w:t>
      </w:r>
      <w:r>
        <w:rPr>
          <w:color w:val="231F20"/>
          <w:spacing w:val="-3"/>
          <w:w w:val="105"/>
        </w:rPr>
        <w:t>1993)</w:t>
      </w:r>
      <w:r>
        <w:rPr>
          <w:color w:val="231F20"/>
          <w:spacing w:val="-30"/>
          <w:w w:val="105"/>
        </w:rPr>
        <w:t> </w:t>
      </w:r>
      <w:r>
        <w:rPr>
          <w:color w:val="231F20"/>
          <w:w w:val="105"/>
        </w:rPr>
        <w:t>en</w:t>
      </w:r>
      <w:r>
        <w:rPr>
          <w:color w:val="231F20"/>
          <w:spacing w:val="-30"/>
          <w:w w:val="105"/>
        </w:rPr>
        <w:t> </w:t>
      </w:r>
      <w:r>
        <w:rPr>
          <w:color w:val="231F20"/>
          <w:spacing w:val="-3"/>
          <w:w w:val="105"/>
        </w:rPr>
        <w:t>función</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spacing w:val="-3"/>
          <w:w w:val="105"/>
        </w:rPr>
        <w:t>caracte- rísticas</w:t>
      </w:r>
      <w:r>
        <w:rPr>
          <w:color w:val="231F20"/>
          <w:spacing w:val="-20"/>
          <w:w w:val="105"/>
        </w:rPr>
        <w:t> </w:t>
      </w:r>
      <w:r>
        <w:rPr>
          <w:color w:val="231F20"/>
          <w:spacing w:val="-3"/>
          <w:w w:val="105"/>
        </w:rPr>
        <w:t>peculiares</w:t>
      </w:r>
      <w:r>
        <w:rPr>
          <w:color w:val="231F20"/>
          <w:spacing w:val="-20"/>
          <w:w w:val="105"/>
        </w:rPr>
        <w:t> </w:t>
      </w:r>
      <w:r>
        <w:rPr>
          <w:color w:val="231F20"/>
          <w:w w:val="105"/>
        </w:rPr>
        <w:t>de</w:t>
      </w:r>
      <w:r>
        <w:rPr>
          <w:color w:val="231F20"/>
          <w:spacing w:val="-20"/>
          <w:w w:val="105"/>
        </w:rPr>
        <w:t> </w:t>
      </w:r>
      <w:r>
        <w:rPr>
          <w:color w:val="231F20"/>
          <w:spacing w:val="-3"/>
          <w:w w:val="105"/>
        </w:rPr>
        <w:t>cada</w:t>
      </w:r>
      <w:r>
        <w:rPr>
          <w:color w:val="231F20"/>
          <w:spacing w:val="-20"/>
          <w:w w:val="105"/>
        </w:rPr>
        <w:t> </w:t>
      </w:r>
      <w:r>
        <w:rPr>
          <w:color w:val="231F20"/>
          <w:spacing w:val="-3"/>
          <w:w w:val="105"/>
        </w:rPr>
        <w:t>industria</w:t>
      </w:r>
      <w:r>
        <w:rPr>
          <w:color w:val="231F20"/>
          <w:spacing w:val="-20"/>
          <w:w w:val="105"/>
        </w:rPr>
        <w:t> </w:t>
      </w:r>
      <w:r>
        <w:rPr>
          <w:color w:val="231F20"/>
          <w:w w:val="105"/>
        </w:rPr>
        <w:t>o</w:t>
      </w:r>
      <w:r>
        <w:rPr>
          <w:color w:val="231F20"/>
          <w:spacing w:val="-20"/>
          <w:w w:val="105"/>
        </w:rPr>
        <w:t> </w:t>
      </w:r>
      <w:r>
        <w:rPr>
          <w:color w:val="231F20"/>
          <w:spacing w:val="-4"/>
          <w:w w:val="105"/>
        </w:rPr>
        <w:t>sector,</w:t>
      </w:r>
      <w:r>
        <w:rPr>
          <w:color w:val="231F20"/>
          <w:spacing w:val="-25"/>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estructura</w:t>
      </w:r>
      <w:r>
        <w:rPr>
          <w:color w:val="231F20"/>
          <w:spacing w:val="-20"/>
          <w:w w:val="105"/>
        </w:rPr>
        <w:t> </w:t>
      </w:r>
      <w:r>
        <w:rPr>
          <w:color w:val="231F20"/>
          <w:w w:val="105"/>
        </w:rPr>
        <w:t>del</w:t>
      </w:r>
      <w:r>
        <w:rPr>
          <w:color w:val="231F20"/>
          <w:spacing w:val="-20"/>
          <w:w w:val="105"/>
        </w:rPr>
        <w:t> </w:t>
      </w:r>
      <w:r>
        <w:rPr>
          <w:color w:val="231F20"/>
          <w:spacing w:val="-4"/>
          <w:w w:val="105"/>
        </w:rPr>
        <w:t>mercado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spacing w:val="-3"/>
          <w:w w:val="105"/>
        </w:rPr>
        <w:t>condiciones</w:t>
      </w:r>
      <w:r>
        <w:rPr>
          <w:color w:val="231F20"/>
          <w:spacing w:val="-22"/>
          <w:w w:val="105"/>
        </w:rPr>
        <w:t> </w:t>
      </w:r>
      <w:r>
        <w:rPr>
          <w:color w:val="231F20"/>
          <w:spacing w:val="-3"/>
          <w:w w:val="105"/>
        </w:rPr>
        <w:t>generales</w:t>
      </w:r>
      <w:r>
        <w:rPr>
          <w:color w:val="231F20"/>
          <w:spacing w:val="-22"/>
          <w:w w:val="105"/>
        </w:rPr>
        <w:t> </w:t>
      </w:r>
      <w:r>
        <w:rPr>
          <w:color w:val="231F20"/>
          <w:w w:val="105"/>
        </w:rPr>
        <w:t>del</w:t>
      </w:r>
      <w:r>
        <w:rPr>
          <w:color w:val="231F20"/>
          <w:spacing w:val="-22"/>
          <w:w w:val="105"/>
        </w:rPr>
        <w:t> </w:t>
      </w:r>
      <w:r>
        <w:rPr>
          <w:color w:val="231F20"/>
          <w:spacing w:val="-3"/>
          <w:w w:val="105"/>
        </w:rPr>
        <w:t>entorno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spacing w:val="-3"/>
          <w:w w:val="105"/>
        </w:rPr>
        <w:t>desenvuelven.</w:t>
      </w:r>
    </w:p>
    <w:p>
      <w:pPr>
        <w:pStyle w:val="BodyText"/>
        <w:rPr>
          <w:sz w:val="20"/>
        </w:rPr>
      </w:pPr>
    </w:p>
    <w:p>
      <w:pPr>
        <w:pStyle w:val="BodyText"/>
        <w:spacing w:before="7"/>
        <w:rPr>
          <w:sz w:val="18"/>
        </w:rPr>
      </w:pPr>
    </w:p>
    <w:p>
      <w:pPr>
        <w:pStyle w:val="Heading2"/>
      </w:pPr>
      <w:r>
        <w:rPr>
          <w:color w:val="231F20"/>
        </w:rPr>
        <w:t>Modelo de competitividad sistémica</w:t>
      </w:r>
    </w:p>
    <w:p>
      <w:pPr>
        <w:pStyle w:val="BodyText"/>
        <w:rPr>
          <w:b/>
          <w:sz w:val="22"/>
        </w:rPr>
      </w:pPr>
    </w:p>
    <w:p>
      <w:pPr>
        <w:pStyle w:val="BodyText"/>
        <w:spacing w:line="259" w:lineRule="auto" w:before="160"/>
        <w:ind w:left="117" w:right="101"/>
        <w:jc w:val="both"/>
      </w:pPr>
      <w:r>
        <w:rPr>
          <w:color w:val="231F20"/>
          <w:w w:val="105"/>
        </w:rPr>
        <w:t>El</w:t>
      </w:r>
      <w:r>
        <w:rPr>
          <w:color w:val="231F20"/>
          <w:spacing w:val="-24"/>
          <w:w w:val="105"/>
        </w:rPr>
        <w:t> </w:t>
      </w:r>
      <w:r>
        <w:rPr>
          <w:color w:val="231F20"/>
          <w:w w:val="105"/>
        </w:rPr>
        <w:t>fundamento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competitividad</w:t>
      </w:r>
      <w:r>
        <w:rPr>
          <w:color w:val="231F20"/>
          <w:spacing w:val="-24"/>
          <w:w w:val="105"/>
        </w:rPr>
        <w:t> </w:t>
      </w:r>
      <w:r>
        <w:rPr>
          <w:color w:val="231F20"/>
          <w:w w:val="105"/>
        </w:rPr>
        <w:t>sistémica</w:t>
      </w:r>
      <w:r>
        <w:rPr>
          <w:color w:val="231F20"/>
          <w:spacing w:val="-24"/>
          <w:w w:val="105"/>
        </w:rPr>
        <w:t> </w:t>
      </w:r>
      <w:r>
        <w:rPr>
          <w:color w:val="231F20"/>
          <w:w w:val="105"/>
        </w:rPr>
        <w:t>radica</w:t>
      </w:r>
      <w:r>
        <w:rPr>
          <w:color w:val="231F20"/>
          <w:spacing w:val="-24"/>
          <w:w w:val="105"/>
        </w:rPr>
        <w:t> </w:t>
      </w:r>
      <w:r>
        <w:rPr>
          <w:color w:val="231F20"/>
          <w:w w:val="105"/>
        </w:rPr>
        <w:t>en</w:t>
      </w:r>
      <w:r>
        <w:rPr>
          <w:color w:val="231F20"/>
          <w:spacing w:val="-24"/>
          <w:w w:val="105"/>
        </w:rPr>
        <w:t> </w:t>
      </w:r>
      <w:r>
        <w:rPr>
          <w:color w:val="231F20"/>
          <w:w w:val="105"/>
        </w:rPr>
        <w:t>que</w:t>
      </w:r>
      <w:r>
        <w:rPr>
          <w:color w:val="231F20"/>
          <w:spacing w:val="-24"/>
          <w:w w:val="105"/>
        </w:rPr>
        <w:t> </w:t>
      </w:r>
      <w:r>
        <w:rPr>
          <w:color w:val="231F20"/>
          <w:w w:val="105"/>
        </w:rPr>
        <w:t>un</w:t>
      </w:r>
      <w:r>
        <w:rPr>
          <w:color w:val="231F20"/>
          <w:spacing w:val="-24"/>
          <w:w w:val="105"/>
        </w:rPr>
        <w:t> </w:t>
      </w:r>
      <w:r>
        <w:rPr>
          <w:color w:val="231F20"/>
          <w:w w:val="105"/>
        </w:rPr>
        <w:t>desarrollo industrial</w:t>
      </w:r>
      <w:r>
        <w:rPr>
          <w:color w:val="231F20"/>
          <w:spacing w:val="-14"/>
          <w:w w:val="105"/>
        </w:rPr>
        <w:t> </w:t>
      </w:r>
      <w:r>
        <w:rPr>
          <w:color w:val="231F20"/>
          <w:w w:val="105"/>
        </w:rPr>
        <w:t>exitoso</w:t>
      </w:r>
      <w:r>
        <w:rPr>
          <w:color w:val="231F20"/>
          <w:spacing w:val="-14"/>
          <w:w w:val="105"/>
        </w:rPr>
        <w:t> </w:t>
      </w:r>
      <w:r>
        <w:rPr>
          <w:color w:val="231F20"/>
          <w:w w:val="105"/>
        </w:rPr>
        <w:t>no</w:t>
      </w:r>
      <w:r>
        <w:rPr>
          <w:color w:val="231F20"/>
          <w:spacing w:val="-14"/>
          <w:w w:val="105"/>
        </w:rPr>
        <w:t> </w:t>
      </w:r>
      <w:r>
        <w:rPr>
          <w:color w:val="231F20"/>
          <w:w w:val="105"/>
        </w:rPr>
        <w:t>se</w:t>
      </w:r>
      <w:r>
        <w:rPr>
          <w:color w:val="231F20"/>
          <w:spacing w:val="-14"/>
          <w:w w:val="105"/>
        </w:rPr>
        <w:t> </w:t>
      </w:r>
      <w:r>
        <w:rPr>
          <w:color w:val="231F20"/>
          <w:w w:val="105"/>
        </w:rPr>
        <w:t>logra</w:t>
      </w:r>
      <w:r>
        <w:rPr>
          <w:color w:val="231F20"/>
          <w:spacing w:val="-14"/>
          <w:w w:val="105"/>
        </w:rPr>
        <w:t> </w:t>
      </w:r>
      <w:r>
        <w:rPr>
          <w:color w:val="231F20"/>
          <w:w w:val="105"/>
        </w:rPr>
        <w:t>exclusivamente</w:t>
      </w:r>
      <w:r>
        <w:rPr>
          <w:color w:val="231F20"/>
          <w:spacing w:val="-14"/>
          <w:w w:val="105"/>
        </w:rPr>
        <w:t> </w:t>
      </w:r>
      <w:r>
        <w:rPr>
          <w:color w:val="231F20"/>
          <w:w w:val="105"/>
        </w:rPr>
        <w:t>con</w:t>
      </w:r>
      <w:r>
        <w:rPr>
          <w:color w:val="231F20"/>
          <w:spacing w:val="-14"/>
          <w:w w:val="105"/>
        </w:rPr>
        <w:t> </w:t>
      </w:r>
      <w:r>
        <w:rPr>
          <w:color w:val="231F20"/>
          <w:w w:val="105"/>
        </w:rPr>
        <w:t>factores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nivel</w:t>
      </w:r>
      <w:r>
        <w:rPr>
          <w:color w:val="231F20"/>
          <w:spacing w:val="-14"/>
          <w:w w:val="105"/>
        </w:rPr>
        <w:t> </w:t>
      </w:r>
      <w:r>
        <w:rPr>
          <w:color w:val="231F20"/>
          <w:w w:val="105"/>
        </w:rPr>
        <w:t>mi- cro</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empresas,</w:t>
      </w:r>
      <w:r>
        <w:rPr>
          <w:color w:val="231F20"/>
          <w:spacing w:val="-34"/>
          <w:w w:val="105"/>
        </w:rPr>
        <w:t> </w:t>
      </w:r>
      <w:r>
        <w:rPr>
          <w:color w:val="231F20"/>
          <w:w w:val="105"/>
        </w:rPr>
        <w:t>o</w:t>
      </w:r>
      <w:r>
        <w:rPr>
          <w:color w:val="231F20"/>
          <w:spacing w:val="-29"/>
          <w:w w:val="105"/>
        </w:rPr>
        <w:t> </w:t>
      </w:r>
      <w:r>
        <w:rPr>
          <w:color w:val="231F20"/>
          <w:w w:val="105"/>
        </w:rPr>
        <w:t>sólo</w:t>
      </w:r>
      <w:r>
        <w:rPr>
          <w:color w:val="231F20"/>
          <w:spacing w:val="-29"/>
          <w:w w:val="105"/>
        </w:rPr>
        <w:t> </w:t>
      </w:r>
      <w:r>
        <w:rPr>
          <w:color w:val="231F20"/>
          <w:w w:val="105"/>
        </w:rPr>
        <w:t>por</w:t>
      </w:r>
      <w:r>
        <w:rPr>
          <w:color w:val="231F20"/>
          <w:spacing w:val="-29"/>
          <w:w w:val="105"/>
        </w:rPr>
        <w:t> </w:t>
      </w:r>
      <w:r>
        <w:rPr>
          <w:color w:val="231F20"/>
          <w:w w:val="105"/>
        </w:rPr>
        <w:t>condiciones</w:t>
      </w:r>
      <w:r>
        <w:rPr>
          <w:color w:val="231F20"/>
          <w:spacing w:val="-29"/>
          <w:w w:val="105"/>
        </w:rPr>
        <w:t> </w:t>
      </w:r>
      <w:r>
        <w:rPr>
          <w:color w:val="231F20"/>
          <w:w w:val="105"/>
        </w:rPr>
        <w:t>económicas</w:t>
      </w:r>
      <w:r>
        <w:rPr>
          <w:color w:val="231F20"/>
          <w:spacing w:val="-29"/>
          <w:w w:val="105"/>
        </w:rPr>
        <w:t> </w:t>
      </w:r>
      <w:r>
        <w:rPr>
          <w:color w:val="231F20"/>
          <w:w w:val="105"/>
        </w:rPr>
        <w:t>favorables</w:t>
      </w:r>
      <w:r>
        <w:rPr>
          <w:color w:val="231F20"/>
          <w:spacing w:val="-29"/>
          <w:w w:val="105"/>
        </w:rPr>
        <w:t> </w:t>
      </w:r>
      <w:r>
        <w:rPr>
          <w:color w:val="231F20"/>
          <w:w w:val="105"/>
        </w:rPr>
        <w:t>(nivel macro),</w:t>
      </w:r>
      <w:r>
        <w:rPr>
          <w:color w:val="231F20"/>
          <w:spacing w:val="-29"/>
          <w:w w:val="105"/>
        </w:rPr>
        <w:t> </w:t>
      </w:r>
      <w:r>
        <w:rPr>
          <w:color w:val="231F20"/>
          <w:w w:val="105"/>
        </w:rPr>
        <w:t>sino</w:t>
      </w:r>
      <w:r>
        <w:rPr>
          <w:color w:val="231F20"/>
          <w:spacing w:val="-24"/>
          <w:w w:val="105"/>
        </w:rPr>
        <w:t> </w:t>
      </w:r>
      <w:r>
        <w:rPr>
          <w:color w:val="231F20"/>
          <w:w w:val="105"/>
        </w:rPr>
        <w:t>también</w:t>
      </w:r>
      <w:r>
        <w:rPr>
          <w:color w:val="231F20"/>
          <w:spacing w:val="-24"/>
          <w:w w:val="105"/>
        </w:rPr>
        <w:t> </w:t>
      </w:r>
      <w:r>
        <w:rPr>
          <w:color w:val="231F20"/>
          <w:w w:val="105"/>
        </w:rPr>
        <w:t>se</w:t>
      </w:r>
      <w:r>
        <w:rPr>
          <w:color w:val="231F20"/>
          <w:spacing w:val="-24"/>
          <w:w w:val="105"/>
        </w:rPr>
        <w:t> </w:t>
      </w:r>
      <w:r>
        <w:rPr>
          <w:color w:val="231F20"/>
          <w:w w:val="105"/>
        </w:rPr>
        <w:t>necesitan</w:t>
      </w:r>
      <w:r>
        <w:rPr>
          <w:color w:val="231F20"/>
          <w:spacing w:val="-24"/>
          <w:w w:val="105"/>
        </w:rPr>
        <w:t> </w:t>
      </w:r>
      <w:r>
        <w:rPr>
          <w:color w:val="231F20"/>
          <w:w w:val="105"/>
        </w:rPr>
        <w:t>medidas</w:t>
      </w:r>
      <w:r>
        <w:rPr>
          <w:color w:val="231F20"/>
          <w:spacing w:val="-24"/>
          <w:w w:val="105"/>
        </w:rPr>
        <w:t> </w:t>
      </w:r>
      <w:r>
        <w:rPr>
          <w:color w:val="231F20"/>
          <w:w w:val="105"/>
        </w:rPr>
        <w:t>específicas</w:t>
      </w:r>
      <w:r>
        <w:rPr>
          <w:color w:val="231F20"/>
          <w:spacing w:val="-24"/>
          <w:w w:val="105"/>
        </w:rPr>
        <w:t> </w:t>
      </w:r>
      <w:r>
        <w:rPr>
          <w:color w:val="231F20"/>
          <w:w w:val="105"/>
        </w:rPr>
        <w:t>generadas</w:t>
      </w:r>
      <w:r>
        <w:rPr>
          <w:color w:val="231F20"/>
          <w:spacing w:val="-24"/>
          <w:w w:val="105"/>
        </w:rPr>
        <w:t> </w:t>
      </w:r>
      <w:r>
        <w:rPr>
          <w:color w:val="231F20"/>
          <w:w w:val="105"/>
        </w:rPr>
        <w:t>por</w:t>
      </w:r>
      <w:r>
        <w:rPr>
          <w:color w:val="231F20"/>
          <w:spacing w:val="-24"/>
          <w:w w:val="105"/>
        </w:rPr>
        <w:t> </w:t>
      </w:r>
      <w:r>
        <w:rPr>
          <w:color w:val="231F20"/>
          <w:w w:val="105"/>
        </w:rPr>
        <w:t>el gobierno e instituciones no gubernamentales encaminadas a</w:t>
      </w:r>
      <w:r>
        <w:rPr>
          <w:color w:val="231F20"/>
          <w:spacing w:val="-12"/>
          <w:w w:val="105"/>
        </w:rPr>
        <w:t> </w:t>
      </w:r>
      <w:r>
        <w:rPr>
          <w:color w:val="231F20"/>
          <w:w w:val="105"/>
        </w:rPr>
        <w:t>fortalecer la</w:t>
      </w:r>
      <w:r>
        <w:rPr>
          <w:color w:val="231F20"/>
          <w:spacing w:val="-13"/>
          <w:w w:val="105"/>
        </w:rPr>
        <w:t> </w:t>
      </w:r>
      <w:r>
        <w:rPr>
          <w:color w:val="231F20"/>
          <w:w w:val="105"/>
        </w:rPr>
        <w:t>competitividad</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empresas.</w:t>
      </w:r>
      <w:r>
        <w:rPr>
          <w:color w:val="231F20"/>
          <w:spacing w:val="-19"/>
          <w:w w:val="105"/>
        </w:rPr>
        <w:t> </w:t>
      </w:r>
      <w:r>
        <w:rPr>
          <w:color w:val="231F20"/>
          <w:w w:val="105"/>
        </w:rPr>
        <w:t>De</w:t>
      </w:r>
      <w:r>
        <w:rPr>
          <w:color w:val="231F20"/>
          <w:spacing w:val="-13"/>
          <w:w w:val="105"/>
        </w:rPr>
        <w:t> </w:t>
      </w:r>
      <w:r>
        <w:rPr>
          <w:color w:val="231F20"/>
          <w:w w:val="105"/>
        </w:rPr>
        <w:t>esto</w:t>
      </w:r>
      <w:r>
        <w:rPr>
          <w:color w:val="231F20"/>
          <w:spacing w:val="-13"/>
          <w:w w:val="105"/>
        </w:rPr>
        <w:t> </w:t>
      </w:r>
      <w:r>
        <w:rPr>
          <w:color w:val="231F20"/>
          <w:w w:val="105"/>
        </w:rPr>
        <w:t>se</w:t>
      </w:r>
      <w:r>
        <w:rPr>
          <w:color w:val="231F20"/>
          <w:spacing w:val="-13"/>
          <w:w w:val="105"/>
        </w:rPr>
        <w:t> </w:t>
      </w:r>
      <w:r>
        <w:rPr>
          <w:color w:val="231F20"/>
          <w:w w:val="105"/>
        </w:rPr>
        <w:t>trata</w:t>
      </w:r>
      <w:r>
        <w:rPr>
          <w:color w:val="231F20"/>
          <w:spacing w:val="-13"/>
          <w:w w:val="105"/>
        </w:rPr>
        <w:t> </w:t>
      </w:r>
      <w:r>
        <w:rPr>
          <w:color w:val="231F20"/>
          <w:w w:val="105"/>
        </w:rPr>
        <w:t>el</w:t>
      </w:r>
      <w:r>
        <w:rPr>
          <w:color w:val="231F20"/>
          <w:spacing w:val="-13"/>
          <w:w w:val="105"/>
        </w:rPr>
        <w:t> </w:t>
      </w:r>
      <w:r>
        <w:rPr>
          <w:color w:val="231F20"/>
          <w:w w:val="105"/>
        </w:rPr>
        <w:t>enfoque</w:t>
      </w:r>
      <w:r>
        <w:rPr>
          <w:color w:val="231F20"/>
          <w:spacing w:val="-13"/>
          <w:w w:val="105"/>
        </w:rPr>
        <w:t> </w:t>
      </w:r>
      <w:r>
        <w:rPr>
          <w:color w:val="231F20"/>
          <w:w w:val="105"/>
        </w:rPr>
        <w:t>económi- co-administrativo</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abordaje</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competitividad</w:t>
      </w:r>
      <w:r>
        <w:rPr>
          <w:color w:val="231F20"/>
          <w:spacing w:val="-11"/>
          <w:w w:val="105"/>
        </w:rPr>
        <w:t> </w:t>
      </w:r>
      <w:r>
        <w:rPr>
          <w:color w:val="231F20"/>
          <w:w w:val="105"/>
        </w:rPr>
        <w:t>sostenida.</w:t>
      </w:r>
    </w:p>
    <w:p>
      <w:pPr>
        <w:pStyle w:val="BodyText"/>
        <w:spacing w:line="259" w:lineRule="auto"/>
        <w:ind w:left="117" w:right="101"/>
        <w:jc w:val="both"/>
      </w:pPr>
      <w:r>
        <w:rPr>
          <w:color w:val="231F20"/>
          <w:w w:val="105"/>
        </w:rPr>
        <w:t>Este</w:t>
      </w:r>
      <w:r>
        <w:rPr>
          <w:color w:val="231F20"/>
          <w:spacing w:val="-21"/>
          <w:w w:val="105"/>
        </w:rPr>
        <w:t> </w:t>
      </w:r>
      <w:r>
        <w:rPr>
          <w:color w:val="231F20"/>
          <w:w w:val="105"/>
        </w:rPr>
        <w:t>modelo</w:t>
      </w:r>
      <w:r>
        <w:rPr>
          <w:color w:val="231F20"/>
          <w:spacing w:val="-21"/>
          <w:w w:val="105"/>
        </w:rPr>
        <w:t> </w:t>
      </w:r>
      <w:r>
        <w:rPr>
          <w:color w:val="231F20"/>
          <w:w w:val="105"/>
        </w:rPr>
        <w:t>de</w:t>
      </w:r>
      <w:r>
        <w:rPr>
          <w:color w:val="231F20"/>
          <w:spacing w:val="-21"/>
          <w:w w:val="105"/>
        </w:rPr>
        <w:t> </w:t>
      </w:r>
      <w:r>
        <w:rPr>
          <w:color w:val="231F20"/>
          <w:w w:val="105"/>
        </w:rPr>
        <w:t>competitividad</w:t>
      </w:r>
      <w:r>
        <w:rPr>
          <w:color w:val="231F20"/>
          <w:spacing w:val="-21"/>
          <w:w w:val="105"/>
        </w:rPr>
        <w:t> </w:t>
      </w:r>
      <w:r>
        <w:rPr>
          <w:color w:val="231F20"/>
          <w:w w:val="105"/>
        </w:rPr>
        <w:t>(figura</w:t>
      </w:r>
      <w:r>
        <w:rPr>
          <w:color w:val="231F20"/>
          <w:spacing w:val="-21"/>
          <w:w w:val="105"/>
        </w:rPr>
        <w:t> </w:t>
      </w:r>
      <w:r>
        <w:rPr>
          <w:color w:val="231F20"/>
          <w:w w:val="105"/>
        </w:rPr>
        <w:t>2)</w:t>
      </w:r>
      <w:r>
        <w:rPr>
          <w:color w:val="231F20"/>
          <w:spacing w:val="-21"/>
          <w:w w:val="105"/>
        </w:rPr>
        <w:t> </w:t>
      </w:r>
      <w:r>
        <w:rPr>
          <w:color w:val="231F20"/>
          <w:w w:val="105"/>
        </w:rPr>
        <w:t>constituye</w:t>
      </w:r>
      <w:r>
        <w:rPr>
          <w:color w:val="231F20"/>
          <w:spacing w:val="-21"/>
          <w:w w:val="105"/>
        </w:rPr>
        <w:t> </w:t>
      </w:r>
      <w:r>
        <w:rPr>
          <w:color w:val="231F20"/>
          <w:w w:val="105"/>
        </w:rPr>
        <w:t>un</w:t>
      </w:r>
      <w:r>
        <w:rPr>
          <w:color w:val="231F20"/>
          <w:spacing w:val="-21"/>
          <w:w w:val="105"/>
        </w:rPr>
        <w:t> </w:t>
      </w:r>
      <w:r>
        <w:rPr>
          <w:color w:val="231F20"/>
          <w:spacing w:val="-3"/>
          <w:w w:val="105"/>
        </w:rPr>
        <w:t>marco</w:t>
      </w:r>
      <w:r>
        <w:rPr>
          <w:color w:val="231F20"/>
          <w:spacing w:val="-21"/>
          <w:w w:val="105"/>
        </w:rPr>
        <w:t> </w:t>
      </w:r>
      <w:r>
        <w:rPr>
          <w:color w:val="231F20"/>
          <w:w w:val="105"/>
        </w:rPr>
        <w:t>de</w:t>
      </w:r>
      <w:r>
        <w:rPr>
          <w:color w:val="231F20"/>
          <w:spacing w:val="-21"/>
          <w:w w:val="105"/>
        </w:rPr>
        <w:t> </w:t>
      </w:r>
      <w:r>
        <w:rPr>
          <w:color w:val="231F20"/>
          <w:spacing w:val="-3"/>
          <w:w w:val="105"/>
        </w:rPr>
        <w:t>referen- </w:t>
      </w:r>
      <w:r>
        <w:rPr>
          <w:color w:val="231F20"/>
          <w:w w:val="105"/>
        </w:rPr>
        <w:t>cia</w:t>
      </w:r>
      <w:r>
        <w:rPr>
          <w:color w:val="231F20"/>
          <w:spacing w:val="-37"/>
          <w:w w:val="105"/>
        </w:rPr>
        <w:t> </w:t>
      </w:r>
      <w:r>
        <w:rPr>
          <w:color w:val="231F20"/>
          <w:w w:val="105"/>
        </w:rPr>
        <w:t>para</w:t>
      </w:r>
      <w:r>
        <w:rPr>
          <w:color w:val="231F20"/>
          <w:spacing w:val="-37"/>
          <w:w w:val="105"/>
        </w:rPr>
        <w:t> </w:t>
      </w:r>
      <w:r>
        <w:rPr>
          <w:color w:val="231F20"/>
          <w:w w:val="105"/>
        </w:rPr>
        <w:t>países</w:t>
      </w:r>
      <w:r>
        <w:rPr>
          <w:color w:val="231F20"/>
          <w:spacing w:val="-37"/>
          <w:w w:val="105"/>
        </w:rPr>
        <w:t> </w:t>
      </w:r>
      <w:r>
        <w:rPr>
          <w:color w:val="231F20"/>
          <w:w w:val="105"/>
        </w:rPr>
        <w:t>industrializados</w:t>
      </w:r>
      <w:r>
        <w:rPr>
          <w:color w:val="231F20"/>
          <w:spacing w:val="-37"/>
          <w:w w:val="105"/>
        </w:rPr>
        <w:t> </w:t>
      </w:r>
      <w:r>
        <w:rPr>
          <w:color w:val="231F20"/>
          <w:w w:val="105"/>
        </w:rPr>
        <w:t>y</w:t>
      </w:r>
      <w:r>
        <w:rPr>
          <w:color w:val="231F20"/>
          <w:spacing w:val="-37"/>
          <w:w w:val="105"/>
        </w:rPr>
        <w:t> </w:t>
      </w:r>
      <w:r>
        <w:rPr>
          <w:color w:val="231F20"/>
          <w:w w:val="105"/>
        </w:rPr>
        <w:t>en</w:t>
      </w:r>
      <w:r>
        <w:rPr>
          <w:color w:val="231F20"/>
          <w:spacing w:val="-37"/>
          <w:w w:val="105"/>
        </w:rPr>
        <w:t> </w:t>
      </w:r>
      <w:r>
        <w:rPr>
          <w:color w:val="231F20"/>
          <w:w w:val="105"/>
        </w:rPr>
        <w:t>vías</w:t>
      </w:r>
      <w:r>
        <w:rPr>
          <w:color w:val="231F20"/>
          <w:spacing w:val="-37"/>
          <w:w w:val="105"/>
        </w:rPr>
        <w:t> </w:t>
      </w:r>
      <w:r>
        <w:rPr>
          <w:color w:val="231F20"/>
          <w:w w:val="105"/>
        </w:rPr>
        <w:t>de</w:t>
      </w:r>
      <w:r>
        <w:rPr>
          <w:color w:val="231F20"/>
          <w:spacing w:val="-37"/>
          <w:w w:val="105"/>
        </w:rPr>
        <w:t> </w:t>
      </w:r>
      <w:r>
        <w:rPr>
          <w:color w:val="231F20"/>
          <w:spacing w:val="-3"/>
          <w:w w:val="105"/>
        </w:rPr>
        <w:t>desarrollo;</w:t>
      </w:r>
      <w:r>
        <w:rPr>
          <w:color w:val="231F20"/>
          <w:spacing w:val="-37"/>
          <w:w w:val="105"/>
        </w:rPr>
        <w:t> </w:t>
      </w:r>
      <w:r>
        <w:rPr>
          <w:color w:val="231F20"/>
          <w:w w:val="105"/>
        </w:rPr>
        <w:t>supone</w:t>
      </w:r>
      <w:r>
        <w:rPr>
          <w:color w:val="231F20"/>
          <w:spacing w:val="-37"/>
          <w:w w:val="105"/>
        </w:rPr>
        <w:t> </w:t>
      </w:r>
      <w:r>
        <w:rPr>
          <w:color w:val="231F20"/>
          <w:w w:val="105"/>
        </w:rPr>
        <w:t>que</w:t>
      </w:r>
      <w:r>
        <w:rPr>
          <w:color w:val="231F20"/>
          <w:spacing w:val="-37"/>
          <w:w w:val="105"/>
        </w:rPr>
        <w:t> </w:t>
      </w:r>
      <w:r>
        <w:rPr>
          <w:color w:val="231F20"/>
          <w:w w:val="105"/>
        </w:rPr>
        <w:t>la</w:t>
      </w:r>
      <w:r>
        <w:rPr>
          <w:color w:val="231F20"/>
          <w:spacing w:val="-37"/>
          <w:w w:val="105"/>
        </w:rPr>
        <w:t> </w:t>
      </w:r>
      <w:r>
        <w:rPr>
          <w:color w:val="231F20"/>
          <w:w w:val="105"/>
        </w:rPr>
        <w:t>eco- nomía</w:t>
      </w:r>
      <w:r>
        <w:rPr>
          <w:color w:val="231F20"/>
          <w:spacing w:val="-27"/>
          <w:w w:val="105"/>
        </w:rPr>
        <w:t> </w:t>
      </w:r>
      <w:r>
        <w:rPr>
          <w:color w:val="231F20"/>
          <w:w w:val="105"/>
        </w:rPr>
        <w:t>descansa</w:t>
      </w:r>
      <w:r>
        <w:rPr>
          <w:color w:val="231F20"/>
          <w:spacing w:val="-27"/>
          <w:w w:val="105"/>
        </w:rPr>
        <w:t> </w:t>
      </w:r>
      <w:r>
        <w:rPr>
          <w:color w:val="231F20"/>
          <w:w w:val="105"/>
        </w:rPr>
        <w:t>en</w:t>
      </w:r>
      <w:r>
        <w:rPr>
          <w:color w:val="231F20"/>
          <w:spacing w:val="-27"/>
          <w:w w:val="105"/>
        </w:rPr>
        <w:t> </w:t>
      </w:r>
      <w:r>
        <w:rPr>
          <w:color w:val="231F20"/>
          <w:w w:val="105"/>
        </w:rPr>
        <w:t>medidas</w:t>
      </w:r>
      <w:r>
        <w:rPr>
          <w:color w:val="231F20"/>
          <w:spacing w:val="-27"/>
          <w:w w:val="105"/>
        </w:rPr>
        <w:t> </w:t>
      </w:r>
      <w:r>
        <w:rPr>
          <w:color w:val="231F20"/>
          <w:w w:val="105"/>
        </w:rPr>
        <w:t>dirigidas</w:t>
      </w:r>
      <w:r>
        <w:rPr>
          <w:color w:val="231F20"/>
          <w:spacing w:val="-27"/>
          <w:w w:val="105"/>
        </w:rPr>
        <w:t> </w:t>
      </w:r>
      <w:r>
        <w:rPr>
          <w:color w:val="231F20"/>
          <w:w w:val="105"/>
        </w:rPr>
        <w:t>a</w:t>
      </w:r>
      <w:r>
        <w:rPr>
          <w:color w:val="231F20"/>
          <w:spacing w:val="-27"/>
          <w:w w:val="105"/>
        </w:rPr>
        <w:t> </w:t>
      </w:r>
      <w:r>
        <w:rPr>
          <w:color w:val="231F20"/>
          <w:w w:val="105"/>
        </w:rPr>
        <w:t>un</w:t>
      </w:r>
      <w:r>
        <w:rPr>
          <w:color w:val="231F20"/>
          <w:spacing w:val="-27"/>
          <w:w w:val="105"/>
        </w:rPr>
        <w:t> </w:t>
      </w:r>
      <w:r>
        <w:rPr>
          <w:color w:val="231F20"/>
          <w:spacing w:val="-2"/>
          <w:w w:val="105"/>
        </w:rPr>
        <w:t>objetivo,</w:t>
      </w:r>
      <w:r>
        <w:rPr>
          <w:color w:val="231F20"/>
          <w:spacing w:val="-31"/>
          <w:w w:val="105"/>
        </w:rPr>
        <w:t> </w:t>
      </w:r>
      <w:r>
        <w:rPr>
          <w:color w:val="231F20"/>
          <w:w w:val="105"/>
        </w:rPr>
        <w:t>articuladas</w:t>
      </w:r>
      <w:r>
        <w:rPr>
          <w:color w:val="231F20"/>
          <w:spacing w:val="-27"/>
          <w:w w:val="105"/>
        </w:rPr>
        <w:t> </w:t>
      </w:r>
      <w:r>
        <w:rPr>
          <w:color w:val="231F20"/>
          <w:w w:val="105"/>
        </w:rPr>
        <w:t>en</w:t>
      </w:r>
      <w:r>
        <w:rPr>
          <w:color w:val="231F20"/>
          <w:spacing w:val="-27"/>
          <w:w w:val="105"/>
        </w:rPr>
        <w:t> </w:t>
      </w:r>
      <w:r>
        <w:rPr>
          <w:color w:val="231F20"/>
          <w:spacing w:val="-3"/>
          <w:w w:val="105"/>
        </w:rPr>
        <w:t>cuatro </w:t>
      </w:r>
      <w:r>
        <w:rPr>
          <w:color w:val="231F20"/>
          <w:w w:val="105"/>
        </w:rPr>
        <w:t>niveles</w:t>
      </w:r>
      <w:r>
        <w:rPr>
          <w:color w:val="231F20"/>
          <w:spacing w:val="-39"/>
          <w:w w:val="105"/>
        </w:rPr>
        <w:t> </w:t>
      </w:r>
      <w:r>
        <w:rPr>
          <w:color w:val="231F20"/>
          <w:spacing w:val="-3"/>
          <w:w w:val="105"/>
        </w:rPr>
        <w:t>(macro,</w:t>
      </w:r>
      <w:r>
        <w:rPr>
          <w:color w:val="231F20"/>
          <w:spacing w:val="-43"/>
          <w:w w:val="105"/>
        </w:rPr>
        <w:t> </w:t>
      </w:r>
      <w:r>
        <w:rPr>
          <w:color w:val="231F20"/>
          <w:w w:val="105"/>
        </w:rPr>
        <w:t>meta,</w:t>
      </w:r>
      <w:r>
        <w:rPr>
          <w:color w:val="231F20"/>
          <w:spacing w:val="-43"/>
          <w:w w:val="105"/>
        </w:rPr>
        <w:t> </w:t>
      </w:r>
      <w:r>
        <w:rPr>
          <w:color w:val="231F20"/>
          <w:w w:val="105"/>
        </w:rPr>
        <w:t>meso</w:t>
      </w:r>
      <w:r>
        <w:rPr>
          <w:color w:val="231F20"/>
          <w:spacing w:val="-39"/>
          <w:w w:val="105"/>
        </w:rPr>
        <w:t> </w:t>
      </w:r>
      <w:r>
        <w:rPr>
          <w:color w:val="231F20"/>
          <w:w w:val="105"/>
        </w:rPr>
        <w:t>y</w:t>
      </w:r>
      <w:r>
        <w:rPr>
          <w:color w:val="231F20"/>
          <w:spacing w:val="-39"/>
          <w:w w:val="105"/>
        </w:rPr>
        <w:t> </w:t>
      </w:r>
      <w:r>
        <w:rPr>
          <w:color w:val="231F20"/>
          <w:spacing w:val="-3"/>
          <w:w w:val="105"/>
        </w:rPr>
        <w:t>micro)</w:t>
      </w:r>
      <w:r>
        <w:rPr>
          <w:color w:val="231F20"/>
          <w:spacing w:val="-39"/>
          <w:w w:val="105"/>
        </w:rPr>
        <w:t> </w:t>
      </w:r>
      <w:r>
        <w:rPr>
          <w:color w:val="231F20"/>
          <w:w w:val="105"/>
        </w:rPr>
        <w:t>(Klaus</w:t>
      </w:r>
      <w:r>
        <w:rPr>
          <w:color w:val="231F20"/>
          <w:spacing w:val="-39"/>
          <w:w w:val="105"/>
        </w:rPr>
        <w:t> </w:t>
      </w:r>
      <w:r>
        <w:rPr>
          <w:i/>
          <w:color w:val="231F20"/>
          <w:w w:val="105"/>
        </w:rPr>
        <w:t>et</w:t>
      </w:r>
      <w:r>
        <w:rPr>
          <w:i/>
          <w:color w:val="231F20"/>
          <w:spacing w:val="-39"/>
          <w:w w:val="105"/>
        </w:rPr>
        <w:t> </w:t>
      </w:r>
      <w:r>
        <w:rPr>
          <w:i/>
          <w:color w:val="231F20"/>
          <w:w w:val="105"/>
        </w:rPr>
        <w:t>al</w:t>
      </w:r>
      <w:r>
        <w:rPr>
          <w:color w:val="231F20"/>
          <w:w w:val="105"/>
        </w:rPr>
        <w:t>.,</w:t>
      </w:r>
      <w:r>
        <w:rPr>
          <w:color w:val="231F20"/>
          <w:spacing w:val="-43"/>
          <w:w w:val="105"/>
        </w:rPr>
        <w:t> </w:t>
      </w:r>
      <w:r>
        <w:rPr>
          <w:color w:val="231F20"/>
          <w:w w:val="105"/>
        </w:rPr>
        <w:t>2001;</w:t>
      </w:r>
      <w:r>
        <w:rPr>
          <w:color w:val="231F20"/>
          <w:spacing w:val="-39"/>
          <w:w w:val="105"/>
        </w:rPr>
        <w:t> </w:t>
      </w:r>
      <w:r>
        <w:rPr>
          <w:color w:val="231F20"/>
          <w:spacing w:val="-4"/>
          <w:w w:val="105"/>
        </w:rPr>
        <w:t>CEPAL,</w:t>
      </w:r>
      <w:r>
        <w:rPr>
          <w:color w:val="231F20"/>
          <w:spacing w:val="-43"/>
          <w:w w:val="105"/>
        </w:rPr>
        <w:t> </w:t>
      </w:r>
      <w:r>
        <w:rPr>
          <w:color w:val="231F20"/>
          <w:spacing w:val="-2"/>
          <w:w w:val="105"/>
        </w:rPr>
        <w:t>2001).</w:t>
      </w:r>
    </w:p>
    <w:p>
      <w:pPr>
        <w:spacing w:after="0" w:line="259" w:lineRule="auto"/>
        <w:jc w:val="both"/>
        <w:sectPr>
          <w:pgSz w:w="9640" w:h="13890"/>
          <w:pgMar w:top="0" w:bottom="280" w:left="1300" w:right="1200"/>
        </w:sectPr>
      </w:pPr>
    </w:p>
    <w:p>
      <w:pPr>
        <w:spacing w:before="118"/>
        <w:ind w:left="1597" w:right="17" w:firstLine="0"/>
        <w:jc w:val="left"/>
        <w:rPr>
          <w:sz w:val="18"/>
        </w:rPr>
      </w:pPr>
      <w:r>
        <w:rPr/>
        <w:pict>
          <v:group style="position:absolute;margin-left:109.345299pt;margin-top:23.161465pt;width:257.55pt;height:253.05pt;mso-position-horizontal-relative:page;mso-position-vertical-relative:paragraph;z-index:2176;mso-wrap-distance-left:0;mso-wrap-distance-right:0" coordorigin="2187,463" coordsize="5151,5061">
            <v:shape style="position:absolute;left:3985;top:468;width:1547;height:1547" coordorigin="3985,468" coordsize="1547,1547" path="m5531,1242l5528,1316,5517,1389,5500,1459,5477,1526,5448,1591,5414,1652,5374,1710,5329,1763,5280,1813,5226,1857,5168,1897,5107,1932,5043,1961,4975,1984,4905,2001,4832,2011,4758,2015,4684,2011,4611,2001,4541,1984,4473,1961,4409,1932,4348,1897,4290,1857,4236,1813,4187,1763,4142,1710,4102,1652,4068,1591,4039,1526,4016,1459,3999,1389,3988,1316,3985,1242,3988,1167,3999,1095,4016,1024,4039,957,4068,892,4102,831,4142,774,4187,720,4236,671,4290,626,4348,586,4409,551,4473,522,4541,499,4611,482,4684,472,4758,468,4832,472,4905,482,4975,499,5043,522,5107,551,5168,586,5226,626,5280,671,5329,720,5374,774,5414,831,5448,892,5477,957,5500,1024,5517,1095,5528,1167,5531,1242xe" filled="false" stroked="true" strokeweight=".5pt" strokecolor="#231f20">
              <v:path arrowok="t"/>
            </v:shape>
            <v:shape style="position:absolute;left:4248;top:2535;width:1021;height:1021" coordorigin="4248,2535" coordsize="1021,1021" path="m5268,3045l5263,3120,5247,3192,5221,3260,5186,3323,5143,3380,5093,3430,5036,3473,4973,3508,4905,3534,4833,3550,4758,3555,4683,3550,4611,3534,4543,3508,4480,3473,4423,3430,4373,3380,4330,3323,4295,3260,4269,3192,4253,3120,4248,3045,4253,2970,4269,2898,4295,2830,4330,2767,4373,2710,4423,2660,4480,2617,4543,2582,4611,2556,4683,2540,4758,2535,4833,2540,4905,2556,4973,2582,5036,2617,5093,2660,5143,2710,5186,2767,5221,2830,5247,2898,5263,2970,5268,3045xe" filled="false" stroked="true" strokeweight=".5pt" strokecolor="#231f20">
              <v:path arrowok="t"/>
            </v:shape>
            <v:shape style="position:absolute;left:4633;top:1943;width:271;height:660" type="#_x0000_t75" stroked="false">
              <v:imagedata r:id="rId27" o:title=""/>
            </v:shape>
            <v:shape style="position:absolute;left:3985;top:3972;width:1547;height:1547" coordorigin="3985,3972" coordsize="1547,1547" path="m5531,4745l5528,4820,5517,4892,5500,4962,5477,5030,5448,5094,5414,5155,5374,5213,5329,5267,5280,5316,5226,5361,5168,5401,5107,5435,5043,5464,4975,5488,4905,5504,4832,5515,4758,5518,4684,5515,4611,5504,4541,5488,4473,5464,4409,5435,4348,5401,4290,5361,4236,5316,4187,5267,4142,5213,4102,5155,4068,5094,4039,5030,4016,4962,3999,4892,3988,4820,3985,4745,3988,4671,3999,4598,4016,4528,4039,4460,4068,4396,4102,4335,4142,4277,4187,4223,4236,4174,4290,4129,4348,4089,4409,4055,4473,4026,4541,4003,4611,3986,4684,3975,4758,3972,4832,3975,4905,3986,4975,4003,5043,4026,5107,4055,5168,4089,5226,4129,5280,4174,5329,4223,5374,4277,5414,4335,5448,4396,5477,4460,5500,4528,5517,4598,5528,4671,5531,4745xe" filled="false" stroked="true" strokeweight=".5pt" strokecolor="#231f20">
              <v:path arrowok="t"/>
            </v:shape>
            <v:shape style="position:absolute;left:4633;top:3482;width:271;height:660" type="#_x0000_t75" stroked="false">
              <v:imagedata r:id="rId28" o:title=""/>
            </v:shape>
            <v:shape style="position:absolute;left:5786;top:2292;width:1547;height:1547" coordorigin="5786,2292" coordsize="1547,1547" path="m7333,3066l7329,3140,7319,3213,7302,3283,7278,3350,7249,3415,7215,3476,7175,3534,7130,3587,7081,3637,7027,3682,6969,3722,6908,3756,6844,3785,6776,3808,6706,3825,6634,3836,6559,3839,6485,3836,6412,3825,6342,3808,6275,3785,6210,3756,6149,3722,6091,3682,6037,3637,5988,3587,5943,3534,5903,3476,5869,3415,5840,3350,5817,3283,5800,3213,5789,3140,5786,3066,5789,2991,5800,2919,5817,2849,5840,2781,5869,2717,5903,2655,5943,2598,5988,2544,6037,2495,6091,2450,6149,2410,6210,2376,6275,2347,6342,2323,6412,2306,6485,2296,6559,2292,6634,2296,6706,2306,6776,2323,6844,2347,6908,2376,6969,2410,7027,2450,7081,2495,7130,2544,7175,2598,7215,2655,7249,2717,7278,2781,7302,2849,7319,2919,7329,2991,7333,3066xe" filled="false" stroked="true" strokeweight=".5pt" strokecolor="#231f20">
              <v:path arrowok="t"/>
            </v:shape>
            <v:shape style="position:absolute;left:5192;top:2930;width:660;height:271" type="#_x0000_t75" stroked="false">
              <v:imagedata r:id="rId29" o:title=""/>
            </v:shape>
            <v:shape style="position:absolute;left:2192;top:2292;width:1547;height:1547" coordorigin="2192,2292" coordsize="1547,1547" path="m3739,3066l3735,3140,3725,3213,3708,3283,3685,3350,3656,3415,3621,3476,3581,3534,3536,3587,3487,3637,3433,3682,3376,3722,3314,3756,3250,3785,3182,3808,3112,3825,3040,3836,2965,3839,2891,3836,2818,3825,2748,3808,2681,3785,2616,3756,2555,3722,2497,3682,2444,3637,2394,3587,2349,3534,2310,3476,2275,3415,2246,3350,2223,3283,2206,3213,2195,3140,2192,3066,2195,2991,2206,2919,2223,2849,2246,2781,2275,2717,2310,2655,2349,2598,2394,2544,2444,2495,2497,2450,2555,2410,2616,2376,2681,2347,2748,2323,2818,2306,2891,2296,2965,2292,3040,2296,3112,2306,3182,2323,3250,2347,3314,2376,3376,2410,3433,2450,3487,2495,3536,2544,3581,2598,3621,2655,3656,2717,3685,2781,3708,2849,3725,2919,3735,2991,3739,3066xe" filled="false" stroked="true" strokeweight=".5pt" strokecolor="#231f20">
              <v:path arrowok="t"/>
            </v:shape>
            <v:shape style="position:absolute;left:3664;top:2930;width:660;height:271" type="#_x0000_t75" stroked="false">
              <v:imagedata r:id="rId29" o:title=""/>
            </v:shape>
            <v:shape style="position:absolute;left:4146;top:562;width:1225;height:1272" type="#_x0000_t202" filled="false" stroked="false">
              <v:textbox inset="0,0,0,0">
                <w:txbxContent>
                  <w:p>
                    <w:pPr>
                      <w:spacing w:line="113" w:lineRule="exact" w:before="0"/>
                      <w:ind w:left="277" w:right="277" w:firstLine="0"/>
                      <w:jc w:val="center"/>
                      <w:rPr>
                        <w:sz w:val="12"/>
                      </w:rPr>
                    </w:pPr>
                    <w:r>
                      <w:rPr>
                        <w:color w:val="231F20"/>
                        <w:w w:val="105"/>
                        <w:sz w:val="12"/>
                      </w:rPr>
                      <w:t>Nivel meta:</w:t>
                    </w:r>
                  </w:p>
                  <w:p>
                    <w:pPr>
                      <w:spacing w:line="249" w:lineRule="auto" w:before="6"/>
                      <w:ind w:left="0" w:right="0" w:hanging="1"/>
                      <w:jc w:val="center"/>
                      <w:rPr>
                        <w:sz w:val="12"/>
                      </w:rPr>
                    </w:pPr>
                    <w:r>
                      <w:rPr>
                        <w:color w:val="231F20"/>
                        <w:w w:val="105"/>
                        <w:sz w:val="12"/>
                      </w:rPr>
                      <w:t>capacidad que tiene una sociedad para lograr consensos y marchar de forma integrada en la búsqueda de los objetivos</w:t>
                    </w:r>
                    <w:r>
                      <w:rPr>
                        <w:color w:val="231F20"/>
                        <w:spacing w:val="-10"/>
                        <w:w w:val="105"/>
                        <w:sz w:val="12"/>
                      </w:rPr>
                      <w:t> </w:t>
                    </w:r>
                    <w:r>
                      <w:rPr>
                        <w:color w:val="231F20"/>
                        <w:w w:val="105"/>
                        <w:sz w:val="12"/>
                      </w:rPr>
                      <w:t>establecidos</w:t>
                    </w:r>
                    <w:r>
                      <w:rPr>
                        <w:color w:val="231F20"/>
                        <w:w w:val="103"/>
                        <w:sz w:val="12"/>
                      </w:rPr>
                      <w:t> </w:t>
                    </w:r>
                    <w:r>
                      <w:rPr>
                        <w:color w:val="231F20"/>
                        <w:w w:val="105"/>
                        <w:sz w:val="12"/>
                      </w:rPr>
                      <w:t>conjuntamente</w:t>
                    </w:r>
                  </w:p>
                </w:txbxContent>
              </v:textbox>
              <w10:wrap type="none"/>
            </v:shape>
            <v:shape style="position:absolute;left:2353;top:2456;width:1268;height:1272" type="#_x0000_t202" filled="false" stroked="false">
              <v:textbox inset="0,0,0,0">
                <w:txbxContent>
                  <w:p>
                    <w:pPr>
                      <w:spacing w:line="113" w:lineRule="exact" w:before="0"/>
                      <w:ind w:left="263" w:right="263" w:firstLine="0"/>
                      <w:jc w:val="center"/>
                      <w:rPr>
                        <w:sz w:val="12"/>
                      </w:rPr>
                    </w:pPr>
                    <w:r>
                      <w:rPr>
                        <w:color w:val="231F20"/>
                        <w:w w:val="105"/>
                        <w:sz w:val="12"/>
                      </w:rPr>
                      <w:t>Nivel macro:</w:t>
                    </w:r>
                  </w:p>
                  <w:p>
                    <w:pPr>
                      <w:spacing w:line="249" w:lineRule="auto" w:before="6"/>
                      <w:ind w:left="0" w:right="0" w:hanging="1"/>
                      <w:jc w:val="center"/>
                      <w:rPr>
                        <w:sz w:val="12"/>
                      </w:rPr>
                    </w:pPr>
                    <w:r>
                      <w:rPr>
                        <w:color w:val="231F20"/>
                        <w:w w:val="105"/>
                        <w:sz w:val="12"/>
                      </w:rPr>
                      <w:t>interacción entre políticas</w:t>
                    </w:r>
                    <w:r>
                      <w:rPr>
                        <w:color w:val="231F20"/>
                        <w:spacing w:val="-15"/>
                        <w:w w:val="105"/>
                        <w:sz w:val="12"/>
                      </w:rPr>
                      <w:t> </w:t>
                    </w:r>
                    <w:r>
                      <w:rPr>
                        <w:color w:val="231F20"/>
                        <w:w w:val="105"/>
                        <w:sz w:val="12"/>
                      </w:rPr>
                      <w:t>e</w:t>
                    </w:r>
                    <w:r>
                      <w:rPr>
                        <w:color w:val="231F20"/>
                        <w:spacing w:val="-15"/>
                        <w:w w:val="105"/>
                        <w:sz w:val="12"/>
                      </w:rPr>
                      <w:t> </w:t>
                    </w:r>
                    <w:r>
                      <w:rPr>
                        <w:color w:val="231F20"/>
                        <w:w w:val="105"/>
                        <w:sz w:val="12"/>
                      </w:rPr>
                      <w:t>instituciones</w:t>
                    </w:r>
                    <w:r>
                      <w:rPr>
                        <w:color w:val="231F20"/>
                        <w:w w:val="103"/>
                        <w:sz w:val="12"/>
                      </w:rPr>
                      <w:t> </w:t>
                    </w:r>
                    <w:r>
                      <w:rPr>
                        <w:color w:val="231F20"/>
                        <w:w w:val="105"/>
                        <w:sz w:val="12"/>
                      </w:rPr>
                      <w:t>que determinan el nivel de productividad de un país e incrementan la</w:t>
                    </w:r>
                    <w:r>
                      <w:rPr>
                        <w:color w:val="231F20"/>
                        <w:spacing w:val="-20"/>
                        <w:w w:val="105"/>
                        <w:sz w:val="12"/>
                      </w:rPr>
                      <w:t> </w:t>
                    </w:r>
                    <w:r>
                      <w:rPr>
                        <w:color w:val="231F20"/>
                        <w:w w:val="105"/>
                        <w:sz w:val="12"/>
                      </w:rPr>
                      <w:t>calidad de vida de su población</w:t>
                    </w:r>
                  </w:p>
                </w:txbxContent>
              </v:textbox>
              <w10:wrap type="none"/>
            </v:shape>
            <v:shape style="position:absolute;left:4345;top:2648;width:826;height:840" type="#_x0000_t202" filled="false" stroked="false">
              <v:textbox inset="0,0,0,0">
                <w:txbxContent>
                  <w:p>
                    <w:pPr>
                      <w:spacing w:line="113" w:lineRule="exact" w:before="0"/>
                      <w:ind w:left="22" w:right="23" w:firstLine="0"/>
                      <w:jc w:val="center"/>
                      <w:rPr>
                        <w:sz w:val="12"/>
                      </w:rPr>
                    </w:pPr>
                    <w:r>
                      <w:rPr>
                        <w:color w:val="231F20"/>
                        <w:sz w:val="12"/>
                      </w:rPr>
                      <w:t>La</w:t>
                    </w:r>
                  </w:p>
                  <w:p>
                    <w:pPr>
                      <w:spacing w:line="249" w:lineRule="auto" w:before="6"/>
                      <w:ind w:left="-1" w:right="0" w:firstLine="0"/>
                      <w:jc w:val="center"/>
                      <w:rPr>
                        <w:sz w:val="12"/>
                      </w:rPr>
                    </w:pPr>
                    <w:r>
                      <w:rPr>
                        <w:color w:val="231F20"/>
                        <w:w w:val="105"/>
                        <w:sz w:val="12"/>
                      </w:rPr>
                      <w:t>competitividad </w:t>
                    </w:r>
                    <w:r>
                      <w:rPr>
                        <w:color w:val="231F20"/>
                        <w:sz w:val="12"/>
                      </w:rPr>
                      <w:t>se</w:t>
                    </w:r>
                    <w:r>
                      <w:rPr>
                        <w:color w:val="231F20"/>
                        <w:spacing w:val="-13"/>
                        <w:sz w:val="12"/>
                      </w:rPr>
                      <w:t> </w:t>
                    </w:r>
                    <w:r>
                      <w:rPr>
                        <w:color w:val="231F20"/>
                        <w:sz w:val="12"/>
                      </w:rPr>
                      <w:t>realiza</w:t>
                    </w:r>
                  </w:p>
                  <w:p>
                    <w:pPr>
                      <w:spacing w:line="249" w:lineRule="auto" w:before="0"/>
                      <w:ind w:left="23" w:right="23" w:firstLine="0"/>
                      <w:jc w:val="center"/>
                      <w:rPr>
                        <w:sz w:val="12"/>
                      </w:rPr>
                    </w:pPr>
                    <w:r>
                      <w:rPr>
                        <w:color w:val="231F20"/>
                        <w:w w:val="105"/>
                        <w:sz w:val="12"/>
                      </w:rPr>
                      <w:t>a través de la</w:t>
                    </w:r>
                    <w:r>
                      <w:rPr>
                        <w:color w:val="231F20"/>
                        <w:w w:val="100"/>
                        <w:sz w:val="12"/>
                      </w:rPr>
                      <w:t> </w:t>
                    </w:r>
                    <w:r>
                      <w:rPr>
                        <w:color w:val="231F20"/>
                        <w:w w:val="105"/>
                        <w:sz w:val="12"/>
                      </w:rPr>
                      <w:t>interrelación de:</w:t>
                    </w:r>
                  </w:p>
                </w:txbxContent>
              </v:textbox>
              <w10:wrap type="none"/>
            </v:shape>
            <v:shape style="position:absolute;left:6015;top:2471;width:1089;height:1272" type="#_x0000_t202" filled="false" stroked="false">
              <v:textbox inset="0,0,0,0">
                <w:txbxContent>
                  <w:p>
                    <w:pPr>
                      <w:spacing w:line="113" w:lineRule="exact" w:before="0"/>
                      <w:ind w:left="0" w:right="0" w:firstLine="0"/>
                      <w:jc w:val="center"/>
                      <w:rPr>
                        <w:sz w:val="12"/>
                      </w:rPr>
                    </w:pPr>
                    <w:r>
                      <w:rPr>
                        <w:color w:val="231F20"/>
                        <w:w w:val="105"/>
                        <w:sz w:val="12"/>
                      </w:rPr>
                      <w:t>Nivel meso:</w:t>
                    </w:r>
                  </w:p>
                  <w:p>
                    <w:pPr>
                      <w:spacing w:line="249" w:lineRule="auto" w:before="6"/>
                      <w:ind w:left="0" w:right="0" w:firstLine="0"/>
                      <w:jc w:val="center"/>
                      <w:rPr>
                        <w:sz w:val="12"/>
                      </w:rPr>
                    </w:pPr>
                    <w:r>
                      <w:rPr>
                        <w:color w:val="231F20"/>
                        <w:w w:val="105"/>
                        <w:sz w:val="12"/>
                      </w:rPr>
                      <w:t>integración de factores que determinan la inversión y el éxito de</w:t>
                    </w:r>
                    <w:r>
                      <w:rPr>
                        <w:color w:val="231F20"/>
                        <w:spacing w:val="-25"/>
                        <w:w w:val="105"/>
                        <w:sz w:val="12"/>
                      </w:rPr>
                      <w:t> </w:t>
                    </w:r>
                    <w:r>
                      <w:rPr>
                        <w:color w:val="231F20"/>
                        <w:w w:val="105"/>
                        <w:sz w:val="12"/>
                      </w:rPr>
                      <w:t>las</w:t>
                    </w:r>
                    <w:r>
                      <w:rPr>
                        <w:color w:val="231F20"/>
                        <w:spacing w:val="-25"/>
                        <w:w w:val="105"/>
                        <w:sz w:val="12"/>
                      </w:rPr>
                      <w:t> </w:t>
                    </w:r>
                    <w:r>
                      <w:rPr>
                        <w:color w:val="231F20"/>
                        <w:w w:val="105"/>
                        <w:sz w:val="12"/>
                      </w:rPr>
                      <w:t>empresas,</w:t>
                    </w:r>
                    <w:r>
                      <w:rPr>
                        <w:color w:val="231F20"/>
                        <w:spacing w:val="-26"/>
                        <w:w w:val="105"/>
                        <w:sz w:val="12"/>
                      </w:rPr>
                      <w:t> </w:t>
                    </w:r>
                    <w:r>
                      <w:rPr>
                        <w:color w:val="231F20"/>
                        <w:w w:val="105"/>
                        <w:sz w:val="12"/>
                      </w:rPr>
                      <w:t>así</w:t>
                    </w:r>
                    <w:r>
                      <w:rPr>
                        <w:color w:val="231F20"/>
                        <w:w w:val="92"/>
                        <w:sz w:val="12"/>
                      </w:rPr>
                      <w:t> </w:t>
                    </w:r>
                    <w:r>
                      <w:rPr>
                        <w:color w:val="231F20"/>
                        <w:w w:val="105"/>
                        <w:sz w:val="12"/>
                      </w:rPr>
                      <w:t>como las políticas públicas</w:t>
                    </w:r>
                    <w:r>
                      <w:rPr>
                        <w:color w:val="231F20"/>
                        <w:spacing w:val="-15"/>
                        <w:w w:val="105"/>
                        <w:sz w:val="12"/>
                      </w:rPr>
                      <w:t> </w:t>
                    </w:r>
                    <w:r>
                      <w:rPr>
                        <w:color w:val="231F20"/>
                        <w:w w:val="105"/>
                        <w:sz w:val="12"/>
                      </w:rPr>
                      <w:t>para</w:t>
                    </w:r>
                  </w:p>
                  <w:p>
                    <w:pPr>
                      <w:spacing w:before="0"/>
                      <w:ind w:left="0" w:right="0" w:firstLine="0"/>
                      <w:jc w:val="center"/>
                      <w:rPr>
                        <w:sz w:val="12"/>
                      </w:rPr>
                    </w:pPr>
                    <w:r>
                      <w:rPr>
                        <w:color w:val="231F20"/>
                        <w:w w:val="105"/>
                        <w:sz w:val="12"/>
                      </w:rPr>
                      <w:t>el sector</w:t>
                    </w:r>
                  </w:p>
                </w:txbxContent>
              </v:textbox>
              <w10:wrap type="none"/>
            </v:shape>
            <v:shape style="position:absolute;left:4143;top:4263;width:1231;height:1128" type="#_x0000_t202" filled="false" stroked="false">
              <v:textbox inset="0,0,0,0">
                <w:txbxContent>
                  <w:p>
                    <w:pPr>
                      <w:spacing w:line="113" w:lineRule="exact" w:before="0"/>
                      <w:ind w:left="0" w:right="0" w:firstLine="0"/>
                      <w:jc w:val="center"/>
                      <w:rPr>
                        <w:sz w:val="12"/>
                      </w:rPr>
                    </w:pPr>
                    <w:r>
                      <w:rPr>
                        <w:color w:val="231F20"/>
                        <w:w w:val="105"/>
                        <w:sz w:val="12"/>
                      </w:rPr>
                      <w:t>Nivel micro: ventaja</w:t>
                    </w:r>
                  </w:p>
                  <w:p>
                    <w:pPr>
                      <w:spacing w:line="249" w:lineRule="auto" w:before="6"/>
                      <w:ind w:left="-1" w:right="0" w:firstLine="0"/>
                      <w:jc w:val="center"/>
                      <w:rPr>
                        <w:sz w:val="12"/>
                      </w:rPr>
                    </w:pPr>
                    <w:r>
                      <w:rPr>
                        <w:color w:val="231F20"/>
                        <w:w w:val="105"/>
                        <w:sz w:val="12"/>
                      </w:rPr>
                      <w:t>competitiva sostenida que reﬂeja</w:t>
                    </w:r>
                    <w:r>
                      <w:rPr>
                        <w:color w:val="231F20"/>
                        <w:spacing w:val="-13"/>
                        <w:w w:val="105"/>
                        <w:sz w:val="12"/>
                      </w:rPr>
                      <w:t> </w:t>
                    </w:r>
                    <w:r>
                      <w:rPr>
                        <w:color w:val="231F20"/>
                        <w:w w:val="105"/>
                        <w:sz w:val="12"/>
                      </w:rPr>
                      <w:t>el</w:t>
                    </w:r>
                    <w:r>
                      <w:rPr>
                        <w:color w:val="231F20"/>
                        <w:spacing w:val="-7"/>
                        <w:w w:val="105"/>
                        <w:sz w:val="12"/>
                      </w:rPr>
                      <w:t> </w:t>
                    </w:r>
                    <w:r>
                      <w:rPr>
                        <w:color w:val="231F20"/>
                        <w:w w:val="105"/>
                        <w:sz w:val="12"/>
                      </w:rPr>
                      <w:t>aumento</w:t>
                    </w:r>
                    <w:r>
                      <w:rPr>
                        <w:color w:val="231F20"/>
                        <w:w w:val="104"/>
                        <w:sz w:val="12"/>
                      </w:rPr>
                      <w:t> </w:t>
                    </w:r>
                    <w:r>
                      <w:rPr>
                        <w:color w:val="231F20"/>
                        <w:w w:val="105"/>
                        <w:sz w:val="12"/>
                      </w:rPr>
                      <w:t>de la rentabilidad, productividad, ﬂexibilidad, calidad, diferenciación</w:t>
                    </w:r>
                  </w:p>
                  <w:p>
                    <w:pPr>
                      <w:spacing w:before="0"/>
                      <w:ind w:left="0" w:right="0" w:firstLine="0"/>
                      <w:jc w:val="center"/>
                      <w:rPr>
                        <w:sz w:val="12"/>
                      </w:rPr>
                    </w:pPr>
                    <w:r>
                      <w:rPr>
                        <w:color w:val="231F20"/>
                        <w:sz w:val="12"/>
                      </w:rPr>
                      <w:t>y servicio</w:t>
                    </w:r>
                  </w:p>
                </w:txbxContent>
              </v:textbox>
              <w10:wrap type="none"/>
            </v:shape>
            <w10:wrap type="topAndBottom"/>
          </v:group>
        </w:pict>
      </w:r>
      <w:r>
        <w:rPr>
          <w:color w:val="231F20"/>
          <w:w w:val="105"/>
          <w:sz w:val="18"/>
        </w:rPr>
        <w:t>Figura 2. Modelo de competitividad sistemática</w:t>
      </w:r>
    </w:p>
    <w:p>
      <w:pPr>
        <w:spacing w:line="249" w:lineRule="auto" w:before="96"/>
        <w:ind w:left="954" w:right="723" w:firstLine="0"/>
        <w:jc w:val="left"/>
        <w:rPr>
          <w:sz w:val="16"/>
        </w:rPr>
      </w:pPr>
      <w:r>
        <w:rPr>
          <w:color w:val="231F20"/>
          <w:w w:val="105"/>
          <w:sz w:val="16"/>
        </w:rPr>
        <w:t>Fuente: Elaboración propia a partir de CEPAL, 2001; Industry Canada, 1995; Sobrino, 2005; WEF, 2007.</w:t>
      </w:r>
    </w:p>
    <w:p>
      <w:pPr>
        <w:pStyle w:val="BodyText"/>
        <w:rPr>
          <w:sz w:val="16"/>
        </w:rPr>
      </w:pPr>
    </w:p>
    <w:p>
      <w:pPr>
        <w:pStyle w:val="BodyText"/>
        <w:rPr>
          <w:sz w:val="16"/>
        </w:rPr>
      </w:pPr>
    </w:p>
    <w:p>
      <w:pPr>
        <w:pStyle w:val="BodyText"/>
        <w:spacing w:line="259" w:lineRule="auto" w:before="124"/>
        <w:ind w:left="103" w:right="109"/>
        <w:jc w:val="both"/>
      </w:pPr>
      <w:r>
        <w:rPr>
          <w:color w:val="231F20"/>
          <w:w w:val="105"/>
        </w:rPr>
        <w:t>Los</w:t>
      </w:r>
      <w:r>
        <w:rPr>
          <w:color w:val="231F20"/>
          <w:spacing w:val="-40"/>
          <w:w w:val="105"/>
        </w:rPr>
        <w:t> </w:t>
      </w:r>
      <w:r>
        <w:rPr>
          <w:color w:val="231F20"/>
          <w:w w:val="105"/>
        </w:rPr>
        <w:t>diferentes</w:t>
      </w:r>
      <w:r>
        <w:rPr>
          <w:color w:val="231F20"/>
          <w:spacing w:val="-40"/>
          <w:w w:val="105"/>
        </w:rPr>
        <w:t> </w:t>
      </w:r>
      <w:r>
        <w:rPr>
          <w:color w:val="231F20"/>
          <w:w w:val="105"/>
        </w:rPr>
        <w:t>niveles</w:t>
      </w:r>
      <w:r>
        <w:rPr>
          <w:color w:val="231F20"/>
          <w:spacing w:val="-40"/>
          <w:w w:val="105"/>
        </w:rPr>
        <w:t> </w:t>
      </w:r>
      <w:r>
        <w:rPr>
          <w:color w:val="231F20"/>
          <w:w w:val="105"/>
        </w:rPr>
        <w:t>actúan</w:t>
      </w:r>
      <w:r>
        <w:rPr>
          <w:color w:val="231F20"/>
          <w:spacing w:val="-40"/>
          <w:w w:val="105"/>
        </w:rPr>
        <w:t> </w:t>
      </w:r>
      <w:r>
        <w:rPr>
          <w:color w:val="231F20"/>
          <w:w w:val="105"/>
        </w:rPr>
        <w:t>sistemáticamente</w:t>
      </w:r>
      <w:r>
        <w:rPr>
          <w:color w:val="231F20"/>
          <w:spacing w:val="-40"/>
          <w:w w:val="105"/>
        </w:rPr>
        <w:t> </w:t>
      </w:r>
      <w:r>
        <w:rPr>
          <w:color w:val="231F20"/>
          <w:w w:val="105"/>
        </w:rPr>
        <w:t>con</w:t>
      </w:r>
      <w:r>
        <w:rPr>
          <w:color w:val="231F20"/>
          <w:spacing w:val="-41"/>
          <w:w w:val="105"/>
        </w:rPr>
        <w:t> </w:t>
      </w:r>
      <w:r>
        <w:rPr>
          <w:color w:val="231F20"/>
          <w:w w:val="105"/>
        </w:rPr>
        <w:t>un</w:t>
      </w:r>
      <w:r>
        <w:rPr>
          <w:color w:val="231F20"/>
          <w:spacing w:val="-40"/>
          <w:w w:val="105"/>
        </w:rPr>
        <w:t> </w:t>
      </w:r>
      <w:r>
        <w:rPr>
          <w:color w:val="231F20"/>
          <w:w w:val="105"/>
        </w:rPr>
        <w:t>carácter</w:t>
      </w:r>
      <w:r>
        <w:rPr>
          <w:color w:val="231F20"/>
          <w:spacing w:val="-40"/>
          <w:w w:val="105"/>
        </w:rPr>
        <w:t> </w:t>
      </w:r>
      <w:r>
        <w:rPr>
          <w:color w:val="231F20"/>
          <w:w w:val="105"/>
        </w:rPr>
        <w:t>holísto,</w:t>
      </w:r>
      <w:r>
        <w:rPr>
          <w:color w:val="231F20"/>
          <w:spacing w:val="-44"/>
          <w:w w:val="105"/>
        </w:rPr>
        <w:t> </w:t>
      </w:r>
      <w:r>
        <w:rPr>
          <w:color w:val="231F20"/>
          <w:w w:val="105"/>
        </w:rPr>
        <w:t>ya que al generar un cambio en una de sus partes ocasiona un cambio</w:t>
      </w:r>
      <w:r>
        <w:rPr>
          <w:color w:val="231F20"/>
          <w:spacing w:val="-40"/>
          <w:w w:val="105"/>
        </w:rPr>
        <w:t> </w:t>
      </w:r>
      <w:r>
        <w:rPr>
          <w:color w:val="231F20"/>
          <w:w w:val="105"/>
        </w:rPr>
        <w:t>en uno</w:t>
      </w:r>
      <w:r>
        <w:rPr>
          <w:color w:val="231F20"/>
          <w:spacing w:val="-6"/>
          <w:w w:val="105"/>
        </w:rPr>
        <w:t> </w:t>
      </w:r>
      <w:r>
        <w:rPr>
          <w:color w:val="231F20"/>
          <w:w w:val="105"/>
        </w:rPr>
        <w:t>o</w:t>
      </w:r>
      <w:r>
        <w:rPr>
          <w:color w:val="231F20"/>
          <w:spacing w:val="-6"/>
          <w:w w:val="105"/>
        </w:rPr>
        <w:t> </w:t>
      </w:r>
      <w:r>
        <w:rPr>
          <w:color w:val="231F20"/>
          <w:w w:val="105"/>
        </w:rPr>
        <w:t>más</w:t>
      </w:r>
      <w:r>
        <w:rPr>
          <w:color w:val="231F20"/>
          <w:spacing w:val="-6"/>
          <w:w w:val="105"/>
        </w:rPr>
        <w:t> </w:t>
      </w:r>
      <w:r>
        <w:rPr>
          <w:color w:val="231F20"/>
          <w:w w:val="105"/>
        </w:rPr>
        <w:t>componentes.</w:t>
      </w:r>
      <w:r>
        <w:rPr>
          <w:color w:val="231F20"/>
          <w:spacing w:val="-13"/>
          <w:w w:val="105"/>
        </w:rPr>
        <w:t> </w:t>
      </w:r>
      <w:r>
        <w:rPr>
          <w:color w:val="231F20"/>
          <w:spacing w:val="-6"/>
          <w:w w:val="105"/>
        </w:rPr>
        <w:t>Por </w:t>
      </w:r>
      <w:r>
        <w:rPr>
          <w:color w:val="231F20"/>
          <w:w w:val="105"/>
        </w:rPr>
        <w:t>ejemplo,</w:t>
      </w:r>
      <w:r>
        <w:rPr>
          <w:color w:val="231F20"/>
          <w:spacing w:val="-13"/>
          <w:w w:val="105"/>
        </w:rPr>
        <w:t> </w:t>
      </w:r>
      <w:r>
        <w:rPr>
          <w:color w:val="231F20"/>
          <w:w w:val="105"/>
        </w:rPr>
        <w:t>la</w:t>
      </w:r>
      <w:r>
        <w:rPr>
          <w:color w:val="231F20"/>
          <w:spacing w:val="-6"/>
          <w:w w:val="105"/>
        </w:rPr>
        <w:t> </w:t>
      </w:r>
      <w:r>
        <w:rPr>
          <w:color w:val="231F20"/>
          <w:w w:val="105"/>
        </w:rPr>
        <w:t>competitividad</w:t>
      </w:r>
      <w:r>
        <w:rPr>
          <w:color w:val="231F20"/>
          <w:spacing w:val="-6"/>
          <w:w w:val="105"/>
        </w:rPr>
        <w:t> </w:t>
      </w:r>
      <w:r>
        <w:rPr>
          <w:color w:val="231F20"/>
          <w:w w:val="105"/>
        </w:rPr>
        <w:t>meso</w:t>
      </w:r>
      <w:r>
        <w:rPr>
          <w:color w:val="231F20"/>
          <w:spacing w:val="-6"/>
          <w:w w:val="105"/>
        </w:rPr>
        <w:t> </w:t>
      </w:r>
      <w:r>
        <w:rPr>
          <w:color w:val="231F20"/>
          <w:w w:val="105"/>
        </w:rPr>
        <w:t>no</w:t>
      </w:r>
      <w:r>
        <w:rPr>
          <w:color w:val="231F20"/>
          <w:spacing w:val="-6"/>
          <w:w w:val="105"/>
        </w:rPr>
        <w:t> </w:t>
      </w:r>
      <w:r>
        <w:rPr>
          <w:color w:val="231F20"/>
          <w:w w:val="105"/>
        </w:rPr>
        <w:t>surge espontáneamente</w:t>
      </w:r>
      <w:r>
        <w:rPr>
          <w:color w:val="231F20"/>
          <w:spacing w:val="-18"/>
          <w:w w:val="105"/>
        </w:rPr>
        <w:t> </w:t>
      </w:r>
      <w:r>
        <w:rPr>
          <w:color w:val="231F20"/>
          <w:w w:val="105"/>
        </w:rPr>
        <w:t>al</w:t>
      </w:r>
      <w:r>
        <w:rPr>
          <w:color w:val="231F20"/>
          <w:spacing w:val="-18"/>
          <w:w w:val="105"/>
        </w:rPr>
        <w:t> </w:t>
      </w:r>
      <w:r>
        <w:rPr>
          <w:color w:val="231F20"/>
          <w:w w:val="105"/>
        </w:rPr>
        <w:t>modificarse</w:t>
      </w:r>
      <w:r>
        <w:rPr>
          <w:color w:val="231F20"/>
          <w:spacing w:val="-18"/>
          <w:w w:val="105"/>
        </w:rPr>
        <w:t> </w:t>
      </w:r>
      <w:r>
        <w:rPr>
          <w:color w:val="231F20"/>
          <w:w w:val="105"/>
        </w:rPr>
        <w:t>el</w:t>
      </w:r>
      <w:r>
        <w:rPr>
          <w:color w:val="231F20"/>
          <w:spacing w:val="-18"/>
          <w:w w:val="105"/>
        </w:rPr>
        <w:t> </w:t>
      </w:r>
      <w:r>
        <w:rPr>
          <w:color w:val="231F20"/>
          <w:w w:val="105"/>
        </w:rPr>
        <w:t>contexto</w:t>
      </w:r>
      <w:r>
        <w:rPr>
          <w:color w:val="231F20"/>
          <w:spacing w:val="-18"/>
          <w:w w:val="105"/>
        </w:rPr>
        <w:t> </w:t>
      </w:r>
      <w:r>
        <w:rPr>
          <w:color w:val="231F20"/>
          <w:w w:val="105"/>
        </w:rPr>
        <w:t>macro,</w:t>
      </w:r>
      <w:r>
        <w:rPr>
          <w:color w:val="231F20"/>
          <w:spacing w:val="-22"/>
          <w:w w:val="105"/>
        </w:rPr>
        <w:t> </w:t>
      </w:r>
      <w:r>
        <w:rPr>
          <w:color w:val="231F20"/>
          <w:w w:val="105"/>
        </w:rPr>
        <w:t>ni</w:t>
      </w:r>
      <w:r>
        <w:rPr>
          <w:color w:val="231F20"/>
          <w:spacing w:val="-18"/>
          <w:w w:val="105"/>
        </w:rPr>
        <w:t> </w:t>
      </w:r>
      <w:r>
        <w:rPr>
          <w:color w:val="231F20"/>
          <w:w w:val="105"/>
        </w:rPr>
        <w:t>se</w:t>
      </w:r>
      <w:r>
        <w:rPr>
          <w:color w:val="231F20"/>
          <w:spacing w:val="-18"/>
          <w:w w:val="105"/>
        </w:rPr>
        <w:t> </w:t>
      </w:r>
      <w:r>
        <w:rPr>
          <w:color w:val="231F20"/>
          <w:w w:val="105"/>
        </w:rPr>
        <w:t>crea</w:t>
      </w:r>
      <w:r>
        <w:rPr>
          <w:color w:val="231F20"/>
          <w:spacing w:val="-18"/>
          <w:w w:val="105"/>
        </w:rPr>
        <w:t> </w:t>
      </w:r>
      <w:r>
        <w:rPr>
          <w:color w:val="231F20"/>
          <w:w w:val="105"/>
        </w:rPr>
        <w:t>recurrien- do</w:t>
      </w:r>
      <w:r>
        <w:rPr>
          <w:color w:val="231F20"/>
          <w:spacing w:val="-7"/>
          <w:w w:val="105"/>
        </w:rPr>
        <w:t> </w:t>
      </w:r>
      <w:r>
        <w:rPr>
          <w:color w:val="231F20"/>
          <w:w w:val="105"/>
        </w:rPr>
        <w:t>exclusivamente</w:t>
      </w:r>
      <w:r>
        <w:rPr>
          <w:color w:val="231F20"/>
          <w:spacing w:val="-7"/>
          <w:w w:val="105"/>
        </w:rPr>
        <w:t> </w:t>
      </w:r>
      <w:r>
        <w:rPr>
          <w:color w:val="231F20"/>
          <w:w w:val="105"/>
        </w:rPr>
        <w:t>al</w:t>
      </w:r>
      <w:r>
        <w:rPr>
          <w:color w:val="231F20"/>
          <w:spacing w:val="-7"/>
          <w:w w:val="105"/>
        </w:rPr>
        <w:t> </w:t>
      </w:r>
      <w:r>
        <w:rPr>
          <w:color w:val="231F20"/>
          <w:w w:val="105"/>
        </w:rPr>
        <w:t>nivel</w:t>
      </w:r>
      <w:r>
        <w:rPr>
          <w:color w:val="231F20"/>
          <w:spacing w:val="-7"/>
          <w:w w:val="105"/>
        </w:rPr>
        <w:t> </w:t>
      </w:r>
      <w:r>
        <w:rPr>
          <w:color w:val="231F20"/>
          <w:w w:val="105"/>
        </w:rPr>
        <w:t>micro;</w:t>
      </w:r>
      <w:r>
        <w:rPr>
          <w:color w:val="231F20"/>
          <w:spacing w:val="-7"/>
          <w:w w:val="105"/>
        </w:rPr>
        <w:t> </w:t>
      </w:r>
      <w:r>
        <w:rPr>
          <w:color w:val="231F20"/>
          <w:w w:val="105"/>
        </w:rPr>
        <w:t>es</w:t>
      </w:r>
      <w:r>
        <w:rPr>
          <w:color w:val="231F20"/>
          <w:spacing w:val="-7"/>
          <w:w w:val="105"/>
        </w:rPr>
        <w:t> </w:t>
      </w:r>
      <w:r>
        <w:rPr>
          <w:color w:val="231F20"/>
          <w:w w:val="105"/>
        </w:rPr>
        <w:t>más</w:t>
      </w:r>
      <w:r>
        <w:rPr>
          <w:color w:val="231F20"/>
          <w:spacing w:val="-7"/>
          <w:w w:val="105"/>
        </w:rPr>
        <w:t> </w:t>
      </w:r>
      <w:r>
        <w:rPr>
          <w:color w:val="231F20"/>
          <w:w w:val="105"/>
        </w:rPr>
        <w:t>bien</w:t>
      </w:r>
      <w:r>
        <w:rPr>
          <w:color w:val="231F20"/>
          <w:spacing w:val="-7"/>
          <w:w w:val="105"/>
        </w:rPr>
        <w:t> </w:t>
      </w:r>
      <w:r>
        <w:rPr>
          <w:color w:val="231F20"/>
          <w:w w:val="105"/>
        </w:rPr>
        <w:t>el</w:t>
      </w:r>
      <w:r>
        <w:rPr>
          <w:color w:val="231F20"/>
          <w:spacing w:val="-7"/>
          <w:w w:val="105"/>
        </w:rPr>
        <w:t> </w:t>
      </w:r>
      <w:r>
        <w:rPr>
          <w:color w:val="231F20"/>
          <w:w w:val="105"/>
        </w:rPr>
        <w:t>resultado</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patrón de interacción complejo y dinámico entre el estado, las empresas, las instituciones</w:t>
      </w:r>
      <w:r>
        <w:rPr>
          <w:color w:val="231F20"/>
          <w:spacing w:val="-26"/>
          <w:w w:val="105"/>
        </w:rPr>
        <w:t> </w:t>
      </w:r>
      <w:r>
        <w:rPr>
          <w:color w:val="231F20"/>
          <w:w w:val="105"/>
        </w:rPr>
        <w:t>intermediarias</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capacidad</w:t>
      </w:r>
      <w:r>
        <w:rPr>
          <w:color w:val="231F20"/>
          <w:spacing w:val="-26"/>
          <w:w w:val="105"/>
        </w:rPr>
        <w:t> </w:t>
      </w:r>
      <w:r>
        <w:rPr>
          <w:color w:val="231F20"/>
          <w:w w:val="105"/>
        </w:rPr>
        <w:t>organizativa</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sociedad. En</w:t>
      </w:r>
      <w:r>
        <w:rPr>
          <w:color w:val="231F20"/>
          <w:spacing w:val="-11"/>
          <w:w w:val="105"/>
        </w:rPr>
        <w:t> </w:t>
      </w:r>
      <w:r>
        <w:rPr>
          <w:color w:val="231F20"/>
          <w:w w:val="105"/>
        </w:rPr>
        <w:t>este</w:t>
      </w:r>
      <w:r>
        <w:rPr>
          <w:color w:val="231F20"/>
          <w:spacing w:val="-11"/>
          <w:w w:val="105"/>
        </w:rPr>
        <w:t> </w:t>
      </w:r>
      <w:r>
        <w:rPr>
          <w:color w:val="231F20"/>
          <w:w w:val="105"/>
        </w:rPr>
        <w:t>contexto,</w:t>
      </w:r>
      <w:r>
        <w:rPr>
          <w:color w:val="231F20"/>
          <w:spacing w:val="-16"/>
          <w:w w:val="105"/>
        </w:rPr>
        <w:t> </w:t>
      </w:r>
      <w:r>
        <w:rPr>
          <w:color w:val="231F20"/>
          <w:w w:val="105"/>
        </w:rPr>
        <w:t>y</w:t>
      </w:r>
      <w:r>
        <w:rPr>
          <w:color w:val="231F20"/>
          <w:spacing w:val="-11"/>
          <w:w w:val="105"/>
        </w:rPr>
        <w:t> </w:t>
      </w:r>
      <w:r>
        <w:rPr>
          <w:color w:val="231F20"/>
          <w:w w:val="105"/>
        </w:rPr>
        <w:t>acorde</w:t>
      </w:r>
      <w:r>
        <w:rPr>
          <w:color w:val="231F20"/>
          <w:spacing w:val="-11"/>
          <w:w w:val="105"/>
        </w:rPr>
        <w:t> </w:t>
      </w:r>
      <w:r>
        <w:rPr>
          <w:color w:val="231F20"/>
          <w:w w:val="105"/>
        </w:rPr>
        <w:t>con</w:t>
      </w:r>
      <w:r>
        <w:rPr>
          <w:color w:val="231F20"/>
          <w:spacing w:val="-11"/>
          <w:w w:val="105"/>
        </w:rPr>
        <w:t> </w:t>
      </w:r>
      <w:r>
        <w:rPr>
          <w:color w:val="231F20"/>
          <w:w w:val="105"/>
        </w:rPr>
        <w:t>el</w:t>
      </w:r>
      <w:r>
        <w:rPr>
          <w:color w:val="231F20"/>
          <w:spacing w:val="-11"/>
          <w:w w:val="105"/>
        </w:rPr>
        <w:t> </w:t>
      </w:r>
      <w:r>
        <w:rPr>
          <w:color w:val="231F20"/>
          <w:w w:val="105"/>
        </w:rPr>
        <w:t>enfoque</w:t>
      </w:r>
      <w:r>
        <w:rPr>
          <w:color w:val="231F20"/>
          <w:spacing w:val="-11"/>
          <w:w w:val="105"/>
        </w:rPr>
        <w:t> </w:t>
      </w:r>
      <w:r>
        <w:rPr>
          <w:color w:val="231F20"/>
          <w:w w:val="105"/>
        </w:rPr>
        <w:t>neoliberal,</w:t>
      </w:r>
      <w:r>
        <w:rPr>
          <w:color w:val="231F20"/>
          <w:spacing w:val="-16"/>
          <w:w w:val="105"/>
        </w:rPr>
        <w:t> </w:t>
      </w:r>
      <w:r>
        <w:rPr>
          <w:color w:val="231F20"/>
          <w:w w:val="105"/>
        </w:rPr>
        <w:t>es</w:t>
      </w:r>
      <w:r>
        <w:rPr>
          <w:color w:val="231F20"/>
          <w:spacing w:val="-11"/>
          <w:w w:val="105"/>
        </w:rPr>
        <w:t> </w:t>
      </w:r>
      <w:r>
        <w:rPr>
          <w:color w:val="231F20"/>
          <w:w w:val="105"/>
        </w:rPr>
        <w:t>esencial</w:t>
      </w:r>
      <w:r>
        <w:rPr>
          <w:color w:val="231F20"/>
          <w:spacing w:val="-11"/>
          <w:w w:val="105"/>
        </w:rPr>
        <w:t> </w:t>
      </w:r>
      <w:r>
        <w:rPr>
          <w:color w:val="231F20"/>
          <w:w w:val="105"/>
        </w:rPr>
        <w:t>contar con</w:t>
      </w:r>
      <w:r>
        <w:rPr>
          <w:color w:val="231F20"/>
          <w:spacing w:val="-11"/>
          <w:w w:val="105"/>
        </w:rPr>
        <w:t> </w:t>
      </w:r>
      <w:r>
        <w:rPr>
          <w:color w:val="231F20"/>
          <w:w w:val="105"/>
        </w:rPr>
        <w:t>un</w:t>
      </w:r>
      <w:r>
        <w:rPr>
          <w:color w:val="231F20"/>
          <w:spacing w:val="-11"/>
          <w:w w:val="105"/>
        </w:rPr>
        <w:t> </w:t>
      </w:r>
      <w:r>
        <w:rPr>
          <w:color w:val="231F20"/>
          <w:w w:val="105"/>
        </w:rPr>
        <w:t>sistema</w:t>
      </w:r>
      <w:r>
        <w:rPr>
          <w:color w:val="231F20"/>
          <w:spacing w:val="-11"/>
          <w:w w:val="105"/>
        </w:rPr>
        <w:t> </w:t>
      </w:r>
      <w:r>
        <w:rPr>
          <w:color w:val="231F20"/>
          <w:w w:val="105"/>
        </w:rPr>
        <w:t>de</w:t>
      </w:r>
      <w:r>
        <w:rPr>
          <w:color w:val="231F20"/>
          <w:spacing w:val="-11"/>
          <w:w w:val="105"/>
        </w:rPr>
        <w:t> </w:t>
      </w:r>
      <w:r>
        <w:rPr>
          <w:color w:val="231F20"/>
          <w:w w:val="105"/>
        </w:rPr>
        <w:t>incentivos</w:t>
      </w:r>
      <w:r>
        <w:rPr>
          <w:color w:val="231F20"/>
          <w:spacing w:val="-11"/>
          <w:w w:val="105"/>
        </w:rPr>
        <w:t> </w:t>
      </w:r>
      <w:r>
        <w:rPr>
          <w:color w:val="231F20"/>
          <w:w w:val="105"/>
        </w:rPr>
        <w:t>orientados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competitividad</w:t>
      </w:r>
      <w:r>
        <w:rPr>
          <w:color w:val="231F20"/>
          <w:spacing w:val="-11"/>
          <w:w w:val="105"/>
        </w:rPr>
        <w:t> </w:t>
      </w:r>
      <w:r>
        <w:rPr>
          <w:color w:val="231F20"/>
          <w:w w:val="105"/>
        </w:rPr>
        <w:t>que</w:t>
      </w:r>
      <w:r>
        <w:rPr>
          <w:color w:val="231F20"/>
          <w:spacing w:val="-11"/>
          <w:w w:val="105"/>
        </w:rPr>
        <w:t> </w:t>
      </w:r>
      <w:r>
        <w:rPr>
          <w:color w:val="231F20"/>
          <w:w w:val="105"/>
        </w:rPr>
        <w:t>obligue a las empresas a desarrollar procesos de aprendizaje e innovación y a incrementar</w:t>
      </w:r>
      <w:r>
        <w:rPr>
          <w:color w:val="231F20"/>
          <w:spacing w:val="-35"/>
          <w:w w:val="105"/>
        </w:rPr>
        <w:t> </w:t>
      </w:r>
      <w:r>
        <w:rPr>
          <w:color w:val="231F20"/>
          <w:w w:val="105"/>
        </w:rPr>
        <w:t>su</w:t>
      </w:r>
      <w:r>
        <w:rPr>
          <w:color w:val="231F20"/>
          <w:spacing w:val="-35"/>
          <w:w w:val="105"/>
        </w:rPr>
        <w:t> </w:t>
      </w:r>
      <w:r>
        <w:rPr>
          <w:color w:val="231F20"/>
          <w:w w:val="105"/>
        </w:rPr>
        <w:t>eficiencia.</w:t>
      </w:r>
    </w:p>
    <w:p>
      <w:pPr>
        <w:pStyle w:val="BodyText"/>
        <w:spacing w:line="259" w:lineRule="auto"/>
        <w:ind w:left="103" w:right="108" w:firstLine="567"/>
        <w:jc w:val="both"/>
      </w:pPr>
      <w:r>
        <w:rPr>
          <w:color w:val="231F20"/>
          <w:w w:val="105"/>
        </w:rPr>
        <w:t>La</w:t>
      </w:r>
      <w:r>
        <w:rPr>
          <w:color w:val="231F20"/>
          <w:spacing w:val="-5"/>
          <w:w w:val="105"/>
        </w:rPr>
        <w:t> </w:t>
      </w:r>
      <w:r>
        <w:rPr>
          <w:color w:val="231F20"/>
          <w:w w:val="105"/>
        </w:rPr>
        <w:t>competitividad</w:t>
      </w:r>
      <w:r>
        <w:rPr>
          <w:color w:val="231F20"/>
          <w:spacing w:val="-5"/>
          <w:w w:val="105"/>
        </w:rPr>
        <w:t> </w:t>
      </w:r>
      <w:r>
        <w:rPr>
          <w:color w:val="231F20"/>
          <w:w w:val="105"/>
        </w:rPr>
        <w:t>micro</w:t>
      </w:r>
      <w:r>
        <w:rPr>
          <w:color w:val="231F20"/>
          <w:spacing w:val="-5"/>
          <w:w w:val="105"/>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da</w:t>
      </w:r>
      <w:r>
        <w:rPr>
          <w:color w:val="231F20"/>
          <w:spacing w:val="-5"/>
          <w:w w:val="105"/>
        </w:rPr>
        <w:t> </w:t>
      </w:r>
      <w:r>
        <w:rPr>
          <w:color w:val="231F20"/>
          <w:w w:val="105"/>
        </w:rPr>
        <w:t>sólo</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influencia</w:t>
      </w:r>
      <w:r>
        <w:rPr>
          <w:color w:val="231F20"/>
          <w:spacing w:val="-5"/>
          <w:w w:val="105"/>
        </w:rPr>
        <w:t> </w:t>
      </w:r>
      <w:r>
        <w:rPr>
          <w:color w:val="231F20"/>
          <w:w w:val="105"/>
        </w:rPr>
        <w:t>externa</w:t>
      </w:r>
      <w:r>
        <w:rPr>
          <w:color w:val="231F20"/>
          <w:spacing w:val="-5"/>
          <w:w w:val="105"/>
        </w:rPr>
        <w:t> </w:t>
      </w:r>
      <w:r>
        <w:rPr>
          <w:color w:val="231F20"/>
          <w:w w:val="105"/>
        </w:rPr>
        <w:t>de las condiciones del mercado o por la política económica que defina el país, la manera de lograr la competitividad es analizar cuidadosamen- te los terrenos ajenos en los que se mueve para calcular sus riesgos, oportunidades de innovación, dinámica de la industria y la estabilidad económica. Internamente, la competitividad micro tiene que ver con    la capacidad de la empresa para organizarse, de tal manera que</w:t>
      </w:r>
      <w:r>
        <w:rPr>
          <w:color w:val="231F20"/>
          <w:spacing w:val="45"/>
          <w:w w:val="105"/>
        </w:rPr>
        <w:t> </w:t>
      </w:r>
      <w:r>
        <w:rPr>
          <w:color w:val="231F20"/>
          <w:w w:val="105"/>
        </w:rPr>
        <w:t>logre</w:t>
      </w:r>
    </w:p>
    <w:p>
      <w:pPr>
        <w:pStyle w:val="BodyText"/>
        <w:rPr>
          <w:sz w:val="20"/>
        </w:rPr>
      </w:pPr>
    </w:p>
    <w:p>
      <w:pPr>
        <w:pStyle w:val="BodyText"/>
        <w:rPr>
          <w:sz w:val="20"/>
        </w:rPr>
      </w:pPr>
    </w:p>
    <w:p>
      <w:pPr>
        <w:tabs>
          <w:tab w:pos="1317" w:val="left" w:leader="none"/>
        </w:tabs>
        <w:spacing w:before="195"/>
        <w:ind w:left="267" w:right="17" w:firstLine="0"/>
        <w:jc w:val="left"/>
        <w:rPr>
          <w:rFonts w:ascii="Calibri" w:hAnsi="Calibri"/>
          <w:sz w:val="15"/>
        </w:rPr>
      </w:pPr>
      <w:r>
        <w:rPr/>
        <w:pict>
          <v:group style="position:absolute;margin-left:101.817299pt;margin-top:-10.549887pt;width:17.850pt;height:56.5pt;mso-position-horizontal-relative:page;mso-position-vertical-relative:paragraph;z-index:-245728" coordorigin="2036,-211" coordsize="357,1130">
            <v:line style="position:absolute" from="2211,199" to="2211,915" stroked="true" strokeweight=".3pt" strokecolor="#231f20"/>
            <v:shape style="position:absolute;left:2036;top:-37;width:356;height:609" type="#_x0000_t75" stroked="false">
              <v:imagedata r:id="rId18" o:title=""/>
            </v:shape>
            <v:shape style="position:absolute;left:2036;top:-211;width:356;height:783" type="#_x0000_t75" stroked="false">
              <v:imagedata r:id="rId19" o:title=""/>
            </v:shape>
            <w10:wrap type="none"/>
          </v:group>
        </w:pict>
      </w:r>
      <w:r>
        <w:rPr>
          <w:color w:val="414042"/>
          <w:position w:val="-5"/>
          <w:sz w:val="20"/>
        </w:rPr>
        <w:t>46</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704"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47</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BodyText"/>
        <w:spacing w:line="259" w:lineRule="auto" w:before="169"/>
        <w:ind w:left="117" w:right="121"/>
        <w:jc w:val="both"/>
      </w:pPr>
      <w:r>
        <w:rPr>
          <w:color w:val="231F20"/>
        </w:rPr>
        <w:t>aprovechar al máximo sus recursos y capacidades, así como para trans- formarse de acuerdo con sus propias necesidades en un esfuerzo por superarse a sí misma.</w:t>
      </w:r>
    </w:p>
    <w:p>
      <w:pPr>
        <w:pStyle w:val="BodyText"/>
        <w:spacing w:line="259" w:lineRule="auto"/>
        <w:ind w:left="117" w:right="121" w:firstLine="567"/>
        <w:jc w:val="both"/>
      </w:pPr>
      <w:r>
        <w:rPr>
          <w:color w:val="231F20"/>
          <w:w w:val="105"/>
        </w:rPr>
        <w:t>Cada</w:t>
      </w:r>
      <w:r>
        <w:rPr>
          <w:color w:val="231F20"/>
          <w:spacing w:val="-14"/>
          <w:w w:val="105"/>
        </w:rPr>
        <w:t> </w:t>
      </w:r>
      <w:r>
        <w:rPr>
          <w:color w:val="231F20"/>
          <w:w w:val="105"/>
        </w:rPr>
        <w:t>nivel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competitividad</w:t>
      </w:r>
      <w:r>
        <w:rPr>
          <w:color w:val="231F20"/>
          <w:spacing w:val="-14"/>
          <w:w w:val="105"/>
        </w:rPr>
        <w:t> </w:t>
      </w:r>
      <w:r>
        <w:rPr>
          <w:color w:val="231F20"/>
          <w:w w:val="105"/>
        </w:rPr>
        <w:t>sistémica</w:t>
      </w:r>
      <w:r>
        <w:rPr>
          <w:color w:val="231F20"/>
          <w:spacing w:val="-14"/>
          <w:w w:val="105"/>
        </w:rPr>
        <w:t> </w:t>
      </w:r>
      <w:r>
        <w:rPr>
          <w:color w:val="231F20"/>
          <w:w w:val="105"/>
        </w:rPr>
        <w:t>puede</w:t>
      </w:r>
      <w:r>
        <w:rPr>
          <w:color w:val="231F20"/>
          <w:spacing w:val="-14"/>
          <w:w w:val="105"/>
        </w:rPr>
        <w:t> </w:t>
      </w:r>
      <w:r>
        <w:rPr>
          <w:color w:val="231F20"/>
          <w:w w:val="105"/>
        </w:rPr>
        <w:t>ser</w:t>
      </w:r>
      <w:r>
        <w:rPr>
          <w:color w:val="231F20"/>
          <w:spacing w:val="-14"/>
          <w:w w:val="105"/>
        </w:rPr>
        <w:t> </w:t>
      </w:r>
      <w:r>
        <w:rPr>
          <w:color w:val="231F20"/>
          <w:w w:val="105"/>
        </w:rPr>
        <w:t>evaluado</w:t>
      </w:r>
      <w:r>
        <w:rPr>
          <w:color w:val="231F20"/>
          <w:spacing w:val="-14"/>
          <w:w w:val="105"/>
        </w:rPr>
        <w:t> </w:t>
      </w:r>
      <w:r>
        <w:rPr>
          <w:color w:val="231F20"/>
          <w:w w:val="105"/>
        </w:rPr>
        <w:t>me- diante el análisis de los determinantes que lo definen (figura 3), ya que influyen directamente en él, e indirectamente en los otros niveles. Una evaluación</w:t>
      </w:r>
      <w:r>
        <w:rPr>
          <w:color w:val="231F20"/>
          <w:spacing w:val="-16"/>
          <w:w w:val="105"/>
        </w:rPr>
        <w:t> </w:t>
      </w:r>
      <w:r>
        <w:rPr>
          <w:color w:val="231F20"/>
          <w:w w:val="105"/>
        </w:rPr>
        <w:t>óptima</w:t>
      </w:r>
      <w:r>
        <w:rPr>
          <w:color w:val="231F20"/>
          <w:spacing w:val="-16"/>
          <w:w w:val="105"/>
        </w:rPr>
        <w:t> </w:t>
      </w:r>
      <w:r>
        <w:rPr>
          <w:color w:val="231F20"/>
          <w:w w:val="105"/>
        </w:rPr>
        <w:t>indica</w:t>
      </w:r>
      <w:r>
        <w:rPr>
          <w:color w:val="231F20"/>
          <w:spacing w:val="-16"/>
          <w:w w:val="105"/>
        </w:rPr>
        <w:t> </w:t>
      </w:r>
      <w:r>
        <w:rPr>
          <w:color w:val="231F20"/>
          <w:w w:val="105"/>
        </w:rPr>
        <w:t>que</w:t>
      </w:r>
      <w:r>
        <w:rPr>
          <w:color w:val="231F20"/>
          <w:spacing w:val="-16"/>
          <w:w w:val="105"/>
        </w:rPr>
        <w:t> </w:t>
      </w:r>
      <w:r>
        <w:rPr>
          <w:color w:val="231F20"/>
          <w:w w:val="105"/>
        </w:rPr>
        <w:t>(Sobrino,</w:t>
      </w:r>
      <w:r>
        <w:rPr>
          <w:color w:val="231F20"/>
          <w:spacing w:val="-22"/>
          <w:w w:val="105"/>
        </w:rPr>
        <w:t> </w:t>
      </w:r>
      <w:r>
        <w:rPr>
          <w:color w:val="231F20"/>
          <w:w w:val="105"/>
        </w:rPr>
        <w:t>2005):</w:t>
      </w:r>
    </w:p>
    <w:p>
      <w:pPr>
        <w:pStyle w:val="BodyText"/>
        <w:spacing w:before="6"/>
        <w:rPr>
          <w:sz w:val="22"/>
        </w:rPr>
      </w:pPr>
    </w:p>
    <w:p>
      <w:pPr>
        <w:pStyle w:val="ListParagraph"/>
        <w:numPr>
          <w:ilvl w:val="0"/>
          <w:numId w:val="19"/>
        </w:numPr>
        <w:tabs>
          <w:tab w:pos="1328" w:val="left" w:leader="none"/>
        </w:tabs>
        <w:spacing w:line="259" w:lineRule="auto" w:before="0" w:after="0"/>
        <w:ind w:left="1327" w:right="122" w:hanging="360"/>
        <w:jc w:val="both"/>
        <w:rPr>
          <w:sz w:val="21"/>
        </w:rPr>
      </w:pPr>
      <w:r>
        <w:rPr>
          <w:color w:val="231F20"/>
          <w:sz w:val="21"/>
        </w:rPr>
        <w:t>La competitividad macro se manifiesta en el desarrollo eco- nómico exitoso, el cual implica la habilidad de competir en formas cada vez más sofisticadas, de tal manera que se</w:t>
      </w:r>
      <w:r>
        <w:rPr>
          <w:color w:val="231F20"/>
          <w:spacing w:val="-19"/>
          <w:sz w:val="21"/>
        </w:rPr>
        <w:t> </w:t>
      </w:r>
      <w:r>
        <w:rPr>
          <w:color w:val="231F20"/>
          <w:sz w:val="21"/>
        </w:rPr>
        <w:t>pue- dan sostener niveles salariales más altos para su población y mayores ingresos</w:t>
      </w:r>
      <w:r>
        <w:rPr>
          <w:color w:val="231F20"/>
          <w:spacing w:val="28"/>
          <w:sz w:val="21"/>
        </w:rPr>
        <w:t> </w:t>
      </w:r>
      <w:r>
        <w:rPr>
          <w:color w:val="231F20"/>
          <w:sz w:val="21"/>
        </w:rPr>
        <w:t>nacionales.</w:t>
      </w:r>
    </w:p>
    <w:p>
      <w:pPr>
        <w:pStyle w:val="ListParagraph"/>
        <w:numPr>
          <w:ilvl w:val="0"/>
          <w:numId w:val="19"/>
        </w:numPr>
        <w:tabs>
          <w:tab w:pos="1328" w:val="left" w:leader="none"/>
        </w:tabs>
        <w:spacing w:line="259" w:lineRule="auto" w:before="170" w:after="0"/>
        <w:ind w:left="1327" w:right="122" w:hanging="360"/>
        <w:jc w:val="both"/>
        <w:rPr>
          <w:sz w:val="21"/>
        </w:rPr>
      </w:pPr>
      <w:r>
        <w:rPr>
          <w:color w:val="231F20"/>
          <w:w w:val="105"/>
          <w:sz w:val="21"/>
        </w:rPr>
        <w:t>La competitividad meta se percibe mediante la existencia de</w:t>
      </w:r>
      <w:r>
        <w:rPr>
          <w:color w:val="231F20"/>
          <w:spacing w:val="-19"/>
          <w:w w:val="105"/>
          <w:sz w:val="21"/>
        </w:rPr>
        <w:t> </w:t>
      </w:r>
      <w:r>
        <w:rPr>
          <w:color w:val="231F20"/>
          <w:w w:val="105"/>
          <w:sz w:val="21"/>
        </w:rPr>
        <w:t>armonía</w:t>
      </w:r>
      <w:r>
        <w:rPr>
          <w:color w:val="231F20"/>
          <w:spacing w:val="-19"/>
          <w:w w:val="105"/>
          <w:sz w:val="21"/>
        </w:rPr>
        <w:t> </w:t>
      </w:r>
      <w:r>
        <w:rPr>
          <w:color w:val="231F20"/>
          <w:w w:val="105"/>
          <w:sz w:val="21"/>
        </w:rPr>
        <w:t>entre</w:t>
      </w:r>
      <w:r>
        <w:rPr>
          <w:color w:val="231F20"/>
          <w:spacing w:val="-19"/>
          <w:w w:val="105"/>
          <w:sz w:val="21"/>
        </w:rPr>
        <w:t> </w:t>
      </w:r>
      <w:r>
        <w:rPr>
          <w:color w:val="231F20"/>
          <w:w w:val="105"/>
          <w:sz w:val="21"/>
        </w:rPr>
        <w:t>los</w:t>
      </w:r>
      <w:r>
        <w:rPr>
          <w:color w:val="231F20"/>
          <w:spacing w:val="-19"/>
          <w:w w:val="105"/>
          <w:sz w:val="21"/>
        </w:rPr>
        <w:t> </w:t>
      </w:r>
      <w:r>
        <w:rPr>
          <w:color w:val="231F20"/>
          <w:w w:val="105"/>
          <w:sz w:val="21"/>
        </w:rPr>
        <w:t>distintos</w:t>
      </w:r>
      <w:r>
        <w:rPr>
          <w:color w:val="231F20"/>
          <w:spacing w:val="-19"/>
          <w:w w:val="105"/>
          <w:sz w:val="21"/>
        </w:rPr>
        <w:t> </w:t>
      </w:r>
      <w:r>
        <w:rPr>
          <w:color w:val="231F20"/>
          <w:w w:val="105"/>
          <w:sz w:val="21"/>
        </w:rPr>
        <w:t>grupos</w:t>
      </w:r>
      <w:r>
        <w:rPr>
          <w:color w:val="231F20"/>
          <w:spacing w:val="-19"/>
          <w:w w:val="105"/>
          <w:sz w:val="21"/>
        </w:rPr>
        <w:t> </w:t>
      </w:r>
      <w:r>
        <w:rPr>
          <w:color w:val="231F20"/>
          <w:w w:val="105"/>
          <w:sz w:val="21"/>
        </w:rPr>
        <w:t>sociales.</w:t>
      </w:r>
    </w:p>
    <w:p>
      <w:pPr>
        <w:pStyle w:val="ListParagraph"/>
        <w:numPr>
          <w:ilvl w:val="0"/>
          <w:numId w:val="19"/>
        </w:numPr>
        <w:tabs>
          <w:tab w:pos="1328" w:val="left" w:leader="none"/>
        </w:tabs>
        <w:spacing w:line="259" w:lineRule="auto" w:before="170" w:after="0"/>
        <w:ind w:left="1327" w:right="115" w:hanging="360"/>
        <w:jc w:val="both"/>
        <w:rPr>
          <w:sz w:val="21"/>
        </w:rPr>
      </w:pPr>
      <w:r>
        <w:rPr>
          <w:color w:val="231F20"/>
          <w:w w:val="105"/>
          <w:sz w:val="21"/>
        </w:rPr>
        <w:t>La competitividad meso se identifica cuando el sector, al utilizar</w:t>
      </w:r>
      <w:r>
        <w:rPr>
          <w:color w:val="231F20"/>
          <w:spacing w:val="-16"/>
          <w:w w:val="105"/>
          <w:sz w:val="21"/>
        </w:rPr>
        <w:t> </w:t>
      </w:r>
      <w:r>
        <w:rPr>
          <w:color w:val="231F20"/>
          <w:w w:val="105"/>
          <w:sz w:val="21"/>
        </w:rPr>
        <w:t>insumos</w:t>
      </w:r>
      <w:r>
        <w:rPr>
          <w:color w:val="231F20"/>
          <w:spacing w:val="-16"/>
          <w:w w:val="105"/>
          <w:sz w:val="21"/>
        </w:rPr>
        <w:t> </w:t>
      </w:r>
      <w:r>
        <w:rPr>
          <w:color w:val="231F20"/>
          <w:w w:val="105"/>
          <w:sz w:val="21"/>
        </w:rPr>
        <w:t>más</w:t>
      </w:r>
      <w:r>
        <w:rPr>
          <w:color w:val="231F20"/>
          <w:spacing w:val="-16"/>
          <w:w w:val="105"/>
          <w:sz w:val="21"/>
        </w:rPr>
        <w:t> </w:t>
      </w:r>
      <w:r>
        <w:rPr>
          <w:color w:val="231F20"/>
          <w:w w:val="105"/>
          <w:sz w:val="21"/>
        </w:rPr>
        <w:t>baratos</w:t>
      </w:r>
      <w:r>
        <w:rPr>
          <w:color w:val="231F20"/>
          <w:spacing w:val="-16"/>
          <w:w w:val="105"/>
          <w:sz w:val="21"/>
        </w:rPr>
        <w:t> </w:t>
      </w:r>
      <w:r>
        <w:rPr>
          <w:color w:val="231F20"/>
          <w:w w:val="105"/>
          <w:sz w:val="21"/>
        </w:rPr>
        <w:t>y</w:t>
      </w:r>
      <w:r>
        <w:rPr>
          <w:color w:val="231F20"/>
          <w:spacing w:val="-16"/>
          <w:w w:val="105"/>
          <w:sz w:val="21"/>
        </w:rPr>
        <w:t> </w:t>
      </w:r>
      <w:r>
        <w:rPr>
          <w:color w:val="231F20"/>
          <w:w w:val="105"/>
          <w:sz w:val="21"/>
        </w:rPr>
        <w:t>tecnologías</w:t>
      </w:r>
      <w:r>
        <w:rPr>
          <w:color w:val="231F20"/>
          <w:spacing w:val="-16"/>
          <w:w w:val="105"/>
          <w:sz w:val="21"/>
        </w:rPr>
        <w:t> </w:t>
      </w:r>
      <w:r>
        <w:rPr>
          <w:color w:val="231F20"/>
          <w:w w:val="105"/>
          <w:sz w:val="21"/>
        </w:rPr>
        <w:t>más</w:t>
      </w:r>
      <w:r>
        <w:rPr>
          <w:color w:val="231F20"/>
          <w:spacing w:val="-16"/>
          <w:w w:val="105"/>
          <w:sz w:val="21"/>
        </w:rPr>
        <w:t> </w:t>
      </w:r>
      <w:r>
        <w:rPr>
          <w:color w:val="231F20"/>
          <w:w w:val="105"/>
          <w:sz w:val="21"/>
        </w:rPr>
        <w:t>avanzadas, produce</w:t>
      </w:r>
      <w:r>
        <w:rPr>
          <w:color w:val="231F20"/>
          <w:spacing w:val="-16"/>
          <w:w w:val="105"/>
          <w:sz w:val="21"/>
        </w:rPr>
        <w:t> </w:t>
      </w:r>
      <w:r>
        <w:rPr>
          <w:color w:val="231F20"/>
          <w:w w:val="105"/>
          <w:sz w:val="21"/>
        </w:rPr>
        <w:t>un</w:t>
      </w:r>
      <w:r>
        <w:rPr>
          <w:color w:val="231F20"/>
          <w:spacing w:val="-16"/>
          <w:w w:val="105"/>
          <w:sz w:val="21"/>
        </w:rPr>
        <w:t> </w:t>
      </w:r>
      <w:r>
        <w:rPr>
          <w:color w:val="231F20"/>
          <w:w w:val="105"/>
          <w:sz w:val="21"/>
        </w:rPr>
        <w:t>desempeño</w:t>
      </w:r>
      <w:r>
        <w:rPr>
          <w:color w:val="231F20"/>
          <w:spacing w:val="-16"/>
          <w:w w:val="105"/>
          <w:sz w:val="21"/>
        </w:rPr>
        <w:t> </w:t>
      </w:r>
      <w:r>
        <w:rPr>
          <w:color w:val="231F20"/>
          <w:w w:val="105"/>
          <w:sz w:val="21"/>
        </w:rPr>
        <w:t>superior</w:t>
      </w:r>
      <w:r>
        <w:rPr>
          <w:color w:val="231F20"/>
          <w:spacing w:val="-16"/>
          <w:w w:val="105"/>
          <w:sz w:val="21"/>
        </w:rPr>
        <w:t> </w:t>
      </w:r>
      <w:r>
        <w:rPr>
          <w:color w:val="231F20"/>
          <w:w w:val="105"/>
          <w:sz w:val="21"/>
        </w:rPr>
        <w:t>al</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sus</w:t>
      </w:r>
      <w:r>
        <w:rPr>
          <w:color w:val="231F20"/>
          <w:spacing w:val="-16"/>
          <w:w w:val="105"/>
          <w:sz w:val="21"/>
        </w:rPr>
        <w:t> </w:t>
      </w:r>
      <w:r>
        <w:rPr>
          <w:color w:val="231F20"/>
          <w:w w:val="105"/>
          <w:sz w:val="21"/>
        </w:rPr>
        <w:t>rivales.</w:t>
      </w:r>
    </w:p>
    <w:p>
      <w:pPr>
        <w:pStyle w:val="ListParagraph"/>
        <w:numPr>
          <w:ilvl w:val="0"/>
          <w:numId w:val="19"/>
        </w:numPr>
        <w:tabs>
          <w:tab w:pos="1328" w:val="left" w:leader="none"/>
        </w:tabs>
        <w:spacing w:line="259" w:lineRule="auto" w:before="170" w:after="0"/>
        <w:ind w:left="1327" w:right="122" w:hanging="360"/>
        <w:jc w:val="both"/>
        <w:rPr>
          <w:sz w:val="21"/>
        </w:rPr>
      </w:pPr>
      <w:r>
        <w:rPr>
          <w:color w:val="231F20"/>
          <w:w w:val="105"/>
          <w:sz w:val="21"/>
        </w:rPr>
        <w:t>La competitividad micro refleja que la empresa es</w:t>
      </w:r>
      <w:r>
        <w:rPr>
          <w:color w:val="231F20"/>
          <w:spacing w:val="-9"/>
          <w:w w:val="105"/>
          <w:sz w:val="21"/>
        </w:rPr>
        <w:t> </w:t>
      </w:r>
      <w:r>
        <w:rPr>
          <w:color w:val="231F20"/>
          <w:w w:val="105"/>
          <w:sz w:val="21"/>
        </w:rPr>
        <w:t>rentable durante un periodo relativamente</w:t>
      </w:r>
      <w:r>
        <w:rPr>
          <w:color w:val="231F20"/>
          <w:spacing w:val="-24"/>
          <w:w w:val="105"/>
          <w:sz w:val="21"/>
        </w:rPr>
        <w:t> </w:t>
      </w:r>
      <w:r>
        <w:rPr>
          <w:color w:val="231F20"/>
          <w:w w:val="105"/>
          <w:sz w:val="21"/>
        </w:rPr>
        <w:t>largo.</w:t>
      </w:r>
    </w:p>
    <w:p>
      <w:pPr>
        <w:spacing w:after="0" w:line="259" w:lineRule="auto"/>
        <w:jc w:val="both"/>
        <w:rPr>
          <w:sz w:val="21"/>
        </w:rPr>
        <w:sectPr>
          <w:pgSz w:w="9640" w:h="13890"/>
          <w:pgMar w:top="0" w:bottom="280" w:left="1300" w:right="1180"/>
        </w:sectPr>
      </w:pPr>
    </w:p>
    <w:p>
      <w:pPr>
        <w:spacing w:before="118"/>
        <w:ind w:left="603" w:right="0" w:firstLine="0"/>
        <w:jc w:val="left"/>
        <w:rPr>
          <w:sz w:val="18"/>
        </w:rPr>
      </w:pPr>
      <w:r>
        <w:rPr>
          <w:color w:val="231F20"/>
          <w:w w:val="105"/>
          <w:sz w:val="18"/>
        </w:rPr>
        <w:t>Figura 3. Determinantes de la competitividad sistémica en cuatro niveles.</w:t>
      </w:r>
    </w:p>
    <w:p>
      <w:pPr>
        <w:pStyle w:val="BodyText"/>
        <w:spacing w:before="5"/>
        <w:rPr>
          <w:sz w:val="13"/>
        </w:rPr>
      </w:pPr>
    </w:p>
    <w:tbl>
      <w:tblPr>
        <w:tblW w:w="0" w:type="auto"/>
        <w:jc w:val="left"/>
        <w:tblInd w:w="15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6912"/>
      </w:tblGrid>
      <w:tr>
        <w:trPr>
          <w:trHeight w:val="340" w:hRule="exact"/>
        </w:trPr>
        <w:tc>
          <w:tcPr>
            <w:tcW w:w="6912" w:type="dxa"/>
          </w:tcPr>
          <w:p>
            <w:pPr>
              <w:pStyle w:val="TableParagraph"/>
              <w:spacing w:before="88"/>
              <w:ind w:left="1228" w:right="1228"/>
              <w:jc w:val="center"/>
              <w:rPr>
                <w:sz w:val="18"/>
              </w:rPr>
            </w:pPr>
            <w:r>
              <w:rPr>
                <w:color w:val="231F20"/>
                <w:sz w:val="18"/>
              </w:rPr>
              <w:t>DETERMINANTES DE LA COMPETITIVIDAD MACRO</w:t>
            </w:r>
          </w:p>
        </w:tc>
      </w:tr>
      <w:tr>
        <w:trPr>
          <w:trHeight w:val="2068" w:hRule="exact"/>
        </w:trPr>
        <w:tc>
          <w:tcPr>
            <w:tcW w:w="6912" w:type="dxa"/>
          </w:tcPr>
          <w:p>
            <w:pPr>
              <w:pStyle w:val="TableParagraph"/>
              <w:numPr>
                <w:ilvl w:val="0"/>
                <w:numId w:val="20"/>
              </w:numPr>
              <w:tabs>
                <w:tab w:pos="220" w:val="left" w:leader="none"/>
              </w:tabs>
              <w:spacing w:line="249" w:lineRule="auto" w:before="88" w:after="0"/>
              <w:ind w:left="219" w:right="75" w:hanging="142"/>
              <w:jc w:val="both"/>
              <w:rPr>
                <w:sz w:val="18"/>
              </w:rPr>
            </w:pPr>
            <w:r>
              <w:rPr>
                <w:color w:val="231F20"/>
                <w:w w:val="105"/>
                <w:sz w:val="18"/>
              </w:rPr>
              <w:t>Bussines Competitiveness Index: se obtiene de la medición de variables agru- padas en la estrategia empresarial y la calidad del contexto en el desarrollo de </w:t>
            </w:r>
            <w:r>
              <w:rPr>
                <w:color w:val="231F20"/>
                <w:sz w:val="18"/>
              </w:rPr>
              <w:t>actividades</w:t>
            </w:r>
            <w:r>
              <w:rPr>
                <w:color w:val="231F20"/>
                <w:spacing w:val="47"/>
                <w:sz w:val="18"/>
              </w:rPr>
              <w:t> </w:t>
            </w:r>
            <w:r>
              <w:rPr>
                <w:color w:val="231F20"/>
                <w:sz w:val="18"/>
              </w:rPr>
              <w:t>económicas.</w:t>
            </w:r>
          </w:p>
          <w:p>
            <w:pPr>
              <w:pStyle w:val="TableParagraph"/>
              <w:numPr>
                <w:ilvl w:val="0"/>
                <w:numId w:val="20"/>
              </w:numPr>
              <w:tabs>
                <w:tab w:pos="220" w:val="left" w:leader="none"/>
              </w:tabs>
              <w:spacing w:line="249" w:lineRule="auto" w:before="1" w:after="0"/>
              <w:ind w:left="219" w:right="75" w:hanging="142"/>
              <w:jc w:val="both"/>
              <w:rPr>
                <w:sz w:val="18"/>
              </w:rPr>
            </w:pPr>
            <w:r>
              <w:rPr>
                <w:color w:val="231F20"/>
                <w:w w:val="105"/>
                <w:sz w:val="18"/>
              </w:rPr>
              <w:t>Global</w:t>
            </w:r>
            <w:r>
              <w:rPr>
                <w:color w:val="231F20"/>
                <w:spacing w:val="-29"/>
                <w:w w:val="105"/>
                <w:sz w:val="18"/>
              </w:rPr>
              <w:t> </w:t>
            </w:r>
            <w:r>
              <w:rPr>
                <w:color w:val="231F20"/>
                <w:w w:val="105"/>
                <w:sz w:val="18"/>
              </w:rPr>
              <w:t>Competitiveness</w:t>
            </w:r>
            <w:r>
              <w:rPr>
                <w:color w:val="231F20"/>
                <w:spacing w:val="-29"/>
                <w:w w:val="105"/>
                <w:sz w:val="18"/>
              </w:rPr>
              <w:t> </w:t>
            </w:r>
            <w:r>
              <w:rPr>
                <w:color w:val="231F20"/>
                <w:w w:val="105"/>
                <w:sz w:val="18"/>
              </w:rPr>
              <w:t>Index</w:t>
            </w:r>
            <w:r>
              <w:rPr>
                <w:color w:val="231F20"/>
                <w:spacing w:val="-29"/>
                <w:w w:val="105"/>
                <w:sz w:val="18"/>
              </w:rPr>
              <w:t> </w:t>
            </w:r>
            <w:r>
              <w:rPr>
                <w:color w:val="231F20"/>
                <w:w w:val="105"/>
                <w:sz w:val="18"/>
              </w:rPr>
              <w:t>(GCI):</w:t>
            </w:r>
            <w:r>
              <w:rPr>
                <w:color w:val="231F20"/>
                <w:spacing w:val="-29"/>
                <w:w w:val="105"/>
                <w:sz w:val="18"/>
              </w:rPr>
              <w:t> </w:t>
            </w:r>
            <w:r>
              <w:rPr>
                <w:color w:val="231F20"/>
                <w:w w:val="105"/>
                <w:sz w:val="18"/>
              </w:rPr>
              <w:t>mide</w:t>
            </w:r>
            <w:r>
              <w:rPr>
                <w:color w:val="231F20"/>
                <w:spacing w:val="-29"/>
                <w:w w:val="105"/>
                <w:sz w:val="18"/>
              </w:rPr>
              <w:t> </w:t>
            </w:r>
            <w:r>
              <w:rPr>
                <w:color w:val="231F20"/>
                <w:w w:val="105"/>
                <w:sz w:val="18"/>
              </w:rPr>
              <w:t>los</w:t>
            </w:r>
            <w:r>
              <w:rPr>
                <w:color w:val="231F20"/>
                <w:spacing w:val="-29"/>
                <w:w w:val="105"/>
                <w:sz w:val="18"/>
              </w:rPr>
              <w:t> </w:t>
            </w:r>
            <w:r>
              <w:rPr>
                <w:color w:val="231F20"/>
                <w:w w:val="105"/>
                <w:sz w:val="18"/>
              </w:rPr>
              <w:t>factores</w:t>
            </w:r>
            <w:r>
              <w:rPr>
                <w:color w:val="231F20"/>
                <w:spacing w:val="-29"/>
                <w:w w:val="105"/>
                <w:sz w:val="18"/>
              </w:rPr>
              <w:t> </w:t>
            </w:r>
            <w:r>
              <w:rPr>
                <w:color w:val="231F20"/>
                <w:w w:val="105"/>
                <w:sz w:val="18"/>
              </w:rPr>
              <w:t>que</w:t>
            </w:r>
            <w:r>
              <w:rPr>
                <w:color w:val="231F20"/>
                <w:spacing w:val="-29"/>
                <w:w w:val="105"/>
                <w:sz w:val="18"/>
              </w:rPr>
              <w:t> </w:t>
            </w:r>
            <w:r>
              <w:rPr>
                <w:color w:val="231F20"/>
                <w:w w:val="105"/>
                <w:sz w:val="18"/>
              </w:rPr>
              <w:t>contribuyen</w:t>
            </w:r>
            <w:r>
              <w:rPr>
                <w:color w:val="231F20"/>
                <w:spacing w:val="-29"/>
                <w:w w:val="105"/>
                <w:sz w:val="18"/>
              </w:rPr>
              <w:t> </w:t>
            </w:r>
            <w:r>
              <w:rPr>
                <w:color w:val="231F20"/>
                <w:w w:val="105"/>
                <w:sz w:val="18"/>
              </w:rPr>
              <w:t>a</w:t>
            </w:r>
            <w:r>
              <w:rPr>
                <w:color w:val="231F20"/>
                <w:spacing w:val="-29"/>
                <w:w w:val="105"/>
                <w:sz w:val="18"/>
              </w:rPr>
              <w:t> </w:t>
            </w:r>
            <w:r>
              <w:rPr>
                <w:color w:val="231F20"/>
                <w:w w:val="105"/>
                <w:sz w:val="18"/>
              </w:rPr>
              <w:t>lograr</w:t>
            </w:r>
            <w:r>
              <w:rPr>
                <w:color w:val="231F20"/>
                <w:spacing w:val="-29"/>
                <w:w w:val="105"/>
                <w:sz w:val="18"/>
              </w:rPr>
              <w:t> </w:t>
            </w:r>
            <w:r>
              <w:rPr>
                <w:color w:val="231F20"/>
                <w:w w:val="105"/>
                <w:sz w:val="18"/>
              </w:rPr>
              <w:t>al- tas</w:t>
            </w:r>
            <w:r>
              <w:rPr>
                <w:color w:val="231F20"/>
                <w:spacing w:val="-29"/>
                <w:w w:val="105"/>
                <w:sz w:val="18"/>
              </w:rPr>
              <w:t> </w:t>
            </w:r>
            <w:r>
              <w:rPr>
                <w:color w:val="231F20"/>
                <w:w w:val="105"/>
                <w:sz w:val="18"/>
              </w:rPr>
              <w:t>tasas</w:t>
            </w:r>
            <w:r>
              <w:rPr>
                <w:color w:val="231F20"/>
                <w:spacing w:val="-29"/>
                <w:w w:val="105"/>
                <w:sz w:val="18"/>
              </w:rPr>
              <w:t> </w:t>
            </w:r>
            <w:r>
              <w:rPr>
                <w:color w:val="231F20"/>
                <w:w w:val="105"/>
                <w:sz w:val="18"/>
              </w:rPr>
              <w:t>de</w:t>
            </w:r>
            <w:r>
              <w:rPr>
                <w:color w:val="231F20"/>
                <w:spacing w:val="-29"/>
                <w:w w:val="105"/>
                <w:sz w:val="18"/>
              </w:rPr>
              <w:t> </w:t>
            </w:r>
            <w:r>
              <w:rPr>
                <w:color w:val="231F20"/>
                <w:w w:val="105"/>
                <w:sz w:val="18"/>
              </w:rPr>
              <w:t>crecimiento</w:t>
            </w:r>
            <w:r>
              <w:rPr>
                <w:color w:val="231F20"/>
                <w:spacing w:val="-29"/>
                <w:w w:val="105"/>
                <w:sz w:val="18"/>
              </w:rPr>
              <w:t> </w:t>
            </w:r>
            <w:r>
              <w:rPr>
                <w:color w:val="231F20"/>
                <w:w w:val="105"/>
                <w:sz w:val="18"/>
              </w:rPr>
              <w:t>en</w:t>
            </w:r>
            <w:r>
              <w:rPr>
                <w:color w:val="231F20"/>
                <w:spacing w:val="-29"/>
                <w:w w:val="105"/>
                <w:sz w:val="18"/>
              </w:rPr>
              <w:t> </w:t>
            </w:r>
            <w:r>
              <w:rPr>
                <w:color w:val="231F20"/>
                <w:w w:val="105"/>
                <w:sz w:val="18"/>
              </w:rPr>
              <w:t>el</w:t>
            </w:r>
            <w:r>
              <w:rPr>
                <w:color w:val="231F20"/>
                <w:spacing w:val="-29"/>
                <w:w w:val="105"/>
                <w:sz w:val="18"/>
              </w:rPr>
              <w:t> </w:t>
            </w:r>
            <w:r>
              <w:rPr>
                <w:color w:val="231F20"/>
                <w:w w:val="105"/>
                <w:sz w:val="18"/>
              </w:rPr>
              <w:t>PIB</w:t>
            </w:r>
            <w:r>
              <w:rPr>
                <w:color w:val="231F20"/>
                <w:spacing w:val="-29"/>
                <w:w w:val="105"/>
                <w:sz w:val="18"/>
              </w:rPr>
              <w:t> </w:t>
            </w:r>
            <w:r>
              <w:rPr>
                <w:color w:val="231F20"/>
                <w:w w:val="105"/>
                <w:sz w:val="18"/>
              </w:rPr>
              <w:t>per</w:t>
            </w:r>
            <w:r>
              <w:rPr>
                <w:color w:val="231F20"/>
                <w:spacing w:val="-29"/>
                <w:w w:val="105"/>
                <w:sz w:val="18"/>
              </w:rPr>
              <w:t> </w:t>
            </w:r>
            <w:r>
              <w:rPr>
                <w:color w:val="231F20"/>
                <w:w w:val="105"/>
                <w:sz w:val="18"/>
              </w:rPr>
              <w:t>cápita</w:t>
            </w:r>
            <w:r>
              <w:rPr>
                <w:color w:val="231F20"/>
                <w:spacing w:val="-29"/>
                <w:w w:val="105"/>
                <w:sz w:val="18"/>
              </w:rPr>
              <w:t> </w:t>
            </w:r>
            <w:r>
              <w:rPr>
                <w:color w:val="231F20"/>
                <w:w w:val="105"/>
                <w:sz w:val="18"/>
              </w:rPr>
              <w:t>del</w:t>
            </w:r>
            <w:r>
              <w:rPr>
                <w:color w:val="231F20"/>
                <w:spacing w:val="-29"/>
                <w:w w:val="105"/>
                <w:sz w:val="18"/>
              </w:rPr>
              <w:t> </w:t>
            </w:r>
            <w:r>
              <w:rPr>
                <w:color w:val="231F20"/>
                <w:w w:val="105"/>
                <w:sz w:val="18"/>
              </w:rPr>
              <w:t>país;</w:t>
            </w:r>
            <w:r>
              <w:rPr>
                <w:color w:val="231F20"/>
                <w:spacing w:val="-29"/>
                <w:w w:val="105"/>
                <w:sz w:val="18"/>
              </w:rPr>
              <w:t> </w:t>
            </w:r>
            <w:r>
              <w:rPr>
                <w:color w:val="231F20"/>
                <w:w w:val="105"/>
                <w:sz w:val="18"/>
              </w:rPr>
              <w:t>se</w:t>
            </w:r>
            <w:r>
              <w:rPr>
                <w:color w:val="231F20"/>
                <w:spacing w:val="-29"/>
                <w:w w:val="105"/>
                <w:sz w:val="18"/>
              </w:rPr>
              <w:t> </w:t>
            </w:r>
            <w:r>
              <w:rPr>
                <w:color w:val="231F20"/>
                <w:w w:val="105"/>
                <w:sz w:val="18"/>
              </w:rPr>
              <w:t>construye</w:t>
            </w:r>
            <w:r>
              <w:rPr>
                <w:color w:val="231F20"/>
                <w:spacing w:val="-29"/>
                <w:w w:val="105"/>
                <w:sz w:val="18"/>
              </w:rPr>
              <w:t> </w:t>
            </w:r>
            <w:r>
              <w:rPr>
                <w:color w:val="231F20"/>
                <w:w w:val="105"/>
                <w:sz w:val="18"/>
              </w:rPr>
              <w:t>con</w:t>
            </w:r>
            <w:r>
              <w:rPr>
                <w:color w:val="231F20"/>
                <w:spacing w:val="-29"/>
                <w:w w:val="105"/>
                <w:sz w:val="18"/>
              </w:rPr>
              <w:t> </w:t>
            </w:r>
            <w:r>
              <w:rPr>
                <w:color w:val="231F20"/>
                <w:w w:val="105"/>
                <w:sz w:val="18"/>
              </w:rPr>
              <w:t>el</w:t>
            </w:r>
            <w:r>
              <w:rPr>
                <w:color w:val="231F20"/>
                <w:spacing w:val="-29"/>
                <w:w w:val="105"/>
                <w:sz w:val="18"/>
              </w:rPr>
              <w:t> </w:t>
            </w:r>
            <w:r>
              <w:rPr>
                <w:color w:val="231F20"/>
                <w:w w:val="105"/>
                <w:sz w:val="18"/>
              </w:rPr>
              <w:t>promedio de tres indicadores: a) Índice de creatividad económica, dado por la</w:t>
            </w:r>
            <w:r>
              <w:rPr>
                <w:color w:val="231F20"/>
                <w:spacing w:val="-31"/>
                <w:w w:val="105"/>
                <w:sz w:val="18"/>
              </w:rPr>
              <w:t> </w:t>
            </w:r>
            <w:r>
              <w:rPr>
                <w:color w:val="231F20"/>
                <w:w w:val="105"/>
                <w:sz w:val="18"/>
              </w:rPr>
              <w:t>innovación tecnológica</w:t>
            </w:r>
            <w:r>
              <w:rPr>
                <w:color w:val="231F20"/>
                <w:spacing w:val="-6"/>
                <w:w w:val="105"/>
                <w:sz w:val="18"/>
              </w:rPr>
              <w:t> </w:t>
            </w:r>
            <w:r>
              <w:rPr>
                <w:color w:val="231F20"/>
                <w:w w:val="105"/>
                <w:sz w:val="18"/>
              </w:rPr>
              <w:t>y</w:t>
            </w:r>
            <w:r>
              <w:rPr>
                <w:color w:val="231F20"/>
                <w:spacing w:val="-6"/>
                <w:w w:val="105"/>
                <w:sz w:val="18"/>
              </w:rPr>
              <w:t> </w:t>
            </w:r>
            <w:r>
              <w:rPr>
                <w:color w:val="231F20"/>
                <w:w w:val="105"/>
                <w:sz w:val="18"/>
              </w:rPr>
              <w:t>la</w:t>
            </w:r>
            <w:r>
              <w:rPr>
                <w:color w:val="231F20"/>
                <w:spacing w:val="-6"/>
                <w:w w:val="105"/>
                <w:sz w:val="18"/>
              </w:rPr>
              <w:t> </w:t>
            </w:r>
            <w:r>
              <w:rPr>
                <w:color w:val="231F20"/>
                <w:w w:val="105"/>
                <w:sz w:val="18"/>
              </w:rPr>
              <w:t>normatividad</w:t>
            </w:r>
            <w:r>
              <w:rPr>
                <w:color w:val="231F20"/>
                <w:spacing w:val="-6"/>
                <w:w w:val="105"/>
                <w:sz w:val="18"/>
              </w:rPr>
              <w:t> </w:t>
            </w:r>
            <w:r>
              <w:rPr>
                <w:color w:val="231F20"/>
                <w:w w:val="105"/>
                <w:sz w:val="18"/>
              </w:rPr>
              <w:t>para</w:t>
            </w:r>
            <w:r>
              <w:rPr>
                <w:color w:val="231F20"/>
                <w:spacing w:val="-6"/>
                <w:w w:val="105"/>
                <w:sz w:val="18"/>
              </w:rPr>
              <w:t> </w:t>
            </w:r>
            <w:r>
              <w:rPr>
                <w:color w:val="231F20"/>
                <w:w w:val="105"/>
                <w:sz w:val="18"/>
              </w:rPr>
              <w:t>la</w:t>
            </w:r>
            <w:r>
              <w:rPr>
                <w:color w:val="231F20"/>
                <w:spacing w:val="-6"/>
                <w:w w:val="105"/>
                <w:sz w:val="18"/>
              </w:rPr>
              <w:t> </w:t>
            </w:r>
            <w:r>
              <w:rPr>
                <w:color w:val="231F20"/>
                <w:w w:val="105"/>
                <w:sz w:val="18"/>
              </w:rPr>
              <w:t>apertura</w:t>
            </w:r>
            <w:r>
              <w:rPr>
                <w:color w:val="231F20"/>
                <w:spacing w:val="-6"/>
                <w:w w:val="105"/>
                <w:sz w:val="18"/>
              </w:rPr>
              <w:t> </w:t>
            </w:r>
            <w:r>
              <w:rPr>
                <w:color w:val="231F20"/>
                <w:w w:val="105"/>
                <w:sz w:val="18"/>
              </w:rPr>
              <w:t>de</w:t>
            </w:r>
            <w:r>
              <w:rPr>
                <w:color w:val="231F20"/>
                <w:spacing w:val="-6"/>
                <w:w w:val="105"/>
                <w:sz w:val="18"/>
              </w:rPr>
              <w:t> </w:t>
            </w:r>
            <w:r>
              <w:rPr>
                <w:color w:val="231F20"/>
                <w:w w:val="105"/>
                <w:sz w:val="18"/>
              </w:rPr>
              <w:t>nuevas</w:t>
            </w:r>
            <w:r>
              <w:rPr>
                <w:color w:val="231F20"/>
                <w:spacing w:val="-6"/>
                <w:w w:val="105"/>
                <w:sz w:val="18"/>
              </w:rPr>
              <w:t> </w:t>
            </w:r>
            <w:r>
              <w:rPr>
                <w:color w:val="231F20"/>
                <w:w w:val="105"/>
                <w:sz w:val="18"/>
              </w:rPr>
              <w:t>firmas;</w:t>
            </w:r>
            <w:r>
              <w:rPr>
                <w:color w:val="231F20"/>
                <w:spacing w:val="-6"/>
                <w:w w:val="105"/>
                <w:sz w:val="18"/>
              </w:rPr>
              <w:t> </w:t>
            </w:r>
            <w:r>
              <w:rPr>
                <w:color w:val="231F20"/>
                <w:w w:val="105"/>
                <w:sz w:val="18"/>
              </w:rPr>
              <w:t>b)</w:t>
            </w:r>
            <w:r>
              <w:rPr>
                <w:color w:val="231F20"/>
                <w:spacing w:val="-6"/>
                <w:w w:val="105"/>
                <w:sz w:val="18"/>
              </w:rPr>
              <w:t> </w:t>
            </w:r>
            <w:r>
              <w:rPr>
                <w:color w:val="231F20"/>
                <w:w w:val="105"/>
                <w:sz w:val="18"/>
              </w:rPr>
              <w:t>Índice</w:t>
            </w:r>
            <w:r>
              <w:rPr>
                <w:color w:val="231F20"/>
                <w:spacing w:val="-6"/>
                <w:w w:val="105"/>
                <w:sz w:val="18"/>
              </w:rPr>
              <w:t> </w:t>
            </w:r>
            <w:r>
              <w:rPr>
                <w:color w:val="231F20"/>
                <w:w w:val="105"/>
                <w:sz w:val="18"/>
              </w:rPr>
              <w:t>finan- ciero</w:t>
            </w:r>
            <w:r>
              <w:rPr>
                <w:color w:val="231F20"/>
                <w:spacing w:val="-12"/>
                <w:w w:val="105"/>
                <w:sz w:val="18"/>
              </w:rPr>
              <w:t> </w:t>
            </w:r>
            <w:r>
              <w:rPr>
                <w:color w:val="231F20"/>
                <w:w w:val="105"/>
                <w:sz w:val="18"/>
              </w:rPr>
              <w:t>que</w:t>
            </w:r>
            <w:r>
              <w:rPr>
                <w:color w:val="231F20"/>
                <w:spacing w:val="-12"/>
                <w:w w:val="105"/>
                <w:sz w:val="18"/>
              </w:rPr>
              <w:t> </w:t>
            </w:r>
            <w:r>
              <w:rPr>
                <w:color w:val="231F20"/>
                <w:w w:val="105"/>
                <w:sz w:val="18"/>
              </w:rPr>
              <w:t>evalúa</w:t>
            </w:r>
            <w:r>
              <w:rPr>
                <w:color w:val="231F20"/>
                <w:spacing w:val="-12"/>
                <w:w w:val="105"/>
                <w:sz w:val="18"/>
              </w:rPr>
              <w:t> </w:t>
            </w:r>
            <w:r>
              <w:rPr>
                <w:color w:val="231F20"/>
                <w:w w:val="105"/>
                <w:sz w:val="18"/>
              </w:rPr>
              <w:t>las</w:t>
            </w:r>
            <w:r>
              <w:rPr>
                <w:color w:val="231F20"/>
                <w:spacing w:val="-12"/>
                <w:w w:val="105"/>
                <w:sz w:val="18"/>
              </w:rPr>
              <w:t> </w:t>
            </w:r>
            <w:r>
              <w:rPr>
                <w:color w:val="231F20"/>
                <w:w w:val="105"/>
                <w:sz w:val="18"/>
              </w:rPr>
              <w:t>tasas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interés</w:t>
            </w:r>
            <w:r>
              <w:rPr>
                <w:color w:val="231F20"/>
                <w:spacing w:val="-12"/>
                <w:w w:val="105"/>
                <w:sz w:val="18"/>
              </w:rPr>
              <w:t> </w:t>
            </w:r>
            <w:r>
              <w:rPr>
                <w:color w:val="231F20"/>
                <w:w w:val="105"/>
                <w:sz w:val="18"/>
              </w:rPr>
              <w:t>y</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comportamiento</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bolsa</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valores;</w:t>
            </w:r>
          </w:p>
          <w:p>
            <w:pPr>
              <w:pStyle w:val="TableParagraph"/>
              <w:spacing w:before="1"/>
              <w:ind w:left="219"/>
              <w:rPr>
                <w:sz w:val="18"/>
              </w:rPr>
            </w:pPr>
            <w:r>
              <w:rPr>
                <w:color w:val="231F20"/>
                <w:w w:val="105"/>
                <w:sz w:val="18"/>
              </w:rPr>
              <w:t>c)</w:t>
            </w:r>
            <w:r>
              <w:rPr>
                <w:color w:val="231F20"/>
                <w:spacing w:val="-26"/>
                <w:w w:val="105"/>
                <w:sz w:val="18"/>
              </w:rPr>
              <w:t> </w:t>
            </w:r>
            <w:r>
              <w:rPr>
                <w:color w:val="231F20"/>
                <w:w w:val="105"/>
                <w:sz w:val="18"/>
              </w:rPr>
              <w:t>Índice</w:t>
            </w:r>
            <w:r>
              <w:rPr>
                <w:color w:val="231F20"/>
                <w:spacing w:val="-26"/>
                <w:w w:val="105"/>
                <w:sz w:val="18"/>
              </w:rPr>
              <w:t> </w:t>
            </w:r>
            <w:r>
              <w:rPr>
                <w:color w:val="231F20"/>
                <w:w w:val="105"/>
                <w:sz w:val="18"/>
              </w:rPr>
              <w:t>internacional</w:t>
            </w:r>
            <w:r>
              <w:rPr>
                <w:color w:val="231F20"/>
                <w:spacing w:val="-26"/>
                <w:w w:val="105"/>
                <w:sz w:val="18"/>
              </w:rPr>
              <w:t> </w:t>
            </w:r>
            <w:r>
              <w:rPr>
                <w:color w:val="231F20"/>
                <w:w w:val="105"/>
                <w:sz w:val="18"/>
              </w:rPr>
              <w:t>que</w:t>
            </w:r>
            <w:r>
              <w:rPr>
                <w:color w:val="231F20"/>
                <w:spacing w:val="-26"/>
                <w:w w:val="105"/>
                <w:sz w:val="18"/>
              </w:rPr>
              <w:t> </w:t>
            </w:r>
            <w:r>
              <w:rPr>
                <w:color w:val="231F20"/>
                <w:w w:val="105"/>
                <w:sz w:val="18"/>
              </w:rPr>
              <w:t>evalúa</w:t>
            </w:r>
            <w:r>
              <w:rPr>
                <w:color w:val="231F20"/>
                <w:spacing w:val="-26"/>
                <w:w w:val="105"/>
                <w:sz w:val="18"/>
              </w:rPr>
              <w:t> </w:t>
            </w:r>
            <w:r>
              <w:rPr>
                <w:color w:val="231F20"/>
                <w:w w:val="105"/>
                <w:sz w:val="18"/>
              </w:rPr>
              <w:t>las</w:t>
            </w:r>
            <w:r>
              <w:rPr>
                <w:color w:val="231F20"/>
                <w:spacing w:val="-26"/>
                <w:w w:val="105"/>
                <w:sz w:val="18"/>
              </w:rPr>
              <w:t> </w:t>
            </w:r>
            <w:r>
              <w:rPr>
                <w:color w:val="231F20"/>
                <w:w w:val="105"/>
                <w:sz w:val="18"/>
              </w:rPr>
              <w:t>normas</w:t>
            </w:r>
            <w:r>
              <w:rPr>
                <w:color w:val="231F20"/>
                <w:spacing w:val="-26"/>
                <w:w w:val="105"/>
                <w:sz w:val="18"/>
              </w:rPr>
              <w:t> </w:t>
            </w:r>
            <w:r>
              <w:rPr>
                <w:color w:val="231F20"/>
                <w:w w:val="105"/>
                <w:sz w:val="18"/>
              </w:rPr>
              <w:t>y</w:t>
            </w:r>
            <w:r>
              <w:rPr>
                <w:color w:val="231F20"/>
                <w:spacing w:val="-26"/>
                <w:w w:val="105"/>
                <w:sz w:val="18"/>
              </w:rPr>
              <w:t> </w:t>
            </w:r>
            <w:r>
              <w:rPr>
                <w:color w:val="231F20"/>
                <w:w w:val="105"/>
                <w:sz w:val="18"/>
              </w:rPr>
              <w:t>reglas</w:t>
            </w:r>
            <w:r>
              <w:rPr>
                <w:color w:val="231F20"/>
                <w:spacing w:val="-26"/>
                <w:w w:val="105"/>
                <w:sz w:val="18"/>
              </w:rPr>
              <w:t> </w:t>
            </w:r>
            <w:r>
              <w:rPr>
                <w:color w:val="231F20"/>
                <w:w w:val="105"/>
                <w:sz w:val="18"/>
              </w:rPr>
              <w:t>para</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apertura</w:t>
            </w:r>
            <w:r>
              <w:rPr>
                <w:color w:val="231F20"/>
                <w:spacing w:val="-26"/>
                <w:w w:val="105"/>
                <w:sz w:val="18"/>
              </w:rPr>
              <w:t> </w:t>
            </w:r>
            <w:r>
              <w:rPr>
                <w:color w:val="231F20"/>
                <w:w w:val="105"/>
                <w:sz w:val="18"/>
              </w:rPr>
              <w:t>comercial.</w:t>
            </w:r>
          </w:p>
        </w:tc>
      </w:tr>
      <w:tr>
        <w:trPr>
          <w:trHeight w:val="340" w:hRule="exact"/>
        </w:trPr>
        <w:tc>
          <w:tcPr>
            <w:tcW w:w="6912" w:type="dxa"/>
          </w:tcPr>
          <w:p>
            <w:pPr>
              <w:pStyle w:val="TableParagraph"/>
              <w:spacing w:before="88"/>
              <w:ind w:left="1228" w:right="1228"/>
              <w:jc w:val="center"/>
              <w:rPr>
                <w:sz w:val="18"/>
              </w:rPr>
            </w:pPr>
            <w:r>
              <w:rPr>
                <w:color w:val="231F20"/>
                <w:w w:val="105"/>
                <w:sz w:val="18"/>
              </w:rPr>
              <w:t>Determinantes de la competitividad meta</w:t>
            </w:r>
          </w:p>
        </w:tc>
      </w:tr>
      <w:tr>
        <w:trPr>
          <w:trHeight w:val="1636" w:hRule="exact"/>
        </w:trPr>
        <w:tc>
          <w:tcPr>
            <w:tcW w:w="6912" w:type="dxa"/>
          </w:tcPr>
          <w:p>
            <w:pPr>
              <w:pStyle w:val="TableParagraph"/>
              <w:numPr>
                <w:ilvl w:val="0"/>
                <w:numId w:val="21"/>
              </w:numPr>
              <w:tabs>
                <w:tab w:pos="220" w:val="left" w:leader="none"/>
              </w:tabs>
              <w:spacing w:line="240" w:lineRule="auto" w:before="88" w:after="0"/>
              <w:ind w:left="219" w:right="0" w:hanging="142"/>
              <w:jc w:val="left"/>
              <w:rPr>
                <w:sz w:val="18"/>
              </w:rPr>
            </w:pPr>
            <w:r>
              <w:rPr>
                <w:color w:val="231F20"/>
                <w:w w:val="105"/>
                <w:sz w:val="18"/>
              </w:rPr>
              <w:t>Disposición</w:t>
            </w:r>
            <w:r>
              <w:rPr>
                <w:color w:val="231F20"/>
                <w:spacing w:val="-18"/>
                <w:w w:val="105"/>
                <w:sz w:val="18"/>
              </w:rPr>
              <w:t> </w:t>
            </w:r>
            <w:r>
              <w:rPr>
                <w:color w:val="231F20"/>
                <w:w w:val="105"/>
                <w:sz w:val="18"/>
              </w:rPr>
              <w:t>al</w:t>
            </w:r>
            <w:r>
              <w:rPr>
                <w:color w:val="231F20"/>
                <w:spacing w:val="-18"/>
                <w:w w:val="105"/>
                <w:sz w:val="18"/>
              </w:rPr>
              <w:t> </w:t>
            </w:r>
            <w:r>
              <w:rPr>
                <w:color w:val="231F20"/>
                <w:w w:val="105"/>
                <w:sz w:val="18"/>
              </w:rPr>
              <w:t>diálogo</w:t>
            </w:r>
            <w:r>
              <w:rPr>
                <w:color w:val="231F20"/>
                <w:spacing w:val="-18"/>
                <w:w w:val="105"/>
                <w:sz w:val="18"/>
              </w:rPr>
              <w:t> </w:t>
            </w:r>
            <w:r>
              <w:rPr>
                <w:color w:val="231F20"/>
                <w:w w:val="105"/>
                <w:sz w:val="18"/>
              </w:rPr>
              <w:t>entre</w:t>
            </w:r>
            <w:r>
              <w:rPr>
                <w:color w:val="231F20"/>
                <w:spacing w:val="-18"/>
                <w:w w:val="105"/>
                <w:sz w:val="18"/>
              </w:rPr>
              <w:t> </w:t>
            </w:r>
            <w:r>
              <w:rPr>
                <w:color w:val="231F20"/>
                <w:w w:val="105"/>
                <w:sz w:val="18"/>
              </w:rPr>
              <w:t>los</w:t>
            </w:r>
            <w:r>
              <w:rPr>
                <w:color w:val="231F20"/>
                <w:spacing w:val="-18"/>
                <w:w w:val="105"/>
                <w:sz w:val="18"/>
              </w:rPr>
              <w:t> </w:t>
            </w:r>
            <w:r>
              <w:rPr>
                <w:color w:val="231F20"/>
                <w:w w:val="105"/>
                <w:sz w:val="18"/>
              </w:rPr>
              <w:t>actores</w:t>
            </w:r>
            <w:r>
              <w:rPr>
                <w:color w:val="231F20"/>
                <w:spacing w:val="-18"/>
                <w:w w:val="105"/>
                <w:sz w:val="18"/>
              </w:rPr>
              <w:t> </w:t>
            </w:r>
            <w:r>
              <w:rPr>
                <w:color w:val="231F20"/>
                <w:w w:val="105"/>
                <w:sz w:val="18"/>
              </w:rPr>
              <w:t>sociales.</w:t>
            </w:r>
          </w:p>
          <w:p>
            <w:pPr>
              <w:pStyle w:val="TableParagraph"/>
              <w:numPr>
                <w:ilvl w:val="0"/>
                <w:numId w:val="21"/>
              </w:numPr>
              <w:tabs>
                <w:tab w:pos="220" w:val="left" w:leader="none"/>
              </w:tabs>
              <w:spacing w:line="249" w:lineRule="auto" w:before="9" w:after="0"/>
              <w:ind w:left="219" w:right="75" w:hanging="142"/>
              <w:jc w:val="left"/>
              <w:rPr>
                <w:sz w:val="18"/>
              </w:rPr>
            </w:pPr>
            <w:r>
              <w:rPr>
                <w:color w:val="231F20"/>
                <w:w w:val="105"/>
                <w:sz w:val="18"/>
              </w:rPr>
              <w:t>Formación</w:t>
            </w:r>
            <w:r>
              <w:rPr>
                <w:color w:val="231F20"/>
                <w:spacing w:val="-14"/>
                <w:w w:val="105"/>
                <w:sz w:val="18"/>
              </w:rPr>
              <w:t> </w:t>
            </w:r>
            <w:r>
              <w:rPr>
                <w:color w:val="231F20"/>
                <w:w w:val="105"/>
                <w:sz w:val="18"/>
              </w:rPr>
              <w:t>social</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estructuras</w:t>
            </w:r>
            <w:r>
              <w:rPr>
                <w:color w:val="231F20"/>
                <w:spacing w:val="-14"/>
                <w:w w:val="105"/>
                <w:sz w:val="18"/>
              </w:rPr>
              <w:t> </w:t>
            </w:r>
            <w:r>
              <w:rPr>
                <w:color w:val="231F20"/>
                <w:w w:val="105"/>
                <w:sz w:val="18"/>
              </w:rPr>
              <w:t>como</w:t>
            </w:r>
            <w:r>
              <w:rPr>
                <w:color w:val="231F20"/>
                <w:spacing w:val="-14"/>
                <w:w w:val="105"/>
                <w:sz w:val="18"/>
              </w:rPr>
              <w:t> </w:t>
            </w:r>
            <w:r>
              <w:rPr>
                <w:color w:val="231F20"/>
                <w:w w:val="105"/>
                <w:sz w:val="18"/>
              </w:rPr>
              <w:t>requisito</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modernización</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eco- nomía.</w:t>
            </w:r>
          </w:p>
          <w:p>
            <w:pPr>
              <w:pStyle w:val="TableParagraph"/>
              <w:numPr>
                <w:ilvl w:val="0"/>
                <w:numId w:val="21"/>
              </w:numPr>
              <w:tabs>
                <w:tab w:pos="220" w:val="left" w:leader="none"/>
              </w:tabs>
              <w:spacing w:line="249" w:lineRule="auto" w:before="1" w:after="0"/>
              <w:ind w:left="219" w:right="75" w:hanging="142"/>
              <w:jc w:val="left"/>
              <w:rPr>
                <w:sz w:val="18"/>
              </w:rPr>
            </w:pPr>
            <w:r>
              <w:rPr>
                <w:color w:val="231F20"/>
                <w:spacing w:val="-3"/>
                <w:w w:val="105"/>
                <w:sz w:val="18"/>
              </w:rPr>
              <w:t>Patrones</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organización</w:t>
            </w:r>
            <w:r>
              <w:rPr>
                <w:color w:val="231F20"/>
                <w:spacing w:val="-19"/>
                <w:w w:val="105"/>
                <w:sz w:val="18"/>
              </w:rPr>
              <w:t> </w:t>
            </w:r>
            <w:r>
              <w:rPr>
                <w:color w:val="231F20"/>
                <w:w w:val="105"/>
                <w:sz w:val="18"/>
              </w:rPr>
              <w:t>social</w:t>
            </w:r>
            <w:r>
              <w:rPr>
                <w:color w:val="231F20"/>
                <w:spacing w:val="-19"/>
                <w:w w:val="105"/>
                <w:sz w:val="18"/>
              </w:rPr>
              <w:t> </w:t>
            </w:r>
            <w:r>
              <w:rPr>
                <w:color w:val="231F20"/>
                <w:w w:val="105"/>
                <w:sz w:val="18"/>
              </w:rPr>
              <w:t>para</w:t>
            </w:r>
            <w:r>
              <w:rPr>
                <w:color w:val="231F20"/>
                <w:spacing w:val="-19"/>
                <w:w w:val="105"/>
                <w:sz w:val="18"/>
              </w:rPr>
              <w:t> </w:t>
            </w:r>
            <w:r>
              <w:rPr>
                <w:color w:val="231F20"/>
                <w:w w:val="105"/>
                <w:sz w:val="18"/>
              </w:rPr>
              <w:t>fortalecer</w:t>
            </w:r>
            <w:r>
              <w:rPr>
                <w:color w:val="231F20"/>
                <w:spacing w:val="-19"/>
                <w:w w:val="105"/>
                <w:sz w:val="18"/>
              </w:rPr>
              <w:t> </w:t>
            </w:r>
            <w:r>
              <w:rPr>
                <w:color w:val="231F20"/>
                <w:w w:val="105"/>
                <w:sz w:val="18"/>
              </w:rPr>
              <w:t>las</w:t>
            </w:r>
            <w:r>
              <w:rPr>
                <w:color w:val="231F20"/>
                <w:spacing w:val="-19"/>
                <w:w w:val="105"/>
                <w:sz w:val="18"/>
              </w:rPr>
              <w:t> </w:t>
            </w:r>
            <w:r>
              <w:rPr>
                <w:color w:val="231F20"/>
                <w:w w:val="105"/>
                <w:sz w:val="18"/>
              </w:rPr>
              <w:t>políticas</w:t>
            </w:r>
            <w:r>
              <w:rPr>
                <w:color w:val="231F20"/>
                <w:spacing w:val="-19"/>
                <w:w w:val="105"/>
                <w:sz w:val="18"/>
              </w:rPr>
              <w:t> </w:t>
            </w:r>
            <w:r>
              <w:rPr>
                <w:color w:val="231F20"/>
                <w:w w:val="105"/>
                <w:sz w:val="18"/>
              </w:rPr>
              <w:t>de</w:t>
            </w:r>
            <w:r>
              <w:rPr>
                <w:color w:val="231F20"/>
                <w:spacing w:val="-19"/>
                <w:w w:val="105"/>
                <w:sz w:val="18"/>
              </w:rPr>
              <w:t> </w:t>
            </w:r>
            <w:r>
              <w:rPr>
                <w:color w:val="231F20"/>
                <w:w w:val="105"/>
                <w:sz w:val="18"/>
              </w:rPr>
              <w:t>localización</w:t>
            </w:r>
            <w:r>
              <w:rPr>
                <w:color w:val="231F20"/>
                <w:spacing w:val="-19"/>
                <w:w w:val="105"/>
                <w:sz w:val="18"/>
              </w:rPr>
              <w:t> </w:t>
            </w:r>
            <w:r>
              <w:rPr>
                <w:color w:val="231F20"/>
                <w:w w:val="105"/>
                <w:sz w:val="18"/>
              </w:rPr>
              <w:t>basa- das en el</w:t>
            </w:r>
            <w:r>
              <w:rPr>
                <w:color w:val="231F20"/>
                <w:spacing w:val="-22"/>
                <w:w w:val="105"/>
                <w:sz w:val="18"/>
              </w:rPr>
              <w:t> </w:t>
            </w:r>
            <w:r>
              <w:rPr>
                <w:color w:val="231F20"/>
                <w:w w:val="105"/>
                <w:sz w:val="18"/>
              </w:rPr>
              <w:t>diálogo.</w:t>
            </w:r>
          </w:p>
          <w:p>
            <w:pPr>
              <w:pStyle w:val="TableParagraph"/>
              <w:numPr>
                <w:ilvl w:val="0"/>
                <w:numId w:val="21"/>
              </w:numPr>
              <w:tabs>
                <w:tab w:pos="220" w:val="left" w:leader="none"/>
              </w:tabs>
              <w:spacing w:line="240" w:lineRule="auto" w:before="1" w:after="0"/>
              <w:ind w:left="219" w:right="0" w:hanging="142"/>
              <w:jc w:val="left"/>
              <w:rPr>
                <w:sz w:val="18"/>
              </w:rPr>
            </w:pPr>
            <w:r>
              <w:rPr>
                <w:color w:val="231F20"/>
                <w:w w:val="105"/>
                <w:sz w:val="18"/>
              </w:rPr>
              <w:t>Orientación</w:t>
            </w:r>
            <w:r>
              <w:rPr>
                <w:color w:val="231F20"/>
                <w:spacing w:val="-14"/>
                <w:w w:val="105"/>
                <w:sz w:val="18"/>
              </w:rPr>
              <w:t> </w:t>
            </w:r>
            <w:r>
              <w:rPr>
                <w:color w:val="231F20"/>
                <w:w w:val="105"/>
                <w:sz w:val="18"/>
              </w:rPr>
              <w:t>para</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acción</w:t>
            </w:r>
            <w:r>
              <w:rPr>
                <w:color w:val="231F20"/>
                <w:spacing w:val="-14"/>
                <w:w w:val="105"/>
                <w:sz w:val="18"/>
              </w:rPr>
              <w:t> </w:t>
            </w:r>
            <w:r>
              <w:rPr>
                <w:color w:val="231F20"/>
                <w:w w:val="105"/>
                <w:sz w:val="18"/>
              </w:rPr>
              <w:t>en</w:t>
            </w:r>
            <w:r>
              <w:rPr>
                <w:color w:val="231F20"/>
                <w:spacing w:val="-14"/>
                <w:w w:val="105"/>
                <w:sz w:val="18"/>
              </w:rPr>
              <w:t> </w:t>
            </w:r>
            <w:r>
              <w:rPr>
                <w:color w:val="231F20"/>
                <w:w w:val="105"/>
                <w:sz w:val="18"/>
              </w:rPr>
              <w:t>patrones</w:t>
            </w:r>
            <w:r>
              <w:rPr>
                <w:color w:val="231F20"/>
                <w:spacing w:val="-14"/>
                <w:w w:val="105"/>
                <w:sz w:val="18"/>
              </w:rPr>
              <w:t> </w:t>
            </w:r>
            <w:r>
              <w:rPr>
                <w:color w:val="231F20"/>
                <w:w w:val="105"/>
                <w:sz w:val="18"/>
              </w:rPr>
              <w:t>complejos</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organización</w:t>
            </w:r>
            <w:r>
              <w:rPr>
                <w:color w:val="231F20"/>
                <w:spacing w:val="-14"/>
                <w:w w:val="105"/>
                <w:sz w:val="18"/>
              </w:rPr>
              <w:t> </w:t>
            </w:r>
            <w:r>
              <w:rPr>
                <w:color w:val="231F20"/>
                <w:w w:val="105"/>
                <w:sz w:val="18"/>
              </w:rPr>
              <w:t>y</w:t>
            </w:r>
            <w:r>
              <w:rPr>
                <w:color w:val="231F20"/>
                <w:spacing w:val="-14"/>
                <w:w w:val="105"/>
                <w:sz w:val="18"/>
              </w:rPr>
              <w:t> </w:t>
            </w:r>
            <w:r>
              <w:rPr>
                <w:color w:val="231F20"/>
                <w:w w:val="105"/>
                <w:sz w:val="18"/>
              </w:rPr>
              <w:t>conducción.</w:t>
            </w:r>
          </w:p>
          <w:p>
            <w:pPr>
              <w:pStyle w:val="TableParagraph"/>
              <w:numPr>
                <w:ilvl w:val="0"/>
                <w:numId w:val="21"/>
              </w:numPr>
              <w:tabs>
                <w:tab w:pos="220" w:val="left" w:leader="none"/>
              </w:tabs>
              <w:spacing w:line="240" w:lineRule="auto" w:before="9" w:after="0"/>
              <w:ind w:left="219" w:right="0" w:hanging="142"/>
              <w:jc w:val="left"/>
              <w:rPr>
                <w:sz w:val="18"/>
              </w:rPr>
            </w:pPr>
            <w:r>
              <w:rPr>
                <w:color w:val="231F20"/>
                <w:sz w:val="18"/>
              </w:rPr>
              <w:t>Sistemas articulados abiertos y receptivos al </w:t>
            </w:r>
            <w:r>
              <w:rPr>
                <w:color w:val="231F20"/>
                <w:spacing w:val="16"/>
                <w:sz w:val="18"/>
              </w:rPr>
              <w:t> </w:t>
            </w:r>
            <w:r>
              <w:rPr>
                <w:color w:val="231F20"/>
                <w:sz w:val="18"/>
              </w:rPr>
              <w:t>aprendizaje.</w:t>
            </w:r>
          </w:p>
        </w:tc>
      </w:tr>
      <w:tr>
        <w:trPr>
          <w:trHeight w:val="340" w:hRule="exact"/>
        </w:trPr>
        <w:tc>
          <w:tcPr>
            <w:tcW w:w="6912" w:type="dxa"/>
          </w:tcPr>
          <w:p>
            <w:pPr>
              <w:pStyle w:val="TableParagraph"/>
              <w:spacing w:before="88"/>
              <w:ind w:left="1228" w:right="1228"/>
              <w:jc w:val="center"/>
              <w:rPr>
                <w:sz w:val="18"/>
              </w:rPr>
            </w:pPr>
            <w:r>
              <w:rPr>
                <w:color w:val="231F20"/>
                <w:w w:val="105"/>
                <w:sz w:val="18"/>
              </w:rPr>
              <w:t>Determinantes de la competitividad meso</w:t>
            </w:r>
          </w:p>
        </w:tc>
      </w:tr>
      <w:tr>
        <w:trPr>
          <w:trHeight w:val="2932" w:hRule="exact"/>
        </w:trPr>
        <w:tc>
          <w:tcPr>
            <w:tcW w:w="6912" w:type="dxa"/>
          </w:tcPr>
          <w:p>
            <w:pPr>
              <w:pStyle w:val="TableParagraph"/>
              <w:numPr>
                <w:ilvl w:val="0"/>
                <w:numId w:val="22"/>
              </w:numPr>
              <w:tabs>
                <w:tab w:pos="220" w:val="left" w:leader="none"/>
              </w:tabs>
              <w:spacing w:line="249" w:lineRule="auto" w:before="88" w:after="0"/>
              <w:ind w:left="219" w:right="76" w:hanging="142"/>
              <w:jc w:val="both"/>
              <w:rPr>
                <w:sz w:val="18"/>
              </w:rPr>
            </w:pPr>
            <w:r>
              <w:rPr>
                <w:color w:val="231F20"/>
                <w:w w:val="105"/>
                <w:sz w:val="18"/>
              </w:rPr>
              <w:t>Medidas de desempeño: rentabilidad, crecimiento, participación del mercado y </w:t>
            </w:r>
            <w:r>
              <w:rPr>
                <w:color w:val="231F20"/>
                <w:sz w:val="18"/>
              </w:rPr>
              <w:t>balanza</w:t>
            </w:r>
            <w:r>
              <w:rPr>
                <w:color w:val="231F20"/>
                <w:spacing w:val="22"/>
                <w:sz w:val="18"/>
              </w:rPr>
              <w:t> </w:t>
            </w:r>
            <w:r>
              <w:rPr>
                <w:color w:val="231F20"/>
                <w:sz w:val="18"/>
              </w:rPr>
              <w:t>comercial.</w:t>
            </w:r>
          </w:p>
          <w:p>
            <w:pPr>
              <w:pStyle w:val="TableParagraph"/>
              <w:numPr>
                <w:ilvl w:val="0"/>
                <w:numId w:val="22"/>
              </w:numPr>
              <w:tabs>
                <w:tab w:pos="220" w:val="left" w:leader="none"/>
              </w:tabs>
              <w:spacing w:line="249" w:lineRule="auto" w:before="1" w:after="0"/>
              <w:ind w:left="219" w:right="75" w:hanging="142"/>
              <w:jc w:val="both"/>
              <w:rPr>
                <w:sz w:val="18"/>
              </w:rPr>
            </w:pPr>
            <w:r>
              <w:rPr>
                <w:color w:val="231F20"/>
                <w:w w:val="105"/>
                <w:sz w:val="18"/>
              </w:rPr>
              <w:t>Medidas del potencial competitivo: materias primas más baratas o tecnología más</w:t>
            </w:r>
            <w:r>
              <w:rPr>
                <w:color w:val="231F20"/>
                <w:spacing w:val="-17"/>
                <w:w w:val="105"/>
                <w:sz w:val="18"/>
              </w:rPr>
              <w:t> </w:t>
            </w:r>
            <w:r>
              <w:rPr>
                <w:color w:val="231F20"/>
                <w:w w:val="105"/>
                <w:sz w:val="18"/>
              </w:rPr>
              <w:t>avanzada</w:t>
            </w:r>
            <w:r>
              <w:rPr>
                <w:color w:val="231F20"/>
                <w:spacing w:val="-17"/>
                <w:w w:val="105"/>
                <w:sz w:val="18"/>
              </w:rPr>
              <w:t> </w:t>
            </w:r>
            <w:r>
              <w:rPr>
                <w:color w:val="231F20"/>
                <w:w w:val="105"/>
                <w:sz w:val="18"/>
              </w:rPr>
              <w:t>que</w:t>
            </w:r>
            <w:r>
              <w:rPr>
                <w:color w:val="231F20"/>
                <w:spacing w:val="-17"/>
                <w:w w:val="105"/>
                <w:sz w:val="18"/>
              </w:rPr>
              <w:t> </w:t>
            </w:r>
            <w:r>
              <w:rPr>
                <w:color w:val="231F20"/>
                <w:w w:val="105"/>
                <w:sz w:val="18"/>
              </w:rPr>
              <w:t>conducen</w:t>
            </w:r>
            <w:r>
              <w:rPr>
                <w:color w:val="231F20"/>
                <w:spacing w:val="-17"/>
                <w:w w:val="105"/>
                <w:sz w:val="18"/>
              </w:rPr>
              <w:t> </w:t>
            </w:r>
            <w:r>
              <w:rPr>
                <w:color w:val="231F20"/>
                <w:w w:val="105"/>
                <w:sz w:val="18"/>
              </w:rPr>
              <w:t>a</w:t>
            </w:r>
            <w:r>
              <w:rPr>
                <w:color w:val="231F20"/>
                <w:spacing w:val="-17"/>
                <w:w w:val="105"/>
                <w:sz w:val="18"/>
              </w:rPr>
              <w:t> </w:t>
            </w:r>
            <w:r>
              <w:rPr>
                <w:color w:val="231F20"/>
                <w:w w:val="105"/>
                <w:sz w:val="18"/>
              </w:rPr>
              <w:t>ventajas</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precio</w:t>
            </w:r>
            <w:r>
              <w:rPr>
                <w:color w:val="231F20"/>
                <w:spacing w:val="-17"/>
                <w:w w:val="105"/>
                <w:sz w:val="18"/>
              </w:rPr>
              <w:t> </w:t>
            </w:r>
            <w:r>
              <w:rPr>
                <w:color w:val="231F20"/>
                <w:w w:val="105"/>
                <w:sz w:val="18"/>
              </w:rPr>
              <w:t>y</w:t>
            </w:r>
            <w:r>
              <w:rPr>
                <w:color w:val="231F20"/>
                <w:spacing w:val="-17"/>
                <w:w w:val="105"/>
                <w:sz w:val="18"/>
              </w:rPr>
              <w:t> </w:t>
            </w:r>
            <w:r>
              <w:rPr>
                <w:color w:val="231F20"/>
                <w:w w:val="105"/>
                <w:sz w:val="18"/>
              </w:rPr>
              <w:t>costo,</w:t>
            </w:r>
            <w:r>
              <w:rPr>
                <w:color w:val="231F20"/>
                <w:spacing w:val="-21"/>
                <w:w w:val="105"/>
                <w:sz w:val="18"/>
              </w:rPr>
              <w:t> </w:t>
            </w:r>
            <w:r>
              <w:rPr>
                <w:color w:val="231F20"/>
                <w:w w:val="105"/>
                <w:sz w:val="18"/>
              </w:rPr>
              <w:t>así</w:t>
            </w:r>
            <w:r>
              <w:rPr>
                <w:color w:val="231F20"/>
                <w:spacing w:val="-17"/>
                <w:w w:val="105"/>
                <w:sz w:val="18"/>
              </w:rPr>
              <w:t> </w:t>
            </w:r>
            <w:r>
              <w:rPr>
                <w:color w:val="231F20"/>
                <w:w w:val="105"/>
                <w:sz w:val="18"/>
              </w:rPr>
              <w:t>como</w:t>
            </w:r>
            <w:r>
              <w:rPr>
                <w:color w:val="231F20"/>
                <w:spacing w:val="-17"/>
                <w:w w:val="105"/>
                <w:sz w:val="18"/>
              </w:rPr>
              <w:t> </w:t>
            </w:r>
            <w:r>
              <w:rPr>
                <w:color w:val="231F20"/>
                <w:w w:val="105"/>
                <w:sz w:val="18"/>
              </w:rPr>
              <w:t>a</w:t>
            </w:r>
            <w:r>
              <w:rPr>
                <w:color w:val="231F20"/>
                <w:spacing w:val="-17"/>
                <w:w w:val="105"/>
                <w:sz w:val="18"/>
              </w:rPr>
              <w:t> </w:t>
            </w:r>
            <w:r>
              <w:rPr>
                <w:color w:val="231F20"/>
                <w:w w:val="105"/>
                <w:sz w:val="18"/>
              </w:rPr>
              <w:t>productivi- dad</w:t>
            </w:r>
            <w:r>
              <w:rPr>
                <w:color w:val="231F20"/>
                <w:spacing w:val="-22"/>
                <w:w w:val="105"/>
                <w:sz w:val="18"/>
              </w:rPr>
              <w:t> </w:t>
            </w:r>
            <w:r>
              <w:rPr>
                <w:color w:val="231F20"/>
                <w:w w:val="105"/>
                <w:sz w:val="18"/>
              </w:rPr>
              <w:t>más</w:t>
            </w:r>
            <w:r>
              <w:rPr>
                <w:color w:val="231F20"/>
                <w:spacing w:val="-22"/>
                <w:w w:val="105"/>
                <w:sz w:val="18"/>
              </w:rPr>
              <w:t> </w:t>
            </w:r>
            <w:r>
              <w:rPr>
                <w:color w:val="231F20"/>
                <w:w w:val="105"/>
                <w:sz w:val="18"/>
              </w:rPr>
              <w:t>alta.</w:t>
            </w:r>
          </w:p>
          <w:p>
            <w:pPr>
              <w:pStyle w:val="TableParagraph"/>
              <w:numPr>
                <w:ilvl w:val="0"/>
                <w:numId w:val="22"/>
              </w:numPr>
              <w:tabs>
                <w:tab w:pos="220" w:val="left" w:leader="none"/>
              </w:tabs>
              <w:spacing w:line="240" w:lineRule="auto" w:before="1" w:after="0"/>
              <w:ind w:left="219" w:right="0" w:hanging="142"/>
              <w:jc w:val="left"/>
              <w:rPr>
                <w:sz w:val="18"/>
              </w:rPr>
            </w:pPr>
            <w:r>
              <w:rPr>
                <w:color w:val="231F20"/>
                <w:w w:val="105"/>
                <w:sz w:val="18"/>
              </w:rPr>
              <w:t>Medidas</w:t>
            </w:r>
            <w:r>
              <w:rPr>
                <w:color w:val="231F20"/>
                <w:spacing w:val="-10"/>
                <w:w w:val="105"/>
                <w:sz w:val="18"/>
              </w:rPr>
              <w:t> </w:t>
            </w:r>
            <w:r>
              <w:rPr>
                <w:color w:val="231F20"/>
                <w:w w:val="105"/>
                <w:sz w:val="18"/>
              </w:rPr>
              <w:t>del</w:t>
            </w:r>
            <w:r>
              <w:rPr>
                <w:color w:val="231F20"/>
                <w:spacing w:val="-10"/>
                <w:w w:val="105"/>
                <w:sz w:val="18"/>
              </w:rPr>
              <w:t> </w:t>
            </w:r>
            <w:r>
              <w:rPr>
                <w:color w:val="231F20"/>
                <w:w w:val="105"/>
                <w:sz w:val="18"/>
              </w:rPr>
              <w:t>proceso</w:t>
            </w:r>
            <w:r>
              <w:rPr>
                <w:color w:val="231F20"/>
                <w:spacing w:val="-10"/>
                <w:w w:val="105"/>
                <w:sz w:val="18"/>
              </w:rPr>
              <w:t> </w:t>
            </w:r>
            <w:r>
              <w:rPr>
                <w:color w:val="231F20"/>
                <w:w w:val="105"/>
                <w:sz w:val="18"/>
              </w:rPr>
              <w:t>administrativo</w:t>
            </w:r>
            <w:r>
              <w:rPr>
                <w:color w:val="231F20"/>
                <w:spacing w:val="-10"/>
                <w:w w:val="105"/>
                <w:sz w:val="18"/>
              </w:rPr>
              <w:t> </w:t>
            </w:r>
            <w:r>
              <w:rPr>
                <w:color w:val="231F20"/>
                <w:w w:val="105"/>
                <w:sz w:val="18"/>
              </w:rPr>
              <w:t>industrial.</w:t>
            </w:r>
          </w:p>
          <w:p>
            <w:pPr>
              <w:pStyle w:val="TableParagraph"/>
              <w:numPr>
                <w:ilvl w:val="0"/>
                <w:numId w:val="22"/>
              </w:numPr>
              <w:tabs>
                <w:tab w:pos="220" w:val="left" w:leader="none"/>
              </w:tabs>
              <w:spacing w:line="249" w:lineRule="auto" w:before="9" w:after="0"/>
              <w:ind w:left="219" w:right="75" w:hanging="142"/>
              <w:jc w:val="both"/>
              <w:rPr>
                <w:sz w:val="18"/>
              </w:rPr>
            </w:pPr>
            <w:r>
              <w:rPr>
                <w:color w:val="231F20"/>
                <w:w w:val="105"/>
                <w:sz w:val="18"/>
              </w:rPr>
              <w:t>Condiciones de demanda: el crecimiento territorial depende de la demanda ex- terior,</w:t>
            </w:r>
            <w:r>
              <w:rPr>
                <w:color w:val="231F20"/>
                <w:spacing w:val="-21"/>
                <w:w w:val="105"/>
                <w:sz w:val="18"/>
              </w:rPr>
              <w:t> </w:t>
            </w:r>
            <w:r>
              <w:rPr>
                <w:color w:val="231F20"/>
                <w:w w:val="105"/>
                <w:sz w:val="18"/>
              </w:rPr>
              <w:t>no</w:t>
            </w:r>
            <w:r>
              <w:rPr>
                <w:color w:val="231F20"/>
                <w:spacing w:val="-16"/>
                <w:w w:val="105"/>
                <w:sz w:val="18"/>
              </w:rPr>
              <w:t> </w:t>
            </w:r>
            <w:r>
              <w:rPr>
                <w:color w:val="231F20"/>
                <w:w w:val="105"/>
                <w:sz w:val="18"/>
              </w:rPr>
              <w:t>considera</w:t>
            </w:r>
            <w:r>
              <w:rPr>
                <w:color w:val="231F20"/>
                <w:spacing w:val="-16"/>
                <w:w w:val="105"/>
                <w:sz w:val="18"/>
              </w:rPr>
              <w:t> </w:t>
            </w:r>
            <w:r>
              <w:rPr>
                <w:color w:val="231F20"/>
                <w:w w:val="105"/>
                <w:sz w:val="18"/>
              </w:rPr>
              <w:t>factores</w:t>
            </w:r>
            <w:r>
              <w:rPr>
                <w:color w:val="231F20"/>
                <w:spacing w:val="-16"/>
                <w:w w:val="105"/>
                <w:sz w:val="18"/>
              </w:rPr>
              <w:t> </w:t>
            </w:r>
            <w:r>
              <w:rPr>
                <w:color w:val="231F20"/>
                <w:w w:val="105"/>
                <w:sz w:val="18"/>
              </w:rPr>
              <w:t>endógenos.</w:t>
            </w:r>
          </w:p>
          <w:p>
            <w:pPr>
              <w:pStyle w:val="TableParagraph"/>
              <w:numPr>
                <w:ilvl w:val="0"/>
                <w:numId w:val="22"/>
              </w:numPr>
              <w:tabs>
                <w:tab w:pos="220" w:val="left" w:leader="none"/>
              </w:tabs>
              <w:spacing w:line="249" w:lineRule="auto" w:before="1" w:after="0"/>
              <w:ind w:left="219" w:right="76" w:hanging="142"/>
              <w:jc w:val="both"/>
              <w:rPr>
                <w:sz w:val="18"/>
              </w:rPr>
            </w:pPr>
            <w:r>
              <w:rPr>
                <w:color w:val="231F20"/>
                <w:w w:val="105"/>
                <w:sz w:val="18"/>
              </w:rPr>
              <w:t>Postulados orientados a la oferta: disponibilidad de insumos como determinan- tes del</w:t>
            </w:r>
            <w:r>
              <w:rPr>
                <w:color w:val="231F20"/>
                <w:spacing w:val="-25"/>
                <w:w w:val="105"/>
                <w:sz w:val="18"/>
              </w:rPr>
              <w:t> </w:t>
            </w:r>
            <w:r>
              <w:rPr>
                <w:color w:val="231F20"/>
                <w:w w:val="105"/>
                <w:sz w:val="18"/>
              </w:rPr>
              <w:t>crecimiento.</w:t>
            </w:r>
          </w:p>
          <w:p>
            <w:pPr>
              <w:pStyle w:val="TableParagraph"/>
              <w:numPr>
                <w:ilvl w:val="0"/>
                <w:numId w:val="22"/>
              </w:numPr>
              <w:tabs>
                <w:tab w:pos="220" w:val="left" w:leader="none"/>
              </w:tabs>
              <w:spacing w:line="249" w:lineRule="auto" w:before="1" w:after="0"/>
              <w:ind w:left="219" w:right="75" w:hanging="142"/>
              <w:jc w:val="both"/>
              <w:rPr>
                <w:sz w:val="18"/>
              </w:rPr>
            </w:pPr>
            <w:r>
              <w:rPr>
                <w:color w:val="231F20"/>
                <w:w w:val="105"/>
                <w:sz w:val="18"/>
              </w:rPr>
              <w:t>Incorporación del territorio espacial mediante movilidad de factores y flujos fi- nancieros.</w:t>
            </w:r>
          </w:p>
          <w:p>
            <w:pPr>
              <w:pStyle w:val="TableParagraph"/>
              <w:numPr>
                <w:ilvl w:val="0"/>
                <w:numId w:val="22"/>
              </w:numPr>
              <w:tabs>
                <w:tab w:pos="220" w:val="left" w:leader="none"/>
              </w:tabs>
              <w:spacing w:line="240" w:lineRule="auto" w:before="1" w:after="0"/>
              <w:ind w:left="219" w:right="0" w:hanging="142"/>
              <w:jc w:val="left"/>
              <w:rPr>
                <w:sz w:val="18"/>
              </w:rPr>
            </w:pPr>
            <w:r>
              <w:rPr>
                <w:color w:val="231F20"/>
                <w:w w:val="105"/>
                <w:sz w:val="18"/>
              </w:rPr>
              <w:t>La</w:t>
            </w:r>
            <w:r>
              <w:rPr>
                <w:color w:val="231F20"/>
                <w:spacing w:val="-18"/>
                <w:w w:val="105"/>
                <w:sz w:val="18"/>
              </w:rPr>
              <w:t> </w:t>
            </w:r>
            <w:r>
              <w:rPr>
                <w:color w:val="231F20"/>
                <w:w w:val="105"/>
                <w:sz w:val="18"/>
              </w:rPr>
              <w:t>ventaja</w:t>
            </w:r>
            <w:r>
              <w:rPr>
                <w:color w:val="231F20"/>
                <w:spacing w:val="-18"/>
                <w:w w:val="105"/>
                <w:sz w:val="18"/>
              </w:rPr>
              <w:t> </w:t>
            </w:r>
            <w:r>
              <w:rPr>
                <w:color w:val="231F20"/>
                <w:w w:val="105"/>
                <w:sz w:val="18"/>
              </w:rPr>
              <w:t>comparativa</w:t>
            </w:r>
            <w:r>
              <w:rPr>
                <w:color w:val="231F20"/>
                <w:spacing w:val="-18"/>
                <w:w w:val="105"/>
                <w:sz w:val="18"/>
              </w:rPr>
              <w:t> </w:t>
            </w:r>
            <w:r>
              <w:rPr>
                <w:color w:val="231F20"/>
                <w:w w:val="105"/>
                <w:sz w:val="18"/>
              </w:rPr>
              <w:t>se</w:t>
            </w:r>
            <w:r>
              <w:rPr>
                <w:color w:val="231F20"/>
                <w:spacing w:val="-18"/>
                <w:w w:val="105"/>
                <w:sz w:val="18"/>
              </w:rPr>
              <w:t> </w:t>
            </w:r>
            <w:r>
              <w:rPr>
                <w:color w:val="231F20"/>
                <w:w w:val="105"/>
                <w:sz w:val="18"/>
              </w:rPr>
              <w:t>logra</w:t>
            </w:r>
            <w:r>
              <w:rPr>
                <w:color w:val="231F20"/>
                <w:spacing w:val="-18"/>
                <w:w w:val="105"/>
                <w:sz w:val="18"/>
              </w:rPr>
              <w:t> </w:t>
            </w:r>
            <w:r>
              <w:rPr>
                <w:color w:val="231F20"/>
                <w:w w:val="105"/>
                <w:sz w:val="18"/>
              </w:rPr>
              <w:t>por</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productividad</w:t>
            </w:r>
            <w:r>
              <w:rPr>
                <w:color w:val="231F20"/>
                <w:spacing w:val="-18"/>
                <w:w w:val="105"/>
                <w:sz w:val="18"/>
              </w:rPr>
              <w:t> </w:t>
            </w:r>
            <w:r>
              <w:rPr>
                <w:color w:val="231F20"/>
                <w:w w:val="105"/>
                <w:sz w:val="18"/>
              </w:rPr>
              <w:t>y</w:t>
            </w:r>
            <w:r>
              <w:rPr>
                <w:color w:val="231F20"/>
                <w:spacing w:val="-18"/>
                <w:w w:val="105"/>
                <w:sz w:val="18"/>
              </w:rPr>
              <w:t> </w:t>
            </w:r>
            <w:r>
              <w:rPr>
                <w:color w:val="231F20"/>
                <w:w w:val="105"/>
                <w:sz w:val="18"/>
              </w:rPr>
              <w:t>salarios</w:t>
            </w:r>
            <w:r>
              <w:rPr>
                <w:color w:val="231F20"/>
                <w:spacing w:val="-18"/>
                <w:w w:val="105"/>
                <w:sz w:val="18"/>
              </w:rPr>
              <w:t> </w:t>
            </w:r>
            <w:r>
              <w:rPr>
                <w:color w:val="231F20"/>
                <w:w w:val="105"/>
                <w:sz w:val="18"/>
              </w:rPr>
              <w:t>relativos.</w:t>
            </w:r>
          </w:p>
        </w:tc>
      </w:tr>
      <w:tr>
        <w:trPr>
          <w:trHeight w:val="340" w:hRule="exact"/>
        </w:trPr>
        <w:tc>
          <w:tcPr>
            <w:tcW w:w="6912" w:type="dxa"/>
          </w:tcPr>
          <w:p>
            <w:pPr>
              <w:pStyle w:val="TableParagraph"/>
              <w:spacing w:before="88"/>
              <w:ind w:left="1228" w:right="1228"/>
              <w:jc w:val="center"/>
              <w:rPr>
                <w:sz w:val="18"/>
              </w:rPr>
            </w:pPr>
            <w:r>
              <w:rPr>
                <w:color w:val="231F20"/>
                <w:w w:val="105"/>
                <w:sz w:val="18"/>
              </w:rPr>
              <w:t>Determinantes de la competitividad micro</w:t>
            </w:r>
          </w:p>
        </w:tc>
      </w:tr>
      <w:tr>
        <w:trPr>
          <w:trHeight w:val="1636" w:hRule="exact"/>
        </w:trPr>
        <w:tc>
          <w:tcPr>
            <w:tcW w:w="6912" w:type="dxa"/>
          </w:tcPr>
          <w:p>
            <w:pPr>
              <w:pStyle w:val="TableParagraph"/>
              <w:numPr>
                <w:ilvl w:val="0"/>
                <w:numId w:val="23"/>
              </w:numPr>
              <w:tabs>
                <w:tab w:pos="220" w:val="left" w:leader="none"/>
              </w:tabs>
              <w:spacing w:line="240" w:lineRule="auto" w:before="88" w:after="0"/>
              <w:ind w:left="219" w:right="0" w:hanging="142"/>
              <w:jc w:val="left"/>
              <w:rPr>
                <w:sz w:val="18"/>
              </w:rPr>
            </w:pPr>
            <w:r>
              <w:rPr>
                <w:color w:val="231F20"/>
                <w:w w:val="105"/>
                <w:sz w:val="18"/>
              </w:rPr>
              <w:t>Manejar</w:t>
            </w:r>
            <w:r>
              <w:rPr>
                <w:color w:val="231F20"/>
                <w:spacing w:val="-17"/>
                <w:w w:val="105"/>
                <w:sz w:val="18"/>
              </w:rPr>
              <w:t> </w:t>
            </w:r>
            <w:r>
              <w:rPr>
                <w:color w:val="231F20"/>
                <w:w w:val="105"/>
                <w:sz w:val="18"/>
              </w:rPr>
              <w:t>exitosamente</w:t>
            </w:r>
            <w:r>
              <w:rPr>
                <w:color w:val="231F20"/>
                <w:spacing w:val="-17"/>
                <w:w w:val="105"/>
                <w:sz w:val="18"/>
              </w:rPr>
              <w:t> </w:t>
            </w:r>
            <w:r>
              <w:rPr>
                <w:color w:val="231F20"/>
                <w:w w:val="105"/>
                <w:sz w:val="18"/>
              </w:rPr>
              <w:t>los</w:t>
            </w:r>
            <w:r>
              <w:rPr>
                <w:color w:val="231F20"/>
                <w:spacing w:val="-17"/>
                <w:w w:val="105"/>
                <w:sz w:val="18"/>
              </w:rPr>
              <w:t> </w:t>
            </w:r>
            <w:r>
              <w:rPr>
                <w:color w:val="231F20"/>
                <w:w w:val="105"/>
                <w:sz w:val="18"/>
              </w:rPr>
              <w:t>flujos</w:t>
            </w:r>
            <w:r>
              <w:rPr>
                <w:color w:val="231F20"/>
                <w:spacing w:val="-17"/>
                <w:w w:val="105"/>
                <w:sz w:val="18"/>
              </w:rPr>
              <w:t> </w:t>
            </w:r>
            <w:r>
              <w:rPr>
                <w:color w:val="231F20"/>
                <w:w w:val="105"/>
                <w:sz w:val="18"/>
              </w:rPr>
              <w:t>de</w:t>
            </w:r>
            <w:r>
              <w:rPr>
                <w:color w:val="231F20"/>
                <w:spacing w:val="-17"/>
                <w:w w:val="105"/>
                <w:sz w:val="18"/>
              </w:rPr>
              <w:t> </w:t>
            </w:r>
            <w:r>
              <w:rPr>
                <w:color w:val="231F20"/>
                <w:w w:val="105"/>
                <w:sz w:val="18"/>
              </w:rPr>
              <w:t>producción,</w:t>
            </w:r>
            <w:r>
              <w:rPr>
                <w:color w:val="231F20"/>
                <w:spacing w:val="-22"/>
                <w:w w:val="105"/>
                <w:sz w:val="18"/>
              </w:rPr>
              <w:t> </w:t>
            </w:r>
            <w:r>
              <w:rPr>
                <w:color w:val="231F20"/>
                <w:w w:val="105"/>
                <w:sz w:val="18"/>
              </w:rPr>
              <w:t>materias</w:t>
            </w:r>
            <w:r>
              <w:rPr>
                <w:color w:val="231F20"/>
                <w:spacing w:val="-17"/>
                <w:w w:val="105"/>
                <w:sz w:val="18"/>
              </w:rPr>
              <w:t> </w:t>
            </w:r>
            <w:r>
              <w:rPr>
                <w:color w:val="231F20"/>
                <w:w w:val="105"/>
                <w:sz w:val="18"/>
              </w:rPr>
              <w:t>primas</w:t>
            </w:r>
            <w:r>
              <w:rPr>
                <w:color w:val="231F20"/>
                <w:spacing w:val="-17"/>
                <w:w w:val="105"/>
                <w:sz w:val="18"/>
              </w:rPr>
              <w:t> </w:t>
            </w:r>
            <w:r>
              <w:rPr>
                <w:color w:val="231F20"/>
                <w:w w:val="105"/>
                <w:sz w:val="18"/>
              </w:rPr>
              <w:t>e</w:t>
            </w:r>
            <w:r>
              <w:rPr>
                <w:color w:val="231F20"/>
                <w:spacing w:val="-17"/>
                <w:w w:val="105"/>
                <w:sz w:val="18"/>
              </w:rPr>
              <w:t> </w:t>
            </w:r>
            <w:r>
              <w:rPr>
                <w:color w:val="231F20"/>
                <w:w w:val="105"/>
                <w:sz w:val="18"/>
              </w:rPr>
              <w:t>inventarios.</w:t>
            </w:r>
          </w:p>
          <w:p>
            <w:pPr>
              <w:pStyle w:val="TableParagraph"/>
              <w:numPr>
                <w:ilvl w:val="0"/>
                <w:numId w:val="23"/>
              </w:numPr>
              <w:tabs>
                <w:tab w:pos="220" w:val="left" w:leader="none"/>
              </w:tabs>
              <w:spacing w:line="249" w:lineRule="auto" w:before="9" w:after="0"/>
              <w:ind w:left="219" w:right="70" w:hanging="142"/>
              <w:jc w:val="left"/>
              <w:rPr>
                <w:sz w:val="18"/>
              </w:rPr>
            </w:pPr>
            <w:r>
              <w:rPr>
                <w:color w:val="231F20"/>
                <w:w w:val="105"/>
                <w:sz w:val="18"/>
              </w:rPr>
              <w:t>Gestionar eficientemente la planeación, la mercadotécnica, I+D formal, diseño, ingeniería y</w:t>
            </w:r>
            <w:r>
              <w:rPr>
                <w:color w:val="231F20"/>
                <w:spacing w:val="-14"/>
                <w:w w:val="105"/>
                <w:sz w:val="18"/>
              </w:rPr>
              <w:t> </w:t>
            </w:r>
            <w:r>
              <w:rPr>
                <w:color w:val="231F20"/>
                <w:w w:val="105"/>
                <w:sz w:val="18"/>
              </w:rPr>
              <w:t>producción.</w:t>
            </w:r>
          </w:p>
          <w:p>
            <w:pPr>
              <w:pStyle w:val="TableParagraph"/>
              <w:numPr>
                <w:ilvl w:val="0"/>
                <w:numId w:val="23"/>
              </w:numPr>
              <w:tabs>
                <w:tab w:pos="220" w:val="left" w:leader="none"/>
              </w:tabs>
              <w:spacing w:line="240" w:lineRule="auto" w:before="1" w:after="0"/>
              <w:ind w:left="219" w:right="0" w:hanging="142"/>
              <w:jc w:val="left"/>
              <w:rPr>
                <w:sz w:val="18"/>
              </w:rPr>
            </w:pPr>
            <w:r>
              <w:rPr>
                <w:color w:val="231F20"/>
                <w:w w:val="105"/>
                <w:sz w:val="18"/>
              </w:rPr>
              <w:t>Vincular</w:t>
            </w:r>
            <w:r>
              <w:rPr>
                <w:color w:val="231F20"/>
                <w:spacing w:val="-20"/>
                <w:w w:val="105"/>
                <w:sz w:val="18"/>
              </w:rPr>
              <w:t> </w:t>
            </w:r>
            <w:r>
              <w:rPr>
                <w:color w:val="231F20"/>
                <w:w w:val="105"/>
                <w:sz w:val="18"/>
              </w:rPr>
              <w:t>actividades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I+D</w:t>
            </w:r>
            <w:r>
              <w:rPr>
                <w:color w:val="231F20"/>
                <w:spacing w:val="-20"/>
                <w:w w:val="105"/>
                <w:sz w:val="18"/>
              </w:rPr>
              <w:t> </w:t>
            </w:r>
            <w:r>
              <w:rPr>
                <w:color w:val="231F20"/>
                <w:w w:val="105"/>
                <w:sz w:val="18"/>
              </w:rPr>
              <w:t>e</w:t>
            </w:r>
            <w:r>
              <w:rPr>
                <w:color w:val="231F20"/>
                <w:spacing w:val="-20"/>
                <w:w w:val="105"/>
                <w:sz w:val="18"/>
              </w:rPr>
              <w:t> </w:t>
            </w:r>
            <w:r>
              <w:rPr>
                <w:color w:val="231F20"/>
                <w:w w:val="105"/>
                <w:sz w:val="18"/>
              </w:rPr>
              <w:t>innovación</w:t>
            </w:r>
            <w:r>
              <w:rPr>
                <w:color w:val="231F20"/>
                <w:spacing w:val="-20"/>
                <w:w w:val="105"/>
                <w:sz w:val="18"/>
              </w:rPr>
              <w:t> </w:t>
            </w:r>
            <w:r>
              <w:rPr>
                <w:color w:val="231F20"/>
                <w:w w:val="105"/>
                <w:sz w:val="18"/>
              </w:rPr>
              <w:t>con</w:t>
            </w:r>
            <w:r>
              <w:rPr>
                <w:color w:val="231F20"/>
                <w:spacing w:val="-20"/>
                <w:w w:val="105"/>
                <w:sz w:val="18"/>
              </w:rPr>
              <w:t> </w:t>
            </w:r>
            <w:r>
              <w:rPr>
                <w:color w:val="231F20"/>
                <w:w w:val="105"/>
                <w:sz w:val="18"/>
              </w:rPr>
              <w:t>universidades</w:t>
            </w:r>
            <w:r>
              <w:rPr>
                <w:color w:val="231F20"/>
                <w:spacing w:val="-20"/>
                <w:w w:val="105"/>
                <w:sz w:val="18"/>
              </w:rPr>
              <w:t> </w:t>
            </w:r>
            <w:r>
              <w:rPr>
                <w:color w:val="231F20"/>
                <w:w w:val="105"/>
                <w:sz w:val="18"/>
              </w:rPr>
              <w:t>y</w:t>
            </w:r>
            <w:r>
              <w:rPr>
                <w:color w:val="231F20"/>
                <w:spacing w:val="-20"/>
                <w:w w:val="105"/>
                <w:sz w:val="18"/>
              </w:rPr>
              <w:t> </w:t>
            </w:r>
            <w:r>
              <w:rPr>
                <w:color w:val="231F20"/>
                <w:w w:val="105"/>
                <w:sz w:val="18"/>
              </w:rPr>
              <w:t>otras</w:t>
            </w:r>
            <w:r>
              <w:rPr>
                <w:color w:val="231F20"/>
                <w:spacing w:val="-20"/>
                <w:w w:val="105"/>
                <w:sz w:val="18"/>
              </w:rPr>
              <w:t> </w:t>
            </w:r>
            <w:r>
              <w:rPr>
                <w:color w:val="231F20"/>
                <w:w w:val="105"/>
                <w:sz w:val="18"/>
              </w:rPr>
              <w:t>empresas.</w:t>
            </w:r>
          </w:p>
          <w:p>
            <w:pPr>
              <w:pStyle w:val="TableParagraph"/>
              <w:numPr>
                <w:ilvl w:val="0"/>
                <w:numId w:val="23"/>
              </w:numPr>
              <w:tabs>
                <w:tab w:pos="220" w:val="left" w:leader="none"/>
              </w:tabs>
              <w:spacing w:line="240" w:lineRule="auto" w:before="9" w:after="0"/>
              <w:ind w:left="219" w:right="0" w:hanging="142"/>
              <w:jc w:val="left"/>
              <w:rPr>
                <w:sz w:val="18"/>
              </w:rPr>
            </w:pPr>
            <w:r>
              <w:rPr>
                <w:color w:val="231F20"/>
                <w:w w:val="105"/>
                <w:sz w:val="18"/>
              </w:rPr>
              <w:t>Definir</w:t>
            </w:r>
            <w:r>
              <w:rPr>
                <w:color w:val="231F20"/>
                <w:spacing w:val="-11"/>
                <w:w w:val="105"/>
                <w:sz w:val="18"/>
              </w:rPr>
              <w:t> </w:t>
            </w:r>
            <w:r>
              <w:rPr>
                <w:color w:val="231F20"/>
                <w:w w:val="105"/>
                <w:sz w:val="18"/>
              </w:rPr>
              <w:t>demanda</w:t>
            </w:r>
            <w:r>
              <w:rPr>
                <w:color w:val="231F20"/>
                <w:spacing w:val="-11"/>
                <w:w w:val="105"/>
                <w:sz w:val="18"/>
              </w:rPr>
              <w:t> </w:t>
            </w:r>
            <w:r>
              <w:rPr>
                <w:color w:val="231F20"/>
                <w:w w:val="105"/>
                <w:sz w:val="18"/>
              </w:rPr>
              <w:t>y</w:t>
            </w:r>
            <w:r>
              <w:rPr>
                <w:color w:val="231F20"/>
                <w:spacing w:val="-11"/>
                <w:w w:val="105"/>
                <w:sz w:val="18"/>
              </w:rPr>
              <w:t> </w:t>
            </w:r>
            <w:r>
              <w:rPr>
                <w:color w:val="231F20"/>
                <w:w w:val="105"/>
                <w:sz w:val="18"/>
              </w:rPr>
              <w:t>estrategias</w:t>
            </w:r>
            <w:r>
              <w:rPr>
                <w:color w:val="231F20"/>
                <w:spacing w:val="-11"/>
                <w:w w:val="105"/>
                <w:sz w:val="18"/>
              </w:rPr>
              <w:t> </w:t>
            </w:r>
            <w:r>
              <w:rPr>
                <w:color w:val="231F20"/>
                <w:w w:val="105"/>
                <w:sz w:val="18"/>
              </w:rPr>
              <w:t>de</w:t>
            </w:r>
            <w:r>
              <w:rPr>
                <w:color w:val="231F20"/>
                <w:spacing w:val="-11"/>
                <w:w w:val="105"/>
                <w:sz w:val="18"/>
              </w:rPr>
              <w:t> </w:t>
            </w:r>
            <w:r>
              <w:rPr>
                <w:color w:val="231F20"/>
                <w:w w:val="105"/>
                <w:sz w:val="18"/>
              </w:rPr>
              <w:t>diseño</w:t>
            </w:r>
            <w:r>
              <w:rPr>
                <w:color w:val="231F20"/>
                <w:spacing w:val="-11"/>
                <w:w w:val="105"/>
                <w:sz w:val="18"/>
              </w:rPr>
              <w:t> </w:t>
            </w:r>
            <w:r>
              <w:rPr>
                <w:color w:val="231F20"/>
                <w:w w:val="105"/>
                <w:sz w:val="18"/>
              </w:rPr>
              <w:t>y</w:t>
            </w:r>
            <w:r>
              <w:rPr>
                <w:color w:val="231F20"/>
                <w:spacing w:val="-11"/>
                <w:w w:val="105"/>
                <w:sz w:val="18"/>
              </w:rPr>
              <w:t> </w:t>
            </w:r>
            <w:r>
              <w:rPr>
                <w:color w:val="231F20"/>
                <w:w w:val="105"/>
                <w:sz w:val="18"/>
              </w:rPr>
              <w:t>producción.</w:t>
            </w:r>
          </w:p>
          <w:p>
            <w:pPr>
              <w:pStyle w:val="TableParagraph"/>
              <w:numPr>
                <w:ilvl w:val="0"/>
                <w:numId w:val="23"/>
              </w:numPr>
              <w:tabs>
                <w:tab w:pos="220" w:val="left" w:leader="none"/>
              </w:tabs>
              <w:spacing w:line="240" w:lineRule="auto" w:before="9" w:after="0"/>
              <w:ind w:left="219" w:right="0" w:hanging="142"/>
              <w:jc w:val="left"/>
              <w:rPr>
                <w:sz w:val="18"/>
              </w:rPr>
            </w:pPr>
            <w:r>
              <w:rPr>
                <w:color w:val="231F20"/>
                <w:sz w:val="18"/>
              </w:rPr>
              <w:t>Organizar relaciones inter empresariales exitosas con proveedores y  </w:t>
            </w:r>
            <w:r>
              <w:rPr>
                <w:color w:val="231F20"/>
                <w:spacing w:val="13"/>
                <w:sz w:val="18"/>
              </w:rPr>
              <w:t> </w:t>
            </w:r>
            <w:r>
              <w:rPr>
                <w:color w:val="231F20"/>
                <w:sz w:val="18"/>
              </w:rPr>
              <w:t>clientes.</w:t>
            </w:r>
          </w:p>
          <w:p>
            <w:pPr>
              <w:pStyle w:val="TableParagraph"/>
              <w:numPr>
                <w:ilvl w:val="0"/>
                <w:numId w:val="23"/>
              </w:numPr>
              <w:tabs>
                <w:tab w:pos="220" w:val="left" w:leader="none"/>
              </w:tabs>
              <w:spacing w:line="240" w:lineRule="auto" w:before="9" w:after="0"/>
              <w:ind w:left="219" w:right="0" w:hanging="142"/>
              <w:jc w:val="left"/>
              <w:rPr>
                <w:sz w:val="18"/>
              </w:rPr>
            </w:pPr>
            <w:r>
              <w:rPr>
                <w:color w:val="231F20"/>
                <w:spacing w:val="-3"/>
                <w:w w:val="105"/>
                <w:sz w:val="18"/>
              </w:rPr>
              <w:t>Entrenamiento</w:t>
            </w:r>
            <w:r>
              <w:rPr>
                <w:color w:val="231F20"/>
                <w:spacing w:val="-24"/>
                <w:w w:val="105"/>
                <w:sz w:val="18"/>
              </w:rPr>
              <w:t> </w:t>
            </w:r>
            <w:r>
              <w:rPr>
                <w:color w:val="231F20"/>
                <w:spacing w:val="-3"/>
                <w:w w:val="105"/>
                <w:sz w:val="18"/>
              </w:rPr>
              <w:t>especializado</w:t>
            </w:r>
            <w:r>
              <w:rPr>
                <w:color w:val="231F20"/>
                <w:spacing w:val="-24"/>
                <w:w w:val="105"/>
                <w:sz w:val="18"/>
              </w:rPr>
              <w:t> </w:t>
            </w:r>
            <w:r>
              <w:rPr>
                <w:color w:val="231F20"/>
                <w:w w:val="105"/>
                <w:sz w:val="18"/>
              </w:rPr>
              <w:t>y</w:t>
            </w:r>
            <w:r>
              <w:rPr>
                <w:color w:val="231F20"/>
                <w:spacing w:val="-24"/>
                <w:w w:val="105"/>
                <w:sz w:val="18"/>
              </w:rPr>
              <w:t> </w:t>
            </w:r>
            <w:r>
              <w:rPr>
                <w:color w:val="231F20"/>
                <w:spacing w:val="-3"/>
                <w:w w:val="105"/>
                <w:sz w:val="18"/>
              </w:rPr>
              <w:t>alta</w:t>
            </w:r>
            <w:r>
              <w:rPr>
                <w:color w:val="231F20"/>
                <w:spacing w:val="-24"/>
                <w:w w:val="105"/>
                <w:sz w:val="18"/>
              </w:rPr>
              <w:t> </w:t>
            </w:r>
            <w:r>
              <w:rPr>
                <w:color w:val="231F20"/>
                <w:spacing w:val="-3"/>
                <w:w w:val="105"/>
                <w:sz w:val="18"/>
              </w:rPr>
              <w:t>responsabilidad</w:t>
            </w:r>
            <w:r>
              <w:rPr>
                <w:color w:val="231F20"/>
                <w:spacing w:val="-24"/>
                <w:w w:val="105"/>
                <w:sz w:val="18"/>
              </w:rPr>
              <w:t> </w:t>
            </w:r>
            <w:r>
              <w:rPr>
                <w:color w:val="231F20"/>
                <w:w w:val="105"/>
                <w:sz w:val="18"/>
              </w:rPr>
              <w:t>del</w:t>
            </w:r>
            <w:r>
              <w:rPr>
                <w:color w:val="231F20"/>
                <w:spacing w:val="-24"/>
                <w:w w:val="105"/>
                <w:sz w:val="18"/>
              </w:rPr>
              <w:t> </w:t>
            </w:r>
            <w:r>
              <w:rPr>
                <w:color w:val="231F20"/>
                <w:spacing w:val="-3"/>
                <w:w w:val="105"/>
                <w:sz w:val="18"/>
              </w:rPr>
              <w:t>trabajador</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la</w:t>
            </w:r>
            <w:r>
              <w:rPr>
                <w:color w:val="231F20"/>
                <w:spacing w:val="-24"/>
                <w:w w:val="105"/>
                <w:sz w:val="18"/>
              </w:rPr>
              <w:t> </w:t>
            </w:r>
            <w:r>
              <w:rPr>
                <w:color w:val="231F20"/>
                <w:spacing w:val="-4"/>
                <w:w w:val="105"/>
                <w:sz w:val="18"/>
              </w:rPr>
              <w:t>producción.</w:t>
            </w:r>
          </w:p>
        </w:tc>
      </w:tr>
    </w:tbl>
    <w:p>
      <w:pPr>
        <w:spacing w:before="18"/>
        <w:ind w:left="115" w:right="0" w:firstLine="0"/>
        <w:jc w:val="left"/>
        <w:rPr>
          <w:sz w:val="16"/>
        </w:rPr>
      </w:pPr>
      <w:r>
        <w:rPr>
          <w:color w:val="231F20"/>
          <w:spacing w:val="-4"/>
          <w:w w:val="105"/>
          <w:sz w:val="16"/>
        </w:rPr>
        <w:t>Fuente:</w:t>
      </w:r>
      <w:r>
        <w:rPr>
          <w:color w:val="231F20"/>
          <w:spacing w:val="-23"/>
          <w:w w:val="105"/>
          <w:sz w:val="16"/>
        </w:rPr>
        <w:t> </w:t>
      </w:r>
      <w:r>
        <w:rPr>
          <w:color w:val="231F20"/>
          <w:spacing w:val="-3"/>
          <w:w w:val="105"/>
          <w:sz w:val="16"/>
        </w:rPr>
        <w:t>Elaboración</w:t>
      </w:r>
      <w:r>
        <w:rPr>
          <w:color w:val="231F20"/>
          <w:spacing w:val="-23"/>
          <w:w w:val="105"/>
          <w:sz w:val="16"/>
        </w:rPr>
        <w:t> </w:t>
      </w:r>
      <w:r>
        <w:rPr>
          <w:color w:val="231F20"/>
          <w:spacing w:val="-3"/>
          <w:w w:val="105"/>
          <w:sz w:val="16"/>
        </w:rPr>
        <w:t>propia</w:t>
      </w:r>
      <w:r>
        <w:rPr>
          <w:color w:val="231F20"/>
          <w:spacing w:val="-23"/>
          <w:w w:val="105"/>
          <w:sz w:val="16"/>
        </w:rPr>
        <w:t> </w:t>
      </w:r>
      <w:r>
        <w:rPr>
          <w:color w:val="231F20"/>
          <w:w w:val="105"/>
          <w:sz w:val="16"/>
        </w:rPr>
        <w:t>a</w:t>
      </w:r>
      <w:r>
        <w:rPr>
          <w:color w:val="231F20"/>
          <w:spacing w:val="-23"/>
          <w:w w:val="105"/>
          <w:sz w:val="16"/>
        </w:rPr>
        <w:t> </w:t>
      </w:r>
      <w:r>
        <w:rPr>
          <w:color w:val="231F20"/>
          <w:spacing w:val="-3"/>
          <w:w w:val="105"/>
          <w:sz w:val="16"/>
        </w:rPr>
        <w:t>partir</w:t>
      </w:r>
      <w:r>
        <w:rPr>
          <w:color w:val="231F20"/>
          <w:spacing w:val="-23"/>
          <w:w w:val="105"/>
          <w:sz w:val="16"/>
        </w:rPr>
        <w:t> </w:t>
      </w:r>
      <w:r>
        <w:rPr>
          <w:color w:val="231F20"/>
          <w:w w:val="105"/>
          <w:sz w:val="16"/>
        </w:rPr>
        <w:t>de</w:t>
      </w:r>
      <w:r>
        <w:rPr>
          <w:color w:val="231F20"/>
          <w:spacing w:val="-23"/>
          <w:w w:val="105"/>
          <w:sz w:val="16"/>
        </w:rPr>
        <w:t> </w:t>
      </w:r>
      <w:r>
        <w:rPr>
          <w:color w:val="231F20"/>
          <w:spacing w:val="-3"/>
          <w:w w:val="105"/>
          <w:sz w:val="16"/>
        </w:rPr>
        <w:t>Buckley</w:t>
      </w:r>
      <w:r>
        <w:rPr>
          <w:color w:val="231F20"/>
          <w:spacing w:val="-23"/>
          <w:w w:val="105"/>
          <w:sz w:val="16"/>
        </w:rPr>
        <w:t> </w:t>
      </w:r>
      <w:r>
        <w:rPr>
          <w:i/>
          <w:color w:val="231F20"/>
          <w:w w:val="105"/>
          <w:sz w:val="16"/>
        </w:rPr>
        <w:t>et</w:t>
      </w:r>
      <w:r>
        <w:rPr>
          <w:i/>
          <w:color w:val="231F20"/>
          <w:spacing w:val="-23"/>
          <w:w w:val="105"/>
          <w:sz w:val="16"/>
        </w:rPr>
        <w:t> </w:t>
      </w:r>
      <w:r>
        <w:rPr>
          <w:i/>
          <w:color w:val="231F20"/>
          <w:spacing w:val="-3"/>
          <w:w w:val="105"/>
          <w:sz w:val="16"/>
        </w:rPr>
        <w:t>al</w:t>
      </w:r>
      <w:r>
        <w:rPr>
          <w:color w:val="231F20"/>
          <w:spacing w:val="-3"/>
          <w:w w:val="105"/>
          <w:sz w:val="16"/>
        </w:rPr>
        <w:t>.,</w:t>
      </w:r>
      <w:r>
        <w:rPr>
          <w:color w:val="231F20"/>
          <w:spacing w:val="-26"/>
          <w:w w:val="105"/>
          <w:sz w:val="16"/>
        </w:rPr>
        <w:t> </w:t>
      </w:r>
      <w:r>
        <w:rPr>
          <w:color w:val="231F20"/>
          <w:spacing w:val="-3"/>
          <w:w w:val="105"/>
          <w:sz w:val="16"/>
        </w:rPr>
        <w:t>1988;</w:t>
      </w:r>
      <w:r>
        <w:rPr>
          <w:color w:val="231F20"/>
          <w:spacing w:val="-23"/>
          <w:w w:val="105"/>
          <w:sz w:val="16"/>
        </w:rPr>
        <w:t> </w:t>
      </w:r>
      <w:r>
        <w:rPr>
          <w:color w:val="231F20"/>
          <w:spacing w:val="-3"/>
          <w:w w:val="105"/>
          <w:sz w:val="16"/>
        </w:rPr>
        <w:t>OCDE,</w:t>
      </w:r>
      <w:r>
        <w:rPr>
          <w:color w:val="231F20"/>
          <w:spacing w:val="-26"/>
          <w:w w:val="105"/>
          <w:sz w:val="16"/>
        </w:rPr>
        <w:t> </w:t>
      </w:r>
      <w:r>
        <w:rPr>
          <w:color w:val="231F20"/>
          <w:spacing w:val="-3"/>
          <w:w w:val="105"/>
          <w:sz w:val="16"/>
        </w:rPr>
        <w:t>1996;</w:t>
      </w:r>
      <w:r>
        <w:rPr>
          <w:color w:val="231F20"/>
          <w:spacing w:val="-23"/>
          <w:w w:val="105"/>
          <w:sz w:val="16"/>
        </w:rPr>
        <w:t> </w:t>
      </w:r>
      <w:r>
        <w:rPr>
          <w:color w:val="231F20"/>
          <w:spacing w:val="-3"/>
          <w:w w:val="105"/>
          <w:sz w:val="16"/>
        </w:rPr>
        <w:t>Sobrino,</w:t>
      </w:r>
      <w:r>
        <w:rPr>
          <w:color w:val="231F20"/>
          <w:spacing w:val="-26"/>
          <w:w w:val="105"/>
          <w:sz w:val="16"/>
        </w:rPr>
        <w:t> </w:t>
      </w:r>
      <w:r>
        <w:rPr>
          <w:color w:val="231F20"/>
          <w:spacing w:val="-3"/>
          <w:w w:val="105"/>
          <w:sz w:val="16"/>
        </w:rPr>
        <w:t>2005</w:t>
      </w:r>
      <w:r>
        <w:rPr>
          <w:color w:val="231F20"/>
          <w:spacing w:val="-23"/>
          <w:w w:val="105"/>
          <w:sz w:val="16"/>
        </w:rPr>
        <w:t> </w:t>
      </w:r>
      <w:r>
        <w:rPr>
          <w:color w:val="231F20"/>
          <w:w w:val="105"/>
          <w:sz w:val="16"/>
        </w:rPr>
        <w:t>y</w:t>
      </w:r>
      <w:r>
        <w:rPr>
          <w:color w:val="231F20"/>
          <w:spacing w:val="-25"/>
          <w:w w:val="105"/>
          <w:sz w:val="16"/>
        </w:rPr>
        <w:t> </w:t>
      </w:r>
      <w:r>
        <w:rPr>
          <w:color w:val="231F20"/>
          <w:spacing w:val="-7"/>
          <w:w w:val="105"/>
          <w:sz w:val="16"/>
        </w:rPr>
        <w:t>WEF,</w:t>
      </w:r>
      <w:r>
        <w:rPr>
          <w:color w:val="231F20"/>
          <w:spacing w:val="-26"/>
          <w:w w:val="105"/>
          <w:sz w:val="16"/>
        </w:rPr>
        <w:t> </w:t>
      </w:r>
      <w:r>
        <w:rPr>
          <w:color w:val="231F20"/>
          <w:spacing w:val="-3"/>
          <w:w w:val="105"/>
          <w:sz w:val="16"/>
        </w:rPr>
        <w:t>2007.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p>
    <w:p>
      <w:pPr>
        <w:tabs>
          <w:tab w:pos="1357" w:val="left" w:leader="none"/>
        </w:tabs>
        <w:spacing w:before="71"/>
        <w:ind w:left="307" w:right="0" w:firstLine="0"/>
        <w:jc w:val="left"/>
        <w:rPr>
          <w:rFonts w:ascii="Calibri" w:hAnsi="Calibri"/>
          <w:sz w:val="15"/>
        </w:rPr>
      </w:pPr>
      <w:r>
        <w:rPr/>
        <w:pict>
          <v:group style="position:absolute;margin-left:101.817299pt;margin-top:-16.749887pt;width:17.850pt;height:56.5pt;mso-position-horizontal-relative:page;mso-position-vertical-relative:paragraph;z-index:-24568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48</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656"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49</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spacing w:before="1"/>
        <w:rPr>
          <w:rFonts w:ascii="Lucida Sans Unicode"/>
          <w:sz w:val="31"/>
        </w:rPr>
      </w:pPr>
    </w:p>
    <w:p>
      <w:pPr>
        <w:pStyle w:val="Heading2"/>
      </w:pPr>
      <w:r>
        <w:rPr>
          <w:color w:val="231F20"/>
        </w:rPr>
        <w:t>Sobre la competitividad empresarial</w:t>
      </w:r>
    </w:p>
    <w:p>
      <w:pPr>
        <w:pStyle w:val="BodyText"/>
        <w:rPr>
          <w:b/>
          <w:sz w:val="22"/>
        </w:rPr>
      </w:pPr>
    </w:p>
    <w:p>
      <w:pPr>
        <w:pStyle w:val="BodyText"/>
        <w:spacing w:line="259" w:lineRule="auto" w:before="160"/>
        <w:ind w:left="117" w:right="121"/>
        <w:jc w:val="both"/>
      </w:pPr>
      <w:r>
        <w:rPr>
          <w:color w:val="231F20"/>
          <w:w w:val="105"/>
        </w:rPr>
        <w:t>Al</w:t>
      </w:r>
      <w:r>
        <w:rPr>
          <w:color w:val="231F20"/>
          <w:spacing w:val="-6"/>
          <w:w w:val="105"/>
        </w:rPr>
        <w:t> </w:t>
      </w:r>
      <w:r>
        <w:rPr>
          <w:color w:val="231F20"/>
          <w:w w:val="105"/>
        </w:rPr>
        <w:t>considerar</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competitividad</w:t>
      </w:r>
      <w:r>
        <w:rPr>
          <w:color w:val="231F20"/>
          <w:spacing w:val="-6"/>
          <w:w w:val="105"/>
        </w:rPr>
        <w:t> </w:t>
      </w:r>
      <w:r>
        <w:rPr>
          <w:color w:val="231F20"/>
          <w:w w:val="105"/>
        </w:rPr>
        <w:t>tiene</w:t>
      </w:r>
      <w:r>
        <w:rPr>
          <w:color w:val="231F20"/>
          <w:spacing w:val="-6"/>
          <w:w w:val="105"/>
        </w:rPr>
        <w:t> </w:t>
      </w:r>
      <w:r>
        <w:rPr>
          <w:color w:val="231F20"/>
          <w:w w:val="105"/>
        </w:rPr>
        <w:t>que</w:t>
      </w:r>
      <w:r>
        <w:rPr>
          <w:color w:val="231F20"/>
          <w:spacing w:val="-6"/>
          <w:w w:val="105"/>
        </w:rPr>
        <w:t> </w:t>
      </w:r>
      <w:r>
        <w:rPr>
          <w:color w:val="231F20"/>
          <w:w w:val="105"/>
        </w:rPr>
        <w:t>ver</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capacidad</w:t>
      </w:r>
      <w:r>
        <w:rPr>
          <w:color w:val="231F20"/>
          <w:spacing w:val="-6"/>
          <w:w w:val="105"/>
        </w:rPr>
        <w:t> </w:t>
      </w:r>
      <w:r>
        <w:rPr>
          <w:color w:val="231F20"/>
          <w:w w:val="105"/>
        </w:rPr>
        <w:t>para crear un entorno que favorece el crecimiento sostenido y la productivi- dad,</w:t>
      </w:r>
      <w:r>
        <w:rPr>
          <w:color w:val="231F20"/>
          <w:spacing w:val="-16"/>
          <w:w w:val="105"/>
        </w:rPr>
        <w:t> </w:t>
      </w:r>
      <w:r>
        <w:rPr>
          <w:color w:val="231F20"/>
          <w:w w:val="105"/>
        </w:rPr>
        <w:t>traducido</w:t>
      </w:r>
      <w:r>
        <w:rPr>
          <w:color w:val="231F20"/>
          <w:spacing w:val="-10"/>
          <w:w w:val="105"/>
        </w:rPr>
        <w:t> </w:t>
      </w:r>
      <w:r>
        <w:rPr>
          <w:color w:val="231F20"/>
          <w:w w:val="105"/>
        </w:rPr>
        <w:t>en</w:t>
      </w:r>
      <w:r>
        <w:rPr>
          <w:color w:val="231F20"/>
          <w:spacing w:val="-10"/>
          <w:w w:val="105"/>
        </w:rPr>
        <w:t> </w:t>
      </w:r>
      <w:r>
        <w:rPr>
          <w:color w:val="231F20"/>
          <w:w w:val="105"/>
        </w:rPr>
        <w:t>niveles</w:t>
      </w:r>
      <w:r>
        <w:rPr>
          <w:color w:val="231F20"/>
          <w:spacing w:val="-10"/>
          <w:w w:val="105"/>
        </w:rPr>
        <w:t> </w:t>
      </w:r>
      <w:r>
        <w:rPr>
          <w:color w:val="231F20"/>
          <w:w w:val="105"/>
        </w:rPr>
        <w:t>de</w:t>
      </w:r>
      <w:r>
        <w:rPr>
          <w:color w:val="231F20"/>
          <w:spacing w:val="-10"/>
          <w:w w:val="105"/>
        </w:rPr>
        <w:t> </w:t>
      </w:r>
      <w:r>
        <w:rPr>
          <w:color w:val="231F20"/>
          <w:w w:val="105"/>
        </w:rPr>
        <w:t>vida</w:t>
      </w:r>
      <w:r>
        <w:rPr>
          <w:color w:val="231F20"/>
          <w:spacing w:val="-10"/>
          <w:w w:val="105"/>
        </w:rPr>
        <w:t> </w:t>
      </w:r>
      <w:r>
        <w:rPr>
          <w:color w:val="231F20"/>
          <w:w w:val="105"/>
        </w:rPr>
        <w:t>más</w:t>
      </w:r>
      <w:r>
        <w:rPr>
          <w:color w:val="231F20"/>
          <w:spacing w:val="-10"/>
          <w:w w:val="105"/>
        </w:rPr>
        <w:t> </w:t>
      </w:r>
      <w:r>
        <w:rPr>
          <w:color w:val="231F20"/>
          <w:w w:val="105"/>
        </w:rPr>
        <w:t>elevados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población,</w:t>
      </w:r>
      <w:r>
        <w:rPr>
          <w:color w:val="231F20"/>
          <w:spacing w:val="-16"/>
          <w:w w:val="105"/>
        </w:rPr>
        <w:t> </w:t>
      </w:r>
      <w:r>
        <w:rPr>
          <w:color w:val="231F20"/>
          <w:w w:val="105"/>
        </w:rPr>
        <w:t>es</w:t>
      </w:r>
      <w:r>
        <w:rPr>
          <w:color w:val="231F20"/>
          <w:spacing w:val="-10"/>
          <w:w w:val="105"/>
        </w:rPr>
        <w:t> </w:t>
      </w:r>
      <w:r>
        <w:rPr>
          <w:color w:val="231F20"/>
          <w:w w:val="105"/>
        </w:rPr>
        <w:t>con- gruente su estudio desde la perspectiva de la ventaja competitiva y la teoría</w:t>
      </w:r>
      <w:r>
        <w:rPr>
          <w:color w:val="231F20"/>
          <w:spacing w:val="-42"/>
          <w:w w:val="105"/>
        </w:rPr>
        <w:t> </w:t>
      </w:r>
      <w:r>
        <w:rPr>
          <w:color w:val="231F20"/>
          <w:w w:val="105"/>
        </w:rPr>
        <w:t>de</w:t>
      </w:r>
      <w:r>
        <w:rPr>
          <w:color w:val="231F20"/>
          <w:spacing w:val="-42"/>
          <w:w w:val="105"/>
        </w:rPr>
        <w:t> </w:t>
      </w:r>
      <w:r>
        <w:rPr>
          <w:color w:val="231F20"/>
          <w:w w:val="105"/>
        </w:rPr>
        <w:t>recursos</w:t>
      </w:r>
      <w:r>
        <w:rPr>
          <w:color w:val="231F20"/>
          <w:spacing w:val="-42"/>
          <w:w w:val="105"/>
        </w:rPr>
        <w:t> </w:t>
      </w:r>
      <w:r>
        <w:rPr>
          <w:color w:val="231F20"/>
          <w:w w:val="105"/>
        </w:rPr>
        <w:t>y</w:t>
      </w:r>
      <w:r>
        <w:rPr>
          <w:color w:val="231F20"/>
          <w:spacing w:val="-42"/>
          <w:w w:val="105"/>
        </w:rPr>
        <w:t> </w:t>
      </w:r>
      <w:r>
        <w:rPr>
          <w:color w:val="231F20"/>
          <w:w w:val="105"/>
        </w:rPr>
        <w:t>capacidades</w:t>
      </w:r>
      <w:r>
        <w:rPr>
          <w:color w:val="231F20"/>
          <w:spacing w:val="-42"/>
          <w:w w:val="105"/>
        </w:rPr>
        <w:t> </w:t>
      </w:r>
      <w:r>
        <w:rPr>
          <w:color w:val="231F20"/>
          <w:w w:val="105"/>
        </w:rPr>
        <w:t>(TRyC).</w:t>
      </w:r>
    </w:p>
    <w:p>
      <w:pPr>
        <w:spacing w:before="162"/>
        <w:ind w:left="117" w:right="0" w:firstLine="0"/>
        <w:jc w:val="both"/>
        <w:rPr>
          <w:i/>
          <w:sz w:val="21"/>
        </w:rPr>
      </w:pPr>
      <w:r>
        <w:rPr>
          <w:i/>
          <w:color w:val="231F20"/>
          <w:w w:val="105"/>
          <w:sz w:val="21"/>
        </w:rPr>
        <w:t>Ventaja competitiva</w:t>
      </w:r>
    </w:p>
    <w:p>
      <w:pPr>
        <w:pStyle w:val="BodyText"/>
        <w:spacing w:before="4"/>
        <w:rPr>
          <w:i/>
          <w:sz w:val="16"/>
        </w:rPr>
      </w:pPr>
    </w:p>
    <w:p>
      <w:pPr>
        <w:pStyle w:val="BodyText"/>
        <w:spacing w:line="259" w:lineRule="auto"/>
        <w:ind w:left="117" w:right="115"/>
        <w:jc w:val="both"/>
      </w:pPr>
      <w:r>
        <w:rPr>
          <w:color w:val="231F20"/>
        </w:rPr>
        <w:t>La competitividad empresarial está representada por la capacidad que  una empresa u organización desarrolla para mantener sistemáticamen-   te ventajas competitiva, las cuales le permitan disfrutar y sostener en el tiempo una posición destacada en el entorno socioeconómico (Guzmán, 1997); implica tener habilidad para crear y ofrecer bienes y servicios úti- les para la sociedad, aprovechar sus recursos económicos, tecnológicos  y humanos y generar </w:t>
      </w:r>
      <w:r>
        <w:rPr>
          <w:color w:val="231F20"/>
          <w:spacing w:val="29"/>
        </w:rPr>
        <w:t> </w:t>
      </w:r>
      <w:r>
        <w:rPr>
          <w:color w:val="231F20"/>
        </w:rPr>
        <w:t>conocimientos.</w:t>
      </w:r>
    </w:p>
    <w:p>
      <w:pPr>
        <w:pStyle w:val="BodyText"/>
        <w:spacing w:line="259" w:lineRule="auto"/>
        <w:ind w:left="117" w:right="115" w:firstLine="567"/>
        <w:jc w:val="both"/>
      </w:pPr>
      <w:r>
        <w:rPr>
          <w:color w:val="231F20"/>
        </w:rPr>
        <w:t>La competitividad de una empresa está influenciada, por una par-  te, por factores territoriales, relativos a aquellos aspectos asociados a su lugar de ubicación; </w:t>
      </w:r>
      <w:r>
        <w:rPr>
          <w:color w:val="231F20"/>
          <w:spacing w:val="-4"/>
        </w:rPr>
        <w:t>y, </w:t>
      </w:r>
      <w:r>
        <w:rPr>
          <w:color w:val="231F20"/>
        </w:rPr>
        <w:t>además, los determinantes intra empresariales, vinculados a los aspectos internos de cada empresa como sus estrate- gias, recursos y capacidades. Esto explica porqué en un mismo territo-   rio conviven empresas más y menos competitivas, ya que tener éxito en mercados cada vez más grandes y abiertos depende del contexto, pero también de los recursos y capacidades de la propia  </w:t>
      </w:r>
      <w:r>
        <w:rPr>
          <w:color w:val="231F20"/>
          <w:spacing w:val="21"/>
        </w:rPr>
        <w:t> </w:t>
      </w:r>
      <w:r>
        <w:rPr>
          <w:color w:val="231F20"/>
        </w:rPr>
        <w:t>empresa.</w:t>
      </w:r>
    </w:p>
    <w:p>
      <w:pPr>
        <w:pStyle w:val="BodyText"/>
        <w:spacing w:line="259" w:lineRule="auto"/>
        <w:ind w:left="117" w:right="121" w:firstLine="567"/>
        <w:jc w:val="both"/>
      </w:pPr>
      <w:r>
        <w:rPr>
          <w:color w:val="231F20"/>
          <w:spacing w:val="-4"/>
          <w:w w:val="105"/>
        </w:rPr>
        <w:t>Porter</w:t>
      </w:r>
      <w:r>
        <w:rPr>
          <w:color w:val="231F20"/>
          <w:spacing w:val="-9"/>
          <w:w w:val="105"/>
        </w:rPr>
        <w:t> </w:t>
      </w:r>
      <w:r>
        <w:rPr>
          <w:color w:val="231F20"/>
          <w:w w:val="105"/>
        </w:rPr>
        <w:t>(1980)</w:t>
      </w:r>
      <w:r>
        <w:rPr>
          <w:color w:val="231F20"/>
          <w:spacing w:val="-10"/>
          <w:w w:val="105"/>
        </w:rPr>
        <w:t> </w:t>
      </w:r>
      <w:r>
        <w:rPr>
          <w:color w:val="231F20"/>
          <w:w w:val="105"/>
        </w:rPr>
        <w:t>sostiene</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ventaja</w:t>
      </w:r>
      <w:r>
        <w:rPr>
          <w:color w:val="231F20"/>
          <w:spacing w:val="-9"/>
          <w:w w:val="105"/>
        </w:rPr>
        <w:t> </w:t>
      </w:r>
      <w:r>
        <w:rPr>
          <w:color w:val="231F20"/>
          <w:w w:val="105"/>
        </w:rPr>
        <w:t>competitiva</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empresa se</w:t>
      </w:r>
      <w:r>
        <w:rPr>
          <w:color w:val="231F20"/>
          <w:spacing w:val="-9"/>
          <w:w w:val="105"/>
        </w:rPr>
        <w:t> </w:t>
      </w:r>
      <w:r>
        <w:rPr>
          <w:color w:val="231F20"/>
          <w:w w:val="105"/>
        </w:rPr>
        <w:t>da</w:t>
      </w:r>
      <w:r>
        <w:rPr>
          <w:color w:val="231F20"/>
          <w:spacing w:val="-9"/>
          <w:w w:val="105"/>
        </w:rPr>
        <w:t> </w:t>
      </w:r>
      <w:r>
        <w:rPr>
          <w:color w:val="231F20"/>
          <w:w w:val="105"/>
        </w:rPr>
        <w:t>cuanto</w:t>
      </w:r>
      <w:r>
        <w:rPr>
          <w:color w:val="231F20"/>
          <w:spacing w:val="-9"/>
          <w:w w:val="105"/>
        </w:rPr>
        <w:t> </w:t>
      </w:r>
      <w:r>
        <w:rPr>
          <w:color w:val="231F20"/>
          <w:w w:val="105"/>
        </w:rPr>
        <w:t>ésta</w:t>
      </w:r>
      <w:r>
        <w:rPr>
          <w:color w:val="231F20"/>
          <w:spacing w:val="-9"/>
          <w:w w:val="105"/>
        </w:rPr>
        <w:t> </w:t>
      </w:r>
      <w:r>
        <w:rPr>
          <w:color w:val="231F20"/>
          <w:w w:val="105"/>
        </w:rPr>
        <w:t>desarrolla</w:t>
      </w:r>
      <w:r>
        <w:rPr>
          <w:color w:val="231F20"/>
          <w:spacing w:val="-9"/>
          <w:w w:val="105"/>
        </w:rPr>
        <w:t> </w:t>
      </w:r>
      <w:r>
        <w:rPr>
          <w:color w:val="231F20"/>
          <w:w w:val="105"/>
        </w:rPr>
        <w:t>la</w:t>
      </w:r>
      <w:r>
        <w:rPr>
          <w:color w:val="231F20"/>
          <w:spacing w:val="-9"/>
          <w:w w:val="105"/>
        </w:rPr>
        <w:t> </w:t>
      </w:r>
      <w:r>
        <w:rPr>
          <w:color w:val="231F20"/>
          <w:w w:val="105"/>
        </w:rPr>
        <w:t>capacidad</w:t>
      </w:r>
      <w:r>
        <w:rPr>
          <w:color w:val="231F20"/>
          <w:spacing w:val="-9"/>
          <w:w w:val="105"/>
        </w:rPr>
        <w:t> </w:t>
      </w:r>
      <w:r>
        <w:rPr>
          <w:color w:val="231F20"/>
          <w:w w:val="105"/>
        </w:rPr>
        <w:t>de</w:t>
      </w:r>
      <w:r>
        <w:rPr>
          <w:color w:val="231F20"/>
          <w:spacing w:val="-9"/>
          <w:w w:val="105"/>
        </w:rPr>
        <w:t> </w:t>
      </w:r>
      <w:r>
        <w:rPr>
          <w:color w:val="231F20"/>
          <w:w w:val="105"/>
        </w:rPr>
        <w:t>gestionar</w:t>
      </w:r>
      <w:r>
        <w:rPr>
          <w:color w:val="231F20"/>
          <w:spacing w:val="-9"/>
          <w:w w:val="105"/>
        </w:rPr>
        <w:t> </w:t>
      </w:r>
      <w:r>
        <w:rPr>
          <w:color w:val="231F20"/>
          <w:w w:val="105"/>
        </w:rPr>
        <w:t>adecuadamente </w:t>
      </w:r>
      <w:r>
        <w:rPr>
          <w:color w:val="231F20"/>
        </w:rPr>
        <w:t>cuatro</w:t>
      </w:r>
      <w:r>
        <w:rPr>
          <w:color w:val="231F20"/>
          <w:spacing w:val="21"/>
        </w:rPr>
        <w:t> </w:t>
      </w:r>
      <w:r>
        <w:rPr>
          <w:color w:val="231F20"/>
        </w:rPr>
        <w:t>factores.</w:t>
      </w:r>
    </w:p>
    <w:p>
      <w:pPr>
        <w:pStyle w:val="BodyText"/>
        <w:spacing w:before="6"/>
        <w:rPr>
          <w:sz w:val="22"/>
        </w:rPr>
      </w:pPr>
    </w:p>
    <w:p>
      <w:pPr>
        <w:pStyle w:val="ListParagraph"/>
        <w:numPr>
          <w:ilvl w:val="0"/>
          <w:numId w:val="24"/>
        </w:numPr>
        <w:tabs>
          <w:tab w:pos="1328" w:val="left" w:leader="none"/>
        </w:tabs>
        <w:spacing w:line="259" w:lineRule="auto" w:before="0" w:after="0"/>
        <w:ind w:left="1327" w:right="121" w:hanging="360"/>
        <w:jc w:val="both"/>
        <w:rPr>
          <w:sz w:val="21"/>
        </w:rPr>
      </w:pPr>
      <w:r>
        <w:rPr>
          <w:color w:val="231F20"/>
          <w:spacing w:val="-4"/>
          <w:w w:val="105"/>
          <w:sz w:val="21"/>
        </w:rPr>
        <w:t>Condiciones</w:t>
      </w:r>
      <w:r>
        <w:rPr>
          <w:color w:val="231F20"/>
          <w:spacing w:val="-12"/>
          <w:w w:val="105"/>
          <w:sz w:val="21"/>
        </w:rPr>
        <w:t> </w:t>
      </w:r>
      <w:r>
        <w:rPr>
          <w:color w:val="231F20"/>
          <w:w w:val="105"/>
          <w:sz w:val="21"/>
        </w:rPr>
        <w:t>de</w:t>
      </w:r>
      <w:r>
        <w:rPr>
          <w:color w:val="231F20"/>
          <w:spacing w:val="-12"/>
          <w:w w:val="105"/>
          <w:sz w:val="21"/>
        </w:rPr>
        <w:t> </w:t>
      </w:r>
      <w:r>
        <w:rPr>
          <w:color w:val="231F20"/>
          <w:spacing w:val="-3"/>
          <w:w w:val="105"/>
          <w:sz w:val="21"/>
        </w:rPr>
        <w:t>los</w:t>
      </w:r>
      <w:r>
        <w:rPr>
          <w:color w:val="231F20"/>
          <w:spacing w:val="-12"/>
          <w:w w:val="105"/>
          <w:sz w:val="21"/>
        </w:rPr>
        <w:t> </w:t>
      </w:r>
      <w:r>
        <w:rPr>
          <w:color w:val="231F20"/>
          <w:spacing w:val="-4"/>
          <w:w w:val="105"/>
          <w:sz w:val="21"/>
        </w:rPr>
        <w:t>recursos.</w:t>
      </w:r>
      <w:r>
        <w:rPr>
          <w:color w:val="231F20"/>
          <w:spacing w:val="-17"/>
          <w:w w:val="105"/>
          <w:sz w:val="21"/>
        </w:rPr>
        <w:t> </w:t>
      </w:r>
      <w:r>
        <w:rPr>
          <w:color w:val="231F20"/>
          <w:w w:val="105"/>
          <w:sz w:val="21"/>
        </w:rPr>
        <w:t>Se</w:t>
      </w:r>
      <w:r>
        <w:rPr>
          <w:color w:val="231F20"/>
          <w:spacing w:val="-12"/>
          <w:w w:val="105"/>
          <w:sz w:val="21"/>
        </w:rPr>
        <w:t> </w:t>
      </w:r>
      <w:r>
        <w:rPr>
          <w:color w:val="231F20"/>
          <w:spacing w:val="-4"/>
          <w:w w:val="105"/>
          <w:sz w:val="21"/>
        </w:rPr>
        <w:t>refiere</w:t>
      </w:r>
      <w:r>
        <w:rPr>
          <w:color w:val="231F20"/>
          <w:spacing w:val="-12"/>
          <w:w w:val="105"/>
          <w:sz w:val="21"/>
        </w:rPr>
        <w:t> </w:t>
      </w:r>
      <w:r>
        <w:rPr>
          <w:color w:val="231F20"/>
          <w:w w:val="105"/>
          <w:sz w:val="21"/>
        </w:rPr>
        <w:t>a</w:t>
      </w:r>
      <w:r>
        <w:rPr>
          <w:color w:val="231F20"/>
          <w:spacing w:val="-12"/>
          <w:w w:val="105"/>
          <w:sz w:val="21"/>
        </w:rPr>
        <w:t> </w:t>
      </w:r>
      <w:r>
        <w:rPr>
          <w:color w:val="231F20"/>
          <w:spacing w:val="-3"/>
          <w:w w:val="105"/>
          <w:sz w:val="21"/>
        </w:rPr>
        <w:t>los</w:t>
      </w:r>
      <w:r>
        <w:rPr>
          <w:color w:val="231F20"/>
          <w:spacing w:val="-12"/>
          <w:w w:val="105"/>
          <w:sz w:val="21"/>
        </w:rPr>
        <w:t> </w:t>
      </w:r>
      <w:r>
        <w:rPr>
          <w:color w:val="231F20"/>
          <w:spacing w:val="-4"/>
          <w:w w:val="105"/>
          <w:sz w:val="21"/>
        </w:rPr>
        <w:t>recursos</w:t>
      </w:r>
      <w:r>
        <w:rPr>
          <w:color w:val="231F20"/>
          <w:spacing w:val="-12"/>
          <w:w w:val="105"/>
          <w:sz w:val="21"/>
        </w:rPr>
        <w:t> </w:t>
      </w:r>
      <w:r>
        <w:rPr>
          <w:color w:val="231F20"/>
          <w:spacing w:val="-4"/>
          <w:w w:val="105"/>
          <w:sz w:val="21"/>
        </w:rPr>
        <w:t>huma- </w:t>
      </w:r>
      <w:r>
        <w:rPr>
          <w:color w:val="231F20"/>
          <w:spacing w:val="-3"/>
          <w:w w:val="105"/>
          <w:sz w:val="21"/>
        </w:rPr>
        <w:t>nos </w:t>
      </w:r>
      <w:r>
        <w:rPr>
          <w:color w:val="231F20"/>
          <w:spacing w:val="-4"/>
          <w:w w:val="105"/>
          <w:sz w:val="21"/>
        </w:rPr>
        <w:t>(cantidad, habilidades </w:t>
      </w:r>
      <w:r>
        <w:rPr>
          <w:color w:val="231F20"/>
          <w:w w:val="105"/>
          <w:sz w:val="21"/>
        </w:rPr>
        <w:t>y </w:t>
      </w:r>
      <w:r>
        <w:rPr>
          <w:color w:val="231F20"/>
          <w:spacing w:val="-4"/>
          <w:w w:val="105"/>
          <w:sz w:val="21"/>
        </w:rPr>
        <w:t>costo </w:t>
      </w:r>
      <w:r>
        <w:rPr>
          <w:color w:val="231F20"/>
          <w:spacing w:val="-3"/>
          <w:w w:val="105"/>
          <w:sz w:val="21"/>
        </w:rPr>
        <w:t>del </w:t>
      </w:r>
      <w:r>
        <w:rPr>
          <w:color w:val="231F20"/>
          <w:spacing w:val="-4"/>
          <w:w w:val="105"/>
          <w:sz w:val="21"/>
        </w:rPr>
        <w:t>personal), físicos (tie- rra,</w:t>
      </w:r>
      <w:r>
        <w:rPr>
          <w:color w:val="231F20"/>
          <w:spacing w:val="-26"/>
          <w:w w:val="105"/>
          <w:sz w:val="21"/>
        </w:rPr>
        <w:t> </w:t>
      </w:r>
      <w:r>
        <w:rPr>
          <w:color w:val="231F20"/>
          <w:spacing w:val="-4"/>
          <w:w w:val="105"/>
          <w:sz w:val="21"/>
        </w:rPr>
        <w:t>agua,</w:t>
      </w:r>
      <w:r>
        <w:rPr>
          <w:color w:val="231F20"/>
          <w:spacing w:val="-26"/>
          <w:w w:val="105"/>
          <w:sz w:val="21"/>
        </w:rPr>
        <w:t> </w:t>
      </w:r>
      <w:r>
        <w:rPr>
          <w:color w:val="231F20"/>
          <w:spacing w:val="-4"/>
          <w:w w:val="105"/>
          <w:sz w:val="21"/>
        </w:rPr>
        <w:t>energía</w:t>
      </w:r>
      <w:r>
        <w:rPr>
          <w:color w:val="231F20"/>
          <w:spacing w:val="-21"/>
          <w:w w:val="105"/>
          <w:sz w:val="21"/>
        </w:rPr>
        <w:t> </w:t>
      </w:r>
      <w:r>
        <w:rPr>
          <w:color w:val="231F20"/>
          <w:spacing w:val="-4"/>
          <w:w w:val="105"/>
          <w:sz w:val="21"/>
        </w:rPr>
        <w:t>eléctrica,</w:t>
      </w:r>
      <w:r>
        <w:rPr>
          <w:color w:val="231F20"/>
          <w:spacing w:val="-26"/>
          <w:w w:val="105"/>
          <w:sz w:val="21"/>
        </w:rPr>
        <w:t> </w:t>
      </w:r>
      <w:r>
        <w:rPr>
          <w:color w:val="231F20"/>
          <w:spacing w:val="-4"/>
          <w:w w:val="105"/>
          <w:sz w:val="21"/>
        </w:rPr>
        <w:t>clima,</w:t>
      </w:r>
      <w:r>
        <w:rPr>
          <w:color w:val="231F20"/>
          <w:spacing w:val="-26"/>
          <w:w w:val="105"/>
          <w:sz w:val="21"/>
        </w:rPr>
        <w:t> </w:t>
      </w:r>
      <w:r>
        <w:rPr>
          <w:color w:val="231F20"/>
          <w:spacing w:val="-4"/>
          <w:w w:val="105"/>
          <w:sz w:val="21"/>
        </w:rPr>
        <w:t>localización</w:t>
      </w:r>
      <w:r>
        <w:rPr>
          <w:color w:val="231F20"/>
          <w:spacing w:val="-21"/>
          <w:w w:val="105"/>
          <w:sz w:val="21"/>
        </w:rPr>
        <w:t> </w:t>
      </w:r>
      <w:r>
        <w:rPr>
          <w:color w:val="231F20"/>
          <w:spacing w:val="-4"/>
          <w:w w:val="105"/>
          <w:sz w:val="21"/>
        </w:rPr>
        <w:t>geográfica),</w:t>
      </w:r>
      <w:r>
        <w:rPr>
          <w:color w:val="231F20"/>
          <w:spacing w:val="-26"/>
          <w:w w:val="105"/>
          <w:sz w:val="21"/>
        </w:rPr>
        <w:t> </w:t>
      </w:r>
      <w:r>
        <w:rPr>
          <w:color w:val="231F20"/>
          <w:spacing w:val="-4"/>
          <w:w w:val="105"/>
          <w:sz w:val="21"/>
        </w:rPr>
        <w:t>de conocimiento (científico, técnico </w:t>
      </w:r>
      <w:r>
        <w:rPr>
          <w:color w:val="231F20"/>
          <w:w w:val="105"/>
          <w:sz w:val="21"/>
        </w:rPr>
        <w:t>y de </w:t>
      </w:r>
      <w:r>
        <w:rPr>
          <w:color w:val="231F20"/>
          <w:spacing w:val="-4"/>
          <w:w w:val="105"/>
          <w:sz w:val="21"/>
        </w:rPr>
        <w:t>mercado), financieros (aportaciones </w:t>
      </w:r>
      <w:r>
        <w:rPr>
          <w:color w:val="231F20"/>
          <w:w w:val="105"/>
          <w:sz w:val="21"/>
        </w:rPr>
        <w:t>de </w:t>
      </w:r>
      <w:r>
        <w:rPr>
          <w:color w:val="231F20"/>
          <w:spacing w:val="-4"/>
          <w:w w:val="105"/>
          <w:sz w:val="21"/>
        </w:rPr>
        <w:t>capital, fuentes </w:t>
      </w:r>
      <w:r>
        <w:rPr>
          <w:color w:val="231F20"/>
          <w:w w:val="105"/>
          <w:sz w:val="21"/>
        </w:rPr>
        <w:t>de </w:t>
      </w:r>
      <w:r>
        <w:rPr>
          <w:color w:val="231F20"/>
          <w:spacing w:val="-4"/>
          <w:w w:val="105"/>
          <w:sz w:val="21"/>
        </w:rPr>
        <w:t>financiamiento) </w:t>
      </w:r>
      <w:r>
        <w:rPr>
          <w:color w:val="231F20"/>
          <w:w w:val="105"/>
          <w:sz w:val="21"/>
        </w:rPr>
        <w:t>y </w:t>
      </w:r>
      <w:r>
        <w:rPr>
          <w:color w:val="231F20"/>
          <w:spacing w:val="-4"/>
          <w:w w:val="105"/>
          <w:sz w:val="21"/>
        </w:rPr>
        <w:t>mate- riales (transporte, sistemas </w:t>
      </w:r>
      <w:r>
        <w:rPr>
          <w:color w:val="231F20"/>
          <w:w w:val="105"/>
          <w:sz w:val="21"/>
        </w:rPr>
        <w:t>de </w:t>
      </w:r>
      <w:r>
        <w:rPr>
          <w:color w:val="231F20"/>
          <w:spacing w:val="-4"/>
          <w:w w:val="105"/>
          <w:sz w:val="21"/>
        </w:rPr>
        <w:t>comunicación, servicios públi- cos),</w:t>
      </w:r>
      <w:r>
        <w:rPr>
          <w:color w:val="231F20"/>
          <w:spacing w:val="-19"/>
          <w:w w:val="105"/>
          <w:sz w:val="21"/>
        </w:rPr>
        <w:t> </w:t>
      </w:r>
      <w:r>
        <w:rPr>
          <w:color w:val="231F20"/>
          <w:spacing w:val="-4"/>
          <w:w w:val="105"/>
          <w:sz w:val="21"/>
        </w:rPr>
        <w:t>entre</w:t>
      </w:r>
      <w:r>
        <w:rPr>
          <w:color w:val="231F20"/>
          <w:spacing w:val="-14"/>
          <w:w w:val="105"/>
          <w:sz w:val="21"/>
        </w:rPr>
        <w:t> </w:t>
      </w:r>
      <w:r>
        <w:rPr>
          <w:color w:val="231F20"/>
          <w:spacing w:val="-4"/>
          <w:w w:val="105"/>
          <w:sz w:val="21"/>
        </w:rPr>
        <w:t>otros.</w:t>
      </w:r>
      <w:r>
        <w:rPr>
          <w:color w:val="231F20"/>
          <w:spacing w:val="-19"/>
          <w:w w:val="105"/>
          <w:sz w:val="21"/>
        </w:rPr>
        <w:t> </w:t>
      </w:r>
      <w:r>
        <w:rPr>
          <w:color w:val="231F20"/>
          <w:w w:val="105"/>
          <w:sz w:val="21"/>
        </w:rPr>
        <w:t>La</w:t>
      </w:r>
      <w:r>
        <w:rPr>
          <w:color w:val="231F20"/>
          <w:spacing w:val="-14"/>
          <w:w w:val="105"/>
          <w:sz w:val="21"/>
        </w:rPr>
        <w:t> </w:t>
      </w:r>
      <w:r>
        <w:rPr>
          <w:color w:val="231F20"/>
          <w:spacing w:val="-4"/>
          <w:w w:val="105"/>
          <w:sz w:val="21"/>
        </w:rPr>
        <w:t>gestión</w:t>
      </w:r>
      <w:r>
        <w:rPr>
          <w:color w:val="231F20"/>
          <w:spacing w:val="-14"/>
          <w:w w:val="105"/>
          <w:sz w:val="21"/>
        </w:rPr>
        <w:t> </w:t>
      </w:r>
      <w:r>
        <w:rPr>
          <w:color w:val="231F20"/>
          <w:spacing w:val="-4"/>
          <w:w w:val="105"/>
          <w:sz w:val="21"/>
        </w:rPr>
        <w:t>adecuada</w:t>
      </w:r>
      <w:r>
        <w:rPr>
          <w:color w:val="231F20"/>
          <w:spacing w:val="-14"/>
          <w:w w:val="105"/>
          <w:sz w:val="21"/>
        </w:rPr>
        <w:t> </w:t>
      </w:r>
      <w:r>
        <w:rPr>
          <w:color w:val="231F20"/>
          <w:w w:val="105"/>
          <w:sz w:val="21"/>
        </w:rPr>
        <w:t>de</w:t>
      </w:r>
      <w:r>
        <w:rPr>
          <w:color w:val="231F20"/>
          <w:spacing w:val="-14"/>
          <w:w w:val="105"/>
          <w:sz w:val="21"/>
        </w:rPr>
        <w:t> </w:t>
      </w:r>
      <w:r>
        <w:rPr>
          <w:color w:val="231F20"/>
          <w:spacing w:val="-4"/>
          <w:w w:val="105"/>
          <w:sz w:val="21"/>
        </w:rPr>
        <w:t>dichos</w:t>
      </w:r>
      <w:r>
        <w:rPr>
          <w:color w:val="231F20"/>
          <w:spacing w:val="-14"/>
          <w:w w:val="105"/>
          <w:sz w:val="21"/>
        </w:rPr>
        <w:t> </w:t>
      </w:r>
      <w:r>
        <w:rPr>
          <w:color w:val="231F20"/>
          <w:spacing w:val="-4"/>
          <w:w w:val="105"/>
          <w:sz w:val="21"/>
        </w:rPr>
        <w:t>recursos</w:t>
      </w:r>
      <w:r>
        <w:rPr>
          <w:color w:val="231F20"/>
          <w:spacing w:val="-14"/>
          <w:w w:val="105"/>
          <w:sz w:val="21"/>
        </w:rPr>
        <w:t> </w:t>
      </w:r>
      <w:r>
        <w:rPr>
          <w:color w:val="231F20"/>
          <w:spacing w:val="-4"/>
          <w:w w:val="105"/>
          <w:sz w:val="21"/>
        </w:rPr>
        <w:t>re- presenta </w:t>
      </w:r>
      <w:r>
        <w:rPr>
          <w:color w:val="231F20"/>
          <w:w w:val="105"/>
          <w:sz w:val="21"/>
        </w:rPr>
        <w:t>la </w:t>
      </w:r>
      <w:r>
        <w:rPr>
          <w:color w:val="231F20"/>
          <w:spacing w:val="-4"/>
          <w:w w:val="105"/>
          <w:sz w:val="21"/>
        </w:rPr>
        <w:t>oportunidad </w:t>
      </w:r>
      <w:r>
        <w:rPr>
          <w:color w:val="231F20"/>
          <w:w w:val="105"/>
          <w:sz w:val="21"/>
        </w:rPr>
        <w:t>de </w:t>
      </w:r>
      <w:r>
        <w:rPr>
          <w:color w:val="231F20"/>
          <w:spacing w:val="-4"/>
          <w:w w:val="105"/>
          <w:sz w:val="21"/>
        </w:rPr>
        <w:t>lograr productos diferenciados </w:t>
      </w:r>
      <w:r>
        <w:rPr>
          <w:color w:val="231F20"/>
          <w:w w:val="105"/>
          <w:sz w:val="21"/>
        </w:rPr>
        <w:t>y </w:t>
      </w:r>
      <w:r>
        <w:rPr>
          <w:color w:val="231F20"/>
          <w:spacing w:val="-4"/>
          <w:w w:val="105"/>
          <w:sz w:val="21"/>
        </w:rPr>
        <w:t>tecnología </w:t>
      </w:r>
      <w:r>
        <w:rPr>
          <w:color w:val="231F20"/>
          <w:w w:val="105"/>
          <w:sz w:val="21"/>
        </w:rPr>
        <w:t>de </w:t>
      </w:r>
      <w:r>
        <w:rPr>
          <w:color w:val="231F20"/>
          <w:spacing w:val="-4"/>
          <w:w w:val="105"/>
          <w:sz w:val="21"/>
        </w:rPr>
        <w:t>producción propia. </w:t>
      </w:r>
      <w:r>
        <w:rPr>
          <w:color w:val="231F20"/>
          <w:spacing w:val="-3"/>
          <w:w w:val="105"/>
          <w:sz w:val="21"/>
        </w:rPr>
        <w:t>Sin </w:t>
      </w:r>
      <w:r>
        <w:rPr>
          <w:color w:val="231F20"/>
          <w:spacing w:val="-5"/>
          <w:w w:val="105"/>
          <w:sz w:val="21"/>
        </w:rPr>
        <w:t>embargo, </w:t>
      </w:r>
      <w:r>
        <w:rPr>
          <w:color w:val="231F20"/>
          <w:spacing w:val="-4"/>
          <w:w w:val="105"/>
          <w:sz w:val="21"/>
        </w:rPr>
        <w:t>cuando son comunes </w:t>
      </w:r>
      <w:r>
        <w:rPr>
          <w:color w:val="231F20"/>
          <w:w w:val="105"/>
          <w:sz w:val="21"/>
        </w:rPr>
        <w:t>a </w:t>
      </w:r>
      <w:r>
        <w:rPr>
          <w:color w:val="231F20"/>
          <w:spacing w:val="-4"/>
          <w:w w:val="105"/>
          <w:sz w:val="21"/>
        </w:rPr>
        <w:t>todas </w:t>
      </w:r>
      <w:r>
        <w:rPr>
          <w:color w:val="231F20"/>
          <w:spacing w:val="-3"/>
          <w:w w:val="105"/>
          <w:sz w:val="21"/>
        </w:rPr>
        <w:t>las </w:t>
      </w:r>
      <w:r>
        <w:rPr>
          <w:color w:val="231F20"/>
          <w:spacing w:val="-4"/>
          <w:w w:val="105"/>
          <w:sz w:val="21"/>
        </w:rPr>
        <w:t>industrias </w:t>
      </w:r>
      <w:r>
        <w:rPr>
          <w:color w:val="231F20"/>
          <w:w w:val="105"/>
          <w:sz w:val="21"/>
        </w:rPr>
        <w:t>no </w:t>
      </w:r>
      <w:r>
        <w:rPr>
          <w:color w:val="231F20"/>
          <w:spacing w:val="-4"/>
          <w:w w:val="105"/>
          <w:sz w:val="21"/>
        </w:rPr>
        <w:t>generan ventajas sosteni- bles. </w:t>
      </w:r>
      <w:r>
        <w:rPr>
          <w:color w:val="231F20"/>
          <w:w w:val="105"/>
          <w:sz w:val="21"/>
        </w:rPr>
        <w:t>La </w:t>
      </w:r>
      <w:r>
        <w:rPr>
          <w:color w:val="231F20"/>
          <w:spacing w:val="-4"/>
          <w:w w:val="105"/>
          <w:sz w:val="21"/>
        </w:rPr>
        <w:t>ventaja competitiva </w:t>
      </w:r>
      <w:r>
        <w:rPr>
          <w:color w:val="231F20"/>
          <w:w w:val="105"/>
          <w:sz w:val="21"/>
        </w:rPr>
        <w:t>se </w:t>
      </w:r>
      <w:r>
        <w:rPr>
          <w:color w:val="231F20"/>
          <w:spacing w:val="-4"/>
          <w:w w:val="105"/>
          <w:sz w:val="21"/>
        </w:rPr>
        <w:t>produce cuando </w:t>
      </w:r>
      <w:r>
        <w:rPr>
          <w:color w:val="231F20"/>
          <w:w w:val="105"/>
          <w:sz w:val="21"/>
        </w:rPr>
        <w:t>la </w:t>
      </w:r>
      <w:r>
        <w:rPr>
          <w:color w:val="231F20"/>
          <w:spacing w:val="-5"/>
          <w:w w:val="105"/>
          <w:sz w:val="21"/>
        </w:rPr>
        <w:t>empresa </w:t>
      </w:r>
      <w:r>
        <w:rPr>
          <w:color w:val="231F20"/>
          <w:spacing w:val="-4"/>
          <w:w w:val="105"/>
          <w:sz w:val="21"/>
        </w:rPr>
        <w:t>cuenta</w:t>
      </w:r>
      <w:r>
        <w:rPr>
          <w:color w:val="231F20"/>
          <w:spacing w:val="-31"/>
          <w:w w:val="105"/>
          <w:sz w:val="21"/>
        </w:rPr>
        <w:t> </w:t>
      </w:r>
      <w:r>
        <w:rPr>
          <w:color w:val="231F20"/>
          <w:spacing w:val="-3"/>
          <w:w w:val="105"/>
          <w:sz w:val="21"/>
        </w:rPr>
        <w:t>con</w:t>
      </w:r>
      <w:r>
        <w:rPr>
          <w:color w:val="231F20"/>
          <w:spacing w:val="-31"/>
          <w:w w:val="105"/>
          <w:sz w:val="21"/>
        </w:rPr>
        <w:t> </w:t>
      </w:r>
      <w:r>
        <w:rPr>
          <w:color w:val="231F20"/>
          <w:spacing w:val="-3"/>
          <w:w w:val="105"/>
          <w:sz w:val="21"/>
        </w:rPr>
        <w:t>los</w:t>
      </w:r>
      <w:r>
        <w:rPr>
          <w:color w:val="231F20"/>
          <w:spacing w:val="-31"/>
          <w:w w:val="105"/>
          <w:sz w:val="21"/>
        </w:rPr>
        <w:t> </w:t>
      </w:r>
      <w:r>
        <w:rPr>
          <w:color w:val="231F20"/>
          <w:spacing w:val="-4"/>
          <w:w w:val="105"/>
          <w:sz w:val="21"/>
        </w:rPr>
        <w:t>recursos</w:t>
      </w:r>
      <w:r>
        <w:rPr>
          <w:color w:val="231F20"/>
          <w:spacing w:val="-31"/>
          <w:w w:val="105"/>
          <w:sz w:val="21"/>
        </w:rPr>
        <w:t> </w:t>
      </w:r>
      <w:r>
        <w:rPr>
          <w:color w:val="231F20"/>
          <w:spacing w:val="-4"/>
          <w:w w:val="105"/>
          <w:sz w:val="21"/>
        </w:rPr>
        <w:t>necesarios</w:t>
      </w:r>
      <w:r>
        <w:rPr>
          <w:color w:val="231F20"/>
          <w:spacing w:val="-31"/>
          <w:w w:val="105"/>
          <w:sz w:val="21"/>
        </w:rPr>
        <w:t> </w:t>
      </w:r>
      <w:r>
        <w:rPr>
          <w:color w:val="231F20"/>
          <w:spacing w:val="-4"/>
          <w:w w:val="105"/>
          <w:sz w:val="21"/>
        </w:rPr>
        <w:t>para</w:t>
      </w:r>
      <w:r>
        <w:rPr>
          <w:color w:val="231F20"/>
          <w:spacing w:val="-31"/>
          <w:w w:val="105"/>
          <w:sz w:val="21"/>
        </w:rPr>
        <w:t> </w:t>
      </w:r>
      <w:r>
        <w:rPr>
          <w:color w:val="231F20"/>
          <w:spacing w:val="-4"/>
          <w:w w:val="105"/>
          <w:sz w:val="21"/>
        </w:rPr>
        <w:t>competir</w:t>
      </w:r>
      <w:r>
        <w:rPr>
          <w:color w:val="231F20"/>
          <w:spacing w:val="-31"/>
          <w:w w:val="105"/>
          <w:sz w:val="21"/>
        </w:rPr>
        <w:t> </w:t>
      </w:r>
      <w:r>
        <w:rPr>
          <w:color w:val="231F20"/>
          <w:w w:val="105"/>
          <w:sz w:val="21"/>
        </w:rPr>
        <w:t>en</w:t>
      </w:r>
      <w:r>
        <w:rPr>
          <w:color w:val="231F20"/>
          <w:spacing w:val="-31"/>
          <w:w w:val="105"/>
          <w:sz w:val="21"/>
        </w:rPr>
        <w:t> </w:t>
      </w:r>
      <w:r>
        <w:rPr>
          <w:color w:val="231F20"/>
          <w:w w:val="105"/>
          <w:sz w:val="21"/>
        </w:rPr>
        <w:t>un</w:t>
      </w:r>
      <w:r>
        <w:rPr>
          <w:color w:val="231F20"/>
          <w:spacing w:val="-31"/>
          <w:w w:val="105"/>
          <w:sz w:val="21"/>
        </w:rPr>
        <w:t> </w:t>
      </w:r>
      <w:r>
        <w:rPr>
          <w:color w:val="231F20"/>
          <w:spacing w:val="-4"/>
          <w:w w:val="105"/>
          <w:sz w:val="21"/>
        </w:rPr>
        <w:t>sector </w:t>
      </w:r>
      <w:r>
        <w:rPr>
          <w:color w:val="231F20"/>
          <w:w w:val="105"/>
          <w:sz w:val="21"/>
        </w:rPr>
        <w:t>en</w:t>
      </w:r>
      <w:r>
        <w:rPr>
          <w:color w:val="231F20"/>
          <w:spacing w:val="-32"/>
          <w:w w:val="105"/>
          <w:sz w:val="21"/>
        </w:rPr>
        <w:t> </w:t>
      </w:r>
      <w:r>
        <w:rPr>
          <w:color w:val="231F20"/>
          <w:spacing w:val="-4"/>
          <w:w w:val="105"/>
          <w:sz w:val="21"/>
        </w:rPr>
        <w:t>particular</w:t>
      </w:r>
      <w:r>
        <w:rPr>
          <w:color w:val="231F20"/>
          <w:spacing w:val="-32"/>
          <w:w w:val="105"/>
          <w:sz w:val="21"/>
        </w:rPr>
        <w:t> </w:t>
      </w:r>
      <w:r>
        <w:rPr>
          <w:color w:val="231F20"/>
          <w:w w:val="105"/>
          <w:sz w:val="21"/>
        </w:rPr>
        <w:t>y</w:t>
      </w:r>
      <w:r>
        <w:rPr>
          <w:color w:val="231F20"/>
          <w:spacing w:val="-32"/>
          <w:w w:val="105"/>
          <w:sz w:val="21"/>
        </w:rPr>
        <w:t> </w:t>
      </w:r>
      <w:r>
        <w:rPr>
          <w:color w:val="231F20"/>
          <w:spacing w:val="-4"/>
          <w:w w:val="105"/>
          <w:sz w:val="21"/>
        </w:rPr>
        <w:t>dichos</w:t>
      </w:r>
      <w:r>
        <w:rPr>
          <w:color w:val="231F20"/>
          <w:spacing w:val="-32"/>
          <w:w w:val="105"/>
          <w:sz w:val="21"/>
        </w:rPr>
        <w:t> </w:t>
      </w:r>
      <w:r>
        <w:rPr>
          <w:color w:val="231F20"/>
          <w:spacing w:val="-4"/>
          <w:w w:val="105"/>
          <w:sz w:val="21"/>
        </w:rPr>
        <w:t>factores</w:t>
      </w:r>
      <w:r>
        <w:rPr>
          <w:color w:val="231F20"/>
          <w:spacing w:val="-32"/>
          <w:w w:val="105"/>
          <w:sz w:val="21"/>
        </w:rPr>
        <w:t> </w:t>
      </w:r>
      <w:r>
        <w:rPr>
          <w:color w:val="231F20"/>
          <w:spacing w:val="-3"/>
          <w:w w:val="105"/>
          <w:sz w:val="21"/>
        </w:rPr>
        <w:t>son,</w:t>
      </w:r>
      <w:r>
        <w:rPr>
          <w:color w:val="231F20"/>
          <w:spacing w:val="-37"/>
          <w:w w:val="105"/>
          <w:sz w:val="21"/>
        </w:rPr>
        <w:t> </w:t>
      </w:r>
      <w:r>
        <w:rPr>
          <w:color w:val="231F20"/>
          <w:w w:val="105"/>
          <w:sz w:val="21"/>
        </w:rPr>
        <w:t>a</w:t>
      </w:r>
      <w:r>
        <w:rPr>
          <w:color w:val="231F20"/>
          <w:spacing w:val="-32"/>
          <w:w w:val="105"/>
          <w:sz w:val="21"/>
        </w:rPr>
        <w:t> </w:t>
      </w:r>
      <w:r>
        <w:rPr>
          <w:color w:val="231F20"/>
          <w:w w:val="105"/>
          <w:sz w:val="21"/>
        </w:rPr>
        <w:t>la</w:t>
      </w:r>
      <w:r>
        <w:rPr>
          <w:color w:val="231F20"/>
          <w:spacing w:val="-32"/>
          <w:w w:val="105"/>
          <w:sz w:val="21"/>
        </w:rPr>
        <w:t> </w:t>
      </w:r>
      <w:r>
        <w:rPr>
          <w:color w:val="231F20"/>
          <w:spacing w:val="-3"/>
          <w:w w:val="105"/>
          <w:sz w:val="21"/>
        </w:rPr>
        <w:t>vez,</w:t>
      </w:r>
      <w:r>
        <w:rPr>
          <w:color w:val="231F20"/>
          <w:spacing w:val="-37"/>
          <w:w w:val="105"/>
          <w:sz w:val="21"/>
        </w:rPr>
        <w:t> </w:t>
      </w:r>
      <w:r>
        <w:rPr>
          <w:color w:val="231F20"/>
          <w:spacing w:val="-4"/>
          <w:w w:val="105"/>
          <w:sz w:val="21"/>
        </w:rPr>
        <w:t>avanzados</w:t>
      </w:r>
      <w:r>
        <w:rPr>
          <w:color w:val="231F20"/>
          <w:spacing w:val="-32"/>
          <w:w w:val="105"/>
          <w:sz w:val="21"/>
        </w:rPr>
        <w:t> </w:t>
      </w:r>
      <w:r>
        <w:rPr>
          <w:color w:val="231F20"/>
          <w:w w:val="105"/>
          <w:sz w:val="21"/>
        </w:rPr>
        <w:t>y</w:t>
      </w:r>
      <w:r>
        <w:rPr>
          <w:color w:val="231F20"/>
          <w:spacing w:val="-32"/>
          <w:w w:val="105"/>
          <w:sz w:val="21"/>
        </w:rPr>
        <w:t> </w:t>
      </w:r>
      <w:r>
        <w:rPr>
          <w:color w:val="231F20"/>
          <w:spacing w:val="-4"/>
          <w:w w:val="105"/>
          <w:sz w:val="21"/>
        </w:rPr>
        <w:t>espe-</w:t>
      </w:r>
    </w:p>
    <w:p>
      <w:pPr>
        <w:spacing w:after="0" w:line="259" w:lineRule="auto"/>
        <w:jc w:val="both"/>
        <w:rPr>
          <w:sz w:val="21"/>
        </w:rPr>
        <w:sectPr>
          <w:pgSz w:w="9640" w:h="13890"/>
          <w:pgMar w:top="0" w:bottom="280" w:left="1300" w:right="1180"/>
        </w:sectPr>
      </w:pPr>
    </w:p>
    <w:p>
      <w:pPr>
        <w:pStyle w:val="BodyText"/>
        <w:spacing w:line="259" w:lineRule="auto" w:before="92"/>
        <w:ind w:left="1174"/>
      </w:pPr>
      <w:r>
        <w:rPr>
          <w:color w:val="231F20"/>
          <w:spacing w:val="-4"/>
          <w:w w:val="105"/>
        </w:rPr>
        <w:t>cializados; </w:t>
      </w:r>
      <w:r>
        <w:rPr>
          <w:color w:val="231F20"/>
          <w:w w:val="105"/>
        </w:rPr>
        <w:t>su </w:t>
      </w:r>
      <w:r>
        <w:rPr>
          <w:color w:val="231F20"/>
          <w:spacing w:val="-4"/>
          <w:w w:val="105"/>
        </w:rPr>
        <w:t>disponibilidad </w:t>
      </w:r>
      <w:r>
        <w:rPr>
          <w:color w:val="231F20"/>
          <w:w w:val="105"/>
        </w:rPr>
        <w:t>y </w:t>
      </w:r>
      <w:r>
        <w:rPr>
          <w:color w:val="231F20"/>
          <w:spacing w:val="-4"/>
          <w:w w:val="105"/>
        </w:rPr>
        <w:t>calidad determinan </w:t>
      </w:r>
      <w:r>
        <w:rPr>
          <w:color w:val="231F20"/>
          <w:w w:val="105"/>
        </w:rPr>
        <w:t>la </w:t>
      </w:r>
      <w:r>
        <w:rPr>
          <w:color w:val="231F20"/>
          <w:spacing w:val="-4"/>
          <w:w w:val="105"/>
        </w:rPr>
        <w:t>poten- cialidad </w:t>
      </w:r>
      <w:r>
        <w:rPr>
          <w:color w:val="231F20"/>
          <w:spacing w:val="-3"/>
          <w:w w:val="105"/>
        </w:rPr>
        <w:t>que </w:t>
      </w:r>
      <w:r>
        <w:rPr>
          <w:color w:val="231F20"/>
          <w:spacing w:val="-4"/>
          <w:w w:val="105"/>
        </w:rPr>
        <w:t>puede alcanzar </w:t>
      </w:r>
      <w:r>
        <w:rPr>
          <w:color w:val="231F20"/>
          <w:w w:val="105"/>
        </w:rPr>
        <w:t>y el </w:t>
      </w:r>
      <w:r>
        <w:rPr>
          <w:color w:val="231F20"/>
          <w:spacing w:val="-4"/>
          <w:w w:val="105"/>
        </w:rPr>
        <w:t>ritmo </w:t>
      </w:r>
      <w:r>
        <w:rPr>
          <w:color w:val="231F20"/>
          <w:w w:val="105"/>
        </w:rPr>
        <w:t>de </w:t>
      </w:r>
      <w:r>
        <w:rPr>
          <w:color w:val="231F20"/>
          <w:spacing w:val="-4"/>
          <w:w w:val="105"/>
        </w:rPr>
        <w:t>perfeccionamiento.</w:t>
      </w:r>
    </w:p>
    <w:p>
      <w:pPr>
        <w:pStyle w:val="ListParagraph"/>
        <w:numPr>
          <w:ilvl w:val="0"/>
          <w:numId w:val="24"/>
        </w:numPr>
        <w:tabs>
          <w:tab w:pos="1175" w:val="left" w:leader="none"/>
        </w:tabs>
        <w:spacing w:line="259" w:lineRule="auto" w:before="170" w:after="0"/>
        <w:ind w:left="1174" w:right="114" w:hanging="360"/>
        <w:jc w:val="both"/>
        <w:rPr>
          <w:sz w:val="21"/>
        </w:rPr>
      </w:pPr>
      <w:r>
        <w:rPr>
          <w:color w:val="231F20"/>
          <w:w w:val="105"/>
          <w:sz w:val="21"/>
        </w:rPr>
        <w:t>Condiciones de la demanda de los productos o servicios del</w:t>
      </w:r>
      <w:r>
        <w:rPr>
          <w:color w:val="231F20"/>
          <w:spacing w:val="-18"/>
          <w:w w:val="105"/>
          <w:sz w:val="21"/>
        </w:rPr>
        <w:t> </w:t>
      </w:r>
      <w:r>
        <w:rPr>
          <w:color w:val="231F20"/>
          <w:w w:val="105"/>
          <w:sz w:val="21"/>
        </w:rPr>
        <w:t>sector.</w:t>
      </w:r>
      <w:r>
        <w:rPr>
          <w:color w:val="231F20"/>
          <w:spacing w:val="-24"/>
          <w:w w:val="105"/>
          <w:sz w:val="21"/>
        </w:rPr>
        <w:t> </w:t>
      </w:r>
      <w:r>
        <w:rPr>
          <w:color w:val="231F20"/>
          <w:w w:val="105"/>
          <w:sz w:val="21"/>
        </w:rPr>
        <w:t>La</w:t>
      </w:r>
      <w:r>
        <w:rPr>
          <w:color w:val="231F20"/>
          <w:spacing w:val="-18"/>
          <w:w w:val="105"/>
          <w:sz w:val="21"/>
        </w:rPr>
        <w:t> </w:t>
      </w:r>
      <w:r>
        <w:rPr>
          <w:color w:val="231F20"/>
          <w:w w:val="105"/>
          <w:sz w:val="21"/>
        </w:rPr>
        <w:t>composición</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demanda</w:t>
      </w:r>
      <w:r>
        <w:rPr>
          <w:color w:val="231F20"/>
          <w:spacing w:val="-18"/>
          <w:w w:val="105"/>
          <w:sz w:val="21"/>
        </w:rPr>
        <w:t> </w:t>
      </w:r>
      <w:r>
        <w:rPr>
          <w:color w:val="231F20"/>
          <w:w w:val="105"/>
          <w:sz w:val="21"/>
        </w:rPr>
        <w:t>interior</w:t>
      </w:r>
      <w:r>
        <w:rPr>
          <w:color w:val="231F20"/>
          <w:spacing w:val="-18"/>
          <w:w w:val="105"/>
          <w:sz w:val="21"/>
        </w:rPr>
        <w:t> </w:t>
      </w:r>
      <w:r>
        <w:rPr>
          <w:color w:val="231F20"/>
          <w:w w:val="105"/>
          <w:sz w:val="21"/>
        </w:rPr>
        <w:t>conforma el modo en que las empresas perciben, interpretan y dan respuesta</w:t>
      </w:r>
      <w:r>
        <w:rPr>
          <w:color w:val="231F20"/>
          <w:spacing w:val="-10"/>
          <w:w w:val="105"/>
          <w:sz w:val="21"/>
        </w:rPr>
        <w:t> </w:t>
      </w:r>
      <w:r>
        <w:rPr>
          <w:color w:val="231F20"/>
          <w:w w:val="105"/>
          <w:sz w:val="21"/>
        </w:rPr>
        <w:t>a</w:t>
      </w:r>
      <w:r>
        <w:rPr>
          <w:color w:val="231F20"/>
          <w:spacing w:val="-10"/>
          <w:w w:val="105"/>
          <w:sz w:val="21"/>
        </w:rPr>
        <w:t> </w:t>
      </w:r>
      <w:r>
        <w:rPr>
          <w:color w:val="231F20"/>
          <w:w w:val="105"/>
          <w:sz w:val="21"/>
        </w:rPr>
        <w:t>las</w:t>
      </w:r>
      <w:r>
        <w:rPr>
          <w:color w:val="231F20"/>
          <w:spacing w:val="-10"/>
          <w:w w:val="105"/>
          <w:sz w:val="21"/>
        </w:rPr>
        <w:t> </w:t>
      </w:r>
      <w:r>
        <w:rPr>
          <w:color w:val="231F20"/>
          <w:w w:val="105"/>
          <w:sz w:val="21"/>
        </w:rPr>
        <w:t>necesidades</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sus</w:t>
      </w:r>
      <w:r>
        <w:rPr>
          <w:color w:val="231F20"/>
          <w:spacing w:val="-10"/>
          <w:w w:val="105"/>
          <w:sz w:val="21"/>
        </w:rPr>
        <w:t> </w:t>
      </w:r>
      <w:r>
        <w:rPr>
          <w:color w:val="231F20"/>
          <w:w w:val="105"/>
          <w:sz w:val="21"/>
        </w:rPr>
        <w:t>clientes.</w:t>
      </w:r>
      <w:r>
        <w:rPr>
          <w:color w:val="231F20"/>
          <w:spacing w:val="-13"/>
          <w:w w:val="105"/>
          <w:sz w:val="21"/>
        </w:rPr>
        <w:t> </w:t>
      </w:r>
      <w:r>
        <w:rPr>
          <w:color w:val="231F20"/>
          <w:spacing w:val="-4"/>
          <w:w w:val="105"/>
          <w:sz w:val="21"/>
        </w:rPr>
        <w:t>Para</w:t>
      </w:r>
      <w:r>
        <w:rPr>
          <w:color w:val="231F20"/>
          <w:spacing w:val="-10"/>
          <w:w w:val="105"/>
          <w:sz w:val="21"/>
        </w:rPr>
        <w:t> </w:t>
      </w:r>
      <w:r>
        <w:rPr>
          <w:color w:val="231F20"/>
          <w:w w:val="105"/>
          <w:sz w:val="21"/>
        </w:rPr>
        <w:t>alcanzar la</w:t>
      </w:r>
      <w:r>
        <w:rPr>
          <w:color w:val="231F20"/>
          <w:spacing w:val="-18"/>
          <w:w w:val="105"/>
          <w:sz w:val="21"/>
        </w:rPr>
        <w:t> </w:t>
      </w:r>
      <w:r>
        <w:rPr>
          <w:color w:val="231F20"/>
          <w:w w:val="105"/>
          <w:sz w:val="21"/>
        </w:rPr>
        <w:t>ventaja</w:t>
      </w:r>
      <w:r>
        <w:rPr>
          <w:color w:val="231F20"/>
          <w:spacing w:val="-18"/>
          <w:w w:val="105"/>
          <w:sz w:val="21"/>
        </w:rPr>
        <w:t> </w:t>
      </w:r>
      <w:r>
        <w:rPr>
          <w:color w:val="231F20"/>
          <w:w w:val="105"/>
          <w:sz w:val="21"/>
        </w:rPr>
        <w:t>competitiva</w:t>
      </w:r>
      <w:r>
        <w:rPr>
          <w:color w:val="231F20"/>
          <w:spacing w:val="-18"/>
          <w:w w:val="105"/>
          <w:sz w:val="21"/>
        </w:rPr>
        <w:t> </w:t>
      </w:r>
      <w:r>
        <w:rPr>
          <w:color w:val="231F20"/>
          <w:w w:val="105"/>
          <w:sz w:val="21"/>
        </w:rPr>
        <w:t>deben:</w:t>
      </w:r>
      <w:r>
        <w:rPr>
          <w:color w:val="231F20"/>
          <w:spacing w:val="-18"/>
          <w:w w:val="105"/>
          <w:sz w:val="21"/>
        </w:rPr>
        <w:t> </w:t>
      </w:r>
      <w:r>
        <w:rPr>
          <w:color w:val="231F20"/>
          <w:w w:val="105"/>
          <w:sz w:val="21"/>
        </w:rPr>
        <w:t>a)</w:t>
      </w:r>
      <w:r>
        <w:rPr>
          <w:color w:val="231F20"/>
          <w:spacing w:val="-18"/>
          <w:w w:val="105"/>
          <w:sz w:val="21"/>
        </w:rPr>
        <w:t> </w:t>
      </w:r>
      <w:r>
        <w:rPr>
          <w:color w:val="231F20"/>
          <w:w w:val="105"/>
          <w:sz w:val="21"/>
        </w:rPr>
        <w:t>reconocer</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segmentación de</w:t>
      </w:r>
      <w:r>
        <w:rPr>
          <w:color w:val="231F20"/>
          <w:spacing w:val="-8"/>
          <w:w w:val="105"/>
          <w:sz w:val="21"/>
        </w:rPr>
        <w:t> </w:t>
      </w:r>
      <w:r>
        <w:rPr>
          <w:color w:val="231F20"/>
          <w:w w:val="105"/>
          <w:sz w:val="21"/>
        </w:rPr>
        <w:t>la</w:t>
      </w:r>
      <w:r>
        <w:rPr>
          <w:color w:val="231F20"/>
          <w:spacing w:val="-8"/>
          <w:w w:val="105"/>
          <w:sz w:val="21"/>
        </w:rPr>
        <w:t> </w:t>
      </w:r>
      <w:r>
        <w:rPr>
          <w:color w:val="231F20"/>
          <w:w w:val="105"/>
          <w:sz w:val="21"/>
        </w:rPr>
        <w:t>demanda,</w:t>
      </w:r>
      <w:r>
        <w:rPr>
          <w:color w:val="231F20"/>
          <w:spacing w:val="-12"/>
          <w:w w:val="105"/>
          <w:sz w:val="21"/>
        </w:rPr>
        <w:t> </w:t>
      </w:r>
      <w:r>
        <w:rPr>
          <w:color w:val="231F20"/>
          <w:w w:val="105"/>
          <w:sz w:val="21"/>
        </w:rPr>
        <w:t>lograr</w:t>
      </w:r>
      <w:r>
        <w:rPr>
          <w:color w:val="231F20"/>
          <w:spacing w:val="-8"/>
          <w:w w:val="105"/>
          <w:sz w:val="21"/>
        </w:rPr>
        <w:t> </w:t>
      </w:r>
      <w:r>
        <w:rPr>
          <w:color w:val="231F20"/>
          <w:w w:val="105"/>
          <w:sz w:val="21"/>
        </w:rPr>
        <w:t>economías</w:t>
      </w:r>
      <w:r>
        <w:rPr>
          <w:color w:val="231F20"/>
          <w:spacing w:val="-8"/>
          <w:w w:val="105"/>
          <w:sz w:val="21"/>
        </w:rPr>
        <w:t> </w:t>
      </w:r>
      <w:r>
        <w:rPr>
          <w:color w:val="231F20"/>
          <w:w w:val="105"/>
          <w:sz w:val="21"/>
        </w:rPr>
        <w:t>de</w:t>
      </w:r>
      <w:r>
        <w:rPr>
          <w:color w:val="231F20"/>
          <w:spacing w:val="-8"/>
          <w:w w:val="105"/>
          <w:sz w:val="21"/>
        </w:rPr>
        <w:t> </w:t>
      </w:r>
      <w:r>
        <w:rPr>
          <w:color w:val="231F20"/>
          <w:w w:val="105"/>
          <w:sz w:val="21"/>
        </w:rPr>
        <w:t>escala</w:t>
      </w:r>
      <w:r>
        <w:rPr>
          <w:color w:val="231F20"/>
          <w:spacing w:val="-8"/>
          <w:w w:val="105"/>
          <w:sz w:val="21"/>
        </w:rPr>
        <w:t> </w:t>
      </w:r>
      <w:r>
        <w:rPr>
          <w:color w:val="231F20"/>
          <w:w w:val="105"/>
          <w:sz w:val="21"/>
        </w:rPr>
        <w:t>y</w:t>
      </w:r>
      <w:r>
        <w:rPr>
          <w:color w:val="231F20"/>
          <w:spacing w:val="-8"/>
          <w:w w:val="105"/>
          <w:sz w:val="21"/>
        </w:rPr>
        <w:t> </w:t>
      </w:r>
      <w:r>
        <w:rPr>
          <w:color w:val="231F20"/>
          <w:w w:val="105"/>
          <w:sz w:val="21"/>
        </w:rPr>
        <w:t>avances</w:t>
      </w:r>
      <w:r>
        <w:rPr>
          <w:color w:val="231F20"/>
          <w:spacing w:val="-8"/>
          <w:w w:val="105"/>
          <w:sz w:val="21"/>
        </w:rPr>
        <w:t> </w:t>
      </w:r>
      <w:r>
        <w:rPr>
          <w:color w:val="231F20"/>
          <w:w w:val="105"/>
          <w:sz w:val="21"/>
        </w:rPr>
        <w:t>tec- nológicos; b) dirigirse a clientes exigentes, adoptar</w:t>
      </w:r>
      <w:r>
        <w:rPr>
          <w:color w:val="231F20"/>
          <w:spacing w:val="-21"/>
          <w:w w:val="105"/>
          <w:sz w:val="21"/>
        </w:rPr>
        <w:t> </w:t>
      </w:r>
      <w:r>
        <w:rPr>
          <w:color w:val="231F20"/>
          <w:w w:val="105"/>
          <w:sz w:val="21"/>
        </w:rPr>
        <w:t>nuevas tecnologías</w:t>
      </w:r>
      <w:r>
        <w:rPr>
          <w:color w:val="231F20"/>
          <w:spacing w:val="-23"/>
          <w:w w:val="105"/>
          <w:sz w:val="21"/>
        </w:rPr>
        <w:t> </w:t>
      </w:r>
      <w:r>
        <w:rPr>
          <w:color w:val="231F20"/>
          <w:w w:val="105"/>
          <w:sz w:val="21"/>
        </w:rPr>
        <w:t>e</w:t>
      </w:r>
      <w:r>
        <w:rPr>
          <w:color w:val="231F20"/>
          <w:spacing w:val="-23"/>
          <w:w w:val="105"/>
          <w:sz w:val="21"/>
        </w:rPr>
        <w:t> </w:t>
      </w:r>
      <w:r>
        <w:rPr>
          <w:color w:val="231F20"/>
          <w:w w:val="105"/>
          <w:sz w:val="21"/>
        </w:rPr>
        <w:t>innovar;</w:t>
      </w:r>
      <w:r>
        <w:rPr>
          <w:color w:val="231F20"/>
          <w:spacing w:val="-23"/>
          <w:w w:val="105"/>
          <w:sz w:val="21"/>
        </w:rPr>
        <w:t> </w:t>
      </w:r>
      <w:r>
        <w:rPr>
          <w:color w:val="231F20"/>
          <w:w w:val="105"/>
          <w:sz w:val="21"/>
        </w:rPr>
        <w:t>c)</w:t>
      </w:r>
      <w:r>
        <w:rPr>
          <w:color w:val="231F20"/>
          <w:spacing w:val="-23"/>
          <w:w w:val="105"/>
          <w:sz w:val="21"/>
        </w:rPr>
        <w:t> </w:t>
      </w:r>
      <w:r>
        <w:rPr>
          <w:color w:val="231F20"/>
          <w:w w:val="105"/>
          <w:sz w:val="21"/>
        </w:rPr>
        <w:t>enfocarse</w:t>
      </w:r>
      <w:r>
        <w:rPr>
          <w:color w:val="231F20"/>
          <w:spacing w:val="-23"/>
          <w:w w:val="105"/>
          <w:sz w:val="21"/>
        </w:rPr>
        <w:t> </w:t>
      </w:r>
      <w:r>
        <w:rPr>
          <w:color w:val="231F20"/>
          <w:w w:val="105"/>
          <w:sz w:val="21"/>
        </w:rPr>
        <w:t>a</w:t>
      </w:r>
      <w:r>
        <w:rPr>
          <w:color w:val="231F20"/>
          <w:spacing w:val="-23"/>
          <w:w w:val="105"/>
          <w:sz w:val="21"/>
        </w:rPr>
        <w:t> </w:t>
      </w:r>
      <w:r>
        <w:rPr>
          <w:color w:val="231F20"/>
          <w:w w:val="105"/>
          <w:sz w:val="21"/>
        </w:rPr>
        <w:t>las</w:t>
      </w:r>
      <w:r>
        <w:rPr>
          <w:color w:val="231F20"/>
          <w:spacing w:val="-23"/>
          <w:w w:val="105"/>
          <w:sz w:val="21"/>
        </w:rPr>
        <w:t> </w:t>
      </w:r>
      <w:r>
        <w:rPr>
          <w:color w:val="231F20"/>
          <w:w w:val="105"/>
          <w:sz w:val="21"/>
        </w:rPr>
        <w:t>necesidades</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los clientes mediante calidad y perfeccionamiento en produc- tos</w:t>
      </w:r>
      <w:r>
        <w:rPr>
          <w:color w:val="231F20"/>
          <w:spacing w:val="-16"/>
          <w:w w:val="105"/>
          <w:sz w:val="21"/>
        </w:rPr>
        <w:t> </w:t>
      </w:r>
      <w:r>
        <w:rPr>
          <w:color w:val="231F20"/>
          <w:w w:val="105"/>
          <w:sz w:val="21"/>
        </w:rPr>
        <w:t>y</w:t>
      </w:r>
      <w:r>
        <w:rPr>
          <w:color w:val="231F20"/>
          <w:spacing w:val="-16"/>
          <w:w w:val="105"/>
          <w:sz w:val="21"/>
        </w:rPr>
        <w:t> </w:t>
      </w:r>
      <w:r>
        <w:rPr>
          <w:color w:val="231F20"/>
          <w:w w:val="105"/>
          <w:sz w:val="21"/>
        </w:rPr>
        <w:t>servicios.</w:t>
      </w:r>
      <w:r>
        <w:rPr>
          <w:color w:val="231F20"/>
          <w:spacing w:val="-21"/>
          <w:w w:val="105"/>
          <w:sz w:val="21"/>
        </w:rPr>
        <w:t> </w:t>
      </w:r>
      <w:r>
        <w:rPr>
          <w:color w:val="231F20"/>
          <w:w w:val="105"/>
          <w:sz w:val="21"/>
        </w:rPr>
        <w:t>Las</w:t>
      </w:r>
      <w:r>
        <w:rPr>
          <w:color w:val="231F20"/>
          <w:spacing w:val="-16"/>
          <w:w w:val="105"/>
          <w:sz w:val="21"/>
        </w:rPr>
        <w:t> </w:t>
      </w:r>
      <w:r>
        <w:rPr>
          <w:color w:val="231F20"/>
          <w:w w:val="105"/>
          <w:sz w:val="21"/>
        </w:rPr>
        <w:t>naciones</w:t>
      </w:r>
      <w:r>
        <w:rPr>
          <w:color w:val="231F20"/>
          <w:spacing w:val="-16"/>
          <w:w w:val="105"/>
          <w:sz w:val="21"/>
        </w:rPr>
        <w:t> </w:t>
      </w:r>
      <w:r>
        <w:rPr>
          <w:color w:val="231F20"/>
          <w:w w:val="105"/>
          <w:sz w:val="21"/>
        </w:rPr>
        <w:t>consiguen</w:t>
      </w:r>
      <w:r>
        <w:rPr>
          <w:color w:val="231F20"/>
          <w:spacing w:val="-16"/>
          <w:w w:val="105"/>
          <w:sz w:val="21"/>
        </w:rPr>
        <w:t> </w:t>
      </w:r>
      <w:r>
        <w:rPr>
          <w:color w:val="231F20"/>
          <w:w w:val="105"/>
          <w:sz w:val="21"/>
        </w:rPr>
        <w:t>ventaja</w:t>
      </w:r>
      <w:r>
        <w:rPr>
          <w:color w:val="231F20"/>
          <w:spacing w:val="-16"/>
          <w:w w:val="105"/>
          <w:sz w:val="21"/>
        </w:rPr>
        <w:t> </w:t>
      </w:r>
      <w:r>
        <w:rPr>
          <w:color w:val="231F20"/>
          <w:w w:val="105"/>
          <w:sz w:val="21"/>
        </w:rPr>
        <w:t>competitiva si los proveedores locales presionan a las empresas a</w:t>
      </w:r>
      <w:r>
        <w:rPr>
          <w:color w:val="231F20"/>
          <w:spacing w:val="-33"/>
          <w:w w:val="105"/>
          <w:sz w:val="21"/>
        </w:rPr>
        <w:t> </w:t>
      </w:r>
      <w:r>
        <w:rPr>
          <w:color w:val="231F20"/>
          <w:w w:val="105"/>
          <w:sz w:val="21"/>
        </w:rPr>
        <w:t>que innoven</w:t>
      </w:r>
      <w:r>
        <w:rPr>
          <w:color w:val="231F20"/>
          <w:spacing w:val="-20"/>
          <w:w w:val="105"/>
          <w:sz w:val="21"/>
        </w:rPr>
        <w:t> </w:t>
      </w:r>
      <w:r>
        <w:rPr>
          <w:color w:val="231F20"/>
          <w:w w:val="105"/>
          <w:sz w:val="21"/>
        </w:rPr>
        <w:t>más</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prisa</w:t>
      </w:r>
      <w:r>
        <w:rPr>
          <w:color w:val="231F20"/>
          <w:spacing w:val="-20"/>
          <w:w w:val="105"/>
          <w:sz w:val="21"/>
        </w:rPr>
        <w:t> </w:t>
      </w:r>
      <w:r>
        <w:rPr>
          <w:color w:val="231F20"/>
          <w:w w:val="105"/>
          <w:sz w:val="21"/>
        </w:rPr>
        <w:t>y</w:t>
      </w:r>
      <w:r>
        <w:rPr>
          <w:color w:val="231F20"/>
          <w:spacing w:val="-20"/>
          <w:w w:val="105"/>
          <w:sz w:val="21"/>
        </w:rPr>
        <w:t> </w:t>
      </w:r>
      <w:r>
        <w:rPr>
          <w:color w:val="231F20"/>
          <w:w w:val="105"/>
          <w:sz w:val="21"/>
        </w:rPr>
        <w:t>alcancen</w:t>
      </w:r>
      <w:r>
        <w:rPr>
          <w:color w:val="231F20"/>
          <w:spacing w:val="-20"/>
          <w:w w:val="105"/>
          <w:sz w:val="21"/>
        </w:rPr>
        <w:t> </w:t>
      </w:r>
      <w:r>
        <w:rPr>
          <w:color w:val="231F20"/>
          <w:w w:val="105"/>
          <w:sz w:val="21"/>
        </w:rPr>
        <w:t>ventajas</w:t>
      </w:r>
      <w:r>
        <w:rPr>
          <w:color w:val="231F20"/>
          <w:spacing w:val="-20"/>
          <w:w w:val="105"/>
          <w:sz w:val="21"/>
        </w:rPr>
        <w:t> </w:t>
      </w:r>
      <w:r>
        <w:rPr>
          <w:color w:val="231F20"/>
          <w:w w:val="105"/>
          <w:sz w:val="21"/>
        </w:rPr>
        <w:t>competitivas</w:t>
      </w:r>
      <w:r>
        <w:rPr>
          <w:color w:val="231F20"/>
          <w:spacing w:val="-20"/>
          <w:w w:val="105"/>
          <w:sz w:val="21"/>
        </w:rPr>
        <w:t> </w:t>
      </w:r>
      <w:r>
        <w:rPr>
          <w:color w:val="231F20"/>
          <w:w w:val="105"/>
          <w:sz w:val="21"/>
        </w:rPr>
        <w:t>más refinadas,</w:t>
      </w:r>
      <w:r>
        <w:rPr>
          <w:color w:val="231F20"/>
          <w:spacing w:val="-34"/>
          <w:w w:val="105"/>
          <w:sz w:val="21"/>
        </w:rPr>
        <w:t> </w:t>
      </w:r>
      <w:r>
        <w:rPr>
          <w:color w:val="231F20"/>
          <w:w w:val="105"/>
          <w:sz w:val="21"/>
        </w:rPr>
        <w:t>en</w:t>
      </w:r>
      <w:r>
        <w:rPr>
          <w:color w:val="231F20"/>
          <w:spacing w:val="-30"/>
          <w:w w:val="105"/>
          <w:sz w:val="21"/>
        </w:rPr>
        <w:t> </w:t>
      </w:r>
      <w:r>
        <w:rPr>
          <w:color w:val="231F20"/>
          <w:w w:val="105"/>
          <w:sz w:val="21"/>
        </w:rPr>
        <w:t>comparación</w:t>
      </w:r>
      <w:r>
        <w:rPr>
          <w:color w:val="231F20"/>
          <w:spacing w:val="-30"/>
          <w:w w:val="105"/>
          <w:sz w:val="21"/>
        </w:rPr>
        <w:t> </w:t>
      </w:r>
      <w:r>
        <w:rPr>
          <w:color w:val="231F20"/>
          <w:w w:val="105"/>
          <w:sz w:val="21"/>
        </w:rPr>
        <w:t>con</w:t>
      </w:r>
      <w:r>
        <w:rPr>
          <w:color w:val="231F20"/>
          <w:spacing w:val="-30"/>
          <w:w w:val="105"/>
          <w:sz w:val="21"/>
        </w:rPr>
        <w:t> </w:t>
      </w:r>
      <w:r>
        <w:rPr>
          <w:color w:val="231F20"/>
          <w:w w:val="105"/>
          <w:sz w:val="21"/>
        </w:rPr>
        <w:t>sus</w:t>
      </w:r>
      <w:r>
        <w:rPr>
          <w:color w:val="231F20"/>
          <w:spacing w:val="-30"/>
          <w:w w:val="105"/>
          <w:sz w:val="21"/>
        </w:rPr>
        <w:t> </w:t>
      </w:r>
      <w:r>
        <w:rPr>
          <w:color w:val="231F20"/>
          <w:w w:val="105"/>
          <w:sz w:val="21"/>
        </w:rPr>
        <w:t>rivales</w:t>
      </w:r>
      <w:r>
        <w:rPr>
          <w:color w:val="231F20"/>
          <w:spacing w:val="-30"/>
          <w:w w:val="105"/>
          <w:sz w:val="21"/>
        </w:rPr>
        <w:t> </w:t>
      </w:r>
      <w:r>
        <w:rPr>
          <w:color w:val="231F20"/>
          <w:w w:val="105"/>
          <w:sz w:val="21"/>
        </w:rPr>
        <w:t>extranjeros</w:t>
      </w:r>
      <w:r>
        <w:rPr>
          <w:color w:val="231F20"/>
          <w:spacing w:val="-30"/>
          <w:w w:val="105"/>
          <w:sz w:val="21"/>
        </w:rPr>
        <w:t> </w:t>
      </w:r>
      <w:r>
        <w:rPr>
          <w:color w:val="231F20"/>
          <w:w w:val="105"/>
          <w:sz w:val="21"/>
        </w:rPr>
        <w:t>y</w:t>
      </w:r>
      <w:r>
        <w:rPr>
          <w:color w:val="231F20"/>
          <w:spacing w:val="-30"/>
          <w:w w:val="105"/>
          <w:sz w:val="21"/>
        </w:rPr>
        <w:t> </w:t>
      </w:r>
      <w:r>
        <w:rPr>
          <w:color w:val="231F20"/>
          <w:w w:val="105"/>
          <w:sz w:val="21"/>
        </w:rPr>
        <w:t>tam- bién consiguen ventaja competitiva en los sectores o seg- mentos sectoriales donde la demanda interior brinda a las empresas</w:t>
      </w:r>
      <w:r>
        <w:rPr>
          <w:color w:val="231F20"/>
          <w:spacing w:val="-29"/>
          <w:w w:val="105"/>
          <w:sz w:val="21"/>
        </w:rPr>
        <w:t> </w:t>
      </w:r>
      <w:r>
        <w:rPr>
          <w:color w:val="231F20"/>
          <w:w w:val="105"/>
          <w:sz w:val="21"/>
        </w:rPr>
        <w:t>locales</w:t>
      </w:r>
      <w:r>
        <w:rPr>
          <w:color w:val="231F20"/>
          <w:spacing w:val="-29"/>
          <w:w w:val="105"/>
          <w:sz w:val="21"/>
        </w:rPr>
        <w:t> </w:t>
      </w:r>
      <w:r>
        <w:rPr>
          <w:color w:val="231F20"/>
          <w:w w:val="105"/>
          <w:sz w:val="21"/>
        </w:rPr>
        <w:t>una</w:t>
      </w:r>
      <w:r>
        <w:rPr>
          <w:color w:val="231F20"/>
          <w:spacing w:val="-29"/>
          <w:w w:val="105"/>
          <w:sz w:val="21"/>
        </w:rPr>
        <w:t> </w:t>
      </w:r>
      <w:r>
        <w:rPr>
          <w:color w:val="231F20"/>
          <w:w w:val="105"/>
          <w:sz w:val="21"/>
        </w:rPr>
        <w:t>imagen</w:t>
      </w:r>
      <w:r>
        <w:rPr>
          <w:color w:val="231F20"/>
          <w:spacing w:val="-29"/>
          <w:w w:val="105"/>
          <w:sz w:val="21"/>
        </w:rPr>
        <w:t> </w:t>
      </w:r>
      <w:r>
        <w:rPr>
          <w:color w:val="231F20"/>
          <w:w w:val="105"/>
          <w:sz w:val="21"/>
        </w:rPr>
        <w:t>de</w:t>
      </w:r>
      <w:r>
        <w:rPr>
          <w:color w:val="231F20"/>
          <w:spacing w:val="-29"/>
          <w:w w:val="105"/>
          <w:sz w:val="21"/>
        </w:rPr>
        <w:t> </w:t>
      </w:r>
      <w:r>
        <w:rPr>
          <w:color w:val="231F20"/>
          <w:w w:val="105"/>
          <w:sz w:val="21"/>
        </w:rPr>
        <w:t>las</w:t>
      </w:r>
      <w:r>
        <w:rPr>
          <w:color w:val="231F20"/>
          <w:spacing w:val="-29"/>
          <w:w w:val="105"/>
          <w:sz w:val="21"/>
        </w:rPr>
        <w:t> </w:t>
      </w:r>
      <w:r>
        <w:rPr>
          <w:color w:val="231F20"/>
          <w:w w:val="105"/>
          <w:sz w:val="21"/>
        </w:rPr>
        <w:t>necesidades</w:t>
      </w:r>
      <w:r>
        <w:rPr>
          <w:color w:val="231F20"/>
          <w:spacing w:val="-29"/>
          <w:w w:val="105"/>
          <w:sz w:val="21"/>
        </w:rPr>
        <w:t> </w:t>
      </w:r>
      <w:r>
        <w:rPr>
          <w:color w:val="231F20"/>
          <w:w w:val="105"/>
          <w:sz w:val="21"/>
        </w:rPr>
        <w:t>del</w:t>
      </w:r>
      <w:r>
        <w:rPr>
          <w:color w:val="231F20"/>
          <w:spacing w:val="-29"/>
          <w:w w:val="105"/>
          <w:sz w:val="21"/>
        </w:rPr>
        <w:t> </w:t>
      </w:r>
      <w:r>
        <w:rPr>
          <w:color w:val="231F20"/>
          <w:w w:val="105"/>
          <w:sz w:val="21"/>
        </w:rPr>
        <w:t>cliente más</w:t>
      </w:r>
      <w:r>
        <w:rPr>
          <w:color w:val="231F20"/>
          <w:spacing w:val="-23"/>
          <w:w w:val="105"/>
          <w:sz w:val="21"/>
        </w:rPr>
        <w:t> </w:t>
      </w:r>
      <w:r>
        <w:rPr>
          <w:color w:val="231F20"/>
          <w:w w:val="105"/>
          <w:sz w:val="21"/>
        </w:rPr>
        <w:t>clara</w:t>
      </w:r>
      <w:r>
        <w:rPr>
          <w:color w:val="231F20"/>
          <w:spacing w:val="-23"/>
          <w:w w:val="105"/>
          <w:sz w:val="21"/>
        </w:rPr>
        <w:t> </w:t>
      </w:r>
      <w:r>
        <w:rPr>
          <w:color w:val="231F20"/>
          <w:w w:val="105"/>
          <w:sz w:val="21"/>
        </w:rPr>
        <w:t>que</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que</w:t>
      </w:r>
      <w:r>
        <w:rPr>
          <w:color w:val="231F20"/>
          <w:spacing w:val="-23"/>
          <w:w w:val="105"/>
          <w:sz w:val="21"/>
        </w:rPr>
        <w:t> </w:t>
      </w:r>
      <w:r>
        <w:rPr>
          <w:color w:val="231F20"/>
          <w:w w:val="105"/>
          <w:sz w:val="21"/>
        </w:rPr>
        <w:t>pueden</w:t>
      </w:r>
      <w:r>
        <w:rPr>
          <w:color w:val="231F20"/>
          <w:spacing w:val="-23"/>
          <w:w w:val="105"/>
          <w:sz w:val="21"/>
        </w:rPr>
        <w:t> </w:t>
      </w:r>
      <w:r>
        <w:rPr>
          <w:color w:val="231F20"/>
          <w:w w:val="105"/>
          <w:sz w:val="21"/>
        </w:rPr>
        <w:t>tener</w:t>
      </w:r>
      <w:r>
        <w:rPr>
          <w:color w:val="231F20"/>
          <w:spacing w:val="-23"/>
          <w:w w:val="105"/>
          <w:sz w:val="21"/>
        </w:rPr>
        <w:t> </w:t>
      </w:r>
      <w:r>
        <w:rPr>
          <w:color w:val="231F20"/>
          <w:w w:val="105"/>
          <w:sz w:val="21"/>
        </w:rPr>
        <w:t>sus</w:t>
      </w:r>
      <w:r>
        <w:rPr>
          <w:color w:val="231F20"/>
          <w:spacing w:val="-23"/>
          <w:w w:val="105"/>
          <w:sz w:val="21"/>
        </w:rPr>
        <w:t> </w:t>
      </w:r>
      <w:r>
        <w:rPr>
          <w:color w:val="231F20"/>
          <w:w w:val="105"/>
          <w:sz w:val="21"/>
        </w:rPr>
        <w:t>rivales</w:t>
      </w:r>
      <w:r>
        <w:rPr>
          <w:color w:val="231F20"/>
          <w:spacing w:val="-23"/>
          <w:w w:val="105"/>
          <w:sz w:val="21"/>
        </w:rPr>
        <w:t> </w:t>
      </w:r>
      <w:r>
        <w:rPr>
          <w:color w:val="231F20"/>
          <w:w w:val="105"/>
          <w:sz w:val="21"/>
        </w:rPr>
        <w:t>extranjeros.</w:t>
      </w:r>
    </w:p>
    <w:p>
      <w:pPr>
        <w:pStyle w:val="ListParagraph"/>
        <w:numPr>
          <w:ilvl w:val="0"/>
          <w:numId w:val="24"/>
        </w:numPr>
        <w:tabs>
          <w:tab w:pos="1175" w:val="left" w:leader="none"/>
        </w:tabs>
        <w:spacing w:line="259" w:lineRule="auto" w:before="170" w:after="0"/>
        <w:ind w:left="1174" w:right="111" w:hanging="360"/>
        <w:jc w:val="both"/>
        <w:rPr>
          <w:sz w:val="21"/>
        </w:rPr>
      </w:pPr>
      <w:r>
        <w:rPr>
          <w:color w:val="231F20"/>
          <w:spacing w:val="-5"/>
          <w:w w:val="105"/>
          <w:sz w:val="21"/>
        </w:rPr>
        <w:t>Proveedores</w:t>
      </w:r>
      <w:r>
        <w:rPr>
          <w:color w:val="231F20"/>
          <w:spacing w:val="-26"/>
          <w:w w:val="105"/>
          <w:sz w:val="21"/>
        </w:rPr>
        <w:t> </w:t>
      </w:r>
      <w:r>
        <w:rPr>
          <w:color w:val="231F20"/>
          <w:w w:val="105"/>
          <w:sz w:val="21"/>
        </w:rPr>
        <w:t>y</w:t>
      </w:r>
      <w:r>
        <w:rPr>
          <w:color w:val="231F20"/>
          <w:spacing w:val="-26"/>
          <w:w w:val="105"/>
          <w:sz w:val="21"/>
        </w:rPr>
        <w:t> </w:t>
      </w:r>
      <w:r>
        <w:rPr>
          <w:color w:val="231F20"/>
          <w:spacing w:val="-3"/>
          <w:w w:val="105"/>
          <w:sz w:val="21"/>
        </w:rPr>
        <w:t>sectores</w:t>
      </w:r>
      <w:r>
        <w:rPr>
          <w:color w:val="231F20"/>
          <w:spacing w:val="-26"/>
          <w:w w:val="105"/>
          <w:sz w:val="21"/>
        </w:rPr>
        <w:t> </w:t>
      </w:r>
      <w:r>
        <w:rPr>
          <w:color w:val="231F20"/>
          <w:spacing w:val="-3"/>
          <w:w w:val="105"/>
          <w:sz w:val="21"/>
        </w:rPr>
        <w:t>conexos.</w:t>
      </w:r>
      <w:r>
        <w:rPr>
          <w:color w:val="231F20"/>
          <w:spacing w:val="-30"/>
          <w:w w:val="105"/>
          <w:sz w:val="21"/>
        </w:rPr>
        <w:t> </w:t>
      </w:r>
      <w:r>
        <w:rPr>
          <w:color w:val="231F20"/>
          <w:w w:val="105"/>
          <w:sz w:val="21"/>
        </w:rPr>
        <w:t>Las</w:t>
      </w:r>
      <w:r>
        <w:rPr>
          <w:color w:val="231F20"/>
          <w:spacing w:val="-26"/>
          <w:w w:val="105"/>
          <w:sz w:val="21"/>
        </w:rPr>
        <w:t> </w:t>
      </w:r>
      <w:r>
        <w:rPr>
          <w:color w:val="231F20"/>
          <w:spacing w:val="-3"/>
          <w:w w:val="105"/>
          <w:sz w:val="21"/>
        </w:rPr>
        <w:t>empresas</w:t>
      </w:r>
      <w:r>
        <w:rPr>
          <w:color w:val="231F20"/>
          <w:spacing w:val="-26"/>
          <w:w w:val="105"/>
          <w:sz w:val="21"/>
        </w:rPr>
        <w:t> </w:t>
      </w:r>
      <w:r>
        <w:rPr>
          <w:color w:val="231F20"/>
          <w:spacing w:val="-3"/>
          <w:w w:val="105"/>
          <w:sz w:val="21"/>
        </w:rPr>
        <w:t>deben</w:t>
      </w:r>
      <w:r>
        <w:rPr>
          <w:color w:val="231F20"/>
          <w:spacing w:val="-26"/>
          <w:w w:val="105"/>
          <w:sz w:val="21"/>
        </w:rPr>
        <w:t> </w:t>
      </w:r>
      <w:r>
        <w:rPr>
          <w:color w:val="231F20"/>
          <w:spacing w:val="-3"/>
          <w:w w:val="105"/>
          <w:sz w:val="21"/>
        </w:rPr>
        <w:t>consi- derar</w:t>
      </w:r>
      <w:r>
        <w:rPr>
          <w:color w:val="231F20"/>
          <w:spacing w:val="-35"/>
          <w:w w:val="105"/>
          <w:sz w:val="21"/>
        </w:rPr>
        <w:t> </w:t>
      </w:r>
      <w:r>
        <w:rPr>
          <w:color w:val="231F20"/>
          <w:w w:val="105"/>
          <w:sz w:val="21"/>
        </w:rPr>
        <w:t>la</w:t>
      </w:r>
      <w:r>
        <w:rPr>
          <w:color w:val="231F20"/>
          <w:spacing w:val="-35"/>
          <w:w w:val="105"/>
          <w:sz w:val="21"/>
        </w:rPr>
        <w:t> </w:t>
      </w:r>
      <w:r>
        <w:rPr>
          <w:color w:val="231F20"/>
          <w:spacing w:val="-3"/>
          <w:w w:val="105"/>
          <w:sz w:val="21"/>
        </w:rPr>
        <w:t>presencia</w:t>
      </w:r>
      <w:r>
        <w:rPr>
          <w:color w:val="231F20"/>
          <w:spacing w:val="-35"/>
          <w:w w:val="105"/>
          <w:sz w:val="21"/>
        </w:rPr>
        <w:t> </w:t>
      </w:r>
      <w:r>
        <w:rPr>
          <w:color w:val="231F20"/>
          <w:w w:val="105"/>
          <w:sz w:val="21"/>
        </w:rPr>
        <w:t>o</w:t>
      </w:r>
      <w:r>
        <w:rPr>
          <w:color w:val="231F20"/>
          <w:spacing w:val="-35"/>
          <w:w w:val="105"/>
          <w:sz w:val="21"/>
        </w:rPr>
        <w:t> </w:t>
      </w:r>
      <w:r>
        <w:rPr>
          <w:color w:val="231F20"/>
          <w:spacing w:val="-3"/>
          <w:w w:val="105"/>
          <w:sz w:val="21"/>
        </w:rPr>
        <w:t>ausencia</w:t>
      </w:r>
      <w:r>
        <w:rPr>
          <w:color w:val="231F20"/>
          <w:spacing w:val="-35"/>
          <w:w w:val="105"/>
          <w:sz w:val="21"/>
        </w:rPr>
        <w:t> </w:t>
      </w:r>
      <w:r>
        <w:rPr>
          <w:color w:val="231F20"/>
          <w:w w:val="105"/>
          <w:sz w:val="21"/>
        </w:rPr>
        <w:t>en</w:t>
      </w:r>
      <w:r>
        <w:rPr>
          <w:color w:val="231F20"/>
          <w:spacing w:val="-35"/>
          <w:w w:val="105"/>
          <w:sz w:val="21"/>
        </w:rPr>
        <w:t> </w:t>
      </w:r>
      <w:r>
        <w:rPr>
          <w:color w:val="231F20"/>
          <w:w w:val="105"/>
          <w:sz w:val="21"/>
        </w:rPr>
        <w:t>la</w:t>
      </w:r>
      <w:r>
        <w:rPr>
          <w:color w:val="231F20"/>
          <w:spacing w:val="-35"/>
          <w:w w:val="105"/>
          <w:sz w:val="21"/>
        </w:rPr>
        <w:t> </w:t>
      </w:r>
      <w:r>
        <w:rPr>
          <w:color w:val="231F20"/>
          <w:spacing w:val="-3"/>
          <w:w w:val="105"/>
          <w:sz w:val="21"/>
        </w:rPr>
        <w:t>nación</w:t>
      </w:r>
      <w:r>
        <w:rPr>
          <w:color w:val="231F20"/>
          <w:spacing w:val="-35"/>
          <w:w w:val="105"/>
          <w:sz w:val="21"/>
        </w:rPr>
        <w:t> </w:t>
      </w:r>
      <w:r>
        <w:rPr>
          <w:color w:val="231F20"/>
          <w:w w:val="105"/>
          <w:sz w:val="21"/>
        </w:rPr>
        <w:t>de</w:t>
      </w:r>
      <w:r>
        <w:rPr>
          <w:color w:val="231F20"/>
          <w:spacing w:val="-35"/>
          <w:w w:val="105"/>
          <w:sz w:val="21"/>
        </w:rPr>
        <w:t> </w:t>
      </w:r>
      <w:r>
        <w:rPr>
          <w:color w:val="231F20"/>
          <w:spacing w:val="-3"/>
          <w:w w:val="105"/>
          <w:sz w:val="21"/>
        </w:rPr>
        <w:t>sectores</w:t>
      </w:r>
      <w:r>
        <w:rPr>
          <w:color w:val="231F20"/>
          <w:spacing w:val="-35"/>
          <w:w w:val="105"/>
          <w:sz w:val="21"/>
        </w:rPr>
        <w:t> </w:t>
      </w:r>
      <w:r>
        <w:rPr>
          <w:color w:val="231F20"/>
          <w:spacing w:val="-3"/>
          <w:w w:val="105"/>
          <w:sz w:val="21"/>
        </w:rPr>
        <w:t>provee- dores</w:t>
      </w:r>
      <w:r>
        <w:rPr>
          <w:color w:val="231F20"/>
          <w:spacing w:val="-19"/>
          <w:w w:val="105"/>
          <w:sz w:val="21"/>
        </w:rPr>
        <w:t> </w:t>
      </w:r>
      <w:r>
        <w:rPr>
          <w:color w:val="231F20"/>
          <w:w w:val="105"/>
          <w:sz w:val="21"/>
        </w:rPr>
        <w:t>y</w:t>
      </w:r>
      <w:r>
        <w:rPr>
          <w:color w:val="231F20"/>
          <w:spacing w:val="-19"/>
          <w:w w:val="105"/>
          <w:sz w:val="21"/>
        </w:rPr>
        <w:t> </w:t>
      </w:r>
      <w:r>
        <w:rPr>
          <w:color w:val="231F20"/>
          <w:spacing w:val="-3"/>
          <w:w w:val="105"/>
          <w:sz w:val="21"/>
        </w:rPr>
        <w:t>sectores</w:t>
      </w:r>
      <w:r>
        <w:rPr>
          <w:color w:val="231F20"/>
          <w:spacing w:val="-19"/>
          <w:w w:val="105"/>
          <w:sz w:val="21"/>
        </w:rPr>
        <w:t> </w:t>
      </w:r>
      <w:r>
        <w:rPr>
          <w:color w:val="231F20"/>
          <w:spacing w:val="-3"/>
          <w:w w:val="105"/>
          <w:sz w:val="21"/>
        </w:rPr>
        <w:t>conexos</w:t>
      </w:r>
      <w:r>
        <w:rPr>
          <w:color w:val="231F20"/>
          <w:spacing w:val="-19"/>
          <w:w w:val="105"/>
          <w:sz w:val="21"/>
        </w:rPr>
        <w:t> </w:t>
      </w:r>
      <w:r>
        <w:rPr>
          <w:color w:val="231F20"/>
          <w:w w:val="105"/>
          <w:sz w:val="21"/>
        </w:rPr>
        <w:t>que</w:t>
      </w:r>
      <w:r>
        <w:rPr>
          <w:color w:val="231F20"/>
          <w:spacing w:val="-19"/>
          <w:w w:val="105"/>
          <w:sz w:val="21"/>
        </w:rPr>
        <w:t> </w:t>
      </w:r>
      <w:r>
        <w:rPr>
          <w:color w:val="231F20"/>
          <w:spacing w:val="-3"/>
          <w:w w:val="105"/>
          <w:sz w:val="21"/>
        </w:rPr>
        <w:t>sean</w:t>
      </w:r>
      <w:r>
        <w:rPr>
          <w:color w:val="231F20"/>
          <w:spacing w:val="-19"/>
          <w:w w:val="105"/>
          <w:sz w:val="21"/>
        </w:rPr>
        <w:t> </w:t>
      </w:r>
      <w:r>
        <w:rPr>
          <w:color w:val="231F20"/>
          <w:spacing w:val="-3"/>
          <w:w w:val="105"/>
          <w:sz w:val="21"/>
        </w:rPr>
        <w:t>internacionalmente</w:t>
      </w:r>
      <w:r>
        <w:rPr>
          <w:color w:val="231F20"/>
          <w:spacing w:val="-19"/>
          <w:w w:val="105"/>
          <w:sz w:val="21"/>
        </w:rPr>
        <w:t> </w:t>
      </w:r>
      <w:r>
        <w:rPr>
          <w:color w:val="231F20"/>
          <w:spacing w:val="-3"/>
          <w:w w:val="105"/>
          <w:sz w:val="21"/>
        </w:rPr>
        <w:t>com- petitivos. </w:t>
      </w:r>
      <w:r>
        <w:rPr>
          <w:color w:val="231F20"/>
          <w:w w:val="105"/>
          <w:sz w:val="21"/>
        </w:rPr>
        <w:t>La </w:t>
      </w:r>
      <w:r>
        <w:rPr>
          <w:color w:val="231F20"/>
          <w:spacing w:val="-3"/>
          <w:w w:val="105"/>
          <w:sz w:val="21"/>
        </w:rPr>
        <w:t>presencia </w:t>
      </w:r>
      <w:r>
        <w:rPr>
          <w:color w:val="231F20"/>
          <w:w w:val="105"/>
          <w:sz w:val="21"/>
        </w:rPr>
        <w:t>de </w:t>
      </w:r>
      <w:r>
        <w:rPr>
          <w:color w:val="231F20"/>
          <w:spacing w:val="-4"/>
          <w:w w:val="105"/>
          <w:sz w:val="21"/>
        </w:rPr>
        <w:t>proveedores </w:t>
      </w:r>
      <w:r>
        <w:rPr>
          <w:color w:val="231F20"/>
          <w:spacing w:val="-3"/>
          <w:w w:val="105"/>
          <w:sz w:val="21"/>
        </w:rPr>
        <w:t>internacionalmente competitivos contribuye </w:t>
      </w:r>
      <w:r>
        <w:rPr>
          <w:color w:val="231F20"/>
          <w:w w:val="105"/>
          <w:sz w:val="21"/>
        </w:rPr>
        <w:t>a la </w:t>
      </w:r>
      <w:r>
        <w:rPr>
          <w:color w:val="231F20"/>
          <w:spacing w:val="-3"/>
          <w:w w:val="105"/>
          <w:sz w:val="21"/>
        </w:rPr>
        <w:t>ventaja competitiva mediante el acceso</w:t>
      </w:r>
      <w:r>
        <w:rPr>
          <w:color w:val="231F20"/>
          <w:spacing w:val="-30"/>
          <w:w w:val="105"/>
          <w:sz w:val="21"/>
        </w:rPr>
        <w:t> </w:t>
      </w:r>
      <w:r>
        <w:rPr>
          <w:color w:val="231F20"/>
          <w:spacing w:val="-3"/>
          <w:w w:val="105"/>
          <w:sz w:val="21"/>
        </w:rPr>
        <w:t>eficaz,</w:t>
      </w:r>
      <w:r>
        <w:rPr>
          <w:color w:val="231F20"/>
          <w:spacing w:val="-34"/>
          <w:w w:val="105"/>
          <w:sz w:val="21"/>
        </w:rPr>
        <w:t> </w:t>
      </w:r>
      <w:r>
        <w:rPr>
          <w:color w:val="231F20"/>
          <w:w w:val="105"/>
          <w:sz w:val="21"/>
        </w:rPr>
        <w:t>y</w:t>
      </w:r>
      <w:r>
        <w:rPr>
          <w:color w:val="231F20"/>
          <w:spacing w:val="-30"/>
          <w:w w:val="105"/>
          <w:sz w:val="21"/>
        </w:rPr>
        <w:t> </w:t>
      </w:r>
      <w:r>
        <w:rPr>
          <w:color w:val="231F20"/>
          <w:w w:val="105"/>
          <w:sz w:val="21"/>
        </w:rPr>
        <w:t>a</w:t>
      </w:r>
      <w:r>
        <w:rPr>
          <w:color w:val="231F20"/>
          <w:spacing w:val="-30"/>
          <w:w w:val="105"/>
          <w:sz w:val="21"/>
        </w:rPr>
        <w:t> </w:t>
      </w:r>
      <w:r>
        <w:rPr>
          <w:color w:val="231F20"/>
          <w:spacing w:val="-3"/>
          <w:w w:val="105"/>
          <w:sz w:val="21"/>
        </w:rPr>
        <w:t>veces</w:t>
      </w:r>
      <w:r>
        <w:rPr>
          <w:color w:val="231F20"/>
          <w:spacing w:val="-30"/>
          <w:w w:val="105"/>
          <w:sz w:val="21"/>
        </w:rPr>
        <w:t> </w:t>
      </w:r>
      <w:r>
        <w:rPr>
          <w:color w:val="231F20"/>
          <w:spacing w:val="-4"/>
          <w:w w:val="105"/>
          <w:sz w:val="21"/>
        </w:rPr>
        <w:t>preferencial</w:t>
      </w:r>
      <w:r>
        <w:rPr>
          <w:color w:val="231F20"/>
          <w:spacing w:val="-30"/>
          <w:w w:val="105"/>
          <w:sz w:val="21"/>
        </w:rPr>
        <w:t> </w:t>
      </w:r>
      <w:r>
        <w:rPr>
          <w:color w:val="231F20"/>
          <w:w w:val="105"/>
          <w:sz w:val="21"/>
        </w:rPr>
        <w:t>a</w:t>
      </w:r>
      <w:r>
        <w:rPr>
          <w:color w:val="231F20"/>
          <w:spacing w:val="-30"/>
          <w:w w:val="105"/>
          <w:sz w:val="21"/>
        </w:rPr>
        <w:t> </w:t>
      </w:r>
      <w:r>
        <w:rPr>
          <w:color w:val="231F20"/>
          <w:w w:val="105"/>
          <w:sz w:val="21"/>
        </w:rPr>
        <w:t>los</w:t>
      </w:r>
      <w:r>
        <w:rPr>
          <w:color w:val="231F20"/>
          <w:spacing w:val="-30"/>
          <w:w w:val="105"/>
          <w:sz w:val="21"/>
        </w:rPr>
        <w:t> </w:t>
      </w:r>
      <w:r>
        <w:rPr>
          <w:color w:val="231F20"/>
          <w:spacing w:val="-3"/>
          <w:w w:val="105"/>
          <w:sz w:val="21"/>
        </w:rPr>
        <w:t>insumos</w:t>
      </w:r>
      <w:r>
        <w:rPr>
          <w:color w:val="231F20"/>
          <w:spacing w:val="-30"/>
          <w:w w:val="105"/>
          <w:sz w:val="21"/>
        </w:rPr>
        <w:t> </w:t>
      </w:r>
      <w:r>
        <w:rPr>
          <w:color w:val="231F20"/>
          <w:w w:val="105"/>
          <w:sz w:val="21"/>
        </w:rPr>
        <w:t>más</w:t>
      </w:r>
      <w:r>
        <w:rPr>
          <w:color w:val="231F20"/>
          <w:spacing w:val="-30"/>
          <w:w w:val="105"/>
          <w:sz w:val="21"/>
        </w:rPr>
        <w:t> </w:t>
      </w:r>
      <w:r>
        <w:rPr>
          <w:color w:val="231F20"/>
          <w:spacing w:val="-3"/>
          <w:w w:val="105"/>
          <w:sz w:val="21"/>
        </w:rPr>
        <w:t>renta- bles</w:t>
      </w:r>
      <w:r>
        <w:rPr>
          <w:color w:val="231F20"/>
          <w:spacing w:val="-9"/>
          <w:w w:val="105"/>
          <w:sz w:val="21"/>
        </w:rPr>
        <w:t> </w:t>
      </w:r>
      <w:r>
        <w:rPr>
          <w:color w:val="231F20"/>
          <w:w w:val="105"/>
          <w:sz w:val="21"/>
        </w:rPr>
        <w:t>con</w:t>
      </w:r>
      <w:r>
        <w:rPr>
          <w:color w:val="231F20"/>
          <w:spacing w:val="-9"/>
          <w:w w:val="105"/>
          <w:sz w:val="21"/>
        </w:rPr>
        <w:t> </w:t>
      </w:r>
      <w:r>
        <w:rPr>
          <w:color w:val="231F20"/>
          <w:spacing w:val="-3"/>
          <w:w w:val="105"/>
          <w:sz w:val="21"/>
        </w:rPr>
        <w:t>relación</w:t>
      </w:r>
      <w:r>
        <w:rPr>
          <w:color w:val="231F20"/>
          <w:spacing w:val="-9"/>
          <w:w w:val="105"/>
          <w:sz w:val="21"/>
        </w:rPr>
        <w:t> </w:t>
      </w:r>
      <w:r>
        <w:rPr>
          <w:color w:val="231F20"/>
          <w:w w:val="105"/>
          <w:sz w:val="21"/>
        </w:rPr>
        <w:t>a</w:t>
      </w:r>
      <w:r>
        <w:rPr>
          <w:color w:val="231F20"/>
          <w:spacing w:val="-8"/>
          <w:w w:val="105"/>
          <w:sz w:val="21"/>
        </w:rPr>
        <w:t> </w:t>
      </w:r>
      <w:r>
        <w:rPr>
          <w:color w:val="231F20"/>
          <w:w w:val="105"/>
          <w:sz w:val="21"/>
        </w:rPr>
        <w:t>su</w:t>
      </w:r>
      <w:r>
        <w:rPr>
          <w:color w:val="231F20"/>
          <w:spacing w:val="-8"/>
          <w:w w:val="105"/>
          <w:sz w:val="21"/>
        </w:rPr>
        <w:t> </w:t>
      </w:r>
      <w:r>
        <w:rPr>
          <w:color w:val="231F20"/>
          <w:spacing w:val="-3"/>
          <w:w w:val="105"/>
          <w:sz w:val="21"/>
        </w:rPr>
        <w:t>costo.</w:t>
      </w:r>
      <w:r>
        <w:rPr>
          <w:color w:val="231F20"/>
          <w:spacing w:val="-14"/>
          <w:w w:val="105"/>
          <w:sz w:val="21"/>
        </w:rPr>
        <w:t> </w:t>
      </w:r>
      <w:r>
        <w:rPr>
          <w:color w:val="231F20"/>
          <w:w w:val="105"/>
          <w:sz w:val="21"/>
        </w:rPr>
        <w:t>El</w:t>
      </w:r>
      <w:r>
        <w:rPr>
          <w:color w:val="231F20"/>
          <w:spacing w:val="-8"/>
          <w:w w:val="105"/>
          <w:sz w:val="21"/>
        </w:rPr>
        <w:t> </w:t>
      </w:r>
      <w:r>
        <w:rPr>
          <w:color w:val="231F20"/>
          <w:spacing w:val="-3"/>
          <w:w w:val="105"/>
          <w:sz w:val="21"/>
        </w:rPr>
        <w:t>beneficio</w:t>
      </w:r>
      <w:r>
        <w:rPr>
          <w:color w:val="231F20"/>
          <w:spacing w:val="-9"/>
          <w:w w:val="105"/>
          <w:sz w:val="21"/>
        </w:rPr>
        <w:t> </w:t>
      </w:r>
      <w:r>
        <w:rPr>
          <w:color w:val="231F20"/>
          <w:w w:val="105"/>
          <w:sz w:val="21"/>
        </w:rPr>
        <w:t>más</w:t>
      </w:r>
      <w:r>
        <w:rPr>
          <w:color w:val="231F20"/>
          <w:spacing w:val="-9"/>
          <w:w w:val="105"/>
          <w:sz w:val="21"/>
        </w:rPr>
        <w:t> </w:t>
      </w:r>
      <w:r>
        <w:rPr>
          <w:color w:val="231F20"/>
          <w:spacing w:val="-3"/>
          <w:w w:val="105"/>
          <w:sz w:val="21"/>
        </w:rPr>
        <w:t>importante</w:t>
      </w:r>
      <w:r>
        <w:rPr>
          <w:color w:val="231F20"/>
          <w:spacing w:val="-9"/>
          <w:w w:val="105"/>
          <w:sz w:val="21"/>
        </w:rPr>
        <w:t> </w:t>
      </w:r>
      <w:r>
        <w:rPr>
          <w:color w:val="231F20"/>
          <w:spacing w:val="-3"/>
          <w:w w:val="105"/>
          <w:sz w:val="21"/>
        </w:rPr>
        <w:t>de </w:t>
      </w:r>
      <w:r>
        <w:rPr>
          <w:color w:val="231F20"/>
          <w:w w:val="105"/>
          <w:sz w:val="21"/>
        </w:rPr>
        <w:t>los</w:t>
      </w:r>
      <w:r>
        <w:rPr>
          <w:color w:val="231F20"/>
          <w:spacing w:val="-23"/>
          <w:w w:val="105"/>
          <w:sz w:val="21"/>
        </w:rPr>
        <w:t> </w:t>
      </w:r>
      <w:r>
        <w:rPr>
          <w:color w:val="231F20"/>
          <w:spacing w:val="-4"/>
          <w:w w:val="105"/>
          <w:sz w:val="21"/>
        </w:rPr>
        <w:t>proveedores</w:t>
      </w:r>
      <w:r>
        <w:rPr>
          <w:color w:val="231F20"/>
          <w:spacing w:val="-23"/>
          <w:w w:val="105"/>
          <w:sz w:val="21"/>
        </w:rPr>
        <w:t> </w:t>
      </w:r>
      <w:r>
        <w:rPr>
          <w:color w:val="231F20"/>
          <w:spacing w:val="-3"/>
          <w:w w:val="105"/>
          <w:sz w:val="21"/>
        </w:rPr>
        <w:t>establecidos</w:t>
      </w:r>
      <w:r>
        <w:rPr>
          <w:color w:val="231F20"/>
          <w:spacing w:val="-23"/>
          <w:w w:val="105"/>
          <w:sz w:val="21"/>
        </w:rPr>
        <w:t> </w:t>
      </w:r>
      <w:r>
        <w:rPr>
          <w:color w:val="231F20"/>
          <w:w w:val="105"/>
          <w:sz w:val="21"/>
        </w:rPr>
        <w:t>en</w:t>
      </w:r>
      <w:r>
        <w:rPr>
          <w:color w:val="231F20"/>
          <w:spacing w:val="-23"/>
          <w:w w:val="105"/>
          <w:sz w:val="21"/>
        </w:rPr>
        <w:t> </w:t>
      </w:r>
      <w:r>
        <w:rPr>
          <w:color w:val="231F20"/>
          <w:w w:val="105"/>
          <w:sz w:val="21"/>
        </w:rPr>
        <w:t>el</w:t>
      </w:r>
      <w:r>
        <w:rPr>
          <w:color w:val="231F20"/>
          <w:spacing w:val="-23"/>
          <w:w w:val="105"/>
          <w:sz w:val="21"/>
        </w:rPr>
        <w:t> </w:t>
      </w:r>
      <w:r>
        <w:rPr>
          <w:color w:val="231F20"/>
          <w:spacing w:val="-3"/>
          <w:w w:val="105"/>
          <w:sz w:val="21"/>
        </w:rPr>
        <w:t>propio</w:t>
      </w:r>
      <w:r>
        <w:rPr>
          <w:color w:val="231F20"/>
          <w:spacing w:val="-23"/>
          <w:w w:val="105"/>
          <w:sz w:val="21"/>
        </w:rPr>
        <w:t> </w:t>
      </w:r>
      <w:r>
        <w:rPr>
          <w:color w:val="231F20"/>
          <w:spacing w:val="-3"/>
          <w:w w:val="105"/>
          <w:sz w:val="21"/>
        </w:rPr>
        <w:t>país</w:t>
      </w:r>
      <w:r>
        <w:rPr>
          <w:color w:val="231F20"/>
          <w:spacing w:val="-23"/>
          <w:w w:val="105"/>
          <w:sz w:val="21"/>
        </w:rPr>
        <w:t> </w:t>
      </w:r>
      <w:r>
        <w:rPr>
          <w:color w:val="231F20"/>
          <w:spacing w:val="-3"/>
          <w:w w:val="105"/>
          <w:sz w:val="21"/>
        </w:rPr>
        <w:t>estriba</w:t>
      </w:r>
      <w:r>
        <w:rPr>
          <w:color w:val="231F20"/>
          <w:spacing w:val="-23"/>
          <w:w w:val="105"/>
          <w:sz w:val="21"/>
        </w:rPr>
        <w:t> </w:t>
      </w:r>
      <w:r>
        <w:rPr>
          <w:color w:val="231F20"/>
          <w:w w:val="105"/>
          <w:sz w:val="21"/>
        </w:rPr>
        <w:t>en</w:t>
      </w:r>
      <w:r>
        <w:rPr>
          <w:color w:val="231F20"/>
          <w:spacing w:val="-23"/>
          <w:w w:val="105"/>
          <w:sz w:val="21"/>
        </w:rPr>
        <w:t> </w:t>
      </w:r>
      <w:r>
        <w:rPr>
          <w:color w:val="231F20"/>
          <w:spacing w:val="-3"/>
          <w:w w:val="105"/>
          <w:sz w:val="21"/>
        </w:rPr>
        <w:t>que ayudan </w:t>
      </w:r>
      <w:r>
        <w:rPr>
          <w:color w:val="231F20"/>
          <w:w w:val="105"/>
          <w:sz w:val="21"/>
        </w:rPr>
        <w:t>a las </w:t>
      </w:r>
      <w:r>
        <w:rPr>
          <w:color w:val="231F20"/>
          <w:spacing w:val="-3"/>
          <w:w w:val="105"/>
          <w:sz w:val="21"/>
        </w:rPr>
        <w:t>empresas </w:t>
      </w:r>
      <w:r>
        <w:rPr>
          <w:color w:val="231F20"/>
          <w:w w:val="105"/>
          <w:sz w:val="21"/>
        </w:rPr>
        <w:t>a </w:t>
      </w:r>
      <w:r>
        <w:rPr>
          <w:color w:val="231F20"/>
          <w:spacing w:val="-3"/>
          <w:w w:val="105"/>
          <w:sz w:val="21"/>
        </w:rPr>
        <w:t>detectar nuevos métodos </w:t>
      </w:r>
      <w:r>
        <w:rPr>
          <w:color w:val="231F20"/>
          <w:w w:val="105"/>
          <w:sz w:val="21"/>
        </w:rPr>
        <w:t>y </w:t>
      </w:r>
      <w:r>
        <w:rPr>
          <w:color w:val="231F20"/>
          <w:spacing w:val="-4"/>
          <w:w w:val="105"/>
          <w:sz w:val="21"/>
        </w:rPr>
        <w:t>opor- </w:t>
      </w:r>
      <w:r>
        <w:rPr>
          <w:color w:val="231F20"/>
          <w:spacing w:val="-3"/>
          <w:w w:val="105"/>
          <w:sz w:val="21"/>
        </w:rPr>
        <w:t>tunidades</w:t>
      </w:r>
      <w:r>
        <w:rPr>
          <w:color w:val="231F20"/>
          <w:spacing w:val="-14"/>
          <w:w w:val="105"/>
          <w:sz w:val="21"/>
        </w:rPr>
        <w:t> </w:t>
      </w:r>
      <w:r>
        <w:rPr>
          <w:color w:val="231F20"/>
          <w:spacing w:val="-3"/>
          <w:w w:val="105"/>
          <w:sz w:val="21"/>
        </w:rPr>
        <w:t>para</w:t>
      </w:r>
      <w:r>
        <w:rPr>
          <w:color w:val="231F20"/>
          <w:spacing w:val="-14"/>
          <w:w w:val="105"/>
          <w:sz w:val="21"/>
        </w:rPr>
        <w:t> </w:t>
      </w:r>
      <w:r>
        <w:rPr>
          <w:color w:val="231F20"/>
          <w:w w:val="105"/>
          <w:sz w:val="21"/>
        </w:rPr>
        <w:t>la</w:t>
      </w:r>
      <w:r>
        <w:rPr>
          <w:color w:val="231F20"/>
          <w:spacing w:val="-14"/>
          <w:w w:val="105"/>
          <w:sz w:val="21"/>
        </w:rPr>
        <w:t> </w:t>
      </w:r>
      <w:r>
        <w:rPr>
          <w:color w:val="231F20"/>
          <w:spacing w:val="-3"/>
          <w:w w:val="105"/>
          <w:sz w:val="21"/>
        </w:rPr>
        <w:t>aplicación</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spacing w:val="-3"/>
          <w:w w:val="105"/>
          <w:sz w:val="21"/>
        </w:rPr>
        <w:t>tecnología</w:t>
      </w:r>
      <w:r>
        <w:rPr>
          <w:color w:val="231F20"/>
          <w:spacing w:val="-14"/>
          <w:w w:val="105"/>
          <w:sz w:val="21"/>
        </w:rPr>
        <w:t> </w:t>
      </w:r>
      <w:r>
        <w:rPr>
          <w:color w:val="231F20"/>
          <w:w w:val="105"/>
          <w:sz w:val="21"/>
        </w:rPr>
        <w:t>más</w:t>
      </w:r>
      <w:r>
        <w:rPr>
          <w:color w:val="231F20"/>
          <w:spacing w:val="-14"/>
          <w:w w:val="105"/>
          <w:sz w:val="21"/>
        </w:rPr>
        <w:t> </w:t>
      </w:r>
      <w:r>
        <w:rPr>
          <w:color w:val="231F20"/>
          <w:spacing w:val="-3"/>
          <w:w w:val="105"/>
          <w:sz w:val="21"/>
        </w:rPr>
        <w:t>avanzada. Los </w:t>
      </w:r>
      <w:r>
        <w:rPr>
          <w:color w:val="231F20"/>
          <w:spacing w:val="-4"/>
          <w:w w:val="105"/>
          <w:sz w:val="21"/>
        </w:rPr>
        <w:t>proveedores </w:t>
      </w:r>
      <w:r>
        <w:rPr>
          <w:color w:val="231F20"/>
          <w:spacing w:val="-3"/>
          <w:w w:val="105"/>
          <w:sz w:val="21"/>
        </w:rPr>
        <w:t>tienden </w:t>
      </w:r>
      <w:r>
        <w:rPr>
          <w:color w:val="231F20"/>
          <w:w w:val="105"/>
          <w:sz w:val="21"/>
        </w:rPr>
        <w:t>a ser un </w:t>
      </w:r>
      <w:r>
        <w:rPr>
          <w:color w:val="231F20"/>
          <w:spacing w:val="-3"/>
          <w:w w:val="105"/>
          <w:sz w:val="21"/>
        </w:rPr>
        <w:t>canal para </w:t>
      </w:r>
      <w:r>
        <w:rPr>
          <w:color w:val="231F20"/>
          <w:w w:val="105"/>
          <w:sz w:val="21"/>
        </w:rPr>
        <w:t>la </w:t>
      </w:r>
      <w:r>
        <w:rPr>
          <w:color w:val="231F20"/>
          <w:spacing w:val="-4"/>
          <w:w w:val="105"/>
          <w:sz w:val="21"/>
        </w:rPr>
        <w:t>transmisión </w:t>
      </w:r>
      <w:r>
        <w:rPr>
          <w:color w:val="231F20"/>
          <w:w w:val="105"/>
          <w:sz w:val="21"/>
        </w:rPr>
        <w:t>de </w:t>
      </w:r>
      <w:r>
        <w:rPr>
          <w:color w:val="231F20"/>
          <w:spacing w:val="-3"/>
          <w:w w:val="105"/>
          <w:sz w:val="21"/>
        </w:rPr>
        <w:t>información </w:t>
      </w:r>
      <w:r>
        <w:rPr>
          <w:color w:val="231F20"/>
          <w:w w:val="105"/>
          <w:sz w:val="21"/>
        </w:rPr>
        <w:t>e </w:t>
      </w:r>
      <w:r>
        <w:rPr>
          <w:color w:val="231F20"/>
          <w:spacing w:val="-3"/>
          <w:w w:val="105"/>
          <w:sz w:val="21"/>
        </w:rPr>
        <w:t>innovaciones </w:t>
      </w:r>
      <w:r>
        <w:rPr>
          <w:color w:val="231F20"/>
          <w:w w:val="105"/>
          <w:sz w:val="21"/>
        </w:rPr>
        <w:t>de </w:t>
      </w:r>
      <w:r>
        <w:rPr>
          <w:color w:val="231F20"/>
          <w:spacing w:val="-3"/>
          <w:w w:val="105"/>
          <w:sz w:val="21"/>
        </w:rPr>
        <w:t>empresa </w:t>
      </w:r>
      <w:r>
        <w:rPr>
          <w:color w:val="231F20"/>
          <w:w w:val="105"/>
          <w:sz w:val="21"/>
        </w:rPr>
        <w:t>a </w:t>
      </w:r>
      <w:r>
        <w:rPr>
          <w:color w:val="231F20"/>
          <w:spacing w:val="-3"/>
          <w:w w:val="105"/>
          <w:sz w:val="21"/>
        </w:rPr>
        <w:t>empresa, </w:t>
      </w:r>
      <w:r>
        <w:rPr>
          <w:color w:val="231F20"/>
          <w:w w:val="105"/>
          <w:sz w:val="21"/>
        </w:rPr>
        <w:t>co- </w:t>
      </w:r>
      <w:r>
        <w:rPr>
          <w:color w:val="231F20"/>
          <w:spacing w:val="-3"/>
          <w:w w:val="105"/>
          <w:sz w:val="21"/>
        </w:rPr>
        <w:t>laboración </w:t>
      </w:r>
      <w:r>
        <w:rPr>
          <w:color w:val="231F20"/>
          <w:w w:val="105"/>
          <w:sz w:val="21"/>
        </w:rPr>
        <w:t>que se </w:t>
      </w:r>
      <w:r>
        <w:rPr>
          <w:color w:val="231F20"/>
          <w:spacing w:val="-3"/>
          <w:w w:val="105"/>
          <w:sz w:val="21"/>
        </w:rPr>
        <w:t>potencia </w:t>
      </w:r>
      <w:r>
        <w:rPr>
          <w:color w:val="231F20"/>
          <w:w w:val="105"/>
          <w:sz w:val="21"/>
        </w:rPr>
        <w:t>aún más </w:t>
      </w:r>
      <w:r>
        <w:rPr>
          <w:color w:val="231F20"/>
          <w:spacing w:val="-3"/>
          <w:w w:val="105"/>
          <w:sz w:val="21"/>
        </w:rPr>
        <w:t>cuando </w:t>
      </w:r>
      <w:r>
        <w:rPr>
          <w:color w:val="231F20"/>
          <w:w w:val="105"/>
          <w:sz w:val="21"/>
        </w:rPr>
        <w:t>los </w:t>
      </w:r>
      <w:r>
        <w:rPr>
          <w:color w:val="231F20"/>
          <w:spacing w:val="-3"/>
          <w:w w:val="105"/>
          <w:sz w:val="21"/>
        </w:rPr>
        <w:t>proveedo- res</w:t>
      </w:r>
      <w:r>
        <w:rPr>
          <w:color w:val="231F20"/>
          <w:spacing w:val="-8"/>
          <w:w w:val="105"/>
          <w:sz w:val="21"/>
        </w:rPr>
        <w:t> </w:t>
      </w:r>
      <w:r>
        <w:rPr>
          <w:color w:val="231F20"/>
          <w:spacing w:val="-3"/>
          <w:w w:val="105"/>
          <w:sz w:val="21"/>
        </w:rPr>
        <w:t>están</w:t>
      </w:r>
      <w:r>
        <w:rPr>
          <w:color w:val="231F20"/>
          <w:spacing w:val="-8"/>
          <w:w w:val="105"/>
          <w:sz w:val="21"/>
        </w:rPr>
        <w:t> </w:t>
      </w:r>
      <w:r>
        <w:rPr>
          <w:color w:val="231F20"/>
          <w:spacing w:val="-3"/>
          <w:w w:val="105"/>
          <w:sz w:val="21"/>
        </w:rPr>
        <w:t>ubicados</w:t>
      </w:r>
      <w:r>
        <w:rPr>
          <w:color w:val="231F20"/>
          <w:spacing w:val="-8"/>
          <w:w w:val="105"/>
          <w:sz w:val="21"/>
        </w:rPr>
        <w:t> </w:t>
      </w:r>
      <w:r>
        <w:rPr>
          <w:color w:val="231F20"/>
          <w:w w:val="105"/>
          <w:sz w:val="21"/>
        </w:rPr>
        <w:t>en</w:t>
      </w:r>
      <w:r>
        <w:rPr>
          <w:color w:val="231F20"/>
          <w:spacing w:val="-8"/>
          <w:w w:val="105"/>
          <w:sz w:val="21"/>
        </w:rPr>
        <w:t> </w:t>
      </w:r>
      <w:r>
        <w:rPr>
          <w:color w:val="231F20"/>
          <w:w w:val="105"/>
          <w:sz w:val="21"/>
        </w:rPr>
        <w:t>las</w:t>
      </w:r>
      <w:r>
        <w:rPr>
          <w:color w:val="231F20"/>
          <w:spacing w:val="-8"/>
          <w:w w:val="105"/>
          <w:sz w:val="21"/>
        </w:rPr>
        <w:t> </w:t>
      </w:r>
      <w:r>
        <w:rPr>
          <w:color w:val="231F20"/>
          <w:spacing w:val="-4"/>
          <w:w w:val="105"/>
          <w:sz w:val="21"/>
        </w:rPr>
        <w:t>proximidades</w:t>
      </w:r>
      <w:r>
        <w:rPr>
          <w:color w:val="231F20"/>
          <w:spacing w:val="-8"/>
          <w:w w:val="105"/>
          <w:sz w:val="21"/>
        </w:rPr>
        <w:t> </w:t>
      </w:r>
      <w:r>
        <w:rPr>
          <w:color w:val="231F20"/>
          <w:w w:val="105"/>
          <w:sz w:val="21"/>
        </w:rPr>
        <w:t>de</w:t>
      </w:r>
      <w:r>
        <w:rPr>
          <w:color w:val="231F20"/>
          <w:spacing w:val="-8"/>
          <w:w w:val="105"/>
          <w:sz w:val="21"/>
        </w:rPr>
        <w:t> </w:t>
      </w:r>
      <w:r>
        <w:rPr>
          <w:color w:val="231F20"/>
          <w:w w:val="105"/>
          <w:sz w:val="21"/>
        </w:rPr>
        <w:t>la</w:t>
      </w:r>
      <w:r>
        <w:rPr>
          <w:color w:val="231F20"/>
          <w:spacing w:val="-8"/>
          <w:w w:val="105"/>
          <w:sz w:val="21"/>
        </w:rPr>
        <w:t> </w:t>
      </w:r>
      <w:r>
        <w:rPr>
          <w:color w:val="231F20"/>
          <w:spacing w:val="-3"/>
          <w:w w:val="105"/>
          <w:sz w:val="21"/>
        </w:rPr>
        <w:t>empresa</w:t>
      </w:r>
      <w:r>
        <w:rPr>
          <w:color w:val="231F20"/>
          <w:spacing w:val="-8"/>
          <w:w w:val="105"/>
          <w:sz w:val="21"/>
        </w:rPr>
        <w:t> </w:t>
      </w:r>
      <w:r>
        <w:rPr>
          <w:color w:val="231F20"/>
          <w:spacing w:val="-3"/>
          <w:w w:val="105"/>
          <w:sz w:val="21"/>
        </w:rPr>
        <w:t>pues acorta</w:t>
      </w:r>
      <w:r>
        <w:rPr>
          <w:color w:val="231F20"/>
          <w:spacing w:val="-25"/>
          <w:w w:val="105"/>
          <w:sz w:val="21"/>
        </w:rPr>
        <w:t> </w:t>
      </w:r>
      <w:r>
        <w:rPr>
          <w:color w:val="231F20"/>
          <w:w w:val="105"/>
          <w:sz w:val="21"/>
        </w:rPr>
        <w:t>la</w:t>
      </w:r>
      <w:r>
        <w:rPr>
          <w:color w:val="231F20"/>
          <w:spacing w:val="-25"/>
          <w:w w:val="105"/>
          <w:sz w:val="21"/>
        </w:rPr>
        <w:t> </w:t>
      </w:r>
      <w:r>
        <w:rPr>
          <w:color w:val="231F20"/>
          <w:spacing w:val="-3"/>
          <w:w w:val="105"/>
          <w:sz w:val="21"/>
        </w:rPr>
        <w:t>línea</w:t>
      </w:r>
      <w:r>
        <w:rPr>
          <w:color w:val="231F20"/>
          <w:spacing w:val="-25"/>
          <w:w w:val="105"/>
          <w:sz w:val="21"/>
        </w:rPr>
        <w:t> </w:t>
      </w:r>
      <w:r>
        <w:rPr>
          <w:color w:val="231F20"/>
          <w:w w:val="105"/>
          <w:sz w:val="21"/>
        </w:rPr>
        <w:t>de</w:t>
      </w:r>
      <w:r>
        <w:rPr>
          <w:color w:val="231F20"/>
          <w:spacing w:val="-25"/>
          <w:w w:val="105"/>
          <w:sz w:val="21"/>
        </w:rPr>
        <w:t> </w:t>
      </w:r>
      <w:r>
        <w:rPr>
          <w:color w:val="231F20"/>
          <w:spacing w:val="-3"/>
          <w:w w:val="105"/>
          <w:sz w:val="21"/>
        </w:rPr>
        <w:t>comunicación.</w:t>
      </w:r>
      <w:r>
        <w:rPr>
          <w:color w:val="231F20"/>
          <w:spacing w:val="-29"/>
          <w:w w:val="105"/>
          <w:sz w:val="21"/>
        </w:rPr>
        <w:t> </w:t>
      </w:r>
      <w:r>
        <w:rPr>
          <w:color w:val="231F20"/>
          <w:w w:val="105"/>
          <w:sz w:val="21"/>
        </w:rPr>
        <w:t>En</w:t>
      </w:r>
      <w:r>
        <w:rPr>
          <w:color w:val="231F20"/>
          <w:spacing w:val="-25"/>
          <w:w w:val="105"/>
          <w:sz w:val="21"/>
        </w:rPr>
        <w:t> </w:t>
      </w:r>
      <w:r>
        <w:rPr>
          <w:color w:val="231F20"/>
          <w:spacing w:val="-3"/>
          <w:w w:val="105"/>
          <w:sz w:val="21"/>
        </w:rPr>
        <w:t>este</w:t>
      </w:r>
      <w:r>
        <w:rPr>
          <w:color w:val="231F20"/>
          <w:spacing w:val="-25"/>
          <w:w w:val="105"/>
          <w:sz w:val="21"/>
        </w:rPr>
        <w:t> </w:t>
      </w:r>
      <w:r>
        <w:rPr>
          <w:color w:val="231F20"/>
          <w:spacing w:val="-3"/>
          <w:w w:val="105"/>
          <w:sz w:val="21"/>
        </w:rPr>
        <w:t>sentido,</w:t>
      </w:r>
      <w:r>
        <w:rPr>
          <w:color w:val="231F20"/>
          <w:spacing w:val="-29"/>
          <w:w w:val="105"/>
          <w:sz w:val="21"/>
        </w:rPr>
        <w:t> </w:t>
      </w:r>
      <w:r>
        <w:rPr>
          <w:color w:val="231F20"/>
          <w:w w:val="105"/>
          <w:sz w:val="21"/>
        </w:rPr>
        <w:t>los</w:t>
      </w:r>
      <w:r>
        <w:rPr>
          <w:color w:val="231F20"/>
          <w:spacing w:val="-25"/>
          <w:w w:val="105"/>
          <w:sz w:val="21"/>
        </w:rPr>
        <w:t> </w:t>
      </w:r>
      <w:r>
        <w:rPr>
          <w:color w:val="231F20"/>
          <w:spacing w:val="-4"/>
          <w:w w:val="105"/>
          <w:sz w:val="21"/>
        </w:rPr>
        <w:t>sectores </w:t>
      </w:r>
      <w:r>
        <w:rPr>
          <w:color w:val="231F20"/>
          <w:spacing w:val="-3"/>
          <w:w w:val="105"/>
          <w:sz w:val="21"/>
        </w:rPr>
        <w:t>conexos</w:t>
      </w:r>
      <w:r>
        <w:rPr>
          <w:color w:val="231F20"/>
          <w:spacing w:val="-17"/>
          <w:w w:val="105"/>
          <w:sz w:val="21"/>
        </w:rPr>
        <w:t> </w:t>
      </w:r>
      <w:r>
        <w:rPr>
          <w:color w:val="231F20"/>
          <w:w w:val="105"/>
          <w:sz w:val="21"/>
        </w:rPr>
        <w:t>son</w:t>
      </w:r>
      <w:r>
        <w:rPr>
          <w:color w:val="231F20"/>
          <w:spacing w:val="-17"/>
          <w:w w:val="105"/>
          <w:sz w:val="21"/>
        </w:rPr>
        <w:t> </w:t>
      </w:r>
      <w:r>
        <w:rPr>
          <w:color w:val="231F20"/>
          <w:spacing w:val="-3"/>
          <w:w w:val="105"/>
          <w:sz w:val="21"/>
        </w:rPr>
        <w:t>aquellos</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los</w:t>
      </w:r>
      <w:r>
        <w:rPr>
          <w:color w:val="231F20"/>
          <w:spacing w:val="-17"/>
          <w:w w:val="105"/>
          <w:sz w:val="21"/>
        </w:rPr>
        <w:t> </w:t>
      </w:r>
      <w:r>
        <w:rPr>
          <w:color w:val="231F20"/>
          <w:w w:val="105"/>
          <w:sz w:val="21"/>
        </w:rPr>
        <w:t>que</w:t>
      </w:r>
      <w:r>
        <w:rPr>
          <w:color w:val="231F20"/>
          <w:spacing w:val="-17"/>
          <w:w w:val="105"/>
          <w:sz w:val="21"/>
        </w:rPr>
        <w:t> </w:t>
      </w:r>
      <w:r>
        <w:rPr>
          <w:color w:val="231F20"/>
          <w:w w:val="105"/>
          <w:sz w:val="21"/>
        </w:rPr>
        <w:t>las</w:t>
      </w:r>
      <w:r>
        <w:rPr>
          <w:color w:val="231F20"/>
          <w:spacing w:val="-17"/>
          <w:w w:val="105"/>
          <w:sz w:val="21"/>
        </w:rPr>
        <w:t> </w:t>
      </w:r>
      <w:r>
        <w:rPr>
          <w:color w:val="231F20"/>
          <w:spacing w:val="-3"/>
          <w:w w:val="105"/>
          <w:sz w:val="21"/>
        </w:rPr>
        <w:t>empresas</w:t>
      </w:r>
      <w:r>
        <w:rPr>
          <w:color w:val="231F20"/>
          <w:spacing w:val="-17"/>
          <w:w w:val="105"/>
          <w:sz w:val="21"/>
        </w:rPr>
        <w:t> </w:t>
      </w:r>
      <w:r>
        <w:rPr>
          <w:color w:val="231F20"/>
          <w:spacing w:val="-3"/>
          <w:w w:val="105"/>
          <w:sz w:val="21"/>
        </w:rPr>
        <w:t>pueden</w:t>
      </w:r>
      <w:r>
        <w:rPr>
          <w:color w:val="231F20"/>
          <w:spacing w:val="-17"/>
          <w:w w:val="105"/>
          <w:sz w:val="21"/>
        </w:rPr>
        <w:t> </w:t>
      </w:r>
      <w:r>
        <w:rPr>
          <w:color w:val="231F20"/>
          <w:spacing w:val="-4"/>
          <w:w w:val="105"/>
          <w:sz w:val="21"/>
        </w:rPr>
        <w:t>coor- </w:t>
      </w:r>
      <w:r>
        <w:rPr>
          <w:color w:val="231F20"/>
          <w:spacing w:val="-3"/>
          <w:w w:val="105"/>
          <w:sz w:val="21"/>
        </w:rPr>
        <w:t>dinar </w:t>
      </w:r>
      <w:r>
        <w:rPr>
          <w:color w:val="231F20"/>
          <w:w w:val="105"/>
          <w:sz w:val="21"/>
        </w:rPr>
        <w:t>o </w:t>
      </w:r>
      <w:r>
        <w:rPr>
          <w:color w:val="231F20"/>
          <w:spacing w:val="-3"/>
          <w:w w:val="105"/>
          <w:sz w:val="21"/>
        </w:rPr>
        <w:t>compartir actividades </w:t>
      </w:r>
      <w:r>
        <w:rPr>
          <w:color w:val="231F20"/>
          <w:w w:val="105"/>
          <w:sz w:val="21"/>
        </w:rPr>
        <w:t>de la </w:t>
      </w:r>
      <w:r>
        <w:rPr>
          <w:color w:val="231F20"/>
          <w:spacing w:val="-3"/>
          <w:w w:val="105"/>
          <w:sz w:val="21"/>
        </w:rPr>
        <w:t>cadena </w:t>
      </w:r>
      <w:r>
        <w:rPr>
          <w:color w:val="231F20"/>
          <w:w w:val="105"/>
          <w:sz w:val="21"/>
        </w:rPr>
        <w:t>del </w:t>
      </w:r>
      <w:r>
        <w:rPr>
          <w:color w:val="231F20"/>
          <w:spacing w:val="-3"/>
          <w:w w:val="105"/>
          <w:sz w:val="21"/>
        </w:rPr>
        <w:t>valor cuando compiten,</w:t>
      </w:r>
      <w:r>
        <w:rPr>
          <w:color w:val="231F20"/>
          <w:spacing w:val="-17"/>
          <w:w w:val="105"/>
          <w:sz w:val="21"/>
        </w:rPr>
        <w:t> </w:t>
      </w:r>
      <w:r>
        <w:rPr>
          <w:color w:val="231F20"/>
          <w:w w:val="105"/>
          <w:sz w:val="21"/>
        </w:rPr>
        <w:t>o</w:t>
      </w:r>
      <w:r>
        <w:rPr>
          <w:color w:val="231F20"/>
          <w:spacing w:val="-11"/>
          <w:w w:val="105"/>
          <w:sz w:val="21"/>
        </w:rPr>
        <w:t> </w:t>
      </w:r>
      <w:r>
        <w:rPr>
          <w:color w:val="231F20"/>
          <w:spacing w:val="-3"/>
          <w:w w:val="105"/>
          <w:sz w:val="21"/>
        </w:rPr>
        <w:t>aquellos</w:t>
      </w:r>
      <w:r>
        <w:rPr>
          <w:color w:val="231F20"/>
          <w:spacing w:val="-11"/>
          <w:w w:val="105"/>
          <w:sz w:val="21"/>
        </w:rPr>
        <w:t> </w:t>
      </w:r>
      <w:r>
        <w:rPr>
          <w:color w:val="231F20"/>
          <w:w w:val="105"/>
          <w:sz w:val="21"/>
        </w:rPr>
        <w:t>que</w:t>
      </w:r>
      <w:r>
        <w:rPr>
          <w:color w:val="231F20"/>
          <w:spacing w:val="-11"/>
          <w:w w:val="105"/>
          <w:sz w:val="21"/>
        </w:rPr>
        <w:t> </w:t>
      </w:r>
      <w:r>
        <w:rPr>
          <w:color w:val="231F20"/>
          <w:spacing w:val="-3"/>
          <w:w w:val="105"/>
          <w:sz w:val="21"/>
        </w:rPr>
        <w:t>comprenden</w:t>
      </w:r>
      <w:r>
        <w:rPr>
          <w:color w:val="231F20"/>
          <w:spacing w:val="-11"/>
          <w:w w:val="105"/>
          <w:sz w:val="21"/>
        </w:rPr>
        <w:t> </w:t>
      </w:r>
      <w:r>
        <w:rPr>
          <w:color w:val="231F20"/>
          <w:spacing w:val="-3"/>
          <w:w w:val="105"/>
          <w:sz w:val="21"/>
        </w:rPr>
        <w:t>productos</w:t>
      </w:r>
      <w:r>
        <w:rPr>
          <w:color w:val="231F20"/>
          <w:spacing w:val="-11"/>
          <w:w w:val="105"/>
          <w:sz w:val="21"/>
        </w:rPr>
        <w:t> </w:t>
      </w:r>
      <w:r>
        <w:rPr>
          <w:color w:val="231F20"/>
          <w:w w:val="105"/>
          <w:sz w:val="21"/>
        </w:rPr>
        <w:t>o</w:t>
      </w:r>
      <w:r>
        <w:rPr>
          <w:color w:val="231F20"/>
          <w:spacing w:val="-11"/>
          <w:w w:val="105"/>
          <w:sz w:val="21"/>
        </w:rPr>
        <w:t> </w:t>
      </w:r>
      <w:r>
        <w:rPr>
          <w:color w:val="231F20"/>
          <w:spacing w:val="-3"/>
          <w:w w:val="105"/>
          <w:sz w:val="21"/>
        </w:rPr>
        <w:t>servicios </w:t>
      </w:r>
      <w:r>
        <w:rPr>
          <w:color w:val="231F20"/>
          <w:w w:val="105"/>
          <w:sz w:val="21"/>
        </w:rPr>
        <w:t>que son</w:t>
      </w:r>
      <w:r>
        <w:rPr>
          <w:color w:val="231F20"/>
          <w:spacing w:val="-49"/>
          <w:w w:val="105"/>
          <w:sz w:val="21"/>
        </w:rPr>
        <w:t> </w:t>
      </w:r>
      <w:r>
        <w:rPr>
          <w:color w:val="231F20"/>
          <w:spacing w:val="-3"/>
          <w:w w:val="105"/>
          <w:sz w:val="21"/>
        </w:rPr>
        <w:t>complementarios.</w:t>
      </w:r>
    </w:p>
    <w:p>
      <w:pPr>
        <w:pStyle w:val="ListParagraph"/>
        <w:numPr>
          <w:ilvl w:val="0"/>
          <w:numId w:val="24"/>
        </w:numPr>
        <w:tabs>
          <w:tab w:pos="1175" w:val="left" w:leader="none"/>
        </w:tabs>
        <w:spacing w:line="259" w:lineRule="auto" w:before="170" w:after="0"/>
        <w:ind w:left="1174" w:right="115" w:hanging="360"/>
        <w:jc w:val="both"/>
        <w:rPr>
          <w:sz w:val="21"/>
        </w:rPr>
      </w:pPr>
      <w:r>
        <w:rPr>
          <w:color w:val="231F20"/>
          <w:spacing w:val="-4"/>
          <w:sz w:val="21"/>
        </w:rPr>
        <w:t>Estrategia, estructura </w:t>
      </w:r>
      <w:r>
        <w:rPr>
          <w:color w:val="231F20"/>
          <w:sz w:val="21"/>
        </w:rPr>
        <w:t>y </w:t>
      </w:r>
      <w:r>
        <w:rPr>
          <w:color w:val="231F20"/>
          <w:spacing w:val="-4"/>
          <w:sz w:val="21"/>
        </w:rPr>
        <w:t>rivalidad </w:t>
      </w:r>
      <w:r>
        <w:rPr>
          <w:color w:val="231F20"/>
          <w:sz w:val="21"/>
        </w:rPr>
        <w:t>de la </w:t>
      </w:r>
      <w:r>
        <w:rPr>
          <w:color w:val="231F20"/>
          <w:spacing w:val="-4"/>
          <w:sz w:val="21"/>
        </w:rPr>
        <w:t>empresa. </w:t>
      </w:r>
      <w:r>
        <w:rPr>
          <w:color w:val="231F20"/>
          <w:sz w:val="21"/>
        </w:rPr>
        <w:t>Se </w:t>
      </w:r>
      <w:r>
        <w:rPr>
          <w:color w:val="231F20"/>
          <w:spacing w:val="-4"/>
          <w:sz w:val="21"/>
        </w:rPr>
        <w:t>refiere </w:t>
      </w:r>
      <w:r>
        <w:rPr>
          <w:color w:val="231F20"/>
          <w:sz w:val="21"/>
        </w:rPr>
        <w:t>a  </w:t>
      </w:r>
      <w:r>
        <w:rPr>
          <w:color w:val="231F20"/>
          <w:spacing w:val="-3"/>
          <w:sz w:val="21"/>
        </w:rPr>
        <w:t>las </w:t>
      </w:r>
      <w:r>
        <w:rPr>
          <w:color w:val="231F20"/>
          <w:spacing w:val="-4"/>
          <w:sz w:val="21"/>
        </w:rPr>
        <w:t>condiciones </w:t>
      </w:r>
      <w:r>
        <w:rPr>
          <w:color w:val="231F20"/>
          <w:spacing w:val="-3"/>
          <w:sz w:val="21"/>
        </w:rPr>
        <w:t>del </w:t>
      </w:r>
      <w:r>
        <w:rPr>
          <w:color w:val="231F20"/>
          <w:spacing w:val="-4"/>
          <w:sz w:val="21"/>
        </w:rPr>
        <w:t>contexto </w:t>
      </w:r>
      <w:r>
        <w:rPr>
          <w:color w:val="231F20"/>
          <w:sz w:val="21"/>
        </w:rPr>
        <w:t>en el </w:t>
      </w:r>
      <w:r>
        <w:rPr>
          <w:color w:val="231F20"/>
          <w:spacing w:val="-3"/>
          <w:sz w:val="21"/>
        </w:rPr>
        <w:t>que </w:t>
      </w:r>
      <w:r>
        <w:rPr>
          <w:color w:val="231F20"/>
          <w:sz w:val="21"/>
        </w:rPr>
        <w:t>se </w:t>
      </w:r>
      <w:r>
        <w:rPr>
          <w:color w:val="231F20"/>
          <w:spacing w:val="-4"/>
          <w:sz w:val="21"/>
        </w:rPr>
        <w:t>crean, organizan </w:t>
      </w:r>
      <w:r>
        <w:rPr>
          <w:color w:val="231F20"/>
          <w:sz w:val="21"/>
        </w:rPr>
        <w:t>y </w:t>
      </w:r>
      <w:r>
        <w:rPr>
          <w:color w:val="231F20"/>
          <w:spacing w:val="-4"/>
          <w:sz w:val="21"/>
        </w:rPr>
        <w:t>gestionan </w:t>
      </w:r>
      <w:r>
        <w:rPr>
          <w:color w:val="231F20"/>
          <w:spacing w:val="-3"/>
          <w:sz w:val="21"/>
        </w:rPr>
        <w:t>las </w:t>
      </w:r>
      <w:r>
        <w:rPr>
          <w:color w:val="231F20"/>
          <w:spacing w:val="-4"/>
          <w:sz w:val="21"/>
        </w:rPr>
        <w:t>empresas, </w:t>
      </w:r>
      <w:r>
        <w:rPr>
          <w:color w:val="231F20"/>
          <w:spacing w:val="-3"/>
          <w:sz w:val="21"/>
        </w:rPr>
        <w:t>así como </w:t>
      </w:r>
      <w:r>
        <w:rPr>
          <w:color w:val="231F20"/>
          <w:sz w:val="21"/>
        </w:rPr>
        <w:t>la </w:t>
      </w:r>
      <w:r>
        <w:rPr>
          <w:color w:val="231F20"/>
          <w:spacing w:val="-4"/>
          <w:sz w:val="21"/>
        </w:rPr>
        <w:t>naturaleza </w:t>
      </w:r>
      <w:r>
        <w:rPr>
          <w:color w:val="231F20"/>
          <w:sz w:val="21"/>
        </w:rPr>
        <w:t>de la </w:t>
      </w:r>
      <w:r>
        <w:rPr>
          <w:color w:val="231F20"/>
          <w:spacing w:val="3"/>
          <w:sz w:val="21"/>
        </w:rPr>
        <w:t> </w:t>
      </w:r>
      <w:r>
        <w:rPr>
          <w:color w:val="231F20"/>
          <w:spacing w:val="-4"/>
          <w:sz w:val="21"/>
        </w:rPr>
        <w:t>rivalidad</w:t>
      </w:r>
    </w:p>
    <w:p>
      <w:pPr>
        <w:pStyle w:val="BodyText"/>
        <w:rPr>
          <w:sz w:val="20"/>
        </w:rPr>
      </w:pPr>
    </w:p>
    <w:p>
      <w:pPr>
        <w:pStyle w:val="BodyText"/>
        <w:spacing w:before="10"/>
        <w:rPr>
          <w:sz w:val="25"/>
        </w:rPr>
      </w:pPr>
    </w:p>
    <w:p>
      <w:pPr>
        <w:tabs>
          <w:tab w:pos="1177" w:val="left" w:leader="none"/>
        </w:tabs>
        <w:spacing w:before="70"/>
        <w:ind w:left="127" w:right="0" w:firstLine="0"/>
        <w:jc w:val="left"/>
        <w:rPr>
          <w:rFonts w:ascii="Calibri" w:hAnsi="Calibri"/>
          <w:sz w:val="15"/>
        </w:rPr>
      </w:pPr>
      <w:r>
        <w:rPr/>
        <w:pict>
          <v:group style="position:absolute;margin-left:101.817299pt;margin-top:-16.799887pt;width:17.850pt;height:56.5pt;mso-position-horizontal-relative:page;mso-position-vertical-relative:paragraph;z-index:-24563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50</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34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608"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51</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BodyText"/>
        <w:spacing w:before="15"/>
        <w:rPr>
          <w:rFonts w:ascii="Lucida Sans Unicode"/>
          <w:sz w:val="13"/>
        </w:rPr>
      </w:pPr>
    </w:p>
    <w:p>
      <w:pPr>
        <w:pStyle w:val="BodyText"/>
        <w:spacing w:line="259" w:lineRule="auto"/>
        <w:ind w:left="1327" w:right="116"/>
        <w:jc w:val="both"/>
      </w:pPr>
      <w:r>
        <w:rPr>
          <w:color w:val="231F20"/>
          <w:w w:val="105"/>
        </w:rPr>
        <w:t>a</w:t>
      </w:r>
      <w:r>
        <w:rPr>
          <w:color w:val="231F20"/>
          <w:spacing w:val="-16"/>
          <w:w w:val="105"/>
        </w:rPr>
        <w:t> </w:t>
      </w:r>
      <w:r>
        <w:rPr>
          <w:color w:val="231F20"/>
          <w:spacing w:val="-4"/>
          <w:w w:val="105"/>
        </w:rPr>
        <w:t>nivel</w:t>
      </w:r>
      <w:r>
        <w:rPr>
          <w:color w:val="231F20"/>
          <w:spacing w:val="-16"/>
          <w:w w:val="105"/>
        </w:rPr>
        <w:t> </w:t>
      </w:r>
      <w:r>
        <w:rPr>
          <w:color w:val="231F20"/>
          <w:spacing w:val="-4"/>
          <w:w w:val="105"/>
        </w:rPr>
        <w:t>nacional.</w:t>
      </w:r>
      <w:r>
        <w:rPr>
          <w:color w:val="231F20"/>
          <w:spacing w:val="-23"/>
          <w:w w:val="105"/>
        </w:rPr>
        <w:t> </w:t>
      </w:r>
      <w:r>
        <w:rPr>
          <w:color w:val="231F20"/>
          <w:w w:val="105"/>
        </w:rPr>
        <w:t>La</w:t>
      </w:r>
      <w:r>
        <w:rPr>
          <w:color w:val="231F20"/>
          <w:spacing w:val="-16"/>
          <w:w w:val="105"/>
        </w:rPr>
        <w:t> </w:t>
      </w:r>
      <w:r>
        <w:rPr>
          <w:color w:val="231F20"/>
          <w:spacing w:val="-4"/>
          <w:w w:val="105"/>
        </w:rPr>
        <w:t>ventaja</w:t>
      </w:r>
      <w:r>
        <w:rPr>
          <w:color w:val="231F20"/>
          <w:spacing w:val="-16"/>
          <w:w w:val="105"/>
        </w:rPr>
        <w:t> </w:t>
      </w:r>
      <w:r>
        <w:rPr>
          <w:color w:val="231F20"/>
          <w:spacing w:val="-4"/>
          <w:w w:val="105"/>
        </w:rPr>
        <w:t>competitiva</w:t>
      </w:r>
      <w:r>
        <w:rPr>
          <w:color w:val="231F20"/>
          <w:spacing w:val="-16"/>
          <w:w w:val="105"/>
        </w:rPr>
        <w:t> </w:t>
      </w:r>
      <w:r>
        <w:rPr>
          <w:color w:val="231F20"/>
          <w:spacing w:val="-4"/>
          <w:w w:val="105"/>
        </w:rPr>
        <w:t>permite</w:t>
      </w:r>
      <w:r>
        <w:rPr>
          <w:color w:val="231F20"/>
          <w:spacing w:val="-16"/>
          <w:w w:val="105"/>
        </w:rPr>
        <w:t> </w:t>
      </w:r>
      <w:r>
        <w:rPr>
          <w:color w:val="231F20"/>
          <w:spacing w:val="-4"/>
          <w:w w:val="105"/>
        </w:rPr>
        <w:t>distinguir</w:t>
      </w:r>
      <w:r>
        <w:rPr>
          <w:color w:val="231F20"/>
          <w:spacing w:val="-16"/>
          <w:w w:val="105"/>
        </w:rPr>
        <w:t> </w:t>
      </w:r>
      <w:r>
        <w:rPr>
          <w:color w:val="231F20"/>
          <w:spacing w:val="-4"/>
          <w:w w:val="105"/>
        </w:rPr>
        <w:t>una empresa</w:t>
      </w:r>
      <w:r>
        <w:rPr>
          <w:color w:val="231F20"/>
          <w:spacing w:val="-23"/>
          <w:w w:val="105"/>
        </w:rPr>
        <w:t> </w:t>
      </w:r>
      <w:r>
        <w:rPr>
          <w:color w:val="231F20"/>
          <w:w w:val="105"/>
        </w:rPr>
        <w:t>de</w:t>
      </w:r>
      <w:r>
        <w:rPr>
          <w:color w:val="231F20"/>
          <w:spacing w:val="-23"/>
          <w:w w:val="105"/>
        </w:rPr>
        <w:t> </w:t>
      </w:r>
      <w:r>
        <w:rPr>
          <w:color w:val="231F20"/>
          <w:spacing w:val="-4"/>
          <w:w w:val="105"/>
        </w:rPr>
        <w:t>otras</w:t>
      </w:r>
      <w:r>
        <w:rPr>
          <w:color w:val="231F20"/>
          <w:spacing w:val="-23"/>
          <w:w w:val="105"/>
        </w:rPr>
        <w:t> </w:t>
      </w:r>
      <w:r>
        <w:rPr>
          <w:color w:val="231F20"/>
          <w:w w:val="105"/>
        </w:rPr>
        <w:t>y</w:t>
      </w:r>
      <w:r>
        <w:rPr>
          <w:color w:val="231F20"/>
          <w:spacing w:val="-23"/>
          <w:w w:val="105"/>
        </w:rPr>
        <w:t> </w:t>
      </w:r>
      <w:r>
        <w:rPr>
          <w:color w:val="231F20"/>
          <w:spacing w:val="-3"/>
          <w:w w:val="105"/>
        </w:rPr>
        <w:t>los</w:t>
      </w:r>
      <w:r>
        <w:rPr>
          <w:color w:val="231F20"/>
          <w:spacing w:val="-23"/>
          <w:w w:val="105"/>
        </w:rPr>
        <w:t> </w:t>
      </w:r>
      <w:r>
        <w:rPr>
          <w:color w:val="231F20"/>
          <w:spacing w:val="-5"/>
          <w:w w:val="105"/>
        </w:rPr>
        <w:t>parámetros</w:t>
      </w:r>
      <w:r>
        <w:rPr>
          <w:color w:val="231F20"/>
          <w:spacing w:val="-23"/>
          <w:w w:val="105"/>
        </w:rPr>
        <w:t> </w:t>
      </w:r>
      <w:r>
        <w:rPr>
          <w:color w:val="231F20"/>
          <w:spacing w:val="-3"/>
          <w:w w:val="105"/>
        </w:rPr>
        <w:t>con</w:t>
      </w:r>
      <w:r>
        <w:rPr>
          <w:color w:val="231F20"/>
          <w:spacing w:val="-23"/>
          <w:w w:val="105"/>
        </w:rPr>
        <w:t> </w:t>
      </w:r>
      <w:r>
        <w:rPr>
          <w:color w:val="231F20"/>
          <w:spacing w:val="-3"/>
          <w:w w:val="105"/>
        </w:rPr>
        <w:t>los</w:t>
      </w:r>
      <w:r>
        <w:rPr>
          <w:color w:val="231F20"/>
          <w:spacing w:val="-23"/>
          <w:w w:val="105"/>
        </w:rPr>
        <w:t> </w:t>
      </w:r>
      <w:r>
        <w:rPr>
          <w:color w:val="231F20"/>
          <w:spacing w:val="-3"/>
          <w:w w:val="105"/>
        </w:rPr>
        <w:t>que</w:t>
      </w:r>
      <w:r>
        <w:rPr>
          <w:color w:val="231F20"/>
          <w:spacing w:val="-23"/>
          <w:w w:val="105"/>
        </w:rPr>
        <w:t> </w:t>
      </w:r>
      <w:r>
        <w:rPr>
          <w:color w:val="231F20"/>
          <w:w w:val="105"/>
        </w:rPr>
        <w:t>se</w:t>
      </w:r>
      <w:r>
        <w:rPr>
          <w:color w:val="231F20"/>
          <w:spacing w:val="-23"/>
          <w:w w:val="105"/>
        </w:rPr>
        <w:t> </w:t>
      </w:r>
      <w:r>
        <w:rPr>
          <w:color w:val="231F20"/>
          <w:spacing w:val="-3"/>
          <w:w w:val="105"/>
        </w:rPr>
        <w:t>mide</w:t>
      </w:r>
      <w:r>
        <w:rPr>
          <w:color w:val="231F20"/>
          <w:spacing w:val="-23"/>
          <w:w w:val="105"/>
        </w:rPr>
        <w:t> </w:t>
      </w:r>
      <w:r>
        <w:rPr>
          <w:color w:val="231F20"/>
          <w:w w:val="105"/>
        </w:rPr>
        <w:t>su</w:t>
      </w:r>
      <w:r>
        <w:rPr>
          <w:color w:val="231F20"/>
          <w:spacing w:val="-23"/>
          <w:w w:val="105"/>
        </w:rPr>
        <w:t> </w:t>
      </w:r>
      <w:r>
        <w:rPr>
          <w:color w:val="231F20"/>
          <w:w w:val="105"/>
        </w:rPr>
        <w:t>efi- </w:t>
      </w:r>
      <w:r>
        <w:rPr>
          <w:color w:val="231F20"/>
          <w:spacing w:val="-4"/>
          <w:w w:val="105"/>
        </w:rPr>
        <w:t>cacia,</w:t>
      </w:r>
      <w:r>
        <w:rPr>
          <w:color w:val="231F20"/>
          <w:spacing w:val="-13"/>
          <w:w w:val="105"/>
        </w:rPr>
        <w:t> </w:t>
      </w:r>
      <w:r>
        <w:rPr>
          <w:color w:val="231F20"/>
          <w:spacing w:val="-3"/>
          <w:w w:val="105"/>
        </w:rPr>
        <w:t>los</w:t>
      </w:r>
      <w:r>
        <w:rPr>
          <w:color w:val="231F20"/>
          <w:spacing w:val="-8"/>
          <w:w w:val="105"/>
        </w:rPr>
        <w:t> </w:t>
      </w:r>
      <w:r>
        <w:rPr>
          <w:color w:val="231F20"/>
          <w:spacing w:val="-4"/>
          <w:w w:val="105"/>
        </w:rPr>
        <w:t>cuales</w:t>
      </w:r>
      <w:r>
        <w:rPr>
          <w:color w:val="231F20"/>
          <w:spacing w:val="-8"/>
          <w:w w:val="105"/>
        </w:rPr>
        <w:t> </w:t>
      </w:r>
      <w:r>
        <w:rPr>
          <w:color w:val="231F20"/>
          <w:spacing w:val="-4"/>
          <w:w w:val="105"/>
        </w:rPr>
        <w:t>entre</w:t>
      </w:r>
      <w:r>
        <w:rPr>
          <w:color w:val="231F20"/>
          <w:spacing w:val="-8"/>
          <w:w w:val="105"/>
        </w:rPr>
        <w:t> </w:t>
      </w:r>
      <w:r>
        <w:rPr>
          <w:color w:val="231F20"/>
          <w:spacing w:val="-3"/>
          <w:w w:val="105"/>
        </w:rPr>
        <w:t>más</w:t>
      </w:r>
      <w:r>
        <w:rPr>
          <w:color w:val="231F20"/>
          <w:spacing w:val="-8"/>
          <w:w w:val="105"/>
        </w:rPr>
        <w:t> </w:t>
      </w:r>
      <w:r>
        <w:rPr>
          <w:color w:val="231F20"/>
          <w:w w:val="105"/>
        </w:rPr>
        <w:t>y</w:t>
      </w:r>
      <w:r>
        <w:rPr>
          <w:color w:val="231F20"/>
          <w:spacing w:val="-8"/>
          <w:w w:val="105"/>
        </w:rPr>
        <w:t> </w:t>
      </w:r>
      <w:r>
        <w:rPr>
          <w:color w:val="231F20"/>
          <w:spacing w:val="-4"/>
          <w:w w:val="105"/>
        </w:rPr>
        <w:t>mejores</w:t>
      </w:r>
      <w:r>
        <w:rPr>
          <w:color w:val="231F20"/>
          <w:spacing w:val="-8"/>
          <w:w w:val="105"/>
        </w:rPr>
        <w:t> </w:t>
      </w:r>
      <w:r>
        <w:rPr>
          <w:color w:val="231F20"/>
          <w:spacing w:val="-4"/>
          <w:w w:val="105"/>
        </w:rPr>
        <w:t>sean,</w:t>
      </w:r>
      <w:r>
        <w:rPr>
          <w:color w:val="231F20"/>
          <w:spacing w:val="-13"/>
          <w:w w:val="105"/>
        </w:rPr>
        <w:t> </w:t>
      </w:r>
      <w:r>
        <w:rPr>
          <w:color w:val="231F20"/>
          <w:spacing w:val="-5"/>
          <w:w w:val="105"/>
        </w:rPr>
        <w:t>representan</w:t>
      </w:r>
      <w:r>
        <w:rPr>
          <w:color w:val="231F20"/>
          <w:spacing w:val="-8"/>
          <w:w w:val="105"/>
        </w:rPr>
        <w:t> </w:t>
      </w:r>
      <w:r>
        <w:rPr>
          <w:color w:val="231F20"/>
          <w:spacing w:val="-3"/>
          <w:w w:val="105"/>
        </w:rPr>
        <w:t>ma- </w:t>
      </w:r>
      <w:r>
        <w:rPr>
          <w:color w:val="231F20"/>
          <w:spacing w:val="-4"/>
          <w:w w:val="105"/>
        </w:rPr>
        <w:t>yores posibilidades </w:t>
      </w:r>
      <w:r>
        <w:rPr>
          <w:color w:val="231F20"/>
          <w:w w:val="105"/>
        </w:rPr>
        <w:t>de </w:t>
      </w:r>
      <w:r>
        <w:rPr>
          <w:color w:val="231F20"/>
          <w:spacing w:val="-4"/>
          <w:w w:val="105"/>
        </w:rPr>
        <w:t>competir </w:t>
      </w:r>
      <w:r>
        <w:rPr>
          <w:color w:val="231F20"/>
          <w:spacing w:val="-3"/>
          <w:w w:val="105"/>
        </w:rPr>
        <w:t>con </w:t>
      </w:r>
      <w:r>
        <w:rPr>
          <w:color w:val="231F20"/>
          <w:spacing w:val="-4"/>
          <w:w w:val="105"/>
        </w:rPr>
        <w:t>otras empresas </w:t>
      </w:r>
      <w:r>
        <w:rPr>
          <w:color w:val="231F20"/>
          <w:spacing w:val="-3"/>
          <w:w w:val="105"/>
        </w:rPr>
        <w:t>que </w:t>
      </w:r>
      <w:r>
        <w:rPr>
          <w:color w:val="231F20"/>
          <w:spacing w:val="-4"/>
          <w:w w:val="105"/>
        </w:rPr>
        <w:t>no cuentan</w:t>
      </w:r>
      <w:r>
        <w:rPr>
          <w:color w:val="231F20"/>
          <w:spacing w:val="-12"/>
          <w:w w:val="105"/>
        </w:rPr>
        <w:t> </w:t>
      </w:r>
      <w:r>
        <w:rPr>
          <w:color w:val="231F20"/>
          <w:spacing w:val="-3"/>
          <w:w w:val="105"/>
        </w:rPr>
        <w:t>con</w:t>
      </w:r>
      <w:r>
        <w:rPr>
          <w:color w:val="231F20"/>
          <w:spacing w:val="-12"/>
          <w:w w:val="105"/>
        </w:rPr>
        <w:t> </w:t>
      </w:r>
      <w:r>
        <w:rPr>
          <w:color w:val="231F20"/>
          <w:spacing w:val="-4"/>
          <w:w w:val="105"/>
        </w:rPr>
        <w:t>tales</w:t>
      </w:r>
      <w:r>
        <w:rPr>
          <w:color w:val="231F20"/>
          <w:spacing w:val="-12"/>
          <w:w w:val="105"/>
        </w:rPr>
        <w:t> </w:t>
      </w:r>
      <w:r>
        <w:rPr>
          <w:color w:val="231F20"/>
          <w:spacing w:val="-4"/>
          <w:w w:val="105"/>
        </w:rPr>
        <w:t>ventajas.</w:t>
      </w:r>
      <w:r>
        <w:rPr>
          <w:color w:val="231F20"/>
          <w:spacing w:val="-17"/>
          <w:w w:val="105"/>
        </w:rPr>
        <w:t> </w:t>
      </w:r>
      <w:r>
        <w:rPr>
          <w:color w:val="231F20"/>
          <w:spacing w:val="-3"/>
          <w:w w:val="105"/>
        </w:rPr>
        <w:t>Esto</w:t>
      </w:r>
      <w:r>
        <w:rPr>
          <w:color w:val="231F20"/>
          <w:spacing w:val="-12"/>
          <w:w w:val="105"/>
        </w:rPr>
        <w:t> </w:t>
      </w:r>
      <w:r>
        <w:rPr>
          <w:color w:val="231F20"/>
          <w:w w:val="105"/>
        </w:rPr>
        <w:t>se</w:t>
      </w:r>
      <w:r>
        <w:rPr>
          <w:color w:val="231F20"/>
          <w:spacing w:val="-12"/>
          <w:w w:val="105"/>
        </w:rPr>
        <w:t> </w:t>
      </w:r>
      <w:r>
        <w:rPr>
          <w:color w:val="231F20"/>
          <w:w w:val="105"/>
        </w:rPr>
        <w:t>da</w:t>
      </w:r>
      <w:r>
        <w:rPr>
          <w:color w:val="231F20"/>
          <w:spacing w:val="-12"/>
          <w:w w:val="105"/>
        </w:rPr>
        <w:t> </w:t>
      </w:r>
      <w:r>
        <w:rPr>
          <w:color w:val="231F20"/>
          <w:spacing w:val="-4"/>
          <w:w w:val="105"/>
        </w:rPr>
        <w:t>cuando</w:t>
      </w:r>
      <w:r>
        <w:rPr>
          <w:color w:val="231F20"/>
          <w:spacing w:val="-12"/>
          <w:w w:val="105"/>
        </w:rPr>
        <w:t> </w:t>
      </w:r>
      <w:r>
        <w:rPr>
          <w:color w:val="231F20"/>
          <w:spacing w:val="-3"/>
          <w:w w:val="105"/>
        </w:rPr>
        <w:t>una</w:t>
      </w:r>
      <w:r>
        <w:rPr>
          <w:color w:val="231F20"/>
          <w:spacing w:val="-12"/>
          <w:w w:val="105"/>
        </w:rPr>
        <w:t> </w:t>
      </w:r>
      <w:r>
        <w:rPr>
          <w:color w:val="231F20"/>
          <w:spacing w:val="-5"/>
          <w:w w:val="105"/>
        </w:rPr>
        <w:t>empresa, </w:t>
      </w:r>
      <w:r>
        <w:rPr>
          <w:color w:val="231F20"/>
          <w:spacing w:val="-4"/>
          <w:w w:val="105"/>
        </w:rPr>
        <w:t>después </w:t>
      </w:r>
      <w:r>
        <w:rPr>
          <w:color w:val="231F20"/>
          <w:w w:val="105"/>
        </w:rPr>
        <w:t>de </w:t>
      </w:r>
      <w:r>
        <w:rPr>
          <w:color w:val="231F20"/>
          <w:spacing w:val="-4"/>
          <w:w w:val="105"/>
        </w:rPr>
        <w:t>haber </w:t>
      </w:r>
      <w:r>
        <w:rPr>
          <w:color w:val="231F20"/>
          <w:spacing w:val="-5"/>
          <w:w w:val="105"/>
        </w:rPr>
        <w:t>recuperado </w:t>
      </w:r>
      <w:r>
        <w:rPr>
          <w:color w:val="231F20"/>
          <w:w w:val="105"/>
        </w:rPr>
        <w:t>su </w:t>
      </w:r>
      <w:r>
        <w:rPr>
          <w:color w:val="231F20"/>
          <w:spacing w:val="-4"/>
          <w:w w:val="105"/>
        </w:rPr>
        <w:t>inversión, muestra rendi- mientos; </w:t>
      </w:r>
      <w:r>
        <w:rPr>
          <w:color w:val="231F20"/>
          <w:w w:val="105"/>
        </w:rPr>
        <w:t>y </w:t>
      </w:r>
      <w:r>
        <w:rPr>
          <w:color w:val="231F20"/>
          <w:spacing w:val="-4"/>
          <w:w w:val="105"/>
        </w:rPr>
        <w:t>cuando </w:t>
      </w:r>
      <w:r>
        <w:rPr>
          <w:color w:val="231F20"/>
          <w:w w:val="105"/>
        </w:rPr>
        <w:t>la </w:t>
      </w:r>
      <w:r>
        <w:rPr>
          <w:color w:val="231F20"/>
          <w:spacing w:val="-4"/>
          <w:w w:val="105"/>
        </w:rPr>
        <w:t>rentabilidad </w:t>
      </w:r>
      <w:r>
        <w:rPr>
          <w:color w:val="231F20"/>
          <w:w w:val="105"/>
        </w:rPr>
        <w:t>de </w:t>
      </w:r>
      <w:r>
        <w:rPr>
          <w:color w:val="231F20"/>
          <w:spacing w:val="-3"/>
          <w:w w:val="105"/>
        </w:rPr>
        <w:t>sus </w:t>
      </w:r>
      <w:r>
        <w:rPr>
          <w:color w:val="231F20"/>
          <w:spacing w:val="-4"/>
          <w:w w:val="105"/>
        </w:rPr>
        <w:t>recursos excede el monto </w:t>
      </w:r>
      <w:r>
        <w:rPr>
          <w:color w:val="231F20"/>
          <w:spacing w:val="-3"/>
          <w:w w:val="105"/>
        </w:rPr>
        <w:t>que </w:t>
      </w:r>
      <w:r>
        <w:rPr>
          <w:color w:val="231F20"/>
          <w:w w:val="105"/>
        </w:rPr>
        <w:t>se </w:t>
      </w:r>
      <w:r>
        <w:rPr>
          <w:color w:val="231F20"/>
          <w:spacing w:val="-4"/>
          <w:w w:val="105"/>
        </w:rPr>
        <w:t>hubiera ganado </w:t>
      </w:r>
      <w:r>
        <w:rPr>
          <w:color w:val="231F20"/>
          <w:w w:val="105"/>
        </w:rPr>
        <w:t>en </w:t>
      </w:r>
      <w:r>
        <w:rPr>
          <w:color w:val="231F20"/>
          <w:spacing w:val="-3"/>
          <w:w w:val="105"/>
        </w:rPr>
        <w:t>una </w:t>
      </w:r>
      <w:r>
        <w:rPr>
          <w:color w:val="231F20"/>
          <w:spacing w:val="-4"/>
          <w:w w:val="105"/>
        </w:rPr>
        <w:t>alternativa similar de riesgo.</w:t>
      </w:r>
      <w:r>
        <w:rPr>
          <w:color w:val="231F20"/>
          <w:spacing w:val="-22"/>
          <w:w w:val="105"/>
        </w:rPr>
        <w:t> </w:t>
      </w:r>
      <w:r>
        <w:rPr>
          <w:color w:val="231F20"/>
          <w:spacing w:val="-3"/>
          <w:w w:val="105"/>
        </w:rPr>
        <w:t>Sin</w:t>
      </w:r>
      <w:r>
        <w:rPr>
          <w:color w:val="231F20"/>
          <w:spacing w:val="-17"/>
          <w:w w:val="105"/>
        </w:rPr>
        <w:t> </w:t>
      </w:r>
      <w:r>
        <w:rPr>
          <w:color w:val="231F20"/>
          <w:spacing w:val="-5"/>
          <w:w w:val="105"/>
        </w:rPr>
        <w:t>embargo,</w:t>
      </w:r>
      <w:r>
        <w:rPr>
          <w:color w:val="231F20"/>
          <w:spacing w:val="-22"/>
          <w:w w:val="105"/>
        </w:rPr>
        <w:t> </w:t>
      </w:r>
      <w:r>
        <w:rPr>
          <w:color w:val="231F20"/>
          <w:spacing w:val="-4"/>
          <w:w w:val="105"/>
        </w:rPr>
        <w:t>cuando</w:t>
      </w:r>
      <w:r>
        <w:rPr>
          <w:color w:val="231F20"/>
          <w:spacing w:val="-17"/>
          <w:w w:val="105"/>
        </w:rPr>
        <w:t> </w:t>
      </w:r>
      <w:r>
        <w:rPr>
          <w:color w:val="231F20"/>
          <w:spacing w:val="-3"/>
          <w:w w:val="105"/>
        </w:rPr>
        <w:t>una</w:t>
      </w:r>
      <w:r>
        <w:rPr>
          <w:color w:val="231F20"/>
          <w:spacing w:val="-17"/>
          <w:w w:val="105"/>
        </w:rPr>
        <w:t> </w:t>
      </w:r>
      <w:r>
        <w:rPr>
          <w:color w:val="231F20"/>
          <w:spacing w:val="-4"/>
          <w:w w:val="105"/>
        </w:rPr>
        <w:t>empresa</w:t>
      </w:r>
      <w:r>
        <w:rPr>
          <w:color w:val="231F20"/>
          <w:spacing w:val="-17"/>
          <w:w w:val="105"/>
        </w:rPr>
        <w:t> </w:t>
      </w:r>
      <w:r>
        <w:rPr>
          <w:color w:val="231F20"/>
          <w:spacing w:val="-4"/>
          <w:w w:val="105"/>
        </w:rPr>
        <w:t>obtiene</w:t>
      </w:r>
      <w:r>
        <w:rPr>
          <w:color w:val="231F20"/>
          <w:spacing w:val="-17"/>
          <w:w w:val="105"/>
        </w:rPr>
        <w:t> </w:t>
      </w:r>
      <w:r>
        <w:rPr>
          <w:color w:val="231F20"/>
          <w:spacing w:val="-3"/>
          <w:w w:val="105"/>
        </w:rPr>
        <w:t>una</w:t>
      </w:r>
      <w:r>
        <w:rPr>
          <w:color w:val="231F20"/>
          <w:spacing w:val="-17"/>
          <w:w w:val="105"/>
        </w:rPr>
        <w:t> </w:t>
      </w:r>
      <w:r>
        <w:rPr>
          <w:color w:val="231F20"/>
          <w:spacing w:val="-4"/>
          <w:w w:val="105"/>
        </w:rPr>
        <w:t>renta- bilidad</w:t>
      </w:r>
      <w:r>
        <w:rPr>
          <w:color w:val="231F20"/>
          <w:spacing w:val="-21"/>
          <w:w w:val="105"/>
        </w:rPr>
        <w:t> </w:t>
      </w:r>
      <w:r>
        <w:rPr>
          <w:color w:val="231F20"/>
          <w:spacing w:val="-5"/>
          <w:w w:val="105"/>
        </w:rPr>
        <w:t>superior,</w:t>
      </w:r>
      <w:r>
        <w:rPr>
          <w:color w:val="231F20"/>
          <w:spacing w:val="-27"/>
          <w:w w:val="105"/>
        </w:rPr>
        <w:t> </w:t>
      </w:r>
      <w:r>
        <w:rPr>
          <w:color w:val="231F20"/>
          <w:w w:val="105"/>
        </w:rPr>
        <w:t>no</w:t>
      </w:r>
      <w:r>
        <w:rPr>
          <w:color w:val="231F20"/>
          <w:spacing w:val="-21"/>
          <w:w w:val="105"/>
        </w:rPr>
        <w:t> </w:t>
      </w:r>
      <w:r>
        <w:rPr>
          <w:color w:val="231F20"/>
          <w:spacing w:val="-3"/>
          <w:w w:val="105"/>
        </w:rPr>
        <w:t>sólo</w:t>
      </w:r>
      <w:r>
        <w:rPr>
          <w:color w:val="231F20"/>
          <w:spacing w:val="-21"/>
          <w:w w:val="105"/>
        </w:rPr>
        <w:t> </w:t>
      </w:r>
      <w:r>
        <w:rPr>
          <w:color w:val="231F20"/>
          <w:spacing w:val="-4"/>
          <w:w w:val="105"/>
        </w:rPr>
        <w:t>alcanza</w:t>
      </w:r>
      <w:r>
        <w:rPr>
          <w:color w:val="231F20"/>
          <w:spacing w:val="-21"/>
          <w:w w:val="105"/>
        </w:rPr>
        <w:t> </w:t>
      </w:r>
      <w:r>
        <w:rPr>
          <w:color w:val="231F20"/>
          <w:spacing w:val="-3"/>
          <w:w w:val="105"/>
        </w:rPr>
        <w:t>una</w:t>
      </w:r>
      <w:r>
        <w:rPr>
          <w:color w:val="231F20"/>
          <w:spacing w:val="-21"/>
          <w:w w:val="105"/>
        </w:rPr>
        <w:t> </w:t>
      </w:r>
      <w:r>
        <w:rPr>
          <w:color w:val="231F20"/>
          <w:spacing w:val="-4"/>
          <w:w w:val="105"/>
        </w:rPr>
        <w:t>ventaja</w:t>
      </w:r>
      <w:r>
        <w:rPr>
          <w:color w:val="231F20"/>
          <w:spacing w:val="-21"/>
          <w:w w:val="105"/>
        </w:rPr>
        <w:t> </w:t>
      </w:r>
      <w:r>
        <w:rPr>
          <w:color w:val="231F20"/>
          <w:spacing w:val="-4"/>
          <w:w w:val="105"/>
        </w:rPr>
        <w:t>competitiva,</w:t>
      </w:r>
      <w:r>
        <w:rPr>
          <w:color w:val="231F20"/>
          <w:spacing w:val="-27"/>
          <w:w w:val="105"/>
        </w:rPr>
        <w:t> </w:t>
      </w:r>
      <w:r>
        <w:rPr>
          <w:color w:val="231F20"/>
          <w:spacing w:val="-4"/>
          <w:w w:val="105"/>
        </w:rPr>
        <w:t>sino </w:t>
      </w:r>
      <w:r>
        <w:rPr>
          <w:color w:val="231F20"/>
          <w:spacing w:val="-3"/>
          <w:w w:val="105"/>
        </w:rPr>
        <w:t>que</w:t>
      </w:r>
      <w:r>
        <w:rPr>
          <w:color w:val="231F20"/>
          <w:spacing w:val="-14"/>
          <w:w w:val="105"/>
        </w:rPr>
        <w:t> </w:t>
      </w:r>
      <w:r>
        <w:rPr>
          <w:color w:val="231F20"/>
          <w:spacing w:val="-4"/>
          <w:w w:val="105"/>
        </w:rPr>
        <w:t>atrae</w:t>
      </w:r>
      <w:r>
        <w:rPr>
          <w:color w:val="231F20"/>
          <w:spacing w:val="-14"/>
          <w:w w:val="105"/>
        </w:rPr>
        <w:t> </w:t>
      </w:r>
      <w:r>
        <w:rPr>
          <w:color w:val="231F20"/>
          <w:spacing w:val="-4"/>
          <w:w w:val="105"/>
        </w:rPr>
        <w:t>rivales</w:t>
      </w:r>
      <w:r>
        <w:rPr>
          <w:color w:val="231F20"/>
          <w:spacing w:val="-14"/>
          <w:w w:val="105"/>
        </w:rPr>
        <w:t> </w:t>
      </w:r>
      <w:r>
        <w:rPr>
          <w:color w:val="231F20"/>
          <w:spacing w:val="-3"/>
          <w:w w:val="105"/>
        </w:rPr>
        <w:t>que</w:t>
      </w:r>
      <w:r>
        <w:rPr>
          <w:color w:val="231F20"/>
          <w:spacing w:val="-14"/>
          <w:w w:val="105"/>
        </w:rPr>
        <w:t> </w:t>
      </w:r>
      <w:r>
        <w:rPr>
          <w:color w:val="231F20"/>
          <w:spacing w:val="-4"/>
          <w:w w:val="105"/>
        </w:rPr>
        <w:t>tienden</w:t>
      </w:r>
      <w:r>
        <w:rPr>
          <w:color w:val="231F20"/>
          <w:spacing w:val="-14"/>
          <w:w w:val="105"/>
        </w:rPr>
        <w:t> </w:t>
      </w:r>
      <w:r>
        <w:rPr>
          <w:color w:val="231F20"/>
          <w:w w:val="105"/>
        </w:rPr>
        <w:t>a</w:t>
      </w:r>
      <w:r>
        <w:rPr>
          <w:color w:val="231F20"/>
          <w:spacing w:val="-14"/>
          <w:w w:val="105"/>
        </w:rPr>
        <w:t> </w:t>
      </w:r>
      <w:r>
        <w:rPr>
          <w:color w:val="231F20"/>
          <w:spacing w:val="-4"/>
          <w:w w:val="105"/>
        </w:rPr>
        <w:t>imitarla.</w:t>
      </w:r>
      <w:r>
        <w:rPr>
          <w:color w:val="231F20"/>
          <w:spacing w:val="-21"/>
          <w:w w:val="105"/>
        </w:rPr>
        <w:t> </w:t>
      </w:r>
      <w:r>
        <w:rPr>
          <w:color w:val="231F20"/>
          <w:spacing w:val="-4"/>
          <w:w w:val="105"/>
        </w:rPr>
        <w:t>Otro</w:t>
      </w:r>
      <w:r>
        <w:rPr>
          <w:color w:val="231F20"/>
          <w:spacing w:val="-14"/>
          <w:w w:val="105"/>
        </w:rPr>
        <w:t> </w:t>
      </w:r>
      <w:r>
        <w:rPr>
          <w:color w:val="231F20"/>
          <w:spacing w:val="-4"/>
          <w:w w:val="105"/>
        </w:rPr>
        <w:t>riesgo</w:t>
      </w:r>
      <w:r>
        <w:rPr>
          <w:color w:val="231F20"/>
          <w:spacing w:val="-14"/>
          <w:w w:val="105"/>
        </w:rPr>
        <w:t> </w:t>
      </w:r>
      <w:r>
        <w:rPr>
          <w:color w:val="231F20"/>
          <w:spacing w:val="-3"/>
          <w:w w:val="105"/>
        </w:rPr>
        <w:t>que</w:t>
      </w:r>
      <w:r>
        <w:rPr>
          <w:color w:val="231F20"/>
          <w:spacing w:val="-14"/>
          <w:w w:val="105"/>
        </w:rPr>
        <w:t> </w:t>
      </w:r>
      <w:r>
        <w:rPr>
          <w:color w:val="231F20"/>
          <w:spacing w:val="-4"/>
          <w:w w:val="105"/>
        </w:rPr>
        <w:t>corre </w:t>
      </w:r>
      <w:r>
        <w:rPr>
          <w:color w:val="231F20"/>
          <w:w w:val="105"/>
        </w:rPr>
        <w:t>es</w:t>
      </w:r>
      <w:r>
        <w:rPr>
          <w:color w:val="231F20"/>
          <w:spacing w:val="-41"/>
          <w:w w:val="105"/>
        </w:rPr>
        <w:t> </w:t>
      </w:r>
      <w:r>
        <w:rPr>
          <w:color w:val="231F20"/>
          <w:w w:val="105"/>
        </w:rPr>
        <w:t>la</w:t>
      </w:r>
      <w:r>
        <w:rPr>
          <w:color w:val="231F20"/>
          <w:spacing w:val="-41"/>
          <w:w w:val="105"/>
        </w:rPr>
        <w:t> </w:t>
      </w:r>
      <w:r>
        <w:rPr>
          <w:color w:val="231F20"/>
          <w:spacing w:val="-4"/>
          <w:w w:val="105"/>
        </w:rPr>
        <w:t>sustitución</w:t>
      </w:r>
      <w:r>
        <w:rPr>
          <w:color w:val="231F20"/>
          <w:spacing w:val="-41"/>
          <w:w w:val="105"/>
        </w:rPr>
        <w:t> </w:t>
      </w:r>
      <w:r>
        <w:rPr>
          <w:color w:val="231F20"/>
          <w:spacing w:val="-4"/>
          <w:w w:val="105"/>
        </w:rPr>
        <w:t>cuando</w:t>
      </w:r>
      <w:r>
        <w:rPr>
          <w:color w:val="231F20"/>
          <w:spacing w:val="-41"/>
          <w:w w:val="105"/>
        </w:rPr>
        <w:t> </w:t>
      </w:r>
      <w:r>
        <w:rPr>
          <w:color w:val="231F20"/>
          <w:w w:val="105"/>
        </w:rPr>
        <w:t>la</w:t>
      </w:r>
      <w:r>
        <w:rPr>
          <w:color w:val="231F20"/>
          <w:spacing w:val="-41"/>
          <w:w w:val="105"/>
        </w:rPr>
        <w:t> </w:t>
      </w:r>
      <w:r>
        <w:rPr>
          <w:color w:val="231F20"/>
          <w:spacing w:val="-4"/>
          <w:w w:val="105"/>
        </w:rPr>
        <w:t>empresa</w:t>
      </w:r>
      <w:r>
        <w:rPr>
          <w:color w:val="231F20"/>
          <w:spacing w:val="-41"/>
          <w:w w:val="105"/>
        </w:rPr>
        <w:t> </w:t>
      </w:r>
      <w:r>
        <w:rPr>
          <w:color w:val="231F20"/>
          <w:w w:val="105"/>
        </w:rPr>
        <w:t>se</w:t>
      </w:r>
      <w:r>
        <w:rPr>
          <w:color w:val="231F20"/>
          <w:spacing w:val="-41"/>
          <w:w w:val="105"/>
        </w:rPr>
        <w:t> </w:t>
      </w:r>
      <w:r>
        <w:rPr>
          <w:color w:val="231F20"/>
          <w:spacing w:val="-4"/>
          <w:w w:val="105"/>
        </w:rPr>
        <w:t>enfrenta</w:t>
      </w:r>
      <w:r>
        <w:rPr>
          <w:color w:val="231F20"/>
          <w:spacing w:val="-41"/>
          <w:w w:val="105"/>
        </w:rPr>
        <w:t> </w:t>
      </w:r>
      <w:r>
        <w:rPr>
          <w:color w:val="231F20"/>
          <w:w w:val="105"/>
        </w:rPr>
        <w:t>a</w:t>
      </w:r>
      <w:r>
        <w:rPr>
          <w:color w:val="231F20"/>
          <w:spacing w:val="-41"/>
          <w:w w:val="105"/>
        </w:rPr>
        <w:t> </w:t>
      </w:r>
      <w:r>
        <w:rPr>
          <w:color w:val="231F20"/>
          <w:spacing w:val="-3"/>
          <w:w w:val="105"/>
        </w:rPr>
        <w:t>una</w:t>
      </w:r>
      <w:r>
        <w:rPr>
          <w:color w:val="231F20"/>
          <w:spacing w:val="-41"/>
          <w:w w:val="105"/>
        </w:rPr>
        <w:t> </w:t>
      </w:r>
      <w:r>
        <w:rPr>
          <w:color w:val="231F20"/>
          <w:spacing w:val="-4"/>
          <w:w w:val="105"/>
        </w:rPr>
        <w:t>amenaza </w:t>
      </w:r>
      <w:r>
        <w:rPr>
          <w:color w:val="231F20"/>
          <w:w w:val="105"/>
        </w:rPr>
        <w:t>de</w:t>
      </w:r>
      <w:r>
        <w:rPr>
          <w:color w:val="231F20"/>
          <w:spacing w:val="-12"/>
          <w:w w:val="105"/>
        </w:rPr>
        <w:t> </w:t>
      </w:r>
      <w:r>
        <w:rPr>
          <w:color w:val="231F20"/>
          <w:spacing w:val="-4"/>
          <w:w w:val="105"/>
        </w:rPr>
        <w:t>reemplazo</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spacing w:val="-4"/>
          <w:w w:val="105"/>
        </w:rPr>
        <w:t>producto</w:t>
      </w:r>
      <w:r>
        <w:rPr>
          <w:color w:val="231F20"/>
          <w:spacing w:val="-12"/>
          <w:w w:val="105"/>
        </w:rPr>
        <w:t> </w:t>
      </w:r>
      <w:r>
        <w:rPr>
          <w:color w:val="231F20"/>
          <w:w w:val="105"/>
        </w:rPr>
        <w:t>o</w:t>
      </w:r>
      <w:r>
        <w:rPr>
          <w:color w:val="231F20"/>
          <w:spacing w:val="-12"/>
          <w:w w:val="105"/>
        </w:rPr>
        <w:t> </w:t>
      </w:r>
      <w:r>
        <w:rPr>
          <w:color w:val="231F20"/>
          <w:spacing w:val="-4"/>
          <w:w w:val="105"/>
        </w:rPr>
        <w:t>servicio.</w:t>
      </w:r>
      <w:r>
        <w:rPr>
          <w:color w:val="231F20"/>
          <w:spacing w:val="-18"/>
          <w:w w:val="105"/>
        </w:rPr>
        <w:t> </w:t>
      </w:r>
      <w:r>
        <w:rPr>
          <w:color w:val="231F20"/>
          <w:spacing w:val="-3"/>
          <w:w w:val="105"/>
        </w:rPr>
        <w:t>Una</w:t>
      </w:r>
      <w:r>
        <w:rPr>
          <w:color w:val="231F20"/>
          <w:spacing w:val="-12"/>
          <w:w w:val="105"/>
        </w:rPr>
        <w:t> </w:t>
      </w:r>
      <w:r>
        <w:rPr>
          <w:color w:val="231F20"/>
          <w:spacing w:val="-4"/>
          <w:w w:val="105"/>
        </w:rPr>
        <w:t>alternativa</w:t>
      </w:r>
      <w:r>
        <w:rPr>
          <w:color w:val="231F20"/>
          <w:spacing w:val="-12"/>
          <w:w w:val="105"/>
        </w:rPr>
        <w:t> </w:t>
      </w:r>
      <w:r>
        <w:rPr>
          <w:color w:val="231F20"/>
          <w:spacing w:val="-4"/>
          <w:w w:val="105"/>
        </w:rPr>
        <w:t>para evitar</w:t>
      </w:r>
      <w:r>
        <w:rPr>
          <w:color w:val="231F20"/>
          <w:spacing w:val="-19"/>
          <w:w w:val="105"/>
        </w:rPr>
        <w:t> </w:t>
      </w:r>
      <w:r>
        <w:rPr>
          <w:color w:val="231F20"/>
          <w:spacing w:val="-4"/>
          <w:w w:val="105"/>
        </w:rPr>
        <w:t>esto,</w:t>
      </w:r>
      <w:r>
        <w:rPr>
          <w:color w:val="231F20"/>
          <w:spacing w:val="-25"/>
          <w:w w:val="105"/>
        </w:rPr>
        <w:t> </w:t>
      </w:r>
      <w:r>
        <w:rPr>
          <w:color w:val="231F20"/>
          <w:w w:val="105"/>
        </w:rPr>
        <w:t>es</w:t>
      </w:r>
      <w:r>
        <w:rPr>
          <w:color w:val="231F20"/>
          <w:spacing w:val="-19"/>
          <w:w w:val="105"/>
        </w:rPr>
        <w:t> </w:t>
      </w:r>
      <w:r>
        <w:rPr>
          <w:color w:val="231F20"/>
          <w:spacing w:val="-4"/>
          <w:w w:val="105"/>
        </w:rPr>
        <w:t>construir</w:t>
      </w:r>
      <w:r>
        <w:rPr>
          <w:color w:val="231F20"/>
          <w:spacing w:val="-19"/>
          <w:w w:val="105"/>
        </w:rPr>
        <w:t> </w:t>
      </w:r>
      <w:r>
        <w:rPr>
          <w:color w:val="231F20"/>
          <w:spacing w:val="-3"/>
          <w:w w:val="105"/>
        </w:rPr>
        <w:t>una</w:t>
      </w:r>
      <w:r>
        <w:rPr>
          <w:color w:val="231F20"/>
          <w:spacing w:val="-19"/>
          <w:w w:val="105"/>
        </w:rPr>
        <w:t> </w:t>
      </w:r>
      <w:r>
        <w:rPr>
          <w:color w:val="231F20"/>
          <w:spacing w:val="-4"/>
          <w:w w:val="105"/>
        </w:rPr>
        <w:t>ventaja</w:t>
      </w:r>
      <w:r>
        <w:rPr>
          <w:color w:val="231F20"/>
          <w:spacing w:val="-19"/>
          <w:w w:val="105"/>
        </w:rPr>
        <w:t> </w:t>
      </w:r>
      <w:r>
        <w:rPr>
          <w:color w:val="231F20"/>
          <w:spacing w:val="-3"/>
          <w:w w:val="105"/>
        </w:rPr>
        <w:t>que</w:t>
      </w:r>
      <w:r>
        <w:rPr>
          <w:color w:val="231F20"/>
          <w:spacing w:val="-19"/>
          <w:w w:val="105"/>
        </w:rPr>
        <w:t> </w:t>
      </w:r>
      <w:r>
        <w:rPr>
          <w:color w:val="231F20"/>
          <w:spacing w:val="-5"/>
          <w:w w:val="105"/>
        </w:rPr>
        <w:t>perdure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4"/>
          <w:w w:val="105"/>
        </w:rPr>
        <w:t>tiempo. </w:t>
      </w:r>
      <w:r>
        <w:rPr>
          <w:color w:val="231F20"/>
          <w:w w:val="105"/>
        </w:rPr>
        <w:t>La</w:t>
      </w:r>
      <w:r>
        <w:rPr>
          <w:color w:val="231F20"/>
          <w:spacing w:val="-27"/>
          <w:w w:val="105"/>
        </w:rPr>
        <w:t> </w:t>
      </w:r>
      <w:r>
        <w:rPr>
          <w:color w:val="231F20"/>
          <w:spacing w:val="-4"/>
          <w:w w:val="105"/>
        </w:rPr>
        <w:t>ventaja</w:t>
      </w:r>
      <w:r>
        <w:rPr>
          <w:color w:val="231F20"/>
          <w:spacing w:val="-27"/>
          <w:w w:val="105"/>
        </w:rPr>
        <w:t> </w:t>
      </w:r>
      <w:r>
        <w:rPr>
          <w:color w:val="231F20"/>
          <w:spacing w:val="-4"/>
          <w:w w:val="105"/>
        </w:rPr>
        <w:t>competitiva</w:t>
      </w:r>
      <w:r>
        <w:rPr>
          <w:color w:val="231F20"/>
          <w:spacing w:val="-27"/>
          <w:w w:val="105"/>
        </w:rPr>
        <w:t> </w:t>
      </w:r>
      <w:r>
        <w:rPr>
          <w:color w:val="231F20"/>
          <w:spacing w:val="-5"/>
          <w:w w:val="105"/>
        </w:rPr>
        <w:t>requiere</w:t>
      </w:r>
      <w:r>
        <w:rPr>
          <w:color w:val="231F20"/>
          <w:spacing w:val="-27"/>
          <w:w w:val="105"/>
        </w:rPr>
        <w:t> </w:t>
      </w:r>
      <w:r>
        <w:rPr>
          <w:color w:val="231F20"/>
          <w:w w:val="105"/>
        </w:rPr>
        <w:t>de</w:t>
      </w:r>
      <w:r>
        <w:rPr>
          <w:color w:val="231F20"/>
          <w:spacing w:val="-27"/>
          <w:w w:val="105"/>
        </w:rPr>
        <w:t> </w:t>
      </w:r>
      <w:r>
        <w:rPr>
          <w:color w:val="231F20"/>
          <w:spacing w:val="-3"/>
          <w:w w:val="105"/>
        </w:rPr>
        <w:t>una</w:t>
      </w:r>
      <w:r>
        <w:rPr>
          <w:color w:val="231F20"/>
          <w:spacing w:val="-27"/>
          <w:w w:val="105"/>
        </w:rPr>
        <w:t> </w:t>
      </w:r>
      <w:r>
        <w:rPr>
          <w:color w:val="231F20"/>
          <w:w w:val="105"/>
        </w:rPr>
        <w:t>o</w:t>
      </w:r>
      <w:r>
        <w:rPr>
          <w:color w:val="231F20"/>
          <w:spacing w:val="-27"/>
          <w:w w:val="105"/>
        </w:rPr>
        <w:t> </w:t>
      </w:r>
      <w:r>
        <w:rPr>
          <w:color w:val="231F20"/>
          <w:spacing w:val="-3"/>
          <w:w w:val="105"/>
        </w:rPr>
        <w:t>más</w:t>
      </w:r>
      <w:r>
        <w:rPr>
          <w:color w:val="231F20"/>
          <w:spacing w:val="-27"/>
          <w:w w:val="105"/>
        </w:rPr>
        <w:t> </w:t>
      </w:r>
      <w:r>
        <w:rPr>
          <w:color w:val="231F20"/>
          <w:spacing w:val="-4"/>
          <w:w w:val="105"/>
        </w:rPr>
        <w:t>estrategias</w:t>
      </w:r>
      <w:r>
        <w:rPr>
          <w:color w:val="231F20"/>
          <w:spacing w:val="-27"/>
          <w:w w:val="105"/>
        </w:rPr>
        <w:t> </w:t>
      </w:r>
      <w:r>
        <w:rPr>
          <w:color w:val="231F20"/>
          <w:spacing w:val="-4"/>
          <w:w w:val="105"/>
        </w:rPr>
        <w:t>para tener</w:t>
      </w:r>
      <w:r>
        <w:rPr>
          <w:color w:val="231F20"/>
          <w:spacing w:val="-29"/>
          <w:w w:val="105"/>
        </w:rPr>
        <w:t> </w:t>
      </w:r>
      <w:r>
        <w:rPr>
          <w:color w:val="231F20"/>
          <w:w w:val="105"/>
        </w:rPr>
        <w:t>un</w:t>
      </w:r>
      <w:r>
        <w:rPr>
          <w:color w:val="231F20"/>
          <w:spacing w:val="-29"/>
          <w:w w:val="105"/>
        </w:rPr>
        <w:t> </w:t>
      </w:r>
      <w:r>
        <w:rPr>
          <w:color w:val="231F20"/>
          <w:spacing w:val="-4"/>
          <w:w w:val="105"/>
        </w:rPr>
        <w:t>posicionamiento</w:t>
      </w:r>
      <w:r>
        <w:rPr>
          <w:color w:val="231F20"/>
          <w:spacing w:val="-29"/>
          <w:w w:val="105"/>
        </w:rPr>
        <w:t> </w:t>
      </w:r>
      <w:r>
        <w:rPr>
          <w:color w:val="231F20"/>
          <w:spacing w:val="-4"/>
          <w:w w:val="105"/>
        </w:rPr>
        <w:t>favorable</w:t>
      </w:r>
      <w:r>
        <w:rPr>
          <w:color w:val="231F20"/>
          <w:spacing w:val="-29"/>
          <w:w w:val="105"/>
        </w:rPr>
        <w:t> </w:t>
      </w:r>
      <w:r>
        <w:rPr>
          <w:color w:val="231F20"/>
          <w:w w:val="105"/>
        </w:rPr>
        <w:t>y</w:t>
      </w:r>
      <w:r>
        <w:rPr>
          <w:color w:val="231F20"/>
          <w:spacing w:val="-29"/>
          <w:w w:val="105"/>
        </w:rPr>
        <w:t> </w:t>
      </w:r>
      <w:r>
        <w:rPr>
          <w:color w:val="231F20"/>
          <w:spacing w:val="-4"/>
          <w:w w:val="105"/>
        </w:rPr>
        <w:t>sostenible</w:t>
      </w:r>
      <w:r>
        <w:rPr>
          <w:color w:val="231F20"/>
          <w:spacing w:val="-29"/>
          <w:w w:val="105"/>
        </w:rPr>
        <w:t> </w:t>
      </w:r>
      <w:r>
        <w:rPr>
          <w:color w:val="231F20"/>
          <w:w w:val="105"/>
        </w:rPr>
        <w:t>en</w:t>
      </w:r>
      <w:r>
        <w:rPr>
          <w:color w:val="231F20"/>
          <w:spacing w:val="-29"/>
          <w:w w:val="105"/>
        </w:rPr>
        <w:t> </w:t>
      </w:r>
      <w:r>
        <w:rPr>
          <w:color w:val="231F20"/>
          <w:w w:val="105"/>
        </w:rPr>
        <w:t>un</w:t>
      </w:r>
      <w:r>
        <w:rPr>
          <w:color w:val="231F20"/>
          <w:spacing w:val="-29"/>
          <w:w w:val="105"/>
        </w:rPr>
        <w:t> </w:t>
      </w:r>
      <w:r>
        <w:rPr>
          <w:color w:val="231F20"/>
          <w:spacing w:val="-4"/>
          <w:w w:val="105"/>
        </w:rPr>
        <w:t>sector</w:t>
      </w:r>
      <w:r>
        <w:rPr>
          <w:color w:val="231F20"/>
          <w:spacing w:val="-29"/>
          <w:w w:val="105"/>
        </w:rPr>
        <w:t> </w:t>
      </w:r>
      <w:r>
        <w:rPr>
          <w:color w:val="231F20"/>
          <w:w w:val="105"/>
        </w:rPr>
        <w:t>y </w:t>
      </w:r>
      <w:r>
        <w:rPr>
          <w:color w:val="231F20"/>
          <w:spacing w:val="-4"/>
          <w:w w:val="105"/>
        </w:rPr>
        <w:t>luchar</w:t>
      </w:r>
      <w:r>
        <w:rPr>
          <w:color w:val="231F20"/>
          <w:spacing w:val="-25"/>
          <w:w w:val="105"/>
        </w:rPr>
        <w:t> </w:t>
      </w:r>
      <w:r>
        <w:rPr>
          <w:color w:val="231F20"/>
          <w:spacing w:val="-4"/>
          <w:w w:val="105"/>
        </w:rPr>
        <w:t>contra</w:t>
      </w:r>
      <w:r>
        <w:rPr>
          <w:color w:val="231F20"/>
          <w:spacing w:val="-25"/>
          <w:w w:val="105"/>
        </w:rPr>
        <w:t> </w:t>
      </w:r>
      <w:r>
        <w:rPr>
          <w:color w:val="231F20"/>
          <w:spacing w:val="-3"/>
          <w:w w:val="105"/>
        </w:rPr>
        <w:t>las</w:t>
      </w:r>
      <w:r>
        <w:rPr>
          <w:color w:val="231F20"/>
          <w:spacing w:val="-25"/>
          <w:w w:val="105"/>
        </w:rPr>
        <w:t> </w:t>
      </w:r>
      <w:r>
        <w:rPr>
          <w:color w:val="231F20"/>
          <w:spacing w:val="-4"/>
          <w:w w:val="105"/>
        </w:rPr>
        <w:t>fuerzas</w:t>
      </w:r>
      <w:r>
        <w:rPr>
          <w:color w:val="231F20"/>
          <w:spacing w:val="-25"/>
          <w:w w:val="105"/>
        </w:rPr>
        <w:t> </w:t>
      </w:r>
      <w:r>
        <w:rPr>
          <w:color w:val="231F20"/>
          <w:spacing w:val="-3"/>
          <w:w w:val="105"/>
        </w:rPr>
        <w:t>que</w:t>
      </w:r>
      <w:r>
        <w:rPr>
          <w:color w:val="231F20"/>
          <w:spacing w:val="-25"/>
          <w:w w:val="105"/>
        </w:rPr>
        <w:t> </w:t>
      </w:r>
      <w:r>
        <w:rPr>
          <w:color w:val="231F20"/>
          <w:spacing w:val="-4"/>
          <w:w w:val="105"/>
        </w:rPr>
        <w:t>determinan</w:t>
      </w:r>
      <w:r>
        <w:rPr>
          <w:color w:val="231F20"/>
          <w:spacing w:val="-25"/>
          <w:w w:val="105"/>
        </w:rPr>
        <w:t> </w:t>
      </w:r>
      <w:r>
        <w:rPr>
          <w:color w:val="231F20"/>
          <w:w w:val="105"/>
        </w:rPr>
        <w:t>la</w:t>
      </w:r>
      <w:r>
        <w:rPr>
          <w:color w:val="231F20"/>
          <w:spacing w:val="-25"/>
          <w:w w:val="105"/>
        </w:rPr>
        <w:t> </w:t>
      </w:r>
      <w:r>
        <w:rPr>
          <w:color w:val="231F20"/>
          <w:spacing w:val="-4"/>
          <w:w w:val="105"/>
        </w:rPr>
        <w:t>competencia</w:t>
      </w:r>
      <w:r>
        <w:rPr>
          <w:color w:val="231F20"/>
          <w:spacing w:val="-25"/>
          <w:w w:val="105"/>
        </w:rPr>
        <w:t> </w:t>
      </w:r>
      <w:r>
        <w:rPr>
          <w:color w:val="231F20"/>
          <w:spacing w:val="-8"/>
          <w:w w:val="105"/>
        </w:rPr>
        <w:t>(Por- </w:t>
      </w:r>
      <w:r>
        <w:rPr>
          <w:color w:val="231F20"/>
          <w:spacing w:val="-6"/>
          <w:w w:val="105"/>
        </w:rPr>
        <w:t>ter,</w:t>
      </w:r>
      <w:r>
        <w:rPr>
          <w:color w:val="231F20"/>
          <w:spacing w:val="-32"/>
          <w:w w:val="105"/>
        </w:rPr>
        <w:t> </w:t>
      </w:r>
      <w:r>
        <w:rPr>
          <w:color w:val="231F20"/>
          <w:spacing w:val="-4"/>
          <w:w w:val="105"/>
        </w:rPr>
        <w:t>1980).</w:t>
      </w:r>
      <w:r>
        <w:rPr>
          <w:color w:val="231F20"/>
          <w:spacing w:val="-32"/>
          <w:w w:val="105"/>
        </w:rPr>
        <w:t> </w:t>
      </w:r>
      <w:r>
        <w:rPr>
          <w:color w:val="231F20"/>
          <w:w w:val="105"/>
        </w:rPr>
        <w:t>La</w:t>
      </w:r>
      <w:r>
        <w:rPr>
          <w:color w:val="231F20"/>
          <w:spacing w:val="-28"/>
          <w:w w:val="105"/>
        </w:rPr>
        <w:t> </w:t>
      </w:r>
      <w:r>
        <w:rPr>
          <w:color w:val="231F20"/>
          <w:spacing w:val="-4"/>
          <w:w w:val="105"/>
        </w:rPr>
        <w:t>ventaja</w:t>
      </w:r>
      <w:r>
        <w:rPr>
          <w:color w:val="231F20"/>
          <w:spacing w:val="-28"/>
          <w:w w:val="105"/>
        </w:rPr>
        <w:t> </w:t>
      </w:r>
      <w:r>
        <w:rPr>
          <w:color w:val="231F20"/>
          <w:spacing w:val="-4"/>
          <w:w w:val="105"/>
        </w:rPr>
        <w:t>competitiva</w:t>
      </w:r>
      <w:r>
        <w:rPr>
          <w:color w:val="231F20"/>
          <w:spacing w:val="-28"/>
          <w:w w:val="105"/>
        </w:rPr>
        <w:t> </w:t>
      </w:r>
      <w:r>
        <w:rPr>
          <w:color w:val="231F20"/>
          <w:spacing w:val="-4"/>
          <w:w w:val="105"/>
        </w:rPr>
        <w:t>sostenida</w:t>
      </w:r>
      <w:r>
        <w:rPr>
          <w:color w:val="231F20"/>
          <w:spacing w:val="-28"/>
          <w:w w:val="105"/>
        </w:rPr>
        <w:t> </w:t>
      </w:r>
      <w:r>
        <w:rPr>
          <w:color w:val="231F20"/>
          <w:spacing w:val="-4"/>
          <w:w w:val="105"/>
        </w:rPr>
        <w:t>dirige</w:t>
      </w:r>
      <w:r>
        <w:rPr>
          <w:color w:val="231F20"/>
          <w:spacing w:val="-28"/>
          <w:w w:val="105"/>
        </w:rPr>
        <w:t> </w:t>
      </w:r>
      <w:r>
        <w:rPr>
          <w:color w:val="231F20"/>
          <w:spacing w:val="-3"/>
          <w:w w:val="105"/>
        </w:rPr>
        <w:t>las</w:t>
      </w:r>
      <w:r>
        <w:rPr>
          <w:color w:val="231F20"/>
          <w:spacing w:val="-28"/>
          <w:w w:val="105"/>
        </w:rPr>
        <w:t> </w:t>
      </w:r>
      <w:r>
        <w:rPr>
          <w:color w:val="231F20"/>
          <w:spacing w:val="-5"/>
          <w:w w:val="105"/>
        </w:rPr>
        <w:t>energías creativas</w:t>
      </w:r>
      <w:r>
        <w:rPr>
          <w:color w:val="231F20"/>
          <w:spacing w:val="-30"/>
          <w:w w:val="105"/>
        </w:rPr>
        <w:t> </w:t>
      </w:r>
      <w:r>
        <w:rPr>
          <w:color w:val="231F20"/>
          <w:w w:val="105"/>
        </w:rPr>
        <w:t>de</w:t>
      </w:r>
      <w:r>
        <w:rPr>
          <w:color w:val="231F20"/>
          <w:spacing w:val="-30"/>
          <w:w w:val="105"/>
        </w:rPr>
        <w:t> </w:t>
      </w:r>
      <w:r>
        <w:rPr>
          <w:color w:val="231F20"/>
          <w:spacing w:val="-3"/>
          <w:w w:val="105"/>
        </w:rPr>
        <w:t>los</w:t>
      </w:r>
      <w:r>
        <w:rPr>
          <w:color w:val="231F20"/>
          <w:spacing w:val="-30"/>
          <w:w w:val="105"/>
        </w:rPr>
        <w:t> </w:t>
      </w:r>
      <w:r>
        <w:rPr>
          <w:color w:val="231F20"/>
          <w:spacing w:val="-4"/>
          <w:w w:val="105"/>
        </w:rPr>
        <w:t>tomadores</w:t>
      </w:r>
      <w:r>
        <w:rPr>
          <w:color w:val="231F20"/>
          <w:spacing w:val="-30"/>
          <w:w w:val="105"/>
        </w:rPr>
        <w:t> </w:t>
      </w:r>
      <w:r>
        <w:rPr>
          <w:color w:val="231F20"/>
          <w:w w:val="105"/>
        </w:rPr>
        <w:t>de</w:t>
      </w:r>
      <w:r>
        <w:rPr>
          <w:color w:val="231F20"/>
          <w:spacing w:val="-30"/>
          <w:w w:val="105"/>
        </w:rPr>
        <w:t> </w:t>
      </w:r>
      <w:r>
        <w:rPr>
          <w:color w:val="231F20"/>
          <w:spacing w:val="-4"/>
          <w:w w:val="105"/>
        </w:rPr>
        <w:t>decisiones</w:t>
      </w:r>
      <w:r>
        <w:rPr>
          <w:color w:val="231F20"/>
          <w:spacing w:val="-30"/>
          <w:w w:val="105"/>
        </w:rPr>
        <w:t> </w:t>
      </w:r>
      <w:r>
        <w:rPr>
          <w:color w:val="231F20"/>
          <w:spacing w:val="-4"/>
          <w:w w:val="105"/>
        </w:rPr>
        <w:t>hacia</w:t>
      </w:r>
      <w:r>
        <w:rPr>
          <w:color w:val="231F20"/>
          <w:spacing w:val="-30"/>
          <w:w w:val="105"/>
        </w:rPr>
        <w:t> </w:t>
      </w:r>
      <w:r>
        <w:rPr>
          <w:color w:val="231F20"/>
          <w:spacing w:val="-3"/>
          <w:w w:val="105"/>
        </w:rPr>
        <w:t>las</w:t>
      </w:r>
      <w:r>
        <w:rPr>
          <w:color w:val="231F20"/>
          <w:spacing w:val="-30"/>
          <w:w w:val="105"/>
        </w:rPr>
        <w:t> </w:t>
      </w:r>
      <w:r>
        <w:rPr>
          <w:color w:val="231F20"/>
          <w:spacing w:val="-5"/>
          <w:w w:val="105"/>
        </w:rPr>
        <w:t>estructuras </w:t>
      </w:r>
      <w:r>
        <w:rPr>
          <w:color w:val="231F20"/>
          <w:w w:val="105"/>
        </w:rPr>
        <w:t>de</w:t>
      </w:r>
      <w:r>
        <w:rPr>
          <w:color w:val="231F20"/>
          <w:spacing w:val="-39"/>
          <w:w w:val="105"/>
        </w:rPr>
        <w:t> </w:t>
      </w:r>
      <w:r>
        <w:rPr>
          <w:color w:val="231F20"/>
          <w:spacing w:val="-3"/>
          <w:w w:val="105"/>
        </w:rPr>
        <w:t>los</w:t>
      </w:r>
      <w:r>
        <w:rPr>
          <w:color w:val="231F20"/>
          <w:spacing w:val="-39"/>
          <w:w w:val="105"/>
        </w:rPr>
        <w:t> </w:t>
      </w:r>
      <w:r>
        <w:rPr>
          <w:color w:val="231F20"/>
          <w:spacing w:val="-4"/>
          <w:w w:val="105"/>
        </w:rPr>
        <w:t>sectores</w:t>
      </w:r>
      <w:r>
        <w:rPr>
          <w:color w:val="231F20"/>
          <w:spacing w:val="-39"/>
          <w:w w:val="105"/>
        </w:rPr>
        <w:t> </w:t>
      </w:r>
      <w:r>
        <w:rPr>
          <w:color w:val="231F20"/>
          <w:spacing w:val="-4"/>
          <w:w w:val="105"/>
        </w:rPr>
        <w:t>industriales</w:t>
      </w:r>
      <w:r>
        <w:rPr>
          <w:color w:val="231F20"/>
          <w:spacing w:val="-39"/>
          <w:w w:val="105"/>
        </w:rPr>
        <w:t> </w:t>
      </w:r>
      <w:r>
        <w:rPr>
          <w:color w:val="231F20"/>
          <w:spacing w:val="-5"/>
          <w:w w:val="105"/>
        </w:rPr>
        <w:t>(Barney,</w:t>
      </w:r>
      <w:r>
        <w:rPr>
          <w:color w:val="231F20"/>
          <w:spacing w:val="-42"/>
          <w:w w:val="105"/>
        </w:rPr>
        <w:t> </w:t>
      </w:r>
      <w:r>
        <w:rPr>
          <w:color w:val="231F20"/>
          <w:spacing w:val="-4"/>
          <w:w w:val="105"/>
        </w:rPr>
        <w:t>1991).</w:t>
      </w:r>
    </w:p>
    <w:p>
      <w:pPr>
        <w:pStyle w:val="BodyText"/>
        <w:spacing w:before="9"/>
        <w:rPr>
          <w:sz w:val="28"/>
        </w:rPr>
      </w:pPr>
    </w:p>
    <w:p>
      <w:pPr>
        <w:spacing w:before="1"/>
        <w:ind w:left="117" w:right="0" w:firstLine="0"/>
        <w:jc w:val="both"/>
        <w:rPr>
          <w:i/>
          <w:sz w:val="21"/>
        </w:rPr>
      </w:pPr>
      <w:r>
        <w:rPr>
          <w:i/>
          <w:color w:val="231F20"/>
          <w:sz w:val="21"/>
        </w:rPr>
        <w:t>Teoría de recursos y capacidades</w:t>
      </w:r>
    </w:p>
    <w:p>
      <w:pPr>
        <w:pStyle w:val="BodyText"/>
        <w:spacing w:before="4"/>
        <w:rPr>
          <w:i/>
          <w:sz w:val="16"/>
        </w:rPr>
      </w:pPr>
    </w:p>
    <w:p>
      <w:pPr>
        <w:pStyle w:val="BodyText"/>
        <w:spacing w:line="259" w:lineRule="auto"/>
        <w:ind w:left="117" w:right="121"/>
        <w:jc w:val="both"/>
      </w:pPr>
      <w:r>
        <w:rPr>
          <w:color w:val="231F20"/>
          <w:w w:val="105"/>
        </w:rPr>
        <w:t>La competitividad empresarial demanda el desarrollo e integración de actividades</w:t>
      </w:r>
      <w:r>
        <w:rPr>
          <w:color w:val="231F20"/>
          <w:spacing w:val="-28"/>
          <w:w w:val="105"/>
        </w:rPr>
        <w:t> </w:t>
      </w:r>
      <w:r>
        <w:rPr>
          <w:color w:val="231F20"/>
          <w:w w:val="105"/>
        </w:rPr>
        <w:t>internas</w:t>
      </w:r>
      <w:r>
        <w:rPr>
          <w:color w:val="231F20"/>
          <w:spacing w:val="-28"/>
          <w:w w:val="105"/>
        </w:rPr>
        <w:t> </w:t>
      </w:r>
      <w:r>
        <w:rPr>
          <w:color w:val="231F20"/>
          <w:w w:val="105"/>
        </w:rPr>
        <w:t>generadoras</w:t>
      </w:r>
      <w:r>
        <w:rPr>
          <w:color w:val="231F20"/>
          <w:spacing w:val="-28"/>
          <w:w w:val="105"/>
        </w:rPr>
        <w:t> </w:t>
      </w:r>
      <w:r>
        <w:rPr>
          <w:color w:val="231F20"/>
          <w:w w:val="105"/>
        </w:rPr>
        <w:t>de</w:t>
      </w:r>
      <w:r>
        <w:rPr>
          <w:color w:val="231F20"/>
          <w:spacing w:val="-28"/>
          <w:w w:val="105"/>
        </w:rPr>
        <w:t> </w:t>
      </w:r>
      <w:r>
        <w:rPr>
          <w:color w:val="231F20"/>
          <w:w w:val="105"/>
        </w:rPr>
        <w:t>valor,</w:t>
      </w:r>
      <w:r>
        <w:rPr>
          <w:color w:val="231F20"/>
          <w:spacing w:val="-32"/>
          <w:w w:val="105"/>
        </w:rPr>
        <w:t> </w:t>
      </w:r>
      <w:r>
        <w:rPr>
          <w:color w:val="231F20"/>
          <w:w w:val="105"/>
        </w:rPr>
        <w:t>impulsadas</w:t>
      </w:r>
      <w:r>
        <w:rPr>
          <w:color w:val="231F20"/>
          <w:spacing w:val="-28"/>
          <w:w w:val="105"/>
        </w:rPr>
        <w:t> </w:t>
      </w:r>
      <w:r>
        <w:rPr>
          <w:color w:val="231F20"/>
          <w:w w:val="105"/>
        </w:rPr>
        <w:t>por</w:t>
      </w:r>
      <w:r>
        <w:rPr>
          <w:color w:val="231F20"/>
          <w:spacing w:val="-28"/>
          <w:w w:val="105"/>
        </w:rPr>
        <w:t> </w:t>
      </w:r>
      <w:r>
        <w:rPr>
          <w:color w:val="231F20"/>
          <w:w w:val="105"/>
        </w:rPr>
        <w:t>sus</w:t>
      </w:r>
      <w:r>
        <w:rPr>
          <w:color w:val="231F20"/>
          <w:spacing w:val="-28"/>
          <w:w w:val="105"/>
        </w:rPr>
        <w:t> </w:t>
      </w:r>
      <w:r>
        <w:rPr>
          <w:color w:val="231F20"/>
          <w:w w:val="105"/>
        </w:rPr>
        <w:t>áreas</w:t>
      </w:r>
      <w:r>
        <w:rPr>
          <w:color w:val="231F20"/>
          <w:spacing w:val="-28"/>
          <w:w w:val="105"/>
        </w:rPr>
        <w:t> </w:t>
      </w:r>
      <w:r>
        <w:rPr>
          <w:color w:val="231F20"/>
          <w:w w:val="105"/>
        </w:rPr>
        <w:t>fun- cionales</w:t>
      </w:r>
      <w:r>
        <w:rPr>
          <w:color w:val="231F20"/>
          <w:spacing w:val="-17"/>
          <w:w w:val="105"/>
        </w:rPr>
        <w:t> </w:t>
      </w:r>
      <w:r>
        <w:rPr>
          <w:color w:val="231F20"/>
          <w:w w:val="105"/>
        </w:rPr>
        <w:t>y</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despliegue</w:t>
      </w:r>
      <w:r>
        <w:rPr>
          <w:color w:val="231F20"/>
          <w:spacing w:val="-17"/>
          <w:w w:val="105"/>
        </w:rPr>
        <w:t> </w:t>
      </w:r>
      <w:r>
        <w:rPr>
          <w:color w:val="231F20"/>
          <w:w w:val="105"/>
        </w:rPr>
        <w:t>coordinado</w:t>
      </w:r>
      <w:r>
        <w:rPr>
          <w:color w:val="231F20"/>
          <w:spacing w:val="-17"/>
          <w:w w:val="105"/>
        </w:rPr>
        <w:t> </w:t>
      </w:r>
      <w:r>
        <w:rPr>
          <w:color w:val="231F20"/>
          <w:w w:val="105"/>
        </w:rPr>
        <w:t>de</w:t>
      </w:r>
      <w:r>
        <w:rPr>
          <w:color w:val="231F20"/>
          <w:spacing w:val="-17"/>
          <w:w w:val="105"/>
        </w:rPr>
        <w:t> </w:t>
      </w:r>
      <w:r>
        <w:rPr>
          <w:color w:val="231F20"/>
          <w:w w:val="105"/>
        </w:rPr>
        <w:t>recursos</w:t>
      </w:r>
      <w:r>
        <w:rPr>
          <w:color w:val="231F20"/>
          <w:spacing w:val="-17"/>
          <w:w w:val="105"/>
        </w:rPr>
        <w:t> </w:t>
      </w:r>
      <w:r>
        <w:rPr>
          <w:color w:val="231F20"/>
          <w:w w:val="105"/>
        </w:rPr>
        <w:t>para</w:t>
      </w:r>
      <w:r>
        <w:rPr>
          <w:color w:val="231F20"/>
          <w:spacing w:val="-17"/>
          <w:w w:val="105"/>
        </w:rPr>
        <w:t> </w:t>
      </w:r>
      <w:r>
        <w:rPr>
          <w:color w:val="231F20"/>
          <w:w w:val="105"/>
        </w:rPr>
        <w:t>transformarlos en</w:t>
      </w:r>
      <w:r>
        <w:rPr>
          <w:color w:val="231F20"/>
          <w:spacing w:val="-29"/>
          <w:w w:val="105"/>
        </w:rPr>
        <w:t> </w:t>
      </w:r>
      <w:r>
        <w:rPr>
          <w:color w:val="231F20"/>
          <w:w w:val="105"/>
        </w:rPr>
        <w:t>productos</w:t>
      </w:r>
      <w:r>
        <w:rPr>
          <w:color w:val="231F20"/>
          <w:spacing w:val="-29"/>
          <w:w w:val="105"/>
        </w:rPr>
        <w:t> </w:t>
      </w:r>
      <w:r>
        <w:rPr>
          <w:color w:val="231F20"/>
          <w:w w:val="105"/>
        </w:rPr>
        <w:t>y</w:t>
      </w:r>
      <w:r>
        <w:rPr>
          <w:color w:val="231F20"/>
          <w:spacing w:val="-29"/>
          <w:w w:val="105"/>
        </w:rPr>
        <w:t> </w:t>
      </w:r>
      <w:r>
        <w:rPr>
          <w:color w:val="231F20"/>
          <w:w w:val="105"/>
        </w:rPr>
        <w:t>servicios.</w:t>
      </w:r>
      <w:r>
        <w:rPr>
          <w:color w:val="231F20"/>
          <w:spacing w:val="-34"/>
          <w:w w:val="105"/>
        </w:rPr>
        <w:t> </w:t>
      </w:r>
      <w:r>
        <w:rPr>
          <w:color w:val="231F20"/>
          <w:w w:val="105"/>
        </w:rPr>
        <w:t>De</w:t>
      </w:r>
      <w:r>
        <w:rPr>
          <w:color w:val="231F20"/>
          <w:spacing w:val="-29"/>
          <w:w w:val="105"/>
        </w:rPr>
        <w:t> </w:t>
      </w:r>
      <w:r>
        <w:rPr>
          <w:color w:val="231F20"/>
          <w:w w:val="105"/>
        </w:rPr>
        <w:t>esto</w:t>
      </w:r>
      <w:r>
        <w:rPr>
          <w:color w:val="231F20"/>
          <w:spacing w:val="-29"/>
          <w:w w:val="105"/>
        </w:rPr>
        <w:t> </w:t>
      </w:r>
      <w:r>
        <w:rPr>
          <w:color w:val="231F20"/>
          <w:w w:val="105"/>
        </w:rPr>
        <w:t>trata</w:t>
      </w:r>
      <w:r>
        <w:rPr>
          <w:color w:val="231F20"/>
          <w:spacing w:val="-29"/>
          <w:w w:val="105"/>
        </w:rPr>
        <w:t> </w:t>
      </w:r>
      <w:r>
        <w:rPr>
          <w:color w:val="231F20"/>
          <w:w w:val="105"/>
        </w:rPr>
        <w:t>la</w:t>
      </w:r>
      <w:r>
        <w:rPr>
          <w:color w:val="231F20"/>
          <w:spacing w:val="-29"/>
          <w:w w:val="105"/>
        </w:rPr>
        <w:t> </w:t>
      </w:r>
      <w:r>
        <w:rPr>
          <w:color w:val="231F20"/>
          <w:w w:val="105"/>
        </w:rPr>
        <w:t>premisa</w:t>
      </w:r>
      <w:r>
        <w:rPr>
          <w:color w:val="231F20"/>
          <w:spacing w:val="-29"/>
          <w:w w:val="105"/>
        </w:rPr>
        <w:t> </w:t>
      </w:r>
      <w:r>
        <w:rPr>
          <w:color w:val="231F20"/>
          <w:w w:val="105"/>
        </w:rPr>
        <w:t>fundamental</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33"/>
          <w:w w:val="105"/>
        </w:rPr>
        <w:t> </w:t>
      </w:r>
      <w:r>
        <w:rPr>
          <w:color w:val="231F20"/>
          <w:w w:val="105"/>
        </w:rPr>
        <w:t>TRyC (Grant,</w:t>
      </w:r>
      <w:r>
        <w:rPr>
          <w:color w:val="231F20"/>
          <w:spacing w:val="-23"/>
          <w:w w:val="105"/>
        </w:rPr>
        <w:t> </w:t>
      </w:r>
      <w:r>
        <w:rPr>
          <w:color w:val="231F20"/>
          <w:w w:val="105"/>
        </w:rPr>
        <w:t>1991):</w:t>
      </w:r>
      <w:r>
        <w:rPr>
          <w:color w:val="231F20"/>
          <w:spacing w:val="-18"/>
          <w:w w:val="105"/>
        </w:rPr>
        <w:t> </w:t>
      </w:r>
      <w:r>
        <w:rPr>
          <w:color w:val="231F20"/>
          <w:w w:val="105"/>
        </w:rPr>
        <w:t>la</w:t>
      </w:r>
      <w:r>
        <w:rPr>
          <w:color w:val="231F20"/>
          <w:spacing w:val="-18"/>
          <w:w w:val="105"/>
        </w:rPr>
        <w:t> </w:t>
      </w:r>
      <w:r>
        <w:rPr>
          <w:color w:val="231F20"/>
          <w:w w:val="105"/>
        </w:rPr>
        <w:t>existencia</w:t>
      </w:r>
      <w:r>
        <w:rPr>
          <w:color w:val="231F20"/>
          <w:spacing w:val="-18"/>
          <w:w w:val="105"/>
        </w:rPr>
        <w:t> </w:t>
      </w:r>
      <w:r>
        <w:rPr>
          <w:color w:val="231F20"/>
          <w:w w:val="105"/>
        </w:rPr>
        <w:t>de</w:t>
      </w:r>
      <w:r>
        <w:rPr>
          <w:color w:val="231F20"/>
          <w:spacing w:val="-18"/>
          <w:w w:val="105"/>
        </w:rPr>
        <w:t> </w:t>
      </w:r>
      <w:r>
        <w:rPr>
          <w:color w:val="231F20"/>
          <w:w w:val="105"/>
        </w:rPr>
        <w:t>heterogeneidad</w:t>
      </w:r>
      <w:r>
        <w:rPr>
          <w:color w:val="231F20"/>
          <w:spacing w:val="-18"/>
          <w:w w:val="105"/>
        </w:rPr>
        <w:t> </w:t>
      </w:r>
      <w:r>
        <w:rPr>
          <w:color w:val="231F20"/>
          <w:w w:val="105"/>
        </w:rPr>
        <w:t>entre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de</w:t>
      </w:r>
      <w:r>
        <w:rPr>
          <w:color w:val="231F20"/>
          <w:spacing w:val="-18"/>
          <w:w w:val="105"/>
        </w:rPr>
        <w:t> </w:t>
      </w:r>
      <w:r>
        <w:rPr>
          <w:color w:val="231F20"/>
          <w:w w:val="105"/>
        </w:rPr>
        <w:t>un sector,</w:t>
      </w:r>
      <w:r>
        <w:rPr>
          <w:color w:val="231F20"/>
          <w:spacing w:val="-16"/>
          <w:w w:val="105"/>
        </w:rPr>
        <w:t> </w:t>
      </w:r>
      <w:r>
        <w:rPr>
          <w:color w:val="231F20"/>
          <w:w w:val="105"/>
        </w:rPr>
        <w:t>en</w:t>
      </w:r>
      <w:r>
        <w:rPr>
          <w:color w:val="231F20"/>
          <w:spacing w:val="-11"/>
          <w:w w:val="105"/>
        </w:rPr>
        <w:t> </w:t>
      </w:r>
      <w:r>
        <w:rPr>
          <w:color w:val="231F20"/>
          <w:w w:val="105"/>
        </w:rPr>
        <w:t>cuanto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que</w:t>
      </w:r>
      <w:r>
        <w:rPr>
          <w:color w:val="231F20"/>
          <w:spacing w:val="-11"/>
          <w:w w:val="105"/>
        </w:rPr>
        <w:t> </w:t>
      </w:r>
      <w:r>
        <w:rPr>
          <w:color w:val="231F20"/>
          <w:w w:val="105"/>
        </w:rPr>
        <w:t>controlan,</w:t>
      </w:r>
      <w:r>
        <w:rPr>
          <w:color w:val="231F20"/>
          <w:spacing w:val="-16"/>
          <w:w w:val="105"/>
        </w:rPr>
        <w:t> </w:t>
      </w:r>
      <w:r>
        <w:rPr>
          <w:color w:val="231F20"/>
          <w:w w:val="105"/>
        </w:rPr>
        <w:t>explica</w:t>
      </w:r>
      <w:r>
        <w:rPr>
          <w:color w:val="231F20"/>
          <w:spacing w:val="-11"/>
          <w:w w:val="105"/>
        </w:rPr>
        <w:t> </w:t>
      </w:r>
      <w:r>
        <w:rPr>
          <w:color w:val="231F20"/>
          <w:w w:val="105"/>
        </w:rPr>
        <w:t>los</w:t>
      </w:r>
      <w:r>
        <w:rPr>
          <w:color w:val="231F20"/>
          <w:spacing w:val="-11"/>
          <w:w w:val="105"/>
        </w:rPr>
        <w:t> </w:t>
      </w:r>
      <w:r>
        <w:rPr>
          <w:color w:val="231F20"/>
          <w:w w:val="105"/>
        </w:rPr>
        <w:t>diferentes</w:t>
      </w:r>
      <w:r>
        <w:rPr>
          <w:color w:val="231F20"/>
          <w:spacing w:val="-11"/>
          <w:w w:val="105"/>
        </w:rPr>
        <w:t> </w:t>
      </w:r>
      <w:r>
        <w:rPr>
          <w:color w:val="231F20"/>
          <w:w w:val="105"/>
        </w:rPr>
        <w:t>re- sultados</w:t>
      </w:r>
      <w:r>
        <w:rPr>
          <w:color w:val="231F20"/>
          <w:spacing w:val="-14"/>
          <w:w w:val="105"/>
        </w:rPr>
        <w:t> </w:t>
      </w:r>
      <w:r>
        <w:rPr>
          <w:color w:val="231F20"/>
          <w:w w:val="105"/>
        </w:rPr>
        <w:t>obtenidos</w:t>
      </w:r>
      <w:r>
        <w:rPr>
          <w:color w:val="231F20"/>
          <w:spacing w:val="-14"/>
          <w:w w:val="105"/>
        </w:rPr>
        <w:t> </w:t>
      </w:r>
      <w:r>
        <w:rPr>
          <w:color w:val="231F20"/>
          <w:w w:val="105"/>
        </w:rPr>
        <w:t>por</w:t>
      </w:r>
      <w:r>
        <w:rPr>
          <w:color w:val="231F20"/>
          <w:spacing w:val="-14"/>
          <w:w w:val="105"/>
        </w:rPr>
        <w:t> </w:t>
      </w:r>
      <w:r>
        <w:rPr>
          <w:color w:val="231F20"/>
          <w:w w:val="105"/>
        </w:rPr>
        <w:t>cada</w:t>
      </w:r>
      <w:r>
        <w:rPr>
          <w:color w:val="231F20"/>
          <w:spacing w:val="-14"/>
          <w:w w:val="105"/>
        </w:rPr>
        <w:t> </w:t>
      </w:r>
      <w:r>
        <w:rPr>
          <w:color w:val="231F20"/>
          <w:w w:val="105"/>
        </w:rPr>
        <w:t>una</w:t>
      </w:r>
      <w:r>
        <w:rPr>
          <w:color w:val="231F20"/>
          <w:spacing w:val="-14"/>
          <w:w w:val="105"/>
        </w:rPr>
        <w:t> </w:t>
      </w:r>
      <w:r>
        <w:rPr>
          <w:color w:val="231F20"/>
          <w:w w:val="105"/>
        </w:rPr>
        <w:t>de</w:t>
      </w:r>
      <w:r>
        <w:rPr>
          <w:color w:val="231F20"/>
          <w:spacing w:val="-14"/>
          <w:w w:val="105"/>
        </w:rPr>
        <w:t> </w:t>
      </w:r>
      <w:r>
        <w:rPr>
          <w:color w:val="231F20"/>
          <w:w w:val="105"/>
        </w:rPr>
        <w:t>ellas.</w:t>
      </w:r>
    </w:p>
    <w:p>
      <w:pPr>
        <w:pStyle w:val="BodyText"/>
        <w:spacing w:line="259" w:lineRule="auto"/>
        <w:ind w:left="117" w:right="115" w:firstLine="567"/>
        <w:jc w:val="both"/>
      </w:pPr>
      <w:r>
        <w:rPr>
          <w:color w:val="231F20"/>
        </w:rPr>
        <w:t>Coincidente con la perspectiva de la ventaja competitiva, los re- cursos comprenden el aspecto estático e incluyen el stock de factores productivos que la empresa posee o controla, tales como: financieros, físicos, humanos, organizativos y tecnológicos (Grant, 1991). Las capaci- dades tienen la condición de flujo, es decir, representan el aspecto diná- mico en cuanto a la forma en que la empresa emplea sus recursos, por   lo que no pueden ser consideradas con independencia de su uso; se les puede entender como una rutina o conjunto de rutinas organizacionales, es decir, una serie de pautas de actuación regulares y predecibles que indican las tareas a efectuar y la forma de llevarlas a cabo (Grant, 1991; </w:t>
      </w:r>
      <w:r>
        <w:rPr>
          <w:color w:val="231F20"/>
          <w:spacing w:val="-3"/>
        </w:rPr>
        <w:t>Penrose, </w:t>
      </w:r>
      <w:r>
        <w:rPr>
          <w:color w:val="231F20"/>
        </w:rPr>
        <w:t>1962). Las capacidades comprenden complejos patrones de in- teracción</w:t>
      </w:r>
      <w:r>
        <w:rPr>
          <w:color w:val="231F20"/>
          <w:spacing w:val="24"/>
        </w:rPr>
        <w:t> </w:t>
      </w:r>
      <w:r>
        <w:rPr>
          <w:color w:val="231F20"/>
        </w:rPr>
        <w:t>entre</w:t>
      </w:r>
      <w:r>
        <w:rPr>
          <w:color w:val="231F20"/>
          <w:spacing w:val="24"/>
        </w:rPr>
        <w:t> </w:t>
      </w:r>
      <w:r>
        <w:rPr>
          <w:color w:val="231F20"/>
        </w:rPr>
        <w:t>las</w:t>
      </w:r>
      <w:r>
        <w:rPr>
          <w:color w:val="231F20"/>
          <w:spacing w:val="24"/>
        </w:rPr>
        <w:t> </w:t>
      </w:r>
      <w:r>
        <w:rPr>
          <w:color w:val="231F20"/>
        </w:rPr>
        <w:t>personas</w:t>
      </w:r>
      <w:r>
        <w:rPr>
          <w:color w:val="231F20"/>
          <w:spacing w:val="24"/>
        </w:rPr>
        <w:t> </w:t>
      </w:r>
      <w:r>
        <w:rPr>
          <w:color w:val="231F20"/>
        </w:rPr>
        <w:t>y</w:t>
      </w:r>
      <w:r>
        <w:rPr>
          <w:color w:val="231F20"/>
          <w:spacing w:val="24"/>
        </w:rPr>
        <w:t> </w:t>
      </w:r>
      <w:r>
        <w:rPr>
          <w:color w:val="231F20"/>
        </w:rPr>
        <w:t>los</w:t>
      </w:r>
      <w:r>
        <w:rPr>
          <w:color w:val="231F20"/>
          <w:spacing w:val="24"/>
        </w:rPr>
        <w:t> </w:t>
      </w:r>
      <w:r>
        <w:rPr>
          <w:color w:val="231F20"/>
        </w:rPr>
        <w:t>recursos;</w:t>
      </w:r>
      <w:r>
        <w:rPr>
          <w:color w:val="231F20"/>
          <w:spacing w:val="24"/>
        </w:rPr>
        <w:t> </w:t>
      </w:r>
      <w:r>
        <w:rPr>
          <w:color w:val="231F20"/>
        </w:rPr>
        <w:t>se</w:t>
      </w:r>
      <w:r>
        <w:rPr>
          <w:color w:val="231F20"/>
          <w:spacing w:val="24"/>
        </w:rPr>
        <w:t> </w:t>
      </w:r>
      <w:r>
        <w:rPr>
          <w:color w:val="231F20"/>
        </w:rPr>
        <w:t>han</w:t>
      </w:r>
      <w:r>
        <w:rPr>
          <w:color w:val="231F20"/>
          <w:spacing w:val="24"/>
        </w:rPr>
        <w:t> </w:t>
      </w:r>
      <w:r>
        <w:rPr>
          <w:color w:val="231F20"/>
        </w:rPr>
        <w:t>formado</w:t>
      </w:r>
      <w:r>
        <w:rPr>
          <w:color w:val="231F20"/>
          <w:spacing w:val="24"/>
        </w:rPr>
        <w:t> </w:t>
      </w:r>
      <w:r>
        <w:rPr>
          <w:color w:val="231F20"/>
        </w:rPr>
        <w:t>lentamente</w:t>
      </w:r>
    </w:p>
    <w:p>
      <w:pPr>
        <w:spacing w:after="0" w:line="259" w:lineRule="auto"/>
        <w:jc w:val="both"/>
        <w:sectPr>
          <w:pgSz w:w="9640" w:h="13890"/>
          <w:pgMar w:top="0" w:bottom="280" w:left="1300" w:right="1180"/>
        </w:sectPr>
      </w:pPr>
    </w:p>
    <w:p>
      <w:pPr>
        <w:pStyle w:val="BodyText"/>
        <w:spacing w:line="259" w:lineRule="auto" w:before="120"/>
        <w:ind w:left="103" w:right="115"/>
        <w:jc w:val="both"/>
      </w:pPr>
      <w:r>
        <w:rPr>
          <w:color w:val="231F20"/>
          <w:w w:val="105"/>
        </w:rPr>
        <w:t>como</w:t>
      </w:r>
      <w:r>
        <w:rPr>
          <w:color w:val="231F20"/>
          <w:spacing w:val="-12"/>
          <w:w w:val="105"/>
        </w:rPr>
        <w:t> </w:t>
      </w:r>
      <w:r>
        <w:rPr>
          <w:color w:val="231F20"/>
          <w:w w:val="105"/>
        </w:rPr>
        <w:t>resultado</w:t>
      </w:r>
      <w:r>
        <w:rPr>
          <w:color w:val="231F20"/>
          <w:spacing w:val="-12"/>
          <w:w w:val="105"/>
        </w:rPr>
        <w:t> </w:t>
      </w:r>
      <w:r>
        <w:rPr>
          <w:color w:val="231F20"/>
          <w:w w:val="105"/>
        </w:rPr>
        <w:t>del</w:t>
      </w:r>
      <w:r>
        <w:rPr>
          <w:color w:val="231F20"/>
          <w:spacing w:val="-12"/>
          <w:w w:val="105"/>
        </w:rPr>
        <w:t> </w:t>
      </w:r>
      <w:r>
        <w:rPr>
          <w:color w:val="231F20"/>
          <w:w w:val="105"/>
        </w:rPr>
        <w:t>aprendizaje</w:t>
      </w:r>
      <w:r>
        <w:rPr>
          <w:color w:val="231F20"/>
          <w:spacing w:val="-12"/>
          <w:w w:val="105"/>
        </w:rPr>
        <w:t> </w:t>
      </w:r>
      <w:r>
        <w:rPr>
          <w:color w:val="231F20"/>
          <w:w w:val="105"/>
        </w:rPr>
        <w:t>colectivo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2"/>
          <w:w w:val="105"/>
        </w:rPr>
        <w:t> </w:t>
      </w:r>
      <w:r>
        <w:rPr>
          <w:color w:val="231F20"/>
          <w:w w:val="105"/>
        </w:rPr>
        <w:t>y</w:t>
      </w:r>
      <w:r>
        <w:rPr>
          <w:color w:val="231F20"/>
          <w:spacing w:val="-12"/>
          <w:w w:val="105"/>
        </w:rPr>
        <w:t> </w:t>
      </w:r>
      <w:r>
        <w:rPr>
          <w:color w:val="231F20"/>
          <w:w w:val="105"/>
        </w:rPr>
        <w:t>definen</w:t>
      </w:r>
      <w:r>
        <w:rPr>
          <w:color w:val="231F20"/>
          <w:spacing w:val="-12"/>
          <w:w w:val="105"/>
        </w:rPr>
        <w:t> </w:t>
      </w:r>
      <w:r>
        <w:rPr>
          <w:color w:val="231F20"/>
          <w:w w:val="105"/>
        </w:rPr>
        <w:t>lo que</w:t>
      </w:r>
      <w:r>
        <w:rPr>
          <w:color w:val="231F20"/>
          <w:spacing w:val="-14"/>
          <w:w w:val="105"/>
        </w:rPr>
        <w:t> </w:t>
      </w:r>
      <w:r>
        <w:rPr>
          <w:color w:val="231F20"/>
          <w:w w:val="105"/>
        </w:rPr>
        <w:t>ésta</w:t>
      </w:r>
      <w:r>
        <w:rPr>
          <w:color w:val="231F20"/>
          <w:spacing w:val="-14"/>
          <w:w w:val="105"/>
        </w:rPr>
        <w:t> </w:t>
      </w:r>
      <w:r>
        <w:rPr>
          <w:color w:val="231F20"/>
          <w:w w:val="105"/>
        </w:rPr>
        <w:t>puede</w:t>
      </w:r>
      <w:r>
        <w:rPr>
          <w:color w:val="231F20"/>
          <w:spacing w:val="-14"/>
          <w:w w:val="105"/>
        </w:rPr>
        <w:t> </w:t>
      </w:r>
      <w:r>
        <w:rPr>
          <w:color w:val="231F20"/>
          <w:w w:val="105"/>
        </w:rPr>
        <w:t>o</w:t>
      </w:r>
      <w:r>
        <w:rPr>
          <w:color w:val="231F20"/>
          <w:spacing w:val="-14"/>
          <w:w w:val="105"/>
        </w:rPr>
        <w:t> </w:t>
      </w:r>
      <w:r>
        <w:rPr>
          <w:color w:val="231F20"/>
          <w:w w:val="105"/>
        </w:rPr>
        <w:t>no</w:t>
      </w:r>
      <w:r>
        <w:rPr>
          <w:color w:val="231F20"/>
          <w:spacing w:val="-14"/>
          <w:w w:val="105"/>
        </w:rPr>
        <w:t> </w:t>
      </w:r>
      <w:r>
        <w:rPr>
          <w:color w:val="231F20"/>
          <w:w w:val="105"/>
        </w:rPr>
        <w:t>hacer.</w:t>
      </w:r>
    </w:p>
    <w:p>
      <w:pPr>
        <w:pStyle w:val="BodyText"/>
        <w:spacing w:line="259" w:lineRule="auto"/>
        <w:ind w:left="103" w:right="114" w:firstLine="567"/>
        <w:jc w:val="both"/>
      </w:pPr>
      <w:r>
        <w:rPr>
          <w:color w:val="231F20"/>
          <w:w w:val="105"/>
        </w:rPr>
        <w:t>En este sentido, el atractivo de la oferta de los productos de una empresa y la rentabilidad generada, son el reflejo de la eficiencia con que</w:t>
      </w:r>
      <w:r>
        <w:rPr>
          <w:color w:val="231F20"/>
          <w:spacing w:val="-40"/>
          <w:w w:val="105"/>
        </w:rPr>
        <w:t> </w:t>
      </w:r>
      <w:r>
        <w:rPr>
          <w:color w:val="231F20"/>
          <w:w w:val="105"/>
        </w:rPr>
        <w:t>se</w:t>
      </w:r>
      <w:r>
        <w:rPr>
          <w:color w:val="231F20"/>
          <w:spacing w:val="-40"/>
          <w:w w:val="105"/>
        </w:rPr>
        <w:t> </w:t>
      </w:r>
      <w:r>
        <w:rPr>
          <w:color w:val="231F20"/>
          <w:w w:val="105"/>
        </w:rPr>
        <w:t>han</w:t>
      </w:r>
      <w:r>
        <w:rPr>
          <w:color w:val="231F20"/>
          <w:spacing w:val="-40"/>
          <w:w w:val="105"/>
        </w:rPr>
        <w:t> </w:t>
      </w:r>
      <w:r>
        <w:rPr>
          <w:color w:val="231F20"/>
          <w:w w:val="105"/>
        </w:rPr>
        <w:t>usado</w:t>
      </w:r>
      <w:r>
        <w:rPr>
          <w:color w:val="231F20"/>
          <w:spacing w:val="-40"/>
          <w:w w:val="105"/>
        </w:rPr>
        <w:t> </w:t>
      </w:r>
      <w:r>
        <w:rPr>
          <w:color w:val="231F20"/>
          <w:w w:val="105"/>
        </w:rPr>
        <w:t>sus</w:t>
      </w:r>
      <w:r>
        <w:rPr>
          <w:color w:val="231F20"/>
          <w:spacing w:val="-40"/>
          <w:w w:val="105"/>
        </w:rPr>
        <w:t> </w:t>
      </w:r>
      <w:r>
        <w:rPr>
          <w:color w:val="231F20"/>
          <w:w w:val="105"/>
        </w:rPr>
        <w:t>recursos</w:t>
      </w:r>
      <w:r>
        <w:rPr>
          <w:color w:val="231F20"/>
          <w:spacing w:val="-40"/>
          <w:w w:val="105"/>
        </w:rPr>
        <w:t> </w:t>
      </w:r>
      <w:r>
        <w:rPr>
          <w:color w:val="231F20"/>
          <w:w w:val="105"/>
        </w:rPr>
        <w:t>y</w:t>
      </w:r>
      <w:r>
        <w:rPr>
          <w:color w:val="231F20"/>
          <w:spacing w:val="-40"/>
          <w:w w:val="105"/>
        </w:rPr>
        <w:t> </w:t>
      </w:r>
      <w:r>
        <w:rPr>
          <w:color w:val="231F20"/>
          <w:w w:val="105"/>
        </w:rPr>
        <w:t>aprovechado</w:t>
      </w:r>
      <w:r>
        <w:rPr>
          <w:color w:val="231F20"/>
          <w:spacing w:val="-40"/>
          <w:w w:val="105"/>
        </w:rPr>
        <w:t> </w:t>
      </w:r>
      <w:r>
        <w:rPr>
          <w:color w:val="231F20"/>
          <w:w w:val="105"/>
        </w:rPr>
        <w:t>sus</w:t>
      </w:r>
      <w:r>
        <w:rPr>
          <w:color w:val="231F20"/>
          <w:spacing w:val="-40"/>
          <w:w w:val="105"/>
        </w:rPr>
        <w:t> </w:t>
      </w:r>
      <w:r>
        <w:rPr>
          <w:color w:val="231F20"/>
          <w:w w:val="105"/>
        </w:rPr>
        <w:t>capacidades</w:t>
      </w:r>
      <w:r>
        <w:rPr>
          <w:color w:val="231F20"/>
          <w:spacing w:val="-40"/>
          <w:w w:val="105"/>
        </w:rPr>
        <w:t> </w:t>
      </w:r>
      <w:r>
        <w:rPr>
          <w:color w:val="231F20"/>
          <w:w w:val="105"/>
        </w:rPr>
        <w:t>distintivas dinámicas,</w:t>
      </w:r>
      <w:r>
        <w:rPr>
          <w:color w:val="231F20"/>
          <w:spacing w:val="-31"/>
          <w:w w:val="105"/>
        </w:rPr>
        <w:t> </w:t>
      </w:r>
      <w:r>
        <w:rPr>
          <w:color w:val="231F20"/>
          <w:w w:val="105"/>
        </w:rPr>
        <w:t>entendidas</w:t>
      </w:r>
      <w:r>
        <w:rPr>
          <w:color w:val="231F20"/>
          <w:spacing w:val="-26"/>
          <w:w w:val="105"/>
        </w:rPr>
        <w:t> </w:t>
      </w:r>
      <w:r>
        <w:rPr>
          <w:color w:val="231F20"/>
          <w:w w:val="105"/>
        </w:rPr>
        <w:t>éstas,</w:t>
      </w:r>
      <w:r>
        <w:rPr>
          <w:color w:val="231F20"/>
          <w:spacing w:val="-31"/>
          <w:w w:val="105"/>
        </w:rPr>
        <w:t> </w:t>
      </w:r>
      <w:r>
        <w:rPr>
          <w:color w:val="231F20"/>
          <w:w w:val="105"/>
        </w:rPr>
        <w:t>como</w:t>
      </w:r>
      <w:r>
        <w:rPr>
          <w:color w:val="231F20"/>
          <w:spacing w:val="-26"/>
          <w:w w:val="105"/>
        </w:rPr>
        <w:t> </w:t>
      </w:r>
      <w:r>
        <w:rPr>
          <w:color w:val="231F20"/>
          <w:w w:val="105"/>
        </w:rPr>
        <w:t>las</w:t>
      </w:r>
      <w:r>
        <w:rPr>
          <w:color w:val="231F20"/>
          <w:spacing w:val="-26"/>
          <w:w w:val="105"/>
        </w:rPr>
        <w:t> </w:t>
      </w:r>
      <w:r>
        <w:rPr>
          <w:color w:val="231F20"/>
          <w:w w:val="105"/>
        </w:rPr>
        <w:t>destrezas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organización</w:t>
      </w:r>
      <w:r>
        <w:rPr>
          <w:color w:val="231F20"/>
          <w:spacing w:val="-26"/>
          <w:w w:val="105"/>
        </w:rPr>
        <w:t> </w:t>
      </w:r>
      <w:r>
        <w:rPr>
          <w:color w:val="231F20"/>
          <w:w w:val="105"/>
        </w:rPr>
        <w:t>para adaptar,</w:t>
      </w:r>
      <w:r>
        <w:rPr>
          <w:color w:val="231F20"/>
          <w:spacing w:val="-19"/>
          <w:w w:val="105"/>
        </w:rPr>
        <w:t> </w:t>
      </w:r>
      <w:r>
        <w:rPr>
          <w:color w:val="231F20"/>
          <w:w w:val="105"/>
        </w:rPr>
        <w:t>integrar,</w:t>
      </w:r>
      <w:r>
        <w:rPr>
          <w:color w:val="231F20"/>
          <w:spacing w:val="-19"/>
          <w:w w:val="105"/>
        </w:rPr>
        <w:t> </w:t>
      </w:r>
      <w:r>
        <w:rPr>
          <w:color w:val="231F20"/>
          <w:w w:val="105"/>
        </w:rPr>
        <w:t>construir</w:t>
      </w:r>
      <w:r>
        <w:rPr>
          <w:color w:val="231F20"/>
          <w:spacing w:val="-14"/>
          <w:w w:val="105"/>
        </w:rPr>
        <w:t> </w:t>
      </w:r>
      <w:r>
        <w:rPr>
          <w:color w:val="231F20"/>
          <w:w w:val="105"/>
        </w:rPr>
        <w:t>y</w:t>
      </w:r>
      <w:r>
        <w:rPr>
          <w:color w:val="231F20"/>
          <w:spacing w:val="-14"/>
          <w:w w:val="105"/>
        </w:rPr>
        <w:t> </w:t>
      </w:r>
      <w:r>
        <w:rPr>
          <w:color w:val="231F20"/>
          <w:w w:val="105"/>
        </w:rPr>
        <w:t>reconfigurar</w:t>
      </w:r>
      <w:r>
        <w:rPr>
          <w:color w:val="231F20"/>
          <w:spacing w:val="-14"/>
          <w:w w:val="105"/>
        </w:rPr>
        <w:t> </w:t>
      </w:r>
      <w:r>
        <w:rPr>
          <w:color w:val="231F20"/>
          <w:w w:val="105"/>
        </w:rPr>
        <w:t>recursos,</w:t>
      </w:r>
      <w:r>
        <w:rPr>
          <w:color w:val="231F20"/>
          <w:spacing w:val="-19"/>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de</w:t>
      </w:r>
      <w:r>
        <w:rPr>
          <w:color w:val="231F20"/>
          <w:spacing w:val="-14"/>
          <w:w w:val="105"/>
        </w:rPr>
        <w:t> </w:t>
      </w:r>
      <w:r>
        <w:rPr>
          <w:color w:val="231F20"/>
          <w:w w:val="105"/>
        </w:rPr>
        <w:t>generar nuevas</w:t>
      </w:r>
      <w:r>
        <w:rPr>
          <w:color w:val="231F20"/>
          <w:spacing w:val="-15"/>
          <w:w w:val="105"/>
        </w:rPr>
        <w:t> </w:t>
      </w:r>
      <w:r>
        <w:rPr>
          <w:color w:val="231F20"/>
          <w:w w:val="105"/>
        </w:rPr>
        <w:t>competencias</w:t>
      </w:r>
      <w:r>
        <w:rPr>
          <w:color w:val="231F20"/>
          <w:spacing w:val="-15"/>
          <w:w w:val="105"/>
        </w:rPr>
        <w:t> </w:t>
      </w:r>
      <w:r>
        <w:rPr>
          <w:color w:val="231F20"/>
          <w:w w:val="105"/>
        </w:rPr>
        <w:t>y</w:t>
      </w:r>
      <w:r>
        <w:rPr>
          <w:color w:val="231F20"/>
          <w:spacing w:val="-15"/>
          <w:w w:val="105"/>
        </w:rPr>
        <w:t> </w:t>
      </w:r>
      <w:r>
        <w:rPr>
          <w:color w:val="231F20"/>
          <w:w w:val="105"/>
        </w:rPr>
        <w:t>responder</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entorno</w:t>
      </w:r>
      <w:r>
        <w:rPr>
          <w:color w:val="231F20"/>
          <w:spacing w:val="-15"/>
          <w:w w:val="105"/>
        </w:rPr>
        <w:t> </w:t>
      </w:r>
      <w:r>
        <w:rPr>
          <w:color w:val="231F20"/>
          <w:w w:val="105"/>
        </w:rPr>
        <w:t>competitivo.</w:t>
      </w:r>
    </w:p>
    <w:p>
      <w:pPr>
        <w:pStyle w:val="BodyText"/>
        <w:spacing w:line="259" w:lineRule="auto"/>
        <w:ind w:left="103" w:right="114" w:firstLine="567"/>
        <w:jc w:val="both"/>
      </w:pPr>
      <w:r>
        <w:rPr>
          <w:color w:val="231F20"/>
          <w:w w:val="105"/>
        </w:rPr>
        <w:t>Sin</w:t>
      </w:r>
      <w:r>
        <w:rPr>
          <w:color w:val="231F20"/>
          <w:spacing w:val="-32"/>
          <w:w w:val="105"/>
        </w:rPr>
        <w:t> </w:t>
      </w:r>
      <w:r>
        <w:rPr>
          <w:color w:val="231F20"/>
          <w:w w:val="105"/>
        </w:rPr>
        <w:t>embargo,</w:t>
      </w:r>
      <w:r>
        <w:rPr>
          <w:color w:val="231F20"/>
          <w:spacing w:val="-36"/>
          <w:w w:val="105"/>
        </w:rPr>
        <w:t> </w:t>
      </w:r>
      <w:r>
        <w:rPr>
          <w:color w:val="231F20"/>
          <w:w w:val="105"/>
        </w:rPr>
        <w:t>no</w:t>
      </w:r>
      <w:r>
        <w:rPr>
          <w:color w:val="231F20"/>
          <w:spacing w:val="-32"/>
          <w:w w:val="105"/>
        </w:rPr>
        <w:t> </w:t>
      </w:r>
      <w:r>
        <w:rPr>
          <w:color w:val="231F20"/>
          <w:w w:val="105"/>
        </w:rPr>
        <w:t>todos</w:t>
      </w:r>
      <w:r>
        <w:rPr>
          <w:color w:val="231F20"/>
          <w:spacing w:val="-32"/>
          <w:w w:val="105"/>
        </w:rPr>
        <w:t> </w:t>
      </w:r>
      <w:r>
        <w:rPr>
          <w:color w:val="231F20"/>
          <w:w w:val="105"/>
        </w:rPr>
        <w:t>los</w:t>
      </w:r>
      <w:r>
        <w:rPr>
          <w:color w:val="231F20"/>
          <w:spacing w:val="-32"/>
          <w:w w:val="105"/>
        </w:rPr>
        <w:t> </w:t>
      </w:r>
      <w:r>
        <w:rPr>
          <w:color w:val="231F20"/>
          <w:w w:val="105"/>
        </w:rPr>
        <w:t>recursos</w:t>
      </w:r>
      <w:r>
        <w:rPr>
          <w:color w:val="231F20"/>
          <w:spacing w:val="-32"/>
          <w:w w:val="105"/>
        </w:rPr>
        <w:t> </w:t>
      </w:r>
      <w:r>
        <w:rPr>
          <w:color w:val="231F20"/>
          <w:w w:val="105"/>
        </w:rPr>
        <w:t>y</w:t>
      </w:r>
      <w:r>
        <w:rPr>
          <w:color w:val="231F20"/>
          <w:spacing w:val="-32"/>
          <w:w w:val="105"/>
        </w:rPr>
        <w:t> </w:t>
      </w:r>
      <w:r>
        <w:rPr>
          <w:color w:val="231F20"/>
          <w:w w:val="105"/>
        </w:rPr>
        <w:t>capacidades</w:t>
      </w:r>
      <w:r>
        <w:rPr>
          <w:color w:val="231F20"/>
          <w:spacing w:val="-32"/>
          <w:w w:val="105"/>
        </w:rPr>
        <w:t> </w:t>
      </w:r>
      <w:r>
        <w:rPr>
          <w:color w:val="231F20"/>
          <w:w w:val="105"/>
        </w:rPr>
        <w:t>son</w:t>
      </w:r>
      <w:r>
        <w:rPr>
          <w:color w:val="231F20"/>
          <w:spacing w:val="-32"/>
          <w:w w:val="105"/>
        </w:rPr>
        <w:t> </w:t>
      </w:r>
      <w:r>
        <w:rPr>
          <w:color w:val="231F20"/>
          <w:w w:val="105"/>
        </w:rPr>
        <w:t>susceptibles de generar ventajas competitivas sostenibles. </w:t>
      </w:r>
      <w:r>
        <w:rPr>
          <w:color w:val="231F20"/>
          <w:spacing w:val="-4"/>
          <w:w w:val="105"/>
        </w:rPr>
        <w:t>Para </w:t>
      </w:r>
      <w:r>
        <w:rPr>
          <w:color w:val="231F20"/>
          <w:w w:val="105"/>
        </w:rPr>
        <w:t>ello, deben poseer una</w:t>
      </w:r>
      <w:r>
        <w:rPr>
          <w:color w:val="231F20"/>
          <w:spacing w:val="-5"/>
          <w:w w:val="105"/>
        </w:rPr>
        <w:t> </w:t>
      </w:r>
      <w:r>
        <w:rPr>
          <w:color w:val="231F20"/>
          <w:w w:val="105"/>
        </w:rPr>
        <w:t>serie</w:t>
      </w:r>
      <w:r>
        <w:rPr>
          <w:color w:val="231F20"/>
          <w:spacing w:val="-5"/>
          <w:w w:val="105"/>
        </w:rPr>
        <w:t> </w:t>
      </w:r>
      <w:r>
        <w:rPr>
          <w:color w:val="231F20"/>
          <w:w w:val="105"/>
        </w:rPr>
        <w:t>de</w:t>
      </w:r>
      <w:r>
        <w:rPr>
          <w:color w:val="231F20"/>
          <w:spacing w:val="-5"/>
          <w:w w:val="105"/>
        </w:rPr>
        <w:t> </w:t>
      </w:r>
      <w:r>
        <w:rPr>
          <w:color w:val="231F20"/>
          <w:w w:val="105"/>
        </w:rPr>
        <w:t>atributos,</w:t>
      </w:r>
      <w:r>
        <w:rPr>
          <w:color w:val="231F20"/>
          <w:spacing w:val="-10"/>
          <w:w w:val="105"/>
        </w:rPr>
        <w:t> </w:t>
      </w:r>
      <w:r>
        <w:rPr>
          <w:color w:val="231F20"/>
          <w:w w:val="105"/>
        </w:rPr>
        <w:t>como:</w:t>
      </w:r>
      <w:r>
        <w:rPr>
          <w:color w:val="231F20"/>
          <w:spacing w:val="-5"/>
          <w:w w:val="105"/>
        </w:rPr>
        <w:t> </w:t>
      </w:r>
      <w:r>
        <w:rPr>
          <w:color w:val="231F20"/>
          <w:w w:val="105"/>
        </w:rPr>
        <w:t>a)</w:t>
      </w:r>
      <w:r>
        <w:rPr>
          <w:color w:val="231F20"/>
          <w:spacing w:val="-5"/>
          <w:w w:val="105"/>
        </w:rPr>
        <w:t> </w:t>
      </w:r>
      <w:r>
        <w:rPr>
          <w:color w:val="231F20"/>
          <w:w w:val="105"/>
        </w:rPr>
        <w:t>ser</w:t>
      </w:r>
      <w:r>
        <w:rPr>
          <w:color w:val="231F20"/>
          <w:spacing w:val="-5"/>
          <w:w w:val="105"/>
        </w:rPr>
        <w:t> </w:t>
      </w:r>
      <w:r>
        <w:rPr>
          <w:color w:val="231F20"/>
          <w:w w:val="105"/>
        </w:rPr>
        <w:t>valiosos</w:t>
      </w:r>
      <w:r>
        <w:rPr>
          <w:color w:val="231F20"/>
          <w:spacing w:val="-5"/>
          <w:w w:val="105"/>
        </w:rPr>
        <w:t> </w:t>
      </w:r>
      <w:r>
        <w:rPr>
          <w:color w:val="231F20"/>
          <w:w w:val="105"/>
        </w:rPr>
        <w:t>para</w:t>
      </w:r>
      <w:r>
        <w:rPr>
          <w:color w:val="231F20"/>
          <w:spacing w:val="-5"/>
          <w:w w:val="105"/>
        </w:rPr>
        <w:t> </w:t>
      </w:r>
      <w:r>
        <w:rPr>
          <w:color w:val="231F20"/>
          <w:w w:val="105"/>
        </w:rPr>
        <w:t>responder</w:t>
      </w:r>
      <w:r>
        <w:rPr>
          <w:color w:val="231F20"/>
          <w:spacing w:val="-5"/>
          <w:w w:val="105"/>
        </w:rPr>
        <w:t> </w:t>
      </w:r>
      <w:r>
        <w:rPr>
          <w:color w:val="231F20"/>
          <w:w w:val="105"/>
        </w:rPr>
        <w:t>a</w:t>
      </w:r>
      <w:r>
        <w:rPr>
          <w:color w:val="231F20"/>
          <w:spacing w:val="-5"/>
          <w:w w:val="105"/>
        </w:rPr>
        <w:t> </w:t>
      </w:r>
      <w:r>
        <w:rPr>
          <w:color w:val="231F20"/>
          <w:w w:val="105"/>
        </w:rPr>
        <w:t>las</w:t>
      </w:r>
      <w:r>
        <w:rPr>
          <w:color w:val="231F20"/>
          <w:spacing w:val="-5"/>
          <w:w w:val="105"/>
        </w:rPr>
        <w:t> </w:t>
      </w:r>
      <w:r>
        <w:rPr>
          <w:color w:val="231F20"/>
          <w:w w:val="105"/>
        </w:rPr>
        <w:t>ame- nazas del entorno y aprovechar sus oportunidades; b) ser </w:t>
      </w:r>
      <w:r>
        <w:rPr>
          <w:color w:val="231F20"/>
          <w:spacing w:val="-3"/>
          <w:w w:val="105"/>
        </w:rPr>
        <w:t>raror, </w:t>
      </w:r>
      <w:r>
        <w:rPr>
          <w:color w:val="231F20"/>
          <w:w w:val="105"/>
        </w:rPr>
        <w:t>que</w:t>
      </w:r>
      <w:r>
        <w:rPr>
          <w:color w:val="231F20"/>
          <w:spacing w:val="-34"/>
          <w:w w:val="105"/>
        </w:rPr>
        <w:t> </w:t>
      </w:r>
      <w:r>
        <w:rPr>
          <w:color w:val="231F20"/>
          <w:w w:val="105"/>
        </w:rPr>
        <w:t>no pueda</w:t>
      </w:r>
      <w:r>
        <w:rPr>
          <w:color w:val="231F20"/>
          <w:spacing w:val="-5"/>
          <w:w w:val="105"/>
        </w:rPr>
        <w:t> </w:t>
      </w:r>
      <w:r>
        <w:rPr>
          <w:color w:val="231F20"/>
          <w:w w:val="105"/>
        </w:rPr>
        <w:t>ser</w:t>
      </w:r>
      <w:r>
        <w:rPr>
          <w:color w:val="231F20"/>
          <w:spacing w:val="-5"/>
          <w:w w:val="105"/>
        </w:rPr>
        <w:t> </w:t>
      </w:r>
      <w:r>
        <w:rPr>
          <w:color w:val="231F20"/>
          <w:w w:val="105"/>
        </w:rPr>
        <w:t>poseído</w:t>
      </w:r>
      <w:r>
        <w:rPr>
          <w:color w:val="231F20"/>
          <w:spacing w:val="-5"/>
          <w:w w:val="105"/>
        </w:rPr>
        <w:t> </w:t>
      </w:r>
      <w:r>
        <w:rPr>
          <w:color w:val="231F20"/>
          <w:w w:val="105"/>
        </w:rPr>
        <w:t>por</w:t>
      </w:r>
      <w:r>
        <w:rPr>
          <w:color w:val="231F20"/>
          <w:spacing w:val="-5"/>
          <w:w w:val="105"/>
        </w:rPr>
        <w:t> </w:t>
      </w:r>
      <w:r>
        <w:rPr>
          <w:color w:val="231F20"/>
          <w:w w:val="105"/>
        </w:rPr>
        <w:t>un</w:t>
      </w:r>
      <w:r>
        <w:rPr>
          <w:color w:val="231F20"/>
          <w:spacing w:val="-5"/>
          <w:w w:val="105"/>
        </w:rPr>
        <w:t> </w:t>
      </w:r>
      <w:r>
        <w:rPr>
          <w:color w:val="231F20"/>
          <w:w w:val="105"/>
        </w:rPr>
        <w:t>gran</w:t>
      </w:r>
      <w:r>
        <w:rPr>
          <w:color w:val="231F20"/>
          <w:spacing w:val="-5"/>
          <w:w w:val="105"/>
        </w:rPr>
        <w:t> </w:t>
      </w:r>
      <w:r>
        <w:rPr>
          <w:color w:val="231F20"/>
          <w:w w:val="105"/>
        </w:rPr>
        <w:t>número</w:t>
      </w:r>
      <w:r>
        <w:rPr>
          <w:color w:val="231F20"/>
          <w:spacing w:val="-5"/>
          <w:w w:val="105"/>
        </w:rPr>
        <w:t> </w:t>
      </w:r>
      <w:r>
        <w:rPr>
          <w:color w:val="231F20"/>
          <w:w w:val="105"/>
        </w:rPr>
        <w:t>de</w:t>
      </w:r>
      <w:r>
        <w:rPr>
          <w:color w:val="231F20"/>
          <w:spacing w:val="-5"/>
          <w:w w:val="105"/>
        </w:rPr>
        <w:t> </w:t>
      </w:r>
      <w:r>
        <w:rPr>
          <w:color w:val="231F20"/>
          <w:w w:val="105"/>
        </w:rPr>
        <w:t>competidores;</w:t>
      </w:r>
      <w:r>
        <w:rPr>
          <w:color w:val="231F20"/>
          <w:spacing w:val="-5"/>
          <w:w w:val="105"/>
        </w:rPr>
        <w:t> </w:t>
      </w:r>
      <w:r>
        <w:rPr>
          <w:color w:val="231F20"/>
          <w:spacing w:val="-4"/>
          <w:w w:val="105"/>
        </w:rPr>
        <w:t>y,</w:t>
      </w:r>
      <w:r>
        <w:rPr>
          <w:color w:val="231F20"/>
          <w:spacing w:val="-12"/>
          <w:w w:val="105"/>
        </w:rPr>
        <w:t> </w:t>
      </w:r>
      <w:r>
        <w:rPr>
          <w:color w:val="231F20"/>
          <w:w w:val="105"/>
        </w:rPr>
        <w:t>c)</w:t>
      </w:r>
      <w:r>
        <w:rPr>
          <w:color w:val="231F20"/>
          <w:spacing w:val="-5"/>
          <w:w w:val="105"/>
        </w:rPr>
        <w:t> </w:t>
      </w:r>
      <w:r>
        <w:rPr>
          <w:color w:val="231F20"/>
          <w:w w:val="105"/>
        </w:rPr>
        <w:t>ser</w:t>
      </w:r>
      <w:r>
        <w:rPr>
          <w:color w:val="231F20"/>
          <w:spacing w:val="-5"/>
          <w:w w:val="105"/>
        </w:rPr>
        <w:t> </w:t>
      </w:r>
      <w:r>
        <w:rPr>
          <w:color w:val="231F20"/>
          <w:w w:val="105"/>
        </w:rPr>
        <w:t>difícil de</w:t>
      </w:r>
      <w:r>
        <w:rPr>
          <w:color w:val="231F20"/>
          <w:spacing w:val="-9"/>
          <w:w w:val="105"/>
        </w:rPr>
        <w:t> </w:t>
      </w:r>
      <w:r>
        <w:rPr>
          <w:color w:val="231F20"/>
          <w:w w:val="105"/>
        </w:rPr>
        <w:t>imitar</w:t>
      </w:r>
      <w:r>
        <w:rPr>
          <w:color w:val="231F20"/>
          <w:spacing w:val="-9"/>
          <w:w w:val="105"/>
        </w:rPr>
        <w:t> </w:t>
      </w:r>
      <w:r>
        <w:rPr>
          <w:color w:val="231F20"/>
          <w:w w:val="105"/>
        </w:rPr>
        <w:t>por</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competidores</w:t>
      </w:r>
      <w:r>
        <w:rPr>
          <w:color w:val="231F20"/>
          <w:spacing w:val="-9"/>
          <w:w w:val="105"/>
        </w:rPr>
        <w:t> </w:t>
      </w:r>
      <w:r>
        <w:rPr>
          <w:color w:val="231F20"/>
          <w:spacing w:val="-4"/>
          <w:w w:val="105"/>
        </w:rPr>
        <w:t>(Porter,</w:t>
      </w:r>
      <w:r>
        <w:rPr>
          <w:color w:val="231F20"/>
          <w:spacing w:val="-16"/>
          <w:w w:val="105"/>
        </w:rPr>
        <w:t> </w:t>
      </w:r>
      <w:r>
        <w:rPr>
          <w:color w:val="231F20"/>
          <w:w w:val="105"/>
        </w:rPr>
        <w:t>1980).</w:t>
      </w:r>
    </w:p>
    <w:p>
      <w:pPr>
        <w:pStyle w:val="BodyText"/>
        <w:rPr>
          <w:sz w:val="20"/>
        </w:rPr>
      </w:pPr>
    </w:p>
    <w:p>
      <w:pPr>
        <w:pStyle w:val="BodyText"/>
        <w:spacing w:before="7"/>
        <w:rPr>
          <w:sz w:val="18"/>
        </w:rPr>
      </w:pPr>
    </w:p>
    <w:p>
      <w:pPr>
        <w:pStyle w:val="Heading2"/>
        <w:ind w:left="103"/>
      </w:pPr>
      <w:r>
        <w:rPr>
          <w:color w:val="231F20"/>
        </w:rPr>
        <w:t>Determinantes de la competitividad empresarial</w:t>
      </w:r>
    </w:p>
    <w:p>
      <w:pPr>
        <w:pStyle w:val="BodyText"/>
        <w:rPr>
          <w:b/>
          <w:sz w:val="22"/>
        </w:rPr>
      </w:pPr>
    </w:p>
    <w:p>
      <w:pPr>
        <w:pStyle w:val="BodyText"/>
        <w:spacing w:line="259" w:lineRule="auto" w:before="160"/>
        <w:ind w:left="103" w:right="114"/>
        <w:jc w:val="both"/>
      </w:pPr>
      <w:r>
        <w:rPr>
          <w:color w:val="231F20"/>
          <w:w w:val="105"/>
        </w:rPr>
        <w:t>Además</w:t>
      </w:r>
      <w:r>
        <w:rPr>
          <w:color w:val="231F20"/>
          <w:spacing w:val="-29"/>
          <w:w w:val="105"/>
        </w:rPr>
        <w:t> </w:t>
      </w:r>
      <w:r>
        <w:rPr>
          <w:color w:val="231F20"/>
          <w:w w:val="105"/>
        </w:rPr>
        <w:t>de</w:t>
      </w:r>
      <w:r>
        <w:rPr>
          <w:color w:val="231F20"/>
          <w:spacing w:val="-29"/>
          <w:w w:val="105"/>
        </w:rPr>
        <w:t> </w:t>
      </w:r>
      <w:r>
        <w:rPr>
          <w:color w:val="231F20"/>
          <w:w w:val="105"/>
        </w:rPr>
        <w:t>procurar</w:t>
      </w:r>
      <w:r>
        <w:rPr>
          <w:color w:val="231F20"/>
          <w:spacing w:val="-29"/>
          <w:w w:val="105"/>
        </w:rPr>
        <w:t> </w:t>
      </w:r>
      <w:r>
        <w:rPr>
          <w:color w:val="231F20"/>
          <w:w w:val="105"/>
        </w:rPr>
        <w:t>el</w:t>
      </w:r>
      <w:r>
        <w:rPr>
          <w:color w:val="231F20"/>
          <w:spacing w:val="-29"/>
          <w:w w:val="105"/>
        </w:rPr>
        <w:t> </w:t>
      </w:r>
      <w:r>
        <w:rPr>
          <w:color w:val="231F20"/>
          <w:w w:val="105"/>
        </w:rPr>
        <w:t>abastecimiento,</w:t>
      </w:r>
      <w:r>
        <w:rPr>
          <w:color w:val="231F20"/>
          <w:spacing w:val="-34"/>
          <w:w w:val="105"/>
        </w:rPr>
        <w:t> </w:t>
      </w:r>
      <w:r>
        <w:rPr>
          <w:color w:val="231F20"/>
          <w:w w:val="105"/>
        </w:rPr>
        <w:t>conservación</w:t>
      </w:r>
      <w:r>
        <w:rPr>
          <w:color w:val="231F20"/>
          <w:spacing w:val="-29"/>
          <w:w w:val="105"/>
        </w:rPr>
        <w:t> </w:t>
      </w:r>
      <w:r>
        <w:rPr>
          <w:color w:val="231F20"/>
          <w:w w:val="105"/>
        </w:rPr>
        <w:t>y</w:t>
      </w:r>
      <w:r>
        <w:rPr>
          <w:color w:val="231F20"/>
          <w:spacing w:val="-29"/>
          <w:w w:val="105"/>
        </w:rPr>
        <w:t> </w:t>
      </w:r>
      <w:r>
        <w:rPr>
          <w:color w:val="231F20"/>
          <w:w w:val="105"/>
        </w:rPr>
        <w:t>aprovechamiento de</w:t>
      </w:r>
      <w:r>
        <w:rPr>
          <w:color w:val="231F20"/>
          <w:spacing w:val="-29"/>
          <w:w w:val="105"/>
        </w:rPr>
        <w:t> </w:t>
      </w:r>
      <w:r>
        <w:rPr>
          <w:color w:val="231F20"/>
          <w:w w:val="105"/>
        </w:rPr>
        <w:t>los</w:t>
      </w:r>
      <w:r>
        <w:rPr>
          <w:color w:val="231F20"/>
          <w:spacing w:val="-29"/>
          <w:w w:val="105"/>
        </w:rPr>
        <w:t> </w:t>
      </w:r>
      <w:r>
        <w:rPr>
          <w:color w:val="231F20"/>
          <w:w w:val="105"/>
        </w:rPr>
        <w:t>recursos</w:t>
      </w:r>
      <w:r>
        <w:rPr>
          <w:color w:val="231F20"/>
          <w:spacing w:val="-29"/>
          <w:w w:val="105"/>
        </w:rPr>
        <w:t> </w:t>
      </w:r>
      <w:r>
        <w:rPr>
          <w:color w:val="231F20"/>
          <w:w w:val="105"/>
        </w:rPr>
        <w:t>que</w:t>
      </w:r>
      <w:r>
        <w:rPr>
          <w:color w:val="231F20"/>
          <w:spacing w:val="-29"/>
          <w:w w:val="105"/>
        </w:rPr>
        <w:t> </w:t>
      </w:r>
      <w:r>
        <w:rPr>
          <w:color w:val="231F20"/>
          <w:w w:val="105"/>
        </w:rPr>
        <w:t>posee,</w:t>
      </w:r>
      <w:r>
        <w:rPr>
          <w:color w:val="231F20"/>
          <w:spacing w:val="-34"/>
          <w:w w:val="105"/>
        </w:rPr>
        <w:t> </w:t>
      </w:r>
      <w:r>
        <w:rPr>
          <w:color w:val="231F20"/>
          <w:w w:val="105"/>
        </w:rPr>
        <w:t>la</w:t>
      </w:r>
      <w:r>
        <w:rPr>
          <w:color w:val="231F20"/>
          <w:spacing w:val="-29"/>
          <w:w w:val="105"/>
        </w:rPr>
        <w:t> </w:t>
      </w:r>
      <w:r>
        <w:rPr>
          <w:color w:val="231F20"/>
          <w:w w:val="105"/>
        </w:rPr>
        <w:t>empresa</w:t>
      </w:r>
      <w:r>
        <w:rPr>
          <w:color w:val="231F20"/>
          <w:spacing w:val="-29"/>
          <w:w w:val="105"/>
        </w:rPr>
        <w:t> </w:t>
      </w:r>
      <w:r>
        <w:rPr>
          <w:color w:val="231F20"/>
          <w:w w:val="105"/>
        </w:rPr>
        <w:t>debe</w:t>
      </w:r>
      <w:r>
        <w:rPr>
          <w:color w:val="231F20"/>
          <w:spacing w:val="-29"/>
          <w:w w:val="105"/>
        </w:rPr>
        <w:t> </w:t>
      </w:r>
      <w:r>
        <w:rPr>
          <w:color w:val="231F20"/>
          <w:w w:val="105"/>
        </w:rPr>
        <w:t>desarrollar</w:t>
      </w:r>
      <w:r>
        <w:rPr>
          <w:color w:val="231F20"/>
          <w:spacing w:val="-29"/>
          <w:w w:val="105"/>
        </w:rPr>
        <w:t> </w:t>
      </w:r>
      <w:r>
        <w:rPr>
          <w:color w:val="231F20"/>
          <w:w w:val="105"/>
        </w:rPr>
        <w:t>y</w:t>
      </w:r>
      <w:r>
        <w:rPr>
          <w:color w:val="231F20"/>
          <w:spacing w:val="-29"/>
          <w:w w:val="105"/>
        </w:rPr>
        <w:t> </w:t>
      </w:r>
      <w:r>
        <w:rPr>
          <w:color w:val="231F20"/>
          <w:w w:val="105"/>
        </w:rPr>
        <w:t>mantener</w:t>
      </w:r>
      <w:r>
        <w:rPr>
          <w:color w:val="231F20"/>
          <w:spacing w:val="-29"/>
          <w:w w:val="105"/>
        </w:rPr>
        <w:t> </w:t>
      </w:r>
      <w:r>
        <w:rPr>
          <w:color w:val="231F20"/>
          <w:w w:val="105"/>
        </w:rPr>
        <w:t>capa- cidades de gestión que la encaminen a la obtención y conservación de un</w:t>
      </w:r>
      <w:r>
        <w:rPr>
          <w:color w:val="231F20"/>
          <w:spacing w:val="-14"/>
          <w:w w:val="105"/>
        </w:rPr>
        <w:t> </w:t>
      </w:r>
      <w:r>
        <w:rPr>
          <w:color w:val="231F20"/>
          <w:w w:val="105"/>
        </w:rPr>
        <w:t>posicionamiento</w:t>
      </w:r>
      <w:r>
        <w:rPr>
          <w:color w:val="231F20"/>
          <w:spacing w:val="-14"/>
          <w:w w:val="105"/>
        </w:rPr>
        <w:t> </w:t>
      </w:r>
      <w:r>
        <w:rPr>
          <w:color w:val="231F20"/>
          <w:w w:val="105"/>
        </w:rPr>
        <w:t>privilegiado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mercado</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nivel</w:t>
      </w:r>
      <w:r>
        <w:rPr>
          <w:color w:val="231F20"/>
          <w:spacing w:val="-14"/>
          <w:w w:val="105"/>
        </w:rPr>
        <w:t> </w:t>
      </w:r>
      <w:r>
        <w:rPr>
          <w:color w:val="231F20"/>
          <w:w w:val="105"/>
        </w:rPr>
        <w:t>estándar</w:t>
      </w:r>
      <w:r>
        <w:rPr>
          <w:color w:val="231F20"/>
          <w:spacing w:val="-14"/>
          <w:w w:val="105"/>
        </w:rPr>
        <w:t> </w:t>
      </w:r>
      <w:r>
        <w:rPr>
          <w:color w:val="231F20"/>
          <w:w w:val="105"/>
        </w:rPr>
        <w:t>de costo-efectividad.</w:t>
      </w:r>
    </w:p>
    <w:p>
      <w:pPr>
        <w:pStyle w:val="BodyText"/>
        <w:spacing w:line="259" w:lineRule="auto"/>
        <w:ind w:left="103" w:right="114" w:firstLine="567"/>
        <w:jc w:val="both"/>
      </w:pPr>
      <w:r>
        <w:rPr>
          <w:color w:val="231F20"/>
          <w:w w:val="105"/>
        </w:rPr>
        <w:t>Desde</w:t>
      </w:r>
      <w:r>
        <w:rPr>
          <w:color w:val="231F20"/>
          <w:spacing w:val="-9"/>
          <w:w w:val="105"/>
        </w:rPr>
        <w:t> </w:t>
      </w:r>
      <w:r>
        <w:rPr>
          <w:color w:val="231F20"/>
          <w:w w:val="105"/>
        </w:rPr>
        <w:t>esta</w:t>
      </w:r>
      <w:r>
        <w:rPr>
          <w:color w:val="231F20"/>
          <w:spacing w:val="-9"/>
          <w:w w:val="105"/>
        </w:rPr>
        <w:t> </w:t>
      </w:r>
      <w:r>
        <w:rPr>
          <w:color w:val="231F20"/>
          <w:w w:val="105"/>
        </w:rPr>
        <w:t>perspectiva,</w:t>
      </w:r>
      <w:r>
        <w:rPr>
          <w:color w:val="231F20"/>
          <w:spacing w:val="-14"/>
          <w:w w:val="105"/>
        </w:rPr>
        <w:t> </w:t>
      </w:r>
      <w:r>
        <w:rPr>
          <w:color w:val="231F20"/>
          <w:w w:val="105"/>
        </w:rPr>
        <w:t>la</w:t>
      </w:r>
      <w:r>
        <w:rPr>
          <w:color w:val="231F20"/>
          <w:spacing w:val="-9"/>
          <w:w w:val="105"/>
        </w:rPr>
        <w:t> </w:t>
      </w:r>
      <w:r>
        <w:rPr>
          <w:color w:val="231F20"/>
          <w:w w:val="105"/>
        </w:rPr>
        <w:t>clave</w:t>
      </w:r>
      <w:r>
        <w:rPr>
          <w:color w:val="231F20"/>
          <w:spacing w:val="-9"/>
          <w:w w:val="105"/>
        </w:rPr>
        <w:t> </w:t>
      </w:r>
      <w:r>
        <w:rPr>
          <w:color w:val="231F20"/>
          <w:w w:val="105"/>
        </w:rPr>
        <w:t>está</w:t>
      </w:r>
      <w:r>
        <w:rPr>
          <w:color w:val="231F20"/>
          <w:spacing w:val="-9"/>
          <w:w w:val="105"/>
        </w:rPr>
        <w:t> </w:t>
      </w:r>
      <w:r>
        <w:rPr>
          <w:color w:val="231F20"/>
          <w:w w:val="105"/>
        </w:rPr>
        <w:t>en</w:t>
      </w:r>
      <w:r>
        <w:rPr>
          <w:color w:val="231F20"/>
          <w:spacing w:val="-9"/>
          <w:w w:val="105"/>
        </w:rPr>
        <w:t> </w:t>
      </w:r>
      <w:r>
        <w:rPr>
          <w:color w:val="231F20"/>
          <w:w w:val="105"/>
        </w:rPr>
        <w:t>relacionar</w:t>
      </w:r>
      <w:r>
        <w:rPr>
          <w:color w:val="231F20"/>
          <w:spacing w:val="-9"/>
          <w:w w:val="105"/>
        </w:rPr>
        <w:t> </w:t>
      </w:r>
      <w:r>
        <w:rPr>
          <w:color w:val="231F20"/>
          <w:w w:val="105"/>
        </w:rPr>
        <w:t>las</w:t>
      </w:r>
      <w:r>
        <w:rPr>
          <w:color w:val="231F20"/>
          <w:spacing w:val="-9"/>
          <w:w w:val="105"/>
        </w:rPr>
        <w:t> </w:t>
      </w:r>
      <w:r>
        <w:rPr>
          <w:color w:val="231F20"/>
          <w:w w:val="105"/>
        </w:rPr>
        <w:t>competen- cias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empresa</w:t>
      </w:r>
      <w:r>
        <w:rPr>
          <w:color w:val="231F20"/>
          <w:spacing w:val="-26"/>
          <w:w w:val="105"/>
        </w:rPr>
        <w:t> </w:t>
      </w:r>
      <w:r>
        <w:rPr>
          <w:color w:val="231F20"/>
          <w:w w:val="105"/>
        </w:rPr>
        <w:t>para</w:t>
      </w:r>
      <w:r>
        <w:rPr>
          <w:color w:val="231F20"/>
          <w:spacing w:val="-26"/>
          <w:w w:val="105"/>
        </w:rPr>
        <w:t> </w:t>
      </w:r>
      <w:r>
        <w:rPr>
          <w:color w:val="231F20"/>
          <w:w w:val="105"/>
        </w:rPr>
        <w:t>adaptarse</w:t>
      </w:r>
      <w:r>
        <w:rPr>
          <w:color w:val="231F20"/>
          <w:spacing w:val="-26"/>
          <w:w w:val="105"/>
        </w:rPr>
        <w:t> </w:t>
      </w:r>
      <w:r>
        <w:rPr>
          <w:color w:val="231F20"/>
          <w:w w:val="105"/>
        </w:rPr>
        <w:t>al</w:t>
      </w:r>
      <w:r>
        <w:rPr>
          <w:color w:val="231F20"/>
          <w:spacing w:val="-26"/>
          <w:w w:val="105"/>
        </w:rPr>
        <w:t> </w:t>
      </w:r>
      <w:r>
        <w:rPr>
          <w:color w:val="231F20"/>
          <w:w w:val="105"/>
        </w:rPr>
        <w:t>entorno</w:t>
      </w:r>
      <w:r>
        <w:rPr>
          <w:color w:val="231F20"/>
          <w:spacing w:val="-26"/>
          <w:w w:val="105"/>
        </w:rPr>
        <w:t> </w:t>
      </w:r>
      <w:r>
        <w:rPr>
          <w:color w:val="231F20"/>
          <w:w w:val="105"/>
        </w:rPr>
        <w:t>de</w:t>
      </w:r>
      <w:r>
        <w:rPr>
          <w:color w:val="231F20"/>
          <w:spacing w:val="-26"/>
          <w:w w:val="105"/>
        </w:rPr>
        <w:t> </w:t>
      </w:r>
      <w:r>
        <w:rPr>
          <w:color w:val="231F20"/>
          <w:w w:val="105"/>
        </w:rPr>
        <w:t>negocios</w:t>
      </w:r>
      <w:r>
        <w:rPr>
          <w:color w:val="231F20"/>
          <w:spacing w:val="-26"/>
          <w:w w:val="105"/>
        </w:rPr>
        <w:t> </w:t>
      </w:r>
      <w:r>
        <w:rPr>
          <w:color w:val="231F20"/>
          <w:w w:val="105"/>
        </w:rPr>
        <w:t>y</w:t>
      </w:r>
      <w:r>
        <w:rPr>
          <w:color w:val="231F20"/>
          <w:spacing w:val="-26"/>
          <w:w w:val="105"/>
        </w:rPr>
        <w:t> </w:t>
      </w:r>
      <w:r>
        <w:rPr>
          <w:color w:val="231F20"/>
          <w:w w:val="105"/>
        </w:rPr>
        <w:t>las</w:t>
      </w:r>
      <w:r>
        <w:rPr>
          <w:color w:val="231F20"/>
          <w:spacing w:val="-26"/>
          <w:w w:val="105"/>
        </w:rPr>
        <w:t> </w:t>
      </w:r>
      <w:r>
        <w:rPr>
          <w:color w:val="231F20"/>
          <w:w w:val="105"/>
        </w:rPr>
        <w:t>necesida- des</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clientes,</w:t>
      </w:r>
      <w:r>
        <w:rPr>
          <w:color w:val="231F20"/>
          <w:spacing w:val="-17"/>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finalidad</w:t>
      </w:r>
      <w:r>
        <w:rPr>
          <w:color w:val="231F20"/>
          <w:spacing w:val="-12"/>
          <w:w w:val="105"/>
        </w:rPr>
        <w:t> </w:t>
      </w:r>
      <w:r>
        <w:rPr>
          <w:color w:val="231F20"/>
          <w:w w:val="105"/>
        </w:rPr>
        <w:t>de</w:t>
      </w:r>
      <w:r>
        <w:rPr>
          <w:color w:val="231F20"/>
          <w:spacing w:val="-12"/>
          <w:w w:val="105"/>
        </w:rPr>
        <w:t> </w:t>
      </w:r>
      <w:r>
        <w:rPr>
          <w:color w:val="231F20"/>
          <w:w w:val="105"/>
        </w:rPr>
        <w:t>direccionar</w:t>
      </w:r>
      <w:r>
        <w:rPr>
          <w:color w:val="231F20"/>
          <w:spacing w:val="-12"/>
          <w:w w:val="105"/>
        </w:rPr>
        <w:t> </w:t>
      </w:r>
      <w:r>
        <w:rPr>
          <w:color w:val="231F20"/>
          <w:w w:val="105"/>
        </w:rPr>
        <w:t>sus</w:t>
      </w:r>
      <w:r>
        <w:rPr>
          <w:color w:val="231F20"/>
          <w:spacing w:val="-12"/>
          <w:w w:val="105"/>
        </w:rPr>
        <w:t> </w:t>
      </w:r>
      <w:r>
        <w:rPr>
          <w:color w:val="231F20"/>
          <w:w w:val="105"/>
        </w:rPr>
        <w:t>estrategias,</w:t>
      </w:r>
      <w:r>
        <w:rPr>
          <w:color w:val="231F20"/>
          <w:spacing w:val="-17"/>
          <w:w w:val="105"/>
        </w:rPr>
        <w:t> </w:t>
      </w:r>
      <w:r>
        <w:rPr>
          <w:color w:val="231F20"/>
          <w:w w:val="105"/>
        </w:rPr>
        <w:t>cuya sofisticación</w:t>
      </w:r>
      <w:r>
        <w:rPr>
          <w:color w:val="231F20"/>
          <w:spacing w:val="-9"/>
          <w:w w:val="105"/>
        </w:rPr>
        <w:t> </w:t>
      </w:r>
      <w:r>
        <w:rPr>
          <w:color w:val="231F20"/>
          <w:w w:val="105"/>
        </w:rPr>
        <w:t>requiere</w:t>
      </w:r>
      <w:r>
        <w:rPr>
          <w:color w:val="231F20"/>
          <w:spacing w:val="-9"/>
          <w:w w:val="105"/>
        </w:rPr>
        <w:t> </w:t>
      </w:r>
      <w:r>
        <w:rPr>
          <w:color w:val="231F20"/>
          <w:w w:val="105"/>
        </w:rPr>
        <w:t>personal</w:t>
      </w:r>
      <w:r>
        <w:rPr>
          <w:color w:val="231F20"/>
          <w:spacing w:val="-9"/>
          <w:w w:val="105"/>
        </w:rPr>
        <w:t> </w:t>
      </w:r>
      <w:r>
        <w:rPr>
          <w:color w:val="231F20"/>
          <w:w w:val="105"/>
        </w:rPr>
        <w:t>altamente</w:t>
      </w:r>
      <w:r>
        <w:rPr>
          <w:color w:val="231F20"/>
          <w:spacing w:val="-9"/>
          <w:w w:val="105"/>
        </w:rPr>
        <w:t> </w:t>
      </w:r>
      <w:r>
        <w:rPr>
          <w:color w:val="231F20"/>
          <w:w w:val="105"/>
        </w:rPr>
        <w:t>capacitado,</w:t>
      </w:r>
      <w:r>
        <w:rPr>
          <w:color w:val="231F20"/>
          <w:spacing w:val="-14"/>
          <w:w w:val="105"/>
        </w:rPr>
        <w:t> </w:t>
      </w:r>
      <w:r>
        <w:rPr>
          <w:color w:val="231F20"/>
          <w:w w:val="105"/>
        </w:rPr>
        <w:t>mejores</w:t>
      </w:r>
      <w:r>
        <w:rPr>
          <w:color w:val="231F20"/>
          <w:spacing w:val="-9"/>
          <w:w w:val="105"/>
        </w:rPr>
        <w:t> </w:t>
      </w:r>
      <w:r>
        <w:rPr>
          <w:color w:val="231F20"/>
          <w:w w:val="105"/>
        </w:rPr>
        <w:t>sistemas de</w:t>
      </w:r>
      <w:r>
        <w:rPr>
          <w:color w:val="231F20"/>
          <w:spacing w:val="-18"/>
          <w:w w:val="105"/>
        </w:rPr>
        <w:t> </w:t>
      </w:r>
      <w:r>
        <w:rPr>
          <w:color w:val="231F20"/>
          <w:w w:val="105"/>
        </w:rPr>
        <w:t>información,</w:t>
      </w:r>
      <w:r>
        <w:rPr>
          <w:color w:val="231F20"/>
          <w:spacing w:val="-24"/>
          <w:w w:val="105"/>
        </w:rPr>
        <w:t> </w:t>
      </w:r>
      <w:r>
        <w:rPr>
          <w:color w:val="231F20"/>
          <w:w w:val="105"/>
        </w:rPr>
        <w:t>mejor</w:t>
      </w:r>
      <w:r>
        <w:rPr>
          <w:color w:val="231F20"/>
          <w:spacing w:val="-18"/>
          <w:w w:val="105"/>
        </w:rPr>
        <w:t> </w:t>
      </w:r>
      <w:r>
        <w:rPr>
          <w:color w:val="231F20"/>
          <w:w w:val="105"/>
        </w:rPr>
        <w:t>infraestructura,</w:t>
      </w:r>
      <w:r>
        <w:rPr>
          <w:color w:val="231F20"/>
          <w:spacing w:val="-24"/>
          <w:w w:val="105"/>
        </w:rPr>
        <w:t> </w:t>
      </w:r>
      <w:r>
        <w:rPr>
          <w:color w:val="231F20"/>
          <w:w w:val="105"/>
        </w:rPr>
        <w:t>materias</w:t>
      </w:r>
      <w:r>
        <w:rPr>
          <w:color w:val="231F20"/>
          <w:spacing w:val="-18"/>
          <w:w w:val="105"/>
        </w:rPr>
        <w:t> </w:t>
      </w:r>
      <w:r>
        <w:rPr>
          <w:color w:val="231F20"/>
          <w:w w:val="105"/>
        </w:rPr>
        <w:t>primas</w:t>
      </w:r>
      <w:r>
        <w:rPr>
          <w:color w:val="231F20"/>
          <w:spacing w:val="-18"/>
          <w:w w:val="105"/>
        </w:rPr>
        <w:t> </w:t>
      </w:r>
      <w:r>
        <w:rPr>
          <w:color w:val="231F20"/>
          <w:w w:val="105"/>
        </w:rPr>
        <w:t>de</w:t>
      </w:r>
      <w:r>
        <w:rPr>
          <w:color w:val="231F20"/>
          <w:spacing w:val="-18"/>
          <w:w w:val="105"/>
        </w:rPr>
        <w:t> </w:t>
      </w:r>
      <w:r>
        <w:rPr>
          <w:color w:val="231F20"/>
          <w:w w:val="105"/>
        </w:rPr>
        <w:t>calidad,</w:t>
      </w:r>
      <w:r>
        <w:rPr>
          <w:color w:val="231F20"/>
          <w:spacing w:val="-24"/>
          <w:w w:val="105"/>
        </w:rPr>
        <w:t> </w:t>
      </w:r>
      <w:r>
        <w:rPr>
          <w:color w:val="231F20"/>
          <w:w w:val="105"/>
        </w:rPr>
        <w:t>apoyo de</w:t>
      </w:r>
      <w:r>
        <w:rPr>
          <w:color w:val="231F20"/>
          <w:spacing w:val="-19"/>
          <w:w w:val="105"/>
        </w:rPr>
        <w:t> </w:t>
      </w:r>
      <w:r>
        <w:rPr>
          <w:color w:val="231F20"/>
          <w:w w:val="105"/>
        </w:rPr>
        <w:t>instituciones</w:t>
      </w:r>
      <w:r>
        <w:rPr>
          <w:color w:val="231F20"/>
          <w:spacing w:val="-19"/>
          <w:w w:val="105"/>
        </w:rPr>
        <w:t> </w:t>
      </w:r>
      <w:r>
        <w:rPr>
          <w:color w:val="231F20"/>
          <w:w w:val="105"/>
        </w:rPr>
        <w:t>de</w:t>
      </w:r>
      <w:r>
        <w:rPr>
          <w:color w:val="231F20"/>
          <w:spacing w:val="-19"/>
          <w:w w:val="105"/>
        </w:rPr>
        <w:t> </w:t>
      </w:r>
      <w:r>
        <w:rPr>
          <w:color w:val="231F20"/>
          <w:w w:val="105"/>
        </w:rPr>
        <w:t>investigación</w:t>
      </w:r>
      <w:r>
        <w:rPr>
          <w:color w:val="231F20"/>
          <w:spacing w:val="-19"/>
          <w:w w:val="105"/>
        </w:rPr>
        <w:t> </w:t>
      </w:r>
      <w:r>
        <w:rPr>
          <w:color w:val="231F20"/>
          <w:w w:val="105"/>
        </w:rPr>
        <w:t>avanzada</w:t>
      </w:r>
      <w:r>
        <w:rPr>
          <w:color w:val="231F20"/>
          <w:spacing w:val="-19"/>
          <w:w w:val="105"/>
        </w:rPr>
        <w:t> </w:t>
      </w:r>
      <w:r>
        <w:rPr>
          <w:color w:val="231F20"/>
          <w:w w:val="105"/>
        </w:rPr>
        <w:t>y</w:t>
      </w:r>
      <w:r>
        <w:rPr>
          <w:color w:val="231F20"/>
          <w:spacing w:val="-19"/>
          <w:w w:val="105"/>
        </w:rPr>
        <w:t> </w:t>
      </w:r>
      <w:r>
        <w:rPr>
          <w:color w:val="231F20"/>
          <w:w w:val="105"/>
        </w:rPr>
        <w:t>fuerte</w:t>
      </w:r>
      <w:r>
        <w:rPr>
          <w:color w:val="231F20"/>
          <w:spacing w:val="-19"/>
          <w:w w:val="105"/>
        </w:rPr>
        <w:t> </w:t>
      </w:r>
      <w:r>
        <w:rPr>
          <w:color w:val="231F20"/>
          <w:w w:val="105"/>
        </w:rPr>
        <w:t>presión</w:t>
      </w:r>
      <w:r>
        <w:rPr>
          <w:color w:val="231F20"/>
          <w:spacing w:val="-19"/>
          <w:w w:val="105"/>
        </w:rPr>
        <w:t> </w:t>
      </w:r>
      <w:r>
        <w:rPr>
          <w:color w:val="231F20"/>
          <w:w w:val="105"/>
        </w:rPr>
        <w:t>competitiva.</w:t>
      </w:r>
    </w:p>
    <w:p>
      <w:pPr>
        <w:pStyle w:val="BodyText"/>
        <w:spacing w:line="259" w:lineRule="auto"/>
        <w:ind w:left="103" w:right="109" w:firstLine="567"/>
        <w:jc w:val="both"/>
      </w:pPr>
      <w:r>
        <w:rPr>
          <w:color w:val="231F20"/>
          <w:spacing w:val="-3"/>
          <w:w w:val="105"/>
        </w:rPr>
        <w:t>Los</w:t>
      </w:r>
      <w:r>
        <w:rPr>
          <w:color w:val="231F20"/>
          <w:spacing w:val="-37"/>
          <w:w w:val="105"/>
        </w:rPr>
        <w:t> </w:t>
      </w:r>
      <w:r>
        <w:rPr>
          <w:color w:val="231F20"/>
          <w:spacing w:val="-3"/>
          <w:w w:val="105"/>
        </w:rPr>
        <w:t>factores</w:t>
      </w:r>
      <w:r>
        <w:rPr>
          <w:color w:val="231F20"/>
          <w:spacing w:val="-37"/>
          <w:w w:val="105"/>
        </w:rPr>
        <w:t> </w:t>
      </w:r>
      <w:r>
        <w:rPr>
          <w:color w:val="231F20"/>
          <w:w w:val="105"/>
        </w:rPr>
        <w:t>determinantes</w:t>
      </w:r>
      <w:r>
        <w:rPr>
          <w:color w:val="231F20"/>
          <w:spacing w:val="-37"/>
          <w:w w:val="105"/>
        </w:rPr>
        <w:t> </w:t>
      </w:r>
      <w:r>
        <w:rPr>
          <w:color w:val="231F20"/>
          <w:w w:val="105"/>
        </w:rPr>
        <w:t>para</w:t>
      </w:r>
      <w:r>
        <w:rPr>
          <w:color w:val="231F20"/>
          <w:spacing w:val="-37"/>
          <w:w w:val="105"/>
        </w:rPr>
        <w:t> </w:t>
      </w:r>
      <w:r>
        <w:rPr>
          <w:color w:val="231F20"/>
          <w:w w:val="105"/>
        </w:rPr>
        <w:t>la</w:t>
      </w:r>
      <w:r>
        <w:rPr>
          <w:color w:val="231F20"/>
          <w:spacing w:val="-37"/>
          <w:w w:val="105"/>
        </w:rPr>
        <w:t> </w:t>
      </w:r>
      <w:r>
        <w:rPr>
          <w:color w:val="231F20"/>
          <w:w w:val="105"/>
        </w:rPr>
        <w:t>competitividad</w:t>
      </w:r>
      <w:r>
        <w:rPr>
          <w:color w:val="231F20"/>
          <w:spacing w:val="-37"/>
          <w:w w:val="105"/>
        </w:rPr>
        <w:t> </w:t>
      </w:r>
      <w:r>
        <w:rPr>
          <w:color w:val="231F20"/>
          <w:spacing w:val="-3"/>
          <w:w w:val="105"/>
        </w:rPr>
        <w:t>empresarial</w:t>
      </w:r>
      <w:r>
        <w:rPr>
          <w:color w:val="231F20"/>
          <w:spacing w:val="-37"/>
          <w:w w:val="105"/>
        </w:rPr>
        <w:t> </w:t>
      </w:r>
      <w:r>
        <w:rPr>
          <w:color w:val="231F20"/>
          <w:w w:val="105"/>
        </w:rPr>
        <w:t>se</w:t>
      </w:r>
      <w:r>
        <w:rPr>
          <w:color w:val="231F20"/>
          <w:spacing w:val="-37"/>
          <w:w w:val="105"/>
        </w:rPr>
        <w:t> </w:t>
      </w:r>
      <w:r>
        <w:rPr>
          <w:color w:val="231F20"/>
          <w:w w:val="105"/>
        </w:rPr>
        <w:t>di- viden</w:t>
      </w:r>
      <w:r>
        <w:rPr>
          <w:color w:val="231F20"/>
          <w:spacing w:val="-24"/>
          <w:w w:val="105"/>
        </w:rPr>
        <w:t> </w:t>
      </w:r>
      <w:r>
        <w:rPr>
          <w:color w:val="231F20"/>
          <w:w w:val="105"/>
        </w:rPr>
        <w:t>en</w:t>
      </w:r>
      <w:r>
        <w:rPr>
          <w:color w:val="231F20"/>
          <w:spacing w:val="-24"/>
          <w:w w:val="105"/>
        </w:rPr>
        <w:t> </w:t>
      </w:r>
      <w:r>
        <w:rPr>
          <w:color w:val="231F20"/>
          <w:w w:val="105"/>
        </w:rPr>
        <w:t>dos</w:t>
      </w:r>
      <w:r>
        <w:rPr>
          <w:color w:val="231F20"/>
          <w:spacing w:val="-24"/>
          <w:w w:val="105"/>
        </w:rPr>
        <w:t> </w:t>
      </w:r>
      <w:r>
        <w:rPr>
          <w:color w:val="231F20"/>
          <w:w w:val="105"/>
        </w:rPr>
        <w:t>bloques.</w:t>
      </w:r>
      <w:r>
        <w:rPr>
          <w:color w:val="231F20"/>
          <w:spacing w:val="-28"/>
          <w:w w:val="105"/>
        </w:rPr>
        <w:t> </w:t>
      </w:r>
      <w:r>
        <w:rPr>
          <w:color w:val="231F20"/>
          <w:w w:val="105"/>
        </w:rPr>
        <w:t>El</w:t>
      </w:r>
      <w:r>
        <w:rPr>
          <w:color w:val="231F20"/>
          <w:spacing w:val="-24"/>
          <w:w w:val="105"/>
        </w:rPr>
        <w:t> </w:t>
      </w:r>
      <w:r>
        <w:rPr>
          <w:color w:val="231F20"/>
          <w:spacing w:val="-3"/>
          <w:w w:val="105"/>
        </w:rPr>
        <w:t>primero,</w:t>
      </w:r>
      <w:r>
        <w:rPr>
          <w:color w:val="231F20"/>
          <w:spacing w:val="-28"/>
          <w:w w:val="105"/>
        </w:rPr>
        <w:t> </w:t>
      </w:r>
      <w:r>
        <w:rPr>
          <w:color w:val="231F20"/>
          <w:spacing w:val="-3"/>
          <w:w w:val="105"/>
        </w:rPr>
        <w:t>refiere</w:t>
      </w:r>
      <w:r>
        <w:rPr>
          <w:color w:val="231F20"/>
          <w:spacing w:val="-24"/>
          <w:w w:val="105"/>
        </w:rPr>
        <w:t> </w:t>
      </w:r>
      <w:r>
        <w:rPr>
          <w:color w:val="231F20"/>
          <w:w w:val="105"/>
        </w:rPr>
        <w:t>aquellas</w:t>
      </w:r>
      <w:r>
        <w:rPr>
          <w:color w:val="231F20"/>
          <w:spacing w:val="-24"/>
          <w:w w:val="105"/>
        </w:rPr>
        <w:t> </w:t>
      </w:r>
      <w:r>
        <w:rPr>
          <w:color w:val="231F20"/>
          <w:w w:val="105"/>
        </w:rPr>
        <w:t>acciones</w:t>
      </w:r>
      <w:r>
        <w:rPr>
          <w:color w:val="231F20"/>
          <w:spacing w:val="-24"/>
          <w:w w:val="105"/>
        </w:rPr>
        <w:t> </w:t>
      </w:r>
      <w:r>
        <w:rPr>
          <w:color w:val="231F20"/>
          <w:w w:val="105"/>
        </w:rPr>
        <w:t>encaminadas a </w:t>
      </w:r>
      <w:r>
        <w:rPr>
          <w:color w:val="231F20"/>
          <w:spacing w:val="-3"/>
          <w:w w:val="105"/>
        </w:rPr>
        <w:t>desarrollar </w:t>
      </w:r>
      <w:r>
        <w:rPr>
          <w:color w:val="231F20"/>
          <w:w w:val="105"/>
        </w:rPr>
        <w:t>la gestión del conocimiento y la innovación. Las </w:t>
      </w:r>
      <w:r>
        <w:rPr>
          <w:color w:val="231F20"/>
          <w:spacing w:val="-3"/>
          <w:w w:val="105"/>
        </w:rPr>
        <w:t>empresas </w:t>
      </w:r>
      <w:r>
        <w:rPr>
          <w:color w:val="231F20"/>
          <w:w w:val="105"/>
        </w:rPr>
        <w:t>competitivas</w:t>
      </w:r>
      <w:r>
        <w:rPr>
          <w:color w:val="231F20"/>
          <w:spacing w:val="-24"/>
          <w:w w:val="105"/>
        </w:rPr>
        <w:t> </w:t>
      </w:r>
      <w:r>
        <w:rPr>
          <w:color w:val="231F20"/>
          <w:w w:val="105"/>
        </w:rPr>
        <w:t>están</w:t>
      </w:r>
      <w:r>
        <w:rPr>
          <w:color w:val="231F20"/>
          <w:spacing w:val="-24"/>
          <w:w w:val="105"/>
        </w:rPr>
        <w:t> </w:t>
      </w:r>
      <w:r>
        <w:rPr>
          <w:color w:val="231F20"/>
          <w:w w:val="105"/>
        </w:rPr>
        <w:t>en</w:t>
      </w:r>
      <w:r>
        <w:rPr>
          <w:color w:val="231F20"/>
          <w:spacing w:val="-24"/>
          <w:w w:val="105"/>
        </w:rPr>
        <w:t> </w:t>
      </w:r>
      <w:r>
        <w:rPr>
          <w:color w:val="231F20"/>
          <w:w w:val="105"/>
        </w:rPr>
        <w:t>condiciones</w:t>
      </w:r>
      <w:r>
        <w:rPr>
          <w:color w:val="231F20"/>
          <w:spacing w:val="-24"/>
          <w:w w:val="105"/>
        </w:rPr>
        <w:t> </w:t>
      </w:r>
      <w:r>
        <w:rPr>
          <w:color w:val="231F20"/>
          <w:w w:val="105"/>
        </w:rPr>
        <w:t>de</w:t>
      </w:r>
      <w:r>
        <w:rPr>
          <w:color w:val="231F20"/>
          <w:spacing w:val="-24"/>
          <w:w w:val="105"/>
        </w:rPr>
        <w:t> </w:t>
      </w:r>
      <w:r>
        <w:rPr>
          <w:color w:val="231F20"/>
          <w:w w:val="105"/>
        </w:rPr>
        <w:t>diseñar</w:t>
      </w:r>
      <w:r>
        <w:rPr>
          <w:color w:val="231F20"/>
          <w:spacing w:val="-24"/>
          <w:w w:val="105"/>
        </w:rPr>
        <w:t> </w:t>
      </w:r>
      <w:r>
        <w:rPr>
          <w:color w:val="231F20"/>
          <w:w w:val="105"/>
        </w:rPr>
        <w:t>e</w:t>
      </w:r>
      <w:r>
        <w:rPr>
          <w:color w:val="231F20"/>
          <w:spacing w:val="-24"/>
          <w:w w:val="105"/>
        </w:rPr>
        <w:t> </w:t>
      </w:r>
      <w:r>
        <w:rPr>
          <w:color w:val="231F20"/>
          <w:w w:val="105"/>
        </w:rPr>
        <w:t>implementar</w:t>
      </w:r>
      <w:r>
        <w:rPr>
          <w:color w:val="231F20"/>
          <w:spacing w:val="-24"/>
          <w:w w:val="105"/>
        </w:rPr>
        <w:t> </w:t>
      </w:r>
      <w:r>
        <w:rPr>
          <w:color w:val="231F20"/>
          <w:spacing w:val="-3"/>
          <w:w w:val="105"/>
        </w:rPr>
        <w:t>estrategias, porque</w:t>
      </w:r>
      <w:r>
        <w:rPr>
          <w:color w:val="231F20"/>
          <w:spacing w:val="-19"/>
          <w:w w:val="105"/>
        </w:rPr>
        <w:t> </w:t>
      </w:r>
      <w:r>
        <w:rPr>
          <w:color w:val="231F20"/>
          <w:w w:val="105"/>
        </w:rPr>
        <w:t>su</w:t>
      </w:r>
      <w:r>
        <w:rPr>
          <w:color w:val="231F20"/>
          <w:spacing w:val="-19"/>
          <w:w w:val="105"/>
        </w:rPr>
        <w:t> </w:t>
      </w:r>
      <w:r>
        <w:rPr>
          <w:color w:val="231F20"/>
          <w:w w:val="105"/>
        </w:rPr>
        <w:t>visión</w:t>
      </w:r>
      <w:r>
        <w:rPr>
          <w:color w:val="231F20"/>
          <w:spacing w:val="-19"/>
          <w:w w:val="105"/>
        </w:rPr>
        <w:t> </w:t>
      </w:r>
      <w:r>
        <w:rPr>
          <w:color w:val="231F20"/>
          <w:w w:val="105"/>
        </w:rPr>
        <w:t>global</w:t>
      </w:r>
      <w:r>
        <w:rPr>
          <w:color w:val="231F20"/>
          <w:spacing w:val="-19"/>
          <w:w w:val="105"/>
        </w:rPr>
        <w:t> </w:t>
      </w:r>
      <w:r>
        <w:rPr>
          <w:color w:val="231F20"/>
          <w:w w:val="105"/>
        </w:rPr>
        <w:t>va</w:t>
      </w:r>
      <w:r>
        <w:rPr>
          <w:color w:val="231F20"/>
          <w:spacing w:val="-19"/>
          <w:w w:val="105"/>
        </w:rPr>
        <w:t> </w:t>
      </w:r>
      <w:r>
        <w:rPr>
          <w:color w:val="231F20"/>
          <w:w w:val="105"/>
        </w:rPr>
        <w:t>más</w:t>
      </w:r>
      <w:r>
        <w:rPr>
          <w:color w:val="231F20"/>
          <w:spacing w:val="-19"/>
          <w:w w:val="105"/>
        </w:rPr>
        <w:t> </w:t>
      </w:r>
      <w:r>
        <w:rPr>
          <w:color w:val="231F20"/>
          <w:w w:val="105"/>
        </w:rPr>
        <w:t>allá</w:t>
      </w:r>
      <w:r>
        <w:rPr>
          <w:color w:val="231F20"/>
          <w:spacing w:val="-19"/>
          <w:w w:val="105"/>
        </w:rPr>
        <w:t> </w:t>
      </w:r>
      <w:r>
        <w:rPr>
          <w:color w:val="231F20"/>
          <w:w w:val="105"/>
        </w:rPr>
        <w:t>del</w:t>
      </w:r>
      <w:r>
        <w:rPr>
          <w:color w:val="231F20"/>
          <w:spacing w:val="-19"/>
          <w:w w:val="105"/>
        </w:rPr>
        <w:t> </w:t>
      </w:r>
      <w:r>
        <w:rPr>
          <w:color w:val="231F20"/>
          <w:w w:val="105"/>
        </w:rPr>
        <w:t>corto</w:t>
      </w:r>
      <w:r>
        <w:rPr>
          <w:color w:val="231F20"/>
          <w:spacing w:val="-19"/>
          <w:w w:val="105"/>
        </w:rPr>
        <w:t> </w:t>
      </w:r>
      <w:r>
        <w:rPr>
          <w:color w:val="231F20"/>
          <w:w w:val="105"/>
        </w:rPr>
        <w:t>plazo</w:t>
      </w:r>
      <w:r>
        <w:rPr>
          <w:color w:val="231F20"/>
          <w:spacing w:val="-19"/>
          <w:w w:val="105"/>
        </w:rPr>
        <w:t> </w:t>
      </w:r>
      <w:r>
        <w:rPr>
          <w:color w:val="231F20"/>
          <w:w w:val="105"/>
        </w:rPr>
        <w:t>y</w:t>
      </w:r>
      <w:r>
        <w:rPr>
          <w:color w:val="231F20"/>
          <w:spacing w:val="-19"/>
          <w:w w:val="105"/>
        </w:rPr>
        <w:t> </w:t>
      </w:r>
      <w:r>
        <w:rPr>
          <w:color w:val="231F20"/>
          <w:spacing w:val="-3"/>
          <w:w w:val="105"/>
        </w:rPr>
        <w:t>porque</w:t>
      </w:r>
      <w:r>
        <w:rPr>
          <w:color w:val="231F20"/>
          <w:spacing w:val="-19"/>
          <w:w w:val="105"/>
        </w:rPr>
        <w:t> </w:t>
      </w:r>
      <w:r>
        <w:rPr>
          <w:color w:val="231F20"/>
          <w:w w:val="105"/>
        </w:rPr>
        <w:t>son</w:t>
      </w:r>
      <w:r>
        <w:rPr>
          <w:color w:val="231F20"/>
          <w:spacing w:val="-19"/>
          <w:w w:val="105"/>
        </w:rPr>
        <w:t> </w:t>
      </w:r>
      <w:r>
        <w:rPr>
          <w:color w:val="231F20"/>
          <w:w w:val="105"/>
        </w:rPr>
        <w:t>capaces de integrarse a </w:t>
      </w:r>
      <w:r>
        <w:rPr>
          <w:color w:val="231F20"/>
          <w:spacing w:val="-3"/>
          <w:w w:val="105"/>
        </w:rPr>
        <w:t>redes </w:t>
      </w:r>
      <w:r>
        <w:rPr>
          <w:color w:val="231F20"/>
          <w:w w:val="105"/>
        </w:rPr>
        <w:t>de cooperación tecnológica con otras </w:t>
      </w:r>
      <w:r>
        <w:rPr>
          <w:color w:val="231F20"/>
          <w:spacing w:val="-3"/>
          <w:w w:val="105"/>
        </w:rPr>
        <w:t>empresas, </w:t>
      </w:r>
      <w:r>
        <w:rPr>
          <w:color w:val="231F20"/>
          <w:w w:val="105"/>
        </w:rPr>
        <w:t>instituciones</w:t>
      </w:r>
      <w:r>
        <w:rPr>
          <w:color w:val="231F20"/>
          <w:spacing w:val="-31"/>
          <w:w w:val="105"/>
        </w:rPr>
        <w:t> </w:t>
      </w:r>
      <w:r>
        <w:rPr>
          <w:color w:val="231F20"/>
          <w:w w:val="105"/>
        </w:rPr>
        <w:t>de</w:t>
      </w:r>
      <w:r>
        <w:rPr>
          <w:color w:val="231F20"/>
          <w:spacing w:val="-31"/>
          <w:w w:val="105"/>
        </w:rPr>
        <w:t> </w:t>
      </w:r>
      <w:r>
        <w:rPr>
          <w:color w:val="231F20"/>
          <w:w w:val="105"/>
        </w:rPr>
        <w:t>investigación</w:t>
      </w:r>
      <w:r>
        <w:rPr>
          <w:color w:val="231F20"/>
          <w:spacing w:val="-31"/>
          <w:w w:val="105"/>
        </w:rPr>
        <w:t> </w:t>
      </w:r>
      <w:r>
        <w:rPr>
          <w:color w:val="231F20"/>
          <w:w w:val="105"/>
        </w:rPr>
        <w:t>científica</w:t>
      </w:r>
      <w:r>
        <w:rPr>
          <w:color w:val="231F20"/>
          <w:spacing w:val="-31"/>
          <w:w w:val="105"/>
        </w:rPr>
        <w:t> </w:t>
      </w:r>
      <w:r>
        <w:rPr>
          <w:color w:val="231F20"/>
          <w:w w:val="105"/>
        </w:rPr>
        <w:t>o</w:t>
      </w:r>
      <w:r>
        <w:rPr>
          <w:color w:val="231F20"/>
          <w:spacing w:val="-31"/>
          <w:w w:val="105"/>
        </w:rPr>
        <w:t> </w:t>
      </w:r>
      <w:r>
        <w:rPr>
          <w:color w:val="231F20"/>
          <w:w w:val="105"/>
        </w:rPr>
        <w:t>tecnológica</w:t>
      </w:r>
      <w:r>
        <w:rPr>
          <w:color w:val="231F20"/>
          <w:spacing w:val="-31"/>
          <w:w w:val="105"/>
        </w:rPr>
        <w:t> </w:t>
      </w:r>
      <w:r>
        <w:rPr>
          <w:color w:val="231F20"/>
          <w:w w:val="105"/>
        </w:rPr>
        <w:t>(Klaus,</w:t>
      </w:r>
      <w:r>
        <w:rPr>
          <w:color w:val="231F20"/>
          <w:spacing w:val="-35"/>
          <w:w w:val="105"/>
        </w:rPr>
        <w:t> </w:t>
      </w:r>
      <w:r>
        <w:rPr>
          <w:i/>
          <w:color w:val="231F20"/>
          <w:w w:val="105"/>
        </w:rPr>
        <w:t>et</w:t>
      </w:r>
      <w:r>
        <w:rPr>
          <w:i/>
          <w:color w:val="231F20"/>
          <w:spacing w:val="-31"/>
          <w:w w:val="105"/>
        </w:rPr>
        <w:t> </w:t>
      </w:r>
      <w:r>
        <w:rPr>
          <w:i/>
          <w:color w:val="231F20"/>
          <w:w w:val="105"/>
        </w:rPr>
        <w:t>al</w:t>
      </w:r>
      <w:r>
        <w:rPr>
          <w:color w:val="231F20"/>
          <w:w w:val="105"/>
        </w:rPr>
        <w:t>.,</w:t>
      </w:r>
      <w:r>
        <w:rPr>
          <w:color w:val="231F20"/>
          <w:spacing w:val="-35"/>
          <w:w w:val="105"/>
        </w:rPr>
        <w:t> </w:t>
      </w:r>
      <w:r>
        <w:rPr>
          <w:color w:val="231F20"/>
          <w:spacing w:val="-2"/>
          <w:w w:val="105"/>
        </w:rPr>
        <w:t>2001). </w:t>
      </w:r>
      <w:r>
        <w:rPr>
          <w:color w:val="231F20"/>
          <w:w w:val="105"/>
        </w:rPr>
        <w:t>El</w:t>
      </w:r>
      <w:r>
        <w:rPr>
          <w:color w:val="231F20"/>
          <w:spacing w:val="-26"/>
          <w:w w:val="105"/>
        </w:rPr>
        <w:t> </w:t>
      </w:r>
      <w:r>
        <w:rPr>
          <w:color w:val="231F20"/>
          <w:w w:val="105"/>
        </w:rPr>
        <w:t>segundo,</w:t>
      </w:r>
      <w:r>
        <w:rPr>
          <w:color w:val="231F20"/>
          <w:spacing w:val="-31"/>
          <w:w w:val="105"/>
        </w:rPr>
        <w:t> </w:t>
      </w:r>
      <w:r>
        <w:rPr>
          <w:color w:val="231F20"/>
          <w:w w:val="105"/>
        </w:rPr>
        <w:t>incluye</w:t>
      </w:r>
      <w:r>
        <w:rPr>
          <w:color w:val="231F20"/>
          <w:spacing w:val="-26"/>
          <w:w w:val="105"/>
        </w:rPr>
        <w:t> </w:t>
      </w:r>
      <w:r>
        <w:rPr>
          <w:color w:val="231F20"/>
          <w:w w:val="105"/>
        </w:rPr>
        <w:t>la</w:t>
      </w:r>
      <w:r>
        <w:rPr>
          <w:color w:val="231F20"/>
          <w:spacing w:val="-26"/>
          <w:w w:val="105"/>
        </w:rPr>
        <w:t> </w:t>
      </w:r>
      <w:r>
        <w:rPr>
          <w:color w:val="231F20"/>
          <w:w w:val="105"/>
        </w:rPr>
        <w:t>inversión</w:t>
      </w:r>
      <w:r>
        <w:rPr>
          <w:color w:val="231F20"/>
          <w:spacing w:val="-26"/>
          <w:w w:val="105"/>
        </w:rPr>
        <w:t> </w:t>
      </w:r>
      <w:r>
        <w:rPr>
          <w:color w:val="231F20"/>
          <w:w w:val="105"/>
        </w:rPr>
        <w:t>destinada</w:t>
      </w:r>
      <w:r>
        <w:rPr>
          <w:color w:val="231F20"/>
          <w:spacing w:val="-26"/>
          <w:w w:val="105"/>
        </w:rPr>
        <w:t> </w:t>
      </w:r>
      <w:r>
        <w:rPr>
          <w:color w:val="231F20"/>
          <w:w w:val="105"/>
        </w:rPr>
        <w:t>a</w:t>
      </w:r>
      <w:r>
        <w:rPr>
          <w:color w:val="231F20"/>
          <w:spacing w:val="-26"/>
          <w:w w:val="105"/>
        </w:rPr>
        <w:t> </w:t>
      </w:r>
      <w:r>
        <w:rPr>
          <w:color w:val="231F20"/>
          <w:w w:val="105"/>
        </w:rPr>
        <w:t>lograr</w:t>
      </w:r>
      <w:r>
        <w:rPr>
          <w:color w:val="231F20"/>
          <w:spacing w:val="-26"/>
          <w:w w:val="105"/>
        </w:rPr>
        <w:t> </w:t>
      </w:r>
      <w:r>
        <w:rPr>
          <w:color w:val="231F20"/>
          <w:w w:val="105"/>
        </w:rPr>
        <w:t>los</w:t>
      </w:r>
      <w:r>
        <w:rPr>
          <w:color w:val="231F20"/>
          <w:spacing w:val="-26"/>
          <w:w w:val="105"/>
        </w:rPr>
        <w:t> </w:t>
      </w:r>
      <w:r>
        <w:rPr>
          <w:color w:val="231F20"/>
          <w:w w:val="105"/>
        </w:rPr>
        <w:t>objetivos</w:t>
      </w:r>
      <w:r>
        <w:rPr>
          <w:color w:val="231F20"/>
          <w:spacing w:val="-26"/>
          <w:w w:val="105"/>
        </w:rPr>
        <w:t> </w:t>
      </w:r>
      <w:r>
        <w:rPr>
          <w:color w:val="231F20"/>
          <w:w w:val="105"/>
        </w:rPr>
        <w:t>del</w:t>
      </w:r>
      <w:r>
        <w:rPr>
          <w:color w:val="231F20"/>
          <w:spacing w:val="-26"/>
          <w:w w:val="105"/>
        </w:rPr>
        <w:t> </w:t>
      </w:r>
      <w:r>
        <w:rPr>
          <w:color w:val="231F20"/>
          <w:w w:val="105"/>
        </w:rPr>
        <w:t>nego- cio;</w:t>
      </w:r>
      <w:r>
        <w:rPr>
          <w:color w:val="231F20"/>
          <w:spacing w:val="-20"/>
          <w:w w:val="105"/>
        </w:rPr>
        <w:t> </w:t>
      </w:r>
      <w:r>
        <w:rPr>
          <w:color w:val="231F20"/>
          <w:w w:val="105"/>
        </w:rPr>
        <w:t>aquella</w:t>
      </w:r>
      <w:r>
        <w:rPr>
          <w:color w:val="231F20"/>
          <w:spacing w:val="-20"/>
          <w:w w:val="105"/>
        </w:rPr>
        <w:t> </w:t>
      </w:r>
      <w:r>
        <w:rPr>
          <w:color w:val="231F20"/>
          <w:spacing w:val="-3"/>
          <w:w w:val="105"/>
        </w:rPr>
        <w:t>empresa</w:t>
      </w:r>
      <w:r>
        <w:rPr>
          <w:color w:val="231F20"/>
          <w:spacing w:val="-20"/>
          <w:w w:val="105"/>
        </w:rPr>
        <w:t> </w:t>
      </w:r>
      <w:r>
        <w:rPr>
          <w:color w:val="231F20"/>
          <w:w w:val="105"/>
        </w:rPr>
        <w:t>que</w:t>
      </w:r>
      <w:r>
        <w:rPr>
          <w:color w:val="231F20"/>
          <w:spacing w:val="-20"/>
          <w:w w:val="105"/>
        </w:rPr>
        <w:t> </w:t>
      </w:r>
      <w:r>
        <w:rPr>
          <w:color w:val="231F20"/>
          <w:w w:val="105"/>
        </w:rPr>
        <w:t>decide</w:t>
      </w:r>
      <w:r>
        <w:rPr>
          <w:color w:val="231F20"/>
          <w:spacing w:val="-20"/>
          <w:w w:val="105"/>
        </w:rPr>
        <w:t> </w:t>
      </w:r>
      <w:r>
        <w:rPr>
          <w:color w:val="231F20"/>
          <w:w w:val="105"/>
        </w:rPr>
        <w:t>competir</w:t>
      </w:r>
      <w:r>
        <w:rPr>
          <w:color w:val="231F20"/>
          <w:spacing w:val="-20"/>
          <w:w w:val="105"/>
        </w:rPr>
        <w:t> </w:t>
      </w:r>
      <w:r>
        <w:rPr>
          <w:color w:val="231F20"/>
          <w:w w:val="105"/>
        </w:rPr>
        <w:t>a</w:t>
      </w:r>
      <w:r>
        <w:rPr>
          <w:color w:val="231F20"/>
          <w:spacing w:val="-20"/>
          <w:w w:val="105"/>
        </w:rPr>
        <w:t> </w:t>
      </w:r>
      <w:r>
        <w:rPr>
          <w:color w:val="231F20"/>
          <w:spacing w:val="-2"/>
          <w:w w:val="105"/>
        </w:rPr>
        <w:t>partir</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óptima</w:t>
      </w:r>
      <w:r>
        <w:rPr>
          <w:color w:val="231F20"/>
          <w:spacing w:val="-20"/>
          <w:w w:val="105"/>
        </w:rPr>
        <w:t> </w:t>
      </w:r>
      <w:r>
        <w:rPr>
          <w:color w:val="231F20"/>
          <w:w w:val="105"/>
        </w:rPr>
        <w:t>utilización de</w:t>
      </w:r>
      <w:r>
        <w:rPr>
          <w:color w:val="231F20"/>
          <w:spacing w:val="-39"/>
          <w:w w:val="105"/>
        </w:rPr>
        <w:t> </w:t>
      </w:r>
      <w:r>
        <w:rPr>
          <w:color w:val="231F20"/>
          <w:w w:val="105"/>
        </w:rPr>
        <w:t>sus</w:t>
      </w:r>
      <w:r>
        <w:rPr>
          <w:color w:val="231F20"/>
          <w:spacing w:val="-39"/>
          <w:w w:val="105"/>
        </w:rPr>
        <w:t> </w:t>
      </w:r>
      <w:r>
        <w:rPr>
          <w:color w:val="231F20"/>
          <w:spacing w:val="-3"/>
          <w:w w:val="105"/>
        </w:rPr>
        <w:t>recursos</w:t>
      </w:r>
      <w:r>
        <w:rPr>
          <w:color w:val="231F20"/>
          <w:spacing w:val="-39"/>
          <w:w w:val="105"/>
        </w:rPr>
        <w:t> </w:t>
      </w:r>
      <w:r>
        <w:rPr>
          <w:color w:val="231F20"/>
          <w:w w:val="105"/>
        </w:rPr>
        <w:t>y</w:t>
      </w:r>
      <w:r>
        <w:rPr>
          <w:color w:val="231F20"/>
          <w:spacing w:val="-39"/>
          <w:w w:val="105"/>
        </w:rPr>
        <w:t> </w:t>
      </w:r>
      <w:r>
        <w:rPr>
          <w:color w:val="231F20"/>
          <w:w w:val="105"/>
        </w:rPr>
        <w:t>capacidades,</w:t>
      </w:r>
      <w:r>
        <w:rPr>
          <w:color w:val="231F20"/>
          <w:spacing w:val="-42"/>
          <w:w w:val="105"/>
        </w:rPr>
        <w:t> </w:t>
      </w:r>
      <w:r>
        <w:rPr>
          <w:color w:val="231F20"/>
          <w:spacing w:val="-3"/>
          <w:w w:val="105"/>
        </w:rPr>
        <w:t>interrelaciona</w:t>
      </w:r>
      <w:r>
        <w:rPr>
          <w:color w:val="231F20"/>
          <w:spacing w:val="-39"/>
          <w:w w:val="105"/>
        </w:rPr>
        <w:t> </w:t>
      </w:r>
      <w:r>
        <w:rPr>
          <w:color w:val="231F20"/>
          <w:w w:val="105"/>
        </w:rPr>
        <w:t>sus</w:t>
      </w:r>
      <w:r>
        <w:rPr>
          <w:color w:val="231F20"/>
          <w:spacing w:val="-39"/>
          <w:w w:val="105"/>
        </w:rPr>
        <w:t> </w:t>
      </w:r>
      <w:r>
        <w:rPr>
          <w:color w:val="231F20"/>
          <w:w w:val="105"/>
        </w:rPr>
        <w:t>determinantes.</w:t>
      </w:r>
    </w:p>
    <w:p>
      <w:pPr>
        <w:pStyle w:val="BodyText"/>
        <w:spacing w:line="259" w:lineRule="auto"/>
        <w:ind w:left="103" w:right="115" w:firstLine="567"/>
        <w:jc w:val="both"/>
      </w:pPr>
      <w:r>
        <w:rPr>
          <w:color w:val="231F20"/>
          <w:w w:val="105"/>
        </w:rPr>
        <w:t>Los determinantes de la competitividad involucran acciones</w:t>
      </w:r>
      <w:r>
        <w:rPr>
          <w:color w:val="231F20"/>
          <w:spacing w:val="-25"/>
          <w:w w:val="105"/>
        </w:rPr>
        <w:t> </w:t>
      </w:r>
      <w:r>
        <w:rPr>
          <w:color w:val="231F20"/>
          <w:w w:val="105"/>
        </w:rPr>
        <w:t>reali- zadas</w:t>
      </w:r>
      <w:r>
        <w:rPr>
          <w:color w:val="231F20"/>
          <w:spacing w:val="-17"/>
          <w:w w:val="105"/>
        </w:rPr>
        <w:t> </w:t>
      </w:r>
      <w:r>
        <w:rPr>
          <w:color w:val="231F20"/>
          <w:w w:val="105"/>
        </w:rPr>
        <w:t>dentro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empresa,</w:t>
      </w:r>
      <w:r>
        <w:rPr>
          <w:color w:val="231F20"/>
          <w:spacing w:val="-22"/>
          <w:w w:val="105"/>
        </w:rPr>
        <w:t> </w:t>
      </w:r>
      <w:r>
        <w:rPr>
          <w:color w:val="231F20"/>
          <w:w w:val="105"/>
        </w:rPr>
        <w:t>lo</w:t>
      </w:r>
      <w:r>
        <w:rPr>
          <w:color w:val="231F20"/>
          <w:spacing w:val="-17"/>
          <w:w w:val="105"/>
        </w:rPr>
        <w:t> </w:t>
      </w:r>
      <w:r>
        <w:rPr>
          <w:color w:val="231F20"/>
          <w:w w:val="105"/>
        </w:rPr>
        <w:t>cual</w:t>
      </w:r>
      <w:r>
        <w:rPr>
          <w:color w:val="231F20"/>
          <w:spacing w:val="-17"/>
          <w:w w:val="105"/>
        </w:rPr>
        <w:t> </w:t>
      </w:r>
      <w:r>
        <w:rPr>
          <w:color w:val="231F20"/>
          <w:w w:val="105"/>
        </w:rPr>
        <w:t>implica</w:t>
      </w:r>
      <w:r>
        <w:rPr>
          <w:color w:val="231F20"/>
          <w:spacing w:val="-17"/>
          <w:w w:val="105"/>
        </w:rPr>
        <w:t> </w:t>
      </w:r>
      <w:r>
        <w:rPr>
          <w:color w:val="231F20"/>
          <w:w w:val="105"/>
        </w:rPr>
        <w:t>que</w:t>
      </w:r>
      <w:r>
        <w:rPr>
          <w:color w:val="231F20"/>
          <w:spacing w:val="-17"/>
          <w:w w:val="105"/>
        </w:rPr>
        <w:t> </w:t>
      </w:r>
      <w:r>
        <w:rPr>
          <w:color w:val="231F20"/>
          <w:w w:val="105"/>
        </w:rPr>
        <w:t>éstos</w:t>
      </w:r>
      <w:r>
        <w:rPr>
          <w:color w:val="231F20"/>
          <w:spacing w:val="-17"/>
          <w:w w:val="105"/>
        </w:rPr>
        <w:t> </w:t>
      </w:r>
      <w:r>
        <w:rPr>
          <w:color w:val="231F20"/>
          <w:w w:val="105"/>
        </w:rPr>
        <w:t>cumplan</w:t>
      </w:r>
      <w:r>
        <w:rPr>
          <w:color w:val="231F20"/>
          <w:spacing w:val="-17"/>
          <w:w w:val="105"/>
        </w:rPr>
        <w:t> </w:t>
      </w:r>
      <w:r>
        <w:rPr>
          <w:color w:val="231F20"/>
          <w:w w:val="105"/>
        </w:rPr>
        <w:t>al</w:t>
      </w:r>
      <w:r>
        <w:rPr>
          <w:color w:val="231F20"/>
          <w:spacing w:val="-17"/>
          <w:w w:val="105"/>
        </w:rPr>
        <w:t> </w:t>
      </w:r>
      <w:r>
        <w:rPr>
          <w:color w:val="231F20"/>
          <w:w w:val="105"/>
        </w:rPr>
        <w:t>menos cuatro</w:t>
      </w:r>
      <w:r>
        <w:rPr>
          <w:color w:val="231F20"/>
          <w:spacing w:val="-24"/>
          <w:w w:val="105"/>
        </w:rPr>
        <w:t> </w:t>
      </w:r>
      <w:r>
        <w:rPr>
          <w:color w:val="231F20"/>
          <w:w w:val="105"/>
        </w:rPr>
        <w:t>criterios</w:t>
      </w:r>
      <w:r>
        <w:rPr>
          <w:color w:val="231F20"/>
          <w:spacing w:val="-24"/>
          <w:w w:val="105"/>
        </w:rPr>
        <w:t> </w:t>
      </w:r>
      <w:r>
        <w:rPr>
          <w:color w:val="231F20"/>
          <w:w w:val="105"/>
        </w:rPr>
        <w:t>(Hill</w:t>
      </w:r>
      <w:r>
        <w:rPr>
          <w:color w:val="231F20"/>
          <w:spacing w:val="-24"/>
          <w:w w:val="105"/>
        </w:rPr>
        <w:t> </w:t>
      </w:r>
      <w:r>
        <w:rPr>
          <w:color w:val="231F20"/>
          <w:w w:val="105"/>
        </w:rPr>
        <w:t>y</w:t>
      </w:r>
      <w:r>
        <w:rPr>
          <w:color w:val="231F20"/>
          <w:spacing w:val="-26"/>
          <w:w w:val="105"/>
        </w:rPr>
        <w:t> </w:t>
      </w:r>
      <w:r>
        <w:rPr>
          <w:color w:val="231F20"/>
          <w:w w:val="105"/>
        </w:rPr>
        <w:t>Jones,</w:t>
      </w:r>
      <w:r>
        <w:rPr>
          <w:color w:val="231F20"/>
          <w:spacing w:val="-29"/>
          <w:w w:val="105"/>
        </w:rPr>
        <w:t> </w:t>
      </w:r>
      <w:r>
        <w:rPr>
          <w:color w:val="231F20"/>
          <w:w w:val="105"/>
        </w:rPr>
        <w:t>2009;</w:t>
      </w:r>
      <w:r>
        <w:rPr>
          <w:color w:val="231F20"/>
          <w:spacing w:val="-24"/>
          <w:w w:val="105"/>
        </w:rPr>
        <w:t> </w:t>
      </w:r>
      <w:r>
        <w:rPr>
          <w:color w:val="231F20"/>
          <w:w w:val="105"/>
        </w:rPr>
        <w:t>Klaus</w:t>
      </w:r>
      <w:r>
        <w:rPr>
          <w:color w:val="231F20"/>
          <w:spacing w:val="-24"/>
          <w:w w:val="105"/>
        </w:rPr>
        <w:t> </w:t>
      </w:r>
      <w:r>
        <w:rPr>
          <w:i/>
          <w:color w:val="231F20"/>
          <w:w w:val="105"/>
        </w:rPr>
        <w:t>et</w:t>
      </w:r>
      <w:r>
        <w:rPr>
          <w:i/>
          <w:color w:val="231F20"/>
          <w:spacing w:val="-24"/>
          <w:w w:val="105"/>
        </w:rPr>
        <w:t> </w:t>
      </w:r>
      <w:r>
        <w:rPr>
          <w:i/>
          <w:color w:val="231F20"/>
          <w:w w:val="105"/>
        </w:rPr>
        <w:t>al</w:t>
      </w:r>
      <w:r>
        <w:rPr>
          <w:color w:val="231F20"/>
          <w:w w:val="105"/>
        </w:rPr>
        <w:t>,</w:t>
      </w:r>
      <w:r>
        <w:rPr>
          <w:color w:val="231F20"/>
          <w:spacing w:val="-29"/>
          <w:w w:val="105"/>
        </w:rPr>
        <w:t> </w:t>
      </w:r>
      <w:r>
        <w:rPr>
          <w:color w:val="231F20"/>
          <w:w w:val="105"/>
        </w:rPr>
        <w:t>2001):</w:t>
      </w:r>
    </w:p>
    <w:p>
      <w:pPr>
        <w:pStyle w:val="BodyText"/>
        <w:rPr>
          <w:sz w:val="20"/>
        </w:rPr>
      </w:pPr>
    </w:p>
    <w:p>
      <w:pPr>
        <w:pStyle w:val="BodyText"/>
        <w:rPr>
          <w:sz w:val="20"/>
        </w:rPr>
      </w:pPr>
    </w:p>
    <w:p>
      <w:pPr>
        <w:pStyle w:val="BodyText"/>
        <w:rPr>
          <w:sz w:val="19"/>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58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52</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560"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53</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ListParagraph"/>
        <w:numPr>
          <w:ilvl w:val="0"/>
          <w:numId w:val="25"/>
        </w:numPr>
        <w:tabs>
          <w:tab w:pos="1328" w:val="left" w:leader="none"/>
        </w:tabs>
        <w:spacing w:line="259" w:lineRule="auto" w:before="169" w:after="0"/>
        <w:ind w:left="1327" w:right="115" w:hanging="360"/>
        <w:jc w:val="both"/>
        <w:rPr>
          <w:sz w:val="21"/>
        </w:rPr>
      </w:pPr>
      <w:r>
        <w:rPr>
          <w:color w:val="231F20"/>
          <w:w w:val="105"/>
          <w:sz w:val="21"/>
        </w:rPr>
        <w:t>Eficiencia.</w:t>
      </w:r>
      <w:r>
        <w:rPr>
          <w:color w:val="231F20"/>
          <w:spacing w:val="-33"/>
          <w:w w:val="105"/>
          <w:sz w:val="21"/>
        </w:rPr>
        <w:t> </w:t>
      </w:r>
      <w:r>
        <w:rPr>
          <w:color w:val="231F20"/>
          <w:w w:val="105"/>
          <w:sz w:val="21"/>
        </w:rPr>
        <w:t>Cualidad</w:t>
      </w:r>
      <w:r>
        <w:rPr>
          <w:color w:val="231F20"/>
          <w:spacing w:val="-28"/>
          <w:w w:val="105"/>
          <w:sz w:val="21"/>
        </w:rPr>
        <w:t> </w:t>
      </w:r>
      <w:r>
        <w:rPr>
          <w:color w:val="231F20"/>
          <w:w w:val="105"/>
          <w:sz w:val="21"/>
        </w:rPr>
        <w:t>superior</w:t>
      </w:r>
      <w:r>
        <w:rPr>
          <w:color w:val="231F20"/>
          <w:spacing w:val="-28"/>
          <w:w w:val="105"/>
          <w:sz w:val="21"/>
        </w:rPr>
        <w:t> </w:t>
      </w:r>
      <w:r>
        <w:rPr>
          <w:color w:val="231F20"/>
          <w:w w:val="105"/>
          <w:sz w:val="21"/>
        </w:rPr>
        <w:t>que</w:t>
      </w:r>
      <w:r>
        <w:rPr>
          <w:color w:val="231F20"/>
          <w:spacing w:val="-28"/>
          <w:w w:val="105"/>
          <w:sz w:val="21"/>
        </w:rPr>
        <w:t> </w:t>
      </w:r>
      <w:r>
        <w:rPr>
          <w:color w:val="231F20"/>
          <w:w w:val="105"/>
          <w:sz w:val="21"/>
        </w:rPr>
        <w:t>indica</w:t>
      </w:r>
      <w:r>
        <w:rPr>
          <w:color w:val="231F20"/>
          <w:spacing w:val="-28"/>
          <w:w w:val="105"/>
          <w:sz w:val="21"/>
        </w:rPr>
        <w:t> </w:t>
      </w:r>
      <w:r>
        <w:rPr>
          <w:color w:val="231F20"/>
          <w:w w:val="105"/>
          <w:sz w:val="21"/>
        </w:rPr>
        <w:t>que</w:t>
      </w:r>
      <w:r>
        <w:rPr>
          <w:color w:val="231F20"/>
          <w:spacing w:val="-28"/>
          <w:w w:val="105"/>
          <w:sz w:val="21"/>
        </w:rPr>
        <w:t> </w:t>
      </w:r>
      <w:r>
        <w:rPr>
          <w:color w:val="231F20"/>
          <w:w w:val="105"/>
          <w:sz w:val="21"/>
        </w:rPr>
        <w:t>una</w:t>
      </w:r>
      <w:r>
        <w:rPr>
          <w:color w:val="231F20"/>
          <w:spacing w:val="-28"/>
          <w:w w:val="105"/>
          <w:sz w:val="21"/>
        </w:rPr>
        <w:t> </w:t>
      </w:r>
      <w:r>
        <w:rPr>
          <w:color w:val="231F20"/>
          <w:w w:val="105"/>
          <w:sz w:val="21"/>
        </w:rPr>
        <w:t>empresa</w:t>
      </w:r>
      <w:r>
        <w:rPr>
          <w:color w:val="231F20"/>
          <w:spacing w:val="-28"/>
          <w:w w:val="105"/>
          <w:sz w:val="21"/>
        </w:rPr>
        <w:t> </w:t>
      </w:r>
      <w:r>
        <w:rPr>
          <w:color w:val="231F20"/>
          <w:w w:val="105"/>
          <w:sz w:val="21"/>
        </w:rPr>
        <w:t>es el dispositivo para transformar entradas de material, mano de obra, capital, administración y conocimientos tecnoló- gicos en productos y servicios. La medida más sencilla de eficiencia</w:t>
      </w:r>
      <w:r>
        <w:rPr>
          <w:color w:val="231F20"/>
          <w:spacing w:val="-10"/>
          <w:w w:val="105"/>
          <w:sz w:val="21"/>
        </w:rPr>
        <w:t> </w:t>
      </w:r>
      <w:r>
        <w:rPr>
          <w:color w:val="231F20"/>
          <w:w w:val="105"/>
          <w:sz w:val="21"/>
        </w:rPr>
        <w:t>es</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cantidad</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entradas</w:t>
      </w:r>
      <w:r>
        <w:rPr>
          <w:color w:val="231F20"/>
          <w:spacing w:val="-10"/>
          <w:w w:val="105"/>
          <w:sz w:val="21"/>
        </w:rPr>
        <w:t> </w:t>
      </w:r>
      <w:r>
        <w:rPr>
          <w:color w:val="231F20"/>
          <w:w w:val="105"/>
          <w:sz w:val="21"/>
        </w:rPr>
        <w:t>que</w:t>
      </w:r>
      <w:r>
        <w:rPr>
          <w:color w:val="231F20"/>
          <w:spacing w:val="-10"/>
          <w:w w:val="105"/>
          <w:sz w:val="21"/>
        </w:rPr>
        <w:t> </w:t>
      </w:r>
      <w:r>
        <w:rPr>
          <w:color w:val="231F20"/>
          <w:w w:val="105"/>
          <w:sz w:val="21"/>
        </w:rPr>
        <w:t>se</w:t>
      </w:r>
      <w:r>
        <w:rPr>
          <w:color w:val="231F20"/>
          <w:spacing w:val="-10"/>
          <w:w w:val="105"/>
          <w:sz w:val="21"/>
        </w:rPr>
        <w:t> </w:t>
      </w:r>
      <w:r>
        <w:rPr>
          <w:color w:val="231F20"/>
          <w:w w:val="105"/>
          <w:sz w:val="21"/>
        </w:rPr>
        <w:t>requieren</w:t>
      </w:r>
      <w:r>
        <w:rPr>
          <w:color w:val="231F20"/>
          <w:spacing w:val="-10"/>
          <w:w w:val="105"/>
          <w:sz w:val="21"/>
        </w:rPr>
        <w:t> </w:t>
      </w:r>
      <w:r>
        <w:rPr>
          <w:color w:val="231F20"/>
          <w:w w:val="105"/>
          <w:sz w:val="21"/>
        </w:rPr>
        <w:t>para producir</w:t>
      </w:r>
      <w:r>
        <w:rPr>
          <w:color w:val="231F20"/>
          <w:spacing w:val="-20"/>
          <w:w w:val="105"/>
          <w:sz w:val="21"/>
        </w:rPr>
        <w:t> </w:t>
      </w:r>
      <w:r>
        <w:rPr>
          <w:color w:val="231F20"/>
          <w:w w:val="105"/>
          <w:sz w:val="21"/>
        </w:rPr>
        <w:t>un</w:t>
      </w:r>
      <w:r>
        <w:rPr>
          <w:color w:val="231F20"/>
          <w:spacing w:val="-20"/>
          <w:w w:val="105"/>
          <w:sz w:val="21"/>
        </w:rPr>
        <w:t> </w:t>
      </w:r>
      <w:r>
        <w:rPr>
          <w:color w:val="231F20"/>
          <w:w w:val="105"/>
          <w:sz w:val="21"/>
        </w:rPr>
        <w:t>bien</w:t>
      </w:r>
      <w:r>
        <w:rPr>
          <w:color w:val="231F20"/>
          <w:spacing w:val="-20"/>
          <w:w w:val="105"/>
          <w:sz w:val="21"/>
        </w:rPr>
        <w:t> </w:t>
      </w:r>
      <w:r>
        <w:rPr>
          <w:color w:val="231F20"/>
          <w:w w:val="105"/>
          <w:sz w:val="21"/>
        </w:rPr>
        <w:t>determinado;</w:t>
      </w:r>
      <w:r>
        <w:rPr>
          <w:color w:val="231F20"/>
          <w:spacing w:val="-20"/>
          <w:w w:val="105"/>
          <w:sz w:val="21"/>
        </w:rPr>
        <w:t> </w:t>
      </w:r>
      <w:r>
        <w:rPr>
          <w:color w:val="231F20"/>
          <w:w w:val="105"/>
          <w:sz w:val="21"/>
        </w:rPr>
        <w:t>es</w:t>
      </w:r>
      <w:r>
        <w:rPr>
          <w:color w:val="231F20"/>
          <w:spacing w:val="-20"/>
          <w:w w:val="105"/>
          <w:sz w:val="21"/>
        </w:rPr>
        <w:t> </w:t>
      </w:r>
      <w:r>
        <w:rPr>
          <w:color w:val="231F20"/>
          <w:w w:val="105"/>
          <w:sz w:val="21"/>
        </w:rPr>
        <w:t>decir,</w:t>
      </w:r>
      <w:r>
        <w:rPr>
          <w:color w:val="231F20"/>
          <w:spacing w:val="-26"/>
          <w:w w:val="105"/>
          <w:sz w:val="21"/>
        </w:rPr>
        <w:t> </w:t>
      </w:r>
      <w:r>
        <w:rPr>
          <w:color w:val="231F20"/>
          <w:w w:val="105"/>
          <w:sz w:val="21"/>
        </w:rPr>
        <w:t>eficiencia</w:t>
      </w:r>
      <w:r>
        <w:rPr>
          <w:color w:val="231F20"/>
          <w:spacing w:val="-20"/>
          <w:w w:val="105"/>
          <w:sz w:val="21"/>
        </w:rPr>
        <w:t> </w:t>
      </w:r>
      <w:r>
        <w:rPr>
          <w:color w:val="231F20"/>
          <w:w w:val="105"/>
          <w:sz w:val="21"/>
        </w:rPr>
        <w:t>igual</w:t>
      </w:r>
      <w:r>
        <w:rPr>
          <w:color w:val="231F20"/>
          <w:spacing w:val="-20"/>
          <w:w w:val="105"/>
          <w:sz w:val="21"/>
        </w:rPr>
        <w:t> </w:t>
      </w:r>
      <w:r>
        <w:rPr>
          <w:color w:val="231F20"/>
          <w:w w:val="105"/>
          <w:sz w:val="21"/>
        </w:rPr>
        <w:t>a</w:t>
      </w:r>
      <w:r>
        <w:rPr>
          <w:color w:val="231F20"/>
          <w:spacing w:val="-20"/>
          <w:w w:val="105"/>
          <w:sz w:val="21"/>
        </w:rPr>
        <w:t> </w:t>
      </w:r>
      <w:r>
        <w:rPr>
          <w:color w:val="231F20"/>
          <w:w w:val="105"/>
          <w:sz w:val="21"/>
        </w:rPr>
        <w:t>sa- lidas</w:t>
      </w:r>
      <w:r>
        <w:rPr>
          <w:color w:val="231F20"/>
          <w:spacing w:val="-23"/>
          <w:w w:val="105"/>
          <w:sz w:val="21"/>
        </w:rPr>
        <w:t> </w:t>
      </w:r>
      <w:r>
        <w:rPr>
          <w:color w:val="231F20"/>
          <w:w w:val="105"/>
          <w:sz w:val="21"/>
        </w:rPr>
        <w:t>entre</w:t>
      </w:r>
      <w:r>
        <w:rPr>
          <w:color w:val="231F20"/>
          <w:spacing w:val="-23"/>
          <w:w w:val="105"/>
          <w:sz w:val="21"/>
        </w:rPr>
        <w:t> </w:t>
      </w:r>
      <w:r>
        <w:rPr>
          <w:color w:val="231F20"/>
          <w:w w:val="105"/>
          <w:sz w:val="21"/>
        </w:rPr>
        <w:t>entradas.</w:t>
      </w:r>
      <w:r>
        <w:rPr>
          <w:color w:val="231F20"/>
          <w:spacing w:val="-28"/>
          <w:w w:val="105"/>
          <w:sz w:val="21"/>
        </w:rPr>
        <w:t> </w:t>
      </w:r>
      <w:r>
        <w:rPr>
          <w:color w:val="231F20"/>
          <w:w w:val="105"/>
          <w:sz w:val="21"/>
        </w:rPr>
        <w:t>Mientras</w:t>
      </w:r>
      <w:r>
        <w:rPr>
          <w:color w:val="231F20"/>
          <w:spacing w:val="-23"/>
          <w:w w:val="105"/>
          <w:sz w:val="21"/>
        </w:rPr>
        <w:t> </w:t>
      </w:r>
      <w:r>
        <w:rPr>
          <w:color w:val="231F20"/>
          <w:w w:val="105"/>
          <w:sz w:val="21"/>
        </w:rPr>
        <w:t>más</w:t>
      </w:r>
      <w:r>
        <w:rPr>
          <w:color w:val="231F20"/>
          <w:spacing w:val="-23"/>
          <w:w w:val="105"/>
          <w:sz w:val="21"/>
        </w:rPr>
        <w:t> </w:t>
      </w:r>
      <w:r>
        <w:rPr>
          <w:color w:val="231F20"/>
          <w:w w:val="105"/>
          <w:sz w:val="21"/>
        </w:rPr>
        <w:t>eficiente</w:t>
      </w:r>
      <w:r>
        <w:rPr>
          <w:color w:val="231F20"/>
          <w:spacing w:val="-23"/>
          <w:w w:val="105"/>
          <w:sz w:val="21"/>
        </w:rPr>
        <w:t> </w:t>
      </w:r>
      <w:r>
        <w:rPr>
          <w:color w:val="231F20"/>
          <w:w w:val="105"/>
          <w:sz w:val="21"/>
        </w:rPr>
        <w:t>sea</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empresa, menos</w:t>
      </w:r>
      <w:r>
        <w:rPr>
          <w:color w:val="231F20"/>
          <w:spacing w:val="-24"/>
          <w:w w:val="105"/>
          <w:sz w:val="21"/>
        </w:rPr>
        <w:t> </w:t>
      </w:r>
      <w:r>
        <w:rPr>
          <w:color w:val="231F20"/>
          <w:w w:val="105"/>
          <w:sz w:val="21"/>
        </w:rPr>
        <w:t>entradas</w:t>
      </w:r>
      <w:r>
        <w:rPr>
          <w:color w:val="231F20"/>
          <w:spacing w:val="-24"/>
          <w:w w:val="105"/>
          <w:sz w:val="21"/>
        </w:rPr>
        <w:t> </w:t>
      </w:r>
      <w:r>
        <w:rPr>
          <w:color w:val="231F20"/>
          <w:w w:val="105"/>
          <w:sz w:val="21"/>
        </w:rPr>
        <w:t>necesitará</w:t>
      </w:r>
      <w:r>
        <w:rPr>
          <w:color w:val="231F20"/>
          <w:spacing w:val="-24"/>
          <w:w w:val="105"/>
          <w:sz w:val="21"/>
        </w:rPr>
        <w:t> </w:t>
      </w:r>
      <w:r>
        <w:rPr>
          <w:color w:val="231F20"/>
          <w:w w:val="105"/>
          <w:sz w:val="21"/>
        </w:rPr>
        <w:t>para</w:t>
      </w:r>
      <w:r>
        <w:rPr>
          <w:color w:val="231F20"/>
          <w:spacing w:val="-24"/>
          <w:w w:val="105"/>
          <w:sz w:val="21"/>
        </w:rPr>
        <w:t> </w:t>
      </w:r>
      <w:r>
        <w:rPr>
          <w:color w:val="231F20"/>
          <w:w w:val="105"/>
          <w:sz w:val="21"/>
        </w:rPr>
        <w:t>producir</w:t>
      </w:r>
      <w:r>
        <w:rPr>
          <w:color w:val="231F20"/>
          <w:spacing w:val="-24"/>
          <w:w w:val="105"/>
          <w:sz w:val="21"/>
        </w:rPr>
        <w:t> </w:t>
      </w:r>
      <w:r>
        <w:rPr>
          <w:color w:val="231F20"/>
          <w:w w:val="105"/>
          <w:sz w:val="21"/>
        </w:rPr>
        <w:t>una</w:t>
      </w:r>
      <w:r>
        <w:rPr>
          <w:color w:val="231F20"/>
          <w:spacing w:val="-24"/>
          <w:w w:val="105"/>
          <w:sz w:val="21"/>
        </w:rPr>
        <w:t> </w:t>
      </w:r>
      <w:r>
        <w:rPr>
          <w:color w:val="231F20"/>
          <w:w w:val="105"/>
          <w:sz w:val="21"/>
        </w:rPr>
        <w:t>salida</w:t>
      </w:r>
      <w:r>
        <w:rPr>
          <w:color w:val="231F20"/>
          <w:spacing w:val="-24"/>
          <w:w w:val="105"/>
          <w:sz w:val="21"/>
        </w:rPr>
        <w:t> </w:t>
      </w:r>
      <w:r>
        <w:rPr>
          <w:color w:val="231F20"/>
          <w:spacing w:val="-4"/>
          <w:w w:val="105"/>
          <w:sz w:val="21"/>
        </w:rPr>
        <w:t>y,</w:t>
      </w:r>
      <w:r>
        <w:rPr>
          <w:color w:val="231F20"/>
          <w:spacing w:val="-30"/>
          <w:w w:val="105"/>
          <w:sz w:val="21"/>
        </w:rPr>
        <w:t> </w:t>
      </w:r>
      <w:r>
        <w:rPr>
          <w:color w:val="231F20"/>
          <w:w w:val="105"/>
          <w:sz w:val="21"/>
        </w:rPr>
        <w:t>por</w:t>
      </w:r>
      <w:r>
        <w:rPr>
          <w:color w:val="231F20"/>
          <w:spacing w:val="-24"/>
          <w:w w:val="105"/>
          <w:sz w:val="21"/>
        </w:rPr>
        <w:t> </w:t>
      </w:r>
      <w:r>
        <w:rPr>
          <w:color w:val="231F20"/>
          <w:w w:val="105"/>
          <w:sz w:val="21"/>
        </w:rPr>
        <w:t>lo tanto,</w:t>
      </w:r>
      <w:r>
        <w:rPr>
          <w:color w:val="231F20"/>
          <w:spacing w:val="-29"/>
          <w:w w:val="105"/>
          <w:sz w:val="21"/>
        </w:rPr>
        <w:t> </w:t>
      </w:r>
      <w:r>
        <w:rPr>
          <w:color w:val="231F20"/>
          <w:w w:val="105"/>
          <w:sz w:val="21"/>
        </w:rPr>
        <w:t>su</w:t>
      </w:r>
      <w:r>
        <w:rPr>
          <w:color w:val="231F20"/>
          <w:spacing w:val="-24"/>
          <w:w w:val="105"/>
          <w:sz w:val="21"/>
        </w:rPr>
        <w:t> </w:t>
      </w:r>
      <w:r>
        <w:rPr>
          <w:color w:val="231F20"/>
          <w:w w:val="105"/>
          <w:sz w:val="21"/>
        </w:rPr>
        <w:t>estructura</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costo</w:t>
      </w:r>
      <w:r>
        <w:rPr>
          <w:color w:val="231F20"/>
          <w:spacing w:val="-24"/>
          <w:w w:val="105"/>
          <w:sz w:val="21"/>
        </w:rPr>
        <w:t> </w:t>
      </w:r>
      <w:r>
        <w:rPr>
          <w:color w:val="231F20"/>
          <w:w w:val="105"/>
          <w:sz w:val="21"/>
        </w:rPr>
        <w:t>será</w:t>
      </w:r>
      <w:r>
        <w:rPr>
          <w:color w:val="231F20"/>
          <w:spacing w:val="-24"/>
          <w:w w:val="105"/>
          <w:sz w:val="21"/>
        </w:rPr>
        <w:t> </w:t>
      </w:r>
      <w:r>
        <w:rPr>
          <w:color w:val="231F20"/>
          <w:w w:val="105"/>
          <w:sz w:val="21"/>
        </w:rPr>
        <w:t>menor.</w:t>
      </w:r>
    </w:p>
    <w:p>
      <w:pPr>
        <w:pStyle w:val="ListParagraph"/>
        <w:numPr>
          <w:ilvl w:val="0"/>
          <w:numId w:val="25"/>
        </w:numPr>
        <w:tabs>
          <w:tab w:pos="1328" w:val="left" w:leader="none"/>
        </w:tabs>
        <w:spacing w:line="259" w:lineRule="auto" w:before="170" w:after="0"/>
        <w:ind w:left="1327" w:right="115" w:hanging="360"/>
        <w:jc w:val="both"/>
        <w:rPr>
          <w:sz w:val="21"/>
        </w:rPr>
      </w:pPr>
      <w:r>
        <w:rPr>
          <w:color w:val="231F20"/>
          <w:w w:val="105"/>
          <w:sz w:val="21"/>
        </w:rPr>
        <w:t>Calidad.</w:t>
      </w:r>
      <w:r>
        <w:rPr>
          <w:color w:val="231F20"/>
          <w:spacing w:val="-30"/>
          <w:w w:val="105"/>
          <w:sz w:val="21"/>
        </w:rPr>
        <w:t> </w:t>
      </w:r>
      <w:r>
        <w:rPr>
          <w:color w:val="231F20"/>
          <w:w w:val="105"/>
          <w:sz w:val="21"/>
        </w:rPr>
        <w:t>Implica</w:t>
      </w:r>
      <w:r>
        <w:rPr>
          <w:color w:val="231F20"/>
          <w:spacing w:val="-25"/>
          <w:w w:val="105"/>
          <w:sz w:val="21"/>
        </w:rPr>
        <w:t> </w:t>
      </w:r>
      <w:r>
        <w:rPr>
          <w:color w:val="231F20"/>
          <w:w w:val="105"/>
          <w:sz w:val="21"/>
        </w:rPr>
        <w:t>lograr</w:t>
      </w:r>
      <w:r>
        <w:rPr>
          <w:color w:val="231F20"/>
          <w:spacing w:val="-25"/>
          <w:w w:val="105"/>
          <w:sz w:val="21"/>
        </w:rPr>
        <w:t> </w:t>
      </w:r>
      <w:r>
        <w:rPr>
          <w:color w:val="231F20"/>
          <w:w w:val="105"/>
          <w:sz w:val="21"/>
        </w:rPr>
        <w:t>una</w:t>
      </w:r>
      <w:r>
        <w:rPr>
          <w:color w:val="231F20"/>
          <w:spacing w:val="-25"/>
          <w:w w:val="105"/>
          <w:sz w:val="21"/>
        </w:rPr>
        <w:t> </w:t>
      </w:r>
      <w:r>
        <w:rPr>
          <w:color w:val="231F20"/>
          <w:w w:val="105"/>
          <w:sz w:val="21"/>
        </w:rPr>
        <w:t>respuesta</w:t>
      </w:r>
      <w:r>
        <w:rPr>
          <w:color w:val="231F20"/>
          <w:spacing w:val="-25"/>
          <w:w w:val="105"/>
          <w:sz w:val="21"/>
        </w:rPr>
        <w:t> </w:t>
      </w:r>
      <w:r>
        <w:rPr>
          <w:color w:val="231F20"/>
          <w:w w:val="105"/>
          <w:sz w:val="21"/>
        </w:rPr>
        <w:t>superior</w:t>
      </w:r>
      <w:r>
        <w:rPr>
          <w:color w:val="231F20"/>
          <w:spacing w:val="-25"/>
          <w:w w:val="105"/>
          <w:sz w:val="21"/>
        </w:rPr>
        <w:t> </w:t>
      </w:r>
      <w:r>
        <w:rPr>
          <w:color w:val="231F20"/>
          <w:w w:val="105"/>
          <w:sz w:val="21"/>
        </w:rPr>
        <w:t>a</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clientes. La empresa debe dar a los clientes lo que quieren,</w:t>
      </w:r>
      <w:r>
        <w:rPr>
          <w:color w:val="231F20"/>
          <w:spacing w:val="-39"/>
          <w:w w:val="105"/>
          <w:sz w:val="21"/>
        </w:rPr>
        <w:t> </w:t>
      </w:r>
      <w:r>
        <w:rPr>
          <w:color w:val="231F20"/>
          <w:w w:val="105"/>
          <w:sz w:val="21"/>
        </w:rPr>
        <w:t>cuando lo</w:t>
      </w:r>
      <w:r>
        <w:rPr>
          <w:color w:val="231F20"/>
          <w:spacing w:val="-18"/>
          <w:w w:val="105"/>
          <w:sz w:val="21"/>
        </w:rPr>
        <w:t> </w:t>
      </w:r>
      <w:r>
        <w:rPr>
          <w:color w:val="231F20"/>
          <w:w w:val="105"/>
          <w:sz w:val="21"/>
        </w:rPr>
        <w:t>quieren</w:t>
      </w:r>
      <w:r>
        <w:rPr>
          <w:color w:val="231F20"/>
          <w:spacing w:val="-18"/>
          <w:w w:val="105"/>
          <w:sz w:val="21"/>
        </w:rPr>
        <w:t> </w:t>
      </w:r>
      <w:r>
        <w:rPr>
          <w:color w:val="231F20"/>
          <w:w w:val="105"/>
          <w:sz w:val="21"/>
        </w:rPr>
        <w:t>y</w:t>
      </w:r>
      <w:r>
        <w:rPr>
          <w:color w:val="231F20"/>
          <w:spacing w:val="-18"/>
          <w:w w:val="105"/>
          <w:sz w:val="21"/>
        </w:rPr>
        <w:t> </w:t>
      </w:r>
      <w:r>
        <w:rPr>
          <w:color w:val="231F20"/>
          <w:w w:val="105"/>
          <w:sz w:val="21"/>
        </w:rPr>
        <w:t>a</w:t>
      </w:r>
      <w:r>
        <w:rPr>
          <w:color w:val="231F20"/>
          <w:spacing w:val="-18"/>
          <w:w w:val="105"/>
          <w:sz w:val="21"/>
        </w:rPr>
        <w:t> </w:t>
      </w:r>
      <w:r>
        <w:rPr>
          <w:color w:val="231F20"/>
          <w:w w:val="105"/>
          <w:sz w:val="21"/>
        </w:rPr>
        <w:t>un</w:t>
      </w:r>
      <w:r>
        <w:rPr>
          <w:color w:val="231F20"/>
          <w:spacing w:val="-18"/>
          <w:w w:val="105"/>
          <w:sz w:val="21"/>
        </w:rPr>
        <w:t> </w:t>
      </w:r>
      <w:r>
        <w:rPr>
          <w:color w:val="231F20"/>
          <w:w w:val="105"/>
          <w:sz w:val="21"/>
        </w:rPr>
        <w:t>precio</w:t>
      </w:r>
      <w:r>
        <w:rPr>
          <w:color w:val="231F20"/>
          <w:spacing w:val="-18"/>
          <w:w w:val="105"/>
          <w:sz w:val="21"/>
        </w:rPr>
        <w:t> </w:t>
      </w:r>
      <w:r>
        <w:rPr>
          <w:color w:val="231F20"/>
          <w:w w:val="105"/>
          <w:sz w:val="21"/>
        </w:rPr>
        <w:t>que</w:t>
      </w:r>
      <w:r>
        <w:rPr>
          <w:color w:val="231F20"/>
          <w:spacing w:val="-18"/>
          <w:w w:val="105"/>
          <w:sz w:val="21"/>
        </w:rPr>
        <w:t> </w:t>
      </w:r>
      <w:r>
        <w:rPr>
          <w:color w:val="231F20"/>
          <w:w w:val="105"/>
          <w:sz w:val="21"/>
        </w:rPr>
        <w:t>estén</w:t>
      </w:r>
      <w:r>
        <w:rPr>
          <w:color w:val="231F20"/>
          <w:spacing w:val="-18"/>
          <w:w w:val="105"/>
          <w:sz w:val="21"/>
        </w:rPr>
        <w:t> </w:t>
      </w:r>
      <w:r>
        <w:rPr>
          <w:color w:val="231F20"/>
          <w:w w:val="105"/>
          <w:sz w:val="21"/>
        </w:rPr>
        <w:t>dispuestos</w:t>
      </w:r>
      <w:r>
        <w:rPr>
          <w:color w:val="231F20"/>
          <w:spacing w:val="-18"/>
          <w:w w:val="105"/>
          <w:sz w:val="21"/>
        </w:rPr>
        <w:t> </w:t>
      </w:r>
      <w:r>
        <w:rPr>
          <w:color w:val="231F20"/>
          <w:w w:val="105"/>
          <w:sz w:val="21"/>
        </w:rPr>
        <w:t>a</w:t>
      </w:r>
      <w:r>
        <w:rPr>
          <w:color w:val="231F20"/>
          <w:spacing w:val="-18"/>
          <w:w w:val="105"/>
          <w:sz w:val="21"/>
        </w:rPr>
        <w:t> </w:t>
      </w:r>
      <w:r>
        <w:rPr>
          <w:color w:val="231F20"/>
          <w:w w:val="105"/>
          <w:sz w:val="21"/>
        </w:rPr>
        <w:t>pagar,</w:t>
      </w:r>
      <w:r>
        <w:rPr>
          <w:color w:val="231F20"/>
          <w:spacing w:val="-25"/>
          <w:w w:val="105"/>
          <w:sz w:val="21"/>
        </w:rPr>
        <w:t> </w:t>
      </w:r>
      <w:r>
        <w:rPr>
          <w:color w:val="231F20"/>
          <w:w w:val="105"/>
          <w:sz w:val="21"/>
        </w:rPr>
        <w:t>siem- pre</w:t>
      </w:r>
      <w:r>
        <w:rPr>
          <w:color w:val="231F20"/>
          <w:spacing w:val="-11"/>
          <w:w w:val="105"/>
          <w:sz w:val="21"/>
        </w:rPr>
        <w:t> </w:t>
      </w:r>
      <w:r>
        <w:rPr>
          <w:color w:val="231F20"/>
          <w:w w:val="105"/>
          <w:sz w:val="21"/>
        </w:rPr>
        <w:t>y</w:t>
      </w:r>
      <w:r>
        <w:rPr>
          <w:color w:val="231F20"/>
          <w:spacing w:val="-11"/>
          <w:w w:val="105"/>
          <w:sz w:val="21"/>
        </w:rPr>
        <w:t> </w:t>
      </w:r>
      <w:r>
        <w:rPr>
          <w:color w:val="231F20"/>
          <w:w w:val="105"/>
          <w:sz w:val="21"/>
        </w:rPr>
        <w:t>cuando</w:t>
      </w:r>
      <w:r>
        <w:rPr>
          <w:color w:val="231F20"/>
          <w:spacing w:val="-11"/>
          <w:w w:val="105"/>
          <w:sz w:val="21"/>
        </w:rPr>
        <w:t> </w:t>
      </w:r>
      <w:r>
        <w:rPr>
          <w:color w:val="231F20"/>
          <w:w w:val="105"/>
          <w:sz w:val="21"/>
        </w:rPr>
        <w:t>la</w:t>
      </w:r>
      <w:r>
        <w:rPr>
          <w:color w:val="231F20"/>
          <w:spacing w:val="-11"/>
          <w:w w:val="105"/>
          <w:sz w:val="21"/>
        </w:rPr>
        <w:t> </w:t>
      </w:r>
      <w:r>
        <w:rPr>
          <w:color w:val="231F20"/>
          <w:w w:val="105"/>
          <w:sz w:val="21"/>
        </w:rPr>
        <w:t>rentabilidad</w:t>
      </w:r>
      <w:r>
        <w:rPr>
          <w:color w:val="231F20"/>
          <w:spacing w:val="-11"/>
          <w:w w:val="105"/>
          <w:sz w:val="21"/>
        </w:rPr>
        <w:t> </w:t>
      </w:r>
      <w:r>
        <w:rPr>
          <w:color w:val="231F20"/>
          <w:w w:val="105"/>
          <w:sz w:val="21"/>
        </w:rPr>
        <w:t>a</w:t>
      </w:r>
      <w:r>
        <w:rPr>
          <w:color w:val="231F20"/>
          <w:spacing w:val="-11"/>
          <w:w w:val="105"/>
          <w:sz w:val="21"/>
        </w:rPr>
        <w:t> </w:t>
      </w:r>
      <w:r>
        <w:rPr>
          <w:color w:val="231F20"/>
          <w:w w:val="105"/>
          <w:sz w:val="21"/>
        </w:rPr>
        <w:t>largo</w:t>
      </w:r>
      <w:r>
        <w:rPr>
          <w:color w:val="231F20"/>
          <w:spacing w:val="-11"/>
          <w:w w:val="105"/>
          <w:sz w:val="21"/>
        </w:rPr>
        <w:t> </w:t>
      </w:r>
      <w:r>
        <w:rPr>
          <w:color w:val="231F20"/>
          <w:w w:val="105"/>
          <w:sz w:val="21"/>
        </w:rPr>
        <w:t>plazo</w:t>
      </w:r>
      <w:r>
        <w:rPr>
          <w:color w:val="231F20"/>
          <w:spacing w:val="-11"/>
          <w:w w:val="105"/>
          <w:sz w:val="21"/>
        </w:rPr>
        <w:t> </w:t>
      </w:r>
      <w:r>
        <w:rPr>
          <w:color w:val="231F20"/>
          <w:w w:val="105"/>
          <w:sz w:val="21"/>
        </w:rPr>
        <w:t>no</w:t>
      </w:r>
      <w:r>
        <w:rPr>
          <w:color w:val="231F20"/>
          <w:spacing w:val="-11"/>
          <w:w w:val="105"/>
          <w:sz w:val="21"/>
        </w:rPr>
        <w:t> </w:t>
      </w:r>
      <w:r>
        <w:rPr>
          <w:color w:val="231F20"/>
          <w:w w:val="105"/>
          <w:sz w:val="21"/>
        </w:rPr>
        <w:t>se</w:t>
      </w:r>
      <w:r>
        <w:rPr>
          <w:color w:val="231F20"/>
          <w:spacing w:val="-11"/>
          <w:w w:val="105"/>
          <w:sz w:val="21"/>
        </w:rPr>
        <w:t> </w:t>
      </w:r>
      <w:r>
        <w:rPr>
          <w:color w:val="231F20"/>
          <w:w w:val="105"/>
          <w:sz w:val="21"/>
        </w:rPr>
        <w:t>comprome- ta</w:t>
      </w:r>
      <w:r>
        <w:rPr>
          <w:color w:val="231F20"/>
          <w:spacing w:val="-8"/>
          <w:w w:val="105"/>
          <w:sz w:val="21"/>
        </w:rPr>
        <w:t> </w:t>
      </w:r>
      <w:r>
        <w:rPr>
          <w:color w:val="231F20"/>
          <w:w w:val="105"/>
          <w:sz w:val="21"/>
        </w:rPr>
        <w:t>en</w:t>
      </w:r>
      <w:r>
        <w:rPr>
          <w:color w:val="231F20"/>
          <w:spacing w:val="-8"/>
          <w:w w:val="105"/>
          <w:sz w:val="21"/>
        </w:rPr>
        <w:t> </w:t>
      </w:r>
      <w:r>
        <w:rPr>
          <w:color w:val="231F20"/>
          <w:w w:val="105"/>
          <w:sz w:val="21"/>
        </w:rPr>
        <w:t>el</w:t>
      </w:r>
      <w:r>
        <w:rPr>
          <w:color w:val="231F20"/>
          <w:spacing w:val="-8"/>
          <w:w w:val="105"/>
          <w:sz w:val="21"/>
        </w:rPr>
        <w:t> </w:t>
      </w:r>
      <w:r>
        <w:rPr>
          <w:color w:val="231F20"/>
          <w:w w:val="105"/>
          <w:sz w:val="21"/>
        </w:rPr>
        <w:t>proceso.</w:t>
      </w:r>
      <w:r>
        <w:rPr>
          <w:color w:val="231F20"/>
          <w:spacing w:val="-13"/>
          <w:w w:val="105"/>
          <w:sz w:val="21"/>
        </w:rPr>
        <w:t> </w:t>
      </w:r>
      <w:r>
        <w:rPr>
          <w:color w:val="231F20"/>
          <w:w w:val="105"/>
          <w:sz w:val="21"/>
        </w:rPr>
        <w:t>La</w:t>
      </w:r>
      <w:r>
        <w:rPr>
          <w:color w:val="231F20"/>
          <w:spacing w:val="-8"/>
          <w:w w:val="105"/>
          <w:sz w:val="21"/>
        </w:rPr>
        <w:t> </w:t>
      </w:r>
      <w:r>
        <w:rPr>
          <w:color w:val="231F20"/>
          <w:w w:val="105"/>
          <w:sz w:val="21"/>
        </w:rPr>
        <w:t>respuesta</w:t>
      </w:r>
      <w:r>
        <w:rPr>
          <w:color w:val="231F20"/>
          <w:spacing w:val="-8"/>
          <w:w w:val="105"/>
          <w:sz w:val="21"/>
        </w:rPr>
        <w:t> </w:t>
      </w:r>
      <w:r>
        <w:rPr>
          <w:color w:val="231F20"/>
          <w:w w:val="105"/>
          <w:sz w:val="21"/>
        </w:rPr>
        <w:t>de</w:t>
      </w:r>
      <w:r>
        <w:rPr>
          <w:color w:val="231F20"/>
          <w:spacing w:val="-8"/>
          <w:w w:val="105"/>
          <w:sz w:val="21"/>
        </w:rPr>
        <w:t> </w:t>
      </w:r>
      <w:r>
        <w:rPr>
          <w:color w:val="231F20"/>
          <w:w w:val="105"/>
          <w:sz w:val="21"/>
        </w:rPr>
        <w:t>los</w:t>
      </w:r>
      <w:r>
        <w:rPr>
          <w:color w:val="231F20"/>
          <w:spacing w:val="-8"/>
          <w:w w:val="105"/>
          <w:sz w:val="21"/>
        </w:rPr>
        <w:t> </w:t>
      </w:r>
      <w:r>
        <w:rPr>
          <w:color w:val="231F20"/>
          <w:w w:val="105"/>
          <w:sz w:val="21"/>
        </w:rPr>
        <w:t>clientes</w:t>
      </w:r>
      <w:r>
        <w:rPr>
          <w:color w:val="231F20"/>
          <w:spacing w:val="-8"/>
          <w:w w:val="105"/>
          <w:sz w:val="21"/>
        </w:rPr>
        <w:t> </w:t>
      </w:r>
      <w:r>
        <w:rPr>
          <w:color w:val="231F20"/>
          <w:w w:val="105"/>
          <w:sz w:val="21"/>
        </w:rPr>
        <w:t>constituye</w:t>
      </w:r>
      <w:r>
        <w:rPr>
          <w:color w:val="231F20"/>
          <w:spacing w:val="-8"/>
          <w:w w:val="105"/>
          <w:sz w:val="21"/>
        </w:rPr>
        <w:t> </w:t>
      </w:r>
      <w:r>
        <w:rPr>
          <w:color w:val="231F20"/>
          <w:w w:val="105"/>
          <w:sz w:val="21"/>
        </w:rPr>
        <w:t>un atributo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diferenciación</w:t>
      </w:r>
      <w:r>
        <w:rPr>
          <w:color w:val="231F20"/>
          <w:spacing w:val="-11"/>
          <w:w w:val="105"/>
          <w:sz w:val="21"/>
        </w:rPr>
        <w:t> </w:t>
      </w:r>
      <w:r>
        <w:rPr>
          <w:color w:val="231F20"/>
          <w:w w:val="105"/>
          <w:sz w:val="21"/>
        </w:rPr>
        <w:t>que</w:t>
      </w:r>
      <w:r>
        <w:rPr>
          <w:color w:val="231F20"/>
          <w:spacing w:val="-11"/>
          <w:w w:val="105"/>
          <w:sz w:val="21"/>
        </w:rPr>
        <w:t> </w:t>
      </w:r>
      <w:r>
        <w:rPr>
          <w:color w:val="231F20"/>
          <w:w w:val="105"/>
          <w:sz w:val="21"/>
        </w:rPr>
        <w:t>puede</w:t>
      </w:r>
      <w:r>
        <w:rPr>
          <w:color w:val="231F20"/>
          <w:spacing w:val="-11"/>
          <w:w w:val="105"/>
          <w:sz w:val="21"/>
        </w:rPr>
        <w:t> </w:t>
      </w:r>
      <w:r>
        <w:rPr>
          <w:color w:val="231F20"/>
          <w:w w:val="105"/>
          <w:sz w:val="21"/>
        </w:rPr>
        <w:t>ayudar</w:t>
      </w:r>
      <w:r>
        <w:rPr>
          <w:color w:val="231F20"/>
          <w:spacing w:val="-11"/>
          <w:w w:val="105"/>
          <w:sz w:val="21"/>
        </w:rPr>
        <w:t> </w:t>
      </w:r>
      <w:r>
        <w:rPr>
          <w:color w:val="231F20"/>
          <w:w w:val="105"/>
          <w:sz w:val="21"/>
        </w:rPr>
        <w:t>a</w:t>
      </w:r>
      <w:r>
        <w:rPr>
          <w:color w:val="231F20"/>
          <w:spacing w:val="-11"/>
          <w:w w:val="105"/>
          <w:sz w:val="21"/>
        </w:rPr>
        <w:t> </w:t>
      </w:r>
      <w:r>
        <w:rPr>
          <w:color w:val="231F20"/>
          <w:w w:val="105"/>
          <w:sz w:val="21"/>
        </w:rPr>
        <w:t>consolidar</w:t>
      </w:r>
      <w:r>
        <w:rPr>
          <w:color w:val="231F20"/>
          <w:spacing w:val="-11"/>
          <w:w w:val="105"/>
          <w:sz w:val="21"/>
        </w:rPr>
        <w:t> </w:t>
      </w:r>
      <w:r>
        <w:rPr>
          <w:color w:val="231F20"/>
          <w:w w:val="105"/>
          <w:sz w:val="21"/>
        </w:rPr>
        <w:t>la lealtad</w:t>
      </w:r>
      <w:r>
        <w:rPr>
          <w:color w:val="231F20"/>
          <w:spacing w:val="-23"/>
          <w:w w:val="105"/>
          <w:sz w:val="21"/>
        </w:rPr>
        <w:t> </w:t>
      </w:r>
      <w:r>
        <w:rPr>
          <w:color w:val="231F20"/>
          <w:w w:val="105"/>
          <w:sz w:val="21"/>
        </w:rPr>
        <w:t>a</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marca.</w:t>
      </w:r>
      <w:r>
        <w:rPr>
          <w:color w:val="231F20"/>
          <w:spacing w:val="-28"/>
          <w:w w:val="105"/>
          <w:sz w:val="21"/>
        </w:rPr>
        <w:t> </w:t>
      </w:r>
      <w:r>
        <w:rPr>
          <w:color w:val="231F20"/>
          <w:w w:val="105"/>
          <w:sz w:val="21"/>
        </w:rPr>
        <w:t>Esto</w:t>
      </w:r>
      <w:r>
        <w:rPr>
          <w:color w:val="231F20"/>
          <w:spacing w:val="-23"/>
          <w:w w:val="105"/>
          <w:sz w:val="21"/>
        </w:rPr>
        <w:t> </w:t>
      </w:r>
      <w:r>
        <w:rPr>
          <w:color w:val="231F20"/>
          <w:w w:val="105"/>
          <w:sz w:val="21"/>
        </w:rPr>
        <w:t>conduce</w:t>
      </w:r>
      <w:r>
        <w:rPr>
          <w:color w:val="231F20"/>
          <w:spacing w:val="-23"/>
          <w:w w:val="105"/>
          <w:sz w:val="21"/>
        </w:rPr>
        <w:t> </w:t>
      </w:r>
      <w:r>
        <w:rPr>
          <w:color w:val="231F20"/>
          <w:w w:val="105"/>
          <w:sz w:val="21"/>
        </w:rPr>
        <w:t>a</w:t>
      </w:r>
      <w:r>
        <w:rPr>
          <w:color w:val="231F20"/>
          <w:spacing w:val="-23"/>
          <w:w w:val="105"/>
          <w:sz w:val="21"/>
        </w:rPr>
        <w:t> </w:t>
      </w:r>
      <w:r>
        <w:rPr>
          <w:color w:val="231F20"/>
          <w:w w:val="105"/>
          <w:sz w:val="21"/>
        </w:rPr>
        <w:t>alternativas</w:t>
      </w:r>
      <w:r>
        <w:rPr>
          <w:color w:val="231F20"/>
          <w:spacing w:val="-23"/>
          <w:w w:val="105"/>
          <w:sz w:val="21"/>
        </w:rPr>
        <w:t> </w:t>
      </w:r>
      <w:r>
        <w:rPr>
          <w:color w:val="231F20"/>
          <w:w w:val="105"/>
          <w:sz w:val="21"/>
        </w:rPr>
        <w:t>en</w:t>
      </w:r>
      <w:r>
        <w:rPr>
          <w:color w:val="231F20"/>
          <w:spacing w:val="-23"/>
          <w:w w:val="105"/>
          <w:sz w:val="21"/>
        </w:rPr>
        <w:t> </w:t>
      </w:r>
      <w:r>
        <w:rPr>
          <w:color w:val="231F20"/>
          <w:w w:val="105"/>
          <w:sz w:val="21"/>
        </w:rPr>
        <w:t>fijación</w:t>
      </w:r>
      <w:r>
        <w:rPr>
          <w:color w:val="231F20"/>
          <w:spacing w:val="-23"/>
          <w:w w:val="105"/>
          <w:sz w:val="21"/>
        </w:rPr>
        <w:t> </w:t>
      </w:r>
      <w:r>
        <w:rPr>
          <w:color w:val="231F20"/>
          <w:w w:val="105"/>
          <w:sz w:val="21"/>
        </w:rPr>
        <w:t>de precios; puede asignar un precio mayor por sus productos o</w:t>
      </w:r>
      <w:r>
        <w:rPr>
          <w:color w:val="231F20"/>
          <w:spacing w:val="-13"/>
          <w:w w:val="105"/>
          <w:sz w:val="21"/>
        </w:rPr>
        <w:t> </w:t>
      </w:r>
      <w:r>
        <w:rPr>
          <w:color w:val="231F20"/>
          <w:w w:val="105"/>
          <w:sz w:val="21"/>
        </w:rPr>
        <w:t>mantener</w:t>
      </w:r>
      <w:r>
        <w:rPr>
          <w:color w:val="231F20"/>
          <w:spacing w:val="-13"/>
          <w:w w:val="105"/>
          <w:sz w:val="21"/>
        </w:rPr>
        <w:t> </w:t>
      </w:r>
      <w:r>
        <w:rPr>
          <w:color w:val="231F20"/>
          <w:w w:val="105"/>
          <w:sz w:val="21"/>
        </w:rPr>
        <w:t>éste</w:t>
      </w:r>
      <w:r>
        <w:rPr>
          <w:color w:val="231F20"/>
          <w:spacing w:val="-13"/>
          <w:w w:val="105"/>
          <w:sz w:val="21"/>
        </w:rPr>
        <w:t> </w:t>
      </w:r>
      <w:r>
        <w:rPr>
          <w:color w:val="231F20"/>
          <w:w w:val="105"/>
          <w:sz w:val="21"/>
        </w:rPr>
        <w:t>bajo,</w:t>
      </w:r>
      <w:r>
        <w:rPr>
          <w:color w:val="231F20"/>
          <w:spacing w:val="-18"/>
          <w:w w:val="105"/>
          <w:sz w:val="21"/>
        </w:rPr>
        <w:t> </w:t>
      </w:r>
      <w:r>
        <w:rPr>
          <w:color w:val="231F20"/>
          <w:w w:val="105"/>
          <w:sz w:val="21"/>
        </w:rPr>
        <w:t>para</w:t>
      </w:r>
      <w:r>
        <w:rPr>
          <w:color w:val="231F20"/>
          <w:spacing w:val="-13"/>
          <w:w w:val="105"/>
          <w:sz w:val="21"/>
        </w:rPr>
        <w:t> </w:t>
      </w:r>
      <w:r>
        <w:rPr>
          <w:color w:val="231F20"/>
          <w:w w:val="105"/>
          <w:sz w:val="21"/>
        </w:rPr>
        <w:t>venderle</w:t>
      </w:r>
      <w:r>
        <w:rPr>
          <w:color w:val="231F20"/>
          <w:spacing w:val="-13"/>
          <w:w w:val="105"/>
          <w:sz w:val="21"/>
        </w:rPr>
        <w:t> </w:t>
      </w:r>
      <w:r>
        <w:rPr>
          <w:color w:val="231F20"/>
          <w:w w:val="105"/>
          <w:sz w:val="21"/>
        </w:rPr>
        <w:t>más</w:t>
      </w:r>
      <w:r>
        <w:rPr>
          <w:color w:val="231F20"/>
          <w:spacing w:val="-13"/>
          <w:w w:val="105"/>
          <w:sz w:val="21"/>
        </w:rPr>
        <w:t> </w:t>
      </w:r>
      <w:r>
        <w:rPr>
          <w:color w:val="231F20"/>
          <w:w w:val="105"/>
          <w:sz w:val="21"/>
        </w:rPr>
        <w:t>bienes</w:t>
      </w:r>
      <w:r>
        <w:rPr>
          <w:color w:val="231F20"/>
          <w:spacing w:val="-13"/>
          <w:w w:val="105"/>
          <w:sz w:val="21"/>
        </w:rPr>
        <w:t> </w:t>
      </w:r>
      <w:r>
        <w:rPr>
          <w:color w:val="231F20"/>
          <w:w w:val="105"/>
          <w:sz w:val="21"/>
        </w:rPr>
        <w:t>y</w:t>
      </w:r>
      <w:r>
        <w:rPr>
          <w:color w:val="231F20"/>
          <w:spacing w:val="-13"/>
          <w:w w:val="105"/>
          <w:sz w:val="21"/>
        </w:rPr>
        <w:t> </w:t>
      </w:r>
      <w:r>
        <w:rPr>
          <w:color w:val="231F20"/>
          <w:w w:val="105"/>
          <w:sz w:val="21"/>
        </w:rPr>
        <w:t>servicios a los </w:t>
      </w:r>
      <w:r>
        <w:rPr>
          <w:w w:val="105"/>
          <w:sz w:val="21"/>
        </w:rPr>
        <w:t>clientes. Este criterio adquiere creciente importancia para</w:t>
      </w:r>
      <w:r>
        <w:rPr>
          <w:spacing w:val="-14"/>
          <w:w w:val="105"/>
          <w:sz w:val="21"/>
        </w:rPr>
        <w:t> </w:t>
      </w:r>
      <w:r>
        <w:rPr>
          <w:w w:val="105"/>
          <w:sz w:val="21"/>
        </w:rPr>
        <w:t>países</w:t>
      </w:r>
      <w:r>
        <w:rPr>
          <w:spacing w:val="-14"/>
          <w:w w:val="105"/>
          <w:sz w:val="21"/>
        </w:rPr>
        <w:t> </w:t>
      </w:r>
      <w:r>
        <w:rPr>
          <w:w w:val="105"/>
          <w:sz w:val="21"/>
        </w:rPr>
        <w:t>en</w:t>
      </w:r>
      <w:r>
        <w:rPr>
          <w:spacing w:val="-14"/>
          <w:w w:val="105"/>
          <w:sz w:val="21"/>
        </w:rPr>
        <w:t> </w:t>
      </w:r>
      <w:r>
        <w:rPr>
          <w:w w:val="105"/>
          <w:sz w:val="21"/>
        </w:rPr>
        <w:t>desarrollo,</w:t>
      </w:r>
      <w:r>
        <w:rPr>
          <w:spacing w:val="-19"/>
          <w:w w:val="105"/>
          <w:sz w:val="21"/>
        </w:rPr>
        <w:t> </w:t>
      </w:r>
      <w:r>
        <w:rPr>
          <w:w w:val="105"/>
          <w:sz w:val="21"/>
        </w:rPr>
        <w:t>cuyo</w:t>
      </w:r>
      <w:r>
        <w:rPr>
          <w:spacing w:val="-14"/>
          <w:w w:val="105"/>
          <w:sz w:val="21"/>
        </w:rPr>
        <w:t> </w:t>
      </w:r>
      <w:r>
        <w:rPr>
          <w:w w:val="105"/>
          <w:sz w:val="21"/>
        </w:rPr>
        <w:t>desempeño</w:t>
      </w:r>
      <w:r>
        <w:rPr>
          <w:spacing w:val="-14"/>
          <w:w w:val="105"/>
          <w:sz w:val="21"/>
        </w:rPr>
        <w:t> </w:t>
      </w:r>
      <w:r>
        <w:rPr>
          <w:w w:val="105"/>
          <w:sz w:val="21"/>
        </w:rPr>
        <w:t>referido</w:t>
      </w:r>
      <w:r>
        <w:rPr>
          <w:spacing w:val="-14"/>
          <w:w w:val="105"/>
          <w:sz w:val="21"/>
        </w:rPr>
        <w:t> </w:t>
      </w:r>
      <w:r>
        <w:rPr>
          <w:w w:val="105"/>
          <w:sz w:val="21"/>
        </w:rPr>
        <w:t>al</w:t>
      </w:r>
      <w:r>
        <w:rPr>
          <w:spacing w:val="-14"/>
          <w:w w:val="105"/>
          <w:sz w:val="21"/>
        </w:rPr>
        <w:t> </w:t>
      </w:r>
      <w:r>
        <w:rPr>
          <w:w w:val="105"/>
          <w:sz w:val="21"/>
        </w:rPr>
        <w:t>ase- guramiento continuo de la calidad es cuestionado con fre- cuencia</w:t>
      </w:r>
      <w:r>
        <w:rPr>
          <w:spacing w:val="-43"/>
          <w:w w:val="105"/>
          <w:sz w:val="21"/>
        </w:rPr>
        <w:t> </w:t>
      </w:r>
      <w:r>
        <w:rPr>
          <w:w w:val="105"/>
          <w:sz w:val="21"/>
        </w:rPr>
        <w:t>en</w:t>
      </w:r>
      <w:r>
        <w:rPr>
          <w:spacing w:val="-43"/>
          <w:w w:val="105"/>
          <w:sz w:val="21"/>
        </w:rPr>
        <w:t> </w:t>
      </w:r>
      <w:r>
        <w:rPr>
          <w:w w:val="105"/>
          <w:sz w:val="21"/>
        </w:rPr>
        <w:t>países</w:t>
      </w:r>
      <w:r>
        <w:rPr>
          <w:spacing w:val="-43"/>
          <w:w w:val="105"/>
          <w:sz w:val="21"/>
        </w:rPr>
        <w:t> </w:t>
      </w:r>
      <w:r>
        <w:rPr>
          <w:w w:val="105"/>
          <w:sz w:val="21"/>
        </w:rPr>
        <w:t>industrializados.</w:t>
      </w:r>
    </w:p>
    <w:p>
      <w:pPr>
        <w:pStyle w:val="ListParagraph"/>
        <w:numPr>
          <w:ilvl w:val="0"/>
          <w:numId w:val="25"/>
        </w:numPr>
        <w:tabs>
          <w:tab w:pos="1328" w:val="left" w:leader="none"/>
        </w:tabs>
        <w:spacing w:line="259" w:lineRule="auto" w:before="170" w:after="0"/>
        <w:ind w:left="1327" w:right="121" w:hanging="360"/>
        <w:jc w:val="both"/>
        <w:rPr>
          <w:sz w:val="21"/>
        </w:rPr>
      </w:pPr>
      <w:r>
        <w:rPr>
          <w:color w:val="231F20"/>
          <w:w w:val="105"/>
          <w:sz w:val="21"/>
        </w:rPr>
        <w:t>Flexibilidad como capacidad de respuesta. Ésta puede</w:t>
      </w:r>
      <w:r>
        <w:rPr>
          <w:color w:val="231F20"/>
          <w:spacing w:val="-8"/>
          <w:w w:val="105"/>
          <w:sz w:val="21"/>
        </w:rPr>
        <w:t> </w:t>
      </w:r>
      <w:r>
        <w:rPr>
          <w:color w:val="231F20"/>
          <w:w w:val="105"/>
          <w:sz w:val="21"/>
        </w:rPr>
        <w:t>ser de producto (habilidad de cambios para fabricar un nue- vo producto), en volumen (cambios en la producción para obtener volúmenes eficientes), en la rutina (habilidad para fabricar</w:t>
      </w:r>
      <w:r>
        <w:rPr>
          <w:color w:val="231F20"/>
          <w:spacing w:val="-11"/>
          <w:w w:val="105"/>
          <w:sz w:val="21"/>
        </w:rPr>
        <w:t> </w:t>
      </w:r>
      <w:r>
        <w:rPr>
          <w:color w:val="231F20"/>
          <w:w w:val="105"/>
          <w:sz w:val="21"/>
        </w:rPr>
        <w:t>por</w:t>
      </w:r>
      <w:r>
        <w:rPr>
          <w:color w:val="231F20"/>
          <w:spacing w:val="-11"/>
          <w:w w:val="105"/>
          <w:sz w:val="21"/>
        </w:rPr>
        <w:t> </w:t>
      </w:r>
      <w:r>
        <w:rPr>
          <w:color w:val="231F20"/>
          <w:w w:val="105"/>
          <w:sz w:val="21"/>
        </w:rPr>
        <w:t>diferentes</w:t>
      </w:r>
      <w:r>
        <w:rPr>
          <w:color w:val="231F20"/>
          <w:spacing w:val="-11"/>
          <w:w w:val="105"/>
          <w:sz w:val="21"/>
        </w:rPr>
        <w:t> </w:t>
      </w:r>
      <w:r>
        <w:rPr>
          <w:color w:val="231F20"/>
          <w:w w:val="105"/>
          <w:sz w:val="21"/>
        </w:rPr>
        <w:t>rutas),</w:t>
      </w:r>
      <w:r>
        <w:rPr>
          <w:color w:val="231F20"/>
          <w:spacing w:val="-18"/>
          <w:w w:val="105"/>
          <w:sz w:val="21"/>
        </w:rPr>
        <w:t> </w:t>
      </w:r>
      <w:r>
        <w:rPr>
          <w:color w:val="231F20"/>
          <w:w w:val="105"/>
          <w:sz w:val="21"/>
        </w:rPr>
        <w:t>en</w:t>
      </w:r>
      <w:r>
        <w:rPr>
          <w:color w:val="231F20"/>
          <w:spacing w:val="-11"/>
          <w:w w:val="105"/>
          <w:sz w:val="21"/>
        </w:rPr>
        <w:t> </w:t>
      </w:r>
      <w:r>
        <w:rPr>
          <w:color w:val="231F20"/>
          <w:w w:val="105"/>
          <w:sz w:val="21"/>
        </w:rPr>
        <w:t>equipo</w:t>
      </w:r>
      <w:r>
        <w:rPr>
          <w:color w:val="231F20"/>
          <w:spacing w:val="-11"/>
          <w:w w:val="105"/>
          <w:sz w:val="21"/>
        </w:rPr>
        <w:t> </w:t>
      </w:r>
      <w:r>
        <w:rPr>
          <w:color w:val="231F20"/>
          <w:w w:val="105"/>
          <w:sz w:val="21"/>
        </w:rPr>
        <w:t>(habilidad</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variar la secuencia de operaciones) y en el proceso (fabricar</w:t>
      </w:r>
      <w:r>
        <w:rPr>
          <w:color w:val="231F20"/>
          <w:spacing w:val="-22"/>
          <w:w w:val="105"/>
          <w:sz w:val="21"/>
        </w:rPr>
        <w:t> </w:t>
      </w:r>
      <w:r>
        <w:rPr>
          <w:color w:val="231F20"/>
          <w:w w:val="105"/>
          <w:sz w:val="21"/>
        </w:rPr>
        <w:t>una familia</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productos</w:t>
      </w:r>
      <w:r>
        <w:rPr>
          <w:color w:val="231F20"/>
          <w:spacing w:val="-19"/>
          <w:w w:val="105"/>
          <w:sz w:val="21"/>
        </w:rPr>
        <w:t> </w:t>
      </w:r>
      <w:r>
        <w:rPr>
          <w:color w:val="231F20"/>
          <w:w w:val="105"/>
          <w:sz w:val="21"/>
        </w:rPr>
        <w:t>usando</w:t>
      </w:r>
      <w:r>
        <w:rPr>
          <w:color w:val="231F20"/>
          <w:spacing w:val="-19"/>
          <w:w w:val="105"/>
          <w:sz w:val="21"/>
        </w:rPr>
        <w:t> </w:t>
      </w:r>
      <w:r>
        <w:rPr>
          <w:color w:val="231F20"/>
          <w:w w:val="105"/>
          <w:sz w:val="21"/>
        </w:rPr>
        <w:t>diferentes</w:t>
      </w:r>
      <w:r>
        <w:rPr>
          <w:color w:val="231F20"/>
          <w:spacing w:val="-19"/>
          <w:w w:val="105"/>
          <w:sz w:val="21"/>
        </w:rPr>
        <w:t> </w:t>
      </w:r>
      <w:r>
        <w:rPr>
          <w:color w:val="231F20"/>
          <w:w w:val="105"/>
          <w:sz w:val="21"/>
        </w:rPr>
        <w:t>materiales)</w:t>
      </w:r>
      <w:r>
        <w:rPr>
          <w:w w:val="105"/>
          <w:sz w:val="21"/>
        </w:rPr>
        <w:t>.</w:t>
      </w:r>
    </w:p>
    <w:p>
      <w:pPr>
        <w:pStyle w:val="ListParagraph"/>
        <w:numPr>
          <w:ilvl w:val="0"/>
          <w:numId w:val="25"/>
        </w:numPr>
        <w:tabs>
          <w:tab w:pos="1328" w:val="left" w:leader="none"/>
        </w:tabs>
        <w:spacing w:line="259" w:lineRule="auto" w:before="170" w:after="0"/>
        <w:ind w:left="1327" w:right="121" w:hanging="360"/>
        <w:jc w:val="both"/>
        <w:rPr>
          <w:sz w:val="21"/>
        </w:rPr>
      </w:pPr>
      <w:r>
        <w:rPr>
          <w:color w:val="231F20"/>
          <w:w w:val="105"/>
          <w:sz w:val="21"/>
        </w:rPr>
        <w:t>Innovación</w:t>
      </w:r>
      <w:r>
        <w:rPr>
          <w:color w:val="231F20"/>
          <w:spacing w:val="-35"/>
          <w:w w:val="105"/>
          <w:sz w:val="21"/>
        </w:rPr>
        <w:t> </w:t>
      </w:r>
      <w:r>
        <w:rPr>
          <w:color w:val="231F20"/>
          <w:w w:val="105"/>
          <w:sz w:val="21"/>
        </w:rPr>
        <w:t>de</w:t>
      </w:r>
      <w:r>
        <w:rPr>
          <w:color w:val="231F20"/>
          <w:spacing w:val="-35"/>
          <w:w w:val="105"/>
          <w:sz w:val="21"/>
        </w:rPr>
        <w:t> </w:t>
      </w:r>
      <w:r>
        <w:rPr>
          <w:color w:val="231F20"/>
          <w:w w:val="105"/>
          <w:sz w:val="21"/>
        </w:rPr>
        <w:t>nuevos</w:t>
      </w:r>
      <w:r>
        <w:rPr>
          <w:color w:val="231F20"/>
          <w:spacing w:val="-35"/>
          <w:w w:val="105"/>
          <w:sz w:val="21"/>
        </w:rPr>
        <w:t> </w:t>
      </w:r>
      <w:r>
        <w:rPr>
          <w:color w:val="231F20"/>
          <w:w w:val="105"/>
          <w:sz w:val="21"/>
        </w:rPr>
        <w:t>productos</w:t>
      </w:r>
      <w:r>
        <w:rPr>
          <w:color w:val="231F20"/>
          <w:spacing w:val="-35"/>
          <w:w w:val="105"/>
          <w:sz w:val="21"/>
        </w:rPr>
        <w:t> </w:t>
      </w:r>
      <w:r>
        <w:rPr>
          <w:color w:val="231F20"/>
          <w:w w:val="105"/>
          <w:sz w:val="21"/>
        </w:rPr>
        <w:t>y</w:t>
      </w:r>
      <w:r>
        <w:rPr>
          <w:color w:val="231F20"/>
          <w:spacing w:val="-35"/>
          <w:w w:val="105"/>
          <w:sz w:val="21"/>
        </w:rPr>
        <w:t> </w:t>
      </w:r>
      <w:r>
        <w:rPr>
          <w:color w:val="231F20"/>
          <w:w w:val="105"/>
          <w:sz w:val="21"/>
        </w:rPr>
        <w:t>servicios</w:t>
      </w:r>
      <w:r>
        <w:rPr>
          <w:color w:val="231F20"/>
          <w:spacing w:val="-35"/>
          <w:w w:val="105"/>
          <w:sz w:val="21"/>
        </w:rPr>
        <w:t> </w:t>
      </w:r>
      <w:r>
        <w:rPr>
          <w:color w:val="231F20"/>
          <w:w w:val="105"/>
          <w:sz w:val="21"/>
        </w:rPr>
        <w:t>que</w:t>
      </w:r>
      <w:r>
        <w:rPr>
          <w:color w:val="231F20"/>
          <w:spacing w:val="-35"/>
          <w:w w:val="105"/>
          <w:sz w:val="21"/>
        </w:rPr>
        <w:t> </w:t>
      </w:r>
      <w:r>
        <w:rPr>
          <w:color w:val="231F20"/>
          <w:w w:val="105"/>
          <w:sz w:val="21"/>
        </w:rPr>
        <w:t>satisfaga</w:t>
      </w:r>
      <w:r>
        <w:rPr>
          <w:color w:val="231F20"/>
          <w:spacing w:val="-35"/>
          <w:w w:val="105"/>
          <w:sz w:val="21"/>
        </w:rPr>
        <w:t> </w:t>
      </w:r>
      <w:r>
        <w:rPr>
          <w:color w:val="231F20"/>
          <w:w w:val="105"/>
          <w:sz w:val="21"/>
        </w:rPr>
        <w:t>las necesidades del cliente, ya sea porque mejora la calidad</w:t>
      </w:r>
      <w:r>
        <w:rPr>
          <w:color w:val="231F20"/>
          <w:spacing w:val="-22"/>
          <w:w w:val="105"/>
          <w:sz w:val="21"/>
        </w:rPr>
        <w:t> </w:t>
      </w:r>
      <w:r>
        <w:rPr>
          <w:color w:val="231F20"/>
          <w:w w:val="105"/>
          <w:sz w:val="21"/>
        </w:rPr>
        <w:t>o porque</w:t>
      </w:r>
      <w:r>
        <w:rPr>
          <w:color w:val="231F20"/>
          <w:spacing w:val="-18"/>
          <w:w w:val="105"/>
          <w:sz w:val="21"/>
        </w:rPr>
        <w:t> </w:t>
      </w:r>
      <w:r>
        <w:rPr>
          <w:color w:val="231F20"/>
          <w:w w:val="105"/>
          <w:sz w:val="21"/>
        </w:rPr>
        <w:t>reduce</w:t>
      </w:r>
      <w:r>
        <w:rPr>
          <w:color w:val="231F20"/>
          <w:spacing w:val="-18"/>
          <w:w w:val="105"/>
          <w:sz w:val="21"/>
        </w:rPr>
        <w:t> </w:t>
      </w:r>
      <w:r>
        <w:rPr>
          <w:color w:val="231F20"/>
          <w:w w:val="105"/>
          <w:sz w:val="21"/>
        </w:rPr>
        <w:t>los</w:t>
      </w:r>
      <w:r>
        <w:rPr>
          <w:color w:val="231F20"/>
          <w:spacing w:val="-18"/>
          <w:w w:val="105"/>
          <w:sz w:val="21"/>
        </w:rPr>
        <w:t> </w:t>
      </w:r>
      <w:r>
        <w:rPr>
          <w:color w:val="231F20"/>
          <w:w w:val="105"/>
          <w:sz w:val="21"/>
        </w:rPr>
        <w:t>costos.</w:t>
      </w:r>
      <w:r>
        <w:rPr>
          <w:color w:val="231F20"/>
          <w:spacing w:val="-23"/>
          <w:w w:val="105"/>
          <w:sz w:val="21"/>
        </w:rPr>
        <w:t> </w:t>
      </w:r>
      <w:r>
        <w:rPr>
          <w:color w:val="231F20"/>
          <w:w w:val="105"/>
          <w:sz w:val="21"/>
        </w:rPr>
        <w:t>Con</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innovación</w:t>
      </w:r>
      <w:r>
        <w:rPr>
          <w:color w:val="231F20"/>
          <w:spacing w:val="-18"/>
          <w:w w:val="105"/>
          <w:sz w:val="21"/>
        </w:rPr>
        <w:t> </w:t>
      </w:r>
      <w:r>
        <w:rPr>
          <w:color w:val="231F20"/>
          <w:w w:val="105"/>
          <w:sz w:val="21"/>
        </w:rPr>
        <w:t>empresarial</w:t>
      </w:r>
      <w:r>
        <w:rPr>
          <w:color w:val="231F20"/>
          <w:spacing w:val="-18"/>
          <w:w w:val="105"/>
          <w:sz w:val="21"/>
        </w:rPr>
        <w:t> </w:t>
      </w:r>
      <w:r>
        <w:rPr>
          <w:color w:val="231F20"/>
          <w:w w:val="105"/>
          <w:sz w:val="21"/>
        </w:rPr>
        <w:t>se llega</w:t>
      </w:r>
      <w:r>
        <w:rPr>
          <w:color w:val="231F20"/>
          <w:spacing w:val="-16"/>
          <w:w w:val="105"/>
          <w:sz w:val="21"/>
        </w:rPr>
        <w:t> </w:t>
      </w:r>
      <w:r>
        <w:rPr>
          <w:color w:val="231F20"/>
          <w:w w:val="105"/>
          <w:sz w:val="21"/>
        </w:rPr>
        <w:t>a</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diferenciación</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productos,</w:t>
      </w:r>
      <w:r>
        <w:rPr>
          <w:color w:val="231F20"/>
          <w:spacing w:val="-23"/>
          <w:w w:val="105"/>
          <w:sz w:val="21"/>
        </w:rPr>
        <w:t> </w:t>
      </w:r>
      <w:r>
        <w:rPr>
          <w:color w:val="231F20"/>
          <w:w w:val="105"/>
          <w:sz w:val="21"/>
        </w:rPr>
        <w:t>el</w:t>
      </w:r>
      <w:r>
        <w:rPr>
          <w:color w:val="231F20"/>
          <w:spacing w:val="-16"/>
          <w:w w:val="105"/>
          <w:sz w:val="21"/>
        </w:rPr>
        <w:t> </w:t>
      </w:r>
      <w:r>
        <w:rPr>
          <w:color w:val="231F20"/>
          <w:w w:val="105"/>
          <w:sz w:val="21"/>
        </w:rPr>
        <w:t>establecimiento</w:t>
      </w:r>
      <w:r>
        <w:rPr>
          <w:color w:val="231F20"/>
          <w:spacing w:val="-16"/>
          <w:w w:val="105"/>
          <w:sz w:val="21"/>
        </w:rPr>
        <w:t> </w:t>
      </w:r>
      <w:r>
        <w:rPr>
          <w:color w:val="231F20"/>
          <w:w w:val="105"/>
          <w:sz w:val="21"/>
        </w:rPr>
        <w:t>de un precio mejor y la reducción de su estructura de costos por debajo de sus</w:t>
      </w:r>
      <w:r>
        <w:rPr>
          <w:color w:val="231F20"/>
          <w:spacing w:val="-17"/>
          <w:w w:val="105"/>
          <w:sz w:val="21"/>
        </w:rPr>
        <w:t> </w:t>
      </w:r>
      <w:r>
        <w:rPr>
          <w:color w:val="231F20"/>
          <w:w w:val="105"/>
          <w:sz w:val="21"/>
        </w:rPr>
        <w:t>competidores.</w:t>
      </w:r>
    </w:p>
    <w:p>
      <w:pPr>
        <w:pStyle w:val="BodyText"/>
        <w:rPr>
          <w:sz w:val="20"/>
        </w:rPr>
      </w:pPr>
    </w:p>
    <w:p>
      <w:pPr>
        <w:pStyle w:val="BodyText"/>
        <w:spacing w:before="4"/>
        <w:rPr>
          <w:sz w:val="17"/>
        </w:rPr>
      </w:pPr>
    </w:p>
    <w:p>
      <w:pPr>
        <w:pStyle w:val="BodyText"/>
        <w:spacing w:line="259" w:lineRule="auto"/>
        <w:ind w:left="117" w:right="123"/>
        <w:jc w:val="both"/>
      </w:pP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marco</w:t>
      </w:r>
      <w:r>
        <w:rPr>
          <w:color w:val="231F20"/>
          <w:spacing w:val="-16"/>
          <w:w w:val="105"/>
        </w:rPr>
        <w:t> </w:t>
      </w:r>
      <w:r>
        <w:rPr>
          <w:color w:val="231F20"/>
          <w:w w:val="105"/>
        </w:rPr>
        <w:t>de</w:t>
      </w:r>
      <w:r>
        <w:rPr>
          <w:color w:val="231F20"/>
          <w:spacing w:val="-16"/>
          <w:w w:val="105"/>
        </w:rPr>
        <w:t> </w:t>
      </w:r>
      <w:r>
        <w:rPr>
          <w:color w:val="231F20"/>
          <w:w w:val="105"/>
        </w:rPr>
        <w:t>lo</w:t>
      </w:r>
      <w:r>
        <w:rPr>
          <w:color w:val="231F20"/>
          <w:spacing w:val="-16"/>
          <w:w w:val="105"/>
        </w:rPr>
        <w:t> </w:t>
      </w:r>
      <w:r>
        <w:rPr>
          <w:color w:val="231F20"/>
          <w:w w:val="105"/>
        </w:rPr>
        <w:t>anterior</w:t>
      </w:r>
      <w:r>
        <w:rPr>
          <w:color w:val="231F20"/>
          <w:spacing w:val="-16"/>
          <w:w w:val="105"/>
        </w:rPr>
        <w:t> </w:t>
      </w:r>
      <w:r>
        <w:rPr>
          <w:color w:val="231F20"/>
          <w:w w:val="105"/>
        </w:rPr>
        <w:t>y</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finalidad</w:t>
      </w:r>
      <w:r>
        <w:rPr>
          <w:color w:val="231F20"/>
          <w:spacing w:val="-16"/>
          <w:w w:val="105"/>
        </w:rPr>
        <w:t> </w:t>
      </w:r>
      <w:r>
        <w:rPr>
          <w:color w:val="231F20"/>
          <w:w w:val="105"/>
        </w:rPr>
        <w:t>de</w:t>
      </w:r>
      <w:r>
        <w:rPr>
          <w:color w:val="231F20"/>
          <w:spacing w:val="-16"/>
          <w:w w:val="105"/>
        </w:rPr>
        <w:t> </w:t>
      </w:r>
      <w:r>
        <w:rPr>
          <w:color w:val="231F20"/>
          <w:w w:val="105"/>
        </w:rPr>
        <w:t>identificar</w:t>
      </w:r>
      <w:r>
        <w:rPr>
          <w:color w:val="231F20"/>
          <w:spacing w:val="-16"/>
          <w:w w:val="105"/>
        </w:rPr>
        <w:t> </w:t>
      </w:r>
      <w:r>
        <w:rPr>
          <w:color w:val="231F20"/>
          <w:w w:val="105"/>
        </w:rPr>
        <w:t>los</w:t>
      </w:r>
      <w:r>
        <w:rPr>
          <w:color w:val="231F20"/>
          <w:spacing w:val="-16"/>
          <w:w w:val="105"/>
        </w:rPr>
        <w:t> </w:t>
      </w:r>
      <w:r>
        <w:rPr>
          <w:color w:val="231F20"/>
          <w:w w:val="105"/>
        </w:rPr>
        <w:t>determinan- tes</w:t>
      </w:r>
      <w:r>
        <w:rPr>
          <w:color w:val="231F20"/>
          <w:spacing w:val="-27"/>
          <w:w w:val="105"/>
        </w:rPr>
        <w:t> </w:t>
      </w:r>
      <w:r>
        <w:rPr>
          <w:color w:val="231F20"/>
          <w:w w:val="105"/>
        </w:rPr>
        <w:t>específicos</w:t>
      </w:r>
      <w:r>
        <w:rPr>
          <w:color w:val="231F20"/>
          <w:spacing w:val="-27"/>
          <w:w w:val="105"/>
        </w:rPr>
        <w:t> </w:t>
      </w:r>
      <w:r>
        <w:rPr>
          <w:color w:val="231F20"/>
          <w:w w:val="105"/>
        </w:rPr>
        <w:t>que</w:t>
      </w:r>
      <w:r>
        <w:rPr>
          <w:color w:val="231F20"/>
          <w:spacing w:val="-27"/>
          <w:w w:val="105"/>
        </w:rPr>
        <w:t> </w:t>
      </w:r>
      <w:r>
        <w:rPr>
          <w:color w:val="231F20"/>
          <w:w w:val="105"/>
        </w:rPr>
        <w:t>pueden</w:t>
      </w:r>
      <w:r>
        <w:rPr>
          <w:color w:val="231F20"/>
          <w:spacing w:val="-27"/>
          <w:w w:val="105"/>
        </w:rPr>
        <w:t> </w:t>
      </w:r>
      <w:r>
        <w:rPr>
          <w:color w:val="231F20"/>
          <w:w w:val="105"/>
        </w:rPr>
        <w:t>conducir</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empresa</w:t>
      </w:r>
      <w:r>
        <w:rPr>
          <w:color w:val="231F20"/>
          <w:spacing w:val="-27"/>
          <w:w w:val="105"/>
        </w:rPr>
        <w:t> </w:t>
      </w:r>
      <w:r>
        <w:rPr>
          <w:color w:val="231F20"/>
          <w:w w:val="105"/>
        </w:rPr>
        <w:t>a</w:t>
      </w:r>
      <w:r>
        <w:rPr>
          <w:color w:val="231F20"/>
          <w:spacing w:val="-27"/>
          <w:w w:val="105"/>
        </w:rPr>
        <w:t> </w:t>
      </w:r>
      <w:r>
        <w:rPr>
          <w:color w:val="231F20"/>
          <w:w w:val="105"/>
        </w:rPr>
        <w:t>sostener</w:t>
      </w:r>
      <w:r>
        <w:rPr>
          <w:color w:val="231F20"/>
          <w:spacing w:val="-27"/>
          <w:w w:val="105"/>
        </w:rPr>
        <w:t> </w:t>
      </w:r>
      <w:r>
        <w:rPr>
          <w:color w:val="231F20"/>
          <w:w w:val="105"/>
        </w:rPr>
        <w:t>una</w:t>
      </w:r>
      <w:r>
        <w:rPr>
          <w:color w:val="231F20"/>
          <w:spacing w:val="-27"/>
          <w:w w:val="105"/>
        </w:rPr>
        <w:t> </w:t>
      </w:r>
      <w:r>
        <w:rPr>
          <w:color w:val="231F20"/>
          <w:w w:val="105"/>
        </w:rPr>
        <w:t>ventaja competitiva, se recurrió a la pesquisa documental. La figura 4 contiene una recopilación construida a partir de la detección de estudios</w:t>
      </w:r>
      <w:r>
        <w:rPr>
          <w:color w:val="231F20"/>
          <w:spacing w:val="-1"/>
          <w:w w:val="105"/>
        </w:rPr>
        <w:t> </w:t>
      </w:r>
      <w:r>
        <w:rPr>
          <w:color w:val="231F20"/>
          <w:w w:val="105"/>
        </w:rPr>
        <w:t>empíri-</w:t>
      </w:r>
    </w:p>
    <w:p>
      <w:pPr>
        <w:spacing w:after="0" w:line="259" w:lineRule="auto"/>
        <w:jc w:val="both"/>
        <w:sectPr>
          <w:pgSz w:w="9640" w:h="13890"/>
          <w:pgMar w:top="0" w:bottom="280" w:left="1300" w:right="1180"/>
        </w:sectPr>
      </w:pPr>
    </w:p>
    <w:p>
      <w:pPr>
        <w:pStyle w:val="BodyText"/>
        <w:spacing w:line="259" w:lineRule="auto" w:before="120"/>
        <w:ind w:left="103" w:right="115"/>
        <w:jc w:val="both"/>
      </w:pPr>
      <w:r>
        <w:rPr>
          <w:color w:val="231F20"/>
          <w:w w:val="105"/>
        </w:rPr>
        <w:t>cos</w:t>
      </w:r>
      <w:r>
        <w:rPr>
          <w:color w:val="231F20"/>
          <w:spacing w:val="-6"/>
          <w:w w:val="105"/>
        </w:rPr>
        <w:t> </w:t>
      </w:r>
      <w:r>
        <w:rPr>
          <w:color w:val="231F20"/>
          <w:w w:val="105"/>
        </w:rPr>
        <w:t>que</w:t>
      </w:r>
      <w:r>
        <w:rPr>
          <w:color w:val="231F20"/>
          <w:spacing w:val="-6"/>
          <w:w w:val="105"/>
        </w:rPr>
        <w:t> </w:t>
      </w:r>
      <w:r>
        <w:rPr>
          <w:color w:val="231F20"/>
          <w:w w:val="105"/>
        </w:rPr>
        <w:t>evidencian</w:t>
      </w:r>
      <w:r>
        <w:rPr>
          <w:color w:val="231F20"/>
          <w:spacing w:val="-6"/>
          <w:w w:val="105"/>
        </w:rPr>
        <w:t> </w:t>
      </w:r>
      <w:r>
        <w:rPr>
          <w:color w:val="231F20"/>
          <w:w w:val="105"/>
        </w:rPr>
        <w:t>determinantes</w:t>
      </w:r>
      <w:r>
        <w:rPr>
          <w:color w:val="231F20"/>
          <w:spacing w:val="-6"/>
          <w:w w:val="105"/>
        </w:rPr>
        <w:t> </w:t>
      </w:r>
      <w:r>
        <w:rPr>
          <w:color w:val="231F20"/>
          <w:w w:val="105"/>
        </w:rPr>
        <w:t>fundamentados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perspectiva</w:t>
      </w:r>
      <w:r>
        <w:rPr>
          <w:color w:val="231F20"/>
          <w:spacing w:val="-6"/>
          <w:w w:val="105"/>
        </w:rPr>
        <w:t> </w:t>
      </w:r>
      <w:r>
        <w:rPr>
          <w:color w:val="231F20"/>
          <w:w w:val="105"/>
        </w:rPr>
        <w:t>de la ventaja competitiva y la TRyC. </w:t>
      </w:r>
      <w:r>
        <w:rPr>
          <w:color w:val="231F20"/>
          <w:spacing w:val="-6"/>
          <w:w w:val="105"/>
        </w:rPr>
        <w:t>Por </w:t>
      </w:r>
      <w:r>
        <w:rPr>
          <w:color w:val="231F20"/>
          <w:w w:val="105"/>
        </w:rPr>
        <w:t>otra parte, las aportaciones de la OCDE</w:t>
      </w:r>
      <w:r>
        <w:rPr>
          <w:color w:val="231F20"/>
          <w:spacing w:val="-12"/>
          <w:w w:val="105"/>
        </w:rPr>
        <w:t> </w:t>
      </w:r>
      <w:r>
        <w:rPr>
          <w:color w:val="231F20"/>
          <w:w w:val="105"/>
        </w:rPr>
        <w:t>(1996)</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spacing w:val="-3"/>
          <w:w w:val="105"/>
        </w:rPr>
        <w:t>CEPAL</w:t>
      </w:r>
      <w:r>
        <w:rPr>
          <w:color w:val="231F20"/>
          <w:spacing w:val="-16"/>
          <w:w w:val="105"/>
        </w:rPr>
        <w:t> </w:t>
      </w:r>
      <w:r>
        <w:rPr>
          <w:color w:val="231F20"/>
          <w:w w:val="105"/>
        </w:rPr>
        <w:t>(2005)</w:t>
      </w:r>
      <w:r>
        <w:rPr>
          <w:color w:val="231F20"/>
          <w:spacing w:val="-12"/>
          <w:w w:val="105"/>
        </w:rPr>
        <w:t> </w:t>
      </w:r>
      <w:r>
        <w:rPr>
          <w:color w:val="231F20"/>
          <w:w w:val="105"/>
        </w:rPr>
        <w:t>(figura</w:t>
      </w:r>
      <w:r>
        <w:rPr>
          <w:color w:val="231F20"/>
          <w:spacing w:val="-12"/>
          <w:w w:val="105"/>
        </w:rPr>
        <w:t> </w:t>
      </w:r>
      <w:r>
        <w:rPr>
          <w:color w:val="231F20"/>
          <w:w w:val="105"/>
        </w:rPr>
        <w:t>5)</w:t>
      </w:r>
      <w:r>
        <w:rPr>
          <w:color w:val="231F20"/>
          <w:spacing w:val="-12"/>
          <w:w w:val="105"/>
        </w:rPr>
        <w:t> </w:t>
      </w:r>
      <w:r>
        <w:rPr>
          <w:color w:val="231F20"/>
          <w:w w:val="105"/>
        </w:rPr>
        <w:t>incluyen</w:t>
      </w:r>
      <w:r>
        <w:rPr>
          <w:color w:val="231F20"/>
          <w:spacing w:val="-12"/>
          <w:w w:val="105"/>
        </w:rPr>
        <w:t> </w:t>
      </w:r>
      <w:r>
        <w:rPr>
          <w:color w:val="231F20"/>
          <w:w w:val="105"/>
        </w:rPr>
        <w:t>determinantes</w:t>
      </w:r>
      <w:r>
        <w:rPr>
          <w:color w:val="231F20"/>
          <w:spacing w:val="-12"/>
          <w:w w:val="105"/>
        </w:rPr>
        <w:t> </w:t>
      </w:r>
      <w:r>
        <w:rPr>
          <w:color w:val="231F20"/>
          <w:w w:val="105"/>
        </w:rPr>
        <w:t>com- puestos de diversos procesos integrados y coordinados por un equipo directivo,</w:t>
      </w:r>
      <w:r>
        <w:rPr>
          <w:color w:val="231F20"/>
          <w:spacing w:val="-18"/>
          <w:w w:val="105"/>
        </w:rPr>
        <w:t> </w:t>
      </w:r>
      <w:r>
        <w:rPr>
          <w:color w:val="231F20"/>
          <w:w w:val="105"/>
        </w:rPr>
        <w:t>cuyo</w:t>
      </w:r>
      <w:r>
        <w:rPr>
          <w:color w:val="231F20"/>
          <w:spacing w:val="-12"/>
          <w:w w:val="105"/>
        </w:rPr>
        <w:t> </w:t>
      </w:r>
      <w:r>
        <w:rPr>
          <w:color w:val="231F20"/>
          <w:w w:val="105"/>
        </w:rPr>
        <w:t>propósito</w:t>
      </w:r>
      <w:r>
        <w:rPr>
          <w:color w:val="231F20"/>
          <w:spacing w:val="-12"/>
          <w:w w:val="105"/>
        </w:rPr>
        <w:t> </w:t>
      </w:r>
      <w:r>
        <w:rPr>
          <w:color w:val="231F20"/>
          <w:w w:val="105"/>
        </w:rPr>
        <w:t>es</w:t>
      </w:r>
      <w:r>
        <w:rPr>
          <w:color w:val="231F20"/>
          <w:spacing w:val="-12"/>
          <w:w w:val="105"/>
        </w:rPr>
        <w:t> </w:t>
      </w:r>
      <w:r>
        <w:rPr>
          <w:color w:val="231F20"/>
          <w:w w:val="105"/>
        </w:rPr>
        <w:t>alcanzar</w:t>
      </w:r>
      <w:r>
        <w:rPr>
          <w:color w:val="231F20"/>
          <w:spacing w:val="-12"/>
          <w:w w:val="105"/>
        </w:rPr>
        <w:t> </w:t>
      </w:r>
      <w:r>
        <w:rPr>
          <w:color w:val="231F20"/>
          <w:w w:val="105"/>
        </w:rPr>
        <w:t>como</w:t>
      </w:r>
      <w:r>
        <w:rPr>
          <w:color w:val="231F20"/>
          <w:spacing w:val="-12"/>
          <w:w w:val="105"/>
        </w:rPr>
        <w:t> </w:t>
      </w:r>
      <w:r>
        <w:rPr>
          <w:color w:val="231F20"/>
          <w:w w:val="105"/>
        </w:rPr>
        <w:t>meta</w:t>
      </w:r>
      <w:r>
        <w:rPr>
          <w:color w:val="231F20"/>
          <w:spacing w:val="-12"/>
          <w:w w:val="105"/>
        </w:rPr>
        <w:t> </w:t>
      </w:r>
      <w:r>
        <w:rPr>
          <w:color w:val="231F20"/>
          <w:w w:val="105"/>
        </w:rPr>
        <w:t>específica</w:t>
      </w:r>
      <w:r>
        <w:rPr>
          <w:color w:val="231F20"/>
          <w:spacing w:val="-12"/>
          <w:w w:val="105"/>
        </w:rPr>
        <w:t> </w:t>
      </w:r>
      <w:r>
        <w:rPr>
          <w:color w:val="231F20"/>
          <w:w w:val="105"/>
        </w:rPr>
        <w:t>la</w:t>
      </w:r>
      <w:r>
        <w:rPr>
          <w:color w:val="231F20"/>
          <w:spacing w:val="-12"/>
          <w:w w:val="105"/>
        </w:rPr>
        <w:t> </w:t>
      </w:r>
      <w:r>
        <w:rPr>
          <w:color w:val="231F20"/>
          <w:w w:val="105"/>
        </w:rPr>
        <w:t>competiti- vidad</w:t>
      </w:r>
      <w:r>
        <w:rPr>
          <w:color w:val="231F20"/>
          <w:spacing w:val="-31"/>
          <w:w w:val="105"/>
        </w:rPr>
        <w:t> </w:t>
      </w:r>
      <w:r>
        <w:rPr>
          <w:color w:val="231F20"/>
          <w:w w:val="105"/>
        </w:rPr>
        <w:t>sostenida.</w:t>
      </w:r>
    </w:p>
    <w:p>
      <w:pPr>
        <w:pStyle w:val="BodyText"/>
        <w:spacing w:line="259" w:lineRule="auto"/>
        <w:ind w:left="103" w:right="114" w:firstLine="567"/>
        <w:jc w:val="both"/>
      </w:pPr>
      <w:r>
        <w:rPr>
          <w:color w:val="231F20"/>
          <w:spacing w:val="-3"/>
          <w:w w:val="105"/>
        </w:rPr>
        <w:t>Además</w:t>
      </w:r>
      <w:r>
        <w:rPr>
          <w:color w:val="231F20"/>
          <w:spacing w:val="-18"/>
          <w:w w:val="105"/>
        </w:rPr>
        <w:t> </w:t>
      </w:r>
      <w:r>
        <w:rPr>
          <w:color w:val="231F20"/>
          <w:w w:val="105"/>
        </w:rPr>
        <w:t>de</w:t>
      </w:r>
      <w:r>
        <w:rPr>
          <w:color w:val="231F20"/>
          <w:spacing w:val="-18"/>
          <w:w w:val="105"/>
        </w:rPr>
        <w:t> </w:t>
      </w:r>
      <w:r>
        <w:rPr>
          <w:color w:val="231F20"/>
          <w:w w:val="105"/>
        </w:rPr>
        <w:t>lo</w:t>
      </w:r>
      <w:r>
        <w:rPr>
          <w:color w:val="231F20"/>
          <w:spacing w:val="-18"/>
          <w:w w:val="105"/>
        </w:rPr>
        <w:t> </w:t>
      </w:r>
      <w:r>
        <w:rPr>
          <w:color w:val="231F20"/>
          <w:spacing w:val="-4"/>
          <w:w w:val="105"/>
        </w:rPr>
        <w:t>anterior,</w:t>
      </w:r>
      <w:r>
        <w:rPr>
          <w:color w:val="231F20"/>
          <w:spacing w:val="-25"/>
          <w:w w:val="105"/>
        </w:rPr>
        <w:t> </w:t>
      </w:r>
      <w:r>
        <w:rPr>
          <w:color w:val="231F20"/>
          <w:w w:val="105"/>
        </w:rPr>
        <w:t>la</w:t>
      </w:r>
      <w:r>
        <w:rPr>
          <w:color w:val="231F20"/>
          <w:spacing w:val="-18"/>
          <w:w w:val="105"/>
        </w:rPr>
        <w:t> </w:t>
      </w:r>
      <w:r>
        <w:rPr>
          <w:color w:val="231F20"/>
          <w:spacing w:val="-3"/>
          <w:w w:val="105"/>
        </w:rPr>
        <w:t>figura</w:t>
      </w:r>
      <w:r>
        <w:rPr>
          <w:color w:val="231F20"/>
          <w:spacing w:val="-18"/>
          <w:w w:val="105"/>
        </w:rPr>
        <w:t> </w:t>
      </w:r>
      <w:r>
        <w:rPr>
          <w:color w:val="231F20"/>
          <w:w w:val="105"/>
        </w:rPr>
        <w:t>6</w:t>
      </w:r>
      <w:r>
        <w:rPr>
          <w:color w:val="231F20"/>
          <w:spacing w:val="-18"/>
          <w:w w:val="105"/>
        </w:rPr>
        <w:t> </w:t>
      </w:r>
      <w:r>
        <w:rPr>
          <w:color w:val="231F20"/>
          <w:spacing w:val="-3"/>
          <w:w w:val="105"/>
        </w:rPr>
        <w:t>incluye</w:t>
      </w:r>
      <w:r>
        <w:rPr>
          <w:color w:val="231F20"/>
          <w:spacing w:val="-18"/>
          <w:w w:val="105"/>
        </w:rPr>
        <w:t> </w:t>
      </w:r>
      <w:r>
        <w:rPr>
          <w:color w:val="231F20"/>
          <w:w w:val="105"/>
        </w:rPr>
        <w:t>los</w:t>
      </w:r>
      <w:r>
        <w:rPr>
          <w:color w:val="231F20"/>
          <w:spacing w:val="-18"/>
          <w:w w:val="105"/>
        </w:rPr>
        <w:t> </w:t>
      </w:r>
      <w:r>
        <w:rPr>
          <w:color w:val="231F20"/>
          <w:spacing w:val="-3"/>
          <w:w w:val="105"/>
        </w:rPr>
        <w:t>determinantes</w:t>
      </w:r>
      <w:r>
        <w:rPr>
          <w:color w:val="231F20"/>
          <w:spacing w:val="-18"/>
          <w:w w:val="105"/>
        </w:rPr>
        <w:t> </w:t>
      </w:r>
      <w:r>
        <w:rPr>
          <w:color w:val="231F20"/>
          <w:w w:val="105"/>
        </w:rPr>
        <w:t>de</w:t>
      </w:r>
      <w:r>
        <w:rPr>
          <w:color w:val="231F20"/>
          <w:spacing w:val="-18"/>
          <w:w w:val="105"/>
        </w:rPr>
        <w:t> </w:t>
      </w:r>
      <w:r>
        <w:rPr>
          <w:color w:val="231F20"/>
          <w:spacing w:val="-3"/>
          <w:w w:val="105"/>
        </w:rPr>
        <w:t>com- petitividad</w:t>
      </w:r>
      <w:r>
        <w:rPr>
          <w:color w:val="231F20"/>
          <w:spacing w:val="-18"/>
          <w:w w:val="105"/>
        </w:rPr>
        <w:t> </w:t>
      </w:r>
      <w:r>
        <w:rPr>
          <w:color w:val="231F20"/>
          <w:spacing w:val="-3"/>
          <w:w w:val="105"/>
        </w:rPr>
        <w:t>sugeridos</w:t>
      </w:r>
      <w:r>
        <w:rPr>
          <w:color w:val="231F20"/>
          <w:spacing w:val="-18"/>
          <w:w w:val="105"/>
        </w:rPr>
        <w:t> </w:t>
      </w:r>
      <w:r>
        <w:rPr>
          <w:color w:val="231F20"/>
          <w:w w:val="105"/>
        </w:rPr>
        <w:t>por</w:t>
      </w:r>
      <w:r>
        <w:rPr>
          <w:color w:val="231F20"/>
          <w:spacing w:val="-18"/>
          <w:w w:val="105"/>
        </w:rPr>
        <w:t> </w:t>
      </w:r>
      <w:r>
        <w:rPr>
          <w:color w:val="231F20"/>
          <w:spacing w:val="-6"/>
          <w:w w:val="105"/>
        </w:rPr>
        <w:t>Porter</w:t>
      </w:r>
      <w:r>
        <w:rPr>
          <w:color w:val="231F20"/>
          <w:spacing w:val="-18"/>
          <w:w w:val="105"/>
        </w:rPr>
        <w:t> </w:t>
      </w:r>
      <w:r>
        <w:rPr>
          <w:color w:val="231F20"/>
          <w:spacing w:val="-3"/>
          <w:w w:val="105"/>
        </w:rPr>
        <w:t>(2002),</w:t>
      </w:r>
      <w:r>
        <w:rPr>
          <w:color w:val="231F20"/>
          <w:spacing w:val="-25"/>
          <w:w w:val="105"/>
        </w:rPr>
        <w:t> </w:t>
      </w:r>
      <w:r>
        <w:rPr>
          <w:color w:val="231F20"/>
          <w:spacing w:val="-3"/>
          <w:w w:val="105"/>
        </w:rPr>
        <w:t>pionero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spacing w:val="-3"/>
          <w:w w:val="105"/>
        </w:rPr>
        <w:t>tema,</w:t>
      </w:r>
      <w:r>
        <w:rPr>
          <w:color w:val="231F20"/>
          <w:spacing w:val="-25"/>
          <w:w w:val="105"/>
        </w:rPr>
        <w:t> </w:t>
      </w:r>
      <w:r>
        <w:rPr>
          <w:color w:val="231F20"/>
          <w:spacing w:val="-3"/>
          <w:w w:val="105"/>
        </w:rPr>
        <w:t>quien</w:t>
      </w:r>
      <w:r>
        <w:rPr>
          <w:color w:val="231F20"/>
          <w:spacing w:val="-18"/>
          <w:w w:val="105"/>
        </w:rPr>
        <w:t> </w:t>
      </w:r>
      <w:r>
        <w:rPr>
          <w:color w:val="231F20"/>
          <w:w w:val="105"/>
        </w:rPr>
        <w:t>los</w:t>
      </w:r>
      <w:r>
        <w:rPr>
          <w:color w:val="231F20"/>
          <w:spacing w:val="-18"/>
          <w:w w:val="105"/>
        </w:rPr>
        <w:t> </w:t>
      </w:r>
      <w:r>
        <w:rPr>
          <w:color w:val="231F20"/>
          <w:spacing w:val="-3"/>
          <w:w w:val="105"/>
        </w:rPr>
        <w:t>iden- tifica</w:t>
      </w:r>
      <w:r>
        <w:rPr>
          <w:color w:val="231F20"/>
          <w:spacing w:val="-25"/>
          <w:w w:val="105"/>
        </w:rPr>
        <w:t> </w:t>
      </w:r>
      <w:r>
        <w:rPr>
          <w:color w:val="231F20"/>
          <w:w w:val="105"/>
        </w:rPr>
        <w:t>por</w:t>
      </w:r>
      <w:r>
        <w:rPr>
          <w:color w:val="231F20"/>
          <w:spacing w:val="-25"/>
          <w:w w:val="105"/>
        </w:rPr>
        <w:t> </w:t>
      </w:r>
      <w:r>
        <w:rPr>
          <w:color w:val="231F20"/>
          <w:w w:val="105"/>
        </w:rPr>
        <w:t>las</w:t>
      </w:r>
      <w:r>
        <w:rPr>
          <w:color w:val="231F20"/>
          <w:spacing w:val="-25"/>
          <w:w w:val="105"/>
        </w:rPr>
        <w:t> </w:t>
      </w:r>
      <w:r>
        <w:rPr>
          <w:color w:val="231F20"/>
          <w:spacing w:val="-3"/>
          <w:w w:val="105"/>
        </w:rPr>
        <w:t>ganancias</w:t>
      </w:r>
      <w:r>
        <w:rPr>
          <w:color w:val="231F20"/>
          <w:spacing w:val="-25"/>
          <w:w w:val="105"/>
        </w:rPr>
        <w:t> </w:t>
      </w:r>
      <w:r>
        <w:rPr>
          <w:color w:val="231F20"/>
          <w:w w:val="105"/>
        </w:rPr>
        <w:t>en</w:t>
      </w:r>
      <w:r>
        <w:rPr>
          <w:color w:val="231F20"/>
          <w:spacing w:val="-25"/>
          <w:w w:val="105"/>
        </w:rPr>
        <w:t> </w:t>
      </w:r>
      <w:r>
        <w:rPr>
          <w:color w:val="231F20"/>
          <w:spacing w:val="-3"/>
          <w:w w:val="105"/>
        </w:rPr>
        <w:t>empresas</w:t>
      </w:r>
      <w:r>
        <w:rPr>
          <w:color w:val="231F20"/>
          <w:spacing w:val="-25"/>
          <w:w w:val="105"/>
        </w:rPr>
        <w:t> </w:t>
      </w:r>
      <w:r>
        <w:rPr>
          <w:color w:val="231F20"/>
          <w:w w:val="105"/>
        </w:rPr>
        <w:t>de</w:t>
      </w:r>
      <w:r>
        <w:rPr>
          <w:color w:val="231F20"/>
          <w:spacing w:val="-25"/>
          <w:w w:val="105"/>
        </w:rPr>
        <w:t> </w:t>
      </w:r>
      <w:r>
        <w:rPr>
          <w:color w:val="231F20"/>
          <w:spacing w:val="-3"/>
          <w:w w:val="105"/>
        </w:rPr>
        <w:t>acuerdo</w:t>
      </w:r>
      <w:r>
        <w:rPr>
          <w:color w:val="231F20"/>
          <w:spacing w:val="-25"/>
          <w:w w:val="105"/>
        </w:rPr>
        <w:t> </w:t>
      </w:r>
      <w:r>
        <w:rPr>
          <w:color w:val="231F20"/>
          <w:w w:val="105"/>
        </w:rPr>
        <w:t>a</w:t>
      </w:r>
      <w:r>
        <w:rPr>
          <w:color w:val="231F20"/>
          <w:spacing w:val="-25"/>
          <w:w w:val="105"/>
        </w:rPr>
        <w:t> </w:t>
      </w:r>
      <w:r>
        <w:rPr>
          <w:color w:val="231F20"/>
          <w:spacing w:val="-3"/>
          <w:w w:val="105"/>
        </w:rPr>
        <w:t>tres</w:t>
      </w:r>
      <w:r>
        <w:rPr>
          <w:color w:val="231F20"/>
          <w:spacing w:val="-25"/>
          <w:w w:val="105"/>
        </w:rPr>
        <w:t> </w:t>
      </w:r>
      <w:r>
        <w:rPr>
          <w:color w:val="231F20"/>
          <w:spacing w:val="-3"/>
          <w:w w:val="105"/>
        </w:rPr>
        <w:t>niveles</w:t>
      </w:r>
      <w:r>
        <w:rPr>
          <w:color w:val="231F20"/>
          <w:spacing w:val="-25"/>
          <w:w w:val="105"/>
        </w:rPr>
        <w:t> </w:t>
      </w:r>
      <w:r>
        <w:rPr>
          <w:color w:val="231F20"/>
          <w:w w:val="105"/>
        </w:rPr>
        <w:t>de</w:t>
      </w:r>
      <w:r>
        <w:rPr>
          <w:color w:val="231F20"/>
          <w:spacing w:val="-25"/>
          <w:w w:val="105"/>
        </w:rPr>
        <w:t> </w:t>
      </w:r>
      <w:r>
        <w:rPr>
          <w:color w:val="231F20"/>
          <w:spacing w:val="-3"/>
          <w:w w:val="105"/>
        </w:rPr>
        <w:t>conomía país:</w:t>
      </w:r>
      <w:r>
        <w:rPr>
          <w:color w:val="231F20"/>
          <w:spacing w:val="-26"/>
          <w:w w:val="105"/>
        </w:rPr>
        <w:t> </w:t>
      </w:r>
      <w:r>
        <w:rPr>
          <w:color w:val="231F20"/>
          <w:w w:val="105"/>
        </w:rPr>
        <w:t>con</w:t>
      </w:r>
      <w:r>
        <w:rPr>
          <w:color w:val="231F20"/>
          <w:spacing w:val="-26"/>
          <w:w w:val="105"/>
        </w:rPr>
        <w:t> </w:t>
      </w:r>
      <w:r>
        <w:rPr>
          <w:color w:val="231F20"/>
          <w:spacing w:val="-3"/>
          <w:w w:val="105"/>
        </w:rPr>
        <w:t>ingresos</w:t>
      </w:r>
      <w:r>
        <w:rPr>
          <w:color w:val="231F20"/>
          <w:spacing w:val="-26"/>
          <w:w w:val="105"/>
        </w:rPr>
        <w:t> </w:t>
      </w:r>
      <w:r>
        <w:rPr>
          <w:color w:val="231F20"/>
          <w:spacing w:val="-3"/>
          <w:w w:val="105"/>
        </w:rPr>
        <w:t>bajos,</w:t>
      </w:r>
      <w:r>
        <w:rPr>
          <w:color w:val="231F20"/>
          <w:spacing w:val="-30"/>
          <w:w w:val="105"/>
        </w:rPr>
        <w:t> </w:t>
      </w:r>
      <w:r>
        <w:rPr>
          <w:color w:val="231F20"/>
          <w:w w:val="105"/>
        </w:rPr>
        <w:t>con</w:t>
      </w:r>
      <w:r>
        <w:rPr>
          <w:color w:val="231F20"/>
          <w:spacing w:val="-26"/>
          <w:w w:val="105"/>
        </w:rPr>
        <w:t> </w:t>
      </w:r>
      <w:r>
        <w:rPr>
          <w:color w:val="231F20"/>
          <w:spacing w:val="-3"/>
          <w:w w:val="105"/>
        </w:rPr>
        <w:t>ingresos</w:t>
      </w:r>
      <w:r>
        <w:rPr>
          <w:color w:val="231F20"/>
          <w:spacing w:val="-26"/>
          <w:w w:val="105"/>
        </w:rPr>
        <w:t> </w:t>
      </w:r>
      <w:r>
        <w:rPr>
          <w:color w:val="231F20"/>
          <w:spacing w:val="-3"/>
          <w:w w:val="105"/>
        </w:rPr>
        <w:t>medios</w:t>
      </w:r>
      <w:r>
        <w:rPr>
          <w:color w:val="231F20"/>
          <w:spacing w:val="-26"/>
          <w:w w:val="105"/>
        </w:rPr>
        <w:t> </w:t>
      </w:r>
      <w:r>
        <w:rPr>
          <w:color w:val="231F20"/>
          <w:w w:val="105"/>
        </w:rPr>
        <w:t>y</w:t>
      </w:r>
      <w:r>
        <w:rPr>
          <w:color w:val="231F20"/>
          <w:spacing w:val="-26"/>
          <w:w w:val="105"/>
        </w:rPr>
        <w:t> </w:t>
      </w:r>
      <w:r>
        <w:rPr>
          <w:color w:val="231F20"/>
          <w:w w:val="105"/>
        </w:rPr>
        <w:t>con</w:t>
      </w:r>
      <w:r>
        <w:rPr>
          <w:color w:val="231F20"/>
          <w:spacing w:val="-26"/>
          <w:w w:val="105"/>
        </w:rPr>
        <w:t> </w:t>
      </w:r>
      <w:r>
        <w:rPr>
          <w:color w:val="231F20"/>
          <w:spacing w:val="-3"/>
          <w:w w:val="105"/>
        </w:rPr>
        <w:t>ingresos</w:t>
      </w:r>
      <w:r>
        <w:rPr>
          <w:color w:val="231F20"/>
          <w:spacing w:val="-26"/>
          <w:w w:val="105"/>
        </w:rPr>
        <w:t> </w:t>
      </w:r>
      <w:r>
        <w:rPr>
          <w:color w:val="231F20"/>
          <w:spacing w:val="-4"/>
          <w:w w:val="105"/>
        </w:rPr>
        <w:t>superiores.</w:t>
      </w:r>
    </w:p>
    <w:p>
      <w:pPr>
        <w:pStyle w:val="BodyText"/>
        <w:spacing w:line="259" w:lineRule="auto"/>
        <w:ind w:left="103" w:right="115" w:firstLine="567"/>
        <w:jc w:val="both"/>
      </w:pPr>
      <w:r>
        <w:rPr>
          <w:color w:val="231F20"/>
          <w:w w:val="105"/>
        </w:rPr>
        <w:t>Al cuantificar las menciones de cada determinante, se construye esta agrupación:</w:t>
      </w:r>
    </w:p>
    <w:p>
      <w:pPr>
        <w:pStyle w:val="BodyText"/>
        <w:spacing w:before="6"/>
        <w:rPr>
          <w:sz w:val="22"/>
        </w:rPr>
      </w:pPr>
    </w:p>
    <w:p>
      <w:pPr>
        <w:pStyle w:val="ListParagraph"/>
        <w:numPr>
          <w:ilvl w:val="0"/>
          <w:numId w:val="26"/>
        </w:numPr>
        <w:tabs>
          <w:tab w:pos="1315" w:val="left" w:leader="none"/>
        </w:tabs>
        <w:spacing w:line="259" w:lineRule="auto" w:before="0" w:after="0"/>
        <w:ind w:left="1314" w:right="115" w:hanging="360"/>
        <w:jc w:val="left"/>
        <w:rPr>
          <w:sz w:val="21"/>
        </w:rPr>
      </w:pPr>
      <w:r>
        <w:rPr>
          <w:color w:val="231F20"/>
          <w:w w:val="105"/>
          <w:sz w:val="21"/>
        </w:rPr>
        <w:t>Tecnología,</w:t>
      </w:r>
      <w:r>
        <w:rPr>
          <w:color w:val="231F20"/>
          <w:spacing w:val="-39"/>
          <w:w w:val="105"/>
          <w:sz w:val="21"/>
        </w:rPr>
        <w:t> </w:t>
      </w:r>
      <w:r>
        <w:rPr>
          <w:color w:val="231F20"/>
          <w:w w:val="105"/>
          <w:sz w:val="21"/>
        </w:rPr>
        <w:t>innovación,</w:t>
      </w:r>
      <w:r>
        <w:rPr>
          <w:color w:val="231F20"/>
          <w:spacing w:val="-39"/>
          <w:w w:val="105"/>
          <w:sz w:val="21"/>
        </w:rPr>
        <w:t> </w:t>
      </w:r>
      <w:r>
        <w:rPr>
          <w:color w:val="231F20"/>
          <w:w w:val="105"/>
          <w:sz w:val="21"/>
        </w:rPr>
        <w:t>actividades</w:t>
      </w:r>
      <w:r>
        <w:rPr>
          <w:color w:val="231F20"/>
          <w:spacing w:val="-35"/>
          <w:w w:val="105"/>
          <w:sz w:val="21"/>
        </w:rPr>
        <w:t> </w:t>
      </w:r>
      <w:r>
        <w:rPr>
          <w:color w:val="231F20"/>
          <w:w w:val="105"/>
          <w:sz w:val="21"/>
        </w:rPr>
        <w:t>de</w:t>
      </w:r>
      <w:r>
        <w:rPr>
          <w:color w:val="231F20"/>
          <w:spacing w:val="-35"/>
          <w:w w:val="105"/>
          <w:sz w:val="21"/>
        </w:rPr>
        <w:t> </w:t>
      </w:r>
      <w:r>
        <w:rPr>
          <w:color w:val="231F20"/>
          <w:w w:val="105"/>
          <w:sz w:val="21"/>
        </w:rPr>
        <w:t>investigación</w:t>
      </w:r>
      <w:r>
        <w:rPr>
          <w:color w:val="231F20"/>
          <w:spacing w:val="-35"/>
          <w:w w:val="105"/>
          <w:sz w:val="21"/>
        </w:rPr>
        <w:t> </w:t>
      </w:r>
      <w:r>
        <w:rPr>
          <w:color w:val="231F20"/>
          <w:w w:val="105"/>
          <w:sz w:val="21"/>
        </w:rPr>
        <w:t>y</w:t>
      </w:r>
      <w:r>
        <w:rPr>
          <w:color w:val="231F20"/>
          <w:spacing w:val="-35"/>
          <w:w w:val="105"/>
          <w:sz w:val="21"/>
        </w:rPr>
        <w:t> </w:t>
      </w:r>
      <w:r>
        <w:rPr>
          <w:color w:val="231F20"/>
          <w:w w:val="105"/>
          <w:sz w:val="21"/>
        </w:rPr>
        <w:t>desa- rrollo</w:t>
      </w:r>
      <w:r>
        <w:rPr>
          <w:color w:val="231F20"/>
          <w:spacing w:val="-38"/>
          <w:w w:val="105"/>
          <w:sz w:val="21"/>
        </w:rPr>
        <w:t> </w:t>
      </w:r>
      <w:r>
        <w:rPr>
          <w:color w:val="231F20"/>
          <w:w w:val="105"/>
          <w:sz w:val="21"/>
        </w:rPr>
        <w:t>(IyD)</w:t>
      </w:r>
      <w:r>
        <w:rPr>
          <w:color w:val="231F20"/>
          <w:spacing w:val="-38"/>
          <w:w w:val="105"/>
          <w:sz w:val="21"/>
        </w:rPr>
        <w:t> </w:t>
      </w:r>
      <w:r>
        <w:rPr>
          <w:color w:val="231F20"/>
          <w:w w:val="105"/>
          <w:sz w:val="21"/>
        </w:rPr>
        <w:t>(18%);</w:t>
      </w:r>
    </w:p>
    <w:p>
      <w:pPr>
        <w:pStyle w:val="ListParagraph"/>
        <w:numPr>
          <w:ilvl w:val="0"/>
          <w:numId w:val="26"/>
        </w:numPr>
        <w:tabs>
          <w:tab w:pos="1315" w:val="left" w:leader="none"/>
        </w:tabs>
        <w:spacing w:line="240" w:lineRule="auto" w:before="170" w:after="0"/>
        <w:ind w:left="1314" w:right="0" w:hanging="360"/>
        <w:jc w:val="left"/>
        <w:rPr>
          <w:sz w:val="21"/>
        </w:rPr>
      </w:pPr>
      <w:r>
        <w:rPr>
          <w:color w:val="231F20"/>
          <w:sz w:val="21"/>
        </w:rPr>
        <w:t>Sistemas de administración</w:t>
      </w:r>
      <w:r>
        <w:rPr>
          <w:color w:val="231F20"/>
          <w:spacing w:val="26"/>
          <w:sz w:val="21"/>
        </w:rPr>
        <w:t> </w:t>
      </w:r>
      <w:r>
        <w:rPr>
          <w:color w:val="231F20"/>
          <w:sz w:val="21"/>
        </w:rPr>
        <w:t>(14%);</w:t>
      </w:r>
    </w:p>
    <w:p>
      <w:pPr>
        <w:pStyle w:val="BodyText"/>
        <w:spacing w:before="4"/>
        <w:rPr>
          <w:sz w:val="16"/>
        </w:rPr>
      </w:pPr>
    </w:p>
    <w:p>
      <w:pPr>
        <w:pStyle w:val="ListParagraph"/>
        <w:numPr>
          <w:ilvl w:val="0"/>
          <w:numId w:val="26"/>
        </w:numPr>
        <w:tabs>
          <w:tab w:pos="1315" w:val="left" w:leader="none"/>
        </w:tabs>
        <w:spacing w:line="240" w:lineRule="auto" w:before="0" w:after="0"/>
        <w:ind w:left="1314" w:right="0" w:hanging="360"/>
        <w:jc w:val="left"/>
        <w:rPr>
          <w:sz w:val="21"/>
        </w:rPr>
      </w:pPr>
      <w:r>
        <w:rPr>
          <w:color w:val="231F20"/>
          <w:sz w:val="21"/>
        </w:rPr>
        <w:t>Estrategias y liderazgo</w:t>
      </w:r>
      <w:r>
        <w:rPr>
          <w:color w:val="231F20"/>
          <w:spacing w:val="6"/>
          <w:sz w:val="21"/>
        </w:rPr>
        <w:t> </w:t>
      </w:r>
      <w:r>
        <w:rPr>
          <w:color w:val="231F20"/>
          <w:sz w:val="21"/>
        </w:rPr>
        <w:t>(14%);</w:t>
      </w:r>
    </w:p>
    <w:p>
      <w:pPr>
        <w:pStyle w:val="BodyText"/>
        <w:spacing w:before="4"/>
        <w:rPr>
          <w:sz w:val="16"/>
        </w:rPr>
      </w:pPr>
    </w:p>
    <w:p>
      <w:pPr>
        <w:pStyle w:val="ListParagraph"/>
        <w:numPr>
          <w:ilvl w:val="0"/>
          <w:numId w:val="26"/>
        </w:numPr>
        <w:tabs>
          <w:tab w:pos="1315" w:val="left" w:leader="none"/>
        </w:tabs>
        <w:spacing w:line="240" w:lineRule="auto" w:before="0" w:after="0"/>
        <w:ind w:left="1314" w:right="0" w:hanging="360"/>
        <w:jc w:val="left"/>
        <w:rPr>
          <w:sz w:val="21"/>
        </w:rPr>
      </w:pPr>
      <w:r>
        <w:rPr>
          <w:color w:val="231F20"/>
          <w:w w:val="105"/>
          <w:sz w:val="21"/>
        </w:rPr>
        <w:t>Seguimiento</w:t>
      </w:r>
      <w:r>
        <w:rPr>
          <w:color w:val="231F20"/>
          <w:spacing w:val="-21"/>
          <w:w w:val="105"/>
          <w:sz w:val="21"/>
        </w:rPr>
        <w:t> </w:t>
      </w:r>
      <w:r>
        <w:rPr>
          <w:color w:val="231F20"/>
          <w:w w:val="105"/>
          <w:sz w:val="21"/>
        </w:rPr>
        <w:t>del</w:t>
      </w:r>
      <w:r>
        <w:rPr>
          <w:color w:val="231F20"/>
          <w:spacing w:val="-21"/>
          <w:w w:val="105"/>
          <w:sz w:val="21"/>
        </w:rPr>
        <w:t> </w:t>
      </w:r>
      <w:r>
        <w:rPr>
          <w:color w:val="231F20"/>
          <w:w w:val="105"/>
          <w:sz w:val="21"/>
        </w:rPr>
        <w:t>mercado</w:t>
      </w:r>
      <w:r>
        <w:rPr>
          <w:color w:val="231F20"/>
          <w:spacing w:val="-21"/>
          <w:w w:val="105"/>
          <w:sz w:val="21"/>
        </w:rPr>
        <w:t> </w:t>
      </w:r>
      <w:r>
        <w:rPr>
          <w:color w:val="231F20"/>
          <w:w w:val="105"/>
          <w:sz w:val="21"/>
        </w:rPr>
        <w:t>(13%);</w:t>
      </w:r>
    </w:p>
    <w:p>
      <w:pPr>
        <w:pStyle w:val="BodyText"/>
        <w:spacing w:before="4"/>
        <w:rPr>
          <w:sz w:val="16"/>
        </w:rPr>
      </w:pPr>
    </w:p>
    <w:p>
      <w:pPr>
        <w:pStyle w:val="ListParagraph"/>
        <w:numPr>
          <w:ilvl w:val="0"/>
          <w:numId w:val="26"/>
        </w:numPr>
        <w:tabs>
          <w:tab w:pos="1315" w:val="left" w:leader="none"/>
        </w:tabs>
        <w:spacing w:line="240" w:lineRule="auto" w:before="0" w:after="0"/>
        <w:ind w:left="1314" w:right="0" w:hanging="360"/>
        <w:jc w:val="left"/>
        <w:rPr>
          <w:sz w:val="21"/>
        </w:rPr>
      </w:pPr>
      <w:r>
        <w:rPr>
          <w:color w:val="231F20"/>
          <w:sz w:val="21"/>
        </w:rPr>
        <w:t>Resultados empresariales</w:t>
      </w:r>
      <w:r>
        <w:rPr>
          <w:color w:val="231F20"/>
          <w:spacing w:val="-5"/>
          <w:sz w:val="21"/>
        </w:rPr>
        <w:t> </w:t>
      </w:r>
      <w:r>
        <w:rPr>
          <w:color w:val="231F20"/>
          <w:sz w:val="21"/>
        </w:rPr>
        <w:t>(12%);</w:t>
      </w:r>
    </w:p>
    <w:p>
      <w:pPr>
        <w:pStyle w:val="BodyText"/>
        <w:spacing w:before="4"/>
        <w:rPr>
          <w:sz w:val="16"/>
        </w:rPr>
      </w:pPr>
    </w:p>
    <w:p>
      <w:pPr>
        <w:pStyle w:val="ListParagraph"/>
        <w:numPr>
          <w:ilvl w:val="0"/>
          <w:numId w:val="26"/>
        </w:numPr>
        <w:tabs>
          <w:tab w:pos="1315" w:val="left" w:leader="none"/>
        </w:tabs>
        <w:spacing w:line="240" w:lineRule="auto" w:before="0" w:after="0"/>
        <w:ind w:left="1314" w:right="0" w:hanging="360"/>
        <w:jc w:val="left"/>
        <w:rPr>
          <w:sz w:val="21"/>
        </w:rPr>
      </w:pPr>
      <w:r>
        <w:rPr>
          <w:color w:val="231F20"/>
          <w:w w:val="105"/>
          <w:sz w:val="21"/>
        </w:rPr>
        <w:t>Gestión</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calidad</w:t>
      </w:r>
      <w:r>
        <w:rPr>
          <w:color w:val="231F20"/>
          <w:spacing w:val="-24"/>
          <w:w w:val="105"/>
          <w:sz w:val="21"/>
        </w:rPr>
        <w:t> </w:t>
      </w:r>
      <w:r>
        <w:rPr>
          <w:color w:val="231F20"/>
          <w:w w:val="105"/>
          <w:sz w:val="21"/>
        </w:rPr>
        <w:t>(11%);</w:t>
      </w:r>
    </w:p>
    <w:p>
      <w:pPr>
        <w:pStyle w:val="BodyText"/>
        <w:spacing w:before="4"/>
        <w:rPr>
          <w:sz w:val="16"/>
        </w:rPr>
      </w:pPr>
    </w:p>
    <w:p>
      <w:pPr>
        <w:pStyle w:val="ListParagraph"/>
        <w:numPr>
          <w:ilvl w:val="0"/>
          <w:numId w:val="26"/>
        </w:numPr>
        <w:tabs>
          <w:tab w:pos="1315" w:val="left" w:leader="none"/>
        </w:tabs>
        <w:spacing w:line="259" w:lineRule="auto" w:before="0" w:after="0"/>
        <w:ind w:left="1314" w:right="115" w:hanging="360"/>
        <w:jc w:val="left"/>
        <w:rPr>
          <w:sz w:val="21"/>
        </w:rPr>
      </w:pPr>
      <w:r>
        <w:rPr>
          <w:color w:val="231F20"/>
          <w:sz w:val="21"/>
        </w:rPr>
        <w:t>Diversos (18%) incluyendo procesos, alianzas,vinculación y sistema  de</w:t>
      </w:r>
      <w:r>
        <w:rPr>
          <w:color w:val="231F20"/>
          <w:spacing w:val="6"/>
          <w:sz w:val="21"/>
        </w:rPr>
        <w:t> </w:t>
      </w:r>
      <w:r>
        <w:rPr>
          <w:color w:val="231F20"/>
          <w:sz w:val="21"/>
        </w:rPr>
        <w:t>información.</w:t>
      </w:r>
    </w:p>
    <w:p>
      <w:pPr>
        <w:pStyle w:val="BodyText"/>
        <w:spacing w:line="259" w:lineRule="auto" w:before="170"/>
        <w:ind w:left="103" w:right="115"/>
        <w:jc w:val="both"/>
      </w:pPr>
      <w:r>
        <w:rPr>
          <w:color w:val="231F20"/>
          <w:w w:val="105"/>
        </w:rPr>
        <w:t>A</w:t>
      </w:r>
      <w:r>
        <w:rPr>
          <w:color w:val="231F20"/>
          <w:spacing w:val="-26"/>
          <w:w w:val="105"/>
        </w:rPr>
        <w:t> </w:t>
      </w:r>
      <w:r>
        <w:rPr>
          <w:color w:val="231F20"/>
          <w:w w:val="105"/>
        </w:rPr>
        <w:t>partir</w:t>
      </w:r>
      <w:r>
        <w:rPr>
          <w:color w:val="231F20"/>
          <w:spacing w:val="-23"/>
          <w:w w:val="105"/>
        </w:rPr>
        <w:t> </w:t>
      </w:r>
      <w:r>
        <w:rPr>
          <w:color w:val="231F20"/>
          <w:w w:val="105"/>
        </w:rPr>
        <w:t>de</w:t>
      </w:r>
      <w:r>
        <w:rPr>
          <w:color w:val="231F20"/>
          <w:spacing w:val="-23"/>
          <w:w w:val="105"/>
        </w:rPr>
        <w:t> </w:t>
      </w:r>
      <w:r>
        <w:rPr>
          <w:color w:val="231F20"/>
          <w:w w:val="105"/>
        </w:rPr>
        <w:t>lo</w:t>
      </w:r>
      <w:r>
        <w:rPr>
          <w:color w:val="231F20"/>
          <w:spacing w:val="-23"/>
          <w:w w:val="105"/>
        </w:rPr>
        <w:t> </w:t>
      </w:r>
      <w:r>
        <w:rPr>
          <w:color w:val="231F20"/>
          <w:w w:val="105"/>
        </w:rPr>
        <w:t>anterior,</w:t>
      </w:r>
      <w:r>
        <w:rPr>
          <w:color w:val="231F20"/>
          <w:spacing w:val="-28"/>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figura</w:t>
      </w:r>
      <w:r>
        <w:rPr>
          <w:color w:val="231F20"/>
          <w:spacing w:val="-23"/>
          <w:w w:val="105"/>
        </w:rPr>
        <w:t> </w:t>
      </w:r>
      <w:r>
        <w:rPr>
          <w:color w:val="231F20"/>
          <w:w w:val="105"/>
        </w:rPr>
        <w:t>7</w:t>
      </w:r>
      <w:r>
        <w:rPr>
          <w:color w:val="231F20"/>
          <w:spacing w:val="-23"/>
          <w:w w:val="105"/>
        </w:rPr>
        <w:t> </w:t>
      </w:r>
      <w:r>
        <w:rPr>
          <w:color w:val="231F20"/>
          <w:w w:val="105"/>
        </w:rPr>
        <w:t>se</w:t>
      </w:r>
      <w:r>
        <w:rPr>
          <w:color w:val="231F20"/>
          <w:spacing w:val="-23"/>
          <w:w w:val="105"/>
        </w:rPr>
        <w:t> </w:t>
      </w:r>
      <w:r>
        <w:rPr>
          <w:color w:val="231F20"/>
          <w:w w:val="105"/>
        </w:rPr>
        <w:t>presentan</w:t>
      </w:r>
      <w:r>
        <w:rPr>
          <w:color w:val="231F20"/>
          <w:spacing w:val="-23"/>
          <w:w w:val="105"/>
        </w:rPr>
        <w:t> </w:t>
      </w:r>
      <w:r>
        <w:rPr>
          <w:color w:val="231F20"/>
          <w:w w:val="105"/>
        </w:rPr>
        <w:t>las</w:t>
      </w:r>
      <w:r>
        <w:rPr>
          <w:color w:val="231F20"/>
          <w:spacing w:val="-23"/>
          <w:w w:val="105"/>
        </w:rPr>
        <w:t> </w:t>
      </w:r>
      <w:r>
        <w:rPr>
          <w:color w:val="231F20"/>
          <w:w w:val="105"/>
        </w:rPr>
        <w:t>definiciones</w:t>
      </w:r>
      <w:r>
        <w:rPr>
          <w:color w:val="231F20"/>
          <w:spacing w:val="-23"/>
          <w:w w:val="105"/>
        </w:rPr>
        <w:t> </w:t>
      </w:r>
      <w:r>
        <w:rPr>
          <w:color w:val="231F20"/>
          <w:w w:val="105"/>
        </w:rPr>
        <w:t>concep- tual</w:t>
      </w:r>
      <w:r>
        <w:rPr>
          <w:color w:val="231F20"/>
          <w:spacing w:val="-15"/>
          <w:w w:val="105"/>
        </w:rPr>
        <w:t> </w:t>
      </w:r>
      <w:r>
        <w:rPr>
          <w:color w:val="231F20"/>
          <w:w w:val="105"/>
        </w:rPr>
        <w:t>y</w:t>
      </w:r>
      <w:r>
        <w:rPr>
          <w:color w:val="231F20"/>
          <w:spacing w:val="-15"/>
          <w:w w:val="105"/>
        </w:rPr>
        <w:t> </w:t>
      </w:r>
      <w:r>
        <w:rPr>
          <w:color w:val="231F20"/>
          <w:w w:val="105"/>
        </w:rPr>
        <w:t>operativa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seis</w:t>
      </w:r>
      <w:r>
        <w:rPr>
          <w:color w:val="231F20"/>
          <w:spacing w:val="-15"/>
          <w:w w:val="105"/>
        </w:rPr>
        <w:t> </w:t>
      </w:r>
      <w:r>
        <w:rPr>
          <w:color w:val="231F20"/>
          <w:w w:val="105"/>
        </w:rPr>
        <w:t>determinantes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competitividad</w:t>
      </w:r>
      <w:r>
        <w:rPr>
          <w:color w:val="231F20"/>
          <w:spacing w:val="-15"/>
          <w:w w:val="105"/>
        </w:rPr>
        <w:t> </w:t>
      </w:r>
      <w:r>
        <w:rPr>
          <w:color w:val="231F20"/>
          <w:w w:val="105"/>
        </w:rPr>
        <w:t>empresa- rial</w:t>
      </w:r>
      <w:r>
        <w:rPr>
          <w:color w:val="231F20"/>
          <w:spacing w:val="-9"/>
          <w:w w:val="105"/>
        </w:rPr>
        <w:t> </w:t>
      </w:r>
      <w:r>
        <w:rPr>
          <w:color w:val="231F20"/>
          <w:w w:val="105"/>
        </w:rPr>
        <w:t>desde</w:t>
      </w:r>
      <w:r>
        <w:rPr>
          <w:color w:val="231F20"/>
          <w:spacing w:val="-9"/>
          <w:w w:val="105"/>
        </w:rPr>
        <w:t> </w:t>
      </w:r>
      <w:r>
        <w:rPr>
          <w:color w:val="231F20"/>
          <w:w w:val="105"/>
        </w:rPr>
        <w:t>el</w:t>
      </w:r>
      <w:r>
        <w:rPr>
          <w:color w:val="231F20"/>
          <w:spacing w:val="-9"/>
          <w:w w:val="105"/>
        </w:rPr>
        <w:t> </w:t>
      </w:r>
      <w:r>
        <w:rPr>
          <w:color w:val="231F20"/>
          <w:w w:val="105"/>
        </w:rPr>
        <w:t>enfoque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competitividad</w:t>
      </w:r>
      <w:r>
        <w:rPr>
          <w:color w:val="231F20"/>
          <w:spacing w:val="-9"/>
          <w:w w:val="105"/>
        </w:rPr>
        <w:t> </w:t>
      </w:r>
      <w:r>
        <w:rPr>
          <w:color w:val="231F20"/>
          <w:w w:val="105"/>
        </w:rPr>
        <w:t>sistémica.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53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54</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876" w:val="right" w:leader="none"/>
        </w:tabs>
        <w:spacing w:line="208" w:lineRule="exact" w:before="52"/>
        <w:ind w:left="1480" w:right="0" w:firstLine="0"/>
        <w:jc w:val="left"/>
        <w:rPr>
          <w:sz w:val="20"/>
        </w:rPr>
      </w:pPr>
      <w:r>
        <w:rPr/>
        <w:pict>
          <v:line style="position:absolute;mso-position-horizontal-relative:page;mso-position-vertical-relative:paragraph;z-index:-245512"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55</w:t>
      </w:r>
    </w:p>
    <w:p>
      <w:pPr>
        <w:spacing w:line="187" w:lineRule="exact" w:before="0"/>
        <w:ind w:left="4146" w:right="0" w:firstLine="0"/>
        <w:jc w:val="left"/>
        <w:rPr>
          <w:rFonts w:ascii="Lucida Sans Unicode" w:hAnsi="Lucida Sans Unicode"/>
          <w:sz w:val="14"/>
        </w:rPr>
      </w:pPr>
      <w:r>
        <w:rPr>
          <w:rFonts w:ascii="Lucida Sans Unicode" w:hAnsi="Lucida Sans Unicode"/>
          <w:color w:val="6D6E71"/>
          <w:sz w:val="14"/>
        </w:rPr>
        <w:t>De la competItIvIDaD sIstémIca</w:t>
      </w:r>
    </w:p>
    <w:p>
      <w:pPr>
        <w:spacing w:line="249" w:lineRule="auto" w:before="475"/>
        <w:ind w:left="602" w:right="508" w:hanging="1"/>
        <w:jc w:val="center"/>
        <w:rPr>
          <w:sz w:val="18"/>
        </w:rPr>
      </w:pPr>
      <w:r>
        <w:rPr>
          <w:color w:val="231F20"/>
          <w:w w:val="105"/>
          <w:sz w:val="18"/>
        </w:rPr>
        <w:t>Figura 4. Determinantes de la competitividad empresarial a partir de estudios</w:t>
      </w:r>
      <w:r>
        <w:rPr>
          <w:color w:val="231F20"/>
          <w:spacing w:val="-9"/>
          <w:w w:val="105"/>
          <w:sz w:val="18"/>
        </w:rPr>
        <w:t> </w:t>
      </w:r>
      <w:r>
        <w:rPr>
          <w:color w:val="231F20"/>
          <w:w w:val="105"/>
          <w:sz w:val="18"/>
        </w:rPr>
        <w:t>empíricos</w:t>
      </w:r>
      <w:r>
        <w:rPr>
          <w:color w:val="231F20"/>
          <w:spacing w:val="-9"/>
          <w:w w:val="105"/>
          <w:sz w:val="18"/>
        </w:rPr>
        <w:t> </w:t>
      </w:r>
      <w:r>
        <w:rPr>
          <w:color w:val="231F20"/>
          <w:w w:val="105"/>
          <w:sz w:val="18"/>
        </w:rPr>
        <w:t>fundamentados</w:t>
      </w:r>
      <w:r>
        <w:rPr>
          <w:color w:val="231F20"/>
          <w:spacing w:val="-9"/>
          <w:w w:val="105"/>
          <w:sz w:val="18"/>
        </w:rPr>
        <w:t> </w:t>
      </w:r>
      <w:r>
        <w:rPr>
          <w:color w:val="231F20"/>
          <w:w w:val="105"/>
          <w:sz w:val="18"/>
        </w:rPr>
        <w:t>en</w:t>
      </w:r>
      <w:r>
        <w:rPr>
          <w:color w:val="231F20"/>
          <w:spacing w:val="-9"/>
          <w:w w:val="105"/>
          <w:sz w:val="18"/>
        </w:rPr>
        <w:t> </w:t>
      </w:r>
      <w:r>
        <w:rPr>
          <w:color w:val="231F20"/>
          <w:w w:val="105"/>
          <w:sz w:val="18"/>
        </w:rPr>
        <w:t>la</w:t>
      </w:r>
      <w:r>
        <w:rPr>
          <w:color w:val="231F20"/>
          <w:spacing w:val="-9"/>
          <w:w w:val="105"/>
          <w:sz w:val="18"/>
        </w:rPr>
        <w:t> </w:t>
      </w:r>
      <w:r>
        <w:rPr>
          <w:color w:val="231F20"/>
          <w:w w:val="105"/>
          <w:sz w:val="18"/>
        </w:rPr>
        <w:t>ventaja</w:t>
      </w:r>
      <w:r>
        <w:rPr>
          <w:color w:val="231F20"/>
          <w:spacing w:val="-9"/>
          <w:w w:val="105"/>
          <w:sz w:val="18"/>
        </w:rPr>
        <w:t> </w:t>
      </w:r>
      <w:r>
        <w:rPr>
          <w:color w:val="231F20"/>
          <w:w w:val="105"/>
          <w:sz w:val="18"/>
        </w:rPr>
        <w:t>competitiva</w:t>
      </w:r>
      <w:r>
        <w:rPr>
          <w:color w:val="231F20"/>
          <w:spacing w:val="-9"/>
          <w:w w:val="105"/>
          <w:sz w:val="18"/>
        </w:rPr>
        <w:t> </w:t>
      </w:r>
      <w:r>
        <w:rPr>
          <w:color w:val="231F20"/>
          <w:w w:val="105"/>
          <w:sz w:val="18"/>
        </w:rPr>
        <w:t>y</w:t>
      </w:r>
      <w:r>
        <w:rPr>
          <w:color w:val="231F20"/>
          <w:spacing w:val="-10"/>
          <w:w w:val="105"/>
          <w:sz w:val="18"/>
        </w:rPr>
        <w:t> </w:t>
      </w:r>
      <w:r>
        <w:rPr>
          <w:color w:val="231F20"/>
          <w:w w:val="105"/>
          <w:sz w:val="18"/>
        </w:rPr>
        <w:t>la</w:t>
      </w:r>
      <w:r>
        <w:rPr>
          <w:color w:val="231F20"/>
          <w:spacing w:val="-9"/>
          <w:w w:val="105"/>
          <w:sz w:val="18"/>
        </w:rPr>
        <w:t> </w:t>
      </w:r>
      <w:r>
        <w:rPr>
          <w:color w:val="231F20"/>
          <w:w w:val="105"/>
          <w:sz w:val="18"/>
        </w:rPr>
        <w:t>teoría de</w:t>
      </w:r>
      <w:r>
        <w:rPr>
          <w:color w:val="231F20"/>
          <w:spacing w:val="-26"/>
          <w:w w:val="105"/>
          <w:sz w:val="18"/>
        </w:rPr>
        <w:t> </w:t>
      </w:r>
      <w:r>
        <w:rPr>
          <w:color w:val="231F20"/>
          <w:w w:val="105"/>
          <w:sz w:val="18"/>
        </w:rPr>
        <w:t>recursos</w:t>
      </w:r>
      <w:r>
        <w:rPr>
          <w:color w:val="231F20"/>
          <w:spacing w:val="-26"/>
          <w:w w:val="105"/>
          <w:sz w:val="18"/>
        </w:rPr>
        <w:t> </w:t>
      </w:r>
      <w:r>
        <w:rPr>
          <w:color w:val="231F20"/>
          <w:w w:val="105"/>
          <w:sz w:val="18"/>
        </w:rPr>
        <w:t>y</w:t>
      </w:r>
      <w:r>
        <w:rPr>
          <w:color w:val="231F20"/>
          <w:spacing w:val="-26"/>
          <w:w w:val="105"/>
          <w:sz w:val="18"/>
        </w:rPr>
        <w:t> </w:t>
      </w:r>
      <w:r>
        <w:rPr>
          <w:color w:val="231F20"/>
          <w:w w:val="105"/>
          <w:sz w:val="18"/>
        </w:rPr>
        <w:t>capacidades.</w:t>
      </w:r>
    </w:p>
    <w:p>
      <w:pPr>
        <w:pStyle w:val="BodyText"/>
        <w:spacing w:before="9"/>
        <w:rPr>
          <w:sz w:val="12"/>
        </w:rPr>
      </w:pPr>
    </w:p>
    <w:tbl>
      <w:tblPr>
        <w:tblW w:w="0" w:type="auto"/>
        <w:jc w:val="left"/>
        <w:tblInd w:w="601" w:type="dxa"/>
        <w:tblBorders>
          <w:top w:val="single" w:sz="2" w:space="0" w:color="414042"/>
          <w:left w:val="single" w:sz="2" w:space="0" w:color="414042"/>
          <w:bottom w:val="single" w:sz="2" w:space="0" w:color="414042"/>
          <w:right w:val="single" w:sz="2" w:space="0" w:color="414042"/>
          <w:insideH w:val="single" w:sz="2" w:space="0" w:color="414042"/>
          <w:insideV w:val="single" w:sz="2" w:space="0" w:color="414042"/>
        </w:tblBorders>
        <w:tblLayout w:type="fixed"/>
        <w:tblCellMar>
          <w:top w:w="0" w:type="dxa"/>
          <w:left w:w="0" w:type="dxa"/>
          <w:bottom w:w="0" w:type="dxa"/>
          <w:right w:w="0" w:type="dxa"/>
        </w:tblCellMar>
        <w:tblLook w:val="01E0"/>
      </w:tblPr>
      <w:tblGrid>
        <w:gridCol w:w="2247"/>
        <w:gridCol w:w="329"/>
        <w:gridCol w:w="329"/>
        <w:gridCol w:w="329"/>
        <w:gridCol w:w="329"/>
        <w:gridCol w:w="329"/>
        <w:gridCol w:w="329"/>
        <w:gridCol w:w="329"/>
        <w:gridCol w:w="329"/>
        <w:gridCol w:w="329"/>
        <w:gridCol w:w="329"/>
        <w:gridCol w:w="329"/>
      </w:tblGrid>
      <w:tr>
        <w:trPr>
          <w:trHeight w:val="2038" w:hRule="exact"/>
        </w:trPr>
        <w:tc>
          <w:tcPr>
            <w:tcW w:w="2247" w:type="dxa"/>
            <w:tcBorders>
              <w:top w:val="single" w:sz="2" w:space="0" w:color="231F20"/>
              <w:left w:val="single" w:sz="2" w:space="0" w:color="231F2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7"/>
              <w:rPr>
                <w:sz w:val="18"/>
              </w:rPr>
            </w:pPr>
          </w:p>
          <w:p>
            <w:pPr>
              <w:pStyle w:val="TableParagraph"/>
              <w:ind w:left="847" w:right="847"/>
              <w:jc w:val="center"/>
              <w:rPr>
                <w:sz w:val="14"/>
              </w:rPr>
            </w:pPr>
            <w:r>
              <w:rPr>
                <w:color w:val="231F20"/>
                <w:w w:val="105"/>
                <w:sz w:val="14"/>
              </w:rPr>
              <w:t>Autores</w:t>
            </w:r>
          </w:p>
        </w:tc>
        <w:tc>
          <w:tcPr>
            <w:tcW w:w="329" w:type="dxa"/>
            <w:tcBorders>
              <w:top w:val="single" w:sz="2" w:space="0" w:color="231F20"/>
            </w:tcBorders>
            <w:textDirection w:val="btLr"/>
          </w:tcPr>
          <w:p>
            <w:pPr>
              <w:pStyle w:val="TableParagraph"/>
              <w:spacing w:before="86"/>
              <w:ind w:left="77"/>
              <w:rPr>
                <w:sz w:val="14"/>
              </w:rPr>
            </w:pPr>
            <w:r>
              <w:rPr>
                <w:color w:val="231F20"/>
                <w:w w:val="96"/>
                <w:sz w:val="14"/>
              </w:rPr>
              <w:t>Est</w:t>
            </w:r>
            <w:r>
              <w:rPr>
                <w:color w:val="231F20"/>
                <w:spacing w:val="-2"/>
                <w:w w:val="96"/>
                <w:sz w:val="14"/>
              </w:rPr>
              <w:t>r</w:t>
            </w:r>
            <w:r>
              <w:rPr>
                <w:color w:val="231F20"/>
                <w:spacing w:val="-2"/>
                <w:w w:val="96"/>
                <w:sz w:val="14"/>
              </w:rPr>
              <w:t>a</w:t>
            </w:r>
            <w:r>
              <w:rPr>
                <w:color w:val="231F20"/>
                <w:w w:val="106"/>
                <w:sz w:val="14"/>
              </w:rPr>
              <w:t>tegia</w:t>
            </w:r>
          </w:p>
        </w:tc>
        <w:tc>
          <w:tcPr>
            <w:tcW w:w="329" w:type="dxa"/>
            <w:tcBorders>
              <w:top w:val="single" w:sz="2" w:space="0" w:color="231F20"/>
            </w:tcBorders>
            <w:textDirection w:val="btLr"/>
          </w:tcPr>
          <w:p>
            <w:pPr>
              <w:pStyle w:val="TableParagraph"/>
              <w:spacing w:before="86"/>
              <w:ind w:left="77"/>
              <w:rPr>
                <w:sz w:val="14"/>
              </w:rPr>
            </w:pPr>
            <w:r>
              <w:rPr>
                <w:color w:val="231F20"/>
                <w:w w:val="104"/>
                <w:sz w:val="14"/>
              </w:rPr>
              <w:t>Lide</w:t>
            </w:r>
            <w:r>
              <w:rPr>
                <w:color w:val="231F20"/>
                <w:spacing w:val="-2"/>
                <w:w w:val="104"/>
                <w:sz w:val="14"/>
              </w:rPr>
              <w:t>r</w:t>
            </w:r>
            <w:r>
              <w:rPr>
                <w:color w:val="231F20"/>
                <w:w w:val="102"/>
                <w:sz w:val="14"/>
              </w:rPr>
              <w:t>azgo</w:t>
            </w:r>
          </w:p>
        </w:tc>
        <w:tc>
          <w:tcPr>
            <w:tcW w:w="329" w:type="dxa"/>
            <w:tcBorders>
              <w:top w:val="single" w:sz="2" w:space="0" w:color="231F20"/>
            </w:tcBorders>
            <w:textDirection w:val="btLr"/>
          </w:tcPr>
          <w:p>
            <w:pPr>
              <w:pStyle w:val="TableParagraph"/>
              <w:spacing w:before="86"/>
              <w:ind w:left="77"/>
              <w:rPr>
                <w:sz w:val="14"/>
              </w:rPr>
            </w:pPr>
            <w:r>
              <w:rPr>
                <w:color w:val="231F20"/>
                <w:w w:val="103"/>
                <w:sz w:val="14"/>
              </w:rPr>
              <w:t>Gestión</w:t>
            </w:r>
            <w:r>
              <w:rPr>
                <w:color w:val="231F20"/>
                <w:spacing w:val="-4"/>
                <w:sz w:val="14"/>
              </w:rPr>
              <w:t> </w:t>
            </w:r>
            <w:r>
              <w:rPr>
                <w:color w:val="231F20"/>
                <w:w w:val="108"/>
                <w:sz w:val="14"/>
              </w:rPr>
              <w:t>de</w:t>
            </w:r>
            <w:r>
              <w:rPr>
                <w:color w:val="231F20"/>
                <w:spacing w:val="-4"/>
                <w:sz w:val="14"/>
              </w:rPr>
              <w:t> </w:t>
            </w:r>
            <w:r>
              <w:rPr>
                <w:color w:val="231F20"/>
                <w:w w:val="105"/>
                <w:sz w:val="14"/>
              </w:rPr>
              <w:t>calidad</w:t>
            </w:r>
          </w:p>
        </w:tc>
        <w:tc>
          <w:tcPr>
            <w:tcW w:w="329" w:type="dxa"/>
            <w:tcBorders>
              <w:top w:val="single" w:sz="2" w:space="0" w:color="231F20"/>
            </w:tcBorders>
            <w:textDirection w:val="btLr"/>
          </w:tcPr>
          <w:p>
            <w:pPr>
              <w:pStyle w:val="TableParagraph"/>
              <w:spacing w:before="86"/>
              <w:ind w:left="77"/>
              <w:rPr>
                <w:sz w:val="14"/>
              </w:rPr>
            </w:pPr>
            <w:r>
              <w:rPr>
                <w:color w:val="231F20"/>
                <w:spacing w:val="-2"/>
                <w:w w:val="82"/>
                <w:sz w:val="14"/>
              </w:rPr>
              <w:t>R</w:t>
            </w:r>
            <w:r>
              <w:rPr>
                <w:color w:val="231F20"/>
                <w:w w:val="102"/>
                <w:sz w:val="14"/>
              </w:rPr>
              <w:t>esultados</w:t>
            </w:r>
          </w:p>
        </w:tc>
        <w:tc>
          <w:tcPr>
            <w:tcW w:w="329" w:type="dxa"/>
            <w:tcBorders>
              <w:top w:val="single" w:sz="2" w:space="0" w:color="231F20"/>
            </w:tcBorders>
            <w:textDirection w:val="btLr"/>
          </w:tcPr>
          <w:p>
            <w:pPr>
              <w:pStyle w:val="TableParagraph"/>
              <w:spacing w:before="86"/>
              <w:ind w:left="77"/>
              <w:rPr>
                <w:sz w:val="14"/>
              </w:rPr>
            </w:pPr>
            <w:r>
              <w:rPr>
                <w:color w:val="231F20"/>
                <w:w w:val="105"/>
                <w:sz w:val="14"/>
              </w:rPr>
              <w:t>Me</w:t>
            </w:r>
            <w:r>
              <w:rPr>
                <w:color w:val="231F20"/>
                <w:spacing w:val="-3"/>
                <w:w w:val="105"/>
                <w:sz w:val="14"/>
              </w:rPr>
              <w:t>r</w:t>
            </w:r>
            <w:r>
              <w:rPr>
                <w:color w:val="231F20"/>
                <w:w w:val="105"/>
                <w:sz w:val="14"/>
              </w:rPr>
              <w:t>cado</w:t>
            </w:r>
          </w:p>
        </w:tc>
        <w:tc>
          <w:tcPr>
            <w:tcW w:w="329" w:type="dxa"/>
            <w:tcBorders>
              <w:top w:val="single" w:sz="2" w:space="0" w:color="231F20"/>
            </w:tcBorders>
            <w:textDirection w:val="btLr"/>
          </w:tcPr>
          <w:p>
            <w:pPr>
              <w:pStyle w:val="TableParagraph"/>
              <w:spacing w:before="86"/>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4"/>
                <w:sz w:val="14"/>
              </w:rPr>
              <w:t>administ</w:t>
            </w:r>
            <w:r>
              <w:rPr>
                <w:color w:val="231F20"/>
                <w:spacing w:val="-2"/>
                <w:w w:val="104"/>
                <w:sz w:val="14"/>
              </w:rPr>
              <w:t>r</w:t>
            </w:r>
            <w:r>
              <w:rPr>
                <w:color w:val="231F20"/>
                <w:w w:val="103"/>
                <w:sz w:val="14"/>
              </w:rPr>
              <w:t>ación</w:t>
            </w:r>
          </w:p>
        </w:tc>
        <w:tc>
          <w:tcPr>
            <w:tcW w:w="329" w:type="dxa"/>
            <w:tcBorders>
              <w:top w:val="single" w:sz="2" w:space="0" w:color="231F20"/>
            </w:tcBorders>
            <w:textDirection w:val="btLr"/>
          </w:tcPr>
          <w:p>
            <w:pPr>
              <w:pStyle w:val="TableParagraph"/>
              <w:spacing w:before="86"/>
              <w:ind w:left="77"/>
              <w:rPr>
                <w:sz w:val="14"/>
              </w:rPr>
            </w:pPr>
            <w:r>
              <w:rPr>
                <w:color w:val="231F20"/>
                <w:spacing w:val="-7"/>
                <w:w w:val="86"/>
                <w:sz w:val="14"/>
              </w:rPr>
              <w:t>P</w:t>
            </w:r>
            <w:r>
              <w:rPr>
                <w:color w:val="231F20"/>
                <w:spacing w:val="-3"/>
                <w:w w:val="108"/>
                <w:sz w:val="14"/>
              </w:rPr>
              <w:t>r</w:t>
            </w:r>
            <w:r>
              <w:rPr>
                <w:color w:val="231F20"/>
                <w:w w:val="108"/>
                <w:sz w:val="14"/>
              </w:rPr>
              <w:t>oducto</w:t>
            </w:r>
            <w:r>
              <w:rPr>
                <w:color w:val="231F20"/>
                <w:spacing w:val="-4"/>
                <w:sz w:val="14"/>
              </w:rPr>
              <w:t> </w:t>
            </w:r>
            <w:r>
              <w:rPr>
                <w:color w:val="231F20"/>
                <w:w w:val="97"/>
                <w:sz w:val="14"/>
              </w:rPr>
              <w:t>y</w:t>
            </w:r>
            <w:r>
              <w:rPr>
                <w:color w:val="231F20"/>
                <w:spacing w:val="-4"/>
                <w:sz w:val="14"/>
              </w:rPr>
              <w:t> </w:t>
            </w:r>
            <w:r>
              <w:rPr>
                <w:color w:val="231F20"/>
                <w:w w:val="102"/>
                <w:sz w:val="14"/>
              </w:rPr>
              <w:t>servicio</w:t>
            </w:r>
          </w:p>
        </w:tc>
        <w:tc>
          <w:tcPr>
            <w:tcW w:w="329" w:type="dxa"/>
            <w:tcBorders>
              <w:top w:val="single" w:sz="2" w:space="0" w:color="231F20"/>
            </w:tcBorders>
            <w:textDirection w:val="btLr"/>
          </w:tcPr>
          <w:p>
            <w:pPr>
              <w:pStyle w:val="TableParagraph"/>
              <w:spacing w:before="86"/>
              <w:ind w:left="77"/>
              <w:rPr>
                <w:sz w:val="14"/>
              </w:rPr>
            </w:pPr>
            <w:r>
              <w:rPr>
                <w:color w:val="231F20"/>
                <w:spacing w:val="-7"/>
                <w:w w:val="86"/>
                <w:sz w:val="14"/>
              </w:rPr>
              <w:t>P</w:t>
            </w:r>
            <w:r>
              <w:rPr>
                <w:color w:val="231F20"/>
                <w:spacing w:val="-3"/>
                <w:w w:val="108"/>
                <w:sz w:val="14"/>
              </w:rPr>
              <w:t>r</w:t>
            </w:r>
            <w:r>
              <w:rPr>
                <w:color w:val="231F20"/>
                <w:w w:val="102"/>
                <w:sz w:val="14"/>
              </w:rPr>
              <w:t>oceso</w:t>
            </w:r>
          </w:p>
        </w:tc>
        <w:tc>
          <w:tcPr>
            <w:tcW w:w="329" w:type="dxa"/>
            <w:tcBorders>
              <w:top w:val="single" w:sz="2" w:space="0" w:color="231F20"/>
            </w:tcBorders>
            <w:textDirection w:val="btLr"/>
          </w:tcPr>
          <w:p>
            <w:pPr>
              <w:pStyle w:val="TableParagraph"/>
              <w:spacing w:before="86"/>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5"/>
                <w:sz w:val="14"/>
              </w:rPr>
              <w:t>información</w:t>
            </w:r>
          </w:p>
        </w:tc>
        <w:tc>
          <w:tcPr>
            <w:tcW w:w="329" w:type="dxa"/>
            <w:tcBorders>
              <w:top w:val="single" w:sz="2" w:space="0" w:color="231F20"/>
            </w:tcBorders>
            <w:textDirection w:val="btLr"/>
          </w:tcPr>
          <w:p>
            <w:pPr>
              <w:pStyle w:val="TableParagraph"/>
              <w:spacing w:before="86"/>
              <w:ind w:left="77"/>
              <w:rPr>
                <w:sz w:val="14"/>
              </w:rPr>
            </w:pPr>
            <w:r>
              <w:rPr>
                <w:color w:val="231F20"/>
                <w:w w:val="98"/>
                <w:sz w:val="14"/>
              </w:rPr>
              <w:t>Alianzas</w:t>
            </w:r>
            <w:r>
              <w:rPr>
                <w:color w:val="231F20"/>
                <w:spacing w:val="-4"/>
                <w:sz w:val="14"/>
              </w:rPr>
              <w:t> </w:t>
            </w:r>
            <w:r>
              <w:rPr>
                <w:color w:val="231F20"/>
                <w:w w:val="97"/>
                <w:sz w:val="14"/>
              </w:rPr>
              <w:t>y</w:t>
            </w:r>
            <w:r>
              <w:rPr>
                <w:color w:val="231F20"/>
                <w:spacing w:val="-4"/>
                <w:sz w:val="14"/>
              </w:rPr>
              <w:t> </w:t>
            </w:r>
            <w:r>
              <w:rPr>
                <w:color w:val="231F20"/>
                <w:w w:val="103"/>
                <w:sz w:val="14"/>
              </w:rPr>
              <w:t>vinculación</w:t>
            </w:r>
          </w:p>
        </w:tc>
        <w:tc>
          <w:tcPr>
            <w:tcW w:w="329" w:type="dxa"/>
            <w:tcBorders>
              <w:top w:val="single" w:sz="2" w:space="0" w:color="231F20"/>
              <w:right w:val="single" w:sz="2" w:space="0" w:color="231F20"/>
            </w:tcBorders>
            <w:textDirection w:val="btLr"/>
          </w:tcPr>
          <w:p>
            <w:pPr>
              <w:pStyle w:val="TableParagraph"/>
              <w:spacing w:before="86"/>
              <w:ind w:left="77"/>
              <w:rPr>
                <w:sz w:val="14"/>
              </w:rPr>
            </w:pPr>
            <w:r>
              <w:rPr>
                <w:color w:val="231F20"/>
                <w:spacing w:val="-14"/>
                <w:w w:val="93"/>
                <w:sz w:val="14"/>
              </w:rPr>
              <w:t>T</w:t>
            </w:r>
            <w:r>
              <w:rPr>
                <w:color w:val="231F20"/>
                <w:w w:val="104"/>
                <w:sz w:val="14"/>
              </w:rPr>
              <w:t>ecnología.</w:t>
            </w:r>
            <w:r>
              <w:rPr>
                <w:color w:val="231F20"/>
                <w:spacing w:val="-9"/>
                <w:sz w:val="14"/>
              </w:rPr>
              <w:t> </w:t>
            </w:r>
            <w:r>
              <w:rPr>
                <w:color w:val="231F20"/>
                <w:w w:val="100"/>
                <w:sz w:val="14"/>
              </w:rPr>
              <w:t>IyD</w:t>
            </w:r>
          </w:p>
        </w:tc>
      </w:tr>
      <w:tr>
        <w:trPr>
          <w:trHeight w:val="300" w:hRule="exact"/>
        </w:trPr>
        <w:tc>
          <w:tcPr>
            <w:tcW w:w="2247" w:type="dxa"/>
            <w:tcBorders>
              <w:left w:val="nil"/>
            </w:tcBorders>
          </w:tcPr>
          <w:p>
            <w:pPr>
              <w:pStyle w:val="TableParagraph"/>
              <w:spacing w:before="86"/>
              <w:ind w:left="80"/>
              <w:rPr>
                <w:sz w:val="14"/>
              </w:rPr>
            </w:pPr>
            <w:r>
              <w:rPr>
                <w:color w:val="231F20"/>
                <w:sz w:val="14"/>
              </w:rPr>
              <w:t>Chaganti y Mahajan (1989)</w:t>
            </w:r>
          </w:p>
        </w:tc>
        <w:tc>
          <w:tcPr>
            <w:tcW w:w="329" w:type="dxa"/>
          </w:tcPr>
          <w:p>
            <w:pPr>
              <w:pStyle w:val="TableParagraph"/>
              <w:spacing w:before="86"/>
              <w:ind w:right="126"/>
              <w:jc w:val="right"/>
              <w:rPr>
                <w:sz w:val="14"/>
              </w:rPr>
            </w:pPr>
            <w:r>
              <w:rPr>
                <w:color w:val="231F20"/>
                <w:w w:val="96"/>
                <w:sz w:val="14"/>
              </w:rPr>
              <w:t>x</w:t>
            </w:r>
          </w:p>
        </w:tc>
        <w:tc>
          <w:tcPr>
            <w:tcW w:w="329" w:type="dxa"/>
          </w:tcPr>
          <w:p>
            <w:pPr>
              <w:pStyle w:val="TableParagraph"/>
              <w:spacing w:before="86"/>
              <w:jc w:val="center"/>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Moreno-Luzon (1993)</w:t>
            </w:r>
          </w:p>
        </w:tc>
        <w:tc>
          <w:tcPr>
            <w:tcW w:w="329" w:type="dxa"/>
          </w:tcPr>
          <w:p>
            <w:pPr>
              <w:pStyle w:val="TableParagraph"/>
              <w:spacing w:before="86"/>
              <w:ind w:right="125"/>
              <w:jc w:val="right"/>
              <w:rPr>
                <w:sz w:val="14"/>
              </w:rPr>
            </w:pPr>
            <w:r>
              <w:rPr>
                <w:color w:val="231F20"/>
                <w:w w:val="96"/>
                <w:sz w:val="14"/>
              </w:rPr>
              <w:t>x</w:t>
            </w:r>
          </w:p>
        </w:tc>
        <w:tc>
          <w:tcPr>
            <w:tcW w:w="329" w:type="dxa"/>
          </w:tcPr>
          <w:p>
            <w:pP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Shea y Gobeli (1995)</w:t>
            </w:r>
          </w:p>
        </w:tc>
        <w:tc>
          <w:tcPr>
            <w:tcW w:w="329" w:type="dxa"/>
          </w:tcPr>
          <w:p>
            <w:pPr/>
          </w:p>
        </w:tc>
        <w:tc>
          <w:tcPr>
            <w:tcW w:w="329" w:type="dxa"/>
          </w:tcPr>
          <w:p>
            <w:pPr/>
          </w:p>
        </w:tc>
        <w:tc>
          <w:tcPr>
            <w:tcW w:w="329" w:type="dxa"/>
          </w:tcPr>
          <w:p>
            <w:pP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Powell (1995)</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jc w:val="center"/>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barnes </w:t>
            </w:r>
            <w:r>
              <w:rPr>
                <w:i/>
                <w:color w:val="231F20"/>
                <w:sz w:val="14"/>
              </w:rPr>
              <w:t>et al</w:t>
            </w:r>
            <w:r>
              <w:rPr>
                <w:color w:val="231F20"/>
                <w:sz w:val="14"/>
              </w:rPr>
              <w:t>. (1998)</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jc w:val="center"/>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anderson y Sohal (1999)</w:t>
            </w:r>
          </w:p>
        </w:tc>
        <w:tc>
          <w:tcPr>
            <w:tcW w:w="329" w:type="dxa"/>
          </w:tcPr>
          <w:p>
            <w:pPr/>
          </w:p>
        </w:tc>
        <w:tc>
          <w:tcPr>
            <w:tcW w:w="329" w:type="dxa"/>
          </w:tcPr>
          <w:p>
            <w:pP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Style w:val="TableParagraph"/>
              <w:spacing w:before="86"/>
              <w:ind w:right="125"/>
              <w:jc w:val="right"/>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Kuratko </w:t>
            </w:r>
            <w:r>
              <w:rPr>
                <w:i/>
                <w:color w:val="231F20"/>
                <w:sz w:val="14"/>
              </w:rPr>
              <w:t>et al</w:t>
            </w:r>
            <w:r>
              <w:rPr>
                <w:color w:val="231F20"/>
                <w:sz w:val="14"/>
              </w:rPr>
              <w:t>. (2001)</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jc w:val="center"/>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Rahman (2001)</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left="1"/>
              <w:jc w:val="center"/>
              <w:rPr>
                <w:sz w:val="14"/>
              </w:rPr>
            </w:pPr>
            <w:r>
              <w:rPr>
                <w:color w:val="231F20"/>
                <w:w w:val="96"/>
                <w:sz w:val="14"/>
              </w:rPr>
              <w:t>x</w:t>
            </w:r>
          </w:p>
        </w:tc>
        <w:tc>
          <w:tcPr>
            <w:tcW w:w="329" w:type="dxa"/>
          </w:tcPr>
          <w:p>
            <w:pP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Style w:val="TableParagraph"/>
              <w:spacing w:before="86"/>
              <w:ind w:left="1"/>
              <w:jc w:val="center"/>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0"/>
              <w:rPr>
                <w:sz w:val="14"/>
              </w:rPr>
            </w:pPr>
            <w:r>
              <w:rPr>
                <w:color w:val="231F20"/>
                <w:sz w:val="14"/>
              </w:rPr>
              <w:t>aguirre </w:t>
            </w:r>
            <w:r>
              <w:rPr>
                <w:i/>
                <w:color w:val="231F20"/>
                <w:sz w:val="14"/>
              </w:rPr>
              <w:t>et al</w:t>
            </w:r>
            <w:r>
              <w:rPr>
                <w:color w:val="231F20"/>
                <w:sz w:val="14"/>
              </w:rPr>
              <w:t>. (2001a)</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left="1"/>
              <w:jc w:val="center"/>
              <w:rPr>
                <w:sz w:val="14"/>
              </w:rPr>
            </w:pPr>
            <w:r>
              <w:rPr>
                <w:color w:val="231F20"/>
                <w:w w:val="96"/>
                <w:sz w:val="14"/>
              </w:rPr>
              <w:t>x</w:t>
            </w:r>
          </w:p>
        </w:tc>
        <w:tc>
          <w:tcPr>
            <w:tcW w:w="329" w:type="dxa"/>
          </w:tcPr>
          <w:p>
            <w:pPr>
              <w:pStyle w:val="TableParagraph"/>
              <w:spacing w:before="86"/>
              <w:ind w:left="128"/>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Style w:val="TableParagraph"/>
              <w:spacing w:before="86"/>
              <w:ind w:left="1"/>
              <w:jc w:val="center"/>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right="125"/>
              <w:jc w:val="right"/>
              <w:rPr>
                <w:sz w:val="14"/>
              </w:rPr>
            </w:pPr>
            <w:r>
              <w:rPr>
                <w:color w:val="231F20"/>
                <w:w w:val="96"/>
                <w:sz w:val="14"/>
              </w:rPr>
              <w:t>x</w:t>
            </w:r>
          </w:p>
        </w:tc>
        <w:tc>
          <w:tcPr>
            <w:tcW w:w="329" w:type="dxa"/>
          </w:tcPr>
          <w:p>
            <w:pPr>
              <w:pStyle w:val="TableParagraph"/>
              <w:spacing w:before="86"/>
              <w:ind w:right="126"/>
              <w:jc w:val="right"/>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Ferrer </w:t>
            </w:r>
            <w:r>
              <w:rPr>
                <w:i/>
                <w:color w:val="231F20"/>
                <w:sz w:val="14"/>
              </w:rPr>
              <w:t>et al</w:t>
            </w:r>
            <w:r>
              <w:rPr>
                <w:color w:val="231F20"/>
                <w:sz w:val="14"/>
              </w:rPr>
              <w:t>. (2002)</w:t>
            </w:r>
          </w:p>
        </w:tc>
        <w:tc>
          <w:tcPr>
            <w:tcW w:w="329" w:type="dxa"/>
          </w:tcPr>
          <w:p>
            <w:pPr/>
          </w:p>
        </w:tc>
        <w:tc>
          <w:tcPr>
            <w:tcW w:w="329" w:type="dxa"/>
          </w:tcPr>
          <w:p>
            <w:pPr>
              <w:pStyle w:val="TableParagraph"/>
              <w:spacing w:before="86"/>
              <w:ind w:left="2"/>
              <w:jc w:val="center"/>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hooshang </w:t>
            </w:r>
            <w:r>
              <w:rPr>
                <w:i/>
                <w:color w:val="231F20"/>
                <w:sz w:val="14"/>
              </w:rPr>
              <w:t>et al</w:t>
            </w:r>
            <w:r>
              <w:rPr>
                <w:color w:val="231F20"/>
                <w:sz w:val="14"/>
              </w:rPr>
              <w:t>. (2003)</w:t>
            </w: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Chauca (2003)</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2"/>
              <w:jc w:val="center"/>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Borders>
              <w:right w:val="nil"/>
            </w:tcBorders>
          </w:tcPr>
          <w:p>
            <w:pPr>
              <w:pStyle w:val="TableParagraph"/>
              <w:spacing w:before="86"/>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Watson (2003)</w:t>
            </w:r>
          </w:p>
        </w:tc>
        <w:tc>
          <w:tcPr>
            <w:tcW w:w="329" w:type="dxa"/>
          </w:tcPr>
          <w:p>
            <w:pP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Thacker y Handscombe (2003)</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Castañón (2005)</w:t>
            </w:r>
          </w:p>
        </w:tc>
        <w:tc>
          <w:tcPr>
            <w:tcW w:w="329" w:type="dxa"/>
          </w:tcPr>
          <w:p>
            <w:pPr>
              <w:pStyle w:val="TableParagraph"/>
              <w:spacing w:before="86"/>
              <w:ind w:right="124"/>
              <w:jc w:val="right"/>
              <w:rPr>
                <w:sz w:val="14"/>
              </w:rPr>
            </w:pPr>
            <w:r>
              <w:rPr>
                <w:color w:val="231F20"/>
                <w:w w:val="96"/>
                <w:sz w:val="14"/>
              </w:rPr>
              <w:t>x</w:t>
            </w:r>
          </w:p>
        </w:tc>
        <w:tc>
          <w:tcPr>
            <w:tcW w:w="329" w:type="dxa"/>
          </w:tcPr>
          <w:p>
            <w:pPr>
              <w:pStyle w:val="TableParagraph"/>
              <w:spacing w:before="86"/>
              <w:ind w:left="2"/>
              <w:jc w:val="center"/>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3"/>
              <w:jc w:val="center"/>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Borders>
              <w:right w:val="nil"/>
            </w:tcBorders>
          </w:tcPr>
          <w:p>
            <w:pPr>
              <w:pStyle w:val="TableParagraph"/>
              <w:spacing w:before="86"/>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Picón y Baltodano (2005)</w:t>
            </w:r>
          </w:p>
        </w:tc>
        <w:tc>
          <w:tcPr>
            <w:tcW w:w="329" w:type="dxa"/>
          </w:tcPr>
          <w:p>
            <w:pPr>
              <w:pStyle w:val="TableParagraph"/>
              <w:spacing w:before="86"/>
              <w:ind w:right="124"/>
              <w:jc w:val="right"/>
              <w:rPr>
                <w:sz w:val="14"/>
              </w:rPr>
            </w:pPr>
            <w:r>
              <w:rPr>
                <w:color w:val="231F20"/>
                <w:w w:val="96"/>
                <w:sz w:val="14"/>
              </w:rPr>
              <w:t>x</w:t>
            </w:r>
          </w:p>
        </w:tc>
        <w:tc>
          <w:tcPr>
            <w:tcW w:w="329" w:type="dxa"/>
          </w:tcPr>
          <w:p>
            <w:pPr>
              <w:pStyle w:val="TableParagraph"/>
              <w:spacing w:before="86"/>
              <w:ind w:left="3"/>
              <w:jc w:val="center"/>
              <w:rPr>
                <w:sz w:val="14"/>
              </w:rPr>
            </w:pPr>
            <w:r>
              <w:rPr>
                <w:color w:val="231F20"/>
                <w:w w:val="96"/>
                <w:sz w:val="14"/>
              </w:rPr>
              <w:t>x</w:t>
            </w: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3"/>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Style w:val="TableParagraph"/>
              <w:spacing w:before="86"/>
              <w:ind w:right="124"/>
              <w:jc w:val="right"/>
              <w:rPr>
                <w:sz w:val="14"/>
              </w:rPr>
            </w:pPr>
            <w:r>
              <w:rPr>
                <w:color w:val="231F20"/>
                <w:w w:val="96"/>
                <w:sz w:val="14"/>
              </w:rPr>
              <w:t>x</w:t>
            </w: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Aragón y Sánchez (2005)</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3"/>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Vermeulen (2005)</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Aragón y Rubio (2005a)</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29"/>
              <w:rPr>
                <w:sz w:val="14"/>
              </w:rPr>
            </w:pPr>
            <w:r>
              <w:rPr>
                <w:color w:val="231F20"/>
                <w:w w:val="96"/>
                <w:sz w:val="14"/>
              </w:rPr>
              <w:t>x</w:t>
            </w:r>
          </w:p>
        </w:tc>
        <w:tc>
          <w:tcPr>
            <w:tcW w:w="329" w:type="dxa"/>
          </w:tcPr>
          <w:p>
            <w:pPr>
              <w:pStyle w:val="TableParagraph"/>
              <w:spacing w:before="86"/>
              <w:ind w:left="130"/>
              <w:rPr>
                <w:sz w:val="14"/>
              </w:rPr>
            </w:pPr>
            <w:r>
              <w:rPr>
                <w:color w:val="231F20"/>
                <w:w w:val="96"/>
                <w:sz w:val="14"/>
              </w:rPr>
              <w:t>x</w:t>
            </w:r>
          </w:p>
        </w:tc>
        <w:tc>
          <w:tcPr>
            <w:tcW w:w="329" w:type="dxa"/>
          </w:tcPr>
          <w:p>
            <w:pPr>
              <w:pStyle w:val="TableParagraph"/>
              <w:spacing w:before="86"/>
              <w:ind w:left="4"/>
              <w:jc w:val="center"/>
              <w:rPr>
                <w:sz w:val="14"/>
              </w:rPr>
            </w:pPr>
            <w:r>
              <w:rPr>
                <w:color w:val="231F20"/>
                <w:w w:val="96"/>
                <w:sz w:val="14"/>
              </w:rPr>
              <w:t>x</w:t>
            </w:r>
          </w:p>
        </w:tc>
        <w:tc>
          <w:tcPr>
            <w:tcW w:w="329" w:type="dxa"/>
          </w:tcPr>
          <w:p>
            <w:pPr>
              <w:pStyle w:val="TableParagraph"/>
              <w:spacing w:before="86"/>
              <w:ind w:right="123"/>
              <w:jc w:val="right"/>
              <w:rPr>
                <w:sz w:val="14"/>
              </w:rPr>
            </w:pPr>
            <w:r>
              <w:rPr>
                <w:color w:val="231F20"/>
                <w:w w:val="96"/>
                <w:sz w:val="14"/>
              </w:rPr>
              <w:t>x</w:t>
            </w:r>
          </w:p>
        </w:tc>
        <w:tc>
          <w:tcPr>
            <w:tcW w:w="329" w:type="dxa"/>
          </w:tcPr>
          <w:p>
            <w:pP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Prajogo y Brown (2006)</w:t>
            </w:r>
          </w:p>
        </w:tc>
        <w:tc>
          <w:tcPr>
            <w:tcW w:w="329" w:type="dxa"/>
          </w:tcPr>
          <w:p>
            <w:pPr/>
          </w:p>
        </w:tc>
        <w:tc>
          <w:tcPr>
            <w:tcW w:w="329" w:type="dxa"/>
          </w:tcPr>
          <w:p>
            <w:pPr/>
          </w:p>
        </w:tc>
        <w:tc>
          <w:tcPr>
            <w:tcW w:w="329" w:type="dxa"/>
          </w:tcPr>
          <w:p>
            <w:pPr/>
          </w:p>
        </w:tc>
        <w:tc>
          <w:tcPr>
            <w:tcW w:w="329" w:type="dxa"/>
          </w:tcPr>
          <w:p>
            <w:pPr>
              <w:pStyle w:val="TableParagraph"/>
              <w:spacing w:before="86"/>
              <w:ind w:left="129"/>
              <w:rPr>
                <w:sz w:val="14"/>
              </w:rPr>
            </w:pPr>
            <w:r>
              <w:rPr>
                <w:color w:val="231F20"/>
                <w:w w:val="96"/>
                <w:sz w:val="14"/>
              </w:rPr>
              <w:t>x</w:t>
            </w:r>
          </w:p>
        </w:tc>
        <w:tc>
          <w:tcPr>
            <w:tcW w:w="329" w:type="dxa"/>
          </w:tcPr>
          <w:p>
            <w:pPr/>
          </w:p>
        </w:tc>
        <w:tc>
          <w:tcPr>
            <w:tcW w:w="329" w:type="dxa"/>
          </w:tcPr>
          <w:p>
            <w:pPr>
              <w:pStyle w:val="TableParagraph"/>
              <w:spacing w:before="86"/>
              <w:ind w:left="3"/>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Vaillant </w:t>
            </w:r>
            <w:r>
              <w:rPr>
                <w:i/>
                <w:color w:val="231F20"/>
                <w:sz w:val="14"/>
              </w:rPr>
              <w:t>et al</w:t>
            </w:r>
            <w:r>
              <w:rPr>
                <w:color w:val="231F20"/>
                <w:sz w:val="14"/>
              </w:rPr>
              <w:t>. (2006)</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30"/>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Narváez </w:t>
            </w:r>
            <w:r>
              <w:rPr>
                <w:i/>
                <w:color w:val="231F20"/>
                <w:sz w:val="14"/>
              </w:rPr>
              <w:t>et al</w:t>
            </w:r>
            <w:r>
              <w:rPr>
                <w:color w:val="231F20"/>
                <w:sz w:val="14"/>
              </w:rPr>
              <w:t>. (2006)</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Calderón (2006)</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3"/>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
        </w:tc>
      </w:tr>
      <w:tr>
        <w:trPr>
          <w:trHeight w:val="300" w:hRule="exact"/>
        </w:trPr>
        <w:tc>
          <w:tcPr>
            <w:tcW w:w="2247" w:type="dxa"/>
            <w:tcBorders>
              <w:left w:val="nil"/>
            </w:tcBorders>
          </w:tcPr>
          <w:p>
            <w:pPr>
              <w:pStyle w:val="TableParagraph"/>
              <w:spacing w:before="86"/>
              <w:ind w:left="81"/>
              <w:rPr>
                <w:sz w:val="14"/>
              </w:rPr>
            </w:pPr>
            <w:r>
              <w:rPr>
                <w:color w:val="231F20"/>
                <w:sz w:val="14"/>
              </w:rPr>
              <w:t>Low </w:t>
            </w:r>
            <w:r>
              <w:rPr>
                <w:i/>
                <w:color w:val="231F20"/>
                <w:sz w:val="14"/>
              </w:rPr>
              <w:t>et al</w:t>
            </w:r>
            <w:r>
              <w:rPr>
                <w:color w:val="231F20"/>
                <w:sz w:val="14"/>
              </w:rPr>
              <w:t>. (2007)</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30"/>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tcBorders>
          </w:tcPr>
          <w:p>
            <w:pPr>
              <w:pStyle w:val="TableParagraph"/>
              <w:spacing w:before="86"/>
              <w:ind w:left="81"/>
              <w:rPr>
                <w:sz w:val="14"/>
              </w:rPr>
            </w:pPr>
            <w:r>
              <w:rPr>
                <w:color w:val="231F20"/>
                <w:sz w:val="14"/>
              </w:rPr>
              <w:t>Rodeiro y López (2007)</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right="124"/>
              <w:jc w:val="right"/>
              <w:rPr>
                <w:sz w:val="14"/>
              </w:rPr>
            </w:pPr>
            <w:r>
              <w:rPr>
                <w:color w:val="231F20"/>
                <w:w w:val="96"/>
                <w:sz w:val="14"/>
              </w:rPr>
              <w:t>x</w:t>
            </w:r>
          </w:p>
        </w:tc>
        <w:tc>
          <w:tcPr>
            <w:tcW w:w="329" w:type="dxa"/>
          </w:tcPr>
          <w:p>
            <w:pPr>
              <w:pStyle w:val="TableParagraph"/>
              <w:spacing w:before="86"/>
              <w:ind w:right="124"/>
              <w:jc w:val="right"/>
              <w:rPr>
                <w:sz w:val="14"/>
              </w:rPr>
            </w:pPr>
            <w:r>
              <w:rPr>
                <w:color w:val="231F20"/>
                <w:w w:val="96"/>
                <w:sz w:val="14"/>
              </w:rPr>
              <w:t>x</w:t>
            </w:r>
          </w:p>
        </w:tc>
        <w:tc>
          <w:tcPr>
            <w:tcW w:w="329" w:type="dxa"/>
          </w:tcPr>
          <w:p>
            <w:pPr/>
          </w:p>
        </w:tc>
        <w:tc>
          <w:tcPr>
            <w:tcW w:w="329" w:type="dxa"/>
          </w:tcPr>
          <w:p>
            <w:pPr/>
          </w:p>
        </w:tc>
        <w:tc>
          <w:tcPr>
            <w:tcW w:w="329" w:type="dxa"/>
            <w:tcBorders>
              <w:right w:val="nil"/>
            </w:tcBorders>
          </w:tcPr>
          <w:p>
            <w:pPr>
              <w:pStyle w:val="TableParagraph"/>
              <w:spacing w:before="86"/>
              <w:ind w:left="1"/>
              <w:jc w:val="center"/>
              <w:rPr>
                <w:sz w:val="14"/>
              </w:rPr>
            </w:pPr>
            <w:r>
              <w:rPr>
                <w:color w:val="231F20"/>
                <w:w w:val="96"/>
                <w:sz w:val="14"/>
              </w:rPr>
              <w:t>x</w:t>
            </w:r>
          </w:p>
        </w:tc>
      </w:tr>
      <w:tr>
        <w:trPr>
          <w:trHeight w:val="300" w:hRule="exact"/>
        </w:trPr>
        <w:tc>
          <w:tcPr>
            <w:tcW w:w="2247" w:type="dxa"/>
            <w:tcBorders>
              <w:left w:val="nil"/>
              <w:bottom w:val="single" w:sz="2" w:space="0" w:color="231F20"/>
            </w:tcBorders>
          </w:tcPr>
          <w:p>
            <w:pPr>
              <w:pStyle w:val="TableParagraph"/>
              <w:spacing w:before="86"/>
              <w:ind w:left="81"/>
              <w:rPr>
                <w:sz w:val="14"/>
              </w:rPr>
            </w:pPr>
            <w:r>
              <w:rPr>
                <w:color w:val="231F20"/>
                <w:w w:val="105"/>
                <w:sz w:val="14"/>
              </w:rPr>
              <w:t>Dibrell y Craig (2008)</w:t>
            </w: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
        </w:tc>
        <w:tc>
          <w:tcPr>
            <w:tcW w:w="329" w:type="dxa"/>
            <w:tcBorders>
              <w:bottom w:val="single" w:sz="2" w:space="0" w:color="231F20"/>
            </w:tcBorders>
          </w:tcPr>
          <w:p>
            <w:pPr>
              <w:pStyle w:val="TableParagraph"/>
              <w:spacing w:before="86"/>
              <w:ind w:right="124"/>
              <w:jc w:val="right"/>
              <w:rPr>
                <w:sz w:val="14"/>
              </w:rPr>
            </w:pPr>
            <w:r>
              <w:rPr>
                <w:color w:val="231F20"/>
                <w:w w:val="96"/>
                <w:sz w:val="14"/>
              </w:rPr>
              <w:t>x</w:t>
            </w:r>
          </w:p>
        </w:tc>
        <w:tc>
          <w:tcPr>
            <w:tcW w:w="329" w:type="dxa"/>
            <w:tcBorders>
              <w:bottom w:val="single" w:sz="2" w:space="0" w:color="231F20"/>
            </w:tcBorders>
          </w:tcPr>
          <w:p>
            <w:pPr/>
          </w:p>
        </w:tc>
        <w:tc>
          <w:tcPr>
            <w:tcW w:w="329" w:type="dxa"/>
            <w:tcBorders>
              <w:bottom w:val="single" w:sz="2" w:space="0" w:color="231F20"/>
              <w:right w:val="nil"/>
            </w:tcBorders>
          </w:tcPr>
          <w:p>
            <w:pPr>
              <w:pStyle w:val="TableParagraph"/>
              <w:spacing w:before="86"/>
              <w:ind w:left="1"/>
              <w:jc w:val="center"/>
              <w:rPr>
                <w:sz w:val="14"/>
              </w:rPr>
            </w:pPr>
            <w:r>
              <w:rPr>
                <w:color w:val="231F20"/>
                <w:w w:val="96"/>
                <w:sz w:val="14"/>
              </w:rPr>
              <w:t>x</w:t>
            </w:r>
          </w:p>
        </w:tc>
      </w:tr>
    </w:tbl>
    <w:p>
      <w:pPr>
        <w:spacing w:before="18"/>
        <w:ind w:left="587" w:right="0" w:firstLine="0"/>
        <w:jc w:val="left"/>
        <w:rPr>
          <w:sz w:val="16"/>
        </w:rPr>
      </w:pPr>
      <w:r>
        <w:rPr>
          <w:color w:val="231F20"/>
          <w:sz w:val="16"/>
        </w:rPr>
        <w:t>Fuente: Demuner, 2010</w:t>
      </w:r>
    </w:p>
    <w:p>
      <w:pPr>
        <w:spacing w:after="0"/>
        <w:jc w:val="left"/>
        <w:rPr>
          <w:sz w:val="16"/>
        </w:rPr>
        <w:sectPr>
          <w:pgSz w:w="9640" w:h="13890"/>
          <w:pgMar w:top="0" w:bottom="280" w:left="1340" w:right="1320"/>
        </w:sectPr>
      </w:pPr>
    </w:p>
    <w:p>
      <w:pPr>
        <w:spacing w:line="249" w:lineRule="auto" w:before="118"/>
        <w:ind w:left="1979" w:right="1037" w:hanging="949"/>
        <w:jc w:val="left"/>
        <w:rPr>
          <w:sz w:val="18"/>
        </w:rPr>
      </w:pPr>
      <w:r>
        <w:rPr>
          <w:color w:val="231F20"/>
          <w:w w:val="105"/>
          <w:sz w:val="18"/>
        </w:rPr>
        <w:t>Figura 5. Determinantes de la competitividad empresarial aportados por la OCDE y la CEPAL</w:t>
      </w:r>
    </w:p>
    <w:p>
      <w:pPr>
        <w:pStyle w:val="BodyText"/>
        <w:spacing w:before="9"/>
        <w:rPr>
          <w:sz w:val="12"/>
        </w:rPr>
      </w:pPr>
    </w:p>
    <w:tbl>
      <w:tblPr>
        <w:tblW w:w="0" w:type="auto"/>
        <w:jc w:val="left"/>
        <w:tblInd w:w="56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247"/>
        <w:gridCol w:w="312"/>
        <w:gridCol w:w="312"/>
        <w:gridCol w:w="312"/>
        <w:gridCol w:w="312"/>
        <w:gridCol w:w="312"/>
        <w:gridCol w:w="312"/>
        <w:gridCol w:w="312"/>
        <w:gridCol w:w="312"/>
        <w:gridCol w:w="312"/>
        <w:gridCol w:w="312"/>
        <w:gridCol w:w="312"/>
      </w:tblGrid>
      <w:tr>
        <w:trPr>
          <w:trHeight w:val="2135" w:hRule="exact"/>
        </w:trPr>
        <w:tc>
          <w:tcPr>
            <w:tcW w:w="224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3"/>
              </w:rPr>
            </w:pPr>
          </w:p>
          <w:p>
            <w:pPr>
              <w:pStyle w:val="TableParagraph"/>
              <w:spacing w:before="1"/>
              <w:ind w:left="847" w:right="847"/>
              <w:jc w:val="center"/>
              <w:rPr>
                <w:sz w:val="14"/>
              </w:rPr>
            </w:pPr>
            <w:r>
              <w:rPr>
                <w:color w:val="231F20"/>
                <w:w w:val="105"/>
                <w:sz w:val="14"/>
              </w:rPr>
              <w:t>Autores</w:t>
            </w:r>
          </w:p>
        </w:tc>
        <w:tc>
          <w:tcPr>
            <w:tcW w:w="312" w:type="dxa"/>
            <w:textDirection w:val="btLr"/>
          </w:tcPr>
          <w:p>
            <w:pPr>
              <w:pStyle w:val="TableParagraph"/>
              <w:spacing w:before="92"/>
              <w:ind w:left="77"/>
              <w:rPr>
                <w:sz w:val="14"/>
              </w:rPr>
            </w:pPr>
            <w:r>
              <w:rPr>
                <w:color w:val="231F20"/>
                <w:w w:val="96"/>
                <w:sz w:val="14"/>
              </w:rPr>
              <w:t>Est</w:t>
            </w:r>
            <w:r>
              <w:rPr>
                <w:color w:val="231F20"/>
                <w:spacing w:val="-2"/>
                <w:w w:val="96"/>
                <w:sz w:val="14"/>
              </w:rPr>
              <w:t>r</w:t>
            </w:r>
            <w:r>
              <w:rPr>
                <w:color w:val="231F20"/>
                <w:spacing w:val="-2"/>
                <w:w w:val="96"/>
                <w:sz w:val="14"/>
              </w:rPr>
              <w:t>a</w:t>
            </w:r>
            <w:r>
              <w:rPr>
                <w:color w:val="231F20"/>
                <w:w w:val="106"/>
                <w:sz w:val="14"/>
              </w:rPr>
              <w:t>tegia</w:t>
            </w:r>
          </w:p>
        </w:tc>
        <w:tc>
          <w:tcPr>
            <w:tcW w:w="312" w:type="dxa"/>
            <w:textDirection w:val="btLr"/>
          </w:tcPr>
          <w:p>
            <w:pPr>
              <w:pStyle w:val="TableParagraph"/>
              <w:spacing w:before="92"/>
              <w:ind w:left="77"/>
              <w:rPr>
                <w:sz w:val="14"/>
              </w:rPr>
            </w:pPr>
            <w:r>
              <w:rPr>
                <w:color w:val="231F20"/>
                <w:w w:val="104"/>
                <w:sz w:val="14"/>
              </w:rPr>
              <w:t>Lide</w:t>
            </w:r>
            <w:r>
              <w:rPr>
                <w:color w:val="231F20"/>
                <w:spacing w:val="-2"/>
                <w:w w:val="104"/>
                <w:sz w:val="14"/>
              </w:rPr>
              <w:t>r</w:t>
            </w:r>
            <w:r>
              <w:rPr>
                <w:color w:val="231F20"/>
                <w:w w:val="102"/>
                <w:sz w:val="14"/>
              </w:rPr>
              <w:t>azgo</w:t>
            </w:r>
          </w:p>
        </w:tc>
        <w:tc>
          <w:tcPr>
            <w:tcW w:w="312" w:type="dxa"/>
            <w:textDirection w:val="btLr"/>
          </w:tcPr>
          <w:p>
            <w:pPr>
              <w:pStyle w:val="TableParagraph"/>
              <w:spacing w:before="92"/>
              <w:ind w:left="77"/>
              <w:rPr>
                <w:sz w:val="14"/>
              </w:rPr>
            </w:pPr>
            <w:r>
              <w:rPr>
                <w:color w:val="231F20"/>
                <w:w w:val="103"/>
                <w:sz w:val="14"/>
              </w:rPr>
              <w:t>Gestión</w:t>
            </w:r>
            <w:r>
              <w:rPr>
                <w:color w:val="231F20"/>
                <w:spacing w:val="-4"/>
                <w:sz w:val="14"/>
              </w:rPr>
              <w:t> </w:t>
            </w:r>
            <w:r>
              <w:rPr>
                <w:color w:val="231F20"/>
                <w:w w:val="108"/>
                <w:sz w:val="14"/>
              </w:rPr>
              <w:t>de</w:t>
            </w:r>
            <w:r>
              <w:rPr>
                <w:color w:val="231F20"/>
                <w:spacing w:val="-4"/>
                <w:sz w:val="14"/>
              </w:rPr>
              <w:t> </w:t>
            </w:r>
            <w:r>
              <w:rPr>
                <w:color w:val="231F20"/>
                <w:w w:val="105"/>
                <w:sz w:val="14"/>
              </w:rPr>
              <w:t>calidad</w:t>
            </w:r>
          </w:p>
        </w:tc>
        <w:tc>
          <w:tcPr>
            <w:tcW w:w="312" w:type="dxa"/>
            <w:textDirection w:val="btLr"/>
          </w:tcPr>
          <w:p>
            <w:pPr>
              <w:pStyle w:val="TableParagraph"/>
              <w:spacing w:before="92"/>
              <w:ind w:left="77"/>
              <w:rPr>
                <w:sz w:val="14"/>
              </w:rPr>
            </w:pPr>
            <w:r>
              <w:rPr>
                <w:color w:val="231F20"/>
                <w:spacing w:val="-2"/>
                <w:w w:val="82"/>
                <w:sz w:val="14"/>
              </w:rPr>
              <w:t>R</w:t>
            </w:r>
            <w:r>
              <w:rPr>
                <w:color w:val="231F20"/>
                <w:w w:val="102"/>
                <w:sz w:val="14"/>
              </w:rPr>
              <w:t>esultados</w:t>
            </w:r>
          </w:p>
        </w:tc>
        <w:tc>
          <w:tcPr>
            <w:tcW w:w="312" w:type="dxa"/>
            <w:textDirection w:val="btLr"/>
          </w:tcPr>
          <w:p>
            <w:pPr>
              <w:pStyle w:val="TableParagraph"/>
              <w:spacing w:before="92"/>
              <w:ind w:left="77"/>
              <w:rPr>
                <w:sz w:val="14"/>
              </w:rPr>
            </w:pPr>
            <w:r>
              <w:rPr>
                <w:color w:val="231F20"/>
                <w:w w:val="105"/>
                <w:sz w:val="14"/>
              </w:rPr>
              <w:t>Me</w:t>
            </w:r>
            <w:r>
              <w:rPr>
                <w:color w:val="231F20"/>
                <w:spacing w:val="-3"/>
                <w:w w:val="105"/>
                <w:sz w:val="14"/>
              </w:rPr>
              <w:t>r</w:t>
            </w:r>
            <w:r>
              <w:rPr>
                <w:color w:val="231F20"/>
                <w:w w:val="105"/>
                <w:sz w:val="14"/>
              </w:rPr>
              <w:t>cado</w:t>
            </w:r>
          </w:p>
        </w:tc>
        <w:tc>
          <w:tcPr>
            <w:tcW w:w="312" w:type="dxa"/>
            <w:textDirection w:val="btLr"/>
          </w:tcPr>
          <w:p>
            <w:pPr>
              <w:pStyle w:val="TableParagraph"/>
              <w:spacing w:before="92"/>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4"/>
                <w:sz w:val="14"/>
              </w:rPr>
              <w:t>administ</w:t>
            </w:r>
            <w:r>
              <w:rPr>
                <w:color w:val="231F20"/>
                <w:spacing w:val="-2"/>
                <w:w w:val="104"/>
                <w:sz w:val="14"/>
              </w:rPr>
              <w:t>r</w:t>
            </w:r>
            <w:r>
              <w:rPr>
                <w:color w:val="231F20"/>
                <w:w w:val="103"/>
                <w:sz w:val="14"/>
              </w:rPr>
              <w:t>ación</w:t>
            </w:r>
          </w:p>
        </w:tc>
        <w:tc>
          <w:tcPr>
            <w:tcW w:w="312" w:type="dxa"/>
            <w:textDirection w:val="btLr"/>
          </w:tcPr>
          <w:p>
            <w:pPr>
              <w:pStyle w:val="TableParagraph"/>
              <w:spacing w:before="92"/>
              <w:ind w:left="77"/>
              <w:rPr>
                <w:sz w:val="14"/>
              </w:rPr>
            </w:pPr>
            <w:r>
              <w:rPr>
                <w:color w:val="231F20"/>
                <w:spacing w:val="-7"/>
                <w:w w:val="86"/>
                <w:sz w:val="14"/>
              </w:rPr>
              <w:t>P</w:t>
            </w:r>
            <w:r>
              <w:rPr>
                <w:color w:val="231F20"/>
                <w:spacing w:val="-3"/>
                <w:w w:val="108"/>
                <w:sz w:val="14"/>
              </w:rPr>
              <w:t>r</w:t>
            </w:r>
            <w:r>
              <w:rPr>
                <w:color w:val="231F20"/>
                <w:w w:val="108"/>
                <w:sz w:val="14"/>
              </w:rPr>
              <w:t>oducto</w:t>
            </w:r>
            <w:r>
              <w:rPr>
                <w:color w:val="231F20"/>
                <w:spacing w:val="-4"/>
                <w:sz w:val="14"/>
              </w:rPr>
              <w:t> </w:t>
            </w:r>
            <w:r>
              <w:rPr>
                <w:color w:val="231F20"/>
                <w:w w:val="97"/>
                <w:sz w:val="14"/>
              </w:rPr>
              <w:t>y</w:t>
            </w:r>
            <w:r>
              <w:rPr>
                <w:color w:val="231F20"/>
                <w:spacing w:val="-4"/>
                <w:sz w:val="14"/>
              </w:rPr>
              <w:t> </w:t>
            </w:r>
            <w:r>
              <w:rPr>
                <w:color w:val="231F20"/>
                <w:w w:val="102"/>
                <w:sz w:val="14"/>
              </w:rPr>
              <w:t>servicio</w:t>
            </w:r>
          </w:p>
        </w:tc>
        <w:tc>
          <w:tcPr>
            <w:tcW w:w="312" w:type="dxa"/>
            <w:textDirection w:val="btLr"/>
          </w:tcPr>
          <w:p>
            <w:pPr>
              <w:pStyle w:val="TableParagraph"/>
              <w:spacing w:before="92"/>
              <w:ind w:left="77"/>
              <w:rPr>
                <w:sz w:val="14"/>
              </w:rPr>
            </w:pPr>
            <w:r>
              <w:rPr>
                <w:color w:val="231F20"/>
                <w:spacing w:val="-7"/>
                <w:w w:val="86"/>
                <w:sz w:val="14"/>
              </w:rPr>
              <w:t>P</w:t>
            </w:r>
            <w:r>
              <w:rPr>
                <w:color w:val="231F20"/>
                <w:spacing w:val="-3"/>
                <w:w w:val="108"/>
                <w:sz w:val="14"/>
              </w:rPr>
              <w:t>r</w:t>
            </w:r>
            <w:r>
              <w:rPr>
                <w:color w:val="231F20"/>
                <w:w w:val="102"/>
                <w:sz w:val="14"/>
              </w:rPr>
              <w:t>oceso</w:t>
            </w:r>
          </w:p>
        </w:tc>
        <w:tc>
          <w:tcPr>
            <w:tcW w:w="312" w:type="dxa"/>
            <w:textDirection w:val="btLr"/>
          </w:tcPr>
          <w:p>
            <w:pPr>
              <w:pStyle w:val="TableParagraph"/>
              <w:spacing w:before="92"/>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5"/>
                <w:sz w:val="14"/>
              </w:rPr>
              <w:t>información</w:t>
            </w:r>
          </w:p>
        </w:tc>
        <w:tc>
          <w:tcPr>
            <w:tcW w:w="312" w:type="dxa"/>
            <w:textDirection w:val="btLr"/>
          </w:tcPr>
          <w:p>
            <w:pPr>
              <w:pStyle w:val="TableParagraph"/>
              <w:spacing w:before="92"/>
              <w:ind w:left="77"/>
              <w:rPr>
                <w:sz w:val="14"/>
              </w:rPr>
            </w:pPr>
            <w:r>
              <w:rPr>
                <w:color w:val="231F20"/>
                <w:w w:val="98"/>
                <w:sz w:val="14"/>
              </w:rPr>
              <w:t>Alianzas</w:t>
            </w:r>
            <w:r>
              <w:rPr>
                <w:color w:val="231F20"/>
                <w:spacing w:val="-4"/>
                <w:sz w:val="14"/>
              </w:rPr>
              <w:t> </w:t>
            </w:r>
            <w:r>
              <w:rPr>
                <w:color w:val="231F20"/>
                <w:w w:val="97"/>
                <w:sz w:val="14"/>
              </w:rPr>
              <w:t>y</w:t>
            </w:r>
            <w:r>
              <w:rPr>
                <w:color w:val="231F20"/>
                <w:spacing w:val="-4"/>
                <w:sz w:val="14"/>
              </w:rPr>
              <w:t> </w:t>
            </w:r>
            <w:r>
              <w:rPr>
                <w:color w:val="231F20"/>
                <w:w w:val="103"/>
                <w:sz w:val="14"/>
              </w:rPr>
              <w:t>vinculación</w:t>
            </w:r>
          </w:p>
        </w:tc>
        <w:tc>
          <w:tcPr>
            <w:tcW w:w="312" w:type="dxa"/>
            <w:textDirection w:val="btLr"/>
          </w:tcPr>
          <w:p>
            <w:pPr>
              <w:pStyle w:val="TableParagraph"/>
              <w:spacing w:before="91"/>
              <w:ind w:left="77"/>
              <w:rPr>
                <w:sz w:val="14"/>
              </w:rPr>
            </w:pPr>
            <w:r>
              <w:rPr>
                <w:color w:val="231F20"/>
                <w:spacing w:val="-14"/>
                <w:w w:val="93"/>
                <w:sz w:val="14"/>
              </w:rPr>
              <w:t>T</w:t>
            </w:r>
            <w:r>
              <w:rPr>
                <w:color w:val="231F20"/>
                <w:w w:val="104"/>
                <w:sz w:val="14"/>
              </w:rPr>
              <w:t>ecnología.</w:t>
            </w:r>
            <w:r>
              <w:rPr>
                <w:color w:val="231F20"/>
                <w:spacing w:val="-9"/>
                <w:sz w:val="14"/>
              </w:rPr>
              <w:t> </w:t>
            </w:r>
            <w:r>
              <w:rPr>
                <w:color w:val="231F20"/>
                <w:w w:val="100"/>
                <w:sz w:val="14"/>
              </w:rPr>
              <w:t>IyD</w:t>
            </w:r>
          </w:p>
        </w:tc>
      </w:tr>
      <w:tr>
        <w:trPr>
          <w:trHeight w:val="468" w:hRule="exact"/>
        </w:trPr>
        <w:tc>
          <w:tcPr>
            <w:tcW w:w="2247" w:type="dxa"/>
          </w:tcPr>
          <w:p>
            <w:pPr>
              <w:pStyle w:val="TableParagraph"/>
              <w:spacing w:line="249" w:lineRule="auto" w:before="86"/>
              <w:ind w:left="77" w:right="69"/>
              <w:rPr>
                <w:sz w:val="14"/>
              </w:rPr>
            </w:pPr>
            <w:r>
              <w:rPr>
                <w:color w:val="231F20"/>
                <w:w w:val="105"/>
                <w:sz w:val="14"/>
              </w:rPr>
              <w:t>Manejo de flujos de producción, materias primas e inventarios</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ind w:right="117"/>
              <w:jc w:val="right"/>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ind w:left="119"/>
              <w:rPr>
                <w:sz w:val="14"/>
              </w:rPr>
            </w:pPr>
            <w:r>
              <w:rPr>
                <w:color w:val="231F20"/>
                <w:w w:val="96"/>
                <w:sz w:val="14"/>
              </w:rPr>
              <w:t>x</w:t>
            </w:r>
          </w:p>
        </w:tc>
      </w:tr>
      <w:tr>
        <w:trPr>
          <w:trHeight w:val="468" w:hRule="exact"/>
        </w:trPr>
        <w:tc>
          <w:tcPr>
            <w:tcW w:w="2247" w:type="dxa"/>
          </w:tcPr>
          <w:p>
            <w:pPr>
              <w:pStyle w:val="TableParagraph"/>
              <w:spacing w:line="249" w:lineRule="auto" w:before="86"/>
              <w:ind w:left="77" w:right="-16"/>
              <w:rPr>
                <w:sz w:val="14"/>
              </w:rPr>
            </w:pPr>
            <w:r>
              <w:rPr>
                <w:color w:val="231F20"/>
                <w:w w:val="105"/>
                <w:sz w:val="14"/>
              </w:rPr>
              <w:t>Gestión de planeación </w:t>
            </w:r>
            <w:r>
              <w:rPr>
                <w:color w:val="231F20"/>
                <w:spacing w:val="-3"/>
                <w:w w:val="105"/>
                <w:sz w:val="14"/>
              </w:rPr>
              <w:t>marketing, I+D, </w:t>
            </w:r>
            <w:r>
              <w:rPr>
                <w:color w:val="231F20"/>
                <w:w w:val="105"/>
                <w:sz w:val="14"/>
              </w:rPr>
              <w:t>diseño y producción</w:t>
            </w:r>
          </w:p>
        </w:tc>
        <w:tc>
          <w:tcPr>
            <w:tcW w:w="312" w:type="dxa"/>
          </w:tcPr>
          <w:p>
            <w:pPr>
              <w:pStyle w:val="TableParagraph"/>
              <w:spacing w:before="9"/>
              <w:rPr>
                <w:sz w:val="14"/>
              </w:rPr>
            </w:pPr>
          </w:p>
          <w:p>
            <w:pPr>
              <w:pStyle w:val="TableParagraph"/>
              <w:ind w:left="119"/>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
        </w:tc>
        <w:tc>
          <w:tcPr>
            <w:tcW w:w="312" w:type="dxa"/>
          </w:tcPr>
          <w:p>
            <w:pPr>
              <w:pStyle w:val="TableParagraph"/>
              <w:spacing w:before="9"/>
              <w:rPr>
                <w:sz w:val="14"/>
              </w:rPr>
            </w:pPr>
          </w:p>
          <w:p>
            <w:pPr>
              <w:pStyle w:val="TableParagraph"/>
              <w:ind w:right="117"/>
              <w:jc w:val="right"/>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ind w:left="119"/>
              <w:rPr>
                <w:sz w:val="14"/>
              </w:rPr>
            </w:pPr>
            <w:r>
              <w:rPr>
                <w:color w:val="231F20"/>
                <w:w w:val="96"/>
                <w:sz w:val="14"/>
              </w:rPr>
              <w:t>x</w:t>
            </w:r>
          </w:p>
        </w:tc>
      </w:tr>
      <w:tr>
        <w:trPr>
          <w:trHeight w:val="468" w:hRule="exact"/>
        </w:trPr>
        <w:tc>
          <w:tcPr>
            <w:tcW w:w="2247" w:type="dxa"/>
          </w:tcPr>
          <w:p>
            <w:pPr>
              <w:pStyle w:val="TableParagraph"/>
              <w:spacing w:line="249" w:lineRule="auto" w:before="86"/>
              <w:ind w:left="77" w:right="69"/>
              <w:rPr>
                <w:sz w:val="14"/>
              </w:rPr>
            </w:pPr>
            <w:r>
              <w:rPr>
                <w:color w:val="231F20"/>
                <w:w w:val="105"/>
                <w:sz w:val="14"/>
              </w:rPr>
              <w:t>Combinar I+D e innovación con </w:t>
            </w:r>
            <w:r>
              <w:rPr>
                <w:color w:val="231F20"/>
                <w:sz w:val="14"/>
              </w:rPr>
              <w:t>cooperación externa</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Style w:val="TableParagraph"/>
              <w:spacing w:before="9"/>
              <w:rPr>
                <w:sz w:val="14"/>
              </w:rPr>
            </w:pPr>
          </w:p>
          <w:p>
            <w:pPr>
              <w:pStyle w:val="TableParagraph"/>
              <w:ind w:left="119"/>
              <w:rPr>
                <w:sz w:val="14"/>
              </w:rPr>
            </w:pPr>
            <w:r>
              <w:rPr>
                <w:color w:val="231F20"/>
                <w:w w:val="96"/>
                <w:sz w:val="14"/>
              </w:rPr>
              <w:t>x</w:t>
            </w:r>
          </w:p>
        </w:tc>
      </w:tr>
      <w:tr>
        <w:trPr>
          <w:trHeight w:val="636" w:hRule="exact"/>
        </w:trPr>
        <w:tc>
          <w:tcPr>
            <w:tcW w:w="2247" w:type="dxa"/>
          </w:tcPr>
          <w:p>
            <w:pPr>
              <w:pStyle w:val="TableParagraph"/>
              <w:spacing w:line="249" w:lineRule="auto" w:before="86"/>
              <w:ind w:left="77" w:right="69"/>
              <w:jc w:val="both"/>
              <w:rPr>
                <w:sz w:val="14"/>
              </w:rPr>
            </w:pPr>
            <w:r>
              <w:rPr>
                <w:color w:val="231F20"/>
                <w:sz w:val="14"/>
              </w:rPr>
              <w:t>Incorporar características de de- manda, evolución de mercados, diseño  y producción</w:t>
            </w: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rPr>
                <w:sz w:val="14"/>
              </w:rPr>
            </w:pPr>
          </w:p>
          <w:p>
            <w:pPr>
              <w:pStyle w:val="TableParagraph"/>
              <w:spacing w:before="93"/>
              <w:jc w:val="center"/>
              <w:rPr>
                <w:sz w:val="14"/>
              </w:rPr>
            </w:pPr>
            <w:r>
              <w:rPr>
                <w:color w:val="231F20"/>
                <w:w w:val="96"/>
                <w:sz w:val="14"/>
              </w:rPr>
              <w:t>x</w:t>
            </w:r>
          </w:p>
        </w:tc>
        <w:tc>
          <w:tcPr>
            <w:tcW w:w="312" w:type="dxa"/>
          </w:tcPr>
          <w:p>
            <w:pPr/>
          </w:p>
        </w:tc>
        <w:tc>
          <w:tcPr>
            <w:tcW w:w="312" w:type="dxa"/>
          </w:tcPr>
          <w:p>
            <w:pPr>
              <w:pStyle w:val="TableParagraph"/>
              <w:rPr>
                <w:sz w:val="14"/>
              </w:rPr>
            </w:pPr>
          </w:p>
          <w:p>
            <w:pPr>
              <w:pStyle w:val="TableParagraph"/>
              <w:spacing w:before="93"/>
              <w:ind w:right="117"/>
              <w:jc w:val="right"/>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
        </w:tc>
      </w:tr>
      <w:tr>
        <w:trPr>
          <w:trHeight w:val="468" w:hRule="exact"/>
        </w:trPr>
        <w:tc>
          <w:tcPr>
            <w:tcW w:w="2247" w:type="dxa"/>
          </w:tcPr>
          <w:p>
            <w:pPr>
              <w:pStyle w:val="TableParagraph"/>
              <w:spacing w:line="249" w:lineRule="auto" w:before="86"/>
              <w:ind w:left="77" w:right="12"/>
              <w:rPr>
                <w:sz w:val="14"/>
              </w:rPr>
            </w:pPr>
            <w:r>
              <w:rPr>
                <w:color w:val="231F20"/>
                <w:w w:val="105"/>
                <w:sz w:val="14"/>
              </w:rPr>
              <w:t>Organizar interacciones con pro- veedores y clientes</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
        </w:tc>
      </w:tr>
      <w:tr>
        <w:trPr>
          <w:trHeight w:val="468" w:hRule="exact"/>
        </w:trPr>
        <w:tc>
          <w:tcPr>
            <w:tcW w:w="2247" w:type="dxa"/>
          </w:tcPr>
          <w:p>
            <w:pPr>
              <w:pStyle w:val="TableParagraph"/>
              <w:spacing w:line="249" w:lineRule="auto" w:before="86"/>
              <w:ind w:left="77" w:right="-5"/>
              <w:rPr>
                <w:sz w:val="14"/>
              </w:rPr>
            </w:pPr>
            <w:r>
              <w:rPr>
                <w:color w:val="231F20"/>
                <w:w w:val="105"/>
                <w:sz w:val="14"/>
              </w:rPr>
              <w:t>Entrenar, especializar y generar responsabilidad en la producción</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ind w:right="117"/>
              <w:jc w:val="right"/>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
        </w:tc>
        <w:tc>
          <w:tcPr>
            <w:tcW w:w="312" w:type="dxa"/>
          </w:tcPr>
          <w:p>
            <w:pPr/>
          </w:p>
        </w:tc>
      </w:tr>
      <w:tr>
        <w:trPr>
          <w:trHeight w:val="300" w:hRule="exact"/>
        </w:trPr>
        <w:tc>
          <w:tcPr>
            <w:tcW w:w="2247" w:type="dxa"/>
          </w:tcPr>
          <w:p>
            <w:pPr>
              <w:pStyle w:val="TableParagraph"/>
              <w:spacing w:before="86"/>
              <w:ind w:left="77" w:right="69"/>
              <w:rPr>
                <w:sz w:val="14"/>
              </w:rPr>
            </w:pPr>
            <w:r>
              <w:rPr>
                <w:color w:val="231F20"/>
                <w:w w:val="105"/>
                <w:sz w:val="14"/>
              </w:rPr>
              <w:t>Capacidad de gestión</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86"/>
              <w:ind w:right="117"/>
              <w:jc w:val="right"/>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
        </w:tc>
        <w:tc>
          <w:tcPr>
            <w:tcW w:w="312" w:type="dxa"/>
          </w:tcPr>
          <w:p>
            <w:pPr/>
          </w:p>
        </w:tc>
      </w:tr>
      <w:tr>
        <w:trPr>
          <w:trHeight w:val="300" w:hRule="exact"/>
        </w:trPr>
        <w:tc>
          <w:tcPr>
            <w:tcW w:w="2247" w:type="dxa"/>
          </w:tcPr>
          <w:p>
            <w:pPr>
              <w:pStyle w:val="TableParagraph"/>
              <w:spacing w:before="86"/>
              <w:ind w:left="77" w:right="69"/>
              <w:rPr>
                <w:sz w:val="14"/>
              </w:rPr>
            </w:pPr>
            <w:r>
              <w:rPr>
                <w:color w:val="231F20"/>
                <w:sz w:val="14"/>
              </w:rPr>
              <w:t>Estrategias empresariales</w:t>
            </w:r>
          </w:p>
        </w:tc>
        <w:tc>
          <w:tcPr>
            <w:tcW w:w="312" w:type="dxa"/>
          </w:tcPr>
          <w:p>
            <w:pPr>
              <w:pStyle w:val="TableParagraph"/>
              <w:spacing w:before="86"/>
              <w:ind w:left="119"/>
              <w:rPr>
                <w:sz w:val="14"/>
              </w:rPr>
            </w:pPr>
            <w:r>
              <w:rPr>
                <w:color w:val="231F20"/>
                <w:w w:val="96"/>
                <w:sz w:val="14"/>
              </w:rPr>
              <w:t>x</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r>
      <w:tr>
        <w:trPr>
          <w:trHeight w:val="300" w:hRule="exact"/>
        </w:trPr>
        <w:tc>
          <w:tcPr>
            <w:tcW w:w="2247" w:type="dxa"/>
          </w:tcPr>
          <w:p>
            <w:pPr>
              <w:pStyle w:val="TableParagraph"/>
              <w:spacing w:before="86"/>
              <w:ind w:left="77" w:right="69"/>
              <w:rPr>
                <w:sz w:val="14"/>
              </w:rPr>
            </w:pPr>
            <w:r>
              <w:rPr>
                <w:color w:val="231F20"/>
                <w:w w:val="105"/>
                <w:sz w:val="14"/>
              </w:rPr>
              <w:t>Gestión de innovación</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86"/>
              <w:ind w:left="119"/>
              <w:rPr>
                <w:sz w:val="14"/>
              </w:rPr>
            </w:pPr>
            <w:r>
              <w:rPr>
                <w:color w:val="231F20"/>
                <w:w w:val="96"/>
                <w:sz w:val="14"/>
              </w:rPr>
              <w:t>x</w:t>
            </w:r>
          </w:p>
        </w:tc>
      </w:tr>
      <w:tr>
        <w:trPr>
          <w:trHeight w:val="468" w:hRule="exact"/>
        </w:trPr>
        <w:tc>
          <w:tcPr>
            <w:tcW w:w="2247" w:type="dxa"/>
          </w:tcPr>
          <w:p>
            <w:pPr>
              <w:pStyle w:val="TableParagraph"/>
              <w:spacing w:line="249" w:lineRule="auto" w:before="86"/>
              <w:ind w:left="77" w:right="60"/>
              <w:rPr>
                <w:sz w:val="14"/>
              </w:rPr>
            </w:pPr>
            <w:r>
              <w:rPr>
                <w:color w:val="231F20"/>
                <w:w w:val="105"/>
                <w:sz w:val="14"/>
              </w:rPr>
              <w:t>Mejores</w:t>
            </w:r>
            <w:r>
              <w:rPr>
                <w:color w:val="231F20"/>
                <w:spacing w:val="-26"/>
                <w:w w:val="105"/>
                <w:sz w:val="14"/>
              </w:rPr>
              <w:t> </w:t>
            </w:r>
            <w:r>
              <w:rPr>
                <w:color w:val="231F20"/>
                <w:w w:val="105"/>
                <w:sz w:val="14"/>
              </w:rPr>
              <w:t>prácticas</w:t>
            </w:r>
            <w:r>
              <w:rPr>
                <w:color w:val="231F20"/>
                <w:spacing w:val="-26"/>
                <w:w w:val="105"/>
                <w:sz w:val="14"/>
              </w:rPr>
              <w:t> </w:t>
            </w:r>
            <w:r>
              <w:rPr>
                <w:color w:val="231F20"/>
                <w:w w:val="105"/>
                <w:sz w:val="14"/>
              </w:rPr>
              <w:t>en</w:t>
            </w:r>
            <w:r>
              <w:rPr>
                <w:color w:val="231F20"/>
                <w:spacing w:val="-26"/>
                <w:w w:val="105"/>
                <w:sz w:val="14"/>
              </w:rPr>
              <w:t> </w:t>
            </w:r>
            <w:r>
              <w:rPr>
                <w:color w:val="231F20"/>
                <w:w w:val="105"/>
                <w:sz w:val="14"/>
              </w:rPr>
              <w:t>el</w:t>
            </w:r>
            <w:r>
              <w:rPr>
                <w:color w:val="231F20"/>
                <w:spacing w:val="-26"/>
                <w:w w:val="105"/>
                <w:sz w:val="14"/>
              </w:rPr>
              <w:t> </w:t>
            </w:r>
            <w:r>
              <w:rPr>
                <w:color w:val="231F20"/>
                <w:w w:val="105"/>
                <w:sz w:val="14"/>
              </w:rPr>
              <w:t>ciclo</w:t>
            </w:r>
            <w:r>
              <w:rPr>
                <w:color w:val="231F20"/>
                <w:spacing w:val="-26"/>
                <w:w w:val="105"/>
                <w:sz w:val="14"/>
              </w:rPr>
              <w:t> </w:t>
            </w:r>
            <w:r>
              <w:rPr>
                <w:color w:val="231F20"/>
                <w:w w:val="105"/>
                <w:sz w:val="14"/>
              </w:rPr>
              <w:t>com- pleto de</w:t>
            </w:r>
            <w:r>
              <w:rPr>
                <w:color w:val="231F20"/>
                <w:spacing w:val="5"/>
                <w:w w:val="105"/>
                <w:sz w:val="14"/>
              </w:rPr>
              <w:t> </w:t>
            </w:r>
            <w:r>
              <w:rPr>
                <w:color w:val="231F20"/>
                <w:w w:val="105"/>
                <w:sz w:val="14"/>
              </w:rPr>
              <w:t>producción</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ind w:right="117"/>
              <w:jc w:val="right"/>
              <w:rPr>
                <w:sz w:val="14"/>
              </w:rPr>
            </w:pPr>
            <w:r>
              <w:rPr>
                <w:color w:val="231F20"/>
                <w:w w:val="96"/>
                <w:sz w:val="14"/>
              </w:rPr>
              <w:t>x</w:t>
            </w:r>
          </w:p>
        </w:tc>
        <w:tc>
          <w:tcPr>
            <w:tcW w:w="312" w:type="dxa"/>
          </w:tcPr>
          <w:p>
            <w:pPr/>
          </w:p>
        </w:tc>
        <w:tc>
          <w:tcPr>
            <w:tcW w:w="312" w:type="dxa"/>
          </w:tcPr>
          <w:p>
            <w:pPr/>
          </w:p>
        </w:tc>
        <w:tc>
          <w:tcPr>
            <w:tcW w:w="312" w:type="dxa"/>
          </w:tcPr>
          <w:p>
            <w:pPr/>
          </w:p>
        </w:tc>
      </w:tr>
      <w:tr>
        <w:trPr>
          <w:trHeight w:val="468" w:hRule="exact"/>
        </w:trPr>
        <w:tc>
          <w:tcPr>
            <w:tcW w:w="2247" w:type="dxa"/>
          </w:tcPr>
          <w:p>
            <w:pPr>
              <w:pStyle w:val="TableParagraph"/>
              <w:spacing w:line="249" w:lineRule="auto" w:before="86"/>
              <w:ind w:left="77" w:right="69"/>
              <w:rPr>
                <w:sz w:val="14"/>
              </w:rPr>
            </w:pPr>
            <w:r>
              <w:rPr>
                <w:color w:val="231F20"/>
                <w:w w:val="105"/>
                <w:sz w:val="14"/>
              </w:rPr>
              <w:t>Desarrollo de producción y co- mercialización</w:t>
            </w: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
        </w:tc>
        <w:tc>
          <w:tcPr>
            <w:tcW w:w="312" w:type="dxa"/>
          </w:tcPr>
          <w:p>
            <w:pPr/>
          </w:p>
        </w:tc>
        <w:tc>
          <w:tcPr>
            <w:tcW w:w="312" w:type="dxa"/>
          </w:tcPr>
          <w:p>
            <w:pPr>
              <w:pStyle w:val="TableParagraph"/>
              <w:spacing w:before="9"/>
              <w:rPr>
                <w:sz w:val="14"/>
              </w:rPr>
            </w:pPr>
          </w:p>
          <w:p>
            <w:pPr>
              <w:pStyle w:val="TableParagraph"/>
              <w:ind w:right="117"/>
              <w:jc w:val="right"/>
              <w:rPr>
                <w:sz w:val="14"/>
              </w:rPr>
            </w:pPr>
            <w:r>
              <w:rPr>
                <w:color w:val="231F20"/>
                <w:w w:val="96"/>
                <w:sz w:val="14"/>
              </w:rPr>
              <w:t>x</w:t>
            </w:r>
          </w:p>
        </w:tc>
        <w:tc>
          <w:tcPr>
            <w:tcW w:w="312" w:type="dxa"/>
          </w:tcPr>
          <w:p>
            <w:pPr/>
          </w:p>
        </w:tc>
        <w:tc>
          <w:tcPr>
            <w:tcW w:w="312" w:type="dxa"/>
          </w:tcPr>
          <w:p>
            <w:pPr/>
          </w:p>
        </w:tc>
        <w:tc>
          <w:tcPr>
            <w:tcW w:w="312" w:type="dxa"/>
          </w:tcPr>
          <w:p>
            <w:pPr/>
          </w:p>
        </w:tc>
      </w:tr>
      <w:tr>
        <w:trPr>
          <w:trHeight w:val="468" w:hRule="exact"/>
        </w:trPr>
        <w:tc>
          <w:tcPr>
            <w:tcW w:w="2247" w:type="dxa"/>
          </w:tcPr>
          <w:p>
            <w:pPr>
              <w:pStyle w:val="TableParagraph"/>
              <w:spacing w:line="249" w:lineRule="auto" w:before="86"/>
              <w:ind w:left="77" w:right="67"/>
              <w:rPr>
                <w:sz w:val="14"/>
              </w:rPr>
            </w:pPr>
            <w:r>
              <w:rPr>
                <w:color w:val="231F20"/>
                <w:w w:val="105"/>
                <w:sz w:val="14"/>
              </w:rPr>
              <w:t>Integración</w:t>
            </w:r>
            <w:r>
              <w:rPr>
                <w:color w:val="231F20"/>
                <w:spacing w:val="-22"/>
                <w:w w:val="105"/>
                <w:sz w:val="14"/>
              </w:rPr>
              <w:t> </w:t>
            </w:r>
            <w:r>
              <w:rPr>
                <w:color w:val="231F20"/>
                <w:w w:val="105"/>
                <w:sz w:val="14"/>
              </w:rPr>
              <w:t>en</w:t>
            </w:r>
            <w:r>
              <w:rPr>
                <w:color w:val="231F20"/>
                <w:spacing w:val="-22"/>
                <w:w w:val="105"/>
                <w:sz w:val="14"/>
              </w:rPr>
              <w:t> </w:t>
            </w:r>
            <w:r>
              <w:rPr>
                <w:color w:val="231F20"/>
                <w:w w:val="105"/>
                <w:sz w:val="14"/>
              </w:rPr>
              <w:t>redes</w:t>
            </w:r>
            <w:r>
              <w:rPr>
                <w:color w:val="231F20"/>
                <w:spacing w:val="-22"/>
                <w:w w:val="105"/>
                <w:sz w:val="14"/>
              </w:rPr>
              <w:t> </w:t>
            </w:r>
            <w:r>
              <w:rPr>
                <w:color w:val="231F20"/>
                <w:w w:val="105"/>
                <w:sz w:val="14"/>
              </w:rPr>
              <w:t>de</w:t>
            </w:r>
            <w:r>
              <w:rPr>
                <w:color w:val="231F20"/>
                <w:spacing w:val="-22"/>
                <w:w w:val="105"/>
                <w:sz w:val="14"/>
              </w:rPr>
              <w:t> </w:t>
            </w:r>
            <w:r>
              <w:rPr>
                <w:color w:val="231F20"/>
                <w:w w:val="105"/>
                <w:sz w:val="14"/>
              </w:rPr>
              <w:t>coopera- ción</w:t>
            </w:r>
            <w:r>
              <w:rPr>
                <w:color w:val="231F20"/>
                <w:spacing w:val="-13"/>
                <w:w w:val="105"/>
                <w:sz w:val="14"/>
              </w:rPr>
              <w:t> </w:t>
            </w:r>
            <w:r>
              <w:rPr>
                <w:color w:val="231F20"/>
                <w:w w:val="105"/>
                <w:sz w:val="14"/>
              </w:rPr>
              <w:t>tecnológica</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Style w:val="TableParagraph"/>
              <w:spacing w:before="9"/>
              <w:rPr>
                <w:sz w:val="14"/>
              </w:rPr>
            </w:pPr>
          </w:p>
          <w:p>
            <w:pPr>
              <w:pStyle w:val="TableParagraph"/>
              <w:ind w:left="119"/>
              <w:rPr>
                <w:sz w:val="14"/>
              </w:rPr>
            </w:pPr>
            <w:r>
              <w:rPr>
                <w:color w:val="231F20"/>
                <w:w w:val="96"/>
                <w:sz w:val="14"/>
              </w:rPr>
              <w:t>x</w:t>
            </w:r>
          </w:p>
        </w:tc>
      </w:tr>
      <w:tr>
        <w:trPr>
          <w:trHeight w:val="300" w:hRule="exact"/>
        </w:trPr>
        <w:tc>
          <w:tcPr>
            <w:tcW w:w="2247" w:type="dxa"/>
          </w:tcPr>
          <w:p>
            <w:pPr>
              <w:pStyle w:val="TableParagraph"/>
              <w:spacing w:before="86"/>
              <w:ind w:left="77" w:right="69"/>
              <w:rPr>
                <w:sz w:val="14"/>
              </w:rPr>
            </w:pPr>
            <w:r>
              <w:rPr>
                <w:color w:val="231F20"/>
                <w:sz w:val="14"/>
              </w:rPr>
              <w:t>Logística empresarial</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86"/>
              <w:ind w:right="117"/>
              <w:jc w:val="right"/>
              <w:rPr>
                <w:sz w:val="14"/>
              </w:rPr>
            </w:pPr>
            <w:r>
              <w:rPr>
                <w:color w:val="231F20"/>
                <w:w w:val="96"/>
                <w:sz w:val="14"/>
              </w:rPr>
              <w:t>x</w:t>
            </w:r>
          </w:p>
        </w:tc>
        <w:tc>
          <w:tcPr>
            <w:tcW w:w="312" w:type="dxa"/>
          </w:tcPr>
          <w:p>
            <w:pPr/>
          </w:p>
        </w:tc>
        <w:tc>
          <w:tcPr>
            <w:tcW w:w="312" w:type="dxa"/>
          </w:tcPr>
          <w:p>
            <w:pPr/>
          </w:p>
        </w:tc>
        <w:tc>
          <w:tcPr>
            <w:tcW w:w="312" w:type="dxa"/>
          </w:tcPr>
          <w:p>
            <w:pPr/>
          </w:p>
        </w:tc>
      </w:tr>
      <w:tr>
        <w:trPr>
          <w:trHeight w:val="468" w:hRule="exact"/>
        </w:trPr>
        <w:tc>
          <w:tcPr>
            <w:tcW w:w="2247" w:type="dxa"/>
          </w:tcPr>
          <w:p>
            <w:pPr>
              <w:pStyle w:val="TableParagraph"/>
              <w:spacing w:line="249" w:lineRule="auto" w:before="86"/>
              <w:ind w:left="77" w:right="69"/>
              <w:rPr>
                <w:sz w:val="14"/>
              </w:rPr>
            </w:pPr>
            <w:r>
              <w:rPr>
                <w:color w:val="231F20"/>
                <w:w w:val="105"/>
                <w:sz w:val="14"/>
              </w:rPr>
              <w:t>Interacción de proveedores y productores</w:t>
            </w: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
        </w:tc>
        <w:tc>
          <w:tcPr>
            <w:tcW w:w="312" w:type="dxa"/>
          </w:tcPr>
          <w:p>
            <w:pPr>
              <w:pStyle w:val="TableParagraph"/>
              <w:spacing w:before="9"/>
              <w:rPr>
                <w:sz w:val="14"/>
              </w:rPr>
            </w:pPr>
          </w:p>
          <w:p>
            <w:pPr>
              <w:pStyle w:val="TableParagraph"/>
              <w:jc w:val="center"/>
              <w:rPr>
                <w:sz w:val="14"/>
              </w:rPr>
            </w:pPr>
            <w:r>
              <w:rPr>
                <w:color w:val="231F20"/>
                <w:w w:val="96"/>
                <w:sz w:val="14"/>
              </w:rPr>
              <w:t>x</w:t>
            </w:r>
          </w:p>
        </w:tc>
        <w:tc>
          <w:tcPr>
            <w:tcW w:w="312" w:type="dxa"/>
          </w:tcPr>
          <w:p>
            <w:pPr/>
          </w:p>
        </w:tc>
      </w:tr>
    </w:tbl>
    <w:p>
      <w:pPr>
        <w:spacing w:before="18"/>
        <w:ind w:left="545" w:right="2382" w:firstLine="0"/>
        <w:jc w:val="left"/>
        <w:rPr>
          <w:sz w:val="16"/>
        </w:rPr>
      </w:pPr>
      <w:r>
        <w:rPr>
          <w:color w:val="231F20"/>
          <w:sz w:val="16"/>
        </w:rPr>
        <w:t>Fuente: Demuner,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p>
    <w:p>
      <w:pPr>
        <w:tabs>
          <w:tab w:pos="1177" w:val="left" w:leader="none"/>
        </w:tabs>
        <w:spacing w:before="0"/>
        <w:ind w:left="127" w:right="0" w:firstLine="0"/>
        <w:jc w:val="left"/>
        <w:rPr>
          <w:rFonts w:ascii="Calibri" w:hAnsi="Calibri"/>
          <w:sz w:val="15"/>
        </w:rPr>
      </w:pPr>
      <w:r>
        <w:rPr/>
        <w:pict>
          <v:group style="position:absolute;margin-left:101.817299pt;margin-top:-20.299887pt;width:17.850pt;height:56.5pt;mso-position-horizontal-relative:page;mso-position-vertical-relative:paragraph;z-index:-245488"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56</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340" w:right="1340"/>
        </w:sectPr>
      </w:pPr>
    </w:p>
    <w:p>
      <w:pPr>
        <w:pStyle w:val="BodyText"/>
        <w:rPr>
          <w:rFonts w:ascii="Calibri"/>
          <w:sz w:val="20"/>
        </w:rPr>
      </w:pPr>
    </w:p>
    <w:p>
      <w:pPr>
        <w:pStyle w:val="BodyText"/>
        <w:spacing w:before="8"/>
        <w:rPr>
          <w:rFonts w:ascii="Calibri"/>
          <w:sz w:val="20"/>
        </w:rPr>
      </w:pPr>
    </w:p>
    <w:p>
      <w:pPr>
        <w:tabs>
          <w:tab w:pos="6876" w:val="right" w:leader="none"/>
        </w:tabs>
        <w:spacing w:line="208" w:lineRule="exact" w:before="52"/>
        <w:ind w:left="1480" w:right="0" w:firstLine="0"/>
        <w:jc w:val="left"/>
        <w:rPr>
          <w:sz w:val="20"/>
        </w:rPr>
      </w:pPr>
      <w:r>
        <w:rPr/>
        <w:pict>
          <v:line style="position:absolute;mso-position-horizontal-relative:page;mso-position-vertical-relative:paragraph;z-index:-245464"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57</w:t>
      </w:r>
    </w:p>
    <w:p>
      <w:pPr>
        <w:spacing w:line="187" w:lineRule="exact" w:before="0"/>
        <w:ind w:left="4146" w:right="0" w:firstLine="0"/>
        <w:jc w:val="left"/>
        <w:rPr>
          <w:rFonts w:ascii="Lucida Sans Unicode" w:hAnsi="Lucida Sans Unicode"/>
          <w:sz w:val="14"/>
        </w:rPr>
      </w:pPr>
      <w:r>
        <w:rPr>
          <w:rFonts w:ascii="Lucida Sans Unicode" w:hAnsi="Lucida Sans Unicode"/>
          <w:color w:val="6D6E71"/>
          <w:sz w:val="14"/>
        </w:rPr>
        <w:t>De la competItIvIDaD sIstémIca</w:t>
      </w:r>
    </w:p>
    <w:p>
      <w:pPr>
        <w:spacing w:line="249" w:lineRule="auto" w:before="475"/>
        <w:ind w:left="2119" w:right="565" w:hanging="1454"/>
        <w:jc w:val="left"/>
        <w:rPr>
          <w:sz w:val="18"/>
        </w:rPr>
      </w:pPr>
      <w:r>
        <w:rPr>
          <w:color w:val="231F20"/>
          <w:w w:val="105"/>
          <w:sz w:val="18"/>
        </w:rPr>
        <w:t>Figura</w:t>
      </w:r>
      <w:r>
        <w:rPr>
          <w:color w:val="231F20"/>
          <w:spacing w:val="-12"/>
          <w:w w:val="105"/>
          <w:sz w:val="18"/>
        </w:rPr>
        <w:t> </w:t>
      </w:r>
      <w:r>
        <w:rPr>
          <w:color w:val="231F20"/>
          <w:w w:val="105"/>
          <w:sz w:val="18"/>
        </w:rPr>
        <w:t>6.</w:t>
      </w:r>
      <w:r>
        <w:rPr>
          <w:color w:val="231F20"/>
          <w:spacing w:val="-17"/>
          <w:w w:val="105"/>
          <w:sz w:val="18"/>
        </w:rPr>
        <w:t> </w:t>
      </w:r>
      <w:r>
        <w:rPr>
          <w:color w:val="231F20"/>
          <w:w w:val="105"/>
          <w:sz w:val="18"/>
        </w:rPr>
        <w:t>Determinantes</w:t>
      </w:r>
      <w:r>
        <w:rPr>
          <w:color w:val="231F20"/>
          <w:spacing w:val="-12"/>
          <w:w w:val="105"/>
          <w:sz w:val="18"/>
        </w:rPr>
        <w:t> </w:t>
      </w:r>
      <w:r>
        <w:rPr>
          <w:color w:val="231F20"/>
          <w:w w:val="105"/>
          <w:sz w:val="18"/>
        </w:rPr>
        <w:t>de</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competitividad</w:t>
      </w:r>
      <w:r>
        <w:rPr>
          <w:color w:val="231F20"/>
          <w:spacing w:val="-12"/>
          <w:w w:val="105"/>
          <w:sz w:val="18"/>
        </w:rPr>
        <w:t> </w:t>
      </w:r>
      <w:r>
        <w:rPr>
          <w:color w:val="231F20"/>
          <w:w w:val="105"/>
          <w:sz w:val="18"/>
        </w:rPr>
        <w:t>empresarial</w:t>
      </w:r>
      <w:r>
        <w:rPr>
          <w:color w:val="231F20"/>
          <w:spacing w:val="-12"/>
          <w:w w:val="105"/>
          <w:sz w:val="18"/>
        </w:rPr>
        <w:t> </w:t>
      </w:r>
      <w:r>
        <w:rPr>
          <w:color w:val="231F20"/>
          <w:w w:val="105"/>
          <w:sz w:val="18"/>
        </w:rPr>
        <w:t>para</w:t>
      </w:r>
      <w:r>
        <w:rPr>
          <w:color w:val="231F20"/>
          <w:spacing w:val="-12"/>
          <w:w w:val="105"/>
          <w:sz w:val="18"/>
        </w:rPr>
        <w:t> </w:t>
      </w:r>
      <w:r>
        <w:rPr>
          <w:color w:val="231F20"/>
          <w:w w:val="105"/>
          <w:sz w:val="18"/>
        </w:rPr>
        <w:t>países con</w:t>
      </w:r>
      <w:r>
        <w:rPr>
          <w:color w:val="231F20"/>
          <w:spacing w:val="-15"/>
          <w:w w:val="105"/>
          <w:sz w:val="18"/>
        </w:rPr>
        <w:t> </w:t>
      </w:r>
      <w:r>
        <w:rPr>
          <w:color w:val="231F20"/>
          <w:w w:val="105"/>
          <w:sz w:val="18"/>
        </w:rPr>
        <w:t>ingresos</w:t>
      </w:r>
      <w:r>
        <w:rPr>
          <w:color w:val="231F20"/>
          <w:spacing w:val="-15"/>
          <w:w w:val="105"/>
          <w:sz w:val="18"/>
        </w:rPr>
        <w:t> </w:t>
      </w:r>
      <w:r>
        <w:rPr>
          <w:color w:val="231F20"/>
          <w:w w:val="105"/>
          <w:sz w:val="18"/>
        </w:rPr>
        <w:t>medios</w:t>
      </w:r>
      <w:r>
        <w:rPr>
          <w:color w:val="231F20"/>
          <w:spacing w:val="-15"/>
          <w:w w:val="105"/>
          <w:sz w:val="18"/>
        </w:rPr>
        <w:t> </w:t>
      </w:r>
      <w:r>
        <w:rPr>
          <w:color w:val="231F20"/>
          <w:w w:val="105"/>
          <w:sz w:val="18"/>
        </w:rPr>
        <w:t>según</w:t>
      </w:r>
      <w:r>
        <w:rPr>
          <w:color w:val="231F20"/>
          <w:spacing w:val="-15"/>
          <w:w w:val="105"/>
          <w:sz w:val="18"/>
        </w:rPr>
        <w:t> </w:t>
      </w:r>
      <w:r>
        <w:rPr>
          <w:color w:val="231F20"/>
          <w:spacing w:val="-4"/>
          <w:w w:val="105"/>
          <w:sz w:val="18"/>
        </w:rPr>
        <w:t>Porter.</w:t>
      </w:r>
    </w:p>
    <w:p>
      <w:pPr>
        <w:pStyle w:val="BodyText"/>
        <w:spacing w:before="9"/>
        <w:rPr>
          <w:sz w:val="12"/>
        </w:rPr>
      </w:pPr>
    </w:p>
    <w:tbl>
      <w:tblPr>
        <w:tblW w:w="0" w:type="auto"/>
        <w:jc w:val="left"/>
        <w:tblInd w:w="60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247"/>
        <w:gridCol w:w="329"/>
        <w:gridCol w:w="329"/>
        <w:gridCol w:w="329"/>
        <w:gridCol w:w="329"/>
        <w:gridCol w:w="329"/>
        <w:gridCol w:w="329"/>
        <w:gridCol w:w="329"/>
        <w:gridCol w:w="329"/>
        <w:gridCol w:w="329"/>
        <w:gridCol w:w="329"/>
        <w:gridCol w:w="329"/>
      </w:tblGrid>
      <w:tr>
        <w:trPr>
          <w:trHeight w:val="2021" w:hRule="exact"/>
        </w:trPr>
        <w:tc>
          <w:tcPr>
            <w:tcW w:w="224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7"/>
              </w:rPr>
            </w:pPr>
          </w:p>
          <w:p>
            <w:pPr>
              <w:pStyle w:val="TableParagraph"/>
              <w:ind w:left="847" w:right="847"/>
              <w:jc w:val="center"/>
              <w:rPr>
                <w:sz w:val="14"/>
              </w:rPr>
            </w:pPr>
            <w:r>
              <w:rPr>
                <w:color w:val="231F20"/>
                <w:w w:val="105"/>
                <w:sz w:val="14"/>
              </w:rPr>
              <w:t>Autores</w:t>
            </w:r>
          </w:p>
        </w:tc>
        <w:tc>
          <w:tcPr>
            <w:tcW w:w="329" w:type="dxa"/>
            <w:textDirection w:val="btLr"/>
          </w:tcPr>
          <w:p>
            <w:pPr>
              <w:pStyle w:val="TableParagraph"/>
              <w:spacing w:before="86"/>
              <w:ind w:left="77"/>
              <w:rPr>
                <w:sz w:val="14"/>
              </w:rPr>
            </w:pPr>
            <w:r>
              <w:rPr>
                <w:color w:val="231F20"/>
                <w:w w:val="96"/>
                <w:sz w:val="14"/>
              </w:rPr>
              <w:t>Est</w:t>
            </w:r>
            <w:r>
              <w:rPr>
                <w:color w:val="231F20"/>
                <w:spacing w:val="-2"/>
                <w:w w:val="96"/>
                <w:sz w:val="14"/>
              </w:rPr>
              <w:t>r</w:t>
            </w:r>
            <w:r>
              <w:rPr>
                <w:color w:val="231F20"/>
                <w:spacing w:val="-2"/>
                <w:w w:val="96"/>
                <w:sz w:val="14"/>
              </w:rPr>
              <w:t>a</w:t>
            </w:r>
            <w:r>
              <w:rPr>
                <w:color w:val="231F20"/>
                <w:w w:val="106"/>
                <w:sz w:val="14"/>
              </w:rPr>
              <w:t>tegia</w:t>
            </w:r>
          </w:p>
        </w:tc>
        <w:tc>
          <w:tcPr>
            <w:tcW w:w="329" w:type="dxa"/>
            <w:textDirection w:val="btLr"/>
          </w:tcPr>
          <w:p>
            <w:pPr>
              <w:pStyle w:val="TableParagraph"/>
              <w:spacing w:before="86"/>
              <w:ind w:left="77"/>
              <w:rPr>
                <w:sz w:val="14"/>
              </w:rPr>
            </w:pPr>
            <w:r>
              <w:rPr>
                <w:color w:val="231F20"/>
                <w:w w:val="104"/>
                <w:sz w:val="14"/>
              </w:rPr>
              <w:t>Lide</w:t>
            </w:r>
            <w:r>
              <w:rPr>
                <w:color w:val="231F20"/>
                <w:spacing w:val="-2"/>
                <w:w w:val="104"/>
                <w:sz w:val="14"/>
              </w:rPr>
              <w:t>r</w:t>
            </w:r>
            <w:r>
              <w:rPr>
                <w:color w:val="231F20"/>
                <w:w w:val="102"/>
                <w:sz w:val="14"/>
              </w:rPr>
              <w:t>azgo</w:t>
            </w:r>
          </w:p>
        </w:tc>
        <w:tc>
          <w:tcPr>
            <w:tcW w:w="329" w:type="dxa"/>
            <w:textDirection w:val="btLr"/>
          </w:tcPr>
          <w:p>
            <w:pPr>
              <w:pStyle w:val="TableParagraph"/>
              <w:spacing w:before="86"/>
              <w:ind w:left="77"/>
              <w:rPr>
                <w:sz w:val="14"/>
              </w:rPr>
            </w:pPr>
            <w:r>
              <w:rPr>
                <w:color w:val="231F20"/>
                <w:w w:val="103"/>
                <w:sz w:val="14"/>
              </w:rPr>
              <w:t>Gestión</w:t>
            </w:r>
            <w:r>
              <w:rPr>
                <w:color w:val="231F20"/>
                <w:spacing w:val="-4"/>
                <w:sz w:val="14"/>
              </w:rPr>
              <w:t> </w:t>
            </w:r>
            <w:r>
              <w:rPr>
                <w:color w:val="231F20"/>
                <w:w w:val="108"/>
                <w:sz w:val="14"/>
              </w:rPr>
              <w:t>de</w:t>
            </w:r>
            <w:r>
              <w:rPr>
                <w:color w:val="231F20"/>
                <w:spacing w:val="-4"/>
                <w:sz w:val="14"/>
              </w:rPr>
              <w:t> </w:t>
            </w:r>
            <w:r>
              <w:rPr>
                <w:color w:val="231F20"/>
                <w:w w:val="105"/>
                <w:sz w:val="14"/>
              </w:rPr>
              <w:t>calidad</w:t>
            </w:r>
          </w:p>
        </w:tc>
        <w:tc>
          <w:tcPr>
            <w:tcW w:w="329" w:type="dxa"/>
            <w:textDirection w:val="btLr"/>
          </w:tcPr>
          <w:p>
            <w:pPr>
              <w:pStyle w:val="TableParagraph"/>
              <w:spacing w:before="86"/>
              <w:ind w:left="77"/>
              <w:rPr>
                <w:sz w:val="14"/>
              </w:rPr>
            </w:pPr>
            <w:r>
              <w:rPr>
                <w:color w:val="231F20"/>
                <w:spacing w:val="-2"/>
                <w:w w:val="82"/>
                <w:sz w:val="14"/>
              </w:rPr>
              <w:t>R</w:t>
            </w:r>
            <w:r>
              <w:rPr>
                <w:color w:val="231F20"/>
                <w:w w:val="102"/>
                <w:sz w:val="14"/>
              </w:rPr>
              <w:t>esultados</w:t>
            </w:r>
          </w:p>
        </w:tc>
        <w:tc>
          <w:tcPr>
            <w:tcW w:w="329" w:type="dxa"/>
            <w:textDirection w:val="btLr"/>
          </w:tcPr>
          <w:p>
            <w:pPr>
              <w:pStyle w:val="TableParagraph"/>
              <w:spacing w:before="86"/>
              <w:ind w:left="77"/>
              <w:rPr>
                <w:sz w:val="14"/>
              </w:rPr>
            </w:pPr>
            <w:r>
              <w:rPr>
                <w:color w:val="231F20"/>
                <w:w w:val="105"/>
                <w:sz w:val="14"/>
              </w:rPr>
              <w:t>Me</w:t>
            </w:r>
            <w:r>
              <w:rPr>
                <w:color w:val="231F20"/>
                <w:spacing w:val="-3"/>
                <w:w w:val="105"/>
                <w:sz w:val="14"/>
              </w:rPr>
              <w:t>r</w:t>
            </w:r>
            <w:r>
              <w:rPr>
                <w:color w:val="231F20"/>
                <w:w w:val="105"/>
                <w:sz w:val="14"/>
              </w:rPr>
              <w:t>cado</w:t>
            </w:r>
          </w:p>
        </w:tc>
        <w:tc>
          <w:tcPr>
            <w:tcW w:w="329" w:type="dxa"/>
            <w:textDirection w:val="btLr"/>
          </w:tcPr>
          <w:p>
            <w:pPr>
              <w:pStyle w:val="TableParagraph"/>
              <w:spacing w:before="86"/>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4"/>
                <w:sz w:val="14"/>
              </w:rPr>
              <w:t>administ</w:t>
            </w:r>
            <w:r>
              <w:rPr>
                <w:color w:val="231F20"/>
                <w:spacing w:val="-2"/>
                <w:w w:val="104"/>
                <w:sz w:val="14"/>
              </w:rPr>
              <w:t>r</w:t>
            </w:r>
            <w:r>
              <w:rPr>
                <w:color w:val="231F20"/>
                <w:w w:val="103"/>
                <w:sz w:val="14"/>
              </w:rPr>
              <w:t>ación</w:t>
            </w:r>
          </w:p>
        </w:tc>
        <w:tc>
          <w:tcPr>
            <w:tcW w:w="329" w:type="dxa"/>
            <w:textDirection w:val="btLr"/>
          </w:tcPr>
          <w:p>
            <w:pPr>
              <w:pStyle w:val="TableParagraph"/>
              <w:spacing w:before="86"/>
              <w:ind w:left="77"/>
              <w:rPr>
                <w:sz w:val="14"/>
              </w:rPr>
            </w:pPr>
            <w:r>
              <w:rPr>
                <w:color w:val="231F20"/>
                <w:spacing w:val="-7"/>
                <w:w w:val="86"/>
                <w:sz w:val="14"/>
              </w:rPr>
              <w:t>P</w:t>
            </w:r>
            <w:r>
              <w:rPr>
                <w:color w:val="231F20"/>
                <w:spacing w:val="-3"/>
                <w:w w:val="108"/>
                <w:sz w:val="14"/>
              </w:rPr>
              <w:t>r</w:t>
            </w:r>
            <w:r>
              <w:rPr>
                <w:color w:val="231F20"/>
                <w:w w:val="108"/>
                <w:sz w:val="14"/>
              </w:rPr>
              <w:t>oducto</w:t>
            </w:r>
            <w:r>
              <w:rPr>
                <w:color w:val="231F20"/>
                <w:spacing w:val="-4"/>
                <w:sz w:val="14"/>
              </w:rPr>
              <w:t> </w:t>
            </w:r>
            <w:r>
              <w:rPr>
                <w:color w:val="231F20"/>
                <w:w w:val="97"/>
                <w:sz w:val="14"/>
              </w:rPr>
              <w:t>y</w:t>
            </w:r>
            <w:r>
              <w:rPr>
                <w:color w:val="231F20"/>
                <w:spacing w:val="-4"/>
                <w:sz w:val="14"/>
              </w:rPr>
              <w:t> </w:t>
            </w:r>
            <w:r>
              <w:rPr>
                <w:color w:val="231F20"/>
                <w:w w:val="102"/>
                <w:sz w:val="14"/>
              </w:rPr>
              <w:t>servicio</w:t>
            </w:r>
          </w:p>
        </w:tc>
        <w:tc>
          <w:tcPr>
            <w:tcW w:w="329" w:type="dxa"/>
            <w:textDirection w:val="btLr"/>
          </w:tcPr>
          <w:p>
            <w:pPr>
              <w:pStyle w:val="TableParagraph"/>
              <w:spacing w:before="86"/>
              <w:ind w:left="77"/>
              <w:rPr>
                <w:sz w:val="14"/>
              </w:rPr>
            </w:pPr>
            <w:r>
              <w:rPr>
                <w:color w:val="231F20"/>
                <w:spacing w:val="-7"/>
                <w:w w:val="86"/>
                <w:sz w:val="14"/>
              </w:rPr>
              <w:t>P</w:t>
            </w:r>
            <w:r>
              <w:rPr>
                <w:color w:val="231F20"/>
                <w:spacing w:val="-3"/>
                <w:w w:val="108"/>
                <w:sz w:val="14"/>
              </w:rPr>
              <w:t>r</w:t>
            </w:r>
            <w:r>
              <w:rPr>
                <w:color w:val="231F20"/>
                <w:w w:val="102"/>
                <w:sz w:val="14"/>
              </w:rPr>
              <w:t>oceso</w:t>
            </w:r>
          </w:p>
        </w:tc>
        <w:tc>
          <w:tcPr>
            <w:tcW w:w="329" w:type="dxa"/>
            <w:textDirection w:val="btLr"/>
          </w:tcPr>
          <w:p>
            <w:pPr>
              <w:pStyle w:val="TableParagraph"/>
              <w:spacing w:before="86"/>
              <w:ind w:left="77"/>
              <w:rPr>
                <w:sz w:val="14"/>
              </w:rPr>
            </w:pPr>
            <w:r>
              <w:rPr>
                <w:color w:val="231F20"/>
                <w:w w:val="98"/>
                <w:sz w:val="14"/>
              </w:rPr>
              <w:t>Sistema</w:t>
            </w:r>
            <w:r>
              <w:rPr>
                <w:color w:val="231F20"/>
                <w:spacing w:val="-4"/>
                <w:sz w:val="14"/>
              </w:rPr>
              <w:t> </w:t>
            </w:r>
            <w:r>
              <w:rPr>
                <w:color w:val="231F20"/>
                <w:w w:val="108"/>
                <w:sz w:val="14"/>
              </w:rPr>
              <w:t>de</w:t>
            </w:r>
            <w:r>
              <w:rPr>
                <w:color w:val="231F20"/>
                <w:spacing w:val="-4"/>
                <w:sz w:val="14"/>
              </w:rPr>
              <w:t> </w:t>
            </w:r>
            <w:r>
              <w:rPr>
                <w:color w:val="231F20"/>
                <w:w w:val="105"/>
                <w:sz w:val="14"/>
              </w:rPr>
              <w:t>información</w:t>
            </w:r>
          </w:p>
        </w:tc>
        <w:tc>
          <w:tcPr>
            <w:tcW w:w="329" w:type="dxa"/>
            <w:textDirection w:val="btLr"/>
          </w:tcPr>
          <w:p>
            <w:pPr>
              <w:pStyle w:val="TableParagraph"/>
              <w:spacing w:before="86"/>
              <w:ind w:left="77"/>
              <w:rPr>
                <w:sz w:val="14"/>
              </w:rPr>
            </w:pPr>
            <w:r>
              <w:rPr>
                <w:color w:val="231F20"/>
                <w:w w:val="98"/>
                <w:sz w:val="14"/>
              </w:rPr>
              <w:t>Alianzas</w:t>
            </w:r>
            <w:r>
              <w:rPr>
                <w:color w:val="231F20"/>
                <w:spacing w:val="-4"/>
                <w:sz w:val="14"/>
              </w:rPr>
              <w:t> </w:t>
            </w:r>
            <w:r>
              <w:rPr>
                <w:color w:val="231F20"/>
                <w:w w:val="97"/>
                <w:sz w:val="14"/>
              </w:rPr>
              <w:t>y</w:t>
            </w:r>
            <w:r>
              <w:rPr>
                <w:color w:val="231F20"/>
                <w:spacing w:val="-4"/>
                <w:sz w:val="14"/>
              </w:rPr>
              <w:t> </w:t>
            </w:r>
            <w:r>
              <w:rPr>
                <w:color w:val="231F20"/>
                <w:w w:val="103"/>
                <w:sz w:val="14"/>
              </w:rPr>
              <w:t>vinculación</w:t>
            </w:r>
          </w:p>
        </w:tc>
        <w:tc>
          <w:tcPr>
            <w:tcW w:w="329" w:type="dxa"/>
            <w:textDirection w:val="btLr"/>
          </w:tcPr>
          <w:p>
            <w:pPr>
              <w:pStyle w:val="TableParagraph"/>
              <w:spacing w:before="86"/>
              <w:ind w:left="77"/>
              <w:rPr>
                <w:sz w:val="14"/>
              </w:rPr>
            </w:pPr>
            <w:r>
              <w:rPr>
                <w:color w:val="231F20"/>
                <w:spacing w:val="-14"/>
                <w:w w:val="93"/>
                <w:sz w:val="14"/>
              </w:rPr>
              <w:t>T</w:t>
            </w:r>
            <w:r>
              <w:rPr>
                <w:color w:val="231F20"/>
                <w:w w:val="104"/>
                <w:sz w:val="14"/>
              </w:rPr>
              <w:t>ecnología.</w:t>
            </w:r>
            <w:r>
              <w:rPr>
                <w:color w:val="231F20"/>
                <w:spacing w:val="-9"/>
                <w:sz w:val="14"/>
              </w:rPr>
              <w:t> </w:t>
            </w:r>
            <w:r>
              <w:rPr>
                <w:color w:val="231F20"/>
                <w:w w:val="100"/>
                <w:sz w:val="14"/>
              </w:rPr>
              <w:t>IyD</w:t>
            </w:r>
          </w:p>
        </w:tc>
      </w:tr>
      <w:tr>
        <w:trPr>
          <w:trHeight w:val="300" w:hRule="exact"/>
        </w:trPr>
        <w:tc>
          <w:tcPr>
            <w:tcW w:w="2247" w:type="dxa"/>
          </w:tcPr>
          <w:p>
            <w:pPr>
              <w:pStyle w:val="TableParagraph"/>
              <w:spacing w:before="86"/>
              <w:ind w:left="77" w:right="69"/>
              <w:rPr>
                <w:sz w:val="14"/>
              </w:rPr>
            </w:pPr>
            <w:r>
              <w:rPr>
                <w:color w:val="231F20"/>
                <w:w w:val="105"/>
                <w:sz w:val="14"/>
              </w:rPr>
              <w:t>Presencia de cadena de valor</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jc w:val="center"/>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r>
      <w:tr>
        <w:trPr>
          <w:trHeight w:val="468" w:hRule="exact"/>
        </w:trPr>
        <w:tc>
          <w:tcPr>
            <w:tcW w:w="2247" w:type="dxa"/>
          </w:tcPr>
          <w:p>
            <w:pPr>
              <w:pStyle w:val="TableParagraph"/>
              <w:spacing w:line="249" w:lineRule="auto" w:before="86"/>
              <w:ind w:left="77" w:right="69"/>
              <w:rPr>
                <w:sz w:val="14"/>
              </w:rPr>
            </w:pPr>
            <w:r>
              <w:rPr>
                <w:color w:val="231F20"/>
                <w:w w:val="105"/>
                <w:sz w:val="14"/>
              </w:rPr>
              <w:t>Control de la distribución inter- nacional</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9"/>
              <w:rPr>
                <w:sz w:val="14"/>
              </w:rPr>
            </w:pPr>
          </w:p>
          <w:p>
            <w:pPr>
              <w:pStyle w:val="TableParagraph"/>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r>
      <w:tr>
        <w:trPr>
          <w:trHeight w:val="300" w:hRule="exact"/>
        </w:trPr>
        <w:tc>
          <w:tcPr>
            <w:tcW w:w="2247" w:type="dxa"/>
          </w:tcPr>
          <w:p>
            <w:pPr>
              <w:pStyle w:val="TableParagraph"/>
              <w:spacing w:before="86"/>
              <w:ind w:left="77" w:right="69"/>
              <w:rPr>
                <w:sz w:val="14"/>
              </w:rPr>
            </w:pPr>
            <w:r>
              <w:rPr>
                <w:color w:val="231F20"/>
                <w:sz w:val="14"/>
              </w:rPr>
              <w:t>Extensión de marcas</w:t>
            </w: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28"/>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28"/>
              <w:rPr>
                <w:sz w:val="14"/>
              </w:rPr>
            </w:pPr>
            <w:r>
              <w:rPr>
                <w:color w:val="231F20"/>
                <w:w w:val="96"/>
                <w:sz w:val="14"/>
              </w:rPr>
              <w:t>x</w:t>
            </w:r>
          </w:p>
        </w:tc>
      </w:tr>
      <w:tr>
        <w:trPr>
          <w:trHeight w:val="300" w:hRule="exact"/>
        </w:trPr>
        <w:tc>
          <w:tcPr>
            <w:tcW w:w="2247" w:type="dxa"/>
          </w:tcPr>
          <w:p>
            <w:pPr>
              <w:pStyle w:val="TableParagraph"/>
              <w:spacing w:before="86"/>
              <w:ind w:left="77" w:right="-16"/>
              <w:rPr>
                <w:sz w:val="14"/>
              </w:rPr>
            </w:pPr>
            <w:r>
              <w:rPr>
                <w:color w:val="231F20"/>
                <w:sz w:val="14"/>
              </w:rPr>
              <w:t>El gasto de la compañía en I y D.</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86"/>
              <w:ind w:left="128"/>
              <w:rPr>
                <w:sz w:val="14"/>
              </w:rPr>
            </w:pPr>
            <w:r>
              <w:rPr>
                <w:color w:val="231F20"/>
                <w:w w:val="96"/>
                <w:sz w:val="14"/>
              </w:rPr>
              <w:t>x</w:t>
            </w:r>
          </w:p>
        </w:tc>
      </w:tr>
      <w:tr>
        <w:trPr>
          <w:trHeight w:val="468" w:hRule="exact"/>
        </w:trPr>
        <w:tc>
          <w:tcPr>
            <w:tcW w:w="2247" w:type="dxa"/>
          </w:tcPr>
          <w:p>
            <w:pPr>
              <w:pStyle w:val="TableParagraph"/>
              <w:spacing w:line="249" w:lineRule="auto" w:before="86"/>
              <w:ind w:left="77" w:right="67"/>
              <w:rPr>
                <w:sz w:val="14"/>
              </w:rPr>
            </w:pPr>
            <w:r>
              <w:rPr>
                <w:color w:val="231F20"/>
                <w:w w:val="105"/>
                <w:sz w:val="14"/>
              </w:rPr>
              <w:t>Incidencia</w:t>
            </w:r>
            <w:r>
              <w:rPr>
                <w:color w:val="231F20"/>
                <w:spacing w:val="-22"/>
                <w:w w:val="105"/>
                <w:sz w:val="14"/>
              </w:rPr>
              <w:t> </w:t>
            </w:r>
            <w:r>
              <w:rPr>
                <w:color w:val="231F20"/>
                <w:w w:val="105"/>
                <w:sz w:val="14"/>
              </w:rPr>
              <w:t>de</w:t>
            </w:r>
            <w:r>
              <w:rPr>
                <w:color w:val="231F20"/>
                <w:spacing w:val="-22"/>
                <w:w w:val="105"/>
                <w:sz w:val="14"/>
              </w:rPr>
              <w:t> </w:t>
            </w:r>
            <w:r>
              <w:rPr>
                <w:color w:val="231F20"/>
                <w:w w:val="105"/>
                <w:sz w:val="14"/>
              </w:rPr>
              <w:t>concesión</w:t>
            </w:r>
            <w:r>
              <w:rPr>
                <w:color w:val="231F20"/>
                <w:spacing w:val="-22"/>
                <w:w w:val="105"/>
                <w:sz w:val="14"/>
              </w:rPr>
              <w:t> </w:t>
            </w:r>
            <w:r>
              <w:rPr>
                <w:color w:val="231F20"/>
                <w:w w:val="105"/>
                <w:sz w:val="14"/>
              </w:rPr>
              <w:t>de</w:t>
            </w:r>
            <w:r>
              <w:rPr>
                <w:color w:val="231F20"/>
                <w:spacing w:val="-22"/>
                <w:w w:val="105"/>
                <w:sz w:val="14"/>
              </w:rPr>
              <w:t> </w:t>
            </w:r>
            <w:r>
              <w:rPr>
                <w:color w:val="231F20"/>
                <w:w w:val="105"/>
                <w:sz w:val="14"/>
              </w:rPr>
              <w:t>licen- cia</w:t>
            </w:r>
            <w:r>
              <w:rPr>
                <w:color w:val="231F20"/>
                <w:spacing w:val="-22"/>
                <w:w w:val="105"/>
                <w:sz w:val="14"/>
              </w:rPr>
              <w:t> </w:t>
            </w:r>
            <w:r>
              <w:rPr>
                <w:color w:val="231F20"/>
                <w:w w:val="105"/>
                <w:sz w:val="14"/>
              </w:rPr>
              <w:t>de</w:t>
            </w:r>
            <w:r>
              <w:rPr>
                <w:color w:val="231F20"/>
                <w:spacing w:val="-22"/>
                <w:w w:val="105"/>
                <w:sz w:val="14"/>
              </w:rPr>
              <w:t> </w:t>
            </w:r>
            <w:r>
              <w:rPr>
                <w:color w:val="231F20"/>
                <w:w w:val="105"/>
                <w:sz w:val="14"/>
              </w:rPr>
              <w:t>tecnología</w:t>
            </w:r>
            <w:r>
              <w:rPr>
                <w:color w:val="231F20"/>
                <w:spacing w:val="-22"/>
                <w:w w:val="105"/>
                <w:sz w:val="14"/>
              </w:rPr>
              <w:t> </w:t>
            </w:r>
            <w:r>
              <w:rPr>
                <w:color w:val="231F20"/>
                <w:w w:val="105"/>
                <w:sz w:val="14"/>
              </w:rPr>
              <w:t>extranjera</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9"/>
              <w:rPr>
                <w:sz w:val="14"/>
              </w:rPr>
            </w:pPr>
          </w:p>
          <w:p>
            <w:pPr>
              <w:pStyle w:val="TableParagraph"/>
              <w:ind w:left="128"/>
              <w:rPr>
                <w:sz w:val="14"/>
              </w:rPr>
            </w:pPr>
            <w:r>
              <w:rPr>
                <w:color w:val="231F20"/>
                <w:w w:val="96"/>
                <w:sz w:val="14"/>
              </w:rPr>
              <w:t>x</w:t>
            </w:r>
          </w:p>
        </w:tc>
      </w:tr>
      <w:tr>
        <w:trPr>
          <w:trHeight w:val="468" w:hRule="exact"/>
        </w:trPr>
        <w:tc>
          <w:tcPr>
            <w:tcW w:w="2247" w:type="dxa"/>
          </w:tcPr>
          <w:p>
            <w:pPr>
              <w:pStyle w:val="TableParagraph"/>
              <w:spacing w:line="249" w:lineRule="auto" w:before="86"/>
              <w:ind w:left="77" w:right="-13"/>
              <w:rPr>
                <w:sz w:val="14"/>
              </w:rPr>
            </w:pPr>
            <w:r>
              <w:rPr>
                <w:color w:val="231F20"/>
                <w:w w:val="105"/>
                <w:sz w:val="14"/>
              </w:rPr>
              <w:t>Extensión de personal y entrena- miento</w:t>
            </w:r>
          </w:p>
        </w:tc>
        <w:tc>
          <w:tcPr>
            <w:tcW w:w="329" w:type="dxa"/>
          </w:tcPr>
          <w:p>
            <w:pPr/>
          </w:p>
        </w:tc>
        <w:tc>
          <w:tcPr>
            <w:tcW w:w="329" w:type="dxa"/>
          </w:tcPr>
          <w:p>
            <w:pPr/>
          </w:p>
        </w:tc>
        <w:tc>
          <w:tcPr>
            <w:tcW w:w="329" w:type="dxa"/>
          </w:tcPr>
          <w:p>
            <w:pPr/>
          </w:p>
        </w:tc>
        <w:tc>
          <w:tcPr>
            <w:tcW w:w="329" w:type="dxa"/>
          </w:tcPr>
          <w:p>
            <w:pPr/>
          </w:p>
        </w:tc>
        <w:tc>
          <w:tcPr>
            <w:tcW w:w="329" w:type="dxa"/>
          </w:tcPr>
          <w:p>
            <w:pPr/>
          </w:p>
        </w:tc>
        <w:tc>
          <w:tcPr>
            <w:tcW w:w="329" w:type="dxa"/>
          </w:tcPr>
          <w:p>
            <w:pPr>
              <w:pStyle w:val="TableParagraph"/>
              <w:spacing w:before="9"/>
              <w:rPr>
                <w:sz w:val="14"/>
              </w:rPr>
            </w:pPr>
          </w:p>
          <w:p>
            <w:pPr>
              <w:pStyle w:val="TableParagraph"/>
              <w:ind w:right="126"/>
              <w:jc w:val="right"/>
              <w:rPr>
                <w:sz w:val="14"/>
              </w:rPr>
            </w:pPr>
            <w:r>
              <w:rPr>
                <w:color w:val="231F20"/>
                <w:w w:val="96"/>
                <w:sz w:val="14"/>
              </w:rPr>
              <w:t>x</w:t>
            </w:r>
          </w:p>
        </w:tc>
        <w:tc>
          <w:tcPr>
            <w:tcW w:w="329" w:type="dxa"/>
          </w:tcPr>
          <w:p>
            <w:pPr/>
          </w:p>
        </w:tc>
        <w:tc>
          <w:tcPr>
            <w:tcW w:w="329" w:type="dxa"/>
          </w:tcPr>
          <w:p>
            <w:pPr/>
          </w:p>
        </w:tc>
        <w:tc>
          <w:tcPr>
            <w:tcW w:w="329" w:type="dxa"/>
          </w:tcPr>
          <w:p>
            <w:pPr/>
          </w:p>
        </w:tc>
        <w:tc>
          <w:tcPr>
            <w:tcW w:w="329" w:type="dxa"/>
          </w:tcPr>
          <w:p>
            <w:pPr/>
          </w:p>
        </w:tc>
        <w:tc>
          <w:tcPr>
            <w:tcW w:w="329" w:type="dxa"/>
          </w:tcPr>
          <w:p>
            <w:pPr/>
          </w:p>
        </w:tc>
      </w:tr>
      <w:tr>
        <w:trPr>
          <w:trHeight w:val="300" w:hRule="exact"/>
        </w:trPr>
        <w:tc>
          <w:tcPr>
            <w:tcW w:w="2247" w:type="dxa"/>
          </w:tcPr>
          <w:p>
            <w:pPr>
              <w:pStyle w:val="TableParagraph"/>
              <w:spacing w:before="86"/>
              <w:ind w:left="77" w:right="69"/>
              <w:rPr>
                <w:sz w:val="14"/>
              </w:rPr>
            </w:pPr>
            <w:r>
              <w:rPr>
                <w:color w:val="231F20"/>
                <w:w w:val="105"/>
                <w:sz w:val="14"/>
              </w:rPr>
              <w:t>Gran total de menciones</w:t>
            </w:r>
          </w:p>
        </w:tc>
        <w:tc>
          <w:tcPr>
            <w:tcW w:w="329" w:type="dxa"/>
          </w:tcPr>
          <w:p>
            <w:pPr>
              <w:pStyle w:val="TableParagraph"/>
              <w:spacing w:before="86"/>
              <w:ind w:left="81"/>
              <w:rPr>
                <w:sz w:val="14"/>
              </w:rPr>
            </w:pPr>
            <w:r>
              <w:rPr>
                <w:color w:val="231F20"/>
                <w:w w:val="105"/>
                <w:sz w:val="14"/>
              </w:rPr>
              <w:t>14</w:t>
            </w:r>
          </w:p>
        </w:tc>
        <w:tc>
          <w:tcPr>
            <w:tcW w:w="329" w:type="dxa"/>
          </w:tcPr>
          <w:p>
            <w:pPr>
              <w:pStyle w:val="TableParagraph"/>
              <w:spacing w:before="86"/>
              <w:jc w:val="center"/>
              <w:rPr>
                <w:sz w:val="14"/>
              </w:rPr>
            </w:pPr>
            <w:r>
              <w:rPr>
                <w:color w:val="231F20"/>
                <w:w w:val="104"/>
                <w:sz w:val="14"/>
              </w:rPr>
              <w:t>9</w:t>
            </w:r>
          </w:p>
        </w:tc>
        <w:tc>
          <w:tcPr>
            <w:tcW w:w="329" w:type="dxa"/>
          </w:tcPr>
          <w:p>
            <w:pPr>
              <w:pStyle w:val="TableParagraph"/>
              <w:spacing w:before="86"/>
              <w:ind w:left="80"/>
              <w:rPr>
                <w:sz w:val="14"/>
              </w:rPr>
            </w:pPr>
            <w:r>
              <w:rPr>
                <w:color w:val="231F20"/>
                <w:w w:val="105"/>
                <w:sz w:val="14"/>
              </w:rPr>
              <w:t>11</w:t>
            </w:r>
          </w:p>
        </w:tc>
        <w:tc>
          <w:tcPr>
            <w:tcW w:w="329" w:type="dxa"/>
          </w:tcPr>
          <w:p>
            <w:pPr>
              <w:pStyle w:val="TableParagraph"/>
              <w:spacing w:before="86"/>
              <w:ind w:left="80"/>
              <w:rPr>
                <w:sz w:val="14"/>
              </w:rPr>
            </w:pPr>
            <w:r>
              <w:rPr>
                <w:color w:val="231F20"/>
                <w:w w:val="105"/>
                <w:sz w:val="14"/>
              </w:rPr>
              <w:t>12</w:t>
            </w:r>
          </w:p>
        </w:tc>
        <w:tc>
          <w:tcPr>
            <w:tcW w:w="329" w:type="dxa"/>
          </w:tcPr>
          <w:p>
            <w:pPr>
              <w:pStyle w:val="TableParagraph"/>
              <w:spacing w:before="86"/>
              <w:ind w:left="81"/>
              <w:rPr>
                <w:sz w:val="14"/>
              </w:rPr>
            </w:pPr>
            <w:r>
              <w:rPr>
                <w:color w:val="231F20"/>
                <w:w w:val="105"/>
                <w:sz w:val="14"/>
              </w:rPr>
              <w:t>13</w:t>
            </w:r>
          </w:p>
        </w:tc>
        <w:tc>
          <w:tcPr>
            <w:tcW w:w="329" w:type="dxa"/>
          </w:tcPr>
          <w:p>
            <w:pPr>
              <w:pStyle w:val="TableParagraph"/>
              <w:spacing w:before="86"/>
              <w:ind w:right="79"/>
              <w:jc w:val="right"/>
              <w:rPr>
                <w:sz w:val="14"/>
              </w:rPr>
            </w:pPr>
            <w:r>
              <w:rPr>
                <w:color w:val="231F20"/>
                <w:w w:val="105"/>
                <w:sz w:val="14"/>
              </w:rPr>
              <w:t>14</w:t>
            </w:r>
          </w:p>
        </w:tc>
        <w:tc>
          <w:tcPr>
            <w:tcW w:w="329" w:type="dxa"/>
          </w:tcPr>
          <w:p>
            <w:pPr>
              <w:pStyle w:val="TableParagraph"/>
              <w:spacing w:before="86"/>
              <w:ind w:left="60" w:right="60"/>
              <w:jc w:val="center"/>
              <w:rPr>
                <w:sz w:val="14"/>
              </w:rPr>
            </w:pPr>
            <w:r>
              <w:rPr>
                <w:color w:val="231F20"/>
                <w:w w:val="105"/>
                <w:sz w:val="14"/>
              </w:rPr>
              <w:t>10</w:t>
            </w:r>
          </w:p>
        </w:tc>
        <w:tc>
          <w:tcPr>
            <w:tcW w:w="329" w:type="dxa"/>
          </w:tcPr>
          <w:p>
            <w:pPr>
              <w:pStyle w:val="TableParagraph"/>
              <w:spacing w:before="86"/>
              <w:jc w:val="center"/>
              <w:rPr>
                <w:sz w:val="14"/>
              </w:rPr>
            </w:pPr>
            <w:r>
              <w:rPr>
                <w:color w:val="231F20"/>
                <w:w w:val="104"/>
                <w:sz w:val="14"/>
              </w:rPr>
              <w:t>7</w:t>
            </w:r>
          </w:p>
        </w:tc>
        <w:tc>
          <w:tcPr>
            <w:tcW w:w="329" w:type="dxa"/>
          </w:tcPr>
          <w:p>
            <w:pPr>
              <w:pStyle w:val="TableParagraph"/>
              <w:spacing w:before="86"/>
              <w:jc w:val="center"/>
              <w:rPr>
                <w:sz w:val="14"/>
              </w:rPr>
            </w:pPr>
            <w:r>
              <w:rPr>
                <w:color w:val="231F20"/>
                <w:w w:val="104"/>
                <w:sz w:val="14"/>
              </w:rPr>
              <w:t>6</w:t>
            </w:r>
          </w:p>
        </w:tc>
        <w:tc>
          <w:tcPr>
            <w:tcW w:w="329" w:type="dxa"/>
          </w:tcPr>
          <w:p>
            <w:pPr>
              <w:pStyle w:val="TableParagraph"/>
              <w:spacing w:before="86"/>
              <w:jc w:val="center"/>
              <w:rPr>
                <w:sz w:val="14"/>
              </w:rPr>
            </w:pPr>
            <w:r>
              <w:rPr>
                <w:color w:val="231F20"/>
                <w:w w:val="104"/>
                <w:sz w:val="14"/>
              </w:rPr>
              <w:t>7</w:t>
            </w:r>
          </w:p>
        </w:tc>
        <w:tc>
          <w:tcPr>
            <w:tcW w:w="329" w:type="dxa"/>
          </w:tcPr>
          <w:p>
            <w:pPr>
              <w:pStyle w:val="TableParagraph"/>
              <w:spacing w:before="86"/>
              <w:ind w:left="81"/>
              <w:rPr>
                <w:sz w:val="14"/>
              </w:rPr>
            </w:pPr>
            <w:r>
              <w:rPr>
                <w:color w:val="231F20"/>
                <w:w w:val="105"/>
                <w:sz w:val="14"/>
              </w:rPr>
              <w:t>18</w:t>
            </w:r>
          </w:p>
        </w:tc>
      </w:tr>
    </w:tbl>
    <w:p>
      <w:pPr>
        <w:spacing w:before="18"/>
        <w:ind w:left="587" w:right="0" w:firstLine="0"/>
        <w:jc w:val="left"/>
        <w:rPr>
          <w:sz w:val="16"/>
        </w:rPr>
      </w:pPr>
      <w:r>
        <w:rPr>
          <w:color w:val="231F20"/>
          <w:sz w:val="16"/>
        </w:rPr>
        <w:t>Fuente: Demuner, 2010</w:t>
      </w:r>
    </w:p>
    <w:p>
      <w:pPr>
        <w:spacing w:after="0"/>
        <w:jc w:val="left"/>
        <w:rPr>
          <w:sz w:val="16"/>
        </w:rPr>
        <w:sectPr>
          <w:pgSz w:w="9640" w:h="13890"/>
          <w:pgMar w:top="0" w:bottom="280" w:left="1340" w:right="1320"/>
        </w:sectPr>
      </w:pPr>
    </w:p>
    <w:p>
      <w:pPr>
        <w:pStyle w:val="BodyText"/>
        <w:spacing w:before="10"/>
      </w:pPr>
    </w:p>
    <w:p>
      <w:pPr>
        <w:spacing w:line="249" w:lineRule="auto" w:before="63"/>
        <w:ind w:left="2185" w:right="504" w:hanging="1611"/>
        <w:jc w:val="left"/>
        <w:rPr>
          <w:sz w:val="18"/>
        </w:rPr>
      </w:pPr>
      <w:r>
        <w:rPr>
          <w:color w:val="231F20"/>
          <w:w w:val="105"/>
          <w:sz w:val="18"/>
        </w:rPr>
        <w:t>Figura 7. Definición conceptual y operacional de los determinantes de la competitividad empresarial (1/3).</w:t>
      </w:r>
    </w:p>
    <w:p>
      <w:pPr>
        <w:pStyle w:val="BodyText"/>
        <w:spacing w:before="9"/>
        <w:rPr>
          <w:sz w:val="12"/>
        </w:rPr>
      </w:pPr>
    </w:p>
    <w:tbl>
      <w:tblPr>
        <w:tblW w:w="0" w:type="auto"/>
        <w:jc w:val="left"/>
        <w:tblInd w:w="1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69"/>
        <w:gridCol w:w="2225"/>
        <w:gridCol w:w="3218"/>
      </w:tblGrid>
      <w:tr>
        <w:trPr>
          <w:trHeight w:val="300" w:hRule="exact"/>
        </w:trPr>
        <w:tc>
          <w:tcPr>
            <w:tcW w:w="1469" w:type="dxa"/>
          </w:tcPr>
          <w:p>
            <w:pPr>
              <w:pStyle w:val="TableParagraph"/>
              <w:spacing w:before="86"/>
              <w:ind w:left="260"/>
              <w:rPr>
                <w:sz w:val="14"/>
              </w:rPr>
            </w:pPr>
            <w:r>
              <w:rPr>
                <w:color w:val="231F20"/>
                <w:w w:val="105"/>
                <w:sz w:val="14"/>
              </w:rPr>
              <w:t>Determinantes</w:t>
            </w:r>
          </w:p>
        </w:tc>
        <w:tc>
          <w:tcPr>
            <w:tcW w:w="2225" w:type="dxa"/>
          </w:tcPr>
          <w:p>
            <w:pPr>
              <w:pStyle w:val="TableParagraph"/>
              <w:spacing w:before="86"/>
              <w:ind w:left="413"/>
              <w:rPr>
                <w:sz w:val="14"/>
              </w:rPr>
            </w:pPr>
            <w:r>
              <w:rPr>
                <w:color w:val="231F20"/>
                <w:w w:val="105"/>
                <w:sz w:val="14"/>
              </w:rPr>
              <w:t>Definición conceptual</w:t>
            </w:r>
          </w:p>
        </w:tc>
        <w:tc>
          <w:tcPr>
            <w:tcW w:w="3218" w:type="dxa"/>
          </w:tcPr>
          <w:p>
            <w:pPr>
              <w:pStyle w:val="TableParagraph"/>
              <w:spacing w:before="86"/>
              <w:ind w:left="885"/>
              <w:rPr>
                <w:sz w:val="14"/>
              </w:rPr>
            </w:pPr>
            <w:r>
              <w:rPr>
                <w:color w:val="231F20"/>
                <w:w w:val="105"/>
                <w:sz w:val="14"/>
              </w:rPr>
              <w:t>Definición operacional</w:t>
            </w:r>
          </w:p>
        </w:tc>
      </w:tr>
      <w:tr>
        <w:trPr>
          <w:trHeight w:val="636" w:hRule="exact"/>
        </w:trPr>
        <w:tc>
          <w:tcPr>
            <w:tcW w:w="1469" w:type="dxa"/>
            <w:vMerge w:val="restart"/>
            <w:textDirection w:val="btLr"/>
          </w:tcPr>
          <w:p>
            <w:pPr>
              <w:pStyle w:val="TableParagraph"/>
              <w:rPr>
                <w:sz w:val="14"/>
              </w:rPr>
            </w:pPr>
          </w:p>
          <w:p>
            <w:pPr>
              <w:pStyle w:val="TableParagraph"/>
              <w:rPr>
                <w:sz w:val="14"/>
              </w:rPr>
            </w:pPr>
          </w:p>
          <w:p>
            <w:pPr>
              <w:pStyle w:val="TableParagraph"/>
              <w:rPr>
                <w:sz w:val="14"/>
              </w:rPr>
            </w:pPr>
          </w:p>
          <w:p>
            <w:pPr>
              <w:pStyle w:val="TableParagraph"/>
              <w:spacing w:line="249" w:lineRule="auto" w:before="103"/>
              <w:ind w:left="999" w:right="474" w:hanging="515"/>
              <w:rPr>
                <w:sz w:val="14"/>
              </w:rPr>
            </w:pPr>
            <w:r>
              <w:rPr>
                <w:color w:val="231F20"/>
                <w:spacing w:val="-15"/>
                <w:w w:val="93"/>
                <w:sz w:val="14"/>
              </w:rPr>
              <w:t>T</w:t>
            </w:r>
            <w:r>
              <w:rPr>
                <w:color w:val="231F20"/>
                <w:spacing w:val="-1"/>
                <w:w w:val="104"/>
                <w:sz w:val="14"/>
              </w:rPr>
              <w:t>ecnologí</w:t>
            </w:r>
            <w:r>
              <w:rPr>
                <w:color w:val="231F20"/>
                <w:w w:val="104"/>
                <w:sz w:val="14"/>
              </w:rPr>
              <w:t>a</w:t>
            </w:r>
            <w:r>
              <w:rPr>
                <w:color w:val="231F20"/>
                <w:spacing w:val="-6"/>
                <w:sz w:val="14"/>
              </w:rPr>
              <w:t> </w:t>
            </w:r>
            <w:r>
              <w:rPr>
                <w:color w:val="231F20"/>
                <w:spacing w:val="-1"/>
                <w:w w:val="108"/>
                <w:sz w:val="14"/>
              </w:rPr>
              <w:t>d</w:t>
            </w:r>
            <w:r>
              <w:rPr>
                <w:color w:val="231F20"/>
                <w:w w:val="108"/>
                <w:sz w:val="14"/>
              </w:rPr>
              <w:t>e</w:t>
            </w:r>
            <w:r>
              <w:rPr>
                <w:color w:val="231F20"/>
                <w:spacing w:val="-6"/>
                <w:sz w:val="14"/>
              </w:rPr>
              <w:t> </w:t>
            </w:r>
            <w:r>
              <w:rPr>
                <w:color w:val="231F20"/>
                <w:spacing w:val="-1"/>
                <w:w w:val="100"/>
                <w:sz w:val="14"/>
              </w:rPr>
              <w:t>l</w:t>
            </w:r>
            <w:r>
              <w:rPr>
                <w:color w:val="231F20"/>
                <w:w w:val="100"/>
                <w:sz w:val="14"/>
              </w:rPr>
              <w:t>a</w:t>
            </w:r>
            <w:r>
              <w:rPr>
                <w:color w:val="231F20"/>
                <w:spacing w:val="-6"/>
                <w:sz w:val="14"/>
              </w:rPr>
              <w:t> </w:t>
            </w:r>
            <w:r>
              <w:rPr>
                <w:color w:val="231F20"/>
                <w:spacing w:val="-1"/>
                <w:w w:val="103"/>
                <w:sz w:val="14"/>
              </w:rPr>
              <w:t>estructu</w:t>
            </w:r>
            <w:r>
              <w:rPr>
                <w:color w:val="231F20"/>
                <w:spacing w:val="-3"/>
                <w:w w:val="103"/>
                <w:sz w:val="14"/>
              </w:rPr>
              <w:t>r</w:t>
            </w:r>
            <w:r>
              <w:rPr>
                <w:color w:val="231F20"/>
                <w:w w:val="96"/>
                <w:sz w:val="14"/>
              </w:rPr>
              <w:t>a </w:t>
            </w:r>
            <w:r>
              <w:rPr>
                <w:color w:val="231F20"/>
                <w:spacing w:val="-1"/>
                <w:w w:val="111"/>
                <w:sz w:val="14"/>
              </w:rPr>
              <w:t>p</w:t>
            </w:r>
            <w:r>
              <w:rPr>
                <w:color w:val="231F20"/>
                <w:spacing w:val="-4"/>
                <w:w w:val="111"/>
                <w:sz w:val="14"/>
              </w:rPr>
              <w:t>r</w:t>
            </w:r>
            <w:r>
              <w:rPr>
                <w:color w:val="231F20"/>
                <w:spacing w:val="-1"/>
                <w:w w:val="104"/>
                <w:sz w:val="14"/>
              </w:rPr>
              <w:t>oductiva.</w:t>
            </w:r>
          </w:p>
        </w:tc>
        <w:tc>
          <w:tcPr>
            <w:tcW w:w="2225" w:type="dxa"/>
            <w:vMerge w:val="restart"/>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
              <w:rPr>
                <w:sz w:val="19"/>
              </w:rPr>
            </w:pPr>
          </w:p>
          <w:p>
            <w:pPr>
              <w:pStyle w:val="TableParagraph"/>
              <w:spacing w:line="249" w:lineRule="auto"/>
              <w:ind w:left="77" w:right="74"/>
              <w:jc w:val="both"/>
              <w:rPr>
                <w:sz w:val="14"/>
              </w:rPr>
            </w:pPr>
            <w:r>
              <w:rPr>
                <w:color w:val="231F20"/>
                <w:w w:val="105"/>
                <w:sz w:val="14"/>
              </w:rPr>
              <w:t>Interacción</w:t>
            </w:r>
            <w:r>
              <w:rPr>
                <w:color w:val="231F20"/>
                <w:spacing w:val="-31"/>
                <w:w w:val="105"/>
                <w:sz w:val="14"/>
              </w:rPr>
              <w:t> </w:t>
            </w:r>
            <w:r>
              <w:rPr>
                <w:color w:val="231F20"/>
                <w:w w:val="105"/>
                <w:sz w:val="14"/>
              </w:rPr>
              <w:t>de</w:t>
            </w:r>
            <w:r>
              <w:rPr>
                <w:color w:val="231F20"/>
                <w:spacing w:val="-31"/>
                <w:w w:val="105"/>
                <w:sz w:val="14"/>
              </w:rPr>
              <w:t> </w:t>
            </w:r>
            <w:r>
              <w:rPr>
                <w:color w:val="231F20"/>
                <w:w w:val="105"/>
                <w:sz w:val="14"/>
              </w:rPr>
              <w:t>recursos</w:t>
            </w:r>
            <w:r>
              <w:rPr>
                <w:color w:val="231F20"/>
                <w:spacing w:val="-31"/>
                <w:w w:val="105"/>
                <w:sz w:val="14"/>
              </w:rPr>
              <w:t> </w:t>
            </w:r>
            <w:r>
              <w:rPr>
                <w:color w:val="231F20"/>
                <w:w w:val="105"/>
                <w:sz w:val="14"/>
              </w:rPr>
              <w:t>tangibles e</w:t>
            </w:r>
            <w:r>
              <w:rPr>
                <w:color w:val="231F20"/>
                <w:spacing w:val="-28"/>
                <w:w w:val="105"/>
                <w:sz w:val="14"/>
              </w:rPr>
              <w:t> </w:t>
            </w:r>
            <w:r>
              <w:rPr>
                <w:color w:val="231F20"/>
                <w:w w:val="105"/>
                <w:sz w:val="14"/>
              </w:rPr>
              <w:t>intangibles</w:t>
            </w:r>
            <w:r>
              <w:rPr>
                <w:color w:val="231F20"/>
                <w:spacing w:val="-28"/>
                <w:w w:val="105"/>
                <w:sz w:val="14"/>
              </w:rPr>
              <w:t> </w:t>
            </w:r>
            <w:r>
              <w:rPr>
                <w:color w:val="231F20"/>
                <w:w w:val="105"/>
                <w:sz w:val="14"/>
              </w:rPr>
              <w:t>vinculados</w:t>
            </w:r>
            <w:r>
              <w:rPr>
                <w:color w:val="231F20"/>
                <w:spacing w:val="-28"/>
                <w:w w:val="105"/>
                <w:sz w:val="14"/>
              </w:rPr>
              <w:t> </w:t>
            </w:r>
            <w:r>
              <w:rPr>
                <w:color w:val="231F20"/>
                <w:w w:val="105"/>
                <w:sz w:val="14"/>
              </w:rPr>
              <w:t>con</w:t>
            </w:r>
            <w:r>
              <w:rPr>
                <w:color w:val="231F20"/>
                <w:spacing w:val="-28"/>
                <w:w w:val="105"/>
                <w:sz w:val="14"/>
              </w:rPr>
              <w:t> </w:t>
            </w:r>
            <w:r>
              <w:rPr>
                <w:color w:val="231F20"/>
                <w:w w:val="105"/>
                <w:sz w:val="14"/>
              </w:rPr>
              <w:t>la</w:t>
            </w:r>
            <w:r>
              <w:rPr>
                <w:color w:val="231F20"/>
                <w:spacing w:val="-28"/>
                <w:w w:val="105"/>
                <w:sz w:val="14"/>
              </w:rPr>
              <w:t> </w:t>
            </w:r>
            <w:r>
              <w:rPr>
                <w:color w:val="231F20"/>
                <w:w w:val="105"/>
                <w:sz w:val="14"/>
              </w:rPr>
              <w:t>in- geniería</w:t>
            </w:r>
            <w:r>
              <w:rPr>
                <w:color w:val="231F20"/>
                <w:spacing w:val="-22"/>
                <w:w w:val="105"/>
                <w:sz w:val="14"/>
              </w:rPr>
              <w:t> </w:t>
            </w:r>
            <w:r>
              <w:rPr>
                <w:color w:val="231F20"/>
                <w:w w:val="105"/>
                <w:sz w:val="14"/>
              </w:rPr>
              <w:t>del</w:t>
            </w:r>
            <w:r>
              <w:rPr>
                <w:color w:val="231F20"/>
                <w:spacing w:val="-22"/>
                <w:w w:val="105"/>
                <w:sz w:val="14"/>
              </w:rPr>
              <w:t> </w:t>
            </w:r>
            <w:r>
              <w:rPr>
                <w:color w:val="231F20"/>
                <w:w w:val="105"/>
                <w:sz w:val="14"/>
              </w:rPr>
              <w:t>producto</w:t>
            </w:r>
            <w:r>
              <w:rPr>
                <w:color w:val="231F20"/>
                <w:spacing w:val="-22"/>
                <w:w w:val="105"/>
                <w:sz w:val="14"/>
              </w:rPr>
              <w:t> </w:t>
            </w:r>
            <w:r>
              <w:rPr>
                <w:color w:val="231F20"/>
                <w:w w:val="105"/>
                <w:sz w:val="14"/>
              </w:rPr>
              <w:t>(Cadena</w:t>
            </w:r>
            <w:r>
              <w:rPr>
                <w:color w:val="231F20"/>
                <w:spacing w:val="-24"/>
                <w:w w:val="105"/>
                <w:sz w:val="14"/>
              </w:rPr>
              <w:t> </w:t>
            </w:r>
            <w:r>
              <w:rPr>
                <w:i/>
                <w:color w:val="231F20"/>
                <w:w w:val="105"/>
                <w:sz w:val="14"/>
              </w:rPr>
              <w:t>et </w:t>
            </w:r>
            <w:r>
              <w:rPr>
                <w:i/>
                <w:color w:val="231F20"/>
                <w:sz w:val="14"/>
              </w:rPr>
              <w:t>al</w:t>
            </w:r>
            <w:r>
              <w:rPr>
                <w:color w:val="231F20"/>
                <w:sz w:val="14"/>
              </w:rPr>
              <w:t>.,</w:t>
            </w:r>
            <w:r>
              <w:rPr>
                <w:color w:val="231F20"/>
                <w:spacing w:val="-17"/>
                <w:sz w:val="14"/>
              </w:rPr>
              <w:t> </w:t>
            </w:r>
            <w:r>
              <w:rPr>
                <w:color w:val="231F20"/>
                <w:sz w:val="14"/>
              </w:rPr>
              <w:t>1986).</w:t>
            </w:r>
          </w:p>
        </w:tc>
        <w:tc>
          <w:tcPr>
            <w:tcW w:w="3218" w:type="dxa"/>
          </w:tcPr>
          <w:p>
            <w:pPr>
              <w:pStyle w:val="TableParagraph"/>
              <w:spacing w:line="249" w:lineRule="auto" w:before="86"/>
              <w:ind w:left="77" w:right="75"/>
              <w:jc w:val="both"/>
              <w:rPr>
                <w:sz w:val="14"/>
              </w:rPr>
            </w:pPr>
            <w:r>
              <w:rPr>
                <w:color w:val="231F20"/>
                <w:w w:val="105"/>
                <w:sz w:val="14"/>
              </w:rPr>
              <w:t>Producto:</w:t>
            </w:r>
            <w:r>
              <w:rPr>
                <w:color w:val="231F20"/>
                <w:spacing w:val="-9"/>
                <w:w w:val="105"/>
                <w:sz w:val="14"/>
              </w:rPr>
              <w:t> </w:t>
            </w:r>
            <w:r>
              <w:rPr>
                <w:color w:val="231F20"/>
                <w:w w:val="105"/>
                <w:sz w:val="14"/>
              </w:rPr>
              <w:t>incluye</w:t>
            </w:r>
            <w:r>
              <w:rPr>
                <w:color w:val="231F20"/>
                <w:spacing w:val="-9"/>
                <w:w w:val="105"/>
                <w:sz w:val="14"/>
              </w:rPr>
              <w:t> </w:t>
            </w:r>
            <w:r>
              <w:rPr>
                <w:color w:val="231F20"/>
                <w:w w:val="105"/>
                <w:sz w:val="14"/>
              </w:rPr>
              <w:t>normas,</w:t>
            </w:r>
            <w:r>
              <w:rPr>
                <w:color w:val="231F20"/>
                <w:spacing w:val="-12"/>
                <w:w w:val="105"/>
                <w:sz w:val="14"/>
              </w:rPr>
              <w:t> </w:t>
            </w:r>
            <w:r>
              <w:rPr>
                <w:color w:val="231F20"/>
                <w:w w:val="105"/>
                <w:sz w:val="14"/>
              </w:rPr>
              <w:t>especificaciones,</w:t>
            </w:r>
            <w:r>
              <w:rPr>
                <w:color w:val="231F20"/>
                <w:spacing w:val="-12"/>
                <w:w w:val="105"/>
                <w:sz w:val="14"/>
              </w:rPr>
              <w:t> </w:t>
            </w:r>
            <w:r>
              <w:rPr>
                <w:color w:val="231F20"/>
                <w:w w:val="105"/>
                <w:sz w:val="14"/>
              </w:rPr>
              <w:t>re- quisitos de calidad y presentación de un bien o servicio.</w:t>
            </w:r>
          </w:p>
        </w:tc>
      </w:tr>
      <w:tr>
        <w:trPr>
          <w:trHeight w:val="972"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4"/>
              <w:jc w:val="both"/>
              <w:rPr>
                <w:sz w:val="14"/>
              </w:rPr>
            </w:pPr>
            <w:r>
              <w:rPr>
                <w:color w:val="231F20"/>
                <w:spacing w:val="-3"/>
                <w:w w:val="105"/>
                <w:sz w:val="14"/>
              </w:rPr>
              <w:t>Proceso:</w:t>
            </w:r>
            <w:r>
              <w:rPr>
                <w:color w:val="231F20"/>
                <w:spacing w:val="-26"/>
                <w:w w:val="105"/>
                <w:sz w:val="14"/>
              </w:rPr>
              <w:t> </w:t>
            </w:r>
            <w:r>
              <w:rPr>
                <w:color w:val="231F20"/>
                <w:w w:val="105"/>
                <w:sz w:val="14"/>
              </w:rPr>
              <w:t>contiene</w:t>
            </w:r>
            <w:r>
              <w:rPr>
                <w:color w:val="231F20"/>
                <w:spacing w:val="-26"/>
                <w:w w:val="105"/>
                <w:sz w:val="14"/>
              </w:rPr>
              <w:t> </w:t>
            </w:r>
            <w:r>
              <w:rPr>
                <w:color w:val="231F20"/>
                <w:w w:val="105"/>
                <w:sz w:val="14"/>
              </w:rPr>
              <w:t>condiciones,</w:t>
            </w:r>
            <w:r>
              <w:rPr>
                <w:color w:val="231F20"/>
                <w:spacing w:val="-29"/>
                <w:w w:val="105"/>
                <w:sz w:val="14"/>
              </w:rPr>
              <w:t> </w:t>
            </w:r>
            <w:r>
              <w:rPr>
                <w:color w:val="231F20"/>
                <w:w w:val="105"/>
                <w:sz w:val="14"/>
              </w:rPr>
              <w:t>procedimientos</w:t>
            </w:r>
            <w:r>
              <w:rPr>
                <w:color w:val="231F20"/>
                <w:spacing w:val="-26"/>
                <w:w w:val="105"/>
                <w:sz w:val="14"/>
              </w:rPr>
              <w:t> </w:t>
            </w:r>
            <w:r>
              <w:rPr>
                <w:color w:val="231F20"/>
                <w:w w:val="105"/>
                <w:sz w:val="14"/>
              </w:rPr>
              <w:t>y </w:t>
            </w:r>
            <w:r>
              <w:rPr>
                <w:color w:val="231F20"/>
                <w:sz w:val="14"/>
              </w:rPr>
              <w:t>formas de </w:t>
            </w:r>
            <w:r>
              <w:rPr>
                <w:color w:val="231F20"/>
                <w:spacing w:val="-3"/>
                <w:sz w:val="14"/>
              </w:rPr>
              <w:t>organización </w:t>
            </w:r>
            <w:r>
              <w:rPr>
                <w:color w:val="231F20"/>
                <w:sz w:val="14"/>
              </w:rPr>
              <w:t>necesarios para</w:t>
            </w:r>
            <w:r>
              <w:rPr>
                <w:color w:val="231F20"/>
                <w:spacing w:val="-19"/>
                <w:sz w:val="14"/>
              </w:rPr>
              <w:t> </w:t>
            </w:r>
            <w:r>
              <w:rPr>
                <w:color w:val="231F20"/>
                <w:sz w:val="14"/>
              </w:rPr>
              <w:t>combinar </w:t>
            </w:r>
            <w:r>
              <w:rPr>
                <w:color w:val="231F20"/>
                <w:w w:val="105"/>
                <w:sz w:val="14"/>
              </w:rPr>
              <w:t>insumos,</w:t>
            </w:r>
            <w:r>
              <w:rPr>
                <w:color w:val="231F20"/>
                <w:spacing w:val="-17"/>
                <w:w w:val="105"/>
                <w:sz w:val="14"/>
              </w:rPr>
              <w:t> </w:t>
            </w:r>
            <w:r>
              <w:rPr>
                <w:color w:val="231F20"/>
                <w:w w:val="105"/>
                <w:sz w:val="14"/>
              </w:rPr>
              <w:t>recursos</w:t>
            </w:r>
            <w:r>
              <w:rPr>
                <w:color w:val="231F20"/>
                <w:spacing w:val="-14"/>
                <w:w w:val="105"/>
                <w:sz w:val="14"/>
              </w:rPr>
              <w:t> </w:t>
            </w:r>
            <w:r>
              <w:rPr>
                <w:color w:val="231F20"/>
                <w:w w:val="105"/>
                <w:sz w:val="14"/>
              </w:rPr>
              <w:t>humanos,</w:t>
            </w:r>
            <w:r>
              <w:rPr>
                <w:color w:val="231F20"/>
                <w:spacing w:val="-17"/>
                <w:w w:val="105"/>
                <w:sz w:val="14"/>
              </w:rPr>
              <w:t> </w:t>
            </w:r>
            <w:r>
              <w:rPr>
                <w:color w:val="231F20"/>
                <w:w w:val="105"/>
                <w:sz w:val="14"/>
              </w:rPr>
              <w:t>y</w:t>
            </w:r>
            <w:r>
              <w:rPr>
                <w:color w:val="231F20"/>
                <w:spacing w:val="-14"/>
                <w:w w:val="105"/>
                <w:sz w:val="14"/>
              </w:rPr>
              <w:t> </w:t>
            </w:r>
            <w:r>
              <w:rPr>
                <w:color w:val="231F20"/>
                <w:w w:val="105"/>
                <w:sz w:val="14"/>
              </w:rPr>
              <w:t>bienes</w:t>
            </w:r>
            <w:r>
              <w:rPr>
                <w:color w:val="231F20"/>
                <w:spacing w:val="-14"/>
                <w:w w:val="105"/>
                <w:sz w:val="14"/>
              </w:rPr>
              <w:t> </w:t>
            </w:r>
            <w:r>
              <w:rPr>
                <w:color w:val="231F20"/>
                <w:w w:val="105"/>
                <w:sz w:val="14"/>
              </w:rPr>
              <w:t>de</w:t>
            </w:r>
            <w:r>
              <w:rPr>
                <w:color w:val="231F20"/>
                <w:spacing w:val="-14"/>
                <w:w w:val="105"/>
                <w:sz w:val="14"/>
              </w:rPr>
              <w:t> </w:t>
            </w:r>
            <w:r>
              <w:rPr>
                <w:color w:val="231F20"/>
                <w:w w:val="105"/>
                <w:sz w:val="14"/>
              </w:rPr>
              <w:t>capital de la manera adecuada para producir un bien </w:t>
            </w:r>
            <w:r>
              <w:rPr>
                <w:color w:val="231F20"/>
                <w:sz w:val="14"/>
              </w:rPr>
              <w:t>o</w:t>
            </w:r>
            <w:r>
              <w:rPr>
                <w:color w:val="231F20"/>
                <w:spacing w:val="1"/>
                <w:sz w:val="14"/>
              </w:rPr>
              <w:t> </w:t>
            </w:r>
            <w:r>
              <w:rPr>
                <w:color w:val="231F20"/>
                <w:sz w:val="14"/>
              </w:rPr>
              <w:t>servicio.</w:t>
            </w:r>
          </w:p>
        </w:tc>
      </w:tr>
      <w:tr>
        <w:trPr>
          <w:trHeight w:val="1072" w:hRule="exact"/>
        </w:trPr>
        <w:tc>
          <w:tcPr>
            <w:tcW w:w="1469" w:type="dxa"/>
            <w:vMerge/>
            <w:textDirection w:val="btLr"/>
          </w:tcPr>
          <w:p>
            <w:pPr/>
          </w:p>
        </w:tc>
        <w:tc>
          <w:tcPr>
            <w:tcW w:w="2225" w:type="dxa"/>
            <w:vMerge/>
          </w:tcPr>
          <w:p>
            <w:pPr/>
          </w:p>
        </w:tc>
        <w:tc>
          <w:tcPr>
            <w:tcW w:w="3218" w:type="dxa"/>
          </w:tcPr>
          <w:p>
            <w:pPr>
              <w:pStyle w:val="TableParagraph"/>
              <w:rPr>
                <w:sz w:val="14"/>
              </w:rPr>
            </w:pPr>
          </w:p>
          <w:p>
            <w:pPr>
              <w:pStyle w:val="TableParagraph"/>
              <w:spacing w:before="5"/>
              <w:rPr>
                <w:sz w:val="12"/>
              </w:rPr>
            </w:pPr>
          </w:p>
          <w:p>
            <w:pPr>
              <w:pStyle w:val="TableParagraph"/>
              <w:spacing w:line="249" w:lineRule="auto"/>
              <w:ind w:left="77" w:right="73"/>
              <w:jc w:val="both"/>
              <w:rPr>
                <w:sz w:val="14"/>
              </w:rPr>
            </w:pPr>
            <w:r>
              <w:rPr>
                <w:color w:val="231F20"/>
                <w:sz w:val="14"/>
              </w:rPr>
              <w:t>Equipo: se relaciona con las características que deben</w:t>
            </w:r>
            <w:r>
              <w:rPr>
                <w:color w:val="231F20"/>
                <w:spacing w:val="-9"/>
                <w:sz w:val="14"/>
              </w:rPr>
              <w:t> </w:t>
            </w:r>
            <w:r>
              <w:rPr>
                <w:color w:val="231F20"/>
                <w:sz w:val="14"/>
              </w:rPr>
              <w:t>de</w:t>
            </w:r>
            <w:r>
              <w:rPr>
                <w:color w:val="231F20"/>
                <w:spacing w:val="-9"/>
                <w:sz w:val="14"/>
              </w:rPr>
              <w:t> </w:t>
            </w:r>
            <w:r>
              <w:rPr>
                <w:color w:val="231F20"/>
                <w:sz w:val="14"/>
              </w:rPr>
              <w:t>poseer</w:t>
            </w:r>
            <w:r>
              <w:rPr>
                <w:color w:val="231F20"/>
                <w:spacing w:val="-9"/>
                <w:sz w:val="14"/>
              </w:rPr>
              <w:t> </w:t>
            </w:r>
            <w:r>
              <w:rPr>
                <w:color w:val="231F20"/>
                <w:sz w:val="14"/>
              </w:rPr>
              <w:t>los</w:t>
            </w:r>
            <w:r>
              <w:rPr>
                <w:color w:val="231F20"/>
                <w:spacing w:val="-9"/>
                <w:sz w:val="14"/>
              </w:rPr>
              <w:t> </w:t>
            </w:r>
            <w:r>
              <w:rPr>
                <w:color w:val="231F20"/>
                <w:sz w:val="14"/>
              </w:rPr>
              <w:t>bienes</w:t>
            </w:r>
            <w:r>
              <w:rPr>
                <w:color w:val="231F20"/>
                <w:spacing w:val="-9"/>
                <w:sz w:val="14"/>
              </w:rPr>
              <w:t> </w:t>
            </w:r>
            <w:r>
              <w:rPr>
                <w:color w:val="231F20"/>
                <w:sz w:val="14"/>
              </w:rPr>
              <w:t>de</w:t>
            </w:r>
            <w:r>
              <w:rPr>
                <w:color w:val="231F20"/>
                <w:spacing w:val="-9"/>
                <w:sz w:val="14"/>
              </w:rPr>
              <w:t> </w:t>
            </w:r>
            <w:r>
              <w:rPr>
                <w:color w:val="231F20"/>
                <w:sz w:val="14"/>
              </w:rPr>
              <w:t>capital,</w:t>
            </w:r>
            <w:r>
              <w:rPr>
                <w:color w:val="231F20"/>
                <w:spacing w:val="-14"/>
                <w:sz w:val="14"/>
              </w:rPr>
              <w:t> </w:t>
            </w:r>
            <w:r>
              <w:rPr>
                <w:color w:val="231F20"/>
                <w:sz w:val="14"/>
              </w:rPr>
              <w:t>necesarios para producir un bien o  servicio.</w:t>
            </w:r>
          </w:p>
        </w:tc>
      </w:tr>
      <w:tr>
        <w:trPr>
          <w:trHeight w:val="804" w:hRule="exact"/>
        </w:trPr>
        <w:tc>
          <w:tcPr>
            <w:tcW w:w="1469" w:type="dxa"/>
            <w:vMerge w:val="restart"/>
            <w:textDirection w:val="btLr"/>
          </w:tcPr>
          <w:p>
            <w:pPr>
              <w:pStyle w:val="TableParagraph"/>
              <w:rPr>
                <w:sz w:val="14"/>
              </w:rPr>
            </w:pPr>
          </w:p>
          <w:p>
            <w:pPr>
              <w:pStyle w:val="TableParagraph"/>
              <w:rPr>
                <w:sz w:val="14"/>
              </w:rPr>
            </w:pPr>
          </w:p>
          <w:p>
            <w:pPr>
              <w:pStyle w:val="TableParagraph"/>
              <w:rPr>
                <w:sz w:val="14"/>
              </w:rPr>
            </w:pPr>
          </w:p>
          <w:p>
            <w:pPr>
              <w:pStyle w:val="TableParagraph"/>
              <w:spacing w:before="3"/>
              <w:rPr>
                <w:sz w:val="16"/>
              </w:rPr>
            </w:pPr>
          </w:p>
          <w:p>
            <w:pPr>
              <w:pStyle w:val="TableParagraph"/>
              <w:ind w:left="842"/>
              <w:rPr>
                <w:sz w:val="14"/>
              </w:rPr>
            </w:pPr>
            <w:r>
              <w:rPr>
                <w:color w:val="231F20"/>
                <w:spacing w:val="-1"/>
                <w:w w:val="98"/>
                <w:sz w:val="14"/>
              </w:rPr>
              <w:t>Sistem</w:t>
            </w:r>
            <w:r>
              <w:rPr>
                <w:color w:val="231F20"/>
                <w:w w:val="98"/>
                <w:sz w:val="14"/>
              </w:rPr>
              <w:t>a</w:t>
            </w:r>
            <w:r>
              <w:rPr>
                <w:color w:val="231F20"/>
                <w:spacing w:val="-6"/>
                <w:sz w:val="14"/>
              </w:rPr>
              <w:t> </w:t>
            </w:r>
            <w:r>
              <w:rPr>
                <w:color w:val="231F20"/>
                <w:spacing w:val="-1"/>
                <w:w w:val="108"/>
                <w:sz w:val="14"/>
              </w:rPr>
              <w:t>d</w:t>
            </w:r>
            <w:r>
              <w:rPr>
                <w:color w:val="231F20"/>
                <w:w w:val="108"/>
                <w:sz w:val="14"/>
              </w:rPr>
              <w:t>e</w:t>
            </w:r>
            <w:r>
              <w:rPr>
                <w:color w:val="231F20"/>
                <w:spacing w:val="-6"/>
                <w:sz w:val="14"/>
              </w:rPr>
              <w:t> </w:t>
            </w:r>
            <w:r>
              <w:rPr>
                <w:color w:val="231F20"/>
                <w:spacing w:val="-1"/>
                <w:w w:val="104"/>
                <w:sz w:val="14"/>
              </w:rPr>
              <w:t>administ</w:t>
            </w:r>
            <w:r>
              <w:rPr>
                <w:color w:val="231F20"/>
                <w:spacing w:val="-3"/>
                <w:w w:val="104"/>
                <w:sz w:val="14"/>
              </w:rPr>
              <w:t>r</w:t>
            </w:r>
            <w:r>
              <w:rPr>
                <w:color w:val="231F20"/>
                <w:spacing w:val="-1"/>
                <w:w w:val="102"/>
                <w:sz w:val="14"/>
              </w:rPr>
              <w:t>ación.</w:t>
            </w:r>
          </w:p>
        </w:tc>
        <w:tc>
          <w:tcPr>
            <w:tcW w:w="2225" w:type="dxa"/>
            <w:vMerge w:val="restart"/>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3"/>
              </w:rPr>
            </w:pPr>
          </w:p>
          <w:p>
            <w:pPr>
              <w:pStyle w:val="TableParagraph"/>
              <w:spacing w:line="249" w:lineRule="auto"/>
              <w:ind w:left="77" w:right="73"/>
              <w:jc w:val="both"/>
              <w:rPr>
                <w:sz w:val="14"/>
              </w:rPr>
            </w:pPr>
            <w:r>
              <w:rPr>
                <w:color w:val="231F20"/>
                <w:sz w:val="14"/>
              </w:rPr>
              <w:t>Identifica el tipo de administra- ción y su estructura. </w:t>
            </w:r>
            <w:r>
              <w:rPr>
                <w:color w:val="231F20"/>
                <w:spacing w:val="-3"/>
                <w:sz w:val="14"/>
              </w:rPr>
              <w:t>Considera </w:t>
            </w:r>
            <w:r>
              <w:rPr>
                <w:color w:val="231F20"/>
                <w:sz w:val="14"/>
              </w:rPr>
              <w:t>la </w:t>
            </w:r>
            <w:r>
              <w:rPr>
                <w:color w:val="231F20"/>
                <w:spacing w:val="-3"/>
                <w:sz w:val="14"/>
              </w:rPr>
              <w:t>visualización</w:t>
            </w:r>
            <w:r>
              <w:rPr>
                <w:color w:val="231F20"/>
                <w:spacing w:val="-10"/>
                <w:sz w:val="14"/>
              </w:rPr>
              <w:t> </w:t>
            </w:r>
            <w:r>
              <w:rPr>
                <w:color w:val="231F20"/>
                <w:sz w:val="14"/>
              </w:rPr>
              <w:t>de</w:t>
            </w:r>
            <w:r>
              <w:rPr>
                <w:color w:val="231F20"/>
                <w:spacing w:val="-10"/>
                <w:sz w:val="14"/>
              </w:rPr>
              <w:t> </w:t>
            </w:r>
            <w:r>
              <w:rPr>
                <w:color w:val="231F20"/>
                <w:sz w:val="14"/>
              </w:rPr>
              <w:t>su</w:t>
            </w:r>
            <w:r>
              <w:rPr>
                <w:color w:val="231F20"/>
                <w:spacing w:val="-10"/>
                <w:sz w:val="14"/>
              </w:rPr>
              <w:t> </w:t>
            </w:r>
            <w:r>
              <w:rPr>
                <w:color w:val="231F20"/>
                <w:spacing w:val="-3"/>
                <w:sz w:val="14"/>
              </w:rPr>
              <w:t>misión</w:t>
            </w:r>
            <w:r>
              <w:rPr>
                <w:color w:val="231F20"/>
                <w:spacing w:val="-10"/>
                <w:sz w:val="14"/>
              </w:rPr>
              <w:t> </w:t>
            </w:r>
            <w:r>
              <w:rPr>
                <w:color w:val="231F20"/>
                <w:sz w:val="14"/>
              </w:rPr>
              <w:t>y</w:t>
            </w:r>
            <w:r>
              <w:rPr>
                <w:color w:val="231F20"/>
                <w:spacing w:val="-10"/>
                <w:sz w:val="14"/>
              </w:rPr>
              <w:t> </w:t>
            </w:r>
            <w:r>
              <w:rPr>
                <w:color w:val="231F20"/>
                <w:spacing w:val="-3"/>
                <w:sz w:val="14"/>
              </w:rPr>
              <w:t>visión, </w:t>
            </w:r>
            <w:r>
              <w:rPr>
                <w:color w:val="231F20"/>
                <w:sz w:val="14"/>
              </w:rPr>
              <w:t>así</w:t>
            </w:r>
            <w:r>
              <w:rPr>
                <w:color w:val="231F20"/>
                <w:spacing w:val="-9"/>
                <w:sz w:val="14"/>
              </w:rPr>
              <w:t> </w:t>
            </w:r>
            <w:r>
              <w:rPr>
                <w:color w:val="231F20"/>
                <w:sz w:val="14"/>
              </w:rPr>
              <w:t>como</w:t>
            </w:r>
            <w:r>
              <w:rPr>
                <w:color w:val="231F20"/>
                <w:spacing w:val="-9"/>
                <w:sz w:val="14"/>
              </w:rPr>
              <w:t> </w:t>
            </w:r>
            <w:r>
              <w:rPr>
                <w:color w:val="231F20"/>
                <w:sz w:val="14"/>
              </w:rPr>
              <w:t>la</w:t>
            </w:r>
            <w:r>
              <w:rPr>
                <w:color w:val="231F20"/>
                <w:spacing w:val="-9"/>
                <w:sz w:val="14"/>
              </w:rPr>
              <w:t> </w:t>
            </w:r>
            <w:r>
              <w:rPr>
                <w:color w:val="231F20"/>
                <w:spacing w:val="-2"/>
                <w:sz w:val="14"/>
              </w:rPr>
              <w:t>manera</w:t>
            </w:r>
            <w:r>
              <w:rPr>
                <w:color w:val="231F20"/>
                <w:spacing w:val="-9"/>
                <w:sz w:val="14"/>
              </w:rPr>
              <w:t> </w:t>
            </w:r>
            <w:r>
              <w:rPr>
                <w:color w:val="231F20"/>
                <w:sz w:val="14"/>
              </w:rPr>
              <w:t>de</w:t>
            </w:r>
            <w:r>
              <w:rPr>
                <w:color w:val="231F20"/>
                <w:spacing w:val="-9"/>
                <w:sz w:val="14"/>
              </w:rPr>
              <w:t> </w:t>
            </w:r>
            <w:r>
              <w:rPr>
                <w:color w:val="231F20"/>
                <w:sz w:val="14"/>
              </w:rPr>
              <w:t>alcanzarla a</w:t>
            </w:r>
            <w:r>
              <w:rPr>
                <w:color w:val="231F20"/>
                <w:spacing w:val="-6"/>
                <w:sz w:val="14"/>
              </w:rPr>
              <w:t> </w:t>
            </w:r>
            <w:r>
              <w:rPr>
                <w:color w:val="231F20"/>
                <w:spacing w:val="-2"/>
                <w:sz w:val="14"/>
              </w:rPr>
              <w:t>través</w:t>
            </w:r>
            <w:r>
              <w:rPr>
                <w:color w:val="231F20"/>
                <w:spacing w:val="-6"/>
                <w:sz w:val="14"/>
              </w:rPr>
              <w:t> </w:t>
            </w:r>
            <w:r>
              <w:rPr>
                <w:color w:val="231F20"/>
                <w:sz w:val="14"/>
              </w:rPr>
              <w:t>de</w:t>
            </w:r>
            <w:r>
              <w:rPr>
                <w:color w:val="231F20"/>
                <w:spacing w:val="-6"/>
                <w:sz w:val="14"/>
              </w:rPr>
              <w:t> </w:t>
            </w:r>
            <w:r>
              <w:rPr>
                <w:color w:val="231F20"/>
                <w:sz w:val="14"/>
              </w:rPr>
              <w:t>un</w:t>
            </w:r>
            <w:r>
              <w:rPr>
                <w:color w:val="231F20"/>
                <w:spacing w:val="-6"/>
                <w:sz w:val="14"/>
              </w:rPr>
              <w:t> </w:t>
            </w:r>
            <w:r>
              <w:rPr>
                <w:color w:val="231F20"/>
                <w:sz w:val="14"/>
              </w:rPr>
              <w:t>marco</w:t>
            </w:r>
            <w:r>
              <w:rPr>
                <w:color w:val="231F20"/>
                <w:spacing w:val="-6"/>
                <w:sz w:val="14"/>
              </w:rPr>
              <w:t> </w:t>
            </w:r>
            <w:r>
              <w:rPr>
                <w:color w:val="231F20"/>
                <w:sz w:val="14"/>
              </w:rPr>
              <w:t>general</w:t>
            </w:r>
            <w:r>
              <w:rPr>
                <w:color w:val="231F20"/>
                <w:spacing w:val="-6"/>
                <w:sz w:val="14"/>
              </w:rPr>
              <w:t> </w:t>
            </w:r>
            <w:r>
              <w:rPr>
                <w:color w:val="231F20"/>
                <w:spacing w:val="-2"/>
                <w:sz w:val="14"/>
              </w:rPr>
              <w:t>que </w:t>
            </w:r>
            <w:r>
              <w:rPr>
                <w:color w:val="231F20"/>
                <w:sz w:val="14"/>
              </w:rPr>
              <w:t>integre las decisiones de la com- pañía </w:t>
            </w:r>
            <w:r>
              <w:rPr>
                <w:color w:val="231F20"/>
                <w:spacing w:val="-4"/>
                <w:sz w:val="14"/>
              </w:rPr>
              <w:t>(Kotler,</w:t>
            </w:r>
            <w:r>
              <w:rPr>
                <w:color w:val="231F20"/>
                <w:spacing w:val="2"/>
                <w:sz w:val="14"/>
              </w:rPr>
              <w:t> </w:t>
            </w:r>
            <w:r>
              <w:rPr>
                <w:color w:val="231F20"/>
                <w:spacing w:val="-2"/>
                <w:sz w:val="14"/>
              </w:rPr>
              <w:t>1993).</w:t>
            </w:r>
          </w:p>
        </w:tc>
        <w:tc>
          <w:tcPr>
            <w:tcW w:w="3218" w:type="dxa"/>
          </w:tcPr>
          <w:p>
            <w:pPr>
              <w:pStyle w:val="TableParagraph"/>
              <w:spacing w:line="249" w:lineRule="auto" w:before="86"/>
              <w:ind w:left="77" w:right="74"/>
              <w:jc w:val="both"/>
              <w:rPr>
                <w:sz w:val="14"/>
              </w:rPr>
            </w:pPr>
            <w:r>
              <w:rPr>
                <w:color w:val="231F20"/>
                <w:spacing w:val="-1"/>
                <w:sz w:val="14"/>
              </w:rPr>
              <w:t>Planeación: comprende </w:t>
            </w:r>
            <w:r>
              <w:rPr>
                <w:color w:val="231F20"/>
                <w:sz w:val="14"/>
              </w:rPr>
              <w:t>actividades relacionadas </w:t>
            </w:r>
            <w:r>
              <w:rPr>
                <w:color w:val="231F20"/>
                <w:w w:val="105"/>
                <w:sz w:val="14"/>
              </w:rPr>
              <w:t>con la toma de decisiones sobre el rumbo que debe</w:t>
            </w:r>
            <w:r>
              <w:rPr>
                <w:color w:val="231F20"/>
                <w:spacing w:val="-28"/>
                <w:w w:val="105"/>
                <w:sz w:val="14"/>
              </w:rPr>
              <w:t> </w:t>
            </w:r>
            <w:r>
              <w:rPr>
                <w:color w:val="231F20"/>
                <w:w w:val="105"/>
                <w:sz w:val="14"/>
              </w:rPr>
              <w:t>tomar</w:t>
            </w:r>
            <w:r>
              <w:rPr>
                <w:color w:val="231F20"/>
                <w:spacing w:val="-28"/>
                <w:w w:val="105"/>
                <w:sz w:val="14"/>
              </w:rPr>
              <w:t> </w:t>
            </w:r>
            <w:r>
              <w:rPr>
                <w:color w:val="231F20"/>
                <w:w w:val="105"/>
                <w:sz w:val="14"/>
              </w:rPr>
              <w:t>la</w:t>
            </w:r>
            <w:r>
              <w:rPr>
                <w:color w:val="231F20"/>
                <w:spacing w:val="-28"/>
                <w:w w:val="105"/>
                <w:sz w:val="14"/>
              </w:rPr>
              <w:t> </w:t>
            </w:r>
            <w:r>
              <w:rPr>
                <w:color w:val="231F20"/>
                <w:w w:val="105"/>
                <w:sz w:val="14"/>
              </w:rPr>
              <w:t>empresa</w:t>
            </w:r>
            <w:r>
              <w:rPr>
                <w:color w:val="231F20"/>
                <w:spacing w:val="-28"/>
                <w:w w:val="105"/>
                <w:sz w:val="14"/>
              </w:rPr>
              <w:t> </w:t>
            </w:r>
            <w:r>
              <w:rPr>
                <w:color w:val="231F20"/>
                <w:w w:val="105"/>
                <w:sz w:val="14"/>
              </w:rPr>
              <w:t>y</w:t>
            </w:r>
            <w:r>
              <w:rPr>
                <w:color w:val="231F20"/>
                <w:spacing w:val="-28"/>
                <w:w w:val="105"/>
                <w:sz w:val="14"/>
              </w:rPr>
              <w:t> </w:t>
            </w:r>
            <w:r>
              <w:rPr>
                <w:color w:val="231F20"/>
                <w:w w:val="105"/>
                <w:sz w:val="14"/>
              </w:rPr>
              <w:t>las</w:t>
            </w:r>
            <w:r>
              <w:rPr>
                <w:color w:val="231F20"/>
                <w:spacing w:val="-28"/>
                <w:w w:val="105"/>
                <w:sz w:val="14"/>
              </w:rPr>
              <w:t> </w:t>
            </w:r>
            <w:r>
              <w:rPr>
                <w:color w:val="231F20"/>
                <w:w w:val="105"/>
                <w:sz w:val="14"/>
              </w:rPr>
              <w:t>formas</w:t>
            </w:r>
            <w:r>
              <w:rPr>
                <w:color w:val="231F20"/>
                <w:spacing w:val="-28"/>
                <w:w w:val="105"/>
                <w:sz w:val="14"/>
              </w:rPr>
              <w:t> </w:t>
            </w:r>
            <w:r>
              <w:rPr>
                <w:color w:val="231F20"/>
                <w:w w:val="105"/>
                <w:sz w:val="14"/>
              </w:rPr>
              <w:t>para</w:t>
            </w:r>
            <w:r>
              <w:rPr>
                <w:color w:val="231F20"/>
                <w:spacing w:val="-28"/>
                <w:w w:val="105"/>
                <w:sz w:val="14"/>
              </w:rPr>
              <w:t> </w:t>
            </w:r>
            <w:r>
              <w:rPr>
                <w:color w:val="231F20"/>
                <w:w w:val="105"/>
                <w:sz w:val="14"/>
              </w:rPr>
              <w:t>alcanzar </w:t>
            </w:r>
            <w:r>
              <w:rPr>
                <w:color w:val="231F20"/>
                <w:sz w:val="14"/>
              </w:rPr>
              <w:t>las</w:t>
            </w:r>
            <w:r>
              <w:rPr>
                <w:color w:val="231F20"/>
                <w:spacing w:val="-20"/>
                <w:sz w:val="14"/>
              </w:rPr>
              <w:t> </w:t>
            </w:r>
            <w:r>
              <w:rPr>
                <w:color w:val="231F20"/>
                <w:sz w:val="14"/>
              </w:rPr>
              <w:t>metas.</w:t>
            </w:r>
          </w:p>
        </w:tc>
      </w:tr>
      <w:tr>
        <w:trPr>
          <w:trHeight w:val="972"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5"/>
              <w:jc w:val="both"/>
              <w:rPr>
                <w:sz w:val="14"/>
              </w:rPr>
            </w:pPr>
            <w:r>
              <w:rPr>
                <w:color w:val="231F20"/>
                <w:w w:val="105"/>
                <w:sz w:val="14"/>
              </w:rPr>
              <w:t>Organización:</w:t>
            </w:r>
            <w:r>
              <w:rPr>
                <w:color w:val="231F20"/>
                <w:spacing w:val="-14"/>
                <w:w w:val="105"/>
                <w:sz w:val="14"/>
              </w:rPr>
              <w:t> </w:t>
            </w:r>
            <w:r>
              <w:rPr>
                <w:color w:val="231F20"/>
                <w:w w:val="105"/>
                <w:sz w:val="14"/>
              </w:rPr>
              <w:t>incluye</w:t>
            </w:r>
            <w:r>
              <w:rPr>
                <w:color w:val="231F20"/>
                <w:spacing w:val="-14"/>
                <w:w w:val="105"/>
                <w:sz w:val="14"/>
              </w:rPr>
              <w:t> </w:t>
            </w:r>
            <w:r>
              <w:rPr>
                <w:color w:val="231F20"/>
                <w:w w:val="105"/>
                <w:sz w:val="14"/>
              </w:rPr>
              <w:t>las</w:t>
            </w:r>
            <w:r>
              <w:rPr>
                <w:color w:val="231F20"/>
                <w:spacing w:val="-14"/>
                <w:w w:val="105"/>
                <w:sz w:val="14"/>
              </w:rPr>
              <w:t> </w:t>
            </w:r>
            <w:r>
              <w:rPr>
                <w:color w:val="231F20"/>
                <w:w w:val="105"/>
                <w:sz w:val="14"/>
              </w:rPr>
              <w:t>actividades</w:t>
            </w:r>
            <w:r>
              <w:rPr>
                <w:color w:val="231F20"/>
                <w:spacing w:val="-14"/>
                <w:w w:val="105"/>
                <w:sz w:val="14"/>
              </w:rPr>
              <w:t> </w:t>
            </w:r>
            <w:r>
              <w:rPr>
                <w:color w:val="231F20"/>
                <w:w w:val="105"/>
                <w:sz w:val="14"/>
              </w:rPr>
              <w:t>asociadas con la provisión de una estructura organizacio- nal</w:t>
            </w:r>
            <w:r>
              <w:rPr>
                <w:color w:val="231F20"/>
                <w:spacing w:val="-13"/>
                <w:w w:val="105"/>
                <w:sz w:val="14"/>
              </w:rPr>
              <w:t> </w:t>
            </w:r>
            <w:r>
              <w:rPr>
                <w:color w:val="231F20"/>
                <w:w w:val="105"/>
                <w:sz w:val="14"/>
              </w:rPr>
              <w:t>apropiada</w:t>
            </w:r>
            <w:r>
              <w:rPr>
                <w:color w:val="231F20"/>
                <w:spacing w:val="-13"/>
                <w:w w:val="105"/>
                <w:sz w:val="14"/>
              </w:rPr>
              <w:t> </w:t>
            </w:r>
            <w:r>
              <w:rPr>
                <w:color w:val="231F20"/>
                <w:w w:val="105"/>
                <w:sz w:val="14"/>
              </w:rPr>
              <w:t>al</w:t>
            </w:r>
            <w:r>
              <w:rPr>
                <w:color w:val="231F20"/>
                <w:spacing w:val="-13"/>
                <w:w w:val="105"/>
                <w:sz w:val="14"/>
              </w:rPr>
              <w:t> </w:t>
            </w:r>
            <w:r>
              <w:rPr>
                <w:color w:val="231F20"/>
                <w:w w:val="105"/>
                <w:sz w:val="14"/>
              </w:rPr>
              <w:t>entorno</w:t>
            </w:r>
            <w:r>
              <w:rPr>
                <w:color w:val="231F20"/>
                <w:spacing w:val="-13"/>
                <w:w w:val="105"/>
                <w:sz w:val="14"/>
              </w:rPr>
              <w:t> </w:t>
            </w:r>
            <w:r>
              <w:rPr>
                <w:color w:val="231F20"/>
                <w:w w:val="105"/>
                <w:sz w:val="14"/>
              </w:rPr>
              <w:t>de</w:t>
            </w:r>
            <w:r>
              <w:rPr>
                <w:color w:val="231F20"/>
                <w:spacing w:val="-13"/>
                <w:w w:val="105"/>
                <w:sz w:val="14"/>
              </w:rPr>
              <w:t> </w:t>
            </w:r>
            <w:r>
              <w:rPr>
                <w:color w:val="231F20"/>
                <w:w w:val="105"/>
                <w:sz w:val="14"/>
              </w:rPr>
              <w:t>la</w:t>
            </w:r>
            <w:r>
              <w:rPr>
                <w:color w:val="231F20"/>
                <w:spacing w:val="-13"/>
                <w:w w:val="105"/>
                <w:sz w:val="14"/>
              </w:rPr>
              <w:t> </w:t>
            </w:r>
            <w:r>
              <w:rPr>
                <w:color w:val="231F20"/>
                <w:w w:val="105"/>
                <w:sz w:val="14"/>
              </w:rPr>
              <w:t>firma;</w:t>
            </w:r>
            <w:r>
              <w:rPr>
                <w:color w:val="231F20"/>
                <w:spacing w:val="-13"/>
                <w:w w:val="105"/>
                <w:sz w:val="14"/>
              </w:rPr>
              <w:t> </w:t>
            </w:r>
            <w:r>
              <w:rPr>
                <w:color w:val="231F20"/>
                <w:w w:val="105"/>
                <w:sz w:val="14"/>
              </w:rPr>
              <w:t>radica</w:t>
            </w:r>
            <w:r>
              <w:rPr>
                <w:color w:val="231F20"/>
                <w:spacing w:val="-13"/>
                <w:w w:val="105"/>
                <w:sz w:val="14"/>
              </w:rPr>
              <w:t> </w:t>
            </w:r>
            <w:r>
              <w:rPr>
                <w:color w:val="231F20"/>
                <w:w w:val="105"/>
                <w:sz w:val="14"/>
              </w:rPr>
              <w:t>en</w:t>
            </w:r>
            <w:r>
              <w:rPr>
                <w:color w:val="231F20"/>
                <w:spacing w:val="-13"/>
                <w:w w:val="105"/>
                <w:sz w:val="14"/>
              </w:rPr>
              <w:t> </w:t>
            </w:r>
            <w:r>
              <w:rPr>
                <w:color w:val="231F20"/>
                <w:w w:val="105"/>
                <w:sz w:val="14"/>
              </w:rPr>
              <w:t>la ubicación</w:t>
            </w:r>
            <w:r>
              <w:rPr>
                <w:color w:val="231F20"/>
                <w:spacing w:val="-15"/>
                <w:w w:val="105"/>
                <w:sz w:val="14"/>
              </w:rPr>
              <w:t> </w:t>
            </w:r>
            <w:r>
              <w:rPr>
                <w:color w:val="231F20"/>
                <w:w w:val="105"/>
                <w:sz w:val="14"/>
              </w:rPr>
              <w:t>y</w:t>
            </w:r>
            <w:r>
              <w:rPr>
                <w:color w:val="231F20"/>
                <w:spacing w:val="-15"/>
                <w:w w:val="105"/>
                <w:sz w:val="14"/>
              </w:rPr>
              <w:t> </w:t>
            </w:r>
            <w:r>
              <w:rPr>
                <w:color w:val="231F20"/>
                <w:w w:val="105"/>
                <w:sz w:val="14"/>
              </w:rPr>
              <w:t>definición</w:t>
            </w:r>
            <w:r>
              <w:rPr>
                <w:color w:val="231F20"/>
                <w:spacing w:val="-15"/>
                <w:w w:val="105"/>
                <w:sz w:val="14"/>
              </w:rPr>
              <w:t> </w:t>
            </w:r>
            <w:r>
              <w:rPr>
                <w:color w:val="231F20"/>
                <w:w w:val="105"/>
                <w:sz w:val="14"/>
              </w:rPr>
              <w:t>del</w:t>
            </w:r>
            <w:r>
              <w:rPr>
                <w:color w:val="231F20"/>
                <w:spacing w:val="-15"/>
                <w:w w:val="105"/>
                <w:sz w:val="14"/>
              </w:rPr>
              <w:t> </w:t>
            </w:r>
            <w:r>
              <w:rPr>
                <w:color w:val="231F20"/>
                <w:w w:val="105"/>
                <w:sz w:val="14"/>
              </w:rPr>
              <w:t>papel</w:t>
            </w:r>
            <w:r>
              <w:rPr>
                <w:color w:val="231F20"/>
                <w:spacing w:val="-15"/>
                <w:w w:val="105"/>
                <w:sz w:val="14"/>
              </w:rPr>
              <w:t> </w:t>
            </w:r>
            <w:r>
              <w:rPr>
                <w:color w:val="231F20"/>
                <w:w w:val="105"/>
                <w:sz w:val="14"/>
              </w:rPr>
              <w:t>que</w:t>
            </w:r>
            <w:r>
              <w:rPr>
                <w:color w:val="231F20"/>
                <w:spacing w:val="-15"/>
                <w:w w:val="105"/>
                <w:sz w:val="14"/>
              </w:rPr>
              <w:t> </w:t>
            </w:r>
            <w:r>
              <w:rPr>
                <w:color w:val="231F20"/>
                <w:w w:val="105"/>
                <w:sz w:val="14"/>
              </w:rPr>
              <w:t>desempeña el</w:t>
            </w:r>
            <w:r>
              <w:rPr>
                <w:color w:val="231F20"/>
                <w:spacing w:val="-27"/>
                <w:w w:val="105"/>
                <w:sz w:val="14"/>
              </w:rPr>
              <w:t> </w:t>
            </w:r>
            <w:r>
              <w:rPr>
                <w:color w:val="231F20"/>
                <w:w w:val="105"/>
                <w:sz w:val="14"/>
              </w:rPr>
              <w:t>personal.</w:t>
            </w:r>
          </w:p>
        </w:tc>
      </w:tr>
      <w:tr>
        <w:trPr>
          <w:trHeight w:val="804"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5"/>
              <w:jc w:val="both"/>
              <w:rPr>
                <w:sz w:val="14"/>
              </w:rPr>
            </w:pPr>
            <w:r>
              <w:rPr>
                <w:color w:val="231F20"/>
                <w:w w:val="105"/>
                <w:sz w:val="14"/>
              </w:rPr>
              <w:t>Dirección:</w:t>
            </w:r>
            <w:r>
              <w:rPr>
                <w:color w:val="231F20"/>
                <w:spacing w:val="-30"/>
                <w:w w:val="105"/>
                <w:sz w:val="14"/>
              </w:rPr>
              <w:t> </w:t>
            </w:r>
            <w:r>
              <w:rPr>
                <w:color w:val="231F20"/>
                <w:w w:val="105"/>
                <w:sz w:val="14"/>
              </w:rPr>
              <w:t>constituye</w:t>
            </w:r>
            <w:r>
              <w:rPr>
                <w:color w:val="231F20"/>
                <w:spacing w:val="-30"/>
                <w:w w:val="105"/>
                <w:sz w:val="14"/>
              </w:rPr>
              <w:t> </w:t>
            </w:r>
            <w:r>
              <w:rPr>
                <w:color w:val="231F20"/>
                <w:w w:val="105"/>
                <w:sz w:val="14"/>
              </w:rPr>
              <w:t>las</w:t>
            </w:r>
            <w:r>
              <w:rPr>
                <w:color w:val="231F20"/>
                <w:spacing w:val="-30"/>
                <w:w w:val="105"/>
                <w:sz w:val="14"/>
              </w:rPr>
              <w:t> </w:t>
            </w:r>
            <w:r>
              <w:rPr>
                <w:color w:val="231F20"/>
                <w:w w:val="105"/>
                <w:sz w:val="14"/>
              </w:rPr>
              <w:t>acciones</w:t>
            </w:r>
            <w:r>
              <w:rPr>
                <w:color w:val="231F20"/>
                <w:spacing w:val="-30"/>
                <w:w w:val="105"/>
                <w:sz w:val="14"/>
              </w:rPr>
              <w:t> </w:t>
            </w:r>
            <w:r>
              <w:rPr>
                <w:color w:val="231F20"/>
                <w:w w:val="105"/>
                <w:sz w:val="14"/>
              </w:rPr>
              <w:t>relacionadas</w:t>
            </w:r>
            <w:r>
              <w:rPr>
                <w:color w:val="231F20"/>
                <w:spacing w:val="-30"/>
                <w:w w:val="105"/>
                <w:sz w:val="14"/>
              </w:rPr>
              <w:t> </w:t>
            </w:r>
            <w:r>
              <w:rPr>
                <w:color w:val="231F20"/>
                <w:w w:val="105"/>
                <w:sz w:val="14"/>
              </w:rPr>
              <w:t>a la</w:t>
            </w:r>
            <w:r>
              <w:rPr>
                <w:color w:val="231F20"/>
                <w:spacing w:val="-27"/>
                <w:w w:val="105"/>
                <w:sz w:val="14"/>
              </w:rPr>
              <w:t> </w:t>
            </w:r>
            <w:r>
              <w:rPr>
                <w:color w:val="231F20"/>
                <w:spacing w:val="-3"/>
                <w:w w:val="105"/>
                <w:sz w:val="14"/>
              </w:rPr>
              <w:t>puesta</w:t>
            </w:r>
            <w:r>
              <w:rPr>
                <w:color w:val="231F20"/>
                <w:spacing w:val="-27"/>
                <w:w w:val="105"/>
                <w:sz w:val="14"/>
              </w:rPr>
              <w:t> </w:t>
            </w:r>
            <w:r>
              <w:rPr>
                <w:color w:val="231F20"/>
                <w:w w:val="105"/>
                <w:sz w:val="14"/>
              </w:rPr>
              <w:t>en</w:t>
            </w:r>
            <w:r>
              <w:rPr>
                <w:color w:val="231F20"/>
                <w:spacing w:val="-27"/>
                <w:w w:val="105"/>
                <w:sz w:val="14"/>
              </w:rPr>
              <w:t> </w:t>
            </w:r>
            <w:r>
              <w:rPr>
                <w:color w:val="231F20"/>
                <w:spacing w:val="-3"/>
                <w:w w:val="105"/>
                <w:sz w:val="14"/>
              </w:rPr>
              <w:t>marcha</w:t>
            </w:r>
            <w:r>
              <w:rPr>
                <w:color w:val="231F20"/>
                <w:spacing w:val="-27"/>
                <w:w w:val="105"/>
                <w:sz w:val="14"/>
              </w:rPr>
              <w:t> </w:t>
            </w:r>
            <w:r>
              <w:rPr>
                <w:color w:val="231F20"/>
                <w:w w:val="105"/>
                <w:sz w:val="14"/>
              </w:rPr>
              <w:t>de</w:t>
            </w:r>
            <w:r>
              <w:rPr>
                <w:color w:val="231F20"/>
                <w:spacing w:val="-27"/>
                <w:w w:val="105"/>
                <w:sz w:val="14"/>
              </w:rPr>
              <w:t> </w:t>
            </w:r>
            <w:r>
              <w:rPr>
                <w:color w:val="231F20"/>
                <w:w w:val="105"/>
                <w:sz w:val="14"/>
              </w:rPr>
              <w:t>la</w:t>
            </w:r>
            <w:r>
              <w:rPr>
                <w:color w:val="231F20"/>
                <w:spacing w:val="-27"/>
                <w:w w:val="105"/>
                <w:sz w:val="14"/>
              </w:rPr>
              <w:t> </w:t>
            </w:r>
            <w:r>
              <w:rPr>
                <w:color w:val="231F20"/>
                <w:spacing w:val="-3"/>
                <w:w w:val="105"/>
                <w:sz w:val="14"/>
              </w:rPr>
              <w:t>organización,</w:t>
            </w:r>
            <w:r>
              <w:rPr>
                <w:color w:val="231F20"/>
                <w:spacing w:val="-29"/>
                <w:w w:val="105"/>
                <w:sz w:val="14"/>
              </w:rPr>
              <w:t> </w:t>
            </w:r>
            <w:r>
              <w:rPr>
                <w:color w:val="231F20"/>
                <w:spacing w:val="-3"/>
                <w:w w:val="105"/>
                <w:sz w:val="14"/>
              </w:rPr>
              <w:t>encamina- </w:t>
            </w:r>
            <w:r>
              <w:rPr>
                <w:color w:val="231F20"/>
                <w:w w:val="105"/>
                <w:sz w:val="14"/>
              </w:rPr>
              <w:t>das</w:t>
            </w:r>
            <w:r>
              <w:rPr>
                <w:color w:val="231F20"/>
                <w:spacing w:val="-17"/>
                <w:w w:val="105"/>
                <w:sz w:val="14"/>
              </w:rPr>
              <w:t> </w:t>
            </w:r>
            <w:r>
              <w:rPr>
                <w:color w:val="231F20"/>
                <w:w w:val="105"/>
                <w:sz w:val="14"/>
              </w:rPr>
              <w:t>al</w:t>
            </w:r>
            <w:r>
              <w:rPr>
                <w:color w:val="231F20"/>
                <w:spacing w:val="-17"/>
                <w:w w:val="105"/>
                <w:sz w:val="14"/>
              </w:rPr>
              <w:t> </w:t>
            </w:r>
            <w:r>
              <w:rPr>
                <w:color w:val="231F20"/>
                <w:w w:val="105"/>
                <w:sz w:val="14"/>
              </w:rPr>
              <w:t>logro</w:t>
            </w:r>
            <w:r>
              <w:rPr>
                <w:color w:val="231F20"/>
                <w:spacing w:val="-17"/>
                <w:w w:val="105"/>
                <w:sz w:val="14"/>
              </w:rPr>
              <w:t> </w:t>
            </w:r>
            <w:r>
              <w:rPr>
                <w:color w:val="231F20"/>
                <w:w w:val="105"/>
                <w:sz w:val="14"/>
              </w:rPr>
              <w:t>de</w:t>
            </w:r>
            <w:r>
              <w:rPr>
                <w:color w:val="231F20"/>
                <w:spacing w:val="-17"/>
                <w:w w:val="105"/>
                <w:sz w:val="14"/>
              </w:rPr>
              <w:t> </w:t>
            </w:r>
            <w:r>
              <w:rPr>
                <w:color w:val="231F20"/>
                <w:w w:val="105"/>
                <w:sz w:val="14"/>
              </w:rPr>
              <w:t>su</w:t>
            </w:r>
            <w:r>
              <w:rPr>
                <w:color w:val="231F20"/>
                <w:spacing w:val="-17"/>
                <w:w w:val="105"/>
                <w:sz w:val="14"/>
              </w:rPr>
              <w:t> </w:t>
            </w:r>
            <w:r>
              <w:rPr>
                <w:color w:val="231F20"/>
                <w:w w:val="105"/>
                <w:sz w:val="14"/>
              </w:rPr>
              <w:t>visión</w:t>
            </w:r>
            <w:r>
              <w:rPr>
                <w:color w:val="231F20"/>
                <w:spacing w:val="-17"/>
                <w:w w:val="105"/>
                <w:sz w:val="14"/>
              </w:rPr>
              <w:t> </w:t>
            </w:r>
            <w:r>
              <w:rPr>
                <w:color w:val="231F20"/>
                <w:w w:val="105"/>
                <w:sz w:val="14"/>
              </w:rPr>
              <w:t>a</w:t>
            </w:r>
            <w:r>
              <w:rPr>
                <w:color w:val="231F20"/>
                <w:spacing w:val="-17"/>
                <w:w w:val="105"/>
                <w:sz w:val="14"/>
              </w:rPr>
              <w:t> </w:t>
            </w:r>
            <w:r>
              <w:rPr>
                <w:color w:val="231F20"/>
                <w:w w:val="105"/>
                <w:sz w:val="14"/>
              </w:rPr>
              <w:t>través</w:t>
            </w:r>
            <w:r>
              <w:rPr>
                <w:color w:val="231F20"/>
                <w:spacing w:val="-17"/>
                <w:w w:val="105"/>
                <w:sz w:val="14"/>
              </w:rPr>
              <w:t> </w:t>
            </w:r>
            <w:r>
              <w:rPr>
                <w:color w:val="231F20"/>
                <w:w w:val="105"/>
                <w:sz w:val="14"/>
              </w:rPr>
              <w:t>de</w:t>
            </w:r>
            <w:r>
              <w:rPr>
                <w:color w:val="231F20"/>
                <w:spacing w:val="-17"/>
                <w:w w:val="105"/>
                <w:sz w:val="14"/>
              </w:rPr>
              <w:t> </w:t>
            </w:r>
            <w:r>
              <w:rPr>
                <w:color w:val="231F20"/>
                <w:w w:val="105"/>
                <w:sz w:val="14"/>
              </w:rPr>
              <w:t>las</w:t>
            </w:r>
            <w:r>
              <w:rPr>
                <w:color w:val="231F20"/>
                <w:spacing w:val="-17"/>
                <w:w w:val="105"/>
                <w:sz w:val="14"/>
              </w:rPr>
              <w:t> </w:t>
            </w:r>
            <w:r>
              <w:rPr>
                <w:color w:val="231F20"/>
                <w:w w:val="105"/>
                <w:sz w:val="14"/>
              </w:rPr>
              <w:t>personas que</w:t>
            </w:r>
            <w:r>
              <w:rPr>
                <w:color w:val="231F20"/>
                <w:spacing w:val="-17"/>
                <w:w w:val="105"/>
                <w:sz w:val="14"/>
              </w:rPr>
              <w:t> </w:t>
            </w:r>
            <w:r>
              <w:rPr>
                <w:color w:val="231F20"/>
                <w:w w:val="105"/>
                <w:sz w:val="14"/>
              </w:rPr>
              <w:t>la</w:t>
            </w:r>
            <w:r>
              <w:rPr>
                <w:color w:val="231F20"/>
                <w:spacing w:val="-17"/>
                <w:w w:val="105"/>
                <w:sz w:val="14"/>
              </w:rPr>
              <w:t> </w:t>
            </w:r>
            <w:r>
              <w:rPr>
                <w:color w:val="231F20"/>
                <w:w w:val="105"/>
                <w:sz w:val="14"/>
              </w:rPr>
              <w:t>conforman.</w:t>
            </w:r>
          </w:p>
        </w:tc>
      </w:tr>
      <w:tr>
        <w:trPr>
          <w:trHeight w:val="804"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3"/>
              <w:jc w:val="both"/>
              <w:rPr>
                <w:sz w:val="14"/>
              </w:rPr>
            </w:pPr>
            <w:r>
              <w:rPr>
                <w:color w:val="231F20"/>
                <w:w w:val="105"/>
                <w:sz w:val="14"/>
              </w:rPr>
              <w:t>Control: incluye medidas de protección de los activos,</w:t>
            </w:r>
            <w:r>
              <w:rPr>
                <w:color w:val="231F20"/>
                <w:spacing w:val="-17"/>
                <w:w w:val="105"/>
                <w:sz w:val="14"/>
              </w:rPr>
              <w:t> </w:t>
            </w:r>
            <w:r>
              <w:rPr>
                <w:color w:val="231F20"/>
                <w:w w:val="105"/>
                <w:sz w:val="14"/>
              </w:rPr>
              <w:t>así</w:t>
            </w:r>
            <w:r>
              <w:rPr>
                <w:color w:val="231F20"/>
                <w:spacing w:val="-13"/>
                <w:w w:val="105"/>
                <w:sz w:val="14"/>
              </w:rPr>
              <w:t> </w:t>
            </w:r>
            <w:r>
              <w:rPr>
                <w:color w:val="231F20"/>
                <w:w w:val="105"/>
                <w:sz w:val="14"/>
              </w:rPr>
              <w:t>como</w:t>
            </w:r>
            <w:r>
              <w:rPr>
                <w:color w:val="231F20"/>
                <w:spacing w:val="-13"/>
                <w:w w:val="105"/>
                <w:sz w:val="14"/>
              </w:rPr>
              <w:t> </w:t>
            </w:r>
            <w:r>
              <w:rPr>
                <w:color w:val="231F20"/>
                <w:w w:val="105"/>
                <w:sz w:val="14"/>
              </w:rPr>
              <w:t>la</w:t>
            </w:r>
            <w:r>
              <w:rPr>
                <w:color w:val="231F20"/>
                <w:spacing w:val="-13"/>
                <w:w w:val="105"/>
                <w:sz w:val="14"/>
              </w:rPr>
              <w:t> </w:t>
            </w:r>
            <w:r>
              <w:rPr>
                <w:color w:val="231F20"/>
                <w:w w:val="105"/>
                <w:sz w:val="14"/>
              </w:rPr>
              <w:t>identificación</w:t>
            </w:r>
            <w:r>
              <w:rPr>
                <w:color w:val="231F20"/>
                <w:spacing w:val="-13"/>
                <w:w w:val="105"/>
                <w:sz w:val="14"/>
              </w:rPr>
              <w:t> </w:t>
            </w:r>
            <w:r>
              <w:rPr>
                <w:color w:val="231F20"/>
                <w:w w:val="105"/>
                <w:sz w:val="14"/>
              </w:rPr>
              <w:t>y</w:t>
            </w:r>
            <w:r>
              <w:rPr>
                <w:color w:val="231F20"/>
                <w:spacing w:val="-13"/>
                <w:w w:val="105"/>
                <w:sz w:val="14"/>
              </w:rPr>
              <w:t> </w:t>
            </w:r>
            <w:r>
              <w:rPr>
                <w:color w:val="231F20"/>
                <w:w w:val="105"/>
                <w:sz w:val="14"/>
              </w:rPr>
              <w:t>seguimiento de</w:t>
            </w:r>
            <w:r>
              <w:rPr>
                <w:color w:val="231F20"/>
                <w:spacing w:val="-24"/>
                <w:w w:val="105"/>
                <w:sz w:val="14"/>
              </w:rPr>
              <w:t> </w:t>
            </w:r>
            <w:r>
              <w:rPr>
                <w:color w:val="231F20"/>
                <w:w w:val="105"/>
                <w:sz w:val="14"/>
              </w:rPr>
              <w:t>indicadores</w:t>
            </w:r>
            <w:r>
              <w:rPr>
                <w:color w:val="231F20"/>
                <w:spacing w:val="-24"/>
                <w:w w:val="105"/>
                <w:sz w:val="14"/>
              </w:rPr>
              <w:t> </w:t>
            </w:r>
            <w:r>
              <w:rPr>
                <w:color w:val="231F20"/>
                <w:w w:val="105"/>
                <w:sz w:val="14"/>
              </w:rPr>
              <w:t>que</w:t>
            </w:r>
            <w:r>
              <w:rPr>
                <w:color w:val="231F20"/>
                <w:spacing w:val="-24"/>
                <w:w w:val="105"/>
                <w:sz w:val="14"/>
              </w:rPr>
              <w:t> </w:t>
            </w:r>
            <w:r>
              <w:rPr>
                <w:color w:val="231F20"/>
                <w:w w:val="105"/>
                <w:sz w:val="14"/>
              </w:rPr>
              <w:t>evalúen</w:t>
            </w:r>
            <w:r>
              <w:rPr>
                <w:color w:val="231F20"/>
                <w:spacing w:val="-24"/>
                <w:w w:val="105"/>
                <w:sz w:val="14"/>
              </w:rPr>
              <w:t> </w:t>
            </w:r>
            <w:r>
              <w:rPr>
                <w:color w:val="231F20"/>
                <w:w w:val="105"/>
                <w:sz w:val="14"/>
              </w:rPr>
              <w:t>las</w:t>
            </w:r>
            <w:r>
              <w:rPr>
                <w:color w:val="231F20"/>
                <w:spacing w:val="-24"/>
                <w:w w:val="105"/>
                <w:sz w:val="14"/>
              </w:rPr>
              <w:t> </w:t>
            </w:r>
            <w:r>
              <w:rPr>
                <w:color w:val="231F20"/>
                <w:w w:val="105"/>
                <w:sz w:val="14"/>
              </w:rPr>
              <w:t>acciones</w:t>
            </w:r>
            <w:r>
              <w:rPr>
                <w:color w:val="231F20"/>
                <w:spacing w:val="-24"/>
                <w:w w:val="105"/>
                <w:sz w:val="14"/>
              </w:rPr>
              <w:t> </w:t>
            </w:r>
            <w:r>
              <w:rPr>
                <w:color w:val="231F20"/>
                <w:w w:val="105"/>
                <w:sz w:val="14"/>
              </w:rPr>
              <w:t>y</w:t>
            </w:r>
            <w:r>
              <w:rPr>
                <w:color w:val="231F20"/>
                <w:spacing w:val="-24"/>
                <w:w w:val="105"/>
                <w:sz w:val="14"/>
              </w:rPr>
              <w:t> </w:t>
            </w:r>
            <w:r>
              <w:rPr>
                <w:color w:val="231F20"/>
                <w:w w:val="105"/>
                <w:sz w:val="14"/>
              </w:rPr>
              <w:t>los</w:t>
            </w:r>
            <w:r>
              <w:rPr>
                <w:color w:val="231F20"/>
                <w:spacing w:val="-24"/>
                <w:w w:val="105"/>
                <w:sz w:val="14"/>
              </w:rPr>
              <w:t> </w:t>
            </w:r>
            <w:r>
              <w:rPr>
                <w:color w:val="231F20"/>
                <w:w w:val="105"/>
                <w:sz w:val="14"/>
              </w:rPr>
              <w:t>ob- jetivos</w:t>
            </w:r>
            <w:r>
              <w:rPr>
                <w:color w:val="231F20"/>
                <w:spacing w:val="-23"/>
                <w:w w:val="105"/>
                <w:sz w:val="14"/>
              </w:rPr>
              <w:t> </w:t>
            </w:r>
            <w:r>
              <w:rPr>
                <w:color w:val="231F20"/>
                <w:w w:val="105"/>
                <w:sz w:val="14"/>
              </w:rPr>
              <w:t>de</w:t>
            </w:r>
            <w:r>
              <w:rPr>
                <w:color w:val="231F20"/>
                <w:spacing w:val="-23"/>
                <w:w w:val="105"/>
                <w:sz w:val="14"/>
              </w:rPr>
              <w:t> </w:t>
            </w:r>
            <w:r>
              <w:rPr>
                <w:color w:val="231F20"/>
                <w:w w:val="105"/>
                <w:sz w:val="14"/>
              </w:rPr>
              <w:t>la</w:t>
            </w:r>
            <w:r>
              <w:rPr>
                <w:color w:val="231F20"/>
                <w:spacing w:val="-23"/>
                <w:w w:val="105"/>
                <w:sz w:val="14"/>
              </w:rPr>
              <w:t> </w:t>
            </w:r>
            <w:r>
              <w:rPr>
                <w:color w:val="231F20"/>
                <w:w w:val="105"/>
                <w:sz w:val="14"/>
              </w:rPr>
              <w:t>organización.</w:t>
            </w:r>
          </w:p>
        </w:tc>
      </w:tr>
      <w:tr>
        <w:trPr>
          <w:trHeight w:val="1140" w:hRule="exact"/>
        </w:trPr>
        <w:tc>
          <w:tcPr>
            <w:tcW w:w="1469" w:type="dxa"/>
            <w:vMerge w:val="restart"/>
            <w:textDirection w:val="btLr"/>
          </w:tcPr>
          <w:p>
            <w:pPr>
              <w:pStyle w:val="TableParagraph"/>
              <w:rPr>
                <w:sz w:val="14"/>
              </w:rPr>
            </w:pPr>
          </w:p>
          <w:p>
            <w:pPr>
              <w:pStyle w:val="TableParagraph"/>
              <w:rPr>
                <w:sz w:val="14"/>
              </w:rPr>
            </w:pPr>
          </w:p>
          <w:p>
            <w:pPr>
              <w:pStyle w:val="TableParagraph"/>
              <w:rPr>
                <w:sz w:val="14"/>
              </w:rPr>
            </w:pPr>
          </w:p>
          <w:p>
            <w:pPr>
              <w:pStyle w:val="TableParagraph"/>
              <w:spacing w:before="3"/>
              <w:rPr>
                <w:sz w:val="16"/>
              </w:rPr>
            </w:pPr>
          </w:p>
          <w:p>
            <w:pPr>
              <w:pStyle w:val="TableParagraph"/>
              <w:ind w:left="1054" w:right="1050"/>
              <w:jc w:val="center"/>
              <w:rPr>
                <w:sz w:val="14"/>
              </w:rPr>
            </w:pPr>
            <w:r>
              <w:rPr>
                <w:color w:val="231F20"/>
                <w:spacing w:val="-1"/>
                <w:w w:val="105"/>
                <w:sz w:val="14"/>
              </w:rPr>
              <w:t>Me</w:t>
            </w:r>
            <w:r>
              <w:rPr>
                <w:color w:val="231F20"/>
                <w:spacing w:val="-4"/>
                <w:w w:val="105"/>
                <w:sz w:val="14"/>
              </w:rPr>
              <w:t>r</w:t>
            </w:r>
            <w:r>
              <w:rPr>
                <w:color w:val="231F20"/>
                <w:spacing w:val="-1"/>
                <w:w w:val="105"/>
                <w:sz w:val="14"/>
              </w:rPr>
              <w:t>cad</w:t>
            </w:r>
            <w:r>
              <w:rPr>
                <w:color w:val="231F20"/>
                <w:spacing w:val="-3"/>
                <w:w w:val="105"/>
                <w:sz w:val="14"/>
              </w:rPr>
              <w:t>o</w:t>
            </w:r>
            <w:r>
              <w:rPr>
                <w:color w:val="231F20"/>
                <w:w w:val="93"/>
                <w:sz w:val="14"/>
              </w:rPr>
              <w:t>.</w:t>
            </w:r>
          </w:p>
        </w:tc>
        <w:tc>
          <w:tcPr>
            <w:tcW w:w="2225" w:type="dxa"/>
            <w:vMerge w:val="restart"/>
          </w:tcPr>
          <w:p>
            <w:pPr>
              <w:pStyle w:val="TableParagraph"/>
              <w:rPr>
                <w:sz w:val="14"/>
              </w:rPr>
            </w:pPr>
          </w:p>
          <w:p>
            <w:pPr>
              <w:pStyle w:val="TableParagraph"/>
              <w:rPr>
                <w:sz w:val="14"/>
              </w:rPr>
            </w:pPr>
          </w:p>
          <w:p>
            <w:pPr>
              <w:pStyle w:val="TableParagraph"/>
              <w:spacing w:before="2"/>
              <w:rPr>
                <w:sz w:val="20"/>
              </w:rPr>
            </w:pPr>
          </w:p>
          <w:p>
            <w:pPr>
              <w:pStyle w:val="TableParagraph"/>
              <w:spacing w:line="249" w:lineRule="auto"/>
              <w:ind w:left="77" w:right="68"/>
              <w:jc w:val="both"/>
              <w:rPr>
                <w:sz w:val="14"/>
              </w:rPr>
            </w:pPr>
            <w:r>
              <w:rPr>
                <w:color w:val="231F20"/>
                <w:spacing w:val="2"/>
                <w:w w:val="105"/>
                <w:sz w:val="14"/>
              </w:rPr>
              <w:t>Identifica </w:t>
            </w:r>
            <w:r>
              <w:rPr>
                <w:color w:val="231F20"/>
                <w:w w:val="105"/>
                <w:sz w:val="14"/>
              </w:rPr>
              <w:t>las </w:t>
            </w:r>
            <w:r>
              <w:rPr>
                <w:color w:val="231F20"/>
                <w:spacing w:val="2"/>
                <w:w w:val="105"/>
                <w:sz w:val="14"/>
              </w:rPr>
              <w:t>decisiones </w:t>
            </w:r>
            <w:r>
              <w:rPr>
                <w:color w:val="231F20"/>
                <w:w w:val="105"/>
                <w:sz w:val="14"/>
              </w:rPr>
              <w:t>de </w:t>
            </w:r>
            <w:r>
              <w:rPr>
                <w:color w:val="231F20"/>
                <w:spacing w:val="3"/>
                <w:w w:val="105"/>
                <w:sz w:val="14"/>
              </w:rPr>
              <w:t>la empresa relacionadas </w:t>
            </w:r>
            <w:r>
              <w:rPr>
                <w:color w:val="231F20"/>
                <w:spacing w:val="2"/>
                <w:w w:val="105"/>
                <w:sz w:val="14"/>
              </w:rPr>
              <w:t>con </w:t>
            </w:r>
            <w:r>
              <w:rPr>
                <w:color w:val="231F20"/>
                <w:spacing w:val="4"/>
                <w:w w:val="105"/>
                <w:sz w:val="14"/>
              </w:rPr>
              <w:t>el </w:t>
            </w:r>
            <w:r>
              <w:rPr>
                <w:color w:val="231F20"/>
                <w:w w:val="105"/>
                <w:sz w:val="14"/>
              </w:rPr>
              <w:t>mantenimiento y expansión de los</w:t>
            </w:r>
            <w:r>
              <w:rPr>
                <w:color w:val="231F20"/>
                <w:spacing w:val="-19"/>
                <w:w w:val="105"/>
                <w:sz w:val="14"/>
              </w:rPr>
              <w:t> </w:t>
            </w:r>
            <w:r>
              <w:rPr>
                <w:color w:val="231F20"/>
                <w:w w:val="105"/>
                <w:sz w:val="14"/>
              </w:rPr>
              <w:t>mercados</w:t>
            </w:r>
            <w:r>
              <w:rPr>
                <w:color w:val="231F20"/>
                <w:spacing w:val="-19"/>
                <w:w w:val="105"/>
                <w:sz w:val="14"/>
              </w:rPr>
              <w:t> </w:t>
            </w:r>
            <w:r>
              <w:rPr>
                <w:color w:val="231F20"/>
                <w:w w:val="105"/>
                <w:sz w:val="14"/>
              </w:rPr>
              <w:t>actuales,</w:t>
            </w:r>
            <w:r>
              <w:rPr>
                <w:color w:val="231F20"/>
                <w:spacing w:val="-21"/>
                <w:w w:val="105"/>
                <w:sz w:val="14"/>
              </w:rPr>
              <w:t> </w:t>
            </w:r>
            <w:r>
              <w:rPr>
                <w:color w:val="231F20"/>
                <w:w w:val="105"/>
                <w:sz w:val="14"/>
              </w:rPr>
              <w:t>así</w:t>
            </w:r>
            <w:r>
              <w:rPr>
                <w:color w:val="231F20"/>
                <w:spacing w:val="-19"/>
                <w:w w:val="105"/>
                <w:sz w:val="14"/>
              </w:rPr>
              <w:t> </w:t>
            </w:r>
            <w:r>
              <w:rPr>
                <w:color w:val="231F20"/>
                <w:w w:val="105"/>
                <w:sz w:val="14"/>
              </w:rPr>
              <w:t>como el acceso a nuevos mercados. Considera</w:t>
            </w:r>
            <w:r>
              <w:rPr>
                <w:color w:val="231F20"/>
                <w:spacing w:val="-12"/>
                <w:w w:val="105"/>
                <w:sz w:val="14"/>
              </w:rPr>
              <w:t> </w:t>
            </w:r>
            <w:r>
              <w:rPr>
                <w:color w:val="231F20"/>
                <w:w w:val="105"/>
                <w:sz w:val="14"/>
              </w:rPr>
              <w:t>la</w:t>
            </w:r>
            <w:r>
              <w:rPr>
                <w:color w:val="231F20"/>
                <w:spacing w:val="-12"/>
                <w:w w:val="105"/>
                <w:sz w:val="14"/>
              </w:rPr>
              <w:t> </w:t>
            </w:r>
            <w:r>
              <w:rPr>
                <w:color w:val="231F20"/>
                <w:w w:val="105"/>
                <w:sz w:val="14"/>
              </w:rPr>
              <w:t>importancia</w:t>
            </w:r>
            <w:r>
              <w:rPr>
                <w:color w:val="231F20"/>
                <w:spacing w:val="-12"/>
                <w:w w:val="105"/>
                <w:sz w:val="14"/>
              </w:rPr>
              <w:t> </w:t>
            </w:r>
            <w:r>
              <w:rPr>
                <w:color w:val="231F20"/>
                <w:w w:val="105"/>
                <w:sz w:val="14"/>
              </w:rPr>
              <w:t>que</w:t>
            </w:r>
            <w:r>
              <w:rPr>
                <w:color w:val="231F20"/>
                <w:spacing w:val="-12"/>
                <w:w w:val="105"/>
                <w:sz w:val="14"/>
              </w:rPr>
              <w:t> </w:t>
            </w:r>
            <w:r>
              <w:rPr>
                <w:color w:val="231F20"/>
                <w:w w:val="105"/>
                <w:sz w:val="14"/>
              </w:rPr>
              <w:t>se le otorga a la comercialización de los productos y el servicio al </w:t>
            </w:r>
            <w:r>
              <w:rPr>
                <w:color w:val="231F20"/>
                <w:spacing w:val="-3"/>
                <w:w w:val="105"/>
                <w:sz w:val="14"/>
              </w:rPr>
              <w:t>cliente</w:t>
            </w:r>
            <w:r>
              <w:rPr>
                <w:color w:val="231F20"/>
                <w:spacing w:val="-20"/>
                <w:w w:val="105"/>
                <w:sz w:val="14"/>
              </w:rPr>
              <w:t> </w:t>
            </w:r>
            <w:r>
              <w:rPr>
                <w:color w:val="231F20"/>
                <w:spacing w:val="-3"/>
                <w:w w:val="105"/>
                <w:sz w:val="14"/>
              </w:rPr>
              <w:t>para</w:t>
            </w:r>
            <w:r>
              <w:rPr>
                <w:color w:val="231F20"/>
                <w:spacing w:val="-20"/>
                <w:w w:val="105"/>
                <w:sz w:val="14"/>
              </w:rPr>
              <w:t> </w:t>
            </w:r>
            <w:r>
              <w:rPr>
                <w:color w:val="231F20"/>
                <w:w w:val="105"/>
                <w:sz w:val="14"/>
              </w:rPr>
              <w:t>la</w:t>
            </w:r>
            <w:r>
              <w:rPr>
                <w:color w:val="231F20"/>
                <w:spacing w:val="-20"/>
                <w:w w:val="105"/>
                <w:sz w:val="14"/>
              </w:rPr>
              <w:t> </w:t>
            </w:r>
            <w:r>
              <w:rPr>
                <w:color w:val="231F20"/>
                <w:spacing w:val="-3"/>
                <w:w w:val="105"/>
                <w:sz w:val="14"/>
              </w:rPr>
              <w:t>toma</w:t>
            </w:r>
            <w:r>
              <w:rPr>
                <w:color w:val="231F20"/>
                <w:spacing w:val="-20"/>
                <w:w w:val="105"/>
                <w:sz w:val="14"/>
              </w:rPr>
              <w:t> </w:t>
            </w:r>
            <w:r>
              <w:rPr>
                <w:color w:val="231F20"/>
                <w:w w:val="105"/>
                <w:sz w:val="14"/>
              </w:rPr>
              <w:t>de</w:t>
            </w:r>
            <w:r>
              <w:rPr>
                <w:color w:val="231F20"/>
                <w:spacing w:val="-20"/>
                <w:w w:val="105"/>
                <w:sz w:val="14"/>
              </w:rPr>
              <w:t> </w:t>
            </w:r>
            <w:r>
              <w:rPr>
                <w:color w:val="231F20"/>
                <w:spacing w:val="-3"/>
                <w:w w:val="105"/>
                <w:sz w:val="14"/>
              </w:rPr>
              <w:t>decisiones </w:t>
            </w:r>
            <w:r>
              <w:rPr>
                <w:color w:val="231F20"/>
                <w:spacing w:val="-3"/>
                <w:sz w:val="14"/>
              </w:rPr>
              <w:t>(Kotler,</w:t>
            </w:r>
            <w:r>
              <w:rPr>
                <w:color w:val="231F20"/>
                <w:spacing w:val="7"/>
                <w:sz w:val="14"/>
              </w:rPr>
              <w:t> </w:t>
            </w:r>
            <w:r>
              <w:rPr>
                <w:color w:val="231F20"/>
                <w:sz w:val="14"/>
              </w:rPr>
              <w:t>1993).</w:t>
            </w:r>
          </w:p>
        </w:tc>
        <w:tc>
          <w:tcPr>
            <w:tcW w:w="3218" w:type="dxa"/>
          </w:tcPr>
          <w:p>
            <w:pPr>
              <w:pStyle w:val="TableParagraph"/>
              <w:spacing w:line="249" w:lineRule="auto" w:before="86"/>
              <w:ind w:left="77" w:right="74"/>
              <w:jc w:val="both"/>
              <w:rPr>
                <w:sz w:val="14"/>
              </w:rPr>
            </w:pPr>
            <w:r>
              <w:rPr>
                <w:color w:val="231F20"/>
                <w:w w:val="105"/>
                <w:sz w:val="14"/>
              </w:rPr>
              <w:t>Comercialización:</w:t>
            </w:r>
            <w:r>
              <w:rPr>
                <w:color w:val="231F20"/>
                <w:spacing w:val="-18"/>
                <w:w w:val="105"/>
                <w:sz w:val="14"/>
              </w:rPr>
              <w:t> </w:t>
            </w:r>
            <w:r>
              <w:rPr>
                <w:color w:val="231F20"/>
                <w:w w:val="105"/>
                <w:sz w:val="14"/>
              </w:rPr>
              <w:t>desempeño</w:t>
            </w:r>
            <w:r>
              <w:rPr>
                <w:color w:val="231F20"/>
                <w:spacing w:val="-18"/>
                <w:w w:val="105"/>
                <w:sz w:val="14"/>
              </w:rPr>
              <w:t> </w:t>
            </w:r>
            <w:r>
              <w:rPr>
                <w:color w:val="231F20"/>
                <w:w w:val="105"/>
                <w:sz w:val="14"/>
              </w:rPr>
              <w:t>de</w:t>
            </w:r>
            <w:r>
              <w:rPr>
                <w:color w:val="231F20"/>
                <w:spacing w:val="-18"/>
                <w:w w:val="105"/>
                <w:sz w:val="14"/>
              </w:rPr>
              <w:t> </w:t>
            </w:r>
            <w:r>
              <w:rPr>
                <w:color w:val="231F20"/>
                <w:w w:val="105"/>
                <w:sz w:val="14"/>
              </w:rPr>
              <w:t>la</w:t>
            </w:r>
            <w:r>
              <w:rPr>
                <w:color w:val="231F20"/>
                <w:spacing w:val="-18"/>
                <w:w w:val="105"/>
                <w:sz w:val="14"/>
              </w:rPr>
              <w:t> </w:t>
            </w:r>
            <w:r>
              <w:rPr>
                <w:color w:val="231F20"/>
                <w:w w:val="105"/>
                <w:sz w:val="14"/>
              </w:rPr>
              <w:t>empresa</w:t>
            </w:r>
            <w:r>
              <w:rPr>
                <w:color w:val="231F20"/>
                <w:spacing w:val="-18"/>
                <w:w w:val="105"/>
                <w:sz w:val="14"/>
              </w:rPr>
              <w:t> </w:t>
            </w:r>
            <w:r>
              <w:rPr>
                <w:color w:val="231F20"/>
                <w:w w:val="105"/>
                <w:sz w:val="14"/>
              </w:rPr>
              <w:t>en actividades</w:t>
            </w:r>
            <w:r>
              <w:rPr>
                <w:color w:val="231F20"/>
                <w:spacing w:val="-13"/>
                <w:w w:val="105"/>
                <w:sz w:val="14"/>
              </w:rPr>
              <w:t> </w:t>
            </w:r>
            <w:r>
              <w:rPr>
                <w:color w:val="231F20"/>
                <w:w w:val="105"/>
                <w:sz w:val="14"/>
              </w:rPr>
              <w:t>asociadas</w:t>
            </w:r>
            <w:r>
              <w:rPr>
                <w:color w:val="231F20"/>
                <w:spacing w:val="-13"/>
                <w:w w:val="105"/>
                <w:sz w:val="14"/>
              </w:rPr>
              <w:t> </w:t>
            </w:r>
            <w:r>
              <w:rPr>
                <w:color w:val="231F20"/>
                <w:w w:val="105"/>
                <w:sz w:val="14"/>
              </w:rPr>
              <w:t>con</w:t>
            </w:r>
            <w:r>
              <w:rPr>
                <w:color w:val="231F20"/>
                <w:spacing w:val="-13"/>
                <w:w w:val="105"/>
                <w:sz w:val="14"/>
              </w:rPr>
              <w:t> </w:t>
            </w:r>
            <w:r>
              <w:rPr>
                <w:color w:val="231F20"/>
                <w:w w:val="105"/>
                <w:sz w:val="14"/>
              </w:rPr>
              <w:t>la</w:t>
            </w:r>
            <w:r>
              <w:rPr>
                <w:color w:val="231F20"/>
                <w:spacing w:val="-13"/>
                <w:w w:val="105"/>
                <w:sz w:val="14"/>
              </w:rPr>
              <w:t> </w:t>
            </w:r>
            <w:r>
              <w:rPr>
                <w:color w:val="231F20"/>
                <w:w w:val="105"/>
                <w:sz w:val="14"/>
              </w:rPr>
              <w:t>inducción</w:t>
            </w:r>
            <w:r>
              <w:rPr>
                <w:color w:val="231F20"/>
                <w:spacing w:val="-13"/>
                <w:w w:val="105"/>
                <w:sz w:val="14"/>
              </w:rPr>
              <w:t> </w:t>
            </w:r>
            <w:r>
              <w:rPr>
                <w:color w:val="231F20"/>
                <w:w w:val="105"/>
                <w:sz w:val="14"/>
              </w:rPr>
              <w:t>de</w:t>
            </w:r>
            <w:r>
              <w:rPr>
                <w:color w:val="231F20"/>
                <w:spacing w:val="-13"/>
                <w:w w:val="105"/>
                <w:sz w:val="14"/>
              </w:rPr>
              <w:t> </w:t>
            </w:r>
            <w:r>
              <w:rPr>
                <w:color w:val="231F20"/>
                <w:w w:val="105"/>
                <w:sz w:val="14"/>
              </w:rPr>
              <w:t>clien- tes.</w:t>
            </w:r>
            <w:r>
              <w:rPr>
                <w:color w:val="231F20"/>
                <w:spacing w:val="-14"/>
                <w:w w:val="105"/>
                <w:sz w:val="14"/>
              </w:rPr>
              <w:t> </w:t>
            </w:r>
            <w:r>
              <w:rPr>
                <w:color w:val="231F20"/>
                <w:w w:val="105"/>
                <w:sz w:val="14"/>
              </w:rPr>
              <w:t>Incluye</w:t>
            </w:r>
            <w:r>
              <w:rPr>
                <w:color w:val="231F20"/>
                <w:spacing w:val="-11"/>
                <w:w w:val="105"/>
                <w:sz w:val="14"/>
              </w:rPr>
              <w:t> </w:t>
            </w:r>
            <w:r>
              <w:rPr>
                <w:color w:val="231F20"/>
                <w:w w:val="105"/>
                <w:sz w:val="14"/>
              </w:rPr>
              <w:t>aspectos</w:t>
            </w:r>
            <w:r>
              <w:rPr>
                <w:color w:val="231F20"/>
                <w:spacing w:val="-11"/>
                <w:w w:val="105"/>
                <w:sz w:val="14"/>
              </w:rPr>
              <w:t> </w:t>
            </w:r>
            <w:r>
              <w:rPr>
                <w:color w:val="231F20"/>
                <w:w w:val="105"/>
                <w:sz w:val="14"/>
              </w:rPr>
              <w:t>sobre</w:t>
            </w:r>
            <w:r>
              <w:rPr>
                <w:color w:val="231F20"/>
                <w:spacing w:val="-11"/>
                <w:w w:val="105"/>
                <w:sz w:val="14"/>
              </w:rPr>
              <w:t> </w:t>
            </w:r>
            <w:r>
              <w:rPr>
                <w:color w:val="231F20"/>
                <w:w w:val="105"/>
                <w:sz w:val="14"/>
              </w:rPr>
              <w:t>los</w:t>
            </w:r>
            <w:r>
              <w:rPr>
                <w:color w:val="231F20"/>
                <w:spacing w:val="-11"/>
                <w:w w:val="105"/>
                <w:sz w:val="14"/>
              </w:rPr>
              <w:t> </w:t>
            </w:r>
            <w:r>
              <w:rPr>
                <w:color w:val="231F20"/>
                <w:w w:val="105"/>
                <w:sz w:val="14"/>
              </w:rPr>
              <w:t>mercados</w:t>
            </w:r>
            <w:r>
              <w:rPr>
                <w:color w:val="231F20"/>
                <w:spacing w:val="-11"/>
                <w:w w:val="105"/>
                <w:sz w:val="14"/>
              </w:rPr>
              <w:t> </w:t>
            </w:r>
            <w:r>
              <w:rPr>
                <w:color w:val="231F20"/>
                <w:w w:val="105"/>
                <w:sz w:val="14"/>
              </w:rPr>
              <w:t>en</w:t>
            </w:r>
            <w:r>
              <w:rPr>
                <w:color w:val="231F20"/>
                <w:spacing w:val="-11"/>
                <w:w w:val="105"/>
                <w:sz w:val="14"/>
              </w:rPr>
              <w:t> </w:t>
            </w:r>
            <w:r>
              <w:rPr>
                <w:color w:val="231F20"/>
                <w:w w:val="105"/>
                <w:sz w:val="14"/>
              </w:rPr>
              <w:t>los que</w:t>
            </w:r>
            <w:r>
              <w:rPr>
                <w:color w:val="231F20"/>
                <w:spacing w:val="-29"/>
                <w:w w:val="105"/>
                <w:sz w:val="14"/>
              </w:rPr>
              <w:t> </w:t>
            </w:r>
            <w:r>
              <w:rPr>
                <w:color w:val="231F20"/>
                <w:w w:val="105"/>
                <w:sz w:val="14"/>
              </w:rPr>
              <w:t>se</w:t>
            </w:r>
            <w:r>
              <w:rPr>
                <w:color w:val="231F20"/>
                <w:spacing w:val="-29"/>
                <w:w w:val="105"/>
                <w:sz w:val="14"/>
              </w:rPr>
              <w:t> </w:t>
            </w:r>
            <w:r>
              <w:rPr>
                <w:color w:val="231F20"/>
                <w:w w:val="105"/>
                <w:sz w:val="14"/>
              </w:rPr>
              <w:t>desenvuelven</w:t>
            </w:r>
            <w:r>
              <w:rPr>
                <w:color w:val="231F20"/>
                <w:spacing w:val="-29"/>
                <w:w w:val="105"/>
                <w:sz w:val="14"/>
              </w:rPr>
              <w:t> </w:t>
            </w:r>
            <w:r>
              <w:rPr>
                <w:color w:val="231F20"/>
                <w:w w:val="105"/>
                <w:sz w:val="14"/>
              </w:rPr>
              <w:t>los</w:t>
            </w:r>
            <w:r>
              <w:rPr>
                <w:color w:val="231F20"/>
                <w:spacing w:val="-29"/>
                <w:w w:val="105"/>
                <w:sz w:val="14"/>
              </w:rPr>
              <w:t> </w:t>
            </w:r>
            <w:r>
              <w:rPr>
                <w:color w:val="231F20"/>
                <w:w w:val="105"/>
                <w:sz w:val="14"/>
              </w:rPr>
              <w:t>factores</w:t>
            </w:r>
            <w:r>
              <w:rPr>
                <w:color w:val="231F20"/>
                <w:spacing w:val="-29"/>
                <w:w w:val="105"/>
                <w:sz w:val="14"/>
              </w:rPr>
              <w:t> </w:t>
            </w:r>
            <w:r>
              <w:rPr>
                <w:color w:val="231F20"/>
                <w:w w:val="105"/>
                <w:sz w:val="14"/>
              </w:rPr>
              <w:t>que</w:t>
            </w:r>
            <w:r>
              <w:rPr>
                <w:color w:val="231F20"/>
                <w:spacing w:val="-29"/>
                <w:w w:val="105"/>
                <w:sz w:val="14"/>
              </w:rPr>
              <w:t> </w:t>
            </w:r>
            <w:r>
              <w:rPr>
                <w:color w:val="231F20"/>
                <w:w w:val="105"/>
                <w:sz w:val="14"/>
              </w:rPr>
              <w:t>diferencian a</w:t>
            </w:r>
            <w:r>
              <w:rPr>
                <w:color w:val="231F20"/>
                <w:spacing w:val="-16"/>
                <w:w w:val="105"/>
                <w:sz w:val="14"/>
              </w:rPr>
              <w:t> </w:t>
            </w:r>
            <w:r>
              <w:rPr>
                <w:color w:val="231F20"/>
                <w:w w:val="105"/>
                <w:sz w:val="14"/>
              </w:rPr>
              <w:t>su</w:t>
            </w:r>
            <w:r>
              <w:rPr>
                <w:color w:val="231F20"/>
                <w:spacing w:val="-16"/>
                <w:w w:val="105"/>
                <w:sz w:val="14"/>
              </w:rPr>
              <w:t> </w:t>
            </w:r>
            <w:r>
              <w:rPr>
                <w:color w:val="231F20"/>
                <w:w w:val="105"/>
                <w:sz w:val="14"/>
              </w:rPr>
              <w:t>producto</w:t>
            </w:r>
            <w:r>
              <w:rPr>
                <w:color w:val="231F20"/>
                <w:spacing w:val="-16"/>
                <w:w w:val="105"/>
                <w:sz w:val="14"/>
              </w:rPr>
              <w:t> </w:t>
            </w:r>
            <w:r>
              <w:rPr>
                <w:color w:val="231F20"/>
                <w:w w:val="105"/>
                <w:sz w:val="14"/>
              </w:rPr>
              <w:t>y</w:t>
            </w:r>
            <w:r>
              <w:rPr>
                <w:color w:val="231F20"/>
                <w:spacing w:val="-16"/>
                <w:w w:val="105"/>
                <w:sz w:val="14"/>
              </w:rPr>
              <w:t> </w:t>
            </w:r>
            <w:r>
              <w:rPr>
                <w:color w:val="231F20"/>
                <w:w w:val="105"/>
                <w:sz w:val="14"/>
              </w:rPr>
              <w:t>los</w:t>
            </w:r>
            <w:r>
              <w:rPr>
                <w:color w:val="231F20"/>
                <w:spacing w:val="-16"/>
                <w:w w:val="105"/>
                <w:sz w:val="14"/>
              </w:rPr>
              <w:t> </w:t>
            </w:r>
            <w:r>
              <w:rPr>
                <w:color w:val="231F20"/>
                <w:w w:val="105"/>
                <w:sz w:val="14"/>
              </w:rPr>
              <w:t>medios</w:t>
            </w:r>
            <w:r>
              <w:rPr>
                <w:color w:val="231F20"/>
                <w:spacing w:val="-16"/>
                <w:w w:val="105"/>
                <w:sz w:val="14"/>
              </w:rPr>
              <w:t> </w:t>
            </w:r>
            <w:r>
              <w:rPr>
                <w:color w:val="231F20"/>
                <w:w w:val="105"/>
                <w:sz w:val="14"/>
              </w:rPr>
              <w:t>utilizados</w:t>
            </w:r>
            <w:r>
              <w:rPr>
                <w:color w:val="231F20"/>
                <w:spacing w:val="-16"/>
                <w:w w:val="105"/>
                <w:sz w:val="14"/>
              </w:rPr>
              <w:t> </w:t>
            </w:r>
            <w:r>
              <w:rPr>
                <w:color w:val="231F20"/>
                <w:w w:val="105"/>
                <w:sz w:val="14"/>
              </w:rPr>
              <w:t>para</w:t>
            </w:r>
            <w:r>
              <w:rPr>
                <w:color w:val="231F20"/>
                <w:spacing w:val="-16"/>
                <w:w w:val="105"/>
                <w:sz w:val="14"/>
              </w:rPr>
              <w:t> </w:t>
            </w:r>
            <w:r>
              <w:rPr>
                <w:color w:val="231F20"/>
                <w:w w:val="105"/>
                <w:sz w:val="14"/>
              </w:rPr>
              <w:t>la</w:t>
            </w:r>
            <w:r>
              <w:rPr>
                <w:color w:val="231F20"/>
                <w:spacing w:val="-16"/>
                <w:w w:val="105"/>
                <w:sz w:val="14"/>
              </w:rPr>
              <w:t> </w:t>
            </w:r>
            <w:r>
              <w:rPr>
                <w:color w:val="231F20"/>
                <w:w w:val="105"/>
                <w:sz w:val="14"/>
              </w:rPr>
              <w:t>pro- moción de sus</w:t>
            </w:r>
            <w:r>
              <w:rPr>
                <w:color w:val="231F20"/>
                <w:spacing w:val="-24"/>
                <w:w w:val="105"/>
                <w:sz w:val="14"/>
              </w:rPr>
              <w:t> </w:t>
            </w:r>
            <w:r>
              <w:rPr>
                <w:color w:val="231F20"/>
                <w:w w:val="105"/>
                <w:sz w:val="14"/>
              </w:rPr>
              <w:t>productos.</w:t>
            </w:r>
          </w:p>
        </w:tc>
      </w:tr>
      <w:tr>
        <w:trPr>
          <w:trHeight w:val="804"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4"/>
              <w:jc w:val="both"/>
              <w:rPr>
                <w:sz w:val="14"/>
              </w:rPr>
            </w:pPr>
            <w:r>
              <w:rPr>
                <w:color w:val="231F20"/>
                <w:spacing w:val="-3"/>
                <w:w w:val="105"/>
                <w:sz w:val="14"/>
              </w:rPr>
              <w:t>Vigilancia</w:t>
            </w:r>
            <w:r>
              <w:rPr>
                <w:color w:val="231F20"/>
                <w:spacing w:val="-32"/>
                <w:w w:val="105"/>
                <w:sz w:val="14"/>
              </w:rPr>
              <w:t> </w:t>
            </w:r>
            <w:r>
              <w:rPr>
                <w:color w:val="231F20"/>
                <w:w w:val="105"/>
                <w:sz w:val="14"/>
              </w:rPr>
              <w:t>de</w:t>
            </w:r>
            <w:r>
              <w:rPr>
                <w:color w:val="231F20"/>
                <w:spacing w:val="-32"/>
                <w:w w:val="105"/>
                <w:sz w:val="14"/>
              </w:rPr>
              <w:t> </w:t>
            </w:r>
            <w:r>
              <w:rPr>
                <w:color w:val="231F20"/>
                <w:w w:val="105"/>
                <w:sz w:val="14"/>
              </w:rPr>
              <w:t>los</w:t>
            </w:r>
            <w:r>
              <w:rPr>
                <w:color w:val="231F20"/>
                <w:spacing w:val="-32"/>
                <w:w w:val="105"/>
                <w:sz w:val="14"/>
              </w:rPr>
              <w:t> </w:t>
            </w:r>
            <w:r>
              <w:rPr>
                <w:color w:val="231F20"/>
                <w:spacing w:val="-3"/>
                <w:w w:val="105"/>
                <w:sz w:val="14"/>
              </w:rPr>
              <w:t>mercados:</w:t>
            </w:r>
            <w:r>
              <w:rPr>
                <w:color w:val="231F20"/>
                <w:spacing w:val="-32"/>
                <w:w w:val="105"/>
                <w:sz w:val="14"/>
              </w:rPr>
              <w:t> </w:t>
            </w:r>
            <w:r>
              <w:rPr>
                <w:color w:val="231F20"/>
                <w:w w:val="105"/>
                <w:sz w:val="14"/>
              </w:rPr>
              <w:t>actividades</w:t>
            </w:r>
            <w:r>
              <w:rPr>
                <w:color w:val="231F20"/>
                <w:spacing w:val="-32"/>
                <w:w w:val="105"/>
                <w:sz w:val="14"/>
              </w:rPr>
              <w:t> </w:t>
            </w:r>
            <w:r>
              <w:rPr>
                <w:color w:val="231F20"/>
                <w:w w:val="105"/>
                <w:sz w:val="14"/>
              </w:rPr>
              <w:t>asociadas con</w:t>
            </w:r>
            <w:r>
              <w:rPr>
                <w:color w:val="231F20"/>
                <w:spacing w:val="-24"/>
                <w:w w:val="105"/>
                <w:sz w:val="14"/>
              </w:rPr>
              <w:t> </w:t>
            </w:r>
            <w:r>
              <w:rPr>
                <w:color w:val="231F20"/>
                <w:w w:val="105"/>
                <w:sz w:val="14"/>
              </w:rPr>
              <w:t>la</w:t>
            </w:r>
            <w:r>
              <w:rPr>
                <w:color w:val="231F20"/>
                <w:spacing w:val="-24"/>
                <w:w w:val="105"/>
                <w:sz w:val="14"/>
              </w:rPr>
              <w:t> </w:t>
            </w:r>
            <w:r>
              <w:rPr>
                <w:color w:val="231F20"/>
                <w:w w:val="105"/>
                <w:sz w:val="14"/>
              </w:rPr>
              <w:t>identificación</w:t>
            </w:r>
            <w:r>
              <w:rPr>
                <w:color w:val="231F20"/>
                <w:spacing w:val="-24"/>
                <w:w w:val="105"/>
                <w:sz w:val="14"/>
              </w:rPr>
              <w:t> </w:t>
            </w:r>
            <w:r>
              <w:rPr>
                <w:color w:val="231F20"/>
                <w:w w:val="105"/>
                <w:sz w:val="14"/>
              </w:rPr>
              <w:t>y</w:t>
            </w:r>
            <w:r>
              <w:rPr>
                <w:color w:val="231F20"/>
                <w:spacing w:val="-24"/>
                <w:w w:val="105"/>
                <w:sz w:val="14"/>
              </w:rPr>
              <w:t> </w:t>
            </w:r>
            <w:r>
              <w:rPr>
                <w:color w:val="231F20"/>
                <w:w w:val="105"/>
                <w:sz w:val="14"/>
              </w:rPr>
              <w:t>seguimiento</w:t>
            </w:r>
            <w:r>
              <w:rPr>
                <w:color w:val="231F20"/>
                <w:spacing w:val="-24"/>
                <w:w w:val="105"/>
                <w:sz w:val="14"/>
              </w:rPr>
              <w:t> </w:t>
            </w:r>
            <w:r>
              <w:rPr>
                <w:color w:val="231F20"/>
                <w:w w:val="105"/>
                <w:sz w:val="14"/>
              </w:rPr>
              <w:t>de</w:t>
            </w:r>
            <w:r>
              <w:rPr>
                <w:color w:val="231F20"/>
                <w:spacing w:val="-24"/>
                <w:w w:val="105"/>
                <w:sz w:val="14"/>
              </w:rPr>
              <w:t> </w:t>
            </w:r>
            <w:r>
              <w:rPr>
                <w:color w:val="231F20"/>
                <w:w w:val="105"/>
                <w:sz w:val="14"/>
              </w:rPr>
              <w:t>los</w:t>
            </w:r>
            <w:r>
              <w:rPr>
                <w:color w:val="231F20"/>
                <w:spacing w:val="-24"/>
                <w:w w:val="105"/>
                <w:sz w:val="14"/>
              </w:rPr>
              <w:t> </w:t>
            </w:r>
            <w:r>
              <w:rPr>
                <w:color w:val="231F20"/>
                <w:w w:val="105"/>
                <w:sz w:val="14"/>
              </w:rPr>
              <w:t>compe- tidores</w:t>
            </w:r>
            <w:r>
              <w:rPr>
                <w:color w:val="231F20"/>
                <w:spacing w:val="-16"/>
                <w:w w:val="105"/>
                <w:sz w:val="14"/>
              </w:rPr>
              <w:t> </w:t>
            </w:r>
            <w:r>
              <w:rPr>
                <w:color w:val="231F20"/>
                <w:w w:val="105"/>
                <w:sz w:val="14"/>
              </w:rPr>
              <w:t>que</w:t>
            </w:r>
            <w:r>
              <w:rPr>
                <w:color w:val="231F20"/>
                <w:spacing w:val="-16"/>
                <w:w w:val="105"/>
                <w:sz w:val="14"/>
              </w:rPr>
              <w:t> </w:t>
            </w:r>
            <w:r>
              <w:rPr>
                <w:color w:val="231F20"/>
                <w:w w:val="105"/>
                <w:sz w:val="14"/>
              </w:rPr>
              <w:t>aporten</w:t>
            </w:r>
            <w:r>
              <w:rPr>
                <w:color w:val="231F20"/>
                <w:spacing w:val="-16"/>
                <w:w w:val="105"/>
                <w:sz w:val="14"/>
              </w:rPr>
              <w:t> </w:t>
            </w:r>
            <w:r>
              <w:rPr>
                <w:color w:val="231F20"/>
                <w:w w:val="105"/>
                <w:sz w:val="14"/>
              </w:rPr>
              <w:t>elementos</w:t>
            </w:r>
            <w:r>
              <w:rPr>
                <w:color w:val="231F20"/>
                <w:spacing w:val="-16"/>
                <w:w w:val="105"/>
                <w:sz w:val="14"/>
              </w:rPr>
              <w:t> </w:t>
            </w:r>
            <w:r>
              <w:rPr>
                <w:color w:val="231F20"/>
                <w:w w:val="105"/>
                <w:sz w:val="14"/>
              </w:rPr>
              <w:t>para</w:t>
            </w:r>
            <w:r>
              <w:rPr>
                <w:color w:val="231F20"/>
                <w:spacing w:val="-16"/>
                <w:w w:val="105"/>
                <w:sz w:val="14"/>
              </w:rPr>
              <w:t> </w:t>
            </w:r>
            <w:r>
              <w:rPr>
                <w:color w:val="231F20"/>
                <w:w w:val="105"/>
                <w:sz w:val="14"/>
              </w:rPr>
              <w:t>la</w:t>
            </w:r>
            <w:r>
              <w:rPr>
                <w:color w:val="231F20"/>
                <w:spacing w:val="-16"/>
                <w:w w:val="105"/>
                <w:sz w:val="14"/>
              </w:rPr>
              <w:t> </w:t>
            </w:r>
            <w:r>
              <w:rPr>
                <w:color w:val="231F20"/>
                <w:w w:val="105"/>
                <w:sz w:val="14"/>
              </w:rPr>
              <w:t>definición del</w:t>
            </w:r>
            <w:r>
              <w:rPr>
                <w:color w:val="231F20"/>
                <w:spacing w:val="-14"/>
                <w:w w:val="105"/>
                <w:sz w:val="14"/>
              </w:rPr>
              <w:t> </w:t>
            </w:r>
            <w:r>
              <w:rPr>
                <w:color w:val="231F20"/>
                <w:w w:val="105"/>
                <w:sz w:val="14"/>
              </w:rPr>
              <w:t>plan</w:t>
            </w:r>
            <w:r>
              <w:rPr>
                <w:color w:val="231F20"/>
                <w:spacing w:val="-14"/>
                <w:w w:val="105"/>
                <w:sz w:val="14"/>
              </w:rPr>
              <w:t> </w:t>
            </w:r>
            <w:r>
              <w:rPr>
                <w:color w:val="231F20"/>
                <w:w w:val="105"/>
                <w:sz w:val="14"/>
              </w:rPr>
              <w:t>de</w:t>
            </w:r>
            <w:r>
              <w:rPr>
                <w:color w:val="231F20"/>
                <w:spacing w:val="-14"/>
                <w:w w:val="105"/>
                <w:sz w:val="14"/>
              </w:rPr>
              <w:t> </w:t>
            </w:r>
            <w:r>
              <w:rPr>
                <w:color w:val="231F20"/>
                <w:w w:val="105"/>
                <w:sz w:val="14"/>
              </w:rPr>
              <w:t>la</w:t>
            </w:r>
            <w:r>
              <w:rPr>
                <w:color w:val="231F20"/>
                <w:spacing w:val="-14"/>
                <w:w w:val="105"/>
                <w:sz w:val="14"/>
              </w:rPr>
              <w:t> </w:t>
            </w:r>
            <w:r>
              <w:rPr>
                <w:color w:val="231F20"/>
                <w:w w:val="105"/>
                <w:sz w:val="14"/>
              </w:rPr>
              <w:t>empresa.</w:t>
            </w:r>
          </w:p>
        </w:tc>
      </w:tr>
      <w:tr>
        <w:trPr>
          <w:trHeight w:val="804" w:hRule="exact"/>
        </w:trPr>
        <w:tc>
          <w:tcPr>
            <w:tcW w:w="1469" w:type="dxa"/>
            <w:vMerge/>
            <w:textDirection w:val="btLr"/>
          </w:tcPr>
          <w:p>
            <w:pPr/>
          </w:p>
        </w:tc>
        <w:tc>
          <w:tcPr>
            <w:tcW w:w="2225" w:type="dxa"/>
            <w:vMerge/>
          </w:tcPr>
          <w:p>
            <w:pPr/>
          </w:p>
        </w:tc>
        <w:tc>
          <w:tcPr>
            <w:tcW w:w="3218" w:type="dxa"/>
          </w:tcPr>
          <w:p>
            <w:pPr>
              <w:pStyle w:val="TableParagraph"/>
              <w:spacing w:line="249" w:lineRule="auto" w:before="86"/>
              <w:ind w:left="77" w:right="75"/>
              <w:jc w:val="both"/>
              <w:rPr>
                <w:sz w:val="14"/>
              </w:rPr>
            </w:pPr>
            <w:r>
              <w:rPr>
                <w:color w:val="231F20"/>
                <w:w w:val="105"/>
                <w:sz w:val="14"/>
              </w:rPr>
              <w:t>Servicio</w:t>
            </w:r>
            <w:r>
              <w:rPr>
                <w:color w:val="231F20"/>
                <w:spacing w:val="-29"/>
                <w:w w:val="105"/>
                <w:sz w:val="14"/>
              </w:rPr>
              <w:t> </w:t>
            </w:r>
            <w:r>
              <w:rPr>
                <w:color w:val="231F20"/>
                <w:w w:val="105"/>
                <w:sz w:val="14"/>
              </w:rPr>
              <w:t>al</w:t>
            </w:r>
            <w:r>
              <w:rPr>
                <w:color w:val="231F20"/>
                <w:spacing w:val="-29"/>
                <w:w w:val="105"/>
                <w:sz w:val="14"/>
              </w:rPr>
              <w:t> </w:t>
            </w:r>
            <w:r>
              <w:rPr>
                <w:color w:val="231F20"/>
                <w:w w:val="105"/>
                <w:sz w:val="14"/>
              </w:rPr>
              <w:t>cliente:</w:t>
            </w:r>
            <w:r>
              <w:rPr>
                <w:color w:val="231F20"/>
                <w:spacing w:val="-29"/>
                <w:w w:val="105"/>
                <w:sz w:val="14"/>
              </w:rPr>
              <w:t> </w:t>
            </w:r>
            <w:r>
              <w:rPr>
                <w:color w:val="231F20"/>
                <w:w w:val="105"/>
                <w:sz w:val="14"/>
              </w:rPr>
              <w:t>actividades</w:t>
            </w:r>
            <w:r>
              <w:rPr>
                <w:color w:val="231F20"/>
                <w:spacing w:val="-29"/>
                <w:w w:val="105"/>
                <w:sz w:val="14"/>
              </w:rPr>
              <w:t> </w:t>
            </w:r>
            <w:r>
              <w:rPr>
                <w:color w:val="231F20"/>
                <w:w w:val="105"/>
                <w:sz w:val="14"/>
              </w:rPr>
              <w:t>asociadas</w:t>
            </w:r>
            <w:r>
              <w:rPr>
                <w:color w:val="231F20"/>
                <w:spacing w:val="-29"/>
                <w:w w:val="105"/>
                <w:sz w:val="14"/>
              </w:rPr>
              <w:t> </w:t>
            </w:r>
            <w:r>
              <w:rPr>
                <w:color w:val="231F20"/>
                <w:w w:val="105"/>
                <w:sz w:val="14"/>
              </w:rPr>
              <w:t>a</w:t>
            </w:r>
            <w:r>
              <w:rPr>
                <w:color w:val="231F20"/>
                <w:spacing w:val="-29"/>
                <w:w w:val="105"/>
                <w:sz w:val="14"/>
              </w:rPr>
              <w:t> </w:t>
            </w:r>
            <w:r>
              <w:rPr>
                <w:color w:val="231F20"/>
                <w:w w:val="105"/>
                <w:sz w:val="14"/>
              </w:rPr>
              <w:t>la</w:t>
            </w:r>
            <w:r>
              <w:rPr>
                <w:color w:val="231F20"/>
                <w:spacing w:val="-29"/>
                <w:w w:val="105"/>
                <w:sz w:val="14"/>
              </w:rPr>
              <w:t> </w:t>
            </w:r>
            <w:r>
              <w:rPr>
                <w:color w:val="231F20"/>
                <w:w w:val="105"/>
                <w:sz w:val="14"/>
              </w:rPr>
              <w:t>vigi- lancia</w:t>
            </w:r>
            <w:r>
              <w:rPr>
                <w:color w:val="231F20"/>
                <w:spacing w:val="-7"/>
                <w:w w:val="105"/>
                <w:sz w:val="14"/>
              </w:rPr>
              <w:t> </w:t>
            </w:r>
            <w:r>
              <w:rPr>
                <w:color w:val="231F20"/>
                <w:w w:val="105"/>
                <w:sz w:val="14"/>
              </w:rPr>
              <w:t>de</w:t>
            </w:r>
            <w:r>
              <w:rPr>
                <w:color w:val="231F20"/>
                <w:spacing w:val="-7"/>
                <w:w w:val="105"/>
                <w:sz w:val="14"/>
              </w:rPr>
              <w:t> </w:t>
            </w:r>
            <w:r>
              <w:rPr>
                <w:color w:val="231F20"/>
                <w:w w:val="105"/>
                <w:sz w:val="14"/>
              </w:rPr>
              <w:t>las</w:t>
            </w:r>
            <w:r>
              <w:rPr>
                <w:color w:val="231F20"/>
                <w:spacing w:val="-7"/>
                <w:w w:val="105"/>
                <w:sz w:val="14"/>
              </w:rPr>
              <w:t> </w:t>
            </w:r>
            <w:r>
              <w:rPr>
                <w:color w:val="231F20"/>
                <w:w w:val="105"/>
                <w:sz w:val="14"/>
              </w:rPr>
              <w:t>opiniones</w:t>
            </w:r>
            <w:r>
              <w:rPr>
                <w:color w:val="231F20"/>
                <w:spacing w:val="-7"/>
                <w:w w:val="105"/>
                <w:sz w:val="14"/>
              </w:rPr>
              <w:t> </w:t>
            </w:r>
            <w:r>
              <w:rPr>
                <w:color w:val="231F20"/>
                <w:w w:val="105"/>
                <w:sz w:val="14"/>
              </w:rPr>
              <w:t>de</w:t>
            </w:r>
            <w:r>
              <w:rPr>
                <w:color w:val="231F20"/>
                <w:spacing w:val="-7"/>
                <w:w w:val="105"/>
                <w:sz w:val="14"/>
              </w:rPr>
              <w:t> </w:t>
            </w:r>
            <w:r>
              <w:rPr>
                <w:color w:val="231F20"/>
                <w:w w:val="105"/>
                <w:sz w:val="14"/>
              </w:rPr>
              <w:t>los</w:t>
            </w:r>
            <w:r>
              <w:rPr>
                <w:color w:val="231F20"/>
                <w:spacing w:val="-7"/>
                <w:w w:val="105"/>
                <w:sz w:val="14"/>
              </w:rPr>
              <w:t> </w:t>
            </w:r>
            <w:r>
              <w:rPr>
                <w:color w:val="231F20"/>
                <w:w w:val="105"/>
                <w:sz w:val="14"/>
              </w:rPr>
              <w:t>clientes</w:t>
            </w:r>
            <w:r>
              <w:rPr>
                <w:color w:val="231F20"/>
                <w:spacing w:val="-7"/>
                <w:w w:val="105"/>
                <w:sz w:val="14"/>
              </w:rPr>
              <w:t> </w:t>
            </w:r>
            <w:r>
              <w:rPr>
                <w:color w:val="231F20"/>
                <w:w w:val="105"/>
                <w:sz w:val="14"/>
              </w:rPr>
              <w:t>sobre</w:t>
            </w:r>
            <w:r>
              <w:rPr>
                <w:color w:val="231F20"/>
                <w:spacing w:val="-7"/>
                <w:w w:val="105"/>
                <w:sz w:val="14"/>
              </w:rPr>
              <w:t> </w:t>
            </w:r>
            <w:r>
              <w:rPr>
                <w:color w:val="231F20"/>
                <w:w w:val="105"/>
                <w:sz w:val="14"/>
              </w:rPr>
              <w:t>los </w:t>
            </w:r>
            <w:r>
              <w:rPr>
                <w:color w:val="231F20"/>
                <w:spacing w:val="-2"/>
                <w:w w:val="105"/>
                <w:sz w:val="14"/>
              </w:rPr>
              <w:t>productos</w:t>
            </w:r>
            <w:r>
              <w:rPr>
                <w:color w:val="231F20"/>
                <w:spacing w:val="-15"/>
                <w:w w:val="105"/>
                <w:sz w:val="14"/>
              </w:rPr>
              <w:t> </w:t>
            </w:r>
            <w:r>
              <w:rPr>
                <w:color w:val="231F20"/>
                <w:w w:val="105"/>
                <w:sz w:val="14"/>
              </w:rPr>
              <w:t>de</w:t>
            </w:r>
            <w:r>
              <w:rPr>
                <w:color w:val="231F20"/>
                <w:spacing w:val="-15"/>
                <w:w w:val="105"/>
                <w:sz w:val="14"/>
              </w:rPr>
              <w:t> </w:t>
            </w:r>
            <w:r>
              <w:rPr>
                <w:color w:val="231F20"/>
                <w:w w:val="105"/>
                <w:sz w:val="14"/>
              </w:rPr>
              <w:t>la</w:t>
            </w:r>
            <w:r>
              <w:rPr>
                <w:color w:val="231F20"/>
                <w:spacing w:val="-15"/>
                <w:w w:val="105"/>
                <w:sz w:val="14"/>
              </w:rPr>
              <w:t> </w:t>
            </w:r>
            <w:r>
              <w:rPr>
                <w:color w:val="231F20"/>
                <w:spacing w:val="-3"/>
                <w:w w:val="105"/>
                <w:sz w:val="14"/>
              </w:rPr>
              <w:t>empresa</w:t>
            </w:r>
            <w:r>
              <w:rPr>
                <w:color w:val="231F20"/>
                <w:spacing w:val="-15"/>
                <w:w w:val="105"/>
                <w:sz w:val="14"/>
              </w:rPr>
              <w:t> </w:t>
            </w:r>
            <w:r>
              <w:rPr>
                <w:color w:val="231F20"/>
                <w:w w:val="105"/>
                <w:sz w:val="14"/>
              </w:rPr>
              <w:t>y</w:t>
            </w:r>
            <w:r>
              <w:rPr>
                <w:color w:val="231F20"/>
                <w:spacing w:val="-15"/>
                <w:w w:val="105"/>
                <w:sz w:val="14"/>
              </w:rPr>
              <w:t> </w:t>
            </w:r>
            <w:r>
              <w:rPr>
                <w:color w:val="231F20"/>
                <w:w w:val="105"/>
                <w:sz w:val="14"/>
              </w:rPr>
              <w:t>la</w:t>
            </w:r>
            <w:r>
              <w:rPr>
                <w:color w:val="231F20"/>
                <w:spacing w:val="-15"/>
                <w:w w:val="105"/>
                <w:sz w:val="14"/>
              </w:rPr>
              <w:t> </w:t>
            </w:r>
            <w:r>
              <w:rPr>
                <w:color w:val="231F20"/>
                <w:spacing w:val="-3"/>
                <w:w w:val="105"/>
                <w:sz w:val="14"/>
              </w:rPr>
              <w:t>provisión</w:t>
            </w:r>
            <w:r>
              <w:rPr>
                <w:color w:val="231F20"/>
                <w:spacing w:val="-15"/>
                <w:w w:val="105"/>
                <w:sz w:val="14"/>
              </w:rPr>
              <w:t> </w:t>
            </w:r>
            <w:r>
              <w:rPr>
                <w:color w:val="231F20"/>
                <w:w w:val="105"/>
                <w:sz w:val="14"/>
              </w:rPr>
              <w:t>de</w:t>
            </w:r>
            <w:r>
              <w:rPr>
                <w:color w:val="231F20"/>
                <w:spacing w:val="-15"/>
                <w:w w:val="105"/>
                <w:sz w:val="14"/>
              </w:rPr>
              <w:t> </w:t>
            </w:r>
            <w:r>
              <w:rPr>
                <w:color w:val="231F20"/>
                <w:spacing w:val="-2"/>
                <w:w w:val="105"/>
                <w:sz w:val="14"/>
              </w:rPr>
              <w:t>medios </w:t>
            </w:r>
            <w:r>
              <w:rPr>
                <w:color w:val="231F20"/>
                <w:w w:val="105"/>
                <w:sz w:val="14"/>
              </w:rPr>
              <w:t>para</w:t>
            </w:r>
            <w:r>
              <w:rPr>
                <w:color w:val="231F20"/>
                <w:spacing w:val="-19"/>
                <w:w w:val="105"/>
                <w:sz w:val="14"/>
              </w:rPr>
              <w:t> </w:t>
            </w:r>
            <w:r>
              <w:rPr>
                <w:color w:val="231F20"/>
                <w:w w:val="105"/>
                <w:sz w:val="14"/>
              </w:rPr>
              <w:t>incrementar</w:t>
            </w:r>
            <w:r>
              <w:rPr>
                <w:color w:val="231F20"/>
                <w:spacing w:val="-19"/>
                <w:w w:val="105"/>
                <w:sz w:val="14"/>
              </w:rPr>
              <w:t> </w:t>
            </w:r>
            <w:r>
              <w:rPr>
                <w:color w:val="231F20"/>
                <w:w w:val="105"/>
                <w:sz w:val="14"/>
              </w:rPr>
              <w:t>el</w:t>
            </w:r>
            <w:r>
              <w:rPr>
                <w:color w:val="231F20"/>
                <w:spacing w:val="-19"/>
                <w:w w:val="105"/>
                <w:sz w:val="14"/>
              </w:rPr>
              <w:t> </w:t>
            </w:r>
            <w:r>
              <w:rPr>
                <w:color w:val="231F20"/>
                <w:w w:val="105"/>
                <w:sz w:val="14"/>
              </w:rPr>
              <w:t>valor</w:t>
            </w:r>
            <w:r>
              <w:rPr>
                <w:color w:val="231F20"/>
                <w:spacing w:val="-19"/>
                <w:w w:val="105"/>
                <w:sz w:val="14"/>
              </w:rPr>
              <w:t> </w:t>
            </w:r>
            <w:r>
              <w:rPr>
                <w:color w:val="231F20"/>
                <w:w w:val="105"/>
                <w:sz w:val="14"/>
              </w:rPr>
              <w:t>de</w:t>
            </w:r>
            <w:r>
              <w:rPr>
                <w:color w:val="231F20"/>
                <w:spacing w:val="-19"/>
                <w:w w:val="105"/>
                <w:sz w:val="14"/>
              </w:rPr>
              <w:t> </w:t>
            </w:r>
            <w:r>
              <w:rPr>
                <w:color w:val="231F20"/>
                <w:w w:val="105"/>
                <w:sz w:val="14"/>
              </w:rPr>
              <w:t>los</w:t>
            </w:r>
            <w:r>
              <w:rPr>
                <w:color w:val="231F20"/>
                <w:spacing w:val="-19"/>
                <w:w w:val="105"/>
                <w:sz w:val="14"/>
              </w:rPr>
              <w:t> </w:t>
            </w:r>
            <w:r>
              <w:rPr>
                <w:color w:val="231F20"/>
                <w:w w:val="105"/>
                <w:sz w:val="14"/>
              </w:rPr>
              <w:t>mismos.</w:t>
            </w:r>
          </w:p>
        </w:tc>
      </w:tr>
    </w:tbl>
    <w:p>
      <w:pPr>
        <w:spacing w:before="18"/>
        <w:ind w:left="103" w:right="17" w:firstLine="0"/>
        <w:jc w:val="left"/>
        <w:rPr>
          <w:sz w:val="16"/>
        </w:rPr>
      </w:pPr>
      <w:r>
        <w:rPr>
          <w:color w:val="231F20"/>
          <w:sz w:val="16"/>
        </w:rPr>
        <w:t>Fuente: Demuner,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44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58</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416"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59</w:t>
      </w:r>
    </w:p>
    <w:p>
      <w:pPr>
        <w:spacing w:line="187" w:lineRule="exact" w:before="0"/>
        <w:ind w:left="4186" w:right="17" w:firstLine="0"/>
        <w:jc w:val="left"/>
        <w:rPr>
          <w:rFonts w:ascii="Lucida Sans Unicode" w:hAnsi="Lucida Sans Unicode"/>
          <w:sz w:val="14"/>
        </w:rPr>
      </w:pPr>
      <w:r>
        <w:rPr>
          <w:rFonts w:ascii="Lucida Sans Unicode" w:hAnsi="Lucida Sans Unicode"/>
          <w:color w:val="6D6E71"/>
          <w:sz w:val="14"/>
        </w:rPr>
        <w:t>De la competItIvIDaD sIstémIca</w:t>
      </w:r>
    </w:p>
    <w:p>
      <w:pPr>
        <w:spacing w:line="249" w:lineRule="auto" w:before="475"/>
        <w:ind w:left="2198" w:right="491" w:hanging="1611"/>
        <w:jc w:val="left"/>
        <w:rPr>
          <w:sz w:val="18"/>
        </w:rPr>
      </w:pPr>
      <w:r>
        <w:rPr>
          <w:color w:val="231F20"/>
          <w:w w:val="105"/>
          <w:sz w:val="18"/>
        </w:rPr>
        <w:t>Figura 7. Definición conceptual y operacional de los determinantes de la competitividad empresarial (2/3).</w:t>
      </w:r>
    </w:p>
    <w:p>
      <w:pPr>
        <w:pStyle w:val="BodyText"/>
        <w:spacing w:before="9"/>
        <w:rPr>
          <w:sz w:val="12"/>
        </w:rPr>
      </w:pPr>
    </w:p>
    <w:tbl>
      <w:tblPr>
        <w:tblW w:w="0" w:type="auto"/>
        <w:jc w:val="left"/>
        <w:tblInd w:w="1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69"/>
        <w:gridCol w:w="2270"/>
        <w:gridCol w:w="3167"/>
      </w:tblGrid>
      <w:tr>
        <w:trPr>
          <w:trHeight w:val="300" w:hRule="exact"/>
        </w:trPr>
        <w:tc>
          <w:tcPr>
            <w:tcW w:w="1469" w:type="dxa"/>
          </w:tcPr>
          <w:p>
            <w:pPr>
              <w:pStyle w:val="TableParagraph"/>
              <w:spacing w:before="86"/>
              <w:ind w:left="260"/>
              <w:rPr>
                <w:sz w:val="14"/>
              </w:rPr>
            </w:pPr>
            <w:r>
              <w:rPr>
                <w:color w:val="231F20"/>
                <w:w w:val="105"/>
                <w:sz w:val="14"/>
              </w:rPr>
              <w:t>Determinantes</w:t>
            </w:r>
          </w:p>
        </w:tc>
        <w:tc>
          <w:tcPr>
            <w:tcW w:w="2270" w:type="dxa"/>
          </w:tcPr>
          <w:p>
            <w:pPr>
              <w:pStyle w:val="TableParagraph"/>
              <w:spacing w:before="86"/>
              <w:ind w:left="436"/>
              <w:rPr>
                <w:sz w:val="14"/>
              </w:rPr>
            </w:pPr>
            <w:r>
              <w:rPr>
                <w:color w:val="231F20"/>
                <w:w w:val="105"/>
                <w:sz w:val="14"/>
              </w:rPr>
              <w:t>Definición conceptual</w:t>
            </w:r>
          </w:p>
        </w:tc>
        <w:tc>
          <w:tcPr>
            <w:tcW w:w="3167" w:type="dxa"/>
          </w:tcPr>
          <w:p>
            <w:pPr>
              <w:pStyle w:val="TableParagraph"/>
              <w:spacing w:before="86"/>
              <w:ind w:left="860"/>
              <w:rPr>
                <w:sz w:val="14"/>
              </w:rPr>
            </w:pPr>
            <w:r>
              <w:rPr>
                <w:color w:val="231F20"/>
                <w:w w:val="105"/>
                <w:sz w:val="14"/>
              </w:rPr>
              <w:t>Definición operacional</w:t>
            </w:r>
          </w:p>
        </w:tc>
      </w:tr>
      <w:tr>
        <w:trPr>
          <w:trHeight w:val="1476" w:hRule="exact"/>
        </w:trPr>
        <w:tc>
          <w:tcPr>
            <w:tcW w:w="1469" w:type="dxa"/>
            <w:vMerge w:val="restart"/>
            <w:textDirection w:val="btLr"/>
          </w:tcPr>
          <w:p>
            <w:pPr>
              <w:pStyle w:val="TableParagraph"/>
              <w:rPr>
                <w:sz w:val="14"/>
              </w:rPr>
            </w:pPr>
          </w:p>
          <w:p>
            <w:pPr>
              <w:pStyle w:val="TableParagraph"/>
              <w:rPr>
                <w:sz w:val="14"/>
              </w:rPr>
            </w:pPr>
          </w:p>
          <w:p>
            <w:pPr>
              <w:pStyle w:val="TableParagraph"/>
              <w:rPr>
                <w:sz w:val="14"/>
              </w:rPr>
            </w:pPr>
          </w:p>
          <w:p>
            <w:pPr>
              <w:pStyle w:val="TableParagraph"/>
              <w:spacing w:before="3"/>
              <w:rPr>
                <w:sz w:val="16"/>
              </w:rPr>
            </w:pPr>
          </w:p>
          <w:p>
            <w:pPr>
              <w:pStyle w:val="TableParagraph"/>
              <w:ind w:right="1827"/>
              <w:jc w:val="right"/>
              <w:rPr>
                <w:sz w:val="14"/>
              </w:rPr>
            </w:pPr>
            <w:r>
              <w:rPr>
                <w:color w:val="231F20"/>
                <w:spacing w:val="-1"/>
                <w:w w:val="103"/>
                <w:sz w:val="14"/>
              </w:rPr>
              <w:t>Gestió</w:t>
            </w:r>
            <w:r>
              <w:rPr>
                <w:color w:val="231F20"/>
                <w:w w:val="103"/>
                <w:sz w:val="14"/>
              </w:rPr>
              <w:t>n</w:t>
            </w:r>
            <w:r>
              <w:rPr>
                <w:color w:val="231F20"/>
                <w:spacing w:val="-6"/>
                <w:sz w:val="14"/>
              </w:rPr>
              <w:t> </w:t>
            </w:r>
            <w:r>
              <w:rPr>
                <w:color w:val="231F20"/>
                <w:spacing w:val="-1"/>
                <w:w w:val="108"/>
                <w:sz w:val="14"/>
              </w:rPr>
              <w:t>d</w:t>
            </w:r>
            <w:r>
              <w:rPr>
                <w:color w:val="231F20"/>
                <w:w w:val="108"/>
                <w:sz w:val="14"/>
              </w:rPr>
              <w:t>e</w:t>
            </w:r>
            <w:r>
              <w:rPr>
                <w:color w:val="231F20"/>
                <w:spacing w:val="-6"/>
                <w:sz w:val="14"/>
              </w:rPr>
              <w:t> </w:t>
            </w:r>
            <w:r>
              <w:rPr>
                <w:color w:val="231F20"/>
                <w:spacing w:val="-1"/>
                <w:w w:val="104"/>
                <w:sz w:val="14"/>
              </w:rPr>
              <w:t>calidad.</w:t>
            </w:r>
          </w:p>
        </w:tc>
        <w:tc>
          <w:tcPr>
            <w:tcW w:w="2270" w:type="dxa"/>
            <w:vMerge w:val="restart"/>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9"/>
              <w:rPr>
                <w:sz w:val="16"/>
              </w:rPr>
            </w:pPr>
          </w:p>
          <w:p>
            <w:pPr>
              <w:pStyle w:val="TableParagraph"/>
              <w:spacing w:line="249" w:lineRule="auto"/>
              <w:ind w:left="77" w:right="71"/>
              <w:jc w:val="both"/>
              <w:rPr>
                <w:sz w:val="14"/>
              </w:rPr>
            </w:pPr>
            <w:r>
              <w:rPr>
                <w:color w:val="231F20"/>
                <w:w w:val="105"/>
                <w:sz w:val="14"/>
              </w:rPr>
              <w:t>Sistema de mejora de la</w:t>
            </w:r>
            <w:r>
              <w:rPr>
                <w:color w:val="231F20"/>
                <w:spacing w:val="-17"/>
                <w:w w:val="105"/>
                <w:sz w:val="14"/>
              </w:rPr>
              <w:t> </w:t>
            </w:r>
            <w:r>
              <w:rPr>
                <w:color w:val="231F20"/>
                <w:w w:val="105"/>
                <w:sz w:val="14"/>
              </w:rPr>
              <w:t>eficacia y flexibilidad de un organismo que enfatiza la importancia de</w:t>
            </w:r>
            <w:r>
              <w:rPr>
                <w:color w:val="231F20"/>
                <w:spacing w:val="-18"/>
                <w:w w:val="105"/>
                <w:sz w:val="14"/>
              </w:rPr>
              <w:t> </w:t>
            </w:r>
            <w:r>
              <w:rPr>
                <w:color w:val="231F20"/>
                <w:w w:val="105"/>
                <w:sz w:val="14"/>
              </w:rPr>
              <w:t>la medición y el diagnóstico, el rol del</w:t>
            </w:r>
            <w:r>
              <w:rPr>
                <w:color w:val="231F20"/>
                <w:spacing w:val="-17"/>
                <w:w w:val="105"/>
                <w:sz w:val="14"/>
              </w:rPr>
              <w:t> </w:t>
            </w:r>
            <w:r>
              <w:rPr>
                <w:color w:val="231F20"/>
                <w:w w:val="105"/>
                <w:sz w:val="14"/>
              </w:rPr>
              <w:t>cliente</w:t>
            </w:r>
            <w:r>
              <w:rPr>
                <w:color w:val="231F20"/>
                <w:spacing w:val="-17"/>
                <w:w w:val="105"/>
                <w:sz w:val="14"/>
              </w:rPr>
              <w:t> </w:t>
            </w:r>
            <w:r>
              <w:rPr>
                <w:color w:val="231F20"/>
                <w:w w:val="105"/>
                <w:sz w:val="14"/>
              </w:rPr>
              <w:t>y</w:t>
            </w:r>
            <w:r>
              <w:rPr>
                <w:color w:val="231F20"/>
                <w:spacing w:val="-17"/>
                <w:w w:val="105"/>
                <w:sz w:val="14"/>
              </w:rPr>
              <w:t> </w:t>
            </w:r>
            <w:r>
              <w:rPr>
                <w:color w:val="231F20"/>
                <w:w w:val="105"/>
                <w:sz w:val="14"/>
              </w:rPr>
              <w:t>el</w:t>
            </w:r>
            <w:r>
              <w:rPr>
                <w:color w:val="231F20"/>
                <w:spacing w:val="-17"/>
                <w:w w:val="105"/>
                <w:sz w:val="14"/>
              </w:rPr>
              <w:t> </w:t>
            </w:r>
            <w:r>
              <w:rPr>
                <w:color w:val="231F20"/>
                <w:w w:val="105"/>
                <w:sz w:val="14"/>
              </w:rPr>
              <w:t>compromiso</w:t>
            </w:r>
            <w:r>
              <w:rPr>
                <w:color w:val="231F20"/>
                <w:spacing w:val="-17"/>
                <w:w w:val="105"/>
                <w:sz w:val="14"/>
              </w:rPr>
              <w:t> </w:t>
            </w:r>
            <w:r>
              <w:rPr>
                <w:color w:val="231F20"/>
                <w:w w:val="105"/>
                <w:sz w:val="14"/>
              </w:rPr>
              <w:t>de</w:t>
            </w:r>
            <w:r>
              <w:rPr>
                <w:color w:val="231F20"/>
                <w:spacing w:val="-17"/>
                <w:w w:val="105"/>
                <w:sz w:val="14"/>
              </w:rPr>
              <w:t> </w:t>
            </w:r>
            <w:r>
              <w:rPr>
                <w:color w:val="231F20"/>
                <w:w w:val="105"/>
                <w:sz w:val="14"/>
              </w:rPr>
              <w:t>los </w:t>
            </w:r>
            <w:r>
              <w:rPr>
                <w:color w:val="231F20"/>
                <w:sz w:val="14"/>
              </w:rPr>
              <w:t>empleados (James,</w:t>
            </w:r>
            <w:r>
              <w:rPr>
                <w:color w:val="231F20"/>
                <w:spacing w:val="-11"/>
                <w:sz w:val="14"/>
              </w:rPr>
              <w:t> </w:t>
            </w:r>
            <w:r>
              <w:rPr>
                <w:color w:val="231F20"/>
                <w:sz w:val="14"/>
              </w:rPr>
              <w:t>2000).</w:t>
            </w:r>
          </w:p>
        </w:tc>
        <w:tc>
          <w:tcPr>
            <w:tcW w:w="3167" w:type="dxa"/>
          </w:tcPr>
          <w:p>
            <w:pPr>
              <w:pStyle w:val="TableParagraph"/>
              <w:spacing w:line="249" w:lineRule="auto" w:before="86"/>
              <w:ind w:left="77" w:right="74"/>
              <w:jc w:val="both"/>
              <w:rPr>
                <w:sz w:val="14"/>
              </w:rPr>
            </w:pPr>
            <w:r>
              <w:rPr>
                <w:color w:val="231F20"/>
                <w:w w:val="105"/>
                <w:sz w:val="14"/>
              </w:rPr>
              <w:t>Liderazgo:</w:t>
            </w:r>
            <w:r>
              <w:rPr>
                <w:color w:val="231F20"/>
                <w:spacing w:val="-27"/>
                <w:w w:val="105"/>
                <w:sz w:val="14"/>
              </w:rPr>
              <w:t> </w:t>
            </w:r>
            <w:r>
              <w:rPr>
                <w:color w:val="231F20"/>
                <w:w w:val="105"/>
                <w:sz w:val="14"/>
              </w:rPr>
              <w:t>forma</w:t>
            </w:r>
            <w:r>
              <w:rPr>
                <w:color w:val="231F20"/>
                <w:spacing w:val="-27"/>
                <w:w w:val="105"/>
                <w:sz w:val="14"/>
              </w:rPr>
              <w:t> </w:t>
            </w:r>
            <w:r>
              <w:rPr>
                <w:color w:val="231F20"/>
                <w:w w:val="105"/>
                <w:sz w:val="14"/>
              </w:rPr>
              <w:t>en</w:t>
            </w:r>
            <w:r>
              <w:rPr>
                <w:color w:val="231F20"/>
                <w:spacing w:val="-27"/>
                <w:w w:val="105"/>
                <w:sz w:val="14"/>
              </w:rPr>
              <w:t> </w:t>
            </w:r>
            <w:r>
              <w:rPr>
                <w:color w:val="231F20"/>
                <w:w w:val="105"/>
                <w:sz w:val="14"/>
              </w:rPr>
              <w:t>que</w:t>
            </w:r>
            <w:r>
              <w:rPr>
                <w:color w:val="231F20"/>
                <w:spacing w:val="-27"/>
                <w:w w:val="105"/>
                <w:sz w:val="14"/>
              </w:rPr>
              <w:t> </w:t>
            </w:r>
            <w:r>
              <w:rPr>
                <w:color w:val="231F20"/>
                <w:w w:val="105"/>
                <w:sz w:val="14"/>
              </w:rPr>
              <w:t>la</w:t>
            </w:r>
            <w:r>
              <w:rPr>
                <w:color w:val="231F20"/>
                <w:spacing w:val="-27"/>
                <w:w w:val="105"/>
                <w:sz w:val="14"/>
              </w:rPr>
              <w:t> </w:t>
            </w:r>
            <w:r>
              <w:rPr>
                <w:color w:val="231F20"/>
                <w:w w:val="105"/>
                <w:sz w:val="14"/>
              </w:rPr>
              <w:t>dirección</w:t>
            </w:r>
            <w:r>
              <w:rPr>
                <w:color w:val="231F20"/>
                <w:spacing w:val="-27"/>
                <w:w w:val="105"/>
                <w:sz w:val="14"/>
              </w:rPr>
              <w:t> </w:t>
            </w:r>
            <w:r>
              <w:rPr>
                <w:color w:val="231F20"/>
                <w:w w:val="105"/>
                <w:sz w:val="14"/>
              </w:rPr>
              <w:t>desarrolla</w:t>
            </w:r>
            <w:r>
              <w:rPr>
                <w:color w:val="231F20"/>
                <w:spacing w:val="-27"/>
                <w:w w:val="105"/>
                <w:sz w:val="14"/>
              </w:rPr>
              <w:t> </w:t>
            </w:r>
            <w:r>
              <w:rPr>
                <w:color w:val="231F20"/>
                <w:w w:val="105"/>
                <w:sz w:val="14"/>
              </w:rPr>
              <w:t>y facilita</w:t>
            </w:r>
            <w:r>
              <w:rPr>
                <w:color w:val="231F20"/>
                <w:spacing w:val="-32"/>
                <w:w w:val="105"/>
                <w:sz w:val="14"/>
              </w:rPr>
              <w:t> </w:t>
            </w:r>
            <w:r>
              <w:rPr>
                <w:color w:val="231F20"/>
                <w:w w:val="105"/>
                <w:sz w:val="14"/>
              </w:rPr>
              <w:t>las</w:t>
            </w:r>
            <w:r>
              <w:rPr>
                <w:color w:val="231F20"/>
                <w:spacing w:val="-32"/>
                <w:w w:val="105"/>
                <w:sz w:val="14"/>
              </w:rPr>
              <w:t> </w:t>
            </w:r>
            <w:r>
              <w:rPr>
                <w:color w:val="231F20"/>
                <w:w w:val="105"/>
                <w:sz w:val="14"/>
              </w:rPr>
              <w:t>metas</w:t>
            </w:r>
            <w:r>
              <w:rPr>
                <w:color w:val="231F20"/>
                <w:spacing w:val="-32"/>
                <w:w w:val="105"/>
                <w:sz w:val="14"/>
              </w:rPr>
              <w:t> </w:t>
            </w:r>
            <w:r>
              <w:rPr>
                <w:color w:val="231F20"/>
                <w:w w:val="105"/>
                <w:sz w:val="14"/>
              </w:rPr>
              <w:t>propuestas</w:t>
            </w:r>
            <w:r>
              <w:rPr>
                <w:color w:val="231F20"/>
                <w:spacing w:val="-32"/>
                <w:w w:val="105"/>
                <w:sz w:val="14"/>
              </w:rPr>
              <w:t> </w:t>
            </w:r>
            <w:r>
              <w:rPr>
                <w:color w:val="231F20"/>
                <w:w w:val="105"/>
                <w:sz w:val="14"/>
              </w:rPr>
              <w:t>en</w:t>
            </w:r>
            <w:r>
              <w:rPr>
                <w:color w:val="231F20"/>
                <w:spacing w:val="-32"/>
                <w:w w:val="105"/>
                <w:sz w:val="14"/>
              </w:rPr>
              <w:t> </w:t>
            </w:r>
            <w:r>
              <w:rPr>
                <w:color w:val="231F20"/>
                <w:w w:val="105"/>
                <w:sz w:val="14"/>
              </w:rPr>
              <w:t>la</w:t>
            </w:r>
            <w:r>
              <w:rPr>
                <w:color w:val="231F20"/>
                <w:spacing w:val="-32"/>
                <w:w w:val="105"/>
                <w:sz w:val="14"/>
              </w:rPr>
              <w:t> </w:t>
            </w:r>
            <w:r>
              <w:rPr>
                <w:color w:val="231F20"/>
                <w:w w:val="105"/>
                <w:sz w:val="14"/>
              </w:rPr>
              <w:t>misión</w:t>
            </w:r>
            <w:r>
              <w:rPr>
                <w:color w:val="231F20"/>
                <w:spacing w:val="-32"/>
                <w:w w:val="105"/>
                <w:sz w:val="14"/>
              </w:rPr>
              <w:t> </w:t>
            </w:r>
            <w:r>
              <w:rPr>
                <w:color w:val="231F20"/>
                <w:w w:val="105"/>
                <w:sz w:val="14"/>
              </w:rPr>
              <w:t>y</w:t>
            </w:r>
            <w:r>
              <w:rPr>
                <w:color w:val="231F20"/>
                <w:spacing w:val="-32"/>
                <w:w w:val="105"/>
                <w:sz w:val="14"/>
              </w:rPr>
              <w:t> </w:t>
            </w:r>
            <w:r>
              <w:rPr>
                <w:color w:val="231F20"/>
                <w:w w:val="105"/>
                <w:sz w:val="14"/>
              </w:rPr>
              <w:t>visión. Desarrolla</w:t>
            </w:r>
            <w:r>
              <w:rPr>
                <w:color w:val="231F20"/>
                <w:spacing w:val="-19"/>
                <w:w w:val="105"/>
                <w:sz w:val="14"/>
              </w:rPr>
              <w:t> </w:t>
            </w:r>
            <w:r>
              <w:rPr>
                <w:color w:val="231F20"/>
                <w:w w:val="105"/>
                <w:sz w:val="14"/>
              </w:rPr>
              <w:t>los</w:t>
            </w:r>
            <w:r>
              <w:rPr>
                <w:color w:val="231F20"/>
                <w:spacing w:val="-19"/>
                <w:w w:val="105"/>
                <w:sz w:val="14"/>
              </w:rPr>
              <w:t> </w:t>
            </w:r>
            <w:r>
              <w:rPr>
                <w:color w:val="231F20"/>
                <w:w w:val="105"/>
                <w:sz w:val="14"/>
              </w:rPr>
              <w:t>valores</w:t>
            </w:r>
            <w:r>
              <w:rPr>
                <w:color w:val="231F20"/>
                <w:spacing w:val="-19"/>
                <w:w w:val="105"/>
                <w:sz w:val="14"/>
              </w:rPr>
              <w:t> </w:t>
            </w:r>
            <w:r>
              <w:rPr>
                <w:color w:val="231F20"/>
                <w:w w:val="105"/>
                <w:sz w:val="14"/>
              </w:rPr>
              <w:t>necesarios</w:t>
            </w:r>
            <w:r>
              <w:rPr>
                <w:color w:val="231F20"/>
                <w:spacing w:val="-19"/>
                <w:w w:val="105"/>
                <w:sz w:val="14"/>
              </w:rPr>
              <w:t> </w:t>
            </w:r>
            <w:r>
              <w:rPr>
                <w:color w:val="231F20"/>
                <w:w w:val="105"/>
                <w:sz w:val="14"/>
              </w:rPr>
              <w:t>para</w:t>
            </w:r>
            <w:r>
              <w:rPr>
                <w:color w:val="231F20"/>
                <w:spacing w:val="-19"/>
                <w:w w:val="105"/>
                <w:sz w:val="14"/>
              </w:rPr>
              <w:t> </w:t>
            </w:r>
            <w:r>
              <w:rPr>
                <w:color w:val="231F20"/>
                <w:w w:val="105"/>
                <w:sz w:val="14"/>
              </w:rPr>
              <w:t>el</w:t>
            </w:r>
            <w:r>
              <w:rPr>
                <w:color w:val="231F20"/>
                <w:spacing w:val="-19"/>
                <w:w w:val="105"/>
                <w:sz w:val="14"/>
              </w:rPr>
              <w:t> </w:t>
            </w:r>
            <w:r>
              <w:rPr>
                <w:color w:val="231F20"/>
                <w:w w:val="105"/>
                <w:sz w:val="14"/>
              </w:rPr>
              <w:t>éxito</w:t>
            </w:r>
            <w:r>
              <w:rPr>
                <w:color w:val="231F20"/>
                <w:spacing w:val="-19"/>
                <w:w w:val="105"/>
                <w:sz w:val="14"/>
              </w:rPr>
              <w:t> </w:t>
            </w:r>
            <w:r>
              <w:rPr>
                <w:color w:val="231F20"/>
                <w:w w:val="105"/>
                <w:sz w:val="14"/>
              </w:rPr>
              <w:t>a largo</w:t>
            </w:r>
            <w:r>
              <w:rPr>
                <w:color w:val="231F20"/>
                <w:spacing w:val="-20"/>
                <w:w w:val="105"/>
                <w:sz w:val="14"/>
              </w:rPr>
              <w:t> </w:t>
            </w:r>
            <w:r>
              <w:rPr>
                <w:color w:val="231F20"/>
                <w:w w:val="105"/>
                <w:sz w:val="14"/>
              </w:rPr>
              <w:t>plazo,</w:t>
            </w:r>
            <w:r>
              <w:rPr>
                <w:color w:val="231F20"/>
                <w:spacing w:val="-23"/>
                <w:w w:val="105"/>
                <w:sz w:val="14"/>
              </w:rPr>
              <w:t> </w:t>
            </w:r>
            <w:r>
              <w:rPr>
                <w:color w:val="231F20"/>
                <w:w w:val="105"/>
                <w:sz w:val="14"/>
              </w:rPr>
              <w:t>los</w:t>
            </w:r>
            <w:r>
              <w:rPr>
                <w:color w:val="231F20"/>
                <w:spacing w:val="-20"/>
                <w:w w:val="105"/>
                <w:sz w:val="14"/>
              </w:rPr>
              <w:t> </w:t>
            </w:r>
            <w:r>
              <w:rPr>
                <w:color w:val="231F20"/>
                <w:w w:val="105"/>
                <w:sz w:val="14"/>
              </w:rPr>
              <w:t>materializa</w:t>
            </w:r>
            <w:r>
              <w:rPr>
                <w:color w:val="231F20"/>
                <w:spacing w:val="-20"/>
                <w:w w:val="105"/>
                <w:sz w:val="14"/>
              </w:rPr>
              <w:t> </w:t>
            </w:r>
            <w:r>
              <w:rPr>
                <w:color w:val="231F20"/>
                <w:w w:val="105"/>
                <w:sz w:val="14"/>
              </w:rPr>
              <w:t>mediante</w:t>
            </w:r>
            <w:r>
              <w:rPr>
                <w:color w:val="231F20"/>
                <w:spacing w:val="-20"/>
                <w:w w:val="105"/>
                <w:sz w:val="14"/>
              </w:rPr>
              <w:t> </w:t>
            </w:r>
            <w:r>
              <w:rPr>
                <w:color w:val="231F20"/>
                <w:w w:val="105"/>
                <w:sz w:val="14"/>
              </w:rPr>
              <w:t>acciones</w:t>
            </w:r>
            <w:r>
              <w:rPr>
                <w:color w:val="231F20"/>
                <w:spacing w:val="-20"/>
                <w:w w:val="105"/>
                <w:sz w:val="14"/>
              </w:rPr>
              <w:t> </w:t>
            </w:r>
            <w:r>
              <w:rPr>
                <w:color w:val="231F20"/>
                <w:w w:val="105"/>
                <w:sz w:val="14"/>
              </w:rPr>
              <w:t>y comportamientos</w:t>
            </w:r>
            <w:r>
              <w:rPr>
                <w:color w:val="231F20"/>
                <w:spacing w:val="-15"/>
                <w:w w:val="105"/>
                <w:sz w:val="14"/>
              </w:rPr>
              <w:t> </w:t>
            </w:r>
            <w:r>
              <w:rPr>
                <w:color w:val="231F20"/>
                <w:w w:val="105"/>
                <w:sz w:val="14"/>
              </w:rPr>
              <w:t>adecuados</w:t>
            </w:r>
            <w:r>
              <w:rPr>
                <w:color w:val="231F20"/>
                <w:spacing w:val="-15"/>
                <w:w w:val="105"/>
                <w:sz w:val="14"/>
              </w:rPr>
              <w:t> </w:t>
            </w:r>
            <w:r>
              <w:rPr>
                <w:color w:val="231F20"/>
                <w:w w:val="105"/>
                <w:sz w:val="14"/>
              </w:rPr>
              <w:t>y</w:t>
            </w:r>
            <w:r>
              <w:rPr>
                <w:color w:val="231F20"/>
                <w:spacing w:val="-15"/>
                <w:w w:val="105"/>
                <w:sz w:val="14"/>
              </w:rPr>
              <w:t> </w:t>
            </w:r>
            <w:r>
              <w:rPr>
                <w:color w:val="231F20"/>
                <w:w w:val="105"/>
                <w:sz w:val="14"/>
              </w:rPr>
              <w:t>se</w:t>
            </w:r>
            <w:r>
              <w:rPr>
                <w:color w:val="231F20"/>
                <w:spacing w:val="-15"/>
                <w:w w:val="105"/>
                <w:sz w:val="14"/>
              </w:rPr>
              <w:t> </w:t>
            </w:r>
            <w:r>
              <w:rPr>
                <w:color w:val="231F20"/>
                <w:w w:val="105"/>
                <w:sz w:val="14"/>
              </w:rPr>
              <w:t>compromete personalmente en asegurar que el sistema de </w:t>
            </w:r>
            <w:r>
              <w:rPr>
                <w:color w:val="231F20"/>
                <w:spacing w:val="-3"/>
                <w:w w:val="105"/>
                <w:sz w:val="14"/>
              </w:rPr>
              <w:t>gestión</w:t>
            </w:r>
            <w:r>
              <w:rPr>
                <w:color w:val="231F20"/>
                <w:spacing w:val="-23"/>
                <w:w w:val="105"/>
                <w:sz w:val="14"/>
              </w:rPr>
              <w:t> </w:t>
            </w:r>
            <w:r>
              <w:rPr>
                <w:color w:val="231F20"/>
                <w:w w:val="105"/>
                <w:sz w:val="14"/>
              </w:rPr>
              <w:t>de</w:t>
            </w:r>
            <w:r>
              <w:rPr>
                <w:color w:val="231F20"/>
                <w:spacing w:val="-23"/>
                <w:w w:val="105"/>
                <w:sz w:val="14"/>
              </w:rPr>
              <w:t> </w:t>
            </w:r>
            <w:r>
              <w:rPr>
                <w:color w:val="231F20"/>
                <w:w w:val="105"/>
                <w:sz w:val="14"/>
              </w:rPr>
              <w:t>la</w:t>
            </w:r>
            <w:r>
              <w:rPr>
                <w:color w:val="231F20"/>
                <w:spacing w:val="-23"/>
                <w:w w:val="105"/>
                <w:sz w:val="14"/>
              </w:rPr>
              <w:t> </w:t>
            </w:r>
            <w:r>
              <w:rPr>
                <w:color w:val="231F20"/>
                <w:spacing w:val="-3"/>
                <w:w w:val="105"/>
                <w:sz w:val="14"/>
              </w:rPr>
              <w:t>organización</w:t>
            </w:r>
            <w:r>
              <w:rPr>
                <w:color w:val="231F20"/>
                <w:spacing w:val="-23"/>
                <w:w w:val="105"/>
                <w:sz w:val="14"/>
              </w:rPr>
              <w:t> </w:t>
            </w:r>
            <w:r>
              <w:rPr>
                <w:color w:val="231F20"/>
                <w:w w:val="105"/>
                <w:sz w:val="14"/>
              </w:rPr>
              <w:t>se</w:t>
            </w:r>
            <w:r>
              <w:rPr>
                <w:color w:val="231F20"/>
                <w:spacing w:val="-23"/>
                <w:w w:val="105"/>
                <w:sz w:val="14"/>
              </w:rPr>
              <w:t> </w:t>
            </w:r>
            <w:r>
              <w:rPr>
                <w:color w:val="231F20"/>
                <w:spacing w:val="-3"/>
                <w:w w:val="105"/>
                <w:sz w:val="14"/>
              </w:rPr>
              <w:t>desarrolla</w:t>
            </w:r>
            <w:r>
              <w:rPr>
                <w:color w:val="231F20"/>
                <w:spacing w:val="-23"/>
                <w:w w:val="105"/>
                <w:sz w:val="14"/>
              </w:rPr>
              <w:t> </w:t>
            </w:r>
            <w:r>
              <w:rPr>
                <w:color w:val="231F20"/>
                <w:w w:val="105"/>
                <w:sz w:val="14"/>
              </w:rPr>
              <w:t>y</w:t>
            </w:r>
            <w:r>
              <w:rPr>
                <w:color w:val="231F20"/>
                <w:spacing w:val="-23"/>
                <w:w w:val="105"/>
                <w:sz w:val="14"/>
              </w:rPr>
              <w:t> </w:t>
            </w:r>
            <w:r>
              <w:rPr>
                <w:color w:val="231F20"/>
                <w:w w:val="105"/>
                <w:sz w:val="14"/>
              </w:rPr>
              <w:t>se</w:t>
            </w:r>
            <w:r>
              <w:rPr>
                <w:color w:val="231F20"/>
                <w:spacing w:val="-23"/>
                <w:w w:val="105"/>
                <w:sz w:val="14"/>
              </w:rPr>
              <w:t> </w:t>
            </w:r>
            <w:r>
              <w:rPr>
                <w:color w:val="231F20"/>
                <w:spacing w:val="-3"/>
                <w:w w:val="105"/>
                <w:sz w:val="14"/>
              </w:rPr>
              <w:t>pone </w:t>
            </w:r>
            <w:r>
              <w:rPr>
                <w:color w:val="231F20"/>
                <w:sz w:val="14"/>
              </w:rPr>
              <w:t>en práctica (EFQM,</w:t>
            </w:r>
            <w:r>
              <w:rPr>
                <w:color w:val="231F20"/>
                <w:spacing w:val="-21"/>
                <w:sz w:val="14"/>
              </w:rPr>
              <w:t> </w:t>
            </w:r>
            <w:r>
              <w:rPr>
                <w:color w:val="231F20"/>
                <w:sz w:val="14"/>
              </w:rPr>
              <w:t>2010).</w:t>
            </w:r>
          </w:p>
        </w:tc>
      </w:tr>
      <w:tr>
        <w:trPr>
          <w:trHeight w:val="972"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3"/>
              <w:jc w:val="both"/>
              <w:rPr>
                <w:sz w:val="14"/>
              </w:rPr>
            </w:pPr>
            <w:r>
              <w:rPr>
                <w:color w:val="231F20"/>
                <w:spacing w:val="-2"/>
                <w:w w:val="105"/>
                <w:sz w:val="14"/>
              </w:rPr>
              <w:t>Personas:</w:t>
            </w:r>
            <w:r>
              <w:rPr>
                <w:color w:val="231F20"/>
                <w:spacing w:val="-22"/>
                <w:w w:val="105"/>
                <w:sz w:val="14"/>
              </w:rPr>
              <w:t> </w:t>
            </w:r>
            <w:r>
              <w:rPr>
                <w:color w:val="231F20"/>
                <w:w w:val="105"/>
                <w:sz w:val="14"/>
              </w:rPr>
              <w:t>la</w:t>
            </w:r>
            <w:r>
              <w:rPr>
                <w:color w:val="231F20"/>
                <w:spacing w:val="-22"/>
                <w:w w:val="105"/>
                <w:sz w:val="14"/>
              </w:rPr>
              <w:t> </w:t>
            </w:r>
            <w:r>
              <w:rPr>
                <w:color w:val="231F20"/>
                <w:w w:val="105"/>
                <w:sz w:val="14"/>
              </w:rPr>
              <w:t>empresa</w:t>
            </w:r>
            <w:r>
              <w:rPr>
                <w:color w:val="231F20"/>
                <w:spacing w:val="-22"/>
                <w:w w:val="105"/>
                <w:sz w:val="14"/>
              </w:rPr>
              <w:t> </w:t>
            </w:r>
            <w:r>
              <w:rPr>
                <w:color w:val="231F20"/>
                <w:w w:val="105"/>
                <w:sz w:val="14"/>
              </w:rPr>
              <w:t>aprovecha</w:t>
            </w:r>
            <w:r>
              <w:rPr>
                <w:color w:val="231F20"/>
                <w:spacing w:val="-22"/>
                <w:w w:val="105"/>
                <w:sz w:val="14"/>
              </w:rPr>
              <w:t> </w:t>
            </w:r>
            <w:r>
              <w:rPr>
                <w:color w:val="231F20"/>
                <w:w w:val="105"/>
                <w:sz w:val="14"/>
              </w:rPr>
              <w:t>el</w:t>
            </w:r>
            <w:r>
              <w:rPr>
                <w:color w:val="231F20"/>
                <w:spacing w:val="-22"/>
                <w:w w:val="105"/>
                <w:sz w:val="14"/>
              </w:rPr>
              <w:t> </w:t>
            </w:r>
            <w:r>
              <w:rPr>
                <w:color w:val="231F20"/>
                <w:w w:val="105"/>
                <w:sz w:val="14"/>
              </w:rPr>
              <w:t>potencial</w:t>
            </w:r>
            <w:r>
              <w:rPr>
                <w:color w:val="231F20"/>
                <w:spacing w:val="-22"/>
                <w:w w:val="105"/>
                <w:sz w:val="14"/>
              </w:rPr>
              <w:t> </w:t>
            </w:r>
            <w:r>
              <w:rPr>
                <w:color w:val="231F20"/>
                <w:w w:val="105"/>
                <w:sz w:val="14"/>
              </w:rPr>
              <w:t>de las</w:t>
            </w:r>
            <w:r>
              <w:rPr>
                <w:color w:val="231F20"/>
                <w:spacing w:val="-15"/>
                <w:w w:val="105"/>
                <w:sz w:val="14"/>
              </w:rPr>
              <w:t> </w:t>
            </w:r>
            <w:r>
              <w:rPr>
                <w:color w:val="231F20"/>
                <w:w w:val="105"/>
                <w:sz w:val="14"/>
              </w:rPr>
              <w:t>personas;</w:t>
            </w:r>
            <w:r>
              <w:rPr>
                <w:color w:val="231F20"/>
                <w:spacing w:val="-15"/>
                <w:w w:val="105"/>
                <w:sz w:val="14"/>
              </w:rPr>
              <w:t> </w:t>
            </w:r>
            <w:r>
              <w:rPr>
                <w:color w:val="231F20"/>
                <w:w w:val="105"/>
                <w:sz w:val="14"/>
              </w:rPr>
              <w:t>mide</w:t>
            </w:r>
            <w:r>
              <w:rPr>
                <w:color w:val="231F20"/>
                <w:spacing w:val="-15"/>
                <w:w w:val="105"/>
                <w:sz w:val="14"/>
              </w:rPr>
              <w:t> </w:t>
            </w:r>
            <w:r>
              <w:rPr>
                <w:color w:val="231F20"/>
                <w:w w:val="105"/>
                <w:sz w:val="14"/>
              </w:rPr>
              <w:t>y</w:t>
            </w:r>
            <w:r>
              <w:rPr>
                <w:color w:val="231F20"/>
                <w:spacing w:val="-15"/>
                <w:w w:val="105"/>
                <w:sz w:val="14"/>
              </w:rPr>
              <w:t> </w:t>
            </w:r>
            <w:r>
              <w:rPr>
                <w:color w:val="231F20"/>
                <w:w w:val="105"/>
                <w:sz w:val="14"/>
              </w:rPr>
              <w:t>evalúa</w:t>
            </w:r>
            <w:r>
              <w:rPr>
                <w:color w:val="231F20"/>
                <w:spacing w:val="-15"/>
                <w:w w:val="105"/>
                <w:sz w:val="14"/>
              </w:rPr>
              <w:t> </w:t>
            </w:r>
            <w:r>
              <w:rPr>
                <w:color w:val="231F20"/>
                <w:w w:val="105"/>
                <w:sz w:val="14"/>
              </w:rPr>
              <w:t>cómo</w:t>
            </w:r>
            <w:r>
              <w:rPr>
                <w:color w:val="231F20"/>
                <w:spacing w:val="-15"/>
                <w:w w:val="105"/>
                <w:sz w:val="14"/>
              </w:rPr>
              <w:t> </w:t>
            </w:r>
            <w:r>
              <w:rPr>
                <w:color w:val="231F20"/>
                <w:w w:val="105"/>
                <w:sz w:val="14"/>
              </w:rPr>
              <w:t>se</w:t>
            </w:r>
            <w:r>
              <w:rPr>
                <w:color w:val="231F20"/>
                <w:spacing w:val="-15"/>
                <w:w w:val="105"/>
                <w:sz w:val="14"/>
              </w:rPr>
              <w:t> </w:t>
            </w:r>
            <w:r>
              <w:rPr>
                <w:color w:val="231F20"/>
                <w:w w:val="105"/>
                <w:sz w:val="14"/>
              </w:rPr>
              <w:t>gestionan y</w:t>
            </w:r>
            <w:r>
              <w:rPr>
                <w:color w:val="231F20"/>
                <w:spacing w:val="-24"/>
                <w:w w:val="105"/>
                <w:sz w:val="14"/>
              </w:rPr>
              <w:t> </w:t>
            </w:r>
            <w:r>
              <w:rPr>
                <w:color w:val="231F20"/>
                <w:w w:val="105"/>
                <w:sz w:val="14"/>
              </w:rPr>
              <w:t>desarrollan</w:t>
            </w:r>
            <w:r>
              <w:rPr>
                <w:color w:val="231F20"/>
                <w:spacing w:val="-24"/>
                <w:w w:val="105"/>
                <w:sz w:val="14"/>
              </w:rPr>
              <w:t> </w:t>
            </w:r>
            <w:r>
              <w:rPr>
                <w:color w:val="231F20"/>
                <w:w w:val="105"/>
                <w:sz w:val="14"/>
              </w:rPr>
              <w:t>los</w:t>
            </w:r>
            <w:r>
              <w:rPr>
                <w:color w:val="231F20"/>
                <w:spacing w:val="-24"/>
                <w:w w:val="105"/>
                <w:sz w:val="14"/>
              </w:rPr>
              <w:t> </w:t>
            </w:r>
            <w:r>
              <w:rPr>
                <w:color w:val="231F20"/>
                <w:w w:val="105"/>
                <w:sz w:val="14"/>
              </w:rPr>
              <w:t>conocimientos</w:t>
            </w:r>
            <w:r>
              <w:rPr>
                <w:color w:val="231F20"/>
                <w:spacing w:val="-24"/>
                <w:w w:val="105"/>
                <w:sz w:val="14"/>
              </w:rPr>
              <w:t> </w:t>
            </w:r>
            <w:r>
              <w:rPr>
                <w:color w:val="231F20"/>
                <w:w w:val="105"/>
                <w:sz w:val="14"/>
              </w:rPr>
              <w:t>y</w:t>
            </w:r>
            <w:r>
              <w:rPr>
                <w:color w:val="231F20"/>
                <w:spacing w:val="-24"/>
                <w:w w:val="105"/>
                <w:sz w:val="14"/>
              </w:rPr>
              <w:t> </w:t>
            </w:r>
            <w:r>
              <w:rPr>
                <w:color w:val="231F20"/>
                <w:w w:val="105"/>
                <w:sz w:val="14"/>
              </w:rPr>
              <w:t>cómo</w:t>
            </w:r>
            <w:r>
              <w:rPr>
                <w:color w:val="231F20"/>
                <w:spacing w:val="-24"/>
                <w:w w:val="105"/>
                <w:sz w:val="14"/>
              </w:rPr>
              <w:t> </w:t>
            </w:r>
            <w:r>
              <w:rPr>
                <w:color w:val="231F20"/>
                <w:w w:val="105"/>
                <w:sz w:val="14"/>
              </w:rPr>
              <w:t>se</w:t>
            </w:r>
            <w:r>
              <w:rPr>
                <w:color w:val="231F20"/>
                <w:spacing w:val="-24"/>
                <w:w w:val="105"/>
                <w:sz w:val="14"/>
              </w:rPr>
              <w:t> </w:t>
            </w:r>
            <w:r>
              <w:rPr>
                <w:color w:val="231F20"/>
                <w:w w:val="105"/>
                <w:sz w:val="14"/>
              </w:rPr>
              <w:t>libera el potencial humano, tanto individual como en </w:t>
            </w:r>
            <w:r>
              <w:rPr>
                <w:color w:val="231F20"/>
                <w:sz w:val="14"/>
              </w:rPr>
              <w:t>equipo (EFQM,</w:t>
            </w:r>
            <w:r>
              <w:rPr>
                <w:color w:val="231F20"/>
                <w:spacing w:val="5"/>
                <w:sz w:val="14"/>
              </w:rPr>
              <w:t> </w:t>
            </w:r>
            <w:r>
              <w:rPr>
                <w:color w:val="231F20"/>
                <w:sz w:val="14"/>
              </w:rPr>
              <w:t>2010).</w:t>
            </w:r>
          </w:p>
        </w:tc>
      </w:tr>
      <w:tr>
        <w:trPr>
          <w:trHeight w:val="1140"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1"/>
              <w:jc w:val="both"/>
              <w:rPr>
                <w:sz w:val="14"/>
              </w:rPr>
            </w:pPr>
            <w:r>
              <w:rPr>
                <w:color w:val="231F20"/>
                <w:w w:val="105"/>
                <w:sz w:val="14"/>
              </w:rPr>
              <w:t>Estrategia:</w:t>
            </w:r>
            <w:r>
              <w:rPr>
                <w:color w:val="231F20"/>
                <w:spacing w:val="-28"/>
                <w:w w:val="105"/>
                <w:sz w:val="14"/>
              </w:rPr>
              <w:t> </w:t>
            </w:r>
            <w:r>
              <w:rPr>
                <w:color w:val="231F20"/>
                <w:w w:val="105"/>
                <w:sz w:val="14"/>
              </w:rPr>
              <w:t>define</w:t>
            </w:r>
            <w:r>
              <w:rPr>
                <w:color w:val="231F20"/>
                <w:spacing w:val="-28"/>
                <w:w w:val="105"/>
                <w:sz w:val="14"/>
              </w:rPr>
              <w:t> </w:t>
            </w:r>
            <w:r>
              <w:rPr>
                <w:color w:val="231F20"/>
                <w:w w:val="105"/>
                <w:sz w:val="14"/>
              </w:rPr>
              <w:t>cómo</w:t>
            </w:r>
            <w:r>
              <w:rPr>
                <w:color w:val="231F20"/>
                <w:spacing w:val="-28"/>
                <w:w w:val="105"/>
                <w:sz w:val="14"/>
              </w:rPr>
              <w:t> </w:t>
            </w:r>
            <w:r>
              <w:rPr>
                <w:color w:val="231F20"/>
                <w:w w:val="105"/>
                <w:sz w:val="14"/>
              </w:rPr>
              <w:t>la</w:t>
            </w:r>
            <w:r>
              <w:rPr>
                <w:color w:val="231F20"/>
                <w:spacing w:val="-28"/>
                <w:w w:val="105"/>
                <w:sz w:val="14"/>
              </w:rPr>
              <w:t> </w:t>
            </w:r>
            <w:r>
              <w:rPr>
                <w:color w:val="231F20"/>
                <w:w w:val="105"/>
                <w:sz w:val="14"/>
              </w:rPr>
              <w:t>organización</w:t>
            </w:r>
            <w:r>
              <w:rPr>
                <w:color w:val="231F20"/>
                <w:spacing w:val="-28"/>
                <w:w w:val="105"/>
                <w:sz w:val="14"/>
              </w:rPr>
              <w:t> </w:t>
            </w:r>
            <w:r>
              <w:rPr>
                <w:color w:val="231F20"/>
                <w:w w:val="105"/>
                <w:sz w:val="14"/>
              </w:rPr>
              <w:t>formula, despliega</w:t>
            </w:r>
            <w:r>
              <w:rPr>
                <w:color w:val="231F20"/>
                <w:spacing w:val="-20"/>
                <w:w w:val="105"/>
                <w:sz w:val="14"/>
              </w:rPr>
              <w:t> </w:t>
            </w:r>
            <w:r>
              <w:rPr>
                <w:color w:val="231F20"/>
                <w:w w:val="105"/>
                <w:sz w:val="14"/>
              </w:rPr>
              <w:t>y</w:t>
            </w:r>
            <w:r>
              <w:rPr>
                <w:color w:val="231F20"/>
                <w:spacing w:val="-20"/>
                <w:w w:val="105"/>
                <w:sz w:val="14"/>
              </w:rPr>
              <w:t> </w:t>
            </w:r>
            <w:r>
              <w:rPr>
                <w:color w:val="231F20"/>
                <w:w w:val="105"/>
                <w:sz w:val="14"/>
              </w:rPr>
              <w:t>revisa</w:t>
            </w:r>
            <w:r>
              <w:rPr>
                <w:color w:val="231F20"/>
                <w:spacing w:val="-20"/>
                <w:w w:val="105"/>
                <w:sz w:val="14"/>
              </w:rPr>
              <w:t> </w:t>
            </w:r>
            <w:r>
              <w:rPr>
                <w:color w:val="231F20"/>
                <w:w w:val="105"/>
                <w:sz w:val="14"/>
              </w:rPr>
              <w:t>su</w:t>
            </w:r>
            <w:r>
              <w:rPr>
                <w:color w:val="231F20"/>
                <w:spacing w:val="-20"/>
                <w:w w:val="105"/>
                <w:sz w:val="14"/>
              </w:rPr>
              <w:t> </w:t>
            </w:r>
            <w:r>
              <w:rPr>
                <w:color w:val="231F20"/>
                <w:w w:val="105"/>
                <w:sz w:val="14"/>
              </w:rPr>
              <w:t>política</w:t>
            </w:r>
            <w:r>
              <w:rPr>
                <w:color w:val="231F20"/>
                <w:spacing w:val="-20"/>
                <w:w w:val="105"/>
                <w:sz w:val="14"/>
              </w:rPr>
              <w:t> </w:t>
            </w:r>
            <w:r>
              <w:rPr>
                <w:color w:val="231F20"/>
                <w:w w:val="105"/>
                <w:sz w:val="14"/>
              </w:rPr>
              <w:t>para</w:t>
            </w:r>
            <w:r>
              <w:rPr>
                <w:color w:val="231F20"/>
                <w:spacing w:val="-20"/>
                <w:w w:val="105"/>
                <w:sz w:val="14"/>
              </w:rPr>
              <w:t> </w:t>
            </w:r>
            <w:r>
              <w:rPr>
                <w:color w:val="231F20"/>
                <w:w w:val="105"/>
                <w:sz w:val="14"/>
              </w:rPr>
              <w:t>convertirla</w:t>
            </w:r>
            <w:r>
              <w:rPr>
                <w:color w:val="231F20"/>
                <w:spacing w:val="-20"/>
                <w:w w:val="105"/>
                <w:sz w:val="14"/>
              </w:rPr>
              <w:t> </w:t>
            </w:r>
            <w:r>
              <w:rPr>
                <w:color w:val="231F20"/>
                <w:w w:val="105"/>
                <w:sz w:val="14"/>
              </w:rPr>
              <w:t>en planes</w:t>
            </w:r>
            <w:r>
              <w:rPr>
                <w:color w:val="231F20"/>
                <w:spacing w:val="-9"/>
                <w:w w:val="105"/>
                <w:sz w:val="14"/>
              </w:rPr>
              <w:t> </w:t>
            </w:r>
            <w:r>
              <w:rPr>
                <w:color w:val="231F20"/>
                <w:w w:val="105"/>
                <w:sz w:val="14"/>
              </w:rPr>
              <w:t>y</w:t>
            </w:r>
            <w:r>
              <w:rPr>
                <w:color w:val="231F20"/>
                <w:spacing w:val="-9"/>
                <w:w w:val="105"/>
                <w:sz w:val="14"/>
              </w:rPr>
              <w:t> </w:t>
            </w:r>
            <w:r>
              <w:rPr>
                <w:color w:val="231F20"/>
                <w:w w:val="105"/>
                <w:sz w:val="14"/>
              </w:rPr>
              <w:t>acciones.</w:t>
            </w:r>
            <w:r>
              <w:rPr>
                <w:color w:val="231F20"/>
                <w:spacing w:val="-12"/>
                <w:w w:val="105"/>
                <w:sz w:val="14"/>
              </w:rPr>
              <w:t> </w:t>
            </w:r>
            <w:r>
              <w:rPr>
                <w:color w:val="231F20"/>
                <w:w w:val="105"/>
                <w:sz w:val="14"/>
              </w:rPr>
              <w:t>Se</w:t>
            </w:r>
            <w:r>
              <w:rPr>
                <w:color w:val="231F20"/>
                <w:spacing w:val="-9"/>
                <w:w w:val="105"/>
                <w:sz w:val="14"/>
              </w:rPr>
              <w:t> </w:t>
            </w:r>
            <w:r>
              <w:rPr>
                <w:color w:val="231F20"/>
                <w:w w:val="105"/>
                <w:sz w:val="14"/>
              </w:rPr>
              <w:t>refiere</w:t>
            </w:r>
            <w:r>
              <w:rPr>
                <w:color w:val="231F20"/>
                <w:spacing w:val="-9"/>
                <w:w w:val="105"/>
                <w:sz w:val="14"/>
              </w:rPr>
              <w:t> </w:t>
            </w:r>
            <w:r>
              <w:rPr>
                <w:color w:val="231F20"/>
                <w:w w:val="105"/>
                <w:sz w:val="14"/>
              </w:rPr>
              <w:t>a</w:t>
            </w:r>
            <w:r>
              <w:rPr>
                <w:color w:val="231F20"/>
                <w:spacing w:val="-9"/>
                <w:w w:val="105"/>
                <w:sz w:val="14"/>
              </w:rPr>
              <w:t> </w:t>
            </w:r>
            <w:r>
              <w:rPr>
                <w:color w:val="231F20"/>
                <w:w w:val="105"/>
                <w:sz w:val="14"/>
              </w:rPr>
              <w:t>cómo</w:t>
            </w:r>
            <w:r>
              <w:rPr>
                <w:color w:val="231F20"/>
                <w:spacing w:val="-9"/>
                <w:w w:val="105"/>
                <w:sz w:val="14"/>
              </w:rPr>
              <w:t> </w:t>
            </w:r>
            <w:r>
              <w:rPr>
                <w:color w:val="231F20"/>
                <w:w w:val="105"/>
                <w:sz w:val="14"/>
              </w:rPr>
              <w:t>materiali- za</w:t>
            </w:r>
            <w:r>
              <w:rPr>
                <w:color w:val="231F20"/>
                <w:spacing w:val="-11"/>
                <w:w w:val="105"/>
                <w:sz w:val="14"/>
              </w:rPr>
              <w:t> </w:t>
            </w:r>
            <w:r>
              <w:rPr>
                <w:color w:val="231F20"/>
                <w:w w:val="105"/>
                <w:sz w:val="14"/>
              </w:rPr>
              <w:t>su</w:t>
            </w:r>
            <w:r>
              <w:rPr>
                <w:color w:val="231F20"/>
                <w:spacing w:val="-11"/>
                <w:w w:val="105"/>
                <w:sz w:val="14"/>
              </w:rPr>
              <w:t> </w:t>
            </w:r>
            <w:r>
              <w:rPr>
                <w:color w:val="231F20"/>
                <w:w w:val="105"/>
                <w:sz w:val="14"/>
              </w:rPr>
              <w:t>misión</w:t>
            </w:r>
            <w:r>
              <w:rPr>
                <w:color w:val="231F20"/>
                <w:spacing w:val="-11"/>
                <w:w w:val="105"/>
                <w:sz w:val="14"/>
              </w:rPr>
              <w:t> </w:t>
            </w:r>
            <w:r>
              <w:rPr>
                <w:color w:val="231F20"/>
                <w:w w:val="105"/>
                <w:sz w:val="14"/>
              </w:rPr>
              <w:t>y</w:t>
            </w:r>
            <w:r>
              <w:rPr>
                <w:color w:val="231F20"/>
                <w:spacing w:val="-11"/>
                <w:w w:val="105"/>
                <w:sz w:val="14"/>
              </w:rPr>
              <w:t> </w:t>
            </w:r>
            <w:r>
              <w:rPr>
                <w:color w:val="231F20"/>
                <w:w w:val="105"/>
                <w:sz w:val="14"/>
              </w:rPr>
              <w:t>visión,</w:t>
            </w:r>
            <w:r>
              <w:rPr>
                <w:color w:val="231F20"/>
                <w:spacing w:val="-14"/>
                <w:w w:val="105"/>
                <w:sz w:val="14"/>
              </w:rPr>
              <w:t> </w:t>
            </w:r>
            <w:r>
              <w:rPr>
                <w:color w:val="231F20"/>
                <w:w w:val="105"/>
                <w:sz w:val="14"/>
              </w:rPr>
              <w:t>y</w:t>
            </w:r>
            <w:r>
              <w:rPr>
                <w:color w:val="231F20"/>
                <w:spacing w:val="-11"/>
                <w:w w:val="105"/>
                <w:sz w:val="14"/>
              </w:rPr>
              <w:t> </w:t>
            </w:r>
            <w:r>
              <w:rPr>
                <w:color w:val="231F20"/>
                <w:w w:val="105"/>
                <w:sz w:val="14"/>
              </w:rPr>
              <w:t>la</w:t>
            </w:r>
            <w:r>
              <w:rPr>
                <w:color w:val="231F20"/>
                <w:spacing w:val="-11"/>
                <w:w w:val="105"/>
                <w:sz w:val="14"/>
              </w:rPr>
              <w:t> </w:t>
            </w:r>
            <w:r>
              <w:rPr>
                <w:color w:val="231F20"/>
                <w:w w:val="105"/>
                <w:sz w:val="14"/>
              </w:rPr>
              <w:t>enfoca</w:t>
            </w:r>
            <w:r>
              <w:rPr>
                <w:color w:val="231F20"/>
                <w:spacing w:val="-11"/>
                <w:w w:val="105"/>
                <w:sz w:val="14"/>
              </w:rPr>
              <w:t> </w:t>
            </w:r>
            <w:r>
              <w:rPr>
                <w:color w:val="231F20"/>
                <w:w w:val="105"/>
                <w:sz w:val="14"/>
              </w:rPr>
              <w:t>hacia</w:t>
            </w:r>
            <w:r>
              <w:rPr>
                <w:color w:val="231F20"/>
                <w:spacing w:val="-11"/>
                <w:w w:val="105"/>
                <w:sz w:val="14"/>
              </w:rPr>
              <w:t> </w:t>
            </w:r>
            <w:r>
              <w:rPr>
                <w:color w:val="231F20"/>
                <w:w w:val="105"/>
                <w:sz w:val="14"/>
              </w:rPr>
              <w:t>actores, apoyada</w:t>
            </w:r>
            <w:r>
              <w:rPr>
                <w:color w:val="231F20"/>
                <w:spacing w:val="-11"/>
                <w:w w:val="105"/>
                <w:sz w:val="14"/>
              </w:rPr>
              <w:t> </w:t>
            </w:r>
            <w:r>
              <w:rPr>
                <w:color w:val="231F20"/>
                <w:w w:val="105"/>
                <w:sz w:val="14"/>
              </w:rPr>
              <w:t>por</w:t>
            </w:r>
            <w:r>
              <w:rPr>
                <w:color w:val="231F20"/>
                <w:spacing w:val="-11"/>
                <w:w w:val="105"/>
                <w:sz w:val="14"/>
              </w:rPr>
              <w:t> </w:t>
            </w:r>
            <w:r>
              <w:rPr>
                <w:color w:val="231F20"/>
                <w:w w:val="105"/>
                <w:sz w:val="14"/>
              </w:rPr>
              <w:t>políticas,</w:t>
            </w:r>
            <w:r>
              <w:rPr>
                <w:color w:val="231F20"/>
                <w:spacing w:val="-13"/>
                <w:w w:val="105"/>
                <w:sz w:val="14"/>
              </w:rPr>
              <w:t> </w:t>
            </w:r>
            <w:r>
              <w:rPr>
                <w:color w:val="231F20"/>
                <w:w w:val="105"/>
                <w:sz w:val="14"/>
              </w:rPr>
              <w:t>planes,</w:t>
            </w:r>
            <w:r>
              <w:rPr>
                <w:color w:val="231F20"/>
                <w:spacing w:val="-13"/>
                <w:w w:val="105"/>
                <w:sz w:val="14"/>
              </w:rPr>
              <w:t> </w:t>
            </w:r>
            <w:r>
              <w:rPr>
                <w:color w:val="231F20"/>
                <w:w w:val="105"/>
                <w:sz w:val="14"/>
              </w:rPr>
              <w:t>objetivos,</w:t>
            </w:r>
            <w:r>
              <w:rPr>
                <w:color w:val="231F20"/>
                <w:spacing w:val="-13"/>
                <w:w w:val="105"/>
                <w:sz w:val="14"/>
              </w:rPr>
              <w:t> </w:t>
            </w:r>
            <w:r>
              <w:rPr>
                <w:color w:val="231F20"/>
                <w:w w:val="105"/>
                <w:sz w:val="14"/>
              </w:rPr>
              <w:t>metas </w:t>
            </w:r>
            <w:r>
              <w:rPr>
                <w:color w:val="231F20"/>
                <w:sz w:val="14"/>
              </w:rPr>
              <w:t>y procesos adecuados (EFQM,</w:t>
            </w:r>
            <w:r>
              <w:rPr>
                <w:color w:val="231F20"/>
                <w:spacing w:val="-22"/>
                <w:sz w:val="14"/>
              </w:rPr>
              <w:t> </w:t>
            </w:r>
            <w:r>
              <w:rPr>
                <w:color w:val="231F20"/>
                <w:sz w:val="14"/>
              </w:rPr>
              <w:t>2010).</w:t>
            </w:r>
          </w:p>
        </w:tc>
      </w:tr>
      <w:tr>
        <w:trPr>
          <w:trHeight w:val="2448"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4"/>
              <w:jc w:val="both"/>
              <w:rPr>
                <w:sz w:val="14"/>
              </w:rPr>
            </w:pPr>
            <w:r>
              <w:rPr>
                <w:color w:val="231F20"/>
                <w:w w:val="105"/>
                <w:sz w:val="14"/>
              </w:rPr>
              <w:t>Alianzas (colaboradores) recursos: relativo a cómo</w:t>
            </w:r>
            <w:r>
              <w:rPr>
                <w:color w:val="231F20"/>
                <w:spacing w:val="-19"/>
                <w:w w:val="105"/>
                <w:sz w:val="14"/>
              </w:rPr>
              <w:t> </w:t>
            </w:r>
            <w:r>
              <w:rPr>
                <w:color w:val="231F20"/>
                <w:w w:val="105"/>
                <w:sz w:val="14"/>
              </w:rPr>
              <w:t>planifica</w:t>
            </w:r>
            <w:r>
              <w:rPr>
                <w:color w:val="231F20"/>
                <w:spacing w:val="-19"/>
                <w:w w:val="105"/>
                <w:sz w:val="14"/>
              </w:rPr>
              <w:t> </w:t>
            </w:r>
            <w:r>
              <w:rPr>
                <w:color w:val="231F20"/>
                <w:w w:val="105"/>
                <w:sz w:val="14"/>
              </w:rPr>
              <w:t>y</w:t>
            </w:r>
            <w:r>
              <w:rPr>
                <w:color w:val="231F20"/>
                <w:spacing w:val="-19"/>
                <w:w w:val="105"/>
                <w:sz w:val="14"/>
              </w:rPr>
              <w:t> </w:t>
            </w:r>
            <w:r>
              <w:rPr>
                <w:color w:val="231F20"/>
                <w:w w:val="105"/>
                <w:sz w:val="14"/>
              </w:rPr>
              <w:t>gestiona</w:t>
            </w:r>
            <w:r>
              <w:rPr>
                <w:color w:val="231F20"/>
                <w:spacing w:val="-19"/>
                <w:w w:val="105"/>
                <w:sz w:val="14"/>
              </w:rPr>
              <w:t> </w:t>
            </w:r>
            <w:r>
              <w:rPr>
                <w:color w:val="231F20"/>
                <w:w w:val="105"/>
                <w:sz w:val="14"/>
              </w:rPr>
              <w:t>la</w:t>
            </w:r>
            <w:r>
              <w:rPr>
                <w:color w:val="231F20"/>
                <w:spacing w:val="-19"/>
                <w:w w:val="105"/>
                <w:sz w:val="14"/>
              </w:rPr>
              <w:t> </w:t>
            </w:r>
            <w:r>
              <w:rPr>
                <w:color w:val="231F20"/>
                <w:w w:val="105"/>
                <w:sz w:val="14"/>
              </w:rPr>
              <w:t>organización</w:t>
            </w:r>
            <w:r>
              <w:rPr>
                <w:color w:val="231F20"/>
                <w:spacing w:val="-19"/>
                <w:w w:val="105"/>
                <w:sz w:val="14"/>
              </w:rPr>
              <w:t> </w:t>
            </w:r>
            <w:r>
              <w:rPr>
                <w:color w:val="231F20"/>
                <w:w w:val="105"/>
                <w:sz w:val="14"/>
              </w:rPr>
              <w:t>las</w:t>
            </w:r>
            <w:r>
              <w:rPr>
                <w:color w:val="231F20"/>
                <w:spacing w:val="-19"/>
                <w:w w:val="105"/>
                <w:sz w:val="14"/>
              </w:rPr>
              <w:t> </w:t>
            </w:r>
            <w:r>
              <w:rPr>
                <w:color w:val="231F20"/>
                <w:w w:val="105"/>
                <w:sz w:val="14"/>
              </w:rPr>
              <w:t>re- laciones</w:t>
            </w:r>
            <w:r>
              <w:rPr>
                <w:color w:val="231F20"/>
                <w:spacing w:val="-28"/>
                <w:w w:val="105"/>
                <w:sz w:val="14"/>
              </w:rPr>
              <w:t> </w:t>
            </w:r>
            <w:r>
              <w:rPr>
                <w:color w:val="231F20"/>
                <w:w w:val="105"/>
                <w:sz w:val="14"/>
              </w:rPr>
              <w:t>con</w:t>
            </w:r>
            <w:r>
              <w:rPr>
                <w:color w:val="231F20"/>
                <w:spacing w:val="-28"/>
                <w:w w:val="105"/>
                <w:sz w:val="14"/>
              </w:rPr>
              <w:t> </w:t>
            </w:r>
            <w:r>
              <w:rPr>
                <w:color w:val="231F20"/>
                <w:spacing w:val="-3"/>
                <w:w w:val="105"/>
                <w:sz w:val="14"/>
              </w:rPr>
              <w:t>colaboradores</w:t>
            </w:r>
            <w:r>
              <w:rPr>
                <w:color w:val="231F20"/>
                <w:spacing w:val="-28"/>
                <w:w w:val="105"/>
                <w:sz w:val="14"/>
              </w:rPr>
              <w:t> </w:t>
            </w:r>
            <w:r>
              <w:rPr>
                <w:color w:val="231F20"/>
                <w:w w:val="105"/>
                <w:sz w:val="14"/>
              </w:rPr>
              <w:t>externos</w:t>
            </w:r>
            <w:r>
              <w:rPr>
                <w:color w:val="231F20"/>
                <w:spacing w:val="-28"/>
                <w:w w:val="105"/>
                <w:sz w:val="14"/>
              </w:rPr>
              <w:t> </w:t>
            </w:r>
            <w:r>
              <w:rPr>
                <w:color w:val="231F20"/>
                <w:w w:val="105"/>
                <w:sz w:val="14"/>
              </w:rPr>
              <w:t>(proveedo- res,</w:t>
            </w:r>
            <w:r>
              <w:rPr>
                <w:color w:val="231F20"/>
                <w:spacing w:val="-31"/>
                <w:w w:val="105"/>
                <w:sz w:val="14"/>
              </w:rPr>
              <w:t> </w:t>
            </w:r>
            <w:r>
              <w:rPr>
                <w:color w:val="231F20"/>
                <w:w w:val="105"/>
                <w:sz w:val="14"/>
              </w:rPr>
              <w:t>sub</w:t>
            </w:r>
            <w:r>
              <w:rPr>
                <w:color w:val="231F20"/>
                <w:spacing w:val="-29"/>
                <w:w w:val="105"/>
                <w:sz w:val="14"/>
              </w:rPr>
              <w:t> </w:t>
            </w:r>
            <w:r>
              <w:rPr>
                <w:color w:val="231F20"/>
                <w:w w:val="105"/>
                <w:sz w:val="14"/>
              </w:rPr>
              <w:t>contratistas</w:t>
            </w:r>
            <w:r>
              <w:rPr>
                <w:color w:val="231F20"/>
                <w:spacing w:val="-29"/>
                <w:w w:val="105"/>
                <w:sz w:val="14"/>
              </w:rPr>
              <w:t> </w:t>
            </w:r>
            <w:r>
              <w:rPr>
                <w:color w:val="231F20"/>
                <w:w w:val="105"/>
                <w:sz w:val="14"/>
              </w:rPr>
              <w:t>y</w:t>
            </w:r>
            <w:r>
              <w:rPr>
                <w:color w:val="231F20"/>
                <w:spacing w:val="-29"/>
                <w:w w:val="105"/>
                <w:sz w:val="14"/>
              </w:rPr>
              <w:t> </w:t>
            </w:r>
            <w:r>
              <w:rPr>
                <w:color w:val="231F20"/>
                <w:w w:val="105"/>
                <w:sz w:val="14"/>
              </w:rPr>
              <w:t>otros</w:t>
            </w:r>
            <w:r>
              <w:rPr>
                <w:color w:val="231F20"/>
                <w:spacing w:val="-29"/>
                <w:w w:val="105"/>
                <w:sz w:val="14"/>
              </w:rPr>
              <w:t> </w:t>
            </w:r>
            <w:r>
              <w:rPr>
                <w:color w:val="231F20"/>
                <w:w w:val="105"/>
                <w:sz w:val="14"/>
              </w:rPr>
              <w:t>colaboradores)</w:t>
            </w:r>
            <w:r>
              <w:rPr>
                <w:color w:val="231F20"/>
                <w:spacing w:val="-29"/>
                <w:w w:val="105"/>
                <w:sz w:val="14"/>
              </w:rPr>
              <w:t> </w:t>
            </w:r>
            <w:r>
              <w:rPr>
                <w:color w:val="231F20"/>
                <w:w w:val="105"/>
                <w:sz w:val="14"/>
              </w:rPr>
              <w:t>y</w:t>
            </w:r>
            <w:r>
              <w:rPr>
                <w:color w:val="231F20"/>
                <w:spacing w:val="-29"/>
                <w:w w:val="105"/>
                <w:sz w:val="14"/>
              </w:rPr>
              <w:t> </w:t>
            </w:r>
            <w:r>
              <w:rPr>
                <w:color w:val="231F20"/>
                <w:w w:val="105"/>
                <w:sz w:val="14"/>
              </w:rPr>
              <w:t>sus </w:t>
            </w:r>
            <w:r>
              <w:rPr>
                <w:color w:val="231F20"/>
                <w:spacing w:val="-3"/>
                <w:sz w:val="14"/>
              </w:rPr>
              <w:t>recursos</w:t>
            </w:r>
            <w:r>
              <w:rPr>
                <w:color w:val="231F20"/>
                <w:spacing w:val="-12"/>
                <w:sz w:val="14"/>
              </w:rPr>
              <w:t> </w:t>
            </w:r>
            <w:r>
              <w:rPr>
                <w:color w:val="231F20"/>
                <w:sz w:val="14"/>
              </w:rPr>
              <w:t>(económicos,</w:t>
            </w:r>
            <w:r>
              <w:rPr>
                <w:color w:val="231F20"/>
                <w:spacing w:val="-16"/>
                <w:sz w:val="14"/>
              </w:rPr>
              <w:t> </w:t>
            </w:r>
            <w:r>
              <w:rPr>
                <w:color w:val="231F20"/>
                <w:sz w:val="14"/>
              </w:rPr>
              <w:t>técnicos,</w:t>
            </w:r>
            <w:r>
              <w:rPr>
                <w:color w:val="231F20"/>
                <w:spacing w:val="-16"/>
                <w:sz w:val="14"/>
              </w:rPr>
              <w:t> </w:t>
            </w:r>
            <w:r>
              <w:rPr>
                <w:color w:val="231F20"/>
                <w:sz w:val="14"/>
              </w:rPr>
              <w:t>etc.)</w:t>
            </w:r>
            <w:r>
              <w:rPr>
                <w:color w:val="231F20"/>
                <w:spacing w:val="-12"/>
                <w:sz w:val="14"/>
              </w:rPr>
              <w:t> </w:t>
            </w:r>
            <w:r>
              <w:rPr>
                <w:color w:val="231F20"/>
                <w:sz w:val="14"/>
              </w:rPr>
              <w:t>para</w:t>
            </w:r>
            <w:r>
              <w:rPr>
                <w:color w:val="231F20"/>
                <w:spacing w:val="-12"/>
                <w:sz w:val="14"/>
              </w:rPr>
              <w:t> </w:t>
            </w:r>
            <w:r>
              <w:rPr>
                <w:color w:val="231F20"/>
                <w:spacing w:val="-2"/>
                <w:sz w:val="14"/>
              </w:rPr>
              <w:t>apoyar </w:t>
            </w:r>
            <w:r>
              <w:rPr>
                <w:color w:val="231F20"/>
                <w:w w:val="105"/>
                <w:sz w:val="14"/>
              </w:rPr>
              <w:t>su</w:t>
            </w:r>
            <w:r>
              <w:rPr>
                <w:color w:val="231F20"/>
                <w:spacing w:val="-28"/>
                <w:w w:val="105"/>
                <w:sz w:val="14"/>
              </w:rPr>
              <w:t> </w:t>
            </w:r>
            <w:r>
              <w:rPr>
                <w:color w:val="231F20"/>
                <w:w w:val="105"/>
                <w:sz w:val="14"/>
              </w:rPr>
              <w:t>política,</w:t>
            </w:r>
            <w:r>
              <w:rPr>
                <w:color w:val="231F20"/>
                <w:spacing w:val="-30"/>
                <w:w w:val="105"/>
                <w:sz w:val="14"/>
              </w:rPr>
              <w:t> </w:t>
            </w:r>
            <w:r>
              <w:rPr>
                <w:color w:val="231F20"/>
                <w:w w:val="105"/>
                <w:sz w:val="14"/>
              </w:rPr>
              <w:t>estrategia</w:t>
            </w:r>
            <w:r>
              <w:rPr>
                <w:color w:val="231F20"/>
                <w:spacing w:val="-28"/>
                <w:w w:val="105"/>
                <w:sz w:val="14"/>
              </w:rPr>
              <w:t> </w:t>
            </w:r>
            <w:r>
              <w:rPr>
                <w:color w:val="231F20"/>
                <w:w w:val="105"/>
                <w:sz w:val="14"/>
              </w:rPr>
              <w:t>y</w:t>
            </w:r>
            <w:r>
              <w:rPr>
                <w:color w:val="231F20"/>
                <w:spacing w:val="-28"/>
                <w:w w:val="105"/>
                <w:sz w:val="14"/>
              </w:rPr>
              <w:t> </w:t>
            </w:r>
            <w:r>
              <w:rPr>
                <w:color w:val="231F20"/>
                <w:w w:val="105"/>
                <w:sz w:val="14"/>
              </w:rPr>
              <w:t>funcionamiento</w:t>
            </w:r>
            <w:r>
              <w:rPr>
                <w:color w:val="231F20"/>
                <w:spacing w:val="-28"/>
                <w:w w:val="105"/>
                <w:sz w:val="14"/>
              </w:rPr>
              <w:t> </w:t>
            </w:r>
            <w:r>
              <w:rPr>
                <w:color w:val="231F20"/>
                <w:w w:val="105"/>
                <w:sz w:val="14"/>
              </w:rPr>
              <w:t>eficaz</w:t>
            </w:r>
            <w:r>
              <w:rPr>
                <w:color w:val="231F20"/>
                <w:spacing w:val="-28"/>
                <w:w w:val="105"/>
                <w:sz w:val="14"/>
              </w:rPr>
              <w:t> </w:t>
            </w:r>
            <w:r>
              <w:rPr>
                <w:color w:val="231F20"/>
                <w:w w:val="105"/>
                <w:sz w:val="14"/>
              </w:rPr>
              <w:t>de </w:t>
            </w:r>
            <w:r>
              <w:rPr>
                <w:color w:val="231F20"/>
                <w:sz w:val="14"/>
              </w:rPr>
              <w:t>sus</w:t>
            </w:r>
            <w:r>
              <w:rPr>
                <w:color w:val="231F20"/>
                <w:spacing w:val="-13"/>
                <w:sz w:val="14"/>
              </w:rPr>
              <w:t> </w:t>
            </w:r>
            <w:r>
              <w:rPr>
                <w:color w:val="231F20"/>
                <w:sz w:val="14"/>
              </w:rPr>
              <w:t>procesos</w:t>
            </w:r>
            <w:r>
              <w:rPr>
                <w:color w:val="231F20"/>
                <w:spacing w:val="-13"/>
                <w:sz w:val="14"/>
              </w:rPr>
              <w:t> </w:t>
            </w:r>
            <w:r>
              <w:rPr>
                <w:color w:val="231F20"/>
                <w:sz w:val="14"/>
              </w:rPr>
              <w:t>(EFQM,</w:t>
            </w:r>
            <w:r>
              <w:rPr>
                <w:color w:val="231F20"/>
                <w:spacing w:val="-17"/>
                <w:sz w:val="14"/>
              </w:rPr>
              <w:t> </w:t>
            </w:r>
            <w:r>
              <w:rPr>
                <w:color w:val="231F20"/>
                <w:sz w:val="14"/>
              </w:rPr>
              <w:t>2010).</w:t>
            </w:r>
          </w:p>
          <w:p>
            <w:pPr>
              <w:pStyle w:val="TableParagraph"/>
              <w:spacing w:before="6"/>
              <w:rPr>
                <w:sz w:val="11"/>
              </w:rPr>
            </w:pPr>
          </w:p>
          <w:p>
            <w:pPr>
              <w:pStyle w:val="TableParagraph"/>
              <w:spacing w:line="249" w:lineRule="auto"/>
              <w:ind w:left="77" w:right="73"/>
              <w:jc w:val="both"/>
              <w:rPr>
                <w:sz w:val="14"/>
              </w:rPr>
            </w:pPr>
            <w:r>
              <w:rPr>
                <w:color w:val="231F20"/>
                <w:spacing w:val="-2"/>
                <w:sz w:val="14"/>
              </w:rPr>
              <w:t>Procesos,</w:t>
            </w:r>
            <w:r>
              <w:rPr>
                <w:color w:val="231F20"/>
                <w:spacing w:val="-12"/>
                <w:sz w:val="14"/>
              </w:rPr>
              <w:t> </w:t>
            </w:r>
            <w:r>
              <w:rPr>
                <w:color w:val="231F20"/>
                <w:sz w:val="14"/>
              </w:rPr>
              <w:t>productos</w:t>
            </w:r>
            <w:r>
              <w:rPr>
                <w:color w:val="231F20"/>
                <w:spacing w:val="-7"/>
                <w:sz w:val="14"/>
              </w:rPr>
              <w:t> </w:t>
            </w:r>
            <w:r>
              <w:rPr>
                <w:color w:val="231F20"/>
                <w:sz w:val="14"/>
              </w:rPr>
              <w:t>y</w:t>
            </w:r>
            <w:r>
              <w:rPr>
                <w:color w:val="231F20"/>
                <w:spacing w:val="-7"/>
                <w:sz w:val="14"/>
              </w:rPr>
              <w:t> </w:t>
            </w:r>
            <w:r>
              <w:rPr>
                <w:color w:val="231F20"/>
                <w:sz w:val="14"/>
              </w:rPr>
              <w:t>servicios:</w:t>
            </w:r>
            <w:r>
              <w:rPr>
                <w:color w:val="231F20"/>
                <w:spacing w:val="-7"/>
                <w:sz w:val="14"/>
              </w:rPr>
              <w:t> </w:t>
            </w:r>
            <w:r>
              <w:rPr>
                <w:color w:val="231F20"/>
                <w:sz w:val="14"/>
              </w:rPr>
              <w:t>incluye</w:t>
            </w:r>
            <w:r>
              <w:rPr>
                <w:color w:val="231F20"/>
                <w:spacing w:val="-7"/>
                <w:sz w:val="14"/>
              </w:rPr>
              <w:t> </w:t>
            </w:r>
            <w:r>
              <w:rPr>
                <w:color w:val="231F20"/>
                <w:sz w:val="14"/>
              </w:rPr>
              <w:t>activida- </w:t>
            </w:r>
            <w:r>
              <w:rPr>
                <w:color w:val="231F20"/>
                <w:w w:val="105"/>
                <w:sz w:val="14"/>
              </w:rPr>
              <w:t>des</w:t>
            </w:r>
            <w:r>
              <w:rPr>
                <w:color w:val="231F20"/>
                <w:spacing w:val="-21"/>
                <w:w w:val="105"/>
                <w:sz w:val="14"/>
              </w:rPr>
              <w:t> </w:t>
            </w:r>
            <w:r>
              <w:rPr>
                <w:color w:val="231F20"/>
                <w:w w:val="105"/>
                <w:sz w:val="14"/>
              </w:rPr>
              <w:t>referentes</w:t>
            </w:r>
            <w:r>
              <w:rPr>
                <w:color w:val="231F20"/>
                <w:spacing w:val="-21"/>
                <w:w w:val="105"/>
                <w:sz w:val="14"/>
              </w:rPr>
              <w:t> </w:t>
            </w:r>
            <w:r>
              <w:rPr>
                <w:color w:val="231F20"/>
                <w:w w:val="105"/>
                <w:sz w:val="14"/>
              </w:rPr>
              <w:t>al</w:t>
            </w:r>
            <w:r>
              <w:rPr>
                <w:color w:val="231F20"/>
                <w:spacing w:val="-21"/>
                <w:w w:val="105"/>
                <w:sz w:val="14"/>
              </w:rPr>
              <w:t> </w:t>
            </w:r>
            <w:r>
              <w:rPr>
                <w:color w:val="231F20"/>
                <w:w w:val="105"/>
                <w:sz w:val="14"/>
              </w:rPr>
              <w:t>diseño,</w:t>
            </w:r>
            <w:r>
              <w:rPr>
                <w:color w:val="231F20"/>
                <w:spacing w:val="-23"/>
                <w:w w:val="105"/>
                <w:sz w:val="14"/>
              </w:rPr>
              <w:t> </w:t>
            </w:r>
            <w:r>
              <w:rPr>
                <w:color w:val="231F20"/>
                <w:w w:val="105"/>
                <w:sz w:val="14"/>
              </w:rPr>
              <w:t>gestión</w:t>
            </w:r>
            <w:r>
              <w:rPr>
                <w:color w:val="231F20"/>
                <w:spacing w:val="-21"/>
                <w:w w:val="105"/>
                <w:sz w:val="14"/>
              </w:rPr>
              <w:t> </w:t>
            </w:r>
            <w:r>
              <w:rPr>
                <w:color w:val="231F20"/>
                <w:w w:val="105"/>
                <w:sz w:val="14"/>
              </w:rPr>
              <w:t>y</w:t>
            </w:r>
            <w:r>
              <w:rPr>
                <w:color w:val="231F20"/>
                <w:spacing w:val="-21"/>
                <w:w w:val="105"/>
                <w:sz w:val="14"/>
              </w:rPr>
              <w:t> </w:t>
            </w:r>
            <w:r>
              <w:rPr>
                <w:color w:val="231F20"/>
                <w:w w:val="105"/>
                <w:sz w:val="14"/>
              </w:rPr>
              <w:t>mejora</w:t>
            </w:r>
            <w:r>
              <w:rPr>
                <w:color w:val="231F20"/>
                <w:spacing w:val="-21"/>
                <w:w w:val="105"/>
                <w:sz w:val="14"/>
              </w:rPr>
              <w:t> </w:t>
            </w:r>
            <w:r>
              <w:rPr>
                <w:color w:val="231F20"/>
                <w:w w:val="105"/>
                <w:sz w:val="14"/>
              </w:rPr>
              <w:t>de</w:t>
            </w:r>
            <w:r>
              <w:rPr>
                <w:color w:val="231F20"/>
                <w:spacing w:val="-21"/>
                <w:w w:val="105"/>
                <w:sz w:val="14"/>
              </w:rPr>
              <w:t> </w:t>
            </w:r>
            <w:r>
              <w:rPr>
                <w:color w:val="231F20"/>
                <w:w w:val="105"/>
                <w:sz w:val="14"/>
              </w:rPr>
              <w:t>los procesos,</w:t>
            </w:r>
            <w:r>
              <w:rPr>
                <w:color w:val="231F20"/>
                <w:spacing w:val="-13"/>
                <w:w w:val="105"/>
                <w:sz w:val="14"/>
              </w:rPr>
              <w:t> </w:t>
            </w:r>
            <w:r>
              <w:rPr>
                <w:color w:val="231F20"/>
                <w:w w:val="105"/>
                <w:sz w:val="14"/>
              </w:rPr>
              <w:t>con</w:t>
            </w:r>
            <w:r>
              <w:rPr>
                <w:color w:val="231F20"/>
                <w:spacing w:val="-8"/>
                <w:w w:val="105"/>
                <w:sz w:val="14"/>
              </w:rPr>
              <w:t> </w:t>
            </w:r>
            <w:r>
              <w:rPr>
                <w:color w:val="231F20"/>
                <w:w w:val="105"/>
                <w:sz w:val="14"/>
              </w:rPr>
              <w:t>la</w:t>
            </w:r>
            <w:r>
              <w:rPr>
                <w:color w:val="231F20"/>
                <w:spacing w:val="-8"/>
                <w:w w:val="105"/>
                <w:sz w:val="14"/>
              </w:rPr>
              <w:t> </w:t>
            </w:r>
            <w:r>
              <w:rPr>
                <w:color w:val="231F20"/>
                <w:w w:val="105"/>
                <w:sz w:val="14"/>
              </w:rPr>
              <w:t>finalidad</w:t>
            </w:r>
            <w:r>
              <w:rPr>
                <w:color w:val="231F20"/>
                <w:spacing w:val="-8"/>
                <w:w w:val="105"/>
                <w:sz w:val="14"/>
              </w:rPr>
              <w:t> </w:t>
            </w:r>
            <w:r>
              <w:rPr>
                <w:color w:val="231F20"/>
                <w:w w:val="105"/>
                <w:sz w:val="14"/>
              </w:rPr>
              <w:t>de</w:t>
            </w:r>
            <w:r>
              <w:rPr>
                <w:color w:val="231F20"/>
                <w:spacing w:val="-8"/>
                <w:w w:val="105"/>
                <w:sz w:val="14"/>
              </w:rPr>
              <w:t> </w:t>
            </w:r>
            <w:r>
              <w:rPr>
                <w:color w:val="231F20"/>
                <w:w w:val="105"/>
                <w:sz w:val="14"/>
              </w:rPr>
              <w:t>ofrecer</w:t>
            </w:r>
            <w:r>
              <w:rPr>
                <w:color w:val="231F20"/>
                <w:spacing w:val="-8"/>
                <w:w w:val="105"/>
                <w:sz w:val="14"/>
              </w:rPr>
              <w:t> </w:t>
            </w:r>
            <w:r>
              <w:rPr>
                <w:color w:val="231F20"/>
                <w:w w:val="105"/>
                <w:sz w:val="14"/>
              </w:rPr>
              <w:t>productos y</w:t>
            </w:r>
            <w:r>
              <w:rPr>
                <w:color w:val="231F20"/>
                <w:spacing w:val="-15"/>
                <w:w w:val="105"/>
                <w:sz w:val="14"/>
              </w:rPr>
              <w:t> </w:t>
            </w:r>
            <w:r>
              <w:rPr>
                <w:color w:val="231F20"/>
                <w:w w:val="105"/>
                <w:sz w:val="14"/>
              </w:rPr>
              <w:t>servicios</w:t>
            </w:r>
            <w:r>
              <w:rPr>
                <w:color w:val="231F20"/>
                <w:spacing w:val="-15"/>
                <w:w w:val="105"/>
                <w:sz w:val="14"/>
              </w:rPr>
              <w:t> </w:t>
            </w:r>
            <w:r>
              <w:rPr>
                <w:color w:val="231F20"/>
                <w:w w:val="105"/>
                <w:sz w:val="14"/>
              </w:rPr>
              <w:t>que</w:t>
            </w:r>
            <w:r>
              <w:rPr>
                <w:color w:val="231F20"/>
                <w:spacing w:val="-15"/>
                <w:w w:val="105"/>
                <w:sz w:val="14"/>
              </w:rPr>
              <w:t> </w:t>
            </w:r>
            <w:r>
              <w:rPr>
                <w:color w:val="231F20"/>
                <w:w w:val="105"/>
                <w:sz w:val="14"/>
              </w:rPr>
              <w:t>generen</w:t>
            </w:r>
            <w:r>
              <w:rPr>
                <w:color w:val="231F20"/>
                <w:spacing w:val="-15"/>
                <w:w w:val="105"/>
                <w:sz w:val="14"/>
              </w:rPr>
              <w:t> </w:t>
            </w:r>
            <w:r>
              <w:rPr>
                <w:color w:val="231F20"/>
                <w:w w:val="105"/>
                <w:sz w:val="14"/>
              </w:rPr>
              <w:t>valor</w:t>
            </w:r>
            <w:r>
              <w:rPr>
                <w:color w:val="231F20"/>
                <w:spacing w:val="-15"/>
                <w:w w:val="105"/>
                <w:sz w:val="14"/>
              </w:rPr>
              <w:t> </w:t>
            </w:r>
            <w:r>
              <w:rPr>
                <w:color w:val="231F20"/>
                <w:w w:val="105"/>
                <w:sz w:val="14"/>
              </w:rPr>
              <w:t>de</w:t>
            </w:r>
            <w:r>
              <w:rPr>
                <w:color w:val="231F20"/>
                <w:spacing w:val="-15"/>
                <w:w w:val="105"/>
                <w:sz w:val="14"/>
              </w:rPr>
              <w:t> </w:t>
            </w:r>
            <w:r>
              <w:rPr>
                <w:color w:val="231F20"/>
                <w:w w:val="105"/>
                <w:sz w:val="14"/>
              </w:rPr>
              <w:t>forma</w:t>
            </w:r>
            <w:r>
              <w:rPr>
                <w:color w:val="231F20"/>
                <w:spacing w:val="-15"/>
                <w:w w:val="105"/>
                <w:sz w:val="14"/>
              </w:rPr>
              <w:t> </w:t>
            </w:r>
            <w:r>
              <w:rPr>
                <w:color w:val="231F20"/>
                <w:w w:val="105"/>
                <w:sz w:val="14"/>
              </w:rPr>
              <w:t>crecien- te para sus clientes y otros grupos de interés </w:t>
            </w:r>
            <w:r>
              <w:rPr>
                <w:color w:val="231F20"/>
                <w:sz w:val="14"/>
              </w:rPr>
              <w:t>(EFQM,</w:t>
            </w:r>
            <w:r>
              <w:rPr>
                <w:color w:val="231F20"/>
                <w:spacing w:val="-23"/>
                <w:sz w:val="14"/>
              </w:rPr>
              <w:t> </w:t>
            </w:r>
            <w:r>
              <w:rPr>
                <w:color w:val="231F20"/>
                <w:sz w:val="14"/>
              </w:rPr>
              <w:t>2010).</w:t>
            </w:r>
          </w:p>
        </w:tc>
      </w:tr>
      <w:tr>
        <w:trPr>
          <w:trHeight w:val="972"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3"/>
              <w:jc w:val="both"/>
              <w:rPr>
                <w:sz w:val="14"/>
              </w:rPr>
            </w:pPr>
            <w:r>
              <w:rPr>
                <w:color w:val="231F20"/>
                <w:spacing w:val="-3"/>
                <w:sz w:val="14"/>
              </w:rPr>
              <w:t>Resultados</w:t>
            </w:r>
            <w:r>
              <w:rPr>
                <w:color w:val="231F20"/>
                <w:spacing w:val="-8"/>
                <w:sz w:val="14"/>
              </w:rPr>
              <w:t> </w:t>
            </w:r>
            <w:r>
              <w:rPr>
                <w:color w:val="231F20"/>
                <w:sz w:val="14"/>
              </w:rPr>
              <w:t>en</w:t>
            </w:r>
            <w:r>
              <w:rPr>
                <w:color w:val="231F20"/>
                <w:spacing w:val="-8"/>
                <w:sz w:val="14"/>
              </w:rPr>
              <w:t> </w:t>
            </w:r>
            <w:r>
              <w:rPr>
                <w:color w:val="231F20"/>
                <w:sz w:val="14"/>
              </w:rPr>
              <w:t>las</w:t>
            </w:r>
            <w:r>
              <w:rPr>
                <w:color w:val="231F20"/>
                <w:spacing w:val="-8"/>
                <w:sz w:val="14"/>
              </w:rPr>
              <w:t> </w:t>
            </w:r>
            <w:r>
              <w:rPr>
                <w:color w:val="231F20"/>
                <w:spacing w:val="-3"/>
                <w:sz w:val="14"/>
              </w:rPr>
              <w:t>personas:</w:t>
            </w:r>
            <w:r>
              <w:rPr>
                <w:color w:val="231F20"/>
                <w:spacing w:val="-8"/>
                <w:sz w:val="14"/>
              </w:rPr>
              <w:t> </w:t>
            </w:r>
            <w:r>
              <w:rPr>
                <w:color w:val="231F20"/>
                <w:spacing w:val="-3"/>
                <w:sz w:val="14"/>
              </w:rPr>
              <w:t>cómo</w:t>
            </w:r>
            <w:r>
              <w:rPr>
                <w:color w:val="231F20"/>
                <w:spacing w:val="-8"/>
                <w:sz w:val="14"/>
              </w:rPr>
              <w:t> </w:t>
            </w:r>
            <w:r>
              <w:rPr>
                <w:color w:val="231F20"/>
                <w:sz w:val="14"/>
              </w:rPr>
              <w:t>la</w:t>
            </w:r>
            <w:r>
              <w:rPr>
                <w:color w:val="231F20"/>
                <w:spacing w:val="-8"/>
                <w:sz w:val="14"/>
              </w:rPr>
              <w:t> </w:t>
            </w:r>
            <w:r>
              <w:rPr>
                <w:color w:val="231F20"/>
                <w:spacing w:val="-3"/>
                <w:sz w:val="14"/>
              </w:rPr>
              <w:t>organización </w:t>
            </w:r>
            <w:r>
              <w:rPr>
                <w:color w:val="231F20"/>
                <w:sz w:val="14"/>
              </w:rPr>
              <w:t>mide</w:t>
            </w:r>
            <w:r>
              <w:rPr>
                <w:color w:val="231F20"/>
                <w:spacing w:val="-8"/>
                <w:sz w:val="14"/>
              </w:rPr>
              <w:t> </w:t>
            </w:r>
            <w:r>
              <w:rPr>
                <w:color w:val="231F20"/>
                <w:sz w:val="14"/>
              </w:rPr>
              <w:t>y</w:t>
            </w:r>
            <w:r>
              <w:rPr>
                <w:color w:val="231F20"/>
                <w:spacing w:val="-8"/>
                <w:sz w:val="14"/>
              </w:rPr>
              <w:t> </w:t>
            </w:r>
            <w:r>
              <w:rPr>
                <w:color w:val="231F20"/>
                <w:sz w:val="14"/>
              </w:rPr>
              <w:t>alcanza</w:t>
            </w:r>
            <w:r>
              <w:rPr>
                <w:color w:val="231F20"/>
                <w:spacing w:val="-8"/>
                <w:sz w:val="14"/>
              </w:rPr>
              <w:t> </w:t>
            </w:r>
            <w:r>
              <w:rPr>
                <w:color w:val="231F20"/>
                <w:sz w:val="14"/>
              </w:rPr>
              <w:t>resultados</w:t>
            </w:r>
            <w:r>
              <w:rPr>
                <w:color w:val="231F20"/>
                <w:spacing w:val="-8"/>
                <w:sz w:val="14"/>
              </w:rPr>
              <w:t> </w:t>
            </w:r>
            <w:r>
              <w:rPr>
                <w:color w:val="231F20"/>
                <w:sz w:val="14"/>
              </w:rPr>
              <w:t>sobresalientes</w:t>
            </w:r>
            <w:r>
              <w:rPr>
                <w:color w:val="231F20"/>
                <w:spacing w:val="-8"/>
                <w:sz w:val="14"/>
              </w:rPr>
              <w:t> </w:t>
            </w:r>
            <w:r>
              <w:rPr>
                <w:color w:val="231F20"/>
                <w:sz w:val="14"/>
              </w:rPr>
              <w:t>con</w:t>
            </w:r>
            <w:r>
              <w:rPr>
                <w:color w:val="231F20"/>
                <w:spacing w:val="-8"/>
                <w:sz w:val="14"/>
              </w:rPr>
              <w:t> </w:t>
            </w:r>
            <w:r>
              <w:rPr>
                <w:color w:val="231F20"/>
                <w:sz w:val="14"/>
              </w:rPr>
              <w:t>re- lación</w:t>
            </w:r>
            <w:r>
              <w:rPr>
                <w:color w:val="231F20"/>
                <w:spacing w:val="-11"/>
                <w:sz w:val="14"/>
              </w:rPr>
              <w:t> </w:t>
            </w:r>
            <w:r>
              <w:rPr>
                <w:color w:val="231F20"/>
                <w:sz w:val="14"/>
              </w:rPr>
              <w:t>a</w:t>
            </w:r>
            <w:r>
              <w:rPr>
                <w:color w:val="231F20"/>
                <w:spacing w:val="-11"/>
                <w:sz w:val="14"/>
              </w:rPr>
              <w:t> </w:t>
            </w:r>
            <w:r>
              <w:rPr>
                <w:color w:val="231F20"/>
                <w:sz w:val="14"/>
              </w:rPr>
              <w:t>la</w:t>
            </w:r>
            <w:r>
              <w:rPr>
                <w:color w:val="231F20"/>
                <w:spacing w:val="-11"/>
                <w:sz w:val="14"/>
              </w:rPr>
              <w:t> </w:t>
            </w:r>
            <w:r>
              <w:rPr>
                <w:color w:val="231F20"/>
                <w:sz w:val="14"/>
              </w:rPr>
              <w:t>satisfacción</w:t>
            </w:r>
            <w:r>
              <w:rPr>
                <w:color w:val="231F20"/>
                <w:spacing w:val="-11"/>
                <w:sz w:val="14"/>
              </w:rPr>
              <w:t> </w:t>
            </w:r>
            <w:r>
              <w:rPr>
                <w:color w:val="231F20"/>
                <w:sz w:val="14"/>
              </w:rPr>
              <w:t>de</w:t>
            </w:r>
            <w:r>
              <w:rPr>
                <w:color w:val="231F20"/>
                <w:spacing w:val="-11"/>
                <w:sz w:val="14"/>
              </w:rPr>
              <w:t> </w:t>
            </w:r>
            <w:r>
              <w:rPr>
                <w:color w:val="231F20"/>
                <w:sz w:val="14"/>
              </w:rPr>
              <w:t>sus</w:t>
            </w:r>
            <w:r>
              <w:rPr>
                <w:color w:val="231F20"/>
                <w:spacing w:val="-11"/>
                <w:sz w:val="14"/>
              </w:rPr>
              <w:t> </w:t>
            </w:r>
            <w:r>
              <w:rPr>
                <w:color w:val="231F20"/>
                <w:sz w:val="14"/>
              </w:rPr>
              <w:t>empleados;</w:t>
            </w:r>
            <w:r>
              <w:rPr>
                <w:color w:val="231F20"/>
                <w:spacing w:val="-11"/>
                <w:sz w:val="14"/>
              </w:rPr>
              <w:t> </w:t>
            </w:r>
            <w:r>
              <w:rPr>
                <w:color w:val="231F20"/>
                <w:sz w:val="14"/>
              </w:rPr>
              <w:t>evalúa su</w:t>
            </w:r>
            <w:r>
              <w:rPr>
                <w:color w:val="231F20"/>
                <w:spacing w:val="-8"/>
                <w:sz w:val="14"/>
              </w:rPr>
              <w:t> </w:t>
            </w:r>
            <w:r>
              <w:rPr>
                <w:color w:val="231F20"/>
                <w:sz w:val="14"/>
              </w:rPr>
              <w:t>percepción</w:t>
            </w:r>
            <w:r>
              <w:rPr>
                <w:color w:val="231F20"/>
                <w:spacing w:val="-8"/>
                <w:sz w:val="14"/>
              </w:rPr>
              <w:t> </w:t>
            </w:r>
            <w:r>
              <w:rPr>
                <w:color w:val="231F20"/>
                <w:sz w:val="14"/>
              </w:rPr>
              <w:t>de</w:t>
            </w:r>
            <w:r>
              <w:rPr>
                <w:color w:val="231F20"/>
                <w:spacing w:val="-8"/>
                <w:sz w:val="14"/>
              </w:rPr>
              <w:t> </w:t>
            </w:r>
            <w:r>
              <w:rPr>
                <w:color w:val="231F20"/>
                <w:sz w:val="14"/>
              </w:rPr>
              <w:t>la</w:t>
            </w:r>
            <w:r>
              <w:rPr>
                <w:color w:val="231F20"/>
                <w:spacing w:val="-8"/>
                <w:sz w:val="14"/>
              </w:rPr>
              <w:t> </w:t>
            </w:r>
            <w:r>
              <w:rPr>
                <w:color w:val="231F20"/>
                <w:sz w:val="14"/>
              </w:rPr>
              <w:t>imagen</w:t>
            </w:r>
            <w:r>
              <w:rPr>
                <w:color w:val="231F20"/>
                <w:spacing w:val="-8"/>
                <w:sz w:val="14"/>
              </w:rPr>
              <w:t> </w:t>
            </w:r>
            <w:r>
              <w:rPr>
                <w:color w:val="231F20"/>
                <w:sz w:val="14"/>
              </w:rPr>
              <w:t>de</w:t>
            </w:r>
            <w:r>
              <w:rPr>
                <w:color w:val="231F20"/>
                <w:spacing w:val="-8"/>
                <w:sz w:val="14"/>
              </w:rPr>
              <w:t> </w:t>
            </w:r>
            <w:r>
              <w:rPr>
                <w:color w:val="231F20"/>
                <w:sz w:val="14"/>
              </w:rPr>
              <w:t>la</w:t>
            </w:r>
            <w:r>
              <w:rPr>
                <w:color w:val="231F20"/>
                <w:spacing w:val="-8"/>
                <w:sz w:val="14"/>
              </w:rPr>
              <w:t> </w:t>
            </w:r>
            <w:r>
              <w:rPr>
                <w:color w:val="231F20"/>
                <w:sz w:val="14"/>
              </w:rPr>
              <w:t>empresa,</w:t>
            </w:r>
            <w:r>
              <w:rPr>
                <w:color w:val="231F20"/>
                <w:spacing w:val="-13"/>
                <w:sz w:val="14"/>
              </w:rPr>
              <w:t> </w:t>
            </w:r>
            <w:r>
              <w:rPr>
                <w:color w:val="231F20"/>
                <w:sz w:val="14"/>
              </w:rPr>
              <w:t>entre otros (EFQM,</w:t>
            </w:r>
            <w:r>
              <w:rPr>
                <w:color w:val="231F20"/>
                <w:spacing w:val="-19"/>
                <w:sz w:val="14"/>
              </w:rPr>
              <w:t> </w:t>
            </w:r>
            <w:r>
              <w:rPr>
                <w:color w:val="231F20"/>
                <w:sz w:val="14"/>
              </w:rPr>
              <w:t>2010).</w:t>
            </w:r>
          </w:p>
        </w:tc>
      </w:tr>
      <w:tr>
        <w:trPr>
          <w:trHeight w:val="972"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4"/>
              <w:jc w:val="both"/>
              <w:rPr>
                <w:sz w:val="14"/>
              </w:rPr>
            </w:pPr>
            <w:r>
              <w:rPr>
                <w:color w:val="231F20"/>
                <w:sz w:val="14"/>
              </w:rPr>
              <w:t>Resultados en los clientes: se refiere a cómo la organización mide y alcanza resultados sobre- salientes con relación a la satisfacción de sus clientes a través de su percepción, satisfacción  y fidelidad (EFQM,</w:t>
            </w:r>
            <w:r>
              <w:rPr>
                <w:color w:val="231F20"/>
                <w:spacing w:val="3"/>
                <w:sz w:val="14"/>
              </w:rPr>
              <w:t> </w:t>
            </w:r>
            <w:r>
              <w:rPr>
                <w:color w:val="231F20"/>
                <w:sz w:val="14"/>
              </w:rPr>
              <w:t>2010).</w:t>
            </w:r>
          </w:p>
        </w:tc>
      </w:tr>
      <w:tr>
        <w:trPr>
          <w:trHeight w:val="804"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74"/>
              <w:jc w:val="both"/>
              <w:rPr>
                <w:sz w:val="14"/>
              </w:rPr>
            </w:pPr>
            <w:r>
              <w:rPr>
                <w:color w:val="231F20"/>
                <w:sz w:val="14"/>
              </w:rPr>
              <w:t>Resultados en la sociedad: cómo la </w:t>
            </w:r>
            <w:r>
              <w:rPr>
                <w:color w:val="231F20"/>
                <w:spacing w:val="-3"/>
                <w:sz w:val="14"/>
              </w:rPr>
              <w:t>organización </w:t>
            </w:r>
            <w:r>
              <w:rPr>
                <w:color w:val="231F20"/>
                <w:sz w:val="14"/>
              </w:rPr>
              <w:t>mide</w:t>
            </w:r>
            <w:r>
              <w:rPr>
                <w:color w:val="231F20"/>
                <w:spacing w:val="-8"/>
                <w:sz w:val="14"/>
              </w:rPr>
              <w:t> </w:t>
            </w:r>
            <w:r>
              <w:rPr>
                <w:color w:val="231F20"/>
                <w:sz w:val="14"/>
              </w:rPr>
              <w:t>y</w:t>
            </w:r>
            <w:r>
              <w:rPr>
                <w:color w:val="231F20"/>
                <w:spacing w:val="-8"/>
                <w:sz w:val="14"/>
              </w:rPr>
              <w:t> </w:t>
            </w:r>
            <w:r>
              <w:rPr>
                <w:color w:val="231F20"/>
                <w:sz w:val="14"/>
              </w:rPr>
              <w:t>alcanza</w:t>
            </w:r>
            <w:r>
              <w:rPr>
                <w:color w:val="231F20"/>
                <w:spacing w:val="-8"/>
                <w:sz w:val="14"/>
              </w:rPr>
              <w:t> </w:t>
            </w:r>
            <w:r>
              <w:rPr>
                <w:color w:val="231F20"/>
                <w:sz w:val="14"/>
              </w:rPr>
              <w:t>resultados</w:t>
            </w:r>
            <w:r>
              <w:rPr>
                <w:color w:val="231F20"/>
                <w:spacing w:val="-8"/>
                <w:sz w:val="14"/>
              </w:rPr>
              <w:t> </w:t>
            </w:r>
            <w:r>
              <w:rPr>
                <w:color w:val="231F20"/>
                <w:sz w:val="14"/>
              </w:rPr>
              <w:t>sobresalientes</w:t>
            </w:r>
            <w:r>
              <w:rPr>
                <w:color w:val="231F20"/>
                <w:spacing w:val="-8"/>
                <w:sz w:val="14"/>
              </w:rPr>
              <w:t> </w:t>
            </w:r>
            <w:r>
              <w:rPr>
                <w:color w:val="231F20"/>
                <w:sz w:val="14"/>
              </w:rPr>
              <w:t>con</w:t>
            </w:r>
            <w:r>
              <w:rPr>
                <w:color w:val="231F20"/>
                <w:spacing w:val="-8"/>
                <w:sz w:val="14"/>
              </w:rPr>
              <w:t> </w:t>
            </w:r>
            <w:r>
              <w:rPr>
                <w:color w:val="231F20"/>
                <w:sz w:val="14"/>
              </w:rPr>
              <w:t>re- lación</w:t>
            </w:r>
            <w:r>
              <w:rPr>
                <w:color w:val="231F20"/>
                <w:spacing w:val="-9"/>
                <w:sz w:val="14"/>
              </w:rPr>
              <w:t> </w:t>
            </w:r>
            <w:r>
              <w:rPr>
                <w:color w:val="231F20"/>
                <w:sz w:val="14"/>
              </w:rPr>
              <w:t>a</w:t>
            </w:r>
            <w:r>
              <w:rPr>
                <w:color w:val="231F20"/>
                <w:spacing w:val="-9"/>
                <w:sz w:val="14"/>
              </w:rPr>
              <w:t> </w:t>
            </w:r>
            <w:r>
              <w:rPr>
                <w:color w:val="231F20"/>
                <w:sz w:val="14"/>
              </w:rPr>
              <w:t>la</w:t>
            </w:r>
            <w:r>
              <w:rPr>
                <w:color w:val="231F20"/>
                <w:spacing w:val="-9"/>
                <w:sz w:val="14"/>
              </w:rPr>
              <w:t> </w:t>
            </w:r>
            <w:r>
              <w:rPr>
                <w:color w:val="231F20"/>
                <w:sz w:val="14"/>
              </w:rPr>
              <w:t>satisfacción</w:t>
            </w:r>
            <w:r>
              <w:rPr>
                <w:color w:val="231F20"/>
                <w:spacing w:val="-9"/>
                <w:sz w:val="14"/>
              </w:rPr>
              <w:t> </w:t>
            </w:r>
            <w:r>
              <w:rPr>
                <w:color w:val="231F20"/>
                <w:sz w:val="14"/>
              </w:rPr>
              <w:t>de</w:t>
            </w:r>
            <w:r>
              <w:rPr>
                <w:color w:val="231F20"/>
                <w:spacing w:val="-9"/>
                <w:sz w:val="14"/>
              </w:rPr>
              <w:t> </w:t>
            </w:r>
            <w:r>
              <w:rPr>
                <w:color w:val="231F20"/>
                <w:sz w:val="14"/>
              </w:rPr>
              <w:t>la</w:t>
            </w:r>
            <w:r>
              <w:rPr>
                <w:color w:val="231F20"/>
                <w:spacing w:val="-9"/>
                <w:sz w:val="14"/>
              </w:rPr>
              <w:t> </w:t>
            </w:r>
            <w:r>
              <w:rPr>
                <w:color w:val="231F20"/>
                <w:sz w:val="14"/>
              </w:rPr>
              <w:t>sociedad.</w:t>
            </w:r>
            <w:r>
              <w:rPr>
                <w:color w:val="231F20"/>
                <w:spacing w:val="-13"/>
                <w:sz w:val="14"/>
              </w:rPr>
              <w:t> </w:t>
            </w:r>
            <w:r>
              <w:rPr>
                <w:color w:val="231F20"/>
                <w:sz w:val="14"/>
              </w:rPr>
              <w:t>Evalúa</w:t>
            </w:r>
            <w:r>
              <w:rPr>
                <w:color w:val="231F20"/>
                <w:spacing w:val="-9"/>
                <w:sz w:val="14"/>
              </w:rPr>
              <w:t> </w:t>
            </w:r>
            <w:r>
              <w:rPr>
                <w:color w:val="231F20"/>
                <w:sz w:val="14"/>
              </w:rPr>
              <w:t>los beneficios que ésta recibe (EFQM,</w:t>
            </w:r>
            <w:r>
              <w:rPr>
                <w:color w:val="231F20"/>
                <w:spacing w:val="-3"/>
                <w:sz w:val="14"/>
              </w:rPr>
              <w:t> </w:t>
            </w:r>
            <w:r>
              <w:rPr>
                <w:color w:val="231F20"/>
                <w:sz w:val="14"/>
              </w:rPr>
              <w:t>2010).</w:t>
            </w:r>
          </w:p>
        </w:tc>
      </w:tr>
      <w:tr>
        <w:trPr>
          <w:trHeight w:val="1140" w:hRule="exact"/>
        </w:trPr>
        <w:tc>
          <w:tcPr>
            <w:tcW w:w="1469" w:type="dxa"/>
            <w:vMerge/>
            <w:textDirection w:val="btLr"/>
          </w:tcPr>
          <w:p>
            <w:pPr/>
          </w:p>
        </w:tc>
        <w:tc>
          <w:tcPr>
            <w:tcW w:w="2270" w:type="dxa"/>
            <w:vMerge/>
          </w:tcPr>
          <w:p>
            <w:pPr/>
          </w:p>
        </w:tc>
        <w:tc>
          <w:tcPr>
            <w:tcW w:w="3167" w:type="dxa"/>
          </w:tcPr>
          <w:p>
            <w:pPr>
              <w:pStyle w:val="TableParagraph"/>
              <w:spacing w:line="249" w:lineRule="auto" w:before="86"/>
              <w:ind w:left="77" w:right="69"/>
              <w:jc w:val="both"/>
              <w:rPr>
                <w:sz w:val="14"/>
              </w:rPr>
            </w:pPr>
            <w:r>
              <w:rPr>
                <w:color w:val="231F20"/>
                <w:w w:val="105"/>
                <w:sz w:val="14"/>
              </w:rPr>
              <w:t>Resultados</w:t>
            </w:r>
            <w:r>
              <w:rPr>
                <w:color w:val="231F20"/>
                <w:spacing w:val="-21"/>
                <w:w w:val="105"/>
                <w:sz w:val="14"/>
              </w:rPr>
              <w:t> </w:t>
            </w:r>
            <w:r>
              <w:rPr>
                <w:color w:val="231F20"/>
                <w:w w:val="105"/>
                <w:sz w:val="14"/>
              </w:rPr>
              <w:t>clave:</w:t>
            </w:r>
            <w:r>
              <w:rPr>
                <w:color w:val="231F20"/>
                <w:spacing w:val="-21"/>
                <w:w w:val="105"/>
                <w:sz w:val="14"/>
              </w:rPr>
              <w:t> </w:t>
            </w:r>
            <w:r>
              <w:rPr>
                <w:color w:val="231F20"/>
                <w:w w:val="105"/>
                <w:sz w:val="14"/>
              </w:rPr>
              <w:t>se</w:t>
            </w:r>
            <w:r>
              <w:rPr>
                <w:color w:val="231F20"/>
                <w:spacing w:val="-21"/>
                <w:w w:val="105"/>
                <w:sz w:val="14"/>
              </w:rPr>
              <w:t> </w:t>
            </w:r>
            <w:r>
              <w:rPr>
                <w:color w:val="231F20"/>
                <w:w w:val="105"/>
                <w:sz w:val="14"/>
              </w:rPr>
              <w:t>refiere</w:t>
            </w:r>
            <w:r>
              <w:rPr>
                <w:color w:val="231F20"/>
                <w:spacing w:val="-21"/>
                <w:w w:val="105"/>
                <w:sz w:val="14"/>
              </w:rPr>
              <w:t> </w:t>
            </w:r>
            <w:r>
              <w:rPr>
                <w:color w:val="231F20"/>
                <w:w w:val="105"/>
                <w:sz w:val="14"/>
              </w:rPr>
              <w:t>a</w:t>
            </w:r>
            <w:r>
              <w:rPr>
                <w:color w:val="231F20"/>
                <w:spacing w:val="-21"/>
                <w:w w:val="105"/>
                <w:sz w:val="14"/>
              </w:rPr>
              <w:t> </w:t>
            </w:r>
            <w:r>
              <w:rPr>
                <w:color w:val="231F20"/>
                <w:w w:val="105"/>
                <w:sz w:val="14"/>
              </w:rPr>
              <w:t>cómo</w:t>
            </w:r>
            <w:r>
              <w:rPr>
                <w:color w:val="231F20"/>
                <w:spacing w:val="-21"/>
                <w:w w:val="105"/>
                <w:sz w:val="14"/>
              </w:rPr>
              <w:t> </w:t>
            </w:r>
            <w:r>
              <w:rPr>
                <w:color w:val="231F20"/>
                <w:w w:val="105"/>
                <w:sz w:val="14"/>
              </w:rPr>
              <w:t>la</w:t>
            </w:r>
            <w:r>
              <w:rPr>
                <w:color w:val="231F20"/>
                <w:spacing w:val="-21"/>
                <w:w w:val="105"/>
                <w:sz w:val="14"/>
              </w:rPr>
              <w:t> </w:t>
            </w:r>
            <w:r>
              <w:rPr>
                <w:color w:val="231F20"/>
                <w:w w:val="105"/>
                <w:sz w:val="14"/>
              </w:rPr>
              <w:t>organiza- ción</w:t>
            </w:r>
            <w:r>
              <w:rPr>
                <w:color w:val="231F20"/>
                <w:spacing w:val="-23"/>
                <w:w w:val="105"/>
                <w:sz w:val="14"/>
              </w:rPr>
              <w:t> </w:t>
            </w:r>
            <w:r>
              <w:rPr>
                <w:color w:val="231F20"/>
                <w:w w:val="105"/>
                <w:sz w:val="14"/>
              </w:rPr>
              <w:t>mide</w:t>
            </w:r>
            <w:r>
              <w:rPr>
                <w:color w:val="231F20"/>
                <w:spacing w:val="-23"/>
                <w:w w:val="105"/>
                <w:sz w:val="14"/>
              </w:rPr>
              <w:t> </w:t>
            </w:r>
            <w:r>
              <w:rPr>
                <w:color w:val="231F20"/>
                <w:w w:val="105"/>
                <w:sz w:val="14"/>
              </w:rPr>
              <w:t>y</w:t>
            </w:r>
            <w:r>
              <w:rPr>
                <w:color w:val="231F20"/>
                <w:spacing w:val="-23"/>
                <w:w w:val="105"/>
                <w:sz w:val="14"/>
              </w:rPr>
              <w:t> </w:t>
            </w:r>
            <w:r>
              <w:rPr>
                <w:color w:val="231F20"/>
                <w:w w:val="105"/>
                <w:sz w:val="14"/>
              </w:rPr>
              <w:t>qué</w:t>
            </w:r>
            <w:r>
              <w:rPr>
                <w:color w:val="231F20"/>
                <w:spacing w:val="-23"/>
                <w:w w:val="105"/>
                <w:sz w:val="14"/>
              </w:rPr>
              <w:t> </w:t>
            </w:r>
            <w:r>
              <w:rPr>
                <w:color w:val="231F20"/>
                <w:w w:val="105"/>
                <w:sz w:val="14"/>
              </w:rPr>
              <w:t>resultados</w:t>
            </w:r>
            <w:r>
              <w:rPr>
                <w:color w:val="231F20"/>
                <w:spacing w:val="-23"/>
                <w:w w:val="105"/>
                <w:sz w:val="14"/>
              </w:rPr>
              <w:t> </w:t>
            </w:r>
            <w:r>
              <w:rPr>
                <w:color w:val="231F20"/>
                <w:w w:val="105"/>
                <w:sz w:val="14"/>
              </w:rPr>
              <w:t>alcanza</w:t>
            </w:r>
            <w:r>
              <w:rPr>
                <w:color w:val="231F20"/>
                <w:spacing w:val="-23"/>
                <w:w w:val="105"/>
                <w:sz w:val="14"/>
              </w:rPr>
              <w:t> </w:t>
            </w:r>
            <w:r>
              <w:rPr>
                <w:color w:val="231F20"/>
                <w:w w:val="105"/>
                <w:sz w:val="14"/>
              </w:rPr>
              <w:t>en</w:t>
            </w:r>
            <w:r>
              <w:rPr>
                <w:color w:val="231F20"/>
                <w:spacing w:val="-23"/>
                <w:w w:val="105"/>
                <w:sz w:val="14"/>
              </w:rPr>
              <w:t> </w:t>
            </w:r>
            <w:r>
              <w:rPr>
                <w:color w:val="231F20"/>
                <w:w w:val="105"/>
                <w:sz w:val="14"/>
              </w:rPr>
              <w:t>relación</w:t>
            </w:r>
            <w:r>
              <w:rPr>
                <w:color w:val="231F20"/>
                <w:spacing w:val="-23"/>
                <w:w w:val="105"/>
                <w:sz w:val="14"/>
              </w:rPr>
              <w:t> </w:t>
            </w:r>
            <w:r>
              <w:rPr>
                <w:color w:val="231F20"/>
                <w:w w:val="105"/>
                <w:sz w:val="14"/>
              </w:rPr>
              <w:t>a </w:t>
            </w:r>
            <w:r>
              <w:rPr>
                <w:color w:val="231F20"/>
                <w:spacing w:val="-3"/>
                <w:w w:val="105"/>
                <w:sz w:val="14"/>
              </w:rPr>
              <w:t>ciertos</w:t>
            </w:r>
            <w:r>
              <w:rPr>
                <w:color w:val="231F20"/>
                <w:spacing w:val="-17"/>
                <w:w w:val="105"/>
                <w:sz w:val="14"/>
              </w:rPr>
              <w:t> </w:t>
            </w:r>
            <w:r>
              <w:rPr>
                <w:color w:val="231F20"/>
                <w:spacing w:val="-4"/>
                <w:w w:val="105"/>
                <w:sz w:val="14"/>
              </w:rPr>
              <w:t>parámetros</w:t>
            </w:r>
            <w:r>
              <w:rPr>
                <w:color w:val="231F20"/>
                <w:spacing w:val="-17"/>
                <w:w w:val="105"/>
                <w:sz w:val="14"/>
              </w:rPr>
              <w:t> </w:t>
            </w:r>
            <w:r>
              <w:rPr>
                <w:color w:val="231F20"/>
                <w:spacing w:val="-3"/>
                <w:w w:val="105"/>
                <w:sz w:val="14"/>
              </w:rPr>
              <w:t>económicos</w:t>
            </w:r>
            <w:r>
              <w:rPr>
                <w:color w:val="231F20"/>
                <w:spacing w:val="-17"/>
                <w:w w:val="105"/>
                <w:sz w:val="14"/>
              </w:rPr>
              <w:t> </w:t>
            </w:r>
            <w:r>
              <w:rPr>
                <w:color w:val="231F20"/>
                <w:w w:val="105"/>
                <w:sz w:val="14"/>
              </w:rPr>
              <w:t>y</w:t>
            </w:r>
            <w:r>
              <w:rPr>
                <w:color w:val="231F20"/>
                <w:spacing w:val="-17"/>
                <w:w w:val="105"/>
                <w:sz w:val="14"/>
              </w:rPr>
              <w:t> </w:t>
            </w:r>
            <w:r>
              <w:rPr>
                <w:color w:val="231F20"/>
                <w:w w:val="105"/>
                <w:sz w:val="14"/>
              </w:rPr>
              <w:t>de</w:t>
            </w:r>
            <w:r>
              <w:rPr>
                <w:color w:val="231F20"/>
                <w:spacing w:val="-17"/>
                <w:w w:val="105"/>
                <w:sz w:val="14"/>
              </w:rPr>
              <w:t> </w:t>
            </w:r>
            <w:r>
              <w:rPr>
                <w:color w:val="231F20"/>
                <w:spacing w:val="-4"/>
                <w:w w:val="105"/>
                <w:sz w:val="14"/>
              </w:rPr>
              <w:t>rendimiento, </w:t>
            </w:r>
            <w:r>
              <w:rPr>
                <w:color w:val="231F20"/>
                <w:w w:val="105"/>
                <w:sz w:val="14"/>
              </w:rPr>
              <w:t>comparándolos</w:t>
            </w:r>
            <w:r>
              <w:rPr>
                <w:color w:val="231F20"/>
                <w:spacing w:val="-12"/>
                <w:w w:val="105"/>
                <w:sz w:val="14"/>
              </w:rPr>
              <w:t> </w:t>
            </w:r>
            <w:r>
              <w:rPr>
                <w:color w:val="231F20"/>
                <w:w w:val="105"/>
                <w:sz w:val="14"/>
              </w:rPr>
              <w:t>con</w:t>
            </w:r>
            <w:r>
              <w:rPr>
                <w:color w:val="231F20"/>
                <w:spacing w:val="-12"/>
                <w:w w:val="105"/>
                <w:sz w:val="14"/>
              </w:rPr>
              <w:t> </w:t>
            </w:r>
            <w:r>
              <w:rPr>
                <w:color w:val="231F20"/>
                <w:w w:val="105"/>
                <w:sz w:val="14"/>
              </w:rPr>
              <w:t>los</w:t>
            </w:r>
            <w:r>
              <w:rPr>
                <w:color w:val="231F20"/>
                <w:spacing w:val="-12"/>
                <w:w w:val="105"/>
                <w:sz w:val="14"/>
              </w:rPr>
              <w:t> </w:t>
            </w:r>
            <w:r>
              <w:rPr>
                <w:color w:val="231F20"/>
                <w:w w:val="105"/>
                <w:sz w:val="14"/>
              </w:rPr>
              <w:t>objetivos</w:t>
            </w:r>
            <w:r>
              <w:rPr>
                <w:color w:val="231F20"/>
                <w:spacing w:val="-12"/>
                <w:w w:val="105"/>
                <w:sz w:val="14"/>
              </w:rPr>
              <w:t> </w:t>
            </w:r>
            <w:r>
              <w:rPr>
                <w:color w:val="231F20"/>
                <w:w w:val="105"/>
                <w:sz w:val="14"/>
              </w:rPr>
              <w:t>y</w:t>
            </w:r>
            <w:r>
              <w:rPr>
                <w:color w:val="231F20"/>
                <w:spacing w:val="-12"/>
                <w:w w:val="105"/>
                <w:sz w:val="14"/>
              </w:rPr>
              <w:t> </w:t>
            </w:r>
            <w:r>
              <w:rPr>
                <w:color w:val="231F20"/>
                <w:w w:val="105"/>
                <w:sz w:val="14"/>
              </w:rPr>
              <w:t>planes</w:t>
            </w:r>
            <w:r>
              <w:rPr>
                <w:color w:val="231F20"/>
                <w:spacing w:val="-12"/>
                <w:w w:val="105"/>
                <w:sz w:val="14"/>
              </w:rPr>
              <w:t> </w:t>
            </w:r>
            <w:r>
              <w:rPr>
                <w:color w:val="231F20"/>
                <w:w w:val="105"/>
                <w:sz w:val="14"/>
              </w:rPr>
              <w:t>de</w:t>
            </w:r>
            <w:r>
              <w:rPr>
                <w:color w:val="231F20"/>
                <w:spacing w:val="-12"/>
                <w:w w:val="105"/>
                <w:sz w:val="14"/>
              </w:rPr>
              <w:t> </w:t>
            </w:r>
            <w:r>
              <w:rPr>
                <w:color w:val="231F20"/>
                <w:w w:val="105"/>
                <w:sz w:val="14"/>
              </w:rPr>
              <w:t>la compañía</w:t>
            </w:r>
            <w:r>
              <w:rPr>
                <w:color w:val="231F20"/>
                <w:spacing w:val="-22"/>
                <w:w w:val="105"/>
                <w:sz w:val="14"/>
              </w:rPr>
              <w:t> </w:t>
            </w:r>
            <w:r>
              <w:rPr>
                <w:color w:val="231F20"/>
                <w:w w:val="105"/>
                <w:sz w:val="14"/>
              </w:rPr>
              <w:t>con</w:t>
            </w:r>
            <w:r>
              <w:rPr>
                <w:color w:val="231F20"/>
                <w:spacing w:val="-22"/>
                <w:w w:val="105"/>
                <w:sz w:val="14"/>
              </w:rPr>
              <w:t> </w:t>
            </w:r>
            <w:r>
              <w:rPr>
                <w:color w:val="231F20"/>
                <w:w w:val="105"/>
                <w:sz w:val="14"/>
              </w:rPr>
              <w:t>la</w:t>
            </w:r>
            <w:r>
              <w:rPr>
                <w:color w:val="231F20"/>
                <w:spacing w:val="-22"/>
                <w:w w:val="105"/>
                <w:sz w:val="14"/>
              </w:rPr>
              <w:t> </w:t>
            </w:r>
            <w:r>
              <w:rPr>
                <w:color w:val="231F20"/>
                <w:w w:val="105"/>
                <w:sz w:val="14"/>
              </w:rPr>
              <w:t>finalidad</w:t>
            </w:r>
            <w:r>
              <w:rPr>
                <w:color w:val="231F20"/>
                <w:spacing w:val="-22"/>
                <w:w w:val="105"/>
                <w:sz w:val="14"/>
              </w:rPr>
              <w:t> </w:t>
            </w:r>
            <w:r>
              <w:rPr>
                <w:color w:val="231F20"/>
                <w:w w:val="105"/>
                <w:sz w:val="14"/>
              </w:rPr>
              <w:t>de</w:t>
            </w:r>
            <w:r>
              <w:rPr>
                <w:color w:val="231F20"/>
                <w:spacing w:val="-22"/>
                <w:w w:val="105"/>
                <w:sz w:val="14"/>
              </w:rPr>
              <w:t> </w:t>
            </w:r>
            <w:r>
              <w:rPr>
                <w:color w:val="231F20"/>
                <w:w w:val="105"/>
                <w:sz w:val="14"/>
              </w:rPr>
              <w:t>analizar</w:t>
            </w:r>
            <w:r>
              <w:rPr>
                <w:color w:val="231F20"/>
                <w:spacing w:val="-22"/>
                <w:w w:val="105"/>
                <w:sz w:val="14"/>
              </w:rPr>
              <w:t> </w:t>
            </w:r>
            <w:r>
              <w:rPr>
                <w:color w:val="231F20"/>
                <w:w w:val="105"/>
                <w:sz w:val="14"/>
              </w:rPr>
              <w:t>su</w:t>
            </w:r>
            <w:r>
              <w:rPr>
                <w:color w:val="231F20"/>
                <w:spacing w:val="-22"/>
                <w:w w:val="105"/>
                <w:sz w:val="14"/>
              </w:rPr>
              <w:t> </w:t>
            </w:r>
            <w:r>
              <w:rPr>
                <w:color w:val="231F20"/>
                <w:w w:val="105"/>
                <w:sz w:val="14"/>
              </w:rPr>
              <w:t>nivel</w:t>
            </w:r>
            <w:r>
              <w:rPr>
                <w:color w:val="231F20"/>
                <w:spacing w:val="-22"/>
                <w:w w:val="105"/>
                <w:sz w:val="14"/>
              </w:rPr>
              <w:t> </w:t>
            </w:r>
            <w:r>
              <w:rPr>
                <w:color w:val="231F20"/>
                <w:w w:val="105"/>
                <w:sz w:val="14"/>
              </w:rPr>
              <w:t>de </w:t>
            </w:r>
            <w:r>
              <w:rPr>
                <w:color w:val="231F20"/>
                <w:sz w:val="14"/>
              </w:rPr>
              <w:t>cumplimiento (EFQM,</w:t>
            </w:r>
            <w:r>
              <w:rPr>
                <w:color w:val="231F20"/>
                <w:spacing w:val="19"/>
                <w:sz w:val="14"/>
              </w:rPr>
              <w:t> </w:t>
            </w:r>
            <w:r>
              <w:rPr>
                <w:color w:val="231F20"/>
                <w:sz w:val="14"/>
              </w:rPr>
              <w:t>2010).</w:t>
            </w:r>
          </w:p>
        </w:tc>
      </w:tr>
    </w:tbl>
    <w:p>
      <w:pPr>
        <w:spacing w:before="18"/>
        <w:ind w:left="117" w:right="17" w:firstLine="0"/>
        <w:jc w:val="left"/>
        <w:rPr>
          <w:sz w:val="16"/>
        </w:rPr>
      </w:pPr>
      <w:r>
        <w:rPr>
          <w:color w:val="231F20"/>
          <w:sz w:val="16"/>
        </w:rPr>
        <w:t>Fuente: Demuner, 2010.</w:t>
      </w:r>
    </w:p>
    <w:p>
      <w:pPr>
        <w:spacing w:after="0"/>
        <w:jc w:val="left"/>
        <w:rPr>
          <w:sz w:val="16"/>
        </w:rPr>
        <w:sectPr>
          <w:pgSz w:w="9640" w:h="13890"/>
          <w:pgMar w:top="0" w:bottom="280" w:left="1300" w:right="1200"/>
        </w:sectPr>
      </w:pPr>
    </w:p>
    <w:p>
      <w:pPr>
        <w:spacing w:line="249" w:lineRule="auto" w:before="118"/>
        <w:ind w:left="2185" w:right="504" w:hanging="1611"/>
        <w:jc w:val="left"/>
        <w:rPr>
          <w:sz w:val="18"/>
        </w:rPr>
      </w:pPr>
      <w:r>
        <w:rPr>
          <w:color w:val="231F20"/>
          <w:w w:val="105"/>
          <w:sz w:val="18"/>
        </w:rPr>
        <w:t>Figura 7. Definición conceptual y operacional de los determinantes de la competitividad empresarial (3/3).</w:t>
      </w:r>
    </w:p>
    <w:p>
      <w:pPr>
        <w:pStyle w:val="BodyText"/>
        <w:spacing w:before="9"/>
        <w:rPr>
          <w:sz w:val="12"/>
        </w:rPr>
      </w:pPr>
    </w:p>
    <w:tbl>
      <w:tblPr>
        <w:tblW w:w="0" w:type="auto"/>
        <w:jc w:val="left"/>
        <w:tblInd w:w="10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639"/>
        <w:gridCol w:w="2460"/>
        <w:gridCol w:w="2803"/>
      </w:tblGrid>
      <w:tr>
        <w:trPr>
          <w:trHeight w:val="340" w:hRule="exact"/>
        </w:trPr>
        <w:tc>
          <w:tcPr>
            <w:tcW w:w="1639" w:type="dxa"/>
          </w:tcPr>
          <w:p>
            <w:pPr>
              <w:pStyle w:val="TableParagraph"/>
              <w:spacing w:before="88"/>
              <w:ind w:left="210"/>
              <w:rPr>
                <w:sz w:val="18"/>
              </w:rPr>
            </w:pPr>
            <w:r>
              <w:rPr>
                <w:color w:val="231F20"/>
                <w:w w:val="105"/>
                <w:sz w:val="18"/>
              </w:rPr>
              <w:t>Determinantes</w:t>
            </w:r>
          </w:p>
        </w:tc>
        <w:tc>
          <w:tcPr>
            <w:tcW w:w="2460" w:type="dxa"/>
          </w:tcPr>
          <w:p>
            <w:pPr>
              <w:pStyle w:val="TableParagraph"/>
              <w:spacing w:before="88"/>
              <w:ind w:left="332"/>
              <w:rPr>
                <w:sz w:val="18"/>
              </w:rPr>
            </w:pPr>
            <w:r>
              <w:rPr>
                <w:color w:val="231F20"/>
                <w:w w:val="105"/>
                <w:sz w:val="18"/>
              </w:rPr>
              <w:t>Definición conceptual</w:t>
            </w:r>
          </w:p>
        </w:tc>
        <w:tc>
          <w:tcPr>
            <w:tcW w:w="2803" w:type="dxa"/>
          </w:tcPr>
          <w:p>
            <w:pPr>
              <w:pStyle w:val="TableParagraph"/>
              <w:spacing w:before="88"/>
              <w:ind w:left="472" w:right="-1"/>
              <w:rPr>
                <w:sz w:val="18"/>
              </w:rPr>
            </w:pPr>
            <w:r>
              <w:rPr>
                <w:color w:val="231F20"/>
                <w:w w:val="105"/>
                <w:sz w:val="18"/>
              </w:rPr>
              <w:t>Definición operacional</w:t>
            </w:r>
          </w:p>
        </w:tc>
      </w:tr>
      <w:tr>
        <w:trPr>
          <w:trHeight w:val="1636" w:hRule="exact"/>
        </w:trPr>
        <w:tc>
          <w:tcPr>
            <w:tcW w:w="1639" w:type="dxa"/>
            <w:vMerge w:val="restart"/>
            <w:textDirection w:val="btLr"/>
          </w:tcPr>
          <w:p>
            <w:pPr>
              <w:pStyle w:val="TableParagraph"/>
              <w:rPr>
                <w:sz w:val="18"/>
              </w:rPr>
            </w:pPr>
          </w:p>
          <w:p>
            <w:pPr>
              <w:pStyle w:val="TableParagraph"/>
              <w:rPr>
                <w:sz w:val="18"/>
              </w:rPr>
            </w:pPr>
          </w:p>
          <w:p>
            <w:pPr>
              <w:pStyle w:val="TableParagraph"/>
              <w:rPr>
                <w:sz w:val="18"/>
              </w:rPr>
            </w:pPr>
          </w:p>
          <w:p>
            <w:pPr>
              <w:pStyle w:val="TableParagraph"/>
              <w:spacing w:before="117"/>
              <w:ind w:left="770"/>
              <w:rPr>
                <w:sz w:val="18"/>
              </w:rPr>
            </w:pPr>
            <w:r>
              <w:rPr>
                <w:color w:val="231F20"/>
                <w:spacing w:val="-1"/>
                <w:w w:val="103"/>
                <w:sz w:val="18"/>
              </w:rPr>
              <w:t>Gestió</w:t>
            </w:r>
            <w:r>
              <w:rPr>
                <w:color w:val="231F20"/>
                <w:w w:val="103"/>
                <w:sz w:val="18"/>
              </w:rPr>
              <w:t>n</w:t>
            </w:r>
            <w:r>
              <w:rPr>
                <w:color w:val="231F20"/>
                <w:spacing w:val="-7"/>
                <w:sz w:val="18"/>
              </w:rPr>
              <w:t> </w:t>
            </w:r>
            <w:r>
              <w:rPr>
                <w:color w:val="231F20"/>
                <w:spacing w:val="-1"/>
                <w:w w:val="103"/>
                <w:sz w:val="18"/>
              </w:rPr>
              <w:t>financie</w:t>
            </w:r>
            <w:r>
              <w:rPr>
                <w:color w:val="231F20"/>
                <w:spacing w:val="-4"/>
                <w:w w:val="103"/>
                <w:sz w:val="18"/>
              </w:rPr>
              <w:t>r</w:t>
            </w:r>
            <w:r>
              <w:rPr>
                <w:color w:val="231F20"/>
                <w:spacing w:val="-1"/>
                <w:w w:val="95"/>
                <w:sz w:val="18"/>
              </w:rPr>
              <w:t>a.</w:t>
            </w:r>
          </w:p>
        </w:tc>
        <w:tc>
          <w:tcPr>
            <w:tcW w:w="2460" w:type="dxa"/>
            <w:vMerge w:val="restart"/>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16"/>
              </w:rPr>
            </w:pPr>
          </w:p>
          <w:p>
            <w:pPr>
              <w:pStyle w:val="TableParagraph"/>
              <w:spacing w:line="249" w:lineRule="auto"/>
              <w:ind w:left="77" w:right="75"/>
              <w:jc w:val="both"/>
              <w:rPr>
                <w:sz w:val="18"/>
              </w:rPr>
            </w:pPr>
            <w:r>
              <w:rPr>
                <w:color w:val="231F20"/>
                <w:spacing w:val="2"/>
                <w:w w:val="105"/>
                <w:sz w:val="18"/>
              </w:rPr>
              <w:t>Identifica </w:t>
            </w:r>
            <w:r>
              <w:rPr>
                <w:color w:val="231F20"/>
                <w:w w:val="105"/>
                <w:sz w:val="18"/>
              </w:rPr>
              <w:t>las </w:t>
            </w:r>
            <w:r>
              <w:rPr>
                <w:color w:val="231F20"/>
                <w:spacing w:val="2"/>
                <w:w w:val="105"/>
                <w:sz w:val="18"/>
              </w:rPr>
              <w:t>acciones eje- </w:t>
            </w:r>
            <w:r>
              <w:rPr>
                <w:color w:val="231F20"/>
                <w:spacing w:val="3"/>
                <w:w w:val="105"/>
                <w:sz w:val="18"/>
              </w:rPr>
              <w:t>cutadas </w:t>
            </w:r>
            <w:r>
              <w:rPr>
                <w:color w:val="231F20"/>
                <w:w w:val="105"/>
                <w:sz w:val="18"/>
              </w:rPr>
              <w:t>y </w:t>
            </w:r>
            <w:r>
              <w:rPr>
                <w:color w:val="231F20"/>
                <w:spacing w:val="3"/>
                <w:w w:val="105"/>
                <w:sz w:val="18"/>
              </w:rPr>
              <w:t>planeadas </w:t>
            </w:r>
            <w:r>
              <w:rPr>
                <w:color w:val="231F20"/>
                <w:spacing w:val="2"/>
                <w:w w:val="105"/>
                <w:sz w:val="18"/>
              </w:rPr>
              <w:t>para </w:t>
            </w:r>
            <w:r>
              <w:rPr>
                <w:color w:val="231F20"/>
                <w:w w:val="105"/>
                <w:sz w:val="18"/>
              </w:rPr>
              <w:t>la administración de los re- cursos</w:t>
            </w:r>
            <w:r>
              <w:rPr>
                <w:color w:val="231F20"/>
                <w:spacing w:val="-21"/>
                <w:w w:val="105"/>
                <w:sz w:val="18"/>
              </w:rPr>
              <w:t> </w:t>
            </w:r>
            <w:r>
              <w:rPr>
                <w:color w:val="231F20"/>
                <w:w w:val="105"/>
                <w:sz w:val="18"/>
              </w:rPr>
              <w:t>financieros</w:t>
            </w:r>
            <w:r>
              <w:rPr>
                <w:color w:val="231F20"/>
                <w:spacing w:val="-21"/>
                <w:w w:val="105"/>
                <w:sz w:val="18"/>
              </w:rPr>
              <w:t> </w:t>
            </w:r>
            <w:r>
              <w:rPr>
                <w:color w:val="231F20"/>
                <w:w w:val="105"/>
                <w:sz w:val="18"/>
              </w:rPr>
              <w:t>(Besley</w:t>
            </w:r>
            <w:r>
              <w:rPr>
                <w:color w:val="231F20"/>
                <w:spacing w:val="-21"/>
                <w:w w:val="105"/>
                <w:sz w:val="18"/>
              </w:rPr>
              <w:t> </w:t>
            </w:r>
            <w:r>
              <w:rPr>
                <w:color w:val="231F20"/>
                <w:w w:val="105"/>
                <w:sz w:val="18"/>
              </w:rPr>
              <w:t>y </w:t>
            </w:r>
            <w:r>
              <w:rPr>
                <w:color w:val="231F20"/>
                <w:sz w:val="18"/>
              </w:rPr>
              <w:t>Brigham,</w:t>
            </w:r>
            <w:r>
              <w:rPr>
                <w:color w:val="231F20"/>
                <w:spacing w:val="6"/>
                <w:sz w:val="18"/>
              </w:rPr>
              <w:t> </w:t>
            </w:r>
            <w:r>
              <w:rPr>
                <w:color w:val="231F20"/>
                <w:sz w:val="18"/>
              </w:rPr>
              <w:t>2002).</w:t>
            </w:r>
          </w:p>
        </w:tc>
        <w:tc>
          <w:tcPr>
            <w:tcW w:w="2803" w:type="dxa"/>
          </w:tcPr>
          <w:p>
            <w:pPr>
              <w:pStyle w:val="TableParagraph"/>
              <w:spacing w:line="249" w:lineRule="auto" w:before="88"/>
              <w:ind w:left="77" w:right="75"/>
              <w:jc w:val="both"/>
              <w:rPr>
                <w:sz w:val="18"/>
              </w:rPr>
            </w:pPr>
            <w:r>
              <w:rPr>
                <w:color w:val="231F20"/>
                <w:w w:val="105"/>
                <w:sz w:val="18"/>
              </w:rPr>
              <w:t>Gestión de apoyos: incluye los medios utilizados para la</w:t>
            </w:r>
            <w:r>
              <w:rPr>
                <w:color w:val="231F20"/>
                <w:spacing w:val="-29"/>
                <w:w w:val="105"/>
                <w:sz w:val="18"/>
              </w:rPr>
              <w:t> </w:t>
            </w:r>
            <w:r>
              <w:rPr>
                <w:color w:val="231F20"/>
                <w:w w:val="105"/>
                <w:sz w:val="18"/>
              </w:rPr>
              <w:t>obten- ción de recursos; comprende el </w:t>
            </w:r>
            <w:r>
              <w:rPr>
                <w:color w:val="231F20"/>
                <w:spacing w:val="-4"/>
                <w:w w:val="105"/>
                <w:sz w:val="18"/>
              </w:rPr>
              <w:t>conocimiento </w:t>
            </w:r>
            <w:r>
              <w:rPr>
                <w:color w:val="231F20"/>
                <w:w w:val="105"/>
                <w:sz w:val="18"/>
              </w:rPr>
              <w:t>y </w:t>
            </w:r>
            <w:r>
              <w:rPr>
                <w:color w:val="231F20"/>
                <w:spacing w:val="-5"/>
                <w:w w:val="105"/>
                <w:sz w:val="18"/>
              </w:rPr>
              <w:t>aprovechamiento </w:t>
            </w:r>
            <w:r>
              <w:rPr>
                <w:color w:val="231F20"/>
                <w:w w:val="105"/>
                <w:sz w:val="18"/>
              </w:rPr>
              <w:t>de los programas de apoyo gu- bernamental</w:t>
            </w:r>
            <w:r>
              <w:rPr>
                <w:color w:val="231F20"/>
                <w:spacing w:val="-30"/>
                <w:w w:val="105"/>
                <w:sz w:val="18"/>
              </w:rPr>
              <w:t> </w:t>
            </w:r>
            <w:r>
              <w:rPr>
                <w:color w:val="231F20"/>
                <w:w w:val="105"/>
                <w:sz w:val="18"/>
              </w:rPr>
              <w:t>y</w:t>
            </w:r>
            <w:r>
              <w:rPr>
                <w:color w:val="231F20"/>
                <w:spacing w:val="-30"/>
                <w:w w:val="105"/>
                <w:sz w:val="18"/>
              </w:rPr>
              <w:t> </w:t>
            </w:r>
            <w:r>
              <w:rPr>
                <w:color w:val="231F20"/>
                <w:w w:val="105"/>
                <w:sz w:val="18"/>
              </w:rPr>
              <w:t>el</w:t>
            </w:r>
            <w:r>
              <w:rPr>
                <w:color w:val="231F20"/>
                <w:spacing w:val="-30"/>
                <w:w w:val="105"/>
                <w:sz w:val="18"/>
              </w:rPr>
              <w:t> </w:t>
            </w:r>
            <w:r>
              <w:rPr>
                <w:color w:val="231F20"/>
                <w:w w:val="105"/>
                <w:sz w:val="18"/>
              </w:rPr>
              <w:t>uso</w:t>
            </w:r>
            <w:r>
              <w:rPr>
                <w:color w:val="231F20"/>
                <w:spacing w:val="-30"/>
                <w:w w:val="105"/>
                <w:sz w:val="18"/>
              </w:rPr>
              <w:t> </w:t>
            </w:r>
            <w:r>
              <w:rPr>
                <w:color w:val="231F20"/>
                <w:w w:val="105"/>
                <w:sz w:val="18"/>
              </w:rPr>
              <w:t>que</w:t>
            </w:r>
            <w:r>
              <w:rPr>
                <w:color w:val="231F20"/>
                <w:spacing w:val="-30"/>
                <w:w w:val="105"/>
                <w:sz w:val="18"/>
              </w:rPr>
              <w:t> </w:t>
            </w:r>
            <w:r>
              <w:rPr>
                <w:color w:val="231F20"/>
                <w:w w:val="105"/>
                <w:sz w:val="18"/>
              </w:rPr>
              <w:t>se</w:t>
            </w:r>
            <w:r>
              <w:rPr>
                <w:color w:val="231F20"/>
                <w:spacing w:val="-30"/>
                <w:w w:val="105"/>
                <w:sz w:val="18"/>
              </w:rPr>
              <w:t> </w:t>
            </w:r>
            <w:r>
              <w:rPr>
                <w:color w:val="231F20"/>
                <w:w w:val="105"/>
                <w:sz w:val="18"/>
              </w:rPr>
              <w:t>le</w:t>
            </w:r>
            <w:r>
              <w:rPr>
                <w:color w:val="231F20"/>
                <w:spacing w:val="-30"/>
                <w:w w:val="105"/>
                <w:sz w:val="18"/>
              </w:rPr>
              <w:t> </w:t>
            </w:r>
            <w:r>
              <w:rPr>
                <w:color w:val="231F20"/>
                <w:w w:val="105"/>
                <w:sz w:val="18"/>
              </w:rPr>
              <w:t>da a</w:t>
            </w:r>
            <w:r>
              <w:rPr>
                <w:color w:val="231F20"/>
                <w:spacing w:val="-35"/>
                <w:w w:val="105"/>
                <w:sz w:val="18"/>
              </w:rPr>
              <w:t> </w:t>
            </w:r>
            <w:r>
              <w:rPr>
                <w:color w:val="231F20"/>
                <w:w w:val="105"/>
                <w:sz w:val="18"/>
              </w:rPr>
              <w:t>los</w:t>
            </w:r>
            <w:r>
              <w:rPr>
                <w:color w:val="231F20"/>
                <w:spacing w:val="-35"/>
                <w:w w:val="105"/>
                <w:sz w:val="18"/>
              </w:rPr>
              <w:t> </w:t>
            </w:r>
            <w:r>
              <w:rPr>
                <w:color w:val="231F20"/>
                <w:w w:val="105"/>
                <w:sz w:val="18"/>
              </w:rPr>
              <w:t>préstamos</w:t>
            </w:r>
            <w:r>
              <w:rPr>
                <w:color w:val="231F20"/>
                <w:spacing w:val="-35"/>
                <w:w w:val="105"/>
                <w:sz w:val="18"/>
              </w:rPr>
              <w:t> </w:t>
            </w:r>
            <w:r>
              <w:rPr>
                <w:color w:val="231F20"/>
                <w:w w:val="105"/>
                <w:sz w:val="18"/>
              </w:rPr>
              <w:t>solicitados.</w:t>
            </w:r>
          </w:p>
        </w:tc>
      </w:tr>
      <w:tr>
        <w:trPr>
          <w:trHeight w:val="1420" w:hRule="exact"/>
        </w:trPr>
        <w:tc>
          <w:tcPr>
            <w:tcW w:w="1639" w:type="dxa"/>
            <w:vMerge/>
            <w:textDirection w:val="btLr"/>
          </w:tcPr>
          <w:p>
            <w:pPr/>
          </w:p>
        </w:tc>
        <w:tc>
          <w:tcPr>
            <w:tcW w:w="2460" w:type="dxa"/>
            <w:vMerge/>
          </w:tcPr>
          <w:p>
            <w:pPr/>
          </w:p>
        </w:tc>
        <w:tc>
          <w:tcPr>
            <w:tcW w:w="2803" w:type="dxa"/>
          </w:tcPr>
          <w:p>
            <w:pPr>
              <w:pStyle w:val="TableParagraph"/>
              <w:spacing w:line="249" w:lineRule="auto" w:before="88"/>
              <w:ind w:left="77" w:right="72"/>
              <w:jc w:val="both"/>
              <w:rPr>
                <w:sz w:val="18"/>
              </w:rPr>
            </w:pPr>
            <w:r>
              <w:rPr>
                <w:color w:val="231F20"/>
                <w:w w:val="105"/>
                <w:sz w:val="18"/>
              </w:rPr>
              <w:t>Desempeño financiero: </w:t>
            </w:r>
            <w:r>
              <w:rPr>
                <w:color w:val="231F20"/>
                <w:spacing w:val="2"/>
                <w:w w:val="105"/>
                <w:sz w:val="18"/>
              </w:rPr>
              <w:t>indaga </w:t>
            </w:r>
            <w:r>
              <w:rPr>
                <w:color w:val="231F20"/>
                <w:w w:val="105"/>
                <w:sz w:val="18"/>
              </w:rPr>
              <w:t>sobre el nivel de ganancias de la</w:t>
            </w:r>
            <w:r>
              <w:rPr>
                <w:color w:val="231F20"/>
                <w:spacing w:val="-21"/>
                <w:w w:val="105"/>
                <w:sz w:val="18"/>
              </w:rPr>
              <w:t> </w:t>
            </w:r>
            <w:r>
              <w:rPr>
                <w:color w:val="231F20"/>
                <w:w w:val="105"/>
                <w:sz w:val="18"/>
              </w:rPr>
              <w:t>empresa</w:t>
            </w:r>
            <w:r>
              <w:rPr>
                <w:color w:val="231F20"/>
                <w:spacing w:val="-21"/>
                <w:w w:val="105"/>
                <w:sz w:val="18"/>
              </w:rPr>
              <w:t> </w:t>
            </w:r>
            <w:r>
              <w:rPr>
                <w:color w:val="231F20"/>
                <w:w w:val="105"/>
                <w:sz w:val="18"/>
              </w:rPr>
              <w:t>y</w:t>
            </w:r>
            <w:r>
              <w:rPr>
                <w:color w:val="231F20"/>
                <w:spacing w:val="-21"/>
                <w:w w:val="105"/>
                <w:sz w:val="18"/>
              </w:rPr>
              <w:t> </w:t>
            </w:r>
            <w:r>
              <w:rPr>
                <w:color w:val="231F20"/>
                <w:w w:val="105"/>
                <w:sz w:val="18"/>
              </w:rPr>
              <w:t>el</w:t>
            </w:r>
            <w:r>
              <w:rPr>
                <w:color w:val="231F20"/>
                <w:spacing w:val="-21"/>
                <w:w w:val="105"/>
                <w:sz w:val="18"/>
              </w:rPr>
              <w:t> </w:t>
            </w:r>
            <w:r>
              <w:rPr>
                <w:color w:val="231F20"/>
                <w:w w:val="105"/>
                <w:sz w:val="18"/>
              </w:rPr>
              <w:t>destino</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éstas; </w:t>
            </w:r>
            <w:r>
              <w:rPr>
                <w:color w:val="231F20"/>
                <w:spacing w:val="-3"/>
                <w:w w:val="105"/>
                <w:sz w:val="18"/>
              </w:rPr>
              <w:t>además</w:t>
            </w:r>
            <w:r>
              <w:rPr>
                <w:color w:val="231F20"/>
                <w:spacing w:val="-37"/>
                <w:w w:val="105"/>
                <w:sz w:val="18"/>
              </w:rPr>
              <w:t> </w:t>
            </w:r>
            <w:r>
              <w:rPr>
                <w:color w:val="231F20"/>
                <w:w w:val="105"/>
                <w:sz w:val="18"/>
              </w:rPr>
              <w:t>de</w:t>
            </w:r>
            <w:r>
              <w:rPr>
                <w:color w:val="231F20"/>
                <w:spacing w:val="-37"/>
                <w:w w:val="105"/>
                <w:sz w:val="18"/>
              </w:rPr>
              <w:t> </w:t>
            </w:r>
            <w:r>
              <w:rPr>
                <w:color w:val="231F20"/>
                <w:spacing w:val="-4"/>
                <w:w w:val="105"/>
                <w:sz w:val="18"/>
              </w:rPr>
              <w:t>considerar,</w:t>
            </w:r>
            <w:r>
              <w:rPr>
                <w:color w:val="231F20"/>
                <w:spacing w:val="-40"/>
                <w:w w:val="105"/>
                <w:sz w:val="18"/>
              </w:rPr>
              <w:t> </w:t>
            </w:r>
            <w:r>
              <w:rPr>
                <w:color w:val="231F20"/>
                <w:spacing w:val="-3"/>
                <w:w w:val="105"/>
                <w:sz w:val="18"/>
              </w:rPr>
              <w:t>cuáles</w:t>
            </w:r>
            <w:r>
              <w:rPr>
                <w:color w:val="231F20"/>
                <w:spacing w:val="-37"/>
                <w:w w:val="105"/>
                <w:sz w:val="18"/>
              </w:rPr>
              <w:t> </w:t>
            </w:r>
            <w:r>
              <w:rPr>
                <w:color w:val="231F20"/>
                <w:spacing w:val="-3"/>
                <w:w w:val="105"/>
                <w:sz w:val="18"/>
              </w:rPr>
              <w:t>son </w:t>
            </w:r>
            <w:r>
              <w:rPr>
                <w:color w:val="231F20"/>
                <w:w w:val="105"/>
                <w:sz w:val="18"/>
              </w:rPr>
              <w:t>los</w:t>
            </w:r>
            <w:r>
              <w:rPr>
                <w:color w:val="231F20"/>
                <w:spacing w:val="-33"/>
                <w:w w:val="105"/>
                <w:sz w:val="18"/>
              </w:rPr>
              <w:t> </w:t>
            </w:r>
            <w:r>
              <w:rPr>
                <w:color w:val="231F20"/>
                <w:w w:val="105"/>
                <w:sz w:val="18"/>
              </w:rPr>
              <w:t>factores</w:t>
            </w:r>
            <w:r>
              <w:rPr>
                <w:color w:val="231F20"/>
                <w:spacing w:val="-33"/>
                <w:w w:val="105"/>
                <w:sz w:val="18"/>
              </w:rPr>
              <w:t> </w:t>
            </w:r>
            <w:r>
              <w:rPr>
                <w:color w:val="231F20"/>
                <w:w w:val="105"/>
                <w:sz w:val="18"/>
              </w:rPr>
              <w:t>que</w:t>
            </w:r>
            <w:r>
              <w:rPr>
                <w:color w:val="231F20"/>
                <w:spacing w:val="-33"/>
                <w:w w:val="105"/>
                <w:sz w:val="18"/>
              </w:rPr>
              <w:t> </w:t>
            </w:r>
            <w:r>
              <w:rPr>
                <w:color w:val="231F20"/>
                <w:w w:val="105"/>
                <w:sz w:val="18"/>
              </w:rPr>
              <w:t>más</w:t>
            </w:r>
            <w:r>
              <w:rPr>
                <w:color w:val="231F20"/>
                <w:spacing w:val="-33"/>
                <w:w w:val="105"/>
                <w:sz w:val="18"/>
              </w:rPr>
              <w:t> </w:t>
            </w:r>
            <w:r>
              <w:rPr>
                <w:color w:val="231F20"/>
                <w:w w:val="105"/>
                <w:sz w:val="18"/>
              </w:rPr>
              <w:t>contribuyen a</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rentabilidad</w:t>
            </w:r>
            <w:r>
              <w:rPr>
                <w:color w:val="231F20"/>
                <w:spacing w:val="-18"/>
                <w:w w:val="105"/>
                <w:sz w:val="18"/>
              </w:rPr>
              <w:t> </w:t>
            </w:r>
            <w:r>
              <w:rPr>
                <w:color w:val="231F20"/>
                <w:w w:val="105"/>
                <w:sz w:val="18"/>
              </w:rPr>
              <w:t>de</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empresa.</w:t>
            </w:r>
          </w:p>
        </w:tc>
      </w:tr>
      <w:tr>
        <w:trPr>
          <w:trHeight w:val="2284" w:hRule="exact"/>
        </w:trPr>
        <w:tc>
          <w:tcPr>
            <w:tcW w:w="1639" w:type="dxa"/>
            <w:vMerge w:val="restart"/>
            <w:textDirection w:val="btLr"/>
          </w:tcPr>
          <w:p>
            <w:pPr>
              <w:pStyle w:val="TableParagraph"/>
              <w:rPr>
                <w:sz w:val="18"/>
              </w:rPr>
            </w:pPr>
          </w:p>
          <w:p>
            <w:pPr>
              <w:pStyle w:val="TableParagraph"/>
              <w:rPr>
                <w:sz w:val="18"/>
              </w:rPr>
            </w:pPr>
          </w:p>
          <w:p>
            <w:pPr>
              <w:pStyle w:val="TableParagraph"/>
              <w:rPr>
                <w:sz w:val="18"/>
              </w:rPr>
            </w:pPr>
          </w:p>
          <w:p>
            <w:pPr>
              <w:pStyle w:val="TableParagraph"/>
              <w:spacing w:before="117"/>
              <w:ind w:left="441"/>
              <w:rPr>
                <w:sz w:val="18"/>
              </w:rPr>
            </w:pPr>
            <w:r>
              <w:rPr>
                <w:color w:val="231F20"/>
                <w:spacing w:val="-1"/>
                <w:w w:val="98"/>
                <w:sz w:val="18"/>
              </w:rPr>
              <w:t>Sistem</w:t>
            </w:r>
            <w:r>
              <w:rPr>
                <w:color w:val="231F20"/>
                <w:w w:val="98"/>
                <w:sz w:val="18"/>
              </w:rPr>
              <w:t>a</w:t>
            </w:r>
            <w:r>
              <w:rPr>
                <w:color w:val="231F20"/>
                <w:spacing w:val="-7"/>
                <w:sz w:val="18"/>
              </w:rPr>
              <w:t> </w:t>
            </w:r>
            <w:r>
              <w:rPr>
                <w:color w:val="231F20"/>
                <w:spacing w:val="-1"/>
                <w:w w:val="108"/>
                <w:sz w:val="18"/>
              </w:rPr>
              <w:t>d</w:t>
            </w:r>
            <w:r>
              <w:rPr>
                <w:color w:val="231F20"/>
                <w:w w:val="108"/>
                <w:sz w:val="18"/>
              </w:rPr>
              <w:t>e</w:t>
            </w:r>
            <w:r>
              <w:rPr>
                <w:color w:val="231F20"/>
                <w:spacing w:val="-7"/>
                <w:sz w:val="18"/>
              </w:rPr>
              <w:t> </w:t>
            </w:r>
            <w:r>
              <w:rPr>
                <w:color w:val="231F20"/>
                <w:spacing w:val="-1"/>
                <w:w w:val="104"/>
                <w:sz w:val="18"/>
              </w:rPr>
              <w:t>información.</w:t>
            </w:r>
          </w:p>
        </w:tc>
        <w:tc>
          <w:tcPr>
            <w:tcW w:w="2460" w:type="dxa"/>
            <w:vMerge w:val="restart"/>
          </w:tcPr>
          <w:p>
            <w:pPr>
              <w:pStyle w:val="TableParagraph"/>
              <w:spacing w:before="5"/>
              <w:rPr>
                <w:sz w:val="22"/>
              </w:rPr>
            </w:pPr>
          </w:p>
          <w:p>
            <w:pPr>
              <w:pStyle w:val="TableParagraph"/>
              <w:spacing w:line="249" w:lineRule="auto"/>
              <w:ind w:left="77" w:right="69"/>
              <w:jc w:val="both"/>
              <w:rPr>
                <w:sz w:val="18"/>
              </w:rPr>
            </w:pPr>
            <w:r>
              <w:rPr>
                <w:color w:val="231F20"/>
                <w:spacing w:val="2"/>
                <w:w w:val="105"/>
                <w:sz w:val="18"/>
              </w:rPr>
              <w:t>Identifica, </w:t>
            </w:r>
            <w:r>
              <w:rPr>
                <w:color w:val="231F20"/>
                <w:w w:val="105"/>
                <w:sz w:val="18"/>
              </w:rPr>
              <w:t>por un lado, </w:t>
            </w:r>
            <w:r>
              <w:rPr>
                <w:color w:val="231F20"/>
                <w:spacing w:val="3"/>
                <w:w w:val="105"/>
                <w:sz w:val="18"/>
              </w:rPr>
              <w:t>las </w:t>
            </w:r>
            <w:r>
              <w:rPr>
                <w:color w:val="231F20"/>
                <w:w w:val="105"/>
                <w:sz w:val="18"/>
              </w:rPr>
              <w:t>actividades</w:t>
            </w:r>
            <w:r>
              <w:rPr>
                <w:color w:val="231F20"/>
                <w:spacing w:val="-34"/>
                <w:w w:val="105"/>
                <w:sz w:val="18"/>
              </w:rPr>
              <w:t> </w:t>
            </w:r>
            <w:r>
              <w:rPr>
                <w:color w:val="231F20"/>
                <w:w w:val="105"/>
                <w:sz w:val="18"/>
              </w:rPr>
              <w:t>asociadas</w:t>
            </w:r>
            <w:r>
              <w:rPr>
                <w:color w:val="231F20"/>
                <w:spacing w:val="-34"/>
                <w:w w:val="105"/>
                <w:sz w:val="18"/>
              </w:rPr>
              <w:t> </w:t>
            </w:r>
            <w:r>
              <w:rPr>
                <w:color w:val="231F20"/>
                <w:w w:val="105"/>
                <w:sz w:val="18"/>
              </w:rPr>
              <w:t>con</w:t>
            </w:r>
            <w:r>
              <w:rPr>
                <w:color w:val="231F20"/>
                <w:spacing w:val="-34"/>
                <w:w w:val="105"/>
                <w:sz w:val="18"/>
              </w:rPr>
              <w:t> </w:t>
            </w:r>
            <w:r>
              <w:rPr>
                <w:color w:val="231F20"/>
                <w:w w:val="105"/>
                <w:sz w:val="18"/>
              </w:rPr>
              <w:t>el uso y actualización de</w:t>
            </w:r>
            <w:r>
              <w:rPr>
                <w:color w:val="231F20"/>
                <w:spacing w:val="-33"/>
                <w:w w:val="105"/>
                <w:sz w:val="18"/>
              </w:rPr>
              <w:t> </w:t>
            </w:r>
            <w:r>
              <w:rPr>
                <w:color w:val="231F20"/>
                <w:w w:val="105"/>
                <w:sz w:val="18"/>
              </w:rPr>
              <w:t>equi- pos de cómputo y software para llevar a cabo diversas tareas en distintas áreas</w:t>
            </w:r>
            <w:r>
              <w:rPr>
                <w:color w:val="231F20"/>
                <w:spacing w:val="-24"/>
                <w:w w:val="105"/>
                <w:sz w:val="18"/>
              </w:rPr>
              <w:t> </w:t>
            </w:r>
            <w:r>
              <w:rPr>
                <w:color w:val="231F20"/>
                <w:w w:val="105"/>
                <w:sz w:val="18"/>
              </w:rPr>
              <w:t>de la organización; por el otro, el</w:t>
            </w:r>
            <w:r>
              <w:rPr>
                <w:color w:val="231F20"/>
                <w:spacing w:val="-32"/>
                <w:w w:val="105"/>
                <w:sz w:val="18"/>
              </w:rPr>
              <w:t> </w:t>
            </w:r>
            <w:r>
              <w:rPr>
                <w:color w:val="231F20"/>
                <w:w w:val="105"/>
                <w:sz w:val="18"/>
              </w:rPr>
              <w:t>uso</w:t>
            </w:r>
            <w:r>
              <w:rPr>
                <w:color w:val="231F20"/>
                <w:spacing w:val="-32"/>
                <w:w w:val="105"/>
                <w:sz w:val="18"/>
              </w:rPr>
              <w:t> </w:t>
            </w:r>
            <w:r>
              <w:rPr>
                <w:color w:val="231F20"/>
                <w:w w:val="105"/>
                <w:sz w:val="18"/>
              </w:rPr>
              <w:t>de</w:t>
            </w:r>
            <w:r>
              <w:rPr>
                <w:color w:val="231F20"/>
                <w:spacing w:val="-32"/>
                <w:w w:val="105"/>
                <w:sz w:val="18"/>
              </w:rPr>
              <w:t> </w:t>
            </w:r>
            <w:r>
              <w:rPr>
                <w:color w:val="231F20"/>
                <w:w w:val="105"/>
                <w:sz w:val="18"/>
              </w:rPr>
              <w:t>estas</w:t>
            </w:r>
            <w:r>
              <w:rPr>
                <w:color w:val="231F20"/>
                <w:spacing w:val="-32"/>
                <w:w w:val="105"/>
                <w:sz w:val="18"/>
              </w:rPr>
              <w:t> </w:t>
            </w:r>
            <w:r>
              <w:rPr>
                <w:color w:val="231F20"/>
                <w:w w:val="105"/>
                <w:sz w:val="18"/>
              </w:rPr>
              <w:t>herramientas para la realización de</w:t>
            </w:r>
            <w:r>
              <w:rPr>
                <w:color w:val="231F20"/>
                <w:spacing w:val="-34"/>
                <w:w w:val="105"/>
                <w:sz w:val="18"/>
              </w:rPr>
              <w:t> </w:t>
            </w:r>
            <w:r>
              <w:rPr>
                <w:color w:val="231F20"/>
                <w:w w:val="105"/>
                <w:sz w:val="18"/>
              </w:rPr>
              <w:t>nego- cios como el comercio</w:t>
            </w:r>
            <w:r>
              <w:rPr>
                <w:color w:val="231F20"/>
                <w:spacing w:val="-35"/>
                <w:w w:val="105"/>
                <w:sz w:val="18"/>
              </w:rPr>
              <w:t> </w:t>
            </w:r>
            <w:r>
              <w:rPr>
                <w:color w:val="231F20"/>
                <w:w w:val="105"/>
                <w:sz w:val="18"/>
              </w:rPr>
              <w:t>elec- trónico</w:t>
            </w:r>
            <w:r>
              <w:rPr>
                <w:color w:val="231F20"/>
                <w:spacing w:val="-37"/>
                <w:w w:val="105"/>
                <w:sz w:val="18"/>
              </w:rPr>
              <w:t> </w:t>
            </w:r>
            <w:r>
              <w:rPr>
                <w:color w:val="231F20"/>
                <w:spacing w:val="-3"/>
                <w:w w:val="105"/>
                <w:sz w:val="18"/>
              </w:rPr>
              <w:t>(ITAA,</w:t>
            </w:r>
            <w:r>
              <w:rPr>
                <w:color w:val="231F20"/>
                <w:spacing w:val="-39"/>
                <w:w w:val="105"/>
                <w:sz w:val="18"/>
              </w:rPr>
              <w:t> </w:t>
            </w:r>
            <w:r>
              <w:rPr>
                <w:color w:val="231F20"/>
                <w:w w:val="105"/>
                <w:sz w:val="18"/>
              </w:rPr>
              <w:t>2009).</w:t>
            </w:r>
          </w:p>
        </w:tc>
        <w:tc>
          <w:tcPr>
            <w:tcW w:w="2803" w:type="dxa"/>
          </w:tcPr>
          <w:p>
            <w:pPr>
              <w:pStyle w:val="TableParagraph"/>
              <w:spacing w:line="249" w:lineRule="auto" w:before="88"/>
              <w:ind w:left="77" w:right="72"/>
              <w:jc w:val="both"/>
              <w:rPr>
                <w:sz w:val="18"/>
              </w:rPr>
            </w:pPr>
            <w:r>
              <w:rPr>
                <w:color w:val="231F20"/>
                <w:w w:val="105"/>
                <w:sz w:val="18"/>
              </w:rPr>
              <w:t>Tecnologías de la </w:t>
            </w:r>
            <w:r>
              <w:rPr>
                <w:color w:val="231F20"/>
                <w:spacing w:val="2"/>
                <w:w w:val="105"/>
                <w:sz w:val="18"/>
              </w:rPr>
              <w:t>información: </w:t>
            </w:r>
            <w:r>
              <w:rPr>
                <w:color w:val="231F20"/>
                <w:w w:val="105"/>
                <w:sz w:val="18"/>
              </w:rPr>
              <w:t>incorpora la tecnología</w:t>
            </w:r>
            <w:r>
              <w:rPr>
                <w:color w:val="231F20"/>
                <w:spacing w:val="-30"/>
                <w:w w:val="105"/>
                <w:sz w:val="18"/>
              </w:rPr>
              <w:t> </w:t>
            </w:r>
            <w:r>
              <w:rPr>
                <w:color w:val="231F20"/>
                <w:w w:val="105"/>
                <w:sz w:val="18"/>
              </w:rPr>
              <w:t>desarro- llada</w:t>
            </w:r>
            <w:r>
              <w:rPr>
                <w:color w:val="231F20"/>
                <w:spacing w:val="-9"/>
                <w:w w:val="105"/>
                <w:sz w:val="18"/>
              </w:rPr>
              <w:t> </w:t>
            </w:r>
            <w:r>
              <w:rPr>
                <w:color w:val="231F20"/>
                <w:w w:val="105"/>
                <w:sz w:val="18"/>
              </w:rPr>
              <w:t>por</w:t>
            </w:r>
            <w:r>
              <w:rPr>
                <w:color w:val="231F20"/>
                <w:spacing w:val="-9"/>
                <w:w w:val="105"/>
                <w:sz w:val="18"/>
              </w:rPr>
              <w:t> </w:t>
            </w:r>
            <w:r>
              <w:rPr>
                <w:color w:val="231F20"/>
                <w:w w:val="105"/>
                <w:sz w:val="18"/>
              </w:rPr>
              <w:t>la</w:t>
            </w:r>
            <w:r>
              <w:rPr>
                <w:color w:val="231F20"/>
                <w:spacing w:val="-9"/>
                <w:w w:val="105"/>
                <w:sz w:val="18"/>
              </w:rPr>
              <w:t> </w:t>
            </w:r>
            <w:r>
              <w:rPr>
                <w:color w:val="231F20"/>
                <w:w w:val="105"/>
                <w:sz w:val="18"/>
              </w:rPr>
              <w:t>empresa</w:t>
            </w:r>
            <w:r>
              <w:rPr>
                <w:color w:val="231F20"/>
                <w:spacing w:val="-9"/>
                <w:w w:val="105"/>
                <w:sz w:val="18"/>
              </w:rPr>
              <w:t> </w:t>
            </w:r>
            <w:r>
              <w:rPr>
                <w:color w:val="231F20"/>
                <w:w w:val="105"/>
                <w:sz w:val="18"/>
              </w:rPr>
              <w:t>con</w:t>
            </w:r>
            <w:r>
              <w:rPr>
                <w:color w:val="231F20"/>
                <w:spacing w:val="-9"/>
                <w:w w:val="105"/>
                <w:sz w:val="18"/>
              </w:rPr>
              <w:t> </w:t>
            </w:r>
            <w:r>
              <w:rPr>
                <w:color w:val="231F20"/>
                <w:w w:val="105"/>
                <w:sz w:val="18"/>
              </w:rPr>
              <w:t>la</w:t>
            </w:r>
            <w:r>
              <w:rPr>
                <w:color w:val="231F20"/>
                <w:spacing w:val="-9"/>
                <w:w w:val="105"/>
                <w:sz w:val="18"/>
              </w:rPr>
              <w:t> </w:t>
            </w:r>
            <w:r>
              <w:rPr>
                <w:color w:val="231F20"/>
                <w:w w:val="105"/>
                <w:sz w:val="18"/>
              </w:rPr>
              <w:t>fina- lidad de afrontar incertidumbre del entorno y fomentar la</w:t>
            </w:r>
            <w:r>
              <w:rPr>
                <w:color w:val="231F20"/>
                <w:spacing w:val="-29"/>
                <w:w w:val="105"/>
                <w:sz w:val="18"/>
              </w:rPr>
              <w:t> </w:t>
            </w:r>
            <w:r>
              <w:rPr>
                <w:color w:val="231F20"/>
                <w:w w:val="105"/>
                <w:sz w:val="18"/>
              </w:rPr>
              <w:t>creati- </w:t>
            </w:r>
            <w:r>
              <w:rPr>
                <w:color w:val="231F20"/>
                <w:spacing w:val="-3"/>
                <w:w w:val="105"/>
                <w:sz w:val="18"/>
              </w:rPr>
              <w:t>vidad</w:t>
            </w:r>
            <w:r>
              <w:rPr>
                <w:color w:val="231F20"/>
                <w:spacing w:val="-25"/>
                <w:w w:val="105"/>
                <w:sz w:val="18"/>
              </w:rPr>
              <w:t> </w:t>
            </w:r>
            <w:r>
              <w:rPr>
                <w:color w:val="231F20"/>
                <w:w w:val="105"/>
                <w:sz w:val="18"/>
              </w:rPr>
              <w:t>e</w:t>
            </w:r>
            <w:r>
              <w:rPr>
                <w:color w:val="231F20"/>
                <w:spacing w:val="-25"/>
                <w:w w:val="105"/>
                <w:sz w:val="18"/>
              </w:rPr>
              <w:t> </w:t>
            </w:r>
            <w:r>
              <w:rPr>
                <w:color w:val="231F20"/>
                <w:spacing w:val="-3"/>
                <w:w w:val="105"/>
                <w:sz w:val="18"/>
              </w:rPr>
              <w:t>innovación</w:t>
            </w:r>
            <w:r>
              <w:rPr>
                <w:color w:val="231F20"/>
                <w:spacing w:val="-25"/>
                <w:w w:val="105"/>
                <w:sz w:val="18"/>
              </w:rPr>
              <w:t> </w:t>
            </w:r>
            <w:r>
              <w:rPr>
                <w:color w:val="231F20"/>
                <w:spacing w:val="-3"/>
                <w:w w:val="105"/>
                <w:sz w:val="18"/>
              </w:rPr>
              <w:t>para</w:t>
            </w:r>
            <w:r>
              <w:rPr>
                <w:color w:val="231F20"/>
                <w:spacing w:val="-25"/>
                <w:w w:val="105"/>
                <w:sz w:val="18"/>
              </w:rPr>
              <w:t> </w:t>
            </w:r>
            <w:r>
              <w:rPr>
                <w:color w:val="231F20"/>
                <w:spacing w:val="-3"/>
                <w:w w:val="105"/>
                <w:sz w:val="18"/>
              </w:rPr>
              <w:t>facilitar</w:t>
            </w:r>
            <w:r>
              <w:rPr>
                <w:color w:val="231F20"/>
                <w:spacing w:val="-25"/>
                <w:w w:val="105"/>
                <w:sz w:val="18"/>
              </w:rPr>
              <w:t> </w:t>
            </w:r>
            <w:r>
              <w:rPr>
                <w:color w:val="231F20"/>
                <w:spacing w:val="-3"/>
                <w:w w:val="105"/>
                <w:sz w:val="18"/>
              </w:rPr>
              <w:t>la </w:t>
            </w:r>
            <w:r>
              <w:rPr>
                <w:color w:val="231F20"/>
                <w:w w:val="105"/>
                <w:sz w:val="18"/>
              </w:rPr>
              <w:t>gestión; impulsar el desarrollo</w:t>
            </w:r>
            <w:r>
              <w:rPr>
                <w:color w:val="231F20"/>
                <w:spacing w:val="-18"/>
                <w:w w:val="105"/>
                <w:sz w:val="18"/>
              </w:rPr>
              <w:t> </w:t>
            </w:r>
            <w:r>
              <w:rPr>
                <w:color w:val="231F20"/>
                <w:w w:val="105"/>
                <w:sz w:val="18"/>
              </w:rPr>
              <w:t>y ejecución de programas de</w:t>
            </w:r>
            <w:r>
              <w:rPr>
                <w:color w:val="231F20"/>
                <w:spacing w:val="-32"/>
                <w:w w:val="105"/>
                <w:sz w:val="18"/>
              </w:rPr>
              <w:t> </w:t>
            </w:r>
            <w:r>
              <w:rPr>
                <w:color w:val="231F20"/>
                <w:w w:val="105"/>
                <w:sz w:val="18"/>
              </w:rPr>
              <w:t>pro- ducción, control de procesos y productos.</w:t>
            </w:r>
          </w:p>
        </w:tc>
      </w:tr>
      <w:tr>
        <w:trPr>
          <w:trHeight w:val="556" w:hRule="exact"/>
        </w:trPr>
        <w:tc>
          <w:tcPr>
            <w:tcW w:w="1639" w:type="dxa"/>
            <w:vMerge/>
            <w:textDirection w:val="btLr"/>
          </w:tcPr>
          <w:p>
            <w:pPr/>
          </w:p>
        </w:tc>
        <w:tc>
          <w:tcPr>
            <w:tcW w:w="2460" w:type="dxa"/>
            <w:vMerge/>
          </w:tcPr>
          <w:p>
            <w:pPr/>
          </w:p>
        </w:tc>
        <w:tc>
          <w:tcPr>
            <w:tcW w:w="2803" w:type="dxa"/>
          </w:tcPr>
          <w:p>
            <w:pPr>
              <w:pStyle w:val="TableParagraph"/>
              <w:spacing w:line="249" w:lineRule="auto" w:before="88"/>
              <w:ind w:left="77" w:right="-1"/>
              <w:rPr>
                <w:sz w:val="18"/>
              </w:rPr>
            </w:pPr>
            <w:r>
              <w:rPr>
                <w:color w:val="231F20"/>
                <w:w w:val="105"/>
                <w:sz w:val="18"/>
              </w:rPr>
              <w:t>Tecnologías de comunicación: </w:t>
            </w:r>
            <w:r>
              <w:rPr>
                <w:color w:val="231F20"/>
                <w:sz w:val="18"/>
              </w:rPr>
              <w:t>Involucra telefonía, radio, fax, etc.</w:t>
            </w:r>
          </w:p>
        </w:tc>
      </w:tr>
    </w:tbl>
    <w:p>
      <w:pPr>
        <w:spacing w:before="18"/>
        <w:ind w:left="103" w:right="0" w:firstLine="0"/>
        <w:jc w:val="both"/>
        <w:rPr>
          <w:sz w:val="16"/>
        </w:rPr>
      </w:pPr>
      <w:r>
        <w:rPr>
          <w:color w:val="231F20"/>
          <w:sz w:val="16"/>
        </w:rPr>
        <w:t>Fuente: Demuner, 2010.</w:t>
      </w:r>
    </w:p>
    <w:p>
      <w:pPr>
        <w:pStyle w:val="BodyText"/>
        <w:rPr>
          <w:sz w:val="16"/>
        </w:rPr>
      </w:pPr>
    </w:p>
    <w:p>
      <w:pPr>
        <w:pStyle w:val="BodyText"/>
        <w:rPr>
          <w:sz w:val="16"/>
        </w:rPr>
      </w:pPr>
    </w:p>
    <w:p>
      <w:pPr>
        <w:pStyle w:val="Heading2"/>
        <w:spacing w:before="105"/>
        <w:ind w:left="103"/>
      </w:pPr>
      <w:r>
        <w:rPr>
          <w:color w:val="231F20"/>
          <w:w w:val="95"/>
        </w:rPr>
        <w:t>Reflexión final</w:t>
      </w:r>
    </w:p>
    <w:p>
      <w:pPr>
        <w:pStyle w:val="BodyText"/>
        <w:rPr>
          <w:b/>
          <w:sz w:val="22"/>
        </w:rPr>
      </w:pPr>
    </w:p>
    <w:p>
      <w:pPr>
        <w:pStyle w:val="BodyText"/>
        <w:spacing w:line="259" w:lineRule="auto" w:before="160"/>
        <w:ind w:left="103" w:right="114"/>
        <w:jc w:val="both"/>
      </w:pPr>
      <w:r>
        <w:rPr>
          <w:color w:val="231F20"/>
          <w:w w:val="105"/>
        </w:rPr>
        <w:t>Las teorías económicas clásicas han definido la competitividad a partir del</w:t>
      </w:r>
      <w:r>
        <w:rPr>
          <w:color w:val="231F20"/>
          <w:spacing w:val="-16"/>
          <w:w w:val="105"/>
        </w:rPr>
        <w:t> </w:t>
      </w:r>
      <w:r>
        <w:rPr>
          <w:color w:val="231F20"/>
          <w:w w:val="105"/>
        </w:rPr>
        <w:t>concepto</w:t>
      </w:r>
      <w:r>
        <w:rPr>
          <w:color w:val="231F20"/>
          <w:spacing w:val="-16"/>
          <w:w w:val="105"/>
        </w:rPr>
        <w:t> </w:t>
      </w:r>
      <w:r>
        <w:rPr>
          <w:color w:val="231F20"/>
          <w:w w:val="105"/>
        </w:rPr>
        <w:t>de</w:t>
      </w:r>
      <w:r>
        <w:rPr>
          <w:color w:val="231F20"/>
          <w:spacing w:val="-16"/>
          <w:w w:val="105"/>
        </w:rPr>
        <w:t> </w:t>
      </w:r>
      <w:r>
        <w:rPr>
          <w:color w:val="231F20"/>
          <w:w w:val="105"/>
        </w:rPr>
        <w:t>competencia.</w:t>
      </w:r>
      <w:r>
        <w:rPr>
          <w:color w:val="231F20"/>
          <w:spacing w:val="-21"/>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nuevas</w:t>
      </w:r>
      <w:r>
        <w:rPr>
          <w:color w:val="231F20"/>
          <w:spacing w:val="-16"/>
          <w:w w:val="105"/>
        </w:rPr>
        <w:t> </w:t>
      </w:r>
      <w:r>
        <w:rPr>
          <w:color w:val="231F20"/>
          <w:w w:val="105"/>
        </w:rPr>
        <w:t>tendencias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economía internacional</w:t>
      </w:r>
      <w:r>
        <w:rPr>
          <w:color w:val="231F20"/>
          <w:spacing w:val="-20"/>
          <w:w w:val="105"/>
        </w:rPr>
        <w:t> </w:t>
      </w:r>
      <w:r>
        <w:rPr>
          <w:color w:val="231F20"/>
          <w:w w:val="105"/>
        </w:rPr>
        <w:t>han</w:t>
      </w:r>
      <w:r>
        <w:rPr>
          <w:color w:val="231F20"/>
          <w:spacing w:val="-20"/>
          <w:w w:val="105"/>
        </w:rPr>
        <w:t> </w:t>
      </w:r>
      <w:r>
        <w:rPr>
          <w:color w:val="231F20"/>
          <w:w w:val="105"/>
        </w:rPr>
        <w:t>aflorado</w:t>
      </w:r>
      <w:r>
        <w:rPr>
          <w:color w:val="231F20"/>
          <w:spacing w:val="-20"/>
          <w:w w:val="105"/>
        </w:rPr>
        <w:t> </w:t>
      </w:r>
      <w:r>
        <w:rPr>
          <w:color w:val="231F20"/>
          <w:w w:val="105"/>
        </w:rPr>
        <w:t>una</w:t>
      </w:r>
      <w:r>
        <w:rPr>
          <w:color w:val="231F20"/>
          <w:spacing w:val="-20"/>
          <w:w w:val="105"/>
        </w:rPr>
        <w:t> </w:t>
      </w:r>
      <w:r>
        <w:rPr>
          <w:color w:val="231F20"/>
          <w:w w:val="105"/>
        </w:rPr>
        <w:t>serie</w:t>
      </w:r>
      <w:r>
        <w:rPr>
          <w:color w:val="231F20"/>
          <w:spacing w:val="-20"/>
          <w:w w:val="105"/>
        </w:rPr>
        <w:t> </w:t>
      </w:r>
      <w:r>
        <w:rPr>
          <w:color w:val="231F20"/>
          <w:w w:val="105"/>
        </w:rPr>
        <w:t>de</w:t>
      </w:r>
      <w:r>
        <w:rPr>
          <w:color w:val="231F20"/>
          <w:spacing w:val="-20"/>
          <w:w w:val="105"/>
        </w:rPr>
        <w:t> </w:t>
      </w:r>
      <w:r>
        <w:rPr>
          <w:color w:val="231F20"/>
          <w:w w:val="105"/>
        </w:rPr>
        <w:t>condiciones</w:t>
      </w:r>
      <w:r>
        <w:rPr>
          <w:color w:val="231F20"/>
          <w:spacing w:val="-20"/>
          <w:w w:val="105"/>
        </w:rPr>
        <w:t> </w:t>
      </w:r>
      <w:r>
        <w:rPr>
          <w:color w:val="231F20"/>
          <w:w w:val="105"/>
        </w:rPr>
        <w:t>que</w:t>
      </w:r>
      <w:r>
        <w:rPr>
          <w:color w:val="231F20"/>
          <w:spacing w:val="-20"/>
          <w:w w:val="105"/>
        </w:rPr>
        <w:t> </w:t>
      </w:r>
      <w:r>
        <w:rPr>
          <w:color w:val="231F20"/>
          <w:w w:val="105"/>
        </w:rPr>
        <w:t>obligan</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ac- tores</w:t>
      </w:r>
      <w:r>
        <w:rPr>
          <w:color w:val="231F20"/>
          <w:spacing w:val="-26"/>
          <w:w w:val="105"/>
        </w:rPr>
        <w:t> </w:t>
      </w:r>
      <w:r>
        <w:rPr>
          <w:color w:val="231F20"/>
          <w:w w:val="105"/>
        </w:rPr>
        <w:t>a</w:t>
      </w:r>
      <w:r>
        <w:rPr>
          <w:color w:val="231F20"/>
          <w:spacing w:val="-26"/>
          <w:w w:val="105"/>
        </w:rPr>
        <w:t> </w:t>
      </w:r>
      <w:r>
        <w:rPr>
          <w:color w:val="231F20"/>
          <w:w w:val="105"/>
        </w:rPr>
        <w:t>adaptarse</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cambios</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economía</w:t>
      </w:r>
      <w:r>
        <w:rPr>
          <w:color w:val="231F20"/>
          <w:spacing w:val="-26"/>
          <w:w w:val="105"/>
        </w:rPr>
        <w:t> </w:t>
      </w:r>
      <w:r>
        <w:rPr>
          <w:color w:val="231F20"/>
          <w:w w:val="105"/>
        </w:rPr>
        <w:t>global.</w:t>
      </w:r>
      <w:r>
        <w:rPr>
          <w:color w:val="231F20"/>
          <w:spacing w:val="-31"/>
          <w:w w:val="105"/>
        </w:rPr>
        <w:t> </w:t>
      </w:r>
      <w:r>
        <w:rPr>
          <w:color w:val="231F20"/>
          <w:w w:val="105"/>
        </w:rPr>
        <w:t>Desde</w:t>
      </w:r>
      <w:r>
        <w:rPr>
          <w:color w:val="231F20"/>
          <w:spacing w:val="-26"/>
          <w:w w:val="105"/>
        </w:rPr>
        <w:t> </w:t>
      </w:r>
      <w:r>
        <w:rPr>
          <w:color w:val="231F20"/>
          <w:w w:val="105"/>
        </w:rPr>
        <w:t>la</w:t>
      </w:r>
      <w:r>
        <w:rPr>
          <w:color w:val="231F20"/>
          <w:spacing w:val="-26"/>
          <w:w w:val="105"/>
        </w:rPr>
        <w:t> </w:t>
      </w:r>
      <w:r>
        <w:rPr>
          <w:color w:val="231F20"/>
          <w:w w:val="105"/>
        </w:rPr>
        <w:t>adminis- tración,</w:t>
      </w:r>
      <w:r>
        <w:rPr>
          <w:color w:val="231F20"/>
          <w:spacing w:val="-20"/>
          <w:w w:val="105"/>
        </w:rPr>
        <w:t> </w:t>
      </w:r>
      <w:r>
        <w:rPr>
          <w:color w:val="231F20"/>
          <w:w w:val="105"/>
        </w:rPr>
        <w:t>la</w:t>
      </w:r>
      <w:r>
        <w:rPr>
          <w:color w:val="231F20"/>
          <w:spacing w:val="-13"/>
          <w:w w:val="105"/>
        </w:rPr>
        <w:t> </w:t>
      </w:r>
      <w:r>
        <w:rPr>
          <w:color w:val="231F20"/>
          <w:w w:val="105"/>
        </w:rPr>
        <w:t>competitividad</w:t>
      </w:r>
      <w:r>
        <w:rPr>
          <w:color w:val="231F20"/>
          <w:spacing w:val="-13"/>
          <w:w w:val="105"/>
        </w:rPr>
        <w:t> </w:t>
      </w:r>
      <w:r>
        <w:rPr>
          <w:color w:val="231F20"/>
          <w:w w:val="105"/>
        </w:rPr>
        <w:t>encierra</w:t>
      </w:r>
      <w:r>
        <w:rPr>
          <w:color w:val="231F20"/>
          <w:spacing w:val="-13"/>
          <w:w w:val="105"/>
        </w:rPr>
        <w:t> </w:t>
      </w:r>
      <w:r>
        <w:rPr>
          <w:color w:val="231F20"/>
          <w:w w:val="105"/>
        </w:rPr>
        <w:t>más</w:t>
      </w:r>
      <w:r>
        <w:rPr>
          <w:color w:val="231F20"/>
          <w:spacing w:val="-13"/>
          <w:w w:val="105"/>
        </w:rPr>
        <w:t> </w:t>
      </w:r>
      <w:r>
        <w:rPr>
          <w:color w:val="231F20"/>
          <w:w w:val="105"/>
        </w:rPr>
        <w:t>el</w:t>
      </w:r>
      <w:r>
        <w:rPr>
          <w:color w:val="231F20"/>
          <w:spacing w:val="-13"/>
          <w:w w:val="105"/>
        </w:rPr>
        <w:t> </w:t>
      </w:r>
      <w:r>
        <w:rPr>
          <w:color w:val="231F20"/>
          <w:w w:val="105"/>
        </w:rPr>
        <w:t>quehacer</w:t>
      </w:r>
      <w:r>
        <w:rPr>
          <w:color w:val="231F20"/>
          <w:spacing w:val="-13"/>
          <w:w w:val="105"/>
        </w:rPr>
        <w:t> </w:t>
      </w:r>
      <w:r>
        <w:rPr>
          <w:color w:val="231F20"/>
          <w:w w:val="105"/>
        </w:rPr>
        <w:t>eficiente</w:t>
      </w:r>
      <w:r>
        <w:rPr>
          <w:color w:val="231F20"/>
          <w:spacing w:val="-13"/>
          <w:w w:val="105"/>
        </w:rPr>
        <w:t> </w:t>
      </w:r>
      <w:r>
        <w:rPr>
          <w:color w:val="231F20"/>
          <w:w w:val="105"/>
        </w:rPr>
        <w:t>a</w:t>
      </w:r>
      <w:r>
        <w:rPr>
          <w:color w:val="231F20"/>
          <w:spacing w:val="-13"/>
          <w:w w:val="105"/>
        </w:rPr>
        <w:t> </w:t>
      </w:r>
      <w:r>
        <w:rPr>
          <w:color w:val="231F20"/>
          <w:w w:val="105"/>
        </w:rPr>
        <w:t>nivel</w:t>
      </w:r>
      <w:r>
        <w:rPr>
          <w:color w:val="231F20"/>
          <w:spacing w:val="-13"/>
          <w:w w:val="105"/>
        </w:rPr>
        <w:t> </w:t>
      </w:r>
      <w:r>
        <w:rPr>
          <w:color w:val="231F20"/>
          <w:w w:val="105"/>
        </w:rPr>
        <w:t>intra empresarial</w:t>
      </w:r>
      <w:r>
        <w:rPr>
          <w:color w:val="231F20"/>
          <w:spacing w:val="-26"/>
          <w:w w:val="105"/>
        </w:rPr>
        <w:t> </w:t>
      </w:r>
      <w:r>
        <w:rPr>
          <w:color w:val="231F20"/>
          <w:w w:val="105"/>
        </w:rPr>
        <w:t>llegando,</w:t>
      </w:r>
      <w:r>
        <w:rPr>
          <w:color w:val="231F20"/>
          <w:spacing w:val="-31"/>
          <w:w w:val="105"/>
        </w:rPr>
        <w:t> </w:t>
      </w:r>
      <w:r>
        <w:rPr>
          <w:color w:val="231F20"/>
          <w:w w:val="105"/>
        </w:rPr>
        <w:t>en</w:t>
      </w:r>
      <w:r>
        <w:rPr>
          <w:color w:val="231F20"/>
          <w:spacing w:val="-26"/>
          <w:w w:val="105"/>
        </w:rPr>
        <w:t> </w:t>
      </w:r>
      <w:r>
        <w:rPr>
          <w:color w:val="231F20"/>
          <w:w w:val="105"/>
        </w:rPr>
        <w:t>algunos</w:t>
      </w:r>
      <w:r>
        <w:rPr>
          <w:color w:val="231F20"/>
          <w:spacing w:val="-26"/>
          <w:w w:val="105"/>
        </w:rPr>
        <w:t> </w:t>
      </w:r>
      <w:r>
        <w:rPr>
          <w:color w:val="231F20"/>
          <w:w w:val="105"/>
        </w:rPr>
        <w:t>casos,</w:t>
      </w:r>
      <w:r>
        <w:rPr>
          <w:color w:val="231F20"/>
          <w:spacing w:val="-31"/>
          <w:w w:val="105"/>
        </w:rPr>
        <w:t> </w:t>
      </w:r>
      <w:r>
        <w:rPr>
          <w:color w:val="231F20"/>
          <w:w w:val="105"/>
        </w:rPr>
        <w:t>a</w:t>
      </w:r>
      <w:r>
        <w:rPr>
          <w:color w:val="231F20"/>
          <w:spacing w:val="-26"/>
          <w:w w:val="105"/>
        </w:rPr>
        <w:t> </w:t>
      </w:r>
      <w:r>
        <w:rPr>
          <w:color w:val="231F20"/>
          <w:w w:val="105"/>
        </w:rPr>
        <w:t>ignorar</w:t>
      </w:r>
      <w:r>
        <w:rPr>
          <w:color w:val="231F20"/>
          <w:spacing w:val="-26"/>
          <w:w w:val="105"/>
        </w:rPr>
        <w:t> </w:t>
      </w:r>
      <w:r>
        <w:rPr>
          <w:color w:val="231F20"/>
          <w:w w:val="105"/>
        </w:rPr>
        <w:t>el</w:t>
      </w:r>
      <w:r>
        <w:rPr>
          <w:color w:val="231F20"/>
          <w:spacing w:val="-26"/>
          <w:w w:val="105"/>
        </w:rPr>
        <w:t> </w:t>
      </w:r>
      <w:r>
        <w:rPr>
          <w:color w:val="231F20"/>
          <w:w w:val="105"/>
        </w:rPr>
        <w:t>contexto.</w:t>
      </w:r>
      <w:r>
        <w:rPr>
          <w:color w:val="231F20"/>
          <w:spacing w:val="-31"/>
          <w:w w:val="105"/>
        </w:rPr>
        <w:t> </w:t>
      </w:r>
      <w:r>
        <w:rPr>
          <w:color w:val="231F20"/>
          <w:w w:val="105"/>
        </w:rPr>
        <w:t>El</w:t>
      </w:r>
      <w:r>
        <w:rPr>
          <w:color w:val="231F20"/>
          <w:spacing w:val="-26"/>
          <w:w w:val="105"/>
        </w:rPr>
        <w:t> </w:t>
      </w:r>
      <w:r>
        <w:rPr>
          <w:color w:val="231F20"/>
          <w:w w:val="105"/>
        </w:rPr>
        <w:t>enfoque económico administrativo de la competitividad reside en lograr la</w:t>
      </w:r>
      <w:r>
        <w:rPr>
          <w:color w:val="231F20"/>
          <w:spacing w:val="-24"/>
          <w:w w:val="105"/>
        </w:rPr>
        <w:t> </w:t>
      </w:r>
      <w:r>
        <w:rPr>
          <w:color w:val="231F20"/>
          <w:w w:val="105"/>
        </w:rPr>
        <w:t>supe- rioridad entre pares, a partir de cualidades distintivas para obtener un beneficio,</w:t>
      </w:r>
      <w:r>
        <w:rPr>
          <w:color w:val="231F20"/>
          <w:spacing w:val="-22"/>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aptitud</w:t>
      </w:r>
      <w:r>
        <w:rPr>
          <w:color w:val="231F20"/>
          <w:spacing w:val="-17"/>
          <w:w w:val="105"/>
        </w:rPr>
        <w:t> </w:t>
      </w:r>
      <w:r>
        <w:rPr>
          <w:color w:val="231F20"/>
          <w:w w:val="105"/>
        </w:rPr>
        <w:t>o</w:t>
      </w:r>
      <w:r>
        <w:rPr>
          <w:color w:val="231F20"/>
          <w:spacing w:val="-17"/>
          <w:w w:val="105"/>
        </w:rPr>
        <w:t> </w:t>
      </w:r>
      <w:r>
        <w:rPr>
          <w:color w:val="231F20"/>
          <w:w w:val="105"/>
        </w:rPr>
        <w:t>capacidad</w:t>
      </w:r>
      <w:r>
        <w:rPr>
          <w:color w:val="231F20"/>
          <w:spacing w:val="-17"/>
          <w:w w:val="105"/>
        </w:rPr>
        <w:t> </w:t>
      </w:r>
      <w:r>
        <w:rPr>
          <w:color w:val="231F20"/>
          <w:w w:val="105"/>
        </w:rPr>
        <w:t>para</w:t>
      </w:r>
      <w:r>
        <w:rPr>
          <w:color w:val="231F20"/>
          <w:spacing w:val="-17"/>
          <w:w w:val="105"/>
        </w:rPr>
        <w:t> </w:t>
      </w:r>
      <w:r>
        <w:rPr>
          <w:color w:val="231F20"/>
          <w:w w:val="105"/>
        </w:rPr>
        <w:t>imponerse</w:t>
      </w:r>
      <w:r>
        <w:rPr>
          <w:color w:val="231F20"/>
          <w:spacing w:val="-17"/>
          <w:w w:val="105"/>
        </w:rPr>
        <w:t> </w:t>
      </w:r>
      <w:r>
        <w:rPr>
          <w:color w:val="231F20"/>
          <w:w w:val="105"/>
        </w:rPr>
        <w:t>sobre</w:t>
      </w:r>
      <w:r>
        <w:rPr>
          <w:color w:val="231F20"/>
          <w:spacing w:val="-17"/>
          <w:w w:val="105"/>
        </w:rPr>
        <w:t> </w:t>
      </w:r>
      <w:r>
        <w:rPr>
          <w:color w:val="231F20"/>
          <w:w w:val="105"/>
        </w:rPr>
        <w:t>otros</w:t>
      </w:r>
      <w:r>
        <w:rPr>
          <w:color w:val="231F20"/>
          <w:spacing w:val="-17"/>
          <w:w w:val="105"/>
        </w:rPr>
        <w:t> </w:t>
      </w:r>
      <w:r>
        <w:rPr>
          <w:color w:val="231F20"/>
          <w:w w:val="105"/>
        </w:rPr>
        <w:t>países</w:t>
      </w:r>
      <w:r>
        <w:rPr>
          <w:color w:val="231F20"/>
          <w:spacing w:val="-17"/>
          <w:w w:val="105"/>
        </w:rPr>
        <w:t> </w:t>
      </w:r>
      <w:r>
        <w:rPr>
          <w:color w:val="231F20"/>
          <w:w w:val="105"/>
        </w:rPr>
        <w:t>y regiones</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w:t>
      </w:r>
      <w:r>
        <w:rPr>
          <w:color w:val="231F20"/>
          <w:spacing w:val="-10"/>
          <w:w w:val="105"/>
        </w:rPr>
        <w:t> </w:t>
      </w:r>
      <w:r>
        <w:rPr>
          <w:color w:val="231F20"/>
          <w:w w:val="105"/>
        </w:rPr>
        <w:t>atributos</w:t>
      </w:r>
      <w:r>
        <w:rPr>
          <w:color w:val="231F20"/>
          <w:spacing w:val="-10"/>
          <w:w w:val="105"/>
        </w:rPr>
        <w:t> </w:t>
      </w:r>
      <w:r>
        <w:rPr>
          <w:color w:val="231F20"/>
          <w:w w:val="105"/>
        </w:rPr>
        <w:t>diferenciadores</w:t>
      </w:r>
      <w:r>
        <w:rPr>
          <w:color w:val="231F20"/>
          <w:spacing w:val="-10"/>
          <w:w w:val="105"/>
        </w:rPr>
        <w:t> </w:t>
      </w:r>
      <w:r>
        <w:rPr>
          <w:color w:val="231F20"/>
          <w:w w:val="105"/>
        </w:rPr>
        <w:t>de</w:t>
      </w:r>
      <w:r>
        <w:rPr>
          <w:color w:val="231F20"/>
          <w:spacing w:val="-10"/>
          <w:w w:val="105"/>
        </w:rPr>
        <w:t> </w:t>
      </w:r>
      <w:r>
        <w:rPr>
          <w:color w:val="231F20"/>
          <w:w w:val="105"/>
        </w:rPr>
        <w:t>cualidades</w:t>
      </w:r>
      <w:r>
        <w:rPr>
          <w:color w:val="231F20"/>
          <w:spacing w:val="-10"/>
          <w:w w:val="105"/>
        </w:rPr>
        <w:t> </w:t>
      </w:r>
      <w:r>
        <w:rPr>
          <w:color w:val="231F20"/>
          <w:w w:val="105"/>
        </w:rPr>
        <w:t>superiores</w:t>
      </w:r>
    </w:p>
    <w:p>
      <w:pPr>
        <w:pStyle w:val="BodyText"/>
        <w:rPr>
          <w:sz w:val="20"/>
        </w:rPr>
      </w:pPr>
    </w:p>
    <w:p>
      <w:pPr>
        <w:pStyle w:val="BodyText"/>
        <w:rPr>
          <w:sz w:val="20"/>
        </w:rPr>
      </w:pPr>
    </w:p>
    <w:p>
      <w:pPr>
        <w:pStyle w:val="BodyText"/>
        <w:rPr>
          <w:sz w:val="20"/>
        </w:rPr>
      </w:pPr>
    </w:p>
    <w:p>
      <w:pPr>
        <w:pStyle w:val="BodyText"/>
        <w:spacing w:before="1"/>
        <w:rPr>
          <w:sz w:val="19"/>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39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60</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line="208" w:lineRule="exact" w:before="52"/>
        <w:ind w:left="1520" w:right="0" w:firstLine="0"/>
        <w:jc w:val="left"/>
        <w:rPr>
          <w:sz w:val="20"/>
        </w:rPr>
      </w:pPr>
      <w:r>
        <w:rPr/>
        <w:pict>
          <v:line style="position:absolute;mso-position-horizontal-relative:page;mso-position-vertical-relative:paragraph;z-index:-245368" from="384.061005pt,-25.30427pt" to="384.061005pt,9.561580pt" stroked="true" strokeweight=".3pt" strokecolor="#231f20">
            <w10:wrap type="none"/>
          </v:line>
        </w:pict>
      </w:r>
      <w:r>
        <w:rPr>
          <w:rFonts w:ascii="Lucida Sans Unicode"/>
          <w:color w:val="6D6E71"/>
          <w:w w:val="105"/>
          <w:sz w:val="14"/>
        </w:rPr>
        <w:t>II.</w:t>
      </w:r>
      <w:r>
        <w:rPr>
          <w:rFonts w:ascii="Lucida Sans Unicode"/>
          <w:color w:val="6D6E71"/>
          <w:spacing w:val="-18"/>
          <w:w w:val="105"/>
          <w:sz w:val="14"/>
        </w:rPr>
        <w:t> </w:t>
      </w:r>
      <w:r>
        <w:rPr>
          <w:rFonts w:ascii="Lucida Sans Unicode"/>
          <w:color w:val="6D6E71"/>
          <w:w w:val="105"/>
          <w:sz w:val="14"/>
        </w:rPr>
        <w:t>DetermInantes</w:t>
      </w:r>
      <w:r>
        <w:rPr>
          <w:rFonts w:ascii="Lucida Sans Unicode"/>
          <w:color w:val="6D6E71"/>
          <w:spacing w:val="-18"/>
          <w:w w:val="105"/>
          <w:sz w:val="14"/>
        </w:rPr>
        <w:t> </w:t>
      </w:r>
      <w:r>
        <w:rPr>
          <w:rFonts w:ascii="Lucida Sans Unicode"/>
          <w:color w:val="6D6E71"/>
          <w:w w:val="105"/>
          <w:sz w:val="14"/>
        </w:rPr>
        <w:t>De</w:t>
      </w:r>
      <w:r>
        <w:rPr>
          <w:rFonts w:ascii="Lucida Sans Unicode"/>
          <w:color w:val="6D6E71"/>
          <w:spacing w:val="-18"/>
          <w:w w:val="105"/>
          <w:sz w:val="14"/>
        </w:rPr>
        <w:t> </w:t>
      </w:r>
      <w:r>
        <w:rPr>
          <w:rFonts w:ascii="Lucida Sans Unicode"/>
          <w:color w:val="6D6E71"/>
          <w:w w:val="115"/>
          <w:sz w:val="14"/>
        </w:rPr>
        <w:t>la</w:t>
      </w:r>
      <w:r>
        <w:rPr>
          <w:rFonts w:ascii="Lucida Sans Unicode"/>
          <w:color w:val="6D6E71"/>
          <w:spacing w:val="-23"/>
          <w:w w:val="115"/>
          <w:sz w:val="14"/>
        </w:rPr>
        <w:t> </w:t>
      </w:r>
      <w:r>
        <w:rPr>
          <w:rFonts w:ascii="Lucida Sans Unicode"/>
          <w:color w:val="6D6E71"/>
          <w:w w:val="105"/>
          <w:sz w:val="14"/>
        </w:rPr>
        <w:t>competItIvIDaD</w:t>
      </w:r>
      <w:r>
        <w:rPr>
          <w:rFonts w:ascii="Lucida Sans Unicode"/>
          <w:color w:val="6D6E71"/>
          <w:spacing w:val="-18"/>
          <w:w w:val="105"/>
          <w:sz w:val="14"/>
        </w:rPr>
        <w:t> </w:t>
      </w:r>
      <w:r>
        <w:rPr>
          <w:rFonts w:ascii="Lucida Sans Unicode"/>
          <w:color w:val="6D6E71"/>
          <w:w w:val="105"/>
          <w:sz w:val="14"/>
        </w:rPr>
        <w:t>empresarIal</w:t>
      </w:r>
      <w:r>
        <w:rPr>
          <w:rFonts w:ascii="Lucida Sans Unicode"/>
          <w:color w:val="6D6E71"/>
          <w:spacing w:val="-18"/>
          <w:w w:val="105"/>
          <w:sz w:val="14"/>
        </w:rPr>
        <w:t> </w:t>
      </w:r>
      <w:r>
        <w:rPr>
          <w:rFonts w:ascii="Lucida Sans Unicode"/>
          <w:color w:val="6D6E71"/>
          <w:w w:val="105"/>
          <w:sz w:val="14"/>
        </w:rPr>
        <w:t>DesDe</w:t>
      </w:r>
      <w:r>
        <w:rPr>
          <w:rFonts w:ascii="Lucida Sans Unicode"/>
          <w:color w:val="6D6E71"/>
          <w:spacing w:val="-18"/>
          <w:w w:val="105"/>
          <w:sz w:val="14"/>
        </w:rPr>
        <w:t> </w:t>
      </w:r>
      <w:r>
        <w:rPr>
          <w:rFonts w:ascii="Lucida Sans Unicode"/>
          <w:color w:val="6D6E71"/>
          <w:w w:val="105"/>
          <w:sz w:val="14"/>
        </w:rPr>
        <w:t>el</w:t>
      </w:r>
      <w:r>
        <w:rPr>
          <w:rFonts w:ascii="Lucida Sans Unicode"/>
          <w:color w:val="6D6E71"/>
          <w:spacing w:val="-18"/>
          <w:w w:val="105"/>
          <w:sz w:val="14"/>
        </w:rPr>
        <w:t> </w:t>
      </w:r>
      <w:r>
        <w:rPr>
          <w:rFonts w:ascii="Lucida Sans Unicode"/>
          <w:color w:val="6D6E71"/>
          <w:w w:val="105"/>
          <w:sz w:val="14"/>
        </w:rPr>
        <w:t>enfoque</w:t>
      </w:r>
      <w:r>
        <w:rPr>
          <w:color w:val="414042"/>
          <w:w w:val="105"/>
          <w:position w:val="-3"/>
          <w:sz w:val="20"/>
        </w:rPr>
        <w:tab/>
        <w:t>61</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pStyle w:val="BodyText"/>
        <w:spacing w:line="259" w:lineRule="auto" w:before="169"/>
        <w:ind w:left="117" w:right="108"/>
      </w:pPr>
      <w:r>
        <w:rPr>
          <w:color w:val="231F20"/>
          <w:w w:val="105"/>
        </w:rPr>
        <w:t>que</w:t>
      </w:r>
      <w:r>
        <w:rPr>
          <w:color w:val="231F20"/>
          <w:spacing w:val="-33"/>
          <w:w w:val="105"/>
        </w:rPr>
        <w:t> </w:t>
      </w:r>
      <w:r>
        <w:rPr>
          <w:color w:val="231F20"/>
          <w:w w:val="105"/>
        </w:rPr>
        <w:t>estarán</w:t>
      </w:r>
      <w:r>
        <w:rPr>
          <w:color w:val="231F20"/>
          <w:spacing w:val="-33"/>
          <w:w w:val="105"/>
        </w:rPr>
        <w:t> </w:t>
      </w:r>
      <w:r>
        <w:rPr>
          <w:color w:val="231F20"/>
          <w:w w:val="105"/>
        </w:rPr>
        <w:t>en</w:t>
      </w:r>
      <w:r>
        <w:rPr>
          <w:color w:val="231F20"/>
          <w:spacing w:val="-33"/>
          <w:w w:val="105"/>
        </w:rPr>
        <w:t> </w:t>
      </w:r>
      <w:r>
        <w:rPr>
          <w:color w:val="231F20"/>
          <w:w w:val="105"/>
        </w:rPr>
        <w:t>función</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características</w:t>
      </w:r>
      <w:r>
        <w:rPr>
          <w:color w:val="231F20"/>
          <w:spacing w:val="-33"/>
          <w:w w:val="105"/>
        </w:rPr>
        <w:t> </w:t>
      </w:r>
      <w:r>
        <w:rPr>
          <w:color w:val="231F20"/>
          <w:w w:val="105"/>
        </w:rPr>
        <w:t>peculiares</w:t>
      </w:r>
      <w:r>
        <w:rPr>
          <w:color w:val="231F20"/>
          <w:spacing w:val="-33"/>
          <w:w w:val="105"/>
        </w:rPr>
        <w:t> </w:t>
      </w:r>
      <w:r>
        <w:rPr>
          <w:color w:val="231F20"/>
          <w:w w:val="105"/>
        </w:rPr>
        <w:t>de</w:t>
      </w:r>
      <w:r>
        <w:rPr>
          <w:color w:val="231F20"/>
          <w:spacing w:val="-33"/>
          <w:w w:val="105"/>
        </w:rPr>
        <w:t> </w:t>
      </w:r>
      <w:r>
        <w:rPr>
          <w:color w:val="231F20"/>
          <w:w w:val="105"/>
        </w:rPr>
        <w:t>cada</w:t>
      </w:r>
      <w:r>
        <w:rPr>
          <w:color w:val="231F20"/>
          <w:spacing w:val="-33"/>
          <w:w w:val="105"/>
        </w:rPr>
        <w:t> </w:t>
      </w:r>
      <w:r>
        <w:rPr>
          <w:color w:val="231F20"/>
          <w:w w:val="105"/>
        </w:rPr>
        <w:t>industria, región</w:t>
      </w:r>
      <w:r>
        <w:rPr>
          <w:color w:val="231F20"/>
          <w:spacing w:val="-13"/>
          <w:w w:val="105"/>
        </w:rPr>
        <w:t> </w:t>
      </w:r>
      <w:r>
        <w:rPr>
          <w:color w:val="231F20"/>
          <w:w w:val="105"/>
        </w:rPr>
        <w:t>o</w:t>
      </w:r>
      <w:r>
        <w:rPr>
          <w:color w:val="231F20"/>
          <w:spacing w:val="-13"/>
          <w:w w:val="105"/>
        </w:rPr>
        <w:t> </w:t>
      </w:r>
      <w:r>
        <w:rPr>
          <w:color w:val="231F20"/>
          <w:w w:val="105"/>
        </w:rPr>
        <w:t>sector</w:t>
      </w:r>
      <w:r>
        <w:rPr>
          <w:color w:val="231F20"/>
          <w:spacing w:val="-13"/>
          <w:w w:val="105"/>
        </w:rPr>
        <w:t> </w:t>
      </w:r>
      <w:r>
        <w:rPr>
          <w:color w:val="231F20"/>
          <w:w w:val="105"/>
        </w:rPr>
        <w:t>en</w:t>
      </w:r>
      <w:r>
        <w:rPr>
          <w:color w:val="231F20"/>
          <w:spacing w:val="-13"/>
          <w:w w:val="105"/>
        </w:rPr>
        <w:t> </w:t>
      </w:r>
      <w:r>
        <w:rPr>
          <w:color w:val="231F20"/>
          <w:w w:val="105"/>
        </w:rPr>
        <w:t>particular.</w:t>
      </w:r>
    </w:p>
    <w:p>
      <w:pPr>
        <w:pStyle w:val="BodyText"/>
        <w:spacing w:line="259" w:lineRule="auto"/>
        <w:ind w:left="117" w:right="115" w:firstLine="567"/>
        <w:jc w:val="both"/>
      </w:pPr>
      <w:r>
        <w:rPr>
          <w:color w:val="231F20"/>
          <w:w w:val="105"/>
        </w:rPr>
        <w:t>En</w:t>
      </w:r>
      <w:r>
        <w:rPr>
          <w:color w:val="231F20"/>
          <w:spacing w:val="-14"/>
          <w:w w:val="105"/>
        </w:rPr>
        <w:t> </w:t>
      </w:r>
      <w:r>
        <w:rPr>
          <w:color w:val="231F20"/>
          <w:w w:val="105"/>
        </w:rPr>
        <w:t>conclusión,</w:t>
      </w:r>
      <w:r>
        <w:rPr>
          <w:color w:val="231F20"/>
          <w:spacing w:val="-19"/>
          <w:w w:val="105"/>
        </w:rPr>
        <w:t> </w:t>
      </w:r>
      <w:r>
        <w:rPr>
          <w:color w:val="231F20"/>
          <w:w w:val="105"/>
        </w:rPr>
        <w:t>una</w:t>
      </w:r>
      <w:r>
        <w:rPr>
          <w:color w:val="231F20"/>
          <w:spacing w:val="-14"/>
          <w:w w:val="105"/>
        </w:rPr>
        <w:t> </w:t>
      </w:r>
      <w:r>
        <w:rPr>
          <w:color w:val="231F20"/>
          <w:w w:val="105"/>
        </w:rPr>
        <w:t>empresa</w:t>
      </w:r>
      <w:r>
        <w:rPr>
          <w:color w:val="231F20"/>
          <w:spacing w:val="-14"/>
          <w:w w:val="105"/>
        </w:rPr>
        <w:t> </w:t>
      </w:r>
      <w:r>
        <w:rPr>
          <w:color w:val="231F20"/>
          <w:w w:val="105"/>
        </w:rPr>
        <w:t>no</w:t>
      </w:r>
      <w:r>
        <w:rPr>
          <w:color w:val="231F20"/>
          <w:spacing w:val="-14"/>
          <w:w w:val="105"/>
        </w:rPr>
        <w:t> </w:t>
      </w:r>
      <w:r>
        <w:rPr>
          <w:color w:val="231F20"/>
          <w:w w:val="105"/>
        </w:rPr>
        <w:t>puede</w:t>
      </w:r>
      <w:r>
        <w:rPr>
          <w:color w:val="231F20"/>
          <w:spacing w:val="-14"/>
          <w:w w:val="105"/>
        </w:rPr>
        <w:t> </w:t>
      </w:r>
      <w:r>
        <w:rPr>
          <w:color w:val="231F20"/>
          <w:w w:val="105"/>
        </w:rPr>
        <w:t>controlar</w:t>
      </w:r>
      <w:r>
        <w:rPr>
          <w:color w:val="231F20"/>
          <w:spacing w:val="-14"/>
          <w:w w:val="105"/>
        </w:rPr>
        <w:t> </w:t>
      </w:r>
      <w:r>
        <w:rPr>
          <w:color w:val="231F20"/>
          <w:w w:val="105"/>
        </w:rPr>
        <w:t>los</w:t>
      </w:r>
      <w:r>
        <w:rPr>
          <w:color w:val="231F20"/>
          <w:spacing w:val="-14"/>
          <w:w w:val="105"/>
        </w:rPr>
        <w:t> </w:t>
      </w:r>
      <w:r>
        <w:rPr>
          <w:color w:val="231F20"/>
          <w:w w:val="105"/>
        </w:rPr>
        <w:t>acontecimien- tos de su entorno pero sí prever lo que podría suceder. Cuando el am- biente es visto a través de la evolución de sus recursos y</w:t>
      </w:r>
      <w:r>
        <w:rPr>
          <w:color w:val="231F20"/>
          <w:spacing w:val="-22"/>
          <w:w w:val="105"/>
        </w:rPr>
        <w:t> </w:t>
      </w:r>
      <w:r>
        <w:rPr>
          <w:color w:val="231F20"/>
          <w:w w:val="105"/>
        </w:rPr>
        <w:t>capacidades, la</w:t>
      </w:r>
      <w:r>
        <w:rPr>
          <w:color w:val="231F20"/>
          <w:spacing w:val="-6"/>
          <w:w w:val="105"/>
        </w:rPr>
        <w:t> </w:t>
      </w:r>
      <w:r>
        <w:rPr>
          <w:color w:val="231F20"/>
          <w:w w:val="105"/>
        </w:rPr>
        <w:t>empresa</w:t>
      </w:r>
      <w:r>
        <w:rPr>
          <w:color w:val="231F20"/>
          <w:spacing w:val="-6"/>
          <w:w w:val="105"/>
        </w:rPr>
        <w:t> </w:t>
      </w:r>
      <w:r>
        <w:rPr>
          <w:color w:val="231F20"/>
          <w:w w:val="105"/>
        </w:rPr>
        <w:t>ejerce</w:t>
      </w:r>
      <w:r>
        <w:rPr>
          <w:color w:val="231F20"/>
          <w:spacing w:val="-6"/>
          <w:w w:val="105"/>
        </w:rPr>
        <w:t> </w:t>
      </w:r>
      <w:r>
        <w:rPr>
          <w:color w:val="231F20"/>
          <w:w w:val="105"/>
        </w:rPr>
        <w:t>control</w:t>
      </w:r>
      <w:r>
        <w:rPr>
          <w:color w:val="231F20"/>
          <w:spacing w:val="-6"/>
          <w:w w:val="105"/>
        </w:rPr>
        <w:t> </w:t>
      </w:r>
      <w:r>
        <w:rPr>
          <w:color w:val="231F20"/>
          <w:w w:val="105"/>
        </w:rPr>
        <w:t>sobre</w:t>
      </w:r>
      <w:r>
        <w:rPr>
          <w:color w:val="231F20"/>
          <w:spacing w:val="-6"/>
          <w:w w:val="105"/>
        </w:rPr>
        <w:t> </w:t>
      </w:r>
      <w:r>
        <w:rPr>
          <w:color w:val="231F20"/>
          <w:w w:val="105"/>
        </w:rPr>
        <w:t>su</w:t>
      </w:r>
      <w:r>
        <w:rPr>
          <w:color w:val="231F20"/>
          <w:spacing w:val="-6"/>
          <w:w w:val="105"/>
        </w:rPr>
        <w:t> </w:t>
      </w:r>
      <w:r>
        <w:rPr>
          <w:color w:val="231F20"/>
          <w:w w:val="105"/>
        </w:rPr>
        <w:t>propio</w:t>
      </w:r>
      <w:r>
        <w:rPr>
          <w:color w:val="231F20"/>
          <w:spacing w:val="-6"/>
          <w:w w:val="105"/>
        </w:rPr>
        <w:t> </w:t>
      </w:r>
      <w:r>
        <w:rPr>
          <w:color w:val="231F20"/>
          <w:w w:val="105"/>
        </w:rPr>
        <w:t>destino</w:t>
      </w:r>
      <w:r>
        <w:rPr>
          <w:color w:val="231F20"/>
          <w:spacing w:val="-6"/>
          <w:w w:val="105"/>
        </w:rPr>
        <w:t> </w:t>
      </w:r>
      <w:r>
        <w:rPr>
          <w:color w:val="231F20"/>
          <w:w w:val="105"/>
        </w:rPr>
        <w:t>y</w:t>
      </w:r>
      <w:r>
        <w:rPr>
          <w:color w:val="231F20"/>
          <w:spacing w:val="-6"/>
          <w:w w:val="105"/>
        </w:rPr>
        <w:t> </w:t>
      </w:r>
      <w:r>
        <w:rPr>
          <w:color w:val="231F20"/>
          <w:w w:val="105"/>
        </w:rPr>
        <w:t>desarrolla</w:t>
      </w:r>
      <w:r>
        <w:rPr>
          <w:color w:val="231F20"/>
          <w:spacing w:val="-6"/>
          <w:w w:val="105"/>
        </w:rPr>
        <w:t> </w:t>
      </w:r>
      <w:r>
        <w:rPr>
          <w:color w:val="231F20"/>
          <w:w w:val="105"/>
        </w:rPr>
        <w:t>aspectos distintivos</w:t>
      </w:r>
      <w:r>
        <w:rPr>
          <w:color w:val="231F20"/>
          <w:spacing w:val="-27"/>
          <w:w w:val="105"/>
        </w:rPr>
        <w:t> </w:t>
      </w:r>
      <w:r>
        <w:rPr>
          <w:color w:val="231F20"/>
          <w:w w:val="105"/>
        </w:rPr>
        <w:t>internos.</w:t>
      </w:r>
      <w:r>
        <w:rPr>
          <w:color w:val="231F20"/>
          <w:spacing w:val="-32"/>
          <w:w w:val="105"/>
        </w:rPr>
        <w:t> </w:t>
      </w:r>
      <w:r>
        <w:rPr>
          <w:color w:val="231F20"/>
          <w:w w:val="105"/>
        </w:rPr>
        <w:t>S</w:t>
      </w:r>
      <w:r>
        <w:rPr>
          <w:w w:val="105"/>
        </w:rPr>
        <w:t>e</w:t>
      </w:r>
      <w:r>
        <w:rPr>
          <w:spacing w:val="-27"/>
          <w:w w:val="105"/>
        </w:rPr>
        <w:t> </w:t>
      </w:r>
      <w:r>
        <w:rPr>
          <w:w w:val="105"/>
        </w:rPr>
        <w:t>involucra</w:t>
      </w:r>
      <w:r>
        <w:rPr>
          <w:spacing w:val="-27"/>
          <w:w w:val="105"/>
        </w:rPr>
        <w:t> </w:t>
      </w:r>
      <w:r>
        <w:rPr>
          <w:w w:val="105"/>
        </w:rPr>
        <w:t>en</w:t>
      </w:r>
      <w:r>
        <w:rPr>
          <w:spacing w:val="-27"/>
          <w:w w:val="105"/>
        </w:rPr>
        <w:t> </w:t>
      </w:r>
      <w:r>
        <w:rPr>
          <w:w w:val="105"/>
        </w:rPr>
        <w:t>un</w:t>
      </w:r>
      <w:r>
        <w:rPr>
          <w:spacing w:val="-27"/>
          <w:w w:val="105"/>
        </w:rPr>
        <w:t> </w:t>
      </w:r>
      <w:r>
        <w:rPr>
          <w:w w:val="105"/>
        </w:rPr>
        <w:t>proceso</w:t>
      </w:r>
      <w:r>
        <w:rPr>
          <w:spacing w:val="-27"/>
          <w:w w:val="105"/>
        </w:rPr>
        <w:t> </w:t>
      </w:r>
      <w:r>
        <w:rPr>
          <w:w w:val="105"/>
        </w:rPr>
        <w:t>dinámico</w:t>
      </w:r>
      <w:r>
        <w:rPr>
          <w:spacing w:val="-27"/>
          <w:w w:val="105"/>
        </w:rPr>
        <w:t> </w:t>
      </w:r>
      <w:r>
        <w:rPr>
          <w:w w:val="105"/>
        </w:rPr>
        <w:t>de</w:t>
      </w:r>
      <w:r>
        <w:rPr>
          <w:spacing w:val="-27"/>
          <w:w w:val="105"/>
        </w:rPr>
        <w:t> </w:t>
      </w:r>
      <w:r>
        <w:rPr>
          <w:w w:val="105"/>
        </w:rPr>
        <w:t>acumulación y mejora de sus determinantes competitivos (</w:t>
      </w:r>
      <w:r>
        <w:rPr>
          <w:color w:val="231F20"/>
          <w:w w:val="105"/>
        </w:rPr>
        <w:t>tecnología de la estructu- ra productiva, sistema de administración, mercado, gestión de calidad, gestión financiera y sistema de información</w:t>
      </w:r>
      <w:r>
        <w:rPr>
          <w:w w:val="105"/>
        </w:rPr>
        <w:t>), dirige sus estrategias a la identificación</w:t>
      </w:r>
      <w:r>
        <w:rPr>
          <w:spacing w:val="-22"/>
          <w:w w:val="105"/>
        </w:rPr>
        <w:t> </w:t>
      </w:r>
      <w:r>
        <w:rPr>
          <w:w w:val="105"/>
        </w:rPr>
        <w:t>de</w:t>
      </w:r>
      <w:r>
        <w:rPr>
          <w:spacing w:val="-22"/>
          <w:w w:val="105"/>
        </w:rPr>
        <w:t> </w:t>
      </w:r>
      <w:r>
        <w:rPr>
          <w:w w:val="105"/>
        </w:rPr>
        <w:t>actividades</w:t>
      </w:r>
      <w:r>
        <w:rPr>
          <w:spacing w:val="-22"/>
          <w:w w:val="105"/>
        </w:rPr>
        <w:t> </w:t>
      </w:r>
      <w:r>
        <w:rPr>
          <w:w w:val="105"/>
        </w:rPr>
        <w:t>que</w:t>
      </w:r>
      <w:r>
        <w:rPr>
          <w:spacing w:val="-22"/>
          <w:w w:val="105"/>
        </w:rPr>
        <w:t> </w:t>
      </w:r>
      <w:r>
        <w:rPr>
          <w:w w:val="105"/>
        </w:rPr>
        <w:t>generen</w:t>
      </w:r>
      <w:r>
        <w:rPr>
          <w:spacing w:val="-22"/>
          <w:w w:val="105"/>
        </w:rPr>
        <w:t> </w:t>
      </w:r>
      <w:r>
        <w:rPr>
          <w:w w:val="105"/>
        </w:rPr>
        <w:t>valor</w:t>
      </w:r>
      <w:r>
        <w:rPr>
          <w:spacing w:val="-22"/>
          <w:w w:val="105"/>
        </w:rPr>
        <w:t> </w:t>
      </w:r>
      <w:r>
        <w:rPr>
          <w:w w:val="105"/>
        </w:rPr>
        <w:t>y</w:t>
      </w:r>
      <w:r>
        <w:rPr>
          <w:spacing w:val="-22"/>
          <w:w w:val="105"/>
        </w:rPr>
        <w:t> </w:t>
      </w:r>
      <w:r>
        <w:rPr>
          <w:w w:val="105"/>
        </w:rPr>
        <w:t>desarrolla</w:t>
      </w:r>
      <w:r>
        <w:rPr>
          <w:spacing w:val="-22"/>
          <w:w w:val="105"/>
        </w:rPr>
        <w:t> </w:t>
      </w:r>
      <w:r>
        <w:rPr>
          <w:w w:val="105"/>
        </w:rPr>
        <w:t>mecanismos para</w:t>
      </w:r>
      <w:r>
        <w:rPr>
          <w:spacing w:val="-10"/>
          <w:w w:val="105"/>
        </w:rPr>
        <w:t> </w:t>
      </w:r>
      <w:r>
        <w:rPr>
          <w:w w:val="105"/>
        </w:rPr>
        <w:t>sobresalir</w:t>
      </w:r>
      <w:r>
        <w:rPr>
          <w:spacing w:val="-10"/>
          <w:w w:val="105"/>
        </w:rPr>
        <w:t> </w:t>
      </w:r>
      <w:r>
        <w:rPr>
          <w:w w:val="105"/>
        </w:rPr>
        <w:t>y</w:t>
      </w:r>
      <w:r>
        <w:rPr>
          <w:spacing w:val="-10"/>
          <w:w w:val="105"/>
        </w:rPr>
        <w:t> </w:t>
      </w:r>
      <w:r>
        <w:rPr>
          <w:w w:val="105"/>
        </w:rPr>
        <w:t>alcanzar</w:t>
      </w:r>
      <w:r>
        <w:rPr>
          <w:spacing w:val="-10"/>
          <w:w w:val="105"/>
        </w:rPr>
        <w:t> </w:t>
      </w:r>
      <w:r>
        <w:rPr>
          <w:w w:val="105"/>
        </w:rPr>
        <w:t>una</w:t>
      </w:r>
      <w:r>
        <w:rPr>
          <w:spacing w:val="-10"/>
          <w:w w:val="105"/>
        </w:rPr>
        <w:t> </w:t>
      </w:r>
      <w:r>
        <w:rPr>
          <w:w w:val="105"/>
        </w:rPr>
        <w:t>posición</w:t>
      </w:r>
      <w:r>
        <w:rPr>
          <w:spacing w:val="-10"/>
          <w:w w:val="105"/>
        </w:rPr>
        <w:t> </w:t>
      </w:r>
      <w:r>
        <w:rPr>
          <w:w w:val="105"/>
        </w:rPr>
        <w:t>privilegiada</w:t>
      </w:r>
      <w:r>
        <w:rPr>
          <w:spacing w:val="-10"/>
          <w:w w:val="105"/>
        </w:rPr>
        <w:t> </w:t>
      </w:r>
      <w:r>
        <w:rPr>
          <w:w w:val="105"/>
        </w:rPr>
        <w:t>dentro</w:t>
      </w:r>
      <w:r>
        <w:rPr>
          <w:spacing w:val="-10"/>
          <w:w w:val="105"/>
        </w:rPr>
        <w:t> </w:t>
      </w:r>
      <w:r>
        <w:rPr>
          <w:w w:val="105"/>
        </w:rPr>
        <w:t>de</w:t>
      </w:r>
      <w:r>
        <w:rPr>
          <w:spacing w:val="-10"/>
          <w:w w:val="105"/>
        </w:rPr>
        <w:t> </w:t>
      </w:r>
      <w:r>
        <w:rPr>
          <w:w w:val="105"/>
        </w:rPr>
        <w:t>su</w:t>
      </w:r>
      <w:r>
        <w:rPr>
          <w:spacing w:val="-10"/>
          <w:w w:val="105"/>
        </w:rPr>
        <w:t> </w:t>
      </w:r>
      <w:r>
        <w:rPr>
          <w:w w:val="105"/>
        </w:rPr>
        <w:t>sector, lo</w:t>
      </w:r>
      <w:r>
        <w:rPr>
          <w:spacing w:val="-16"/>
          <w:w w:val="105"/>
        </w:rPr>
        <w:t> </w:t>
      </w:r>
      <w:r>
        <w:rPr>
          <w:w w:val="105"/>
        </w:rPr>
        <w:t>cual</w:t>
      </w:r>
      <w:r>
        <w:rPr>
          <w:spacing w:val="-16"/>
          <w:w w:val="105"/>
        </w:rPr>
        <w:t> </w:t>
      </w:r>
      <w:r>
        <w:rPr>
          <w:w w:val="105"/>
        </w:rPr>
        <w:t>le</w:t>
      </w:r>
      <w:r>
        <w:rPr>
          <w:spacing w:val="-16"/>
          <w:w w:val="105"/>
        </w:rPr>
        <w:t> </w:t>
      </w:r>
      <w:r>
        <w:rPr>
          <w:w w:val="105"/>
        </w:rPr>
        <w:t>permitiría</w:t>
      </w:r>
      <w:r>
        <w:rPr>
          <w:spacing w:val="-16"/>
          <w:w w:val="105"/>
        </w:rPr>
        <w:t> </w:t>
      </w:r>
      <w:r>
        <w:rPr>
          <w:w w:val="105"/>
        </w:rPr>
        <w:t>sostenerse</w:t>
      </w:r>
      <w:r>
        <w:rPr>
          <w:spacing w:val="-16"/>
          <w:w w:val="105"/>
        </w:rPr>
        <w:t> </w:t>
      </w:r>
      <w:r>
        <w:rPr>
          <w:w w:val="105"/>
        </w:rPr>
        <w:t>en</w:t>
      </w:r>
      <w:r>
        <w:rPr>
          <w:spacing w:val="-16"/>
          <w:w w:val="105"/>
        </w:rPr>
        <w:t> </w:t>
      </w:r>
      <w:r>
        <w:rPr>
          <w:w w:val="105"/>
        </w:rPr>
        <w:t>el</w:t>
      </w:r>
      <w:r>
        <w:rPr>
          <w:spacing w:val="-16"/>
          <w:w w:val="105"/>
        </w:rPr>
        <w:t> </w:t>
      </w:r>
      <w:r>
        <w:rPr>
          <w:w w:val="105"/>
        </w:rPr>
        <w:t>largo</w:t>
      </w:r>
      <w:r>
        <w:rPr>
          <w:spacing w:val="-16"/>
          <w:w w:val="105"/>
        </w:rPr>
        <w:t> </w:t>
      </w:r>
      <w:r>
        <w:rPr>
          <w:w w:val="105"/>
        </w:rPr>
        <w:t>plazo.</w:t>
      </w:r>
    </w:p>
    <w:p>
      <w:pPr>
        <w:pStyle w:val="BodyText"/>
        <w:spacing w:line="259" w:lineRule="auto"/>
        <w:ind w:left="117" w:right="116" w:firstLine="567"/>
        <w:jc w:val="both"/>
      </w:pPr>
      <w:r>
        <w:rPr>
          <w:color w:val="231F20"/>
          <w:w w:val="105"/>
        </w:rPr>
        <w:t>Independientemente de la diversidad de conceptos debatidos en la</w:t>
      </w:r>
      <w:r>
        <w:rPr>
          <w:color w:val="231F20"/>
          <w:spacing w:val="-21"/>
          <w:w w:val="105"/>
        </w:rPr>
        <w:t> </w:t>
      </w:r>
      <w:r>
        <w:rPr>
          <w:color w:val="231F20"/>
          <w:w w:val="105"/>
        </w:rPr>
        <w:t>gestión</w:t>
      </w:r>
      <w:r>
        <w:rPr>
          <w:color w:val="231F20"/>
          <w:spacing w:val="-21"/>
          <w:w w:val="105"/>
        </w:rPr>
        <w:t> </w:t>
      </w:r>
      <w:r>
        <w:rPr>
          <w:color w:val="231F20"/>
          <w:w w:val="105"/>
        </w:rPr>
        <w:t>empresarial,</w:t>
      </w:r>
      <w:r>
        <w:rPr>
          <w:color w:val="231F20"/>
          <w:spacing w:val="-27"/>
          <w:w w:val="105"/>
        </w:rPr>
        <w:t> </w:t>
      </w:r>
      <w:r>
        <w:rPr>
          <w:color w:val="231F20"/>
          <w:w w:val="105"/>
        </w:rPr>
        <w:t>especialmente</w:t>
      </w:r>
      <w:r>
        <w:rPr>
          <w:color w:val="231F20"/>
          <w:spacing w:val="-21"/>
          <w:w w:val="105"/>
        </w:rPr>
        <w:t> </w:t>
      </w:r>
      <w:r>
        <w:rPr>
          <w:color w:val="231F20"/>
          <w:w w:val="105"/>
        </w:rPr>
        <w:t>en</w:t>
      </w:r>
      <w:r>
        <w:rPr>
          <w:color w:val="231F20"/>
          <w:spacing w:val="-21"/>
          <w:w w:val="105"/>
        </w:rPr>
        <w:t> </w:t>
      </w:r>
      <w:r>
        <w:rPr>
          <w:color w:val="231F20"/>
          <w:w w:val="105"/>
        </w:rPr>
        <w:t>torno</w:t>
      </w:r>
      <w:r>
        <w:rPr>
          <w:color w:val="231F20"/>
          <w:spacing w:val="-21"/>
          <w:w w:val="105"/>
        </w:rPr>
        <w:t> </w:t>
      </w:r>
      <w:r>
        <w:rPr>
          <w:color w:val="231F20"/>
          <w:w w:val="105"/>
        </w:rPr>
        <w:t>al</w:t>
      </w:r>
      <w:r>
        <w:rPr>
          <w:color w:val="231F20"/>
          <w:spacing w:val="-21"/>
          <w:w w:val="105"/>
        </w:rPr>
        <w:t> </w:t>
      </w:r>
      <w:r>
        <w:rPr>
          <w:color w:val="231F20"/>
          <w:w w:val="105"/>
        </w:rPr>
        <w:t>tipo</w:t>
      </w:r>
      <w:r>
        <w:rPr>
          <w:color w:val="231F20"/>
          <w:spacing w:val="-21"/>
          <w:w w:val="105"/>
        </w:rPr>
        <w:t> </w:t>
      </w:r>
      <w:r>
        <w:rPr>
          <w:color w:val="231F20"/>
          <w:w w:val="105"/>
        </w:rPr>
        <w:t>y</w:t>
      </w:r>
      <w:r>
        <w:rPr>
          <w:color w:val="231F20"/>
          <w:spacing w:val="-21"/>
          <w:w w:val="105"/>
        </w:rPr>
        <w:t> </w:t>
      </w:r>
      <w:r>
        <w:rPr>
          <w:color w:val="231F20"/>
          <w:w w:val="105"/>
        </w:rPr>
        <w:t>tamaño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em- presa,</w:t>
      </w:r>
      <w:r>
        <w:rPr>
          <w:color w:val="231F20"/>
          <w:spacing w:val="-18"/>
          <w:w w:val="105"/>
        </w:rPr>
        <w:t> </w:t>
      </w:r>
      <w:r>
        <w:rPr>
          <w:color w:val="231F20"/>
          <w:w w:val="105"/>
        </w:rPr>
        <w:t>países</w:t>
      </w:r>
      <w:r>
        <w:rPr>
          <w:color w:val="231F20"/>
          <w:spacing w:val="-13"/>
          <w:w w:val="105"/>
        </w:rPr>
        <w:t> </w:t>
      </w:r>
      <w:r>
        <w:rPr>
          <w:color w:val="231F20"/>
          <w:w w:val="105"/>
        </w:rPr>
        <w:t>y</w:t>
      </w:r>
      <w:r>
        <w:rPr>
          <w:color w:val="231F20"/>
          <w:spacing w:val="-13"/>
          <w:w w:val="105"/>
        </w:rPr>
        <w:t> </w:t>
      </w:r>
      <w:r>
        <w:rPr>
          <w:color w:val="231F20"/>
          <w:w w:val="105"/>
        </w:rPr>
        <w:t>nivel</w:t>
      </w:r>
      <w:r>
        <w:rPr>
          <w:color w:val="231F20"/>
          <w:spacing w:val="-13"/>
          <w:w w:val="105"/>
        </w:rPr>
        <w:t> </w:t>
      </w:r>
      <w:r>
        <w:rPr>
          <w:color w:val="231F20"/>
          <w:w w:val="105"/>
        </w:rPr>
        <w:t>de</w:t>
      </w:r>
      <w:r>
        <w:rPr>
          <w:color w:val="231F20"/>
          <w:spacing w:val="-13"/>
          <w:w w:val="105"/>
        </w:rPr>
        <w:t> </w:t>
      </w:r>
      <w:r>
        <w:rPr>
          <w:color w:val="231F20"/>
          <w:w w:val="105"/>
        </w:rPr>
        <w:t>desarrollo,</w:t>
      </w:r>
      <w:r>
        <w:rPr>
          <w:color w:val="231F20"/>
          <w:spacing w:val="-18"/>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orientación</w:t>
      </w:r>
      <w:r>
        <w:rPr>
          <w:color w:val="231F20"/>
          <w:spacing w:val="-13"/>
          <w:w w:val="105"/>
        </w:rPr>
        <w:t> </w:t>
      </w:r>
      <w:r>
        <w:rPr>
          <w:color w:val="231F20"/>
          <w:w w:val="105"/>
        </w:rPr>
        <w:t>estratégica básica con mejores perspectivas de éxito y tamaño de la empresa, los determinantes de la competitividad empresarial dependen en gran</w:t>
      </w:r>
      <w:r>
        <w:rPr>
          <w:color w:val="231F20"/>
          <w:spacing w:val="-14"/>
          <w:w w:val="105"/>
        </w:rPr>
        <w:t> </w:t>
      </w:r>
      <w:r>
        <w:rPr>
          <w:color w:val="231F20"/>
          <w:w w:val="105"/>
        </w:rPr>
        <w:t>par- te</w:t>
      </w:r>
      <w:r>
        <w:rPr>
          <w:color w:val="231F20"/>
          <w:spacing w:val="-9"/>
          <w:w w:val="105"/>
        </w:rPr>
        <w:t> </w:t>
      </w:r>
      <w:r>
        <w:rPr>
          <w:color w:val="231F20"/>
          <w:w w:val="105"/>
        </w:rPr>
        <w:t>de:</w:t>
      </w:r>
      <w:r>
        <w:rPr>
          <w:color w:val="231F20"/>
          <w:spacing w:val="-9"/>
          <w:w w:val="105"/>
        </w:rPr>
        <w:t> </w:t>
      </w:r>
      <w:r>
        <w:rPr>
          <w:color w:val="231F20"/>
          <w:w w:val="105"/>
        </w:rPr>
        <w:t>el</w:t>
      </w:r>
      <w:r>
        <w:rPr>
          <w:color w:val="231F20"/>
          <w:spacing w:val="-9"/>
          <w:w w:val="105"/>
        </w:rPr>
        <w:t> </w:t>
      </w:r>
      <w:r>
        <w:rPr>
          <w:color w:val="231F20"/>
          <w:w w:val="105"/>
        </w:rPr>
        <w:t>manejo</w:t>
      </w:r>
      <w:r>
        <w:rPr>
          <w:color w:val="231F20"/>
          <w:spacing w:val="-9"/>
          <w:w w:val="105"/>
        </w:rPr>
        <w:t> </w:t>
      </w:r>
      <w:r>
        <w:rPr>
          <w:color w:val="231F20"/>
          <w:w w:val="105"/>
        </w:rPr>
        <w:t>eficiente</w:t>
      </w:r>
      <w:r>
        <w:rPr>
          <w:color w:val="231F20"/>
          <w:spacing w:val="-9"/>
          <w:w w:val="105"/>
        </w:rPr>
        <w:t> </w:t>
      </w:r>
      <w:r>
        <w:rPr>
          <w:color w:val="231F20"/>
          <w:w w:val="105"/>
        </w:rPr>
        <w:t>de</w:t>
      </w:r>
      <w:r>
        <w:rPr>
          <w:color w:val="231F20"/>
          <w:spacing w:val="-9"/>
          <w:w w:val="105"/>
        </w:rPr>
        <w:t> </w:t>
      </w:r>
      <w:r>
        <w:rPr>
          <w:color w:val="231F20"/>
          <w:w w:val="105"/>
        </w:rPr>
        <w:t>su</w:t>
      </w:r>
      <w:r>
        <w:rPr>
          <w:color w:val="231F20"/>
          <w:spacing w:val="-9"/>
          <w:w w:val="105"/>
        </w:rPr>
        <w:t> </w:t>
      </w:r>
      <w:r>
        <w:rPr>
          <w:color w:val="231F20"/>
          <w:w w:val="105"/>
        </w:rPr>
        <w:t>estrategia,</w:t>
      </w:r>
      <w:r>
        <w:rPr>
          <w:color w:val="231F20"/>
          <w:spacing w:val="-14"/>
          <w:w w:val="105"/>
        </w:rPr>
        <w:t> </w:t>
      </w:r>
      <w:r>
        <w:rPr>
          <w:color w:val="231F20"/>
          <w:w w:val="105"/>
        </w:rPr>
        <w:t>el</w:t>
      </w:r>
      <w:r>
        <w:rPr>
          <w:color w:val="231F20"/>
          <w:spacing w:val="-9"/>
          <w:w w:val="105"/>
        </w:rPr>
        <w:t> </w:t>
      </w:r>
      <w:r>
        <w:rPr>
          <w:color w:val="231F20"/>
          <w:w w:val="105"/>
        </w:rPr>
        <w:t>desarrollo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capacidad de</w:t>
      </w:r>
      <w:r>
        <w:rPr>
          <w:color w:val="231F20"/>
          <w:spacing w:val="-14"/>
          <w:w w:val="105"/>
        </w:rPr>
        <w:t> </w:t>
      </w:r>
      <w:r>
        <w:rPr>
          <w:color w:val="231F20"/>
          <w:w w:val="105"/>
        </w:rPr>
        <w:t>gestión</w:t>
      </w:r>
      <w:r>
        <w:rPr>
          <w:color w:val="231F20"/>
          <w:spacing w:val="-14"/>
          <w:w w:val="105"/>
        </w:rPr>
        <w:t> </w:t>
      </w:r>
      <w:r>
        <w:rPr>
          <w:color w:val="231F20"/>
          <w:w w:val="105"/>
        </w:rPr>
        <w:t>interna</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relación</w:t>
      </w:r>
      <w:r>
        <w:rPr>
          <w:color w:val="231F20"/>
          <w:spacing w:val="-14"/>
          <w:w w:val="105"/>
        </w:rPr>
        <w:t> </w:t>
      </w:r>
      <w:r>
        <w:rPr>
          <w:color w:val="231F20"/>
          <w:w w:val="105"/>
        </w:rPr>
        <w:t>externa</w:t>
      </w:r>
      <w:r>
        <w:rPr>
          <w:color w:val="231F20"/>
          <w:spacing w:val="-14"/>
          <w:w w:val="105"/>
        </w:rPr>
        <w:t> </w:t>
      </w:r>
      <w:r>
        <w:rPr>
          <w:color w:val="231F20"/>
          <w:w w:val="105"/>
        </w:rPr>
        <w:t>que</w:t>
      </w:r>
      <w:r>
        <w:rPr>
          <w:color w:val="231F20"/>
          <w:spacing w:val="-14"/>
          <w:w w:val="105"/>
        </w:rPr>
        <w:t> </w:t>
      </w:r>
      <w:r>
        <w:rPr>
          <w:color w:val="231F20"/>
          <w:w w:val="105"/>
        </w:rPr>
        <w:t>mantengan</w:t>
      </w:r>
      <w:r>
        <w:rPr>
          <w:color w:val="231F20"/>
          <w:spacing w:val="-14"/>
          <w:w w:val="105"/>
        </w:rPr>
        <w:t> </w:t>
      </w:r>
      <w:r>
        <w:rPr>
          <w:color w:val="231F20"/>
          <w:w w:val="105"/>
        </w:rPr>
        <w:t>con</w:t>
      </w:r>
      <w:r>
        <w:rPr>
          <w:color w:val="231F20"/>
          <w:spacing w:val="-14"/>
          <w:w w:val="105"/>
        </w:rPr>
        <w:t> </w:t>
      </w:r>
      <w:r>
        <w:rPr>
          <w:color w:val="231F20"/>
          <w:w w:val="105"/>
        </w:rPr>
        <w:t>sus</w:t>
      </w:r>
      <w:r>
        <w:rPr>
          <w:color w:val="231F20"/>
          <w:spacing w:val="-14"/>
          <w:w w:val="105"/>
        </w:rPr>
        <w:t> </w:t>
      </w:r>
      <w:r>
        <w:rPr>
          <w:color w:val="231F20"/>
          <w:w w:val="105"/>
        </w:rPr>
        <w:t>clientes, proveedores, competidores y grupos de interés; el énfasis dado a acti- vidades de investigación y desarrollo para la innovación de productos, procesos</w:t>
      </w:r>
      <w:r>
        <w:rPr>
          <w:color w:val="231F20"/>
          <w:spacing w:val="-7"/>
          <w:w w:val="105"/>
        </w:rPr>
        <w:t> </w:t>
      </w:r>
      <w:r>
        <w:rPr>
          <w:color w:val="231F20"/>
          <w:w w:val="105"/>
        </w:rPr>
        <w:t>y</w:t>
      </w:r>
      <w:r>
        <w:rPr>
          <w:color w:val="231F20"/>
          <w:spacing w:val="-7"/>
          <w:w w:val="105"/>
        </w:rPr>
        <w:t> </w:t>
      </w:r>
      <w:r>
        <w:rPr>
          <w:color w:val="231F20"/>
          <w:w w:val="105"/>
        </w:rPr>
        <w:t>servicio</w:t>
      </w:r>
      <w:r>
        <w:rPr>
          <w:color w:val="231F20"/>
          <w:spacing w:val="-7"/>
          <w:w w:val="105"/>
        </w:rPr>
        <w:t> </w:t>
      </w:r>
      <w:r>
        <w:rPr>
          <w:color w:val="231F20"/>
          <w:w w:val="105"/>
        </w:rPr>
        <w:t>que</w:t>
      </w:r>
      <w:r>
        <w:rPr>
          <w:color w:val="231F20"/>
          <w:spacing w:val="-7"/>
          <w:w w:val="105"/>
        </w:rPr>
        <w:t> </w:t>
      </w:r>
      <w:r>
        <w:rPr>
          <w:color w:val="231F20"/>
          <w:w w:val="105"/>
        </w:rPr>
        <w:t>ofrecen;</w:t>
      </w:r>
      <w:r>
        <w:rPr>
          <w:color w:val="231F20"/>
          <w:spacing w:val="-7"/>
          <w:w w:val="105"/>
        </w:rPr>
        <w:t> </w:t>
      </w:r>
      <w:r>
        <w:rPr>
          <w:color w:val="231F20"/>
          <w:w w:val="105"/>
        </w:rPr>
        <w:t>el</w:t>
      </w:r>
      <w:r>
        <w:rPr>
          <w:color w:val="231F20"/>
          <w:spacing w:val="-7"/>
          <w:w w:val="105"/>
        </w:rPr>
        <w:t> </w:t>
      </w:r>
      <w:r>
        <w:rPr>
          <w:color w:val="231F20"/>
          <w:w w:val="105"/>
        </w:rPr>
        <w:t>manejo</w:t>
      </w:r>
      <w:r>
        <w:rPr>
          <w:color w:val="231F20"/>
          <w:spacing w:val="-7"/>
          <w:w w:val="105"/>
        </w:rPr>
        <w:t> </w:t>
      </w:r>
      <w:r>
        <w:rPr>
          <w:color w:val="231F20"/>
          <w:w w:val="105"/>
        </w:rPr>
        <w:t>exitoso</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recursos</w:t>
      </w:r>
      <w:r>
        <w:rPr>
          <w:color w:val="231F20"/>
          <w:spacing w:val="-7"/>
          <w:w w:val="105"/>
        </w:rPr>
        <w:t> </w:t>
      </w:r>
      <w:r>
        <w:rPr>
          <w:color w:val="231F20"/>
          <w:w w:val="105"/>
        </w:rPr>
        <w:t>que conducen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rentabilidad</w:t>
      </w:r>
      <w:r>
        <w:rPr>
          <w:color w:val="231F20"/>
          <w:spacing w:val="-14"/>
          <w:w w:val="105"/>
        </w:rPr>
        <w:t> </w:t>
      </w:r>
      <w:r>
        <w:rPr>
          <w:color w:val="231F20"/>
          <w:w w:val="105"/>
        </w:rPr>
        <w:t>y</w:t>
      </w:r>
      <w:r>
        <w:rPr>
          <w:color w:val="231F20"/>
          <w:spacing w:val="-14"/>
          <w:w w:val="105"/>
        </w:rPr>
        <w:t> </w:t>
      </w:r>
      <w:r>
        <w:rPr>
          <w:color w:val="231F20"/>
          <w:w w:val="105"/>
        </w:rPr>
        <w:t>al</w:t>
      </w:r>
      <w:r>
        <w:rPr>
          <w:color w:val="231F20"/>
          <w:spacing w:val="-14"/>
          <w:w w:val="105"/>
        </w:rPr>
        <w:t> </w:t>
      </w:r>
      <w:r>
        <w:rPr>
          <w:color w:val="231F20"/>
          <w:w w:val="105"/>
        </w:rPr>
        <w:t>mejoramiento</w:t>
      </w:r>
      <w:r>
        <w:rPr>
          <w:color w:val="231F20"/>
          <w:spacing w:val="-14"/>
          <w:w w:val="105"/>
        </w:rPr>
        <w:t> </w:t>
      </w:r>
      <w:r>
        <w:rPr>
          <w:color w:val="231F20"/>
          <w:w w:val="105"/>
        </w:rPr>
        <w:t>de</w:t>
      </w:r>
      <w:r>
        <w:rPr>
          <w:color w:val="231F20"/>
          <w:spacing w:val="-14"/>
          <w:w w:val="105"/>
        </w:rPr>
        <w:t> </w:t>
      </w:r>
      <w:r>
        <w:rPr>
          <w:color w:val="231F20"/>
          <w:w w:val="105"/>
        </w:rPr>
        <w:t>su</w:t>
      </w:r>
      <w:r>
        <w:rPr>
          <w:color w:val="231F20"/>
          <w:spacing w:val="-14"/>
          <w:w w:val="105"/>
        </w:rPr>
        <w:t> </w:t>
      </w:r>
      <w:r>
        <w:rPr>
          <w:color w:val="231F20"/>
          <w:w w:val="105"/>
        </w:rPr>
        <w:t>imagen;</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iden- tificación</w:t>
      </w:r>
      <w:r>
        <w:rPr>
          <w:color w:val="231F20"/>
          <w:spacing w:val="-11"/>
          <w:w w:val="105"/>
        </w:rPr>
        <w:t> </w:t>
      </w:r>
      <w:r>
        <w:rPr>
          <w:color w:val="231F20"/>
          <w:w w:val="105"/>
        </w:rPr>
        <w:t>de</w:t>
      </w:r>
      <w:r>
        <w:rPr>
          <w:color w:val="231F20"/>
          <w:spacing w:val="-11"/>
          <w:w w:val="105"/>
        </w:rPr>
        <w:t> </w:t>
      </w:r>
      <w:r>
        <w:rPr>
          <w:color w:val="231F20"/>
          <w:w w:val="105"/>
        </w:rPr>
        <w:t>actividades</w:t>
      </w:r>
      <w:r>
        <w:rPr>
          <w:color w:val="231F20"/>
          <w:spacing w:val="-11"/>
          <w:w w:val="105"/>
        </w:rPr>
        <w:t> </w:t>
      </w:r>
      <w:r>
        <w:rPr>
          <w:color w:val="231F20"/>
          <w:w w:val="105"/>
        </w:rPr>
        <w:t>que</w:t>
      </w:r>
      <w:r>
        <w:rPr>
          <w:color w:val="231F20"/>
          <w:spacing w:val="-11"/>
          <w:w w:val="105"/>
        </w:rPr>
        <w:t> </w:t>
      </w:r>
      <w:r>
        <w:rPr>
          <w:color w:val="231F20"/>
          <w:w w:val="105"/>
        </w:rPr>
        <w:t>generen</w:t>
      </w:r>
      <w:r>
        <w:rPr>
          <w:color w:val="231F20"/>
          <w:spacing w:val="-11"/>
          <w:w w:val="105"/>
        </w:rPr>
        <w:t> </w:t>
      </w:r>
      <w:r>
        <w:rPr>
          <w:color w:val="231F20"/>
          <w:w w:val="105"/>
        </w:rPr>
        <w:t>valor</w:t>
      </w:r>
      <w:r>
        <w:rPr>
          <w:color w:val="231F20"/>
          <w:spacing w:val="-11"/>
          <w:w w:val="105"/>
        </w:rPr>
        <w:t> </w:t>
      </w:r>
      <w:r>
        <w:rPr>
          <w:color w:val="231F20"/>
          <w:w w:val="105"/>
        </w:rPr>
        <w:t>agregado.</w:t>
      </w:r>
    </w:p>
    <w:p>
      <w:pPr>
        <w:spacing w:after="0" w:line="259" w:lineRule="auto"/>
        <w:jc w:val="both"/>
        <w:sectPr>
          <w:pgSz w:w="9640" w:h="13890"/>
          <w:pgMar w:top="0" w:bottom="280" w:left="1300" w:right="1180"/>
        </w:sectPr>
      </w:pPr>
    </w:p>
    <w:p>
      <w:pPr>
        <w:pStyle w:val="Heading2"/>
        <w:spacing w:before="121"/>
        <w:ind w:left="103" w:right="17"/>
        <w:jc w:val="left"/>
      </w:pPr>
      <w:r>
        <w:rPr>
          <w:color w:val="231F20"/>
        </w:rPr>
        <w:t>Referencias</w:t>
      </w:r>
    </w:p>
    <w:p>
      <w:pPr>
        <w:pStyle w:val="BodyText"/>
        <w:rPr>
          <w:b/>
          <w:sz w:val="22"/>
        </w:rPr>
      </w:pPr>
    </w:p>
    <w:p>
      <w:pPr>
        <w:spacing w:line="259" w:lineRule="auto" w:before="160"/>
        <w:ind w:left="841" w:right="115" w:hanging="738"/>
        <w:jc w:val="both"/>
        <w:rPr>
          <w:sz w:val="21"/>
        </w:rPr>
      </w:pPr>
      <w:r>
        <w:rPr>
          <w:color w:val="231F20"/>
          <w:w w:val="105"/>
          <w:sz w:val="21"/>
        </w:rPr>
        <w:t>Barney,</w:t>
      </w:r>
      <w:r>
        <w:rPr>
          <w:color w:val="231F20"/>
          <w:spacing w:val="-26"/>
          <w:w w:val="105"/>
          <w:sz w:val="21"/>
        </w:rPr>
        <w:t> </w:t>
      </w:r>
      <w:r>
        <w:rPr>
          <w:color w:val="231F20"/>
          <w:w w:val="105"/>
          <w:sz w:val="21"/>
        </w:rPr>
        <w:t>J.</w:t>
      </w:r>
      <w:r>
        <w:rPr>
          <w:color w:val="231F20"/>
          <w:spacing w:val="-25"/>
          <w:w w:val="105"/>
          <w:sz w:val="21"/>
        </w:rPr>
        <w:t> </w:t>
      </w:r>
      <w:r>
        <w:rPr>
          <w:color w:val="231F20"/>
          <w:w w:val="105"/>
          <w:sz w:val="21"/>
        </w:rPr>
        <w:t>B.</w:t>
      </w:r>
      <w:r>
        <w:rPr>
          <w:color w:val="231F20"/>
          <w:spacing w:val="-25"/>
          <w:w w:val="105"/>
          <w:sz w:val="21"/>
        </w:rPr>
        <w:t> </w:t>
      </w:r>
      <w:r>
        <w:rPr>
          <w:color w:val="231F20"/>
          <w:w w:val="105"/>
          <w:sz w:val="21"/>
        </w:rPr>
        <w:t>(1991).</w:t>
      </w:r>
      <w:r>
        <w:rPr>
          <w:color w:val="231F20"/>
          <w:spacing w:val="-25"/>
          <w:w w:val="105"/>
          <w:sz w:val="21"/>
        </w:rPr>
        <w:t> </w:t>
      </w:r>
      <w:r>
        <w:rPr>
          <w:color w:val="231F20"/>
          <w:w w:val="105"/>
          <w:sz w:val="21"/>
        </w:rPr>
        <w:t>“Resources</w:t>
      </w:r>
      <w:r>
        <w:rPr>
          <w:color w:val="231F20"/>
          <w:spacing w:val="-20"/>
          <w:w w:val="105"/>
          <w:sz w:val="21"/>
        </w:rPr>
        <w:t> </w:t>
      </w:r>
      <w:r>
        <w:rPr>
          <w:color w:val="231F20"/>
          <w:w w:val="105"/>
          <w:sz w:val="21"/>
        </w:rPr>
        <w:t>and</w:t>
      </w:r>
      <w:r>
        <w:rPr>
          <w:color w:val="231F20"/>
          <w:spacing w:val="-20"/>
          <w:w w:val="105"/>
          <w:sz w:val="21"/>
        </w:rPr>
        <w:t> </w:t>
      </w:r>
      <w:r>
        <w:rPr>
          <w:color w:val="231F20"/>
          <w:w w:val="105"/>
          <w:sz w:val="21"/>
        </w:rPr>
        <w:t>Sustained</w:t>
      </w:r>
      <w:r>
        <w:rPr>
          <w:color w:val="231F20"/>
          <w:spacing w:val="-20"/>
          <w:w w:val="105"/>
          <w:sz w:val="21"/>
        </w:rPr>
        <w:t> </w:t>
      </w:r>
      <w:r>
        <w:rPr>
          <w:color w:val="231F20"/>
          <w:w w:val="105"/>
          <w:sz w:val="21"/>
        </w:rPr>
        <w:t>Competitive</w:t>
      </w:r>
      <w:r>
        <w:rPr>
          <w:color w:val="231F20"/>
          <w:spacing w:val="-23"/>
          <w:w w:val="105"/>
          <w:sz w:val="21"/>
        </w:rPr>
        <w:t> </w:t>
      </w:r>
      <w:r>
        <w:rPr>
          <w:color w:val="231F20"/>
          <w:w w:val="105"/>
          <w:sz w:val="21"/>
        </w:rPr>
        <w:t>Advantage” en:</w:t>
      </w:r>
      <w:r>
        <w:rPr>
          <w:color w:val="231F20"/>
          <w:spacing w:val="-22"/>
          <w:w w:val="105"/>
          <w:sz w:val="21"/>
        </w:rPr>
        <w:t> </w:t>
      </w:r>
      <w:r>
        <w:rPr>
          <w:i/>
          <w:color w:val="231F20"/>
          <w:w w:val="105"/>
          <w:sz w:val="21"/>
        </w:rPr>
        <w:t>Journal</w:t>
      </w:r>
      <w:r>
        <w:rPr>
          <w:i/>
          <w:color w:val="231F20"/>
          <w:spacing w:val="-22"/>
          <w:w w:val="105"/>
          <w:sz w:val="21"/>
        </w:rPr>
        <w:t> </w:t>
      </w:r>
      <w:r>
        <w:rPr>
          <w:i/>
          <w:color w:val="231F20"/>
          <w:w w:val="105"/>
          <w:sz w:val="21"/>
        </w:rPr>
        <w:t>of</w:t>
      </w:r>
      <w:r>
        <w:rPr>
          <w:i/>
          <w:color w:val="231F20"/>
          <w:spacing w:val="-18"/>
          <w:w w:val="105"/>
          <w:sz w:val="21"/>
        </w:rPr>
        <w:t> </w:t>
      </w:r>
      <w:r>
        <w:rPr>
          <w:i/>
          <w:color w:val="231F20"/>
          <w:w w:val="105"/>
          <w:sz w:val="21"/>
        </w:rPr>
        <w:t>Management</w:t>
      </w:r>
      <w:r>
        <w:rPr>
          <w:i/>
          <w:color w:val="231F20"/>
          <w:spacing w:val="-22"/>
          <w:w w:val="105"/>
          <w:sz w:val="21"/>
        </w:rPr>
        <w:t> </w:t>
      </w:r>
      <w:r>
        <w:rPr>
          <w:i/>
          <w:color w:val="231F20"/>
          <w:w w:val="105"/>
          <w:sz w:val="21"/>
        </w:rPr>
        <w:t>Science</w:t>
      </w:r>
      <w:r>
        <w:rPr>
          <w:color w:val="231F20"/>
          <w:w w:val="105"/>
          <w:sz w:val="21"/>
        </w:rPr>
        <w:t>,</w:t>
      </w:r>
      <w:r>
        <w:rPr>
          <w:color w:val="231F20"/>
          <w:spacing w:val="-30"/>
          <w:w w:val="105"/>
          <w:sz w:val="21"/>
        </w:rPr>
        <w:t> </w:t>
      </w:r>
      <w:r>
        <w:rPr>
          <w:color w:val="231F20"/>
          <w:spacing w:val="-3"/>
          <w:w w:val="105"/>
          <w:sz w:val="21"/>
        </w:rPr>
        <w:t>Vol.</w:t>
      </w:r>
      <w:r>
        <w:rPr>
          <w:color w:val="231F20"/>
          <w:spacing w:val="-27"/>
          <w:w w:val="105"/>
          <w:sz w:val="21"/>
        </w:rPr>
        <w:t> </w:t>
      </w:r>
      <w:r>
        <w:rPr>
          <w:color w:val="231F20"/>
          <w:w w:val="105"/>
          <w:sz w:val="21"/>
        </w:rPr>
        <w:t>17,</w:t>
      </w:r>
      <w:r>
        <w:rPr>
          <w:color w:val="231F20"/>
          <w:spacing w:val="-27"/>
          <w:w w:val="105"/>
          <w:sz w:val="21"/>
        </w:rPr>
        <w:t> </w:t>
      </w:r>
      <w:r>
        <w:rPr>
          <w:color w:val="231F20"/>
          <w:w w:val="105"/>
          <w:sz w:val="21"/>
        </w:rPr>
        <w:t>No.</w:t>
      </w:r>
      <w:r>
        <w:rPr>
          <w:color w:val="231F20"/>
          <w:spacing w:val="-27"/>
          <w:w w:val="105"/>
          <w:sz w:val="21"/>
        </w:rPr>
        <w:t> </w:t>
      </w:r>
      <w:r>
        <w:rPr>
          <w:color w:val="231F20"/>
          <w:w w:val="105"/>
          <w:sz w:val="21"/>
        </w:rPr>
        <w:t>1,</w:t>
      </w:r>
      <w:r>
        <w:rPr>
          <w:color w:val="231F20"/>
          <w:spacing w:val="-27"/>
          <w:w w:val="105"/>
          <w:sz w:val="21"/>
        </w:rPr>
        <w:t> </w:t>
      </w:r>
      <w:r>
        <w:rPr>
          <w:color w:val="231F20"/>
          <w:w w:val="105"/>
          <w:sz w:val="21"/>
        </w:rPr>
        <w:t>pp.</w:t>
      </w:r>
      <w:r>
        <w:rPr>
          <w:color w:val="231F20"/>
          <w:spacing w:val="-27"/>
          <w:w w:val="105"/>
          <w:sz w:val="21"/>
        </w:rPr>
        <w:t> </w:t>
      </w:r>
      <w:r>
        <w:rPr>
          <w:color w:val="231F20"/>
          <w:w w:val="105"/>
          <w:sz w:val="21"/>
        </w:rPr>
        <w:t>99-120.</w:t>
      </w:r>
    </w:p>
    <w:p>
      <w:pPr>
        <w:spacing w:line="259" w:lineRule="auto" w:before="0"/>
        <w:ind w:left="841" w:right="115" w:hanging="738"/>
        <w:jc w:val="both"/>
        <w:rPr>
          <w:sz w:val="21"/>
        </w:rPr>
      </w:pPr>
      <w:r>
        <w:rPr>
          <w:color w:val="231F20"/>
          <w:w w:val="105"/>
          <w:sz w:val="21"/>
        </w:rPr>
        <w:t>Bateman,</w:t>
      </w:r>
      <w:r>
        <w:rPr>
          <w:color w:val="231F20"/>
          <w:spacing w:val="-35"/>
          <w:w w:val="105"/>
          <w:sz w:val="21"/>
        </w:rPr>
        <w:t> </w:t>
      </w:r>
      <w:r>
        <w:rPr>
          <w:color w:val="231F20"/>
          <w:spacing w:val="-9"/>
          <w:w w:val="105"/>
          <w:sz w:val="21"/>
        </w:rPr>
        <w:t>T.</w:t>
      </w:r>
      <w:r>
        <w:rPr>
          <w:color w:val="231F20"/>
          <w:spacing w:val="-32"/>
          <w:w w:val="105"/>
          <w:sz w:val="21"/>
        </w:rPr>
        <w:t> </w:t>
      </w:r>
      <w:r>
        <w:rPr>
          <w:color w:val="231F20"/>
          <w:w w:val="105"/>
          <w:sz w:val="21"/>
        </w:rPr>
        <w:t>S.</w:t>
      </w:r>
      <w:r>
        <w:rPr>
          <w:color w:val="231F20"/>
          <w:spacing w:val="-32"/>
          <w:w w:val="105"/>
          <w:sz w:val="21"/>
        </w:rPr>
        <w:t> </w:t>
      </w:r>
      <w:r>
        <w:rPr>
          <w:color w:val="231F20"/>
          <w:w w:val="105"/>
          <w:sz w:val="21"/>
        </w:rPr>
        <w:t>y</w:t>
      </w:r>
      <w:r>
        <w:rPr>
          <w:color w:val="231F20"/>
          <w:spacing w:val="-28"/>
          <w:w w:val="105"/>
          <w:sz w:val="21"/>
        </w:rPr>
        <w:t> </w:t>
      </w:r>
      <w:r>
        <w:rPr>
          <w:color w:val="231F20"/>
          <w:w w:val="105"/>
          <w:sz w:val="21"/>
        </w:rPr>
        <w:t>Snell,</w:t>
      </w:r>
      <w:r>
        <w:rPr>
          <w:color w:val="231F20"/>
          <w:spacing w:val="-32"/>
          <w:w w:val="105"/>
          <w:sz w:val="21"/>
        </w:rPr>
        <w:t> </w:t>
      </w:r>
      <w:r>
        <w:rPr>
          <w:color w:val="231F20"/>
          <w:w w:val="105"/>
          <w:sz w:val="21"/>
        </w:rPr>
        <w:t>Scott,</w:t>
      </w:r>
      <w:r>
        <w:rPr>
          <w:color w:val="231F20"/>
          <w:spacing w:val="-34"/>
          <w:w w:val="105"/>
          <w:sz w:val="21"/>
        </w:rPr>
        <w:t> </w:t>
      </w:r>
      <w:r>
        <w:rPr>
          <w:color w:val="231F20"/>
          <w:w w:val="105"/>
          <w:sz w:val="21"/>
        </w:rPr>
        <w:t>A.</w:t>
      </w:r>
      <w:r>
        <w:rPr>
          <w:color w:val="231F20"/>
          <w:spacing w:val="-32"/>
          <w:w w:val="105"/>
          <w:sz w:val="21"/>
        </w:rPr>
        <w:t> </w:t>
      </w:r>
      <w:r>
        <w:rPr>
          <w:color w:val="231F20"/>
          <w:w w:val="105"/>
          <w:sz w:val="21"/>
        </w:rPr>
        <w:t>(2001).</w:t>
      </w:r>
      <w:r>
        <w:rPr>
          <w:color w:val="231F20"/>
          <w:spacing w:val="-32"/>
          <w:w w:val="105"/>
          <w:sz w:val="21"/>
        </w:rPr>
        <w:t> </w:t>
      </w:r>
      <w:r>
        <w:rPr>
          <w:i/>
          <w:color w:val="231F20"/>
          <w:w w:val="105"/>
          <w:sz w:val="21"/>
        </w:rPr>
        <w:t>Administración:</w:t>
      </w:r>
      <w:r>
        <w:rPr>
          <w:i/>
          <w:color w:val="231F20"/>
          <w:spacing w:val="-28"/>
          <w:w w:val="105"/>
          <w:sz w:val="21"/>
        </w:rPr>
        <w:t> </w:t>
      </w:r>
      <w:r>
        <w:rPr>
          <w:i/>
          <w:color w:val="231F20"/>
          <w:w w:val="105"/>
          <w:sz w:val="21"/>
        </w:rPr>
        <w:t>Una</w:t>
      </w:r>
      <w:r>
        <w:rPr>
          <w:i/>
          <w:color w:val="231F20"/>
          <w:spacing w:val="-28"/>
          <w:w w:val="105"/>
          <w:sz w:val="21"/>
        </w:rPr>
        <w:t> </w:t>
      </w:r>
      <w:r>
        <w:rPr>
          <w:i/>
          <w:color w:val="231F20"/>
          <w:w w:val="105"/>
          <w:sz w:val="21"/>
        </w:rPr>
        <w:t>ventaja</w:t>
      </w:r>
      <w:r>
        <w:rPr>
          <w:i/>
          <w:color w:val="231F20"/>
          <w:spacing w:val="-28"/>
          <w:w w:val="105"/>
          <w:sz w:val="21"/>
        </w:rPr>
        <w:t> </w:t>
      </w:r>
      <w:r>
        <w:rPr>
          <w:i/>
          <w:color w:val="231F20"/>
          <w:w w:val="105"/>
          <w:sz w:val="21"/>
        </w:rPr>
        <w:t>com- </w:t>
      </w:r>
      <w:r>
        <w:rPr>
          <w:i/>
          <w:color w:val="231F20"/>
          <w:w w:val="105"/>
          <w:sz w:val="21"/>
        </w:rPr>
        <w:t>petitiva</w:t>
      </w:r>
      <w:r>
        <w:rPr>
          <w:color w:val="231F20"/>
          <w:w w:val="105"/>
          <w:sz w:val="21"/>
        </w:rPr>
        <w:t>.</w:t>
      </w:r>
      <w:r>
        <w:rPr>
          <w:color w:val="231F20"/>
          <w:spacing w:val="-31"/>
          <w:w w:val="105"/>
          <w:sz w:val="21"/>
        </w:rPr>
        <w:t> </w:t>
      </w:r>
      <w:r>
        <w:rPr>
          <w:color w:val="231F20"/>
          <w:w w:val="105"/>
          <w:sz w:val="21"/>
        </w:rPr>
        <w:t>Ed:</w:t>
      </w:r>
      <w:r>
        <w:rPr>
          <w:color w:val="231F20"/>
          <w:spacing w:val="-26"/>
          <w:w w:val="105"/>
          <w:sz w:val="21"/>
        </w:rPr>
        <w:t> </w:t>
      </w:r>
      <w:r>
        <w:rPr>
          <w:color w:val="231F20"/>
          <w:w w:val="105"/>
          <w:sz w:val="21"/>
        </w:rPr>
        <w:t>McGraw</w:t>
      </w:r>
      <w:r>
        <w:rPr>
          <w:color w:val="231F20"/>
          <w:spacing w:val="-26"/>
          <w:w w:val="105"/>
          <w:sz w:val="21"/>
        </w:rPr>
        <w:t> </w:t>
      </w:r>
      <w:r>
        <w:rPr>
          <w:color w:val="231F20"/>
          <w:w w:val="105"/>
          <w:sz w:val="21"/>
        </w:rPr>
        <w:t>Hill,</w:t>
      </w:r>
      <w:r>
        <w:rPr>
          <w:color w:val="231F20"/>
          <w:spacing w:val="-31"/>
          <w:w w:val="105"/>
          <w:sz w:val="21"/>
        </w:rPr>
        <w:t> </w:t>
      </w:r>
      <w:r>
        <w:rPr>
          <w:color w:val="231F20"/>
          <w:w w:val="105"/>
          <w:sz w:val="21"/>
        </w:rPr>
        <w:t>México.</w:t>
      </w:r>
    </w:p>
    <w:p>
      <w:pPr>
        <w:pStyle w:val="BodyText"/>
        <w:spacing w:line="259" w:lineRule="auto"/>
        <w:ind w:left="841" w:right="115" w:hanging="738"/>
        <w:jc w:val="both"/>
      </w:pPr>
      <w:r>
        <w:rPr>
          <w:color w:val="231F20"/>
          <w:w w:val="105"/>
        </w:rPr>
        <w:t>Buckley,</w:t>
      </w:r>
      <w:r>
        <w:rPr>
          <w:color w:val="231F20"/>
          <w:spacing w:val="-20"/>
          <w:w w:val="105"/>
        </w:rPr>
        <w:t> </w:t>
      </w:r>
      <w:r>
        <w:rPr>
          <w:color w:val="231F20"/>
          <w:spacing w:val="-16"/>
          <w:w w:val="105"/>
        </w:rPr>
        <w:t>P.</w:t>
      </w:r>
      <w:r>
        <w:rPr>
          <w:color w:val="231F20"/>
          <w:spacing w:val="-21"/>
          <w:w w:val="105"/>
        </w:rPr>
        <w:t> </w:t>
      </w:r>
      <w:r>
        <w:rPr>
          <w:color w:val="231F20"/>
          <w:w w:val="105"/>
        </w:rPr>
        <w:t>J.,</w:t>
      </w:r>
      <w:r>
        <w:rPr>
          <w:color w:val="231F20"/>
          <w:spacing w:val="-20"/>
          <w:w w:val="105"/>
        </w:rPr>
        <w:t> </w:t>
      </w:r>
      <w:r>
        <w:rPr>
          <w:color w:val="231F20"/>
          <w:w w:val="105"/>
        </w:rPr>
        <w:t>Christopher</w:t>
      </w:r>
      <w:r>
        <w:rPr>
          <w:color w:val="231F20"/>
          <w:spacing w:val="-16"/>
          <w:w w:val="105"/>
        </w:rPr>
        <w:t> </w:t>
      </w:r>
      <w:r>
        <w:rPr>
          <w:color w:val="231F20"/>
          <w:w w:val="105"/>
        </w:rPr>
        <w:t>L.</w:t>
      </w:r>
      <w:r>
        <w:rPr>
          <w:color w:val="231F20"/>
          <w:spacing w:val="-20"/>
          <w:w w:val="105"/>
        </w:rPr>
        <w:t> </w:t>
      </w:r>
      <w:r>
        <w:rPr>
          <w:color w:val="231F20"/>
          <w:w w:val="105"/>
        </w:rPr>
        <w:t>y</w:t>
      </w:r>
      <w:r>
        <w:rPr>
          <w:color w:val="231F20"/>
          <w:spacing w:val="-16"/>
          <w:w w:val="105"/>
        </w:rPr>
        <w:t> </w:t>
      </w:r>
      <w:r>
        <w:rPr>
          <w:color w:val="231F20"/>
          <w:w w:val="105"/>
        </w:rPr>
        <w:t>K.</w:t>
      </w:r>
      <w:r>
        <w:rPr>
          <w:color w:val="231F20"/>
          <w:spacing w:val="-20"/>
          <w:w w:val="105"/>
        </w:rPr>
        <w:t> </w:t>
      </w:r>
      <w:r>
        <w:rPr>
          <w:color w:val="231F20"/>
          <w:w w:val="105"/>
        </w:rPr>
        <w:t>Prescott.</w:t>
      </w:r>
      <w:r>
        <w:rPr>
          <w:color w:val="231F20"/>
          <w:spacing w:val="-20"/>
          <w:w w:val="105"/>
        </w:rPr>
        <w:t> </w:t>
      </w:r>
      <w:r>
        <w:rPr>
          <w:color w:val="231F20"/>
          <w:w w:val="105"/>
        </w:rPr>
        <w:t>(1988).</w:t>
      </w:r>
      <w:r>
        <w:rPr>
          <w:color w:val="231F20"/>
          <w:spacing w:val="-20"/>
          <w:w w:val="105"/>
        </w:rPr>
        <w:t> </w:t>
      </w:r>
      <w:r>
        <w:rPr>
          <w:color w:val="231F20"/>
          <w:w w:val="105"/>
        </w:rPr>
        <w:t>“Measures</w:t>
      </w:r>
      <w:r>
        <w:rPr>
          <w:color w:val="231F20"/>
          <w:spacing w:val="-16"/>
          <w:w w:val="105"/>
        </w:rPr>
        <w:t> </w:t>
      </w:r>
      <w:r>
        <w:rPr>
          <w:color w:val="231F20"/>
          <w:w w:val="105"/>
        </w:rPr>
        <w:t>of</w:t>
      </w:r>
      <w:r>
        <w:rPr>
          <w:color w:val="231F20"/>
          <w:spacing w:val="-13"/>
          <w:w w:val="105"/>
        </w:rPr>
        <w:t> </w:t>
      </w:r>
      <w:r>
        <w:rPr>
          <w:color w:val="231F20"/>
          <w:w w:val="105"/>
        </w:rPr>
        <w:t>Interna- tional</w:t>
      </w:r>
      <w:r>
        <w:rPr>
          <w:color w:val="231F20"/>
          <w:spacing w:val="-10"/>
          <w:w w:val="105"/>
        </w:rPr>
        <w:t> </w:t>
      </w:r>
      <w:r>
        <w:rPr>
          <w:color w:val="231F20"/>
          <w:w w:val="105"/>
        </w:rPr>
        <w:t>Competitiveness:</w:t>
      </w:r>
      <w:r>
        <w:rPr>
          <w:color w:val="231F20"/>
          <w:spacing w:val="-12"/>
          <w:w w:val="105"/>
        </w:rPr>
        <w:t> </w:t>
      </w:r>
      <w:r>
        <w:rPr>
          <w:color w:val="231F20"/>
          <w:w w:val="105"/>
        </w:rPr>
        <w:t>A</w:t>
      </w:r>
      <w:r>
        <w:rPr>
          <w:color w:val="231F20"/>
          <w:spacing w:val="-12"/>
          <w:w w:val="105"/>
        </w:rPr>
        <w:t> </w:t>
      </w:r>
      <w:r>
        <w:rPr>
          <w:color w:val="231F20"/>
          <w:w w:val="105"/>
        </w:rPr>
        <w:t>Critical</w:t>
      </w:r>
      <w:r>
        <w:rPr>
          <w:color w:val="231F20"/>
          <w:spacing w:val="-10"/>
          <w:w w:val="105"/>
        </w:rPr>
        <w:t> </w:t>
      </w:r>
      <w:r>
        <w:rPr>
          <w:color w:val="231F20"/>
          <w:w w:val="105"/>
        </w:rPr>
        <w:t>Survey”</w:t>
      </w:r>
      <w:r>
        <w:rPr>
          <w:color w:val="231F20"/>
          <w:spacing w:val="-10"/>
          <w:w w:val="105"/>
        </w:rPr>
        <w:t> </w:t>
      </w:r>
      <w:r>
        <w:rPr>
          <w:color w:val="231F20"/>
          <w:w w:val="105"/>
        </w:rPr>
        <w:t>en:</w:t>
      </w:r>
      <w:r>
        <w:rPr>
          <w:color w:val="231F20"/>
          <w:spacing w:val="-10"/>
          <w:w w:val="105"/>
        </w:rPr>
        <w:t> </w:t>
      </w:r>
      <w:r>
        <w:rPr>
          <w:i/>
          <w:color w:val="231F20"/>
          <w:w w:val="105"/>
        </w:rPr>
        <w:t>Journal</w:t>
      </w:r>
      <w:r>
        <w:rPr>
          <w:i/>
          <w:color w:val="231F20"/>
          <w:spacing w:val="-10"/>
          <w:w w:val="105"/>
        </w:rPr>
        <w:t> </w:t>
      </w:r>
      <w:r>
        <w:rPr>
          <w:i/>
          <w:color w:val="231F20"/>
          <w:w w:val="105"/>
        </w:rPr>
        <w:t>of</w:t>
      </w:r>
      <w:r>
        <w:rPr>
          <w:i/>
          <w:color w:val="231F20"/>
          <w:spacing w:val="-5"/>
          <w:w w:val="105"/>
        </w:rPr>
        <w:t> </w:t>
      </w:r>
      <w:r>
        <w:rPr>
          <w:i/>
          <w:color w:val="231F20"/>
          <w:w w:val="105"/>
        </w:rPr>
        <w:t>Market- </w:t>
      </w:r>
      <w:r>
        <w:rPr>
          <w:i/>
          <w:color w:val="231F20"/>
          <w:w w:val="105"/>
        </w:rPr>
        <w:t>ing</w:t>
      </w:r>
      <w:r>
        <w:rPr>
          <w:i/>
          <w:color w:val="231F20"/>
          <w:spacing w:val="-20"/>
          <w:w w:val="105"/>
        </w:rPr>
        <w:t> </w:t>
      </w:r>
      <w:r>
        <w:rPr>
          <w:i/>
          <w:color w:val="231F20"/>
          <w:w w:val="105"/>
        </w:rPr>
        <w:t>Management</w:t>
      </w:r>
      <w:r>
        <w:rPr>
          <w:color w:val="231F20"/>
          <w:w w:val="105"/>
        </w:rPr>
        <w:t>,</w:t>
      </w:r>
      <w:r>
        <w:rPr>
          <w:color w:val="231F20"/>
          <w:spacing w:val="-25"/>
          <w:w w:val="105"/>
        </w:rPr>
        <w:t> </w:t>
      </w:r>
      <w:r>
        <w:rPr>
          <w:color w:val="231F20"/>
          <w:w w:val="105"/>
        </w:rPr>
        <w:t>4:</w:t>
      </w:r>
      <w:r>
        <w:rPr>
          <w:color w:val="231F20"/>
          <w:spacing w:val="-20"/>
          <w:w w:val="105"/>
        </w:rPr>
        <w:t> </w:t>
      </w:r>
      <w:r>
        <w:rPr>
          <w:color w:val="231F20"/>
          <w:w w:val="105"/>
        </w:rPr>
        <w:t>175-200.</w:t>
      </w:r>
    </w:p>
    <w:p>
      <w:pPr>
        <w:pStyle w:val="BodyText"/>
        <w:spacing w:line="259" w:lineRule="auto"/>
        <w:ind w:left="841" w:right="115" w:hanging="738"/>
        <w:jc w:val="both"/>
      </w:pPr>
      <w:r>
        <w:rPr>
          <w:color w:val="231F20"/>
          <w:spacing w:val="-3"/>
          <w:w w:val="105"/>
        </w:rPr>
        <w:t>CEPAL.</w:t>
      </w:r>
      <w:r>
        <w:rPr>
          <w:color w:val="231F20"/>
          <w:spacing w:val="-43"/>
          <w:w w:val="105"/>
        </w:rPr>
        <w:t> </w:t>
      </w:r>
      <w:r>
        <w:rPr>
          <w:color w:val="231F20"/>
          <w:w w:val="105"/>
        </w:rPr>
        <w:t>(2001).</w:t>
      </w:r>
      <w:r>
        <w:rPr>
          <w:color w:val="231F20"/>
          <w:spacing w:val="-43"/>
          <w:w w:val="105"/>
        </w:rPr>
        <w:t> </w:t>
      </w:r>
      <w:r>
        <w:rPr>
          <w:color w:val="231F20"/>
          <w:w w:val="105"/>
        </w:rPr>
        <w:t>Comisión</w:t>
      </w:r>
      <w:r>
        <w:rPr>
          <w:color w:val="231F20"/>
          <w:spacing w:val="-40"/>
          <w:w w:val="105"/>
        </w:rPr>
        <w:t> </w:t>
      </w:r>
      <w:r>
        <w:rPr>
          <w:color w:val="231F20"/>
          <w:w w:val="105"/>
        </w:rPr>
        <w:t>Económica</w:t>
      </w:r>
      <w:r>
        <w:rPr>
          <w:color w:val="231F20"/>
          <w:spacing w:val="-40"/>
          <w:w w:val="105"/>
        </w:rPr>
        <w:t> </w:t>
      </w:r>
      <w:r>
        <w:rPr>
          <w:color w:val="231F20"/>
          <w:w w:val="105"/>
        </w:rPr>
        <w:t>para</w:t>
      </w:r>
      <w:r>
        <w:rPr>
          <w:color w:val="231F20"/>
          <w:spacing w:val="-42"/>
          <w:w w:val="105"/>
        </w:rPr>
        <w:t> </w:t>
      </w:r>
      <w:r>
        <w:rPr>
          <w:color w:val="231F20"/>
          <w:w w:val="105"/>
        </w:rPr>
        <w:t>América</w:t>
      </w:r>
      <w:r>
        <w:rPr>
          <w:color w:val="231F20"/>
          <w:spacing w:val="-40"/>
          <w:w w:val="105"/>
        </w:rPr>
        <w:t> </w:t>
      </w:r>
      <w:r>
        <w:rPr>
          <w:color w:val="231F20"/>
          <w:w w:val="105"/>
        </w:rPr>
        <w:t>Latina</w:t>
      </w:r>
      <w:r>
        <w:rPr>
          <w:color w:val="231F20"/>
          <w:spacing w:val="-40"/>
          <w:w w:val="105"/>
        </w:rPr>
        <w:t> </w:t>
      </w:r>
      <w:r>
        <w:rPr>
          <w:color w:val="231F20"/>
          <w:w w:val="105"/>
        </w:rPr>
        <w:t>y</w:t>
      </w:r>
      <w:r>
        <w:rPr>
          <w:color w:val="231F20"/>
          <w:spacing w:val="-40"/>
          <w:w w:val="105"/>
        </w:rPr>
        <w:t> </w:t>
      </w:r>
      <w:r>
        <w:rPr>
          <w:color w:val="231F20"/>
          <w:w w:val="105"/>
        </w:rPr>
        <w:t>el</w:t>
      </w:r>
      <w:r>
        <w:rPr>
          <w:color w:val="231F20"/>
          <w:spacing w:val="-40"/>
          <w:w w:val="105"/>
        </w:rPr>
        <w:t> </w:t>
      </w:r>
      <w:r>
        <w:rPr>
          <w:color w:val="231F20"/>
          <w:w w:val="105"/>
        </w:rPr>
        <w:t>Caribe.</w:t>
      </w:r>
      <w:r>
        <w:rPr>
          <w:color w:val="231F20"/>
          <w:spacing w:val="-43"/>
          <w:w w:val="105"/>
        </w:rPr>
        <w:t> </w:t>
      </w:r>
      <w:r>
        <w:rPr>
          <w:color w:val="231F20"/>
          <w:w w:val="105"/>
        </w:rPr>
        <w:t>Ele- mentos</w:t>
      </w:r>
      <w:r>
        <w:rPr>
          <w:color w:val="231F20"/>
          <w:spacing w:val="-25"/>
          <w:w w:val="105"/>
        </w:rPr>
        <w:t> </w:t>
      </w:r>
      <w:r>
        <w:rPr>
          <w:color w:val="231F20"/>
          <w:w w:val="105"/>
        </w:rPr>
        <w:t>de</w:t>
      </w:r>
      <w:r>
        <w:rPr>
          <w:color w:val="231F20"/>
          <w:spacing w:val="-25"/>
          <w:w w:val="105"/>
        </w:rPr>
        <w:t> </w:t>
      </w:r>
      <w:r>
        <w:rPr>
          <w:color w:val="231F20"/>
          <w:w w:val="105"/>
        </w:rPr>
        <w:t>Competitividad</w:t>
      </w:r>
      <w:r>
        <w:rPr>
          <w:color w:val="231F20"/>
          <w:spacing w:val="-25"/>
          <w:w w:val="105"/>
        </w:rPr>
        <w:t> </w:t>
      </w:r>
      <w:r>
        <w:rPr>
          <w:color w:val="231F20"/>
          <w:w w:val="105"/>
        </w:rPr>
        <w:t>Sistémica</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PYME</w:t>
      </w:r>
      <w:r>
        <w:rPr>
          <w:color w:val="231F20"/>
          <w:spacing w:val="-25"/>
          <w:w w:val="105"/>
        </w:rPr>
        <w:t> </w:t>
      </w:r>
      <w:r>
        <w:rPr>
          <w:color w:val="231F20"/>
          <w:w w:val="105"/>
        </w:rPr>
        <w:t>del</w:t>
      </w:r>
      <w:r>
        <w:rPr>
          <w:color w:val="231F20"/>
          <w:spacing w:val="-25"/>
          <w:w w:val="105"/>
        </w:rPr>
        <w:t> </w:t>
      </w:r>
      <w:r>
        <w:rPr>
          <w:color w:val="231F20"/>
          <w:w w:val="105"/>
        </w:rPr>
        <w:t>Istmo</w:t>
      </w:r>
      <w:r>
        <w:rPr>
          <w:color w:val="231F20"/>
          <w:spacing w:val="-25"/>
          <w:w w:val="105"/>
        </w:rPr>
        <w:t> </w:t>
      </w:r>
      <w:r>
        <w:rPr>
          <w:color w:val="231F20"/>
          <w:w w:val="105"/>
        </w:rPr>
        <w:t>Cen- </w:t>
      </w:r>
      <w:r>
        <w:rPr>
          <w:color w:val="231F20"/>
        </w:rPr>
        <w:t>troamericano. </w:t>
      </w:r>
      <w:r>
        <w:rPr>
          <w:i/>
          <w:color w:val="231F20"/>
        </w:rPr>
        <w:t>LC/MEX/L</w:t>
      </w:r>
      <w:r>
        <w:rPr>
          <w:color w:val="231F20"/>
        </w:rPr>
        <w:t>,</w:t>
      </w:r>
      <w:r>
        <w:rPr>
          <w:color w:val="231F20"/>
          <w:spacing w:val="21"/>
        </w:rPr>
        <w:t> </w:t>
      </w:r>
      <w:r>
        <w:rPr>
          <w:color w:val="231F20"/>
        </w:rPr>
        <w:t>499.</w:t>
      </w:r>
    </w:p>
    <w:p>
      <w:pPr>
        <w:pStyle w:val="BodyText"/>
        <w:spacing w:line="259" w:lineRule="auto"/>
        <w:ind w:left="841" w:right="115" w:hanging="738"/>
        <w:jc w:val="both"/>
      </w:pPr>
      <w:r>
        <w:rPr>
          <w:color w:val="231F20"/>
        </w:rPr>
        <w:t>–––––––</w:t>
      </w:r>
      <w:r>
        <w:rPr>
          <w:color w:val="231F20"/>
          <w:spacing w:val="-25"/>
        </w:rPr>
        <w:t> </w:t>
      </w:r>
      <w:r>
        <w:rPr>
          <w:color w:val="231F20"/>
        </w:rPr>
        <w:t>(2005).</w:t>
      </w:r>
      <w:r>
        <w:rPr>
          <w:color w:val="231F20"/>
          <w:spacing w:val="-30"/>
        </w:rPr>
        <w:t> </w:t>
      </w:r>
      <w:r>
        <w:rPr>
          <w:color w:val="231F20"/>
        </w:rPr>
        <w:t>“Comisión</w:t>
      </w:r>
      <w:r>
        <w:rPr>
          <w:color w:val="231F20"/>
          <w:spacing w:val="-25"/>
        </w:rPr>
        <w:t> </w:t>
      </w:r>
      <w:r>
        <w:rPr>
          <w:color w:val="231F20"/>
        </w:rPr>
        <w:t>Económica</w:t>
      </w:r>
      <w:r>
        <w:rPr>
          <w:color w:val="231F20"/>
          <w:spacing w:val="-25"/>
        </w:rPr>
        <w:t> </w:t>
      </w:r>
      <w:r>
        <w:rPr>
          <w:color w:val="231F20"/>
        </w:rPr>
        <w:t>para</w:t>
      </w:r>
      <w:r>
        <w:rPr>
          <w:color w:val="231F20"/>
          <w:spacing w:val="-28"/>
        </w:rPr>
        <w:t> </w:t>
      </w:r>
      <w:r>
        <w:rPr>
          <w:color w:val="231F20"/>
        </w:rPr>
        <w:t>América</w:t>
      </w:r>
      <w:r>
        <w:rPr>
          <w:color w:val="231F20"/>
          <w:spacing w:val="-25"/>
        </w:rPr>
        <w:t> </w:t>
      </w:r>
      <w:r>
        <w:rPr>
          <w:color w:val="231F20"/>
        </w:rPr>
        <w:t>Latina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spacing w:val="-4"/>
        </w:rPr>
        <w:t>Caribe”.</w:t>
      </w:r>
      <w:r>
        <w:rPr>
          <w:color w:val="231F20"/>
          <w:spacing w:val="-30"/>
        </w:rPr>
        <w:t> </w:t>
      </w:r>
      <w:r>
        <w:rPr>
          <w:color w:val="231F20"/>
        </w:rPr>
        <w:t>Dis- ponible en </w:t>
      </w:r>
      <w:hyperlink r:id="rId30">
        <w:r>
          <w:rPr>
            <w:color w:val="231F20"/>
          </w:rPr>
          <w:t>&lt;www.cepal.or</w:t>
        </w:r>
      </w:hyperlink>
      <w:r>
        <w:rPr>
          <w:color w:val="231F20"/>
        </w:rPr>
        <w:t>g&gt;, consultado el 15 de   </w:t>
      </w:r>
      <w:r>
        <w:rPr>
          <w:color w:val="231F20"/>
          <w:spacing w:val="41"/>
        </w:rPr>
        <w:t> </w:t>
      </w:r>
      <w:r>
        <w:rPr>
          <w:color w:val="231F20"/>
        </w:rPr>
        <w:t>enero, 2007,</w:t>
      </w:r>
    </w:p>
    <w:p>
      <w:pPr>
        <w:pStyle w:val="BodyText"/>
        <w:spacing w:line="259" w:lineRule="auto"/>
        <w:ind w:left="840" w:right="115" w:hanging="737"/>
        <w:jc w:val="both"/>
      </w:pPr>
      <w:r>
        <w:rPr>
          <w:color w:val="231F20"/>
        </w:rPr>
        <w:t>Demuner, </w:t>
      </w:r>
      <w:r>
        <w:rPr>
          <w:color w:val="231F20"/>
          <w:spacing w:val="-11"/>
        </w:rPr>
        <w:t>F. </w:t>
      </w:r>
      <w:r>
        <w:rPr>
          <w:color w:val="231F20"/>
        </w:rPr>
        <w:t>M. R. (2010). </w:t>
      </w:r>
      <w:r>
        <w:rPr>
          <w:i/>
          <w:color w:val="231F20"/>
        </w:rPr>
        <w:t>PyMEs competitivas</w:t>
      </w:r>
      <w:r>
        <w:rPr>
          <w:color w:val="231F20"/>
        </w:rPr>
        <w:t>. Editorial Académica</w:t>
      </w:r>
      <w:r>
        <w:rPr>
          <w:color w:val="231F20"/>
          <w:spacing w:val="-36"/>
        </w:rPr>
        <w:t> </w:t>
      </w:r>
      <w:r>
        <w:rPr>
          <w:color w:val="231F20"/>
        </w:rPr>
        <w:t>Espa- ñola.  Lap Lambert Academic Publishing GmbH y Co.</w:t>
      </w:r>
      <w:r>
        <w:rPr>
          <w:color w:val="231F20"/>
          <w:spacing w:val="46"/>
        </w:rPr>
        <w:t> </w:t>
      </w:r>
      <w:r>
        <w:rPr>
          <w:color w:val="231F20"/>
        </w:rPr>
        <w:t>KG.</w:t>
      </w:r>
    </w:p>
    <w:p>
      <w:pPr>
        <w:pStyle w:val="BodyText"/>
        <w:spacing w:line="259" w:lineRule="auto"/>
        <w:ind w:left="840" w:right="115" w:hanging="738"/>
        <w:jc w:val="both"/>
      </w:pPr>
      <w:r>
        <w:rPr>
          <w:color w:val="231F20"/>
          <w:w w:val="105"/>
        </w:rPr>
        <w:t>Grant,</w:t>
      </w:r>
      <w:r>
        <w:rPr>
          <w:color w:val="231F20"/>
          <w:spacing w:val="-26"/>
          <w:w w:val="105"/>
        </w:rPr>
        <w:t> </w:t>
      </w:r>
      <w:r>
        <w:rPr>
          <w:color w:val="231F20"/>
          <w:w w:val="105"/>
        </w:rPr>
        <w:t>R.</w:t>
      </w:r>
      <w:r>
        <w:rPr>
          <w:color w:val="231F20"/>
          <w:spacing w:val="-26"/>
          <w:w w:val="105"/>
        </w:rPr>
        <w:t> </w:t>
      </w:r>
      <w:r>
        <w:rPr>
          <w:color w:val="231F20"/>
          <w:w w:val="105"/>
        </w:rPr>
        <w:t>M.</w:t>
      </w:r>
      <w:r>
        <w:rPr>
          <w:color w:val="231F20"/>
          <w:spacing w:val="-26"/>
          <w:w w:val="105"/>
        </w:rPr>
        <w:t> </w:t>
      </w:r>
      <w:r>
        <w:rPr>
          <w:color w:val="231F20"/>
          <w:w w:val="105"/>
        </w:rPr>
        <w:t>(1991).</w:t>
      </w:r>
      <w:r>
        <w:rPr>
          <w:color w:val="231F20"/>
          <w:spacing w:val="-26"/>
          <w:w w:val="105"/>
        </w:rPr>
        <w:t> </w:t>
      </w:r>
      <w:r>
        <w:rPr>
          <w:color w:val="231F20"/>
          <w:w w:val="105"/>
        </w:rPr>
        <w:t>“The</w:t>
      </w:r>
      <w:r>
        <w:rPr>
          <w:color w:val="231F20"/>
          <w:spacing w:val="-22"/>
          <w:w w:val="105"/>
        </w:rPr>
        <w:t> </w:t>
      </w:r>
      <w:r>
        <w:rPr>
          <w:color w:val="231F20"/>
          <w:w w:val="105"/>
        </w:rPr>
        <w:t>Resource</w:t>
      </w:r>
      <w:r>
        <w:rPr>
          <w:color w:val="231F20"/>
          <w:spacing w:val="-22"/>
          <w:w w:val="105"/>
        </w:rPr>
        <w:t> </w:t>
      </w:r>
      <w:r>
        <w:rPr>
          <w:color w:val="231F20"/>
          <w:w w:val="105"/>
        </w:rPr>
        <w:t>Based</w:t>
      </w:r>
      <w:r>
        <w:rPr>
          <w:color w:val="231F20"/>
          <w:spacing w:val="-25"/>
          <w:w w:val="105"/>
        </w:rPr>
        <w:t> </w:t>
      </w:r>
      <w:r>
        <w:rPr>
          <w:color w:val="231F20"/>
          <w:w w:val="105"/>
        </w:rPr>
        <w:t>Theory</w:t>
      </w:r>
      <w:r>
        <w:rPr>
          <w:color w:val="231F20"/>
          <w:spacing w:val="-22"/>
          <w:w w:val="105"/>
        </w:rPr>
        <w:t> </w:t>
      </w:r>
      <w:r>
        <w:rPr>
          <w:color w:val="231F20"/>
          <w:w w:val="105"/>
        </w:rPr>
        <w:t>of</w:t>
      </w:r>
      <w:r>
        <w:rPr>
          <w:color w:val="231F20"/>
          <w:spacing w:val="-18"/>
          <w:w w:val="105"/>
        </w:rPr>
        <w:t> </w:t>
      </w:r>
      <w:r>
        <w:rPr>
          <w:color w:val="231F20"/>
          <w:w w:val="105"/>
        </w:rPr>
        <w:t>Competitive</w:t>
      </w:r>
      <w:r>
        <w:rPr>
          <w:color w:val="231F20"/>
          <w:spacing w:val="-24"/>
          <w:w w:val="105"/>
        </w:rPr>
        <w:t> </w:t>
      </w:r>
      <w:r>
        <w:rPr>
          <w:color w:val="231F20"/>
          <w:w w:val="105"/>
        </w:rPr>
        <w:t>Advan- tage. Implications for Strategy Formulation” en: </w:t>
      </w:r>
      <w:r>
        <w:rPr>
          <w:i/>
          <w:color w:val="231F20"/>
          <w:w w:val="105"/>
        </w:rPr>
        <w:t>California Man- </w:t>
      </w:r>
      <w:r>
        <w:rPr>
          <w:i/>
          <w:color w:val="231F20"/>
          <w:w w:val="105"/>
        </w:rPr>
        <w:t>agement</w:t>
      </w:r>
      <w:r>
        <w:rPr>
          <w:i/>
          <w:color w:val="231F20"/>
          <w:spacing w:val="-25"/>
          <w:w w:val="105"/>
        </w:rPr>
        <w:t> </w:t>
      </w:r>
      <w:r>
        <w:rPr>
          <w:i/>
          <w:color w:val="231F20"/>
          <w:w w:val="105"/>
        </w:rPr>
        <w:t>Review</w:t>
      </w:r>
      <w:r>
        <w:rPr>
          <w:color w:val="231F20"/>
          <w:w w:val="105"/>
        </w:rPr>
        <w:t>,</w:t>
      </w:r>
      <w:r>
        <w:rPr>
          <w:color w:val="231F20"/>
          <w:spacing w:val="-32"/>
          <w:w w:val="105"/>
        </w:rPr>
        <w:t> </w:t>
      </w:r>
      <w:r>
        <w:rPr>
          <w:color w:val="231F20"/>
          <w:spacing w:val="-3"/>
          <w:w w:val="105"/>
        </w:rPr>
        <w:t>Vol.</w:t>
      </w:r>
      <w:r>
        <w:rPr>
          <w:color w:val="231F20"/>
          <w:spacing w:val="-30"/>
          <w:w w:val="105"/>
        </w:rPr>
        <w:t> </w:t>
      </w:r>
      <w:r>
        <w:rPr>
          <w:color w:val="231F20"/>
          <w:w w:val="105"/>
        </w:rPr>
        <w:t>33,</w:t>
      </w:r>
      <w:r>
        <w:rPr>
          <w:color w:val="231F20"/>
          <w:spacing w:val="-30"/>
          <w:w w:val="105"/>
        </w:rPr>
        <w:t> </w:t>
      </w:r>
      <w:r>
        <w:rPr>
          <w:color w:val="231F20"/>
          <w:w w:val="105"/>
        </w:rPr>
        <w:t>No.</w:t>
      </w:r>
      <w:r>
        <w:rPr>
          <w:color w:val="231F20"/>
          <w:spacing w:val="-30"/>
          <w:w w:val="105"/>
        </w:rPr>
        <w:t> </w:t>
      </w:r>
      <w:r>
        <w:rPr>
          <w:color w:val="231F20"/>
          <w:w w:val="105"/>
        </w:rPr>
        <w:t>13,</w:t>
      </w:r>
      <w:r>
        <w:rPr>
          <w:color w:val="231F20"/>
          <w:spacing w:val="-30"/>
          <w:w w:val="105"/>
        </w:rPr>
        <w:t> </w:t>
      </w:r>
      <w:r>
        <w:rPr>
          <w:color w:val="231F20"/>
          <w:w w:val="105"/>
        </w:rPr>
        <w:t>pp</w:t>
      </w:r>
      <w:r>
        <w:rPr>
          <w:color w:val="231F20"/>
          <w:spacing w:val="-25"/>
          <w:w w:val="105"/>
        </w:rPr>
        <w:t> </w:t>
      </w:r>
      <w:r>
        <w:rPr>
          <w:color w:val="231F20"/>
          <w:w w:val="105"/>
        </w:rPr>
        <w:t>114-135.</w:t>
      </w:r>
    </w:p>
    <w:p>
      <w:pPr>
        <w:spacing w:line="259" w:lineRule="auto" w:before="0"/>
        <w:ind w:left="840" w:right="115" w:hanging="737"/>
        <w:jc w:val="both"/>
        <w:rPr>
          <w:sz w:val="21"/>
        </w:rPr>
      </w:pPr>
      <w:r>
        <w:rPr>
          <w:color w:val="231F20"/>
          <w:w w:val="105"/>
          <w:sz w:val="21"/>
        </w:rPr>
        <w:t>Guzmán,</w:t>
      </w:r>
      <w:r>
        <w:rPr>
          <w:color w:val="231F20"/>
          <w:spacing w:val="-9"/>
          <w:w w:val="105"/>
          <w:sz w:val="21"/>
        </w:rPr>
        <w:t> </w:t>
      </w:r>
      <w:r>
        <w:rPr>
          <w:color w:val="231F20"/>
          <w:w w:val="105"/>
          <w:sz w:val="21"/>
        </w:rPr>
        <w:t>C.</w:t>
      </w:r>
      <w:r>
        <w:rPr>
          <w:color w:val="231F20"/>
          <w:spacing w:val="-9"/>
          <w:w w:val="105"/>
          <w:sz w:val="21"/>
        </w:rPr>
        <w:t> </w:t>
      </w:r>
      <w:r>
        <w:rPr>
          <w:color w:val="231F20"/>
          <w:w w:val="105"/>
          <w:sz w:val="21"/>
        </w:rPr>
        <w:t>C.</w:t>
      </w:r>
      <w:r>
        <w:rPr>
          <w:color w:val="231F20"/>
          <w:spacing w:val="-9"/>
          <w:w w:val="105"/>
          <w:sz w:val="21"/>
        </w:rPr>
        <w:t> </w:t>
      </w:r>
      <w:r>
        <w:rPr>
          <w:color w:val="231F20"/>
          <w:w w:val="105"/>
          <w:sz w:val="21"/>
        </w:rPr>
        <w:t>E.</w:t>
      </w:r>
      <w:r>
        <w:rPr>
          <w:color w:val="231F20"/>
          <w:spacing w:val="-9"/>
          <w:w w:val="105"/>
          <w:sz w:val="21"/>
        </w:rPr>
        <w:t> </w:t>
      </w:r>
      <w:r>
        <w:rPr>
          <w:color w:val="231F20"/>
          <w:w w:val="105"/>
          <w:sz w:val="21"/>
        </w:rPr>
        <w:t>(1997).</w:t>
      </w:r>
      <w:r>
        <w:rPr>
          <w:color w:val="231F20"/>
          <w:spacing w:val="-9"/>
          <w:w w:val="105"/>
          <w:sz w:val="21"/>
        </w:rPr>
        <w:t> </w:t>
      </w:r>
      <w:r>
        <w:rPr>
          <w:i/>
          <w:color w:val="231F20"/>
          <w:w w:val="105"/>
          <w:sz w:val="21"/>
        </w:rPr>
        <w:t>Innovación</w:t>
      </w:r>
      <w:r>
        <w:rPr>
          <w:i/>
          <w:color w:val="231F20"/>
          <w:spacing w:val="-4"/>
          <w:w w:val="105"/>
          <w:sz w:val="21"/>
        </w:rPr>
        <w:t> </w:t>
      </w:r>
      <w:r>
        <w:rPr>
          <w:i/>
          <w:color w:val="231F20"/>
          <w:w w:val="105"/>
          <w:sz w:val="21"/>
        </w:rPr>
        <w:t>y</w:t>
      </w:r>
      <w:r>
        <w:rPr>
          <w:i/>
          <w:color w:val="231F20"/>
          <w:spacing w:val="-4"/>
          <w:w w:val="105"/>
          <w:sz w:val="21"/>
        </w:rPr>
        <w:t> </w:t>
      </w:r>
      <w:r>
        <w:rPr>
          <w:i/>
          <w:color w:val="231F20"/>
          <w:w w:val="105"/>
          <w:sz w:val="21"/>
        </w:rPr>
        <w:t>Competitividad</w:t>
      </w:r>
      <w:r>
        <w:rPr>
          <w:i/>
          <w:color w:val="231F20"/>
          <w:spacing w:val="-4"/>
          <w:w w:val="105"/>
          <w:sz w:val="21"/>
        </w:rPr>
        <w:t> </w:t>
      </w:r>
      <w:r>
        <w:rPr>
          <w:i/>
          <w:color w:val="231F20"/>
          <w:w w:val="105"/>
          <w:sz w:val="21"/>
        </w:rPr>
        <w:t>de</w:t>
      </w:r>
      <w:r>
        <w:rPr>
          <w:i/>
          <w:color w:val="231F20"/>
          <w:spacing w:val="-4"/>
          <w:w w:val="105"/>
          <w:sz w:val="21"/>
        </w:rPr>
        <w:t> </w:t>
      </w:r>
      <w:r>
        <w:rPr>
          <w:i/>
          <w:color w:val="231F20"/>
          <w:w w:val="105"/>
          <w:sz w:val="21"/>
        </w:rPr>
        <w:t>las</w:t>
      </w:r>
      <w:r>
        <w:rPr>
          <w:i/>
          <w:color w:val="231F20"/>
          <w:spacing w:val="-4"/>
          <w:w w:val="105"/>
          <w:sz w:val="21"/>
        </w:rPr>
        <w:t> </w:t>
      </w:r>
      <w:r>
        <w:rPr>
          <w:i/>
          <w:color w:val="231F20"/>
          <w:w w:val="105"/>
          <w:sz w:val="21"/>
        </w:rPr>
        <w:t>Industrias </w:t>
      </w:r>
      <w:r>
        <w:rPr>
          <w:i/>
          <w:color w:val="231F20"/>
          <w:w w:val="105"/>
          <w:sz w:val="21"/>
        </w:rPr>
        <w:t>Culturales</w:t>
      </w:r>
      <w:r>
        <w:rPr>
          <w:i/>
          <w:color w:val="231F20"/>
          <w:spacing w:val="-25"/>
          <w:w w:val="105"/>
          <w:sz w:val="21"/>
        </w:rPr>
        <w:t> </w:t>
      </w:r>
      <w:r>
        <w:rPr>
          <w:i/>
          <w:color w:val="231F20"/>
          <w:w w:val="105"/>
          <w:sz w:val="21"/>
        </w:rPr>
        <w:t>y</w:t>
      </w:r>
      <w:r>
        <w:rPr>
          <w:i/>
          <w:color w:val="231F20"/>
          <w:spacing w:val="-25"/>
          <w:w w:val="105"/>
          <w:sz w:val="21"/>
        </w:rPr>
        <w:t> </w:t>
      </w:r>
      <w:r>
        <w:rPr>
          <w:i/>
          <w:color w:val="231F20"/>
          <w:w w:val="105"/>
          <w:sz w:val="21"/>
        </w:rPr>
        <w:t>de</w:t>
      </w:r>
      <w:r>
        <w:rPr>
          <w:i/>
          <w:color w:val="231F20"/>
          <w:spacing w:val="-25"/>
          <w:w w:val="105"/>
          <w:sz w:val="21"/>
        </w:rPr>
        <w:t> </w:t>
      </w:r>
      <w:r>
        <w:rPr>
          <w:i/>
          <w:color w:val="231F20"/>
          <w:w w:val="105"/>
          <w:sz w:val="21"/>
        </w:rPr>
        <w:t>la</w:t>
      </w:r>
      <w:r>
        <w:rPr>
          <w:i/>
          <w:color w:val="231F20"/>
          <w:spacing w:val="-25"/>
          <w:w w:val="105"/>
          <w:sz w:val="21"/>
        </w:rPr>
        <w:t> </w:t>
      </w:r>
      <w:r>
        <w:rPr>
          <w:i/>
          <w:color w:val="231F20"/>
          <w:w w:val="105"/>
          <w:sz w:val="21"/>
        </w:rPr>
        <w:t>Comunicación</w:t>
      </w:r>
      <w:r>
        <w:rPr>
          <w:i/>
          <w:color w:val="231F20"/>
          <w:spacing w:val="-25"/>
          <w:w w:val="105"/>
          <w:sz w:val="21"/>
        </w:rPr>
        <w:t> </w:t>
      </w:r>
      <w:r>
        <w:rPr>
          <w:i/>
          <w:color w:val="231F20"/>
          <w:w w:val="105"/>
          <w:sz w:val="21"/>
        </w:rPr>
        <w:t>en</w:t>
      </w:r>
      <w:r>
        <w:rPr>
          <w:i/>
          <w:color w:val="231F20"/>
          <w:spacing w:val="-28"/>
          <w:w w:val="105"/>
          <w:sz w:val="21"/>
        </w:rPr>
        <w:t> </w:t>
      </w:r>
      <w:r>
        <w:rPr>
          <w:i/>
          <w:color w:val="231F20"/>
          <w:w w:val="105"/>
          <w:sz w:val="21"/>
        </w:rPr>
        <w:t>Venezuela</w:t>
      </w:r>
      <w:r>
        <w:rPr>
          <w:color w:val="231F20"/>
          <w:w w:val="105"/>
          <w:sz w:val="21"/>
        </w:rPr>
        <w:t>.</w:t>
      </w:r>
      <w:r>
        <w:rPr>
          <w:color w:val="231F20"/>
          <w:spacing w:val="-30"/>
          <w:w w:val="105"/>
          <w:sz w:val="21"/>
        </w:rPr>
        <w:t> </w:t>
      </w:r>
      <w:r>
        <w:rPr>
          <w:color w:val="231F20"/>
          <w:w w:val="105"/>
          <w:sz w:val="21"/>
        </w:rPr>
        <w:t>Ed:</w:t>
      </w:r>
      <w:r>
        <w:rPr>
          <w:color w:val="231F20"/>
          <w:spacing w:val="-25"/>
          <w:w w:val="105"/>
          <w:sz w:val="21"/>
        </w:rPr>
        <w:t> </w:t>
      </w:r>
      <w:r>
        <w:rPr>
          <w:color w:val="231F20"/>
          <w:w w:val="105"/>
          <w:sz w:val="21"/>
        </w:rPr>
        <w:t>Organización de Estados Iberoamericanos para la Educación, la Ciencia y la </w:t>
      </w:r>
      <w:r>
        <w:rPr>
          <w:color w:val="231F20"/>
          <w:sz w:val="21"/>
        </w:rPr>
        <w:t>Cultura.</w:t>
      </w:r>
      <w:r>
        <w:rPr>
          <w:color w:val="231F20"/>
          <w:spacing w:val="-10"/>
          <w:sz w:val="21"/>
        </w:rPr>
        <w:t> </w:t>
      </w:r>
      <w:r>
        <w:rPr>
          <w:color w:val="231F20"/>
          <w:sz w:val="21"/>
        </w:rPr>
        <w:t>Venezuela.</w:t>
      </w:r>
    </w:p>
    <w:p>
      <w:pPr>
        <w:spacing w:line="259" w:lineRule="auto" w:before="0"/>
        <w:ind w:left="840" w:right="116" w:hanging="737"/>
        <w:jc w:val="both"/>
        <w:rPr>
          <w:sz w:val="21"/>
        </w:rPr>
      </w:pPr>
      <w:r>
        <w:rPr>
          <w:w w:val="105"/>
          <w:sz w:val="21"/>
        </w:rPr>
        <w:t>Hill,</w:t>
      </w:r>
      <w:r>
        <w:rPr>
          <w:spacing w:val="-16"/>
          <w:w w:val="105"/>
          <w:sz w:val="21"/>
        </w:rPr>
        <w:t> </w:t>
      </w:r>
      <w:r>
        <w:rPr>
          <w:w w:val="105"/>
          <w:sz w:val="21"/>
        </w:rPr>
        <w:t>Ch.</w:t>
      </w:r>
      <w:r>
        <w:rPr>
          <w:spacing w:val="-17"/>
          <w:w w:val="105"/>
          <w:sz w:val="21"/>
        </w:rPr>
        <w:t> </w:t>
      </w:r>
      <w:r>
        <w:rPr>
          <w:spacing w:val="-7"/>
          <w:w w:val="105"/>
          <w:sz w:val="21"/>
        </w:rPr>
        <w:t>W.</w:t>
      </w:r>
      <w:r>
        <w:rPr>
          <w:spacing w:val="-16"/>
          <w:w w:val="105"/>
          <w:sz w:val="21"/>
        </w:rPr>
        <w:t> </w:t>
      </w:r>
      <w:r>
        <w:rPr>
          <w:w w:val="105"/>
          <w:sz w:val="21"/>
        </w:rPr>
        <w:t>L.</w:t>
      </w:r>
      <w:r>
        <w:rPr>
          <w:spacing w:val="-16"/>
          <w:w w:val="105"/>
          <w:sz w:val="21"/>
        </w:rPr>
        <w:t> </w:t>
      </w:r>
      <w:r>
        <w:rPr>
          <w:w w:val="105"/>
          <w:sz w:val="21"/>
        </w:rPr>
        <w:t>y</w:t>
      </w:r>
      <w:r>
        <w:rPr>
          <w:spacing w:val="-13"/>
          <w:w w:val="105"/>
          <w:sz w:val="21"/>
        </w:rPr>
        <w:t> </w:t>
      </w:r>
      <w:r>
        <w:rPr>
          <w:w w:val="105"/>
          <w:sz w:val="21"/>
        </w:rPr>
        <w:t>Jones,</w:t>
      </w:r>
      <w:r>
        <w:rPr>
          <w:spacing w:val="-16"/>
          <w:w w:val="105"/>
          <w:sz w:val="21"/>
        </w:rPr>
        <w:t> </w:t>
      </w:r>
      <w:r>
        <w:rPr>
          <w:w w:val="105"/>
          <w:sz w:val="21"/>
        </w:rPr>
        <w:t>G.</w:t>
      </w:r>
      <w:r>
        <w:rPr>
          <w:spacing w:val="-16"/>
          <w:w w:val="105"/>
          <w:sz w:val="21"/>
        </w:rPr>
        <w:t> </w:t>
      </w:r>
      <w:r>
        <w:rPr>
          <w:w w:val="105"/>
          <w:sz w:val="21"/>
        </w:rPr>
        <w:t>R.</w:t>
      </w:r>
      <w:r>
        <w:rPr>
          <w:spacing w:val="-16"/>
          <w:w w:val="105"/>
          <w:sz w:val="21"/>
        </w:rPr>
        <w:t> </w:t>
      </w:r>
      <w:r>
        <w:rPr>
          <w:w w:val="105"/>
          <w:sz w:val="21"/>
        </w:rPr>
        <w:t>(2009).</w:t>
      </w:r>
      <w:r>
        <w:rPr>
          <w:spacing w:val="-16"/>
          <w:w w:val="105"/>
          <w:sz w:val="21"/>
        </w:rPr>
        <w:t> </w:t>
      </w:r>
      <w:r>
        <w:rPr>
          <w:i/>
          <w:color w:val="2B2E30"/>
          <w:w w:val="105"/>
          <w:sz w:val="21"/>
        </w:rPr>
        <w:t>Administración</w:t>
      </w:r>
      <w:r>
        <w:rPr>
          <w:i/>
          <w:color w:val="2B2E30"/>
          <w:spacing w:val="-11"/>
          <w:w w:val="105"/>
          <w:sz w:val="21"/>
        </w:rPr>
        <w:t> </w:t>
      </w:r>
      <w:r>
        <w:rPr>
          <w:i/>
          <w:color w:val="2B2E30"/>
          <w:w w:val="105"/>
          <w:sz w:val="21"/>
        </w:rPr>
        <w:t>estratégica</w:t>
      </w:r>
      <w:r>
        <w:rPr>
          <w:color w:val="2B2E30"/>
          <w:w w:val="105"/>
          <w:sz w:val="21"/>
        </w:rPr>
        <w:t>.</w:t>
      </w:r>
      <w:r>
        <w:rPr>
          <w:color w:val="2B2E30"/>
          <w:spacing w:val="-16"/>
          <w:w w:val="105"/>
          <w:sz w:val="21"/>
        </w:rPr>
        <w:t> </w:t>
      </w:r>
      <w:r>
        <w:rPr>
          <w:color w:val="2B2E30"/>
          <w:w w:val="105"/>
          <w:sz w:val="21"/>
        </w:rPr>
        <w:t>Ed:</w:t>
      </w:r>
      <w:r>
        <w:rPr>
          <w:color w:val="2B2E30"/>
          <w:spacing w:val="-11"/>
          <w:w w:val="105"/>
          <w:sz w:val="21"/>
        </w:rPr>
        <w:t> </w:t>
      </w:r>
      <w:r>
        <w:rPr>
          <w:color w:val="2B2E30"/>
          <w:w w:val="105"/>
          <w:sz w:val="21"/>
        </w:rPr>
        <w:t>Mc- Graw</w:t>
      </w:r>
      <w:r>
        <w:rPr>
          <w:color w:val="2B2E30"/>
          <w:spacing w:val="-32"/>
          <w:w w:val="105"/>
          <w:sz w:val="21"/>
        </w:rPr>
        <w:t> </w:t>
      </w:r>
      <w:r>
        <w:rPr>
          <w:color w:val="2B2E30"/>
          <w:w w:val="105"/>
          <w:sz w:val="21"/>
        </w:rPr>
        <w:t>Hill.</w:t>
      </w:r>
      <w:r>
        <w:rPr>
          <w:color w:val="2B2E30"/>
          <w:spacing w:val="-36"/>
          <w:w w:val="105"/>
          <w:sz w:val="21"/>
        </w:rPr>
        <w:t> </w:t>
      </w:r>
      <w:r>
        <w:rPr>
          <w:color w:val="2B2E30"/>
          <w:w w:val="105"/>
          <w:sz w:val="21"/>
        </w:rPr>
        <w:t>México.</w:t>
      </w:r>
    </w:p>
    <w:p>
      <w:pPr>
        <w:pStyle w:val="BodyText"/>
        <w:spacing w:line="259" w:lineRule="auto"/>
        <w:ind w:left="840" w:right="115" w:hanging="738"/>
        <w:jc w:val="both"/>
      </w:pPr>
      <w:r>
        <w:rPr>
          <w:w w:val="105"/>
        </w:rPr>
        <w:t>Industry</w:t>
      </w:r>
      <w:r>
        <w:rPr>
          <w:spacing w:val="-32"/>
          <w:w w:val="105"/>
        </w:rPr>
        <w:t> </w:t>
      </w:r>
      <w:r>
        <w:rPr>
          <w:w w:val="105"/>
        </w:rPr>
        <w:t>Canada.</w:t>
      </w:r>
      <w:r>
        <w:rPr>
          <w:spacing w:val="-36"/>
          <w:w w:val="105"/>
        </w:rPr>
        <w:t> </w:t>
      </w:r>
      <w:r>
        <w:rPr>
          <w:w w:val="105"/>
        </w:rPr>
        <w:t>(1995).</w:t>
      </w:r>
      <w:r>
        <w:rPr>
          <w:spacing w:val="-36"/>
          <w:w w:val="105"/>
        </w:rPr>
        <w:t> </w:t>
      </w:r>
      <w:r>
        <w:rPr>
          <w:w w:val="105"/>
        </w:rPr>
        <w:t>Competitiveness:</w:t>
      </w:r>
      <w:r>
        <w:rPr>
          <w:spacing w:val="-3"/>
          <w:w w:val="105"/>
        </w:rPr>
        <w:t> </w:t>
      </w:r>
      <w:r>
        <w:rPr>
          <w:w w:val="105"/>
        </w:rPr>
        <w:t>Concepts</w:t>
      </w:r>
      <w:r>
        <w:rPr>
          <w:spacing w:val="-32"/>
          <w:w w:val="105"/>
        </w:rPr>
        <w:t> </w:t>
      </w:r>
      <w:r>
        <w:rPr>
          <w:w w:val="105"/>
        </w:rPr>
        <w:t>and</w:t>
      </w:r>
      <w:r>
        <w:rPr>
          <w:spacing w:val="-32"/>
          <w:w w:val="105"/>
        </w:rPr>
        <w:t> </w:t>
      </w:r>
      <w:r>
        <w:rPr>
          <w:w w:val="105"/>
        </w:rPr>
        <w:t>measures.</w:t>
      </w:r>
      <w:r>
        <w:rPr>
          <w:spacing w:val="-36"/>
          <w:w w:val="105"/>
        </w:rPr>
        <w:t> </w:t>
      </w:r>
      <w:r>
        <w:rPr>
          <w:i/>
          <w:w w:val="105"/>
        </w:rPr>
        <w:t>Oc- </w:t>
      </w:r>
      <w:r>
        <w:rPr>
          <w:i/>
          <w:w w:val="105"/>
        </w:rPr>
        <w:t>casional</w:t>
      </w:r>
      <w:r>
        <w:rPr>
          <w:i/>
          <w:spacing w:val="-31"/>
          <w:w w:val="105"/>
        </w:rPr>
        <w:t> </w:t>
      </w:r>
      <w:r>
        <w:rPr>
          <w:i/>
          <w:w w:val="105"/>
        </w:rPr>
        <w:t>paper,</w:t>
      </w:r>
      <w:r>
        <w:rPr>
          <w:i/>
          <w:spacing w:val="-35"/>
          <w:w w:val="105"/>
        </w:rPr>
        <w:t> </w:t>
      </w:r>
      <w:r>
        <w:rPr>
          <w:w w:val="105"/>
        </w:rPr>
        <w:t>Otawa,</w:t>
      </w:r>
      <w:r>
        <w:rPr>
          <w:spacing w:val="-35"/>
          <w:w w:val="105"/>
        </w:rPr>
        <w:t> </w:t>
      </w:r>
      <w:r>
        <w:rPr>
          <w:w w:val="105"/>
        </w:rPr>
        <w:t>Canada,</w:t>
      </w:r>
      <w:r>
        <w:rPr>
          <w:spacing w:val="-35"/>
          <w:w w:val="105"/>
        </w:rPr>
        <w:t> </w:t>
      </w:r>
      <w:r>
        <w:rPr>
          <w:w w:val="105"/>
        </w:rPr>
        <w:t>5,</w:t>
      </w:r>
      <w:r>
        <w:rPr>
          <w:spacing w:val="-37"/>
          <w:w w:val="105"/>
        </w:rPr>
        <w:t> </w:t>
      </w:r>
      <w:r>
        <w:rPr>
          <w:w w:val="105"/>
        </w:rPr>
        <w:t>Abril.</w:t>
      </w:r>
    </w:p>
    <w:p>
      <w:pPr>
        <w:spacing w:line="259" w:lineRule="auto" w:before="0"/>
        <w:ind w:left="103" w:right="110" w:firstLine="0"/>
        <w:jc w:val="left"/>
        <w:rPr>
          <w:i/>
          <w:sz w:val="21"/>
        </w:rPr>
      </w:pPr>
      <w:r>
        <w:rPr>
          <w:sz w:val="21"/>
        </w:rPr>
        <w:t>James, </w:t>
      </w:r>
      <w:r>
        <w:rPr>
          <w:spacing w:val="-16"/>
          <w:sz w:val="21"/>
        </w:rPr>
        <w:t>P. </w:t>
      </w:r>
      <w:r>
        <w:rPr>
          <w:sz w:val="21"/>
        </w:rPr>
        <w:t>(2000). </w:t>
      </w:r>
      <w:r>
        <w:rPr>
          <w:i/>
          <w:sz w:val="21"/>
        </w:rPr>
        <w:t>La gestión de la calidad total</w:t>
      </w:r>
      <w:r>
        <w:rPr>
          <w:sz w:val="21"/>
        </w:rPr>
        <w:t>. Ed: Prentice Hall. México. Klaus, E., Wolfgang, H., Dirk, y Meyer-Stamer. (2001). </w:t>
      </w:r>
      <w:r>
        <w:rPr>
          <w:i/>
          <w:sz w:val="21"/>
        </w:rPr>
        <w:t>Competitividad </w:t>
      </w:r>
      <w:r>
        <w:rPr>
          <w:i/>
          <w:spacing w:val="56"/>
          <w:sz w:val="21"/>
        </w:rPr>
        <w:t> </w:t>
      </w:r>
      <w:r>
        <w:rPr>
          <w:i/>
          <w:sz w:val="21"/>
        </w:rPr>
        <w:t>in-</w:t>
      </w:r>
    </w:p>
    <w:p>
      <w:pPr>
        <w:spacing w:line="259" w:lineRule="auto" w:before="0"/>
        <w:ind w:left="840" w:right="115" w:firstLine="0"/>
        <w:jc w:val="both"/>
        <w:rPr>
          <w:sz w:val="21"/>
        </w:rPr>
      </w:pPr>
      <w:r>
        <w:rPr>
          <w:i/>
          <w:w w:val="105"/>
          <w:sz w:val="21"/>
        </w:rPr>
        <w:t>ternacional</w:t>
      </w:r>
      <w:r>
        <w:rPr>
          <w:i/>
          <w:spacing w:val="-43"/>
          <w:w w:val="105"/>
          <w:sz w:val="21"/>
        </w:rPr>
        <w:t> </w:t>
      </w:r>
      <w:r>
        <w:rPr>
          <w:i/>
          <w:w w:val="105"/>
          <w:sz w:val="21"/>
        </w:rPr>
        <w:t>de</w:t>
      </w:r>
      <w:r>
        <w:rPr>
          <w:i/>
          <w:spacing w:val="-43"/>
          <w:w w:val="105"/>
          <w:sz w:val="21"/>
        </w:rPr>
        <w:t> </w:t>
      </w:r>
      <w:r>
        <w:rPr>
          <w:i/>
          <w:w w:val="105"/>
          <w:sz w:val="21"/>
        </w:rPr>
        <w:t>las</w:t>
      </w:r>
      <w:r>
        <w:rPr>
          <w:i/>
          <w:spacing w:val="-43"/>
          <w:w w:val="105"/>
          <w:sz w:val="21"/>
        </w:rPr>
        <w:t> </w:t>
      </w:r>
      <w:r>
        <w:rPr>
          <w:i/>
          <w:w w:val="105"/>
          <w:sz w:val="21"/>
        </w:rPr>
        <w:t>empresas</w:t>
      </w:r>
      <w:r>
        <w:rPr>
          <w:i/>
          <w:spacing w:val="-43"/>
          <w:w w:val="105"/>
          <w:sz w:val="21"/>
        </w:rPr>
        <w:t> </w:t>
      </w:r>
      <w:r>
        <w:rPr>
          <w:i/>
          <w:w w:val="105"/>
          <w:sz w:val="21"/>
        </w:rPr>
        <w:t>y</w:t>
      </w:r>
      <w:r>
        <w:rPr>
          <w:i/>
          <w:spacing w:val="-43"/>
          <w:w w:val="105"/>
          <w:sz w:val="21"/>
        </w:rPr>
        <w:t> </w:t>
      </w:r>
      <w:r>
        <w:rPr>
          <w:i/>
          <w:w w:val="105"/>
          <w:sz w:val="21"/>
        </w:rPr>
        <w:t>políticas</w:t>
      </w:r>
      <w:r>
        <w:rPr>
          <w:i/>
          <w:spacing w:val="-43"/>
          <w:w w:val="105"/>
          <w:sz w:val="21"/>
        </w:rPr>
        <w:t> </w:t>
      </w:r>
      <w:r>
        <w:rPr>
          <w:i/>
          <w:w w:val="105"/>
          <w:sz w:val="21"/>
        </w:rPr>
        <w:t>requeridas.</w:t>
      </w:r>
      <w:r>
        <w:rPr>
          <w:i/>
          <w:spacing w:val="-47"/>
          <w:w w:val="105"/>
          <w:sz w:val="21"/>
        </w:rPr>
        <w:t> </w:t>
      </w:r>
      <w:r>
        <w:rPr>
          <w:i/>
          <w:w w:val="105"/>
          <w:sz w:val="21"/>
        </w:rPr>
        <w:t>Competitividad </w:t>
      </w:r>
      <w:r>
        <w:rPr>
          <w:i/>
          <w:w w:val="105"/>
          <w:sz w:val="21"/>
        </w:rPr>
        <w:t>sistémica</w:t>
      </w:r>
      <w:r>
        <w:rPr>
          <w:w w:val="105"/>
          <w:sz w:val="21"/>
        </w:rPr>
        <w:t>.</w:t>
      </w:r>
      <w:r>
        <w:rPr>
          <w:spacing w:val="-35"/>
          <w:w w:val="105"/>
          <w:sz w:val="21"/>
        </w:rPr>
        <w:t> </w:t>
      </w:r>
      <w:r>
        <w:rPr>
          <w:w w:val="105"/>
          <w:sz w:val="21"/>
        </w:rPr>
        <w:t>Ed:</w:t>
      </w:r>
      <w:r>
        <w:rPr>
          <w:spacing w:val="-30"/>
          <w:w w:val="105"/>
          <w:sz w:val="21"/>
        </w:rPr>
        <w:t> </w:t>
      </w:r>
      <w:r>
        <w:rPr>
          <w:w w:val="105"/>
          <w:sz w:val="21"/>
        </w:rPr>
        <w:t>Instituto</w:t>
      </w:r>
      <w:r>
        <w:rPr>
          <w:spacing w:val="-33"/>
          <w:w w:val="105"/>
          <w:sz w:val="21"/>
        </w:rPr>
        <w:t> </w:t>
      </w:r>
      <w:r>
        <w:rPr>
          <w:w w:val="105"/>
          <w:sz w:val="21"/>
        </w:rPr>
        <w:t>Alemán</w:t>
      </w:r>
      <w:r>
        <w:rPr>
          <w:spacing w:val="-30"/>
          <w:w w:val="105"/>
          <w:sz w:val="21"/>
        </w:rPr>
        <w:t> </w:t>
      </w:r>
      <w:r>
        <w:rPr>
          <w:w w:val="105"/>
          <w:sz w:val="21"/>
        </w:rPr>
        <w:t>de</w:t>
      </w:r>
      <w:r>
        <w:rPr>
          <w:spacing w:val="-30"/>
          <w:w w:val="105"/>
          <w:sz w:val="21"/>
        </w:rPr>
        <w:t> </w:t>
      </w:r>
      <w:r>
        <w:rPr>
          <w:w w:val="105"/>
          <w:sz w:val="21"/>
        </w:rPr>
        <w:t>Desarrollo.</w:t>
      </w:r>
      <w:r>
        <w:rPr>
          <w:spacing w:val="-35"/>
          <w:w w:val="105"/>
          <w:sz w:val="21"/>
        </w:rPr>
        <w:t> </w:t>
      </w:r>
      <w:r>
        <w:rPr>
          <w:w w:val="105"/>
          <w:sz w:val="21"/>
        </w:rPr>
        <w:t>Berlín.</w:t>
      </w:r>
      <w:r>
        <w:rPr>
          <w:spacing w:val="-35"/>
          <w:w w:val="105"/>
          <w:sz w:val="21"/>
        </w:rPr>
        <w:t> </w:t>
      </w:r>
      <w:r>
        <w:rPr>
          <w:w w:val="105"/>
          <w:sz w:val="21"/>
        </w:rPr>
        <w:t>Dirección</w:t>
      </w:r>
      <w:r>
        <w:rPr>
          <w:spacing w:val="-30"/>
          <w:w w:val="105"/>
          <w:sz w:val="21"/>
        </w:rPr>
        <w:t> </w:t>
      </w:r>
      <w:r>
        <w:rPr>
          <w:w w:val="105"/>
          <w:sz w:val="21"/>
        </w:rPr>
        <w:t>de Marketing,</w:t>
      </w:r>
      <w:r>
        <w:rPr>
          <w:spacing w:val="-25"/>
          <w:w w:val="105"/>
          <w:sz w:val="21"/>
        </w:rPr>
        <w:t> </w:t>
      </w:r>
      <w:r>
        <w:rPr>
          <w:w w:val="105"/>
          <w:sz w:val="21"/>
        </w:rPr>
        <w:t>Edición</w:t>
      </w:r>
      <w:r>
        <w:rPr>
          <w:spacing w:val="-19"/>
          <w:w w:val="105"/>
          <w:sz w:val="21"/>
        </w:rPr>
        <w:t> </w:t>
      </w:r>
      <w:r>
        <w:rPr>
          <w:w w:val="105"/>
          <w:sz w:val="21"/>
        </w:rPr>
        <w:t>del</w:t>
      </w:r>
      <w:r>
        <w:rPr>
          <w:spacing w:val="-19"/>
          <w:w w:val="105"/>
          <w:sz w:val="21"/>
        </w:rPr>
        <w:t> </w:t>
      </w:r>
      <w:r>
        <w:rPr>
          <w:w w:val="105"/>
          <w:sz w:val="21"/>
        </w:rPr>
        <w:t>milenio;</w:t>
      </w:r>
      <w:r>
        <w:rPr>
          <w:spacing w:val="-19"/>
          <w:w w:val="105"/>
          <w:sz w:val="21"/>
        </w:rPr>
        <w:t> </w:t>
      </w:r>
      <w:r>
        <w:rPr>
          <w:spacing w:val="-3"/>
          <w:w w:val="105"/>
          <w:sz w:val="21"/>
        </w:rPr>
        <w:t>Pearson</w:t>
      </w:r>
      <w:r>
        <w:rPr>
          <w:spacing w:val="-19"/>
          <w:w w:val="105"/>
          <w:sz w:val="21"/>
        </w:rPr>
        <w:t> </w:t>
      </w:r>
      <w:r>
        <w:rPr>
          <w:w w:val="105"/>
          <w:sz w:val="21"/>
        </w:rPr>
        <w:t>Education;</w:t>
      </w:r>
      <w:r>
        <w:rPr>
          <w:spacing w:val="-19"/>
          <w:w w:val="105"/>
          <w:sz w:val="21"/>
        </w:rPr>
        <w:t> </w:t>
      </w:r>
      <w:r>
        <w:rPr>
          <w:w w:val="105"/>
          <w:sz w:val="21"/>
        </w:rPr>
        <w:t>México.</w:t>
      </w:r>
    </w:p>
    <w:p>
      <w:pPr>
        <w:spacing w:line="259" w:lineRule="auto" w:before="0"/>
        <w:ind w:left="840" w:right="115" w:hanging="738"/>
        <w:jc w:val="both"/>
        <w:rPr>
          <w:sz w:val="21"/>
        </w:rPr>
      </w:pPr>
      <w:r>
        <w:rPr>
          <w:w w:val="105"/>
          <w:sz w:val="21"/>
        </w:rPr>
        <w:t>Krugman,</w:t>
      </w:r>
      <w:r>
        <w:rPr>
          <w:spacing w:val="-30"/>
          <w:w w:val="105"/>
          <w:sz w:val="21"/>
        </w:rPr>
        <w:t> </w:t>
      </w:r>
      <w:r>
        <w:rPr>
          <w:spacing w:val="-16"/>
          <w:w w:val="105"/>
          <w:sz w:val="21"/>
        </w:rPr>
        <w:t>P.</w:t>
      </w:r>
      <w:r>
        <w:rPr>
          <w:spacing w:val="-30"/>
          <w:w w:val="105"/>
          <w:sz w:val="21"/>
        </w:rPr>
        <w:t> </w:t>
      </w:r>
      <w:r>
        <w:rPr>
          <w:w w:val="105"/>
          <w:sz w:val="21"/>
        </w:rPr>
        <w:t>y</w:t>
      </w:r>
      <w:r>
        <w:rPr>
          <w:spacing w:val="-26"/>
          <w:w w:val="105"/>
          <w:sz w:val="21"/>
        </w:rPr>
        <w:t> </w:t>
      </w:r>
      <w:r>
        <w:rPr>
          <w:w w:val="105"/>
          <w:sz w:val="21"/>
        </w:rPr>
        <w:t>Obstfeld,</w:t>
      </w:r>
      <w:r>
        <w:rPr>
          <w:spacing w:val="-30"/>
          <w:w w:val="105"/>
          <w:sz w:val="21"/>
        </w:rPr>
        <w:t> </w:t>
      </w:r>
      <w:r>
        <w:rPr>
          <w:w w:val="105"/>
          <w:sz w:val="21"/>
        </w:rPr>
        <w:t>M.</w:t>
      </w:r>
      <w:r>
        <w:rPr>
          <w:spacing w:val="-30"/>
          <w:w w:val="105"/>
          <w:sz w:val="21"/>
        </w:rPr>
        <w:t> </w:t>
      </w:r>
      <w:r>
        <w:rPr>
          <w:w w:val="105"/>
          <w:sz w:val="21"/>
        </w:rPr>
        <w:t>(1999).</w:t>
      </w:r>
      <w:r>
        <w:rPr>
          <w:spacing w:val="-30"/>
          <w:w w:val="105"/>
          <w:sz w:val="21"/>
        </w:rPr>
        <w:t> </w:t>
      </w:r>
      <w:r>
        <w:rPr>
          <w:i/>
          <w:w w:val="105"/>
          <w:sz w:val="21"/>
        </w:rPr>
        <w:t>Economía</w:t>
      </w:r>
      <w:r>
        <w:rPr>
          <w:i/>
          <w:spacing w:val="-26"/>
          <w:w w:val="105"/>
          <w:sz w:val="21"/>
        </w:rPr>
        <w:t> </w:t>
      </w:r>
      <w:r>
        <w:rPr>
          <w:i/>
          <w:w w:val="105"/>
          <w:sz w:val="21"/>
        </w:rPr>
        <w:t>internacional,</w:t>
      </w:r>
      <w:r>
        <w:rPr>
          <w:i/>
          <w:spacing w:val="-30"/>
          <w:w w:val="105"/>
          <w:sz w:val="21"/>
        </w:rPr>
        <w:t> </w:t>
      </w:r>
      <w:r>
        <w:rPr>
          <w:i/>
          <w:w w:val="105"/>
          <w:sz w:val="21"/>
        </w:rPr>
        <w:t>teoría</w:t>
      </w:r>
      <w:r>
        <w:rPr>
          <w:i/>
          <w:spacing w:val="-26"/>
          <w:w w:val="105"/>
          <w:sz w:val="21"/>
        </w:rPr>
        <w:t> </w:t>
      </w:r>
      <w:r>
        <w:rPr>
          <w:i/>
          <w:w w:val="105"/>
          <w:sz w:val="21"/>
        </w:rPr>
        <w:t>y</w:t>
      </w:r>
      <w:r>
        <w:rPr>
          <w:i/>
          <w:spacing w:val="-26"/>
          <w:w w:val="105"/>
          <w:sz w:val="21"/>
        </w:rPr>
        <w:t> </w:t>
      </w:r>
      <w:r>
        <w:rPr>
          <w:i/>
          <w:w w:val="105"/>
          <w:sz w:val="21"/>
        </w:rPr>
        <w:t>políti- </w:t>
      </w:r>
      <w:r>
        <w:rPr>
          <w:i/>
          <w:w w:val="105"/>
          <w:sz w:val="21"/>
        </w:rPr>
        <w:t>ca</w:t>
      </w:r>
      <w:r>
        <w:rPr>
          <w:w w:val="105"/>
          <w:sz w:val="21"/>
        </w:rPr>
        <w:t>.</w:t>
      </w:r>
      <w:r>
        <w:rPr>
          <w:spacing w:val="-31"/>
          <w:w w:val="105"/>
          <w:sz w:val="21"/>
        </w:rPr>
        <w:t> </w:t>
      </w:r>
      <w:r>
        <w:rPr>
          <w:w w:val="105"/>
          <w:sz w:val="21"/>
        </w:rPr>
        <w:t>Ed:</w:t>
      </w:r>
      <w:r>
        <w:rPr>
          <w:spacing w:val="-26"/>
          <w:w w:val="105"/>
          <w:sz w:val="21"/>
        </w:rPr>
        <w:t> </w:t>
      </w:r>
      <w:r>
        <w:rPr>
          <w:w w:val="105"/>
          <w:sz w:val="21"/>
        </w:rPr>
        <w:t>Mc</w:t>
      </w:r>
      <w:r>
        <w:rPr>
          <w:spacing w:val="-26"/>
          <w:w w:val="105"/>
          <w:sz w:val="21"/>
        </w:rPr>
        <w:t> </w:t>
      </w:r>
      <w:r>
        <w:rPr>
          <w:w w:val="105"/>
          <w:sz w:val="21"/>
        </w:rPr>
        <w:t>Graw</w:t>
      </w:r>
      <w:r>
        <w:rPr>
          <w:spacing w:val="-26"/>
          <w:w w:val="105"/>
          <w:sz w:val="21"/>
        </w:rPr>
        <w:t> </w:t>
      </w:r>
      <w:r>
        <w:rPr>
          <w:w w:val="105"/>
          <w:sz w:val="21"/>
        </w:rPr>
        <w:t>Hill.</w:t>
      </w:r>
      <w:r>
        <w:rPr>
          <w:spacing w:val="-31"/>
          <w:w w:val="105"/>
          <w:sz w:val="21"/>
        </w:rPr>
        <w:t> </w:t>
      </w:r>
      <w:r>
        <w:rPr>
          <w:w w:val="105"/>
          <w:sz w:val="21"/>
        </w:rPr>
        <w:t>México.</w:t>
      </w:r>
    </w:p>
    <w:p>
      <w:pPr>
        <w:spacing w:line="259" w:lineRule="auto" w:before="0"/>
        <w:ind w:left="840" w:right="115" w:hanging="738"/>
        <w:jc w:val="both"/>
        <w:rPr>
          <w:sz w:val="21"/>
        </w:rPr>
      </w:pPr>
      <w:r>
        <w:rPr>
          <w:w w:val="105"/>
          <w:sz w:val="21"/>
        </w:rPr>
        <w:t>OCDE.</w:t>
      </w:r>
      <w:r>
        <w:rPr>
          <w:spacing w:val="-41"/>
          <w:w w:val="105"/>
          <w:sz w:val="21"/>
        </w:rPr>
        <w:t> </w:t>
      </w:r>
      <w:r>
        <w:rPr>
          <w:w w:val="105"/>
          <w:sz w:val="21"/>
        </w:rPr>
        <w:t>(1996).</w:t>
      </w:r>
      <w:r>
        <w:rPr>
          <w:spacing w:val="-41"/>
          <w:w w:val="105"/>
          <w:sz w:val="21"/>
        </w:rPr>
        <w:t> </w:t>
      </w:r>
      <w:r>
        <w:rPr>
          <w:i/>
          <w:w w:val="105"/>
          <w:sz w:val="21"/>
        </w:rPr>
        <w:t>Benchmarking</w:t>
      </w:r>
      <w:r>
        <w:rPr>
          <w:i/>
          <w:spacing w:val="-39"/>
          <w:w w:val="105"/>
          <w:sz w:val="21"/>
        </w:rPr>
        <w:t> </w:t>
      </w:r>
      <w:r>
        <w:rPr>
          <w:i/>
          <w:w w:val="105"/>
          <w:sz w:val="21"/>
        </w:rPr>
        <w:t>Business</w:t>
      </w:r>
      <w:r>
        <w:rPr>
          <w:i/>
          <w:spacing w:val="-39"/>
          <w:w w:val="105"/>
          <w:sz w:val="21"/>
        </w:rPr>
        <w:t> </w:t>
      </w:r>
      <w:r>
        <w:rPr>
          <w:i/>
          <w:w w:val="105"/>
          <w:sz w:val="21"/>
        </w:rPr>
        <w:t>Environments</w:t>
      </w:r>
      <w:r>
        <w:rPr>
          <w:i/>
          <w:spacing w:val="-39"/>
          <w:w w:val="105"/>
          <w:sz w:val="21"/>
        </w:rPr>
        <w:t> </w:t>
      </w:r>
      <w:r>
        <w:rPr>
          <w:i/>
          <w:w w:val="105"/>
          <w:sz w:val="21"/>
        </w:rPr>
        <w:t>in</w:t>
      </w:r>
      <w:r>
        <w:rPr>
          <w:i/>
          <w:spacing w:val="-39"/>
          <w:w w:val="105"/>
          <w:sz w:val="21"/>
        </w:rPr>
        <w:t> </w:t>
      </w:r>
      <w:r>
        <w:rPr>
          <w:i/>
          <w:w w:val="105"/>
          <w:sz w:val="21"/>
        </w:rPr>
        <w:t>the</w:t>
      </w:r>
      <w:r>
        <w:rPr>
          <w:i/>
          <w:spacing w:val="-39"/>
          <w:w w:val="105"/>
          <w:sz w:val="21"/>
        </w:rPr>
        <w:t> </w:t>
      </w:r>
      <w:r>
        <w:rPr>
          <w:i/>
          <w:w w:val="105"/>
          <w:sz w:val="21"/>
        </w:rPr>
        <w:t>Global</w:t>
      </w:r>
      <w:r>
        <w:rPr>
          <w:i/>
          <w:spacing w:val="-39"/>
          <w:w w:val="105"/>
          <w:sz w:val="21"/>
        </w:rPr>
        <w:t> </w:t>
      </w:r>
      <w:r>
        <w:rPr>
          <w:i/>
          <w:w w:val="105"/>
          <w:sz w:val="21"/>
        </w:rPr>
        <w:t>Econ- </w:t>
      </w:r>
      <w:r>
        <w:rPr>
          <w:i/>
          <w:w w:val="105"/>
          <w:sz w:val="21"/>
        </w:rPr>
        <w:t>omy</w:t>
      </w:r>
      <w:r>
        <w:rPr>
          <w:w w:val="105"/>
          <w:sz w:val="21"/>
        </w:rPr>
        <w:t>. Disponible en </w:t>
      </w:r>
      <w:hyperlink r:id="rId31">
        <w:r>
          <w:rPr>
            <w:w w:val="105"/>
            <w:sz w:val="21"/>
          </w:rPr>
          <w:t>&lt;http://www.imco.org.mx/&gt;,</w:t>
        </w:r>
      </w:hyperlink>
      <w:r>
        <w:rPr>
          <w:w w:val="105"/>
          <w:sz w:val="21"/>
        </w:rPr>
        <w:t> consultado el 15 noviembre de</w:t>
      </w:r>
      <w:r>
        <w:rPr>
          <w:spacing w:val="-23"/>
          <w:w w:val="105"/>
          <w:sz w:val="21"/>
        </w:rPr>
        <w:t> </w:t>
      </w:r>
      <w:r>
        <w:rPr>
          <w:w w:val="105"/>
          <w:sz w:val="21"/>
        </w:rPr>
        <w:t>2007.</w:t>
      </w:r>
    </w:p>
    <w:p>
      <w:pPr>
        <w:spacing w:line="241" w:lineRule="exact" w:before="0"/>
        <w:ind w:left="103" w:right="17" w:firstLine="0"/>
        <w:jc w:val="left"/>
        <w:rPr>
          <w:sz w:val="21"/>
        </w:rPr>
      </w:pPr>
      <w:r>
        <w:rPr>
          <w:spacing w:val="-3"/>
          <w:w w:val="105"/>
          <w:sz w:val="21"/>
        </w:rPr>
        <w:t>Penrose,</w:t>
      </w:r>
      <w:r>
        <w:rPr>
          <w:spacing w:val="-16"/>
          <w:w w:val="105"/>
          <w:sz w:val="21"/>
        </w:rPr>
        <w:t> </w:t>
      </w:r>
      <w:r>
        <w:rPr>
          <w:w w:val="105"/>
          <w:sz w:val="21"/>
        </w:rPr>
        <w:t>E.</w:t>
      </w:r>
      <w:r>
        <w:rPr>
          <w:spacing w:val="-19"/>
          <w:w w:val="105"/>
          <w:sz w:val="21"/>
        </w:rPr>
        <w:t> </w:t>
      </w:r>
      <w:r>
        <w:rPr>
          <w:spacing w:val="-9"/>
          <w:w w:val="105"/>
          <w:sz w:val="21"/>
        </w:rPr>
        <w:t>T.</w:t>
      </w:r>
      <w:r>
        <w:rPr>
          <w:spacing w:val="-16"/>
          <w:w w:val="105"/>
          <w:sz w:val="21"/>
        </w:rPr>
        <w:t> </w:t>
      </w:r>
      <w:r>
        <w:rPr>
          <w:w w:val="105"/>
          <w:sz w:val="21"/>
        </w:rPr>
        <w:t>(1962).</w:t>
      </w:r>
      <w:r>
        <w:rPr>
          <w:spacing w:val="-16"/>
          <w:w w:val="105"/>
          <w:sz w:val="21"/>
        </w:rPr>
        <w:t> </w:t>
      </w:r>
      <w:r>
        <w:rPr>
          <w:i/>
          <w:spacing w:val="-4"/>
          <w:w w:val="105"/>
          <w:sz w:val="21"/>
        </w:rPr>
        <w:t>Teoría</w:t>
      </w:r>
      <w:r>
        <w:rPr>
          <w:i/>
          <w:spacing w:val="-11"/>
          <w:w w:val="105"/>
          <w:sz w:val="21"/>
        </w:rPr>
        <w:t> </w:t>
      </w:r>
      <w:r>
        <w:rPr>
          <w:i/>
          <w:w w:val="105"/>
          <w:sz w:val="21"/>
        </w:rPr>
        <w:t>del</w:t>
      </w:r>
      <w:r>
        <w:rPr>
          <w:i/>
          <w:spacing w:val="-11"/>
          <w:w w:val="105"/>
          <w:sz w:val="21"/>
        </w:rPr>
        <w:t> </w:t>
      </w:r>
      <w:r>
        <w:rPr>
          <w:i/>
          <w:w w:val="105"/>
          <w:sz w:val="21"/>
        </w:rPr>
        <w:t>crecimiento</w:t>
      </w:r>
      <w:r>
        <w:rPr>
          <w:i/>
          <w:spacing w:val="-11"/>
          <w:w w:val="105"/>
          <w:sz w:val="21"/>
        </w:rPr>
        <w:t> </w:t>
      </w:r>
      <w:r>
        <w:rPr>
          <w:i/>
          <w:w w:val="105"/>
          <w:sz w:val="21"/>
        </w:rPr>
        <w:t>de</w:t>
      </w:r>
      <w:r>
        <w:rPr>
          <w:i/>
          <w:spacing w:val="-11"/>
          <w:w w:val="105"/>
          <w:sz w:val="21"/>
        </w:rPr>
        <w:t> </w:t>
      </w:r>
      <w:r>
        <w:rPr>
          <w:i/>
          <w:w w:val="105"/>
          <w:sz w:val="21"/>
        </w:rPr>
        <w:t>la</w:t>
      </w:r>
      <w:r>
        <w:rPr>
          <w:i/>
          <w:spacing w:val="-11"/>
          <w:w w:val="105"/>
          <w:sz w:val="21"/>
        </w:rPr>
        <w:t> </w:t>
      </w:r>
      <w:r>
        <w:rPr>
          <w:i/>
          <w:w w:val="105"/>
          <w:sz w:val="21"/>
        </w:rPr>
        <w:t>empresa</w:t>
      </w:r>
      <w:r>
        <w:rPr>
          <w:w w:val="105"/>
          <w:sz w:val="21"/>
        </w:rPr>
        <w:t>.</w:t>
      </w:r>
      <w:r>
        <w:rPr>
          <w:spacing w:val="-16"/>
          <w:w w:val="105"/>
          <w:sz w:val="21"/>
        </w:rPr>
        <w:t> </w:t>
      </w:r>
      <w:r>
        <w:rPr>
          <w:w w:val="105"/>
          <w:sz w:val="21"/>
        </w:rPr>
        <w:t>Ed.</w:t>
      </w:r>
      <w:r>
        <w:rPr>
          <w:spacing w:val="-18"/>
          <w:w w:val="105"/>
          <w:sz w:val="21"/>
        </w:rPr>
        <w:t> </w:t>
      </w:r>
      <w:r>
        <w:rPr>
          <w:w w:val="105"/>
          <w:sz w:val="21"/>
        </w:rPr>
        <w:t>Aguilar.</w:t>
      </w:r>
    </w:p>
    <w:p>
      <w:pPr>
        <w:pStyle w:val="BodyText"/>
        <w:spacing w:before="18"/>
        <w:ind w:left="840"/>
        <w:jc w:val="both"/>
      </w:pPr>
      <w:r>
        <w:rPr>
          <w:w w:val="105"/>
        </w:rPr>
        <w:t>Madrid.</w:t>
      </w:r>
    </w:p>
    <w:p>
      <w:pPr>
        <w:spacing w:before="18"/>
        <w:ind w:left="103" w:right="17" w:firstLine="0"/>
        <w:jc w:val="left"/>
        <w:rPr>
          <w:sz w:val="21"/>
        </w:rPr>
      </w:pPr>
      <w:r>
        <w:rPr>
          <w:sz w:val="21"/>
        </w:rPr>
        <w:t>Porter, M. (1980). </w:t>
      </w:r>
      <w:r>
        <w:rPr>
          <w:i/>
          <w:sz w:val="21"/>
        </w:rPr>
        <w:t>Competitive Strategy</w:t>
      </w:r>
      <w:r>
        <w:rPr>
          <w:sz w:val="21"/>
        </w:rPr>
        <w:t>. Free press. New York.</w:t>
      </w:r>
    </w:p>
    <w:p>
      <w:pPr>
        <w:spacing w:line="259" w:lineRule="auto" w:before="18"/>
        <w:ind w:left="840" w:right="116" w:hanging="738"/>
        <w:jc w:val="both"/>
        <w:rPr>
          <w:sz w:val="21"/>
        </w:rPr>
      </w:pPr>
      <w:r>
        <w:rPr>
          <w:color w:val="231F20"/>
          <w:sz w:val="21"/>
        </w:rPr>
        <w:t>––––––– </w:t>
      </w:r>
      <w:r>
        <w:rPr>
          <w:sz w:val="21"/>
        </w:rPr>
        <w:t>(1990). </w:t>
      </w:r>
      <w:r>
        <w:rPr>
          <w:i/>
          <w:sz w:val="21"/>
        </w:rPr>
        <w:t>The Competitive advantage of nations</w:t>
      </w:r>
      <w:r>
        <w:rPr>
          <w:sz w:val="21"/>
        </w:rPr>
        <w:t>. Free Press. New York.</w:t>
      </w:r>
    </w:p>
    <w:p>
      <w:pPr>
        <w:pStyle w:val="BodyText"/>
        <w:rPr>
          <w:sz w:val="20"/>
        </w:rPr>
      </w:pPr>
    </w:p>
    <w:p>
      <w:pPr>
        <w:pStyle w:val="BodyText"/>
        <w:rPr>
          <w:sz w:val="20"/>
        </w:rPr>
      </w:pPr>
    </w:p>
    <w:p>
      <w:pPr>
        <w:pStyle w:val="BodyText"/>
        <w:spacing w:before="6"/>
        <w:rPr>
          <w:sz w:val="18"/>
        </w:rPr>
      </w:pPr>
    </w:p>
    <w:p>
      <w:pPr>
        <w:tabs>
          <w:tab w:pos="1317" w:val="left" w:leader="none"/>
        </w:tabs>
        <w:spacing w:before="0"/>
        <w:ind w:left="267" w:right="17" w:firstLine="0"/>
        <w:jc w:val="left"/>
        <w:rPr>
          <w:rFonts w:ascii="Calibri" w:hAnsi="Calibri"/>
          <w:sz w:val="15"/>
        </w:rPr>
      </w:pPr>
      <w:r>
        <w:rPr/>
        <w:pict>
          <v:group style="position:absolute;margin-left:101.817299pt;margin-top:-20.299887pt;width:17.850pt;height:56.5pt;mso-position-horizontal-relative:page;mso-position-vertical-relative:paragraph;z-index:-245344"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62</w:t>
        <w:tab/>
      </w:r>
      <w:r>
        <w:rPr>
          <w:rFonts w:ascii="Calibri" w:hAnsi="Calibri"/>
          <w:color w:val="6D6E71"/>
          <w:sz w:val="15"/>
        </w:rPr>
        <w:t>María del Rosario Demuner Flores, Patricia Mercado Salgado y Rosa María Nava  </w:t>
      </w:r>
      <w:r>
        <w:rPr>
          <w:rFonts w:ascii="Calibri" w:hAnsi="Calibri"/>
          <w:color w:val="6D6E71"/>
          <w:spacing w:val="18"/>
          <w:sz w:val="15"/>
        </w:rPr>
        <w:t> </w:t>
      </w:r>
      <w:r>
        <w:rPr>
          <w:rFonts w:ascii="Calibri" w:hAnsi="Calibri"/>
          <w:color w:val="6D6E71"/>
          <w:sz w:val="15"/>
        </w:rPr>
        <w:t>Rogel</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27"/>
        </w:numPr>
        <w:tabs>
          <w:tab w:pos="1654" w:val="left" w:leader="none"/>
          <w:tab w:pos="6916" w:val="right" w:leader="none"/>
        </w:tabs>
        <w:spacing w:line="208" w:lineRule="exact" w:before="52" w:after="0"/>
        <w:ind w:left="925" w:right="0" w:firstLine="595"/>
        <w:jc w:val="left"/>
        <w:rPr>
          <w:rFonts w:ascii="Lucida Sans Unicode"/>
          <w:color w:val="6D6E71"/>
          <w:sz w:val="14"/>
        </w:rPr>
      </w:pPr>
      <w:r>
        <w:rPr/>
        <w:pict>
          <v:line style="position:absolute;mso-position-horizontal-relative:page;mso-position-vertical-relative:paragraph;z-index:-245320" from="384.061005pt,-25.30427pt" to="384.061005pt,9.561580pt" stroked="true" strokeweight=".3pt" strokecolor="#231f20">
            <w10:wrap type="none"/>
          </v:line>
        </w:pict>
      </w:r>
      <w:r>
        <w:rPr>
          <w:rFonts w:ascii="Lucida Sans Unicode"/>
          <w:color w:val="6D6E71"/>
          <w:w w:val="105"/>
          <w:sz w:val="14"/>
        </w:rPr>
        <w:t>DetermInantes</w:t>
      </w:r>
      <w:r>
        <w:rPr>
          <w:rFonts w:ascii="Lucida Sans Unicode"/>
          <w:color w:val="6D6E71"/>
          <w:spacing w:val="-17"/>
          <w:w w:val="105"/>
          <w:sz w:val="14"/>
        </w:rPr>
        <w:t> </w:t>
      </w:r>
      <w:r>
        <w:rPr>
          <w:rFonts w:ascii="Lucida Sans Unicode"/>
          <w:color w:val="6D6E71"/>
          <w:w w:val="105"/>
          <w:sz w:val="14"/>
        </w:rPr>
        <w:t>De</w:t>
      </w:r>
      <w:r>
        <w:rPr>
          <w:rFonts w:ascii="Lucida Sans Unicode"/>
          <w:color w:val="6D6E71"/>
          <w:spacing w:val="-17"/>
          <w:w w:val="105"/>
          <w:sz w:val="14"/>
        </w:rPr>
        <w:t> </w:t>
      </w:r>
      <w:r>
        <w:rPr>
          <w:rFonts w:ascii="Lucida Sans Unicode"/>
          <w:color w:val="6D6E71"/>
          <w:w w:val="115"/>
          <w:sz w:val="14"/>
        </w:rPr>
        <w:t>la</w:t>
      </w:r>
      <w:r>
        <w:rPr>
          <w:rFonts w:ascii="Lucida Sans Unicode"/>
          <w:color w:val="6D6E71"/>
          <w:spacing w:val="-21"/>
          <w:w w:val="115"/>
          <w:sz w:val="14"/>
        </w:rPr>
        <w:t> </w:t>
      </w:r>
      <w:r>
        <w:rPr>
          <w:rFonts w:ascii="Lucida Sans Unicode"/>
          <w:color w:val="6D6E71"/>
          <w:w w:val="105"/>
          <w:sz w:val="14"/>
        </w:rPr>
        <w:t>competItIvIDaD</w:t>
      </w:r>
      <w:r>
        <w:rPr>
          <w:rFonts w:ascii="Lucida Sans Unicode"/>
          <w:color w:val="6D6E71"/>
          <w:spacing w:val="-17"/>
          <w:w w:val="105"/>
          <w:sz w:val="14"/>
        </w:rPr>
        <w:t> </w:t>
      </w:r>
      <w:r>
        <w:rPr>
          <w:rFonts w:ascii="Lucida Sans Unicode"/>
          <w:color w:val="6D6E71"/>
          <w:w w:val="105"/>
          <w:sz w:val="14"/>
        </w:rPr>
        <w:t>empresarIal</w:t>
      </w:r>
      <w:r>
        <w:rPr>
          <w:rFonts w:ascii="Lucida Sans Unicode"/>
          <w:color w:val="6D6E71"/>
          <w:spacing w:val="-17"/>
          <w:w w:val="105"/>
          <w:sz w:val="14"/>
        </w:rPr>
        <w:t> </w:t>
      </w:r>
      <w:r>
        <w:rPr>
          <w:rFonts w:ascii="Lucida Sans Unicode"/>
          <w:color w:val="6D6E71"/>
          <w:w w:val="105"/>
          <w:sz w:val="14"/>
        </w:rPr>
        <w:t>DesDe</w:t>
      </w:r>
      <w:r>
        <w:rPr>
          <w:rFonts w:ascii="Lucida Sans Unicode"/>
          <w:color w:val="6D6E71"/>
          <w:spacing w:val="-17"/>
          <w:w w:val="105"/>
          <w:sz w:val="14"/>
        </w:rPr>
        <w:t> </w:t>
      </w:r>
      <w:r>
        <w:rPr>
          <w:rFonts w:ascii="Lucida Sans Unicode"/>
          <w:color w:val="6D6E71"/>
          <w:w w:val="105"/>
          <w:sz w:val="14"/>
        </w:rPr>
        <w:t>el</w:t>
      </w:r>
      <w:r>
        <w:rPr>
          <w:rFonts w:ascii="Lucida Sans Unicode"/>
          <w:color w:val="6D6E71"/>
          <w:spacing w:val="-17"/>
          <w:w w:val="105"/>
          <w:sz w:val="14"/>
        </w:rPr>
        <w:t> </w:t>
      </w:r>
      <w:r>
        <w:rPr>
          <w:rFonts w:ascii="Lucida Sans Unicode"/>
          <w:color w:val="6D6E71"/>
          <w:w w:val="105"/>
          <w:sz w:val="14"/>
        </w:rPr>
        <w:t>enfoque</w:t>
      </w:r>
      <w:r>
        <w:rPr>
          <w:color w:val="414042"/>
          <w:w w:val="105"/>
          <w:position w:val="-3"/>
          <w:sz w:val="20"/>
        </w:rPr>
        <w:tab/>
        <w:t>63</w:t>
      </w:r>
    </w:p>
    <w:p>
      <w:pPr>
        <w:spacing w:line="187" w:lineRule="exact" w:before="0"/>
        <w:ind w:left="4186" w:right="114" w:firstLine="0"/>
        <w:jc w:val="left"/>
        <w:rPr>
          <w:rFonts w:ascii="Lucida Sans Unicode" w:hAnsi="Lucida Sans Unicode"/>
          <w:sz w:val="14"/>
        </w:rPr>
      </w:pPr>
      <w:r>
        <w:rPr>
          <w:rFonts w:ascii="Lucida Sans Unicode" w:hAnsi="Lucida Sans Unicode"/>
          <w:color w:val="6D6E71"/>
          <w:sz w:val="14"/>
        </w:rPr>
        <w:t>De la competItIvIDaD sIstémIca</w:t>
      </w:r>
    </w:p>
    <w:p>
      <w:pPr>
        <w:pStyle w:val="BodyText"/>
        <w:rPr>
          <w:rFonts w:ascii="Lucida Sans Unicode"/>
          <w:sz w:val="20"/>
        </w:rPr>
      </w:pPr>
    </w:p>
    <w:p>
      <w:pPr>
        <w:spacing w:before="169"/>
        <w:ind w:left="117" w:right="114" w:firstLine="0"/>
        <w:jc w:val="left"/>
        <w:rPr>
          <w:sz w:val="21"/>
        </w:rPr>
      </w:pPr>
      <w:r>
        <w:rPr>
          <w:color w:val="231F20"/>
          <w:sz w:val="21"/>
        </w:rPr>
        <w:t>––––––– </w:t>
      </w:r>
      <w:r>
        <w:rPr>
          <w:sz w:val="21"/>
        </w:rPr>
        <w:t>(1993). </w:t>
      </w:r>
      <w:r>
        <w:rPr>
          <w:i/>
          <w:sz w:val="21"/>
        </w:rPr>
        <w:t>Estrategia competitiva</w:t>
      </w:r>
      <w:r>
        <w:rPr>
          <w:sz w:val="21"/>
        </w:rPr>
        <w:t>. Ed: CECSA, México.</w:t>
      </w:r>
    </w:p>
    <w:p>
      <w:pPr>
        <w:spacing w:line="259" w:lineRule="auto" w:before="18"/>
        <w:ind w:left="854" w:right="121" w:hanging="738"/>
        <w:jc w:val="both"/>
        <w:rPr>
          <w:sz w:val="21"/>
        </w:rPr>
      </w:pPr>
      <w:r>
        <w:rPr>
          <w:color w:val="231F20"/>
          <w:sz w:val="21"/>
        </w:rPr>
        <w:t>––––––– </w:t>
      </w:r>
      <w:r>
        <w:rPr>
          <w:sz w:val="21"/>
        </w:rPr>
        <w:t>(2002). </w:t>
      </w:r>
      <w:r>
        <w:rPr>
          <w:i/>
          <w:sz w:val="21"/>
        </w:rPr>
        <w:t>Building the Microeconomic Foundations of Prosperity: </w:t>
      </w:r>
      <w:r>
        <w:rPr>
          <w:i/>
          <w:sz w:val="21"/>
        </w:rPr>
        <w:t>Findings from the Microeconomic Competitiveness Index. </w:t>
      </w:r>
      <w:r>
        <w:rPr>
          <w:sz w:val="21"/>
        </w:rPr>
        <w:t>World Economic Forum, Global Competitiveness. Report Geneva Chap- ter 1 - 2.</w:t>
      </w:r>
    </w:p>
    <w:p>
      <w:pPr>
        <w:spacing w:line="259" w:lineRule="auto" w:before="0"/>
        <w:ind w:left="854" w:right="121" w:hanging="738"/>
        <w:jc w:val="both"/>
        <w:rPr>
          <w:sz w:val="21"/>
        </w:rPr>
      </w:pPr>
      <w:r>
        <w:rPr>
          <w:w w:val="105"/>
          <w:sz w:val="21"/>
        </w:rPr>
        <w:t>Ricardo,</w:t>
      </w:r>
      <w:r>
        <w:rPr>
          <w:spacing w:val="-33"/>
          <w:w w:val="105"/>
          <w:sz w:val="21"/>
        </w:rPr>
        <w:t> </w:t>
      </w:r>
      <w:r>
        <w:rPr>
          <w:spacing w:val="-6"/>
          <w:w w:val="105"/>
          <w:sz w:val="21"/>
        </w:rPr>
        <w:t>D.</w:t>
      </w:r>
      <w:r>
        <w:rPr>
          <w:spacing w:val="-33"/>
          <w:w w:val="105"/>
          <w:sz w:val="21"/>
        </w:rPr>
        <w:t> </w:t>
      </w:r>
      <w:r>
        <w:rPr>
          <w:w w:val="105"/>
          <w:sz w:val="21"/>
        </w:rPr>
        <w:t>(1973).</w:t>
      </w:r>
      <w:r>
        <w:rPr>
          <w:spacing w:val="-33"/>
          <w:w w:val="105"/>
          <w:sz w:val="21"/>
        </w:rPr>
        <w:t> </w:t>
      </w:r>
      <w:r>
        <w:rPr>
          <w:i/>
          <w:w w:val="105"/>
          <w:sz w:val="21"/>
        </w:rPr>
        <w:t>Principios</w:t>
      </w:r>
      <w:r>
        <w:rPr>
          <w:i/>
          <w:spacing w:val="-29"/>
          <w:w w:val="105"/>
          <w:sz w:val="21"/>
        </w:rPr>
        <w:t> </w:t>
      </w:r>
      <w:r>
        <w:rPr>
          <w:i/>
          <w:w w:val="105"/>
          <w:sz w:val="21"/>
        </w:rPr>
        <w:t>de</w:t>
      </w:r>
      <w:r>
        <w:rPr>
          <w:i/>
          <w:spacing w:val="-29"/>
          <w:w w:val="105"/>
          <w:sz w:val="21"/>
        </w:rPr>
        <w:t> </w:t>
      </w:r>
      <w:r>
        <w:rPr>
          <w:i/>
          <w:w w:val="105"/>
          <w:sz w:val="21"/>
        </w:rPr>
        <w:t>Economía</w:t>
      </w:r>
      <w:r>
        <w:rPr>
          <w:i/>
          <w:spacing w:val="-29"/>
          <w:w w:val="105"/>
          <w:sz w:val="21"/>
        </w:rPr>
        <w:t> </w:t>
      </w:r>
      <w:r>
        <w:rPr>
          <w:i/>
          <w:w w:val="105"/>
          <w:sz w:val="21"/>
        </w:rPr>
        <w:t>Política</w:t>
      </w:r>
      <w:r>
        <w:rPr>
          <w:i/>
          <w:spacing w:val="-29"/>
          <w:w w:val="105"/>
          <w:sz w:val="21"/>
        </w:rPr>
        <w:t> </w:t>
      </w:r>
      <w:r>
        <w:rPr>
          <w:i/>
          <w:w w:val="105"/>
          <w:sz w:val="21"/>
        </w:rPr>
        <w:t>y</w:t>
      </w:r>
      <w:r>
        <w:rPr>
          <w:i/>
          <w:spacing w:val="-29"/>
          <w:w w:val="105"/>
          <w:sz w:val="21"/>
        </w:rPr>
        <w:t> </w:t>
      </w:r>
      <w:r>
        <w:rPr>
          <w:i/>
          <w:w w:val="105"/>
          <w:sz w:val="21"/>
        </w:rPr>
        <w:t>tributación</w:t>
      </w:r>
      <w:r>
        <w:rPr>
          <w:w w:val="105"/>
          <w:sz w:val="21"/>
        </w:rPr>
        <w:t>.</w:t>
      </w:r>
      <w:r>
        <w:rPr>
          <w:spacing w:val="-33"/>
          <w:w w:val="105"/>
          <w:sz w:val="21"/>
        </w:rPr>
        <w:t> </w:t>
      </w:r>
      <w:r>
        <w:rPr>
          <w:w w:val="105"/>
          <w:sz w:val="21"/>
        </w:rPr>
        <w:t>Ed:</w:t>
      </w:r>
      <w:r>
        <w:rPr>
          <w:spacing w:val="-29"/>
          <w:w w:val="105"/>
          <w:sz w:val="21"/>
        </w:rPr>
        <w:t> </w:t>
      </w:r>
      <w:r>
        <w:rPr>
          <w:spacing w:val="-3"/>
          <w:w w:val="105"/>
          <w:sz w:val="21"/>
        </w:rPr>
        <w:t>Fon- </w:t>
      </w:r>
      <w:r>
        <w:rPr>
          <w:w w:val="105"/>
          <w:sz w:val="21"/>
        </w:rPr>
        <w:t>do</w:t>
      </w:r>
      <w:r>
        <w:rPr>
          <w:spacing w:val="-19"/>
          <w:w w:val="105"/>
          <w:sz w:val="21"/>
        </w:rPr>
        <w:t> </w:t>
      </w:r>
      <w:r>
        <w:rPr>
          <w:w w:val="105"/>
          <w:sz w:val="21"/>
        </w:rPr>
        <w:t>de</w:t>
      </w:r>
      <w:r>
        <w:rPr>
          <w:spacing w:val="-19"/>
          <w:w w:val="105"/>
          <w:sz w:val="21"/>
        </w:rPr>
        <w:t> </w:t>
      </w:r>
      <w:r>
        <w:rPr>
          <w:w w:val="105"/>
          <w:sz w:val="21"/>
        </w:rPr>
        <w:t>Cultura</w:t>
      </w:r>
      <w:r>
        <w:rPr>
          <w:spacing w:val="-19"/>
          <w:w w:val="105"/>
          <w:sz w:val="21"/>
        </w:rPr>
        <w:t> </w:t>
      </w:r>
      <w:r>
        <w:rPr>
          <w:w w:val="105"/>
          <w:sz w:val="21"/>
        </w:rPr>
        <w:t>Económica.</w:t>
      </w:r>
      <w:r>
        <w:rPr>
          <w:spacing w:val="-25"/>
          <w:w w:val="105"/>
          <w:sz w:val="21"/>
        </w:rPr>
        <w:t> </w:t>
      </w:r>
      <w:r>
        <w:rPr>
          <w:w w:val="105"/>
          <w:sz w:val="21"/>
        </w:rPr>
        <w:t>México.</w:t>
      </w:r>
    </w:p>
    <w:p>
      <w:pPr>
        <w:spacing w:line="259" w:lineRule="auto" w:before="0"/>
        <w:ind w:left="854" w:right="122" w:hanging="738"/>
        <w:jc w:val="both"/>
        <w:rPr>
          <w:sz w:val="21"/>
        </w:rPr>
      </w:pPr>
      <w:r>
        <w:rPr>
          <w:sz w:val="21"/>
        </w:rPr>
        <w:t>Schumpeter,</w:t>
      </w:r>
      <w:r>
        <w:rPr>
          <w:spacing w:val="-14"/>
          <w:sz w:val="21"/>
        </w:rPr>
        <w:t> </w:t>
      </w:r>
      <w:r>
        <w:rPr>
          <w:sz w:val="21"/>
        </w:rPr>
        <w:t>J.</w:t>
      </w:r>
      <w:r>
        <w:rPr>
          <w:spacing w:val="-15"/>
          <w:sz w:val="21"/>
        </w:rPr>
        <w:t> </w:t>
      </w:r>
      <w:r>
        <w:rPr>
          <w:sz w:val="21"/>
        </w:rPr>
        <w:t>A.</w:t>
      </w:r>
      <w:r>
        <w:rPr>
          <w:spacing w:val="-12"/>
          <w:sz w:val="21"/>
        </w:rPr>
        <w:t> </w:t>
      </w:r>
      <w:r>
        <w:rPr>
          <w:sz w:val="21"/>
        </w:rPr>
        <w:t>(1989).</w:t>
      </w:r>
      <w:r>
        <w:rPr>
          <w:spacing w:val="-12"/>
          <w:sz w:val="21"/>
        </w:rPr>
        <w:t> </w:t>
      </w:r>
      <w:r>
        <w:rPr>
          <w:i/>
          <w:sz w:val="21"/>
        </w:rPr>
        <w:t>Essays.</w:t>
      </w:r>
      <w:r>
        <w:rPr>
          <w:i/>
          <w:spacing w:val="-12"/>
          <w:sz w:val="21"/>
        </w:rPr>
        <w:t> </w:t>
      </w:r>
      <w:r>
        <w:rPr>
          <w:i/>
          <w:sz w:val="21"/>
        </w:rPr>
        <w:t>U.S.A.</w:t>
      </w:r>
      <w:r>
        <w:rPr>
          <w:i/>
          <w:spacing w:val="-12"/>
          <w:sz w:val="21"/>
        </w:rPr>
        <w:t> </w:t>
      </w:r>
      <w:r>
        <w:rPr>
          <w:i/>
          <w:sz w:val="21"/>
        </w:rPr>
        <w:t>and</w:t>
      </w:r>
      <w:r>
        <w:rPr>
          <w:i/>
          <w:spacing w:val="-7"/>
          <w:sz w:val="21"/>
        </w:rPr>
        <w:t> </w:t>
      </w:r>
      <w:r>
        <w:rPr>
          <w:i/>
          <w:sz w:val="21"/>
        </w:rPr>
        <w:t>London</w:t>
      </w:r>
      <w:r>
        <w:rPr>
          <w:i/>
          <w:spacing w:val="-7"/>
          <w:sz w:val="21"/>
        </w:rPr>
        <w:t> </w:t>
      </w:r>
      <w:r>
        <w:rPr>
          <w:i/>
          <w:sz w:val="21"/>
        </w:rPr>
        <w:t>U.K</w:t>
      </w:r>
      <w:r>
        <w:rPr>
          <w:sz w:val="21"/>
        </w:rPr>
        <w:t>.</w:t>
      </w:r>
      <w:r>
        <w:rPr>
          <w:spacing w:val="-12"/>
          <w:sz w:val="21"/>
        </w:rPr>
        <w:t> </w:t>
      </w:r>
      <w:r>
        <w:rPr>
          <w:sz w:val="21"/>
        </w:rPr>
        <w:t>Ed:</w:t>
      </w:r>
      <w:r>
        <w:rPr>
          <w:spacing w:val="-10"/>
          <w:sz w:val="21"/>
        </w:rPr>
        <w:t> </w:t>
      </w:r>
      <w:r>
        <w:rPr>
          <w:sz w:val="21"/>
        </w:rPr>
        <w:t>Transaction Publishers. New</w:t>
      </w:r>
      <w:r>
        <w:rPr>
          <w:spacing w:val="-3"/>
          <w:sz w:val="21"/>
        </w:rPr>
        <w:t> </w:t>
      </w:r>
      <w:r>
        <w:rPr>
          <w:sz w:val="21"/>
        </w:rPr>
        <w:t>Brunswick.</w:t>
      </w:r>
    </w:p>
    <w:p>
      <w:pPr>
        <w:spacing w:line="259" w:lineRule="auto" w:before="0"/>
        <w:ind w:left="854" w:right="115" w:hanging="737"/>
        <w:jc w:val="both"/>
        <w:rPr>
          <w:sz w:val="21"/>
        </w:rPr>
      </w:pPr>
      <w:r>
        <w:rPr>
          <w:sz w:val="21"/>
        </w:rPr>
        <w:t>Smith,</w:t>
      </w:r>
      <w:r>
        <w:rPr>
          <w:spacing w:val="-27"/>
          <w:sz w:val="21"/>
        </w:rPr>
        <w:t> </w:t>
      </w:r>
      <w:r>
        <w:rPr>
          <w:sz w:val="21"/>
        </w:rPr>
        <w:t>A.</w:t>
      </w:r>
      <w:r>
        <w:rPr>
          <w:spacing w:val="-23"/>
          <w:sz w:val="21"/>
        </w:rPr>
        <w:t> </w:t>
      </w:r>
      <w:r>
        <w:rPr>
          <w:sz w:val="21"/>
        </w:rPr>
        <w:t>(1979).</w:t>
      </w:r>
      <w:r>
        <w:rPr>
          <w:spacing w:val="-23"/>
          <w:sz w:val="21"/>
        </w:rPr>
        <w:t> </w:t>
      </w:r>
      <w:r>
        <w:rPr>
          <w:i/>
          <w:sz w:val="21"/>
        </w:rPr>
        <w:t>La</w:t>
      </w:r>
      <w:r>
        <w:rPr>
          <w:i/>
          <w:spacing w:val="-17"/>
          <w:sz w:val="21"/>
        </w:rPr>
        <w:t> </w:t>
      </w:r>
      <w:r>
        <w:rPr>
          <w:i/>
          <w:sz w:val="21"/>
        </w:rPr>
        <w:t>Riqueza</w:t>
      </w:r>
      <w:r>
        <w:rPr>
          <w:i/>
          <w:spacing w:val="-17"/>
          <w:sz w:val="21"/>
        </w:rPr>
        <w:t> </w:t>
      </w:r>
      <w:r>
        <w:rPr>
          <w:i/>
          <w:sz w:val="21"/>
        </w:rPr>
        <w:t>de</w:t>
      </w:r>
      <w:r>
        <w:rPr>
          <w:i/>
          <w:spacing w:val="-17"/>
          <w:sz w:val="21"/>
        </w:rPr>
        <w:t> </w:t>
      </w:r>
      <w:r>
        <w:rPr>
          <w:i/>
          <w:sz w:val="21"/>
        </w:rPr>
        <w:t>las</w:t>
      </w:r>
      <w:r>
        <w:rPr>
          <w:i/>
          <w:spacing w:val="-17"/>
          <w:sz w:val="21"/>
        </w:rPr>
        <w:t> </w:t>
      </w:r>
      <w:r>
        <w:rPr>
          <w:i/>
          <w:sz w:val="21"/>
        </w:rPr>
        <w:t>naciones</w:t>
      </w:r>
      <w:r>
        <w:rPr>
          <w:sz w:val="21"/>
        </w:rPr>
        <w:t>.</w:t>
      </w:r>
      <w:r>
        <w:rPr>
          <w:spacing w:val="-23"/>
          <w:sz w:val="21"/>
        </w:rPr>
        <w:t> </w:t>
      </w:r>
      <w:r>
        <w:rPr>
          <w:sz w:val="21"/>
        </w:rPr>
        <w:t>Ed:</w:t>
      </w:r>
      <w:r>
        <w:rPr>
          <w:spacing w:val="-17"/>
          <w:sz w:val="21"/>
        </w:rPr>
        <w:t> </w:t>
      </w:r>
      <w:r>
        <w:rPr>
          <w:sz w:val="21"/>
        </w:rPr>
        <w:t>Publicaciones</w:t>
      </w:r>
      <w:r>
        <w:rPr>
          <w:spacing w:val="-17"/>
          <w:sz w:val="21"/>
        </w:rPr>
        <w:t> </w:t>
      </w:r>
      <w:r>
        <w:rPr>
          <w:sz w:val="21"/>
        </w:rPr>
        <w:t>Cruzo.</w:t>
      </w:r>
      <w:r>
        <w:rPr>
          <w:spacing w:val="-23"/>
          <w:sz w:val="21"/>
        </w:rPr>
        <w:t> </w:t>
      </w:r>
      <w:r>
        <w:rPr>
          <w:sz w:val="21"/>
        </w:rPr>
        <w:t>S.A. México.</w:t>
      </w:r>
    </w:p>
    <w:p>
      <w:pPr>
        <w:spacing w:line="259" w:lineRule="auto" w:before="0"/>
        <w:ind w:left="854" w:right="122" w:hanging="738"/>
        <w:jc w:val="both"/>
        <w:rPr>
          <w:sz w:val="21"/>
        </w:rPr>
      </w:pPr>
      <w:r>
        <w:rPr>
          <w:w w:val="105"/>
          <w:sz w:val="21"/>
        </w:rPr>
        <w:t>Sobrino, J. (2005). </w:t>
      </w:r>
      <w:r>
        <w:rPr>
          <w:i/>
          <w:w w:val="105"/>
          <w:sz w:val="21"/>
        </w:rPr>
        <w:t>Competitividad territorial: ámbitos e indicadores de </w:t>
      </w:r>
      <w:r>
        <w:rPr>
          <w:i/>
          <w:w w:val="105"/>
          <w:sz w:val="21"/>
        </w:rPr>
        <w:t>análisis</w:t>
      </w:r>
      <w:r>
        <w:rPr>
          <w:i/>
          <w:spacing w:val="-34"/>
          <w:w w:val="105"/>
          <w:sz w:val="21"/>
        </w:rPr>
        <w:t> </w:t>
      </w:r>
      <w:r>
        <w:rPr>
          <w:i/>
          <w:w w:val="105"/>
          <w:sz w:val="21"/>
        </w:rPr>
        <w:t>economía,</w:t>
      </w:r>
      <w:r>
        <w:rPr>
          <w:i/>
          <w:spacing w:val="-37"/>
          <w:w w:val="105"/>
          <w:sz w:val="21"/>
        </w:rPr>
        <w:t> </w:t>
      </w:r>
      <w:r>
        <w:rPr>
          <w:i/>
          <w:w w:val="105"/>
          <w:sz w:val="21"/>
        </w:rPr>
        <w:t>sociedad</w:t>
      </w:r>
      <w:r>
        <w:rPr>
          <w:i/>
          <w:spacing w:val="-34"/>
          <w:w w:val="105"/>
          <w:sz w:val="21"/>
        </w:rPr>
        <w:t> </w:t>
      </w:r>
      <w:r>
        <w:rPr>
          <w:i/>
          <w:w w:val="105"/>
          <w:sz w:val="21"/>
        </w:rPr>
        <w:t>y</w:t>
      </w:r>
      <w:r>
        <w:rPr>
          <w:i/>
          <w:spacing w:val="-34"/>
          <w:w w:val="105"/>
          <w:sz w:val="21"/>
        </w:rPr>
        <w:t> </w:t>
      </w:r>
      <w:r>
        <w:rPr>
          <w:i/>
          <w:w w:val="105"/>
          <w:sz w:val="21"/>
        </w:rPr>
        <w:t>territorio.</w:t>
      </w:r>
      <w:r>
        <w:rPr>
          <w:i/>
          <w:spacing w:val="-37"/>
          <w:w w:val="105"/>
          <w:sz w:val="21"/>
        </w:rPr>
        <w:t> </w:t>
      </w:r>
      <w:r>
        <w:rPr>
          <w:w w:val="105"/>
          <w:sz w:val="21"/>
        </w:rPr>
        <w:t>Dossier</w:t>
      </w:r>
      <w:r>
        <w:rPr>
          <w:spacing w:val="-34"/>
          <w:w w:val="105"/>
          <w:sz w:val="21"/>
        </w:rPr>
        <w:t> </w:t>
      </w:r>
      <w:r>
        <w:rPr>
          <w:w w:val="105"/>
          <w:sz w:val="21"/>
        </w:rPr>
        <w:t>especial.</w:t>
      </w:r>
      <w:r>
        <w:rPr>
          <w:spacing w:val="-37"/>
          <w:w w:val="105"/>
          <w:sz w:val="21"/>
        </w:rPr>
        <w:t> </w:t>
      </w:r>
      <w:r>
        <w:rPr>
          <w:w w:val="105"/>
          <w:sz w:val="21"/>
        </w:rPr>
        <w:t>Colegio Mexiquense</w:t>
      </w:r>
      <w:r>
        <w:rPr>
          <w:spacing w:val="-26"/>
          <w:w w:val="105"/>
          <w:sz w:val="21"/>
        </w:rPr>
        <w:t> </w:t>
      </w:r>
      <w:r>
        <w:rPr>
          <w:w w:val="105"/>
          <w:sz w:val="21"/>
        </w:rPr>
        <w:t>A.</w:t>
      </w:r>
      <w:r>
        <w:rPr>
          <w:spacing w:val="-28"/>
          <w:w w:val="105"/>
          <w:sz w:val="21"/>
        </w:rPr>
        <w:t> </w:t>
      </w:r>
      <w:r>
        <w:rPr>
          <w:w w:val="105"/>
          <w:sz w:val="21"/>
        </w:rPr>
        <w:t>C.</w:t>
      </w:r>
      <w:r>
        <w:rPr>
          <w:spacing w:val="-32"/>
          <w:w w:val="105"/>
          <w:sz w:val="21"/>
        </w:rPr>
        <w:t> </w:t>
      </w:r>
      <w:r>
        <w:rPr>
          <w:spacing w:val="-4"/>
          <w:w w:val="105"/>
          <w:sz w:val="21"/>
        </w:rPr>
        <w:t>Toluca</w:t>
      </w:r>
      <w:r>
        <w:rPr>
          <w:spacing w:val="-23"/>
          <w:w w:val="105"/>
          <w:sz w:val="21"/>
        </w:rPr>
        <w:t> </w:t>
      </w:r>
      <w:r>
        <w:rPr>
          <w:w w:val="105"/>
          <w:sz w:val="21"/>
        </w:rPr>
        <w:t>México</w:t>
      </w:r>
      <w:r>
        <w:rPr>
          <w:spacing w:val="-23"/>
          <w:w w:val="105"/>
          <w:sz w:val="21"/>
        </w:rPr>
        <w:t> </w:t>
      </w:r>
      <w:r>
        <w:rPr>
          <w:w w:val="105"/>
          <w:sz w:val="21"/>
        </w:rPr>
        <w:t>pp.</w:t>
      </w:r>
      <w:r>
        <w:rPr>
          <w:spacing w:val="-28"/>
          <w:w w:val="105"/>
          <w:sz w:val="21"/>
        </w:rPr>
        <w:t> </w:t>
      </w:r>
      <w:r>
        <w:rPr>
          <w:w w:val="105"/>
          <w:sz w:val="21"/>
        </w:rPr>
        <w:t>123-183.</w:t>
      </w:r>
    </w:p>
    <w:p>
      <w:pPr>
        <w:pStyle w:val="BodyText"/>
        <w:spacing w:line="259" w:lineRule="auto"/>
        <w:ind w:left="854" w:right="122" w:hanging="738"/>
        <w:jc w:val="both"/>
      </w:pPr>
      <w:r>
        <w:rPr>
          <w:color w:val="231F20"/>
          <w:spacing w:val="-6"/>
          <w:w w:val="105"/>
        </w:rPr>
        <w:t>WEF.</w:t>
      </w:r>
      <w:r>
        <w:rPr>
          <w:color w:val="231F20"/>
          <w:spacing w:val="-17"/>
          <w:w w:val="105"/>
        </w:rPr>
        <w:t> </w:t>
      </w:r>
      <w:r>
        <w:rPr>
          <w:color w:val="231F20"/>
          <w:w w:val="105"/>
        </w:rPr>
        <w:t>(2007).</w:t>
      </w:r>
      <w:r>
        <w:rPr>
          <w:color w:val="231F20"/>
          <w:spacing w:val="-20"/>
          <w:w w:val="105"/>
        </w:rPr>
        <w:t> </w:t>
      </w:r>
      <w:r>
        <w:rPr>
          <w:color w:val="231F20"/>
          <w:w w:val="105"/>
        </w:rPr>
        <w:t>World</w:t>
      </w:r>
      <w:r>
        <w:rPr>
          <w:color w:val="231F20"/>
          <w:spacing w:val="-13"/>
          <w:w w:val="105"/>
        </w:rPr>
        <w:t> </w:t>
      </w:r>
      <w:r>
        <w:rPr>
          <w:color w:val="231F20"/>
          <w:w w:val="105"/>
        </w:rPr>
        <w:t>Economic</w:t>
      </w:r>
      <w:r>
        <w:rPr>
          <w:color w:val="231F20"/>
          <w:spacing w:val="-13"/>
          <w:w w:val="105"/>
        </w:rPr>
        <w:t> </w:t>
      </w:r>
      <w:r>
        <w:rPr>
          <w:color w:val="231F20"/>
          <w:w w:val="105"/>
        </w:rPr>
        <w:t>Forum.</w:t>
      </w:r>
      <w:r>
        <w:rPr>
          <w:color w:val="231F20"/>
          <w:spacing w:val="-20"/>
          <w:w w:val="105"/>
        </w:rPr>
        <w:t> </w:t>
      </w:r>
      <w:r>
        <w:rPr>
          <w:color w:val="231F20"/>
          <w:w w:val="105"/>
        </w:rPr>
        <w:t>World</w:t>
      </w:r>
      <w:r>
        <w:rPr>
          <w:color w:val="231F20"/>
          <w:spacing w:val="-13"/>
          <w:w w:val="105"/>
        </w:rPr>
        <w:t> </w:t>
      </w:r>
      <w:r>
        <w:rPr>
          <w:color w:val="231F20"/>
          <w:w w:val="105"/>
        </w:rPr>
        <w:t>Competitiveness</w:t>
      </w:r>
      <w:r>
        <w:rPr>
          <w:color w:val="231F20"/>
          <w:spacing w:val="-17"/>
          <w:w w:val="105"/>
        </w:rPr>
        <w:t> </w:t>
      </w:r>
      <w:r>
        <w:rPr>
          <w:color w:val="231F20"/>
          <w:spacing w:val="-3"/>
          <w:w w:val="105"/>
        </w:rPr>
        <w:t>Yearbook </w:t>
      </w:r>
      <w:r>
        <w:rPr>
          <w:color w:val="231F20"/>
          <w:w w:val="105"/>
        </w:rPr>
        <w:t>Methodology.</w:t>
      </w:r>
      <w:r>
        <w:rPr>
          <w:color w:val="231F20"/>
          <w:spacing w:val="-29"/>
          <w:w w:val="105"/>
        </w:rPr>
        <w:t> </w:t>
      </w:r>
      <w:r>
        <w:rPr>
          <w:color w:val="231F20"/>
          <w:w w:val="105"/>
        </w:rPr>
        <w:t>The</w:t>
      </w:r>
      <w:r>
        <w:rPr>
          <w:color w:val="231F20"/>
          <w:spacing w:val="-22"/>
          <w:w w:val="105"/>
        </w:rPr>
        <w:t> </w:t>
      </w:r>
      <w:r>
        <w:rPr>
          <w:color w:val="231F20"/>
          <w:w w:val="105"/>
        </w:rPr>
        <w:t>World</w:t>
      </w:r>
      <w:r>
        <w:rPr>
          <w:color w:val="231F20"/>
          <w:spacing w:val="-19"/>
          <w:w w:val="105"/>
        </w:rPr>
        <w:t> </w:t>
      </w:r>
      <w:r>
        <w:rPr>
          <w:color w:val="231F20"/>
          <w:w w:val="105"/>
        </w:rPr>
        <w:t>Competitiveness</w:t>
      </w:r>
      <w:r>
        <w:rPr>
          <w:color w:val="231F20"/>
          <w:spacing w:val="-19"/>
          <w:w w:val="105"/>
        </w:rPr>
        <w:t> </w:t>
      </w:r>
      <w:r>
        <w:rPr>
          <w:color w:val="231F20"/>
          <w:w w:val="105"/>
        </w:rPr>
        <w:t>Report,</w:t>
      </w:r>
      <w:r>
        <w:rPr>
          <w:color w:val="231F20"/>
          <w:spacing w:val="-25"/>
          <w:w w:val="105"/>
        </w:rPr>
        <w:t> </w:t>
      </w:r>
      <w:r>
        <w:rPr>
          <w:color w:val="231F20"/>
          <w:spacing w:val="-3"/>
          <w:w w:val="105"/>
        </w:rPr>
        <w:t>IMD.</w:t>
      </w:r>
    </w:p>
    <w:p>
      <w:pPr>
        <w:spacing w:after="0" w:line="259" w:lineRule="auto"/>
        <w:jc w:val="both"/>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0159">
            <wp:simplePos x="0" y="0"/>
            <wp:positionH relativeFrom="page">
              <wp:posOffset>7200</wp:posOffset>
            </wp:positionH>
            <wp:positionV relativeFrom="page">
              <wp:posOffset>0</wp:posOffset>
            </wp:positionV>
            <wp:extent cx="6112802" cy="8819997"/>
            <wp:effectExtent l="0" t="0" r="0" b="0"/>
            <wp:wrapNone/>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numPr>
          <w:ilvl w:val="0"/>
          <w:numId w:val="27"/>
        </w:numPr>
        <w:tabs>
          <w:tab w:pos="2174" w:val="left" w:leader="none"/>
        </w:tabs>
        <w:spacing w:line="288" w:lineRule="exact" w:before="203" w:after="0"/>
        <w:ind w:left="925" w:right="3024" w:firstLine="950"/>
        <w:jc w:val="right"/>
        <w:rPr>
          <w:color w:val="FFFFFF"/>
        </w:rPr>
      </w:pPr>
      <w:r>
        <w:rPr>
          <w:color w:val="FFFFFF"/>
          <w:w w:val="110"/>
        </w:rPr>
        <w:t>EL</w:t>
      </w:r>
      <w:r>
        <w:rPr>
          <w:color w:val="FFFFFF"/>
          <w:spacing w:val="6"/>
          <w:w w:val="110"/>
        </w:rPr>
        <w:t> </w:t>
      </w:r>
      <w:r>
        <w:rPr>
          <w:color w:val="FFFFFF"/>
          <w:w w:val="110"/>
        </w:rPr>
        <w:t>APRENDIZAJE</w:t>
      </w:r>
      <w:r>
        <w:rPr>
          <w:color w:val="FFFFFF"/>
          <w:w w:val="114"/>
        </w:rPr>
        <w:t> </w:t>
      </w:r>
      <w:r>
        <w:rPr>
          <w:color w:val="FFFFFF"/>
          <w:w w:val="110"/>
        </w:rPr>
        <w:t>ORftANIZACIONAL</w:t>
      </w:r>
      <w:r>
        <w:rPr>
          <w:color w:val="FFFFFF"/>
          <w:spacing w:val="-32"/>
          <w:w w:val="110"/>
        </w:rPr>
        <w:t> </w:t>
      </w:r>
      <w:r>
        <w:rPr>
          <w:color w:val="FFFFFF"/>
          <w:w w:val="110"/>
        </w:rPr>
        <w:t>EN</w:t>
      </w:r>
      <w:r>
        <w:rPr>
          <w:color w:val="FFFFFF"/>
          <w:spacing w:val="-32"/>
          <w:w w:val="110"/>
        </w:rPr>
        <w:t> </w:t>
      </w:r>
      <w:r>
        <w:rPr>
          <w:color w:val="FFFFFF"/>
          <w:w w:val="110"/>
        </w:rPr>
        <w:t>LA</w:t>
      </w:r>
      <w:r>
        <w:rPr>
          <w:color w:val="FFFFFF"/>
          <w:w w:val="108"/>
        </w:rPr>
        <w:t> </w:t>
      </w:r>
      <w:r>
        <w:rPr>
          <w:color w:val="FFFFFF"/>
        </w:rPr>
        <w:t>COMPETITIVIDAD </w:t>
      </w:r>
      <w:r>
        <w:rPr>
          <w:color w:val="FFFFFF"/>
          <w:spacing w:val="49"/>
        </w:rPr>
        <w:t> </w:t>
      </w:r>
      <w:r>
        <w:rPr>
          <w:color w:val="FFFFFF"/>
        </w:rPr>
        <w:t>MUNICIPAL</w:t>
      </w:r>
    </w:p>
    <w:p>
      <w:pPr>
        <w:pStyle w:val="Heading3"/>
        <w:spacing w:before="186"/>
        <w:ind w:right="383"/>
      </w:pPr>
      <w:r>
        <w:rPr>
          <w:color w:val="FFFFFF"/>
          <w:w w:val="105"/>
        </w:rPr>
        <w:t>María del Rocío Gómez Díaz Elsa Mireya Rosales Estrada</w:t>
      </w:r>
    </w:p>
    <w:p>
      <w:pPr>
        <w:spacing w:after="0"/>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spacing w:before="54"/>
        <w:ind w:left="117" w:right="17"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01"/>
        <w:jc w:val="both"/>
      </w:pPr>
      <w:r>
        <w:rPr/>
        <w:pict>
          <v:shape style="position:absolute;margin-left:82.218903pt;margin-top:13.282507pt;width:31.2pt;height:51pt;mso-position-horizontal-relative:page;mso-position-vertical-relative:paragraph;z-index:265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 impulso al crecimiento y desarrollo en los municipios del país</w:t>
      </w:r>
      <w:r>
        <w:rPr>
          <w:color w:val="231F20"/>
          <w:spacing w:val="-12"/>
          <w:w w:val="105"/>
        </w:rPr>
        <w:t> </w:t>
      </w:r>
      <w:r>
        <w:rPr>
          <w:color w:val="231F20"/>
          <w:w w:val="105"/>
        </w:rPr>
        <w:t>es</w:t>
      </w:r>
      <w:r>
        <w:rPr>
          <w:color w:val="231F20"/>
          <w:spacing w:val="-12"/>
          <w:w w:val="105"/>
        </w:rPr>
        <w:t> </w:t>
      </w:r>
      <w:r>
        <w:rPr>
          <w:color w:val="231F20"/>
          <w:w w:val="105"/>
        </w:rPr>
        <w:t>una</w:t>
      </w:r>
      <w:r>
        <w:rPr>
          <w:color w:val="231F20"/>
          <w:spacing w:val="-12"/>
          <w:w w:val="105"/>
        </w:rPr>
        <w:t> </w:t>
      </w:r>
      <w:r>
        <w:rPr>
          <w:color w:val="231F20"/>
          <w:w w:val="105"/>
        </w:rPr>
        <w:t>necesidad</w:t>
      </w:r>
      <w:r>
        <w:rPr>
          <w:color w:val="231F20"/>
          <w:spacing w:val="-12"/>
          <w:w w:val="105"/>
        </w:rPr>
        <w:t> </w:t>
      </w:r>
      <w:r>
        <w:rPr>
          <w:color w:val="231F20"/>
          <w:w w:val="105"/>
        </w:rPr>
        <w:t>impostergable</w:t>
      </w:r>
      <w:r>
        <w:rPr>
          <w:color w:val="231F20"/>
          <w:spacing w:val="-12"/>
          <w:w w:val="105"/>
        </w:rPr>
        <w:t> </w:t>
      </w:r>
      <w:r>
        <w:rPr>
          <w:color w:val="231F20"/>
          <w:w w:val="105"/>
        </w:rPr>
        <w:t>puesto</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es- pacio se generan acciones que inciden en la calidad de</w:t>
      </w:r>
      <w:r>
        <w:rPr>
          <w:color w:val="231F20"/>
          <w:spacing w:val="-38"/>
          <w:w w:val="105"/>
        </w:rPr>
        <w:t> </w:t>
      </w:r>
      <w:r>
        <w:rPr>
          <w:color w:val="231F20"/>
          <w:w w:val="105"/>
        </w:rPr>
        <w:t>vida de</w:t>
      </w:r>
      <w:r>
        <w:rPr>
          <w:color w:val="231F20"/>
          <w:spacing w:val="-19"/>
          <w:w w:val="105"/>
        </w:rPr>
        <w:t> </w:t>
      </w:r>
      <w:r>
        <w:rPr>
          <w:color w:val="231F20"/>
          <w:w w:val="105"/>
        </w:rPr>
        <w:t>los</w:t>
      </w:r>
      <w:r>
        <w:rPr>
          <w:color w:val="231F20"/>
          <w:spacing w:val="-19"/>
          <w:w w:val="105"/>
        </w:rPr>
        <w:t> </w:t>
      </w:r>
      <w:r>
        <w:rPr>
          <w:color w:val="231F20"/>
          <w:w w:val="105"/>
        </w:rPr>
        <w:t>habitantes.</w:t>
      </w:r>
      <w:r>
        <w:rPr>
          <w:color w:val="231F20"/>
          <w:spacing w:val="-24"/>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sentido,</w:t>
      </w:r>
      <w:r>
        <w:rPr>
          <w:color w:val="231F20"/>
          <w:spacing w:val="-24"/>
          <w:w w:val="105"/>
        </w:rPr>
        <w:t> </w:t>
      </w:r>
      <w:r>
        <w:rPr>
          <w:color w:val="231F20"/>
          <w:w w:val="105"/>
        </w:rPr>
        <w:t>el</w:t>
      </w:r>
      <w:r>
        <w:rPr>
          <w:color w:val="231F20"/>
          <w:spacing w:val="-19"/>
          <w:w w:val="105"/>
        </w:rPr>
        <w:t> </w:t>
      </w:r>
      <w:r>
        <w:rPr>
          <w:color w:val="231F20"/>
          <w:w w:val="105"/>
        </w:rPr>
        <w:t>objetivo</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capítulo es</w:t>
      </w:r>
      <w:r>
        <w:rPr>
          <w:color w:val="231F20"/>
          <w:spacing w:val="-18"/>
          <w:w w:val="105"/>
        </w:rPr>
        <w:t> </w:t>
      </w:r>
      <w:r>
        <w:rPr>
          <w:color w:val="231F20"/>
          <w:w w:val="105"/>
        </w:rPr>
        <w:t>identificar</w:t>
      </w:r>
      <w:r>
        <w:rPr>
          <w:color w:val="231F20"/>
          <w:spacing w:val="-18"/>
          <w:w w:val="105"/>
        </w:rPr>
        <w:t> </w:t>
      </w:r>
      <w:r>
        <w:rPr>
          <w:color w:val="231F20"/>
          <w:w w:val="105"/>
        </w:rPr>
        <w:t>elementos</w:t>
      </w:r>
      <w:r>
        <w:rPr>
          <w:color w:val="231F20"/>
          <w:spacing w:val="-18"/>
          <w:w w:val="105"/>
        </w:rPr>
        <w:t> </w:t>
      </w:r>
      <w:r>
        <w:rPr>
          <w:color w:val="231F20"/>
          <w:w w:val="105"/>
        </w:rPr>
        <w:t>esenciales</w:t>
      </w:r>
      <w:r>
        <w:rPr>
          <w:color w:val="231F20"/>
          <w:spacing w:val="-18"/>
          <w:w w:val="105"/>
        </w:rPr>
        <w:t> </w:t>
      </w:r>
      <w:r>
        <w:rPr>
          <w:color w:val="231F20"/>
          <w:w w:val="105"/>
        </w:rPr>
        <w:t>del</w:t>
      </w:r>
      <w:r>
        <w:rPr>
          <w:color w:val="231F20"/>
          <w:spacing w:val="-18"/>
          <w:w w:val="105"/>
        </w:rPr>
        <w:t> </w:t>
      </w:r>
      <w:r>
        <w:rPr>
          <w:color w:val="231F20"/>
          <w:w w:val="105"/>
        </w:rPr>
        <w:t>aprendizaje</w:t>
      </w:r>
      <w:r>
        <w:rPr>
          <w:color w:val="231F20"/>
          <w:spacing w:val="-18"/>
          <w:w w:val="105"/>
        </w:rPr>
        <w:t> </w:t>
      </w:r>
      <w:r>
        <w:rPr>
          <w:color w:val="231F20"/>
          <w:w w:val="105"/>
        </w:rPr>
        <w:t>organiza-</w:t>
      </w:r>
    </w:p>
    <w:p>
      <w:pPr>
        <w:pStyle w:val="BodyText"/>
        <w:spacing w:line="259" w:lineRule="auto"/>
        <w:ind w:left="117" w:right="101"/>
        <w:jc w:val="both"/>
      </w:pPr>
      <w:r>
        <w:rPr>
          <w:color w:val="231F20"/>
          <w:w w:val="105"/>
        </w:rPr>
        <w:t>cional que posibiliten el diseño de estrategias orientadas a impulsar la competitividad municipal, destacando la creación de ambientes propi- cios</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aprendizaje,</w:t>
      </w:r>
      <w:r>
        <w:rPr>
          <w:color w:val="231F20"/>
          <w:spacing w:val="-16"/>
          <w:w w:val="105"/>
        </w:rPr>
        <w:t> </w:t>
      </w:r>
      <w:r>
        <w:rPr>
          <w:color w:val="231F20"/>
          <w:w w:val="105"/>
        </w:rPr>
        <w:t>el</w:t>
      </w:r>
      <w:r>
        <w:rPr>
          <w:color w:val="231F20"/>
          <w:spacing w:val="-10"/>
          <w:w w:val="105"/>
        </w:rPr>
        <w:t> </w:t>
      </w:r>
      <w:r>
        <w:rPr>
          <w:color w:val="231F20"/>
          <w:w w:val="105"/>
        </w:rPr>
        <w:t>manejo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información,</w:t>
      </w:r>
      <w:r>
        <w:rPr>
          <w:color w:val="231F20"/>
          <w:spacing w:val="-16"/>
          <w:w w:val="105"/>
        </w:rPr>
        <w:t> </w:t>
      </w:r>
      <w:r>
        <w:rPr>
          <w:color w:val="231F20"/>
          <w:w w:val="105"/>
        </w:rPr>
        <w:t>fomento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inno- vación y actualización de procedimientos; todo ello involucrando a las organizaciones</w:t>
      </w:r>
      <w:r>
        <w:rPr>
          <w:color w:val="231F20"/>
          <w:spacing w:val="-24"/>
          <w:w w:val="105"/>
        </w:rPr>
        <w:t> </w:t>
      </w:r>
      <w:r>
        <w:rPr>
          <w:color w:val="231F20"/>
          <w:w w:val="105"/>
        </w:rPr>
        <w:t>públicas</w:t>
      </w:r>
      <w:r>
        <w:rPr>
          <w:color w:val="231F20"/>
          <w:spacing w:val="-24"/>
          <w:w w:val="105"/>
        </w:rPr>
        <w:t> </w:t>
      </w:r>
      <w:r>
        <w:rPr>
          <w:color w:val="231F20"/>
          <w:w w:val="105"/>
        </w:rPr>
        <w:t>y</w:t>
      </w:r>
      <w:r>
        <w:rPr>
          <w:color w:val="231F20"/>
          <w:spacing w:val="-24"/>
          <w:w w:val="105"/>
        </w:rPr>
        <w:t> </w:t>
      </w:r>
      <w:r>
        <w:rPr>
          <w:color w:val="231F20"/>
          <w:w w:val="105"/>
        </w:rPr>
        <w:t>privadas,</w:t>
      </w:r>
      <w:r>
        <w:rPr>
          <w:color w:val="231F20"/>
          <w:spacing w:val="-29"/>
          <w:w w:val="105"/>
        </w:rPr>
        <w:t> </w:t>
      </w:r>
      <w:r>
        <w:rPr>
          <w:color w:val="231F20"/>
          <w:w w:val="105"/>
        </w:rPr>
        <w:t>así</w:t>
      </w:r>
      <w:r>
        <w:rPr>
          <w:color w:val="231F20"/>
          <w:spacing w:val="-24"/>
          <w:w w:val="105"/>
        </w:rPr>
        <w:t> </w:t>
      </w:r>
      <w:r>
        <w:rPr>
          <w:color w:val="231F20"/>
          <w:w w:val="105"/>
        </w:rPr>
        <w:t>como</w:t>
      </w:r>
      <w:r>
        <w:rPr>
          <w:color w:val="231F20"/>
          <w:spacing w:val="-24"/>
          <w:w w:val="105"/>
        </w:rPr>
        <w:t> </w:t>
      </w:r>
      <w:r>
        <w:rPr>
          <w:color w:val="231F20"/>
          <w:w w:val="105"/>
        </w:rPr>
        <w:t>los</w:t>
      </w:r>
      <w:r>
        <w:rPr>
          <w:color w:val="231F20"/>
          <w:spacing w:val="-24"/>
          <w:w w:val="105"/>
        </w:rPr>
        <w:t> </w:t>
      </w:r>
      <w:r>
        <w:rPr>
          <w:color w:val="231F20"/>
          <w:w w:val="105"/>
        </w:rPr>
        <w:t>propios</w:t>
      </w:r>
      <w:r>
        <w:rPr>
          <w:color w:val="231F20"/>
          <w:spacing w:val="-24"/>
          <w:w w:val="105"/>
        </w:rPr>
        <w:t> </w:t>
      </w:r>
      <w:r>
        <w:rPr>
          <w:color w:val="231F20"/>
          <w:w w:val="105"/>
        </w:rPr>
        <w:t>habitantes.</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01"/>
        <w:jc w:val="both"/>
      </w:pPr>
      <w:r>
        <w:rPr>
          <w:color w:val="231F20"/>
          <w:w w:val="105"/>
        </w:rPr>
        <w:t>Los</w:t>
      </w:r>
      <w:r>
        <w:rPr>
          <w:color w:val="231F20"/>
          <w:spacing w:val="-20"/>
          <w:w w:val="105"/>
        </w:rPr>
        <w:t> </w:t>
      </w:r>
      <w:r>
        <w:rPr>
          <w:color w:val="231F20"/>
          <w:w w:val="105"/>
        </w:rPr>
        <w:t>municipios</w:t>
      </w:r>
      <w:r>
        <w:rPr>
          <w:color w:val="231F20"/>
          <w:spacing w:val="-20"/>
          <w:w w:val="105"/>
        </w:rPr>
        <w:t> </w:t>
      </w:r>
      <w:r>
        <w:rPr>
          <w:color w:val="231F20"/>
          <w:w w:val="105"/>
        </w:rPr>
        <w:t>en</w:t>
      </w:r>
      <w:r>
        <w:rPr>
          <w:color w:val="231F20"/>
          <w:spacing w:val="-20"/>
          <w:w w:val="105"/>
        </w:rPr>
        <w:t> </w:t>
      </w:r>
      <w:r>
        <w:rPr>
          <w:color w:val="231F20"/>
          <w:w w:val="105"/>
        </w:rPr>
        <w:t>México,</w:t>
      </w:r>
      <w:r>
        <w:rPr>
          <w:color w:val="231F20"/>
          <w:spacing w:val="-25"/>
          <w:w w:val="105"/>
        </w:rPr>
        <w:t> </w:t>
      </w:r>
      <w:r>
        <w:rPr>
          <w:color w:val="231F20"/>
          <w:w w:val="105"/>
        </w:rPr>
        <w:t>de</w:t>
      </w:r>
      <w:r>
        <w:rPr>
          <w:color w:val="231F20"/>
          <w:spacing w:val="-20"/>
          <w:w w:val="105"/>
        </w:rPr>
        <w:t> </w:t>
      </w:r>
      <w:r>
        <w:rPr>
          <w:color w:val="231F20"/>
          <w:w w:val="105"/>
        </w:rPr>
        <w:t>acuerdo</w:t>
      </w:r>
      <w:r>
        <w:rPr>
          <w:color w:val="231F20"/>
          <w:spacing w:val="-20"/>
          <w:w w:val="105"/>
        </w:rPr>
        <w:t> </w:t>
      </w:r>
      <w:r>
        <w:rPr>
          <w:color w:val="231F20"/>
          <w:w w:val="105"/>
        </w:rPr>
        <w:t>a</w:t>
      </w:r>
      <w:r>
        <w:rPr>
          <w:color w:val="231F20"/>
          <w:spacing w:val="-20"/>
          <w:w w:val="105"/>
        </w:rPr>
        <w:t> </w:t>
      </w:r>
      <w:r>
        <w:rPr>
          <w:color w:val="231F20"/>
          <w:w w:val="105"/>
        </w:rPr>
        <w:t>condiciones</w:t>
      </w:r>
      <w:r>
        <w:rPr>
          <w:color w:val="231F20"/>
          <w:spacing w:val="-20"/>
          <w:w w:val="105"/>
        </w:rPr>
        <w:t> </w:t>
      </w:r>
      <w:r>
        <w:rPr>
          <w:color w:val="231F20"/>
          <w:w w:val="105"/>
        </w:rPr>
        <w:t>políticas,</w:t>
      </w:r>
      <w:r>
        <w:rPr>
          <w:color w:val="231F20"/>
          <w:spacing w:val="-25"/>
          <w:w w:val="105"/>
        </w:rPr>
        <w:t> </w:t>
      </w:r>
      <w:r>
        <w:rPr>
          <w:color w:val="231F20"/>
          <w:w w:val="105"/>
        </w:rPr>
        <w:t>sociales</w:t>
      </w:r>
      <w:r>
        <w:rPr>
          <w:color w:val="231F20"/>
          <w:spacing w:val="-20"/>
          <w:w w:val="105"/>
        </w:rPr>
        <w:t> </w:t>
      </w:r>
      <w:r>
        <w:rPr>
          <w:color w:val="231F20"/>
          <w:w w:val="105"/>
        </w:rPr>
        <w:t>y económicas,</w:t>
      </w:r>
      <w:r>
        <w:rPr>
          <w:color w:val="231F20"/>
          <w:spacing w:val="-12"/>
          <w:w w:val="105"/>
        </w:rPr>
        <w:t> </w:t>
      </w:r>
      <w:r>
        <w:rPr>
          <w:color w:val="231F20"/>
          <w:w w:val="105"/>
        </w:rPr>
        <w:t>enfrentan</w:t>
      </w:r>
      <w:r>
        <w:rPr>
          <w:color w:val="231F20"/>
          <w:spacing w:val="-7"/>
          <w:w w:val="105"/>
        </w:rPr>
        <w:t> </w:t>
      </w:r>
      <w:r>
        <w:rPr>
          <w:color w:val="231F20"/>
          <w:w w:val="105"/>
        </w:rPr>
        <w:t>día</w:t>
      </w:r>
      <w:r>
        <w:rPr>
          <w:color w:val="231F20"/>
          <w:spacing w:val="-7"/>
          <w:w w:val="105"/>
        </w:rPr>
        <w:t> </w:t>
      </w:r>
      <w:r>
        <w:rPr>
          <w:color w:val="231F20"/>
          <w:w w:val="105"/>
        </w:rPr>
        <w:t>a</w:t>
      </w:r>
      <w:r>
        <w:rPr>
          <w:color w:val="231F20"/>
          <w:spacing w:val="-7"/>
          <w:w w:val="105"/>
        </w:rPr>
        <w:t> </w:t>
      </w:r>
      <w:r>
        <w:rPr>
          <w:color w:val="231F20"/>
          <w:w w:val="105"/>
        </w:rPr>
        <w:t>día</w:t>
      </w:r>
      <w:r>
        <w:rPr>
          <w:color w:val="231F20"/>
          <w:spacing w:val="-7"/>
          <w:w w:val="105"/>
        </w:rPr>
        <w:t> </w:t>
      </w:r>
      <w:r>
        <w:rPr>
          <w:color w:val="231F20"/>
          <w:w w:val="105"/>
        </w:rPr>
        <w:t>el</w:t>
      </w:r>
      <w:r>
        <w:rPr>
          <w:color w:val="231F20"/>
          <w:spacing w:val="-7"/>
          <w:w w:val="105"/>
        </w:rPr>
        <w:t> </w:t>
      </w:r>
      <w:r>
        <w:rPr>
          <w:color w:val="231F20"/>
          <w:w w:val="105"/>
        </w:rPr>
        <w:t>reto</w:t>
      </w:r>
      <w:r>
        <w:rPr>
          <w:color w:val="231F20"/>
          <w:spacing w:val="-7"/>
          <w:w w:val="105"/>
        </w:rPr>
        <w:t> </w:t>
      </w:r>
      <w:r>
        <w:rPr>
          <w:color w:val="231F20"/>
          <w:w w:val="105"/>
        </w:rPr>
        <w:t>de</w:t>
      </w:r>
      <w:r>
        <w:rPr>
          <w:color w:val="231F20"/>
          <w:spacing w:val="-7"/>
          <w:w w:val="105"/>
        </w:rPr>
        <w:t> </w:t>
      </w:r>
      <w:r>
        <w:rPr>
          <w:color w:val="231F20"/>
          <w:w w:val="105"/>
        </w:rPr>
        <w:t>alcanzar</w:t>
      </w:r>
      <w:r>
        <w:rPr>
          <w:color w:val="231F20"/>
          <w:spacing w:val="-7"/>
          <w:w w:val="105"/>
        </w:rPr>
        <w:t> </w:t>
      </w:r>
      <w:r>
        <w:rPr>
          <w:color w:val="231F20"/>
          <w:w w:val="105"/>
        </w:rPr>
        <w:t>mayores</w:t>
      </w:r>
      <w:r>
        <w:rPr>
          <w:color w:val="231F20"/>
          <w:spacing w:val="-7"/>
          <w:w w:val="105"/>
        </w:rPr>
        <w:t> </w:t>
      </w:r>
      <w:r>
        <w:rPr>
          <w:color w:val="231F20"/>
          <w:w w:val="105"/>
        </w:rPr>
        <w:t>niveles</w:t>
      </w:r>
      <w:r>
        <w:rPr>
          <w:color w:val="231F20"/>
          <w:spacing w:val="-7"/>
          <w:w w:val="105"/>
        </w:rPr>
        <w:t> </w:t>
      </w:r>
      <w:r>
        <w:rPr>
          <w:color w:val="231F20"/>
          <w:w w:val="105"/>
        </w:rPr>
        <w:t>de competitividad</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traduzcan</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creación</w:t>
      </w:r>
      <w:r>
        <w:rPr>
          <w:color w:val="231F20"/>
          <w:spacing w:val="-8"/>
          <w:w w:val="105"/>
        </w:rPr>
        <w:t> </w:t>
      </w:r>
      <w:r>
        <w:rPr>
          <w:color w:val="231F20"/>
          <w:w w:val="105"/>
        </w:rPr>
        <w:t>de</w:t>
      </w:r>
      <w:r>
        <w:rPr>
          <w:color w:val="231F20"/>
          <w:spacing w:val="-8"/>
          <w:w w:val="105"/>
        </w:rPr>
        <w:t> </w:t>
      </w:r>
      <w:r>
        <w:rPr>
          <w:color w:val="231F20"/>
          <w:w w:val="105"/>
        </w:rPr>
        <w:t>mejores</w:t>
      </w:r>
      <w:r>
        <w:rPr>
          <w:color w:val="231F20"/>
          <w:spacing w:val="-8"/>
          <w:w w:val="105"/>
        </w:rPr>
        <w:t> </w:t>
      </w:r>
      <w:r>
        <w:rPr>
          <w:color w:val="231F20"/>
          <w:w w:val="105"/>
        </w:rPr>
        <w:t>condiciones de</w:t>
      </w:r>
      <w:r>
        <w:rPr>
          <w:color w:val="231F20"/>
          <w:spacing w:val="-18"/>
          <w:w w:val="105"/>
        </w:rPr>
        <w:t> </w:t>
      </w:r>
      <w:r>
        <w:rPr>
          <w:color w:val="231F20"/>
          <w:w w:val="105"/>
        </w:rPr>
        <w:t>vida</w:t>
      </w:r>
      <w:r>
        <w:rPr>
          <w:color w:val="231F20"/>
          <w:spacing w:val="-18"/>
          <w:w w:val="105"/>
        </w:rPr>
        <w:t> </w:t>
      </w:r>
      <w:r>
        <w:rPr>
          <w:color w:val="231F20"/>
          <w:w w:val="105"/>
        </w:rPr>
        <w:t>para</w:t>
      </w:r>
      <w:r>
        <w:rPr>
          <w:color w:val="231F20"/>
          <w:spacing w:val="-18"/>
          <w:w w:val="105"/>
        </w:rPr>
        <w:t> </w:t>
      </w:r>
      <w:r>
        <w:rPr>
          <w:color w:val="231F20"/>
          <w:w w:val="105"/>
        </w:rPr>
        <w:t>sus</w:t>
      </w:r>
      <w:r>
        <w:rPr>
          <w:color w:val="231F20"/>
          <w:spacing w:val="-18"/>
          <w:w w:val="105"/>
        </w:rPr>
        <w:t> </w:t>
      </w:r>
      <w:r>
        <w:rPr>
          <w:color w:val="231F20"/>
          <w:w w:val="105"/>
        </w:rPr>
        <w:t>habitantes.</w:t>
      </w:r>
      <w:r>
        <w:rPr>
          <w:color w:val="231F20"/>
          <w:spacing w:val="-22"/>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ámbito</w:t>
      </w:r>
      <w:r>
        <w:rPr>
          <w:color w:val="231F20"/>
          <w:spacing w:val="-18"/>
          <w:w w:val="105"/>
        </w:rPr>
        <w:t> </w:t>
      </w:r>
      <w:r>
        <w:rPr>
          <w:color w:val="231F20"/>
          <w:w w:val="105"/>
        </w:rPr>
        <w:t>empresarial</w:t>
      </w:r>
      <w:r>
        <w:rPr>
          <w:color w:val="231F20"/>
          <w:spacing w:val="-18"/>
          <w:w w:val="105"/>
        </w:rPr>
        <w:t> </w:t>
      </w:r>
      <w:r>
        <w:rPr>
          <w:color w:val="231F20"/>
          <w:w w:val="105"/>
        </w:rPr>
        <w:t>la</w:t>
      </w:r>
      <w:r>
        <w:rPr>
          <w:color w:val="231F20"/>
          <w:spacing w:val="-18"/>
          <w:w w:val="105"/>
        </w:rPr>
        <w:t> </w:t>
      </w:r>
      <w:r>
        <w:rPr>
          <w:color w:val="231F20"/>
          <w:w w:val="105"/>
        </w:rPr>
        <w:t>eficiencia</w:t>
      </w:r>
      <w:r>
        <w:rPr>
          <w:color w:val="231F20"/>
          <w:spacing w:val="-18"/>
          <w:w w:val="105"/>
        </w:rPr>
        <w:t> </w:t>
      </w:r>
      <w:r>
        <w:rPr>
          <w:color w:val="231F20"/>
          <w:w w:val="105"/>
        </w:rPr>
        <w:t>en</w:t>
      </w:r>
      <w:r>
        <w:rPr>
          <w:color w:val="231F20"/>
          <w:spacing w:val="-18"/>
          <w:w w:val="105"/>
        </w:rPr>
        <w:t> </w:t>
      </w:r>
      <w:r>
        <w:rPr>
          <w:color w:val="231F20"/>
          <w:w w:val="105"/>
        </w:rPr>
        <w:t>los procesos</w:t>
      </w:r>
      <w:r>
        <w:rPr>
          <w:color w:val="231F20"/>
          <w:spacing w:val="-15"/>
          <w:w w:val="105"/>
        </w:rPr>
        <w:t> </w:t>
      </w:r>
      <w:r>
        <w:rPr>
          <w:color w:val="231F20"/>
          <w:w w:val="105"/>
        </w:rPr>
        <w:t>técnicos</w:t>
      </w:r>
      <w:r>
        <w:rPr>
          <w:color w:val="231F20"/>
          <w:spacing w:val="-15"/>
          <w:w w:val="105"/>
        </w:rPr>
        <w:t> </w:t>
      </w:r>
      <w:r>
        <w:rPr>
          <w:color w:val="231F20"/>
          <w:w w:val="105"/>
        </w:rPr>
        <w:t>y</w:t>
      </w:r>
      <w:r>
        <w:rPr>
          <w:color w:val="231F20"/>
          <w:spacing w:val="-15"/>
          <w:w w:val="105"/>
        </w:rPr>
        <w:t> </w:t>
      </w:r>
      <w:r>
        <w:rPr>
          <w:color w:val="231F20"/>
          <w:w w:val="105"/>
        </w:rPr>
        <w:t>administrativos,</w:t>
      </w:r>
      <w:r>
        <w:rPr>
          <w:color w:val="231F20"/>
          <w:spacing w:val="-19"/>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la</w:t>
      </w:r>
      <w:r>
        <w:rPr>
          <w:color w:val="231F20"/>
          <w:spacing w:val="-15"/>
          <w:w w:val="105"/>
        </w:rPr>
        <w:t> </w:t>
      </w:r>
      <w:r>
        <w:rPr>
          <w:color w:val="231F20"/>
          <w:w w:val="105"/>
        </w:rPr>
        <w:t>satisfacción</w:t>
      </w:r>
      <w:r>
        <w:rPr>
          <w:color w:val="231F20"/>
          <w:spacing w:val="-15"/>
          <w:w w:val="105"/>
        </w:rPr>
        <w:t> </w:t>
      </w:r>
      <w:r>
        <w:rPr>
          <w:color w:val="231F20"/>
          <w:w w:val="105"/>
        </w:rPr>
        <w:t>de</w:t>
      </w:r>
      <w:r>
        <w:rPr>
          <w:color w:val="231F20"/>
          <w:spacing w:val="-15"/>
          <w:w w:val="105"/>
        </w:rPr>
        <w:t> </w:t>
      </w:r>
      <w:r>
        <w:rPr>
          <w:color w:val="231F20"/>
          <w:w w:val="105"/>
        </w:rPr>
        <w:t>clientes y usuarios en base a la calidad de productos y servicios, derivan de la manera en que se aplican y comparten los conocimientos para lograr aprendizaje</w:t>
      </w:r>
      <w:r>
        <w:rPr>
          <w:color w:val="231F20"/>
          <w:spacing w:val="-11"/>
          <w:w w:val="105"/>
        </w:rPr>
        <w:t> </w:t>
      </w:r>
      <w:r>
        <w:rPr>
          <w:color w:val="231F20"/>
          <w:w w:val="105"/>
        </w:rPr>
        <w:t>en</w:t>
      </w:r>
      <w:r>
        <w:rPr>
          <w:color w:val="231F20"/>
          <w:spacing w:val="-11"/>
          <w:w w:val="105"/>
        </w:rPr>
        <w:t> </w:t>
      </w:r>
      <w:r>
        <w:rPr>
          <w:color w:val="231F20"/>
          <w:w w:val="105"/>
        </w:rPr>
        <w:t>todos</w:t>
      </w:r>
      <w:r>
        <w:rPr>
          <w:color w:val="231F20"/>
          <w:spacing w:val="-11"/>
          <w:w w:val="105"/>
        </w:rPr>
        <w:t> </w:t>
      </w:r>
      <w:r>
        <w:rPr>
          <w:color w:val="231F20"/>
          <w:w w:val="105"/>
        </w:rPr>
        <w:t>sus</w:t>
      </w:r>
      <w:r>
        <w:rPr>
          <w:color w:val="231F20"/>
          <w:spacing w:val="-11"/>
          <w:w w:val="105"/>
        </w:rPr>
        <w:t> </w:t>
      </w:r>
      <w:r>
        <w:rPr>
          <w:color w:val="231F20"/>
          <w:w w:val="105"/>
        </w:rPr>
        <w:t>integrantes,</w:t>
      </w:r>
      <w:r>
        <w:rPr>
          <w:color w:val="231F20"/>
          <w:spacing w:val="-16"/>
          <w:w w:val="105"/>
        </w:rPr>
        <w:t> </w:t>
      </w:r>
      <w:r>
        <w:rPr>
          <w:color w:val="231F20"/>
          <w:w w:val="105"/>
        </w:rPr>
        <w:t>con</w:t>
      </w:r>
      <w:r>
        <w:rPr>
          <w:color w:val="231F20"/>
          <w:spacing w:val="-11"/>
          <w:w w:val="105"/>
        </w:rPr>
        <w:t> </w:t>
      </w:r>
      <w:r>
        <w:rPr>
          <w:color w:val="231F20"/>
          <w:w w:val="105"/>
        </w:rPr>
        <w:t>miras</w:t>
      </w:r>
      <w:r>
        <w:rPr>
          <w:color w:val="231F20"/>
          <w:spacing w:val="-11"/>
          <w:w w:val="105"/>
        </w:rPr>
        <w:t> </w:t>
      </w:r>
      <w:r>
        <w:rPr>
          <w:color w:val="231F20"/>
          <w:w w:val="105"/>
        </w:rPr>
        <w:t>a</w:t>
      </w:r>
      <w:r>
        <w:rPr>
          <w:color w:val="231F20"/>
          <w:spacing w:val="-11"/>
          <w:w w:val="105"/>
        </w:rPr>
        <w:t> </w:t>
      </w:r>
      <w:r>
        <w:rPr>
          <w:color w:val="231F20"/>
          <w:w w:val="105"/>
        </w:rPr>
        <w:t>alcanzar</w:t>
      </w:r>
      <w:r>
        <w:rPr>
          <w:color w:val="231F20"/>
          <w:spacing w:val="-11"/>
          <w:w w:val="105"/>
        </w:rPr>
        <w:t> </w:t>
      </w:r>
      <w:r>
        <w:rPr>
          <w:color w:val="231F20"/>
          <w:w w:val="105"/>
        </w:rPr>
        <w:t>objetivos</w:t>
      </w:r>
      <w:r>
        <w:rPr>
          <w:color w:val="231F20"/>
          <w:spacing w:val="-11"/>
          <w:w w:val="105"/>
        </w:rPr>
        <w:t> </w:t>
      </w:r>
      <w:r>
        <w:rPr>
          <w:color w:val="231F20"/>
          <w:w w:val="105"/>
        </w:rPr>
        <w:t>or- ganizacionales,</w:t>
      </w:r>
      <w:r>
        <w:rPr>
          <w:color w:val="231F20"/>
          <w:spacing w:val="-27"/>
          <w:w w:val="105"/>
        </w:rPr>
        <w:t> </w:t>
      </w:r>
      <w:r>
        <w:rPr>
          <w:color w:val="231F20"/>
          <w:w w:val="105"/>
        </w:rPr>
        <w:t>fomentar</w:t>
      </w:r>
      <w:r>
        <w:rPr>
          <w:color w:val="231F20"/>
          <w:spacing w:val="-21"/>
          <w:w w:val="105"/>
        </w:rPr>
        <w:t> </w:t>
      </w:r>
      <w:r>
        <w:rPr>
          <w:color w:val="231F20"/>
          <w:w w:val="105"/>
        </w:rPr>
        <w:t>la</w:t>
      </w:r>
      <w:r>
        <w:rPr>
          <w:color w:val="231F20"/>
          <w:spacing w:val="-21"/>
          <w:w w:val="105"/>
        </w:rPr>
        <w:t> </w:t>
      </w:r>
      <w:r>
        <w:rPr>
          <w:color w:val="231F20"/>
          <w:w w:val="105"/>
        </w:rPr>
        <w:t>innovación</w:t>
      </w:r>
      <w:r>
        <w:rPr>
          <w:color w:val="231F20"/>
          <w:spacing w:val="-21"/>
          <w:w w:val="105"/>
        </w:rPr>
        <w:t> </w:t>
      </w:r>
      <w:r>
        <w:rPr>
          <w:color w:val="231F20"/>
          <w:w w:val="105"/>
        </w:rPr>
        <w:t>y</w:t>
      </w:r>
      <w:r>
        <w:rPr>
          <w:color w:val="231F20"/>
          <w:spacing w:val="-21"/>
          <w:w w:val="105"/>
        </w:rPr>
        <w:t> </w:t>
      </w:r>
      <w:r>
        <w:rPr>
          <w:color w:val="231F20"/>
          <w:w w:val="105"/>
        </w:rPr>
        <w:t>llegar</w:t>
      </w:r>
      <w:r>
        <w:rPr>
          <w:color w:val="231F20"/>
          <w:spacing w:val="-21"/>
          <w:w w:val="105"/>
        </w:rPr>
        <w:t> </w:t>
      </w:r>
      <w:r>
        <w:rPr>
          <w:color w:val="231F20"/>
          <w:w w:val="105"/>
        </w:rPr>
        <w:t>a</w:t>
      </w:r>
      <w:r>
        <w:rPr>
          <w:color w:val="231F20"/>
          <w:spacing w:val="-21"/>
          <w:w w:val="105"/>
        </w:rPr>
        <w:t> </w:t>
      </w:r>
      <w:r>
        <w:rPr>
          <w:color w:val="231F20"/>
          <w:w w:val="105"/>
        </w:rPr>
        <w:t>ser</w:t>
      </w:r>
      <w:r>
        <w:rPr>
          <w:color w:val="231F20"/>
          <w:spacing w:val="-21"/>
          <w:w w:val="105"/>
        </w:rPr>
        <w:t> </w:t>
      </w:r>
      <w:r>
        <w:rPr>
          <w:color w:val="231F20"/>
          <w:w w:val="105"/>
        </w:rPr>
        <w:t>competitivos.</w:t>
      </w:r>
    </w:p>
    <w:p>
      <w:pPr>
        <w:pStyle w:val="BodyText"/>
        <w:spacing w:line="259" w:lineRule="auto"/>
        <w:ind w:left="117" w:right="25" w:firstLine="567"/>
      </w:pPr>
      <w:r>
        <w:rPr>
          <w:color w:val="231F20"/>
          <w:w w:val="105"/>
        </w:rPr>
        <w:t>En contraste, es frecuente que la gestión en el sector público mu- nicipal adopte con lentitud herramientas y teorías administrativas  para</w:t>
      </w:r>
    </w:p>
    <w:p>
      <w:pPr>
        <w:spacing w:after="0" w:line="259" w:lineRule="auto"/>
        <w:sectPr>
          <w:pgSz w:w="9640" w:h="13890"/>
          <w:pgMar w:top="1300" w:bottom="280" w:left="1300" w:right="1200"/>
        </w:sectPr>
      </w:pPr>
    </w:p>
    <w:p>
      <w:pPr>
        <w:pStyle w:val="BodyText"/>
        <w:spacing w:line="259" w:lineRule="auto" w:before="120"/>
        <w:ind w:left="103" w:right="114"/>
        <w:jc w:val="both"/>
      </w:pPr>
      <w:r>
        <w:rPr>
          <w:color w:val="231F20"/>
          <w:w w:val="105"/>
        </w:rPr>
        <w:t>elevar su competitividad, impulsar el desarrollo socioeconómico y brin- dar una mejor calidad de servicios; por tanto, la moderna gestión del sector público requiere fortalecerse. Una alternativa para logarlo es la aplicación de herramientas administrativas como el aprendizaje</w:t>
      </w:r>
      <w:r>
        <w:rPr>
          <w:color w:val="231F20"/>
          <w:spacing w:val="-35"/>
          <w:w w:val="105"/>
        </w:rPr>
        <w:t> </w:t>
      </w:r>
      <w:r>
        <w:rPr>
          <w:color w:val="231F20"/>
          <w:w w:val="105"/>
        </w:rPr>
        <w:t>organi- zacional,</w:t>
      </w:r>
      <w:r>
        <w:rPr>
          <w:color w:val="231F20"/>
          <w:spacing w:val="-13"/>
          <w:w w:val="105"/>
        </w:rPr>
        <w:t> </w:t>
      </w:r>
      <w:r>
        <w:rPr>
          <w:color w:val="231F20"/>
          <w:w w:val="105"/>
        </w:rPr>
        <w:t>proceso</w:t>
      </w:r>
      <w:r>
        <w:rPr>
          <w:color w:val="231F20"/>
          <w:spacing w:val="-8"/>
          <w:w w:val="105"/>
        </w:rPr>
        <w:t> </w:t>
      </w:r>
      <w:r>
        <w:rPr>
          <w:color w:val="231F20"/>
          <w:w w:val="105"/>
        </w:rPr>
        <w:t>mediante</w:t>
      </w:r>
      <w:r>
        <w:rPr>
          <w:color w:val="231F20"/>
          <w:spacing w:val="-8"/>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la</w:t>
      </w:r>
      <w:r>
        <w:rPr>
          <w:color w:val="231F20"/>
          <w:spacing w:val="-8"/>
          <w:w w:val="105"/>
        </w:rPr>
        <w:t> </w:t>
      </w:r>
      <w:r>
        <w:rPr>
          <w:color w:val="231F20"/>
          <w:w w:val="105"/>
        </w:rPr>
        <w:t>organización</w:t>
      </w:r>
      <w:r>
        <w:rPr>
          <w:color w:val="231F20"/>
          <w:spacing w:val="-8"/>
          <w:w w:val="105"/>
        </w:rPr>
        <w:t> </w:t>
      </w:r>
      <w:r>
        <w:rPr>
          <w:color w:val="231F20"/>
          <w:w w:val="105"/>
        </w:rPr>
        <w:t>logra</w:t>
      </w:r>
      <w:r>
        <w:rPr>
          <w:color w:val="231F20"/>
          <w:spacing w:val="-8"/>
          <w:w w:val="105"/>
        </w:rPr>
        <w:t> </w:t>
      </w:r>
      <w:r>
        <w:rPr>
          <w:color w:val="231F20"/>
          <w:w w:val="105"/>
        </w:rPr>
        <w:t>que</w:t>
      </w:r>
      <w:r>
        <w:rPr>
          <w:color w:val="231F20"/>
          <w:spacing w:val="-8"/>
          <w:w w:val="105"/>
        </w:rPr>
        <w:t> </w:t>
      </w:r>
      <w:r>
        <w:rPr>
          <w:color w:val="231F20"/>
          <w:w w:val="105"/>
        </w:rPr>
        <w:t>sus</w:t>
      </w:r>
      <w:r>
        <w:rPr>
          <w:color w:val="231F20"/>
          <w:spacing w:val="-8"/>
          <w:w w:val="105"/>
        </w:rPr>
        <w:t> </w:t>
      </w:r>
      <w:r>
        <w:rPr>
          <w:color w:val="231F20"/>
          <w:w w:val="105"/>
        </w:rPr>
        <w:t>miem- bros</w:t>
      </w:r>
      <w:r>
        <w:rPr>
          <w:color w:val="231F20"/>
          <w:spacing w:val="-21"/>
          <w:w w:val="105"/>
        </w:rPr>
        <w:t> </w:t>
      </w:r>
      <w:r>
        <w:rPr>
          <w:color w:val="231F20"/>
          <w:w w:val="105"/>
        </w:rPr>
        <w:t>apliquen</w:t>
      </w:r>
      <w:r>
        <w:rPr>
          <w:color w:val="231F20"/>
          <w:spacing w:val="-21"/>
          <w:w w:val="105"/>
        </w:rPr>
        <w:t> </w:t>
      </w:r>
      <w:r>
        <w:rPr>
          <w:color w:val="231F20"/>
          <w:w w:val="105"/>
        </w:rPr>
        <w:t>y</w:t>
      </w:r>
      <w:r>
        <w:rPr>
          <w:color w:val="231F20"/>
          <w:spacing w:val="-21"/>
          <w:w w:val="105"/>
        </w:rPr>
        <w:t> </w:t>
      </w:r>
      <w:r>
        <w:rPr>
          <w:color w:val="231F20"/>
          <w:w w:val="105"/>
        </w:rPr>
        <w:t>compartan</w:t>
      </w:r>
      <w:r>
        <w:rPr>
          <w:color w:val="231F20"/>
          <w:spacing w:val="-21"/>
          <w:w w:val="105"/>
        </w:rPr>
        <w:t> </w:t>
      </w:r>
      <w:r>
        <w:rPr>
          <w:color w:val="231F20"/>
          <w:w w:val="105"/>
        </w:rPr>
        <w:t>sus</w:t>
      </w:r>
      <w:r>
        <w:rPr>
          <w:color w:val="231F20"/>
          <w:spacing w:val="-21"/>
          <w:w w:val="105"/>
        </w:rPr>
        <w:t> </w:t>
      </w:r>
      <w:r>
        <w:rPr>
          <w:color w:val="231F20"/>
          <w:w w:val="105"/>
        </w:rPr>
        <w:t>conocimientos</w:t>
      </w:r>
      <w:r>
        <w:rPr>
          <w:color w:val="231F20"/>
          <w:spacing w:val="-21"/>
          <w:w w:val="105"/>
        </w:rPr>
        <w:t> </w:t>
      </w:r>
      <w:r>
        <w:rPr>
          <w:color w:val="231F20"/>
          <w:w w:val="105"/>
        </w:rPr>
        <w:t>para</w:t>
      </w:r>
      <w:r>
        <w:rPr>
          <w:color w:val="231F20"/>
          <w:spacing w:val="-21"/>
          <w:w w:val="105"/>
        </w:rPr>
        <w:t> </w:t>
      </w:r>
      <w:r>
        <w:rPr>
          <w:color w:val="231F20"/>
          <w:w w:val="105"/>
        </w:rPr>
        <w:t>enfrentar</w:t>
      </w:r>
      <w:r>
        <w:rPr>
          <w:color w:val="231F20"/>
          <w:spacing w:val="-21"/>
          <w:w w:val="105"/>
        </w:rPr>
        <w:t> </w:t>
      </w:r>
      <w:r>
        <w:rPr>
          <w:color w:val="231F20"/>
          <w:w w:val="105"/>
        </w:rPr>
        <w:t>la</w:t>
      </w:r>
      <w:r>
        <w:rPr>
          <w:color w:val="231F20"/>
          <w:spacing w:val="-21"/>
          <w:w w:val="105"/>
        </w:rPr>
        <w:t> </w:t>
      </w:r>
      <w:r>
        <w:rPr>
          <w:color w:val="231F20"/>
          <w:w w:val="105"/>
        </w:rPr>
        <w:t>dinámica cambiante</w:t>
      </w:r>
      <w:r>
        <w:rPr>
          <w:color w:val="231F20"/>
          <w:spacing w:val="-16"/>
          <w:w w:val="105"/>
        </w:rPr>
        <w:t> </w:t>
      </w:r>
      <w:r>
        <w:rPr>
          <w:color w:val="231F20"/>
          <w:w w:val="105"/>
        </w:rPr>
        <w:t>del</w:t>
      </w:r>
      <w:r>
        <w:rPr>
          <w:color w:val="231F20"/>
          <w:spacing w:val="-16"/>
          <w:w w:val="105"/>
        </w:rPr>
        <w:t> </w:t>
      </w:r>
      <w:r>
        <w:rPr>
          <w:color w:val="231F20"/>
          <w:w w:val="105"/>
        </w:rPr>
        <w:t>ambiente</w:t>
      </w:r>
      <w:r>
        <w:rPr>
          <w:color w:val="231F20"/>
          <w:spacing w:val="-16"/>
          <w:w w:val="105"/>
        </w:rPr>
        <w:t> </w:t>
      </w:r>
      <w:r>
        <w:rPr>
          <w:color w:val="231F20"/>
          <w:w w:val="105"/>
        </w:rPr>
        <w:t>en</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desenvuelven.</w:t>
      </w:r>
    </w:p>
    <w:p>
      <w:pPr>
        <w:pStyle w:val="BodyText"/>
        <w:spacing w:line="259" w:lineRule="auto"/>
        <w:ind w:left="103" w:right="115" w:firstLine="567"/>
        <w:jc w:val="both"/>
      </w:pPr>
      <w:r>
        <w:rPr>
          <w:color w:val="231F20"/>
          <w:w w:val="105"/>
        </w:rPr>
        <w:t>El objetivo de este capítulo es identificar elementos inherentes al aprendizaje organizacional que puedan impulsar la competitividad mu- nicipal, conceptualizada con base en la competitividad urbana, ya que ésta resulta aplicable, tanto a municipios como ciudades.</w:t>
      </w:r>
    </w:p>
    <w:p>
      <w:pPr>
        <w:pStyle w:val="BodyText"/>
        <w:spacing w:line="259" w:lineRule="auto"/>
        <w:ind w:left="103" w:right="111" w:firstLine="567"/>
        <w:jc w:val="both"/>
      </w:pPr>
      <w:r>
        <w:rPr>
          <w:color w:val="231F20"/>
          <w:spacing w:val="-3"/>
          <w:w w:val="105"/>
        </w:rPr>
        <w:t>Este documento </w:t>
      </w:r>
      <w:r>
        <w:rPr>
          <w:color w:val="231F20"/>
          <w:w w:val="105"/>
        </w:rPr>
        <w:t>se </w:t>
      </w:r>
      <w:r>
        <w:rPr>
          <w:color w:val="231F20"/>
          <w:spacing w:val="-3"/>
          <w:w w:val="105"/>
        </w:rPr>
        <w:t>compone </w:t>
      </w:r>
      <w:r>
        <w:rPr>
          <w:color w:val="231F20"/>
          <w:w w:val="105"/>
        </w:rPr>
        <w:t>de </w:t>
      </w:r>
      <w:r>
        <w:rPr>
          <w:color w:val="231F20"/>
          <w:spacing w:val="-4"/>
          <w:w w:val="105"/>
        </w:rPr>
        <w:t>cuatro </w:t>
      </w:r>
      <w:r>
        <w:rPr>
          <w:color w:val="231F20"/>
          <w:spacing w:val="-3"/>
          <w:w w:val="105"/>
        </w:rPr>
        <w:t>apartados: </w:t>
      </w:r>
      <w:r>
        <w:rPr>
          <w:color w:val="231F20"/>
          <w:w w:val="105"/>
        </w:rPr>
        <w:t>el </w:t>
      </w:r>
      <w:r>
        <w:rPr>
          <w:color w:val="231F20"/>
          <w:spacing w:val="-3"/>
          <w:w w:val="105"/>
        </w:rPr>
        <w:t>primero pre- senta</w:t>
      </w:r>
      <w:r>
        <w:rPr>
          <w:color w:val="231F20"/>
          <w:spacing w:val="-21"/>
          <w:w w:val="105"/>
        </w:rPr>
        <w:t> </w:t>
      </w:r>
      <w:r>
        <w:rPr>
          <w:color w:val="231F20"/>
          <w:spacing w:val="-3"/>
          <w:w w:val="105"/>
        </w:rPr>
        <w:t>aspectos</w:t>
      </w:r>
      <w:r>
        <w:rPr>
          <w:color w:val="231F20"/>
          <w:spacing w:val="-21"/>
          <w:w w:val="105"/>
        </w:rPr>
        <w:t> </w:t>
      </w:r>
      <w:r>
        <w:rPr>
          <w:color w:val="231F20"/>
          <w:spacing w:val="-3"/>
          <w:w w:val="105"/>
        </w:rPr>
        <w:t>relacionados</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spacing w:val="-3"/>
          <w:w w:val="105"/>
        </w:rPr>
        <w:t>municipios;</w:t>
      </w:r>
      <w:r>
        <w:rPr>
          <w:color w:val="231F20"/>
          <w:spacing w:val="-21"/>
          <w:w w:val="105"/>
        </w:rPr>
        <w:t> </w:t>
      </w:r>
      <w:r>
        <w:rPr>
          <w:color w:val="231F20"/>
          <w:w w:val="105"/>
        </w:rPr>
        <w:t>el</w:t>
      </w:r>
      <w:r>
        <w:rPr>
          <w:color w:val="231F20"/>
          <w:spacing w:val="-21"/>
          <w:w w:val="105"/>
        </w:rPr>
        <w:t> </w:t>
      </w:r>
      <w:r>
        <w:rPr>
          <w:color w:val="231F20"/>
          <w:spacing w:val="-3"/>
          <w:w w:val="105"/>
        </w:rPr>
        <w:t>segundo</w:t>
      </w:r>
      <w:r>
        <w:rPr>
          <w:color w:val="231F20"/>
          <w:spacing w:val="-21"/>
          <w:w w:val="105"/>
        </w:rPr>
        <w:t> </w:t>
      </w:r>
      <w:r>
        <w:rPr>
          <w:color w:val="231F20"/>
          <w:spacing w:val="-3"/>
          <w:w w:val="105"/>
        </w:rPr>
        <w:t>hace</w:t>
      </w:r>
      <w:r>
        <w:rPr>
          <w:color w:val="231F20"/>
          <w:spacing w:val="-21"/>
          <w:w w:val="105"/>
        </w:rPr>
        <w:t> </w:t>
      </w:r>
      <w:r>
        <w:rPr>
          <w:color w:val="231F20"/>
          <w:spacing w:val="-4"/>
          <w:w w:val="105"/>
        </w:rPr>
        <w:t>referen- </w:t>
      </w:r>
      <w:r>
        <w:rPr>
          <w:color w:val="231F20"/>
          <w:w w:val="105"/>
        </w:rPr>
        <w:t>cia a la </w:t>
      </w:r>
      <w:r>
        <w:rPr>
          <w:color w:val="231F20"/>
          <w:spacing w:val="-3"/>
          <w:w w:val="105"/>
        </w:rPr>
        <w:t>competitividad municipal; </w:t>
      </w:r>
      <w:r>
        <w:rPr>
          <w:color w:val="231F20"/>
          <w:w w:val="105"/>
        </w:rPr>
        <w:t>el </w:t>
      </w:r>
      <w:r>
        <w:rPr>
          <w:color w:val="231F20"/>
          <w:spacing w:val="-4"/>
          <w:w w:val="105"/>
        </w:rPr>
        <w:t>tercero </w:t>
      </w:r>
      <w:r>
        <w:rPr>
          <w:color w:val="231F20"/>
          <w:spacing w:val="-3"/>
          <w:w w:val="105"/>
        </w:rPr>
        <w:t>aborda </w:t>
      </w:r>
      <w:r>
        <w:rPr>
          <w:color w:val="231F20"/>
          <w:w w:val="105"/>
        </w:rPr>
        <w:t>la </w:t>
      </w:r>
      <w:r>
        <w:rPr>
          <w:color w:val="231F20"/>
          <w:spacing w:val="-3"/>
          <w:w w:val="105"/>
        </w:rPr>
        <w:t>conceptualización </w:t>
      </w:r>
      <w:r>
        <w:rPr>
          <w:color w:val="231F20"/>
          <w:w w:val="105"/>
        </w:rPr>
        <w:t>del </w:t>
      </w:r>
      <w:r>
        <w:rPr>
          <w:color w:val="231F20"/>
          <w:spacing w:val="-3"/>
          <w:w w:val="105"/>
        </w:rPr>
        <w:t>aprendizaje organizacional </w:t>
      </w:r>
      <w:r>
        <w:rPr>
          <w:color w:val="231F20"/>
          <w:w w:val="105"/>
        </w:rPr>
        <w:t>y los </w:t>
      </w:r>
      <w:r>
        <w:rPr>
          <w:color w:val="231F20"/>
          <w:spacing w:val="-3"/>
          <w:w w:val="105"/>
        </w:rPr>
        <w:t>elementos </w:t>
      </w:r>
      <w:r>
        <w:rPr>
          <w:color w:val="231F20"/>
          <w:w w:val="105"/>
        </w:rPr>
        <w:t>que lo </w:t>
      </w:r>
      <w:r>
        <w:rPr>
          <w:color w:val="231F20"/>
          <w:spacing w:val="-3"/>
          <w:w w:val="105"/>
        </w:rPr>
        <w:t>conforman; </w:t>
      </w:r>
      <w:r>
        <w:rPr>
          <w:color w:val="231F20"/>
          <w:w w:val="105"/>
        </w:rPr>
        <w:t>y </w:t>
      </w:r>
      <w:r>
        <w:rPr>
          <w:color w:val="231F20"/>
          <w:spacing w:val="-3"/>
          <w:w w:val="105"/>
        </w:rPr>
        <w:t>el cuarto integra </w:t>
      </w:r>
      <w:r>
        <w:rPr>
          <w:color w:val="231F20"/>
          <w:w w:val="105"/>
        </w:rPr>
        <w:t>la </w:t>
      </w:r>
      <w:r>
        <w:rPr>
          <w:color w:val="231F20"/>
          <w:spacing w:val="-3"/>
          <w:w w:val="105"/>
        </w:rPr>
        <w:t>asociación </w:t>
      </w:r>
      <w:r>
        <w:rPr>
          <w:color w:val="231F20"/>
          <w:w w:val="105"/>
        </w:rPr>
        <w:t>de </w:t>
      </w:r>
      <w:r>
        <w:rPr>
          <w:color w:val="231F20"/>
          <w:spacing w:val="-3"/>
          <w:w w:val="105"/>
        </w:rPr>
        <w:t>éste </w:t>
      </w:r>
      <w:r>
        <w:rPr>
          <w:color w:val="231F20"/>
          <w:w w:val="105"/>
        </w:rPr>
        <w:t>y la </w:t>
      </w:r>
      <w:r>
        <w:rPr>
          <w:color w:val="231F20"/>
          <w:spacing w:val="-3"/>
          <w:w w:val="105"/>
        </w:rPr>
        <w:t>competitividad municipal, propo- niendo</w:t>
      </w:r>
      <w:r>
        <w:rPr>
          <w:color w:val="231F20"/>
          <w:spacing w:val="-27"/>
          <w:w w:val="105"/>
        </w:rPr>
        <w:t> </w:t>
      </w:r>
      <w:r>
        <w:rPr>
          <w:color w:val="231F20"/>
          <w:w w:val="105"/>
        </w:rPr>
        <w:t>un</w:t>
      </w:r>
      <w:r>
        <w:rPr>
          <w:color w:val="231F20"/>
          <w:spacing w:val="-27"/>
          <w:w w:val="105"/>
        </w:rPr>
        <w:t> </w:t>
      </w:r>
      <w:r>
        <w:rPr>
          <w:color w:val="231F20"/>
          <w:spacing w:val="-3"/>
          <w:w w:val="105"/>
        </w:rPr>
        <w:t>modelo</w:t>
      </w:r>
      <w:r>
        <w:rPr>
          <w:color w:val="231F20"/>
          <w:spacing w:val="-27"/>
          <w:w w:val="105"/>
        </w:rPr>
        <w:t> </w:t>
      </w:r>
      <w:r>
        <w:rPr>
          <w:color w:val="231F20"/>
          <w:spacing w:val="-3"/>
          <w:w w:val="105"/>
        </w:rPr>
        <w:t>para</w:t>
      </w:r>
      <w:r>
        <w:rPr>
          <w:color w:val="231F20"/>
          <w:spacing w:val="-27"/>
          <w:w w:val="105"/>
        </w:rPr>
        <w:t> </w:t>
      </w:r>
      <w:r>
        <w:rPr>
          <w:color w:val="231F20"/>
          <w:w w:val="105"/>
        </w:rPr>
        <w:t>su</w:t>
      </w:r>
      <w:r>
        <w:rPr>
          <w:color w:val="231F20"/>
          <w:spacing w:val="-27"/>
          <w:w w:val="105"/>
        </w:rPr>
        <w:t> </w:t>
      </w:r>
      <w:r>
        <w:rPr>
          <w:color w:val="231F20"/>
          <w:spacing w:val="-3"/>
          <w:w w:val="105"/>
        </w:rPr>
        <w:t>impulso</w:t>
      </w:r>
      <w:r>
        <w:rPr>
          <w:color w:val="231F20"/>
          <w:spacing w:val="-27"/>
          <w:w w:val="105"/>
        </w:rPr>
        <w:t> </w:t>
      </w:r>
      <w:r>
        <w:rPr>
          <w:color w:val="231F20"/>
          <w:w w:val="105"/>
        </w:rPr>
        <w:t>a</w:t>
      </w:r>
      <w:r>
        <w:rPr>
          <w:color w:val="231F20"/>
          <w:spacing w:val="-27"/>
          <w:w w:val="105"/>
        </w:rPr>
        <w:t> </w:t>
      </w:r>
      <w:r>
        <w:rPr>
          <w:color w:val="231F20"/>
          <w:spacing w:val="-3"/>
          <w:w w:val="105"/>
        </w:rPr>
        <w:t>través</w:t>
      </w:r>
      <w:r>
        <w:rPr>
          <w:color w:val="231F20"/>
          <w:spacing w:val="-27"/>
          <w:w w:val="105"/>
        </w:rPr>
        <w:t> </w:t>
      </w:r>
      <w:r>
        <w:rPr>
          <w:color w:val="231F20"/>
          <w:w w:val="105"/>
        </w:rPr>
        <w:t>del</w:t>
      </w:r>
      <w:r>
        <w:rPr>
          <w:color w:val="231F20"/>
          <w:spacing w:val="-27"/>
          <w:w w:val="105"/>
        </w:rPr>
        <w:t> </w:t>
      </w:r>
      <w:r>
        <w:rPr>
          <w:color w:val="231F20"/>
          <w:spacing w:val="-3"/>
          <w:w w:val="105"/>
        </w:rPr>
        <w:t>aprendizaje</w:t>
      </w:r>
      <w:r>
        <w:rPr>
          <w:color w:val="231F20"/>
          <w:spacing w:val="-27"/>
          <w:w w:val="105"/>
        </w:rPr>
        <w:t> </w:t>
      </w:r>
      <w:r>
        <w:rPr>
          <w:color w:val="231F20"/>
          <w:spacing w:val="-4"/>
          <w:w w:val="105"/>
        </w:rPr>
        <w:t>organizacional.</w:t>
      </w:r>
    </w:p>
    <w:p>
      <w:pPr>
        <w:pStyle w:val="BodyText"/>
        <w:rPr>
          <w:sz w:val="20"/>
        </w:rPr>
      </w:pPr>
    </w:p>
    <w:p>
      <w:pPr>
        <w:pStyle w:val="BodyText"/>
        <w:spacing w:before="7"/>
        <w:rPr>
          <w:sz w:val="18"/>
        </w:rPr>
      </w:pPr>
    </w:p>
    <w:p>
      <w:pPr>
        <w:pStyle w:val="Heading2"/>
        <w:ind w:left="103"/>
      </w:pPr>
      <w:r>
        <w:rPr>
          <w:color w:val="231F20"/>
          <w:w w:val="95"/>
        </w:rPr>
        <w:t>Los municipios y su realidad</w:t>
      </w:r>
    </w:p>
    <w:p>
      <w:pPr>
        <w:pStyle w:val="BodyText"/>
        <w:rPr>
          <w:b/>
          <w:sz w:val="22"/>
        </w:rPr>
      </w:pPr>
    </w:p>
    <w:p>
      <w:pPr>
        <w:pStyle w:val="BodyText"/>
        <w:spacing w:line="259" w:lineRule="auto" w:before="160"/>
        <w:ind w:left="103" w:right="115"/>
        <w:jc w:val="both"/>
      </w:pPr>
      <w:r>
        <w:rPr>
          <w:color w:val="231F20"/>
          <w:w w:val="105"/>
        </w:rPr>
        <w:t>En</w:t>
      </w:r>
      <w:r>
        <w:rPr>
          <w:color w:val="231F20"/>
          <w:spacing w:val="-18"/>
          <w:w w:val="105"/>
        </w:rPr>
        <w:t> </w:t>
      </w:r>
      <w:r>
        <w:rPr>
          <w:color w:val="231F20"/>
          <w:w w:val="105"/>
        </w:rPr>
        <w:t>México</w:t>
      </w:r>
      <w:r>
        <w:rPr>
          <w:color w:val="231F20"/>
          <w:spacing w:val="-18"/>
          <w:w w:val="105"/>
        </w:rPr>
        <w:t> </w:t>
      </w:r>
      <w:r>
        <w:rPr>
          <w:color w:val="231F20"/>
          <w:w w:val="105"/>
        </w:rPr>
        <w:t>los</w:t>
      </w:r>
      <w:r>
        <w:rPr>
          <w:color w:val="231F20"/>
          <w:spacing w:val="-18"/>
          <w:w w:val="105"/>
        </w:rPr>
        <w:t> </w:t>
      </w:r>
      <w:r>
        <w:rPr>
          <w:color w:val="231F20"/>
          <w:w w:val="105"/>
        </w:rPr>
        <w:t>municipios</w:t>
      </w:r>
      <w:r>
        <w:rPr>
          <w:color w:val="231F20"/>
          <w:spacing w:val="-18"/>
          <w:w w:val="105"/>
        </w:rPr>
        <w:t> </w:t>
      </w:r>
      <w:r>
        <w:rPr>
          <w:color w:val="231F20"/>
          <w:w w:val="105"/>
        </w:rPr>
        <w:t>constituyen</w:t>
      </w:r>
      <w:r>
        <w:rPr>
          <w:color w:val="231F20"/>
          <w:spacing w:val="-18"/>
          <w:w w:val="105"/>
        </w:rPr>
        <w:t> </w:t>
      </w:r>
      <w:r>
        <w:rPr>
          <w:color w:val="231F20"/>
          <w:w w:val="105"/>
        </w:rPr>
        <w:t>los</w:t>
      </w:r>
      <w:r>
        <w:rPr>
          <w:color w:val="231F20"/>
          <w:spacing w:val="-18"/>
          <w:w w:val="105"/>
        </w:rPr>
        <w:t> </w:t>
      </w:r>
      <w:r>
        <w:rPr>
          <w:color w:val="231F20"/>
          <w:w w:val="105"/>
        </w:rPr>
        <w:t>núcleos</w:t>
      </w:r>
      <w:r>
        <w:rPr>
          <w:color w:val="231F20"/>
          <w:spacing w:val="-18"/>
          <w:w w:val="105"/>
        </w:rPr>
        <w:t> </w:t>
      </w:r>
      <w:r>
        <w:rPr>
          <w:color w:val="231F20"/>
          <w:w w:val="105"/>
        </w:rPr>
        <w:t>en</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concentra</w:t>
      </w:r>
      <w:r>
        <w:rPr>
          <w:color w:val="231F20"/>
          <w:spacing w:val="-18"/>
          <w:w w:val="105"/>
        </w:rPr>
        <w:t> </w:t>
      </w:r>
      <w:r>
        <w:rPr>
          <w:color w:val="231F20"/>
          <w:w w:val="105"/>
        </w:rPr>
        <w:t>la población, están delimitados por un territorio geográfico y regidos por un</w:t>
      </w:r>
      <w:r>
        <w:rPr>
          <w:color w:val="231F20"/>
          <w:spacing w:val="-29"/>
          <w:w w:val="105"/>
        </w:rPr>
        <w:t> </w:t>
      </w:r>
      <w:r>
        <w:rPr>
          <w:color w:val="231F20"/>
          <w:w w:val="105"/>
        </w:rPr>
        <w:t>ayuntamiento.</w:t>
      </w:r>
      <w:r>
        <w:rPr>
          <w:color w:val="231F20"/>
          <w:spacing w:val="-33"/>
          <w:w w:val="105"/>
        </w:rPr>
        <w:t> </w:t>
      </w:r>
      <w:r>
        <w:rPr>
          <w:color w:val="231F20"/>
          <w:w w:val="105"/>
        </w:rPr>
        <w:t>En</w:t>
      </w:r>
      <w:r>
        <w:rPr>
          <w:color w:val="231F20"/>
          <w:spacing w:val="-29"/>
          <w:w w:val="105"/>
        </w:rPr>
        <w:t> </w:t>
      </w:r>
      <w:r>
        <w:rPr>
          <w:color w:val="231F20"/>
          <w:w w:val="105"/>
        </w:rPr>
        <w:t>ellos</w:t>
      </w:r>
      <w:r>
        <w:rPr>
          <w:color w:val="231F20"/>
          <w:spacing w:val="-29"/>
          <w:w w:val="105"/>
        </w:rPr>
        <w:t> </w:t>
      </w:r>
      <w:r>
        <w:rPr>
          <w:color w:val="231F20"/>
          <w:w w:val="105"/>
        </w:rPr>
        <w:t>interactúan</w:t>
      </w:r>
      <w:r>
        <w:rPr>
          <w:color w:val="231F20"/>
          <w:spacing w:val="-29"/>
          <w:w w:val="105"/>
        </w:rPr>
        <w:t> </w:t>
      </w:r>
      <w:r>
        <w:rPr>
          <w:color w:val="231F20"/>
          <w:w w:val="105"/>
        </w:rPr>
        <w:t>sus</w:t>
      </w:r>
      <w:r>
        <w:rPr>
          <w:color w:val="231F20"/>
          <w:spacing w:val="-29"/>
          <w:w w:val="105"/>
        </w:rPr>
        <w:t> </w:t>
      </w:r>
      <w:r>
        <w:rPr>
          <w:color w:val="231F20"/>
          <w:w w:val="105"/>
        </w:rPr>
        <w:t>habitantes</w:t>
      </w:r>
      <w:r>
        <w:rPr>
          <w:color w:val="231F20"/>
          <w:spacing w:val="-29"/>
          <w:w w:val="105"/>
        </w:rPr>
        <w:t> </w:t>
      </w:r>
      <w:r>
        <w:rPr>
          <w:color w:val="231F20"/>
          <w:w w:val="105"/>
        </w:rPr>
        <w:t>y</w:t>
      </w:r>
      <w:r>
        <w:rPr>
          <w:color w:val="231F20"/>
          <w:spacing w:val="-29"/>
          <w:w w:val="105"/>
        </w:rPr>
        <w:t> </w:t>
      </w:r>
      <w:r>
        <w:rPr>
          <w:color w:val="231F20"/>
          <w:w w:val="105"/>
        </w:rPr>
        <w:t>sus</w:t>
      </w:r>
      <w:r>
        <w:rPr>
          <w:color w:val="231F20"/>
          <w:spacing w:val="-29"/>
          <w:w w:val="105"/>
        </w:rPr>
        <w:t> </w:t>
      </w:r>
      <w:r>
        <w:rPr>
          <w:color w:val="231F20"/>
          <w:w w:val="105"/>
        </w:rPr>
        <w:t>autoridades.</w:t>
      </w:r>
    </w:p>
    <w:p>
      <w:pPr>
        <w:spacing w:before="162"/>
        <w:ind w:left="103" w:right="0" w:firstLine="0"/>
        <w:jc w:val="both"/>
        <w:rPr>
          <w:i/>
          <w:sz w:val="21"/>
        </w:rPr>
      </w:pPr>
      <w:r>
        <w:rPr>
          <w:i/>
          <w:color w:val="231F20"/>
          <w:w w:val="105"/>
          <w:sz w:val="21"/>
        </w:rPr>
        <w:t>Problemática de los municipios</w:t>
      </w:r>
    </w:p>
    <w:p>
      <w:pPr>
        <w:pStyle w:val="BodyText"/>
        <w:spacing w:before="4"/>
        <w:rPr>
          <w:i/>
          <w:sz w:val="16"/>
        </w:rPr>
      </w:pPr>
    </w:p>
    <w:p>
      <w:pPr>
        <w:pStyle w:val="BodyText"/>
        <w:spacing w:line="259" w:lineRule="auto"/>
        <w:ind w:left="103" w:right="114"/>
        <w:jc w:val="both"/>
      </w:pPr>
      <w:r>
        <w:rPr>
          <w:color w:val="231F20"/>
          <w:w w:val="105"/>
        </w:rPr>
        <w:t>El</w:t>
      </w:r>
      <w:r>
        <w:rPr>
          <w:color w:val="231F20"/>
          <w:spacing w:val="-14"/>
          <w:w w:val="105"/>
        </w:rPr>
        <w:t> </w:t>
      </w:r>
      <w:r>
        <w:rPr>
          <w:color w:val="231F20"/>
          <w:w w:val="105"/>
        </w:rPr>
        <w:t>principal</w:t>
      </w:r>
      <w:r>
        <w:rPr>
          <w:color w:val="231F20"/>
          <w:spacing w:val="-14"/>
          <w:w w:val="105"/>
        </w:rPr>
        <w:t> </w:t>
      </w:r>
      <w:r>
        <w:rPr>
          <w:color w:val="231F20"/>
          <w:w w:val="105"/>
        </w:rPr>
        <w:t>problema</w:t>
      </w:r>
      <w:r>
        <w:rPr>
          <w:color w:val="231F20"/>
          <w:spacing w:val="-14"/>
          <w:w w:val="105"/>
        </w:rPr>
        <w:t> </w:t>
      </w:r>
      <w:r>
        <w:rPr>
          <w:color w:val="231F20"/>
          <w:w w:val="105"/>
        </w:rPr>
        <w:t>que</w:t>
      </w:r>
      <w:r>
        <w:rPr>
          <w:color w:val="231F20"/>
          <w:spacing w:val="-14"/>
          <w:w w:val="105"/>
        </w:rPr>
        <w:t> </w:t>
      </w:r>
      <w:r>
        <w:rPr>
          <w:color w:val="231F20"/>
          <w:w w:val="105"/>
        </w:rPr>
        <w:t>presentan</w:t>
      </w:r>
      <w:r>
        <w:rPr>
          <w:color w:val="231F20"/>
          <w:spacing w:val="-14"/>
          <w:w w:val="105"/>
        </w:rPr>
        <w:t> </w:t>
      </w:r>
      <w:r>
        <w:rPr>
          <w:color w:val="231F20"/>
          <w:w w:val="105"/>
        </w:rPr>
        <w:t>los</w:t>
      </w:r>
      <w:r>
        <w:rPr>
          <w:color w:val="231F20"/>
          <w:spacing w:val="-14"/>
          <w:w w:val="105"/>
        </w:rPr>
        <w:t> </w:t>
      </w:r>
      <w:r>
        <w:rPr>
          <w:color w:val="231F20"/>
          <w:w w:val="105"/>
        </w:rPr>
        <w:t>municipios</w:t>
      </w:r>
      <w:r>
        <w:rPr>
          <w:color w:val="231F20"/>
          <w:spacing w:val="-14"/>
          <w:w w:val="105"/>
        </w:rPr>
        <w:t> </w:t>
      </w:r>
      <w:r>
        <w:rPr>
          <w:color w:val="231F20"/>
          <w:w w:val="105"/>
        </w:rPr>
        <w:t>en</w:t>
      </w:r>
      <w:r>
        <w:rPr>
          <w:color w:val="231F20"/>
          <w:spacing w:val="-14"/>
          <w:w w:val="105"/>
        </w:rPr>
        <w:t> </w:t>
      </w:r>
      <w:r>
        <w:rPr>
          <w:color w:val="231F20"/>
          <w:w w:val="105"/>
        </w:rPr>
        <w:t>México</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des- igualdad</w:t>
      </w:r>
      <w:r>
        <w:rPr>
          <w:color w:val="231F20"/>
          <w:spacing w:val="-15"/>
          <w:w w:val="105"/>
        </w:rPr>
        <w:t> </w:t>
      </w:r>
      <w:r>
        <w:rPr>
          <w:color w:val="231F20"/>
          <w:w w:val="105"/>
        </w:rPr>
        <w:t>social,</w:t>
      </w:r>
      <w:r>
        <w:rPr>
          <w:color w:val="231F20"/>
          <w:spacing w:val="-21"/>
          <w:w w:val="105"/>
        </w:rPr>
        <w:t> </w:t>
      </w:r>
      <w:r>
        <w:rPr>
          <w:color w:val="231F20"/>
          <w:w w:val="105"/>
        </w:rPr>
        <w:t>económica</w:t>
      </w:r>
      <w:r>
        <w:rPr>
          <w:color w:val="231F20"/>
          <w:spacing w:val="-15"/>
          <w:w w:val="105"/>
        </w:rPr>
        <w:t> </w:t>
      </w:r>
      <w:r>
        <w:rPr>
          <w:color w:val="231F20"/>
          <w:w w:val="105"/>
        </w:rPr>
        <w:t>y</w:t>
      </w:r>
      <w:r>
        <w:rPr>
          <w:color w:val="231F20"/>
          <w:spacing w:val="-15"/>
          <w:w w:val="105"/>
        </w:rPr>
        <w:t> </w:t>
      </w:r>
      <w:r>
        <w:rPr>
          <w:color w:val="231F20"/>
          <w:w w:val="105"/>
        </w:rPr>
        <w:t>cultural,</w:t>
      </w:r>
      <w:r>
        <w:rPr>
          <w:color w:val="231F20"/>
          <w:spacing w:val="-21"/>
          <w:w w:val="105"/>
        </w:rPr>
        <w:t> </w:t>
      </w:r>
      <w:r>
        <w:rPr>
          <w:color w:val="231F20"/>
          <w:w w:val="105"/>
        </w:rPr>
        <w:t>manifiesta</w:t>
      </w:r>
      <w:r>
        <w:rPr>
          <w:color w:val="231F20"/>
          <w:spacing w:val="-15"/>
          <w:w w:val="105"/>
        </w:rPr>
        <w:t> </w:t>
      </w:r>
      <w:r>
        <w:rPr>
          <w:color w:val="231F20"/>
          <w:w w:val="105"/>
        </w:rPr>
        <w:t>a</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entidad</w:t>
      </w:r>
      <w:r>
        <w:rPr>
          <w:color w:val="231F20"/>
          <w:spacing w:val="-15"/>
          <w:w w:val="105"/>
        </w:rPr>
        <w:t> </w:t>
      </w:r>
      <w:r>
        <w:rPr>
          <w:color w:val="231F20"/>
          <w:w w:val="105"/>
        </w:rPr>
        <w:t>fede- rativa</w:t>
      </w:r>
      <w:r>
        <w:rPr>
          <w:color w:val="231F20"/>
          <w:spacing w:val="-13"/>
          <w:w w:val="105"/>
        </w:rPr>
        <w:t> </w:t>
      </w:r>
      <w:r>
        <w:rPr>
          <w:color w:val="231F20"/>
          <w:w w:val="105"/>
        </w:rPr>
        <w:t>e</w:t>
      </w:r>
      <w:r>
        <w:rPr>
          <w:color w:val="231F20"/>
          <w:spacing w:val="-13"/>
          <w:w w:val="105"/>
        </w:rPr>
        <w:t> </w:t>
      </w:r>
      <w:r>
        <w:rPr>
          <w:color w:val="231F20"/>
          <w:w w:val="105"/>
        </w:rPr>
        <w:t>incluso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región</w:t>
      </w:r>
      <w:r>
        <w:rPr>
          <w:color w:val="231F20"/>
          <w:spacing w:val="-13"/>
          <w:w w:val="105"/>
        </w:rPr>
        <w:t> </w:t>
      </w:r>
      <w:r>
        <w:rPr>
          <w:color w:val="231F20"/>
          <w:w w:val="105"/>
        </w:rPr>
        <w:t>geográfica</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pertenecen.</w:t>
      </w:r>
    </w:p>
    <w:p>
      <w:pPr>
        <w:pStyle w:val="BodyText"/>
        <w:spacing w:line="259" w:lineRule="auto"/>
        <w:ind w:left="103" w:right="115" w:firstLine="567"/>
        <w:jc w:val="both"/>
      </w:pPr>
      <w:r>
        <w:rPr>
          <w:color w:val="231F20"/>
          <w:w w:val="105"/>
        </w:rPr>
        <w:t>El</w:t>
      </w:r>
      <w:r>
        <w:rPr>
          <w:color w:val="231F20"/>
          <w:spacing w:val="-24"/>
          <w:w w:val="105"/>
        </w:rPr>
        <w:t> </w:t>
      </w:r>
      <w:r>
        <w:rPr>
          <w:color w:val="231F20"/>
          <w:spacing w:val="-3"/>
          <w:w w:val="105"/>
        </w:rPr>
        <w:t>Programa</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Naciones</w:t>
      </w:r>
      <w:r>
        <w:rPr>
          <w:color w:val="231F20"/>
          <w:spacing w:val="-24"/>
          <w:w w:val="105"/>
        </w:rPr>
        <w:t> </w:t>
      </w:r>
      <w:r>
        <w:rPr>
          <w:color w:val="231F20"/>
          <w:w w:val="105"/>
        </w:rPr>
        <w:t>Unidas</w:t>
      </w:r>
      <w:r>
        <w:rPr>
          <w:color w:val="231F20"/>
          <w:spacing w:val="-24"/>
          <w:w w:val="105"/>
        </w:rPr>
        <w:t> </w:t>
      </w:r>
      <w:r>
        <w:rPr>
          <w:color w:val="231F20"/>
          <w:w w:val="105"/>
        </w:rPr>
        <w:t>para</w:t>
      </w:r>
      <w:r>
        <w:rPr>
          <w:color w:val="231F20"/>
          <w:spacing w:val="-24"/>
          <w:w w:val="105"/>
        </w:rPr>
        <w:t> </w:t>
      </w:r>
      <w:r>
        <w:rPr>
          <w:color w:val="231F20"/>
          <w:w w:val="105"/>
        </w:rPr>
        <w:t>el</w:t>
      </w:r>
      <w:r>
        <w:rPr>
          <w:color w:val="231F20"/>
          <w:spacing w:val="-24"/>
          <w:w w:val="105"/>
        </w:rPr>
        <w:t> </w:t>
      </w:r>
      <w:r>
        <w:rPr>
          <w:color w:val="231F20"/>
          <w:w w:val="105"/>
        </w:rPr>
        <w:t>Desarrollo</w:t>
      </w:r>
      <w:r>
        <w:rPr>
          <w:color w:val="231F20"/>
          <w:spacing w:val="-24"/>
          <w:w w:val="105"/>
        </w:rPr>
        <w:t> </w:t>
      </w:r>
      <w:r>
        <w:rPr>
          <w:color w:val="231F20"/>
          <w:w w:val="105"/>
        </w:rPr>
        <w:t>(PNUD),</w:t>
      </w:r>
      <w:r>
        <w:rPr>
          <w:color w:val="231F20"/>
          <w:spacing w:val="-28"/>
          <w:w w:val="105"/>
        </w:rPr>
        <w:t> </w:t>
      </w:r>
      <w:r>
        <w:rPr>
          <w:color w:val="231F20"/>
          <w:w w:val="105"/>
        </w:rPr>
        <w:t>en el Informe sobre Desarrollo Humano México 2011, pone de manifiesto las grandes diferencias en el Índice de Desarrollo alcanzando en 2006 en México. El mayor índice se registró en el Distrito Federal con</w:t>
      </w:r>
      <w:r>
        <w:rPr>
          <w:color w:val="231F20"/>
          <w:spacing w:val="-18"/>
          <w:w w:val="105"/>
        </w:rPr>
        <w:t> </w:t>
      </w:r>
      <w:r>
        <w:rPr>
          <w:color w:val="231F20"/>
          <w:w w:val="105"/>
        </w:rPr>
        <w:t>.9099; en</w:t>
      </w:r>
      <w:r>
        <w:rPr>
          <w:color w:val="231F20"/>
          <w:spacing w:val="-24"/>
          <w:w w:val="105"/>
        </w:rPr>
        <w:t> </w:t>
      </w:r>
      <w:r>
        <w:rPr>
          <w:color w:val="231F20"/>
          <w:w w:val="105"/>
        </w:rPr>
        <w:t>tanto</w:t>
      </w:r>
      <w:r>
        <w:rPr>
          <w:color w:val="231F20"/>
          <w:spacing w:val="-24"/>
          <w:w w:val="105"/>
        </w:rPr>
        <w:t> </w:t>
      </w:r>
      <w:r>
        <w:rPr>
          <w:color w:val="231F20"/>
          <w:w w:val="105"/>
        </w:rPr>
        <w:t>Chiapas</w:t>
      </w:r>
      <w:r>
        <w:rPr>
          <w:color w:val="231F20"/>
          <w:spacing w:val="-24"/>
          <w:w w:val="105"/>
        </w:rPr>
        <w:t> </w:t>
      </w:r>
      <w:r>
        <w:rPr>
          <w:color w:val="231F20"/>
          <w:w w:val="105"/>
        </w:rPr>
        <w:t>obtuvo</w:t>
      </w:r>
      <w:r>
        <w:rPr>
          <w:color w:val="231F20"/>
          <w:spacing w:val="-24"/>
          <w:w w:val="105"/>
        </w:rPr>
        <w:t> </w:t>
      </w:r>
      <w:r>
        <w:rPr>
          <w:color w:val="231F20"/>
          <w:w w:val="105"/>
        </w:rPr>
        <w:t>.7336.</w:t>
      </w:r>
      <w:r>
        <w:rPr>
          <w:color w:val="231F20"/>
          <w:spacing w:val="-29"/>
          <w:w w:val="105"/>
        </w:rPr>
        <w:t> </w:t>
      </w:r>
      <w:r>
        <w:rPr>
          <w:color w:val="231F20"/>
          <w:w w:val="105"/>
        </w:rPr>
        <w:t>El</w:t>
      </w:r>
      <w:r>
        <w:rPr>
          <w:color w:val="231F20"/>
          <w:spacing w:val="-24"/>
          <w:w w:val="105"/>
        </w:rPr>
        <w:t> </w:t>
      </w:r>
      <w:r>
        <w:rPr>
          <w:color w:val="231F20"/>
          <w:w w:val="105"/>
        </w:rPr>
        <w:t>documento</w:t>
      </w:r>
      <w:r>
        <w:rPr>
          <w:color w:val="231F20"/>
          <w:spacing w:val="-24"/>
          <w:w w:val="105"/>
        </w:rPr>
        <w:t> </w:t>
      </w:r>
      <w:r>
        <w:rPr>
          <w:color w:val="231F20"/>
          <w:w w:val="105"/>
        </w:rPr>
        <w:t>destaca</w:t>
      </w:r>
      <w:r>
        <w:rPr>
          <w:color w:val="231F20"/>
          <w:spacing w:val="-24"/>
          <w:w w:val="105"/>
        </w:rPr>
        <w:t> </w:t>
      </w:r>
      <w:r>
        <w:rPr>
          <w:color w:val="231F20"/>
          <w:w w:val="105"/>
        </w:rPr>
        <w:t>que</w:t>
      </w:r>
      <w:r>
        <w:rPr>
          <w:color w:val="231F20"/>
          <w:spacing w:val="-24"/>
          <w:w w:val="105"/>
        </w:rPr>
        <w:t> </w:t>
      </w:r>
      <w:r>
        <w:rPr>
          <w:color w:val="231F20"/>
          <w:w w:val="105"/>
        </w:rPr>
        <w:t>los</w:t>
      </w:r>
      <w:r>
        <w:rPr>
          <w:color w:val="231F20"/>
          <w:spacing w:val="-24"/>
          <w:w w:val="105"/>
        </w:rPr>
        <w:t> </w:t>
      </w:r>
      <w:r>
        <w:rPr>
          <w:color w:val="231F20"/>
          <w:w w:val="105"/>
        </w:rPr>
        <w:t>eslabones institucionales</w:t>
      </w:r>
      <w:r>
        <w:rPr>
          <w:color w:val="231F20"/>
          <w:spacing w:val="-11"/>
          <w:w w:val="105"/>
        </w:rPr>
        <w:t> </w:t>
      </w:r>
      <w:r>
        <w:rPr>
          <w:color w:val="231F20"/>
          <w:w w:val="105"/>
        </w:rPr>
        <w:t>más</w:t>
      </w:r>
      <w:r>
        <w:rPr>
          <w:color w:val="231F20"/>
          <w:spacing w:val="-11"/>
          <w:w w:val="105"/>
        </w:rPr>
        <w:t> </w:t>
      </w:r>
      <w:r>
        <w:rPr>
          <w:color w:val="231F20"/>
          <w:w w:val="105"/>
        </w:rPr>
        <w:t>débiles</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programas</w:t>
      </w:r>
      <w:r>
        <w:rPr>
          <w:color w:val="231F20"/>
          <w:spacing w:val="-11"/>
          <w:w w:val="105"/>
        </w:rPr>
        <w:t> </w:t>
      </w:r>
      <w:r>
        <w:rPr>
          <w:color w:val="231F20"/>
          <w:w w:val="105"/>
        </w:rPr>
        <w:t>sociales</w:t>
      </w:r>
      <w:r>
        <w:rPr>
          <w:color w:val="231F20"/>
          <w:spacing w:val="-11"/>
          <w:w w:val="105"/>
        </w:rPr>
        <w:t> </w:t>
      </w:r>
      <w:r>
        <w:rPr>
          <w:color w:val="231F20"/>
          <w:w w:val="105"/>
        </w:rPr>
        <w:t>se</w:t>
      </w:r>
      <w:r>
        <w:rPr>
          <w:color w:val="231F20"/>
          <w:spacing w:val="-11"/>
          <w:w w:val="105"/>
        </w:rPr>
        <w:t> </w:t>
      </w:r>
      <w:r>
        <w:rPr>
          <w:color w:val="231F20"/>
          <w:w w:val="105"/>
        </w:rPr>
        <w:t>encuentran</w:t>
      </w:r>
      <w:r>
        <w:rPr>
          <w:color w:val="231F20"/>
          <w:spacing w:val="-11"/>
          <w:w w:val="105"/>
        </w:rPr>
        <w:t> </w:t>
      </w:r>
      <w:r>
        <w:rPr>
          <w:color w:val="231F20"/>
          <w:w w:val="105"/>
        </w:rPr>
        <w:t>en los</w:t>
      </w:r>
      <w:r>
        <w:rPr>
          <w:color w:val="231F20"/>
          <w:spacing w:val="-14"/>
          <w:w w:val="105"/>
        </w:rPr>
        <w:t> </w:t>
      </w:r>
      <w:r>
        <w:rPr>
          <w:color w:val="231F20"/>
          <w:w w:val="105"/>
        </w:rPr>
        <w:t>estados</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municipios</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ven</w:t>
      </w:r>
      <w:r>
        <w:rPr>
          <w:color w:val="231F20"/>
          <w:spacing w:val="-14"/>
          <w:w w:val="105"/>
        </w:rPr>
        <w:t> </w:t>
      </w:r>
      <w:r>
        <w:rPr>
          <w:color w:val="231F20"/>
          <w:w w:val="105"/>
        </w:rPr>
        <w:t>afectados</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centralismo.</w:t>
      </w:r>
      <w:r>
        <w:rPr>
          <w:color w:val="231F20"/>
          <w:spacing w:val="-20"/>
          <w:w w:val="105"/>
        </w:rPr>
        <w:t> </w:t>
      </w:r>
      <w:r>
        <w:rPr>
          <w:color w:val="231F20"/>
          <w:w w:val="105"/>
        </w:rPr>
        <w:t>En este</w:t>
      </w:r>
      <w:r>
        <w:rPr>
          <w:color w:val="231F20"/>
          <w:spacing w:val="-16"/>
          <w:w w:val="105"/>
        </w:rPr>
        <w:t> </w:t>
      </w:r>
      <w:r>
        <w:rPr>
          <w:color w:val="231F20"/>
          <w:w w:val="105"/>
        </w:rPr>
        <w:t>sentido,</w:t>
      </w:r>
      <w:r>
        <w:rPr>
          <w:color w:val="231F20"/>
          <w:spacing w:val="-22"/>
          <w:w w:val="105"/>
        </w:rPr>
        <w:t> </w:t>
      </w:r>
      <w:r>
        <w:rPr>
          <w:color w:val="231F20"/>
          <w:w w:val="105"/>
        </w:rPr>
        <w:t>López</w:t>
      </w:r>
      <w:r>
        <w:rPr>
          <w:color w:val="231F20"/>
          <w:spacing w:val="-16"/>
          <w:w w:val="105"/>
        </w:rPr>
        <w:t> </w:t>
      </w:r>
      <w:r>
        <w:rPr>
          <w:color w:val="231F20"/>
          <w:w w:val="105"/>
        </w:rPr>
        <w:t>(2005)</w:t>
      </w:r>
      <w:r>
        <w:rPr>
          <w:color w:val="231F20"/>
          <w:spacing w:val="-16"/>
          <w:w w:val="105"/>
        </w:rPr>
        <w:t> </w:t>
      </w:r>
      <w:r>
        <w:rPr>
          <w:color w:val="231F20"/>
          <w:w w:val="105"/>
        </w:rPr>
        <w:t>y</w:t>
      </w:r>
      <w:r>
        <w:rPr>
          <w:color w:val="231F20"/>
          <w:spacing w:val="-16"/>
          <w:w w:val="105"/>
        </w:rPr>
        <w:t> </w:t>
      </w:r>
      <w:r>
        <w:rPr>
          <w:color w:val="231F20"/>
          <w:w w:val="105"/>
        </w:rPr>
        <w:t>Moreno</w:t>
      </w:r>
      <w:r>
        <w:rPr>
          <w:color w:val="231F20"/>
          <w:spacing w:val="-16"/>
          <w:w w:val="105"/>
        </w:rPr>
        <w:t> </w:t>
      </w:r>
      <w:r>
        <w:rPr>
          <w:color w:val="231F20"/>
          <w:w w:val="105"/>
        </w:rPr>
        <w:t>(2006)</w:t>
      </w:r>
      <w:r>
        <w:rPr>
          <w:color w:val="231F20"/>
          <w:spacing w:val="-16"/>
          <w:w w:val="105"/>
        </w:rPr>
        <w:t> </w:t>
      </w:r>
      <w:r>
        <w:rPr>
          <w:color w:val="231F20"/>
          <w:w w:val="105"/>
        </w:rPr>
        <w:t>coinciden</w:t>
      </w:r>
      <w:r>
        <w:rPr>
          <w:color w:val="231F20"/>
          <w:spacing w:val="-16"/>
          <w:w w:val="105"/>
        </w:rPr>
        <w:t> </w:t>
      </w:r>
      <w:r>
        <w:rPr>
          <w:color w:val="231F20"/>
          <w:w w:val="105"/>
        </w:rPr>
        <w:t>en</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toma</w:t>
      </w:r>
      <w:r>
        <w:rPr>
          <w:color w:val="231F20"/>
          <w:spacing w:val="-16"/>
          <w:w w:val="105"/>
        </w:rPr>
        <w:t> </w:t>
      </w:r>
      <w:r>
        <w:rPr>
          <w:color w:val="231F20"/>
          <w:w w:val="105"/>
        </w:rPr>
        <w:t>de decisiones</w:t>
      </w:r>
      <w:r>
        <w:rPr>
          <w:color w:val="231F20"/>
          <w:spacing w:val="-15"/>
          <w:w w:val="105"/>
        </w:rPr>
        <w:t> </w:t>
      </w:r>
      <w:r>
        <w:rPr>
          <w:color w:val="231F20"/>
          <w:w w:val="105"/>
        </w:rPr>
        <w:t>y</w:t>
      </w:r>
      <w:r>
        <w:rPr>
          <w:color w:val="231F20"/>
          <w:spacing w:val="-15"/>
          <w:w w:val="105"/>
        </w:rPr>
        <w:t> </w:t>
      </w:r>
      <w:r>
        <w:rPr>
          <w:color w:val="231F20"/>
          <w:w w:val="105"/>
        </w:rPr>
        <w:t>manejo</w:t>
      </w:r>
      <w:r>
        <w:rPr>
          <w:color w:val="231F20"/>
          <w:spacing w:val="-15"/>
          <w:w w:val="105"/>
        </w:rPr>
        <w:t> </w:t>
      </w:r>
      <w:r>
        <w:rPr>
          <w:color w:val="231F20"/>
          <w:w w:val="105"/>
        </w:rPr>
        <w:t>de</w:t>
      </w:r>
      <w:r>
        <w:rPr>
          <w:color w:val="231F20"/>
          <w:spacing w:val="-15"/>
          <w:w w:val="105"/>
        </w:rPr>
        <w:t> </w:t>
      </w:r>
      <w:r>
        <w:rPr>
          <w:color w:val="231F20"/>
          <w:w w:val="105"/>
        </w:rPr>
        <w:t>recursos</w:t>
      </w:r>
      <w:r>
        <w:rPr>
          <w:color w:val="231F20"/>
          <w:spacing w:val="-15"/>
          <w:w w:val="105"/>
        </w:rPr>
        <w:t> </w:t>
      </w:r>
      <w:r>
        <w:rPr>
          <w:color w:val="231F20"/>
          <w:w w:val="105"/>
        </w:rPr>
        <w:t>ejercidos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gobierno</w:t>
      </w:r>
      <w:r>
        <w:rPr>
          <w:color w:val="231F20"/>
          <w:spacing w:val="-15"/>
          <w:w w:val="105"/>
        </w:rPr>
        <w:t> </w:t>
      </w:r>
      <w:r>
        <w:rPr>
          <w:color w:val="231F20"/>
          <w:w w:val="105"/>
        </w:rPr>
        <w:t>federal,</w:t>
      </w:r>
      <w:r>
        <w:rPr>
          <w:color w:val="231F20"/>
          <w:spacing w:val="-21"/>
          <w:w w:val="105"/>
        </w:rPr>
        <w:t> </w:t>
      </w:r>
      <w:r>
        <w:rPr>
          <w:color w:val="231F20"/>
          <w:w w:val="105"/>
        </w:rPr>
        <w:t>limita la autonomía</w:t>
      </w:r>
      <w:r>
        <w:rPr>
          <w:color w:val="231F20"/>
          <w:spacing w:val="-38"/>
          <w:w w:val="105"/>
        </w:rPr>
        <w:t> </w:t>
      </w:r>
      <w:r>
        <w:rPr>
          <w:color w:val="231F20"/>
          <w:w w:val="105"/>
        </w:rPr>
        <w:t>municipal.</w:t>
      </w:r>
    </w:p>
    <w:p>
      <w:pPr>
        <w:pStyle w:val="BodyText"/>
        <w:spacing w:line="259" w:lineRule="auto"/>
        <w:ind w:left="103" w:right="115" w:firstLine="567"/>
        <w:jc w:val="both"/>
      </w:pPr>
      <w:r>
        <w:rPr>
          <w:color w:val="231F20"/>
          <w:w w:val="105"/>
        </w:rPr>
        <w:t>La clasificación municipal en México ha sido de gran interés</w:t>
      </w:r>
      <w:r>
        <w:rPr>
          <w:color w:val="231F20"/>
          <w:spacing w:val="-18"/>
          <w:w w:val="105"/>
        </w:rPr>
        <w:t> </w:t>
      </w:r>
      <w:r>
        <w:rPr>
          <w:color w:val="231F20"/>
          <w:w w:val="105"/>
        </w:rPr>
        <w:t>para los</w:t>
      </w:r>
      <w:r>
        <w:rPr>
          <w:color w:val="231F20"/>
          <w:spacing w:val="-17"/>
          <w:w w:val="105"/>
        </w:rPr>
        <w:t> </w:t>
      </w:r>
      <w:r>
        <w:rPr>
          <w:color w:val="231F20"/>
          <w:w w:val="105"/>
        </w:rPr>
        <w:t>estudiosos</w:t>
      </w:r>
      <w:r>
        <w:rPr>
          <w:color w:val="231F20"/>
          <w:spacing w:val="-17"/>
          <w:w w:val="105"/>
        </w:rPr>
        <w:t> </w:t>
      </w:r>
      <w:r>
        <w:rPr>
          <w:color w:val="231F20"/>
          <w:w w:val="105"/>
        </w:rPr>
        <w:t>del</w:t>
      </w:r>
      <w:r>
        <w:rPr>
          <w:color w:val="231F20"/>
          <w:spacing w:val="-17"/>
          <w:w w:val="105"/>
        </w:rPr>
        <w:t> </w:t>
      </w:r>
      <w:r>
        <w:rPr>
          <w:color w:val="231F20"/>
          <w:w w:val="105"/>
        </w:rPr>
        <w:t>tema</w:t>
      </w:r>
      <w:r>
        <w:rPr>
          <w:color w:val="231F20"/>
          <w:spacing w:val="-17"/>
          <w:w w:val="105"/>
        </w:rPr>
        <w:t> </w:t>
      </w:r>
      <w:r>
        <w:rPr>
          <w:color w:val="231F20"/>
          <w:w w:val="105"/>
        </w:rPr>
        <w:t>(Martínez,</w:t>
      </w:r>
      <w:r>
        <w:rPr>
          <w:color w:val="231F20"/>
          <w:spacing w:val="-23"/>
          <w:w w:val="105"/>
        </w:rPr>
        <w:t> </w:t>
      </w:r>
      <w:r>
        <w:rPr>
          <w:color w:val="231F20"/>
          <w:w w:val="105"/>
        </w:rPr>
        <w:t>1992),</w:t>
      </w:r>
      <w:r>
        <w:rPr>
          <w:color w:val="231F20"/>
          <w:spacing w:val="-23"/>
          <w:w w:val="105"/>
        </w:rPr>
        <w:t> </w:t>
      </w:r>
      <w:r>
        <w:rPr>
          <w:color w:val="231F20"/>
          <w:w w:val="105"/>
        </w:rPr>
        <w:t>debido</w:t>
      </w:r>
      <w:r>
        <w:rPr>
          <w:color w:val="231F20"/>
          <w:spacing w:val="-17"/>
          <w:w w:val="105"/>
        </w:rPr>
        <w:t> </w:t>
      </w:r>
      <w:r>
        <w:rPr>
          <w:color w:val="231F20"/>
          <w:w w:val="105"/>
        </w:rPr>
        <w:t>a</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enfoques</w:t>
      </w:r>
      <w:r>
        <w:rPr>
          <w:color w:val="231F20"/>
          <w:spacing w:val="-17"/>
          <w:w w:val="105"/>
        </w:rPr>
        <w:t> </w:t>
      </w:r>
      <w:r>
        <w:rPr>
          <w:color w:val="231F20"/>
          <w:w w:val="105"/>
        </w:rPr>
        <w:t>son muy</w:t>
      </w:r>
      <w:r>
        <w:rPr>
          <w:color w:val="231F20"/>
          <w:spacing w:val="-19"/>
          <w:w w:val="105"/>
        </w:rPr>
        <w:t> </w:t>
      </w:r>
      <w:r>
        <w:rPr>
          <w:color w:val="231F20"/>
          <w:w w:val="105"/>
        </w:rPr>
        <w:t>diversos.</w:t>
      </w:r>
      <w:r>
        <w:rPr>
          <w:color w:val="231F20"/>
          <w:spacing w:val="-24"/>
          <w:w w:val="105"/>
        </w:rPr>
        <w:t> </w:t>
      </w:r>
      <w:r>
        <w:rPr>
          <w:color w:val="231F20"/>
          <w:w w:val="105"/>
        </w:rPr>
        <w:t>Esta</w:t>
      </w:r>
      <w:r>
        <w:rPr>
          <w:color w:val="231F20"/>
          <w:spacing w:val="-19"/>
          <w:w w:val="105"/>
        </w:rPr>
        <w:t> </w:t>
      </w:r>
      <w:r>
        <w:rPr>
          <w:color w:val="231F20"/>
          <w:w w:val="105"/>
        </w:rPr>
        <w:t>situación</w:t>
      </w:r>
      <w:r>
        <w:rPr>
          <w:color w:val="231F20"/>
          <w:spacing w:val="-19"/>
          <w:w w:val="105"/>
        </w:rPr>
        <w:t> </w:t>
      </w:r>
      <w:r>
        <w:rPr>
          <w:color w:val="231F20"/>
          <w:w w:val="105"/>
        </w:rPr>
        <w:t>refleja</w:t>
      </w:r>
      <w:r>
        <w:rPr>
          <w:color w:val="231F20"/>
          <w:spacing w:val="-19"/>
          <w:w w:val="105"/>
        </w:rPr>
        <w:t> </w:t>
      </w:r>
      <w:r>
        <w:rPr>
          <w:color w:val="231F20"/>
          <w:w w:val="105"/>
        </w:rPr>
        <w:t>disfuncionalidad</w:t>
      </w:r>
      <w:r>
        <w:rPr>
          <w:color w:val="231F20"/>
          <w:spacing w:val="-19"/>
          <w:w w:val="105"/>
        </w:rPr>
        <w:t> </w:t>
      </w:r>
      <w:r>
        <w:rPr>
          <w:color w:val="231F20"/>
          <w:w w:val="105"/>
        </w:rPr>
        <w:t>o</w:t>
      </w:r>
      <w:r>
        <w:rPr>
          <w:color w:val="231F20"/>
          <w:spacing w:val="-19"/>
          <w:w w:val="105"/>
        </w:rPr>
        <w:t> </w:t>
      </w:r>
      <w:r>
        <w:rPr>
          <w:color w:val="231F20"/>
          <w:w w:val="105"/>
        </w:rPr>
        <w:t>coordinación</w:t>
      </w:r>
      <w:r>
        <w:rPr>
          <w:color w:val="231F20"/>
          <w:spacing w:val="-19"/>
          <w:w w:val="105"/>
        </w:rPr>
        <w:t> </w:t>
      </w:r>
      <w:r>
        <w:rPr>
          <w:color w:val="231F20"/>
          <w:w w:val="105"/>
        </w:rPr>
        <w:t>limi-</w:t>
      </w:r>
    </w:p>
    <w:p>
      <w:pPr>
        <w:pStyle w:val="BodyText"/>
        <w:rPr>
          <w:sz w:val="20"/>
        </w:rPr>
      </w:pPr>
    </w:p>
    <w:p>
      <w:pPr>
        <w:pStyle w:val="BodyText"/>
        <w:rPr>
          <w:sz w:val="20"/>
        </w:rPr>
      </w:pPr>
    </w:p>
    <w:p>
      <w:pPr>
        <w:pStyle w:val="BodyText"/>
        <w:spacing w:before="9"/>
        <w:rPr>
          <w:sz w:val="18"/>
        </w:rPr>
      </w:pPr>
    </w:p>
    <w:p>
      <w:pPr>
        <w:tabs>
          <w:tab w:pos="1317" w:val="left" w:leader="none"/>
        </w:tabs>
        <w:spacing w:before="1"/>
        <w:ind w:left="267" w:right="17" w:firstLine="0"/>
        <w:jc w:val="left"/>
        <w:rPr>
          <w:rFonts w:ascii="Calibri" w:hAnsi="Calibri"/>
          <w:sz w:val="15"/>
        </w:rPr>
      </w:pPr>
      <w:r>
        <w:rPr/>
        <w:pict>
          <v:group style="position:absolute;margin-left:101.817299pt;margin-top:-20.249887pt;width:17.850pt;height:56.5pt;mso-position-horizontal-relative:page;mso-position-vertical-relative:paragraph;z-index:-245248" coordorigin="2036,-405" coordsize="357,1130">
            <v:line style="position:absolute" from="2211,5" to="2211,721" stroked="true" strokeweight=".3pt" strokecolor="#231f20"/>
            <v:shape style="position:absolute;left:2036;top:-231;width:356;height:609" type="#_x0000_t75" stroked="false">
              <v:imagedata r:id="rId18" o:title=""/>
            </v:shape>
            <v:shape style="position:absolute;left:2036;top:-405;width:356;height:783" type="#_x0000_t75" stroked="false">
              <v:imagedata r:id="rId19" o:title=""/>
            </v:shape>
            <w10:wrap type="none"/>
          </v:group>
        </w:pict>
      </w:r>
      <w:r>
        <w:rPr>
          <w:color w:val="414042"/>
          <w:w w:val="105"/>
          <w:position w:val="-5"/>
          <w:sz w:val="20"/>
        </w:rPr>
        <w:t>68</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5224"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69</w:t>
      </w:r>
    </w:p>
    <w:p>
      <w:pPr>
        <w:pStyle w:val="BodyText"/>
        <w:spacing w:line="259" w:lineRule="auto" w:before="579"/>
        <w:ind w:left="117" w:right="121"/>
        <w:jc w:val="both"/>
      </w:pPr>
      <w:r>
        <w:rPr>
          <w:color w:val="231F20"/>
          <w:w w:val="105"/>
        </w:rPr>
        <w:t>tada</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programas</w:t>
      </w:r>
      <w:r>
        <w:rPr>
          <w:color w:val="231F20"/>
          <w:spacing w:val="-13"/>
          <w:w w:val="105"/>
        </w:rPr>
        <w:t> </w:t>
      </w:r>
      <w:r>
        <w:rPr>
          <w:color w:val="231F20"/>
          <w:w w:val="105"/>
        </w:rPr>
        <w:t>de</w:t>
      </w:r>
      <w:r>
        <w:rPr>
          <w:color w:val="231F20"/>
          <w:spacing w:val="-13"/>
          <w:w w:val="105"/>
        </w:rPr>
        <w:t> </w:t>
      </w:r>
      <w:r>
        <w:rPr>
          <w:color w:val="231F20"/>
          <w:w w:val="105"/>
        </w:rPr>
        <w:t>apoyo</w:t>
      </w:r>
      <w:r>
        <w:rPr>
          <w:color w:val="231F20"/>
          <w:spacing w:val="-13"/>
          <w:w w:val="105"/>
        </w:rPr>
        <w:t> </w:t>
      </w:r>
      <w:r>
        <w:rPr>
          <w:color w:val="231F20"/>
          <w:w w:val="105"/>
        </w:rPr>
        <w:t>al</w:t>
      </w:r>
      <w:r>
        <w:rPr>
          <w:color w:val="231F20"/>
          <w:spacing w:val="-13"/>
          <w:w w:val="105"/>
        </w:rPr>
        <w:t> </w:t>
      </w:r>
      <w:r>
        <w:rPr>
          <w:color w:val="231F20"/>
          <w:w w:val="105"/>
        </w:rPr>
        <w:t>municipio,</w:t>
      </w:r>
      <w:r>
        <w:rPr>
          <w:color w:val="231F20"/>
          <w:spacing w:val="-18"/>
          <w:w w:val="105"/>
        </w:rPr>
        <w:t> </w:t>
      </w:r>
      <w:r>
        <w:rPr>
          <w:color w:val="231F20"/>
          <w:w w:val="105"/>
        </w:rPr>
        <w:t>cuando</w:t>
      </w:r>
      <w:r>
        <w:rPr>
          <w:color w:val="231F20"/>
          <w:spacing w:val="-13"/>
          <w:w w:val="105"/>
        </w:rPr>
        <w:t> </w:t>
      </w:r>
      <w:r>
        <w:rPr>
          <w:color w:val="231F20"/>
          <w:w w:val="105"/>
        </w:rPr>
        <w:t>son</w:t>
      </w:r>
      <w:r>
        <w:rPr>
          <w:color w:val="231F20"/>
          <w:spacing w:val="-13"/>
          <w:w w:val="105"/>
        </w:rPr>
        <w:t> </w:t>
      </w:r>
      <w:r>
        <w:rPr>
          <w:color w:val="231F20"/>
          <w:w w:val="105"/>
        </w:rPr>
        <w:t>ejecutados o</w:t>
      </w:r>
      <w:r>
        <w:rPr>
          <w:color w:val="231F20"/>
          <w:spacing w:val="-11"/>
          <w:w w:val="105"/>
        </w:rPr>
        <w:t> </w:t>
      </w:r>
      <w:r>
        <w:rPr>
          <w:color w:val="231F20"/>
          <w:w w:val="105"/>
        </w:rPr>
        <w:t>coordinados</w:t>
      </w:r>
      <w:r>
        <w:rPr>
          <w:color w:val="231F20"/>
          <w:spacing w:val="-11"/>
          <w:w w:val="105"/>
        </w:rPr>
        <w:t> </w:t>
      </w:r>
      <w:r>
        <w:rPr>
          <w:color w:val="231F20"/>
          <w:w w:val="105"/>
        </w:rPr>
        <w:t>por</w:t>
      </w:r>
      <w:r>
        <w:rPr>
          <w:color w:val="231F20"/>
          <w:spacing w:val="-11"/>
          <w:w w:val="105"/>
        </w:rPr>
        <w:t> </w:t>
      </w:r>
      <w:r>
        <w:rPr>
          <w:color w:val="231F20"/>
          <w:w w:val="105"/>
        </w:rPr>
        <w:t>dependencias</w:t>
      </w:r>
      <w:r>
        <w:rPr>
          <w:color w:val="231F20"/>
          <w:spacing w:val="-11"/>
          <w:w w:val="105"/>
        </w:rPr>
        <w:t> </w:t>
      </w:r>
      <w:r>
        <w:rPr>
          <w:color w:val="231F20"/>
          <w:w w:val="105"/>
        </w:rPr>
        <w:t>del</w:t>
      </w:r>
      <w:r>
        <w:rPr>
          <w:color w:val="231F20"/>
          <w:spacing w:val="-11"/>
          <w:w w:val="105"/>
        </w:rPr>
        <w:t> </w:t>
      </w:r>
      <w:r>
        <w:rPr>
          <w:color w:val="231F20"/>
          <w:w w:val="105"/>
        </w:rPr>
        <w:t>gobierno</w:t>
      </w:r>
      <w:r>
        <w:rPr>
          <w:color w:val="231F20"/>
          <w:spacing w:val="-11"/>
          <w:w w:val="105"/>
        </w:rPr>
        <w:t> </w:t>
      </w:r>
      <w:r>
        <w:rPr>
          <w:color w:val="231F20"/>
          <w:w w:val="105"/>
        </w:rPr>
        <w:t>federal</w:t>
      </w:r>
      <w:r>
        <w:rPr>
          <w:color w:val="231F20"/>
          <w:spacing w:val="-11"/>
          <w:w w:val="105"/>
        </w:rPr>
        <w:t> </w:t>
      </w:r>
      <w:r>
        <w:rPr>
          <w:color w:val="231F20"/>
          <w:w w:val="105"/>
        </w:rPr>
        <w:t>o</w:t>
      </w:r>
      <w:r>
        <w:rPr>
          <w:color w:val="231F20"/>
          <w:spacing w:val="-11"/>
          <w:w w:val="105"/>
        </w:rPr>
        <w:t> </w:t>
      </w:r>
      <w:r>
        <w:rPr>
          <w:color w:val="231F20"/>
          <w:w w:val="105"/>
        </w:rPr>
        <w:t>estatal.</w:t>
      </w:r>
      <w:r>
        <w:rPr>
          <w:color w:val="231F20"/>
          <w:spacing w:val="-18"/>
          <w:w w:val="105"/>
        </w:rPr>
        <w:t> </w:t>
      </w:r>
      <w:r>
        <w:rPr>
          <w:color w:val="231F20"/>
          <w:w w:val="105"/>
        </w:rPr>
        <w:t>Una</w:t>
      </w:r>
      <w:r>
        <w:rPr>
          <w:color w:val="231F20"/>
          <w:spacing w:val="-11"/>
          <w:w w:val="105"/>
        </w:rPr>
        <w:t> </w:t>
      </w:r>
      <w:r>
        <w:rPr>
          <w:color w:val="231F20"/>
          <w:w w:val="105"/>
        </w:rPr>
        <w:t>for- ma</w:t>
      </w:r>
      <w:r>
        <w:rPr>
          <w:color w:val="231F20"/>
          <w:spacing w:val="-21"/>
          <w:w w:val="105"/>
        </w:rPr>
        <w:t> </w:t>
      </w:r>
      <w:r>
        <w:rPr>
          <w:color w:val="231F20"/>
          <w:w w:val="105"/>
        </w:rPr>
        <w:t>de</w:t>
      </w:r>
      <w:r>
        <w:rPr>
          <w:color w:val="231F20"/>
          <w:spacing w:val="-21"/>
          <w:w w:val="105"/>
        </w:rPr>
        <w:t> </w:t>
      </w:r>
      <w:r>
        <w:rPr>
          <w:color w:val="231F20"/>
          <w:w w:val="105"/>
        </w:rPr>
        <w:t>clasificar</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municipios</w:t>
      </w:r>
      <w:r>
        <w:rPr>
          <w:color w:val="231F20"/>
          <w:spacing w:val="-21"/>
          <w:w w:val="105"/>
        </w:rPr>
        <w:t> </w:t>
      </w:r>
      <w:r>
        <w:rPr>
          <w:color w:val="231F20"/>
          <w:w w:val="105"/>
        </w:rPr>
        <w:t>que</w:t>
      </w:r>
      <w:r>
        <w:rPr>
          <w:color w:val="231F20"/>
          <w:spacing w:val="-21"/>
          <w:w w:val="105"/>
        </w:rPr>
        <w:t> </w:t>
      </w:r>
      <w:r>
        <w:rPr>
          <w:color w:val="231F20"/>
          <w:w w:val="105"/>
        </w:rPr>
        <w:t>plantea</w:t>
      </w:r>
      <w:r>
        <w:rPr>
          <w:color w:val="231F20"/>
          <w:spacing w:val="-21"/>
          <w:w w:val="105"/>
        </w:rPr>
        <w:t> </w:t>
      </w:r>
      <w:r>
        <w:rPr>
          <w:color w:val="231F20"/>
          <w:w w:val="105"/>
        </w:rPr>
        <w:t>Gustavo</w:t>
      </w:r>
      <w:r>
        <w:rPr>
          <w:color w:val="231F20"/>
          <w:spacing w:val="-21"/>
          <w:w w:val="105"/>
        </w:rPr>
        <w:t> </w:t>
      </w:r>
      <w:r>
        <w:rPr>
          <w:color w:val="231F20"/>
          <w:w w:val="105"/>
        </w:rPr>
        <w:t>Martínez</w:t>
      </w:r>
      <w:r>
        <w:rPr>
          <w:color w:val="231F20"/>
          <w:spacing w:val="-21"/>
          <w:w w:val="105"/>
        </w:rPr>
        <w:t> </w:t>
      </w:r>
      <w:r>
        <w:rPr>
          <w:color w:val="231F20"/>
          <w:w w:val="105"/>
        </w:rPr>
        <w:t>Cabañas en</w:t>
      </w:r>
      <w:r>
        <w:rPr>
          <w:color w:val="231F20"/>
          <w:spacing w:val="-10"/>
          <w:w w:val="105"/>
        </w:rPr>
        <w:t> </w:t>
      </w:r>
      <w:r>
        <w:rPr>
          <w:color w:val="231F20"/>
          <w:w w:val="105"/>
        </w:rPr>
        <w:t>su</w:t>
      </w:r>
      <w:r>
        <w:rPr>
          <w:color w:val="231F20"/>
          <w:spacing w:val="-10"/>
          <w:w w:val="105"/>
        </w:rPr>
        <w:t> </w:t>
      </w:r>
      <w:r>
        <w:rPr>
          <w:color w:val="231F20"/>
          <w:w w:val="105"/>
        </w:rPr>
        <w:t>libro</w:t>
      </w:r>
      <w:r>
        <w:rPr>
          <w:color w:val="231F20"/>
          <w:spacing w:val="-10"/>
          <w:w w:val="105"/>
        </w:rPr>
        <w:t> </w:t>
      </w:r>
      <w:r>
        <w:rPr>
          <w:i/>
          <w:color w:val="231F20"/>
          <w:w w:val="105"/>
        </w:rPr>
        <w:t>La</w:t>
      </w:r>
      <w:r>
        <w:rPr>
          <w:i/>
          <w:color w:val="231F20"/>
          <w:spacing w:val="-13"/>
          <w:w w:val="105"/>
        </w:rPr>
        <w:t> </w:t>
      </w:r>
      <w:r>
        <w:rPr>
          <w:i/>
          <w:color w:val="231F20"/>
          <w:w w:val="105"/>
        </w:rPr>
        <w:t>Administración</w:t>
      </w:r>
      <w:r>
        <w:rPr>
          <w:i/>
          <w:color w:val="231F20"/>
          <w:spacing w:val="-10"/>
          <w:w w:val="105"/>
        </w:rPr>
        <w:t> </w:t>
      </w:r>
      <w:r>
        <w:rPr>
          <w:i/>
          <w:color w:val="231F20"/>
          <w:w w:val="105"/>
        </w:rPr>
        <w:t>Estatal</w:t>
      </w:r>
      <w:r>
        <w:rPr>
          <w:i/>
          <w:color w:val="231F20"/>
          <w:spacing w:val="-10"/>
          <w:w w:val="105"/>
        </w:rPr>
        <w:t> </w:t>
      </w:r>
      <w:r>
        <w:rPr>
          <w:i/>
          <w:color w:val="231F20"/>
          <w:w w:val="105"/>
        </w:rPr>
        <w:t>y</w:t>
      </w:r>
      <w:r>
        <w:rPr>
          <w:i/>
          <w:color w:val="231F20"/>
          <w:spacing w:val="-10"/>
          <w:w w:val="105"/>
        </w:rPr>
        <w:t> </w:t>
      </w:r>
      <w:r>
        <w:rPr>
          <w:i/>
          <w:color w:val="231F20"/>
          <w:w w:val="105"/>
        </w:rPr>
        <w:t>Municipal</w:t>
      </w:r>
      <w:r>
        <w:rPr>
          <w:i/>
          <w:color w:val="231F20"/>
          <w:spacing w:val="-10"/>
          <w:w w:val="105"/>
        </w:rPr>
        <w:t> </w:t>
      </w:r>
      <w:r>
        <w:rPr>
          <w:i/>
          <w:color w:val="231F20"/>
          <w:w w:val="105"/>
        </w:rPr>
        <w:t>de</w:t>
      </w:r>
      <w:r>
        <w:rPr>
          <w:i/>
          <w:color w:val="231F20"/>
          <w:spacing w:val="-10"/>
          <w:w w:val="105"/>
        </w:rPr>
        <w:t> </w:t>
      </w:r>
      <w:r>
        <w:rPr>
          <w:i/>
          <w:color w:val="231F20"/>
          <w:w w:val="105"/>
        </w:rPr>
        <w:t>México</w:t>
      </w:r>
      <w:r>
        <w:rPr>
          <w:i/>
          <w:color w:val="231F20"/>
          <w:spacing w:val="-10"/>
          <w:w w:val="105"/>
        </w:rPr>
        <w:t> </w:t>
      </w:r>
      <w:r>
        <w:rPr>
          <w:color w:val="231F20"/>
          <w:w w:val="105"/>
        </w:rPr>
        <w:t>(1992)</w:t>
      </w:r>
      <w:r>
        <w:rPr>
          <w:color w:val="231F20"/>
          <w:spacing w:val="-10"/>
          <w:w w:val="105"/>
        </w:rPr>
        <w:t> </w:t>
      </w:r>
      <w:r>
        <w:rPr>
          <w:color w:val="231F20"/>
          <w:w w:val="105"/>
        </w:rPr>
        <w:t>es</w:t>
      </w:r>
      <w:r>
        <w:rPr>
          <w:color w:val="231F20"/>
          <w:spacing w:val="-10"/>
          <w:w w:val="105"/>
        </w:rPr>
        <w:t> </w:t>
      </w:r>
      <w:r>
        <w:rPr>
          <w:color w:val="231F20"/>
          <w:w w:val="105"/>
        </w:rPr>
        <w:t>la de</w:t>
      </w:r>
      <w:r>
        <w:rPr>
          <w:color w:val="231F20"/>
          <w:spacing w:val="-19"/>
          <w:w w:val="105"/>
        </w:rPr>
        <w:t> </w:t>
      </w:r>
      <w:r>
        <w:rPr>
          <w:color w:val="231F20"/>
          <w:w w:val="105"/>
        </w:rPr>
        <w:t>municipios</w:t>
      </w:r>
      <w:r>
        <w:rPr>
          <w:color w:val="231F20"/>
          <w:spacing w:val="-19"/>
          <w:w w:val="105"/>
        </w:rPr>
        <w:t> </w:t>
      </w:r>
      <w:r>
        <w:rPr>
          <w:color w:val="231F20"/>
          <w:w w:val="105"/>
        </w:rPr>
        <w:t>metropolitanos,</w:t>
      </w:r>
      <w:r>
        <w:rPr>
          <w:color w:val="231F20"/>
          <w:spacing w:val="-25"/>
          <w:w w:val="105"/>
        </w:rPr>
        <w:t> </w:t>
      </w:r>
      <w:r>
        <w:rPr>
          <w:color w:val="231F20"/>
          <w:w w:val="105"/>
        </w:rPr>
        <w:t>urbanos,</w:t>
      </w:r>
      <w:r>
        <w:rPr>
          <w:color w:val="231F20"/>
          <w:spacing w:val="-25"/>
          <w:w w:val="105"/>
        </w:rPr>
        <w:t> </w:t>
      </w:r>
      <w:r>
        <w:rPr>
          <w:color w:val="231F20"/>
          <w:w w:val="105"/>
        </w:rPr>
        <w:t>semiurbanos</w:t>
      </w:r>
      <w:r>
        <w:rPr>
          <w:color w:val="231F20"/>
          <w:spacing w:val="-19"/>
          <w:w w:val="105"/>
        </w:rPr>
        <w:t> </w:t>
      </w:r>
      <w:r>
        <w:rPr>
          <w:color w:val="231F20"/>
          <w:w w:val="105"/>
        </w:rPr>
        <w:t>y</w:t>
      </w:r>
      <w:r>
        <w:rPr>
          <w:color w:val="231F20"/>
          <w:spacing w:val="-19"/>
          <w:w w:val="105"/>
        </w:rPr>
        <w:t> </w:t>
      </w:r>
      <w:r>
        <w:rPr>
          <w:color w:val="231F20"/>
          <w:w w:val="105"/>
        </w:rPr>
        <w:t>rurales</w:t>
      </w:r>
      <w:r>
        <w:rPr>
          <w:color w:val="231F20"/>
          <w:spacing w:val="-19"/>
          <w:w w:val="105"/>
        </w:rPr>
        <w:t> </w:t>
      </w:r>
      <w:r>
        <w:rPr>
          <w:color w:val="231F20"/>
          <w:w w:val="105"/>
        </w:rPr>
        <w:t>(figura</w:t>
      </w:r>
      <w:r>
        <w:rPr>
          <w:color w:val="231F20"/>
          <w:spacing w:val="-19"/>
          <w:w w:val="105"/>
        </w:rPr>
        <w:t> </w:t>
      </w:r>
      <w:r>
        <w:rPr>
          <w:color w:val="231F20"/>
          <w:w w:val="105"/>
        </w:rPr>
        <w:t>1).</w:t>
      </w:r>
    </w:p>
    <w:p>
      <w:pPr>
        <w:spacing w:before="244"/>
        <w:ind w:left="343" w:right="114" w:firstLine="0"/>
        <w:jc w:val="left"/>
        <w:rPr>
          <w:sz w:val="18"/>
        </w:rPr>
      </w:pPr>
      <w:r>
        <w:rPr>
          <w:color w:val="231F20"/>
          <w:sz w:val="18"/>
        </w:rPr>
        <w:t>Figura 1. Características y problemática de los municipios de acuerdo a su tipo</w:t>
      </w:r>
    </w:p>
    <w:p>
      <w:pPr>
        <w:pStyle w:val="BodyText"/>
        <w:spacing w:before="5"/>
        <w:rPr>
          <w:sz w:val="13"/>
        </w:rPr>
      </w:pPr>
    </w:p>
    <w:tbl>
      <w:tblPr>
        <w:tblW w:w="0" w:type="auto"/>
        <w:jc w:val="left"/>
        <w:tblInd w:w="11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69"/>
        <w:gridCol w:w="3011"/>
        <w:gridCol w:w="2438"/>
      </w:tblGrid>
      <w:tr>
        <w:trPr>
          <w:trHeight w:val="556" w:hRule="exact"/>
        </w:trPr>
        <w:tc>
          <w:tcPr>
            <w:tcW w:w="1469" w:type="dxa"/>
          </w:tcPr>
          <w:p>
            <w:pPr>
              <w:pStyle w:val="TableParagraph"/>
              <w:spacing w:line="249" w:lineRule="auto" w:before="88"/>
              <w:ind w:left="285" w:right="265" w:firstLine="132"/>
              <w:rPr>
                <w:sz w:val="18"/>
              </w:rPr>
            </w:pPr>
            <w:r>
              <w:rPr>
                <w:color w:val="231F20"/>
                <w:w w:val="105"/>
                <w:sz w:val="18"/>
              </w:rPr>
              <w:t>Tipo de municipios</w:t>
            </w:r>
          </w:p>
        </w:tc>
        <w:tc>
          <w:tcPr>
            <w:tcW w:w="3011" w:type="dxa"/>
          </w:tcPr>
          <w:p>
            <w:pPr>
              <w:pStyle w:val="TableParagraph"/>
              <w:spacing w:before="1"/>
              <w:rPr>
                <w:sz w:val="17"/>
              </w:rPr>
            </w:pPr>
          </w:p>
          <w:p>
            <w:pPr>
              <w:pStyle w:val="TableParagraph"/>
              <w:ind w:left="910"/>
              <w:rPr>
                <w:sz w:val="18"/>
              </w:rPr>
            </w:pPr>
            <w:r>
              <w:rPr>
                <w:color w:val="231F20"/>
                <w:sz w:val="18"/>
              </w:rPr>
              <w:t>Características</w:t>
            </w:r>
          </w:p>
        </w:tc>
        <w:tc>
          <w:tcPr>
            <w:tcW w:w="2438" w:type="dxa"/>
          </w:tcPr>
          <w:p>
            <w:pPr>
              <w:pStyle w:val="TableParagraph"/>
              <w:spacing w:before="1"/>
              <w:rPr>
                <w:sz w:val="17"/>
              </w:rPr>
            </w:pPr>
          </w:p>
          <w:p>
            <w:pPr>
              <w:pStyle w:val="TableParagraph"/>
              <w:ind w:left="680" w:right="-17"/>
              <w:rPr>
                <w:sz w:val="18"/>
              </w:rPr>
            </w:pPr>
            <w:r>
              <w:rPr>
                <w:color w:val="231F20"/>
                <w:w w:val="105"/>
                <w:sz w:val="18"/>
              </w:rPr>
              <w:t>Problemática</w:t>
            </w:r>
          </w:p>
        </w:tc>
      </w:tr>
      <w:tr>
        <w:trPr>
          <w:trHeight w:val="1852" w:hRule="exact"/>
        </w:trPr>
        <w:tc>
          <w:tcPr>
            <w:tcW w:w="1469" w:type="dxa"/>
          </w:tcPr>
          <w:p>
            <w:pPr>
              <w:pStyle w:val="TableParagraph"/>
              <w:rPr>
                <w:sz w:val="18"/>
              </w:rPr>
            </w:pPr>
          </w:p>
          <w:p>
            <w:pPr>
              <w:pStyle w:val="TableParagraph"/>
              <w:rPr>
                <w:sz w:val="18"/>
              </w:rPr>
            </w:pPr>
          </w:p>
          <w:p>
            <w:pPr>
              <w:pStyle w:val="TableParagraph"/>
              <w:rPr>
                <w:sz w:val="18"/>
              </w:rPr>
            </w:pPr>
          </w:p>
          <w:p>
            <w:pPr>
              <w:pStyle w:val="TableParagraph"/>
              <w:spacing w:before="5"/>
              <w:rPr>
                <w:sz w:val="19"/>
              </w:rPr>
            </w:pPr>
          </w:p>
          <w:p>
            <w:pPr>
              <w:pStyle w:val="TableParagraph"/>
              <w:ind w:left="121"/>
              <w:rPr>
                <w:sz w:val="18"/>
              </w:rPr>
            </w:pPr>
            <w:r>
              <w:rPr>
                <w:color w:val="231F20"/>
                <w:w w:val="105"/>
                <w:sz w:val="18"/>
              </w:rPr>
              <w:t>Metropolitanos</w:t>
            </w:r>
          </w:p>
        </w:tc>
        <w:tc>
          <w:tcPr>
            <w:tcW w:w="3011" w:type="dxa"/>
          </w:tcPr>
          <w:p>
            <w:pPr>
              <w:pStyle w:val="TableParagraph"/>
              <w:numPr>
                <w:ilvl w:val="0"/>
                <w:numId w:val="28"/>
              </w:numPr>
              <w:tabs>
                <w:tab w:pos="305" w:val="left" w:leader="none"/>
              </w:tabs>
              <w:spacing w:line="249" w:lineRule="auto" w:before="88" w:after="0"/>
              <w:ind w:left="304" w:right="75" w:hanging="227"/>
              <w:jc w:val="both"/>
              <w:rPr>
                <w:sz w:val="18"/>
              </w:rPr>
            </w:pPr>
            <w:r>
              <w:rPr>
                <w:color w:val="231F20"/>
                <w:w w:val="105"/>
                <w:sz w:val="18"/>
              </w:rPr>
              <w:t>Ubicación</w:t>
            </w:r>
            <w:r>
              <w:rPr>
                <w:color w:val="231F20"/>
                <w:spacing w:val="-20"/>
                <w:w w:val="105"/>
                <w:sz w:val="18"/>
              </w:rPr>
              <w:t> </w:t>
            </w:r>
            <w:r>
              <w:rPr>
                <w:color w:val="231F20"/>
                <w:w w:val="105"/>
                <w:sz w:val="18"/>
              </w:rPr>
              <w:t>en</w:t>
            </w:r>
            <w:r>
              <w:rPr>
                <w:color w:val="231F20"/>
                <w:spacing w:val="-20"/>
                <w:w w:val="105"/>
                <w:sz w:val="18"/>
              </w:rPr>
              <w:t> </w:t>
            </w:r>
            <w:r>
              <w:rPr>
                <w:color w:val="231F20"/>
                <w:w w:val="105"/>
                <w:sz w:val="18"/>
              </w:rPr>
              <w:t>zonas</w:t>
            </w:r>
            <w:r>
              <w:rPr>
                <w:color w:val="231F20"/>
                <w:spacing w:val="-20"/>
                <w:w w:val="105"/>
                <w:sz w:val="18"/>
              </w:rPr>
              <w:t> </w:t>
            </w:r>
            <w:r>
              <w:rPr>
                <w:color w:val="231F20"/>
                <w:w w:val="105"/>
                <w:sz w:val="18"/>
              </w:rPr>
              <w:t>geográficas de mayor concentración</w:t>
            </w:r>
            <w:r>
              <w:rPr>
                <w:color w:val="231F20"/>
                <w:spacing w:val="-26"/>
                <w:w w:val="105"/>
                <w:sz w:val="18"/>
              </w:rPr>
              <w:t> </w:t>
            </w:r>
            <w:r>
              <w:rPr>
                <w:color w:val="231F20"/>
                <w:w w:val="105"/>
                <w:sz w:val="18"/>
              </w:rPr>
              <w:t>econó- mica</w:t>
            </w:r>
            <w:r>
              <w:rPr>
                <w:color w:val="231F20"/>
                <w:spacing w:val="-23"/>
                <w:w w:val="105"/>
                <w:sz w:val="18"/>
              </w:rPr>
              <w:t> </w:t>
            </w:r>
            <w:r>
              <w:rPr>
                <w:color w:val="231F20"/>
                <w:w w:val="105"/>
                <w:sz w:val="18"/>
              </w:rPr>
              <w:t>y</w:t>
            </w:r>
            <w:r>
              <w:rPr>
                <w:color w:val="231F20"/>
                <w:spacing w:val="-23"/>
                <w:w w:val="105"/>
                <w:sz w:val="18"/>
              </w:rPr>
              <w:t> </w:t>
            </w:r>
            <w:r>
              <w:rPr>
                <w:color w:val="231F20"/>
                <w:w w:val="105"/>
                <w:sz w:val="18"/>
              </w:rPr>
              <w:t>demográfica</w:t>
            </w:r>
            <w:r>
              <w:rPr>
                <w:color w:val="231F20"/>
                <w:spacing w:val="-23"/>
                <w:w w:val="105"/>
                <w:sz w:val="18"/>
              </w:rPr>
              <w:t> </w:t>
            </w:r>
            <w:r>
              <w:rPr>
                <w:color w:val="231F20"/>
                <w:w w:val="105"/>
                <w:sz w:val="18"/>
              </w:rPr>
              <w:t>del</w:t>
            </w:r>
            <w:r>
              <w:rPr>
                <w:color w:val="231F20"/>
                <w:spacing w:val="-23"/>
                <w:w w:val="105"/>
                <w:sz w:val="18"/>
              </w:rPr>
              <w:t> </w:t>
            </w:r>
            <w:r>
              <w:rPr>
                <w:color w:val="231F20"/>
                <w:w w:val="105"/>
                <w:sz w:val="18"/>
              </w:rPr>
              <w:t>país.</w:t>
            </w:r>
          </w:p>
          <w:p>
            <w:pPr>
              <w:pStyle w:val="TableParagraph"/>
              <w:numPr>
                <w:ilvl w:val="0"/>
                <w:numId w:val="28"/>
              </w:numPr>
              <w:tabs>
                <w:tab w:pos="305" w:val="left" w:leader="none"/>
              </w:tabs>
              <w:spacing w:line="249" w:lineRule="auto" w:before="1" w:after="0"/>
              <w:ind w:left="304" w:right="75" w:hanging="227"/>
              <w:jc w:val="both"/>
              <w:rPr>
                <w:sz w:val="18"/>
              </w:rPr>
            </w:pPr>
            <w:r>
              <w:rPr>
                <w:color w:val="231F20"/>
                <w:w w:val="105"/>
                <w:sz w:val="18"/>
              </w:rPr>
              <w:t>Alcanzan</w:t>
            </w:r>
            <w:r>
              <w:rPr>
                <w:color w:val="231F20"/>
                <w:spacing w:val="-20"/>
                <w:w w:val="105"/>
                <w:sz w:val="18"/>
              </w:rPr>
              <w:t> </w:t>
            </w:r>
            <w:r>
              <w:rPr>
                <w:color w:val="231F20"/>
                <w:w w:val="105"/>
                <w:sz w:val="18"/>
              </w:rPr>
              <w:t>un</w:t>
            </w:r>
            <w:r>
              <w:rPr>
                <w:color w:val="231F20"/>
                <w:spacing w:val="-20"/>
                <w:w w:val="105"/>
                <w:sz w:val="18"/>
              </w:rPr>
              <w:t> </w:t>
            </w:r>
            <w:r>
              <w:rPr>
                <w:color w:val="231F20"/>
                <w:w w:val="105"/>
                <w:sz w:val="18"/>
              </w:rPr>
              <w:t>alto</w:t>
            </w:r>
            <w:r>
              <w:rPr>
                <w:color w:val="231F20"/>
                <w:spacing w:val="-20"/>
                <w:w w:val="105"/>
                <w:sz w:val="18"/>
              </w:rPr>
              <w:t> </w:t>
            </w:r>
            <w:r>
              <w:rPr>
                <w:color w:val="231F20"/>
                <w:w w:val="105"/>
                <w:sz w:val="18"/>
              </w:rPr>
              <w:t>grado</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desa- rrollo</w:t>
            </w:r>
            <w:r>
              <w:rPr>
                <w:color w:val="231F20"/>
                <w:spacing w:val="-9"/>
                <w:w w:val="105"/>
                <w:sz w:val="18"/>
              </w:rPr>
              <w:t> </w:t>
            </w:r>
            <w:r>
              <w:rPr>
                <w:color w:val="231F20"/>
                <w:w w:val="105"/>
                <w:sz w:val="18"/>
              </w:rPr>
              <w:t>económico.</w:t>
            </w:r>
          </w:p>
          <w:p>
            <w:pPr>
              <w:pStyle w:val="TableParagraph"/>
              <w:numPr>
                <w:ilvl w:val="0"/>
                <w:numId w:val="28"/>
              </w:numPr>
              <w:tabs>
                <w:tab w:pos="305" w:val="left" w:leader="none"/>
              </w:tabs>
              <w:spacing w:line="249" w:lineRule="auto" w:before="1" w:after="0"/>
              <w:ind w:left="304" w:right="76" w:hanging="227"/>
              <w:jc w:val="both"/>
              <w:rPr>
                <w:sz w:val="18"/>
              </w:rPr>
            </w:pPr>
            <w:r>
              <w:rPr>
                <w:color w:val="231F20"/>
                <w:w w:val="105"/>
                <w:sz w:val="18"/>
              </w:rPr>
              <w:t>Desarrollan actividades</w:t>
            </w:r>
            <w:r>
              <w:rPr>
                <w:color w:val="231F20"/>
                <w:spacing w:val="-38"/>
                <w:w w:val="105"/>
                <w:sz w:val="18"/>
              </w:rPr>
              <w:t> </w:t>
            </w:r>
            <w:r>
              <w:rPr>
                <w:color w:val="231F20"/>
                <w:w w:val="105"/>
                <w:sz w:val="18"/>
              </w:rPr>
              <w:t>produc- tivas</w:t>
            </w:r>
            <w:r>
              <w:rPr>
                <w:color w:val="231F20"/>
                <w:spacing w:val="-20"/>
                <w:w w:val="105"/>
                <w:sz w:val="18"/>
              </w:rPr>
              <w:t> </w:t>
            </w:r>
            <w:r>
              <w:rPr>
                <w:color w:val="231F20"/>
                <w:w w:val="105"/>
                <w:sz w:val="18"/>
              </w:rPr>
              <w:t>principalmente</w:t>
            </w:r>
            <w:r>
              <w:rPr>
                <w:color w:val="231F20"/>
                <w:spacing w:val="-20"/>
                <w:w w:val="105"/>
                <w:sz w:val="18"/>
              </w:rPr>
              <w:t> </w:t>
            </w:r>
            <w:r>
              <w:rPr>
                <w:color w:val="231F20"/>
                <w:w w:val="105"/>
                <w:sz w:val="18"/>
              </w:rPr>
              <w:t>en</w:t>
            </w:r>
            <w:r>
              <w:rPr>
                <w:color w:val="231F20"/>
                <w:spacing w:val="-20"/>
                <w:w w:val="105"/>
                <w:sz w:val="18"/>
              </w:rPr>
              <w:t> </w:t>
            </w:r>
            <w:r>
              <w:rPr>
                <w:color w:val="231F20"/>
                <w:w w:val="105"/>
                <w:sz w:val="18"/>
              </w:rPr>
              <w:t>el</w:t>
            </w:r>
            <w:r>
              <w:rPr>
                <w:color w:val="231F20"/>
                <w:spacing w:val="-20"/>
                <w:w w:val="105"/>
                <w:sz w:val="18"/>
              </w:rPr>
              <w:t> </w:t>
            </w:r>
            <w:r>
              <w:rPr>
                <w:color w:val="231F20"/>
                <w:w w:val="105"/>
                <w:sz w:val="18"/>
              </w:rPr>
              <w:t>sector secundario</w:t>
            </w:r>
            <w:r>
              <w:rPr>
                <w:color w:val="231F20"/>
                <w:spacing w:val="-33"/>
                <w:w w:val="105"/>
                <w:sz w:val="18"/>
              </w:rPr>
              <w:t> </w:t>
            </w:r>
            <w:r>
              <w:rPr>
                <w:color w:val="231F20"/>
                <w:w w:val="105"/>
                <w:sz w:val="18"/>
              </w:rPr>
              <w:t>y</w:t>
            </w:r>
            <w:r>
              <w:rPr>
                <w:color w:val="231F20"/>
                <w:spacing w:val="-33"/>
                <w:w w:val="105"/>
                <w:sz w:val="18"/>
              </w:rPr>
              <w:t> </w:t>
            </w:r>
            <w:r>
              <w:rPr>
                <w:color w:val="231F20"/>
                <w:w w:val="105"/>
                <w:sz w:val="18"/>
              </w:rPr>
              <w:t>terciario.</w:t>
            </w:r>
          </w:p>
        </w:tc>
        <w:tc>
          <w:tcPr>
            <w:tcW w:w="2438" w:type="dxa"/>
          </w:tcPr>
          <w:p>
            <w:pPr>
              <w:pStyle w:val="TableParagraph"/>
              <w:spacing w:line="249" w:lineRule="auto" w:before="88"/>
              <w:ind w:left="77" w:right="-17"/>
              <w:rPr>
                <w:sz w:val="18"/>
              </w:rPr>
            </w:pPr>
            <w:r>
              <w:rPr>
                <w:color w:val="231F20"/>
                <w:w w:val="105"/>
                <w:sz w:val="18"/>
              </w:rPr>
              <w:t>Cuantiosas demandas de servicios públicos, así como de organización y gestión. Problemas de tipo urbano y social.</w:t>
            </w:r>
          </w:p>
        </w:tc>
      </w:tr>
      <w:tr>
        <w:trPr>
          <w:trHeight w:val="2068" w:hRule="exact"/>
        </w:trPr>
        <w:tc>
          <w:tcPr>
            <w:tcW w:w="146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4"/>
              <w:ind w:left="77" w:right="265"/>
              <w:rPr>
                <w:sz w:val="18"/>
              </w:rPr>
            </w:pPr>
            <w:r>
              <w:rPr>
                <w:color w:val="231F20"/>
                <w:w w:val="105"/>
                <w:sz w:val="18"/>
              </w:rPr>
              <w:t>Urbanos</w:t>
            </w:r>
          </w:p>
        </w:tc>
        <w:tc>
          <w:tcPr>
            <w:tcW w:w="3011" w:type="dxa"/>
          </w:tcPr>
          <w:p>
            <w:pPr>
              <w:pStyle w:val="TableParagraph"/>
              <w:numPr>
                <w:ilvl w:val="0"/>
                <w:numId w:val="29"/>
              </w:numPr>
              <w:tabs>
                <w:tab w:pos="305" w:val="left" w:leader="none"/>
              </w:tabs>
              <w:spacing w:line="249" w:lineRule="auto" w:before="88" w:after="0"/>
              <w:ind w:left="304" w:right="74" w:hanging="227"/>
              <w:jc w:val="both"/>
              <w:rPr>
                <w:sz w:val="18"/>
              </w:rPr>
            </w:pPr>
            <w:r>
              <w:rPr>
                <w:color w:val="231F20"/>
                <w:spacing w:val="-4"/>
                <w:sz w:val="18"/>
              </w:rPr>
              <w:t>Agrupan </w:t>
            </w:r>
            <w:r>
              <w:rPr>
                <w:color w:val="231F20"/>
                <w:spacing w:val="-3"/>
                <w:sz w:val="18"/>
              </w:rPr>
              <w:t>las </w:t>
            </w:r>
            <w:r>
              <w:rPr>
                <w:color w:val="231F20"/>
                <w:spacing w:val="-4"/>
                <w:sz w:val="18"/>
              </w:rPr>
              <w:t>ciudades </w:t>
            </w:r>
            <w:r>
              <w:rPr>
                <w:color w:val="231F20"/>
                <w:spacing w:val="-3"/>
                <w:sz w:val="18"/>
              </w:rPr>
              <w:t>más </w:t>
            </w:r>
            <w:r>
              <w:rPr>
                <w:color w:val="231F20"/>
                <w:spacing w:val="-4"/>
                <w:sz w:val="18"/>
              </w:rPr>
              <w:t>impor- </w:t>
            </w:r>
            <w:r>
              <w:rPr>
                <w:color w:val="231F20"/>
                <w:spacing w:val="-5"/>
                <w:sz w:val="18"/>
              </w:rPr>
              <w:t>tantes</w:t>
            </w:r>
            <w:r>
              <w:rPr>
                <w:color w:val="231F20"/>
                <w:spacing w:val="-15"/>
                <w:sz w:val="18"/>
              </w:rPr>
              <w:t> </w:t>
            </w:r>
            <w:r>
              <w:rPr>
                <w:color w:val="231F20"/>
                <w:spacing w:val="-4"/>
                <w:sz w:val="18"/>
              </w:rPr>
              <w:t>del</w:t>
            </w:r>
            <w:r>
              <w:rPr>
                <w:color w:val="231F20"/>
                <w:spacing w:val="-15"/>
                <w:sz w:val="18"/>
              </w:rPr>
              <w:t> </w:t>
            </w:r>
            <w:r>
              <w:rPr>
                <w:color w:val="231F20"/>
                <w:spacing w:val="-4"/>
                <w:sz w:val="18"/>
              </w:rPr>
              <w:t>país,</w:t>
            </w:r>
            <w:r>
              <w:rPr>
                <w:color w:val="231F20"/>
                <w:spacing w:val="-22"/>
                <w:sz w:val="18"/>
              </w:rPr>
              <w:t> </w:t>
            </w:r>
            <w:r>
              <w:rPr>
                <w:color w:val="231F20"/>
                <w:spacing w:val="-5"/>
                <w:sz w:val="18"/>
              </w:rPr>
              <w:t>entre</w:t>
            </w:r>
            <w:r>
              <w:rPr>
                <w:color w:val="231F20"/>
                <w:spacing w:val="-15"/>
                <w:sz w:val="18"/>
              </w:rPr>
              <w:t> </w:t>
            </w:r>
            <w:r>
              <w:rPr>
                <w:color w:val="231F20"/>
                <w:spacing w:val="-4"/>
                <w:sz w:val="18"/>
              </w:rPr>
              <w:t>ellas</w:t>
            </w:r>
            <w:r>
              <w:rPr>
                <w:color w:val="231F20"/>
                <w:spacing w:val="-15"/>
                <w:sz w:val="18"/>
              </w:rPr>
              <w:t> </w:t>
            </w:r>
            <w:r>
              <w:rPr>
                <w:color w:val="231F20"/>
                <w:spacing w:val="-4"/>
                <w:sz w:val="18"/>
              </w:rPr>
              <w:t>las</w:t>
            </w:r>
            <w:r>
              <w:rPr>
                <w:color w:val="231F20"/>
                <w:spacing w:val="-15"/>
                <w:sz w:val="18"/>
              </w:rPr>
              <w:t> </w:t>
            </w:r>
            <w:r>
              <w:rPr>
                <w:color w:val="231F20"/>
                <w:spacing w:val="-4"/>
                <w:sz w:val="18"/>
              </w:rPr>
              <w:t>capi- </w:t>
            </w:r>
            <w:r>
              <w:rPr>
                <w:color w:val="231F20"/>
                <w:spacing w:val="-3"/>
                <w:sz w:val="18"/>
              </w:rPr>
              <w:t>tales </w:t>
            </w:r>
            <w:r>
              <w:rPr>
                <w:color w:val="231F20"/>
                <w:sz w:val="18"/>
              </w:rPr>
              <w:t>de las </w:t>
            </w:r>
            <w:r>
              <w:rPr>
                <w:color w:val="231F20"/>
                <w:spacing w:val="-3"/>
                <w:sz w:val="18"/>
              </w:rPr>
              <w:t>entidades</w:t>
            </w:r>
            <w:r>
              <w:rPr>
                <w:color w:val="231F20"/>
                <w:spacing w:val="-8"/>
                <w:sz w:val="18"/>
              </w:rPr>
              <w:t> </w:t>
            </w:r>
            <w:r>
              <w:rPr>
                <w:color w:val="231F20"/>
                <w:spacing w:val="-4"/>
                <w:sz w:val="18"/>
              </w:rPr>
              <w:t>federativas.</w:t>
            </w:r>
          </w:p>
          <w:p>
            <w:pPr>
              <w:pStyle w:val="TableParagraph"/>
              <w:numPr>
                <w:ilvl w:val="0"/>
                <w:numId w:val="29"/>
              </w:numPr>
              <w:tabs>
                <w:tab w:pos="305" w:val="left" w:leader="none"/>
              </w:tabs>
              <w:spacing w:line="249" w:lineRule="auto" w:before="1" w:after="0"/>
              <w:ind w:left="304" w:right="75" w:hanging="227"/>
              <w:jc w:val="both"/>
              <w:rPr>
                <w:sz w:val="18"/>
              </w:rPr>
            </w:pPr>
            <w:r>
              <w:rPr>
                <w:color w:val="231F20"/>
                <w:w w:val="105"/>
                <w:sz w:val="18"/>
              </w:rPr>
              <w:t>concentran</w:t>
            </w:r>
            <w:r>
              <w:rPr>
                <w:color w:val="231F20"/>
                <w:spacing w:val="-36"/>
                <w:w w:val="105"/>
                <w:sz w:val="18"/>
              </w:rPr>
              <w:t> </w:t>
            </w:r>
            <w:r>
              <w:rPr>
                <w:color w:val="231F20"/>
                <w:w w:val="105"/>
                <w:sz w:val="18"/>
              </w:rPr>
              <w:t>las</w:t>
            </w:r>
            <w:r>
              <w:rPr>
                <w:color w:val="231F20"/>
                <w:spacing w:val="-36"/>
                <w:w w:val="105"/>
                <w:sz w:val="18"/>
              </w:rPr>
              <w:t> </w:t>
            </w:r>
            <w:r>
              <w:rPr>
                <w:color w:val="231F20"/>
                <w:w w:val="105"/>
                <w:sz w:val="18"/>
              </w:rPr>
              <w:t>principales</w:t>
            </w:r>
            <w:r>
              <w:rPr>
                <w:color w:val="231F20"/>
                <w:spacing w:val="-36"/>
                <w:w w:val="105"/>
                <w:sz w:val="18"/>
              </w:rPr>
              <w:t> </w:t>
            </w:r>
            <w:r>
              <w:rPr>
                <w:color w:val="231F20"/>
                <w:w w:val="105"/>
                <w:sz w:val="18"/>
              </w:rPr>
              <w:t>activi- </w:t>
            </w:r>
            <w:r>
              <w:rPr>
                <w:color w:val="231F20"/>
                <w:sz w:val="18"/>
              </w:rPr>
              <w:t>dades industriales, </w:t>
            </w:r>
            <w:r>
              <w:rPr>
                <w:color w:val="231F20"/>
                <w:spacing w:val="-3"/>
                <w:sz w:val="18"/>
              </w:rPr>
              <w:t>comerciales </w:t>
            </w:r>
            <w:r>
              <w:rPr>
                <w:color w:val="231F20"/>
                <w:sz w:val="18"/>
              </w:rPr>
              <w:t>y </w:t>
            </w:r>
            <w:r>
              <w:rPr>
                <w:color w:val="231F20"/>
                <w:w w:val="105"/>
                <w:sz w:val="18"/>
              </w:rPr>
              <w:t>de</w:t>
            </w:r>
            <w:r>
              <w:rPr>
                <w:color w:val="231F20"/>
                <w:spacing w:val="-26"/>
                <w:w w:val="105"/>
                <w:sz w:val="18"/>
              </w:rPr>
              <w:t> </w:t>
            </w:r>
            <w:r>
              <w:rPr>
                <w:color w:val="231F20"/>
                <w:w w:val="105"/>
                <w:sz w:val="18"/>
              </w:rPr>
              <w:t>servicios</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cada</w:t>
            </w:r>
            <w:r>
              <w:rPr>
                <w:color w:val="231F20"/>
                <w:spacing w:val="-26"/>
                <w:w w:val="105"/>
                <w:sz w:val="18"/>
              </w:rPr>
              <w:t> </w:t>
            </w:r>
            <w:r>
              <w:rPr>
                <w:color w:val="231F20"/>
                <w:w w:val="105"/>
                <w:sz w:val="18"/>
              </w:rPr>
              <w:t>estado.</w:t>
            </w:r>
          </w:p>
          <w:p>
            <w:pPr>
              <w:pStyle w:val="TableParagraph"/>
              <w:numPr>
                <w:ilvl w:val="0"/>
                <w:numId w:val="29"/>
              </w:numPr>
              <w:tabs>
                <w:tab w:pos="305" w:val="left" w:leader="none"/>
              </w:tabs>
              <w:spacing w:line="249" w:lineRule="auto" w:before="1" w:after="0"/>
              <w:ind w:left="304" w:right="75" w:hanging="227"/>
              <w:jc w:val="both"/>
              <w:rPr>
                <w:sz w:val="18"/>
              </w:rPr>
            </w:pPr>
            <w:r>
              <w:rPr>
                <w:color w:val="231F20"/>
                <w:w w:val="105"/>
                <w:sz w:val="18"/>
              </w:rPr>
              <w:t>Tienen</w:t>
            </w:r>
            <w:r>
              <w:rPr>
                <w:color w:val="231F20"/>
                <w:spacing w:val="-26"/>
                <w:w w:val="105"/>
                <w:sz w:val="18"/>
              </w:rPr>
              <w:t> </w:t>
            </w:r>
            <w:r>
              <w:rPr>
                <w:color w:val="231F20"/>
                <w:w w:val="105"/>
                <w:sz w:val="18"/>
              </w:rPr>
              <w:t>su</w:t>
            </w:r>
            <w:r>
              <w:rPr>
                <w:color w:val="231F20"/>
                <w:spacing w:val="-26"/>
                <w:w w:val="105"/>
                <w:sz w:val="18"/>
              </w:rPr>
              <w:t> </w:t>
            </w:r>
            <w:r>
              <w:rPr>
                <w:color w:val="231F20"/>
                <w:w w:val="105"/>
                <w:sz w:val="18"/>
              </w:rPr>
              <w:t>base</w:t>
            </w:r>
            <w:r>
              <w:rPr>
                <w:color w:val="231F20"/>
                <w:spacing w:val="2"/>
                <w:w w:val="105"/>
                <w:sz w:val="18"/>
              </w:rPr>
              <w:t> </w:t>
            </w:r>
            <w:r>
              <w:rPr>
                <w:color w:val="231F20"/>
                <w:w w:val="105"/>
                <w:sz w:val="18"/>
              </w:rPr>
              <w:t>económica</w:t>
            </w:r>
            <w:r>
              <w:rPr>
                <w:color w:val="231F20"/>
                <w:spacing w:val="-26"/>
                <w:w w:val="105"/>
                <w:sz w:val="18"/>
              </w:rPr>
              <w:t> </w:t>
            </w:r>
            <w:r>
              <w:rPr>
                <w:color w:val="231F20"/>
                <w:w w:val="105"/>
                <w:sz w:val="18"/>
              </w:rPr>
              <w:t>en</w:t>
            </w:r>
            <w:r>
              <w:rPr>
                <w:color w:val="231F20"/>
                <w:spacing w:val="-26"/>
                <w:w w:val="105"/>
                <w:sz w:val="18"/>
              </w:rPr>
              <w:t> </w:t>
            </w:r>
            <w:r>
              <w:rPr>
                <w:color w:val="231F20"/>
                <w:w w:val="105"/>
                <w:sz w:val="18"/>
              </w:rPr>
              <w:t>la industria,</w:t>
            </w:r>
            <w:r>
              <w:rPr>
                <w:color w:val="231F20"/>
                <w:spacing w:val="-26"/>
                <w:w w:val="105"/>
                <w:sz w:val="18"/>
              </w:rPr>
              <w:t> </w:t>
            </w:r>
            <w:r>
              <w:rPr>
                <w:color w:val="231F20"/>
                <w:w w:val="105"/>
                <w:sz w:val="18"/>
              </w:rPr>
              <w:t>en</w:t>
            </w:r>
            <w:r>
              <w:rPr>
                <w:color w:val="231F20"/>
                <w:spacing w:val="-22"/>
                <w:w w:val="105"/>
                <w:sz w:val="18"/>
              </w:rPr>
              <w:t> </w:t>
            </w:r>
            <w:r>
              <w:rPr>
                <w:color w:val="231F20"/>
                <w:w w:val="105"/>
                <w:sz w:val="18"/>
              </w:rPr>
              <w:t>el</w:t>
            </w:r>
            <w:r>
              <w:rPr>
                <w:color w:val="231F20"/>
                <w:spacing w:val="-22"/>
                <w:w w:val="105"/>
                <w:sz w:val="18"/>
              </w:rPr>
              <w:t> </w:t>
            </w:r>
            <w:r>
              <w:rPr>
                <w:color w:val="231F20"/>
                <w:w w:val="105"/>
                <w:sz w:val="18"/>
              </w:rPr>
              <w:t>comercio</w:t>
            </w:r>
            <w:r>
              <w:rPr>
                <w:color w:val="231F20"/>
                <w:spacing w:val="-22"/>
                <w:w w:val="105"/>
                <w:sz w:val="18"/>
              </w:rPr>
              <w:t> </w:t>
            </w:r>
            <w:r>
              <w:rPr>
                <w:color w:val="231F20"/>
                <w:w w:val="105"/>
                <w:sz w:val="18"/>
              </w:rPr>
              <w:t>y</w:t>
            </w:r>
            <w:r>
              <w:rPr>
                <w:color w:val="231F20"/>
                <w:spacing w:val="-22"/>
                <w:w w:val="105"/>
                <w:sz w:val="18"/>
              </w:rPr>
              <w:t> </w:t>
            </w:r>
            <w:r>
              <w:rPr>
                <w:color w:val="231F20"/>
                <w:w w:val="105"/>
                <w:sz w:val="18"/>
              </w:rPr>
              <w:t>en</w:t>
            </w:r>
            <w:r>
              <w:rPr>
                <w:color w:val="231F20"/>
                <w:spacing w:val="-22"/>
                <w:w w:val="105"/>
                <w:sz w:val="18"/>
              </w:rPr>
              <w:t> </w:t>
            </w:r>
            <w:r>
              <w:rPr>
                <w:color w:val="231F20"/>
                <w:w w:val="105"/>
                <w:sz w:val="18"/>
              </w:rPr>
              <w:t>los servicios.</w:t>
            </w:r>
          </w:p>
        </w:tc>
        <w:tc>
          <w:tcPr>
            <w:tcW w:w="2438" w:type="dxa"/>
          </w:tcPr>
          <w:p>
            <w:pPr>
              <w:pStyle w:val="TableParagraph"/>
              <w:spacing w:line="249" w:lineRule="auto" w:before="88"/>
              <w:ind w:left="77" w:right="75"/>
              <w:jc w:val="both"/>
              <w:rPr>
                <w:sz w:val="18"/>
              </w:rPr>
            </w:pPr>
            <w:r>
              <w:rPr>
                <w:color w:val="231F20"/>
                <w:w w:val="105"/>
                <w:sz w:val="18"/>
              </w:rPr>
              <w:t>El</w:t>
            </w:r>
            <w:r>
              <w:rPr>
                <w:color w:val="231F20"/>
                <w:spacing w:val="-15"/>
                <w:w w:val="105"/>
                <w:sz w:val="18"/>
              </w:rPr>
              <w:t> </w:t>
            </w:r>
            <w:r>
              <w:rPr>
                <w:color w:val="231F20"/>
                <w:w w:val="105"/>
                <w:sz w:val="18"/>
              </w:rPr>
              <w:t>crecimiento</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estos</w:t>
            </w:r>
            <w:r>
              <w:rPr>
                <w:color w:val="231F20"/>
                <w:spacing w:val="-15"/>
                <w:w w:val="105"/>
                <w:sz w:val="18"/>
              </w:rPr>
              <w:t> </w:t>
            </w:r>
            <w:r>
              <w:rPr>
                <w:color w:val="231F20"/>
                <w:w w:val="105"/>
                <w:sz w:val="18"/>
              </w:rPr>
              <w:t>mu- </w:t>
            </w:r>
            <w:r>
              <w:rPr>
                <w:color w:val="231F20"/>
                <w:spacing w:val="4"/>
                <w:w w:val="105"/>
                <w:sz w:val="18"/>
              </w:rPr>
              <w:t>nicipios </w:t>
            </w:r>
            <w:r>
              <w:rPr>
                <w:color w:val="231F20"/>
                <w:spacing w:val="3"/>
                <w:w w:val="105"/>
                <w:sz w:val="18"/>
              </w:rPr>
              <w:t>genera gran de- </w:t>
            </w:r>
            <w:r>
              <w:rPr>
                <w:color w:val="231F20"/>
                <w:w w:val="105"/>
                <w:sz w:val="18"/>
              </w:rPr>
              <w:t>manda</w:t>
            </w:r>
            <w:r>
              <w:rPr>
                <w:color w:val="231F20"/>
                <w:spacing w:val="-36"/>
                <w:w w:val="105"/>
                <w:sz w:val="18"/>
              </w:rPr>
              <w:t> </w:t>
            </w:r>
            <w:r>
              <w:rPr>
                <w:color w:val="231F20"/>
                <w:w w:val="105"/>
                <w:sz w:val="18"/>
              </w:rPr>
              <w:t>de</w:t>
            </w:r>
            <w:r>
              <w:rPr>
                <w:color w:val="231F20"/>
                <w:spacing w:val="-36"/>
                <w:w w:val="105"/>
                <w:sz w:val="18"/>
              </w:rPr>
              <w:t> </w:t>
            </w:r>
            <w:r>
              <w:rPr>
                <w:color w:val="231F20"/>
                <w:w w:val="105"/>
                <w:sz w:val="18"/>
              </w:rPr>
              <w:t>servicios</w:t>
            </w:r>
            <w:r>
              <w:rPr>
                <w:color w:val="231F20"/>
                <w:spacing w:val="-36"/>
                <w:w w:val="105"/>
                <w:sz w:val="18"/>
              </w:rPr>
              <w:t> </w:t>
            </w:r>
            <w:r>
              <w:rPr>
                <w:color w:val="231F20"/>
                <w:w w:val="105"/>
                <w:sz w:val="18"/>
              </w:rPr>
              <w:t>públicos aunque con una intensidad </w:t>
            </w:r>
            <w:r>
              <w:rPr>
                <w:color w:val="231F20"/>
                <w:spacing w:val="-3"/>
                <w:w w:val="105"/>
                <w:sz w:val="18"/>
              </w:rPr>
              <w:t>menor</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los</w:t>
            </w:r>
            <w:r>
              <w:rPr>
                <w:color w:val="231F20"/>
                <w:spacing w:val="-24"/>
                <w:w w:val="105"/>
                <w:sz w:val="18"/>
              </w:rPr>
              <w:t> </w:t>
            </w:r>
            <w:r>
              <w:rPr>
                <w:color w:val="231F20"/>
                <w:spacing w:val="-3"/>
                <w:w w:val="105"/>
                <w:sz w:val="18"/>
              </w:rPr>
              <w:t>municipios </w:t>
            </w:r>
            <w:r>
              <w:rPr>
                <w:color w:val="231F20"/>
                <w:w w:val="105"/>
                <w:sz w:val="18"/>
              </w:rPr>
              <w:t>metropolitanos.</w:t>
            </w:r>
          </w:p>
        </w:tc>
      </w:tr>
      <w:tr>
        <w:trPr>
          <w:trHeight w:val="2500" w:hRule="exact"/>
        </w:trPr>
        <w:tc>
          <w:tcPr>
            <w:tcW w:w="146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34"/>
              <w:ind w:left="77" w:right="265"/>
              <w:rPr>
                <w:sz w:val="18"/>
              </w:rPr>
            </w:pPr>
            <w:r>
              <w:rPr>
                <w:color w:val="231F20"/>
                <w:sz w:val="18"/>
              </w:rPr>
              <w:t>Semiurbanos</w:t>
            </w:r>
          </w:p>
        </w:tc>
        <w:tc>
          <w:tcPr>
            <w:tcW w:w="3011" w:type="dxa"/>
          </w:tcPr>
          <w:p>
            <w:pPr>
              <w:pStyle w:val="TableParagraph"/>
              <w:numPr>
                <w:ilvl w:val="0"/>
                <w:numId w:val="30"/>
              </w:numPr>
              <w:tabs>
                <w:tab w:pos="305" w:val="left" w:leader="none"/>
              </w:tabs>
              <w:spacing w:line="249" w:lineRule="auto" w:before="88" w:after="0"/>
              <w:ind w:left="304" w:right="69" w:hanging="227"/>
              <w:jc w:val="both"/>
              <w:rPr>
                <w:sz w:val="18"/>
              </w:rPr>
            </w:pPr>
            <w:r>
              <w:rPr>
                <w:color w:val="231F20"/>
                <w:spacing w:val="-5"/>
                <w:w w:val="105"/>
                <w:sz w:val="18"/>
              </w:rPr>
              <w:t>Llevan</w:t>
            </w:r>
            <w:r>
              <w:rPr>
                <w:color w:val="231F20"/>
                <w:spacing w:val="-31"/>
                <w:w w:val="105"/>
                <w:sz w:val="18"/>
              </w:rPr>
              <w:t> </w:t>
            </w:r>
            <w:r>
              <w:rPr>
                <w:color w:val="231F20"/>
                <w:w w:val="105"/>
                <w:sz w:val="18"/>
              </w:rPr>
              <w:t>a</w:t>
            </w:r>
            <w:r>
              <w:rPr>
                <w:color w:val="231F20"/>
                <w:spacing w:val="-31"/>
                <w:w w:val="105"/>
                <w:sz w:val="18"/>
              </w:rPr>
              <w:t> </w:t>
            </w:r>
            <w:r>
              <w:rPr>
                <w:color w:val="231F20"/>
                <w:spacing w:val="-4"/>
                <w:w w:val="105"/>
                <w:sz w:val="18"/>
              </w:rPr>
              <w:t>cabo</w:t>
            </w:r>
            <w:r>
              <w:rPr>
                <w:color w:val="231F20"/>
                <w:spacing w:val="-31"/>
                <w:w w:val="105"/>
                <w:sz w:val="18"/>
              </w:rPr>
              <w:t> </w:t>
            </w:r>
            <w:r>
              <w:rPr>
                <w:color w:val="231F20"/>
                <w:spacing w:val="-5"/>
                <w:w w:val="105"/>
                <w:sz w:val="18"/>
              </w:rPr>
              <w:t>actividades</w:t>
            </w:r>
            <w:r>
              <w:rPr>
                <w:color w:val="231F20"/>
                <w:spacing w:val="-31"/>
                <w:w w:val="105"/>
                <w:sz w:val="18"/>
              </w:rPr>
              <w:t> </w:t>
            </w:r>
            <w:r>
              <w:rPr>
                <w:color w:val="231F20"/>
                <w:spacing w:val="-5"/>
                <w:w w:val="105"/>
                <w:sz w:val="18"/>
              </w:rPr>
              <w:t>produc- </w:t>
            </w:r>
            <w:r>
              <w:rPr>
                <w:color w:val="231F20"/>
                <w:spacing w:val="-4"/>
                <w:w w:val="105"/>
                <w:sz w:val="18"/>
              </w:rPr>
              <w:t>tivas</w:t>
            </w:r>
            <w:r>
              <w:rPr>
                <w:color w:val="231F20"/>
                <w:spacing w:val="-40"/>
                <w:w w:val="105"/>
                <w:sz w:val="18"/>
              </w:rPr>
              <w:t> </w:t>
            </w:r>
            <w:r>
              <w:rPr>
                <w:color w:val="231F20"/>
                <w:spacing w:val="-5"/>
                <w:w w:val="105"/>
                <w:sz w:val="18"/>
              </w:rPr>
              <w:t>relacionadas</w:t>
            </w:r>
            <w:r>
              <w:rPr>
                <w:color w:val="231F20"/>
                <w:spacing w:val="-40"/>
                <w:w w:val="105"/>
                <w:sz w:val="18"/>
              </w:rPr>
              <w:t> </w:t>
            </w:r>
            <w:r>
              <w:rPr>
                <w:color w:val="231F20"/>
                <w:spacing w:val="-4"/>
                <w:w w:val="105"/>
                <w:sz w:val="18"/>
              </w:rPr>
              <w:t>con</w:t>
            </w:r>
            <w:r>
              <w:rPr>
                <w:color w:val="231F20"/>
                <w:spacing w:val="-40"/>
                <w:w w:val="105"/>
                <w:sz w:val="18"/>
              </w:rPr>
              <w:t> </w:t>
            </w:r>
            <w:r>
              <w:rPr>
                <w:color w:val="231F20"/>
                <w:spacing w:val="-4"/>
                <w:w w:val="105"/>
                <w:sz w:val="18"/>
              </w:rPr>
              <w:t>los</w:t>
            </w:r>
            <w:r>
              <w:rPr>
                <w:color w:val="231F20"/>
                <w:spacing w:val="-40"/>
                <w:w w:val="105"/>
                <w:sz w:val="18"/>
              </w:rPr>
              <w:t> </w:t>
            </w:r>
            <w:r>
              <w:rPr>
                <w:color w:val="231F20"/>
                <w:spacing w:val="-6"/>
                <w:w w:val="105"/>
                <w:sz w:val="18"/>
              </w:rPr>
              <w:t>sectores </w:t>
            </w:r>
            <w:r>
              <w:rPr>
                <w:color w:val="231F20"/>
                <w:w w:val="105"/>
                <w:sz w:val="18"/>
              </w:rPr>
              <w:t>de</w:t>
            </w:r>
            <w:r>
              <w:rPr>
                <w:color w:val="231F20"/>
                <w:spacing w:val="-18"/>
                <w:w w:val="105"/>
                <w:sz w:val="18"/>
              </w:rPr>
              <w:t> </w:t>
            </w:r>
            <w:r>
              <w:rPr>
                <w:color w:val="231F20"/>
                <w:w w:val="105"/>
                <w:sz w:val="18"/>
              </w:rPr>
              <w:t>una</w:t>
            </w:r>
            <w:r>
              <w:rPr>
                <w:color w:val="231F20"/>
                <w:spacing w:val="-18"/>
                <w:w w:val="105"/>
                <w:sz w:val="18"/>
              </w:rPr>
              <w:t> </w:t>
            </w:r>
            <w:r>
              <w:rPr>
                <w:color w:val="231F20"/>
                <w:w w:val="105"/>
                <w:sz w:val="18"/>
              </w:rPr>
              <w:t>economía</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proceso</w:t>
            </w:r>
            <w:r>
              <w:rPr>
                <w:color w:val="231F20"/>
                <w:spacing w:val="-18"/>
                <w:w w:val="105"/>
                <w:sz w:val="18"/>
              </w:rPr>
              <w:t> </w:t>
            </w:r>
            <w:r>
              <w:rPr>
                <w:color w:val="231F20"/>
                <w:w w:val="105"/>
                <w:sz w:val="18"/>
              </w:rPr>
              <w:t>de transición</w:t>
            </w:r>
            <w:r>
              <w:rPr>
                <w:color w:val="231F20"/>
                <w:spacing w:val="-22"/>
                <w:w w:val="105"/>
                <w:sz w:val="18"/>
              </w:rPr>
              <w:t> </w:t>
            </w:r>
            <w:r>
              <w:rPr>
                <w:color w:val="231F20"/>
                <w:w w:val="105"/>
                <w:sz w:val="18"/>
              </w:rPr>
              <w:t>de</w:t>
            </w:r>
            <w:r>
              <w:rPr>
                <w:color w:val="231F20"/>
                <w:spacing w:val="-22"/>
                <w:w w:val="105"/>
                <w:sz w:val="18"/>
              </w:rPr>
              <w:t> </w:t>
            </w:r>
            <w:r>
              <w:rPr>
                <w:color w:val="231F20"/>
                <w:w w:val="105"/>
                <w:sz w:val="18"/>
              </w:rPr>
              <w:t>lo</w:t>
            </w:r>
            <w:r>
              <w:rPr>
                <w:color w:val="231F20"/>
                <w:spacing w:val="-22"/>
                <w:w w:val="105"/>
                <w:sz w:val="18"/>
              </w:rPr>
              <w:t> </w:t>
            </w:r>
            <w:r>
              <w:rPr>
                <w:color w:val="231F20"/>
                <w:w w:val="105"/>
                <w:sz w:val="18"/>
              </w:rPr>
              <w:t>rural</w:t>
            </w:r>
            <w:r>
              <w:rPr>
                <w:color w:val="231F20"/>
                <w:spacing w:val="-22"/>
                <w:w w:val="105"/>
                <w:sz w:val="18"/>
              </w:rPr>
              <w:t> </w:t>
            </w:r>
            <w:r>
              <w:rPr>
                <w:color w:val="231F20"/>
                <w:w w:val="105"/>
                <w:sz w:val="18"/>
              </w:rPr>
              <w:t>a</w:t>
            </w:r>
            <w:r>
              <w:rPr>
                <w:color w:val="231F20"/>
                <w:spacing w:val="-22"/>
                <w:w w:val="105"/>
                <w:sz w:val="18"/>
              </w:rPr>
              <w:t> </w:t>
            </w:r>
            <w:r>
              <w:rPr>
                <w:color w:val="231F20"/>
                <w:w w:val="105"/>
                <w:sz w:val="18"/>
              </w:rPr>
              <w:t>lo</w:t>
            </w:r>
            <w:r>
              <w:rPr>
                <w:color w:val="231F20"/>
                <w:spacing w:val="-22"/>
                <w:w w:val="105"/>
                <w:sz w:val="18"/>
              </w:rPr>
              <w:t> </w:t>
            </w:r>
            <w:r>
              <w:rPr>
                <w:color w:val="231F20"/>
                <w:w w:val="105"/>
                <w:sz w:val="18"/>
              </w:rPr>
              <w:t>urbano.</w:t>
            </w:r>
          </w:p>
          <w:p>
            <w:pPr>
              <w:pStyle w:val="TableParagraph"/>
              <w:numPr>
                <w:ilvl w:val="0"/>
                <w:numId w:val="30"/>
              </w:numPr>
              <w:tabs>
                <w:tab w:pos="305" w:val="left" w:leader="none"/>
              </w:tabs>
              <w:spacing w:line="249" w:lineRule="auto" w:before="1" w:after="0"/>
              <w:ind w:left="304" w:right="69" w:hanging="227"/>
              <w:jc w:val="both"/>
              <w:rPr>
                <w:sz w:val="18"/>
              </w:rPr>
            </w:pPr>
            <w:r>
              <w:rPr>
                <w:color w:val="231F20"/>
                <w:w w:val="105"/>
                <w:sz w:val="18"/>
              </w:rPr>
              <w:t>Predominan, en muchos</w:t>
            </w:r>
            <w:r>
              <w:rPr>
                <w:color w:val="231F20"/>
                <w:spacing w:val="-20"/>
                <w:w w:val="105"/>
                <w:sz w:val="18"/>
              </w:rPr>
              <w:t> </w:t>
            </w:r>
            <w:r>
              <w:rPr>
                <w:color w:val="231F20"/>
                <w:w w:val="105"/>
                <w:sz w:val="18"/>
              </w:rPr>
              <w:t>casos, las</w:t>
            </w:r>
            <w:r>
              <w:rPr>
                <w:color w:val="231F20"/>
                <w:spacing w:val="-40"/>
                <w:w w:val="105"/>
                <w:sz w:val="18"/>
              </w:rPr>
              <w:t> </w:t>
            </w:r>
            <w:r>
              <w:rPr>
                <w:color w:val="231F20"/>
                <w:spacing w:val="-3"/>
                <w:w w:val="105"/>
                <w:sz w:val="18"/>
              </w:rPr>
              <w:t>actividades</w:t>
            </w:r>
            <w:r>
              <w:rPr>
                <w:color w:val="231F20"/>
                <w:spacing w:val="-40"/>
                <w:w w:val="105"/>
                <w:sz w:val="18"/>
              </w:rPr>
              <w:t> </w:t>
            </w:r>
            <w:r>
              <w:rPr>
                <w:color w:val="231F20"/>
                <w:spacing w:val="-3"/>
                <w:w w:val="105"/>
                <w:sz w:val="18"/>
              </w:rPr>
              <w:t>agropecuarias,</w:t>
            </w:r>
            <w:r>
              <w:rPr>
                <w:color w:val="231F20"/>
                <w:spacing w:val="-42"/>
                <w:w w:val="105"/>
                <w:sz w:val="18"/>
              </w:rPr>
              <w:t> </w:t>
            </w:r>
            <w:r>
              <w:rPr>
                <w:color w:val="231F20"/>
                <w:w w:val="105"/>
                <w:sz w:val="18"/>
              </w:rPr>
              <w:t>fo- </w:t>
            </w:r>
            <w:r>
              <w:rPr>
                <w:color w:val="231F20"/>
                <w:spacing w:val="-3"/>
                <w:w w:val="105"/>
                <w:sz w:val="18"/>
              </w:rPr>
              <w:t>restales</w:t>
            </w:r>
            <w:r>
              <w:rPr>
                <w:color w:val="231F20"/>
                <w:spacing w:val="-34"/>
                <w:w w:val="105"/>
                <w:sz w:val="18"/>
              </w:rPr>
              <w:t> </w:t>
            </w:r>
            <w:r>
              <w:rPr>
                <w:color w:val="231F20"/>
                <w:w w:val="105"/>
                <w:sz w:val="18"/>
              </w:rPr>
              <w:t>o</w:t>
            </w:r>
            <w:r>
              <w:rPr>
                <w:color w:val="231F20"/>
                <w:spacing w:val="-34"/>
                <w:w w:val="105"/>
                <w:sz w:val="18"/>
              </w:rPr>
              <w:t> </w:t>
            </w:r>
            <w:r>
              <w:rPr>
                <w:color w:val="231F20"/>
                <w:spacing w:val="-3"/>
                <w:w w:val="105"/>
                <w:sz w:val="18"/>
              </w:rPr>
              <w:t>pesqueras</w:t>
            </w:r>
            <w:r>
              <w:rPr>
                <w:color w:val="231F20"/>
                <w:spacing w:val="-34"/>
                <w:w w:val="105"/>
                <w:sz w:val="18"/>
              </w:rPr>
              <w:t> </w:t>
            </w:r>
            <w:r>
              <w:rPr>
                <w:color w:val="231F20"/>
                <w:w w:val="105"/>
                <w:sz w:val="18"/>
              </w:rPr>
              <w:t>que</w:t>
            </w:r>
            <w:r>
              <w:rPr>
                <w:color w:val="231F20"/>
                <w:spacing w:val="-34"/>
                <w:w w:val="105"/>
                <w:sz w:val="18"/>
              </w:rPr>
              <w:t> </w:t>
            </w:r>
            <w:r>
              <w:rPr>
                <w:color w:val="231F20"/>
                <w:w w:val="105"/>
                <w:sz w:val="18"/>
              </w:rPr>
              <w:t>se</w:t>
            </w:r>
            <w:r>
              <w:rPr>
                <w:color w:val="231F20"/>
                <w:spacing w:val="-34"/>
                <w:w w:val="105"/>
                <w:sz w:val="18"/>
              </w:rPr>
              <w:t> </w:t>
            </w:r>
            <w:r>
              <w:rPr>
                <w:color w:val="231F20"/>
                <w:spacing w:val="-3"/>
                <w:w w:val="105"/>
                <w:sz w:val="18"/>
              </w:rPr>
              <w:t>com- </w:t>
            </w:r>
            <w:r>
              <w:rPr>
                <w:color w:val="231F20"/>
                <w:w w:val="105"/>
                <w:sz w:val="18"/>
              </w:rPr>
              <w:t>binan con la pequeña industria, </w:t>
            </w:r>
            <w:r>
              <w:rPr>
                <w:color w:val="231F20"/>
                <w:spacing w:val="2"/>
                <w:w w:val="105"/>
                <w:sz w:val="18"/>
              </w:rPr>
              <w:t>artesanía, comercio</w:t>
            </w:r>
            <w:r>
              <w:rPr>
                <w:color w:val="231F20"/>
                <w:spacing w:val="-37"/>
                <w:w w:val="105"/>
                <w:sz w:val="18"/>
              </w:rPr>
              <w:t> </w:t>
            </w:r>
            <w:r>
              <w:rPr>
                <w:color w:val="231F20"/>
                <w:w w:val="105"/>
                <w:sz w:val="18"/>
              </w:rPr>
              <w:t>y </w:t>
            </w:r>
            <w:r>
              <w:rPr>
                <w:color w:val="231F20"/>
                <w:spacing w:val="3"/>
                <w:w w:val="105"/>
                <w:sz w:val="18"/>
              </w:rPr>
              <w:t>servicios </w:t>
            </w:r>
            <w:r>
              <w:rPr>
                <w:color w:val="231F20"/>
                <w:w w:val="105"/>
                <w:sz w:val="18"/>
              </w:rPr>
              <w:t>que</w:t>
            </w:r>
            <w:r>
              <w:rPr>
                <w:color w:val="231F20"/>
                <w:spacing w:val="-23"/>
                <w:w w:val="105"/>
                <w:sz w:val="18"/>
              </w:rPr>
              <w:t> </w:t>
            </w:r>
            <w:r>
              <w:rPr>
                <w:color w:val="231F20"/>
                <w:w w:val="105"/>
                <w:sz w:val="18"/>
              </w:rPr>
              <w:t>se</w:t>
            </w:r>
            <w:r>
              <w:rPr>
                <w:color w:val="231F20"/>
                <w:spacing w:val="-23"/>
                <w:w w:val="105"/>
                <w:sz w:val="18"/>
              </w:rPr>
              <w:t> </w:t>
            </w:r>
            <w:r>
              <w:rPr>
                <w:color w:val="231F20"/>
                <w:w w:val="105"/>
                <w:sz w:val="18"/>
              </w:rPr>
              <w:t>derivan</w:t>
            </w:r>
            <w:r>
              <w:rPr>
                <w:color w:val="231F20"/>
                <w:spacing w:val="-23"/>
                <w:w w:val="105"/>
                <w:sz w:val="18"/>
              </w:rPr>
              <w:t> </w:t>
            </w:r>
            <w:r>
              <w:rPr>
                <w:color w:val="231F20"/>
                <w:w w:val="105"/>
                <w:sz w:val="18"/>
              </w:rPr>
              <w:t>generalmente</w:t>
            </w:r>
            <w:r>
              <w:rPr>
                <w:color w:val="231F20"/>
                <w:spacing w:val="-23"/>
                <w:w w:val="105"/>
                <w:sz w:val="18"/>
              </w:rPr>
              <w:t> </w:t>
            </w:r>
            <w:r>
              <w:rPr>
                <w:color w:val="231F20"/>
                <w:w w:val="105"/>
                <w:sz w:val="18"/>
              </w:rPr>
              <w:t>de </w:t>
            </w:r>
            <w:r>
              <w:rPr>
                <w:color w:val="231F20"/>
                <w:sz w:val="18"/>
              </w:rPr>
              <w:t>actividades</w:t>
            </w:r>
            <w:r>
              <w:rPr>
                <w:color w:val="231F20"/>
                <w:spacing w:val="23"/>
                <w:sz w:val="18"/>
              </w:rPr>
              <w:t> </w:t>
            </w:r>
            <w:r>
              <w:rPr>
                <w:color w:val="231F20"/>
                <w:sz w:val="18"/>
              </w:rPr>
              <w:t>primarias.</w:t>
            </w:r>
          </w:p>
        </w:tc>
        <w:tc>
          <w:tcPr>
            <w:tcW w:w="2438" w:type="dxa"/>
          </w:tcPr>
          <w:p>
            <w:pPr>
              <w:pStyle w:val="TableParagraph"/>
              <w:spacing w:line="249" w:lineRule="auto" w:before="88"/>
              <w:ind w:left="78" w:right="73"/>
              <w:jc w:val="both"/>
              <w:rPr>
                <w:sz w:val="18"/>
              </w:rPr>
            </w:pPr>
            <w:r>
              <w:rPr>
                <w:color w:val="231F20"/>
                <w:w w:val="105"/>
                <w:sz w:val="18"/>
              </w:rPr>
              <w:t>Cuentan</w:t>
            </w:r>
            <w:r>
              <w:rPr>
                <w:color w:val="231F20"/>
                <w:spacing w:val="-33"/>
                <w:w w:val="105"/>
                <w:sz w:val="18"/>
              </w:rPr>
              <w:t> </w:t>
            </w:r>
            <w:r>
              <w:rPr>
                <w:color w:val="231F20"/>
                <w:w w:val="105"/>
                <w:sz w:val="18"/>
              </w:rPr>
              <w:t>con</w:t>
            </w:r>
            <w:r>
              <w:rPr>
                <w:color w:val="231F20"/>
                <w:spacing w:val="-33"/>
                <w:w w:val="105"/>
                <w:sz w:val="18"/>
              </w:rPr>
              <w:t> </w:t>
            </w:r>
            <w:r>
              <w:rPr>
                <w:color w:val="231F20"/>
                <w:w w:val="105"/>
                <w:sz w:val="18"/>
              </w:rPr>
              <w:t>servicios</w:t>
            </w:r>
            <w:r>
              <w:rPr>
                <w:color w:val="231F20"/>
                <w:spacing w:val="-33"/>
                <w:w w:val="105"/>
                <w:sz w:val="18"/>
              </w:rPr>
              <w:t> </w:t>
            </w:r>
            <w:r>
              <w:rPr>
                <w:color w:val="231F20"/>
                <w:w w:val="105"/>
                <w:sz w:val="18"/>
              </w:rPr>
              <w:t>públi- </w:t>
            </w:r>
            <w:r>
              <w:rPr>
                <w:color w:val="231F20"/>
                <w:sz w:val="18"/>
              </w:rPr>
              <w:t>cos</w:t>
            </w:r>
            <w:r>
              <w:rPr>
                <w:color w:val="231F20"/>
                <w:spacing w:val="-21"/>
                <w:sz w:val="18"/>
              </w:rPr>
              <w:t> </w:t>
            </w:r>
            <w:r>
              <w:rPr>
                <w:color w:val="231F20"/>
                <w:sz w:val="18"/>
              </w:rPr>
              <w:t>limitados</w:t>
            </w:r>
            <w:r>
              <w:rPr>
                <w:color w:val="231F20"/>
                <w:spacing w:val="-21"/>
                <w:sz w:val="18"/>
              </w:rPr>
              <w:t> </w:t>
            </w:r>
            <w:r>
              <w:rPr>
                <w:color w:val="231F20"/>
                <w:sz w:val="18"/>
              </w:rPr>
              <w:t>y</w:t>
            </w:r>
            <w:r>
              <w:rPr>
                <w:color w:val="231F20"/>
                <w:spacing w:val="-21"/>
                <w:sz w:val="18"/>
              </w:rPr>
              <w:t> </w:t>
            </w:r>
            <w:r>
              <w:rPr>
                <w:color w:val="231F20"/>
                <w:sz w:val="18"/>
              </w:rPr>
              <w:t>sus</w:t>
            </w:r>
            <w:r>
              <w:rPr>
                <w:color w:val="231F20"/>
                <w:spacing w:val="-21"/>
                <w:sz w:val="18"/>
              </w:rPr>
              <w:t> </w:t>
            </w:r>
            <w:r>
              <w:rPr>
                <w:color w:val="231F20"/>
                <w:sz w:val="18"/>
              </w:rPr>
              <w:t>viviendas, </w:t>
            </w:r>
            <w:r>
              <w:rPr>
                <w:color w:val="231F20"/>
                <w:spacing w:val="2"/>
                <w:w w:val="105"/>
                <w:sz w:val="18"/>
              </w:rPr>
              <w:t>calles </w:t>
            </w:r>
            <w:r>
              <w:rPr>
                <w:color w:val="231F20"/>
                <w:w w:val="105"/>
                <w:sz w:val="18"/>
              </w:rPr>
              <w:t>y </w:t>
            </w:r>
            <w:r>
              <w:rPr>
                <w:color w:val="231F20"/>
                <w:spacing w:val="2"/>
                <w:w w:val="105"/>
                <w:sz w:val="18"/>
              </w:rPr>
              <w:t>servicios públicos </w:t>
            </w:r>
            <w:r>
              <w:rPr>
                <w:color w:val="231F20"/>
                <w:w w:val="105"/>
                <w:sz w:val="18"/>
              </w:rPr>
              <w:t>funcionan con grandes de- </w:t>
            </w:r>
            <w:r>
              <w:rPr>
                <w:color w:val="231F20"/>
                <w:sz w:val="18"/>
              </w:rPr>
              <w:t>ficiencias. </w:t>
            </w:r>
            <w:r>
              <w:rPr>
                <w:color w:val="231F20"/>
                <w:spacing w:val="-3"/>
                <w:sz w:val="18"/>
              </w:rPr>
              <w:t>Presentan </w:t>
            </w:r>
            <w:r>
              <w:rPr>
                <w:color w:val="231F20"/>
                <w:sz w:val="18"/>
              </w:rPr>
              <w:t>agudos </w:t>
            </w:r>
            <w:r>
              <w:rPr>
                <w:color w:val="231F20"/>
                <w:spacing w:val="2"/>
                <w:w w:val="105"/>
                <w:sz w:val="18"/>
              </w:rPr>
              <w:t>problemas sociales </w:t>
            </w:r>
            <w:r>
              <w:rPr>
                <w:color w:val="231F20"/>
                <w:w w:val="105"/>
                <w:sz w:val="18"/>
              </w:rPr>
              <w:t>a </w:t>
            </w:r>
            <w:r>
              <w:rPr>
                <w:color w:val="231F20"/>
                <w:spacing w:val="2"/>
                <w:w w:val="105"/>
                <w:sz w:val="18"/>
              </w:rPr>
              <w:t>con- </w:t>
            </w:r>
            <w:r>
              <w:rPr>
                <w:color w:val="231F20"/>
                <w:w w:val="105"/>
                <w:sz w:val="18"/>
              </w:rPr>
              <w:t>secuencia del bajo nivel de desarrollo</w:t>
            </w:r>
            <w:r>
              <w:rPr>
                <w:color w:val="231F20"/>
                <w:spacing w:val="-29"/>
                <w:w w:val="105"/>
                <w:sz w:val="18"/>
              </w:rPr>
              <w:t> </w:t>
            </w:r>
            <w:r>
              <w:rPr>
                <w:color w:val="231F20"/>
                <w:w w:val="105"/>
                <w:sz w:val="18"/>
              </w:rPr>
              <w:t>económico.</w:t>
            </w:r>
          </w:p>
        </w:tc>
      </w:tr>
      <w:tr>
        <w:trPr>
          <w:trHeight w:val="2068" w:hRule="exact"/>
        </w:trPr>
        <w:tc>
          <w:tcPr>
            <w:tcW w:w="1469"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25"/>
              <w:ind w:left="78" w:right="265"/>
              <w:rPr>
                <w:sz w:val="18"/>
              </w:rPr>
            </w:pPr>
            <w:r>
              <w:rPr>
                <w:color w:val="231F20"/>
                <w:sz w:val="18"/>
              </w:rPr>
              <w:t>Rurales</w:t>
            </w:r>
          </w:p>
        </w:tc>
        <w:tc>
          <w:tcPr>
            <w:tcW w:w="3011" w:type="dxa"/>
          </w:tcPr>
          <w:p>
            <w:pPr>
              <w:pStyle w:val="TableParagraph"/>
              <w:spacing w:line="249" w:lineRule="auto" w:before="88"/>
              <w:ind w:left="304" w:right="74" w:hanging="227"/>
              <w:jc w:val="both"/>
              <w:rPr>
                <w:sz w:val="18"/>
              </w:rPr>
            </w:pPr>
            <w:r>
              <w:rPr>
                <w:color w:val="231F20"/>
                <w:w w:val="105"/>
                <w:sz w:val="18"/>
              </w:rPr>
              <w:t>1.</w:t>
            </w:r>
            <w:r>
              <w:rPr>
                <w:color w:val="231F20"/>
                <w:spacing w:val="-20"/>
                <w:w w:val="105"/>
                <w:sz w:val="18"/>
              </w:rPr>
              <w:t> </w:t>
            </w:r>
            <w:r>
              <w:rPr>
                <w:color w:val="231F20"/>
                <w:w w:val="105"/>
                <w:sz w:val="18"/>
              </w:rPr>
              <w:t>Escaso</w:t>
            </w:r>
            <w:r>
              <w:rPr>
                <w:color w:val="231F20"/>
                <w:spacing w:val="-39"/>
                <w:w w:val="105"/>
                <w:sz w:val="18"/>
              </w:rPr>
              <w:t> </w:t>
            </w:r>
            <w:r>
              <w:rPr>
                <w:color w:val="231F20"/>
                <w:spacing w:val="-3"/>
                <w:w w:val="105"/>
                <w:sz w:val="18"/>
              </w:rPr>
              <w:t>desarrollo</w:t>
            </w:r>
            <w:r>
              <w:rPr>
                <w:color w:val="231F20"/>
                <w:spacing w:val="-39"/>
                <w:w w:val="105"/>
                <w:sz w:val="18"/>
              </w:rPr>
              <w:t> </w:t>
            </w:r>
            <w:r>
              <w:rPr>
                <w:color w:val="231F20"/>
                <w:w w:val="105"/>
                <w:sz w:val="18"/>
              </w:rPr>
              <w:t>económico.</w:t>
            </w:r>
            <w:r>
              <w:rPr>
                <w:color w:val="231F20"/>
                <w:spacing w:val="-41"/>
                <w:w w:val="105"/>
                <w:sz w:val="18"/>
              </w:rPr>
              <w:t> </w:t>
            </w:r>
            <w:r>
              <w:rPr>
                <w:color w:val="231F20"/>
                <w:w w:val="105"/>
                <w:sz w:val="18"/>
              </w:rPr>
              <w:t>En ellos</w:t>
            </w:r>
            <w:r>
              <w:rPr>
                <w:color w:val="231F20"/>
                <w:spacing w:val="-11"/>
                <w:w w:val="105"/>
                <w:sz w:val="18"/>
              </w:rPr>
              <w:t> </w:t>
            </w:r>
            <w:r>
              <w:rPr>
                <w:color w:val="231F20"/>
                <w:w w:val="105"/>
                <w:sz w:val="18"/>
              </w:rPr>
              <w:t>se</w:t>
            </w:r>
            <w:r>
              <w:rPr>
                <w:color w:val="231F20"/>
                <w:spacing w:val="-11"/>
                <w:w w:val="105"/>
                <w:sz w:val="18"/>
              </w:rPr>
              <w:t> </w:t>
            </w:r>
            <w:r>
              <w:rPr>
                <w:color w:val="231F20"/>
                <w:w w:val="105"/>
                <w:sz w:val="18"/>
              </w:rPr>
              <w:t>encuentra</w:t>
            </w:r>
            <w:r>
              <w:rPr>
                <w:color w:val="231F20"/>
                <w:spacing w:val="-11"/>
                <w:w w:val="105"/>
                <w:sz w:val="18"/>
              </w:rPr>
              <w:t> </w:t>
            </w:r>
            <w:r>
              <w:rPr>
                <w:color w:val="231F20"/>
                <w:w w:val="105"/>
                <w:sz w:val="18"/>
              </w:rPr>
              <w:t>la</w:t>
            </w:r>
            <w:r>
              <w:rPr>
                <w:color w:val="231F20"/>
                <w:spacing w:val="-11"/>
                <w:w w:val="105"/>
                <w:sz w:val="18"/>
              </w:rPr>
              <w:t> </w:t>
            </w:r>
            <w:r>
              <w:rPr>
                <w:color w:val="231F20"/>
                <w:w w:val="105"/>
                <w:sz w:val="18"/>
              </w:rPr>
              <w:t>mayor</w:t>
            </w:r>
            <w:r>
              <w:rPr>
                <w:color w:val="231F20"/>
                <w:spacing w:val="-11"/>
                <w:w w:val="105"/>
                <w:sz w:val="18"/>
              </w:rPr>
              <w:t> </w:t>
            </w:r>
            <w:r>
              <w:rPr>
                <w:color w:val="231F20"/>
                <w:w w:val="105"/>
                <w:sz w:val="18"/>
              </w:rPr>
              <w:t>evi- </w:t>
            </w:r>
            <w:r>
              <w:rPr>
                <w:color w:val="231F20"/>
                <w:spacing w:val="-5"/>
                <w:w w:val="105"/>
                <w:sz w:val="18"/>
              </w:rPr>
              <w:t>dencia</w:t>
            </w:r>
            <w:r>
              <w:rPr>
                <w:color w:val="231F20"/>
                <w:spacing w:val="-18"/>
                <w:w w:val="105"/>
                <w:sz w:val="18"/>
              </w:rPr>
              <w:t> </w:t>
            </w:r>
            <w:r>
              <w:rPr>
                <w:color w:val="231F20"/>
                <w:spacing w:val="-3"/>
                <w:w w:val="105"/>
                <w:sz w:val="18"/>
              </w:rPr>
              <w:t>de</w:t>
            </w:r>
            <w:r>
              <w:rPr>
                <w:color w:val="231F20"/>
                <w:spacing w:val="-18"/>
                <w:w w:val="105"/>
                <w:sz w:val="18"/>
              </w:rPr>
              <w:t> </w:t>
            </w:r>
            <w:r>
              <w:rPr>
                <w:color w:val="231F20"/>
                <w:spacing w:val="-5"/>
                <w:w w:val="105"/>
                <w:sz w:val="18"/>
              </w:rPr>
              <w:t>problemática</w:t>
            </w:r>
            <w:r>
              <w:rPr>
                <w:color w:val="231F20"/>
                <w:spacing w:val="-18"/>
                <w:w w:val="105"/>
                <w:sz w:val="18"/>
              </w:rPr>
              <w:t> </w:t>
            </w:r>
            <w:r>
              <w:rPr>
                <w:color w:val="231F20"/>
                <w:spacing w:val="-5"/>
                <w:w w:val="105"/>
                <w:sz w:val="18"/>
              </w:rPr>
              <w:t>económi- </w:t>
            </w:r>
            <w:r>
              <w:rPr>
                <w:color w:val="231F20"/>
                <w:w w:val="105"/>
                <w:sz w:val="18"/>
              </w:rPr>
              <w:t>ca,</w:t>
            </w:r>
            <w:r>
              <w:rPr>
                <w:color w:val="231F20"/>
                <w:spacing w:val="-38"/>
                <w:w w:val="105"/>
                <w:sz w:val="18"/>
              </w:rPr>
              <w:t> </w:t>
            </w:r>
            <w:r>
              <w:rPr>
                <w:color w:val="231F20"/>
                <w:spacing w:val="-3"/>
                <w:w w:val="105"/>
                <w:sz w:val="18"/>
              </w:rPr>
              <w:t>social,</w:t>
            </w:r>
            <w:r>
              <w:rPr>
                <w:color w:val="231F20"/>
                <w:spacing w:val="-38"/>
                <w:w w:val="105"/>
                <w:sz w:val="18"/>
              </w:rPr>
              <w:t> </w:t>
            </w:r>
            <w:r>
              <w:rPr>
                <w:color w:val="231F20"/>
                <w:spacing w:val="-3"/>
                <w:w w:val="105"/>
                <w:sz w:val="18"/>
              </w:rPr>
              <w:t>política</w:t>
            </w:r>
            <w:r>
              <w:rPr>
                <w:color w:val="231F20"/>
                <w:spacing w:val="-34"/>
                <w:w w:val="105"/>
                <w:sz w:val="18"/>
              </w:rPr>
              <w:t> </w:t>
            </w:r>
            <w:r>
              <w:rPr>
                <w:color w:val="231F20"/>
                <w:w w:val="105"/>
                <w:sz w:val="18"/>
              </w:rPr>
              <w:t>y</w:t>
            </w:r>
            <w:r>
              <w:rPr>
                <w:color w:val="231F20"/>
                <w:spacing w:val="-35"/>
                <w:w w:val="105"/>
                <w:sz w:val="18"/>
              </w:rPr>
              <w:t> </w:t>
            </w:r>
            <w:r>
              <w:rPr>
                <w:color w:val="231F20"/>
                <w:spacing w:val="-4"/>
                <w:w w:val="105"/>
                <w:sz w:val="18"/>
              </w:rPr>
              <w:t>administrativa </w:t>
            </w:r>
            <w:r>
              <w:rPr>
                <w:color w:val="231F20"/>
                <w:w w:val="105"/>
                <w:sz w:val="18"/>
              </w:rPr>
              <w:t>del</w:t>
            </w:r>
            <w:r>
              <w:rPr>
                <w:color w:val="231F20"/>
                <w:spacing w:val="-34"/>
                <w:w w:val="105"/>
                <w:sz w:val="18"/>
              </w:rPr>
              <w:t> </w:t>
            </w:r>
            <w:r>
              <w:rPr>
                <w:color w:val="231F20"/>
                <w:w w:val="105"/>
                <w:sz w:val="18"/>
              </w:rPr>
              <w:t>país.</w:t>
            </w:r>
          </w:p>
        </w:tc>
        <w:tc>
          <w:tcPr>
            <w:tcW w:w="2438" w:type="dxa"/>
          </w:tcPr>
          <w:p>
            <w:pPr>
              <w:pStyle w:val="TableParagraph"/>
              <w:spacing w:line="249" w:lineRule="auto" w:before="88"/>
              <w:ind w:left="78" w:right="74"/>
              <w:jc w:val="both"/>
              <w:rPr>
                <w:sz w:val="18"/>
              </w:rPr>
            </w:pPr>
            <w:r>
              <w:rPr>
                <w:color w:val="231F20"/>
                <w:w w:val="105"/>
                <w:sz w:val="18"/>
              </w:rPr>
              <w:t>Existencia</w:t>
            </w:r>
            <w:r>
              <w:rPr>
                <w:color w:val="231F20"/>
                <w:spacing w:val="-39"/>
                <w:w w:val="105"/>
                <w:sz w:val="18"/>
              </w:rPr>
              <w:t> </w:t>
            </w:r>
            <w:r>
              <w:rPr>
                <w:color w:val="231F20"/>
                <w:w w:val="105"/>
                <w:sz w:val="18"/>
              </w:rPr>
              <w:t>de</w:t>
            </w:r>
            <w:r>
              <w:rPr>
                <w:color w:val="231F20"/>
                <w:spacing w:val="-39"/>
                <w:w w:val="105"/>
                <w:sz w:val="18"/>
              </w:rPr>
              <w:t> </w:t>
            </w:r>
            <w:r>
              <w:rPr>
                <w:color w:val="231F20"/>
                <w:w w:val="105"/>
                <w:sz w:val="18"/>
              </w:rPr>
              <w:t>pequeños</w:t>
            </w:r>
            <w:r>
              <w:rPr>
                <w:color w:val="231F20"/>
                <w:spacing w:val="-39"/>
                <w:w w:val="105"/>
                <w:sz w:val="18"/>
              </w:rPr>
              <w:t> </w:t>
            </w:r>
            <w:r>
              <w:rPr>
                <w:color w:val="231F20"/>
                <w:w w:val="105"/>
                <w:sz w:val="18"/>
              </w:rPr>
              <w:t>gru- pos</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población</w:t>
            </w:r>
            <w:r>
              <w:rPr>
                <w:color w:val="231F20"/>
                <w:spacing w:val="-27"/>
                <w:w w:val="105"/>
                <w:sz w:val="18"/>
              </w:rPr>
              <w:t> </w:t>
            </w:r>
            <w:r>
              <w:rPr>
                <w:color w:val="231F20"/>
                <w:w w:val="105"/>
                <w:sz w:val="18"/>
              </w:rPr>
              <w:t>asentados en un área determinada y que no cuentan con vías ni </w:t>
            </w:r>
            <w:r>
              <w:rPr>
                <w:color w:val="231F20"/>
                <w:spacing w:val="-3"/>
                <w:w w:val="105"/>
                <w:sz w:val="18"/>
              </w:rPr>
              <w:t>medios</w:t>
            </w:r>
            <w:r>
              <w:rPr>
                <w:color w:val="231F20"/>
                <w:spacing w:val="-26"/>
                <w:w w:val="105"/>
                <w:sz w:val="18"/>
              </w:rPr>
              <w:t> </w:t>
            </w:r>
            <w:r>
              <w:rPr>
                <w:color w:val="231F20"/>
                <w:w w:val="105"/>
                <w:sz w:val="18"/>
              </w:rPr>
              <w:t>de</w:t>
            </w:r>
            <w:r>
              <w:rPr>
                <w:color w:val="231F20"/>
                <w:spacing w:val="-26"/>
                <w:w w:val="105"/>
                <w:sz w:val="18"/>
              </w:rPr>
              <w:t> </w:t>
            </w:r>
            <w:r>
              <w:rPr>
                <w:color w:val="231F20"/>
                <w:spacing w:val="-3"/>
                <w:w w:val="105"/>
                <w:sz w:val="18"/>
              </w:rPr>
              <w:t>comunicación</w:t>
            </w:r>
            <w:r>
              <w:rPr>
                <w:color w:val="231F20"/>
                <w:spacing w:val="-26"/>
                <w:w w:val="105"/>
                <w:sz w:val="18"/>
              </w:rPr>
              <w:t> </w:t>
            </w:r>
            <w:r>
              <w:rPr>
                <w:color w:val="231F20"/>
                <w:w w:val="105"/>
                <w:sz w:val="18"/>
              </w:rPr>
              <w:t>en- tre unos y otros</w:t>
            </w:r>
            <w:r>
              <w:rPr>
                <w:color w:val="231F20"/>
                <w:spacing w:val="-17"/>
                <w:w w:val="105"/>
                <w:sz w:val="18"/>
              </w:rPr>
              <w:t> </w:t>
            </w:r>
            <w:r>
              <w:rPr>
                <w:color w:val="231F20"/>
                <w:w w:val="105"/>
                <w:sz w:val="18"/>
              </w:rPr>
              <w:t>(dispersión </w:t>
            </w:r>
            <w:r>
              <w:rPr>
                <w:color w:val="231F20"/>
                <w:spacing w:val="-3"/>
                <w:w w:val="105"/>
                <w:sz w:val="18"/>
              </w:rPr>
              <w:t>rural).</w:t>
            </w:r>
          </w:p>
          <w:p>
            <w:pPr>
              <w:pStyle w:val="TableParagraph"/>
              <w:spacing w:line="249" w:lineRule="auto" w:before="1"/>
              <w:ind w:left="78" w:right="73"/>
              <w:jc w:val="both"/>
              <w:rPr>
                <w:sz w:val="18"/>
              </w:rPr>
            </w:pPr>
            <w:r>
              <w:rPr>
                <w:color w:val="231F20"/>
                <w:spacing w:val="-5"/>
                <w:w w:val="105"/>
                <w:sz w:val="18"/>
              </w:rPr>
              <w:t>Presenta</w:t>
            </w:r>
            <w:r>
              <w:rPr>
                <w:color w:val="231F20"/>
                <w:spacing w:val="-34"/>
                <w:w w:val="105"/>
                <w:sz w:val="18"/>
              </w:rPr>
              <w:t> </w:t>
            </w:r>
            <w:r>
              <w:rPr>
                <w:color w:val="231F20"/>
                <w:spacing w:val="-3"/>
                <w:w w:val="105"/>
                <w:sz w:val="18"/>
              </w:rPr>
              <w:t>una</w:t>
            </w:r>
            <w:r>
              <w:rPr>
                <w:color w:val="231F20"/>
                <w:spacing w:val="-34"/>
                <w:w w:val="105"/>
                <w:sz w:val="18"/>
              </w:rPr>
              <w:t> </w:t>
            </w:r>
            <w:r>
              <w:rPr>
                <w:color w:val="231F20"/>
                <w:spacing w:val="-4"/>
                <w:w w:val="105"/>
                <w:sz w:val="18"/>
              </w:rPr>
              <w:t>fuerte</w:t>
            </w:r>
            <w:r>
              <w:rPr>
                <w:color w:val="231F20"/>
                <w:spacing w:val="-34"/>
                <w:w w:val="105"/>
                <w:sz w:val="18"/>
              </w:rPr>
              <w:t> </w:t>
            </w:r>
            <w:r>
              <w:rPr>
                <w:color w:val="231F20"/>
                <w:w w:val="105"/>
                <w:sz w:val="18"/>
              </w:rPr>
              <w:t>o</w:t>
            </w:r>
            <w:r>
              <w:rPr>
                <w:color w:val="231F20"/>
                <w:spacing w:val="-34"/>
                <w:w w:val="105"/>
                <w:sz w:val="18"/>
              </w:rPr>
              <w:t> </w:t>
            </w:r>
            <w:r>
              <w:rPr>
                <w:color w:val="231F20"/>
                <w:spacing w:val="-4"/>
                <w:w w:val="105"/>
                <w:sz w:val="18"/>
              </w:rPr>
              <w:t>total</w:t>
            </w:r>
            <w:r>
              <w:rPr>
                <w:color w:val="231F20"/>
                <w:spacing w:val="-34"/>
                <w:w w:val="105"/>
                <w:sz w:val="18"/>
              </w:rPr>
              <w:t> </w:t>
            </w:r>
            <w:r>
              <w:rPr>
                <w:color w:val="231F20"/>
                <w:spacing w:val="-3"/>
                <w:w w:val="105"/>
                <w:sz w:val="18"/>
              </w:rPr>
              <w:t>ca- rencia</w:t>
            </w:r>
            <w:r>
              <w:rPr>
                <w:color w:val="231F20"/>
                <w:spacing w:val="-32"/>
                <w:w w:val="105"/>
                <w:sz w:val="18"/>
              </w:rPr>
              <w:t> </w:t>
            </w:r>
            <w:r>
              <w:rPr>
                <w:color w:val="231F20"/>
                <w:w w:val="105"/>
                <w:sz w:val="18"/>
              </w:rPr>
              <w:t>de</w:t>
            </w:r>
            <w:r>
              <w:rPr>
                <w:color w:val="231F20"/>
                <w:spacing w:val="-32"/>
                <w:w w:val="105"/>
                <w:sz w:val="18"/>
              </w:rPr>
              <w:t> </w:t>
            </w:r>
            <w:r>
              <w:rPr>
                <w:color w:val="231F20"/>
                <w:w w:val="105"/>
                <w:sz w:val="18"/>
              </w:rPr>
              <w:t>servicios</w:t>
            </w:r>
            <w:r>
              <w:rPr>
                <w:color w:val="231F20"/>
                <w:spacing w:val="-32"/>
                <w:w w:val="105"/>
                <w:sz w:val="18"/>
              </w:rPr>
              <w:t> </w:t>
            </w:r>
            <w:r>
              <w:rPr>
                <w:color w:val="231F20"/>
                <w:w w:val="105"/>
                <w:sz w:val="18"/>
              </w:rPr>
              <w:t>públicos.</w:t>
            </w:r>
          </w:p>
        </w:tc>
      </w:tr>
    </w:tbl>
    <w:p>
      <w:pPr>
        <w:spacing w:before="18"/>
        <w:ind w:left="117" w:right="114" w:firstLine="0"/>
        <w:jc w:val="left"/>
        <w:rPr>
          <w:sz w:val="16"/>
        </w:rPr>
      </w:pPr>
      <w:r>
        <w:rPr>
          <w:color w:val="231F20"/>
          <w:w w:val="105"/>
          <w:sz w:val="16"/>
        </w:rPr>
        <w:t>Fuente: Elaboración propia a partir de Martínez (1992).</w:t>
      </w:r>
    </w:p>
    <w:p>
      <w:pPr>
        <w:spacing w:after="0"/>
        <w:jc w:val="left"/>
        <w:rPr>
          <w:sz w:val="16"/>
        </w:rPr>
        <w:sectPr>
          <w:pgSz w:w="9640" w:h="13890"/>
          <w:pgMar w:top="0" w:bottom="280" w:left="1300" w:right="1180"/>
        </w:sectPr>
      </w:pPr>
    </w:p>
    <w:p>
      <w:pPr>
        <w:pStyle w:val="BodyText"/>
        <w:spacing w:line="259" w:lineRule="auto" w:before="120"/>
        <w:ind w:left="103" w:right="110"/>
        <w:jc w:val="both"/>
      </w:pPr>
      <w:r>
        <w:rPr>
          <w:color w:val="231F20"/>
          <w:w w:val="105"/>
        </w:rPr>
        <w:t>Con</w:t>
      </w:r>
      <w:r>
        <w:rPr>
          <w:color w:val="231F20"/>
          <w:spacing w:val="-25"/>
          <w:w w:val="105"/>
        </w:rPr>
        <w:t> </w:t>
      </w:r>
      <w:r>
        <w:rPr>
          <w:color w:val="231F20"/>
          <w:w w:val="105"/>
        </w:rPr>
        <w:t>lo</w:t>
      </w:r>
      <w:r>
        <w:rPr>
          <w:color w:val="231F20"/>
          <w:spacing w:val="-25"/>
          <w:w w:val="105"/>
        </w:rPr>
        <w:t> </w:t>
      </w:r>
      <w:r>
        <w:rPr>
          <w:color w:val="231F20"/>
          <w:w w:val="105"/>
        </w:rPr>
        <w:t>anterior</w:t>
      </w:r>
      <w:r>
        <w:rPr>
          <w:color w:val="231F20"/>
          <w:spacing w:val="-25"/>
          <w:w w:val="105"/>
        </w:rPr>
        <w:t> </w:t>
      </w:r>
      <w:r>
        <w:rPr>
          <w:color w:val="231F20"/>
          <w:w w:val="105"/>
        </w:rPr>
        <w:t>queda</w:t>
      </w:r>
      <w:r>
        <w:rPr>
          <w:color w:val="231F20"/>
          <w:spacing w:val="-25"/>
          <w:w w:val="105"/>
        </w:rPr>
        <w:t> </w:t>
      </w:r>
      <w:r>
        <w:rPr>
          <w:color w:val="231F20"/>
          <w:w w:val="105"/>
        </w:rPr>
        <w:t>manifiesta</w:t>
      </w:r>
      <w:r>
        <w:rPr>
          <w:color w:val="231F20"/>
          <w:spacing w:val="-25"/>
          <w:w w:val="105"/>
        </w:rPr>
        <w:t> </w:t>
      </w:r>
      <w:r>
        <w:rPr>
          <w:color w:val="231F20"/>
          <w:w w:val="105"/>
        </w:rPr>
        <w:t>la</w:t>
      </w:r>
      <w:r>
        <w:rPr>
          <w:color w:val="231F20"/>
          <w:spacing w:val="-25"/>
          <w:w w:val="105"/>
        </w:rPr>
        <w:t> </w:t>
      </w:r>
      <w:r>
        <w:rPr>
          <w:color w:val="231F20"/>
          <w:w w:val="105"/>
        </w:rPr>
        <w:t>necesidad</w:t>
      </w:r>
      <w:r>
        <w:rPr>
          <w:color w:val="231F20"/>
          <w:spacing w:val="-25"/>
          <w:w w:val="105"/>
        </w:rPr>
        <w:t> </w:t>
      </w:r>
      <w:r>
        <w:rPr>
          <w:color w:val="231F20"/>
          <w:w w:val="105"/>
        </w:rPr>
        <w:t>de</w:t>
      </w:r>
      <w:r>
        <w:rPr>
          <w:color w:val="231F20"/>
          <w:spacing w:val="-25"/>
          <w:w w:val="105"/>
        </w:rPr>
        <w:t> </w:t>
      </w:r>
      <w:r>
        <w:rPr>
          <w:color w:val="231F20"/>
          <w:w w:val="105"/>
        </w:rPr>
        <w:t>atender</w:t>
      </w:r>
      <w:r>
        <w:rPr>
          <w:color w:val="231F20"/>
          <w:spacing w:val="-25"/>
          <w:w w:val="105"/>
        </w:rPr>
        <w:t> </w:t>
      </w:r>
      <w:r>
        <w:rPr>
          <w:color w:val="231F20"/>
          <w:w w:val="105"/>
        </w:rPr>
        <w:t>la</w:t>
      </w:r>
      <w:r>
        <w:rPr>
          <w:color w:val="231F20"/>
          <w:spacing w:val="-25"/>
          <w:w w:val="105"/>
        </w:rPr>
        <w:t> </w:t>
      </w:r>
      <w:r>
        <w:rPr>
          <w:color w:val="231F20"/>
          <w:w w:val="105"/>
        </w:rPr>
        <w:t>problemática que enfrentan los municipios de nuestro país. Desde el marco</w:t>
      </w:r>
      <w:r>
        <w:rPr>
          <w:color w:val="231F20"/>
          <w:spacing w:val="-41"/>
          <w:w w:val="105"/>
        </w:rPr>
        <w:t> </w:t>
      </w:r>
      <w:r>
        <w:rPr>
          <w:color w:val="231F20"/>
          <w:w w:val="105"/>
        </w:rPr>
        <w:t>adminis- trativo</w:t>
      </w:r>
      <w:r>
        <w:rPr>
          <w:color w:val="231F20"/>
          <w:spacing w:val="-12"/>
          <w:w w:val="105"/>
        </w:rPr>
        <w:t> </w:t>
      </w:r>
      <w:r>
        <w:rPr>
          <w:color w:val="231F20"/>
          <w:w w:val="105"/>
        </w:rPr>
        <w:t>el</w:t>
      </w:r>
      <w:r>
        <w:rPr>
          <w:color w:val="231F20"/>
          <w:spacing w:val="-12"/>
          <w:w w:val="105"/>
        </w:rPr>
        <w:t> </w:t>
      </w:r>
      <w:r>
        <w:rPr>
          <w:color w:val="231F20"/>
          <w:w w:val="105"/>
        </w:rPr>
        <w:t>municipio</w:t>
      </w:r>
      <w:r>
        <w:rPr>
          <w:color w:val="231F20"/>
          <w:spacing w:val="-12"/>
          <w:w w:val="105"/>
        </w:rPr>
        <w:t> </w:t>
      </w:r>
      <w:r>
        <w:rPr>
          <w:color w:val="231F20"/>
          <w:w w:val="105"/>
        </w:rPr>
        <w:t>es</w:t>
      </w:r>
      <w:r>
        <w:rPr>
          <w:color w:val="231F20"/>
          <w:spacing w:val="-12"/>
          <w:w w:val="105"/>
        </w:rPr>
        <w:t> </w:t>
      </w:r>
      <w:r>
        <w:rPr>
          <w:color w:val="231F20"/>
          <w:w w:val="105"/>
        </w:rPr>
        <w:t>capaz</w:t>
      </w:r>
      <w:r>
        <w:rPr>
          <w:color w:val="231F20"/>
          <w:spacing w:val="-12"/>
          <w:w w:val="105"/>
        </w:rPr>
        <w:t> </w:t>
      </w:r>
      <w:r>
        <w:rPr>
          <w:color w:val="231F20"/>
          <w:w w:val="105"/>
        </w:rPr>
        <w:t>de</w:t>
      </w:r>
      <w:r>
        <w:rPr>
          <w:color w:val="231F20"/>
          <w:spacing w:val="-12"/>
          <w:w w:val="105"/>
        </w:rPr>
        <w:t> </w:t>
      </w:r>
      <w:r>
        <w:rPr>
          <w:color w:val="231F20"/>
          <w:w w:val="105"/>
        </w:rPr>
        <w:t>fortalecerse</w:t>
      </w:r>
      <w:r>
        <w:rPr>
          <w:color w:val="231F20"/>
          <w:spacing w:val="-12"/>
          <w:w w:val="105"/>
        </w:rPr>
        <w:t> </w:t>
      </w:r>
      <w:r>
        <w:rPr>
          <w:color w:val="231F20"/>
          <w:w w:val="105"/>
        </w:rPr>
        <w:t>política</w:t>
      </w:r>
      <w:r>
        <w:rPr>
          <w:color w:val="231F20"/>
          <w:spacing w:val="-12"/>
          <w:w w:val="105"/>
        </w:rPr>
        <w:t> </w:t>
      </w:r>
      <w:r>
        <w:rPr>
          <w:color w:val="231F20"/>
          <w:w w:val="105"/>
        </w:rPr>
        <w:t>y</w:t>
      </w:r>
      <w:r>
        <w:rPr>
          <w:color w:val="231F20"/>
          <w:spacing w:val="-12"/>
          <w:w w:val="105"/>
        </w:rPr>
        <w:t> </w:t>
      </w:r>
      <w:r>
        <w:rPr>
          <w:color w:val="231F20"/>
          <w:w w:val="105"/>
        </w:rPr>
        <w:t>económicamente, así</w:t>
      </w:r>
      <w:r>
        <w:rPr>
          <w:color w:val="231F20"/>
          <w:spacing w:val="-12"/>
          <w:w w:val="105"/>
        </w:rPr>
        <w:t> </w:t>
      </w:r>
      <w:r>
        <w:rPr>
          <w:color w:val="231F20"/>
          <w:w w:val="105"/>
        </w:rPr>
        <w:t>como</w:t>
      </w:r>
      <w:r>
        <w:rPr>
          <w:color w:val="231F20"/>
          <w:spacing w:val="-12"/>
          <w:w w:val="105"/>
        </w:rPr>
        <w:t> </w:t>
      </w:r>
      <w:r>
        <w:rPr>
          <w:color w:val="231F20"/>
          <w:w w:val="105"/>
        </w:rPr>
        <w:t>de</w:t>
      </w:r>
      <w:r>
        <w:rPr>
          <w:color w:val="231F20"/>
          <w:spacing w:val="-12"/>
          <w:w w:val="105"/>
        </w:rPr>
        <w:t> </w:t>
      </w:r>
      <w:r>
        <w:rPr>
          <w:color w:val="231F20"/>
          <w:w w:val="105"/>
        </w:rPr>
        <w:t>conducirse</w:t>
      </w:r>
      <w:r>
        <w:rPr>
          <w:color w:val="231F20"/>
          <w:spacing w:val="-12"/>
          <w:w w:val="105"/>
        </w:rPr>
        <w:t> </w:t>
      </w:r>
      <w:r>
        <w:rPr>
          <w:color w:val="231F20"/>
          <w:w w:val="105"/>
        </w:rPr>
        <w:t>y</w:t>
      </w:r>
      <w:r>
        <w:rPr>
          <w:color w:val="231F20"/>
          <w:spacing w:val="-12"/>
          <w:w w:val="105"/>
        </w:rPr>
        <w:t> </w:t>
      </w:r>
      <w:r>
        <w:rPr>
          <w:color w:val="231F20"/>
          <w:w w:val="105"/>
        </w:rPr>
        <w:t>gestionar</w:t>
      </w:r>
      <w:r>
        <w:rPr>
          <w:color w:val="231F20"/>
          <w:spacing w:val="-12"/>
          <w:w w:val="105"/>
        </w:rPr>
        <w:t> </w:t>
      </w:r>
      <w:r>
        <w:rPr>
          <w:color w:val="231F20"/>
          <w:w w:val="105"/>
        </w:rPr>
        <w:t>su</w:t>
      </w:r>
      <w:r>
        <w:rPr>
          <w:color w:val="231F20"/>
          <w:spacing w:val="-12"/>
          <w:w w:val="105"/>
        </w:rPr>
        <w:t> </w:t>
      </w:r>
      <w:r>
        <w:rPr>
          <w:color w:val="231F20"/>
          <w:w w:val="105"/>
        </w:rPr>
        <w:t>desarrollo.</w:t>
      </w:r>
      <w:r>
        <w:rPr>
          <w:color w:val="231F20"/>
          <w:spacing w:val="-17"/>
          <w:w w:val="105"/>
        </w:rPr>
        <w:t> </w:t>
      </w:r>
      <w:r>
        <w:rPr>
          <w:color w:val="231F20"/>
          <w:w w:val="105"/>
        </w:rPr>
        <w:t>Los</w:t>
      </w:r>
      <w:r>
        <w:rPr>
          <w:color w:val="231F20"/>
          <w:spacing w:val="-12"/>
          <w:w w:val="105"/>
        </w:rPr>
        <w:t> </w:t>
      </w:r>
      <w:r>
        <w:rPr>
          <w:color w:val="231F20"/>
          <w:w w:val="105"/>
        </w:rPr>
        <w:t>municipios</w:t>
      </w:r>
      <w:r>
        <w:rPr>
          <w:color w:val="231F20"/>
          <w:spacing w:val="-12"/>
          <w:w w:val="105"/>
        </w:rPr>
        <w:t> </w:t>
      </w:r>
      <w:r>
        <w:rPr>
          <w:color w:val="231F20"/>
          <w:w w:val="105"/>
        </w:rPr>
        <w:t>tienen la oportunidad de diseñar sus propios planes, ejecutarlos y evaluarlos; proponer objetivos y metas de desarrollo, validando sus programas y proyectos basados en el conocimiento de su problemática, su entorno político,</w:t>
      </w:r>
      <w:r>
        <w:rPr>
          <w:color w:val="231F20"/>
          <w:spacing w:val="-29"/>
          <w:w w:val="105"/>
        </w:rPr>
        <w:t> </w:t>
      </w:r>
      <w:r>
        <w:rPr>
          <w:color w:val="231F20"/>
          <w:w w:val="105"/>
        </w:rPr>
        <w:t>social</w:t>
      </w:r>
      <w:r>
        <w:rPr>
          <w:color w:val="231F20"/>
          <w:spacing w:val="-24"/>
          <w:w w:val="105"/>
        </w:rPr>
        <w:t> </w:t>
      </w:r>
      <w:r>
        <w:rPr>
          <w:color w:val="231F20"/>
          <w:w w:val="105"/>
        </w:rPr>
        <w:t>y</w:t>
      </w:r>
      <w:r>
        <w:rPr>
          <w:color w:val="231F20"/>
          <w:spacing w:val="-24"/>
          <w:w w:val="105"/>
        </w:rPr>
        <w:t> </w:t>
      </w:r>
      <w:r>
        <w:rPr>
          <w:color w:val="231F20"/>
          <w:w w:val="105"/>
        </w:rPr>
        <w:t>económico</w:t>
      </w:r>
      <w:r>
        <w:rPr>
          <w:color w:val="231F20"/>
          <w:spacing w:val="-24"/>
          <w:w w:val="105"/>
        </w:rPr>
        <w:t> </w:t>
      </w:r>
      <w:r>
        <w:rPr>
          <w:color w:val="231F20"/>
          <w:w w:val="105"/>
        </w:rPr>
        <w:t>(López,</w:t>
      </w:r>
      <w:r>
        <w:rPr>
          <w:color w:val="231F20"/>
          <w:spacing w:val="-29"/>
          <w:w w:val="105"/>
        </w:rPr>
        <w:t> </w:t>
      </w:r>
      <w:r>
        <w:rPr>
          <w:color w:val="231F20"/>
          <w:w w:val="105"/>
        </w:rPr>
        <w:t>2005).</w:t>
      </w:r>
    </w:p>
    <w:p>
      <w:pPr>
        <w:pStyle w:val="BodyText"/>
        <w:spacing w:line="259" w:lineRule="auto"/>
        <w:ind w:left="103" w:right="115" w:firstLine="567"/>
        <w:jc w:val="both"/>
      </w:pPr>
      <w:r>
        <w:rPr>
          <w:color w:val="231F20"/>
          <w:w w:val="105"/>
        </w:rPr>
        <w:t>Es</w:t>
      </w:r>
      <w:r>
        <w:rPr>
          <w:color w:val="231F20"/>
          <w:spacing w:val="-19"/>
          <w:w w:val="105"/>
        </w:rPr>
        <w:t> </w:t>
      </w:r>
      <w:r>
        <w:rPr>
          <w:color w:val="231F20"/>
          <w:w w:val="105"/>
        </w:rPr>
        <w:t>fundamental</w:t>
      </w:r>
      <w:r>
        <w:rPr>
          <w:color w:val="231F20"/>
          <w:spacing w:val="-19"/>
          <w:w w:val="105"/>
        </w:rPr>
        <w:t> </w:t>
      </w:r>
      <w:r>
        <w:rPr>
          <w:color w:val="231F20"/>
          <w:w w:val="105"/>
        </w:rPr>
        <w:t>dar</w:t>
      </w:r>
      <w:r>
        <w:rPr>
          <w:color w:val="231F20"/>
          <w:spacing w:val="-19"/>
          <w:w w:val="105"/>
        </w:rPr>
        <w:t> </w:t>
      </w:r>
      <w:r>
        <w:rPr>
          <w:color w:val="231F20"/>
          <w:w w:val="105"/>
        </w:rPr>
        <w:t>mayor</w:t>
      </w:r>
      <w:r>
        <w:rPr>
          <w:color w:val="231F20"/>
          <w:spacing w:val="-19"/>
          <w:w w:val="105"/>
        </w:rPr>
        <w:t> </w:t>
      </w:r>
      <w:r>
        <w:rPr>
          <w:color w:val="231F20"/>
          <w:w w:val="105"/>
        </w:rPr>
        <w:t>solidez</w:t>
      </w:r>
      <w:r>
        <w:rPr>
          <w:color w:val="231F20"/>
          <w:spacing w:val="-19"/>
          <w:w w:val="105"/>
        </w:rPr>
        <w:t> </w:t>
      </w:r>
      <w:r>
        <w:rPr>
          <w:color w:val="231F20"/>
          <w:w w:val="105"/>
        </w:rPr>
        <w:t>institucional</w:t>
      </w:r>
      <w:r>
        <w:rPr>
          <w:color w:val="231F20"/>
          <w:spacing w:val="-19"/>
          <w:w w:val="105"/>
        </w:rPr>
        <w:t> </w:t>
      </w:r>
      <w:r>
        <w:rPr>
          <w:color w:val="231F20"/>
          <w:w w:val="105"/>
        </w:rPr>
        <w:t>y</w:t>
      </w:r>
      <w:r>
        <w:rPr>
          <w:color w:val="231F20"/>
          <w:spacing w:val="-19"/>
          <w:w w:val="105"/>
        </w:rPr>
        <w:t> </w:t>
      </w:r>
      <w:r>
        <w:rPr>
          <w:color w:val="231F20"/>
          <w:w w:val="105"/>
        </w:rPr>
        <w:t>fortaleza</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en- tidades</w:t>
      </w:r>
      <w:r>
        <w:rPr>
          <w:color w:val="231F20"/>
          <w:spacing w:val="-24"/>
          <w:w w:val="105"/>
        </w:rPr>
        <w:t> </w:t>
      </w:r>
      <w:r>
        <w:rPr>
          <w:color w:val="231F20"/>
          <w:w w:val="105"/>
        </w:rPr>
        <w:t>municipales</w:t>
      </w:r>
      <w:r>
        <w:rPr>
          <w:color w:val="231F20"/>
          <w:spacing w:val="-24"/>
          <w:w w:val="105"/>
        </w:rPr>
        <w:t> </w:t>
      </w:r>
      <w:r>
        <w:rPr>
          <w:color w:val="231F20"/>
          <w:w w:val="105"/>
        </w:rPr>
        <w:t>para</w:t>
      </w:r>
      <w:r>
        <w:rPr>
          <w:color w:val="231F20"/>
          <w:spacing w:val="-24"/>
          <w:w w:val="105"/>
        </w:rPr>
        <w:t> </w:t>
      </w:r>
      <w:r>
        <w:rPr>
          <w:color w:val="231F20"/>
          <w:w w:val="105"/>
        </w:rPr>
        <w:t>que</w:t>
      </w:r>
      <w:r>
        <w:rPr>
          <w:color w:val="231F20"/>
          <w:spacing w:val="-24"/>
          <w:w w:val="105"/>
        </w:rPr>
        <w:t> </w:t>
      </w:r>
      <w:r>
        <w:rPr>
          <w:color w:val="231F20"/>
          <w:w w:val="105"/>
        </w:rPr>
        <w:t>puedan</w:t>
      </w:r>
      <w:r>
        <w:rPr>
          <w:color w:val="231F20"/>
          <w:spacing w:val="-24"/>
          <w:w w:val="105"/>
        </w:rPr>
        <w:t> </w:t>
      </w:r>
      <w:r>
        <w:rPr>
          <w:color w:val="231F20"/>
          <w:w w:val="105"/>
        </w:rPr>
        <w:t>organizar</w:t>
      </w:r>
      <w:r>
        <w:rPr>
          <w:color w:val="231F20"/>
          <w:spacing w:val="-24"/>
          <w:w w:val="105"/>
        </w:rPr>
        <w:t> </w:t>
      </w:r>
      <w:r>
        <w:rPr>
          <w:color w:val="231F20"/>
          <w:w w:val="105"/>
        </w:rPr>
        <w:t>de</w:t>
      </w:r>
      <w:r>
        <w:rPr>
          <w:color w:val="231F20"/>
          <w:spacing w:val="-24"/>
          <w:w w:val="105"/>
        </w:rPr>
        <w:t> </w:t>
      </w:r>
      <w:r>
        <w:rPr>
          <w:color w:val="231F20"/>
          <w:w w:val="105"/>
        </w:rPr>
        <w:t>manera</w:t>
      </w:r>
      <w:r>
        <w:rPr>
          <w:color w:val="231F20"/>
          <w:spacing w:val="-24"/>
          <w:w w:val="105"/>
        </w:rPr>
        <w:t> </w:t>
      </w:r>
      <w:r>
        <w:rPr>
          <w:color w:val="231F20"/>
          <w:w w:val="105"/>
        </w:rPr>
        <w:t>más</w:t>
      </w:r>
      <w:r>
        <w:rPr>
          <w:color w:val="231F20"/>
          <w:spacing w:val="-24"/>
          <w:w w:val="105"/>
        </w:rPr>
        <w:t> </w:t>
      </w:r>
      <w:r>
        <w:rPr>
          <w:color w:val="231F20"/>
          <w:w w:val="105"/>
        </w:rPr>
        <w:t>eficiente el</w:t>
      </w:r>
      <w:r>
        <w:rPr>
          <w:color w:val="231F20"/>
          <w:spacing w:val="-22"/>
          <w:w w:val="105"/>
        </w:rPr>
        <w:t> </w:t>
      </w:r>
      <w:r>
        <w:rPr>
          <w:color w:val="231F20"/>
          <w:w w:val="105"/>
        </w:rPr>
        <w:t>esfuerzo</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w w:val="105"/>
        </w:rPr>
        <w:t>potencialidades</w:t>
      </w:r>
      <w:r>
        <w:rPr>
          <w:color w:val="231F20"/>
          <w:spacing w:val="-22"/>
          <w:w w:val="105"/>
        </w:rPr>
        <w:t> </w:t>
      </w:r>
      <w:r>
        <w:rPr>
          <w:color w:val="231F20"/>
          <w:w w:val="105"/>
        </w:rPr>
        <w:t>de</w:t>
      </w:r>
      <w:r>
        <w:rPr>
          <w:color w:val="231F20"/>
          <w:spacing w:val="-22"/>
          <w:w w:val="105"/>
        </w:rPr>
        <w:t> </w:t>
      </w:r>
      <w:r>
        <w:rPr>
          <w:color w:val="231F20"/>
          <w:w w:val="105"/>
        </w:rPr>
        <w:t>su</w:t>
      </w:r>
      <w:r>
        <w:rPr>
          <w:color w:val="231F20"/>
          <w:spacing w:val="-22"/>
          <w:w w:val="105"/>
        </w:rPr>
        <w:t> </w:t>
      </w:r>
      <w:r>
        <w:rPr>
          <w:color w:val="231F20"/>
          <w:w w:val="105"/>
        </w:rPr>
        <w:t>comunidad</w:t>
      </w:r>
      <w:r>
        <w:rPr>
          <w:color w:val="231F20"/>
          <w:spacing w:val="-22"/>
          <w:w w:val="105"/>
        </w:rPr>
        <w:t> </w:t>
      </w:r>
      <w:r>
        <w:rPr>
          <w:color w:val="231F20"/>
          <w:w w:val="105"/>
        </w:rPr>
        <w:t>a</w:t>
      </w:r>
      <w:r>
        <w:rPr>
          <w:color w:val="231F20"/>
          <w:spacing w:val="-22"/>
          <w:w w:val="105"/>
        </w:rPr>
        <w:t> </w:t>
      </w:r>
      <w:r>
        <w:rPr>
          <w:color w:val="231F20"/>
          <w:w w:val="105"/>
        </w:rPr>
        <w:t>través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búsque- da</w:t>
      </w:r>
      <w:r>
        <w:rPr>
          <w:color w:val="231F20"/>
          <w:spacing w:val="-11"/>
          <w:w w:val="105"/>
        </w:rPr>
        <w:t> </w:t>
      </w:r>
      <w:r>
        <w:rPr>
          <w:color w:val="231F20"/>
          <w:w w:val="105"/>
        </w:rPr>
        <w:t>de</w:t>
      </w:r>
      <w:r>
        <w:rPr>
          <w:color w:val="231F20"/>
          <w:spacing w:val="-11"/>
          <w:w w:val="105"/>
        </w:rPr>
        <w:t> </w:t>
      </w:r>
      <w:r>
        <w:rPr>
          <w:color w:val="231F20"/>
          <w:w w:val="105"/>
        </w:rPr>
        <w:t>mayores</w:t>
      </w:r>
      <w:r>
        <w:rPr>
          <w:color w:val="231F20"/>
          <w:spacing w:val="-11"/>
          <w:w w:val="105"/>
        </w:rPr>
        <w:t> </w:t>
      </w:r>
      <w:r>
        <w:rPr>
          <w:color w:val="231F20"/>
          <w:w w:val="105"/>
        </w:rPr>
        <w:t>niveles</w:t>
      </w:r>
      <w:r>
        <w:rPr>
          <w:color w:val="231F20"/>
          <w:spacing w:val="-11"/>
          <w:w w:val="105"/>
        </w:rPr>
        <w:t> </w:t>
      </w:r>
      <w:r>
        <w:rPr>
          <w:color w:val="231F20"/>
          <w:w w:val="105"/>
        </w:rPr>
        <w:t>de</w:t>
      </w:r>
      <w:r>
        <w:rPr>
          <w:color w:val="231F20"/>
          <w:spacing w:val="-11"/>
          <w:w w:val="105"/>
        </w:rPr>
        <w:t> </w:t>
      </w:r>
      <w:r>
        <w:rPr>
          <w:color w:val="231F20"/>
          <w:w w:val="105"/>
        </w:rPr>
        <w:t>competitividad.</w:t>
      </w:r>
    </w:p>
    <w:p>
      <w:pPr>
        <w:pStyle w:val="BodyText"/>
        <w:rPr>
          <w:sz w:val="20"/>
        </w:rPr>
      </w:pPr>
    </w:p>
    <w:p>
      <w:pPr>
        <w:pStyle w:val="BodyText"/>
        <w:spacing w:before="7"/>
        <w:rPr>
          <w:sz w:val="18"/>
        </w:rPr>
      </w:pPr>
    </w:p>
    <w:p>
      <w:pPr>
        <w:pStyle w:val="Heading2"/>
        <w:ind w:left="103"/>
      </w:pPr>
      <w:r>
        <w:rPr>
          <w:color w:val="231F20"/>
        </w:rPr>
        <w:t>Competitividad municipal</w:t>
      </w:r>
    </w:p>
    <w:p>
      <w:pPr>
        <w:pStyle w:val="BodyText"/>
        <w:rPr>
          <w:b/>
          <w:sz w:val="22"/>
        </w:rPr>
      </w:pPr>
    </w:p>
    <w:p>
      <w:pPr>
        <w:pStyle w:val="BodyText"/>
        <w:spacing w:line="259" w:lineRule="auto" w:before="160"/>
        <w:ind w:left="103" w:right="114"/>
        <w:jc w:val="both"/>
      </w:pPr>
      <w:r>
        <w:rPr>
          <w:color w:val="231F20"/>
          <w:w w:val="105"/>
        </w:rPr>
        <w:t>La competitividad es una noción polémica, alrededor de la cual se han desarrollado diferentes debates. Uno de ellos se refiere a las llamadas “ciudades competitivas”</w:t>
      </w:r>
      <w:r>
        <w:rPr>
          <w:color w:val="231F20"/>
          <w:w w:val="105"/>
          <w:position w:val="7"/>
          <w:sz w:val="12"/>
        </w:rPr>
        <w:t>1 </w:t>
      </w:r>
      <w:r>
        <w:rPr>
          <w:color w:val="231F20"/>
          <w:w w:val="105"/>
        </w:rPr>
        <w:t>el cual surge desde la misma definición y que alude a aquellas ciudades que logran participar en el mercado interna- cional y nacional; atraer inversión, generar empleo, ofrecer una mejor calidad</w:t>
      </w:r>
      <w:r>
        <w:rPr>
          <w:color w:val="231F20"/>
          <w:spacing w:val="-17"/>
          <w:w w:val="105"/>
        </w:rPr>
        <w:t> </w:t>
      </w:r>
      <w:r>
        <w:rPr>
          <w:color w:val="231F20"/>
          <w:w w:val="105"/>
        </w:rPr>
        <w:t>de</w:t>
      </w:r>
      <w:r>
        <w:rPr>
          <w:color w:val="231F20"/>
          <w:spacing w:val="-17"/>
          <w:w w:val="105"/>
        </w:rPr>
        <w:t> </w:t>
      </w:r>
      <w:r>
        <w:rPr>
          <w:color w:val="231F20"/>
          <w:w w:val="105"/>
        </w:rPr>
        <w:t>vida</w:t>
      </w:r>
      <w:r>
        <w:rPr>
          <w:color w:val="231F20"/>
          <w:spacing w:val="-17"/>
          <w:w w:val="105"/>
        </w:rPr>
        <w:t> </w:t>
      </w:r>
      <w:r>
        <w:rPr>
          <w:color w:val="231F20"/>
          <w:w w:val="105"/>
        </w:rPr>
        <w:t>a</w:t>
      </w:r>
      <w:r>
        <w:rPr>
          <w:color w:val="231F20"/>
          <w:spacing w:val="-17"/>
          <w:w w:val="105"/>
        </w:rPr>
        <w:t> </w:t>
      </w:r>
      <w:r>
        <w:rPr>
          <w:color w:val="231F20"/>
          <w:w w:val="105"/>
        </w:rPr>
        <w:t>quienes</w:t>
      </w:r>
      <w:r>
        <w:rPr>
          <w:color w:val="231F20"/>
          <w:spacing w:val="-17"/>
          <w:w w:val="105"/>
        </w:rPr>
        <w:t> </w:t>
      </w:r>
      <w:r>
        <w:rPr>
          <w:color w:val="231F20"/>
          <w:w w:val="105"/>
        </w:rPr>
        <w:t>la</w:t>
      </w:r>
      <w:r>
        <w:rPr>
          <w:color w:val="231F20"/>
          <w:spacing w:val="-17"/>
          <w:w w:val="105"/>
        </w:rPr>
        <w:t> </w:t>
      </w:r>
      <w:r>
        <w:rPr>
          <w:color w:val="231F20"/>
          <w:w w:val="105"/>
        </w:rPr>
        <w:t>habitan</w:t>
      </w:r>
      <w:r>
        <w:rPr>
          <w:color w:val="231F20"/>
          <w:spacing w:val="-17"/>
          <w:w w:val="105"/>
        </w:rPr>
        <w:t> </w:t>
      </w:r>
      <w:r>
        <w:rPr>
          <w:color w:val="231F20"/>
          <w:w w:val="105"/>
        </w:rPr>
        <w:t>e</w:t>
      </w:r>
      <w:r>
        <w:rPr>
          <w:color w:val="231F20"/>
          <w:spacing w:val="-17"/>
          <w:w w:val="105"/>
        </w:rPr>
        <w:t> </w:t>
      </w:r>
      <w:r>
        <w:rPr>
          <w:color w:val="231F20"/>
          <w:w w:val="105"/>
        </w:rPr>
        <w:t>incluso</w:t>
      </w:r>
      <w:r>
        <w:rPr>
          <w:color w:val="231F20"/>
          <w:spacing w:val="-17"/>
          <w:w w:val="105"/>
        </w:rPr>
        <w:t> </w:t>
      </w:r>
      <w:r>
        <w:rPr>
          <w:color w:val="231F20"/>
          <w:w w:val="105"/>
        </w:rPr>
        <w:t>una</w:t>
      </w:r>
      <w:r>
        <w:rPr>
          <w:color w:val="231F20"/>
          <w:spacing w:val="-17"/>
          <w:w w:val="105"/>
        </w:rPr>
        <w:t> </w:t>
      </w:r>
      <w:r>
        <w:rPr>
          <w:color w:val="231F20"/>
          <w:w w:val="105"/>
        </w:rPr>
        <w:t>mayor</w:t>
      </w:r>
      <w:r>
        <w:rPr>
          <w:color w:val="231F20"/>
          <w:spacing w:val="-17"/>
          <w:w w:val="105"/>
        </w:rPr>
        <w:t> </w:t>
      </w:r>
      <w:r>
        <w:rPr>
          <w:color w:val="231F20"/>
          <w:w w:val="105"/>
        </w:rPr>
        <w:t>cohesión</w:t>
      </w:r>
      <w:r>
        <w:rPr>
          <w:color w:val="231F20"/>
          <w:spacing w:val="-17"/>
          <w:w w:val="105"/>
        </w:rPr>
        <w:t> </w:t>
      </w:r>
      <w:r>
        <w:rPr>
          <w:color w:val="231F20"/>
          <w:w w:val="105"/>
        </w:rPr>
        <w:t>social (Cabrero,</w:t>
      </w:r>
      <w:r>
        <w:rPr>
          <w:color w:val="231F20"/>
          <w:spacing w:val="-35"/>
          <w:w w:val="105"/>
        </w:rPr>
        <w:t> </w:t>
      </w:r>
      <w:r>
        <w:rPr>
          <w:color w:val="231F20"/>
          <w:w w:val="105"/>
        </w:rPr>
        <w:t>Zicccardi</w:t>
      </w:r>
      <w:r>
        <w:rPr>
          <w:color w:val="231F20"/>
          <w:spacing w:val="-31"/>
          <w:w w:val="105"/>
        </w:rPr>
        <w:t> </w:t>
      </w:r>
      <w:r>
        <w:rPr>
          <w:color w:val="231F20"/>
          <w:w w:val="105"/>
        </w:rPr>
        <w:t>y</w:t>
      </w:r>
      <w:r>
        <w:rPr>
          <w:color w:val="231F20"/>
          <w:spacing w:val="-31"/>
          <w:w w:val="105"/>
        </w:rPr>
        <w:t> </w:t>
      </w:r>
      <w:r>
        <w:rPr>
          <w:color w:val="231F20"/>
          <w:w w:val="105"/>
        </w:rPr>
        <w:t>Orihuela</w:t>
      </w:r>
      <w:r>
        <w:rPr>
          <w:color w:val="231F20"/>
          <w:spacing w:val="-31"/>
          <w:w w:val="105"/>
        </w:rPr>
        <w:t> </w:t>
      </w:r>
      <w:r>
        <w:rPr>
          <w:color w:val="231F20"/>
          <w:w w:val="105"/>
        </w:rPr>
        <w:t>2003).</w:t>
      </w:r>
    </w:p>
    <w:p>
      <w:pPr>
        <w:pStyle w:val="BodyText"/>
        <w:spacing w:line="259" w:lineRule="auto"/>
        <w:ind w:left="104" w:right="108" w:firstLine="567"/>
        <w:jc w:val="both"/>
      </w:pPr>
      <w:r>
        <w:rPr>
          <w:color w:val="231F20"/>
          <w:w w:val="105"/>
        </w:rPr>
        <w:t>Las ciudades y los municipios compiten por inversiones que ge- neren</w:t>
      </w:r>
      <w:r>
        <w:rPr>
          <w:color w:val="231F20"/>
          <w:spacing w:val="-13"/>
          <w:w w:val="105"/>
        </w:rPr>
        <w:t> </w:t>
      </w:r>
      <w:r>
        <w:rPr>
          <w:color w:val="231F20"/>
          <w:w w:val="105"/>
        </w:rPr>
        <w:t>empleos,</w:t>
      </w:r>
      <w:r>
        <w:rPr>
          <w:color w:val="231F20"/>
          <w:spacing w:val="-19"/>
          <w:w w:val="105"/>
        </w:rPr>
        <w:t> </w:t>
      </w:r>
      <w:r>
        <w:rPr>
          <w:color w:val="231F20"/>
          <w:w w:val="105"/>
        </w:rPr>
        <w:t>que</w:t>
      </w:r>
      <w:r>
        <w:rPr>
          <w:color w:val="231F20"/>
          <w:spacing w:val="-13"/>
          <w:w w:val="105"/>
        </w:rPr>
        <w:t> </w:t>
      </w:r>
      <w:r>
        <w:rPr>
          <w:color w:val="231F20"/>
          <w:w w:val="105"/>
        </w:rPr>
        <w:t>coadyuven</w:t>
      </w:r>
      <w:r>
        <w:rPr>
          <w:color w:val="231F20"/>
          <w:spacing w:val="-13"/>
          <w:w w:val="105"/>
        </w:rPr>
        <w:t> </w:t>
      </w:r>
      <w:r>
        <w:rPr>
          <w:color w:val="231F20"/>
          <w:w w:val="105"/>
        </w:rPr>
        <w:t>al</w:t>
      </w:r>
      <w:r>
        <w:rPr>
          <w:color w:val="231F20"/>
          <w:spacing w:val="-13"/>
          <w:w w:val="105"/>
        </w:rPr>
        <w:t> </w:t>
      </w:r>
      <w:r>
        <w:rPr>
          <w:color w:val="231F20"/>
          <w:w w:val="105"/>
        </w:rPr>
        <w:t>crecimiento</w:t>
      </w:r>
      <w:r>
        <w:rPr>
          <w:color w:val="231F20"/>
          <w:spacing w:val="-13"/>
          <w:w w:val="105"/>
        </w:rPr>
        <w:t> </w:t>
      </w:r>
      <w:r>
        <w:rPr>
          <w:color w:val="231F20"/>
          <w:w w:val="105"/>
        </w:rPr>
        <w:t>económico</w:t>
      </w:r>
      <w:r>
        <w:rPr>
          <w:color w:val="231F20"/>
          <w:spacing w:val="-13"/>
          <w:w w:val="105"/>
        </w:rPr>
        <w:t> </w:t>
      </w:r>
      <w:r>
        <w:rPr>
          <w:color w:val="231F20"/>
          <w:w w:val="105"/>
        </w:rPr>
        <w:t>local,</w:t>
      </w:r>
      <w:r>
        <w:rPr>
          <w:color w:val="231F20"/>
          <w:spacing w:val="-19"/>
          <w:w w:val="105"/>
        </w:rPr>
        <w:t> </w:t>
      </w:r>
      <w:r>
        <w:rPr>
          <w:color w:val="231F20"/>
          <w:w w:val="105"/>
        </w:rPr>
        <w:t>con</w:t>
      </w:r>
      <w:r>
        <w:rPr>
          <w:color w:val="231F20"/>
          <w:spacing w:val="-13"/>
          <w:w w:val="105"/>
        </w:rPr>
        <w:t> </w:t>
      </w:r>
      <w:r>
        <w:rPr>
          <w:color w:val="231F20"/>
          <w:w w:val="105"/>
        </w:rPr>
        <w:t>alta elasticidad-ingreso de la demanda y por inversiones que favorezcan la producción</w:t>
      </w:r>
      <w:r>
        <w:rPr>
          <w:color w:val="231F20"/>
          <w:spacing w:val="-21"/>
          <w:w w:val="105"/>
        </w:rPr>
        <w:t> </w:t>
      </w:r>
      <w:r>
        <w:rPr>
          <w:color w:val="231F20"/>
          <w:w w:val="105"/>
        </w:rPr>
        <w:t>sin</w:t>
      </w:r>
      <w:r>
        <w:rPr>
          <w:color w:val="231F20"/>
          <w:spacing w:val="-21"/>
          <w:w w:val="105"/>
        </w:rPr>
        <w:t> </w:t>
      </w:r>
      <w:r>
        <w:rPr>
          <w:color w:val="231F20"/>
          <w:w w:val="105"/>
        </w:rPr>
        <w:t>atentar</w:t>
      </w:r>
      <w:r>
        <w:rPr>
          <w:color w:val="231F20"/>
          <w:spacing w:val="-21"/>
          <w:w w:val="105"/>
        </w:rPr>
        <w:t> </w:t>
      </w:r>
      <w:r>
        <w:rPr>
          <w:color w:val="231F20"/>
          <w:w w:val="105"/>
        </w:rPr>
        <w:t>contra</w:t>
      </w:r>
      <w:r>
        <w:rPr>
          <w:color w:val="231F20"/>
          <w:spacing w:val="-21"/>
          <w:w w:val="105"/>
        </w:rPr>
        <w:t> </w:t>
      </w:r>
      <w:r>
        <w:rPr>
          <w:color w:val="231F20"/>
          <w:w w:val="105"/>
        </w:rPr>
        <w:t>las</w:t>
      </w:r>
      <w:r>
        <w:rPr>
          <w:color w:val="231F20"/>
          <w:spacing w:val="-21"/>
          <w:w w:val="105"/>
        </w:rPr>
        <w:t> </w:t>
      </w:r>
      <w:r>
        <w:rPr>
          <w:color w:val="231F20"/>
          <w:w w:val="105"/>
        </w:rPr>
        <w:t>condiciones</w:t>
      </w:r>
      <w:r>
        <w:rPr>
          <w:color w:val="231F20"/>
          <w:spacing w:val="-21"/>
          <w:w w:val="105"/>
        </w:rPr>
        <w:t> </w:t>
      </w:r>
      <w:r>
        <w:rPr>
          <w:color w:val="231F20"/>
          <w:w w:val="105"/>
        </w:rPr>
        <w:t>ambientales.</w:t>
      </w:r>
      <w:r>
        <w:rPr>
          <w:color w:val="231F20"/>
          <w:spacing w:val="-26"/>
          <w:w w:val="105"/>
        </w:rPr>
        <w:t> </w:t>
      </w:r>
      <w:r>
        <w:rPr>
          <w:color w:val="231F20"/>
          <w:w w:val="105"/>
        </w:rPr>
        <w:t>Las</w:t>
      </w:r>
      <w:r>
        <w:rPr>
          <w:color w:val="231F20"/>
          <w:spacing w:val="-21"/>
          <w:w w:val="105"/>
        </w:rPr>
        <w:t> </w:t>
      </w:r>
      <w:r>
        <w:rPr>
          <w:color w:val="231F20"/>
          <w:w w:val="105"/>
        </w:rPr>
        <w:t>ciudades compiten</w:t>
      </w:r>
      <w:r>
        <w:rPr>
          <w:color w:val="231F20"/>
          <w:spacing w:val="-7"/>
          <w:w w:val="105"/>
        </w:rPr>
        <w:t> </w:t>
      </w:r>
      <w:r>
        <w:rPr>
          <w:color w:val="231F20"/>
          <w:w w:val="105"/>
        </w:rPr>
        <w:t>en</w:t>
      </w:r>
      <w:r>
        <w:rPr>
          <w:color w:val="231F20"/>
          <w:spacing w:val="-7"/>
          <w:w w:val="105"/>
        </w:rPr>
        <w:t> </w:t>
      </w:r>
      <w:r>
        <w:rPr>
          <w:color w:val="231F20"/>
          <w:w w:val="105"/>
        </w:rPr>
        <w:t>ciertos</w:t>
      </w:r>
      <w:r>
        <w:rPr>
          <w:color w:val="231F20"/>
          <w:spacing w:val="-7"/>
          <w:w w:val="105"/>
        </w:rPr>
        <w:t> </w:t>
      </w:r>
      <w:r>
        <w:rPr>
          <w:color w:val="231F20"/>
          <w:w w:val="105"/>
        </w:rPr>
        <w:t>ámbitos</w:t>
      </w:r>
      <w:r>
        <w:rPr>
          <w:color w:val="231F20"/>
          <w:spacing w:val="-7"/>
          <w:w w:val="105"/>
        </w:rPr>
        <w:t> </w:t>
      </w:r>
      <w:r>
        <w:rPr>
          <w:color w:val="231F20"/>
          <w:w w:val="105"/>
        </w:rPr>
        <w:t>y</w:t>
      </w:r>
      <w:r>
        <w:rPr>
          <w:color w:val="231F20"/>
          <w:spacing w:val="-7"/>
          <w:w w:val="105"/>
        </w:rPr>
        <w:t> </w:t>
      </w:r>
      <w:r>
        <w:rPr>
          <w:color w:val="231F20"/>
          <w:w w:val="105"/>
        </w:rPr>
        <w:t>las</w:t>
      </w:r>
      <w:r>
        <w:rPr>
          <w:color w:val="231F20"/>
          <w:spacing w:val="-7"/>
          <w:w w:val="105"/>
        </w:rPr>
        <w:t> </w:t>
      </w:r>
      <w:r>
        <w:rPr>
          <w:color w:val="231F20"/>
          <w:w w:val="105"/>
        </w:rPr>
        <w:t>empresas</w:t>
      </w:r>
      <w:r>
        <w:rPr>
          <w:color w:val="231F20"/>
          <w:spacing w:val="-7"/>
          <w:w w:val="105"/>
        </w:rPr>
        <w:t> </w:t>
      </w:r>
      <w:r>
        <w:rPr>
          <w:color w:val="231F20"/>
          <w:w w:val="105"/>
        </w:rPr>
        <w:t>en</w:t>
      </w:r>
      <w:r>
        <w:rPr>
          <w:color w:val="231F20"/>
          <w:spacing w:val="-7"/>
          <w:w w:val="105"/>
        </w:rPr>
        <w:t> </w:t>
      </w:r>
      <w:r>
        <w:rPr>
          <w:color w:val="231F20"/>
          <w:w w:val="105"/>
        </w:rPr>
        <w:t>otros;</w:t>
      </w:r>
      <w:r>
        <w:rPr>
          <w:color w:val="231F20"/>
          <w:spacing w:val="-7"/>
          <w:w w:val="105"/>
        </w:rPr>
        <w:t> </w:t>
      </w:r>
      <w:r>
        <w:rPr>
          <w:color w:val="231F20"/>
          <w:w w:val="105"/>
        </w:rPr>
        <w:t>en</w:t>
      </w:r>
      <w:r>
        <w:rPr>
          <w:color w:val="231F20"/>
          <w:spacing w:val="-7"/>
          <w:w w:val="105"/>
        </w:rPr>
        <w:t> </w:t>
      </w:r>
      <w:r>
        <w:rPr>
          <w:color w:val="231F20"/>
          <w:w w:val="105"/>
        </w:rPr>
        <w:t>algunos</w:t>
      </w:r>
      <w:r>
        <w:rPr>
          <w:color w:val="231F20"/>
          <w:spacing w:val="-7"/>
          <w:w w:val="105"/>
        </w:rPr>
        <w:t> </w:t>
      </w:r>
      <w:r>
        <w:rPr>
          <w:color w:val="231F20"/>
          <w:w w:val="105"/>
        </w:rPr>
        <w:t>casos se</w:t>
      </w:r>
      <w:r>
        <w:rPr>
          <w:color w:val="231F20"/>
          <w:spacing w:val="-20"/>
          <w:w w:val="105"/>
        </w:rPr>
        <w:t> </w:t>
      </w:r>
      <w:r>
        <w:rPr>
          <w:color w:val="231F20"/>
          <w:w w:val="105"/>
        </w:rPr>
        <w:t>advierte</w:t>
      </w:r>
      <w:r>
        <w:rPr>
          <w:color w:val="231F20"/>
          <w:spacing w:val="-20"/>
          <w:w w:val="105"/>
        </w:rPr>
        <w:t> </w:t>
      </w:r>
      <w:r>
        <w:rPr>
          <w:color w:val="231F20"/>
          <w:w w:val="105"/>
        </w:rPr>
        <w:t>una</w:t>
      </w:r>
      <w:r>
        <w:rPr>
          <w:color w:val="231F20"/>
          <w:spacing w:val="-20"/>
          <w:w w:val="105"/>
        </w:rPr>
        <w:t> </w:t>
      </w:r>
      <w:r>
        <w:rPr>
          <w:color w:val="231F20"/>
          <w:w w:val="105"/>
        </w:rPr>
        <w:t>línea</w:t>
      </w:r>
      <w:r>
        <w:rPr>
          <w:color w:val="231F20"/>
          <w:spacing w:val="-20"/>
          <w:w w:val="105"/>
        </w:rPr>
        <w:t> </w:t>
      </w:r>
      <w:r>
        <w:rPr>
          <w:color w:val="231F20"/>
          <w:w w:val="105"/>
        </w:rPr>
        <w:t>muy</w:t>
      </w:r>
      <w:r>
        <w:rPr>
          <w:color w:val="231F20"/>
          <w:spacing w:val="-20"/>
          <w:w w:val="105"/>
        </w:rPr>
        <w:t> </w:t>
      </w:r>
      <w:r>
        <w:rPr>
          <w:color w:val="231F20"/>
          <w:w w:val="105"/>
        </w:rPr>
        <w:t>fina</w:t>
      </w:r>
      <w:r>
        <w:rPr>
          <w:color w:val="231F20"/>
          <w:spacing w:val="-20"/>
          <w:w w:val="105"/>
        </w:rPr>
        <w:t> </w:t>
      </w:r>
      <w:r>
        <w:rPr>
          <w:color w:val="231F20"/>
          <w:w w:val="105"/>
        </w:rPr>
        <w:t>entre</w:t>
      </w:r>
      <w:r>
        <w:rPr>
          <w:color w:val="231F20"/>
          <w:spacing w:val="-20"/>
          <w:w w:val="105"/>
        </w:rPr>
        <w:t> </w:t>
      </w:r>
      <w:r>
        <w:rPr>
          <w:color w:val="231F20"/>
          <w:w w:val="105"/>
        </w:rPr>
        <w:t>la</w:t>
      </w:r>
      <w:r>
        <w:rPr>
          <w:color w:val="231F20"/>
          <w:spacing w:val="-20"/>
          <w:w w:val="105"/>
        </w:rPr>
        <w:t> </w:t>
      </w:r>
      <w:r>
        <w:rPr>
          <w:color w:val="231F20"/>
          <w:w w:val="105"/>
        </w:rPr>
        <w:t>competencia</w:t>
      </w:r>
      <w:r>
        <w:rPr>
          <w:color w:val="231F20"/>
          <w:spacing w:val="-20"/>
          <w:w w:val="105"/>
        </w:rPr>
        <w:t> </w:t>
      </w:r>
      <w:r>
        <w:rPr>
          <w:color w:val="231F20"/>
          <w:w w:val="105"/>
        </w:rPr>
        <w:t>de</w:t>
      </w:r>
      <w:r>
        <w:rPr>
          <w:color w:val="231F20"/>
          <w:spacing w:val="-20"/>
          <w:w w:val="105"/>
        </w:rPr>
        <w:t> </w:t>
      </w:r>
      <w:r>
        <w:rPr>
          <w:color w:val="231F20"/>
          <w:w w:val="105"/>
        </w:rPr>
        <w:t>ambas</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otros, una</w:t>
      </w:r>
      <w:r>
        <w:rPr>
          <w:color w:val="231F20"/>
          <w:spacing w:val="-20"/>
          <w:w w:val="105"/>
        </w:rPr>
        <w:t> </w:t>
      </w:r>
      <w:r>
        <w:rPr>
          <w:color w:val="231F20"/>
          <w:w w:val="105"/>
        </w:rPr>
        <w:t>clara</w:t>
      </w:r>
      <w:r>
        <w:rPr>
          <w:color w:val="231F20"/>
          <w:spacing w:val="-20"/>
          <w:w w:val="105"/>
        </w:rPr>
        <w:t> </w:t>
      </w:r>
      <w:r>
        <w:rPr>
          <w:color w:val="231F20"/>
          <w:w w:val="105"/>
        </w:rPr>
        <w:t>sobreposición.</w:t>
      </w:r>
      <w:r>
        <w:rPr>
          <w:color w:val="231F20"/>
          <w:spacing w:val="-25"/>
          <w:w w:val="105"/>
        </w:rPr>
        <w:t> </w:t>
      </w:r>
      <w:r>
        <w:rPr>
          <w:color w:val="231F20"/>
          <w:w w:val="105"/>
        </w:rPr>
        <w:t>El</w:t>
      </w:r>
      <w:r>
        <w:rPr>
          <w:color w:val="231F20"/>
          <w:spacing w:val="-20"/>
          <w:w w:val="105"/>
        </w:rPr>
        <w:t> </w:t>
      </w:r>
      <w:r>
        <w:rPr>
          <w:color w:val="231F20"/>
          <w:w w:val="105"/>
        </w:rPr>
        <w:t>mayor</w:t>
      </w:r>
      <w:r>
        <w:rPr>
          <w:color w:val="231F20"/>
          <w:spacing w:val="-20"/>
          <w:w w:val="105"/>
        </w:rPr>
        <w:t> </w:t>
      </w:r>
      <w:r>
        <w:rPr>
          <w:color w:val="231F20"/>
          <w:w w:val="105"/>
        </w:rPr>
        <w:t>problema</w:t>
      </w:r>
      <w:r>
        <w:rPr>
          <w:color w:val="231F20"/>
          <w:spacing w:val="-20"/>
          <w:w w:val="105"/>
        </w:rPr>
        <w:t> </w:t>
      </w:r>
      <w:r>
        <w:rPr>
          <w:color w:val="231F20"/>
          <w:w w:val="105"/>
        </w:rPr>
        <w:t>de</w:t>
      </w:r>
      <w:r>
        <w:rPr>
          <w:color w:val="231F20"/>
          <w:spacing w:val="-20"/>
          <w:w w:val="105"/>
        </w:rPr>
        <w:t> </w:t>
      </w:r>
      <w:r>
        <w:rPr>
          <w:color w:val="231F20"/>
          <w:w w:val="105"/>
        </w:rPr>
        <w:t>esta</w:t>
      </w:r>
      <w:r>
        <w:rPr>
          <w:color w:val="231F20"/>
          <w:spacing w:val="-20"/>
          <w:w w:val="105"/>
        </w:rPr>
        <w:t> </w:t>
      </w:r>
      <w:r>
        <w:rPr>
          <w:color w:val="231F20"/>
          <w:w w:val="105"/>
        </w:rPr>
        <w:t>discusión</w:t>
      </w:r>
      <w:r>
        <w:rPr>
          <w:color w:val="231F20"/>
          <w:spacing w:val="-20"/>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w w:val="105"/>
        </w:rPr>
        <w:t>solu- ción</w:t>
      </w:r>
      <w:r>
        <w:rPr>
          <w:color w:val="231F20"/>
          <w:spacing w:val="-7"/>
          <w:w w:val="105"/>
        </w:rPr>
        <w:t> </w:t>
      </w:r>
      <w:r>
        <w:rPr>
          <w:color w:val="231F20"/>
          <w:w w:val="105"/>
        </w:rPr>
        <w:t>empírica,</w:t>
      </w:r>
      <w:r>
        <w:rPr>
          <w:color w:val="231F20"/>
          <w:spacing w:val="-12"/>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fácil</w:t>
      </w:r>
      <w:r>
        <w:rPr>
          <w:color w:val="231F20"/>
          <w:spacing w:val="-7"/>
          <w:w w:val="105"/>
        </w:rPr>
        <w:t> </w:t>
      </w:r>
      <w:r>
        <w:rPr>
          <w:color w:val="231F20"/>
          <w:w w:val="105"/>
        </w:rPr>
        <w:t>el</w:t>
      </w:r>
      <w:r>
        <w:rPr>
          <w:color w:val="231F20"/>
          <w:spacing w:val="-7"/>
          <w:w w:val="105"/>
        </w:rPr>
        <w:t> </w:t>
      </w:r>
      <w:r>
        <w:rPr>
          <w:color w:val="231F20"/>
          <w:w w:val="105"/>
        </w:rPr>
        <w:t>manejo</w:t>
      </w:r>
      <w:r>
        <w:rPr>
          <w:color w:val="231F20"/>
          <w:spacing w:val="-7"/>
          <w:w w:val="105"/>
        </w:rPr>
        <w:t> </w:t>
      </w:r>
      <w:r>
        <w:rPr>
          <w:color w:val="231F20"/>
          <w:w w:val="105"/>
        </w:rPr>
        <w:t>y</w:t>
      </w:r>
      <w:r>
        <w:rPr>
          <w:color w:val="231F20"/>
          <w:spacing w:val="-7"/>
          <w:w w:val="105"/>
        </w:rPr>
        <w:t> </w:t>
      </w:r>
      <w:r>
        <w:rPr>
          <w:color w:val="231F20"/>
          <w:w w:val="105"/>
        </w:rPr>
        <w:t>valoración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variables de competencia y competitividad entre las ciudades, en contraposición a</w:t>
      </w:r>
      <w:r>
        <w:rPr>
          <w:color w:val="231F20"/>
          <w:spacing w:val="-11"/>
          <w:w w:val="105"/>
        </w:rPr>
        <w:t> </w:t>
      </w:r>
      <w:r>
        <w:rPr>
          <w:color w:val="231F20"/>
          <w:w w:val="105"/>
        </w:rPr>
        <w:t>una</w:t>
      </w:r>
      <w:r>
        <w:rPr>
          <w:color w:val="231F20"/>
          <w:spacing w:val="-11"/>
          <w:w w:val="105"/>
        </w:rPr>
        <w:t> </w:t>
      </w:r>
      <w:r>
        <w:rPr>
          <w:color w:val="231F20"/>
          <w:w w:val="105"/>
        </w:rPr>
        <w:t>situación</w:t>
      </w:r>
      <w:r>
        <w:rPr>
          <w:color w:val="231F20"/>
          <w:spacing w:val="-11"/>
          <w:w w:val="105"/>
        </w:rPr>
        <w:t> </w:t>
      </w:r>
      <w:r>
        <w:rPr>
          <w:color w:val="231F20"/>
          <w:w w:val="105"/>
        </w:rPr>
        <w:t>relativamente</w:t>
      </w:r>
      <w:r>
        <w:rPr>
          <w:color w:val="231F20"/>
          <w:spacing w:val="-11"/>
          <w:w w:val="105"/>
        </w:rPr>
        <w:t> </w:t>
      </w:r>
      <w:r>
        <w:rPr>
          <w:color w:val="231F20"/>
          <w:w w:val="105"/>
        </w:rPr>
        <w:t>más</w:t>
      </w:r>
      <w:r>
        <w:rPr>
          <w:color w:val="231F20"/>
          <w:spacing w:val="-11"/>
          <w:w w:val="105"/>
        </w:rPr>
        <w:t> </w:t>
      </w:r>
      <w:r>
        <w:rPr>
          <w:color w:val="231F20"/>
          <w:w w:val="105"/>
        </w:rPr>
        <w:t>holgada</w:t>
      </w:r>
      <w:r>
        <w:rPr>
          <w:color w:val="231F20"/>
          <w:spacing w:val="-11"/>
          <w:w w:val="105"/>
        </w:rPr>
        <w:t> </w:t>
      </w:r>
      <w:r>
        <w:rPr>
          <w:color w:val="231F20"/>
          <w:w w:val="105"/>
        </w:rPr>
        <w:t>para</w:t>
      </w:r>
      <w:r>
        <w:rPr>
          <w:color w:val="231F20"/>
          <w:spacing w:val="-11"/>
          <w:w w:val="105"/>
        </w:rPr>
        <w:t> </w:t>
      </w:r>
      <w:r>
        <w:rPr>
          <w:color w:val="231F20"/>
          <w:w w:val="105"/>
        </w:rPr>
        <w:t>medirlas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 empresarial</w:t>
      </w:r>
      <w:r>
        <w:rPr>
          <w:color w:val="231F20"/>
          <w:spacing w:val="-44"/>
          <w:w w:val="105"/>
        </w:rPr>
        <w:t> </w:t>
      </w:r>
      <w:r>
        <w:rPr>
          <w:color w:val="231F20"/>
          <w:w w:val="105"/>
        </w:rPr>
        <w:t>(Sobrino,</w:t>
      </w:r>
      <w:r>
        <w:rPr>
          <w:color w:val="231F20"/>
          <w:spacing w:val="-46"/>
          <w:w w:val="105"/>
        </w:rPr>
        <w:t> </w:t>
      </w:r>
      <w:r>
        <w:rPr>
          <w:color w:val="231F20"/>
          <w:w w:val="105"/>
        </w:rPr>
        <w:t>2002).</w:t>
      </w:r>
    </w:p>
    <w:p>
      <w:pPr>
        <w:pStyle w:val="BodyText"/>
        <w:spacing w:line="259" w:lineRule="auto"/>
        <w:ind w:left="104" w:right="114" w:firstLine="567"/>
        <w:jc w:val="both"/>
      </w:pPr>
      <w:r>
        <w:rPr>
          <w:color w:val="231F20"/>
          <w:w w:val="105"/>
        </w:rPr>
        <w:t>El</w:t>
      </w:r>
      <w:r>
        <w:rPr>
          <w:color w:val="231F20"/>
          <w:spacing w:val="-16"/>
          <w:w w:val="105"/>
        </w:rPr>
        <w:t> </w:t>
      </w:r>
      <w:r>
        <w:rPr>
          <w:color w:val="231F20"/>
          <w:w w:val="105"/>
        </w:rPr>
        <w:t>concepto</w:t>
      </w:r>
      <w:r>
        <w:rPr>
          <w:color w:val="231F20"/>
          <w:spacing w:val="-16"/>
          <w:w w:val="105"/>
        </w:rPr>
        <w:t> </w:t>
      </w:r>
      <w:r>
        <w:rPr>
          <w:color w:val="231F20"/>
          <w:w w:val="105"/>
        </w:rPr>
        <w:t>de</w:t>
      </w:r>
      <w:r>
        <w:rPr>
          <w:color w:val="231F20"/>
          <w:spacing w:val="-16"/>
          <w:w w:val="105"/>
        </w:rPr>
        <w:t> </w:t>
      </w:r>
      <w:r>
        <w:rPr>
          <w:color w:val="231F20"/>
          <w:w w:val="105"/>
        </w:rPr>
        <w:t>competitividad</w:t>
      </w:r>
      <w:r>
        <w:rPr>
          <w:color w:val="231F20"/>
          <w:spacing w:val="-16"/>
          <w:w w:val="105"/>
        </w:rPr>
        <w:t> </w:t>
      </w:r>
      <w:r>
        <w:rPr>
          <w:color w:val="231F20"/>
          <w:w w:val="105"/>
        </w:rPr>
        <w:t>urbana</w:t>
      </w:r>
      <w:r>
        <w:rPr>
          <w:color w:val="231F20"/>
          <w:spacing w:val="-16"/>
          <w:w w:val="105"/>
        </w:rPr>
        <w:t> </w:t>
      </w:r>
      <w:r>
        <w:rPr>
          <w:color w:val="231F20"/>
          <w:w w:val="105"/>
        </w:rPr>
        <w:t>alude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capacidad</w:t>
      </w:r>
      <w:r>
        <w:rPr>
          <w:color w:val="231F20"/>
          <w:spacing w:val="-16"/>
          <w:w w:val="105"/>
        </w:rPr>
        <w:t> </w:t>
      </w:r>
      <w:r>
        <w:rPr>
          <w:color w:val="231F20"/>
          <w:w w:val="105"/>
        </w:rPr>
        <w:t>de</w:t>
      </w:r>
      <w:r>
        <w:rPr>
          <w:color w:val="231F20"/>
          <w:spacing w:val="-16"/>
          <w:w w:val="105"/>
        </w:rPr>
        <w:t> </w:t>
      </w:r>
      <w:r>
        <w:rPr>
          <w:color w:val="231F20"/>
          <w:w w:val="105"/>
        </w:rPr>
        <w:t>una ciudad</w:t>
      </w:r>
      <w:r>
        <w:rPr>
          <w:color w:val="231F20"/>
          <w:spacing w:val="-12"/>
          <w:w w:val="105"/>
        </w:rPr>
        <w:t> </w:t>
      </w:r>
      <w:r>
        <w:rPr>
          <w:color w:val="231F20"/>
          <w:w w:val="105"/>
        </w:rPr>
        <w:t>para</w:t>
      </w:r>
      <w:r>
        <w:rPr>
          <w:color w:val="231F20"/>
          <w:spacing w:val="-12"/>
          <w:w w:val="105"/>
        </w:rPr>
        <w:t> </w:t>
      </w:r>
      <w:r>
        <w:rPr>
          <w:color w:val="231F20"/>
          <w:w w:val="105"/>
        </w:rPr>
        <w:t>penetrar</w:t>
      </w:r>
      <w:r>
        <w:rPr>
          <w:color w:val="231F20"/>
          <w:spacing w:val="-12"/>
          <w:w w:val="105"/>
        </w:rPr>
        <w:t> </w:t>
      </w:r>
      <w:r>
        <w:rPr>
          <w:color w:val="231F20"/>
          <w:w w:val="105"/>
        </w:rPr>
        <w:t>en</w:t>
      </w:r>
      <w:r>
        <w:rPr>
          <w:color w:val="231F20"/>
          <w:spacing w:val="-12"/>
          <w:w w:val="105"/>
        </w:rPr>
        <w:t> </w:t>
      </w:r>
      <w:r>
        <w:rPr>
          <w:color w:val="231F20"/>
          <w:w w:val="105"/>
        </w:rPr>
        <w:t>mercados</w:t>
      </w:r>
      <w:r>
        <w:rPr>
          <w:color w:val="231F20"/>
          <w:spacing w:val="-12"/>
          <w:w w:val="105"/>
        </w:rPr>
        <w:t> </w:t>
      </w:r>
      <w:r>
        <w:rPr>
          <w:color w:val="231F20"/>
          <w:w w:val="105"/>
        </w:rPr>
        <w:t>locales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exportación,</w:t>
      </w:r>
      <w:r>
        <w:rPr>
          <w:color w:val="231F20"/>
          <w:spacing w:val="-18"/>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la relación del crecimiento económico local y el incremento de la calidad de vida de sus residentes (Millán, 1996). Otra definición de</w:t>
      </w:r>
      <w:r>
        <w:rPr>
          <w:color w:val="231F20"/>
          <w:spacing w:val="-15"/>
          <w:w w:val="105"/>
        </w:rPr>
        <w:t> </w:t>
      </w:r>
      <w:r>
        <w:rPr>
          <w:color w:val="231F20"/>
          <w:w w:val="105"/>
        </w:rPr>
        <w:t>competitivi- dad urbana se refiere al grado en el cual las ciudades pueden</w:t>
      </w:r>
      <w:r>
        <w:rPr>
          <w:color w:val="231F20"/>
          <w:spacing w:val="3"/>
          <w:w w:val="105"/>
        </w:rPr>
        <w:t> </w:t>
      </w:r>
      <w:r>
        <w:rPr>
          <w:color w:val="231F20"/>
          <w:w w:val="105"/>
        </w:rPr>
        <w:t>producir</w:t>
      </w:r>
    </w:p>
    <w:p>
      <w:pPr>
        <w:pStyle w:val="BodyText"/>
        <w:spacing w:before="7"/>
        <w:rPr>
          <w:sz w:val="18"/>
        </w:rPr>
      </w:pPr>
      <w:r>
        <w:rPr/>
        <w:pict>
          <v:line style="position:absolute;mso-position-horizontal-relative:page;mso-position-vertical-relative:paragraph;z-index:2728;mso-wrap-distance-left:0;mso-wrap-distance-right:0" from="65.196899pt,12.792664pt" to="178.582899pt,12.792664pt" stroked="true" strokeweight=".25pt" strokecolor="#231f20">
            <w10:wrap type="topAndBottom"/>
          </v:line>
        </w:pict>
      </w:r>
    </w:p>
    <w:p>
      <w:pPr>
        <w:spacing w:line="192" w:lineRule="exact" w:before="7"/>
        <w:ind w:left="103" w:right="115" w:hanging="1"/>
        <w:jc w:val="both"/>
        <w:rPr>
          <w:rFonts w:ascii="Calibri" w:hAnsi="Calibri"/>
          <w:sz w:val="16"/>
        </w:rPr>
      </w:pPr>
      <w:r>
        <w:rPr>
          <w:rFonts w:ascii="Calibri" w:hAnsi="Calibri"/>
          <w:color w:val="414042"/>
          <w:position w:val="5"/>
          <w:sz w:val="9"/>
        </w:rPr>
        <w:t>1 </w:t>
      </w:r>
      <w:r>
        <w:rPr>
          <w:rFonts w:ascii="Calibri" w:hAnsi="Calibri"/>
          <w:color w:val="414042"/>
          <w:sz w:val="16"/>
        </w:rPr>
        <w:t>Al no encontrar una definición de competitividad municipal se hace referencia a la competitividad  urbana, porque ésta tiene un acercamiento en su concepto a la primera y porque a un gran número de municipios les corresponde el adjetivo de </w:t>
      </w:r>
      <w:r>
        <w:rPr>
          <w:rFonts w:ascii="Calibri" w:hAnsi="Calibri"/>
          <w:color w:val="414042"/>
          <w:spacing w:val="16"/>
          <w:sz w:val="16"/>
        </w:rPr>
        <w:t> </w:t>
      </w:r>
      <w:r>
        <w:rPr>
          <w:rFonts w:ascii="Calibri" w:hAnsi="Calibri"/>
          <w:color w:val="414042"/>
          <w:sz w:val="16"/>
        </w:rPr>
        <w:t>urbanos.</w:t>
      </w:r>
    </w:p>
    <w:p>
      <w:pPr>
        <w:pStyle w:val="BodyText"/>
        <w:rPr>
          <w:rFonts w:ascii="Calibri"/>
          <w:sz w:val="20"/>
        </w:rPr>
      </w:pPr>
    </w:p>
    <w:p>
      <w:pPr>
        <w:pStyle w:val="BodyText"/>
        <w:spacing w:before="2"/>
        <w:rPr>
          <w:rFonts w:ascii="Calibri"/>
          <w:sz w:val="28"/>
        </w:rPr>
      </w:pPr>
    </w:p>
    <w:p>
      <w:pPr>
        <w:tabs>
          <w:tab w:pos="1317" w:val="left" w:leader="none"/>
        </w:tabs>
        <w:spacing w:before="71"/>
        <w:ind w:left="267" w:right="17" w:firstLine="0"/>
        <w:jc w:val="left"/>
        <w:rPr>
          <w:rFonts w:ascii="Calibri" w:hAnsi="Calibri"/>
          <w:sz w:val="15"/>
        </w:rPr>
      </w:pPr>
      <w:r>
        <w:rPr/>
        <w:pict>
          <v:group style="position:absolute;margin-left:101.817299pt;margin-top:-16.749887pt;width:17.850pt;height:56.5pt;mso-position-horizontal-relative:page;mso-position-vertical-relative:paragraph;z-index:-24517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70</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5152"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71</w:t>
      </w:r>
    </w:p>
    <w:p>
      <w:pPr>
        <w:pStyle w:val="BodyText"/>
        <w:rPr>
          <w:sz w:val="20"/>
        </w:rPr>
      </w:pPr>
    </w:p>
    <w:p>
      <w:pPr>
        <w:pStyle w:val="BodyText"/>
        <w:rPr>
          <w:sz w:val="20"/>
        </w:rPr>
      </w:pPr>
    </w:p>
    <w:p>
      <w:pPr>
        <w:pStyle w:val="BodyText"/>
        <w:spacing w:line="259" w:lineRule="auto" w:before="176"/>
        <w:ind w:left="117" w:right="114"/>
        <w:jc w:val="both"/>
      </w:pPr>
      <w:r>
        <w:rPr>
          <w:color w:val="231F20"/>
          <w:w w:val="105"/>
        </w:rPr>
        <w:t>bienes y servicios para los mercados regional, nacional e</w:t>
      </w:r>
      <w:r>
        <w:rPr>
          <w:color w:val="231F20"/>
          <w:spacing w:val="-41"/>
          <w:w w:val="105"/>
        </w:rPr>
        <w:t> </w:t>
      </w:r>
      <w:r>
        <w:rPr>
          <w:color w:val="231F20"/>
          <w:w w:val="105"/>
        </w:rPr>
        <w:t>internacional, aumentando</w:t>
      </w:r>
      <w:r>
        <w:rPr>
          <w:color w:val="231F20"/>
          <w:spacing w:val="-7"/>
          <w:w w:val="105"/>
        </w:rPr>
        <w:t> </w:t>
      </w:r>
      <w:r>
        <w:rPr>
          <w:color w:val="231F20"/>
          <w:w w:val="105"/>
        </w:rPr>
        <w:t>de</w:t>
      </w:r>
      <w:r>
        <w:rPr>
          <w:color w:val="231F20"/>
          <w:spacing w:val="-7"/>
          <w:w w:val="105"/>
        </w:rPr>
        <w:t> </w:t>
      </w:r>
      <w:r>
        <w:rPr>
          <w:color w:val="231F20"/>
          <w:w w:val="105"/>
        </w:rPr>
        <w:t>manera</w:t>
      </w:r>
      <w:r>
        <w:rPr>
          <w:color w:val="231F20"/>
          <w:spacing w:val="-7"/>
          <w:w w:val="105"/>
        </w:rPr>
        <w:t> </w:t>
      </w:r>
      <w:r>
        <w:rPr>
          <w:color w:val="231F20"/>
          <w:w w:val="105"/>
        </w:rPr>
        <w:t>paralela</w:t>
      </w:r>
      <w:r>
        <w:rPr>
          <w:color w:val="231F20"/>
          <w:spacing w:val="-7"/>
          <w:w w:val="105"/>
        </w:rPr>
        <w:t> </w:t>
      </w:r>
      <w:r>
        <w:rPr>
          <w:color w:val="231F20"/>
          <w:w w:val="105"/>
        </w:rPr>
        <w:t>el</w:t>
      </w:r>
      <w:r>
        <w:rPr>
          <w:color w:val="231F20"/>
          <w:spacing w:val="-7"/>
          <w:w w:val="105"/>
        </w:rPr>
        <w:t> </w:t>
      </w:r>
      <w:r>
        <w:rPr>
          <w:color w:val="231F20"/>
          <w:w w:val="105"/>
        </w:rPr>
        <w:t>ingreso</w:t>
      </w:r>
      <w:r>
        <w:rPr>
          <w:color w:val="231F20"/>
          <w:spacing w:val="-7"/>
          <w:w w:val="105"/>
        </w:rPr>
        <w:t> </w:t>
      </w:r>
      <w:r>
        <w:rPr>
          <w:color w:val="231F20"/>
          <w:w w:val="105"/>
        </w:rPr>
        <w:t>real,</w:t>
      </w:r>
      <w:r>
        <w:rPr>
          <w:color w:val="231F20"/>
          <w:spacing w:val="-13"/>
          <w:w w:val="105"/>
        </w:rPr>
        <w:t> </w:t>
      </w:r>
      <w:r>
        <w:rPr>
          <w:color w:val="231F20"/>
          <w:w w:val="105"/>
        </w:rPr>
        <w:t>la</w:t>
      </w:r>
      <w:r>
        <w:rPr>
          <w:color w:val="231F20"/>
          <w:spacing w:val="-7"/>
          <w:w w:val="105"/>
        </w:rPr>
        <w:t> </w:t>
      </w:r>
      <w:r>
        <w:rPr>
          <w:color w:val="231F20"/>
          <w:w w:val="105"/>
        </w:rPr>
        <w:t>calidad</w:t>
      </w:r>
      <w:r>
        <w:rPr>
          <w:color w:val="231F20"/>
          <w:spacing w:val="-7"/>
          <w:w w:val="105"/>
        </w:rPr>
        <w:t> </w:t>
      </w:r>
      <w:r>
        <w:rPr>
          <w:color w:val="231F20"/>
          <w:w w:val="105"/>
        </w:rPr>
        <w:t>de</w:t>
      </w:r>
      <w:r>
        <w:rPr>
          <w:color w:val="231F20"/>
          <w:spacing w:val="-7"/>
          <w:w w:val="105"/>
        </w:rPr>
        <w:t> </w:t>
      </w:r>
      <w:r>
        <w:rPr>
          <w:color w:val="231F20"/>
          <w:w w:val="105"/>
        </w:rPr>
        <w:t>vida</w:t>
      </w:r>
      <w:r>
        <w:rPr>
          <w:color w:val="231F20"/>
          <w:spacing w:val="-7"/>
          <w:w w:val="105"/>
        </w:rPr>
        <w:t> </w:t>
      </w:r>
      <w:r>
        <w:rPr>
          <w:color w:val="231F20"/>
          <w:w w:val="105"/>
        </w:rPr>
        <w:t>de</w:t>
      </w:r>
      <w:r>
        <w:rPr>
          <w:color w:val="231F20"/>
          <w:spacing w:val="-7"/>
          <w:w w:val="105"/>
        </w:rPr>
        <w:t> </w:t>
      </w:r>
      <w:r>
        <w:rPr>
          <w:color w:val="231F20"/>
          <w:w w:val="105"/>
        </w:rPr>
        <w:t>la población y el desarrollo sustentable (Lever y </w:t>
      </w:r>
      <w:r>
        <w:rPr>
          <w:color w:val="231F20"/>
          <w:spacing w:val="-4"/>
          <w:w w:val="105"/>
        </w:rPr>
        <w:t>Turok, </w:t>
      </w:r>
      <w:r>
        <w:rPr>
          <w:color w:val="231F20"/>
          <w:w w:val="105"/>
        </w:rPr>
        <w:t>1999). Lo anterior tiene</w:t>
      </w:r>
      <w:r>
        <w:rPr>
          <w:color w:val="231F20"/>
          <w:spacing w:val="-18"/>
          <w:w w:val="105"/>
        </w:rPr>
        <w:t> </w:t>
      </w:r>
      <w:r>
        <w:rPr>
          <w:color w:val="231F20"/>
          <w:w w:val="105"/>
        </w:rPr>
        <w:t>que</w:t>
      </w:r>
      <w:r>
        <w:rPr>
          <w:color w:val="231F20"/>
          <w:spacing w:val="-18"/>
          <w:w w:val="105"/>
        </w:rPr>
        <w:t> </w:t>
      </w:r>
      <w:r>
        <w:rPr>
          <w:color w:val="231F20"/>
          <w:w w:val="105"/>
        </w:rPr>
        <w:t>ver</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estructura</w:t>
      </w:r>
      <w:r>
        <w:rPr>
          <w:color w:val="231F20"/>
          <w:spacing w:val="-18"/>
          <w:w w:val="105"/>
        </w:rPr>
        <w:t> </w:t>
      </w:r>
      <w:r>
        <w:rPr>
          <w:color w:val="231F20"/>
          <w:w w:val="105"/>
        </w:rPr>
        <w:t>económica</w:t>
      </w:r>
      <w:r>
        <w:rPr>
          <w:color w:val="231F20"/>
          <w:spacing w:val="-18"/>
          <w:w w:val="105"/>
        </w:rPr>
        <w:t> </w:t>
      </w:r>
      <w:r>
        <w:rPr>
          <w:color w:val="231F20"/>
          <w:w w:val="105"/>
        </w:rPr>
        <w:t>local,</w:t>
      </w:r>
      <w:r>
        <w:rPr>
          <w:color w:val="231F20"/>
          <w:spacing w:val="-23"/>
          <w:w w:val="105"/>
        </w:rPr>
        <w:t> </w:t>
      </w:r>
      <w:r>
        <w:rPr>
          <w:color w:val="231F20"/>
          <w:w w:val="105"/>
        </w:rPr>
        <w:t>los</w:t>
      </w:r>
      <w:r>
        <w:rPr>
          <w:color w:val="231F20"/>
          <w:spacing w:val="-18"/>
          <w:w w:val="105"/>
        </w:rPr>
        <w:t> </w:t>
      </w:r>
      <w:r>
        <w:rPr>
          <w:color w:val="231F20"/>
          <w:w w:val="105"/>
        </w:rPr>
        <w:t>beneficiarios</w:t>
      </w:r>
      <w:r>
        <w:rPr>
          <w:color w:val="231F20"/>
          <w:spacing w:val="-18"/>
          <w:w w:val="105"/>
        </w:rPr>
        <w:t> </w:t>
      </w:r>
      <w:r>
        <w:rPr>
          <w:color w:val="231F20"/>
          <w:w w:val="105"/>
        </w:rPr>
        <w:t>del</w:t>
      </w:r>
      <w:r>
        <w:rPr>
          <w:color w:val="231F20"/>
          <w:spacing w:val="-18"/>
          <w:w w:val="105"/>
        </w:rPr>
        <w:t> </w:t>
      </w:r>
      <w:r>
        <w:rPr>
          <w:color w:val="231F20"/>
          <w:w w:val="105"/>
        </w:rPr>
        <w:t>cre- cimiento y la durabilidad del</w:t>
      </w:r>
      <w:r>
        <w:rPr>
          <w:color w:val="231F20"/>
          <w:spacing w:val="-16"/>
          <w:w w:val="105"/>
        </w:rPr>
        <w:t> </w:t>
      </w:r>
      <w:r>
        <w:rPr>
          <w:color w:val="231F20"/>
          <w:w w:val="105"/>
        </w:rPr>
        <w:t>mismo.</w:t>
      </w:r>
    </w:p>
    <w:p>
      <w:pPr>
        <w:pStyle w:val="BodyText"/>
        <w:spacing w:line="259" w:lineRule="auto"/>
        <w:ind w:left="117" w:right="121" w:firstLine="567"/>
        <w:jc w:val="both"/>
      </w:pPr>
      <w:r>
        <w:rPr>
          <w:color w:val="231F20"/>
          <w:w w:val="105"/>
        </w:rPr>
        <w:t>Las</w:t>
      </w:r>
      <w:r>
        <w:rPr>
          <w:color w:val="231F20"/>
          <w:spacing w:val="-13"/>
          <w:w w:val="105"/>
        </w:rPr>
        <w:t> </w:t>
      </w:r>
      <w:r>
        <w:rPr>
          <w:color w:val="231F20"/>
          <w:w w:val="105"/>
        </w:rPr>
        <w:t>empresas</w:t>
      </w:r>
      <w:r>
        <w:rPr>
          <w:color w:val="231F20"/>
          <w:spacing w:val="-13"/>
          <w:w w:val="105"/>
        </w:rPr>
        <w:t> </w:t>
      </w:r>
      <w:r>
        <w:rPr>
          <w:color w:val="231F20"/>
          <w:w w:val="105"/>
        </w:rPr>
        <w:t>compiten</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mercados</w:t>
      </w:r>
      <w:r>
        <w:rPr>
          <w:color w:val="231F20"/>
          <w:spacing w:val="-13"/>
          <w:w w:val="105"/>
        </w:rPr>
        <w:t> </w:t>
      </w:r>
      <w:r>
        <w:rPr>
          <w:color w:val="231F20"/>
          <w:w w:val="105"/>
        </w:rPr>
        <w:t>juntamente</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entor- no</w:t>
      </w:r>
      <w:r>
        <w:rPr>
          <w:color w:val="231F20"/>
          <w:spacing w:val="-12"/>
          <w:w w:val="105"/>
        </w:rPr>
        <w:t> </w:t>
      </w:r>
      <w:r>
        <w:rPr>
          <w:color w:val="231F20"/>
          <w:w w:val="105"/>
        </w:rPr>
        <w:t>productivo</w:t>
      </w:r>
      <w:r>
        <w:rPr>
          <w:color w:val="231F20"/>
          <w:spacing w:val="-12"/>
          <w:w w:val="105"/>
        </w:rPr>
        <w:t> </w:t>
      </w:r>
      <w:r>
        <w:rPr>
          <w:color w:val="231F20"/>
          <w:w w:val="105"/>
        </w:rPr>
        <w:t>e</w:t>
      </w:r>
      <w:r>
        <w:rPr>
          <w:color w:val="231F20"/>
          <w:spacing w:val="-12"/>
          <w:w w:val="105"/>
        </w:rPr>
        <w:t> </w:t>
      </w:r>
      <w:r>
        <w:rPr>
          <w:color w:val="231F20"/>
          <w:w w:val="105"/>
        </w:rPr>
        <w:t>institucional</w:t>
      </w:r>
      <w:r>
        <w:rPr>
          <w:color w:val="231F20"/>
          <w:spacing w:val="-12"/>
          <w:w w:val="105"/>
        </w:rPr>
        <w:t> </w:t>
      </w:r>
      <w:r>
        <w:rPr>
          <w:color w:val="231F20"/>
          <w:w w:val="105"/>
        </w:rPr>
        <w:t>del</w:t>
      </w:r>
      <w:r>
        <w:rPr>
          <w:color w:val="231F20"/>
          <w:spacing w:val="-12"/>
          <w:w w:val="105"/>
        </w:rPr>
        <w:t> </w:t>
      </w:r>
      <w:r>
        <w:rPr>
          <w:color w:val="231F20"/>
          <w:w w:val="105"/>
        </w:rPr>
        <w:t>que</w:t>
      </w:r>
      <w:r>
        <w:rPr>
          <w:color w:val="231F20"/>
          <w:spacing w:val="-12"/>
          <w:w w:val="105"/>
        </w:rPr>
        <w:t> </w:t>
      </w:r>
      <w:r>
        <w:rPr>
          <w:color w:val="231F20"/>
          <w:w w:val="105"/>
        </w:rPr>
        <w:t>forman</w:t>
      </w:r>
      <w:r>
        <w:rPr>
          <w:color w:val="231F20"/>
          <w:spacing w:val="-12"/>
          <w:w w:val="105"/>
        </w:rPr>
        <w:t> </w:t>
      </w:r>
      <w:r>
        <w:rPr>
          <w:color w:val="231F20"/>
          <w:w w:val="105"/>
        </w:rPr>
        <w:t>parte.</w:t>
      </w:r>
      <w:r>
        <w:rPr>
          <w:color w:val="231F20"/>
          <w:spacing w:val="-19"/>
          <w:w w:val="105"/>
        </w:rPr>
        <w:t> </w:t>
      </w:r>
      <w:r>
        <w:rPr>
          <w:color w:val="231F20"/>
          <w:spacing w:val="-6"/>
          <w:w w:val="105"/>
        </w:rPr>
        <w:t>Por</w:t>
      </w:r>
      <w:r>
        <w:rPr>
          <w:color w:val="231F20"/>
          <w:spacing w:val="-12"/>
          <w:w w:val="105"/>
        </w:rPr>
        <w:t> </w:t>
      </w:r>
      <w:r>
        <w:rPr>
          <w:color w:val="231F20"/>
          <w:w w:val="105"/>
        </w:rPr>
        <w:t>ello,</w:t>
      </w:r>
      <w:r>
        <w:rPr>
          <w:color w:val="231F20"/>
          <w:spacing w:val="-19"/>
          <w:w w:val="105"/>
        </w:rPr>
        <w:t> </w:t>
      </w:r>
      <w:r>
        <w:rPr>
          <w:color w:val="231F20"/>
          <w:w w:val="105"/>
        </w:rPr>
        <w:t>puede</w:t>
      </w:r>
      <w:r>
        <w:rPr>
          <w:color w:val="231F20"/>
          <w:spacing w:val="-12"/>
          <w:w w:val="105"/>
        </w:rPr>
        <w:t> </w:t>
      </w:r>
      <w:r>
        <w:rPr>
          <w:color w:val="231F20"/>
          <w:w w:val="105"/>
        </w:rPr>
        <w:t>visua- lizarse</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competencia</w:t>
      </w:r>
      <w:r>
        <w:rPr>
          <w:color w:val="231F20"/>
          <w:spacing w:val="-20"/>
          <w:w w:val="105"/>
        </w:rPr>
        <w:t> </w:t>
      </w:r>
      <w:r>
        <w:rPr>
          <w:color w:val="231F20"/>
          <w:w w:val="105"/>
        </w:rPr>
        <w:t>entre</w:t>
      </w:r>
      <w:r>
        <w:rPr>
          <w:color w:val="231F20"/>
          <w:spacing w:val="-20"/>
          <w:w w:val="105"/>
        </w:rPr>
        <w:t> </w:t>
      </w:r>
      <w:r>
        <w:rPr>
          <w:color w:val="231F20"/>
          <w:w w:val="105"/>
        </w:rPr>
        <w:t>las</w:t>
      </w:r>
      <w:r>
        <w:rPr>
          <w:color w:val="231F20"/>
          <w:spacing w:val="-20"/>
          <w:w w:val="105"/>
        </w:rPr>
        <w:t> </w:t>
      </w:r>
      <w:r>
        <w:rPr>
          <w:color w:val="231F20"/>
          <w:w w:val="105"/>
        </w:rPr>
        <w:t>ciudades,</w:t>
      </w:r>
      <w:r>
        <w:rPr>
          <w:color w:val="231F20"/>
          <w:spacing w:val="-25"/>
          <w:w w:val="105"/>
        </w:rPr>
        <w:t> </w:t>
      </w:r>
      <w:r>
        <w:rPr>
          <w:color w:val="231F20"/>
          <w:w w:val="105"/>
        </w:rPr>
        <w:t>municipios</w:t>
      </w:r>
      <w:r>
        <w:rPr>
          <w:color w:val="231F20"/>
          <w:spacing w:val="-20"/>
          <w:w w:val="105"/>
        </w:rPr>
        <w:t> </w:t>
      </w:r>
      <w:r>
        <w:rPr>
          <w:color w:val="231F20"/>
          <w:w w:val="105"/>
        </w:rPr>
        <w:t>y</w:t>
      </w:r>
      <w:r>
        <w:rPr>
          <w:color w:val="231F20"/>
          <w:spacing w:val="-20"/>
          <w:w w:val="105"/>
        </w:rPr>
        <w:t> </w:t>
      </w:r>
      <w:r>
        <w:rPr>
          <w:color w:val="231F20"/>
          <w:w w:val="105"/>
        </w:rPr>
        <w:t>regiones,</w:t>
      </w:r>
      <w:r>
        <w:rPr>
          <w:color w:val="231F20"/>
          <w:spacing w:val="-25"/>
          <w:w w:val="105"/>
        </w:rPr>
        <w:t> </w:t>
      </w:r>
      <w:r>
        <w:rPr>
          <w:color w:val="231F20"/>
          <w:w w:val="105"/>
        </w:rPr>
        <w:t>como un</w:t>
      </w:r>
      <w:r>
        <w:rPr>
          <w:color w:val="231F20"/>
          <w:spacing w:val="-11"/>
          <w:w w:val="105"/>
        </w:rPr>
        <w:t> </w:t>
      </w:r>
      <w:r>
        <w:rPr>
          <w:color w:val="231F20"/>
          <w:w w:val="105"/>
        </w:rPr>
        <w:t>fenómeno</w:t>
      </w:r>
      <w:r>
        <w:rPr>
          <w:color w:val="231F20"/>
          <w:spacing w:val="-11"/>
          <w:w w:val="105"/>
        </w:rPr>
        <w:t> </w:t>
      </w:r>
      <w:r>
        <w:rPr>
          <w:color w:val="231F20"/>
          <w:w w:val="105"/>
        </w:rPr>
        <w:t>urbano</w:t>
      </w:r>
      <w:r>
        <w:rPr>
          <w:color w:val="231F20"/>
          <w:spacing w:val="-11"/>
          <w:w w:val="105"/>
        </w:rPr>
        <w:t> </w:t>
      </w:r>
      <w:r>
        <w:rPr>
          <w:color w:val="231F20"/>
          <w:w w:val="105"/>
        </w:rPr>
        <w:t>y</w:t>
      </w:r>
      <w:r>
        <w:rPr>
          <w:color w:val="231F20"/>
          <w:spacing w:val="-11"/>
          <w:w w:val="105"/>
        </w:rPr>
        <w:t> </w:t>
      </w:r>
      <w:r>
        <w:rPr>
          <w:color w:val="231F20"/>
          <w:w w:val="105"/>
        </w:rPr>
        <w:t>regional.</w:t>
      </w:r>
      <w:r>
        <w:rPr>
          <w:color w:val="231F20"/>
          <w:spacing w:val="-17"/>
          <w:w w:val="105"/>
        </w:rPr>
        <w:t> </w:t>
      </w:r>
      <w:r>
        <w:rPr>
          <w:color w:val="231F20"/>
          <w:w w:val="105"/>
        </w:rPr>
        <w:t>La</w:t>
      </w:r>
      <w:r>
        <w:rPr>
          <w:color w:val="231F20"/>
          <w:spacing w:val="-11"/>
          <w:w w:val="105"/>
        </w:rPr>
        <w:t> </w:t>
      </w:r>
      <w:r>
        <w:rPr>
          <w:color w:val="231F20"/>
          <w:w w:val="105"/>
        </w:rPr>
        <w:t>mejora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productividad</w:t>
      </w:r>
      <w:r>
        <w:rPr>
          <w:color w:val="231F20"/>
          <w:spacing w:val="-11"/>
          <w:w w:val="105"/>
        </w:rPr>
        <w:t> </w:t>
      </w:r>
      <w:r>
        <w:rPr>
          <w:color w:val="231F20"/>
          <w:w w:val="105"/>
        </w:rPr>
        <w:t>y</w:t>
      </w:r>
      <w:r>
        <w:rPr>
          <w:color w:val="231F20"/>
          <w:spacing w:val="-11"/>
          <w:w w:val="105"/>
        </w:rPr>
        <w:t> </w:t>
      </w:r>
      <w:r>
        <w:rPr>
          <w:color w:val="231F20"/>
          <w:w w:val="105"/>
        </w:rPr>
        <w:t>compe- titividad</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ciudades</w:t>
      </w:r>
      <w:r>
        <w:rPr>
          <w:color w:val="231F20"/>
          <w:spacing w:val="-11"/>
          <w:w w:val="105"/>
        </w:rPr>
        <w:t> </w:t>
      </w:r>
      <w:r>
        <w:rPr>
          <w:color w:val="231F20"/>
          <w:w w:val="105"/>
        </w:rPr>
        <w:t>depende</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introducción</w:t>
      </w:r>
      <w:r>
        <w:rPr>
          <w:color w:val="231F20"/>
          <w:spacing w:val="-11"/>
          <w:w w:val="105"/>
        </w:rPr>
        <w:t> </w:t>
      </w:r>
      <w:r>
        <w:rPr>
          <w:color w:val="231F20"/>
          <w:w w:val="105"/>
        </w:rPr>
        <w:t>de</w:t>
      </w:r>
      <w:r>
        <w:rPr>
          <w:color w:val="231F20"/>
          <w:spacing w:val="-11"/>
          <w:w w:val="105"/>
        </w:rPr>
        <w:t> </w:t>
      </w:r>
      <w:r>
        <w:rPr>
          <w:color w:val="231F20"/>
          <w:w w:val="105"/>
        </w:rPr>
        <w:t>innovaciones</w:t>
      </w:r>
      <w:r>
        <w:rPr>
          <w:color w:val="231F20"/>
          <w:spacing w:val="-11"/>
          <w:w w:val="105"/>
        </w:rPr>
        <w:t> </w:t>
      </w:r>
      <w:r>
        <w:rPr>
          <w:color w:val="231F20"/>
          <w:w w:val="105"/>
        </w:rPr>
        <w:t>en las</w:t>
      </w:r>
      <w:r>
        <w:rPr>
          <w:color w:val="231F20"/>
          <w:spacing w:val="-24"/>
          <w:w w:val="105"/>
        </w:rPr>
        <w:t> </w:t>
      </w:r>
      <w:r>
        <w:rPr>
          <w:color w:val="231F20"/>
          <w:w w:val="105"/>
        </w:rPr>
        <w:t>empresas,</w:t>
      </w:r>
      <w:r>
        <w:rPr>
          <w:color w:val="231F20"/>
          <w:spacing w:val="-29"/>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flexibilidad</w:t>
      </w:r>
      <w:r>
        <w:rPr>
          <w:color w:val="231F20"/>
          <w:spacing w:val="-24"/>
          <w:w w:val="105"/>
        </w:rPr>
        <w:t> </w:t>
      </w:r>
      <w:r>
        <w:rPr>
          <w:color w:val="231F20"/>
          <w:w w:val="105"/>
        </w:rPr>
        <w:t>y</w:t>
      </w:r>
      <w:r>
        <w:rPr>
          <w:color w:val="231F20"/>
          <w:spacing w:val="-24"/>
          <w:w w:val="105"/>
        </w:rPr>
        <w:t> </w:t>
      </w:r>
      <w:r>
        <w:rPr>
          <w:color w:val="231F20"/>
          <w:w w:val="105"/>
        </w:rPr>
        <w:t>organización</w:t>
      </w:r>
      <w:r>
        <w:rPr>
          <w:color w:val="231F20"/>
          <w:spacing w:val="-24"/>
          <w:w w:val="105"/>
        </w:rPr>
        <w:t> </w:t>
      </w:r>
      <w:r>
        <w:rPr>
          <w:color w:val="231F20"/>
          <w:w w:val="105"/>
        </w:rPr>
        <w:t>del</w:t>
      </w:r>
      <w:r>
        <w:rPr>
          <w:color w:val="231F20"/>
          <w:spacing w:val="-24"/>
          <w:w w:val="105"/>
        </w:rPr>
        <w:t> </w:t>
      </w:r>
      <w:r>
        <w:rPr>
          <w:color w:val="231F20"/>
          <w:w w:val="105"/>
        </w:rPr>
        <w:t>sistema</w:t>
      </w:r>
      <w:r>
        <w:rPr>
          <w:color w:val="231F20"/>
          <w:spacing w:val="-24"/>
          <w:w w:val="105"/>
        </w:rPr>
        <w:t> </w:t>
      </w:r>
      <w:r>
        <w:rPr>
          <w:color w:val="231F20"/>
          <w:w w:val="105"/>
        </w:rPr>
        <w:t>productivo,</w:t>
      </w:r>
      <w:r>
        <w:rPr>
          <w:color w:val="231F20"/>
          <w:spacing w:val="-29"/>
          <w:w w:val="105"/>
        </w:rPr>
        <w:t> </w:t>
      </w:r>
      <w:r>
        <w:rPr>
          <w:color w:val="231F20"/>
          <w:w w:val="105"/>
        </w:rPr>
        <w:t>así como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existencia</w:t>
      </w:r>
      <w:r>
        <w:rPr>
          <w:color w:val="231F20"/>
          <w:spacing w:val="-17"/>
          <w:w w:val="105"/>
        </w:rPr>
        <w:t> </w:t>
      </w:r>
      <w:r>
        <w:rPr>
          <w:color w:val="231F20"/>
          <w:w w:val="105"/>
        </w:rPr>
        <w:t>de</w:t>
      </w:r>
      <w:r>
        <w:rPr>
          <w:color w:val="231F20"/>
          <w:spacing w:val="-17"/>
          <w:w w:val="105"/>
        </w:rPr>
        <w:t> </w:t>
      </w:r>
      <w:r>
        <w:rPr>
          <w:color w:val="231F20"/>
          <w:w w:val="105"/>
        </w:rPr>
        <w:t>instituciones</w:t>
      </w:r>
      <w:r>
        <w:rPr>
          <w:color w:val="231F20"/>
          <w:spacing w:val="-17"/>
          <w:w w:val="105"/>
        </w:rPr>
        <w:t> </w:t>
      </w:r>
      <w:r>
        <w:rPr>
          <w:color w:val="231F20"/>
          <w:w w:val="105"/>
        </w:rPr>
        <w:t>que</w:t>
      </w:r>
      <w:r>
        <w:rPr>
          <w:color w:val="231F20"/>
          <w:spacing w:val="-17"/>
          <w:w w:val="105"/>
        </w:rPr>
        <w:t> </w:t>
      </w:r>
      <w:r>
        <w:rPr>
          <w:color w:val="231F20"/>
          <w:w w:val="105"/>
        </w:rPr>
        <w:t>favorezcan</w:t>
      </w:r>
      <w:r>
        <w:rPr>
          <w:color w:val="231F20"/>
          <w:spacing w:val="-17"/>
          <w:w w:val="105"/>
        </w:rPr>
        <w:t> </w:t>
      </w:r>
      <w:r>
        <w:rPr>
          <w:color w:val="231F20"/>
          <w:w w:val="105"/>
        </w:rPr>
        <w:t>el</w:t>
      </w:r>
      <w:r>
        <w:rPr>
          <w:color w:val="231F20"/>
          <w:spacing w:val="-17"/>
          <w:w w:val="105"/>
        </w:rPr>
        <w:t> </w:t>
      </w:r>
      <w:r>
        <w:rPr>
          <w:color w:val="231F20"/>
          <w:w w:val="105"/>
        </w:rPr>
        <w:t>funcionamiento de los mercados. La formación de redes de empresas, la introducción de formas más flexibles de organización de las grandes empresas y la externalización de los sistemas de producción han permitido mejorar</w:t>
      </w:r>
      <w:r>
        <w:rPr>
          <w:color w:val="231F20"/>
          <w:spacing w:val="-24"/>
          <w:w w:val="105"/>
        </w:rPr>
        <w:t> </w:t>
      </w:r>
      <w:r>
        <w:rPr>
          <w:color w:val="231F20"/>
          <w:w w:val="105"/>
        </w:rPr>
        <w:t>la productividad</w:t>
      </w:r>
      <w:r>
        <w:rPr>
          <w:color w:val="231F20"/>
          <w:spacing w:val="-14"/>
          <w:w w:val="105"/>
        </w:rPr>
        <w:t> </w:t>
      </w:r>
      <w:r>
        <w:rPr>
          <w:color w:val="231F20"/>
          <w:w w:val="105"/>
        </w:rPr>
        <w:t>y</w:t>
      </w:r>
      <w:r>
        <w:rPr>
          <w:color w:val="231F20"/>
          <w:spacing w:val="-14"/>
          <w:w w:val="105"/>
        </w:rPr>
        <w:t> </w:t>
      </w:r>
      <w:r>
        <w:rPr>
          <w:color w:val="231F20"/>
          <w:w w:val="105"/>
        </w:rPr>
        <w:t>competitividad</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ciudades</w:t>
      </w:r>
      <w:r>
        <w:rPr>
          <w:color w:val="231F20"/>
          <w:spacing w:val="-14"/>
          <w:w w:val="105"/>
        </w:rPr>
        <w:t> </w:t>
      </w:r>
      <w:r>
        <w:rPr>
          <w:color w:val="231F20"/>
          <w:w w:val="105"/>
        </w:rPr>
        <w:t>y</w:t>
      </w:r>
      <w:r>
        <w:rPr>
          <w:color w:val="231F20"/>
          <w:spacing w:val="-14"/>
          <w:w w:val="105"/>
        </w:rPr>
        <w:t> </w:t>
      </w:r>
      <w:r>
        <w:rPr>
          <w:color w:val="231F20"/>
          <w:w w:val="105"/>
        </w:rPr>
        <w:t>regiones</w:t>
      </w:r>
      <w:r>
        <w:rPr>
          <w:color w:val="231F20"/>
          <w:spacing w:val="-14"/>
          <w:w w:val="105"/>
        </w:rPr>
        <w:t> </w:t>
      </w:r>
      <w:r>
        <w:rPr>
          <w:color w:val="231F20"/>
          <w:w w:val="105"/>
        </w:rPr>
        <w:t>urbanas</w:t>
      </w:r>
      <w:r>
        <w:rPr>
          <w:color w:val="231F20"/>
          <w:spacing w:val="-14"/>
          <w:w w:val="105"/>
        </w:rPr>
        <w:t> </w:t>
      </w:r>
      <w:r>
        <w:rPr>
          <w:color w:val="231F20"/>
          <w:w w:val="105"/>
        </w:rPr>
        <w:t>inno- vadoras</w:t>
      </w:r>
      <w:r>
        <w:rPr>
          <w:color w:val="231F20"/>
          <w:spacing w:val="-26"/>
          <w:w w:val="105"/>
        </w:rPr>
        <w:t> </w:t>
      </w:r>
      <w:r>
        <w:rPr>
          <w:color w:val="231F20"/>
          <w:w w:val="105"/>
        </w:rPr>
        <w:t>(Scott,</w:t>
      </w:r>
      <w:r>
        <w:rPr>
          <w:color w:val="231F20"/>
          <w:spacing w:val="-31"/>
          <w:w w:val="105"/>
        </w:rPr>
        <w:t> </w:t>
      </w:r>
      <w:r>
        <w:rPr>
          <w:color w:val="231F20"/>
          <w:w w:val="105"/>
        </w:rPr>
        <w:t>1998;</w:t>
      </w:r>
      <w:r>
        <w:rPr>
          <w:color w:val="231F20"/>
          <w:spacing w:val="-26"/>
          <w:w w:val="105"/>
        </w:rPr>
        <w:t> </w:t>
      </w:r>
      <w:r>
        <w:rPr>
          <w:color w:val="231F20"/>
          <w:w w:val="105"/>
        </w:rPr>
        <w:t>Nevado</w:t>
      </w:r>
      <w:r>
        <w:rPr>
          <w:color w:val="231F20"/>
          <w:spacing w:val="-26"/>
          <w:w w:val="105"/>
        </w:rPr>
        <w:t> </w:t>
      </w:r>
      <w:r>
        <w:rPr>
          <w:color w:val="231F20"/>
          <w:w w:val="105"/>
        </w:rPr>
        <w:t>y</w:t>
      </w:r>
      <w:r>
        <w:rPr>
          <w:color w:val="231F20"/>
          <w:spacing w:val="-26"/>
          <w:w w:val="105"/>
        </w:rPr>
        <w:t> </w:t>
      </w:r>
      <w:r>
        <w:rPr>
          <w:color w:val="231F20"/>
          <w:w w:val="105"/>
        </w:rPr>
        <w:t>López</w:t>
      </w:r>
      <w:r>
        <w:rPr>
          <w:color w:val="231F20"/>
          <w:spacing w:val="-26"/>
          <w:w w:val="105"/>
        </w:rPr>
        <w:t> </w:t>
      </w:r>
      <w:r>
        <w:rPr>
          <w:color w:val="231F20"/>
          <w:w w:val="105"/>
        </w:rPr>
        <w:t>2002;</w:t>
      </w:r>
      <w:r>
        <w:rPr>
          <w:color w:val="231F20"/>
          <w:spacing w:val="-26"/>
          <w:w w:val="105"/>
        </w:rPr>
        <w:t> </w:t>
      </w:r>
      <w:r>
        <w:rPr>
          <w:color w:val="231F20"/>
          <w:w w:val="105"/>
        </w:rPr>
        <w:t>Ordoñez</w:t>
      </w:r>
      <w:r>
        <w:rPr>
          <w:color w:val="231F20"/>
          <w:spacing w:val="-26"/>
          <w:w w:val="105"/>
        </w:rPr>
        <w:t> </w:t>
      </w:r>
      <w:r>
        <w:rPr>
          <w:color w:val="231F20"/>
          <w:w w:val="105"/>
        </w:rPr>
        <w:t>de</w:t>
      </w:r>
      <w:r>
        <w:rPr>
          <w:color w:val="231F20"/>
          <w:spacing w:val="-26"/>
          <w:w w:val="105"/>
        </w:rPr>
        <w:t> </w:t>
      </w:r>
      <w:r>
        <w:rPr>
          <w:color w:val="231F20"/>
          <w:w w:val="105"/>
        </w:rPr>
        <w:t>Pablos,</w:t>
      </w:r>
      <w:r>
        <w:rPr>
          <w:color w:val="231F20"/>
          <w:spacing w:val="-31"/>
          <w:w w:val="105"/>
        </w:rPr>
        <w:t> </w:t>
      </w:r>
      <w:r>
        <w:rPr>
          <w:color w:val="231F20"/>
          <w:w w:val="105"/>
        </w:rPr>
        <w:t>2004).</w:t>
      </w:r>
    </w:p>
    <w:p>
      <w:pPr>
        <w:pStyle w:val="BodyText"/>
        <w:spacing w:line="259" w:lineRule="auto"/>
        <w:ind w:left="117" w:right="121" w:firstLine="567"/>
        <w:jc w:val="both"/>
      </w:pPr>
      <w:r>
        <w:rPr>
          <w:color w:val="231F20"/>
          <w:w w:val="105"/>
        </w:rPr>
        <w:t>Entonces, puede conceptualizarse a la competitividad municipal como la capacidad de aumentar la actividad productiva y de servicios que genere mayor penetración en mercados estatales, nacionales e</w:t>
      </w:r>
      <w:r>
        <w:rPr>
          <w:color w:val="231F20"/>
          <w:spacing w:val="-38"/>
          <w:w w:val="105"/>
        </w:rPr>
        <w:t> </w:t>
      </w:r>
      <w:r>
        <w:rPr>
          <w:color w:val="231F20"/>
          <w:w w:val="105"/>
        </w:rPr>
        <w:t>in- ternacionales,</w:t>
      </w:r>
      <w:r>
        <w:rPr>
          <w:color w:val="231F20"/>
          <w:spacing w:val="-14"/>
          <w:w w:val="105"/>
        </w:rPr>
        <w:t> </w:t>
      </w:r>
      <w:r>
        <w:rPr>
          <w:color w:val="231F20"/>
          <w:w w:val="105"/>
        </w:rPr>
        <w:t>incrementando</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educativo,</w:t>
      </w:r>
      <w:r>
        <w:rPr>
          <w:color w:val="231F20"/>
          <w:spacing w:val="-14"/>
          <w:w w:val="105"/>
        </w:rPr>
        <w:t> </w:t>
      </w:r>
      <w:r>
        <w:rPr>
          <w:color w:val="231F20"/>
          <w:w w:val="105"/>
        </w:rPr>
        <w:t>los</w:t>
      </w:r>
      <w:r>
        <w:rPr>
          <w:color w:val="231F20"/>
          <w:spacing w:val="-9"/>
          <w:w w:val="105"/>
        </w:rPr>
        <w:t> </w:t>
      </w:r>
      <w:r>
        <w:rPr>
          <w:color w:val="231F20"/>
          <w:w w:val="105"/>
        </w:rPr>
        <w:t>ingresos,</w:t>
      </w:r>
      <w:r>
        <w:rPr>
          <w:color w:val="231F20"/>
          <w:spacing w:val="-14"/>
          <w:w w:val="105"/>
        </w:rPr>
        <w:t> </w:t>
      </w:r>
      <w:r>
        <w:rPr>
          <w:color w:val="231F20"/>
          <w:w w:val="105"/>
        </w:rPr>
        <w:t>la</w:t>
      </w:r>
      <w:r>
        <w:rPr>
          <w:color w:val="231F20"/>
          <w:spacing w:val="-9"/>
          <w:w w:val="105"/>
        </w:rPr>
        <w:t> </w:t>
      </w:r>
      <w:r>
        <w:rPr>
          <w:color w:val="231F20"/>
          <w:w w:val="105"/>
        </w:rPr>
        <w:t>salud</w:t>
      </w:r>
      <w:r>
        <w:rPr>
          <w:color w:val="231F20"/>
          <w:spacing w:val="-9"/>
          <w:w w:val="105"/>
        </w:rPr>
        <w:t> </w:t>
      </w:r>
      <w:r>
        <w:rPr>
          <w:color w:val="231F20"/>
          <w:w w:val="105"/>
        </w:rPr>
        <w:t>y la</w:t>
      </w:r>
      <w:r>
        <w:rPr>
          <w:color w:val="231F20"/>
          <w:spacing w:val="-17"/>
          <w:w w:val="105"/>
        </w:rPr>
        <w:t> </w:t>
      </w:r>
      <w:r>
        <w:rPr>
          <w:color w:val="231F20"/>
          <w:w w:val="105"/>
        </w:rPr>
        <w:t>calidad</w:t>
      </w:r>
      <w:r>
        <w:rPr>
          <w:color w:val="231F20"/>
          <w:spacing w:val="-17"/>
          <w:w w:val="105"/>
        </w:rPr>
        <w:t> </w:t>
      </w:r>
      <w:r>
        <w:rPr>
          <w:color w:val="231F20"/>
          <w:w w:val="105"/>
        </w:rPr>
        <w:t>de</w:t>
      </w:r>
      <w:r>
        <w:rPr>
          <w:color w:val="231F20"/>
          <w:spacing w:val="-17"/>
          <w:w w:val="105"/>
        </w:rPr>
        <w:t> </w:t>
      </w:r>
      <w:r>
        <w:rPr>
          <w:color w:val="231F20"/>
          <w:w w:val="105"/>
        </w:rPr>
        <w:t>vida</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habitantes.</w:t>
      </w:r>
    </w:p>
    <w:p>
      <w:pPr>
        <w:spacing w:before="147"/>
        <w:ind w:left="117" w:right="0" w:firstLine="0"/>
        <w:jc w:val="both"/>
        <w:rPr>
          <w:rFonts w:ascii="Verdana"/>
          <w:i/>
          <w:sz w:val="21"/>
        </w:rPr>
      </w:pPr>
      <w:r>
        <w:rPr>
          <w:rFonts w:ascii="Verdana"/>
          <w:i/>
          <w:color w:val="231F20"/>
          <w:w w:val="95"/>
          <w:sz w:val="21"/>
        </w:rPr>
        <w:t>Factores que definen la competitividad de municipio</w:t>
      </w:r>
    </w:p>
    <w:p>
      <w:pPr>
        <w:pStyle w:val="BodyText"/>
        <w:spacing w:before="6"/>
        <w:rPr>
          <w:rFonts w:ascii="Verdana"/>
          <w:i/>
          <w:sz w:val="15"/>
        </w:rPr>
      </w:pPr>
    </w:p>
    <w:p>
      <w:pPr>
        <w:pStyle w:val="BodyText"/>
        <w:spacing w:line="259" w:lineRule="auto"/>
        <w:ind w:left="117" w:right="121"/>
        <w:jc w:val="both"/>
      </w:pPr>
      <w:r>
        <w:rPr>
          <w:color w:val="231F20"/>
          <w:spacing w:val="-4"/>
          <w:w w:val="105"/>
        </w:rPr>
        <w:t>Para Porter </w:t>
      </w:r>
      <w:r>
        <w:rPr>
          <w:color w:val="231F20"/>
          <w:w w:val="105"/>
        </w:rPr>
        <w:t>(1995) la competitividad es un proceso de generación y di- fusión de competencias, el cual depende no sólo de factores</w:t>
      </w:r>
      <w:r>
        <w:rPr>
          <w:color w:val="231F20"/>
          <w:spacing w:val="-42"/>
          <w:w w:val="105"/>
        </w:rPr>
        <w:t> </w:t>
      </w:r>
      <w:r>
        <w:rPr>
          <w:color w:val="231F20"/>
          <w:w w:val="105"/>
        </w:rPr>
        <w:t>microeco- nómicos sino también de las capacidades que ofrece el territorio para facilitar las actividades económicas. Se trata de crear en el espacio un entorno</w:t>
      </w:r>
      <w:r>
        <w:rPr>
          <w:color w:val="231F20"/>
          <w:spacing w:val="-16"/>
          <w:w w:val="105"/>
        </w:rPr>
        <w:t> </w:t>
      </w:r>
      <w:r>
        <w:rPr>
          <w:color w:val="231F20"/>
          <w:w w:val="105"/>
        </w:rPr>
        <w:t>físico,</w:t>
      </w:r>
      <w:r>
        <w:rPr>
          <w:color w:val="231F20"/>
          <w:spacing w:val="-23"/>
          <w:w w:val="105"/>
        </w:rPr>
        <w:t> </w:t>
      </w:r>
      <w:r>
        <w:rPr>
          <w:color w:val="231F20"/>
          <w:w w:val="105"/>
        </w:rPr>
        <w:t>tecnológico,</w:t>
      </w:r>
      <w:r>
        <w:rPr>
          <w:color w:val="231F20"/>
          <w:spacing w:val="-23"/>
          <w:w w:val="105"/>
        </w:rPr>
        <w:t> </w:t>
      </w:r>
      <w:r>
        <w:rPr>
          <w:color w:val="231F20"/>
          <w:w w:val="105"/>
        </w:rPr>
        <w:t>social,</w:t>
      </w:r>
      <w:r>
        <w:rPr>
          <w:color w:val="231F20"/>
          <w:spacing w:val="-23"/>
          <w:w w:val="105"/>
        </w:rPr>
        <w:t> </w:t>
      </w:r>
      <w:r>
        <w:rPr>
          <w:color w:val="231F20"/>
          <w:w w:val="105"/>
        </w:rPr>
        <w:t>ambiental</w:t>
      </w:r>
      <w:r>
        <w:rPr>
          <w:color w:val="231F20"/>
          <w:spacing w:val="-16"/>
          <w:w w:val="105"/>
        </w:rPr>
        <w:t> </w:t>
      </w:r>
      <w:r>
        <w:rPr>
          <w:color w:val="231F20"/>
          <w:w w:val="105"/>
        </w:rPr>
        <w:t>e</w:t>
      </w:r>
      <w:r>
        <w:rPr>
          <w:color w:val="231F20"/>
          <w:spacing w:val="-16"/>
          <w:w w:val="105"/>
        </w:rPr>
        <w:t> </w:t>
      </w:r>
      <w:r>
        <w:rPr>
          <w:color w:val="231F20"/>
          <w:w w:val="105"/>
        </w:rPr>
        <w:t>institucional</w:t>
      </w:r>
      <w:r>
        <w:rPr>
          <w:color w:val="231F20"/>
          <w:spacing w:val="-16"/>
          <w:w w:val="105"/>
        </w:rPr>
        <w:t> </w:t>
      </w:r>
      <w:r>
        <w:rPr>
          <w:color w:val="231F20"/>
          <w:w w:val="105"/>
        </w:rPr>
        <w:t>propicio</w:t>
      </w:r>
      <w:r>
        <w:rPr>
          <w:color w:val="231F20"/>
          <w:spacing w:val="-16"/>
          <w:w w:val="105"/>
        </w:rPr>
        <w:t> </w:t>
      </w:r>
      <w:r>
        <w:rPr>
          <w:color w:val="231F20"/>
          <w:w w:val="105"/>
        </w:rPr>
        <w:t>para atraer y desarrollar actividades económicas generadoras de riqueza y empleo. De acuerdo con lo anterior, los municipios pueden promover</w:t>
      </w:r>
      <w:r>
        <w:rPr>
          <w:color w:val="231F20"/>
          <w:spacing w:val="-13"/>
          <w:w w:val="105"/>
        </w:rPr>
        <w:t> </w:t>
      </w:r>
      <w:r>
        <w:rPr>
          <w:color w:val="231F20"/>
          <w:w w:val="105"/>
        </w:rPr>
        <w:t>o </w:t>
      </w:r>
      <w:r>
        <w:rPr>
          <w:color w:val="231F20"/>
        </w:rPr>
        <w:t>crear estas</w:t>
      </w:r>
      <w:r>
        <w:rPr>
          <w:color w:val="231F20"/>
          <w:spacing w:val="25"/>
        </w:rPr>
        <w:t> </w:t>
      </w:r>
      <w:r>
        <w:rPr>
          <w:color w:val="231F20"/>
        </w:rPr>
        <w:t>condiciones.</w:t>
      </w:r>
    </w:p>
    <w:p>
      <w:pPr>
        <w:pStyle w:val="BodyText"/>
        <w:spacing w:line="259" w:lineRule="auto"/>
        <w:ind w:left="117" w:right="121" w:firstLine="567"/>
        <w:jc w:val="both"/>
      </w:pPr>
      <w:r>
        <w:rPr>
          <w:color w:val="231F20"/>
          <w:w w:val="105"/>
        </w:rPr>
        <w:t>Aceptando la idea de que existen ciudades, municipios o regio- nes</w:t>
      </w:r>
      <w:r>
        <w:rPr>
          <w:color w:val="231F20"/>
          <w:spacing w:val="-38"/>
          <w:w w:val="105"/>
        </w:rPr>
        <w:t> </w:t>
      </w:r>
      <w:r>
        <w:rPr>
          <w:color w:val="231F20"/>
          <w:w w:val="105"/>
        </w:rPr>
        <w:t>competitivos,</w:t>
      </w:r>
      <w:r>
        <w:rPr>
          <w:color w:val="231F20"/>
          <w:spacing w:val="-41"/>
          <w:w w:val="105"/>
        </w:rPr>
        <w:t> </w:t>
      </w:r>
      <w:r>
        <w:rPr>
          <w:color w:val="231F20"/>
          <w:w w:val="105"/>
        </w:rPr>
        <w:t>cabe</w:t>
      </w:r>
      <w:r>
        <w:rPr>
          <w:color w:val="231F20"/>
          <w:spacing w:val="-38"/>
          <w:w w:val="105"/>
        </w:rPr>
        <w:t> </w:t>
      </w:r>
      <w:r>
        <w:rPr>
          <w:color w:val="231F20"/>
          <w:w w:val="105"/>
        </w:rPr>
        <w:t>preguntarse:</w:t>
      </w:r>
      <w:r>
        <w:rPr>
          <w:color w:val="231F20"/>
          <w:spacing w:val="-38"/>
          <w:w w:val="105"/>
        </w:rPr>
        <w:t> </w:t>
      </w:r>
      <w:r>
        <w:rPr>
          <w:color w:val="231F20"/>
          <w:w w:val="105"/>
        </w:rPr>
        <w:t>¿qué</w:t>
      </w:r>
      <w:r>
        <w:rPr>
          <w:color w:val="231F20"/>
          <w:spacing w:val="-38"/>
          <w:w w:val="105"/>
        </w:rPr>
        <w:t> </w:t>
      </w:r>
      <w:r>
        <w:rPr>
          <w:color w:val="231F20"/>
          <w:w w:val="105"/>
        </w:rPr>
        <w:t>características</w:t>
      </w:r>
      <w:r>
        <w:rPr>
          <w:color w:val="231F20"/>
          <w:spacing w:val="-38"/>
          <w:w w:val="105"/>
        </w:rPr>
        <w:t> </w:t>
      </w:r>
      <w:r>
        <w:rPr>
          <w:color w:val="231F20"/>
          <w:w w:val="105"/>
        </w:rPr>
        <w:t>los/las</w:t>
      </w:r>
      <w:r>
        <w:rPr>
          <w:color w:val="231F20"/>
          <w:spacing w:val="-38"/>
          <w:w w:val="105"/>
        </w:rPr>
        <w:t> </w:t>
      </w:r>
      <w:r>
        <w:rPr>
          <w:color w:val="231F20"/>
          <w:w w:val="105"/>
        </w:rPr>
        <w:t>definen? Esto</w:t>
      </w:r>
      <w:r>
        <w:rPr>
          <w:color w:val="231F20"/>
          <w:spacing w:val="-18"/>
          <w:w w:val="105"/>
        </w:rPr>
        <w:t> </w:t>
      </w:r>
      <w:r>
        <w:rPr>
          <w:color w:val="231F20"/>
          <w:w w:val="105"/>
        </w:rPr>
        <w:t>es</w:t>
      </w:r>
      <w:r>
        <w:rPr>
          <w:color w:val="231F20"/>
          <w:spacing w:val="-18"/>
          <w:w w:val="105"/>
        </w:rPr>
        <w:t> </w:t>
      </w:r>
      <w:r>
        <w:rPr>
          <w:color w:val="231F20"/>
          <w:w w:val="105"/>
        </w:rPr>
        <w:t>bastante</w:t>
      </w:r>
      <w:r>
        <w:rPr>
          <w:color w:val="231F20"/>
          <w:spacing w:val="-18"/>
          <w:w w:val="105"/>
        </w:rPr>
        <w:t> </w:t>
      </w:r>
      <w:r>
        <w:rPr>
          <w:color w:val="231F20"/>
          <w:w w:val="105"/>
        </w:rPr>
        <w:t>impreciso,</w:t>
      </w:r>
      <w:r>
        <w:rPr>
          <w:color w:val="231F20"/>
          <w:spacing w:val="-23"/>
          <w:w w:val="105"/>
        </w:rPr>
        <w:t> </w:t>
      </w:r>
      <w:r>
        <w:rPr>
          <w:color w:val="231F20"/>
          <w:w w:val="105"/>
        </w:rPr>
        <w:t>ya</w:t>
      </w:r>
      <w:r>
        <w:rPr>
          <w:color w:val="231F20"/>
          <w:spacing w:val="-18"/>
          <w:w w:val="105"/>
        </w:rPr>
        <w:t> </w:t>
      </w:r>
      <w:r>
        <w:rPr>
          <w:color w:val="231F20"/>
          <w:w w:val="105"/>
        </w:rPr>
        <w:t>que</w:t>
      </w:r>
      <w:r>
        <w:rPr>
          <w:color w:val="231F20"/>
          <w:spacing w:val="-18"/>
          <w:w w:val="105"/>
        </w:rPr>
        <w:t> </w:t>
      </w:r>
      <w:r>
        <w:rPr>
          <w:color w:val="231F20"/>
          <w:w w:val="105"/>
        </w:rPr>
        <w:t>cada</w:t>
      </w:r>
      <w:r>
        <w:rPr>
          <w:color w:val="231F20"/>
          <w:spacing w:val="-18"/>
          <w:w w:val="105"/>
        </w:rPr>
        <w:t> </w:t>
      </w:r>
      <w:r>
        <w:rPr>
          <w:color w:val="231F20"/>
          <w:w w:val="105"/>
        </w:rPr>
        <w:t>autor,</w:t>
      </w:r>
      <w:r>
        <w:rPr>
          <w:color w:val="231F20"/>
          <w:spacing w:val="-23"/>
          <w:w w:val="105"/>
        </w:rPr>
        <w:t> </w:t>
      </w:r>
      <w:r>
        <w:rPr>
          <w:color w:val="231F20"/>
          <w:w w:val="105"/>
        </w:rPr>
        <w:t>en</w:t>
      </w:r>
      <w:r>
        <w:rPr>
          <w:color w:val="231F20"/>
          <w:spacing w:val="-18"/>
          <w:w w:val="105"/>
        </w:rPr>
        <w:t> </w:t>
      </w:r>
      <w:r>
        <w:rPr>
          <w:color w:val="231F20"/>
          <w:w w:val="105"/>
        </w:rPr>
        <w:t>función</w:t>
      </w:r>
      <w:r>
        <w:rPr>
          <w:color w:val="231F20"/>
          <w:spacing w:val="-18"/>
          <w:w w:val="105"/>
        </w:rPr>
        <w:t> </w:t>
      </w:r>
      <w:r>
        <w:rPr>
          <w:color w:val="231F20"/>
          <w:w w:val="105"/>
        </w:rPr>
        <w:t>del</w:t>
      </w:r>
      <w:r>
        <w:rPr>
          <w:color w:val="231F20"/>
          <w:spacing w:val="-18"/>
          <w:w w:val="105"/>
        </w:rPr>
        <w:t> </w:t>
      </w:r>
      <w:r>
        <w:rPr>
          <w:color w:val="231F20"/>
          <w:w w:val="105"/>
        </w:rPr>
        <w:t>análisis</w:t>
      </w:r>
      <w:r>
        <w:rPr>
          <w:color w:val="231F20"/>
          <w:spacing w:val="-18"/>
          <w:w w:val="105"/>
        </w:rPr>
        <w:t> </w:t>
      </w:r>
      <w:r>
        <w:rPr>
          <w:color w:val="231F20"/>
          <w:w w:val="105"/>
        </w:rPr>
        <w:t>de su propia realidad, espacio y contexto, identifica diferentes componen- tes.</w:t>
      </w:r>
      <w:r>
        <w:rPr>
          <w:color w:val="231F20"/>
          <w:spacing w:val="-20"/>
          <w:w w:val="105"/>
        </w:rPr>
        <w:t> </w:t>
      </w:r>
      <w:r>
        <w:rPr>
          <w:color w:val="231F20"/>
          <w:w w:val="105"/>
        </w:rPr>
        <w:t>Sin</w:t>
      </w:r>
      <w:r>
        <w:rPr>
          <w:color w:val="231F20"/>
          <w:spacing w:val="-13"/>
          <w:w w:val="105"/>
        </w:rPr>
        <w:t> </w:t>
      </w:r>
      <w:r>
        <w:rPr>
          <w:color w:val="231F20"/>
          <w:w w:val="105"/>
        </w:rPr>
        <w:t>embargo,</w:t>
      </w:r>
      <w:r>
        <w:rPr>
          <w:color w:val="231F20"/>
          <w:spacing w:val="-20"/>
          <w:w w:val="105"/>
        </w:rPr>
        <w:t> </w:t>
      </w:r>
      <w:r>
        <w:rPr>
          <w:color w:val="231F20"/>
          <w:w w:val="105"/>
        </w:rPr>
        <w:t>tienden</w:t>
      </w:r>
      <w:r>
        <w:rPr>
          <w:color w:val="231F20"/>
          <w:spacing w:val="-13"/>
          <w:w w:val="105"/>
        </w:rPr>
        <w:t> </w:t>
      </w:r>
      <w:r>
        <w:rPr>
          <w:color w:val="231F20"/>
          <w:w w:val="105"/>
        </w:rPr>
        <w:t>a</w:t>
      </w:r>
      <w:r>
        <w:rPr>
          <w:color w:val="231F20"/>
          <w:spacing w:val="-13"/>
          <w:w w:val="105"/>
        </w:rPr>
        <w:t> </w:t>
      </w:r>
      <w:r>
        <w:rPr>
          <w:color w:val="231F20"/>
          <w:w w:val="105"/>
        </w:rPr>
        <w:t>coincidir</w:t>
      </w:r>
      <w:r>
        <w:rPr>
          <w:color w:val="231F20"/>
          <w:spacing w:val="-13"/>
          <w:w w:val="105"/>
        </w:rPr>
        <w:t> </w:t>
      </w:r>
      <w:r>
        <w:rPr>
          <w:color w:val="231F20"/>
          <w:w w:val="105"/>
        </w:rPr>
        <w:t>en</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competitividad</w:t>
      </w:r>
      <w:r>
        <w:rPr>
          <w:color w:val="231F20"/>
          <w:spacing w:val="-13"/>
          <w:w w:val="105"/>
        </w:rPr>
        <w:t> </w:t>
      </w:r>
      <w:r>
        <w:rPr>
          <w:color w:val="231F20"/>
          <w:w w:val="105"/>
        </w:rPr>
        <w:t>del</w:t>
      </w:r>
      <w:r>
        <w:rPr>
          <w:color w:val="231F20"/>
          <w:spacing w:val="-13"/>
          <w:w w:val="105"/>
        </w:rPr>
        <w:t> </w:t>
      </w:r>
      <w:r>
        <w:rPr>
          <w:color w:val="231F20"/>
          <w:w w:val="105"/>
        </w:rPr>
        <w:t>territo- rio</w:t>
      </w:r>
      <w:r>
        <w:rPr>
          <w:color w:val="231F20"/>
          <w:spacing w:val="-11"/>
          <w:w w:val="105"/>
        </w:rPr>
        <w:t> </w:t>
      </w:r>
      <w:r>
        <w:rPr>
          <w:color w:val="231F20"/>
          <w:w w:val="105"/>
        </w:rPr>
        <w:t>depende</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combinación</w:t>
      </w:r>
      <w:r>
        <w:rPr>
          <w:color w:val="231F20"/>
          <w:spacing w:val="-11"/>
          <w:w w:val="105"/>
        </w:rPr>
        <w:t> </w:t>
      </w:r>
      <w:r>
        <w:rPr>
          <w:color w:val="231F20"/>
          <w:w w:val="105"/>
        </w:rPr>
        <w:t>de</w:t>
      </w:r>
      <w:r>
        <w:rPr>
          <w:color w:val="231F20"/>
          <w:spacing w:val="-11"/>
          <w:w w:val="105"/>
        </w:rPr>
        <w:t> </w:t>
      </w:r>
      <w:r>
        <w:rPr>
          <w:color w:val="231F20"/>
          <w:w w:val="105"/>
        </w:rPr>
        <w:t>factores</w:t>
      </w:r>
      <w:r>
        <w:rPr>
          <w:color w:val="231F20"/>
          <w:spacing w:val="-11"/>
          <w:w w:val="105"/>
        </w:rPr>
        <w:t> </w:t>
      </w:r>
      <w:r>
        <w:rPr>
          <w:color w:val="231F20"/>
          <w:w w:val="105"/>
        </w:rPr>
        <w:t>para</w:t>
      </w:r>
      <w:r>
        <w:rPr>
          <w:color w:val="231F20"/>
          <w:spacing w:val="-11"/>
          <w:w w:val="105"/>
        </w:rPr>
        <w:t> </w:t>
      </w:r>
      <w:r>
        <w:rPr>
          <w:color w:val="231F20"/>
          <w:w w:val="105"/>
        </w:rPr>
        <w:t>(Boddy,</w:t>
      </w:r>
      <w:r>
        <w:rPr>
          <w:color w:val="231F20"/>
          <w:spacing w:val="-18"/>
          <w:w w:val="105"/>
        </w:rPr>
        <w:t> </w:t>
      </w:r>
      <w:r>
        <w:rPr>
          <w:color w:val="231F20"/>
          <w:w w:val="105"/>
        </w:rPr>
        <w:t>2002):</w:t>
      </w:r>
    </w:p>
    <w:p>
      <w:pPr>
        <w:pStyle w:val="BodyText"/>
        <w:spacing w:before="6"/>
        <w:rPr>
          <w:sz w:val="22"/>
        </w:rPr>
      </w:pPr>
    </w:p>
    <w:p>
      <w:pPr>
        <w:pStyle w:val="ListParagraph"/>
        <w:numPr>
          <w:ilvl w:val="0"/>
          <w:numId w:val="31"/>
        </w:numPr>
        <w:tabs>
          <w:tab w:pos="1328" w:val="left" w:leader="none"/>
        </w:tabs>
        <w:spacing w:line="259" w:lineRule="auto" w:before="0" w:after="0"/>
        <w:ind w:left="1327" w:right="121" w:hanging="360"/>
        <w:jc w:val="left"/>
        <w:rPr>
          <w:sz w:val="21"/>
        </w:rPr>
      </w:pPr>
      <w:r>
        <w:rPr>
          <w:color w:val="231F20"/>
          <w:w w:val="105"/>
          <w:sz w:val="21"/>
        </w:rPr>
        <w:t>Participar en el mercado nacional, regional e internacional de</w:t>
      </w:r>
      <w:r>
        <w:rPr>
          <w:color w:val="231F20"/>
          <w:spacing w:val="-26"/>
          <w:w w:val="105"/>
          <w:sz w:val="21"/>
        </w:rPr>
        <w:t> </w:t>
      </w:r>
      <w:r>
        <w:rPr>
          <w:color w:val="231F20"/>
          <w:w w:val="105"/>
          <w:sz w:val="21"/>
        </w:rPr>
        <w:t>bienes</w:t>
      </w:r>
      <w:r>
        <w:rPr>
          <w:color w:val="231F20"/>
          <w:spacing w:val="-26"/>
          <w:w w:val="105"/>
          <w:sz w:val="21"/>
        </w:rPr>
        <w:t> </w:t>
      </w:r>
      <w:r>
        <w:rPr>
          <w:color w:val="231F20"/>
          <w:w w:val="105"/>
          <w:sz w:val="21"/>
        </w:rPr>
        <w:t>y</w:t>
      </w:r>
      <w:r>
        <w:rPr>
          <w:color w:val="231F20"/>
          <w:spacing w:val="-26"/>
          <w:w w:val="105"/>
          <w:sz w:val="21"/>
        </w:rPr>
        <w:t> </w:t>
      </w:r>
      <w:r>
        <w:rPr>
          <w:color w:val="231F20"/>
          <w:w w:val="105"/>
          <w:sz w:val="21"/>
        </w:rPr>
        <w:t>servicios.</w:t>
      </w:r>
    </w:p>
    <w:p>
      <w:pPr>
        <w:spacing w:after="0" w:line="259" w:lineRule="auto"/>
        <w:jc w:val="left"/>
        <w:rPr>
          <w:sz w:val="21"/>
        </w:rPr>
        <w:sectPr>
          <w:pgSz w:w="9640" w:h="13890"/>
          <w:pgMar w:top="0" w:bottom="280" w:left="1300" w:right="1180"/>
        </w:sectPr>
      </w:pPr>
    </w:p>
    <w:p>
      <w:pPr>
        <w:pStyle w:val="ListParagraph"/>
        <w:numPr>
          <w:ilvl w:val="0"/>
          <w:numId w:val="31"/>
        </w:numPr>
        <w:tabs>
          <w:tab w:pos="1315" w:val="left" w:leader="none"/>
        </w:tabs>
        <w:spacing w:line="259" w:lineRule="auto" w:before="120" w:after="0"/>
        <w:ind w:left="1314" w:right="116" w:hanging="360"/>
        <w:jc w:val="left"/>
        <w:rPr>
          <w:sz w:val="21"/>
        </w:rPr>
      </w:pPr>
      <w:r>
        <w:rPr>
          <w:color w:val="231F20"/>
          <w:w w:val="105"/>
          <w:sz w:val="21"/>
        </w:rPr>
        <w:t>Incrementar el ingreso real y el bienestar social de los ciu- dadanos.</w:t>
      </w:r>
    </w:p>
    <w:p>
      <w:pPr>
        <w:pStyle w:val="ListParagraph"/>
        <w:numPr>
          <w:ilvl w:val="0"/>
          <w:numId w:val="31"/>
        </w:numPr>
        <w:tabs>
          <w:tab w:pos="1315" w:val="left" w:leader="none"/>
        </w:tabs>
        <w:spacing w:line="240" w:lineRule="auto" w:before="170" w:after="0"/>
        <w:ind w:left="1314" w:right="0" w:hanging="360"/>
        <w:jc w:val="left"/>
        <w:rPr>
          <w:sz w:val="21"/>
        </w:rPr>
      </w:pPr>
      <w:r>
        <w:rPr>
          <w:color w:val="231F20"/>
          <w:w w:val="105"/>
          <w:sz w:val="21"/>
        </w:rPr>
        <w:t>Promover</w:t>
      </w:r>
      <w:r>
        <w:rPr>
          <w:color w:val="231F20"/>
          <w:spacing w:val="-30"/>
          <w:w w:val="105"/>
          <w:sz w:val="21"/>
        </w:rPr>
        <w:t> </w:t>
      </w:r>
      <w:r>
        <w:rPr>
          <w:color w:val="231F20"/>
          <w:w w:val="105"/>
          <w:sz w:val="21"/>
        </w:rPr>
        <w:t>el</w:t>
      </w:r>
      <w:r>
        <w:rPr>
          <w:color w:val="231F20"/>
          <w:spacing w:val="-30"/>
          <w:w w:val="105"/>
          <w:sz w:val="21"/>
        </w:rPr>
        <w:t> </w:t>
      </w:r>
      <w:r>
        <w:rPr>
          <w:color w:val="231F20"/>
          <w:w w:val="105"/>
          <w:sz w:val="21"/>
        </w:rPr>
        <w:t>desarrollo</w:t>
      </w:r>
      <w:r>
        <w:rPr>
          <w:color w:val="231F20"/>
          <w:spacing w:val="-30"/>
          <w:w w:val="105"/>
          <w:sz w:val="21"/>
        </w:rPr>
        <w:t> </w:t>
      </w:r>
      <w:r>
        <w:rPr>
          <w:color w:val="231F20"/>
          <w:w w:val="105"/>
          <w:sz w:val="21"/>
        </w:rPr>
        <w:t>sustentable.</w:t>
      </w:r>
    </w:p>
    <w:p>
      <w:pPr>
        <w:pStyle w:val="BodyText"/>
        <w:spacing w:before="4"/>
        <w:rPr>
          <w:sz w:val="16"/>
        </w:rPr>
      </w:pPr>
    </w:p>
    <w:p>
      <w:pPr>
        <w:pStyle w:val="ListParagraph"/>
        <w:numPr>
          <w:ilvl w:val="0"/>
          <w:numId w:val="31"/>
        </w:numPr>
        <w:tabs>
          <w:tab w:pos="1315" w:val="left" w:leader="none"/>
        </w:tabs>
        <w:spacing w:line="240" w:lineRule="auto" w:before="0" w:after="0"/>
        <w:ind w:left="1314" w:right="0" w:hanging="360"/>
        <w:jc w:val="left"/>
        <w:rPr>
          <w:sz w:val="21"/>
        </w:rPr>
      </w:pPr>
      <w:r>
        <w:rPr>
          <w:color w:val="231F20"/>
          <w:w w:val="105"/>
          <w:sz w:val="21"/>
        </w:rPr>
        <w:t>Promover</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cohesión</w:t>
      </w:r>
      <w:r>
        <w:rPr>
          <w:color w:val="231F20"/>
          <w:spacing w:val="-24"/>
          <w:w w:val="105"/>
          <w:sz w:val="21"/>
        </w:rPr>
        <w:t> </w:t>
      </w:r>
      <w:r>
        <w:rPr>
          <w:color w:val="231F20"/>
          <w:w w:val="105"/>
          <w:sz w:val="21"/>
        </w:rPr>
        <w:t>social</w:t>
      </w:r>
      <w:r>
        <w:rPr>
          <w:color w:val="231F20"/>
          <w:spacing w:val="-24"/>
          <w:w w:val="105"/>
          <w:sz w:val="21"/>
        </w:rPr>
        <w:t> </w:t>
      </w:r>
      <w:r>
        <w:rPr>
          <w:color w:val="231F20"/>
          <w:w w:val="105"/>
          <w:sz w:val="21"/>
        </w:rPr>
        <w:t>combatiendo</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exclusión.</w:t>
      </w:r>
    </w:p>
    <w:p>
      <w:pPr>
        <w:pStyle w:val="BodyText"/>
        <w:rPr>
          <w:sz w:val="20"/>
        </w:rPr>
      </w:pPr>
    </w:p>
    <w:p>
      <w:pPr>
        <w:pStyle w:val="BodyText"/>
        <w:rPr>
          <w:sz w:val="19"/>
        </w:rPr>
      </w:pPr>
    </w:p>
    <w:p>
      <w:pPr>
        <w:pStyle w:val="BodyText"/>
        <w:spacing w:line="259" w:lineRule="auto"/>
        <w:ind w:left="103" w:right="109"/>
        <w:jc w:val="both"/>
      </w:pPr>
      <w:r>
        <w:rPr>
          <w:color w:val="231F20"/>
          <w:w w:val="105"/>
        </w:rPr>
        <w:t>Ante</w:t>
      </w:r>
      <w:r>
        <w:rPr>
          <w:color w:val="231F20"/>
          <w:spacing w:val="-24"/>
          <w:w w:val="105"/>
        </w:rPr>
        <w:t> </w:t>
      </w:r>
      <w:r>
        <w:rPr>
          <w:color w:val="231F20"/>
          <w:w w:val="105"/>
        </w:rPr>
        <w:t>ello,</w:t>
      </w:r>
      <w:r>
        <w:rPr>
          <w:color w:val="231F20"/>
          <w:spacing w:val="-29"/>
          <w:w w:val="105"/>
        </w:rPr>
        <w:t> </w:t>
      </w:r>
      <w:r>
        <w:rPr>
          <w:color w:val="231F20"/>
          <w:w w:val="105"/>
        </w:rPr>
        <w:t>debe</w:t>
      </w:r>
      <w:r>
        <w:rPr>
          <w:color w:val="231F20"/>
          <w:spacing w:val="-24"/>
          <w:w w:val="105"/>
        </w:rPr>
        <w:t> </w:t>
      </w:r>
      <w:r>
        <w:rPr>
          <w:color w:val="231F20"/>
          <w:w w:val="105"/>
        </w:rPr>
        <w:t>aceptarse</w:t>
      </w:r>
      <w:r>
        <w:rPr>
          <w:color w:val="231F20"/>
          <w:spacing w:val="-24"/>
          <w:w w:val="105"/>
        </w:rPr>
        <w:t> </w:t>
      </w:r>
      <w:r>
        <w:rPr>
          <w:color w:val="231F20"/>
          <w:w w:val="105"/>
        </w:rPr>
        <w:t>que</w:t>
      </w:r>
      <w:r>
        <w:rPr>
          <w:color w:val="231F20"/>
          <w:spacing w:val="-24"/>
          <w:w w:val="105"/>
        </w:rPr>
        <w:t> </w:t>
      </w:r>
      <w:r>
        <w:rPr>
          <w:color w:val="231F20"/>
          <w:w w:val="105"/>
        </w:rPr>
        <w:t>es</w:t>
      </w:r>
      <w:r>
        <w:rPr>
          <w:color w:val="231F20"/>
          <w:spacing w:val="-24"/>
          <w:w w:val="105"/>
        </w:rPr>
        <w:t> </w:t>
      </w:r>
      <w:r>
        <w:rPr>
          <w:color w:val="231F20"/>
          <w:w w:val="105"/>
        </w:rPr>
        <w:t>difícil</w:t>
      </w:r>
      <w:r>
        <w:rPr>
          <w:color w:val="231F20"/>
          <w:spacing w:val="-24"/>
          <w:w w:val="105"/>
        </w:rPr>
        <w:t> </w:t>
      </w:r>
      <w:r>
        <w:rPr>
          <w:color w:val="231F20"/>
          <w:w w:val="105"/>
        </w:rPr>
        <w:t>identificar</w:t>
      </w:r>
      <w:r>
        <w:rPr>
          <w:color w:val="231F20"/>
          <w:spacing w:val="-24"/>
          <w:w w:val="105"/>
        </w:rPr>
        <w:t> </w:t>
      </w:r>
      <w:r>
        <w:rPr>
          <w:color w:val="231F20"/>
          <w:w w:val="105"/>
        </w:rPr>
        <w:t>cuáles</w:t>
      </w:r>
      <w:r>
        <w:rPr>
          <w:color w:val="231F20"/>
          <w:spacing w:val="-24"/>
          <w:w w:val="105"/>
        </w:rPr>
        <w:t> </w:t>
      </w:r>
      <w:r>
        <w:rPr>
          <w:color w:val="231F20"/>
          <w:w w:val="105"/>
        </w:rPr>
        <w:t>son</w:t>
      </w:r>
      <w:r>
        <w:rPr>
          <w:color w:val="231F20"/>
          <w:spacing w:val="-24"/>
          <w:w w:val="105"/>
        </w:rPr>
        <w:t> </w:t>
      </w:r>
      <w:r>
        <w:rPr>
          <w:color w:val="231F20"/>
          <w:w w:val="105"/>
        </w:rPr>
        <w:t>las</w:t>
      </w:r>
      <w:r>
        <w:rPr>
          <w:color w:val="231F20"/>
          <w:spacing w:val="-24"/>
          <w:w w:val="105"/>
        </w:rPr>
        <w:t> </w:t>
      </w:r>
      <w:r>
        <w:rPr>
          <w:color w:val="231F20"/>
          <w:w w:val="105"/>
        </w:rPr>
        <w:t>políticas, programas</w:t>
      </w:r>
      <w:r>
        <w:rPr>
          <w:color w:val="231F20"/>
          <w:spacing w:val="-11"/>
          <w:w w:val="105"/>
        </w:rPr>
        <w:t> </w:t>
      </w:r>
      <w:r>
        <w:rPr>
          <w:color w:val="231F20"/>
          <w:w w:val="105"/>
        </w:rPr>
        <w:t>o</w:t>
      </w:r>
      <w:r>
        <w:rPr>
          <w:color w:val="231F20"/>
          <w:spacing w:val="-11"/>
          <w:w w:val="105"/>
        </w:rPr>
        <w:t> </w:t>
      </w:r>
      <w:r>
        <w:rPr>
          <w:color w:val="231F20"/>
          <w:w w:val="105"/>
        </w:rPr>
        <w:t>acciones</w:t>
      </w:r>
      <w:r>
        <w:rPr>
          <w:color w:val="231F20"/>
          <w:spacing w:val="-11"/>
          <w:w w:val="105"/>
        </w:rPr>
        <w:t> </w:t>
      </w:r>
      <w:r>
        <w:rPr>
          <w:color w:val="231F20"/>
          <w:w w:val="105"/>
        </w:rPr>
        <w:t>que</w:t>
      </w:r>
      <w:r>
        <w:rPr>
          <w:color w:val="231F20"/>
          <w:spacing w:val="-11"/>
          <w:w w:val="105"/>
        </w:rPr>
        <w:t> </w:t>
      </w:r>
      <w:r>
        <w:rPr>
          <w:color w:val="231F20"/>
          <w:w w:val="105"/>
        </w:rPr>
        <w:t>crean</w:t>
      </w:r>
      <w:r>
        <w:rPr>
          <w:color w:val="231F20"/>
          <w:spacing w:val="-11"/>
          <w:w w:val="105"/>
        </w:rPr>
        <w:t> </w:t>
      </w:r>
      <w:r>
        <w:rPr>
          <w:color w:val="231F20"/>
          <w:w w:val="105"/>
        </w:rPr>
        <w:t>diferencias</w:t>
      </w:r>
      <w:r>
        <w:rPr>
          <w:color w:val="231F20"/>
          <w:spacing w:val="-11"/>
          <w:w w:val="105"/>
        </w:rPr>
        <w:t> </w:t>
      </w:r>
      <w:r>
        <w:rPr>
          <w:color w:val="231F20"/>
          <w:w w:val="105"/>
        </w:rPr>
        <w:t>a</w:t>
      </w:r>
      <w:r>
        <w:rPr>
          <w:color w:val="231F20"/>
          <w:spacing w:val="-11"/>
          <w:w w:val="105"/>
        </w:rPr>
        <w:t> </w:t>
      </w:r>
      <w:r>
        <w:rPr>
          <w:color w:val="231F20"/>
          <w:w w:val="105"/>
        </w:rPr>
        <w:t>favor</w:t>
      </w:r>
      <w:r>
        <w:rPr>
          <w:color w:val="231F20"/>
          <w:spacing w:val="-11"/>
          <w:w w:val="105"/>
        </w:rPr>
        <w:t> </w:t>
      </w:r>
      <w:r>
        <w:rPr>
          <w:color w:val="231F20"/>
          <w:w w:val="105"/>
        </w:rPr>
        <w:t>de</w:t>
      </w:r>
      <w:r>
        <w:rPr>
          <w:color w:val="231F20"/>
          <w:spacing w:val="-11"/>
          <w:w w:val="105"/>
        </w:rPr>
        <w:t> </w:t>
      </w:r>
      <w:r>
        <w:rPr>
          <w:color w:val="231F20"/>
          <w:w w:val="105"/>
        </w:rPr>
        <w:t>unos</w:t>
      </w:r>
      <w:r>
        <w:rPr>
          <w:color w:val="231F20"/>
          <w:spacing w:val="-11"/>
          <w:w w:val="105"/>
        </w:rPr>
        <w:t> </w:t>
      </w:r>
      <w:r>
        <w:rPr>
          <w:color w:val="231F20"/>
          <w:w w:val="105"/>
        </w:rPr>
        <w:t>espacios</w:t>
      </w:r>
      <w:r>
        <w:rPr>
          <w:color w:val="231F20"/>
          <w:spacing w:val="-11"/>
          <w:w w:val="105"/>
        </w:rPr>
        <w:t> </w:t>
      </w:r>
      <w:r>
        <w:rPr>
          <w:color w:val="231F20"/>
          <w:w w:val="105"/>
        </w:rPr>
        <w:t>y los</w:t>
      </w:r>
      <w:r>
        <w:rPr>
          <w:color w:val="231F20"/>
          <w:spacing w:val="-28"/>
          <w:w w:val="105"/>
        </w:rPr>
        <w:t> </w:t>
      </w:r>
      <w:r>
        <w:rPr>
          <w:color w:val="231F20"/>
          <w:w w:val="105"/>
        </w:rPr>
        <w:t>hacen</w:t>
      </w:r>
      <w:r>
        <w:rPr>
          <w:color w:val="231F20"/>
          <w:spacing w:val="-28"/>
          <w:w w:val="105"/>
        </w:rPr>
        <w:t> </w:t>
      </w:r>
      <w:r>
        <w:rPr>
          <w:color w:val="231F20"/>
          <w:w w:val="105"/>
        </w:rPr>
        <w:t>competitivos.</w:t>
      </w:r>
      <w:r>
        <w:rPr>
          <w:color w:val="231F20"/>
          <w:spacing w:val="-32"/>
          <w:w w:val="105"/>
        </w:rPr>
        <w:t> </w:t>
      </w:r>
      <w:r>
        <w:rPr>
          <w:color w:val="231F20"/>
          <w:w w:val="105"/>
        </w:rPr>
        <w:t>Lo</w:t>
      </w:r>
      <w:r>
        <w:rPr>
          <w:color w:val="231F20"/>
          <w:spacing w:val="-28"/>
          <w:w w:val="105"/>
        </w:rPr>
        <w:t> </w:t>
      </w:r>
      <w:r>
        <w:rPr>
          <w:color w:val="231F20"/>
          <w:w w:val="105"/>
        </w:rPr>
        <w:t>que</w:t>
      </w:r>
      <w:r>
        <w:rPr>
          <w:color w:val="231F20"/>
          <w:spacing w:val="-28"/>
          <w:w w:val="105"/>
        </w:rPr>
        <w:t> </w:t>
      </w:r>
      <w:r>
        <w:rPr>
          <w:color w:val="231F20"/>
          <w:w w:val="105"/>
        </w:rPr>
        <w:t>sí</w:t>
      </w:r>
      <w:r>
        <w:rPr>
          <w:color w:val="231F20"/>
          <w:spacing w:val="-28"/>
          <w:w w:val="105"/>
        </w:rPr>
        <w:t> </w:t>
      </w:r>
      <w:r>
        <w:rPr>
          <w:color w:val="231F20"/>
          <w:w w:val="105"/>
        </w:rPr>
        <w:t>es</w:t>
      </w:r>
      <w:r>
        <w:rPr>
          <w:color w:val="231F20"/>
          <w:spacing w:val="-28"/>
          <w:w w:val="105"/>
        </w:rPr>
        <w:t> </w:t>
      </w:r>
      <w:r>
        <w:rPr>
          <w:color w:val="231F20"/>
          <w:w w:val="105"/>
        </w:rPr>
        <w:t>claro</w:t>
      </w:r>
      <w:r>
        <w:rPr>
          <w:color w:val="231F20"/>
          <w:spacing w:val="-28"/>
          <w:w w:val="105"/>
        </w:rPr>
        <w:t> </w:t>
      </w:r>
      <w:r>
        <w:rPr>
          <w:color w:val="231F20"/>
          <w:w w:val="105"/>
        </w:rPr>
        <w:t>es</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trata</w:t>
      </w:r>
      <w:r>
        <w:rPr>
          <w:color w:val="231F20"/>
          <w:spacing w:val="-28"/>
          <w:w w:val="105"/>
        </w:rPr>
        <w:t> </w:t>
      </w:r>
      <w:r>
        <w:rPr>
          <w:color w:val="231F20"/>
          <w:w w:val="105"/>
        </w:rPr>
        <w:t>de</w:t>
      </w:r>
      <w:r>
        <w:rPr>
          <w:color w:val="231F20"/>
          <w:spacing w:val="-28"/>
          <w:w w:val="105"/>
        </w:rPr>
        <w:t> </w:t>
      </w:r>
      <w:r>
        <w:rPr>
          <w:color w:val="231F20"/>
          <w:w w:val="105"/>
        </w:rPr>
        <w:t>políticas,</w:t>
      </w:r>
      <w:r>
        <w:rPr>
          <w:color w:val="231F20"/>
          <w:spacing w:val="-32"/>
          <w:w w:val="105"/>
        </w:rPr>
        <w:t> </w:t>
      </w:r>
      <w:r>
        <w:rPr>
          <w:color w:val="231F20"/>
          <w:w w:val="105"/>
        </w:rPr>
        <w:t>pro- gramas</w:t>
      </w:r>
      <w:r>
        <w:rPr>
          <w:color w:val="231F20"/>
          <w:spacing w:val="-9"/>
          <w:w w:val="105"/>
        </w:rPr>
        <w:t> </w:t>
      </w:r>
      <w:r>
        <w:rPr>
          <w:color w:val="231F20"/>
          <w:w w:val="105"/>
        </w:rPr>
        <w:t>y</w:t>
      </w:r>
      <w:r>
        <w:rPr>
          <w:color w:val="231F20"/>
          <w:spacing w:val="-9"/>
          <w:w w:val="105"/>
        </w:rPr>
        <w:t> </w:t>
      </w:r>
      <w:r>
        <w:rPr>
          <w:color w:val="231F20"/>
          <w:w w:val="105"/>
        </w:rPr>
        <w:t>acciones</w:t>
      </w:r>
      <w:r>
        <w:rPr>
          <w:color w:val="231F20"/>
          <w:spacing w:val="-9"/>
          <w:w w:val="105"/>
        </w:rPr>
        <w:t> </w:t>
      </w:r>
      <w:r>
        <w:rPr>
          <w:color w:val="231F20"/>
          <w:w w:val="105"/>
        </w:rPr>
        <w:t>que</w:t>
      </w:r>
      <w:r>
        <w:rPr>
          <w:color w:val="231F20"/>
          <w:spacing w:val="-9"/>
          <w:w w:val="105"/>
        </w:rPr>
        <w:t> </w:t>
      </w:r>
      <w:r>
        <w:rPr>
          <w:color w:val="231F20"/>
          <w:w w:val="105"/>
        </w:rPr>
        <w:t>implican</w:t>
      </w:r>
      <w:r>
        <w:rPr>
          <w:color w:val="231F20"/>
          <w:spacing w:val="-9"/>
          <w:w w:val="105"/>
        </w:rPr>
        <w:t> </w:t>
      </w:r>
      <w:r>
        <w:rPr>
          <w:color w:val="231F20"/>
          <w:w w:val="105"/>
        </w:rPr>
        <w:t>un</w:t>
      </w:r>
      <w:r>
        <w:rPr>
          <w:color w:val="231F20"/>
          <w:spacing w:val="-9"/>
          <w:w w:val="105"/>
        </w:rPr>
        <w:t> </w:t>
      </w:r>
      <w:r>
        <w:rPr>
          <w:color w:val="231F20"/>
          <w:w w:val="105"/>
        </w:rPr>
        <w:t>alto</w:t>
      </w:r>
      <w:r>
        <w:rPr>
          <w:color w:val="231F20"/>
          <w:spacing w:val="-9"/>
          <w:w w:val="105"/>
        </w:rPr>
        <w:t> </w:t>
      </w:r>
      <w:r>
        <w:rPr>
          <w:color w:val="231F20"/>
          <w:w w:val="105"/>
        </w:rPr>
        <w:t>grado</w:t>
      </w:r>
      <w:r>
        <w:rPr>
          <w:color w:val="231F20"/>
          <w:spacing w:val="-9"/>
          <w:w w:val="105"/>
        </w:rPr>
        <w:t> </w:t>
      </w:r>
      <w:r>
        <w:rPr>
          <w:color w:val="231F20"/>
          <w:w w:val="105"/>
        </w:rPr>
        <w:t>de</w:t>
      </w:r>
      <w:r>
        <w:rPr>
          <w:color w:val="231F20"/>
          <w:spacing w:val="-9"/>
          <w:w w:val="105"/>
        </w:rPr>
        <w:t> </w:t>
      </w:r>
      <w:r>
        <w:rPr>
          <w:color w:val="231F20"/>
          <w:w w:val="105"/>
        </w:rPr>
        <w:t>coordinación</w:t>
      </w:r>
      <w:r>
        <w:rPr>
          <w:color w:val="231F20"/>
          <w:spacing w:val="-9"/>
          <w:w w:val="105"/>
        </w:rPr>
        <w:t> </w:t>
      </w:r>
      <w:r>
        <w:rPr>
          <w:color w:val="231F20"/>
          <w:w w:val="105"/>
        </w:rPr>
        <w:t>entre</w:t>
      </w:r>
      <w:r>
        <w:rPr>
          <w:color w:val="231F20"/>
          <w:spacing w:val="-9"/>
          <w:w w:val="105"/>
        </w:rPr>
        <w:t> </w:t>
      </w:r>
      <w:r>
        <w:rPr>
          <w:color w:val="231F20"/>
          <w:w w:val="105"/>
        </w:rPr>
        <w:t>los actores</w:t>
      </w:r>
      <w:r>
        <w:rPr>
          <w:color w:val="231F20"/>
          <w:spacing w:val="-28"/>
          <w:w w:val="105"/>
        </w:rPr>
        <w:t> </w:t>
      </w:r>
      <w:r>
        <w:rPr>
          <w:color w:val="231F20"/>
          <w:w w:val="105"/>
        </w:rPr>
        <w:t>involucrados</w:t>
      </w:r>
      <w:r>
        <w:rPr>
          <w:color w:val="231F20"/>
          <w:spacing w:val="-28"/>
          <w:w w:val="105"/>
        </w:rPr>
        <w:t> </w:t>
      </w:r>
      <w:r>
        <w:rPr>
          <w:color w:val="231F20"/>
          <w:w w:val="105"/>
        </w:rPr>
        <w:t>y</w:t>
      </w:r>
      <w:r>
        <w:rPr>
          <w:color w:val="231F20"/>
          <w:spacing w:val="-28"/>
          <w:w w:val="105"/>
        </w:rPr>
        <w:t> </w:t>
      </w:r>
      <w:r>
        <w:rPr>
          <w:color w:val="231F20"/>
          <w:w w:val="105"/>
        </w:rPr>
        <w:t>que</w:t>
      </w:r>
      <w:r>
        <w:rPr>
          <w:color w:val="231F20"/>
          <w:spacing w:val="-28"/>
          <w:w w:val="105"/>
        </w:rPr>
        <w:t> </w:t>
      </w:r>
      <w:r>
        <w:rPr>
          <w:color w:val="231F20"/>
          <w:w w:val="105"/>
        </w:rPr>
        <w:t>le</w:t>
      </w:r>
      <w:r>
        <w:rPr>
          <w:color w:val="231F20"/>
          <w:spacing w:val="-28"/>
          <w:w w:val="105"/>
        </w:rPr>
        <w:t> </w:t>
      </w:r>
      <w:r>
        <w:rPr>
          <w:color w:val="231F20"/>
          <w:w w:val="105"/>
        </w:rPr>
        <w:t>corresponde</w:t>
      </w:r>
      <w:r>
        <w:rPr>
          <w:color w:val="231F20"/>
          <w:spacing w:val="-28"/>
          <w:w w:val="105"/>
        </w:rPr>
        <w:t> </w:t>
      </w:r>
      <w:r>
        <w:rPr>
          <w:color w:val="231F20"/>
          <w:w w:val="105"/>
        </w:rPr>
        <w:t>a</w:t>
      </w:r>
      <w:r>
        <w:rPr>
          <w:color w:val="231F20"/>
          <w:spacing w:val="-28"/>
          <w:w w:val="105"/>
        </w:rPr>
        <w:t> </w:t>
      </w:r>
      <w:r>
        <w:rPr>
          <w:color w:val="231F20"/>
          <w:w w:val="105"/>
        </w:rPr>
        <w:t>las</w:t>
      </w:r>
      <w:r>
        <w:rPr>
          <w:color w:val="231F20"/>
          <w:spacing w:val="-28"/>
          <w:w w:val="105"/>
        </w:rPr>
        <w:t> </w:t>
      </w:r>
      <w:r>
        <w:rPr>
          <w:color w:val="231F20"/>
          <w:w w:val="105"/>
        </w:rPr>
        <w:t>autoridades</w:t>
      </w:r>
      <w:r>
        <w:rPr>
          <w:color w:val="231F20"/>
          <w:spacing w:val="-28"/>
          <w:w w:val="105"/>
        </w:rPr>
        <w:t> </w:t>
      </w:r>
      <w:r>
        <w:rPr>
          <w:color w:val="231F20"/>
          <w:w w:val="105"/>
        </w:rPr>
        <w:t>locales</w:t>
      </w:r>
      <w:r>
        <w:rPr>
          <w:color w:val="231F20"/>
          <w:spacing w:val="-28"/>
          <w:w w:val="105"/>
        </w:rPr>
        <w:t> </w:t>
      </w:r>
      <w:r>
        <w:rPr>
          <w:color w:val="231F20"/>
          <w:w w:val="105"/>
        </w:rPr>
        <w:t>jugar el</w:t>
      </w:r>
      <w:r>
        <w:rPr>
          <w:color w:val="231F20"/>
          <w:spacing w:val="-18"/>
          <w:w w:val="105"/>
        </w:rPr>
        <w:t> </w:t>
      </w:r>
      <w:r>
        <w:rPr>
          <w:color w:val="231F20"/>
          <w:w w:val="105"/>
        </w:rPr>
        <w:t>papel</w:t>
      </w:r>
      <w:r>
        <w:rPr>
          <w:color w:val="231F20"/>
          <w:spacing w:val="-18"/>
          <w:w w:val="105"/>
        </w:rPr>
        <w:t> </w:t>
      </w:r>
      <w:r>
        <w:rPr>
          <w:color w:val="231F20"/>
          <w:w w:val="105"/>
        </w:rPr>
        <w:t>de</w:t>
      </w:r>
      <w:r>
        <w:rPr>
          <w:color w:val="231F20"/>
          <w:spacing w:val="-18"/>
          <w:w w:val="105"/>
        </w:rPr>
        <w:t> </w:t>
      </w:r>
      <w:r>
        <w:rPr>
          <w:color w:val="231F20"/>
          <w:w w:val="105"/>
        </w:rPr>
        <w:t>articulador</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diferentes</w:t>
      </w:r>
      <w:r>
        <w:rPr>
          <w:color w:val="231F20"/>
          <w:spacing w:val="-18"/>
          <w:w w:val="105"/>
        </w:rPr>
        <w:t> </w:t>
      </w:r>
      <w:r>
        <w:rPr>
          <w:color w:val="231F20"/>
          <w:w w:val="105"/>
        </w:rPr>
        <w:t>intereses</w:t>
      </w:r>
      <w:r>
        <w:rPr>
          <w:color w:val="231F20"/>
          <w:spacing w:val="-18"/>
          <w:w w:val="105"/>
        </w:rPr>
        <w:t> </w:t>
      </w:r>
      <w:r>
        <w:rPr>
          <w:color w:val="231F20"/>
          <w:w w:val="105"/>
        </w:rPr>
        <w:t>que</w:t>
      </w:r>
      <w:r>
        <w:rPr>
          <w:color w:val="231F20"/>
          <w:spacing w:val="-18"/>
          <w:w w:val="105"/>
        </w:rPr>
        <w:t> </w:t>
      </w:r>
      <w:r>
        <w:rPr>
          <w:color w:val="231F20"/>
          <w:w w:val="105"/>
        </w:rPr>
        <w:t>están</w:t>
      </w:r>
      <w:r>
        <w:rPr>
          <w:color w:val="231F20"/>
          <w:spacing w:val="-18"/>
          <w:w w:val="105"/>
        </w:rPr>
        <w:t> </w:t>
      </w:r>
      <w:r>
        <w:rPr>
          <w:color w:val="231F20"/>
          <w:w w:val="105"/>
        </w:rPr>
        <w:t>en</w:t>
      </w:r>
      <w:r>
        <w:rPr>
          <w:color w:val="231F20"/>
          <w:spacing w:val="-18"/>
          <w:w w:val="105"/>
        </w:rPr>
        <w:t> </w:t>
      </w:r>
      <w:r>
        <w:rPr>
          <w:color w:val="231F20"/>
          <w:w w:val="105"/>
        </w:rPr>
        <w:t>juego.</w:t>
      </w:r>
      <w:r>
        <w:rPr>
          <w:color w:val="231F20"/>
          <w:spacing w:val="-23"/>
          <w:w w:val="105"/>
        </w:rPr>
        <w:t> </w:t>
      </w:r>
      <w:r>
        <w:rPr>
          <w:color w:val="231F20"/>
          <w:w w:val="105"/>
        </w:rPr>
        <w:t>Es decir, no es un propósito que pueda emprender un actor individual por más</w:t>
      </w:r>
      <w:r>
        <w:rPr>
          <w:color w:val="231F20"/>
          <w:spacing w:val="-6"/>
          <w:w w:val="105"/>
        </w:rPr>
        <w:t> </w:t>
      </w:r>
      <w:r>
        <w:rPr>
          <w:color w:val="231F20"/>
          <w:w w:val="105"/>
        </w:rPr>
        <w:t>poderoso</w:t>
      </w:r>
      <w:r>
        <w:rPr>
          <w:color w:val="231F20"/>
          <w:spacing w:val="-6"/>
          <w:w w:val="105"/>
        </w:rPr>
        <w:t> </w:t>
      </w:r>
      <w:r>
        <w:rPr>
          <w:color w:val="231F20"/>
          <w:w w:val="105"/>
        </w:rPr>
        <w:t>que</w:t>
      </w:r>
      <w:r>
        <w:rPr>
          <w:color w:val="231F20"/>
          <w:spacing w:val="-6"/>
          <w:w w:val="105"/>
        </w:rPr>
        <w:t> </w:t>
      </w:r>
      <w:r>
        <w:rPr>
          <w:color w:val="231F20"/>
          <w:w w:val="105"/>
        </w:rPr>
        <w:t>sea,</w:t>
      </w:r>
      <w:r>
        <w:rPr>
          <w:color w:val="231F20"/>
          <w:spacing w:val="-11"/>
          <w:w w:val="105"/>
        </w:rPr>
        <w:t> </w:t>
      </w:r>
      <w:r>
        <w:rPr>
          <w:color w:val="231F20"/>
          <w:w w:val="105"/>
        </w:rPr>
        <w:t>lo</w:t>
      </w:r>
      <w:r>
        <w:rPr>
          <w:color w:val="231F20"/>
          <w:spacing w:val="-6"/>
          <w:w w:val="105"/>
        </w:rPr>
        <w:t> </w:t>
      </w:r>
      <w:r>
        <w:rPr>
          <w:color w:val="231F20"/>
          <w:w w:val="105"/>
        </w:rPr>
        <w:t>cual</w:t>
      </w:r>
      <w:r>
        <w:rPr>
          <w:color w:val="231F20"/>
          <w:spacing w:val="-6"/>
          <w:w w:val="105"/>
        </w:rPr>
        <w:t> </w:t>
      </w:r>
      <w:r>
        <w:rPr>
          <w:color w:val="231F20"/>
          <w:w w:val="105"/>
        </w:rPr>
        <w:t>como</w:t>
      </w:r>
      <w:r>
        <w:rPr>
          <w:color w:val="231F20"/>
          <w:spacing w:val="-6"/>
          <w:w w:val="105"/>
        </w:rPr>
        <w:t> </w:t>
      </w:r>
      <w:r>
        <w:rPr>
          <w:color w:val="231F20"/>
          <w:w w:val="105"/>
        </w:rPr>
        <w:t>veremos,</w:t>
      </w:r>
      <w:r>
        <w:rPr>
          <w:color w:val="231F20"/>
          <w:spacing w:val="-11"/>
          <w:w w:val="105"/>
        </w:rPr>
        <w:t> </w:t>
      </w:r>
      <w:r>
        <w:rPr>
          <w:color w:val="231F20"/>
          <w:w w:val="105"/>
        </w:rPr>
        <w:t>da</w:t>
      </w:r>
      <w:r>
        <w:rPr>
          <w:color w:val="231F20"/>
          <w:spacing w:val="-6"/>
          <w:w w:val="105"/>
        </w:rPr>
        <w:t> </w:t>
      </w:r>
      <w:r>
        <w:rPr>
          <w:color w:val="231F20"/>
          <w:w w:val="105"/>
        </w:rPr>
        <w:t>lugar</w:t>
      </w:r>
      <w:r>
        <w:rPr>
          <w:color w:val="231F20"/>
          <w:spacing w:val="-6"/>
          <w:w w:val="105"/>
        </w:rPr>
        <w:t> </w:t>
      </w:r>
      <w:r>
        <w:rPr>
          <w:color w:val="231F20"/>
          <w:w w:val="105"/>
        </w:rPr>
        <w:t>a</w:t>
      </w:r>
      <w:r>
        <w:rPr>
          <w:color w:val="231F20"/>
          <w:spacing w:val="-6"/>
          <w:w w:val="105"/>
        </w:rPr>
        <w:t> </w:t>
      </w:r>
      <w:r>
        <w:rPr>
          <w:color w:val="231F20"/>
          <w:w w:val="105"/>
        </w:rPr>
        <w:t>crear</w:t>
      </w:r>
      <w:r>
        <w:rPr>
          <w:color w:val="231F20"/>
          <w:spacing w:val="-6"/>
          <w:w w:val="105"/>
        </w:rPr>
        <w:t> </w:t>
      </w:r>
      <w:r>
        <w:rPr>
          <w:color w:val="231F20"/>
          <w:w w:val="105"/>
        </w:rPr>
        <w:t>estrate- gias</w:t>
      </w:r>
      <w:r>
        <w:rPr>
          <w:color w:val="231F20"/>
          <w:spacing w:val="-21"/>
          <w:w w:val="105"/>
        </w:rPr>
        <w:t> </w:t>
      </w:r>
      <w:r>
        <w:rPr>
          <w:color w:val="231F20"/>
          <w:w w:val="105"/>
        </w:rPr>
        <w:t>colectivas</w:t>
      </w:r>
      <w:r>
        <w:rPr>
          <w:color w:val="231F20"/>
          <w:spacing w:val="-21"/>
          <w:w w:val="105"/>
        </w:rPr>
        <w:t> </w:t>
      </w:r>
      <w:r>
        <w:rPr>
          <w:color w:val="231F20"/>
          <w:w w:val="105"/>
        </w:rPr>
        <w:t>de</w:t>
      </w:r>
      <w:r>
        <w:rPr>
          <w:color w:val="231F20"/>
          <w:spacing w:val="-21"/>
          <w:w w:val="105"/>
        </w:rPr>
        <w:t> </w:t>
      </w:r>
      <w:r>
        <w:rPr>
          <w:color w:val="231F20"/>
          <w:w w:val="105"/>
        </w:rPr>
        <w:t>competitividad</w:t>
      </w:r>
      <w:r>
        <w:rPr>
          <w:color w:val="231F20"/>
          <w:spacing w:val="-21"/>
          <w:w w:val="105"/>
        </w:rPr>
        <w:t> </w:t>
      </w:r>
      <w:r>
        <w:rPr>
          <w:color w:val="231F20"/>
          <w:w w:val="105"/>
        </w:rPr>
        <w:t>(Cabrero,</w:t>
      </w:r>
      <w:r>
        <w:rPr>
          <w:color w:val="231F20"/>
          <w:spacing w:val="-26"/>
          <w:w w:val="105"/>
        </w:rPr>
        <w:t> </w:t>
      </w:r>
      <w:r>
        <w:rPr>
          <w:color w:val="231F20"/>
          <w:w w:val="105"/>
        </w:rPr>
        <w:t>Zicccardi</w:t>
      </w:r>
      <w:r>
        <w:rPr>
          <w:color w:val="231F20"/>
          <w:spacing w:val="-21"/>
          <w:w w:val="105"/>
        </w:rPr>
        <w:t> </w:t>
      </w:r>
      <w:r>
        <w:rPr>
          <w:color w:val="231F20"/>
          <w:w w:val="105"/>
        </w:rPr>
        <w:t>y</w:t>
      </w:r>
      <w:r>
        <w:rPr>
          <w:color w:val="231F20"/>
          <w:spacing w:val="-21"/>
          <w:w w:val="105"/>
        </w:rPr>
        <w:t> </w:t>
      </w:r>
      <w:r>
        <w:rPr>
          <w:color w:val="231F20"/>
          <w:w w:val="105"/>
        </w:rPr>
        <w:t>Orihuela,</w:t>
      </w:r>
      <w:r>
        <w:rPr>
          <w:color w:val="231F20"/>
          <w:spacing w:val="-26"/>
          <w:w w:val="105"/>
        </w:rPr>
        <w:t> </w:t>
      </w:r>
      <w:r>
        <w:rPr>
          <w:color w:val="231F20"/>
          <w:w w:val="105"/>
        </w:rPr>
        <w:t>2003).</w:t>
      </w:r>
    </w:p>
    <w:p>
      <w:pPr>
        <w:pStyle w:val="BodyText"/>
        <w:spacing w:line="259" w:lineRule="auto"/>
        <w:ind w:left="103" w:right="111" w:firstLine="567"/>
        <w:jc w:val="both"/>
      </w:pPr>
      <w:r>
        <w:rPr>
          <w:color w:val="231F20"/>
          <w:w w:val="105"/>
        </w:rPr>
        <w:t>La</w:t>
      </w:r>
      <w:r>
        <w:rPr>
          <w:color w:val="231F20"/>
          <w:spacing w:val="-24"/>
          <w:w w:val="105"/>
        </w:rPr>
        <w:t> </w:t>
      </w:r>
      <w:r>
        <w:rPr>
          <w:color w:val="231F20"/>
          <w:w w:val="105"/>
        </w:rPr>
        <w:t>competitividad</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países</w:t>
      </w:r>
      <w:r>
        <w:rPr>
          <w:color w:val="231F20"/>
          <w:spacing w:val="-24"/>
          <w:w w:val="105"/>
        </w:rPr>
        <w:t> </w:t>
      </w:r>
      <w:r>
        <w:rPr>
          <w:color w:val="231F20"/>
          <w:w w:val="105"/>
        </w:rPr>
        <w:t>más</w:t>
      </w:r>
      <w:r>
        <w:rPr>
          <w:color w:val="231F20"/>
          <w:spacing w:val="-24"/>
          <w:w w:val="105"/>
        </w:rPr>
        <w:t> </w:t>
      </w:r>
      <w:r>
        <w:rPr>
          <w:color w:val="231F20"/>
          <w:w w:val="105"/>
        </w:rPr>
        <w:t>avanzados</w:t>
      </w:r>
      <w:r>
        <w:rPr>
          <w:color w:val="231F20"/>
          <w:spacing w:val="-24"/>
          <w:w w:val="105"/>
        </w:rPr>
        <w:t> </w:t>
      </w:r>
      <w:r>
        <w:rPr>
          <w:color w:val="231F20"/>
          <w:w w:val="105"/>
        </w:rPr>
        <w:t>está</w:t>
      </w:r>
      <w:r>
        <w:rPr>
          <w:color w:val="231F20"/>
          <w:spacing w:val="-24"/>
          <w:w w:val="105"/>
        </w:rPr>
        <w:t> </w:t>
      </w:r>
      <w:r>
        <w:rPr>
          <w:color w:val="231F20"/>
          <w:w w:val="105"/>
        </w:rPr>
        <w:t>cada</w:t>
      </w:r>
      <w:r>
        <w:rPr>
          <w:color w:val="231F20"/>
          <w:spacing w:val="-24"/>
          <w:w w:val="105"/>
        </w:rPr>
        <w:t> </w:t>
      </w:r>
      <w:r>
        <w:rPr>
          <w:color w:val="231F20"/>
          <w:w w:val="105"/>
        </w:rPr>
        <w:t>vez</w:t>
      </w:r>
      <w:r>
        <w:rPr>
          <w:color w:val="231F20"/>
          <w:spacing w:val="-24"/>
          <w:w w:val="105"/>
        </w:rPr>
        <w:t> </w:t>
      </w:r>
      <w:r>
        <w:rPr>
          <w:color w:val="231F20"/>
          <w:w w:val="105"/>
        </w:rPr>
        <w:t>más fundamentada,</w:t>
      </w:r>
      <w:r>
        <w:rPr>
          <w:color w:val="231F20"/>
          <w:spacing w:val="-15"/>
          <w:w w:val="105"/>
        </w:rPr>
        <w:t> </w:t>
      </w:r>
      <w:r>
        <w:rPr>
          <w:color w:val="231F20"/>
          <w:w w:val="105"/>
        </w:rPr>
        <w:t>no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uso</w:t>
      </w:r>
      <w:r>
        <w:rPr>
          <w:color w:val="231F20"/>
          <w:spacing w:val="-10"/>
          <w:w w:val="105"/>
        </w:rPr>
        <w:t> </w:t>
      </w:r>
      <w:r>
        <w:rPr>
          <w:color w:val="231F20"/>
          <w:w w:val="105"/>
        </w:rPr>
        <w:t>intensivo</w:t>
      </w:r>
      <w:r>
        <w:rPr>
          <w:color w:val="231F20"/>
          <w:spacing w:val="-10"/>
          <w:w w:val="105"/>
        </w:rPr>
        <w:t> </w:t>
      </w:r>
      <w:r>
        <w:rPr>
          <w:color w:val="231F20"/>
          <w:w w:val="105"/>
        </w:rPr>
        <w:t>de</w:t>
      </w:r>
      <w:r>
        <w:rPr>
          <w:color w:val="231F20"/>
          <w:spacing w:val="-10"/>
          <w:w w:val="105"/>
        </w:rPr>
        <w:t> </w:t>
      </w:r>
      <w:r>
        <w:rPr>
          <w:color w:val="231F20"/>
          <w:w w:val="105"/>
        </w:rPr>
        <w:t>recursos</w:t>
      </w:r>
      <w:r>
        <w:rPr>
          <w:color w:val="231F20"/>
          <w:spacing w:val="-10"/>
          <w:w w:val="105"/>
        </w:rPr>
        <w:t> </w:t>
      </w:r>
      <w:r>
        <w:rPr>
          <w:color w:val="231F20"/>
          <w:w w:val="105"/>
        </w:rPr>
        <w:t>materiales,</w:t>
      </w:r>
      <w:r>
        <w:rPr>
          <w:color w:val="231F20"/>
          <w:spacing w:val="-15"/>
          <w:w w:val="105"/>
        </w:rPr>
        <w:t> </w:t>
      </w:r>
      <w:r>
        <w:rPr>
          <w:color w:val="231F20"/>
          <w:w w:val="105"/>
        </w:rPr>
        <w:t>sino</w:t>
      </w:r>
      <w:r>
        <w:rPr>
          <w:color w:val="231F20"/>
          <w:spacing w:val="-10"/>
          <w:w w:val="105"/>
        </w:rPr>
        <w:t> </w:t>
      </w:r>
      <w:r>
        <w:rPr>
          <w:color w:val="231F20"/>
          <w:w w:val="105"/>
        </w:rPr>
        <w:t>en</w:t>
      </w:r>
      <w:r>
        <w:rPr>
          <w:color w:val="231F20"/>
          <w:spacing w:val="-10"/>
          <w:w w:val="105"/>
        </w:rPr>
        <w:t> </w:t>
      </w:r>
      <w:r>
        <w:rPr>
          <w:color w:val="231F20"/>
          <w:w w:val="105"/>
        </w:rPr>
        <w:t>el factor de conocimiento de naturaleza inmaterial y cómo es que ésta se concentra</w:t>
      </w:r>
      <w:r>
        <w:rPr>
          <w:color w:val="231F20"/>
          <w:spacing w:val="-12"/>
          <w:w w:val="105"/>
        </w:rPr>
        <w:t> </w:t>
      </w:r>
      <w:r>
        <w:rPr>
          <w:color w:val="231F20"/>
          <w:w w:val="105"/>
        </w:rPr>
        <w:t>en</w:t>
      </w:r>
      <w:r>
        <w:rPr>
          <w:color w:val="231F20"/>
          <w:spacing w:val="-12"/>
          <w:w w:val="105"/>
        </w:rPr>
        <w:t> </w:t>
      </w:r>
      <w:r>
        <w:rPr>
          <w:color w:val="231F20"/>
          <w:w w:val="105"/>
        </w:rPr>
        <w:t>entornos</w:t>
      </w:r>
      <w:r>
        <w:rPr>
          <w:color w:val="231F20"/>
          <w:spacing w:val="-12"/>
          <w:w w:val="105"/>
        </w:rPr>
        <w:t> </w:t>
      </w:r>
      <w:r>
        <w:rPr>
          <w:color w:val="231F20"/>
          <w:w w:val="105"/>
        </w:rPr>
        <w:t>urbanos</w:t>
      </w:r>
      <w:r>
        <w:rPr>
          <w:color w:val="231F20"/>
          <w:spacing w:val="-12"/>
          <w:w w:val="105"/>
        </w:rPr>
        <w:t> </w:t>
      </w:r>
      <w:r>
        <w:rPr>
          <w:color w:val="231F20"/>
          <w:spacing w:val="-3"/>
          <w:w w:val="105"/>
        </w:rPr>
        <w:t>(Trullén,</w:t>
      </w:r>
      <w:r>
        <w:rPr>
          <w:color w:val="231F20"/>
          <w:spacing w:val="-18"/>
          <w:w w:val="105"/>
        </w:rPr>
        <w:t> </w:t>
      </w:r>
      <w:r>
        <w:rPr>
          <w:color w:val="231F20"/>
          <w:w w:val="105"/>
        </w:rPr>
        <w:t>Lladós</w:t>
      </w:r>
      <w:r>
        <w:rPr>
          <w:color w:val="231F20"/>
          <w:spacing w:val="-12"/>
          <w:w w:val="105"/>
        </w:rPr>
        <w:t> </w:t>
      </w:r>
      <w:r>
        <w:rPr>
          <w:color w:val="231F20"/>
          <w:w w:val="105"/>
        </w:rPr>
        <w:t>y</w:t>
      </w:r>
      <w:r>
        <w:rPr>
          <w:color w:val="231F20"/>
          <w:spacing w:val="-12"/>
          <w:w w:val="105"/>
        </w:rPr>
        <w:t> </w:t>
      </w:r>
      <w:r>
        <w:rPr>
          <w:color w:val="231F20"/>
          <w:w w:val="105"/>
        </w:rPr>
        <w:t>Boix,</w:t>
      </w:r>
      <w:r>
        <w:rPr>
          <w:color w:val="231F20"/>
          <w:spacing w:val="-18"/>
          <w:w w:val="105"/>
        </w:rPr>
        <w:t> </w:t>
      </w:r>
      <w:r>
        <w:rPr>
          <w:color w:val="231F20"/>
          <w:w w:val="105"/>
        </w:rPr>
        <w:t>2002;</w:t>
      </w:r>
      <w:r>
        <w:rPr>
          <w:color w:val="231F20"/>
          <w:spacing w:val="-12"/>
          <w:w w:val="105"/>
        </w:rPr>
        <w:t> </w:t>
      </w:r>
      <w:r>
        <w:rPr>
          <w:color w:val="231F20"/>
          <w:w w:val="105"/>
        </w:rPr>
        <w:t>Cabrero</w:t>
      </w:r>
      <w:r>
        <w:rPr>
          <w:color w:val="231F20"/>
          <w:spacing w:val="-12"/>
          <w:w w:val="105"/>
        </w:rPr>
        <w:t> </w:t>
      </w:r>
      <w:r>
        <w:rPr>
          <w:i/>
          <w:color w:val="231F20"/>
          <w:w w:val="105"/>
        </w:rPr>
        <w:t>et </w:t>
      </w:r>
      <w:r>
        <w:rPr>
          <w:i/>
          <w:color w:val="231F20"/>
          <w:w w:val="105"/>
        </w:rPr>
        <w:t>al,</w:t>
      </w:r>
      <w:r>
        <w:rPr>
          <w:i/>
          <w:color w:val="231F20"/>
          <w:spacing w:val="-21"/>
          <w:w w:val="105"/>
        </w:rPr>
        <w:t> </w:t>
      </w:r>
      <w:r>
        <w:rPr>
          <w:color w:val="231F20"/>
          <w:w w:val="105"/>
        </w:rPr>
        <w:t>2003;</w:t>
      </w:r>
      <w:r>
        <w:rPr>
          <w:color w:val="231F20"/>
          <w:spacing w:val="-17"/>
          <w:w w:val="105"/>
        </w:rPr>
        <w:t> </w:t>
      </w:r>
      <w:r>
        <w:rPr>
          <w:color w:val="231F20"/>
          <w:spacing w:val="-2"/>
          <w:w w:val="105"/>
        </w:rPr>
        <w:t>Sanguino,</w:t>
      </w:r>
      <w:r>
        <w:rPr>
          <w:color w:val="231F20"/>
          <w:spacing w:val="-22"/>
          <w:w w:val="105"/>
        </w:rPr>
        <w:t> </w:t>
      </w:r>
      <w:r>
        <w:rPr>
          <w:color w:val="231F20"/>
          <w:w w:val="105"/>
        </w:rPr>
        <w:t>2005).</w:t>
      </w:r>
      <w:r>
        <w:rPr>
          <w:color w:val="231F20"/>
          <w:spacing w:val="-22"/>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spacing w:val="-3"/>
          <w:w w:val="105"/>
        </w:rPr>
        <w:t>contexto,</w:t>
      </w:r>
      <w:r>
        <w:rPr>
          <w:color w:val="231F20"/>
          <w:spacing w:val="-22"/>
          <w:w w:val="105"/>
        </w:rPr>
        <w:t> </w:t>
      </w:r>
      <w:r>
        <w:rPr>
          <w:color w:val="231F20"/>
          <w:w w:val="105"/>
        </w:rPr>
        <w:t>el</w:t>
      </w:r>
      <w:r>
        <w:rPr>
          <w:color w:val="231F20"/>
          <w:spacing w:val="-17"/>
          <w:w w:val="105"/>
        </w:rPr>
        <w:t> </w:t>
      </w:r>
      <w:r>
        <w:rPr>
          <w:color w:val="231F20"/>
          <w:w w:val="105"/>
        </w:rPr>
        <w:t>uso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tecnologías</w:t>
      </w:r>
      <w:r>
        <w:rPr>
          <w:color w:val="231F20"/>
          <w:spacing w:val="-17"/>
          <w:w w:val="105"/>
        </w:rPr>
        <w:t> </w:t>
      </w:r>
      <w:r>
        <w:rPr>
          <w:color w:val="231F20"/>
          <w:w w:val="105"/>
        </w:rPr>
        <w:t>de la información y </w:t>
      </w:r>
      <w:r>
        <w:rPr>
          <w:color w:val="231F20"/>
          <w:spacing w:val="3"/>
          <w:w w:val="105"/>
        </w:rPr>
        <w:t>comunicación (TICs) juega </w:t>
      </w:r>
      <w:r>
        <w:rPr>
          <w:color w:val="231F20"/>
          <w:w w:val="105"/>
        </w:rPr>
        <w:t>un </w:t>
      </w:r>
      <w:r>
        <w:rPr>
          <w:color w:val="231F20"/>
          <w:spacing w:val="3"/>
          <w:w w:val="105"/>
        </w:rPr>
        <w:t>papel preponderante </w:t>
      </w:r>
      <w:r>
        <w:rPr>
          <w:color w:val="231F20"/>
          <w:w w:val="105"/>
        </w:rPr>
        <w:t>en la competitividad de ciudades y municipios para la transmisión del conocimiento</w:t>
      </w:r>
      <w:r>
        <w:rPr>
          <w:color w:val="231F20"/>
          <w:spacing w:val="-15"/>
          <w:w w:val="105"/>
        </w:rPr>
        <w:t> </w:t>
      </w:r>
      <w:r>
        <w:rPr>
          <w:color w:val="231F20"/>
          <w:w w:val="105"/>
        </w:rPr>
        <w:t>a</w:t>
      </w:r>
      <w:r>
        <w:rPr>
          <w:color w:val="231F20"/>
          <w:spacing w:val="-15"/>
          <w:w w:val="105"/>
        </w:rPr>
        <w:t> </w:t>
      </w:r>
      <w:r>
        <w:rPr>
          <w:color w:val="231F20"/>
          <w:w w:val="105"/>
        </w:rPr>
        <w:t>mayor</w:t>
      </w:r>
      <w:r>
        <w:rPr>
          <w:color w:val="231F20"/>
          <w:spacing w:val="-15"/>
          <w:w w:val="105"/>
        </w:rPr>
        <w:t> </w:t>
      </w:r>
      <w:r>
        <w:rPr>
          <w:color w:val="231F20"/>
          <w:w w:val="105"/>
        </w:rPr>
        <w:t>número</w:t>
      </w:r>
      <w:r>
        <w:rPr>
          <w:color w:val="231F20"/>
          <w:spacing w:val="-15"/>
          <w:w w:val="105"/>
        </w:rPr>
        <w:t> </w:t>
      </w:r>
      <w:r>
        <w:rPr>
          <w:color w:val="231F20"/>
          <w:w w:val="105"/>
        </w:rPr>
        <w:t>de</w:t>
      </w:r>
      <w:r>
        <w:rPr>
          <w:color w:val="231F20"/>
          <w:spacing w:val="-15"/>
          <w:w w:val="105"/>
        </w:rPr>
        <w:t> </w:t>
      </w:r>
      <w:r>
        <w:rPr>
          <w:color w:val="231F20"/>
          <w:w w:val="105"/>
        </w:rPr>
        <w:t>personas.</w:t>
      </w:r>
    </w:p>
    <w:p>
      <w:pPr>
        <w:pStyle w:val="BodyText"/>
        <w:spacing w:line="259" w:lineRule="auto"/>
        <w:ind w:left="103" w:right="114" w:firstLine="567"/>
        <w:jc w:val="both"/>
      </w:pPr>
      <w:r>
        <w:rPr>
          <w:color w:val="231F20"/>
          <w:w w:val="105"/>
        </w:rPr>
        <w:t>La competitividad se convierte en un factor determinante para el desarrollo económico urbano y regional, lo cual puede llevar inclusive a</w:t>
      </w:r>
      <w:r>
        <w:rPr>
          <w:color w:val="231F20"/>
          <w:spacing w:val="-11"/>
          <w:w w:val="105"/>
        </w:rPr>
        <w:t> </w:t>
      </w:r>
      <w:r>
        <w:rPr>
          <w:color w:val="231F20"/>
          <w:w w:val="105"/>
        </w:rPr>
        <w:t>las</w:t>
      </w:r>
      <w:r>
        <w:rPr>
          <w:color w:val="231F20"/>
          <w:spacing w:val="-11"/>
          <w:w w:val="105"/>
        </w:rPr>
        <w:t> </w:t>
      </w:r>
      <w:r>
        <w:rPr>
          <w:color w:val="231F20"/>
          <w:w w:val="105"/>
        </w:rPr>
        <w:t>ciudades,</w:t>
      </w:r>
      <w:r>
        <w:rPr>
          <w:color w:val="231F20"/>
          <w:spacing w:val="-15"/>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acciones</w:t>
      </w:r>
      <w:r>
        <w:rPr>
          <w:color w:val="231F20"/>
          <w:spacing w:val="-11"/>
          <w:w w:val="105"/>
        </w:rPr>
        <w:t> </w:t>
      </w:r>
      <w:r>
        <w:rPr>
          <w:color w:val="231F20"/>
          <w:w w:val="105"/>
        </w:rPr>
        <w:t>y</w:t>
      </w:r>
      <w:r>
        <w:rPr>
          <w:color w:val="231F20"/>
          <w:spacing w:val="-11"/>
          <w:w w:val="105"/>
        </w:rPr>
        <w:t> </w:t>
      </w:r>
      <w:r>
        <w:rPr>
          <w:color w:val="231F20"/>
          <w:w w:val="105"/>
        </w:rPr>
        <w:t>políticas</w:t>
      </w:r>
      <w:r>
        <w:rPr>
          <w:color w:val="231F20"/>
          <w:spacing w:val="-11"/>
          <w:w w:val="105"/>
        </w:rPr>
        <w:t> </w:t>
      </w:r>
      <w:r>
        <w:rPr>
          <w:color w:val="231F20"/>
          <w:w w:val="105"/>
        </w:rPr>
        <w:t>que</w:t>
      </w:r>
      <w:r>
        <w:rPr>
          <w:color w:val="231F20"/>
          <w:spacing w:val="-11"/>
          <w:w w:val="105"/>
        </w:rPr>
        <w:t> </w:t>
      </w:r>
      <w:r>
        <w:rPr>
          <w:color w:val="231F20"/>
          <w:w w:val="105"/>
        </w:rPr>
        <w:t>implementen</w:t>
      </w:r>
      <w:r>
        <w:rPr>
          <w:color w:val="231F20"/>
          <w:spacing w:val="-11"/>
          <w:w w:val="105"/>
        </w:rPr>
        <w:t> </w:t>
      </w:r>
      <w:r>
        <w:rPr>
          <w:color w:val="231F20"/>
          <w:w w:val="105"/>
        </w:rPr>
        <w:t>las autoridades</w:t>
      </w:r>
      <w:r>
        <w:rPr>
          <w:color w:val="231F20"/>
          <w:spacing w:val="-24"/>
          <w:w w:val="105"/>
        </w:rPr>
        <w:t> </w:t>
      </w:r>
      <w:r>
        <w:rPr>
          <w:color w:val="231F20"/>
          <w:w w:val="105"/>
        </w:rPr>
        <w:t>locales,</w:t>
      </w:r>
      <w:r>
        <w:rPr>
          <w:color w:val="231F20"/>
          <w:spacing w:val="-29"/>
          <w:w w:val="105"/>
        </w:rPr>
        <w:t> </w:t>
      </w:r>
      <w:r>
        <w:rPr>
          <w:color w:val="231F20"/>
          <w:w w:val="105"/>
        </w:rPr>
        <w:t>a</w:t>
      </w:r>
      <w:r>
        <w:rPr>
          <w:color w:val="231F20"/>
          <w:spacing w:val="-24"/>
          <w:w w:val="105"/>
        </w:rPr>
        <w:t> </w:t>
      </w:r>
      <w:r>
        <w:rPr>
          <w:color w:val="231F20"/>
          <w:w w:val="105"/>
        </w:rPr>
        <w:t>competir</w:t>
      </w:r>
      <w:r>
        <w:rPr>
          <w:color w:val="231F20"/>
          <w:spacing w:val="-24"/>
          <w:w w:val="105"/>
        </w:rPr>
        <w:t> </w:t>
      </w:r>
      <w:r>
        <w:rPr>
          <w:color w:val="231F20"/>
          <w:w w:val="105"/>
        </w:rPr>
        <w:t>directamente</w:t>
      </w:r>
      <w:r>
        <w:rPr>
          <w:color w:val="231F20"/>
          <w:spacing w:val="-24"/>
          <w:w w:val="105"/>
        </w:rPr>
        <w:t> </w:t>
      </w:r>
      <w:r>
        <w:rPr>
          <w:color w:val="231F20"/>
          <w:w w:val="105"/>
        </w:rPr>
        <w:t>entre</w:t>
      </w:r>
      <w:r>
        <w:rPr>
          <w:color w:val="231F20"/>
          <w:spacing w:val="-24"/>
          <w:w w:val="105"/>
        </w:rPr>
        <w:t> </w:t>
      </w:r>
      <w:r>
        <w:rPr>
          <w:color w:val="231F20"/>
          <w:w w:val="105"/>
        </w:rPr>
        <w:t>sí,</w:t>
      </w:r>
      <w:r>
        <w:rPr>
          <w:color w:val="231F20"/>
          <w:spacing w:val="-29"/>
          <w:w w:val="105"/>
        </w:rPr>
        <w:t> </w:t>
      </w:r>
      <w:r>
        <w:rPr>
          <w:color w:val="231F20"/>
          <w:w w:val="105"/>
        </w:rPr>
        <w:t>con</w:t>
      </w:r>
      <w:r>
        <w:rPr>
          <w:color w:val="231F20"/>
          <w:spacing w:val="-24"/>
          <w:w w:val="105"/>
        </w:rPr>
        <w:t> </w:t>
      </w:r>
      <w:r>
        <w:rPr>
          <w:color w:val="231F20"/>
          <w:w w:val="105"/>
        </w:rPr>
        <w:t>bastante</w:t>
      </w:r>
      <w:r>
        <w:rPr>
          <w:color w:val="231F20"/>
          <w:spacing w:val="-24"/>
          <w:w w:val="105"/>
        </w:rPr>
        <w:t> </w:t>
      </w:r>
      <w:r>
        <w:rPr>
          <w:color w:val="231F20"/>
          <w:w w:val="105"/>
        </w:rPr>
        <w:t>auto- nomía</w:t>
      </w:r>
      <w:r>
        <w:rPr>
          <w:color w:val="231F20"/>
          <w:spacing w:val="-5"/>
          <w:w w:val="105"/>
        </w:rPr>
        <w:t> </w:t>
      </w:r>
      <w:r>
        <w:rPr>
          <w:color w:val="231F20"/>
          <w:w w:val="105"/>
        </w:rPr>
        <w:t>respecto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gobiernos</w:t>
      </w:r>
      <w:r>
        <w:rPr>
          <w:color w:val="231F20"/>
          <w:spacing w:val="-5"/>
          <w:w w:val="105"/>
        </w:rPr>
        <w:t> </w:t>
      </w:r>
      <w:r>
        <w:rPr>
          <w:color w:val="231F20"/>
          <w:w w:val="105"/>
        </w:rPr>
        <w:t>nacionales</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pertenecen</w:t>
      </w:r>
      <w:r>
        <w:rPr>
          <w:color w:val="231F20"/>
          <w:spacing w:val="-5"/>
          <w:w w:val="105"/>
        </w:rPr>
        <w:t> </w:t>
      </w:r>
      <w:r>
        <w:rPr>
          <w:color w:val="231F20"/>
          <w:w w:val="105"/>
        </w:rPr>
        <w:t>(Frit- zsche y Vio, 2000). </w:t>
      </w:r>
      <w:r>
        <w:rPr>
          <w:color w:val="231F20"/>
          <w:spacing w:val="-6"/>
          <w:w w:val="105"/>
        </w:rPr>
        <w:t>Por </w:t>
      </w:r>
      <w:r>
        <w:rPr>
          <w:color w:val="231F20"/>
          <w:w w:val="105"/>
        </w:rPr>
        <w:t>lo general es una acción público-privada, dado que</w:t>
      </w:r>
      <w:r>
        <w:rPr>
          <w:color w:val="231F20"/>
          <w:spacing w:val="-7"/>
          <w:w w:val="105"/>
        </w:rPr>
        <w:t> </w:t>
      </w:r>
      <w:r>
        <w:rPr>
          <w:color w:val="231F20"/>
          <w:w w:val="105"/>
        </w:rPr>
        <w:t>las</w:t>
      </w:r>
      <w:r>
        <w:rPr>
          <w:color w:val="231F20"/>
          <w:spacing w:val="-7"/>
          <w:w w:val="105"/>
        </w:rPr>
        <w:t> </w:t>
      </w:r>
      <w:r>
        <w:rPr>
          <w:color w:val="231F20"/>
          <w:w w:val="105"/>
        </w:rPr>
        <w:t>ciudades</w:t>
      </w:r>
      <w:r>
        <w:rPr>
          <w:color w:val="231F20"/>
          <w:spacing w:val="-7"/>
          <w:w w:val="105"/>
        </w:rPr>
        <w:t> </w:t>
      </w:r>
      <w:r>
        <w:rPr>
          <w:color w:val="231F20"/>
          <w:w w:val="105"/>
        </w:rPr>
        <w:t>o</w:t>
      </w:r>
      <w:r>
        <w:rPr>
          <w:color w:val="231F20"/>
          <w:spacing w:val="-7"/>
          <w:w w:val="105"/>
        </w:rPr>
        <w:t> </w:t>
      </w:r>
      <w:r>
        <w:rPr>
          <w:color w:val="231F20"/>
          <w:w w:val="105"/>
        </w:rPr>
        <w:t>las</w:t>
      </w:r>
      <w:r>
        <w:rPr>
          <w:color w:val="231F20"/>
          <w:spacing w:val="-7"/>
          <w:w w:val="105"/>
        </w:rPr>
        <w:t> </w:t>
      </w:r>
      <w:r>
        <w:rPr>
          <w:color w:val="231F20"/>
          <w:w w:val="105"/>
        </w:rPr>
        <w:t>regiones</w:t>
      </w:r>
      <w:r>
        <w:rPr>
          <w:color w:val="231F20"/>
          <w:spacing w:val="-7"/>
          <w:w w:val="105"/>
        </w:rPr>
        <w:t> </w:t>
      </w:r>
      <w:r>
        <w:rPr>
          <w:color w:val="231F20"/>
          <w:w w:val="105"/>
        </w:rPr>
        <w:t>son</w:t>
      </w:r>
      <w:r>
        <w:rPr>
          <w:color w:val="231F20"/>
          <w:spacing w:val="-7"/>
          <w:w w:val="105"/>
        </w:rPr>
        <w:t> </w:t>
      </w:r>
      <w:r>
        <w:rPr>
          <w:color w:val="231F20"/>
          <w:w w:val="105"/>
        </w:rPr>
        <w:t>un</w:t>
      </w:r>
      <w:r>
        <w:rPr>
          <w:color w:val="231F20"/>
          <w:spacing w:val="-7"/>
          <w:w w:val="105"/>
        </w:rPr>
        <w:t> </w:t>
      </w:r>
      <w:r>
        <w:rPr>
          <w:color w:val="231F20"/>
          <w:w w:val="105"/>
        </w:rPr>
        <w:t>sujeto</w:t>
      </w:r>
      <w:r>
        <w:rPr>
          <w:color w:val="231F20"/>
          <w:spacing w:val="-7"/>
          <w:w w:val="105"/>
        </w:rPr>
        <w:t> </w:t>
      </w:r>
      <w:r>
        <w:rPr>
          <w:color w:val="231F20"/>
          <w:w w:val="105"/>
        </w:rPr>
        <w:t>colectivo</w:t>
      </w:r>
      <w:r>
        <w:rPr>
          <w:color w:val="231F20"/>
          <w:spacing w:val="-7"/>
          <w:w w:val="105"/>
        </w:rPr>
        <w:t> </w:t>
      </w:r>
      <w:r>
        <w:rPr>
          <w:color w:val="231F20"/>
          <w:w w:val="105"/>
        </w:rPr>
        <w:t>conformado</w:t>
      </w:r>
      <w:r>
        <w:rPr>
          <w:color w:val="231F20"/>
          <w:spacing w:val="-7"/>
          <w:w w:val="105"/>
        </w:rPr>
        <w:t> </w:t>
      </w:r>
      <w:r>
        <w:rPr>
          <w:color w:val="231F20"/>
          <w:w w:val="105"/>
        </w:rPr>
        <w:t>por autoridades</w:t>
      </w:r>
      <w:r>
        <w:rPr>
          <w:color w:val="231F20"/>
          <w:spacing w:val="-31"/>
          <w:w w:val="105"/>
        </w:rPr>
        <w:t> </w:t>
      </w:r>
      <w:r>
        <w:rPr>
          <w:color w:val="231F20"/>
          <w:w w:val="105"/>
        </w:rPr>
        <w:t>locales,</w:t>
      </w:r>
      <w:r>
        <w:rPr>
          <w:color w:val="231F20"/>
          <w:spacing w:val="-34"/>
          <w:w w:val="105"/>
        </w:rPr>
        <w:t> </w:t>
      </w:r>
      <w:r>
        <w:rPr>
          <w:color w:val="231F20"/>
          <w:w w:val="105"/>
        </w:rPr>
        <w:t>empresarios,</w:t>
      </w:r>
      <w:r>
        <w:rPr>
          <w:color w:val="231F20"/>
          <w:spacing w:val="-34"/>
          <w:w w:val="105"/>
        </w:rPr>
        <w:t> </w:t>
      </w:r>
      <w:r>
        <w:rPr>
          <w:color w:val="231F20"/>
          <w:w w:val="105"/>
        </w:rPr>
        <w:t>organizaciones</w:t>
      </w:r>
      <w:r>
        <w:rPr>
          <w:color w:val="231F20"/>
          <w:spacing w:val="-31"/>
          <w:w w:val="105"/>
        </w:rPr>
        <w:t> </w:t>
      </w:r>
      <w:r>
        <w:rPr>
          <w:color w:val="231F20"/>
          <w:w w:val="105"/>
        </w:rPr>
        <w:t>económicas</w:t>
      </w:r>
      <w:r>
        <w:rPr>
          <w:color w:val="231F20"/>
          <w:spacing w:val="-31"/>
          <w:w w:val="105"/>
        </w:rPr>
        <w:t> </w:t>
      </w:r>
      <w:r>
        <w:rPr>
          <w:color w:val="231F20"/>
          <w:w w:val="105"/>
        </w:rPr>
        <w:t>y</w:t>
      </w:r>
      <w:r>
        <w:rPr>
          <w:color w:val="231F20"/>
          <w:spacing w:val="-31"/>
          <w:w w:val="105"/>
        </w:rPr>
        <w:t> </w:t>
      </w:r>
      <w:r>
        <w:rPr>
          <w:color w:val="231F20"/>
          <w:w w:val="105"/>
        </w:rPr>
        <w:t>sociales que pueden ser promotoras de su propio desarrollo económico</w:t>
      </w:r>
      <w:r>
        <w:rPr>
          <w:color w:val="231F20"/>
          <w:spacing w:val="-41"/>
          <w:w w:val="105"/>
        </w:rPr>
        <w:t> </w:t>
      </w:r>
      <w:r>
        <w:rPr>
          <w:color w:val="231F20"/>
          <w:w w:val="105"/>
        </w:rPr>
        <w:t>(Cabre- </w:t>
      </w:r>
      <w:r>
        <w:rPr>
          <w:color w:val="231F20"/>
          <w:spacing w:val="-3"/>
          <w:w w:val="105"/>
        </w:rPr>
        <w:t>ro,</w:t>
      </w:r>
      <w:r>
        <w:rPr>
          <w:color w:val="231F20"/>
          <w:spacing w:val="-26"/>
          <w:w w:val="105"/>
        </w:rPr>
        <w:t> </w:t>
      </w:r>
      <w:r>
        <w:rPr>
          <w:i/>
          <w:color w:val="231F20"/>
          <w:w w:val="105"/>
        </w:rPr>
        <w:t>et</w:t>
      </w:r>
      <w:r>
        <w:rPr>
          <w:i/>
          <w:color w:val="231F20"/>
          <w:spacing w:val="-21"/>
          <w:w w:val="105"/>
        </w:rPr>
        <w:t> </w:t>
      </w:r>
      <w:r>
        <w:rPr>
          <w:i/>
          <w:color w:val="231F20"/>
          <w:w w:val="105"/>
        </w:rPr>
        <w:t>al,</w:t>
      </w:r>
      <w:r>
        <w:rPr>
          <w:i/>
          <w:color w:val="231F20"/>
          <w:spacing w:val="-26"/>
          <w:w w:val="105"/>
        </w:rPr>
        <w:t> </w:t>
      </w:r>
      <w:r>
        <w:rPr>
          <w:color w:val="231F20"/>
          <w:w w:val="105"/>
        </w:rPr>
        <w:t>2003).</w:t>
      </w:r>
    </w:p>
    <w:p>
      <w:pPr>
        <w:spacing w:before="162"/>
        <w:ind w:left="103" w:right="0" w:firstLine="0"/>
        <w:jc w:val="both"/>
        <w:rPr>
          <w:i/>
          <w:sz w:val="21"/>
        </w:rPr>
      </w:pPr>
      <w:r>
        <w:rPr>
          <w:i/>
          <w:color w:val="231F20"/>
          <w:w w:val="105"/>
          <w:sz w:val="21"/>
        </w:rPr>
        <w:t>Ventajas competitivas de los municipios</w:t>
      </w:r>
    </w:p>
    <w:p>
      <w:pPr>
        <w:pStyle w:val="BodyText"/>
        <w:spacing w:before="4"/>
        <w:rPr>
          <w:i/>
          <w:sz w:val="16"/>
        </w:rPr>
      </w:pPr>
    </w:p>
    <w:p>
      <w:pPr>
        <w:pStyle w:val="BodyText"/>
        <w:spacing w:line="259" w:lineRule="auto"/>
        <w:ind w:left="103" w:right="115"/>
        <w:jc w:val="both"/>
      </w:pPr>
      <w:r>
        <w:rPr>
          <w:color w:val="231F20"/>
        </w:rPr>
        <w:t>La competitividad supone un proceso fuertemente localizado que fo- menta la especialización y la eficacia local (Porter, 1995). Por ello las ciudades</w:t>
      </w:r>
      <w:r>
        <w:rPr>
          <w:color w:val="231F20"/>
          <w:position w:val="7"/>
          <w:sz w:val="12"/>
        </w:rPr>
        <w:t>2   </w:t>
      </w:r>
      <w:r>
        <w:rPr>
          <w:color w:val="231F20"/>
        </w:rPr>
        <w:t>son espacios que pueden ofrecer ventajas competitivas en    la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2800;mso-wrap-distance-left:0;mso-wrap-distance-right:0" from="65.196899pt,9.374621pt" to="178.582899pt,9.374621pt" stroked="true" strokeweight=".25pt" strokecolor="#231f20">
            <w10:wrap type="topAndBottom"/>
          </v:line>
        </w:pict>
      </w:r>
    </w:p>
    <w:p>
      <w:pPr>
        <w:spacing w:before="8"/>
        <w:ind w:left="103" w:right="17" w:firstLine="0"/>
        <w:jc w:val="left"/>
        <w:rPr>
          <w:rFonts w:ascii="Calibri" w:hAnsi="Calibri"/>
          <w:sz w:val="16"/>
        </w:rPr>
      </w:pPr>
      <w:r>
        <w:rPr>
          <w:rFonts w:ascii="Calibri" w:hAnsi="Calibri"/>
          <w:color w:val="414042"/>
          <w:w w:val="105"/>
          <w:sz w:val="16"/>
        </w:rPr>
        <w:t>2  Se hace alusión al término ciudades el cual es susceptible de aplicarse al contexto municipal.</w:t>
      </w:r>
    </w:p>
    <w:p>
      <w:pPr>
        <w:pStyle w:val="BodyText"/>
        <w:rPr>
          <w:rFonts w:ascii="Calibri"/>
          <w:sz w:val="20"/>
        </w:rPr>
      </w:pPr>
    </w:p>
    <w:p>
      <w:pPr>
        <w:pStyle w:val="BodyText"/>
        <w:spacing w:before="10"/>
        <w:rPr>
          <w:rFonts w:ascii="Calibri"/>
          <w:sz w:val="27"/>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10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72</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5080"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73</w:t>
      </w:r>
    </w:p>
    <w:p>
      <w:pPr>
        <w:pStyle w:val="BodyText"/>
        <w:rPr>
          <w:sz w:val="20"/>
        </w:rPr>
      </w:pPr>
    </w:p>
    <w:p>
      <w:pPr>
        <w:pStyle w:val="BodyText"/>
        <w:rPr>
          <w:sz w:val="20"/>
        </w:rPr>
      </w:pPr>
    </w:p>
    <w:p>
      <w:pPr>
        <w:pStyle w:val="BodyText"/>
        <w:spacing w:line="259" w:lineRule="auto" w:before="176"/>
        <w:ind w:left="117" w:right="115"/>
        <w:jc w:val="both"/>
      </w:pPr>
      <w:r>
        <w:rPr>
          <w:color w:val="231F20"/>
          <w:w w:val="105"/>
        </w:rPr>
        <w:t>medida</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poseen</w:t>
      </w:r>
      <w:r>
        <w:rPr>
          <w:color w:val="231F20"/>
          <w:spacing w:val="-17"/>
          <w:w w:val="105"/>
        </w:rPr>
        <w:t> </w:t>
      </w:r>
      <w:r>
        <w:rPr>
          <w:color w:val="231F20"/>
          <w:w w:val="105"/>
        </w:rPr>
        <w:t>diferentes</w:t>
      </w:r>
      <w:r>
        <w:rPr>
          <w:color w:val="231F20"/>
          <w:spacing w:val="-17"/>
          <w:w w:val="105"/>
        </w:rPr>
        <w:t> </w:t>
      </w:r>
      <w:r>
        <w:rPr>
          <w:color w:val="231F20"/>
          <w:w w:val="105"/>
        </w:rPr>
        <w:t>factores</w:t>
      </w:r>
      <w:r>
        <w:rPr>
          <w:color w:val="231F20"/>
          <w:spacing w:val="-17"/>
          <w:w w:val="105"/>
        </w:rPr>
        <w:t> </w:t>
      </w:r>
      <w:r>
        <w:rPr>
          <w:color w:val="231F20"/>
          <w:w w:val="105"/>
        </w:rPr>
        <w:t>de</w:t>
      </w:r>
      <w:r>
        <w:rPr>
          <w:color w:val="231F20"/>
          <w:spacing w:val="-17"/>
          <w:w w:val="105"/>
        </w:rPr>
        <w:t> </w:t>
      </w:r>
      <w:r>
        <w:rPr>
          <w:color w:val="231F20"/>
          <w:w w:val="105"/>
        </w:rPr>
        <w:t>atracción.</w:t>
      </w:r>
      <w:r>
        <w:rPr>
          <w:color w:val="231F20"/>
          <w:spacing w:val="-22"/>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sentido, suelen</w:t>
      </w:r>
      <w:r>
        <w:rPr>
          <w:color w:val="231F20"/>
          <w:spacing w:val="-19"/>
          <w:w w:val="105"/>
        </w:rPr>
        <w:t> </w:t>
      </w:r>
      <w:r>
        <w:rPr>
          <w:color w:val="231F20"/>
          <w:w w:val="105"/>
        </w:rPr>
        <w:t>identificarse</w:t>
      </w:r>
      <w:r>
        <w:rPr>
          <w:color w:val="231F20"/>
          <w:spacing w:val="-19"/>
          <w:w w:val="105"/>
        </w:rPr>
        <w:t> </w:t>
      </w:r>
      <w:r>
        <w:rPr>
          <w:color w:val="231F20"/>
          <w:w w:val="105"/>
        </w:rPr>
        <w:t>dos</w:t>
      </w:r>
      <w:r>
        <w:rPr>
          <w:color w:val="231F20"/>
          <w:spacing w:val="-19"/>
          <w:w w:val="105"/>
        </w:rPr>
        <w:t> </w:t>
      </w:r>
      <w:r>
        <w:rPr>
          <w:color w:val="231F20"/>
          <w:w w:val="105"/>
        </w:rPr>
        <w:t>tipos</w:t>
      </w:r>
      <w:r>
        <w:rPr>
          <w:color w:val="231F20"/>
          <w:spacing w:val="-19"/>
          <w:w w:val="105"/>
        </w:rPr>
        <w:t> </w:t>
      </w:r>
      <w:r>
        <w:rPr>
          <w:color w:val="231F20"/>
          <w:w w:val="105"/>
        </w:rPr>
        <w:t>de</w:t>
      </w:r>
      <w:r>
        <w:rPr>
          <w:color w:val="231F20"/>
          <w:spacing w:val="-19"/>
          <w:w w:val="105"/>
        </w:rPr>
        <w:t> </w:t>
      </w:r>
      <w:r>
        <w:rPr>
          <w:color w:val="231F20"/>
          <w:w w:val="105"/>
        </w:rPr>
        <w:t>ventajas</w:t>
      </w:r>
      <w:r>
        <w:rPr>
          <w:color w:val="231F20"/>
          <w:spacing w:val="-19"/>
          <w:w w:val="105"/>
        </w:rPr>
        <w:t> </w:t>
      </w:r>
      <w:r>
        <w:rPr>
          <w:color w:val="231F20"/>
          <w:w w:val="105"/>
        </w:rPr>
        <w:t>competitivas:</w:t>
      </w:r>
    </w:p>
    <w:p>
      <w:pPr>
        <w:pStyle w:val="BodyText"/>
        <w:spacing w:before="6"/>
        <w:rPr>
          <w:sz w:val="22"/>
        </w:rPr>
      </w:pPr>
    </w:p>
    <w:p>
      <w:pPr>
        <w:pStyle w:val="ListParagraph"/>
        <w:numPr>
          <w:ilvl w:val="0"/>
          <w:numId w:val="32"/>
        </w:numPr>
        <w:tabs>
          <w:tab w:pos="1328" w:val="left" w:leader="none"/>
        </w:tabs>
        <w:spacing w:line="259" w:lineRule="auto" w:before="0" w:after="0"/>
        <w:ind w:left="1327" w:right="121" w:hanging="360"/>
        <w:jc w:val="both"/>
        <w:rPr>
          <w:sz w:val="21"/>
        </w:rPr>
      </w:pPr>
      <w:r>
        <w:rPr>
          <w:color w:val="231F20"/>
          <w:w w:val="105"/>
          <w:sz w:val="21"/>
        </w:rPr>
        <w:t>Estáticas,</w:t>
      </w:r>
      <w:r>
        <w:rPr>
          <w:color w:val="231F20"/>
          <w:spacing w:val="-11"/>
          <w:w w:val="105"/>
          <w:sz w:val="21"/>
        </w:rPr>
        <w:t> </w:t>
      </w:r>
      <w:r>
        <w:rPr>
          <w:color w:val="231F20"/>
          <w:w w:val="105"/>
          <w:sz w:val="21"/>
        </w:rPr>
        <w:t>que</w:t>
      </w:r>
      <w:r>
        <w:rPr>
          <w:color w:val="231F20"/>
          <w:spacing w:val="-6"/>
          <w:w w:val="105"/>
          <w:sz w:val="21"/>
        </w:rPr>
        <w:t> </w:t>
      </w:r>
      <w:r>
        <w:rPr>
          <w:color w:val="231F20"/>
          <w:w w:val="105"/>
          <w:sz w:val="21"/>
        </w:rPr>
        <w:t>son</w:t>
      </w:r>
      <w:r>
        <w:rPr>
          <w:color w:val="231F20"/>
          <w:spacing w:val="-6"/>
          <w:w w:val="105"/>
          <w:sz w:val="21"/>
        </w:rPr>
        <w:t> </w:t>
      </w:r>
      <w:r>
        <w:rPr>
          <w:color w:val="231F20"/>
          <w:w w:val="105"/>
          <w:sz w:val="21"/>
        </w:rPr>
        <w:t>las</w:t>
      </w:r>
      <w:r>
        <w:rPr>
          <w:color w:val="231F20"/>
          <w:spacing w:val="-6"/>
          <w:w w:val="105"/>
          <w:sz w:val="21"/>
        </w:rPr>
        <w:t> </w:t>
      </w:r>
      <w:r>
        <w:rPr>
          <w:color w:val="231F20"/>
          <w:w w:val="105"/>
          <w:sz w:val="21"/>
        </w:rPr>
        <w:t>que</w:t>
      </w:r>
      <w:r>
        <w:rPr>
          <w:color w:val="231F20"/>
          <w:spacing w:val="-6"/>
          <w:w w:val="105"/>
          <w:sz w:val="21"/>
        </w:rPr>
        <w:t> </w:t>
      </w:r>
      <w:r>
        <w:rPr>
          <w:color w:val="231F20"/>
          <w:w w:val="105"/>
          <w:sz w:val="21"/>
        </w:rPr>
        <w:t>se</w:t>
      </w:r>
      <w:r>
        <w:rPr>
          <w:color w:val="231F20"/>
          <w:spacing w:val="-6"/>
          <w:w w:val="105"/>
          <w:sz w:val="21"/>
        </w:rPr>
        <w:t> </w:t>
      </w:r>
      <w:r>
        <w:rPr>
          <w:color w:val="231F20"/>
          <w:w w:val="105"/>
          <w:sz w:val="21"/>
        </w:rPr>
        <w:t>derivan</w:t>
      </w:r>
      <w:r>
        <w:rPr>
          <w:color w:val="231F20"/>
          <w:spacing w:val="-6"/>
          <w:w w:val="105"/>
          <w:sz w:val="21"/>
        </w:rPr>
        <w:t> </w:t>
      </w:r>
      <w:r>
        <w:rPr>
          <w:color w:val="231F20"/>
          <w:w w:val="105"/>
          <w:sz w:val="21"/>
        </w:rPr>
        <w:t>de</w:t>
      </w:r>
      <w:r>
        <w:rPr>
          <w:color w:val="231F20"/>
          <w:spacing w:val="-6"/>
          <w:w w:val="105"/>
          <w:sz w:val="21"/>
        </w:rPr>
        <w:t> </w:t>
      </w:r>
      <w:r>
        <w:rPr>
          <w:color w:val="231F20"/>
          <w:w w:val="105"/>
          <w:sz w:val="21"/>
        </w:rPr>
        <w:t>la</w:t>
      </w:r>
      <w:r>
        <w:rPr>
          <w:color w:val="231F20"/>
          <w:spacing w:val="-6"/>
          <w:w w:val="105"/>
          <w:sz w:val="21"/>
        </w:rPr>
        <w:t> </w:t>
      </w:r>
      <w:r>
        <w:rPr>
          <w:color w:val="231F20"/>
          <w:w w:val="105"/>
          <w:sz w:val="21"/>
        </w:rPr>
        <w:t>aglomeración</w:t>
      </w:r>
      <w:r>
        <w:rPr>
          <w:color w:val="231F20"/>
          <w:spacing w:val="-6"/>
          <w:w w:val="105"/>
          <w:sz w:val="21"/>
        </w:rPr>
        <w:t> </w:t>
      </w:r>
      <w:r>
        <w:rPr>
          <w:color w:val="231F20"/>
          <w:w w:val="105"/>
          <w:sz w:val="21"/>
        </w:rPr>
        <w:t>o concentración</w:t>
      </w:r>
      <w:r>
        <w:rPr>
          <w:color w:val="231F20"/>
          <w:spacing w:val="-16"/>
          <w:w w:val="105"/>
          <w:sz w:val="21"/>
        </w:rPr>
        <w:t> </w:t>
      </w:r>
      <w:r>
        <w:rPr>
          <w:color w:val="231F20"/>
          <w:w w:val="105"/>
          <w:sz w:val="21"/>
        </w:rPr>
        <w:t>geográfica</w:t>
      </w:r>
      <w:r>
        <w:rPr>
          <w:color w:val="231F20"/>
          <w:spacing w:val="-16"/>
          <w:w w:val="105"/>
          <w:sz w:val="21"/>
        </w:rPr>
        <w:t> </w:t>
      </w:r>
      <w:r>
        <w:rPr>
          <w:color w:val="231F20"/>
          <w:w w:val="105"/>
          <w:sz w:val="21"/>
        </w:rPr>
        <w:t>y</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desintegración</w:t>
      </w:r>
      <w:r>
        <w:rPr>
          <w:color w:val="231F20"/>
          <w:spacing w:val="-16"/>
          <w:w w:val="105"/>
          <w:sz w:val="21"/>
        </w:rPr>
        <w:t> </w:t>
      </w:r>
      <w:r>
        <w:rPr>
          <w:color w:val="231F20"/>
          <w:w w:val="105"/>
          <w:sz w:val="21"/>
        </w:rPr>
        <w:t>vertical.</w:t>
      </w:r>
    </w:p>
    <w:p>
      <w:pPr>
        <w:pStyle w:val="ListParagraph"/>
        <w:numPr>
          <w:ilvl w:val="0"/>
          <w:numId w:val="32"/>
        </w:numPr>
        <w:tabs>
          <w:tab w:pos="1328" w:val="left" w:leader="none"/>
        </w:tabs>
        <w:spacing w:line="259" w:lineRule="auto" w:before="170" w:after="0"/>
        <w:ind w:left="1327" w:right="121" w:hanging="360"/>
        <w:jc w:val="both"/>
        <w:rPr>
          <w:sz w:val="21"/>
        </w:rPr>
      </w:pPr>
      <w:r>
        <w:rPr>
          <w:color w:val="231F20"/>
          <w:w w:val="105"/>
          <w:sz w:val="21"/>
        </w:rPr>
        <w:t>Dinámicas,</w:t>
      </w:r>
      <w:r>
        <w:rPr>
          <w:color w:val="231F20"/>
          <w:spacing w:val="-31"/>
          <w:w w:val="105"/>
          <w:sz w:val="21"/>
        </w:rPr>
        <w:t> </w:t>
      </w:r>
      <w:r>
        <w:rPr>
          <w:color w:val="231F20"/>
          <w:w w:val="105"/>
          <w:sz w:val="21"/>
        </w:rPr>
        <w:t>que</w:t>
      </w:r>
      <w:r>
        <w:rPr>
          <w:color w:val="231F20"/>
          <w:spacing w:val="-25"/>
          <w:w w:val="105"/>
          <w:sz w:val="21"/>
        </w:rPr>
        <w:t> </w:t>
      </w:r>
      <w:r>
        <w:rPr>
          <w:color w:val="231F20"/>
          <w:w w:val="105"/>
          <w:sz w:val="21"/>
        </w:rPr>
        <w:t>provienen</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la</w:t>
      </w:r>
      <w:r>
        <w:rPr>
          <w:color w:val="231F20"/>
          <w:spacing w:val="-25"/>
          <w:w w:val="105"/>
          <w:sz w:val="21"/>
        </w:rPr>
        <w:t> </w:t>
      </w:r>
      <w:r>
        <w:rPr>
          <w:color w:val="231F20"/>
          <w:w w:val="105"/>
          <w:sz w:val="21"/>
        </w:rPr>
        <w:t>capacidad</w:t>
      </w:r>
      <w:r>
        <w:rPr>
          <w:color w:val="231F20"/>
          <w:spacing w:val="-25"/>
          <w:w w:val="105"/>
          <w:sz w:val="21"/>
        </w:rPr>
        <w:t> </w:t>
      </w:r>
      <w:r>
        <w:rPr>
          <w:color w:val="231F20"/>
          <w:w w:val="105"/>
          <w:sz w:val="21"/>
        </w:rPr>
        <w:t>innovadora</w:t>
      </w:r>
      <w:r>
        <w:rPr>
          <w:color w:val="231F20"/>
          <w:spacing w:val="-25"/>
          <w:w w:val="105"/>
          <w:sz w:val="21"/>
        </w:rPr>
        <w:t> </w:t>
      </w:r>
      <w:r>
        <w:rPr>
          <w:color w:val="231F20"/>
          <w:w w:val="105"/>
          <w:sz w:val="21"/>
        </w:rPr>
        <w:t>y</w:t>
      </w:r>
      <w:r>
        <w:rPr>
          <w:color w:val="231F20"/>
          <w:spacing w:val="-25"/>
          <w:w w:val="105"/>
          <w:sz w:val="21"/>
        </w:rPr>
        <w:t> </w:t>
      </w:r>
      <w:r>
        <w:rPr>
          <w:color w:val="231F20"/>
          <w:w w:val="105"/>
          <w:sz w:val="21"/>
        </w:rPr>
        <w:t>que son</w:t>
      </w:r>
      <w:r>
        <w:rPr>
          <w:color w:val="231F20"/>
          <w:spacing w:val="-36"/>
          <w:w w:val="105"/>
          <w:sz w:val="21"/>
        </w:rPr>
        <w:t> </w:t>
      </w:r>
      <w:r>
        <w:rPr>
          <w:color w:val="231F20"/>
          <w:w w:val="105"/>
          <w:sz w:val="21"/>
        </w:rPr>
        <w:t>ventajas</w:t>
      </w:r>
      <w:r>
        <w:rPr>
          <w:color w:val="231F20"/>
          <w:spacing w:val="-36"/>
          <w:w w:val="105"/>
          <w:sz w:val="21"/>
        </w:rPr>
        <w:t> </w:t>
      </w:r>
      <w:r>
        <w:rPr>
          <w:color w:val="231F20"/>
          <w:w w:val="105"/>
          <w:sz w:val="21"/>
        </w:rPr>
        <w:t>construidas</w:t>
      </w:r>
      <w:r>
        <w:rPr>
          <w:color w:val="231F20"/>
          <w:spacing w:val="-36"/>
          <w:w w:val="105"/>
          <w:sz w:val="21"/>
        </w:rPr>
        <w:t> </w:t>
      </w:r>
      <w:r>
        <w:rPr>
          <w:color w:val="231F20"/>
          <w:w w:val="105"/>
          <w:sz w:val="21"/>
        </w:rPr>
        <w:t>o</w:t>
      </w:r>
      <w:r>
        <w:rPr>
          <w:color w:val="231F20"/>
          <w:spacing w:val="-36"/>
          <w:w w:val="105"/>
          <w:sz w:val="21"/>
        </w:rPr>
        <w:t> </w:t>
      </w:r>
      <w:r>
        <w:rPr>
          <w:color w:val="231F20"/>
          <w:w w:val="105"/>
          <w:sz w:val="21"/>
        </w:rPr>
        <w:t>creadas</w:t>
      </w:r>
      <w:r>
        <w:rPr>
          <w:color w:val="231F20"/>
          <w:spacing w:val="-36"/>
          <w:w w:val="105"/>
          <w:sz w:val="21"/>
        </w:rPr>
        <w:t> </w:t>
      </w:r>
      <w:r>
        <w:rPr>
          <w:color w:val="231F20"/>
          <w:w w:val="105"/>
          <w:sz w:val="21"/>
        </w:rPr>
        <w:t>por</w:t>
      </w:r>
      <w:r>
        <w:rPr>
          <w:color w:val="231F20"/>
          <w:spacing w:val="-36"/>
          <w:w w:val="105"/>
          <w:sz w:val="21"/>
        </w:rPr>
        <w:t> </w:t>
      </w:r>
      <w:r>
        <w:rPr>
          <w:color w:val="231F20"/>
          <w:w w:val="105"/>
          <w:sz w:val="21"/>
        </w:rPr>
        <w:t>empresas,</w:t>
      </w:r>
      <w:r>
        <w:rPr>
          <w:color w:val="231F20"/>
          <w:spacing w:val="-39"/>
          <w:w w:val="105"/>
          <w:sz w:val="21"/>
        </w:rPr>
        <w:t> </w:t>
      </w:r>
      <w:r>
        <w:rPr>
          <w:color w:val="231F20"/>
          <w:w w:val="105"/>
          <w:sz w:val="21"/>
        </w:rPr>
        <w:t>gobiernos </w:t>
      </w:r>
      <w:r>
        <w:rPr>
          <w:color w:val="231F20"/>
          <w:sz w:val="21"/>
        </w:rPr>
        <w:t>locales o</w:t>
      </w:r>
      <w:r>
        <w:rPr>
          <w:color w:val="231F20"/>
          <w:spacing w:val="17"/>
          <w:sz w:val="21"/>
        </w:rPr>
        <w:t> </w:t>
      </w:r>
      <w:r>
        <w:rPr>
          <w:color w:val="231F20"/>
          <w:sz w:val="21"/>
        </w:rPr>
        <w:t>asociaciones.</w:t>
      </w:r>
    </w:p>
    <w:p>
      <w:pPr>
        <w:pStyle w:val="BodyText"/>
        <w:rPr>
          <w:sz w:val="20"/>
        </w:rPr>
      </w:pPr>
    </w:p>
    <w:p>
      <w:pPr>
        <w:pStyle w:val="BodyText"/>
        <w:spacing w:before="4"/>
        <w:rPr>
          <w:sz w:val="17"/>
        </w:rPr>
      </w:pPr>
    </w:p>
    <w:p>
      <w:pPr>
        <w:pStyle w:val="BodyText"/>
        <w:spacing w:line="259" w:lineRule="auto"/>
        <w:ind w:left="117" w:right="115"/>
        <w:jc w:val="both"/>
      </w:pPr>
      <w:r>
        <w:rPr>
          <w:color w:val="231F20"/>
          <w:w w:val="105"/>
        </w:rPr>
        <w:t>Las</w:t>
      </w:r>
      <w:r>
        <w:rPr>
          <w:color w:val="231F20"/>
          <w:spacing w:val="-29"/>
          <w:w w:val="105"/>
        </w:rPr>
        <w:t> </w:t>
      </w:r>
      <w:r>
        <w:rPr>
          <w:color w:val="231F20"/>
          <w:w w:val="105"/>
        </w:rPr>
        <w:t>ventajas</w:t>
      </w:r>
      <w:r>
        <w:rPr>
          <w:color w:val="231F20"/>
          <w:spacing w:val="-29"/>
          <w:w w:val="105"/>
        </w:rPr>
        <w:t> </w:t>
      </w:r>
      <w:r>
        <w:rPr>
          <w:color w:val="231F20"/>
          <w:w w:val="105"/>
        </w:rPr>
        <w:t>competitivas</w:t>
      </w:r>
      <w:r>
        <w:rPr>
          <w:color w:val="231F20"/>
          <w:spacing w:val="-29"/>
          <w:w w:val="105"/>
        </w:rPr>
        <w:t> </w:t>
      </w:r>
      <w:r>
        <w:rPr>
          <w:color w:val="231F20"/>
          <w:w w:val="105"/>
        </w:rPr>
        <w:t>estáticas</w:t>
      </w:r>
      <w:r>
        <w:rPr>
          <w:color w:val="231F20"/>
          <w:spacing w:val="-29"/>
          <w:w w:val="105"/>
        </w:rPr>
        <w:t> </w:t>
      </w:r>
      <w:r>
        <w:rPr>
          <w:color w:val="231F20"/>
          <w:w w:val="105"/>
        </w:rPr>
        <w:t>provienen</w:t>
      </w:r>
      <w:r>
        <w:rPr>
          <w:color w:val="231F20"/>
          <w:spacing w:val="-29"/>
          <w:w w:val="105"/>
        </w:rPr>
        <w:t> </w:t>
      </w:r>
      <w:r>
        <w:rPr>
          <w:color w:val="231F20"/>
          <w:w w:val="105"/>
        </w:rPr>
        <w:t>principalmente</w:t>
      </w:r>
      <w:r>
        <w:rPr>
          <w:color w:val="231F20"/>
          <w:spacing w:val="-29"/>
          <w:w w:val="105"/>
        </w:rPr>
        <w:t> </w:t>
      </w:r>
      <w:r>
        <w:rPr>
          <w:color w:val="231F20"/>
          <w:w w:val="105"/>
        </w:rPr>
        <w:t>de</w:t>
      </w:r>
      <w:r>
        <w:rPr>
          <w:color w:val="231F20"/>
          <w:spacing w:val="-29"/>
          <w:w w:val="105"/>
        </w:rPr>
        <w:t> </w:t>
      </w:r>
      <w:r>
        <w:rPr>
          <w:color w:val="231F20"/>
          <w:w w:val="105"/>
        </w:rPr>
        <w:t>tres</w:t>
      </w:r>
      <w:r>
        <w:rPr>
          <w:color w:val="231F20"/>
          <w:spacing w:val="-29"/>
          <w:w w:val="105"/>
        </w:rPr>
        <w:t> </w:t>
      </w:r>
      <w:r>
        <w:rPr>
          <w:color w:val="231F20"/>
          <w:w w:val="105"/>
        </w:rPr>
        <w:t>ele- mentos o activos de las ciudades: localización y concentración</w:t>
      </w:r>
      <w:r>
        <w:rPr>
          <w:color w:val="231F20"/>
          <w:spacing w:val="-22"/>
          <w:w w:val="105"/>
        </w:rPr>
        <w:t> </w:t>
      </w:r>
      <w:r>
        <w:rPr>
          <w:color w:val="231F20"/>
          <w:w w:val="105"/>
        </w:rPr>
        <w:t>geográ- fica;</w:t>
      </w:r>
      <w:r>
        <w:rPr>
          <w:color w:val="231F20"/>
          <w:spacing w:val="-18"/>
          <w:w w:val="105"/>
        </w:rPr>
        <w:t> </w:t>
      </w:r>
      <w:r>
        <w:rPr>
          <w:color w:val="231F20"/>
          <w:w w:val="105"/>
        </w:rPr>
        <w:t>disponibilidad</w:t>
      </w:r>
      <w:r>
        <w:rPr>
          <w:color w:val="231F20"/>
          <w:spacing w:val="-18"/>
          <w:w w:val="105"/>
        </w:rPr>
        <w:t> </w:t>
      </w:r>
      <w:r>
        <w:rPr>
          <w:color w:val="231F20"/>
          <w:w w:val="105"/>
        </w:rPr>
        <w:t>de</w:t>
      </w:r>
      <w:r>
        <w:rPr>
          <w:color w:val="231F20"/>
          <w:spacing w:val="-18"/>
          <w:w w:val="105"/>
        </w:rPr>
        <w:t> </w:t>
      </w:r>
      <w:r>
        <w:rPr>
          <w:color w:val="231F20"/>
          <w:w w:val="105"/>
        </w:rPr>
        <w:t>infraestructuras</w:t>
      </w:r>
      <w:r>
        <w:rPr>
          <w:color w:val="231F20"/>
          <w:spacing w:val="-18"/>
          <w:w w:val="105"/>
        </w:rPr>
        <w:t> </w:t>
      </w:r>
      <w:r>
        <w:rPr>
          <w:color w:val="231F20"/>
          <w:w w:val="105"/>
        </w:rPr>
        <w:t>(suelo,</w:t>
      </w:r>
      <w:r>
        <w:rPr>
          <w:color w:val="231F20"/>
          <w:spacing w:val="-23"/>
          <w:w w:val="105"/>
        </w:rPr>
        <w:t> </w:t>
      </w:r>
      <w:r>
        <w:rPr>
          <w:color w:val="231F20"/>
          <w:w w:val="105"/>
        </w:rPr>
        <w:t>edificaciones,</w:t>
      </w:r>
      <w:r>
        <w:rPr>
          <w:color w:val="231F20"/>
          <w:spacing w:val="-23"/>
          <w:w w:val="105"/>
        </w:rPr>
        <w:t> </w:t>
      </w:r>
      <w:r>
        <w:rPr>
          <w:color w:val="231F20"/>
          <w:w w:val="105"/>
        </w:rPr>
        <w:t>sistemas</w:t>
      </w:r>
      <w:r>
        <w:rPr>
          <w:color w:val="231F20"/>
          <w:spacing w:val="-18"/>
          <w:w w:val="105"/>
        </w:rPr>
        <w:t> </w:t>
      </w:r>
      <w:r>
        <w:rPr>
          <w:color w:val="231F20"/>
          <w:w w:val="105"/>
        </w:rPr>
        <w:t>de comunicación</w:t>
      </w:r>
      <w:r>
        <w:rPr>
          <w:color w:val="231F20"/>
          <w:spacing w:val="-28"/>
          <w:w w:val="105"/>
        </w:rPr>
        <w:t> </w:t>
      </w:r>
      <w:r>
        <w:rPr>
          <w:color w:val="231F20"/>
          <w:w w:val="105"/>
        </w:rPr>
        <w:t>y</w:t>
      </w:r>
      <w:r>
        <w:rPr>
          <w:color w:val="231F20"/>
          <w:spacing w:val="-28"/>
          <w:w w:val="105"/>
        </w:rPr>
        <w:t> </w:t>
      </w:r>
      <w:r>
        <w:rPr>
          <w:color w:val="231F20"/>
          <w:w w:val="105"/>
        </w:rPr>
        <w:t>transporte)</w:t>
      </w:r>
      <w:r>
        <w:rPr>
          <w:color w:val="231F20"/>
          <w:spacing w:val="-28"/>
          <w:w w:val="105"/>
        </w:rPr>
        <w:t> </w:t>
      </w:r>
      <w:r>
        <w:rPr>
          <w:color w:val="231F20"/>
          <w:w w:val="105"/>
        </w:rPr>
        <w:t>y</w:t>
      </w:r>
      <w:r>
        <w:rPr>
          <w:color w:val="231F20"/>
          <w:spacing w:val="-28"/>
          <w:w w:val="105"/>
        </w:rPr>
        <w:t> </w:t>
      </w:r>
      <w:r>
        <w:rPr>
          <w:color w:val="231F20"/>
          <w:w w:val="105"/>
        </w:rPr>
        <w:t>estándares</w:t>
      </w:r>
      <w:r>
        <w:rPr>
          <w:color w:val="231F20"/>
          <w:spacing w:val="-28"/>
          <w:w w:val="105"/>
        </w:rPr>
        <w:t> </w:t>
      </w:r>
      <w:r>
        <w:rPr>
          <w:color w:val="231F20"/>
          <w:w w:val="105"/>
        </w:rPr>
        <w:t>medio-ambientales</w:t>
      </w:r>
      <w:r>
        <w:rPr>
          <w:color w:val="231F20"/>
          <w:spacing w:val="-28"/>
          <w:w w:val="105"/>
        </w:rPr>
        <w:t> </w:t>
      </w:r>
      <w:r>
        <w:rPr>
          <w:color w:val="231F20"/>
          <w:w w:val="105"/>
        </w:rPr>
        <w:t>aceptables. </w:t>
      </w:r>
      <w:r>
        <w:rPr>
          <w:color w:val="231F20"/>
          <w:spacing w:val="-6"/>
          <w:w w:val="105"/>
        </w:rPr>
        <w:t>Por </w:t>
      </w:r>
      <w:r>
        <w:rPr>
          <w:color w:val="231F20"/>
          <w:w w:val="105"/>
        </w:rPr>
        <w:t>su parte, las ventajas competitivas dinámicas se presentan cuando los</w:t>
      </w:r>
      <w:r>
        <w:rPr>
          <w:color w:val="231F20"/>
          <w:spacing w:val="-21"/>
          <w:w w:val="105"/>
        </w:rPr>
        <w:t> </w:t>
      </w:r>
      <w:r>
        <w:rPr>
          <w:color w:val="231F20"/>
          <w:w w:val="105"/>
        </w:rPr>
        <w:t>municipios</w:t>
      </w:r>
      <w:r>
        <w:rPr>
          <w:color w:val="231F20"/>
          <w:spacing w:val="-21"/>
          <w:w w:val="105"/>
        </w:rPr>
        <w:t> </w:t>
      </w:r>
      <w:r>
        <w:rPr>
          <w:color w:val="231F20"/>
          <w:w w:val="105"/>
        </w:rPr>
        <w:t>pueden</w:t>
      </w:r>
      <w:r>
        <w:rPr>
          <w:color w:val="231F20"/>
          <w:spacing w:val="-21"/>
          <w:w w:val="105"/>
        </w:rPr>
        <w:t> </w:t>
      </w:r>
      <w:r>
        <w:rPr>
          <w:color w:val="231F20"/>
          <w:w w:val="105"/>
        </w:rPr>
        <w:t>ofertar</w:t>
      </w:r>
      <w:r>
        <w:rPr>
          <w:color w:val="231F20"/>
          <w:spacing w:val="-21"/>
          <w:w w:val="105"/>
        </w:rPr>
        <w:t> </w:t>
      </w:r>
      <w:r>
        <w:rPr>
          <w:color w:val="231F20"/>
          <w:w w:val="105"/>
        </w:rPr>
        <w:t>un</w:t>
      </w:r>
      <w:r>
        <w:rPr>
          <w:color w:val="231F20"/>
          <w:spacing w:val="-21"/>
          <w:w w:val="105"/>
        </w:rPr>
        <w:t> </w:t>
      </w:r>
      <w:r>
        <w:rPr>
          <w:color w:val="231F20"/>
          <w:w w:val="105"/>
        </w:rPr>
        <w:t>entorno</w:t>
      </w:r>
      <w:r>
        <w:rPr>
          <w:color w:val="231F20"/>
          <w:spacing w:val="-21"/>
          <w:w w:val="105"/>
        </w:rPr>
        <w:t> </w:t>
      </w:r>
      <w:r>
        <w:rPr>
          <w:color w:val="231F20"/>
          <w:w w:val="105"/>
        </w:rPr>
        <w:t>con</w:t>
      </w:r>
      <w:r>
        <w:rPr>
          <w:color w:val="231F20"/>
          <w:spacing w:val="-21"/>
          <w:w w:val="105"/>
        </w:rPr>
        <w:t> </w:t>
      </w:r>
      <w:r>
        <w:rPr>
          <w:color w:val="231F20"/>
          <w:w w:val="105"/>
        </w:rPr>
        <w:t>recursos</w:t>
      </w:r>
      <w:r>
        <w:rPr>
          <w:color w:val="231F20"/>
          <w:spacing w:val="-21"/>
          <w:w w:val="105"/>
        </w:rPr>
        <w:t> </w:t>
      </w:r>
      <w:r>
        <w:rPr>
          <w:color w:val="231F20"/>
          <w:w w:val="105"/>
        </w:rPr>
        <w:t>humanos</w:t>
      </w:r>
      <w:r>
        <w:rPr>
          <w:color w:val="231F20"/>
          <w:spacing w:val="-21"/>
          <w:w w:val="105"/>
        </w:rPr>
        <w:t> </w:t>
      </w:r>
      <w:r>
        <w:rPr>
          <w:color w:val="231F20"/>
          <w:w w:val="105"/>
        </w:rPr>
        <w:t>califica- dos</w:t>
      </w:r>
      <w:r>
        <w:rPr>
          <w:color w:val="231F20"/>
          <w:spacing w:val="-13"/>
          <w:w w:val="105"/>
        </w:rPr>
        <w:t> </w:t>
      </w:r>
      <w:r>
        <w:rPr>
          <w:color w:val="231F20"/>
          <w:w w:val="105"/>
        </w:rPr>
        <w:t>(universidades,</w:t>
      </w:r>
      <w:r>
        <w:rPr>
          <w:color w:val="231F20"/>
          <w:spacing w:val="-18"/>
          <w:w w:val="105"/>
        </w:rPr>
        <w:t> </w:t>
      </w:r>
      <w:r>
        <w:rPr>
          <w:color w:val="231F20"/>
          <w:w w:val="105"/>
        </w:rPr>
        <w:t>centros</w:t>
      </w:r>
      <w:r>
        <w:rPr>
          <w:color w:val="231F20"/>
          <w:spacing w:val="-13"/>
          <w:w w:val="105"/>
        </w:rPr>
        <w:t> </w:t>
      </w:r>
      <w:r>
        <w:rPr>
          <w:color w:val="231F20"/>
          <w:w w:val="105"/>
        </w:rPr>
        <w:t>de</w:t>
      </w:r>
      <w:r>
        <w:rPr>
          <w:color w:val="231F20"/>
          <w:spacing w:val="-13"/>
          <w:w w:val="105"/>
        </w:rPr>
        <w:t> </w:t>
      </w:r>
      <w:r>
        <w:rPr>
          <w:color w:val="231F20"/>
          <w:w w:val="105"/>
        </w:rPr>
        <w:t>investigación,</w:t>
      </w:r>
      <w:r>
        <w:rPr>
          <w:color w:val="231F20"/>
          <w:spacing w:val="-18"/>
          <w:w w:val="105"/>
        </w:rPr>
        <w:t> </w:t>
      </w:r>
      <w:r>
        <w:rPr>
          <w:color w:val="231F20"/>
          <w:w w:val="105"/>
        </w:rPr>
        <w:t>cultura),</w:t>
      </w:r>
      <w:r>
        <w:rPr>
          <w:color w:val="231F20"/>
          <w:spacing w:val="-18"/>
          <w:w w:val="105"/>
        </w:rPr>
        <w:t> </w:t>
      </w:r>
      <w:r>
        <w:rPr>
          <w:color w:val="231F20"/>
          <w:w w:val="105"/>
        </w:rPr>
        <w:t>fuerza</w:t>
      </w:r>
      <w:r>
        <w:rPr>
          <w:color w:val="231F20"/>
          <w:spacing w:val="-13"/>
          <w:w w:val="105"/>
        </w:rPr>
        <w:t> </w:t>
      </w:r>
      <w:r>
        <w:rPr>
          <w:color w:val="231F20"/>
          <w:w w:val="105"/>
        </w:rPr>
        <w:t>de</w:t>
      </w:r>
      <w:r>
        <w:rPr>
          <w:color w:val="231F20"/>
          <w:spacing w:val="-13"/>
          <w:w w:val="105"/>
        </w:rPr>
        <w:t> </w:t>
      </w:r>
      <w:r>
        <w:rPr>
          <w:color w:val="231F20"/>
          <w:w w:val="105"/>
        </w:rPr>
        <w:t>trabajo, capacidad de innovación tecnológica y empresarial, cooperación inter empresarial, gobiernos locales promotores del desarrollo económico, entorno</w:t>
      </w:r>
      <w:r>
        <w:rPr>
          <w:color w:val="231F20"/>
          <w:spacing w:val="-18"/>
          <w:w w:val="105"/>
        </w:rPr>
        <w:t> </w:t>
      </w:r>
      <w:r>
        <w:rPr>
          <w:color w:val="231F20"/>
          <w:w w:val="105"/>
        </w:rPr>
        <w:t>institucional</w:t>
      </w:r>
      <w:r>
        <w:rPr>
          <w:color w:val="231F20"/>
          <w:spacing w:val="-18"/>
          <w:w w:val="105"/>
        </w:rPr>
        <w:t> </w:t>
      </w:r>
      <w:r>
        <w:rPr>
          <w:color w:val="231F20"/>
          <w:w w:val="105"/>
        </w:rPr>
        <w:t>propicio</w:t>
      </w:r>
      <w:r>
        <w:rPr>
          <w:color w:val="231F20"/>
          <w:spacing w:val="-18"/>
          <w:w w:val="105"/>
        </w:rPr>
        <w:t> </w:t>
      </w:r>
      <w:r>
        <w:rPr>
          <w:color w:val="231F20"/>
          <w:w w:val="105"/>
        </w:rPr>
        <w:t>(calidad</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regulaciones)</w:t>
      </w:r>
      <w:r>
        <w:rPr>
          <w:color w:val="231F20"/>
          <w:spacing w:val="-18"/>
          <w:w w:val="105"/>
        </w:rPr>
        <w:t> </w:t>
      </w:r>
      <w:r>
        <w:rPr>
          <w:color w:val="231F20"/>
          <w:w w:val="105"/>
        </w:rPr>
        <w:t>y</w:t>
      </w:r>
      <w:r>
        <w:rPr>
          <w:color w:val="231F20"/>
          <w:spacing w:val="-18"/>
          <w:w w:val="105"/>
        </w:rPr>
        <w:t> </w:t>
      </w:r>
      <w:r>
        <w:rPr>
          <w:color w:val="231F20"/>
          <w:w w:val="105"/>
        </w:rPr>
        <w:t>pertenencia a</w:t>
      </w:r>
      <w:r>
        <w:rPr>
          <w:color w:val="231F20"/>
          <w:spacing w:val="-12"/>
          <w:w w:val="105"/>
        </w:rPr>
        <w:t> </w:t>
      </w:r>
      <w:r>
        <w:rPr>
          <w:color w:val="231F20"/>
          <w:w w:val="105"/>
        </w:rPr>
        <w:t>redes</w:t>
      </w:r>
      <w:r>
        <w:rPr>
          <w:color w:val="231F20"/>
          <w:spacing w:val="-12"/>
          <w:w w:val="105"/>
        </w:rPr>
        <w:t> </w:t>
      </w:r>
      <w:r>
        <w:rPr>
          <w:color w:val="231F20"/>
          <w:w w:val="105"/>
        </w:rPr>
        <w:t>de</w:t>
      </w:r>
      <w:r>
        <w:rPr>
          <w:color w:val="231F20"/>
          <w:spacing w:val="-12"/>
          <w:w w:val="105"/>
        </w:rPr>
        <w:t> </w:t>
      </w:r>
      <w:r>
        <w:rPr>
          <w:color w:val="231F20"/>
          <w:w w:val="105"/>
        </w:rPr>
        <w:t>cooperación</w:t>
      </w:r>
      <w:r>
        <w:rPr>
          <w:color w:val="231F20"/>
          <w:spacing w:val="-12"/>
          <w:w w:val="105"/>
        </w:rPr>
        <w:t> </w:t>
      </w:r>
      <w:r>
        <w:rPr>
          <w:color w:val="231F20"/>
          <w:w w:val="105"/>
        </w:rPr>
        <w:t>entre</w:t>
      </w:r>
      <w:r>
        <w:rPr>
          <w:color w:val="231F20"/>
          <w:spacing w:val="-12"/>
          <w:w w:val="105"/>
        </w:rPr>
        <w:t> </w:t>
      </w:r>
      <w:r>
        <w:rPr>
          <w:color w:val="231F20"/>
          <w:w w:val="105"/>
        </w:rPr>
        <w:t>ciudades</w:t>
      </w:r>
      <w:r>
        <w:rPr>
          <w:color w:val="231F20"/>
          <w:spacing w:val="-12"/>
          <w:w w:val="105"/>
        </w:rPr>
        <w:t> </w:t>
      </w:r>
      <w:r>
        <w:rPr>
          <w:color w:val="231F20"/>
          <w:w w:val="105"/>
        </w:rPr>
        <w:t>y</w:t>
      </w:r>
      <w:r>
        <w:rPr>
          <w:color w:val="231F20"/>
          <w:spacing w:val="-12"/>
          <w:w w:val="105"/>
        </w:rPr>
        <w:t> </w:t>
      </w:r>
      <w:r>
        <w:rPr>
          <w:color w:val="231F20"/>
          <w:w w:val="105"/>
        </w:rPr>
        <w:t>gobiernos.</w:t>
      </w:r>
    </w:p>
    <w:p>
      <w:pPr>
        <w:pStyle w:val="BodyText"/>
        <w:spacing w:line="259" w:lineRule="auto"/>
        <w:ind w:left="117" w:right="115" w:firstLine="567"/>
        <w:jc w:val="both"/>
      </w:pPr>
      <w:r>
        <w:rPr>
          <w:color w:val="231F20"/>
        </w:rPr>
        <w:t>En</w:t>
      </w:r>
      <w:r>
        <w:rPr>
          <w:color w:val="231F20"/>
          <w:spacing w:val="-7"/>
        </w:rPr>
        <w:t> </w:t>
      </w:r>
      <w:r>
        <w:rPr>
          <w:color w:val="231F20"/>
        </w:rPr>
        <w:t>el</w:t>
      </w:r>
      <w:r>
        <w:rPr>
          <w:color w:val="231F20"/>
          <w:spacing w:val="-7"/>
        </w:rPr>
        <w:t> </w:t>
      </w:r>
      <w:r>
        <w:rPr>
          <w:color w:val="231F20"/>
        </w:rPr>
        <w:t>caso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economías</w:t>
      </w:r>
      <w:r>
        <w:rPr>
          <w:color w:val="231F20"/>
          <w:spacing w:val="-7"/>
        </w:rPr>
        <w:t> </w:t>
      </w:r>
      <w:r>
        <w:rPr>
          <w:color w:val="231F20"/>
        </w:rPr>
        <w:t>latinoamericanas,</w:t>
      </w:r>
      <w:r>
        <w:rPr>
          <w:color w:val="231F20"/>
          <w:spacing w:val="-14"/>
        </w:rPr>
        <w:t> </w:t>
      </w:r>
      <w:r>
        <w:rPr>
          <w:color w:val="231F20"/>
        </w:rPr>
        <w:t>incluida</w:t>
      </w:r>
      <w:r>
        <w:rPr>
          <w:color w:val="231F20"/>
          <w:spacing w:val="-7"/>
        </w:rPr>
        <w:t> </w:t>
      </w:r>
      <w:r>
        <w:rPr>
          <w:color w:val="231F20"/>
        </w:rPr>
        <w:t>la</w:t>
      </w:r>
      <w:r>
        <w:rPr>
          <w:color w:val="231F20"/>
          <w:spacing w:val="-7"/>
        </w:rPr>
        <w:t> </w:t>
      </w:r>
      <w:r>
        <w:rPr>
          <w:color w:val="231F20"/>
          <w:spacing w:val="-3"/>
        </w:rPr>
        <w:t>mexicana, </w:t>
      </w:r>
      <w:r>
        <w:rPr>
          <w:color w:val="231F20"/>
        </w:rPr>
        <w:t>los elementos competitivos más significativos que </w:t>
      </w:r>
      <w:r>
        <w:rPr>
          <w:color w:val="231F20"/>
          <w:spacing w:val="-3"/>
        </w:rPr>
        <w:t>ofrecen </w:t>
      </w:r>
      <w:r>
        <w:rPr>
          <w:color w:val="231F20"/>
        </w:rPr>
        <w:t>sus principales </w:t>
      </w:r>
      <w:r>
        <w:rPr>
          <w:color w:val="231F20"/>
          <w:spacing w:val="-3"/>
        </w:rPr>
        <w:t>áreas metropolitanas </w:t>
      </w:r>
      <w:r>
        <w:rPr>
          <w:color w:val="231F20"/>
        </w:rPr>
        <w:t>es la abundante disponibilidad de mano de obra, cu- yos salarios suelen ser más bajos que los de las economías </w:t>
      </w:r>
      <w:r>
        <w:rPr>
          <w:color w:val="231F20"/>
          <w:spacing w:val="-3"/>
        </w:rPr>
        <w:t>desarrolladas </w:t>
      </w:r>
      <w:r>
        <w:rPr>
          <w:color w:val="231F20"/>
        </w:rPr>
        <w:t>o incluso de otras economías en vías de </w:t>
      </w:r>
      <w:r>
        <w:rPr>
          <w:color w:val="231F20"/>
          <w:spacing w:val="-3"/>
        </w:rPr>
        <w:t>desarrollo (Fritzsche </w:t>
      </w:r>
      <w:r>
        <w:rPr>
          <w:color w:val="231F20"/>
        </w:rPr>
        <w:t>y </w:t>
      </w:r>
      <w:r>
        <w:rPr>
          <w:color w:val="231F20"/>
          <w:spacing w:val="-3"/>
        </w:rPr>
        <w:t>Vio, </w:t>
      </w:r>
      <w:r>
        <w:rPr>
          <w:color w:val="231F20"/>
          <w:spacing w:val="-2"/>
        </w:rPr>
        <w:t>2000). </w:t>
      </w:r>
      <w:r>
        <w:rPr>
          <w:color w:val="231F20"/>
          <w:spacing w:val="-6"/>
        </w:rPr>
        <w:t>Pero </w:t>
      </w:r>
      <w:r>
        <w:rPr>
          <w:color w:val="231F20"/>
        </w:rPr>
        <w:t>también se ha señalado que no se </w:t>
      </w:r>
      <w:r>
        <w:rPr>
          <w:color w:val="231F20"/>
          <w:spacing w:val="-3"/>
        </w:rPr>
        <w:t>trata </w:t>
      </w:r>
      <w:r>
        <w:rPr>
          <w:color w:val="231F20"/>
        </w:rPr>
        <w:t>de </w:t>
      </w:r>
      <w:r>
        <w:rPr>
          <w:color w:val="231F20"/>
          <w:spacing w:val="-3"/>
        </w:rPr>
        <w:t>otorgar </w:t>
      </w:r>
      <w:r>
        <w:rPr>
          <w:color w:val="231F20"/>
        </w:rPr>
        <w:t>mayor competiti- vidad por la vía de deprimir más las </w:t>
      </w:r>
      <w:r>
        <w:rPr>
          <w:color w:val="231F20"/>
          <w:spacing w:val="-3"/>
        </w:rPr>
        <w:t>remuneraciones </w:t>
      </w:r>
      <w:r>
        <w:rPr>
          <w:color w:val="231F20"/>
        </w:rPr>
        <w:t>de los </w:t>
      </w:r>
      <w:r>
        <w:rPr>
          <w:color w:val="231F20"/>
          <w:spacing w:val="-3"/>
        </w:rPr>
        <w:t>trabajadores, </w:t>
      </w:r>
      <w:r>
        <w:rPr>
          <w:color w:val="231F20"/>
        </w:rPr>
        <w:t>sino de </w:t>
      </w:r>
      <w:r>
        <w:rPr>
          <w:color w:val="231F20"/>
          <w:spacing w:val="-3"/>
        </w:rPr>
        <w:t>crear mejores </w:t>
      </w:r>
      <w:r>
        <w:rPr>
          <w:color w:val="231F20"/>
        </w:rPr>
        <w:t>condiciones capacitando más a la fuerza de </w:t>
      </w:r>
      <w:r>
        <w:rPr>
          <w:color w:val="231F20"/>
          <w:spacing w:val="-3"/>
        </w:rPr>
        <w:t>trabajo, </w:t>
      </w:r>
      <w:r>
        <w:rPr>
          <w:color w:val="231F20"/>
        </w:rPr>
        <w:t>elevando la </w:t>
      </w:r>
      <w:r>
        <w:rPr>
          <w:color w:val="231F20"/>
          <w:spacing w:val="-3"/>
        </w:rPr>
        <w:t>productividad </w:t>
      </w:r>
      <w:r>
        <w:rPr>
          <w:color w:val="231F20"/>
        </w:rPr>
        <w:t>y ofertando </w:t>
      </w:r>
      <w:r>
        <w:rPr>
          <w:color w:val="231F20"/>
          <w:spacing w:val="-3"/>
        </w:rPr>
        <w:t>mejores </w:t>
      </w:r>
      <w:r>
        <w:rPr>
          <w:color w:val="231F20"/>
        </w:rPr>
        <w:t>condiciones urbano-am- bientales e institucionales, principalmente en términos de </w:t>
      </w:r>
      <w:r>
        <w:rPr>
          <w:color w:val="231F20"/>
          <w:spacing w:val="-3"/>
        </w:rPr>
        <w:t>infraestructura </w:t>
      </w:r>
      <w:r>
        <w:rPr>
          <w:color w:val="231F20"/>
        </w:rPr>
        <w:t>básica y de comunicaciones, calidad de los servicios especializados, inno- vaciones tecnológicas, medio ambiente sustentable, instituciones </w:t>
      </w:r>
      <w:r>
        <w:rPr>
          <w:color w:val="231F20"/>
          <w:spacing w:val="-2"/>
        </w:rPr>
        <w:t>trans- </w:t>
      </w:r>
      <w:r>
        <w:rPr>
          <w:color w:val="231F20"/>
          <w:spacing w:val="-3"/>
        </w:rPr>
        <w:t>parentes, </w:t>
      </w:r>
      <w:r>
        <w:rPr>
          <w:color w:val="231F20"/>
        </w:rPr>
        <w:t>calidad en las </w:t>
      </w:r>
      <w:r>
        <w:rPr>
          <w:color w:val="231F20"/>
          <w:spacing w:val="-3"/>
        </w:rPr>
        <w:t>regulaciones, </w:t>
      </w:r>
      <w:r>
        <w:rPr>
          <w:color w:val="231F20"/>
        </w:rPr>
        <w:t>combate a la inseguridad y </w:t>
      </w:r>
      <w:r>
        <w:rPr>
          <w:color w:val="231F20"/>
          <w:spacing w:val="-3"/>
        </w:rPr>
        <w:t>promo- </w:t>
      </w:r>
      <w:r>
        <w:rPr>
          <w:color w:val="231F20"/>
        </w:rPr>
        <w:t>ción de la cohesión social; es </w:t>
      </w:r>
      <w:r>
        <w:rPr>
          <w:color w:val="231F20"/>
          <w:spacing w:val="-4"/>
        </w:rPr>
        <w:t>decir, </w:t>
      </w:r>
      <w:r>
        <w:rPr>
          <w:color w:val="231F20"/>
          <w:spacing w:val="-3"/>
        </w:rPr>
        <w:t>mejores </w:t>
      </w:r>
      <w:r>
        <w:rPr>
          <w:color w:val="231F20"/>
        </w:rPr>
        <w:t>condiciones </w:t>
      </w:r>
      <w:r>
        <w:rPr>
          <w:color w:val="231F20"/>
          <w:spacing w:val="-2"/>
        </w:rPr>
        <w:t>generales </w:t>
      </w:r>
      <w:r>
        <w:rPr>
          <w:color w:val="231F20"/>
        </w:rPr>
        <w:t>para la </w:t>
      </w:r>
      <w:r>
        <w:rPr>
          <w:color w:val="231F20"/>
          <w:spacing w:val="-3"/>
        </w:rPr>
        <w:t>producción </w:t>
      </w:r>
      <w:r>
        <w:rPr>
          <w:color w:val="231F20"/>
        </w:rPr>
        <w:t>económica y para el </w:t>
      </w:r>
      <w:r>
        <w:rPr>
          <w:color w:val="231F20"/>
          <w:spacing w:val="-3"/>
        </w:rPr>
        <w:t>desarrollo </w:t>
      </w:r>
      <w:r>
        <w:rPr>
          <w:color w:val="231F20"/>
        </w:rPr>
        <w:t>de la vida  </w:t>
      </w:r>
      <w:r>
        <w:rPr>
          <w:color w:val="231F20"/>
          <w:spacing w:val="19"/>
        </w:rPr>
        <w:t> </w:t>
      </w:r>
      <w:r>
        <w:rPr>
          <w:color w:val="231F20"/>
        </w:rPr>
        <w:t>social.</w:t>
      </w:r>
    </w:p>
    <w:p>
      <w:pPr>
        <w:pStyle w:val="BodyText"/>
        <w:rPr>
          <w:sz w:val="20"/>
        </w:rPr>
      </w:pPr>
    </w:p>
    <w:p>
      <w:pPr>
        <w:pStyle w:val="BodyText"/>
        <w:spacing w:before="7"/>
        <w:rPr>
          <w:sz w:val="18"/>
        </w:rPr>
      </w:pPr>
    </w:p>
    <w:p>
      <w:pPr>
        <w:pStyle w:val="Heading2"/>
      </w:pPr>
      <w:r>
        <w:rPr>
          <w:color w:val="231F20"/>
          <w:w w:val="95"/>
        </w:rPr>
        <w:t>Aprendizaje  organizacional</w:t>
      </w:r>
    </w:p>
    <w:p>
      <w:pPr>
        <w:pStyle w:val="BodyText"/>
        <w:rPr>
          <w:b/>
          <w:sz w:val="22"/>
        </w:rPr>
      </w:pPr>
    </w:p>
    <w:p>
      <w:pPr>
        <w:pStyle w:val="BodyText"/>
        <w:spacing w:line="259" w:lineRule="auto" w:before="160"/>
        <w:ind w:left="117" w:right="121"/>
        <w:jc w:val="both"/>
      </w:pPr>
      <w:r>
        <w:rPr>
          <w:color w:val="231F20"/>
          <w:w w:val="105"/>
        </w:rPr>
        <w:t>A finales de la década de los setenta y mediados de los ochenta, sur- ge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lenguaje</w:t>
      </w:r>
      <w:r>
        <w:rPr>
          <w:color w:val="231F20"/>
          <w:spacing w:val="-8"/>
          <w:w w:val="105"/>
        </w:rPr>
        <w:t> </w:t>
      </w:r>
      <w:r>
        <w:rPr>
          <w:color w:val="231F20"/>
          <w:w w:val="105"/>
        </w:rPr>
        <w:t>administrativo</w:t>
      </w:r>
      <w:r>
        <w:rPr>
          <w:color w:val="231F20"/>
          <w:spacing w:val="-8"/>
          <w:w w:val="105"/>
        </w:rPr>
        <w:t> </w:t>
      </w:r>
      <w:r>
        <w:rPr>
          <w:color w:val="231F20"/>
          <w:w w:val="105"/>
        </w:rPr>
        <w:t>el</w:t>
      </w:r>
      <w:r>
        <w:rPr>
          <w:color w:val="231F20"/>
          <w:spacing w:val="-8"/>
          <w:w w:val="105"/>
        </w:rPr>
        <w:t> </w:t>
      </w:r>
      <w:r>
        <w:rPr>
          <w:color w:val="231F20"/>
          <w:w w:val="105"/>
        </w:rPr>
        <w:t>concepto</w:t>
      </w:r>
      <w:r>
        <w:rPr>
          <w:color w:val="231F20"/>
          <w:spacing w:val="-8"/>
          <w:w w:val="105"/>
        </w:rPr>
        <w:t> </w:t>
      </w:r>
      <w:r>
        <w:rPr>
          <w:color w:val="231F20"/>
          <w:w w:val="105"/>
        </w:rPr>
        <w:t>aprendizaje</w:t>
      </w:r>
      <w:r>
        <w:rPr>
          <w:color w:val="231F20"/>
          <w:spacing w:val="-8"/>
          <w:w w:val="105"/>
        </w:rPr>
        <w:t> </w:t>
      </w:r>
      <w:r>
        <w:rPr>
          <w:color w:val="231F20"/>
          <w:w w:val="105"/>
        </w:rPr>
        <w:t>organizacional</w:t>
      </w:r>
    </w:p>
    <w:p>
      <w:pPr>
        <w:spacing w:after="0" w:line="259" w:lineRule="auto"/>
        <w:jc w:val="both"/>
        <w:sectPr>
          <w:pgSz w:w="9640" w:h="13890"/>
          <w:pgMar w:top="0" w:bottom="280" w:left="1300" w:right="1180"/>
        </w:sectPr>
      </w:pPr>
    </w:p>
    <w:p>
      <w:pPr>
        <w:pStyle w:val="BodyText"/>
        <w:spacing w:line="259" w:lineRule="auto" w:before="120"/>
        <w:ind w:left="123" w:right="135"/>
        <w:jc w:val="both"/>
      </w:pPr>
      <w:r>
        <w:rPr>
          <w:color w:val="231F20"/>
        </w:rPr>
        <w:t>(Argyris y Schön, 1978; Fiol y Lyles, 1985). Hoy por hoy, el término cobra cada vez mayor fuerza y la literatura es abundante. La figura 2 contiebne diversas definiciones sobre el término y alguna(s) característica(s) que se han incorporado a la  discusión.</w:t>
      </w:r>
    </w:p>
    <w:p>
      <w:pPr>
        <w:pStyle w:val="BodyText"/>
        <w:spacing w:line="259" w:lineRule="auto"/>
        <w:ind w:left="123" w:right="134" w:firstLine="567"/>
        <w:jc w:val="both"/>
      </w:pPr>
      <w:r>
        <w:rPr>
          <w:color w:val="231F20"/>
        </w:rPr>
        <w:t>El aprendizaje organizacional está presente en todos los niveles en la organización. Crossan </w:t>
      </w:r>
      <w:r>
        <w:rPr>
          <w:i/>
          <w:color w:val="231F20"/>
        </w:rPr>
        <w:t>et al </w:t>
      </w:r>
      <w:r>
        <w:rPr>
          <w:color w:val="231F20"/>
        </w:rPr>
        <w:t>(1999) mencionan tres: individual, grupal y organizacional, los cuales están ligados a cuatro subprocesos: la intuición y la interpretación (que ocurren en el nivel individual); la interpretación y  la integración (que se presentan a nivel grupal); la integración y la institu- cionalización (que se dan a nivel organizacional). Los niveles van unidos  a la estructura organizativa y constituyen un aspecto fundamental en el estudio  del  aprendizaje</w:t>
      </w:r>
      <w:r>
        <w:rPr>
          <w:color w:val="231F20"/>
          <w:spacing w:val="7"/>
        </w:rPr>
        <w:t> </w:t>
      </w:r>
      <w:r>
        <w:rPr>
          <w:color w:val="231F20"/>
        </w:rPr>
        <w:t>organizacional.</w:t>
      </w:r>
    </w:p>
    <w:p>
      <w:pPr>
        <w:pStyle w:val="BodyText"/>
        <w:spacing w:line="259" w:lineRule="auto"/>
        <w:ind w:left="123" w:right="131" w:firstLine="567"/>
        <w:jc w:val="both"/>
      </w:pPr>
      <w:r>
        <w:rPr>
          <w:color w:val="231F20"/>
          <w:w w:val="105"/>
        </w:rPr>
        <w:t>En</w:t>
      </w:r>
      <w:r>
        <w:rPr>
          <w:color w:val="231F20"/>
          <w:spacing w:val="-29"/>
          <w:w w:val="105"/>
        </w:rPr>
        <w:t> </w:t>
      </w:r>
      <w:r>
        <w:rPr>
          <w:color w:val="231F20"/>
          <w:w w:val="105"/>
        </w:rPr>
        <w:t>sus</w:t>
      </w:r>
      <w:r>
        <w:rPr>
          <w:color w:val="231F20"/>
          <w:spacing w:val="-29"/>
          <w:w w:val="105"/>
        </w:rPr>
        <w:t> </w:t>
      </w:r>
      <w:r>
        <w:rPr>
          <w:color w:val="231F20"/>
          <w:spacing w:val="-3"/>
          <w:w w:val="105"/>
        </w:rPr>
        <w:t>investigaciones</w:t>
      </w:r>
      <w:r>
        <w:rPr>
          <w:color w:val="231F20"/>
          <w:spacing w:val="-31"/>
          <w:w w:val="105"/>
        </w:rPr>
        <w:t> </w:t>
      </w:r>
      <w:r>
        <w:rPr>
          <w:color w:val="231F20"/>
          <w:spacing w:val="-3"/>
          <w:w w:val="105"/>
        </w:rPr>
        <w:t>Argyris</w:t>
      </w:r>
      <w:r>
        <w:rPr>
          <w:color w:val="231F20"/>
          <w:spacing w:val="-29"/>
          <w:w w:val="105"/>
        </w:rPr>
        <w:t> </w:t>
      </w:r>
      <w:r>
        <w:rPr>
          <w:color w:val="231F20"/>
          <w:spacing w:val="-3"/>
          <w:w w:val="105"/>
        </w:rPr>
        <w:t>(2001)</w:t>
      </w:r>
      <w:r>
        <w:rPr>
          <w:color w:val="231F20"/>
          <w:spacing w:val="-29"/>
          <w:w w:val="105"/>
        </w:rPr>
        <w:t> </w:t>
      </w:r>
      <w:r>
        <w:rPr>
          <w:color w:val="231F20"/>
          <w:spacing w:val="-3"/>
          <w:w w:val="105"/>
        </w:rPr>
        <w:t>encontró</w:t>
      </w:r>
      <w:r>
        <w:rPr>
          <w:color w:val="231F20"/>
          <w:spacing w:val="-29"/>
          <w:w w:val="105"/>
        </w:rPr>
        <w:t> </w:t>
      </w:r>
      <w:r>
        <w:rPr>
          <w:color w:val="231F20"/>
          <w:spacing w:val="-3"/>
          <w:w w:val="105"/>
        </w:rPr>
        <w:t>vínculos</w:t>
      </w:r>
      <w:r>
        <w:rPr>
          <w:color w:val="231F20"/>
          <w:spacing w:val="-29"/>
          <w:w w:val="105"/>
        </w:rPr>
        <w:t> </w:t>
      </w:r>
      <w:r>
        <w:rPr>
          <w:color w:val="231F20"/>
          <w:spacing w:val="-3"/>
          <w:w w:val="105"/>
        </w:rPr>
        <w:t>causales</w:t>
      </w:r>
      <w:r>
        <w:rPr>
          <w:color w:val="231F20"/>
          <w:spacing w:val="-29"/>
          <w:w w:val="105"/>
        </w:rPr>
        <w:t> </w:t>
      </w:r>
      <w:r>
        <w:rPr>
          <w:color w:val="231F20"/>
          <w:spacing w:val="-3"/>
          <w:w w:val="105"/>
        </w:rPr>
        <w:t>en tres</w:t>
      </w:r>
      <w:r>
        <w:rPr>
          <w:color w:val="231F20"/>
          <w:spacing w:val="-15"/>
          <w:w w:val="105"/>
        </w:rPr>
        <w:t> </w:t>
      </w:r>
      <w:r>
        <w:rPr>
          <w:color w:val="231F20"/>
          <w:spacing w:val="-3"/>
          <w:w w:val="105"/>
        </w:rPr>
        <w:t>niveles</w:t>
      </w:r>
      <w:r>
        <w:rPr>
          <w:color w:val="231F20"/>
          <w:spacing w:val="-15"/>
          <w:w w:val="105"/>
        </w:rPr>
        <w:t> </w:t>
      </w:r>
      <w:r>
        <w:rPr>
          <w:color w:val="231F20"/>
          <w:w w:val="105"/>
        </w:rPr>
        <w:t>de</w:t>
      </w:r>
      <w:r>
        <w:rPr>
          <w:color w:val="231F20"/>
          <w:spacing w:val="-15"/>
          <w:w w:val="105"/>
        </w:rPr>
        <w:t> </w:t>
      </w:r>
      <w:r>
        <w:rPr>
          <w:color w:val="231F20"/>
          <w:spacing w:val="-3"/>
          <w:w w:val="105"/>
        </w:rPr>
        <w:t>agregación:</w:t>
      </w:r>
      <w:r>
        <w:rPr>
          <w:color w:val="231F20"/>
          <w:spacing w:val="-15"/>
          <w:w w:val="105"/>
        </w:rPr>
        <w:t> </w:t>
      </w:r>
      <w:r>
        <w:rPr>
          <w:color w:val="231F20"/>
          <w:spacing w:val="-3"/>
          <w:w w:val="105"/>
        </w:rPr>
        <w:t>indagación</w:t>
      </w:r>
      <w:r>
        <w:rPr>
          <w:color w:val="231F20"/>
          <w:spacing w:val="-15"/>
          <w:w w:val="105"/>
        </w:rPr>
        <w:t> </w:t>
      </w:r>
      <w:r>
        <w:rPr>
          <w:color w:val="231F20"/>
          <w:spacing w:val="-3"/>
          <w:w w:val="105"/>
        </w:rPr>
        <w:t>interpersonal,</w:t>
      </w:r>
      <w:r>
        <w:rPr>
          <w:color w:val="231F20"/>
          <w:spacing w:val="-20"/>
          <w:w w:val="105"/>
        </w:rPr>
        <w:t> </w:t>
      </w:r>
      <w:r>
        <w:rPr>
          <w:color w:val="231F20"/>
          <w:spacing w:val="-3"/>
          <w:w w:val="105"/>
        </w:rPr>
        <w:t>interacciones</w:t>
      </w:r>
      <w:r>
        <w:rPr>
          <w:color w:val="231F20"/>
          <w:spacing w:val="-15"/>
          <w:w w:val="105"/>
        </w:rPr>
        <w:t> </w:t>
      </w:r>
      <w:r>
        <w:rPr>
          <w:color w:val="231F20"/>
          <w:w w:val="105"/>
        </w:rPr>
        <w:t>de</w:t>
      </w:r>
      <w:r>
        <w:rPr>
          <w:color w:val="231F20"/>
          <w:spacing w:val="-15"/>
          <w:w w:val="105"/>
        </w:rPr>
        <w:t> </w:t>
      </w:r>
      <w:r>
        <w:rPr>
          <w:color w:val="231F20"/>
          <w:spacing w:val="-3"/>
          <w:w w:val="105"/>
        </w:rPr>
        <w:t>las subunidades organizacionales </w:t>
      </w:r>
      <w:r>
        <w:rPr>
          <w:color w:val="231F20"/>
          <w:w w:val="105"/>
        </w:rPr>
        <w:t>y las </w:t>
      </w:r>
      <w:r>
        <w:rPr>
          <w:color w:val="231F20"/>
          <w:spacing w:val="-3"/>
          <w:w w:val="105"/>
        </w:rPr>
        <w:t>pautas </w:t>
      </w:r>
      <w:r>
        <w:rPr>
          <w:color w:val="231F20"/>
          <w:w w:val="105"/>
        </w:rPr>
        <w:t>de </w:t>
      </w:r>
      <w:r>
        <w:rPr>
          <w:color w:val="231F20"/>
          <w:spacing w:val="-3"/>
          <w:w w:val="105"/>
        </w:rPr>
        <w:t>acción </w:t>
      </w:r>
      <w:r>
        <w:rPr>
          <w:color w:val="231F20"/>
          <w:w w:val="105"/>
        </w:rPr>
        <w:t>de la </w:t>
      </w:r>
      <w:r>
        <w:rPr>
          <w:color w:val="231F20"/>
          <w:spacing w:val="-4"/>
          <w:w w:val="105"/>
        </w:rPr>
        <w:t>organización </w:t>
      </w:r>
      <w:r>
        <w:rPr>
          <w:color w:val="231F20"/>
          <w:w w:val="105"/>
        </w:rPr>
        <w:t>en su </w:t>
      </w:r>
      <w:r>
        <w:rPr>
          <w:color w:val="231F20"/>
          <w:spacing w:val="-3"/>
          <w:w w:val="105"/>
        </w:rPr>
        <w:t>totalidad. Esto significa </w:t>
      </w:r>
      <w:r>
        <w:rPr>
          <w:color w:val="231F20"/>
          <w:w w:val="105"/>
        </w:rPr>
        <w:t>que no </w:t>
      </w:r>
      <w:r>
        <w:rPr>
          <w:color w:val="231F20"/>
          <w:spacing w:val="-3"/>
          <w:w w:val="105"/>
        </w:rPr>
        <w:t>pueden explicarse </w:t>
      </w:r>
      <w:r>
        <w:rPr>
          <w:color w:val="231F20"/>
          <w:w w:val="105"/>
        </w:rPr>
        <w:t>los </w:t>
      </w:r>
      <w:r>
        <w:rPr>
          <w:color w:val="231F20"/>
          <w:spacing w:val="-3"/>
          <w:w w:val="105"/>
        </w:rPr>
        <w:t>fenómenos observados</w:t>
      </w:r>
      <w:r>
        <w:rPr>
          <w:color w:val="231F20"/>
          <w:spacing w:val="-11"/>
          <w:w w:val="105"/>
        </w:rPr>
        <w:t> </w:t>
      </w:r>
      <w:r>
        <w:rPr>
          <w:color w:val="231F20"/>
          <w:w w:val="105"/>
        </w:rPr>
        <w:t>a</w:t>
      </w:r>
      <w:r>
        <w:rPr>
          <w:color w:val="231F20"/>
          <w:spacing w:val="-11"/>
          <w:w w:val="105"/>
        </w:rPr>
        <w:t> </w:t>
      </w:r>
      <w:r>
        <w:rPr>
          <w:color w:val="231F20"/>
          <w:spacing w:val="-3"/>
          <w:w w:val="105"/>
        </w:rPr>
        <w:t>nivel</w:t>
      </w:r>
      <w:r>
        <w:rPr>
          <w:color w:val="231F20"/>
          <w:spacing w:val="-11"/>
          <w:w w:val="105"/>
        </w:rPr>
        <w:t> </w:t>
      </w:r>
      <w:r>
        <w:rPr>
          <w:color w:val="231F20"/>
          <w:w w:val="105"/>
        </w:rPr>
        <w:t>de</w:t>
      </w:r>
      <w:r>
        <w:rPr>
          <w:color w:val="231F20"/>
          <w:spacing w:val="-11"/>
          <w:w w:val="105"/>
        </w:rPr>
        <w:t> </w:t>
      </w:r>
      <w:r>
        <w:rPr>
          <w:color w:val="231F20"/>
          <w:spacing w:val="-4"/>
          <w:w w:val="105"/>
        </w:rPr>
        <w:t>creación</w:t>
      </w:r>
      <w:r>
        <w:rPr>
          <w:color w:val="231F20"/>
          <w:spacing w:val="-11"/>
          <w:w w:val="105"/>
        </w:rPr>
        <w:t> </w:t>
      </w:r>
      <w:r>
        <w:rPr>
          <w:color w:val="231F20"/>
          <w:w w:val="105"/>
        </w:rPr>
        <w:t>de</w:t>
      </w:r>
      <w:r>
        <w:rPr>
          <w:color w:val="231F20"/>
          <w:spacing w:val="-11"/>
          <w:w w:val="105"/>
        </w:rPr>
        <w:t> </w:t>
      </w:r>
      <w:r>
        <w:rPr>
          <w:color w:val="231F20"/>
          <w:spacing w:val="-4"/>
          <w:w w:val="105"/>
        </w:rPr>
        <w:t>estrategia</w:t>
      </w:r>
      <w:r>
        <w:rPr>
          <w:color w:val="231F20"/>
          <w:spacing w:val="-11"/>
          <w:w w:val="105"/>
        </w:rPr>
        <w:t> </w:t>
      </w:r>
      <w:r>
        <w:rPr>
          <w:color w:val="231F20"/>
          <w:w w:val="105"/>
        </w:rPr>
        <w:t>o</w:t>
      </w:r>
      <w:r>
        <w:rPr>
          <w:color w:val="231F20"/>
          <w:spacing w:val="-11"/>
          <w:w w:val="105"/>
        </w:rPr>
        <w:t> </w:t>
      </w:r>
      <w:r>
        <w:rPr>
          <w:color w:val="231F20"/>
          <w:w w:val="105"/>
        </w:rPr>
        <w:t>de</w:t>
      </w:r>
      <w:r>
        <w:rPr>
          <w:color w:val="231F20"/>
          <w:spacing w:val="-11"/>
          <w:w w:val="105"/>
        </w:rPr>
        <w:t> </w:t>
      </w:r>
      <w:r>
        <w:rPr>
          <w:color w:val="231F20"/>
          <w:spacing w:val="-3"/>
          <w:w w:val="105"/>
        </w:rPr>
        <w:t>innovación</w:t>
      </w:r>
      <w:r>
        <w:rPr>
          <w:color w:val="231F20"/>
          <w:spacing w:val="-11"/>
          <w:w w:val="105"/>
        </w:rPr>
        <w:t> </w:t>
      </w:r>
      <w:r>
        <w:rPr>
          <w:color w:val="231F20"/>
          <w:spacing w:val="-3"/>
          <w:w w:val="105"/>
        </w:rPr>
        <w:t>tecnológica </w:t>
      </w:r>
      <w:r>
        <w:rPr>
          <w:color w:val="231F20"/>
          <w:w w:val="105"/>
        </w:rPr>
        <w:t>sin</w:t>
      </w:r>
      <w:r>
        <w:rPr>
          <w:color w:val="231F20"/>
          <w:spacing w:val="-30"/>
          <w:w w:val="105"/>
        </w:rPr>
        <w:t> </w:t>
      </w:r>
      <w:r>
        <w:rPr>
          <w:color w:val="231F20"/>
          <w:spacing w:val="-3"/>
          <w:w w:val="105"/>
        </w:rPr>
        <w:t>referirse</w:t>
      </w:r>
      <w:r>
        <w:rPr>
          <w:color w:val="231F20"/>
          <w:spacing w:val="-30"/>
          <w:w w:val="105"/>
        </w:rPr>
        <w:t> </w:t>
      </w:r>
      <w:r>
        <w:rPr>
          <w:color w:val="231F20"/>
          <w:w w:val="105"/>
        </w:rPr>
        <w:t>a</w:t>
      </w:r>
      <w:r>
        <w:rPr>
          <w:color w:val="231F20"/>
          <w:spacing w:val="-30"/>
          <w:w w:val="105"/>
        </w:rPr>
        <w:t> </w:t>
      </w:r>
      <w:r>
        <w:rPr>
          <w:color w:val="231F20"/>
          <w:w w:val="105"/>
        </w:rPr>
        <w:t>los</w:t>
      </w:r>
      <w:r>
        <w:rPr>
          <w:color w:val="231F20"/>
          <w:spacing w:val="-30"/>
          <w:w w:val="105"/>
        </w:rPr>
        <w:t> </w:t>
      </w:r>
      <w:r>
        <w:rPr>
          <w:color w:val="231F20"/>
          <w:spacing w:val="-3"/>
          <w:w w:val="105"/>
        </w:rPr>
        <w:t>procesos</w:t>
      </w:r>
      <w:r>
        <w:rPr>
          <w:color w:val="231F20"/>
          <w:spacing w:val="-30"/>
          <w:w w:val="105"/>
        </w:rPr>
        <w:t> </w:t>
      </w:r>
      <w:r>
        <w:rPr>
          <w:color w:val="231F20"/>
          <w:w w:val="105"/>
        </w:rPr>
        <w:t>de</w:t>
      </w:r>
      <w:r>
        <w:rPr>
          <w:color w:val="231F20"/>
          <w:spacing w:val="-30"/>
          <w:w w:val="105"/>
        </w:rPr>
        <w:t> </w:t>
      </w:r>
      <w:r>
        <w:rPr>
          <w:color w:val="231F20"/>
          <w:spacing w:val="-3"/>
          <w:w w:val="105"/>
        </w:rPr>
        <w:t>investigación</w:t>
      </w:r>
      <w:r>
        <w:rPr>
          <w:color w:val="231F20"/>
          <w:spacing w:val="-30"/>
          <w:w w:val="105"/>
        </w:rPr>
        <w:t> </w:t>
      </w:r>
      <w:r>
        <w:rPr>
          <w:color w:val="231F20"/>
          <w:spacing w:val="-3"/>
          <w:w w:val="105"/>
        </w:rPr>
        <w:t>individuales</w:t>
      </w:r>
      <w:r>
        <w:rPr>
          <w:color w:val="231F20"/>
          <w:spacing w:val="-30"/>
          <w:w w:val="105"/>
        </w:rPr>
        <w:t> </w:t>
      </w:r>
      <w:r>
        <w:rPr>
          <w:color w:val="231F20"/>
          <w:w w:val="105"/>
        </w:rPr>
        <w:t>e</w:t>
      </w:r>
      <w:r>
        <w:rPr>
          <w:color w:val="231F20"/>
          <w:spacing w:val="-30"/>
          <w:w w:val="105"/>
        </w:rPr>
        <w:t> </w:t>
      </w:r>
      <w:r>
        <w:rPr>
          <w:color w:val="231F20"/>
          <w:spacing w:val="-3"/>
          <w:w w:val="105"/>
        </w:rPr>
        <w:t>interpersonales.</w:t>
      </w:r>
    </w:p>
    <w:p>
      <w:pPr>
        <w:pStyle w:val="BodyText"/>
        <w:spacing w:before="2"/>
      </w:pPr>
    </w:p>
    <w:p>
      <w:pPr>
        <w:spacing w:before="0"/>
        <w:ind w:left="471" w:right="0" w:firstLine="0"/>
        <w:jc w:val="left"/>
        <w:rPr>
          <w:sz w:val="18"/>
        </w:rPr>
      </w:pPr>
      <w:r>
        <w:rPr>
          <w:color w:val="231F20"/>
          <w:w w:val="105"/>
          <w:sz w:val="18"/>
        </w:rPr>
        <w:t>Figura 2. Definiciones y características dle Aprendizaje Organizacional (AO)</w:t>
      </w:r>
    </w:p>
    <w:p>
      <w:pPr>
        <w:pStyle w:val="BodyText"/>
        <w:spacing w:before="5"/>
        <w:rPr>
          <w:sz w:val="13"/>
        </w:rPr>
      </w:pPr>
    </w:p>
    <w:tbl>
      <w:tblPr>
        <w:tblW w:w="0" w:type="auto"/>
        <w:jc w:val="left"/>
        <w:tblInd w:w="104"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54"/>
        <w:gridCol w:w="2681"/>
        <w:gridCol w:w="2515"/>
      </w:tblGrid>
      <w:tr>
        <w:trPr>
          <w:trHeight w:val="340" w:hRule="exact"/>
        </w:trPr>
        <w:tc>
          <w:tcPr>
            <w:tcW w:w="1754" w:type="dxa"/>
          </w:tcPr>
          <w:p>
            <w:pPr>
              <w:pStyle w:val="TableParagraph"/>
              <w:spacing w:before="88"/>
              <w:ind w:left="252" w:right="51"/>
              <w:rPr>
                <w:sz w:val="18"/>
              </w:rPr>
            </w:pPr>
            <w:r>
              <w:rPr>
                <w:color w:val="231F20"/>
                <w:w w:val="105"/>
                <w:sz w:val="18"/>
              </w:rPr>
              <w:t>Autor(es) y año</w:t>
            </w:r>
          </w:p>
        </w:tc>
        <w:tc>
          <w:tcPr>
            <w:tcW w:w="2681" w:type="dxa"/>
          </w:tcPr>
          <w:p>
            <w:pPr>
              <w:pStyle w:val="TableParagraph"/>
              <w:spacing w:before="88"/>
              <w:ind w:left="903" w:right="903"/>
              <w:jc w:val="center"/>
              <w:rPr>
                <w:sz w:val="18"/>
              </w:rPr>
            </w:pPr>
            <w:r>
              <w:rPr>
                <w:color w:val="231F20"/>
                <w:w w:val="105"/>
                <w:sz w:val="18"/>
              </w:rPr>
              <w:t>Definición</w:t>
            </w:r>
          </w:p>
        </w:tc>
        <w:tc>
          <w:tcPr>
            <w:tcW w:w="2515" w:type="dxa"/>
          </w:tcPr>
          <w:p>
            <w:pPr>
              <w:pStyle w:val="TableParagraph"/>
              <w:spacing w:before="88"/>
              <w:ind w:left="606" w:right="-7"/>
              <w:rPr>
                <w:sz w:val="18"/>
              </w:rPr>
            </w:pPr>
            <w:r>
              <w:rPr>
                <w:color w:val="231F20"/>
                <w:sz w:val="18"/>
              </w:rPr>
              <w:t>Característica(s)</w:t>
            </w:r>
          </w:p>
        </w:tc>
      </w:tr>
      <w:tr>
        <w:trPr>
          <w:trHeight w:val="772" w:hRule="exact"/>
        </w:trPr>
        <w:tc>
          <w:tcPr>
            <w:tcW w:w="1754" w:type="dxa"/>
          </w:tcPr>
          <w:p>
            <w:pPr>
              <w:pStyle w:val="TableParagraph"/>
              <w:spacing w:before="1"/>
              <w:rPr>
                <w:sz w:val="17"/>
              </w:rPr>
            </w:pPr>
          </w:p>
          <w:p>
            <w:pPr>
              <w:pStyle w:val="TableParagraph"/>
              <w:spacing w:line="249" w:lineRule="auto"/>
              <w:ind w:left="77" w:right="51"/>
              <w:rPr>
                <w:sz w:val="18"/>
              </w:rPr>
            </w:pPr>
            <w:r>
              <w:rPr>
                <w:color w:val="231F20"/>
                <w:sz w:val="18"/>
              </w:rPr>
              <w:t>Cyert y March (1963)</w:t>
            </w:r>
          </w:p>
        </w:tc>
        <w:tc>
          <w:tcPr>
            <w:tcW w:w="2681" w:type="dxa"/>
          </w:tcPr>
          <w:p>
            <w:pPr>
              <w:pStyle w:val="TableParagraph"/>
              <w:spacing w:line="249" w:lineRule="auto" w:before="88"/>
              <w:ind w:left="77" w:right="76"/>
              <w:jc w:val="both"/>
              <w:rPr>
                <w:sz w:val="18"/>
              </w:rPr>
            </w:pPr>
            <w:r>
              <w:rPr>
                <w:color w:val="231F20"/>
                <w:w w:val="105"/>
                <w:sz w:val="18"/>
              </w:rPr>
              <w:t>Ajuste del comportamiento de la</w:t>
            </w:r>
            <w:r>
              <w:rPr>
                <w:color w:val="231F20"/>
                <w:spacing w:val="-30"/>
                <w:w w:val="105"/>
                <w:sz w:val="18"/>
              </w:rPr>
              <w:t> </w:t>
            </w:r>
            <w:r>
              <w:rPr>
                <w:color w:val="231F20"/>
                <w:spacing w:val="-3"/>
                <w:w w:val="105"/>
                <w:sz w:val="18"/>
              </w:rPr>
              <w:t>organización</w:t>
            </w:r>
            <w:r>
              <w:rPr>
                <w:color w:val="231F20"/>
                <w:spacing w:val="-30"/>
                <w:w w:val="105"/>
                <w:sz w:val="18"/>
              </w:rPr>
              <w:t> </w:t>
            </w:r>
            <w:r>
              <w:rPr>
                <w:color w:val="231F20"/>
                <w:w w:val="105"/>
                <w:sz w:val="18"/>
              </w:rPr>
              <w:t>como</w:t>
            </w:r>
            <w:r>
              <w:rPr>
                <w:color w:val="231F20"/>
                <w:spacing w:val="-30"/>
                <w:w w:val="105"/>
                <w:sz w:val="18"/>
              </w:rPr>
              <w:t> </w:t>
            </w:r>
            <w:r>
              <w:rPr>
                <w:color w:val="231F20"/>
                <w:spacing w:val="-3"/>
                <w:w w:val="105"/>
                <w:sz w:val="18"/>
              </w:rPr>
              <w:t>respuesta </w:t>
            </w:r>
            <w:r>
              <w:rPr>
                <w:color w:val="231F20"/>
                <w:w w:val="105"/>
                <w:sz w:val="18"/>
              </w:rPr>
              <w:t>a</w:t>
            </w:r>
            <w:r>
              <w:rPr>
                <w:color w:val="231F20"/>
                <w:spacing w:val="-27"/>
                <w:w w:val="105"/>
                <w:sz w:val="18"/>
              </w:rPr>
              <w:t> </w:t>
            </w:r>
            <w:r>
              <w:rPr>
                <w:color w:val="231F20"/>
                <w:w w:val="105"/>
                <w:sz w:val="18"/>
              </w:rPr>
              <w:t>las</w:t>
            </w:r>
            <w:r>
              <w:rPr>
                <w:color w:val="231F20"/>
                <w:spacing w:val="-27"/>
                <w:w w:val="105"/>
                <w:sz w:val="18"/>
              </w:rPr>
              <w:t> </w:t>
            </w:r>
            <w:r>
              <w:rPr>
                <w:color w:val="231F20"/>
                <w:w w:val="105"/>
                <w:sz w:val="18"/>
              </w:rPr>
              <w:t>variaciones</w:t>
            </w:r>
            <w:r>
              <w:rPr>
                <w:color w:val="231F20"/>
                <w:spacing w:val="-27"/>
                <w:w w:val="105"/>
                <w:sz w:val="18"/>
              </w:rPr>
              <w:t> </w:t>
            </w:r>
            <w:r>
              <w:rPr>
                <w:color w:val="231F20"/>
                <w:w w:val="105"/>
                <w:sz w:val="18"/>
              </w:rPr>
              <w:t>del</w:t>
            </w:r>
            <w:r>
              <w:rPr>
                <w:color w:val="231F20"/>
                <w:spacing w:val="-27"/>
                <w:w w:val="105"/>
                <w:sz w:val="18"/>
              </w:rPr>
              <w:t> </w:t>
            </w:r>
            <w:r>
              <w:rPr>
                <w:color w:val="231F20"/>
                <w:w w:val="105"/>
                <w:sz w:val="18"/>
              </w:rPr>
              <w:t>entorno.</w:t>
            </w:r>
          </w:p>
        </w:tc>
        <w:tc>
          <w:tcPr>
            <w:tcW w:w="2515" w:type="dxa"/>
          </w:tcPr>
          <w:p>
            <w:pPr>
              <w:pStyle w:val="TableParagraph"/>
              <w:spacing w:before="1"/>
              <w:rPr>
                <w:sz w:val="17"/>
              </w:rPr>
            </w:pPr>
          </w:p>
          <w:p>
            <w:pPr>
              <w:pStyle w:val="TableParagraph"/>
              <w:spacing w:line="249" w:lineRule="auto"/>
              <w:ind w:left="77" w:right="-7"/>
              <w:rPr>
                <w:sz w:val="18"/>
              </w:rPr>
            </w:pPr>
            <w:r>
              <w:rPr>
                <w:color w:val="231F20"/>
                <w:spacing w:val="-3"/>
                <w:sz w:val="18"/>
              </w:rPr>
              <w:t>Ajustes continuos </w:t>
            </w:r>
            <w:r>
              <w:rPr>
                <w:color w:val="231F20"/>
                <w:sz w:val="18"/>
              </w:rPr>
              <w:t>en </w:t>
            </w:r>
            <w:r>
              <w:rPr>
                <w:color w:val="231F20"/>
                <w:spacing w:val="-3"/>
                <w:sz w:val="18"/>
              </w:rPr>
              <w:t>base </w:t>
            </w:r>
            <w:r>
              <w:rPr>
                <w:color w:val="231F20"/>
                <w:sz w:val="18"/>
              </w:rPr>
              <w:t>a </w:t>
            </w:r>
            <w:r>
              <w:rPr>
                <w:color w:val="231F20"/>
                <w:spacing w:val="-3"/>
                <w:sz w:val="18"/>
              </w:rPr>
              <w:t>la </w:t>
            </w:r>
            <w:r>
              <w:rPr>
                <w:color w:val="231F20"/>
                <w:sz w:val="18"/>
              </w:rPr>
              <w:t>experiencia.</w:t>
            </w:r>
          </w:p>
        </w:tc>
      </w:tr>
      <w:tr>
        <w:trPr>
          <w:trHeight w:val="772" w:hRule="exact"/>
        </w:trPr>
        <w:tc>
          <w:tcPr>
            <w:tcW w:w="1754" w:type="dxa"/>
          </w:tcPr>
          <w:p>
            <w:pPr>
              <w:pStyle w:val="TableParagraph"/>
              <w:spacing w:before="1"/>
              <w:rPr>
                <w:sz w:val="17"/>
              </w:rPr>
            </w:pPr>
          </w:p>
          <w:p>
            <w:pPr>
              <w:pStyle w:val="TableParagraph"/>
              <w:spacing w:line="249" w:lineRule="auto"/>
              <w:ind w:left="77" w:right="51"/>
              <w:rPr>
                <w:sz w:val="18"/>
              </w:rPr>
            </w:pPr>
            <w:r>
              <w:rPr>
                <w:color w:val="231F20"/>
                <w:sz w:val="18"/>
              </w:rPr>
              <w:t>Argyris y Schön (1978)</w:t>
            </w:r>
          </w:p>
        </w:tc>
        <w:tc>
          <w:tcPr>
            <w:tcW w:w="2681" w:type="dxa"/>
          </w:tcPr>
          <w:p>
            <w:pPr>
              <w:pStyle w:val="TableParagraph"/>
              <w:spacing w:line="249" w:lineRule="auto" w:before="88"/>
              <w:ind w:left="77" w:right="75"/>
              <w:jc w:val="both"/>
              <w:rPr>
                <w:sz w:val="18"/>
              </w:rPr>
            </w:pPr>
            <w:r>
              <w:rPr>
                <w:color w:val="231F20"/>
                <w:w w:val="105"/>
                <w:sz w:val="18"/>
              </w:rPr>
              <w:t>La</w:t>
            </w:r>
            <w:r>
              <w:rPr>
                <w:color w:val="231F20"/>
                <w:spacing w:val="-20"/>
                <w:w w:val="105"/>
                <w:sz w:val="18"/>
              </w:rPr>
              <w:t> </w:t>
            </w:r>
            <w:r>
              <w:rPr>
                <w:color w:val="231F20"/>
                <w:w w:val="105"/>
                <w:sz w:val="18"/>
              </w:rPr>
              <w:t>capacidad</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organiza- ción de detectar y corregir</w:t>
            </w:r>
            <w:r>
              <w:rPr>
                <w:color w:val="231F20"/>
                <w:spacing w:val="-15"/>
                <w:w w:val="105"/>
                <w:sz w:val="18"/>
              </w:rPr>
              <w:t> </w:t>
            </w:r>
            <w:r>
              <w:rPr>
                <w:color w:val="231F20"/>
                <w:w w:val="105"/>
                <w:sz w:val="18"/>
              </w:rPr>
              <w:t>sus errores</w:t>
            </w:r>
            <w:r>
              <w:rPr>
                <w:color w:val="231F20"/>
                <w:spacing w:val="-26"/>
                <w:w w:val="105"/>
                <w:sz w:val="18"/>
              </w:rPr>
              <w:t> </w:t>
            </w:r>
            <w:r>
              <w:rPr>
                <w:color w:val="231F20"/>
                <w:w w:val="105"/>
                <w:sz w:val="18"/>
              </w:rPr>
              <w:t>a</w:t>
            </w:r>
            <w:r>
              <w:rPr>
                <w:color w:val="231F20"/>
                <w:spacing w:val="-26"/>
                <w:w w:val="105"/>
                <w:sz w:val="18"/>
              </w:rPr>
              <w:t> </w:t>
            </w:r>
            <w:r>
              <w:rPr>
                <w:color w:val="231F20"/>
                <w:w w:val="105"/>
                <w:sz w:val="18"/>
              </w:rPr>
              <w:t>través</w:t>
            </w:r>
            <w:r>
              <w:rPr>
                <w:color w:val="231F20"/>
                <w:spacing w:val="-26"/>
                <w:w w:val="105"/>
                <w:sz w:val="18"/>
              </w:rPr>
              <w:t> </w:t>
            </w:r>
            <w:r>
              <w:rPr>
                <w:color w:val="231F20"/>
                <w:w w:val="105"/>
                <w:sz w:val="18"/>
              </w:rPr>
              <w:t>del</w:t>
            </w:r>
            <w:r>
              <w:rPr>
                <w:color w:val="231F20"/>
                <w:spacing w:val="-26"/>
                <w:w w:val="105"/>
                <w:sz w:val="18"/>
              </w:rPr>
              <w:t> </w:t>
            </w:r>
            <w:r>
              <w:rPr>
                <w:color w:val="231F20"/>
                <w:w w:val="105"/>
                <w:sz w:val="18"/>
              </w:rPr>
              <w:t>cambio.</w:t>
            </w:r>
          </w:p>
        </w:tc>
        <w:tc>
          <w:tcPr>
            <w:tcW w:w="2515" w:type="dxa"/>
          </w:tcPr>
          <w:p>
            <w:pPr>
              <w:pStyle w:val="TableParagraph"/>
              <w:spacing w:before="1"/>
              <w:rPr>
                <w:sz w:val="17"/>
              </w:rPr>
            </w:pPr>
          </w:p>
          <w:p>
            <w:pPr>
              <w:pStyle w:val="TableParagraph"/>
              <w:spacing w:line="249" w:lineRule="auto"/>
              <w:ind w:left="77" w:right="-7"/>
              <w:rPr>
                <w:sz w:val="18"/>
              </w:rPr>
            </w:pPr>
            <w:r>
              <w:rPr>
                <w:color w:val="231F20"/>
                <w:spacing w:val="-4"/>
                <w:w w:val="105"/>
                <w:sz w:val="18"/>
              </w:rPr>
              <w:t>Corrección </w:t>
            </w:r>
            <w:r>
              <w:rPr>
                <w:color w:val="231F20"/>
                <w:w w:val="105"/>
                <w:sz w:val="18"/>
              </w:rPr>
              <w:t>de </w:t>
            </w:r>
            <w:r>
              <w:rPr>
                <w:color w:val="231F20"/>
                <w:spacing w:val="-4"/>
                <w:w w:val="105"/>
                <w:sz w:val="18"/>
              </w:rPr>
              <w:t>errores </w:t>
            </w:r>
            <w:r>
              <w:rPr>
                <w:color w:val="231F20"/>
                <w:w w:val="105"/>
                <w:sz w:val="18"/>
              </w:rPr>
              <w:t>y </w:t>
            </w:r>
            <w:r>
              <w:rPr>
                <w:color w:val="231F20"/>
                <w:spacing w:val="-3"/>
                <w:w w:val="105"/>
                <w:sz w:val="18"/>
              </w:rPr>
              <w:t>adap- </w:t>
            </w:r>
            <w:r>
              <w:rPr>
                <w:color w:val="231F20"/>
                <w:w w:val="105"/>
                <w:sz w:val="18"/>
              </w:rPr>
              <w:t>tación al cambio.</w:t>
            </w:r>
          </w:p>
        </w:tc>
      </w:tr>
      <w:tr>
        <w:trPr>
          <w:trHeight w:val="988" w:hRule="exact"/>
        </w:trPr>
        <w:tc>
          <w:tcPr>
            <w:tcW w:w="1754" w:type="dxa"/>
          </w:tcPr>
          <w:p>
            <w:pPr>
              <w:pStyle w:val="TableParagraph"/>
              <w:spacing w:before="5"/>
              <w:rPr>
                <w:sz w:val="26"/>
              </w:rPr>
            </w:pPr>
          </w:p>
          <w:p>
            <w:pPr>
              <w:pStyle w:val="TableParagraph"/>
              <w:spacing w:line="249" w:lineRule="auto"/>
              <w:ind w:left="77" w:right="291"/>
              <w:rPr>
                <w:sz w:val="18"/>
              </w:rPr>
            </w:pPr>
            <w:r>
              <w:rPr>
                <w:color w:val="231F20"/>
                <w:sz w:val="18"/>
              </w:rPr>
              <w:t>Fiol y Lyles (1985)</w:t>
            </w:r>
          </w:p>
        </w:tc>
        <w:tc>
          <w:tcPr>
            <w:tcW w:w="2681" w:type="dxa"/>
          </w:tcPr>
          <w:p>
            <w:pPr>
              <w:pStyle w:val="TableParagraph"/>
              <w:spacing w:line="249" w:lineRule="auto" w:before="88"/>
              <w:ind w:left="77" w:right="71"/>
              <w:jc w:val="both"/>
              <w:rPr>
                <w:sz w:val="18"/>
              </w:rPr>
            </w:pPr>
            <w:r>
              <w:rPr>
                <w:color w:val="231F20"/>
                <w:w w:val="105"/>
                <w:sz w:val="18"/>
              </w:rPr>
              <w:t>Proceso que emplea el cono- cimiento y el entendimiento orientado al mejoramiento de </w:t>
            </w:r>
            <w:r>
              <w:rPr>
                <w:color w:val="231F20"/>
                <w:sz w:val="18"/>
              </w:rPr>
              <w:t>las acciones.</w:t>
            </w:r>
          </w:p>
        </w:tc>
        <w:tc>
          <w:tcPr>
            <w:tcW w:w="2515" w:type="dxa"/>
          </w:tcPr>
          <w:p>
            <w:pPr>
              <w:pStyle w:val="TableParagraph"/>
              <w:rPr>
                <w:sz w:val="18"/>
              </w:rPr>
            </w:pPr>
          </w:p>
          <w:p>
            <w:pPr>
              <w:pStyle w:val="TableParagraph"/>
              <w:spacing w:before="10"/>
              <w:rPr>
                <w:sz w:val="17"/>
              </w:rPr>
            </w:pPr>
          </w:p>
          <w:p>
            <w:pPr>
              <w:pStyle w:val="TableParagraph"/>
              <w:ind w:left="77" w:right="-7"/>
              <w:rPr>
                <w:sz w:val="18"/>
              </w:rPr>
            </w:pPr>
            <w:r>
              <w:rPr>
                <w:color w:val="231F20"/>
                <w:w w:val="105"/>
                <w:sz w:val="18"/>
              </w:rPr>
              <w:t>Visión de mejora.</w:t>
            </w:r>
          </w:p>
        </w:tc>
      </w:tr>
      <w:tr>
        <w:trPr>
          <w:trHeight w:val="1420" w:hRule="exact"/>
        </w:trPr>
        <w:tc>
          <w:tcPr>
            <w:tcW w:w="1754" w:type="dxa"/>
          </w:tcPr>
          <w:p>
            <w:pPr>
              <w:pStyle w:val="TableParagraph"/>
              <w:rPr>
                <w:sz w:val="18"/>
              </w:rPr>
            </w:pPr>
          </w:p>
          <w:p>
            <w:pPr>
              <w:pStyle w:val="TableParagraph"/>
              <w:rPr>
                <w:sz w:val="18"/>
              </w:rPr>
            </w:pPr>
          </w:p>
          <w:p>
            <w:pPr>
              <w:pStyle w:val="TableParagraph"/>
              <w:spacing w:before="7"/>
              <w:rPr>
                <w:sz w:val="18"/>
              </w:rPr>
            </w:pPr>
          </w:p>
          <w:p>
            <w:pPr>
              <w:pStyle w:val="TableParagraph"/>
              <w:ind w:left="121" w:right="51"/>
              <w:rPr>
                <w:sz w:val="18"/>
              </w:rPr>
            </w:pPr>
            <w:r>
              <w:rPr>
                <w:color w:val="231F20"/>
                <w:sz w:val="18"/>
              </w:rPr>
              <w:t>Huber (1991)</w:t>
            </w:r>
          </w:p>
        </w:tc>
        <w:tc>
          <w:tcPr>
            <w:tcW w:w="2681" w:type="dxa"/>
          </w:tcPr>
          <w:p>
            <w:pPr>
              <w:pStyle w:val="TableParagraph"/>
              <w:spacing w:line="249" w:lineRule="auto" w:before="88"/>
              <w:ind w:left="77" w:right="74"/>
              <w:jc w:val="both"/>
              <w:rPr>
                <w:sz w:val="18"/>
              </w:rPr>
            </w:pPr>
            <w:r>
              <w:rPr>
                <w:color w:val="231F20"/>
                <w:spacing w:val="-3"/>
                <w:w w:val="105"/>
                <w:sz w:val="18"/>
              </w:rPr>
              <w:t>Está</w:t>
            </w:r>
            <w:r>
              <w:rPr>
                <w:color w:val="231F20"/>
                <w:spacing w:val="-24"/>
                <w:w w:val="105"/>
                <w:sz w:val="18"/>
              </w:rPr>
              <w:t> </w:t>
            </w:r>
            <w:r>
              <w:rPr>
                <w:color w:val="231F20"/>
                <w:spacing w:val="-3"/>
                <w:w w:val="105"/>
                <w:sz w:val="18"/>
              </w:rPr>
              <w:t>compuesto</w:t>
            </w:r>
            <w:r>
              <w:rPr>
                <w:color w:val="231F20"/>
                <w:spacing w:val="-24"/>
                <w:w w:val="105"/>
                <w:sz w:val="18"/>
              </w:rPr>
              <w:t> </w:t>
            </w:r>
            <w:r>
              <w:rPr>
                <w:color w:val="231F20"/>
                <w:w w:val="105"/>
                <w:sz w:val="18"/>
              </w:rPr>
              <w:t>por</w:t>
            </w:r>
            <w:r>
              <w:rPr>
                <w:color w:val="231F20"/>
                <w:spacing w:val="-24"/>
                <w:w w:val="105"/>
                <w:sz w:val="18"/>
              </w:rPr>
              <w:t> </w:t>
            </w:r>
            <w:r>
              <w:rPr>
                <w:color w:val="231F20"/>
                <w:spacing w:val="-4"/>
                <w:w w:val="105"/>
                <w:sz w:val="18"/>
              </w:rPr>
              <w:t>cuatro</w:t>
            </w:r>
            <w:r>
              <w:rPr>
                <w:color w:val="231F20"/>
                <w:spacing w:val="-24"/>
                <w:w w:val="105"/>
                <w:sz w:val="18"/>
              </w:rPr>
              <w:t> </w:t>
            </w:r>
            <w:r>
              <w:rPr>
                <w:color w:val="231F20"/>
                <w:spacing w:val="-3"/>
                <w:w w:val="105"/>
                <w:sz w:val="18"/>
              </w:rPr>
              <w:t>dife- rentes</w:t>
            </w:r>
            <w:r>
              <w:rPr>
                <w:color w:val="231F20"/>
                <w:spacing w:val="-37"/>
                <w:w w:val="105"/>
                <w:sz w:val="18"/>
              </w:rPr>
              <w:t> </w:t>
            </w:r>
            <w:r>
              <w:rPr>
                <w:color w:val="231F20"/>
                <w:w w:val="105"/>
                <w:sz w:val="18"/>
              </w:rPr>
              <w:t>pasos:</w:t>
            </w:r>
            <w:r>
              <w:rPr>
                <w:color w:val="231F20"/>
                <w:spacing w:val="-37"/>
                <w:w w:val="105"/>
                <w:sz w:val="18"/>
              </w:rPr>
              <w:t> </w:t>
            </w:r>
            <w:r>
              <w:rPr>
                <w:color w:val="231F20"/>
                <w:w w:val="105"/>
                <w:sz w:val="18"/>
              </w:rPr>
              <w:t>(1)</w:t>
            </w:r>
            <w:r>
              <w:rPr>
                <w:color w:val="231F20"/>
                <w:spacing w:val="-37"/>
                <w:w w:val="105"/>
                <w:sz w:val="18"/>
              </w:rPr>
              <w:t> </w:t>
            </w:r>
            <w:r>
              <w:rPr>
                <w:color w:val="231F20"/>
                <w:w w:val="105"/>
                <w:sz w:val="18"/>
              </w:rPr>
              <w:t>adquisición</w:t>
            </w:r>
            <w:r>
              <w:rPr>
                <w:color w:val="231F20"/>
                <w:spacing w:val="-37"/>
                <w:w w:val="105"/>
                <w:sz w:val="18"/>
              </w:rPr>
              <w:t> </w:t>
            </w:r>
            <w:r>
              <w:rPr>
                <w:color w:val="231F20"/>
                <w:w w:val="105"/>
                <w:sz w:val="18"/>
              </w:rPr>
              <w:t>de conocimiento; (2) distribución de la información; (3)</w:t>
            </w:r>
            <w:r>
              <w:rPr>
                <w:color w:val="231F20"/>
                <w:spacing w:val="-16"/>
                <w:w w:val="105"/>
                <w:sz w:val="18"/>
              </w:rPr>
              <w:t> </w:t>
            </w:r>
            <w:r>
              <w:rPr>
                <w:color w:val="231F20"/>
                <w:w w:val="105"/>
                <w:sz w:val="18"/>
              </w:rPr>
              <w:t>interpre- tación de la información; y (4) </w:t>
            </w:r>
            <w:r>
              <w:rPr>
                <w:color w:val="231F20"/>
                <w:sz w:val="18"/>
              </w:rPr>
              <w:t>memoria</w:t>
            </w:r>
            <w:r>
              <w:rPr>
                <w:color w:val="231F20"/>
                <w:spacing w:val="41"/>
                <w:sz w:val="18"/>
              </w:rPr>
              <w:t> </w:t>
            </w:r>
            <w:r>
              <w:rPr>
                <w:color w:val="231F20"/>
                <w:sz w:val="18"/>
              </w:rPr>
              <w:t>organizacional.</w:t>
            </w:r>
          </w:p>
        </w:tc>
        <w:tc>
          <w:tcPr>
            <w:tcW w:w="2515" w:type="dxa"/>
          </w:tcPr>
          <w:p>
            <w:pPr>
              <w:pStyle w:val="TableParagraph"/>
              <w:rPr>
                <w:sz w:val="18"/>
              </w:rPr>
            </w:pPr>
          </w:p>
          <w:p>
            <w:pPr>
              <w:pStyle w:val="TableParagraph"/>
              <w:rPr>
                <w:sz w:val="18"/>
              </w:rPr>
            </w:pPr>
          </w:p>
          <w:p>
            <w:pPr>
              <w:pStyle w:val="TableParagraph"/>
              <w:spacing w:line="249" w:lineRule="auto" w:before="106"/>
              <w:ind w:left="77" w:right="65"/>
              <w:rPr>
                <w:sz w:val="18"/>
              </w:rPr>
            </w:pPr>
            <w:r>
              <w:rPr>
                <w:color w:val="231F20"/>
                <w:spacing w:val="-3"/>
                <w:w w:val="105"/>
                <w:sz w:val="18"/>
              </w:rPr>
              <w:t>Requiere</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apoyo</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las</w:t>
            </w:r>
            <w:r>
              <w:rPr>
                <w:color w:val="231F20"/>
                <w:spacing w:val="-30"/>
                <w:w w:val="105"/>
                <w:sz w:val="18"/>
              </w:rPr>
              <w:t> </w:t>
            </w:r>
            <w:r>
              <w:rPr>
                <w:color w:val="231F20"/>
                <w:w w:val="105"/>
                <w:sz w:val="18"/>
              </w:rPr>
              <w:t>tec- nologías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información.</w:t>
            </w:r>
          </w:p>
        </w:tc>
      </w:tr>
      <w:tr>
        <w:trPr>
          <w:trHeight w:val="772" w:hRule="exact"/>
        </w:trPr>
        <w:tc>
          <w:tcPr>
            <w:tcW w:w="1754" w:type="dxa"/>
          </w:tcPr>
          <w:p>
            <w:pPr>
              <w:pStyle w:val="TableParagraph"/>
              <w:spacing w:before="5"/>
              <w:rPr>
                <w:sz w:val="26"/>
              </w:rPr>
            </w:pPr>
          </w:p>
          <w:p>
            <w:pPr>
              <w:pStyle w:val="TableParagraph"/>
              <w:ind w:left="121" w:right="51"/>
              <w:rPr>
                <w:sz w:val="18"/>
              </w:rPr>
            </w:pPr>
            <w:r>
              <w:rPr>
                <w:color w:val="231F20"/>
                <w:w w:val="105"/>
                <w:sz w:val="18"/>
              </w:rPr>
              <w:t>Dodgson (1993)</w:t>
            </w:r>
          </w:p>
        </w:tc>
        <w:tc>
          <w:tcPr>
            <w:tcW w:w="2681" w:type="dxa"/>
          </w:tcPr>
          <w:p>
            <w:pPr>
              <w:pStyle w:val="TableParagraph"/>
              <w:spacing w:line="249" w:lineRule="auto" w:before="88"/>
              <w:ind w:left="77" w:right="71"/>
              <w:jc w:val="both"/>
              <w:rPr>
                <w:sz w:val="18"/>
              </w:rPr>
            </w:pPr>
            <w:r>
              <w:rPr>
                <w:color w:val="231F20"/>
                <w:sz w:val="18"/>
              </w:rPr>
              <w:t>Forma en que las empresas construyen, aumentan y orga- nizan  el conocimiento.</w:t>
            </w:r>
          </w:p>
        </w:tc>
        <w:tc>
          <w:tcPr>
            <w:tcW w:w="2515" w:type="dxa"/>
          </w:tcPr>
          <w:p>
            <w:pPr>
              <w:pStyle w:val="TableParagraph"/>
              <w:spacing w:before="1"/>
              <w:rPr>
                <w:sz w:val="17"/>
              </w:rPr>
            </w:pPr>
          </w:p>
          <w:p>
            <w:pPr>
              <w:pStyle w:val="TableParagraph"/>
              <w:spacing w:line="249" w:lineRule="auto"/>
              <w:ind w:left="77" w:right="-7"/>
              <w:rPr>
                <w:sz w:val="18"/>
              </w:rPr>
            </w:pPr>
            <w:r>
              <w:rPr>
                <w:color w:val="231F20"/>
                <w:w w:val="105"/>
                <w:sz w:val="18"/>
              </w:rPr>
              <w:t>Vinculación a la gestión del conocimiento.</w:t>
            </w:r>
          </w:p>
        </w:tc>
      </w:tr>
    </w:tbl>
    <w:p>
      <w:pPr>
        <w:spacing w:before="48"/>
        <w:ind w:left="0" w:right="121" w:firstLine="0"/>
        <w:jc w:val="right"/>
        <w:rPr>
          <w:rFonts w:ascii="Calibri" w:hAnsi="Calibri"/>
          <w:sz w:val="14"/>
        </w:rPr>
      </w:pPr>
      <w:r>
        <w:rPr>
          <w:rFonts w:ascii="Calibri" w:hAnsi="Calibri"/>
          <w:color w:val="6D6E71"/>
          <w:sz w:val="14"/>
        </w:rPr>
        <w:t>Continúa en página  siguiente</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9"/>
        </w:rPr>
      </w:pPr>
    </w:p>
    <w:p>
      <w:pPr>
        <w:tabs>
          <w:tab w:pos="1337" w:val="left" w:leader="none"/>
        </w:tabs>
        <w:spacing w:before="70"/>
        <w:ind w:left="287" w:right="0" w:firstLine="0"/>
        <w:jc w:val="left"/>
        <w:rPr>
          <w:rFonts w:ascii="Calibri" w:hAnsi="Calibri"/>
          <w:sz w:val="15"/>
        </w:rPr>
      </w:pPr>
      <w:r>
        <w:rPr/>
        <w:pict>
          <v:group style="position:absolute;margin-left:101.817299pt;margin-top:-16.799887pt;width:17.850pt;height:56.5pt;mso-position-horizontal-relative:page;mso-position-vertical-relative:paragraph;z-index:-24505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74</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180" w:right="1280"/>
        </w:sectPr>
      </w:pPr>
    </w:p>
    <w:p>
      <w:pPr>
        <w:pStyle w:val="BodyText"/>
        <w:rPr>
          <w:rFonts w:ascii="Calibri"/>
          <w:sz w:val="20"/>
        </w:rPr>
      </w:pPr>
    </w:p>
    <w:p>
      <w:pPr>
        <w:pStyle w:val="BodyText"/>
        <w:spacing w:before="8"/>
        <w:rPr>
          <w:rFonts w:ascii="Calibri"/>
          <w:sz w:val="20"/>
        </w:rPr>
      </w:pPr>
    </w:p>
    <w:p>
      <w:pPr>
        <w:tabs>
          <w:tab w:pos="6936" w:val="right" w:leader="none"/>
        </w:tabs>
        <w:spacing w:before="52"/>
        <w:ind w:left="1841" w:right="0" w:firstLine="0"/>
        <w:jc w:val="left"/>
        <w:rPr>
          <w:sz w:val="20"/>
        </w:rPr>
      </w:pPr>
      <w:r>
        <w:rPr/>
        <w:pict>
          <v:line style="position:absolute;mso-position-horizontal-relative:page;mso-position-vertical-relative:paragraph;z-index:-245032"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75</w:t>
      </w:r>
    </w:p>
    <w:p>
      <w:pPr>
        <w:pStyle w:val="BodyText"/>
        <w:rPr>
          <w:sz w:val="20"/>
        </w:rPr>
      </w:pPr>
    </w:p>
    <w:p>
      <w:pPr>
        <w:pStyle w:val="BodyText"/>
        <w:rPr>
          <w:sz w:val="20"/>
        </w:rPr>
      </w:pPr>
    </w:p>
    <w:p>
      <w:pPr>
        <w:pStyle w:val="BodyText"/>
        <w:spacing w:before="2"/>
        <w:rPr>
          <w:sz w:val="14"/>
        </w:rPr>
      </w:pPr>
    </w:p>
    <w:tbl>
      <w:tblPr>
        <w:tblW w:w="0" w:type="auto"/>
        <w:jc w:val="left"/>
        <w:tblInd w:w="118"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754"/>
        <w:gridCol w:w="2681"/>
        <w:gridCol w:w="2515"/>
      </w:tblGrid>
      <w:tr>
        <w:trPr>
          <w:trHeight w:val="1636" w:hRule="exact"/>
        </w:trPr>
        <w:tc>
          <w:tcPr>
            <w:tcW w:w="1754" w:type="dxa"/>
          </w:tcPr>
          <w:p>
            <w:pPr>
              <w:pStyle w:val="TableParagraph"/>
              <w:spacing w:line="249" w:lineRule="auto" w:before="628"/>
              <w:ind w:left="77" w:right="51"/>
              <w:rPr>
                <w:sz w:val="18"/>
              </w:rPr>
            </w:pPr>
            <w:r>
              <w:rPr>
                <w:color w:val="231F20"/>
                <w:sz w:val="18"/>
              </w:rPr>
              <w:t>Crossan, Lane y White (1999 )</w:t>
            </w:r>
          </w:p>
        </w:tc>
        <w:tc>
          <w:tcPr>
            <w:tcW w:w="2681" w:type="dxa"/>
          </w:tcPr>
          <w:p>
            <w:pPr>
              <w:pStyle w:val="TableParagraph"/>
              <w:spacing w:line="249" w:lineRule="auto" w:before="88"/>
              <w:ind w:left="77" w:right="67"/>
              <w:jc w:val="both"/>
              <w:rPr>
                <w:sz w:val="18"/>
              </w:rPr>
            </w:pPr>
            <w:r>
              <w:rPr>
                <w:color w:val="231F20"/>
                <w:w w:val="105"/>
                <w:sz w:val="18"/>
              </w:rPr>
              <w:t>Medio para la consecución de la </w:t>
            </w:r>
            <w:r>
              <w:rPr>
                <w:color w:val="231F20"/>
                <w:spacing w:val="3"/>
                <w:w w:val="105"/>
                <w:sz w:val="18"/>
              </w:rPr>
              <w:t>renovación estratégica </w:t>
            </w:r>
            <w:r>
              <w:rPr>
                <w:color w:val="231F20"/>
                <w:spacing w:val="4"/>
                <w:w w:val="105"/>
                <w:sz w:val="18"/>
              </w:rPr>
              <w:t>de </w:t>
            </w:r>
            <w:r>
              <w:rPr>
                <w:color w:val="231F20"/>
                <w:w w:val="105"/>
                <w:sz w:val="18"/>
              </w:rPr>
              <w:t>una</w:t>
            </w:r>
            <w:r>
              <w:rPr>
                <w:color w:val="231F20"/>
                <w:spacing w:val="-27"/>
                <w:w w:val="105"/>
                <w:sz w:val="18"/>
              </w:rPr>
              <w:t> </w:t>
            </w:r>
            <w:r>
              <w:rPr>
                <w:color w:val="231F20"/>
                <w:w w:val="105"/>
                <w:sz w:val="18"/>
              </w:rPr>
              <w:t>empresa</w:t>
            </w:r>
            <w:r>
              <w:rPr>
                <w:color w:val="231F20"/>
                <w:spacing w:val="-27"/>
                <w:w w:val="105"/>
                <w:sz w:val="18"/>
              </w:rPr>
              <w:t> </w:t>
            </w:r>
            <w:r>
              <w:rPr>
                <w:color w:val="231F20"/>
                <w:w w:val="105"/>
                <w:sz w:val="18"/>
              </w:rPr>
              <w:t>que</w:t>
            </w:r>
            <w:r>
              <w:rPr>
                <w:color w:val="231F20"/>
                <w:spacing w:val="-27"/>
                <w:w w:val="105"/>
                <w:sz w:val="18"/>
              </w:rPr>
              <w:t> </w:t>
            </w:r>
            <w:r>
              <w:rPr>
                <w:color w:val="231F20"/>
                <w:w w:val="105"/>
                <w:sz w:val="18"/>
              </w:rPr>
              <w:t>se</w:t>
            </w:r>
            <w:r>
              <w:rPr>
                <w:color w:val="231F20"/>
                <w:spacing w:val="-27"/>
                <w:w w:val="105"/>
                <w:sz w:val="18"/>
              </w:rPr>
              <w:t> </w:t>
            </w:r>
            <w:r>
              <w:rPr>
                <w:color w:val="231F20"/>
                <w:w w:val="105"/>
                <w:sz w:val="18"/>
              </w:rPr>
              <w:t>constituye por un proceso integrado por cuatro subprocesos: intuición, interpretación, integración e institucionalización.</w:t>
            </w:r>
          </w:p>
        </w:tc>
        <w:tc>
          <w:tcPr>
            <w:tcW w:w="2515" w:type="dxa"/>
          </w:tcPr>
          <w:p>
            <w:pPr>
              <w:pStyle w:val="TableParagraph"/>
              <w:rPr>
                <w:sz w:val="18"/>
              </w:rPr>
            </w:pPr>
          </w:p>
          <w:p>
            <w:pPr>
              <w:pStyle w:val="TableParagraph"/>
              <w:rPr>
                <w:sz w:val="18"/>
              </w:rPr>
            </w:pPr>
          </w:p>
          <w:p>
            <w:pPr>
              <w:pStyle w:val="TableParagraph"/>
              <w:spacing w:before="7"/>
              <w:rPr>
                <w:sz w:val="18"/>
              </w:rPr>
            </w:pPr>
          </w:p>
          <w:p>
            <w:pPr>
              <w:pStyle w:val="TableParagraph"/>
              <w:spacing w:line="249" w:lineRule="auto"/>
              <w:ind w:left="77" w:right="62"/>
              <w:rPr>
                <w:sz w:val="18"/>
              </w:rPr>
            </w:pPr>
            <w:r>
              <w:rPr>
                <w:color w:val="231F20"/>
                <w:w w:val="105"/>
                <w:sz w:val="18"/>
              </w:rPr>
              <w:t>Énfasis</w:t>
            </w:r>
            <w:r>
              <w:rPr>
                <w:color w:val="231F20"/>
                <w:spacing w:val="-32"/>
                <w:w w:val="105"/>
                <w:sz w:val="18"/>
              </w:rPr>
              <w:t> </w:t>
            </w:r>
            <w:r>
              <w:rPr>
                <w:color w:val="231F20"/>
                <w:w w:val="105"/>
                <w:sz w:val="18"/>
              </w:rPr>
              <w:t>en</w:t>
            </w:r>
            <w:r>
              <w:rPr>
                <w:color w:val="231F20"/>
                <w:spacing w:val="-32"/>
                <w:w w:val="105"/>
                <w:sz w:val="18"/>
              </w:rPr>
              <w:t> </w:t>
            </w:r>
            <w:r>
              <w:rPr>
                <w:color w:val="231F20"/>
                <w:w w:val="105"/>
                <w:sz w:val="18"/>
              </w:rPr>
              <w:t>la</w:t>
            </w:r>
            <w:r>
              <w:rPr>
                <w:color w:val="231F20"/>
                <w:spacing w:val="-32"/>
                <w:w w:val="105"/>
                <w:sz w:val="18"/>
              </w:rPr>
              <w:t> </w:t>
            </w:r>
            <w:r>
              <w:rPr>
                <w:color w:val="231F20"/>
                <w:w w:val="105"/>
                <w:sz w:val="18"/>
              </w:rPr>
              <w:t>estrategia</w:t>
            </w:r>
            <w:r>
              <w:rPr>
                <w:color w:val="231F20"/>
                <w:spacing w:val="-32"/>
                <w:w w:val="105"/>
                <w:sz w:val="18"/>
              </w:rPr>
              <w:t> </w:t>
            </w:r>
            <w:r>
              <w:rPr>
                <w:color w:val="231F20"/>
                <w:w w:val="105"/>
                <w:sz w:val="18"/>
              </w:rPr>
              <w:t>de</w:t>
            </w:r>
            <w:r>
              <w:rPr>
                <w:color w:val="231F20"/>
                <w:spacing w:val="-32"/>
                <w:w w:val="105"/>
                <w:sz w:val="18"/>
              </w:rPr>
              <w:t> </w:t>
            </w:r>
            <w:r>
              <w:rPr>
                <w:color w:val="231F20"/>
                <w:w w:val="105"/>
                <w:sz w:val="18"/>
              </w:rPr>
              <w:t>re- novación.</w:t>
            </w:r>
          </w:p>
        </w:tc>
      </w:tr>
      <w:tr>
        <w:trPr>
          <w:trHeight w:val="3148" w:hRule="exact"/>
        </w:trPr>
        <w:tc>
          <w:tcPr>
            <w:tcW w:w="1754"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49" w:lineRule="auto" w:before="142"/>
              <w:ind w:left="77" w:right="291"/>
              <w:rPr>
                <w:sz w:val="18"/>
              </w:rPr>
            </w:pPr>
            <w:r>
              <w:rPr>
                <w:color w:val="231F20"/>
                <w:sz w:val="18"/>
              </w:rPr>
              <w:t>Probst, Raub y Romhardt (2001)</w:t>
            </w:r>
          </w:p>
        </w:tc>
        <w:tc>
          <w:tcPr>
            <w:tcW w:w="2681" w:type="dxa"/>
          </w:tcPr>
          <w:p>
            <w:pPr>
              <w:pStyle w:val="TableParagraph"/>
              <w:spacing w:line="249" w:lineRule="auto" w:before="88"/>
              <w:ind w:left="77" w:right="70"/>
              <w:jc w:val="both"/>
              <w:rPr>
                <w:sz w:val="18"/>
              </w:rPr>
            </w:pPr>
            <w:r>
              <w:rPr>
                <w:color w:val="231F20"/>
                <w:w w:val="105"/>
                <w:sz w:val="18"/>
              </w:rPr>
              <w:t>Consiste en los cambios </w:t>
            </w:r>
            <w:r>
              <w:rPr>
                <w:color w:val="231F20"/>
                <w:spacing w:val="2"/>
                <w:w w:val="105"/>
                <w:sz w:val="18"/>
              </w:rPr>
              <w:t>que </w:t>
            </w:r>
            <w:r>
              <w:rPr>
                <w:color w:val="231F20"/>
                <w:w w:val="105"/>
                <w:sz w:val="18"/>
              </w:rPr>
              <w:t>se</w:t>
            </w:r>
            <w:r>
              <w:rPr>
                <w:color w:val="231F20"/>
                <w:spacing w:val="-17"/>
                <w:w w:val="105"/>
                <w:sz w:val="18"/>
              </w:rPr>
              <w:t> </w:t>
            </w:r>
            <w:r>
              <w:rPr>
                <w:color w:val="231F20"/>
                <w:w w:val="105"/>
                <w:sz w:val="18"/>
              </w:rPr>
              <w:t>llevan</w:t>
            </w:r>
            <w:r>
              <w:rPr>
                <w:color w:val="231F20"/>
                <w:spacing w:val="-17"/>
                <w:w w:val="105"/>
                <w:sz w:val="18"/>
              </w:rPr>
              <w:t> </w:t>
            </w:r>
            <w:r>
              <w:rPr>
                <w:color w:val="231F20"/>
                <w:w w:val="105"/>
                <w:sz w:val="18"/>
              </w:rPr>
              <w:t>a</w:t>
            </w:r>
            <w:r>
              <w:rPr>
                <w:color w:val="231F20"/>
                <w:spacing w:val="-17"/>
                <w:w w:val="105"/>
                <w:sz w:val="18"/>
              </w:rPr>
              <w:t> </w:t>
            </w:r>
            <w:r>
              <w:rPr>
                <w:color w:val="231F20"/>
                <w:w w:val="105"/>
                <w:sz w:val="18"/>
              </w:rPr>
              <w:t>cabo</w:t>
            </w:r>
            <w:r>
              <w:rPr>
                <w:color w:val="231F20"/>
                <w:spacing w:val="21"/>
                <w:w w:val="105"/>
                <w:sz w:val="18"/>
              </w:rPr>
              <w:t> </w:t>
            </w:r>
            <w:r>
              <w:rPr>
                <w:color w:val="231F20"/>
                <w:w w:val="105"/>
                <w:sz w:val="18"/>
              </w:rPr>
              <w:t>en</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base</w:t>
            </w:r>
            <w:r>
              <w:rPr>
                <w:color w:val="231F20"/>
                <w:spacing w:val="-17"/>
                <w:w w:val="105"/>
                <w:sz w:val="18"/>
              </w:rPr>
              <w:t> </w:t>
            </w:r>
            <w:r>
              <w:rPr>
                <w:color w:val="231F20"/>
                <w:w w:val="105"/>
                <w:sz w:val="18"/>
              </w:rPr>
              <w:t>del </w:t>
            </w:r>
            <w:r>
              <w:rPr>
                <w:color w:val="231F20"/>
                <w:spacing w:val="2"/>
                <w:w w:val="105"/>
                <w:sz w:val="18"/>
              </w:rPr>
              <w:t>conocimiento </w:t>
            </w:r>
            <w:r>
              <w:rPr>
                <w:color w:val="231F20"/>
                <w:w w:val="105"/>
                <w:sz w:val="18"/>
              </w:rPr>
              <w:t>de la </w:t>
            </w:r>
            <w:r>
              <w:rPr>
                <w:color w:val="231F20"/>
                <w:spacing w:val="2"/>
                <w:w w:val="105"/>
                <w:sz w:val="18"/>
              </w:rPr>
              <w:t>empresa </w:t>
            </w:r>
            <w:r>
              <w:rPr>
                <w:color w:val="231F20"/>
                <w:w w:val="105"/>
                <w:sz w:val="18"/>
              </w:rPr>
              <w:t>que consta de los activos in- telectuales, individuales y co- lectivos</w:t>
            </w:r>
            <w:r>
              <w:rPr>
                <w:color w:val="231F20"/>
                <w:spacing w:val="-17"/>
                <w:w w:val="105"/>
                <w:sz w:val="18"/>
              </w:rPr>
              <w:t> </w:t>
            </w:r>
            <w:r>
              <w:rPr>
                <w:color w:val="231F20"/>
                <w:w w:val="105"/>
                <w:sz w:val="18"/>
              </w:rPr>
              <w:t>e</w:t>
            </w:r>
            <w:r>
              <w:rPr>
                <w:color w:val="231F20"/>
                <w:spacing w:val="-17"/>
                <w:w w:val="105"/>
                <w:sz w:val="18"/>
              </w:rPr>
              <w:t> </w:t>
            </w:r>
            <w:r>
              <w:rPr>
                <w:color w:val="231F20"/>
                <w:w w:val="105"/>
                <w:sz w:val="18"/>
              </w:rPr>
              <w:t>incluye</w:t>
            </w:r>
            <w:r>
              <w:rPr>
                <w:color w:val="231F20"/>
                <w:spacing w:val="19"/>
                <w:w w:val="105"/>
                <w:sz w:val="18"/>
              </w:rPr>
              <w:t> </w:t>
            </w:r>
            <w:r>
              <w:rPr>
                <w:color w:val="231F20"/>
                <w:w w:val="105"/>
                <w:sz w:val="18"/>
              </w:rPr>
              <w:t>los</w:t>
            </w:r>
            <w:r>
              <w:rPr>
                <w:color w:val="231F20"/>
                <w:spacing w:val="-17"/>
                <w:w w:val="105"/>
                <w:sz w:val="18"/>
              </w:rPr>
              <w:t> </w:t>
            </w:r>
            <w:r>
              <w:rPr>
                <w:color w:val="231F20"/>
                <w:w w:val="105"/>
                <w:sz w:val="18"/>
              </w:rPr>
              <w:t>datos</w:t>
            </w:r>
            <w:r>
              <w:rPr>
                <w:color w:val="231F20"/>
                <w:spacing w:val="-17"/>
                <w:w w:val="105"/>
                <w:sz w:val="18"/>
              </w:rPr>
              <w:t> </w:t>
            </w:r>
            <w:r>
              <w:rPr>
                <w:color w:val="231F20"/>
                <w:w w:val="105"/>
                <w:sz w:val="18"/>
              </w:rPr>
              <w:t>y</w:t>
            </w:r>
            <w:r>
              <w:rPr>
                <w:color w:val="231F20"/>
                <w:spacing w:val="-17"/>
                <w:w w:val="105"/>
                <w:sz w:val="18"/>
              </w:rPr>
              <w:t> </w:t>
            </w:r>
            <w:r>
              <w:rPr>
                <w:color w:val="231F20"/>
                <w:w w:val="105"/>
                <w:sz w:val="18"/>
              </w:rPr>
              <w:t>la información</w:t>
            </w:r>
            <w:r>
              <w:rPr>
                <w:color w:val="231F20"/>
                <w:spacing w:val="-32"/>
                <w:w w:val="105"/>
                <w:sz w:val="18"/>
              </w:rPr>
              <w:t> </w:t>
            </w:r>
            <w:r>
              <w:rPr>
                <w:color w:val="231F20"/>
                <w:w w:val="105"/>
                <w:sz w:val="18"/>
              </w:rPr>
              <w:t>sobre</w:t>
            </w:r>
            <w:r>
              <w:rPr>
                <w:color w:val="231F20"/>
                <w:spacing w:val="-32"/>
                <w:w w:val="105"/>
                <w:sz w:val="18"/>
              </w:rPr>
              <w:t> </w:t>
            </w:r>
            <w:r>
              <w:rPr>
                <w:color w:val="231F20"/>
                <w:w w:val="105"/>
                <w:sz w:val="18"/>
              </w:rPr>
              <w:t>los</w:t>
            </w:r>
            <w:r>
              <w:rPr>
                <w:color w:val="231F20"/>
                <w:spacing w:val="-32"/>
                <w:w w:val="105"/>
                <w:sz w:val="18"/>
              </w:rPr>
              <w:t> </w:t>
            </w:r>
            <w:r>
              <w:rPr>
                <w:color w:val="231F20"/>
                <w:w w:val="105"/>
                <w:sz w:val="18"/>
              </w:rPr>
              <w:t>cuales</w:t>
            </w:r>
            <w:r>
              <w:rPr>
                <w:color w:val="231F20"/>
                <w:spacing w:val="-32"/>
                <w:w w:val="105"/>
                <w:sz w:val="18"/>
              </w:rPr>
              <w:t> </w:t>
            </w:r>
            <w:r>
              <w:rPr>
                <w:color w:val="231F20"/>
                <w:w w:val="105"/>
                <w:sz w:val="18"/>
              </w:rPr>
              <w:t>se han</w:t>
            </w:r>
            <w:r>
              <w:rPr>
                <w:color w:val="231F20"/>
                <w:spacing w:val="-30"/>
                <w:w w:val="105"/>
                <w:sz w:val="18"/>
              </w:rPr>
              <w:t> </w:t>
            </w:r>
            <w:r>
              <w:rPr>
                <w:color w:val="231F20"/>
                <w:w w:val="105"/>
                <w:sz w:val="18"/>
              </w:rPr>
              <w:t>construido</w:t>
            </w:r>
            <w:r>
              <w:rPr>
                <w:color w:val="231F20"/>
                <w:spacing w:val="-30"/>
                <w:w w:val="105"/>
                <w:sz w:val="18"/>
              </w:rPr>
              <w:t> </w:t>
            </w:r>
            <w:r>
              <w:rPr>
                <w:color w:val="231F20"/>
                <w:w w:val="105"/>
                <w:sz w:val="18"/>
              </w:rPr>
              <w:t>el</w:t>
            </w:r>
            <w:r>
              <w:rPr>
                <w:color w:val="231F20"/>
                <w:spacing w:val="-30"/>
                <w:w w:val="105"/>
                <w:sz w:val="18"/>
              </w:rPr>
              <w:t> </w:t>
            </w:r>
            <w:r>
              <w:rPr>
                <w:color w:val="231F20"/>
                <w:w w:val="105"/>
                <w:sz w:val="18"/>
              </w:rPr>
              <w:t>conocimiento individual</w:t>
            </w:r>
            <w:r>
              <w:rPr>
                <w:color w:val="231F20"/>
                <w:spacing w:val="-14"/>
                <w:w w:val="105"/>
                <w:sz w:val="18"/>
              </w:rPr>
              <w:t> </w:t>
            </w:r>
            <w:r>
              <w:rPr>
                <w:color w:val="231F20"/>
                <w:w w:val="105"/>
                <w:sz w:val="18"/>
              </w:rPr>
              <w:t>y</w:t>
            </w:r>
            <w:r>
              <w:rPr>
                <w:color w:val="231F20"/>
                <w:spacing w:val="-14"/>
                <w:w w:val="105"/>
                <w:sz w:val="18"/>
              </w:rPr>
              <w:t> </w:t>
            </w:r>
            <w:r>
              <w:rPr>
                <w:color w:val="231F20"/>
                <w:w w:val="105"/>
                <w:sz w:val="18"/>
              </w:rPr>
              <w:t>de</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organización, </w:t>
            </w:r>
            <w:r>
              <w:rPr>
                <w:color w:val="231F20"/>
                <w:spacing w:val="-3"/>
                <w:w w:val="105"/>
                <w:sz w:val="18"/>
              </w:rPr>
              <w:t>permitiendo</w:t>
            </w:r>
            <w:r>
              <w:rPr>
                <w:color w:val="231F20"/>
                <w:spacing w:val="-19"/>
                <w:w w:val="105"/>
                <w:sz w:val="18"/>
              </w:rPr>
              <w:t> </w:t>
            </w:r>
            <w:r>
              <w:rPr>
                <w:color w:val="231F20"/>
                <w:w w:val="105"/>
                <w:sz w:val="18"/>
              </w:rPr>
              <w:t>la</w:t>
            </w:r>
            <w:r>
              <w:rPr>
                <w:color w:val="231F20"/>
                <w:spacing w:val="-19"/>
                <w:w w:val="105"/>
                <w:sz w:val="18"/>
              </w:rPr>
              <w:t> </w:t>
            </w:r>
            <w:r>
              <w:rPr>
                <w:color w:val="231F20"/>
                <w:spacing w:val="-4"/>
                <w:w w:val="105"/>
                <w:sz w:val="18"/>
              </w:rPr>
              <w:t>creación</w:t>
            </w:r>
            <w:r>
              <w:rPr>
                <w:color w:val="231F20"/>
                <w:spacing w:val="-19"/>
                <w:w w:val="105"/>
                <w:sz w:val="18"/>
              </w:rPr>
              <w:t> </w:t>
            </w:r>
            <w:r>
              <w:rPr>
                <w:color w:val="231F20"/>
                <w:w w:val="105"/>
                <w:sz w:val="18"/>
              </w:rPr>
              <w:t>de</w:t>
            </w:r>
            <w:r>
              <w:rPr>
                <w:color w:val="231F20"/>
                <w:spacing w:val="-19"/>
                <w:w w:val="105"/>
                <w:sz w:val="18"/>
              </w:rPr>
              <w:t> </w:t>
            </w:r>
            <w:r>
              <w:rPr>
                <w:color w:val="231F20"/>
                <w:spacing w:val="-3"/>
                <w:w w:val="105"/>
                <w:sz w:val="18"/>
              </w:rPr>
              <w:t>mar- </w:t>
            </w:r>
            <w:r>
              <w:rPr>
                <w:color w:val="231F20"/>
                <w:w w:val="105"/>
                <w:sz w:val="18"/>
              </w:rPr>
              <w:t>cos</w:t>
            </w:r>
            <w:r>
              <w:rPr>
                <w:color w:val="231F20"/>
                <w:spacing w:val="-31"/>
                <w:w w:val="105"/>
                <w:sz w:val="18"/>
              </w:rPr>
              <w:t> </w:t>
            </w:r>
            <w:r>
              <w:rPr>
                <w:color w:val="231F20"/>
                <w:w w:val="105"/>
                <w:sz w:val="18"/>
              </w:rPr>
              <w:t>de</w:t>
            </w:r>
            <w:r>
              <w:rPr>
                <w:color w:val="231F20"/>
                <w:spacing w:val="-31"/>
                <w:w w:val="105"/>
                <w:sz w:val="18"/>
              </w:rPr>
              <w:t> </w:t>
            </w:r>
            <w:r>
              <w:rPr>
                <w:color w:val="231F20"/>
                <w:spacing w:val="-3"/>
                <w:w w:val="105"/>
                <w:sz w:val="18"/>
              </w:rPr>
              <w:t>referencia</w:t>
            </w:r>
            <w:r>
              <w:rPr>
                <w:color w:val="231F20"/>
                <w:spacing w:val="-31"/>
                <w:w w:val="105"/>
                <w:sz w:val="18"/>
              </w:rPr>
              <w:t> </w:t>
            </w:r>
            <w:r>
              <w:rPr>
                <w:color w:val="231F20"/>
                <w:w w:val="105"/>
                <w:sz w:val="18"/>
              </w:rPr>
              <w:t>colectivos</w:t>
            </w:r>
            <w:r>
              <w:rPr>
                <w:color w:val="231F20"/>
                <w:spacing w:val="-7"/>
                <w:w w:val="105"/>
                <w:sz w:val="18"/>
              </w:rPr>
              <w:t> </w:t>
            </w:r>
            <w:r>
              <w:rPr>
                <w:color w:val="231F20"/>
                <w:w w:val="105"/>
                <w:sz w:val="18"/>
              </w:rPr>
              <w:t>y</w:t>
            </w:r>
            <w:r>
              <w:rPr>
                <w:color w:val="231F20"/>
                <w:spacing w:val="-31"/>
                <w:w w:val="105"/>
                <w:sz w:val="18"/>
              </w:rPr>
              <w:t> </w:t>
            </w:r>
            <w:r>
              <w:rPr>
                <w:color w:val="231F20"/>
                <w:w w:val="105"/>
                <w:sz w:val="18"/>
              </w:rPr>
              <w:t>el desarrollo de las aptitudes del personal</w:t>
            </w:r>
            <w:r>
              <w:rPr>
                <w:color w:val="231F20"/>
                <w:spacing w:val="-17"/>
                <w:w w:val="105"/>
                <w:sz w:val="18"/>
              </w:rPr>
              <w:t> </w:t>
            </w:r>
            <w:r>
              <w:rPr>
                <w:color w:val="231F20"/>
                <w:w w:val="105"/>
                <w:sz w:val="18"/>
              </w:rPr>
              <w:t>para</w:t>
            </w:r>
            <w:r>
              <w:rPr>
                <w:color w:val="231F20"/>
                <w:spacing w:val="-17"/>
                <w:w w:val="105"/>
                <w:sz w:val="18"/>
              </w:rPr>
              <w:t> </w:t>
            </w:r>
            <w:r>
              <w:rPr>
                <w:color w:val="231F20"/>
                <w:w w:val="105"/>
                <w:sz w:val="18"/>
              </w:rPr>
              <w:t>actuar</w:t>
            </w:r>
            <w:r>
              <w:rPr>
                <w:color w:val="231F20"/>
                <w:spacing w:val="-17"/>
                <w:w w:val="105"/>
                <w:sz w:val="18"/>
              </w:rPr>
              <w:t> </w:t>
            </w:r>
            <w:r>
              <w:rPr>
                <w:color w:val="231F20"/>
                <w:w w:val="105"/>
                <w:sz w:val="18"/>
              </w:rPr>
              <w:t>y</w:t>
            </w:r>
            <w:r>
              <w:rPr>
                <w:color w:val="231F20"/>
                <w:spacing w:val="-17"/>
                <w:w w:val="105"/>
                <w:sz w:val="18"/>
              </w:rPr>
              <w:t> </w:t>
            </w:r>
            <w:r>
              <w:rPr>
                <w:color w:val="231F20"/>
                <w:w w:val="105"/>
                <w:sz w:val="18"/>
              </w:rPr>
              <w:t>solucio- nar</w:t>
            </w:r>
            <w:r>
              <w:rPr>
                <w:color w:val="231F20"/>
                <w:spacing w:val="-35"/>
                <w:w w:val="105"/>
                <w:sz w:val="18"/>
              </w:rPr>
              <w:t> </w:t>
            </w:r>
            <w:r>
              <w:rPr>
                <w:color w:val="231F20"/>
                <w:w w:val="105"/>
                <w:sz w:val="18"/>
              </w:rPr>
              <w:t>problemas.</w:t>
            </w:r>
          </w:p>
        </w:tc>
        <w:tc>
          <w:tcPr>
            <w:tcW w:w="2515" w:type="dxa"/>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21"/>
              </w:rPr>
            </w:pPr>
          </w:p>
          <w:p>
            <w:pPr>
              <w:pStyle w:val="TableParagraph"/>
              <w:spacing w:line="249" w:lineRule="auto"/>
              <w:ind w:left="77" w:right="73"/>
              <w:jc w:val="both"/>
              <w:rPr>
                <w:sz w:val="18"/>
              </w:rPr>
            </w:pPr>
            <w:r>
              <w:rPr>
                <w:color w:val="231F20"/>
                <w:spacing w:val="-2"/>
                <w:w w:val="105"/>
                <w:sz w:val="18"/>
              </w:rPr>
              <w:t>Valoración</w:t>
            </w:r>
            <w:r>
              <w:rPr>
                <w:color w:val="231F20"/>
                <w:spacing w:val="-28"/>
                <w:w w:val="105"/>
                <w:sz w:val="18"/>
              </w:rPr>
              <w:t> </w:t>
            </w:r>
            <w:r>
              <w:rPr>
                <w:color w:val="231F20"/>
                <w:w w:val="105"/>
                <w:sz w:val="18"/>
              </w:rPr>
              <w:t>del</w:t>
            </w:r>
            <w:r>
              <w:rPr>
                <w:color w:val="231F20"/>
                <w:spacing w:val="-28"/>
                <w:w w:val="105"/>
                <w:sz w:val="18"/>
              </w:rPr>
              <w:t> </w:t>
            </w:r>
            <w:r>
              <w:rPr>
                <w:color w:val="231F20"/>
                <w:w w:val="105"/>
                <w:sz w:val="18"/>
              </w:rPr>
              <w:t>capital</w:t>
            </w:r>
            <w:r>
              <w:rPr>
                <w:color w:val="231F20"/>
                <w:spacing w:val="-28"/>
                <w:w w:val="105"/>
                <w:sz w:val="18"/>
              </w:rPr>
              <w:t> </w:t>
            </w:r>
            <w:r>
              <w:rPr>
                <w:color w:val="231F20"/>
                <w:w w:val="105"/>
                <w:sz w:val="18"/>
              </w:rPr>
              <w:t>intelec- tual y de información como base del</w:t>
            </w:r>
            <w:r>
              <w:rPr>
                <w:color w:val="231F20"/>
                <w:spacing w:val="-36"/>
                <w:w w:val="105"/>
                <w:sz w:val="18"/>
              </w:rPr>
              <w:t> </w:t>
            </w:r>
            <w:r>
              <w:rPr>
                <w:color w:val="231F20"/>
                <w:w w:val="105"/>
                <w:sz w:val="18"/>
              </w:rPr>
              <w:t>conocimiento.</w:t>
            </w:r>
          </w:p>
        </w:tc>
      </w:tr>
      <w:tr>
        <w:trPr>
          <w:trHeight w:val="772" w:hRule="exact"/>
        </w:trPr>
        <w:tc>
          <w:tcPr>
            <w:tcW w:w="1754" w:type="dxa"/>
          </w:tcPr>
          <w:p>
            <w:pPr>
              <w:pStyle w:val="TableParagraph"/>
              <w:spacing w:before="5"/>
              <w:rPr>
                <w:sz w:val="26"/>
              </w:rPr>
            </w:pPr>
          </w:p>
          <w:p>
            <w:pPr>
              <w:pStyle w:val="TableParagraph"/>
              <w:ind w:left="77" w:right="51"/>
              <w:rPr>
                <w:sz w:val="18"/>
              </w:rPr>
            </w:pPr>
            <w:r>
              <w:rPr>
                <w:color w:val="231F20"/>
                <w:sz w:val="18"/>
              </w:rPr>
              <w:t>Sanguino (2005)</w:t>
            </w:r>
          </w:p>
        </w:tc>
        <w:tc>
          <w:tcPr>
            <w:tcW w:w="2681" w:type="dxa"/>
          </w:tcPr>
          <w:p>
            <w:pPr>
              <w:pStyle w:val="TableParagraph"/>
              <w:spacing w:line="249" w:lineRule="auto" w:before="88"/>
              <w:ind w:left="77" w:right="73"/>
              <w:jc w:val="both"/>
              <w:rPr>
                <w:sz w:val="18"/>
              </w:rPr>
            </w:pPr>
            <w:r>
              <w:rPr>
                <w:color w:val="231F20"/>
                <w:w w:val="105"/>
                <w:sz w:val="18"/>
              </w:rPr>
              <w:t>Proceso de </w:t>
            </w:r>
            <w:r>
              <w:rPr>
                <w:color w:val="231F20"/>
                <w:spacing w:val="2"/>
                <w:w w:val="105"/>
                <w:sz w:val="18"/>
              </w:rPr>
              <w:t>alta </w:t>
            </w:r>
            <w:r>
              <w:rPr>
                <w:color w:val="231F20"/>
                <w:spacing w:val="3"/>
                <w:w w:val="105"/>
                <w:sz w:val="18"/>
              </w:rPr>
              <w:t>complejidad </w:t>
            </w:r>
            <w:r>
              <w:rPr>
                <w:color w:val="231F20"/>
                <w:w w:val="105"/>
                <w:sz w:val="18"/>
              </w:rPr>
              <w:t>que</w:t>
            </w:r>
            <w:r>
              <w:rPr>
                <w:color w:val="231F20"/>
                <w:spacing w:val="-12"/>
                <w:w w:val="105"/>
                <w:sz w:val="18"/>
              </w:rPr>
              <w:t> </w:t>
            </w:r>
            <w:r>
              <w:rPr>
                <w:color w:val="231F20"/>
                <w:w w:val="105"/>
                <w:sz w:val="18"/>
              </w:rPr>
              <w:t>conduce</w:t>
            </w:r>
            <w:r>
              <w:rPr>
                <w:color w:val="231F20"/>
                <w:spacing w:val="-12"/>
                <w:w w:val="105"/>
                <w:sz w:val="18"/>
              </w:rPr>
              <w:t> </w:t>
            </w:r>
            <w:r>
              <w:rPr>
                <w:color w:val="231F20"/>
                <w:w w:val="105"/>
                <w:sz w:val="18"/>
              </w:rPr>
              <w:t>a</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organización a</w:t>
            </w:r>
            <w:r>
              <w:rPr>
                <w:color w:val="231F20"/>
                <w:spacing w:val="-37"/>
                <w:w w:val="105"/>
                <w:sz w:val="18"/>
              </w:rPr>
              <w:t> </w:t>
            </w:r>
            <w:r>
              <w:rPr>
                <w:color w:val="231F20"/>
                <w:w w:val="105"/>
                <w:sz w:val="18"/>
              </w:rPr>
              <w:t>nuevos</w:t>
            </w:r>
            <w:r>
              <w:rPr>
                <w:color w:val="231F20"/>
                <w:spacing w:val="-37"/>
                <w:w w:val="105"/>
                <w:sz w:val="18"/>
              </w:rPr>
              <w:t> </w:t>
            </w:r>
            <w:r>
              <w:rPr>
                <w:color w:val="231F20"/>
                <w:w w:val="105"/>
                <w:sz w:val="18"/>
              </w:rPr>
              <w:t>conocimientos.</w:t>
            </w:r>
          </w:p>
        </w:tc>
        <w:tc>
          <w:tcPr>
            <w:tcW w:w="2515" w:type="dxa"/>
          </w:tcPr>
          <w:p>
            <w:pPr>
              <w:pStyle w:val="TableParagraph"/>
              <w:spacing w:before="5"/>
              <w:rPr>
                <w:sz w:val="26"/>
              </w:rPr>
            </w:pPr>
          </w:p>
          <w:p>
            <w:pPr>
              <w:pStyle w:val="TableParagraph"/>
              <w:ind w:left="77" w:right="-7"/>
              <w:rPr>
                <w:sz w:val="18"/>
              </w:rPr>
            </w:pPr>
            <w:r>
              <w:rPr>
                <w:color w:val="231F20"/>
                <w:w w:val="105"/>
                <w:sz w:val="18"/>
              </w:rPr>
              <w:t>Complehjidad.</w:t>
            </w:r>
          </w:p>
        </w:tc>
      </w:tr>
      <w:tr>
        <w:trPr>
          <w:trHeight w:val="1420" w:hRule="exact"/>
        </w:trPr>
        <w:tc>
          <w:tcPr>
            <w:tcW w:w="1754" w:type="dxa"/>
          </w:tcPr>
          <w:p>
            <w:pPr>
              <w:pStyle w:val="TableParagraph"/>
              <w:rPr>
                <w:sz w:val="18"/>
              </w:rPr>
            </w:pPr>
          </w:p>
          <w:p>
            <w:pPr>
              <w:pStyle w:val="TableParagraph"/>
              <w:spacing w:before="10"/>
              <w:rPr>
                <w:sz w:val="17"/>
              </w:rPr>
            </w:pPr>
          </w:p>
          <w:p>
            <w:pPr>
              <w:pStyle w:val="TableParagraph"/>
              <w:spacing w:line="249" w:lineRule="auto"/>
              <w:ind w:left="77" w:right="51"/>
              <w:rPr>
                <w:sz w:val="18"/>
              </w:rPr>
            </w:pPr>
            <w:r>
              <w:rPr>
                <w:color w:val="231F20"/>
                <w:w w:val="95"/>
                <w:sz w:val="18"/>
              </w:rPr>
              <w:t>Janson, Cecez-Kec- </w:t>
            </w:r>
            <w:r>
              <w:rPr>
                <w:color w:val="231F20"/>
                <w:sz w:val="18"/>
              </w:rPr>
              <w:t>manovic y Zupan- cic (2007)</w:t>
            </w:r>
          </w:p>
        </w:tc>
        <w:tc>
          <w:tcPr>
            <w:tcW w:w="2681" w:type="dxa"/>
          </w:tcPr>
          <w:p>
            <w:pPr>
              <w:pStyle w:val="TableParagraph"/>
              <w:spacing w:line="249" w:lineRule="auto" w:before="88"/>
              <w:ind w:left="77" w:right="75"/>
              <w:jc w:val="both"/>
              <w:rPr>
                <w:sz w:val="18"/>
              </w:rPr>
            </w:pPr>
            <w:r>
              <w:rPr>
                <w:color w:val="231F20"/>
                <w:w w:val="105"/>
                <w:sz w:val="18"/>
              </w:rPr>
              <w:t>Se produce cuando los miem- bros</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organización</w:t>
            </w:r>
            <w:r>
              <w:rPr>
                <w:color w:val="231F20"/>
                <w:spacing w:val="-20"/>
                <w:w w:val="105"/>
                <w:sz w:val="18"/>
              </w:rPr>
              <w:t> </w:t>
            </w:r>
            <w:r>
              <w:rPr>
                <w:color w:val="231F20"/>
                <w:w w:val="105"/>
                <w:sz w:val="18"/>
              </w:rPr>
              <w:t>cam- bian</w:t>
            </w:r>
            <w:r>
              <w:rPr>
                <w:color w:val="231F20"/>
                <w:spacing w:val="-27"/>
                <w:w w:val="105"/>
                <w:sz w:val="18"/>
              </w:rPr>
              <w:t> </w:t>
            </w:r>
            <w:r>
              <w:rPr>
                <w:color w:val="231F20"/>
                <w:w w:val="105"/>
                <w:sz w:val="18"/>
              </w:rPr>
              <w:t>sus</w:t>
            </w:r>
            <w:r>
              <w:rPr>
                <w:color w:val="231F20"/>
                <w:spacing w:val="-27"/>
                <w:w w:val="105"/>
                <w:sz w:val="18"/>
              </w:rPr>
              <w:t> </w:t>
            </w:r>
            <w:r>
              <w:rPr>
                <w:color w:val="231F20"/>
                <w:w w:val="105"/>
                <w:sz w:val="18"/>
              </w:rPr>
              <w:t>supuestos</w:t>
            </w:r>
            <w:r>
              <w:rPr>
                <w:color w:val="231F20"/>
                <w:spacing w:val="-27"/>
                <w:w w:val="105"/>
                <w:sz w:val="18"/>
              </w:rPr>
              <w:t> </w:t>
            </w:r>
            <w:r>
              <w:rPr>
                <w:color w:val="231F20"/>
                <w:w w:val="105"/>
                <w:sz w:val="18"/>
              </w:rPr>
              <w:t>y</w:t>
            </w:r>
            <w:r>
              <w:rPr>
                <w:color w:val="231F20"/>
                <w:spacing w:val="-27"/>
                <w:w w:val="105"/>
                <w:sz w:val="18"/>
              </w:rPr>
              <w:t> </w:t>
            </w:r>
            <w:r>
              <w:rPr>
                <w:color w:val="231F20"/>
                <w:w w:val="105"/>
                <w:sz w:val="18"/>
              </w:rPr>
              <w:t>creencias </w:t>
            </w:r>
            <w:r>
              <w:rPr>
                <w:color w:val="231F20"/>
                <w:spacing w:val="-4"/>
                <w:w w:val="105"/>
                <w:sz w:val="18"/>
              </w:rPr>
              <w:t>y,</w:t>
            </w:r>
            <w:r>
              <w:rPr>
                <w:color w:val="231F20"/>
                <w:spacing w:val="-31"/>
                <w:w w:val="105"/>
                <w:sz w:val="18"/>
              </w:rPr>
              <w:t> </w:t>
            </w:r>
            <w:r>
              <w:rPr>
                <w:color w:val="231F20"/>
                <w:w w:val="105"/>
                <w:sz w:val="18"/>
              </w:rPr>
              <w:t>a</w:t>
            </w:r>
            <w:r>
              <w:rPr>
                <w:color w:val="231F20"/>
                <w:spacing w:val="-27"/>
                <w:w w:val="105"/>
                <w:sz w:val="18"/>
              </w:rPr>
              <w:t> </w:t>
            </w:r>
            <w:r>
              <w:rPr>
                <w:color w:val="231F20"/>
                <w:w w:val="105"/>
                <w:sz w:val="18"/>
              </w:rPr>
              <w:t>su</w:t>
            </w:r>
            <w:r>
              <w:rPr>
                <w:color w:val="231F20"/>
                <w:spacing w:val="-27"/>
                <w:w w:val="105"/>
                <w:sz w:val="18"/>
              </w:rPr>
              <w:t> </w:t>
            </w:r>
            <w:r>
              <w:rPr>
                <w:color w:val="231F20"/>
                <w:w w:val="105"/>
                <w:sz w:val="18"/>
              </w:rPr>
              <w:t>vez,</w:t>
            </w:r>
            <w:r>
              <w:rPr>
                <w:color w:val="231F20"/>
                <w:spacing w:val="-31"/>
                <w:w w:val="105"/>
                <w:sz w:val="18"/>
              </w:rPr>
              <w:t> </w:t>
            </w:r>
            <w:r>
              <w:rPr>
                <w:color w:val="231F20"/>
                <w:w w:val="105"/>
                <w:sz w:val="18"/>
              </w:rPr>
              <w:t>cambian</w:t>
            </w:r>
            <w:r>
              <w:rPr>
                <w:color w:val="231F20"/>
                <w:spacing w:val="-27"/>
                <w:w w:val="105"/>
                <w:sz w:val="18"/>
              </w:rPr>
              <w:t> </w:t>
            </w:r>
            <w:r>
              <w:rPr>
                <w:color w:val="231F20"/>
                <w:w w:val="105"/>
                <w:sz w:val="18"/>
              </w:rPr>
              <w:t>el</w:t>
            </w:r>
            <w:r>
              <w:rPr>
                <w:color w:val="231F20"/>
                <w:spacing w:val="-27"/>
                <w:w w:val="105"/>
                <w:sz w:val="18"/>
              </w:rPr>
              <w:t> </w:t>
            </w:r>
            <w:r>
              <w:rPr>
                <w:color w:val="231F20"/>
                <w:w w:val="105"/>
                <w:sz w:val="18"/>
              </w:rPr>
              <w:t>rango</w:t>
            </w:r>
            <w:r>
              <w:rPr>
                <w:color w:val="231F20"/>
                <w:spacing w:val="-27"/>
                <w:w w:val="105"/>
                <w:sz w:val="18"/>
              </w:rPr>
              <w:t> </w:t>
            </w:r>
            <w:r>
              <w:rPr>
                <w:color w:val="231F20"/>
                <w:w w:val="105"/>
                <w:sz w:val="18"/>
              </w:rPr>
              <w:t>de su comportamiento y mejoran su</w:t>
            </w:r>
            <w:r>
              <w:rPr>
                <w:color w:val="231F20"/>
                <w:spacing w:val="-23"/>
                <w:w w:val="105"/>
                <w:sz w:val="18"/>
              </w:rPr>
              <w:t> </w:t>
            </w:r>
            <w:r>
              <w:rPr>
                <w:color w:val="231F20"/>
                <w:w w:val="105"/>
                <w:sz w:val="18"/>
              </w:rPr>
              <w:t>capacidad</w:t>
            </w:r>
            <w:r>
              <w:rPr>
                <w:color w:val="231F20"/>
                <w:spacing w:val="-23"/>
                <w:w w:val="105"/>
                <w:sz w:val="18"/>
              </w:rPr>
              <w:t> </w:t>
            </w:r>
            <w:r>
              <w:rPr>
                <w:color w:val="231F20"/>
                <w:w w:val="105"/>
                <w:sz w:val="18"/>
              </w:rPr>
              <w:t>de</w:t>
            </w:r>
            <w:r>
              <w:rPr>
                <w:color w:val="231F20"/>
                <w:spacing w:val="-23"/>
                <w:w w:val="105"/>
                <w:sz w:val="18"/>
              </w:rPr>
              <w:t> </w:t>
            </w:r>
            <w:r>
              <w:rPr>
                <w:color w:val="231F20"/>
                <w:spacing w:val="-3"/>
                <w:w w:val="105"/>
                <w:sz w:val="18"/>
              </w:rPr>
              <w:t>actuar.</w:t>
            </w:r>
          </w:p>
        </w:tc>
        <w:tc>
          <w:tcPr>
            <w:tcW w:w="2515" w:type="dxa"/>
          </w:tcPr>
          <w:p>
            <w:pPr>
              <w:pStyle w:val="TableParagraph"/>
              <w:rPr>
                <w:sz w:val="18"/>
              </w:rPr>
            </w:pPr>
          </w:p>
          <w:p>
            <w:pPr>
              <w:pStyle w:val="TableParagraph"/>
              <w:spacing w:before="10"/>
              <w:rPr>
                <w:sz w:val="17"/>
              </w:rPr>
            </w:pPr>
          </w:p>
          <w:p>
            <w:pPr>
              <w:pStyle w:val="TableParagraph"/>
              <w:spacing w:line="249" w:lineRule="auto"/>
              <w:ind w:left="77" w:right="74"/>
              <w:jc w:val="both"/>
              <w:rPr>
                <w:sz w:val="18"/>
              </w:rPr>
            </w:pPr>
            <w:r>
              <w:rPr>
                <w:color w:val="231F20"/>
                <w:spacing w:val="-3"/>
                <w:w w:val="105"/>
                <w:sz w:val="18"/>
              </w:rPr>
              <w:t>Cambio</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el</w:t>
            </w:r>
            <w:r>
              <w:rPr>
                <w:color w:val="231F20"/>
                <w:spacing w:val="-24"/>
                <w:w w:val="105"/>
                <w:sz w:val="18"/>
              </w:rPr>
              <w:t> </w:t>
            </w:r>
            <w:r>
              <w:rPr>
                <w:color w:val="231F20"/>
                <w:w w:val="105"/>
                <w:sz w:val="18"/>
              </w:rPr>
              <w:t>comportamien- to de los miembros de la </w:t>
            </w:r>
            <w:r>
              <w:rPr>
                <w:color w:val="231F20"/>
                <w:spacing w:val="-3"/>
                <w:w w:val="105"/>
                <w:sz w:val="18"/>
              </w:rPr>
              <w:t>or- </w:t>
            </w:r>
            <w:r>
              <w:rPr>
                <w:color w:val="231F20"/>
                <w:w w:val="105"/>
                <w:sz w:val="18"/>
              </w:rPr>
              <w:t>ganización</w:t>
            </w:r>
          </w:p>
        </w:tc>
      </w:tr>
    </w:tbl>
    <w:p>
      <w:pPr>
        <w:spacing w:before="18"/>
        <w:ind w:left="137" w:right="0" w:firstLine="0"/>
        <w:jc w:val="both"/>
        <w:rPr>
          <w:sz w:val="16"/>
        </w:rPr>
      </w:pPr>
      <w:r>
        <w:rPr>
          <w:color w:val="231F20"/>
          <w:w w:val="105"/>
          <w:sz w:val="16"/>
        </w:rPr>
        <w:t>Fuente: Elaboración propia a partir de los autores citados.</w:t>
      </w:r>
    </w:p>
    <w:p>
      <w:pPr>
        <w:pStyle w:val="BodyText"/>
        <w:spacing w:before="7"/>
        <w:rPr>
          <w:sz w:val="16"/>
        </w:rPr>
      </w:pPr>
    </w:p>
    <w:p>
      <w:pPr>
        <w:spacing w:before="0"/>
        <w:ind w:left="137" w:right="0" w:firstLine="0"/>
        <w:jc w:val="both"/>
        <w:rPr>
          <w:i/>
          <w:sz w:val="21"/>
        </w:rPr>
      </w:pPr>
      <w:r>
        <w:rPr>
          <w:i/>
          <w:color w:val="231F20"/>
          <w:w w:val="105"/>
          <w:sz w:val="21"/>
        </w:rPr>
        <w:t>Creación de ambientes propicios para el aprendizaje</w:t>
      </w:r>
    </w:p>
    <w:p>
      <w:pPr>
        <w:pStyle w:val="BodyText"/>
        <w:spacing w:before="4"/>
        <w:rPr>
          <w:i/>
          <w:sz w:val="16"/>
        </w:rPr>
      </w:pPr>
    </w:p>
    <w:p>
      <w:pPr>
        <w:pStyle w:val="BodyText"/>
        <w:spacing w:line="259" w:lineRule="auto"/>
        <w:ind w:left="137" w:right="121"/>
        <w:jc w:val="both"/>
      </w:pPr>
      <w:r>
        <w:rPr>
          <w:color w:val="231F20"/>
          <w:w w:val="105"/>
        </w:rPr>
        <w:t>En la denominada era del conocimiento, las organizaciones requieren crear y mantener ambientes que propicien el aprendizaje. Un requisito para</w:t>
      </w:r>
      <w:r>
        <w:rPr>
          <w:color w:val="231F20"/>
          <w:spacing w:val="-22"/>
          <w:w w:val="105"/>
        </w:rPr>
        <w:t> </w:t>
      </w:r>
      <w:r>
        <w:rPr>
          <w:color w:val="231F20"/>
          <w:w w:val="105"/>
        </w:rPr>
        <w:t>ello</w:t>
      </w:r>
      <w:r>
        <w:rPr>
          <w:color w:val="231F20"/>
          <w:spacing w:val="-22"/>
          <w:w w:val="105"/>
        </w:rPr>
        <w:t> </w:t>
      </w:r>
      <w:r>
        <w:rPr>
          <w:color w:val="231F20"/>
          <w:w w:val="105"/>
        </w:rPr>
        <w:t>es</w:t>
      </w:r>
      <w:r>
        <w:rPr>
          <w:color w:val="231F20"/>
          <w:spacing w:val="-22"/>
          <w:w w:val="105"/>
        </w:rPr>
        <w:t> </w:t>
      </w:r>
      <w:r>
        <w:rPr>
          <w:color w:val="231F20"/>
          <w:w w:val="105"/>
        </w:rPr>
        <w:t>la</w:t>
      </w:r>
      <w:r>
        <w:rPr>
          <w:color w:val="231F20"/>
          <w:spacing w:val="-22"/>
          <w:w w:val="105"/>
        </w:rPr>
        <w:t> </w:t>
      </w:r>
      <w:r>
        <w:rPr>
          <w:color w:val="231F20"/>
          <w:w w:val="105"/>
        </w:rPr>
        <w:t>participación</w:t>
      </w:r>
      <w:r>
        <w:rPr>
          <w:color w:val="231F20"/>
          <w:spacing w:val="-22"/>
          <w:w w:val="105"/>
        </w:rPr>
        <w:t> </w:t>
      </w:r>
      <w:r>
        <w:rPr>
          <w:color w:val="231F20"/>
          <w:w w:val="105"/>
        </w:rPr>
        <w:t>activa</w:t>
      </w:r>
      <w:r>
        <w:rPr>
          <w:color w:val="231F20"/>
          <w:spacing w:val="-22"/>
          <w:w w:val="105"/>
        </w:rPr>
        <w:t> </w:t>
      </w:r>
      <w:r>
        <w:rPr>
          <w:color w:val="231F20"/>
          <w:w w:val="105"/>
        </w:rPr>
        <w:t>y</w:t>
      </w:r>
      <w:r>
        <w:rPr>
          <w:color w:val="231F20"/>
          <w:spacing w:val="-22"/>
          <w:w w:val="105"/>
        </w:rPr>
        <w:t> </w:t>
      </w:r>
      <w:r>
        <w:rPr>
          <w:color w:val="231F20"/>
          <w:w w:val="105"/>
        </w:rPr>
        <w:t>continua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miembros</w:t>
      </w:r>
      <w:r>
        <w:rPr>
          <w:color w:val="231F20"/>
          <w:spacing w:val="-22"/>
          <w:w w:val="105"/>
        </w:rPr>
        <w:t> </w:t>
      </w:r>
      <w:r>
        <w:rPr>
          <w:color w:val="231F20"/>
          <w:w w:val="105"/>
        </w:rPr>
        <w:t>que</w:t>
      </w:r>
      <w:r>
        <w:rPr>
          <w:color w:val="231F20"/>
          <w:spacing w:val="-22"/>
          <w:w w:val="105"/>
        </w:rPr>
        <w:t> </w:t>
      </w:r>
      <w:r>
        <w:rPr>
          <w:color w:val="231F20"/>
          <w:w w:val="105"/>
        </w:rPr>
        <w:t>en</w:t>
      </w:r>
      <w:r>
        <w:rPr>
          <w:color w:val="231F20"/>
          <w:spacing w:val="-22"/>
          <w:w w:val="105"/>
        </w:rPr>
        <w:t> </w:t>
      </w:r>
      <w:r>
        <w:rPr>
          <w:color w:val="231F20"/>
          <w:w w:val="105"/>
        </w:rPr>
        <w:t>ella laboran</w:t>
      </w:r>
      <w:r>
        <w:rPr>
          <w:color w:val="231F20"/>
          <w:spacing w:val="-9"/>
          <w:w w:val="105"/>
        </w:rPr>
        <w:t> </w:t>
      </w:r>
      <w:r>
        <w:rPr>
          <w:color w:val="231F20"/>
          <w:w w:val="105"/>
        </w:rPr>
        <w:t>disponiendo</w:t>
      </w:r>
      <w:r>
        <w:rPr>
          <w:color w:val="231F20"/>
          <w:spacing w:val="-9"/>
          <w:w w:val="105"/>
        </w:rPr>
        <w:t> </w:t>
      </w:r>
      <w:r>
        <w:rPr>
          <w:color w:val="231F20"/>
          <w:w w:val="105"/>
        </w:rPr>
        <w:t>de</w:t>
      </w:r>
      <w:r>
        <w:rPr>
          <w:color w:val="231F20"/>
          <w:spacing w:val="-9"/>
          <w:w w:val="105"/>
        </w:rPr>
        <w:t> </w:t>
      </w:r>
      <w:r>
        <w:rPr>
          <w:color w:val="231F20"/>
          <w:w w:val="105"/>
        </w:rPr>
        <w:t>espacios</w:t>
      </w:r>
      <w:r>
        <w:rPr>
          <w:color w:val="231F20"/>
          <w:spacing w:val="-9"/>
          <w:w w:val="105"/>
        </w:rPr>
        <w:t> </w:t>
      </w:r>
      <w:r>
        <w:rPr>
          <w:color w:val="231F20"/>
          <w:w w:val="105"/>
        </w:rPr>
        <w:t>físicos,</w:t>
      </w:r>
      <w:r>
        <w:rPr>
          <w:color w:val="231F20"/>
          <w:spacing w:val="-14"/>
          <w:w w:val="105"/>
        </w:rPr>
        <w:t> </w:t>
      </w:r>
      <w:r>
        <w:rPr>
          <w:color w:val="231F20"/>
          <w:w w:val="105"/>
        </w:rPr>
        <w:t>sistemas</w:t>
      </w:r>
      <w:r>
        <w:rPr>
          <w:color w:val="231F20"/>
          <w:spacing w:val="-9"/>
          <w:w w:val="105"/>
        </w:rPr>
        <w:t> </w:t>
      </w:r>
      <w:r>
        <w:rPr>
          <w:color w:val="231F20"/>
          <w:w w:val="105"/>
        </w:rPr>
        <w:t>y</w:t>
      </w:r>
      <w:r>
        <w:rPr>
          <w:color w:val="231F20"/>
          <w:spacing w:val="-9"/>
          <w:w w:val="105"/>
        </w:rPr>
        <w:t> </w:t>
      </w:r>
      <w:r>
        <w:rPr>
          <w:color w:val="231F20"/>
          <w:w w:val="105"/>
        </w:rPr>
        <w:t>medios</w:t>
      </w:r>
      <w:r>
        <w:rPr>
          <w:color w:val="231F20"/>
          <w:spacing w:val="-9"/>
          <w:w w:val="105"/>
        </w:rPr>
        <w:t> </w:t>
      </w:r>
      <w:r>
        <w:rPr>
          <w:color w:val="231F20"/>
          <w:w w:val="105"/>
        </w:rPr>
        <w:t>de</w:t>
      </w:r>
      <w:r>
        <w:rPr>
          <w:color w:val="231F20"/>
          <w:spacing w:val="-9"/>
          <w:w w:val="105"/>
        </w:rPr>
        <w:t> </w:t>
      </w:r>
      <w:r>
        <w:rPr>
          <w:color w:val="231F20"/>
          <w:w w:val="105"/>
        </w:rPr>
        <w:t>comuni- cación, así como disposición de los directivos para manejar estilos de liderazgo y trabajo en equipo que posibiliten de manera continua la</w:t>
      </w:r>
      <w:r>
        <w:rPr>
          <w:color w:val="231F20"/>
          <w:spacing w:val="-15"/>
          <w:w w:val="105"/>
        </w:rPr>
        <w:t> </w:t>
      </w:r>
      <w:r>
        <w:rPr>
          <w:color w:val="231F20"/>
          <w:w w:val="105"/>
        </w:rPr>
        <w:t>ad- quisición</w:t>
      </w:r>
      <w:r>
        <w:rPr>
          <w:color w:val="231F20"/>
          <w:spacing w:val="-16"/>
          <w:w w:val="105"/>
        </w:rPr>
        <w:t> </w:t>
      </w:r>
      <w:r>
        <w:rPr>
          <w:color w:val="231F20"/>
          <w:w w:val="105"/>
        </w:rPr>
        <w:t>de</w:t>
      </w:r>
      <w:r>
        <w:rPr>
          <w:color w:val="231F20"/>
          <w:spacing w:val="-16"/>
          <w:w w:val="105"/>
        </w:rPr>
        <w:t> </w:t>
      </w:r>
      <w:r>
        <w:rPr>
          <w:color w:val="231F20"/>
          <w:w w:val="105"/>
        </w:rPr>
        <w:t>nuevos</w:t>
      </w:r>
      <w:r>
        <w:rPr>
          <w:color w:val="231F20"/>
          <w:spacing w:val="-16"/>
          <w:w w:val="105"/>
        </w:rPr>
        <w:t> </w:t>
      </w:r>
      <w:r>
        <w:rPr>
          <w:color w:val="231F20"/>
          <w:w w:val="105"/>
        </w:rPr>
        <w:t>conocimientos</w:t>
      </w:r>
      <w:r>
        <w:rPr>
          <w:color w:val="231F20"/>
          <w:spacing w:val="-16"/>
          <w:w w:val="105"/>
        </w:rPr>
        <w:t> </w:t>
      </w:r>
      <w:r>
        <w:rPr>
          <w:color w:val="231F20"/>
          <w:w w:val="105"/>
        </w:rPr>
        <w:t>y</w:t>
      </w:r>
      <w:r>
        <w:rPr>
          <w:color w:val="231F20"/>
          <w:spacing w:val="-16"/>
          <w:w w:val="105"/>
        </w:rPr>
        <w:t> </w:t>
      </w:r>
      <w:r>
        <w:rPr>
          <w:color w:val="231F20"/>
          <w:w w:val="105"/>
        </w:rPr>
        <w:t>habilidades</w:t>
      </w:r>
      <w:r>
        <w:rPr>
          <w:color w:val="231F20"/>
          <w:spacing w:val="-16"/>
          <w:w w:val="105"/>
        </w:rPr>
        <w:t> </w:t>
      </w:r>
      <w:r>
        <w:rPr>
          <w:color w:val="231F20"/>
          <w:w w:val="105"/>
        </w:rPr>
        <w:t>del</w:t>
      </w:r>
      <w:r>
        <w:rPr>
          <w:color w:val="231F20"/>
          <w:spacing w:val="-16"/>
          <w:w w:val="105"/>
        </w:rPr>
        <w:t> </w:t>
      </w:r>
      <w:r>
        <w:rPr>
          <w:color w:val="231F20"/>
          <w:w w:val="105"/>
        </w:rPr>
        <w:t>factor</w:t>
      </w:r>
      <w:r>
        <w:rPr>
          <w:color w:val="231F20"/>
          <w:spacing w:val="-16"/>
          <w:w w:val="105"/>
        </w:rPr>
        <w:t> </w:t>
      </w:r>
      <w:r>
        <w:rPr>
          <w:color w:val="231F20"/>
          <w:w w:val="105"/>
        </w:rPr>
        <w:t>humano,</w:t>
      </w:r>
      <w:r>
        <w:rPr>
          <w:color w:val="231F20"/>
          <w:spacing w:val="-22"/>
          <w:w w:val="105"/>
        </w:rPr>
        <w:t> </w:t>
      </w:r>
      <w:r>
        <w:rPr>
          <w:color w:val="231F20"/>
          <w:w w:val="105"/>
        </w:rPr>
        <w:t>con información</w:t>
      </w:r>
      <w:r>
        <w:rPr>
          <w:color w:val="231F20"/>
          <w:spacing w:val="-6"/>
          <w:w w:val="105"/>
        </w:rPr>
        <w:t> </w:t>
      </w:r>
      <w:r>
        <w:rPr>
          <w:color w:val="231F20"/>
          <w:w w:val="105"/>
        </w:rPr>
        <w:t>proveniente</w:t>
      </w:r>
      <w:r>
        <w:rPr>
          <w:color w:val="231F20"/>
          <w:spacing w:val="-6"/>
          <w:w w:val="105"/>
        </w:rPr>
        <w:t> </w:t>
      </w:r>
      <w:r>
        <w:rPr>
          <w:color w:val="231F20"/>
          <w:w w:val="105"/>
        </w:rPr>
        <w:t>del</w:t>
      </w:r>
      <w:r>
        <w:rPr>
          <w:color w:val="231F20"/>
          <w:spacing w:val="-6"/>
          <w:w w:val="105"/>
        </w:rPr>
        <w:t> </w:t>
      </w:r>
      <w:r>
        <w:rPr>
          <w:color w:val="231F20"/>
          <w:w w:val="105"/>
        </w:rPr>
        <w:t>interior</w:t>
      </w:r>
      <w:r>
        <w:rPr>
          <w:color w:val="231F20"/>
          <w:spacing w:val="-6"/>
          <w:w w:val="105"/>
        </w:rPr>
        <w:t> </w:t>
      </w:r>
      <w:r>
        <w:rPr>
          <w:color w:val="231F20"/>
          <w:w w:val="105"/>
        </w:rPr>
        <w:t>y</w:t>
      </w:r>
      <w:r>
        <w:rPr>
          <w:color w:val="231F20"/>
          <w:spacing w:val="-6"/>
          <w:w w:val="105"/>
        </w:rPr>
        <w:t> </w:t>
      </w:r>
      <w:r>
        <w:rPr>
          <w:color w:val="231F20"/>
          <w:w w:val="105"/>
        </w:rPr>
        <w:t>del</w:t>
      </w:r>
      <w:r>
        <w:rPr>
          <w:color w:val="231F20"/>
          <w:spacing w:val="-6"/>
          <w:w w:val="105"/>
        </w:rPr>
        <w:t> </w:t>
      </w:r>
      <w:r>
        <w:rPr>
          <w:color w:val="231F20"/>
          <w:w w:val="105"/>
        </w:rPr>
        <w:t>exterior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organización.</w:t>
      </w:r>
    </w:p>
    <w:p>
      <w:pPr>
        <w:pStyle w:val="BodyText"/>
        <w:spacing w:line="259" w:lineRule="auto"/>
        <w:ind w:left="137" w:right="116" w:firstLine="567"/>
        <w:jc w:val="both"/>
      </w:pPr>
      <w:r>
        <w:rPr>
          <w:color w:val="231F20"/>
          <w:w w:val="105"/>
        </w:rPr>
        <w:t>La gestión del aprendizaje organizacional ha evolucionado hasta convertirse en una función estratégica, la cual requiere infraestructura que posibilite el aprendizaje incorporado a la función laboral, es decir, un aprendizaje en paralelo (Martínez, 2011).</w:t>
      </w:r>
    </w:p>
    <w:p>
      <w:pPr>
        <w:spacing w:after="0" w:line="259" w:lineRule="auto"/>
        <w:jc w:val="both"/>
        <w:sectPr>
          <w:pgSz w:w="9640" w:h="13890"/>
          <w:pgMar w:top="0" w:bottom="280" w:left="1280" w:right="1180"/>
        </w:sectPr>
      </w:pPr>
    </w:p>
    <w:p>
      <w:pPr>
        <w:pStyle w:val="BodyText"/>
        <w:spacing w:line="259" w:lineRule="auto" w:before="120"/>
        <w:ind w:left="103" w:right="114"/>
        <w:jc w:val="both"/>
      </w:pPr>
      <w:r>
        <w:rPr>
          <w:color w:val="231F20"/>
          <w:w w:val="105"/>
        </w:rPr>
        <w:t>Chavez</w:t>
      </w:r>
      <w:r>
        <w:rPr>
          <w:color w:val="231F20"/>
          <w:spacing w:val="-13"/>
          <w:w w:val="105"/>
        </w:rPr>
        <w:t> </w:t>
      </w:r>
      <w:r>
        <w:rPr>
          <w:color w:val="231F20"/>
          <w:w w:val="105"/>
        </w:rPr>
        <w:t>y</w:t>
      </w:r>
      <w:r>
        <w:rPr>
          <w:color w:val="231F20"/>
          <w:spacing w:val="-17"/>
          <w:w w:val="105"/>
        </w:rPr>
        <w:t> </w:t>
      </w:r>
      <w:r>
        <w:rPr>
          <w:color w:val="231F20"/>
          <w:spacing w:val="-5"/>
          <w:w w:val="105"/>
        </w:rPr>
        <w:t>Torres</w:t>
      </w:r>
      <w:r>
        <w:rPr>
          <w:color w:val="231F20"/>
          <w:spacing w:val="-13"/>
          <w:w w:val="105"/>
        </w:rPr>
        <w:t> </w:t>
      </w:r>
      <w:r>
        <w:rPr>
          <w:color w:val="231F20"/>
          <w:w w:val="105"/>
        </w:rPr>
        <w:t>(2012)</w:t>
      </w:r>
      <w:r>
        <w:rPr>
          <w:color w:val="231F20"/>
          <w:spacing w:val="-13"/>
          <w:w w:val="105"/>
        </w:rPr>
        <w:t> </w:t>
      </w:r>
      <w:r>
        <w:rPr>
          <w:color w:val="231F20"/>
          <w:w w:val="105"/>
        </w:rPr>
        <w:t>señalan</w:t>
      </w:r>
      <w:r>
        <w:rPr>
          <w:color w:val="231F20"/>
          <w:spacing w:val="-13"/>
          <w:w w:val="105"/>
        </w:rPr>
        <w:t> </w:t>
      </w:r>
      <w:r>
        <w:rPr>
          <w:color w:val="231F20"/>
          <w:w w:val="105"/>
        </w:rPr>
        <w:t>que</w:t>
      </w:r>
      <w:r>
        <w:rPr>
          <w:color w:val="231F20"/>
          <w:spacing w:val="-13"/>
          <w:w w:val="105"/>
        </w:rPr>
        <w:t> </w:t>
      </w:r>
      <w:r>
        <w:rPr>
          <w:color w:val="231F20"/>
          <w:w w:val="105"/>
        </w:rPr>
        <w:t>una</w:t>
      </w:r>
      <w:r>
        <w:rPr>
          <w:color w:val="231F20"/>
          <w:spacing w:val="-13"/>
          <w:w w:val="105"/>
        </w:rPr>
        <w:t> </w:t>
      </w:r>
      <w:r>
        <w:rPr>
          <w:color w:val="231F20"/>
          <w:w w:val="105"/>
        </w:rPr>
        <w:t>organización</w:t>
      </w:r>
      <w:r>
        <w:rPr>
          <w:color w:val="231F20"/>
          <w:spacing w:val="-13"/>
          <w:w w:val="105"/>
        </w:rPr>
        <w:t> </w:t>
      </w:r>
      <w:r>
        <w:rPr>
          <w:color w:val="231F20"/>
          <w:w w:val="105"/>
        </w:rPr>
        <w:t>inteligente</w:t>
      </w:r>
      <w:r>
        <w:rPr>
          <w:color w:val="231F20"/>
          <w:spacing w:val="-13"/>
          <w:w w:val="105"/>
        </w:rPr>
        <w:t> </w:t>
      </w:r>
      <w:r>
        <w:rPr>
          <w:color w:val="231F20"/>
          <w:w w:val="105"/>
        </w:rPr>
        <w:t>centra la</w:t>
      </w:r>
      <w:r>
        <w:rPr>
          <w:color w:val="231F20"/>
          <w:spacing w:val="-24"/>
          <w:w w:val="105"/>
        </w:rPr>
        <w:t> </w:t>
      </w:r>
      <w:r>
        <w:rPr>
          <w:color w:val="231F20"/>
          <w:w w:val="105"/>
        </w:rPr>
        <w:t>atención</w:t>
      </w:r>
      <w:r>
        <w:rPr>
          <w:color w:val="231F20"/>
          <w:spacing w:val="-24"/>
          <w:w w:val="105"/>
        </w:rPr>
        <w:t> </w:t>
      </w:r>
      <w:r>
        <w:rPr>
          <w:color w:val="231F20"/>
          <w:w w:val="105"/>
        </w:rPr>
        <w:t>en</w:t>
      </w:r>
      <w:r>
        <w:rPr>
          <w:color w:val="231F20"/>
          <w:spacing w:val="-24"/>
          <w:w w:val="105"/>
        </w:rPr>
        <w:t> </w:t>
      </w:r>
      <w:r>
        <w:rPr>
          <w:color w:val="231F20"/>
          <w:w w:val="105"/>
        </w:rPr>
        <w:t>gestionar</w:t>
      </w:r>
      <w:r>
        <w:rPr>
          <w:color w:val="231F20"/>
          <w:spacing w:val="-24"/>
          <w:w w:val="105"/>
        </w:rPr>
        <w:t> </w:t>
      </w:r>
      <w:r>
        <w:rPr>
          <w:color w:val="231F20"/>
          <w:w w:val="105"/>
        </w:rPr>
        <w:t>la</w:t>
      </w:r>
      <w:r>
        <w:rPr>
          <w:color w:val="231F20"/>
          <w:spacing w:val="-24"/>
          <w:w w:val="105"/>
        </w:rPr>
        <w:t> </w:t>
      </w:r>
      <w:r>
        <w:rPr>
          <w:color w:val="231F20"/>
          <w:w w:val="105"/>
        </w:rPr>
        <w:t>generación</w:t>
      </w:r>
      <w:r>
        <w:rPr>
          <w:color w:val="231F20"/>
          <w:spacing w:val="-24"/>
          <w:w w:val="105"/>
        </w:rPr>
        <w:t> </w:t>
      </w:r>
      <w:r>
        <w:rPr>
          <w:color w:val="231F20"/>
          <w:w w:val="105"/>
        </w:rPr>
        <w:t>de</w:t>
      </w:r>
      <w:r>
        <w:rPr>
          <w:color w:val="231F20"/>
          <w:spacing w:val="-24"/>
          <w:w w:val="105"/>
        </w:rPr>
        <w:t> </w:t>
      </w:r>
      <w:r>
        <w:rPr>
          <w:color w:val="231F20"/>
          <w:w w:val="105"/>
        </w:rPr>
        <w:t>conocimientos</w:t>
      </w:r>
      <w:r>
        <w:rPr>
          <w:color w:val="231F20"/>
          <w:spacing w:val="-24"/>
          <w:w w:val="105"/>
        </w:rPr>
        <w:t> </w:t>
      </w:r>
      <w:r>
        <w:rPr>
          <w:color w:val="231F20"/>
          <w:w w:val="105"/>
        </w:rPr>
        <w:t>y</w:t>
      </w:r>
      <w:r>
        <w:rPr>
          <w:color w:val="231F20"/>
          <w:spacing w:val="-24"/>
          <w:w w:val="105"/>
        </w:rPr>
        <w:t> </w:t>
      </w:r>
      <w:r>
        <w:rPr>
          <w:color w:val="231F20"/>
          <w:w w:val="105"/>
        </w:rPr>
        <w:t>desarrollar</w:t>
      </w:r>
      <w:r>
        <w:rPr>
          <w:color w:val="231F20"/>
          <w:spacing w:val="-24"/>
          <w:w w:val="105"/>
        </w:rPr>
        <w:t> </w:t>
      </w:r>
      <w:r>
        <w:rPr>
          <w:color w:val="231F20"/>
          <w:w w:val="105"/>
        </w:rPr>
        <w:t>ex- periencias</w:t>
      </w:r>
      <w:r>
        <w:rPr>
          <w:color w:val="231F20"/>
          <w:spacing w:val="-16"/>
          <w:w w:val="105"/>
        </w:rPr>
        <w:t> </w:t>
      </w:r>
      <w:r>
        <w:rPr>
          <w:color w:val="231F20"/>
          <w:w w:val="105"/>
        </w:rPr>
        <w:t>que</w:t>
      </w:r>
      <w:r>
        <w:rPr>
          <w:color w:val="231F20"/>
          <w:spacing w:val="-16"/>
          <w:w w:val="105"/>
        </w:rPr>
        <w:t> </w:t>
      </w:r>
      <w:r>
        <w:rPr>
          <w:color w:val="231F20"/>
          <w:w w:val="105"/>
        </w:rPr>
        <w:t>le</w:t>
      </w:r>
      <w:r>
        <w:rPr>
          <w:color w:val="231F20"/>
          <w:spacing w:val="-16"/>
          <w:w w:val="105"/>
        </w:rPr>
        <w:t> </w:t>
      </w:r>
      <w:r>
        <w:rPr>
          <w:color w:val="231F20"/>
          <w:w w:val="105"/>
        </w:rPr>
        <w:t>permiten</w:t>
      </w:r>
      <w:r>
        <w:rPr>
          <w:color w:val="231F20"/>
          <w:spacing w:val="-16"/>
          <w:w w:val="105"/>
        </w:rPr>
        <w:t> </w:t>
      </w:r>
      <w:r>
        <w:rPr>
          <w:color w:val="231F20"/>
          <w:w w:val="105"/>
        </w:rPr>
        <w:t>adaptarse</w:t>
      </w:r>
      <w:r>
        <w:rPr>
          <w:color w:val="231F20"/>
          <w:spacing w:val="-16"/>
          <w:w w:val="105"/>
        </w:rPr>
        <w:t> </w:t>
      </w:r>
      <w:r>
        <w:rPr>
          <w:color w:val="231F20"/>
          <w:w w:val="105"/>
        </w:rPr>
        <w:t>proactivamente</w:t>
      </w:r>
      <w:r>
        <w:rPr>
          <w:color w:val="231F20"/>
          <w:spacing w:val="-16"/>
          <w:w w:val="105"/>
        </w:rPr>
        <w:t> </w:t>
      </w:r>
      <w:r>
        <w:rPr>
          <w:color w:val="231F20"/>
          <w:w w:val="105"/>
        </w:rPr>
        <w:t>a</w:t>
      </w:r>
      <w:r>
        <w:rPr>
          <w:color w:val="231F20"/>
          <w:spacing w:val="-16"/>
          <w:w w:val="105"/>
        </w:rPr>
        <w:t> </w:t>
      </w:r>
      <w:r>
        <w:rPr>
          <w:color w:val="231F20"/>
          <w:w w:val="105"/>
        </w:rPr>
        <w:t>un</w:t>
      </w:r>
      <w:r>
        <w:rPr>
          <w:color w:val="231F20"/>
          <w:spacing w:val="-16"/>
          <w:w w:val="105"/>
        </w:rPr>
        <w:t> </w:t>
      </w:r>
      <w:r>
        <w:rPr>
          <w:color w:val="231F20"/>
          <w:w w:val="105"/>
        </w:rPr>
        <w:t>entorno</w:t>
      </w:r>
      <w:r>
        <w:rPr>
          <w:color w:val="231F20"/>
          <w:spacing w:val="-16"/>
          <w:w w:val="105"/>
        </w:rPr>
        <w:t> </w:t>
      </w:r>
      <w:r>
        <w:rPr>
          <w:color w:val="231F20"/>
          <w:w w:val="105"/>
        </w:rPr>
        <w:t>cam- biante,</w:t>
      </w:r>
      <w:r>
        <w:rPr>
          <w:color w:val="231F20"/>
          <w:spacing w:val="-11"/>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vez</w:t>
      </w:r>
      <w:r>
        <w:rPr>
          <w:color w:val="231F20"/>
          <w:spacing w:val="-5"/>
          <w:w w:val="105"/>
        </w:rPr>
        <w:t> </w:t>
      </w:r>
      <w:r>
        <w:rPr>
          <w:color w:val="231F20"/>
          <w:w w:val="105"/>
        </w:rPr>
        <w:t>que</w:t>
      </w:r>
      <w:r>
        <w:rPr>
          <w:color w:val="231F20"/>
          <w:spacing w:val="-5"/>
          <w:w w:val="105"/>
        </w:rPr>
        <w:t> </w:t>
      </w:r>
      <w:r>
        <w:rPr>
          <w:color w:val="231F20"/>
          <w:w w:val="105"/>
        </w:rPr>
        <w:t>ponen</w:t>
      </w:r>
      <w:r>
        <w:rPr>
          <w:color w:val="231F20"/>
          <w:spacing w:val="-5"/>
          <w:w w:val="105"/>
        </w:rPr>
        <w:t> </w:t>
      </w:r>
      <w:r>
        <w:rPr>
          <w:color w:val="231F20"/>
          <w:w w:val="105"/>
        </w:rPr>
        <w:t>de</w:t>
      </w:r>
      <w:r>
        <w:rPr>
          <w:color w:val="231F20"/>
          <w:spacing w:val="-5"/>
          <w:w w:val="105"/>
        </w:rPr>
        <w:t> </w:t>
      </w:r>
      <w:r>
        <w:rPr>
          <w:color w:val="231F20"/>
          <w:w w:val="105"/>
        </w:rPr>
        <w:t>manifiesto</w:t>
      </w:r>
      <w:r>
        <w:rPr>
          <w:color w:val="231F20"/>
          <w:spacing w:val="-5"/>
          <w:w w:val="105"/>
        </w:rPr>
        <w:t> </w:t>
      </w:r>
      <w:r>
        <w:rPr>
          <w:color w:val="231F20"/>
          <w:w w:val="105"/>
        </w:rPr>
        <w:t>dos</w:t>
      </w:r>
      <w:r>
        <w:rPr>
          <w:color w:val="231F20"/>
          <w:spacing w:val="-5"/>
          <w:w w:val="105"/>
        </w:rPr>
        <w:t> </w:t>
      </w:r>
      <w:r>
        <w:rPr>
          <w:color w:val="231F20"/>
          <w:w w:val="105"/>
        </w:rPr>
        <w:t>elementos</w:t>
      </w:r>
      <w:r>
        <w:rPr>
          <w:color w:val="231F20"/>
          <w:spacing w:val="-5"/>
          <w:w w:val="105"/>
        </w:rPr>
        <w:t> </w:t>
      </w:r>
      <w:r>
        <w:rPr>
          <w:color w:val="231F20"/>
          <w:w w:val="105"/>
        </w:rPr>
        <w:t>fundamentales para propiciar el aprendizaje organizacional: el primero resalta la con- veniencia de implementar las actividades de aprendizaje</w:t>
      </w:r>
      <w:r>
        <w:rPr>
          <w:color w:val="231F20"/>
          <w:spacing w:val="-25"/>
          <w:w w:val="105"/>
        </w:rPr>
        <w:t> </w:t>
      </w:r>
      <w:r>
        <w:rPr>
          <w:color w:val="231F20"/>
          <w:w w:val="105"/>
        </w:rPr>
        <w:t>gradualmente y de manera particular en el nivel estructural, para influir en la redefini- ción de funciones y tareas. El segundo es la necesidad de integración de equipos de trabajo, con el propósito de alcanzar los objetivos de la organización,</w:t>
      </w:r>
      <w:r>
        <w:rPr>
          <w:color w:val="231F20"/>
          <w:spacing w:val="-26"/>
          <w:w w:val="105"/>
        </w:rPr>
        <w:t> </w:t>
      </w:r>
      <w:r>
        <w:rPr>
          <w:color w:val="231F20"/>
          <w:w w:val="105"/>
        </w:rPr>
        <w:t>centrándose</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valores</w:t>
      </w:r>
      <w:r>
        <w:rPr>
          <w:color w:val="231F20"/>
          <w:spacing w:val="-21"/>
          <w:w w:val="105"/>
        </w:rPr>
        <w:t> </w:t>
      </w:r>
      <w:r>
        <w:rPr>
          <w:color w:val="231F20"/>
          <w:w w:val="105"/>
        </w:rPr>
        <w:t>a</w:t>
      </w:r>
      <w:r>
        <w:rPr>
          <w:color w:val="231F20"/>
          <w:spacing w:val="-21"/>
          <w:w w:val="105"/>
        </w:rPr>
        <w:t> </w:t>
      </w:r>
      <w:r>
        <w:rPr>
          <w:color w:val="231F20"/>
          <w:w w:val="105"/>
        </w:rPr>
        <w:t>fin</w:t>
      </w:r>
      <w:r>
        <w:rPr>
          <w:color w:val="231F20"/>
          <w:spacing w:val="-21"/>
          <w:w w:val="105"/>
        </w:rPr>
        <w:t> </w:t>
      </w:r>
      <w:r>
        <w:rPr>
          <w:color w:val="231F20"/>
          <w:w w:val="105"/>
        </w:rPr>
        <w:t>de</w:t>
      </w:r>
      <w:r>
        <w:rPr>
          <w:color w:val="231F20"/>
          <w:spacing w:val="-21"/>
          <w:w w:val="105"/>
        </w:rPr>
        <w:t> </w:t>
      </w:r>
      <w:r>
        <w:rPr>
          <w:color w:val="231F20"/>
          <w:w w:val="105"/>
        </w:rPr>
        <w:t>transmitir</w:t>
      </w:r>
      <w:r>
        <w:rPr>
          <w:color w:val="231F20"/>
          <w:spacing w:val="-21"/>
          <w:w w:val="105"/>
        </w:rPr>
        <w:t> </w:t>
      </w:r>
      <w:r>
        <w:rPr>
          <w:color w:val="231F20"/>
          <w:w w:val="105"/>
        </w:rPr>
        <w:t>un</w:t>
      </w:r>
      <w:r>
        <w:rPr>
          <w:color w:val="231F20"/>
          <w:spacing w:val="-21"/>
          <w:w w:val="105"/>
        </w:rPr>
        <w:t> </w:t>
      </w:r>
      <w:r>
        <w:rPr>
          <w:color w:val="231F20"/>
          <w:w w:val="105"/>
        </w:rPr>
        <w:t>sentido</w:t>
      </w:r>
      <w:r>
        <w:rPr>
          <w:color w:val="231F20"/>
          <w:spacing w:val="-21"/>
          <w:w w:val="105"/>
        </w:rPr>
        <w:t> </w:t>
      </w:r>
      <w:r>
        <w:rPr>
          <w:color w:val="231F20"/>
          <w:w w:val="105"/>
        </w:rPr>
        <w:t>de apropiación</w:t>
      </w:r>
      <w:r>
        <w:rPr>
          <w:color w:val="231F20"/>
          <w:spacing w:val="-14"/>
          <w:w w:val="105"/>
        </w:rPr>
        <w:t> </w:t>
      </w:r>
      <w:r>
        <w:rPr>
          <w:color w:val="231F20"/>
          <w:w w:val="105"/>
        </w:rPr>
        <w:t>y</w:t>
      </w:r>
      <w:r>
        <w:rPr>
          <w:color w:val="231F20"/>
          <w:spacing w:val="-14"/>
          <w:w w:val="105"/>
        </w:rPr>
        <w:t> </w:t>
      </w:r>
      <w:r>
        <w:rPr>
          <w:color w:val="231F20"/>
          <w:w w:val="105"/>
        </w:rPr>
        <w:t>compromiso</w:t>
      </w:r>
      <w:r>
        <w:rPr>
          <w:color w:val="231F20"/>
          <w:spacing w:val="-14"/>
          <w:w w:val="105"/>
        </w:rPr>
        <w:t> </w:t>
      </w:r>
      <w:r>
        <w:rPr>
          <w:color w:val="231F20"/>
          <w:w w:val="105"/>
        </w:rPr>
        <w:t>para</w:t>
      </w:r>
      <w:r>
        <w:rPr>
          <w:color w:val="231F20"/>
          <w:spacing w:val="-14"/>
          <w:w w:val="105"/>
        </w:rPr>
        <w:t> </w:t>
      </w:r>
      <w:r>
        <w:rPr>
          <w:color w:val="231F20"/>
          <w:w w:val="105"/>
        </w:rPr>
        <w:t>mantener</w:t>
      </w:r>
      <w:r>
        <w:rPr>
          <w:color w:val="231F20"/>
          <w:spacing w:val="-14"/>
          <w:w w:val="105"/>
        </w:rPr>
        <w:t> </w:t>
      </w:r>
      <w:r>
        <w:rPr>
          <w:color w:val="231F20"/>
          <w:w w:val="105"/>
        </w:rPr>
        <w:t>una</w:t>
      </w:r>
      <w:r>
        <w:rPr>
          <w:color w:val="231F20"/>
          <w:spacing w:val="-14"/>
          <w:w w:val="105"/>
        </w:rPr>
        <w:t> </w:t>
      </w:r>
      <w:r>
        <w:rPr>
          <w:color w:val="231F20"/>
          <w:w w:val="105"/>
        </w:rPr>
        <w:t>cultura</w:t>
      </w:r>
      <w:r>
        <w:rPr>
          <w:color w:val="231F20"/>
          <w:spacing w:val="-14"/>
          <w:w w:val="105"/>
        </w:rPr>
        <w:t> </w:t>
      </w:r>
      <w:r>
        <w:rPr>
          <w:color w:val="231F20"/>
          <w:w w:val="105"/>
        </w:rPr>
        <w:t>de</w:t>
      </w:r>
      <w:r>
        <w:rPr>
          <w:color w:val="231F20"/>
          <w:spacing w:val="-14"/>
          <w:w w:val="105"/>
        </w:rPr>
        <w:t> </w:t>
      </w:r>
      <w:r>
        <w:rPr>
          <w:color w:val="231F20"/>
          <w:w w:val="105"/>
        </w:rPr>
        <w:t>aprendizaje.</w:t>
      </w:r>
    </w:p>
    <w:p>
      <w:pPr>
        <w:pStyle w:val="BodyText"/>
        <w:spacing w:line="259" w:lineRule="auto"/>
        <w:ind w:left="103" w:right="100" w:firstLine="567"/>
      </w:pPr>
      <w:r>
        <w:rPr>
          <w:color w:val="231F20"/>
          <w:w w:val="105"/>
        </w:rPr>
        <w:t>Las</w:t>
      </w:r>
      <w:r>
        <w:rPr>
          <w:color w:val="231F20"/>
          <w:spacing w:val="-21"/>
          <w:w w:val="105"/>
        </w:rPr>
        <w:t> </w:t>
      </w:r>
      <w:r>
        <w:rPr>
          <w:color w:val="231F20"/>
          <w:w w:val="105"/>
        </w:rPr>
        <w:t>principales</w:t>
      </w:r>
      <w:r>
        <w:rPr>
          <w:color w:val="231F20"/>
          <w:spacing w:val="-21"/>
          <w:w w:val="105"/>
        </w:rPr>
        <w:t> </w:t>
      </w:r>
      <w:r>
        <w:rPr>
          <w:color w:val="231F20"/>
          <w:w w:val="105"/>
        </w:rPr>
        <w:t>características</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color w:val="231F20"/>
          <w:w w:val="105"/>
        </w:rPr>
        <w:t>organización</w:t>
      </w:r>
      <w:r>
        <w:rPr>
          <w:color w:val="231F20"/>
          <w:spacing w:val="-21"/>
          <w:w w:val="105"/>
        </w:rPr>
        <w:t> </w:t>
      </w:r>
      <w:r>
        <w:rPr>
          <w:color w:val="231F20"/>
          <w:w w:val="105"/>
        </w:rPr>
        <w:t>generadora</w:t>
      </w:r>
      <w:r>
        <w:rPr>
          <w:color w:val="231F20"/>
          <w:spacing w:val="-21"/>
          <w:w w:val="105"/>
        </w:rPr>
        <w:t> </w:t>
      </w:r>
      <w:r>
        <w:rPr>
          <w:color w:val="231F20"/>
          <w:w w:val="105"/>
        </w:rPr>
        <w:t>de ambientes</w:t>
      </w:r>
      <w:r>
        <w:rPr>
          <w:color w:val="231F20"/>
          <w:spacing w:val="-24"/>
          <w:w w:val="105"/>
        </w:rPr>
        <w:t> </w:t>
      </w:r>
      <w:r>
        <w:rPr>
          <w:color w:val="231F20"/>
          <w:w w:val="105"/>
        </w:rPr>
        <w:t>de</w:t>
      </w:r>
      <w:r>
        <w:rPr>
          <w:color w:val="231F20"/>
          <w:spacing w:val="-24"/>
          <w:w w:val="105"/>
        </w:rPr>
        <w:t> </w:t>
      </w:r>
      <w:r>
        <w:rPr>
          <w:color w:val="231F20"/>
          <w:w w:val="105"/>
        </w:rPr>
        <w:t>aprendizaje</w:t>
      </w:r>
      <w:r>
        <w:rPr>
          <w:color w:val="231F20"/>
          <w:spacing w:val="-24"/>
          <w:w w:val="105"/>
        </w:rPr>
        <w:t> </w:t>
      </w:r>
      <w:r>
        <w:rPr>
          <w:color w:val="231F20"/>
          <w:w w:val="105"/>
        </w:rPr>
        <w:t>son</w:t>
      </w:r>
      <w:r>
        <w:rPr>
          <w:color w:val="231F20"/>
          <w:spacing w:val="-24"/>
          <w:w w:val="105"/>
        </w:rPr>
        <w:t> </w:t>
      </w:r>
      <w:r>
        <w:rPr>
          <w:color w:val="231F20"/>
          <w:w w:val="105"/>
        </w:rPr>
        <w:t>(Dasgupta,</w:t>
      </w:r>
      <w:r>
        <w:rPr>
          <w:color w:val="231F20"/>
          <w:spacing w:val="-29"/>
          <w:w w:val="105"/>
        </w:rPr>
        <w:t> </w:t>
      </w:r>
      <w:r>
        <w:rPr>
          <w:color w:val="231F20"/>
          <w:w w:val="105"/>
        </w:rPr>
        <w:t>2012):</w:t>
      </w:r>
    </w:p>
    <w:p>
      <w:pPr>
        <w:pStyle w:val="BodyText"/>
        <w:spacing w:before="6"/>
        <w:rPr>
          <w:sz w:val="22"/>
        </w:rPr>
      </w:pPr>
    </w:p>
    <w:p>
      <w:pPr>
        <w:pStyle w:val="ListParagraph"/>
        <w:numPr>
          <w:ilvl w:val="0"/>
          <w:numId w:val="33"/>
        </w:numPr>
        <w:tabs>
          <w:tab w:pos="1315" w:val="left" w:leader="none"/>
        </w:tabs>
        <w:spacing w:line="240" w:lineRule="auto" w:before="0" w:after="0"/>
        <w:ind w:left="1314" w:right="0" w:hanging="360"/>
        <w:jc w:val="left"/>
        <w:rPr>
          <w:sz w:val="21"/>
        </w:rPr>
      </w:pPr>
      <w:r>
        <w:rPr>
          <w:color w:val="231F20"/>
          <w:w w:val="105"/>
          <w:sz w:val="21"/>
        </w:rPr>
        <w:t>Adaptación al entorno</w:t>
      </w:r>
      <w:r>
        <w:rPr>
          <w:color w:val="231F20"/>
          <w:spacing w:val="-24"/>
          <w:w w:val="105"/>
          <w:sz w:val="21"/>
        </w:rPr>
        <w:t> </w:t>
      </w:r>
      <w:r>
        <w:rPr>
          <w:color w:val="231F20"/>
          <w:w w:val="105"/>
          <w:sz w:val="21"/>
        </w:rPr>
        <w:t>cambiante.</w:t>
      </w:r>
    </w:p>
    <w:p>
      <w:pPr>
        <w:pStyle w:val="BodyText"/>
        <w:spacing w:before="4"/>
        <w:rPr>
          <w:sz w:val="16"/>
        </w:rPr>
      </w:pPr>
    </w:p>
    <w:p>
      <w:pPr>
        <w:pStyle w:val="ListParagraph"/>
        <w:numPr>
          <w:ilvl w:val="0"/>
          <w:numId w:val="33"/>
        </w:numPr>
        <w:tabs>
          <w:tab w:pos="1315" w:val="left" w:leader="none"/>
        </w:tabs>
        <w:spacing w:line="259" w:lineRule="auto" w:before="0" w:after="0"/>
        <w:ind w:left="1314" w:right="115" w:hanging="360"/>
        <w:jc w:val="left"/>
        <w:rPr>
          <w:sz w:val="21"/>
        </w:rPr>
      </w:pPr>
      <w:r>
        <w:rPr>
          <w:color w:val="231F20"/>
          <w:w w:val="105"/>
          <w:sz w:val="21"/>
        </w:rPr>
        <w:t>Establecimiento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niveles</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aprendizaje</w:t>
      </w:r>
      <w:r>
        <w:rPr>
          <w:color w:val="231F20"/>
          <w:spacing w:val="-11"/>
          <w:w w:val="105"/>
          <w:sz w:val="21"/>
        </w:rPr>
        <w:t> </w:t>
      </w:r>
      <w:r>
        <w:rPr>
          <w:color w:val="231F20"/>
          <w:w w:val="105"/>
          <w:sz w:val="21"/>
        </w:rPr>
        <w:t>dentro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las</w:t>
      </w:r>
      <w:r>
        <w:rPr>
          <w:color w:val="231F20"/>
          <w:spacing w:val="-11"/>
          <w:w w:val="105"/>
          <w:sz w:val="21"/>
        </w:rPr>
        <w:t> </w:t>
      </w:r>
      <w:r>
        <w:rPr>
          <w:color w:val="231F20"/>
          <w:w w:val="105"/>
          <w:sz w:val="21"/>
        </w:rPr>
        <w:t>or- ganizaciones:</w:t>
      </w:r>
      <w:r>
        <w:rPr>
          <w:color w:val="231F20"/>
          <w:spacing w:val="-23"/>
          <w:w w:val="105"/>
          <w:sz w:val="21"/>
        </w:rPr>
        <w:t> </w:t>
      </w:r>
      <w:r>
        <w:rPr>
          <w:color w:val="231F20"/>
          <w:w w:val="105"/>
          <w:sz w:val="21"/>
        </w:rPr>
        <w:t>individual,</w:t>
      </w:r>
      <w:r>
        <w:rPr>
          <w:color w:val="231F20"/>
          <w:spacing w:val="-28"/>
          <w:w w:val="105"/>
          <w:sz w:val="21"/>
        </w:rPr>
        <w:t> </w:t>
      </w:r>
      <w:r>
        <w:rPr>
          <w:color w:val="231F20"/>
          <w:w w:val="105"/>
          <w:sz w:val="21"/>
        </w:rPr>
        <w:t>grupal</w:t>
      </w:r>
      <w:r>
        <w:rPr>
          <w:color w:val="231F20"/>
          <w:spacing w:val="-23"/>
          <w:w w:val="105"/>
          <w:sz w:val="21"/>
        </w:rPr>
        <w:t> </w:t>
      </w:r>
      <w:r>
        <w:rPr>
          <w:color w:val="231F20"/>
          <w:w w:val="105"/>
          <w:sz w:val="21"/>
        </w:rPr>
        <w:t>y</w:t>
      </w:r>
      <w:r>
        <w:rPr>
          <w:color w:val="231F20"/>
          <w:spacing w:val="-23"/>
          <w:w w:val="105"/>
          <w:sz w:val="21"/>
        </w:rPr>
        <w:t> </w:t>
      </w:r>
      <w:r>
        <w:rPr>
          <w:color w:val="231F20"/>
          <w:w w:val="105"/>
          <w:sz w:val="21"/>
        </w:rPr>
        <w:t>organizacional.</w:t>
      </w:r>
    </w:p>
    <w:p>
      <w:pPr>
        <w:pStyle w:val="ListParagraph"/>
        <w:numPr>
          <w:ilvl w:val="0"/>
          <w:numId w:val="33"/>
        </w:numPr>
        <w:tabs>
          <w:tab w:pos="1315" w:val="left" w:leader="none"/>
        </w:tabs>
        <w:spacing w:line="240" w:lineRule="auto" w:before="170" w:after="0"/>
        <w:ind w:left="1314" w:right="0" w:hanging="360"/>
        <w:jc w:val="left"/>
        <w:rPr>
          <w:sz w:val="21"/>
        </w:rPr>
      </w:pPr>
      <w:r>
        <w:rPr>
          <w:color w:val="231F20"/>
          <w:w w:val="105"/>
          <w:sz w:val="21"/>
        </w:rPr>
        <w:t>Exploración</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experiencia</w:t>
      </w:r>
      <w:r>
        <w:rPr>
          <w:color w:val="231F20"/>
          <w:spacing w:val="-14"/>
          <w:w w:val="105"/>
          <w:sz w:val="21"/>
        </w:rPr>
        <w:t> </w:t>
      </w:r>
      <w:r>
        <w:rPr>
          <w:color w:val="231F20"/>
          <w:w w:val="105"/>
          <w:sz w:val="21"/>
        </w:rPr>
        <w:t>adquirida.</w:t>
      </w:r>
    </w:p>
    <w:p>
      <w:pPr>
        <w:pStyle w:val="BodyText"/>
        <w:spacing w:before="4"/>
        <w:rPr>
          <w:sz w:val="16"/>
        </w:rPr>
      </w:pPr>
    </w:p>
    <w:p>
      <w:pPr>
        <w:pStyle w:val="ListParagraph"/>
        <w:numPr>
          <w:ilvl w:val="0"/>
          <w:numId w:val="33"/>
        </w:numPr>
        <w:tabs>
          <w:tab w:pos="1315" w:val="left" w:leader="none"/>
        </w:tabs>
        <w:spacing w:line="259" w:lineRule="auto" w:before="0" w:after="0"/>
        <w:ind w:left="1314" w:right="115" w:hanging="360"/>
        <w:jc w:val="left"/>
        <w:rPr>
          <w:sz w:val="21"/>
        </w:rPr>
      </w:pPr>
      <w:r>
        <w:rPr>
          <w:color w:val="231F20"/>
          <w:w w:val="105"/>
          <w:sz w:val="21"/>
        </w:rPr>
        <w:t>Fomento al aprendizaje continuo y desarrollo de habilida- des</w:t>
      </w:r>
      <w:r>
        <w:rPr>
          <w:color w:val="231F20"/>
          <w:spacing w:val="-19"/>
          <w:w w:val="105"/>
          <w:sz w:val="21"/>
        </w:rPr>
        <w:t> </w:t>
      </w:r>
      <w:r>
        <w:rPr>
          <w:color w:val="231F20"/>
          <w:w w:val="105"/>
          <w:sz w:val="21"/>
        </w:rPr>
        <w:t>y</w:t>
      </w:r>
      <w:r>
        <w:rPr>
          <w:color w:val="231F20"/>
          <w:spacing w:val="-19"/>
          <w:w w:val="105"/>
          <w:sz w:val="21"/>
        </w:rPr>
        <w:t> </w:t>
      </w:r>
      <w:r>
        <w:rPr>
          <w:color w:val="231F20"/>
          <w:w w:val="105"/>
          <w:sz w:val="21"/>
        </w:rPr>
        <w:t>procesos</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mejora.</w:t>
      </w:r>
    </w:p>
    <w:p>
      <w:pPr>
        <w:pStyle w:val="ListParagraph"/>
        <w:numPr>
          <w:ilvl w:val="0"/>
          <w:numId w:val="33"/>
        </w:numPr>
        <w:tabs>
          <w:tab w:pos="1315" w:val="left" w:leader="none"/>
        </w:tabs>
        <w:spacing w:line="240" w:lineRule="auto" w:before="170" w:after="0"/>
        <w:ind w:left="1314" w:right="0" w:hanging="360"/>
        <w:jc w:val="left"/>
        <w:rPr>
          <w:sz w:val="21"/>
        </w:rPr>
      </w:pPr>
      <w:r>
        <w:rPr>
          <w:color w:val="231F20"/>
          <w:w w:val="105"/>
          <w:sz w:val="21"/>
        </w:rPr>
        <w:t>Creación</w:t>
      </w:r>
      <w:r>
        <w:rPr>
          <w:color w:val="231F20"/>
          <w:spacing w:val="-16"/>
          <w:w w:val="105"/>
          <w:sz w:val="21"/>
        </w:rPr>
        <w:t> </w:t>
      </w:r>
      <w:r>
        <w:rPr>
          <w:color w:val="231F20"/>
          <w:w w:val="105"/>
          <w:sz w:val="21"/>
        </w:rPr>
        <w:t>contínua</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conocimiento.</w:t>
      </w:r>
    </w:p>
    <w:p>
      <w:pPr>
        <w:pStyle w:val="BodyText"/>
        <w:spacing w:before="4"/>
        <w:rPr>
          <w:sz w:val="16"/>
        </w:rPr>
      </w:pPr>
    </w:p>
    <w:p>
      <w:pPr>
        <w:pStyle w:val="ListParagraph"/>
        <w:numPr>
          <w:ilvl w:val="0"/>
          <w:numId w:val="33"/>
        </w:numPr>
        <w:tabs>
          <w:tab w:pos="1315" w:val="left" w:leader="none"/>
        </w:tabs>
        <w:spacing w:line="259" w:lineRule="auto" w:before="0" w:after="0"/>
        <w:ind w:left="1314" w:right="115" w:hanging="360"/>
        <w:jc w:val="left"/>
        <w:rPr>
          <w:sz w:val="21"/>
        </w:rPr>
      </w:pPr>
      <w:r>
        <w:rPr>
          <w:color w:val="231F20"/>
          <w:w w:val="105"/>
          <w:sz w:val="21"/>
        </w:rPr>
        <w:t>Intercambio de información y conocimientos dentro de las organizaciones.</w:t>
      </w:r>
    </w:p>
    <w:p>
      <w:pPr>
        <w:pStyle w:val="ListParagraph"/>
        <w:numPr>
          <w:ilvl w:val="0"/>
          <w:numId w:val="33"/>
        </w:numPr>
        <w:tabs>
          <w:tab w:pos="1315" w:val="left" w:leader="none"/>
        </w:tabs>
        <w:spacing w:line="240" w:lineRule="auto" w:before="170" w:after="0"/>
        <w:ind w:left="1314" w:right="0" w:hanging="360"/>
        <w:jc w:val="left"/>
        <w:rPr>
          <w:sz w:val="21"/>
        </w:rPr>
      </w:pPr>
      <w:r>
        <w:rPr>
          <w:color w:val="231F20"/>
          <w:w w:val="105"/>
          <w:sz w:val="21"/>
        </w:rPr>
        <w:t>Rapidez</w:t>
      </w:r>
      <w:r>
        <w:rPr>
          <w:color w:val="231F20"/>
          <w:spacing w:val="-32"/>
          <w:w w:val="105"/>
          <w:sz w:val="21"/>
        </w:rPr>
        <w:t> </w:t>
      </w:r>
      <w:r>
        <w:rPr>
          <w:color w:val="231F20"/>
          <w:w w:val="105"/>
          <w:sz w:val="21"/>
        </w:rPr>
        <w:t>en</w:t>
      </w:r>
      <w:r>
        <w:rPr>
          <w:color w:val="231F20"/>
          <w:spacing w:val="-32"/>
          <w:w w:val="105"/>
          <w:sz w:val="21"/>
        </w:rPr>
        <w:t> </w:t>
      </w:r>
      <w:r>
        <w:rPr>
          <w:color w:val="231F20"/>
          <w:w w:val="105"/>
          <w:sz w:val="21"/>
        </w:rPr>
        <w:t>el</w:t>
      </w:r>
      <w:r>
        <w:rPr>
          <w:color w:val="231F20"/>
          <w:spacing w:val="-32"/>
          <w:w w:val="105"/>
          <w:sz w:val="21"/>
        </w:rPr>
        <w:t> </w:t>
      </w:r>
      <w:r>
        <w:rPr>
          <w:color w:val="231F20"/>
          <w:w w:val="105"/>
          <w:sz w:val="21"/>
        </w:rPr>
        <w:t>aprendizaje.</w:t>
      </w:r>
    </w:p>
    <w:p>
      <w:pPr>
        <w:pStyle w:val="BodyText"/>
        <w:spacing w:before="4"/>
        <w:rPr>
          <w:sz w:val="16"/>
        </w:rPr>
      </w:pPr>
    </w:p>
    <w:p>
      <w:pPr>
        <w:pStyle w:val="ListParagraph"/>
        <w:numPr>
          <w:ilvl w:val="0"/>
          <w:numId w:val="33"/>
        </w:numPr>
        <w:tabs>
          <w:tab w:pos="1315" w:val="left" w:leader="none"/>
        </w:tabs>
        <w:spacing w:line="240" w:lineRule="auto" w:before="0" w:after="0"/>
        <w:ind w:left="1314" w:right="0" w:hanging="360"/>
        <w:jc w:val="left"/>
        <w:rPr>
          <w:sz w:val="21"/>
        </w:rPr>
      </w:pPr>
      <w:r>
        <w:rPr>
          <w:color w:val="231F20"/>
          <w:w w:val="105"/>
          <w:sz w:val="21"/>
        </w:rPr>
        <w:t>Valoración</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cultura</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aprendizaje</w:t>
      </w:r>
      <w:r>
        <w:rPr>
          <w:color w:val="231F20"/>
          <w:spacing w:val="-23"/>
          <w:w w:val="105"/>
          <w:sz w:val="21"/>
        </w:rPr>
        <w:t> </w:t>
      </w:r>
      <w:r>
        <w:rPr>
          <w:color w:val="231F20"/>
          <w:w w:val="105"/>
          <w:sz w:val="21"/>
        </w:rPr>
        <w:t>organizacional.</w:t>
      </w:r>
    </w:p>
    <w:p>
      <w:pPr>
        <w:pStyle w:val="BodyText"/>
        <w:rPr>
          <w:sz w:val="20"/>
        </w:rPr>
      </w:pPr>
    </w:p>
    <w:p>
      <w:pPr>
        <w:pStyle w:val="BodyText"/>
        <w:rPr>
          <w:sz w:val="19"/>
        </w:rPr>
      </w:pPr>
    </w:p>
    <w:p>
      <w:pPr>
        <w:pStyle w:val="BodyText"/>
        <w:spacing w:line="259" w:lineRule="auto"/>
        <w:ind w:left="103" w:right="115"/>
        <w:jc w:val="both"/>
      </w:pPr>
      <w:r>
        <w:rPr>
          <w:color w:val="231F20"/>
          <w:w w:val="105"/>
        </w:rPr>
        <w:t>Adicional a lo anterior, la generación de ambientes propicios para el aprendizaje implica diálogo constante entre sus miembros a través de la</w:t>
      </w:r>
      <w:r>
        <w:rPr>
          <w:color w:val="231F20"/>
          <w:spacing w:val="-26"/>
          <w:w w:val="105"/>
        </w:rPr>
        <w:t> </w:t>
      </w:r>
      <w:r>
        <w:rPr>
          <w:color w:val="231F20"/>
          <w:w w:val="105"/>
        </w:rPr>
        <w:t>asignación</w:t>
      </w:r>
      <w:r>
        <w:rPr>
          <w:color w:val="231F20"/>
          <w:spacing w:val="-26"/>
          <w:w w:val="105"/>
        </w:rPr>
        <w:t> </w:t>
      </w:r>
      <w:r>
        <w:rPr>
          <w:color w:val="231F20"/>
          <w:w w:val="105"/>
        </w:rPr>
        <w:t>de</w:t>
      </w:r>
      <w:r>
        <w:rPr>
          <w:color w:val="231F20"/>
          <w:spacing w:val="-26"/>
          <w:w w:val="105"/>
        </w:rPr>
        <w:t> </w:t>
      </w:r>
      <w:r>
        <w:rPr>
          <w:color w:val="231F20"/>
          <w:w w:val="105"/>
        </w:rPr>
        <w:t>espacios</w:t>
      </w:r>
      <w:r>
        <w:rPr>
          <w:color w:val="231F20"/>
          <w:spacing w:val="-26"/>
          <w:w w:val="105"/>
        </w:rPr>
        <w:t> </w:t>
      </w:r>
      <w:r>
        <w:rPr>
          <w:color w:val="231F20"/>
          <w:w w:val="105"/>
        </w:rPr>
        <w:t>físicos</w:t>
      </w:r>
      <w:r>
        <w:rPr>
          <w:color w:val="231F20"/>
          <w:spacing w:val="-26"/>
          <w:w w:val="105"/>
        </w:rPr>
        <w:t> </w:t>
      </w:r>
      <w:r>
        <w:rPr>
          <w:color w:val="231F20"/>
          <w:w w:val="105"/>
        </w:rPr>
        <w:t>y</w:t>
      </w:r>
      <w:r>
        <w:rPr>
          <w:color w:val="231F20"/>
          <w:spacing w:val="-26"/>
          <w:w w:val="105"/>
        </w:rPr>
        <w:t> </w:t>
      </w:r>
      <w:r>
        <w:rPr>
          <w:color w:val="231F20"/>
          <w:w w:val="105"/>
        </w:rPr>
        <w:t>temporales</w:t>
      </w:r>
      <w:r>
        <w:rPr>
          <w:color w:val="231F20"/>
          <w:spacing w:val="-26"/>
          <w:w w:val="105"/>
        </w:rPr>
        <w:t> </w:t>
      </w:r>
      <w:r>
        <w:rPr>
          <w:color w:val="231F20"/>
          <w:w w:val="105"/>
        </w:rPr>
        <w:t>que</w:t>
      </w:r>
      <w:r>
        <w:rPr>
          <w:color w:val="231F20"/>
          <w:spacing w:val="-26"/>
          <w:w w:val="105"/>
        </w:rPr>
        <w:t> </w:t>
      </w:r>
      <w:r>
        <w:rPr>
          <w:color w:val="231F20"/>
          <w:w w:val="105"/>
        </w:rPr>
        <w:t>favorezcan</w:t>
      </w:r>
      <w:r>
        <w:rPr>
          <w:color w:val="231F20"/>
          <w:spacing w:val="-26"/>
          <w:w w:val="105"/>
        </w:rPr>
        <w:t> </w:t>
      </w:r>
      <w:r>
        <w:rPr>
          <w:color w:val="231F20"/>
          <w:w w:val="105"/>
        </w:rPr>
        <w:t>la</w:t>
      </w:r>
      <w:r>
        <w:rPr>
          <w:color w:val="231F20"/>
          <w:spacing w:val="-26"/>
          <w:w w:val="105"/>
        </w:rPr>
        <w:t> </w:t>
      </w:r>
      <w:r>
        <w:rPr>
          <w:color w:val="231F20"/>
          <w:w w:val="105"/>
        </w:rPr>
        <w:t>sinergia para</w:t>
      </w:r>
      <w:r>
        <w:rPr>
          <w:color w:val="231F20"/>
          <w:spacing w:val="-24"/>
          <w:w w:val="105"/>
        </w:rPr>
        <w:t> </w:t>
      </w:r>
      <w:r>
        <w:rPr>
          <w:color w:val="231F20"/>
          <w:w w:val="105"/>
        </w:rPr>
        <w:t>la</w:t>
      </w:r>
      <w:r>
        <w:rPr>
          <w:color w:val="231F20"/>
          <w:spacing w:val="-24"/>
          <w:w w:val="105"/>
        </w:rPr>
        <w:t> </w:t>
      </w:r>
      <w:r>
        <w:rPr>
          <w:color w:val="231F20"/>
          <w:w w:val="105"/>
        </w:rPr>
        <w:t>socialización</w:t>
      </w:r>
      <w:r>
        <w:rPr>
          <w:color w:val="231F20"/>
          <w:spacing w:val="-24"/>
          <w:w w:val="105"/>
        </w:rPr>
        <w:t> </w:t>
      </w:r>
      <w:r>
        <w:rPr>
          <w:color w:val="231F20"/>
          <w:w w:val="105"/>
        </w:rPr>
        <w:t>de</w:t>
      </w:r>
      <w:r>
        <w:rPr>
          <w:color w:val="231F20"/>
          <w:spacing w:val="-24"/>
          <w:w w:val="105"/>
        </w:rPr>
        <w:t> </w:t>
      </w:r>
      <w:r>
        <w:rPr>
          <w:color w:val="231F20"/>
          <w:w w:val="105"/>
        </w:rPr>
        <w:t>conocimientos</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apertura</w:t>
      </w:r>
      <w:r>
        <w:rPr>
          <w:color w:val="231F20"/>
          <w:spacing w:val="-24"/>
          <w:w w:val="105"/>
        </w:rPr>
        <w:t> </w:t>
      </w:r>
      <w:r>
        <w:rPr>
          <w:color w:val="231F20"/>
          <w:w w:val="105"/>
        </w:rPr>
        <w:t>a</w:t>
      </w:r>
      <w:r>
        <w:rPr>
          <w:color w:val="231F20"/>
          <w:spacing w:val="-24"/>
          <w:w w:val="105"/>
        </w:rPr>
        <w:t> </w:t>
      </w:r>
      <w:r>
        <w:rPr>
          <w:color w:val="231F20"/>
          <w:w w:val="105"/>
        </w:rPr>
        <w:t>nuevas</w:t>
      </w:r>
      <w:r>
        <w:rPr>
          <w:color w:val="231F20"/>
          <w:spacing w:val="-24"/>
          <w:w w:val="105"/>
        </w:rPr>
        <w:t> </w:t>
      </w:r>
      <w:r>
        <w:rPr>
          <w:color w:val="231F20"/>
          <w:w w:val="105"/>
        </w:rPr>
        <w:t>ideas.</w:t>
      </w:r>
    </w:p>
    <w:p>
      <w:pPr>
        <w:spacing w:before="162"/>
        <w:ind w:left="103" w:right="0" w:firstLine="0"/>
        <w:jc w:val="both"/>
        <w:rPr>
          <w:i/>
          <w:sz w:val="21"/>
        </w:rPr>
      </w:pPr>
      <w:r>
        <w:rPr>
          <w:i/>
          <w:color w:val="231F20"/>
          <w:w w:val="105"/>
          <w:sz w:val="21"/>
        </w:rPr>
        <w:t>Manejo de información en el aprendizaje</w:t>
      </w:r>
    </w:p>
    <w:p>
      <w:pPr>
        <w:pStyle w:val="BodyText"/>
        <w:spacing w:before="4"/>
        <w:rPr>
          <w:i/>
          <w:sz w:val="16"/>
        </w:rPr>
      </w:pPr>
    </w:p>
    <w:p>
      <w:pPr>
        <w:pStyle w:val="BodyText"/>
        <w:spacing w:line="259" w:lineRule="auto"/>
        <w:ind w:left="103" w:right="114"/>
        <w:jc w:val="both"/>
      </w:pPr>
      <w:r>
        <w:rPr>
          <w:color w:val="231F20"/>
          <w:w w:val="105"/>
        </w:rPr>
        <w:t>La</w:t>
      </w:r>
      <w:r>
        <w:rPr>
          <w:color w:val="231F20"/>
          <w:spacing w:val="-9"/>
          <w:w w:val="105"/>
        </w:rPr>
        <w:t> </w:t>
      </w:r>
      <w:r>
        <w:rPr>
          <w:color w:val="231F20"/>
          <w:w w:val="105"/>
        </w:rPr>
        <w:t>adopción</w:t>
      </w:r>
      <w:r>
        <w:rPr>
          <w:color w:val="231F20"/>
          <w:spacing w:val="-9"/>
          <w:w w:val="105"/>
        </w:rPr>
        <w:t> </w:t>
      </w:r>
      <w:r>
        <w:rPr>
          <w:color w:val="231F20"/>
          <w:w w:val="105"/>
        </w:rPr>
        <w:t>de</w:t>
      </w:r>
      <w:r>
        <w:rPr>
          <w:color w:val="231F20"/>
          <w:spacing w:val="-9"/>
          <w:w w:val="105"/>
        </w:rPr>
        <w:t> </w:t>
      </w:r>
      <w:r>
        <w:rPr>
          <w:color w:val="231F20"/>
          <w:w w:val="105"/>
        </w:rPr>
        <w:t>nuevas</w:t>
      </w:r>
      <w:r>
        <w:rPr>
          <w:color w:val="231F20"/>
          <w:spacing w:val="-9"/>
          <w:w w:val="105"/>
        </w:rPr>
        <w:t> </w:t>
      </w:r>
      <w:r>
        <w:rPr>
          <w:color w:val="231F20"/>
          <w:w w:val="105"/>
        </w:rPr>
        <w:t>tecnologías</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procesos</w:t>
      </w:r>
      <w:r>
        <w:rPr>
          <w:color w:val="231F20"/>
          <w:spacing w:val="-9"/>
          <w:w w:val="105"/>
        </w:rPr>
        <w:t> </w:t>
      </w:r>
      <w:r>
        <w:rPr>
          <w:color w:val="231F20"/>
          <w:w w:val="105"/>
        </w:rPr>
        <w:t>de</w:t>
      </w:r>
      <w:r>
        <w:rPr>
          <w:color w:val="231F20"/>
          <w:spacing w:val="-9"/>
          <w:w w:val="105"/>
        </w:rPr>
        <w:t> </w:t>
      </w:r>
      <w:r>
        <w:rPr>
          <w:color w:val="231F20"/>
          <w:w w:val="105"/>
        </w:rPr>
        <w:t>manejo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 formación</w:t>
      </w:r>
      <w:r>
        <w:rPr>
          <w:color w:val="231F20"/>
          <w:spacing w:val="-12"/>
          <w:w w:val="105"/>
        </w:rPr>
        <w:t> </w:t>
      </w:r>
      <w:r>
        <w:rPr>
          <w:color w:val="231F20"/>
          <w:w w:val="105"/>
        </w:rPr>
        <w:t>vinculados</w:t>
      </w:r>
      <w:r>
        <w:rPr>
          <w:color w:val="231F20"/>
          <w:spacing w:val="-12"/>
          <w:w w:val="105"/>
        </w:rPr>
        <w:t> </w:t>
      </w:r>
      <w:r>
        <w:rPr>
          <w:color w:val="231F20"/>
          <w:w w:val="105"/>
        </w:rPr>
        <w:t>al</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rPr>
        <w:t>aprendizaje</w:t>
      </w:r>
      <w:r>
        <w:rPr>
          <w:color w:val="231F20"/>
          <w:spacing w:val="-12"/>
          <w:w w:val="105"/>
        </w:rPr>
        <w:t> </w:t>
      </w:r>
      <w:r>
        <w:rPr>
          <w:color w:val="231F20"/>
          <w:w w:val="105"/>
        </w:rPr>
        <w:t>al</w:t>
      </w:r>
      <w:r>
        <w:rPr>
          <w:color w:val="231F20"/>
          <w:spacing w:val="-12"/>
          <w:w w:val="105"/>
        </w:rPr>
        <w:t> </w:t>
      </w:r>
      <w:r>
        <w:rPr>
          <w:color w:val="231F20"/>
          <w:w w:val="105"/>
        </w:rPr>
        <w:t>interior</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organi- zaciones,</w:t>
      </w:r>
      <w:r>
        <w:rPr>
          <w:color w:val="231F20"/>
          <w:spacing w:val="-15"/>
          <w:w w:val="105"/>
        </w:rPr>
        <w:t> </w:t>
      </w:r>
      <w:r>
        <w:rPr>
          <w:color w:val="231F20"/>
          <w:w w:val="105"/>
        </w:rPr>
        <w:t>producen</w:t>
      </w:r>
      <w:r>
        <w:rPr>
          <w:color w:val="231F20"/>
          <w:spacing w:val="-9"/>
          <w:w w:val="105"/>
        </w:rPr>
        <w:t> </w:t>
      </w:r>
      <w:r>
        <w:rPr>
          <w:color w:val="231F20"/>
          <w:w w:val="105"/>
        </w:rPr>
        <w:t>un</w:t>
      </w:r>
      <w:r>
        <w:rPr>
          <w:color w:val="231F20"/>
          <w:spacing w:val="-9"/>
          <w:w w:val="105"/>
        </w:rPr>
        <w:t> </w:t>
      </w:r>
      <w:r>
        <w:rPr>
          <w:color w:val="231F20"/>
          <w:w w:val="105"/>
        </w:rPr>
        <w:t>modelo</w:t>
      </w:r>
      <w:r>
        <w:rPr>
          <w:color w:val="231F20"/>
          <w:spacing w:val="-9"/>
          <w:w w:val="105"/>
        </w:rPr>
        <w:t> </w:t>
      </w:r>
      <w:r>
        <w:rPr>
          <w:color w:val="231F20"/>
          <w:w w:val="105"/>
        </w:rPr>
        <w:t>nuevo</w:t>
      </w:r>
      <w:r>
        <w:rPr>
          <w:color w:val="231F20"/>
          <w:spacing w:val="-9"/>
          <w:w w:val="105"/>
        </w:rPr>
        <w:t> </w:t>
      </w:r>
      <w:r>
        <w:rPr>
          <w:color w:val="231F20"/>
          <w:w w:val="105"/>
        </w:rPr>
        <w:t>de</w:t>
      </w:r>
      <w:r>
        <w:rPr>
          <w:color w:val="231F20"/>
          <w:spacing w:val="-9"/>
          <w:w w:val="105"/>
        </w:rPr>
        <w:t> </w:t>
      </w:r>
      <w:r>
        <w:rPr>
          <w:color w:val="231F20"/>
          <w:w w:val="105"/>
        </w:rPr>
        <w:t>formación</w:t>
      </w:r>
      <w:r>
        <w:rPr>
          <w:color w:val="231F20"/>
          <w:spacing w:val="-9"/>
          <w:w w:val="105"/>
        </w:rPr>
        <w:t> </w:t>
      </w:r>
      <w:r>
        <w:rPr>
          <w:color w:val="231F20"/>
          <w:w w:val="105"/>
        </w:rPr>
        <w:t>caracterizado</w:t>
      </w:r>
      <w:r>
        <w:rPr>
          <w:color w:val="231F20"/>
          <w:spacing w:val="-9"/>
          <w:w w:val="105"/>
        </w:rPr>
        <w:t> </w:t>
      </w:r>
      <w:r>
        <w:rPr>
          <w:color w:val="231F20"/>
          <w:w w:val="105"/>
        </w:rPr>
        <w:t>por</w:t>
      </w:r>
      <w:r>
        <w:rPr>
          <w:color w:val="231F20"/>
          <w:spacing w:val="-9"/>
          <w:w w:val="105"/>
        </w:rPr>
        <w:t> </w:t>
      </w:r>
      <w:r>
        <w:rPr>
          <w:color w:val="231F20"/>
          <w:w w:val="105"/>
        </w:rPr>
        <w:t>el paso de una comunicación unidireccional a un modelo más abierto</w:t>
      </w:r>
      <w:r>
        <w:rPr>
          <w:color w:val="231F20"/>
          <w:spacing w:val="-40"/>
          <w:w w:val="105"/>
        </w:rPr>
        <w:t> </w:t>
      </w:r>
      <w:r>
        <w:rPr>
          <w:color w:val="231F20"/>
          <w:w w:val="105"/>
        </w:rPr>
        <w:t>que</w:t>
      </w:r>
    </w:p>
    <w:p>
      <w:pPr>
        <w:pStyle w:val="BodyText"/>
        <w:rPr>
          <w:sz w:val="20"/>
        </w:rPr>
      </w:pPr>
    </w:p>
    <w:p>
      <w:pPr>
        <w:pStyle w:val="BodyText"/>
        <w:rPr>
          <w:sz w:val="20"/>
        </w:rPr>
      </w:pPr>
    </w:p>
    <w:p>
      <w:pPr>
        <w:pStyle w:val="BodyText"/>
        <w:rPr>
          <w:sz w:val="20"/>
        </w:rPr>
      </w:pPr>
    </w:p>
    <w:p>
      <w:pPr>
        <w:pStyle w:val="BodyText"/>
        <w:spacing w:before="2"/>
        <w:rPr>
          <w:sz w:val="16"/>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500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76</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4984"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77</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posibilita</w:t>
      </w:r>
      <w:r>
        <w:rPr>
          <w:color w:val="231F20"/>
          <w:spacing w:val="-9"/>
          <w:w w:val="105"/>
        </w:rPr>
        <w:t> </w:t>
      </w:r>
      <w:r>
        <w:rPr>
          <w:color w:val="231F20"/>
          <w:w w:val="105"/>
        </w:rPr>
        <w:t>la</w:t>
      </w:r>
      <w:r>
        <w:rPr>
          <w:color w:val="231F20"/>
          <w:spacing w:val="-9"/>
          <w:w w:val="105"/>
        </w:rPr>
        <w:t> </w:t>
      </w:r>
      <w:r>
        <w:rPr>
          <w:color w:val="231F20"/>
          <w:w w:val="105"/>
        </w:rPr>
        <w:t>interacción,</w:t>
      </w:r>
      <w:r>
        <w:rPr>
          <w:color w:val="231F20"/>
          <w:spacing w:val="-15"/>
          <w:w w:val="105"/>
        </w:rPr>
        <w:t> </w:t>
      </w:r>
      <w:r>
        <w:rPr>
          <w:color w:val="231F20"/>
          <w:w w:val="105"/>
        </w:rPr>
        <w:t>así</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diversificación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soportes</w:t>
      </w:r>
      <w:r>
        <w:rPr>
          <w:color w:val="231F20"/>
          <w:spacing w:val="-9"/>
          <w:w w:val="105"/>
        </w:rPr>
        <w:t> </w:t>
      </w:r>
      <w:r>
        <w:rPr>
          <w:color w:val="231F20"/>
          <w:w w:val="105"/>
        </w:rPr>
        <w:t>de</w:t>
      </w:r>
      <w:r>
        <w:rPr>
          <w:color w:val="231F20"/>
          <w:spacing w:val="-9"/>
          <w:w w:val="105"/>
        </w:rPr>
        <w:t> </w:t>
      </w:r>
      <w:r>
        <w:rPr>
          <w:color w:val="231F20"/>
          <w:w w:val="105"/>
        </w:rPr>
        <w:t>la información</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w w:val="105"/>
        </w:rPr>
        <w:t>autoaprendizaje</w:t>
      </w:r>
      <w:r>
        <w:rPr>
          <w:color w:val="231F20"/>
          <w:spacing w:val="-20"/>
          <w:w w:val="105"/>
        </w:rPr>
        <w:t> </w:t>
      </w:r>
      <w:r>
        <w:rPr>
          <w:color w:val="231F20"/>
          <w:w w:val="105"/>
        </w:rPr>
        <w:t>(Medrano,</w:t>
      </w:r>
      <w:r>
        <w:rPr>
          <w:color w:val="231F20"/>
          <w:spacing w:val="-26"/>
          <w:w w:val="105"/>
        </w:rPr>
        <w:t> </w:t>
      </w:r>
      <w:r>
        <w:rPr>
          <w:color w:val="231F20"/>
          <w:w w:val="105"/>
        </w:rPr>
        <w:t>1993).</w:t>
      </w:r>
    </w:p>
    <w:p>
      <w:pPr>
        <w:pStyle w:val="BodyText"/>
        <w:spacing w:line="259" w:lineRule="auto"/>
        <w:ind w:left="117" w:right="121" w:firstLine="567"/>
        <w:jc w:val="both"/>
      </w:pPr>
      <w:r>
        <w:rPr>
          <w:color w:val="231F20"/>
          <w:w w:val="105"/>
        </w:rPr>
        <w:t>El manejo de información como parte del aprendizaje en una or- ganización</w:t>
      </w:r>
      <w:r>
        <w:rPr>
          <w:color w:val="231F20"/>
          <w:spacing w:val="-10"/>
          <w:w w:val="105"/>
        </w:rPr>
        <w:t> </w:t>
      </w:r>
      <w:r>
        <w:rPr>
          <w:color w:val="231F20"/>
          <w:w w:val="105"/>
        </w:rPr>
        <w:t>reviste</w:t>
      </w:r>
      <w:r>
        <w:rPr>
          <w:color w:val="231F20"/>
          <w:spacing w:val="-10"/>
          <w:w w:val="105"/>
        </w:rPr>
        <w:t> </w:t>
      </w:r>
      <w:r>
        <w:rPr>
          <w:color w:val="231F20"/>
          <w:w w:val="105"/>
        </w:rPr>
        <w:t>gran</w:t>
      </w:r>
      <w:r>
        <w:rPr>
          <w:color w:val="231F20"/>
          <w:spacing w:val="-10"/>
          <w:w w:val="105"/>
        </w:rPr>
        <w:t> </w:t>
      </w:r>
      <w:r>
        <w:rPr>
          <w:color w:val="231F20"/>
          <w:w w:val="105"/>
        </w:rPr>
        <w:t>trascendencia,</w:t>
      </w:r>
      <w:r>
        <w:rPr>
          <w:color w:val="231F20"/>
          <w:spacing w:val="-15"/>
          <w:w w:val="105"/>
        </w:rPr>
        <w:t> </w:t>
      </w:r>
      <w:r>
        <w:rPr>
          <w:color w:val="231F20"/>
          <w:w w:val="105"/>
        </w:rPr>
        <w:t>es</w:t>
      </w:r>
      <w:r>
        <w:rPr>
          <w:color w:val="231F20"/>
          <w:spacing w:val="-10"/>
          <w:w w:val="105"/>
        </w:rPr>
        <w:t> </w:t>
      </w:r>
      <w:r>
        <w:rPr>
          <w:color w:val="231F20"/>
          <w:w w:val="105"/>
        </w:rPr>
        <w:t>algo</w:t>
      </w:r>
      <w:r>
        <w:rPr>
          <w:color w:val="231F20"/>
          <w:spacing w:val="-10"/>
          <w:w w:val="105"/>
        </w:rPr>
        <w:t> </w:t>
      </w:r>
      <w:r>
        <w:rPr>
          <w:color w:val="231F20"/>
          <w:w w:val="105"/>
        </w:rPr>
        <w:t>que</w:t>
      </w:r>
      <w:r>
        <w:rPr>
          <w:color w:val="231F20"/>
          <w:spacing w:val="-10"/>
          <w:w w:val="105"/>
        </w:rPr>
        <w:t> </w:t>
      </w:r>
      <w:r>
        <w:rPr>
          <w:color w:val="231F20"/>
          <w:w w:val="105"/>
        </w:rPr>
        <w:t>desde</w:t>
      </w:r>
      <w:r>
        <w:rPr>
          <w:color w:val="231F20"/>
          <w:spacing w:val="-10"/>
          <w:w w:val="105"/>
        </w:rPr>
        <w:t> </w:t>
      </w:r>
      <w:r>
        <w:rPr>
          <w:color w:val="231F20"/>
          <w:w w:val="105"/>
        </w:rPr>
        <w:t>años</w:t>
      </w:r>
      <w:r>
        <w:rPr>
          <w:color w:val="231F20"/>
          <w:spacing w:val="-10"/>
          <w:w w:val="105"/>
        </w:rPr>
        <w:t> </w:t>
      </w:r>
      <w:r>
        <w:rPr>
          <w:color w:val="231F20"/>
          <w:w w:val="105"/>
        </w:rPr>
        <w:t>atrás</w:t>
      </w:r>
      <w:r>
        <w:rPr>
          <w:color w:val="231F20"/>
          <w:spacing w:val="-10"/>
          <w:w w:val="105"/>
        </w:rPr>
        <w:t> </w:t>
      </w:r>
      <w:r>
        <w:rPr>
          <w:color w:val="231F20"/>
          <w:w w:val="105"/>
        </w:rPr>
        <w:t>se viene</w:t>
      </w:r>
      <w:r>
        <w:rPr>
          <w:color w:val="231F20"/>
          <w:spacing w:val="-22"/>
          <w:w w:val="105"/>
        </w:rPr>
        <w:t> </w:t>
      </w:r>
      <w:r>
        <w:rPr>
          <w:color w:val="231F20"/>
          <w:w w:val="105"/>
        </w:rPr>
        <w:t>manejando.</w:t>
      </w:r>
      <w:r>
        <w:rPr>
          <w:color w:val="231F20"/>
          <w:spacing w:val="-30"/>
          <w:w w:val="105"/>
        </w:rPr>
        <w:t> </w:t>
      </w:r>
      <w:r>
        <w:rPr>
          <w:color w:val="231F20"/>
          <w:w w:val="105"/>
        </w:rPr>
        <w:t>Argyris</w:t>
      </w:r>
      <w:r>
        <w:rPr>
          <w:color w:val="231F20"/>
          <w:spacing w:val="-22"/>
          <w:w w:val="105"/>
        </w:rPr>
        <w:t> </w:t>
      </w:r>
      <w:r>
        <w:rPr>
          <w:color w:val="231F20"/>
          <w:w w:val="105"/>
        </w:rPr>
        <w:t>(2001)</w:t>
      </w:r>
      <w:r>
        <w:rPr>
          <w:color w:val="231F20"/>
          <w:spacing w:val="-22"/>
          <w:w w:val="105"/>
        </w:rPr>
        <w:t> </w:t>
      </w:r>
      <w:r>
        <w:rPr>
          <w:color w:val="231F20"/>
          <w:w w:val="105"/>
        </w:rPr>
        <w:t>señala</w:t>
      </w:r>
      <w:r>
        <w:rPr>
          <w:color w:val="231F20"/>
          <w:spacing w:val="-22"/>
          <w:w w:val="105"/>
        </w:rPr>
        <w:t> </w:t>
      </w:r>
      <w:r>
        <w:rPr>
          <w:color w:val="231F20"/>
          <w:w w:val="105"/>
        </w:rPr>
        <w:t>que</w:t>
      </w:r>
      <w:r>
        <w:rPr>
          <w:color w:val="231F20"/>
          <w:spacing w:val="-22"/>
          <w:w w:val="105"/>
        </w:rPr>
        <w:t> </w:t>
      </w:r>
      <w:r>
        <w:rPr>
          <w:color w:val="231F20"/>
          <w:w w:val="105"/>
        </w:rPr>
        <w:t>durante</w:t>
      </w:r>
      <w:r>
        <w:rPr>
          <w:color w:val="231F20"/>
          <w:spacing w:val="-22"/>
          <w:w w:val="105"/>
        </w:rPr>
        <w:t> </w:t>
      </w:r>
      <w:r>
        <w:rPr>
          <w:color w:val="231F20"/>
          <w:w w:val="105"/>
        </w:rPr>
        <w:t>el</w:t>
      </w:r>
      <w:r>
        <w:rPr>
          <w:color w:val="231F20"/>
          <w:spacing w:val="-22"/>
          <w:w w:val="105"/>
        </w:rPr>
        <w:t> </w:t>
      </w:r>
      <w:r>
        <w:rPr>
          <w:color w:val="231F20"/>
          <w:w w:val="105"/>
        </w:rPr>
        <w:t>siglo</w:t>
      </w:r>
      <w:r>
        <w:rPr>
          <w:color w:val="231F20"/>
          <w:spacing w:val="-23"/>
          <w:w w:val="105"/>
        </w:rPr>
        <w:t> </w:t>
      </w:r>
      <w:r>
        <w:rPr>
          <w:color w:val="231F20"/>
          <w:w w:val="105"/>
        </w:rPr>
        <w:t>XX</w:t>
      </w:r>
      <w:r>
        <w:rPr>
          <w:color w:val="231F20"/>
          <w:spacing w:val="-23"/>
          <w:w w:val="105"/>
        </w:rPr>
        <w:t> </w:t>
      </w:r>
      <w:r>
        <w:rPr>
          <w:color w:val="231F20"/>
          <w:w w:val="105"/>
        </w:rPr>
        <w:t>las</w:t>
      </w:r>
      <w:r>
        <w:rPr>
          <w:color w:val="231F20"/>
          <w:spacing w:val="-22"/>
          <w:w w:val="105"/>
        </w:rPr>
        <w:t> </w:t>
      </w:r>
      <w:r>
        <w:rPr>
          <w:color w:val="231F20"/>
          <w:w w:val="105"/>
        </w:rPr>
        <w:t>orga- nizaciones trataron de adoptar facilitadores organizacionales con el fin de</w:t>
      </w:r>
      <w:r>
        <w:rPr>
          <w:color w:val="231F20"/>
          <w:spacing w:val="-15"/>
          <w:w w:val="105"/>
        </w:rPr>
        <w:t> </w:t>
      </w:r>
      <w:r>
        <w:rPr>
          <w:color w:val="231F20"/>
          <w:w w:val="105"/>
        </w:rPr>
        <w:t>mejorar</w:t>
      </w:r>
      <w:r>
        <w:rPr>
          <w:color w:val="231F20"/>
          <w:spacing w:val="-15"/>
          <w:w w:val="105"/>
        </w:rPr>
        <w:t> </w:t>
      </w:r>
      <w:r>
        <w:rPr>
          <w:color w:val="231F20"/>
          <w:w w:val="105"/>
        </w:rPr>
        <w:t>su</w:t>
      </w:r>
      <w:r>
        <w:rPr>
          <w:color w:val="231F20"/>
          <w:spacing w:val="-15"/>
          <w:w w:val="105"/>
        </w:rPr>
        <w:t> </w:t>
      </w:r>
      <w:r>
        <w:rPr>
          <w:color w:val="231F20"/>
          <w:w w:val="105"/>
        </w:rPr>
        <w:t>capacidad</w:t>
      </w:r>
      <w:r>
        <w:rPr>
          <w:color w:val="231F20"/>
          <w:spacing w:val="-15"/>
          <w:w w:val="105"/>
        </w:rPr>
        <w:t> </w:t>
      </w:r>
      <w:r>
        <w:rPr>
          <w:color w:val="231F20"/>
          <w:w w:val="105"/>
        </w:rPr>
        <w:t>para</w:t>
      </w:r>
      <w:r>
        <w:rPr>
          <w:color w:val="231F20"/>
          <w:spacing w:val="-15"/>
          <w:w w:val="105"/>
        </w:rPr>
        <w:t> </w:t>
      </w:r>
      <w:r>
        <w:rPr>
          <w:color w:val="231F20"/>
          <w:w w:val="105"/>
        </w:rPr>
        <w:t>lograr</w:t>
      </w:r>
      <w:r>
        <w:rPr>
          <w:color w:val="231F20"/>
          <w:spacing w:val="-15"/>
          <w:w w:val="105"/>
        </w:rPr>
        <w:t> </w:t>
      </w:r>
      <w:r>
        <w:rPr>
          <w:color w:val="231F20"/>
          <w:w w:val="105"/>
        </w:rPr>
        <w:t>un</w:t>
      </w:r>
      <w:r>
        <w:rPr>
          <w:color w:val="231F20"/>
          <w:spacing w:val="-15"/>
          <w:w w:val="105"/>
        </w:rPr>
        <w:t> </w:t>
      </w:r>
      <w:r>
        <w:rPr>
          <w:color w:val="231F20"/>
          <w:w w:val="105"/>
        </w:rPr>
        <w:t>aprendizaje</w:t>
      </w:r>
      <w:r>
        <w:rPr>
          <w:color w:val="231F20"/>
          <w:spacing w:val="-15"/>
          <w:w w:val="105"/>
        </w:rPr>
        <w:t> </w:t>
      </w:r>
      <w:r>
        <w:rPr>
          <w:color w:val="231F20"/>
          <w:w w:val="105"/>
        </w:rPr>
        <w:t>productivo.</w:t>
      </w:r>
      <w:r>
        <w:rPr>
          <w:color w:val="231F20"/>
          <w:spacing w:val="-21"/>
          <w:w w:val="105"/>
        </w:rPr>
        <w:t> </w:t>
      </w:r>
      <w:r>
        <w:rPr>
          <w:color w:val="231F20"/>
          <w:w w:val="105"/>
        </w:rPr>
        <w:t>Ejemplo de</w:t>
      </w:r>
      <w:r>
        <w:rPr>
          <w:color w:val="231F20"/>
          <w:spacing w:val="-20"/>
          <w:w w:val="105"/>
        </w:rPr>
        <w:t> </w:t>
      </w:r>
      <w:r>
        <w:rPr>
          <w:color w:val="231F20"/>
          <w:w w:val="105"/>
        </w:rPr>
        <w:t>ello</w:t>
      </w:r>
      <w:r>
        <w:rPr>
          <w:color w:val="231F20"/>
          <w:spacing w:val="-21"/>
          <w:w w:val="105"/>
        </w:rPr>
        <w:t> </w:t>
      </w:r>
      <w:r>
        <w:rPr>
          <w:color w:val="231F20"/>
          <w:w w:val="105"/>
        </w:rPr>
        <w:t>fueron</w:t>
      </w:r>
      <w:r>
        <w:rPr>
          <w:color w:val="231F20"/>
          <w:spacing w:val="-20"/>
          <w:w w:val="105"/>
        </w:rPr>
        <w:t> </w:t>
      </w:r>
      <w:r>
        <w:rPr>
          <w:color w:val="231F20"/>
          <w:w w:val="105"/>
        </w:rPr>
        <w:t>los</w:t>
      </w:r>
      <w:r>
        <w:rPr>
          <w:color w:val="231F20"/>
          <w:spacing w:val="-20"/>
          <w:w w:val="105"/>
        </w:rPr>
        <w:t> </w:t>
      </w:r>
      <w:r>
        <w:rPr>
          <w:color w:val="231F20"/>
          <w:w w:val="105"/>
        </w:rPr>
        <w:t>esfuerzos</w:t>
      </w:r>
      <w:r>
        <w:rPr>
          <w:color w:val="231F20"/>
          <w:spacing w:val="-20"/>
          <w:w w:val="105"/>
        </w:rPr>
        <w:t> </w:t>
      </w:r>
      <w:r>
        <w:rPr>
          <w:color w:val="231F20"/>
          <w:w w:val="105"/>
        </w:rPr>
        <w:t>de</w:t>
      </w:r>
      <w:r>
        <w:rPr>
          <w:color w:val="231F20"/>
          <w:spacing w:val="-20"/>
          <w:w w:val="105"/>
        </w:rPr>
        <w:t> </w:t>
      </w:r>
      <w:r>
        <w:rPr>
          <w:color w:val="231F20"/>
          <w:w w:val="105"/>
        </w:rPr>
        <w:t>decentralización</w:t>
      </w:r>
      <w:r>
        <w:rPr>
          <w:color w:val="231F20"/>
          <w:spacing w:val="-20"/>
          <w:w w:val="105"/>
        </w:rPr>
        <w:t> </w:t>
      </w:r>
      <w:r>
        <w:rPr>
          <w:color w:val="231F20"/>
          <w:w w:val="105"/>
        </w:rPr>
        <w:t>realizados</w:t>
      </w:r>
      <w:r>
        <w:rPr>
          <w:color w:val="231F20"/>
          <w:spacing w:val="-20"/>
          <w:w w:val="105"/>
        </w:rPr>
        <w:t> </w:t>
      </w:r>
      <w:r>
        <w:rPr>
          <w:color w:val="231F20"/>
          <w:w w:val="105"/>
        </w:rPr>
        <w:t>por</w:t>
      </w:r>
      <w:r>
        <w:rPr>
          <w:color w:val="231F20"/>
          <w:spacing w:val="-21"/>
          <w:w w:val="105"/>
        </w:rPr>
        <w:t> </w:t>
      </w:r>
      <w:r>
        <w:rPr>
          <w:color w:val="231F20"/>
          <w:w w:val="105"/>
        </w:rPr>
        <w:t>directivos de</w:t>
      </w:r>
      <w:r>
        <w:rPr>
          <w:color w:val="231F20"/>
          <w:spacing w:val="-6"/>
          <w:w w:val="105"/>
        </w:rPr>
        <w:t> </w:t>
      </w:r>
      <w:r>
        <w:rPr>
          <w:color w:val="231F20"/>
          <w:w w:val="105"/>
        </w:rPr>
        <w:t>General</w:t>
      </w:r>
      <w:r>
        <w:rPr>
          <w:color w:val="231F20"/>
          <w:spacing w:val="-6"/>
          <w:w w:val="105"/>
        </w:rPr>
        <w:t> </w:t>
      </w:r>
      <w:r>
        <w:rPr>
          <w:color w:val="231F20"/>
          <w:w w:val="105"/>
        </w:rPr>
        <w:t>Electric</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años</w:t>
      </w:r>
      <w:r>
        <w:rPr>
          <w:color w:val="231F20"/>
          <w:spacing w:val="-6"/>
          <w:w w:val="105"/>
        </w:rPr>
        <w:t> </w:t>
      </w:r>
      <w:r>
        <w:rPr>
          <w:color w:val="231F20"/>
          <w:w w:val="105"/>
        </w:rPr>
        <w:t>50,</w:t>
      </w:r>
      <w:r>
        <w:rPr>
          <w:color w:val="231F20"/>
          <w:spacing w:val="-13"/>
          <w:w w:val="105"/>
        </w:rPr>
        <w:t> </w:t>
      </w:r>
      <w:r>
        <w:rPr>
          <w:color w:val="231F20"/>
          <w:w w:val="105"/>
        </w:rPr>
        <w:t>mediante</w:t>
      </w:r>
      <w:r>
        <w:rPr>
          <w:color w:val="231F20"/>
          <w:spacing w:val="-6"/>
          <w:w w:val="105"/>
        </w:rPr>
        <w:t> </w:t>
      </w:r>
      <w:r>
        <w:rPr>
          <w:color w:val="231F20"/>
          <w:w w:val="105"/>
        </w:rPr>
        <w:t>la</w:t>
      </w:r>
      <w:r>
        <w:rPr>
          <w:color w:val="231F20"/>
          <w:spacing w:val="-6"/>
          <w:w w:val="105"/>
        </w:rPr>
        <w:t> </w:t>
      </w:r>
      <w:r>
        <w:rPr>
          <w:color w:val="231F20"/>
          <w:w w:val="105"/>
        </w:rPr>
        <w:t>adopción</w:t>
      </w:r>
      <w:r>
        <w:rPr>
          <w:color w:val="231F20"/>
          <w:spacing w:val="-6"/>
          <w:w w:val="105"/>
        </w:rPr>
        <w:t> </w:t>
      </w:r>
      <w:r>
        <w:rPr>
          <w:color w:val="231F20"/>
          <w:w w:val="105"/>
        </w:rPr>
        <w:t>de</w:t>
      </w:r>
      <w:r>
        <w:rPr>
          <w:color w:val="231F20"/>
          <w:spacing w:val="-6"/>
          <w:w w:val="105"/>
        </w:rPr>
        <w:t> </w:t>
      </w:r>
      <w:r>
        <w:rPr>
          <w:color w:val="231F20"/>
          <w:w w:val="105"/>
        </w:rPr>
        <w:t>reglas</w:t>
      </w:r>
      <w:r>
        <w:rPr>
          <w:color w:val="231F20"/>
          <w:spacing w:val="-6"/>
          <w:w w:val="105"/>
        </w:rPr>
        <w:t> </w:t>
      </w:r>
      <w:r>
        <w:rPr>
          <w:color w:val="231F20"/>
          <w:w w:val="105"/>
        </w:rPr>
        <w:t>que incluían:</w:t>
      </w:r>
      <w:r>
        <w:rPr>
          <w:color w:val="231F20"/>
          <w:spacing w:val="-24"/>
          <w:w w:val="105"/>
        </w:rPr>
        <w:t> </w:t>
      </w:r>
      <w:r>
        <w:rPr>
          <w:color w:val="231F20"/>
          <w:w w:val="105"/>
        </w:rPr>
        <w:t>validación</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información;</w:t>
      </w:r>
      <w:r>
        <w:rPr>
          <w:color w:val="231F20"/>
          <w:spacing w:val="-24"/>
          <w:w w:val="105"/>
        </w:rPr>
        <w:t> </w:t>
      </w:r>
      <w:r>
        <w:rPr>
          <w:color w:val="231F20"/>
          <w:w w:val="105"/>
        </w:rPr>
        <w:t>elecciones</w:t>
      </w:r>
      <w:r>
        <w:rPr>
          <w:color w:val="231F20"/>
          <w:spacing w:val="-24"/>
          <w:w w:val="105"/>
        </w:rPr>
        <w:t> </w:t>
      </w:r>
      <w:r>
        <w:rPr>
          <w:color w:val="231F20"/>
          <w:w w:val="105"/>
        </w:rPr>
        <w:t>de</w:t>
      </w:r>
      <w:r>
        <w:rPr>
          <w:color w:val="231F20"/>
          <w:spacing w:val="-24"/>
          <w:w w:val="105"/>
        </w:rPr>
        <w:t> </w:t>
      </w:r>
      <w:r>
        <w:rPr>
          <w:color w:val="231F20"/>
          <w:w w:val="105"/>
        </w:rPr>
        <w:t>decisión</w:t>
      </w:r>
      <w:r>
        <w:rPr>
          <w:color w:val="231F20"/>
          <w:spacing w:val="-24"/>
          <w:w w:val="105"/>
        </w:rPr>
        <w:t> </w:t>
      </w:r>
      <w:r>
        <w:rPr>
          <w:color w:val="231F20"/>
          <w:w w:val="105"/>
        </w:rPr>
        <w:t>informadas y el ejercicio de la responsabilidad personal en la toma de decisiones; seguimiento</w:t>
      </w:r>
      <w:r>
        <w:rPr>
          <w:color w:val="231F20"/>
          <w:spacing w:val="-10"/>
          <w:w w:val="105"/>
        </w:rPr>
        <w:t> </w:t>
      </w:r>
      <w:r>
        <w:rPr>
          <w:color w:val="231F20"/>
          <w:w w:val="105"/>
        </w:rPr>
        <w:t>y</w:t>
      </w:r>
      <w:r>
        <w:rPr>
          <w:color w:val="231F20"/>
          <w:spacing w:val="-10"/>
          <w:w w:val="105"/>
        </w:rPr>
        <w:t> </w:t>
      </w:r>
      <w:r>
        <w:rPr>
          <w:color w:val="231F20"/>
          <w:w w:val="105"/>
        </w:rPr>
        <w:t>supervisión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eficacia</w:t>
      </w:r>
      <w:r>
        <w:rPr>
          <w:color w:val="231F20"/>
          <w:spacing w:val="-10"/>
          <w:w w:val="105"/>
        </w:rPr>
        <w:t> </w:t>
      </w:r>
      <w:r>
        <w:rPr>
          <w:color w:val="231F20"/>
          <w:w w:val="105"/>
        </w:rPr>
        <w:t>mediante</w:t>
      </w:r>
      <w:r>
        <w:rPr>
          <w:color w:val="231F20"/>
          <w:spacing w:val="-10"/>
          <w:w w:val="105"/>
        </w:rPr>
        <w:t> </w:t>
      </w:r>
      <w:r>
        <w:rPr>
          <w:color w:val="231F20"/>
          <w:w w:val="105"/>
        </w:rPr>
        <w:t>la</w:t>
      </w:r>
      <w:r>
        <w:rPr>
          <w:color w:val="231F20"/>
          <w:spacing w:val="-10"/>
          <w:w w:val="105"/>
        </w:rPr>
        <w:t> </w:t>
      </w:r>
      <w:r>
        <w:rPr>
          <w:color w:val="231F20"/>
          <w:w w:val="105"/>
        </w:rPr>
        <w:t>detección</w:t>
      </w:r>
      <w:r>
        <w:rPr>
          <w:color w:val="231F20"/>
          <w:spacing w:val="-10"/>
          <w:w w:val="105"/>
        </w:rPr>
        <w:t> </w:t>
      </w:r>
      <w:r>
        <w:rPr>
          <w:color w:val="231F20"/>
          <w:w w:val="105"/>
        </w:rPr>
        <w:t>y</w:t>
      </w:r>
      <w:r>
        <w:rPr>
          <w:color w:val="231F20"/>
          <w:spacing w:val="-10"/>
          <w:w w:val="105"/>
        </w:rPr>
        <w:t> </w:t>
      </w:r>
      <w:r>
        <w:rPr>
          <w:color w:val="231F20"/>
          <w:w w:val="105"/>
        </w:rPr>
        <w:t>correc- ción</w:t>
      </w:r>
      <w:r>
        <w:rPr>
          <w:color w:val="231F20"/>
          <w:spacing w:val="-6"/>
          <w:w w:val="105"/>
        </w:rPr>
        <w:t> </w:t>
      </w:r>
      <w:r>
        <w:rPr>
          <w:color w:val="231F20"/>
          <w:w w:val="105"/>
        </w:rPr>
        <w:t>de</w:t>
      </w:r>
      <w:r>
        <w:rPr>
          <w:color w:val="231F20"/>
          <w:spacing w:val="-6"/>
          <w:w w:val="105"/>
        </w:rPr>
        <w:t> </w:t>
      </w:r>
      <w:r>
        <w:rPr>
          <w:color w:val="231F20"/>
          <w:w w:val="105"/>
        </w:rPr>
        <w:t>errores.</w:t>
      </w:r>
      <w:r>
        <w:rPr>
          <w:color w:val="231F20"/>
          <w:spacing w:val="-11"/>
          <w:w w:val="105"/>
        </w:rPr>
        <w:t> </w:t>
      </w:r>
      <w:r>
        <w:rPr>
          <w:color w:val="231F20"/>
          <w:w w:val="105"/>
        </w:rPr>
        <w:t>Con</w:t>
      </w:r>
      <w:r>
        <w:rPr>
          <w:color w:val="231F20"/>
          <w:spacing w:val="-6"/>
          <w:w w:val="105"/>
        </w:rPr>
        <w:t> </w:t>
      </w:r>
      <w:r>
        <w:rPr>
          <w:color w:val="231F20"/>
          <w:w w:val="105"/>
        </w:rPr>
        <w:t>ello</w:t>
      </w:r>
      <w:r>
        <w:rPr>
          <w:color w:val="231F20"/>
          <w:spacing w:val="-6"/>
          <w:w w:val="105"/>
        </w:rPr>
        <w:t> </w:t>
      </w:r>
      <w:r>
        <w:rPr>
          <w:color w:val="231F20"/>
          <w:w w:val="105"/>
        </w:rPr>
        <w:t>se</w:t>
      </w:r>
      <w:r>
        <w:rPr>
          <w:color w:val="231F20"/>
          <w:spacing w:val="-6"/>
          <w:w w:val="105"/>
        </w:rPr>
        <w:t> </w:t>
      </w:r>
      <w:r>
        <w:rPr>
          <w:color w:val="231F20"/>
          <w:w w:val="105"/>
        </w:rPr>
        <w:t>lograrían</w:t>
      </w:r>
      <w:r>
        <w:rPr>
          <w:color w:val="231F20"/>
          <w:spacing w:val="-6"/>
          <w:w w:val="105"/>
        </w:rPr>
        <w:t> </w:t>
      </w:r>
      <w:r>
        <w:rPr>
          <w:color w:val="231F20"/>
          <w:w w:val="105"/>
        </w:rPr>
        <w:t>alcanzar</w:t>
      </w:r>
      <w:r>
        <w:rPr>
          <w:color w:val="231F20"/>
          <w:spacing w:val="-6"/>
          <w:w w:val="105"/>
        </w:rPr>
        <w:t> </w:t>
      </w:r>
      <w:r>
        <w:rPr>
          <w:color w:val="231F20"/>
          <w:w w:val="105"/>
        </w:rPr>
        <w:t>algunos</w:t>
      </w:r>
      <w:r>
        <w:rPr>
          <w:color w:val="231F20"/>
          <w:spacing w:val="-6"/>
          <w:w w:val="105"/>
        </w:rPr>
        <w:t> </w:t>
      </w:r>
      <w:r>
        <w:rPr>
          <w:color w:val="231F20"/>
          <w:w w:val="105"/>
        </w:rPr>
        <w:t>resultados</w:t>
      </w:r>
      <w:r>
        <w:rPr>
          <w:color w:val="231F20"/>
          <w:spacing w:val="-6"/>
          <w:w w:val="105"/>
        </w:rPr>
        <w:t> </w:t>
      </w:r>
      <w:r>
        <w:rPr>
          <w:color w:val="231F20"/>
          <w:w w:val="105"/>
        </w:rPr>
        <w:t>en</w:t>
      </w:r>
      <w:r>
        <w:rPr>
          <w:color w:val="231F20"/>
          <w:spacing w:val="-6"/>
          <w:w w:val="105"/>
        </w:rPr>
        <w:t> </w:t>
      </w:r>
      <w:r>
        <w:rPr>
          <w:color w:val="231F20"/>
          <w:w w:val="105"/>
        </w:rPr>
        <w:t>el proceso</w:t>
      </w:r>
      <w:r>
        <w:rPr>
          <w:color w:val="231F20"/>
          <w:spacing w:val="-13"/>
          <w:w w:val="105"/>
        </w:rPr>
        <w:t> </w:t>
      </w:r>
      <w:r>
        <w:rPr>
          <w:color w:val="231F20"/>
          <w:w w:val="105"/>
        </w:rPr>
        <w:t>de</w:t>
      </w:r>
      <w:r>
        <w:rPr>
          <w:color w:val="231F20"/>
          <w:spacing w:val="-13"/>
          <w:w w:val="105"/>
        </w:rPr>
        <w:t> </w:t>
      </w:r>
      <w:r>
        <w:rPr>
          <w:color w:val="231F20"/>
          <w:w w:val="105"/>
        </w:rPr>
        <w:t>aprendizaje</w:t>
      </w:r>
      <w:r>
        <w:rPr>
          <w:color w:val="231F20"/>
          <w:spacing w:val="-13"/>
          <w:w w:val="105"/>
        </w:rPr>
        <w:t> </w:t>
      </w:r>
      <w:r>
        <w:rPr>
          <w:color w:val="231F20"/>
          <w:w w:val="105"/>
        </w:rPr>
        <w:t>al</w:t>
      </w:r>
      <w:r>
        <w:rPr>
          <w:color w:val="231F20"/>
          <w:spacing w:val="-13"/>
          <w:w w:val="105"/>
        </w:rPr>
        <w:t> </w:t>
      </w:r>
      <w:r>
        <w:rPr>
          <w:color w:val="231F20"/>
          <w:w w:val="105"/>
        </w:rPr>
        <w:t>interior</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organización.</w:t>
      </w:r>
    </w:p>
    <w:p>
      <w:pPr>
        <w:pStyle w:val="BodyText"/>
        <w:spacing w:line="259" w:lineRule="auto"/>
        <w:ind w:left="117" w:right="121" w:firstLine="567"/>
        <w:jc w:val="both"/>
      </w:pPr>
      <w:r>
        <w:rPr>
          <w:color w:val="171B1E"/>
          <w:w w:val="105"/>
        </w:rPr>
        <w:t>Rodriguez</w:t>
      </w:r>
      <w:r>
        <w:rPr>
          <w:color w:val="171B1E"/>
          <w:spacing w:val="-22"/>
          <w:w w:val="105"/>
        </w:rPr>
        <w:t> </w:t>
      </w:r>
      <w:r>
        <w:rPr>
          <w:color w:val="171B1E"/>
          <w:w w:val="105"/>
        </w:rPr>
        <w:t>y</w:t>
      </w:r>
      <w:r>
        <w:rPr>
          <w:color w:val="171B1E"/>
          <w:spacing w:val="-22"/>
          <w:w w:val="105"/>
        </w:rPr>
        <w:t> </w:t>
      </w:r>
      <w:r>
        <w:rPr>
          <w:color w:val="171B1E"/>
          <w:w w:val="105"/>
        </w:rPr>
        <w:t>Galán</w:t>
      </w:r>
      <w:r>
        <w:rPr>
          <w:color w:val="171B1E"/>
          <w:spacing w:val="-22"/>
          <w:w w:val="105"/>
        </w:rPr>
        <w:t> </w:t>
      </w:r>
      <w:r>
        <w:rPr>
          <w:color w:val="171B1E"/>
          <w:w w:val="105"/>
        </w:rPr>
        <w:t>(2008)</w:t>
      </w:r>
      <w:r>
        <w:rPr>
          <w:color w:val="171B1E"/>
          <w:spacing w:val="-22"/>
          <w:w w:val="105"/>
        </w:rPr>
        <w:t> </w:t>
      </w:r>
      <w:r>
        <w:rPr>
          <w:color w:val="171B1E"/>
          <w:w w:val="105"/>
        </w:rPr>
        <w:t>señalan</w:t>
      </w:r>
      <w:r>
        <w:rPr>
          <w:color w:val="171B1E"/>
          <w:spacing w:val="-22"/>
          <w:w w:val="105"/>
        </w:rPr>
        <w:t> </w:t>
      </w:r>
      <w:r>
        <w:rPr>
          <w:color w:val="171B1E"/>
          <w:w w:val="105"/>
        </w:rPr>
        <w:t>que</w:t>
      </w:r>
      <w:r>
        <w:rPr>
          <w:color w:val="171B1E"/>
          <w:spacing w:val="-22"/>
          <w:w w:val="105"/>
        </w:rPr>
        <w:t> </w:t>
      </w:r>
      <w:r>
        <w:rPr>
          <w:color w:val="171B1E"/>
          <w:w w:val="105"/>
        </w:rPr>
        <w:t>una</w:t>
      </w:r>
      <w:r>
        <w:rPr>
          <w:color w:val="171B1E"/>
          <w:spacing w:val="-22"/>
          <w:w w:val="105"/>
        </w:rPr>
        <w:t> </w:t>
      </w:r>
      <w:r>
        <w:rPr>
          <w:color w:val="171B1E"/>
          <w:w w:val="105"/>
        </w:rPr>
        <w:t>adecuada</w:t>
      </w:r>
      <w:r>
        <w:rPr>
          <w:color w:val="171B1E"/>
          <w:spacing w:val="-22"/>
          <w:w w:val="105"/>
        </w:rPr>
        <w:t> </w:t>
      </w:r>
      <w:r>
        <w:rPr>
          <w:color w:val="171B1E"/>
          <w:w w:val="105"/>
        </w:rPr>
        <w:t>g</w:t>
      </w:r>
      <w:r>
        <w:rPr>
          <w:color w:val="231F20"/>
          <w:w w:val="105"/>
        </w:rPr>
        <w:t>estión</w:t>
      </w:r>
      <w:r>
        <w:rPr>
          <w:color w:val="231F20"/>
          <w:spacing w:val="-22"/>
          <w:w w:val="105"/>
        </w:rPr>
        <w:t> </w:t>
      </w:r>
      <w:r>
        <w:rPr>
          <w:color w:val="231F20"/>
          <w:w w:val="105"/>
        </w:rPr>
        <w:t>de</w:t>
      </w:r>
      <w:r>
        <w:rPr>
          <w:color w:val="231F20"/>
          <w:spacing w:val="-22"/>
          <w:w w:val="105"/>
        </w:rPr>
        <w:t> </w:t>
      </w:r>
      <w:r>
        <w:rPr>
          <w:color w:val="231F20"/>
          <w:w w:val="105"/>
        </w:rPr>
        <w:t>la información puede contribuir a la eficacia, eficiencia y productividad de las</w:t>
      </w:r>
      <w:r>
        <w:rPr>
          <w:color w:val="231F20"/>
          <w:spacing w:val="-11"/>
          <w:w w:val="105"/>
        </w:rPr>
        <w:t> </w:t>
      </w:r>
      <w:r>
        <w:rPr>
          <w:color w:val="231F20"/>
          <w:w w:val="105"/>
        </w:rPr>
        <w:t>organizaciones,</w:t>
      </w:r>
      <w:r>
        <w:rPr>
          <w:color w:val="231F20"/>
          <w:spacing w:val="-17"/>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permite</w:t>
      </w:r>
      <w:r>
        <w:rPr>
          <w:color w:val="231F20"/>
          <w:spacing w:val="-11"/>
          <w:w w:val="105"/>
        </w:rPr>
        <w:t> </w:t>
      </w:r>
      <w:r>
        <w:rPr>
          <w:color w:val="231F20"/>
          <w:w w:val="105"/>
        </w:rPr>
        <w:t>a</w:t>
      </w:r>
      <w:r>
        <w:rPr>
          <w:color w:val="231F20"/>
          <w:spacing w:val="-11"/>
          <w:w w:val="105"/>
        </w:rPr>
        <w:t> </w:t>
      </w:r>
      <w:r>
        <w:rPr>
          <w:color w:val="231F20"/>
          <w:w w:val="105"/>
        </w:rPr>
        <w:t>todos</w:t>
      </w:r>
      <w:r>
        <w:rPr>
          <w:color w:val="231F20"/>
          <w:spacing w:val="-11"/>
          <w:w w:val="105"/>
        </w:rPr>
        <w:t> </w:t>
      </w:r>
      <w:r>
        <w:rPr>
          <w:color w:val="231F20"/>
          <w:w w:val="105"/>
        </w:rPr>
        <w:t>acceder</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infor- mativos que en ella existen, propiciando la participación con eficiencia en</w:t>
      </w:r>
      <w:r>
        <w:rPr>
          <w:color w:val="231F20"/>
          <w:spacing w:val="-19"/>
          <w:w w:val="105"/>
        </w:rPr>
        <w:t> </w:t>
      </w:r>
      <w:r>
        <w:rPr>
          <w:color w:val="231F20"/>
          <w:w w:val="105"/>
        </w:rPr>
        <w:t>los</w:t>
      </w:r>
      <w:r>
        <w:rPr>
          <w:color w:val="231F20"/>
          <w:spacing w:val="-19"/>
          <w:w w:val="105"/>
        </w:rPr>
        <w:t> </w:t>
      </w:r>
      <w:r>
        <w:rPr>
          <w:color w:val="231F20"/>
          <w:w w:val="105"/>
        </w:rPr>
        <w:t>procesos</w:t>
      </w:r>
      <w:r>
        <w:rPr>
          <w:color w:val="231F20"/>
          <w:spacing w:val="-19"/>
          <w:w w:val="105"/>
        </w:rPr>
        <w:t> </w:t>
      </w:r>
      <w:r>
        <w:rPr>
          <w:color w:val="231F20"/>
          <w:w w:val="105"/>
        </w:rPr>
        <w:t>y</w:t>
      </w:r>
      <w:r>
        <w:rPr>
          <w:color w:val="231F20"/>
          <w:spacing w:val="-19"/>
          <w:w w:val="105"/>
        </w:rPr>
        <w:t> </w:t>
      </w:r>
      <w:r>
        <w:rPr>
          <w:color w:val="231F20"/>
          <w:w w:val="105"/>
        </w:rPr>
        <w:t>proyectos,</w:t>
      </w:r>
      <w:r>
        <w:rPr>
          <w:color w:val="231F20"/>
          <w:spacing w:val="-25"/>
          <w:w w:val="105"/>
        </w:rPr>
        <w:t> </w:t>
      </w:r>
      <w:r>
        <w:rPr>
          <w:color w:val="231F20"/>
          <w:w w:val="105"/>
        </w:rPr>
        <w:t>incluido</w:t>
      </w:r>
      <w:r>
        <w:rPr>
          <w:color w:val="231F20"/>
          <w:spacing w:val="-19"/>
          <w:w w:val="105"/>
        </w:rPr>
        <w:t> </w:t>
      </w:r>
      <w:r>
        <w:rPr>
          <w:color w:val="231F20"/>
          <w:w w:val="105"/>
        </w:rPr>
        <w:t>el</w:t>
      </w:r>
      <w:r>
        <w:rPr>
          <w:color w:val="231F20"/>
          <w:spacing w:val="-19"/>
          <w:w w:val="105"/>
        </w:rPr>
        <w:t> </w:t>
      </w:r>
      <w:r>
        <w:rPr>
          <w:color w:val="231F20"/>
          <w:w w:val="105"/>
        </w:rPr>
        <w:t>aprendizaje</w:t>
      </w:r>
      <w:r>
        <w:rPr>
          <w:color w:val="231F20"/>
          <w:spacing w:val="-19"/>
          <w:w w:val="105"/>
        </w:rPr>
        <w:t> </w:t>
      </w:r>
      <w:r>
        <w:rPr>
          <w:color w:val="231F20"/>
          <w:w w:val="105"/>
        </w:rPr>
        <w:t>organizacional.</w:t>
      </w:r>
    </w:p>
    <w:p>
      <w:pPr>
        <w:pStyle w:val="BodyText"/>
        <w:spacing w:line="259" w:lineRule="auto"/>
        <w:ind w:left="117" w:right="121" w:firstLine="567"/>
        <w:jc w:val="both"/>
      </w:pPr>
      <w:r>
        <w:rPr>
          <w:color w:val="231F20"/>
          <w:w w:val="105"/>
        </w:rPr>
        <w:t>Argyris</w:t>
      </w:r>
      <w:r>
        <w:rPr>
          <w:color w:val="231F20"/>
          <w:spacing w:val="-10"/>
          <w:w w:val="105"/>
        </w:rPr>
        <w:t> </w:t>
      </w:r>
      <w:r>
        <w:rPr>
          <w:color w:val="231F20"/>
          <w:w w:val="105"/>
        </w:rPr>
        <w:t>(2001)</w:t>
      </w:r>
      <w:r>
        <w:rPr>
          <w:color w:val="231F20"/>
          <w:spacing w:val="-10"/>
          <w:w w:val="105"/>
        </w:rPr>
        <w:t> </w:t>
      </w:r>
      <w:r>
        <w:rPr>
          <w:color w:val="231F20"/>
          <w:w w:val="105"/>
        </w:rPr>
        <w:t>profundiza</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manera</w:t>
      </w:r>
      <w:r>
        <w:rPr>
          <w:color w:val="231F20"/>
          <w:spacing w:val="-10"/>
          <w:w w:val="105"/>
        </w:rPr>
        <w:t> </w:t>
      </w:r>
      <w:r>
        <w:rPr>
          <w:color w:val="231F20"/>
          <w:w w:val="105"/>
        </w:rPr>
        <w:t>en</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sistemas</w:t>
      </w:r>
      <w:r>
        <w:rPr>
          <w:color w:val="231F20"/>
          <w:spacing w:val="-10"/>
          <w:w w:val="105"/>
        </w:rPr>
        <w:t> </w:t>
      </w:r>
      <w:r>
        <w:rPr>
          <w:color w:val="231F20"/>
          <w:w w:val="105"/>
        </w:rPr>
        <w:t>de</w:t>
      </w:r>
      <w:r>
        <w:rPr>
          <w:color w:val="231F20"/>
          <w:spacing w:val="-10"/>
          <w:w w:val="105"/>
        </w:rPr>
        <w:t> </w:t>
      </w:r>
      <w:r>
        <w:rPr>
          <w:color w:val="231F20"/>
          <w:w w:val="105"/>
        </w:rPr>
        <w:t>in- formación</w:t>
      </w:r>
      <w:r>
        <w:rPr>
          <w:color w:val="231F20"/>
          <w:spacing w:val="-10"/>
          <w:w w:val="105"/>
        </w:rPr>
        <w:t> </w:t>
      </w:r>
      <w:r>
        <w:rPr>
          <w:color w:val="231F20"/>
          <w:w w:val="105"/>
        </w:rPr>
        <w:t>administrativa</w:t>
      </w:r>
      <w:r>
        <w:rPr>
          <w:color w:val="231F20"/>
          <w:spacing w:val="-10"/>
          <w:w w:val="105"/>
        </w:rPr>
        <w:t> </w:t>
      </w:r>
      <w:r>
        <w:rPr>
          <w:color w:val="231F20"/>
          <w:w w:val="105"/>
        </w:rPr>
        <w:t>forman</w:t>
      </w:r>
      <w:r>
        <w:rPr>
          <w:color w:val="231F20"/>
          <w:spacing w:val="-10"/>
          <w:w w:val="105"/>
        </w:rPr>
        <w:t> </w:t>
      </w:r>
      <w:r>
        <w:rPr>
          <w:color w:val="231F20"/>
          <w:w w:val="105"/>
        </w:rPr>
        <w:t>parte</w:t>
      </w:r>
      <w:r>
        <w:rPr>
          <w:color w:val="231F20"/>
          <w:spacing w:val="-10"/>
          <w:w w:val="105"/>
        </w:rPr>
        <w:t> </w:t>
      </w:r>
      <w:r>
        <w:rPr>
          <w:color w:val="231F20"/>
          <w:w w:val="105"/>
        </w:rPr>
        <w:t>del</w:t>
      </w:r>
      <w:r>
        <w:rPr>
          <w:color w:val="231F20"/>
          <w:spacing w:val="-10"/>
          <w:w w:val="105"/>
        </w:rPr>
        <w:t> </w:t>
      </w:r>
      <w:r>
        <w:rPr>
          <w:color w:val="231F20"/>
          <w:w w:val="105"/>
        </w:rPr>
        <w:t>aprendizaje</w:t>
      </w:r>
      <w:r>
        <w:rPr>
          <w:color w:val="231F20"/>
          <w:spacing w:val="-10"/>
          <w:w w:val="105"/>
        </w:rPr>
        <w:t> </w:t>
      </w:r>
      <w:r>
        <w:rPr>
          <w:color w:val="231F20"/>
          <w:w w:val="105"/>
        </w:rPr>
        <w:t>organizacional,</w:t>
      </w:r>
      <w:r>
        <w:rPr>
          <w:color w:val="231F20"/>
          <w:spacing w:val="-15"/>
          <w:w w:val="105"/>
        </w:rPr>
        <w:t> </w:t>
      </w:r>
      <w:r>
        <w:rPr>
          <w:color w:val="231F20"/>
          <w:w w:val="105"/>
        </w:rPr>
        <w:t>a través</w:t>
      </w:r>
      <w:r>
        <w:rPr>
          <w:color w:val="231F20"/>
          <w:spacing w:val="-19"/>
          <w:w w:val="105"/>
        </w:rPr>
        <w:t> </w:t>
      </w:r>
      <w:r>
        <w:rPr>
          <w:color w:val="231F20"/>
          <w:w w:val="105"/>
        </w:rPr>
        <w:t>de</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denomina</w:t>
      </w:r>
      <w:r>
        <w:rPr>
          <w:color w:val="231F20"/>
          <w:spacing w:val="-19"/>
          <w:w w:val="105"/>
        </w:rPr>
        <w:t> </w:t>
      </w:r>
      <w:r>
        <w:rPr>
          <w:color w:val="231F20"/>
          <w:w w:val="105"/>
        </w:rPr>
        <w:t>aprendizaje</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solo</w:t>
      </w:r>
      <w:r>
        <w:rPr>
          <w:color w:val="231F20"/>
          <w:spacing w:val="-19"/>
          <w:w w:val="105"/>
        </w:rPr>
        <w:t> </w:t>
      </w:r>
      <w:r>
        <w:rPr>
          <w:color w:val="231F20"/>
          <w:w w:val="105"/>
        </w:rPr>
        <w:t>circuito</w:t>
      </w:r>
      <w:r>
        <w:rPr>
          <w:color w:val="231F20"/>
          <w:spacing w:val="-19"/>
          <w:w w:val="105"/>
        </w:rPr>
        <w:t> </w:t>
      </w:r>
      <w:r>
        <w:rPr>
          <w:color w:val="231F20"/>
          <w:w w:val="105"/>
        </w:rPr>
        <w:t>consistente</w:t>
      </w:r>
      <w:r>
        <w:rPr>
          <w:color w:val="231F20"/>
          <w:spacing w:val="-19"/>
          <w:w w:val="105"/>
        </w:rPr>
        <w:t> </w:t>
      </w:r>
      <w:r>
        <w:rPr>
          <w:color w:val="231F20"/>
          <w:w w:val="105"/>
        </w:rPr>
        <w:t>en detectar</w:t>
      </w:r>
      <w:r>
        <w:rPr>
          <w:color w:val="231F20"/>
          <w:spacing w:val="-20"/>
          <w:w w:val="105"/>
        </w:rPr>
        <w:t> </w:t>
      </w:r>
      <w:r>
        <w:rPr>
          <w:color w:val="231F20"/>
          <w:w w:val="105"/>
        </w:rPr>
        <w:t>y</w:t>
      </w:r>
      <w:r>
        <w:rPr>
          <w:color w:val="231F20"/>
          <w:spacing w:val="-20"/>
          <w:w w:val="105"/>
        </w:rPr>
        <w:t> </w:t>
      </w:r>
      <w:r>
        <w:rPr>
          <w:color w:val="231F20"/>
          <w:w w:val="105"/>
        </w:rPr>
        <w:t>corregir</w:t>
      </w:r>
      <w:r>
        <w:rPr>
          <w:color w:val="231F20"/>
          <w:spacing w:val="-20"/>
          <w:w w:val="105"/>
        </w:rPr>
        <w:t> </w:t>
      </w:r>
      <w:r>
        <w:rPr>
          <w:color w:val="231F20"/>
          <w:w w:val="105"/>
        </w:rPr>
        <w:t>un</w:t>
      </w:r>
      <w:r>
        <w:rPr>
          <w:color w:val="231F20"/>
          <w:spacing w:val="-20"/>
          <w:w w:val="105"/>
        </w:rPr>
        <w:t> </w:t>
      </w:r>
      <w:r>
        <w:rPr>
          <w:color w:val="231F20"/>
          <w:w w:val="105"/>
        </w:rPr>
        <w:t>error</w:t>
      </w:r>
      <w:r>
        <w:rPr>
          <w:color w:val="231F20"/>
          <w:spacing w:val="-20"/>
          <w:w w:val="105"/>
        </w:rPr>
        <w:t> </w:t>
      </w:r>
      <w:r>
        <w:rPr>
          <w:color w:val="231F20"/>
          <w:w w:val="105"/>
        </w:rPr>
        <w:t>sin</w:t>
      </w:r>
      <w:r>
        <w:rPr>
          <w:color w:val="231F20"/>
          <w:spacing w:val="-20"/>
          <w:w w:val="105"/>
        </w:rPr>
        <w:t> </w:t>
      </w:r>
      <w:r>
        <w:rPr>
          <w:color w:val="231F20"/>
          <w:w w:val="105"/>
        </w:rPr>
        <w:t>cuestionar</w:t>
      </w:r>
      <w:r>
        <w:rPr>
          <w:color w:val="231F20"/>
          <w:spacing w:val="-20"/>
          <w:w w:val="105"/>
        </w:rPr>
        <w:t> </w:t>
      </w:r>
      <w:r>
        <w:rPr>
          <w:color w:val="231F20"/>
          <w:w w:val="105"/>
        </w:rPr>
        <w:t>el</w:t>
      </w:r>
      <w:r>
        <w:rPr>
          <w:color w:val="231F20"/>
          <w:spacing w:val="-20"/>
          <w:w w:val="105"/>
        </w:rPr>
        <w:t> </w:t>
      </w:r>
      <w:r>
        <w:rPr>
          <w:color w:val="231F20"/>
          <w:w w:val="105"/>
        </w:rPr>
        <w:t>programa</w:t>
      </w:r>
      <w:r>
        <w:rPr>
          <w:color w:val="231F20"/>
          <w:spacing w:val="-20"/>
          <w:w w:val="105"/>
        </w:rPr>
        <w:t> </w:t>
      </w:r>
      <w:r>
        <w:rPr>
          <w:color w:val="231F20"/>
          <w:w w:val="105"/>
        </w:rPr>
        <w:t>fundamental</w:t>
      </w:r>
      <w:r>
        <w:rPr>
          <w:color w:val="231F20"/>
          <w:spacing w:val="-20"/>
          <w:w w:val="105"/>
        </w:rPr>
        <w:t> </w:t>
      </w:r>
      <w:r>
        <w:rPr>
          <w:color w:val="231F20"/>
          <w:w w:val="105"/>
        </w:rPr>
        <w:t>ni</w:t>
      </w:r>
      <w:r>
        <w:rPr>
          <w:color w:val="231F20"/>
          <w:spacing w:val="-20"/>
          <w:w w:val="105"/>
        </w:rPr>
        <w:t> </w:t>
      </w:r>
      <w:r>
        <w:rPr>
          <w:color w:val="231F20"/>
          <w:w w:val="105"/>
        </w:rPr>
        <w:t>las políticas</w:t>
      </w:r>
      <w:r>
        <w:rPr>
          <w:color w:val="231F20"/>
          <w:spacing w:val="-23"/>
          <w:w w:val="105"/>
        </w:rPr>
        <w:t> </w:t>
      </w:r>
      <w:r>
        <w:rPr>
          <w:color w:val="231F20"/>
          <w:w w:val="105"/>
        </w:rPr>
        <w:t>establecidas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sistema;</w:t>
      </w:r>
      <w:r>
        <w:rPr>
          <w:color w:val="231F20"/>
          <w:spacing w:val="-23"/>
          <w:w w:val="105"/>
        </w:rPr>
        <w:t> </w:t>
      </w:r>
      <w:r>
        <w:rPr>
          <w:color w:val="231F20"/>
          <w:w w:val="105"/>
        </w:rPr>
        <w:t>por</w:t>
      </w:r>
      <w:r>
        <w:rPr>
          <w:color w:val="231F20"/>
          <w:spacing w:val="-23"/>
          <w:w w:val="105"/>
        </w:rPr>
        <w:t> </w:t>
      </w:r>
      <w:r>
        <w:rPr>
          <w:color w:val="231F20"/>
          <w:w w:val="105"/>
        </w:rPr>
        <w:t>otra</w:t>
      </w:r>
      <w:r>
        <w:rPr>
          <w:color w:val="231F20"/>
          <w:spacing w:val="-23"/>
          <w:w w:val="105"/>
        </w:rPr>
        <w:t> </w:t>
      </w:r>
      <w:r>
        <w:rPr>
          <w:color w:val="231F20"/>
          <w:w w:val="105"/>
        </w:rPr>
        <w:t>parte,</w:t>
      </w:r>
      <w:r>
        <w:rPr>
          <w:color w:val="231F20"/>
          <w:spacing w:val="-29"/>
          <w:w w:val="105"/>
        </w:rPr>
        <w:t> </w:t>
      </w:r>
      <w:r>
        <w:rPr>
          <w:color w:val="231F20"/>
          <w:w w:val="105"/>
        </w:rPr>
        <w:t>afirma</w:t>
      </w:r>
      <w:r>
        <w:rPr>
          <w:color w:val="231F20"/>
          <w:spacing w:val="-23"/>
          <w:w w:val="105"/>
        </w:rPr>
        <w:t> </w:t>
      </w:r>
      <w:r>
        <w:rPr>
          <w:color w:val="231F20"/>
          <w:w w:val="105"/>
        </w:rPr>
        <w:t>que</w:t>
      </w:r>
      <w:r>
        <w:rPr>
          <w:color w:val="231F20"/>
          <w:spacing w:val="-23"/>
          <w:w w:val="105"/>
        </w:rPr>
        <w:t> </w:t>
      </w:r>
      <w:r>
        <w:rPr>
          <w:color w:val="231F20"/>
          <w:w w:val="105"/>
        </w:rPr>
        <w:t>el</w:t>
      </w:r>
      <w:r>
        <w:rPr>
          <w:color w:val="231F20"/>
          <w:spacing w:val="-23"/>
          <w:w w:val="105"/>
        </w:rPr>
        <w:t> </w:t>
      </w:r>
      <w:r>
        <w:rPr>
          <w:color w:val="231F20"/>
          <w:w w:val="105"/>
        </w:rPr>
        <w:t>aprendi- zaje</w:t>
      </w:r>
      <w:r>
        <w:rPr>
          <w:color w:val="231F20"/>
          <w:spacing w:val="-15"/>
          <w:w w:val="105"/>
        </w:rPr>
        <w:t> </w:t>
      </w:r>
      <w:r>
        <w:rPr>
          <w:color w:val="231F20"/>
          <w:w w:val="105"/>
        </w:rPr>
        <w:t>de</w:t>
      </w:r>
      <w:r>
        <w:rPr>
          <w:color w:val="231F20"/>
          <w:spacing w:val="-15"/>
          <w:w w:val="105"/>
        </w:rPr>
        <w:t> </w:t>
      </w:r>
      <w:r>
        <w:rPr>
          <w:color w:val="231F20"/>
          <w:w w:val="105"/>
        </w:rPr>
        <w:t>doble</w:t>
      </w:r>
      <w:r>
        <w:rPr>
          <w:color w:val="231F20"/>
          <w:spacing w:val="-15"/>
          <w:w w:val="105"/>
        </w:rPr>
        <w:t> </w:t>
      </w:r>
      <w:r>
        <w:rPr>
          <w:color w:val="231F20"/>
          <w:w w:val="105"/>
        </w:rPr>
        <w:t>circuito</w:t>
      </w:r>
      <w:r>
        <w:rPr>
          <w:color w:val="231F20"/>
          <w:spacing w:val="-15"/>
          <w:w w:val="105"/>
        </w:rPr>
        <w:t> </w:t>
      </w:r>
      <w:r>
        <w:rPr>
          <w:color w:val="231F20"/>
          <w:w w:val="105"/>
        </w:rPr>
        <w:t>ocurre</w:t>
      </w:r>
      <w:r>
        <w:rPr>
          <w:color w:val="231F20"/>
          <w:spacing w:val="-15"/>
          <w:w w:val="105"/>
        </w:rPr>
        <w:t> </w:t>
      </w:r>
      <w:r>
        <w:rPr>
          <w:color w:val="231F20"/>
          <w:w w:val="105"/>
        </w:rPr>
        <w:t>cuando</w:t>
      </w:r>
      <w:r>
        <w:rPr>
          <w:color w:val="231F20"/>
          <w:spacing w:val="-15"/>
          <w:w w:val="105"/>
        </w:rPr>
        <w:t> </w:t>
      </w:r>
      <w:r>
        <w:rPr>
          <w:color w:val="231F20"/>
          <w:w w:val="105"/>
        </w:rPr>
        <w:t>los</w:t>
      </w:r>
      <w:r>
        <w:rPr>
          <w:color w:val="231F20"/>
          <w:spacing w:val="-15"/>
          <w:w w:val="105"/>
        </w:rPr>
        <w:t> </w:t>
      </w:r>
      <w:r>
        <w:rPr>
          <w:color w:val="231F20"/>
          <w:w w:val="105"/>
        </w:rPr>
        <w:t>errores</w:t>
      </w:r>
      <w:r>
        <w:rPr>
          <w:color w:val="231F20"/>
          <w:spacing w:val="-15"/>
          <w:w w:val="105"/>
        </w:rPr>
        <w:t> </w:t>
      </w:r>
      <w:r>
        <w:rPr>
          <w:color w:val="231F20"/>
          <w:w w:val="105"/>
        </w:rPr>
        <w:t>se</w:t>
      </w:r>
      <w:r>
        <w:rPr>
          <w:color w:val="231F20"/>
          <w:spacing w:val="-15"/>
          <w:w w:val="105"/>
        </w:rPr>
        <w:t> </w:t>
      </w:r>
      <w:r>
        <w:rPr>
          <w:color w:val="231F20"/>
          <w:w w:val="105"/>
        </w:rPr>
        <w:t>corrigen</w:t>
      </w:r>
      <w:r>
        <w:rPr>
          <w:color w:val="231F20"/>
          <w:spacing w:val="-15"/>
          <w:w w:val="105"/>
        </w:rPr>
        <w:t> </w:t>
      </w:r>
      <w:r>
        <w:rPr>
          <w:color w:val="231F20"/>
          <w:w w:val="105"/>
        </w:rPr>
        <w:t>examinando y</w:t>
      </w:r>
      <w:r>
        <w:rPr>
          <w:color w:val="231F20"/>
          <w:spacing w:val="-30"/>
          <w:w w:val="105"/>
        </w:rPr>
        <w:t> </w:t>
      </w:r>
      <w:r>
        <w:rPr>
          <w:color w:val="231F20"/>
          <w:w w:val="105"/>
        </w:rPr>
        <w:t>modificando</w:t>
      </w:r>
      <w:r>
        <w:rPr>
          <w:color w:val="231F20"/>
          <w:spacing w:val="-30"/>
          <w:w w:val="105"/>
        </w:rPr>
        <w:t> </w:t>
      </w:r>
      <w:r>
        <w:rPr>
          <w:color w:val="231F20"/>
          <w:w w:val="105"/>
        </w:rPr>
        <w:t>las</w:t>
      </w:r>
      <w:r>
        <w:rPr>
          <w:color w:val="231F20"/>
          <w:spacing w:val="-30"/>
          <w:w w:val="105"/>
        </w:rPr>
        <w:t> </w:t>
      </w:r>
      <w:r>
        <w:rPr>
          <w:color w:val="231F20"/>
          <w:w w:val="105"/>
        </w:rPr>
        <w:t>variables</w:t>
      </w:r>
      <w:r>
        <w:rPr>
          <w:color w:val="231F20"/>
          <w:spacing w:val="-30"/>
          <w:w w:val="105"/>
        </w:rPr>
        <w:t> </w:t>
      </w:r>
      <w:r>
        <w:rPr>
          <w:color w:val="231F20"/>
          <w:w w:val="105"/>
        </w:rPr>
        <w:t>reguladoras</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detectan</w:t>
      </w:r>
      <w:r>
        <w:rPr>
          <w:color w:val="231F20"/>
          <w:spacing w:val="-30"/>
          <w:w w:val="105"/>
        </w:rPr>
        <w:t> </w:t>
      </w:r>
      <w:r>
        <w:rPr>
          <w:color w:val="231F20"/>
          <w:w w:val="105"/>
        </w:rPr>
        <w:t>observando</w:t>
      </w:r>
      <w:r>
        <w:rPr>
          <w:color w:val="231F20"/>
          <w:spacing w:val="-30"/>
          <w:w w:val="105"/>
        </w:rPr>
        <w:t> </w:t>
      </w:r>
      <w:r>
        <w:rPr>
          <w:color w:val="231F20"/>
          <w:w w:val="105"/>
        </w:rPr>
        <w:t>las acciones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individuos–</w:t>
      </w:r>
      <w:r>
        <w:rPr>
          <w:color w:val="231F20"/>
          <w:spacing w:val="-12"/>
          <w:w w:val="105"/>
        </w:rPr>
        <w:t> </w:t>
      </w:r>
      <w:r>
        <w:rPr>
          <w:color w:val="231F20"/>
          <w:w w:val="105"/>
        </w:rPr>
        <w:t>y</w:t>
      </w:r>
      <w:r>
        <w:rPr>
          <w:color w:val="231F20"/>
          <w:spacing w:val="-12"/>
          <w:w w:val="105"/>
        </w:rPr>
        <w:t> </w:t>
      </w:r>
      <w:r>
        <w:rPr>
          <w:color w:val="231F20"/>
          <w:w w:val="105"/>
        </w:rPr>
        <w:t>después</w:t>
      </w:r>
      <w:r>
        <w:rPr>
          <w:color w:val="231F20"/>
          <w:spacing w:val="-12"/>
          <w:w w:val="105"/>
        </w:rPr>
        <w:t> </w:t>
      </w:r>
      <w:r>
        <w:rPr>
          <w:color w:val="231F20"/>
          <w:w w:val="105"/>
        </w:rPr>
        <w:t>las</w:t>
      </w:r>
      <w:r>
        <w:rPr>
          <w:color w:val="231F20"/>
          <w:spacing w:val="-12"/>
          <w:w w:val="105"/>
        </w:rPr>
        <w:t> </w:t>
      </w:r>
      <w:r>
        <w:rPr>
          <w:color w:val="231F20"/>
          <w:w w:val="105"/>
        </w:rPr>
        <w:t>acciones,</w:t>
      </w:r>
      <w:r>
        <w:rPr>
          <w:color w:val="231F20"/>
          <w:spacing w:val="-18"/>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conduce</w:t>
      </w:r>
      <w:r>
        <w:rPr>
          <w:color w:val="231F20"/>
          <w:spacing w:val="-12"/>
          <w:w w:val="105"/>
        </w:rPr>
        <w:t> </w:t>
      </w:r>
      <w:r>
        <w:rPr>
          <w:color w:val="231F20"/>
          <w:w w:val="105"/>
        </w:rPr>
        <w:t>a</w:t>
      </w:r>
      <w:r>
        <w:rPr>
          <w:color w:val="231F20"/>
          <w:spacing w:val="-12"/>
          <w:w w:val="105"/>
        </w:rPr>
        <w:t> </w:t>
      </w:r>
      <w:r>
        <w:rPr>
          <w:color w:val="231F20"/>
          <w:w w:val="105"/>
        </w:rPr>
        <w:t>la innovación y el</w:t>
      </w:r>
      <w:r>
        <w:rPr>
          <w:color w:val="231F20"/>
          <w:spacing w:val="-44"/>
          <w:w w:val="105"/>
        </w:rPr>
        <w:t> </w:t>
      </w:r>
      <w:r>
        <w:rPr>
          <w:color w:val="231F20"/>
          <w:w w:val="105"/>
        </w:rPr>
        <w:t>cambio.</w:t>
      </w:r>
    </w:p>
    <w:p>
      <w:pPr>
        <w:spacing w:before="162"/>
        <w:ind w:left="117" w:right="0" w:firstLine="0"/>
        <w:jc w:val="both"/>
        <w:rPr>
          <w:i/>
          <w:sz w:val="21"/>
        </w:rPr>
      </w:pPr>
      <w:r>
        <w:rPr>
          <w:i/>
          <w:color w:val="231F20"/>
          <w:w w:val="105"/>
          <w:sz w:val="21"/>
        </w:rPr>
        <w:t>Aprendizaje organizacional e innovación</w:t>
      </w:r>
    </w:p>
    <w:p>
      <w:pPr>
        <w:pStyle w:val="BodyText"/>
        <w:spacing w:before="4"/>
        <w:rPr>
          <w:i/>
          <w:sz w:val="16"/>
        </w:rPr>
      </w:pPr>
    </w:p>
    <w:p>
      <w:pPr>
        <w:pStyle w:val="BodyText"/>
        <w:spacing w:line="259" w:lineRule="auto"/>
        <w:ind w:left="117" w:right="115"/>
        <w:jc w:val="both"/>
      </w:pPr>
      <w:r>
        <w:rPr>
          <w:color w:val="231F20"/>
          <w:w w:val="105"/>
        </w:rPr>
        <w:t>La</w:t>
      </w:r>
      <w:r>
        <w:rPr>
          <w:color w:val="231F20"/>
          <w:spacing w:val="-15"/>
          <w:w w:val="105"/>
        </w:rPr>
        <w:t> </w:t>
      </w:r>
      <w:r>
        <w:rPr>
          <w:color w:val="231F20"/>
          <w:w w:val="105"/>
        </w:rPr>
        <w:t>innovación</w:t>
      </w:r>
      <w:r>
        <w:rPr>
          <w:color w:val="231F20"/>
          <w:spacing w:val="-15"/>
          <w:w w:val="105"/>
        </w:rPr>
        <w:t> </w:t>
      </w:r>
      <w:r>
        <w:rPr>
          <w:color w:val="231F20"/>
          <w:w w:val="105"/>
        </w:rPr>
        <w:t>se</w:t>
      </w:r>
      <w:r>
        <w:rPr>
          <w:color w:val="231F20"/>
          <w:spacing w:val="-15"/>
          <w:w w:val="105"/>
        </w:rPr>
        <w:t> </w:t>
      </w:r>
      <w:r>
        <w:rPr>
          <w:color w:val="231F20"/>
          <w:w w:val="105"/>
        </w:rPr>
        <w:t>vincula</w:t>
      </w:r>
      <w:r>
        <w:rPr>
          <w:color w:val="231F20"/>
          <w:spacing w:val="-15"/>
          <w:w w:val="105"/>
        </w:rPr>
        <w:t> </w:t>
      </w:r>
      <w:r>
        <w:rPr>
          <w:color w:val="231F20"/>
          <w:w w:val="105"/>
        </w:rPr>
        <w:t>fuertemente</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aprendizaje</w:t>
      </w:r>
      <w:r>
        <w:rPr>
          <w:color w:val="231F20"/>
          <w:spacing w:val="-15"/>
          <w:w w:val="105"/>
        </w:rPr>
        <w:t> </w:t>
      </w:r>
      <w:r>
        <w:rPr>
          <w:color w:val="231F20"/>
          <w:w w:val="105"/>
        </w:rPr>
        <w:t>organizacional, sin</w:t>
      </w:r>
      <w:r>
        <w:rPr>
          <w:color w:val="231F20"/>
          <w:spacing w:val="-10"/>
          <w:w w:val="105"/>
        </w:rPr>
        <w:t> </w:t>
      </w:r>
      <w:r>
        <w:rPr>
          <w:color w:val="231F20"/>
          <w:w w:val="105"/>
        </w:rPr>
        <w:t>embargo</w:t>
      </w:r>
      <w:r>
        <w:rPr>
          <w:color w:val="231F20"/>
          <w:spacing w:val="-10"/>
          <w:w w:val="105"/>
        </w:rPr>
        <w:t> </w:t>
      </w:r>
      <w:r>
        <w:rPr>
          <w:color w:val="231F20"/>
          <w:w w:val="105"/>
        </w:rPr>
        <w:t>sólo</w:t>
      </w:r>
      <w:r>
        <w:rPr>
          <w:color w:val="231F20"/>
          <w:spacing w:val="-10"/>
          <w:w w:val="105"/>
        </w:rPr>
        <w:t> </w:t>
      </w:r>
      <w:r>
        <w:rPr>
          <w:color w:val="231F20"/>
          <w:w w:val="105"/>
        </w:rPr>
        <w:t>se</w:t>
      </w:r>
      <w:r>
        <w:rPr>
          <w:color w:val="231F20"/>
          <w:spacing w:val="-10"/>
          <w:w w:val="105"/>
        </w:rPr>
        <w:t> </w:t>
      </w:r>
      <w:r>
        <w:rPr>
          <w:color w:val="231F20"/>
          <w:w w:val="105"/>
        </w:rPr>
        <w:t>puede</w:t>
      </w:r>
      <w:r>
        <w:rPr>
          <w:color w:val="231F20"/>
          <w:spacing w:val="-10"/>
          <w:w w:val="105"/>
        </w:rPr>
        <w:t> </w:t>
      </w:r>
      <w:r>
        <w:rPr>
          <w:color w:val="231F20"/>
          <w:w w:val="105"/>
        </w:rPr>
        <w:t>afirmar</w:t>
      </w:r>
      <w:r>
        <w:rPr>
          <w:color w:val="231F20"/>
          <w:spacing w:val="-10"/>
          <w:w w:val="105"/>
        </w:rPr>
        <w:t> </w:t>
      </w:r>
      <w:r>
        <w:rPr>
          <w:color w:val="231F20"/>
          <w:w w:val="105"/>
        </w:rPr>
        <w:t>que</w:t>
      </w:r>
      <w:r>
        <w:rPr>
          <w:color w:val="231F20"/>
          <w:spacing w:val="-10"/>
          <w:w w:val="105"/>
        </w:rPr>
        <w:t> </w:t>
      </w:r>
      <w:r>
        <w:rPr>
          <w:color w:val="231F20"/>
          <w:w w:val="105"/>
        </w:rPr>
        <w:t>una</w:t>
      </w:r>
      <w:r>
        <w:rPr>
          <w:color w:val="231F20"/>
          <w:spacing w:val="-10"/>
          <w:w w:val="105"/>
        </w:rPr>
        <w:t> </w:t>
      </w:r>
      <w:r>
        <w:rPr>
          <w:color w:val="231F20"/>
          <w:w w:val="105"/>
        </w:rPr>
        <w:t>organización</w:t>
      </w:r>
      <w:r>
        <w:rPr>
          <w:color w:val="231F20"/>
          <w:spacing w:val="-10"/>
          <w:w w:val="105"/>
        </w:rPr>
        <w:t> </w:t>
      </w:r>
      <w:r>
        <w:rPr>
          <w:color w:val="231F20"/>
          <w:w w:val="105"/>
        </w:rPr>
        <w:t>es</w:t>
      </w:r>
      <w:r>
        <w:rPr>
          <w:color w:val="231F20"/>
          <w:spacing w:val="-10"/>
          <w:w w:val="105"/>
        </w:rPr>
        <w:t> </w:t>
      </w:r>
      <w:r>
        <w:rPr>
          <w:color w:val="231F20"/>
          <w:w w:val="105"/>
        </w:rPr>
        <w:t>innovadora cuando</w:t>
      </w:r>
      <w:r>
        <w:rPr>
          <w:color w:val="231F20"/>
          <w:spacing w:val="-20"/>
          <w:w w:val="105"/>
        </w:rPr>
        <w:t> </w:t>
      </w:r>
      <w:r>
        <w:rPr>
          <w:color w:val="231F20"/>
          <w:w w:val="105"/>
        </w:rPr>
        <w:t>se</w:t>
      </w:r>
      <w:r>
        <w:rPr>
          <w:color w:val="231F20"/>
          <w:spacing w:val="-20"/>
          <w:w w:val="105"/>
        </w:rPr>
        <w:t> </w:t>
      </w:r>
      <w:r>
        <w:rPr>
          <w:color w:val="231F20"/>
          <w:w w:val="105"/>
        </w:rPr>
        <w:t>realizan</w:t>
      </w:r>
      <w:r>
        <w:rPr>
          <w:color w:val="231F20"/>
          <w:spacing w:val="-20"/>
          <w:w w:val="105"/>
        </w:rPr>
        <w:t> </w:t>
      </w:r>
      <w:r>
        <w:rPr>
          <w:color w:val="231F20"/>
          <w:w w:val="105"/>
        </w:rPr>
        <w:t>cambios</w:t>
      </w:r>
      <w:r>
        <w:rPr>
          <w:color w:val="231F20"/>
          <w:spacing w:val="-20"/>
          <w:w w:val="105"/>
        </w:rPr>
        <w:t> </w:t>
      </w:r>
      <w:r>
        <w:rPr>
          <w:color w:val="231F20"/>
          <w:w w:val="105"/>
        </w:rPr>
        <w:t>y</w:t>
      </w:r>
      <w:r>
        <w:rPr>
          <w:color w:val="231F20"/>
          <w:spacing w:val="-20"/>
          <w:w w:val="105"/>
        </w:rPr>
        <w:t> </w:t>
      </w:r>
      <w:r>
        <w:rPr>
          <w:color w:val="231F20"/>
          <w:w w:val="105"/>
        </w:rPr>
        <w:t>se</w:t>
      </w:r>
      <w:r>
        <w:rPr>
          <w:color w:val="231F20"/>
          <w:spacing w:val="-20"/>
          <w:w w:val="105"/>
        </w:rPr>
        <w:t> </w:t>
      </w:r>
      <w:r>
        <w:rPr>
          <w:color w:val="231F20"/>
          <w:w w:val="105"/>
        </w:rPr>
        <w:t>aplican</w:t>
      </w:r>
      <w:r>
        <w:rPr>
          <w:color w:val="231F20"/>
          <w:spacing w:val="-20"/>
          <w:w w:val="105"/>
        </w:rPr>
        <w:t> </w:t>
      </w:r>
      <w:r>
        <w:rPr>
          <w:color w:val="231F20"/>
          <w:w w:val="105"/>
        </w:rPr>
        <w:t>nuevas</w:t>
      </w:r>
      <w:r>
        <w:rPr>
          <w:color w:val="231F20"/>
          <w:spacing w:val="-20"/>
          <w:w w:val="105"/>
        </w:rPr>
        <w:t> </w:t>
      </w:r>
      <w:r>
        <w:rPr>
          <w:color w:val="231F20"/>
          <w:w w:val="105"/>
        </w:rPr>
        <w:t>técnicas</w:t>
      </w:r>
      <w:r>
        <w:rPr>
          <w:color w:val="231F20"/>
          <w:spacing w:val="-20"/>
          <w:w w:val="105"/>
        </w:rPr>
        <w:t> </w:t>
      </w:r>
      <w:r>
        <w:rPr>
          <w:color w:val="231F20"/>
          <w:w w:val="105"/>
        </w:rPr>
        <w:t>y</w:t>
      </w:r>
      <w:r>
        <w:rPr>
          <w:color w:val="231F20"/>
          <w:spacing w:val="-20"/>
          <w:w w:val="105"/>
        </w:rPr>
        <w:t> </w:t>
      </w:r>
      <w:r>
        <w:rPr>
          <w:color w:val="231F20"/>
          <w:w w:val="105"/>
        </w:rPr>
        <w:t>procedimien- tos que inciden en la creación y/o mejora de los productos o servicios que ofrecen y que le otorgan el calificativo de “organización inteligente o que</w:t>
      </w:r>
      <w:r>
        <w:rPr>
          <w:color w:val="231F20"/>
          <w:spacing w:val="10"/>
          <w:w w:val="105"/>
        </w:rPr>
        <w:t> </w:t>
      </w:r>
      <w:r>
        <w:rPr>
          <w:color w:val="231F20"/>
          <w:spacing w:val="-4"/>
          <w:w w:val="105"/>
        </w:rPr>
        <w:t>aprende”.</w:t>
      </w:r>
    </w:p>
    <w:p>
      <w:pPr>
        <w:pStyle w:val="BodyText"/>
        <w:spacing w:line="259" w:lineRule="auto"/>
        <w:ind w:left="117" w:right="120" w:firstLine="567"/>
        <w:jc w:val="both"/>
      </w:pPr>
      <w:r>
        <w:rPr>
          <w:color w:val="231F20"/>
          <w:w w:val="105"/>
        </w:rPr>
        <w:t>Bajo</w:t>
      </w:r>
      <w:r>
        <w:rPr>
          <w:color w:val="231F20"/>
          <w:spacing w:val="-8"/>
          <w:w w:val="105"/>
        </w:rPr>
        <w:t> </w:t>
      </w:r>
      <w:r>
        <w:rPr>
          <w:color w:val="231F20"/>
          <w:w w:val="105"/>
        </w:rPr>
        <w:t>la</w:t>
      </w:r>
      <w:r>
        <w:rPr>
          <w:color w:val="231F20"/>
          <w:spacing w:val="-8"/>
          <w:w w:val="105"/>
        </w:rPr>
        <w:t> </w:t>
      </w:r>
      <w:r>
        <w:rPr>
          <w:color w:val="231F20"/>
          <w:w w:val="105"/>
        </w:rPr>
        <w:t>visión</w:t>
      </w:r>
      <w:r>
        <w:rPr>
          <w:color w:val="231F20"/>
          <w:spacing w:val="-8"/>
          <w:w w:val="105"/>
        </w:rPr>
        <w:t> </w:t>
      </w:r>
      <w:r>
        <w:rPr>
          <w:color w:val="231F20"/>
          <w:w w:val="105"/>
        </w:rPr>
        <w:t>de</w:t>
      </w:r>
      <w:r>
        <w:rPr>
          <w:color w:val="231F20"/>
          <w:spacing w:val="-8"/>
          <w:w w:val="105"/>
        </w:rPr>
        <w:t> </w:t>
      </w:r>
      <w:r>
        <w:rPr>
          <w:color w:val="231F20"/>
          <w:w w:val="105"/>
        </w:rPr>
        <w:t>Martínez</w:t>
      </w:r>
      <w:r>
        <w:rPr>
          <w:color w:val="231F20"/>
          <w:spacing w:val="-8"/>
          <w:w w:val="105"/>
        </w:rPr>
        <w:t> </w:t>
      </w:r>
      <w:r>
        <w:rPr>
          <w:color w:val="231F20"/>
          <w:w w:val="105"/>
        </w:rPr>
        <w:t>(2011),</w:t>
      </w:r>
      <w:r>
        <w:rPr>
          <w:color w:val="231F20"/>
          <w:spacing w:val="-14"/>
          <w:w w:val="105"/>
        </w:rPr>
        <w:t> </w:t>
      </w:r>
      <w:r>
        <w:rPr>
          <w:color w:val="231F20"/>
          <w:w w:val="105"/>
        </w:rPr>
        <w:t>la</w:t>
      </w:r>
      <w:r>
        <w:rPr>
          <w:color w:val="231F20"/>
          <w:spacing w:val="-8"/>
          <w:w w:val="105"/>
        </w:rPr>
        <w:t> </w:t>
      </w:r>
      <w:r>
        <w:rPr>
          <w:color w:val="231F20"/>
          <w:w w:val="105"/>
        </w:rPr>
        <w:t>gestión</w:t>
      </w:r>
      <w:r>
        <w:rPr>
          <w:color w:val="231F20"/>
          <w:spacing w:val="-8"/>
          <w:w w:val="105"/>
        </w:rPr>
        <w:t> </w:t>
      </w:r>
      <w:r>
        <w:rPr>
          <w:color w:val="231F20"/>
          <w:w w:val="105"/>
        </w:rPr>
        <w:t>del</w:t>
      </w:r>
      <w:r>
        <w:rPr>
          <w:color w:val="231F20"/>
          <w:spacing w:val="-8"/>
          <w:w w:val="105"/>
        </w:rPr>
        <w:t> </w:t>
      </w:r>
      <w:r>
        <w:rPr>
          <w:color w:val="231F20"/>
          <w:w w:val="105"/>
        </w:rPr>
        <w:t>aprendizaje</w:t>
      </w:r>
      <w:r>
        <w:rPr>
          <w:color w:val="231F20"/>
          <w:spacing w:val="-8"/>
          <w:w w:val="105"/>
        </w:rPr>
        <w:t> </w:t>
      </w:r>
      <w:r>
        <w:rPr>
          <w:color w:val="231F20"/>
          <w:w w:val="105"/>
        </w:rPr>
        <w:t>orga- nizacional se dirige al proceso de aprendizaje de la organización como un todo, a fin de hacer evolucionar las estructuras, procesos y cultura que</w:t>
      </w:r>
      <w:r>
        <w:rPr>
          <w:color w:val="231F20"/>
          <w:spacing w:val="-13"/>
          <w:w w:val="105"/>
        </w:rPr>
        <w:t> </w:t>
      </w:r>
      <w:r>
        <w:rPr>
          <w:color w:val="231F20"/>
          <w:w w:val="105"/>
        </w:rPr>
        <w:t>lo</w:t>
      </w:r>
      <w:r>
        <w:rPr>
          <w:color w:val="231F20"/>
          <w:spacing w:val="-13"/>
          <w:w w:val="105"/>
        </w:rPr>
        <w:t> </w:t>
      </w:r>
      <w:r>
        <w:rPr>
          <w:color w:val="231F20"/>
          <w:w w:val="105"/>
        </w:rPr>
        <w:t>sustentan.</w:t>
      </w:r>
      <w:r>
        <w:rPr>
          <w:color w:val="231F20"/>
          <w:spacing w:val="-20"/>
          <w:w w:val="105"/>
        </w:rPr>
        <w:t> </w:t>
      </w:r>
      <w:r>
        <w:rPr>
          <w:color w:val="231F20"/>
          <w:spacing w:val="-5"/>
          <w:w w:val="105"/>
        </w:rPr>
        <w:t>Por</w:t>
      </w:r>
      <w:r>
        <w:rPr>
          <w:color w:val="231F20"/>
          <w:spacing w:val="-13"/>
          <w:w w:val="105"/>
        </w:rPr>
        <w:t> </w:t>
      </w:r>
      <w:r>
        <w:rPr>
          <w:color w:val="231F20"/>
          <w:w w:val="105"/>
        </w:rPr>
        <w:t>tanto,</w:t>
      </w:r>
      <w:r>
        <w:rPr>
          <w:color w:val="231F20"/>
          <w:spacing w:val="-20"/>
          <w:w w:val="105"/>
        </w:rPr>
        <w:t> </w:t>
      </w:r>
      <w:r>
        <w:rPr>
          <w:color w:val="231F20"/>
          <w:w w:val="105"/>
        </w:rPr>
        <w:t>permite</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3"/>
          <w:w w:val="105"/>
        </w:rPr>
        <w:t> </w:t>
      </w:r>
      <w:r>
        <w:rPr>
          <w:color w:val="231F20"/>
          <w:w w:val="105"/>
        </w:rPr>
        <w:t>innovación</w:t>
      </w:r>
      <w:r>
        <w:rPr>
          <w:color w:val="231F20"/>
          <w:spacing w:val="-13"/>
          <w:w w:val="105"/>
        </w:rPr>
        <w:t> </w:t>
      </w:r>
      <w:r>
        <w:rPr>
          <w:color w:val="231F20"/>
          <w:w w:val="105"/>
        </w:rPr>
        <w:t>llegue a buen</w:t>
      </w:r>
      <w:r>
        <w:rPr>
          <w:color w:val="231F20"/>
          <w:spacing w:val="-2"/>
          <w:w w:val="105"/>
        </w:rPr>
        <w:t> </w:t>
      </w:r>
      <w:r>
        <w:rPr>
          <w:color w:val="231F20"/>
          <w:w w:val="105"/>
        </w:rPr>
        <w:t>término.</w:t>
      </w:r>
    </w:p>
    <w:p>
      <w:pPr>
        <w:spacing w:after="0" w:line="259" w:lineRule="auto"/>
        <w:jc w:val="both"/>
        <w:sectPr>
          <w:pgSz w:w="9640" w:h="13890"/>
          <w:pgMar w:top="0" w:bottom="280" w:left="1300" w:right="1180"/>
        </w:sectPr>
      </w:pPr>
    </w:p>
    <w:p>
      <w:pPr>
        <w:pStyle w:val="BodyText"/>
        <w:spacing w:line="259" w:lineRule="auto" w:before="120"/>
        <w:ind w:left="115" w:right="109"/>
        <w:jc w:val="both"/>
      </w:pPr>
      <w:r>
        <w:rPr>
          <w:color w:val="231F20"/>
          <w:spacing w:val="-4"/>
          <w:w w:val="105"/>
        </w:rPr>
        <w:t>Peter </w:t>
      </w:r>
      <w:r>
        <w:rPr>
          <w:color w:val="231F20"/>
          <w:w w:val="105"/>
        </w:rPr>
        <w:t>Senge (1990) estudió a las “organizaciones que </w:t>
      </w:r>
      <w:r>
        <w:rPr>
          <w:color w:val="231F20"/>
          <w:spacing w:val="-3"/>
          <w:w w:val="105"/>
        </w:rPr>
        <w:t>aprenden”, </w:t>
      </w:r>
      <w:r>
        <w:rPr>
          <w:color w:val="231F20"/>
          <w:w w:val="105"/>
        </w:rPr>
        <w:t>afir- mando que cinco disciplinas convergen para innovar organizaciones in- teligentes que podrían conformar comunidades inteligentes. Las cinco disciplinas que propone son: pensamiento sistémico, dominio personal, modelos</w:t>
      </w:r>
      <w:r>
        <w:rPr>
          <w:color w:val="231F20"/>
          <w:spacing w:val="-6"/>
          <w:w w:val="105"/>
        </w:rPr>
        <w:t> </w:t>
      </w:r>
      <w:r>
        <w:rPr>
          <w:color w:val="231F20"/>
          <w:w w:val="105"/>
        </w:rPr>
        <w:t>mentales,</w:t>
      </w:r>
      <w:r>
        <w:rPr>
          <w:color w:val="231F20"/>
          <w:spacing w:val="-12"/>
          <w:w w:val="105"/>
        </w:rPr>
        <w:t> </w:t>
      </w:r>
      <w:r>
        <w:rPr>
          <w:color w:val="231F20"/>
          <w:w w:val="105"/>
        </w:rPr>
        <w:t>construcción</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visión</w:t>
      </w:r>
      <w:r>
        <w:rPr>
          <w:color w:val="231F20"/>
          <w:spacing w:val="-6"/>
          <w:w w:val="105"/>
        </w:rPr>
        <w:t> </w:t>
      </w:r>
      <w:r>
        <w:rPr>
          <w:color w:val="231F20"/>
          <w:w w:val="105"/>
        </w:rPr>
        <w:t>compartida</w:t>
      </w:r>
      <w:r>
        <w:rPr>
          <w:color w:val="231F20"/>
          <w:spacing w:val="-6"/>
          <w:w w:val="105"/>
        </w:rPr>
        <w:t> </w:t>
      </w:r>
      <w:r>
        <w:rPr>
          <w:color w:val="231F20"/>
          <w:w w:val="105"/>
        </w:rPr>
        <w:t>y</w:t>
      </w:r>
      <w:r>
        <w:rPr>
          <w:color w:val="231F20"/>
          <w:spacing w:val="-6"/>
          <w:w w:val="105"/>
        </w:rPr>
        <w:t> </w:t>
      </w:r>
      <w:r>
        <w:rPr>
          <w:color w:val="231F20"/>
          <w:w w:val="105"/>
        </w:rPr>
        <w:t>aprendizaje en equipo.</w:t>
      </w:r>
      <w:r>
        <w:rPr>
          <w:color w:val="231F20"/>
          <w:spacing w:val="-44"/>
          <w:w w:val="105"/>
        </w:rPr>
        <w:t> </w:t>
      </w:r>
      <w:r>
        <w:rPr>
          <w:color w:val="231F20"/>
          <w:w w:val="105"/>
        </w:rPr>
        <w:t>Otros estudiosos también han abordado el tema de las orga- nizaciones</w:t>
      </w:r>
      <w:r>
        <w:rPr>
          <w:color w:val="231F20"/>
          <w:spacing w:val="-24"/>
          <w:w w:val="105"/>
        </w:rPr>
        <w:t> </w:t>
      </w:r>
      <w:r>
        <w:rPr>
          <w:color w:val="231F20"/>
          <w:w w:val="105"/>
        </w:rPr>
        <w:t>que</w:t>
      </w:r>
      <w:r>
        <w:rPr>
          <w:color w:val="231F20"/>
          <w:spacing w:val="-24"/>
          <w:w w:val="105"/>
        </w:rPr>
        <w:t> </w:t>
      </w:r>
      <w:r>
        <w:rPr>
          <w:color w:val="231F20"/>
          <w:w w:val="105"/>
        </w:rPr>
        <w:t>aprenden</w:t>
      </w:r>
      <w:r>
        <w:rPr>
          <w:color w:val="231F20"/>
          <w:spacing w:val="-24"/>
          <w:w w:val="105"/>
        </w:rPr>
        <w:t> </w:t>
      </w:r>
      <w:r>
        <w:rPr>
          <w:color w:val="231F20"/>
          <w:w w:val="105"/>
        </w:rPr>
        <w:t>(figura</w:t>
      </w:r>
      <w:r>
        <w:rPr>
          <w:color w:val="231F20"/>
          <w:spacing w:val="-24"/>
          <w:w w:val="105"/>
        </w:rPr>
        <w:t> </w:t>
      </w:r>
      <w:r>
        <w:rPr>
          <w:color w:val="231F20"/>
          <w:w w:val="105"/>
        </w:rPr>
        <w:t>3).</w:t>
      </w:r>
    </w:p>
    <w:p>
      <w:pPr>
        <w:pStyle w:val="BodyText"/>
        <w:spacing w:line="259" w:lineRule="auto"/>
        <w:ind w:left="115" w:right="115" w:firstLine="567"/>
        <w:jc w:val="both"/>
      </w:pPr>
      <w:r>
        <w:rPr>
          <w:color w:val="231F20"/>
          <w:w w:val="105"/>
        </w:rPr>
        <w:t>En</w:t>
      </w:r>
      <w:r>
        <w:rPr>
          <w:color w:val="231F20"/>
          <w:spacing w:val="-18"/>
          <w:w w:val="105"/>
        </w:rPr>
        <w:t> </w:t>
      </w:r>
      <w:r>
        <w:rPr>
          <w:color w:val="231F20"/>
          <w:w w:val="105"/>
        </w:rPr>
        <w:t>síntesis:</w:t>
      </w:r>
      <w:r>
        <w:rPr>
          <w:color w:val="231F20"/>
          <w:spacing w:val="-18"/>
          <w:w w:val="105"/>
        </w:rPr>
        <w:t> </w:t>
      </w:r>
      <w:r>
        <w:rPr>
          <w:color w:val="231F20"/>
          <w:w w:val="105"/>
        </w:rPr>
        <w:t>las</w:t>
      </w:r>
      <w:r>
        <w:rPr>
          <w:color w:val="231F20"/>
          <w:spacing w:val="-18"/>
          <w:w w:val="105"/>
        </w:rPr>
        <w:t> </w:t>
      </w:r>
      <w:r>
        <w:rPr>
          <w:color w:val="231F20"/>
          <w:w w:val="105"/>
        </w:rPr>
        <w:t>organizaciones</w:t>
      </w:r>
      <w:r>
        <w:rPr>
          <w:color w:val="231F20"/>
          <w:spacing w:val="-18"/>
          <w:w w:val="105"/>
        </w:rPr>
        <w:t> </w:t>
      </w:r>
      <w:r>
        <w:rPr>
          <w:color w:val="231F20"/>
          <w:w w:val="105"/>
        </w:rPr>
        <w:t>que</w:t>
      </w:r>
      <w:r>
        <w:rPr>
          <w:color w:val="231F20"/>
          <w:spacing w:val="-18"/>
          <w:w w:val="105"/>
        </w:rPr>
        <w:t> </w:t>
      </w:r>
      <w:r>
        <w:rPr>
          <w:color w:val="231F20"/>
          <w:w w:val="105"/>
        </w:rPr>
        <w:t>aprenden</w:t>
      </w:r>
      <w:r>
        <w:rPr>
          <w:color w:val="231F20"/>
          <w:spacing w:val="-18"/>
          <w:w w:val="105"/>
        </w:rPr>
        <w:t> </w:t>
      </w:r>
      <w:r>
        <w:rPr>
          <w:color w:val="231F20"/>
          <w:w w:val="105"/>
        </w:rPr>
        <w:t>ponen</w:t>
      </w:r>
      <w:r>
        <w:rPr>
          <w:color w:val="231F20"/>
          <w:spacing w:val="-18"/>
          <w:w w:val="105"/>
        </w:rPr>
        <w:t> </w:t>
      </w:r>
      <w:r>
        <w:rPr>
          <w:color w:val="231F20"/>
          <w:w w:val="105"/>
        </w:rPr>
        <w:t>en</w:t>
      </w:r>
      <w:r>
        <w:rPr>
          <w:color w:val="231F20"/>
          <w:spacing w:val="-18"/>
          <w:w w:val="105"/>
        </w:rPr>
        <w:t> </w:t>
      </w:r>
      <w:r>
        <w:rPr>
          <w:color w:val="231F20"/>
          <w:w w:val="105"/>
        </w:rPr>
        <w:t>práctica</w:t>
      </w:r>
      <w:r>
        <w:rPr>
          <w:color w:val="231F20"/>
          <w:spacing w:val="-18"/>
          <w:w w:val="105"/>
        </w:rPr>
        <w:t> </w:t>
      </w:r>
      <w:r>
        <w:rPr>
          <w:color w:val="231F20"/>
          <w:w w:val="105"/>
        </w:rPr>
        <w:t>di- versos</w:t>
      </w:r>
      <w:r>
        <w:rPr>
          <w:color w:val="231F20"/>
          <w:spacing w:val="-15"/>
          <w:w w:val="105"/>
        </w:rPr>
        <w:t> </w:t>
      </w:r>
      <w:r>
        <w:rPr>
          <w:color w:val="231F20"/>
          <w:w w:val="105"/>
        </w:rPr>
        <w:t>elementos</w:t>
      </w:r>
      <w:r>
        <w:rPr>
          <w:color w:val="231F20"/>
          <w:spacing w:val="-15"/>
          <w:w w:val="105"/>
        </w:rPr>
        <w:t> </w:t>
      </w:r>
      <w:r>
        <w:rPr>
          <w:color w:val="231F20"/>
          <w:w w:val="105"/>
        </w:rPr>
        <w:t>que</w:t>
      </w:r>
      <w:r>
        <w:rPr>
          <w:color w:val="231F20"/>
          <w:spacing w:val="-15"/>
          <w:w w:val="105"/>
        </w:rPr>
        <w:t> </w:t>
      </w:r>
      <w:r>
        <w:rPr>
          <w:color w:val="231F20"/>
          <w:w w:val="105"/>
        </w:rPr>
        <w:t>posibilitan</w:t>
      </w:r>
      <w:r>
        <w:rPr>
          <w:color w:val="231F20"/>
          <w:spacing w:val="-15"/>
          <w:w w:val="105"/>
        </w:rPr>
        <w:t> </w:t>
      </w:r>
      <w:r>
        <w:rPr>
          <w:color w:val="231F20"/>
          <w:w w:val="105"/>
        </w:rPr>
        <w:t>el</w:t>
      </w:r>
      <w:r>
        <w:rPr>
          <w:color w:val="231F20"/>
          <w:spacing w:val="-15"/>
          <w:w w:val="105"/>
        </w:rPr>
        <w:t> </w:t>
      </w:r>
      <w:r>
        <w:rPr>
          <w:color w:val="231F20"/>
          <w:w w:val="105"/>
        </w:rPr>
        <w:t>aprendizaje</w:t>
      </w:r>
      <w:r>
        <w:rPr>
          <w:color w:val="231F20"/>
          <w:spacing w:val="-15"/>
          <w:w w:val="105"/>
        </w:rPr>
        <w:t> </w:t>
      </w:r>
      <w:r>
        <w:rPr>
          <w:color w:val="231F20"/>
          <w:w w:val="105"/>
        </w:rPr>
        <w:t>organizacional,</w:t>
      </w:r>
      <w:r>
        <w:rPr>
          <w:color w:val="231F20"/>
          <w:spacing w:val="-20"/>
          <w:w w:val="105"/>
        </w:rPr>
        <w:t> </w:t>
      </w:r>
      <w:r>
        <w:rPr>
          <w:color w:val="231F20"/>
          <w:w w:val="105"/>
        </w:rPr>
        <w:t>reflejado en</w:t>
      </w:r>
      <w:r>
        <w:rPr>
          <w:color w:val="231F20"/>
          <w:spacing w:val="-16"/>
          <w:w w:val="105"/>
        </w:rPr>
        <w:t> </w:t>
      </w:r>
      <w:r>
        <w:rPr>
          <w:color w:val="231F20"/>
          <w:w w:val="105"/>
        </w:rPr>
        <w:t>la</w:t>
      </w:r>
      <w:r>
        <w:rPr>
          <w:color w:val="231F20"/>
          <w:spacing w:val="-16"/>
          <w:w w:val="105"/>
        </w:rPr>
        <w:t> </w:t>
      </w:r>
      <w:r>
        <w:rPr>
          <w:color w:val="231F20"/>
          <w:w w:val="105"/>
        </w:rPr>
        <w:t>innovación</w:t>
      </w:r>
      <w:r>
        <w:rPr>
          <w:color w:val="231F20"/>
          <w:spacing w:val="-16"/>
          <w:w w:val="105"/>
        </w:rPr>
        <w:t> </w:t>
      </w:r>
      <w:r>
        <w:rPr>
          <w:color w:val="231F20"/>
          <w:w w:val="105"/>
        </w:rPr>
        <w:t>y</w:t>
      </w:r>
      <w:r>
        <w:rPr>
          <w:color w:val="231F20"/>
          <w:spacing w:val="-16"/>
          <w:w w:val="105"/>
        </w:rPr>
        <w:t> </w:t>
      </w:r>
      <w:r>
        <w:rPr>
          <w:color w:val="231F20"/>
          <w:w w:val="105"/>
        </w:rPr>
        <w:t>transmisión</w:t>
      </w:r>
      <w:r>
        <w:rPr>
          <w:color w:val="231F20"/>
          <w:spacing w:val="-16"/>
          <w:w w:val="105"/>
        </w:rPr>
        <w:t> </w:t>
      </w:r>
      <w:r>
        <w:rPr>
          <w:color w:val="231F20"/>
          <w:w w:val="105"/>
        </w:rPr>
        <w:t>de</w:t>
      </w:r>
      <w:r>
        <w:rPr>
          <w:color w:val="231F20"/>
          <w:spacing w:val="-16"/>
          <w:w w:val="105"/>
        </w:rPr>
        <w:t> </w:t>
      </w:r>
      <w:r>
        <w:rPr>
          <w:color w:val="231F20"/>
          <w:w w:val="105"/>
        </w:rPr>
        <w:t>conocimientos</w:t>
      </w:r>
      <w:r>
        <w:rPr>
          <w:color w:val="231F20"/>
          <w:spacing w:val="-16"/>
          <w:w w:val="105"/>
        </w:rPr>
        <w:t> </w:t>
      </w:r>
      <w:r>
        <w:rPr>
          <w:color w:val="231F20"/>
          <w:w w:val="105"/>
        </w:rPr>
        <w:t>a</w:t>
      </w:r>
      <w:r>
        <w:rPr>
          <w:color w:val="231F20"/>
          <w:spacing w:val="-16"/>
          <w:w w:val="105"/>
        </w:rPr>
        <w:t> </w:t>
      </w:r>
      <w:r>
        <w:rPr>
          <w:color w:val="231F20"/>
          <w:w w:val="105"/>
        </w:rPr>
        <w:t>nivel</w:t>
      </w:r>
      <w:r>
        <w:rPr>
          <w:color w:val="231F20"/>
          <w:spacing w:val="-16"/>
          <w:w w:val="105"/>
        </w:rPr>
        <w:t> </w:t>
      </w:r>
      <w:r>
        <w:rPr>
          <w:color w:val="231F20"/>
          <w:w w:val="105"/>
        </w:rPr>
        <w:t>colectivo.</w:t>
      </w:r>
    </w:p>
    <w:p>
      <w:pPr>
        <w:pStyle w:val="BodyText"/>
        <w:spacing w:line="259" w:lineRule="auto"/>
        <w:ind w:left="115" w:right="115" w:firstLine="567"/>
        <w:jc w:val="both"/>
      </w:pPr>
      <w:r>
        <w:rPr>
          <w:color w:val="231F20"/>
          <w:w w:val="105"/>
        </w:rPr>
        <w:t>En</w:t>
      </w:r>
      <w:r>
        <w:rPr>
          <w:color w:val="231F20"/>
          <w:spacing w:val="-37"/>
          <w:w w:val="105"/>
        </w:rPr>
        <w:t> </w:t>
      </w:r>
      <w:r>
        <w:rPr>
          <w:color w:val="231F20"/>
          <w:w w:val="105"/>
        </w:rPr>
        <w:t>la</w:t>
      </w:r>
      <w:r>
        <w:rPr>
          <w:color w:val="231F20"/>
          <w:spacing w:val="-37"/>
          <w:w w:val="105"/>
        </w:rPr>
        <w:t> </w:t>
      </w:r>
      <w:r>
        <w:rPr>
          <w:color w:val="231F20"/>
          <w:w w:val="105"/>
        </w:rPr>
        <w:t>apreciación</w:t>
      </w:r>
      <w:r>
        <w:rPr>
          <w:color w:val="231F20"/>
          <w:spacing w:val="-37"/>
          <w:w w:val="105"/>
        </w:rPr>
        <w:t> </w:t>
      </w:r>
      <w:r>
        <w:rPr>
          <w:color w:val="231F20"/>
          <w:w w:val="105"/>
        </w:rPr>
        <w:t>de</w:t>
      </w:r>
      <w:r>
        <w:rPr>
          <w:color w:val="231F20"/>
          <w:spacing w:val="-37"/>
          <w:w w:val="105"/>
        </w:rPr>
        <w:t> </w:t>
      </w:r>
      <w:r>
        <w:rPr>
          <w:color w:val="231F20"/>
          <w:w w:val="105"/>
        </w:rPr>
        <w:t>Rojas</w:t>
      </w:r>
      <w:r>
        <w:rPr>
          <w:color w:val="231F20"/>
          <w:spacing w:val="-37"/>
          <w:w w:val="105"/>
        </w:rPr>
        <w:t> </w:t>
      </w:r>
      <w:r>
        <w:rPr>
          <w:color w:val="231F20"/>
          <w:w w:val="105"/>
        </w:rPr>
        <w:t>de</w:t>
      </w:r>
      <w:r>
        <w:rPr>
          <w:color w:val="231F20"/>
          <w:spacing w:val="-37"/>
          <w:w w:val="105"/>
        </w:rPr>
        <w:t> </w:t>
      </w:r>
      <w:r>
        <w:rPr>
          <w:color w:val="231F20"/>
          <w:w w:val="105"/>
        </w:rPr>
        <w:t>Escalona</w:t>
      </w:r>
      <w:r>
        <w:rPr>
          <w:color w:val="231F20"/>
          <w:spacing w:val="-37"/>
          <w:w w:val="105"/>
        </w:rPr>
        <w:t> </w:t>
      </w:r>
      <w:r>
        <w:rPr>
          <w:color w:val="231F20"/>
          <w:w w:val="105"/>
        </w:rPr>
        <w:t>(2007),</w:t>
      </w:r>
      <w:r>
        <w:rPr>
          <w:color w:val="231F20"/>
          <w:spacing w:val="-41"/>
          <w:w w:val="105"/>
        </w:rPr>
        <w:t> </w:t>
      </w:r>
      <w:r>
        <w:rPr>
          <w:color w:val="231F20"/>
          <w:w w:val="105"/>
        </w:rPr>
        <w:t>al</w:t>
      </w:r>
      <w:r>
        <w:rPr>
          <w:color w:val="231F20"/>
          <w:spacing w:val="-37"/>
          <w:w w:val="105"/>
        </w:rPr>
        <w:t> </w:t>
      </w:r>
      <w:r>
        <w:rPr>
          <w:color w:val="231F20"/>
          <w:w w:val="105"/>
        </w:rPr>
        <w:t>citar</w:t>
      </w:r>
      <w:r>
        <w:rPr>
          <w:color w:val="231F20"/>
          <w:spacing w:val="-37"/>
          <w:w w:val="105"/>
        </w:rPr>
        <w:t> </w:t>
      </w:r>
      <w:r>
        <w:rPr>
          <w:color w:val="231F20"/>
          <w:w w:val="105"/>
        </w:rPr>
        <w:t>las</w:t>
      </w:r>
      <w:r>
        <w:rPr>
          <w:color w:val="231F20"/>
          <w:spacing w:val="-37"/>
          <w:w w:val="105"/>
        </w:rPr>
        <w:t> </w:t>
      </w:r>
      <w:r>
        <w:rPr>
          <w:color w:val="231F20"/>
          <w:w w:val="105"/>
        </w:rPr>
        <w:t>cinco</w:t>
      </w:r>
      <w:r>
        <w:rPr>
          <w:color w:val="231F20"/>
          <w:spacing w:val="-37"/>
          <w:w w:val="105"/>
        </w:rPr>
        <w:t> </w:t>
      </w:r>
      <w:r>
        <w:rPr>
          <w:color w:val="231F20"/>
          <w:w w:val="105"/>
        </w:rPr>
        <w:t>disci- plinas</w:t>
      </w:r>
      <w:r>
        <w:rPr>
          <w:color w:val="231F20"/>
          <w:spacing w:val="-21"/>
          <w:w w:val="105"/>
        </w:rPr>
        <w:t> </w:t>
      </w:r>
      <w:r>
        <w:rPr>
          <w:color w:val="231F20"/>
          <w:w w:val="105"/>
        </w:rPr>
        <w:t>de</w:t>
      </w:r>
      <w:r>
        <w:rPr>
          <w:color w:val="231F20"/>
          <w:spacing w:val="-21"/>
          <w:w w:val="105"/>
        </w:rPr>
        <w:t> </w:t>
      </w:r>
      <w:r>
        <w:rPr>
          <w:color w:val="231F20"/>
          <w:w w:val="105"/>
        </w:rPr>
        <w:t>aprendizaje</w:t>
      </w:r>
      <w:r>
        <w:rPr>
          <w:color w:val="231F20"/>
          <w:spacing w:val="-21"/>
          <w:w w:val="105"/>
        </w:rPr>
        <w:t> </w:t>
      </w:r>
      <w:r>
        <w:rPr>
          <w:color w:val="231F20"/>
          <w:w w:val="105"/>
        </w:rPr>
        <w:t>propuestas</w:t>
      </w:r>
      <w:r>
        <w:rPr>
          <w:color w:val="231F20"/>
          <w:spacing w:val="-21"/>
          <w:w w:val="105"/>
        </w:rPr>
        <w:t> </w:t>
      </w:r>
      <w:r>
        <w:rPr>
          <w:color w:val="231F20"/>
          <w:w w:val="105"/>
        </w:rPr>
        <w:t>por</w:t>
      </w:r>
      <w:r>
        <w:rPr>
          <w:color w:val="231F20"/>
          <w:spacing w:val="-21"/>
          <w:w w:val="105"/>
        </w:rPr>
        <w:t> </w:t>
      </w:r>
      <w:r>
        <w:rPr>
          <w:color w:val="231F20"/>
          <w:w w:val="105"/>
        </w:rPr>
        <w:t>Senge,</w:t>
      </w:r>
      <w:r>
        <w:rPr>
          <w:color w:val="231F20"/>
          <w:spacing w:val="-26"/>
          <w:w w:val="105"/>
        </w:rPr>
        <w:t> </w:t>
      </w:r>
      <w:r>
        <w:rPr>
          <w:color w:val="231F20"/>
          <w:w w:val="105"/>
        </w:rPr>
        <w:t>sostiene</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conocimien- to</w:t>
      </w:r>
      <w:r>
        <w:rPr>
          <w:color w:val="231F20"/>
          <w:spacing w:val="-17"/>
          <w:w w:val="105"/>
        </w:rPr>
        <w:t> </w:t>
      </w:r>
      <w:r>
        <w:rPr>
          <w:color w:val="231F20"/>
          <w:w w:val="105"/>
        </w:rPr>
        <w:t>en</w:t>
      </w:r>
      <w:r>
        <w:rPr>
          <w:color w:val="231F20"/>
          <w:spacing w:val="-17"/>
          <w:w w:val="105"/>
        </w:rPr>
        <w:t> </w:t>
      </w:r>
      <w:r>
        <w:rPr>
          <w:color w:val="231F20"/>
          <w:w w:val="105"/>
        </w:rPr>
        <w:t>equipo</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w w:val="105"/>
        </w:rPr>
        <w:t>inteligencia</w:t>
      </w:r>
      <w:r>
        <w:rPr>
          <w:color w:val="231F20"/>
          <w:spacing w:val="-17"/>
          <w:w w:val="105"/>
        </w:rPr>
        <w:t> </w:t>
      </w:r>
      <w:r>
        <w:rPr>
          <w:color w:val="231F20"/>
          <w:w w:val="105"/>
        </w:rPr>
        <w:t>colectiva</w:t>
      </w:r>
      <w:r>
        <w:rPr>
          <w:color w:val="231F20"/>
          <w:spacing w:val="-17"/>
          <w:w w:val="105"/>
        </w:rPr>
        <w:t> </w:t>
      </w:r>
      <w:r>
        <w:rPr>
          <w:color w:val="231F20"/>
          <w:w w:val="105"/>
        </w:rPr>
        <w:t>que</w:t>
      </w:r>
      <w:r>
        <w:rPr>
          <w:color w:val="231F20"/>
          <w:spacing w:val="-17"/>
          <w:w w:val="105"/>
        </w:rPr>
        <w:t> </w:t>
      </w:r>
      <w:r>
        <w:rPr>
          <w:color w:val="231F20"/>
          <w:w w:val="105"/>
        </w:rPr>
        <w:t>va</w:t>
      </w:r>
      <w:r>
        <w:rPr>
          <w:color w:val="231F20"/>
          <w:spacing w:val="-17"/>
          <w:w w:val="105"/>
        </w:rPr>
        <w:t> </w:t>
      </w:r>
      <w:r>
        <w:rPr>
          <w:color w:val="231F20"/>
          <w:w w:val="105"/>
        </w:rPr>
        <w:t>más</w:t>
      </w:r>
      <w:r>
        <w:rPr>
          <w:color w:val="231F20"/>
          <w:spacing w:val="-17"/>
          <w:w w:val="105"/>
        </w:rPr>
        <w:t> </w:t>
      </w:r>
      <w:r>
        <w:rPr>
          <w:color w:val="231F20"/>
          <w:w w:val="105"/>
        </w:rPr>
        <w:t>allá de</w:t>
      </w:r>
      <w:r>
        <w:rPr>
          <w:color w:val="231F20"/>
          <w:spacing w:val="-25"/>
          <w:w w:val="105"/>
        </w:rPr>
        <w:t> </w:t>
      </w:r>
      <w:r>
        <w:rPr>
          <w:color w:val="231F20"/>
          <w:w w:val="105"/>
        </w:rPr>
        <w:t>la</w:t>
      </w:r>
      <w:r>
        <w:rPr>
          <w:color w:val="231F20"/>
          <w:spacing w:val="-25"/>
          <w:w w:val="105"/>
        </w:rPr>
        <w:t> </w:t>
      </w:r>
      <w:r>
        <w:rPr>
          <w:color w:val="231F20"/>
          <w:w w:val="105"/>
        </w:rPr>
        <w:t>suma</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talentos</w:t>
      </w:r>
      <w:r>
        <w:rPr>
          <w:color w:val="231F20"/>
          <w:spacing w:val="-25"/>
          <w:w w:val="105"/>
        </w:rPr>
        <w:t> </w:t>
      </w:r>
      <w:r>
        <w:rPr>
          <w:color w:val="231F20"/>
          <w:w w:val="105"/>
        </w:rPr>
        <w:t>individuales</w:t>
      </w:r>
      <w:r>
        <w:rPr>
          <w:color w:val="231F20"/>
          <w:spacing w:val="-25"/>
          <w:w w:val="105"/>
        </w:rPr>
        <w:t> </w:t>
      </w:r>
      <w:r>
        <w:rPr>
          <w:color w:val="231F20"/>
          <w:w w:val="105"/>
        </w:rPr>
        <w:t>y</w:t>
      </w:r>
      <w:r>
        <w:rPr>
          <w:color w:val="231F20"/>
          <w:spacing w:val="-25"/>
          <w:w w:val="105"/>
        </w:rPr>
        <w:t> </w:t>
      </w:r>
      <w:r>
        <w:rPr>
          <w:color w:val="231F20"/>
          <w:w w:val="105"/>
        </w:rPr>
        <w:t>supone</w:t>
      </w:r>
      <w:r>
        <w:rPr>
          <w:color w:val="231F20"/>
          <w:spacing w:val="-25"/>
          <w:w w:val="105"/>
        </w:rPr>
        <w:t> </w:t>
      </w:r>
      <w:r>
        <w:rPr>
          <w:color w:val="231F20"/>
          <w:w w:val="105"/>
        </w:rPr>
        <w:t>nuevas</w:t>
      </w:r>
      <w:r>
        <w:rPr>
          <w:color w:val="231F20"/>
          <w:spacing w:val="-25"/>
          <w:w w:val="105"/>
        </w:rPr>
        <w:t> </w:t>
      </w:r>
      <w:r>
        <w:rPr>
          <w:color w:val="231F20"/>
          <w:w w:val="105"/>
        </w:rPr>
        <w:t>formas</w:t>
      </w:r>
      <w:r>
        <w:rPr>
          <w:color w:val="231F20"/>
          <w:spacing w:val="-25"/>
          <w:w w:val="105"/>
        </w:rPr>
        <w:t> </w:t>
      </w:r>
      <w:r>
        <w:rPr>
          <w:color w:val="231F20"/>
          <w:w w:val="105"/>
        </w:rPr>
        <w:t>de</w:t>
      </w:r>
      <w:r>
        <w:rPr>
          <w:color w:val="231F20"/>
          <w:spacing w:val="-25"/>
          <w:w w:val="105"/>
        </w:rPr>
        <w:t> </w:t>
      </w:r>
      <w:r>
        <w:rPr>
          <w:color w:val="231F20"/>
          <w:w w:val="105"/>
        </w:rPr>
        <w:t>pensa- miento</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comunicación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vez.</w:t>
      </w:r>
      <w:r>
        <w:rPr>
          <w:color w:val="231F20"/>
          <w:spacing w:val="-16"/>
          <w:w w:val="105"/>
        </w:rPr>
        <w:t> </w:t>
      </w:r>
      <w:r>
        <w:rPr>
          <w:color w:val="231F20"/>
          <w:w w:val="105"/>
        </w:rPr>
        <w:t>Este</w:t>
      </w:r>
      <w:r>
        <w:rPr>
          <w:color w:val="231F20"/>
          <w:spacing w:val="-10"/>
          <w:w w:val="105"/>
        </w:rPr>
        <w:t> </w:t>
      </w:r>
      <w:r>
        <w:rPr>
          <w:color w:val="231F20"/>
          <w:w w:val="105"/>
        </w:rPr>
        <w:t>enfoque</w:t>
      </w:r>
      <w:r>
        <w:rPr>
          <w:color w:val="231F20"/>
          <w:spacing w:val="-10"/>
          <w:w w:val="105"/>
        </w:rPr>
        <w:t> </w:t>
      </w:r>
      <w:r>
        <w:rPr>
          <w:color w:val="231F20"/>
          <w:w w:val="105"/>
        </w:rPr>
        <w:t>promueve</w:t>
      </w:r>
      <w:r>
        <w:rPr>
          <w:color w:val="231F20"/>
          <w:spacing w:val="-10"/>
          <w:w w:val="105"/>
        </w:rPr>
        <w:t> </w:t>
      </w:r>
      <w:r>
        <w:rPr>
          <w:color w:val="231F20"/>
          <w:w w:val="105"/>
        </w:rPr>
        <w:t>el</w:t>
      </w:r>
      <w:r>
        <w:rPr>
          <w:color w:val="231F20"/>
          <w:spacing w:val="-10"/>
          <w:w w:val="105"/>
        </w:rPr>
        <w:t> </w:t>
      </w:r>
      <w:r>
        <w:rPr>
          <w:color w:val="231F20"/>
          <w:w w:val="105"/>
        </w:rPr>
        <w:t>desarrollo de</w:t>
      </w:r>
      <w:r>
        <w:rPr>
          <w:color w:val="231F20"/>
          <w:spacing w:val="-8"/>
          <w:w w:val="105"/>
        </w:rPr>
        <w:t> </w:t>
      </w:r>
      <w:r>
        <w:rPr>
          <w:color w:val="231F20"/>
          <w:w w:val="105"/>
        </w:rPr>
        <w:t>la</w:t>
      </w:r>
      <w:r>
        <w:rPr>
          <w:color w:val="231F20"/>
          <w:spacing w:val="-8"/>
          <w:w w:val="105"/>
        </w:rPr>
        <w:t> </w:t>
      </w:r>
      <w:r>
        <w:rPr>
          <w:color w:val="231F20"/>
          <w:w w:val="105"/>
        </w:rPr>
        <w:t>organización</w:t>
      </w:r>
      <w:r>
        <w:rPr>
          <w:color w:val="231F20"/>
          <w:spacing w:val="-8"/>
          <w:w w:val="105"/>
        </w:rPr>
        <w:t> </w:t>
      </w:r>
      <w:r>
        <w:rPr>
          <w:color w:val="231F20"/>
          <w:w w:val="105"/>
        </w:rPr>
        <w:t>inteligente,</w:t>
      </w:r>
      <w:r>
        <w:rPr>
          <w:color w:val="231F20"/>
          <w:spacing w:val="-14"/>
          <w:w w:val="105"/>
        </w:rPr>
        <w:t> </w:t>
      </w:r>
      <w:r>
        <w:rPr>
          <w:color w:val="231F20"/>
          <w:w w:val="105"/>
        </w:rPr>
        <w:t>al</w:t>
      </w:r>
      <w:r>
        <w:rPr>
          <w:color w:val="231F20"/>
          <w:spacing w:val="-8"/>
          <w:w w:val="105"/>
        </w:rPr>
        <w:t> </w:t>
      </w:r>
      <w:r>
        <w:rPr>
          <w:color w:val="231F20"/>
          <w:w w:val="105"/>
        </w:rPr>
        <w:t>contar</w:t>
      </w:r>
      <w:r>
        <w:rPr>
          <w:color w:val="231F20"/>
          <w:spacing w:val="-8"/>
          <w:w w:val="105"/>
        </w:rPr>
        <w:t> </w:t>
      </w:r>
      <w:r>
        <w:rPr>
          <w:color w:val="231F20"/>
          <w:w w:val="105"/>
        </w:rPr>
        <w:t>con</w:t>
      </w:r>
      <w:r>
        <w:rPr>
          <w:color w:val="231F20"/>
          <w:spacing w:val="-8"/>
          <w:w w:val="105"/>
        </w:rPr>
        <w:t> </w:t>
      </w:r>
      <w:r>
        <w:rPr>
          <w:color w:val="231F20"/>
          <w:w w:val="105"/>
        </w:rPr>
        <w:t>personas</w:t>
      </w:r>
      <w:r>
        <w:rPr>
          <w:color w:val="231F20"/>
          <w:spacing w:val="-8"/>
          <w:w w:val="105"/>
        </w:rPr>
        <w:t> </w:t>
      </w:r>
      <w:r>
        <w:rPr>
          <w:color w:val="231F20"/>
          <w:w w:val="105"/>
        </w:rPr>
        <w:t>que</w:t>
      </w:r>
      <w:r>
        <w:rPr>
          <w:color w:val="231F20"/>
          <w:spacing w:val="-8"/>
          <w:w w:val="105"/>
        </w:rPr>
        <w:t> </w:t>
      </w:r>
      <w:r>
        <w:rPr>
          <w:color w:val="231F20"/>
          <w:w w:val="105"/>
        </w:rPr>
        <w:t>aprenden</w:t>
      </w:r>
      <w:r>
        <w:rPr>
          <w:color w:val="231F20"/>
          <w:spacing w:val="-8"/>
          <w:w w:val="105"/>
        </w:rPr>
        <w:t> </w:t>
      </w:r>
      <w:r>
        <w:rPr>
          <w:color w:val="231F20"/>
          <w:w w:val="105"/>
        </w:rPr>
        <w:t>jun- tas reflexionando a nivel individual y colectivo, dialogando para</w:t>
      </w:r>
      <w:r>
        <w:rPr>
          <w:color w:val="231F20"/>
          <w:spacing w:val="-35"/>
          <w:w w:val="105"/>
        </w:rPr>
        <w:t> </w:t>
      </w:r>
      <w:r>
        <w:rPr>
          <w:color w:val="231F20"/>
          <w:w w:val="105"/>
        </w:rPr>
        <w:t>exponer sus</w:t>
      </w:r>
      <w:r>
        <w:rPr>
          <w:color w:val="231F20"/>
          <w:spacing w:val="-13"/>
          <w:w w:val="105"/>
        </w:rPr>
        <w:t> </w:t>
      </w:r>
      <w:r>
        <w:rPr>
          <w:color w:val="231F20"/>
          <w:w w:val="105"/>
        </w:rPr>
        <w:t>ideas,</w:t>
      </w:r>
      <w:r>
        <w:rPr>
          <w:color w:val="231F20"/>
          <w:spacing w:val="-18"/>
          <w:w w:val="105"/>
        </w:rPr>
        <w:t> </w:t>
      </w:r>
      <w:r>
        <w:rPr>
          <w:color w:val="231F20"/>
          <w:w w:val="105"/>
        </w:rPr>
        <w:t>con</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paulatinamente</w:t>
      </w:r>
      <w:r>
        <w:rPr>
          <w:color w:val="231F20"/>
          <w:spacing w:val="-13"/>
          <w:w w:val="105"/>
        </w:rPr>
        <w:t> </w:t>
      </w:r>
      <w:r>
        <w:rPr>
          <w:color w:val="231F20"/>
          <w:w w:val="105"/>
        </w:rPr>
        <w:t>aumentan</w:t>
      </w:r>
      <w:r>
        <w:rPr>
          <w:color w:val="231F20"/>
          <w:spacing w:val="-13"/>
          <w:w w:val="105"/>
        </w:rPr>
        <w:t> </w:t>
      </w:r>
      <w:r>
        <w:rPr>
          <w:color w:val="231F20"/>
          <w:w w:val="105"/>
        </w:rPr>
        <w:t>su</w:t>
      </w:r>
      <w:r>
        <w:rPr>
          <w:color w:val="231F20"/>
          <w:spacing w:val="-13"/>
          <w:w w:val="105"/>
        </w:rPr>
        <w:t> </w:t>
      </w:r>
      <w:r>
        <w:rPr>
          <w:color w:val="231F20"/>
          <w:w w:val="105"/>
        </w:rPr>
        <w:t>capacidad</w:t>
      </w:r>
      <w:r>
        <w:rPr>
          <w:color w:val="231F20"/>
          <w:spacing w:val="-13"/>
          <w:w w:val="105"/>
        </w:rPr>
        <w:t> </w:t>
      </w:r>
      <w:r>
        <w:rPr>
          <w:color w:val="231F20"/>
          <w:w w:val="105"/>
        </w:rPr>
        <w:t>para</w:t>
      </w:r>
      <w:r>
        <w:rPr>
          <w:color w:val="231F20"/>
          <w:spacing w:val="-13"/>
          <w:w w:val="105"/>
        </w:rPr>
        <w:t> </w:t>
      </w:r>
      <w:r>
        <w:rPr>
          <w:color w:val="231F20"/>
          <w:w w:val="105"/>
        </w:rPr>
        <w:t>crear lo</w:t>
      </w:r>
      <w:r>
        <w:rPr>
          <w:color w:val="231F20"/>
          <w:spacing w:val="-18"/>
          <w:w w:val="105"/>
        </w:rPr>
        <w:t> </w:t>
      </w:r>
      <w:r>
        <w:rPr>
          <w:color w:val="231F20"/>
          <w:w w:val="105"/>
        </w:rPr>
        <w:t>que</w:t>
      </w:r>
      <w:r>
        <w:rPr>
          <w:color w:val="231F20"/>
          <w:spacing w:val="-18"/>
          <w:w w:val="105"/>
        </w:rPr>
        <w:t> </w:t>
      </w:r>
      <w:r>
        <w:rPr>
          <w:color w:val="231F20"/>
          <w:w w:val="105"/>
        </w:rPr>
        <w:t>desean</w:t>
      </w:r>
      <w:r>
        <w:rPr>
          <w:color w:val="231F20"/>
          <w:spacing w:val="-18"/>
          <w:w w:val="105"/>
        </w:rPr>
        <w:t> </w:t>
      </w:r>
      <w:r>
        <w:rPr>
          <w:color w:val="231F20"/>
          <w:spacing w:val="-3"/>
          <w:w w:val="105"/>
        </w:rPr>
        <w:t>crear.</w:t>
      </w:r>
    </w:p>
    <w:p>
      <w:pPr>
        <w:pStyle w:val="BodyText"/>
        <w:spacing w:before="2"/>
      </w:pPr>
    </w:p>
    <w:p>
      <w:pPr>
        <w:spacing w:before="0"/>
        <w:ind w:left="741" w:right="0" w:firstLine="0"/>
        <w:jc w:val="left"/>
        <w:rPr>
          <w:sz w:val="18"/>
        </w:rPr>
      </w:pPr>
      <w:r>
        <w:rPr>
          <w:color w:val="231F20"/>
          <w:w w:val="105"/>
          <w:sz w:val="18"/>
        </w:rPr>
        <w:t>Figura 3. Definiciones de organizaciones inteligentes o que aprenden</w:t>
      </w:r>
    </w:p>
    <w:p>
      <w:pPr>
        <w:pStyle w:val="BodyText"/>
        <w:spacing w:before="5"/>
        <w:rPr>
          <w:sz w:val="13"/>
        </w:rPr>
      </w:pPr>
    </w:p>
    <w:tbl>
      <w:tblPr>
        <w:tblW w:w="0" w:type="auto"/>
        <w:jc w:val="left"/>
        <w:tblInd w:w="14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08"/>
        <w:gridCol w:w="4001"/>
      </w:tblGrid>
      <w:tr>
        <w:trPr>
          <w:trHeight w:val="340" w:hRule="exact"/>
        </w:trPr>
        <w:tc>
          <w:tcPr>
            <w:tcW w:w="2908" w:type="dxa"/>
          </w:tcPr>
          <w:p>
            <w:pPr>
              <w:pStyle w:val="TableParagraph"/>
              <w:spacing w:before="86"/>
              <w:ind w:left="827"/>
              <w:rPr>
                <w:sz w:val="18"/>
              </w:rPr>
            </w:pPr>
            <w:r>
              <w:rPr>
                <w:color w:val="231F20"/>
                <w:w w:val="105"/>
                <w:sz w:val="18"/>
              </w:rPr>
              <w:t>Autor(es) y año</w:t>
            </w:r>
          </w:p>
        </w:tc>
        <w:tc>
          <w:tcPr>
            <w:tcW w:w="4001" w:type="dxa"/>
          </w:tcPr>
          <w:p>
            <w:pPr>
              <w:pStyle w:val="TableParagraph"/>
              <w:spacing w:before="86"/>
              <w:ind w:left="1560" w:right="1560"/>
              <w:jc w:val="center"/>
              <w:rPr>
                <w:sz w:val="18"/>
              </w:rPr>
            </w:pPr>
            <w:r>
              <w:rPr>
                <w:color w:val="231F20"/>
                <w:w w:val="105"/>
                <w:sz w:val="18"/>
              </w:rPr>
              <w:t>Definición</w:t>
            </w:r>
          </w:p>
        </w:tc>
      </w:tr>
      <w:tr>
        <w:trPr>
          <w:trHeight w:val="1636" w:hRule="exact"/>
        </w:trPr>
        <w:tc>
          <w:tcPr>
            <w:tcW w:w="2908" w:type="dxa"/>
          </w:tcPr>
          <w:p>
            <w:pPr>
              <w:pStyle w:val="TableParagraph"/>
              <w:spacing w:before="86"/>
              <w:ind w:left="75"/>
              <w:rPr>
                <w:sz w:val="18"/>
              </w:rPr>
            </w:pPr>
            <w:r>
              <w:rPr>
                <w:color w:val="231F20"/>
                <w:sz w:val="18"/>
              </w:rPr>
              <w:t>Peter Senge (1990)</w:t>
            </w:r>
          </w:p>
        </w:tc>
        <w:tc>
          <w:tcPr>
            <w:tcW w:w="4001" w:type="dxa"/>
          </w:tcPr>
          <w:p>
            <w:pPr>
              <w:pStyle w:val="TableParagraph"/>
              <w:spacing w:line="249" w:lineRule="auto" w:before="86"/>
              <w:ind w:left="75" w:right="71"/>
              <w:jc w:val="both"/>
              <w:rPr>
                <w:sz w:val="18"/>
              </w:rPr>
            </w:pPr>
            <w:r>
              <w:rPr>
                <w:color w:val="231F20"/>
                <w:w w:val="105"/>
                <w:sz w:val="18"/>
              </w:rPr>
              <w:t>Organizaciones donde la gente expande con- tinuamente</w:t>
            </w:r>
            <w:r>
              <w:rPr>
                <w:color w:val="231F20"/>
                <w:spacing w:val="-18"/>
                <w:w w:val="105"/>
                <w:sz w:val="18"/>
              </w:rPr>
              <w:t> </w:t>
            </w:r>
            <w:r>
              <w:rPr>
                <w:color w:val="231F20"/>
                <w:w w:val="105"/>
                <w:sz w:val="18"/>
              </w:rPr>
              <w:t>su</w:t>
            </w:r>
            <w:r>
              <w:rPr>
                <w:color w:val="231F20"/>
                <w:spacing w:val="-18"/>
                <w:w w:val="105"/>
                <w:sz w:val="18"/>
              </w:rPr>
              <w:t> </w:t>
            </w:r>
            <w:r>
              <w:rPr>
                <w:color w:val="231F20"/>
                <w:w w:val="105"/>
                <w:sz w:val="18"/>
              </w:rPr>
              <w:t>aptitud</w:t>
            </w:r>
            <w:r>
              <w:rPr>
                <w:color w:val="231F20"/>
                <w:spacing w:val="-18"/>
                <w:w w:val="105"/>
                <w:sz w:val="18"/>
              </w:rPr>
              <w:t> </w:t>
            </w:r>
            <w:r>
              <w:rPr>
                <w:color w:val="231F20"/>
                <w:w w:val="105"/>
                <w:sz w:val="18"/>
              </w:rPr>
              <w:t>para</w:t>
            </w:r>
            <w:r>
              <w:rPr>
                <w:color w:val="231F20"/>
                <w:spacing w:val="-18"/>
                <w:w w:val="105"/>
                <w:sz w:val="18"/>
              </w:rPr>
              <w:t> </w:t>
            </w:r>
            <w:r>
              <w:rPr>
                <w:color w:val="231F20"/>
                <w:w w:val="105"/>
                <w:sz w:val="18"/>
              </w:rPr>
              <w:t>crear</w:t>
            </w:r>
            <w:r>
              <w:rPr>
                <w:color w:val="231F20"/>
                <w:spacing w:val="-18"/>
                <w:w w:val="105"/>
                <w:sz w:val="18"/>
              </w:rPr>
              <w:t> </w:t>
            </w:r>
            <w:r>
              <w:rPr>
                <w:color w:val="231F20"/>
                <w:w w:val="105"/>
                <w:sz w:val="18"/>
              </w:rPr>
              <w:t>los</w:t>
            </w:r>
            <w:r>
              <w:rPr>
                <w:color w:val="231F20"/>
                <w:spacing w:val="-18"/>
                <w:w w:val="105"/>
                <w:sz w:val="18"/>
              </w:rPr>
              <w:t> </w:t>
            </w:r>
            <w:r>
              <w:rPr>
                <w:color w:val="231F20"/>
                <w:w w:val="105"/>
                <w:sz w:val="18"/>
              </w:rPr>
              <w:t>resultados que</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desean,</w:t>
            </w:r>
            <w:r>
              <w:rPr>
                <w:color w:val="231F20"/>
                <w:spacing w:val="-16"/>
                <w:w w:val="105"/>
                <w:sz w:val="18"/>
              </w:rPr>
              <w:t> </w:t>
            </w:r>
            <w:r>
              <w:rPr>
                <w:color w:val="231F20"/>
                <w:w w:val="105"/>
                <w:sz w:val="18"/>
              </w:rPr>
              <w:t>donde</w:t>
            </w:r>
            <w:r>
              <w:rPr>
                <w:color w:val="231F20"/>
                <w:spacing w:val="-12"/>
                <w:w w:val="105"/>
                <w:sz w:val="18"/>
              </w:rPr>
              <w:t> </w:t>
            </w:r>
            <w:r>
              <w:rPr>
                <w:color w:val="231F20"/>
                <w:w w:val="105"/>
                <w:sz w:val="18"/>
              </w:rPr>
              <w:t>se</w:t>
            </w:r>
            <w:r>
              <w:rPr>
                <w:color w:val="231F20"/>
                <w:spacing w:val="-12"/>
                <w:w w:val="105"/>
                <w:sz w:val="18"/>
              </w:rPr>
              <w:t> </w:t>
            </w:r>
            <w:r>
              <w:rPr>
                <w:color w:val="231F20"/>
                <w:w w:val="105"/>
                <w:sz w:val="18"/>
              </w:rPr>
              <w:t>cultivan</w:t>
            </w:r>
            <w:r>
              <w:rPr>
                <w:color w:val="231F20"/>
                <w:spacing w:val="-12"/>
                <w:w w:val="105"/>
                <w:sz w:val="18"/>
              </w:rPr>
              <w:t> </w:t>
            </w:r>
            <w:r>
              <w:rPr>
                <w:color w:val="231F20"/>
                <w:w w:val="105"/>
                <w:sz w:val="18"/>
              </w:rPr>
              <w:t>nuevos</w:t>
            </w:r>
            <w:r>
              <w:rPr>
                <w:color w:val="231F20"/>
                <w:spacing w:val="-12"/>
                <w:w w:val="105"/>
                <w:sz w:val="18"/>
              </w:rPr>
              <w:t> </w:t>
            </w:r>
            <w:r>
              <w:rPr>
                <w:color w:val="231F20"/>
                <w:w w:val="105"/>
                <w:sz w:val="18"/>
              </w:rPr>
              <w:t>y</w:t>
            </w:r>
            <w:r>
              <w:rPr>
                <w:color w:val="231F20"/>
                <w:spacing w:val="-12"/>
                <w:w w:val="105"/>
                <w:sz w:val="18"/>
              </w:rPr>
              <w:t> </w:t>
            </w:r>
            <w:r>
              <w:rPr>
                <w:color w:val="231F20"/>
                <w:spacing w:val="-2"/>
                <w:w w:val="105"/>
                <w:sz w:val="18"/>
              </w:rPr>
              <w:t>ex- </w:t>
            </w:r>
            <w:r>
              <w:rPr>
                <w:color w:val="231F20"/>
                <w:w w:val="105"/>
                <w:sz w:val="18"/>
              </w:rPr>
              <w:t>pansivos patrones de pensamiento, donde la aspiración</w:t>
            </w:r>
            <w:r>
              <w:rPr>
                <w:color w:val="231F20"/>
                <w:spacing w:val="-17"/>
                <w:w w:val="105"/>
                <w:sz w:val="18"/>
              </w:rPr>
              <w:t> </w:t>
            </w:r>
            <w:r>
              <w:rPr>
                <w:color w:val="231F20"/>
                <w:w w:val="105"/>
                <w:sz w:val="18"/>
              </w:rPr>
              <w:t>colectiva</w:t>
            </w:r>
            <w:r>
              <w:rPr>
                <w:color w:val="231F20"/>
                <w:spacing w:val="-17"/>
                <w:w w:val="105"/>
                <w:sz w:val="18"/>
              </w:rPr>
              <w:t> </w:t>
            </w:r>
            <w:r>
              <w:rPr>
                <w:color w:val="231F20"/>
                <w:w w:val="105"/>
                <w:sz w:val="18"/>
              </w:rPr>
              <w:t>queda</w:t>
            </w:r>
            <w:r>
              <w:rPr>
                <w:color w:val="231F20"/>
                <w:spacing w:val="-17"/>
                <w:w w:val="105"/>
                <w:sz w:val="18"/>
              </w:rPr>
              <w:t> </w:t>
            </w:r>
            <w:r>
              <w:rPr>
                <w:color w:val="231F20"/>
                <w:w w:val="105"/>
                <w:sz w:val="18"/>
              </w:rPr>
              <w:t>en</w:t>
            </w:r>
            <w:r>
              <w:rPr>
                <w:color w:val="231F20"/>
                <w:spacing w:val="-17"/>
                <w:w w:val="105"/>
                <w:sz w:val="18"/>
              </w:rPr>
              <w:t> </w:t>
            </w:r>
            <w:r>
              <w:rPr>
                <w:color w:val="231F20"/>
                <w:w w:val="105"/>
                <w:sz w:val="18"/>
              </w:rPr>
              <w:t>libertad,</w:t>
            </w:r>
            <w:r>
              <w:rPr>
                <w:color w:val="231F20"/>
                <w:spacing w:val="-22"/>
                <w:w w:val="105"/>
                <w:sz w:val="18"/>
              </w:rPr>
              <w:t> </w:t>
            </w:r>
            <w:r>
              <w:rPr>
                <w:color w:val="231F20"/>
                <w:w w:val="105"/>
                <w:sz w:val="18"/>
              </w:rPr>
              <w:t>y</w:t>
            </w:r>
            <w:r>
              <w:rPr>
                <w:color w:val="231F20"/>
                <w:spacing w:val="-17"/>
                <w:w w:val="105"/>
                <w:sz w:val="18"/>
              </w:rPr>
              <w:t> </w:t>
            </w:r>
            <w:r>
              <w:rPr>
                <w:color w:val="231F20"/>
                <w:w w:val="105"/>
                <w:sz w:val="18"/>
              </w:rPr>
              <w:t>donde la</w:t>
            </w:r>
            <w:r>
              <w:rPr>
                <w:color w:val="231F20"/>
                <w:spacing w:val="-18"/>
                <w:w w:val="105"/>
                <w:sz w:val="18"/>
              </w:rPr>
              <w:t> </w:t>
            </w:r>
            <w:r>
              <w:rPr>
                <w:color w:val="231F20"/>
                <w:w w:val="105"/>
                <w:sz w:val="18"/>
              </w:rPr>
              <w:t>gente</w:t>
            </w:r>
            <w:r>
              <w:rPr>
                <w:color w:val="231F20"/>
                <w:spacing w:val="-18"/>
                <w:w w:val="105"/>
                <w:sz w:val="18"/>
              </w:rPr>
              <w:t> </w:t>
            </w:r>
            <w:r>
              <w:rPr>
                <w:color w:val="231F20"/>
                <w:w w:val="105"/>
                <w:sz w:val="18"/>
              </w:rPr>
              <w:t>continuamente</w:t>
            </w:r>
            <w:r>
              <w:rPr>
                <w:color w:val="231F20"/>
                <w:spacing w:val="-18"/>
                <w:w w:val="105"/>
                <w:sz w:val="18"/>
              </w:rPr>
              <w:t> </w:t>
            </w:r>
            <w:r>
              <w:rPr>
                <w:color w:val="231F20"/>
                <w:w w:val="105"/>
                <w:sz w:val="18"/>
              </w:rPr>
              <w:t>aprende</w:t>
            </w:r>
            <w:r>
              <w:rPr>
                <w:color w:val="231F20"/>
                <w:spacing w:val="-18"/>
                <w:w w:val="105"/>
                <w:sz w:val="18"/>
              </w:rPr>
              <w:t> </w:t>
            </w:r>
            <w:r>
              <w:rPr>
                <w:color w:val="231F20"/>
                <w:w w:val="105"/>
                <w:sz w:val="18"/>
              </w:rPr>
              <w:t>a</w:t>
            </w:r>
            <w:r>
              <w:rPr>
                <w:color w:val="231F20"/>
                <w:spacing w:val="-18"/>
                <w:w w:val="105"/>
                <w:sz w:val="18"/>
              </w:rPr>
              <w:t> </w:t>
            </w:r>
            <w:r>
              <w:rPr>
                <w:color w:val="231F20"/>
                <w:w w:val="105"/>
                <w:sz w:val="18"/>
              </w:rPr>
              <w:t>aprender</w:t>
            </w:r>
            <w:r>
              <w:rPr>
                <w:color w:val="231F20"/>
                <w:spacing w:val="-18"/>
                <w:w w:val="105"/>
                <w:sz w:val="18"/>
              </w:rPr>
              <w:t> </w:t>
            </w:r>
            <w:r>
              <w:rPr>
                <w:color w:val="231F20"/>
                <w:w w:val="105"/>
                <w:sz w:val="18"/>
              </w:rPr>
              <w:t>en conjunto.</w:t>
            </w:r>
          </w:p>
        </w:tc>
      </w:tr>
      <w:tr>
        <w:trPr>
          <w:trHeight w:val="988" w:hRule="exact"/>
        </w:trPr>
        <w:tc>
          <w:tcPr>
            <w:tcW w:w="2908" w:type="dxa"/>
          </w:tcPr>
          <w:p>
            <w:pPr>
              <w:pStyle w:val="TableParagraph"/>
              <w:spacing w:before="86"/>
              <w:ind w:left="75"/>
              <w:rPr>
                <w:sz w:val="18"/>
              </w:rPr>
            </w:pPr>
            <w:r>
              <w:rPr>
                <w:color w:val="231F20"/>
                <w:w w:val="105"/>
                <w:sz w:val="18"/>
              </w:rPr>
              <w:t>Huber (1991)</w:t>
            </w:r>
          </w:p>
        </w:tc>
        <w:tc>
          <w:tcPr>
            <w:tcW w:w="4001" w:type="dxa"/>
          </w:tcPr>
          <w:p>
            <w:pPr>
              <w:pStyle w:val="TableParagraph"/>
              <w:spacing w:line="249" w:lineRule="auto" w:before="86"/>
              <w:ind w:left="75" w:right="67"/>
              <w:jc w:val="both"/>
              <w:rPr>
                <w:sz w:val="18"/>
              </w:rPr>
            </w:pPr>
            <w:r>
              <w:rPr>
                <w:color w:val="231F20"/>
                <w:spacing w:val="-4"/>
                <w:w w:val="105"/>
                <w:sz w:val="18"/>
              </w:rPr>
              <w:t>Para </w:t>
            </w:r>
            <w:r>
              <w:rPr>
                <w:color w:val="231F20"/>
                <w:w w:val="105"/>
                <w:sz w:val="18"/>
              </w:rPr>
              <w:t>que una organización aprenda es funda- mental</w:t>
            </w:r>
            <w:r>
              <w:rPr>
                <w:color w:val="231F20"/>
                <w:spacing w:val="-30"/>
                <w:w w:val="105"/>
                <w:sz w:val="18"/>
              </w:rPr>
              <w:t> </w:t>
            </w:r>
            <w:r>
              <w:rPr>
                <w:color w:val="231F20"/>
                <w:w w:val="105"/>
                <w:sz w:val="18"/>
              </w:rPr>
              <w:t>una</w:t>
            </w:r>
            <w:r>
              <w:rPr>
                <w:color w:val="231F20"/>
                <w:spacing w:val="-30"/>
                <w:w w:val="105"/>
                <w:sz w:val="18"/>
              </w:rPr>
              <w:t> </w:t>
            </w:r>
            <w:r>
              <w:rPr>
                <w:color w:val="231F20"/>
                <w:w w:val="105"/>
                <w:sz w:val="18"/>
              </w:rPr>
              <w:t>modificación</w:t>
            </w:r>
            <w:r>
              <w:rPr>
                <w:color w:val="231F20"/>
                <w:spacing w:val="-30"/>
                <w:w w:val="105"/>
                <w:sz w:val="18"/>
              </w:rPr>
              <w:t> </w:t>
            </w:r>
            <w:r>
              <w:rPr>
                <w:color w:val="231F20"/>
                <w:spacing w:val="-3"/>
                <w:w w:val="105"/>
                <w:sz w:val="18"/>
              </w:rPr>
              <w:t>previa</w:t>
            </w:r>
            <w:r>
              <w:rPr>
                <w:color w:val="231F20"/>
                <w:spacing w:val="-30"/>
                <w:w w:val="105"/>
                <w:sz w:val="18"/>
              </w:rPr>
              <w:t> </w:t>
            </w:r>
            <w:r>
              <w:rPr>
                <w:color w:val="231F20"/>
                <w:w w:val="105"/>
                <w:sz w:val="18"/>
              </w:rPr>
              <w:t>en</w:t>
            </w:r>
            <w:r>
              <w:rPr>
                <w:color w:val="231F20"/>
                <w:spacing w:val="-30"/>
                <w:w w:val="105"/>
                <w:sz w:val="18"/>
              </w:rPr>
              <w:t> </w:t>
            </w:r>
            <w:r>
              <w:rPr>
                <w:color w:val="231F20"/>
                <w:w w:val="105"/>
                <w:sz w:val="18"/>
              </w:rPr>
              <w:t>las</w:t>
            </w:r>
            <w:r>
              <w:rPr>
                <w:color w:val="231F20"/>
                <w:spacing w:val="-30"/>
                <w:w w:val="105"/>
                <w:sz w:val="18"/>
              </w:rPr>
              <w:t> </w:t>
            </w:r>
            <w:r>
              <w:rPr>
                <w:color w:val="231F20"/>
                <w:w w:val="105"/>
                <w:sz w:val="18"/>
              </w:rPr>
              <w:t>capacida- des, habilidades y conocimientos acumulados </w:t>
            </w:r>
            <w:r>
              <w:rPr>
                <w:color w:val="231F20"/>
                <w:spacing w:val="-4"/>
                <w:w w:val="105"/>
                <w:sz w:val="18"/>
              </w:rPr>
              <w:t>tanto</w:t>
            </w:r>
            <w:r>
              <w:rPr>
                <w:color w:val="231F20"/>
                <w:spacing w:val="-25"/>
                <w:w w:val="105"/>
                <w:sz w:val="18"/>
              </w:rPr>
              <w:t> </w:t>
            </w:r>
            <w:r>
              <w:rPr>
                <w:color w:val="231F20"/>
                <w:w w:val="105"/>
                <w:sz w:val="18"/>
              </w:rPr>
              <w:t>de</w:t>
            </w:r>
            <w:r>
              <w:rPr>
                <w:color w:val="231F20"/>
                <w:spacing w:val="-25"/>
                <w:w w:val="105"/>
                <w:sz w:val="18"/>
              </w:rPr>
              <w:t> </w:t>
            </w:r>
            <w:r>
              <w:rPr>
                <w:color w:val="231F20"/>
                <w:spacing w:val="-4"/>
                <w:w w:val="105"/>
                <w:sz w:val="18"/>
              </w:rPr>
              <w:t>manera</w:t>
            </w:r>
            <w:r>
              <w:rPr>
                <w:color w:val="231F20"/>
                <w:spacing w:val="6"/>
                <w:w w:val="105"/>
                <w:sz w:val="18"/>
              </w:rPr>
              <w:t> </w:t>
            </w:r>
            <w:r>
              <w:rPr>
                <w:color w:val="231F20"/>
                <w:spacing w:val="-4"/>
                <w:w w:val="105"/>
                <w:sz w:val="18"/>
              </w:rPr>
              <w:t>individual</w:t>
            </w:r>
            <w:r>
              <w:rPr>
                <w:color w:val="231F20"/>
                <w:spacing w:val="-25"/>
                <w:w w:val="105"/>
                <w:sz w:val="18"/>
              </w:rPr>
              <w:t> </w:t>
            </w:r>
            <w:r>
              <w:rPr>
                <w:color w:val="231F20"/>
                <w:spacing w:val="-3"/>
                <w:w w:val="105"/>
                <w:sz w:val="18"/>
              </w:rPr>
              <w:t>como</w:t>
            </w:r>
            <w:r>
              <w:rPr>
                <w:color w:val="231F20"/>
                <w:spacing w:val="6"/>
                <w:w w:val="105"/>
                <w:sz w:val="18"/>
              </w:rPr>
              <w:t> </w:t>
            </w:r>
            <w:r>
              <w:rPr>
                <w:color w:val="231F20"/>
                <w:spacing w:val="-4"/>
                <w:w w:val="105"/>
                <w:sz w:val="18"/>
              </w:rPr>
              <w:t>organizacional.</w:t>
            </w:r>
          </w:p>
        </w:tc>
      </w:tr>
      <w:tr>
        <w:trPr>
          <w:trHeight w:val="772" w:hRule="exact"/>
        </w:trPr>
        <w:tc>
          <w:tcPr>
            <w:tcW w:w="2908" w:type="dxa"/>
          </w:tcPr>
          <w:p>
            <w:pPr>
              <w:pStyle w:val="TableParagraph"/>
              <w:spacing w:before="86"/>
              <w:ind w:left="75"/>
              <w:rPr>
                <w:sz w:val="18"/>
              </w:rPr>
            </w:pPr>
            <w:r>
              <w:rPr>
                <w:color w:val="231F20"/>
                <w:sz w:val="18"/>
              </w:rPr>
              <w:t>Garvin (1993)</w:t>
            </w:r>
          </w:p>
        </w:tc>
        <w:tc>
          <w:tcPr>
            <w:tcW w:w="4001" w:type="dxa"/>
          </w:tcPr>
          <w:p>
            <w:pPr>
              <w:pStyle w:val="TableParagraph"/>
              <w:spacing w:line="249" w:lineRule="auto" w:before="86"/>
              <w:ind w:left="75" w:right="69"/>
              <w:jc w:val="both"/>
              <w:rPr>
                <w:sz w:val="18"/>
              </w:rPr>
            </w:pPr>
            <w:r>
              <w:rPr>
                <w:color w:val="231F20"/>
                <w:spacing w:val="-3"/>
                <w:w w:val="105"/>
                <w:sz w:val="18"/>
              </w:rPr>
              <w:t>Organización</w:t>
            </w:r>
            <w:r>
              <w:rPr>
                <w:color w:val="231F20"/>
                <w:spacing w:val="-34"/>
                <w:w w:val="105"/>
                <w:sz w:val="18"/>
              </w:rPr>
              <w:t> </w:t>
            </w:r>
            <w:r>
              <w:rPr>
                <w:color w:val="231F20"/>
                <w:w w:val="105"/>
                <w:sz w:val="18"/>
              </w:rPr>
              <w:t>capaz</w:t>
            </w:r>
            <w:r>
              <w:rPr>
                <w:color w:val="231F20"/>
                <w:spacing w:val="-34"/>
                <w:w w:val="105"/>
                <w:sz w:val="18"/>
              </w:rPr>
              <w:t> </w:t>
            </w:r>
            <w:r>
              <w:rPr>
                <w:color w:val="231F20"/>
                <w:w w:val="105"/>
                <w:sz w:val="18"/>
              </w:rPr>
              <w:t>de</w:t>
            </w:r>
            <w:r>
              <w:rPr>
                <w:color w:val="231F20"/>
                <w:spacing w:val="-34"/>
                <w:w w:val="105"/>
                <w:sz w:val="18"/>
              </w:rPr>
              <w:t> </w:t>
            </w:r>
            <w:r>
              <w:rPr>
                <w:color w:val="231F20"/>
                <w:spacing w:val="-4"/>
                <w:w w:val="105"/>
                <w:sz w:val="18"/>
              </w:rPr>
              <w:t>crear,</w:t>
            </w:r>
            <w:r>
              <w:rPr>
                <w:color w:val="231F20"/>
                <w:spacing w:val="-37"/>
                <w:w w:val="105"/>
                <w:sz w:val="18"/>
              </w:rPr>
              <w:t> </w:t>
            </w:r>
            <w:r>
              <w:rPr>
                <w:color w:val="231F20"/>
                <w:w w:val="105"/>
                <w:sz w:val="18"/>
              </w:rPr>
              <w:t>adquirir</w:t>
            </w:r>
            <w:r>
              <w:rPr>
                <w:color w:val="231F20"/>
                <w:spacing w:val="-34"/>
                <w:w w:val="105"/>
                <w:sz w:val="18"/>
              </w:rPr>
              <w:t> </w:t>
            </w:r>
            <w:r>
              <w:rPr>
                <w:color w:val="231F20"/>
                <w:w w:val="105"/>
                <w:sz w:val="18"/>
              </w:rPr>
              <w:t>y</w:t>
            </w:r>
            <w:r>
              <w:rPr>
                <w:color w:val="231F20"/>
                <w:spacing w:val="-34"/>
                <w:w w:val="105"/>
                <w:sz w:val="18"/>
              </w:rPr>
              <w:t> </w:t>
            </w:r>
            <w:r>
              <w:rPr>
                <w:color w:val="231F20"/>
                <w:w w:val="105"/>
                <w:sz w:val="18"/>
              </w:rPr>
              <w:t>transferir </w:t>
            </w:r>
            <w:r>
              <w:rPr>
                <w:color w:val="231F20"/>
                <w:spacing w:val="-3"/>
                <w:w w:val="105"/>
                <w:sz w:val="18"/>
              </w:rPr>
              <w:t>conocimientos,</w:t>
            </w:r>
            <w:r>
              <w:rPr>
                <w:color w:val="231F20"/>
                <w:spacing w:val="-28"/>
                <w:w w:val="105"/>
                <w:sz w:val="18"/>
              </w:rPr>
              <w:t> </w:t>
            </w:r>
            <w:r>
              <w:rPr>
                <w:color w:val="231F20"/>
                <w:w w:val="105"/>
                <w:sz w:val="18"/>
              </w:rPr>
              <w:t>y</w:t>
            </w:r>
            <w:r>
              <w:rPr>
                <w:color w:val="231F20"/>
                <w:spacing w:val="-22"/>
                <w:w w:val="105"/>
                <w:sz w:val="18"/>
              </w:rPr>
              <w:t> </w:t>
            </w:r>
            <w:r>
              <w:rPr>
                <w:color w:val="231F20"/>
                <w:w w:val="105"/>
                <w:sz w:val="18"/>
              </w:rPr>
              <w:t>de</w:t>
            </w:r>
            <w:r>
              <w:rPr>
                <w:color w:val="231F20"/>
                <w:spacing w:val="-22"/>
                <w:w w:val="105"/>
                <w:sz w:val="18"/>
              </w:rPr>
              <w:t> </w:t>
            </w:r>
            <w:r>
              <w:rPr>
                <w:color w:val="231F20"/>
                <w:spacing w:val="-3"/>
                <w:w w:val="105"/>
                <w:sz w:val="18"/>
              </w:rPr>
              <w:t>modificar</w:t>
            </w:r>
            <w:r>
              <w:rPr>
                <w:color w:val="231F20"/>
                <w:spacing w:val="-22"/>
                <w:w w:val="105"/>
                <w:sz w:val="18"/>
              </w:rPr>
              <w:t> </w:t>
            </w:r>
            <w:r>
              <w:rPr>
                <w:color w:val="231F20"/>
                <w:w w:val="105"/>
                <w:sz w:val="18"/>
              </w:rPr>
              <w:t>su</w:t>
            </w:r>
            <w:r>
              <w:rPr>
                <w:color w:val="231F20"/>
                <w:spacing w:val="-22"/>
                <w:w w:val="105"/>
                <w:sz w:val="18"/>
              </w:rPr>
              <w:t> </w:t>
            </w:r>
            <w:r>
              <w:rPr>
                <w:color w:val="231F20"/>
                <w:spacing w:val="-3"/>
                <w:w w:val="105"/>
                <w:sz w:val="18"/>
              </w:rPr>
              <w:t>comportamien- </w:t>
            </w:r>
            <w:r>
              <w:rPr>
                <w:color w:val="231F20"/>
                <w:w w:val="105"/>
                <w:sz w:val="18"/>
              </w:rPr>
              <w:t>to</w:t>
            </w:r>
            <w:r>
              <w:rPr>
                <w:color w:val="231F20"/>
                <w:spacing w:val="-29"/>
                <w:w w:val="105"/>
                <w:sz w:val="18"/>
              </w:rPr>
              <w:t> </w:t>
            </w:r>
            <w:r>
              <w:rPr>
                <w:color w:val="231F20"/>
                <w:spacing w:val="-3"/>
                <w:w w:val="105"/>
                <w:sz w:val="18"/>
              </w:rPr>
              <w:t>para</w:t>
            </w:r>
            <w:r>
              <w:rPr>
                <w:color w:val="231F20"/>
                <w:spacing w:val="-29"/>
                <w:w w:val="105"/>
                <w:sz w:val="18"/>
              </w:rPr>
              <w:t> </w:t>
            </w:r>
            <w:r>
              <w:rPr>
                <w:color w:val="231F20"/>
                <w:spacing w:val="-3"/>
                <w:w w:val="105"/>
                <w:sz w:val="18"/>
              </w:rPr>
              <w:t>reflejar</w:t>
            </w:r>
            <w:r>
              <w:rPr>
                <w:color w:val="231F20"/>
                <w:spacing w:val="-29"/>
                <w:w w:val="105"/>
                <w:sz w:val="18"/>
              </w:rPr>
              <w:t> </w:t>
            </w:r>
            <w:r>
              <w:rPr>
                <w:color w:val="231F20"/>
                <w:w w:val="105"/>
                <w:sz w:val="18"/>
              </w:rPr>
              <w:t>los</w:t>
            </w:r>
            <w:r>
              <w:rPr>
                <w:color w:val="231F20"/>
                <w:spacing w:val="-29"/>
                <w:w w:val="105"/>
                <w:sz w:val="18"/>
              </w:rPr>
              <w:t> </w:t>
            </w:r>
            <w:r>
              <w:rPr>
                <w:color w:val="231F20"/>
                <w:spacing w:val="-3"/>
                <w:w w:val="105"/>
                <w:sz w:val="18"/>
              </w:rPr>
              <w:t>nuevos</w:t>
            </w:r>
            <w:r>
              <w:rPr>
                <w:color w:val="231F20"/>
                <w:spacing w:val="-29"/>
                <w:w w:val="105"/>
                <w:sz w:val="18"/>
              </w:rPr>
              <w:t> </w:t>
            </w:r>
            <w:r>
              <w:rPr>
                <w:color w:val="231F20"/>
                <w:spacing w:val="-3"/>
                <w:w w:val="105"/>
                <w:sz w:val="18"/>
              </w:rPr>
              <w:t>conocimientos</w:t>
            </w:r>
            <w:r>
              <w:rPr>
                <w:color w:val="231F20"/>
                <w:spacing w:val="-29"/>
                <w:w w:val="105"/>
                <w:sz w:val="18"/>
              </w:rPr>
              <w:t> </w:t>
            </w:r>
            <w:r>
              <w:rPr>
                <w:color w:val="231F20"/>
                <w:w w:val="105"/>
                <w:sz w:val="18"/>
              </w:rPr>
              <w:t>e</w:t>
            </w:r>
            <w:r>
              <w:rPr>
                <w:color w:val="231F20"/>
                <w:spacing w:val="-29"/>
                <w:w w:val="105"/>
                <w:sz w:val="18"/>
              </w:rPr>
              <w:t> </w:t>
            </w:r>
            <w:r>
              <w:rPr>
                <w:color w:val="231F20"/>
                <w:spacing w:val="-4"/>
                <w:w w:val="105"/>
                <w:sz w:val="18"/>
              </w:rPr>
              <w:t>ideas.</w:t>
            </w:r>
          </w:p>
        </w:tc>
      </w:tr>
      <w:tr>
        <w:trPr>
          <w:trHeight w:val="556" w:hRule="exact"/>
        </w:trPr>
        <w:tc>
          <w:tcPr>
            <w:tcW w:w="2908" w:type="dxa"/>
          </w:tcPr>
          <w:p>
            <w:pPr>
              <w:pStyle w:val="TableParagraph"/>
              <w:spacing w:before="86"/>
              <w:ind w:left="75"/>
              <w:rPr>
                <w:sz w:val="18"/>
              </w:rPr>
            </w:pPr>
            <w:r>
              <w:rPr>
                <w:color w:val="231F20"/>
                <w:sz w:val="18"/>
              </w:rPr>
              <w:t>Watkins y Marsick (1993)</w:t>
            </w:r>
          </w:p>
        </w:tc>
        <w:tc>
          <w:tcPr>
            <w:tcW w:w="4001" w:type="dxa"/>
          </w:tcPr>
          <w:p>
            <w:pPr>
              <w:pStyle w:val="TableParagraph"/>
              <w:spacing w:line="249" w:lineRule="auto" w:before="86"/>
              <w:ind w:left="75" w:right="58"/>
              <w:rPr>
                <w:sz w:val="18"/>
              </w:rPr>
            </w:pPr>
            <w:r>
              <w:rPr>
                <w:color w:val="231F20"/>
                <w:w w:val="105"/>
                <w:sz w:val="18"/>
              </w:rPr>
              <w:t>La</w:t>
            </w:r>
            <w:r>
              <w:rPr>
                <w:color w:val="231F20"/>
                <w:spacing w:val="-31"/>
                <w:w w:val="105"/>
                <w:sz w:val="18"/>
              </w:rPr>
              <w:t> </w:t>
            </w:r>
            <w:r>
              <w:rPr>
                <w:color w:val="231F20"/>
                <w:w w:val="105"/>
                <w:sz w:val="18"/>
              </w:rPr>
              <w:t>organización</w:t>
            </w:r>
            <w:r>
              <w:rPr>
                <w:color w:val="231F20"/>
                <w:spacing w:val="-31"/>
                <w:w w:val="105"/>
                <w:sz w:val="18"/>
              </w:rPr>
              <w:t> </w:t>
            </w:r>
            <w:r>
              <w:rPr>
                <w:color w:val="231F20"/>
                <w:w w:val="105"/>
                <w:sz w:val="18"/>
              </w:rPr>
              <w:t>que</w:t>
            </w:r>
            <w:r>
              <w:rPr>
                <w:color w:val="231F20"/>
                <w:spacing w:val="-31"/>
                <w:w w:val="105"/>
                <w:sz w:val="18"/>
              </w:rPr>
              <w:t> </w:t>
            </w:r>
            <w:r>
              <w:rPr>
                <w:color w:val="231F20"/>
                <w:w w:val="105"/>
                <w:sz w:val="18"/>
              </w:rPr>
              <w:t>aprende</w:t>
            </w:r>
            <w:r>
              <w:rPr>
                <w:color w:val="231F20"/>
                <w:spacing w:val="-31"/>
                <w:w w:val="105"/>
                <w:sz w:val="18"/>
              </w:rPr>
              <w:t> </w:t>
            </w:r>
            <w:r>
              <w:rPr>
                <w:color w:val="231F20"/>
                <w:w w:val="105"/>
                <w:sz w:val="18"/>
              </w:rPr>
              <w:t>continuamente</w:t>
            </w:r>
            <w:r>
              <w:rPr>
                <w:color w:val="231F20"/>
                <w:spacing w:val="-31"/>
                <w:w w:val="105"/>
                <w:sz w:val="18"/>
              </w:rPr>
              <w:t> </w:t>
            </w:r>
            <w:r>
              <w:rPr>
                <w:color w:val="231F20"/>
                <w:w w:val="105"/>
                <w:sz w:val="18"/>
              </w:rPr>
              <w:t>se </w:t>
            </w:r>
            <w:r>
              <w:rPr>
                <w:color w:val="231F20"/>
                <w:sz w:val="18"/>
              </w:rPr>
              <w:t>transforma a sí</w:t>
            </w:r>
            <w:r>
              <w:rPr>
                <w:color w:val="231F20"/>
                <w:spacing w:val="-29"/>
                <w:sz w:val="18"/>
              </w:rPr>
              <w:t> </w:t>
            </w:r>
            <w:r>
              <w:rPr>
                <w:color w:val="231F20"/>
                <w:sz w:val="18"/>
              </w:rPr>
              <w:t>misma.</w:t>
            </w:r>
          </w:p>
        </w:tc>
      </w:tr>
      <w:tr>
        <w:trPr>
          <w:trHeight w:val="988" w:hRule="exact"/>
        </w:trPr>
        <w:tc>
          <w:tcPr>
            <w:tcW w:w="2908" w:type="dxa"/>
          </w:tcPr>
          <w:p>
            <w:pPr>
              <w:pStyle w:val="TableParagraph"/>
              <w:spacing w:before="86"/>
              <w:ind w:left="75"/>
              <w:rPr>
                <w:sz w:val="18"/>
              </w:rPr>
            </w:pPr>
            <w:r>
              <w:rPr>
                <w:color w:val="231F20"/>
                <w:sz w:val="18"/>
              </w:rPr>
              <w:t>Wikström y Norman  (1994)</w:t>
            </w:r>
          </w:p>
        </w:tc>
        <w:tc>
          <w:tcPr>
            <w:tcW w:w="4001" w:type="dxa"/>
          </w:tcPr>
          <w:p>
            <w:pPr>
              <w:pStyle w:val="TableParagraph"/>
              <w:spacing w:line="249" w:lineRule="auto" w:before="86"/>
              <w:ind w:left="75" w:right="72"/>
              <w:jc w:val="both"/>
              <w:rPr>
                <w:sz w:val="18"/>
              </w:rPr>
            </w:pPr>
            <w:r>
              <w:rPr>
                <w:color w:val="231F20"/>
                <w:w w:val="105"/>
                <w:sz w:val="18"/>
              </w:rPr>
              <w:t>Organizaciones</w:t>
            </w:r>
            <w:r>
              <w:rPr>
                <w:color w:val="231F20"/>
                <w:spacing w:val="-25"/>
                <w:w w:val="105"/>
                <w:sz w:val="18"/>
              </w:rPr>
              <w:t> </w:t>
            </w:r>
            <w:r>
              <w:rPr>
                <w:color w:val="231F20"/>
                <w:w w:val="105"/>
                <w:sz w:val="18"/>
              </w:rPr>
              <w:t>con</w:t>
            </w:r>
            <w:r>
              <w:rPr>
                <w:color w:val="231F20"/>
                <w:spacing w:val="-25"/>
                <w:w w:val="105"/>
                <w:sz w:val="18"/>
              </w:rPr>
              <w:t> </w:t>
            </w:r>
            <w:r>
              <w:rPr>
                <w:color w:val="231F20"/>
                <w:w w:val="105"/>
                <w:sz w:val="18"/>
              </w:rPr>
              <w:t>capacidad</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absorber</w:t>
            </w:r>
            <w:r>
              <w:rPr>
                <w:color w:val="231F20"/>
                <w:spacing w:val="-25"/>
                <w:w w:val="105"/>
                <w:sz w:val="18"/>
              </w:rPr>
              <w:t> </w:t>
            </w:r>
            <w:r>
              <w:rPr>
                <w:color w:val="231F20"/>
                <w:w w:val="105"/>
                <w:sz w:val="18"/>
              </w:rPr>
              <w:t>co- nocimiento del exterior y de generar procesos para</w:t>
            </w:r>
            <w:r>
              <w:rPr>
                <w:color w:val="231F20"/>
                <w:spacing w:val="-8"/>
                <w:w w:val="105"/>
                <w:sz w:val="18"/>
              </w:rPr>
              <w:t> </w:t>
            </w:r>
            <w:r>
              <w:rPr>
                <w:color w:val="231F20"/>
                <w:w w:val="105"/>
                <w:sz w:val="18"/>
              </w:rPr>
              <w:t>crear</w:t>
            </w:r>
            <w:r>
              <w:rPr>
                <w:color w:val="231F20"/>
                <w:spacing w:val="-8"/>
                <w:w w:val="105"/>
                <w:sz w:val="18"/>
              </w:rPr>
              <w:t> </w:t>
            </w:r>
            <w:r>
              <w:rPr>
                <w:color w:val="231F20"/>
                <w:w w:val="105"/>
                <w:sz w:val="18"/>
              </w:rPr>
              <w:t>nuevo</w:t>
            </w:r>
            <w:r>
              <w:rPr>
                <w:color w:val="231F20"/>
                <w:spacing w:val="-8"/>
                <w:w w:val="105"/>
                <w:sz w:val="18"/>
              </w:rPr>
              <w:t> </w:t>
            </w:r>
            <w:r>
              <w:rPr>
                <w:color w:val="231F20"/>
                <w:w w:val="105"/>
                <w:sz w:val="18"/>
              </w:rPr>
              <w:t>conocimiento</w:t>
            </w:r>
            <w:r>
              <w:rPr>
                <w:color w:val="231F20"/>
                <w:spacing w:val="-8"/>
                <w:w w:val="105"/>
                <w:sz w:val="18"/>
              </w:rPr>
              <w:t> </w:t>
            </w:r>
            <w:r>
              <w:rPr>
                <w:color w:val="231F20"/>
                <w:w w:val="105"/>
                <w:sz w:val="18"/>
              </w:rPr>
              <w:t>al</w:t>
            </w:r>
            <w:r>
              <w:rPr>
                <w:color w:val="231F20"/>
                <w:spacing w:val="-8"/>
                <w:w w:val="105"/>
                <w:sz w:val="18"/>
              </w:rPr>
              <w:t> </w:t>
            </w:r>
            <w:r>
              <w:rPr>
                <w:color w:val="231F20"/>
                <w:w w:val="105"/>
                <w:sz w:val="18"/>
              </w:rPr>
              <w:t>interior</w:t>
            </w:r>
            <w:r>
              <w:rPr>
                <w:color w:val="231F20"/>
                <w:spacing w:val="-8"/>
                <w:w w:val="105"/>
                <w:sz w:val="18"/>
              </w:rPr>
              <w:t> </w:t>
            </w:r>
            <w:r>
              <w:rPr>
                <w:color w:val="231F20"/>
                <w:w w:val="105"/>
                <w:sz w:val="18"/>
              </w:rPr>
              <w:t>de</w:t>
            </w:r>
            <w:r>
              <w:rPr>
                <w:color w:val="231F20"/>
                <w:spacing w:val="-8"/>
                <w:w w:val="105"/>
                <w:sz w:val="18"/>
              </w:rPr>
              <w:t> </w:t>
            </w:r>
            <w:r>
              <w:rPr>
                <w:color w:val="231F20"/>
                <w:w w:val="105"/>
                <w:sz w:val="18"/>
              </w:rPr>
              <w:t>la organización.</w:t>
            </w:r>
          </w:p>
        </w:tc>
      </w:tr>
    </w:tbl>
    <w:p>
      <w:pPr>
        <w:spacing w:before="51"/>
        <w:ind w:left="0" w:right="129" w:firstLine="0"/>
        <w:jc w:val="right"/>
        <w:rPr>
          <w:rFonts w:ascii="Calibri" w:hAnsi="Calibri"/>
          <w:sz w:val="14"/>
        </w:rPr>
      </w:pPr>
      <w:r>
        <w:rPr>
          <w:rFonts w:ascii="Calibri" w:hAnsi="Calibri"/>
          <w:color w:val="6D6E71"/>
          <w:sz w:val="14"/>
        </w:rPr>
        <w:t>Continúa en página  siguiente</w:t>
      </w:r>
    </w:p>
    <w:p>
      <w:pPr>
        <w:pStyle w:val="BodyText"/>
        <w:rPr>
          <w:rFonts w:ascii="Calibri"/>
          <w:sz w:val="20"/>
        </w:rPr>
      </w:pPr>
    </w:p>
    <w:p>
      <w:pPr>
        <w:pStyle w:val="BodyText"/>
        <w:spacing w:before="11"/>
        <w:rPr>
          <w:rFonts w:ascii="Calibri"/>
          <w:sz w:val="29"/>
        </w:rPr>
      </w:pPr>
    </w:p>
    <w:p>
      <w:pPr>
        <w:tabs>
          <w:tab w:pos="1357" w:val="left" w:leader="none"/>
        </w:tabs>
        <w:spacing w:before="71"/>
        <w:ind w:left="307" w:right="0" w:firstLine="0"/>
        <w:jc w:val="left"/>
        <w:rPr>
          <w:rFonts w:ascii="Calibri" w:hAnsi="Calibri"/>
          <w:sz w:val="15"/>
        </w:rPr>
      </w:pPr>
      <w:r>
        <w:rPr/>
        <w:pict>
          <v:group style="position:absolute;margin-left:101.817299pt;margin-top:-16.749887pt;width:17.850pt;height:56.5pt;mso-position-horizontal-relative:page;mso-position-vertical-relative:paragraph;z-index:-24496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78</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4936"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79</w:t>
      </w:r>
    </w:p>
    <w:p>
      <w:pPr>
        <w:pStyle w:val="BodyText"/>
        <w:rPr>
          <w:sz w:val="20"/>
        </w:rPr>
      </w:pPr>
    </w:p>
    <w:p>
      <w:pPr>
        <w:pStyle w:val="BodyText"/>
        <w:rPr>
          <w:sz w:val="20"/>
        </w:rPr>
      </w:pPr>
    </w:p>
    <w:p>
      <w:pPr>
        <w:pStyle w:val="BodyText"/>
        <w:spacing w:before="2"/>
        <w:rPr>
          <w:sz w:val="14"/>
        </w:rPr>
      </w:pPr>
    </w:p>
    <w:tbl>
      <w:tblPr>
        <w:tblW w:w="0" w:type="auto"/>
        <w:jc w:val="left"/>
        <w:tblInd w:w="11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08"/>
        <w:gridCol w:w="4001"/>
      </w:tblGrid>
      <w:tr>
        <w:trPr>
          <w:trHeight w:val="988" w:hRule="exact"/>
        </w:trPr>
        <w:tc>
          <w:tcPr>
            <w:tcW w:w="2908" w:type="dxa"/>
          </w:tcPr>
          <w:p>
            <w:pPr>
              <w:pStyle w:val="TableParagraph"/>
              <w:spacing w:before="86"/>
              <w:ind w:left="75"/>
              <w:rPr>
                <w:sz w:val="18"/>
              </w:rPr>
            </w:pPr>
            <w:r>
              <w:rPr>
                <w:color w:val="231F20"/>
                <w:sz w:val="18"/>
              </w:rPr>
              <w:t>Palacios (2000)</w:t>
            </w:r>
          </w:p>
        </w:tc>
        <w:tc>
          <w:tcPr>
            <w:tcW w:w="4001" w:type="dxa"/>
          </w:tcPr>
          <w:p>
            <w:pPr>
              <w:pStyle w:val="TableParagraph"/>
              <w:spacing w:line="249" w:lineRule="auto" w:before="86"/>
              <w:ind w:left="75" w:right="67"/>
              <w:jc w:val="both"/>
              <w:rPr>
                <w:sz w:val="18"/>
              </w:rPr>
            </w:pPr>
            <w:r>
              <w:rPr>
                <w:color w:val="231F20"/>
                <w:w w:val="105"/>
                <w:sz w:val="18"/>
              </w:rPr>
              <w:t>Organizaciones inteligentes capaces de</w:t>
            </w:r>
            <w:r>
              <w:rPr>
                <w:color w:val="231F20"/>
                <w:spacing w:val="-28"/>
                <w:w w:val="105"/>
                <w:sz w:val="18"/>
              </w:rPr>
              <w:t> </w:t>
            </w:r>
            <w:r>
              <w:rPr>
                <w:color w:val="231F20"/>
                <w:spacing w:val="-3"/>
                <w:w w:val="105"/>
                <w:sz w:val="18"/>
              </w:rPr>
              <w:t>crear, </w:t>
            </w:r>
            <w:r>
              <w:rPr>
                <w:color w:val="231F20"/>
                <w:w w:val="105"/>
                <w:sz w:val="18"/>
              </w:rPr>
              <w:t>desarrollar, difundir y explotar el conocimien- to</w:t>
            </w:r>
            <w:r>
              <w:rPr>
                <w:color w:val="231F20"/>
                <w:spacing w:val="-18"/>
                <w:w w:val="105"/>
                <w:sz w:val="18"/>
              </w:rPr>
              <w:t> </w:t>
            </w:r>
            <w:r>
              <w:rPr>
                <w:color w:val="231F20"/>
                <w:w w:val="105"/>
                <w:sz w:val="18"/>
              </w:rPr>
              <w:t>para</w:t>
            </w:r>
            <w:r>
              <w:rPr>
                <w:color w:val="231F20"/>
                <w:spacing w:val="-18"/>
                <w:w w:val="105"/>
                <w:sz w:val="18"/>
              </w:rPr>
              <w:t> </w:t>
            </w:r>
            <w:r>
              <w:rPr>
                <w:color w:val="231F20"/>
                <w:w w:val="105"/>
                <w:sz w:val="18"/>
              </w:rPr>
              <w:t>incrementar</w:t>
            </w:r>
            <w:r>
              <w:rPr>
                <w:color w:val="231F20"/>
                <w:spacing w:val="-18"/>
                <w:w w:val="105"/>
                <w:sz w:val="18"/>
              </w:rPr>
              <w:t> </w:t>
            </w:r>
            <w:r>
              <w:rPr>
                <w:color w:val="231F20"/>
                <w:w w:val="105"/>
                <w:sz w:val="18"/>
              </w:rPr>
              <w:t>su</w:t>
            </w:r>
            <w:r>
              <w:rPr>
                <w:color w:val="231F20"/>
                <w:spacing w:val="-18"/>
                <w:w w:val="105"/>
                <w:sz w:val="18"/>
              </w:rPr>
              <w:t> </w:t>
            </w:r>
            <w:r>
              <w:rPr>
                <w:color w:val="231F20"/>
                <w:w w:val="105"/>
                <w:sz w:val="18"/>
              </w:rPr>
              <w:t>capacidad</w:t>
            </w:r>
            <w:r>
              <w:rPr>
                <w:color w:val="231F20"/>
                <w:spacing w:val="-18"/>
                <w:w w:val="105"/>
                <w:sz w:val="18"/>
              </w:rPr>
              <w:t> </w:t>
            </w:r>
            <w:r>
              <w:rPr>
                <w:color w:val="231F20"/>
                <w:w w:val="105"/>
                <w:sz w:val="18"/>
              </w:rPr>
              <w:t>innovadora</w:t>
            </w:r>
            <w:r>
              <w:rPr>
                <w:color w:val="231F20"/>
                <w:spacing w:val="-18"/>
                <w:w w:val="105"/>
                <w:sz w:val="18"/>
              </w:rPr>
              <w:t> </w:t>
            </w:r>
            <w:r>
              <w:rPr>
                <w:color w:val="231F20"/>
                <w:w w:val="105"/>
                <w:sz w:val="18"/>
              </w:rPr>
              <w:t>y competitiva.</w:t>
            </w:r>
          </w:p>
        </w:tc>
      </w:tr>
      <w:tr>
        <w:trPr>
          <w:trHeight w:val="556" w:hRule="exact"/>
        </w:trPr>
        <w:tc>
          <w:tcPr>
            <w:tcW w:w="2908" w:type="dxa"/>
          </w:tcPr>
          <w:p>
            <w:pPr>
              <w:pStyle w:val="TableParagraph"/>
              <w:spacing w:before="86"/>
              <w:ind w:left="75"/>
              <w:rPr>
                <w:sz w:val="18"/>
              </w:rPr>
            </w:pPr>
            <w:r>
              <w:rPr>
                <w:color w:val="231F20"/>
                <w:sz w:val="18"/>
              </w:rPr>
              <w:t>Goré (2003)</w:t>
            </w:r>
          </w:p>
        </w:tc>
        <w:tc>
          <w:tcPr>
            <w:tcW w:w="4001" w:type="dxa"/>
          </w:tcPr>
          <w:p>
            <w:pPr>
              <w:pStyle w:val="TableParagraph"/>
              <w:spacing w:line="249" w:lineRule="auto" w:before="86"/>
              <w:ind w:left="75" w:right="18"/>
              <w:rPr>
                <w:sz w:val="18"/>
              </w:rPr>
            </w:pPr>
            <w:r>
              <w:rPr>
                <w:color w:val="231F20"/>
                <w:w w:val="105"/>
                <w:sz w:val="18"/>
              </w:rPr>
              <w:t>Una organización ha aprendido cuando puede hacer cosas que antes no hacía.</w:t>
            </w:r>
          </w:p>
        </w:tc>
      </w:tr>
      <w:tr>
        <w:trPr>
          <w:trHeight w:val="772" w:hRule="exact"/>
        </w:trPr>
        <w:tc>
          <w:tcPr>
            <w:tcW w:w="2908" w:type="dxa"/>
          </w:tcPr>
          <w:p>
            <w:pPr>
              <w:pStyle w:val="TableParagraph"/>
              <w:spacing w:before="86"/>
              <w:ind w:left="75"/>
              <w:rPr>
                <w:sz w:val="18"/>
              </w:rPr>
            </w:pPr>
            <w:r>
              <w:rPr>
                <w:color w:val="231F20"/>
                <w:sz w:val="18"/>
              </w:rPr>
              <w:t>Cortés y Pérez (2007)</w:t>
            </w:r>
          </w:p>
        </w:tc>
        <w:tc>
          <w:tcPr>
            <w:tcW w:w="4001" w:type="dxa"/>
          </w:tcPr>
          <w:p>
            <w:pPr>
              <w:pStyle w:val="TableParagraph"/>
              <w:spacing w:line="249" w:lineRule="auto" w:before="86"/>
              <w:ind w:left="75" w:right="72"/>
              <w:jc w:val="both"/>
              <w:rPr>
                <w:sz w:val="18"/>
              </w:rPr>
            </w:pPr>
            <w:r>
              <w:rPr>
                <w:color w:val="231F20"/>
                <w:spacing w:val="-3"/>
                <w:w w:val="105"/>
                <w:sz w:val="18"/>
              </w:rPr>
              <w:t>Capacidad</w:t>
            </w:r>
            <w:r>
              <w:rPr>
                <w:color w:val="231F20"/>
                <w:spacing w:val="-28"/>
                <w:w w:val="105"/>
                <w:sz w:val="18"/>
              </w:rPr>
              <w:t> </w:t>
            </w:r>
            <w:r>
              <w:rPr>
                <w:color w:val="231F20"/>
                <w:w w:val="105"/>
                <w:sz w:val="18"/>
              </w:rPr>
              <w:t>para</w:t>
            </w:r>
            <w:r>
              <w:rPr>
                <w:color w:val="231F20"/>
                <w:spacing w:val="-28"/>
                <w:w w:val="105"/>
                <w:sz w:val="18"/>
              </w:rPr>
              <w:t> </w:t>
            </w:r>
            <w:r>
              <w:rPr>
                <w:color w:val="231F20"/>
                <w:w w:val="105"/>
                <w:sz w:val="18"/>
              </w:rPr>
              <w:t>inferir</w:t>
            </w:r>
            <w:r>
              <w:rPr>
                <w:color w:val="231F20"/>
                <w:spacing w:val="-28"/>
                <w:w w:val="105"/>
                <w:sz w:val="18"/>
              </w:rPr>
              <w:t> </w:t>
            </w:r>
            <w:r>
              <w:rPr>
                <w:color w:val="231F20"/>
                <w:w w:val="105"/>
                <w:sz w:val="18"/>
              </w:rPr>
              <w:t>rutinas</w:t>
            </w:r>
            <w:r>
              <w:rPr>
                <w:color w:val="231F20"/>
                <w:spacing w:val="-28"/>
                <w:w w:val="105"/>
                <w:sz w:val="18"/>
              </w:rPr>
              <w:t> </w:t>
            </w:r>
            <w:r>
              <w:rPr>
                <w:color w:val="231F20"/>
                <w:w w:val="105"/>
                <w:sz w:val="18"/>
              </w:rPr>
              <w:t>que</w:t>
            </w:r>
            <w:r>
              <w:rPr>
                <w:color w:val="231F20"/>
                <w:spacing w:val="-28"/>
                <w:w w:val="105"/>
                <w:sz w:val="18"/>
              </w:rPr>
              <w:t> </w:t>
            </w:r>
            <w:r>
              <w:rPr>
                <w:color w:val="231F20"/>
                <w:w w:val="105"/>
                <w:sz w:val="18"/>
              </w:rPr>
              <w:t>guíen</w:t>
            </w:r>
            <w:r>
              <w:rPr>
                <w:color w:val="231F20"/>
                <w:spacing w:val="-28"/>
                <w:w w:val="105"/>
                <w:sz w:val="18"/>
              </w:rPr>
              <w:t> </w:t>
            </w:r>
            <w:r>
              <w:rPr>
                <w:color w:val="231F20"/>
                <w:w w:val="105"/>
                <w:sz w:val="18"/>
              </w:rPr>
              <w:t>el</w:t>
            </w:r>
            <w:r>
              <w:rPr>
                <w:color w:val="231F20"/>
                <w:spacing w:val="-28"/>
                <w:w w:val="105"/>
                <w:sz w:val="18"/>
              </w:rPr>
              <w:t> </w:t>
            </w:r>
            <w:r>
              <w:rPr>
                <w:color w:val="231F20"/>
                <w:w w:val="105"/>
                <w:sz w:val="18"/>
              </w:rPr>
              <w:t>com- portamiento</w:t>
            </w:r>
            <w:r>
              <w:rPr>
                <w:color w:val="231F20"/>
                <w:spacing w:val="-33"/>
                <w:w w:val="105"/>
                <w:sz w:val="18"/>
              </w:rPr>
              <w:t> </w:t>
            </w:r>
            <w:r>
              <w:rPr>
                <w:color w:val="231F20"/>
                <w:spacing w:val="-3"/>
                <w:w w:val="105"/>
                <w:sz w:val="18"/>
              </w:rPr>
              <w:t>futuro</w:t>
            </w:r>
            <w:r>
              <w:rPr>
                <w:color w:val="231F20"/>
                <w:spacing w:val="-33"/>
                <w:w w:val="105"/>
                <w:sz w:val="18"/>
              </w:rPr>
              <w:t> </w:t>
            </w:r>
            <w:r>
              <w:rPr>
                <w:color w:val="231F20"/>
                <w:w w:val="105"/>
                <w:sz w:val="18"/>
              </w:rPr>
              <w:t>en</w:t>
            </w:r>
            <w:r>
              <w:rPr>
                <w:color w:val="231F20"/>
                <w:spacing w:val="-33"/>
                <w:w w:val="105"/>
                <w:sz w:val="18"/>
              </w:rPr>
              <w:t> </w:t>
            </w:r>
            <w:r>
              <w:rPr>
                <w:color w:val="231F20"/>
                <w:w w:val="105"/>
                <w:sz w:val="18"/>
              </w:rPr>
              <w:t>hechos</w:t>
            </w:r>
            <w:r>
              <w:rPr>
                <w:color w:val="231F20"/>
                <w:spacing w:val="-33"/>
                <w:w w:val="105"/>
                <w:sz w:val="18"/>
              </w:rPr>
              <w:t> </w:t>
            </w:r>
            <w:r>
              <w:rPr>
                <w:color w:val="231F20"/>
                <w:w w:val="105"/>
                <w:sz w:val="18"/>
              </w:rPr>
              <w:t>pasados</w:t>
            </w:r>
            <w:r>
              <w:rPr>
                <w:color w:val="231F20"/>
                <w:spacing w:val="-33"/>
                <w:w w:val="105"/>
                <w:sz w:val="18"/>
              </w:rPr>
              <w:t> </w:t>
            </w:r>
            <w:r>
              <w:rPr>
                <w:color w:val="231F20"/>
                <w:w w:val="105"/>
                <w:sz w:val="18"/>
              </w:rPr>
              <w:t>y</w:t>
            </w:r>
            <w:r>
              <w:rPr>
                <w:color w:val="231F20"/>
                <w:spacing w:val="-33"/>
                <w:w w:val="105"/>
                <w:sz w:val="18"/>
              </w:rPr>
              <w:t> </w:t>
            </w:r>
            <w:r>
              <w:rPr>
                <w:color w:val="231F20"/>
                <w:w w:val="105"/>
                <w:sz w:val="18"/>
              </w:rPr>
              <w:t>capaci- dad</w:t>
            </w:r>
            <w:r>
              <w:rPr>
                <w:color w:val="231F20"/>
                <w:spacing w:val="-20"/>
                <w:w w:val="105"/>
                <w:sz w:val="18"/>
              </w:rPr>
              <w:t> </w:t>
            </w:r>
            <w:r>
              <w:rPr>
                <w:color w:val="231F20"/>
                <w:w w:val="105"/>
                <w:sz w:val="18"/>
              </w:rPr>
              <w:t>para</w:t>
            </w:r>
            <w:r>
              <w:rPr>
                <w:color w:val="231F20"/>
                <w:spacing w:val="-20"/>
                <w:w w:val="105"/>
                <w:sz w:val="18"/>
              </w:rPr>
              <w:t> </w:t>
            </w:r>
            <w:r>
              <w:rPr>
                <w:color w:val="231F20"/>
                <w:w w:val="105"/>
                <w:sz w:val="18"/>
              </w:rPr>
              <w:t>adaptarse</w:t>
            </w:r>
            <w:r>
              <w:rPr>
                <w:color w:val="231F20"/>
                <w:spacing w:val="-20"/>
                <w:w w:val="105"/>
                <w:sz w:val="18"/>
              </w:rPr>
              <w:t> </w:t>
            </w:r>
            <w:r>
              <w:rPr>
                <w:color w:val="231F20"/>
                <w:w w:val="105"/>
                <w:sz w:val="18"/>
              </w:rPr>
              <w:t>al</w:t>
            </w:r>
            <w:r>
              <w:rPr>
                <w:color w:val="231F20"/>
                <w:spacing w:val="-20"/>
                <w:w w:val="105"/>
                <w:sz w:val="18"/>
              </w:rPr>
              <w:t> </w:t>
            </w:r>
            <w:r>
              <w:rPr>
                <w:color w:val="231F20"/>
                <w:w w:val="105"/>
                <w:sz w:val="18"/>
              </w:rPr>
              <w:t>cambio</w:t>
            </w:r>
          </w:p>
        </w:tc>
      </w:tr>
    </w:tbl>
    <w:p>
      <w:pPr>
        <w:spacing w:before="18"/>
        <w:ind w:left="117" w:right="0" w:firstLine="0"/>
        <w:jc w:val="both"/>
        <w:rPr>
          <w:sz w:val="16"/>
        </w:rPr>
      </w:pPr>
      <w:r>
        <w:rPr>
          <w:color w:val="231F20"/>
          <w:w w:val="105"/>
          <w:sz w:val="16"/>
        </w:rPr>
        <w:t>Fuente: Elaboración propia</w:t>
      </w:r>
    </w:p>
    <w:p>
      <w:pPr>
        <w:pStyle w:val="BodyText"/>
        <w:rPr>
          <w:sz w:val="16"/>
        </w:rPr>
      </w:pPr>
    </w:p>
    <w:p>
      <w:pPr>
        <w:pStyle w:val="BodyText"/>
        <w:rPr>
          <w:sz w:val="16"/>
        </w:rPr>
      </w:pPr>
    </w:p>
    <w:p>
      <w:pPr>
        <w:pStyle w:val="Heading2"/>
        <w:spacing w:line="247" w:lineRule="auto" w:before="105"/>
        <w:ind w:right="121"/>
      </w:pPr>
      <w:r>
        <w:rPr>
          <w:color w:val="231F20"/>
        </w:rPr>
        <w:t>Aprendizaje organizacional y competitividad municipal:</w:t>
      </w:r>
      <w:r>
        <w:rPr>
          <w:color w:val="231F20"/>
          <w:spacing w:val="-16"/>
        </w:rPr>
        <w:t> </w:t>
      </w:r>
      <w:r>
        <w:rPr>
          <w:color w:val="231F20"/>
        </w:rPr>
        <w:t>propuesta de un</w:t>
      </w:r>
      <w:r>
        <w:rPr>
          <w:color w:val="231F20"/>
          <w:spacing w:val="-11"/>
        </w:rPr>
        <w:t> </w:t>
      </w:r>
      <w:r>
        <w:rPr>
          <w:color w:val="231F20"/>
        </w:rPr>
        <w:t>modelo</w:t>
      </w:r>
    </w:p>
    <w:p>
      <w:pPr>
        <w:pStyle w:val="BodyText"/>
        <w:rPr>
          <w:b/>
          <w:sz w:val="22"/>
        </w:rPr>
      </w:pPr>
    </w:p>
    <w:p>
      <w:pPr>
        <w:pStyle w:val="BodyText"/>
        <w:spacing w:line="259" w:lineRule="auto" w:before="153"/>
        <w:ind w:left="117" w:right="121"/>
        <w:jc w:val="both"/>
      </w:pPr>
      <w:r>
        <w:rPr>
          <w:color w:val="231F20"/>
          <w:w w:val="105"/>
        </w:rPr>
        <w:t>Existe</w:t>
      </w:r>
      <w:r>
        <w:rPr>
          <w:color w:val="231F20"/>
          <w:spacing w:val="-10"/>
          <w:w w:val="105"/>
        </w:rPr>
        <w:t> </w:t>
      </w:r>
      <w:r>
        <w:rPr>
          <w:color w:val="231F20"/>
          <w:w w:val="105"/>
        </w:rPr>
        <w:t>la</w:t>
      </w:r>
      <w:r>
        <w:rPr>
          <w:color w:val="231F20"/>
          <w:spacing w:val="-10"/>
          <w:w w:val="105"/>
        </w:rPr>
        <w:t> </w:t>
      </w:r>
      <w:r>
        <w:rPr>
          <w:color w:val="231F20"/>
          <w:w w:val="105"/>
        </w:rPr>
        <w:t>necesidad</w:t>
      </w:r>
      <w:r>
        <w:rPr>
          <w:color w:val="231F20"/>
          <w:spacing w:val="-10"/>
          <w:w w:val="105"/>
        </w:rPr>
        <w:t> </w:t>
      </w:r>
      <w:r>
        <w:rPr>
          <w:color w:val="231F20"/>
          <w:w w:val="105"/>
        </w:rPr>
        <w:t>de</w:t>
      </w:r>
      <w:r>
        <w:rPr>
          <w:color w:val="231F20"/>
          <w:spacing w:val="-10"/>
          <w:w w:val="105"/>
        </w:rPr>
        <w:t> </w:t>
      </w:r>
      <w:r>
        <w:rPr>
          <w:color w:val="231F20"/>
          <w:w w:val="105"/>
        </w:rPr>
        <w:t>impulsar</w:t>
      </w:r>
      <w:r>
        <w:rPr>
          <w:color w:val="231F20"/>
          <w:spacing w:val="-10"/>
          <w:w w:val="105"/>
        </w:rPr>
        <w:t> </w:t>
      </w:r>
      <w:r>
        <w:rPr>
          <w:color w:val="231F20"/>
          <w:w w:val="105"/>
        </w:rPr>
        <w:t>la</w:t>
      </w:r>
      <w:r>
        <w:rPr>
          <w:color w:val="231F20"/>
          <w:spacing w:val="-10"/>
          <w:w w:val="105"/>
        </w:rPr>
        <w:t> </w:t>
      </w:r>
      <w:r>
        <w:rPr>
          <w:color w:val="231F20"/>
          <w:w w:val="105"/>
        </w:rPr>
        <w:t>competitividad</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municipios,</w:t>
      </w:r>
      <w:r>
        <w:rPr>
          <w:color w:val="231F20"/>
          <w:spacing w:val="-15"/>
          <w:w w:val="105"/>
        </w:rPr>
        <w:t> </w:t>
      </w:r>
      <w:r>
        <w:rPr>
          <w:color w:val="231F20"/>
          <w:w w:val="105"/>
        </w:rPr>
        <w:t>for- talecerlos</w:t>
      </w:r>
      <w:r>
        <w:rPr>
          <w:color w:val="231F20"/>
          <w:spacing w:val="-25"/>
          <w:w w:val="105"/>
        </w:rPr>
        <w:t> </w:t>
      </w:r>
      <w:r>
        <w:rPr>
          <w:color w:val="231F20"/>
          <w:w w:val="105"/>
        </w:rPr>
        <w:t>económica,</w:t>
      </w:r>
      <w:r>
        <w:rPr>
          <w:color w:val="231F20"/>
          <w:spacing w:val="-31"/>
          <w:w w:val="105"/>
        </w:rPr>
        <w:t> </w:t>
      </w:r>
      <w:r>
        <w:rPr>
          <w:color w:val="231F20"/>
          <w:w w:val="105"/>
        </w:rPr>
        <w:t>social</w:t>
      </w:r>
      <w:r>
        <w:rPr>
          <w:color w:val="231F20"/>
          <w:spacing w:val="-25"/>
          <w:w w:val="105"/>
        </w:rPr>
        <w:t> </w:t>
      </w:r>
      <w:r>
        <w:rPr>
          <w:color w:val="231F20"/>
          <w:w w:val="105"/>
        </w:rPr>
        <w:t>y</w:t>
      </w:r>
      <w:r>
        <w:rPr>
          <w:color w:val="231F20"/>
          <w:spacing w:val="-25"/>
          <w:w w:val="105"/>
        </w:rPr>
        <w:t> </w:t>
      </w:r>
      <w:r>
        <w:rPr>
          <w:color w:val="231F20"/>
          <w:w w:val="105"/>
        </w:rPr>
        <w:t>políticamente,</w:t>
      </w:r>
      <w:r>
        <w:rPr>
          <w:color w:val="231F20"/>
          <w:spacing w:val="-31"/>
          <w:w w:val="105"/>
        </w:rPr>
        <w:t> </w:t>
      </w:r>
      <w:r>
        <w:rPr>
          <w:color w:val="231F20"/>
          <w:w w:val="105"/>
        </w:rPr>
        <w:t>lo</w:t>
      </w:r>
      <w:r>
        <w:rPr>
          <w:color w:val="231F20"/>
          <w:spacing w:val="-25"/>
          <w:w w:val="105"/>
        </w:rPr>
        <w:t> </w:t>
      </w:r>
      <w:r>
        <w:rPr>
          <w:color w:val="231F20"/>
          <w:w w:val="105"/>
        </w:rPr>
        <w:t>que</w:t>
      </w:r>
      <w:r>
        <w:rPr>
          <w:color w:val="231F20"/>
          <w:spacing w:val="-25"/>
          <w:w w:val="105"/>
        </w:rPr>
        <w:t> </w:t>
      </w:r>
      <w:r>
        <w:rPr>
          <w:color w:val="231F20"/>
          <w:w w:val="105"/>
        </w:rPr>
        <w:t>justifica</w:t>
      </w:r>
      <w:r>
        <w:rPr>
          <w:color w:val="231F20"/>
          <w:spacing w:val="-25"/>
          <w:w w:val="105"/>
        </w:rPr>
        <w:t> </w:t>
      </w:r>
      <w:r>
        <w:rPr>
          <w:color w:val="231F20"/>
          <w:w w:val="105"/>
        </w:rPr>
        <w:t>una</w:t>
      </w:r>
      <w:r>
        <w:rPr>
          <w:color w:val="231F20"/>
          <w:spacing w:val="-25"/>
          <w:w w:val="105"/>
        </w:rPr>
        <w:t> </w:t>
      </w:r>
      <w:r>
        <w:rPr>
          <w:color w:val="231F20"/>
          <w:w w:val="105"/>
        </w:rPr>
        <w:t>reflexión sobre</w:t>
      </w:r>
      <w:r>
        <w:rPr>
          <w:color w:val="231F20"/>
          <w:spacing w:val="-25"/>
          <w:w w:val="105"/>
        </w:rPr>
        <w:t> </w:t>
      </w:r>
      <w:r>
        <w:rPr>
          <w:color w:val="231F20"/>
          <w:w w:val="105"/>
        </w:rPr>
        <w:t>las</w:t>
      </w:r>
      <w:r>
        <w:rPr>
          <w:color w:val="231F20"/>
          <w:spacing w:val="-25"/>
          <w:w w:val="105"/>
        </w:rPr>
        <w:t> </w:t>
      </w:r>
      <w:r>
        <w:rPr>
          <w:color w:val="231F20"/>
          <w:w w:val="105"/>
        </w:rPr>
        <w:t>posibles</w:t>
      </w:r>
      <w:r>
        <w:rPr>
          <w:color w:val="231F20"/>
          <w:spacing w:val="-25"/>
          <w:w w:val="105"/>
        </w:rPr>
        <w:t> </w:t>
      </w:r>
      <w:r>
        <w:rPr>
          <w:color w:val="231F20"/>
          <w:w w:val="105"/>
        </w:rPr>
        <w:t>aportaciones</w:t>
      </w:r>
      <w:r>
        <w:rPr>
          <w:color w:val="231F20"/>
          <w:spacing w:val="-25"/>
          <w:w w:val="105"/>
        </w:rPr>
        <w:t> </w:t>
      </w:r>
      <w:r>
        <w:rPr>
          <w:color w:val="231F20"/>
          <w:w w:val="105"/>
        </w:rPr>
        <w:t>para</w:t>
      </w:r>
      <w:r>
        <w:rPr>
          <w:color w:val="231F20"/>
          <w:spacing w:val="-25"/>
          <w:w w:val="105"/>
        </w:rPr>
        <w:t> </w:t>
      </w:r>
      <w:r>
        <w:rPr>
          <w:color w:val="231F20"/>
          <w:w w:val="105"/>
        </w:rPr>
        <w:t>elevar</w:t>
      </w:r>
      <w:r>
        <w:rPr>
          <w:color w:val="231F20"/>
          <w:spacing w:val="-25"/>
          <w:w w:val="105"/>
        </w:rPr>
        <w:t> </w:t>
      </w:r>
      <w:r>
        <w:rPr>
          <w:color w:val="231F20"/>
          <w:w w:val="105"/>
        </w:rPr>
        <w:t>la</w:t>
      </w:r>
      <w:r>
        <w:rPr>
          <w:color w:val="231F20"/>
          <w:spacing w:val="-25"/>
          <w:w w:val="105"/>
        </w:rPr>
        <w:t> </w:t>
      </w:r>
      <w:r>
        <w:rPr>
          <w:color w:val="231F20"/>
          <w:w w:val="105"/>
        </w:rPr>
        <w:t>competitividad</w:t>
      </w:r>
      <w:r>
        <w:rPr>
          <w:color w:val="231F20"/>
          <w:spacing w:val="-25"/>
          <w:w w:val="105"/>
        </w:rPr>
        <w:t> </w:t>
      </w:r>
      <w:r>
        <w:rPr>
          <w:color w:val="231F20"/>
          <w:w w:val="105"/>
        </w:rPr>
        <w:t>a</w:t>
      </w:r>
      <w:r>
        <w:rPr>
          <w:color w:val="231F20"/>
          <w:spacing w:val="-25"/>
          <w:w w:val="105"/>
        </w:rPr>
        <w:t> </w:t>
      </w:r>
      <w:r>
        <w:rPr>
          <w:color w:val="231F20"/>
          <w:w w:val="105"/>
        </w:rPr>
        <w:t>través</w:t>
      </w:r>
      <w:r>
        <w:rPr>
          <w:color w:val="231F20"/>
          <w:spacing w:val="-25"/>
          <w:w w:val="105"/>
        </w:rPr>
        <w:t> </w:t>
      </w:r>
      <w:r>
        <w:rPr>
          <w:color w:val="231F20"/>
          <w:w w:val="105"/>
        </w:rPr>
        <w:t>del </w:t>
      </w:r>
      <w:r>
        <w:rPr>
          <w:color w:val="231F20"/>
        </w:rPr>
        <w:t>aprendizaje </w:t>
      </w:r>
      <w:r>
        <w:rPr>
          <w:color w:val="231F20"/>
          <w:spacing w:val="12"/>
        </w:rPr>
        <w:t> </w:t>
      </w:r>
      <w:r>
        <w:rPr>
          <w:color w:val="231F20"/>
        </w:rPr>
        <w:t>organizacional.</w:t>
      </w:r>
    </w:p>
    <w:p>
      <w:pPr>
        <w:pStyle w:val="BodyText"/>
        <w:spacing w:line="259" w:lineRule="auto"/>
        <w:ind w:left="117" w:right="121" w:firstLine="567"/>
        <w:jc w:val="both"/>
      </w:pPr>
      <w:r>
        <w:rPr>
          <w:color w:val="231F20"/>
          <w:w w:val="105"/>
        </w:rPr>
        <w:t>Hoy en día la competitividad de un municipio puede</w:t>
      </w:r>
      <w:r>
        <w:rPr>
          <w:color w:val="231F20"/>
          <w:spacing w:val="-26"/>
          <w:w w:val="105"/>
        </w:rPr>
        <w:t> </w:t>
      </w:r>
      <w:r>
        <w:rPr>
          <w:color w:val="231F20"/>
          <w:w w:val="105"/>
        </w:rPr>
        <w:t>considerarse a partir del grado de desarrollo alcanzado en sus organizaciones</w:t>
      </w:r>
      <w:r>
        <w:rPr>
          <w:color w:val="231F20"/>
          <w:spacing w:val="-18"/>
          <w:w w:val="105"/>
        </w:rPr>
        <w:t> </w:t>
      </w:r>
      <w:r>
        <w:rPr>
          <w:color w:val="231F20"/>
          <w:w w:val="105"/>
        </w:rPr>
        <w:t>públi- cas y privadas, en cuanto a su producción, desarrollo tecnológico y la calidad</w:t>
      </w:r>
      <w:r>
        <w:rPr>
          <w:color w:val="231F20"/>
          <w:spacing w:val="-17"/>
          <w:w w:val="105"/>
        </w:rPr>
        <w:t> </w:t>
      </w:r>
      <w:r>
        <w:rPr>
          <w:color w:val="231F20"/>
          <w:w w:val="105"/>
        </w:rPr>
        <w:t>de</w:t>
      </w:r>
      <w:r>
        <w:rPr>
          <w:color w:val="231F20"/>
          <w:spacing w:val="-17"/>
          <w:w w:val="105"/>
        </w:rPr>
        <w:t> </w:t>
      </w:r>
      <w:r>
        <w:rPr>
          <w:color w:val="231F20"/>
          <w:w w:val="105"/>
        </w:rPr>
        <w:t>vida</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habitantes.</w:t>
      </w:r>
    </w:p>
    <w:p>
      <w:pPr>
        <w:pStyle w:val="BodyText"/>
        <w:spacing w:line="259" w:lineRule="auto"/>
        <w:ind w:left="117" w:right="121" w:firstLine="567"/>
        <w:jc w:val="both"/>
      </w:pPr>
      <w:r>
        <w:rPr>
          <w:color w:val="231F20"/>
          <w:w w:val="105"/>
        </w:rPr>
        <w:t>La competitividad va de la mano con la innovación e información (Escorsa</w:t>
      </w:r>
      <w:r>
        <w:rPr>
          <w:color w:val="231F20"/>
          <w:spacing w:val="-38"/>
          <w:w w:val="105"/>
        </w:rPr>
        <w:t> </w:t>
      </w:r>
      <w:r>
        <w:rPr>
          <w:color w:val="231F20"/>
          <w:w w:val="105"/>
        </w:rPr>
        <w:t>y</w:t>
      </w:r>
      <w:r>
        <w:rPr>
          <w:color w:val="231F20"/>
          <w:spacing w:val="-38"/>
          <w:w w:val="105"/>
        </w:rPr>
        <w:t> </w:t>
      </w:r>
      <w:r>
        <w:rPr>
          <w:color w:val="231F20"/>
          <w:w w:val="105"/>
        </w:rPr>
        <w:t>Maspons,</w:t>
      </w:r>
      <w:r>
        <w:rPr>
          <w:color w:val="231F20"/>
          <w:spacing w:val="-41"/>
          <w:w w:val="105"/>
        </w:rPr>
        <w:t> </w:t>
      </w:r>
      <w:r>
        <w:rPr>
          <w:color w:val="231F20"/>
          <w:w w:val="105"/>
        </w:rPr>
        <w:t>2001).</w:t>
      </w:r>
      <w:r>
        <w:rPr>
          <w:color w:val="231F20"/>
          <w:spacing w:val="-41"/>
          <w:w w:val="105"/>
        </w:rPr>
        <w:t> </w:t>
      </w:r>
      <w:r>
        <w:rPr>
          <w:color w:val="231F20"/>
          <w:w w:val="105"/>
        </w:rPr>
        <w:t>La</w:t>
      </w:r>
      <w:r>
        <w:rPr>
          <w:color w:val="231F20"/>
          <w:spacing w:val="-38"/>
          <w:w w:val="105"/>
        </w:rPr>
        <w:t> </w:t>
      </w:r>
      <w:r>
        <w:rPr>
          <w:color w:val="231F20"/>
          <w:w w:val="105"/>
        </w:rPr>
        <w:t>innovación,</w:t>
      </w:r>
      <w:r>
        <w:rPr>
          <w:color w:val="231F20"/>
          <w:spacing w:val="-41"/>
          <w:w w:val="105"/>
        </w:rPr>
        <w:t> </w:t>
      </w:r>
      <w:r>
        <w:rPr>
          <w:color w:val="231F20"/>
          <w:w w:val="105"/>
        </w:rPr>
        <w:t>en</w:t>
      </w:r>
      <w:r>
        <w:rPr>
          <w:color w:val="231F20"/>
          <w:spacing w:val="-38"/>
          <w:w w:val="105"/>
        </w:rPr>
        <w:t> </w:t>
      </w:r>
      <w:r>
        <w:rPr>
          <w:color w:val="231F20"/>
          <w:w w:val="105"/>
        </w:rPr>
        <w:t>su</w:t>
      </w:r>
      <w:r>
        <w:rPr>
          <w:color w:val="231F20"/>
          <w:spacing w:val="-38"/>
          <w:w w:val="105"/>
        </w:rPr>
        <w:t> </w:t>
      </w:r>
      <w:r>
        <w:rPr>
          <w:color w:val="231F20"/>
          <w:w w:val="105"/>
        </w:rPr>
        <w:t>más</w:t>
      </w:r>
      <w:r>
        <w:rPr>
          <w:color w:val="231F20"/>
          <w:spacing w:val="-38"/>
          <w:w w:val="105"/>
        </w:rPr>
        <w:t> </w:t>
      </w:r>
      <w:r>
        <w:rPr>
          <w:color w:val="231F20"/>
          <w:w w:val="105"/>
        </w:rPr>
        <w:t>pura</w:t>
      </w:r>
      <w:r>
        <w:rPr>
          <w:color w:val="231F20"/>
          <w:spacing w:val="-38"/>
          <w:w w:val="105"/>
        </w:rPr>
        <w:t> </w:t>
      </w:r>
      <w:r>
        <w:rPr>
          <w:color w:val="231F20"/>
          <w:w w:val="105"/>
        </w:rPr>
        <w:t>concepción,</w:t>
      </w:r>
      <w:r>
        <w:rPr>
          <w:color w:val="231F20"/>
          <w:spacing w:val="-41"/>
          <w:w w:val="105"/>
        </w:rPr>
        <w:t> </w:t>
      </w:r>
      <w:r>
        <w:rPr>
          <w:color w:val="231F20"/>
          <w:w w:val="105"/>
        </w:rPr>
        <w:t>es un</w:t>
      </w:r>
      <w:r>
        <w:rPr>
          <w:color w:val="231F20"/>
          <w:spacing w:val="-16"/>
          <w:w w:val="105"/>
        </w:rPr>
        <w:t> </w:t>
      </w:r>
      <w:r>
        <w:rPr>
          <w:color w:val="231F20"/>
          <w:w w:val="105"/>
        </w:rPr>
        <w:t>proceso</w:t>
      </w:r>
      <w:r>
        <w:rPr>
          <w:color w:val="231F20"/>
          <w:spacing w:val="-16"/>
          <w:w w:val="105"/>
        </w:rPr>
        <w:t> </w:t>
      </w:r>
      <w:r>
        <w:rPr>
          <w:color w:val="231F20"/>
          <w:w w:val="105"/>
        </w:rPr>
        <w:t>informacional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cual</w:t>
      </w:r>
      <w:r>
        <w:rPr>
          <w:color w:val="231F20"/>
          <w:spacing w:val="-16"/>
          <w:w w:val="105"/>
        </w:rPr>
        <w:t> </w:t>
      </w:r>
      <w:r>
        <w:rPr>
          <w:color w:val="231F20"/>
          <w:w w:val="105"/>
        </w:rPr>
        <w:t>el</w:t>
      </w:r>
      <w:r>
        <w:rPr>
          <w:color w:val="231F20"/>
          <w:spacing w:val="-16"/>
          <w:w w:val="105"/>
        </w:rPr>
        <w:t> </w:t>
      </w:r>
      <w:r>
        <w:rPr>
          <w:color w:val="231F20"/>
          <w:w w:val="105"/>
        </w:rPr>
        <w:t>conocimiento</w:t>
      </w:r>
      <w:r>
        <w:rPr>
          <w:color w:val="231F20"/>
          <w:spacing w:val="-16"/>
          <w:w w:val="105"/>
        </w:rPr>
        <w:t> </w:t>
      </w:r>
      <w:r>
        <w:rPr>
          <w:color w:val="231F20"/>
          <w:w w:val="105"/>
        </w:rPr>
        <w:t>es</w:t>
      </w:r>
      <w:r>
        <w:rPr>
          <w:color w:val="231F20"/>
          <w:spacing w:val="-16"/>
          <w:w w:val="105"/>
        </w:rPr>
        <w:t> </w:t>
      </w:r>
      <w:r>
        <w:rPr>
          <w:color w:val="231F20"/>
          <w:w w:val="105"/>
        </w:rPr>
        <w:t>adquirido,</w:t>
      </w:r>
      <w:r>
        <w:rPr>
          <w:color w:val="231F20"/>
          <w:spacing w:val="-23"/>
          <w:w w:val="105"/>
        </w:rPr>
        <w:t> </w:t>
      </w:r>
      <w:r>
        <w:rPr>
          <w:color w:val="231F20"/>
          <w:w w:val="105"/>
        </w:rPr>
        <w:t>proce- sado</w:t>
      </w:r>
      <w:r>
        <w:rPr>
          <w:color w:val="231F20"/>
          <w:spacing w:val="-15"/>
          <w:w w:val="105"/>
        </w:rPr>
        <w:t> </w:t>
      </w:r>
      <w:r>
        <w:rPr>
          <w:color w:val="231F20"/>
          <w:w w:val="105"/>
        </w:rPr>
        <w:t>y</w:t>
      </w:r>
      <w:r>
        <w:rPr>
          <w:color w:val="231F20"/>
          <w:spacing w:val="-15"/>
          <w:w w:val="105"/>
        </w:rPr>
        <w:t> </w:t>
      </w:r>
      <w:r>
        <w:rPr>
          <w:color w:val="231F20"/>
          <w:w w:val="105"/>
        </w:rPr>
        <w:t>transferido.</w:t>
      </w:r>
      <w:r>
        <w:rPr>
          <w:color w:val="231F20"/>
          <w:spacing w:val="-21"/>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sociedad</w:t>
      </w:r>
      <w:r>
        <w:rPr>
          <w:color w:val="231F20"/>
          <w:spacing w:val="-15"/>
          <w:w w:val="105"/>
        </w:rPr>
        <w:t> </w:t>
      </w:r>
      <w:r>
        <w:rPr>
          <w:color w:val="231F20"/>
          <w:w w:val="105"/>
        </w:rPr>
        <w:t>del</w:t>
      </w:r>
      <w:r>
        <w:rPr>
          <w:color w:val="231F20"/>
          <w:spacing w:val="-15"/>
          <w:w w:val="105"/>
        </w:rPr>
        <w:t> </w:t>
      </w:r>
      <w:r>
        <w:rPr>
          <w:color w:val="231F20"/>
          <w:w w:val="105"/>
        </w:rPr>
        <w:t>conocimiento,</w:t>
      </w:r>
      <w:r>
        <w:rPr>
          <w:color w:val="231F20"/>
          <w:spacing w:val="-21"/>
          <w:w w:val="105"/>
        </w:rPr>
        <w:t> </w:t>
      </w:r>
      <w:r>
        <w:rPr>
          <w:color w:val="231F20"/>
          <w:w w:val="105"/>
        </w:rPr>
        <w:t>el</w:t>
      </w:r>
      <w:r>
        <w:rPr>
          <w:color w:val="231F20"/>
          <w:spacing w:val="-15"/>
          <w:w w:val="105"/>
        </w:rPr>
        <w:t> </w:t>
      </w:r>
      <w:r>
        <w:rPr>
          <w:color w:val="231F20"/>
          <w:w w:val="105"/>
        </w:rPr>
        <w:t>país</w:t>
      </w:r>
      <w:r>
        <w:rPr>
          <w:color w:val="231F20"/>
          <w:spacing w:val="-15"/>
          <w:w w:val="105"/>
        </w:rPr>
        <w:t> </w:t>
      </w:r>
      <w:r>
        <w:rPr>
          <w:color w:val="231F20"/>
          <w:w w:val="105"/>
        </w:rPr>
        <w:t>o</w:t>
      </w:r>
      <w:r>
        <w:rPr>
          <w:color w:val="231F20"/>
          <w:spacing w:val="-15"/>
          <w:w w:val="105"/>
        </w:rPr>
        <w:t> </w:t>
      </w:r>
      <w:r>
        <w:rPr>
          <w:color w:val="231F20"/>
          <w:w w:val="105"/>
        </w:rPr>
        <w:t>las</w:t>
      </w:r>
      <w:r>
        <w:rPr>
          <w:color w:val="231F20"/>
          <w:spacing w:val="-15"/>
          <w:w w:val="105"/>
        </w:rPr>
        <w:t> </w:t>
      </w:r>
      <w:r>
        <w:rPr>
          <w:color w:val="231F20"/>
          <w:w w:val="105"/>
        </w:rPr>
        <w:t>empre- sas</w:t>
      </w:r>
      <w:r>
        <w:rPr>
          <w:color w:val="231F20"/>
          <w:spacing w:val="-22"/>
          <w:w w:val="105"/>
        </w:rPr>
        <w:t> </w:t>
      </w:r>
      <w:r>
        <w:rPr>
          <w:color w:val="231F20"/>
          <w:w w:val="105"/>
        </w:rPr>
        <w:t>que</w:t>
      </w:r>
      <w:r>
        <w:rPr>
          <w:color w:val="231F20"/>
          <w:spacing w:val="-22"/>
          <w:w w:val="105"/>
        </w:rPr>
        <w:t> </w:t>
      </w:r>
      <w:r>
        <w:rPr>
          <w:color w:val="231F20"/>
          <w:w w:val="105"/>
        </w:rPr>
        <w:t>no</w:t>
      </w:r>
      <w:r>
        <w:rPr>
          <w:color w:val="231F20"/>
          <w:spacing w:val="-22"/>
          <w:w w:val="105"/>
        </w:rPr>
        <w:t> </w:t>
      </w:r>
      <w:r>
        <w:rPr>
          <w:color w:val="231F20"/>
          <w:w w:val="105"/>
        </w:rPr>
        <w:t>innoven,</w:t>
      </w:r>
      <w:r>
        <w:rPr>
          <w:color w:val="231F20"/>
          <w:spacing w:val="-28"/>
          <w:w w:val="105"/>
        </w:rPr>
        <w:t> </w:t>
      </w:r>
      <w:r>
        <w:rPr>
          <w:color w:val="231F20"/>
          <w:w w:val="105"/>
        </w:rPr>
        <w:t>serán</w:t>
      </w:r>
      <w:r>
        <w:rPr>
          <w:color w:val="231F20"/>
          <w:spacing w:val="-22"/>
          <w:w w:val="105"/>
        </w:rPr>
        <w:t> </w:t>
      </w:r>
      <w:r>
        <w:rPr>
          <w:color w:val="231F20"/>
          <w:w w:val="105"/>
        </w:rPr>
        <w:t>superados</w:t>
      </w:r>
      <w:r>
        <w:rPr>
          <w:color w:val="231F20"/>
          <w:spacing w:val="-22"/>
          <w:w w:val="105"/>
        </w:rPr>
        <w:t> </w:t>
      </w:r>
      <w:r>
        <w:rPr>
          <w:color w:val="231F20"/>
          <w:w w:val="105"/>
        </w:rPr>
        <w:t>por</w:t>
      </w:r>
      <w:r>
        <w:rPr>
          <w:color w:val="231F20"/>
          <w:spacing w:val="-22"/>
          <w:w w:val="105"/>
        </w:rPr>
        <w:t> </w:t>
      </w:r>
      <w:r>
        <w:rPr>
          <w:color w:val="231F20"/>
          <w:w w:val="105"/>
        </w:rPr>
        <w:t>sus</w:t>
      </w:r>
      <w:r>
        <w:rPr>
          <w:color w:val="231F20"/>
          <w:spacing w:val="-22"/>
          <w:w w:val="105"/>
        </w:rPr>
        <w:t> </w:t>
      </w:r>
      <w:r>
        <w:rPr>
          <w:color w:val="231F20"/>
          <w:w w:val="105"/>
        </w:rPr>
        <w:t>competidores.</w:t>
      </w:r>
    </w:p>
    <w:p>
      <w:pPr>
        <w:pStyle w:val="BodyText"/>
        <w:spacing w:line="259" w:lineRule="auto"/>
        <w:ind w:left="117" w:right="97" w:firstLine="567"/>
      </w:pPr>
      <w:r>
        <w:rPr>
          <w:color w:val="231F20"/>
          <w:w w:val="105"/>
        </w:rPr>
        <w:t>En la actualidad las organizaciones contienden en los mercados locales con empresas de todo el mundo y sus ventas están en función, ya</w:t>
      </w:r>
      <w:r>
        <w:rPr>
          <w:color w:val="231F20"/>
          <w:spacing w:val="-15"/>
          <w:w w:val="105"/>
        </w:rPr>
        <w:t> </w:t>
      </w:r>
      <w:r>
        <w:rPr>
          <w:color w:val="231F20"/>
          <w:w w:val="105"/>
        </w:rPr>
        <w:t>no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decisiones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productores</w:t>
      </w:r>
      <w:r>
        <w:rPr>
          <w:color w:val="231F20"/>
          <w:spacing w:val="-15"/>
          <w:w w:val="105"/>
        </w:rPr>
        <w:t> </w:t>
      </w:r>
      <w:r>
        <w:rPr>
          <w:color w:val="231F20"/>
          <w:w w:val="105"/>
        </w:rPr>
        <w:t>de</w:t>
      </w:r>
      <w:r>
        <w:rPr>
          <w:color w:val="231F20"/>
          <w:spacing w:val="-15"/>
          <w:w w:val="105"/>
        </w:rPr>
        <w:t> </w:t>
      </w:r>
      <w:r>
        <w:rPr>
          <w:color w:val="231F20"/>
          <w:w w:val="105"/>
        </w:rPr>
        <w:t>bienes</w:t>
      </w:r>
      <w:r>
        <w:rPr>
          <w:color w:val="231F20"/>
          <w:spacing w:val="-15"/>
          <w:w w:val="105"/>
        </w:rPr>
        <w:t> </w:t>
      </w:r>
      <w:r>
        <w:rPr>
          <w:color w:val="231F20"/>
          <w:w w:val="105"/>
        </w:rPr>
        <w:t>y</w:t>
      </w:r>
      <w:r>
        <w:rPr>
          <w:color w:val="231F20"/>
          <w:spacing w:val="-15"/>
          <w:w w:val="105"/>
        </w:rPr>
        <w:t> </w:t>
      </w:r>
      <w:r>
        <w:rPr>
          <w:color w:val="231F20"/>
          <w:w w:val="105"/>
        </w:rPr>
        <w:t>servicios,</w:t>
      </w:r>
      <w:r>
        <w:rPr>
          <w:color w:val="231F20"/>
          <w:spacing w:val="-21"/>
          <w:w w:val="105"/>
        </w:rPr>
        <w:t> </w:t>
      </w:r>
      <w:r>
        <w:rPr>
          <w:color w:val="231F20"/>
          <w:w w:val="105"/>
        </w:rPr>
        <w:t>sino</w:t>
      </w:r>
      <w:r>
        <w:rPr>
          <w:color w:val="231F20"/>
          <w:spacing w:val="-15"/>
          <w:w w:val="105"/>
        </w:rPr>
        <w:t> </w:t>
      </w:r>
      <w:r>
        <w:rPr>
          <w:color w:val="231F20"/>
          <w:w w:val="105"/>
        </w:rPr>
        <w:t>de lo que demanden los consumidores finales, quienes además de exigir bienes</w:t>
      </w:r>
      <w:r>
        <w:rPr>
          <w:color w:val="231F20"/>
          <w:spacing w:val="-19"/>
          <w:w w:val="105"/>
        </w:rPr>
        <w:t> </w:t>
      </w:r>
      <w:r>
        <w:rPr>
          <w:color w:val="231F20"/>
          <w:w w:val="105"/>
        </w:rPr>
        <w:t>y</w:t>
      </w:r>
      <w:r>
        <w:rPr>
          <w:color w:val="231F20"/>
          <w:spacing w:val="-19"/>
          <w:w w:val="105"/>
        </w:rPr>
        <w:t> </w:t>
      </w:r>
      <w:r>
        <w:rPr>
          <w:color w:val="231F20"/>
          <w:w w:val="105"/>
        </w:rPr>
        <w:t>servicios</w:t>
      </w:r>
      <w:r>
        <w:rPr>
          <w:color w:val="231F20"/>
          <w:spacing w:val="-19"/>
          <w:w w:val="105"/>
        </w:rPr>
        <w:t> </w:t>
      </w:r>
      <w:r>
        <w:rPr>
          <w:color w:val="231F20"/>
          <w:w w:val="105"/>
        </w:rPr>
        <w:t>a</w:t>
      </w:r>
      <w:r>
        <w:rPr>
          <w:color w:val="231F20"/>
          <w:spacing w:val="-19"/>
          <w:w w:val="105"/>
        </w:rPr>
        <w:t> </w:t>
      </w:r>
      <w:r>
        <w:rPr>
          <w:color w:val="231F20"/>
          <w:w w:val="105"/>
        </w:rPr>
        <w:t>precios</w:t>
      </w:r>
      <w:r>
        <w:rPr>
          <w:color w:val="231F20"/>
          <w:spacing w:val="-19"/>
          <w:w w:val="105"/>
        </w:rPr>
        <w:t> </w:t>
      </w:r>
      <w:r>
        <w:rPr>
          <w:color w:val="231F20"/>
          <w:w w:val="105"/>
        </w:rPr>
        <w:t>bajos,</w:t>
      </w:r>
      <w:r>
        <w:rPr>
          <w:color w:val="231F20"/>
          <w:spacing w:val="-24"/>
          <w:w w:val="105"/>
        </w:rPr>
        <w:t> </w:t>
      </w:r>
      <w:r>
        <w:rPr>
          <w:color w:val="231F20"/>
          <w:w w:val="105"/>
        </w:rPr>
        <w:t>se</w:t>
      </w:r>
      <w:r>
        <w:rPr>
          <w:color w:val="231F20"/>
          <w:spacing w:val="-19"/>
          <w:w w:val="105"/>
        </w:rPr>
        <w:t> </w:t>
      </w:r>
      <w:r>
        <w:rPr>
          <w:color w:val="231F20"/>
          <w:w w:val="105"/>
        </w:rPr>
        <w:t>inclinan</w:t>
      </w:r>
      <w:r>
        <w:rPr>
          <w:color w:val="231F20"/>
          <w:spacing w:val="-19"/>
          <w:w w:val="105"/>
        </w:rPr>
        <w:t> </w:t>
      </w:r>
      <w:r>
        <w:rPr>
          <w:color w:val="231F20"/>
          <w:w w:val="105"/>
        </w:rPr>
        <w:t>por</w:t>
      </w:r>
      <w:r>
        <w:rPr>
          <w:color w:val="231F20"/>
          <w:spacing w:val="-19"/>
          <w:w w:val="105"/>
        </w:rPr>
        <w:t> </w:t>
      </w:r>
      <w:r>
        <w:rPr>
          <w:color w:val="231F20"/>
          <w:w w:val="105"/>
        </w:rPr>
        <w:t>consumir</w:t>
      </w:r>
      <w:r>
        <w:rPr>
          <w:color w:val="231F20"/>
          <w:spacing w:val="-19"/>
          <w:w w:val="105"/>
        </w:rPr>
        <w:t> </w:t>
      </w:r>
      <w:r>
        <w:rPr>
          <w:color w:val="231F20"/>
          <w:w w:val="105"/>
        </w:rPr>
        <w:t>productos</w:t>
      </w:r>
      <w:r>
        <w:rPr>
          <w:color w:val="231F20"/>
          <w:spacing w:val="-19"/>
          <w:w w:val="105"/>
        </w:rPr>
        <w:t> </w:t>
      </w:r>
      <w:r>
        <w:rPr>
          <w:color w:val="231F20"/>
          <w:w w:val="105"/>
        </w:rPr>
        <w:t>de buen</w:t>
      </w:r>
      <w:r>
        <w:rPr>
          <w:color w:val="231F20"/>
          <w:spacing w:val="-30"/>
          <w:w w:val="105"/>
        </w:rPr>
        <w:t> </w:t>
      </w:r>
      <w:r>
        <w:rPr>
          <w:color w:val="231F20"/>
          <w:w w:val="105"/>
        </w:rPr>
        <w:t>precio</w:t>
      </w:r>
      <w:r>
        <w:rPr>
          <w:color w:val="231F20"/>
          <w:spacing w:val="-30"/>
          <w:w w:val="105"/>
        </w:rPr>
        <w:t> </w:t>
      </w:r>
      <w:r>
        <w:rPr>
          <w:color w:val="231F20"/>
          <w:w w:val="105"/>
        </w:rPr>
        <w:t>(Villarreal</w:t>
      </w:r>
      <w:r>
        <w:rPr>
          <w:color w:val="231F20"/>
          <w:spacing w:val="-30"/>
          <w:w w:val="105"/>
        </w:rPr>
        <w:t> </w:t>
      </w:r>
      <w:r>
        <w:rPr>
          <w:color w:val="231F20"/>
          <w:w w:val="105"/>
        </w:rPr>
        <w:t>2007).</w:t>
      </w:r>
      <w:r>
        <w:rPr>
          <w:color w:val="231F20"/>
          <w:spacing w:val="-35"/>
          <w:w w:val="105"/>
        </w:rPr>
        <w:t> </w:t>
      </w:r>
      <w:r>
        <w:rPr>
          <w:color w:val="231F20"/>
          <w:w w:val="105"/>
        </w:rPr>
        <w:t>El</w:t>
      </w:r>
      <w:r>
        <w:rPr>
          <w:color w:val="231F20"/>
          <w:spacing w:val="-30"/>
          <w:w w:val="105"/>
        </w:rPr>
        <w:t> </w:t>
      </w:r>
      <w:r>
        <w:rPr>
          <w:color w:val="231F20"/>
          <w:w w:val="105"/>
        </w:rPr>
        <w:t>contar</w:t>
      </w:r>
      <w:r>
        <w:rPr>
          <w:color w:val="231F20"/>
          <w:spacing w:val="-30"/>
          <w:w w:val="105"/>
        </w:rPr>
        <w:t> </w:t>
      </w:r>
      <w:r>
        <w:rPr>
          <w:color w:val="231F20"/>
          <w:w w:val="105"/>
        </w:rPr>
        <w:t>con</w:t>
      </w:r>
      <w:r>
        <w:rPr>
          <w:color w:val="231F20"/>
          <w:spacing w:val="-30"/>
          <w:w w:val="105"/>
        </w:rPr>
        <w:t> </w:t>
      </w:r>
      <w:r>
        <w:rPr>
          <w:color w:val="231F20"/>
          <w:w w:val="105"/>
        </w:rPr>
        <w:t>servicios</w:t>
      </w:r>
      <w:r>
        <w:rPr>
          <w:color w:val="231F20"/>
          <w:spacing w:val="-30"/>
          <w:w w:val="105"/>
        </w:rPr>
        <w:t> </w:t>
      </w:r>
      <w:r>
        <w:rPr>
          <w:color w:val="231F20"/>
          <w:w w:val="105"/>
        </w:rPr>
        <w:t>eficientes</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admi- nistración</w:t>
      </w:r>
      <w:r>
        <w:rPr>
          <w:color w:val="231F20"/>
          <w:spacing w:val="-17"/>
          <w:w w:val="105"/>
        </w:rPr>
        <w:t> </w:t>
      </w:r>
      <w:r>
        <w:rPr>
          <w:color w:val="231F20"/>
          <w:w w:val="105"/>
        </w:rPr>
        <w:t>municipal</w:t>
      </w:r>
      <w:r>
        <w:rPr>
          <w:color w:val="231F20"/>
          <w:spacing w:val="-17"/>
          <w:w w:val="105"/>
        </w:rPr>
        <w:t> </w:t>
      </w:r>
      <w:r>
        <w:rPr>
          <w:color w:val="231F20"/>
          <w:w w:val="105"/>
        </w:rPr>
        <w:t>coadyuvará</w:t>
      </w:r>
      <w:r>
        <w:rPr>
          <w:color w:val="231F20"/>
          <w:spacing w:val="-17"/>
          <w:w w:val="105"/>
        </w:rPr>
        <w:t> </w:t>
      </w:r>
      <w:r>
        <w:rPr>
          <w:color w:val="231F20"/>
          <w:w w:val="105"/>
        </w:rPr>
        <w:t>a</w:t>
      </w:r>
      <w:r>
        <w:rPr>
          <w:color w:val="231F20"/>
          <w:spacing w:val="-17"/>
          <w:w w:val="105"/>
        </w:rPr>
        <w:t> </w:t>
      </w:r>
      <w:r>
        <w:rPr>
          <w:color w:val="231F20"/>
          <w:w w:val="105"/>
        </w:rPr>
        <w:t>enfrentar</w:t>
      </w:r>
      <w:r>
        <w:rPr>
          <w:color w:val="231F20"/>
          <w:spacing w:val="-17"/>
          <w:w w:val="105"/>
        </w:rPr>
        <w:t> </w:t>
      </w:r>
      <w:r>
        <w:rPr>
          <w:color w:val="231F20"/>
          <w:w w:val="105"/>
        </w:rPr>
        <w:t>este</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competencia. La</w:t>
      </w:r>
      <w:r>
        <w:rPr>
          <w:color w:val="231F20"/>
          <w:spacing w:val="-21"/>
          <w:w w:val="105"/>
        </w:rPr>
        <w:t> </w:t>
      </w:r>
      <w:r>
        <w:rPr>
          <w:color w:val="231F20"/>
          <w:w w:val="105"/>
        </w:rPr>
        <w:t>información</w:t>
      </w:r>
      <w:r>
        <w:rPr>
          <w:color w:val="231F20"/>
          <w:spacing w:val="-21"/>
          <w:w w:val="105"/>
        </w:rPr>
        <w:t> </w:t>
      </w:r>
      <w:r>
        <w:rPr>
          <w:color w:val="231F20"/>
          <w:w w:val="105"/>
        </w:rPr>
        <w:t>es</w:t>
      </w:r>
      <w:r>
        <w:rPr>
          <w:color w:val="231F20"/>
          <w:spacing w:val="-21"/>
          <w:w w:val="105"/>
        </w:rPr>
        <w:t> </w:t>
      </w:r>
      <w:r>
        <w:rPr>
          <w:color w:val="231F20"/>
          <w:w w:val="105"/>
        </w:rPr>
        <w:t>un</w:t>
      </w:r>
      <w:r>
        <w:rPr>
          <w:color w:val="231F20"/>
          <w:spacing w:val="-21"/>
          <w:w w:val="105"/>
        </w:rPr>
        <w:t> </w:t>
      </w:r>
      <w:r>
        <w:rPr>
          <w:color w:val="231F20"/>
          <w:w w:val="105"/>
        </w:rPr>
        <w:t>ángulo</w:t>
      </w:r>
      <w:r>
        <w:rPr>
          <w:color w:val="231F20"/>
          <w:spacing w:val="-21"/>
          <w:w w:val="105"/>
        </w:rPr>
        <w:t> </w:t>
      </w:r>
      <w:r>
        <w:rPr>
          <w:color w:val="231F20"/>
          <w:w w:val="105"/>
        </w:rPr>
        <w:t>a</w:t>
      </w:r>
      <w:r>
        <w:rPr>
          <w:color w:val="231F20"/>
          <w:spacing w:val="-21"/>
          <w:w w:val="105"/>
        </w:rPr>
        <w:t> </w:t>
      </w:r>
      <w:r>
        <w:rPr>
          <w:color w:val="231F20"/>
          <w:w w:val="105"/>
        </w:rPr>
        <w:t>partir</w:t>
      </w:r>
      <w:r>
        <w:rPr>
          <w:color w:val="231F20"/>
          <w:spacing w:val="-21"/>
          <w:w w:val="105"/>
        </w:rPr>
        <w:t> </w:t>
      </w:r>
      <w:r>
        <w:rPr>
          <w:color w:val="231F20"/>
          <w:w w:val="105"/>
        </w:rPr>
        <w:t>del</w:t>
      </w:r>
      <w:r>
        <w:rPr>
          <w:color w:val="231F20"/>
          <w:spacing w:val="-21"/>
          <w:w w:val="105"/>
        </w:rPr>
        <w:t> </w:t>
      </w:r>
      <w:r>
        <w:rPr>
          <w:color w:val="231F20"/>
          <w:w w:val="105"/>
        </w:rPr>
        <w:t>cual</w:t>
      </w:r>
      <w:r>
        <w:rPr>
          <w:color w:val="231F20"/>
          <w:spacing w:val="-21"/>
          <w:w w:val="105"/>
        </w:rPr>
        <w:t> </w:t>
      </w:r>
      <w:r>
        <w:rPr>
          <w:color w:val="231F20"/>
          <w:w w:val="105"/>
        </w:rPr>
        <w:t>puede</w:t>
      </w:r>
      <w:r>
        <w:rPr>
          <w:color w:val="231F20"/>
          <w:spacing w:val="-21"/>
          <w:w w:val="105"/>
        </w:rPr>
        <w:t> </w:t>
      </w:r>
      <w:r>
        <w:rPr>
          <w:color w:val="231F20"/>
          <w:w w:val="105"/>
        </w:rPr>
        <w:t>explorarse</w:t>
      </w:r>
      <w:r>
        <w:rPr>
          <w:color w:val="231F20"/>
          <w:spacing w:val="-21"/>
          <w:w w:val="105"/>
        </w:rPr>
        <w:t> </w:t>
      </w:r>
      <w:r>
        <w:rPr>
          <w:color w:val="231F20"/>
          <w:w w:val="105"/>
        </w:rPr>
        <w:t>la</w:t>
      </w:r>
      <w:r>
        <w:rPr>
          <w:color w:val="231F20"/>
          <w:spacing w:val="-21"/>
          <w:w w:val="105"/>
        </w:rPr>
        <w:t> </w:t>
      </w:r>
      <w:r>
        <w:rPr>
          <w:color w:val="231F20"/>
          <w:w w:val="105"/>
        </w:rPr>
        <w:t>idea</w:t>
      </w:r>
      <w:r>
        <w:rPr>
          <w:color w:val="231F20"/>
          <w:spacing w:val="-21"/>
          <w:w w:val="105"/>
        </w:rPr>
        <w:t> </w:t>
      </w:r>
      <w:r>
        <w:rPr>
          <w:color w:val="231F20"/>
          <w:w w:val="105"/>
        </w:rPr>
        <w:t>del aprendizaje organizacional como herramienta impulsora de la competi- tividad</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municipios.</w:t>
      </w:r>
      <w:r>
        <w:rPr>
          <w:color w:val="231F20"/>
          <w:spacing w:val="-18"/>
          <w:w w:val="105"/>
        </w:rPr>
        <w:t> </w:t>
      </w:r>
      <w:r>
        <w:rPr>
          <w:color w:val="231F20"/>
          <w:w w:val="105"/>
        </w:rPr>
        <w:t>Huber</w:t>
      </w:r>
      <w:r>
        <w:rPr>
          <w:color w:val="231F20"/>
          <w:spacing w:val="-12"/>
          <w:w w:val="105"/>
        </w:rPr>
        <w:t> </w:t>
      </w:r>
      <w:r>
        <w:rPr>
          <w:color w:val="231F20"/>
          <w:w w:val="105"/>
        </w:rPr>
        <w:t>(1991)</w:t>
      </w:r>
      <w:r>
        <w:rPr>
          <w:color w:val="231F20"/>
          <w:spacing w:val="-12"/>
          <w:w w:val="105"/>
        </w:rPr>
        <w:t> </w:t>
      </w:r>
      <w:r>
        <w:rPr>
          <w:color w:val="231F20"/>
          <w:w w:val="105"/>
        </w:rPr>
        <w:t>y</w:t>
      </w:r>
      <w:r>
        <w:rPr>
          <w:color w:val="231F20"/>
          <w:spacing w:val="-12"/>
          <w:w w:val="105"/>
        </w:rPr>
        <w:t> </w:t>
      </w:r>
      <w:r>
        <w:rPr>
          <w:color w:val="231F20"/>
          <w:spacing w:val="-3"/>
          <w:w w:val="105"/>
        </w:rPr>
        <w:t>Probst</w:t>
      </w:r>
      <w:r>
        <w:rPr>
          <w:color w:val="231F20"/>
          <w:spacing w:val="-12"/>
          <w:w w:val="105"/>
        </w:rPr>
        <w:t> </w:t>
      </w:r>
      <w:r>
        <w:rPr>
          <w:i/>
          <w:color w:val="231F20"/>
          <w:w w:val="105"/>
        </w:rPr>
        <w:t>et</w:t>
      </w:r>
      <w:r>
        <w:rPr>
          <w:i/>
          <w:color w:val="231F20"/>
          <w:spacing w:val="-12"/>
          <w:w w:val="105"/>
        </w:rPr>
        <w:t> </w:t>
      </w:r>
      <w:r>
        <w:rPr>
          <w:i/>
          <w:color w:val="231F20"/>
          <w:w w:val="105"/>
        </w:rPr>
        <w:t>al</w:t>
      </w:r>
      <w:r>
        <w:rPr>
          <w:i/>
          <w:color w:val="231F20"/>
          <w:spacing w:val="-12"/>
          <w:w w:val="105"/>
        </w:rPr>
        <w:t> </w:t>
      </w:r>
      <w:r>
        <w:rPr>
          <w:color w:val="231F20"/>
          <w:w w:val="105"/>
        </w:rPr>
        <w:t>(2001)</w:t>
      </w:r>
      <w:r>
        <w:rPr>
          <w:color w:val="231F20"/>
          <w:spacing w:val="-12"/>
          <w:w w:val="105"/>
        </w:rPr>
        <w:t> </w:t>
      </w:r>
      <w:r>
        <w:rPr>
          <w:color w:val="231F20"/>
          <w:w w:val="105"/>
        </w:rPr>
        <w:t>hacen</w:t>
      </w:r>
      <w:r>
        <w:rPr>
          <w:color w:val="231F20"/>
          <w:spacing w:val="-12"/>
          <w:w w:val="105"/>
        </w:rPr>
        <w:t> </w:t>
      </w:r>
      <w:r>
        <w:rPr>
          <w:color w:val="231F20"/>
          <w:w w:val="105"/>
        </w:rPr>
        <w:t>énfa- sis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trascendencia</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5"/>
          <w:w w:val="105"/>
        </w:rPr>
        <w:t> </w:t>
      </w:r>
      <w:r>
        <w:rPr>
          <w:color w:val="231F20"/>
          <w:w w:val="105"/>
        </w:rPr>
        <w:t>TICs</w:t>
      </w:r>
      <w:r>
        <w:rPr>
          <w:color w:val="231F20"/>
          <w:spacing w:val="-11"/>
          <w:w w:val="105"/>
        </w:rPr>
        <w:t> </w:t>
      </w:r>
      <w:r>
        <w:rPr>
          <w:color w:val="231F20"/>
          <w:w w:val="105"/>
        </w:rPr>
        <w:t>tienen</w:t>
      </w:r>
      <w:r>
        <w:rPr>
          <w:color w:val="231F20"/>
          <w:spacing w:val="-11"/>
          <w:w w:val="105"/>
        </w:rPr>
        <w:t> </w:t>
      </w:r>
      <w:r>
        <w:rPr>
          <w:color w:val="231F20"/>
          <w:w w:val="105"/>
        </w:rPr>
        <w:t>para</w:t>
      </w:r>
      <w:r>
        <w:rPr>
          <w:color w:val="231F20"/>
          <w:spacing w:val="-11"/>
          <w:w w:val="105"/>
        </w:rPr>
        <w:t> </w:t>
      </w:r>
      <w:r>
        <w:rPr>
          <w:color w:val="231F20"/>
          <w:w w:val="105"/>
        </w:rPr>
        <w:t>cualquier</w:t>
      </w:r>
      <w:r>
        <w:rPr>
          <w:color w:val="231F20"/>
          <w:spacing w:val="-11"/>
          <w:w w:val="105"/>
        </w:rPr>
        <w:t> </w:t>
      </w:r>
      <w:r>
        <w:rPr>
          <w:color w:val="231F20"/>
          <w:w w:val="105"/>
        </w:rPr>
        <w:t>organización, mientras</w:t>
      </w:r>
      <w:r>
        <w:rPr>
          <w:color w:val="231F20"/>
          <w:spacing w:val="-5"/>
          <w:w w:val="105"/>
        </w:rPr>
        <w:t> </w:t>
      </w:r>
      <w:r>
        <w:rPr>
          <w:color w:val="231F20"/>
          <w:w w:val="105"/>
        </w:rPr>
        <w:t>que</w:t>
      </w:r>
      <w:r>
        <w:rPr>
          <w:color w:val="231F20"/>
          <w:spacing w:val="-7"/>
          <w:w w:val="105"/>
        </w:rPr>
        <w:t> </w:t>
      </w:r>
      <w:r>
        <w:rPr>
          <w:color w:val="231F20"/>
          <w:w w:val="105"/>
        </w:rPr>
        <w:t>Janson</w:t>
      </w:r>
      <w:r>
        <w:rPr>
          <w:color w:val="231F20"/>
          <w:spacing w:val="-5"/>
          <w:w w:val="105"/>
        </w:rPr>
        <w:t> </w:t>
      </w:r>
      <w:r>
        <w:rPr>
          <w:color w:val="231F20"/>
          <w:w w:val="105"/>
        </w:rPr>
        <w:t>et.al</w:t>
      </w:r>
      <w:r>
        <w:rPr>
          <w:color w:val="231F20"/>
          <w:spacing w:val="-5"/>
          <w:w w:val="105"/>
        </w:rPr>
        <w:t> </w:t>
      </w:r>
      <w:r>
        <w:rPr>
          <w:color w:val="231F20"/>
          <w:w w:val="105"/>
        </w:rPr>
        <w:t>(2007)</w:t>
      </w:r>
      <w:r>
        <w:rPr>
          <w:color w:val="231F20"/>
          <w:spacing w:val="-5"/>
          <w:w w:val="105"/>
        </w:rPr>
        <w:t> </w:t>
      </w:r>
      <w:r>
        <w:rPr>
          <w:color w:val="231F20"/>
          <w:w w:val="105"/>
        </w:rPr>
        <w:t>señalan</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tecnología</w:t>
      </w:r>
      <w:r>
        <w:rPr>
          <w:color w:val="231F20"/>
          <w:spacing w:val="-5"/>
          <w:w w:val="105"/>
        </w:rPr>
        <w:t> </w:t>
      </w:r>
      <w:r>
        <w:rPr>
          <w:color w:val="231F20"/>
          <w:w w:val="105"/>
        </w:rPr>
        <w:t>es</w:t>
      </w:r>
      <w:r>
        <w:rPr>
          <w:color w:val="231F20"/>
          <w:spacing w:val="-5"/>
          <w:w w:val="105"/>
        </w:rPr>
        <w:t> </w:t>
      </w:r>
      <w:r>
        <w:rPr>
          <w:color w:val="231F20"/>
          <w:w w:val="105"/>
        </w:rPr>
        <w:t>esencial para</w:t>
      </w:r>
      <w:r>
        <w:rPr>
          <w:color w:val="231F20"/>
          <w:spacing w:val="-12"/>
          <w:w w:val="105"/>
        </w:rPr>
        <w:t> </w:t>
      </w:r>
      <w:r>
        <w:rPr>
          <w:color w:val="231F20"/>
          <w:w w:val="105"/>
        </w:rPr>
        <w:t>el</w:t>
      </w:r>
      <w:r>
        <w:rPr>
          <w:color w:val="231F20"/>
          <w:spacing w:val="-12"/>
          <w:w w:val="105"/>
        </w:rPr>
        <w:t> </w:t>
      </w:r>
      <w:r>
        <w:rPr>
          <w:color w:val="231F20"/>
          <w:w w:val="105"/>
        </w:rPr>
        <w:t>éxito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procesos</w:t>
      </w:r>
      <w:r>
        <w:rPr>
          <w:color w:val="231F20"/>
          <w:spacing w:val="-12"/>
          <w:w w:val="105"/>
        </w:rPr>
        <w:t> </w:t>
      </w:r>
      <w:r>
        <w:rPr>
          <w:color w:val="231F20"/>
          <w:w w:val="105"/>
        </w:rPr>
        <w:t>de</w:t>
      </w:r>
      <w:r>
        <w:rPr>
          <w:color w:val="231F20"/>
          <w:spacing w:val="-12"/>
          <w:w w:val="105"/>
        </w:rPr>
        <w:t> </w:t>
      </w:r>
      <w:r>
        <w:rPr>
          <w:color w:val="231F20"/>
          <w:w w:val="105"/>
        </w:rPr>
        <w:t>administración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información.</w:t>
      </w:r>
    </w:p>
    <w:p>
      <w:pPr>
        <w:spacing w:after="0" w:line="259" w:lineRule="auto"/>
        <w:sectPr>
          <w:pgSz w:w="9640" w:h="13890"/>
          <w:pgMar w:top="0" w:bottom="280" w:left="1300" w:right="1180"/>
        </w:sectPr>
      </w:pPr>
    </w:p>
    <w:p>
      <w:pPr>
        <w:pStyle w:val="BodyText"/>
        <w:spacing w:line="259" w:lineRule="auto" w:before="120"/>
        <w:ind w:left="103" w:right="114"/>
        <w:jc w:val="both"/>
      </w:pPr>
      <w:r>
        <w:rPr>
          <w:color w:val="231F20"/>
          <w:spacing w:val="-5"/>
          <w:w w:val="105"/>
        </w:rPr>
        <w:t>Tanto </w:t>
      </w:r>
      <w:r>
        <w:rPr>
          <w:color w:val="231F20"/>
          <w:w w:val="105"/>
        </w:rPr>
        <w:t>el uso sistemático y organizado de información, como la evalua- ción</w:t>
      </w:r>
      <w:r>
        <w:rPr>
          <w:color w:val="231F20"/>
          <w:spacing w:val="-23"/>
          <w:w w:val="105"/>
        </w:rPr>
        <w:t> </w:t>
      </w:r>
      <w:r>
        <w:rPr>
          <w:color w:val="231F20"/>
          <w:w w:val="105"/>
        </w:rPr>
        <w:t>del</w:t>
      </w:r>
      <w:r>
        <w:rPr>
          <w:color w:val="231F20"/>
          <w:spacing w:val="-23"/>
          <w:w w:val="105"/>
        </w:rPr>
        <w:t> </w:t>
      </w:r>
      <w:r>
        <w:rPr>
          <w:color w:val="231F20"/>
          <w:w w:val="105"/>
        </w:rPr>
        <w:t>impacto</w:t>
      </w:r>
      <w:r>
        <w:rPr>
          <w:color w:val="231F20"/>
          <w:spacing w:val="-23"/>
          <w:w w:val="105"/>
        </w:rPr>
        <w:t> </w:t>
      </w:r>
      <w:r>
        <w:rPr>
          <w:color w:val="231F20"/>
          <w:w w:val="105"/>
        </w:rPr>
        <w:t>en</w:t>
      </w:r>
      <w:r>
        <w:rPr>
          <w:color w:val="231F20"/>
          <w:spacing w:val="-23"/>
          <w:w w:val="105"/>
        </w:rPr>
        <w:t> </w:t>
      </w:r>
      <w:r>
        <w:rPr>
          <w:color w:val="231F20"/>
          <w:w w:val="105"/>
        </w:rPr>
        <w:t>sus</w:t>
      </w:r>
      <w:r>
        <w:rPr>
          <w:color w:val="231F20"/>
          <w:spacing w:val="-23"/>
          <w:w w:val="105"/>
        </w:rPr>
        <w:t> </w:t>
      </w:r>
      <w:r>
        <w:rPr>
          <w:color w:val="231F20"/>
          <w:w w:val="105"/>
        </w:rPr>
        <w:t>acciones</w:t>
      </w:r>
      <w:r>
        <w:rPr>
          <w:color w:val="231F20"/>
          <w:spacing w:val="-23"/>
          <w:w w:val="105"/>
        </w:rPr>
        <w:t> </w:t>
      </w:r>
      <w:r>
        <w:rPr>
          <w:color w:val="231F20"/>
          <w:w w:val="105"/>
        </w:rPr>
        <w:t>(errores</w:t>
      </w:r>
      <w:r>
        <w:rPr>
          <w:color w:val="231F20"/>
          <w:spacing w:val="-23"/>
          <w:w w:val="105"/>
        </w:rPr>
        <w:t> </w:t>
      </w:r>
      <w:r>
        <w:rPr>
          <w:color w:val="231F20"/>
          <w:w w:val="105"/>
        </w:rPr>
        <w:t>o</w:t>
      </w:r>
      <w:r>
        <w:rPr>
          <w:color w:val="231F20"/>
          <w:spacing w:val="-23"/>
          <w:w w:val="105"/>
        </w:rPr>
        <w:t> </w:t>
      </w:r>
      <w:r>
        <w:rPr>
          <w:color w:val="231F20"/>
          <w:w w:val="105"/>
        </w:rPr>
        <w:t>aciertos)</w:t>
      </w:r>
      <w:r>
        <w:rPr>
          <w:color w:val="231F20"/>
          <w:spacing w:val="-23"/>
          <w:w w:val="105"/>
        </w:rPr>
        <w:t> </w:t>
      </w:r>
      <w:r>
        <w:rPr>
          <w:color w:val="231F20"/>
          <w:w w:val="105"/>
        </w:rPr>
        <w:t>a</w:t>
      </w:r>
      <w:r>
        <w:rPr>
          <w:color w:val="231F20"/>
          <w:spacing w:val="-23"/>
          <w:w w:val="105"/>
        </w:rPr>
        <w:t> </w:t>
      </w:r>
      <w:r>
        <w:rPr>
          <w:color w:val="231F20"/>
          <w:w w:val="105"/>
        </w:rPr>
        <w:t>través</w:t>
      </w:r>
      <w:r>
        <w:rPr>
          <w:color w:val="231F20"/>
          <w:spacing w:val="-23"/>
          <w:w w:val="105"/>
        </w:rPr>
        <w:t> </w:t>
      </w:r>
      <w:r>
        <w:rPr>
          <w:color w:val="231F20"/>
          <w:w w:val="105"/>
        </w:rPr>
        <w:t>de</w:t>
      </w:r>
      <w:r>
        <w:rPr>
          <w:color w:val="231F20"/>
          <w:spacing w:val="-23"/>
          <w:w w:val="105"/>
        </w:rPr>
        <w:t> </w:t>
      </w:r>
      <w:r>
        <w:rPr>
          <w:color w:val="231F20"/>
          <w:w w:val="105"/>
        </w:rPr>
        <w:t>aprendi- zaje</w:t>
      </w:r>
      <w:r>
        <w:rPr>
          <w:color w:val="231F20"/>
          <w:spacing w:val="-13"/>
          <w:w w:val="105"/>
        </w:rPr>
        <w:t> </w:t>
      </w:r>
      <w:r>
        <w:rPr>
          <w:color w:val="231F20"/>
          <w:w w:val="105"/>
        </w:rPr>
        <w:t>colectivo</w:t>
      </w:r>
      <w:r>
        <w:rPr>
          <w:color w:val="231F20"/>
          <w:spacing w:val="-13"/>
          <w:w w:val="105"/>
        </w:rPr>
        <w:t> </w:t>
      </w:r>
      <w:r>
        <w:rPr>
          <w:color w:val="231F20"/>
          <w:w w:val="105"/>
        </w:rPr>
        <w:t>u</w:t>
      </w:r>
      <w:r>
        <w:rPr>
          <w:color w:val="231F20"/>
          <w:spacing w:val="-13"/>
          <w:w w:val="105"/>
        </w:rPr>
        <w:t> </w:t>
      </w:r>
      <w:r>
        <w:rPr>
          <w:color w:val="231F20"/>
          <w:w w:val="105"/>
        </w:rPr>
        <w:t>organizacional,</w:t>
      </w:r>
      <w:r>
        <w:rPr>
          <w:color w:val="231F20"/>
          <w:spacing w:val="-19"/>
          <w:w w:val="105"/>
        </w:rPr>
        <w:t> </w:t>
      </w:r>
      <w:r>
        <w:rPr>
          <w:color w:val="231F20"/>
          <w:w w:val="105"/>
        </w:rPr>
        <w:t>pueden</w:t>
      </w:r>
      <w:r>
        <w:rPr>
          <w:color w:val="231F20"/>
          <w:spacing w:val="-13"/>
          <w:w w:val="105"/>
        </w:rPr>
        <w:t> </w:t>
      </w:r>
      <w:r>
        <w:rPr>
          <w:color w:val="231F20"/>
          <w:w w:val="105"/>
        </w:rPr>
        <w:t>tener</w:t>
      </w:r>
      <w:r>
        <w:rPr>
          <w:color w:val="231F20"/>
          <w:spacing w:val="-13"/>
          <w:w w:val="105"/>
        </w:rPr>
        <w:t> </w:t>
      </w:r>
      <w:r>
        <w:rPr>
          <w:color w:val="231F20"/>
          <w:w w:val="105"/>
        </w:rPr>
        <w:t>efectos</w:t>
      </w:r>
      <w:r>
        <w:rPr>
          <w:color w:val="231F20"/>
          <w:spacing w:val="-13"/>
          <w:w w:val="105"/>
        </w:rPr>
        <w:t> </w:t>
      </w:r>
      <w:r>
        <w:rPr>
          <w:color w:val="231F20"/>
          <w:w w:val="105"/>
        </w:rPr>
        <w:t>significativos</w:t>
      </w:r>
      <w:r>
        <w:rPr>
          <w:color w:val="231F20"/>
          <w:spacing w:val="-13"/>
          <w:w w:val="105"/>
        </w:rPr>
        <w:t> </w:t>
      </w:r>
      <w:r>
        <w:rPr>
          <w:color w:val="231F20"/>
          <w:w w:val="105"/>
        </w:rPr>
        <w:t>en</w:t>
      </w:r>
      <w:r>
        <w:rPr>
          <w:color w:val="231F20"/>
          <w:spacing w:val="-13"/>
          <w:w w:val="105"/>
        </w:rPr>
        <w:t> </w:t>
      </w:r>
      <w:r>
        <w:rPr>
          <w:color w:val="231F20"/>
          <w:w w:val="105"/>
        </w:rPr>
        <w:t>la competitividad</w:t>
      </w:r>
      <w:r>
        <w:rPr>
          <w:color w:val="231F20"/>
          <w:spacing w:val="26"/>
          <w:w w:val="105"/>
        </w:rPr>
        <w:t> </w:t>
      </w:r>
      <w:r>
        <w:rPr>
          <w:color w:val="231F20"/>
          <w:w w:val="105"/>
        </w:rPr>
        <w:t>municipal.</w:t>
      </w:r>
    </w:p>
    <w:p>
      <w:pPr>
        <w:pStyle w:val="BodyText"/>
        <w:spacing w:line="259" w:lineRule="auto"/>
        <w:ind w:left="103" w:right="115" w:firstLine="567"/>
        <w:jc w:val="both"/>
      </w:pPr>
      <w:r>
        <w:rPr>
          <w:color w:val="231F20"/>
          <w:w w:val="105"/>
        </w:rPr>
        <w:t>Por lo anteriormente expuesto se propone un modelo (figura 4) para el impulso de la competitividad municipal a través del aprendizaje organizacional.</w:t>
      </w:r>
    </w:p>
    <w:p>
      <w:pPr>
        <w:pStyle w:val="BodyText"/>
        <w:spacing w:before="2"/>
      </w:pPr>
    </w:p>
    <w:p>
      <w:pPr>
        <w:spacing w:line="249" w:lineRule="auto" w:before="0"/>
        <w:ind w:left="1766" w:right="1285" w:hanging="177"/>
        <w:jc w:val="left"/>
        <w:rPr>
          <w:sz w:val="18"/>
        </w:rPr>
      </w:pPr>
      <w:r>
        <w:rPr/>
        <w:drawing>
          <wp:anchor distT="0" distB="0" distL="0" distR="0" allowOverlap="1" layoutInCell="1" locked="0" behindDoc="0" simplePos="0" relativeHeight="3016">
            <wp:simplePos x="0" y="0"/>
            <wp:positionH relativeFrom="page">
              <wp:posOffset>1051382</wp:posOffset>
            </wp:positionH>
            <wp:positionV relativeFrom="paragraph">
              <wp:posOffset>346852</wp:posOffset>
            </wp:positionV>
            <wp:extent cx="3889213" cy="2931795"/>
            <wp:effectExtent l="0" t="0" r="0" b="0"/>
            <wp:wrapTopAndBottom/>
            <wp:docPr id="21" name="image21.jpeg" descr=""/>
            <wp:cNvGraphicFramePr>
              <a:graphicFrameLocks noChangeAspect="1"/>
            </wp:cNvGraphicFramePr>
            <a:graphic>
              <a:graphicData uri="http://schemas.openxmlformats.org/drawingml/2006/picture">
                <pic:pic>
                  <pic:nvPicPr>
                    <pic:cNvPr id="22" name="image21.jpeg"/>
                    <pic:cNvPicPr/>
                  </pic:nvPicPr>
                  <pic:blipFill>
                    <a:blip r:embed="rId32" cstate="print"/>
                    <a:stretch>
                      <a:fillRect/>
                    </a:stretch>
                  </pic:blipFill>
                  <pic:spPr>
                    <a:xfrm>
                      <a:off x="0" y="0"/>
                      <a:ext cx="3889213" cy="2931795"/>
                    </a:xfrm>
                    <a:prstGeom prst="rect">
                      <a:avLst/>
                    </a:prstGeom>
                  </pic:spPr>
                </pic:pic>
              </a:graphicData>
            </a:graphic>
          </wp:anchor>
        </w:drawing>
      </w:r>
      <w:r>
        <w:rPr>
          <w:color w:val="231F20"/>
          <w:w w:val="105"/>
          <w:sz w:val="18"/>
        </w:rPr>
        <w:t>Figura 4. Modelo de aprendizaje organizacional para fortalecer la competitividad municipal.</w:t>
      </w:r>
    </w:p>
    <w:p>
      <w:pPr>
        <w:spacing w:before="128"/>
        <w:ind w:left="444" w:right="17" w:firstLine="0"/>
        <w:jc w:val="left"/>
        <w:rPr>
          <w:sz w:val="16"/>
        </w:rPr>
      </w:pPr>
      <w:r>
        <w:rPr>
          <w:color w:val="231F20"/>
          <w:w w:val="105"/>
          <w:sz w:val="16"/>
        </w:rPr>
        <w:t>Fuente: Elaboración propia.</w:t>
      </w:r>
    </w:p>
    <w:p>
      <w:pPr>
        <w:pStyle w:val="BodyText"/>
        <w:rPr>
          <w:sz w:val="16"/>
        </w:rPr>
      </w:pPr>
    </w:p>
    <w:p>
      <w:pPr>
        <w:pStyle w:val="BodyText"/>
        <w:spacing w:line="259" w:lineRule="auto" w:before="105"/>
        <w:ind w:left="103" w:right="114"/>
        <w:jc w:val="both"/>
      </w:pPr>
      <w:r>
        <w:rPr>
          <w:color w:val="231F20"/>
          <w:w w:val="105"/>
        </w:rPr>
        <w:t>Llevar</w:t>
      </w:r>
      <w:r>
        <w:rPr>
          <w:color w:val="231F20"/>
          <w:spacing w:val="-24"/>
          <w:w w:val="105"/>
        </w:rPr>
        <w:t> </w:t>
      </w:r>
      <w:r>
        <w:rPr>
          <w:color w:val="231F20"/>
          <w:w w:val="105"/>
        </w:rPr>
        <w:t>a</w:t>
      </w:r>
      <w:r>
        <w:rPr>
          <w:color w:val="231F20"/>
          <w:spacing w:val="-24"/>
          <w:w w:val="105"/>
        </w:rPr>
        <w:t> </w:t>
      </w:r>
      <w:r>
        <w:rPr>
          <w:color w:val="231F20"/>
          <w:w w:val="105"/>
        </w:rPr>
        <w:t>cabo</w:t>
      </w:r>
      <w:r>
        <w:rPr>
          <w:color w:val="231F20"/>
          <w:spacing w:val="-24"/>
          <w:w w:val="105"/>
        </w:rPr>
        <w:t> </w:t>
      </w:r>
      <w:r>
        <w:rPr>
          <w:color w:val="231F20"/>
          <w:w w:val="105"/>
        </w:rPr>
        <w:t>las</w:t>
      </w:r>
      <w:r>
        <w:rPr>
          <w:color w:val="231F20"/>
          <w:spacing w:val="-24"/>
          <w:w w:val="105"/>
        </w:rPr>
        <w:t> </w:t>
      </w:r>
      <w:r>
        <w:rPr>
          <w:color w:val="231F20"/>
          <w:w w:val="105"/>
        </w:rPr>
        <w:t>estrategias</w:t>
      </w:r>
      <w:r>
        <w:rPr>
          <w:color w:val="231F20"/>
          <w:spacing w:val="-24"/>
          <w:w w:val="105"/>
        </w:rPr>
        <w:t> </w:t>
      </w:r>
      <w:r>
        <w:rPr>
          <w:color w:val="231F20"/>
          <w:w w:val="105"/>
        </w:rPr>
        <w:t>propuestas</w:t>
      </w:r>
      <w:r>
        <w:rPr>
          <w:color w:val="231F20"/>
          <w:spacing w:val="-24"/>
          <w:w w:val="105"/>
        </w:rPr>
        <w:t> </w:t>
      </w:r>
      <w:r>
        <w:rPr>
          <w:color w:val="231F20"/>
          <w:w w:val="105"/>
        </w:rPr>
        <w:t>en</w:t>
      </w:r>
      <w:r>
        <w:rPr>
          <w:color w:val="231F20"/>
          <w:spacing w:val="-24"/>
          <w:w w:val="105"/>
        </w:rPr>
        <w:t> </w:t>
      </w:r>
      <w:r>
        <w:rPr>
          <w:color w:val="231F20"/>
          <w:w w:val="105"/>
        </w:rPr>
        <w:t>este</w:t>
      </w:r>
      <w:r>
        <w:rPr>
          <w:color w:val="231F20"/>
          <w:spacing w:val="-24"/>
          <w:w w:val="105"/>
        </w:rPr>
        <w:t> </w:t>
      </w:r>
      <w:r>
        <w:rPr>
          <w:color w:val="231F20"/>
          <w:w w:val="105"/>
        </w:rPr>
        <w:t>modelo</w:t>
      </w:r>
      <w:r>
        <w:rPr>
          <w:color w:val="231F20"/>
          <w:spacing w:val="-24"/>
          <w:w w:val="105"/>
        </w:rPr>
        <w:t> </w:t>
      </w:r>
      <w:r>
        <w:rPr>
          <w:color w:val="231F20"/>
          <w:w w:val="105"/>
        </w:rPr>
        <w:t>implica,</w:t>
      </w:r>
      <w:r>
        <w:rPr>
          <w:color w:val="231F20"/>
          <w:spacing w:val="-29"/>
          <w:w w:val="105"/>
        </w:rPr>
        <w:t> </w:t>
      </w:r>
      <w:r>
        <w:rPr>
          <w:color w:val="231F20"/>
          <w:w w:val="105"/>
        </w:rPr>
        <w:t>por</w:t>
      </w:r>
      <w:r>
        <w:rPr>
          <w:color w:val="231F20"/>
          <w:spacing w:val="-24"/>
          <w:w w:val="105"/>
        </w:rPr>
        <w:t> </w:t>
      </w:r>
      <w:r>
        <w:rPr>
          <w:color w:val="231F20"/>
          <w:w w:val="105"/>
        </w:rPr>
        <w:t>par- te</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autoridades</w:t>
      </w:r>
      <w:r>
        <w:rPr>
          <w:color w:val="231F20"/>
          <w:spacing w:val="-5"/>
          <w:w w:val="105"/>
        </w:rPr>
        <w:t> </w:t>
      </w:r>
      <w:r>
        <w:rPr>
          <w:color w:val="231F20"/>
          <w:w w:val="105"/>
        </w:rPr>
        <w:t>municipales,</w:t>
      </w:r>
      <w:r>
        <w:rPr>
          <w:color w:val="231F20"/>
          <w:spacing w:val="-11"/>
          <w:w w:val="105"/>
        </w:rPr>
        <w:t> </w:t>
      </w:r>
      <w:r>
        <w:rPr>
          <w:color w:val="231F20"/>
          <w:w w:val="105"/>
        </w:rPr>
        <w:t>el</w:t>
      </w:r>
      <w:r>
        <w:rPr>
          <w:color w:val="231F20"/>
          <w:spacing w:val="-5"/>
          <w:w w:val="105"/>
        </w:rPr>
        <w:t> </w:t>
      </w:r>
      <w:r>
        <w:rPr>
          <w:color w:val="231F20"/>
          <w:w w:val="105"/>
        </w:rPr>
        <w:t>reconocimiento</w:t>
      </w:r>
      <w:r>
        <w:rPr>
          <w:color w:val="231F20"/>
          <w:spacing w:val="-5"/>
          <w:w w:val="105"/>
        </w:rPr>
        <w:t> </w:t>
      </w:r>
      <w:r>
        <w:rPr>
          <w:color w:val="231F20"/>
          <w:w w:val="105"/>
        </w:rPr>
        <w:t>del</w:t>
      </w:r>
      <w:r>
        <w:rPr>
          <w:color w:val="231F20"/>
          <w:spacing w:val="-5"/>
          <w:w w:val="105"/>
        </w:rPr>
        <w:t> </w:t>
      </w:r>
      <w:r>
        <w:rPr>
          <w:color w:val="231F20"/>
          <w:w w:val="105"/>
        </w:rPr>
        <w:t>potencial</w:t>
      </w:r>
      <w:r>
        <w:rPr>
          <w:color w:val="231F20"/>
          <w:spacing w:val="-5"/>
          <w:w w:val="105"/>
        </w:rPr>
        <w:t> </w:t>
      </w:r>
      <w:r>
        <w:rPr>
          <w:color w:val="231F20"/>
          <w:w w:val="105"/>
        </w:rPr>
        <w:t>y</w:t>
      </w:r>
      <w:r>
        <w:rPr>
          <w:color w:val="231F20"/>
          <w:spacing w:val="-5"/>
          <w:w w:val="105"/>
        </w:rPr>
        <w:t> </w:t>
      </w:r>
      <w:r>
        <w:rPr>
          <w:color w:val="231F20"/>
          <w:w w:val="105"/>
        </w:rPr>
        <w:t>va- lor</w:t>
      </w:r>
      <w:r>
        <w:rPr>
          <w:color w:val="231F20"/>
          <w:spacing w:val="-24"/>
          <w:w w:val="105"/>
        </w:rPr>
        <w:t> </w:t>
      </w:r>
      <w:r>
        <w:rPr>
          <w:color w:val="231F20"/>
          <w:w w:val="105"/>
        </w:rPr>
        <w:t>que</w:t>
      </w:r>
      <w:r>
        <w:rPr>
          <w:color w:val="231F20"/>
          <w:spacing w:val="-24"/>
          <w:w w:val="105"/>
        </w:rPr>
        <w:t> </w:t>
      </w:r>
      <w:r>
        <w:rPr>
          <w:color w:val="231F20"/>
          <w:w w:val="105"/>
        </w:rPr>
        <w:t>el</w:t>
      </w:r>
      <w:r>
        <w:rPr>
          <w:color w:val="231F20"/>
          <w:spacing w:val="-24"/>
          <w:w w:val="105"/>
        </w:rPr>
        <w:t> </w:t>
      </w:r>
      <w:r>
        <w:rPr>
          <w:color w:val="231F20"/>
          <w:w w:val="105"/>
        </w:rPr>
        <w:t>aprendizaje</w:t>
      </w:r>
      <w:r>
        <w:rPr>
          <w:color w:val="231F20"/>
          <w:spacing w:val="-24"/>
          <w:w w:val="105"/>
        </w:rPr>
        <w:t> </w:t>
      </w:r>
      <w:r>
        <w:rPr>
          <w:color w:val="231F20"/>
          <w:w w:val="105"/>
        </w:rPr>
        <w:t>organizacional</w:t>
      </w:r>
      <w:r>
        <w:rPr>
          <w:color w:val="231F20"/>
          <w:spacing w:val="-24"/>
          <w:w w:val="105"/>
        </w:rPr>
        <w:t> </w:t>
      </w:r>
      <w:r>
        <w:rPr>
          <w:color w:val="231F20"/>
          <w:w w:val="105"/>
        </w:rPr>
        <w:t>representa</w:t>
      </w:r>
      <w:r>
        <w:rPr>
          <w:color w:val="231F20"/>
          <w:spacing w:val="-24"/>
          <w:w w:val="105"/>
        </w:rPr>
        <w:t> </w:t>
      </w:r>
      <w:r>
        <w:rPr>
          <w:color w:val="231F20"/>
          <w:w w:val="105"/>
        </w:rPr>
        <w:t>para</w:t>
      </w:r>
      <w:r>
        <w:rPr>
          <w:color w:val="231F20"/>
          <w:spacing w:val="-24"/>
          <w:w w:val="105"/>
        </w:rPr>
        <w:t> </w:t>
      </w:r>
      <w:r>
        <w:rPr>
          <w:color w:val="231F20"/>
          <w:w w:val="105"/>
        </w:rPr>
        <w:t>su</w:t>
      </w:r>
      <w:r>
        <w:rPr>
          <w:color w:val="231F20"/>
          <w:spacing w:val="-24"/>
          <w:w w:val="105"/>
        </w:rPr>
        <w:t> </w:t>
      </w:r>
      <w:r>
        <w:rPr>
          <w:color w:val="231F20"/>
          <w:w w:val="105"/>
        </w:rPr>
        <w:t>gestión,</w:t>
      </w:r>
      <w:r>
        <w:rPr>
          <w:color w:val="231F20"/>
          <w:spacing w:val="-30"/>
          <w:w w:val="105"/>
        </w:rPr>
        <w:t> </w:t>
      </w:r>
      <w:r>
        <w:rPr>
          <w:color w:val="231F20"/>
          <w:w w:val="105"/>
        </w:rPr>
        <w:t>aunado a</w:t>
      </w:r>
      <w:r>
        <w:rPr>
          <w:color w:val="231F20"/>
          <w:spacing w:val="-18"/>
          <w:w w:val="105"/>
        </w:rPr>
        <w:t> </w:t>
      </w:r>
      <w:r>
        <w:rPr>
          <w:color w:val="231F20"/>
          <w:w w:val="105"/>
        </w:rPr>
        <w:t>las</w:t>
      </w:r>
      <w:r>
        <w:rPr>
          <w:color w:val="231F20"/>
          <w:spacing w:val="-18"/>
          <w:w w:val="105"/>
        </w:rPr>
        <w:t> </w:t>
      </w:r>
      <w:r>
        <w:rPr>
          <w:color w:val="231F20"/>
          <w:w w:val="105"/>
        </w:rPr>
        <w:t>siguientes</w:t>
      </w:r>
      <w:r>
        <w:rPr>
          <w:color w:val="231F20"/>
          <w:spacing w:val="-18"/>
          <w:w w:val="105"/>
        </w:rPr>
        <w:t> </w:t>
      </w:r>
      <w:r>
        <w:rPr>
          <w:color w:val="231F20"/>
          <w:w w:val="105"/>
        </w:rPr>
        <w:t>acciones:</w:t>
      </w:r>
      <w:r>
        <w:rPr>
          <w:color w:val="231F20"/>
          <w:spacing w:val="-18"/>
          <w:w w:val="105"/>
        </w:rPr>
        <w:t> </w:t>
      </w:r>
      <w:r>
        <w:rPr>
          <w:color w:val="231F20"/>
          <w:w w:val="105"/>
        </w:rPr>
        <w:t>evaluar</w:t>
      </w:r>
      <w:r>
        <w:rPr>
          <w:color w:val="231F20"/>
          <w:spacing w:val="-18"/>
          <w:w w:val="105"/>
        </w:rPr>
        <w:t> </w:t>
      </w:r>
      <w:r>
        <w:rPr>
          <w:color w:val="231F20"/>
          <w:w w:val="105"/>
        </w:rPr>
        <w:t>experiencias</w:t>
      </w:r>
      <w:r>
        <w:rPr>
          <w:color w:val="231F20"/>
          <w:spacing w:val="-18"/>
          <w:w w:val="105"/>
        </w:rPr>
        <w:t> </w:t>
      </w:r>
      <w:r>
        <w:rPr>
          <w:color w:val="231F20"/>
          <w:w w:val="105"/>
        </w:rPr>
        <w:t>pasadas</w:t>
      </w:r>
      <w:r>
        <w:rPr>
          <w:color w:val="231F20"/>
          <w:spacing w:val="-18"/>
          <w:w w:val="105"/>
        </w:rPr>
        <w:t> </w:t>
      </w:r>
      <w:r>
        <w:rPr>
          <w:color w:val="231F20"/>
          <w:w w:val="105"/>
        </w:rPr>
        <w:t>a</w:t>
      </w:r>
      <w:r>
        <w:rPr>
          <w:color w:val="231F20"/>
          <w:spacing w:val="-18"/>
          <w:w w:val="105"/>
        </w:rPr>
        <w:t> </w:t>
      </w:r>
      <w:r>
        <w:rPr>
          <w:color w:val="231F20"/>
          <w:w w:val="105"/>
        </w:rPr>
        <w:t>fin</w:t>
      </w:r>
      <w:r>
        <w:rPr>
          <w:color w:val="231F20"/>
          <w:spacing w:val="-18"/>
          <w:w w:val="105"/>
        </w:rPr>
        <w:t> </w:t>
      </w:r>
      <w:r>
        <w:rPr>
          <w:color w:val="231F20"/>
          <w:w w:val="105"/>
        </w:rPr>
        <w:t>de</w:t>
      </w:r>
      <w:r>
        <w:rPr>
          <w:color w:val="231F20"/>
          <w:spacing w:val="-18"/>
          <w:w w:val="105"/>
        </w:rPr>
        <w:t> </w:t>
      </w:r>
      <w:r>
        <w:rPr>
          <w:color w:val="231F20"/>
          <w:w w:val="105"/>
        </w:rPr>
        <w:t>evitar</w:t>
      </w:r>
      <w:r>
        <w:rPr>
          <w:color w:val="231F20"/>
          <w:spacing w:val="-18"/>
          <w:w w:val="105"/>
        </w:rPr>
        <w:t> </w:t>
      </w:r>
      <w:r>
        <w:rPr>
          <w:color w:val="231F20"/>
          <w:w w:val="105"/>
        </w:rPr>
        <w:t>la repetición</w:t>
      </w:r>
      <w:r>
        <w:rPr>
          <w:color w:val="231F20"/>
          <w:spacing w:val="-13"/>
          <w:w w:val="105"/>
        </w:rPr>
        <w:t> </w:t>
      </w:r>
      <w:r>
        <w:rPr>
          <w:color w:val="231F20"/>
          <w:w w:val="105"/>
        </w:rPr>
        <w:t>de</w:t>
      </w:r>
      <w:r>
        <w:rPr>
          <w:color w:val="231F20"/>
          <w:spacing w:val="-13"/>
          <w:w w:val="105"/>
        </w:rPr>
        <w:t> </w:t>
      </w:r>
      <w:r>
        <w:rPr>
          <w:color w:val="231F20"/>
          <w:w w:val="105"/>
        </w:rPr>
        <w:t>errores</w:t>
      </w:r>
      <w:r>
        <w:rPr>
          <w:color w:val="231F20"/>
          <w:spacing w:val="-13"/>
          <w:w w:val="105"/>
        </w:rPr>
        <w:t> </w:t>
      </w:r>
      <w:r>
        <w:rPr>
          <w:color w:val="231F20"/>
          <w:w w:val="105"/>
        </w:rPr>
        <w:t>y</w:t>
      </w:r>
      <w:r>
        <w:rPr>
          <w:color w:val="231F20"/>
          <w:spacing w:val="-13"/>
          <w:w w:val="105"/>
        </w:rPr>
        <w:t> </w:t>
      </w:r>
      <w:r>
        <w:rPr>
          <w:color w:val="231F20"/>
          <w:w w:val="105"/>
        </w:rPr>
        <w:t>retomar</w:t>
      </w:r>
      <w:r>
        <w:rPr>
          <w:color w:val="231F20"/>
          <w:spacing w:val="-13"/>
          <w:w w:val="105"/>
        </w:rPr>
        <w:t> </w:t>
      </w:r>
      <w:r>
        <w:rPr>
          <w:color w:val="231F20"/>
          <w:w w:val="105"/>
        </w:rPr>
        <w:t>los</w:t>
      </w:r>
      <w:r>
        <w:rPr>
          <w:color w:val="231F20"/>
          <w:spacing w:val="-13"/>
          <w:w w:val="105"/>
        </w:rPr>
        <w:t> </w:t>
      </w:r>
      <w:r>
        <w:rPr>
          <w:color w:val="231F20"/>
          <w:w w:val="105"/>
        </w:rPr>
        <w:t>factores</w:t>
      </w:r>
      <w:r>
        <w:rPr>
          <w:color w:val="231F20"/>
          <w:spacing w:val="-13"/>
          <w:w w:val="105"/>
        </w:rPr>
        <w:t> </w:t>
      </w:r>
      <w:r>
        <w:rPr>
          <w:color w:val="231F20"/>
          <w:w w:val="105"/>
        </w:rPr>
        <w:t>de</w:t>
      </w:r>
      <w:r>
        <w:rPr>
          <w:color w:val="231F20"/>
          <w:spacing w:val="-13"/>
          <w:w w:val="105"/>
        </w:rPr>
        <w:t> </w:t>
      </w:r>
      <w:r>
        <w:rPr>
          <w:color w:val="231F20"/>
          <w:w w:val="105"/>
        </w:rPr>
        <w:t>éxito;</w:t>
      </w:r>
      <w:r>
        <w:rPr>
          <w:color w:val="231F20"/>
          <w:spacing w:val="-13"/>
          <w:w w:val="105"/>
        </w:rPr>
        <w:t> </w:t>
      </w:r>
      <w:r>
        <w:rPr>
          <w:color w:val="231F20"/>
          <w:w w:val="105"/>
        </w:rPr>
        <w:t>gestionar</w:t>
      </w:r>
      <w:r>
        <w:rPr>
          <w:color w:val="231F20"/>
          <w:spacing w:val="-13"/>
          <w:w w:val="105"/>
        </w:rPr>
        <w:t> </w:t>
      </w:r>
      <w:r>
        <w:rPr>
          <w:color w:val="231F20"/>
          <w:w w:val="105"/>
        </w:rPr>
        <w:t>y</w:t>
      </w:r>
      <w:r>
        <w:rPr>
          <w:color w:val="231F20"/>
          <w:spacing w:val="-13"/>
          <w:w w:val="105"/>
        </w:rPr>
        <w:t> </w:t>
      </w:r>
      <w:r>
        <w:rPr>
          <w:color w:val="231F20"/>
          <w:w w:val="105"/>
        </w:rPr>
        <w:t>proveer las</w:t>
      </w:r>
      <w:r>
        <w:rPr>
          <w:color w:val="231F20"/>
          <w:spacing w:val="-16"/>
          <w:w w:val="105"/>
        </w:rPr>
        <w:t> </w:t>
      </w:r>
      <w:r>
        <w:rPr>
          <w:color w:val="231F20"/>
          <w:w w:val="105"/>
        </w:rPr>
        <w:t>condiciones</w:t>
      </w:r>
      <w:r>
        <w:rPr>
          <w:color w:val="231F20"/>
          <w:spacing w:val="-16"/>
          <w:w w:val="105"/>
        </w:rPr>
        <w:t> </w:t>
      </w:r>
      <w:r>
        <w:rPr>
          <w:color w:val="231F20"/>
          <w:w w:val="105"/>
        </w:rPr>
        <w:t>y</w:t>
      </w:r>
      <w:r>
        <w:rPr>
          <w:color w:val="231F20"/>
          <w:spacing w:val="-16"/>
          <w:w w:val="105"/>
        </w:rPr>
        <w:t> </w:t>
      </w:r>
      <w:r>
        <w:rPr>
          <w:color w:val="231F20"/>
          <w:w w:val="105"/>
        </w:rPr>
        <w:t>recursos</w:t>
      </w:r>
      <w:r>
        <w:rPr>
          <w:color w:val="231F20"/>
          <w:spacing w:val="-16"/>
          <w:w w:val="105"/>
        </w:rPr>
        <w:t> </w:t>
      </w:r>
      <w:r>
        <w:rPr>
          <w:color w:val="231F20"/>
          <w:w w:val="105"/>
        </w:rPr>
        <w:t>que</w:t>
      </w:r>
      <w:r>
        <w:rPr>
          <w:color w:val="231F20"/>
          <w:spacing w:val="-16"/>
          <w:w w:val="105"/>
        </w:rPr>
        <w:t> </w:t>
      </w:r>
      <w:r>
        <w:rPr>
          <w:color w:val="231F20"/>
          <w:w w:val="105"/>
        </w:rPr>
        <w:t>impulsen</w:t>
      </w:r>
      <w:r>
        <w:rPr>
          <w:color w:val="231F20"/>
          <w:spacing w:val="-16"/>
          <w:w w:val="105"/>
        </w:rPr>
        <w:t> </w:t>
      </w:r>
      <w:r>
        <w:rPr>
          <w:color w:val="231F20"/>
          <w:w w:val="105"/>
        </w:rPr>
        <w:t>la</w:t>
      </w:r>
      <w:r>
        <w:rPr>
          <w:color w:val="231F20"/>
          <w:spacing w:val="-16"/>
          <w:w w:val="105"/>
        </w:rPr>
        <w:t> </w:t>
      </w:r>
      <w:r>
        <w:rPr>
          <w:color w:val="231F20"/>
          <w:w w:val="105"/>
        </w:rPr>
        <w:t>innovación</w:t>
      </w:r>
      <w:r>
        <w:rPr>
          <w:color w:val="231F20"/>
          <w:spacing w:val="-16"/>
          <w:w w:val="105"/>
        </w:rPr>
        <w:t> </w:t>
      </w:r>
      <w:r>
        <w:rPr>
          <w:color w:val="231F20"/>
          <w:w w:val="105"/>
        </w:rPr>
        <w:t>en</w:t>
      </w:r>
      <w:r>
        <w:rPr>
          <w:color w:val="231F20"/>
          <w:spacing w:val="-16"/>
          <w:w w:val="105"/>
        </w:rPr>
        <w:t> </w:t>
      </w:r>
      <w:r>
        <w:rPr>
          <w:color w:val="231F20"/>
          <w:w w:val="105"/>
        </w:rPr>
        <w:t>servidores</w:t>
      </w:r>
      <w:r>
        <w:rPr>
          <w:color w:val="231F20"/>
          <w:spacing w:val="-16"/>
          <w:w w:val="105"/>
        </w:rPr>
        <w:t> </w:t>
      </w:r>
      <w:r>
        <w:rPr>
          <w:color w:val="231F20"/>
          <w:w w:val="105"/>
        </w:rPr>
        <w:t>pú- blicos y en los propios habitantes; generar y/o actualizar</w:t>
      </w:r>
      <w:r>
        <w:rPr>
          <w:color w:val="231F20"/>
          <w:spacing w:val="-40"/>
          <w:w w:val="105"/>
        </w:rPr>
        <w:t> </w:t>
      </w:r>
      <w:r>
        <w:rPr>
          <w:color w:val="231F20"/>
          <w:w w:val="105"/>
        </w:rPr>
        <w:t>periódicamen- te los procedimientos consignándolos en manuales e instructivos que faciliten la comprensión y aplicación tanto del personal que ahí labora como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usuarios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servicios;</w:t>
      </w:r>
      <w:r>
        <w:rPr>
          <w:color w:val="231F20"/>
          <w:spacing w:val="-22"/>
          <w:w w:val="105"/>
        </w:rPr>
        <w:t> </w:t>
      </w:r>
      <w:r>
        <w:rPr>
          <w:color w:val="231F20"/>
          <w:w w:val="105"/>
        </w:rPr>
        <w:t>crear</w:t>
      </w:r>
      <w:r>
        <w:rPr>
          <w:color w:val="231F20"/>
          <w:spacing w:val="-22"/>
          <w:w w:val="105"/>
        </w:rPr>
        <w:t> </w:t>
      </w:r>
      <w:r>
        <w:rPr>
          <w:color w:val="231F20"/>
          <w:w w:val="105"/>
        </w:rPr>
        <w:t>bancos</w:t>
      </w:r>
      <w:r>
        <w:rPr>
          <w:color w:val="231F20"/>
          <w:spacing w:val="-22"/>
          <w:w w:val="105"/>
        </w:rPr>
        <w:t> </w:t>
      </w:r>
      <w:r>
        <w:rPr>
          <w:color w:val="231F20"/>
          <w:w w:val="105"/>
        </w:rPr>
        <w:t>de</w:t>
      </w:r>
      <w:r>
        <w:rPr>
          <w:color w:val="231F20"/>
          <w:spacing w:val="-22"/>
          <w:w w:val="105"/>
        </w:rPr>
        <w:t> </w:t>
      </w:r>
      <w:r>
        <w:rPr>
          <w:color w:val="231F20"/>
          <w:w w:val="105"/>
        </w:rPr>
        <w:t>datos</w:t>
      </w:r>
      <w:r>
        <w:rPr>
          <w:color w:val="231F20"/>
          <w:spacing w:val="-22"/>
          <w:w w:val="105"/>
        </w:rPr>
        <w:t> </w:t>
      </w:r>
      <w:r>
        <w:rPr>
          <w:color w:val="231F20"/>
          <w:w w:val="105"/>
        </w:rPr>
        <w:t>que</w:t>
      </w:r>
      <w:r>
        <w:rPr>
          <w:color w:val="231F20"/>
          <w:spacing w:val="-22"/>
          <w:w w:val="105"/>
        </w:rPr>
        <w:t> </w:t>
      </w:r>
      <w:r>
        <w:rPr>
          <w:color w:val="231F20"/>
          <w:w w:val="105"/>
        </w:rPr>
        <w:t>apoyen la toma de decisiones y faciliten los trámites y operaciones; establecer condiciones</w:t>
      </w:r>
      <w:r>
        <w:rPr>
          <w:color w:val="231F20"/>
          <w:spacing w:val="-25"/>
          <w:w w:val="105"/>
        </w:rPr>
        <w:t> </w:t>
      </w:r>
      <w:r>
        <w:rPr>
          <w:color w:val="231F20"/>
          <w:w w:val="105"/>
        </w:rPr>
        <w:t>e</w:t>
      </w:r>
      <w:r>
        <w:rPr>
          <w:color w:val="231F20"/>
          <w:spacing w:val="-25"/>
          <w:w w:val="105"/>
        </w:rPr>
        <w:t> </w:t>
      </w:r>
      <w:r>
        <w:rPr>
          <w:color w:val="231F20"/>
          <w:w w:val="105"/>
        </w:rPr>
        <w:t>infraestructura</w:t>
      </w:r>
      <w:r>
        <w:rPr>
          <w:color w:val="231F20"/>
          <w:spacing w:val="-25"/>
          <w:w w:val="105"/>
        </w:rPr>
        <w:t> </w:t>
      </w:r>
      <w:r>
        <w:rPr>
          <w:color w:val="231F20"/>
          <w:w w:val="105"/>
        </w:rPr>
        <w:t>necesarias</w:t>
      </w:r>
      <w:r>
        <w:rPr>
          <w:color w:val="231F20"/>
          <w:spacing w:val="-25"/>
          <w:w w:val="105"/>
        </w:rPr>
        <w:t> </w:t>
      </w:r>
      <w:r>
        <w:rPr>
          <w:color w:val="231F20"/>
          <w:w w:val="105"/>
        </w:rPr>
        <w:t>para</w:t>
      </w:r>
      <w:r>
        <w:rPr>
          <w:color w:val="231F20"/>
          <w:spacing w:val="-25"/>
          <w:w w:val="105"/>
        </w:rPr>
        <w:t> </w:t>
      </w:r>
      <w:r>
        <w:rPr>
          <w:color w:val="231F20"/>
          <w:w w:val="105"/>
        </w:rPr>
        <w:t>desarrollar</w:t>
      </w:r>
      <w:r>
        <w:rPr>
          <w:color w:val="231F20"/>
          <w:spacing w:val="-25"/>
          <w:w w:val="105"/>
        </w:rPr>
        <w:t> </w:t>
      </w:r>
      <w:r>
        <w:rPr>
          <w:color w:val="231F20"/>
          <w:w w:val="105"/>
        </w:rPr>
        <w:t>ambientes</w:t>
      </w:r>
      <w:r>
        <w:rPr>
          <w:color w:val="231F20"/>
          <w:spacing w:val="-25"/>
          <w:w w:val="105"/>
        </w:rPr>
        <w:t> </w:t>
      </w:r>
      <w:r>
        <w:rPr>
          <w:color w:val="231F20"/>
          <w:w w:val="105"/>
        </w:rPr>
        <w:t>pro-</w:t>
      </w:r>
    </w:p>
    <w:p>
      <w:pPr>
        <w:pStyle w:val="BodyText"/>
        <w:rPr>
          <w:sz w:val="20"/>
        </w:rPr>
      </w:pPr>
    </w:p>
    <w:p>
      <w:pPr>
        <w:pStyle w:val="BodyText"/>
        <w:rPr>
          <w:sz w:val="20"/>
        </w:rPr>
      </w:pPr>
    </w:p>
    <w:p>
      <w:pPr>
        <w:pStyle w:val="BodyText"/>
        <w:spacing w:before="1"/>
        <w:rPr>
          <w:sz w:val="20"/>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88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80</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4864"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81</w:t>
      </w:r>
    </w:p>
    <w:p>
      <w:pPr>
        <w:pStyle w:val="BodyText"/>
        <w:rPr>
          <w:sz w:val="20"/>
        </w:rPr>
      </w:pPr>
    </w:p>
    <w:p>
      <w:pPr>
        <w:pStyle w:val="BodyText"/>
        <w:rPr>
          <w:sz w:val="20"/>
        </w:rPr>
      </w:pPr>
    </w:p>
    <w:p>
      <w:pPr>
        <w:pStyle w:val="BodyText"/>
        <w:spacing w:line="259" w:lineRule="auto" w:before="176"/>
        <w:ind w:left="117" w:right="101"/>
        <w:jc w:val="both"/>
      </w:pPr>
      <w:r>
        <w:rPr>
          <w:color w:val="231F20"/>
          <w:w w:val="105"/>
        </w:rPr>
        <w:t>picios</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aprendizaje,</w:t>
      </w:r>
      <w:r>
        <w:rPr>
          <w:color w:val="231F20"/>
          <w:spacing w:val="-26"/>
          <w:w w:val="105"/>
        </w:rPr>
        <w:t> </w:t>
      </w:r>
      <w:r>
        <w:rPr>
          <w:color w:val="231F20"/>
          <w:w w:val="105"/>
        </w:rPr>
        <w:t>tanto</w:t>
      </w:r>
      <w:r>
        <w:rPr>
          <w:color w:val="231F20"/>
          <w:spacing w:val="-19"/>
          <w:w w:val="105"/>
        </w:rPr>
        <w:t> </w:t>
      </w:r>
      <w:r>
        <w:rPr>
          <w:color w:val="231F20"/>
          <w:w w:val="105"/>
        </w:rPr>
        <w:t>al</w:t>
      </w:r>
      <w:r>
        <w:rPr>
          <w:color w:val="231F20"/>
          <w:spacing w:val="-19"/>
          <w:w w:val="105"/>
        </w:rPr>
        <w:t> </w:t>
      </w:r>
      <w:r>
        <w:rPr>
          <w:color w:val="231F20"/>
          <w:w w:val="105"/>
        </w:rPr>
        <w:t>interior</w:t>
      </w:r>
      <w:r>
        <w:rPr>
          <w:color w:val="231F20"/>
          <w:spacing w:val="-19"/>
          <w:w w:val="105"/>
        </w:rPr>
        <w:t> </w:t>
      </w:r>
      <w:r>
        <w:rPr>
          <w:color w:val="231F20"/>
          <w:w w:val="105"/>
        </w:rPr>
        <w:t>como</w:t>
      </w:r>
      <w:r>
        <w:rPr>
          <w:color w:val="231F20"/>
          <w:spacing w:val="-19"/>
          <w:w w:val="105"/>
        </w:rPr>
        <w:t> </w:t>
      </w:r>
      <w:r>
        <w:rPr>
          <w:color w:val="231F20"/>
          <w:w w:val="105"/>
        </w:rPr>
        <w:t>al</w:t>
      </w:r>
      <w:r>
        <w:rPr>
          <w:color w:val="231F20"/>
          <w:spacing w:val="-19"/>
          <w:w w:val="105"/>
        </w:rPr>
        <w:t> </w:t>
      </w:r>
      <w:r>
        <w:rPr>
          <w:color w:val="231F20"/>
          <w:w w:val="105"/>
        </w:rPr>
        <w:t>exterior</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adminis- tración</w:t>
      </w:r>
      <w:r>
        <w:rPr>
          <w:color w:val="231F20"/>
          <w:spacing w:val="-5"/>
          <w:w w:val="105"/>
        </w:rPr>
        <w:t> </w:t>
      </w:r>
      <w:r>
        <w:rPr>
          <w:color w:val="231F20"/>
          <w:w w:val="105"/>
        </w:rPr>
        <w:t>municipal,</w:t>
      </w:r>
      <w:r>
        <w:rPr>
          <w:color w:val="231F20"/>
          <w:spacing w:val="-11"/>
          <w:w w:val="105"/>
        </w:rPr>
        <w:t> </w:t>
      </w:r>
      <w:r>
        <w:rPr>
          <w:color w:val="231F20"/>
          <w:w w:val="105"/>
        </w:rPr>
        <w:t>teniendo</w:t>
      </w:r>
      <w:r>
        <w:rPr>
          <w:color w:val="231F20"/>
          <w:spacing w:val="-5"/>
          <w:w w:val="105"/>
        </w:rPr>
        <w:t> </w:t>
      </w:r>
      <w:r>
        <w:rPr>
          <w:color w:val="231F20"/>
          <w:w w:val="105"/>
        </w:rPr>
        <w:t>en</w:t>
      </w:r>
      <w:r>
        <w:rPr>
          <w:color w:val="231F20"/>
          <w:spacing w:val="-5"/>
          <w:w w:val="105"/>
        </w:rPr>
        <w:t> </w:t>
      </w:r>
      <w:r>
        <w:rPr>
          <w:color w:val="231F20"/>
          <w:w w:val="105"/>
        </w:rPr>
        <w:t>cuenta</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habitantes,</w:t>
      </w:r>
      <w:r>
        <w:rPr>
          <w:color w:val="231F20"/>
          <w:spacing w:val="-11"/>
          <w:w w:val="105"/>
        </w:rPr>
        <w:t> </w:t>
      </w:r>
      <w:r>
        <w:rPr>
          <w:color w:val="231F20"/>
          <w:w w:val="105"/>
        </w:rPr>
        <w:t>por</w:t>
      </w:r>
      <w:r>
        <w:rPr>
          <w:color w:val="231F20"/>
          <w:spacing w:val="-5"/>
          <w:w w:val="105"/>
        </w:rPr>
        <w:t> </w:t>
      </w:r>
      <w:r>
        <w:rPr>
          <w:color w:val="231F20"/>
          <w:w w:val="105"/>
        </w:rPr>
        <w:t>medio</w:t>
      </w:r>
      <w:r>
        <w:rPr>
          <w:color w:val="231F20"/>
          <w:spacing w:val="-5"/>
          <w:w w:val="105"/>
        </w:rPr>
        <w:t> </w:t>
      </w:r>
      <w:r>
        <w:rPr>
          <w:color w:val="231F20"/>
          <w:w w:val="105"/>
        </w:rPr>
        <w:t>del aprendizaje colectivo y la constitución de asociaciones y alianzas,</w:t>
      </w:r>
      <w:r>
        <w:rPr>
          <w:color w:val="231F20"/>
          <w:spacing w:val="-21"/>
          <w:w w:val="105"/>
        </w:rPr>
        <w:t> </w:t>
      </w:r>
      <w:r>
        <w:rPr>
          <w:color w:val="231F20"/>
          <w:w w:val="105"/>
        </w:rPr>
        <w:t>pue- den</w:t>
      </w:r>
      <w:r>
        <w:rPr>
          <w:color w:val="231F20"/>
          <w:spacing w:val="-19"/>
          <w:w w:val="105"/>
        </w:rPr>
        <w:t> </w:t>
      </w:r>
      <w:r>
        <w:rPr>
          <w:color w:val="231F20"/>
          <w:w w:val="105"/>
        </w:rPr>
        <w:t>generar</w:t>
      </w:r>
      <w:r>
        <w:rPr>
          <w:color w:val="231F20"/>
          <w:spacing w:val="-19"/>
          <w:w w:val="105"/>
        </w:rPr>
        <w:t> </w:t>
      </w:r>
      <w:r>
        <w:rPr>
          <w:color w:val="231F20"/>
          <w:w w:val="105"/>
        </w:rPr>
        <w:t>ventajas</w:t>
      </w:r>
      <w:r>
        <w:rPr>
          <w:color w:val="231F20"/>
          <w:spacing w:val="-19"/>
          <w:w w:val="105"/>
        </w:rPr>
        <w:t> </w:t>
      </w:r>
      <w:r>
        <w:rPr>
          <w:color w:val="231F20"/>
          <w:w w:val="105"/>
        </w:rPr>
        <w:t>competitivas</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comunidad.</w:t>
      </w:r>
    </w:p>
    <w:p>
      <w:pPr>
        <w:pStyle w:val="BodyText"/>
        <w:rPr>
          <w:sz w:val="20"/>
        </w:rPr>
      </w:pPr>
    </w:p>
    <w:p>
      <w:pPr>
        <w:pStyle w:val="BodyText"/>
        <w:spacing w:before="7"/>
        <w:rPr>
          <w:sz w:val="18"/>
        </w:rPr>
      </w:pPr>
    </w:p>
    <w:p>
      <w:pPr>
        <w:pStyle w:val="Heading2"/>
      </w:pPr>
      <w:r>
        <w:rPr>
          <w:color w:val="231F20"/>
          <w:w w:val="95"/>
        </w:rPr>
        <w:t>Reflexión final</w:t>
      </w:r>
    </w:p>
    <w:p>
      <w:pPr>
        <w:pStyle w:val="BodyText"/>
        <w:rPr>
          <w:b/>
          <w:sz w:val="22"/>
        </w:rPr>
      </w:pPr>
    </w:p>
    <w:p>
      <w:pPr>
        <w:pStyle w:val="BodyText"/>
        <w:spacing w:line="259" w:lineRule="auto" w:before="160"/>
        <w:ind w:left="117" w:right="101"/>
        <w:jc w:val="both"/>
      </w:pPr>
      <w:r>
        <w:rPr>
          <w:color w:val="231F20"/>
          <w:w w:val="105"/>
        </w:rPr>
        <w:t>La</w:t>
      </w:r>
      <w:r>
        <w:rPr>
          <w:color w:val="231F20"/>
          <w:spacing w:val="-22"/>
          <w:w w:val="105"/>
        </w:rPr>
        <w:t> </w:t>
      </w:r>
      <w:r>
        <w:rPr>
          <w:color w:val="231F20"/>
          <w:w w:val="105"/>
        </w:rPr>
        <w:t>búsqueda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competitividad</w:t>
      </w:r>
      <w:r>
        <w:rPr>
          <w:color w:val="231F20"/>
          <w:spacing w:val="-22"/>
          <w:w w:val="105"/>
        </w:rPr>
        <w:t> </w:t>
      </w:r>
      <w:r>
        <w:rPr>
          <w:color w:val="231F20"/>
          <w:w w:val="105"/>
        </w:rPr>
        <w:t>difiere</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w w:val="105"/>
        </w:rPr>
        <w:t>municipio</w:t>
      </w:r>
      <w:r>
        <w:rPr>
          <w:color w:val="231F20"/>
          <w:spacing w:val="-22"/>
          <w:w w:val="105"/>
        </w:rPr>
        <w:t> </w:t>
      </w:r>
      <w:r>
        <w:rPr>
          <w:color w:val="231F20"/>
          <w:w w:val="105"/>
        </w:rPr>
        <w:t>a</w:t>
      </w:r>
      <w:r>
        <w:rPr>
          <w:color w:val="231F20"/>
          <w:spacing w:val="-22"/>
          <w:w w:val="105"/>
        </w:rPr>
        <w:t> </w:t>
      </w:r>
      <w:r>
        <w:rPr>
          <w:color w:val="231F20"/>
          <w:w w:val="105"/>
        </w:rPr>
        <w:t>una</w:t>
      </w:r>
      <w:r>
        <w:rPr>
          <w:color w:val="231F20"/>
          <w:spacing w:val="-22"/>
          <w:w w:val="105"/>
        </w:rPr>
        <w:t> </w:t>
      </w:r>
      <w:r>
        <w:rPr>
          <w:color w:val="231F20"/>
          <w:w w:val="105"/>
        </w:rPr>
        <w:t>empresa; a nivel empresarial implica un dominio de mercado a través de</w:t>
      </w:r>
      <w:r>
        <w:rPr>
          <w:color w:val="231F20"/>
          <w:spacing w:val="-14"/>
          <w:w w:val="105"/>
        </w:rPr>
        <w:t> </w:t>
      </w:r>
      <w:r>
        <w:rPr>
          <w:color w:val="231F20"/>
          <w:w w:val="105"/>
        </w:rPr>
        <w:t>produc- tos y servicios con cualidades superiores a los de sus competidores</w:t>
      </w:r>
      <w:r>
        <w:rPr>
          <w:color w:val="231F20"/>
          <w:spacing w:val="-27"/>
          <w:w w:val="105"/>
        </w:rPr>
        <w:t> </w:t>
      </w:r>
      <w:r>
        <w:rPr>
          <w:color w:val="231F20"/>
          <w:w w:val="105"/>
        </w:rPr>
        <w:t>en una</w:t>
      </w:r>
      <w:r>
        <w:rPr>
          <w:color w:val="231F20"/>
          <w:spacing w:val="-14"/>
          <w:w w:val="105"/>
        </w:rPr>
        <w:t> </w:t>
      </w:r>
      <w:r>
        <w:rPr>
          <w:color w:val="231F20"/>
          <w:w w:val="105"/>
        </w:rPr>
        <w:t>rama</w:t>
      </w:r>
      <w:r>
        <w:rPr>
          <w:color w:val="231F20"/>
          <w:spacing w:val="-14"/>
          <w:w w:val="105"/>
        </w:rPr>
        <w:t> </w:t>
      </w:r>
      <w:r>
        <w:rPr>
          <w:color w:val="231F20"/>
          <w:w w:val="105"/>
        </w:rPr>
        <w:t>o</w:t>
      </w:r>
      <w:r>
        <w:rPr>
          <w:color w:val="231F20"/>
          <w:spacing w:val="-14"/>
          <w:w w:val="105"/>
        </w:rPr>
        <w:t> </w:t>
      </w:r>
      <w:r>
        <w:rPr>
          <w:color w:val="231F20"/>
          <w:w w:val="105"/>
        </w:rPr>
        <w:t>sector</w:t>
      </w:r>
      <w:r>
        <w:rPr>
          <w:color w:val="231F20"/>
          <w:spacing w:val="-14"/>
          <w:w w:val="105"/>
        </w:rPr>
        <w:t> </w:t>
      </w:r>
      <w:r>
        <w:rPr>
          <w:color w:val="231F20"/>
          <w:w w:val="105"/>
        </w:rPr>
        <w:t>específico;</w:t>
      </w:r>
      <w:r>
        <w:rPr>
          <w:color w:val="231F20"/>
          <w:spacing w:val="-14"/>
          <w:w w:val="105"/>
        </w:rPr>
        <w:t> </w:t>
      </w:r>
      <w:r>
        <w:rPr>
          <w:color w:val="231F20"/>
          <w:w w:val="105"/>
        </w:rPr>
        <w:t>a</w:t>
      </w:r>
      <w:r>
        <w:rPr>
          <w:color w:val="231F20"/>
          <w:spacing w:val="-14"/>
          <w:w w:val="105"/>
        </w:rPr>
        <w:t> </w:t>
      </w:r>
      <w:r>
        <w:rPr>
          <w:color w:val="231F20"/>
          <w:w w:val="105"/>
        </w:rPr>
        <w:t>nivel</w:t>
      </w:r>
      <w:r>
        <w:rPr>
          <w:color w:val="231F20"/>
          <w:spacing w:val="-14"/>
          <w:w w:val="105"/>
        </w:rPr>
        <w:t> </w:t>
      </w:r>
      <w:r>
        <w:rPr>
          <w:color w:val="231F20"/>
          <w:w w:val="105"/>
        </w:rPr>
        <w:t>municipal</w:t>
      </w:r>
      <w:r>
        <w:rPr>
          <w:color w:val="231F20"/>
          <w:spacing w:val="-14"/>
          <w:w w:val="105"/>
        </w:rPr>
        <w:t> </w:t>
      </w:r>
      <w:r>
        <w:rPr>
          <w:color w:val="231F20"/>
          <w:w w:val="105"/>
        </w:rPr>
        <w:t>adquiere</w:t>
      </w:r>
      <w:r>
        <w:rPr>
          <w:color w:val="231F20"/>
          <w:spacing w:val="-14"/>
          <w:w w:val="105"/>
        </w:rPr>
        <w:t> </w:t>
      </w:r>
      <w:r>
        <w:rPr>
          <w:color w:val="231F20"/>
          <w:w w:val="105"/>
        </w:rPr>
        <w:t>una</w:t>
      </w:r>
      <w:r>
        <w:rPr>
          <w:color w:val="231F20"/>
          <w:spacing w:val="-14"/>
          <w:w w:val="105"/>
        </w:rPr>
        <w:t> </w:t>
      </w:r>
      <w:r>
        <w:rPr>
          <w:color w:val="231F20"/>
          <w:w w:val="105"/>
        </w:rPr>
        <w:t>dependen- cia</w:t>
      </w:r>
      <w:r>
        <w:rPr>
          <w:color w:val="231F20"/>
          <w:spacing w:val="-7"/>
          <w:w w:val="105"/>
        </w:rPr>
        <w:t> </w:t>
      </w:r>
      <w:r>
        <w:rPr>
          <w:color w:val="231F20"/>
          <w:w w:val="105"/>
        </w:rPr>
        <w:t>multifactorial</w:t>
      </w:r>
      <w:r>
        <w:rPr>
          <w:color w:val="231F20"/>
          <w:spacing w:val="-7"/>
          <w:w w:val="105"/>
        </w:rPr>
        <w:t> </w:t>
      </w:r>
      <w:r>
        <w:rPr>
          <w:color w:val="231F20"/>
          <w:w w:val="105"/>
        </w:rPr>
        <w:t>y</w:t>
      </w:r>
      <w:r>
        <w:rPr>
          <w:color w:val="231F20"/>
          <w:spacing w:val="-8"/>
          <w:w w:val="105"/>
        </w:rPr>
        <w:t> </w:t>
      </w:r>
      <w:r>
        <w:rPr>
          <w:color w:val="231F20"/>
          <w:w w:val="105"/>
        </w:rPr>
        <w:t>multisectorial</w:t>
      </w:r>
      <w:r>
        <w:rPr>
          <w:color w:val="231F20"/>
          <w:spacing w:val="-8"/>
          <w:w w:val="105"/>
        </w:rPr>
        <w:t> </w:t>
      </w:r>
      <w:r>
        <w:rPr>
          <w:color w:val="231F20"/>
          <w:w w:val="105"/>
        </w:rPr>
        <w:t>al</w:t>
      </w:r>
      <w:r>
        <w:rPr>
          <w:color w:val="231F20"/>
          <w:spacing w:val="-7"/>
          <w:w w:val="105"/>
        </w:rPr>
        <w:t> </w:t>
      </w:r>
      <w:r>
        <w:rPr>
          <w:color w:val="231F20"/>
          <w:w w:val="105"/>
        </w:rPr>
        <w:t>tener</w:t>
      </w:r>
      <w:r>
        <w:rPr>
          <w:color w:val="231F20"/>
          <w:spacing w:val="-8"/>
          <w:w w:val="105"/>
        </w:rPr>
        <w:t> </w:t>
      </w:r>
      <w:r>
        <w:rPr>
          <w:color w:val="231F20"/>
          <w:w w:val="105"/>
        </w:rPr>
        <w:t>como</w:t>
      </w:r>
      <w:r>
        <w:rPr>
          <w:color w:val="231F20"/>
          <w:spacing w:val="-7"/>
          <w:w w:val="105"/>
        </w:rPr>
        <w:t> </w:t>
      </w:r>
      <w:r>
        <w:rPr>
          <w:color w:val="231F20"/>
          <w:w w:val="105"/>
        </w:rPr>
        <w:t>objetivo</w:t>
      </w:r>
      <w:r>
        <w:rPr>
          <w:color w:val="231F20"/>
          <w:spacing w:val="-7"/>
          <w:w w:val="105"/>
        </w:rPr>
        <w:t> </w:t>
      </w:r>
      <w:r>
        <w:rPr>
          <w:color w:val="231F20"/>
          <w:w w:val="105"/>
        </w:rPr>
        <w:t>mayores</w:t>
      </w:r>
      <w:r>
        <w:rPr>
          <w:color w:val="231F20"/>
          <w:spacing w:val="-7"/>
          <w:w w:val="105"/>
        </w:rPr>
        <w:t> </w:t>
      </w:r>
      <w:r>
        <w:rPr>
          <w:color w:val="231F20"/>
          <w:w w:val="105"/>
        </w:rPr>
        <w:t>niveles de desarrollo social, económico y cultural, por lo que depende tanto de la</w:t>
      </w:r>
      <w:r>
        <w:rPr>
          <w:color w:val="231F20"/>
          <w:spacing w:val="-22"/>
          <w:w w:val="105"/>
        </w:rPr>
        <w:t> </w:t>
      </w:r>
      <w:r>
        <w:rPr>
          <w:color w:val="231F20"/>
          <w:w w:val="105"/>
        </w:rPr>
        <w:t>disponibilidad</w:t>
      </w:r>
      <w:r>
        <w:rPr>
          <w:color w:val="231F20"/>
          <w:spacing w:val="-22"/>
          <w:w w:val="105"/>
        </w:rPr>
        <w:t> </w:t>
      </w:r>
      <w:r>
        <w:rPr>
          <w:color w:val="231F20"/>
          <w:w w:val="105"/>
        </w:rPr>
        <w:t>y</w:t>
      </w:r>
      <w:r>
        <w:rPr>
          <w:color w:val="231F20"/>
          <w:spacing w:val="-22"/>
          <w:w w:val="105"/>
        </w:rPr>
        <w:t> </w:t>
      </w:r>
      <w:r>
        <w:rPr>
          <w:color w:val="231F20"/>
          <w:w w:val="105"/>
        </w:rPr>
        <w:t>aprovechamiento</w:t>
      </w:r>
      <w:r>
        <w:rPr>
          <w:color w:val="231F20"/>
          <w:spacing w:val="-22"/>
          <w:w w:val="105"/>
        </w:rPr>
        <w:t> </w:t>
      </w:r>
      <w:r>
        <w:rPr>
          <w:color w:val="231F20"/>
          <w:w w:val="105"/>
        </w:rPr>
        <w:t>de</w:t>
      </w:r>
      <w:r>
        <w:rPr>
          <w:color w:val="231F20"/>
          <w:spacing w:val="-22"/>
          <w:w w:val="105"/>
        </w:rPr>
        <w:t> </w:t>
      </w:r>
      <w:r>
        <w:rPr>
          <w:color w:val="231F20"/>
          <w:w w:val="105"/>
        </w:rPr>
        <w:t>sus</w:t>
      </w:r>
      <w:r>
        <w:rPr>
          <w:color w:val="231F20"/>
          <w:spacing w:val="-22"/>
          <w:w w:val="105"/>
        </w:rPr>
        <w:t> </w:t>
      </w:r>
      <w:r>
        <w:rPr>
          <w:color w:val="231F20"/>
          <w:w w:val="105"/>
        </w:rPr>
        <w:t>recursos</w:t>
      </w:r>
      <w:r>
        <w:rPr>
          <w:color w:val="231F20"/>
          <w:spacing w:val="-22"/>
          <w:w w:val="105"/>
        </w:rPr>
        <w:t> </w:t>
      </w:r>
      <w:r>
        <w:rPr>
          <w:color w:val="231F20"/>
          <w:w w:val="105"/>
        </w:rPr>
        <w:t>endógenos</w:t>
      </w:r>
      <w:r>
        <w:rPr>
          <w:color w:val="231F20"/>
          <w:spacing w:val="-22"/>
          <w:w w:val="105"/>
        </w:rPr>
        <w:t> </w:t>
      </w:r>
      <w:r>
        <w:rPr>
          <w:color w:val="231F20"/>
          <w:w w:val="105"/>
        </w:rPr>
        <w:t>a</w:t>
      </w:r>
      <w:r>
        <w:rPr>
          <w:color w:val="231F20"/>
          <w:spacing w:val="-22"/>
          <w:w w:val="105"/>
        </w:rPr>
        <w:t> </w:t>
      </w:r>
      <w:r>
        <w:rPr>
          <w:color w:val="231F20"/>
          <w:w w:val="105"/>
        </w:rPr>
        <w:t>través del</w:t>
      </w:r>
      <w:r>
        <w:rPr>
          <w:color w:val="231F20"/>
          <w:spacing w:val="-21"/>
          <w:w w:val="105"/>
        </w:rPr>
        <w:t> </w:t>
      </w:r>
      <w:r>
        <w:rPr>
          <w:color w:val="231F20"/>
          <w:w w:val="105"/>
        </w:rPr>
        <w:t>trabajo</w:t>
      </w:r>
      <w:r>
        <w:rPr>
          <w:color w:val="231F20"/>
          <w:spacing w:val="-21"/>
          <w:w w:val="105"/>
        </w:rPr>
        <w:t> </w:t>
      </w:r>
      <w:r>
        <w:rPr>
          <w:color w:val="231F20"/>
          <w:w w:val="105"/>
        </w:rPr>
        <w:t>de</w:t>
      </w:r>
      <w:r>
        <w:rPr>
          <w:color w:val="231F20"/>
          <w:spacing w:val="-21"/>
          <w:w w:val="105"/>
        </w:rPr>
        <w:t> </w:t>
      </w:r>
      <w:r>
        <w:rPr>
          <w:color w:val="231F20"/>
          <w:w w:val="105"/>
        </w:rPr>
        <w:t>autoridades,</w:t>
      </w:r>
      <w:r>
        <w:rPr>
          <w:color w:val="231F20"/>
          <w:spacing w:val="-27"/>
          <w:w w:val="105"/>
        </w:rPr>
        <w:t> </w:t>
      </w:r>
      <w:r>
        <w:rPr>
          <w:color w:val="231F20"/>
          <w:w w:val="105"/>
        </w:rPr>
        <w:t>servidores</w:t>
      </w:r>
      <w:r>
        <w:rPr>
          <w:color w:val="231F20"/>
          <w:spacing w:val="-21"/>
          <w:w w:val="105"/>
        </w:rPr>
        <w:t> </w:t>
      </w:r>
      <w:r>
        <w:rPr>
          <w:color w:val="231F20"/>
          <w:w w:val="105"/>
        </w:rPr>
        <w:t>públicos</w:t>
      </w:r>
      <w:r>
        <w:rPr>
          <w:color w:val="231F20"/>
          <w:spacing w:val="-21"/>
          <w:w w:val="105"/>
        </w:rPr>
        <w:t> </w:t>
      </w:r>
      <w:r>
        <w:rPr>
          <w:color w:val="231F20"/>
          <w:w w:val="105"/>
        </w:rPr>
        <w:t>y</w:t>
      </w:r>
      <w:r>
        <w:rPr>
          <w:color w:val="231F20"/>
          <w:spacing w:val="-21"/>
          <w:w w:val="105"/>
        </w:rPr>
        <w:t> </w:t>
      </w:r>
      <w:r>
        <w:rPr>
          <w:color w:val="231F20"/>
          <w:w w:val="105"/>
        </w:rPr>
        <w:t>habitantes,</w:t>
      </w:r>
      <w:r>
        <w:rPr>
          <w:color w:val="231F20"/>
          <w:spacing w:val="-27"/>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de relaciones</w:t>
      </w:r>
      <w:r>
        <w:rPr>
          <w:color w:val="231F20"/>
          <w:spacing w:val="-15"/>
          <w:w w:val="105"/>
        </w:rPr>
        <w:t> </w:t>
      </w:r>
      <w:r>
        <w:rPr>
          <w:color w:val="231F20"/>
          <w:w w:val="105"/>
        </w:rPr>
        <w:t>y</w:t>
      </w:r>
      <w:r>
        <w:rPr>
          <w:color w:val="231F20"/>
          <w:spacing w:val="-15"/>
          <w:w w:val="105"/>
        </w:rPr>
        <w:t> </w:t>
      </w:r>
      <w:r>
        <w:rPr>
          <w:color w:val="231F20"/>
          <w:w w:val="105"/>
        </w:rPr>
        <w:t>recursos</w:t>
      </w:r>
      <w:r>
        <w:rPr>
          <w:color w:val="231F20"/>
          <w:spacing w:val="-15"/>
          <w:w w:val="105"/>
        </w:rPr>
        <w:t> </w:t>
      </w:r>
      <w:r>
        <w:rPr>
          <w:color w:val="231F20"/>
          <w:w w:val="105"/>
        </w:rPr>
        <w:t>provenientes</w:t>
      </w:r>
      <w:r>
        <w:rPr>
          <w:color w:val="231F20"/>
          <w:spacing w:val="-15"/>
          <w:w w:val="105"/>
        </w:rPr>
        <w:t> </w:t>
      </w:r>
      <w:r>
        <w:rPr>
          <w:color w:val="231F20"/>
          <w:w w:val="105"/>
        </w:rPr>
        <w:t>de</w:t>
      </w:r>
      <w:r>
        <w:rPr>
          <w:color w:val="231F20"/>
          <w:spacing w:val="-15"/>
          <w:w w:val="105"/>
        </w:rPr>
        <w:t> </w:t>
      </w:r>
      <w:r>
        <w:rPr>
          <w:color w:val="231F20"/>
          <w:w w:val="105"/>
        </w:rPr>
        <w:t>órganos</w:t>
      </w:r>
      <w:r>
        <w:rPr>
          <w:color w:val="231F20"/>
          <w:spacing w:val="-15"/>
          <w:w w:val="105"/>
        </w:rPr>
        <w:t> </w:t>
      </w:r>
      <w:r>
        <w:rPr>
          <w:color w:val="231F20"/>
          <w:w w:val="105"/>
        </w:rPr>
        <w:t>externos</w:t>
      </w:r>
      <w:r>
        <w:rPr>
          <w:color w:val="231F20"/>
          <w:spacing w:val="-15"/>
          <w:w w:val="105"/>
        </w:rPr>
        <w:t> </w:t>
      </w:r>
      <w:r>
        <w:rPr>
          <w:color w:val="231F20"/>
          <w:w w:val="105"/>
        </w:rPr>
        <w:t>a</w:t>
      </w:r>
      <w:r>
        <w:rPr>
          <w:color w:val="231F20"/>
          <w:spacing w:val="-15"/>
          <w:w w:val="105"/>
        </w:rPr>
        <w:t> </w:t>
      </w:r>
      <w:r>
        <w:rPr>
          <w:color w:val="231F20"/>
          <w:w w:val="105"/>
        </w:rPr>
        <w:t>nivel</w:t>
      </w:r>
      <w:r>
        <w:rPr>
          <w:color w:val="231F20"/>
          <w:spacing w:val="-15"/>
          <w:w w:val="105"/>
        </w:rPr>
        <w:t> </w:t>
      </w:r>
      <w:r>
        <w:rPr>
          <w:color w:val="231F20"/>
          <w:w w:val="105"/>
        </w:rPr>
        <w:t>estatal</w:t>
      </w:r>
      <w:r>
        <w:rPr>
          <w:color w:val="231F20"/>
          <w:spacing w:val="-15"/>
          <w:w w:val="105"/>
        </w:rPr>
        <w:t> </w:t>
      </w:r>
      <w:r>
        <w:rPr>
          <w:color w:val="231F20"/>
          <w:w w:val="105"/>
        </w:rPr>
        <w:t>y federal,</w:t>
      </w:r>
      <w:r>
        <w:rPr>
          <w:color w:val="231F20"/>
          <w:spacing w:val="-31"/>
          <w:w w:val="105"/>
        </w:rPr>
        <w:t> </w:t>
      </w:r>
      <w:r>
        <w:rPr>
          <w:color w:val="231F20"/>
          <w:w w:val="105"/>
        </w:rPr>
        <w:t>así</w:t>
      </w:r>
      <w:r>
        <w:rPr>
          <w:color w:val="231F20"/>
          <w:spacing w:val="-26"/>
          <w:w w:val="105"/>
        </w:rPr>
        <w:t> </w:t>
      </w:r>
      <w:r>
        <w:rPr>
          <w:color w:val="231F20"/>
          <w:w w:val="105"/>
        </w:rPr>
        <w:t>como</w:t>
      </w:r>
      <w:r>
        <w:rPr>
          <w:color w:val="231F20"/>
          <w:spacing w:val="-26"/>
          <w:w w:val="105"/>
        </w:rPr>
        <w:t> </w:t>
      </w:r>
      <w:r>
        <w:rPr>
          <w:color w:val="231F20"/>
          <w:w w:val="105"/>
        </w:rPr>
        <w:t>empresas</w:t>
      </w:r>
      <w:r>
        <w:rPr>
          <w:color w:val="231F20"/>
          <w:spacing w:val="-26"/>
          <w:w w:val="105"/>
        </w:rPr>
        <w:t> </w:t>
      </w:r>
      <w:r>
        <w:rPr>
          <w:color w:val="231F20"/>
          <w:w w:val="105"/>
        </w:rPr>
        <w:t>privadas</w:t>
      </w:r>
      <w:r>
        <w:rPr>
          <w:color w:val="231F20"/>
          <w:spacing w:val="-26"/>
          <w:w w:val="105"/>
        </w:rPr>
        <w:t> </w:t>
      </w:r>
      <w:r>
        <w:rPr>
          <w:color w:val="231F20"/>
          <w:w w:val="105"/>
        </w:rPr>
        <w:t>instaladas</w:t>
      </w:r>
      <w:r>
        <w:rPr>
          <w:color w:val="231F20"/>
          <w:spacing w:val="-26"/>
          <w:w w:val="105"/>
        </w:rPr>
        <w:t> </w:t>
      </w:r>
      <w:r>
        <w:rPr>
          <w:color w:val="231F20"/>
          <w:w w:val="105"/>
        </w:rPr>
        <w:t>en</w:t>
      </w:r>
      <w:r>
        <w:rPr>
          <w:color w:val="231F20"/>
          <w:spacing w:val="-26"/>
          <w:w w:val="105"/>
        </w:rPr>
        <w:t> </w:t>
      </w:r>
      <w:r>
        <w:rPr>
          <w:color w:val="231F20"/>
          <w:w w:val="105"/>
        </w:rPr>
        <w:t>su</w:t>
      </w:r>
      <w:r>
        <w:rPr>
          <w:color w:val="231F20"/>
          <w:spacing w:val="-26"/>
          <w:w w:val="105"/>
        </w:rPr>
        <w:t> </w:t>
      </w:r>
      <w:r>
        <w:rPr>
          <w:color w:val="231F20"/>
          <w:w w:val="105"/>
        </w:rPr>
        <w:t>territorio.</w:t>
      </w:r>
    </w:p>
    <w:p>
      <w:pPr>
        <w:pStyle w:val="BodyText"/>
        <w:spacing w:line="259" w:lineRule="auto"/>
        <w:ind w:left="117" w:right="102" w:firstLine="567"/>
        <w:jc w:val="both"/>
      </w:pPr>
      <w:r>
        <w:rPr>
          <w:color w:val="231F20"/>
          <w:w w:val="105"/>
        </w:rPr>
        <w:t>De</w:t>
      </w:r>
      <w:r>
        <w:rPr>
          <w:color w:val="231F20"/>
          <w:spacing w:val="-9"/>
          <w:w w:val="105"/>
        </w:rPr>
        <w:t> </w:t>
      </w:r>
      <w:r>
        <w:rPr>
          <w:color w:val="231F20"/>
          <w:w w:val="105"/>
        </w:rPr>
        <w:t>acuerdo</w:t>
      </w:r>
      <w:r>
        <w:rPr>
          <w:color w:val="231F20"/>
          <w:spacing w:val="-9"/>
          <w:w w:val="105"/>
        </w:rPr>
        <w:t> </w:t>
      </w:r>
      <w:r>
        <w:rPr>
          <w:color w:val="231F20"/>
          <w:w w:val="105"/>
        </w:rPr>
        <w:t>con</w:t>
      </w:r>
      <w:r>
        <w:rPr>
          <w:color w:val="231F20"/>
          <w:spacing w:val="-9"/>
          <w:w w:val="105"/>
        </w:rPr>
        <w:t> </w:t>
      </w:r>
      <w:r>
        <w:rPr>
          <w:color w:val="231F20"/>
          <w:w w:val="105"/>
        </w:rPr>
        <w:t>lo</w:t>
      </w:r>
      <w:r>
        <w:rPr>
          <w:color w:val="231F20"/>
          <w:spacing w:val="-9"/>
          <w:w w:val="105"/>
        </w:rPr>
        <w:t> </w:t>
      </w:r>
      <w:r>
        <w:rPr>
          <w:color w:val="231F20"/>
          <w:w w:val="105"/>
        </w:rPr>
        <w:t>expuesto</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capítulo,</w:t>
      </w:r>
      <w:r>
        <w:rPr>
          <w:color w:val="231F20"/>
          <w:spacing w:val="-14"/>
          <w:w w:val="105"/>
        </w:rPr>
        <w:t> </w:t>
      </w:r>
      <w:r>
        <w:rPr>
          <w:color w:val="231F20"/>
          <w:w w:val="105"/>
        </w:rPr>
        <w:t>el</w:t>
      </w:r>
      <w:r>
        <w:rPr>
          <w:color w:val="231F20"/>
          <w:spacing w:val="-9"/>
          <w:w w:val="105"/>
        </w:rPr>
        <w:t> </w:t>
      </w:r>
      <w:r>
        <w:rPr>
          <w:color w:val="231F20"/>
          <w:w w:val="105"/>
        </w:rPr>
        <w:t>aprendizaje</w:t>
      </w:r>
      <w:r>
        <w:rPr>
          <w:color w:val="231F20"/>
          <w:spacing w:val="-9"/>
          <w:w w:val="105"/>
        </w:rPr>
        <w:t> </w:t>
      </w:r>
      <w:r>
        <w:rPr>
          <w:color w:val="231F20"/>
          <w:w w:val="105"/>
        </w:rPr>
        <w:t>orga- nizacional puede constituirse como herramienta impulsora de ventajas competitivas</w:t>
      </w:r>
      <w:r>
        <w:rPr>
          <w:color w:val="231F20"/>
          <w:spacing w:val="-20"/>
          <w:w w:val="105"/>
        </w:rPr>
        <w:t> </w:t>
      </w:r>
      <w:r>
        <w:rPr>
          <w:color w:val="231F20"/>
          <w:w w:val="105"/>
        </w:rPr>
        <w:t>dinámicas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municipios.</w:t>
      </w:r>
      <w:r>
        <w:rPr>
          <w:color w:val="231F20"/>
          <w:spacing w:val="-25"/>
          <w:w w:val="105"/>
        </w:rPr>
        <w:t> </w:t>
      </w:r>
      <w:r>
        <w:rPr>
          <w:color w:val="231F20"/>
          <w:w w:val="105"/>
        </w:rPr>
        <w:t>En</w:t>
      </w:r>
      <w:r>
        <w:rPr>
          <w:color w:val="231F20"/>
          <w:spacing w:val="-20"/>
          <w:w w:val="105"/>
        </w:rPr>
        <w:t> </w:t>
      </w:r>
      <w:r>
        <w:rPr>
          <w:color w:val="231F20"/>
          <w:w w:val="105"/>
        </w:rPr>
        <w:t>palabras</w:t>
      </w:r>
      <w:r>
        <w:rPr>
          <w:color w:val="231F20"/>
          <w:spacing w:val="-20"/>
          <w:w w:val="105"/>
        </w:rPr>
        <w:t> </w:t>
      </w:r>
      <w:r>
        <w:rPr>
          <w:color w:val="231F20"/>
          <w:w w:val="105"/>
        </w:rPr>
        <w:t>de</w:t>
      </w:r>
      <w:r>
        <w:rPr>
          <w:color w:val="231F20"/>
          <w:spacing w:val="-20"/>
          <w:w w:val="105"/>
        </w:rPr>
        <w:t> </w:t>
      </w:r>
      <w:r>
        <w:rPr>
          <w:color w:val="231F20"/>
          <w:w w:val="105"/>
        </w:rPr>
        <w:t>Senge</w:t>
      </w:r>
      <w:r>
        <w:rPr>
          <w:color w:val="231F20"/>
          <w:spacing w:val="-20"/>
          <w:w w:val="105"/>
        </w:rPr>
        <w:t> </w:t>
      </w:r>
      <w:r>
        <w:rPr>
          <w:color w:val="231F20"/>
          <w:w w:val="105"/>
        </w:rPr>
        <w:t>(1990): l</w:t>
      </w:r>
      <w:r>
        <w:rPr>
          <w:w w:val="105"/>
        </w:rPr>
        <w:t>a</w:t>
      </w:r>
      <w:r>
        <w:rPr>
          <w:spacing w:val="-21"/>
          <w:w w:val="105"/>
        </w:rPr>
        <w:t> </w:t>
      </w:r>
      <w:r>
        <w:rPr>
          <w:w w:val="105"/>
        </w:rPr>
        <w:t>gente</w:t>
      </w:r>
      <w:r>
        <w:rPr>
          <w:spacing w:val="-21"/>
          <w:w w:val="105"/>
        </w:rPr>
        <w:t> </w:t>
      </w:r>
      <w:r>
        <w:rPr>
          <w:w w:val="105"/>
        </w:rPr>
        <w:t>aprende</w:t>
      </w:r>
      <w:r>
        <w:rPr>
          <w:spacing w:val="-21"/>
          <w:w w:val="105"/>
        </w:rPr>
        <w:t> </w:t>
      </w:r>
      <w:r>
        <w:rPr>
          <w:w w:val="105"/>
        </w:rPr>
        <w:t>con</w:t>
      </w:r>
      <w:r>
        <w:rPr>
          <w:spacing w:val="-21"/>
          <w:w w:val="105"/>
        </w:rPr>
        <w:t> </w:t>
      </w:r>
      <w:r>
        <w:rPr>
          <w:w w:val="105"/>
        </w:rPr>
        <w:t>mayor</w:t>
      </w:r>
      <w:r>
        <w:rPr>
          <w:spacing w:val="-21"/>
          <w:w w:val="105"/>
        </w:rPr>
        <w:t> </w:t>
      </w:r>
      <w:r>
        <w:rPr>
          <w:w w:val="105"/>
        </w:rPr>
        <w:t>rapidez</w:t>
      </w:r>
      <w:r>
        <w:rPr>
          <w:spacing w:val="-21"/>
          <w:w w:val="105"/>
        </w:rPr>
        <w:t> </w:t>
      </w:r>
      <w:r>
        <w:rPr>
          <w:w w:val="105"/>
        </w:rPr>
        <w:t>cuando</w:t>
      </w:r>
      <w:r>
        <w:rPr>
          <w:spacing w:val="-21"/>
          <w:w w:val="105"/>
        </w:rPr>
        <w:t> </w:t>
      </w:r>
      <w:r>
        <w:rPr>
          <w:w w:val="105"/>
        </w:rPr>
        <w:t>asume</w:t>
      </w:r>
      <w:r>
        <w:rPr>
          <w:spacing w:val="-21"/>
          <w:w w:val="105"/>
        </w:rPr>
        <w:t> </w:t>
      </w:r>
      <w:r>
        <w:rPr>
          <w:w w:val="105"/>
        </w:rPr>
        <w:t>genuina</w:t>
      </w:r>
      <w:r>
        <w:rPr>
          <w:spacing w:val="-21"/>
          <w:w w:val="105"/>
        </w:rPr>
        <w:t> </w:t>
      </w:r>
      <w:r>
        <w:rPr>
          <w:w w:val="105"/>
        </w:rPr>
        <w:t>responsabi- lidad</w:t>
      </w:r>
      <w:r>
        <w:rPr>
          <w:spacing w:val="-5"/>
          <w:w w:val="105"/>
        </w:rPr>
        <w:t> </w:t>
      </w:r>
      <w:r>
        <w:rPr>
          <w:w w:val="105"/>
        </w:rPr>
        <w:t>por</w:t>
      </w:r>
      <w:r>
        <w:rPr>
          <w:spacing w:val="-5"/>
          <w:w w:val="105"/>
        </w:rPr>
        <w:t> </w:t>
      </w:r>
      <w:r>
        <w:rPr>
          <w:w w:val="105"/>
        </w:rPr>
        <w:t>sus</w:t>
      </w:r>
      <w:r>
        <w:rPr>
          <w:spacing w:val="-5"/>
          <w:w w:val="105"/>
        </w:rPr>
        <w:t> </w:t>
      </w:r>
      <w:r>
        <w:rPr>
          <w:w w:val="105"/>
        </w:rPr>
        <w:t>actos.</w:t>
      </w:r>
      <w:r>
        <w:rPr>
          <w:spacing w:val="-10"/>
          <w:w w:val="105"/>
        </w:rPr>
        <w:t> </w:t>
      </w:r>
      <w:r>
        <w:rPr>
          <w:w w:val="105"/>
        </w:rPr>
        <w:t>La</w:t>
      </w:r>
      <w:r>
        <w:rPr>
          <w:spacing w:val="-5"/>
          <w:w w:val="105"/>
        </w:rPr>
        <w:t> </w:t>
      </w:r>
      <w:r>
        <w:rPr>
          <w:w w:val="105"/>
        </w:rPr>
        <w:t>impotencia,</w:t>
      </w:r>
      <w:r>
        <w:rPr>
          <w:spacing w:val="-10"/>
          <w:w w:val="105"/>
        </w:rPr>
        <w:t> </w:t>
      </w:r>
      <w:r>
        <w:rPr>
          <w:w w:val="105"/>
        </w:rPr>
        <w:t>la</w:t>
      </w:r>
      <w:r>
        <w:rPr>
          <w:spacing w:val="-5"/>
          <w:w w:val="105"/>
        </w:rPr>
        <w:t> </w:t>
      </w:r>
      <w:r>
        <w:rPr>
          <w:w w:val="105"/>
        </w:rPr>
        <w:t>creencia</w:t>
      </w:r>
      <w:r>
        <w:rPr>
          <w:spacing w:val="-5"/>
          <w:w w:val="105"/>
        </w:rPr>
        <w:t> </w:t>
      </w:r>
      <w:r>
        <w:rPr>
          <w:w w:val="105"/>
        </w:rPr>
        <w:t>de</w:t>
      </w:r>
      <w:r>
        <w:rPr>
          <w:spacing w:val="-5"/>
          <w:w w:val="105"/>
        </w:rPr>
        <w:t> </w:t>
      </w:r>
      <w:r>
        <w:rPr>
          <w:w w:val="105"/>
        </w:rPr>
        <w:t>que</w:t>
      </w:r>
      <w:r>
        <w:rPr>
          <w:spacing w:val="-5"/>
          <w:w w:val="105"/>
        </w:rPr>
        <w:t> </w:t>
      </w:r>
      <w:r>
        <w:rPr>
          <w:w w:val="105"/>
        </w:rPr>
        <w:t>no</w:t>
      </w:r>
      <w:r>
        <w:rPr>
          <w:spacing w:val="-5"/>
          <w:w w:val="105"/>
        </w:rPr>
        <w:t> </w:t>
      </w:r>
      <w:r>
        <w:rPr>
          <w:w w:val="105"/>
        </w:rPr>
        <w:t>podemos</w:t>
      </w:r>
      <w:r>
        <w:rPr>
          <w:spacing w:val="-5"/>
          <w:w w:val="105"/>
        </w:rPr>
        <w:t> </w:t>
      </w:r>
      <w:r>
        <w:rPr>
          <w:w w:val="105"/>
        </w:rPr>
        <w:t>mo- dificar</w:t>
      </w:r>
      <w:r>
        <w:rPr>
          <w:spacing w:val="-9"/>
          <w:w w:val="105"/>
        </w:rPr>
        <w:t> </w:t>
      </w:r>
      <w:r>
        <w:rPr>
          <w:w w:val="105"/>
        </w:rPr>
        <w:t>las</w:t>
      </w:r>
      <w:r>
        <w:rPr>
          <w:spacing w:val="-9"/>
          <w:w w:val="105"/>
        </w:rPr>
        <w:t> </w:t>
      </w:r>
      <w:r>
        <w:rPr>
          <w:w w:val="105"/>
        </w:rPr>
        <w:t>circunstancias</w:t>
      </w:r>
      <w:r>
        <w:rPr>
          <w:spacing w:val="-9"/>
          <w:w w:val="105"/>
        </w:rPr>
        <w:t> </w:t>
      </w:r>
      <w:r>
        <w:rPr>
          <w:w w:val="105"/>
        </w:rPr>
        <w:t>en</w:t>
      </w:r>
      <w:r>
        <w:rPr>
          <w:spacing w:val="-9"/>
          <w:w w:val="105"/>
        </w:rPr>
        <w:t> </w:t>
      </w:r>
      <w:r>
        <w:rPr>
          <w:w w:val="105"/>
        </w:rPr>
        <w:t>que</w:t>
      </w:r>
      <w:r>
        <w:rPr>
          <w:spacing w:val="-9"/>
          <w:w w:val="105"/>
        </w:rPr>
        <w:t> </w:t>
      </w:r>
      <w:r>
        <w:rPr>
          <w:w w:val="105"/>
        </w:rPr>
        <w:t>vivimos,</w:t>
      </w:r>
      <w:r>
        <w:rPr>
          <w:spacing w:val="-13"/>
          <w:w w:val="105"/>
        </w:rPr>
        <w:t> </w:t>
      </w:r>
      <w:r>
        <w:rPr>
          <w:w w:val="105"/>
        </w:rPr>
        <w:t>atenta</w:t>
      </w:r>
      <w:r>
        <w:rPr>
          <w:spacing w:val="-9"/>
          <w:w w:val="105"/>
        </w:rPr>
        <w:t> </w:t>
      </w:r>
      <w:r>
        <w:rPr>
          <w:w w:val="105"/>
        </w:rPr>
        <w:t>contra</w:t>
      </w:r>
      <w:r>
        <w:rPr>
          <w:spacing w:val="-9"/>
          <w:w w:val="105"/>
        </w:rPr>
        <w:t> </w:t>
      </w:r>
      <w:r>
        <w:rPr>
          <w:w w:val="105"/>
        </w:rPr>
        <w:t>el</w:t>
      </w:r>
      <w:r>
        <w:rPr>
          <w:spacing w:val="-9"/>
          <w:w w:val="105"/>
        </w:rPr>
        <w:t> </w:t>
      </w:r>
      <w:r>
        <w:rPr>
          <w:w w:val="105"/>
        </w:rPr>
        <w:t>incentivo</w:t>
      </w:r>
      <w:r>
        <w:rPr>
          <w:spacing w:val="-9"/>
          <w:w w:val="105"/>
        </w:rPr>
        <w:t> </w:t>
      </w:r>
      <w:r>
        <w:rPr>
          <w:w w:val="105"/>
        </w:rPr>
        <w:t>para aprender,</w:t>
      </w:r>
      <w:r>
        <w:rPr>
          <w:spacing w:val="-16"/>
          <w:w w:val="105"/>
        </w:rPr>
        <w:t> </w:t>
      </w:r>
      <w:r>
        <w:rPr>
          <w:w w:val="105"/>
        </w:rPr>
        <w:t>al</w:t>
      </w:r>
      <w:r>
        <w:rPr>
          <w:spacing w:val="-10"/>
          <w:w w:val="105"/>
        </w:rPr>
        <w:t> </w:t>
      </w:r>
      <w:r>
        <w:rPr>
          <w:w w:val="105"/>
        </w:rPr>
        <w:t>igual</w:t>
      </w:r>
      <w:r>
        <w:rPr>
          <w:spacing w:val="-10"/>
          <w:w w:val="105"/>
        </w:rPr>
        <w:t> </w:t>
      </w:r>
      <w:r>
        <w:rPr>
          <w:w w:val="105"/>
        </w:rPr>
        <w:t>de</w:t>
      </w:r>
      <w:r>
        <w:rPr>
          <w:spacing w:val="-10"/>
          <w:w w:val="105"/>
        </w:rPr>
        <w:t> </w:t>
      </w:r>
      <w:r>
        <w:rPr>
          <w:w w:val="105"/>
        </w:rPr>
        <w:t>que</w:t>
      </w:r>
      <w:r>
        <w:rPr>
          <w:spacing w:val="-10"/>
          <w:w w:val="105"/>
        </w:rPr>
        <w:t> </w:t>
      </w:r>
      <w:r>
        <w:rPr>
          <w:w w:val="105"/>
        </w:rPr>
        <w:t>la</w:t>
      </w:r>
      <w:r>
        <w:rPr>
          <w:spacing w:val="-10"/>
          <w:w w:val="105"/>
        </w:rPr>
        <w:t> </w:t>
      </w:r>
      <w:r>
        <w:rPr>
          <w:w w:val="105"/>
        </w:rPr>
        <w:t>creencia</w:t>
      </w:r>
      <w:r>
        <w:rPr>
          <w:spacing w:val="-10"/>
          <w:w w:val="105"/>
        </w:rPr>
        <w:t> </w:t>
      </w:r>
      <w:r>
        <w:rPr>
          <w:w w:val="105"/>
        </w:rPr>
        <w:t>de</w:t>
      </w:r>
      <w:r>
        <w:rPr>
          <w:spacing w:val="-10"/>
          <w:w w:val="105"/>
        </w:rPr>
        <w:t> </w:t>
      </w:r>
      <w:r>
        <w:rPr>
          <w:w w:val="105"/>
        </w:rPr>
        <w:t>que</w:t>
      </w:r>
      <w:r>
        <w:rPr>
          <w:spacing w:val="-10"/>
          <w:w w:val="105"/>
        </w:rPr>
        <w:t> </w:t>
      </w:r>
      <w:r>
        <w:rPr>
          <w:w w:val="105"/>
        </w:rPr>
        <w:t>otra</w:t>
      </w:r>
      <w:r>
        <w:rPr>
          <w:spacing w:val="-10"/>
          <w:w w:val="105"/>
        </w:rPr>
        <w:t> </w:t>
      </w:r>
      <w:r>
        <w:rPr>
          <w:w w:val="105"/>
        </w:rPr>
        <w:t>persona</w:t>
      </w:r>
      <w:r>
        <w:rPr>
          <w:spacing w:val="-10"/>
          <w:w w:val="105"/>
        </w:rPr>
        <w:t> </w:t>
      </w:r>
      <w:r>
        <w:rPr>
          <w:w w:val="105"/>
        </w:rPr>
        <w:t>dicta</w:t>
      </w:r>
      <w:r>
        <w:rPr>
          <w:spacing w:val="-10"/>
          <w:w w:val="105"/>
        </w:rPr>
        <w:t> </w:t>
      </w:r>
      <w:r>
        <w:rPr>
          <w:w w:val="105"/>
        </w:rPr>
        <w:t>nuestros actos desde otra parte. </w:t>
      </w:r>
      <w:r>
        <w:rPr>
          <w:spacing w:val="-6"/>
          <w:w w:val="105"/>
        </w:rPr>
        <w:t>Por </w:t>
      </w:r>
      <w:r>
        <w:rPr>
          <w:w w:val="105"/>
        </w:rPr>
        <w:t>el contrario, si sabemos que nuestro desti- no</w:t>
      </w:r>
      <w:r>
        <w:rPr>
          <w:spacing w:val="-20"/>
          <w:w w:val="105"/>
        </w:rPr>
        <w:t> </w:t>
      </w:r>
      <w:r>
        <w:rPr>
          <w:w w:val="105"/>
        </w:rPr>
        <w:t>está</w:t>
      </w:r>
      <w:r>
        <w:rPr>
          <w:spacing w:val="-20"/>
          <w:w w:val="105"/>
        </w:rPr>
        <w:t> </w:t>
      </w:r>
      <w:r>
        <w:rPr>
          <w:w w:val="105"/>
        </w:rPr>
        <w:t>en</w:t>
      </w:r>
      <w:r>
        <w:rPr>
          <w:spacing w:val="-20"/>
          <w:w w:val="105"/>
        </w:rPr>
        <w:t> </w:t>
      </w:r>
      <w:r>
        <w:rPr>
          <w:w w:val="105"/>
        </w:rPr>
        <w:t>nuestras</w:t>
      </w:r>
      <w:r>
        <w:rPr>
          <w:spacing w:val="-20"/>
          <w:w w:val="105"/>
        </w:rPr>
        <w:t> </w:t>
      </w:r>
      <w:r>
        <w:rPr>
          <w:w w:val="105"/>
        </w:rPr>
        <w:t>manos,</w:t>
      </w:r>
      <w:r>
        <w:rPr>
          <w:spacing w:val="-25"/>
          <w:w w:val="105"/>
        </w:rPr>
        <w:t> </w:t>
      </w:r>
      <w:r>
        <w:rPr>
          <w:w w:val="105"/>
        </w:rPr>
        <w:t>el</w:t>
      </w:r>
      <w:r>
        <w:rPr>
          <w:spacing w:val="-20"/>
          <w:w w:val="105"/>
        </w:rPr>
        <w:t> </w:t>
      </w:r>
      <w:r>
        <w:rPr>
          <w:w w:val="105"/>
        </w:rPr>
        <w:t>aprendizaje</w:t>
      </w:r>
      <w:r>
        <w:rPr>
          <w:spacing w:val="-20"/>
          <w:w w:val="105"/>
        </w:rPr>
        <w:t> </w:t>
      </w:r>
      <w:r>
        <w:rPr>
          <w:w w:val="105"/>
        </w:rPr>
        <w:t>importa.</w:t>
      </w:r>
      <w:r>
        <w:rPr>
          <w:spacing w:val="-25"/>
          <w:w w:val="105"/>
        </w:rPr>
        <w:t> </w:t>
      </w:r>
      <w:r>
        <w:rPr>
          <w:spacing w:val="-6"/>
          <w:w w:val="105"/>
        </w:rPr>
        <w:t>Por</w:t>
      </w:r>
      <w:r>
        <w:rPr>
          <w:spacing w:val="-20"/>
          <w:w w:val="105"/>
        </w:rPr>
        <w:t> </w:t>
      </w:r>
      <w:r>
        <w:rPr>
          <w:w w:val="105"/>
        </w:rPr>
        <w:t>eso</w:t>
      </w:r>
      <w:r>
        <w:rPr>
          <w:spacing w:val="-20"/>
          <w:w w:val="105"/>
        </w:rPr>
        <w:t> </w:t>
      </w:r>
      <w:r>
        <w:rPr>
          <w:w w:val="105"/>
        </w:rPr>
        <w:t>las</w:t>
      </w:r>
      <w:r>
        <w:rPr>
          <w:spacing w:val="-20"/>
          <w:w w:val="105"/>
        </w:rPr>
        <w:t> </w:t>
      </w:r>
      <w:r>
        <w:rPr>
          <w:w w:val="105"/>
        </w:rPr>
        <w:t>organiza- ciones</w:t>
      </w:r>
      <w:r>
        <w:rPr>
          <w:spacing w:val="-18"/>
          <w:w w:val="105"/>
        </w:rPr>
        <w:t> </w:t>
      </w:r>
      <w:r>
        <w:rPr>
          <w:w w:val="105"/>
        </w:rPr>
        <w:t>inteligentes</w:t>
      </w:r>
      <w:r>
        <w:rPr>
          <w:spacing w:val="-18"/>
          <w:w w:val="105"/>
        </w:rPr>
        <w:t> </w:t>
      </w:r>
      <w:r>
        <w:rPr>
          <w:w w:val="105"/>
        </w:rPr>
        <w:t>serán,</w:t>
      </w:r>
      <w:r>
        <w:rPr>
          <w:spacing w:val="-22"/>
          <w:w w:val="105"/>
        </w:rPr>
        <w:t> </w:t>
      </w:r>
      <w:r>
        <w:rPr>
          <w:w w:val="105"/>
        </w:rPr>
        <w:t>cada</w:t>
      </w:r>
      <w:r>
        <w:rPr>
          <w:spacing w:val="-18"/>
          <w:w w:val="105"/>
        </w:rPr>
        <w:t> </w:t>
      </w:r>
      <w:r>
        <w:rPr>
          <w:w w:val="105"/>
        </w:rPr>
        <w:t>vez</w:t>
      </w:r>
      <w:r>
        <w:rPr>
          <w:spacing w:val="-18"/>
          <w:w w:val="105"/>
        </w:rPr>
        <w:t> </w:t>
      </w:r>
      <w:r>
        <w:rPr>
          <w:w w:val="105"/>
        </w:rPr>
        <w:t>más,</w:t>
      </w:r>
      <w:r>
        <w:rPr>
          <w:spacing w:val="-22"/>
          <w:w w:val="105"/>
        </w:rPr>
        <w:t> </w:t>
      </w:r>
      <w:r>
        <w:rPr>
          <w:w w:val="105"/>
        </w:rPr>
        <w:t>organizaciones</w:t>
      </w:r>
      <w:r>
        <w:rPr>
          <w:spacing w:val="-18"/>
          <w:w w:val="105"/>
        </w:rPr>
        <w:t> </w:t>
      </w:r>
      <w:r>
        <w:rPr>
          <w:w w:val="105"/>
        </w:rPr>
        <w:t>“localistas”</w:t>
      </w:r>
      <w:r>
        <w:rPr>
          <w:spacing w:val="-18"/>
          <w:w w:val="105"/>
        </w:rPr>
        <w:t> </w:t>
      </w:r>
      <w:r>
        <w:rPr>
          <w:w w:val="105"/>
        </w:rPr>
        <w:t>que distribuyan el máximo grado de autoridad y poder tan lejos de la</w:t>
      </w:r>
      <w:r>
        <w:rPr>
          <w:spacing w:val="-5"/>
          <w:w w:val="105"/>
        </w:rPr>
        <w:t> </w:t>
      </w:r>
      <w:r>
        <w:rPr>
          <w:spacing w:val="-3"/>
          <w:w w:val="105"/>
        </w:rPr>
        <w:t>“cima” </w:t>
      </w:r>
      <w:r>
        <w:rPr>
          <w:w w:val="105"/>
        </w:rPr>
        <w:t>como</w:t>
      </w:r>
      <w:r>
        <w:rPr>
          <w:spacing w:val="-19"/>
          <w:w w:val="105"/>
        </w:rPr>
        <w:t> </w:t>
      </w:r>
      <w:r>
        <w:rPr>
          <w:w w:val="105"/>
        </w:rPr>
        <w:t>sea</w:t>
      </w:r>
      <w:r>
        <w:rPr>
          <w:spacing w:val="-19"/>
          <w:w w:val="105"/>
        </w:rPr>
        <w:t> </w:t>
      </w:r>
      <w:r>
        <w:rPr>
          <w:w w:val="105"/>
        </w:rPr>
        <w:t>posible</w:t>
      </w:r>
      <w:r>
        <w:rPr>
          <w:spacing w:val="-19"/>
          <w:w w:val="105"/>
        </w:rPr>
        <w:t> </w:t>
      </w:r>
      <w:r>
        <w:rPr>
          <w:w w:val="105"/>
        </w:rPr>
        <w:t>(p.</w:t>
      </w:r>
      <w:r>
        <w:rPr>
          <w:spacing w:val="-25"/>
          <w:w w:val="105"/>
        </w:rPr>
        <w:t> </w:t>
      </w:r>
      <w:r>
        <w:rPr>
          <w:w w:val="105"/>
        </w:rPr>
        <w:t>357).</w:t>
      </w:r>
    </w:p>
    <w:p>
      <w:pPr>
        <w:pStyle w:val="BodyText"/>
        <w:spacing w:line="259" w:lineRule="auto"/>
        <w:ind w:left="117" w:right="101" w:firstLine="567"/>
        <w:jc w:val="both"/>
      </w:pPr>
      <w:r>
        <w:rPr>
          <w:color w:val="231F20"/>
          <w:w w:val="105"/>
        </w:rPr>
        <w:t>En primera instancia, resulta fundamental que autoridades muni- cipales</w:t>
      </w:r>
      <w:r>
        <w:rPr>
          <w:color w:val="231F20"/>
          <w:spacing w:val="-22"/>
          <w:w w:val="105"/>
        </w:rPr>
        <w:t> </w:t>
      </w:r>
      <w:r>
        <w:rPr>
          <w:color w:val="231F20"/>
          <w:w w:val="105"/>
        </w:rPr>
        <w:t>se</w:t>
      </w:r>
      <w:r>
        <w:rPr>
          <w:color w:val="231F20"/>
          <w:spacing w:val="-22"/>
          <w:w w:val="105"/>
        </w:rPr>
        <w:t> </w:t>
      </w:r>
      <w:r>
        <w:rPr>
          <w:color w:val="231F20"/>
          <w:w w:val="105"/>
        </w:rPr>
        <w:t>concienticen</w:t>
      </w:r>
      <w:r>
        <w:rPr>
          <w:color w:val="231F20"/>
          <w:spacing w:val="-22"/>
          <w:w w:val="105"/>
        </w:rPr>
        <w:t> </w:t>
      </w:r>
      <w:r>
        <w:rPr>
          <w:color w:val="231F20"/>
          <w:w w:val="105"/>
        </w:rPr>
        <w:t>sobre</w:t>
      </w:r>
      <w:r>
        <w:rPr>
          <w:color w:val="231F20"/>
          <w:spacing w:val="-22"/>
          <w:w w:val="105"/>
        </w:rPr>
        <w:t> </w:t>
      </w:r>
      <w:r>
        <w:rPr>
          <w:color w:val="231F20"/>
          <w:w w:val="105"/>
        </w:rPr>
        <w:t>la</w:t>
      </w:r>
      <w:r>
        <w:rPr>
          <w:color w:val="231F20"/>
          <w:spacing w:val="-22"/>
          <w:w w:val="105"/>
        </w:rPr>
        <w:t> </w:t>
      </w:r>
      <w:r>
        <w:rPr>
          <w:color w:val="231F20"/>
          <w:w w:val="105"/>
        </w:rPr>
        <w:t>trascendencia</w:t>
      </w:r>
      <w:r>
        <w:rPr>
          <w:color w:val="231F20"/>
          <w:spacing w:val="-22"/>
          <w:w w:val="105"/>
        </w:rPr>
        <w:t> </w:t>
      </w:r>
      <w:r>
        <w:rPr>
          <w:color w:val="231F20"/>
          <w:w w:val="105"/>
        </w:rPr>
        <w:t>del</w:t>
      </w:r>
      <w:r>
        <w:rPr>
          <w:color w:val="231F20"/>
          <w:spacing w:val="-22"/>
          <w:w w:val="105"/>
        </w:rPr>
        <w:t> </w:t>
      </w:r>
      <w:r>
        <w:rPr>
          <w:color w:val="231F20"/>
          <w:w w:val="105"/>
        </w:rPr>
        <w:t>aprendizaje</w:t>
      </w:r>
      <w:r>
        <w:rPr>
          <w:color w:val="231F20"/>
          <w:spacing w:val="-22"/>
          <w:w w:val="105"/>
        </w:rPr>
        <w:t> </w:t>
      </w:r>
      <w:r>
        <w:rPr>
          <w:color w:val="231F20"/>
          <w:w w:val="105"/>
        </w:rPr>
        <w:t>organiza- cional</w:t>
      </w:r>
      <w:r>
        <w:rPr>
          <w:color w:val="231F20"/>
          <w:spacing w:val="-21"/>
          <w:w w:val="105"/>
        </w:rPr>
        <w:t> </w:t>
      </w:r>
      <w:r>
        <w:rPr>
          <w:color w:val="231F20"/>
          <w:w w:val="105"/>
        </w:rPr>
        <w:t>como</w:t>
      </w:r>
      <w:r>
        <w:rPr>
          <w:color w:val="231F20"/>
          <w:spacing w:val="-21"/>
          <w:w w:val="105"/>
        </w:rPr>
        <w:t> </w:t>
      </w:r>
      <w:r>
        <w:rPr>
          <w:color w:val="231F20"/>
          <w:w w:val="105"/>
        </w:rPr>
        <w:t>un</w:t>
      </w:r>
      <w:r>
        <w:rPr>
          <w:color w:val="231F20"/>
          <w:spacing w:val="-21"/>
          <w:w w:val="105"/>
        </w:rPr>
        <w:t> </w:t>
      </w:r>
      <w:r>
        <w:rPr>
          <w:color w:val="231F20"/>
          <w:w w:val="105"/>
        </w:rPr>
        <w:t>proceso</w:t>
      </w:r>
      <w:r>
        <w:rPr>
          <w:color w:val="231F20"/>
          <w:spacing w:val="-21"/>
          <w:w w:val="105"/>
        </w:rPr>
        <w:t> </w:t>
      </w:r>
      <w:r>
        <w:rPr>
          <w:color w:val="231F20"/>
          <w:w w:val="105"/>
        </w:rPr>
        <w:t>para</w:t>
      </w:r>
      <w:r>
        <w:rPr>
          <w:color w:val="231F20"/>
          <w:spacing w:val="-21"/>
          <w:w w:val="105"/>
        </w:rPr>
        <w:t> </w:t>
      </w:r>
      <w:r>
        <w:rPr>
          <w:color w:val="231F20"/>
          <w:w w:val="105"/>
        </w:rPr>
        <w:t>aplicar</w:t>
      </w:r>
      <w:r>
        <w:rPr>
          <w:color w:val="231F20"/>
          <w:spacing w:val="-21"/>
          <w:w w:val="105"/>
        </w:rPr>
        <w:t> </w:t>
      </w:r>
      <w:r>
        <w:rPr>
          <w:color w:val="231F20"/>
          <w:w w:val="105"/>
        </w:rPr>
        <w:t>y</w:t>
      </w:r>
      <w:r>
        <w:rPr>
          <w:color w:val="231F20"/>
          <w:spacing w:val="-21"/>
          <w:w w:val="105"/>
        </w:rPr>
        <w:t> </w:t>
      </w:r>
      <w:r>
        <w:rPr>
          <w:color w:val="231F20"/>
          <w:w w:val="105"/>
        </w:rPr>
        <w:t>compartir</w:t>
      </w:r>
      <w:r>
        <w:rPr>
          <w:color w:val="231F20"/>
          <w:spacing w:val="-21"/>
          <w:w w:val="105"/>
        </w:rPr>
        <w:t> </w:t>
      </w:r>
      <w:r>
        <w:rPr>
          <w:color w:val="231F20"/>
          <w:w w:val="105"/>
        </w:rPr>
        <w:t>los</w:t>
      </w:r>
      <w:r>
        <w:rPr>
          <w:color w:val="231F20"/>
          <w:spacing w:val="-21"/>
          <w:w w:val="105"/>
        </w:rPr>
        <w:t> </w:t>
      </w:r>
      <w:r>
        <w:rPr>
          <w:color w:val="231F20"/>
          <w:w w:val="105"/>
        </w:rPr>
        <w:t>conocimientos,</w:t>
      </w:r>
      <w:r>
        <w:rPr>
          <w:color w:val="231F20"/>
          <w:spacing w:val="-26"/>
          <w:w w:val="105"/>
        </w:rPr>
        <w:t> </w:t>
      </w:r>
      <w:r>
        <w:rPr>
          <w:color w:val="231F20"/>
          <w:w w:val="105"/>
        </w:rPr>
        <w:t>tanto en</w:t>
      </w:r>
      <w:r>
        <w:rPr>
          <w:color w:val="231F20"/>
          <w:spacing w:val="-21"/>
          <w:w w:val="105"/>
        </w:rPr>
        <w:t> </w:t>
      </w:r>
      <w:r>
        <w:rPr>
          <w:color w:val="231F20"/>
          <w:w w:val="105"/>
        </w:rPr>
        <w:t>sus</w:t>
      </w:r>
      <w:r>
        <w:rPr>
          <w:color w:val="231F20"/>
          <w:spacing w:val="-21"/>
          <w:w w:val="105"/>
        </w:rPr>
        <w:t> </w:t>
      </w:r>
      <w:r>
        <w:rPr>
          <w:color w:val="231F20"/>
          <w:w w:val="105"/>
        </w:rPr>
        <w:t>organizaciones</w:t>
      </w:r>
      <w:r>
        <w:rPr>
          <w:color w:val="231F20"/>
          <w:spacing w:val="-21"/>
          <w:w w:val="105"/>
        </w:rPr>
        <w:t> </w:t>
      </w:r>
      <w:r>
        <w:rPr>
          <w:color w:val="231F20"/>
          <w:w w:val="105"/>
        </w:rPr>
        <w:t>como</w:t>
      </w:r>
      <w:r>
        <w:rPr>
          <w:color w:val="231F20"/>
          <w:spacing w:val="-21"/>
          <w:w w:val="105"/>
        </w:rPr>
        <w:t> </w:t>
      </w:r>
      <w:r>
        <w:rPr>
          <w:color w:val="231F20"/>
          <w:w w:val="105"/>
        </w:rPr>
        <w:t>entre</w:t>
      </w:r>
      <w:r>
        <w:rPr>
          <w:color w:val="231F20"/>
          <w:spacing w:val="-21"/>
          <w:w w:val="105"/>
        </w:rPr>
        <w:t> </w:t>
      </w:r>
      <w:r>
        <w:rPr>
          <w:color w:val="231F20"/>
          <w:w w:val="105"/>
        </w:rPr>
        <w:t>sus</w:t>
      </w:r>
      <w:r>
        <w:rPr>
          <w:color w:val="231F20"/>
          <w:spacing w:val="-21"/>
          <w:w w:val="105"/>
        </w:rPr>
        <w:t> </w:t>
      </w:r>
      <w:r>
        <w:rPr>
          <w:color w:val="231F20"/>
          <w:w w:val="105"/>
        </w:rPr>
        <w:t>habitantes</w:t>
      </w:r>
      <w:r>
        <w:rPr>
          <w:color w:val="231F20"/>
          <w:spacing w:val="-21"/>
          <w:w w:val="105"/>
        </w:rPr>
        <w:t> </w:t>
      </w:r>
      <w:r>
        <w:rPr>
          <w:color w:val="231F20"/>
          <w:w w:val="105"/>
        </w:rPr>
        <w:t>y</w:t>
      </w:r>
      <w:r>
        <w:rPr>
          <w:color w:val="231F20"/>
          <w:spacing w:val="-21"/>
          <w:w w:val="105"/>
        </w:rPr>
        <w:t> </w:t>
      </w:r>
      <w:r>
        <w:rPr>
          <w:color w:val="231F20"/>
          <w:w w:val="105"/>
        </w:rPr>
        <w:t>los</w:t>
      </w:r>
      <w:r>
        <w:rPr>
          <w:color w:val="231F20"/>
          <w:spacing w:val="-21"/>
          <w:w w:val="105"/>
        </w:rPr>
        <w:t> </w:t>
      </w:r>
      <w:r>
        <w:rPr>
          <w:color w:val="231F20"/>
          <w:w w:val="105"/>
        </w:rPr>
        <w:t>beneficios</w:t>
      </w:r>
      <w:r>
        <w:rPr>
          <w:color w:val="231F20"/>
          <w:spacing w:val="-21"/>
          <w:w w:val="105"/>
        </w:rPr>
        <w:t> </w:t>
      </w:r>
      <w:r>
        <w:rPr>
          <w:color w:val="231F20"/>
          <w:w w:val="105"/>
        </w:rPr>
        <w:t>que</w:t>
      </w:r>
      <w:r>
        <w:rPr>
          <w:color w:val="231F20"/>
          <w:spacing w:val="-21"/>
          <w:w w:val="105"/>
        </w:rPr>
        <w:t> </w:t>
      </w:r>
      <w:r>
        <w:rPr>
          <w:color w:val="231F20"/>
          <w:w w:val="105"/>
        </w:rPr>
        <w:t>de él pueden</w:t>
      </w:r>
      <w:r>
        <w:rPr>
          <w:color w:val="231F20"/>
          <w:spacing w:val="-21"/>
          <w:w w:val="105"/>
        </w:rPr>
        <w:t> </w:t>
      </w:r>
      <w:r>
        <w:rPr>
          <w:color w:val="231F20"/>
          <w:w w:val="105"/>
        </w:rPr>
        <w:t>derivar.</w:t>
      </w:r>
    </w:p>
    <w:p>
      <w:pPr>
        <w:pStyle w:val="BodyText"/>
        <w:spacing w:line="259" w:lineRule="auto"/>
        <w:ind w:left="117" w:right="101" w:firstLine="567"/>
        <w:jc w:val="both"/>
      </w:pPr>
      <w:r>
        <w:rPr>
          <w:color w:val="231F20"/>
          <w:w w:val="105"/>
        </w:rPr>
        <w:t>Adicionalmente, es conveniente hacer referencia a algunos ele- mentos</w:t>
      </w:r>
      <w:r>
        <w:rPr>
          <w:color w:val="231F20"/>
          <w:spacing w:val="-30"/>
          <w:w w:val="105"/>
        </w:rPr>
        <w:t> </w:t>
      </w:r>
      <w:r>
        <w:rPr>
          <w:color w:val="231F20"/>
          <w:w w:val="105"/>
        </w:rPr>
        <w:t>sustantivos</w:t>
      </w:r>
      <w:r>
        <w:rPr>
          <w:color w:val="231F20"/>
          <w:spacing w:val="-30"/>
          <w:w w:val="105"/>
        </w:rPr>
        <w:t> </w:t>
      </w:r>
      <w:r>
        <w:rPr>
          <w:color w:val="231F20"/>
          <w:w w:val="105"/>
        </w:rPr>
        <w:t>para</w:t>
      </w:r>
      <w:r>
        <w:rPr>
          <w:color w:val="231F20"/>
          <w:spacing w:val="-30"/>
          <w:w w:val="105"/>
        </w:rPr>
        <w:t> </w:t>
      </w:r>
      <w:r>
        <w:rPr>
          <w:color w:val="231F20"/>
          <w:w w:val="105"/>
        </w:rPr>
        <w:t>impulsar</w:t>
      </w:r>
      <w:r>
        <w:rPr>
          <w:color w:val="231F20"/>
          <w:spacing w:val="-30"/>
          <w:w w:val="105"/>
        </w:rPr>
        <w:t> </w:t>
      </w:r>
      <w:r>
        <w:rPr>
          <w:color w:val="231F20"/>
          <w:w w:val="105"/>
        </w:rPr>
        <w:t>la</w:t>
      </w:r>
      <w:r>
        <w:rPr>
          <w:color w:val="231F20"/>
          <w:spacing w:val="-30"/>
          <w:w w:val="105"/>
        </w:rPr>
        <w:t> </w:t>
      </w:r>
      <w:r>
        <w:rPr>
          <w:color w:val="231F20"/>
          <w:w w:val="105"/>
        </w:rPr>
        <w:t>competitividad</w:t>
      </w:r>
      <w:r>
        <w:rPr>
          <w:color w:val="231F20"/>
          <w:spacing w:val="-30"/>
          <w:w w:val="105"/>
        </w:rPr>
        <w:t> </w:t>
      </w:r>
      <w:r>
        <w:rPr>
          <w:color w:val="231F20"/>
          <w:w w:val="105"/>
        </w:rPr>
        <w:t>municipal</w:t>
      </w:r>
      <w:r>
        <w:rPr>
          <w:color w:val="231F20"/>
          <w:spacing w:val="-30"/>
          <w:w w:val="105"/>
        </w:rPr>
        <w:t> </w:t>
      </w:r>
      <w:r>
        <w:rPr>
          <w:color w:val="231F20"/>
          <w:w w:val="105"/>
        </w:rPr>
        <w:t>a</w:t>
      </w:r>
      <w:r>
        <w:rPr>
          <w:color w:val="231F20"/>
          <w:spacing w:val="-30"/>
          <w:w w:val="105"/>
        </w:rPr>
        <w:t> </w:t>
      </w:r>
      <w:r>
        <w:rPr>
          <w:color w:val="231F20"/>
          <w:w w:val="105"/>
        </w:rPr>
        <w:t>través</w:t>
      </w:r>
      <w:r>
        <w:rPr>
          <w:color w:val="231F20"/>
          <w:spacing w:val="-30"/>
          <w:w w:val="105"/>
        </w:rPr>
        <w:t> </w:t>
      </w:r>
      <w:r>
        <w:rPr>
          <w:color w:val="231F20"/>
          <w:w w:val="105"/>
        </w:rPr>
        <w:t>del aprendizaje</w:t>
      </w:r>
      <w:r>
        <w:rPr>
          <w:color w:val="231F20"/>
          <w:spacing w:val="-7"/>
          <w:w w:val="105"/>
        </w:rPr>
        <w:t> </w:t>
      </w:r>
      <w:r>
        <w:rPr>
          <w:color w:val="231F20"/>
          <w:w w:val="105"/>
        </w:rPr>
        <w:t>organizacional</w:t>
      </w:r>
      <w:r>
        <w:rPr>
          <w:color w:val="231F20"/>
          <w:spacing w:val="-7"/>
          <w:w w:val="105"/>
        </w:rPr>
        <w:t> </w:t>
      </w:r>
      <w:r>
        <w:rPr>
          <w:color w:val="231F20"/>
          <w:w w:val="105"/>
        </w:rPr>
        <w:t>como:</w:t>
      </w:r>
      <w:r>
        <w:rPr>
          <w:color w:val="231F20"/>
          <w:spacing w:val="-7"/>
          <w:w w:val="105"/>
        </w:rPr>
        <w:t> </w:t>
      </w:r>
      <w:r>
        <w:rPr>
          <w:color w:val="231F20"/>
          <w:w w:val="105"/>
        </w:rPr>
        <w:t>tomar</w:t>
      </w:r>
      <w:r>
        <w:rPr>
          <w:color w:val="231F20"/>
          <w:spacing w:val="-7"/>
          <w:w w:val="105"/>
        </w:rPr>
        <w:t> </w:t>
      </w:r>
      <w:r>
        <w:rPr>
          <w:color w:val="231F20"/>
          <w:w w:val="105"/>
        </w:rPr>
        <w:t>en</w:t>
      </w:r>
      <w:r>
        <w:rPr>
          <w:color w:val="231F20"/>
          <w:spacing w:val="-7"/>
          <w:w w:val="105"/>
        </w:rPr>
        <w:t> </w:t>
      </w:r>
      <w:r>
        <w:rPr>
          <w:color w:val="231F20"/>
          <w:w w:val="105"/>
        </w:rPr>
        <w:t>consideración</w:t>
      </w:r>
      <w:r>
        <w:rPr>
          <w:color w:val="231F20"/>
          <w:spacing w:val="-7"/>
          <w:w w:val="105"/>
        </w:rPr>
        <w:t> </w:t>
      </w:r>
      <w:r>
        <w:rPr>
          <w:color w:val="231F20"/>
          <w:w w:val="105"/>
        </w:rPr>
        <w:t>las</w:t>
      </w:r>
      <w:r>
        <w:rPr>
          <w:color w:val="231F20"/>
          <w:spacing w:val="-7"/>
          <w:w w:val="105"/>
        </w:rPr>
        <w:t> </w:t>
      </w:r>
      <w:r>
        <w:rPr>
          <w:color w:val="231F20"/>
          <w:w w:val="105"/>
        </w:rPr>
        <w:t>experien- cias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administraciones</w:t>
      </w:r>
      <w:r>
        <w:rPr>
          <w:color w:val="231F20"/>
          <w:spacing w:val="-17"/>
          <w:w w:val="105"/>
        </w:rPr>
        <w:t> </w:t>
      </w:r>
      <w:r>
        <w:rPr>
          <w:color w:val="231F20"/>
          <w:w w:val="105"/>
        </w:rPr>
        <w:t>pasadas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disposición</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autoridades para dar apertura a la innovación en un marco de mejora continua;</w:t>
      </w:r>
      <w:r>
        <w:rPr>
          <w:color w:val="231F20"/>
          <w:spacing w:val="-42"/>
          <w:w w:val="105"/>
        </w:rPr>
        <w:t> </w:t>
      </w:r>
      <w:r>
        <w:rPr>
          <w:color w:val="231F20"/>
          <w:w w:val="105"/>
        </w:rPr>
        <w:t>agi- lizar</w:t>
      </w:r>
      <w:r>
        <w:rPr>
          <w:color w:val="231F20"/>
          <w:spacing w:val="-7"/>
          <w:w w:val="105"/>
        </w:rPr>
        <w:t> </w:t>
      </w:r>
      <w:r>
        <w:rPr>
          <w:color w:val="231F20"/>
          <w:w w:val="105"/>
        </w:rPr>
        <w:t>el</w:t>
      </w:r>
      <w:r>
        <w:rPr>
          <w:color w:val="231F20"/>
          <w:spacing w:val="-7"/>
          <w:w w:val="105"/>
        </w:rPr>
        <w:t> </w:t>
      </w:r>
      <w:r>
        <w:rPr>
          <w:color w:val="231F20"/>
          <w:w w:val="105"/>
        </w:rPr>
        <w:t>paso</w:t>
      </w:r>
      <w:r>
        <w:rPr>
          <w:color w:val="231F20"/>
          <w:spacing w:val="-7"/>
          <w:w w:val="105"/>
        </w:rPr>
        <w:t> </w:t>
      </w:r>
      <w:r>
        <w:rPr>
          <w:color w:val="231F20"/>
          <w:w w:val="105"/>
        </w:rPr>
        <w:t>hacia</w:t>
      </w:r>
      <w:r>
        <w:rPr>
          <w:color w:val="231F20"/>
          <w:spacing w:val="-7"/>
          <w:w w:val="105"/>
        </w:rPr>
        <w:t> </w:t>
      </w:r>
      <w:r>
        <w:rPr>
          <w:color w:val="231F20"/>
          <w:w w:val="105"/>
        </w:rPr>
        <w:t>una</w:t>
      </w:r>
      <w:r>
        <w:rPr>
          <w:color w:val="231F20"/>
          <w:spacing w:val="-7"/>
          <w:w w:val="105"/>
        </w:rPr>
        <w:t> </w:t>
      </w:r>
      <w:r>
        <w:rPr>
          <w:color w:val="231F20"/>
          <w:w w:val="105"/>
        </w:rPr>
        <w:t>actualización</w:t>
      </w:r>
      <w:r>
        <w:rPr>
          <w:color w:val="231F20"/>
          <w:spacing w:val="-7"/>
          <w:w w:val="105"/>
        </w:rPr>
        <w:t> </w:t>
      </w:r>
      <w:r>
        <w:rPr>
          <w:color w:val="231F20"/>
          <w:w w:val="105"/>
        </w:rPr>
        <w:t>permanente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procedimientos establecidos y la recopilación de la información dentro de una base</w:t>
      </w:r>
      <w:r>
        <w:rPr>
          <w:color w:val="231F20"/>
          <w:spacing w:val="35"/>
          <w:w w:val="105"/>
        </w:rPr>
        <w:t> </w:t>
      </w:r>
      <w:r>
        <w:rPr>
          <w:color w:val="231F20"/>
          <w:w w:val="105"/>
        </w:rPr>
        <w:t>de</w:t>
      </w:r>
    </w:p>
    <w:p>
      <w:pPr>
        <w:spacing w:after="0" w:line="259" w:lineRule="auto"/>
        <w:jc w:val="both"/>
        <w:sectPr>
          <w:pgSz w:w="9640" w:h="13890"/>
          <w:pgMar w:top="0" w:bottom="280" w:left="1300" w:right="1200"/>
        </w:sectPr>
      </w:pPr>
    </w:p>
    <w:p>
      <w:pPr>
        <w:pStyle w:val="BodyText"/>
        <w:spacing w:line="259" w:lineRule="auto" w:before="120"/>
        <w:ind w:left="103" w:right="114"/>
        <w:jc w:val="both"/>
      </w:pPr>
      <w:r>
        <w:rPr>
          <w:color w:val="231F20"/>
          <w:w w:val="105"/>
        </w:rPr>
        <w:t>datos</w:t>
      </w:r>
      <w:r>
        <w:rPr>
          <w:color w:val="231F20"/>
          <w:spacing w:val="-12"/>
          <w:w w:val="105"/>
        </w:rPr>
        <w:t> </w:t>
      </w:r>
      <w:r>
        <w:rPr>
          <w:color w:val="231F20"/>
          <w:w w:val="105"/>
        </w:rPr>
        <w:t>con</w:t>
      </w:r>
      <w:r>
        <w:rPr>
          <w:color w:val="231F20"/>
          <w:spacing w:val="-12"/>
          <w:w w:val="105"/>
        </w:rPr>
        <w:t> </w:t>
      </w:r>
      <w:r>
        <w:rPr>
          <w:color w:val="231F20"/>
          <w:w w:val="105"/>
        </w:rPr>
        <w:t>apoyo</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tecnologías</w:t>
      </w:r>
      <w:r>
        <w:rPr>
          <w:color w:val="231F20"/>
          <w:spacing w:val="-12"/>
          <w:w w:val="105"/>
        </w:rPr>
        <w:t> </w:t>
      </w:r>
      <w:r>
        <w:rPr>
          <w:color w:val="231F20"/>
          <w:w w:val="105"/>
        </w:rPr>
        <w:t>de</w:t>
      </w:r>
      <w:r>
        <w:rPr>
          <w:color w:val="231F20"/>
          <w:spacing w:val="-12"/>
          <w:w w:val="105"/>
        </w:rPr>
        <w:t> </w:t>
      </w:r>
      <w:r>
        <w:rPr>
          <w:color w:val="231F20"/>
          <w:w w:val="105"/>
        </w:rPr>
        <w:t>información</w:t>
      </w:r>
      <w:r>
        <w:rPr>
          <w:color w:val="231F20"/>
          <w:spacing w:val="-12"/>
          <w:w w:val="105"/>
        </w:rPr>
        <w:t> </w:t>
      </w:r>
      <w:r>
        <w:rPr>
          <w:color w:val="231F20"/>
          <w:w w:val="105"/>
        </w:rPr>
        <w:t>y</w:t>
      </w:r>
      <w:r>
        <w:rPr>
          <w:color w:val="231F20"/>
          <w:spacing w:val="-12"/>
          <w:w w:val="105"/>
        </w:rPr>
        <w:t> </w:t>
      </w:r>
      <w:r>
        <w:rPr>
          <w:color w:val="231F20"/>
          <w:w w:val="105"/>
        </w:rPr>
        <w:t>comunicación,</w:t>
      </w:r>
      <w:r>
        <w:rPr>
          <w:color w:val="231F20"/>
          <w:spacing w:val="-18"/>
          <w:w w:val="105"/>
        </w:rPr>
        <w:t> </w:t>
      </w:r>
      <w:r>
        <w:rPr>
          <w:color w:val="231F20"/>
          <w:w w:val="105"/>
        </w:rPr>
        <w:t>que permitan generar bancos de información; crear y/o difundir manuales  e instructivos que faciliten trámites o diligencias tanto a los</w:t>
      </w:r>
      <w:r>
        <w:rPr>
          <w:color w:val="231F20"/>
          <w:spacing w:val="-40"/>
          <w:w w:val="105"/>
        </w:rPr>
        <w:t> </w:t>
      </w:r>
      <w:r>
        <w:rPr>
          <w:color w:val="231F20"/>
          <w:w w:val="105"/>
        </w:rPr>
        <w:t>prestadores como los receptores de servicios; así como la creación y/o adecuación de ambientes promotores de aprendizaje a nivel laboral, académico y social;</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adaptación</w:t>
      </w:r>
      <w:r>
        <w:rPr>
          <w:color w:val="231F20"/>
          <w:spacing w:val="-22"/>
          <w:w w:val="105"/>
        </w:rPr>
        <w:t> </w:t>
      </w:r>
      <w:r>
        <w:rPr>
          <w:color w:val="231F20"/>
          <w:w w:val="105"/>
        </w:rPr>
        <w:t>a</w:t>
      </w:r>
      <w:r>
        <w:rPr>
          <w:color w:val="231F20"/>
          <w:spacing w:val="-22"/>
          <w:w w:val="105"/>
        </w:rPr>
        <w:t> </w:t>
      </w:r>
      <w:r>
        <w:rPr>
          <w:color w:val="231F20"/>
          <w:w w:val="105"/>
        </w:rPr>
        <w:t>entornos</w:t>
      </w:r>
      <w:r>
        <w:rPr>
          <w:color w:val="231F20"/>
          <w:spacing w:val="-22"/>
          <w:w w:val="105"/>
        </w:rPr>
        <w:t> </w:t>
      </w:r>
      <w:r>
        <w:rPr>
          <w:color w:val="231F20"/>
          <w:w w:val="105"/>
        </w:rPr>
        <w:t>cambiantes.</w:t>
      </w:r>
    </w:p>
    <w:p>
      <w:pPr>
        <w:pStyle w:val="BodyText"/>
        <w:spacing w:line="259" w:lineRule="auto"/>
        <w:ind w:left="103" w:right="115" w:firstLine="567"/>
        <w:jc w:val="both"/>
      </w:pPr>
      <w:r>
        <w:rPr>
          <w:color w:val="231F20"/>
          <w:w w:val="105"/>
        </w:rPr>
        <w:t>Es importante resaltar que el aprendizaje organizacional no sólo debe</w:t>
      </w:r>
      <w:r>
        <w:rPr>
          <w:color w:val="231F20"/>
          <w:spacing w:val="-7"/>
          <w:w w:val="105"/>
        </w:rPr>
        <w:t> </w:t>
      </w:r>
      <w:r>
        <w:rPr>
          <w:color w:val="231F20"/>
          <w:w w:val="105"/>
        </w:rPr>
        <w:t>asumirse</w:t>
      </w:r>
      <w:r>
        <w:rPr>
          <w:color w:val="231F20"/>
          <w:spacing w:val="-7"/>
          <w:w w:val="105"/>
        </w:rPr>
        <w:t> </w:t>
      </w:r>
      <w:r>
        <w:rPr>
          <w:color w:val="231F20"/>
          <w:w w:val="105"/>
        </w:rPr>
        <w:t>como</w:t>
      </w:r>
      <w:r>
        <w:rPr>
          <w:color w:val="231F20"/>
          <w:spacing w:val="-7"/>
          <w:w w:val="105"/>
        </w:rPr>
        <w:t> </w:t>
      </w:r>
      <w:r>
        <w:rPr>
          <w:color w:val="231F20"/>
          <w:w w:val="105"/>
        </w:rPr>
        <w:t>una</w:t>
      </w:r>
      <w:r>
        <w:rPr>
          <w:color w:val="231F20"/>
          <w:spacing w:val="-7"/>
          <w:w w:val="105"/>
        </w:rPr>
        <w:t> </w:t>
      </w:r>
      <w:r>
        <w:rPr>
          <w:color w:val="231F20"/>
          <w:w w:val="105"/>
        </w:rPr>
        <w:t>responsabilidad</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autoridades</w:t>
      </w:r>
      <w:r>
        <w:rPr>
          <w:color w:val="231F20"/>
          <w:spacing w:val="-7"/>
          <w:w w:val="105"/>
        </w:rPr>
        <w:t> </w:t>
      </w:r>
      <w:r>
        <w:rPr>
          <w:color w:val="231F20"/>
          <w:w w:val="105"/>
        </w:rPr>
        <w:t>municipa- les</w:t>
      </w:r>
      <w:r>
        <w:rPr>
          <w:color w:val="231F20"/>
          <w:spacing w:val="-15"/>
          <w:w w:val="105"/>
        </w:rPr>
        <w:t> </w:t>
      </w:r>
      <w:r>
        <w:rPr>
          <w:color w:val="231F20"/>
          <w:w w:val="105"/>
        </w:rPr>
        <w:t>al</w:t>
      </w:r>
      <w:r>
        <w:rPr>
          <w:color w:val="231F20"/>
          <w:spacing w:val="-15"/>
          <w:w w:val="105"/>
        </w:rPr>
        <w:t> </w:t>
      </w:r>
      <w:r>
        <w:rPr>
          <w:color w:val="231F20"/>
          <w:w w:val="105"/>
        </w:rPr>
        <w:t>interior</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w w:val="105"/>
        </w:rPr>
        <w:t>comunidad,</w:t>
      </w:r>
      <w:r>
        <w:rPr>
          <w:color w:val="231F20"/>
          <w:spacing w:val="-20"/>
          <w:w w:val="105"/>
        </w:rPr>
        <w:t> </w:t>
      </w:r>
      <w:r>
        <w:rPr>
          <w:color w:val="231F20"/>
          <w:w w:val="105"/>
        </w:rPr>
        <w:t>es</w:t>
      </w:r>
      <w:r>
        <w:rPr>
          <w:color w:val="231F20"/>
          <w:spacing w:val="-15"/>
          <w:w w:val="105"/>
        </w:rPr>
        <w:t> </w:t>
      </w:r>
      <w:r>
        <w:rPr>
          <w:color w:val="231F20"/>
          <w:w w:val="105"/>
        </w:rPr>
        <w:t>preciso</w:t>
      </w:r>
      <w:r>
        <w:rPr>
          <w:color w:val="231F20"/>
          <w:spacing w:val="-15"/>
          <w:w w:val="105"/>
        </w:rPr>
        <w:t> </w:t>
      </w:r>
      <w:r>
        <w:rPr>
          <w:color w:val="231F20"/>
          <w:w w:val="105"/>
        </w:rPr>
        <w:t>generar</w:t>
      </w:r>
      <w:r>
        <w:rPr>
          <w:color w:val="231F20"/>
          <w:spacing w:val="-15"/>
          <w:w w:val="105"/>
        </w:rPr>
        <w:t> </w:t>
      </w:r>
      <w:r>
        <w:rPr>
          <w:color w:val="231F20"/>
          <w:w w:val="105"/>
        </w:rPr>
        <w:t>alianzas</w:t>
      </w:r>
      <w:r>
        <w:rPr>
          <w:color w:val="231F20"/>
          <w:spacing w:val="-15"/>
          <w:w w:val="105"/>
        </w:rPr>
        <w:t> </w:t>
      </w:r>
      <w:r>
        <w:rPr>
          <w:color w:val="231F20"/>
          <w:w w:val="105"/>
        </w:rPr>
        <w:t>estratégicas con</w:t>
      </w:r>
      <w:r>
        <w:rPr>
          <w:color w:val="231F20"/>
          <w:spacing w:val="-20"/>
          <w:w w:val="105"/>
        </w:rPr>
        <w:t> </w:t>
      </w:r>
      <w:r>
        <w:rPr>
          <w:color w:val="231F20"/>
          <w:w w:val="105"/>
        </w:rPr>
        <w:t>otros</w:t>
      </w:r>
      <w:r>
        <w:rPr>
          <w:color w:val="231F20"/>
          <w:spacing w:val="-20"/>
          <w:w w:val="105"/>
        </w:rPr>
        <w:t> </w:t>
      </w:r>
      <w:r>
        <w:rPr>
          <w:color w:val="231F20"/>
          <w:w w:val="105"/>
        </w:rPr>
        <w:t>municipios</w:t>
      </w:r>
      <w:r>
        <w:rPr>
          <w:color w:val="231F20"/>
          <w:spacing w:val="-20"/>
          <w:w w:val="105"/>
        </w:rPr>
        <w:t> </w:t>
      </w:r>
      <w:r>
        <w:rPr>
          <w:color w:val="231F20"/>
          <w:w w:val="105"/>
        </w:rPr>
        <w:t>e</w:t>
      </w:r>
      <w:r>
        <w:rPr>
          <w:color w:val="231F20"/>
          <w:spacing w:val="-20"/>
          <w:w w:val="105"/>
        </w:rPr>
        <w:t> </w:t>
      </w:r>
      <w:r>
        <w:rPr>
          <w:color w:val="231F20"/>
          <w:w w:val="105"/>
        </w:rPr>
        <w:t>involucrar</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ciudadanía</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creación</w:t>
      </w:r>
      <w:r>
        <w:rPr>
          <w:color w:val="231F20"/>
          <w:spacing w:val="-20"/>
          <w:w w:val="105"/>
        </w:rPr>
        <w:t> </w:t>
      </w:r>
      <w:r>
        <w:rPr>
          <w:color w:val="231F20"/>
          <w:w w:val="105"/>
        </w:rPr>
        <w:t>y</w:t>
      </w:r>
      <w:r>
        <w:rPr>
          <w:color w:val="231F20"/>
          <w:spacing w:val="-20"/>
          <w:w w:val="105"/>
        </w:rPr>
        <w:t> </w:t>
      </w:r>
      <w:r>
        <w:rPr>
          <w:color w:val="231F20"/>
          <w:w w:val="105"/>
        </w:rPr>
        <w:t>apro- vechamiento de conocimiento</w:t>
      </w:r>
      <w:r>
        <w:rPr>
          <w:color w:val="231F20"/>
          <w:spacing w:val="-21"/>
          <w:w w:val="105"/>
        </w:rPr>
        <w:t> </w:t>
      </w:r>
      <w:r>
        <w:rPr>
          <w:color w:val="231F20"/>
          <w:w w:val="105"/>
        </w:rPr>
        <w:t>colectivo.</w:t>
      </w:r>
    </w:p>
    <w:p>
      <w:pPr>
        <w:pStyle w:val="BodyText"/>
        <w:spacing w:line="259" w:lineRule="auto"/>
        <w:ind w:left="103" w:right="115" w:firstLine="567"/>
        <w:jc w:val="both"/>
      </w:pPr>
      <w:r>
        <w:rPr>
          <w:color w:val="231F20"/>
          <w:w w:val="105"/>
        </w:rPr>
        <w:t>El</w:t>
      </w:r>
      <w:r>
        <w:rPr>
          <w:color w:val="231F20"/>
          <w:spacing w:val="-24"/>
          <w:w w:val="105"/>
        </w:rPr>
        <w:t> </w:t>
      </w:r>
      <w:r>
        <w:rPr>
          <w:color w:val="231F20"/>
          <w:w w:val="105"/>
        </w:rPr>
        <w:t>reto</w:t>
      </w:r>
      <w:r>
        <w:rPr>
          <w:color w:val="231F20"/>
          <w:spacing w:val="-24"/>
          <w:w w:val="105"/>
        </w:rPr>
        <w:t> </w:t>
      </w:r>
      <w:r>
        <w:rPr>
          <w:color w:val="231F20"/>
          <w:w w:val="105"/>
        </w:rPr>
        <w:t>está</w:t>
      </w:r>
      <w:r>
        <w:rPr>
          <w:color w:val="231F20"/>
          <w:spacing w:val="-24"/>
          <w:w w:val="105"/>
        </w:rPr>
        <w:t> </w:t>
      </w:r>
      <w:r>
        <w:rPr>
          <w:color w:val="231F20"/>
          <w:w w:val="105"/>
        </w:rPr>
        <w:t>presente:</w:t>
      </w:r>
      <w:r>
        <w:rPr>
          <w:color w:val="231F20"/>
          <w:spacing w:val="-24"/>
          <w:w w:val="105"/>
        </w:rPr>
        <w:t> </w:t>
      </w:r>
      <w:r>
        <w:rPr>
          <w:color w:val="231F20"/>
          <w:w w:val="105"/>
        </w:rPr>
        <w:t>lograr</w:t>
      </w:r>
      <w:r>
        <w:rPr>
          <w:color w:val="231F20"/>
          <w:spacing w:val="-24"/>
          <w:w w:val="105"/>
        </w:rPr>
        <w:t> </w:t>
      </w:r>
      <w:r>
        <w:rPr>
          <w:color w:val="231F20"/>
          <w:w w:val="105"/>
        </w:rPr>
        <w:t>que</w:t>
      </w:r>
      <w:r>
        <w:rPr>
          <w:color w:val="231F20"/>
          <w:spacing w:val="-24"/>
          <w:w w:val="105"/>
        </w:rPr>
        <w:t> </w:t>
      </w:r>
      <w:r>
        <w:rPr>
          <w:color w:val="231F20"/>
          <w:w w:val="105"/>
        </w:rPr>
        <w:t>las</w:t>
      </w:r>
      <w:r>
        <w:rPr>
          <w:color w:val="231F20"/>
          <w:spacing w:val="-24"/>
          <w:w w:val="105"/>
        </w:rPr>
        <w:t> </w:t>
      </w:r>
      <w:r>
        <w:rPr>
          <w:color w:val="231F20"/>
          <w:w w:val="105"/>
        </w:rPr>
        <w:t>autoridades</w:t>
      </w:r>
      <w:r>
        <w:rPr>
          <w:color w:val="231F20"/>
          <w:spacing w:val="-24"/>
          <w:w w:val="105"/>
        </w:rPr>
        <w:t> </w:t>
      </w:r>
      <w:r>
        <w:rPr>
          <w:color w:val="231F20"/>
          <w:w w:val="105"/>
        </w:rPr>
        <w:t>y</w:t>
      </w:r>
      <w:r>
        <w:rPr>
          <w:color w:val="231F20"/>
          <w:spacing w:val="-24"/>
          <w:w w:val="105"/>
        </w:rPr>
        <w:t> </w:t>
      </w:r>
      <w:r>
        <w:rPr>
          <w:color w:val="231F20"/>
          <w:w w:val="105"/>
        </w:rPr>
        <w:t>habitantes</w:t>
      </w:r>
      <w:r>
        <w:rPr>
          <w:color w:val="231F20"/>
          <w:spacing w:val="-24"/>
          <w:w w:val="105"/>
        </w:rPr>
        <w:t> </w:t>
      </w:r>
      <w:r>
        <w:rPr>
          <w:color w:val="231F20"/>
          <w:w w:val="105"/>
        </w:rPr>
        <w:t>de</w:t>
      </w:r>
      <w:r>
        <w:rPr>
          <w:color w:val="231F20"/>
          <w:spacing w:val="-24"/>
          <w:w w:val="105"/>
        </w:rPr>
        <w:t> </w:t>
      </w:r>
      <w:r>
        <w:rPr>
          <w:color w:val="231F20"/>
          <w:w w:val="105"/>
        </w:rPr>
        <w:t>los municipios</w:t>
      </w:r>
      <w:r>
        <w:rPr>
          <w:color w:val="231F20"/>
          <w:spacing w:val="-30"/>
          <w:w w:val="105"/>
        </w:rPr>
        <w:t> </w:t>
      </w:r>
      <w:r>
        <w:rPr>
          <w:color w:val="231F20"/>
          <w:w w:val="105"/>
        </w:rPr>
        <w:t>reconozcan</w:t>
      </w:r>
      <w:r>
        <w:rPr>
          <w:color w:val="231F20"/>
          <w:spacing w:val="-30"/>
          <w:w w:val="105"/>
        </w:rPr>
        <w:t> </w:t>
      </w:r>
      <w:r>
        <w:rPr>
          <w:color w:val="231F20"/>
          <w:w w:val="105"/>
        </w:rPr>
        <w:t>la</w:t>
      </w:r>
      <w:r>
        <w:rPr>
          <w:color w:val="231F20"/>
          <w:spacing w:val="-30"/>
          <w:w w:val="105"/>
        </w:rPr>
        <w:t> </w:t>
      </w:r>
      <w:r>
        <w:rPr>
          <w:color w:val="231F20"/>
          <w:w w:val="105"/>
        </w:rPr>
        <w:t>trascendencia</w:t>
      </w:r>
      <w:r>
        <w:rPr>
          <w:color w:val="231F20"/>
          <w:spacing w:val="-30"/>
          <w:w w:val="105"/>
        </w:rPr>
        <w:t> </w:t>
      </w:r>
      <w:r>
        <w:rPr>
          <w:color w:val="231F20"/>
          <w:w w:val="105"/>
        </w:rPr>
        <w:t>del</w:t>
      </w:r>
      <w:r>
        <w:rPr>
          <w:color w:val="231F20"/>
          <w:spacing w:val="-30"/>
          <w:w w:val="105"/>
        </w:rPr>
        <w:t> </w:t>
      </w:r>
      <w:r>
        <w:rPr>
          <w:color w:val="231F20"/>
          <w:w w:val="105"/>
        </w:rPr>
        <w:t>aprendizaje</w:t>
      </w:r>
      <w:r>
        <w:rPr>
          <w:color w:val="231F20"/>
          <w:spacing w:val="-30"/>
          <w:w w:val="105"/>
        </w:rPr>
        <w:t> </w:t>
      </w:r>
      <w:r>
        <w:rPr>
          <w:color w:val="231F20"/>
          <w:w w:val="105"/>
        </w:rPr>
        <w:t>organizacional</w:t>
      </w:r>
      <w:r>
        <w:rPr>
          <w:color w:val="231F20"/>
          <w:spacing w:val="-30"/>
          <w:w w:val="105"/>
        </w:rPr>
        <w:t> </w:t>
      </w:r>
      <w:r>
        <w:rPr>
          <w:color w:val="231F20"/>
          <w:w w:val="105"/>
        </w:rPr>
        <w:t>y sus</w:t>
      </w:r>
      <w:r>
        <w:rPr>
          <w:color w:val="231F20"/>
          <w:spacing w:val="-14"/>
          <w:w w:val="105"/>
        </w:rPr>
        <w:t> </w:t>
      </w:r>
      <w:r>
        <w:rPr>
          <w:color w:val="231F20"/>
          <w:w w:val="105"/>
        </w:rPr>
        <w:t>beneficios</w:t>
      </w:r>
      <w:r>
        <w:rPr>
          <w:color w:val="231F20"/>
          <w:spacing w:val="-14"/>
          <w:w w:val="105"/>
        </w:rPr>
        <w:t> </w:t>
      </w:r>
      <w:r>
        <w:rPr>
          <w:color w:val="231F20"/>
          <w:w w:val="105"/>
        </w:rPr>
        <w:t>potenciales</w:t>
      </w:r>
      <w:r>
        <w:rPr>
          <w:color w:val="231F20"/>
          <w:spacing w:val="-14"/>
          <w:w w:val="105"/>
        </w:rPr>
        <w:t> </w:t>
      </w:r>
      <w:r>
        <w:rPr>
          <w:color w:val="231F20"/>
          <w:w w:val="105"/>
        </w:rPr>
        <w:t>e</w:t>
      </w:r>
      <w:r>
        <w:rPr>
          <w:color w:val="231F20"/>
          <w:spacing w:val="-14"/>
          <w:w w:val="105"/>
        </w:rPr>
        <w:t> </w:t>
      </w:r>
      <w:r>
        <w:rPr>
          <w:color w:val="231F20"/>
          <w:w w:val="105"/>
        </w:rPr>
        <w:t>instrumenten</w:t>
      </w:r>
      <w:r>
        <w:rPr>
          <w:color w:val="231F20"/>
          <w:spacing w:val="-14"/>
          <w:w w:val="105"/>
        </w:rPr>
        <w:t> </w:t>
      </w:r>
      <w:r>
        <w:rPr>
          <w:color w:val="231F20"/>
          <w:w w:val="105"/>
        </w:rPr>
        <w:t>las</w:t>
      </w:r>
      <w:r>
        <w:rPr>
          <w:color w:val="231F20"/>
          <w:spacing w:val="-14"/>
          <w:w w:val="105"/>
        </w:rPr>
        <w:t> </w:t>
      </w:r>
      <w:r>
        <w:rPr>
          <w:color w:val="231F20"/>
          <w:w w:val="105"/>
        </w:rPr>
        <w:t>acciones</w:t>
      </w:r>
      <w:r>
        <w:rPr>
          <w:color w:val="231F20"/>
          <w:spacing w:val="-14"/>
          <w:w w:val="105"/>
        </w:rPr>
        <w:t> </w:t>
      </w:r>
      <w:r>
        <w:rPr>
          <w:color w:val="231F20"/>
          <w:w w:val="105"/>
        </w:rPr>
        <w:t>pertinentes</w:t>
      </w:r>
      <w:r>
        <w:rPr>
          <w:color w:val="231F20"/>
          <w:spacing w:val="-14"/>
          <w:w w:val="105"/>
        </w:rPr>
        <w:t> </w:t>
      </w:r>
      <w:r>
        <w:rPr>
          <w:color w:val="231F20"/>
          <w:w w:val="105"/>
        </w:rPr>
        <w:t>para su</w:t>
      </w:r>
      <w:r>
        <w:rPr>
          <w:color w:val="231F20"/>
          <w:spacing w:val="-38"/>
          <w:w w:val="105"/>
        </w:rPr>
        <w:t> </w:t>
      </w:r>
      <w:r>
        <w:rPr>
          <w:color w:val="231F20"/>
          <w:w w:val="105"/>
        </w:rPr>
        <w:t>aplicación.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tabs>
          <w:tab w:pos="1317" w:val="left" w:leader="none"/>
        </w:tabs>
        <w:spacing w:before="0"/>
        <w:ind w:left="267" w:right="17" w:firstLine="0"/>
        <w:jc w:val="left"/>
        <w:rPr>
          <w:rFonts w:ascii="Calibri" w:hAnsi="Calibri"/>
          <w:sz w:val="15"/>
        </w:rPr>
      </w:pPr>
      <w:r>
        <w:rPr/>
        <w:pict>
          <v:group style="position:absolute;margin-left:101.817299pt;margin-top:-20.299887pt;width:17.850pt;height:56.5pt;mso-position-horizontal-relative:page;mso-position-vertical-relative:paragraph;z-index:-244840"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w w:val="105"/>
          <w:position w:val="-5"/>
          <w:sz w:val="20"/>
        </w:rPr>
        <w:t>82</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821" w:right="0" w:firstLine="0"/>
        <w:jc w:val="left"/>
        <w:rPr>
          <w:sz w:val="20"/>
        </w:rPr>
      </w:pPr>
      <w:r>
        <w:rPr/>
        <w:pict>
          <v:line style="position:absolute;mso-position-horizontal-relative:page;mso-position-vertical-relative:paragraph;z-index:-244816" from="384.061005pt,-25.30427pt" to="384.061005pt,9.561580pt" stroked="true" strokeweight=".3pt" strokecolor="#231f20">
            <w10:wrap type="none"/>
          </v:line>
        </w:pict>
      </w:r>
      <w:r>
        <w:rPr>
          <w:rFonts w:ascii="Lucida Sans Unicode"/>
          <w:color w:val="6D6E71"/>
          <w:w w:val="105"/>
          <w:sz w:val="14"/>
        </w:rPr>
        <w:t>III.</w:t>
      </w:r>
      <w:r>
        <w:rPr>
          <w:rFonts w:ascii="Lucida Sans Unicode"/>
          <w:color w:val="6D6E71"/>
          <w:spacing w:val="-13"/>
          <w:w w:val="105"/>
          <w:sz w:val="14"/>
        </w:rPr>
        <w:t> </w:t>
      </w:r>
      <w:r>
        <w:rPr>
          <w:rFonts w:ascii="Lucida Sans Unicode"/>
          <w:color w:val="6D6E71"/>
          <w:w w:val="105"/>
          <w:sz w:val="14"/>
        </w:rPr>
        <w:t>El</w:t>
      </w:r>
      <w:r>
        <w:rPr>
          <w:rFonts w:ascii="Lucida Sans Unicode"/>
          <w:color w:val="6D6E71"/>
          <w:spacing w:val="-13"/>
          <w:w w:val="105"/>
          <w:sz w:val="14"/>
        </w:rPr>
        <w:t> </w:t>
      </w:r>
      <w:r>
        <w:rPr>
          <w:rFonts w:ascii="Lucida Sans Unicode"/>
          <w:color w:val="6D6E71"/>
          <w:w w:val="105"/>
          <w:sz w:val="14"/>
        </w:rPr>
        <w:t>aprEndIzajE</w:t>
      </w:r>
      <w:r>
        <w:rPr>
          <w:rFonts w:ascii="Lucida Sans Unicode"/>
          <w:color w:val="6D6E71"/>
          <w:spacing w:val="-13"/>
          <w:w w:val="105"/>
          <w:sz w:val="14"/>
        </w:rPr>
        <w:t> </w:t>
      </w:r>
      <w:r>
        <w:rPr>
          <w:rFonts w:ascii="Lucida Sans Unicode"/>
          <w:color w:val="6D6E71"/>
          <w:w w:val="105"/>
          <w:sz w:val="14"/>
        </w:rPr>
        <w:t>organIzacIonal</w:t>
      </w:r>
      <w:r>
        <w:rPr>
          <w:rFonts w:ascii="Lucida Sans Unicode"/>
          <w:color w:val="6D6E71"/>
          <w:spacing w:val="-13"/>
          <w:w w:val="105"/>
          <w:sz w:val="14"/>
        </w:rPr>
        <w:t> </w:t>
      </w:r>
      <w:r>
        <w:rPr>
          <w:rFonts w:ascii="Lucida Sans Unicode"/>
          <w:color w:val="6D6E71"/>
          <w:w w:val="105"/>
          <w:sz w:val="14"/>
        </w:rPr>
        <w:t>En</w:t>
      </w:r>
      <w:r>
        <w:rPr>
          <w:rFonts w:ascii="Lucida Sans Unicode"/>
          <w:color w:val="6D6E71"/>
          <w:spacing w:val="-13"/>
          <w:w w:val="105"/>
          <w:sz w:val="14"/>
        </w:rPr>
        <w:t> </w:t>
      </w:r>
      <w:r>
        <w:rPr>
          <w:rFonts w:ascii="Lucida Sans Unicode"/>
          <w:color w:val="6D6E71"/>
          <w:w w:val="115"/>
          <w:sz w:val="14"/>
        </w:rPr>
        <w:t>la</w:t>
      </w:r>
      <w:r>
        <w:rPr>
          <w:rFonts w:ascii="Lucida Sans Unicode"/>
          <w:color w:val="6D6E71"/>
          <w:spacing w:val="-17"/>
          <w:w w:val="115"/>
          <w:sz w:val="14"/>
        </w:rPr>
        <w:t> </w:t>
      </w:r>
      <w:r>
        <w:rPr>
          <w:rFonts w:ascii="Lucida Sans Unicode"/>
          <w:color w:val="6D6E71"/>
          <w:w w:val="105"/>
          <w:sz w:val="14"/>
        </w:rPr>
        <w:t>compEtItIvIdad</w:t>
      </w:r>
      <w:r>
        <w:rPr>
          <w:rFonts w:ascii="Lucida Sans Unicode"/>
          <w:color w:val="6D6E71"/>
          <w:spacing w:val="-13"/>
          <w:w w:val="105"/>
          <w:sz w:val="14"/>
        </w:rPr>
        <w:t> </w:t>
      </w:r>
      <w:r>
        <w:rPr>
          <w:rFonts w:ascii="Lucida Sans Unicode"/>
          <w:color w:val="6D6E71"/>
          <w:w w:val="105"/>
          <w:sz w:val="14"/>
        </w:rPr>
        <w:t>munIcIpal</w:t>
      </w:r>
      <w:r>
        <w:rPr>
          <w:color w:val="414042"/>
          <w:w w:val="105"/>
          <w:position w:val="-3"/>
          <w:sz w:val="20"/>
        </w:rPr>
        <w:tab/>
        <w:t>83</w:t>
      </w:r>
    </w:p>
    <w:p>
      <w:pPr>
        <w:pStyle w:val="BodyText"/>
        <w:rPr>
          <w:sz w:val="22"/>
        </w:rPr>
      </w:pPr>
    </w:p>
    <w:p>
      <w:pPr>
        <w:pStyle w:val="BodyText"/>
        <w:rPr>
          <w:sz w:val="22"/>
        </w:rPr>
      </w:pPr>
    </w:p>
    <w:p>
      <w:pPr>
        <w:pStyle w:val="Heading2"/>
        <w:spacing w:before="131"/>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sz w:val="21"/>
        </w:rPr>
        <w:t>Argyris, C. y Schön D.A. (1978). </w:t>
      </w:r>
      <w:r>
        <w:rPr>
          <w:i/>
          <w:color w:val="231F20"/>
          <w:sz w:val="21"/>
        </w:rPr>
        <w:t>Organizational learning: a theory in action </w:t>
      </w:r>
      <w:r>
        <w:rPr>
          <w:i/>
          <w:color w:val="231F20"/>
          <w:sz w:val="21"/>
        </w:rPr>
        <w:t>perspective</w:t>
      </w:r>
      <w:r>
        <w:rPr>
          <w:color w:val="231F20"/>
          <w:sz w:val="21"/>
        </w:rPr>
        <w:t>. Mass. London. Addison-wesley.</w:t>
      </w:r>
    </w:p>
    <w:p>
      <w:pPr>
        <w:spacing w:line="259" w:lineRule="auto" w:before="0"/>
        <w:ind w:left="854" w:right="121" w:hanging="738"/>
        <w:jc w:val="both"/>
        <w:rPr>
          <w:sz w:val="21"/>
        </w:rPr>
      </w:pPr>
      <w:r>
        <w:rPr>
          <w:color w:val="231F20"/>
          <w:sz w:val="21"/>
        </w:rPr>
        <w:t>Argyris, C. (2001). </w:t>
      </w:r>
      <w:r>
        <w:rPr>
          <w:i/>
          <w:color w:val="231F20"/>
          <w:sz w:val="21"/>
        </w:rPr>
        <w:t>Sobre el aprendizaje organizacional</w:t>
      </w:r>
      <w:r>
        <w:rPr>
          <w:color w:val="231F20"/>
          <w:sz w:val="21"/>
        </w:rPr>
        <w:t>. México: Oxford University Press.</w:t>
      </w:r>
    </w:p>
    <w:p>
      <w:pPr>
        <w:spacing w:line="259" w:lineRule="auto" w:before="0"/>
        <w:ind w:left="117" w:right="114" w:firstLine="0"/>
        <w:jc w:val="left"/>
        <w:rPr>
          <w:sz w:val="21"/>
        </w:rPr>
      </w:pPr>
      <w:r>
        <w:rPr>
          <w:color w:val="231F20"/>
          <w:sz w:val="21"/>
        </w:rPr>
        <w:t>Boddy M, (2002): </w:t>
      </w:r>
      <w:r>
        <w:rPr>
          <w:i/>
          <w:color w:val="231F20"/>
          <w:sz w:val="21"/>
        </w:rPr>
        <w:t>Linking competitiveness and cohesion </w:t>
      </w:r>
      <w:r>
        <w:rPr>
          <w:color w:val="231F20"/>
          <w:sz w:val="21"/>
        </w:rPr>
        <w:t>in Begg, Lain. Cabrero, E., Ziccardi, A y Orihuela, I. (2003): Ciudades competitivas - Ciu-</w:t>
      </w:r>
    </w:p>
    <w:p>
      <w:pPr>
        <w:pStyle w:val="BodyText"/>
        <w:spacing w:line="259" w:lineRule="auto"/>
        <w:ind w:left="854" w:right="121"/>
        <w:jc w:val="both"/>
      </w:pPr>
      <w:r>
        <w:rPr>
          <w:color w:val="231F20"/>
          <w:w w:val="105"/>
        </w:rPr>
        <w:t>dades</w:t>
      </w:r>
      <w:r>
        <w:rPr>
          <w:color w:val="231F20"/>
          <w:spacing w:val="-16"/>
          <w:w w:val="105"/>
        </w:rPr>
        <w:t> </w:t>
      </w:r>
      <w:r>
        <w:rPr>
          <w:color w:val="231F20"/>
          <w:w w:val="105"/>
        </w:rPr>
        <w:t>cooperativas:</w:t>
      </w:r>
      <w:r>
        <w:rPr>
          <w:color w:val="231F20"/>
          <w:spacing w:val="-16"/>
          <w:w w:val="105"/>
        </w:rPr>
        <w:t> </w:t>
      </w:r>
      <w:r>
        <w:rPr>
          <w:color w:val="231F20"/>
          <w:w w:val="105"/>
        </w:rPr>
        <w:t>conceptos</w:t>
      </w:r>
      <w:r>
        <w:rPr>
          <w:color w:val="231F20"/>
          <w:spacing w:val="-16"/>
          <w:w w:val="105"/>
        </w:rPr>
        <w:t> </w:t>
      </w:r>
      <w:r>
        <w:rPr>
          <w:color w:val="231F20"/>
          <w:w w:val="105"/>
        </w:rPr>
        <w:t>claves</w:t>
      </w:r>
      <w:r>
        <w:rPr>
          <w:color w:val="231F20"/>
          <w:spacing w:val="-16"/>
          <w:w w:val="105"/>
        </w:rPr>
        <w:t> </w:t>
      </w:r>
      <w:r>
        <w:rPr>
          <w:color w:val="231F20"/>
          <w:w w:val="105"/>
        </w:rPr>
        <w:t>y</w:t>
      </w:r>
      <w:r>
        <w:rPr>
          <w:color w:val="231F20"/>
          <w:spacing w:val="-16"/>
          <w:w w:val="105"/>
        </w:rPr>
        <w:t> </w:t>
      </w:r>
      <w:r>
        <w:rPr>
          <w:color w:val="231F20"/>
          <w:w w:val="105"/>
        </w:rPr>
        <w:t>construcción</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w w:val="105"/>
        </w:rPr>
        <w:t>índi- ce</w:t>
      </w:r>
      <w:r>
        <w:rPr>
          <w:color w:val="231F20"/>
          <w:spacing w:val="-21"/>
          <w:w w:val="105"/>
        </w:rPr>
        <w:t> </w:t>
      </w:r>
      <w:r>
        <w:rPr>
          <w:color w:val="231F20"/>
          <w:w w:val="105"/>
        </w:rPr>
        <w:t>para</w:t>
      </w:r>
      <w:r>
        <w:rPr>
          <w:color w:val="231F20"/>
          <w:spacing w:val="-21"/>
          <w:w w:val="105"/>
        </w:rPr>
        <w:t> </w:t>
      </w:r>
      <w:r>
        <w:rPr>
          <w:color w:val="231F20"/>
          <w:w w:val="105"/>
        </w:rPr>
        <w:t>ciudades</w:t>
      </w:r>
      <w:r>
        <w:rPr>
          <w:color w:val="231F20"/>
          <w:spacing w:val="-21"/>
          <w:w w:val="105"/>
        </w:rPr>
        <w:t> </w:t>
      </w:r>
      <w:r>
        <w:rPr>
          <w:color w:val="231F20"/>
          <w:w w:val="105"/>
        </w:rPr>
        <w:t>mexicanas.</w:t>
      </w:r>
      <w:r>
        <w:rPr>
          <w:color w:val="231F20"/>
          <w:spacing w:val="-25"/>
          <w:w w:val="105"/>
        </w:rPr>
        <w:t> </w:t>
      </w:r>
      <w:r>
        <w:rPr>
          <w:color w:val="231F20"/>
          <w:w w:val="105"/>
        </w:rPr>
        <w:t>Comisión</w:t>
      </w:r>
      <w:r>
        <w:rPr>
          <w:color w:val="231F20"/>
          <w:spacing w:val="-21"/>
          <w:w w:val="105"/>
        </w:rPr>
        <w:t> </w:t>
      </w:r>
      <w:r>
        <w:rPr>
          <w:color w:val="231F20"/>
          <w:w w:val="105"/>
        </w:rPr>
        <w:t>Federal</w:t>
      </w:r>
      <w:r>
        <w:rPr>
          <w:color w:val="231F20"/>
          <w:spacing w:val="-21"/>
          <w:w w:val="105"/>
        </w:rPr>
        <w:t> </w:t>
      </w:r>
      <w:r>
        <w:rPr>
          <w:color w:val="231F20"/>
          <w:w w:val="105"/>
        </w:rPr>
        <w:t>de</w:t>
      </w:r>
      <w:r>
        <w:rPr>
          <w:color w:val="231F20"/>
          <w:spacing w:val="-21"/>
          <w:w w:val="105"/>
        </w:rPr>
        <w:t> </w:t>
      </w:r>
      <w:r>
        <w:rPr>
          <w:color w:val="231F20"/>
          <w:w w:val="105"/>
        </w:rPr>
        <w:t>Mejora</w:t>
      </w:r>
      <w:r>
        <w:rPr>
          <w:color w:val="231F20"/>
          <w:spacing w:val="-21"/>
          <w:w w:val="105"/>
        </w:rPr>
        <w:t> </w:t>
      </w:r>
      <w:r>
        <w:rPr>
          <w:color w:val="231F20"/>
          <w:w w:val="105"/>
        </w:rPr>
        <w:t>Regu- </w:t>
      </w:r>
      <w:r>
        <w:rPr>
          <w:color w:val="231F20"/>
        </w:rPr>
        <w:t>latoria (COFEMER)</w:t>
      </w:r>
      <w:r>
        <w:rPr>
          <w:color w:val="231F20"/>
          <w:spacing w:val="-26"/>
        </w:rPr>
        <w:t> </w:t>
      </w:r>
      <w:r>
        <w:rPr>
          <w:color w:val="231F20"/>
        </w:rPr>
        <w:t>México.</w:t>
      </w:r>
    </w:p>
    <w:p>
      <w:pPr>
        <w:pStyle w:val="BodyText"/>
        <w:spacing w:line="259" w:lineRule="auto"/>
        <w:ind w:left="854" w:right="121" w:hanging="738"/>
        <w:jc w:val="both"/>
      </w:pPr>
      <w:r>
        <w:rPr>
          <w:color w:val="231F20"/>
          <w:w w:val="105"/>
        </w:rPr>
        <w:t>Cortés,</w:t>
      </w:r>
      <w:r>
        <w:rPr>
          <w:color w:val="231F20"/>
          <w:spacing w:val="-32"/>
          <w:w w:val="105"/>
        </w:rPr>
        <w:t> </w:t>
      </w:r>
      <w:r>
        <w:rPr>
          <w:color w:val="231F20"/>
          <w:w w:val="105"/>
        </w:rPr>
        <w:t>J.</w:t>
      </w:r>
      <w:r>
        <w:rPr>
          <w:color w:val="231F20"/>
          <w:spacing w:val="-33"/>
          <w:w w:val="105"/>
        </w:rPr>
        <w:t> </w:t>
      </w:r>
      <w:r>
        <w:rPr>
          <w:color w:val="231F20"/>
          <w:w w:val="105"/>
        </w:rPr>
        <w:t>A.</w:t>
      </w:r>
      <w:r>
        <w:rPr>
          <w:color w:val="231F20"/>
          <w:spacing w:val="-30"/>
          <w:w w:val="105"/>
        </w:rPr>
        <w:t> </w:t>
      </w:r>
      <w:r>
        <w:rPr>
          <w:color w:val="231F20"/>
          <w:w w:val="105"/>
        </w:rPr>
        <w:t>y</w:t>
      </w:r>
      <w:r>
        <w:rPr>
          <w:color w:val="231F20"/>
          <w:spacing w:val="-27"/>
          <w:w w:val="105"/>
        </w:rPr>
        <w:t> </w:t>
      </w:r>
      <w:r>
        <w:rPr>
          <w:color w:val="231F20"/>
          <w:spacing w:val="-4"/>
          <w:w w:val="105"/>
        </w:rPr>
        <w:t>Pérez,</w:t>
      </w:r>
      <w:r>
        <w:rPr>
          <w:color w:val="231F20"/>
          <w:spacing w:val="-32"/>
          <w:w w:val="105"/>
        </w:rPr>
        <w:t> </w:t>
      </w:r>
      <w:r>
        <w:rPr>
          <w:color w:val="231F20"/>
          <w:w w:val="105"/>
        </w:rPr>
        <w:t>J.</w:t>
      </w:r>
      <w:r>
        <w:rPr>
          <w:color w:val="231F20"/>
          <w:spacing w:val="-30"/>
          <w:w w:val="105"/>
        </w:rPr>
        <w:t> </w:t>
      </w:r>
      <w:r>
        <w:rPr>
          <w:color w:val="231F20"/>
          <w:w w:val="105"/>
        </w:rPr>
        <w:t>(2007).</w:t>
      </w:r>
      <w:r>
        <w:rPr>
          <w:color w:val="231F20"/>
          <w:spacing w:val="-30"/>
          <w:w w:val="105"/>
        </w:rPr>
        <w:t> </w:t>
      </w:r>
      <w:r>
        <w:rPr>
          <w:color w:val="231F20"/>
          <w:w w:val="105"/>
        </w:rPr>
        <w:t>“Barreras</w:t>
      </w:r>
      <w:r>
        <w:rPr>
          <w:color w:val="231F20"/>
          <w:spacing w:val="-27"/>
          <w:w w:val="105"/>
        </w:rPr>
        <w:t> </w:t>
      </w:r>
      <w:r>
        <w:rPr>
          <w:color w:val="231F20"/>
          <w:w w:val="105"/>
        </w:rPr>
        <w:t>para</w:t>
      </w:r>
      <w:r>
        <w:rPr>
          <w:color w:val="231F20"/>
          <w:spacing w:val="-27"/>
          <w:w w:val="105"/>
        </w:rPr>
        <w:t> </w:t>
      </w:r>
      <w:r>
        <w:rPr>
          <w:color w:val="231F20"/>
          <w:w w:val="105"/>
        </w:rPr>
        <w:t>el</w:t>
      </w:r>
      <w:r>
        <w:rPr>
          <w:color w:val="231F20"/>
          <w:spacing w:val="-27"/>
          <w:w w:val="105"/>
        </w:rPr>
        <w:t> </w:t>
      </w:r>
      <w:r>
        <w:rPr>
          <w:color w:val="231F20"/>
          <w:w w:val="105"/>
        </w:rPr>
        <w:t>aprendizaje</w:t>
      </w:r>
      <w:r>
        <w:rPr>
          <w:color w:val="231F20"/>
          <w:spacing w:val="-27"/>
          <w:w w:val="105"/>
        </w:rPr>
        <w:t> </w:t>
      </w:r>
      <w:r>
        <w:rPr>
          <w:color w:val="231F20"/>
          <w:w w:val="105"/>
        </w:rPr>
        <w:t>organizacio- nal</w:t>
      </w:r>
      <w:r>
        <w:rPr>
          <w:color w:val="231F20"/>
          <w:spacing w:val="-24"/>
          <w:w w:val="105"/>
        </w:rPr>
        <w:t> </w:t>
      </w:r>
      <w:r>
        <w:rPr>
          <w:color w:val="231F20"/>
          <w:w w:val="105"/>
        </w:rPr>
        <w:t>estudio</w:t>
      </w:r>
      <w:r>
        <w:rPr>
          <w:color w:val="231F20"/>
          <w:spacing w:val="-24"/>
          <w:w w:val="105"/>
        </w:rPr>
        <w:t> </w:t>
      </w:r>
      <w:r>
        <w:rPr>
          <w:color w:val="231F20"/>
          <w:w w:val="105"/>
        </w:rPr>
        <w:t>de</w:t>
      </w:r>
      <w:r>
        <w:rPr>
          <w:color w:val="231F20"/>
          <w:spacing w:val="-24"/>
          <w:w w:val="105"/>
        </w:rPr>
        <w:t> </w:t>
      </w:r>
      <w:r>
        <w:rPr>
          <w:color w:val="231F20"/>
          <w:w w:val="105"/>
        </w:rPr>
        <w:t>casos”</w:t>
      </w:r>
      <w:r>
        <w:rPr>
          <w:color w:val="231F20"/>
          <w:spacing w:val="-24"/>
          <w:w w:val="105"/>
        </w:rPr>
        <w:t> </w:t>
      </w:r>
      <w:r>
        <w:rPr>
          <w:color w:val="231F20"/>
          <w:w w:val="105"/>
        </w:rPr>
        <w:t>en:</w:t>
      </w:r>
      <w:r>
        <w:rPr>
          <w:color w:val="231F20"/>
          <w:spacing w:val="-24"/>
          <w:w w:val="105"/>
        </w:rPr>
        <w:t> </w:t>
      </w:r>
      <w:r>
        <w:rPr>
          <w:i/>
          <w:color w:val="231F20"/>
          <w:w w:val="105"/>
        </w:rPr>
        <w:t>Pensamiento</w:t>
      </w:r>
      <w:r>
        <w:rPr>
          <w:i/>
          <w:color w:val="231F20"/>
          <w:spacing w:val="-24"/>
          <w:w w:val="105"/>
        </w:rPr>
        <w:t> </w:t>
      </w:r>
      <w:r>
        <w:rPr>
          <w:i/>
          <w:color w:val="231F20"/>
          <w:w w:val="105"/>
        </w:rPr>
        <w:t>y</w:t>
      </w:r>
      <w:r>
        <w:rPr>
          <w:i/>
          <w:color w:val="231F20"/>
          <w:spacing w:val="-24"/>
          <w:w w:val="105"/>
        </w:rPr>
        <w:t> </w:t>
      </w:r>
      <w:r>
        <w:rPr>
          <w:i/>
          <w:color w:val="231F20"/>
          <w:w w:val="105"/>
        </w:rPr>
        <w:t>gestión,</w:t>
      </w:r>
      <w:r>
        <w:rPr>
          <w:i/>
          <w:color w:val="231F20"/>
          <w:spacing w:val="-24"/>
          <w:w w:val="105"/>
        </w:rPr>
        <w:t> </w:t>
      </w:r>
      <w:r>
        <w:rPr>
          <w:color w:val="231F20"/>
          <w:w w:val="105"/>
        </w:rPr>
        <w:t>22.</w:t>
      </w:r>
      <w:r>
        <w:rPr>
          <w:color w:val="231F20"/>
          <w:spacing w:val="-29"/>
          <w:w w:val="105"/>
        </w:rPr>
        <w:t> </w:t>
      </w:r>
      <w:r>
        <w:rPr>
          <w:color w:val="231F20"/>
          <w:w w:val="105"/>
        </w:rPr>
        <w:t>Universidad del Norte, Colombia.</w:t>
      </w:r>
      <w:r>
        <w:rPr>
          <w:color w:val="231F20"/>
          <w:spacing w:val="-41"/>
          <w:w w:val="105"/>
        </w:rPr>
        <w:t> </w:t>
      </w:r>
      <w:r>
        <w:rPr>
          <w:color w:val="231F20"/>
          <w:w w:val="105"/>
        </w:rPr>
        <w:t>256-282.</w:t>
      </w:r>
    </w:p>
    <w:p>
      <w:pPr>
        <w:pStyle w:val="BodyText"/>
        <w:spacing w:line="259" w:lineRule="auto"/>
        <w:ind w:left="854" w:right="121" w:hanging="738"/>
        <w:jc w:val="both"/>
      </w:pPr>
      <w:r>
        <w:rPr>
          <w:color w:val="231F20"/>
          <w:w w:val="105"/>
        </w:rPr>
        <w:t>Crossan, M., Lane, H. y White, R. (1999). 2An organizational learning framework:</w:t>
      </w:r>
      <w:r>
        <w:rPr>
          <w:color w:val="231F20"/>
          <w:spacing w:val="-11"/>
          <w:w w:val="105"/>
        </w:rPr>
        <w:t> </w:t>
      </w:r>
      <w:r>
        <w:rPr>
          <w:color w:val="231F20"/>
          <w:w w:val="105"/>
        </w:rPr>
        <w:t>from</w:t>
      </w:r>
      <w:r>
        <w:rPr>
          <w:color w:val="231F20"/>
          <w:spacing w:val="-11"/>
          <w:w w:val="105"/>
        </w:rPr>
        <w:t> </w:t>
      </w:r>
      <w:r>
        <w:rPr>
          <w:color w:val="231F20"/>
          <w:w w:val="105"/>
        </w:rPr>
        <w:t>intuition</w:t>
      </w:r>
      <w:r>
        <w:rPr>
          <w:color w:val="231F20"/>
          <w:spacing w:val="-11"/>
          <w:w w:val="105"/>
        </w:rPr>
        <w:t> </w:t>
      </w:r>
      <w:r>
        <w:rPr>
          <w:color w:val="231F20"/>
          <w:w w:val="105"/>
        </w:rPr>
        <w:t>to</w:t>
      </w:r>
      <w:r>
        <w:rPr>
          <w:color w:val="231F20"/>
          <w:spacing w:val="-11"/>
          <w:w w:val="105"/>
        </w:rPr>
        <w:t> </w:t>
      </w:r>
      <w:r>
        <w:rPr>
          <w:color w:val="231F20"/>
          <w:w w:val="105"/>
        </w:rPr>
        <w:t>institution”</w:t>
      </w:r>
      <w:r>
        <w:rPr>
          <w:color w:val="231F20"/>
          <w:spacing w:val="-11"/>
          <w:w w:val="105"/>
        </w:rPr>
        <w:t> </w:t>
      </w:r>
      <w:r>
        <w:rPr>
          <w:color w:val="231F20"/>
          <w:w w:val="105"/>
        </w:rPr>
        <w:t>en:</w:t>
      </w:r>
      <w:r>
        <w:rPr>
          <w:color w:val="231F20"/>
          <w:spacing w:val="-11"/>
          <w:w w:val="105"/>
        </w:rPr>
        <w:t> </w:t>
      </w:r>
      <w:r>
        <w:rPr>
          <w:i/>
          <w:color w:val="231F20"/>
          <w:w w:val="105"/>
        </w:rPr>
        <w:t>Academy</w:t>
      </w:r>
      <w:r>
        <w:rPr>
          <w:i/>
          <w:color w:val="231F20"/>
          <w:spacing w:val="-11"/>
          <w:w w:val="105"/>
        </w:rPr>
        <w:t> </w:t>
      </w:r>
      <w:r>
        <w:rPr>
          <w:i/>
          <w:color w:val="231F20"/>
          <w:w w:val="105"/>
        </w:rPr>
        <w:t>of</w:t>
      </w:r>
      <w:r>
        <w:rPr>
          <w:i/>
          <w:color w:val="231F20"/>
          <w:spacing w:val="-6"/>
          <w:w w:val="105"/>
        </w:rPr>
        <w:t> </w:t>
      </w:r>
      <w:r>
        <w:rPr>
          <w:i/>
          <w:color w:val="231F20"/>
          <w:w w:val="105"/>
        </w:rPr>
        <w:t>manage- </w:t>
      </w:r>
      <w:r>
        <w:rPr>
          <w:i/>
          <w:color w:val="231F20"/>
          <w:w w:val="105"/>
        </w:rPr>
        <w:t>ment</w:t>
      </w:r>
      <w:r>
        <w:rPr>
          <w:i/>
          <w:color w:val="231F20"/>
          <w:spacing w:val="-31"/>
          <w:w w:val="105"/>
        </w:rPr>
        <w:t> </w:t>
      </w:r>
      <w:r>
        <w:rPr>
          <w:i/>
          <w:color w:val="231F20"/>
          <w:w w:val="105"/>
        </w:rPr>
        <w:t>review</w:t>
      </w:r>
      <w:r>
        <w:rPr>
          <w:color w:val="231F20"/>
          <w:w w:val="105"/>
        </w:rPr>
        <w:t>,</w:t>
      </w:r>
      <w:r>
        <w:rPr>
          <w:color w:val="231F20"/>
          <w:spacing w:val="-35"/>
          <w:w w:val="105"/>
        </w:rPr>
        <w:t> </w:t>
      </w:r>
      <w:r>
        <w:rPr>
          <w:color w:val="231F20"/>
          <w:w w:val="105"/>
        </w:rPr>
        <w:t>24</w:t>
      </w:r>
      <w:r>
        <w:rPr>
          <w:color w:val="231F20"/>
          <w:spacing w:val="-31"/>
          <w:w w:val="105"/>
        </w:rPr>
        <w:t> </w:t>
      </w:r>
      <w:r>
        <w:rPr>
          <w:color w:val="231F20"/>
          <w:w w:val="105"/>
        </w:rPr>
        <w:t>(3),</w:t>
      </w:r>
      <w:r>
        <w:rPr>
          <w:color w:val="231F20"/>
          <w:spacing w:val="-35"/>
          <w:w w:val="105"/>
        </w:rPr>
        <w:t> </w:t>
      </w:r>
      <w:r>
        <w:rPr>
          <w:color w:val="231F20"/>
          <w:w w:val="105"/>
        </w:rPr>
        <w:t>522-537.</w:t>
      </w:r>
    </w:p>
    <w:p>
      <w:pPr>
        <w:spacing w:line="259" w:lineRule="auto" w:before="0"/>
        <w:ind w:left="854" w:right="121" w:hanging="738"/>
        <w:jc w:val="both"/>
        <w:rPr>
          <w:sz w:val="21"/>
        </w:rPr>
      </w:pPr>
      <w:r>
        <w:rPr>
          <w:color w:val="231F20"/>
          <w:w w:val="105"/>
          <w:sz w:val="21"/>
        </w:rPr>
        <w:t>Cyert,</w:t>
      </w:r>
      <w:r>
        <w:rPr>
          <w:color w:val="231F20"/>
          <w:spacing w:val="-9"/>
          <w:w w:val="105"/>
          <w:sz w:val="21"/>
        </w:rPr>
        <w:t> </w:t>
      </w:r>
      <w:r>
        <w:rPr>
          <w:color w:val="231F20"/>
          <w:w w:val="105"/>
          <w:sz w:val="21"/>
        </w:rPr>
        <w:t>R.</w:t>
      </w:r>
      <w:r>
        <w:rPr>
          <w:color w:val="231F20"/>
          <w:spacing w:val="-9"/>
          <w:w w:val="105"/>
          <w:sz w:val="21"/>
        </w:rPr>
        <w:t> </w:t>
      </w:r>
      <w:r>
        <w:rPr>
          <w:color w:val="231F20"/>
          <w:w w:val="105"/>
          <w:sz w:val="21"/>
        </w:rPr>
        <w:t>y</w:t>
      </w:r>
      <w:r>
        <w:rPr>
          <w:color w:val="231F20"/>
          <w:spacing w:val="-4"/>
          <w:w w:val="105"/>
          <w:sz w:val="21"/>
        </w:rPr>
        <w:t> </w:t>
      </w:r>
      <w:r>
        <w:rPr>
          <w:color w:val="231F20"/>
          <w:w w:val="105"/>
          <w:sz w:val="21"/>
        </w:rPr>
        <w:t>March,</w:t>
      </w:r>
      <w:r>
        <w:rPr>
          <w:color w:val="231F20"/>
          <w:spacing w:val="-11"/>
          <w:w w:val="105"/>
          <w:sz w:val="21"/>
        </w:rPr>
        <w:t> </w:t>
      </w:r>
      <w:r>
        <w:rPr>
          <w:color w:val="231F20"/>
          <w:w w:val="105"/>
          <w:sz w:val="21"/>
        </w:rPr>
        <w:t>J.</w:t>
      </w:r>
      <w:r>
        <w:rPr>
          <w:color w:val="231F20"/>
          <w:spacing w:val="-9"/>
          <w:w w:val="105"/>
          <w:sz w:val="21"/>
        </w:rPr>
        <w:t> </w:t>
      </w:r>
      <w:r>
        <w:rPr>
          <w:color w:val="231F20"/>
          <w:w w:val="105"/>
          <w:sz w:val="21"/>
        </w:rPr>
        <w:t>(1993).</w:t>
      </w:r>
      <w:r>
        <w:rPr>
          <w:color w:val="231F20"/>
          <w:spacing w:val="-9"/>
          <w:w w:val="105"/>
          <w:sz w:val="21"/>
        </w:rPr>
        <w:t> </w:t>
      </w:r>
      <w:r>
        <w:rPr>
          <w:i/>
          <w:color w:val="231F20"/>
          <w:w w:val="105"/>
          <w:sz w:val="21"/>
        </w:rPr>
        <w:t>A</w:t>
      </w:r>
      <w:r>
        <w:rPr>
          <w:i/>
          <w:color w:val="231F20"/>
          <w:spacing w:val="-7"/>
          <w:w w:val="105"/>
          <w:sz w:val="21"/>
        </w:rPr>
        <w:t> </w:t>
      </w:r>
      <w:r>
        <w:rPr>
          <w:i/>
          <w:color w:val="231F20"/>
          <w:w w:val="105"/>
          <w:sz w:val="21"/>
        </w:rPr>
        <w:t>behavioral</w:t>
      </w:r>
      <w:r>
        <w:rPr>
          <w:i/>
          <w:color w:val="231F20"/>
          <w:spacing w:val="-4"/>
          <w:w w:val="105"/>
          <w:sz w:val="21"/>
        </w:rPr>
        <w:t> </w:t>
      </w:r>
      <w:r>
        <w:rPr>
          <w:i/>
          <w:color w:val="231F20"/>
          <w:w w:val="105"/>
          <w:sz w:val="21"/>
        </w:rPr>
        <w:t>theory</w:t>
      </w:r>
      <w:r>
        <w:rPr>
          <w:i/>
          <w:color w:val="231F20"/>
          <w:spacing w:val="-4"/>
          <w:w w:val="105"/>
          <w:sz w:val="21"/>
        </w:rPr>
        <w:t> </w:t>
      </w:r>
      <w:r>
        <w:rPr>
          <w:i/>
          <w:color w:val="231F20"/>
          <w:w w:val="105"/>
          <w:sz w:val="21"/>
        </w:rPr>
        <w:t>of the</w:t>
      </w:r>
      <w:r>
        <w:rPr>
          <w:i/>
          <w:color w:val="231F20"/>
          <w:spacing w:val="-4"/>
          <w:w w:val="105"/>
          <w:sz w:val="21"/>
        </w:rPr>
        <w:t> </w:t>
      </w:r>
      <w:r>
        <w:rPr>
          <w:i/>
          <w:color w:val="231F20"/>
          <w:w w:val="105"/>
          <w:sz w:val="21"/>
        </w:rPr>
        <w:t>firm.</w:t>
      </w:r>
      <w:r>
        <w:rPr>
          <w:i/>
          <w:color w:val="231F20"/>
          <w:spacing w:val="-9"/>
          <w:w w:val="105"/>
          <w:sz w:val="21"/>
        </w:rPr>
        <w:t> </w:t>
      </w:r>
      <w:r>
        <w:rPr>
          <w:i/>
          <w:color w:val="231F20"/>
          <w:w w:val="105"/>
          <w:sz w:val="21"/>
        </w:rPr>
        <w:t>Englewood </w:t>
      </w:r>
      <w:r>
        <w:rPr>
          <w:i/>
          <w:color w:val="231F20"/>
          <w:w w:val="105"/>
          <w:sz w:val="21"/>
        </w:rPr>
        <w:t>cliffs.</w:t>
      </w:r>
      <w:r>
        <w:rPr>
          <w:i/>
          <w:color w:val="231F20"/>
          <w:spacing w:val="-36"/>
          <w:w w:val="105"/>
          <w:sz w:val="21"/>
        </w:rPr>
        <w:t> </w:t>
      </w:r>
      <w:r>
        <w:rPr>
          <w:color w:val="231F20"/>
          <w:w w:val="105"/>
          <w:sz w:val="21"/>
        </w:rPr>
        <w:t>N.J:</w:t>
      </w:r>
      <w:r>
        <w:rPr>
          <w:color w:val="231F20"/>
          <w:spacing w:val="-36"/>
          <w:w w:val="105"/>
          <w:sz w:val="21"/>
        </w:rPr>
        <w:t> </w:t>
      </w:r>
      <w:r>
        <w:rPr>
          <w:color w:val="231F20"/>
          <w:w w:val="105"/>
          <w:sz w:val="21"/>
        </w:rPr>
        <w:t>Prentice</w:t>
      </w:r>
      <w:r>
        <w:rPr>
          <w:color w:val="231F20"/>
          <w:spacing w:val="-36"/>
          <w:w w:val="105"/>
          <w:sz w:val="21"/>
        </w:rPr>
        <w:t> </w:t>
      </w:r>
      <w:r>
        <w:rPr>
          <w:color w:val="231F20"/>
          <w:w w:val="105"/>
          <w:sz w:val="21"/>
        </w:rPr>
        <w:t>Hall.</w:t>
      </w:r>
      <w:r>
        <w:rPr>
          <w:color w:val="231F20"/>
          <w:spacing w:val="-39"/>
          <w:w w:val="105"/>
          <w:sz w:val="21"/>
        </w:rPr>
        <w:t> </w:t>
      </w:r>
      <w:r>
        <w:rPr>
          <w:color w:val="231F20"/>
          <w:w w:val="105"/>
          <w:sz w:val="21"/>
        </w:rPr>
        <w:t>1963.</w:t>
      </w:r>
    </w:p>
    <w:p>
      <w:pPr>
        <w:spacing w:line="259" w:lineRule="auto" w:before="0"/>
        <w:ind w:left="854" w:right="121" w:hanging="737"/>
        <w:jc w:val="both"/>
        <w:rPr>
          <w:sz w:val="21"/>
        </w:rPr>
      </w:pPr>
      <w:r>
        <w:rPr>
          <w:color w:val="231F20"/>
          <w:sz w:val="21"/>
        </w:rPr>
        <w:t>Chávez, N. y Torres, G. (2012). </w:t>
      </w:r>
      <w:r>
        <w:rPr>
          <w:i/>
          <w:color w:val="231F20"/>
          <w:sz w:val="21"/>
        </w:rPr>
        <w:t>La organización inteligente en un ambien- </w:t>
      </w:r>
      <w:r>
        <w:rPr>
          <w:i/>
          <w:color w:val="231F20"/>
          <w:sz w:val="21"/>
        </w:rPr>
        <w:t>te de aprendizaje: una exploración de sus aspectos generales. </w:t>
      </w:r>
      <w:r>
        <w:rPr>
          <w:color w:val="231F20"/>
          <w:sz w:val="21"/>
        </w:rPr>
        <w:t>AD-minister, (21) 101-115.</w:t>
      </w:r>
    </w:p>
    <w:p>
      <w:pPr>
        <w:pStyle w:val="BodyText"/>
        <w:spacing w:line="259" w:lineRule="auto"/>
        <w:ind w:left="854" w:right="122" w:hanging="738"/>
        <w:jc w:val="both"/>
      </w:pPr>
      <w:r>
        <w:rPr>
          <w:color w:val="000002"/>
          <w:w w:val="105"/>
        </w:rPr>
        <w:t>Dasgupta,</w:t>
      </w:r>
      <w:r>
        <w:rPr>
          <w:color w:val="000002"/>
          <w:spacing w:val="-31"/>
          <w:w w:val="105"/>
        </w:rPr>
        <w:t> </w:t>
      </w:r>
      <w:r>
        <w:rPr>
          <w:color w:val="000002"/>
          <w:w w:val="105"/>
        </w:rPr>
        <w:t>M.</w:t>
      </w:r>
      <w:r>
        <w:rPr>
          <w:color w:val="000002"/>
          <w:spacing w:val="-31"/>
          <w:w w:val="105"/>
        </w:rPr>
        <w:t> </w:t>
      </w:r>
      <w:r>
        <w:rPr>
          <w:color w:val="000002"/>
          <w:w w:val="105"/>
        </w:rPr>
        <w:t>(2012).</w:t>
      </w:r>
      <w:r>
        <w:rPr>
          <w:color w:val="000002"/>
          <w:spacing w:val="-31"/>
          <w:w w:val="105"/>
        </w:rPr>
        <w:t> </w:t>
      </w:r>
      <w:r>
        <w:rPr>
          <w:color w:val="000002"/>
          <w:w w:val="105"/>
        </w:rPr>
        <w:t>“Conceptual</w:t>
      </w:r>
      <w:r>
        <w:rPr>
          <w:color w:val="000002"/>
          <w:spacing w:val="-26"/>
          <w:w w:val="105"/>
        </w:rPr>
        <w:t> </w:t>
      </w:r>
      <w:r>
        <w:rPr>
          <w:color w:val="000002"/>
          <w:w w:val="105"/>
        </w:rPr>
        <w:t>paper:</w:t>
      </w:r>
      <w:r>
        <w:rPr>
          <w:color w:val="000002"/>
          <w:spacing w:val="-26"/>
          <w:w w:val="105"/>
        </w:rPr>
        <w:t> </w:t>
      </w:r>
      <w:r>
        <w:rPr>
          <w:color w:val="000002"/>
          <w:w w:val="105"/>
        </w:rPr>
        <w:t>Organizational</w:t>
      </w:r>
      <w:r>
        <w:rPr>
          <w:color w:val="000002"/>
          <w:spacing w:val="-26"/>
          <w:w w:val="105"/>
        </w:rPr>
        <w:t> </w:t>
      </w:r>
      <w:r>
        <w:rPr>
          <w:color w:val="000002"/>
          <w:w w:val="105"/>
        </w:rPr>
        <w:t>Learning</w:t>
      </w:r>
      <w:r>
        <w:rPr>
          <w:color w:val="000002"/>
          <w:spacing w:val="-26"/>
          <w:w w:val="105"/>
        </w:rPr>
        <w:t> </w:t>
      </w:r>
      <w:r>
        <w:rPr>
          <w:color w:val="000002"/>
          <w:w w:val="105"/>
        </w:rPr>
        <w:t>and</w:t>
      </w:r>
      <w:r>
        <w:rPr>
          <w:color w:val="000002"/>
          <w:spacing w:val="-26"/>
          <w:w w:val="105"/>
        </w:rPr>
        <w:t> </w:t>
      </w:r>
      <w:r>
        <w:rPr>
          <w:color w:val="000002"/>
          <w:w w:val="105"/>
        </w:rPr>
        <w:t>Its Practices”</w:t>
      </w:r>
      <w:r>
        <w:rPr>
          <w:color w:val="000002"/>
          <w:spacing w:val="-39"/>
          <w:w w:val="105"/>
        </w:rPr>
        <w:t> </w:t>
      </w:r>
      <w:r>
        <w:rPr>
          <w:color w:val="000002"/>
          <w:w w:val="105"/>
        </w:rPr>
        <w:t>en:</w:t>
      </w:r>
      <w:r>
        <w:rPr>
          <w:color w:val="000002"/>
          <w:spacing w:val="-39"/>
          <w:w w:val="105"/>
        </w:rPr>
        <w:t> </w:t>
      </w:r>
      <w:r>
        <w:rPr>
          <w:i/>
          <w:color w:val="000002"/>
          <w:w w:val="105"/>
        </w:rPr>
        <w:t>Sage</w:t>
      </w:r>
      <w:r>
        <w:rPr>
          <w:i/>
          <w:color w:val="000002"/>
          <w:spacing w:val="-39"/>
          <w:w w:val="105"/>
        </w:rPr>
        <w:t> </w:t>
      </w:r>
      <w:r>
        <w:rPr>
          <w:i/>
          <w:color w:val="000002"/>
          <w:w w:val="105"/>
        </w:rPr>
        <w:t>Open,</w:t>
      </w:r>
      <w:r>
        <w:rPr>
          <w:i/>
          <w:color w:val="000002"/>
          <w:spacing w:val="-42"/>
          <w:w w:val="105"/>
        </w:rPr>
        <w:t> </w:t>
      </w:r>
      <w:r>
        <w:rPr>
          <w:i/>
          <w:color w:val="000002"/>
          <w:w w:val="105"/>
        </w:rPr>
        <w:t>2</w:t>
      </w:r>
      <w:r>
        <w:rPr>
          <w:color w:val="000002"/>
          <w:w w:val="105"/>
        </w:rPr>
        <w:t>(1),</w:t>
      </w:r>
      <w:r>
        <w:rPr>
          <w:color w:val="000002"/>
          <w:spacing w:val="-42"/>
          <w:w w:val="105"/>
        </w:rPr>
        <w:t> </w:t>
      </w:r>
      <w:r>
        <w:rPr>
          <w:color w:val="000002"/>
          <w:w w:val="105"/>
        </w:rPr>
        <w:t>1-11.</w:t>
      </w:r>
    </w:p>
    <w:p>
      <w:pPr>
        <w:pStyle w:val="BodyText"/>
        <w:spacing w:line="259" w:lineRule="auto"/>
        <w:ind w:left="854" w:right="122" w:hanging="738"/>
        <w:jc w:val="both"/>
      </w:pPr>
      <w:r>
        <w:rPr>
          <w:color w:val="231F20"/>
          <w:w w:val="105"/>
        </w:rPr>
        <w:t>Dodgson, M. (1993). “Organizational learning: a review of some litera- tures” en: </w:t>
      </w:r>
      <w:r>
        <w:rPr>
          <w:i/>
          <w:color w:val="231F20"/>
          <w:w w:val="105"/>
        </w:rPr>
        <w:t>Organization studies</w:t>
      </w:r>
      <w:r>
        <w:rPr>
          <w:color w:val="231F20"/>
          <w:w w:val="105"/>
        </w:rPr>
        <w:t>, vol. 14, no 3, pp. 375-394.</w:t>
      </w:r>
    </w:p>
    <w:p>
      <w:pPr>
        <w:pStyle w:val="BodyText"/>
        <w:spacing w:line="259" w:lineRule="auto"/>
        <w:ind w:left="854" w:right="122" w:hanging="738"/>
        <w:jc w:val="both"/>
      </w:pPr>
      <w:r>
        <w:rPr>
          <w:color w:val="231F20"/>
        </w:rPr>
        <w:t>Escorsa</w:t>
      </w:r>
      <w:r>
        <w:rPr>
          <w:color w:val="231F20"/>
          <w:spacing w:val="-11"/>
        </w:rPr>
        <w:t> </w:t>
      </w:r>
      <w:r>
        <w:rPr>
          <w:color w:val="231F20"/>
          <w:spacing w:val="-16"/>
        </w:rPr>
        <w:t>P.</w:t>
      </w:r>
      <w:r>
        <w:rPr>
          <w:color w:val="231F20"/>
          <w:spacing w:val="-18"/>
        </w:rPr>
        <w:t> </w:t>
      </w:r>
      <w:r>
        <w:rPr>
          <w:color w:val="231F20"/>
        </w:rPr>
        <w:t>y</w:t>
      </w:r>
      <w:r>
        <w:rPr>
          <w:color w:val="231F20"/>
          <w:spacing w:val="-11"/>
        </w:rPr>
        <w:t> </w:t>
      </w:r>
      <w:r>
        <w:rPr>
          <w:color w:val="231F20"/>
        </w:rPr>
        <w:t>Maspons</w:t>
      </w:r>
      <w:r>
        <w:rPr>
          <w:color w:val="231F20"/>
          <w:spacing w:val="-11"/>
        </w:rPr>
        <w:t> </w:t>
      </w:r>
      <w:r>
        <w:rPr>
          <w:color w:val="231F20"/>
        </w:rPr>
        <w:t>R.</w:t>
      </w:r>
      <w:r>
        <w:rPr>
          <w:color w:val="231F20"/>
          <w:spacing w:val="-18"/>
        </w:rPr>
        <w:t> </w:t>
      </w:r>
      <w:r>
        <w:rPr>
          <w:color w:val="231F20"/>
        </w:rPr>
        <w:t>(2001).</w:t>
      </w:r>
      <w:r>
        <w:rPr>
          <w:color w:val="231F20"/>
          <w:spacing w:val="-18"/>
        </w:rPr>
        <w:t> </w:t>
      </w:r>
      <w:r>
        <w:rPr>
          <w:color w:val="231F20"/>
        </w:rPr>
        <w:t>De</w:t>
      </w:r>
      <w:r>
        <w:rPr>
          <w:color w:val="231F20"/>
          <w:spacing w:val="-11"/>
        </w:rPr>
        <w:t> </w:t>
      </w:r>
      <w:r>
        <w:rPr>
          <w:color w:val="231F20"/>
        </w:rPr>
        <w:t>la</w:t>
      </w:r>
      <w:r>
        <w:rPr>
          <w:color w:val="231F20"/>
          <w:spacing w:val="-15"/>
        </w:rPr>
        <w:t> </w:t>
      </w:r>
      <w:r>
        <w:rPr>
          <w:color w:val="231F20"/>
        </w:rPr>
        <w:t>Vigilancia</w:t>
      </w:r>
      <w:r>
        <w:rPr>
          <w:color w:val="231F20"/>
          <w:spacing w:val="-16"/>
        </w:rPr>
        <w:t> </w:t>
      </w:r>
      <w:r>
        <w:rPr>
          <w:color w:val="231F20"/>
        </w:rPr>
        <w:t>Tecnológica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Inteligen- cia Competitiva. </w:t>
      </w:r>
      <w:r>
        <w:rPr>
          <w:color w:val="231F20"/>
          <w:spacing w:val="-3"/>
        </w:rPr>
        <w:t>Pearson </w:t>
      </w:r>
      <w:r>
        <w:rPr>
          <w:color w:val="231F20"/>
        </w:rPr>
        <w:t>Educación. Madrid,</w:t>
      </w:r>
      <w:r>
        <w:rPr>
          <w:color w:val="231F20"/>
          <w:spacing w:val="53"/>
        </w:rPr>
        <w:t> </w:t>
      </w:r>
      <w:r>
        <w:rPr>
          <w:color w:val="231F20"/>
        </w:rPr>
        <w:t>España.</w:t>
      </w:r>
    </w:p>
    <w:p>
      <w:pPr>
        <w:spacing w:line="259" w:lineRule="auto" w:before="0"/>
        <w:ind w:left="854" w:right="122" w:hanging="738"/>
        <w:jc w:val="both"/>
        <w:rPr>
          <w:sz w:val="21"/>
        </w:rPr>
      </w:pPr>
      <w:r>
        <w:rPr>
          <w:color w:val="231F20"/>
          <w:w w:val="105"/>
          <w:sz w:val="21"/>
        </w:rPr>
        <w:t>Fiol,</w:t>
      </w:r>
      <w:r>
        <w:rPr>
          <w:color w:val="231F20"/>
          <w:spacing w:val="-19"/>
          <w:w w:val="105"/>
          <w:sz w:val="21"/>
        </w:rPr>
        <w:t> </w:t>
      </w:r>
      <w:r>
        <w:rPr>
          <w:color w:val="231F20"/>
          <w:w w:val="105"/>
          <w:sz w:val="21"/>
        </w:rPr>
        <w:t>C.</w:t>
      </w:r>
      <w:r>
        <w:rPr>
          <w:color w:val="231F20"/>
          <w:spacing w:val="-19"/>
          <w:w w:val="105"/>
          <w:sz w:val="21"/>
        </w:rPr>
        <w:t> </w:t>
      </w:r>
      <w:r>
        <w:rPr>
          <w:color w:val="231F20"/>
          <w:w w:val="105"/>
          <w:sz w:val="21"/>
        </w:rPr>
        <w:t>y</w:t>
      </w:r>
      <w:r>
        <w:rPr>
          <w:color w:val="231F20"/>
          <w:spacing w:val="-14"/>
          <w:w w:val="105"/>
          <w:sz w:val="21"/>
        </w:rPr>
        <w:t> </w:t>
      </w:r>
      <w:r>
        <w:rPr>
          <w:color w:val="231F20"/>
          <w:w w:val="105"/>
          <w:sz w:val="21"/>
        </w:rPr>
        <w:t>Lyles,</w:t>
      </w:r>
      <w:r>
        <w:rPr>
          <w:color w:val="231F20"/>
          <w:spacing w:val="-19"/>
          <w:w w:val="105"/>
          <w:sz w:val="21"/>
        </w:rPr>
        <w:t> </w:t>
      </w:r>
      <w:r>
        <w:rPr>
          <w:color w:val="231F20"/>
          <w:w w:val="105"/>
          <w:sz w:val="21"/>
        </w:rPr>
        <w:t>M.</w:t>
      </w:r>
      <w:r>
        <w:rPr>
          <w:color w:val="231F20"/>
          <w:spacing w:val="-19"/>
          <w:w w:val="105"/>
          <w:sz w:val="21"/>
        </w:rPr>
        <w:t> </w:t>
      </w:r>
      <w:r>
        <w:rPr>
          <w:color w:val="231F20"/>
          <w:w w:val="105"/>
          <w:sz w:val="21"/>
        </w:rPr>
        <w:t>(1985).</w:t>
      </w:r>
      <w:r>
        <w:rPr>
          <w:color w:val="231F20"/>
          <w:spacing w:val="-19"/>
          <w:w w:val="105"/>
          <w:sz w:val="21"/>
        </w:rPr>
        <w:t> </w:t>
      </w:r>
      <w:r>
        <w:rPr>
          <w:color w:val="231F20"/>
          <w:w w:val="105"/>
          <w:sz w:val="21"/>
        </w:rPr>
        <w:t>“Organizational</w:t>
      </w:r>
      <w:r>
        <w:rPr>
          <w:color w:val="231F20"/>
          <w:spacing w:val="-14"/>
          <w:w w:val="105"/>
          <w:sz w:val="21"/>
        </w:rPr>
        <w:t> </w:t>
      </w:r>
      <w:r>
        <w:rPr>
          <w:color w:val="231F20"/>
          <w:w w:val="105"/>
          <w:sz w:val="21"/>
        </w:rPr>
        <w:t>learning”</w:t>
      </w:r>
      <w:r>
        <w:rPr>
          <w:color w:val="231F20"/>
          <w:spacing w:val="-14"/>
          <w:w w:val="105"/>
          <w:sz w:val="21"/>
        </w:rPr>
        <w:t> </w:t>
      </w:r>
      <w:r>
        <w:rPr>
          <w:color w:val="231F20"/>
          <w:w w:val="105"/>
          <w:sz w:val="21"/>
        </w:rPr>
        <w:t>en:</w:t>
      </w:r>
      <w:r>
        <w:rPr>
          <w:color w:val="231F20"/>
          <w:spacing w:val="-14"/>
          <w:w w:val="105"/>
          <w:sz w:val="21"/>
        </w:rPr>
        <w:t> </w:t>
      </w:r>
      <w:r>
        <w:rPr>
          <w:i/>
          <w:color w:val="231F20"/>
          <w:w w:val="105"/>
          <w:sz w:val="21"/>
        </w:rPr>
        <w:t>Academy</w:t>
      </w:r>
      <w:r>
        <w:rPr>
          <w:i/>
          <w:color w:val="231F20"/>
          <w:spacing w:val="-14"/>
          <w:w w:val="105"/>
          <w:sz w:val="21"/>
        </w:rPr>
        <w:t> </w:t>
      </w:r>
      <w:r>
        <w:rPr>
          <w:i/>
          <w:color w:val="231F20"/>
          <w:w w:val="105"/>
          <w:sz w:val="21"/>
        </w:rPr>
        <w:t>of</w:t>
      </w:r>
      <w:r>
        <w:rPr>
          <w:i/>
          <w:color w:val="231F20"/>
          <w:spacing w:val="-10"/>
          <w:w w:val="105"/>
          <w:sz w:val="21"/>
        </w:rPr>
        <w:t> </w:t>
      </w:r>
      <w:r>
        <w:rPr>
          <w:i/>
          <w:color w:val="231F20"/>
          <w:w w:val="105"/>
          <w:sz w:val="21"/>
        </w:rPr>
        <w:t>Ma- </w:t>
      </w:r>
      <w:r>
        <w:rPr>
          <w:i/>
          <w:color w:val="231F20"/>
          <w:w w:val="105"/>
          <w:sz w:val="21"/>
        </w:rPr>
        <w:t>nagement</w:t>
      </w:r>
      <w:r>
        <w:rPr>
          <w:i/>
          <w:color w:val="231F20"/>
          <w:spacing w:val="-35"/>
          <w:w w:val="105"/>
          <w:sz w:val="21"/>
        </w:rPr>
        <w:t> </w:t>
      </w:r>
      <w:r>
        <w:rPr>
          <w:i/>
          <w:color w:val="231F20"/>
          <w:w w:val="105"/>
          <w:sz w:val="21"/>
        </w:rPr>
        <w:t>Review</w:t>
      </w:r>
      <w:r>
        <w:rPr>
          <w:color w:val="231F20"/>
          <w:w w:val="105"/>
          <w:sz w:val="21"/>
        </w:rPr>
        <w:t>,</w:t>
      </w:r>
      <w:r>
        <w:rPr>
          <w:color w:val="231F20"/>
          <w:spacing w:val="-38"/>
          <w:w w:val="105"/>
          <w:sz w:val="21"/>
        </w:rPr>
        <w:t> </w:t>
      </w:r>
      <w:r>
        <w:rPr>
          <w:color w:val="231F20"/>
          <w:w w:val="105"/>
          <w:sz w:val="21"/>
        </w:rPr>
        <w:t>no.</w:t>
      </w:r>
      <w:r>
        <w:rPr>
          <w:color w:val="231F20"/>
          <w:spacing w:val="-38"/>
          <w:w w:val="105"/>
          <w:sz w:val="21"/>
        </w:rPr>
        <w:t> </w:t>
      </w:r>
      <w:r>
        <w:rPr>
          <w:color w:val="231F20"/>
          <w:w w:val="105"/>
          <w:sz w:val="21"/>
        </w:rPr>
        <w:t>10.</w:t>
      </w:r>
      <w:r>
        <w:rPr>
          <w:color w:val="231F20"/>
          <w:spacing w:val="-38"/>
          <w:w w:val="105"/>
          <w:sz w:val="21"/>
        </w:rPr>
        <w:t> </w:t>
      </w:r>
      <w:r>
        <w:rPr>
          <w:color w:val="231F20"/>
          <w:w w:val="105"/>
          <w:sz w:val="21"/>
        </w:rPr>
        <w:t>Pp</w:t>
      </w:r>
      <w:r>
        <w:rPr>
          <w:color w:val="231F20"/>
          <w:spacing w:val="-35"/>
          <w:w w:val="105"/>
          <w:sz w:val="21"/>
        </w:rPr>
        <w:t> </w:t>
      </w:r>
      <w:r>
        <w:rPr>
          <w:color w:val="231F20"/>
          <w:w w:val="105"/>
          <w:sz w:val="21"/>
        </w:rPr>
        <w:t>803-13.</w:t>
      </w:r>
    </w:p>
    <w:p>
      <w:pPr>
        <w:spacing w:line="259" w:lineRule="auto" w:before="0"/>
        <w:ind w:left="854" w:right="115" w:hanging="738"/>
        <w:jc w:val="both"/>
        <w:rPr>
          <w:sz w:val="21"/>
        </w:rPr>
      </w:pPr>
      <w:r>
        <w:rPr>
          <w:color w:val="231F20"/>
          <w:w w:val="105"/>
          <w:sz w:val="21"/>
        </w:rPr>
        <w:t>Fritzsche,</w:t>
      </w:r>
      <w:r>
        <w:rPr>
          <w:color w:val="231F20"/>
          <w:spacing w:val="-12"/>
          <w:w w:val="105"/>
          <w:sz w:val="21"/>
        </w:rPr>
        <w:t> </w:t>
      </w:r>
      <w:r>
        <w:rPr>
          <w:color w:val="231F20"/>
          <w:spacing w:val="-11"/>
          <w:w w:val="105"/>
          <w:sz w:val="21"/>
        </w:rPr>
        <w:t>F.</w:t>
      </w:r>
      <w:r>
        <w:rPr>
          <w:color w:val="231F20"/>
          <w:spacing w:val="-12"/>
          <w:w w:val="105"/>
          <w:sz w:val="21"/>
        </w:rPr>
        <w:t> </w:t>
      </w:r>
      <w:r>
        <w:rPr>
          <w:color w:val="231F20"/>
          <w:w w:val="105"/>
          <w:sz w:val="21"/>
        </w:rPr>
        <w:t>y</w:t>
      </w:r>
      <w:r>
        <w:rPr>
          <w:color w:val="231F20"/>
          <w:spacing w:val="-11"/>
          <w:w w:val="105"/>
          <w:sz w:val="21"/>
        </w:rPr>
        <w:t> </w:t>
      </w:r>
      <w:r>
        <w:rPr>
          <w:color w:val="231F20"/>
          <w:w w:val="105"/>
          <w:sz w:val="21"/>
        </w:rPr>
        <w:t>Vio,</w:t>
      </w:r>
      <w:r>
        <w:rPr>
          <w:color w:val="231F20"/>
          <w:spacing w:val="-12"/>
          <w:w w:val="105"/>
          <w:sz w:val="21"/>
        </w:rPr>
        <w:t> </w:t>
      </w:r>
      <w:r>
        <w:rPr>
          <w:color w:val="231F20"/>
          <w:w w:val="105"/>
          <w:sz w:val="21"/>
        </w:rPr>
        <w:t>M.</w:t>
      </w:r>
      <w:r>
        <w:rPr>
          <w:color w:val="231F20"/>
          <w:spacing w:val="-12"/>
          <w:w w:val="105"/>
          <w:sz w:val="21"/>
        </w:rPr>
        <w:t> </w:t>
      </w:r>
      <w:r>
        <w:rPr>
          <w:color w:val="231F20"/>
          <w:w w:val="105"/>
          <w:sz w:val="21"/>
        </w:rPr>
        <w:t>(2000).</w:t>
      </w:r>
      <w:r>
        <w:rPr>
          <w:color w:val="231F20"/>
          <w:spacing w:val="-12"/>
          <w:w w:val="105"/>
          <w:sz w:val="21"/>
        </w:rPr>
        <w:t> </w:t>
      </w:r>
      <w:r>
        <w:rPr>
          <w:i/>
          <w:color w:val="231F20"/>
          <w:w w:val="105"/>
          <w:sz w:val="21"/>
        </w:rPr>
        <w:t>Especialización</w:t>
      </w:r>
      <w:r>
        <w:rPr>
          <w:i/>
          <w:color w:val="231F20"/>
          <w:spacing w:val="-9"/>
          <w:w w:val="105"/>
          <w:sz w:val="21"/>
        </w:rPr>
        <w:t> </w:t>
      </w:r>
      <w:r>
        <w:rPr>
          <w:i/>
          <w:color w:val="231F20"/>
          <w:w w:val="105"/>
          <w:sz w:val="21"/>
        </w:rPr>
        <w:t>y</w:t>
      </w:r>
      <w:r>
        <w:rPr>
          <w:i/>
          <w:color w:val="231F20"/>
          <w:spacing w:val="-9"/>
          <w:w w:val="105"/>
          <w:sz w:val="21"/>
        </w:rPr>
        <w:t> </w:t>
      </w:r>
      <w:r>
        <w:rPr>
          <w:i/>
          <w:color w:val="231F20"/>
          <w:w w:val="105"/>
          <w:sz w:val="21"/>
        </w:rPr>
        <w:t>diversificación</w:t>
      </w:r>
      <w:r>
        <w:rPr>
          <w:i/>
          <w:color w:val="231F20"/>
          <w:spacing w:val="-9"/>
          <w:w w:val="105"/>
          <w:sz w:val="21"/>
        </w:rPr>
        <w:t> </w:t>
      </w:r>
      <w:r>
        <w:rPr>
          <w:i/>
          <w:color w:val="231F20"/>
          <w:w w:val="105"/>
          <w:sz w:val="21"/>
        </w:rPr>
        <w:t>industrial </w:t>
      </w:r>
      <w:r>
        <w:rPr>
          <w:i/>
          <w:color w:val="231F20"/>
          <w:w w:val="105"/>
          <w:sz w:val="21"/>
        </w:rPr>
        <w:t>en</w:t>
      </w:r>
      <w:r>
        <w:rPr>
          <w:i/>
          <w:color w:val="231F20"/>
          <w:spacing w:val="-22"/>
          <w:w w:val="105"/>
          <w:sz w:val="21"/>
        </w:rPr>
        <w:t> </w:t>
      </w:r>
      <w:r>
        <w:rPr>
          <w:i/>
          <w:color w:val="231F20"/>
          <w:w w:val="105"/>
          <w:sz w:val="21"/>
        </w:rPr>
        <w:t>la</w:t>
      </w:r>
      <w:r>
        <w:rPr>
          <w:i/>
          <w:color w:val="231F20"/>
          <w:spacing w:val="-22"/>
          <w:w w:val="105"/>
          <w:sz w:val="21"/>
        </w:rPr>
        <w:t> </w:t>
      </w:r>
      <w:r>
        <w:rPr>
          <w:i/>
          <w:color w:val="231F20"/>
          <w:w w:val="105"/>
          <w:sz w:val="21"/>
        </w:rPr>
        <w:t>región</w:t>
      </w:r>
      <w:r>
        <w:rPr>
          <w:i/>
          <w:color w:val="231F20"/>
          <w:spacing w:val="-22"/>
          <w:w w:val="105"/>
          <w:sz w:val="21"/>
        </w:rPr>
        <w:t> </w:t>
      </w:r>
      <w:r>
        <w:rPr>
          <w:i/>
          <w:color w:val="231F20"/>
          <w:w w:val="105"/>
          <w:sz w:val="21"/>
        </w:rPr>
        <w:t>metropolitana</w:t>
      </w:r>
      <w:r>
        <w:rPr>
          <w:i/>
          <w:color w:val="231F20"/>
          <w:spacing w:val="-22"/>
          <w:w w:val="105"/>
          <w:sz w:val="21"/>
        </w:rPr>
        <w:t> </w:t>
      </w:r>
      <w:r>
        <w:rPr>
          <w:i/>
          <w:color w:val="231F20"/>
          <w:w w:val="105"/>
          <w:sz w:val="21"/>
        </w:rPr>
        <w:t>de</w:t>
      </w:r>
      <w:r>
        <w:rPr>
          <w:i/>
          <w:color w:val="231F20"/>
          <w:spacing w:val="-22"/>
          <w:w w:val="105"/>
          <w:sz w:val="21"/>
        </w:rPr>
        <w:t> </w:t>
      </w:r>
      <w:r>
        <w:rPr>
          <w:i/>
          <w:color w:val="231F20"/>
          <w:w w:val="105"/>
          <w:sz w:val="21"/>
        </w:rPr>
        <w:t>Buenos</w:t>
      </w:r>
      <w:r>
        <w:rPr>
          <w:i/>
          <w:color w:val="231F20"/>
          <w:spacing w:val="-24"/>
          <w:w w:val="105"/>
          <w:sz w:val="21"/>
        </w:rPr>
        <w:t> </w:t>
      </w:r>
      <w:r>
        <w:rPr>
          <w:i/>
          <w:color w:val="231F20"/>
          <w:w w:val="105"/>
          <w:sz w:val="21"/>
        </w:rPr>
        <w:t>Aires</w:t>
      </w:r>
      <w:r>
        <w:rPr>
          <w:color w:val="231F20"/>
          <w:w w:val="105"/>
          <w:sz w:val="21"/>
        </w:rPr>
        <w:t>,</w:t>
      </w:r>
      <w:r>
        <w:rPr>
          <w:color w:val="231F20"/>
          <w:spacing w:val="-26"/>
          <w:w w:val="105"/>
          <w:sz w:val="21"/>
        </w:rPr>
        <w:t> </w:t>
      </w:r>
      <w:r>
        <w:rPr>
          <w:color w:val="231F20"/>
          <w:w w:val="105"/>
          <w:sz w:val="21"/>
        </w:rPr>
        <w:t>Revista</w:t>
      </w:r>
      <w:r>
        <w:rPr>
          <w:color w:val="231F20"/>
          <w:spacing w:val="-22"/>
          <w:w w:val="105"/>
          <w:sz w:val="21"/>
        </w:rPr>
        <w:t> </w:t>
      </w:r>
      <w:r>
        <w:rPr>
          <w:color w:val="231F20"/>
          <w:w w:val="105"/>
          <w:sz w:val="21"/>
        </w:rPr>
        <w:t>Eure,</w:t>
      </w:r>
      <w:r>
        <w:rPr>
          <w:color w:val="231F20"/>
          <w:spacing w:val="-26"/>
          <w:w w:val="105"/>
          <w:sz w:val="21"/>
        </w:rPr>
        <w:t> </w:t>
      </w:r>
      <w:r>
        <w:rPr>
          <w:color w:val="231F20"/>
          <w:w w:val="105"/>
          <w:sz w:val="21"/>
        </w:rPr>
        <w:t>vol.26, no.79,</w:t>
      </w:r>
      <w:r>
        <w:rPr>
          <w:color w:val="231F20"/>
          <w:spacing w:val="-26"/>
          <w:w w:val="105"/>
          <w:sz w:val="21"/>
        </w:rPr>
        <w:t> </w:t>
      </w:r>
      <w:r>
        <w:rPr>
          <w:color w:val="231F20"/>
          <w:w w:val="105"/>
          <w:sz w:val="21"/>
        </w:rPr>
        <w:t>Santiago</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Chile,</w:t>
      </w:r>
      <w:r>
        <w:rPr>
          <w:color w:val="231F20"/>
          <w:spacing w:val="-26"/>
          <w:w w:val="105"/>
          <w:sz w:val="21"/>
        </w:rPr>
        <w:t> </w:t>
      </w:r>
      <w:r>
        <w:rPr>
          <w:color w:val="231F20"/>
          <w:w w:val="105"/>
          <w:sz w:val="21"/>
        </w:rPr>
        <w:t>dic.</w:t>
      </w:r>
      <w:r>
        <w:rPr>
          <w:color w:val="231F20"/>
          <w:spacing w:val="-26"/>
          <w:w w:val="105"/>
          <w:sz w:val="21"/>
        </w:rPr>
        <w:t> </w:t>
      </w:r>
      <w:r>
        <w:rPr>
          <w:color w:val="231F20"/>
          <w:w w:val="105"/>
          <w:sz w:val="21"/>
        </w:rPr>
        <w:t>2000,</w:t>
      </w:r>
      <w:r>
        <w:rPr>
          <w:color w:val="231F20"/>
          <w:spacing w:val="-26"/>
          <w:w w:val="105"/>
          <w:sz w:val="21"/>
        </w:rPr>
        <w:t> </w:t>
      </w:r>
      <w:r>
        <w:rPr>
          <w:color w:val="231F20"/>
          <w:w w:val="105"/>
          <w:sz w:val="21"/>
        </w:rPr>
        <w:t>p.25-45.</w:t>
      </w:r>
    </w:p>
    <w:p>
      <w:pPr>
        <w:spacing w:line="259" w:lineRule="auto" w:before="0"/>
        <w:ind w:left="854" w:right="122" w:hanging="738"/>
        <w:jc w:val="both"/>
        <w:rPr>
          <w:sz w:val="21"/>
        </w:rPr>
      </w:pPr>
      <w:r>
        <w:rPr>
          <w:color w:val="231F20"/>
          <w:w w:val="105"/>
          <w:sz w:val="21"/>
        </w:rPr>
        <w:t>Garvin,</w:t>
      </w:r>
      <w:r>
        <w:rPr>
          <w:color w:val="231F20"/>
          <w:spacing w:val="-29"/>
          <w:w w:val="105"/>
          <w:sz w:val="21"/>
        </w:rPr>
        <w:t> </w:t>
      </w:r>
      <w:r>
        <w:rPr>
          <w:color w:val="231F20"/>
          <w:spacing w:val="-6"/>
          <w:w w:val="105"/>
          <w:sz w:val="21"/>
        </w:rPr>
        <w:t>D.</w:t>
      </w:r>
      <w:r>
        <w:rPr>
          <w:color w:val="231F20"/>
          <w:spacing w:val="-29"/>
          <w:w w:val="105"/>
          <w:sz w:val="21"/>
        </w:rPr>
        <w:t> </w:t>
      </w:r>
      <w:r>
        <w:rPr>
          <w:color w:val="231F20"/>
          <w:w w:val="105"/>
          <w:sz w:val="21"/>
        </w:rPr>
        <w:t>(1993).</w:t>
      </w:r>
      <w:r>
        <w:rPr>
          <w:color w:val="231F20"/>
          <w:spacing w:val="-29"/>
          <w:w w:val="105"/>
          <w:sz w:val="21"/>
        </w:rPr>
        <w:t> </w:t>
      </w:r>
      <w:r>
        <w:rPr>
          <w:color w:val="231F20"/>
          <w:w w:val="105"/>
          <w:sz w:val="21"/>
        </w:rPr>
        <w:t>Building</w:t>
      </w:r>
      <w:r>
        <w:rPr>
          <w:color w:val="231F20"/>
          <w:spacing w:val="-26"/>
          <w:w w:val="105"/>
          <w:sz w:val="21"/>
        </w:rPr>
        <w:t> </w:t>
      </w:r>
      <w:r>
        <w:rPr>
          <w:color w:val="231F20"/>
          <w:w w:val="105"/>
          <w:sz w:val="21"/>
        </w:rPr>
        <w:t>a</w:t>
      </w:r>
      <w:r>
        <w:rPr>
          <w:color w:val="231F20"/>
          <w:spacing w:val="-26"/>
          <w:w w:val="105"/>
          <w:sz w:val="21"/>
        </w:rPr>
        <w:t> </w:t>
      </w:r>
      <w:r>
        <w:rPr>
          <w:color w:val="231F20"/>
          <w:w w:val="105"/>
          <w:sz w:val="21"/>
        </w:rPr>
        <w:t>learning</w:t>
      </w:r>
      <w:r>
        <w:rPr>
          <w:color w:val="231F20"/>
          <w:spacing w:val="-26"/>
          <w:w w:val="105"/>
          <w:sz w:val="21"/>
        </w:rPr>
        <w:t> </w:t>
      </w:r>
      <w:r>
        <w:rPr>
          <w:color w:val="231F20"/>
          <w:w w:val="105"/>
          <w:sz w:val="21"/>
        </w:rPr>
        <w:t>organization.</w:t>
      </w:r>
      <w:r>
        <w:rPr>
          <w:color w:val="231F20"/>
          <w:spacing w:val="-29"/>
          <w:w w:val="105"/>
          <w:sz w:val="21"/>
        </w:rPr>
        <w:t> </w:t>
      </w:r>
      <w:r>
        <w:rPr>
          <w:i/>
          <w:color w:val="231F20"/>
          <w:w w:val="105"/>
          <w:sz w:val="21"/>
        </w:rPr>
        <w:t>Harvard</w:t>
      </w:r>
      <w:r>
        <w:rPr>
          <w:i/>
          <w:color w:val="231F20"/>
          <w:spacing w:val="-26"/>
          <w:w w:val="105"/>
          <w:sz w:val="21"/>
        </w:rPr>
        <w:t> </w:t>
      </w:r>
      <w:r>
        <w:rPr>
          <w:i/>
          <w:color w:val="231F20"/>
          <w:w w:val="105"/>
          <w:sz w:val="21"/>
        </w:rPr>
        <w:t>Business</w:t>
      </w:r>
      <w:r>
        <w:rPr>
          <w:i/>
          <w:color w:val="231F20"/>
          <w:spacing w:val="-26"/>
          <w:w w:val="105"/>
          <w:sz w:val="21"/>
        </w:rPr>
        <w:t> </w:t>
      </w:r>
      <w:r>
        <w:rPr>
          <w:i/>
          <w:color w:val="231F20"/>
          <w:w w:val="105"/>
          <w:sz w:val="21"/>
        </w:rPr>
        <w:t>Re- </w:t>
      </w:r>
      <w:r>
        <w:rPr>
          <w:i/>
          <w:color w:val="231F20"/>
          <w:w w:val="105"/>
          <w:sz w:val="21"/>
        </w:rPr>
        <w:t>view</w:t>
      </w:r>
      <w:r>
        <w:rPr>
          <w:color w:val="231F20"/>
          <w:w w:val="105"/>
          <w:sz w:val="21"/>
        </w:rPr>
        <w:t>.</w:t>
      </w:r>
      <w:r>
        <w:rPr>
          <w:color w:val="231F20"/>
          <w:spacing w:val="-43"/>
          <w:w w:val="105"/>
          <w:sz w:val="21"/>
        </w:rPr>
        <w:t> </w:t>
      </w:r>
      <w:r>
        <w:rPr>
          <w:color w:val="231F20"/>
          <w:w w:val="105"/>
          <w:sz w:val="21"/>
        </w:rPr>
        <w:t>Julio-agosto.</w:t>
      </w:r>
      <w:r>
        <w:rPr>
          <w:color w:val="231F20"/>
          <w:spacing w:val="-42"/>
          <w:w w:val="105"/>
          <w:sz w:val="21"/>
        </w:rPr>
        <w:t> </w:t>
      </w:r>
      <w:r>
        <w:rPr>
          <w:color w:val="231F20"/>
          <w:w w:val="105"/>
          <w:sz w:val="21"/>
        </w:rPr>
        <w:t>78-92.</w:t>
      </w:r>
    </w:p>
    <w:p>
      <w:pPr>
        <w:spacing w:line="259" w:lineRule="auto" w:before="0"/>
        <w:ind w:left="854" w:right="122" w:hanging="737"/>
        <w:jc w:val="both"/>
        <w:rPr>
          <w:sz w:val="21"/>
        </w:rPr>
      </w:pPr>
      <w:r>
        <w:rPr>
          <w:color w:val="231F20"/>
          <w:sz w:val="21"/>
        </w:rPr>
        <w:t>Goré, E. (2003). </w:t>
      </w:r>
      <w:r>
        <w:rPr>
          <w:i/>
          <w:color w:val="231F20"/>
          <w:sz w:val="21"/>
        </w:rPr>
        <w:t>Conocimiento colectivo, la formación en el trabajo y la </w:t>
      </w:r>
      <w:r>
        <w:rPr>
          <w:i/>
          <w:color w:val="231F20"/>
          <w:sz w:val="21"/>
        </w:rPr>
        <w:t>formación de capacidades colectivas</w:t>
      </w:r>
      <w:r>
        <w:rPr>
          <w:color w:val="231F20"/>
          <w:sz w:val="21"/>
        </w:rPr>
        <w:t>. Buenos Aires:</w:t>
      </w:r>
      <w:r>
        <w:rPr>
          <w:color w:val="231F20"/>
          <w:spacing w:val="54"/>
          <w:sz w:val="21"/>
        </w:rPr>
        <w:t> </w:t>
      </w:r>
      <w:r>
        <w:rPr>
          <w:color w:val="231F20"/>
          <w:sz w:val="21"/>
        </w:rPr>
        <w:t>Granica.</w:t>
      </w:r>
    </w:p>
    <w:p>
      <w:pPr>
        <w:pStyle w:val="BodyText"/>
        <w:spacing w:line="259" w:lineRule="auto"/>
        <w:ind w:left="854" w:right="122" w:hanging="738"/>
        <w:jc w:val="both"/>
      </w:pPr>
      <w:r>
        <w:rPr>
          <w:color w:val="231F20"/>
          <w:w w:val="105"/>
        </w:rPr>
        <w:t>Huber, G. (1991) Organizational learning: the contributing process and the literature. </w:t>
      </w:r>
      <w:r>
        <w:rPr>
          <w:i/>
          <w:color w:val="231F20"/>
          <w:w w:val="105"/>
        </w:rPr>
        <w:t>Organization science </w:t>
      </w:r>
      <w:r>
        <w:rPr>
          <w:color w:val="231F20"/>
          <w:w w:val="105"/>
        </w:rPr>
        <w:t>2 (1): 88-115.</w:t>
      </w:r>
    </w:p>
    <w:p>
      <w:pPr>
        <w:pStyle w:val="BodyText"/>
        <w:spacing w:line="259" w:lineRule="auto"/>
        <w:ind w:left="854" w:right="122" w:hanging="738"/>
        <w:jc w:val="both"/>
      </w:pPr>
      <w:r>
        <w:rPr>
          <w:color w:val="231F20"/>
        </w:rPr>
        <w:t>Janson, M, Cecez-Kecmanovic, A. y Zupancic J. (2007). “Prospering in a transition   economy   through   information   technology-supported</w:t>
      </w:r>
    </w:p>
    <w:p>
      <w:pPr>
        <w:spacing w:after="0" w:line="259" w:lineRule="auto"/>
        <w:jc w:val="both"/>
        <w:sectPr>
          <w:pgSz w:w="9640" w:h="13890"/>
          <w:pgMar w:top="0" w:bottom="280" w:left="1300" w:right="1180"/>
        </w:sectPr>
      </w:pPr>
    </w:p>
    <w:p>
      <w:pPr>
        <w:spacing w:line="259" w:lineRule="auto" w:before="64"/>
        <w:ind w:left="840" w:right="105" w:firstLine="0"/>
        <w:jc w:val="left"/>
        <w:rPr>
          <w:sz w:val="21"/>
        </w:rPr>
      </w:pPr>
      <w:r>
        <w:rPr>
          <w:color w:val="231F20"/>
          <w:w w:val="105"/>
          <w:sz w:val="21"/>
        </w:rPr>
        <w:t>organizacional</w:t>
      </w:r>
      <w:r>
        <w:rPr>
          <w:color w:val="231F20"/>
          <w:spacing w:val="-20"/>
          <w:w w:val="105"/>
          <w:sz w:val="21"/>
        </w:rPr>
        <w:t> </w:t>
      </w:r>
      <w:r>
        <w:rPr>
          <w:color w:val="231F20"/>
          <w:w w:val="105"/>
          <w:sz w:val="21"/>
        </w:rPr>
        <w:t>learning”</w:t>
      </w:r>
      <w:r>
        <w:rPr>
          <w:color w:val="231F20"/>
          <w:spacing w:val="-20"/>
          <w:w w:val="105"/>
          <w:sz w:val="21"/>
        </w:rPr>
        <w:t> </w:t>
      </w:r>
      <w:r>
        <w:rPr>
          <w:color w:val="231F20"/>
          <w:w w:val="105"/>
          <w:sz w:val="21"/>
        </w:rPr>
        <w:t>en:</w:t>
      </w:r>
      <w:r>
        <w:rPr>
          <w:color w:val="231F20"/>
          <w:spacing w:val="-20"/>
          <w:w w:val="105"/>
          <w:sz w:val="21"/>
        </w:rPr>
        <w:t> </w:t>
      </w:r>
      <w:r>
        <w:rPr>
          <w:i/>
          <w:color w:val="231F20"/>
          <w:w w:val="105"/>
          <w:sz w:val="21"/>
        </w:rPr>
        <w:t>Information</w:t>
      </w:r>
      <w:r>
        <w:rPr>
          <w:i/>
          <w:color w:val="231F20"/>
          <w:spacing w:val="-20"/>
          <w:w w:val="105"/>
          <w:sz w:val="21"/>
        </w:rPr>
        <w:t> </w:t>
      </w:r>
      <w:r>
        <w:rPr>
          <w:i/>
          <w:color w:val="231F20"/>
          <w:w w:val="105"/>
          <w:sz w:val="21"/>
        </w:rPr>
        <w:t>systems</w:t>
      </w:r>
      <w:r>
        <w:rPr>
          <w:i/>
          <w:color w:val="231F20"/>
          <w:spacing w:val="-20"/>
          <w:w w:val="105"/>
          <w:sz w:val="21"/>
        </w:rPr>
        <w:t> </w:t>
      </w:r>
      <w:r>
        <w:rPr>
          <w:i/>
          <w:color w:val="231F20"/>
          <w:w w:val="105"/>
          <w:sz w:val="21"/>
        </w:rPr>
        <w:t>journal</w:t>
      </w:r>
      <w:r>
        <w:rPr>
          <w:color w:val="231F20"/>
          <w:w w:val="105"/>
          <w:sz w:val="21"/>
        </w:rPr>
        <w:t>,</w:t>
      </w:r>
      <w:r>
        <w:rPr>
          <w:color w:val="231F20"/>
          <w:spacing w:val="-25"/>
          <w:w w:val="105"/>
          <w:sz w:val="21"/>
        </w:rPr>
        <w:t> </w:t>
      </w:r>
      <w:r>
        <w:rPr>
          <w:color w:val="231F20"/>
          <w:w w:val="105"/>
          <w:sz w:val="21"/>
        </w:rPr>
        <w:t>volume 17.</w:t>
      </w:r>
      <w:r>
        <w:rPr>
          <w:color w:val="231F20"/>
          <w:spacing w:val="-35"/>
          <w:w w:val="105"/>
          <w:sz w:val="21"/>
        </w:rPr>
        <w:t> </w:t>
      </w:r>
      <w:r>
        <w:rPr>
          <w:color w:val="231F20"/>
          <w:w w:val="105"/>
          <w:sz w:val="21"/>
        </w:rPr>
        <w:t>Jan.</w:t>
      </w:r>
      <w:r>
        <w:rPr>
          <w:color w:val="231F20"/>
          <w:spacing w:val="-34"/>
          <w:w w:val="105"/>
          <w:sz w:val="21"/>
        </w:rPr>
        <w:t> </w:t>
      </w:r>
      <w:r>
        <w:rPr>
          <w:color w:val="231F20"/>
          <w:w w:val="105"/>
          <w:sz w:val="21"/>
        </w:rPr>
        <w:t>2007</w:t>
      </w:r>
      <w:r>
        <w:rPr>
          <w:color w:val="231F20"/>
          <w:spacing w:val="-29"/>
          <w:w w:val="105"/>
          <w:sz w:val="21"/>
        </w:rPr>
        <w:t> </w:t>
      </w:r>
      <w:r>
        <w:rPr>
          <w:color w:val="231F20"/>
          <w:w w:val="105"/>
          <w:sz w:val="21"/>
        </w:rPr>
        <w:t>3-36.</w:t>
      </w:r>
    </w:p>
    <w:p>
      <w:pPr>
        <w:pStyle w:val="BodyText"/>
        <w:spacing w:line="259" w:lineRule="auto"/>
        <w:ind w:left="840" w:right="114" w:hanging="738"/>
        <w:jc w:val="both"/>
      </w:pPr>
      <w:r>
        <w:rPr>
          <w:color w:val="231F20"/>
          <w:w w:val="105"/>
        </w:rPr>
        <w:t>Lever, W. y Turok I. (1999) </w:t>
      </w:r>
      <w:r>
        <w:rPr>
          <w:i/>
          <w:color w:val="231F20"/>
          <w:w w:val="105"/>
        </w:rPr>
        <w:t>“</w:t>
      </w:r>
      <w:r>
        <w:rPr>
          <w:color w:val="231F20"/>
          <w:w w:val="105"/>
        </w:rPr>
        <w:t>Competitive cities: introduction to the re- view”en: </w:t>
      </w:r>
      <w:r>
        <w:rPr>
          <w:i/>
          <w:color w:val="231F20"/>
          <w:w w:val="105"/>
        </w:rPr>
        <w:t>Urban Studies, </w:t>
      </w:r>
      <w:r>
        <w:rPr>
          <w:color w:val="231F20"/>
          <w:w w:val="105"/>
        </w:rPr>
        <w:t>vol. 36, núm.5</w:t>
      </w:r>
    </w:p>
    <w:p>
      <w:pPr>
        <w:spacing w:line="259" w:lineRule="auto" w:before="0"/>
        <w:ind w:left="840" w:right="114" w:hanging="737"/>
        <w:jc w:val="both"/>
        <w:rPr>
          <w:sz w:val="21"/>
        </w:rPr>
      </w:pPr>
      <w:r>
        <w:rPr>
          <w:color w:val="231F20"/>
          <w:w w:val="105"/>
          <w:sz w:val="21"/>
        </w:rPr>
        <w:t>López,</w:t>
      </w:r>
      <w:r>
        <w:rPr>
          <w:color w:val="231F20"/>
          <w:spacing w:val="-42"/>
          <w:w w:val="105"/>
          <w:sz w:val="21"/>
        </w:rPr>
        <w:t> </w:t>
      </w:r>
      <w:r>
        <w:rPr>
          <w:color w:val="231F20"/>
          <w:w w:val="105"/>
          <w:sz w:val="21"/>
        </w:rPr>
        <w:t>B.</w:t>
      </w:r>
      <w:r>
        <w:rPr>
          <w:color w:val="231F20"/>
          <w:spacing w:val="-42"/>
          <w:w w:val="105"/>
          <w:sz w:val="21"/>
        </w:rPr>
        <w:t> </w:t>
      </w:r>
      <w:r>
        <w:rPr>
          <w:color w:val="231F20"/>
          <w:w w:val="105"/>
          <w:sz w:val="21"/>
        </w:rPr>
        <w:t>(2005).</w:t>
      </w:r>
      <w:r>
        <w:rPr>
          <w:color w:val="231F20"/>
          <w:spacing w:val="-42"/>
          <w:w w:val="105"/>
          <w:sz w:val="21"/>
        </w:rPr>
        <w:t> </w:t>
      </w:r>
      <w:r>
        <w:rPr>
          <w:i/>
          <w:color w:val="231F20"/>
          <w:w w:val="105"/>
          <w:sz w:val="21"/>
        </w:rPr>
        <w:t>El</w:t>
      </w:r>
      <w:r>
        <w:rPr>
          <w:i/>
          <w:color w:val="231F20"/>
          <w:spacing w:val="-39"/>
          <w:w w:val="105"/>
          <w:sz w:val="21"/>
        </w:rPr>
        <w:t> </w:t>
      </w:r>
      <w:r>
        <w:rPr>
          <w:i/>
          <w:color w:val="231F20"/>
          <w:w w:val="105"/>
          <w:sz w:val="21"/>
        </w:rPr>
        <w:t>Desarrollo</w:t>
      </w:r>
      <w:r>
        <w:rPr>
          <w:i/>
          <w:color w:val="231F20"/>
          <w:spacing w:val="-39"/>
          <w:w w:val="105"/>
          <w:sz w:val="21"/>
        </w:rPr>
        <w:t> </w:t>
      </w:r>
      <w:r>
        <w:rPr>
          <w:i/>
          <w:color w:val="231F20"/>
          <w:w w:val="105"/>
          <w:sz w:val="21"/>
        </w:rPr>
        <w:t>Municipal.</w:t>
      </w:r>
      <w:r>
        <w:rPr>
          <w:i/>
          <w:color w:val="231F20"/>
          <w:spacing w:val="-42"/>
          <w:w w:val="105"/>
          <w:sz w:val="21"/>
        </w:rPr>
        <w:t> </w:t>
      </w:r>
      <w:r>
        <w:rPr>
          <w:i/>
          <w:color w:val="231F20"/>
          <w:w w:val="105"/>
          <w:sz w:val="21"/>
        </w:rPr>
        <w:t>Su</w:t>
      </w:r>
      <w:r>
        <w:rPr>
          <w:i/>
          <w:color w:val="231F20"/>
          <w:spacing w:val="-39"/>
          <w:w w:val="105"/>
          <w:sz w:val="21"/>
        </w:rPr>
        <w:t> </w:t>
      </w:r>
      <w:r>
        <w:rPr>
          <w:i/>
          <w:color w:val="231F20"/>
          <w:w w:val="105"/>
          <w:sz w:val="21"/>
        </w:rPr>
        <w:t>sustento</w:t>
      </w:r>
      <w:r>
        <w:rPr>
          <w:i/>
          <w:color w:val="231F20"/>
          <w:spacing w:val="-39"/>
          <w:w w:val="105"/>
          <w:sz w:val="21"/>
        </w:rPr>
        <w:t> </w:t>
      </w:r>
      <w:r>
        <w:rPr>
          <w:i/>
          <w:color w:val="231F20"/>
          <w:w w:val="105"/>
          <w:sz w:val="21"/>
        </w:rPr>
        <w:t>social,</w:t>
      </w:r>
      <w:r>
        <w:rPr>
          <w:i/>
          <w:color w:val="231F20"/>
          <w:spacing w:val="-42"/>
          <w:w w:val="105"/>
          <w:sz w:val="21"/>
        </w:rPr>
        <w:t> </w:t>
      </w:r>
      <w:r>
        <w:rPr>
          <w:i/>
          <w:color w:val="231F20"/>
          <w:w w:val="105"/>
          <w:sz w:val="21"/>
        </w:rPr>
        <w:t>jurídico</w:t>
      </w:r>
      <w:r>
        <w:rPr>
          <w:i/>
          <w:color w:val="231F20"/>
          <w:spacing w:val="-39"/>
          <w:w w:val="105"/>
          <w:sz w:val="21"/>
        </w:rPr>
        <w:t> </w:t>
      </w:r>
      <w:r>
        <w:rPr>
          <w:i/>
          <w:color w:val="231F20"/>
          <w:w w:val="105"/>
          <w:sz w:val="21"/>
        </w:rPr>
        <w:t>y</w:t>
      </w:r>
      <w:r>
        <w:rPr>
          <w:i/>
          <w:color w:val="231F20"/>
          <w:spacing w:val="-39"/>
          <w:w w:val="105"/>
          <w:sz w:val="21"/>
        </w:rPr>
        <w:t> </w:t>
      </w:r>
      <w:r>
        <w:rPr>
          <w:i/>
          <w:color w:val="231F20"/>
          <w:w w:val="105"/>
          <w:sz w:val="21"/>
        </w:rPr>
        <w:t>téc- </w:t>
      </w:r>
      <w:r>
        <w:rPr>
          <w:i/>
          <w:color w:val="231F20"/>
          <w:w w:val="105"/>
          <w:sz w:val="21"/>
        </w:rPr>
        <w:t>nico. </w:t>
      </w:r>
      <w:r>
        <w:rPr>
          <w:color w:val="231F20"/>
          <w:w w:val="105"/>
          <w:sz w:val="21"/>
        </w:rPr>
        <w:t>Disponible en: </w:t>
      </w:r>
      <w:hyperlink r:id="rId33">
        <w:r>
          <w:rPr>
            <w:color w:val="231F20"/>
            <w:w w:val="105"/>
            <w:sz w:val="21"/>
          </w:rPr>
          <w:t>http://www.uv.mx/iiesca/revista2005-1/mu-</w:t>
        </w:r>
      </w:hyperlink>
      <w:r>
        <w:rPr>
          <w:color w:val="231F20"/>
          <w:w w:val="105"/>
          <w:sz w:val="21"/>
        </w:rPr>
        <w:t> nicipal.pdf.</w:t>
      </w:r>
      <w:r>
        <w:rPr>
          <w:color w:val="231F20"/>
          <w:spacing w:val="-17"/>
          <w:w w:val="105"/>
          <w:sz w:val="21"/>
        </w:rPr>
        <w:t> </w:t>
      </w:r>
      <w:r>
        <w:rPr>
          <w:color w:val="231F20"/>
          <w:w w:val="105"/>
          <w:sz w:val="21"/>
        </w:rPr>
        <w:t>Consultado</w:t>
      </w:r>
      <w:r>
        <w:rPr>
          <w:color w:val="231F20"/>
          <w:spacing w:val="-10"/>
          <w:w w:val="105"/>
          <w:sz w:val="21"/>
        </w:rPr>
        <w:t> </w:t>
      </w:r>
      <w:r>
        <w:rPr>
          <w:color w:val="231F20"/>
          <w:w w:val="105"/>
          <w:sz w:val="21"/>
        </w:rPr>
        <w:t>el</w:t>
      </w:r>
      <w:r>
        <w:rPr>
          <w:color w:val="231F20"/>
          <w:spacing w:val="-10"/>
          <w:w w:val="105"/>
          <w:sz w:val="21"/>
        </w:rPr>
        <w:t> </w:t>
      </w:r>
      <w:r>
        <w:rPr>
          <w:color w:val="231F20"/>
          <w:w w:val="105"/>
          <w:sz w:val="21"/>
        </w:rPr>
        <w:t>13</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marzo</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2007</w:t>
      </w:r>
      <w:r>
        <w:rPr>
          <w:color w:val="231F20"/>
          <w:spacing w:val="-10"/>
          <w:w w:val="105"/>
          <w:sz w:val="21"/>
        </w:rPr>
        <w:t> </w:t>
      </w:r>
      <w:r>
        <w:rPr>
          <w:color w:val="231F20"/>
          <w:w w:val="105"/>
          <w:sz w:val="21"/>
        </w:rPr>
        <w:t>pp.</w:t>
      </w:r>
      <w:r>
        <w:rPr>
          <w:color w:val="231F20"/>
          <w:spacing w:val="-17"/>
          <w:w w:val="105"/>
          <w:sz w:val="21"/>
        </w:rPr>
        <w:t> </w:t>
      </w:r>
      <w:r>
        <w:rPr>
          <w:color w:val="231F20"/>
          <w:w w:val="105"/>
          <w:sz w:val="21"/>
        </w:rPr>
        <w:t>41-49.</w:t>
      </w:r>
    </w:p>
    <w:p>
      <w:pPr>
        <w:spacing w:line="241" w:lineRule="exact" w:before="0"/>
        <w:ind w:left="103" w:right="17" w:firstLine="0"/>
        <w:jc w:val="left"/>
        <w:rPr>
          <w:i/>
          <w:sz w:val="21"/>
        </w:rPr>
      </w:pPr>
      <w:r>
        <w:rPr>
          <w:color w:val="231F20"/>
          <w:sz w:val="21"/>
        </w:rPr>
        <w:t>Martínez, G. (1992). L</w:t>
      </w:r>
      <w:r>
        <w:rPr>
          <w:i/>
          <w:color w:val="231F20"/>
          <w:sz w:val="21"/>
        </w:rPr>
        <w:t>a  administración  Estatal  y  Municipal  de   México”.</w:t>
      </w:r>
    </w:p>
    <w:p>
      <w:pPr>
        <w:pStyle w:val="BodyText"/>
        <w:spacing w:before="18"/>
        <w:ind w:left="840" w:right="17"/>
      </w:pPr>
      <w:r>
        <w:rPr>
          <w:color w:val="231F20"/>
        </w:rPr>
        <w:t>INAP, México.</w:t>
      </w:r>
    </w:p>
    <w:p>
      <w:pPr>
        <w:spacing w:line="259" w:lineRule="auto" w:before="18"/>
        <w:ind w:left="840" w:right="115" w:hanging="738"/>
        <w:jc w:val="both"/>
        <w:rPr>
          <w:sz w:val="21"/>
        </w:rPr>
      </w:pPr>
      <w:r>
        <w:rPr>
          <w:color w:val="231F20"/>
          <w:sz w:val="21"/>
        </w:rPr>
        <w:t>Martínez, A. (2011). Aprendizaje Organizacional. En </w:t>
      </w:r>
      <w:r>
        <w:rPr>
          <w:i/>
          <w:color w:val="231F20"/>
          <w:sz w:val="21"/>
        </w:rPr>
        <w:t>Aprendizaje Organi- </w:t>
      </w:r>
      <w:r>
        <w:rPr>
          <w:i/>
          <w:color w:val="231F20"/>
          <w:sz w:val="21"/>
        </w:rPr>
        <w:t>zacional </w:t>
      </w:r>
      <w:r>
        <w:rPr>
          <w:color w:val="231F20"/>
          <w:sz w:val="21"/>
        </w:rPr>
        <w:t>(pp.1-14).México, Edit. Mc Graw Hill</w:t>
      </w:r>
    </w:p>
    <w:p>
      <w:pPr>
        <w:spacing w:line="259" w:lineRule="auto" w:before="0"/>
        <w:ind w:left="840" w:right="115" w:hanging="738"/>
        <w:jc w:val="both"/>
        <w:rPr>
          <w:sz w:val="21"/>
        </w:rPr>
      </w:pPr>
      <w:r>
        <w:rPr>
          <w:color w:val="231F20"/>
          <w:w w:val="105"/>
          <w:sz w:val="21"/>
        </w:rPr>
        <w:t>Medrano,</w:t>
      </w:r>
      <w:r>
        <w:rPr>
          <w:color w:val="231F20"/>
          <w:spacing w:val="-40"/>
          <w:w w:val="105"/>
          <w:sz w:val="21"/>
        </w:rPr>
        <w:t> </w:t>
      </w:r>
      <w:r>
        <w:rPr>
          <w:color w:val="231F20"/>
          <w:w w:val="105"/>
          <w:sz w:val="21"/>
        </w:rPr>
        <w:t>B.</w:t>
      </w:r>
      <w:r>
        <w:rPr>
          <w:color w:val="231F20"/>
          <w:spacing w:val="-40"/>
          <w:w w:val="105"/>
          <w:sz w:val="21"/>
        </w:rPr>
        <w:t> </w:t>
      </w:r>
      <w:r>
        <w:rPr>
          <w:color w:val="231F20"/>
          <w:w w:val="105"/>
          <w:sz w:val="21"/>
        </w:rPr>
        <w:t>G.</w:t>
      </w:r>
      <w:r>
        <w:rPr>
          <w:color w:val="231F20"/>
          <w:spacing w:val="-40"/>
          <w:w w:val="105"/>
          <w:sz w:val="21"/>
        </w:rPr>
        <w:t> </w:t>
      </w:r>
      <w:r>
        <w:rPr>
          <w:color w:val="231F20"/>
          <w:w w:val="105"/>
          <w:sz w:val="21"/>
        </w:rPr>
        <w:t>(1993)</w:t>
      </w:r>
      <w:r>
        <w:rPr>
          <w:color w:val="231F20"/>
          <w:spacing w:val="-37"/>
          <w:w w:val="105"/>
          <w:sz w:val="21"/>
        </w:rPr>
        <w:t> </w:t>
      </w:r>
      <w:r>
        <w:rPr>
          <w:i/>
          <w:color w:val="231F20"/>
          <w:w w:val="105"/>
          <w:sz w:val="21"/>
        </w:rPr>
        <w:t>Nuevas</w:t>
      </w:r>
      <w:r>
        <w:rPr>
          <w:i/>
          <w:color w:val="231F20"/>
          <w:spacing w:val="-39"/>
          <w:w w:val="105"/>
          <w:sz w:val="21"/>
        </w:rPr>
        <w:t> </w:t>
      </w:r>
      <w:r>
        <w:rPr>
          <w:i/>
          <w:color w:val="231F20"/>
          <w:w w:val="105"/>
          <w:sz w:val="21"/>
        </w:rPr>
        <w:t>Tecnologías</w:t>
      </w:r>
      <w:r>
        <w:rPr>
          <w:i/>
          <w:color w:val="231F20"/>
          <w:spacing w:val="-37"/>
          <w:w w:val="105"/>
          <w:sz w:val="21"/>
        </w:rPr>
        <w:t> </w:t>
      </w:r>
      <w:r>
        <w:rPr>
          <w:i/>
          <w:color w:val="231F20"/>
          <w:w w:val="105"/>
          <w:sz w:val="21"/>
        </w:rPr>
        <w:t>en</w:t>
      </w:r>
      <w:r>
        <w:rPr>
          <w:i/>
          <w:color w:val="231F20"/>
          <w:spacing w:val="-37"/>
          <w:w w:val="105"/>
          <w:sz w:val="21"/>
        </w:rPr>
        <w:t> </w:t>
      </w:r>
      <w:r>
        <w:rPr>
          <w:i/>
          <w:color w:val="231F20"/>
          <w:w w:val="105"/>
          <w:sz w:val="21"/>
        </w:rPr>
        <w:t>la</w:t>
      </w:r>
      <w:r>
        <w:rPr>
          <w:i/>
          <w:color w:val="231F20"/>
          <w:spacing w:val="-37"/>
          <w:w w:val="105"/>
          <w:sz w:val="21"/>
        </w:rPr>
        <w:t> </w:t>
      </w:r>
      <w:r>
        <w:rPr>
          <w:i/>
          <w:color w:val="231F20"/>
          <w:w w:val="105"/>
          <w:sz w:val="21"/>
        </w:rPr>
        <w:t>Formación.</w:t>
      </w:r>
      <w:r>
        <w:rPr>
          <w:i/>
          <w:color w:val="231F20"/>
          <w:spacing w:val="-37"/>
          <w:w w:val="105"/>
          <w:sz w:val="21"/>
        </w:rPr>
        <w:t> </w:t>
      </w:r>
      <w:r>
        <w:rPr>
          <w:color w:val="231F20"/>
          <w:w w:val="105"/>
          <w:sz w:val="21"/>
        </w:rPr>
        <w:t>Ediciones</w:t>
      </w:r>
      <w:r>
        <w:rPr>
          <w:color w:val="231F20"/>
          <w:spacing w:val="-37"/>
          <w:w w:val="105"/>
          <w:sz w:val="21"/>
        </w:rPr>
        <w:t> </w:t>
      </w:r>
      <w:r>
        <w:rPr>
          <w:color w:val="231F20"/>
          <w:w w:val="105"/>
          <w:sz w:val="21"/>
        </w:rPr>
        <w:t>de la</w:t>
      </w:r>
      <w:r>
        <w:rPr>
          <w:color w:val="231F20"/>
          <w:spacing w:val="-18"/>
          <w:w w:val="105"/>
          <w:sz w:val="21"/>
        </w:rPr>
        <w:t> </w:t>
      </w:r>
      <w:r>
        <w:rPr>
          <w:color w:val="231F20"/>
          <w:w w:val="105"/>
          <w:sz w:val="21"/>
        </w:rPr>
        <w:t>Universidad</w:t>
      </w:r>
      <w:r>
        <w:rPr>
          <w:color w:val="231F20"/>
          <w:spacing w:val="-18"/>
          <w:w w:val="105"/>
          <w:sz w:val="21"/>
        </w:rPr>
        <w:t> </w:t>
      </w:r>
      <w:r>
        <w:rPr>
          <w:color w:val="231F20"/>
          <w:w w:val="105"/>
          <w:sz w:val="21"/>
        </w:rPr>
        <w:t>Complutense.</w:t>
      </w:r>
      <w:r>
        <w:rPr>
          <w:color w:val="231F20"/>
          <w:spacing w:val="-24"/>
          <w:w w:val="105"/>
          <w:sz w:val="21"/>
        </w:rPr>
        <w:t> </w:t>
      </w:r>
      <w:r>
        <w:rPr>
          <w:color w:val="231F20"/>
          <w:w w:val="105"/>
          <w:sz w:val="21"/>
        </w:rPr>
        <w:t>Madrid.</w:t>
      </w:r>
    </w:p>
    <w:p>
      <w:pPr>
        <w:spacing w:line="259" w:lineRule="auto" w:before="0"/>
        <w:ind w:left="840" w:right="115" w:hanging="737"/>
        <w:jc w:val="both"/>
        <w:rPr>
          <w:sz w:val="21"/>
        </w:rPr>
      </w:pPr>
      <w:r>
        <w:rPr>
          <w:color w:val="231F20"/>
          <w:sz w:val="21"/>
        </w:rPr>
        <w:t>Millán, H. (1996), </w:t>
      </w:r>
      <w:r>
        <w:rPr>
          <w:i/>
          <w:color w:val="231F20"/>
          <w:sz w:val="21"/>
        </w:rPr>
        <w:t>La Competitividad de la Industria Manufacturera del Es- </w:t>
      </w:r>
      <w:r>
        <w:rPr>
          <w:i/>
          <w:color w:val="231F20"/>
          <w:sz w:val="21"/>
        </w:rPr>
        <w:t>tado de México, </w:t>
      </w:r>
      <w:r>
        <w:rPr>
          <w:color w:val="231F20"/>
          <w:sz w:val="21"/>
        </w:rPr>
        <w:t>Zinacantepec, El Colegio Mexiquense (Semina- rios de Investigación).</w:t>
      </w:r>
    </w:p>
    <w:p>
      <w:pPr>
        <w:spacing w:line="259" w:lineRule="auto" w:before="0"/>
        <w:ind w:left="840" w:right="115" w:hanging="737"/>
        <w:jc w:val="both"/>
        <w:rPr>
          <w:sz w:val="21"/>
        </w:rPr>
      </w:pPr>
      <w:r>
        <w:rPr>
          <w:color w:val="231F20"/>
          <w:w w:val="105"/>
          <w:sz w:val="21"/>
        </w:rPr>
        <w:t>Moreno,</w:t>
      </w:r>
      <w:r>
        <w:rPr>
          <w:color w:val="231F20"/>
          <w:spacing w:val="-30"/>
          <w:w w:val="105"/>
          <w:sz w:val="21"/>
        </w:rPr>
        <w:t> </w:t>
      </w:r>
      <w:r>
        <w:rPr>
          <w:color w:val="231F20"/>
          <w:w w:val="105"/>
          <w:sz w:val="21"/>
        </w:rPr>
        <w:t>R.</w:t>
      </w:r>
      <w:r>
        <w:rPr>
          <w:color w:val="231F20"/>
          <w:spacing w:val="-30"/>
          <w:w w:val="105"/>
          <w:sz w:val="21"/>
        </w:rPr>
        <w:t> </w:t>
      </w:r>
      <w:r>
        <w:rPr>
          <w:color w:val="231F20"/>
          <w:w w:val="105"/>
          <w:sz w:val="21"/>
        </w:rPr>
        <w:t>(2006).</w:t>
      </w:r>
      <w:r>
        <w:rPr>
          <w:color w:val="231F20"/>
          <w:spacing w:val="-30"/>
          <w:w w:val="105"/>
          <w:sz w:val="21"/>
        </w:rPr>
        <w:t> </w:t>
      </w:r>
      <w:r>
        <w:rPr>
          <w:i/>
          <w:color w:val="231F20"/>
          <w:w w:val="105"/>
          <w:sz w:val="21"/>
        </w:rPr>
        <w:t>La</w:t>
      </w:r>
      <w:r>
        <w:rPr>
          <w:i/>
          <w:color w:val="231F20"/>
          <w:spacing w:val="-26"/>
          <w:w w:val="105"/>
          <w:sz w:val="21"/>
        </w:rPr>
        <w:t> </w:t>
      </w:r>
      <w:r>
        <w:rPr>
          <w:i/>
          <w:color w:val="231F20"/>
          <w:w w:val="105"/>
          <w:sz w:val="21"/>
        </w:rPr>
        <w:t>administración</w:t>
      </w:r>
      <w:r>
        <w:rPr>
          <w:i/>
          <w:color w:val="231F20"/>
          <w:spacing w:val="-26"/>
          <w:w w:val="105"/>
          <w:sz w:val="21"/>
        </w:rPr>
        <w:t> </w:t>
      </w:r>
      <w:r>
        <w:rPr>
          <w:i/>
          <w:color w:val="231F20"/>
          <w:w w:val="105"/>
          <w:sz w:val="21"/>
        </w:rPr>
        <w:t>local</w:t>
      </w:r>
      <w:r>
        <w:rPr>
          <w:i/>
          <w:color w:val="231F20"/>
          <w:spacing w:val="-26"/>
          <w:w w:val="105"/>
          <w:sz w:val="21"/>
        </w:rPr>
        <w:t> </w:t>
      </w:r>
      <w:r>
        <w:rPr>
          <w:i/>
          <w:color w:val="231F20"/>
          <w:w w:val="105"/>
          <w:sz w:val="21"/>
        </w:rPr>
        <w:t>en</w:t>
      </w:r>
      <w:r>
        <w:rPr>
          <w:i/>
          <w:color w:val="231F20"/>
          <w:spacing w:val="-26"/>
          <w:w w:val="105"/>
          <w:sz w:val="21"/>
        </w:rPr>
        <w:t> </w:t>
      </w:r>
      <w:r>
        <w:rPr>
          <w:i/>
          <w:color w:val="231F20"/>
          <w:w w:val="105"/>
          <w:sz w:val="21"/>
        </w:rPr>
        <w:t>México,</w:t>
      </w:r>
      <w:r>
        <w:rPr>
          <w:i/>
          <w:color w:val="231F20"/>
          <w:spacing w:val="-30"/>
          <w:w w:val="105"/>
          <w:sz w:val="21"/>
        </w:rPr>
        <w:t> </w:t>
      </w:r>
      <w:r>
        <w:rPr>
          <w:i/>
          <w:color w:val="231F20"/>
          <w:w w:val="105"/>
          <w:sz w:val="21"/>
        </w:rPr>
        <w:t>ayer</w:t>
      </w:r>
      <w:r>
        <w:rPr>
          <w:i/>
          <w:color w:val="231F20"/>
          <w:spacing w:val="-26"/>
          <w:w w:val="105"/>
          <w:sz w:val="21"/>
        </w:rPr>
        <w:t> </w:t>
      </w:r>
      <w:r>
        <w:rPr>
          <w:i/>
          <w:color w:val="231F20"/>
          <w:w w:val="105"/>
          <w:sz w:val="21"/>
        </w:rPr>
        <w:t>y</w:t>
      </w:r>
      <w:r>
        <w:rPr>
          <w:i/>
          <w:color w:val="231F20"/>
          <w:spacing w:val="-26"/>
          <w:w w:val="105"/>
          <w:sz w:val="21"/>
        </w:rPr>
        <w:t> </w:t>
      </w:r>
      <w:r>
        <w:rPr>
          <w:i/>
          <w:color w:val="231F20"/>
          <w:w w:val="105"/>
          <w:sz w:val="21"/>
        </w:rPr>
        <w:t>hoy</w:t>
      </w:r>
      <w:r>
        <w:rPr>
          <w:color w:val="231F20"/>
          <w:w w:val="105"/>
          <w:sz w:val="21"/>
        </w:rPr>
        <w:t>.</w:t>
      </w:r>
      <w:r>
        <w:rPr>
          <w:color w:val="231F20"/>
          <w:spacing w:val="-30"/>
          <w:w w:val="105"/>
          <w:sz w:val="21"/>
        </w:rPr>
        <w:t> </w:t>
      </w:r>
      <w:r>
        <w:rPr>
          <w:color w:val="231F20"/>
          <w:w w:val="105"/>
          <w:sz w:val="21"/>
        </w:rPr>
        <w:t>Revista buen</w:t>
      </w:r>
      <w:r>
        <w:rPr>
          <w:color w:val="231F20"/>
          <w:spacing w:val="-21"/>
          <w:w w:val="105"/>
          <w:sz w:val="21"/>
        </w:rPr>
        <w:t> </w:t>
      </w:r>
      <w:r>
        <w:rPr>
          <w:color w:val="231F20"/>
          <w:w w:val="105"/>
          <w:sz w:val="21"/>
        </w:rPr>
        <w:t>gobierno.</w:t>
      </w:r>
      <w:r>
        <w:rPr>
          <w:color w:val="231F20"/>
          <w:spacing w:val="-27"/>
          <w:w w:val="105"/>
          <w:sz w:val="21"/>
        </w:rPr>
        <w:t> </w:t>
      </w:r>
      <w:r>
        <w:rPr>
          <w:color w:val="231F20"/>
          <w:w w:val="105"/>
          <w:sz w:val="21"/>
        </w:rPr>
        <w:t>No.</w:t>
      </w:r>
      <w:r>
        <w:rPr>
          <w:color w:val="231F20"/>
          <w:spacing w:val="-27"/>
          <w:w w:val="105"/>
          <w:sz w:val="21"/>
        </w:rPr>
        <w:t> </w:t>
      </w:r>
      <w:r>
        <w:rPr>
          <w:color w:val="231F20"/>
          <w:w w:val="105"/>
          <w:sz w:val="21"/>
        </w:rPr>
        <w:t>1.</w:t>
      </w:r>
      <w:r>
        <w:rPr>
          <w:color w:val="231F20"/>
          <w:spacing w:val="-27"/>
          <w:w w:val="105"/>
          <w:sz w:val="21"/>
        </w:rPr>
        <w:t> </w:t>
      </w:r>
      <w:r>
        <w:rPr>
          <w:color w:val="231F20"/>
          <w:w w:val="105"/>
          <w:sz w:val="21"/>
        </w:rPr>
        <w:t>Semestre</w:t>
      </w:r>
      <w:r>
        <w:rPr>
          <w:color w:val="231F20"/>
          <w:spacing w:val="-21"/>
          <w:w w:val="105"/>
          <w:sz w:val="21"/>
        </w:rPr>
        <w:t> </w:t>
      </w:r>
      <w:r>
        <w:rPr>
          <w:color w:val="231F20"/>
          <w:w w:val="105"/>
          <w:sz w:val="21"/>
        </w:rPr>
        <w:t>1.</w:t>
      </w:r>
      <w:r>
        <w:rPr>
          <w:color w:val="231F20"/>
          <w:spacing w:val="-27"/>
          <w:w w:val="105"/>
          <w:sz w:val="21"/>
        </w:rPr>
        <w:t> </w:t>
      </w:r>
      <w:r>
        <w:rPr>
          <w:color w:val="231F20"/>
          <w:w w:val="105"/>
          <w:sz w:val="21"/>
        </w:rPr>
        <w:t>Pp.</w:t>
      </w:r>
      <w:r>
        <w:rPr>
          <w:color w:val="231F20"/>
          <w:spacing w:val="-27"/>
          <w:w w:val="105"/>
          <w:sz w:val="21"/>
        </w:rPr>
        <w:t> </w:t>
      </w:r>
      <w:r>
        <w:rPr>
          <w:color w:val="231F20"/>
          <w:w w:val="105"/>
          <w:sz w:val="21"/>
        </w:rPr>
        <w:t>105-107.</w:t>
      </w:r>
    </w:p>
    <w:p>
      <w:pPr>
        <w:spacing w:line="259" w:lineRule="auto" w:before="0"/>
        <w:ind w:left="840" w:right="115" w:hanging="737"/>
        <w:jc w:val="both"/>
        <w:rPr>
          <w:sz w:val="21"/>
        </w:rPr>
      </w:pPr>
      <w:r>
        <w:rPr>
          <w:color w:val="231F20"/>
          <w:w w:val="105"/>
          <w:sz w:val="21"/>
        </w:rPr>
        <w:t>Nevado,</w:t>
      </w:r>
      <w:r>
        <w:rPr>
          <w:color w:val="231F20"/>
          <w:spacing w:val="-23"/>
          <w:w w:val="105"/>
          <w:sz w:val="21"/>
        </w:rPr>
        <w:t> </w:t>
      </w:r>
      <w:r>
        <w:rPr>
          <w:color w:val="231F20"/>
          <w:spacing w:val="-6"/>
          <w:w w:val="105"/>
          <w:sz w:val="21"/>
        </w:rPr>
        <w:t>D.</w:t>
      </w:r>
      <w:r>
        <w:rPr>
          <w:color w:val="231F20"/>
          <w:spacing w:val="-23"/>
          <w:w w:val="105"/>
          <w:sz w:val="21"/>
        </w:rPr>
        <w:t> </w:t>
      </w:r>
      <w:r>
        <w:rPr>
          <w:color w:val="231F20"/>
          <w:w w:val="105"/>
          <w:sz w:val="21"/>
        </w:rPr>
        <w:t>y</w:t>
      </w:r>
      <w:r>
        <w:rPr>
          <w:color w:val="231F20"/>
          <w:spacing w:val="-19"/>
          <w:w w:val="105"/>
          <w:sz w:val="21"/>
        </w:rPr>
        <w:t> </w:t>
      </w:r>
      <w:r>
        <w:rPr>
          <w:color w:val="231F20"/>
          <w:w w:val="105"/>
          <w:sz w:val="21"/>
        </w:rPr>
        <w:t>López,</w:t>
      </w:r>
      <w:r>
        <w:rPr>
          <w:color w:val="231F20"/>
          <w:spacing w:val="-26"/>
          <w:w w:val="105"/>
          <w:sz w:val="21"/>
        </w:rPr>
        <w:t> </w:t>
      </w:r>
      <w:r>
        <w:rPr>
          <w:color w:val="231F20"/>
          <w:spacing w:val="-5"/>
          <w:w w:val="105"/>
          <w:sz w:val="21"/>
        </w:rPr>
        <w:t>V.R.</w:t>
      </w:r>
      <w:r>
        <w:rPr>
          <w:color w:val="231F20"/>
          <w:spacing w:val="-23"/>
          <w:w w:val="105"/>
          <w:sz w:val="21"/>
        </w:rPr>
        <w:t> </w:t>
      </w:r>
      <w:r>
        <w:rPr>
          <w:color w:val="231F20"/>
          <w:w w:val="105"/>
          <w:sz w:val="21"/>
        </w:rPr>
        <w:t>(2002).</w:t>
      </w:r>
      <w:r>
        <w:rPr>
          <w:color w:val="231F20"/>
          <w:spacing w:val="-23"/>
          <w:w w:val="105"/>
          <w:sz w:val="21"/>
        </w:rPr>
        <w:t> </w:t>
      </w:r>
      <w:r>
        <w:rPr>
          <w:i/>
          <w:color w:val="231F20"/>
          <w:w w:val="105"/>
          <w:sz w:val="21"/>
        </w:rPr>
        <w:t>El</w:t>
      </w:r>
      <w:r>
        <w:rPr>
          <w:i/>
          <w:color w:val="231F20"/>
          <w:spacing w:val="-19"/>
          <w:w w:val="105"/>
          <w:sz w:val="21"/>
        </w:rPr>
        <w:t> </w:t>
      </w:r>
      <w:r>
        <w:rPr>
          <w:i/>
          <w:color w:val="231F20"/>
          <w:w w:val="105"/>
          <w:sz w:val="21"/>
        </w:rPr>
        <w:t>capital</w:t>
      </w:r>
      <w:r>
        <w:rPr>
          <w:i/>
          <w:color w:val="231F20"/>
          <w:spacing w:val="-19"/>
          <w:w w:val="105"/>
          <w:sz w:val="21"/>
        </w:rPr>
        <w:t> </w:t>
      </w:r>
      <w:r>
        <w:rPr>
          <w:i/>
          <w:color w:val="231F20"/>
          <w:w w:val="105"/>
          <w:sz w:val="21"/>
        </w:rPr>
        <w:t>intelectual:</w:t>
      </w:r>
      <w:r>
        <w:rPr>
          <w:i/>
          <w:color w:val="231F20"/>
          <w:spacing w:val="-19"/>
          <w:w w:val="105"/>
          <w:sz w:val="21"/>
        </w:rPr>
        <w:t> </w:t>
      </w:r>
      <w:r>
        <w:rPr>
          <w:i/>
          <w:color w:val="231F20"/>
          <w:w w:val="105"/>
          <w:sz w:val="21"/>
        </w:rPr>
        <w:t>valoración</w:t>
      </w:r>
      <w:r>
        <w:rPr>
          <w:i/>
          <w:color w:val="231F20"/>
          <w:spacing w:val="-19"/>
          <w:w w:val="105"/>
          <w:sz w:val="21"/>
        </w:rPr>
        <w:t> </w:t>
      </w:r>
      <w:r>
        <w:rPr>
          <w:i/>
          <w:color w:val="231F20"/>
          <w:w w:val="105"/>
          <w:sz w:val="21"/>
        </w:rPr>
        <w:t>y</w:t>
      </w:r>
      <w:r>
        <w:rPr>
          <w:i/>
          <w:color w:val="231F20"/>
          <w:spacing w:val="-19"/>
          <w:w w:val="105"/>
          <w:sz w:val="21"/>
        </w:rPr>
        <w:t> </w:t>
      </w:r>
      <w:r>
        <w:rPr>
          <w:i/>
          <w:color w:val="231F20"/>
          <w:w w:val="105"/>
          <w:sz w:val="21"/>
        </w:rPr>
        <w:t>medi- </w:t>
      </w:r>
      <w:r>
        <w:rPr>
          <w:i/>
          <w:color w:val="231F20"/>
          <w:sz w:val="21"/>
        </w:rPr>
        <w:t>ción</w:t>
      </w:r>
      <w:r>
        <w:rPr>
          <w:color w:val="231F20"/>
          <w:sz w:val="21"/>
        </w:rPr>
        <w:t>. Prentice Hall.</w:t>
      </w:r>
      <w:r>
        <w:rPr>
          <w:color w:val="231F20"/>
          <w:spacing w:val="-35"/>
          <w:sz w:val="21"/>
        </w:rPr>
        <w:t> </w:t>
      </w:r>
      <w:r>
        <w:rPr>
          <w:color w:val="231F20"/>
          <w:sz w:val="21"/>
        </w:rPr>
        <w:t>España.</w:t>
      </w:r>
    </w:p>
    <w:p>
      <w:pPr>
        <w:spacing w:line="259" w:lineRule="auto" w:before="0"/>
        <w:ind w:left="103" w:right="109" w:firstLine="0"/>
        <w:jc w:val="right"/>
        <w:rPr>
          <w:sz w:val="21"/>
        </w:rPr>
      </w:pPr>
      <w:r>
        <w:rPr>
          <w:color w:val="231F20"/>
          <w:sz w:val="21"/>
        </w:rPr>
        <w:t>Ordóñez de Pablos, </w:t>
      </w:r>
      <w:r>
        <w:rPr>
          <w:color w:val="231F20"/>
          <w:spacing w:val="-16"/>
          <w:sz w:val="21"/>
        </w:rPr>
        <w:t>P. </w:t>
      </w:r>
      <w:r>
        <w:rPr>
          <w:color w:val="231F20"/>
          <w:sz w:val="21"/>
        </w:rPr>
        <w:t>(2004) </w:t>
      </w:r>
      <w:r>
        <w:rPr>
          <w:i/>
          <w:color w:val="231F20"/>
          <w:sz w:val="21"/>
        </w:rPr>
        <w:t>El capital estructural organizativo</w:t>
      </w:r>
      <w:r>
        <w:rPr>
          <w:i/>
          <w:color w:val="231F20"/>
          <w:spacing w:val="51"/>
          <w:sz w:val="21"/>
        </w:rPr>
        <w:t> </w:t>
      </w:r>
      <w:r>
        <w:rPr>
          <w:i/>
          <w:color w:val="231F20"/>
          <w:sz w:val="21"/>
        </w:rPr>
        <w:t>como</w:t>
      </w:r>
      <w:r>
        <w:rPr>
          <w:i/>
          <w:color w:val="231F20"/>
          <w:w w:val="104"/>
          <w:sz w:val="21"/>
        </w:rPr>
        <w:t> </w:t>
      </w:r>
      <w:r>
        <w:rPr>
          <w:i/>
          <w:color w:val="231F20"/>
          <w:sz w:val="21"/>
        </w:rPr>
        <w:t>fuente de competitividad empresarial: un estudio de indicadores.</w:t>
      </w:r>
      <w:r>
        <w:rPr>
          <w:i/>
          <w:color w:val="231F20"/>
          <w:w w:val="95"/>
          <w:sz w:val="21"/>
        </w:rPr>
        <w:t> </w:t>
      </w:r>
      <w:r>
        <w:rPr>
          <w:i/>
          <w:color w:val="231F20"/>
          <w:sz w:val="21"/>
        </w:rPr>
        <w:t>Economía industrial</w:t>
      </w:r>
      <w:r>
        <w:rPr>
          <w:color w:val="231F20"/>
          <w:sz w:val="21"/>
        </w:rPr>
        <w:t>, ISSN 0422-2784, nº 357, 2004 págs. 131-140</w:t>
      </w:r>
      <w:r>
        <w:rPr>
          <w:color w:val="231F20"/>
          <w:w w:val="103"/>
          <w:sz w:val="21"/>
        </w:rPr>
        <w:t> </w:t>
      </w:r>
      <w:r>
        <w:rPr>
          <w:color w:val="231F20"/>
          <w:sz w:val="21"/>
        </w:rPr>
        <w:t>Palacios, M. (2000). “Aprendizaje organizacional. Conceptos, procesos y</w:t>
      </w:r>
      <w:r>
        <w:rPr>
          <w:color w:val="231F20"/>
          <w:w w:val="97"/>
          <w:sz w:val="21"/>
        </w:rPr>
        <w:t> </w:t>
      </w:r>
      <w:r>
        <w:rPr>
          <w:color w:val="231F20"/>
          <w:sz w:val="21"/>
        </w:rPr>
        <w:t>estrategias” en: </w:t>
      </w:r>
      <w:r>
        <w:rPr>
          <w:i/>
          <w:color w:val="231F20"/>
          <w:sz w:val="21"/>
        </w:rPr>
        <w:t>Hitos de ciencias económico administrativas</w:t>
      </w:r>
      <w:r>
        <w:rPr>
          <w:color w:val="231F20"/>
          <w:sz w:val="21"/>
        </w:rPr>
        <w:t>;   15.</w:t>
      </w:r>
    </w:p>
    <w:p>
      <w:pPr>
        <w:pStyle w:val="BodyText"/>
        <w:spacing w:line="241" w:lineRule="exact"/>
        <w:ind w:left="840" w:right="17"/>
      </w:pPr>
      <w:r>
        <w:rPr>
          <w:color w:val="231F20"/>
          <w:w w:val="105"/>
        </w:rPr>
        <w:t>31-39. Universidad Autónoma Metropolitana, México. 2000.</w:t>
      </w:r>
    </w:p>
    <w:p>
      <w:pPr>
        <w:pStyle w:val="BodyText"/>
        <w:spacing w:line="259" w:lineRule="auto" w:before="18"/>
        <w:ind w:left="840" w:right="109" w:hanging="738"/>
        <w:jc w:val="both"/>
      </w:pPr>
      <w:r>
        <w:rPr>
          <w:color w:val="231F20"/>
          <w:w w:val="105"/>
        </w:rPr>
        <w:t>PNUD</w:t>
      </w:r>
      <w:r>
        <w:rPr>
          <w:color w:val="231F20"/>
          <w:spacing w:val="-32"/>
          <w:w w:val="105"/>
        </w:rPr>
        <w:t> </w:t>
      </w:r>
      <w:r>
        <w:rPr>
          <w:color w:val="231F20"/>
          <w:w w:val="105"/>
        </w:rPr>
        <w:t>México</w:t>
      </w:r>
      <w:r>
        <w:rPr>
          <w:color w:val="231F20"/>
          <w:spacing w:val="-32"/>
          <w:w w:val="105"/>
        </w:rPr>
        <w:t> </w:t>
      </w:r>
      <w:r>
        <w:rPr>
          <w:color w:val="231F20"/>
          <w:w w:val="105"/>
        </w:rPr>
        <w:t>(2011).</w:t>
      </w:r>
      <w:r>
        <w:rPr>
          <w:color w:val="231F20"/>
          <w:spacing w:val="-36"/>
          <w:w w:val="105"/>
        </w:rPr>
        <w:t> </w:t>
      </w:r>
      <w:r>
        <w:rPr>
          <w:color w:val="231F20"/>
          <w:w w:val="105"/>
        </w:rPr>
        <w:t>Oficina</w:t>
      </w:r>
      <w:r>
        <w:rPr>
          <w:color w:val="231F20"/>
          <w:spacing w:val="-32"/>
          <w:w w:val="105"/>
        </w:rPr>
        <w:t> </w:t>
      </w:r>
      <w:r>
        <w:rPr>
          <w:color w:val="231F20"/>
          <w:w w:val="105"/>
        </w:rPr>
        <w:t>Nacional</w:t>
      </w:r>
      <w:r>
        <w:rPr>
          <w:color w:val="231F20"/>
          <w:spacing w:val="-32"/>
          <w:w w:val="105"/>
        </w:rPr>
        <w:t> </w:t>
      </w:r>
      <w:r>
        <w:rPr>
          <w:color w:val="231F20"/>
          <w:w w:val="105"/>
        </w:rPr>
        <w:t>de</w:t>
      </w:r>
      <w:r>
        <w:rPr>
          <w:color w:val="231F20"/>
          <w:spacing w:val="-32"/>
          <w:w w:val="105"/>
        </w:rPr>
        <w:t> </w:t>
      </w:r>
      <w:r>
        <w:rPr>
          <w:color w:val="231F20"/>
          <w:w w:val="105"/>
        </w:rPr>
        <w:t>Desarrollo</w:t>
      </w:r>
      <w:r>
        <w:rPr>
          <w:color w:val="231F20"/>
          <w:spacing w:val="-32"/>
          <w:w w:val="105"/>
        </w:rPr>
        <w:t> </w:t>
      </w:r>
      <w:r>
        <w:rPr>
          <w:color w:val="231F20"/>
          <w:w w:val="105"/>
        </w:rPr>
        <w:t>Humano</w:t>
      </w:r>
      <w:r>
        <w:rPr>
          <w:color w:val="231F20"/>
          <w:spacing w:val="-32"/>
          <w:w w:val="105"/>
        </w:rPr>
        <w:t> </w:t>
      </w:r>
      <w:r>
        <w:rPr>
          <w:color w:val="231F20"/>
          <w:w w:val="105"/>
        </w:rPr>
        <w:t>en</w:t>
      </w:r>
      <w:r>
        <w:rPr>
          <w:color w:val="231F20"/>
          <w:spacing w:val="-32"/>
          <w:w w:val="105"/>
        </w:rPr>
        <w:t> </w:t>
      </w:r>
      <w:r>
        <w:rPr>
          <w:color w:val="231F20"/>
          <w:w w:val="105"/>
        </w:rPr>
        <w:t>México. Disponible en: </w:t>
      </w:r>
      <w:hyperlink r:id="rId34">
        <w:r>
          <w:rPr>
            <w:color w:val="231F20"/>
            <w:w w:val="105"/>
          </w:rPr>
          <w:t>http://www.undp.org.mx/img/pdf/informe_so-</w:t>
        </w:r>
      </w:hyperlink>
      <w:r>
        <w:rPr>
          <w:color w:val="231F20"/>
          <w:w w:val="105"/>
        </w:rPr>
        <w:t> bre_desarrollo_humano_mexico_2011.pdf. Consultado el 31</w:t>
      </w:r>
      <w:r>
        <w:rPr>
          <w:color w:val="231F20"/>
          <w:spacing w:val="-35"/>
          <w:w w:val="105"/>
        </w:rPr>
        <w:t> </w:t>
      </w:r>
      <w:r>
        <w:rPr>
          <w:color w:val="231F20"/>
          <w:w w:val="105"/>
        </w:rPr>
        <w:t>de mayo de</w:t>
      </w:r>
      <w:r>
        <w:rPr>
          <w:color w:val="231F20"/>
          <w:spacing w:val="-31"/>
          <w:w w:val="105"/>
        </w:rPr>
        <w:t> </w:t>
      </w:r>
      <w:r>
        <w:rPr>
          <w:color w:val="231F20"/>
          <w:w w:val="105"/>
        </w:rPr>
        <w:t>2014.</w:t>
      </w:r>
    </w:p>
    <w:p>
      <w:pPr>
        <w:pStyle w:val="BodyText"/>
        <w:spacing w:line="259" w:lineRule="auto"/>
        <w:ind w:left="840" w:right="115" w:hanging="738"/>
        <w:jc w:val="both"/>
      </w:pPr>
      <w:r>
        <w:rPr>
          <w:color w:val="231F20"/>
          <w:w w:val="105"/>
        </w:rPr>
        <w:t>Porter, M. (1995), The competitive advantege of the inner city, </w:t>
      </w:r>
      <w:r>
        <w:rPr>
          <w:i/>
          <w:color w:val="231F20"/>
          <w:w w:val="105"/>
        </w:rPr>
        <w:t>Harvard </w:t>
      </w:r>
      <w:r>
        <w:rPr>
          <w:i/>
          <w:color w:val="231F20"/>
          <w:w w:val="105"/>
        </w:rPr>
        <w:t>business review</w:t>
      </w:r>
      <w:r>
        <w:rPr>
          <w:color w:val="231F20"/>
          <w:w w:val="105"/>
        </w:rPr>
        <w:t>, vol. 73 no. 3, mayo-junio pp.55-71</w:t>
      </w:r>
    </w:p>
    <w:p>
      <w:pPr>
        <w:spacing w:line="241" w:lineRule="exact" w:before="0"/>
        <w:ind w:left="103" w:right="17" w:firstLine="0"/>
        <w:jc w:val="left"/>
        <w:rPr>
          <w:sz w:val="21"/>
        </w:rPr>
      </w:pPr>
      <w:r>
        <w:rPr>
          <w:color w:val="231F20"/>
          <w:w w:val="105"/>
          <w:sz w:val="21"/>
        </w:rPr>
        <w:t>Probst, G., Raub S. y Romhardt, K. (2001) </w:t>
      </w:r>
      <w:r>
        <w:rPr>
          <w:i/>
          <w:color w:val="231F20"/>
          <w:w w:val="105"/>
          <w:sz w:val="21"/>
        </w:rPr>
        <w:t>Administre el conocimiento</w:t>
      </w:r>
      <w:r>
        <w:rPr>
          <w:color w:val="231F20"/>
          <w:w w:val="105"/>
          <w:sz w:val="21"/>
        </w:rPr>
        <w:t>.</w:t>
      </w:r>
    </w:p>
    <w:p>
      <w:pPr>
        <w:pStyle w:val="BodyText"/>
        <w:spacing w:before="18"/>
        <w:ind w:left="840" w:right="17"/>
      </w:pPr>
      <w:r>
        <w:rPr>
          <w:color w:val="231F20"/>
        </w:rPr>
        <w:t>Pearson Educación, México. 2001.</w:t>
      </w:r>
    </w:p>
    <w:p>
      <w:pPr>
        <w:pStyle w:val="BodyText"/>
        <w:spacing w:line="259" w:lineRule="auto" w:before="18"/>
        <w:ind w:left="840" w:right="115" w:hanging="738"/>
        <w:jc w:val="both"/>
      </w:pPr>
      <w:r>
        <w:rPr>
          <w:color w:val="171B1E"/>
          <w:w w:val="105"/>
        </w:rPr>
        <w:t>Rodriguez,</w:t>
      </w:r>
      <w:r>
        <w:rPr>
          <w:color w:val="171B1E"/>
          <w:spacing w:val="-27"/>
          <w:w w:val="105"/>
        </w:rPr>
        <w:t> </w:t>
      </w:r>
      <w:r>
        <w:rPr>
          <w:color w:val="171B1E"/>
          <w:w w:val="105"/>
        </w:rPr>
        <w:t>C.</w:t>
      </w:r>
      <w:r>
        <w:rPr>
          <w:color w:val="171B1E"/>
          <w:spacing w:val="-30"/>
          <w:w w:val="105"/>
        </w:rPr>
        <w:t> </w:t>
      </w:r>
      <w:r>
        <w:rPr>
          <w:color w:val="171B1E"/>
          <w:spacing w:val="-9"/>
          <w:w w:val="105"/>
        </w:rPr>
        <w:t>Y.</w:t>
      </w:r>
      <w:r>
        <w:rPr>
          <w:color w:val="171B1E"/>
          <w:spacing w:val="-27"/>
          <w:w w:val="105"/>
        </w:rPr>
        <w:t> </w:t>
      </w:r>
      <w:r>
        <w:rPr>
          <w:color w:val="171B1E"/>
          <w:w w:val="105"/>
        </w:rPr>
        <w:t>y</w:t>
      </w:r>
      <w:r>
        <w:rPr>
          <w:color w:val="171B1E"/>
          <w:spacing w:val="-23"/>
          <w:w w:val="105"/>
        </w:rPr>
        <w:t> </w:t>
      </w:r>
      <w:r>
        <w:rPr>
          <w:color w:val="171B1E"/>
          <w:w w:val="105"/>
        </w:rPr>
        <w:t>Galán</w:t>
      </w:r>
      <w:r>
        <w:rPr>
          <w:color w:val="171B1E"/>
          <w:spacing w:val="-23"/>
          <w:w w:val="105"/>
        </w:rPr>
        <w:t> </w:t>
      </w:r>
      <w:r>
        <w:rPr>
          <w:color w:val="171B1E"/>
          <w:spacing w:val="-6"/>
          <w:w w:val="105"/>
        </w:rPr>
        <w:t>D.</w:t>
      </w:r>
      <w:r>
        <w:rPr>
          <w:color w:val="171B1E"/>
          <w:spacing w:val="-27"/>
          <w:w w:val="105"/>
        </w:rPr>
        <w:t> </w:t>
      </w:r>
      <w:r>
        <w:rPr>
          <w:color w:val="171B1E"/>
          <w:w w:val="105"/>
        </w:rPr>
        <w:t>E.</w:t>
      </w:r>
      <w:r>
        <w:rPr>
          <w:color w:val="171B1E"/>
          <w:spacing w:val="-27"/>
          <w:w w:val="105"/>
        </w:rPr>
        <w:t> </w:t>
      </w:r>
      <w:r>
        <w:rPr>
          <w:color w:val="171B1E"/>
          <w:w w:val="105"/>
        </w:rPr>
        <w:t>(2008).</w:t>
      </w:r>
      <w:r>
        <w:rPr>
          <w:color w:val="171B1E"/>
          <w:spacing w:val="-27"/>
          <w:w w:val="105"/>
        </w:rPr>
        <w:t> </w:t>
      </w:r>
      <w:r>
        <w:rPr>
          <w:color w:val="171B1E"/>
          <w:w w:val="105"/>
        </w:rPr>
        <w:t>“La</w:t>
      </w:r>
      <w:r>
        <w:rPr>
          <w:color w:val="171B1E"/>
          <w:spacing w:val="-23"/>
          <w:w w:val="105"/>
        </w:rPr>
        <w:t> </w:t>
      </w:r>
      <w:r>
        <w:rPr>
          <w:color w:val="171B1E"/>
          <w:w w:val="105"/>
        </w:rPr>
        <w:t>inteligencia</w:t>
      </w:r>
      <w:r>
        <w:rPr>
          <w:color w:val="171B1E"/>
          <w:spacing w:val="-23"/>
          <w:w w:val="105"/>
        </w:rPr>
        <w:t> </w:t>
      </w:r>
      <w:r>
        <w:rPr>
          <w:color w:val="171B1E"/>
          <w:w w:val="105"/>
        </w:rPr>
        <w:t>organizacional:</w:t>
      </w:r>
      <w:r>
        <w:rPr>
          <w:color w:val="171B1E"/>
          <w:spacing w:val="-23"/>
          <w:w w:val="105"/>
        </w:rPr>
        <w:t> </w:t>
      </w:r>
      <w:r>
        <w:rPr>
          <w:color w:val="171B1E"/>
          <w:w w:val="105"/>
        </w:rPr>
        <w:t>ne- cesario enfoque de gestión de información y del conocimiento” en: </w:t>
      </w:r>
      <w:r>
        <w:rPr>
          <w:i/>
          <w:color w:val="171B1E"/>
          <w:w w:val="105"/>
        </w:rPr>
        <w:t>Ciência da informação</w:t>
      </w:r>
      <w:r>
        <w:rPr>
          <w:color w:val="171B1E"/>
          <w:w w:val="105"/>
        </w:rPr>
        <w:t>, </w:t>
      </w:r>
      <w:r>
        <w:rPr>
          <w:i/>
          <w:color w:val="171B1E"/>
          <w:w w:val="105"/>
        </w:rPr>
        <w:t>36</w:t>
      </w:r>
      <w:r>
        <w:rPr>
          <w:color w:val="171B1E"/>
          <w:w w:val="105"/>
        </w:rPr>
        <w:t>(3). Disponible en: </w:t>
      </w:r>
      <w:hyperlink r:id="rId35">
        <w:r>
          <w:rPr>
            <w:color w:val="171B1E"/>
            <w:w w:val="105"/>
          </w:rPr>
          <w:t>http://revista.</w:t>
        </w:r>
      </w:hyperlink>
      <w:r>
        <w:rPr>
          <w:color w:val="171B1E"/>
          <w:w w:val="105"/>
        </w:rPr>
        <w:t> ibict.br/ciinf/index.php/ciinf/article/view/942/735 Consultado el 22 de agosto de</w:t>
      </w:r>
      <w:r>
        <w:rPr>
          <w:color w:val="171B1E"/>
          <w:spacing w:val="-31"/>
          <w:w w:val="105"/>
        </w:rPr>
        <w:t> </w:t>
      </w:r>
      <w:r>
        <w:rPr>
          <w:color w:val="171B1E"/>
          <w:w w:val="105"/>
        </w:rPr>
        <w:t>2014.</w:t>
      </w:r>
    </w:p>
    <w:p>
      <w:pPr>
        <w:spacing w:line="259" w:lineRule="auto" w:before="0"/>
        <w:ind w:left="840" w:right="115" w:hanging="738"/>
        <w:jc w:val="both"/>
        <w:rPr>
          <w:sz w:val="21"/>
        </w:rPr>
      </w:pPr>
      <w:r>
        <w:rPr>
          <w:sz w:val="21"/>
        </w:rPr>
        <w:t>Rojas de Escalona, B. (2007). “La creatividad e innovación en las Organi- zaciones” en: </w:t>
      </w:r>
      <w:r>
        <w:rPr>
          <w:i/>
          <w:sz w:val="21"/>
        </w:rPr>
        <w:t>Sapiens. Revista Universitaria de Investigación, </w:t>
      </w:r>
      <w:r>
        <w:rPr>
          <w:sz w:val="21"/>
        </w:rPr>
        <w:t>8(1) 111-130.</w:t>
      </w:r>
    </w:p>
    <w:p>
      <w:pPr>
        <w:pStyle w:val="BodyText"/>
        <w:rPr>
          <w:sz w:val="20"/>
        </w:rPr>
      </w:pPr>
    </w:p>
    <w:p>
      <w:pPr>
        <w:pStyle w:val="BodyText"/>
        <w:rPr>
          <w:sz w:val="20"/>
        </w:rPr>
      </w:pPr>
    </w:p>
    <w:p>
      <w:pPr>
        <w:pStyle w:val="BodyText"/>
        <w:rPr>
          <w:sz w:val="20"/>
        </w:rPr>
      </w:pPr>
    </w:p>
    <w:p>
      <w:pPr>
        <w:tabs>
          <w:tab w:pos="1317" w:val="left" w:leader="none"/>
        </w:tabs>
        <w:spacing w:before="186"/>
        <w:ind w:left="267" w:right="17" w:firstLine="0"/>
        <w:jc w:val="left"/>
        <w:rPr>
          <w:rFonts w:ascii="Calibri" w:hAnsi="Calibri"/>
          <w:sz w:val="15"/>
        </w:rPr>
      </w:pPr>
      <w:r>
        <w:rPr/>
        <w:pict>
          <v:group style="position:absolute;margin-left:101.817299pt;margin-top:-10.999887pt;width:17.850pt;height:56.5pt;mso-position-horizontal-relative:page;mso-position-vertical-relative:paragraph;z-index:-244792" coordorigin="2036,-220" coordsize="357,1130">
            <v:line style="position:absolute" from="2211,190" to="2211,906" stroked="true" strokeweight=".3pt" strokecolor="#231f20"/>
            <v:shape style="position:absolute;left:2036;top:-46;width:356;height:609" type="#_x0000_t75" stroked="false">
              <v:imagedata r:id="rId18" o:title=""/>
            </v:shape>
            <v:shape style="position:absolute;left:2036;top:-220;width:356;height:783" type="#_x0000_t75" stroked="false">
              <v:imagedata r:id="rId19" o:title=""/>
            </v:shape>
            <w10:wrap type="none"/>
          </v:group>
        </w:pict>
      </w:r>
      <w:r>
        <w:rPr>
          <w:color w:val="414042"/>
          <w:w w:val="105"/>
          <w:position w:val="-5"/>
          <w:sz w:val="20"/>
        </w:rPr>
        <w:t>84</w:t>
        <w:tab/>
      </w:r>
      <w:r>
        <w:rPr>
          <w:rFonts w:ascii="Calibri" w:hAnsi="Calibri"/>
          <w:color w:val="6D6E71"/>
          <w:w w:val="105"/>
          <w:sz w:val="15"/>
        </w:rPr>
        <w:t>María</w:t>
      </w:r>
      <w:r>
        <w:rPr>
          <w:rFonts w:ascii="Calibri" w:hAnsi="Calibri"/>
          <w:color w:val="6D6E71"/>
          <w:spacing w:val="-12"/>
          <w:w w:val="105"/>
          <w:sz w:val="15"/>
        </w:rPr>
        <w:t> </w:t>
      </w:r>
      <w:r>
        <w:rPr>
          <w:rFonts w:ascii="Calibri" w:hAnsi="Calibri"/>
          <w:color w:val="6D6E71"/>
          <w:w w:val="105"/>
          <w:sz w:val="15"/>
        </w:rPr>
        <w:t>del</w:t>
      </w:r>
      <w:r>
        <w:rPr>
          <w:rFonts w:ascii="Calibri" w:hAnsi="Calibri"/>
          <w:color w:val="6D6E71"/>
          <w:spacing w:val="-12"/>
          <w:w w:val="105"/>
          <w:sz w:val="15"/>
        </w:rPr>
        <w:t> </w:t>
      </w:r>
      <w:r>
        <w:rPr>
          <w:rFonts w:ascii="Calibri" w:hAnsi="Calibri"/>
          <w:color w:val="6D6E71"/>
          <w:w w:val="105"/>
          <w:sz w:val="15"/>
        </w:rPr>
        <w:t>Rocío</w:t>
      </w:r>
      <w:r>
        <w:rPr>
          <w:rFonts w:ascii="Calibri" w:hAnsi="Calibri"/>
          <w:color w:val="6D6E71"/>
          <w:spacing w:val="-12"/>
          <w:w w:val="105"/>
          <w:sz w:val="15"/>
        </w:rPr>
        <w:t> </w:t>
      </w:r>
      <w:r>
        <w:rPr>
          <w:rFonts w:ascii="Calibri" w:hAnsi="Calibri"/>
          <w:color w:val="6D6E71"/>
          <w:w w:val="105"/>
          <w:sz w:val="15"/>
        </w:rPr>
        <w:t>Gómez</w:t>
      </w:r>
      <w:r>
        <w:rPr>
          <w:rFonts w:ascii="Calibri" w:hAnsi="Calibri"/>
          <w:color w:val="6D6E71"/>
          <w:spacing w:val="-12"/>
          <w:w w:val="105"/>
          <w:sz w:val="15"/>
        </w:rPr>
        <w:t> </w:t>
      </w:r>
      <w:r>
        <w:rPr>
          <w:rFonts w:ascii="Calibri" w:hAnsi="Calibri"/>
          <w:color w:val="6D6E71"/>
          <w:w w:val="105"/>
          <w:sz w:val="15"/>
        </w:rPr>
        <w:t>Díaz</w:t>
      </w:r>
      <w:r>
        <w:rPr>
          <w:rFonts w:ascii="Calibri" w:hAnsi="Calibri"/>
          <w:color w:val="6D6E71"/>
          <w:spacing w:val="-13"/>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Elsa</w:t>
      </w:r>
      <w:r>
        <w:rPr>
          <w:rFonts w:ascii="Calibri" w:hAnsi="Calibri"/>
          <w:color w:val="6D6E71"/>
          <w:spacing w:val="-12"/>
          <w:w w:val="105"/>
          <w:sz w:val="15"/>
        </w:rPr>
        <w:t> </w:t>
      </w:r>
      <w:r>
        <w:rPr>
          <w:rFonts w:ascii="Calibri" w:hAnsi="Calibri"/>
          <w:color w:val="6D6E71"/>
          <w:w w:val="105"/>
          <w:sz w:val="15"/>
        </w:rPr>
        <w:t>Mireya</w:t>
      </w:r>
      <w:r>
        <w:rPr>
          <w:rFonts w:ascii="Calibri" w:hAnsi="Calibri"/>
          <w:color w:val="6D6E71"/>
          <w:spacing w:val="-12"/>
          <w:w w:val="105"/>
          <w:sz w:val="15"/>
        </w:rPr>
        <w:t> </w:t>
      </w:r>
      <w:r>
        <w:rPr>
          <w:rFonts w:ascii="Calibri" w:hAnsi="Calibri"/>
          <w:color w:val="6D6E71"/>
          <w:w w:val="105"/>
          <w:sz w:val="15"/>
        </w:rPr>
        <w:t>Rosales</w:t>
      </w:r>
      <w:r>
        <w:rPr>
          <w:rFonts w:ascii="Calibri" w:hAnsi="Calibri"/>
          <w:color w:val="6D6E71"/>
          <w:spacing w:val="-12"/>
          <w:w w:val="105"/>
          <w:sz w:val="15"/>
        </w:rPr>
        <w:t> </w:t>
      </w:r>
      <w:r>
        <w:rPr>
          <w:rFonts w:ascii="Calibri" w:hAnsi="Calibri"/>
          <w:color w:val="6D6E71"/>
          <w:w w:val="105"/>
          <w:sz w:val="15"/>
        </w:rPr>
        <w:t>Estrada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34"/>
        </w:numPr>
        <w:tabs>
          <w:tab w:pos="1987" w:val="left" w:leader="none"/>
          <w:tab w:pos="6916" w:val="right" w:leader="none"/>
        </w:tabs>
        <w:spacing w:line="240" w:lineRule="auto" w:before="52" w:after="0"/>
        <w:ind w:left="551" w:right="0" w:firstLine="1270"/>
        <w:jc w:val="left"/>
        <w:rPr>
          <w:rFonts w:ascii="Lucida Sans Unicode"/>
          <w:color w:val="6D6E71"/>
          <w:sz w:val="14"/>
        </w:rPr>
      </w:pPr>
      <w:r>
        <w:rPr/>
        <w:pict>
          <v:line style="position:absolute;mso-position-horizontal-relative:page;mso-position-vertical-relative:paragraph;z-index:-244768" from="384.061005pt,-25.30427pt" to="384.061005pt,9.561580pt" stroked="true" strokeweight=".3pt" strokecolor="#231f20">
            <w10:wrap type="none"/>
          </v:line>
        </w:pict>
      </w:r>
      <w:r>
        <w:rPr>
          <w:rFonts w:ascii="Lucida Sans Unicode"/>
          <w:color w:val="6D6E71"/>
          <w:w w:val="110"/>
          <w:sz w:val="14"/>
        </w:rPr>
        <w:t>El</w:t>
      </w:r>
      <w:r>
        <w:rPr>
          <w:rFonts w:ascii="Lucida Sans Unicode"/>
          <w:color w:val="6D6E71"/>
          <w:spacing w:val="-24"/>
          <w:w w:val="110"/>
          <w:sz w:val="14"/>
        </w:rPr>
        <w:t> </w:t>
      </w:r>
      <w:r>
        <w:rPr>
          <w:rFonts w:ascii="Lucida Sans Unicode"/>
          <w:color w:val="6D6E71"/>
          <w:w w:val="110"/>
          <w:sz w:val="14"/>
        </w:rPr>
        <w:t>aprEndIzajE</w:t>
      </w:r>
      <w:r>
        <w:rPr>
          <w:rFonts w:ascii="Lucida Sans Unicode"/>
          <w:color w:val="6D6E71"/>
          <w:spacing w:val="-24"/>
          <w:w w:val="110"/>
          <w:sz w:val="14"/>
        </w:rPr>
        <w:t> </w:t>
      </w:r>
      <w:r>
        <w:rPr>
          <w:rFonts w:ascii="Lucida Sans Unicode"/>
          <w:color w:val="6D6E71"/>
          <w:w w:val="110"/>
          <w:sz w:val="14"/>
        </w:rPr>
        <w:t>organIzacIonal</w:t>
      </w:r>
      <w:r>
        <w:rPr>
          <w:rFonts w:ascii="Lucida Sans Unicode"/>
          <w:color w:val="6D6E71"/>
          <w:spacing w:val="-24"/>
          <w:w w:val="110"/>
          <w:sz w:val="14"/>
        </w:rPr>
        <w:t> </w:t>
      </w:r>
      <w:r>
        <w:rPr>
          <w:rFonts w:ascii="Lucida Sans Unicode"/>
          <w:color w:val="6D6E71"/>
          <w:w w:val="110"/>
          <w:sz w:val="14"/>
        </w:rPr>
        <w:t>En</w:t>
      </w:r>
      <w:r>
        <w:rPr>
          <w:rFonts w:ascii="Lucida Sans Unicode"/>
          <w:color w:val="6D6E71"/>
          <w:spacing w:val="-24"/>
          <w:w w:val="110"/>
          <w:sz w:val="14"/>
        </w:rPr>
        <w:t> </w:t>
      </w:r>
      <w:r>
        <w:rPr>
          <w:rFonts w:ascii="Lucida Sans Unicode"/>
          <w:color w:val="6D6E71"/>
          <w:w w:val="115"/>
          <w:sz w:val="14"/>
        </w:rPr>
        <w:t>la</w:t>
      </w:r>
      <w:r>
        <w:rPr>
          <w:rFonts w:ascii="Lucida Sans Unicode"/>
          <w:color w:val="6D6E71"/>
          <w:spacing w:val="-26"/>
          <w:w w:val="115"/>
          <w:sz w:val="14"/>
        </w:rPr>
        <w:t> </w:t>
      </w:r>
      <w:r>
        <w:rPr>
          <w:rFonts w:ascii="Lucida Sans Unicode"/>
          <w:color w:val="6D6E71"/>
          <w:w w:val="110"/>
          <w:sz w:val="14"/>
        </w:rPr>
        <w:t>compEtItIvIdad</w:t>
      </w:r>
      <w:r>
        <w:rPr>
          <w:rFonts w:ascii="Lucida Sans Unicode"/>
          <w:color w:val="6D6E71"/>
          <w:spacing w:val="-24"/>
          <w:w w:val="110"/>
          <w:sz w:val="14"/>
        </w:rPr>
        <w:t> </w:t>
      </w:r>
      <w:r>
        <w:rPr>
          <w:rFonts w:ascii="Lucida Sans Unicode"/>
          <w:color w:val="6D6E71"/>
          <w:w w:val="110"/>
          <w:sz w:val="14"/>
        </w:rPr>
        <w:t>munIcIpal</w:t>
      </w:r>
      <w:r>
        <w:rPr>
          <w:color w:val="414042"/>
          <w:w w:val="110"/>
          <w:position w:val="-3"/>
          <w:sz w:val="20"/>
        </w:rPr>
        <w:tab/>
        <w:t>85</w:t>
      </w:r>
    </w:p>
    <w:p>
      <w:pPr>
        <w:pStyle w:val="BodyText"/>
        <w:rPr>
          <w:sz w:val="20"/>
        </w:rPr>
      </w:pPr>
    </w:p>
    <w:p>
      <w:pPr>
        <w:pStyle w:val="BodyText"/>
        <w:rPr>
          <w:sz w:val="20"/>
        </w:rPr>
      </w:pPr>
    </w:p>
    <w:p>
      <w:pPr>
        <w:spacing w:line="259" w:lineRule="auto" w:before="176"/>
        <w:ind w:left="854" w:right="122" w:hanging="737"/>
        <w:jc w:val="both"/>
        <w:rPr>
          <w:sz w:val="21"/>
        </w:rPr>
      </w:pPr>
      <w:r>
        <w:rPr>
          <w:color w:val="231F20"/>
          <w:w w:val="105"/>
          <w:sz w:val="21"/>
        </w:rPr>
        <w:t>Sanguino,</w:t>
      </w:r>
      <w:r>
        <w:rPr>
          <w:color w:val="231F20"/>
          <w:spacing w:val="-16"/>
          <w:w w:val="105"/>
          <w:sz w:val="21"/>
        </w:rPr>
        <w:t> </w:t>
      </w:r>
      <w:r>
        <w:rPr>
          <w:color w:val="231F20"/>
          <w:w w:val="105"/>
          <w:sz w:val="21"/>
        </w:rPr>
        <w:t>R.</w:t>
      </w:r>
      <w:r>
        <w:rPr>
          <w:color w:val="231F20"/>
          <w:spacing w:val="-16"/>
          <w:w w:val="105"/>
          <w:sz w:val="21"/>
        </w:rPr>
        <w:t> </w:t>
      </w:r>
      <w:r>
        <w:rPr>
          <w:color w:val="231F20"/>
          <w:w w:val="105"/>
          <w:sz w:val="21"/>
        </w:rPr>
        <w:t>(2005)</w:t>
      </w:r>
      <w:r>
        <w:rPr>
          <w:color w:val="231F20"/>
          <w:spacing w:val="-12"/>
          <w:w w:val="105"/>
          <w:sz w:val="21"/>
        </w:rPr>
        <w:t> </w:t>
      </w:r>
      <w:r>
        <w:rPr>
          <w:i/>
          <w:color w:val="231F20"/>
          <w:w w:val="105"/>
          <w:sz w:val="21"/>
        </w:rPr>
        <w:t>Gestión</w:t>
      </w:r>
      <w:r>
        <w:rPr>
          <w:i/>
          <w:color w:val="231F20"/>
          <w:spacing w:val="-11"/>
          <w:w w:val="105"/>
          <w:sz w:val="21"/>
        </w:rPr>
        <w:t> </w:t>
      </w:r>
      <w:r>
        <w:rPr>
          <w:i/>
          <w:color w:val="231F20"/>
          <w:w w:val="105"/>
          <w:sz w:val="21"/>
        </w:rPr>
        <w:t>del</w:t>
      </w:r>
      <w:r>
        <w:rPr>
          <w:i/>
          <w:color w:val="231F20"/>
          <w:spacing w:val="-11"/>
          <w:w w:val="105"/>
          <w:sz w:val="21"/>
        </w:rPr>
        <w:t> </w:t>
      </w:r>
      <w:r>
        <w:rPr>
          <w:i/>
          <w:color w:val="231F20"/>
          <w:w w:val="105"/>
          <w:sz w:val="21"/>
        </w:rPr>
        <w:t>conocimiento</w:t>
      </w:r>
      <w:r>
        <w:rPr>
          <w:i/>
          <w:color w:val="231F20"/>
          <w:spacing w:val="-11"/>
          <w:w w:val="105"/>
          <w:sz w:val="21"/>
        </w:rPr>
        <w:t> </w:t>
      </w:r>
      <w:r>
        <w:rPr>
          <w:i/>
          <w:color w:val="231F20"/>
          <w:w w:val="105"/>
          <w:sz w:val="21"/>
        </w:rPr>
        <w:t>y</w:t>
      </w:r>
      <w:r>
        <w:rPr>
          <w:i/>
          <w:color w:val="231F20"/>
          <w:spacing w:val="-11"/>
          <w:w w:val="105"/>
          <w:sz w:val="21"/>
        </w:rPr>
        <w:t> </w:t>
      </w:r>
      <w:r>
        <w:rPr>
          <w:i/>
          <w:color w:val="231F20"/>
          <w:w w:val="105"/>
          <w:sz w:val="21"/>
        </w:rPr>
        <w:t>competitividad:</w:t>
      </w:r>
      <w:r>
        <w:rPr>
          <w:i/>
          <w:color w:val="231F20"/>
          <w:spacing w:val="-11"/>
          <w:w w:val="105"/>
          <w:sz w:val="21"/>
        </w:rPr>
        <w:t> </w:t>
      </w:r>
      <w:r>
        <w:rPr>
          <w:i/>
          <w:color w:val="231F20"/>
          <w:w w:val="105"/>
          <w:sz w:val="21"/>
        </w:rPr>
        <w:t>análisis </w:t>
      </w:r>
      <w:r>
        <w:rPr>
          <w:i/>
          <w:color w:val="231F20"/>
          <w:w w:val="105"/>
          <w:sz w:val="21"/>
        </w:rPr>
        <w:t>en las ciudades españolas. </w:t>
      </w:r>
      <w:r>
        <w:rPr>
          <w:color w:val="231F20"/>
          <w:spacing w:val="-5"/>
          <w:w w:val="105"/>
          <w:sz w:val="21"/>
        </w:rPr>
        <w:t>Tesis </w:t>
      </w:r>
      <w:r>
        <w:rPr>
          <w:color w:val="231F20"/>
          <w:w w:val="105"/>
          <w:sz w:val="21"/>
        </w:rPr>
        <w:t>doctoral. Universidad de Ex- </w:t>
      </w:r>
      <w:r>
        <w:rPr>
          <w:color w:val="231F20"/>
          <w:sz w:val="21"/>
        </w:rPr>
        <w:t>tremadura,</w:t>
      </w:r>
      <w:r>
        <w:rPr>
          <w:color w:val="231F20"/>
          <w:spacing w:val="3"/>
          <w:sz w:val="21"/>
        </w:rPr>
        <w:t> </w:t>
      </w:r>
      <w:r>
        <w:rPr>
          <w:color w:val="231F20"/>
          <w:sz w:val="21"/>
        </w:rPr>
        <w:t>España.</w:t>
      </w:r>
    </w:p>
    <w:p>
      <w:pPr>
        <w:spacing w:line="259" w:lineRule="auto" w:before="0"/>
        <w:ind w:left="854" w:right="122" w:hanging="738"/>
        <w:jc w:val="both"/>
        <w:rPr>
          <w:sz w:val="21"/>
        </w:rPr>
      </w:pPr>
      <w:r>
        <w:rPr>
          <w:color w:val="231F20"/>
          <w:sz w:val="21"/>
        </w:rPr>
        <w:t>Scott, a. (1998). </w:t>
      </w:r>
      <w:r>
        <w:rPr>
          <w:i/>
          <w:color w:val="231F20"/>
          <w:sz w:val="21"/>
        </w:rPr>
        <w:t>Regions and the world economy</w:t>
      </w:r>
      <w:r>
        <w:rPr>
          <w:color w:val="231F20"/>
          <w:sz w:val="21"/>
        </w:rPr>
        <w:t>. Oxford: Oxford Univer- sity Press.</w:t>
      </w:r>
    </w:p>
    <w:p>
      <w:pPr>
        <w:spacing w:line="259" w:lineRule="auto" w:before="0"/>
        <w:ind w:left="854" w:right="115" w:hanging="738"/>
        <w:jc w:val="both"/>
        <w:rPr>
          <w:sz w:val="21"/>
        </w:rPr>
      </w:pPr>
      <w:r>
        <w:rPr>
          <w:color w:val="231F20"/>
          <w:w w:val="105"/>
          <w:sz w:val="21"/>
        </w:rPr>
        <w:t>Senge,</w:t>
      </w:r>
      <w:r>
        <w:rPr>
          <w:color w:val="231F20"/>
          <w:spacing w:val="-18"/>
          <w:w w:val="105"/>
          <w:sz w:val="21"/>
        </w:rPr>
        <w:t> </w:t>
      </w:r>
      <w:r>
        <w:rPr>
          <w:color w:val="231F20"/>
          <w:spacing w:val="-8"/>
          <w:w w:val="105"/>
          <w:sz w:val="21"/>
        </w:rPr>
        <w:t>P.M.</w:t>
      </w:r>
      <w:r>
        <w:rPr>
          <w:color w:val="231F20"/>
          <w:spacing w:val="-18"/>
          <w:w w:val="105"/>
          <w:sz w:val="21"/>
        </w:rPr>
        <w:t> </w:t>
      </w:r>
      <w:r>
        <w:rPr>
          <w:color w:val="231F20"/>
          <w:w w:val="105"/>
          <w:sz w:val="21"/>
        </w:rPr>
        <w:t>(1990)</w:t>
      </w:r>
      <w:r>
        <w:rPr>
          <w:color w:val="231F20"/>
          <w:spacing w:val="-14"/>
          <w:w w:val="105"/>
          <w:sz w:val="21"/>
        </w:rPr>
        <w:t> </w:t>
      </w:r>
      <w:r>
        <w:rPr>
          <w:i/>
          <w:color w:val="231F20"/>
          <w:w w:val="105"/>
          <w:sz w:val="21"/>
        </w:rPr>
        <w:t>La</w:t>
      </w:r>
      <w:r>
        <w:rPr>
          <w:i/>
          <w:color w:val="231F20"/>
          <w:spacing w:val="-14"/>
          <w:w w:val="105"/>
          <w:sz w:val="21"/>
        </w:rPr>
        <w:t> </w:t>
      </w:r>
      <w:r>
        <w:rPr>
          <w:i/>
          <w:color w:val="231F20"/>
          <w:w w:val="105"/>
          <w:sz w:val="21"/>
        </w:rPr>
        <w:t>quinta</w:t>
      </w:r>
      <w:r>
        <w:rPr>
          <w:i/>
          <w:color w:val="231F20"/>
          <w:spacing w:val="-14"/>
          <w:w w:val="105"/>
          <w:sz w:val="21"/>
        </w:rPr>
        <w:t> </w:t>
      </w:r>
      <w:r>
        <w:rPr>
          <w:i/>
          <w:color w:val="231F20"/>
          <w:w w:val="105"/>
          <w:sz w:val="21"/>
        </w:rPr>
        <w:t>disciplina.</w:t>
      </w:r>
      <w:r>
        <w:rPr>
          <w:i/>
          <w:color w:val="231F20"/>
          <w:spacing w:val="-18"/>
          <w:w w:val="105"/>
          <w:sz w:val="21"/>
        </w:rPr>
        <w:t> </w:t>
      </w:r>
      <w:r>
        <w:rPr>
          <w:i/>
          <w:color w:val="231F20"/>
          <w:w w:val="105"/>
          <w:sz w:val="21"/>
        </w:rPr>
        <w:t>El</w:t>
      </w:r>
      <w:r>
        <w:rPr>
          <w:i/>
          <w:color w:val="231F20"/>
          <w:spacing w:val="-14"/>
          <w:w w:val="105"/>
          <w:sz w:val="21"/>
        </w:rPr>
        <w:t> </w:t>
      </w:r>
      <w:r>
        <w:rPr>
          <w:i/>
          <w:color w:val="231F20"/>
          <w:w w:val="105"/>
          <w:sz w:val="21"/>
        </w:rPr>
        <w:t>arte</w:t>
      </w:r>
      <w:r>
        <w:rPr>
          <w:i/>
          <w:color w:val="231F20"/>
          <w:spacing w:val="-14"/>
          <w:w w:val="105"/>
          <w:sz w:val="21"/>
        </w:rPr>
        <w:t> </w:t>
      </w:r>
      <w:r>
        <w:rPr>
          <w:i/>
          <w:color w:val="231F20"/>
          <w:w w:val="105"/>
          <w:sz w:val="21"/>
        </w:rPr>
        <w:t>y</w:t>
      </w:r>
      <w:r>
        <w:rPr>
          <w:i/>
          <w:color w:val="231F20"/>
          <w:spacing w:val="-14"/>
          <w:w w:val="105"/>
          <w:sz w:val="21"/>
        </w:rPr>
        <w:t> </w:t>
      </w:r>
      <w:r>
        <w:rPr>
          <w:i/>
          <w:color w:val="231F20"/>
          <w:w w:val="105"/>
          <w:sz w:val="21"/>
        </w:rPr>
        <w:t>la</w:t>
      </w:r>
      <w:r>
        <w:rPr>
          <w:i/>
          <w:color w:val="231F20"/>
          <w:spacing w:val="-14"/>
          <w:w w:val="105"/>
          <w:sz w:val="21"/>
        </w:rPr>
        <w:t> </w:t>
      </w:r>
      <w:r>
        <w:rPr>
          <w:i/>
          <w:color w:val="231F20"/>
          <w:w w:val="105"/>
          <w:sz w:val="21"/>
        </w:rPr>
        <w:t>práctica</w:t>
      </w:r>
      <w:r>
        <w:rPr>
          <w:i/>
          <w:color w:val="231F20"/>
          <w:spacing w:val="-14"/>
          <w:w w:val="105"/>
          <w:sz w:val="21"/>
        </w:rPr>
        <w:t> </w:t>
      </w:r>
      <w:r>
        <w:rPr>
          <w:i/>
          <w:color w:val="231F20"/>
          <w:w w:val="105"/>
          <w:sz w:val="21"/>
        </w:rPr>
        <w:t>de</w:t>
      </w:r>
      <w:r>
        <w:rPr>
          <w:i/>
          <w:color w:val="231F20"/>
          <w:spacing w:val="-14"/>
          <w:w w:val="105"/>
          <w:sz w:val="21"/>
        </w:rPr>
        <w:t> </w:t>
      </w:r>
      <w:r>
        <w:rPr>
          <w:i/>
          <w:color w:val="231F20"/>
          <w:w w:val="105"/>
          <w:sz w:val="21"/>
        </w:rPr>
        <w:t>la</w:t>
      </w:r>
      <w:r>
        <w:rPr>
          <w:i/>
          <w:color w:val="231F20"/>
          <w:spacing w:val="-14"/>
          <w:w w:val="105"/>
          <w:sz w:val="21"/>
        </w:rPr>
        <w:t> </w:t>
      </w:r>
      <w:r>
        <w:rPr>
          <w:i/>
          <w:color w:val="231F20"/>
          <w:w w:val="105"/>
          <w:sz w:val="21"/>
        </w:rPr>
        <w:t>organi- </w:t>
      </w:r>
      <w:r>
        <w:rPr>
          <w:i/>
          <w:color w:val="231F20"/>
          <w:w w:val="105"/>
          <w:sz w:val="21"/>
        </w:rPr>
        <w:t>zación</w:t>
      </w:r>
      <w:r>
        <w:rPr>
          <w:i/>
          <w:color w:val="231F20"/>
          <w:spacing w:val="-19"/>
          <w:w w:val="105"/>
          <w:sz w:val="21"/>
        </w:rPr>
        <w:t> </w:t>
      </w:r>
      <w:r>
        <w:rPr>
          <w:i/>
          <w:color w:val="231F20"/>
          <w:w w:val="105"/>
          <w:sz w:val="21"/>
        </w:rPr>
        <w:t>abierta</w:t>
      </w:r>
      <w:r>
        <w:rPr>
          <w:i/>
          <w:color w:val="231F20"/>
          <w:spacing w:val="-19"/>
          <w:w w:val="105"/>
          <w:sz w:val="21"/>
        </w:rPr>
        <w:t> </w:t>
      </w:r>
      <w:r>
        <w:rPr>
          <w:i/>
          <w:color w:val="231F20"/>
          <w:w w:val="105"/>
          <w:sz w:val="21"/>
        </w:rPr>
        <w:t>al</w:t>
      </w:r>
      <w:r>
        <w:rPr>
          <w:i/>
          <w:color w:val="231F20"/>
          <w:spacing w:val="-19"/>
          <w:w w:val="105"/>
          <w:sz w:val="21"/>
        </w:rPr>
        <w:t> </w:t>
      </w:r>
      <w:r>
        <w:rPr>
          <w:i/>
          <w:color w:val="231F20"/>
          <w:w w:val="105"/>
          <w:sz w:val="21"/>
        </w:rPr>
        <w:t>aprendizaje</w:t>
      </w:r>
      <w:r>
        <w:rPr>
          <w:color w:val="231F20"/>
          <w:w w:val="105"/>
          <w:sz w:val="21"/>
        </w:rPr>
        <w:t>;</w:t>
      </w:r>
      <w:r>
        <w:rPr>
          <w:color w:val="231F20"/>
          <w:spacing w:val="-19"/>
          <w:w w:val="105"/>
          <w:sz w:val="21"/>
        </w:rPr>
        <w:t> </w:t>
      </w:r>
      <w:r>
        <w:rPr>
          <w:color w:val="231F20"/>
          <w:w w:val="105"/>
          <w:sz w:val="21"/>
        </w:rPr>
        <w:t>trad.</w:t>
      </w:r>
      <w:r>
        <w:rPr>
          <w:color w:val="231F20"/>
          <w:spacing w:val="-23"/>
          <w:w w:val="105"/>
          <w:sz w:val="21"/>
        </w:rPr>
        <w:t> </w:t>
      </w:r>
      <w:r>
        <w:rPr>
          <w:color w:val="231F20"/>
          <w:w w:val="105"/>
          <w:sz w:val="21"/>
        </w:rPr>
        <w:t>Carlos</w:t>
      </w:r>
      <w:r>
        <w:rPr>
          <w:color w:val="231F20"/>
          <w:spacing w:val="-19"/>
          <w:w w:val="105"/>
          <w:sz w:val="21"/>
        </w:rPr>
        <w:t> </w:t>
      </w:r>
      <w:r>
        <w:rPr>
          <w:color w:val="231F20"/>
          <w:w w:val="105"/>
          <w:sz w:val="21"/>
        </w:rPr>
        <w:t>Gardini;</w:t>
      </w:r>
      <w:r>
        <w:rPr>
          <w:color w:val="231F20"/>
          <w:spacing w:val="-19"/>
          <w:w w:val="105"/>
          <w:sz w:val="21"/>
        </w:rPr>
        <w:t> </w:t>
      </w:r>
      <w:r>
        <w:rPr>
          <w:color w:val="231F20"/>
          <w:w w:val="105"/>
          <w:sz w:val="21"/>
        </w:rPr>
        <w:t>Buenos</w:t>
      </w:r>
      <w:r>
        <w:rPr>
          <w:color w:val="231F20"/>
          <w:spacing w:val="-22"/>
          <w:w w:val="105"/>
          <w:sz w:val="21"/>
        </w:rPr>
        <w:t> </w:t>
      </w:r>
      <w:r>
        <w:rPr>
          <w:color w:val="231F20"/>
          <w:w w:val="105"/>
          <w:sz w:val="21"/>
        </w:rPr>
        <w:t>Aires, arg.;</w:t>
      </w:r>
      <w:r>
        <w:rPr>
          <w:color w:val="231F20"/>
          <w:spacing w:val="-33"/>
          <w:w w:val="105"/>
          <w:sz w:val="21"/>
        </w:rPr>
        <w:t> </w:t>
      </w:r>
      <w:r>
        <w:rPr>
          <w:color w:val="231F20"/>
          <w:w w:val="105"/>
          <w:sz w:val="21"/>
        </w:rPr>
        <w:t>coed.</w:t>
      </w:r>
      <w:r>
        <w:rPr>
          <w:color w:val="231F20"/>
          <w:spacing w:val="-38"/>
          <w:w w:val="105"/>
          <w:sz w:val="21"/>
        </w:rPr>
        <w:t> </w:t>
      </w:r>
      <w:r>
        <w:rPr>
          <w:color w:val="231F20"/>
          <w:w w:val="105"/>
          <w:sz w:val="21"/>
        </w:rPr>
        <w:t>Juan</w:t>
      </w:r>
      <w:r>
        <w:rPr>
          <w:color w:val="231F20"/>
          <w:spacing w:val="-33"/>
          <w:w w:val="105"/>
          <w:sz w:val="21"/>
        </w:rPr>
        <w:t> </w:t>
      </w:r>
      <w:r>
        <w:rPr>
          <w:color w:val="231F20"/>
          <w:w w:val="105"/>
          <w:sz w:val="21"/>
        </w:rPr>
        <w:t>Granica</w:t>
      </w:r>
      <w:r>
        <w:rPr>
          <w:color w:val="231F20"/>
          <w:spacing w:val="-33"/>
          <w:w w:val="105"/>
          <w:sz w:val="21"/>
        </w:rPr>
        <w:t> </w:t>
      </w:r>
      <w:r>
        <w:rPr>
          <w:color w:val="231F20"/>
          <w:w w:val="105"/>
          <w:sz w:val="21"/>
        </w:rPr>
        <w:t>y</w:t>
      </w:r>
      <w:r>
        <w:rPr>
          <w:color w:val="231F20"/>
          <w:spacing w:val="-35"/>
          <w:w w:val="105"/>
          <w:sz w:val="21"/>
        </w:rPr>
        <w:t> </w:t>
      </w:r>
      <w:r>
        <w:rPr>
          <w:color w:val="231F20"/>
          <w:w w:val="105"/>
          <w:sz w:val="21"/>
        </w:rPr>
        <w:t>Javier</w:t>
      </w:r>
      <w:r>
        <w:rPr>
          <w:color w:val="231F20"/>
          <w:spacing w:val="-35"/>
          <w:w w:val="105"/>
          <w:sz w:val="21"/>
        </w:rPr>
        <w:t> </w:t>
      </w:r>
      <w:r>
        <w:rPr>
          <w:color w:val="231F20"/>
          <w:w w:val="105"/>
          <w:sz w:val="21"/>
        </w:rPr>
        <w:t>Vergara.</w:t>
      </w:r>
    </w:p>
    <w:p>
      <w:pPr>
        <w:pStyle w:val="BodyText"/>
        <w:spacing w:line="259" w:lineRule="auto"/>
        <w:ind w:left="854" w:right="122" w:hanging="738"/>
        <w:jc w:val="both"/>
      </w:pPr>
      <w:r>
        <w:rPr>
          <w:color w:val="231F20"/>
          <w:w w:val="105"/>
        </w:rPr>
        <w:t>Sobrino,</w:t>
      </w:r>
      <w:r>
        <w:rPr>
          <w:color w:val="231F20"/>
          <w:spacing w:val="-25"/>
          <w:w w:val="105"/>
        </w:rPr>
        <w:t> </w:t>
      </w:r>
      <w:r>
        <w:rPr>
          <w:color w:val="231F20"/>
          <w:w w:val="105"/>
        </w:rPr>
        <w:t>J.</w:t>
      </w:r>
      <w:r>
        <w:rPr>
          <w:color w:val="231F20"/>
          <w:spacing w:val="-23"/>
          <w:w w:val="105"/>
        </w:rPr>
        <w:t> </w:t>
      </w:r>
      <w:r>
        <w:rPr>
          <w:color w:val="231F20"/>
          <w:w w:val="105"/>
        </w:rPr>
        <w:t>(2002).</w:t>
      </w:r>
      <w:r>
        <w:rPr>
          <w:color w:val="231F20"/>
          <w:spacing w:val="-23"/>
          <w:w w:val="105"/>
        </w:rPr>
        <w:t> </w:t>
      </w:r>
      <w:r>
        <w:rPr>
          <w:color w:val="231F20"/>
          <w:w w:val="105"/>
        </w:rPr>
        <w:t>“Competitividad</w:t>
      </w:r>
      <w:r>
        <w:rPr>
          <w:color w:val="231F20"/>
          <w:spacing w:val="-18"/>
          <w:w w:val="105"/>
        </w:rPr>
        <w:t> </w:t>
      </w:r>
      <w:r>
        <w:rPr>
          <w:color w:val="231F20"/>
          <w:w w:val="105"/>
        </w:rPr>
        <w:t>y</w:t>
      </w:r>
      <w:r>
        <w:rPr>
          <w:color w:val="231F20"/>
          <w:spacing w:val="-18"/>
          <w:w w:val="105"/>
        </w:rPr>
        <w:t> </w:t>
      </w:r>
      <w:r>
        <w:rPr>
          <w:color w:val="231F20"/>
          <w:w w:val="105"/>
        </w:rPr>
        <w:t>ventajas</w:t>
      </w:r>
      <w:r>
        <w:rPr>
          <w:color w:val="231F20"/>
          <w:spacing w:val="-18"/>
          <w:w w:val="105"/>
        </w:rPr>
        <w:t> </w:t>
      </w:r>
      <w:r>
        <w:rPr>
          <w:color w:val="231F20"/>
          <w:w w:val="105"/>
        </w:rPr>
        <w:t>competitivas:</w:t>
      </w:r>
      <w:r>
        <w:rPr>
          <w:color w:val="231F20"/>
          <w:spacing w:val="-18"/>
          <w:w w:val="105"/>
        </w:rPr>
        <w:t> </w:t>
      </w:r>
      <w:r>
        <w:rPr>
          <w:color w:val="231F20"/>
          <w:w w:val="105"/>
        </w:rPr>
        <w:t>revisión</w:t>
      </w:r>
      <w:r>
        <w:rPr>
          <w:color w:val="231F20"/>
          <w:spacing w:val="-18"/>
          <w:w w:val="105"/>
        </w:rPr>
        <w:t> </w:t>
      </w:r>
      <w:r>
        <w:rPr>
          <w:color w:val="231F20"/>
          <w:w w:val="105"/>
        </w:rPr>
        <w:t>teó- rica</w:t>
      </w:r>
      <w:r>
        <w:rPr>
          <w:color w:val="231F20"/>
          <w:spacing w:val="-8"/>
          <w:w w:val="105"/>
        </w:rPr>
        <w:t> </w:t>
      </w:r>
      <w:r>
        <w:rPr>
          <w:color w:val="231F20"/>
          <w:w w:val="105"/>
        </w:rPr>
        <w:t>y</w:t>
      </w:r>
      <w:r>
        <w:rPr>
          <w:color w:val="231F20"/>
          <w:spacing w:val="-8"/>
          <w:w w:val="105"/>
        </w:rPr>
        <w:t> </w:t>
      </w:r>
      <w:r>
        <w:rPr>
          <w:color w:val="231F20"/>
          <w:w w:val="105"/>
        </w:rPr>
        <w:t>ejercicio</w:t>
      </w:r>
      <w:r>
        <w:rPr>
          <w:color w:val="231F20"/>
          <w:spacing w:val="-8"/>
          <w:w w:val="105"/>
        </w:rPr>
        <w:t> </w:t>
      </w:r>
      <w:r>
        <w:rPr>
          <w:color w:val="231F20"/>
          <w:w w:val="105"/>
        </w:rPr>
        <w:t>de</w:t>
      </w:r>
      <w:r>
        <w:rPr>
          <w:color w:val="231F20"/>
          <w:spacing w:val="-8"/>
          <w:w w:val="105"/>
        </w:rPr>
        <w:t> </w:t>
      </w:r>
      <w:r>
        <w:rPr>
          <w:color w:val="231F20"/>
          <w:w w:val="105"/>
        </w:rPr>
        <w:t>aplicación</w:t>
      </w:r>
      <w:r>
        <w:rPr>
          <w:color w:val="231F20"/>
          <w:spacing w:val="-8"/>
          <w:w w:val="105"/>
        </w:rPr>
        <w:t> </w:t>
      </w:r>
      <w:r>
        <w:rPr>
          <w:color w:val="231F20"/>
          <w:w w:val="105"/>
        </w:rPr>
        <w:t>a</w:t>
      </w:r>
      <w:r>
        <w:rPr>
          <w:color w:val="231F20"/>
          <w:spacing w:val="-8"/>
          <w:w w:val="105"/>
        </w:rPr>
        <w:t> </w:t>
      </w:r>
      <w:r>
        <w:rPr>
          <w:color w:val="231F20"/>
          <w:w w:val="105"/>
        </w:rPr>
        <w:t>30</w:t>
      </w:r>
      <w:r>
        <w:rPr>
          <w:color w:val="231F20"/>
          <w:spacing w:val="-8"/>
          <w:w w:val="105"/>
        </w:rPr>
        <w:t> </w:t>
      </w:r>
      <w:r>
        <w:rPr>
          <w:color w:val="231F20"/>
          <w:w w:val="105"/>
        </w:rPr>
        <w:t>ciudades</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8"/>
          <w:w w:val="105"/>
        </w:rPr>
        <w:t> </w:t>
      </w:r>
      <w:r>
        <w:rPr>
          <w:color w:val="231F20"/>
          <w:w w:val="105"/>
        </w:rPr>
        <w:t>en:</w:t>
      </w:r>
      <w:r>
        <w:rPr>
          <w:color w:val="231F20"/>
          <w:spacing w:val="-8"/>
          <w:w w:val="105"/>
        </w:rPr>
        <w:t> </w:t>
      </w:r>
      <w:r>
        <w:rPr>
          <w:i/>
          <w:color w:val="231F20"/>
          <w:w w:val="105"/>
        </w:rPr>
        <w:t>Estu- </w:t>
      </w:r>
      <w:r>
        <w:rPr>
          <w:i/>
          <w:color w:val="231F20"/>
          <w:w w:val="105"/>
        </w:rPr>
        <w:t>dios</w:t>
      </w:r>
      <w:r>
        <w:rPr>
          <w:i/>
          <w:color w:val="231F20"/>
          <w:spacing w:val="-27"/>
          <w:w w:val="105"/>
        </w:rPr>
        <w:t> </w:t>
      </w:r>
      <w:r>
        <w:rPr>
          <w:i/>
          <w:color w:val="231F20"/>
          <w:w w:val="105"/>
        </w:rPr>
        <w:t>demográficos</w:t>
      </w:r>
      <w:r>
        <w:rPr>
          <w:i/>
          <w:color w:val="231F20"/>
          <w:spacing w:val="-27"/>
          <w:w w:val="105"/>
        </w:rPr>
        <w:t> </w:t>
      </w:r>
      <w:r>
        <w:rPr>
          <w:i/>
          <w:color w:val="231F20"/>
          <w:w w:val="105"/>
        </w:rPr>
        <w:t>y</w:t>
      </w:r>
      <w:r>
        <w:rPr>
          <w:i/>
          <w:color w:val="231F20"/>
          <w:spacing w:val="-27"/>
          <w:w w:val="105"/>
        </w:rPr>
        <w:t> </w:t>
      </w:r>
      <w:r>
        <w:rPr>
          <w:i/>
          <w:color w:val="231F20"/>
          <w:w w:val="105"/>
        </w:rPr>
        <w:t>urbanos</w:t>
      </w:r>
      <w:r>
        <w:rPr>
          <w:color w:val="231F20"/>
          <w:w w:val="105"/>
        </w:rPr>
        <w:t>.</w:t>
      </w:r>
      <w:r>
        <w:rPr>
          <w:color w:val="231F20"/>
          <w:spacing w:val="-34"/>
          <w:w w:val="105"/>
        </w:rPr>
        <w:t> </w:t>
      </w:r>
      <w:r>
        <w:rPr>
          <w:color w:val="231F20"/>
          <w:w w:val="105"/>
        </w:rPr>
        <w:t>Volumen</w:t>
      </w:r>
      <w:r>
        <w:rPr>
          <w:color w:val="231F20"/>
          <w:spacing w:val="-27"/>
          <w:w w:val="105"/>
        </w:rPr>
        <w:t> </w:t>
      </w:r>
      <w:r>
        <w:rPr>
          <w:color w:val="231F20"/>
          <w:w w:val="105"/>
        </w:rPr>
        <w:t>17</w:t>
      </w:r>
      <w:r>
        <w:rPr>
          <w:color w:val="231F20"/>
          <w:spacing w:val="-27"/>
          <w:w w:val="105"/>
        </w:rPr>
        <w:t> </w:t>
      </w:r>
      <w:r>
        <w:rPr>
          <w:color w:val="231F20"/>
          <w:w w:val="105"/>
        </w:rPr>
        <w:t>número</w:t>
      </w:r>
      <w:r>
        <w:rPr>
          <w:color w:val="231F20"/>
          <w:spacing w:val="-27"/>
          <w:w w:val="105"/>
        </w:rPr>
        <w:t> </w:t>
      </w:r>
      <w:r>
        <w:rPr>
          <w:color w:val="231F20"/>
          <w:w w:val="105"/>
        </w:rPr>
        <w:t>2,</w:t>
      </w:r>
      <w:r>
        <w:rPr>
          <w:color w:val="231F20"/>
          <w:spacing w:val="-31"/>
          <w:w w:val="105"/>
        </w:rPr>
        <w:t> </w:t>
      </w:r>
      <w:r>
        <w:rPr>
          <w:color w:val="231F20"/>
          <w:w w:val="105"/>
        </w:rPr>
        <w:t>mayo-agos- to</w:t>
      </w:r>
      <w:r>
        <w:rPr>
          <w:color w:val="231F20"/>
          <w:spacing w:val="-18"/>
          <w:w w:val="105"/>
        </w:rPr>
        <w:t> </w:t>
      </w:r>
      <w:r>
        <w:rPr>
          <w:color w:val="231F20"/>
          <w:w w:val="105"/>
        </w:rPr>
        <w:t>2002</w:t>
      </w:r>
      <w:r>
        <w:rPr>
          <w:color w:val="231F20"/>
          <w:spacing w:val="-18"/>
          <w:w w:val="105"/>
        </w:rPr>
        <w:t> </w:t>
      </w:r>
      <w:r>
        <w:rPr>
          <w:color w:val="231F20"/>
          <w:w w:val="105"/>
        </w:rPr>
        <w:t>páginas</w:t>
      </w:r>
      <w:r>
        <w:rPr>
          <w:color w:val="231F20"/>
          <w:spacing w:val="-18"/>
          <w:w w:val="105"/>
        </w:rPr>
        <w:t> </w:t>
      </w:r>
      <w:r>
        <w:rPr>
          <w:color w:val="231F20"/>
          <w:w w:val="105"/>
        </w:rPr>
        <w:t>311-361.</w:t>
      </w:r>
    </w:p>
    <w:p>
      <w:pPr>
        <w:spacing w:line="259" w:lineRule="auto" w:before="0"/>
        <w:ind w:left="854" w:right="115" w:hanging="738"/>
        <w:jc w:val="both"/>
        <w:rPr>
          <w:sz w:val="21"/>
        </w:rPr>
      </w:pPr>
      <w:r>
        <w:rPr>
          <w:color w:val="231F20"/>
          <w:spacing w:val="-3"/>
          <w:sz w:val="21"/>
        </w:rPr>
        <w:t>Trullén </w:t>
      </w:r>
      <w:r>
        <w:rPr>
          <w:color w:val="231F20"/>
          <w:sz w:val="21"/>
        </w:rPr>
        <w:t>J, Lladós J. y Boix R. (2002): </w:t>
      </w:r>
      <w:r>
        <w:rPr>
          <w:i/>
          <w:color w:val="231F20"/>
          <w:sz w:val="21"/>
        </w:rPr>
        <w:t>Economía del conocimiento, ciudad   </w:t>
      </w:r>
      <w:r>
        <w:rPr>
          <w:i/>
          <w:color w:val="231F20"/>
          <w:sz w:val="21"/>
        </w:rPr>
        <w:t>y competitividad. </w:t>
      </w:r>
      <w:r>
        <w:rPr>
          <w:color w:val="231F20"/>
          <w:sz w:val="21"/>
        </w:rPr>
        <w:t>Investigaciones regionales, otoño, número 001. Asociación española de ciencia regional. Alcalá de henares, Es- paña pp</w:t>
      </w:r>
      <w:r>
        <w:rPr>
          <w:color w:val="231F20"/>
          <w:spacing w:val="57"/>
          <w:sz w:val="21"/>
        </w:rPr>
        <w:t> </w:t>
      </w:r>
      <w:r>
        <w:rPr>
          <w:color w:val="231F20"/>
          <w:sz w:val="21"/>
        </w:rPr>
        <w:t>139-161.</w:t>
      </w:r>
    </w:p>
    <w:p>
      <w:pPr>
        <w:spacing w:line="259" w:lineRule="auto" w:before="0"/>
        <w:ind w:left="854" w:right="122" w:hanging="738"/>
        <w:jc w:val="both"/>
        <w:rPr>
          <w:sz w:val="21"/>
        </w:rPr>
      </w:pPr>
      <w:r>
        <w:rPr>
          <w:color w:val="231F20"/>
          <w:w w:val="105"/>
          <w:sz w:val="21"/>
        </w:rPr>
        <w:t>Villarreal</w:t>
      </w:r>
      <w:r>
        <w:rPr>
          <w:color w:val="231F20"/>
          <w:spacing w:val="-14"/>
          <w:w w:val="105"/>
          <w:sz w:val="21"/>
        </w:rPr>
        <w:t> </w:t>
      </w:r>
      <w:r>
        <w:rPr>
          <w:color w:val="231F20"/>
          <w:w w:val="105"/>
          <w:sz w:val="21"/>
        </w:rPr>
        <w:t>R.</w:t>
      </w:r>
      <w:r>
        <w:rPr>
          <w:color w:val="231F20"/>
          <w:spacing w:val="-18"/>
          <w:w w:val="105"/>
          <w:sz w:val="21"/>
        </w:rPr>
        <w:t> </w:t>
      </w:r>
      <w:r>
        <w:rPr>
          <w:color w:val="231F20"/>
          <w:w w:val="105"/>
          <w:sz w:val="21"/>
        </w:rPr>
        <w:t>(2007).</w:t>
      </w:r>
      <w:r>
        <w:rPr>
          <w:color w:val="231F20"/>
          <w:spacing w:val="-18"/>
          <w:w w:val="105"/>
          <w:sz w:val="21"/>
        </w:rPr>
        <w:t> </w:t>
      </w:r>
      <w:r>
        <w:rPr>
          <w:color w:val="231F20"/>
          <w:w w:val="105"/>
          <w:sz w:val="21"/>
        </w:rPr>
        <w:t>El</w:t>
      </w:r>
      <w:r>
        <w:rPr>
          <w:color w:val="231F20"/>
          <w:spacing w:val="-14"/>
          <w:w w:val="105"/>
          <w:sz w:val="21"/>
        </w:rPr>
        <w:t> </w:t>
      </w:r>
      <w:r>
        <w:rPr>
          <w:color w:val="231F20"/>
          <w:w w:val="105"/>
          <w:sz w:val="21"/>
        </w:rPr>
        <w:t>paradigma</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competitividad</w:t>
      </w:r>
      <w:r>
        <w:rPr>
          <w:color w:val="231F20"/>
          <w:spacing w:val="-14"/>
          <w:w w:val="105"/>
          <w:sz w:val="21"/>
        </w:rPr>
        <w:t> </w:t>
      </w:r>
      <w:r>
        <w:rPr>
          <w:color w:val="231F20"/>
          <w:w w:val="105"/>
          <w:sz w:val="21"/>
        </w:rPr>
        <w:t>sistémica.</w:t>
      </w:r>
      <w:r>
        <w:rPr>
          <w:color w:val="231F20"/>
          <w:spacing w:val="-18"/>
          <w:w w:val="105"/>
          <w:sz w:val="21"/>
        </w:rPr>
        <w:t> </w:t>
      </w:r>
      <w:r>
        <w:rPr>
          <w:color w:val="231F20"/>
          <w:w w:val="105"/>
          <w:sz w:val="21"/>
        </w:rPr>
        <w:t>En</w:t>
      </w:r>
      <w:r>
        <w:rPr>
          <w:color w:val="231F20"/>
          <w:spacing w:val="-15"/>
          <w:w w:val="105"/>
          <w:sz w:val="21"/>
        </w:rPr>
        <w:t> </w:t>
      </w:r>
      <w:r>
        <w:rPr>
          <w:color w:val="231F20"/>
          <w:w w:val="105"/>
          <w:sz w:val="21"/>
        </w:rPr>
        <w:t>J.L. Calva</w:t>
      </w:r>
      <w:r>
        <w:rPr>
          <w:color w:val="231F20"/>
          <w:spacing w:val="-41"/>
          <w:w w:val="105"/>
          <w:sz w:val="21"/>
        </w:rPr>
        <w:t> </w:t>
      </w:r>
      <w:r>
        <w:rPr>
          <w:color w:val="231F20"/>
          <w:w w:val="105"/>
          <w:sz w:val="21"/>
        </w:rPr>
        <w:t>(Ed.)</w:t>
      </w:r>
      <w:r>
        <w:rPr>
          <w:color w:val="231F20"/>
          <w:spacing w:val="-41"/>
          <w:w w:val="105"/>
          <w:sz w:val="21"/>
        </w:rPr>
        <w:t> </w:t>
      </w:r>
      <w:r>
        <w:rPr>
          <w:i/>
          <w:color w:val="231F20"/>
          <w:w w:val="105"/>
          <w:sz w:val="21"/>
        </w:rPr>
        <w:t>Educación,</w:t>
      </w:r>
      <w:r>
        <w:rPr>
          <w:i/>
          <w:color w:val="231F20"/>
          <w:spacing w:val="-44"/>
          <w:w w:val="105"/>
          <w:sz w:val="21"/>
        </w:rPr>
        <w:t> </w:t>
      </w:r>
      <w:r>
        <w:rPr>
          <w:i/>
          <w:color w:val="231F20"/>
          <w:w w:val="105"/>
          <w:sz w:val="21"/>
        </w:rPr>
        <w:t>ciencia,</w:t>
      </w:r>
      <w:r>
        <w:rPr>
          <w:i/>
          <w:color w:val="231F20"/>
          <w:spacing w:val="-44"/>
          <w:w w:val="105"/>
          <w:sz w:val="21"/>
        </w:rPr>
        <w:t> </w:t>
      </w:r>
      <w:r>
        <w:rPr>
          <w:i/>
          <w:color w:val="231F20"/>
          <w:w w:val="105"/>
          <w:sz w:val="21"/>
        </w:rPr>
        <w:t>tecnología</w:t>
      </w:r>
      <w:r>
        <w:rPr>
          <w:i/>
          <w:color w:val="231F20"/>
          <w:spacing w:val="-41"/>
          <w:w w:val="105"/>
          <w:sz w:val="21"/>
        </w:rPr>
        <w:t> </w:t>
      </w:r>
      <w:r>
        <w:rPr>
          <w:i/>
          <w:color w:val="231F20"/>
          <w:w w:val="105"/>
          <w:sz w:val="21"/>
        </w:rPr>
        <w:t>y</w:t>
      </w:r>
      <w:r>
        <w:rPr>
          <w:i/>
          <w:color w:val="231F20"/>
          <w:spacing w:val="-41"/>
          <w:w w:val="105"/>
          <w:sz w:val="21"/>
        </w:rPr>
        <w:t> </w:t>
      </w:r>
      <w:r>
        <w:rPr>
          <w:i/>
          <w:color w:val="231F20"/>
          <w:w w:val="105"/>
          <w:sz w:val="21"/>
        </w:rPr>
        <w:t>competitividad,</w:t>
      </w:r>
      <w:r>
        <w:rPr>
          <w:i/>
          <w:color w:val="231F20"/>
          <w:spacing w:val="-44"/>
          <w:w w:val="105"/>
          <w:sz w:val="21"/>
        </w:rPr>
        <w:t> </w:t>
      </w:r>
      <w:r>
        <w:rPr>
          <w:i/>
          <w:color w:val="231F20"/>
          <w:w w:val="105"/>
          <w:sz w:val="21"/>
        </w:rPr>
        <w:t>agen- </w:t>
      </w:r>
      <w:r>
        <w:rPr>
          <w:i/>
          <w:color w:val="231F20"/>
          <w:w w:val="105"/>
          <w:sz w:val="21"/>
        </w:rPr>
        <w:t>da</w:t>
      </w:r>
      <w:r>
        <w:rPr>
          <w:i/>
          <w:color w:val="231F20"/>
          <w:spacing w:val="-20"/>
          <w:w w:val="105"/>
          <w:sz w:val="21"/>
        </w:rPr>
        <w:t> </w:t>
      </w:r>
      <w:r>
        <w:rPr>
          <w:i/>
          <w:color w:val="231F20"/>
          <w:w w:val="105"/>
          <w:sz w:val="21"/>
        </w:rPr>
        <w:t>para</w:t>
      </w:r>
      <w:r>
        <w:rPr>
          <w:i/>
          <w:color w:val="231F20"/>
          <w:spacing w:val="-20"/>
          <w:w w:val="105"/>
          <w:sz w:val="21"/>
        </w:rPr>
        <w:t> </w:t>
      </w:r>
      <w:r>
        <w:rPr>
          <w:i/>
          <w:color w:val="231F20"/>
          <w:w w:val="105"/>
          <w:sz w:val="21"/>
        </w:rPr>
        <w:t>el</w:t>
      </w:r>
      <w:r>
        <w:rPr>
          <w:i/>
          <w:color w:val="231F20"/>
          <w:spacing w:val="-20"/>
          <w:w w:val="105"/>
          <w:sz w:val="21"/>
        </w:rPr>
        <w:t> </w:t>
      </w:r>
      <w:r>
        <w:rPr>
          <w:i/>
          <w:color w:val="231F20"/>
          <w:w w:val="105"/>
          <w:sz w:val="21"/>
        </w:rPr>
        <w:t>desarrollo</w:t>
      </w:r>
      <w:r>
        <w:rPr>
          <w:color w:val="231F20"/>
          <w:w w:val="105"/>
          <w:sz w:val="21"/>
        </w:rPr>
        <w:t>;</w:t>
      </w:r>
      <w:r>
        <w:rPr>
          <w:color w:val="231F20"/>
          <w:spacing w:val="-20"/>
          <w:w w:val="105"/>
          <w:sz w:val="21"/>
        </w:rPr>
        <w:t> </w:t>
      </w:r>
      <w:r>
        <w:rPr>
          <w:color w:val="231F20"/>
          <w:w w:val="105"/>
          <w:sz w:val="21"/>
        </w:rPr>
        <w:t>UNAM,</w:t>
      </w:r>
      <w:r>
        <w:rPr>
          <w:color w:val="231F20"/>
          <w:spacing w:val="-26"/>
          <w:w w:val="105"/>
          <w:sz w:val="21"/>
        </w:rPr>
        <w:t> </w:t>
      </w:r>
      <w:r>
        <w:rPr>
          <w:color w:val="231F20"/>
          <w:w w:val="105"/>
          <w:sz w:val="21"/>
        </w:rPr>
        <w:t>Miguel</w:t>
      </w:r>
      <w:r>
        <w:rPr>
          <w:color w:val="231F20"/>
          <w:spacing w:val="-23"/>
          <w:w w:val="105"/>
          <w:sz w:val="21"/>
        </w:rPr>
        <w:t> </w:t>
      </w:r>
      <w:r>
        <w:rPr>
          <w:color w:val="231F20"/>
          <w:w w:val="105"/>
          <w:sz w:val="21"/>
        </w:rPr>
        <w:t>Ángel</w:t>
      </w:r>
      <w:r>
        <w:rPr>
          <w:color w:val="231F20"/>
          <w:spacing w:val="-20"/>
          <w:w w:val="105"/>
          <w:sz w:val="21"/>
        </w:rPr>
        <w:t> </w:t>
      </w:r>
      <w:r>
        <w:rPr>
          <w:color w:val="231F20"/>
          <w:spacing w:val="-3"/>
          <w:w w:val="105"/>
          <w:sz w:val="21"/>
        </w:rPr>
        <w:t>Porrúa.</w:t>
      </w:r>
      <w:r>
        <w:rPr>
          <w:color w:val="231F20"/>
          <w:spacing w:val="-26"/>
          <w:w w:val="105"/>
          <w:sz w:val="21"/>
        </w:rPr>
        <w:t> </w:t>
      </w:r>
      <w:r>
        <w:rPr>
          <w:color w:val="231F20"/>
          <w:w w:val="105"/>
          <w:sz w:val="21"/>
        </w:rPr>
        <w:t>México,</w:t>
      </w:r>
      <w:r>
        <w:rPr>
          <w:color w:val="231F20"/>
          <w:spacing w:val="-26"/>
          <w:w w:val="105"/>
          <w:sz w:val="21"/>
        </w:rPr>
        <w:t> </w:t>
      </w:r>
      <w:r>
        <w:rPr>
          <w:color w:val="231F20"/>
          <w:spacing w:val="-8"/>
          <w:w w:val="105"/>
          <w:sz w:val="21"/>
        </w:rPr>
        <w:t>D.F.</w:t>
      </w:r>
    </w:p>
    <w:p>
      <w:pPr>
        <w:spacing w:line="259" w:lineRule="auto" w:before="0"/>
        <w:ind w:left="854" w:right="121" w:hanging="738"/>
        <w:jc w:val="both"/>
        <w:rPr>
          <w:sz w:val="21"/>
        </w:rPr>
      </w:pPr>
      <w:r>
        <w:rPr>
          <w:color w:val="231F20"/>
          <w:sz w:val="21"/>
        </w:rPr>
        <w:t>Watkins, K.E. y Marsick, V. J. (1993). Sculpting the learning organization: lessons </w:t>
      </w:r>
      <w:r>
        <w:rPr>
          <w:i/>
          <w:color w:val="231F20"/>
          <w:sz w:val="21"/>
        </w:rPr>
        <w:t>in the art and science of systemic change</w:t>
      </w:r>
      <w:r>
        <w:rPr>
          <w:color w:val="231F20"/>
          <w:sz w:val="21"/>
        </w:rPr>
        <w:t>. San Francisco: Jossey-Bass.</w:t>
      </w:r>
    </w:p>
    <w:p>
      <w:pPr>
        <w:spacing w:line="259" w:lineRule="auto" w:before="0"/>
        <w:ind w:left="854" w:right="122" w:hanging="738"/>
        <w:jc w:val="both"/>
        <w:rPr>
          <w:sz w:val="21"/>
        </w:rPr>
      </w:pPr>
      <w:r>
        <w:rPr>
          <w:color w:val="231F20"/>
          <w:w w:val="105"/>
          <w:sz w:val="21"/>
        </w:rPr>
        <w:t>Wikström,</w:t>
      </w:r>
      <w:r>
        <w:rPr>
          <w:color w:val="231F20"/>
          <w:spacing w:val="-18"/>
          <w:w w:val="105"/>
          <w:sz w:val="21"/>
        </w:rPr>
        <w:t> </w:t>
      </w:r>
      <w:r>
        <w:rPr>
          <w:color w:val="231F20"/>
          <w:w w:val="105"/>
          <w:sz w:val="21"/>
        </w:rPr>
        <w:t>S.</w:t>
      </w:r>
      <w:r>
        <w:rPr>
          <w:color w:val="231F20"/>
          <w:spacing w:val="-18"/>
          <w:w w:val="105"/>
          <w:sz w:val="21"/>
        </w:rPr>
        <w:t> </w:t>
      </w:r>
      <w:r>
        <w:rPr>
          <w:color w:val="231F20"/>
          <w:w w:val="105"/>
          <w:sz w:val="21"/>
        </w:rPr>
        <w:t>y</w:t>
      </w:r>
      <w:r>
        <w:rPr>
          <w:color w:val="231F20"/>
          <w:spacing w:val="-13"/>
          <w:w w:val="105"/>
          <w:sz w:val="21"/>
        </w:rPr>
        <w:t> </w:t>
      </w:r>
      <w:r>
        <w:rPr>
          <w:color w:val="231F20"/>
          <w:w w:val="105"/>
          <w:sz w:val="21"/>
        </w:rPr>
        <w:t>Norman</w:t>
      </w:r>
      <w:r>
        <w:rPr>
          <w:color w:val="231F20"/>
          <w:spacing w:val="-13"/>
          <w:w w:val="105"/>
          <w:sz w:val="21"/>
        </w:rPr>
        <w:t> </w:t>
      </w:r>
      <w:r>
        <w:rPr>
          <w:color w:val="231F20"/>
          <w:w w:val="105"/>
          <w:sz w:val="21"/>
        </w:rPr>
        <w:t>R.</w:t>
      </w:r>
      <w:r>
        <w:rPr>
          <w:color w:val="231F20"/>
          <w:spacing w:val="-18"/>
          <w:w w:val="105"/>
          <w:sz w:val="21"/>
        </w:rPr>
        <w:t> </w:t>
      </w:r>
      <w:r>
        <w:rPr>
          <w:color w:val="231F20"/>
          <w:w w:val="105"/>
          <w:sz w:val="21"/>
        </w:rPr>
        <w:t>(1994)</w:t>
      </w:r>
      <w:r>
        <w:rPr>
          <w:color w:val="231F20"/>
          <w:spacing w:val="-13"/>
          <w:w w:val="105"/>
          <w:sz w:val="21"/>
        </w:rPr>
        <w:t> </w:t>
      </w:r>
      <w:r>
        <w:rPr>
          <w:color w:val="231F20"/>
          <w:w w:val="105"/>
          <w:sz w:val="21"/>
        </w:rPr>
        <w:t>Knowledge</w:t>
      </w:r>
      <w:r>
        <w:rPr>
          <w:color w:val="231F20"/>
          <w:spacing w:val="-13"/>
          <w:w w:val="105"/>
          <w:sz w:val="21"/>
        </w:rPr>
        <w:t> </w:t>
      </w:r>
      <w:r>
        <w:rPr>
          <w:color w:val="231F20"/>
          <w:w w:val="105"/>
          <w:sz w:val="21"/>
        </w:rPr>
        <w:t>and</w:t>
      </w:r>
      <w:r>
        <w:rPr>
          <w:color w:val="231F20"/>
          <w:spacing w:val="-13"/>
          <w:w w:val="105"/>
          <w:sz w:val="21"/>
        </w:rPr>
        <w:t> </w:t>
      </w:r>
      <w:r>
        <w:rPr>
          <w:color w:val="231F20"/>
          <w:w w:val="105"/>
          <w:sz w:val="21"/>
        </w:rPr>
        <w:t>value.</w:t>
      </w:r>
      <w:r>
        <w:rPr>
          <w:color w:val="231F20"/>
          <w:spacing w:val="-18"/>
          <w:w w:val="105"/>
          <w:sz w:val="21"/>
        </w:rPr>
        <w:t> </w:t>
      </w:r>
      <w:r>
        <w:rPr>
          <w:i/>
          <w:color w:val="231F20"/>
          <w:w w:val="105"/>
          <w:sz w:val="21"/>
        </w:rPr>
        <w:t>A</w:t>
      </w:r>
      <w:r>
        <w:rPr>
          <w:i/>
          <w:color w:val="231F20"/>
          <w:spacing w:val="-16"/>
          <w:w w:val="105"/>
          <w:sz w:val="21"/>
        </w:rPr>
        <w:t> </w:t>
      </w:r>
      <w:r>
        <w:rPr>
          <w:i/>
          <w:color w:val="231F20"/>
          <w:w w:val="105"/>
          <w:sz w:val="21"/>
        </w:rPr>
        <w:t>new</w:t>
      </w:r>
      <w:r>
        <w:rPr>
          <w:i/>
          <w:color w:val="231F20"/>
          <w:spacing w:val="-13"/>
          <w:w w:val="105"/>
          <w:sz w:val="21"/>
        </w:rPr>
        <w:t> </w:t>
      </w:r>
      <w:r>
        <w:rPr>
          <w:i/>
          <w:color w:val="231F20"/>
          <w:w w:val="105"/>
          <w:sz w:val="21"/>
        </w:rPr>
        <w:t>perspec- </w:t>
      </w:r>
      <w:r>
        <w:rPr>
          <w:i/>
          <w:color w:val="231F20"/>
          <w:w w:val="105"/>
          <w:sz w:val="21"/>
        </w:rPr>
        <w:t>tive</w:t>
      </w:r>
      <w:r>
        <w:rPr>
          <w:i/>
          <w:color w:val="231F20"/>
          <w:spacing w:val="-22"/>
          <w:w w:val="105"/>
          <w:sz w:val="21"/>
        </w:rPr>
        <w:t> </w:t>
      </w:r>
      <w:r>
        <w:rPr>
          <w:i/>
          <w:color w:val="231F20"/>
          <w:w w:val="105"/>
          <w:sz w:val="21"/>
        </w:rPr>
        <w:t>on</w:t>
      </w:r>
      <w:r>
        <w:rPr>
          <w:i/>
          <w:color w:val="231F20"/>
          <w:spacing w:val="-22"/>
          <w:w w:val="105"/>
          <w:sz w:val="21"/>
        </w:rPr>
        <w:t> </w:t>
      </w:r>
      <w:r>
        <w:rPr>
          <w:i/>
          <w:color w:val="231F20"/>
          <w:w w:val="105"/>
          <w:sz w:val="21"/>
        </w:rPr>
        <w:t>corporate</w:t>
      </w:r>
      <w:r>
        <w:rPr>
          <w:i/>
          <w:color w:val="231F20"/>
          <w:spacing w:val="-22"/>
          <w:w w:val="105"/>
          <w:sz w:val="21"/>
        </w:rPr>
        <w:t> </w:t>
      </w:r>
      <w:r>
        <w:rPr>
          <w:i/>
          <w:color w:val="231F20"/>
          <w:w w:val="105"/>
          <w:sz w:val="21"/>
        </w:rPr>
        <w:t>transformation</w:t>
      </w:r>
      <w:r>
        <w:rPr>
          <w:color w:val="231F20"/>
          <w:w w:val="105"/>
          <w:sz w:val="21"/>
        </w:rPr>
        <w:t>.</w:t>
      </w:r>
      <w:r>
        <w:rPr>
          <w:color w:val="231F20"/>
          <w:spacing w:val="-27"/>
          <w:w w:val="105"/>
          <w:sz w:val="21"/>
        </w:rPr>
        <w:t> </w:t>
      </w:r>
      <w:r>
        <w:rPr>
          <w:color w:val="231F20"/>
          <w:w w:val="105"/>
          <w:sz w:val="21"/>
        </w:rPr>
        <w:t>London:</w:t>
      </w:r>
      <w:r>
        <w:rPr>
          <w:color w:val="231F20"/>
          <w:spacing w:val="-22"/>
          <w:w w:val="105"/>
          <w:sz w:val="21"/>
        </w:rPr>
        <w:t> </w:t>
      </w:r>
      <w:r>
        <w:rPr>
          <w:color w:val="231F20"/>
          <w:w w:val="105"/>
          <w:sz w:val="21"/>
        </w:rPr>
        <w:t>Routledge.</w:t>
      </w:r>
    </w:p>
    <w:p>
      <w:pPr>
        <w:spacing w:after="0" w:line="259" w:lineRule="auto"/>
        <w:jc w:val="both"/>
        <w:rPr>
          <w:sz w:val="21"/>
        </w:rPr>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0711">
            <wp:simplePos x="0" y="0"/>
            <wp:positionH relativeFrom="page">
              <wp:posOffset>7200</wp:posOffset>
            </wp:positionH>
            <wp:positionV relativeFrom="page">
              <wp:posOffset>0</wp:posOffset>
            </wp:positionV>
            <wp:extent cx="6112802" cy="8819997"/>
            <wp:effectExtent l="0" t="0" r="0" b="0"/>
            <wp:wrapNone/>
            <wp:docPr id="23" name="image11.png" descr=""/>
            <wp:cNvGraphicFramePr>
              <a:graphicFrameLocks noChangeAspect="1"/>
            </wp:cNvGraphicFramePr>
            <a:graphic>
              <a:graphicData uri="http://schemas.openxmlformats.org/drawingml/2006/picture">
                <pic:pic>
                  <pic:nvPicPr>
                    <pic:cNvPr id="24"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9"/>
        </w:rPr>
      </w:pPr>
    </w:p>
    <w:p>
      <w:pPr>
        <w:pStyle w:val="Heading1"/>
        <w:numPr>
          <w:ilvl w:val="0"/>
          <w:numId w:val="34"/>
        </w:numPr>
        <w:tabs>
          <w:tab w:pos="638" w:val="left" w:leader="none"/>
        </w:tabs>
        <w:spacing w:line="288" w:lineRule="exact" w:before="38" w:after="0"/>
        <w:ind w:left="551" w:right="3024" w:hanging="240"/>
        <w:jc w:val="left"/>
        <w:rPr>
          <w:color w:val="FFFFFF"/>
        </w:rPr>
      </w:pPr>
      <w:r>
        <w:rPr>
          <w:color w:val="FFFFFF"/>
          <w:w w:val="105"/>
        </w:rPr>
        <w:t>DESEMPEÑO ORftANIZACIONAL Y EXCELENCIA  </w:t>
      </w:r>
      <w:r>
        <w:rPr>
          <w:color w:val="FFFFFF"/>
          <w:spacing w:val="18"/>
          <w:w w:val="105"/>
        </w:rPr>
        <w:t> </w:t>
      </w:r>
      <w:r>
        <w:rPr>
          <w:color w:val="FFFFFF"/>
          <w:spacing w:val="-3"/>
          <w:w w:val="105"/>
        </w:rPr>
        <w:t>ADMINISTRATIVA</w:t>
      </w:r>
    </w:p>
    <w:p>
      <w:pPr>
        <w:spacing w:before="2"/>
        <w:ind w:left="1876" w:right="2382" w:firstLine="0"/>
        <w:jc w:val="left"/>
        <w:rPr>
          <w:rFonts w:ascii="Calibri"/>
          <w:sz w:val="24"/>
        </w:rPr>
      </w:pPr>
      <w:r>
        <w:rPr>
          <w:rFonts w:ascii="Calibri"/>
          <w:color w:val="FFFFFF"/>
          <w:w w:val="105"/>
          <w:sz w:val="24"/>
        </w:rPr>
        <w:t>EN UNIVERSIDADES</w:t>
      </w:r>
    </w:p>
    <w:p>
      <w:pPr>
        <w:pStyle w:val="Heading3"/>
        <w:spacing w:before="120"/>
        <w:ind w:right="404"/>
      </w:pPr>
      <w:r>
        <w:rPr>
          <w:color w:val="FFFFFF"/>
        </w:rPr>
        <w:t>Felipe Machorro Ramos Patricia Mercado Salgado María Vanessa Romero  Ortiz</w:t>
      </w:r>
    </w:p>
    <w:p>
      <w:pPr>
        <w:spacing w:after="0"/>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spacing w:before="54"/>
        <w:ind w:left="117" w:right="17"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01"/>
        <w:jc w:val="both"/>
      </w:pPr>
      <w:r>
        <w:rPr/>
        <w:pict>
          <v:shape style="position:absolute;margin-left:82.667099pt;margin-top:12.923607pt;width:31.2pt;height:51pt;mso-position-horizontal-relative:page;mso-position-vertical-relative:paragraph;z-index:3208"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 autoevaluación del desempeño organizacional ha</w:t>
      </w:r>
      <w:r>
        <w:rPr>
          <w:color w:val="231F20"/>
          <w:spacing w:val="-36"/>
          <w:w w:val="105"/>
        </w:rPr>
        <w:t> </w:t>
      </w:r>
      <w:r>
        <w:rPr>
          <w:color w:val="231F20"/>
          <w:w w:val="105"/>
        </w:rPr>
        <w:t>cobrado importancia</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universidades,</w:t>
      </w:r>
      <w:r>
        <w:rPr>
          <w:color w:val="231F20"/>
          <w:spacing w:val="-20"/>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su</w:t>
      </w:r>
      <w:r>
        <w:rPr>
          <w:color w:val="231F20"/>
          <w:spacing w:val="-15"/>
          <w:w w:val="105"/>
        </w:rPr>
        <w:t> </w:t>
      </w:r>
      <w:r>
        <w:rPr>
          <w:color w:val="231F20"/>
          <w:w w:val="105"/>
        </w:rPr>
        <w:t>papel</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de- sarrollo humano y el crecimiento económico sostenible de una</w:t>
      </w:r>
      <w:r>
        <w:rPr>
          <w:color w:val="231F20"/>
          <w:spacing w:val="-10"/>
          <w:w w:val="105"/>
        </w:rPr>
        <w:t> </w:t>
      </w:r>
      <w:r>
        <w:rPr>
          <w:color w:val="231F20"/>
          <w:w w:val="105"/>
        </w:rPr>
        <w:t>sociedad</w:t>
      </w:r>
      <w:r>
        <w:rPr>
          <w:color w:val="231F20"/>
          <w:spacing w:val="-10"/>
          <w:w w:val="105"/>
        </w:rPr>
        <w:t> </w:t>
      </w:r>
      <w:r>
        <w:rPr>
          <w:color w:val="231F20"/>
          <w:w w:val="105"/>
        </w:rPr>
        <w:t>justa</w:t>
      </w:r>
      <w:r>
        <w:rPr>
          <w:color w:val="231F20"/>
          <w:spacing w:val="-10"/>
          <w:w w:val="105"/>
        </w:rPr>
        <w:t> </w:t>
      </w:r>
      <w:r>
        <w:rPr>
          <w:color w:val="231F20"/>
          <w:w w:val="105"/>
        </w:rPr>
        <w:t>y</w:t>
      </w:r>
      <w:r>
        <w:rPr>
          <w:color w:val="231F20"/>
          <w:spacing w:val="-10"/>
          <w:w w:val="105"/>
        </w:rPr>
        <w:t> </w:t>
      </w:r>
      <w:r>
        <w:rPr>
          <w:color w:val="231F20"/>
          <w:w w:val="105"/>
        </w:rPr>
        <w:t>equilibrada.</w:t>
      </w:r>
      <w:r>
        <w:rPr>
          <w:color w:val="231F20"/>
          <w:spacing w:val="-16"/>
          <w:w w:val="105"/>
        </w:rPr>
        <w:t> </w:t>
      </w:r>
      <w:r>
        <w:rPr>
          <w:color w:val="231F20"/>
          <w:w w:val="105"/>
        </w:rPr>
        <w:t>Sin</w:t>
      </w:r>
      <w:r>
        <w:rPr>
          <w:color w:val="231F20"/>
          <w:spacing w:val="-10"/>
          <w:w w:val="105"/>
        </w:rPr>
        <w:t> </w:t>
      </w:r>
      <w:r>
        <w:rPr>
          <w:color w:val="231F20"/>
          <w:w w:val="105"/>
        </w:rPr>
        <w:t>embargo,</w:t>
      </w:r>
      <w:r>
        <w:rPr>
          <w:color w:val="231F20"/>
          <w:spacing w:val="-16"/>
          <w:w w:val="105"/>
        </w:rPr>
        <w:t> </w:t>
      </w:r>
      <w:r>
        <w:rPr>
          <w:color w:val="231F20"/>
          <w:w w:val="105"/>
        </w:rPr>
        <w:t>es</w:t>
      </w:r>
      <w:r>
        <w:rPr>
          <w:color w:val="231F20"/>
          <w:spacing w:val="-10"/>
          <w:w w:val="105"/>
        </w:rPr>
        <w:t> </w:t>
      </w:r>
      <w:r>
        <w:rPr>
          <w:color w:val="231F20"/>
          <w:w w:val="105"/>
        </w:rPr>
        <w:t>poca</w:t>
      </w:r>
      <w:r>
        <w:rPr>
          <w:color w:val="231F20"/>
          <w:spacing w:val="-10"/>
          <w:w w:val="105"/>
        </w:rPr>
        <w:t> </w:t>
      </w:r>
      <w:r>
        <w:rPr>
          <w:color w:val="231F20"/>
          <w:w w:val="105"/>
        </w:rPr>
        <w:t>la</w:t>
      </w:r>
      <w:r>
        <w:rPr>
          <w:color w:val="231F20"/>
          <w:spacing w:val="-10"/>
          <w:w w:val="105"/>
        </w:rPr>
        <w:t> </w:t>
      </w:r>
      <w:r>
        <w:rPr>
          <w:color w:val="231F20"/>
          <w:w w:val="105"/>
        </w:rPr>
        <w:t>in- formación</w:t>
      </w:r>
      <w:r>
        <w:rPr>
          <w:color w:val="231F20"/>
          <w:spacing w:val="-10"/>
          <w:w w:val="105"/>
        </w:rPr>
        <w:t> </w:t>
      </w:r>
      <w:r>
        <w:rPr>
          <w:color w:val="231F20"/>
          <w:w w:val="105"/>
        </w:rPr>
        <w:t>que</w:t>
      </w:r>
      <w:r>
        <w:rPr>
          <w:color w:val="231F20"/>
          <w:spacing w:val="-10"/>
          <w:w w:val="105"/>
        </w:rPr>
        <w:t> </w:t>
      </w:r>
      <w:r>
        <w:rPr>
          <w:color w:val="231F20"/>
          <w:w w:val="105"/>
        </w:rPr>
        <w:t>existe</w:t>
      </w:r>
      <w:r>
        <w:rPr>
          <w:color w:val="231F20"/>
          <w:spacing w:val="-10"/>
          <w:w w:val="105"/>
        </w:rPr>
        <w:t> </w:t>
      </w:r>
      <w:r>
        <w:rPr>
          <w:color w:val="231F20"/>
          <w:w w:val="105"/>
        </w:rPr>
        <w:t>en</w:t>
      </w:r>
      <w:r>
        <w:rPr>
          <w:color w:val="231F20"/>
          <w:spacing w:val="-10"/>
          <w:w w:val="105"/>
        </w:rPr>
        <w:t> </w:t>
      </w:r>
      <w:r>
        <w:rPr>
          <w:color w:val="231F20"/>
          <w:w w:val="105"/>
        </w:rPr>
        <w:t>cuanto</w:t>
      </w:r>
      <w:r>
        <w:rPr>
          <w:color w:val="231F20"/>
          <w:spacing w:val="-10"/>
          <w:w w:val="105"/>
        </w:rPr>
        <w:t> </w:t>
      </w:r>
      <w:r>
        <w:rPr>
          <w:color w:val="231F20"/>
          <w:w w:val="105"/>
        </w:rPr>
        <w:t>al</w:t>
      </w:r>
      <w:r>
        <w:rPr>
          <w:color w:val="231F20"/>
          <w:spacing w:val="-10"/>
          <w:w w:val="105"/>
        </w:rPr>
        <w:t> </w:t>
      </w:r>
      <w:r>
        <w:rPr>
          <w:color w:val="231F20"/>
          <w:w w:val="105"/>
        </w:rPr>
        <w:t>sustento</w:t>
      </w:r>
      <w:r>
        <w:rPr>
          <w:color w:val="231F20"/>
          <w:spacing w:val="-10"/>
          <w:w w:val="105"/>
        </w:rPr>
        <w:t> </w:t>
      </w:r>
      <w:r>
        <w:rPr>
          <w:color w:val="231F20"/>
          <w:w w:val="105"/>
        </w:rPr>
        <w:t>teórico</w:t>
      </w:r>
      <w:r>
        <w:rPr>
          <w:color w:val="231F20"/>
          <w:spacing w:val="-10"/>
          <w:w w:val="105"/>
        </w:rPr>
        <w:t> </w:t>
      </w:r>
      <w:r>
        <w:rPr>
          <w:color w:val="231F20"/>
          <w:w w:val="105"/>
        </w:rPr>
        <w:t>que</w:t>
      </w:r>
      <w:r>
        <w:rPr>
          <w:color w:val="231F20"/>
          <w:spacing w:val="-10"/>
          <w:w w:val="105"/>
        </w:rPr>
        <w:t> </w:t>
      </w:r>
      <w:r>
        <w:rPr>
          <w:color w:val="231F20"/>
          <w:w w:val="105"/>
        </w:rPr>
        <w:t>expli-</w:t>
      </w:r>
    </w:p>
    <w:p>
      <w:pPr>
        <w:pStyle w:val="BodyText"/>
        <w:spacing w:line="259" w:lineRule="auto"/>
        <w:ind w:left="117" w:right="101"/>
        <w:jc w:val="both"/>
      </w:pPr>
      <w:r>
        <w:rPr>
          <w:color w:val="231F20"/>
          <w:w w:val="105"/>
        </w:rPr>
        <w:t>que</w:t>
      </w:r>
      <w:r>
        <w:rPr>
          <w:color w:val="231F20"/>
          <w:spacing w:val="-13"/>
          <w:w w:val="105"/>
        </w:rPr>
        <w:t> </w:t>
      </w:r>
      <w:r>
        <w:rPr>
          <w:color w:val="231F20"/>
          <w:w w:val="105"/>
        </w:rPr>
        <w:t>por</w:t>
      </w:r>
      <w:r>
        <w:rPr>
          <w:color w:val="231F20"/>
          <w:spacing w:val="-13"/>
          <w:w w:val="105"/>
        </w:rPr>
        <w:t> </w:t>
      </w:r>
      <w:r>
        <w:rPr>
          <w:color w:val="231F20"/>
          <w:w w:val="105"/>
        </w:rPr>
        <w:t>qué</w:t>
      </w:r>
      <w:r>
        <w:rPr>
          <w:color w:val="231F20"/>
          <w:spacing w:val="-13"/>
          <w:w w:val="105"/>
        </w:rPr>
        <w:t> </w:t>
      </w:r>
      <w:r>
        <w:rPr>
          <w:color w:val="231F20"/>
          <w:w w:val="105"/>
        </w:rPr>
        <w:t>y</w:t>
      </w:r>
      <w:r>
        <w:rPr>
          <w:color w:val="231F20"/>
          <w:spacing w:val="-13"/>
          <w:w w:val="105"/>
        </w:rPr>
        <w:t> </w:t>
      </w:r>
      <w:r>
        <w:rPr>
          <w:color w:val="231F20"/>
          <w:w w:val="105"/>
        </w:rPr>
        <w:t>cómo</w:t>
      </w:r>
      <w:r>
        <w:rPr>
          <w:color w:val="231F20"/>
          <w:spacing w:val="-13"/>
          <w:w w:val="105"/>
        </w:rPr>
        <w:t> </w:t>
      </w:r>
      <w:r>
        <w:rPr>
          <w:color w:val="231F20"/>
          <w:w w:val="105"/>
        </w:rPr>
        <w:t>dicha</w:t>
      </w:r>
      <w:r>
        <w:rPr>
          <w:color w:val="231F20"/>
          <w:spacing w:val="-13"/>
          <w:w w:val="105"/>
        </w:rPr>
        <w:t> </w:t>
      </w:r>
      <w:r>
        <w:rPr>
          <w:color w:val="231F20"/>
          <w:w w:val="105"/>
        </w:rPr>
        <w:t>evaluación</w:t>
      </w:r>
      <w:r>
        <w:rPr>
          <w:color w:val="231F20"/>
          <w:spacing w:val="-13"/>
          <w:w w:val="105"/>
        </w:rPr>
        <w:t> </w:t>
      </w:r>
      <w:r>
        <w:rPr>
          <w:color w:val="231F20"/>
          <w:w w:val="105"/>
        </w:rPr>
        <w:t>favorece</w:t>
      </w:r>
      <w:r>
        <w:rPr>
          <w:color w:val="231F20"/>
          <w:spacing w:val="-13"/>
          <w:w w:val="105"/>
        </w:rPr>
        <w:t> </w:t>
      </w:r>
      <w:r>
        <w:rPr>
          <w:color w:val="231F20"/>
          <w:w w:val="105"/>
        </w:rPr>
        <w:t>la</w:t>
      </w:r>
      <w:r>
        <w:rPr>
          <w:color w:val="231F20"/>
          <w:spacing w:val="-13"/>
          <w:w w:val="105"/>
        </w:rPr>
        <w:t> </w:t>
      </w:r>
      <w:r>
        <w:rPr>
          <w:color w:val="231F20"/>
          <w:w w:val="105"/>
        </w:rPr>
        <w:t>ventaja</w:t>
      </w:r>
      <w:r>
        <w:rPr>
          <w:color w:val="231F20"/>
          <w:spacing w:val="-13"/>
          <w:w w:val="105"/>
        </w:rPr>
        <w:t> </w:t>
      </w:r>
      <w:r>
        <w:rPr>
          <w:color w:val="231F20"/>
          <w:w w:val="105"/>
        </w:rPr>
        <w:t>competitiva</w:t>
      </w:r>
      <w:r>
        <w:rPr>
          <w:color w:val="231F20"/>
          <w:spacing w:val="-13"/>
          <w:w w:val="105"/>
        </w:rPr>
        <w:t> </w:t>
      </w:r>
      <w:r>
        <w:rPr>
          <w:color w:val="231F20"/>
          <w:w w:val="105"/>
        </w:rPr>
        <w:t>de estas</w:t>
      </w:r>
      <w:r>
        <w:rPr>
          <w:color w:val="231F20"/>
          <w:spacing w:val="-23"/>
          <w:w w:val="105"/>
        </w:rPr>
        <w:t> </w:t>
      </w:r>
      <w:r>
        <w:rPr>
          <w:color w:val="231F20"/>
          <w:w w:val="105"/>
        </w:rPr>
        <w:t>organizaciones.</w:t>
      </w:r>
      <w:r>
        <w:rPr>
          <w:color w:val="231F20"/>
          <w:spacing w:val="-28"/>
          <w:w w:val="105"/>
        </w:rPr>
        <w:t> </w:t>
      </w:r>
      <w:r>
        <w:rPr>
          <w:color w:val="231F20"/>
          <w:w w:val="105"/>
        </w:rPr>
        <w:t>En</w:t>
      </w:r>
      <w:r>
        <w:rPr>
          <w:color w:val="231F20"/>
          <w:spacing w:val="-23"/>
          <w:w w:val="105"/>
        </w:rPr>
        <w:t> </w:t>
      </w:r>
      <w:r>
        <w:rPr>
          <w:color w:val="231F20"/>
          <w:w w:val="105"/>
        </w:rPr>
        <w:t>este</w:t>
      </w:r>
      <w:r>
        <w:rPr>
          <w:color w:val="231F20"/>
          <w:spacing w:val="-23"/>
          <w:w w:val="105"/>
        </w:rPr>
        <w:t> </w:t>
      </w:r>
      <w:r>
        <w:rPr>
          <w:color w:val="231F20"/>
          <w:w w:val="105"/>
        </w:rPr>
        <w:t>trabajo</w:t>
      </w:r>
      <w:r>
        <w:rPr>
          <w:color w:val="231F20"/>
          <w:spacing w:val="-23"/>
          <w:w w:val="105"/>
        </w:rPr>
        <w:t> </w:t>
      </w:r>
      <w:r>
        <w:rPr>
          <w:color w:val="231F20"/>
          <w:w w:val="105"/>
        </w:rPr>
        <w:t>se</w:t>
      </w:r>
      <w:r>
        <w:rPr>
          <w:color w:val="231F20"/>
          <w:spacing w:val="-23"/>
          <w:w w:val="105"/>
        </w:rPr>
        <w:t> </w:t>
      </w:r>
      <w:r>
        <w:rPr>
          <w:color w:val="231F20"/>
          <w:w w:val="105"/>
        </w:rPr>
        <w:t>argumenta</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subjeti- va</w:t>
      </w:r>
      <w:r>
        <w:rPr>
          <w:color w:val="231F20"/>
          <w:spacing w:val="-14"/>
          <w:w w:val="105"/>
        </w:rPr>
        <w:t> </w:t>
      </w:r>
      <w:r>
        <w:rPr>
          <w:color w:val="231F20"/>
          <w:w w:val="105"/>
        </w:rPr>
        <w:t>del</w:t>
      </w:r>
      <w:r>
        <w:rPr>
          <w:color w:val="231F20"/>
          <w:spacing w:val="-14"/>
          <w:w w:val="105"/>
        </w:rPr>
        <w:t> </w:t>
      </w:r>
      <w:r>
        <w:rPr>
          <w:color w:val="231F20"/>
          <w:w w:val="105"/>
        </w:rPr>
        <w:t>valor,</w:t>
      </w:r>
      <w:r>
        <w:rPr>
          <w:color w:val="231F20"/>
          <w:spacing w:val="-20"/>
          <w:w w:val="105"/>
        </w:rPr>
        <w:t> </w:t>
      </w:r>
      <w:r>
        <w:rPr>
          <w:color w:val="231F20"/>
          <w:w w:val="105"/>
        </w:rPr>
        <w:t>la</w:t>
      </w:r>
      <w:r>
        <w:rPr>
          <w:color w:val="231F20"/>
          <w:spacing w:val="-14"/>
          <w:w w:val="105"/>
        </w:rPr>
        <w:t> </w:t>
      </w:r>
      <w:r>
        <w:rPr>
          <w:color w:val="231F20"/>
          <w:w w:val="105"/>
        </w:rPr>
        <w:t>teoría</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3"/>
          <w:w w:val="105"/>
        </w:rPr>
        <w:t> </w:t>
      </w:r>
      <w:r>
        <w:rPr>
          <w:i/>
          <w:color w:val="231F20"/>
          <w:w w:val="105"/>
        </w:rPr>
        <w:t>stakeholders</w:t>
      </w:r>
      <w:r>
        <w:rPr>
          <w:color w:val="231F20"/>
          <w:w w:val="105"/>
        </w:rPr>
        <w:t>,</w:t>
      </w:r>
      <w:r>
        <w:rPr>
          <w:color w:val="231F20"/>
          <w:spacing w:val="-20"/>
          <w:w w:val="105"/>
        </w:rPr>
        <w:t> </w:t>
      </w:r>
      <w:r>
        <w:rPr>
          <w:color w:val="231F20"/>
          <w:w w:val="105"/>
        </w:rPr>
        <w:t>la</w:t>
      </w:r>
      <w:r>
        <w:rPr>
          <w:color w:val="231F20"/>
          <w:spacing w:val="-14"/>
          <w:w w:val="105"/>
        </w:rPr>
        <w:t> </w:t>
      </w:r>
      <w:r>
        <w:rPr>
          <w:color w:val="231F20"/>
          <w:w w:val="105"/>
        </w:rPr>
        <w:t>teoría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dependencia</w:t>
      </w:r>
      <w:r>
        <w:rPr>
          <w:color w:val="231F20"/>
          <w:spacing w:val="-14"/>
          <w:w w:val="105"/>
        </w:rPr>
        <w:t> </w:t>
      </w:r>
      <w:r>
        <w:rPr>
          <w:color w:val="231F20"/>
          <w:w w:val="105"/>
        </w:rPr>
        <w:t>de los recursos y la teoría de los recursos y las capacidades, pueden</w:t>
      </w:r>
      <w:r>
        <w:rPr>
          <w:color w:val="231F20"/>
          <w:spacing w:val="-23"/>
          <w:w w:val="105"/>
        </w:rPr>
        <w:t> </w:t>
      </w:r>
      <w:r>
        <w:rPr>
          <w:color w:val="231F20"/>
          <w:w w:val="105"/>
        </w:rPr>
        <w:t>inte- grarse</w:t>
      </w:r>
      <w:r>
        <w:rPr>
          <w:color w:val="231F20"/>
          <w:spacing w:val="-18"/>
          <w:w w:val="105"/>
        </w:rPr>
        <w:t> </w:t>
      </w:r>
      <w:r>
        <w:rPr>
          <w:color w:val="231F20"/>
          <w:w w:val="105"/>
        </w:rPr>
        <w:t>y</w:t>
      </w:r>
      <w:r>
        <w:rPr>
          <w:color w:val="231F20"/>
          <w:spacing w:val="-18"/>
          <w:w w:val="105"/>
        </w:rPr>
        <w:t> </w:t>
      </w:r>
      <w:r>
        <w:rPr>
          <w:color w:val="231F20"/>
          <w:w w:val="105"/>
        </w:rPr>
        <w:t>complementarse</w:t>
      </w:r>
      <w:r>
        <w:rPr>
          <w:color w:val="231F20"/>
          <w:spacing w:val="-18"/>
          <w:w w:val="105"/>
        </w:rPr>
        <w:t> </w:t>
      </w:r>
      <w:r>
        <w:rPr>
          <w:color w:val="231F20"/>
          <w:w w:val="105"/>
        </w:rPr>
        <w:t>para</w:t>
      </w:r>
      <w:r>
        <w:rPr>
          <w:color w:val="231F20"/>
          <w:spacing w:val="-18"/>
          <w:w w:val="105"/>
        </w:rPr>
        <w:t> </w:t>
      </w:r>
      <w:r>
        <w:rPr>
          <w:color w:val="231F20"/>
          <w:w w:val="105"/>
        </w:rPr>
        <w:t>brindar</w:t>
      </w:r>
      <w:r>
        <w:rPr>
          <w:color w:val="231F20"/>
          <w:spacing w:val="-18"/>
          <w:w w:val="105"/>
        </w:rPr>
        <w:t> </w:t>
      </w:r>
      <w:r>
        <w:rPr>
          <w:color w:val="231F20"/>
          <w:w w:val="105"/>
        </w:rPr>
        <w:t>una</w:t>
      </w:r>
      <w:r>
        <w:rPr>
          <w:color w:val="231F20"/>
          <w:spacing w:val="-18"/>
          <w:w w:val="105"/>
        </w:rPr>
        <w:t> </w:t>
      </w:r>
      <w:r>
        <w:rPr>
          <w:color w:val="231F20"/>
          <w:w w:val="105"/>
        </w:rPr>
        <w:t>respuesta</w:t>
      </w:r>
      <w:r>
        <w:rPr>
          <w:color w:val="231F20"/>
          <w:spacing w:val="-18"/>
          <w:w w:val="105"/>
        </w:rPr>
        <w:t> </w:t>
      </w:r>
      <w:r>
        <w:rPr>
          <w:color w:val="231F20"/>
          <w:w w:val="105"/>
        </w:rPr>
        <w:t>a</w:t>
      </w:r>
      <w:r>
        <w:rPr>
          <w:color w:val="231F20"/>
          <w:spacing w:val="-18"/>
          <w:w w:val="105"/>
        </w:rPr>
        <w:t> </w:t>
      </w:r>
      <w:r>
        <w:rPr>
          <w:color w:val="231F20"/>
          <w:w w:val="105"/>
        </w:rPr>
        <w:t>ello.</w:t>
      </w:r>
      <w:r>
        <w:rPr>
          <w:color w:val="231F20"/>
          <w:spacing w:val="-26"/>
          <w:w w:val="105"/>
        </w:rPr>
        <w:t> </w:t>
      </w:r>
      <w:r>
        <w:rPr>
          <w:color w:val="231F20"/>
          <w:spacing w:val="-3"/>
          <w:w w:val="105"/>
        </w:rPr>
        <w:t>También,</w:t>
      </w:r>
      <w:r>
        <w:rPr>
          <w:color w:val="231F20"/>
          <w:spacing w:val="-22"/>
          <w:w w:val="105"/>
        </w:rPr>
        <w:t> </w:t>
      </w:r>
      <w:r>
        <w:rPr>
          <w:color w:val="231F20"/>
          <w:w w:val="105"/>
        </w:rPr>
        <w:t>se presenta el modelo de excelencia administrativa de la Fundación</w:t>
      </w:r>
      <w:r>
        <w:rPr>
          <w:color w:val="231F20"/>
          <w:spacing w:val="-26"/>
          <w:w w:val="105"/>
        </w:rPr>
        <w:t> </w:t>
      </w:r>
      <w:r>
        <w:rPr>
          <w:color w:val="231F20"/>
          <w:w w:val="105"/>
        </w:rPr>
        <w:t>Euro- pea</w:t>
      </w:r>
      <w:r>
        <w:rPr>
          <w:color w:val="231F20"/>
          <w:spacing w:val="-8"/>
          <w:w w:val="105"/>
        </w:rPr>
        <w:t> </w:t>
      </w:r>
      <w:r>
        <w:rPr>
          <w:color w:val="231F20"/>
          <w:w w:val="105"/>
        </w:rPr>
        <w:t>de</w:t>
      </w:r>
      <w:r>
        <w:rPr>
          <w:color w:val="231F20"/>
          <w:spacing w:val="-8"/>
          <w:w w:val="105"/>
        </w:rPr>
        <w:t> </w:t>
      </w:r>
      <w:r>
        <w:rPr>
          <w:color w:val="231F20"/>
          <w:w w:val="105"/>
        </w:rPr>
        <w:t>Gestión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Calidad</w:t>
      </w:r>
      <w:r>
        <w:rPr>
          <w:color w:val="231F20"/>
          <w:spacing w:val="-8"/>
          <w:w w:val="105"/>
        </w:rPr>
        <w:t> </w:t>
      </w:r>
      <w:r>
        <w:rPr>
          <w:color w:val="231F20"/>
          <w:w w:val="105"/>
        </w:rPr>
        <w:t>(EFQM)</w:t>
      </w:r>
      <w:r>
        <w:rPr>
          <w:color w:val="231F20"/>
          <w:spacing w:val="-8"/>
          <w:w w:val="105"/>
        </w:rPr>
        <w:t> </w:t>
      </w:r>
      <w:r>
        <w:rPr>
          <w:color w:val="231F20"/>
          <w:w w:val="105"/>
        </w:rPr>
        <w:t>como</w:t>
      </w:r>
      <w:r>
        <w:rPr>
          <w:color w:val="231F20"/>
          <w:spacing w:val="-8"/>
          <w:w w:val="105"/>
        </w:rPr>
        <w:t> </w:t>
      </w:r>
      <w:r>
        <w:rPr>
          <w:color w:val="231F20"/>
          <w:w w:val="105"/>
        </w:rPr>
        <w:t>opción</w:t>
      </w:r>
      <w:r>
        <w:rPr>
          <w:color w:val="231F20"/>
          <w:spacing w:val="-8"/>
          <w:w w:val="105"/>
        </w:rPr>
        <w:t> </w:t>
      </w:r>
      <w:r>
        <w:rPr>
          <w:color w:val="231F20"/>
          <w:w w:val="105"/>
        </w:rPr>
        <w:t>para</w:t>
      </w:r>
      <w:r>
        <w:rPr>
          <w:color w:val="231F20"/>
          <w:spacing w:val="-8"/>
          <w:w w:val="105"/>
        </w:rPr>
        <w:t> </w:t>
      </w:r>
      <w:r>
        <w:rPr>
          <w:color w:val="231F20"/>
          <w:w w:val="105"/>
        </w:rPr>
        <w:t>diagnosticar</w:t>
      </w:r>
      <w:r>
        <w:rPr>
          <w:color w:val="231F20"/>
          <w:spacing w:val="-8"/>
          <w:w w:val="105"/>
        </w:rPr>
        <w:t> </w:t>
      </w:r>
      <w:r>
        <w:rPr>
          <w:color w:val="231F20"/>
          <w:w w:val="105"/>
        </w:rPr>
        <w:t>el cumplimiento de objetivos y metas, al tiempo que se responde a los li- neamientos</w:t>
      </w:r>
      <w:r>
        <w:rPr>
          <w:color w:val="231F20"/>
          <w:spacing w:val="-16"/>
          <w:w w:val="105"/>
        </w:rPr>
        <w:t> </w:t>
      </w:r>
      <w:r>
        <w:rPr>
          <w:color w:val="231F20"/>
          <w:w w:val="105"/>
        </w:rPr>
        <w:t>que</w:t>
      </w:r>
      <w:r>
        <w:rPr>
          <w:color w:val="231F20"/>
          <w:spacing w:val="-16"/>
          <w:w w:val="105"/>
        </w:rPr>
        <w:t> </w:t>
      </w:r>
      <w:r>
        <w:rPr>
          <w:color w:val="231F20"/>
          <w:w w:val="105"/>
        </w:rPr>
        <w:t>requiere</w:t>
      </w:r>
      <w:r>
        <w:rPr>
          <w:color w:val="231F20"/>
          <w:spacing w:val="-16"/>
          <w:w w:val="105"/>
        </w:rPr>
        <w:t> </w:t>
      </w:r>
      <w:r>
        <w:rPr>
          <w:color w:val="231F20"/>
          <w:w w:val="105"/>
        </w:rPr>
        <w:t>una</w:t>
      </w:r>
      <w:r>
        <w:rPr>
          <w:color w:val="231F20"/>
          <w:spacing w:val="-16"/>
          <w:w w:val="105"/>
        </w:rPr>
        <w:t> </w:t>
      </w:r>
      <w:r>
        <w:rPr>
          <w:color w:val="231F20"/>
          <w:w w:val="105"/>
        </w:rPr>
        <w:t>universidad</w:t>
      </w:r>
      <w:r>
        <w:rPr>
          <w:color w:val="231F20"/>
          <w:spacing w:val="-16"/>
          <w:w w:val="105"/>
        </w:rPr>
        <w:t> </w:t>
      </w:r>
      <w:r>
        <w:rPr>
          <w:color w:val="231F20"/>
          <w:w w:val="105"/>
        </w:rPr>
        <w:t>de</w:t>
      </w:r>
      <w:r>
        <w:rPr>
          <w:color w:val="231F20"/>
          <w:spacing w:val="-16"/>
          <w:w w:val="105"/>
        </w:rPr>
        <w:t> </w:t>
      </w:r>
      <w:r>
        <w:rPr>
          <w:color w:val="231F20"/>
          <w:w w:val="105"/>
        </w:rPr>
        <w:t>clase</w:t>
      </w:r>
      <w:r>
        <w:rPr>
          <w:color w:val="231F20"/>
          <w:spacing w:val="-16"/>
          <w:w w:val="105"/>
        </w:rPr>
        <w:t> </w:t>
      </w:r>
      <w:r>
        <w:rPr>
          <w:color w:val="231F20"/>
          <w:w w:val="105"/>
        </w:rPr>
        <w:t>mundial.</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01"/>
        <w:jc w:val="both"/>
      </w:pP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tener</w:t>
      </w:r>
      <w:r>
        <w:rPr>
          <w:color w:val="231F20"/>
          <w:spacing w:val="-6"/>
          <w:w w:val="105"/>
        </w:rPr>
        <w:t> </w:t>
      </w:r>
      <w:r>
        <w:rPr>
          <w:color w:val="231F20"/>
          <w:w w:val="105"/>
        </w:rPr>
        <w:t>un</w:t>
      </w:r>
      <w:r>
        <w:rPr>
          <w:color w:val="231F20"/>
          <w:spacing w:val="-6"/>
          <w:w w:val="105"/>
        </w:rPr>
        <w:t> </w:t>
      </w:r>
      <w:r>
        <w:rPr>
          <w:color w:val="231F20"/>
          <w:w w:val="105"/>
        </w:rPr>
        <w:t>papel</w:t>
      </w:r>
      <w:r>
        <w:rPr>
          <w:color w:val="231F20"/>
          <w:spacing w:val="-6"/>
          <w:w w:val="105"/>
        </w:rPr>
        <w:t> </w:t>
      </w:r>
      <w:r>
        <w:rPr>
          <w:color w:val="231F20"/>
          <w:w w:val="105"/>
        </w:rPr>
        <w:t>clave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crecimiento</w:t>
      </w:r>
      <w:r>
        <w:rPr>
          <w:color w:val="231F20"/>
          <w:spacing w:val="-6"/>
          <w:w w:val="105"/>
        </w:rPr>
        <w:t> </w:t>
      </w:r>
      <w:r>
        <w:rPr>
          <w:color w:val="231F20"/>
          <w:w w:val="105"/>
        </w:rPr>
        <w:t>económico</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com- petitividad global, las universidades viven una carrera para llegar a ser de rango mundial y lograrlo requiere tomar en cuenta dos perspectivas complementarias,</w:t>
      </w:r>
      <w:r>
        <w:rPr>
          <w:color w:val="231F20"/>
          <w:spacing w:val="-28"/>
          <w:w w:val="105"/>
        </w:rPr>
        <w:t> </w:t>
      </w:r>
      <w:r>
        <w:rPr>
          <w:color w:val="231F20"/>
          <w:w w:val="105"/>
        </w:rPr>
        <w:t>una</w:t>
      </w:r>
      <w:r>
        <w:rPr>
          <w:color w:val="231F20"/>
          <w:spacing w:val="-23"/>
          <w:w w:val="105"/>
        </w:rPr>
        <w:t> </w:t>
      </w:r>
      <w:r>
        <w:rPr>
          <w:color w:val="231F20"/>
          <w:w w:val="105"/>
        </w:rPr>
        <w:t>de</w:t>
      </w:r>
      <w:r>
        <w:rPr>
          <w:color w:val="231F20"/>
          <w:spacing w:val="-23"/>
          <w:w w:val="105"/>
        </w:rPr>
        <w:t> </w:t>
      </w:r>
      <w:r>
        <w:rPr>
          <w:color w:val="231F20"/>
          <w:w w:val="105"/>
        </w:rPr>
        <w:t>carácter</w:t>
      </w:r>
      <w:r>
        <w:rPr>
          <w:color w:val="231F20"/>
          <w:spacing w:val="-23"/>
          <w:w w:val="105"/>
        </w:rPr>
        <w:t> </w:t>
      </w:r>
      <w:r>
        <w:rPr>
          <w:color w:val="231F20"/>
          <w:w w:val="105"/>
        </w:rPr>
        <w:t>externo</w:t>
      </w:r>
      <w:r>
        <w:rPr>
          <w:color w:val="231F20"/>
          <w:spacing w:val="-23"/>
          <w:w w:val="105"/>
        </w:rPr>
        <w:t> </w:t>
      </w:r>
      <w:r>
        <w:rPr>
          <w:color w:val="231F20"/>
          <w:w w:val="105"/>
        </w:rPr>
        <w:t>y</w:t>
      </w:r>
      <w:r>
        <w:rPr>
          <w:color w:val="231F20"/>
          <w:spacing w:val="-23"/>
          <w:w w:val="105"/>
        </w:rPr>
        <w:t> </w:t>
      </w:r>
      <w:r>
        <w:rPr>
          <w:color w:val="231F20"/>
          <w:w w:val="105"/>
        </w:rPr>
        <w:t>otra</w:t>
      </w:r>
      <w:r>
        <w:rPr>
          <w:color w:val="231F20"/>
          <w:spacing w:val="-23"/>
          <w:w w:val="105"/>
        </w:rPr>
        <w:t> </w:t>
      </w:r>
      <w:r>
        <w:rPr>
          <w:color w:val="231F20"/>
          <w:w w:val="105"/>
        </w:rPr>
        <w:t>interna</w:t>
      </w:r>
      <w:r>
        <w:rPr>
          <w:color w:val="231F20"/>
          <w:spacing w:val="-23"/>
          <w:w w:val="105"/>
        </w:rPr>
        <w:t> </w:t>
      </w:r>
      <w:r>
        <w:rPr>
          <w:color w:val="231F20"/>
          <w:w w:val="105"/>
        </w:rPr>
        <w:t>(Salmi,</w:t>
      </w:r>
      <w:r>
        <w:rPr>
          <w:color w:val="231F20"/>
          <w:spacing w:val="-28"/>
          <w:w w:val="105"/>
        </w:rPr>
        <w:t> </w:t>
      </w:r>
      <w:r>
        <w:rPr>
          <w:color w:val="231F20"/>
          <w:w w:val="105"/>
        </w:rPr>
        <w:t>2009);</w:t>
      </w:r>
      <w:r>
        <w:rPr>
          <w:color w:val="231F20"/>
          <w:spacing w:val="-23"/>
          <w:w w:val="105"/>
        </w:rPr>
        <w:t> </w:t>
      </w:r>
      <w:r>
        <w:rPr>
          <w:color w:val="231F20"/>
          <w:w w:val="105"/>
        </w:rPr>
        <w:t>la primera se refiere a la función y los recursos del gobierno nacional,</w:t>
      </w:r>
      <w:r>
        <w:rPr>
          <w:color w:val="231F20"/>
          <w:spacing w:val="-19"/>
          <w:w w:val="105"/>
        </w:rPr>
        <w:t> </w:t>
      </w:r>
      <w:r>
        <w:rPr>
          <w:color w:val="231F20"/>
          <w:w w:val="105"/>
        </w:rPr>
        <w:t>es- tatal</w:t>
      </w:r>
      <w:r>
        <w:rPr>
          <w:color w:val="231F20"/>
          <w:spacing w:val="-18"/>
          <w:w w:val="105"/>
        </w:rPr>
        <w:t> </w:t>
      </w:r>
      <w:r>
        <w:rPr>
          <w:color w:val="231F20"/>
          <w:w w:val="105"/>
        </w:rPr>
        <w:t>y</w:t>
      </w:r>
      <w:r>
        <w:rPr>
          <w:color w:val="231F20"/>
          <w:spacing w:val="-18"/>
          <w:w w:val="105"/>
        </w:rPr>
        <w:t> </w:t>
      </w:r>
      <w:r>
        <w:rPr>
          <w:color w:val="231F20"/>
          <w:w w:val="105"/>
        </w:rPr>
        <w:t>local.</w:t>
      </w:r>
      <w:r>
        <w:rPr>
          <w:color w:val="231F20"/>
          <w:spacing w:val="-23"/>
          <w:w w:val="105"/>
        </w:rPr>
        <w:t> </w:t>
      </w:r>
      <w:r>
        <w:rPr>
          <w:color w:val="231F20"/>
          <w:w w:val="105"/>
        </w:rPr>
        <w:t>La</w:t>
      </w:r>
      <w:r>
        <w:rPr>
          <w:color w:val="231F20"/>
          <w:spacing w:val="-18"/>
          <w:w w:val="105"/>
        </w:rPr>
        <w:t> </w:t>
      </w:r>
      <w:r>
        <w:rPr>
          <w:color w:val="231F20"/>
          <w:w w:val="105"/>
        </w:rPr>
        <w:t>segunda</w:t>
      </w:r>
      <w:r>
        <w:rPr>
          <w:color w:val="231F20"/>
          <w:spacing w:val="-18"/>
          <w:w w:val="105"/>
        </w:rPr>
        <w:t> </w:t>
      </w:r>
      <w:r>
        <w:rPr>
          <w:color w:val="231F20"/>
          <w:w w:val="105"/>
        </w:rPr>
        <w:t>son</w:t>
      </w:r>
      <w:r>
        <w:rPr>
          <w:color w:val="231F20"/>
          <w:spacing w:val="-18"/>
          <w:w w:val="105"/>
        </w:rPr>
        <w:t> </w:t>
      </w:r>
      <w:r>
        <w:rPr>
          <w:color w:val="231F20"/>
          <w:w w:val="105"/>
        </w:rPr>
        <w:t>los</w:t>
      </w:r>
      <w:r>
        <w:rPr>
          <w:color w:val="231F20"/>
          <w:spacing w:val="-18"/>
          <w:w w:val="105"/>
        </w:rPr>
        <w:t> </w:t>
      </w:r>
      <w:r>
        <w:rPr>
          <w:color w:val="231F20"/>
          <w:w w:val="105"/>
        </w:rPr>
        <w:t>pasos</w:t>
      </w:r>
      <w:r>
        <w:rPr>
          <w:color w:val="231F20"/>
          <w:spacing w:val="-18"/>
          <w:w w:val="105"/>
        </w:rPr>
        <w:t> </w:t>
      </w:r>
      <w:r>
        <w:rPr>
          <w:color w:val="231F20"/>
          <w:w w:val="105"/>
        </w:rPr>
        <w:t>a</w:t>
      </w:r>
      <w:r>
        <w:rPr>
          <w:color w:val="231F20"/>
          <w:spacing w:val="-18"/>
          <w:w w:val="105"/>
        </w:rPr>
        <w:t> </w:t>
      </w:r>
      <w:r>
        <w:rPr>
          <w:color w:val="231F20"/>
          <w:w w:val="105"/>
        </w:rPr>
        <w:t>seguir</w:t>
      </w:r>
      <w:r>
        <w:rPr>
          <w:color w:val="231F20"/>
          <w:spacing w:val="-18"/>
          <w:w w:val="105"/>
        </w:rPr>
        <w:t> </w:t>
      </w:r>
      <w:r>
        <w:rPr>
          <w:color w:val="231F20"/>
          <w:w w:val="105"/>
        </w:rPr>
        <w:t>para</w:t>
      </w:r>
      <w:r>
        <w:rPr>
          <w:color w:val="231F20"/>
          <w:spacing w:val="-18"/>
          <w:w w:val="105"/>
        </w:rPr>
        <w:t> </w:t>
      </w:r>
      <w:r>
        <w:rPr>
          <w:color w:val="231F20"/>
          <w:w w:val="105"/>
        </w:rPr>
        <w:t>que</w:t>
      </w:r>
      <w:r>
        <w:rPr>
          <w:color w:val="231F20"/>
          <w:spacing w:val="-18"/>
          <w:w w:val="105"/>
        </w:rPr>
        <w:t> </w:t>
      </w:r>
      <w:r>
        <w:rPr>
          <w:color w:val="231F20"/>
          <w:w w:val="105"/>
        </w:rPr>
        <w:t>cada</w:t>
      </w:r>
      <w:r>
        <w:rPr>
          <w:color w:val="231F20"/>
          <w:spacing w:val="-18"/>
          <w:w w:val="105"/>
        </w:rPr>
        <w:t> </w:t>
      </w:r>
      <w:r>
        <w:rPr>
          <w:color w:val="231F20"/>
          <w:w w:val="105"/>
        </w:rPr>
        <w:t>institución busque su transformación, lo que requiere de un fuerte liderazgo, </w:t>
      </w:r>
      <w:r>
        <w:rPr>
          <w:color w:val="231F20"/>
          <w:spacing w:val="32"/>
          <w:w w:val="105"/>
        </w:rPr>
        <w:t> </w:t>
      </w:r>
      <w:r>
        <w:rPr>
          <w:color w:val="231F20"/>
          <w:w w:val="105"/>
        </w:rPr>
        <w:t>una</w:t>
      </w:r>
    </w:p>
    <w:p>
      <w:pPr>
        <w:spacing w:after="0" w:line="259" w:lineRule="auto"/>
        <w:jc w:val="both"/>
        <w:sectPr>
          <w:pgSz w:w="9640" w:h="13890"/>
          <w:pgMar w:top="1300" w:bottom="280" w:left="1300" w:right="1200"/>
        </w:sectPr>
      </w:pPr>
    </w:p>
    <w:p>
      <w:pPr>
        <w:pStyle w:val="BodyText"/>
        <w:spacing w:line="259" w:lineRule="auto" w:before="120"/>
        <w:ind w:left="103" w:right="114"/>
        <w:jc w:val="both"/>
      </w:pPr>
      <w:r>
        <w:rPr>
          <w:color w:val="231F20"/>
          <w:w w:val="105"/>
        </w:rPr>
        <w:t>visión</w:t>
      </w:r>
      <w:r>
        <w:rPr>
          <w:color w:val="231F20"/>
          <w:spacing w:val="-22"/>
          <w:w w:val="105"/>
        </w:rPr>
        <w:t> </w:t>
      </w:r>
      <w:r>
        <w:rPr>
          <w:color w:val="231F20"/>
          <w:w w:val="105"/>
        </w:rPr>
        <w:t>audaz</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misión,</w:t>
      </w:r>
      <w:r>
        <w:rPr>
          <w:color w:val="231F20"/>
          <w:spacing w:val="-26"/>
          <w:w w:val="105"/>
        </w:rPr>
        <w:t> </w:t>
      </w:r>
      <w:r>
        <w:rPr>
          <w:color w:val="231F20"/>
          <w:w w:val="105"/>
        </w:rPr>
        <w:t>objetivos</w:t>
      </w:r>
      <w:r>
        <w:rPr>
          <w:color w:val="231F20"/>
          <w:spacing w:val="-22"/>
          <w:w w:val="105"/>
        </w:rPr>
        <w:t> </w:t>
      </w:r>
      <w:r>
        <w:rPr>
          <w:color w:val="231F20"/>
          <w:w w:val="105"/>
        </w:rPr>
        <w:t>y</w:t>
      </w:r>
      <w:r>
        <w:rPr>
          <w:color w:val="231F20"/>
          <w:spacing w:val="-22"/>
          <w:w w:val="105"/>
        </w:rPr>
        <w:t> </w:t>
      </w:r>
      <w:r>
        <w:rPr>
          <w:color w:val="231F20"/>
          <w:w w:val="105"/>
        </w:rPr>
        <w:t>planes</w:t>
      </w:r>
      <w:r>
        <w:rPr>
          <w:color w:val="231F20"/>
          <w:spacing w:val="-22"/>
          <w:w w:val="105"/>
        </w:rPr>
        <w:t> </w:t>
      </w:r>
      <w:r>
        <w:rPr>
          <w:color w:val="231F20"/>
          <w:w w:val="105"/>
        </w:rPr>
        <w:t>estratégicos</w:t>
      </w:r>
      <w:r>
        <w:rPr>
          <w:color w:val="231F20"/>
          <w:spacing w:val="-22"/>
          <w:w w:val="105"/>
        </w:rPr>
        <w:t> </w:t>
      </w:r>
      <w:r>
        <w:rPr>
          <w:color w:val="231F20"/>
          <w:w w:val="105"/>
        </w:rPr>
        <w:t>articulados,</w:t>
      </w:r>
      <w:r>
        <w:rPr>
          <w:color w:val="231F20"/>
          <w:spacing w:val="-26"/>
          <w:w w:val="105"/>
        </w:rPr>
        <w:t> </w:t>
      </w:r>
      <w:r>
        <w:rPr>
          <w:color w:val="231F20"/>
          <w:w w:val="105"/>
        </w:rPr>
        <w:t>así como el compromiso de evaluar de manera objetiva su desempeño or- ganizacional</w:t>
      </w:r>
      <w:r>
        <w:rPr>
          <w:color w:val="231F20"/>
          <w:spacing w:val="-18"/>
          <w:w w:val="105"/>
        </w:rPr>
        <w:t> </w:t>
      </w:r>
      <w:r>
        <w:rPr>
          <w:color w:val="231F20"/>
          <w:w w:val="105"/>
        </w:rPr>
        <w:t>para</w:t>
      </w:r>
      <w:r>
        <w:rPr>
          <w:color w:val="231F20"/>
          <w:spacing w:val="-18"/>
          <w:w w:val="105"/>
        </w:rPr>
        <w:t> </w:t>
      </w:r>
      <w:r>
        <w:rPr>
          <w:color w:val="231F20"/>
          <w:w w:val="105"/>
        </w:rPr>
        <w:t>detectar</w:t>
      </w:r>
      <w:r>
        <w:rPr>
          <w:color w:val="231F20"/>
          <w:spacing w:val="-18"/>
          <w:w w:val="105"/>
        </w:rPr>
        <w:t> </w:t>
      </w:r>
      <w:r>
        <w:rPr>
          <w:color w:val="231F20"/>
          <w:w w:val="105"/>
        </w:rPr>
        <w:t>puntos</w:t>
      </w:r>
      <w:r>
        <w:rPr>
          <w:color w:val="231F20"/>
          <w:spacing w:val="-18"/>
          <w:w w:val="105"/>
        </w:rPr>
        <w:t> </w:t>
      </w:r>
      <w:r>
        <w:rPr>
          <w:color w:val="231F20"/>
          <w:w w:val="105"/>
        </w:rPr>
        <w:t>fuertes</w:t>
      </w:r>
      <w:r>
        <w:rPr>
          <w:color w:val="231F20"/>
          <w:spacing w:val="-18"/>
          <w:w w:val="105"/>
        </w:rPr>
        <w:t> </w:t>
      </w:r>
      <w:r>
        <w:rPr>
          <w:color w:val="231F20"/>
          <w:w w:val="105"/>
        </w:rPr>
        <w:t>y</w:t>
      </w:r>
      <w:r>
        <w:rPr>
          <w:color w:val="231F20"/>
          <w:spacing w:val="-18"/>
          <w:w w:val="105"/>
        </w:rPr>
        <w:t> </w:t>
      </w:r>
      <w:r>
        <w:rPr>
          <w:color w:val="231F20"/>
          <w:w w:val="105"/>
        </w:rPr>
        <w:t>áreas</w:t>
      </w:r>
      <w:r>
        <w:rPr>
          <w:color w:val="231F20"/>
          <w:spacing w:val="-18"/>
          <w:w w:val="105"/>
        </w:rPr>
        <w:t> </w:t>
      </w:r>
      <w:r>
        <w:rPr>
          <w:color w:val="231F20"/>
          <w:w w:val="105"/>
        </w:rPr>
        <w:t>que</w:t>
      </w:r>
      <w:r>
        <w:rPr>
          <w:color w:val="231F20"/>
          <w:spacing w:val="-18"/>
          <w:w w:val="105"/>
        </w:rPr>
        <w:t> </w:t>
      </w:r>
      <w:r>
        <w:rPr>
          <w:color w:val="231F20"/>
          <w:w w:val="105"/>
        </w:rPr>
        <w:t>necesitan</w:t>
      </w:r>
      <w:r>
        <w:rPr>
          <w:color w:val="231F20"/>
          <w:spacing w:val="-18"/>
          <w:w w:val="105"/>
        </w:rPr>
        <w:t> </w:t>
      </w:r>
      <w:r>
        <w:rPr>
          <w:color w:val="231F20"/>
          <w:w w:val="105"/>
        </w:rPr>
        <w:t>mejorar para</w:t>
      </w:r>
      <w:r>
        <w:rPr>
          <w:color w:val="231F20"/>
          <w:spacing w:val="-21"/>
          <w:w w:val="105"/>
        </w:rPr>
        <w:t> </w:t>
      </w:r>
      <w:r>
        <w:rPr>
          <w:color w:val="231F20"/>
          <w:w w:val="105"/>
        </w:rPr>
        <w:t>apoyar</w:t>
      </w:r>
      <w:r>
        <w:rPr>
          <w:color w:val="231F20"/>
          <w:spacing w:val="-21"/>
          <w:w w:val="105"/>
        </w:rPr>
        <w:t> </w:t>
      </w:r>
      <w:r>
        <w:rPr>
          <w:color w:val="231F20"/>
          <w:w w:val="105"/>
        </w:rPr>
        <w:t>prácticas</w:t>
      </w:r>
      <w:r>
        <w:rPr>
          <w:color w:val="231F20"/>
          <w:spacing w:val="-21"/>
          <w:w w:val="105"/>
        </w:rPr>
        <w:t> </w:t>
      </w:r>
      <w:r>
        <w:rPr>
          <w:color w:val="231F20"/>
          <w:w w:val="105"/>
        </w:rPr>
        <w:t>de</w:t>
      </w:r>
      <w:r>
        <w:rPr>
          <w:color w:val="231F20"/>
          <w:spacing w:val="-21"/>
          <w:w w:val="105"/>
        </w:rPr>
        <w:t> </w:t>
      </w:r>
      <w:r>
        <w:rPr>
          <w:color w:val="231F20"/>
          <w:w w:val="105"/>
        </w:rPr>
        <w:t>gestión,</w:t>
      </w:r>
      <w:r>
        <w:rPr>
          <w:color w:val="231F20"/>
          <w:spacing w:val="-26"/>
          <w:w w:val="105"/>
        </w:rPr>
        <w:t> </w:t>
      </w:r>
      <w:r>
        <w:rPr>
          <w:color w:val="231F20"/>
          <w:w w:val="105"/>
        </w:rPr>
        <w:t>incluyendo</w:t>
      </w:r>
      <w:r>
        <w:rPr>
          <w:color w:val="231F20"/>
          <w:spacing w:val="-21"/>
          <w:w w:val="105"/>
        </w:rPr>
        <w:t> </w:t>
      </w:r>
      <w:r>
        <w:rPr>
          <w:color w:val="231F20"/>
          <w:w w:val="105"/>
        </w:rPr>
        <w:t>sistemas</w:t>
      </w:r>
      <w:r>
        <w:rPr>
          <w:color w:val="231F20"/>
          <w:spacing w:val="-21"/>
          <w:w w:val="105"/>
        </w:rPr>
        <w:t> </w:t>
      </w:r>
      <w:r>
        <w:rPr>
          <w:color w:val="231F20"/>
          <w:w w:val="105"/>
        </w:rPr>
        <w:t>de</w:t>
      </w:r>
      <w:r>
        <w:rPr>
          <w:color w:val="231F20"/>
          <w:spacing w:val="-21"/>
          <w:w w:val="105"/>
        </w:rPr>
        <w:t> </w:t>
      </w:r>
      <w:r>
        <w:rPr>
          <w:color w:val="231F20"/>
          <w:w w:val="105"/>
        </w:rPr>
        <w:t>control,</w:t>
      </w:r>
      <w:r>
        <w:rPr>
          <w:color w:val="231F20"/>
          <w:spacing w:val="-26"/>
          <w:w w:val="105"/>
        </w:rPr>
        <w:t> </w:t>
      </w:r>
      <w:r>
        <w:rPr>
          <w:color w:val="231F20"/>
          <w:w w:val="105"/>
        </w:rPr>
        <w:t>indica- dores</w:t>
      </w:r>
      <w:r>
        <w:rPr>
          <w:color w:val="231F20"/>
          <w:spacing w:val="-19"/>
          <w:w w:val="105"/>
        </w:rPr>
        <w:t> </w:t>
      </w:r>
      <w:r>
        <w:rPr>
          <w:color w:val="231F20"/>
          <w:w w:val="105"/>
        </w:rPr>
        <w:t>de</w:t>
      </w:r>
      <w:r>
        <w:rPr>
          <w:color w:val="231F20"/>
          <w:spacing w:val="-19"/>
          <w:w w:val="105"/>
        </w:rPr>
        <w:t> </w:t>
      </w:r>
      <w:r>
        <w:rPr>
          <w:color w:val="231F20"/>
          <w:w w:val="105"/>
        </w:rPr>
        <w:t>resultados</w:t>
      </w:r>
      <w:r>
        <w:rPr>
          <w:color w:val="231F20"/>
          <w:spacing w:val="-19"/>
          <w:w w:val="105"/>
        </w:rPr>
        <w:t> </w:t>
      </w:r>
      <w:r>
        <w:rPr>
          <w:color w:val="231F20"/>
          <w:w w:val="105"/>
        </w:rPr>
        <w:t>y</w:t>
      </w:r>
      <w:r>
        <w:rPr>
          <w:color w:val="231F20"/>
          <w:spacing w:val="-19"/>
          <w:w w:val="105"/>
        </w:rPr>
        <w:t> </w:t>
      </w:r>
      <w:r>
        <w:rPr>
          <w:color w:val="231F20"/>
          <w:w w:val="105"/>
        </w:rPr>
        <w:t>mecanismos</w:t>
      </w:r>
      <w:r>
        <w:rPr>
          <w:color w:val="231F20"/>
          <w:spacing w:val="-19"/>
          <w:w w:val="105"/>
        </w:rPr>
        <w:t> </w:t>
      </w:r>
      <w:r>
        <w:rPr>
          <w:color w:val="231F20"/>
          <w:w w:val="105"/>
        </w:rPr>
        <w:t>de</w:t>
      </w:r>
      <w:r>
        <w:rPr>
          <w:color w:val="231F20"/>
          <w:spacing w:val="-19"/>
          <w:w w:val="105"/>
        </w:rPr>
        <w:t> </w:t>
      </w:r>
      <w:r>
        <w:rPr>
          <w:color w:val="231F20"/>
          <w:w w:val="105"/>
        </w:rPr>
        <w:t>rendición</w:t>
      </w:r>
      <w:r>
        <w:rPr>
          <w:color w:val="231F20"/>
          <w:spacing w:val="-19"/>
          <w:w w:val="105"/>
        </w:rPr>
        <w:t> </w:t>
      </w:r>
      <w:r>
        <w:rPr>
          <w:color w:val="231F20"/>
          <w:w w:val="105"/>
        </w:rPr>
        <w:t>de</w:t>
      </w:r>
      <w:r>
        <w:rPr>
          <w:color w:val="231F20"/>
          <w:spacing w:val="-19"/>
          <w:w w:val="105"/>
        </w:rPr>
        <w:t> </w:t>
      </w:r>
      <w:r>
        <w:rPr>
          <w:color w:val="231F20"/>
          <w:w w:val="105"/>
        </w:rPr>
        <w:t>cuentas.</w:t>
      </w:r>
    </w:p>
    <w:p>
      <w:pPr>
        <w:pStyle w:val="BodyText"/>
        <w:spacing w:line="259" w:lineRule="auto"/>
        <w:ind w:left="103" w:right="114" w:firstLine="567"/>
        <w:jc w:val="both"/>
      </w:pPr>
      <w:r>
        <w:rPr>
          <w:color w:val="231F20"/>
          <w:w w:val="105"/>
        </w:rPr>
        <w:t>El</w:t>
      </w:r>
      <w:r>
        <w:rPr>
          <w:color w:val="231F20"/>
          <w:spacing w:val="-11"/>
          <w:w w:val="105"/>
        </w:rPr>
        <w:t> </w:t>
      </w:r>
      <w:r>
        <w:rPr>
          <w:color w:val="231F20"/>
          <w:w w:val="105"/>
        </w:rPr>
        <w:t>desempeño</w:t>
      </w:r>
      <w:r>
        <w:rPr>
          <w:color w:val="231F20"/>
          <w:spacing w:val="-11"/>
          <w:w w:val="105"/>
        </w:rPr>
        <w:t> </w:t>
      </w:r>
      <w:r>
        <w:rPr>
          <w:color w:val="231F20"/>
          <w:w w:val="105"/>
        </w:rPr>
        <w:t>organizacional</w:t>
      </w:r>
      <w:r>
        <w:rPr>
          <w:color w:val="231F20"/>
          <w:spacing w:val="-11"/>
          <w:w w:val="105"/>
        </w:rPr>
        <w:t> </w:t>
      </w:r>
      <w:r>
        <w:rPr>
          <w:color w:val="231F20"/>
          <w:w w:val="105"/>
        </w:rPr>
        <w:t>es</w:t>
      </w:r>
      <w:r>
        <w:rPr>
          <w:color w:val="231F20"/>
          <w:spacing w:val="-11"/>
          <w:w w:val="105"/>
        </w:rPr>
        <w:t> </w:t>
      </w:r>
      <w:r>
        <w:rPr>
          <w:color w:val="231F20"/>
          <w:w w:val="105"/>
        </w:rPr>
        <w:t>uno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constructos</w:t>
      </w:r>
      <w:r>
        <w:rPr>
          <w:color w:val="231F20"/>
          <w:spacing w:val="-11"/>
          <w:w w:val="105"/>
        </w:rPr>
        <w:t> </w:t>
      </w:r>
      <w:r>
        <w:rPr>
          <w:color w:val="231F20"/>
          <w:w w:val="105"/>
        </w:rPr>
        <w:t>de</w:t>
      </w:r>
      <w:r>
        <w:rPr>
          <w:color w:val="231F20"/>
          <w:spacing w:val="-11"/>
          <w:w w:val="105"/>
        </w:rPr>
        <w:t> </w:t>
      </w:r>
      <w:r>
        <w:rPr>
          <w:color w:val="231F20"/>
          <w:w w:val="105"/>
        </w:rPr>
        <w:t>mayor interés</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estudios</w:t>
      </w:r>
      <w:r>
        <w:rPr>
          <w:color w:val="231F20"/>
          <w:spacing w:val="-13"/>
          <w:w w:val="105"/>
        </w:rPr>
        <w:t> </w:t>
      </w:r>
      <w:r>
        <w:rPr>
          <w:color w:val="231F20"/>
          <w:w w:val="105"/>
        </w:rPr>
        <w:t>económico-administrativos;</w:t>
      </w:r>
      <w:r>
        <w:rPr>
          <w:color w:val="231F20"/>
          <w:spacing w:val="-13"/>
          <w:w w:val="105"/>
        </w:rPr>
        <w:t> </w:t>
      </w:r>
      <w:r>
        <w:rPr>
          <w:color w:val="231F20"/>
          <w:w w:val="105"/>
        </w:rPr>
        <w:t>corresponde</w:t>
      </w:r>
      <w:r>
        <w:rPr>
          <w:color w:val="231F20"/>
          <w:spacing w:val="-1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in- dicador</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bien</w:t>
      </w:r>
      <w:r>
        <w:rPr>
          <w:color w:val="231F20"/>
          <w:spacing w:val="-11"/>
          <w:w w:val="105"/>
        </w:rPr>
        <w:t> </w:t>
      </w:r>
      <w:r>
        <w:rPr>
          <w:color w:val="231F20"/>
          <w:w w:val="105"/>
        </w:rPr>
        <w:t>que</w:t>
      </w:r>
      <w:r>
        <w:rPr>
          <w:color w:val="231F20"/>
          <w:spacing w:val="-11"/>
          <w:w w:val="105"/>
        </w:rPr>
        <w:t> </w:t>
      </w:r>
      <w:r>
        <w:rPr>
          <w:color w:val="231F20"/>
          <w:w w:val="105"/>
        </w:rPr>
        <w:t>una</w:t>
      </w:r>
      <w:r>
        <w:rPr>
          <w:color w:val="231F20"/>
          <w:spacing w:val="-11"/>
          <w:w w:val="105"/>
        </w:rPr>
        <w:t> </w:t>
      </w:r>
      <w:r>
        <w:rPr>
          <w:color w:val="231F20"/>
          <w:w w:val="105"/>
        </w:rPr>
        <w:t>organización</w:t>
      </w:r>
      <w:r>
        <w:rPr>
          <w:color w:val="231F20"/>
          <w:spacing w:val="-11"/>
          <w:w w:val="105"/>
        </w:rPr>
        <w:t> </w:t>
      </w:r>
      <w:r>
        <w:rPr>
          <w:color w:val="231F20"/>
          <w:w w:val="105"/>
        </w:rPr>
        <w:t>está</w:t>
      </w:r>
      <w:r>
        <w:rPr>
          <w:color w:val="231F20"/>
          <w:spacing w:val="-11"/>
          <w:w w:val="105"/>
        </w:rPr>
        <w:t> </w:t>
      </w:r>
      <w:r>
        <w:rPr>
          <w:color w:val="231F20"/>
          <w:w w:val="105"/>
        </w:rPr>
        <w:t>logrando</w:t>
      </w:r>
      <w:r>
        <w:rPr>
          <w:color w:val="231F20"/>
          <w:spacing w:val="-11"/>
          <w:w w:val="105"/>
        </w:rPr>
        <w:t> </w:t>
      </w:r>
      <w:r>
        <w:rPr>
          <w:color w:val="231F20"/>
          <w:w w:val="105"/>
        </w:rPr>
        <w:t>sus</w:t>
      </w:r>
      <w:r>
        <w:rPr>
          <w:color w:val="231F20"/>
          <w:spacing w:val="-11"/>
          <w:w w:val="105"/>
        </w:rPr>
        <w:t> </w:t>
      </w:r>
      <w:r>
        <w:rPr>
          <w:color w:val="231F20"/>
          <w:w w:val="105"/>
        </w:rPr>
        <w:t>objetivos</w:t>
      </w:r>
      <w:r>
        <w:rPr>
          <w:color w:val="231F20"/>
          <w:spacing w:val="-11"/>
          <w:w w:val="105"/>
        </w:rPr>
        <w:t> </w:t>
      </w:r>
      <w:r>
        <w:rPr>
          <w:color w:val="231F20"/>
          <w:w w:val="105"/>
        </w:rPr>
        <w:t>(Li- An,</w:t>
      </w:r>
      <w:r>
        <w:rPr>
          <w:color w:val="231F20"/>
          <w:spacing w:val="-11"/>
          <w:w w:val="105"/>
        </w:rPr>
        <w:t> </w:t>
      </w:r>
      <w:r>
        <w:rPr>
          <w:color w:val="231F20"/>
          <w:w w:val="105"/>
        </w:rPr>
        <w:t>2011)</w:t>
      </w:r>
      <w:r>
        <w:rPr>
          <w:color w:val="231F20"/>
          <w:spacing w:val="-5"/>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entorno</w:t>
      </w:r>
      <w:r>
        <w:rPr>
          <w:color w:val="231F20"/>
          <w:spacing w:val="-5"/>
          <w:w w:val="105"/>
        </w:rPr>
        <w:t> </w:t>
      </w:r>
      <w:r>
        <w:rPr>
          <w:color w:val="231F20"/>
          <w:w w:val="105"/>
        </w:rPr>
        <w:t>cambiante,</w:t>
      </w:r>
      <w:r>
        <w:rPr>
          <w:color w:val="231F20"/>
          <w:spacing w:val="-11"/>
          <w:w w:val="105"/>
        </w:rPr>
        <w:t> </w:t>
      </w:r>
      <w:r>
        <w:rPr>
          <w:color w:val="231F20"/>
          <w:w w:val="105"/>
        </w:rPr>
        <w:t>donde</w:t>
      </w:r>
      <w:r>
        <w:rPr>
          <w:color w:val="231F20"/>
          <w:spacing w:val="-5"/>
          <w:w w:val="105"/>
        </w:rPr>
        <w:t> </w:t>
      </w:r>
      <w:r>
        <w:rPr>
          <w:color w:val="231F20"/>
          <w:w w:val="105"/>
        </w:rPr>
        <w:t>la</w:t>
      </w:r>
      <w:r>
        <w:rPr>
          <w:color w:val="231F20"/>
          <w:spacing w:val="-5"/>
          <w:w w:val="105"/>
        </w:rPr>
        <w:t> </w:t>
      </w:r>
      <w:r>
        <w:rPr>
          <w:color w:val="231F20"/>
          <w:w w:val="105"/>
        </w:rPr>
        <w:t>competencia</w:t>
      </w:r>
      <w:r>
        <w:rPr>
          <w:color w:val="231F20"/>
          <w:spacing w:val="-5"/>
          <w:w w:val="105"/>
        </w:rPr>
        <w:t> </w:t>
      </w:r>
      <w:r>
        <w:rPr>
          <w:color w:val="231F20"/>
          <w:w w:val="105"/>
        </w:rPr>
        <w:t>cada vez</w:t>
      </w:r>
      <w:r>
        <w:rPr>
          <w:color w:val="231F20"/>
          <w:spacing w:val="-25"/>
          <w:w w:val="105"/>
        </w:rPr>
        <w:t> </w:t>
      </w:r>
      <w:r>
        <w:rPr>
          <w:color w:val="231F20"/>
          <w:w w:val="105"/>
        </w:rPr>
        <w:t>es</w:t>
      </w:r>
      <w:r>
        <w:rPr>
          <w:color w:val="231F20"/>
          <w:spacing w:val="-25"/>
          <w:w w:val="105"/>
        </w:rPr>
        <w:t> </w:t>
      </w:r>
      <w:r>
        <w:rPr>
          <w:color w:val="231F20"/>
          <w:w w:val="105"/>
        </w:rPr>
        <w:t>mayor</w:t>
      </w:r>
      <w:r>
        <w:rPr>
          <w:color w:val="231F20"/>
          <w:spacing w:val="-25"/>
          <w:w w:val="105"/>
        </w:rPr>
        <w:t> </w:t>
      </w:r>
      <w:r>
        <w:rPr>
          <w:color w:val="231F20"/>
          <w:w w:val="105"/>
        </w:rPr>
        <w:t>(Arena</w:t>
      </w:r>
      <w:r>
        <w:rPr>
          <w:color w:val="231F20"/>
          <w:spacing w:val="-25"/>
          <w:w w:val="105"/>
        </w:rPr>
        <w:t> </w:t>
      </w:r>
      <w:r>
        <w:rPr>
          <w:i/>
          <w:color w:val="231F20"/>
          <w:w w:val="105"/>
        </w:rPr>
        <w:t>et</w:t>
      </w:r>
      <w:r>
        <w:rPr>
          <w:i/>
          <w:color w:val="231F20"/>
          <w:spacing w:val="-25"/>
          <w:w w:val="105"/>
        </w:rPr>
        <w:t> </w:t>
      </w:r>
      <w:r>
        <w:rPr>
          <w:i/>
          <w:color w:val="231F20"/>
          <w:w w:val="105"/>
        </w:rPr>
        <w:t>al,</w:t>
      </w:r>
      <w:r>
        <w:rPr>
          <w:i/>
          <w:color w:val="231F20"/>
          <w:spacing w:val="-25"/>
          <w:w w:val="105"/>
        </w:rPr>
        <w:t> </w:t>
      </w:r>
      <w:r>
        <w:rPr>
          <w:color w:val="231F20"/>
          <w:w w:val="105"/>
        </w:rPr>
        <w:t>2009;</w:t>
      </w:r>
      <w:r>
        <w:rPr>
          <w:color w:val="231F20"/>
          <w:spacing w:val="-25"/>
          <w:w w:val="105"/>
        </w:rPr>
        <w:t> </w:t>
      </w:r>
      <w:r>
        <w:rPr>
          <w:color w:val="231F20"/>
          <w:w w:val="105"/>
        </w:rPr>
        <w:t>Richard</w:t>
      </w:r>
      <w:r>
        <w:rPr>
          <w:color w:val="231F20"/>
          <w:spacing w:val="-25"/>
          <w:w w:val="105"/>
        </w:rPr>
        <w:t> </w:t>
      </w:r>
      <w:r>
        <w:rPr>
          <w:i/>
          <w:color w:val="231F20"/>
          <w:w w:val="105"/>
        </w:rPr>
        <w:t>et</w:t>
      </w:r>
      <w:r>
        <w:rPr>
          <w:i/>
          <w:color w:val="231F20"/>
          <w:spacing w:val="-25"/>
          <w:w w:val="105"/>
        </w:rPr>
        <w:t> </w:t>
      </w:r>
      <w:r>
        <w:rPr>
          <w:i/>
          <w:color w:val="231F20"/>
          <w:w w:val="105"/>
        </w:rPr>
        <w:t>al,</w:t>
      </w:r>
      <w:r>
        <w:rPr>
          <w:i/>
          <w:color w:val="231F20"/>
          <w:spacing w:val="-25"/>
          <w:w w:val="105"/>
        </w:rPr>
        <w:t> </w:t>
      </w:r>
      <w:r>
        <w:rPr>
          <w:color w:val="231F20"/>
          <w:w w:val="105"/>
        </w:rPr>
        <w:t>2009),</w:t>
      </w:r>
      <w:r>
        <w:rPr>
          <w:color w:val="231F20"/>
          <w:spacing w:val="-29"/>
          <w:w w:val="105"/>
        </w:rPr>
        <w:t> </w:t>
      </w:r>
      <w:r>
        <w:rPr>
          <w:color w:val="231F20"/>
          <w:w w:val="105"/>
        </w:rPr>
        <w:t>los</w:t>
      </w:r>
      <w:r>
        <w:rPr>
          <w:color w:val="231F20"/>
          <w:spacing w:val="-25"/>
          <w:w w:val="105"/>
        </w:rPr>
        <w:t> </w:t>
      </w:r>
      <w:r>
        <w:rPr>
          <w:color w:val="231F20"/>
          <w:w w:val="105"/>
        </w:rPr>
        <w:t>investigadores</w:t>
      </w:r>
      <w:r>
        <w:rPr>
          <w:color w:val="231F20"/>
          <w:spacing w:val="-25"/>
          <w:w w:val="105"/>
        </w:rPr>
        <w:t> </w:t>
      </w:r>
      <w:r>
        <w:rPr>
          <w:color w:val="231F20"/>
          <w:w w:val="105"/>
        </w:rPr>
        <w:t>y gerentes</w:t>
      </w:r>
      <w:r>
        <w:rPr>
          <w:color w:val="231F20"/>
          <w:spacing w:val="-26"/>
          <w:w w:val="105"/>
        </w:rPr>
        <w:t> </w:t>
      </w:r>
      <w:r>
        <w:rPr>
          <w:color w:val="231F20"/>
          <w:w w:val="105"/>
        </w:rPr>
        <w:t>pueden</w:t>
      </w:r>
      <w:r>
        <w:rPr>
          <w:color w:val="231F20"/>
          <w:spacing w:val="-26"/>
          <w:w w:val="105"/>
        </w:rPr>
        <w:t> </w:t>
      </w:r>
      <w:r>
        <w:rPr>
          <w:color w:val="231F20"/>
          <w:w w:val="105"/>
        </w:rPr>
        <w:t>valorar</w:t>
      </w:r>
      <w:r>
        <w:rPr>
          <w:color w:val="231F20"/>
          <w:spacing w:val="-26"/>
          <w:w w:val="105"/>
        </w:rPr>
        <w:t> </w:t>
      </w:r>
      <w:r>
        <w:rPr>
          <w:color w:val="231F20"/>
          <w:w w:val="105"/>
        </w:rPr>
        <w:t>las</w:t>
      </w:r>
      <w:r>
        <w:rPr>
          <w:color w:val="231F20"/>
          <w:spacing w:val="-26"/>
          <w:w w:val="105"/>
        </w:rPr>
        <w:t> </w:t>
      </w:r>
      <w:r>
        <w:rPr>
          <w:color w:val="231F20"/>
          <w:w w:val="105"/>
        </w:rPr>
        <w:t>acciones</w:t>
      </w:r>
      <w:r>
        <w:rPr>
          <w:color w:val="231F20"/>
          <w:spacing w:val="-26"/>
          <w:w w:val="105"/>
        </w:rPr>
        <w:t> </w:t>
      </w:r>
      <w:r>
        <w:rPr>
          <w:color w:val="231F20"/>
          <w:w w:val="105"/>
        </w:rPr>
        <w:t>que</w:t>
      </w:r>
      <w:r>
        <w:rPr>
          <w:color w:val="231F20"/>
          <w:spacing w:val="-26"/>
          <w:w w:val="105"/>
        </w:rPr>
        <w:t> </w:t>
      </w:r>
      <w:r>
        <w:rPr>
          <w:color w:val="231F20"/>
          <w:w w:val="105"/>
        </w:rPr>
        <w:t>las</w:t>
      </w:r>
      <w:r>
        <w:rPr>
          <w:color w:val="231F20"/>
          <w:spacing w:val="-26"/>
          <w:w w:val="105"/>
        </w:rPr>
        <w:t> </w:t>
      </w:r>
      <w:r>
        <w:rPr>
          <w:color w:val="231F20"/>
          <w:w w:val="105"/>
        </w:rPr>
        <w:t>organizaciones</w:t>
      </w:r>
      <w:r>
        <w:rPr>
          <w:color w:val="231F20"/>
          <w:spacing w:val="-26"/>
          <w:w w:val="105"/>
        </w:rPr>
        <w:t> </w:t>
      </w:r>
      <w:r>
        <w:rPr>
          <w:color w:val="231F20"/>
          <w:w w:val="105"/>
        </w:rPr>
        <w:t>y</w:t>
      </w:r>
      <w:r>
        <w:rPr>
          <w:color w:val="231F20"/>
          <w:spacing w:val="-26"/>
          <w:w w:val="105"/>
        </w:rPr>
        <w:t> </w:t>
      </w:r>
      <w:r>
        <w:rPr>
          <w:color w:val="231F20"/>
          <w:w w:val="105"/>
        </w:rPr>
        <w:t>sus</w:t>
      </w:r>
      <w:r>
        <w:rPr>
          <w:color w:val="231F20"/>
          <w:spacing w:val="-26"/>
          <w:w w:val="105"/>
        </w:rPr>
        <w:t> </w:t>
      </w:r>
      <w:r>
        <w:rPr>
          <w:color w:val="231F20"/>
          <w:w w:val="105"/>
        </w:rPr>
        <w:t>admi- </w:t>
      </w:r>
      <w:r>
        <w:rPr>
          <w:color w:val="231F20"/>
        </w:rPr>
        <w:t>nistradores</w:t>
      </w:r>
      <w:r>
        <w:rPr>
          <w:color w:val="231F20"/>
          <w:spacing w:val="16"/>
        </w:rPr>
        <w:t> </w:t>
      </w:r>
      <w:r>
        <w:rPr>
          <w:color w:val="231F20"/>
        </w:rPr>
        <w:t>realizan.</w:t>
      </w:r>
    </w:p>
    <w:p>
      <w:pPr>
        <w:pStyle w:val="BodyText"/>
        <w:spacing w:line="259" w:lineRule="auto"/>
        <w:ind w:left="103" w:right="108" w:firstLine="567"/>
        <w:jc w:val="right"/>
      </w:pPr>
      <w:r>
        <w:rPr>
          <w:color w:val="231F20"/>
          <w:w w:val="105"/>
        </w:rPr>
        <w:t>El</w:t>
      </w:r>
      <w:r>
        <w:rPr>
          <w:color w:val="231F20"/>
          <w:spacing w:val="-14"/>
          <w:w w:val="105"/>
        </w:rPr>
        <w:t> </w:t>
      </w:r>
      <w:r>
        <w:rPr>
          <w:color w:val="231F20"/>
          <w:w w:val="105"/>
        </w:rPr>
        <w:t>desempeño</w:t>
      </w:r>
      <w:r>
        <w:rPr>
          <w:color w:val="231F20"/>
          <w:spacing w:val="-14"/>
          <w:w w:val="105"/>
        </w:rPr>
        <w:t> </w:t>
      </w:r>
      <w:r>
        <w:rPr>
          <w:color w:val="231F20"/>
          <w:w w:val="105"/>
        </w:rPr>
        <w:t>organizacional</w:t>
      </w:r>
      <w:r>
        <w:rPr>
          <w:color w:val="231F20"/>
          <w:spacing w:val="-14"/>
          <w:w w:val="105"/>
        </w:rPr>
        <w:t> </w:t>
      </w:r>
      <w:r>
        <w:rPr>
          <w:color w:val="231F20"/>
          <w:w w:val="105"/>
        </w:rPr>
        <w:t>en</w:t>
      </w:r>
      <w:r>
        <w:rPr>
          <w:color w:val="231F20"/>
          <w:spacing w:val="-14"/>
          <w:w w:val="105"/>
        </w:rPr>
        <w:t> </w:t>
      </w:r>
      <w:r>
        <w:rPr>
          <w:color w:val="231F20"/>
          <w:w w:val="105"/>
        </w:rPr>
        <w:t>general,</w:t>
      </w:r>
      <w:r>
        <w:rPr>
          <w:color w:val="231F20"/>
          <w:spacing w:val="-19"/>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excelencia</w:t>
      </w:r>
      <w:r>
        <w:rPr>
          <w:color w:val="231F20"/>
          <w:spacing w:val="-14"/>
          <w:w w:val="105"/>
        </w:rPr>
        <w:t> </w:t>
      </w:r>
      <w:r>
        <w:rPr>
          <w:color w:val="231F20"/>
          <w:w w:val="105"/>
        </w:rPr>
        <w:t>adminis-</w:t>
      </w:r>
      <w:r>
        <w:rPr>
          <w:color w:val="231F20"/>
          <w:w w:val="96"/>
        </w:rPr>
        <w:t> </w:t>
      </w:r>
      <w:r>
        <w:rPr>
          <w:color w:val="231F20"/>
          <w:w w:val="105"/>
        </w:rPr>
        <w:t>trativa específicamente, han cobrado importancia en</w:t>
      </w:r>
      <w:r>
        <w:rPr>
          <w:color w:val="231F20"/>
          <w:spacing w:val="17"/>
          <w:w w:val="105"/>
        </w:rPr>
        <w:t> </w:t>
      </w:r>
      <w:r>
        <w:rPr>
          <w:color w:val="231F20"/>
          <w:w w:val="105"/>
        </w:rPr>
        <w:t>las</w:t>
      </w:r>
      <w:r>
        <w:rPr>
          <w:color w:val="231F20"/>
          <w:spacing w:val="3"/>
          <w:w w:val="105"/>
        </w:rPr>
        <w:t> </w:t>
      </w:r>
      <w:r>
        <w:rPr>
          <w:color w:val="231F20"/>
          <w:w w:val="105"/>
        </w:rPr>
        <w:t>universidades</w:t>
      </w:r>
      <w:r>
        <w:rPr>
          <w:color w:val="231F20"/>
          <w:w w:val="102"/>
        </w:rPr>
        <w:t> </w:t>
      </w:r>
      <w:r>
        <w:rPr>
          <w:color w:val="231F20"/>
          <w:w w:val="105"/>
        </w:rPr>
        <w:t>o instituciones públicas de educación superior (IPES), debido</w:t>
      </w:r>
      <w:r>
        <w:rPr>
          <w:color w:val="231F20"/>
          <w:spacing w:val="13"/>
          <w:w w:val="105"/>
        </w:rPr>
        <w:t> </w:t>
      </w:r>
      <w:r>
        <w:rPr>
          <w:color w:val="231F20"/>
          <w:w w:val="105"/>
        </w:rPr>
        <w:t>al</w:t>
      </w:r>
      <w:r>
        <w:rPr>
          <w:color w:val="231F20"/>
          <w:spacing w:val="10"/>
          <w:w w:val="105"/>
        </w:rPr>
        <w:t> </w:t>
      </w:r>
      <w:r>
        <w:rPr>
          <w:color w:val="231F20"/>
          <w:w w:val="105"/>
        </w:rPr>
        <w:t>papel</w:t>
      </w:r>
      <w:r>
        <w:rPr>
          <w:color w:val="231F20"/>
          <w:w w:val="107"/>
        </w:rPr>
        <w:t> </w:t>
      </w:r>
      <w:r>
        <w:rPr>
          <w:color w:val="231F20"/>
          <w:w w:val="105"/>
        </w:rPr>
        <w:t>vital que juegan en el desarrollo del capital humano y en</w:t>
      </w:r>
      <w:r>
        <w:rPr>
          <w:color w:val="231F20"/>
          <w:spacing w:val="21"/>
          <w:w w:val="105"/>
        </w:rPr>
        <w:t> </w:t>
      </w:r>
      <w:r>
        <w:rPr>
          <w:color w:val="231F20"/>
          <w:w w:val="105"/>
        </w:rPr>
        <w:t>el</w:t>
      </w:r>
      <w:r>
        <w:rPr>
          <w:color w:val="231F20"/>
          <w:spacing w:val="7"/>
          <w:w w:val="105"/>
        </w:rPr>
        <w:t> </w:t>
      </w:r>
      <w:r>
        <w:rPr>
          <w:color w:val="231F20"/>
          <w:w w:val="105"/>
        </w:rPr>
        <w:t>crecimien-</w:t>
      </w:r>
      <w:r>
        <w:rPr>
          <w:color w:val="231F20"/>
          <w:w w:val="96"/>
        </w:rPr>
        <w:t> </w:t>
      </w:r>
      <w:r>
        <w:rPr>
          <w:color w:val="231F20"/>
          <w:w w:val="105"/>
        </w:rPr>
        <w:t>to económico sostenible de una sociedad justa y</w:t>
      </w:r>
      <w:r>
        <w:rPr>
          <w:color w:val="231F20"/>
          <w:spacing w:val="17"/>
          <w:w w:val="105"/>
        </w:rPr>
        <w:t> </w:t>
      </w:r>
      <w:r>
        <w:rPr>
          <w:color w:val="231F20"/>
          <w:w w:val="105"/>
        </w:rPr>
        <w:t>equilibrada</w:t>
      </w:r>
      <w:r>
        <w:rPr>
          <w:color w:val="231F20"/>
          <w:spacing w:val="2"/>
          <w:w w:val="105"/>
        </w:rPr>
        <w:t> </w:t>
      </w:r>
      <w:r>
        <w:rPr>
          <w:color w:val="231F20"/>
          <w:w w:val="105"/>
        </w:rPr>
        <w:t>(ANUIES,</w:t>
      </w:r>
      <w:r>
        <w:rPr>
          <w:color w:val="231F20"/>
          <w:w w:val="95"/>
        </w:rPr>
        <w:t> </w:t>
      </w:r>
      <w:r>
        <w:rPr>
          <w:color w:val="231F20"/>
          <w:w w:val="105"/>
        </w:rPr>
        <w:t>2006).</w:t>
      </w:r>
      <w:r>
        <w:rPr>
          <w:color w:val="231F20"/>
          <w:spacing w:val="-27"/>
          <w:w w:val="105"/>
        </w:rPr>
        <w:t> </w:t>
      </w:r>
      <w:r>
        <w:rPr>
          <w:color w:val="231F20"/>
          <w:w w:val="105"/>
        </w:rPr>
        <w:t>Sin</w:t>
      </w:r>
      <w:r>
        <w:rPr>
          <w:color w:val="231F20"/>
          <w:spacing w:val="-22"/>
          <w:w w:val="105"/>
        </w:rPr>
        <w:t> </w:t>
      </w:r>
      <w:r>
        <w:rPr>
          <w:color w:val="231F20"/>
          <w:w w:val="105"/>
        </w:rPr>
        <w:t>embargo,</w:t>
      </w:r>
      <w:r>
        <w:rPr>
          <w:color w:val="231F20"/>
          <w:spacing w:val="-27"/>
          <w:w w:val="105"/>
        </w:rPr>
        <w:t> </w:t>
      </w:r>
      <w:r>
        <w:rPr>
          <w:color w:val="231F20"/>
          <w:w w:val="105"/>
        </w:rPr>
        <w:t>no</w:t>
      </w:r>
      <w:r>
        <w:rPr>
          <w:color w:val="231F20"/>
          <w:spacing w:val="-22"/>
          <w:w w:val="105"/>
        </w:rPr>
        <w:t> </w:t>
      </w:r>
      <w:r>
        <w:rPr>
          <w:color w:val="231F20"/>
          <w:w w:val="105"/>
        </w:rPr>
        <w:t>existe</w:t>
      </w:r>
      <w:r>
        <w:rPr>
          <w:color w:val="231F20"/>
          <w:spacing w:val="-22"/>
          <w:w w:val="105"/>
        </w:rPr>
        <w:t> </w:t>
      </w:r>
      <w:r>
        <w:rPr>
          <w:color w:val="231F20"/>
          <w:w w:val="105"/>
        </w:rPr>
        <w:t>consenso</w:t>
      </w:r>
      <w:r>
        <w:rPr>
          <w:color w:val="231F20"/>
          <w:spacing w:val="-22"/>
          <w:w w:val="105"/>
        </w:rPr>
        <w:t> </w:t>
      </w:r>
      <w:r>
        <w:rPr>
          <w:color w:val="231F20"/>
          <w:w w:val="105"/>
        </w:rPr>
        <w:t>acerca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componentes</w:t>
      </w:r>
      <w:r>
        <w:rPr>
          <w:color w:val="231F20"/>
          <w:spacing w:val="-22"/>
          <w:w w:val="105"/>
        </w:rPr>
        <w:t> </w:t>
      </w:r>
      <w:r>
        <w:rPr>
          <w:color w:val="231F20"/>
          <w:w w:val="105"/>
        </w:rPr>
        <w:t>que</w:t>
      </w:r>
      <w:r>
        <w:rPr>
          <w:color w:val="231F20"/>
          <w:w w:val="107"/>
        </w:rPr>
        <w:t> </w:t>
      </w:r>
      <w:r>
        <w:rPr>
          <w:color w:val="231F20"/>
          <w:w w:val="105"/>
        </w:rPr>
        <w:t>integran</w:t>
      </w:r>
      <w:r>
        <w:rPr>
          <w:color w:val="231F20"/>
          <w:spacing w:val="-14"/>
          <w:w w:val="105"/>
        </w:rPr>
        <w:t> </w:t>
      </w:r>
      <w:r>
        <w:rPr>
          <w:color w:val="231F20"/>
          <w:w w:val="105"/>
        </w:rPr>
        <w:t>este</w:t>
      </w:r>
      <w:r>
        <w:rPr>
          <w:color w:val="231F20"/>
          <w:spacing w:val="-14"/>
          <w:w w:val="105"/>
        </w:rPr>
        <w:t> </w:t>
      </w:r>
      <w:r>
        <w:rPr>
          <w:color w:val="231F20"/>
          <w:w w:val="105"/>
        </w:rPr>
        <w:t>constructo,</w:t>
      </w:r>
      <w:r>
        <w:rPr>
          <w:color w:val="231F20"/>
          <w:spacing w:val="-21"/>
          <w:w w:val="105"/>
        </w:rPr>
        <w:t> </w:t>
      </w:r>
      <w:r>
        <w:rPr>
          <w:color w:val="231F20"/>
          <w:w w:val="105"/>
        </w:rPr>
        <w:t>por</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han</w:t>
      </w:r>
      <w:r>
        <w:rPr>
          <w:color w:val="231F20"/>
          <w:spacing w:val="-14"/>
          <w:w w:val="105"/>
        </w:rPr>
        <w:t> </w:t>
      </w:r>
      <w:r>
        <w:rPr>
          <w:color w:val="231F20"/>
          <w:w w:val="105"/>
        </w:rPr>
        <w:t>propuesto</w:t>
      </w:r>
      <w:r>
        <w:rPr>
          <w:color w:val="231F20"/>
          <w:spacing w:val="-14"/>
          <w:w w:val="105"/>
        </w:rPr>
        <w:t> </w:t>
      </w:r>
      <w:r>
        <w:rPr>
          <w:color w:val="231F20"/>
          <w:w w:val="105"/>
        </w:rPr>
        <w:t>diversos</w:t>
      </w:r>
      <w:r>
        <w:rPr>
          <w:color w:val="231F20"/>
          <w:spacing w:val="-14"/>
          <w:w w:val="105"/>
        </w:rPr>
        <w:t> </w:t>
      </w:r>
      <w:r>
        <w:rPr>
          <w:color w:val="231F20"/>
          <w:w w:val="105"/>
        </w:rPr>
        <w:t>modelos.</w:t>
      </w:r>
      <w:r>
        <w:rPr>
          <w:color w:val="231F20"/>
          <w:w w:val="105"/>
        </w:rPr>
        <w:t> </w:t>
      </w:r>
      <w:r>
        <w:rPr>
          <w:color w:val="231F20"/>
          <w:w w:val="105"/>
        </w:rPr>
        <w:t>El</w:t>
      </w:r>
      <w:r>
        <w:rPr>
          <w:color w:val="231F20"/>
          <w:spacing w:val="-14"/>
          <w:w w:val="105"/>
        </w:rPr>
        <w:t> </w:t>
      </w:r>
      <w:r>
        <w:rPr>
          <w:color w:val="231F20"/>
          <w:w w:val="105"/>
        </w:rPr>
        <w:t>objetivo</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capítulo</w:t>
      </w:r>
      <w:r>
        <w:rPr>
          <w:color w:val="231F20"/>
          <w:spacing w:val="-14"/>
          <w:w w:val="105"/>
        </w:rPr>
        <w:t> </w:t>
      </w:r>
      <w:r>
        <w:rPr>
          <w:color w:val="231F20"/>
          <w:w w:val="105"/>
        </w:rPr>
        <w:t>es</w:t>
      </w:r>
      <w:r>
        <w:rPr>
          <w:color w:val="231F20"/>
          <w:spacing w:val="-14"/>
          <w:w w:val="105"/>
        </w:rPr>
        <w:t> </w:t>
      </w:r>
      <w:r>
        <w:rPr>
          <w:color w:val="231F20"/>
          <w:w w:val="105"/>
        </w:rPr>
        <w:t>identificar</w:t>
      </w:r>
      <w:r>
        <w:rPr>
          <w:color w:val="231F20"/>
          <w:spacing w:val="-14"/>
          <w:w w:val="105"/>
        </w:rPr>
        <w:t> </w:t>
      </w:r>
      <w:r>
        <w:rPr>
          <w:color w:val="231F20"/>
          <w:w w:val="105"/>
        </w:rPr>
        <w:t>la</w:t>
      </w:r>
      <w:r>
        <w:rPr>
          <w:color w:val="231F20"/>
          <w:spacing w:val="-14"/>
          <w:w w:val="105"/>
        </w:rPr>
        <w:t> </w:t>
      </w:r>
      <w:r>
        <w:rPr>
          <w:color w:val="231F20"/>
          <w:w w:val="105"/>
        </w:rPr>
        <w:t>aplicabilidad</w:t>
      </w:r>
      <w:r>
        <w:rPr>
          <w:color w:val="231F20"/>
          <w:spacing w:val="-14"/>
          <w:w w:val="105"/>
        </w:rPr>
        <w:t> </w:t>
      </w:r>
      <w:r>
        <w:rPr>
          <w:color w:val="231F20"/>
          <w:w w:val="105"/>
        </w:rPr>
        <w:t>del</w:t>
      </w:r>
      <w:r>
        <w:rPr>
          <w:color w:val="231F20"/>
          <w:spacing w:val="-14"/>
          <w:w w:val="105"/>
        </w:rPr>
        <w:t> </w:t>
      </w:r>
      <w:r>
        <w:rPr>
          <w:color w:val="231F20"/>
          <w:w w:val="105"/>
        </w:rPr>
        <w:t>mode-</w:t>
      </w:r>
    </w:p>
    <w:p>
      <w:pPr>
        <w:pStyle w:val="BodyText"/>
        <w:spacing w:line="259" w:lineRule="auto"/>
        <w:ind w:left="103" w:right="108"/>
        <w:jc w:val="both"/>
      </w:pPr>
      <w:r>
        <w:rPr>
          <w:color w:val="231F20"/>
          <w:w w:val="105"/>
        </w:rPr>
        <w:t>lo</w:t>
      </w:r>
      <w:r>
        <w:rPr>
          <w:color w:val="231F20"/>
          <w:spacing w:val="-6"/>
          <w:w w:val="105"/>
        </w:rPr>
        <w:t> </w:t>
      </w:r>
      <w:r>
        <w:rPr>
          <w:color w:val="231F20"/>
          <w:w w:val="105"/>
        </w:rPr>
        <w:t>de</w:t>
      </w:r>
      <w:r>
        <w:rPr>
          <w:color w:val="231F20"/>
          <w:spacing w:val="-6"/>
          <w:w w:val="105"/>
        </w:rPr>
        <w:t> </w:t>
      </w:r>
      <w:r>
        <w:rPr>
          <w:color w:val="231F20"/>
          <w:w w:val="105"/>
        </w:rPr>
        <w:t>excelencia</w:t>
      </w:r>
      <w:r>
        <w:rPr>
          <w:color w:val="231F20"/>
          <w:spacing w:val="-6"/>
          <w:w w:val="105"/>
        </w:rPr>
        <w:t> </w:t>
      </w:r>
      <w:r>
        <w:rPr>
          <w:color w:val="231F20"/>
          <w:w w:val="105"/>
        </w:rPr>
        <w:t>administrativa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Fundación</w:t>
      </w:r>
      <w:r>
        <w:rPr>
          <w:color w:val="231F20"/>
          <w:spacing w:val="-6"/>
          <w:w w:val="105"/>
        </w:rPr>
        <w:t> </w:t>
      </w:r>
      <w:r>
        <w:rPr>
          <w:color w:val="231F20"/>
          <w:w w:val="105"/>
        </w:rPr>
        <w:t>Europea</w:t>
      </w:r>
      <w:r>
        <w:rPr>
          <w:color w:val="231F20"/>
          <w:spacing w:val="-6"/>
          <w:w w:val="105"/>
        </w:rPr>
        <w:t> </w:t>
      </w:r>
      <w:r>
        <w:rPr>
          <w:color w:val="231F20"/>
          <w:w w:val="105"/>
        </w:rPr>
        <w:t>de</w:t>
      </w:r>
      <w:r>
        <w:rPr>
          <w:color w:val="231F20"/>
          <w:spacing w:val="-6"/>
          <w:w w:val="105"/>
        </w:rPr>
        <w:t> </w:t>
      </w:r>
      <w:r>
        <w:rPr>
          <w:color w:val="231F20"/>
          <w:w w:val="105"/>
        </w:rPr>
        <w:t>Gestión</w:t>
      </w:r>
      <w:r>
        <w:rPr>
          <w:color w:val="231F20"/>
          <w:spacing w:val="-6"/>
          <w:w w:val="105"/>
        </w:rPr>
        <w:t> </w:t>
      </w:r>
      <w:r>
        <w:rPr>
          <w:color w:val="231F20"/>
          <w:w w:val="105"/>
        </w:rPr>
        <w:t>de la</w:t>
      </w:r>
      <w:r>
        <w:rPr>
          <w:color w:val="231F20"/>
          <w:spacing w:val="-14"/>
          <w:w w:val="105"/>
        </w:rPr>
        <w:t> </w:t>
      </w:r>
      <w:r>
        <w:rPr>
          <w:color w:val="231F20"/>
          <w:w w:val="105"/>
        </w:rPr>
        <w:t>Calidad</w:t>
      </w:r>
      <w:r>
        <w:rPr>
          <w:color w:val="231F20"/>
          <w:spacing w:val="-14"/>
          <w:w w:val="105"/>
        </w:rPr>
        <w:t> </w:t>
      </w:r>
      <w:r>
        <w:rPr>
          <w:color w:val="231F20"/>
          <w:w w:val="105"/>
        </w:rPr>
        <w:t>(EFQM)</w:t>
      </w:r>
      <w:r>
        <w:rPr>
          <w:color w:val="231F20"/>
          <w:spacing w:val="-14"/>
          <w:w w:val="105"/>
        </w:rPr>
        <w:t> </w:t>
      </w:r>
      <w:r>
        <w:rPr>
          <w:color w:val="231F20"/>
          <w:w w:val="105"/>
        </w:rPr>
        <w:t>para</w:t>
      </w:r>
      <w:r>
        <w:rPr>
          <w:color w:val="231F20"/>
          <w:spacing w:val="-14"/>
          <w:w w:val="105"/>
        </w:rPr>
        <w:t> </w:t>
      </w:r>
      <w:r>
        <w:rPr>
          <w:color w:val="231F20"/>
          <w:w w:val="105"/>
        </w:rPr>
        <w:t>la</w:t>
      </w:r>
      <w:r>
        <w:rPr>
          <w:color w:val="231F20"/>
          <w:spacing w:val="-14"/>
          <w:w w:val="105"/>
        </w:rPr>
        <w:t> </w:t>
      </w:r>
      <w:r>
        <w:rPr>
          <w:color w:val="231F20"/>
          <w:w w:val="105"/>
        </w:rPr>
        <w:t>evaluación</w:t>
      </w:r>
      <w:r>
        <w:rPr>
          <w:color w:val="231F20"/>
          <w:spacing w:val="-14"/>
          <w:w w:val="105"/>
        </w:rPr>
        <w:t> </w:t>
      </w:r>
      <w:r>
        <w:rPr>
          <w:color w:val="231F20"/>
          <w:w w:val="105"/>
        </w:rPr>
        <w:t>del</w:t>
      </w:r>
      <w:r>
        <w:rPr>
          <w:color w:val="231F20"/>
          <w:spacing w:val="-14"/>
          <w:w w:val="105"/>
        </w:rPr>
        <w:t> </w:t>
      </w:r>
      <w:r>
        <w:rPr>
          <w:color w:val="231F20"/>
          <w:w w:val="105"/>
        </w:rPr>
        <w:t>desempeño</w:t>
      </w:r>
      <w:r>
        <w:rPr>
          <w:color w:val="231F20"/>
          <w:spacing w:val="-14"/>
          <w:w w:val="105"/>
        </w:rPr>
        <w:t> </w:t>
      </w:r>
      <w:r>
        <w:rPr>
          <w:color w:val="231F20"/>
          <w:w w:val="105"/>
        </w:rPr>
        <w:t>organizacional</w:t>
      </w:r>
      <w:r>
        <w:rPr>
          <w:color w:val="231F20"/>
          <w:spacing w:val="-14"/>
          <w:w w:val="105"/>
        </w:rPr>
        <w:t> </w:t>
      </w:r>
      <w:r>
        <w:rPr>
          <w:color w:val="231F20"/>
          <w:w w:val="105"/>
        </w:rPr>
        <w:t>de las</w:t>
      </w:r>
      <w:r>
        <w:rPr>
          <w:color w:val="231F20"/>
          <w:spacing w:val="-25"/>
          <w:w w:val="105"/>
        </w:rPr>
        <w:t> </w:t>
      </w:r>
      <w:r>
        <w:rPr>
          <w:color w:val="231F20"/>
          <w:w w:val="105"/>
        </w:rPr>
        <w:t>universidades.</w:t>
      </w:r>
      <w:r>
        <w:rPr>
          <w:color w:val="231F20"/>
          <w:spacing w:val="-29"/>
          <w:w w:val="105"/>
        </w:rPr>
        <w:t> </w:t>
      </w:r>
      <w:r>
        <w:rPr>
          <w:color w:val="231F20"/>
          <w:spacing w:val="-4"/>
          <w:w w:val="105"/>
        </w:rPr>
        <w:t>Para</w:t>
      </w:r>
      <w:r>
        <w:rPr>
          <w:color w:val="231F20"/>
          <w:spacing w:val="-25"/>
          <w:w w:val="105"/>
        </w:rPr>
        <w:t> </w:t>
      </w:r>
      <w:r>
        <w:rPr>
          <w:color w:val="231F20"/>
          <w:w w:val="105"/>
        </w:rPr>
        <w:t>ello,</w:t>
      </w:r>
      <w:r>
        <w:rPr>
          <w:color w:val="231F20"/>
          <w:spacing w:val="-29"/>
          <w:w w:val="105"/>
        </w:rPr>
        <w:t> </w:t>
      </w:r>
      <w:r>
        <w:rPr>
          <w:color w:val="231F20"/>
          <w:w w:val="105"/>
        </w:rPr>
        <w:t>este</w:t>
      </w:r>
      <w:r>
        <w:rPr>
          <w:color w:val="231F20"/>
          <w:spacing w:val="-25"/>
          <w:w w:val="105"/>
        </w:rPr>
        <w:t> </w:t>
      </w:r>
      <w:r>
        <w:rPr>
          <w:color w:val="231F20"/>
          <w:w w:val="105"/>
        </w:rPr>
        <w:t>documento</w:t>
      </w:r>
      <w:r>
        <w:rPr>
          <w:color w:val="231F20"/>
          <w:spacing w:val="-25"/>
          <w:w w:val="105"/>
        </w:rPr>
        <w:t> </w:t>
      </w:r>
      <w:r>
        <w:rPr>
          <w:color w:val="231F20"/>
          <w:w w:val="105"/>
        </w:rPr>
        <w:t>se</w:t>
      </w:r>
      <w:r>
        <w:rPr>
          <w:color w:val="231F20"/>
          <w:spacing w:val="-25"/>
          <w:w w:val="105"/>
        </w:rPr>
        <w:t> </w:t>
      </w:r>
      <w:r>
        <w:rPr>
          <w:color w:val="231F20"/>
          <w:w w:val="105"/>
        </w:rPr>
        <w:t>estructura</w:t>
      </w:r>
      <w:r>
        <w:rPr>
          <w:color w:val="231F20"/>
          <w:spacing w:val="-25"/>
          <w:w w:val="105"/>
        </w:rPr>
        <w:t> </w:t>
      </w:r>
      <w:r>
        <w:rPr>
          <w:color w:val="231F20"/>
          <w:w w:val="105"/>
        </w:rPr>
        <w:t>en</w:t>
      </w:r>
      <w:r>
        <w:rPr>
          <w:color w:val="231F20"/>
          <w:spacing w:val="-25"/>
          <w:w w:val="105"/>
        </w:rPr>
        <w:t> </w:t>
      </w:r>
      <w:r>
        <w:rPr>
          <w:color w:val="231F20"/>
          <w:w w:val="105"/>
        </w:rPr>
        <w:t>tres</w:t>
      </w:r>
      <w:r>
        <w:rPr>
          <w:color w:val="231F20"/>
          <w:spacing w:val="-25"/>
          <w:w w:val="105"/>
        </w:rPr>
        <w:t> </w:t>
      </w:r>
      <w:r>
        <w:rPr>
          <w:color w:val="231F20"/>
          <w:w w:val="105"/>
        </w:rPr>
        <w:t>partes. Se inicia con el concepto de desempeño organizacional, incluyendo su desarrollo</w:t>
      </w:r>
      <w:r>
        <w:rPr>
          <w:color w:val="231F20"/>
          <w:spacing w:val="-24"/>
          <w:w w:val="105"/>
        </w:rPr>
        <w:t> </w:t>
      </w:r>
      <w:r>
        <w:rPr>
          <w:color w:val="231F20"/>
          <w:w w:val="105"/>
        </w:rPr>
        <w:t>histórico</w:t>
      </w:r>
      <w:r>
        <w:rPr>
          <w:color w:val="231F20"/>
          <w:spacing w:val="-24"/>
          <w:w w:val="105"/>
        </w:rPr>
        <w:t> </w:t>
      </w:r>
      <w:r>
        <w:rPr>
          <w:color w:val="231F20"/>
          <w:w w:val="105"/>
        </w:rPr>
        <w:t>en</w:t>
      </w:r>
      <w:r>
        <w:rPr>
          <w:color w:val="231F20"/>
          <w:spacing w:val="-24"/>
          <w:w w:val="105"/>
        </w:rPr>
        <w:t> </w:t>
      </w:r>
      <w:r>
        <w:rPr>
          <w:color w:val="231F20"/>
          <w:w w:val="105"/>
        </w:rPr>
        <w:t>tres</w:t>
      </w:r>
      <w:r>
        <w:rPr>
          <w:color w:val="231F20"/>
          <w:spacing w:val="-24"/>
          <w:w w:val="105"/>
        </w:rPr>
        <w:t> </w:t>
      </w:r>
      <w:r>
        <w:rPr>
          <w:color w:val="231F20"/>
          <w:w w:val="105"/>
        </w:rPr>
        <w:t>etapas:</w:t>
      </w:r>
      <w:r>
        <w:rPr>
          <w:color w:val="231F20"/>
          <w:spacing w:val="-24"/>
          <w:w w:val="105"/>
        </w:rPr>
        <w:t> </w:t>
      </w:r>
      <w:r>
        <w:rPr>
          <w:color w:val="231F20"/>
          <w:w w:val="105"/>
        </w:rPr>
        <w:t>efectividad</w:t>
      </w:r>
      <w:r>
        <w:rPr>
          <w:color w:val="231F20"/>
          <w:spacing w:val="-24"/>
          <w:w w:val="105"/>
        </w:rPr>
        <w:t> </w:t>
      </w:r>
      <w:r>
        <w:rPr>
          <w:color w:val="231F20"/>
          <w:w w:val="105"/>
        </w:rPr>
        <w:t>organizacional,</w:t>
      </w:r>
      <w:r>
        <w:rPr>
          <w:color w:val="231F20"/>
          <w:spacing w:val="-29"/>
          <w:w w:val="105"/>
        </w:rPr>
        <w:t> </w:t>
      </w:r>
      <w:r>
        <w:rPr>
          <w:color w:val="231F20"/>
          <w:w w:val="105"/>
        </w:rPr>
        <w:t>calidad</w:t>
      </w:r>
      <w:r>
        <w:rPr>
          <w:color w:val="231F20"/>
          <w:spacing w:val="-24"/>
          <w:w w:val="105"/>
        </w:rPr>
        <w:t> </w:t>
      </w:r>
      <w:r>
        <w:rPr>
          <w:color w:val="231F20"/>
          <w:w w:val="105"/>
        </w:rPr>
        <w:t>to- tal</w:t>
      </w:r>
      <w:r>
        <w:rPr>
          <w:color w:val="231F20"/>
          <w:spacing w:val="-16"/>
          <w:w w:val="105"/>
        </w:rPr>
        <w:t> </w:t>
      </w:r>
      <w:r>
        <w:rPr>
          <w:color w:val="231F20"/>
          <w:w w:val="105"/>
        </w:rPr>
        <w:t>y</w:t>
      </w:r>
      <w:r>
        <w:rPr>
          <w:color w:val="231F20"/>
          <w:spacing w:val="-16"/>
          <w:w w:val="105"/>
        </w:rPr>
        <w:t> </w:t>
      </w:r>
      <w:r>
        <w:rPr>
          <w:color w:val="231F20"/>
          <w:w w:val="105"/>
        </w:rPr>
        <w:t>excelencia</w:t>
      </w:r>
      <w:r>
        <w:rPr>
          <w:color w:val="231F20"/>
          <w:spacing w:val="-16"/>
          <w:w w:val="105"/>
        </w:rPr>
        <w:t> </w:t>
      </w:r>
      <w:r>
        <w:rPr>
          <w:color w:val="231F20"/>
          <w:w w:val="105"/>
        </w:rPr>
        <w:t>administrativa.</w:t>
      </w:r>
      <w:r>
        <w:rPr>
          <w:color w:val="231F20"/>
          <w:spacing w:val="-21"/>
          <w:w w:val="105"/>
        </w:rPr>
        <w:t> </w:t>
      </w:r>
      <w:r>
        <w:rPr>
          <w:color w:val="231F20"/>
          <w:w w:val="105"/>
        </w:rPr>
        <w:t>En</w:t>
      </w:r>
      <w:r>
        <w:rPr>
          <w:color w:val="231F20"/>
          <w:spacing w:val="-16"/>
          <w:w w:val="105"/>
        </w:rPr>
        <w:t> </w:t>
      </w:r>
      <w:r>
        <w:rPr>
          <w:color w:val="231F20"/>
          <w:w w:val="105"/>
        </w:rPr>
        <w:t>segundo</w:t>
      </w:r>
      <w:r>
        <w:rPr>
          <w:color w:val="231F20"/>
          <w:spacing w:val="-16"/>
          <w:w w:val="105"/>
        </w:rPr>
        <w:t> </w:t>
      </w:r>
      <w:r>
        <w:rPr>
          <w:color w:val="231F20"/>
          <w:w w:val="105"/>
        </w:rPr>
        <w:t>lugar,</w:t>
      </w:r>
      <w:r>
        <w:rPr>
          <w:color w:val="231F20"/>
          <w:spacing w:val="-21"/>
          <w:w w:val="105"/>
        </w:rPr>
        <w:t> </w:t>
      </w:r>
      <w:r>
        <w:rPr>
          <w:color w:val="231F20"/>
          <w:w w:val="105"/>
        </w:rPr>
        <w:t>se</w:t>
      </w:r>
      <w:r>
        <w:rPr>
          <w:color w:val="231F20"/>
          <w:spacing w:val="-16"/>
          <w:w w:val="105"/>
        </w:rPr>
        <w:t> </w:t>
      </w:r>
      <w:r>
        <w:rPr>
          <w:color w:val="231F20"/>
          <w:w w:val="105"/>
        </w:rPr>
        <w:t>abordan</w:t>
      </w:r>
      <w:r>
        <w:rPr>
          <w:color w:val="231F20"/>
          <w:spacing w:val="-16"/>
          <w:w w:val="105"/>
        </w:rPr>
        <w:t> </w:t>
      </w:r>
      <w:r>
        <w:rPr>
          <w:color w:val="231F20"/>
          <w:w w:val="105"/>
        </w:rPr>
        <w:t>las</w:t>
      </w:r>
      <w:r>
        <w:rPr>
          <w:color w:val="231F20"/>
          <w:spacing w:val="-16"/>
          <w:w w:val="105"/>
        </w:rPr>
        <w:t> </w:t>
      </w:r>
      <w:r>
        <w:rPr>
          <w:color w:val="231F20"/>
          <w:w w:val="105"/>
        </w:rPr>
        <w:t>teorías económico-administrativas que pudieran explicar este fenómeno y que tocan</w:t>
      </w:r>
      <w:r>
        <w:rPr>
          <w:color w:val="231F20"/>
          <w:spacing w:val="-27"/>
          <w:w w:val="105"/>
        </w:rPr>
        <w:t> </w:t>
      </w:r>
      <w:r>
        <w:rPr>
          <w:color w:val="231F20"/>
          <w:w w:val="105"/>
        </w:rPr>
        <w:t>al</w:t>
      </w:r>
      <w:r>
        <w:rPr>
          <w:color w:val="231F20"/>
          <w:spacing w:val="-27"/>
          <w:w w:val="105"/>
        </w:rPr>
        <w:t> </w:t>
      </w:r>
      <w:r>
        <w:rPr>
          <w:color w:val="231F20"/>
          <w:w w:val="105"/>
        </w:rPr>
        <w:t>valor</w:t>
      </w:r>
      <w:r>
        <w:rPr>
          <w:color w:val="231F20"/>
          <w:spacing w:val="-27"/>
          <w:w w:val="105"/>
        </w:rPr>
        <w:t> </w:t>
      </w:r>
      <w:r>
        <w:rPr>
          <w:color w:val="231F20"/>
          <w:w w:val="105"/>
        </w:rPr>
        <w:t>de</w:t>
      </w:r>
      <w:r>
        <w:rPr>
          <w:color w:val="231F20"/>
          <w:spacing w:val="-27"/>
          <w:w w:val="105"/>
        </w:rPr>
        <w:t> </w:t>
      </w:r>
      <w:r>
        <w:rPr>
          <w:color w:val="231F20"/>
          <w:w w:val="105"/>
        </w:rPr>
        <w:t>uso</w:t>
      </w:r>
      <w:r>
        <w:rPr>
          <w:color w:val="231F20"/>
          <w:spacing w:val="-27"/>
          <w:w w:val="105"/>
        </w:rPr>
        <w:t> </w:t>
      </w:r>
      <w:r>
        <w:rPr>
          <w:color w:val="231F20"/>
          <w:w w:val="105"/>
        </w:rPr>
        <w:t>(teoría</w:t>
      </w:r>
      <w:r>
        <w:rPr>
          <w:color w:val="231F20"/>
          <w:spacing w:val="-27"/>
          <w:w w:val="105"/>
        </w:rPr>
        <w:t> </w:t>
      </w:r>
      <w:r>
        <w:rPr>
          <w:color w:val="231F20"/>
          <w:w w:val="105"/>
        </w:rPr>
        <w:t>subjetiva</w:t>
      </w:r>
      <w:r>
        <w:rPr>
          <w:color w:val="231F20"/>
          <w:spacing w:val="-27"/>
          <w:w w:val="105"/>
        </w:rPr>
        <w:t> </w:t>
      </w:r>
      <w:r>
        <w:rPr>
          <w:color w:val="231F20"/>
          <w:w w:val="105"/>
        </w:rPr>
        <w:t>del</w:t>
      </w:r>
      <w:r>
        <w:rPr>
          <w:color w:val="231F20"/>
          <w:spacing w:val="-27"/>
          <w:w w:val="105"/>
        </w:rPr>
        <w:t> </w:t>
      </w:r>
      <w:r>
        <w:rPr>
          <w:color w:val="231F20"/>
          <w:w w:val="105"/>
        </w:rPr>
        <w:t>valor),</w:t>
      </w:r>
      <w:r>
        <w:rPr>
          <w:color w:val="231F20"/>
          <w:spacing w:val="-31"/>
          <w:w w:val="105"/>
        </w:rPr>
        <w:t> </w:t>
      </w:r>
      <w:r>
        <w:rPr>
          <w:color w:val="231F20"/>
          <w:w w:val="105"/>
        </w:rPr>
        <w:t>a</w:t>
      </w:r>
      <w:r>
        <w:rPr>
          <w:color w:val="231F20"/>
          <w:spacing w:val="-27"/>
          <w:w w:val="105"/>
        </w:rPr>
        <w:t> </w:t>
      </w:r>
      <w:r>
        <w:rPr>
          <w:color w:val="231F20"/>
          <w:w w:val="105"/>
        </w:rPr>
        <w:t>los</w:t>
      </w:r>
      <w:r>
        <w:rPr>
          <w:color w:val="231F20"/>
          <w:spacing w:val="-27"/>
          <w:w w:val="105"/>
        </w:rPr>
        <w:t> </w:t>
      </w:r>
      <w:r>
        <w:rPr>
          <w:i/>
          <w:color w:val="231F20"/>
          <w:w w:val="105"/>
        </w:rPr>
        <w:t>stakeholders</w:t>
      </w:r>
      <w:r>
        <w:rPr>
          <w:i/>
          <w:color w:val="231F20"/>
          <w:spacing w:val="-27"/>
          <w:w w:val="105"/>
        </w:rPr>
        <w:t> </w:t>
      </w:r>
      <w:r>
        <w:rPr>
          <w:color w:val="231F20"/>
          <w:w w:val="105"/>
        </w:rPr>
        <w:t>(teoría de los </w:t>
      </w:r>
      <w:r>
        <w:rPr>
          <w:i/>
          <w:color w:val="231F20"/>
          <w:w w:val="105"/>
        </w:rPr>
        <w:t>stakeholders</w:t>
      </w:r>
      <w:r>
        <w:rPr>
          <w:color w:val="231F20"/>
          <w:w w:val="105"/>
        </w:rPr>
        <w:t>) y a los recursos (teoría de la dependencia de los recursos y teoría de recursos y capacidades). Con esto como soporte, en</w:t>
      </w:r>
      <w:r>
        <w:rPr>
          <w:color w:val="231F20"/>
          <w:spacing w:val="-8"/>
          <w:w w:val="105"/>
        </w:rPr>
        <w:t> </w:t>
      </w:r>
      <w:r>
        <w:rPr>
          <w:color w:val="231F20"/>
          <w:w w:val="105"/>
        </w:rPr>
        <w:t>tercer</w:t>
      </w:r>
      <w:r>
        <w:rPr>
          <w:color w:val="231F20"/>
          <w:spacing w:val="-8"/>
          <w:w w:val="105"/>
        </w:rPr>
        <w:t> </w:t>
      </w:r>
      <w:r>
        <w:rPr>
          <w:color w:val="231F20"/>
          <w:w w:val="105"/>
        </w:rPr>
        <w:t>lugar</w:t>
      </w:r>
      <w:r>
        <w:rPr>
          <w:color w:val="231F20"/>
          <w:spacing w:val="-8"/>
          <w:w w:val="105"/>
        </w:rPr>
        <w:t> </w:t>
      </w:r>
      <w:r>
        <w:rPr>
          <w:color w:val="231F20"/>
          <w:w w:val="105"/>
        </w:rPr>
        <w:t>se</w:t>
      </w:r>
      <w:r>
        <w:rPr>
          <w:color w:val="231F20"/>
          <w:spacing w:val="-8"/>
          <w:w w:val="105"/>
        </w:rPr>
        <w:t> </w:t>
      </w:r>
      <w:r>
        <w:rPr>
          <w:color w:val="231F20"/>
          <w:w w:val="105"/>
        </w:rPr>
        <w:t>refieren</w:t>
      </w:r>
      <w:r>
        <w:rPr>
          <w:color w:val="231F20"/>
          <w:spacing w:val="-8"/>
          <w:w w:val="105"/>
        </w:rPr>
        <w:t> </w:t>
      </w:r>
      <w:r>
        <w:rPr>
          <w:color w:val="231F20"/>
          <w:w w:val="105"/>
        </w:rPr>
        <w:t>cuatro</w:t>
      </w:r>
      <w:r>
        <w:rPr>
          <w:color w:val="231F20"/>
          <w:spacing w:val="-8"/>
          <w:w w:val="105"/>
        </w:rPr>
        <w:t> </w:t>
      </w:r>
      <w:r>
        <w:rPr>
          <w:color w:val="231F20"/>
          <w:w w:val="105"/>
        </w:rPr>
        <w:t>modelos</w:t>
      </w:r>
      <w:r>
        <w:rPr>
          <w:color w:val="231F20"/>
          <w:spacing w:val="-8"/>
          <w:w w:val="105"/>
        </w:rPr>
        <w:t> </w:t>
      </w:r>
      <w:r>
        <w:rPr>
          <w:color w:val="231F20"/>
          <w:w w:val="105"/>
        </w:rPr>
        <w:t>de</w:t>
      </w:r>
      <w:r>
        <w:rPr>
          <w:color w:val="231F20"/>
          <w:spacing w:val="-8"/>
          <w:w w:val="105"/>
        </w:rPr>
        <w:t> </w:t>
      </w:r>
      <w:r>
        <w:rPr>
          <w:color w:val="231F20"/>
          <w:w w:val="105"/>
        </w:rPr>
        <w:t>excelencia</w:t>
      </w:r>
      <w:r>
        <w:rPr>
          <w:color w:val="231F20"/>
          <w:spacing w:val="-8"/>
          <w:w w:val="105"/>
        </w:rPr>
        <w:t> </w:t>
      </w:r>
      <w:r>
        <w:rPr>
          <w:color w:val="231F20"/>
          <w:w w:val="105"/>
        </w:rPr>
        <w:t>administrativa, describiendo</w:t>
      </w:r>
      <w:r>
        <w:rPr>
          <w:color w:val="231F20"/>
          <w:spacing w:val="-22"/>
          <w:w w:val="105"/>
        </w:rPr>
        <w:t> </w:t>
      </w:r>
      <w:r>
        <w:rPr>
          <w:color w:val="231F20"/>
          <w:w w:val="105"/>
        </w:rPr>
        <w:t>a</w:t>
      </w:r>
      <w:r>
        <w:rPr>
          <w:color w:val="231F20"/>
          <w:spacing w:val="-22"/>
          <w:w w:val="105"/>
        </w:rPr>
        <w:t> </w:t>
      </w:r>
      <w:r>
        <w:rPr>
          <w:color w:val="231F20"/>
          <w:w w:val="105"/>
        </w:rPr>
        <w:t>detalle</w:t>
      </w:r>
      <w:r>
        <w:rPr>
          <w:color w:val="231F20"/>
          <w:spacing w:val="-22"/>
          <w:w w:val="105"/>
        </w:rPr>
        <w:t> </w:t>
      </w:r>
      <w:r>
        <w:rPr>
          <w:color w:val="231F20"/>
          <w:w w:val="105"/>
        </w:rPr>
        <w:t>el</w:t>
      </w:r>
      <w:r>
        <w:rPr>
          <w:color w:val="231F20"/>
          <w:spacing w:val="-22"/>
          <w:w w:val="105"/>
        </w:rPr>
        <w:t> </w:t>
      </w:r>
      <w:r>
        <w:rPr>
          <w:color w:val="231F20"/>
          <w:w w:val="105"/>
        </w:rPr>
        <w:t>EFQM,</w:t>
      </w:r>
      <w:r>
        <w:rPr>
          <w:color w:val="231F20"/>
          <w:spacing w:val="-27"/>
          <w:w w:val="105"/>
        </w:rPr>
        <w:t> </w:t>
      </w:r>
      <w:r>
        <w:rPr>
          <w:color w:val="231F20"/>
          <w:w w:val="105"/>
        </w:rPr>
        <w:t>para</w:t>
      </w:r>
      <w:r>
        <w:rPr>
          <w:color w:val="231F20"/>
          <w:spacing w:val="-22"/>
          <w:w w:val="105"/>
        </w:rPr>
        <w:t> </w:t>
      </w:r>
      <w:r>
        <w:rPr>
          <w:color w:val="231F20"/>
          <w:w w:val="105"/>
        </w:rPr>
        <w:t>la</w:t>
      </w:r>
      <w:r>
        <w:rPr>
          <w:color w:val="231F20"/>
          <w:spacing w:val="-22"/>
          <w:w w:val="105"/>
        </w:rPr>
        <w:t> </w:t>
      </w:r>
      <w:r>
        <w:rPr>
          <w:color w:val="231F20"/>
          <w:w w:val="105"/>
        </w:rPr>
        <w:t>evaluación</w:t>
      </w:r>
      <w:r>
        <w:rPr>
          <w:color w:val="231F20"/>
          <w:spacing w:val="-22"/>
          <w:w w:val="105"/>
        </w:rPr>
        <w:t> </w:t>
      </w:r>
      <w:r>
        <w:rPr>
          <w:color w:val="231F20"/>
          <w:w w:val="105"/>
        </w:rPr>
        <w:t>del</w:t>
      </w:r>
      <w:r>
        <w:rPr>
          <w:color w:val="231F20"/>
          <w:spacing w:val="-22"/>
          <w:w w:val="105"/>
        </w:rPr>
        <w:t> </w:t>
      </w:r>
      <w:r>
        <w:rPr>
          <w:color w:val="231F20"/>
          <w:w w:val="105"/>
        </w:rPr>
        <w:t>desempeño</w:t>
      </w:r>
      <w:r>
        <w:rPr>
          <w:color w:val="231F20"/>
          <w:spacing w:val="-22"/>
          <w:w w:val="105"/>
        </w:rPr>
        <w:t> </w:t>
      </w:r>
      <w:r>
        <w:rPr>
          <w:color w:val="231F20"/>
          <w:w w:val="105"/>
        </w:rPr>
        <w:t>orga- nizacional</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contexto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universidades.</w:t>
      </w:r>
    </w:p>
    <w:p>
      <w:pPr>
        <w:pStyle w:val="BodyText"/>
        <w:rPr>
          <w:sz w:val="20"/>
        </w:rPr>
      </w:pPr>
    </w:p>
    <w:p>
      <w:pPr>
        <w:pStyle w:val="BodyText"/>
        <w:spacing w:before="7"/>
        <w:rPr>
          <w:sz w:val="18"/>
        </w:rPr>
      </w:pPr>
    </w:p>
    <w:p>
      <w:pPr>
        <w:pStyle w:val="Heading2"/>
        <w:ind w:left="103"/>
      </w:pPr>
      <w:r>
        <w:rPr>
          <w:color w:val="231F20"/>
        </w:rPr>
        <w:t>Desarrollo histórico del desempeño organizacional</w:t>
      </w:r>
    </w:p>
    <w:p>
      <w:pPr>
        <w:pStyle w:val="BodyText"/>
        <w:rPr>
          <w:b/>
          <w:sz w:val="22"/>
        </w:rPr>
      </w:pPr>
    </w:p>
    <w:p>
      <w:pPr>
        <w:pStyle w:val="BodyText"/>
        <w:spacing w:line="259" w:lineRule="auto" w:before="160"/>
        <w:ind w:left="103" w:right="108"/>
        <w:jc w:val="both"/>
      </w:pPr>
      <w:r>
        <w:rPr>
          <w:color w:val="231F20"/>
          <w:w w:val="105"/>
        </w:rPr>
        <w:t>Históricamente,</w:t>
      </w:r>
      <w:r>
        <w:rPr>
          <w:color w:val="231F20"/>
          <w:spacing w:val="-34"/>
          <w:w w:val="105"/>
        </w:rPr>
        <w:t> </w:t>
      </w:r>
      <w:r>
        <w:rPr>
          <w:color w:val="231F20"/>
          <w:w w:val="105"/>
        </w:rPr>
        <w:t>en</w:t>
      </w:r>
      <w:r>
        <w:rPr>
          <w:color w:val="231F20"/>
          <w:spacing w:val="-30"/>
          <w:w w:val="105"/>
        </w:rPr>
        <w:t> </w:t>
      </w:r>
      <w:r>
        <w:rPr>
          <w:color w:val="231F20"/>
          <w:w w:val="105"/>
        </w:rPr>
        <w:t>los</w:t>
      </w:r>
      <w:r>
        <w:rPr>
          <w:color w:val="231F20"/>
          <w:spacing w:val="-30"/>
          <w:w w:val="105"/>
        </w:rPr>
        <w:t> </w:t>
      </w:r>
      <w:r>
        <w:rPr>
          <w:color w:val="231F20"/>
          <w:w w:val="105"/>
        </w:rPr>
        <w:t>estudios</w:t>
      </w:r>
      <w:r>
        <w:rPr>
          <w:color w:val="231F20"/>
          <w:spacing w:val="-30"/>
          <w:w w:val="105"/>
        </w:rPr>
        <w:t> </w:t>
      </w:r>
      <w:r>
        <w:rPr>
          <w:color w:val="231F20"/>
          <w:w w:val="105"/>
        </w:rPr>
        <w:t>organizacionales,</w:t>
      </w:r>
      <w:r>
        <w:rPr>
          <w:color w:val="231F20"/>
          <w:spacing w:val="-34"/>
          <w:w w:val="105"/>
        </w:rPr>
        <w:t> </w:t>
      </w:r>
      <w:r>
        <w:rPr>
          <w:color w:val="231F20"/>
          <w:w w:val="105"/>
        </w:rPr>
        <w:t>la</w:t>
      </w:r>
      <w:r>
        <w:rPr>
          <w:color w:val="231F20"/>
          <w:spacing w:val="-30"/>
          <w:w w:val="105"/>
        </w:rPr>
        <w:t> </w:t>
      </w:r>
      <w:r>
        <w:rPr>
          <w:color w:val="231F20"/>
          <w:w w:val="105"/>
        </w:rPr>
        <w:t>gran</w:t>
      </w:r>
      <w:r>
        <w:rPr>
          <w:color w:val="231F20"/>
          <w:spacing w:val="-30"/>
          <w:w w:val="105"/>
        </w:rPr>
        <w:t> </w:t>
      </w:r>
      <w:r>
        <w:rPr>
          <w:color w:val="231F20"/>
          <w:w w:val="105"/>
        </w:rPr>
        <w:t>variable</w:t>
      </w:r>
      <w:r>
        <w:rPr>
          <w:color w:val="231F20"/>
          <w:spacing w:val="-30"/>
          <w:w w:val="105"/>
        </w:rPr>
        <w:t> </w:t>
      </w:r>
      <w:r>
        <w:rPr>
          <w:color w:val="231F20"/>
          <w:w w:val="105"/>
        </w:rPr>
        <w:t>depen- diente</w:t>
      </w:r>
      <w:r>
        <w:rPr>
          <w:color w:val="231F20"/>
          <w:spacing w:val="-24"/>
          <w:w w:val="105"/>
        </w:rPr>
        <w:t> </w:t>
      </w:r>
      <w:r>
        <w:rPr>
          <w:color w:val="231F20"/>
          <w:w w:val="105"/>
        </w:rPr>
        <w:t>ha</w:t>
      </w:r>
      <w:r>
        <w:rPr>
          <w:color w:val="231F20"/>
          <w:spacing w:val="-24"/>
          <w:w w:val="105"/>
        </w:rPr>
        <w:t> </w:t>
      </w:r>
      <w:r>
        <w:rPr>
          <w:color w:val="231F20"/>
          <w:w w:val="105"/>
        </w:rPr>
        <w:t>sido</w:t>
      </w:r>
      <w:r>
        <w:rPr>
          <w:color w:val="231F20"/>
          <w:spacing w:val="-24"/>
          <w:w w:val="105"/>
        </w:rPr>
        <w:t> </w:t>
      </w:r>
      <w:r>
        <w:rPr>
          <w:color w:val="231F20"/>
          <w:w w:val="105"/>
        </w:rPr>
        <w:t>el</w:t>
      </w:r>
      <w:r>
        <w:rPr>
          <w:color w:val="231F20"/>
          <w:spacing w:val="-24"/>
          <w:w w:val="105"/>
        </w:rPr>
        <w:t> </w:t>
      </w:r>
      <w:r>
        <w:rPr>
          <w:color w:val="231F20"/>
          <w:w w:val="105"/>
        </w:rPr>
        <w:t>grado</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cual</w:t>
      </w:r>
      <w:r>
        <w:rPr>
          <w:color w:val="231F20"/>
          <w:spacing w:val="-24"/>
          <w:w w:val="105"/>
        </w:rPr>
        <w:t> </w:t>
      </w:r>
      <w:r>
        <w:rPr>
          <w:color w:val="231F20"/>
          <w:w w:val="105"/>
        </w:rPr>
        <w:t>las</w:t>
      </w:r>
      <w:r>
        <w:rPr>
          <w:color w:val="231F20"/>
          <w:spacing w:val="-24"/>
          <w:w w:val="105"/>
        </w:rPr>
        <w:t> </w:t>
      </w:r>
      <w:r>
        <w:rPr>
          <w:color w:val="231F20"/>
          <w:w w:val="105"/>
        </w:rPr>
        <w:t>organizaciones</w:t>
      </w:r>
      <w:r>
        <w:rPr>
          <w:color w:val="231F20"/>
          <w:spacing w:val="-24"/>
          <w:w w:val="105"/>
        </w:rPr>
        <w:t> </w:t>
      </w:r>
      <w:r>
        <w:rPr>
          <w:color w:val="231F20"/>
          <w:w w:val="105"/>
        </w:rPr>
        <w:t>logran</w:t>
      </w:r>
      <w:r>
        <w:rPr>
          <w:color w:val="231F20"/>
          <w:spacing w:val="-24"/>
          <w:w w:val="105"/>
        </w:rPr>
        <w:t> </w:t>
      </w:r>
      <w:r>
        <w:rPr>
          <w:color w:val="231F20"/>
          <w:w w:val="105"/>
        </w:rPr>
        <w:t>sus</w:t>
      </w:r>
      <w:r>
        <w:rPr>
          <w:color w:val="231F20"/>
          <w:spacing w:val="-24"/>
          <w:w w:val="105"/>
        </w:rPr>
        <w:t> </w:t>
      </w:r>
      <w:r>
        <w:rPr>
          <w:color w:val="231F20"/>
          <w:w w:val="105"/>
        </w:rPr>
        <w:t>objetivos. Este</w:t>
      </w:r>
      <w:r>
        <w:rPr>
          <w:color w:val="231F20"/>
          <w:spacing w:val="-21"/>
          <w:w w:val="105"/>
        </w:rPr>
        <w:t> </w:t>
      </w:r>
      <w:r>
        <w:rPr>
          <w:color w:val="231F20"/>
          <w:w w:val="105"/>
        </w:rPr>
        <w:t>indicador</w:t>
      </w:r>
      <w:r>
        <w:rPr>
          <w:color w:val="231F20"/>
          <w:spacing w:val="-21"/>
          <w:w w:val="105"/>
        </w:rPr>
        <w:t> </w:t>
      </w:r>
      <w:r>
        <w:rPr>
          <w:color w:val="231F20"/>
          <w:w w:val="105"/>
        </w:rPr>
        <w:t>ha</w:t>
      </w:r>
      <w:r>
        <w:rPr>
          <w:color w:val="231F20"/>
          <w:spacing w:val="-21"/>
          <w:w w:val="105"/>
        </w:rPr>
        <w:t> </w:t>
      </w:r>
      <w:r>
        <w:rPr>
          <w:color w:val="231F20"/>
          <w:w w:val="105"/>
        </w:rPr>
        <w:t>tomado</w:t>
      </w:r>
      <w:r>
        <w:rPr>
          <w:color w:val="231F20"/>
          <w:spacing w:val="-21"/>
          <w:w w:val="105"/>
        </w:rPr>
        <w:t> </w:t>
      </w:r>
      <w:r>
        <w:rPr>
          <w:color w:val="231F20"/>
          <w:w w:val="105"/>
        </w:rPr>
        <w:t>nombres</w:t>
      </w:r>
      <w:r>
        <w:rPr>
          <w:color w:val="231F20"/>
          <w:spacing w:val="-21"/>
          <w:w w:val="105"/>
        </w:rPr>
        <w:t> </w:t>
      </w:r>
      <w:r>
        <w:rPr>
          <w:color w:val="231F20"/>
          <w:w w:val="105"/>
        </w:rPr>
        <w:t>que</w:t>
      </w:r>
      <w:r>
        <w:rPr>
          <w:color w:val="231F20"/>
          <w:spacing w:val="-21"/>
          <w:w w:val="105"/>
        </w:rPr>
        <w:t> </w:t>
      </w:r>
      <w:r>
        <w:rPr>
          <w:color w:val="231F20"/>
          <w:w w:val="105"/>
        </w:rPr>
        <w:t>van</w:t>
      </w:r>
      <w:r>
        <w:rPr>
          <w:color w:val="231F20"/>
          <w:spacing w:val="-21"/>
          <w:w w:val="105"/>
        </w:rPr>
        <w:t> </w:t>
      </w:r>
      <w:r>
        <w:rPr>
          <w:color w:val="231F20"/>
          <w:w w:val="105"/>
        </w:rPr>
        <w:t>desde</w:t>
      </w:r>
      <w:r>
        <w:rPr>
          <w:color w:val="231F20"/>
          <w:spacing w:val="-21"/>
          <w:w w:val="105"/>
        </w:rPr>
        <w:t> </w:t>
      </w:r>
      <w:r>
        <w:rPr>
          <w:color w:val="231F20"/>
          <w:w w:val="105"/>
        </w:rPr>
        <w:t>“efectividad</w:t>
      </w:r>
      <w:r>
        <w:rPr>
          <w:color w:val="231F20"/>
          <w:spacing w:val="-21"/>
          <w:w w:val="105"/>
        </w:rPr>
        <w:t> </w:t>
      </w:r>
      <w:r>
        <w:rPr>
          <w:color w:val="231F20"/>
          <w:w w:val="105"/>
        </w:rPr>
        <w:t>organiza- </w:t>
      </w:r>
      <w:r>
        <w:rPr>
          <w:color w:val="231F20"/>
          <w:spacing w:val="-4"/>
          <w:w w:val="105"/>
        </w:rPr>
        <w:t>cional”,</w:t>
      </w:r>
      <w:r>
        <w:rPr>
          <w:color w:val="231F20"/>
          <w:spacing w:val="-32"/>
          <w:w w:val="105"/>
        </w:rPr>
        <w:t> </w:t>
      </w:r>
      <w:r>
        <w:rPr>
          <w:color w:val="231F20"/>
          <w:spacing w:val="-4"/>
          <w:w w:val="105"/>
        </w:rPr>
        <w:t>“calidad”,</w:t>
      </w:r>
      <w:r>
        <w:rPr>
          <w:color w:val="231F20"/>
          <w:spacing w:val="-32"/>
          <w:w w:val="105"/>
        </w:rPr>
        <w:t> </w:t>
      </w:r>
      <w:r>
        <w:rPr>
          <w:color w:val="231F20"/>
          <w:w w:val="105"/>
        </w:rPr>
        <w:t>“excelencia”</w:t>
      </w:r>
      <w:r>
        <w:rPr>
          <w:color w:val="231F20"/>
          <w:spacing w:val="-26"/>
          <w:w w:val="105"/>
        </w:rPr>
        <w:t> </w:t>
      </w:r>
      <w:r>
        <w:rPr>
          <w:color w:val="231F20"/>
          <w:w w:val="105"/>
        </w:rPr>
        <w:t>y</w:t>
      </w:r>
      <w:r>
        <w:rPr>
          <w:color w:val="231F20"/>
          <w:spacing w:val="-26"/>
          <w:w w:val="105"/>
        </w:rPr>
        <w:t> </w:t>
      </w:r>
      <w:r>
        <w:rPr>
          <w:color w:val="231F20"/>
          <w:w w:val="105"/>
        </w:rPr>
        <w:t>“desempeño</w:t>
      </w:r>
      <w:r>
        <w:rPr>
          <w:color w:val="231F20"/>
          <w:spacing w:val="-26"/>
          <w:w w:val="105"/>
        </w:rPr>
        <w:t> </w:t>
      </w:r>
      <w:r>
        <w:rPr>
          <w:color w:val="231F20"/>
          <w:w w:val="105"/>
        </w:rPr>
        <w:t>organizacional”,</w:t>
      </w:r>
      <w:r>
        <w:rPr>
          <w:color w:val="231F20"/>
          <w:spacing w:val="-32"/>
          <w:w w:val="105"/>
        </w:rPr>
        <w:t> </w:t>
      </w:r>
      <w:r>
        <w:rPr>
          <w:color w:val="231F20"/>
          <w:w w:val="105"/>
        </w:rPr>
        <w:t>entre</w:t>
      </w:r>
      <w:r>
        <w:rPr>
          <w:color w:val="231F20"/>
          <w:spacing w:val="-26"/>
          <w:w w:val="105"/>
        </w:rPr>
        <w:t> </w:t>
      </w:r>
      <w:r>
        <w:rPr>
          <w:color w:val="231F20"/>
          <w:w w:val="105"/>
        </w:rPr>
        <w:t>otros; todos</w:t>
      </w:r>
      <w:r>
        <w:rPr>
          <w:color w:val="231F20"/>
          <w:spacing w:val="-10"/>
          <w:w w:val="105"/>
        </w:rPr>
        <w:t> </w:t>
      </w:r>
      <w:r>
        <w:rPr>
          <w:color w:val="231F20"/>
          <w:w w:val="105"/>
        </w:rPr>
        <w:t>hacen</w:t>
      </w:r>
      <w:r>
        <w:rPr>
          <w:color w:val="231F20"/>
          <w:spacing w:val="-10"/>
          <w:w w:val="105"/>
        </w:rPr>
        <w:t> </w:t>
      </w:r>
      <w:r>
        <w:rPr>
          <w:color w:val="231F20"/>
          <w:w w:val="105"/>
        </w:rPr>
        <w:t>referencia</w:t>
      </w:r>
      <w:r>
        <w:rPr>
          <w:color w:val="231F20"/>
          <w:spacing w:val="-10"/>
          <w:w w:val="105"/>
        </w:rPr>
        <w:t> </w:t>
      </w:r>
      <w:r>
        <w:rPr>
          <w:color w:val="231F20"/>
          <w:w w:val="105"/>
        </w:rPr>
        <w:t>a</w:t>
      </w:r>
      <w:r>
        <w:rPr>
          <w:color w:val="231F20"/>
          <w:spacing w:val="-10"/>
          <w:w w:val="105"/>
        </w:rPr>
        <w:t> </w:t>
      </w:r>
      <w:r>
        <w:rPr>
          <w:color w:val="231F20"/>
          <w:w w:val="105"/>
        </w:rPr>
        <w:t>lo</w:t>
      </w:r>
      <w:r>
        <w:rPr>
          <w:color w:val="231F20"/>
          <w:spacing w:val="-10"/>
          <w:w w:val="105"/>
        </w:rPr>
        <w:t> </w:t>
      </w:r>
      <w:r>
        <w:rPr>
          <w:color w:val="231F20"/>
          <w:w w:val="105"/>
        </w:rPr>
        <w:t>mismo</w:t>
      </w:r>
      <w:r>
        <w:rPr>
          <w:color w:val="231F20"/>
          <w:spacing w:val="-10"/>
          <w:w w:val="105"/>
        </w:rPr>
        <w:t> </w:t>
      </w:r>
      <w:r>
        <w:rPr>
          <w:color w:val="231F20"/>
          <w:spacing w:val="-3"/>
          <w:w w:val="105"/>
        </w:rPr>
        <w:t>(Talbot,</w:t>
      </w:r>
      <w:r>
        <w:rPr>
          <w:color w:val="231F20"/>
          <w:spacing w:val="-15"/>
          <w:w w:val="105"/>
        </w:rPr>
        <w:t> </w:t>
      </w:r>
      <w:r>
        <w:rPr>
          <w:color w:val="231F20"/>
          <w:w w:val="105"/>
        </w:rPr>
        <w:t>2010).</w:t>
      </w:r>
      <w:r>
        <w:rPr>
          <w:color w:val="231F20"/>
          <w:spacing w:val="-15"/>
          <w:w w:val="105"/>
        </w:rPr>
        <w:t> </w:t>
      </w:r>
      <w:r>
        <w:rPr>
          <w:color w:val="231F20"/>
          <w:w w:val="105"/>
        </w:rPr>
        <w:t>Como</w:t>
      </w:r>
      <w:r>
        <w:rPr>
          <w:color w:val="231F20"/>
          <w:spacing w:val="-10"/>
          <w:w w:val="105"/>
        </w:rPr>
        <w:t> </w:t>
      </w:r>
      <w:r>
        <w:rPr>
          <w:color w:val="231F20"/>
          <w:w w:val="105"/>
        </w:rPr>
        <w:t>tal,</w:t>
      </w:r>
      <w:r>
        <w:rPr>
          <w:color w:val="231F20"/>
          <w:spacing w:val="-15"/>
          <w:w w:val="105"/>
        </w:rPr>
        <w:t> </w:t>
      </w:r>
      <w:r>
        <w:rPr>
          <w:color w:val="231F20"/>
          <w:w w:val="105"/>
        </w:rPr>
        <w:t>el</w:t>
      </w:r>
      <w:r>
        <w:rPr>
          <w:color w:val="231F20"/>
          <w:spacing w:val="-10"/>
          <w:w w:val="105"/>
        </w:rPr>
        <w:t> </w:t>
      </w:r>
      <w:r>
        <w:rPr>
          <w:color w:val="231F20"/>
          <w:w w:val="105"/>
        </w:rPr>
        <w:t>reto</w:t>
      </w:r>
      <w:r>
        <w:rPr>
          <w:color w:val="231F20"/>
          <w:spacing w:val="-10"/>
          <w:w w:val="105"/>
        </w:rPr>
        <w:t> </w:t>
      </w:r>
      <w:r>
        <w:rPr>
          <w:color w:val="231F20"/>
          <w:w w:val="105"/>
        </w:rPr>
        <w:t>es</w:t>
      </w:r>
      <w:r>
        <w:rPr>
          <w:color w:val="231F20"/>
          <w:spacing w:val="-10"/>
          <w:w w:val="105"/>
        </w:rPr>
        <w:t> </w:t>
      </w:r>
      <w:r>
        <w:rPr>
          <w:color w:val="231F20"/>
          <w:w w:val="105"/>
        </w:rPr>
        <w:t>la</w:t>
      </w:r>
    </w:p>
    <w:p>
      <w:pPr>
        <w:pStyle w:val="BodyText"/>
        <w:rPr>
          <w:sz w:val="20"/>
        </w:rPr>
      </w:pPr>
    </w:p>
    <w:p>
      <w:pPr>
        <w:pStyle w:val="BodyText"/>
        <w:rPr>
          <w:sz w:val="20"/>
        </w:rPr>
      </w:pPr>
    </w:p>
    <w:p>
      <w:pPr>
        <w:pStyle w:val="BodyText"/>
        <w:rPr>
          <w:sz w:val="19"/>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69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90</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045" w:right="0" w:firstLine="0"/>
        <w:jc w:val="left"/>
        <w:rPr>
          <w:sz w:val="20"/>
        </w:rPr>
      </w:pPr>
      <w:r>
        <w:rPr/>
        <w:pict>
          <v:line style="position:absolute;mso-position-horizontal-relative:page;mso-position-vertical-relative:paragraph;z-index:-244672"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7"/>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91</w:t>
      </w:r>
    </w:p>
    <w:p>
      <w:pPr>
        <w:pStyle w:val="BodyText"/>
        <w:rPr>
          <w:sz w:val="20"/>
        </w:rPr>
      </w:pPr>
    </w:p>
    <w:p>
      <w:pPr>
        <w:pStyle w:val="BodyText"/>
        <w:rPr>
          <w:sz w:val="20"/>
        </w:rPr>
      </w:pPr>
    </w:p>
    <w:p>
      <w:pPr>
        <w:pStyle w:val="BodyText"/>
        <w:spacing w:line="259" w:lineRule="auto" w:before="134"/>
        <w:ind w:left="117" w:right="121"/>
        <w:jc w:val="both"/>
      </w:pPr>
      <w:r>
        <w:rPr>
          <w:color w:val="231F20"/>
          <w:w w:val="105"/>
        </w:rPr>
        <w:t>forma de medirlo, para lo cual se han desarrollado fundamentalmente tres</w:t>
      </w:r>
      <w:r>
        <w:rPr>
          <w:color w:val="231F20"/>
          <w:spacing w:val="-14"/>
          <w:w w:val="105"/>
        </w:rPr>
        <w:t> </w:t>
      </w:r>
      <w:r>
        <w:rPr>
          <w:color w:val="231F20"/>
          <w:w w:val="105"/>
        </w:rPr>
        <w:t>enfoques:</w:t>
      </w:r>
      <w:r>
        <w:rPr>
          <w:color w:val="231F20"/>
          <w:spacing w:val="-14"/>
          <w:w w:val="105"/>
        </w:rPr>
        <w:t> </w:t>
      </w:r>
      <w:r>
        <w:rPr>
          <w:color w:val="231F20"/>
          <w:w w:val="105"/>
        </w:rPr>
        <w:t>la</w:t>
      </w:r>
      <w:r>
        <w:rPr>
          <w:color w:val="231F20"/>
          <w:spacing w:val="-14"/>
          <w:w w:val="105"/>
        </w:rPr>
        <w:t> </w:t>
      </w:r>
      <w:r>
        <w:rPr>
          <w:color w:val="231F20"/>
          <w:w w:val="105"/>
        </w:rPr>
        <w:t>efectividad</w:t>
      </w:r>
      <w:r>
        <w:rPr>
          <w:color w:val="231F20"/>
          <w:spacing w:val="-14"/>
          <w:w w:val="105"/>
        </w:rPr>
        <w:t> </w:t>
      </w:r>
      <w:r>
        <w:rPr>
          <w:color w:val="231F20"/>
          <w:w w:val="105"/>
        </w:rPr>
        <w:t>organizacional;</w:t>
      </w:r>
      <w:r>
        <w:rPr>
          <w:color w:val="231F20"/>
          <w:spacing w:val="-14"/>
          <w:w w:val="105"/>
        </w:rPr>
        <w:t> </w:t>
      </w:r>
      <w:r>
        <w:rPr>
          <w:color w:val="231F20"/>
          <w:w w:val="105"/>
        </w:rPr>
        <w:t>búsqueda</w:t>
      </w:r>
      <w:r>
        <w:rPr>
          <w:color w:val="231F20"/>
          <w:spacing w:val="-14"/>
          <w:w w:val="105"/>
        </w:rPr>
        <w:t> </w:t>
      </w:r>
      <w:r>
        <w:rPr>
          <w:color w:val="231F20"/>
          <w:w w:val="105"/>
        </w:rPr>
        <w:t>de</w:t>
      </w:r>
      <w:r>
        <w:rPr>
          <w:color w:val="231F20"/>
          <w:spacing w:val="-14"/>
          <w:w w:val="105"/>
        </w:rPr>
        <w:t> </w:t>
      </w:r>
      <w:r>
        <w:rPr>
          <w:color w:val="231F20"/>
          <w:w w:val="105"/>
        </w:rPr>
        <w:t>calidad</w:t>
      </w:r>
      <w:r>
        <w:rPr>
          <w:color w:val="231F20"/>
          <w:spacing w:val="-14"/>
          <w:w w:val="105"/>
        </w:rPr>
        <w:t> </w:t>
      </w:r>
      <w:r>
        <w:rPr>
          <w:color w:val="231F20"/>
          <w:w w:val="105"/>
        </w:rPr>
        <w:t>total</w:t>
      </w:r>
      <w:r>
        <w:rPr>
          <w:color w:val="231F20"/>
          <w:spacing w:val="-14"/>
          <w:w w:val="105"/>
        </w:rPr>
        <w:t> </w:t>
      </w:r>
      <w:r>
        <w:rPr>
          <w:color w:val="231F20"/>
          <w:w w:val="105"/>
        </w:rPr>
        <w:t>y </w:t>
      </w:r>
      <w:r>
        <w:rPr>
          <w:color w:val="231F20"/>
        </w:rPr>
        <w:t>la excelencia</w:t>
      </w:r>
      <w:r>
        <w:rPr>
          <w:color w:val="231F20"/>
          <w:spacing w:val="39"/>
        </w:rPr>
        <w:t> </w:t>
      </w:r>
      <w:r>
        <w:rPr>
          <w:color w:val="231F20"/>
        </w:rPr>
        <w:t>administrativa.</w:t>
      </w:r>
    </w:p>
    <w:p>
      <w:pPr>
        <w:pStyle w:val="BodyText"/>
        <w:spacing w:line="259" w:lineRule="auto"/>
        <w:ind w:left="117" w:right="115" w:firstLine="567"/>
        <w:jc w:val="both"/>
      </w:pPr>
      <w:r>
        <w:rPr>
          <w:color w:val="231F20"/>
          <w:w w:val="105"/>
        </w:rPr>
        <w:t>El concepto de efectividad organizacional ha estado implícito en los</w:t>
      </w:r>
      <w:r>
        <w:rPr>
          <w:color w:val="231F20"/>
          <w:spacing w:val="-16"/>
          <w:w w:val="105"/>
        </w:rPr>
        <w:t> </w:t>
      </w:r>
      <w:r>
        <w:rPr>
          <w:color w:val="231F20"/>
          <w:w w:val="105"/>
        </w:rPr>
        <w:t>estudios</w:t>
      </w:r>
      <w:r>
        <w:rPr>
          <w:color w:val="231F20"/>
          <w:spacing w:val="-16"/>
          <w:w w:val="105"/>
        </w:rPr>
        <w:t> </w:t>
      </w:r>
      <w:r>
        <w:rPr>
          <w:color w:val="231F20"/>
          <w:w w:val="105"/>
        </w:rPr>
        <w:t>organizacionales</w:t>
      </w:r>
      <w:r>
        <w:rPr>
          <w:color w:val="231F20"/>
          <w:spacing w:val="-16"/>
          <w:w w:val="105"/>
        </w:rPr>
        <w:t> </w:t>
      </w:r>
      <w:r>
        <w:rPr>
          <w:color w:val="231F20"/>
          <w:w w:val="105"/>
        </w:rPr>
        <w:t>desde</w:t>
      </w:r>
      <w:r>
        <w:rPr>
          <w:color w:val="231F20"/>
          <w:spacing w:val="-16"/>
          <w:w w:val="105"/>
        </w:rPr>
        <w:t> </w:t>
      </w:r>
      <w:r>
        <w:rPr>
          <w:color w:val="231F20"/>
          <w:w w:val="105"/>
        </w:rPr>
        <w:t>inicios</w:t>
      </w:r>
      <w:r>
        <w:rPr>
          <w:color w:val="231F20"/>
          <w:spacing w:val="-16"/>
          <w:w w:val="105"/>
        </w:rPr>
        <w:t> </w:t>
      </w:r>
      <w:r>
        <w:rPr>
          <w:color w:val="231F20"/>
          <w:w w:val="105"/>
        </w:rPr>
        <w:t>del</w:t>
      </w:r>
      <w:r>
        <w:rPr>
          <w:color w:val="231F20"/>
          <w:spacing w:val="-16"/>
          <w:w w:val="105"/>
        </w:rPr>
        <w:t> </w:t>
      </w:r>
      <w:r>
        <w:rPr>
          <w:color w:val="231F20"/>
          <w:w w:val="105"/>
        </w:rPr>
        <w:t>siglo</w:t>
      </w:r>
      <w:r>
        <w:rPr>
          <w:color w:val="231F20"/>
          <w:spacing w:val="-18"/>
          <w:w w:val="105"/>
        </w:rPr>
        <w:t> </w:t>
      </w:r>
      <w:r>
        <w:rPr>
          <w:color w:val="231F20"/>
          <w:w w:val="105"/>
        </w:rPr>
        <w:t>XX.</w:t>
      </w:r>
      <w:r>
        <w:rPr>
          <w:color w:val="231F20"/>
          <w:spacing w:val="-25"/>
          <w:w w:val="105"/>
        </w:rPr>
        <w:t> </w:t>
      </w:r>
      <w:r>
        <w:rPr>
          <w:color w:val="231F20"/>
          <w:spacing w:val="-4"/>
          <w:w w:val="105"/>
        </w:rPr>
        <w:t>Taylor</w:t>
      </w:r>
      <w:r>
        <w:rPr>
          <w:color w:val="231F20"/>
          <w:spacing w:val="-16"/>
          <w:w w:val="105"/>
        </w:rPr>
        <w:t> </w:t>
      </w:r>
      <w:r>
        <w:rPr>
          <w:color w:val="231F20"/>
          <w:w w:val="105"/>
        </w:rPr>
        <w:t>y</w:t>
      </w:r>
      <w:r>
        <w:rPr>
          <w:color w:val="231F20"/>
          <w:spacing w:val="-16"/>
          <w:w w:val="105"/>
        </w:rPr>
        <w:t> </w:t>
      </w:r>
      <w:r>
        <w:rPr>
          <w:color w:val="231F20"/>
          <w:w w:val="105"/>
        </w:rPr>
        <w:t>sus</w:t>
      </w:r>
      <w:r>
        <w:rPr>
          <w:color w:val="231F20"/>
          <w:spacing w:val="-16"/>
          <w:w w:val="105"/>
        </w:rPr>
        <w:t> </w:t>
      </w:r>
      <w:r>
        <w:rPr>
          <w:color w:val="231F20"/>
          <w:w w:val="105"/>
        </w:rPr>
        <w:t>se- guidores consideraban que aplicando una serie de principios a los es- quemas de producción, se lograría una administración científica que llevaría</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mejor</w:t>
      </w:r>
      <w:r>
        <w:rPr>
          <w:color w:val="231F20"/>
          <w:spacing w:val="-15"/>
          <w:w w:val="105"/>
        </w:rPr>
        <w:t> </w:t>
      </w:r>
      <w:r>
        <w:rPr>
          <w:color w:val="231F20"/>
          <w:w w:val="105"/>
        </w:rPr>
        <w:t>desempeño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organizaciones.</w:t>
      </w:r>
      <w:r>
        <w:rPr>
          <w:color w:val="231F20"/>
          <w:spacing w:val="-20"/>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escuela</w:t>
      </w:r>
      <w:r>
        <w:rPr>
          <w:color w:val="231F20"/>
          <w:spacing w:val="-15"/>
          <w:w w:val="105"/>
        </w:rPr>
        <w:t> </w:t>
      </w:r>
      <w:r>
        <w:rPr>
          <w:color w:val="231F20"/>
          <w:w w:val="105"/>
        </w:rPr>
        <w:t>clá- sica de la administración, </w:t>
      </w:r>
      <w:r>
        <w:rPr>
          <w:color w:val="231F20"/>
          <w:spacing w:val="-3"/>
          <w:w w:val="105"/>
        </w:rPr>
        <w:t>Fayol </w:t>
      </w:r>
      <w:r>
        <w:rPr>
          <w:color w:val="231F20"/>
          <w:w w:val="105"/>
        </w:rPr>
        <w:t>propone que es la estructura de la </w:t>
      </w:r>
      <w:r>
        <w:rPr>
          <w:color w:val="231F20"/>
          <w:spacing w:val="-3"/>
          <w:w w:val="105"/>
        </w:rPr>
        <w:t>or- </w:t>
      </w:r>
      <w:r>
        <w:rPr>
          <w:color w:val="231F20"/>
          <w:w w:val="105"/>
        </w:rPr>
        <w:t>ganización</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puede</w:t>
      </w:r>
      <w:r>
        <w:rPr>
          <w:color w:val="231F20"/>
          <w:spacing w:val="-5"/>
          <w:w w:val="105"/>
        </w:rPr>
        <w:t> </w:t>
      </w:r>
      <w:r>
        <w:rPr>
          <w:color w:val="231F20"/>
          <w:w w:val="105"/>
        </w:rPr>
        <w:t>llevar</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eficiencia</w:t>
      </w:r>
      <w:r>
        <w:rPr>
          <w:color w:val="231F20"/>
          <w:spacing w:val="-5"/>
          <w:w w:val="105"/>
        </w:rPr>
        <w:t> </w:t>
      </w:r>
      <w:r>
        <w:rPr>
          <w:color w:val="231F20"/>
          <w:spacing w:val="-4"/>
          <w:w w:val="105"/>
        </w:rPr>
        <w:t>y,</w:t>
      </w:r>
      <w:r>
        <w:rPr>
          <w:color w:val="231F20"/>
          <w:spacing w:val="-11"/>
          <w:w w:val="105"/>
        </w:rPr>
        <w:t> </w:t>
      </w:r>
      <w:r>
        <w:rPr>
          <w:color w:val="231F20"/>
          <w:w w:val="105"/>
        </w:rPr>
        <w:t>por</w:t>
      </w:r>
      <w:r>
        <w:rPr>
          <w:color w:val="231F20"/>
          <w:spacing w:val="-5"/>
          <w:w w:val="105"/>
        </w:rPr>
        <w:t> </w:t>
      </w:r>
      <w:r>
        <w:rPr>
          <w:color w:val="231F20"/>
          <w:w w:val="105"/>
        </w:rPr>
        <w:t>lo</w:t>
      </w:r>
      <w:r>
        <w:rPr>
          <w:color w:val="231F20"/>
          <w:spacing w:val="-5"/>
          <w:w w:val="105"/>
        </w:rPr>
        <w:t> </w:t>
      </w:r>
      <w:r>
        <w:rPr>
          <w:color w:val="231F20"/>
          <w:w w:val="105"/>
        </w:rPr>
        <w:t>tanto,</w:t>
      </w:r>
      <w:r>
        <w:rPr>
          <w:color w:val="231F20"/>
          <w:spacing w:val="-11"/>
          <w:w w:val="105"/>
        </w:rPr>
        <w:t> </w:t>
      </w:r>
      <w:r>
        <w:rPr>
          <w:color w:val="231F20"/>
          <w:w w:val="105"/>
        </w:rPr>
        <w:t>parte</w:t>
      </w:r>
      <w:r>
        <w:rPr>
          <w:color w:val="231F20"/>
          <w:spacing w:val="-5"/>
          <w:w w:val="105"/>
        </w:rPr>
        <w:t> </w:t>
      </w:r>
      <w:r>
        <w:rPr>
          <w:color w:val="231F20"/>
          <w:w w:val="105"/>
        </w:rPr>
        <w:t>de</w:t>
      </w:r>
      <w:r>
        <w:rPr>
          <w:color w:val="231F20"/>
          <w:spacing w:val="-5"/>
          <w:w w:val="105"/>
        </w:rPr>
        <w:t> </w:t>
      </w:r>
      <w:r>
        <w:rPr>
          <w:color w:val="231F20"/>
          <w:w w:val="105"/>
        </w:rPr>
        <w:t>su estructura para lograr la efectividad organizacional (Chiavenato,</w:t>
      </w:r>
      <w:r>
        <w:rPr>
          <w:color w:val="231F20"/>
          <w:spacing w:val="-18"/>
          <w:w w:val="105"/>
        </w:rPr>
        <w:t> </w:t>
      </w:r>
      <w:r>
        <w:rPr>
          <w:color w:val="231F20"/>
          <w:w w:val="105"/>
        </w:rPr>
        <w:t>2006). Elton Mayo, fundador de la escuela del comportamiento, concluyó en sus</w:t>
      </w:r>
      <w:r>
        <w:rPr>
          <w:color w:val="231F20"/>
          <w:spacing w:val="-13"/>
          <w:w w:val="105"/>
        </w:rPr>
        <w:t> </w:t>
      </w:r>
      <w:r>
        <w:rPr>
          <w:color w:val="231F20"/>
          <w:w w:val="105"/>
        </w:rPr>
        <w:t>experimentos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planta</w:t>
      </w:r>
      <w:r>
        <w:rPr>
          <w:color w:val="231F20"/>
          <w:spacing w:val="-13"/>
          <w:w w:val="105"/>
        </w:rPr>
        <w:t> </w:t>
      </w:r>
      <w:r>
        <w:rPr>
          <w:color w:val="231F20"/>
          <w:w w:val="105"/>
        </w:rPr>
        <w:t>de</w:t>
      </w:r>
      <w:r>
        <w:rPr>
          <w:color w:val="231F20"/>
          <w:spacing w:val="-13"/>
          <w:w w:val="105"/>
        </w:rPr>
        <w:t> </w:t>
      </w:r>
      <w:r>
        <w:rPr>
          <w:color w:val="231F20"/>
          <w:w w:val="105"/>
        </w:rPr>
        <w:t>Hawthorne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5"/>
          <w:w w:val="105"/>
        </w:rPr>
        <w:t> </w:t>
      </w:r>
      <w:r>
        <w:rPr>
          <w:color w:val="231F20"/>
          <w:w w:val="105"/>
        </w:rPr>
        <w:t>Western</w:t>
      </w:r>
      <w:r>
        <w:rPr>
          <w:color w:val="231F20"/>
          <w:spacing w:val="-13"/>
          <w:w w:val="105"/>
        </w:rPr>
        <w:t> </w:t>
      </w:r>
      <w:r>
        <w:rPr>
          <w:color w:val="231F20"/>
          <w:w w:val="105"/>
        </w:rPr>
        <w:t>Electric,</w:t>
      </w:r>
      <w:r>
        <w:rPr>
          <w:color w:val="231F20"/>
          <w:spacing w:val="-18"/>
          <w:w w:val="105"/>
        </w:rPr>
        <w:t> </w:t>
      </w:r>
      <w:r>
        <w:rPr>
          <w:color w:val="231F20"/>
          <w:w w:val="105"/>
        </w:rPr>
        <w:t>que el incremento en la productividad se debía a factores sociales (como</w:t>
      </w:r>
      <w:r>
        <w:rPr>
          <w:color w:val="231F20"/>
          <w:spacing w:val="-26"/>
          <w:w w:val="105"/>
        </w:rPr>
        <w:t> </w:t>
      </w:r>
      <w:r>
        <w:rPr>
          <w:color w:val="231F20"/>
          <w:w w:val="105"/>
        </w:rPr>
        <w:t>la moral</w:t>
      </w:r>
      <w:r>
        <w:rPr>
          <w:color w:val="231F20"/>
          <w:spacing w:val="-24"/>
          <w:w w:val="105"/>
        </w:rPr>
        <w:t> </w:t>
      </w:r>
      <w:r>
        <w:rPr>
          <w:color w:val="231F20"/>
          <w:w w:val="105"/>
        </w:rPr>
        <w:t>entre</w:t>
      </w:r>
      <w:r>
        <w:rPr>
          <w:color w:val="231F20"/>
          <w:spacing w:val="-24"/>
          <w:w w:val="105"/>
        </w:rPr>
        <w:t> </w:t>
      </w:r>
      <w:r>
        <w:rPr>
          <w:color w:val="231F20"/>
          <w:w w:val="105"/>
        </w:rPr>
        <w:t>los</w:t>
      </w:r>
      <w:r>
        <w:rPr>
          <w:color w:val="231F20"/>
          <w:spacing w:val="-24"/>
          <w:w w:val="105"/>
        </w:rPr>
        <w:t> </w:t>
      </w:r>
      <w:r>
        <w:rPr>
          <w:color w:val="231F20"/>
          <w:w w:val="105"/>
        </w:rPr>
        <w:t>empleados)</w:t>
      </w:r>
      <w:r>
        <w:rPr>
          <w:color w:val="231F20"/>
          <w:spacing w:val="-24"/>
          <w:w w:val="105"/>
        </w:rPr>
        <w:t> </w:t>
      </w:r>
      <w:r>
        <w:rPr>
          <w:color w:val="231F20"/>
          <w:w w:val="105"/>
        </w:rPr>
        <w:t>y</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eficacia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administración</w:t>
      </w:r>
      <w:r>
        <w:rPr>
          <w:color w:val="231F20"/>
          <w:spacing w:val="-24"/>
          <w:w w:val="105"/>
        </w:rPr>
        <w:t> </w:t>
      </w:r>
      <w:r>
        <w:rPr>
          <w:color w:val="231F20"/>
          <w:w w:val="105"/>
        </w:rPr>
        <w:t>está</w:t>
      </w:r>
      <w:r>
        <w:rPr>
          <w:color w:val="231F20"/>
          <w:spacing w:val="-24"/>
          <w:w w:val="105"/>
        </w:rPr>
        <w:t> </w:t>
      </w:r>
      <w:r>
        <w:rPr>
          <w:color w:val="231F20"/>
          <w:w w:val="105"/>
        </w:rPr>
        <w:t>de- terminada por su capacidad de comprender el comportamiento huma- no</w:t>
      </w:r>
      <w:r>
        <w:rPr>
          <w:color w:val="231F20"/>
          <w:spacing w:val="-23"/>
          <w:w w:val="105"/>
        </w:rPr>
        <w:t> </w:t>
      </w:r>
      <w:r>
        <w:rPr>
          <w:color w:val="231F20"/>
          <w:w w:val="105"/>
        </w:rPr>
        <w:t>(Koontz</w:t>
      </w:r>
      <w:r>
        <w:rPr>
          <w:color w:val="231F20"/>
          <w:spacing w:val="-23"/>
          <w:w w:val="105"/>
        </w:rPr>
        <w:t> </w:t>
      </w:r>
      <w:r>
        <w:rPr>
          <w:color w:val="231F20"/>
          <w:w w:val="105"/>
        </w:rPr>
        <w:t>y</w:t>
      </w:r>
      <w:r>
        <w:rPr>
          <w:color w:val="231F20"/>
          <w:spacing w:val="-24"/>
          <w:w w:val="105"/>
        </w:rPr>
        <w:t> </w:t>
      </w:r>
      <w:r>
        <w:rPr>
          <w:color w:val="231F20"/>
          <w:w w:val="105"/>
        </w:rPr>
        <w:t>Weihrich,</w:t>
      </w:r>
      <w:r>
        <w:rPr>
          <w:color w:val="231F20"/>
          <w:spacing w:val="-27"/>
          <w:w w:val="105"/>
        </w:rPr>
        <w:t> </w:t>
      </w:r>
      <w:r>
        <w:rPr>
          <w:color w:val="231F20"/>
          <w:w w:val="105"/>
        </w:rPr>
        <w:t>2007).</w:t>
      </w:r>
      <w:r>
        <w:rPr>
          <w:color w:val="231F20"/>
          <w:spacing w:val="-27"/>
          <w:w w:val="105"/>
        </w:rPr>
        <w:t> </w:t>
      </w:r>
      <w:r>
        <w:rPr>
          <w:color w:val="231F20"/>
          <w:w w:val="105"/>
        </w:rPr>
        <w:t>La</w:t>
      </w:r>
      <w:r>
        <w:rPr>
          <w:color w:val="231F20"/>
          <w:spacing w:val="-23"/>
          <w:w w:val="105"/>
        </w:rPr>
        <w:t> </w:t>
      </w:r>
      <w:r>
        <w:rPr>
          <w:color w:val="231F20"/>
          <w:w w:val="105"/>
        </w:rPr>
        <w:t>escuela</w:t>
      </w:r>
      <w:r>
        <w:rPr>
          <w:color w:val="231F20"/>
          <w:spacing w:val="-23"/>
          <w:w w:val="105"/>
        </w:rPr>
        <w:t> </w:t>
      </w:r>
      <w:r>
        <w:rPr>
          <w:color w:val="231F20"/>
          <w:w w:val="105"/>
        </w:rPr>
        <w:t>neo</w:t>
      </w:r>
      <w:r>
        <w:rPr>
          <w:color w:val="231F20"/>
          <w:spacing w:val="-23"/>
          <w:w w:val="105"/>
        </w:rPr>
        <w:t> </w:t>
      </w:r>
      <w:r>
        <w:rPr>
          <w:color w:val="231F20"/>
          <w:w w:val="105"/>
        </w:rPr>
        <w:t>humanorelacionista,</w:t>
      </w:r>
      <w:r>
        <w:rPr>
          <w:color w:val="231F20"/>
          <w:spacing w:val="-27"/>
          <w:w w:val="105"/>
        </w:rPr>
        <w:t> </w:t>
      </w:r>
      <w:r>
        <w:rPr>
          <w:color w:val="231F20"/>
          <w:w w:val="105"/>
        </w:rPr>
        <w:t>cuyos principales</w:t>
      </w:r>
      <w:r>
        <w:rPr>
          <w:color w:val="231F20"/>
          <w:spacing w:val="-33"/>
          <w:w w:val="105"/>
        </w:rPr>
        <w:t> </w:t>
      </w:r>
      <w:r>
        <w:rPr>
          <w:color w:val="231F20"/>
          <w:w w:val="105"/>
        </w:rPr>
        <w:t>representantes</w:t>
      </w:r>
      <w:r>
        <w:rPr>
          <w:color w:val="231F20"/>
          <w:spacing w:val="-33"/>
          <w:w w:val="105"/>
        </w:rPr>
        <w:t> </w:t>
      </w:r>
      <w:r>
        <w:rPr>
          <w:color w:val="231F20"/>
          <w:w w:val="105"/>
        </w:rPr>
        <w:t>fueron</w:t>
      </w:r>
      <w:r>
        <w:rPr>
          <w:color w:val="231F20"/>
          <w:spacing w:val="-33"/>
          <w:w w:val="105"/>
        </w:rPr>
        <w:t> </w:t>
      </w:r>
      <w:r>
        <w:rPr>
          <w:color w:val="231F20"/>
          <w:w w:val="105"/>
        </w:rPr>
        <w:t>McGregor,</w:t>
      </w:r>
      <w:r>
        <w:rPr>
          <w:color w:val="231F20"/>
          <w:spacing w:val="-38"/>
          <w:w w:val="105"/>
        </w:rPr>
        <w:t> </w:t>
      </w:r>
      <w:r>
        <w:rPr>
          <w:color w:val="231F20"/>
          <w:w w:val="105"/>
        </w:rPr>
        <w:t>Maslow</w:t>
      </w:r>
      <w:r>
        <w:rPr>
          <w:color w:val="231F20"/>
          <w:spacing w:val="-33"/>
          <w:w w:val="105"/>
        </w:rPr>
        <w:t> </w:t>
      </w:r>
      <w:r>
        <w:rPr>
          <w:color w:val="231F20"/>
          <w:w w:val="105"/>
        </w:rPr>
        <w:t>y</w:t>
      </w:r>
      <w:r>
        <w:rPr>
          <w:color w:val="231F20"/>
          <w:spacing w:val="-33"/>
          <w:w w:val="105"/>
        </w:rPr>
        <w:t> </w:t>
      </w:r>
      <w:r>
        <w:rPr>
          <w:color w:val="231F20"/>
          <w:w w:val="105"/>
        </w:rPr>
        <w:t>Likert,</w:t>
      </w:r>
      <w:r>
        <w:rPr>
          <w:color w:val="231F20"/>
          <w:spacing w:val="-38"/>
          <w:w w:val="105"/>
        </w:rPr>
        <w:t> </w:t>
      </w:r>
      <w:r>
        <w:rPr>
          <w:color w:val="231F20"/>
          <w:w w:val="105"/>
        </w:rPr>
        <w:t>consideran a</w:t>
      </w:r>
      <w:r>
        <w:rPr>
          <w:color w:val="231F20"/>
          <w:spacing w:val="-26"/>
          <w:w w:val="105"/>
        </w:rPr>
        <w:t> </w:t>
      </w:r>
      <w:r>
        <w:rPr>
          <w:color w:val="231F20"/>
          <w:w w:val="105"/>
        </w:rPr>
        <w:t>las</w:t>
      </w:r>
      <w:r>
        <w:rPr>
          <w:color w:val="231F20"/>
          <w:spacing w:val="-26"/>
          <w:w w:val="105"/>
        </w:rPr>
        <w:t> </w:t>
      </w:r>
      <w:r>
        <w:rPr>
          <w:color w:val="231F20"/>
          <w:w w:val="105"/>
        </w:rPr>
        <w:t>relaciones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ámbito</w:t>
      </w:r>
      <w:r>
        <w:rPr>
          <w:color w:val="231F20"/>
          <w:spacing w:val="-26"/>
          <w:w w:val="105"/>
        </w:rPr>
        <w:t> </w:t>
      </w:r>
      <w:r>
        <w:rPr>
          <w:color w:val="231F20"/>
          <w:w w:val="105"/>
        </w:rPr>
        <w:t>organizacional</w:t>
      </w:r>
      <w:r>
        <w:rPr>
          <w:color w:val="231F20"/>
          <w:spacing w:val="-26"/>
          <w:w w:val="105"/>
        </w:rPr>
        <w:t> </w:t>
      </w:r>
      <w:r>
        <w:rPr>
          <w:color w:val="231F20"/>
          <w:w w:val="105"/>
        </w:rPr>
        <w:t>como</w:t>
      </w:r>
      <w:r>
        <w:rPr>
          <w:color w:val="231F20"/>
          <w:spacing w:val="-26"/>
          <w:w w:val="105"/>
        </w:rPr>
        <w:t> </w:t>
      </w:r>
      <w:r>
        <w:rPr>
          <w:color w:val="231F20"/>
          <w:w w:val="105"/>
        </w:rPr>
        <w:t>el</w:t>
      </w:r>
      <w:r>
        <w:rPr>
          <w:color w:val="231F20"/>
          <w:spacing w:val="-26"/>
          <w:w w:val="105"/>
        </w:rPr>
        <w:t> </w:t>
      </w:r>
      <w:r>
        <w:rPr>
          <w:color w:val="231F20"/>
          <w:w w:val="105"/>
        </w:rPr>
        <w:t>factor</w:t>
      </w:r>
      <w:r>
        <w:rPr>
          <w:color w:val="231F20"/>
          <w:spacing w:val="-26"/>
          <w:w w:val="105"/>
        </w:rPr>
        <w:t> </w:t>
      </w:r>
      <w:r>
        <w:rPr>
          <w:color w:val="231F20"/>
          <w:w w:val="105"/>
        </w:rPr>
        <w:t>relevante</w:t>
      </w:r>
      <w:r>
        <w:rPr>
          <w:color w:val="231F20"/>
          <w:spacing w:val="-26"/>
          <w:w w:val="105"/>
        </w:rPr>
        <w:t> </w:t>
      </w:r>
      <w:r>
        <w:rPr>
          <w:color w:val="231F20"/>
          <w:w w:val="105"/>
        </w:rPr>
        <w:t>para administrar</w:t>
      </w:r>
      <w:r>
        <w:rPr>
          <w:color w:val="231F20"/>
          <w:spacing w:val="-23"/>
          <w:w w:val="105"/>
        </w:rPr>
        <w:t> </w:t>
      </w:r>
      <w:r>
        <w:rPr>
          <w:color w:val="231F20"/>
          <w:w w:val="105"/>
        </w:rPr>
        <w:t>con</w:t>
      </w:r>
      <w:r>
        <w:rPr>
          <w:color w:val="231F20"/>
          <w:spacing w:val="-23"/>
          <w:w w:val="105"/>
        </w:rPr>
        <w:t> </w:t>
      </w:r>
      <w:r>
        <w:rPr>
          <w:color w:val="231F20"/>
          <w:w w:val="105"/>
        </w:rPr>
        <w:t>eficacia</w:t>
      </w:r>
      <w:r>
        <w:rPr>
          <w:color w:val="231F20"/>
          <w:spacing w:val="-23"/>
          <w:w w:val="105"/>
        </w:rPr>
        <w:t> </w:t>
      </w:r>
      <w:r>
        <w:rPr>
          <w:color w:val="231F20"/>
          <w:w w:val="105"/>
        </w:rPr>
        <w:t>y</w:t>
      </w:r>
      <w:r>
        <w:rPr>
          <w:color w:val="231F20"/>
          <w:spacing w:val="-23"/>
          <w:w w:val="105"/>
        </w:rPr>
        <w:t> </w:t>
      </w:r>
      <w:r>
        <w:rPr>
          <w:color w:val="231F20"/>
          <w:w w:val="105"/>
        </w:rPr>
        <w:t>productividad</w:t>
      </w:r>
      <w:r>
        <w:rPr>
          <w:color w:val="231F20"/>
          <w:spacing w:val="-23"/>
          <w:w w:val="105"/>
        </w:rPr>
        <w:t> </w:t>
      </w:r>
      <w:r>
        <w:rPr>
          <w:color w:val="231F20"/>
          <w:w w:val="105"/>
        </w:rPr>
        <w:t>(Hernández,</w:t>
      </w:r>
      <w:r>
        <w:rPr>
          <w:color w:val="231F20"/>
          <w:spacing w:val="-28"/>
          <w:w w:val="105"/>
        </w:rPr>
        <w:t> </w:t>
      </w:r>
      <w:r>
        <w:rPr>
          <w:color w:val="231F20"/>
          <w:w w:val="105"/>
        </w:rPr>
        <w:t>2006).</w:t>
      </w:r>
    </w:p>
    <w:p>
      <w:pPr>
        <w:pStyle w:val="BodyText"/>
        <w:spacing w:line="259" w:lineRule="auto"/>
        <w:ind w:left="117" w:right="115" w:firstLine="567"/>
        <w:jc w:val="both"/>
      </w:pPr>
      <w:r>
        <w:rPr>
          <w:color w:val="231F20"/>
          <w:w w:val="105"/>
        </w:rPr>
        <w:t>A pesar de que estos enfoques tienen implícito el concepto de efectividad,</w:t>
      </w:r>
      <w:r>
        <w:rPr>
          <w:color w:val="231F20"/>
          <w:spacing w:val="-10"/>
          <w:w w:val="105"/>
        </w:rPr>
        <w:t> </w:t>
      </w:r>
      <w:r>
        <w:rPr>
          <w:color w:val="231F20"/>
          <w:w w:val="105"/>
        </w:rPr>
        <w:t>es</w:t>
      </w:r>
      <w:r>
        <w:rPr>
          <w:color w:val="231F20"/>
          <w:spacing w:val="-4"/>
          <w:w w:val="105"/>
        </w:rPr>
        <w:t> </w:t>
      </w:r>
      <w:r>
        <w:rPr>
          <w:color w:val="231F20"/>
          <w:w w:val="105"/>
        </w:rPr>
        <w:t>hasta</w:t>
      </w:r>
      <w:r>
        <w:rPr>
          <w:color w:val="231F20"/>
          <w:spacing w:val="-4"/>
          <w:w w:val="105"/>
        </w:rPr>
        <w:t> </w:t>
      </w:r>
      <w:r>
        <w:rPr>
          <w:color w:val="231F20"/>
          <w:w w:val="105"/>
        </w:rPr>
        <w:t>mediados</w:t>
      </w:r>
      <w:r>
        <w:rPr>
          <w:color w:val="231F20"/>
          <w:spacing w:val="-4"/>
          <w:w w:val="105"/>
        </w:rPr>
        <w:t> </w:t>
      </w:r>
      <w:r>
        <w:rPr>
          <w:color w:val="231F20"/>
          <w:w w:val="105"/>
        </w:rPr>
        <w:t>del</w:t>
      </w:r>
      <w:r>
        <w:rPr>
          <w:color w:val="231F20"/>
          <w:spacing w:val="-4"/>
          <w:w w:val="105"/>
        </w:rPr>
        <w:t> </w:t>
      </w:r>
      <w:r>
        <w:rPr>
          <w:color w:val="231F20"/>
          <w:w w:val="105"/>
        </w:rPr>
        <w:t>siglo</w:t>
      </w:r>
      <w:r>
        <w:rPr>
          <w:color w:val="231F20"/>
          <w:spacing w:val="-6"/>
          <w:w w:val="105"/>
        </w:rPr>
        <w:t> </w:t>
      </w:r>
      <w:r>
        <w:rPr>
          <w:color w:val="231F20"/>
          <w:w w:val="105"/>
        </w:rPr>
        <w:t>XX</w:t>
      </w:r>
      <w:r>
        <w:rPr>
          <w:color w:val="231F20"/>
          <w:spacing w:val="-6"/>
          <w:w w:val="105"/>
        </w:rPr>
        <w:t> </w:t>
      </w:r>
      <w:r>
        <w:rPr>
          <w:color w:val="231F20"/>
          <w:w w:val="105"/>
        </w:rPr>
        <w:t>cuando</w:t>
      </w:r>
      <w:r>
        <w:rPr>
          <w:color w:val="231F20"/>
          <w:spacing w:val="-4"/>
          <w:w w:val="105"/>
        </w:rPr>
        <w:t> </w:t>
      </w:r>
      <w:r>
        <w:rPr>
          <w:color w:val="231F20"/>
          <w:w w:val="105"/>
        </w:rPr>
        <w:t>se</w:t>
      </w:r>
      <w:r>
        <w:rPr>
          <w:color w:val="231F20"/>
          <w:spacing w:val="-4"/>
          <w:w w:val="105"/>
        </w:rPr>
        <w:t> </w:t>
      </w:r>
      <w:r>
        <w:rPr>
          <w:color w:val="231F20"/>
          <w:w w:val="105"/>
        </w:rPr>
        <w:t>estudia</w:t>
      </w:r>
      <w:r>
        <w:rPr>
          <w:color w:val="231F20"/>
          <w:spacing w:val="-4"/>
          <w:w w:val="105"/>
        </w:rPr>
        <w:t> </w:t>
      </w:r>
      <w:r>
        <w:rPr>
          <w:color w:val="231F20"/>
          <w:w w:val="105"/>
        </w:rPr>
        <w:t>el</w:t>
      </w:r>
      <w:r>
        <w:rPr>
          <w:color w:val="231F20"/>
          <w:spacing w:val="-4"/>
          <w:w w:val="105"/>
        </w:rPr>
        <w:t> </w:t>
      </w:r>
      <w:r>
        <w:rPr>
          <w:color w:val="231F20"/>
          <w:w w:val="105"/>
        </w:rPr>
        <w:t>térmi- no “efectividad organizacional” de manera explícita como un concepto amplio</w:t>
      </w:r>
      <w:r>
        <w:rPr>
          <w:color w:val="231F20"/>
          <w:spacing w:val="-11"/>
          <w:w w:val="105"/>
        </w:rPr>
        <w:t> </w:t>
      </w:r>
      <w:r>
        <w:rPr>
          <w:color w:val="231F20"/>
          <w:w w:val="105"/>
        </w:rPr>
        <w:t>que</w:t>
      </w:r>
      <w:r>
        <w:rPr>
          <w:color w:val="231F20"/>
          <w:spacing w:val="-11"/>
          <w:w w:val="105"/>
        </w:rPr>
        <w:t> </w:t>
      </w:r>
      <w:r>
        <w:rPr>
          <w:color w:val="231F20"/>
          <w:w w:val="105"/>
        </w:rPr>
        <w:t>hace</w:t>
      </w:r>
      <w:r>
        <w:rPr>
          <w:color w:val="231F20"/>
          <w:spacing w:val="-11"/>
          <w:w w:val="105"/>
        </w:rPr>
        <w:t> </w:t>
      </w:r>
      <w:r>
        <w:rPr>
          <w:color w:val="231F20"/>
          <w:w w:val="105"/>
        </w:rPr>
        <w:t>referencia</w:t>
      </w:r>
      <w:r>
        <w:rPr>
          <w:color w:val="231F20"/>
          <w:spacing w:val="-11"/>
          <w:w w:val="105"/>
        </w:rPr>
        <w:t> </w:t>
      </w:r>
      <w:r>
        <w:rPr>
          <w:color w:val="231F20"/>
          <w:w w:val="105"/>
        </w:rPr>
        <w:t>al</w:t>
      </w:r>
      <w:r>
        <w:rPr>
          <w:color w:val="231F20"/>
          <w:spacing w:val="-11"/>
          <w:w w:val="105"/>
        </w:rPr>
        <w:t> </w:t>
      </w:r>
      <w:r>
        <w:rPr>
          <w:color w:val="231F20"/>
          <w:w w:val="105"/>
        </w:rPr>
        <w:t>grado</w:t>
      </w:r>
      <w:r>
        <w:rPr>
          <w:color w:val="231F20"/>
          <w:spacing w:val="-11"/>
          <w:w w:val="105"/>
        </w:rPr>
        <w:t> </w:t>
      </w:r>
      <w:r>
        <w:rPr>
          <w:color w:val="231F20"/>
          <w:w w:val="105"/>
        </w:rPr>
        <w:t>en</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alcanza</w:t>
      </w:r>
      <w:r>
        <w:rPr>
          <w:color w:val="231F20"/>
          <w:spacing w:val="-11"/>
          <w:w w:val="105"/>
        </w:rPr>
        <w:t> </w:t>
      </w:r>
      <w:r>
        <w:rPr>
          <w:color w:val="231F20"/>
          <w:w w:val="105"/>
        </w:rPr>
        <w:t>sus metas</w:t>
      </w:r>
      <w:r>
        <w:rPr>
          <w:color w:val="231F20"/>
          <w:spacing w:val="-10"/>
          <w:w w:val="105"/>
        </w:rPr>
        <w:t> </w:t>
      </w:r>
      <w:r>
        <w:rPr>
          <w:color w:val="231F20"/>
          <w:w w:val="105"/>
        </w:rPr>
        <w:t>(Daft,</w:t>
      </w:r>
      <w:r>
        <w:rPr>
          <w:color w:val="231F20"/>
          <w:spacing w:val="-15"/>
          <w:w w:val="105"/>
        </w:rPr>
        <w:t> </w:t>
      </w:r>
      <w:r>
        <w:rPr>
          <w:color w:val="231F20"/>
          <w:w w:val="105"/>
        </w:rPr>
        <w:t>2007).</w:t>
      </w:r>
      <w:r>
        <w:rPr>
          <w:color w:val="231F20"/>
          <w:spacing w:val="-18"/>
          <w:w w:val="105"/>
        </w:rPr>
        <w:t> </w:t>
      </w:r>
      <w:r>
        <w:rPr>
          <w:color w:val="231F20"/>
          <w:w w:val="105"/>
        </w:rPr>
        <w:t>A</w:t>
      </w:r>
      <w:r>
        <w:rPr>
          <w:color w:val="231F20"/>
          <w:spacing w:val="-13"/>
          <w:w w:val="105"/>
        </w:rPr>
        <w:t> </w:t>
      </w:r>
      <w:r>
        <w:rPr>
          <w:color w:val="231F20"/>
          <w:w w:val="105"/>
        </w:rPr>
        <w:t>finales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década</w:t>
      </w:r>
      <w:r>
        <w:rPr>
          <w:color w:val="231F20"/>
          <w:spacing w:val="-10"/>
          <w:w w:val="105"/>
        </w:rPr>
        <w:t> </w:t>
      </w:r>
      <w:r>
        <w:rPr>
          <w:color w:val="231F20"/>
          <w:w w:val="105"/>
        </w:rPr>
        <w:t>de</w:t>
      </w:r>
      <w:r>
        <w:rPr>
          <w:color w:val="231F20"/>
          <w:spacing w:val="-10"/>
          <w:w w:val="105"/>
        </w:rPr>
        <w:t> </w:t>
      </w:r>
      <w:r>
        <w:rPr>
          <w:color w:val="231F20"/>
          <w:w w:val="105"/>
        </w:rPr>
        <w:t>1950</w:t>
      </w:r>
      <w:r>
        <w:rPr>
          <w:color w:val="231F20"/>
          <w:spacing w:val="-10"/>
          <w:w w:val="105"/>
        </w:rPr>
        <w:t> </w:t>
      </w:r>
      <w:r>
        <w:rPr>
          <w:color w:val="231F20"/>
          <w:w w:val="105"/>
        </w:rPr>
        <w:t>los</w:t>
      </w:r>
      <w:r>
        <w:rPr>
          <w:color w:val="231F20"/>
          <w:spacing w:val="-10"/>
          <w:w w:val="105"/>
        </w:rPr>
        <w:t> </w:t>
      </w:r>
      <w:r>
        <w:rPr>
          <w:color w:val="231F20"/>
          <w:w w:val="105"/>
        </w:rPr>
        <w:t>estudios</w:t>
      </w:r>
      <w:r>
        <w:rPr>
          <w:color w:val="231F20"/>
          <w:spacing w:val="-10"/>
          <w:w w:val="105"/>
        </w:rPr>
        <w:t> </w:t>
      </w:r>
      <w:r>
        <w:rPr>
          <w:color w:val="231F20"/>
          <w:w w:val="105"/>
        </w:rPr>
        <w:t>sobre</w:t>
      </w:r>
      <w:r>
        <w:rPr>
          <w:color w:val="231F20"/>
          <w:spacing w:val="-10"/>
          <w:w w:val="105"/>
        </w:rPr>
        <w:t> </w:t>
      </w:r>
      <w:r>
        <w:rPr>
          <w:color w:val="231F20"/>
          <w:w w:val="105"/>
        </w:rPr>
        <w:t>la efectividad</w:t>
      </w:r>
      <w:r>
        <w:rPr>
          <w:color w:val="231F20"/>
          <w:spacing w:val="-23"/>
          <w:w w:val="105"/>
        </w:rPr>
        <w:t> </w:t>
      </w:r>
      <w:r>
        <w:rPr>
          <w:color w:val="231F20"/>
          <w:w w:val="105"/>
        </w:rPr>
        <w:t>organizacional</w:t>
      </w:r>
      <w:r>
        <w:rPr>
          <w:color w:val="231F20"/>
          <w:spacing w:val="-23"/>
          <w:w w:val="105"/>
        </w:rPr>
        <w:t> </w:t>
      </w:r>
      <w:r>
        <w:rPr>
          <w:color w:val="231F20"/>
          <w:w w:val="105"/>
        </w:rPr>
        <w:t>comenzaron</w:t>
      </w:r>
      <w:r>
        <w:rPr>
          <w:color w:val="231F20"/>
          <w:spacing w:val="-23"/>
          <w:w w:val="105"/>
        </w:rPr>
        <w:t> </w:t>
      </w:r>
      <w:r>
        <w:rPr>
          <w:color w:val="231F20"/>
          <w:w w:val="105"/>
        </w:rPr>
        <w:t>a</w:t>
      </w:r>
      <w:r>
        <w:rPr>
          <w:color w:val="231F20"/>
          <w:spacing w:val="-23"/>
          <w:w w:val="105"/>
        </w:rPr>
        <w:t> </w:t>
      </w:r>
      <w:r>
        <w:rPr>
          <w:color w:val="231F20"/>
          <w:w w:val="105"/>
        </w:rPr>
        <w:t>enfocarse</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factor</w:t>
      </w:r>
      <w:r>
        <w:rPr>
          <w:color w:val="231F20"/>
          <w:spacing w:val="-23"/>
          <w:w w:val="105"/>
        </w:rPr>
        <w:t> </w:t>
      </w:r>
      <w:r>
        <w:rPr>
          <w:color w:val="231F20"/>
          <w:w w:val="105"/>
        </w:rPr>
        <w:t>humano, por </w:t>
      </w:r>
      <w:r>
        <w:rPr>
          <w:color w:val="231F20"/>
          <w:spacing w:val="-4"/>
          <w:w w:val="105"/>
        </w:rPr>
        <w:t>ejemplo, </w:t>
      </w:r>
      <w:r>
        <w:rPr>
          <w:color w:val="231F20"/>
          <w:spacing w:val="-5"/>
          <w:w w:val="105"/>
        </w:rPr>
        <w:t>Likert </w:t>
      </w:r>
      <w:r>
        <w:rPr>
          <w:color w:val="231F20"/>
          <w:spacing w:val="-4"/>
          <w:w w:val="105"/>
        </w:rPr>
        <w:t>(1958) propone </w:t>
      </w:r>
      <w:r>
        <w:rPr>
          <w:color w:val="231F20"/>
          <w:w w:val="105"/>
        </w:rPr>
        <w:t>un </w:t>
      </w:r>
      <w:r>
        <w:rPr>
          <w:color w:val="231F20"/>
          <w:spacing w:val="-4"/>
          <w:w w:val="105"/>
        </w:rPr>
        <w:t>modelo centrado </w:t>
      </w:r>
      <w:r>
        <w:rPr>
          <w:color w:val="231F20"/>
          <w:w w:val="105"/>
        </w:rPr>
        <w:t>en el </w:t>
      </w:r>
      <w:r>
        <w:rPr>
          <w:color w:val="231F20"/>
          <w:spacing w:val="-5"/>
          <w:w w:val="105"/>
        </w:rPr>
        <w:t>empleado   </w:t>
      </w:r>
      <w:r>
        <w:rPr>
          <w:color w:val="231F20"/>
          <w:w w:val="105"/>
        </w:rPr>
        <w:t>y</w:t>
      </w:r>
      <w:r>
        <w:rPr>
          <w:color w:val="231F20"/>
          <w:spacing w:val="-17"/>
          <w:w w:val="105"/>
        </w:rPr>
        <w:t> </w:t>
      </w:r>
      <w:r>
        <w:rPr>
          <w:color w:val="231F20"/>
          <w:w w:val="105"/>
        </w:rPr>
        <w:t>el</w:t>
      </w:r>
      <w:r>
        <w:rPr>
          <w:color w:val="231F20"/>
          <w:spacing w:val="-17"/>
          <w:w w:val="105"/>
        </w:rPr>
        <w:t> </w:t>
      </w:r>
      <w:r>
        <w:rPr>
          <w:color w:val="231F20"/>
          <w:spacing w:val="-4"/>
          <w:w w:val="105"/>
        </w:rPr>
        <w:t>trabajo</w:t>
      </w:r>
      <w:r>
        <w:rPr>
          <w:color w:val="231F20"/>
          <w:spacing w:val="-17"/>
          <w:w w:val="105"/>
        </w:rPr>
        <w:t> </w:t>
      </w:r>
      <w:r>
        <w:rPr>
          <w:color w:val="231F20"/>
          <w:w w:val="105"/>
        </w:rPr>
        <w:t>en</w:t>
      </w:r>
      <w:r>
        <w:rPr>
          <w:color w:val="231F20"/>
          <w:spacing w:val="-17"/>
          <w:w w:val="105"/>
        </w:rPr>
        <w:t> </w:t>
      </w:r>
      <w:r>
        <w:rPr>
          <w:color w:val="231F20"/>
          <w:spacing w:val="-4"/>
          <w:w w:val="105"/>
        </w:rPr>
        <w:t>equipo.</w:t>
      </w:r>
      <w:r>
        <w:rPr>
          <w:color w:val="231F20"/>
          <w:spacing w:val="-22"/>
          <w:w w:val="105"/>
        </w:rPr>
        <w:t> </w:t>
      </w:r>
      <w:r>
        <w:rPr>
          <w:color w:val="231F20"/>
          <w:spacing w:val="-4"/>
          <w:w w:val="105"/>
        </w:rPr>
        <w:t>Etzioni</w:t>
      </w:r>
      <w:r>
        <w:rPr>
          <w:color w:val="231F20"/>
          <w:spacing w:val="-17"/>
          <w:w w:val="105"/>
        </w:rPr>
        <w:t> </w:t>
      </w:r>
      <w:r>
        <w:rPr>
          <w:color w:val="231F20"/>
          <w:spacing w:val="-4"/>
          <w:w w:val="105"/>
        </w:rPr>
        <w:t>(1959)</w:t>
      </w:r>
      <w:r>
        <w:rPr>
          <w:color w:val="231F20"/>
          <w:spacing w:val="-17"/>
          <w:w w:val="105"/>
        </w:rPr>
        <w:t> </w:t>
      </w:r>
      <w:r>
        <w:rPr>
          <w:color w:val="231F20"/>
          <w:spacing w:val="-4"/>
          <w:w w:val="105"/>
        </w:rPr>
        <w:t>analiza</w:t>
      </w:r>
      <w:r>
        <w:rPr>
          <w:color w:val="231F20"/>
          <w:spacing w:val="-17"/>
          <w:w w:val="105"/>
        </w:rPr>
        <w:t> </w:t>
      </w:r>
      <w:r>
        <w:rPr>
          <w:color w:val="231F20"/>
          <w:spacing w:val="-3"/>
          <w:w w:val="105"/>
        </w:rPr>
        <w:t>las</w:t>
      </w:r>
      <w:r>
        <w:rPr>
          <w:color w:val="231F20"/>
          <w:spacing w:val="-17"/>
          <w:w w:val="105"/>
        </w:rPr>
        <w:t> </w:t>
      </w:r>
      <w:r>
        <w:rPr>
          <w:color w:val="231F20"/>
          <w:spacing w:val="-4"/>
          <w:w w:val="105"/>
        </w:rPr>
        <w:t>estructuras</w:t>
      </w:r>
      <w:r>
        <w:rPr>
          <w:color w:val="231F20"/>
          <w:spacing w:val="-17"/>
          <w:w w:val="105"/>
        </w:rPr>
        <w:t> </w:t>
      </w:r>
      <w:r>
        <w:rPr>
          <w:color w:val="231F20"/>
          <w:w w:val="105"/>
        </w:rPr>
        <w:t>de</w:t>
      </w:r>
      <w:r>
        <w:rPr>
          <w:color w:val="231F20"/>
          <w:spacing w:val="-17"/>
          <w:w w:val="105"/>
        </w:rPr>
        <w:t> </w:t>
      </w:r>
      <w:r>
        <w:rPr>
          <w:color w:val="231F20"/>
          <w:spacing w:val="-4"/>
          <w:w w:val="105"/>
        </w:rPr>
        <w:t>autoridad</w:t>
      </w:r>
      <w:r>
        <w:rPr>
          <w:color w:val="231F20"/>
          <w:spacing w:val="-17"/>
          <w:w w:val="105"/>
        </w:rPr>
        <w:t> </w:t>
      </w:r>
      <w:r>
        <w:rPr>
          <w:color w:val="231F20"/>
          <w:w w:val="105"/>
        </w:rPr>
        <w:t>y el</w:t>
      </w:r>
      <w:r>
        <w:rPr>
          <w:color w:val="231F20"/>
          <w:spacing w:val="-4"/>
          <w:w w:val="105"/>
        </w:rPr>
        <w:t> </w:t>
      </w:r>
      <w:r>
        <w:rPr>
          <w:color w:val="231F20"/>
          <w:w w:val="105"/>
        </w:rPr>
        <w:t>logro</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metas</w:t>
      </w:r>
      <w:r>
        <w:rPr>
          <w:color w:val="231F20"/>
          <w:spacing w:val="-4"/>
          <w:w w:val="105"/>
        </w:rPr>
        <w:t> </w:t>
      </w:r>
      <w:r>
        <w:rPr>
          <w:color w:val="231F20"/>
          <w:w w:val="105"/>
        </w:rPr>
        <w:t>organizacionales,</w:t>
      </w:r>
      <w:r>
        <w:rPr>
          <w:color w:val="231F20"/>
          <w:spacing w:val="-10"/>
          <w:w w:val="105"/>
        </w:rPr>
        <w:t> </w:t>
      </w:r>
      <w:r>
        <w:rPr>
          <w:color w:val="231F20"/>
          <w:w w:val="105"/>
        </w:rPr>
        <w:t>mientras</w:t>
      </w:r>
      <w:r>
        <w:rPr>
          <w:color w:val="231F20"/>
          <w:spacing w:val="-4"/>
          <w:w w:val="105"/>
        </w:rPr>
        <w:t> </w:t>
      </w:r>
      <w:r>
        <w:rPr>
          <w:color w:val="231F20"/>
          <w:w w:val="105"/>
        </w:rPr>
        <w:t>que</w:t>
      </w:r>
      <w:r>
        <w:rPr>
          <w:color w:val="231F20"/>
          <w:spacing w:val="-7"/>
          <w:w w:val="105"/>
        </w:rPr>
        <w:t> </w:t>
      </w:r>
      <w:r>
        <w:rPr>
          <w:color w:val="231F20"/>
          <w:w w:val="105"/>
        </w:rPr>
        <w:t>Argyris</w:t>
      </w:r>
      <w:r>
        <w:rPr>
          <w:color w:val="231F20"/>
          <w:spacing w:val="-4"/>
          <w:w w:val="105"/>
        </w:rPr>
        <w:t> </w:t>
      </w:r>
      <w:r>
        <w:rPr>
          <w:color w:val="231F20"/>
          <w:w w:val="105"/>
        </w:rPr>
        <w:t>(1960)</w:t>
      </w:r>
      <w:r>
        <w:rPr>
          <w:color w:val="231F20"/>
          <w:spacing w:val="-4"/>
          <w:w w:val="105"/>
        </w:rPr>
        <w:t> </w:t>
      </w:r>
      <w:r>
        <w:rPr>
          <w:color w:val="231F20"/>
          <w:w w:val="105"/>
        </w:rPr>
        <w:t>es- tudia</w:t>
      </w:r>
      <w:r>
        <w:rPr>
          <w:color w:val="231F20"/>
          <w:spacing w:val="-10"/>
          <w:w w:val="105"/>
        </w:rPr>
        <w:t> </w:t>
      </w:r>
      <w:r>
        <w:rPr>
          <w:color w:val="231F20"/>
          <w:w w:val="105"/>
        </w:rPr>
        <w:t>los</w:t>
      </w:r>
      <w:r>
        <w:rPr>
          <w:color w:val="231F20"/>
          <w:spacing w:val="-10"/>
          <w:w w:val="105"/>
        </w:rPr>
        <w:t> </w:t>
      </w:r>
      <w:r>
        <w:rPr>
          <w:color w:val="231F20"/>
          <w:w w:val="105"/>
        </w:rPr>
        <w:t>efectos</w:t>
      </w:r>
      <w:r>
        <w:rPr>
          <w:color w:val="231F20"/>
          <w:spacing w:val="-10"/>
          <w:w w:val="105"/>
        </w:rPr>
        <w:t> </w:t>
      </w:r>
      <w:r>
        <w:rPr>
          <w:color w:val="231F20"/>
          <w:w w:val="105"/>
        </w:rPr>
        <w:t>negativos</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liderazgo</w:t>
      </w:r>
      <w:r>
        <w:rPr>
          <w:color w:val="231F20"/>
          <w:spacing w:val="-10"/>
          <w:w w:val="105"/>
        </w:rPr>
        <w:t> </w:t>
      </w:r>
      <w:r>
        <w:rPr>
          <w:color w:val="231F20"/>
          <w:w w:val="105"/>
        </w:rPr>
        <w:t>con</w:t>
      </w:r>
      <w:r>
        <w:rPr>
          <w:color w:val="231F20"/>
          <w:spacing w:val="-10"/>
          <w:w w:val="105"/>
        </w:rPr>
        <w:t> </w:t>
      </w:r>
      <w:r>
        <w:rPr>
          <w:color w:val="231F20"/>
          <w:w w:val="105"/>
        </w:rPr>
        <w:t>poca</w:t>
      </w:r>
      <w:r>
        <w:rPr>
          <w:color w:val="231F20"/>
          <w:spacing w:val="-10"/>
          <w:w w:val="105"/>
        </w:rPr>
        <w:t> </w:t>
      </w:r>
      <w:r>
        <w:rPr>
          <w:color w:val="231F20"/>
          <w:w w:val="105"/>
        </w:rPr>
        <w:t>presión</w:t>
      </w:r>
      <w:r>
        <w:rPr>
          <w:color w:val="231F20"/>
          <w:spacing w:val="-10"/>
          <w:w w:val="105"/>
        </w:rPr>
        <w:t> </w:t>
      </w:r>
      <w:r>
        <w:rPr>
          <w:color w:val="231F20"/>
          <w:w w:val="105"/>
        </w:rPr>
        <w:t>para</w:t>
      </w:r>
      <w:r>
        <w:rPr>
          <w:color w:val="231F20"/>
          <w:spacing w:val="-10"/>
          <w:w w:val="105"/>
        </w:rPr>
        <w:t> </w:t>
      </w:r>
      <w:r>
        <w:rPr>
          <w:color w:val="231F20"/>
          <w:w w:val="105"/>
        </w:rPr>
        <w:t>evitar estrés</w:t>
      </w:r>
      <w:r>
        <w:rPr>
          <w:color w:val="231F20"/>
          <w:spacing w:val="-8"/>
          <w:w w:val="105"/>
        </w:rPr>
        <w:t> </w:t>
      </w:r>
      <w:r>
        <w:rPr>
          <w:color w:val="231F20"/>
          <w:w w:val="105"/>
        </w:rPr>
        <w:t>cuando</w:t>
      </w:r>
      <w:r>
        <w:rPr>
          <w:color w:val="231F20"/>
          <w:spacing w:val="-8"/>
          <w:w w:val="105"/>
        </w:rPr>
        <w:t> </w:t>
      </w:r>
      <w:r>
        <w:rPr>
          <w:color w:val="231F20"/>
          <w:w w:val="105"/>
        </w:rPr>
        <w:t>la</w:t>
      </w:r>
      <w:r>
        <w:rPr>
          <w:color w:val="231F20"/>
          <w:spacing w:val="-8"/>
          <w:w w:val="105"/>
        </w:rPr>
        <w:t> </w:t>
      </w:r>
      <w:r>
        <w:rPr>
          <w:color w:val="231F20"/>
          <w:w w:val="105"/>
        </w:rPr>
        <w:t>meta</w:t>
      </w:r>
      <w:r>
        <w:rPr>
          <w:color w:val="231F20"/>
          <w:spacing w:val="-8"/>
          <w:w w:val="105"/>
        </w:rPr>
        <w:t> </w:t>
      </w:r>
      <w:r>
        <w:rPr>
          <w:color w:val="231F20"/>
          <w:w w:val="105"/>
        </w:rPr>
        <w:t>es</w:t>
      </w:r>
      <w:r>
        <w:rPr>
          <w:color w:val="231F20"/>
          <w:spacing w:val="-8"/>
          <w:w w:val="105"/>
        </w:rPr>
        <w:t> </w:t>
      </w:r>
      <w:r>
        <w:rPr>
          <w:color w:val="231F20"/>
          <w:w w:val="105"/>
        </w:rPr>
        <w:t>lograr</w:t>
      </w:r>
      <w:r>
        <w:rPr>
          <w:color w:val="231F20"/>
          <w:spacing w:val="-8"/>
          <w:w w:val="105"/>
        </w:rPr>
        <w:t> </w:t>
      </w:r>
      <w:r>
        <w:rPr>
          <w:color w:val="231F20"/>
          <w:w w:val="105"/>
        </w:rPr>
        <w:t>crecimiento</w:t>
      </w:r>
      <w:r>
        <w:rPr>
          <w:color w:val="231F20"/>
          <w:spacing w:val="-8"/>
          <w:w w:val="105"/>
        </w:rPr>
        <w:t> </w:t>
      </w:r>
      <w:r>
        <w:rPr>
          <w:color w:val="231F20"/>
          <w:w w:val="105"/>
        </w:rPr>
        <w:t>y</w:t>
      </w:r>
      <w:r>
        <w:rPr>
          <w:color w:val="231F20"/>
          <w:spacing w:val="-8"/>
          <w:w w:val="105"/>
        </w:rPr>
        <w:t> </w:t>
      </w:r>
      <w:r>
        <w:rPr>
          <w:color w:val="231F20"/>
          <w:w w:val="105"/>
        </w:rPr>
        <w:t>desarrollo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organiza- ción.</w:t>
      </w:r>
      <w:r>
        <w:rPr>
          <w:color w:val="231F20"/>
          <w:spacing w:val="-24"/>
          <w:w w:val="105"/>
        </w:rPr>
        <w:t> </w:t>
      </w:r>
      <w:r>
        <w:rPr>
          <w:color w:val="231F20"/>
          <w:w w:val="105"/>
        </w:rPr>
        <w:t>Drucker</w:t>
      </w:r>
      <w:r>
        <w:rPr>
          <w:color w:val="231F20"/>
          <w:spacing w:val="-19"/>
          <w:w w:val="105"/>
        </w:rPr>
        <w:t> </w:t>
      </w:r>
      <w:r>
        <w:rPr>
          <w:color w:val="231F20"/>
          <w:w w:val="105"/>
        </w:rPr>
        <w:t>(1963)</w:t>
      </w:r>
      <w:r>
        <w:rPr>
          <w:color w:val="231F20"/>
          <w:spacing w:val="-19"/>
          <w:w w:val="105"/>
        </w:rPr>
        <w:t> </w:t>
      </w:r>
      <w:r>
        <w:rPr>
          <w:color w:val="231F20"/>
          <w:w w:val="105"/>
        </w:rPr>
        <w:t>se</w:t>
      </w:r>
      <w:r>
        <w:rPr>
          <w:color w:val="231F20"/>
          <w:spacing w:val="-19"/>
          <w:w w:val="105"/>
        </w:rPr>
        <w:t> </w:t>
      </w:r>
      <w:r>
        <w:rPr>
          <w:color w:val="231F20"/>
          <w:w w:val="105"/>
        </w:rPr>
        <w:t>enfoca</w:t>
      </w:r>
      <w:r>
        <w:rPr>
          <w:color w:val="231F20"/>
          <w:spacing w:val="-19"/>
          <w:w w:val="105"/>
        </w:rPr>
        <w:t> </w:t>
      </w:r>
      <w:r>
        <w:rPr>
          <w:color w:val="231F20"/>
          <w:w w:val="105"/>
        </w:rPr>
        <w:t>en</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principal</w:t>
      </w:r>
      <w:r>
        <w:rPr>
          <w:color w:val="231F20"/>
          <w:spacing w:val="-19"/>
          <w:w w:val="105"/>
        </w:rPr>
        <w:t> </w:t>
      </w:r>
      <w:r>
        <w:rPr>
          <w:color w:val="231F20"/>
          <w:w w:val="105"/>
        </w:rPr>
        <w:t>responsabilidad</w:t>
      </w:r>
      <w:r>
        <w:rPr>
          <w:color w:val="231F20"/>
          <w:spacing w:val="-19"/>
          <w:w w:val="105"/>
        </w:rPr>
        <w:t> </w:t>
      </w:r>
      <w:r>
        <w:rPr>
          <w:color w:val="231F20"/>
          <w:w w:val="105"/>
        </w:rPr>
        <w:t>de</w:t>
      </w:r>
      <w:r>
        <w:rPr>
          <w:color w:val="231F20"/>
          <w:spacing w:val="-19"/>
          <w:w w:val="105"/>
        </w:rPr>
        <w:t> </w:t>
      </w:r>
      <w:r>
        <w:rPr>
          <w:color w:val="231F20"/>
          <w:w w:val="105"/>
        </w:rPr>
        <w:t>los gerentes es lograr los mejores resultados económicos con los</w:t>
      </w:r>
      <w:r>
        <w:rPr>
          <w:color w:val="231F20"/>
          <w:spacing w:val="-33"/>
          <w:w w:val="105"/>
        </w:rPr>
        <w:t> </w:t>
      </w:r>
      <w:r>
        <w:rPr>
          <w:color w:val="231F20"/>
          <w:w w:val="105"/>
        </w:rPr>
        <w:t>recursos disponibles; sugiere que debido a que las recompensas son importan- tes</w:t>
      </w:r>
      <w:r>
        <w:rPr>
          <w:color w:val="231F20"/>
          <w:spacing w:val="-15"/>
          <w:w w:val="105"/>
        </w:rPr>
        <w:t> </w:t>
      </w:r>
      <w:r>
        <w:rPr>
          <w:color w:val="231F20"/>
          <w:w w:val="105"/>
        </w:rPr>
        <w:t>para</w:t>
      </w:r>
      <w:r>
        <w:rPr>
          <w:color w:val="231F20"/>
          <w:spacing w:val="-15"/>
          <w:w w:val="105"/>
        </w:rPr>
        <w:t> </w:t>
      </w:r>
      <w:r>
        <w:rPr>
          <w:color w:val="231F20"/>
          <w:w w:val="105"/>
        </w:rPr>
        <w:t>los</w:t>
      </w:r>
      <w:r>
        <w:rPr>
          <w:color w:val="231F20"/>
          <w:spacing w:val="-15"/>
          <w:w w:val="105"/>
        </w:rPr>
        <w:t> </w:t>
      </w:r>
      <w:r>
        <w:rPr>
          <w:color w:val="231F20"/>
          <w:w w:val="105"/>
        </w:rPr>
        <w:t>gerentes,</w:t>
      </w:r>
      <w:r>
        <w:rPr>
          <w:color w:val="231F20"/>
          <w:spacing w:val="-21"/>
          <w:w w:val="105"/>
        </w:rPr>
        <w:t> </w:t>
      </w:r>
      <w:r>
        <w:rPr>
          <w:color w:val="231F20"/>
          <w:w w:val="105"/>
        </w:rPr>
        <w:t>a</w:t>
      </w:r>
      <w:r>
        <w:rPr>
          <w:color w:val="231F20"/>
          <w:spacing w:val="-15"/>
          <w:w w:val="105"/>
        </w:rPr>
        <w:t> </w:t>
      </w:r>
      <w:r>
        <w:rPr>
          <w:color w:val="231F20"/>
          <w:w w:val="105"/>
        </w:rPr>
        <w:t>menudo</w:t>
      </w:r>
      <w:r>
        <w:rPr>
          <w:color w:val="231F20"/>
          <w:spacing w:val="-15"/>
          <w:w w:val="105"/>
        </w:rPr>
        <w:t> </w:t>
      </w:r>
      <w:r>
        <w:rPr>
          <w:color w:val="231F20"/>
          <w:w w:val="105"/>
        </w:rPr>
        <w:t>se</w:t>
      </w:r>
      <w:r>
        <w:rPr>
          <w:color w:val="231F20"/>
          <w:spacing w:val="-15"/>
          <w:w w:val="105"/>
        </w:rPr>
        <w:t> </w:t>
      </w:r>
      <w:r>
        <w:rPr>
          <w:color w:val="231F20"/>
          <w:w w:val="105"/>
        </w:rPr>
        <w:t>centran</w:t>
      </w:r>
      <w:r>
        <w:rPr>
          <w:color w:val="231F20"/>
          <w:spacing w:val="-15"/>
          <w:w w:val="105"/>
        </w:rPr>
        <w:t> </w:t>
      </w:r>
      <w:r>
        <w:rPr>
          <w:color w:val="231F20"/>
          <w:w w:val="105"/>
        </w:rPr>
        <w:t>solamente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rendimiento económico a corto</w:t>
      </w:r>
      <w:r>
        <w:rPr>
          <w:color w:val="231F20"/>
          <w:spacing w:val="-36"/>
          <w:w w:val="105"/>
        </w:rPr>
        <w:t> </w:t>
      </w:r>
      <w:r>
        <w:rPr>
          <w:color w:val="231F20"/>
          <w:w w:val="105"/>
        </w:rPr>
        <w:t>plazo.</w:t>
      </w:r>
    </w:p>
    <w:p>
      <w:pPr>
        <w:pStyle w:val="BodyText"/>
        <w:spacing w:line="259" w:lineRule="auto"/>
        <w:ind w:left="117" w:right="115" w:firstLine="567"/>
        <w:jc w:val="both"/>
      </w:pPr>
      <w:r>
        <w:rPr>
          <w:color w:val="231F20"/>
          <w:w w:val="105"/>
        </w:rPr>
        <w:t>A</w:t>
      </w:r>
      <w:r>
        <w:rPr>
          <w:color w:val="231F20"/>
          <w:spacing w:val="-15"/>
          <w:w w:val="105"/>
        </w:rPr>
        <w:t> </w:t>
      </w:r>
      <w:r>
        <w:rPr>
          <w:color w:val="231F20"/>
          <w:w w:val="105"/>
        </w:rPr>
        <w:t>mediados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década</w:t>
      </w:r>
      <w:r>
        <w:rPr>
          <w:color w:val="231F20"/>
          <w:spacing w:val="-12"/>
          <w:w w:val="105"/>
        </w:rPr>
        <w:t> </w:t>
      </w:r>
      <w:r>
        <w:rPr>
          <w:color w:val="231F20"/>
          <w:w w:val="105"/>
        </w:rPr>
        <w:t>de</w:t>
      </w:r>
      <w:r>
        <w:rPr>
          <w:color w:val="231F20"/>
          <w:spacing w:val="-12"/>
          <w:w w:val="105"/>
        </w:rPr>
        <w:t> </w:t>
      </w:r>
      <w:r>
        <w:rPr>
          <w:color w:val="231F20"/>
          <w:w w:val="105"/>
        </w:rPr>
        <w:t>1970</w:t>
      </w:r>
      <w:r>
        <w:rPr>
          <w:color w:val="231F20"/>
          <w:spacing w:val="-12"/>
          <w:w w:val="105"/>
        </w:rPr>
        <w:t> </w:t>
      </w:r>
      <w:r>
        <w:rPr>
          <w:color w:val="231F20"/>
          <w:w w:val="105"/>
        </w:rPr>
        <w:t>fueron</w:t>
      </w:r>
      <w:r>
        <w:rPr>
          <w:color w:val="231F20"/>
          <w:spacing w:val="-12"/>
          <w:w w:val="105"/>
        </w:rPr>
        <w:t> </w:t>
      </w:r>
      <w:r>
        <w:rPr>
          <w:color w:val="231F20"/>
          <w:w w:val="105"/>
        </w:rPr>
        <w:t>publicados</w:t>
      </w:r>
      <w:r>
        <w:rPr>
          <w:color w:val="231F20"/>
          <w:spacing w:val="-12"/>
          <w:w w:val="105"/>
        </w:rPr>
        <w:t> </w:t>
      </w:r>
      <w:r>
        <w:rPr>
          <w:color w:val="231F20"/>
          <w:w w:val="105"/>
        </w:rPr>
        <w:t>estudios</w:t>
      </w:r>
      <w:r>
        <w:rPr>
          <w:color w:val="231F20"/>
          <w:spacing w:val="-12"/>
          <w:w w:val="105"/>
        </w:rPr>
        <w:t> </w:t>
      </w:r>
      <w:r>
        <w:rPr>
          <w:color w:val="231F20"/>
          <w:w w:val="105"/>
        </w:rPr>
        <w:t>que buscaban</w:t>
      </w:r>
      <w:r>
        <w:rPr>
          <w:color w:val="231F20"/>
          <w:spacing w:val="-23"/>
          <w:w w:val="105"/>
        </w:rPr>
        <w:t> </w:t>
      </w:r>
      <w:r>
        <w:rPr>
          <w:color w:val="231F20"/>
          <w:w w:val="105"/>
        </w:rPr>
        <w:t>la</w:t>
      </w:r>
      <w:r>
        <w:rPr>
          <w:color w:val="231F20"/>
          <w:spacing w:val="-23"/>
          <w:w w:val="105"/>
        </w:rPr>
        <w:t> </w:t>
      </w:r>
      <w:r>
        <w:rPr>
          <w:color w:val="231F20"/>
          <w:w w:val="105"/>
        </w:rPr>
        <w:t>relación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efectividad</w:t>
      </w:r>
      <w:r>
        <w:rPr>
          <w:color w:val="231F20"/>
          <w:spacing w:val="-23"/>
          <w:w w:val="105"/>
        </w:rPr>
        <w:t> </w:t>
      </w:r>
      <w:r>
        <w:rPr>
          <w:color w:val="231F20"/>
          <w:w w:val="105"/>
        </w:rPr>
        <w:t>organizacional</w:t>
      </w:r>
      <w:r>
        <w:rPr>
          <w:color w:val="231F20"/>
          <w:spacing w:val="-23"/>
          <w:w w:val="105"/>
        </w:rPr>
        <w:t> </w:t>
      </w:r>
      <w:r>
        <w:rPr>
          <w:color w:val="231F20"/>
          <w:w w:val="105"/>
        </w:rPr>
        <w:t>con</w:t>
      </w:r>
      <w:r>
        <w:rPr>
          <w:color w:val="231F20"/>
          <w:spacing w:val="-23"/>
          <w:w w:val="105"/>
        </w:rPr>
        <w:t> </w:t>
      </w:r>
      <w:r>
        <w:rPr>
          <w:color w:val="231F20"/>
          <w:w w:val="105"/>
        </w:rPr>
        <w:t>variables</w:t>
      </w:r>
      <w:r>
        <w:rPr>
          <w:color w:val="231F20"/>
          <w:spacing w:val="-23"/>
          <w:w w:val="105"/>
        </w:rPr>
        <w:t> </w:t>
      </w:r>
      <w:r>
        <w:rPr>
          <w:color w:val="231F20"/>
          <w:w w:val="105"/>
        </w:rPr>
        <w:t>como la</w:t>
      </w:r>
      <w:r>
        <w:rPr>
          <w:color w:val="231F20"/>
          <w:spacing w:val="-21"/>
          <w:w w:val="105"/>
        </w:rPr>
        <w:t> </w:t>
      </w:r>
      <w:r>
        <w:rPr>
          <w:color w:val="231F20"/>
          <w:w w:val="105"/>
        </w:rPr>
        <w:t>tecnología</w:t>
      </w:r>
      <w:r>
        <w:rPr>
          <w:color w:val="231F20"/>
          <w:spacing w:val="-21"/>
          <w:w w:val="105"/>
        </w:rPr>
        <w:t> </w:t>
      </w:r>
      <w:r>
        <w:rPr>
          <w:color w:val="231F20"/>
          <w:w w:val="105"/>
        </w:rPr>
        <w:t>(Mahoney</w:t>
      </w:r>
      <w:r>
        <w:rPr>
          <w:color w:val="231F20"/>
          <w:spacing w:val="-21"/>
          <w:w w:val="105"/>
        </w:rPr>
        <w:t> </w:t>
      </w:r>
      <w:r>
        <w:rPr>
          <w:color w:val="231F20"/>
          <w:w w:val="105"/>
        </w:rPr>
        <w:t>y</w:t>
      </w:r>
      <w:r>
        <w:rPr>
          <w:color w:val="231F20"/>
          <w:spacing w:val="-21"/>
          <w:w w:val="105"/>
        </w:rPr>
        <w:t> </w:t>
      </w:r>
      <w:r>
        <w:rPr>
          <w:color w:val="231F20"/>
          <w:spacing w:val="-3"/>
          <w:w w:val="105"/>
        </w:rPr>
        <w:t>Frost,</w:t>
      </w:r>
      <w:r>
        <w:rPr>
          <w:color w:val="231F20"/>
          <w:spacing w:val="-25"/>
          <w:w w:val="105"/>
        </w:rPr>
        <w:t> </w:t>
      </w:r>
      <w:r>
        <w:rPr>
          <w:color w:val="231F20"/>
          <w:w w:val="105"/>
        </w:rPr>
        <w:t>1974),</w:t>
      </w:r>
      <w:r>
        <w:rPr>
          <w:color w:val="231F20"/>
          <w:spacing w:val="-25"/>
          <w:w w:val="105"/>
        </w:rPr>
        <w:t> </w:t>
      </w:r>
      <w:r>
        <w:rPr>
          <w:color w:val="231F20"/>
          <w:w w:val="105"/>
        </w:rPr>
        <w:t>la</w:t>
      </w:r>
      <w:r>
        <w:rPr>
          <w:color w:val="231F20"/>
          <w:spacing w:val="-21"/>
          <w:w w:val="105"/>
        </w:rPr>
        <w:t> </w:t>
      </w:r>
      <w:r>
        <w:rPr>
          <w:color w:val="231F20"/>
          <w:w w:val="105"/>
        </w:rPr>
        <w:t>motivación</w:t>
      </w:r>
      <w:r>
        <w:rPr>
          <w:color w:val="231F20"/>
          <w:spacing w:val="-21"/>
          <w:w w:val="105"/>
        </w:rPr>
        <w:t> </w:t>
      </w:r>
      <w:r>
        <w:rPr>
          <w:color w:val="231F20"/>
          <w:w w:val="105"/>
        </w:rPr>
        <w:t>(Baumgartel,</w:t>
      </w:r>
      <w:r>
        <w:rPr>
          <w:color w:val="231F20"/>
          <w:spacing w:val="-25"/>
          <w:w w:val="105"/>
        </w:rPr>
        <w:t> </w:t>
      </w:r>
      <w:r>
        <w:rPr>
          <w:color w:val="231F20"/>
          <w:w w:val="105"/>
        </w:rPr>
        <w:t>1975), el</w:t>
      </w:r>
      <w:r>
        <w:rPr>
          <w:color w:val="231F20"/>
          <w:spacing w:val="-13"/>
          <w:w w:val="105"/>
        </w:rPr>
        <w:t> </w:t>
      </w:r>
      <w:r>
        <w:rPr>
          <w:color w:val="231F20"/>
          <w:w w:val="105"/>
        </w:rPr>
        <w:t>entorno</w:t>
      </w:r>
      <w:r>
        <w:rPr>
          <w:color w:val="231F20"/>
          <w:spacing w:val="-13"/>
          <w:w w:val="105"/>
        </w:rPr>
        <w:t> </w:t>
      </w:r>
      <w:r>
        <w:rPr>
          <w:color w:val="231F20"/>
          <w:w w:val="105"/>
        </w:rPr>
        <w:t>organizacional</w:t>
      </w:r>
      <w:r>
        <w:rPr>
          <w:color w:val="231F20"/>
          <w:spacing w:val="-13"/>
          <w:w w:val="105"/>
        </w:rPr>
        <w:t> </w:t>
      </w:r>
      <w:r>
        <w:rPr>
          <w:color w:val="231F20"/>
          <w:w w:val="105"/>
        </w:rPr>
        <w:t>(Hirsch,</w:t>
      </w:r>
      <w:r>
        <w:rPr>
          <w:color w:val="231F20"/>
          <w:spacing w:val="-19"/>
          <w:w w:val="105"/>
        </w:rPr>
        <w:t> </w:t>
      </w:r>
      <w:r>
        <w:rPr>
          <w:color w:val="231F20"/>
          <w:w w:val="105"/>
        </w:rPr>
        <w:t>1975)</w:t>
      </w:r>
      <w:r>
        <w:rPr>
          <w:color w:val="231F20"/>
          <w:spacing w:val="-13"/>
          <w:w w:val="105"/>
        </w:rPr>
        <w:t> </w:t>
      </w:r>
      <w:r>
        <w:rPr>
          <w:color w:val="231F20"/>
          <w:w w:val="105"/>
        </w:rPr>
        <w:t>y</w:t>
      </w:r>
      <w:r>
        <w:rPr>
          <w:color w:val="231F20"/>
          <w:spacing w:val="-13"/>
          <w:w w:val="105"/>
        </w:rPr>
        <w:t> </w:t>
      </w:r>
      <w:r>
        <w:rPr>
          <w:color w:val="231F20"/>
          <w:w w:val="105"/>
        </w:rPr>
        <w:t>los</w:t>
      </w:r>
      <w:r>
        <w:rPr>
          <w:color w:val="231F20"/>
          <w:spacing w:val="-13"/>
          <w:w w:val="105"/>
        </w:rPr>
        <w:t> </w:t>
      </w:r>
      <w:r>
        <w:rPr>
          <w:color w:val="231F20"/>
          <w:w w:val="105"/>
        </w:rPr>
        <w:t>valores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gerencia</w:t>
      </w:r>
      <w:r>
        <w:rPr>
          <w:color w:val="231F20"/>
          <w:spacing w:val="-13"/>
          <w:w w:val="105"/>
        </w:rPr>
        <w:t> </w:t>
      </w:r>
      <w:r>
        <w:rPr>
          <w:color w:val="231F20"/>
          <w:w w:val="105"/>
        </w:rPr>
        <w:t>con respecto a los </w:t>
      </w:r>
      <w:r>
        <w:rPr>
          <w:i/>
          <w:color w:val="231F20"/>
          <w:w w:val="105"/>
        </w:rPr>
        <w:t>stakeholders</w:t>
      </w:r>
      <w:r>
        <w:rPr>
          <w:color w:val="231F20"/>
          <w:w w:val="105"/>
        </w:rPr>
        <w:t>, como clientes, proveedores, empleados y gobierno</w:t>
      </w:r>
      <w:r>
        <w:rPr>
          <w:color w:val="231F20"/>
          <w:spacing w:val="-35"/>
          <w:w w:val="105"/>
        </w:rPr>
        <w:t> </w:t>
      </w:r>
      <w:r>
        <w:rPr>
          <w:color w:val="231F20"/>
          <w:w w:val="105"/>
        </w:rPr>
        <w:t>(Reimann,</w:t>
      </w:r>
      <w:r>
        <w:rPr>
          <w:color w:val="231F20"/>
          <w:spacing w:val="-39"/>
          <w:w w:val="105"/>
        </w:rPr>
        <w:t> </w:t>
      </w:r>
      <w:r>
        <w:rPr>
          <w:color w:val="231F20"/>
          <w:w w:val="105"/>
        </w:rPr>
        <w:t>1975).</w:t>
      </w:r>
    </w:p>
    <w:p>
      <w:pPr>
        <w:spacing w:after="0" w:line="259" w:lineRule="auto"/>
        <w:jc w:val="both"/>
        <w:sectPr>
          <w:pgSz w:w="9640" w:h="13890"/>
          <w:pgMar w:top="0" w:bottom="280" w:left="1300" w:right="1180"/>
        </w:sectPr>
      </w:pPr>
    </w:p>
    <w:p>
      <w:pPr>
        <w:pStyle w:val="BodyText"/>
        <w:spacing w:line="259" w:lineRule="auto" w:before="49"/>
        <w:ind w:left="103" w:right="114"/>
        <w:jc w:val="both"/>
      </w:pPr>
      <w:r>
        <w:rPr>
          <w:color w:val="231F20"/>
          <w:w w:val="105"/>
        </w:rPr>
        <w:t>Con Juran (1969) se comienzan a gestar las bases de un nuevo movi- miento</w:t>
      </w:r>
      <w:r>
        <w:rPr>
          <w:color w:val="231F20"/>
          <w:spacing w:val="-21"/>
          <w:w w:val="105"/>
        </w:rPr>
        <w:t> </w:t>
      </w:r>
      <w:r>
        <w:rPr>
          <w:color w:val="231F20"/>
          <w:w w:val="105"/>
        </w:rPr>
        <w:t>respecto</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evaluación</w:t>
      </w:r>
      <w:r>
        <w:rPr>
          <w:color w:val="231F20"/>
          <w:spacing w:val="-21"/>
          <w:w w:val="105"/>
        </w:rPr>
        <w:t> </w:t>
      </w:r>
      <w:r>
        <w:rPr>
          <w:color w:val="231F20"/>
          <w:w w:val="105"/>
        </w:rPr>
        <w:t>del</w:t>
      </w:r>
      <w:r>
        <w:rPr>
          <w:color w:val="231F20"/>
          <w:spacing w:val="-21"/>
          <w:w w:val="105"/>
        </w:rPr>
        <w:t> </w:t>
      </w:r>
      <w:r>
        <w:rPr>
          <w:color w:val="231F20"/>
          <w:w w:val="105"/>
        </w:rPr>
        <w:t>desempeño</w:t>
      </w:r>
      <w:r>
        <w:rPr>
          <w:color w:val="231F20"/>
          <w:spacing w:val="-21"/>
          <w:w w:val="105"/>
        </w:rPr>
        <w:t> </w:t>
      </w:r>
      <w:r>
        <w:rPr>
          <w:color w:val="231F20"/>
          <w:w w:val="105"/>
        </w:rPr>
        <w:t>en</w:t>
      </w:r>
      <w:r>
        <w:rPr>
          <w:color w:val="231F20"/>
          <w:spacing w:val="-21"/>
          <w:w w:val="105"/>
        </w:rPr>
        <w:t> </w:t>
      </w:r>
      <w:r>
        <w:rPr>
          <w:color w:val="231F20"/>
          <w:w w:val="105"/>
        </w:rPr>
        <w:t>las</w:t>
      </w:r>
      <w:r>
        <w:rPr>
          <w:color w:val="231F20"/>
          <w:spacing w:val="-21"/>
          <w:w w:val="105"/>
        </w:rPr>
        <w:t> </w:t>
      </w:r>
      <w:r>
        <w:rPr>
          <w:color w:val="231F20"/>
          <w:w w:val="105"/>
        </w:rPr>
        <w:t>empresas:</w:t>
      </w:r>
      <w:r>
        <w:rPr>
          <w:color w:val="231F20"/>
          <w:spacing w:val="-21"/>
          <w:w w:val="105"/>
        </w:rPr>
        <w:t> </w:t>
      </w:r>
      <w:r>
        <w:rPr>
          <w:color w:val="231F20"/>
          <w:w w:val="105"/>
        </w:rPr>
        <w:t>la</w:t>
      </w:r>
      <w:r>
        <w:rPr>
          <w:color w:val="231F20"/>
          <w:spacing w:val="-21"/>
          <w:w w:val="105"/>
        </w:rPr>
        <w:t> </w:t>
      </w:r>
      <w:r>
        <w:rPr>
          <w:color w:val="231F20"/>
          <w:w w:val="105"/>
        </w:rPr>
        <w:t>ges- tión</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calidad</w:t>
      </w:r>
      <w:r>
        <w:rPr>
          <w:color w:val="231F20"/>
          <w:spacing w:val="-23"/>
          <w:w w:val="105"/>
        </w:rPr>
        <w:t> </w:t>
      </w:r>
      <w:r>
        <w:rPr>
          <w:color w:val="231F20"/>
          <w:w w:val="105"/>
        </w:rPr>
        <w:t>total</w:t>
      </w:r>
      <w:r>
        <w:rPr>
          <w:color w:val="231F20"/>
          <w:spacing w:val="-23"/>
          <w:w w:val="105"/>
        </w:rPr>
        <w:t> </w:t>
      </w:r>
      <w:r>
        <w:rPr>
          <w:color w:val="231F20"/>
          <w:w w:val="105"/>
        </w:rPr>
        <w:t>(GCT),</w:t>
      </w:r>
      <w:r>
        <w:rPr>
          <w:color w:val="231F20"/>
          <w:spacing w:val="-29"/>
          <w:w w:val="105"/>
        </w:rPr>
        <w:t> </w:t>
      </w:r>
      <w:r>
        <w:rPr>
          <w:color w:val="231F20"/>
          <w:w w:val="105"/>
        </w:rPr>
        <w:t>el</w:t>
      </w:r>
      <w:r>
        <w:rPr>
          <w:color w:val="231F20"/>
          <w:spacing w:val="-23"/>
          <w:w w:val="105"/>
        </w:rPr>
        <w:t> </w:t>
      </w:r>
      <w:r>
        <w:rPr>
          <w:color w:val="231F20"/>
          <w:w w:val="105"/>
        </w:rPr>
        <w:t>cual</w:t>
      </w:r>
      <w:r>
        <w:rPr>
          <w:color w:val="231F20"/>
          <w:spacing w:val="-23"/>
          <w:w w:val="105"/>
        </w:rPr>
        <w:t> </w:t>
      </w:r>
      <w:r>
        <w:rPr>
          <w:color w:val="231F20"/>
          <w:w w:val="105"/>
        </w:rPr>
        <w:t>implica</w:t>
      </w:r>
      <w:r>
        <w:rPr>
          <w:color w:val="231F20"/>
          <w:spacing w:val="-23"/>
          <w:w w:val="105"/>
        </w:rPr>
        <w:t> </w:t>
      </w:r>
      <w:r>
        <w:rPr>
          <w:color w:val="231F20"/>
          <w:w w:val="105"/>
        </w:rPr>
        <w:t>un</w:t>
      </w:r>
      <w:r>
        <w:rPr>
          <w:color w:val="231F20"/>
          <w:spacing w:val="-23"/>
          <w:w w:val="105"/>
        </w:rPr>
        <w:t> </w:t>
      </w:r>
      <w:r>
        <w:rPr>
          <w:color w:val="231F20"/>
          <w:w w:val="105"/>
        </w:rPr>
        <w:t>compromiso</w:t>
      </w:r>
      <w:r>
        <w:rPr>
          <w:color w:val="231F20"/>
          <w:spacing w:val="-23"/>
          <w:w w:val="105"/>
        </w:rPr>
        <w:t> </w:t>
      </w:r>
      <w:r>
        <w:rPr>
          <w:color w:val="231F20"/>
          <w:w w:val="105"/>
        </w:rPr>
        <w:t>a</w:t>
      </w:r>
      <w:r>
        <w:rPr>
          <w:color w:val="231F20"/>
          <w:spacing w:val="-23"/>
          <w:w w:val="105"/>
        </w:rPr>
        <w:t> </w:t>
      </w:r>
      <w:r>
        <w:rPr>
          <w:color w:val="231F20"/>
          <w:w w:val="105"/>
        </w:rPr>
        <w:t>largo</w:t>
      </w:r>
      <w:r>
        <w:rPr>
          <w:color w:val="231F20"/>
          <w:spacing w:val="-23"/>
          <w:w w:val="105"/>
        </w:rPr>
        <w:t> </w:t>
      </w:r>
      <w:r>
        <w:rPr>
          <w:color w:val="231F20"/>
          <w:w w:val="105"/>
        </w:rPr>
        <w:t>plazo de la organización, hacia el mejoramiento continuo con la participación activa de todos los miembros en todos los niveles, con la finalidad de satisfacer</w:t>
      </w:r>
      <w:r>
        <w:rPr>
          <w:color w:val="231F20"/>
          <w:spacing w:val="-21"/>
          <w:w w:val="105"/>
        </w:rPr>
        <w:t> </w:t>
      </w:r>
      <w:r>
        <w:rPr>
          <w:color w:val="231F20"/>
          <w:w w:val="105"/>
        </w:rPr>
        <w:t>y</w:t>
      </w:r>
      <w:r>
        <w:rPr>
          <w:color w:val="231F20"/>
          <w:spacing w:val="-21"/>
          <w:w w:val="105"/>
        </w:rPr>
        <w:t> </w:t>
      </w:r>
      <w:r>
        <w:rPr>
          <w:color w:val="231F20"/>
          <w:w w:val="105"/>
        </w:rPr>
        <w:t>exceder</w:t>
      </w:r>
      <w:r>
        <w:rPr>
          <w:color w:val="231F20"/>
          <w:spacing w:val="-21"/>
          <w:w w:val="105"/>
        </w:rPr>
        <w:t> </w:t>
      </w:r>
      <w:r>
        <w:rPr>
          <w:color w:val="231F20"/>
          <w:w w:val="105"/>
        </w:rPr>
        <w:t>las</w:t>
      </w:r>
      <w:r>
        <w:rPr>
          <w:color w:val="231F20"/>
          <w:spacing w:val="-21"/>
          <w:w w:val="105"/>
        </w:rPr>
        <w:t> </w:t>
      </w:r>
      <w:r>
        <w:rPr>
          <w:color w:val="231F20"/>
          <w:w w:val="105"/>
        </w:rPr>
        <w:t>expectativas</w:t>
      </w:r>
      <w:r>
        <w:rPr>
          <w:color w:val="231F20"/>
          <w:spacing w:val="-21"/>
          <w:w w:val="105"/>
        </w:rPr>
        <w:t> </w:t>
      </w:r>
      <w:r>
        <w:rPr>
          <w:color w:val="231F20"/>
          <w:w w:val="105"/>
        </w:rPr>
        <w:t>del</w:t>
      </w:r>
      <w:r>
        <w:rPr>
          <w:color w:val="231F20"/>
          <w:spacing w:val="-21"/>
          <w:w w:val="105"/>
        </w:rPr>
        <w:t> </w:t>
      </w:r>
      <w:r>
        <w:rPr>
          <w:color w:val="231F20"/>
          <w:w w:val="105"/>
        </w:rPr>
        <w:t>cliente.</w:t>
      </w:r>
      <w:r>
        <w:rPr>
          <w:color w:val="231F20"/>
          <w:spacing w:val="-26"/>
          <w:w w:val="105"/>
        </w:rPr>
        <w:t> </w:t>
      </w:r>
      <w:r>
        <w:rPr>
          <w:color w:val="231F20"/>
          <w:w w:val="105"/>
        </w:rPr>
        <w:t>Juran</w:t>
      </w:r>
      <w:r>
        <w:rPr>
          <w:color w:val="231F20"/>
          <w:spacing w:val="-21"/>
          <w:w w:val="105"/>
        </w:rPr>
        <w:t> </w:t>
      </w:r>
      <w:r>
        <w:rPr>
          <w:color w:val="231F20"/>
          <w:w w:val="105"/>
        </w:rPr>
        <w:t>(1969)</w:t>
      </w:r>
      <w:r>
        <w:rPr>
          <w:color w:val="231F20"/>
          <w:spacing w:val="-21"/>
          <w:w w:val="105"/>
        </w:rPr>
        <w:t> </w:t>
      </w:r>
      <w:r>
        <w:rPr>
          <w:color w:val="231F20"/>
          <w:w w:val="105"/>
        </w:rPr>
        <w:t>e</w:t>
      </w:r>
      <w:r>
        <w:rPr>
          <w:color w:val="231F20"/>
          <w:spacing w:val="-21"/>
          <w:w w:val="105"/>
        </w:rPr>
        <w:t> </w:t>
      </w:r>
      <w:r>
        <w:rPr>
          <w:color w:val="231F20"/>
          <w:w w:val="105"/>
        </w:rPr>
        <w:t>Ishikawa (1982)</w:t>
      </w:r>
      <w:r>
        <w:rPr>
          <w:color w:val="231F20"/>
          <w:spacing w:val="-16"/>
          <w:w w:val="105"/>
        </w:rPr>
        <w:t> </w:t>
      </w:r>
      <w:r>
        <w:rPr>
          <w:color w:val="231F20"/>
          <w:w w:val="105"/>
        </w:rPr>
        <w:t>y</w:t>
      </w:r>
      <w:r>
        <w:rPr>
          <w:color w:val="231F20"/>
          <w:spacing w:val="-16"/>
          <w:w w:val="105"/>
        </w:rPr>
        <w:t> </w:t>
      </w:r>
      <w:r>
        <w:rPr>
          <w:color w:val="231F20"/>
          <w:w w:val="105"/>
        </w:rPr>
        <w:t>Deming</w:t>
      </w:r>
      <w:r>
        <w:rPr>
          <w:color w:val="231F20"/>
          <w:spacing w:val="-16"/>
          <w:w w:val="105"/>
        </w:rPr>
        <w:t> </w:t>
      </w:r>
      <w:r>
        <w:rPr>
          <w:color w:val="231F20"/>
          <w:w w:val="105"/>
        </w:rPr>
        <w:t>(1986)</w:t>
      </w:r>
      <w:r>
        <w:rPr>
          <w:color w:val="231F20"/>
          <w:spacing w:val="-16"/>
          <w:w w:val="105"/>
        </w:rPr>
        <w:t> </w:t>
      </w:r>
      <w:r>
        <w:rPr>
          <w:color w:val="231F20"/>
          <w:w w:val="105"/>
        </w:rPr>
        <w:t>fueron</w:t>
      </w:r>
      <w:r>
        <w:rPr>
          <w:color w:val="231F20"/>
          <w:spacing w:val="-16"/>
          <w:w w:val="105"/>
        </w:rPr>
        <w:t> </w:t>
      </w:r>
      <w:r>
        <w:rPr>
          <w:color w:val="231F20"/>
          <w:w w:val="105"/>
        </w:rPr>
        <w:t>pioneros</w:t>
      </w:r>
      <w:r>
        <w:rPr>
          <w:color w:val="231F20"/>
          <w:spacing w:val="-16"/>
          <w:w w:val="105"/>
        </w:rPr>
        <w:t> </w:t>
      </w:r>
      <w:r>
        <w:rPr>
          <w:color w:val="231F20"/>
          <w:w w:val="105"/>
        </w:rPr>
        <w:t>del</w:t>
      </w:r>
      <w:r>
        <w:rPr>
          <w:color w:val="231F20"/>
          <w:spacing w:val="-16"/>
          <w:w w:val="105"/>
        </w:rPr>
        <w:t> </w:t>
      </w:r>
      <w:r>
        <w:rPr>
          <w:color w:val="231F20"/>
          <w:w w:val="105"/>
        </w:rPr>
        <w:t>movimiento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5"/>
          <w:w w:val="105"/>
        </w:rPr>
        <w:t>GCT;</w:t>
      </w:r>
      <w:r>
        <w:rPr>
          <w:color w:val="231F20"/>
          <w:spacing w:val="-16"/>
          <w:w w:val="105"/>
        </w:rPr>
        <w:t> </w:t>
      </w:r>
      <w:r>
        <w:rPr>
          <w:color w:val="231F20"/>
          <w:w w:val="105"/>
        </w:rPr>
        <w:t>para ellos</w:t>
      </w:r>
      <w:r>
        <w:rPr>
          <w:color w:val="231F20"/>
          <w:spacing w:val="-13"/>
          <w:w w:val="105"/>
        </w:rPr>
        <w:t> </w:t>
      </w:r>
      <w:r>
        <w:rPr>
          <w:color w:val="231F20"/>
          <w:w w:val="105"/>
        </w:rPr>
        <w:t>el</w:t>
      </w:r>
      <w:r>
        <w:rPr>
          <w:color w:val="231F20"/>
          <w:spacing w:val="-13"/>
          <w:w w:val="105"/>
        </w:rPr>
        <w:t> </w:t>
      </w:r>
      <w:r>
        <w:rPr>
          <w:color w:val="231F20"/>
          <w:w w:val="105"/>
        </w:rPr>
        <w:t>costo</w:t>
      </w:r>
      <w:r>
        <w:rPr>
          <w:color w:val="231F20"/>
          <w:spacing w:val="-13"/>
          <w:w w:val="105"/>
        </w:rPr>
        <w:t> </w:t>
      </w:r>
      <w:r>
        <w:rPr>
          <w:color w:val="231F20"/>
          <w:w w:val="105"/>
        </w:rPr>
        <w:t>de</w:t>
      </w:r>
      <w:r>
        <w:rPr>
          <w:color w:val="231F20"/>
          <w:spacing w:val="-13"/>
          <w:w w:val="105"/>
        </w:rPr>
        <w:t> </w:t>
      </w:r>
      <w:r>
        <w:rPr>
          <w:color w:val="231F20"/>
          <w:w w:val="105"/>
        </w:rPr>
        <w:t>mala</w:t>
      </w:r>
      <w:r>
        <w:rPr>
          <w:color w:val="231F20"/>
          <w:spacing w:val="-13"/>
          <w:w w:val="105"/>
        </w:rPr>
        <w:t> </w:t>
      </w:r>
      <w:r>
        <w:rPr>
          <w:color w:val="231F20"/>
          <w:w w:val="105"/>
        </w:rPr>
        <w:t>calidad</w:t>
      </w:r>
      <w:r>
        <w:rPr>
          <w:color w:val="231F20"/>
          <w:spacing w:val="-13"/>
          <w:w w:val="105"/>
        </w:rPr>
        <w:t> </w:t>
      </w:r>
      <w:r>
        <w:rPr>
          <w:color w:val="231F20"/>
          <w:w w:val="105"/>
        </w:rPr>
        <w:t>es</w:t>
      </w:r>
      <w:r>
        <w:rPr>
          <w:color w:val="231F20"/>
          <w:spacing w:val="-13"/>
          <w:w w:val="105"/>
        </w:rPr>
        <w:t> </w:t>
      </w:r>
      <w:r>
        <w:rPr>
          <w:color w:val="231F20"/>
          <w:w w:val="105"/>
        </w:rPr>
        <w:t>mucho</w:t>
      </w:r>
      <w:r>
        <w:rPr>
          <w:color w:val="231F20"/>
          <w:spacing w:val="-13"/>
          <w:w w:val="105"/>
        </w:rPr>
        <w:t> </w:t>
      </w:r>
      <w:r>
        <w:rPr>
          <w:color w:val="231F20"/>
          <w:w w:val="105"/>
        </w:rPr>
        <w:t>mayor</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costo</w:t>
      </w:r>
      <w:r>
        <w:rPr>
          <w:color w:val="231F20"/>
          <w:spacing w:val="-13"/>
          <w:w w:val="105"/>
        </w:rPr>
        <w:t> </w:t>
      </w:r>
      <w:r>
        <w:rPr>
          <w:color w:val="231F20"/>
          <w:w w:val="105"/>
        </w:rPr>
        <w:t>de</w:t>
      </w:r>
      <w:r>
        <w:rPr>
          <w:color w:val="231F20"/>
          <w:spacing w:val="-13"/>
          <w:w w:val="105"/>
        </w:rPr>
        <w:t> </w:t>
      </w:r>
      <w:r>
        <w:rPr>
          <w:color w:val="231F20"/>
          <w:w w:val="105"/>
        </w:rPr>
        <w:t>diseñar</w:t>
      </w:r>
      <w:r>
        <w:rPr>
          <w:color w:val="231F20"/>
          <w:spacing w:val="-13"/>
          <w:w w:val="105"/>
        </w:rPr>
        <w:t> </w:t>
      </w:r>
      <w:r>
        <w:rPr>
          <w:color w:val="231F20"/>
          <w:w w:val="105"/>
        </w:rPr>
        <w:t>y desarrollar</w:t>
      </w:r>
      <w:r>
        <w:rPr>
          <w:color w:val="231F20"/>
          <w:spacing w:val="-27"/>
          <w:w w:val="105"/>
        </w:rPr>
        <w:t> </w:t>
      </w:r>
      <w:r>
        <w:rPr>
          <w:color w:val="231F20"/>
          <w:w w:val="105"/>
        </w:rPr>
        <w:t>nuevos</w:t>
      </w:r>
      <w:r>
        <w:rPr>
          <w:color w:val="231F20"/>
          <w:spacing w:val="-27"/>
          <w:w w:val="105"/>
        </w:rPr>
        <w:t> </w:t>
      </w:r>
      <w:r>
        <w:rPr>
          <w:color w:val="231F20"/>
          <w:w w:val="105"/>
        </w:rPr>
        <w:t>productos</w:t>
      </w:r>
      <w:r>
        <w:rPr>
          <w:color w:val="231F20"/>
          <w:spacing w:val="-27"/>
          <w:w w:val="105"/>
        </w:rPr>
        <w:t> </w:t>
      </w:r>
      <w:r>
        <w:rPr>
          <w:color w:val="231F20"/>
          <w:w w:val="105"/>
        </w:rPr>
        <w:t>y</w:t>
      </w:r>
      <w:r>
        <w:rPr>
          <w:color w:val="231F20"/>
          <w:spacing w:val="-27"/>
          <w:w w:val="105"/>
        </w:rPr>
        <w:t> </w:t>
      </w:r>
      <w:r>
        <w:rPr>
          <w:color w:val="231F20"/>
          <w:w w:val="105"/>
        </w:rPr>
        <w:t>servicios.</w:t>
      </w:r>
    </w:p>
    <w:p>
      <w:pPr>
        <w:pStyle w:val="BodyText"/>
        <w:spacing w:line="259" w:lineRule="auto"/>
        <w:ind w:left="103" w:right="108" w:firstLine="567"/>
        <w:jc w:val="both"/>
      </w:pPr>
      <w:r>
        <w:rPr>
          <w:color w:val="231F20"/>
          <w:w w:val="105"/>
        </w:rPr>
        <w:t>Las</w:t>
      </w:r>
      <w:r>
        <w:rPr>
          <w:color w:val="231F20"/>
          <w:spacing w:val="-34"/>
          <w:w w:val="105"/>
        </w:rPr>
        <w:t> </w:t>
      </w:r>
      <w:r>
        <w:rPr>
          <w:color w:val="231F20"/>
          <w:w w:val="105"/>
        </w:rPr>
        <w:t>organizaciones</w:t>
      </w:r>
      <w:r>
        <w:rPr>
          <w:color w:val="231F20"/>
          <w:spacing w:val="-34"/>
          <w:w w:val="105"/>
        </w:rPr>
        <w:t> </w:t>
      </w:r>
      <w:r>
        <w:rPr>
          <w:color w:val="231F20"/>
          <w:w w:val="105"/>
        </w:rPr>
        <w:t>están</w:t>
      </w:r>
      <w:r>
        <w:rPr>
          <w:color w:val="231F20"/>
          <w:spacing w:val="-34"/>
          <w:w w:val="105"/>
        </w:rPr>
        <w:t> </w:t>
      </w:r>
      <w:r>
        <w:rPr>
          <w:color w:val="231F20"/>
          <w:w w:val="105"/>
        </w:rPr>
        <w:t>compuestas</w:t>
      </w:r>
      <w:r>
        <w:rPr>
          <w:color w:val="231F20"/>
          <w:spacing w:val="-34"/>
          <w:w w:val="105"/>
        </w:rPr>
        <w:t> </w:t>
      </w:r>
      <w:r>
        <w:rPr>
          <w:color w:val="231F20"/>
          <w:w w:val="105"/>
        </w:rPr>
        <w:t>de</w:t>
      </w:r>
      <w:r>
        <w:rPr>
          <w:color w:val="231F20"/>
          <w:spacing w:val="-34"/>
          <w:w w:val="105"/>
        </w:rPr>
        <w:t> </w:t>
      </w:r>
      <w:r>
        <w:rPr>
          <w:color w:val="231F20"/>
          <w:w w:val="105"/>
        </w:rPr>
        <w:t>subsistemas</w:t>
      </w:r>
      <w:r>
        <w:rPr>
          <w:color w:val="231F20"/>
          <w:spacing w:val="-34"/>
          <w:w w:val="105"/>
        </w:rPr>
        <w:t> </w:t>
      </w:r>
      <w:r>
        <w:rPr>
          <w:color w:val="231F20"/>
          <w:w w:val="105"/>
        </w:rPr>
        <w:t>interrelacio- nados</w:t>
      </w:r>
      <w:r>
        <w:rPr>
          <w:color w:val="231F20"/>
          <w:spacing w:val="-10"/>
          <w:w w:val="105"/>
        </w:rPr>
        <w:t> </w:t>
      </w:r>
      <w:r>
        <w:rPr>
          <w:color w:val="231F20"/>
          <w:w w:val="105"/>
        </w:rPr>
        <w:t>y</w:t>
      </w:r>
      <w:r>
        <w:rPr>
          <w:color w:val="231F20"/>
          <w:spacing w:val="-10"/>
          <w:w w:val="105"/>
        </w:rPr>
        <w:t> </w:t>
      </w:r>
      <w:r>
        <w:rPr>
          <w:color w:val="231F20"/>
          <w:w w:val="105"/>
        </w:rPr>
        <w:t>para</w:t>
      </w:r>
      <w:r>
        <w:rPr>
          <w:color w:val="231F20"/>
          <w:spacing w:val="-10"/>
          <w:w w:val="105"/>
        </w:rPr>
        <w:t> </w:t>
      </w:r>
      <w:r>
        <w:rPr>
          <w:color w:val="231F20"/>
          <w:w w:val="105"/>
        </w:rPr>
        <w:t>tener</w:t>
      </w:r>
      <w:r>
        <w:rPr>
          <w:color w:val="231F20"/>
          <w:spacing w:val="-10"/>
          <w:w w:val="105"/>
        </w:rPr>
        <w:t> </w:t>
      </w:r>
      <w:r>
        <w:rPr>
          <w:color w:val="231F20"/>
          <w:w w:val="105"/>
        </w:rPr>
        <w:t>éxito</w:t>
      </w:r>
      <w:r>
        <w:rPr>
          <w:color w:val="231F20"/>
          <w:spacing w:val="-10"/>
          <w:w w:val="105"/>
        </w:rPr>
        <w:t> </w:t>
      </w:r>
      <w:r>
        <w:rPr>
          <w:color w:val="231F20"/>
          <w:w w:val="105"/>
        </w:rPr>
        <w:t>deben</w:t>
      </w:r>
      <w:r>
        <w:rPr>
          <w:color w:val="231F20"/>
          <w:spacing w:val="-10"/>
          <w:w w:val="105"/>
        </w:rPr>
        <w:t> </w:t>
      </w:r>
      <w:r>
        <w:rPr>
          <w:color w:val="231F20"/>
          <w:w w:val="105"/>
        </w:rPr>
        <w:t>estar</w:t>
      </w:r>
      <w:r>
        <w:rPr>
          <w:color w:val="231F20"/>
          <w:spacing w:val="-10"/>
          <w:w w:val="105"/>
        </w:rPr>
        <w:t> </w:t>
      </w:r>
      <w:r>
        <w:rPr>
          <w:color w:val="231F20"/>
          <w:w w:val="105"/>
        </w:rPr>
        <w:t>colectivamente</w:t>
      </w:r>
      <w:r>
        <w:rPr>
          <w:color w:val="231F20"/>
          <w:spacing w:val="-10"/>
          <w:w w:val="105"/>
        </w:rPr>
        <w:t> </w:t>
      </w:r>
      <w:r>
        <w:rPr>
          <w:color w:val="231F20"/>
          <w:w w:val="105"/>
        </w:rPr>
        <w:t>implicados.</w:t>
      </w:r>
      <w:r>
        <w:rPr>
          <w:color w:val="231F20"/>
          <w:spacing w:val="-15"/>
          <w:w w:val="105"/>
        </w:rPr>
        <w:t> </w:t>
      </w:r>
      <w:r>
        <w:rPr>
          <w:color w:val="231F20"/>
          <w:w w:val="105"/>
        </w:rPr>
        <w:t>Los</w:t>
      </w:r>
      <w:r>
        <w:rPr>
          <w:color w:val="231F20"/>
          <w:spacing w:val="-10"/>
          <w:w w:val="105"/>
        </w:rPr>
        <w:t> </w:t>
      </w:r>
      <w:r>
        <w:rPr>
          <w:color w:val="231F20"/>
          <w:w w:val="105"/>
        </w:rPr>
        <w:t>in- dividuos</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equipos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organización</w:t>
      </w:r>
      <w:r>
        <w:rPr>
          <w:color w:val="231F20"/>
          <w:spacing w:val="-10"/>
          <w:w w:val="105"/>
        </w:rPr>
        <w:t> </w:t>
      </w:r>
      <w:r>
        <w:rPr>
          <w:color w:val="231F20"/>
          <w:w w:val="105"/>
        </w:rPr>
        <w:t>tienen</w:t>
      </w:r>
      <w:r>
        <w:rPr>
          <w:color w:val="231F20"/>
          <w:spacing w:val="-10"/>
          <w:w w:val="105"/>
        </w:rPr>
        <w:t> </w:t>
      </w:r>
      <w:r>
        <w:rPr>
          <w:color w:val="231F20"/>
          <w:w w:val="105"/>
        </w:rPr>
        <w:t>que</w:t>
      </w:r>
      <w:r>
        <w:rPr>
          <w:color w:val="231F20"/>
          <w:spacing w:val="-10"/>
          <w:w w:val="105"/>
        </w:rPr>
        <w:t> </w:t>
      </w:r>
      <w:r>
        <w:rPr>
          <w:color w:val="231F20"/>
          <w:w w:val="105"/>
        </w:rPr>
        <w:t>aprender</w:t>
      </w:r>
      <w:r>
        <w:rPr>
          <w:color w:val="231F20"/>
          <w:spacing w:val="-10"/>
          <w:w w:val="105"/>
        </w:rPr>
        <w:t> </w:t>
      </w:r>
      <w:r>
        <w:rPr>
          <w:color w:val="231F20"/>
          <w:w w:val="105"/>
        </w:rPr>
        <w:t>e</w:t>
      </w:r>
      <w:r>
        <w:rPr>
          <w:color w:val="231F20"/>
          <w:spacing w:val="-10"/>
          <w:w w:val="105"/>
        </w:rPr>
        <w:t> </w:t>
      </w:r>
      <w:r>
        <w:rPr>
          <w:color w:val="231F20"/>
          <w:w w:val="105"/>
        </w:rPr>
        <w:t>innovar continuamente</w:t>
      </w:r>
      <w:r>
        <w:rPr>
          <w:color w:val="231F20"/>
          <w:spacing w:val="-30"/>
          <w:w w:val="105"/>
        </w:rPr>
        <w:t> </w:t>
      </w:r>
      <w:r>
        <w:rPr>
          <w:color w:val="231F20"/>
          <w:w w:val="105"/>
        </w:rPr>
        <w:t>para</w:t>
      </w:r>
      <w:r>
        <w:rPr>
          <w:color w:val="231F20"/>
          <w:spacing w:val="-30"/>
          <w:w w:val="105"/>
        </w:rPr>
        <w:t> </w:t>
      </w:r>
      <w:r>
        <w:rPr>
          <w:color w:val="231F20"/>
          <w:w w:val="105"/>
        </w:rPr>
        <w:t>mejorar</w:t>
      </w:r>
      <w:r>
        <w:rPr>
          <w:color w:val="231F20"/>
          <w:spacing w:val="-30"/>
          <w:w w:val="105"/>
        </w:rPr>
        <w:t> </w:t>
      </w:r>
      <w:r>
        <w:rPr>
          <w:color w:val="231F20"/>
          <w:w w:val="105"/>
        </w:rPr>
        <w:t>su</w:t>
      </w:r>
      <w:r>
        <w:rPr>
          <w:color w:val="231F20"/>
          <w:spacing w:val="-30"/>
          <w:w w:val="105"/>
        </w:rPr>
        <w:t> </w:t>
      </w:r>
      <w:r>
        <w:rPr>
          <w:color w:val="231F20"/>
          <w:w w:val="105"/>
        </w:rPr>
        <w:t>calidad</w:t>
      </w:r>
      <w:r>
        <w:rPr>
          <w:color w:val="231F20"/>
          <w:spacing w:val="-30"/>
          <w:w w:val="105"/>
        </w:rPr>
        <w:t> </w:t>
      </w:r>
      <w:r>
        <w:rPr>
          <w:color w:val="231F20"/>
          <w:w w:val="105"/>
        </w:rPr>
        <w:t>de</w:t>
      </w:r>
      <w:r>
        <w:rPr>
          <w:color w:val="231F20"/>
          <w:spacing w:val="-30"/>
          <w:w w:val="105"/>
        </w:rPr>
        <w:t> </w:t>
      </w:r>
      <w:r>
        <w:rPr>
          <w:color w:val="231F20"/>
          <w:w w:val="105"/>
        </w:rPr>
        <w:t>trabajo</w:t>
      </w:r>
      <w:r>
        <w:rPr>
          <w:color w:val="231F20"/>
          <w:spacing w:val="-30"/>
          <w:w w:val="105"/>
        </w:rPr>
        <w:t> </w:t>
      </w:r>
      <w:r>
        <w:rPr>
          <w:color w:val="231F20"/>
          <w:w w:val="105"/>
        </w:rPr>
        <w:t>(Chawla</w:t>
      </w:r>
      <w:r>
        <w:rPr>
          <w:color w:val="231F20"/>
          <w:spacing w:val="-30"/>
          <w:w w:val="105"/>
        </w:rPr>
        <w:t> </w:t>
      </w:r>
      <w:r>
        <w:rPr>
          <w:color w:val="231F20"/>
          <w:w w:val="105"/>
        </w:rPr>
        <w:t>y</w:t>
      </w:r>
      <w:r>
        <w:rPr>
          <w:color w:val="231F20"/>
          <w:spacing w:val="-32"/>
          <w:w w:val="105"/>
        </w:rPr>
        <w:t> </w:t>
      </w:r>
      <w:r>
        <w:rPr>
          <w:color w:val="231F20"/>
          <w:w w:val="105"/>
        </w:rPr>
        <w:t>Joshi,</w:t>
      </w:r>
      <w:r>
        <w:rPr>
          <w:color w:val="231F20"/>
          <w:spacing w:val="-34"/>
          <w:w w:val="105"/>
        </w:rPr>
        <w:t> </w:t>
      </w:r>
      <w:r>
        <w:rPr>
          <w:color w:val="231F20"/>
          <w:w w:val="105"/>
        </w:rPr>
        <w:t>2011). De</w:t>
      </w:r>
      <w:r>
        <w:rPr>
          <w:color w:val="231F20"/>
          <w:spacing w:val="-5"/>
          <w:w w:val="105"/>
        </w:rPr>
        <w:t> </w:t>
      </w:r>
      <w:r>
        <w:rPr>
          <w:color w:val="231F20"/>
          <w:w w:val="105"/>
        </w:rPr>
        <w:t>acuerdo</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fundadores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GCT,</w:t>
      </w:r>
      <w:r>
        <w:rPr>
          <w:color w:val="231F20"/>
          <w:spacing w:val="-10"/>
          <w:w w:val="105"/>
        </w:rPr>
        <w:t> </w:t>
      </w:r>
      <w:r>
        <w:rPr>
          <w:color w:val="231F20"/>
          <w:w w:val="105"/>
        </w:rPr>
        <w:t>las</w:t>
      </w:r>
      <w:r>
        <w:rPr>
          <w:color w:val="231F20"/>
          <w:spacing w:val="-5"/>
          <w:w w:val="105"/>
        </w:rPr>
        <w:t> </w:t>
      </w:r>
      <w:r>
        <w:rPr>
          <w:color w:val="231F20"/>
          <w:w w:val="105"/>
        </w:rPr>
        <w:t>actividades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organi- zación</w:t>
      </w:r>
      <w:r>
        <w:rPr>
          <w:color w:val="231F20"/>
          <w:spacing w:val="-10"/>
          <w:w w:val="105"/>
        </w:rPr>
        <w:t> </w:t>
      </w:r>
      <w:r>
        <w:rPr>
          <w:color w:val="231F20"/>
          <w:w w:val="105"/>
        </w:rPr>
        <w:t>se</w:t>
      </w:r>
      <w:r>
        <w:rPr>
          <w:color w:val="231F20"/>
          <w:spacing w:val="-10"/>
          <w:w w:val="105"/>
        </w:rPr>
        <w:t> </w:t>
      </w:r>
      <w:r>
        <w:rPr>
          <w:color w:val="231F20"/>
          <w:w w:val="105"/>
        </w:rPr>
        <w:t>sustentan</w:t>
      </w:r>
      <w:r>
        <w:rPr>
          <w:color w:val="231F20"/>
          <w:spacing w:val="-10"/>
          <w:w w:val="105"/>
        </w:rPr>
        <w:t> </w:t>
      </w:r>
      <w:r>
        <w:rPr>
          <w:color w:val="231F20"/>
          <w:w w:val="105"/>
        </w:rPr>
        <w:t>en</w:t>
      </w:r>
      <w:r>
        <w:rPr>
          <w:color w:val="231F20"/>
          <w:spacing w:val="-10"/>
          <w:w w:val="105"/>
        </w:rPr>
        <w:t> </w:t>
      </w:r>
      <w:r>
        <w:rPr>
          <w:color w:val="231F20"/>
          <w:w w:val="105"/>
        </w:rPr>
        <w:t>cuatro</w:t>
      </w:r>
      <w:r>
        <w:rPr>
          <w:color w:val="231F20"/>
          <w:spacing w:val="-10"/>
          <w:w w:val="105"/>
        </w:rPr>
        <w:t> </w:t>
      </w:r>
      <w:r>
        <w:rPr>
          <w:color w:val="231F20"/>
          <w:w w:val="105"/>
        </w:rPr>
        <w:t>principios</w:t>
      </w:r>
      <w:r>
        <w:rPr>
          <w:color w:val="231F20"/>
          <w:spacing w:val="-10"/>
          <w:w w:val="105"/>
        </w:rPr>
        <w:t> </w:t>
      </w:r>
      <w:r>
        <w:rPr>
          <w:color w:val="231F20"/>
          <w:w w:val="105"/>
        </w:rPr>
        <w:t>básicos:</w:t>
      </w:r>
      <w:r>
        <w:rPr>
          <w:color w:val="231F20"/>
          <w:spacing w:val="-10"/>
          <w:w w:val="105"/>
        </w:rPr>
        <w:t> </w:t>
      </w:r>
      <w:r>
        <w:rPr>
          <w:color w:val="231F20"/>
          <w:w w:val="105"/>
        </w:rPr>
        <w:t>el</w:t>
      </w:r>
      <w:r>
        <w:rPr>
          <w:color w:val="231F20"/>
          <w:spacing w:val="-10"/>
          <w:w w:val="105"/>
        </w:rPr>
        <w:t> </w:t>
      </w:r>
      <w:r>
        <w:rPr>
          <w:color w:val="231F20"/>
          <w:w w:val="105"/>
        </w:rPr>
        <w:t>diseño</w:t>
      </w:r>
      <w:r>
        <w:rPr>
          <w:color w:val="231F20"/>
          <w:spacing w:val="-10"/>
          <w:w w:val="105"/>
        </w:rPr>
        <w:t> </w:t>
      </w:r>
      <w:r>
        <w:rPr>
          <w:color w:val="231F20"/>
          <w:w w:val="105"/>
        </w:rPr>
        <w:t>del</w:t>
      </w:r>
      <w:r>
        <w:rPr>
          <w:color w:val="231F20"/>
          <w:spacing w:val="-10"/>
          <w:w w:val="105"/>
        </w:rPr>
        <w:t> </w:t>
      </w:r>
      <w:r>
        <w:rPr>
          <w:color w:val="231F20"/>
          <w:w w:val="105"/>
        </w:rPr>
        <w:t>producto y</w:t>
      </w:r>
      <w:r>
        <w:rPr>
          <w:color w:val="231F20"/>
          <w:spacing w:val="-8"/>
          <w:w w:val="105"/>
        </w:rPr>
        <w:t> </w:t>
      </w:r>
      <w:r>
        <w:rPr>
          <w:color w:val="231F20"/>
          <w:w w:val="105"/>
        </w:rPr>
        <w:t>los</w:t>
      </w:r>
      <w:r>
        <w:rPr>
          <w:color w:val="231F20"/>
          <w:spacing w:val="-8"/>
          <w:w w:val="105"/>
        </w:rPr>
        <w:t> </w:t>
      </w:r>
      <w:r>
        <w:rPr>
          <w:color w:val="231F20"/>
          <w:w w:val="105"/>
        </w:rPr>
        <w:t>procesos</w:t>
      </w:r>
      <w:r>
        <w:rPr>
          <w:color w:val="231F20"/>
          <w:spacing w:val="-8"/>
          <w:w w:val="105"/>
        </w:rPr>
        <w:t> </w:t>
      </w:r>
      <w:r>
        <w:rPr>
          <w:color w:val="231F20"/>
          <w:w w:val="105"/>
        </w:rPr>
        <w:t>de</w:t>
      </w:r>
      <w:r>
        <w:rPr>
          <w:color w:val="231F20"/>
          <w:spacing w:val="-8"/>
          <w:w w:val="105"/>
        </w:rPr>
        <w:t> </w:t>
      </w:r>
      <w:r>
        <w:rPr>
          <w:color w:val="231F20"/>
          <w:w w:val="105"/>
        </w:rPr>
        <w:t>producción</w:t>
      </w:r>
      <w:r>
        <w:rPr>
          <w:color w:val="231F20"/>
          <w:spacing w:val="-8"/>
          <w:w w:val="105"/>
        </w:rPr>
        <w:t> </w:t>
      </w:r>
      <w:r>
        <w:rPr>
          <w:color w:val="231F20"/>
          <w:w w:val="105"/>
        </w:rPr>
        <w:t>deben</w:t>
      </w:r>
      <w:r>
        <w:rPr>
          <w:color w:val="231F20"/>
          <w:spacing w:val="-8"/>
          <w:w w:val="105"/>
        </w:rPr>
        <w:t> </w:t>
      </w:r>
      <w:r>
        <w:rPr>
          <w:color w:val="231F20"/>
          <w:w w:val="105"/>
        </w:rPr>
        <w:t>ser</w:t>
      </w:r>
      <w:r>
        <w:rPr>
          <w:color w:val="231F20"/>
          <w:spacing w:val="-8"/>
          <w:w w:val="105"/>
        </w:rPr>
        <w:t> </w:t>
      </w:r>
      <w:r>
        <w:rPr>
          <w:color w:val="231F20"/>
          <w:w w:val="105"/>
        </w:rPr>
        <w:t>mejorados,</w:t>
      </w:r>
      <w:r>
        <w:rPr>
          <w:color w:val="231F20"/>
          <w:spacing w:val="-14"/>
          <w:w w:val="105"/>
        </w:rPr>
        <w:t> </w:t>
      </w:r>
      <w:r>
        <w:rPr>
          <w:color w:val="231F20"/>
          <w:w w:val="105"/>
        </w:rPr>
        <w:t>la</w:t>
      </w:r>
      <w:r>
        <w:rPr>
          <w:color w:val="231F20"/>
          <w:spacing w:val="-8"/>
          <w:w w:val="105"/>
        </w:rPr>
        <w:t> </w:t>
      </w:r>
      <w:r>
        <w:rPr>
          <w:color w:val="231F20"/>
          <w:w w:val="105"/>
        </w:rPr>
        <w:t>variabilidad</w:t>
      </w:r>
      <w:r>
        <w:rPr>
          <w:color w:val="231F20"/>
          <w:spacing w:val="-8"/>
          <w:w w:val="105"/>
        </w:rPr>
        <w:t> </w:t>
      </w:r>
      <w:r>
        <w:rPr>
          <w:color w:val="231F20"/>
          <w:w w:val="105"/>
        </w:rPr>
        <w:t>en</w:t>
      </w:r>
      <w:r>
        <w:rPr>
          <w:color w:val="231F20"/>
          <w:spacing w:val="-8"/>
          <w:w w:val="105"/>
        </w:rPr>
        <w:t> </w:t>
      </w:r>
      <w:r>
        <w:rPr>
          <w:color w:val="231F20"/>
          <w:w w:val="105"/>
        </w:rPr>
        <w:t>la producción</w:t>
      </w:r>
      <w:r>
        <w:rPr>
          <w:color w:val="231F20"/>
          <w:spacing w:val="-22"/>
          <w:w w:val="105"/>
        </w:rPr>
        <w:t> </w:t>
      </w:r>
      <w:r>
        <w:rPr>
          <w:color w:val="231F20"/>
          <w:w w:val="105"/>
        </w:rPr>
        <w:t>debe</w:t>
      </w:r>
      <w:r>
        <w:rPr>
          <w:color w:val="231F20"/>
          <w:spacing w:val="-22"/>
          <w:w w:val="105"/>
        </w:rPr>
        <w:t> </w:t>
      </w:r>
      <w:r>
        <w:rPr>
          <w:color w:val="231F20"/>
          <w:w w:val="105"/>
        </w:rPr>
        <w:t>ser</w:t>
      </w:r>
      <w:r>
        <w:rPr>
          <w:color w:val="231F20"/>
          <w:spacing w:val="-22"/>
          <w:w w:val="105"/>
        </w:rPr>
        <w:t> </w:t>
      </w:r>
      <w:r>
        <w:rPr>
          <w:color w:val="231F20"/>
          <w:w w:val="105"/>
        </w:rPr>
        <w:t>controlada</w:t>
      </w:r>
      <w:r>
        <w:rPr>
          <w:color w:val="231F20"/>
          <w:spacing w:val="-22"/>
          <w:w w:val="105"/>
        </w:rPr>
        <w:t> </w:t>
      </w:r>
      <w:r>
        <w:rPr>
          <w:color w:val="231F20"/>
          <w:w w:val="105"/>
        </w:rPr>
        <w:t>para</w:t>
      </w:r>
      <w:r>
        <w:rPr>
          <w:color w:val="231F20"/>
          <w:spacing w:val="-22"/>
          <w:w w:val="105"/>
        </w:rPr>
        <w:t> </w:t>
      </w:r>
      <w:r>
        <w:rPr>
          <w:color w:val="231F20"/>
          <w:w w:val="105"/>
        </w:rPr>
        <w:t>asegurar</w:t>
      </w:r>
      <w:r>
        <w:rPr>
          <w:color w:val="231F20"/>
          <w:spacing w:val="-22"/>
          <w:w w:val="105"/>
        </w:rPr>
        <w:t> </w:t>
      </w:r>
      <w:r>
        <w:rPr>
          <w:color w:val="231F20"/>
          <w:w w:val="105"/>
        </w:rPr>
        <w:t>una</w:t>
      </w:r>
      <w:r>
        <w:rPr>
          <w:color w:val="231F20"/>
          <w:spacing w:val="-22"/>
          <w:w w:val="105"/>
        </w:rPr>
        <w:t> </w:t>
      </w:r>
      <w:r>
        <w:rPr>
          <w:color w:val="231F20"/>
          <w:w w:val="105"/>
        </w:rPr>
        <w:t>alta</w:t>
      </w:r>
      <w:r>
        <w:rPr>
          <w:color w:val="231F20"/>
          <w:spacing w:val="-22"/>
          <w:w w:val="105"/>
        </w:rPr>
        <w:t> </w:t>
      </w:r>
      <w:r>
        <w:rPr>
          <w:color w:val="231F20"/>
          <w:w w:val="105"/>
        </w:rPr>
        <w:t>calidad,</w:t>
      </w:r>
      <w:r>
        <w:rPr>
          <w:color w:val="231F20"/>
          <w:spacing w:val="-28"/>
          <w:w w:val="105"/>
        </w:rPr>
        <w:t> </w:t>
      </w:r>
      <w:r>
        <w:rPr>
          <w:color w:val="231F20"/>
          <w:w w:val="105"/>
        </w:rPr>
        <w:t>los</w:t>
      </w:r>
      <w:r>
        <w:rPr>
          <w:color w:val="231F20"/>
          <w:spacing w:val="-22"/>
          <w:w w:val="105"/>
        </w:rPr>
        <w:t> </w:t>
      </w:r>
      <w:r>
        <w:rPr>
          <w:color w:val="231F20"/>
          <w:w w:val="105"/>
        </w:rPr>
        <w:t>datos deben</w:t>
      </w:r>
      <w:r>
        <w:rPr>
          <w:color w:val="231F20"/>
          <w:spacing w:val="-17"/>
          <w:w w:val="105"/>
        </w:rPr>
        <w:t> </w:t>
      </w:r>
      <w:r>
        <w:rPr>
          <w:color w:val="231F20"/>
          <w:w w:val="105"/>
        </w:rPr>
        <w:t>ser</w:t>
      </w:r>
      <w:r>
        <w:rPr>
          <w:color w:val="231F20"/>
          <w:spacing w:val="-17"/>
          <w:w w:val="105"/>
        </w:rPr>
        <w:t> </w:t>
      </w:r>
      <w:r>
        <w:rPr>
          <w:color w:val="231F20"/>
          <w:w w:val="105"/>
        </w:rPr>
        <w:t>recolectados</w:t>
      </w:r>
      <w:r>
        <w:rPr>
          <w:color w:val="231F20"/>
          <w:spacing w:val="-17"/>
          <w:w w:val="105"/>
        </w:rPr>
        <w:t> </w:t>
      </w:r>
      <w:r>
        <w:rPr>
          <w:color w:val="231F20"/>
          <w:w w:val="105"/>
        </w:rPr>
        <w:t>y</w:t>
      </w:r>
      <w:r>
        <w:rPr>
          <w:color w:val="231F20"/>
          <w:spacing w:val="-17"/>
          <w:w w:val="105"/>
        </w:rPr>
        <w:t> </w:t>
      </w:r>
      <w:r>
        <w:rPr>
          <w:color w:val="231F20"/>
          <w:w w:val="105"/>
        </w:rPr>
        <w:t>analizados</w:t>
      </w:r>
      <w:r>
        <w:rPr>
          <w:color w:val="231F20"/>
          <w:spacing w:val="-17"/>
          <w:w w:val="105"/>
        </w:rPr>
        <w:t> </w:t>
      </w:r>
      <w:r>
        <w:rPr>
          <w:color w:val="231F20"/>
          <w:w w:val="105"/>
        </w:rPr>
        <w:t>de</w:t>
      </w:r>
      <w:r>
        <w:rPr>
          <w:color w:val="231F20"/>
          <w:spacing w:val="-17"/>
          <w:w w:val="105"/>
        </w:rPr>
        <w:t> </w:t>
      </w:r>
      <w:r>
        <w:rPr>
          <w:color w:val="231F20"/>
          <w:w w:val="105"/>
        </w:rPr>
        <w:t>forma</w:t>
      </w:r>
      <w:r>
        <w:rPr>
          <w:color w:val="231F20"/>
          <w:spacing w:val="-17"/>
          <w:w w:val="105"/>
        </w:rPr>
        <w:t> </w:t>
      </w:r>
      <w:r>
        <w:rPr>
          <w:color w:val="231F20"/>
          <w:w w:val="105"/>
        </w:rPr>
        <w:t>sistemática</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w w:val="105"/>
        </w:rPr>
        <w:t>ciclo</w:t>
      </w:r>
      <w:r>
        <w:rPr>
          <w:color w:val="231F20"/>
          <w:spacing w:val="-17"/>
          <w:w w:val="105"/>
        </w:rPr>
        <w:t> </w:t>
      </w:r>
      <w:r>
        <w:rPr>
          <w:color w:val="231F20"/>
          <w:w w:val="105"/>
        </w:rPr>
        <w:t>de resolución de problemas y debe existir compromiso con el aprendizaje continuo</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empleados</w:t>
      </w:r>
      <w:r>
        <w:rPr>
          <w:color w:val="231F20"/>
          <w:spacing w:val="-23"/>
          <w:w w:val="105"/>
        </w:rPr>
        <w:t> </w:t>
      </w:r>
      <w:r>
        <w:rPr>
          <w:color w:val="231F20"/>
          <w:w w:val="105"/>
        </w:rPr>
        <w:t>(Raj,</w:t>
      </w:r>
      <w:r>
        <w:rPr>
          <w:color w:val="231F20"/>
          <w:spacing w:val="-28"/>
          <w:w w:val="105"/>
        </w:rPr>
        <w:t> </w:t>
      </w:r>
      <w:r>
        <w:rPr>
          <w:color w:val="231F20"/>
          <w:w w:val="105"/>
        </w:rPr>
        <w:t>2000).</w:t>
      </w:r>
    </w:p>
    <w:p>
      <w:pPr>
        <w:pStyle w:val="BodyText"/>
        <w:spacing w:line="259" w:lineRule="auto"/>
        <w:ind w:left="103" w:right="108" w:firstLine="567"/>
        <w:jc w:val="both"/>
      </w:pPr>
      <w:r>
        <w:rPr>
          <w:color w:val="231F20"/>
          <w:w w:val="105"/>
        </w:rPr>
        <w:t>El desempeño organizacional busca una evaluación más integral del</w:t>
      </w:r>
      <w:r>
        <w:rPr>
          <w:color w:val="231F20"/>
          <w:spacing w:val="-6"/>
          <w:w w:val="105"/>
        </w:rPr>
        <w:t> </w:t>
      </w:r>
      <w:r>
        <w:rPr>
          <w:color w:val="231F20"/>
          <w:w w:val="105"/>
        </w:rPr>
        <w:t>logro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metas.</w:t>
      </w:r>
      <w:r>
        <w:rPr>
          <w:color w:val="231F20"/>
          <w:spacing w:val="-13"/>
          <w:w w:val="105"/>
        </w:rPr>
        <w:t> </w:t>
      </w:r>
      <w:r>
        <w:rPr>
          <w:color w:val="231F20"/>
          <w:w w:val="105"/>
        </w:rPr>
        <w:t>Ejemplo</w:t>
      </w:r>
      <w:r>
        <w:rPr>
          <w:color w:val="231F20"/>
          <w:spacing w:val="-6"/>
          <w:w w:val="105"/>
        </w:rPr>
        <w:t> </w:t>
      </w:r>
      <w:r>
        <w:rPr>
          <w:color w:val="231F20"/>
          <w:w w:val="105"/>
        </w:rPr>
        <w:t>de</w:t>
      </w:r>
      <w:r>
        <w:rPr>
          <w:color w:val="231F20"/>
          <w:spacing w:val="-6"/>
          <w:w w:val="105"/>
        </w:rPr>
        <w:t> </w:t>
      </w:r>
      <w:r>
        <w:rPr>
          <w:color w:val="231F20"/>
          <w:w w:val="105"/>
        </w:rPr>
        <w:t>ello</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trabajo</w:t>
      </w:r>
      <w:r>
        <w:rPr>
          <w:color w:val="231F20"/>
          <w:spacing w:val="-6"/>
          <w:w w:val="105"/>
        </w:rPr>
        <w:t> </w:t>
      </w:r>
      <w:r>
        <w:rPr>
          <w:color w:val="231F20"/>
          <w:w w:val="105"/>
        </w:rPr>
        <w:t>de</w:t>
      </w:r>
      <w:r>
        <w:rPr>
          <w:color w:val="231F20"/>
          <w:spacing w:val="-6"/>
          <w:w w:val="105"/>
        </w:rPr>
        <w:t> </w:t>
      </w:r>
      <w:r>
        <w:rPr>
          <w:color w:val="231F20"/>
          <w:w w:val="105"/>
        </w:rPr>
        <w:t>Kaplan</w:t>
      </w:r>
      <w:r>
        <w:rPr>
          <w:color w:val="231F20"/>
          <w:spacing w:val="-6"/>
          <w:w w:val="105"/>
        </w:rPr>
        <w:t> </w:t>
      </w:r>
      <w:r>
        <w:rPr>
          <w:color w:val="231F20"/>
          <w:w w:val="105"/>
        </w:rPr>
        <w:t>y</w:t>
      </w:r>
      <w:r>
        <w:rPr>
          <w:color w:val="231F20"/>
          <w:spacing w:val="-6"/>
          <w:w w:val="105"/>
        </w:rPr>
        <w:t> </w:t>
      </w:r>
      <w:r>
        <w:rPr>
          <w:color w:val="231F20"/>
          <w:w w:val="105"/>
        </w:rPr>
        <w:t>Norton (1992),</w:t>
      </w:r>
      <w:r>
        <w:rPr>
          <w:color w:val="231F20"/>
          <w:spacing w:val="-18"/>
          <w:w w:val="105"/>
        </w:rPr>
        <w:t> </w:t>
      </w:r>
      <w:r>
        <w:rPr>
          <w:color w:val="231F20"/>
          <w:w w:val="105"/>
        </w:rPr>
        <w:t>quienes</w:t>
      </w:r>
      <w:r>
        <w:rPr>
          <w:color w:val="231F20"/>
          <w:spacing w:val="-12"/>
          <w:w w:val="105"/>
        </w:rPr>
        <w:t> </w:t>
      </w:r>
      <w:r>
        <w:rPr>
          <w:color w:val="231F20"/>
          <w:w w:val="105"/>
        </w:rPr>
        <w:t>proponen</w:t>
      </w:r>
      <w:r>
        <w:rPr>
          <w:color w:val="231F20"/>
          <w:spacing w:val="-12"/>
          <w:w w:val="105"/>
        </w:rPr>
        <w:t> </w:t>
      </w:r>
      <w:r>
        <w:rPr>
          <w:color w:val="231F20"/>
          <w:w w:val="105"/>
        </w:rPr>
        <w:t>al</w:t>
      </w:r>
      <w:r>
        <w:rPr>
          <w:color w:val="231F20"/>
          <w:spacing w:val="-12"/>
          <w:w w:val="105"/>
        </w:rPr>
        <w:t> </w:t>
      </w:r>
      <w:r>
        <w:rPr>
          <w:color w:val="231F20"/>
          <w:w w:val="105"/>
        </w:rPr>
        <w:t>cuadro</w:t>
      </w:r>
      <w:r>
        <w:rPr>
          <w:color w:val="231F20"/>
          <w:spacing w:val="-12"/>
          <w:w w:val="105"/>
        </w:rPr>
        <w:t> </w:t>
      </w:r>
      <w:r>
        <w:rPr>
          <w:color w:val="231F20"/>
          <w:w w:val="105"/>
        </w:rPr>
        <w:t>de</w:t>
      </w:r>
      <w:r>
        <w:rPr>
          <w:color w:val="231F20"/>
          <w:spacing w:val="-12"/>
          <w:w w:val="105"/>
        </w:rPr>
        <w:t> </w:t>
      </w:r>
      <w:r>
        <w:rPr>
          <w:color w:val="231F20"/>
          <w:w w:val="105"/>
        </w:rPr>
        <w:t>mando</w:t>
      </w:r>
      <w:r>
        <w:rPr>
          <w:color w:val="231F20"/>
          <w:spacing w:val="-12"/>
          <w:w w:val="105"/>
        </w:rPr>
        <w:t> </w:t>
      </w:r>
      <w:r>
        <w:rPr>
          <w:color w:val="231F20"/>
          <w:w w:val="105"/>
        </w:rPr>
        <w:t>integral</w:t>
      </w:r>
      <w:r>
        <w:rPr>
          <w:color w:val="231F20"/>
          <w:spacing w:val="-12"/>
          <w:w w:val="105"/>
        </w:rPr>
        <w:t> </w:t>
      </w:r>
      <w:r>
        <w:rPr>
          <w:color w:val="231F20"/>
          <w:w w:val="105"/>
        </w:rPr>
        <w:t>(balanced</w:t>
      </w:r>
      <w:r>
        <w:rPr>
          <w:color w:val="231F20"/>
          <w:spacing w:val="-12"/>
          <w:w w:val="105"/>
        </w:rPr>
        <w:t> </w:t>
      </w:r>
      <w:r>
        <w:rPr>
          <w:color w:val="231F20"/>
          <w:w w:val="105"/>
        </w:rPr>
        <w:t>score- card,</w:t>
      </w:r>
      <w:r>
        <w:rPr>
          <w:color w:val="231F20"/>
          <w:spacing w:val="-35"/>
          <w:w w:val="105"/>
        </w:rPr>
        <w:t> </w:t>
      </w:r>
      <w:r>
        <w:rPr>
          <w:color w:val="231F20"/>
          <w:w w:val="105"/>
        </w:rPr>
        <w:t>BSC)</w:t>
      </w:r>
      <w:r>
        <w:rPr>
          <w:color w:val="231F20"/>
          <w:spacing w:val="-31"/>
          <w:w w:val="105"/>
        </w:rPr>
        <w:t> </w:t>
      </w:r>
      <w:r>
        <w:rPr>
          <w:color w:val="231F20"/>
          <w:w w:val="105"/>
        </w:rPr>
        <w:t>como</w:t>
      </w:r>
      <w:r>
        <w:rPr>
          <w:color w:val="231F20"/>
          <w:spacing w:val="-31"/>
          <w:w w:val="105"/>
        </w:rPr>
        <w:t> </w:t>
      </w:r>
      <w:r>
        <w:rPr>
          <w:color w:val="231F20"/>
          <w:w w:val="105"/>
        </w:rPr>
        <w:t>alternativa</w:t>
      </w:r>
      <w:r>
        <w:rPr>
          <w:color w:val="231F20"/>
          <w:spacing w:val="-31"/>
          <w:w w:val="105"/>
        </w:rPr>
        <w:t> </w:t>
      </w:r>
      <w:r>
        <w:rPr>
          <w:color w:val="231F20"/>
          <w:w w:val="105"/>
        </w:rPr>
        <w:t>para</w:t>
      </w:r>
      <w:r>
        <w:rPr>
          <w:color w:val="231F20"/>
          <w:spacing w:val="-31"/>
          <w:w w:val="105"/>
        </w:rPr>
        <w:t> </w:t>
      </w:r>
      <w:r>
        <w:rPr>
          <w:color w:val="231F20"/>
          <w:w w:val="105"/>
        </w:rPr>
        <w:t>evaluar</w:t>
      </w:r>
      <w:r>
        <w:rPr>
          <w:color w:val="231F20"/>
          <w:spacing w:val="-31"/>
          <w:w w:val="105"/>
        </w:rPr>
        <w:t> </w:t>
      </w:r>
      <w:r>
        <w:rPr>
          <w:color w:val="231F20"/>
          <w:w w:val="105"/>
        </w:rPr>
        <w:t>si</w:t>
      </w:r>
      <w:r>
        <w:rPr>
          <w:color w:val="231F20"/>
          <w:spacing w:val="-31"/>
          <w:w w:val="105"/>
        </w:rPr>
        <w:t> </w:t>
      </w:r>
      <w:r>
        <w:rPr>
          <w:color w:val="231F20"/>
          <w:w w:val="105"/>
        </w:rPr>
        <w:t>una</w:t>
      </w:r>
      <w:r>
        <w:rPr>
          <w:color w:val="231F20"/>
          <w:spacing w:val="-31"/>
          <w:w w:val="105"/>
        </w:rPr>
        <w:t> </w:t>
      </w:r>
      <w:r>
        <w:rPr>
          <w:color w:val="231F20"/>
          <w:w w:val="105"/>
        </w:rPr>
        <w:t>empresa</w:t>
      </w:r>
      <w:r>
        <w:rPr>
          <w:color w:val="231F20"/>
          <w:spacing w:val="-31"/>
          <w:w w:val="105"/>
        </w:rPr>
        <w:t> </w:t>
      </w:r>
      <w:r>
        <w:rPr>
          <w:color w:val="231F20"/>
          <w:w w:val="105"/>
        </w:rPr>
        <w:t>está</w:t>
      </w:r>
      <w:r>
        <w:rPr>
          <w:color w:val="231F20"/>
          <w:spacing w:val="-31"/>
          <w:w w:val="105"/>
        </w:rPr>
        <w:t> </w:t>
      </w:r>
      <w:r>
        <w:rPr>
          <w:color w:val="231F20"/>
          <w:w w:val="105"/>
        </w:rPr>
        <w:t>avanzando hacia su objetivo estratégico, utilizando cuatro perspectivas:</w:t>
      </w:r>
      <w:r>
        <w:rPr>
          <w:color w:val="231F20"/>
          <w:spacing w:val="-30"/>
          <w:w w:val="105"/>
        </w:rPr>
        <w:t> </w:t>
      </w:r>
      <w:r>
        <w:rPr>
          <w:color w:val="231F20"/>
          <w:w w:val="105"/>
        </w:rPr>
        <w:t>financiera, clientes,</w:t>
      </w:r>
      <w:r>
        <w:rPr>
          <w:color w:val="231F20"/>
          <w:spacing w:val="-12"/>
          <w:w w:val="105"/>
        </w:rPr>
        <w:t> </w:t>
      </w:r>
      <w:r>
        <w:rPr>
          <w:color w:val="231F20"/>
          <w:w w:val="105"/>
        </w:rPr>
        <w:t>procesos</w:t>
      </w:r>
      <w:r>
        <w:rPr>
          <w:color w:val="231F20"/>
          <w:spacing w:val="-7"/>
          <w:w w:val="105"/>
        </w:rPr>
        <w:t> </w:t>
      </w:r>
      <w:r>
        <w:rPr>
          <w:color w:val="231F20"/>
          <w:w w:val="105"/>
        </w:rPr>
        <w:t>de</w:t>
      </w:r>
      <w:r>
        <w:rPr>
          <w:color w:val="231F20"/>
          <w:spacing w:val="-7"/>
          <w:w w:val="105"/>
        </w:rPr>
        <w:t> </w:t>
      </w:r>
      <w:r>
        <w:rPr>
          <w:color w:val="231F20"/>
          <w:w w:val="105"/>
        </w:rPr>
        <w:t>negocios</w:t>
      </w:r>
      <w:r>
        <w:rPr>
          <w:color w:val="231F20"/>
          <w:spacing w:val="-7"/>
          <w:w w:val="105"/>
        </w:rPr>
        <w:t> </w:t>
      </w:r>
      <w:r>
        <w:rPr>
          <w:color w:val="231F20"/>
          <w:w w:val="105"/>
        </w:rPr>
        <w:t>internos</w:t>
      </w:r>
      <w:r>
        <w:rPr>
          <w:color w:val="231F20"/>
          <w:spacing w:val="-7"/>
          <w:w w:val="105"/>
        </w:rPr>
        <w:t> </w:t>
      </w:r>
      <w:r>
        <w:rPr>
          <w:color w:val="231F20"/>
          <w:w w:val="105"/>
        </w:rPr>
        <w:t>y</w:t>
      </w:r>
      <w:r>
        <w:rPr>
          <w:color w:val="231F20"/>
          <w:spacing w:val="-7"/>
          <w:w w:val="105"/>
        </w:rPr>
        <w:t> </w:t>
      </w:r>
      <w:r>
        <w:rPr>
          <w:color w:val="231F20"/>
          <w:w w:val="105"/>
        </w:rPr>
        <w:t>aprendizaje</w:t>
      </w:r>
      <w:r>
        <w:rPr>
          <w:color w:val="231F20"/>
          <w:spacing w:val="-7"/>
          <w:w w:val="105"/>
        </w:rPr>
        <w:t> </w:t>
      </w:r>
      <w:r>
        <w:rPr>
          <w:color w:val="231F20"/>
          <w:w w:val="105"/>
        </w:rPr>
        <w:t>y</w:t>
      </w:r>
      <w:r>
        <w:rPr>
          <w:color w:val="231F20"/>
          <w:spacing w:val="-7"/>
          <w:w w:val="105"/>
        </w:rPr>
        <w:t> </w:t>
      </w:r>
      <w:r>
        <w:rPr>
          <w:color w:val="231F20"/>
          <w:w w:val="105"/>
        </w:rPr>
        <w:t>crecimiento.</w:t>
      </w:r>
      <w:r>
        <w:rPr>
          <w:color w:val="231F20"/>
          <w:spacing w:val="-12"/>
          <w:w w:val="105"/>
        </w:rPr>
        <w:t> </w:t>
      </w:r>
      <w:r>
        <w:rPr>
          <w:color w:val="231F20"/>
          <w:w w:val="105"/>
        </w:rPr>
        <w:t>Su finalidad</w:t>
      </w:r>
      <w:r>
        <w:rPr>
          <w:color w:val="231F20"/>
          <w:spacing w:val="-13"/>
          <w:w w:val="105"/>
        </w:rPr>
        <w:t> </w:t>
      </w:r>
      <w:r>
        <w:rPr>
          <w:color w:val="231F20"/>
          <w:w w:val="105"/>
        </w:rPr>
        <w:t>es</w:t>
      </w:r>
      <w:r>
        <w:rPr>
          <w:color w:val="231F20"/>
          <w:spacing w:val="-13"/>
          <w:w w:val="105"/>
        </w:rPr>
        <w:t> </w:t>
      </w:r>
      <w:r>
        <w:rPr>
          <w:color w:val="231F20"/>
          <w:w w:val="105"/>
        </w:rPr>
        <w:t>equilibrar</w:t>
      </w:r>
      <w:r>
        <w:rPr>
          <w:color w:val="231F20"/>
          <w:spacing w:val="-13"/>
          <w:w w:val="105"/>
        </w:rPr>
        <w:t> </w:t>
      </w:r>
      <w:r>
        <w:rPr>
          <w:color w:val="231F20"/>
          <w:w w:val="105"/>
        </w:rPr>
        <w:t>los</w:t>
      </w:r>
      <w:r>
        <w:rPr>
          <w:color w:val="231F20"/>
          <w:spacing w:val="-13"/>
          <w:w w:val="105"/>
        </w:rPr>
        <w:t> </w:t>
      </w:r>
      <w:r>
        <w:rPr>
          <w:color w:val="231F20"/>
          <w:w w:val="105"/>
        </w:rPr>
        <w:t>objetivos</w:t>
      </w:r>
      <w:r>
        <w:rPr>
          <w:color w:val="231F20"/>
          <w:spacing w:val="-13"/>
          <w:w w:val="105"/>
        </w:rPr>
        <w:t> </w:t>
      </w:r>
      <w:r>
        <w:rPr>
          <w:color w:val="231F20"/>
          <w:w w:val="105"/>
        </w:rPr>
        <w:t>a</w:t>
      </w:r>
      <w:r>
        <w:rPr>
          <w:color w:val="231F20"/>
          <w:spacing w:val="-13"/>
          <w:w w:val="105"/>
        </w:rPr>
        <w:t> </w:t>
      </w:r>
      <w:r>
        <w:rPr>
          <w:color w:val="231F20"/>
          <w:w w:val="105"/>
        </w:rPr>
        <w:t>largo</w:t>
      </w:r>
      <w:r>
        <w:rPr>
          <w:color w:val="231F20"/>
          <w:spacing w:val="-13"/>
          <w:w w:val="105"/>
        </w:rPr>
        <w:t> </w:t>
      </w:r>
      <w:r>
        <w:rPr>
          <w:color w:val="231F20"/>
          <w:w w:val="105"/>
        </w:rPr>
        <w:t>y</w:t>
      </w:r>
      <w:r>
        <w:rPr>
          <w:color w:val="231F20"/>
          <w:spacing w:val="-13"/>
          <w:w w:val="105"/>
        </w:rPr>
        <w:t> </w:t>
      </w:r>
      <w:r>
        <w:rPr>
          <w:color w:val="231F20"/>
          <w:w w:val="105"/>
        </w:rPr>
        <w:t>corto</w:t>
      </w:r>
      <w:r>
        <w:rPr>
          <w:color w:val="231F20"/>
          <w:spacing w:val="-13"/>
          <w:w w:val="105"/>
        </w:rPr>
        <w:t> </w:t>
      </w:r>
      <w:r>
        <w:rPr>
          <w:color w:val="231F20"/>
          <w:w w:val="105"/>
        </w:rPr>
        <w:t>plazos</w:t>
      </w:r>
      <w:r>
        <w:rPr>
          <w:color w:val="231F20"/>
          <w:spacing w:val="-13"/>
          <w:w w:val="105"/>
        </w:rPr>
        <w:t> </w:t>
      </w:r>
      <w:r>
        <w:rPr>
          <w:color w:val="231F20"/>
          <w:w w:val="105"/>
        </w:rPr>
        <w:t>para</w:t>
      </w:r>
      <w:r>
        <w:rPr>
          <w:color w:val="231F20"/>
          <w:spacing w:val="-13"/>
          <w:w w:val="105"/>
        </w:rPr>
        <w:t> </w:t>
      </w:r>
      <w:r>
        <w:rPr>
          <w:color w:val="231F20"/>
          <w:w w:val="105"/>
        </w:rPr>
        <w:t>balancear los</w:t>
      </w:r>
      <w:r>
        <w:rPr>
          <w:color w:val="231F20"/>
          <w:spacing w:val="-29"/>
          <w:w w:val="105"/>
        </w:rPr>
        <w:t> </w:t>
      </w:r>
      <w:r>
        <w:rPr>
          <w:color w:val="231F20"/>
          <w:w w:val="105"/>
        </w:rPr>
        <w:t>asuntos</w:t>
      </w:r>
      <w:r>
        <w:rPr>
          <w:color w:val="231F20"/>
          <w:spacing w:val="-29"/>
          <w:w w:val="105"/>
        </w:rPr>
        <w:t> </w:t>
      </w:r>
      <w:r>
        <w:rPr>
          <w:color w:val="231F20"/>
          <w:w w:val="105"/>
        </w:rPr>
        <w:t>financieros</w:t>
      </w:r>
      <w:r>
        <w:rPr>
          <w:color w:val="231F20"/>
          <w:spacing w:val="-29"/>
          <w:w w:val="105"/>
        </w:rPr>
        <w:t> </w:t>
      </w:r>
      <w:r>
        <w:rPr>
          <w:color w:val="231F20"/>
          <w:w w:val="105"/>
        </w:rPr>
        <w:t>con</w:t>
      </w:r>
      <w:r>
        <w:rPr>
          <w:color w:val="231F20"/>
          <w:spacing w:val="-29"/>
          <w:w w:val="105"/>
        </w:rPr>
        <w:t> </w:t>
      </w:r>
      <w:r>
        <w:rPr>
          <w:color w:val="231F20"/>
          <w:w w:val="105"/>
        </w:rPr>
        <w:t>los</w:t>
      </w:r>
      <w:r>
        <w:rPr>
          <w:color w:val="231F20"/>
          <w:spacing w:val="-29"/>
          <w:w w:val="105"/>
        </w:rPr>
        <w:t> </w:t>
      </w:r>
      <w:r>
        <w:rPr>
          <w:color w:val="231F20"/>
          <w:w w:val="105"/>
        </w:rPr>
        <w:t>no</w:t>
      </w:r>
      <w:r>
        <w:rPr>
          <w:color w:val="231F20"/>
          <w:spacing w:val="-29"/>
          <w:w w:val="105"/>
        </w:rPr>
        <w:t> </w:t>
      </w:r>
      <w:r>
        <w:rPr>
          <w:color w:val="231F20"/>
          <w:w w:val="105"/>
        </w:rPr>
        <w:t>financieros,</w:t>
      </w:r>
      <w:r>
        <w:rPr>
          <w:color w:val="231F20"/>
          <w:spacing w:val="-34"/>
          <w:w w:val="105"/>
        </w:rPr>
        <w:t> </w:t>
      </w:r>
      <w:r>
        <w:rPr>
          <w:color w:val="231F20"/>
          <w:w w:val="105"/>
        </w:rPr>
        <w:t>así</w:t>
      </w:r>
      <w:r>
        <w:rPr>
          <w:color w:val="231F20"/>
          <w:spacing w:val="-29"/>
          <w:w w:val="105"/>
        </w:rPr>
        <w:t> </w:t>
      </w:r>
      <w:r>
        <w:rPr>
          <w:color w:val="231F20"/>
          <w:w w:val="105"/>
        </w:rPr>
        <w:t>como</w:t>
      </w:r>
      <w:r>
        <w:rPr>
          <w:color w:val="231F20"/>
          <w:spacing w:val="-29"/>
          <w:w w:val="105"/>
        </w:rPr>
        <w:t> </w:t>
      </w:r>
      <w:r>
        <w:rPr>
          <w:color w:val="231F20"/>
          <w:w w:val="105"/>
        </w:rPr>
        <w:t>el</w:t>
      </w:r>
      <w:r>
        <w:rPr>
          <w:color w:val="231F20"/>
          <w:spacing w:val="-29"/>
          <w:w w:val="105"/>
        </w:rPr>
        <w:t> </w:t>
      </w:r>
      <w:r>
        <w:rPr>
          <w:color w:val="231F20"/>
          <w:w w:val="105"/>
        </w:rPr>
        <w:t>entorno</w:t>
      </w:r>
      <w:r>
        <w:rPr>
          <w:color w:val="231F20"/>
          <w:spacing w:val="-29"/>
          <w:w w:val="105"/>
        </w:rPr>
        <w:t> </w:t>
      </w:r>
      <w:r>
        <w:rPr>
          <w:color w:val="231F20"/>
          <w:w w:val="105"/>
        </w:rPr>
        <w:t>interno con</w:t>
      </w:r>
      <w:r>
        <w:rPr>
          <w:color w:val="231F20"/>
          <w:spacing w:val="-23"/>
          <w:w w:val="105"/>
        </w:rPr>
        <w:t> </w:t>
      </w:r>
      <w:r>
        <w:rPr>
          <w:color w:val="231F20"/>
          <w:w w:val="105"/>
        </w:rPr>
        <w:t>el</w:t>
      </w:r>
      <w:r>
        <w:rPr>
          <w:color w:val="231F20"/>
          <w:spacing w:val="-23"/>
          <w:w w:val="105"/>
        </w:rPr>
        <w:t> </w:t>
      </w:r>
      <w:r>
        <w:rPr>
          <w:color w:val="231F20"/>
          <w:w w:val="105"/>
        </w:rPr>
        <w:t>externo</w:t>
      </w:r>
      <w:r>
        <w:rPr>
          <w:color w:val="231F20"/>
          <w:spacing w:val="-23"/>
          <w:w w:val="105"/>
        </w:rPr>
        <w:t> </w:t>
      </w:r>
      <w:r>
        <w:rPr>
          <w:color w:val="231F20"/>
          <w:w w:val="105"/>
        </w:rPr>
        <w:t>(Xianhai</w:t>
      </w:r>
      <w:r>
        <w:rPr>
          <w:color w:val="231F20"/>
          <w:spacing w:val="-23"/>
          <w:w w:val="105"/>
        </w:rPr>
        <w:t> </w:t>
      </w:r>
      <w:r>
        <w:rPr>
          <w:color w:val="231F20"/>
          <w:w w:val="105"/>
        </w:rPr>
        <w:t>y</w:t>
      </w:r>
      <w:r>
        <w:rPr>
          <w:color w:val="231F20"/>
          <w:spacing w:val="-23"/>
          <w:w w:val="105"/>
        </w:rPr>
        <w:t> </w:t>
      </w:r>
      <w:r>
        <w:rPr>
          <w:color w:val="231F20"/>
          <w:w w:val="105"/>
        </w:rPr>
        <w:t>Michael,</w:t>
      </w:r>
      <w:r>
        <w:rPr>
          <w:color w:val="231F20"/>
          <w:spacing w:val="-28"/>
          <w:w w:val="105"/>
        </w:rPr>
        <w:t> </w:t>
      </w:r>
      <w:r>
        <w:rPr>
          <w:color w:val="231F20"/>
          <w:w w:val="105"/>
        </w:rPr>
        <w:t>2011).</w:t>
      </w:r>
    </w:p>
    <w:p>
      <w:pPr>
        <w:pStyle w:val="BodyText"/>
        <w:spacing w:line="259" w:lineRule="auto"/>
        <w:ind w:left="103" w:right="115" w:firstLine="567"/>
        <w:jc w:val="both"/>
      </w:pPr>
      <w:r>
        <w:rPr>
          <w:color w:val="231F20"/>
          <w:w w:val="105"/>
        </w:rPr>
        <w:t>El</w:t>
      </w:r>
      <w:r>
        <w:rPr>
          <w:color w:val="231F20"/>
          <w:spacing w:val="-30"/>
          <w:w w:val="105"/>
        </w:rPr>
        <w:t> </w:t>
      </w:r>
      <w:r>
        <w:rPr>
          <w:color w:val="231F20"/>
          <w:w w:val="105"/>
        </w:rPr>
        <w:t>enfoque</w:t>
      </w:r>
      <w:r>
        <w:rPr>
          <w:color w:val="231F20"/>
          <w:spacing w:val="-30"/>
          <w:w w:val="105"/>
        </w:rPr>
        <w:t> </w:t>
      </w:r>
      <w:r>
        <w:rPr>
          <w:color w:val="231F20"/>
          <w:w w:val="105"/>
        </w:rPr>
        <w:t>actual</w:t>
      </w:r>
      <w:r>
        <w:rPr>
          <w:color w:val="231F20"/>
          <w:spacing w:val="-30"/>
          <w:w w:val="105"/>
        </w:rPr>
        <w:t> </w:t>
      </w:r>
      <w:r>
        <w:rPr>
          <w:color w:val="231F20"/>
          <w:w w:val="105"/>
        </w:rPr>
        <w:t>de</w:t>
      </w:r>
      <w:r>
        <w:rPr>
          <w:color w:val="231F20"/>
          <w:spacing w:val="-30"/>
          <w:w w:val="105"/>
        </w:rPr>
        <w:t> </w:t>
      </w:r>
      <w:r>
        <w:rPr>
          <w:color w:val="231F20"/>
          <w:w w:val="105"/>
        </w:rPr>
        <w:t>excelencia</w:t>
      </w:r>
      <w:r>
        <w:rPr>
          <w:color w:val="231F20"/>
          <w:spacing w:val="-30"/>
          <w:w w:val="105"/>
        </w:rPr>
        <w:t> </w:t>
      </w:r>
      <w:r>
        <w:rPr>
          <w:color w:val="231F20"/>
          <w:w w:val="105"/>
        </w:rPr>
        <w:t>administrativa</w:t>
      </w:r>
      <w:r>
        <w:rPr>
          <w:color w:val="231F20"/>
          <w:spacing w:val="-30"/>
          <w:w w:val="105"/>
        </w:rPr>
        <w:t> </w:t>
      </w:r>
      <w:r>
        <w:rPr>
          <w:color w:val="231F20"/>
          <w:w w:val="105"/>
        </w:rPr>
        <w:t>es</w:t>
      </w:r>
      <w:r>
        <w:rPr>
          <w:color w:val="231F20"/>
          <w:spacing w:val="-30"/>
          <w:w w:val="105"/>
        </w:rPr>
        <w:t> </w:t>
      </w:r>
      <w:r>
        <w:rPr>
          <w:color w:val="231F20"/>
          <w:w w:val="105"/>
        </w:rPr>
        <w:t>más</w:t>
      </w:r>
      <w:r>
        <w:rPr>
          <w:color w:val="231F20"/>
          <w:spacing w:val="-30"/>
          <w:w w:val="105"/>
        </w:rPr>
        <w:t> </w:t>
      </w:r>
      <w:r>
        <w:rPr>
          <w:color w:val="231F20"/>
          <w:w w:val="105"/>
        </w:rPr>
        <w:t>holístico</w:t>
      </w:r>
      <w:r>
        <w:rPr>
          <w:color w:val="231F20"/>
          <w:spacing w:val="-30"/>
          <w:w w:val="105"/>
        </w:rPr>
        <w:t> </w:t>
      </w:r>
      <w:r>
        <w:rPr>
          <w:color w:val="231F20"/>
          <w:w w:val="105"/>
        </w:rPr>
        <w:t>que los modelos de </w:t>
      </w:r>
      <w:r>
        <w:rPr>
          <w:color w:val="231F20"/>
          <w:spacing w:val="-5"/>
          <w:w w:val="105"/>
        </w:rPr>
        <w:t>GCT, </w:t>
      </w:r>
      <w:r>
        <w:rPr>
          <w:color w:val="231F20"/>
          <w:w w:val="105"/>
        </w:rPr>
        <w:t>ya que prevé una integración completa de las</w:t>
      </w:r>
      <w:r>
        <w:rPr>
          <w:color w:val="231F20"/>
          <w:spacing w:val="-13"/>
          <w:w w:val="105"/>
        </w:rPr>
        <w:t> </w:t>
      </w:r>
      <w:r>
        <w:rPr>
          <w:color w:val="231F20"/>
          <w:w w:val="105"/>
        </w:rPr>
        <w:t>ac- tividades de mejora en la organización </w:t>
      </w:r>
      <w:r>
        <w:rPr>
          <w:color w:val="231F20"/>
          <w:spacing w:val="-3"/>
          <w:w w:val="105"/>
        </w:rPr>
        <w:t>(Porter </w:t>
      </w:r>
      <w:r>
        <w:rPr>
          <w:color w:val="231F20"/>
          <w:w w:val="105"/>
        </w:rPr>
        <w:t>y </w:t>
      </w:r>
      <w:r>
        <w:rPr>
          <w:color w:val="231F20"/>
          <w:spacing w:val="-5"/>
          <w:w w:val="105"/>
        </w:rPr>
        <w:t>Tanner, </w:t>
      </w:r>
      <w:r>
        <w:rPr>
          <w:color w:val="231F20"/>
          <w:w w:val="105"/>
        </w:rPr>
        <w:t>2004). La evo- lución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sistemas</w:t>
      </w:r>
      <w:r>
        <w:rPr>
          <w:color w:val="231F20"/>
          <w:spacing w:val="-11"/>
          <w:w w:val="105"/>
        </w:rPr>
        <w:t> </w:t>
      </w:r>
      <w:r>
        <w:rPr>
          <w:color w:val="231F20"/>
          <w:w w:val="105"/>
        </w:rPr>
        <w:t>de</w:t>
      </w:r>
      <w:r>
        <w:rPr>
          <w:color w:val="231F20"/>
          <w:spacing w:val="-11"/>
          <w:w w:val="105"/>
        </w:rPr>
        <w:t> </w:t>
      </w:r>
      <w:r>
        <w:rPr>
          <w:color w:val="231F20"/>
          <w:spacing w:val="-5"/>
          <w:w w:val="105"/>
        </w:rPr>
        <w:t>GCT,</w:t>
      </w:r>
      <w:r>
        <w:rPr>
          <w:color w:val="231F20"/>
          <w:spacing w:val="-16"/>
          <w:w w:val="105"/>
        </w:rPr>
        <w:t> </w:t>
      </w:r>
      <w:r>
        <w:rPr>
          <w:color w:val="231F20"/>
          <w:w w:val="105"/>
        </w:rPr>
        <w:t>hacia</w:t>
      </w:r>
      <w:r>
        <w:rPr>
          <w:color w:val="231F20"/>
          <w:spacing w:val="-11"/>
          <w:w w:val="105"/>
        </w:rPr>
        <w:t> </w:t>
      </w:r>
      <w:r>
        <w:rPr>
          <w:color w:val="231F20"/>
          <w:w w:val="105"/>
        </w:rPr>
        <w:t>el</w:t>
      </w:r>
      <w:r>
        <w:rPr>
          <w:color w:val="231F20"/>
          <w:spacing w:val="-11"/>
          <w:w w:val="105"/>
        </w:rPr>
        <w:t> </w:t>
      </w:r>
      <w:r>
        <w:rPr>
          <w:color w:val="231F20"/>
          <w:w w:val="105"/>
        </w:rPr>
        <w:t>concepto</w:t>
      </w:r>
      <w:r>
        <w:rPr>
          <w:color w:val="231F20"/>
          <w:spacing w:val="-11"/>
          <w:w w:val="105"/>
        </w:rPr>
        <w:t> </w:t>
      </w:r>
      <w:r>
        <w:rPr>
          <w:color w:val="231F20"/>
          <w:w w:val="105"/>
        </w:rPr>
        <w:t>de</w:t>
      </w:r>
      <w:r>
        <w:rPr>
          <w:color w:val="231F20"/>
          <w:spacing w:val="-11"/>
          <w:w w:val="105"/>
        </w:rPr>
        <w:t> </w:t>
      </w:r>
      <w:r>
        <w:rPr>
          <w:color w:val="231F20"/>
          <w:w w:val="105"/>
        </w:rPr>
        <w:t>excelencia,</w:t>
      </w:r>
      <w:r>
        <w:rPr>
          <w:color w:val="231F20"/>
          <w:spacing w:val="-16"/>
          <w:w w:val="105"/>
        </w:rPr>
        <w:t> </w:t>
      </w:r>
      <w:r>
        <w:rPr>
          <w:color w:val="231F20"/>
          <w:w w:val="105"/>
        </w:rPr>
        <w:t>ha</w:t>
      </w:r>
      <w:r>
        <w:rPr>
          <w:color w:val="231F20"/>
          <w:spacing w:val="-11"/>
          <w:w w:val="105"/>
        </w:rPr>
        <w:t> </w:t>
      </w:r>
      <w:r>
        <w:rPr>
          <w:color w:val="231F20"/>
          <w:w w:val="105"/>
        </w:rPr>
        <w:t>sido definida desde marcos conceptuales diversos, los cuales se conocen como</w:t>
      </w:r>
      <w:r>
        <w:rPr>
          <w:color w:val="231F20"/>
          <w:spacing w:val="-7"/>
          <w:w w:val="105"/>
        </w:rPr>
        <w:t> </w:t>
      </w:r>
      <w:r>
        <w:rPr>
          <w:color w:val="231F20"/>
          <w:w w:val="105"/>
        </w:rPr>
        <w:t>modelos</w:t>
      </w:r>
      <w:r>
        <w:rPr>
          <w:color w:val="231F20"/>
          <w:spacing w:val="-7"/>
          <w:w w:val="105"/>
        </w:rPr>
        <w:t> </w:t>
      </w:r>
      <w:r>
        <w:rPr>
          <w:color w:val="231F20"/>
          <w:w w:val="105"/>
        </w:rPr>
        <w:t>de</w:t>
      </w:r>
      <w:r>
        <w:rPr>
          <w:color w:val="231F20"/>
          <w:spacing w:val="-7"/>
          <w:w w:val="105"/>
        </w:rPr>
        <w:t> </w:t>
      </w:r>
      <w:r>
        <w:rPr>
          <w:color w:val="231F20"/>
          <w:w w:val="105"/>
        </w:rPr>
        <w:t>excelencia</w:t>
      </w:r>
      <w:r>
        <w:rPr>
          <w:color w:val="231F20"/>
          <w:spacing w:val="-7"/>
          <w:w w:val="105"/>
        </w:rPr>
        <w:t> </w:t>
      </w:r>
      <w:r>
        <w:rPr>
          <w:color w:val="231F20"/>
          <w:w w:val="105"/>
        </w:rPr>
        <w:t>administrativa,</w:t>
      </w:r>
      <w:r>
        <w:rPr>
          <w:color w:val="231F20"/>
          <w:spacing w:val="-12"/>
          <w:w w:val="105"/>
        </w:rPr>
        <w:t> </w:t>
      </w:r>
      <w:r>
        <w:rPr>
          <w:color w:val="231F20"/>
          <w:w w:val="105"/>
        </w:rPr>
        <w:t>enfocados</w:t>
      </w:r>
      <w:r>
        <w:rPr>
          <w:color w:val="231F20"/>
          <w:spacing w:val="-7"/>
          <w:w w:val="105"/>
        </w:rPr>
        <w:t> </w:t>
      </w:r>
      <w:r>
        <w:rPr>
          <w:color w:val="231F20"/>
          <w:w w:val="105"/>
        </w:rPr>
        <w:t>al</w:t>
      </w:r>
      <w:r>
        <w:rPr>
          <w:color w:val="231F20"/>
          <w:spacing w:val="-7"/>
          <w:w w:val="105"/>
        </w:rPr>
        <w:t> </w:t>
      </w:r>
      <w:r>
        <w:rPr>
          <w:color w:val="231F20"/>
          <w:w w:val="105"/>
        </w:rPr>
        <w:t>pensamiento y</w:t>
      </w:r>
      <w:r>
        <w:rPr>
          <w:color w:val="231F20"/>
          <w:spacing w:val="-13"/>
          <w:w w:val="105"/>
        </w:rPr>
        <w:t> </w:t>
      </w:r>
      <w:r>
        <w:rPr>
          <w:color w:val="231F20"/>
          <w:w w:val="105"/>
        </w:rPr>
        <w:t>la</w:t>
      </w:r>
      <w:r>
        <w:rPr>
          <w:color w:val="231F20"/>
          <w:spacing w:val="-13"/>
          <w:w w:val="105"/>
        </w:rPr>
        <w:t> </w:t>
      </w:r>
      <w:r>
        <w:rPr>
          <w:color w:val="231F20"/>
          <w:w w:val="105"/>
        </w:rPr>
        <w:t>acción</w:t>
      </w:r>
      <w:r>
        <w:rPr>
          <w:color w:val="231F20"/>
          <w:spacing w:val="-13"/>
          <w:w w:val="105"/>
        </w:rPr>
        <w:t> </w:t>
      </w:r>
      <w:r>
        <w:rPr>
          <w:color w:val="231F20"/>
          <w:w w:val="105"/>
        </w:rPr>
        <w:t>sistemáticos</w:t>
      </w:r>
      <w:r>
        <w:rPr>
          <w:color w:val="231F20"/>
          <w:spacing w:val="-13"/>
          <w:w w:val="105"/>
        </w:rPr>
        <w:t> </w:t>
      </w:r>
      <w:r>
        <w:rPr>
          <w:color w:val="231F20"/>
          <w:w w:val="105"/>
        </w:rPr>
        <w:t>y</w:t>
      </w:r>
      <w:r>
        <w:rPr>
          <w:color w:val="231F20"/>
          <w:spacing w:val="-13"/>
          <w:w w:val="105"/>
        </w:rPr>
        <w:t> </w:t>
      </w:r>
      <w:r>
        <w:rPr>
          <w:color w:val="231F20"/>
          <w:w w:val="105"/>
        </w:rPr>
        <w:t>estructurados</w:t>
      </w:r>
      <w:r>
        <w:rPr>
          <w:color w:val="231F20"/>
          <w:spacing w:val="-13"/>
          <w:w w:val="105"/>
        </w:rPr>
        <w:t> </w:t>
      </w:r>
      <w:r>
        <w:rPr>
          <w:color w:val="231F20"/>
          <w:w w:val="105"/>
        </w:rPr>
        <w:t>que</w:t>
      </w:r>
      <w:r>
        <w:rPr>
          <w:color w:val="231F20"/>
          <w:spacing w:val="-13"/>
          <w:w w:val="105"/>
        </w:rPr>
        <w:t> </w:t>
      </w:r>
      <w:r>
        <w:rPr>
          <w:color w:val="231F20"/>
          <w:w w:val="105"/>
        </w:rPr>
        <w:t>deben</w:t>
      </w:r>
      <w:r>
        <w:rPr>
          <w:color w:val="231F20"/>
          <w:spacing w:val="-13"/>
          <w:w w:val="105"/>
        </w:rPr>
        <w:t> </w:t>
      </w:r>
      <w:r>
        <w:rPr>
          <w:color w:val="231F20"/>
          <w:w w:val="105"/>
        </w:rPr>
        <w:t>conducir</w:t>
      </w:r>
      <w:r>
        <w:rPr>
          <w:color w:val="231F20"/>
          <w:spacing w:val="-1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mayor rendimiento. Dichos modelos han sido la base para el otorgamiento de reconocimientos a las organizaciones que demuestran un desempeño sobresaliente</w:t>
      </w:r>
      <w:r>
        <w:rPr>
          <w:color w:val="231F20"/>
          <w:spacing w:val="-39"/>
          <w:w w:val="105"/>
        </w:rPr>
        <w:t> </w:t>
      </w:r>
      <w:r>
        <w:rPr>
          <w:color w:val="231F20"/>
          <w:w w:val="105"/>
        </w:rPr>
        <w:t>(De</w:t>
      </w:r>
      <w:r>
        <w:rPr>
          <w:color w:val="231F20"/>
          <w:spacing w:val="-39"/>
          <w:w w:val="105"/>
        </w:rPr>
        <w:t> </w:t>
      </w:r>
      <w:r>
        <w:rPr>
          <w:color w:val="231F20"/>
          <w:w w:val="105"/>
        </w:rPr>
        <w:t>Nieves</w:t>
      </w:r>
      <w:r>
        <w:rPr>
          <w:color w:val="231F20"/>
          <w:spacing w:val="-39"/>
          <w:w w:val="105"/>
        </w:rPr>
        <w:t> </w:t>
      </w:r>
      <w:r>
        <w:rPr>
          <w:color w:val="231F20"/>
          <w:w w:val="105"/>
        </w:rPr>
        <w:t>y</w:t>
      </w:r>
      <w:r>
        <w:rPr>
          <w:color w:val="231F20"/>
          <w:spacing w:val="-39"/>
          <w:w w:val="105"/>
        </w:rPr>
        <w:t> </w:t>
      </w:r>
      <w:r>
        <w:rPr>
          <w:color w:val="231F20"/>
          <w:w w:val="105"/>
        </w:rPr>
        <w:t>Ros,</w:t>
      </w:r>
      <w:r>
        <w:rPr>
          <w:color w:val="231F20"/>
          <w:spacing w:val="-42"/>
          <w:w w:val="105"/>
        </w:rPr>
        <w:t> </w:t>
      </w:r>
      <w:r>
        <w:rPr>
          <w:color w:val="231F20"/>
          <w:w w:val="105"/>
        </w:rPr>
        <w:t>2006).</w:t>
      </w:r>
    </w:p>
    <w:p>
      <w:pPr>
        <w:pStyle w:val="BodyText"/>
        <w:spacing w:line="259" w:lineRule="auto"/>
        <w:ind w:left="103" w:right="115" w:firstLine="567"/>
        <w:jc w:val="both"/>
      </w:pPr>
      <w:r>
        <w:rPr>
          <w:color w:val="231F20"/>
          <w:w w:val="105"/>
        </w:rPr>
        <w:t>Puesto que los modelos de excelencia administrativa se utilizan como</w:t>
      </w:r>
      <w:r>
        <w:rPr>
          <w:color w:val="231F20"/>
          <w:spacing w:val="-15"/>
          <w:w w:val="105"/>
        </w:rPr>
        <w:t> </w:t>
      </w:r>
      <w:r>
        <w:rPr>
          <w:color w:val="231F20"/>
          <w:w w:val="105"/>
        </w:rPr>
        <w:t>herramientas</w:t>
      </w:r>
      <w:r>
        <w:rPr>
          <w:color w:val="231F20"/>
          <w:spacing w:val="-15"/>
          <w:w w:val="105"/>
        </w:rPr>
        <w:t> </w:t>
      </w:r>
      <w:r>
        <w:rPr>
          <w:color w:val="231F20"/>
          <w:w w:val="105"/>
        </w:rPr>
        <w:t>de</w:t>
      </w:r>
      <w:r>
        <w:rPr>
          <w:color w:val="231F20"/>
          <w:spacing w:val="-15"/>
          <w:w w:val="105"/>
        </w:rPr>
        <w:t> </w:t>
      </w:r>
      <w:r>
        <w:rPr>
          <w:color w:val="231F20"/>
          <w:w w:val="105"/>
        </w:rPr>
        <w:t>autoevaluación</w:t>
      </w:r>
      <w:r>
        <w:rPr>
          <w:color w:val="231F20"/>
          <w:spacing w:val="-15"/>
          <w:w w:val="105"/>
        </w:rPr>
        <w:t> </w:t>
      </w:r>
      <w:r>
        <w:rPr>
          <w:color w:val="231F20"/>
          <w:w w:val="105"/>
        </w:rPr>
        <w:t>para</w:t>
      </w:r>
      <w:r>
        <w:rPr>
          <w:color w:val="231F20"/>
          <w:spacing w:val="-15"/>
          <w:w w:val="105"/>
        </w:rPr>
        <w:t> </w:t>
      </w:r>
      <w:r>
        <w:rPr>
          <w:color w:val="231F20"/>
          <w:w w:val="105"/>
        </w:rPr>
        <w:t>identificar</w:t>
      </w:r>
      <w:r>
        <w:rPr>
          <w:color w:val="231F20"/>
          <w:spacing w:val="-15"/>
          <w:w w:val="105"/>
        </w:rPr>
        <w:t> </w:t>
      </w:r>
      <w:r>
        <w:rPr>
          <w:color w:val="231F20"/>
          <w:w w:val="105"/>
        </w:rPr>
        <w:t>oportunidades</w:t>
      </w:r>
      <w:r>
        <w:rPr>
          <w:color w:val="231F20"/>
          <w:spacing w:val="-15"/>
          <w:w w:val="105"/>
        </w:rPr>
        <w:t> </w:t>
      </w:r>
      <w:r>
        <w:rPr>
          <w:color w:val="231F20"/>
          <w:w w:val="105"/>
        </w:rPr>
        <w:t>de mejora</w:t>
      </w:r>
      <w:r>
        <w:rPr>
          <w:color w:val="231F20"/>
          <w:spacing w:val="-7"/>
          <w:w w:val="105"/>
        </w:rPr>
        <w:t> </w:t>
      </w:r>
      <w:r>
        <w:rPr>
          <w:color w:val="231F20"/>
          <w:w w:val="105"/>
        </w:rPr>
        <w:t>o</w:t>
      </w:r>
      <w:r>
        <w:rPr>
          <w:color w:val="231F20"/>
          <w:spacing w:val="-7"/>
          <w:w w:val="105"/>
        </w:rPr>
        <w:t> </w:t>
      </w:r>
      <w:r>
        <w:rPr>
          <w:color w:val="231F20"/>
          <w:w w:val="105"/>
        </w:rPr>
        <w:t>áreas</w:t>
      </w:r>
      <w:r>
        <w:rPr>
          <w:color w:val="231F20"/>
          <w:spacing w:val="-7"/>
          <w:w w:val="105"/>
        </w:rPr>
        <w:t> </w:t>
      </w:r>
      <w:r>
        <w:rPr>
          <w:color w:val="231F20"/>
          <w:w w:val="105"/>
        </w:rPr>
        <w:t>de</w:t>
      </w:r>
      <w:r>
        <w:rPr>
          <w:color w:val="231F20"/>
          <w:spacing w:val="-7"/>
          <w:w w:val="105"/>
        </w:rPr>
        <w:t> </w:t>
      </w:r>
      <w:r>
        <w:rPr>
          <w:color w:val="231F20"/>
          <w:w w:val="105"/>
        </w:rPr>
        <w:t>fortaleza</w:t>
      </w:r>
      <w:r>
        <w:rPr>
          <w:color w:val="231F20"/>
          <w:spacing w:val="-7"/>
          <w:w w:val="105"/>
        </w:rPr>
        <w:t> </w:t>
      </w:r>
      <w:r>
        <w:rPr>
          <w:color w:val="231F20"/>
          <w:w w:val="105"/>
        </w:rPr>
        <w:t>y</w:t>
      </w:r>
      <w:r>
        <w:rPr>
          <w:color w:val="231F20"/>
          <w:spacing w:val="-7"/>
          <w:w w:val="105"/>
        </w:rPr>
        <w:t> </w:t>
      </w:r>
      <w:r>
        <w:rPr>
          <w:color w:val="231F20"/>
          <w:w w:val="105"/>
        </w:rPr>
        <w:t>oportunidad,</w:t>
      </w:r>
      <w:r>
        <w:rPr>
          <w:color w:val="231F20"/>
          <w:spacing w:val="-12"/>
          <w:w w:val="105"/>
        </w:rPr>
        <w:t> </w:t>
      </w:r>
      <w:r>
        <w:rPr>
          <w:color w:val="231F20"/>
          <w:w w:val="105"/>
        </w:rPr>
        <w:t>también</w:t>
      </w:r>
      <w:r>
        <w:rPr>
          <w:color w:val="231F20"/>
          <w:spacing w:val="-7"/>
          <w:w w:val="105"/>
        </w:rPr>
        <w:t> </w:t>
      </w:r>
      <w:r>
        <w:rPr>
          <w:color w:val="231F20"/>
          <w:w w:val="105"/>
        </w:rPr>
        <w:t>se</w:t>
      </w:r>
      <w:r>
        <w:rPr>
          <w:color w:val="231F20"/>
          <w:spacing w:val="-7"/>
          <w:w w:val="105"/>
        </w:rPr>
        <w:t> </w:t>
      </w:r>
      <w:r>
        <w:rPr>
          <w:color w:val="231F20"/>
          <w:w w:val="105"/>
        </w:rPr>
        <w:t>toman</w:t>
      </w:r>
      <w:r>
        <w:rPr>
          <w:color w:val="231F20"/>
          <w:spacing w:val="-7"/>
          <w:w w:val="105"/>
        </w:rPr>
        <w:t> </w:t>
      </w:r>
      <w:r>
        <w:rPr>
          <w:color w:val="231F20"/>
          <w:w w:val="105"/>
        </w:rPr>
        <w:t>en</w:t>
      </w:r>
      <w:r>
        <w:rPr>
          <w:color w:val="231F20"/>
          <w:spacing w:val="-7"/>
          <w:w w:val="105"/>
        </w:rPr>
        <w:t> </w:t>
      </w:r>
      <w:r>
        <w:rPr>
          <w:color w:val="231F20"/>
          <w:w w:val="105"/>
        </w:rPr>
        <w:t>cuenta su</w:t>
      </w:r>
      <w:r>
        <w:rPr>
          <w:color w:val="231F20"/>
          <w:spacing w:val="-23"/>
          <w:w w:val="105"/>
        </w:rPr>
        <w:t> </w:t>
      </w:r>
      <w:r>
        <w:rPr>
          <w:color w:val="231F20"/>
          <w:w w:val="105"/>
        </w:rPr>
        <w:t>valor</w:t>
      </w:r>
      <w:r>
        <w:rPr>
          <w:color w:val="231F20"/>
          <w:spacing w:val="-23"/>
          <w:w w:val="105"/>
        </w:rPr>
        <w:t> </w:t>
      </w:r>
      <w:r>
        <w:rPr>
          <w:color w:val="231F20"/>
          <w:w w:val="105"/>
        </w:rPr>
        <w:t>de</w:t>
      </w:r>
      <w:r>
        <w:rPr>
          <w:color w:val="231F20"/>
          <w:spacing w:val="-23"/>
          <w:w w:val="105"/>
        </w:rPr>
        <w:t> </w:t>
      </w:r>
      <w:r>
        <w:rPr>
          <w:color w:val="231F20"/>
          <w:w w:val="105"/>
        </w:rPr>
        <w:t>uso,</w:t>
      </w:r>
      <w:r>
        <w:rPr>
          <w:color w:val="231F20"/>
          <w:spacing w:val="-29"/>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los</w:t>
      </w:r>
      <w:r>
        <w:rPr>
          <w:color w:val="231F20"/>
          <w:spacing w:val="-23"/>
          <w:w w:val="105"/>
        </w:rPr>
        <w:t> </w:t>
      </w:r>
      <w:r>
        <w:rPr>
          <w:color w:val="231F20"/>
          <w:w w:val="105"/>
        </w:rPr>
        <w:t>recursos</w:t>
      </w:r>
      <w:r>
        <w:rPr>
          <w:color w:val="231F20"/>
          <w:spacing w:val="-23"/>
          <w:w w:val="105"/>
        </w:rPr>
        <w:t> </w:t>
      </w:r>
      <w:r>
        <w:rPr>
          <w:color w:val="231F20"/>
          <w:w w:val="105"/>
        </w:rPr>
        <w:t>de</w:t>
      </w:r>
      <w:r>
        <w:rPr>
          <w:color w:val="231F20"/>
          <w:spacing w:val="-23"/>
          <w:w w:val="105"/>
        </w:rPr>
        <w:t> </w:t>
      </w:r>
      <w:r>
        <w:rPr>
          <w:color w:val="231F20"/>
          <w:w w:val="105"/>
        </w:rPr>
        <w:t>que</w:t>
      </w:r>
      <w:r>
        <w:rPr>
          <w:color w:val="231F20"/>
          <w:spacing w:val="-23"/>
          <w:w w:val="105"/>
        </w:rPr>
        <w:t> </w:t>
      </w:r>
      <w:r>
        <w:rPr>
          <w:color w:val="231F20"/>
          <w:w w:val="105"/>
        </w:rPr>
        <w:t>disponen</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agentes</w:t>
      </w:r>
      <w:r>
        <w:rPr>
          <w:color w:val="231F20"/>
          <w:spacing w:val="-23"/>
          <w:w w:val="105"/>
        </w:rPr>
        <w:t> </w:t>
      </w:r>
      <w:r>
        <w:rPr>
          <w:color w:val="231F20"/>
          <w:w w:val="105"/>
        </w:rPr>
        <w:t>con</w:t>
      </w:r>
    </w:p>
    <w:p>
      <w:pPr>
        <w:pStyle w:val="BodyText"/>
        <w:rPr>
          <w:sz w:val="20"/>
        </w:rPr>
      </w:pPr>
    </w:p>
    <w:p>
      <w:pPr>
        <w:pStyle w:val="BodyText"/>
        <w:spacing w:before="8"/>
        <w:rPr>
          <w:sz w:val="28"/>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64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92</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045" w:right="0" w:firstLine="0"/>
        <w:jc w:val="left"/>
        <w:rPr>
          <w:sz w:val="20"/>
        </w:rPr>
      </w:pPr>
      <w:r>
        <w:rPr/>
        <w:pict>
          <v:line style="position:absolute;mso-position-horizontal-relative:page;mso-position-vertical-relative:paragraph;z-index:-244624"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7"/>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93</w:t>
      </w:r>
    </w:p>
    <w:p>
      <w:pPr>
        <w:pStyle w:val="BodyText"/>
        <w:rPr>
          <w:sz w:val="20"/>
        </w:rPr>
      </w:pPr>
    </w:p>
    <w:p>
      <w:pPr>
        <w:pStyle w:val="BodyText"/>
        <w:rPr>
          <w:sz w:val="20"/>
        </w:rPr>
      </w:pPr>
    </w:p>
    <w:p>
      <w:pPr>
        <w:pStyle w:val="BodyText"/>
        <w:spacing w:line="259" w:lineRule="auto" w:before="176"/>
        <w:ind w:left="117" w:right="101"/>
        <w:jc w:val="both"/>
      </w:pPr>
      <w:r>
        <w:rPr>
          <w:color w:val="231F20"/>
          <w:w w:val="105"/>
        </w:rPr>
        <w:t>los que están comprometidos. De aquí que en el siguiente apartado se describan</w:t>
      </w:r>
      <w:r>
        <w:rPr>
          <w:color w:val="231F20"/>
          <w:spacing w:val="-33"/>
          <w:w w:val="105"/>
        </w:rPr>
        <w:t> </w:t>
      </w:r>
      <w:r>
        <w:rPr>
          <w:color w:val="231F20"/>
          <w:w w:val="105"/>
        </w:rPr>
        <w:t>las</w:t>
      </w:r>
      <w:r>
        <w:rPr>
          <w:color w:val="231F20"/>
          <w:spacing w:val="-33"/>
          <w:w w:val="105"/>
        </w:rPr>
        <w:t> </w:t>
      </w:r>
      <w:r>
        <w:rPr>
          <w:color w:val="231F20"/>
          <w:w w:val="105"/>
        </w:rPr>
        <w:t>respectivas</w:t>
      </w:r>
      <w:r>
        <w:rPr>
          <w:color w:val="231F20"/>
          <w:spacing w:val="-33"/>
          <w:w w:val="105"/>
        </w:rPr>
        <w:t> </w:t>
      </w:r>
      <w:r>
        <w:rPr>
          <w:color w:val="231F20"/>
          <w:w w:val="105"/>
        </w:rPr>
        <w:t>teorías</w:t>
      </w:r>
      <w:r>
        <w:rPr>
          <w:color w:val="231F20"/>
          <w:spacing w:val="-33"/>
          <w:w w:val="105"/>
        </w:rPr>
        <w:t> </w:t>
      </w:r>
      <w:r>
        <w:rPr>
          <w:color w:val="231F20"/>
          <w:w w:val="105"/>
        </w:rPr>
        <w:t>económico-administrativas</w:t>
      </w:r>
      <w:r>
        <w:rPr>
          <w:color w:val="231F20"/>
          <w:spacing w:val="-33"/>
          <w:w w:val="105"/>
        </w:rPr>
        <w:t> </w:t>
      </w:r>
      <w:r>
        <w:rPr>
          <w:color w:val="231F20"/>
          <w:w w:val="105"/>
        </w:rPr>
        <w:t>que</w:t>
      </w:r>
      <w:r>
        <w:rPr>
          <w:color w:val="231F20"/>
          <w:spacing w:val="-33"/>
          <w:w w:val="105"/>
        </w:rPr>
        <w:t> </w:t>
      </w:r>
      <w:r>
        <w:rPr>
          <w:color w:val="231F20"/>
          <w:w w:val="105"/>
        </w:rPr>
        <w:t>pueden explicar</w:t>
      </w:r>
      <w:r>
        <w:rPr>
          <w:color w:val="231F20"/>
          <w:spacing w:val="-32"/>
          <w:w w:val="105"/>
        </w:rPr>
        <w:t> </w:t>
      </w:r>
      <w:r>
        <w:rPr>
          <w:color w:val="231F20"/>
          <w:w w:val="105"/>
        </w:rPr>
        <w:t>el</w:t>
      </w:r>
      <w:r>
        <w:rPr>
          <w:color w:val="231F20"/>
          <w:spacing w:val="-32"/>
          <w:w w:val="105"/>
        </w:rPr>
        <w:t> </w:t>
      </w:r>
      <w:r>
        <w:rPr>
          <w:color w:val="231F20"/>
          <w:w w:val="105"/>
        </w:rPr>
        <w:t>desempeño</w:t>
      </w:r>
      <w:r>
        <w:rPr>
          <w:color w:val="231F20"/>
          <w:spacing w:val="-32"/>
          <w:w w:val="105"/>
        </w:rPr>
        <w:t> </w:t>
      </w:r>
      <w:r>
        <w:rPr>
          <w:color w:val="231F20"/>
          <w:w w:val="105"/>
        </w:rPr>
        <w:t>organizacional</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w w:val="105"/>
        </w:rPr>
        <w:t>IPES.</w:t>
      </w:r>
    </w:p>
    <w:p>
      <w:pPr>
        <w:pStyle w:val="BodyText"/>
        <w:rPr>
          <w:sz w:val="20"/>
        </w:rPr>
      </w:pPr>
    </w:p>
    <w:p>
      <w:pPr>
        <w:pStyle w:val="BodyText"/>
        <w:spacing w:before="7"/>
        <w:rPr>
          <w:sz w:val="18"/>
        </w:rPr>
      </w:pPr>
    </w:p>
    <w:p>
      <w:pPr>
        <w:pStyle w:val="Heading2"/>
      </w:pPr>
      <w:r>
        <w:rPr>
          <w:color w:val="231F20"/>
          <w:w w:val="95"/>
        </w:rPr>
        <w:t>Teorías  económico-administrativas del desempeño  organizacional</w:t>
      </w:r>
    </w:p>
    <w:p>
      <w:pPr>
        <w:pStyle w:val="BodyText"/>
        <w:rPr>
          <w:b/>
          <w:sz w:val="22"/>
        </w:rPr>
      </w:pPr>
    </w:p>
    <w:p>
      <w:pPr>
        <w:pStyle w:val="BodyText"/>
        <w:spacing w:line="259" w:lineRule="auto" w:before="160"/>
        <w:ind w:left="117" w:right="101"/>
        <w:jc w:val="both"/>
      </w:pPr>
      <w:r>
        <w:rPr>
          <w:color w:val="231F20"/>
          <w:w w:val="105"/>
        </w:rPr>
        <w:t>El</w:t>
      </w:r>
      <w:r>
        <w:rPr>
          <w:color w:val="231F20"/>
          <w:spacing w:val="-6"/>
          <w:w w:val="105"/>
        </w:rPr>
        <w:t> </w:t>
      </w:r>
      <w:r>
        <w:rPr>
          <w:color w:val="231F20"/>
          <w:w w:val="105"/>
        </w:rPr>
        <w:t>concepto</w:t>
      </w:r>
      <w:r>
        <w:rPr>
          <w:color w:val="231F20"/>
          <w:spacing w:val="-6"/>
          <w:w w:val="105"/>
        </w:rPr>
        <w:t> </w:t>
      </w:r>
      <w:r>
        <w:rPr>
          <w:color w:val="231F20"/>
          <w:w w:val="105"/>
        </w:rPr>
        <w:t>de</w:t>
      </w:r>
      <w:r>
        <w:rPr>
          <w:color w:val="231F20"/>
          <w:spacing w:val="-6"/>
          <w:w w:val="105"/>
        </w:rPr>
        <w:t> </w:t>
      </w:r>
      <w:r>
        <w:rPr>
          <w:color w:val="231F20"/>
          <w:w w:val="105"/>
        </w:rPr>
        <w:t>desempeño</w:t>
      </w:r>
      <w:r>
        <w:rPr>
          <w:color w:val="231F20"/>
          <w:spacing w:val="-6"/>
          <w:w w:val="105"/>
        </w:rPr>
        <w:t> </w:t>
      </w:r>
      <w:r>
        <w:rPr>
          <w:color w:val="231F20"/>
          <w:w w:val="105"/>
        </w:rPr>
        <w:t>organizacional</w:t>
      </w:r>
      <w:r>
        <w:rPr>
          <w:color w:val="231F20"/>
          <w:spacing w:val="-6"/>
          <w:w w:val="105"/>
        </w:rPr>
        <w:t> </w:t>
      </w:r>
      <w:r>
        <w:rPr>
          <w:color w:val="231F20"/>
          <w:w w:val="105"/>
        </w:rPr>
        <w:t>se</w:t>
      </w:r>
      <w:r>
        <w:rPr>
          <w:color w:val="231F20"/>
          <w:spacing w:val="-6"/>
          <w:w w:val="105"/>
        </w:rPr>
        <w:t> </w:t>
      </w:r>
      <w:r>
        <w:rPr>
          <w:color w:val="231F20"/>
          <w:w w:val="105"/>
        </w:rPr>
        <w:t>basa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idea</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la organización</w:t>
      </w:r>
      <w:r>
        <w:rPr>
          <w:color w:val="231F20"/>
          <w:spacing w:val="-8"/>
          <w:w w:val="105"/>
        </w:rPr>
        <w:t> </w:t>
      </w:r>
      <w:r>
        <w:rPr>
          <w:color w:val="231F20"/>
          <w:w w:val="105"/>
        </w:rPr>
        <w:t>es</w:t>
      </w:r>
      <w:r>
        <w:rPr>
          <w:color w:val="231F20"/>
          <w:spacing w:val="-8"/>
          <w:w w:val="105"/>
        </w:rPr>
        <w:t> </w:t>
      </w:r>
      <w:r>
        <w:rPr>
          <w:color w:val="231F20"/>
          <w:w w:val="105"/>
        </w:rPr>
        <w:t>una</w:t>
      </w:r>
      <w:r>
        <w:rPr>
          <w:color w:val="231F20"/>
          <w:spacing w:val="-8"/>
          <w:w w:val="105"/>
        </w:rPr>
        <w:t> </w:t>
      </w:r>
      <w:r>
        <w:rPr>
          <w:color w:val="231F20"/>
          <w:w w:val="105"/>
        </w:rPr>
        <w:t>asociación</w:t>
      </w:r>
      <w:r>
        <w:rPr>
          <w:color w:val="231F20"/>
          <w:spacing w:val="-8"/>
          <w:w w:val="105"/>
        </w:rPr>
        <w:t> </w:t>
      </w:r>
      <w:r>
        <w:rPr>
          <w:color w:val="231F20"/>
          <w:w w:val="105"/>
        </w:rPr>
        <w:t>voluntaria</w:t>
      </w:r>
      <w:r>
        <w:rPr>
          <w:color w:val="231F20"/>
          <w:spacing w:val="-8"/>
          <w:w w:val="105"/>
        </w:rPr>
        <w:t> </w:t>
      </w:r>
      <w:r>
        <w:rPr>
          <w:color w:val="231F20"/>
          <w:w w:val="105"/>
        </w:rPr>
        <w:t>de</w:t>
      </w:r>
      <w:r>
        <w:rPr>
          <w:color w:val="231F20"/>
          <w:spacing w:val="-8"/>
          <w:w w:val="105"/>
        </w:rPr>
        <w:t> </w:t>
      </w:r>
      <w:r>
        <w:rPr>
          <w:color w:val="231F20"/>
          <w:w w:val="105"/>
        </w:rPr>
        <w:t>recursos</w:t>
      </w:r>
      <w:r>
        <w:rPr>
          <w:color w:val="231F20"/>
          <w:spacing w:val="-8"/>
          <w:w w:val="105"/>
        </w:rPr>
        <w:t> </w:t>
      </w:r>
      <w:r>
        <w:rPr>
          <w:color w:val="231F20"/>
          <w:w w:val="105"/>
        </w:rPr>
        <w:t>productivos,</w:t>
      </w:r>
      <w:r>
        <w:rPr>
          <w:color w:val="231F20"/>
          <w:spacing w:val="-12"/>
          <w:w w:val="105"/>
        </w:rPr>
        <w:t> </w:t>
      </w:r>
      <w:r>
        <w:rPr>
          <w:color w:val="231F20"/>
          <w:w w:val="105"/>
        </w:rPr>
        <w:t>con un</w:t>
      </w:r>
      <w:r>
        <w:rPr>
          <w:color w:val="231F20"/>
          <w:spacing w:val="-16"/>
          <w:w w:val="105"/>
        </w:rPr>
        <w:t> </w:t>
      </w:r>
      <w:r>
        <w:rPr>
          <w:color w:val="231F20"/>
          <w:w w:val="105"/>
        </w:rPr>
        <w:t>propósito</w:t>
      </w:r>
      <w:r>
        <w:rPr>
          <w:color w:val="231F20"/>
          <w:spacing w:val="-16"/>
          <w:w w:val="105"/>
        </w:rPr>
        <w:t> </w:t>
      </w:r>
      <w:r>
        <w:rPr>
          <w:color w:val="231F20"/>
          <w:w w:val="105"/>
        </w:rPr>
        <w:t>compartido</w:t>
      </w:r>
      <w:r>
        <w:rPr>
          <w:color w:val="231F20"/>
          <w:spacing w:val="-16"/>
          <w:w w:val="105"/>
        </w:rPr>
        <w:t> </w:t>
      </w:r>
      <w:r>
        <w:rPr>
          <w:color w:val="231F20"/>
          <w:w w:val="105"/>
        </w:rPr>
        <w:t>(Richard</w:t>
      </w:r>
      <w:r>
        <w:rPr>
          <w:color w:val="231F20"/>
          <w:spacing w:val="-16"/>
          <w:w w:val="105"/>
        </w:rPr>
        <w:t> </w:t>
      </w:r>
      <w:r>
        <w:rPr>
          <w:i/>
          <w:color w:val="231F20"/>
          <w:w w:val="105"/>
        </w:rPr>
        <w:t>et</w:t>
      </w:r>
      <w:r>
        <w:rPr>
          <w:i/>
          <w:color w:val="231F20"/>
          <w:spacing w:val="-16"/>
          <w:w w:val="105"/>
        </w:rPr>
        <w:t> </w:t>
      </w:r>
      <w:r>
        <w:rPr>
          <w:i/>
          <w:color w:val="231F20"/>
          <w:w w:val="105"/>
        </w:rPr>
        <w:t>al,</w:t>
      </w:r>
      <w:r>
        <w:rPr>
          <w:i/>
          <w:color w:val="231F20"/>
          <w:spacing w:val="-16"/>
          <w:w w:val="105"/>
        </w:rPr>
        <w:t> </w:t>
      </w:r>
      <w:r>
        <w:rPr>
          <w:color w:val="231F20"/>
          <w:w w:val="105"/>
        </w:rPr>
        <w:t>2009).</w:t>
      </w:r>
      <w:r>
        <w:rPr>
          <w:color w:val="231F20"/>
          <w:spacing w:val="-21"/>
          <w:w w:val="105"/>
        </w:rPr>
        <w:t> </w:t>
      </w:r>
      <w:r>
        <w:rPr>
          <w:color w:val="231F20"/>
          <w:w w:val="105"/>
        </w:rPr>
        <w:t>En</w:t>
      </w:r>
      <w:r>
        <w:rPr>
          <w:color w:val="231F20"/>
          <w:spacing w:val="-16"/>
          <w:w w:val="105"/>
        </w:rPr>
        <w:t> </w:t>
      </w:r>
      <w:r>
        <w:rPr>
          <w:color w:val="231F20"/>
          <w:w w:val="105"/>
        </w:rPr>
        <w:t>consecuencia</w:t>
      </w:r>
      <w:r>
        <w:rPr>
          <w:color w:val="231F20"/>
          <w:spacing w:val="-16"/>
          <w:w w:val="105"/>
        </w:rPr>
        <w:t> </w:t>
      </w:r>
      <w:r>
        <w:rPr>
          <w:color w:val="231F20"/>
          <w:w w:val="105"/>
        </w:rPr>
        <w:t>la</w:t>
      </w:r>
      <w:r>
        <w:rPr>
          <w:color w:val="231F20"/>
          <w:spacing w:val="-16"/>
          <w:w w:val="105"/>
        </w:rPr>
        <w:t> </w:t>
      </w:r>
      <w:r>
        <w:rPr>
          <w:color w:val="231F20"/>
          <w:w w:val="105"/>
        </w:rPr>
        <w:t>esen- cia del desempeño es la creación de valor que la organización genera para</w:t>
      </w:r>
      <w:r>
        <w:rPr>
          <w:color w:val="231F20"/>
          <w:spacing w:val="-14"/>
          <w:w w:val="105"/>
        </w:rPr>
        <w:t> </w:t>
      </w:r>
      <w:r>
        <w:rPr>
          <w:color w:val="231F20"/>
          <w:w w:val="105"/>
        </w:rPr>
        <w:t>sus</w:t>
      </w:r>
      <w:r>
        <w:rPr>
          <w:color w:val="231F20"/>
          <w:spacing w:val="-14"/>
          <w:w w:val="105"/>
        </w:rPr>
        <w:t> </w:t>
      </w:r>
      <w:r>
        <w:rPr>
          <w:color w:val="231F20"/>
          <w:w w:val="105"/>
        </w:rPr>
        <w:t>integrantes</w:t>
      </w:r>
      <w:r>
        <w:rPr>
          <w:color w:val="231F20"/>
          <w:spacing w:val="-14"/>
          <w:w w:val="105"/>
        </w:rPr>
        <w:t> </w:t>
      </w:r>
      <w:r>
        <w:rPr>
          <w:color w:val="231F20"/>
          <w:w w:val="105"/>
        </w:rPr>
        <w:t>en</w:t>
      </w:r>
      <w:r>
        <w:rPr>
          <w:color w:val="231F20"/>
          <w:spacing w:val="-14"/>
          <w:w w:val="105"/>
        </w:rPr>
        <w:t> </w:t>
      </w:r>
      <w:r>
        <w:rPr>
          <w:color w:val="231F20"/>
          <w:w w:val="105"/>
        </w:rPr>
        <w:t>función</w:t>
      </w:r>
      <w:r>
        <w:rPr>
          <w:color w:val="231F20"/>
          <w:spacing w:val="-14"/>
          <w:w w:val="105"/>
        </w:rPr>
        <w:t> </w:t>
      </w:r>
      <w:r>
        <w:rPr>
          <w:color w:val="231F20"/>
          <w:w w:val="105"/>
        </w:rPr>
        <w:t>de</w:t>
      </w:r>
      <w:r>
        <w:rPr>
          <w:color w:val="231F20"/>
          <w:spacing w:val="-14"/>
          <w:w w:val="105"/>
        </w:rPr>
        <w:t> </w:t>
      </w:r>
      <w:r>
        <w:rPr>
          <w:color w:val="231F20"/>
          <w:w w:val="105"/>
        </w:rPr>
        <w:t>dichos</w:t>
      </w:r>
      <w:r>
        <w:rPr>
          <w:color w:val="231F20"/>
          <w:spacing w:val="-14"/>
          <w:w w:val="105"/>
        </w:rPr>
        <w:t> </w:t>
      </w:r>
      <w:r>
        <w:rPr>
          <w:color w:val="231F20"/>
          <w:w w:val="105"/>
        </w:rPr>
        <w:t>recursos.</w:t>
      </w:r>
      <w:r>
        <w:rPr>
          <w:color w:val="231F20"/>
          <w:spacing w:val="-19"/>
          <w:w w:val="105"/>
        </w:rPr>
        <w:t> </w:t>
      </w:r>
      <w:r>
        <w:rPr>
          <w:color w:val="231F20"/>
          <w:w w:val="105"/>
        </w:rPr>
        <w:t>Sin</w:t>
      </w:r>
      <w:r>
        <w:rPr>
          <w:color w:val="231F20"/>
          <w:spacing w:val="-14"/>
          <w:w w:val="105"/>
        </w:rPr>
        <w:t> </w:t>
      </w:r>
      <w:r>
        <w:rPr>
          <w:color w:val="231F20"/>
          <w:w w:val="105"/>
        </w:rPr>
        <w:t>embargo,</w:t>
      </w:r>
      <w:r>
        <w:rPr>
          <w:color w:val="231F20"/>
          <w:spacing w:val="-19"/>
          <w:w w:val="105"/>
        </w:rPr>
        <w:t> </w:t>
      </w:r>
      <w:r>
        <w:rPr>
          <w:color w:val="231F20"/>
          <w:w w:val="105"/>
        </w:rPr>
        <w:t>la</w:t>
      </w:r>
      <w:r>
        <w:rPr>
          <w:color w:val="231F20"/>
          <w:spacing w:val="-14"/>
          <w:w w:val="105"/>
        </w:rPr>
        <w:t> </w:t>
      </w:r>
      <w:r>
        <w:rPr>
          <w:color w:val="231F20"/>
          <w:w w:val="105"/>
        </w:rPr>
        <w:t>dis- cusión teórica, desde los estudios económico-administrativos, sobre el desempeño organizacional se vuelve en torno a: ¿para quién debe ge- nerar</w:t>
      </w:r>
      <w:r>
        <w:rPr>
          <w:color w:val="231F20"/>
          <w:spacing w:val="-5"/>
          <w:w w:val="105"/>
        </w:rPr>
        <w:t> </w:t>
      </w:r>
      <w:r>
        <w:rPr>
          <w:color w:val="231F20"/>
          <w:w w:val="105"/>
        </w:rPr>
        <w:t>valor</w:t>
      </w:r>
      <w:r>
        <w:rPr>
          <w:color w:val="231F20"/>
          <w:spacing w:val="-5"/>
          <w:w w:val="105"/>
        </w:rPr>
        <w:t> </w:t>
      </w:r>
      <w:r>
        <w:rPr>
          <w:color w:val="231F20"/>
          <w:w w:val="105"/>
        </w:rPr>
        <w:t>la</w:t>
      </w:r>
      <w:r>
        <w:rPr>
          <w:color w:val="231F20"/>
          <w:spacing w:val="-5"/>
          <w:w w:val="105"/>
        </w:rPr>
        <w:t> </w:t>
      </w:r>
      <w:r>
        <w:rPr>
          <w:color w:val="231F20"/>
          <w:w w:val="105"/>
        </w:rPr>
        <w:t>organización?</w:t>
      </w:r>
      <w:r>
        <w:rPr>
          <w:color w:val="231F20"/>
          <w:spacing w:val="-5"/>
          <w:w w:val="105"/>
        </w:rPr>
        <w:t> </w:t>
      </w:r>
      <w:r>
        <w:rPr>
          <w:color w:val="231F20"/>
          <w:w w:val="105"/>
        </w:rPr>
        <w:t>y</w:t>
      </w:r>
      <w:r>
        <w:rPr>
          <w:color w:val="231F20"/>
          <w:spacing w:val="-5"/>
          <w:w w:val="105"/>
        </w:rPr>
        <w:t> </w:t>
      </w:r>
      <w:r>
        <w:rPr>
          <w:color w:val="231F20"/>
          <w:w w:val="105"/>
        </w:rPr>
        <w:t>¿de</w:t>
      </w:r>
      <w:r>
        <w:rPr>
          <w:color w:val="231F20"/>
          <w:spacing w:val="-5"/>
          <w:w w:val="105"/>
        </w:rPr>
        <w:t> </w:t>
      </w:r>
      <w:r>
        <w:rPr>
          <w:color w:val="231F20"/>
          <w:w w:val="105"/>
        </w:rPr>
        <w:t>qué</w:t>
      </w:r>
      <w:r>
        <w:rPr>
          <w:color w:val="231F20"/>
          <w:spacing w:val="-5"/>
          <w:w w:val="105"/>
        </w:rPr>
        <w:t> </w:t>
      </w:r>
      <w:r>
        <w:rPr>
          <w:color w:val="231F20"/>
          <w:w w:val="105"/>
        </w:rPr>
        <w:t>forma</w:t>
      </w:r>
      <w:r>
        <w:rPr>
          <w:color w:val="231F20"/>
          <w:spacing w:val="-5"/>
          <w:w w:val="105"/>
        </w:rPr>
        <w:t> </w:t>
      </w:r>
      <w:r>
        <w:rPr>
          <w:color w:val="231F20"/>
          <w:w w:val="105"/>
        </w:rPr>
        <w:t>debe</w:t>
      </w:r>
      <w:r>
        <w:rPr>
          <w:color w:val="231F20"/>
          <w:spacing w:val="-5"/>
          <w:w w:val="105"/>
        </w:rPr>
        <w:t> </w:t>
      </w:r>
      <w:r>
        <w:rPr>
          <w:color w:val="231F20"/>
          <w:w w:val="105"/>
        </w:rPr>
        <w:t>hacerlo?</w:t>
      </w:r>
      <w:r>
        <w:rPr>
          <w:color w:val="231F20"/>
          <w:spacing w:val="-5"/>
          <w:w w:val="105"/>
        </w:rPr>
        <w:t> </w:t>
      </w:r>
      <w:r>
        <w:rPr>
          <w:color w:val="231F20"/>
          <w:w w:val="105"/>
        </w:rPr>
        <w:t>La</w:t>
      </w:r>
      <w:r>
        <w:rPr>
          <w:color w:val="231F20"/>
          <w:spacing w:val="-5"/>
          <w:w w:val="105"/>
        </w:rPr>
        <w:t> </w:t>
      </w:r>
      <w:r>
        <w:rPr>
          <w:color w:val="231F20"/>
          <w:w w:val="105"/>
        </w:rPr>
        <w:t>primera pregunta se aborda desde la teoría subjetiva de valor y la teoría de los </w:t>
      </w:r>
      <w:r>
        <w:rPr>
          <w:i/>
          <w:color w:val="231F20"/>
          <w:w w:val="105"/>
        </w:rPr>
        <w:t>stakeholders</w:t>
      </w:r>
      <w:r>
        <w:rPr>
          <w:color w:val="231F20"/>
          <w:w w:val="105"/>
        </w:rPr>
        <w:t>,</w:t>
      </w:r>
      <w:r>
        <w:rPr>
          <w:color w:val="231F20"/>
          <w:spacing w:val="-28"/>
          <w:w w:val="105"/>
        </w:rPr>
        <w:t> </w:t>
      </w:r>
      <w:r>
        <w:rPr>
          <w:color w:val="231F20"/>
          <w:w w:val="105"/>
        </w:rPr>
        <w:t>mientras</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segunda</w:t>
      </w:r>
      <w:r>
        <w:rPr>
          <w:color w:val="231F20"/>
          <w:spacing w:val="-23"/>
          <w:w w:val="105"/>
        </w:rPr>
        <w:t> </w:t>
      </w:r>
      <w:r>
        <w:rPr>
          <w:color w:val="231F20"/>
          <w:w w:val="105"/>
        </w:rPr>
        <w:t>toca</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dependencia de</w:t>
      </w:r>
      <w:r>
        <w:rPr>
          <w:color w:val="231F20"/>
          <w:spacing w:val="-23"/>
          <w:w w:val="105"/>
        </w:rPr>
        <w:t> </w:t>
      </w:r>
      <w:r>
        <w:rPr>
          <w:color w:val="231F20"/>
          <w:w w:val="105"/>
        </w:rPr>
        <w:t>los</w:t>
      </w:r>
      <w:r>
        <w:rPr>
          <w:color w:val="231F20"/>
          <w:spacing w:val="-23"/>
          <w:w w:val="105"/>
        </w:rPr>
        <w:t> </w:t>
      </w:r>
      <w:r>
        <w:rPr>
          <w:color w:val="231F20"/>
          <w:w w:val="105"/>
        </w:rPr>
        <w:t>recursos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de</w:t>
      </w:r>
      <w:r>
        <w:rPr>
          <w:color w:val="231F20"/>
          <w:spacing w:val="-23"/>
          <w:w w:val="105"/>
        </w:rPr>
        <w:t> </w:t>
      </w:r>
      <w:r>
        <w:rPr>
          <w:color w:val="231F20"/>
          <w:w w:val="105"/>
        </w:rPr>
        <w:t>recursos</w:t>
      </w:r>
      <w:r>
        <w:rPr>
          <w:color w:val="231F20"/>
          <w:spacing w:val="-23"/>
          <w:w w:val="105"/>
        </w:rPr>
        <w:t> </w:t>
      </w:r>
      <w:r>
        <w:rPr>
          <w:color w:val="231F20"/>
          <w:w w:val="105"/>
        </w:rPr>
        <w:t>y</w:t>
      </w:r>
      <w:r>
        <w:rPr>
          <w:color w:val="231F20"/>
          <w:spacing w:val="-23"/>
          <w:w w:val="105"/>
        </w:rPr>
        <w:t> </w:t>
      </w:r>
      <w:r>
        <w:rPr>
          <w:color w:val="231F20"/>
          <w:w w:val="105"/>
        </w:rPr>
        <w:t>capacidades.</w:t>
      </w:r>
    </w:p>
    <w:p>
      <w:pPr>
        <w:spacing w:before="162"/>
        <w:ind w:left="117" w:right="0" w:firstLine="0"/>
        <w:jc w:val="both"/>
        <w:rPr>
          <w:i/>
          <w:sz w:val="21"/>
        </w:rPr>
      </w:pPr>
      <w:r>
        <w:rPr>
          <w:i/>
          <w:color w:val="231F20"/>
          <w:w w:val="105"/>
          <w:sz w:val="21"/>
        </w:rPr>
        <w:t>Teoría subjetiva de valor y teoría de los stakeholders</w:t>
      </w:r>
    </w:p>
    <w:p>
      <w:pPr>
        <w:pStyle w:val="BodyText"/>
        <w:spacing w:before="4"/>
        <w:rPr>
          <w:i/>
          <w:sz w:val="16"/>
        </w:rPr>
      </w:pPr>
    </w:p>
    <w:p>
      <w:pPr>
        <w:pStyle w:val="BodyText"/>
        <w:spacing w:line="259" w:lineRule="auto"/>
        <w:ind w:left="117" w:right="101"/>
        <w:jc w:val="both"/>
      </w:pPr>
      <w:r>
        <w:rPr>
          <w:color w:val="231F20"/>
          <w:w w:val="105"/>
        </w:rPr>
        <w:t>El desempeño organizacional está ligado al concepto de valor cuyos orígenes se remontan a la economía clásica. El valor puede tomar dos acepciones: el valor de cambio y el valor de uso. El valor de uso es lo que</w:t>
      </w:r>
      <w:r>
        <w:rPr>
          <w:color w:val="231F20"/>
          <w:spacing w:val="-28"/>
          <w:w w:val="105"/>
        </w:rPr>
        <w:t> </w:t>
      </w:r>
      <w:r>
        <w:rPr>
          <w:color w:val="231F20"/>
          <w:w w:val="105"/>
        </w:rPr>
        <w:t>fundamenta</w:t>
      </w:r>
      <w:r>
        <w:rPr>
          <w:color w:val="231F20"/>
          <w:spacing w:val="-28"/>
          <w:w w:val="105"/>
        </w:rPr>
        <w:t> </w:t>
      </w:r>
      <w:r>
        <w:rPr>
          <w:color w:val="231F20"/>
          <w:w w:val="105"/>
        </w:rPr>
        <w:t>la</w:t>
      </w:r>
      <w:r>
        <w:rPr>
          <w:color w:val="231F20"/>
          <w:spacing w:val="-28"/>
          <w:w w:val="105"/>
        </w:rPr>
        <w:t> </w:t>
      </w:r>
      <w:r>
        <w:rPr>
          <w:color w:val="231F20"/>
          <w:w w:val="105"/>
        </w:rPr>
        <w:t>teoría</w:t>
      </w:r>
      <w:r>
        <w:rPr>
          <w:color w:val="231F20"/>
          <w:spacing w:val="-28"/>
          <w:w w:val="105"/>
        </w:rPr>
        <w:t> </w:t>
      </w:r>
      <w:r>
        <w:rPr>
          <w:color w:val="231F20"/>
          <w:w w:val="105"/>
        </w:rPr>
        <w:t>subjetiva</w:t>
      </w:r>
      <w:r>
        <w:rPr>
          <w:color w:val="231F20"/>
          <w:spacing w:val="-28"/>
          <w:w w:val="105"/>
        </w:rPr>
        <w:t> </w:t>
      </w:r>
      <w:r>
        <w:rPr>
          <w:color w:val="231F20"/>
          <w:w w:val="105"/>
        </w:rPr>
        <w:t>del</w:t>
      </w:r>
      <w:r>
        <w:rPr>
          <w:color w:val="231F20"/>
          <w:spacing w:val="-28"/>
          <w:w w:val="105"/>
        </w:rPr>
        <w:t> </w:t>
      </w:r>
      <w:r>
        <w:rPr>
          <w:color w:val="231F20"/>
          <w:w w:val="105"/>
        </w:rPr>
        <w:t>valor,</w:t>
      </w:r>
      <w:r>
        <w:rPr>
          <w:color w:val="231F20"/>
          <w:spacing w:val="-33"/>
          <w:w w:val="105"/>
        </w:rPr>
        <w:t> </w:t>
      </w:r>
      <w:r>
        <w:rPr>
          <w:color w:val="231F20"/>
          <w:w w:val="105"/>
        </w:rPr>
        <w:t>la</w:t>
      </w:r>
      <w:r>
        <w:rPr>
          <w:color w:val="231F20"/>
          <w:spacing w:val="-28"/>
          <w:w w:val="105"/>
        </w:rPr>
        <w:t> </w:t>
      </w:r>
      <w:r>
        <w:rPr>
          <w:color w:val="231F20"/>
          <w:w w:val="105"/>
        </w:rPr>
        <w:t>cual</w:t>
      </w:r>
      <w:r>
        <w:rPr>
          <w:color w:val="231F20"/>
          <w:spacing w:val="-28"/>
          <w:w w:val="105"/>
        </w:rPr>
        <w:t> </w:t>
      </w:r>
      <w:r>
        <w:rPr>
          <w:color w:val="231F20"/>
          <w:w w:val="105"/>
        </w:rPr>
        <w:t>sienta</w:t>
      </w:r>
      <w:r>
        <w:rPr>
          <w:color w:val="231F20"/>
          <w:spacing w:val="-28"/>
          <w:w w:val="105"/>
        </w:rPr>
        <w:t> </w:t>
      </w:r>
      <w:r>
        <w:rPr>
          <w:color w:val="231F20"/>
          <w:w w:val="105"/>
        </w:rPr>
        <w:t>sus</w:t>
      </w:r>
      <w:r>
        <w:rPr>
          <w:color w:val="231F20"/>
          <w:spacing w:val="-28"/>
          <w:w w:val="105"/>
        </w:rPr>
        <w:t> </w:t>
      </w:r>
      <w:r>
        <w:rPr>
          <w:color w:val="231F20"/>
          <w:w w:val="105"/>
        </w:rPr>
        <w:t>bases</w:t>
      </w:r>
      <w:r>
        <w:rPr>
          <w:color w:val="231F20"/>
          <w:spacing w:val="-28"/>
          <w:w w:val="105"/>
        </w:rPr>
        <w:t> </w:t>
      </w:r>
      <w:r>
        <w:rPr>
          <w:color w:val="231F20"/>
          <w:w w:val="105"/>
        </w:rPr>
        <w:t>en</w:t>
      </w:r>
      <w:r>
        <w:rPr>
          <w:color w:val="231F20"/>
          <w:spacing w:val="-28"/>
          <w:w w:val="105"/>
        </w:rPr>
        <w:t> </w:t>
      </w:r>
      <w:r>
        <w:rPr>
          <w:color w:val="231F20"/>
          <w:w w:val="105"/>
        </w:rPr>
        <w:t>el axioma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racionalidad</w:t>
      </w:r>
      <w:r>
        <w:rPr>
          <w:color w:val="231F20"/>
          <w:spacing w:val="-23"/>
          <w:w w:val="105"/>
        </w:rPr>
        <w:t> </w:t>
      </w:r>
      <w:r>
        <w:rPr>
          <w:color w:val="231F20"/>
          <w:w w:val="105"/>
        </w:rPr>
        <w:t>maximizadora</w:t>
      </w:r>
      <w:r>
        <w:rPr>
          <w:color w:val="231F20"/>
          <w:spacing w:val="-23"/>
          <w:w w:val="105"/>
        </w:rPr>
        <w:t> </w:t>
      </w:r>
      <w:r>
        <w:rPr>
          <w:color w:val="231F20"/>
          <w:spacing w:val="-3"/>
          <w:w w:val="105"/>
        </w:rPr>
        <w:t>(Talbot,</w:t>
      </w:r>
      <w:r>
        <w:rPr>
          <w:color w:val="231F20"/>
          <w:spacing w:val="-28"/>
          <w:w w:val="105"/>
        </w:rPr>
        <w:t> </w:t>
      </w:r>
      <w:r>
        <w:rPr>
          <w:color w:val="231F20"/>
          <w:w w:val="105"/>
        </w:rPr>
        <w:t>2010).</w:t>
      </w:r>
    </w:p>
    <w:p>
      <w:pPr>
        <w:pStyle w:val="BodyText"/>
        <w:spacing w:line="259" w:lineRule="auto"/>
        <w:ind w:left="117" w:right="101" w:firstLine="567"/>
        <w:jc w:val="both"/>
      </w:pPr>
      <w:r>
        <w:rPr>
          <w:color w:val="231F20"/>
          <w:w w:val="105"/>
        </w:rPr>
        <w:t>La</w:t>
      </w:r>
      <w:r>
        <w:rPr>
          <w:color w:val="231F20"/>
          <w:spacing w:val="-13"/>
          <w:w w:val="105"/>
        </w:rPr>
        <w:t> </w:t>
      </w:r>
      <w:r>
        <w:rPr>
          <w:color w:val="231F20"/>
          <w:w w:val="105"/>
        </w:rPr>
        <w:t>metáfora</w:t>
      </w:r>
      <w:r>
        <w:rPr>
          <w:color w:val="231F20"/>
          <w:spacing w:val="-13"/>
          <w:w w:val="105"/>
        </w:rPr>
        <w:t> </w:t>
      </w:r>
      <w:r>
        <w:rPr>
          <w:color w:val="231F20"/>
          <w:w w:val="105"/>
        </w:rPr>
        <w:t>de</w:t>
      </w:r>
      <w:r>
        <w:rPr>
          <w:color w:val="231F20"/>
          <w:spacing w:val="-17"/>
          <w:w w:val="105"/>
        </w:rPr>
        <w:t> </w:t>
      </w:r>
      <w:r>
        <w:rPr>
          <w:color w:val="231F20"/>
          <w:w w:val="105"/>
        </w:rPr>
        <w:t>Adam</w:t>
      </w:r>
      <w:r>
        <w:rPr>
          <w:color w:val="231F20"/>
          <w:spacing w:val="-13"/>
          <w:w w:val="105"/>
        </w:rPr>
        <w:t> </w:t>
      </w:r>
      <w:r>
        <w:rPr>
          <w:color w:val="231F20"/>
          <w:w w:val="105"/>
        </w:rPr>
        <w:t>Smith</w:t>
      </w:r>
      <w:r>
        <w:rPr>
          <w:color w:val="231F20"/>
          <w:spacing w:val="-13"/>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“mano</w:t>
      </w:r>
      <w:r>
        <w:rPr>
          <w:color w:val="231F20"/>
          <w:spacing w:val="-13"/>
          <w:w w:val="105"/>
        </w:rPr>
        <w:t> </w:t>
      </w:r>
      <w:r>
        <w:rPr>
          <w:color w:val="231F20"/>
          <w:w w:val="105"/>
        </w:rPr>
        <w:t>invisible</w:t>
      </w:r>
      <w:r>
        <w:rPr>
          <w:color w:val="231F20"/>
          <w:spacing w:val="-13"/>
          <w:w w:val="105"/>
        </w:rPr>
        <w:t> </w:t>
      </w:r>
      <w:r>
        <w:rPr>
          <w:color w:val="231F20"/>
          <w:w w:val="105"/>
        </w:rPr>
        <w:t>del</w:t>
      </w:r>
      <w:r>
        <w:rPr>
          <w:color w:val="231F20"/>
          <w:spacing w:val="-13"/>
          <w:w w:val="105"/>
        </w:rPr>
        <w:t> </w:t>
      </w:r>
      <w:r>
        <w:rPr>
          <w:color w:val="231F20"/>
          <w:w w:val="105"/>
        </w:rPr>
        <w:t>mercado” considera que la búsqueda del interés privado es la mejor manera de conseguir riqueza; así, los únicos interesados en el desempeño de</w:t>
      </w:r>
      <w:r>
        <w:rPr>
          <w:color w:val="231F20"/>
          <w:spacing w:val="-35"/>
          <w:w w:val="105"/>
        </w:rPr>
        <w:t> </w:t>
      </w:r>
      <w:r>
        <w:rPr>
          <w:color w:val="231F20"/>
          <w:w w:val="105"/>
        </w:rPr>
        <w:t>una empresa</w:t>
      </w:r>
      <w:r>
        <w:rPr>
          <w:color w:val="231F20"/>
          <w:spacing w:val="-26"/>
          <w:w w:val="105"/>
        </w:rPr>
        <w:t> </w:t>
      </w:r>
      <w:r>
        <w:rPr>
          <w:color w:val="231F20"/>
          <w:w w:val="105"/>
        </w:rPr>
        <w:t>son</w:t>
      </w:r>
      <w:r>
        <w:rPr>
          <w:color w:val="231F20"/>
          <w:spacing w:val="-26"/>
          <w:w w:val="105"/>
        </w:rPr>
        <w:t> </w:t>
      </w:r>
      <w:r>
        <w:rPr>
          <w:color w:val="231F20"/>
          <w:w w:val="105"/>
        </w:rPr>
        <w:t>sus</w:t>
      </w:r>
      <w:r>
        <w:rPr>
          <w:color w:val="231F20"/>
          <w:spacing w:val="-26"/>
          <w:w w:val="105"/>
        </w:rPr>
        <w:t> </w:t>
      </w:r>
      <w:r>
        <w:rPr>
          <w:color w:val="231F20"/>
          <w:w w:val="105"/>
        </w:rPr>
        <w:t>accionistas</w:t>
      </w:r>
      <w:r>
        <w:rPr>
          <w:color w:val="231F20"/>
          <w:spacing w:val="-26"/>
          <w:w w:val="105"/>
        </w:rPr>
        <w:t> </w:t>
      </w:r>
      <w:r>
        <w:rPr>
          <w:color w:val="231F20"/>
          <w:w w:val="105"/>
        </w:rPr>
        <w:t>(Friedman,</w:t>
      </w:r>
      <w:r>
        <w:rPr>
          <w:color w:val="231F20"/>
          <w:spacing w:val="-30"/>
          <w:w w:val="105"/>
        </w:rPr>
        <w:t> </w:t>
      </w:r>
      <w:r>
        <w:rPr>
          <w:color w:val="231F20"/>
          <w:w w:val="105"/>
        </w:rPr>
        <w:t>1970).</w:t>
      </w:r>
      <w:r>
        <w:rPr>
          <w:color w:val="231F20"/>
          <w:spacing w:val="-30"/>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sentido,</w:t>
      </w:r>
      <w:r>
        <w:rPr>
          <w:color w:val="231F20"/>
          <w:spacing w:val="-30"/>
          <w:w w:val="105"/>
        </w:rPr>
        <w:t> </w:t>
      </w:r>
      <w:r>
        <w:rPr>
          <w:color w:val="231F20"/>
          <w:w w:val="105"/>
        </w:rPr>
        <w:t>el</w:t>
      </w:r>
      <w:r>
        <w:rPr>
          <w:color w:val="231F20"/>
          <w:spacing w:val="-26"/>
          <w:w w:val="105"/>
        </w:rPr>
        <w:t> </w:t>
      </w:r>
      <w:r>
        <w:rPr>
          <w:color w:val="231F20"/>
          <w:w w:val="105"/>
        </w:rPr>
        <w:t>princi- pal</w:t>
      </w:r>
      <w:r>
        <w:rPr>
          <w:color w:val="231F20"/>
          <w:spacing w:val="-16"/>
          <w:w w:val="105"/>
        </w:rPr>
        <w:t> </w:t>
      </w:r>
      <w:r>
        <w:rPr>
          <w:color w:val="231F20"/>
          <w:w w:val="105"/>
        </w:rPr>
        <w:t>deber</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administradores</w:t>
      </w:r>
      <w:r>
        <w:rPr>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maximización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riqueza</w:t>
      </w:r>
      <w:r>
        <w:rPr>
          <w:color w:val="231F20"/>
          <w:spacing w:val="-16"/>
          <w:w w:val="105"/>
        </w:rPr>
        <w:t> </w:t>
      </w:r>
      <w:r>
        <w:rPr>
          <w:color w:val="231F20"/>
          <w:w w:val="105"/>
        </w:rPr>
        <w:t>de</w:t>
      </w:r>
      <w:r>
        <w:rPr>
          <w:color w:val="231F20"/>
          <w:spacing w:val="-16"/>
          <w:w w:val="105"/>
        </w:rPr>
        <w:t> </w:t>
      </w:r>
      <w:r>
        <w:rPr>
          <w:color w:val="231F20"/>
          <w:w w:val="105"/>
        </w:rPr>
        <w:t>los accionistas;</w:t>
      </w:r>
      <w:r>
        <w:rPr>
          <w:color w:val="231F20"/>
          <w:spacing w:val="-27"/>
          <w:w w:val="105"/>
        </w:rPr>
        <w:t> </w:t>
      </w:r>
      <w:r>
        <w:rPr>
          <w:color w:val="231F20"/>
          <w:w w:val="105"/>
        </w:rPr>
        <w:t>consecuentemente,</w:t>
      </w:r>
      <w:r>
        <w:rPr>
          <w:color w:val="231F20"/>
          <w:spacing w:val="-32"/>
          <w:w w:val="105"/>
        </w:rPr>
        <w:t> </w:t>
      </w:r>
      <w:r>
        <w:rPr>
          <w:color w:val="231F20"/>
          <w:w w:val="105"/>
        </w:rPr>
        <w:t>cualquier</w:t>
      </w:r>
      <w:r>
        <w:rPr>
          <w:color w:val="231F20"/>
          <w:spacing w:val="-27"/>
          <w:w w:val="105"/>
        </w:rPr>
        <w:t> </w:t>
      </w:r>
      <w:r>
        <w:rPr>
          <w:color w:val="231F20"/>
          <w:w w:val="105"/>
        </w:rPr>
        <w:t>objetivo</w:t>
      </w:r>
      <w:r>
        <w:rPr>
          <w:color w:val="231F20"/>
          <w:spacing w:val="-27"/>
          <w:w w:val="105"/>
        </w:rPr>
        <w:t> </w:t>
      </w:r>
      <w:r>
        <w:rPr>
          <w:color w:val="231F20"/>
          <w:w w:val="105"/>
        </w:rPr>
        <w:t>será</w:t>
      </w:r>
      <w:r>
        <w:rPr>
          <w:color w:val="231F20"/>
          <w:spacing w:val="-27"/>
          <w:w w:val="105"/>
        </w:rPr>
        <w:t> </w:t>
      </w:r>
      <w:r>
        <w:rPr>
          <w:color w:val="231F20"/>
          <w:w w:val="105"/>
        </w:rPr>
        <w:t>aceptable</w:t>
      </w:r>
      <w:r>
        <w:rPr>
          <w:color w:val="231F20"/>
          <w:spacing w:val="-27"/>
          <w:w w:val="105"/>
        </w:rPr>
        <w:t> </w:t>
      </w:r>
      <w:r>
        <w:rPr>
          <w:color w:val="231F20"/>
          <w:w w:val="105"/>
        </w:rPr>
        <w:t>sólo</w:t>
      </w:r>
      <w:r>
        <w:rPr>
          <w:color w:val="231F20"/>
          <w:spacing w:val="-27"/>
          <w:w w:val="105"/>
        </w:rPr>
        <w:t> </w:t>
      </w:r>
      <w:r>
        <w:rPr>
          <w:color w:val="231F20"/>
          <w:w w:val="105"/>
        </w:rPr>
        <w:t>si incrementa</w:t>
      </w:r>
      <w:r>
        <w:rPr>
          <w:color w:val="231F20"/>
          <w:spacing w:val="-8"/>
          <w:w w:val="105"/>
        </w:rPr>
        <w:t> </w:t>
      </w:r>
      <w:r>
        <w:rPr>
          <w:color w:val="231F20"/>
          <w:w w:val="105"/>
        </w:rPr>
        <w:t>los</w:t>
      </w:r>
      <w:r>
        <w:rPr>
          <w:color w:val="231F20"/>
          <w:spacing w:val="-8"/>
          <w:w w:val="105"/>
        </w:rPr>
        <w:t> </w:t>
      </w:r>
      <w:r>
        <w:rPr>
          <w:color w:val="231F20"/>
          <w:w w:val="105"/>
        </w:rPr>
        <w:t>beneficios</w:t>
      </w:r>
      <w:r>
        <w:rPr>
          <w:color w:val="231F20"/>
          <w:spacing w:val="-8"/>
          <w:w w:val="105"/>
        </w:rPr>
        <w:t> </w:t>
      </w:r>
      <w:r>
        <w:rPr>
          <w:color w:val="231F20"/>
          <w:w w:val="105"/>
        </w:rPr>
        <w:t>en</w:t>
      </w:r>
      <w:r>
        <w:rPr>
          <w:color w:val="231F20"/>
          <w:spacing w:val="-8"/>
          <w:w w:val="105"/>
        </w:rPr>
        <w:t> </w:t>
      </w:r>
      <w:r>
        <w:rPr>
          <w:color w:val="231F20"/>
          <w:w w:val="105"/>
        </w:rPr>
        <w:t>forma</w:t>
      </w:r>
      <w:r>
        <w:rPr>
          <w:color w:val="231F20"/>
          <w:spacing w:val="-8"/>
          <w:w w:val="105"/>
        </w:rPr>
        <w:t> </w:t>
      </w:r>
      <w:r>
        <w:rPr>
          <w:color w:val="231F20"/>
          <w:w w:val="105"/>
        </w:rPr>
        <w:t>de</w:t>
      </w:r>
      <w:r>
        <w:rPr>
          <w:color w:val="231F20"/>
          <w:spacing w:val="-8"/>
          <w:w w:val="105"/>
        </w:rPr>
        <w:t> </w:t>
      </w:r>
      <w:r>
        <w:rPr>
          <w:color w:val="231F20"/>
          <w:w w:val="105"/>
        </w:rPr>
        <w:t>utilidades,</w:t>
      </w:r>
      <w:r>
        <w:rPr>
          <w:color w:val="231F20"/>
          <w:spacing w:val="-14"/>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convierte</w:t>
      </w:r>
      <w:r>
        <w:rPr>
          <w:color w:val="231F20"/>
          <w:spacing w:val="-8"/>
          <w:w w:val="105"/>
        </w:rPr>
        <w:t> </w:t>
      </w:r>
      <w:r>
        <w:rPr>
          <w:color w:val="231F20"/>
          <w:w w:val="105"/>
        </w:rPr>
        <w:t>en el</w:t>
      </w:r>
      <w:r>
        <w:rPr>
          <w:color w:val="231F20"/>
          <w:spacing w:val="-9"/>
          <w:w w:val="105"/>
        </w:rPr>
        <w:t> </w:t>
      </w:r>
      <w:r>
        <w:rPr>
          <w:color w:val="231F20"/>
          <w:w w:val="105"/>
        </w:rPr>
        <w:t>único</w:t>
      </w:r>
      <w:r>
        <w:rPr>
          <w:color w:val="231F20"/>
          <w:spacing w:val="-9"/>
          <w:w w:val="105"/>
        </w:rPr>
        <w:t> </w:t>
      </w:r>
      <w:r>
        <w:rPr>
          <w:color w:val="231F20"/>
          <w:w w:val="105"/>
        </w:rPr>
        <w:t>indicador</w:t>
      </w:r>
      <w:r>
        <w:rPr>
          <w:color w:val="231F20"/>
          <w:spacing w:val="-9"/>
          <w:w w:val="105"/>
        </w:rPr>
        <w:t> </w:t>
      </w:r>
      <w:r>
        <w:rPr>
          <w:color w:val="231F20"/>
          <w:w w:val="105"/>
        </w:rPr>
        <w:t>de</w:t>
      </w:r>
      <w:r>
        <w:rPr>
          <w:color w:val="231F20"/>
          <w:spacing w:val="-9"/>
          <w:w w:val="105"/>
        </w:rPr>
        <w:t> </w:t>
      </w:r>
      <w:r>
        <w:rPr>
          <w:color w:val="231F20"/>
          <w:w w:val="105"/>
        </w:rPr>
        <w:t>desempeño</w:t>
      </w:r>
      <w:r>
        <w:rPr>
          <w:color w:val="231F20"/>
          <w:spacing w:val="-9"/>
          <w:w w:val="105"/>
        </w:rPr>
        <w:t> </w:t>
      </w:r>
      <w:r>
        <w:rPr>
          <w:color w:val="231F20"/>
          <w:w w:val="105"/>
        </w:rPr>
        <w:t>(Dore,</w:t>
      </w:r>
      <w:r>
        <w:rPr>
          <w:color w:val="231F20"/>
          <w:spacing w:val="-16"/>
          <w:w w:val="105"/>
        </w:rPr>
        <w:t> </w:t>
      </w:r>
      <w:r>
        <w:rPr>
          <w:color w:val="231F20"/>
          <w:w w:val="105"/>
        </w:rPr>
        <w:t>2000).</w:t>
      </w:r>
    </w:p>
    <w:p>
      <w:pPr>
        <w:pStyle w:val="BodyText"/>
        <w:spacing w:line="259" w:lineRule="auto"/>
        <w:ind w:left="117" w:right="101" w:firstLine="567"/>
        <w:jc w:val="both"/>
      </w:pPr>
      <w:r>
        <w:rPr>
          <w:color w:val="231F20"/>
          <w:w w:val="105"/>
        </w:rPr>
        <w:t>Aunque esta postura experimentó gran auge en las décadas de 1980</w:t>
      </w:r>
      <w:r>
        <w:rPr>
          <w:color w:val="231F20"/>
          <w:spacing w:val="-17"/>
          <w:w w:val="105"/>
        </w:rPr>
        <w:t> </w:t>
      </w:r>
      <w:r>
        <w:rPr>
          <w:color w:val="231F20"/>
          <w:w w:val="105"/>
        </w:rPr>
        <w:t>y</w:t>
      </w:r>
      <w:r>
        <w:rPr>
          <w:color w:val="231F20"/>
          <w:spacing w:val="-17"/>
          <w:w w:val="105"/>
        </w:rPr>
        <w:t> </w:t>
      </w:r>
      <w:r>
        <w:rPr>
          <w:color w:val="231F20"/>
          <w:w w:val="105"/>
        </w:rPr>
        <w:t>1990,</w:t>
      </w:r>
      <w:r>
        <w:rPr>
          <w:color w:val="231F20"/>
          <w:spacing w:val="-23"/>
          <w:w w:val="105"/>
        </w:rPr>
        <w:t> </w:t>
      </w:r>
      <w:r>
        <w:rPr>
          <w:color w:val="231F20"/>
          <w:w w:val="105"/>
        </w:rPr>
        <w:t>ha</w:t>
      </w:r>
      <w:r>
        <w:rPr>
          <w:color w:val="231F20"/>
          <w:spacing w:val="-17"/>
          <w:w w:val="105"/>
        </w:rPr>
        <w:t> </w:t>
      </w:r>
      <w:r>
        <w:rPr>
          <w:color w:val="231F20"/>
          <w:w w:val="105"/>
        </w:rPr>
        <w:t>sido</w:t>
      </w:r>
      <w:r>
        <w:rPr>
          <w:color w:val="231F20"/>
          <w:spacing w:val="-17"/>
          <w:w w:val="105"/>
        </w:rPr>
        <w:t> </w:t>
      </w:r>
      <w:r>
        <w:rPr>
          <w:color w:val="231F20"/>
          <w:w w:val="105"/>
        </w:rPr>
        <w:t>fuertemente</w:t>
      </w:r>
      <w:r>
        <w:rPr>
          <w:color w:val="231F20"/>
          <w:spacing w:val="-17"/>
          <w:w w:val="105"/>
        </w:rPr>
        <w:t> </w:t>
      </w:r>
      <w:r>
        <w:rPr>
          <w:color w:val="231F20"/>
          <w:w w:val="105"/>
        </w:rPr>
        <w:t>criticada</w:t>
      </w:r>
      <w:r>
        <w:rPr>
          <w:color w:val="231F20"/>
          <w:spacing w:val="-17"/>
          <w:w w:val="105"/>
        </w:rPr>
        <w:t> </w:t>
      </w:r>
      <w:r>
        <w:rPr>
          <w:color w:val="231F20"/>
          <w:w w:val="105"/>
        </w:rPr>
        <w:t>en</w:t>
      </w:r>
      <w:r>
        <w:rPr>
          <w:color w:val="231F20"/>
          <w:spacing w:val="-17"/>
          <w:w w:val="105"/>
        </w:rPr>
        <w:t> </w:t>
      </w:r>
      <w:r>
        <w:rPr>
          <w:color w:val="231F20"/>
          <w:w w:val="105"/>
        </w:rPr>
        <w:t>cuanto</w:t>
      </w:r>
      <w:r>
        <w:rPr>
          <w:color w:val="231F20"/>
          <w:spacing w:val="-17"/>
          <w:w w:val="105"/>
        </w:rPr>
        <w:t> </w:t>
      </w:r>
      <w:r>
        <w:rPr>
          <w:color w:val="231F20"/>
          <w:w w:val="105"/>
        </w:rPr>
        <w:t>a</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valor</w:t>
      </w:r>
      <w:r>
        <w:rPr>
          <w:color w:val="231F20"/>
          <w:spacing w:val="-17"/>
          <w:w w:val="105"/>
        </w:rPr>
        <w:t> </w:t>
      </w:r>
      <w:r>
        <w:rPr>
          <w:color w:val="231F20"/>
          <w:w w:val="105"/>
        </w:rPr>
        <w:t>toma formas</w:t>
      </w:r>
      <w:r>
        <w:rPr>
          <w:color w:val="231F20"/>
          <w:spacing w:val="-19"/>
          <w:w w:val="105"/>
        </w:rPr>
        <w:t> </w:t>
      </w:r>
      <w:r>
        <w:rPr>
          <w:color w:val="231F20"/>
          <w:w w:val="105"/>
        </w:rPr>
        <w:t>diversas</w:t>
      </w:r>
      <w:r>
        <w:rPr>
          <w:color w:val="231F20"/>
          <w:spacing w:val="-19"/>
          <w:w w:val="105"/>
        </w:rPr>
        <w:t> </w:t>
      </w:r>
      <w:r>
        <w:rPr>
          <w:color w:val="231F20"/>
          <w:w w:val="105"/>
        </w:rPr>
        <w:t>y</w:t>
      </w:r>
      <w:r>
        <w:rPr>
          <w:color w:val="231F20"/>
          <w:spacing w:val="-19"/>
          <w:w w:val="105"/>
        </w:rPr>
        <w:t> </w:t>
      </w:r>
      <w:r>
        <w:rPr>
          <w:color w:val="231F20"/>
          <w:w w:val="105"/>
        </w:rPr>
        <w:t>no</w:t>
      </w:r>
      <w:r>
        <w:rPr>
          <w:color w:val="231F20"/>
          <w:spacing w:val="-19"/>
          <w:w w:val="105"/>
        </w:rPr>
        <w:t> </w:t>
      </w:r>
      <w:r>
        <w:rPr>
          <w:color w:val="231F20"/>
          <w:w w:val="105"/>
        </w:rPr>
        <w:t>es</w:t>
      </w:r>
      <w:r>
        <w:rPr>
          <w:color w:val="231F20"/>
          <w:spacing w:val="-19"/>
          <w:w w:val="105"/>
        </w:rPr>
        <w:t> </w:t>
      </w:r>
      <w:r>
        <w:rPr>
          <w:color w:val="231F20"/>
          <w:w w:val="105"/>
        </w:rPr>
        <w:t>el</w:t>
      </w:r>
      <w:r>
        <w:rPr>
          <w:color w:val="231F20"/>
          <w:spacing w:val="-19"/>
          <w:w w:val="105"/>
        </w:rPr>
        <w:t> </w:t>
      </w:r>
      <w:r>
        <w:rPr>
          <w:color w:val="231F20"/>
          <w:w w:val="105"/>
        </w:rPr>
        <w:t>simple</w:t>
      </w:r>
      <w:r>
        <w:rPr>
          <w:color w:val="231F20"/>
          <w:spacing w:val="-19"/>
          <w:w w:val="105"/>
        </w:rPr>
        <w:t> </w:t>
      </w:r>
      <w:r>
        <w:rPr>
          <w:color w:val="231F20"/>
          <w:w w:val="105"/>
        </w:rPr>
        <w:t>resultado</w:t>
      </w:r>
      <w:r>
        <w:rPr>
          <w:color w:val="231F20"/>
          <w:spacing w:val="-19"/>
          <w:w w:val="105"/>
        </w:rPr>
        <w:t> </w:t>
      </w:r>
      <w:r>
        <w:rPr>
          <w:color w:val="231F20"/>
          <w:w w:val="105"/>
        </w:rPr>
        <w:t>monetario.</w:t>
      </w:r>
      <w:r>
        <w:rPr>
          <w:color w:val="231F20"/>
          <w:spacing w:val="-24"/>
          <w:w w:val="105"/>
        </w:rPr>
        <w:t> </w:t>
      </w:r>
      <w:r>
        <w:rPr>
          <w:color w:val="231F20"/>
          <w:w w:val="105"/>
        </w:rPr>
        <w:t>En</w:t>
      </w:r>
      <w:r>
        <w:rPr>
          <w:color w:val="231F20"/>
          <w:spacing w:val="-19"/>
          <w:w w:val="105"/>
        </w:rPr>
        <w:t> </w:t>
      </w:r>
      <w:r>
        <w:rPr>
          <w:color w:val="231F20"/>
          <w:w w:val="105"/>
        </w:rPr>
        <w:t>ese</w:t>
      </w:r>
      <w:r>
        <w:rPr>
          <w:color w:val="231F20"/>
          <w:spacing w:val="-19"/>
          <w:w w:val="105"/>
        </w:rPr>
        <w:t> </w:t>
      </w:r>
      <w:r>
        <w:rPr>
          <w:color w:val="231F20"/>
          <w:w w:val="105"/>
        </w:rPr>
        <w:t>sentido,</w:t>
      </w:r>
      <w:r>
        <w:rPr>
          <w:color w:val="231F20"/>
          <w:spacing w:val="-24"/>
          <w:w w:val="105"/>
        </w:rPr>
        <w:t> </w:t>
      </w:r>
      <w:r>
        <w:rPr>
          <w:color w:val="231F20"/>
          <w:w w:val="105"/>
        </w:rPr>
        <w:t>la teoría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i/>
          <w:color w:val="231F20"/>
          <w:w w:val="105"/>
        </w:rPr>
        <w:t>stakeholders</w:t>
      </w:r>
      <w:r>
        <w:rPr>
          <w:i/>
          <w:color w:val="231F20"/>
          <w:spacing w:val="-6"/>
          <w:w w:val="105"/>
        </w:rPr>
        <w:t> </w:t>
      </w:r>
      <w:r>
        <w:rPr>
          <w:color w:val="231F20"/>
          <w:w w:val="105"/>
        </w:rPr>
        <w:t>argumenta</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medida</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empresa obtiene</w:t>
      </w:r>
      <w:r>
        <w:rPr>
          <w:color w:val="231F20"/>
          <w:spacing w:val="-4"/>
          <w:w w:val="105"/>
        </w:rPr>
        <w:t> </w:t>
      </w:r>
      <w:r>
        <w:rPr>
          <w:color w:val="231F20"/>
          <w:w w:val="105"/>
        </w:rPr>
        <w:t>beneficios</w:t>
      </w:r>
      <w:r>
        <w:rPr>
          <w:color w:val="231F20"/>
          <w:spacing w:val="-4"/>
          <w:w w:val="105"/>
        </w:rPr>
        <w:t> </w:t>
      </w:r>
      <w:r>
        <w:rPr>
          <w:color w:val="231F20"/>
          <w:w w:val="105"/>
        </w:rPr>
        <w:t>de</w:t>
      </w:r>
      <w:r>
        <w:rPr>
          <w:color w:val="231F20"/>
          <w:spacing w:val="-4"/>
          <w:w w:val="105"/>
        </w:rPr>
        <w:t> </w:t>
      </w:r>
      <w:r>
        <w:rPr>
          <w:color w:val="231F20"/>
          <w:w w:val="105"/>
        </w:rPr>
        <w:t>su</w:t>
      </w:r>
      <w:r>
        <w:rPr>
          <w:color w:val="231F20"/>
          <w:spacing w:val="-4"/>
          <w:w w:val="105"/>
        </w:rPr>
        <w:t> </w:t>
      </w:r>
      <w:r>
        <w:rPr>
          <w:color w:val="231F20"/>
          <w:w w:val="105"/>
        </w:rPr>
        <w:t>entorno,</w:t>
      </w:r>
      <w:r>
        <w:rPr>
          <w:color w:val="231F20"/>
          <w:spacing w:val="-11"/>
          <w:w w:val="105"/>
        </w:rPr>
        <w:t> </w:t>
      </w:r>
      <w:r>
        <w:rPr>
          <w:color w:val="231F20"/>
          <w:w w:val="105"/>
        </w:rPr>
        <w:t>debe</w:t>
      </w:r>
      <w:r>
        <w:rPr>
          <w:color w:val="231F20"/>
          <w:spacing w:val="-4"/>
          <w:w w:val="105"/>
        </w:rPr>
        <w:t> </w:t>
      </w:r>
      <w:r>
        <w:rPr>
          <w:color w:val="231F20"/>
          <w:w w:val="105"/>
        </w:rPr>
        <w:t>retribuir</w:t>
      </w:r>
      <w:r>
        <w:rPr>
          <w:color w:val="231F20"/>
          <w:spacing w:val="-4"/>
          <w:w w:val="105"/>
        </w:rPr>
        <w:t> </w:t>
      </w:r>
      <w:r>
        <w:rPr>
          <w:color w:val="231F20"/>
          <w:w w:val="105"/>
        </w:rPr>
        <w:t>a</w:t>
      </w:r>
      <w:r>
        <w:rPr>
          <w:color w:val="231F20"/>
          <w:spacing w:val="-4"/>
          <w:w w:val="105"/>
        </w:rPr>
        <w:t> </w:t>
      </w:r>
      <w:r>
        <w:rPr>
          <w:color w:val="231F20"/>
          <w:w w:val="105"/>
        </w:rPr>
        <w:t>sus</w:t>
      </w:r>
      <w:r>
        <w:rPr>
          <w:color w:val="231F20"/>
          <w:spacing w:val="-4"/>
          <w:w w:val="105"/>
        </w:rPr>
        <w:t> </w:t>
      </w:r>
      <w:r>
        <w:rPr>
          <w:color w:val="231F20"/>
          <w:w w:val="105"/>
        </w:rPr>
        <w:t>grupos</w:t>
      </w:r>
      <w:r>
        <w:rPr>
          <w:color w:val="231F20"/>
          <w:spacing w:val="-4"/>
          <w:w w:val="105"/>
        </w:rPr>
        <w:t> </w:t>
      </w:r>
      <w:r>
        <w:rPr>
          <w:color w:val="231F20"/>
          <w:w w:val="105"/>
        </w:rPr>
        <w:t>de</w:t>
      </w:r>
      <w:r>
        <w:rPr>
          <w:color w:val="231F20"/>
          <w:spacing w:val="-4"/>
          <w:w w:val="105"/>
        </w:rPr>
        <w:t> </w:t>
      </w:r>
      <w:r>
        <w:rPr>
          <w:color w:val="231F20"/>
          <w:w w:val="105"/>
        </w:rPr>
        <w:t>interés (Pesqueux</w:t>
      </w:r>
      <w:r>
        <w:rPr>
          <w:color w:val="231F20"/>
          <w:spacing w:val="-35"/>
          <w:w w:val="105"/>
        </w:rPr>
        <w:t> </w:t>
      </w:r>
      <w:r>
        <w:rPr>
          <w:color w:val="231F20"/>
          <w:w w:val="105"/>
        </w:rPr>
        <w:t>y</w:t>
      </w:r>
      <w:r>
        <w:rPr>
          <w:color w:val="231F20"/>
          <w:spacing w:val="-35"/>
          <w:w w:val="105"/>
        </w:rPr>
        <w:t> </w:t>
      </w:r>
      <w:r>
        <w:rPr>
          <w:color w:val="231F20"/>
          <w:w w:val="105"/>
        </w:rPr>
        <w:t>Damak,</w:t>
      </w:r>
      <w:r>
        <w:rPr>
          <w:color w:val="231F20"/>
          <w:spacing w:val="-38"/>
          <w:w w:val="105"/>
        </w:rPr>
        <w:t> </w:t>
      </w:r>
      <w:r>
        <w:rPr>
          <w:color w:val="231F20"/>
          <w:w w:val="105"/>
        </w:rPr>
        <w:t>2005).</w:t>
      </w:r>
      <w:r>
        <w:rPr>
          <w:color w:val="231F20"/>
          <w:spacing w:val="-38"/>
          <w:w w:val="105"/>
        </w:rPr>
        <w:t> </w:t>
      </w:r>
      <w:r>
        <w:rPr>
          <w:color w:val="231F20"/>
          <w:w w:val="105"/>
        </w:rPr>
        <w:t>Los</w:t>
      </w:r>
      <w:r>
        <w:rPr>
          <w:color w:val="231F20"/>
          <w:spacing w:val="-35"/>
          <w:w w:val="105"/>
        </w:rPr>
        <w:t> </w:t>
      </w:r>
      <w:r>
        <w:rPr>
          <w:color w:val="231F20"/>
          <w:w w:val="105"/>
        </w:rPr>
        <w:t>interesados</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organización</w:t>
      </w:r>
      <w:r>
        <w:rPr>
          <w:color w:val="231F20"/>
          <w:spacing w:val="-35"/>
          <w:w w:val="105"/>
        </w:rPr>
        <w:t> </w:t>
      </w:r>
      <w:r>
        <w:rPr>
          <w:color w:val="231F20"/>
          <w:w w:val="105"/>
        </w:rPr>
        <w:t>(</w:t>
      </w:r>
      <w:r>
        <w:rPr>
          <w:i/>
          <w:color w:val="231F20"/>
          <w:w w:val="105"/>
        </w:rPr>
        <w:t>stakehol- </w:t>
      </w:r>
      <w:r>
        <w:rPr>
          <w:i/>
          <w:color w:val="231F20"/>
          <w:w w:val="105"/>
        </w:rPr>
        <w:t>ders</w:t>
      </w:r>
      <w:r>
        <w:rPr>
          <w:color w:val="231F20"/>
          <w:w w:val="105"/>
        </w:rPr>
        <w:t>), son todos aquellos agentes que pueden afectar o ser afectados por</w:t>
      </w:r>
      <w:r>
        <w:rPr>
          <w:color w:val="231F20"/>
          <w:spacing w:val="-19"/>
          <w:w w:val="105"/>
        </w:rPr>
        <w:t> </w:t>
      </w:r>
      <w:r>
        <w:rPr>
          <w:color w:val="231F20"/>
          <w:w w:val="105"/>
        </w:rPr>
        <w:t>el</w:t>
      </w:r>
      <w:r>
        <w:rPr>
          <w:color w:val="231F20"/>
          <w:spacing w:val="-19"/>
          <w:w w:val="105"/>
        </w:rPr>
        <w:t> </w:t>
      </w:r>
      <w:r>
        <w:rPr>
          <w:color w:val="231F20"/>
          <w:w w:val="105"/>
        </w:rPr>
        <w:t>cumplimiento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objetivos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organización</w:t>
      </w:r>
      <w:r>
        <w:rPr>
          <w:color w:val="231F20"/>
          <w:spacing w:val="-19"/>
          <w:w w:val="105"/>
        </w:rPr>
        <w:t> </w:t>
      </w:r>
      <w:r>
        <w:rPr>
          <w:color w:val="231F20"/>
          <w:w w:val="105"/>
        </w:rPr>
        <w:t>(Freeman,</w:t>
      </w:r>
      <w:r>
        <w:rPr>
          <w:color w:val="231F20"/>
          <w:spacing w:val="-25"/>
          <w:w w:val="105"/>
        </w:rPr>
        <w:t> </w:t>
      </w:r>
      <w:r>
        <w:rPr>
          <w:color w:val="231F20"/>
          <w:w w:val="105"/>
        </w:rPr>
        <w:t>1984); por</w:t>
      </w:r>
      <w:r>
        <w:rPr>
          <w:color w:val="231F20"/>
          <w:spacing w:val="-13"/>
          <w:w w:val="105"/>
        </w:rPr>
        <w:t> </w:t>
      </w:r>
      <w:r>
        <w:rPr>
          <w:color w:val="231F20"/>
          <w:w w:val="105"/>
        </w:rPr>
        <w:t>lo</w:t>
      </w:r>
      <w:r>
        <w:rPr>
          <w:color w:val="231F20"/>
          <w:spacing w:val="-13"/>
          <w:w w:val="105"/>
        </w:rPr>
        <w:t> </w:t>
      </w:r>
      <w:r>
        <w:rPr>
          <w:color w:val="231F20"/>
          <w:w w:val="105"/>
        </w:rPr>
        <w:t>tanto,</w:t>
      </w:r>
      <w:r>
        <w:rPr>
          <w:color w:val="231F20"/>
          <w:spacing w:val="-19"/>
          <w:w w:val="105"/>
        </w:rPr>
        <w:t> </w:t>
      </w:r>
      <w:r>
        <w:rPr>
          <w:color w:val="231F20"/>
          <w:w w:val="105"/>
        </w:rPr>
        <w:t>al</w:t>
      </w:r>
      <w:r>
        <w:rPr>
          <w:color w:val="231F20"/>
          <w:spacing w:val="-13"/>
          <w:w w:val="105"/>
        </w:rPr>
        <w:t> </w:t>
      </w:r>
      <w:r>
        <w:rPr>
          <w:color w:val="231F20"/>
          <w:w w:val="105"/>
        </w:rPr>
        <w:t>evaluar</w:t>
      </w:r>
      <w:r>
        <w:rPr>
          <w:color w:val="231F20"/>
          <w:spacing w:val="-13"/>
          <w:w w:val="105"/>
        </w:rPr>
        <w:t> </w:t>
      </w:r>
      <w:r>
        <w:rPr>
          <w:color w:val="231F20"/>
          <w:w w:val="105"/>
        </w:rPr>
        <w:t>el</w:t>
      </w:r>
      <w:r>
        <w:rPr>
          <w:color w:val="231F20"/>
          <w:spacing w:val="-13"/>
          <w:w w:val="105"/>
        </w:rPr>
        <w:t> </w:t>
      </w:r>
      <w:r>
        <w:rPr>
          <w:color w:val="231F20"/>
          <w:w w:val="105"/>
        </w:rPr>
        <w:t>desempeño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organización</w:t>
      </w:r>
      <w:r>
        <w:rPr>
          <w:color w:val="231F20"/>
          <w:spacing w:val="-13"/>
          <w:w w:val="105"/>
        </w:rPr>
        <w:t> </w:t>
      </w:r>
      <w:r>
        <w:rPr>
          <w:color w:val="231F20"/>
          <w:w w:val="105"/>
        </w:rPr>
        <w:t>deben</w:t>
      </w:r>
      <w:r>
        <w:rPr>
          <w:color w:val="231F20"/>
          <w:spacing w:val="-13"/>
          <w:w w:val="105"/>
        </w:rPr>
        <w:t> </w:t>
      </w:r>
      <w:r>
        <w:rPr>
          <w:color w:val="231F20"/>
          <w:w w:val="105"/>
        </w:rPr>
        <w:t>conside-</w:t>
      </w:r>
    </w:p>
    <w:p>
      <w:pPr>
        <w:spacing w:after="0" w:line="259" w:lineRule="auto"/>
        <w:jc w:val="both"/>
        <w:sectPr>
          <w:pgSz w:w="9640" w:h="13890"/>
          <w:pgMar w:top="0" w:bottom="280" w:left="1300" w:right="1200"/>
        </w:sectPr>
      </w:pPr>
    </w:p>
    <w:p>
      <w:pPr>
        <w:pStyle w:val="BodyText"/>
        <w:spacing w:line="259" w:lineRule="auto" w:before="120"/>
        <w:ind w:left="103" w:right="115"/>
        <w:jc w:val="both"/>
      </w:pPr>
      <w:r>
        <w:rPr>
          <w:color w:val="231F20"/>
          <w:w w:val="105"/>
        </w:rPr>
        <w:t>rarse</w:t>
      </w:r>
      <w:r>
        <w:rPr>
          <w:color w:val="231F20"/>
          <w:spacing w:val="-13"/>
          <w:w w:val="105"/>
        </w:rPr>
        <w:t> </w:t>
      </w:r>
      <w:r>
        <w:rPr>
          <w:color w:val="231F20"/>
          <w:w w:val="105"/>
        </w:rPr>
        <w:t>los</w:t>
      </w:r>
      <w:r>
        <w:rPr>
          <w:color w:val="231F20"/>
          <w:spacing w:val="-13"/>
          <w:w w:val="105"/>
        </w:rPr>
        <w:t> </w:t>
      </w:r>
      <w:r>
        <w:rPr>
          <w:color w:val="231F20"/>
          <w:w w:val="105"/>
        </w:rPr>
        <w:t>intereses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empleados,</w:t>
      </w:r>
      <w:r>
        <w:rPr>
          <w:color w:val="231F20"/>
          <w:spacing w:val="-19"/>
          <w:w w:val="105"/>
        </w:rPr>
        <w:t> </w:t>
      </w:r>
      <w:r>
        <w:rPr>
          <w:color w:val="231F20"/>
          <w:w w:val="105"/>
        </w:rPr>
        <w:t>proveedores,</w:t>
      </w:r>
      <w:r>
        <w:rPr>
          <w:color w:val="231F20"/>
          <w:spacing w:val="-19"/>
          <w:w w:val="105"/>
        </w:rPr>
        <w:t> </w:t>
      </w:r>
      <w:r>
        <w:rPr>
          <w:color w:val="231F20"/>
          <w:w w:val="105"/>
        </w:rPr>
        <w:t>gobierno</w:t>
      </w:r>
      <w:r>
        <w:rPr>
          <w:color w:val="231F20"/>
          <w:spacing w:val="-13"/>
          <w:w w:val="105"/>
        </w:rPr>
        <w:t> </w:t>
      </w:r>
      <w:r>
        <w:rPr>
          <w:color w:val="231F20"/>
          <w:w w:val="105"/>
        </w:rPr>
        <w:t>y</w:t>
      </w:r>
      <w:r>
        <w:rPr>
          <w:color w:val="231F20"/>
          <w:spacing w:val="-13"/>
          <w:w w:val="105"/>
        </w:rPr>
        <w:t> </w:t>
      </w:r>
      <w:r>
        <w:rPr>
          <w:color w:val="231F20"/>
          <w:w w:val="105"/>
        </w:rPr>
        <w:t>sociedad en</w:t>
      </w:r>
      <w:r>
        <w:rPr>
          <w:color w:val="231F20"/>
          <w:spacing w:val="-41"/>
          <w:w w:val="105"/>
        </w:rPr>
        <w:t> </w:t>
      </w:r>
      <w:r>
        <w:rPr>
          <w:color w:val="231F20"/>
          <w:w w:val="105"/>
        </w:rPr>
        <w:t>general</w:t>
      </w:r>
      <w:r>
        <w:rPr>
          <w:color w:val="231F20"/>
          <w:spacing w:val="-41"/>
          <w:w w:val="105"/>
        </w:rPr>
        <w:t> </w:t>
      </w:r>
      <w:r>
        <w:rPr>
          <w:color w:val="231F20"/>
          <w:w w:val="105"/>
        </w:rPr>
        <w:t>(González,</w:t>
      </w:r>
      <w:r>
        <w:rPr>
          <w:color w:val="231F20"/>
          <w:spacing w:val="-44"/>
          <w:w w:val="105"/>
        </w:rPr>
        <w:t> </w:t>
      </w:r>
      <w:r>
        <w:rPr>
          <w:color w:val="231F20"/>
          <w:w w:val="105"/>
        </w:rPr>
        <w:t>2007).</w:t>
      </w:r>
    </w:p>
    <w:p>
      <w:pPr>
        <w:pStyle w:val="BodyText"/>
        <w:spacing w:line="259" w:lineRule="auto"/>
        <w:ind w:left="103" w:right="115" w:firstLine="567"/>
        <w:jc w:val="both"/>
      </w:pPr>
      <w:r>
        <w:rPr>
          <w:color w:val="231F20"/>
          <w:spacing w:val="-6"/>
          <w:w w:val="105"/>
        </w:rPr>
        <w:t>Por</w:t>
      </w:r>
      <w:r>
        <w:rPr>
          <w:color w:val="231F20"/>
          <w:spacing w:val="-22"/>
          <w:w w:val="105"/>
        </w:rPr>
        <w:t> </w:t>
      </w:r>
      <w:r>
        <w:rPr>
          <w:color w:val="231F20"/>
          <w:w w:val="105"/>
        </w:rPr>
        <w:t>el</w:t>
      </w:r>
      <w:r>
        <w:rPr>
          <w:color w:val="231F20"/>
          <w:spacing w:val="-22"/>
          <w:w w:val="105"/>
        </w:rPr>
        <w:t> </w:t>
      </w:r>
      <w:r>
        <w:rPr>
          <w:color w:val="231F20"/>
          <w:w w:val="105"/>
        </w:rPr>
        <w:t>carácter</w:t>
      </w:r>
      <w:r>
        <w:rPr>
          <w:color w:val="231F20"/>
          <w:spacing w:val="-22"/>
          <w:w w:val="105"/>
        </w:rPr>
        <w:t> </w:t>
      </w:r>
      <w:r>
        <w:rPr>
          <w:color w:val="231F20"/>
          <w:w w:val="105"/>
        </w:rPr>
        <w:t>público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universidades,</w:t>
      </w:r>
      <w:r>
        <w:rPr>
          <w:color w:val="231F20"/>
          <w:spacing w:val="-28"/>
          <w:w w:val="105"/>
        </w:rPr>
        <w:t> </w:t>
      </w:r>
      <w:r>
        <w:rPr>
          <w:color w:val="231F20"/>
          <w:w w:val="105"/>
        </w:rPr>
        <w:t>el</w:t>
      </w:r>
      <w:r>
        <w:rPr>
          <w:color w:val="231F20"/>
          <w:spacing w:val="-22"/>
          <w:w w:val="105"/>
        </w:rPr>
        <w:t> </w:t>
      </w:r>
      <w:r>
        <w:rPr>
          <w:color w:val="231F20"/>
          <w:w w:val="105"/>
        </w:rPr>
        <w:t>principal</w:t>
      </w:r>
      <w:r>
        <w:rPr>
          <w:color w:val="231F20"/>
          <w:spacing w:val="-22"/>
          <w:w w:val="105"/>
        </w:rPr>
        <w:t> </w:t>
      </w:r>
      <w:r>
        <w:rPr>
          <w:color w:val="231F20"/>
          <w:w w:val="105"/>
        </w:rPr>
        <w:t>impacto</w:t>
      </w:r>
      <w:r>
        <w:rPr>
          <w:color w:val="231F20"/>
          <w:spacing w:val="-22"/>
          <w:w w:val="105"/>
        </w:rPr>
        <w:t> </w:t>
      </w:r>
      <w:r>
        <w:rPr>
          <w:color w:val="231F20"/>
          <w:w w:val="105"/>
        </w:rPr>
        <w:t>de estas</w:t>
      </w:r>
      <w:r>
        <w:rPr>
          <w:color w:val="231F20"/>
          <w:spacing w:val="-17"/>
          <w:w w:val="105"/>
        </w:rPr>
        <w:t> </w:t>
      </w:r>
      <w:r>
        <w:rPr>
          <w:color w:val="231F20"/>
          <w:w w:val="105"/>
        </w:rPr>
        <w:t>instituciones</w:t>
      </w:r>
      <w:r>
        <w:rPr>
          <w:color w:val="231F20"/>
          <w:spacing w:val="-17"/>
          <w:w w:val="105"/>
        </w:rPr>
        <w:t> </w:t>
      </w:r>
      <w:r>
        <w:rPr>
          <w:color w:val="231F20"/>
          <w:w w:val="105"/>
        </w:rPr>
        <w:t>no</w:t>
      </w:r>
      <w:r>
        <w:rPr>
          <w:color w:val="231F20"/>
          <w:spacing w:val="-17"/>
          <w:w w:val="105"/>
        </w:rPr>
        <w:t> </w:t>
      </w:r>
      <w:r>
        <w:rPr>
          <w:color w:val="231F20"/>
          <w:w w:val="105"/>
        </w:rPr>
        <w:t>se</w:t>
      </w:r>
      <w:r>
        <w:rPr>
          <w:color w:val="231F20"/>
          <w:spacing w:val="-17"/>
          <w:w w:val="105"/>
        </w:rPr>
        <w:t> </w:t>
      </w:r>
      <w:r>
        <w:rPr>
          <w:color w:val="231F20"/>
          <w:w w:val="105"/>
        </w:rPr>
        <w:t>encuentra</w:t>
      </w:r>
      <w:r>
        <w:rPr>
          <w:color w:val="231F20"/>
          <w:spacing w:val="-17"/>
          <w:w w:val="105"/>
        </w:rPr>
        <w:t> </w:t>
      </w:r>
      <w:r>
        <w:rPr>
          <w:color w:val="231F20"/>
          <w:w w:val="105"/>
        </w:rPr>
        <w:t>meramente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producto</w:t>
      </w:r>
      <w:r>
        <w:rPr>
          <w:color w:val="231F20"/>
          <w:spacing w:val="-17"/>
          <w:w w:val="105"/>
        </w:rPr>
        <w:t> </w:t>
      </w:r>
      <w:r>
        <w:rPr>
          <w:color w:val="231F20"/>
          <w:w w:val="105"/>
        </w:rPr>
        <w:t>o</w:t>
      </w:r>
      <w:r>
        <w:rPr>
          <w:color w:val="231F20"/>
          <w:spacing w:val="-17"/>
          <w:w w:val="105"/>
        </w:rPr>
        <w:t> </w:t>
      </w:r>
      <w:r>
        <w:rPr>
          <w:color w:val="231F20"/>
          <w:w w:val="105"/>
        </w:rPr>
        <w:t>servicio que</w:t>
      </w:r>
      <w:r>
        <w:rPr>
          <w:color w:val="231F20"/>
          <w:spacing w:val="-10"/>
          <w:w w:val="105"/>
        </w:rPr>
        <w:t> </w:t>
      </w:r>
      <w:r>
        <w:rPr>
          <w:color w:val="231F20"/>
          <w:w w:val="105"/>
        </w:rPr>
        <w:t>brindan,</w:t>
      </w:r>
      <w:r>
        <w:rPr>
          <w:color w:val="231F20"/>
          <w:spacing w:val="-17"/>
          <w:w w:val="105"/>
        </w:rPr>
        <w:t> </w:t>
      </w:r>
      <w:r>
        <w:rPr>
          <w:color w:val="231F20"/>
          <w:w w:val="105"/>
        </w:rPr>
        <w:t>sino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beneficio</w:t>
      </w:r>
      <w:r>
        <w:rPr>
          <w:color w:val="231F20"/>
          <w:spacing w:val="-10"/>
          <w:w w:val="105"/>
        </w:rPr>
        <w:t> </w:t>
      </w:r>
      <w:r>
        <w:rPr>
          <w:color w:val="231F20"/>
          <w:w w:val="105"/>
        </w:rPr>
        <w:t>social</w:t>
      </w:r>
      <w:r>
        <w:rPr>
          <w:color w:val="231F20"/>
          <w:spacing w:val="-10"/>
          <w:w w:val="105"/>
        </w:rPr>
        <w:t> </w:t>
      </w:r>
      <w:r>
        <w:rPr>
          <w:color w:val="231F20"/>
          <w:w w:val="105"/>
        </w:rPr>
        <w:t>que</w:t>
      </w:r>
      <w:r>
        <w:rPr>
          <w:color w:val="231F20"/>
          <w:spacing w:val="-10"/>
          <w:w w:val="105"/>
        </w:rPr>
        <w:t> </w:t>
      </w:r>
      <w:r>
        <w:rPr>
          <w:color w:val="231F20"/>
          <w:w w:val="105"/>
        </w:rPr>
        <w:t>generan.</w:t>
      </w:r>
    </w:p>
    <w:p>
      <w:pPr>
        <w:spacing w:line="249" w:lineRule="auto" w:before="162"/>
        <w:ind w:left="103" w:right="1203" w:firstLine="0"/>
        <w:jc w:val="left"/>
        <w:rPr>
          <w:i/>
          <w:sz w:val="21"/>
        </w:rPr>
      </w:pPr>
      <w:r>
        <w:rPr>
          <w:i/>
          <w:color w:val="231F20"/>
          <w:spacing w:val="-4"/>
          <w:w w:val="105"/>
          <w:sz w:val="21"/>
        </w:rPr>
        <w:t>Teoría</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la</w:t>
      </w:r>
      <w:r>
        <w:rPr>
          <w:i/>
          <w:color w:val="231F20"/>
          <w:spacing w:val="-23"/>
          <w:w w:val="105"/>
          <w:sz w:val="21"/>
        </w:rPr>
        <w:t> </w:t>
      </w:r>
      <w:r>
        <w:rPr>
          <w:i/>
          <w:color w:val="231F20"/>
          <w:w w:val="105"/>
          <w:sz w:val="21"/>
        </w:rPr>
        <w:t>dependencia</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los</w:t>
      </w:r>
      <w:r>
        <w:rPr>
          <w:i/>
          <w:color w:val="231F20"/>
          <w:spacing w:val="-23"/>
          <w:w w:val="105"/>
          <w:sz w:val="21"/>
        </w:rPr>
        <w:t> </w:t>
      </w:r>
      <w:r>
        <w:rPr>
          <w:i/>
          <w:color w:val="231F20"/>
          <w:w w:val="105"/>
          <w:sz w:val="21"/>
        </w:rPr>
        <w:t>recursos</w:t>
      </w:r>
      <w:r>
        <w:rPr>
          <w:i/>
          <w:color w:val="231F20"/>
          <w:spacing w:val="-23"/>
          <w:w w:val="105"/>
          <w:sz w:val="21"/>
        </w:rPr>
        <w:t> </w:t>
      </w:r>
      <w:r>
        <w:rPr>
          <w:i/>
          <w:color w:val="231F20"/>
          <w:w w:val="105"/>
          <w:sz w:val="21"/>
        </w:rPr>
        <w:t>y</w:t>
      </w:r>
      <w:r>
        <w:rPr>
          <w:i/>
          <w:color w:val="231F20"/>
          <w:spacing w:val="-23"/>
          <w:w w:val="105"/>
          <w:sz w:val="21"/>
        </w:rPr>
        <w:t> </w:t>
      </w:r>
      <w:r>
        <w:rPr>
          <w:i/>
          <w:color w:val="231F20"/>
          <w:w w:val="105"/>
          <w:sz w:val="21"/>
        </w:rPr>
        <w:t>teoría</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recursos </w:t>
      </w:r>
      <w:r>
        <w:rPr>
          <w:i/>
          <w:color w:val="231F20"/>
          <w:sz w:val="21"/>
        </w:rPr>
        <w:t>y</w:t>
      </w:r>
      <w:r>
        <w:rPr>
          <w:i/>
          <w:color w:val="231F20"/>
          <w:spacing w:val="23"/>
          <w:sz w:val="21"/>
        </w:rPr>
        <w:t> </w:t>
      </w:r>
      <w:r>
        <w:rPr>
          <w:i/>
          <w:color w:val="231F20"/>
          <w:sz w:val="21"/>
        </w:rPr>
        <w:t>capacidades</w:t>
      </w:r>
    </w:p>
    <w:p>
      <w:pPr>
        <w:pStyle w:val="BodyText"/>
        <w:spacing w:line="259" w:lineRule="auto" w:before="179"/>
        <w:ind w:left="103" w:right="114"/>
        <w:jc w:val="both"/>
      </w:pPr>
      <w:r>
        <w:rPr>
          <w:color w:val="231F20"/>
          <w:w w:val="105"/>
        </w:rPr>
        <w:t>Como extensión de lo anterior, el desempeño organizacional ha sido estudiado desde dos perspectivas. </w:t>
      </w:r>
      <w:r>
        <w:rPr>
          <w:color w:val="231F20"/>
          <w:spacing w:val="-3"/>
          <w:w w:val="105"/>
        </w:rPr>
        <w:t>Primero, </w:t>
      </w:r>
      <w:r>
        <w:rPr>
          <w:color w:val="231F20"/>
          <w:w w:val="105"/>
        </w:rPr>
        <w:t>la relación entre la organi- zación y su entorno externo; segundo, el funcionamiento interno de la organización </w:t>
      </w:r>
      <w:r>
        <w:rPr>
          <w:color w:val="231F20"/>
          <w:spacing w:val="-4"/>
          <w:w w:val="105"/>
        </w:rPr>
        <w:t>(Yorke, </w:t>
      </w:r>
      <w:r>
        <w:rPr>
          <w:color w:val="231F20"/>
          <w:w w:val="105"/>
        </w:rPr>
        <w:t>1987). El primer caso incluye trabajos como el de Etzioni</w:t>
      </w:r>
      <w:r>
        <w:rPr>
          <w:color w:val="231F20"/>
          <w:spacing w:val="-22"/>
          <w:w w:val="105"/>
        </w:rPr>
        <w:t> </w:t>
      </w:r>
      <w:r>
        <w:rPr>
          <w:color w:val="231F20"/>
          <w:w w:val="105"/>
        </w:rPr>
        <w:t>(1979),</w:t>
      </w:r>
      <w:r>
        <w:rPr>
          <w:color w:val="231F20"/>
          <w:spacing w:val="-27"/>
          <w:w w:val="105"/>
        </w:rPr>
        <w:t> </w:t>
      </w:r>
      <w:r>
        <w:rPr>
          <w:color w:val="231F20"/>
          <w:w w:val="105"/>
        </w:rPr>
        <w:t>respecto</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necesidad</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organizaciones</w:t>
      </w:r>
      <w:r>
        <w:rPr>
          <w:color w:val="231F20"/>
          <w:spacing w:val="-22"/>
          <w:w w:val="105"/>
        </w:rPr>
        <w:t> </w:t>
      </w:r>
      <w:r>
        <w:rPr>
          <w:color w:val="231F20"/>
          <w:w w:val="105"/>
        </w:rPr>
        <w:t>para</w:t>
      </w:r>
      <w:r>
        <w:rPr>
          <w:color w:val="231F20"/>
          <w:spacing w:val="-22"/>
          <w:w w:val="105"/>
        </w:rPr>
        <w:t> </w:t>
      </w:r>
      <w:r>
        <w:rPr>
          <w:color w:val="231F20"/>
          <w:w w:val="105"/>
        </w:rPr>
        <w:t>lograr objetivos establecidos mediante políticas oficiales (externas); Keeley (1984)</w:t>
      </w:r>
      <w:r>
        <w:rPr>
          <w:color w:val="231F20"/>
          <w:spacing w:val="-8"/>
          <w:w w:val="105"/>
        </w:rPr>
        <w:t> </w:t>
      </w:r>
      <w:r>
        <w:rPr>
          <w:color w:val="231F20"/>
          <w:w w:val="105"/>
        </w:rPr>
        <w:t>menciona</w:t>
      </w:r>
      <w:r>
        <w:rPr>
          <w:color w:val="231F20"/>
          <w:spacing w:val="-8"/>
          <w:w w:val="105"/>
        </w:rPr>
        <w:t> </w:t>
      </w:r>
      <w:r>
        <w:rPr>
          <w:color w:val="231F20"/>
          <w:w w:val="105"/>
        </w:rPr>
        <w:t>la</w:t>
      </w:r>
      <w:r>
        <w:rPr>
          <w:color w:val="231F20"/>
          <w:spacing w:val="-8"/>
          <w:w w:val="105"/>
        </w:rPr>
        <w:t> </w:t>
      </w:r>
      <w:r>
        <w:rPr>
          <w:color w:val="231F20"/>
          <w:w w:val="105"/>
        </w:rPr>
        <w:t>retribución</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organización</w:t>
      </w:r>
      <w:r>
        <w:rPr>
          <w:color w:val="231F20"/>
          <w:spacing w:val="-8"/>
          <w:w w:val="105"/>
        </w:rPr>
        <w:t> </w:t>
      </w:r>
      <w:r>
        <w:rPr>
          <w:color w:val="231F20"/>
          <w:w w:val="105"/>
        </w:rPr>
        <w:t>debe</w:t>
      </w:r>
      <w:r>
        <w:rPr>
          <w:color w:val="231F20"/>
          <w:spacing w:val="-8"/>
          <w:w w:val="105"/>
        </w:rPr>
        <w:t> </w:t>
      </w:r>
      <w:r>
        <w:rPr>
          <w:color w:val="231F20"/>
          <w:w w:val="105"/>
        </w:rPr>
        <w:t>hacer</w:t>
      </w:r>
      <w:r>
        <w:rPr>
          <w:color w:val="231F20"/>
          <w:spacing w:val="-8"/>
          <w:w w:val="105"/>
        </w:rPr>
        <w:t> </w:t>
      </w:r>
      <w:r>
        <w:rPr>
          <w:color w:val="231F20"/>
          <w:w w:val="105"/>
        </w:rPr>
        <w:t>al</w:t>
      </w:r>
      <w:r>
        <w:rPr>
          <w:color w:val="231F20"/>
          <w:spacing w:val="-8"/>
          <w:w w:val="105"/>
        </w:rPr>
        <w:t> </w:t>
      </w:r>
      <w:r>
        <w:rPr>
          <w:color w:val="231F20"/>
          <w:w w:val="105"/>
        </w:rPr>
        <w:t>entor- no donde opera, lo cual deriva en los modelos actuales de responsabi- lidad</w:t>
      </w:r>
      <w:r>
        <w:rPr>
          <w:color w:val="231F20"/>
          <w:spacing w:val="-5"/>
          <w:w w:val="105"/>
        </w:rPr>
        <w:t> </w:t>
      </w:r>
      <w:r>
        <w:rPr>
          <w:color w:val="231F20"/>
          <w:w w:val="105"/>
        </w:rPr>
        <w:t>social;</w:t>
      </w:r>
      <w:r>
        <w:rPr>
          <w:color w:val="231F20"/>
          <w:spacing w:val="-5"/>
          <w:w w:val="105"/>
        </w:rPr>
        <w:t> </w:t>
      </w:r>
      <w:r>
        <w:rPr>
          <w:color w:val="231F20"/>
          <w:spacing w:val="-4"/>
          <w:w w:val="105"/>
        </w:rPr>
        <w:t>y,</w:t>
      </w:r>
      <w:r>
        <w:rPr>
          <w:color w:val="231F20"/>
          <w:spacing w:val="-14"/>
          <w:w w:val="105"/>
        </w:rPr>
        <w:t> </w:t>
      </w:r>
      <w:r>
        <w:rPr>
          <w:color w:val="231F20"/>
          <w:spacing w:val="-3"/>
          <w:w w:val="105"/>
        </w:rPr>
        <w:t>Yuchtman</w:t>
      </w:r>
      <w:r>
        <w:rPr>
          <w:color w:val="231F20"/>
          <w:spacing w:val="-5"/>
          <w:w w:val="105"/>
        </w:rPr>
        <w:t> </w:t>
      </w:r>
      <w:r>
        <w:rPr>
          <w:color w:val="231F20"/>
          <w:w w:val="105"/>
        </w:rPr>
        <w:t>y</w:t>
      </w:r>
      <w:r>
        <w:rPr>
          <w:color w:val="231F20"/>
          <w:spacing w:val="-5"/>
          <w:w w:val="105"/>
        </w:rPr>
        <w:t> </w:t>
      </w:r>
      <w:r>
        <w:rPr>
          <w:color w:val="231F20"/>
          <w:w w:val="105"/>
        </w:rPr>
        <w:t>Seashore</w:t>
      </w:r>
      <w:r>
        <w:rPr>
          <w:color w:val="231F20"/>
          <w:spacing w:val="-5"/>
          <w:w w:val="105"/>
        </w:rPr>
        <w:t> </w:t>
      </w:r>
      <w:r>
        <w:rPr>
          <w:color w:val="231F20"/>
          <w:w w:val="105"/>
        </w:rPr>
        <w:t>(1967)</w:t>
      </w:r>
      <w:r>
        <w:rPr>
          <w:color w:val="231F20"/>
          <w:spacing w:val="-5"/>
          <w:w w:val="105"/>
        </w:rPr>
        <w:t> </w:t>
      </w:r>
      <w:r>
        <w:rPr>
          <w:color w:val="231F20"/>
          <w:w w:val="105"/>
        </w:rPr>
        <w:t>enfatizan</w:t>
      </w:r>
      <w:r>
        <w:rPr>
          <w:color w:val="231F20"/>
          <w:spacing w:val="-5"/>
          <w:w w:val="105"/>
        </w:rPr>
        <w:t> </w:t>
      </w:r>
      <w:r>
        <w:rPr>
          <w:color w:val="231F20"/>
          <w:w w:val="105"/>
        </w:rPr>
        <w:t>la</w:t>
      </w:r>
      <w:r>
        <w:rPr>
          <w:color w:val="231F20"/>
          <w:spacing w:val="-5"/>
          <w:w w:val="105"/>
        </w:rPr>
        <w:t> </w:t>
      </w:r>
      <w:r>
        <w:rPr>
          <w:color w:val="231F20"/>
          <w:w w:val="105"/>
        </w:rPr>
        <w:t>necesidad</w:t>
      </w:r>
      <w:r>
        <w:rPr>
          <w:color w:val="231F20"/>
          <w:spacing w:val="-5"/>
          <w:w w:val="105"/>
        </w:rPr>
        <w:t> </w:t>
      </w:r>
      <w:r>
        <w:rPr>
          <w:color w:val="231F20"/>
          <w:w w:val="105"/>
        </w:rPr>
        <w:t>que tiene la organización de adquirir recursos del ambiente para operar, lo cual</w:t>
      </w:r>
      <w:r>
        <w:rPr>
          <w:color w:val="231F20"/>
          <w:spacing w:val="-19"/>
          <w:w w:val="105"/>
        </w:rPr>
        <w:t> </w:t>
      </w:r>
      <w:r>
        <w:rPr>
          <w:color w:val="231F20"/>
          <w:w w:val="105"/>
        </w:rPr>
        <w:t>configura</w:t>
      </w:r>
      <w:r>
        <w:rPr>
          <w:color w:val="231F20"/>
          <w:spacing w:val="-19"/>
          <w:w w:val="105"/>
        </w:rPr>
        <w:t> </w:t>
      </w:r>
      <w:r>
        <w:rPr>
          <w:color w:val="231F20"/>
          <w:w w:val="105"/>
        </w:rPr>
        <w:t>la</w:t>
      </w:r>
      <w:r>
        <w:rPr>
          <w:color w:val="231F20"/>
          <w:spacing w:val="-19"/>
          <w:w w:val="105"/>
        </w:rPr>
        <w:t> </w:t>
      </w:r>
      <w:r>
        <w:rPr>
          <w:color w:val="231F20"/>
          <w:w w:val="105"/>
        </w:rPr>
        <w:t>teoría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Dependencia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(Pfeffer</w:t>
      </w:r>
      <w:r>
        <w:rPr>
          <w:color w:val="231F20"/>
          <w:spacing w:val="-19"/>
          <w:w w:val="105"/>
        </w:rPr>
        <w:t> </w:t>
      </w:r>
      <w:r>
        <w:rPr>
          <w:color w:val="231F20"/>
          <w:w w:val="105"/>
        </w:rPr>
        <w:t>y</w:t>
      </w:r>
      <w:r>
        <w:rPr>
          <w:color w:val="231F20"/>
          <w:spacing w:val="-19"/>
          <w:w w:val="105"/>
        </w:rPr>
        <w:t> </w:t>
      </w:r>
      <w:r>
        <w:rPr>
          <w:color w:val="231F20"/>
          <w:w w:val="105"/>
        </w:rPr>
        <w:t>Sa- </w:t>
      </w:r>
      <w:r>
        <w:rPr>
          <w:color w:val="231F20"/>
        </w:rPr>
        <w:t>lancik,</w:t>
      </w:r>
      <w:r>
        <w:rPr>
          <w:color w:val="231F20"/>
          <w:spacing w:val="7"/>
        </w:rPr>
        <w:t> </w:t>
      </w:r>
      <w:r>
        <w:rPr>
          <w:color w:val="231F20"/>
        </w:rPr>
        <w:t>1978).</w:t>
      </w:r>
    </w:p>
    <w:p>
      <w:pPr>
        <w:pStyle w:val="BodyText"/>
        <w:spacing w:line="259" w:lineRule="auto"/>
        <w:ind w:left="103" w:right="110" w:firstLine="567"/>
        <w:jc w:val="both"/>
      </w:pPr>
      <w:r>
        <w:rPr>
          <w:color w:val="231F20"/>
        </w:rPr>
        <w:t>En segundo lugar, el desempeño organizacional se enfoca a los procesos internos de la organización (Pfeffer, 1977), la satisfacción de los integrantes (Georgiou, 1973) y los recursos y capacidades que controla (Barney, 1991a; Barney, Ketchen y Wright, 2011; Peteraf, 1993). La teoría de recursos y capacidades se ha convertido en una de las más influyen- tes y citadas dentro de la literatura de gestión estratégica (Kraaijenbrink, Spender y Groen, 2010).</w:t>
      </w:r>
    </w:p>
    <w:p>
      <w:pPr>
        <w:pStyle w:val="BodyText"/>
        <w:spacing w:line="259" w:lineRule="auto"/>
        <w:ind w:left="103" w:right="114" w:firstLine="567"/>
        <w:jc w:val="both"/>
      </w:pPr>
      <w:r>
        <w:rPr>
          <w:color w:val="231F20"/>
          <w:w w:val="105"/>
        </w:rPr>
        <w:t>Siguiendo</w:t>
      </w:r>
      <w:r>
        <w:rPr>
          <w:color w:val="231F20"/>
          <w:spacing w:val="-14"/>
          <w:w w:val="105"/>
        </w:rPr>
        <w:t> </w:t>
      </w:r>
      <w:r>
        <w:rPr>
          <w:color w:val="231F20"/>
          <w:w w:val="105"/>
        </w:rPr>
        <w:t>el</w:t>
      </w:r>
      <w:r>
        <w:rPr>
          <w:color w:val="231F20"/>
          <w:spacing w:val="-14"/>
          <w:w w:val="105"/>
        </w:rPr>
        <w:t> </w:t>
      </w:r>
      <w:r>
        <w:rPr>
          <w:color w:val="231F20"/>
          <w:w w:val="105"/>
        </w:rPr>
        <w:t>trabajo</w:t>
      </w:r>
      <w:r>
        <w:rPr>
          <w:color w:val="231F20"/>
          <w:spacing w:val="-14"/>
          <w:w w:val="105"/>
        </w:rPr>
        <w:t> </w:t>
      </w:r>
      <w:r>
        <w:rPr>
          <w:color w:val="231F20"/>
          <w:w w:val="105"/>
        </w:rPr>
        <w:t>de</w:t>
      </w:r>
      <w:r>
        <w:rPr>
          <w:color w:val="231F20"/>
          <w:spacing w:val="-14"/>
          <w:w w:val="105"/>
        </w:rPr>
        <w:t> </w:t>
      </w:r>
      <w:r>
        <w:rPr>
          <w:color w:val="231F20"/>
          <w:spacing w:val="-3"/>
          <w:w w:val="105"/>
        </w:rPr>
        <w:t>Penrose</w:t>
      </w:r>
      <w:r>
        <w:rPr>
          <w:color w:val="231F20"/>
          <w:spacing w:val="-14"/>
          <w:w w:val="105"/>
        </w:rPr>
        <w:t> </w:t>
      </w:r>
      <w:r>
        <w:rPr>
          <w:color w:val="231F20"/>
          <w:w w:val="105"/>
        </w:rPr>
        <w:t>(1959),</w:t>
      </w:r>
      <w:r>
        <w:rPr>
          <w:color w:val="231F20"/>
          <w:spacing w:val="-22"/>
          <w:w w:val="105"/>
        </w:rPr>
        <w:t> </w:t>
      </w:r>
      <w:r>
        <w:rPr>
          <w:color w:val="231F20"/>
          <w:w w:val="105"/>
        </w:rPr>
        <w:t>Wernerfelt</w:t>
      </w:r>
      <w:r>
        <w:rPr>
          <w:color w:val="231F20"/>
          <w:spacing w:val="-14"/>
          <w:w w:val="105"/>
        </w:rPr>
        <w:t> </w:t>
      </w:r>
      <w:r>
        <w:rPr>
          <w:color w:val="231F20"/>
          <w:w w:val="105"/>
        </w:rPr>
        <w:t>(1984)</w:t>
      </w:r>
      <w:r>
        <w:rPr>
          <w:color w:val="231F20"/>
          <w:spacing w:val="-14"/>
          <w:w w:val="105"/>
        </w:rPr>
        <w:t> </w:t>
      </w:r>
      <w:r>
        <w:rPr>
          <w:color w:val="231F20"/>
          <w:w w:val="105"/>
        </w:rPr>
        <w:t>introdu- jo</w:t>
      </w:r>
      <w:r>
        <w:rPr>
          <w:color w:val="231F20"/>
          <w:spacing w:val="-6"/>
          <w:w w:val="105"/>
        </w:rPr>
        <w:t> </w:t>
      </w:r>
      <w:r>
        <w:rPr>
          <w:color w:val="231F20"/>
          <w:w w:val="105"/>
        </w:rPr>
        <w:t>la</w:t>
      </w:r>
      <w:r>
        <w:rPr>
          <w:color w:val="231F20"/>
          <w:spacing w:val="-6"/>
          <w:w w:val="105"/>
        </w:rPr>
        <w:t> </w:t>
      </w:r>
      <w:r>
        <w:rPr>
          <w:color w:val="231F20"/>
          <w:w w:val="105"/>
        </w:rPr>
        <w:t>noción</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las</w:t>
      </w:r>
      <w:r>
        <w:rPr>
          <w:color w:val="231F20"/>
          <w:spacing w:val="-6"/>
          <w:w w:val="105"/>
        </w:rPr>
        <w:t> </w:t>
      </w:r>
      <w:r>
        <w:rPr>
          <w:color w:val="231F20"/>
          <w:w w:val="105"/>
        </w:rPr>
        <w:t>organizaciones</w:t>
      </w:r>
      <w:r>
        <w:rPr>
          <w:color w:val="231F20"/>
          <w:spacing w:val="-6"/>
          <w:w w:val="105"/>
        </w:rPr>
        <w:t> </w:t>
      </w:r>
      <w:r>
        <w:rPr>
          <w:color w:val="231F20"/>
          <w:w w:val="105"/>
        </w:rPr>
        <w:t>deben</w:t>
      </w:r>
      <w:r>
        <w:rPr>
          <w:color w:val="231F20"/>
          <w:spacing w:val="-6"/>
          <w:w w:val="105"/>
        </w:rPr>
        <w:t> </w:t>
      </w:r>
      <w:r>
        <w:rPr>
          <w:color w:val="231F20"/>
          <w:w w:val="105"/>
        </w:rPr>
        <w:t>ser</w:t>
      </w:r>
      <w:r>
        <w:rPr>
          <w:color w:val="231F20"/>
          <w:spacing w:val="-6"/>
          <w:w w:val="105"/>
        </w:rPr>
        <w:t> </w:t>
      </w:r>
      <w:r>
        <w:rPr>
          <w:color w:val="231F20"/>
          <w:w w:val="105"/>
        </w:rPr>
        <w:t>analizadas</w:t>
      </w:r>
      <w:r>
        <w:rPr>
          <w:color w:val="231F20"/>
          <w:spacing w:val="-6"/>
          <w:w w:val="105"/>
        </w:rPr>
        <w:t> </w:t>
      </w:r>
      <w:r>
        <w:rPr>
          <w:color w:val="231F20"/>
          <w:w w:val="105"/>
        </w:rPr>
        <w:t>desde</w:t>
      </w:r>
      <w:r>
        <w:rPr>
          <w:color w:val="231F20"/>
          <w:spacing w:val="-6"/>
          <w:w w:val="105"/>
        </w:rPr>
        <w:t> </w:t>
      </w:r>
      <w:r>
        <w:rPr>
          <w:color w:val="231F20"/>
          <w:w w:val="105"/>
        </w:rPr>
        <w:t>dos ángulos:</w:t>
      </w:r>
      <w:r>
        <w:rPr>
          <w:color w:val="231F20"/>
          <w:spacing w:val="-19"/>
          <w:w w:val="105"/>
        </w:rPr>
        <w:t> </w:t>
      </w:r>
      <w:r>
        <w:rPr>
          <w:color w:val="231F20"/>
          <w:w w:val="105"/>
        </w:rPr>
        <w:t>el</w:t>
      </w:r>
      <w:r>
        <w:rPr>
          <w:color w:val="231F20"/>
          <w:spacing w:val="-19"/>
          <w:w w:val="105"/>
        </w:rPr>
        <w:t> </w:t>
      </w:r>
      <w:r>
        <w:rPr>
          <w:color w:val="231F20"/>
          <w:w w:val="105"/>
        </w:rPr>
        <w:t>lado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productos</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26"/>
          <w:w w:val="105"/>
        </w:rPr>
        <w:t> </w:t>
      </w:r>
      <w:r>
        <w:rPr>
          <w:color w:val="231F20"/>
          <w:w w:val="105"/>
        </w:rPr>
        <w:t>los</w:t>
      </w:r>
      <w:r>
        <w:rPr>
          <w:color w:val="231F20"/>
          <w:spacing w:val="-19"/>
          <w:w w:val="105"/>
        </w:rPr>
        <w:t> </w:t>
      </w:r>
      <w:r>
        <w:rPr>
          <w:color w:val="231F20"/>
          <w:w w:val="105"/>
        </w:rPr>
        <w:t>cuales</w:t>
      </w:r>
      <w:r>
        <w:rPr>
          <w:color w:val="231F20"/>
          <w:spacing w:val="-19"/>
          <w:w w:val="105"/>
        </w:rPr>
        <w:t> </w:t>
      </w:r>
      <w:r>
        <w:rPr>
          <w:color w:val="231F20"/>
          <w:w w:val="105"/>
        </w:rPr>
        <w:t>son</w:t>
      </w:r>
      <w:r>
        <w:rPr>
          <w:color w:val="231F20"/>
          <w:spacing w:val="-19"/>
          <w:w w:val="105"/>
        </w:rPr>
        <w:t> </w:t>
      </w:r>
      <w:r>
        <w:rPr>
          <w:color w:val="231F20"/>
          <w:spacing w:val="-3"/>
          <w:w w:val="105"/>
        </w:rPr>
        <w:t>“dos </w:t>
      </w:r>
      <w:r>
        <w:rPr>
          <w:color w:val="231F20"/>
          <w:w w:val="105"/>
        </w:rPr>
        <w:t>caras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misma</w:t>
      </w:r>
      <w:r>
        <w:rPr>
          <w:color w:val="231F20"/>
          <w:spacing w:val="-9"/>
          <w:w w:val="105"/>
        </w:rPr>
        <w:t> </w:t>
      </w:r>
      <w:r>
        <w:rPr>
          <w:color w:val="231F20"/>
          <w:w w:val="105"/>
        </w:rPr>
        <w:t>moneda”</w:t>
      </w:r>
      <w:r>
        <w:rPr>
          <w:color w:val="231F20"/>
          <w:spacing w:val="-9"/>
          <w:w w:val="105"/>
        </w:rPr>
        <w:t> </w:t>
      </w:r>
      <w:r>
        <w:rPr>
          <w:color w:val="231F20"/>
          <w:w w:val="105"/>
        </w:rPr>
        <w:t>con</w:t>
      </w:r>
      <w:r>
        <w:rPr>
          <w:color w:val="231F20"/>
          <w:spacing w:val="-9"/>
          <w:w w:val="105"/>
        </w:rPr>
        <w:t> </w:t>
      </w:r>
      <w:r>
        <w:rPr>
          <w:color w:val="231F20"/>
          <w:w w:val="105"/>
        </w:rPr>
        <w:t>implicaciones</w:t>
      </w:r>
      <w:r>
        <w:rPr>
          <w:color w:val="231F20"/>
          <w:spacing w:val="-9"/>
          <w:w w:val="105"/>
        </w:rPr>
        <w:t> </w:t>
      </w:r>
      <w:r>
        <w:rPr>
          <w:color w:val="231F20"/>
          <w:w w:val="105"/>
        </w:rPr>
        <w:t>estratégicas</w:t>
      </w:r>
      <w:r>
        <w:rPr>
          <w:color w:val="231F20"/>
          <w:spacing w:val="-9"/>
          <w:w w:val="105"/>
        </w:rPr>
        <w:t> </w:t>
      </w:r>
      <w:r>
        <w:rPr>
          <w:color w:val="231F20"/>
          <w:w w:val="105"/>
        </w:rPr>
        <w:t>en</w:t>
      </w:r>
      <w:r>
        <w:rPr>
          <w:color w:val="231F20"/>
          <w:spacing w:val="-9"/>
          <w:w w:val="105"/>
        </w:rPr>
        <w:t> </w:t>
      </w:r>
      <w:r>
        <w:rPr>
          <w:color w:val="231F20"/>
          <w:w w:val="105"/>
        </w:rPr>
        <w:t>términos de</w:t>
      </w:r>
      <w:r>
        <w:rPr>
          <w:color w:val="231F20"/>
          <w:spacing w:val="-16"/>
          <w:w w:val="105"/>
        </w:rPr>
        <w:t> </w:t>
      </w:r>
      <w:r>
        <w:rPr>
          <w:color w:val="231F20"/>
          <w:w w:val="105"/>
        </w:rPr>
        <w:t>la</w:t>
      </w:r>
      <w:r>
        <w:rPr>
          <w:color w:val="231F20"/>
          <w:spacing w:val="-16"/>
          <w:w w:val="105"/>
        </w:rPr>
        <w:t> </w:t>
      </w:r>
      <w:r>
        <w:rPr>
          <w:color w:val="231F20"/>
          <w:w w:val="105"/>
        </w:rPr>
        <w:t>obtención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ventaja</w:t>
      </w:r>
      <w:r>
        <w:rPr>
          <w:color w:val="231F20"/>
          <w:spacing w:val="-16"/>
          <w:w w:val="105"/>
        </w:rPr>
        <w:t> </w:t>
      </w:r>
      <w:r>
        <w:rPr>
          <w:color w:val="231F20"/>
          <w:w w:val="105"/>
        </w:rPr>
        <w:t>competitiva</w:t>
      </w:r>
      <w:r>
        <w:rPr>
          <w:color w:val="231F20"/>
          <w:spacing w:val="-16"/>
          <w:w w:val="105"/>
        </w:rPr>
        <w:t> </w:t>
      </w:r>
      <w:r>
        <w:rPr>
          <w:color w:val="231F20"/>
          <w:w w:val="105"/>
        </w:rPr>
        <w:t>(Kristandl</w:t>
      </w:r>
      <w:r>
        <w:rPr>
          <w:color w:val="231F20"/>
          <w:spacing w:val="-16"/>
          <w:w w:val="105"/>
        </w:rPr>
        <w:t> </w:t>
      </w:r>
      <w:r>
        <w:rPr>
          <w:color w:val="231F20"/>
          <w:w w:val="105"/>
        </w:rPr>
        <w:t>y</w:t>
      </w:r>
      <w:r>
        <w:rPr>
          <w:color w:val="231F20"/>
          <w:spacing w:val="-16"/>
          <w:w w:val="105"/>
        </w:rPr>
        <w:t> </w:t>
      </w:r>
      <w:r>
        <w:rPr>
          <w:color w:val="231F20"/>
          <w:w w:val="105"/>
        </w:rPr>
        <w:t>Bontis,</w:t>
      </w:r>
      <w:r>
        <w:rPr>
          <w:color w:val="231F20"/>
          <w:spacing w:val="-22"/>
          <w:w w:val="105"/>
        </w:rPr>
        <w:t> </w:t>
      </w:r>
      <w:r>
        <w:rPr>
          <w:color w:val="231F20"/>
          <w:w w:val="105"/>
        </w:rPr>
        <w:t>2007).</w:t>
      </w:r>
    </w:p>
    <w:p>
      <w:pPr>
        <w:pStyle w:val="BodyText"/>
        <w:spacing w:line="259" w:lineRule="auto"/>
        <w:ind w:left="103" w:right="115" w:firstLine="567"/>
        <w:jc w:val="both"/>
      </w:pPr>
      <w:r>
        <w:rPr>
          <w:color w:val="231F20"/>
          <w:w w:val="105"/>
        </w:rPr>
        <w:t>Dicha</w:t>
      </w:r>
      <w:r>
        <w:rPr>
          <w:color w:val="231F20"/>
          <w:spacing w:val="-20"/>
          <w:w w:val="105"/>
        </w:rPr>
        <w:t> </w:t>
      </w:r>
      <w:r>
        <w:rPr>
          <w:color w:val="231F20"/>
          <w:w w:val="105"/>
        </w:rPr>
        <w:t>teoría</w:t>
      </w:r>
      <w:r>
        <w:rPr>
          <w:color w:val="231F20"/>
          <w:spacing w:val="-20"/>
          <w:w w:val="105"/>
        </w:rPr>
        <w:t> </w:t>
      </w:r>
      <w:r>
        <w:rPr>
          <w:color w:val="231F20"/>
          <w:w w:val="105"/>
        </w:rPr>
        <w:t>considera</w:t>
      </w:r>
      <w:r>
        <w:rPr>
          <w:color w:val="231F20"/>
          <w:spacing w:val="-20"/>
          <w:w w:val="105"/>
        </w:rPr>
        <w:t> </w:t>
      </w:r>
      <w:r>
        <w:rPr>
          <w:color w:val="231F20"/>
          <w:w w:val="105"/>
        </w:rPr>
        <w:t>que</w:t>
      </w:r>
      <w:r>
        <w:rPr>
          <w:color w:val="231F20"/>
          <w:spacing w:val="-20"/>
          <w:w w:val="105"/>
        </w:rPr>
        <w:t> </w:t>
      </w:r>
      <w:r>
        <w:rPr>
          <w:color w:val="231F20"/>
          <w:w w:val="105"/>
        </w:rPr>
        <w:t>cada</w:t>
      </w:r>
      <w:r>
        <w:rPr>
          <w:color w:val="231F20"/>
          <w:spacing w:val="-20"/>
          <w:w w:val="105"/>
        </w:rPr>
        <w:t> </w:t>
      </w:r>
      <w:r>
        <w:rPr>
          <w:color w:val="231F20"/>
          <w:w w:val="105"/>
        </w:rPr>
        <w:t>organización</w:t>
      </w:r>
      <w:r>
        <w:rPr>
          <w:color w:val="231F20"/>
          <w:spacing w:val="-20"/>
          <w:w w:val="105"/>
        </w:rPr>
        <w:t> </w:t>
      </w:r>
      <w:r>
        <w:rPr>
          <w:color w:val="231F20"/>
          <w:w w:val="105"/>
        </w:rPr>
        <w:t>se</w:t>
      </w:r>
      <w:r>
        <w:rPr>
          <w:color w:val="231F20"/>
          <w:spacing w:val="-20"/>
          <w:w w:val="105"/>
        </w:rPr>
        <w:t> </w:t>
      </w:r>
      <w:r>
        <w:rPr>
          <w:color w:val="231F20"/>
          <w:w w:val="105"/>
        </w:rPr>
        <w:t>constituye</w:t>
      </w:r>
      <w:r>
        <w:rPr>
          <w:color w:val="231F20"/>
          <w:spacing w:val="-20"/>
          <w:w w:val="105"/>
        </w:rPr>
        <w:t> </w:t>
      </w:r>
      <w:r>
        <w:rPr>
          <w:color w:val="231F20"/>
          <w:w w:val="105"/>
        </w:rPr>
        <w:t>por</w:t>
      </w:r>
      <w:r>
        <w:rPr>
          <w:color w:val="231F20"/>
          <w:spacing w:val="-20"/>
          <w:w w:val="105"/>
        </w:rPr>
        <w:t> </w:t>
      </w:r>
      <w:r>
        <w:rPr>
          <w:color w:val="231F20"/>
          <w:w w:val="105"/>
        </w:rPr>
        <w:t>un amplio</w:t>
      </w:r>
      <w:r>
        <w:rPr>
          <w:color w:val="231F20"/>
          <w:spacing w:val="-25"/>
          <w:w w:val="105"/>
        </w:rPr>
        <w:t> </w:t>
      </w:r>
      <w:r>
        <w:rPr>
          <w:color w:val="231F20"/>
          <w:w w:val="105"/>
        </w:rPr>
        <w:t>y</w:t>
      </w:r>
      <w:r>
        <w:rPr>
          <w:color w:val="231F20"/>
          <w:spacing w:val="-25"/>
          <w:w w:val="105"/>
        </w:rPr>
        <w:t> </w:t>
      </w:r>
      <w:r>
        <w:rPr>
          <w:color w:val="231F20"/>
          <w:w w:val="105"/>
        </w:rPr>
        <w:t>diferente</w:t>
      </w:r>
      <w:r>
        <w:rPr>
          <w:color w:val="231F20"/>
          <w:spacing w:val="-25"/>
          <w:w w:val="105"/>
        </w:rPr>
        <w:t> </w:t>
      </w:r>
      <w:r>
        <w:rPr>
          <w:color w:val="231F20"/>
          <w:w w:val="105"/>
        </w:rPr>
        <w:t>conjunto</w:t>
      </w:r>
      <w:r>
        <w:rPr>
          <w:color w:val="231F20"/>
          <w:spacing w:val="-25"/>
          <w:w w:val="105"/>
        </w:rPr>
        <w:t> </w:t>
      </w:r>
      <w:r>
        <w:rPr>
          <w:color w:val="231F20"/>
          <w:w w:val="105"/>
        </w:rPr>
        <w:t>de</w:t>
      </w:r>
      <w:r>
        <w:rPr>
          <w:color w:val="231F20"/>
          <w:spacing w:val="-25"/>
          <w:w w:val="105"/>
        </w:rPr>
        <w:t> </w:t>
      </w:r>
      <w:r>
        <w:rPr>
          <w:color w:val="231F20"/>
          <w:w w:val="105"/>
        </w:rPr>
        <w:t>recursos</w:t>
      </w:r>
      <w:r>
        <w:rPr>
          <w:color w:val="231F20"/>
          <w:spacing w:val="-25"/>
          <w:w w:val="105"/>
        </w:rPr>
        <w:t> </w:t>
      </w:r>
      <w:r>
        <w:rPr>
          <w:color w:val="231F20"/>
          <w:w w:val="105"/>
        </w:rPr>
        <w:t>y</w:t>
      </w:r>
      <w:r>
        <w:rPr>
          <w:color w:val="231F20"/>
          <w:spacing w:val="-25"/>
          <w:w w:val="105"/>
        </w:rPr>
        <w:t> </w:t>
      </w:r>
      <w:r>
        <w:rPr>
          <w:color w:val="231F20"/>
          <w:w w:val="105"/>
        </w:rPr>
        <w:t>capacidades</w:t>
      </w:r>
      <w:r>
        <w:rPr>
          <w:color w:val="231F20"/>
          <w:spacing w:val="-25"/>
          <w:w w:val="105"/>
        </w:rPr>
        <w:t> </w:t>
      </w:r>
      <w:r>
        <w:rPr>
          <w:color w:val="231F20"/>
          <w:w w:val="105"/>
        </w:rPr>
        <w:t>tanto</w:t>
      </w:r>
      <w:r>
        <w:rPr>
          <w:color w:val="231F20"/>
          <w:spacing w:val="-25"/>
          <w:w w:val="105"/>
        </w:rPr>
        <w:t> </w:t>
      </w:r>
      <w:r>
        <w:rPr>
          <w:color w:val="231F20"/>
          <w:w w:val="105"/>
        </w:rPr>
        <w:t>físicos</w:t>
      </w:r>
      <w:r>
        <w:rPr>
          <w:color w:val="231F20"/>
          <w:spacing w:val="-25"/>
          <w:w w:val="105"/>
        </w:rPr>
        <w:t> </w:t>
      </w:r>
      <w:r>
        <w:rPr>
          <w:color w:val="231F20"/>
          <w:w w:val="105"/>
        </w:rPr>
        <w:t>como intangibles,</w:t>
      </w:r>
      <w:r>
        <w:rPr>
          <w:color w:val="231F20"/>
          <w:spacing w:val="-28"/>
          <w:w w:val="105"/>
        </w:rPr>
        <w:t> </w:t>
      </w:r>
      <w:r>
        <w:rPr>
          <w:color w:val="231F20"/>
          <w:w w:val="105"/>
        </w:rPr>
        <w:t>no</w:t>
      </w:r>
      <w:r>
        <w:rPr>
          <w:color w:val="231F20"/>
          <w:spacing w:val="-23"/>
          <w:w w:val="105"/>
        </w:rPr>
        <w:t> </w:t>
      </w:r>
      <w:r>
        <w:rPr>
          <w:color w:val="231F20"/>
          <w:w w:val="105"/>
        </w:rPr>
        <w:t>existiendo</w:t>
      </w:r>
      <w:r>
        <w:rPr>
          <w:color w:val="231F20"/>
          <w:spacing w:val="-23"/>
          <w:w w:val="105"/>
        </w:rPr>
        <w:t> </w:t>
      </w:r>
      <w:r>
        <w:rPr>
          <w:color w:val="231F20"/>
          <w:w w:val="105"/>
        </w:rPr>
        <w:t>por</w:t>
      </w:r>
      <w:r>
        <w:rPr>
          <w:color w:val="231F20"/>
          <w:spacing w:val="-23"/>
          <w:w w:val="105"/>
        </w:rPr>
        <w:t> </w:t>
      </w:r>
      <w:r>
        <w:rPr>
          <w:color w:val="231F20"/>
          <w:w w:val="105"/>
        </w:rPr>
        <w:t>consiguiente</w:t>
      </w:r>
      <w:r>
        <w:rPr>
          <w:color w:val="231F20"/>
          <w:spacing w:val="-23"/>
          <w:w w:val="105"/>
        </w:rPr>
        <w:t> </w:t>
      </w:r>
      <w:r>
        <w:rPr>
          <w:color w:val="231F20"/>
          <w:w w:val="105"/>
        </w:rPr>
        <w:t>dos</w:t>
      </w:r>
      <w:r>
        <w:rPr>
          <w:color w:val="231F20"/>
          <w:spacing w:val="-23"/>
          <w:w w:val="105"/>
        </w:rPr>
        <w:t> </w:t>
      </w:r>
      <w:r>
        <w:rPr>
          <w:color w:val="231F20"/>
          <w:w w:val="105"/>
        </w:rPr>
        <w:t>entidades</w:t>
      </w:r>
      <w:r>
        <w:rPr>
          <w:color w:val="231F20"/>
          <w:spacing w:val="-23"/>
          <w:w w:val="105"/>
        </w:rPr>
        <w:t> </w:t>
      </w:r>
      <w:r>
        <w:rPr>
          <w:color w:val="231F20"/>
          <w:w w:val="105"/>
        </w:rPr>
        <w:t>idénticas</w:t>
      </w:r>
      <w:r>
        <w:rPr>
          <w:color w:val="231F20"/>
          <w:spacing w:val="-23"/>
          <w:w w:val="105"/>
        </w:rPr>
        <w:t> </w:t>
      </w:r>
      <w:r>
        <w:rPr>
          <w:color w:val="231F20"/>
          <w:w w:val="105"/>
        </w:rPr>
        <w:t>(Gar- cía,</w:t>
      </w:r>
      <w:r>
        <w:rPr>
          <w:color w:val="231F20"/>
          <w:spacing w:val="-25"/>
          <w:w w:val="105"/>
        </w:rPr>
        <w:t> </w:t>
      </w:r>
      <w:r>
        <w:rPr>
          <w:color w:val="231F20"/>
          <w:w w:val="105"/>
        </w:rPr>
        <w:t>2006).</w:t>
      </w:r>
      <w:r>
        <w:rPr>
          <w:color w:val="231F20"/>
          <w:spacing w:val="-25"/>
          <w:w w:val="105"/>
        </w:rPr>
        <w:t> </w:t>
      </w:r>
      <w:r>
        <w:rPr>
          <w:color w:val="231F20"/>
          <w:w w:val="105"/>
        </w:rPr>
        <w:t>Los</w:t>
      </w:r>
      <w:r>
        <w:rPr>
          <w:color w:val="231F20"/>
          <w:spacing w:val="-20"/>
          <w:w w:val="105"/>
        </w:rPr>
        <w:t> </w:t>
      </w:r>
      <w:r>
        <w:rPr>
          <w:color w:val="231F20"/>
          <w:w w:val="105"/>
        </w:rPr>
        <w:t>supuestos</w:t>
      </w:r>
      <w:r>
        <w:rPr>
          <w:color w:val="231F20"/>
          <w:spacing w:val="-20"/>
          <w:w w:val="105"/>
        </w:rPr>
        <w:t> </w:t>
      </w:r>
      <w:r>
        <w:rPr>
          <w:color w:val="231F20"/>
          <w:w w:val="105"/>
        </w:rPr>
        <w:t>sobre</w:t>
      </w:r>
      <w:r>
        <w:rPr>
          <w:color w:val="231F20"/>
          <w:spacing w:val="-20"/>
          <w:w w:val="105"/>
        </w:rPr>
        <w:t> </w:t>
      </w:r>
      <w:r>
        <w:rPr>
          <w:color w:val="231F20"/>
          <w:w w:val="105"/>
        </w:rPr>
        <w:t>los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sustenta</w:t>
      </w:r>
      <w:r>
        <w:rPr>
          <w:color w:val="231F20"/>
          <w:spacing w:val="-20"/>
          <w:w w:val="105"/>
        </w:rPr>
        <w:t> </w:t>
      </w:r>
      <w:r>
        <w:rPr>
          <w:color w:val="231F20"/>
          <w:w w:val="105"/>
        </w:rPr>
        <w:t>son</w:t>
      </w:r>
      <w:r>
        <w:rPr>
          <w:color w:val="231F20"/>
          <w:spacing w:val="-20"/>
          <w:w w:val="105"/>
        </w:rPr>
        <w:t> </w:t>
      </w:r>
      <w:r>
        <w:rPr>
          <w:color w:val="231F20"/>
          <w:w w:val="105"/>
        </w:rPr>
        <w:t>(Barney,</w:t>
      </w:r>
      <w:r>
        <w:rPr>
          <w:color w:val="231F20"/>
          <w:spacing w:val="-25"/>
          <w:w w:val="105"/>
        </w:rPr>
        <w:t> </w:t>
      </w:r>
      <w:r>
        <w:rPr>
          <w:color w:val="231F20"/>
          <w:w w:val="105"/>
        </w:rPr>
        <w:t>1991a; Barney,</w:t>
      </w:r>
      <w:r>
        <w:rPr>
          <w:color w:val="231F20"/>
          <w:spacing w:val="-39"/>
          <w:w w:val="105"/>
        </w:rPr>
        <w:t> </w:t>
      </w:r>
      <w:r>
        <w:rPr>
          <w:color w:val="231F20"/>
          <w:w w:val="105"/>
        </w:rPr>
        <w:t>1991b;</w:t>
      </w:r>
      <w:r>
        <w:rPr>
          <w:color w:val="231F20"/>
          <w:spacing w:val="-35"/>
          <w:w w:val="105"/>
        </w:rPr>
        <w:t> </w:t>
      </w:r>
      <w:r>
        <w:rPr>
          <w:color w:val="231F20"/>
          <w:w w:val="105"/>
        </w:rPr>
        <w:t>Grant,</w:t>
      </w:r>
      <w:r>
        <w:rPr>
          <w:color w:val="231F20"/>
          <w:spacing w:val="-39"/>
          <w:w w:val="105"/>
        </w:rPr>
        <w:t> </w:t>
      </w:r>
      <w:r>
        <w:rPr>
          <w:color w:val="231F20"/>
          <w:w w:val="105"/>
        </w:rPr>
        <w:t>1996):</w:t>
      </w:r>
    </w:p>
    <w:p>
      <w:pPr>
        <w:pStyle w:val="BodyText"/>
        <w:spacing w:before="6"/>
        <w:rPr>
          <w:sz w:val="22"/>
        </w:rPr>
      </w:pPr>
    </w:p>
    <w:p>
      <w:pPr>
        <w:pStyle w:val="ListParagraph"/>
        <w:numPr>
          <w:ilvl w:val="0"/>
          <w:numId w:val="35"/>
        </w:numPr>
        <w:tabs>
          <w:tab w:pos="1315" w:val="left" w:leader="none"/>
        </w:tabs>
        <w:spacing w:line="259" w:lineRule="auto" w:before="0" w:after="0"/>
        <w:ind w:left="1314" w:right="115" w:hanging="360"/>
        <w:jc w:val="left"/>
        <w:rPr>
          <w:sz w:val="21"/>
        </w:rPr>
      </w:pPr>
      <w:r>
        <w:rPr>
          <w:color w:val="231F20"/>
          <w:w w:val="105"/>
          <w:sz w:val="21"/>
        </w:rPr>
        <w:t>Los recursos y capacidades constituyen la fuente primaria del beneficio</w:t>
      </w:r>
      <w:r>
        <w:rPr>
          <w:color w:val="231F20"/>
          <w:spacing w:val="-22"/>
          <w:w w:val="105"/>
          <w:sz w:val="21"/>
        </w:rPr>
        <w:t> </w:t>
      </w:r>
      <w:r>
        <w:rPr>
          <w:color w:val="231F20"/>
          <w:w w:val="105"/>
          <w:sz w:val="21"/>
        </w:rPr>
        <w:t>empresarial.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60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94</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045" w:right="0" w:firstLine="0"/>
        <w:jc w:val="left"/>
        <w:rPr>
          <w:sz w:val="20"/>
        </w:rPr>
      </w:pPr>
      <w:r>
        <w:rPr/>
        <w:pict>
          <v:line style="position:absolute;mso-position-horizontal-relative:page;mso-position-vertical-relative:paragraph;z-index:-244576"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7"/>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95</w:t>
      </w:r>
    </w:p>
    <w:p>
      <w:pPr>
        <w:pStyle w:val="BodyText"/>
        <w:rPr>
          <w:sz w:val="20"/>
        </w:rPr>
      </w:pPr>
    </w:p>
    <w:p>
      <w:pPr>
        <w:pStyle w:val="BodyText"/>
        <w:rPr>
          <w:sz w:val="20"/>
        </w:rPr>
      </w:pPr>
    </w:p>
    <w:p>
      <w:pPr>
        <w:pStyle w:val="ListParagraph"/>
        <w:numPr>
          <w:ilvl w:val="0"/>
          <w:numId w:val="35"/>
        </w:numPr>
        <w:tabs>
          <w:tab w:pos="1328" w:val="left" w:leader="none"/>
        </w:tabs>
        <w:spacing w:line="259" w:lineRule="auto" w:before="176" w:after="0"/>
        <w:ind w:left="1327" w:right="122" w:hanging="360"/>
        <w:jc w:val="both"/>
        <w:rPr>
          <w:sz w:val="21"/>
        </w:rPr>
      </w:pPr>
      <w:r>
        <w:rPr>
          <w:color w:val="231F20"/>
          <w:w w:val="105"/>
          <w:sz w:val="21"/>
        </w:rPr>
        <w:t>Las</w:t>
      </w:r>
      <w:r>
        <w:rPr>
          <w:color w:val="231F20"/>
          <w:spacing w:val="-16"/>
          <w:w w:val="105"/>
          <w:sz w:val="21"/>
        </w:rPr>
        <w:t> </w:t>
      </w:r>
      <w:r>
        <w:rPr>
          <w:color w:val="231F20"/>
          <w:w w:val="105"/>
          <w:sz w:val="21"/>
        </w:rPr>
        <w:t>empresas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una</w:t>
      </w:r>
      <w:r>
        <w:rPr>
          <w:color w:val="231F20"/>
          <w:spacing w:val="-16"/>
          <w:w w:val="105"/>
          <w:sz w:val="21"/>
        </w:rPr>
        <w:t> </w:t>
      </w:r>
      <w:r>
        <w:rPr>
          <w:color w:val="231F20"/>
          <w:w w:val="105"/>
          <w:sz w:val="21"/>
        </w:rPr>
        <w:t>industria</w:t>
      </w:r>
      <w:r>
        <w:rPr>
          <w:color w:val="231F20"/>
          <w:spacing w:val="-16"/>
          <w:w w:val="105"/>
          <w:sz w:val="21"/>
        </w:rPr>
        <w:t> </w:t>
      </w:r>
      <w:r>
        <w:rPr>
          <w:color w:val="231F20"/>
          <w:w w:val="105"/>
          <w:sz w:val="21"/>
        </w:rPr>
        <w:t>o</w:t>
      </w:r>
      <w:r>
        <w:rPr>
          <w:color w:val="231F20"/>
          <w:spacing w:val="-16"/>
          <w:w w:val="105"/>
          <w:sz w:val="21"/>
        </w:rPr>
        <w:t> </w:t>
      </w:r>
      <w:r>
        <w:rPr>
          <w:color w:val="231F20"/>
          <w:w w:val="105"/>
          <w:sz w:val="21"/>
        </w:rPr>
        <w:t>sector,</w:t>
      </w:r>
      <w:r>
        <w:rPr>
          <w:color w:val="231F20"/>
          <w:spacing w:val="-21"/>
          <w:w w:val="105"/>
          <w:sz w:val="21"/>
        </w:rPr>
        <w:t> </w:t>
      </w:r>
      <w:r>
        <w:rPr>
          <w:color w:val="231F20"/>
          <w:w w:val="105"/>
          <w:sz w:val="21"/>
        </w:rPr>
        <w:t>pueden</w:t>
      </w:r>
      <w:r>
        <w:rPr>
          <w:color w:val="231F20"/>
          <w:spacing w:val="-16"/>
          <w:w w:val="105"/>
          <w:sz w:val="21"/>
        </w:rPr>
        <w:t> </w:t>
      </w:r>
      <w:r>
        <w:rPr>
          <w:color w:val="231F20"/>
          <w:w w:val="105"/>
          <w:sz w:val="21"/>
        </w:rPr>
        <w:t>ser</w:t>
      </w:r>
      <w:r>
        <w:rPr>
          <w:color w:val="231F20"/>
          <w:spacing w:val="-16"/>
          <w:w w:val="105"/>
          <w:sz w:val="21"/>
        </w:rPr>
        <w:t> </w:t>
      </w:r>
      <w:r>
        <w:rPr>
          <w:color w:val="231F20"/>
          <w:w w:val="105"/>
          <w:sz w:val="21"/>
        </w:rPr>
        <w:t>hetero- géneas</w:t>
      </w:r>
      <w:r>
        <w:rPr>
          <w:color w:val="231F20"/>
          <w:spacing w:val="-7"/>
          <w:w w:val="105"/>
          <w:sz w:val="21"/>
        </w:rPr>
        <w:t> </w:t>
      </w:r>
      <w:r>
        <w:rPr>
          <w:color w:val="231F20"/>
          <w:w w:val="105"/>
          <w:sz w:val="21"/>
        </w:rPr>
        <w:t>con</w:t>
      </w:r>
      <w:r>
        <w:rPr>
          <w:color w:val="231F20"/>
          <w:spacing w:val="-7"/>
          <w:w w:val="105"/>
          <w:sz w:val="21"/>
        </w:rPr>
        <w:t> </w:t>
      </w:r>
      <w:r>
        <w:rPr>
          <w:color w:val="231F20"/>
          <w:w w:val="105"/>
          <w:sz w:val="21"/>
        </w:rPr>
        <w:t>respecto</w:t>
      </w:r>
      <w:r>
        <w:rPr>
          <w:color w:val="231F20"/>
          <w:spacing w:val="-7"/>
          <w:w w:val="105"/>
          <w:sz w:val="21"/>
        </w:rPr>
        <w:t> </w:t>
      </w:r>
      <w:r>
        <w:rPr>
          <w:color w:val="231F20"/>
          <w:w w:val="105"/>
          <w:sz w:val="21"/>
        </w:rPr>
        <w:t>a</w:t>
      </w:r>
      <w:r>
        <w:rPr>
          <w:color w:val="231F20"/>
          <w:spacing w:val="-7"/>
          <w:w w:val="105"/>
          <w:sz w:val="21"/>
        </w:rPr>
        <w:t> </w:t>
      </w:r>
      <w:r>
        <w:rPr>
          <w:color w:val="231F20"/>
          <w:w w:val="105"/>
          <w:sz w:val="21"/>
        </w:rPr>
        <w:t>los</w:t>
      </w:r>
      <w:r>
        <w:rPr>
          <w:color w:val="231F20"/>
          <w:spacing w:val="-7"/>
          <w:w w:val="105"/>
          <w:sz w:val="21"/>
        </w:rPr>
        <w:t> </w:t>
      </w:r>
      <w:r>
        <w:rPr>
          <w:color w:val="231F20"/>
          <w:w w:val="105"/>
          <w:sz w:val="21"/>
        </w:rPr>
        <w:t>recursos</w:t>
      </w:r>
      <w:r>
        <w:rPr>
          <w:color w:val="231F20"/>
          <w:spacing w:val="-7"/>
          <w:w w:val="105"/>
          <w:sz w:val="21"/>
        </w:rPr>
        <w:t> </w:t>
      </w:r>
      <w:r>
        <w:rPr>
          <w:color w:val="231F20"/>
          <w:w w:val="105"/>
          <w:sz w:val="21"/>
        </w:rPr>
        <w:t>y</w:t>
      </w:r>
      <w:r>
        <w:rPr>
          <w:color w:val="231F20"/>
          <w:spacing w:val="-7"/>
          <w:w w:val="105"/>
          <w:sz w:val="21"/>
        </w:rPr>
        <w:t> </w:t>
      </w:r>
      <w:r>
        <w:rPr>
          <w:color w:val="231F20"/>
          <w:w w:val="105"/>
          <w:sz w:val="21"/>
        </w:rPr>
        <w:t>capacidades</w:t>
      </w:r>
      <w:r>
        <w:rPr>
          <w:color w:val="231F20"/>
          <w:spacing w:val="-7"/>
          <w:w w:val="105"/>
          <w:sz w:val="21"/>
        </w:rPr>
        <w:t> </w:t>
      </w:r>
      <w:r>
        <w:rPr>
          <w:color w:val="231F20"/>
          <w:w w:val="105"/>
          <w:sz w:val="21"/>
        </w:rPr>
        <w:t>que</w:t>
      </w:r>
      <w:r>
        <w:rPr>
          <w:color w:val="231F20"/>
          <w:spacing w:val="-7"/>
          <w:w w:val="105"/>
          <w:sz w:val="21"/>
        </w:rPr>
        <w:t> </w:t>
      </w:r>
      <w:r>
        <w:rPr>
          <w:color w:val="231F20"/>
          <w:w w:val="105"/>
          <w:sz w:val="21"/>
        </w:rPr>
        <w:t>po- seen</w:t>
      </w:r>
      <w:r>
        <w:rPr>
          <w:color w:val="231F20"/>
          <w:spacing w:val="-27"/>
          <w:w w:val="105"/>
          <w:sz w:val="21"/>
        </w:rPr>
        <w:t> </w:t>
      </w:r>
      <w:r>
        <w:rPr>
          <w:color w:val="231F20"/>
          <w:w w:val="105"/>
          <w:sz w:val="21"/>
        </w:rPr>
        <w:t>y</w:t>
      </w:r>
      <w:r>
        <w:rPr>
          <w:color w:val="231F20"/>
          <w:spacing w:val="-27"/>
          <w:w w:val="105"/>
          <w:sz w:val="21"/>
        </w:rPr>
        <w:t> </w:t>
      </w:r>
      <w:r>
        <w:rPr>
          <w:color w:val="231F20"/>
          <w:w w:val="105"/>
          <w:sz w:val="21"/>
        </w:rPr>
        <w:t>controlan.</w:t>
      </w:r>
    </w:p>
    <w:p>
      <w:pPr>
        <w:pStyle w:val="ListParagraph"/>
        <w:numPr>
          <w:ilvl w:val="0"/>
          <w:numId w:val="35"/>
        </w:numPr>
        <w:tabs>
          <w:tab w:pos="1328" w:val="left" w:leader="none"/>
        </w:tabs>
        <w:spacing w:line="259" w:lineRule="auto" w:before="170" w:after="0"/>
        <w:ind w:left="1327" w:right="121" w:hanging="360"/>
        <w:jc w:val="both"/>
        <w:rPr>
          <w:sz w:val="21"/>
        </w:rPr>
      </w:pPr>
      <w:r>
        <w:rPr>
          <w:color w:val="231F20"/>
          <w:w w:val="105"/>
          <w:sz w:val="21"/>
        </w:rPr>
        <w:t>Los</w:t>
      </w:r>
      <w:r>
        <w:rPr>
          <w:color w:val="231F20"/>
          <w:spacing w:val="-10"/>
          <w:w w:val="105"/>
          <w:sz w:val="21"/>
        </w:rPr>
        <w:t> </w:t>
      </w:r>
      <w:r>
        <w:rPr>
          <w:color w:val="231F20"/>
          <w:w w:val="105"/>
          <w:sz w:val="21"/>
        </w:rPr>
        <w:t>recursos</w:t>
      </w:r>
      <w:r>
        <w:rPr>
          <w:color w:val="231F20"/>
          <w:spacing w:val="-10"/>
          <w:w w:val="105"/>
          <w:sz w:val="21"/>
        </w:rPr>
        <w:t> </w:t>
      </w:r>
      <w:r>
        <w:rPr>
          <w:color w:val="231F20"/>
          <w:w w:val="105"/>
          <w:sz w:val="21"/>
        </w:rPr>
        <w:t>pueden</w:t>
      </w:r>
      <w:r>
        <w:rPr>
          <w:color w:val="231F20"/>
          <w:spacing w:val="-10"/>
          <w:w w:val="105"/>
          <w:sz w:val="21"/>
        </w:rPr>
        <w:t> </w:t>
      </w:r>
      <w:r>
        <w:rPr>
          <w:color w:val="231F20"/>
          <w:w w:val="105"/>
          <w:sz w:val="21"/>
        </w:rPr>
        <w:t>no</w:t>
      </w:r>
      <w:r>
        <w:rPr>
          <w:color w:val="231F20"/>
          <w:spacing w:val="-10"/>
          <w:w w:val="105"/>
          <w:sz w:val="21"/>
        </w:rPr>
        <w:t> </w:t>
      </w:r>
      <w:r>
        <w:rPr>
          <w:color w:val="231F20"/>
          <w:w w:val="105"/>
          <w:sz w:val="21"/>
        </w:rPr>
        <w:t>ser</w:t>
      </w:r>
      <w:r>
        <w:rPr>
          <w:color w:val="231F20"/>
          <w:spacing w:val="-10"/>
          <w:w w:val="105"/>
          <w:sz w:val="21"/>
        </w:rPr>
        <w:t> </w:t>
      </w:r>
      <w:r>
        <w:rPr>
          <w:color w:val="231F20"/>
          <w:w w:val="105"/>
          <w:sz w:val="21"/>
        </w:rPr>
        <w:t>perfectamente</w:t>
      </w:r>
      <w:r>
        <w:rPr>
          <w:color w:val="231F20"/>
          <w:spacing w:val="-10"/>
          <w:w w:val="105"/>
          <w:sz w:val="21"/>
        </w:rPr>
        <w:t> </w:t>
      </w:r>
      <w:r>
        <w:rPr>
          <w:color w:val="231F20"/>
          <w:w w:val="105"/>
          <w:sz w:val="21"/>
        </w:rPr>
        <w:t>móviles</w:t>
      </w:r>
      <w:r>
        <w:rPr>
          <w:color w:val="231F20"/>
          <w:spacing w:val="-10"/>
          <w:w w:val="105"/>
          <w:sz w:val="21"/>
        </w:rPr>
        <w:t> </w:t>
      </w:r>
      <w:r>
        <w:rPr>
          <w:color w:val="231F20"/>
          <w:w w:val="105"/>
          <w:sz w:val="21"/>
        </w:rPr>
        <w:t>(imper- fecta</w:t>
      </w:r>
      <w:r>
        <w:rPr>
          <w:color w:val="231F20"/>
          <w:spacing w:val="-24"/>
          <w:w w:val="105"/>
          <w:sz w:val="21"/>
        </w:rPr>
        <w:t> </w:t>
      </w:r>
      <w:r>
        <w:rPr>
          <w:color w:val="231F20"/>
          <w:w w:val="105"/>
          <w:sz w:val="21"/>
        </w:rPr>
        <w:t>movilidad)</w:t>
      </w:r>
      <w:r>
        <w:rPr>
          <w:color w:val="231F20"/>
          <w:spacing w:val="-24"/>
          <w:w w:val="105"/>
          <w:sz w:val="21"/>
        </w:rPr>
        <w:t> </w:t>
      </w:r>
      <w:r>
        <w:rPr>
          <w:color w:val="231F20"/>
          <w:w w:val="105"/>
          <w:sz w:val="21"/>
        </w:rPr>
        <w:t>a</w:t>
      </w:r>
      <w:r>
        <w:rPr>
          <w:color w:val="231F20"/>
          <w:spacing w:val="-24"/>
          <w:w w:val="105"/>
          <w:sz w:val="21"/>
        </w:rPr>
        <w:t> </w:t>
      </w:r>
      <w:r>
        <w:rPr>
          <w:color w:val="231F20"/>
          <w:w w:val="105"/>
          <w:sz w:val="21"/>
        </w:rPr>
        <w:t>través</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las</w:t>
      </w:r>
      <w:r>
        <w:rPr>
          <w:color w:val="231F20"/>
          <w:spacing w:val="-24"/>
          <w:w w:val="105"/>
          <w:sz w:val="21"/>
        </w:rPr>
        <w:t> </w:t>
      </w:r>
      <w:r>
        <w:rPr>
          <w:color w:val="231F20"/>
          <w:w w:val="105"/>
          <w:sz w:val="21"/>
        </w:rPr>
        <w:t>empresas,</w:t>
      </w:r>
      <w:r>
        <w:rPr>
          <w:color w:val="231F20"/>
          <w:spacing w:val="-30"/>
          <w:w w:val="105"/>
          <w:sz w:val="21"/>
        </w:rPr>
        <w:t> </w:t>
      </w:r>
      <w:r>
        <w:rPr>
          <w:color w:val="231F20"/>
          <w:w w:val="105"/>
          <w:sz w:val="21"/>
        </w:rPr>
        <w:t>por</w:t>
      </w:r>
      <w:r>
        <w:rPr>
          <w:color w:val="231F20"/>
          <w:spacing w:val="-24"/>
          <w:w w:val="105"/>
          <w:sz w:val="21"/>
        </w:rPr>
        <w:t> </w:t>
      </w:r>
      <w:r>
        <w:rPr>
          <w:color w:val="231F20"/>
          <w:w w:val="105"/>
          <w:sz w:val="21"/>
        </w:rPr>
        <w:t>lo</w:t>
      </w:r>
      <w:r>
        <w:rPr>
          <w:color w:val="231F20"/>
          <w:spacing w:val="-24"/>
          <w:w w:val="105"/>
          <w:sz w:val="21"/>
        </w:rPr>
        <w:t> </w:t>
      </w:r>
      <w:r>
        <w:rPr>
          <w:color w:val="231F20"/>
          <w:w w:val="105"/>
          <w:sz w:val="21"/>
        </w:rPr>
        <w:t>que</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hete- rogeneidad</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recursos</w:t>
      </w:r>
      <w:r>
        <w:rPr>
          <w:color w:val="231F20"/>
          <w:spacing w:val="-14"/>
          <w:w w:val="105"/>
          <w:sz w:val="21"/>
        </w:rPr>
        <w:t> </w:t>
      </w:r>
      <w:r>
        <w:rPr>
          <w:color w:val="231F20"/>
          <w:w w:val="105"/>
          <w:sz w:val="21"/>
        </w:rPr>
        <w:t>y</w:t>
      </w:r>
      <w:r>
        <w:rPr>
          <w:color w:val="231F20"/>
          <w:spacing w:val="-14"/>
          <w:w w:val="105"/>
          <w:sz w:val="21"/>
        </w:rPr>
        <w:t> </w:t>
      </w:r>
      <w:r>
        <w:rPr>
          <w:color w:val="231F20"/>
          <w:w w:val="105"/>
          <w:sz w:val="21"/>
        </w:rPr>
        <w:t>capacidades</w:t>
      </w:r>
      <w:r>
        <w:rPr>
          <w:color w:val="231F20"/>
          <w:spacing w:val="-14"/>
          <w:w w:val="105"/>
          <w:sz w:val="21"/>
        </w:rPr>
        <w:t> </w:t>
      </w:r>
      <w:r>
        <w:rPr>
          <w:color w:val="231F20"/>
          <w:w w:val="105"/>
          <w:sz w:val="21"/>
        </w:rPr>
        <w:t>llega</w:t>
      </w:r>
      <w:r>
        <w:rPr>
          <w:color w:val="231F20"/>
          <w:spacing w:val="-14"/>
          <w:w w:val="105"/>
          <w:sz w:val="21"/>
        </w:rPr>
        <w:t> </w:t>
      </w:r>
      <w:r>
        <w:rPr>
          <w:color w:val="231F20"/>
          <w:w w:val="105"/>
          <w:sz w:val="21"/>
        </w:rPr>
        <w:t>a</w:t>
      </w:r>
      <w:r>
        <w:rPr>
          <w:color w:val="231F20"/>
          <w:spacing w:val="-14"/>
          <w:w w:val="105"/>
          <w:sz w:val="21"/>
        </w:rPr>
        <w:t> </w:t>
      </w:r>
      <w:r>
        <w:rPr>
          <w:color w:val="231F20"/>
          <w:w w:val="105"/>
          <w:sz w:val="21"/>
        </w:rPr>
        <w:t>ser</w:t>
      </w:r>
      <w:r>
        <w:rPr>
          <w:color w:val="231F20"/>
          <w:spacing w:val="-14"/>
          <w:w w:val="105"/>
          <w:sz w:val="21"/>
        </w:rPr>
        <w:t> </w:t>
      </w:r>
      <w:r>
        <w:rPr>
          <w:color w:val="231F20"/>
          <w:w w:val="105"/>
          <w:sz w:val="21"/>
        </w:rPr>
        <w:t>duradera y</w:t>
      </w:r>
      <w:r>
        <w:rPr>
          <w:color w:val="231F20"/>
          <w:spacing w:val="-20"/>
          <w:w w:val="105"/>
          <w:sz w:val="21"/>
        </w:rPr>
        <w:t> </w:t>
      </w:r>
      <w:r>
        <w:rPr>
          <w:color w:val="231F20"/>
          <w:w w:val="105"/>
          <w:sz w:val="21"/>
        </w:rPr>
        <w:t>posibilita</w:t>
      </w:r>
      <w:r>
        <w:rPr>
          <w:color w:val="231F20"/>
          <w:spacing w:val="-20"/>
          <w:w w:val="105"/>
          <w:sz w:val="21"/>
        </w:rPr>
        <w:t> </w:t>
      </w:r>
      <w:r>
        <w:rPr>
          <w:color w:val="231F20"/>
          <w:w w:val="105"/>
          <w:sz w:val="21"/>
        </w:rPr>
        <w:t>el</w:t>
      </w:r>
      <w:r>
        <w:rPr>
          <w:color w:val="231F20"/>
          <w:spacing w:val="-20"/>
          <w:w w:val="105"/>
          <w:sz w:val="21"/>
        </w:rPr>
        <w:t> </w:t>
      </w:r>
      <w:r>
        <w:rPr>
          <w:color w:val="231F20"/>
          <w:w w:val="105"/>
          <w:sz w:val="21"/>
        </w:rPr>
        <w:t>sostenimiento</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las</w:t>
      </w:r>
      <w:r>
        <w:rPr>
          <w:color w:val="231F20"/>
          <w:spacing w:val="-20"/>
          <w:w w:val="105"/>
          <w:sz w:val="21"/>
        </w:rPr>
        <w:t> </w:t>
      </w:r>
      <w:r>
        <w:rPr>
          <w:color w:val="231F20"/>
          <w:w w:val="105"/>
          <w:sz w:val="21"/>
        </w:rPr>
        <w:t>ventajas</w:t>
      </w:r>
      <w:r>
        <w:rPr>
          <w:color w:val="231F20"/>
          <w:spacing w:val="-20"/>
          <w:w w:val="105"/>
          <w:sz w:val="21"/>
        </w:rPr>
        <w:t> </w:t>
      </w:r>
      <w:r>
        <w:rPr>
          <w:color w:val="231F20"/>
          <w:w w:val="105"/>
          <w:sz w:val="21"/>
        </w:rPr>
        <w:t>diferenciales.</w:t>
      </w:r>
    </w:p>
    <w:p>
      <w:pPr>
        <w:pStyle w:val="BodyText"/>
        <w:spacing w:line="259" w:lineRule="auto" w:before="170"/>
        <w:ind w:left="117" w:right="121"/>
        <w:jc w:val="both"/>
      </w:pPr>
      <w:r>
        <w:rPr>
          <w:color w:val="231F20"/>
          <w:w w:val="105"/>
        </w:rPr>
        <w:t>Mientras</w:t>
      </w:r>
      <w:r>
        <w:rPr>
          <w:color w:val="231F20"/>
          <w:spacing w:val="-15"/>
          <w:w w:val="105"/>
        </w:rPr>
        <w:t> </w:t>
      </w:r>
      <w:r>
        <w:rPr>
          <w:color w:val="231F20"/>
          <w:w w:val="105"/>
        </w:rPr>
        <w:t>algunos</w:t>
      </w:r>
      <w:r>
        <w:rPr>
          <w:color w:val="231F20"/>
          <w:spacing w:val="-15"/>
          <w:w w:val="105"/>
        </w:rPr>
        <w:t> </w:t>
      </w:r>
      <w:r>
        <w:rPr>
          <w:color w:val="231F20"/>
          <w:w w:val="105"/>
        </w:rPr>
        <w:t>autores</w:t>
      </w:r>
      <w:r>
        <w:rPr>
          <w:color w:val="231F20"/>
          <w:spacing w:val="-15"/>
          <w:w w:val="105"/>
        </w:rPr>
        <w:t> </w:t>
      </w:r>
      <w:r>
        <w:rPr>
          <w:color w:val="231F20"/>
          <w:w w:val="105"/>
        </w:rPr>
        <w:t>consideran</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sentido</w:t>
      </w:r>
      <w:r>
        <w:rPr>
          <w:color w:val="231F20"/>
          <w:spacing w:val="-15"/>
          <w:w w:val="105"/>
        </w:rPr>
        <w:t> </w:t>
      </w:r>
      <w:r>
        <w:rPr>
          <w:color w:val="231F20"/>
          <w:w w:val="105"/>
        </w:rPr>
        <w:t>gene- ral,</w:t>
      </w:r>
      <w:r>
        <w:rPr>
          <w:color w:val="231F20"/>
          <w:spacing w:val="-20"/>
          <w:w w:val="105"/>
        </w:rPr>
        <w:t> </w:t>
      </w:r>
      <w:r>
        <w:rPr>
          <w:color w:val="231F20"/>
          <w:w w:val="105"/>
        </w:rPr>
        <w:t>incluyendo</w:t>
      </w:r>
      <w:r>
        <w:rPr>
          <w:color w:val="231F20"/>
          <w:spacing w:val="-15"/>
          <w:w w:val="105"/>
        </w:rPr>
        <w:t> </w:t>
      </w:r>
      <w:r>
        <w:rPr>
          <w:color w:val="231F20"/>
          <w:w w:val="105"/>
        </w:rPr>
        <w:t>tanto</w:t>
      </w:r>
      <w:r>
        <w:rPr>
          <w:color w:val="231F20"/>
          <w:spacing w:val="-15"/>
          <w:w w:val="105"/>
        </w:rPr>
        <w:t> </w:t>
      </w:r>
      <w:r>
        <w:rPr>
          <w:color w:val="231F20"/>
          <w:w w:val="105"/>
        </w:rPr>
        <w:t>éstos</w:t>
      </w:r>
      <w:r>
        <w:rPr>
          <w:color w:val="231F20"/>
          <w:spacing w:val="-15"/>
          <w:w w:val="105"/>
        </w:rPr>
        <w:t> </w:t>
      </w:r>
      <w:r>
        <w:rPr>
          <w:color w:val="231F20"/>
          <w:w w:val="105"/>
        </w:rPr>
        <w:t>como</w:t>
      </w:r>
      <w:r>
        <w:rPr>
          <w:color w:val="231F20"/>
          <w:spacing w:val="-15"/>
          <w:w w:val="105"/>
        </w:rPr>
        <w:t> </w:t>
      </w:r>
      <w:r>
        <w:rPr>
          <w:color w:val="231F20"/>
          <w:w w:val="105"/>
        </w:rPr>
        <w:t>las</w:t>
      </w:r>
      <w:r>
        <w:rPr>
          <w:color w:val="231F20"/>
          <w:spacing w:val="-15"/>
          <w:w w:val="105"/>
        </w:rPr>
        <w:t> </w:t>
      </w:r>
      <w:r>
        <w:rPr>
          <w:color w:val="231F20"/>
          <w:w w:val="105"/>
        </w:rPr>
        <w:t>capacidades</w:t>
      </w:r>
      <w:r>
        <w:rPr>
          <w:color w:val="231F20"/>
          <w:spacing w:val="-15"/>
          <w:w w:val="105"/>
        </w:rPr>
        <w:t> </w:t>
      </w:r>
      <w:r>
        <w:rPr>
          <w:color w:val="231F20"/>
          <w:w w:val="105"/>
        </w:rPr>
        <w:t>(Barney,</w:t>
      </w:r>
      <w:r>
        <w:rPr>
          <w:color w:val="231F20"/>
          <w:spacing w:val="-20"/>
          <w:w w:val="105"/>
        </w:rPr>
        <w:t> </w:t>
      </w:r>
      <w:r>
        <w:rPr>
          <w:color w:val="231F20"/>
          <w:w w:val="105"/>
        </w:rPr>
        <w:t>1991b),</w:t>
      </w:r>
      <w:r>
        <w:rPr>
          <w:color w:val="231F20"/>
          <w:spacing w:val="-20"/>
          <w:w w:val="105"/>
        </w:rPr>
        <w:t> </w:t>
      </w:r>
      <w:r>
        <w:rPr>
          <w:color w:val="231F20"/>
          <w:w w:val="105"/>
        </w:rPr>
        <w:t>otros los</w:t>
      </w:r>
      <w:r>
        <w:rPr>
          <w:color w:val="231F20"/>
          <w:spacing w:val="-11"/>
          <w:w w:val="105"/>
        </w:rPr>
        <w:t> </w:t>
      </w:r>
      <w:r>
        <w:rPr>
          <w:color w:val="231F20"/>
          <w:w w:val="105"/>
        </w:rPr>
        <w:t>diferencian</w:t>
      </w:r>
      <w:r>
        <w:rPr>
          <w:color w:val="231F20"/>
          <w:spacing w:val="-11"/>
          <w:w w:val="105"/>
        </w:rPr>
        <w:t> </w:t>
      </w:r>
      <w:r>
        <w:rPr>
          <w:color w:val="231F20"/>
          <w:w w:val="105"/>
        </w:rPr>
        <w:t>a</w:t>
      </w:r>
      <w:r>
        <w:rPr>
          <w:color w:val="231F20"/>
          <w:spacing w:val="-11"/>
          <w:w w:val="105"/>
        </w:rPr>
        <w:t> </w:t>
      </w:r>
      <w:r>
        <w:rPr>
          <w:color w:val="231F20"/>
          <w:w w:val="105"/>
        </w:rPr>
        <w:t>partir</w:t>
      </w:r>
      <w:r>
        <w:rPr>
          <w:color w:val="231F20"/>
          <w:spacing w:val="-12"/>
          <w:w w:val="105"/>
        </w:rPr>
        <w:t> </w:t>
      </w:r>
      <w:r>
        <w:rPr>
          <w:color w:val="231F20"/>
          <w:w w:val="105"/>
        </w:rPr>
        <w:t>de</w:t>
      </w:r>
      <w:r>
        <w:rPr>
          <w:color w:val="231F20"/>
          <w:spacing w:val="-11"/>
          <w:w w:val="105"/>
        </w:rPr>
        <w:t> </w:t>
      </w:r>
      <w:r>
        <w:rPr>
          <w:color w:val="231F20"/>
          <w:w w:val="105"/>
        </w:rPr>
        <w:t>dos</w:t>
      </w:r>
      <w:r>
        <w:rPr>
          <w:color w:val="231F20"/>
          <w:spacing w:val="-11"/>
          <w:w w:val="105"/>
        </w:rPr>
        <w:t> </w:t>
      </w:r>
      <w:r>
        <w:rPr>
          <w:color w:val="231F20"/>
          <w:w w:val="105"/>
        </w:rPr>
        <w:t>criterios:</w:t>
      </w:r>
      <w:r>
        <w:rPr>
          <w:color w:val="231F20"/>
          <w:spacing w:val="-12"/>
          <w:w w:val="105"/>
        </w:rPr>
        <w:t> </w:t>
      </w:r>
      <w:r>
        <w:rPr>
          <w:color w:val="231F20"/>
          <w:w w:val="105"/>
        </w:rPr>
        <w:t>el</w:t>
      </w:r>
      <w:r>
        <w:rPr>
          <w:color w:val="231F20"/>
          <w:spacing w:val="-11"/>
          <w:w w:val="105"/>
        </w:rPr>
        <w:t> </w:t>
      </w:r>
      <w:r>
        <w:rPr>
          <w:color w:val="231F20"/>
          <w:w w:val="105"/>
        </w:rPr>
        <w:t>carácter</w:t>
      </w:r>
      <w:r>
        <w:rPr>
          <w:color w:val="231F20"/>
          <w:spacing w:val="-11"/>
          <w:w w:val="105"/>
        </w:rPr>
        <w:t> </w:t>
      </w:r>
      <w:r>
        <w:rPr>
          <w:color w:val="231F20"/>
          <w:w w:val="105"/>
        </w:rPr>
        <w:t>de</w:t>
      </w:r>
      <w:r>
        <w:rPr>
          <w:color w:val="231F20"/>
          <w:spacing w:val="-12"/>
          <w:w w:val="105"/>
        </w:rPr>
        <w:t> </w:t>
      </w:r>
      <w:r>
        <w:rPr>
          <w:color w:val="231F20"/>
          <w:w w:val="105"/>
        </w:rPr>
        <w:t>stock</w:t>
      </w:r>
      <w:r>
        <w:rPr>
          <w:color w:val="231F20"/>
          <w:spacing w:val="-11"/>
          <w:w w:val="105"/>
        </w:rPr>
        <w:t> </w:t>
      </w:r>
      <w:r>
        <w:rPr>
          <w:color w:val="231F20"/>
          <w:w w:val="105"/>
        </w:rPr>
        <w:t>de</w:t>
      </w:r>
      <w:r>
        <w:rPr>
          <w:color w:val="231F20"/>
          <w:spacing w:val="-12"/>
          <w:w w:val="105"/>
        </w:rPr>
        <w:t> </w:t>
      </w:r>
      <w:r>
        <w:rPr>
          <w:color w:val="231F20"/>
          <w:w w:val="105"/>
        </w:rPr>
        <w:t>los</w:t>
      </w:r>
      <w:r>
        <w:rPr>
          <w:color w:val="231F20"/>
          <w:spacing w:val="-11"/>
          <w:w w:val="105"/>
        </w:rPr>
        <w:t> </w:t>
      </w:r>
      <w:r>
        <w:rPr>
          <w:color w:val="231F20"/>
          <w:w w:val="105"/>
        </w:rPr>
        <w:t>recur- sos</w:t>
      </w:r>
      <w:r>
        <w:rPr>
          <w:color w:val="231F20"/>
          <w:spacing w:val="-15"/>
          <w:w w:val="105"/>
        </w:rPr>
        <w:t> </w:t>
      </w:r>
      <w:r>
        <w:rPr>
          <w:color w:val="231F20"/>
          <w:w w:val="105"/>
        </w:rPr>
        <w:t>frente</w:t>
      </w:r>
      <w:r>
        <w:rPr>
          <w:color w:val="231F20"/>
          <w:spacing w:val="-15"/>
          <w:w w:val="105"/>
        </w:rPr>
        <w:t> </w:t>
      </w:r>
      <w:r>
        <w:rPr>
          <w:color w:val="231F20"/>
          <w:w w:val="105"/>
        </w:rPr>
        <w:t>al</w:t>
      </w:r>
      <w:r>
        <w:rPr>
          <w:color w:val="231F20"/>
          <w:spacing w:val="-15"/>
          <w:w w:val="105"/>
        </w:rPr>
        <w:t> </w:t>
      </w:r>
      <w:r>
        <w:rPr>
          <w:color w:val="231F20"/>
          <w:w w:val="105"/>
        </w:rPr>
        <w:t>de</w:t>
      </w:r>
      <w:r>
        <w:rPr>
          <w:color w:val="231F20"/>
          <w:spacing w:val="-15"/>
          <w:w w:val="105"/>
        </w:rPr>
        <w:t> </w:t>
      </w:r>
      <w:r>
        <w:rPr>
          <w:color w:val="231F20"/>
          <w:w w:val="105"/>
        </w:rPr>
        <w:t>flujo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capacidades</w:t>
      </w:r>
      <w:r>
        <w:rPr>
          <w:color w:val="231F20"/>
          <w:spacing w:val="-15"/>
          <w:w w:val="105"/>
        </w:rPr>
        <w:t> </w:t>
      </w:r>
      <w:r>
        <w:rPr>
          <w:color w:val="231F20"/>
          <w:w w:val="105"/>
        </w:rPr>
        <w:t>y</w:t>
      </w:r>
      <w:r>
        <w:rPr>
          <w:color w:val="231F20"/>
          <w:spacing w:val="-15"/>
          <w:w w:val="105"/>
        </w:rPr>
        <w:t> </w:t>
      </w:r>
      <w:r>
        <w:rPr>
          <w:color w:val="231F20"/>
          <w:w w:val="105"/>
        </w:rPr>
        <w:t>el</w:t>
      </w:r>
      <w:r>
        <w:rPr>
          <w:color w:val="231F20"/>
          <w:spacing w:val="-15"/>
          <w:w w:val="105"/>
        </w:rPr>
        <w:t> </w:t>
      </w:r>
      <w:r>
        <w:rPr>
          <w:color w:val="231F20"/>
          <w:w w:val="105"/>
        </w:rPr>
        <w:t>carácter</w:t>
      </w:r>
      <w:r>
        <w:rPr>
          <w:color w:val="231F20"/>
          <w:spacing w:val="-15"/>
          <w:w w:val="105"/>
        </w:rPr>
        <w:t> </w:t>
      </w:r>
      <w:r>
        <w:rPr>
          <w:color w:val="231F20"/>
          <w:w w:val="105"/>
        </w:rPr>
        <w:t>colectivo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ca- pacidades</w:t>
      </w:r>
      <w:r>
        <w:rPr>
          <w:color w:val="231F20"/>
          <w:spacing w:val="-24"/>
          <w:w w:val="105"/>
        </w:rPr>
        <w:t> </w:t>
      </w:r>
      <w:r>
        <w:rPr>
          <w:color w:val="231F20"/>
          <w:w w:val="105"/>
        </w:rPr>
        <w:t>frente</w:t>
      </w:r>
      <w:r>
        <w:rPr>
          <w:color w:val="231F20"/>
          <w:spacing w:val="-24"/>
          <w:w w:val="105"/>
        </w:rPr>
        <w:t> </w:t>
      </w:r>
      <w:r>
        <w:rPr>
          <w:color w:val="231F20"/>
          <w:w w:val="105"/>
        </w:rPr>
        <w:t>al</w:t>
      </w:r>
      <w:r>
        <w:rPr>
          <w:color w:val="231F20"/>
          <w:spacing w:val="-24"/>
          <w:w w:val="105"/>
        </w:rPr>
        <w:t> </w:t>
      </w:r>
      <w:r>
        <w:rPr>
          <w:color w:val="231F20"/>
          <w:w w:val="105"/>
        </w:rPr>
        <w:t>individual</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recursos</w:t>
      </w:r>
      <w:r>
        <w:rPr>
          <w:color w:val="231F20"/>
          <w:spacing w:val="-24"/>
          <w:w w:val="105"/>
        </w:rPr>
        <w:t> </w:t>
      </w:r>
      <w:r>
        <w:rPr>
          <w:color w:val="231F20"/>
          <w:w w:val="105"/>
        </w:rPr>
        <w:t>(Mahoney</w:t>
      </w:r>
      <w:r>
        <w:rPr>
          <w:color w:val="231F20"/>
          <w:spacing w:val="-24"/>
          <w:w w:val="105"/>
        </w:rPr>
        <w:t> </w:t>
      </w:r>
      <w:r>
        <w:rPr>
          <w:color w:val="231F20"/>
          <w:w w:val="105"/>
        </w:rPr>
        <w:t>y</w:t>
      </w:r>
      <w:r>
        <w:rPr>
          <w:color w:val="231F20"/>
          <w:spacing w:val="-24"/>
          <w:w w:val="105"/>
        </w:rPr>
        <w:t> </w:t>
      </w:r>
      <w:r>
        <w:rPr>
          <w:color w:val="231F20"/>
          <w:w w:val="105"/>
        </w:rPr>
        <w:t>Pandian,</w:t>
      </w:r>
      <w:r>
        <w:rPr>
          <w:color w:val="231F20"/>
          <w:spacing w:val="-29"/>
          <w:w w:val="105"/>
        </w:rPr>
        <w:t> </w:t>
      </w:r>
      <w:r>
        <w:rPr>
          <w:color w:val="231F20"/>
          <w:w w:val="105"/>
        </w:rPr>
        <w:t>1992; </w:t>
      </w:r>
      <w:r>
        <w:rPr>
          <w:color w:val="231F20"/>
        </w:rPr>
        <w:t>Wernerfelt,</w:t>
      </w:r>
      <w:r>
        <w:rPr>
          <w:color w:val="231F20"/>
          <w:spacing w:val="35"/>
        </w:rPr>
        <w:t> </w:t>
      </w:r>
      <w:r>
        <w:rPr>
          <w:color w:val="231F20"/>
        </w:rPr>
        <w:t>1984).</w:t>
      </w:r>
    </w:p>
    <w:p>
      <w:pPr>
        <w:pStyle w:val="BodyText"/>
        <w:spacing w:line="259" w:lineRule="auto"/>
        <w:ind w:left="117" w:right="115" w:firstLine="567"/>
        <w:jc w:val="both"/>
      </w:pPr>
      <w:r>
        <w:rPr>
          <w:color w:val="231F20"/>
          <w:w w:val="105"/>
        </w:rPr>
        <w:t>Los recursos incluyen todos los activos, procesos organizativos, atributos, información, conocimiento e </w:t>
      </w:r>
      <w:r>
        <w:rPr>
          <w:i/>
          <w:color w:val="231F20"/>
          <w:w w:val="105"/>
        </w:rPr>
        <w:t>inputs </w:t>
      </w:r>
      <w:r>
        <w:rPr>
          <w:color w:val="231F20"/>
          <w:w w:val="105"/>
        </w:rPr>
        <w:t>del proceso de produc- ción,</w:t>
      </w:r>
      <w:r>
        <w:rPr>
          <w:color w:val="231F20"/>
          <w:spacing w:val="-26"/>
          <w:w w:val="105"/>
        </w:rPr>
        <w:t> </w:t>
      </w:r>
      <w:r>
        <w:rPr>
          <w:color w:val="231F20"/>
          <w:w w:val="105"/>
        </w:rPr>
        <w:t>entre</w:t>
      </w:r>
      <w:r>
        <w:rPr>
          <w:color w:val="231F20"/>
          <w:spacing w:val="-22"/>
          <w:w w:val="105"/>
        </w:rPr>
        <w:t> </w:t>
      </w:r>
      <w:r>
        <w:rPr>
          <w:color w:val="231F20"/>
          <w:w w:val="105"/>
        </w:rPr>
        <w:t>otros,</w:t>
      </w:r>
      <w:r>
        <w:rPr>
          <w:color w:val="231F20"/>
          <w:spacing w:val="-26"/>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son</w:t>
      </w:r>
      <w:r>
        <w:rPr>
          <w:color w:val="231F20"/>
          <w:spacing w:val="-22"/>
          <w:w w:val="105"/>
        </w:rPr>
        <w:t> </w:t>
      </w:r>
      <w:r>
        <w:rPr>
          <w:color w:val="231F20"/>
          <w:w w:val="105"/>
        </w:rPr>
        <w:t>controlados</w:t>
      </w:r>
      <w:r>
        <w:rPr>
          <w:color w:val="231F20"/>
          <w:spacing w:val="-22"/>
          <w:w w:val="105"/>
        </w:rPr>
        <w:t> </w:t>
      </w:r>
      <w:r>
        <w:rPr>
          <w:color w:val="231F20"/>
          <w:w w:val="105"/>
        </w:rPr>
        <w:t>por</w:t>
      </w:r>
      <w:r>
        <w:rPr>
          <w:color w:val="231F20"/>
          <w:spacing w:val="-22"/>
          <w:w w:val="105"/>
        </w:rPr>
        <w:t> </w:t>
      </w:r>
      <w:r>
        <w:rPr>
          <w:color w:val="231F20"/>
          <w:w w:val="105"/>
        </w:rPr>
        <w:t>la</w:t>
      </w:r>
      <w:r>
        <w:rPr>
          <w:color w:val="231F20"/>
          <w:spacing w:val="-22"/>
          <w:w w:val="105"/>
        </w:rPr>
        <w:t> </w:t>
      </w:r>
      <w:r>
        <w:rPr>
          <w:color w:val="231F20"/>
          <w:w w:val="105"/>
        </w:rPr>
        <w:t>empresa.</w:t>
      </w:r>
      <w:r>
        <w:rPr>
          <w:color w:val="231F20"/>
          <w:spacing w:val="-26"/>
          <w:w w:val="105"/>
        </w:rPr>
        <w:t> </w:t>
      </w:r>
      <w:r>
        <w:rPr>
          <w:color w:val="231F20"/>
          <w:spacing w:val="-4"/>
          <w:w w:val="105"/>
        </w:rPr>
        <w:t>Para</w:t>
      </w:r>
      <w:r>
        <w:rPr>
          <w:color w:val="231F20"/>
          <w:spacing w:val="-22"/>
          <w:w w:val="105"/>
        </w:rPr>
        <w:t> </w:t>
      </w:r>
      <w:r>
        <w:rPr>
          <w:color w:val="231F20"/>
          <w:w w:val="105"/>
        </w:rPr>
        <w:t>que</w:t>
      </w:r>
      <w:r>
        <w:rPr>
          <w:color w:val="231F20"/>
          <w:spacing w:val="-22"/>
          <w:w w:val="105"/>
        </w:rPr>
        <w:t> </w:t>
      </w:r>
      <w:r>
        <w:rPr>
          <w:color w:val="231F20"/>
          <w:w w:val="105"/>
        </w:rPr>
        <w:t>los recursos</w:t>
      </w:r>
      <w:r>
        <w:rPr>
          <w:color w:val="231F20"/>
          <w:spacing w:val="-20"/>
          <w:w w:val="105"/>
        </w:rPr>
        <w:t> </w:t>
      </w:r>
      <w:r>
        <w:rPr>
          <w:color w:val="231F20"/>
          <w:w w:val="105"/>
        </w:rPr>
        <w:t>sean</w:t>
      </w:r>
      <w:r>
        <w:rPr>
          <w:color w:val="231F20"/>
          <w:spacing w:val="-20"/>
          <w:w w:val="105"/>
        </w:rPr>
        <w:t> </w:t>
      </w:r>
      <w:r>
        <w:rPr>
          <w:color w:val="231F20"/>
          <w:w w:val="105"/>
        </w:rPr>
        <w:t>fuente</w:t>
      </w:r>
      <w:r>
        <w:rPr>
          <w:color w:val="231F20"/>
          <w:spacing w:val="-20"/>
          <w:w w:val="105"/>
        </w:rPr>
        <w:t> </w:t>
      </w:r>
      <w:r>
        <w:rPr>
          <w:color w:val="231F20"/>
          <w:w w:val="105"/>
        </w:rPr>
        <w:t>de</w:t>
      </w:r>
      <w:r>
        <w:rPr>
          <w:color w:val="231F20"/>
          <w:spacing w:val="-20"/>
          <w:w w:val="105"/>
        </w:rPr>
        <w:t> </w:t>
      </w:r>
      <w:r>
        <w:rPr>
          <w:color w:val="231F20"/>
          <w:w w:val="105"/>
        </w:rPr>
        <w:t>ventaja</w:t>
      </w:r>
      <w:r>
        <w:rPr>
          <w:color w:val="231F20"/>
          <w:spacing w:val="-20"/>
          <w:w w:val="105"/>
        </w:rPr>
        <w:t> </w:t>
      </w:r>
      <w:r>
        <w:rPr>
          <w:color w:val="231F20"/>
          <w:w w:val="105"/>
        </w:rPr>
        <w:t>competitiva</w:t>
      </w:r>
      <w:r>
        <w:rPr>
          <w:color w:val="231F20"/>
          <w:spacing w:val="-20"/>
          <w:w w:val="105"/>
        </w:rPr>
        <w:t> </w:t>
      </w:r>
      <w:r>
        <w:rPr>
          <w:color w:val="231F20"/>
          <w:w w:val="105"/>
        </w:rPr>
        <w:t>deben</w:t>
      </w:r>
      <w:r>
        <w:rPr>
          <w:color w:val="231F20"/>
          <w:spacing w:val="-20"/>
          <w:w w:val="105"/>
        </w:rPr>
        <w:t> </w:t>
      </w:r>
      <w:r>
        <w:rPr>
          <w:color w:val="231F20"/>
          <w:w w:val="105"/>
        </w:rPr>
        <w:t>ser:</w:t>
      </w:r>
    </w:p>
    <w:p>
      <w:pPr>
        <w:pStyle w:val="BodyText"/>
        <w:spacing w:before="6"/>
        <w:rPr>
          <w:sz w:val="22"/>
        </w:rPr>
      </w:pPr>
    </w:p>
    <w:p>
      <w:pPr>
        <w:pStyle w:val="ListParagraph"/>
        <w:numPr>
          <w:ilvl w:val="1"/>
          <w:numId w:val="35"/>
        </w:numPr>
        <w:tabs>
          <w:tab w:pos="1328" w:val="left" w:leader="none"/>
        </w:tabs>
        <w:spacing w:line="259" w:lineRule="auto" w:before="0" w:after="0"/>
        <w:ind w:left="1327" w:right="122" w:hanging="360"/>
        <w:jc w:val="both"/>
        <w:rPr>
          <w:sz w:val="21"/>
        </w:rPr>
      </w:pPr>
      <w:r>
        <w:rPr>
          <w:color w:val="231F20"/>
          <w:sz w:val="21"/>
        </w:rPr>
        <w:t>Valiosos. </w:t>
      </w:r>
      <w:r>
        <w:rPr>
          <w:color w:val="231F20"/>
          <w:spacing w:val="-4"/>
          <w:sz w:val="21"/>
        </w:rPr>
        <w:t>Para </w:t>
      </w:r>
      <w:r>
        <w:rPr>
          <w:color w:val="231F20"/>
          <w:sz w:val="21"/>
        </w:rPr>
        <w:t>concebir e implantar estrategias que  mejo- ren la eficiencia y eficacia organizacionales, los recursos se destinan a crear valor sostenible, lo cual requiere de visión directiva (Barney,</w:t>
      </w:r>
      <w:r>
        <w:rPr>
          <w:color w:val="231F20"/>
          <w:spacing w:val="2"/>
          <w:sz w:val="21"/>
        </w:rPr>
        <w:t> </w:t>
      </w:r>
      <w:r>
        <w:rPr>
          <w:color w:val="231F20"/>
          <w:sz w:val="21"/>
        </w:rPr>
        <w:t>1991a).</w:t>
      </w:r>
    </w:p>
    <w:p>
      <w:pPr>
        <w:pStyle w:val="ListParagraph"/>
        <w:numPr>
          <w:ilvl w:val="1"/>
          <w:numId w:val="35"/>
        </w:numPr>
        <w:tabs>
          <w:tab w:pos="1328" w:val="left" w:leader="none"/>
        </w:tabs>
        <w:spacing w:line="259" w:lineRule="auto" w:before="170" w:after="0"/>
        <w:ind w:left="1327" w:right="122" w:hanging="360"/>
        <w:jc w:val="both"/>
        <w:rPr>
          <w:sz w:val="21"/>
        </w:rPr>
      </w:pPr>
      <w:r>
        <w:rPr>
          <w:color w:val="231F20"/>
          <w:w w:val="105"/>
          <w:sz w:val="21"/>
        </w:rPr>
        <w:t>Escasos.</w:t>
      </w:r>
      <w:r>
        <w:rPr>
          <w:color w:val="231F20"/>
          <w:spacing w:val="-44"/>
          <w:w w:val="105"/>
          <w:sz w:val="21"/>
        </w:rPr>
        <w:t> </w:t>
      </w:r>
      <w:r>
        <w:rPr>
          <w:color w:val="231F20"/>
          <w:w w:val="105"/>
          <w:sz w:val="21"/>
        </w:rPr>
        <w:t>No</w:t>
      </w:r>
      <w:r>
        <w:rPr>
          <w:color w:val="231F20"/>
          <w:spacing w:val="-41"/>
          <w:w w:val="105"/>
          <w:sz w:val="21"/>
        </w:rPr>
        <w:t> </w:t>
      </w:r>
      <w:r>
        <w:rPr>
          <w:color w:val="231F20"/>
          <w:w w:val="105"/>
          <w:sz w:val="21"/>
        </w:rPr>
        <w:t>disponibles</w:t>
      </w:r>
      <w:r>
        <w:rPr>
          <w:color w:val="231F20"/>
          <w:spacing w:val="-41"/>
          <w:w w:val="105"/>
          <w:sz w:val="21"/>
        </w:rPr>
        <w:t> </w:t>
      </w:r>
      <w:r>
        <w:rPr>
          <w:color w:val="231F20"/>
          <w:w w:val="105"/>
          <w:sz w:val="21"/>
        </w:rPr>
        <w:t>para</w:t>
      </w:r>
      <w:r>
        <w:rPr>
          <w:color w:val="231F20"/>
          <w:spacing w:val="-41"/>
          <w:w w:val="105"/>
          <w:sz w:val="21"/>
        </w:rPr>
        <w:t> </w:t>
      </w:r>
      <w:r>
        <w:rPr>
          <w:color w:val="231F20"/>
          <w:w w:val="105"/>
          <w:sz w:val="21"/>
        </w:rPr>
        <w:t>la</w:t>
      </w:r>
      <w:r>
        <w:rPr>
          <w:color w:val="231F20"/>
          <w:spacing w:val="-41"/>
          <w:w w:val="105"/>
          <w:sz w:val="21"/>
        </w:rPr>
        <w:t> </w:t>
      </w:r>
      <w:r>
        <w:rPr>
          <w:color w:val="231F20"/>
          <w:w w:val="105"/>
          <w:sz w:val="21"/>
        </w:rPr>
        <w:t>mayoría</w:t>
      </w:r>
      <w:r>
        <w:rPr>
          <w:color w:val="231F20"/>
          <w:spacing w:val="-41"/>
          <w:w w:val="105"/>
          <w:sz w:val="21"/>
        </w:rPr>
        <w:t> </w:t>
      </w:r>
      <w:r>
        <w:rPr>
          <w:color w:val="231F20"/>
          <w:w w:val="105"/>
          <w:sz w:val="21"/>
        </w:rPr>
        <w:t>de</w:t>
      </w:r>
      <w:r>
        <w:rPr>
          <w:color w:val="231F20"/>
          <w:spacing w:val="-41"/>
          <w:w w:val="105"/>
          <w:sz w:val="21"/>
        </w:rPr>
        <w:t> </w:t>
      </w:r>
      <w:r>
        <w:rPr>
          <w:color w:val="231F20"/>
          <w:w w:val="105"/>
          <w:sz w:val="21"/>
        </w:rPr>
        <w:t>las</w:t>
      </w:r>
      <w:r>
        <w:rPr>
          <w:color w:val="231F20"/>
          <w:spacing w:val="-41"/>
          <w:w w:val="105"/>
          <w:sz w:val="21"/>
        </w:rPr>
        <w:t> </w:t>
      </w:r>
      <w:r>
        <w:rPr>
          <w:color w:val="231F20"/>
          <w:w w:val="105"/>
          <w:sz w:val="21"/>
        </w:rPr>
        <w:t>empresas.</w:t>
      </w:r>
      <w:r>
        <w:rPr>
          <w:color w:val="231F20"/>
          <w:spacing w:val="-44"/>
          <w:w w:val="105"/>
          <w:sz w:val="21"/>
        </w:rPr>
        <w:t> </w:t>
      </w:r>
      <w:r>
        <w:rPr>
          <w:color w:val="231F20"/>
          <w:w w:val="105"/>
          <w:sz w:val="21"/>
        </w:rPr>
        <w:t>Un recurso</w:t>
      </w:r>
      <w:r>
        <w:rPr>
          <w:color w:val="231F20"/>
          <w:spacing w:val="-30"/>
          <w:w w:val="105"/>
          <w:sz w:val="21"/>
        </w:rPr>
        <w:t> </w:t>
      </w:r>
      <w:r>
        <w:rPr>
          <w:color w:val="231F20"/>
          <w:w w:val="105"/>
          <w:sz w:val="21"/>
        </w:rPr>
        <w:t>será</w:t>
      </w:r>
      <w:r>
        <w:rPr>
          <w:color w:val="231F20"/>
          <w:spacing w:val="-30"/>
          <w:w w:val="105"/>
          <w:sz w:val="21"/>
        </w:rPr>
        <w:t> </w:t>
      </w:r>
      <w:r>
        <w:rPr>
          <w:color w:val="231F20"/>
          <w:w w:val="105"/>
          <w:sz w:val="21"/>
        </w:rPr>
        <w:t>estratégico</w:t>
      </w:r>
      <w:r>
        <w:rPr>
          <w:color w:val="231F20"/>
          <w:spacing w:val="-30"/>
          <w:w w:val="105"/>
          <w:sz w:val="21"/>
        </w:rPr>
        <w:t> </w:t>
      </w:r>
      <w:r>
        <w:rPr>
          <w:color w:val="231F20"/>
          <w:w w:val="105"/>
          <w:sz w:val="21"/>
        </w:rPr>
        <w:t>cuando</w:t>
      </w:r>
      <w:r>
        <w:rPr>
          <w:color w:val="231F20"/>
          <w:spacing w:val="-30"/>
          <w:w w:val="105"/>
          <w:sz w:val="21"/>
        </w:rPr>
        <w:t> </w:t>
      </w:r>
      <w:r>
        <w:rPr>
          <w:color w:val="231F20"/>
          <w:w w:val="105"/>
          <w:sz w:val="21"/>
        </w:rPr>
        <w:t>la</w:t>
      </w:r>
      <w:r>
        <w:rPr>
          <w:color w:val="231F20"/>
          <w:spacing w:val="-30"/>
          <w:w w:val="105"/>
          <w:sz w:val="21"/>
        </w:rPr>
        <w:t> </w:t>
      </w:r>
      <w:r>
        <w:rPr>
          <w:color w:val="231F20"/>
          <w:w w:val="105"/>
          <w:sz w:val="21"/>
        </w:rPr>
        <w:t>empresa</w:t>
      </w:r>
      <w:r>
        <w:rPr>
          <w:color w:val="231F20"/>
          <w:spacing w:val="-30"/>
          <w:w w:val="105"/>
          <w:sz w:val="21"/>
        </w:rPr>
        <w:t> </w:t>
      </w:r>
      <w:r>
        <w:rPr>
          <w:color w:val="231F20"/>
          <w:w w:val="105"/>
          <w:sz w:val="21"/>
        </w:rPr>
        <w:t>sea</w:t>
      </w:r>
      <w:r>
        <w:rPr>
          <w:color w:val="231F20"/>
          <w:spacing w:val="-30"/>
          <w:w w:val="105"/>
          <w:sz w:val="21"/>
        </w:rPr>
        <w:t> </w:t>
      </w:r>
      <w:r>
        <w:rPr>
          <w:color w:val="231F20"/>
          <w:w w:val="105"/>
          <w:sz w:val="21"/>
        </w:rPr>
        <w:t>la</w:t>
      </w:r>
      <w:r>
        <w:rPr>
          <w:color w:val="231F20"/>
          <w:spacing w:val="-30"/>
          <w:w w:val="105"/>
          <w:sz w:val="21"/>
        </w:rPr>
        <w:t> </w:t>
      </w:r>
      <w:r>
        <w:rPr>
          <w:color w:val="231F20"/>
          <w:w w:val="105"/>
          <w:sz w:val="21"/>
        </w:rPr>
        <w:t>única</w:t>
      </w:r>
      <w:r>
        <w:rPr>
          <w:color w:val="231F20"/>
          <w:spacing w:val="-30"/>
          <w:w w:val="105"/>
          <w:sz w:val="21"/>
        </w:rPr>
        <w:t> </w:t>
      </w:r>
      <w:r>
        <w:rPr>
          <w:color w:val="231F20"/>
          <w:w w:val="105"/>
          <w:sz w:val="21"/>
        </w:rPr>
        <w:t>que lo</w:t>
      </w:r>
      <w:r>
        <w:rPr>
          <w:color w:val="231F20"/>
          <w:spacing w:val="-16"/>
          <w:w w:val="105"/>
          <w:sz w:val="21"/>
        </w:rPr>
        <w:t> </w:t>
      </w:r>
      <w:r>
        <w:rPr>
          <w:color w:val="231F20"/>
          <w:w w:val="105"/>
          <w:sz w:val="21"/>
        </w:rPr>
        <w:t>posee,</w:t>
      </w:r>
      <w:r>
        <w:rPr>
          <w:color w:val="231F20"/>
          <w:spacing w:val="-21"/>
          <w:w w:val="105"/>
          <w:sz w:val="21"/>
        </w:rPr>
        <w:t> </w:t>
      </w:r>
      <w:r>
        <w:rPr>
          <w:color w:val="231F20"/>
          <w:w w:val="105"/>
          <w:sz w:val="21"/>
        </w:rPr>
        <w:t>aunque</w:t>
      </w:r>
      <w:r>
        <w:rPr>
          <w:color w:val="231F20"/>
          <w:spacing w:val="-16"/>
          <w:w w:val="105"/>
          <w:sz w:val="21"/>
        </w:rPr>
        <w:t> </w:t>
      </w:r>
      <w:r>
        <w:rPr>
          <w:color w:val="231F20"/>
          <w:w w:val="105"/>
          <w:sz w:val="21"/>
        </w:rPr>
        <w:t>no</w:t>
      </w:r>
      <w:r>
        <w:rPr>
          <w:color w:val="231F20"/>
          <w:spacing w:val="-16"/>
          <w:w w:val="105"/>
          <w:sz w:val="21"/>
        </w:rPr>
        <w:t> </w:t>
      </w:r>
      <w:r>
        <w:rPr>
          <w:color w:val="231F20"/>
          <w:w w:val="105"/>
          <w:sz w:val="21"/>
        </w:rPr>
        <w:t>es</w:t>
      </w:r>
      <w:r>
        <w:rPr>
          <w:color w:val="231F20"/>
          <w:spacing w:val="-16"/>
          <w:w w:val="105"/>
          <w:sz w:val="21"/>
        </w:rPr>
        <w:t> </w:t>
      </w:r>
      <w:r>
        <w:rPr>
          <w:color w:val="231F20"/>
          <w:w w:val="105"/>
          <w:sz w:val="21"/>
        </w:rPr>
        <w:t>una</w:t>
      </w:r>
      <w:r>
        <w:rPr>
          <w:color w:val="231F20"/>
          <w:spacing w:val="-16"/>
          <w:w w:val="105"/>
          <w:sz w:val="21"/>
        </w:rPr>
        <w:t> </w:t>
      </w:r>
      <w:r>
        <w:rPr>
          <w:color w:val="231F20"/>
          <w:w w:val="105"/>
          <w:sz w:val="21"/>
        </w:rPr>
        <w:t>condición</w:t>
      </w:r>
      <w:r>
        <w:rPr>
          <w:color w:val="231F20"/>
          <w:spacing w:val="-16"/>
          <w:w w:val="105"/>
          <w:sz w:val="21"/>
        </w:rPr>
        <w:t> </w:t>
      </w:r>
      <w:r>
        <w:rPr>
          <w:color w:val="231F20"/>
          <w:w w:val="105"/>
          <w:sz w:val="21"/>
        </w:rPr>
        <w:t>necesaria</w:t>
      </w:r>
      <w:r>
        <w:rPr>
          <w:color w:val="231F20"/>
          <w:spacing w:val="-16"/>
          <w:w w:val="105"/>
          <w:sz w:val="21"/>
        </w:rPr>
        <w:t> </w:t>
      </w:r>
      <w:r>
        <w:rPr>
          <w:color w:val="231F20"/>
          <w:w w:val="105"/>
          <w:sz w:val="21"/>
        </w:rPr>
        <w:t>ni</w:t>
      </w:r>
      <w:r>
        <w:rPr>
          <w:color w:val="231F20"/>
          <w:spacing w:val="-16"/>
          <w:w w:val="105"/>
          <w:sz w:val="21"/>
        </w:rPr>
        <w:t> </w:t>
      </w:r>
      <w:r>
        <w:rPr>
          <w:color w:val="231F20"/>
          <w:w w:val="105"/>
          <w:sz w:val="21"/>
        </w:rPr>
        <w:t>suficien- te</w:t>
      </w:r>
      <w:r>
        <w:rPr>
          <w:color w:val="231F20"/>
          <w:spacing w:val="-39"/>
          <w:w w:val="105"/>
          <w:sz w:val="21"/>
        </w:rPr>
        <w:t> </w:t>
      </w:r>
      <w:r>
        <w:rPr>
          <w:color w:val="231F20"/>
          <w:w w:val="105"/>
          <w:sz w:val="21"/>
        </w:rPr>
        <w:t>para</w:t>
      </w:r>
      <w:r>
        <w:rPr>
          <w:color w:val="231F20"/>
          <w:spacing w:val="-39"/>
          <w:w w:val="105"/>
          <w:sz w:val="21"/>
        </w:rPr>
        <w:t> </w:t>
      </w:r>
      <w:r>
        <w:rPr>
          <w:color w:val="231F20"/>
          <w:w w:val="105"/>
          <w:sz w:val="21"/>
        </w:rPr>
        <w:t>garantizar</w:t>
      </w:r>
      <w:r>
        <w:rPr>
          <w:color w:val="231F20"/>
          <w:spacing w:val="-39"/>
          <w:w w:val="105"/>
          <w:sz w:val="21"/>
        </w:rPr>
        <w:t> </w:t>
      </w:r>
      <w:r>
        <w:rPr>
          <w:color w:val="231F20"/>
          <w:w w:val="105"/>
          <w:sz w:val="21"/>
        </w:rPr>
        <w:t>ganancias</w:t>
      </w:r>
      <w:r>
        <w:rPr>
          <w:color w:val="231F20"/>
          <w:spacing w:val="-39"/>
          <w:w w:val="105"/>
          <w:sz w:val="21"/>
        </w:rPr>
        <w:t> </w:t>
      </w:r>
      <w:r>
        <w:rPr>
          <w:color w:val="231F20"/>
          <w:w w:val="105"/>
          <w:sz w:val="21"/>
        </w:rPr>
        <w:t>excepcionales</w:t>
      </w:r>
      <w:r>
        <w:rPr>
          <w:color w:val="231F20"/>
          <w:spacing w:val="-39"/>
          <w:w w:val="105"/>
          <w:sz w:val="21"/>
        </w:rPr>
        <w:t> </w:t>
      </w:r>
      <w:r>
        <w:rPr>
          <w:color w:val="231F20"/>
          <w:spacing w:val="-3"/>
          <w:w w:val="105"/>
          <w:sz w:val="21"/>
        </w:rPr>
        <w:t>(Peteraf,</w:t>
      </w:r>
      <w:r>
        <w:rPr>
          <w:color w:val="231F20"/>
          <w:spacing w:val="-42"/>
          <w:w w:val="105"/>
          <w:sz w:val="21"/>
        </w:rPr>
        <w:t> </w:t>
      </w:r>
      <w:r>
        <w:rPr>
          <w:color w:val="231F20"/>
          <w:w w:val="105"/>
          <w:sz w:val="21"/>
        </w:rPr>
        <w:t>1993).</w:t>
      </w:r>
    </w:p>
    <w:p>
      <w:pPr>
        <w:pStyle w:val="ListParagraph"/>
        <w:numPr>
          <w:ilvl w:val="1"/>
          <w:numId w:val="35"/>
        </w:numPr>
        <w:tabs>
          <w:tab w:pos="1328" w:val="left" w:leader="none"/>
        </w:tabs>
        <w:spacing w:line="259" w:lineRule="auto" w:before="170" w:after="0"/>
        <w:ind w:left="1327" w:right="121" w:hanging="360"/>
        <w:jc w:val="both"/>
        <w:rPr>
          <w:sz w:val="21"/>
        </w:rPr>
      </w:pPr>
      <w:r>
        <w:rPr>
          <w:color w:val="231F20"/>
          <w:w w:val="105"/>
          <w:sz w:val="21"/>
        </w:rPr>
        <w:t>Inimitables. Con poca posibilidad de imitarse, pero gran capacidad de protegerse en caso de ser copiados por los competidores. Los recursos serán más estratégicos en la medida que más dificultad le represente a la competencia copiarlos</w:t>
      </w:r>
      <w:r>
        <w:rPr>
          <w:color w:val="231F20"/>
          <w:spacing w:val="-25"/>
          <w:w w:val="105"/>
          <w:sz w:val="21"/>
        </w:rPr>
        <w:t> </w:t>
      </w:r>
      <w:r>
        <w:rPr>
          <w:color w:val="231F20"/>
          <w:w w:val="105"/>
          <w:sz w:val="21"/>
        </w:rPr>
        <w:t>(Wade</w:t>
      </w:r>
      <w:r>
        <w:rPr>
          <w:color w:val="231F20"/>
          <w:spacing w:val="-25"/>
          <w:w w:val="105"/>
          <w:sz w:val="21"/>
        </w:rPr>
        <w:t> </w:t>
      </w:r>
      <w:r>
        <w:rPr>
          <w:color w:val="231F20"/>
          <w:w w:val="105"/>
          <w:sz w:val="21"/>
        </w:rPr>
        <w:t>y</w:t>
      </w:r>
      <w:r>
        <w:rPr>
          <w:color w:val="231F20"/>
          <w:spacing w:val="-25"/>
          <w:w w:val="105"/>
          <w:sz w:val="21"/>
        </w:rPr>
        <w:t> </w:t>
      </w:r>
      <w:r>
        <w:rPr>
          <w:color w:val="231F20"/>
          <w:w w:val="105"/>
          <w:sz w:val="21"/>
        </w:rPr>
        <w:t>Hulland,</w:t>
      </w:r>
      <w:r>
        <w:rPr>
          <w:color w:val="231F20"/>
          <w:spacing w:val="-30"/>
          <w:w w:val="105"/>
          <w:sz w:val="21"/>
        </w:rPr>
        <w:t> </w:t>
      </w:r>
      <w:r>
        <w:rPr>
          <w:color w:val="231F20"/>
          <w:w w:val="105"/>
          <w:sz w:val="21"/>
        </w:rPr>
        <w:t>2004).</w:t>
      </w:r>
    </w:p>
    <w:p>
      <w:pPr>
        <w:pStyle w:val="ListParagraph"/>
        <w:numPr>
          <w:ilvl w:val="1"/>
          <w:numId w:val="35"/>
        </w:numPr>
        <w:tabs>
          <w:tab w:pos="1328" w:val="left" w:leader="none"/>
        </w:tabs>
        <w:spacing w:line="259" w:lineRule="auto" w:before="170" w:after="0"/>
        <w:ind w:left="1327" w:right="121" w:hanging="360"/>
        <w:jc w:val="both"/>
        <w:rPr>
          <w:sz w:val="21"/>
        </w:rPr>
      </w:pPr>
      <w:r>
        <w:rPr>
          <w:color w:val="231F20"/>
          <w:w w:val="105"/>
          <w:sz w:val="21"/>
        </w:rPr>
        <w:t>Insustituibles.</w:t>
      </w:r>
      <w:r>
        <w:rPr>
          <w:color w:val="231F20"/>
          <w:spacing w:val="-14"/>
          <w:w w:val="105"/>
          <w:sz w:val="21"/>
        </w:rPr>
        <w:t> </w:t>
      </w:r>
      <w:r>
        <w:rPr>
          <w:color w:val="231F20"/>
          <w:w w:val="105"/>
          <w:sz w:val="21"/>
        </w:rPr>
        <w:t>Los</w:t>
      </w:r>
      <w:r>
        <w:rPr>
          <w:color w:val="231F20"/>
          <w:spacing w:val="-9"/>
          <w:w w:val="105"/>
          <w:sz w:val="21"/>
        </w:rPr>
        <w:t> </w:t>
      </w:r>
      <w:r>
        <w:rPr>
          <w:color w:val="231F20"/>
          <w:w w:val="105"/>
          <w:sz w:val="21"/>
        </w:rPr>
        <w:t>competidores</w:t>
      </w:r>
      <w:r>
        <w:rPr>
          <w:color w:val="231F20"/>
          <w:spacing w:val="-9"/>
          <w:w w:val="105"/>
          <w:sz w:val="21"/>
        </w:rPr>
        <w:t> </w:t>
      </w:r>
      <w:r>
        <w:rPr>
          <w:color w:val="231F20"/>
          <w:w w:val="105"/>
          <w:sz w:val="21"/>
        </w:rPr>
        <w:t>no</w:t>
      </w:r>
      <w:r>
        <w:rPr>
          <w:color w:val="231F20"/>
          <w:spacing w:val="-9"/>
          <w:w w:val="105"/>
          <w:sz w:val="21"/>
        </w:rPr>
        <w:t> </w:t>
      </w:r>
      <w:r>
        <w:rPr>
          <w:color w:val="231F20"/>
          <w:w w:val="105"/>
          <w:sz w:val="21"/>
        </w:rPr>
        <w:t>deben</w:t>
      </w:r>
      <w:r>
        <w:rPr>
          <w:color w:val="231F20"/>
          <w:spacing w:val="-9"/>
          <w:w w:val="105"/>
          <w:sz w:val="21"/>
        </w:rPr>
        <w:t> </w:t>
      </w:r>
      <w:r>
        <w:rPr>
          <w:color w:val="231F20"/>
          <w:w w:val="105"/>
          <w:sz w:val="21"/>
        </w:rPr>
        <w:t>poseer</w:t>
      </w:r>
      <w:r>
        <w:rPr>
          <w:color w:val="231F20"/>
          <w:spacing w:val="-9"/>
          <w:w w:val="105"/>
          <w:sz w:val="21"/>
        </w:rPr>
        <w:t> </w:t>
      </w:r>
      <w:r>
        <w:rPr>
          <w:color w:val="231F20"/>
          <w:w w:val="105"/>
          <w:sz w:val="21"/>
        </w:rPr>
        <w:t>recursos equivalentes a fin de sustituir un recurso de otro modo ini- mitable.</w:t>
      </w:r>
      <w:r>
        <w:rPr>
          <w:color w:val="231F20"/>
          <w:spacing w:val="-19"/>
          <w:w w:val="105"/>
          <w:sz w:val="21"/>
        </w:rPr>
        <w:t> </w:t>
      </w:r>
      <w:r>
        <w:rPr>
          <w:color w:val="231F20"/>
          <w:w w:val="105"/>
          <w:sz w:val="21"/>
        </w:rPr>
        <w:t>Cuando</w:t>
      </w:r>
      <w:r>
        <w:rPr>
          <w:color w:val="231F20"/>
          <w:spacing w:val="-14"/>
          <w:w w:val="105"/>
          <w:sz w:val="21"/>
        </w:rPr>
        <w:t> </w:t>
      </w:r>
      <w:r>
        <w:rPr>
          <w:color w:val="231F20"/>
          <w:w w:val="105"/>
          <w:sz w:val="21"/>
        </w:rPr>
        <w:t>las</w:t>
      </w:r>
      <w:r>
        <w:rPr>
          <w:color w:val="231F20"/>
          <w:spacing w:val="-14"/>
          <w:w w:val="105"/>
          <w:sz w:val="21"/>
        </w:rPr>
        <w:t> </w:t>
      </w:r>
      <w:r>
        <w:rPr>
          <w:color w:val="231F20"/>
          <w:w w:val="105"/>
          <w:sz w:val="21"/>
        </w:rPr>
        <w:t>empresas</w:t>
      </w:r>
      <w:r>
        <w:rPr>
          <w:color w:val="231F20"/>
          <w:spacing w:val="-14"/>
          <w:w w:val="105"/>
          <w:sz w:val="21"/>
        </w:rPr>
        <w:t> </w:t>
      </w:r>
      <w:r>
        <w:rPr>
          <w:color w:val="231F20"/>
          <w:w w:val="105"/>
          <w:sz w:val="21"/>
        </w:rPr>
        <w:t>no</w:t>
      </w:r>
      <w:r>
        <w:rPr>
          <w:color w:val="231F20"/>
          <w:spacing w:val="-14"/>
          <w:w w:val="105"/>
          <w:sz w:val="21"/>
        </w:rPr>
        <w:t> </w:t>
      </w:r>
      <w:r>
        <w:rPr>
          <w:color w:val="231F20"/>
          <w:w w:val="105"/>
          <w:sz w:val="21"/>
        </w:rPr>
        <w:t>son</w:t>
      </w:r>
      <w:r>
        <w:rPr>
          <w:color w:val="231F20"/>
          <w:spacing w:val="-14"/>
          <w:w w:val="105"/>
          <w:sz w:val="21"/>
        </w:rPr>
        <w:t> </w:t>
      </w:r>
      <w:r>
        <w:rPr>
          <w:color w:val="231F20"/>
          <w:w w:val="105"/>
          <w:sz w:val="21"/>
        </w:rPr>
        <w:t>capaces</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imitar</w:t>
      </w:r>
      <w:r>
        <w:rPr>
          <w:color w:val="231F20"/>
          <w:spacing w:val="-14"/>
          <w:w w:val="105"/>
          <w:sz w:val="21"/>
        </w:rPr>
        <w:t> </w:t>
      </w:r>
      <w:r>
        <w:rPr>
          <w:color w:val="231F20"/>
          <w:w w:val="105"/>
          <w:sz w:val="21"/>
        </w:rPr>
        <w:t>los recursos, buscarán sustituirlos. Sin embargo, la</w:t>
      </w:r>
      <w:r>
        <w:rPr>
          <w:color w:val="231F20"/>
          <w:spacing w:val="-42"/>
          <w:w w:val="105"/>
          <w:sz w:val="21"/>
        </w:rPr>
        <w:t> </w:t>
      </w:r>
      <w:r>
        <w:rPr>
          <w:color w:val="231F20"/>
          <w:w w:val="105"/>
          <w:sz w:val="21"/>
        </w:rPr>
        <w:t>sustitución es limitada por el costo de desarrollar recursos similares que</w:t>
      </w:r>
      <w:r>
        <w:rPr>
          <w:color w:val="231F20"/>
          <w:spacing w:val="-7"/>
          <w:w w:val="105"/>
          <w:sz w:val="21"/>
        </w:rPr>
        <w:t> </w:t>
      </w:r>
      <w:r>
        <w:rPr>
          <w:color w:val="231F20"/>
          <w:w w:val="105"/>
          <w:sz w:val="21"/>
        </w:rPr>
        <w:t>les</w:t>
      </w:r>
      <w:r>
        <w:rPr>
          <w:color w:val="231F20"/>
          <w:spacing w:val="-7"/>
          <w:w w:val="105"/>
          <w:sz w:val="21"/>
        </w:rPr>
        <w:t> </w:t>
      </w:r>
      <w:r>
        <w:rPr>
          <w:color w:val="231F20"/>
          <w:w w:val="105"/>
          <w:sz w:val="21"/>
        </w:rPr>
        <w:t>permitan</w:t>
      </w:r>
      <w:r>
        <w:rPr>
          <w:color w:val="231F20"/>
          <w:spacing w:val="-7"/>
          <w:w w:val="105"/>
          <w:sz w:val="21"/>
        </w:rPr>
        <w:t> </w:t>
      </w:r>
      <w:r>
        <w:rPr>
          <w:color w:val="231F20"/>
          <w:w w:val="105"/>
          <w:sz w:val="21"/>
        </w:rPr>
        <w:t>implantar</w:t>
      </w:r>
      <w:r>
        <w:rPr>
          <w:color w:val="231F20"/>
          <w:spacing w:val="-7"/>
          <w:w w:val="105"/>
          <w:sz w:val="21"/>
        </w:rPr>
        <w:t> </w:t>
      </w:r>
      <w:r>
        <w:rPr>
          <w:color w:val="231F20"/>
          <w:w w:val="105"/>
          <w:sz w:val="21"/>
        </w:rPr>
        <w:t>una</w:t>
      </w:r>
      <w:r>
        <w:rPr>
          <w:color w:val="231F20"/>
          <w:spacing w:val="-7"/>
          <w:w w:val="105"/>
          <w:sz w:val="21"/>
        </w:rPr>
        <w:t> </w:t>
      </w:r>
      <w:r>
        <w:rPr>
          <w:color w:val="231F20"/>
          <w:w w:val="105"/>
          <w:sz w:val="21"/>
        </w:rPr>
        <w:t>estrategia</w:t>
      </w:r>
      <w:r>
        <w:rPr>
          <w:color w:val="231F20"/>
          <w:spacing w:val="-7"/>
          <w:w w:val="105"/>
          <w:sz w:val="21"/>
        </w:rPr>
        <w:t> </w:t>
      </w:r>
      <w:r>
        <w:rPr>
          <w:color w:val="231F20"/>
          <w:w w:val="105"/>
          <w:sz w:val="21"/>
        </w:rPr>
        <w:t>similar</w:t>
      </w:r>
      <w:r>
        <w:rPr>
          <w:color w:val="231F20"/>
          <w:spacing w:val="-7"/>
          <w:w w:val="105"/>
          <w:sz w:val="21"/>
        </w:rPr>
        <w:t> </w:t>
      </w:r>
      <w:r>
        <w:rPr>
          <w:color w:val="231F20"/>
          <w:w w:val="105"/>
          <w:sz w:val="21"/>
        </w:rPr>
        <w:t>(Kristandl y</w:t>
      </w:r>
      <w:r>
        <w:rPr>
          <w:color w:val="231F20"/>
          <w:spacing w:val="-37"/>
          <w:w w:val="105"/>
          <w:sz w:val="21"/>
        </w:rPr>
        <w:t> </w:t>
      </w:r>
      <w:r>
        <w:rPr>
          <w:color w:val="231F20"/>
          <w:w w:val="105"/>
          <w:sz w:val="21"/>
        </w:rPr>
        <w:t>Bontis,</w:t>
      </w:r>
      <w:r>
        <w:rPr>
          <w:color w:val="231F20"/>
          <w:spacing w:val="-40"/>
          <w:w w:val="105"/>
          <w:sz w:val="21"/>
        </w:rPr>
        <w:t> </w:t>
      </w:r>
      <w:r>
        <w:rPr>
          <w:color w:val="231F20"/>
          <w:w w:val="105"/>
          <w:sz w:val="21"/>
        </w:rPr>
        <w:t>2007).</w:t>
      </w:r>
    </w:p>
    <w:p>
      <w:pPr>
        <w:spacing w:after="0" w:line="259" w:lineRule="auto"/>
        <w:jc w:val="both"/>
        <w:rPr>
          <w:sz w:val="21"/>
        </w:rPr>
        <w:sectPr>
          <w:pgSz w:w="9640" w:h="13890"/>
          <w:pgMar w:top="0" w:bottom="280" w:left="1300" w:right="1180"/>
        </w:sectPr>
      </w:pPr>
    </w:p>
    <w:p>
      <w:pPr>
        <w:pStyle w:val="ListParagraph"/>
        <w:numPr>
          <w:ilvl w:val="1"/>
          <w:numId w:val="35"/>
        </w:numPr>
        <w:tabs>
          <w:tab w:pos="1315" w:val="left" w:leader="none"/>
        </w:tabs>
        <w:spacing w:line="259" w:lineRule="auto" w:before="120" w:after="0"/>
        <w:ind w:left="1314" w:right="114" w:hanging="360"/>
        <w:jc w:val="both"/>
        <w:rPr>
          <w:sz w:val="21"/>
        </w:rPr>
      </w:pPr>
      <w:r>
        <w:rPr>
          <w:color w:val="231F20"/>
          <w:w w:val="105"/>
          <w:sz w:val="21"/>
        </w:rPr>
        <w:t>Duraderos.</w:t>
      </w:r>
      <w:r>
        <w:rPr>
          <w:color w:val="231F20"/>
          <w:spacing w:val="-31"/>
          <w:w w:val="105"/>
          <w:sz w:val="21"/>
        </w:rPr>
        <w:t> </w:t>
      </w:r>
      <w:r>
        <w:rPr>
          <w:color w:val="231F20"/>
          <w:w w:val="105"/>
          <w:sz w:val="21"/>
        </w:rPr>
        <w:t>La</w:t>
      </w:r>
      <w:r>
        <w:rPr>
          <w:color w:val="231F20"/>
          <w:spacing w:val="-27"/>
          <w:w w:val="105"/>
          <w:sz w:val="21"/>
        </w:rPr>
        <w:t> </w:t>
      </w:r>
      <w:r>
        <w:rPr>
          <w:color w:val="231F20"/>
          <w:w w:val="105"/>
          <w:sz w:val="21"/>
        </w:rPr>
        <w:t>diferenciación</w:t>
      </w:r>
      <w:r>
        <w:rPr>
          <w:color w:val="231F20"/>
          <w:spacing w:val="-27"/>
          <w:w w:val="105"/>
          <w:sz w:val="21"/>
        </w:rPr>
        <w:t> </w:t>
      </w:r>
      <w:r>
        <w:rPr>
          <w:color w:val="231F20"/>
          <w:w w:val="105"/>
          <w:sz w:val="21"/>
        </w:rPr>
        <w:t>que</w:t>
      </w:r>
      <w:r>
        <w:rPr>
          <w:color w:val="231F20"/>
          <w:spacing w:val="-27"/>
          <w:w w:val="105"/>
          <w:sz w:val="21"/>
        </w:rPr>
        <w:t> </w:t>
      </w:r>
      <w:r>
        <w:rPr>
          <w:color w:val="231F20"/>
          <w:w w:val="105"/>
          <w:sz w:val="21"/>
        </w:rPr>
        <w:t>tienen</w:t>
      </w:r>
      <w:r>
        <w:rPr>
          <w:color w:val="231F20"/>
          <w:spacing w:val="-27"/>
          <w:w w:val="105"/>
          <w:sz w:val="21"/>
        </w:rPr>
        <w:t> </w:t>
      </w:r>
      <w:r>
        <w:rPr>
          <w:color w:val="231F20"/>
          <w:w w:val="105"/>
          <w:sz w:val="21"/>
        </w:rPr>
        <w:t>las</w:t>
      </w:r>
      <w:r>
        <w:rPr>
          <w:color w:val="231F20"/>
          <w:spacing w:val="-27"/>
          <w:w w:val="105"/>
          <w:sz w:val="21"/>
        </w:rPr>
        <w:t> </w:t>
      </w:r>
      <w:r>
        <w:rPr>
          <w:color w:val="231F20"/>
          <w:w w:val="105"/>
          <w:sz w:val="21"/>
        </w:rPr>
        <w:t>empresas</w:t>
      </w:r>
      <w:r>
        <w:rPr>
          <w:color w:val="231F20"/>
          <w:spacing w:val="-27"/>
          <w:w w:val="105"/>
          <w:sz w:val="21"/>
        </w:rPr>
        <w:t> </w:t>
      </w:r>
      <w:r>
        <w:rPr>
          <w:color w:val="231F20"/>
          <w:w w:val="105"/>
          <w:sz w:val="21"/>
        </w:rPr>
        <w:t>a</w:t>
      </w:r>
      <w:r>
        <w:rPr>
          <w:color w:val="231F20"/>
          <w:spacing w:val="-27"/>
          <w:w w:val="105"/>
          <w:sz w:val="21"/>
        </w:rPr>
        <w:t> </w:t>
      </w:r>
      <w:r>
        <w:rPr>
          <w:color w:val="231F20"/>
          <w:w w:val="105"/>
          <w:sz w:val="21"/>
        </w:rPr>
        <w:t>par- tir</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sus</w:t>
      </w:r>
      <w:r>
        <w:rPr>
          <w:color w:val="231F20"/>
          <w:spacing w:val="-19"/>
          <w:w w:val="105"/>
          <w:sz w:val="21"/>
        </w:rPr>
        <w:t> </w:t>
      </w:r>
      <w:r>
        <w:rPr>
          <w:color w:val="231F20"/>
          <w:w w:val="105"/>
          <w:sz w:val="21"/>
        </w:rPr>
        <w:t>recursos,</w:t>
      </w:r>
      <w:r>
        <w:rPr>
          <w:color w:val="231F20"/>
          <w:spacing w:val="-23"/>
          <w:w w:val="105"/>
          <w:sz w:val="21"/>
        </w:rPr>
        <w:t> </w:t>
      </w:r>
      <w:r>
        <w:rPr>
          <w:color w:val="231F20"/>
          <w:w w:val="105"/>
          <w:sz w:val="21"/>
        </w:rPr>
        <w:t>deben</w:t>
      </w:r>
      <w:r>
        <w:rPr>
          <w:color w:val="231F20"/>
          <w:spacing w:val="-19"/>
          <w:w w:val="105"/>
          <w:sz w:val="21"/>
        </w:rPr>
        <w:t> </w:t>
      </w:r>
      <w:r>
        <w:rPr>
          <w:color w:val="231F20"/>
          <w:w w:val="105"/>
          <w:sz w:val="21"/>
        </w:rPr>
        <w:t>ser</w:t>
      </w:r>
      <w:r>
        <w:rPr>
          <w:color w:val="231F20"/>
          <w:spacing w:val="-19"/>
          <w:w w:val="105"/>
          <w:sz w:val="21"/>
        </w:rPr>
        <w:t> </w:t>
      </w:r>
      <w:r>
        <w:rPr>
          <w:color w:val="231F20"/>
          <w:w w:val="105"/>
          <w:sz w:val="21"/>
        </w:rPr>
        <w:t>estables</w:t>
      </w:r>
      <w:r>
        <w:rPr>
          <w:color w:val="231F20"/>
          <w:spacing w:val="-19"/>
          <w:w w:val="105"/>
          <w:sz w:val="21"/>
        </w:rPr>
        <w:t> </w:t>
      </w:r>
      <w:r>
        <w:rPr>
          <w:color w:val="231F20"/>
          <w:w w:val="105"/>
          <w:sz w:val="21"/>
        </w:rPr>
        <w:t>en</w:t>
      </w:r>
      <w:r>
        <w:rPr>
          <w:color w:val="231F20"/>
          <w:spacing w:val="-19"/>
          <w:w w:val="105"/>
          <w:sz w:val="21"/>
        </w:rPr>
        <w:t> </w:t>
      </w:r>
      <w:r>
        <w:rPr>
          <w:color w:val="231F20"/>
          <w:w w:val="105"/>
          <w:sz w:val="21"/>
        </w:rPr>
        <w:t>el</w:t>
      </w:r>
      <w:r>
        <w:rPr>
          <w:color w:val="231F20"/>
          <w:spacing w:val="-19"/>
          <w:w w:val="105"/>
          <w:sz w:val="21"/>
        </w:rPr>
        <w:t> </w:t>
      </w:r>
      <w:r>
        <w:rPr>
          <w:color w:val="231F20"/>
          <w:w w:val="105"/>
          <w:sz w:val="21"/>
        </w:rPr>
        <w:t>tiempo.</w:t>
      </w:r>
      <w:r>
        <w:rPr>
          <w:color w:val="231F20"/>
          <w:spacing w:val="-23"/>
          <w:w w:val="105"/>
          <w:sz w:val="21"/>
        </w:rPr>
        <w:t> </w:t>
      </w:r>
      <w:r>
        <w:rPr>
          <w:color w:val="231F20"/>
          <w:w w:val="105"/>
          <w:sz w:val="21"/>
        </w:rPr>
        <w:t>Esto</w:t>
      </w:r>
      <w:r>
        <w:rPr>
          <w:color w:val="231F20"/>
          <w:spacing w:val="-19"/>
          <w:w w:val="105"/>
          <w:sz w:val="21"/>
        </w:rPr>
        <w:t> </w:t>
      </w:r>
      <w:r>
        <w:rPr>
          <w:color w:val="231F20"/>
          <w:w w:val="105"/>
          <w:sz w:val="21"/>
        </w:rPr>
        <w:t>es más</w:t>
      </w:r>
      <w:r>
        <w:rPr>
          <w:color w:val="231F20"/>
          <w:spacing w:val="-21"/>
          <w:w w:val="105"/>
          <w:sz w:val="21"/>
        </w:rPr>
        <w:t> </w:t>
      </w:r>
      <w:r>
        <w:rPr>
          <w:color w:val="231F20"/>
          <w:w w:val="105"/>
          <w:sz w:val="21"/>
        </w:rPr>
        <w:t>aplicable</w:t>
      </w:r>
      <w:r>
        <w:rPr>
          <w:color w:val="231F20"/>
          <w:spacing w:val="-21"/>
          <w:w w:val="105"/>
          <w:sz w:val="21"/>
        </w:rPr>
        <w:t> </w:t>
      </w:r>
      <w:r>
        <w:rPr>
          <w:color w:val="231F20"/>
          <w:w w:val="105"/>
          <w:sz w:val="21"/>
        </w:rPr>
        <w:t>a</w:t>
      </w:r>
      <w:r>
        <w:rPr>
          <w:color w:val="231F20"/>
          <w:spacing w:val="-21"/>
          <w:w w:val="105"/>
          <w:sz w:val="21"/>
        </w:rPr>
        <w:t> </w:t>
      </w:r>
      <w:r>
        <w:rPr>
          <w:color w:val="231F20"/>
          <w:w w:val="105"/>
          <w:sz w:val="21"/>
        </w:rPr>
        <w:t>los</w:t>
      </w:r>
      <w:r>
        <w:rPr>
          <w:color w:val="231F20"/>
          <w:spacing w:val="-21"/>
          <w:w w:val="105"/>
          <w:sz w:val="21"/>
        </w:rPr>
        <w:t> </w:t>
      </w:r>
      <w:r>
        <w:rPr>
          <w:color w:val="231F20"/>
          <w:w w:val="105"/>
          <w:sz w:val="21"/>
        </w:rPr>
        <w:t>activos</w:t>
      </w:r>
      <w:r>
        <w:rPr>
          <w:color w:val="231F20"/>
          <w:spacing w:val="-21"/>
          <w:w w:val="105"/>
          <w:sz w:val="21"/>
        </w:rPr>
        <w:t> </w:t>
      </w:r>
      <w:r>
        <w:rPr>
          <w:color w:val="231F20"/>
          <w:w w:val="105"/>
          <w:sz w:val="21"/>
        </w:rPr>
        <w:t>intangibles,</w:t>
      </w:r>
      <w:r>
        <w:rPr>
          <w:color w:val="231F20"/>
          <w:spacing w:val="-26"/>
          <w:w w:val="105"/>
          <w:sz w:val="21"/>
        </w:rPr>
        <w:t> </w:t>
      </w:r>
      <w:r>
        <w:rPr>
          <w:color w:val="231F20"/>
          <w:w w:val="105"/>
          <w:sz w:val="21"/>
        </w:rPr>
        <w:t>ya</w:t>
      </w:r>
      <w:r>
        <w:rPr>
          <w:color w:val="231F20"/>
          <w:spacing w:val="-21"/>
          <w:w w:val="105"/>
          <w:sz w:val="21"/>
        </w:rPr>
        <w:t> </w:t>
      </w:r>
      <w:r>
        <w:rPr>
          <w:color w:val="231F20"/>
          <w:w w:val="105"/>
          <w:sz w:val="21"/>
        </w:rPr>
        <w:t>que</w:t>
      </w:r>
      <w:r>
        <w:rPr>
          <w:color w:val="231F20"/>
          <w:spacing w:val="-21"/>
          <w:w w:val="105"/>
          <w:sz w:val="21"/>
        </w:rPr>
        <w:t> </w:t>
      </w:r>
      <w:r>
        <w:rPr>
          <w:color w:val="231F20"/>
          <w:w w:val="105"/>
          <w:sz w:val="21"/>
        </w:rPr>
        <w:t>los</w:t>
      </w:r>
      <w:r>
        <w:rPr>
          <w:color w:val="231F20"/>
          <w:spacing w:val="-21"/>
          <w:w w:val="105"/>
          <w:sz w:val="21"/>
        </w:rPr>
        <w:t> </w:t>
      </w:r>
      <w:r>
        <w:rPr>
          <w:color w:val="231F20"/>
          <w:w w:val="105"/>
          <w:sz w:val="21"/>
        </w:rPr>
        <w:t>desarrolla y</w:t>
      </w:r>
      <w:r>
        <w:rPr>
          <w:color w:val="231F20"/>
          <w:spacing w:val="-23"/>
          <w:w w:val="105"/>
          <w:sz w:val="21"/>
        </w:rPr>
        <w:t> </w:t>
      </w:r>
      <w:r>
        <w:rPr>
          <w:color w:val="231F20"/>
          <w:w w:val="105"/>
          <w:sz w:val="21"/>
        </w:rPr>
        <w:t>perfecciona</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propia</w:t>
      </w:r>
      <w:r>
        <w:rPr>
          <w:color w:val="231F20"/>
          <w:spacing w:val="-23"/>
          <w:w w:val="105"/>
          <w:sz w:val="21"/>
        </w:rPr>
        <w:t> </w:t>
      </w:r>
      <w:r>
        <w:rPr>
          <w:color w:val="231F20"/>
          <w:w w:val="105"/>
          <w:sz w:val="21"/>
        </w:rPr>
        <w:t>organización</w:t>
      </w:r>
      <w:r>
        <w:rPr>
          <w:color w:val="231F20"/>
          <w:spacing w:val="-23"/>
          <w:w w:val="105"/>
          <w:sz w:val="21"/>
        </w:rPr>
        <w:t> </w:t>
      </w:r>
      <w:r>
        <w:rPr>
          <w:color w:val="231F20"/>
          <w:w w:val="105"/>
          <w:sz w:val="21"/>
        </w:rPr>
        <w:t>y</w:t>
      </w:r>
      <w:r>
        <w:rPr>
          <w:color w:val="231F20"/>
          <w:spacing w:val="-23"/>
          <w:w w:val="105"/>
          <w:sz w:val="21"/>
        </w:rPr>
        <w:t> </w:t>
      </w:r>
      <w:r>
        <w:rPr>
          <w:color w:val="231F20"/>
          <w:w w:val="105"/>
          <w:sz w:val="21"/>
        </w:rPr>
        <w:t>tienen</w:t>
      </w:r>
      <w:r>
        <w:rPr>
          <w:color w:val="231F20"/>
          <w:spacing w:val="-23"/>
          <w:w w:val="105"/>
          <w:sz w:val="21"/>
        </w:rPr>
        <w:t> </w:t>
      </w:r>
      <w:r>
        <w:rPr>
          <w:color w:val="231F20"/>
          <w:w w:val="105"/>
          <w:sz w:val="21"/>
        </w:rPr>
        <w:t>una</w:t>
      </w:r>
      <w:r>
        <w:rPr>
          <w:color w:val="231F20"/>
          <w:spacing w:val="-23"/>
          <w:w w:val="105"/>
          <w:sz w:val="21"/>
        </w:rPr>
        <w:t> </w:t>
      </w:r>
      <w:r>
        <w:rPr>
          <w:color w:val="231F20"/>
          <w:w w:val="105"/>
          <w:sz w:val="21"/>
        </w:rPr>
        <w:t>esperanza de</w:t>
      </w:r>
      <w:r>
        <w:rPr>
          <w:color w:val="231F20"/>
          <w:spacing w:val="-8"/>
          <w:w w:val="105"/>
          <w:sz w:val="21"/>
        </w:rPr>
        <w:t> </w:t>
      </w:r>
      <w:r>
        <w:rPr>
          <w:color w:val="231F20"/>
          <w:w w:val="105"/>
          <w:sz w:val="21"/>
        </w:rPr>
        <w:t>vida</w:t>
      </w:r>
      <w:r>
        <w:rPr>
          <w:color w:val="231F20"/>
          <w:spacing w:val="-8"/>
          <w:w w:val="105"/>
          <w:sz w:val="21"/>
        </w:rPr>
        <w:t> </w:t>
      </w:r>
      <w:r>
        <w:rPr>
          <w:color w:val="231F20"/>
          <w:w w:val="105"/>
          <w:sz w:val="21"/>
        </w:rPr>
        <w:t>mayor</w:t>
      </w:r>
      <w:r>
        <w:rPr>
          <w:color w:val="231F20"/>
          <w:spacing w:val="-8"/>
          <w:w w:val="105"/>
          <w:sz w:val="21"/>
        </w:rPr>
        <w:t> </w:t>
      </w:r>
      <w:r>
        <w:rPr>
          <w:color w:val="231F20"/>
          <w:w w:val="105"/>
          <w:sz w:val="21"/>
        </w:rPr>
        <w:t>que</w:t>
      </w:r>
      <w:r>
        <w:rPr>
          <w:color w:val="231F20"/>
          <w:spacing w:val="-8"/>
          <w:w w:val="105"/>
          <w:sz w:val="21"/>
        </w:rPr>
        <w:t> </w:t>
      </w:r>
      <w:r>
        <w:rPr>
          <w:color w:val="231F20"/>
          <w:w w:val="105"/>
          <w:sz w:val="21"/>
        </w:rPr>
        <w:t>los</w:t>
      </w:r>
      <w:r>
        <w:rPr>
          <w:color w:val="231F20"/>
          <w:spacing w:val="-8"/>
          <w:w w:val="105"/>
          <w:sz w:val="21"/>
        </w:rPr>
        <w:t> </w:t>
      </w:r>
      <w:r>
        <w:rPr>
          <w:color w:val="231F20"/>
          <w:w w:val="105"/>
          <w:sz w:val="21"/>
        </w:rPr>
        <w:t>recursos</w:t>
      </w:r>
      <w:r>
        <w:rPr>
          <w:color w:val="231F20"/>
          <w:spacing w:val="-8"/>
          <w:w w:val="105"/>
          <w:sz w:val="21"/>
        </w:rPr>
        <w:t> </w:t>
      </w:r>
      <w:r>
        <w:rPr>
          <w:color w:val="231F20"/>
          <w:w w:val="105"/>
          <w:sz w:val="21"/>
        </w:rPr>
        <w:t>tangibles,</w:t>
      </w:r>
      <w:r>
        <w:rPr>
          <w:color w:val="231F20"/>
          <w:spacing w:val="-13"/>
          <w:w w:val="105"/>
          <w:sz w:val="21"/>
        </w:rPr>
        <w:t> </w:t>
      </w:r>
      <w:r>
        <w:rPr>
          <w:color w:val="231F20"/>
          <w:w w:val="105"/>
          <w:sz w:val="21"/>
        </w:rPr>
        <w:t>los</w:t>
      </w:r>
      <w:r>
        <w:rPr>
          <w:color w:val="231F20"/>
          <w:spacing w:val="-8"/>
          <w:w w:val="105"/>
          <w:sz w:val="21"/>
        </w:rPr>
        <w:t> </w:t>
      </w:r>
      <w:r>
        <w:rPr>
          <w:color w:val="231F20"/>
          <w:w w:val="105"/>
          <w:sz w:val="21"/>
        </w:rPr>
        <w:t>cuales</w:t>
      </w:r>
      <w:r>
        <w:rPr>
          <w:color w:val="231F20"/>
          <w:spacing w:val="-8"/>
          <w:w w:val="105"/>
          <w:sz w:val="21"/>
        </w:rPr>
        <w:t> </w:t>
      </w:r>
      <w:r>
        <w:rPr>
          <w:color w:val="231F20"/>
          <w:w w:val="105"/>
          <w:sz w:val="21"/>
        </w:rPr>
        <w:t>se</w:t>
      </w:r>
      <w:r>
        <w:rPr>
          <w:color w:val="231F20"/>
          <w:spacing w:val="-8"/>
          <w:w w:val="105"/>
          <w:sz w:val="21"/>
        </w:rPr>
        <w:t> </w:t>
      </w:r>
      <w:r>
        <w:rPr>
          <w:color w:val="231F20"/>
          <w:w w:val="105"/>
          <w:sz w:val="21"/>
        </w:rPr>
        <w:t>de- precian</w:t>
      </w:r>
      <w:r>
        <w:rPr>
          <w:color w:val="231F20"/>
          <w:spacing w:val="-24"/>
          <w:w w:val="105"/>
          <w:sz w:val="21"/>
        </w:rPr>
        <w:t> </w:t>
      </w:r>
      <w:r>
        <w:rPr>
          <w:color w:val="231F20"/>
          <w:w w:val="105"/>
          <w:sz w:val="21"/>
        </w:rPr>
        <w:t>con</w:t>
      </w:r>
      <w:r>
        <w:rPr>
          <w:color w:val="231F20"/>
          <w:spacing w:val="-24"/>
          <w:w w:val="105"/>
          <w:sz w:val="21"/>
        </w:rPr>
        <w:t> </w:t>
      </w:r>
      <w:r>
        <w:rPr>
          <w:color w:val="231F20"/>
          <w:w w:val="105"/>
          <w:sz w:val="21"/>
        </w:rPr>
        <w:t>el</w:t>
      </w:r>
      <w:r>
        <w:rPr>
          <w:color w:val="231F20"/>
          <w:spacing w:val="-24"/>
          <w:w w:val="105"/>
          <w:sz w:val="21"/>
        </w:rPr>
        <w:t> </w:t>
      </w:r>
      <w:r>
        <w:rPr>
          <w:color w:val="231F20"/>
          <w:w w:val="105"/>
          <w:sz w:val="21"/>
        </w:rPr>
        <w:t>uso</w:t>
      </w:r>
      <w:r>
        <w:rPr>
          <w:color w:val="231F20"/>
          <w:spacing w:val="-24"/>
          <w:w w:val="105"/>
          <w:sz w:val="21"/>
        </w:rPr>
        <w:t> </w:t>
      </w:r>
      <w:r>
        <w:rPr>
          <w:color w:val="231F20"/>
          <w:w w:val="105"/>
          <w:sz w:val="21"/>
        </w:rPr>
        <w:t>(Grant,</w:t>
      </w:r>
      <w:r>
        <w:rPr>
          <w:color w:val="231F20"/>
          <w:spacing w:val="-29"/>
          <w:w w:val="105"/>
          <w:sz w:val="21"/>
        </w:rPr>
        <w:t> </w:t>
      </w:r>
      <w:r>
        <w:rPr>
          <w:color w:val="231F20"/>
          <w:w w:val="105"/>
          <w:sz w:val="21"/>
        </w:rPr>
        <w:t>1997).</w:t>
      </w:r>
    </w:p>
    <w:p>
      <w:pPr>
        <w:pStyle w:val="ListParagraph"/>
        <w:numPr>
          <w:ilvl w:val="1"/>
          <w:numId w:val="35"/>
        </w:numPr>
        <w:tabs>
          <w:tab w:pos="1315" w:val="left" w:leader="none"/>
        </w:tabs>
        <w:spacing w:line="259" w:lineRule="auto" w:before="170" w:after="0"/>
        <w:ind w:left="1314" w:right="115" w:hanging="360"/>
        <w:jc w:val="both"/>
        <w:rPr>
          <w:sz w:val="21"/>
        </w:rPr>
      </w:pPr>
      <w:r>
        <w:rPr>
          <w:color w:val="231F20"/>
          <w:w w:val="105"/>
          <w:sz w:val="21"/>
        </w:rPr>
        <w:t>Intransferibles.</w:t>
      </w:r>
      <w:r>
        <w:rPr>
          <w:color w:val="231F20"/>
          <w:spacing w:val="-21"/>
          <w:w w:val="105"/>
          <w:sz w:val="21"/>
        </w:rPr>
        <w:t> </w:t>
      </w:r>
      <w:r>
        <w:rPr>
          <w:color w:val="231F20"/>
          <w:w w:val="105"/>
          <w:sz w:val="21"/>
        </w:rPr>
        <w:t>Se</w:t>
      </w:r>
      <w:r>
        <w:rPr>
          <w:color w:val="231F20"/>
          <w:spacing w:val="-16"/>
          <w:w w:val="105"/>
          <w:sz w:val="21"/>
        </w:rPr>
        <w:t> </w:t>
      </w:r>
      <w:r>
        <w:rPr>
          <w:color w:val="231F20"/>
          <w:w w:val="105"/>
          <w:sz w:val="21"/>
        </w:rPr>
        <w:t>refiere</w:t>
      </w:r>
      <w:r>
        <w:rPr>
          <w:color w:val="231F20"/>
          <w:spacing w:val="-16"/>
          <w:w w:val="105"/>
          <w:sz w:val="21"/>
        </w:rPr>
        <w:t> </w:t>
      </w:r>
      <w:r>
        <w:rPr>
          <w:color w:val="231F20"/>
          <w:w w:val="105"/>
          <w:sz w:val="21"/>
        </w:rPr>
        <w:t>a</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dificultad</w:t>
      </w:r>
      <w:r>
        <w:rPr>
          <w:color w:val="231F20"/>
          <w:spacing w:val="-16"/>
          <w:w w:val="105"/>
          <w:sz w:val="21"/>
        </w:rPr>
        <w:t> </w:t>
      </w:r>
      <w:r>
        <w:rPr>
          <w:color w:val="231F20"/>
          <w:w w:val="105"/>
          <w:sz w:val="21"/>
        </w:rPr>
        <w:t>para</w:t>
      </w:r>
      <w:r>
        <w:rPr>
          <w:color w:val="231F20"/>
          <w:spacing w:val="-16"/>
          <w:w w:val="105"/>
          <w:sz w:val="21"/>
        </w:rPr>
        <w:t> </w:t>
      </w:r>
      <w:r>
        <w:rPr>
          <w:color w:val="231F20"/>
          <w:w w:val="105"/>
          <w:sz w:val="21"/>
        </w:rPr>
        <w:t>comprar</w:t>
      </w:r>
      <w:r>
        <w:rPr>
          <w:color w:val="231F20"/>
          <w:spacing w:val="-16"/>
          <w:w w:val="105"/>
          <w:sz w:val="21"/>
        </w:rPr>
        <w:t> </w:t>
      </w:r>
      <w:r>
        <w:rPr>
          <w:color w:val="231F20"/>
          <w:w w:val="105"/>
          <w:sz w:val="21"/>
        </w:rPr>
        <w:t>y</w:t>
      </w:r>
      <w:r>
        <w:rPr>
          <w:color w:val="231F20"/>
          <w:spacing w:val="-16"/>
          <w:w w:val="105"/>
          <w:sz w:val="21"/>
        </w:rPr>
        <w:t> </w:t>
      </w:r>
      <w:r>
        <w:rPr>
          <w:color w:val="231F20"/>
          <w:w w:val="105"/>
          <w:sz w:val="21"/>
        </w:rPr>
        <w:t>ven- der libremente los recursos, dado que no es posible</w:t>
      </w:r>
      <w:r>
        <w:rPr>
          <w:color w:val="231F20"/>
          <w:spacing w:val="-33"/>
          <w:w w:val="105"/>
          <w:sz w:val="21"/>
        </w:rPr>
        <w:t> </w:t>
      </w:r>
      <w:r>
        <w:rPr>
          <w:color w:val="231F20"/>
          <w:w w:val="105"/>
          <w:sz w:val="21"/>
        </w:rPr>
        <w:t>adqui- rirlos</w:t>
      </w:r>
      <w:r>
        <w:rPr>
          <w:color w:val="231F20"/>
          <w:spacing w:val="-18"/>
          <w:w w:val="105"/>
          <w:sz w:val="21"/>
        </w:rPr>
        <w:t> </w:t>
      </w:r>
      <w:r>
        <w:rPr>
          <w:color w:val="231F20"/>
          <w:w w:val="105"/>
          <w:sz w:val="21"/>
        </w:rPr>
        <w:t>en</w:t>
      </w:r>
      <w:r>
        <w:rPr>
          <w:color w:val="231F20"/>
          <w:spacing w:val="-18"/>
          <w:w w:val="105"/>
          <w:sz w:val="21"/>
        </w:rPr>
        <w:t> </w:t>
      </w:r>
      <w:r>
        <w:rPr>
          <w:color w:val="231F20"/>
          <w:w w:val="105"/>
          <w:sz w:val="21"/>
        </w:rPr>
        <w:t>el</w:t>
      </w:r>
      <w:r>
        <w:rPr>
          <w:color w:val="231F20"/>
          <w:spacing w:val="-18"/>
          <w:w w:val="105"/>
          <w:sz w:val="21"/>
        </w:rPr>
        <w:t> </w:t>
      </w:r>
      <w:r>
        <w:rPr>
          <w:color w:val="231F20"/>
          <w:w w:val="105"/>
          <w:sz w:val="21"/>
        </w:rPr>
        <w:t>mercado</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factores</w:t>
      </w:r>
      <w:r>
        <w:rPr>
          <w:color w:val="231F20"/>
          <w:spacing w:val="-18"/>
          <w:w w:val="105"/>
          <w:sz w:val="21"/>
        </w:rPr>
        <w:t> </w:t>
      </w:r>
      <w:r>
        <w:rPr>
          <w:color w:val="231F20"/>
          <w:w w:val="105"/>
          <w:sz w:val="21"/>
        </w:rPr>
        <w:t>(Wade</w:t>
      </w:r>
      <w:r>
        <w:rPr>
          <w:color w:val="231F20"/>
          <w:spacing w:val="-18"/>
          <w:w w:val="105"/>
          <w:sz w:val="21"/>
        </w:rPr>
        <w:t> </w:t>
      </w:r>
      <w:r>
        <w:rPr>
          <w:color w:val="231F20"/>
          <w:w w:val="105"/>
          <w:sz w:val="21"/>
        </w:rPr>
        <w:t>y</w:t>
      </w:r>
      <w:r>
        <w:rPr>
          <w:color w:val="231F20"/>
          <w:spacing w:val="-18"/>
          <w:w w:val="105"/>
          <w:sz w:val="21"/>
        </w:rPr>
        <w:t> </w:t>
      </w:r>
      <w:r>
        <w:rPr>
          <w:color w:val="231F20"/>
          <w:w w:val="105"/>
          <w:sz w:val="21"/>
        </w:rPr>
        <w:t>Hulland,</w:t>
      </w:r>
      <w:r>
        <w:rPr>
          <w:color w:val="231F20"/>
          <w:spacing w:val="-24"/>
          <w:w w:val="105"/>
          <w:sz w:val="21"/>
        </w:rPr>
        <w:t> </w:t>
      </w:r>
      <w:r>
        <w:rPr>
          <w:color w:val="231F20"/>
          <w:w w:val="105"/>
          <w:sz w:val="21"/>
        </w:rPr>
        <w:t>2004).</w:t>
      </w:r>
    </w:p>
    <w:p>
      <w:pPr>
        <w:pStyle w:val="BodyText"/>
        <w:spacing w:line="259" w:lineRule="auto" w:before="170"/>
        <w:ind w:left="103" w:right="112"/>
        <w:jc w:val="both"/>
      </w:pPr>
      <w:r>
        <w:rPr>
          <w:color w:val="231F20"/>
          <w:w w:val="105"/>
        </w:rPr>
        <w:t>Las</w:t>
      </w:r>
      <w:r>
        <w:rPr>
          <w:color w:val="231F20"/>
          <w:spacing w:val="-21"/>
          <w:w w:val="105"/>
        </w:rPr>
        <w:t> </w:t>
      </w:r>
      <w:r>
        <w:rPr>
          <w:color w:val="231F20"/>
          <w:spacing w:val="-3"/>
          <w:w w:val="105"/>
        </w:rPr>
        <w:t>capacidades,</w:t>
      </w:r>
      <w:r>
        <w:rPr>
          <w:color w:val="231F20"/>
          <w:spacing w:val="-27"/>
          <w:w w:val="105"/>
        </w:rPr>
        <w:t> </w:t>
      </w:r>
      <w:r>
        <w:rPr>
          <w:color w:val="231F20"/>
          <w:spacing w:val="-3"/>
          <w:w w:val="105"/>
        </w:rPr>
        <w:t>habilidades</w:t>
      </w:r>
      <w:r>
        <w:rPr>
          <w:color w:val="231F20"/>
          <w:spacing w:val="-21"/>
          <w:w w:val="105"/>
        </w:rPr>
        <w:t> </w:t>
      </w:r>
      <w:r>
        <w:rPr>
          <w:color w:val="231F20"/>
          <w:w w:val="105"/>
        </w:rPr>
        <w:t>o</w:t>
      </w:r>
      <w:r>
        <w:rPr>
          <w:color w:val="231F20"/>
          <w:spacing w:val="-21"/>
          <w:w w:val="105"/>
        </w:rPr>
        <w:t> </w:t>
      </w:r>
      <w:r>
        <w:rPr>
          <w:color w:val="231F20"/>
          <w:spacing w:val="-3"/>
          <w:w w:val="105"/>
        </w:rPr>
        <w:t>competencias</w:t>
      </w:r>
      <w:r>
        <w:rPr>
          <w:color w:val="231F20"/>
          <w:spacing w:val="-21"/>
          <w:w w:val="105"/>
        </w:rPr>
        <w:t> </w:t>
      </w:r>
      <w:r>
        <w:rPr>
          <w:color w:val="231F20"/>
          <w:spacing w:val="-4"/>
          <w:w w:val="105"/>
        </w:rPr>
        <w:t>organizativas</w:t>
      </w:r>
      <w:r>
        <w:rPr>
          <w:color w:val="231F20"/>
          <w:spacing w:val="-21"/>
          <w:w w:val="105"/>
        </w:rPr>
        <w:t> </w:t>
      </w:r>
      <w:r>
        <w:rPr>
          <w:color w:val="231F20"/>
          <w:spacing w:val="-3"/>
          <w:w w:val="105"/>
        </w:rPr>
        <w:t>deben</w:t>
      </w:r>
      <w:r>
        <w:rPr>
          <w:color w:val="231F20"/>
          <w:spacing w:val="-21"/>
          <w:w w:val="105"/>
        </w:rPr>
        <w:t> </w:t>
      </w:r>
      <w:r>
        <w:rPr>
          <w:color w:val="231F20"/>
          <w:spacing w:val="-3"/>
          <w:w w:val="105"/>
        </w:rPr>
        <w:t>permi- </w:t>
      </w:r>
      <w:r>
        <w:rPr>
          <w:color w:val="231F20"/>
          <w:w w:val="105"/>
        </w:rPr>
        <w:t>tir a la </w:t>
      </w:r>
      <w:r>
        <w:rPr>
          <w:color w:val="231F20"/>
          <w:spacing w:val="-3"/>
          <w:w w:val="105"/>
        </w:rPr>
        <w:t>organización desarrollar adecuadamente </w:t>
      </w:r>
      <w:r>
        <w:rPr>
          <w:color w:val="231F20"/>
          <w:w w:val="105"/>
        </w:rPr>
        <w:t>una </w:t>
      </w:r>
      <w:r>
        <w:rPr>
          <w:color w:val="231F20"/>
          <w:spacing w:val="-3"/>
          <w:w w:val="105"/>
        </w:rPr>
        <w:t>actividad </w:t>
      </w:r>
      <w:r>
        <w:rPr>
          <w:color w:val="231F20"/>
          <w:w w:val="105"/>
        </w:rPr>
        <w:t>a </w:t>
      </w:r>
      <w:r>
        <w:rPr>
          <w:color w:val="231F20"/>
          <w:spacing w:val="-3"/>
          <w:w w:val="105"/>
        </w:rPr>
        <w:t>partir de </w:t>
      </w:r>
      <w:r>
        <w:rPr>
          <w:color w:val="231F20"/>
          <w:w w:val="105"/>
        </w:rPr>
        <w:t>la</w:t>
      </w:r>
      <w:r>
        <w:rPr>
          <w:color w:val="231F20"/>
          <w:spacing w:val="-16"/>
          <w:w w:val="105"/>
        </w:rPr>
        <w:t> </w:t>
      </w:r>
      <w:r>
        <w:rPr>
          <w:color w:val="231F20"/>
          <w:spacing w:val="-3"/>
          <w:w w:val="105"/>
        </w:rPr>
        <w:t>combinación</w:t>
      </w:r>
      <w:r>
        <w:rPr>
          <w:color w:val="231F20"/>
          <w:spacing w:val="-16"/>
          <w:w w:val="105"/>
        </w:rPr>
        <w:t> </w:t>
      </w:r>
      <w:r>
        <w:rPr>
          <w:color w:val="231F20"/>
          <w:w w:val="105"/>
        </w:rPr>
        <w:t>y</w:t>
      </w:r>
      <w:r>
        <w:rPr>
          <w:color w:val="231F20"/>
          <w:spacing w:val="-16"/>
          <w:w w:val="105"/>
        </w:rPr>
        <w:t> </w:t>
      </w:r>
      <w:r>
        <w:rPr>
          <w:color w:val="231F20"/>
          <w:spacing w:val="-3"/>
          <w:w w:val="105"/>
        </w:rPr>
        <w:t>coordinación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recursos</w:t>
      </w:r>
      <w:r>
        <w:rPr>
          <w:color w:val="231F20"/>
          <w:spacing w:val="-16"/>
          <w:w w:val="105"/>
        </w:rPr>
        <w:t> </w:t>
      </w:r>
      <w:r>
        <w:rPr>
          <w:color w:val="231F20"/>
          <w:spacing w:val="-3"/>
          <w:w w:val="105"/>
        </w:rPr>
        <w:t>disponibles</w:t>
      </w:r>
      <w:r>
        <w:rPr>
          <w:color w:val="231F20"/>
          <w:spacing w:val="-16"/>
          <w:w w:val="105"/>
        </w:rPr>
        <w:t> </w:t>
      </w:r>
      <w:r>
        <w:rPr>
          <w:color w:val="231F20"/>
          <w:spacing w:val="-3"/>
          <w:w w:val="105"/>
        </w:rPr>
        <w:t>(Ortiz</w:t>
      </w:r>
      <w:r>
        <w:rPr>
          <w:color w:val="231F20"/>
          <w:spacing w:val="-16"/>
          <w:w w:val="105"/>
        </w:rPr>
        <w:t> </w:t>
      </w:r>
      <w:r>
        <w:rPr>
          <w:color w:val="231F20"/>
          <w:w w:val="105"/>
        </w:rPr>
        <w:t>y</w:t>
      </w:r>
      <w:r>
        <w:rPr>
          <w:color w:val="231F20"/>
          <w:spacing w:val="-16"/>
          <w:w w:val="105"/>
        </w:rPr>
        <w:t> </w:t>
      </w:r>
      <w:r>
        <w:rPr>
          <w:color w:val="231F20"/>
          <w:spacing w:val="-3"/>
          <w:w w:val="105"/>
        </w:rPr>
        <w:t>Navas, 2001).</w:t>
      </w:r>
      <w:r>
        <w:rPr>
          <w:color w:val="231F20"/>
          <w:spacing w:val="-27"/>
          <w:w w:val="105"/>
        </w:rPr>
        <w:t> </w:t>
      </w:r>
      <w:r>
        <w:rPr>
          <w:color w:val="231F20"/>
          <w:spacing w:val="-3"/>
          <w:w w:val="105"/>
        </w:rPr>
        <w:t>Los</w:t>
      </w:r>
      <w:r>
        <w:rPr>
          <w:color w:val="231F20"/>
          <w:spacing w:val="-22"/>
          <w:w w:val="105"/>
        </w:rPr>
        <w:t> </w:t>
      </w:r>
      <w:r>
        <w:rPr>
          <w:color w:val="231F20"/>
          <w:spacing w:val="-3"/>
          <w:w w:val="105"/>
        </w:rPr>
        <w:t>recursos</w:t>
      </w:r>
      <w:r>
        <w:rPr>
          <w:color w:val="231F20"/>
          <w:spacing w:val="-22"/>
          <w:w w:val="105"/>
        </w:rPr>
        <w:t> </w:t>
      </w:r>
      <w:r>
        <w:rPr>
          <w:color w:val="231F20"/>
          <w:spacing w:val="-3"/>
          <w:w w:val="105"/>
        </w:rPr>
        <w:t>considerados</w:t>
      </w:r>
      <w:r>
        <w:rPr>
          <w:color w:val="231F20"/>
          <w:spacing w:val="-22"/>
          <w:w w:val="105"/>
        </w:rPr>
        <w:t> </w:t>
      </w:r>
      <w:r>
        <w:rPr>
          <w:color w:val="231F20"/>
          <w:spacing w:val="-3"/>
          <w:w w:val="105"/>
        </w:rPr>
        <w:t>aisladamente,</w:t>
      </w:r>
      <w:r>
        <w:rPr>
          <w:color w:val="231F20"/>
          <w:spacing w:val="-27"/>
          <w:w w:val="105"/>
        </w:rPr>
        <w:t> </w:t>
      </w:r>
      <w:r>
        <w:rPr>
          <w:color w:val="231F20"/>
          <w:spacing w:val="-3"/>
          <w:w w:val="105"/>
        </w:rPr>
        <w:t>sólo</w:t>
      </w:r>
      <w:r>
        <w:rPr>
          <w:color w:val="231F20"/>
          <w:spacing w:val="-22"/>
          <w:w w:val="105"/>
        </w:rPr>
        <w:t> </w:t>
      </w:r>
      <w:r>
        <w:rPr>
          <w:color w:val="231F20"/>
          <w:spacing w:val="-3"/>
          <w:w w:val="105"/>
        </w:rPr>
        <w:t>permiten</w:t>
      </w:r>
      <w:r>
        <w:rPr>
          <w:color w:val="231F20"/>
          <w:spacing w:val="-22"/>
          <w:w w:val="105"/>
        </w:rPr>
        <w:t> </w:t>
      </w:r>
      <w:r>
        <w:rPr>
          <w:color w:val="231F20"/>
          <w:spacing w:val="-4"/>
          <w:w w:val="105"/>
        </w:rPr>
        <w:t>desarrollar </w:t>
      </w:r>
      <w:r>
        <w:rPr>
          <w:color w:val="231F20"/>
          <w:spacing w:val="-3"/>
          <w:w w:val="105"/>
        </w:rPr>
        <w:t>determinadas</w:t>
      </w:r>
      <w:r>
        <w:rPr>
          <w:color w:val="231F20"/>
          <w:spacing w:val="-31"/>
          <w:w w:val="105"/>
        </w:rPr>
        <w:t> </w:t>
      </w:r>
      <w:r>
        <w:rPr>
          <w:color w:val="231F20"/>
          <w:spacing w:val="-3"/>
          <w:w w:val="105"/>
        </w:rPr>
        <w:t>actividades,</w:t>
      </w:r>
      <w:r>
        <w:rPr>
          <w:color w:val="231F20"/>
          <w:spacing w:val="-36"/>
          <w:w w:val="105"/>
        </w:rPr>
        <w:t> </w:t>
      </w:r>
      <w:r>
        <w:rPr>
          <w:color w:val="231F20"/>
          <w:w w:val="105"/>
        </w:rPr>
        <w:t>por</w:t>
      </w:r>
      <w:r>
        <w:rPr>
          <w:color w:val="231F20"/>
          <w:spacing w:val="-31"/>
          <w:w w:val="105"/>
        </w:rPr>
        <w:t> </w:t>
      </w:r>
      <w:r>
        <w:rPr>
          <w:color w:val="231F20"/>
          <w:w w:val="105"/>
        </w:rPr>
        <w:t>lo</w:t>
      </w:r>
      <w:r>
        <w:rPr>
          <w:color w:val="231F20"/>
          <w:spacing w:val="-31"/>
          <w:w w:val="105"/>
        </w:rPr>
        <w:t> </w:t>
      </w:r>
      <w:r>
        <w:rPr>
          <w:color w:val="231F20"/>
          <w:w w:val="105"/>
        </w:rPr>
        <w:t>que</w:t>
      </w:r>
      <w:r>
        <w:rPr>
          <w:color w:val="231F20"/>
          <w:spacing w:val="-31"/>
          <w:w w:val="105"/>
        </w:rPr>
        <w:t> </w:t>
      </w:r>
      <w:r>
        <w:rPr>
          <w:color w:val="231F20"/>
          <w:spacing w:val="-3"/>
          <w:w w:val="105"/>
        </w:rPr>
        <w:t>aumentan</w:t>
      </w:r>
      <w:r>
        <w:rPr>
          <w:color w:val="231F20"/>
          <w:spacing w:val="-31"/>
          <w:w w:val="105"/>
        </w:rPr>
        <w:t> </w:t>
      </w:r>
      <w:r>
        <w:rPr>
          <w:color w:val="231F20"/>
          <w:w w:val="105"/>
        </w:rPr>
        <w:t>su</w:t>
      </w:r>
      <w:r>
        <w:rPr>
          <w:color w:val="231F20"/>
          <w:spacing w:val="-31"/>
          <w:w w:val="105"/>
        </w:rPr>
        <w:t> </w:t>
      </w:r>
      <w:r>
        <w:rPr>
          <w:color w:val="231F20"/>
          <w:spacing w:val="-3"/>
          <w:w w:val="105"/>
        </w:rPr>
        <w:t>utilidad</w:t>
      </w:r>
      <w:r>
        <w:rPr>
          <w:color w:val="231F20"/>
          <w:spacing w:val="-31"/>
          <w:w w:val="105"/>
        </w:rPr>
        <w:t> </w:t>
      </w:r>
      <w:r>
        <w:rPr>
          <w:color w:val="231F20"/>
          <w:spacing w:val="-3"/>
          <w:w w:val="105"/>
        </w:rPr>
        <w:t>sólo</w:t>
      </w:r>
      <w:r>
        <w:rPr>
          <w:color w:val="231F20"/>
          <w:spacing w:val="-31"/>
          <w:w w:val="105"/>
        </w:rPr>
        <w:t> </w:t>
      </w:r>
      <w:r>
        <w:rPr>
          <w:color w:val="231F20"/>
          <w:w w:val="105"/>
        </w:rPr>
        <w:t>si</w:t>
      </w:r>
      <w:r>
        <w:rPr>
          <w:color w:val="231F20"/>
          <w:spacing w:val="-31"/>
          <w:w w:val="105"/>
        </w:rPr>
        <w:t> </w:t>
      </w:r>
      <w:r>
        <w:rPr>
          <w:color w:val="231F20"/>
          <w:w w:val="105"/>
        </w:rPr>
        <w:t>son</w:t>
      </w:r>
      <w:r>
        <w:rPr>
          <w:color w:val="231F20"/>
          <w:spacing w:val="-31"/>
          <w:w w:val="105"/>
        </w:rPr>
        <w:t> </w:t>
      </w:r>
      <w:r>
        <w:rPr>
          <w:color w:val="231F20"/>
          <w:spacing w:val="-3"/>
          <w:w w:val="105"/>
        </w:rPr>
        <w:t>com- binados</w:t>
      </w:r>
      <w:r>
        <w:rPr>
          <w:color w:val="231F20"/>
          <w:spacing w:val="-36"/>
          <w:w w:val="105"/>
        </w:rPr>
        <w:t> </w:t>
      </w:r>
      <w:r>
        <w:rPr>
          <w:color w:val="231F20"/>
          <w:w w:val="105"/>
        </w:rPr>
        <w:t>y</w:t>
      </w:r>
      <w:r>
        <w:rPr>
          <w:color w:val="231F20"/>
          <w:spacing w:val="-36"/>
          <w:w w:val="105"/>
        </w:rPr>
        <w:t> </w:t>
      </w:r>
      <w:r>
        <w:rPr>
          <w:color w:val="231F20"/>
          <w:spacing w:val="-3"/>
          <w:w w:val="105"/>
        </w:rPr>
        <w:t>gestionados;</w:t>
      </w:r>
      <w:r>
        <w:rPr>
          <w:color w:val="231F20"/>
          <w:spacing w:val="-36"/>
          <w:w w:val="105"/>
        </w:rPr>
        <w:t> </w:t>
      </w:r>
      <w:r>
        <w:rPr>
          <w:color w:val="231F20"/>
          <w:w w:val="105"/>
        </w:rPr>
        <w:t>es</w:t>
      </w:r>
      <w:r>
        <w:rPr>
          <w:color w:val="231F20"/>
          <w:spacing w:val="-36"/>
          <w:w w:val="105"/>
        </w:rPr>
        <w:t> </w:t>
      </w:r>
      <w:r>
        <w:rPr>
          <w:color w:val="231F20"/>
          <w:w w:val="105"/>
        </w:rPr>
        <w:t>así</w:t>
      </w:r>
      <w:r>
        <w:rPr>
          <w:color w:val="231F20"/>
          <w:spacing w:val="-36"/>
          <w:w w:val="105"/>
        </w:rPr>
        <w:t> </w:t>
      </w:r>
      <w:r>
        <w:rPr>
          <w:color w:val="231F20"/>
          <w:spacing w:val="-3"/>
          <w:w w:val="105"/>
        </w:rPr>
        <w:t>como</w:t>
      </w:r>
      <w:r>
        <w:rPr>
          <w:color w:val="231F20"/>
          <w:spacing w:val="-36"/>
          <w:w w:val="105"/>
        </w:rPr>
        <w:t> </w:t>
      </w:r>
      <w:r>
        <w:rPr>
          <w:color w:val="231F20"/>
          <w:w w:val="105"/>
        </w:rPr>
        <w:t>se</w:t>
      </w:r>
      <w:r>
        <w:rPr>
          <w:color w:val="231F20"/>
          <w:spacing w:val="-36"/>
          <w:w w:val="105"/>
        </w:rPr>
        <w:t> </w:t>
      </w:r>
      <w:r>
        <w:rPr>
          <w:color w:val="231F20"/>
          <w:spacing w:val="-3"/>
          <w:w w:val="105"/>
        </w:rPr>
        <w:t>generan</w:t>
      </w:r>
      <w:r>
        <w:rPr>
          <w:color w:val="231F20"/>
          <w:spacing w:val="-36"/>
          <w:w w:val="105"/>
        </w:rPr>
        <w:t> </w:t>
      </w:r>
      <w:r>
        <w:rPr>
          <w:color w:val="231F20"/>
          <w:w w:val="105"/>
        </w:rPr>
        <w:t>las</w:t>
      </w:r>
      <w:r>
        <w:rPr>
          <w:color w:val="231F20"/>
          <w:spacing w:val="-36"/>
          <w:w w:val="105"/>
        </w:rPr>
        <w:t> </w:t>
      </w:r>
      <w:r>
        <w:rPr>
          <w:color w:val="231F20"/>
          <w:spacing w:val="-3"/>
          <w:w w:val="105"/>
        </w:rPr>
        <w:t>capacidades.</w:t>
      </w:r>
      <w:r>
        <w:rPr>
          <w:color w:val="231F20"/>
          <w:spacing w:val="-42"/>
          <w:w w:val="105"/>
        </w:rPr>
        <w:t> </w:t>
      </w:r>
      <w:r>
        <w:rPr>
          <w:color w:val="231F20"/>
          <w:w w:val="105"/>
        </w:rPr>
        <w:t>Al</w:t>
      </w:r>
      <w:r>
        <w:rPr>
          <w:color w:val="231F20"/>
          <w:spacing w:val="-36"/>
          <w:w w:val="105"/>
        </w:rPr>
        <w:t> </w:t>
      </w:r>
      <w:r>
        <w:rPr>
          <w:color w:val="231F20"/>
          <w:spacing w:val="-3"/>
          <w:w w:val="105"/>
        </w:rPr>
        <w:t>respec- to,</w:t>
      </w:r>
      <w:r>
        <w:rPr>
          <w:color w:val="231F20"/>
          <w:spacing w:val="-16"/>
          <w:w w:val="105"/>
        </w:rPr>
        <w:t> </w:t>
      </w:r>
      <w:r>
        <w:rPr>
          <w:color w:val="231F20"/>
          <w:spacing w:val="-5"/>
          <w:w w:val="105"/>
        </w:rPr>
        <w:t>Prahalad</w:t>
      </w:r>
      <w:r>
        <w:rPr>
          <w:color w:val="231F20"/>
          <w:spacing w:val="-11"/>
          <w:w w:val="105"/>
        </w:rPr>
        <w:t> </w:t>
      </w:r>
      <w:r>
        <w:rPr>
          <w:color w:val="231F20"/>
          <w:w w:val="105"/>
        </w:rPr>
        <w:t>y</w:t>
      </w:r>
      <w:r>
        <w:rPr>
          <w:color w:val="231F20"/>
          <w:spacing w:val="-11"/>
          <w:w w:val="105"/>
        </w:rPr>
        <w:t> </w:t>
      </w:r>
      <w:r>
        <w:rPr>
          <w:color w:val="231F20"/>
          <w:spacing w:val="-3"/>
          <w:w w:val="105"/>
        </w:rPr>
        <w:t>Hamel</w:t>
      </w:r>
      <w:r>
        <w:rPr>
          <w:color w:val="231F20"/>
          <w:spacing w:val="-11"/>
          <w:w w:val="105"/>
        </w:rPr>
        <w:t> </w:t>
      </w:r>
      <w:r>
        <w:rPr>
          <w:color w:val="231F20"/>
          <w:spacing w:val="-3"/>
          <w:w w:val="105"/>
        </w:rPr>
        <w:t>(1990)</w:t>
      </w:r>
      <w:r>
        <w:rPr>
          <w:color w:val="231F20"/>
          <w:spacing w:val="-11"/>
          <w:w w:val="105"/>
        </w:rPr>
        <w:t> </w:t>
      </w:r>
      <w:r>
        <w:rPr>
          <w:color w:val="231F20"/>
          <w:spacing w:val="-3"/>
          <w:w w:val="105"/>
        </w:rPr>
        <w:t>argumentan</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spacing w:val="-3"/>
          <w:w w:val="105"/>
        </w:rPr>
        <w:t>capacidades</w:t>
      </w:r>
      <w:r>
        <w:rPr>
          <w:color w:val="231F20"/>
          <w:spacing w:val="-11"/>
          <w:w w:val="105"/>
        </w:rPr>
        <w:t> </w:t>
      </w:r>
      <w:r>
        <w:rPr>
          <w:color w:val="231F20"/>
          <w:spacing w:val="-3"/>
          <w:w w:val="105"/>
        </w:rPr>
        <w:t>surgen</w:t>
      </w:r>
      <w:r>
        <w:rPr>
          <w:color w:val="231F20"/>
          <w:spacing w:val="-11"/>
          <w:w w:val="105"/>
        </w:rPr>
        <w:t> </w:t>
      </w:r>
      <w:r>
        <w:rPr>
          <w:color w:val="231F20"/>
          <w:spacing w:val="-3"/>
          <w:w w:val="105"/>
        </w:rPr>
        <w:t>del aprendizaje</w:t>
      </w:r>
      <w:r>
        <w:rPr>
          <w:color w:val="231F20"/>
          <w:spacing w:val="-21"/>
          <w:w w:val="105"/>
        </w:rPr>
        <w:t> </w:t>
      </w:r>
      <w:r>
        <w:rPr>
          <w:color w:val="231F20"/>
          <w:spacing w:val="-3"/>
          <w:w w:val="105"/>
        </w:rPr>
        <w:t>colectivo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organización</w:t>
      </w:r>
      <w:r>
        <w:rPr>
          <w:color w:val="231F20"/>
          <w:spacing w:val="-21"/>
          <w:w w:val="105"/>
        </w:rPr>
        <w:t> </w:t>
      </w:r>
      <w:r>
        <w:rPr>
          <w:color w:val="231F20"/>
          <w:w w:val="105"/>
        </w:rPr>
        <w:t>y</w:t>
      </w:r>
      <w:r>
        <w:rPr>
          <w:color w:val="231F20"/>
          <w:spacing w:val="-21"/>
          <w:w w:val="105"/>
        </w:rPr>
        <w:t> </w:t>
      </w:r>
      <w:r>
        <w:rPr>
          <w:color w:val="231F20"/>
          <w:w w:val="105"/>
        </w:rPr>
        <w:t>son</w:t>
      </w:r>
      <w:r>
        <w:rPr>
          <w:color w:val="231F20"/>
          <w:spacing w:val="-21"/>
          <w:w w:val="105"/>
        </w:rPr>
        <w:t> </w:t>
      </w:r>
      <w:r>
        <w:rPr>
          <w:color w:val="231F20"/>
          <w:w w:val="105"/>
        </w:rPr>
        <w:t>de</w:t>
      </w:r>
      <w:r>
        <w:rPr>
          <w:color w:val="231F20"/>
          <w:spacing w:val="-21"/>
          <w:w w:val="105"/>
        </w:rPr>
        <w:t> </w:t>
      </w:r>
      <w:r>
        <w:rPr>
          <w:color w:val="231F20"/>
          <w:spacing w:val="-4"/>
          <w:w w:val="105"/>
        </w:rPr>
        <w:t>naturaleza</w:t>
      </w:r>
      <w:r>
        <w:rPr>
          <w:color w:val="231F20"/>
          <w:spacing w:val="-21"/>
          <w:w w:val="105"/>
        </w:rPr>
        <w:t> </w:t>
      </w:r>
      <w:r>
        <w:rPr>
          <w:color w:val="231F20"/>
          <w:spacing w:val="-3"/>
          <w:w w:val="105"/>
        </w:rPr>
        <w:t>intangible.</w:t>
      </w:r>
    </w:p>
    <w:p>
      <w:pPr>
        <w:pStyle w:val="BodyText"/>
        <w:spacing w:line="259" w:lineRule="auto"/>
        <w:ind w:left="103" w:right="114" w:firstLine="567"/>
        <w:jc w:val="both"/>
      </w:pPr>
      <w:r>
        <w:rPr>
          <w:color w:val="231F20"/>
          <w:w w:val="105"/>
        </w:rPr>
        <w:t>Es</w:t>
      </w:r>
      <w:r>
        <w:rPr>
          <w:color w:val="231F20"/>
          <w:spacing w:val="-13"/>
          <w:w w:val="105"/>
        </w:rPr>
        <w:t> </w:t>
      </w:r>
      <w:r>
        <w:rPr>
          <w:color w:val="231F20"/>
          <w:w w:val="105"/>
        </w:rPr>
        <w:t>menester</w:t>
      </w:r>
      <w:r>
        <w:rPr>
          <w:color w:val="231F20"/>
          <w:spacing w:val="-13"/>
          <w:w w:val="105"/>
        </w:rPr>
        <w:t> </w:t>
      </w:r>
      <w:r>
        <w:rPr>
          <w:color w:val="231F20"/>
          <w:w w:val="105"/>
        </w:rPr>
        <w:t>enfatizar</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teorías</w:t>
      </w:r>
      <w:r>
        <w:rPr>
          <w:color w:val="231F20"/>
          <w:spacing w:val="-13"/>
          <w:w w:val="105"/>
        </w:rPr>
        <w:t> </w:t>
      </w:r>
      <w:r>
        <w:rPr>
          <w:color w:val="231F20"/>
          <w:w w:val="105"/>
        </w:rPr>
        <w:t>ya</w:t>
      </w:r>
      <w:r>
        <w:rPr>
          <w:color w:val="231F20"/>
          <w:spacing w:val="-13"/>
          <w:w w:val="105"/>
        </w:rPr>
        <w:t> </w:t>
      </w:r>
      <w:r>
        <w:rPr>
          <w:color w:val="231F20"/>
          <w:w w:val="105"/>
        </w:rPr>
        <w:t>mencionadas</w:t>
      </w:r>
      <w:r>
        <w:rPr>
          <w:color w:val="231F20"/>
          <w:spacing w:val="-13"/>
          <w:w w:val="105"/>
        </w:rPr>
        <w:t> </w:t>
      </w:r>
      <w:r>
        <w:rPr>
          <w:color w:val="231F20"/>
          <w:w w:val="105"/>
        </w:rPr>
        <w:t>se</w:t>
      </w:r>
      <w:r>
        <w:rPr>
          <w:color w:val="231F20"/>
          <w:spacing w:val="-13"/>
          <w:w w:val="105"/>
        </w:rPr>
        <w:t> </w:t>
      </w:r>
      <w:r>
        <w:rPr>
          <w:color w:val="231F20"/>
          <w:w w:val="105"/>
        </w:rPr>
        <w:t>comple- mentan</w:t>
      </w:r>
      <w:r>
        <w:rPr>
          <w:color w:val="231F20"/>
          <w:spacing w:val="-21"/>
          <w:w w:val="105"/>
        </w:rPr>
        <w:t> </w:t>
      </w:r>
      <w:r>
        <w:rPr>
          <w:color w:val="231F20"/>
          <w:w w:val="105"/>
        </w:rPr>
        <w:t>entre</w:t>
      </w:r>
      <w:r>
        <w:rPr>
          <w:color w:val="231F20"/>
          <w:spacing w:val="-21"/>
          <w:w w:val="105"/>
        </w:rPr>
        <w:t> </w:t>
      </w:r>
      <w:r>
        <w:rPr>
          <w:color w:val="231F20"/>
          <w:w w:val="105"/>
        </w:rPr>
        <w:t>sí</w:t>
      </w:r>
      <w:r>
        <w:rPr>
          <w:color w:val="231F20"/>
          <w:spacing w:val="-21"/>
          <w:w w:val="105"/>
        </w:rPr>
        <w:t> </w:t>
      </w:r>
      <w:r>
        <w:rPr>
          <w:color w:val="231F20"/>
          <w:w w:val="105"/>
        </w:rPr>
        <w:t>o</w:t>
      </w:r>
      <w:r>
        <w:rPr>
          <w:color w:val="231F20"/>
          <w:spacing w:val="-21"/>
          <w:w w:val="105"/>
        </w:rPr>
        <w:t> </w:t>
      </w:r>
      <w:r>
        <w:rPr>
          <w:color w:val="231F20"/>
          <w:w w:val="105"/>
        </w:rPr>
        <w:t>que</w:t>
      </w:r>
      <w:r>
        <w:rPr>
          <w:color w:val="231F20"/>
          <w:spacing w:val="-21"/>
          <w:w w:val="105"/>
        </w:rPr>
        <w:t> </w:t>
      </w:r>
      <w:r>
        <w:rPr>
          <w:color w:val="231F20"/>
          <w:w w:val="105"/>
        </w:rPr>
        <w:t>unas</w:t>
      </w:r>
      <w:r>
        <w:rPr>
          <w:color w:val="231F20"/>
          <w:spacing w:val="-21"/>
          <w:w w:val="105"/>
        </w:rPr>
        <w:t> </w:t>
      </w:r>
      <w:r>
        <w:rPr>
          <w:color w:val="231F20"/>
          <w:w w:val="105"/>
        </w:rPr>
        <w:t>son</w:t>
      </w:r>
      <w:r>
        <w:rPr>
          <w:color w:val="231F20"/>
          <w:spacing w:val="-21"/>
          <w:w w:val="105"/>
        </w:rPr>
        <w:t> </w:t>
      </w:r>
      <w:r>
        <w:rPr>
          <w:color w:val="231F20"/>
          <w:w w:val="105"/>
        </w:rPr>
        <w:t>extensión</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otras,</w:t>
      </w:r>
      <w:r>
        <w:rPr>
          <w:color w:val="231F20"/>
          <w:spacing w:val="-26"/>
          <w:w w:val="105"/>
        </w:rPr>
        <w:t> </w:t>
      </w:r>
      <w:r>
        <w:rPr>
          <w:color w:val="231F20"/>
          <w:w w:val="105"/>
        </w:rPr>
        <w:t>ya</w:t>
      </w:r>
      <w:r>
        <w:rPr>
          <w:color w:val="231F20"/>
          <w:spacing w:val="-21"/>
          <w:w w:val="105"/>
        </w:rPr>
        <w:t> </w:t>
      </w:r>
      <w:r>
        <w:rPr>
          <w:color w:val="231F20"/>
          <w:w w:val="105"/>
        </w:rPr>
        <w:t>que</w:t>
      </w:r>
      <w:r>
        <w:rPr>
          <w:color w:val="231F20"/>
          <w:spacing w:val="-21"/>
          <w:w w:val="105"/>
        </w:rPr>
        <w:t> </w:t>
      </w:r>
      <w:r>
        <w:rPr>
          <w:color w:val="231F20"/>
          <w:w w:val="105"/>
        </w:rPr>
        <w:t>al</w:t>
      </w:r>
      <w:r>
        <w:rPr>
          <w:color w:val="231F20"/>
          <w:spacing w:val="-21"/>
          <w:w w:val="105"/>
        </w:rPr>
        <w:t> </w:t>
      </w:r>
      <w:r>
        <w:rPr>
          <w:color w:val="231F20"/>
          <w:w w:val="105"/>
        </w:rPr>
        <w:t>integrar- las</w:t>
      </w:r>
      <w:r>
        <w:rPr>
          <w:color w:val="231F20"/>
          <w:spacing w:val="-6"/>
          <w:w w:val="105"/>
        </w:rPr>
        <w:t> </w:t>
      </w:r>
      <w:r>
        <w:rPr>
          <w:color w:val="231F20"/>
          <w:w w:val="105"/>
        </w:rPr>
        <w:t>sirven</w:t>
      </w:r>
      <w:r>
        <w:rPr>
          <w:color w:val="231F20"/>
          <w:spacing w:val="-6"/>
          <w:w w:val="105"/>
        </w:rPr>
        <w:t> </w:t>
      </w:r>
      <w:r>
        <w:rPr>
          <w:color w:val="231F20"/>
          <w:w w:val="105"/>
        </w:rPr>
        <w:t>de</w:t>
      </w:r>
      <w:r>
        <w:rPr>
          <w:color w:val="231F20"/>
          <w:spacing w:val="-6"/>
          <w:w w:val="105"/>
        </w:rPr>
        <w:t> </w:t>
      </w:r>
      <w:r>
        <w:rPr>
          <w:color w:val="231F20"/>
          <w:w w:val="105"/>
        </w:rPr>
        <w:t>marco</w:t>
      </w:r>
      <w:r>
        <w:rPr>
          <w:color w:val="231F20"/>
          <w:spacing w:val="-6"/>
          <w:w w:val="105"/>
        </w:rPr>
        <w:t> </w:t>
      </w:r>
      <w:r>
        <w:rPr>
          <w:color w:val="231F20"/>
          <w:w w:val="105"/>
        </w:rPr>
        <w:t>para</w:t>
      </w:r>
      <w:r>
        <w:rPr>
          <w:color w:val="231F20"/>
          <w:spacing w:val="-6"/>
          <w:w w:val="105"/>
        </w:rPr>
        <w:t> </w:t>
      </w:r>
      <w:r>
        <w:rPr>
          <w:color w:val="231F20"/>
          <w:w w:val="105"/>
        </w:rPr>
        <w:t>explicar</w:t>
      </w:r>
      <w:r>
        <w:rPr>
          <w:color w:val="231F20"/>
          <w:spacing w:val="-6"/>
          <w:w w:val="105"/>
        </w:rPr>
        <w:t> </w:t>
      </w:r>
      <w:r>
        <w:rPr>
          <w:color w:val="231F20"/>
          <w:w w:val="105"/>
        </w:rPr>
        <w:t>por</w:t>
      </w:r>
      <w:r>
        <w:rPr>
          <w:color w:val="231F20"/>
          <w:spacing w:val="-6"/>
          <w:w w:val="105"/>
        </w:rPr>
        <w:t> </w:t>
      </w:r>
      <w:r>
        <w:rPr>
          <w:color w:val="231F20"/>
          <w:w w:val="105"/>
        </w:rPr>
        <w:t>qué</w:t>
      </w:r>
      <w:r>
        <w:rPr>
          <w:color w:val="231F20"/>
          <w:spacing w:val="-6"/>
          <w:w w:val="105"/>
        </w:rPr>
        <w:t> </w:t>
      </w:r>
      <w:r>
        <w:rPr>
          <w:color w:val="231F20"/>
          <w:w w:val="105"/>
        </w:rPr>
        <w:t>la</w:t>
      </w:r>
      <w:r>
        <w:rPr>
          <w:color w:val="231F20"/>
          <w:spacing w:val="-6"/>
          <w:w w:val="105"/>
        </w:rPr>
        <w:t> </w:t>
      </w:r>
      <w:r>
        <w:rPr>
          <w:color w:val="231F20"/>
          <w:w w:val="105"/>
        </w:rPr>
        <w:t>generación</w:t>
      </w:r>
      <w:r>
        <w:rPr>
          <w:color w:val="231F20"/>
          <w:spacing w:val="-6"/>
          <w:w w:val="105"/>
        </w:rPr>
        <w:t> </w:t>
      </w:r>
      <w:r>
        <w:rPr>
          <w:color w:val="231F20"/>
          <w:w w:val="105"/>
        </w:rPr>
        <w:t>de</w:t>
      </w:r>
      <w:r>
        <w:rPr>
          <w:color w:val="231F20"/>
          <w:spacing w:val="-6"/>
          <w:w w:val="105"/>
        </w:rPr>
        <w:t> </w:t>
      </w:r>
      <w:r>
        <w:rPr>
          <w:color w:val="231F20"/>
          <w:w w:val="105"/>
        </w:rPr>
        <w:t>valor</w:t>
      </w:r>
      <w:r>
        <w:rPr>
          <w:color w:val="231F20"/>
          <w:spacing w:val="-6"/>
          <w:w w:val="105"/>
        </w:rPr>
        <w:t> </w:t>
      </w:r>
      <w:r>
        <w:rPr>
          <w:color w:val="231F20"/>
          <w:w w:val="105"/>
        </w:rPr>
        <w:t>(teoría subjetiva</w:t>
      </w:r>
      <w:r>
        <w:rPr>
          <w:color w:val="231F20"/>
          <w:spacing w:val="-16"/>
          <w:w w:val="105"/>
        </w:rPr>
        <w:t> </w:t>
      </w:r>
      <w:r>
        <w:rPr>
          <w:color w:val="231F20"/>
          <w:w w:val="105"/>
        </w:rPr>
        <w:t>de</w:t>
      </w:r>
      <w:r>
        <w:rPr>
          <w:color w:val="231F20"/>
          <w:spacing w:val="-16"/>
          <w:w w:val="105"/>
        </w:rPr>
        <w:t> </w:t>
      </w:r>
      <w:r>
        <w:rPr>
          <w:color w:val="231F20"/>
          <w:w w:val="105"/>
        </w:rPr>
        <w:t>valor)</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universidades</w:t>
      </w:r>
      <w:r>
        <w:rPr>
          <w:color w:val="231F20"/>
          <w:spacing w:val="-16"/>
          <w:w w:val="105"/>
        </w:rPr>
        <w:t> </w:t>
      </w:r>
      <w:r>
        <w:rPr>
          <w:color w:val="231F20"/>
          <w:w w:val="105"/>
        </w:rPr>
        <w:t>está</w:t>
      </w:r>
      <w:r>
        <w:rPr>
          <w:color w:val="231F20"/>
          <w:spacing w:val="-16"/>
          <w:w w:val="105"/>
        </w:rPr>
        <w:t> </w:t>
      </w:r>
      <w:r>
        <w:rPr>
          <w:color w:val="231F20"/>
          <w:w w:val="105"/>
        </w:rPr>
        <w:t>en</w:t>
      </w:r>
      <w:r>
        <w:rPr>
          <w:color w:val="231F20"/>
          <w:spacing w:val="-16"/>
          <w:w w:val="105"/>
        </w:rPr>
        <w:t> </w:t>
      </w:r>
      <w:r>
        <w:rPr>
          <w:color w:val="231F20"/>
          <w:w w:val="105"/>
        </w:rPr>
        <w:t>función</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capacidad para organizar sus recursos al interior y las competencias que con és- tos generan (teoría de recursos y capacidades), con la finalidad de dar respuesta a las necesidades que demanda la sociedad (teoría de los </w:t>
      </w:r>
      <w:r>
        <w:rPr>
          <w:i/>
          <w:color w:val="231F20"/>
          <w:w w:val="105"/>
        </w:rPr>
        <w:t>stakeholders</w:t>
      </w:r>
      <w:r>
        <w:rPr>
          <w:color w:val="231F20"/>
          <w:w w:val="105"/>
        </w:rPr>
        <w:t>);</w:t>
      </w:r>
      <w:r>
        <w:rPr>
          <w:color w:val="231F20"/>
          <w:spacing w:val="-8"/>
          <w:w w:val="105"/>
        </w:rPr>
        <w:t> </w:t>
      </w:r>
      <w:r>
        <w:rPr>
          <w:color w:val="231F20"/>
          <w:w w:val="105"/>
        </w:rPr>
        <w:t>ya</w:t>
      </w:r>
      <w:r>
        <w:rPr>
          <w:color w:val="231F20"/>
          <w:spacing w:val="-8"/>
          <w:w w:val="105"/>
        </w:rPr>
        <w:t> </w:t>
      </w:r>
      <w:r>
        <w:rPr>
          <w:color w:val="231F20"/>
          <w:w w:val="105"/>
        </w:rPr>
        <w:t>que</w:t>
      </w:r>
      <w:r>
        <w:rPr>
          <w:color w:val="231F20"/>
          <w:spacing w:val="-8"/>
          <w:w w:val="105"/>
        </w:rPr>
        <w:t> </w:t>
      </w:r>
      <w:r>
        <w:rPr>
          <w:color w:val="231F20"/>
          <w:w w:val="105"/>
        </w:rPr>
        <w:t>si</w:t>
      </w:r>
      <w:r>
        <w:rPr>
          <w:color w:val="231F20"/>
          <w:spacing w:val="-8"/>
          <w:w w:val="105"/>
        </w:rPr>
        <w:t> </w:t>
      </w:r>
      <w:r>
        <w:rPr>
          <w:color w:val="231F20"/>
          <w:w w:val="105"/>
        </w:rPr>
        <w:t>bien</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últimos</w:t>
      </w:r>
      <w:r>
        <w:rPr>
          <w:color w:val="231F20"/>
          <w:spacing w:val="-8"/>
          <w:w w:val="105"/>
        </w:rPr>
        <w:t> </w:t>
      </w:r>
      <w:r>
        <w:rPr>
          <w:color w:val="231F20"/>
          <w:w w:val="105"/>
        </w:rPr>
        <w:t>años</w:t>
      </w:r>
      <w:r>
        <w:rPr>
          <w:color w:val="231F20"/>
          <w:spacing w:val="-8"/>
          <w:w w:val="105"/>
        </w:rPr>
        <w:t> </w:t>
      </w:r>
      <w:r>
        <w:rPr>
          <w:color w:val="231F20"/>
          <w:w w:val="105"/>
        </w:rPr>
        <w:t>ha</w:t>
      </w:r>
      <w:r>
        <w:rPr>
          <w:color w:val="231F20"/>
          <w:spacing w:val="-8"/>
          <w:w w:val="105"/>
        </w:rPr>
        <w:t> </w:t>
      </w:r>
      <w:r>
        <w:rPr>
          <w:color w:val="231F20"/>
          <w:w w:val="105"/>
        </w:rPr>
        <w:t>aumentado</w:t>
      </w:r>
      <w:r>
        <w:rPr>
          <w:color w:val="231F20"/>
          <w:spacing w:val="-8"/>
          <w:w w:val="105"/>
        </w:rPr>
        <w:t> </w:t>
      </w:r>
      <w:r>
        <w:rPr>
          <w:color w:val="231F20"/>
          <w:w w:val="105"/>
        </w:rPr>
        <w:t>la</w:t>
      </w:r>
      <w:r>
        <w:rPr>
          <w:color w:val="231F20"/>
          <w:spacing w:val="-8"/>
          <w:w w:val="105"/>
        </w:rPr>
        <w:t> </w:t>
      </w:r>
      <w:r>
        <w:rPr>
          <w:color w:val="231F20"/>
          <w:w w:val="105"/>
        </w:rPr>
        <w:t>com- petencia y la demanda de generar ingresos propios, la fuente principal de</w:t>
      </w:r>
      <w:r>
        <w:rPr>
          <w:color w:val="231F20"/>
          <w:spacing w:val="-12"/>
          <w:w w:val="105"/>
        </w:rPr>
        <w:t> </w:t>
      </w:r>
      <w:r>
        <w:rPr>
          <w:color w:val="231F20"/>
          <w:w w:val="105"/>
        </w:rPr>
        <w:t>recursos</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financiamiento</w:t>
      </w:r>
      <w:r>
        <w:rPr>
          <w:color w:val="231F20"/>
          <w:spacing w:val="-12"/>
          <w:w w:val="105"/>
        </w:rPr>
        <w:t> </w:t>
      </w:r>
      <w:r>
        <w:rPr>
          <w:color w:val="231F20"/>
          <w:w w:val="105"/>
        </w:rPr>
        <w:t>otorgado</w:t>
      </w:r>
      <w:r>
        <w:rPr>
          <w:color w:val="231F20"/>
          <w:spacing w:val="-12"/>
          <w:w w:val="105"/>
        </w:rPr>
        <w:t> </w:t>
      </w:r>
      <w:r>
        <w:rPr>
          <w:color w:val="231F20"/>
          <w:w w:val="105"/>
        </w:rPr>
        <w:t>por</w:t>
      </w:r>
      <w:r>
        <w:rPr>
          <w:color w:val="231F20"/>
          <w:spacing w:val="-12"/>
          <w:w w:val="105"/>
        </w:rPr>
        <w:t> </w:t>
      </w:r>
      <w:r>
        <w:rPr>
          <w:color w:val="231F20"/>
          <w:w w:val="105"/>
        </w:rPr>
        <w:t>el</w:t>
      </w:r>
      <w:r>
        <w:rPr>
          <w:color w:val="231F20"/>
          <w:spacing w:val="-12"/>
          <w:w w:val="105"/>
        </w:rPr>
        <w:t> </w:t>
      </w:r>
      <w:r>
        <w:rPr>
          <w:color w:val="231F20"/>
          <w:w w:val="105"/>
        </w:rPr>
        <w:t>estado</w:t>
      </w:r>
      <w:r>
        <w:rPr>
          <w:color w:val="231F20"/>
          <w:spacing w:val="-12"/>
          <w:w w:val="105"/>
        </w:rPr>
        <w:t> </w:t>
      </w:r>
      <w:r>
        <w:rPr>
          <w:color w:val="231F20"/>
          <w:w w:val="105"/>
        </w:rPr>
        <w:t>(teoría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de- pendencia</w:t>
      </w:r>
      <w:r>
        <w:rPr>
          <w:color w:val="231F20"/>
          <w:spacing w:val="-30"/>
          <w:w w:val="105"/>
        </w:rPr>
        <w:t> </w:t>
      </w:r>
      <w:r>
        <w:rPr>
          <w:color w:val="231F20"/>
          <w:w w:val="105"/>
        </w:rPr>
        <w:t>de</w:t>
      </w:r>
      <w:r>
        <w:rPr>
          <w:color w:val="231F20"/>
          <w:spacing w:val="-30"/>
          <w:w w:val="105"/>
        </w:rPr>
        <w:t> </w:t>
      </w:r>
      <w:r>
        <w:rPr>
          <w:color w:val="231F20"/>
          <w:w w:val="105"/>
        </w:rPr>
        <w:t>recursos).</w:t>
      </w:r>
    </w:p>
    <w:p>
      <w:pPr>
        <w:pStyle w:val="BodyText"/>
        <w:spacing w:line="259" w:lineRule="auto"/>
        <w:ind w:left="103" w:right="115" w:firstLine="567"/>
        <w:jc w:val="both"/>
      </w:pPr>
      <w:r>
        <w:rPr>
          <w:color w:val="231F20"/>
          <w:w w:val="105"/>
        </w:rPr>
        <w:t>Ahora bien, para operacionalizar estos enfoques teóricos y llegar a la requerida medición del desempeño organizacional, en el siguiente apartado</w:t>
      </w:r>
      <w:r>
        <w:rPr>
          <w:color w:val="231F20"/>
          <w:spacing w:val="-22"/>
          <w:w w:val="105"/>
        </w:rPr>
        <w:t> </w:t>
      </w:r>
      <w:r>
        <w:rPr>
          <w:color w:val="231F20"/>
          <w:w w:val="105"/>
        </w:rPr>
        <w:t>se</w:t>
      </w:r>
      <w:r>
        <w:rPr>
          <w:color w:val="231F20"/>
          <w:spacing w:val="-22"/>
          <w:w w:val="105"/>
        </w:rPr>
        <w:t> </w:t>
      </w:r>
      <w:r>
        <w:rPr>
          <w:color w:val="231F20"/>
          <w:w w:val="105"/>
        </w:rPr>
        <w:t>presentan</w:t>
      </w:r>
      <w:r>
        <w:rPr>
          <w:color w:val="231F20"/>
          <w:spacing w:val="-22"/>
          <w:w w:val="105"/>
        </w:rPr>
        <w:t> </w:t>
      </w:r>
      <w:r>
        <w:rPr>
          <w:color w:val="231F20"/>
          <w:w w:val="105"/>
        </w:rPr>
        <w:t>cuatro</w:t>
      </w:r>
      <w:r>
        <w:rPr>
          <w:color w:val="231F20"/>
          <w:spacing w:val="-22"/>
          <w:w w:val="105"/>
        </w:rPr>
        <w:t> </w:t>
      </w:r>
      <w:r>
        <w:rPr>
          <w:color w:val="231F20"/>
          <w:w w:val="105"/>
        </w:rPr>
        <w:t>modelos</w:t>
      </w:r>
      <w:r>
        <w:rPr>
          <w:color w:val="231F20"/>
          <w:spacing w:val="-22"/>
          <w:w w:val="105"/>
        </w:rPr>
        <w:t> </w:t>
      </w:r>
      <w:r>
        <w:rPr>
          <w:color w:val="231F20"/>
          <w:w w:val="105"/>
        </w:rPr>
        <w:t>de</w:t>
      </w:r>
      <w:r>
        <w:rPr>
          <w:color w:val="231F20"/>
          <w:spacing w:val="-22"/>
          <w:w w:val="105"/>
        </w:rPr>
        <w:t> </w:t>
      </w:r>
      <w:r>
        <w:rPr>
          <w:color w:val="231F20"/>
          <w:w w:val="105"/>
        </w:rPr>
        <w:t>excelencia</w:t>
      </w:r>
      <w:r>
        <w:rPr>
          <w:color w:val="231F20"/>
          <w:spacing w:val="-22"/>
          <w:w w:val="105"/>
        </w:rPr>
        <w:t> </w:t>
      </w:r>
      <w:r>
        <w:rPr>
          <w:color w:val="231F20"/>
          <w:w w:val="105"/>
        </w:rPr>
        <w:t>administrativa,</w:t>
      </w:r>
      <w:r>
        <w:rPr>
          <w:color w:val="231F20"/>
          <w:spacing w:val="-26"/>
          <w:w w:val="105"/>
        </w:rPr>
        <w:t> </w:t>
      </w:r>
      <w:r>
        <w:rPr>
          <w:color w:val="231F20"/>
          <w:w w:val="105"/>
        </w:rPr>
        <w:t>con especial</w:t>
      </w:r>
      <w:r>
        <w:rPr>
          <w:color w:val="231F20"/>
          <w:spacing w:val="-5"/>
          <w:w w:val="105"/>
        </w:rPr>
        <w:t> </w:t>
      </w:r>
      <w:r>
        <w:rPr>
          <w:color w:val="231F20"/>
          <w:w w:val="105"/>
        </w:rPr>
        <w:t>énfasis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EFQM,</w:t>
      </w:r>
      <w:r>
        <w:rPr>
          <w:color w:val="231F20"/>
          <w:spacing w:val="-10"/>
          <w:w w:val="105"/>
        </w:rPr>
        <w:t> </w:t>
      </w:r>
      <w:r>
        <w:rPr>
          <w:color w:val="231F20"/>
          <w:w w:val="105"/>
        </w:rPr>
        <w:t>para</w:t>
      </w:r>
      <w:r>
        <w:rPr>
          <w:color w:val="231F20"/>
          <w:spacing w:val="-5"/>
          <w:w w:val="105"/>
        </w:rPr>
        <w:t> </w:t>
      </w:r>
      <w:r>
        <w:rPr>
          <w:color w:val="231F20"/>
          <w:w w:val="105"/>
        </w:rPr>
        <w:t>cerrar</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retos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evaluación del</w:t>
      </w:r>
      <w:r>
        <w:rPr>
          <w:color w:val="231F20"/>
          <w:spacing w:val="-24"/>
          <w:w w:val="105"/>
        </w:rPr>
        <w:t> </w:t>
      </w:r>
      <w:r>
        <w:rPr>
          <w:color w:val="231F20"/>
          <w:w w:val="105"/>
        </w:rPr>
        <w:t>desempeño</w:t>
      </w:r>
      <w:r>
        <w:rPr>
          <w:color w:val="231F20"/>
          <w:spacing w:val="-24"/>
          <w:w w:val="105"/>
        </w:rPr>
        <w:t> </w:t>
      </w:r>
      <w:r>
        <w:rPr>
          <w:color w:val="231F20"/>
          <w:w w:val="105"/>
        </w:rPr>
        <w:t>organizacional</w:t>
      </w:r>
      <w:r>
        <w:rPr>
          <w:color w:val="231F20"/>
          <w:spacing w:val="-24"/>
          <w:w w:val="105"/>
        </w:rPr>
        <w:t> </w:t>
      </w:r>
      <w:r>
        <w:rPr>
          <w:color w:val="231F20"/>
          <w:w w:val="105"/>
        </w:rPr>
        <w:t>en</w:t>
      </w:r>
      <w:r>
        <w:rPr>
          <w:color w:val="231F20"/>
          <w:spacing w:val="-24"/>
          <w:w w:val="105"/>
        </w:rPr>
        <w:t> </w:t>
      </w:r>
      <w:r>
        <w:rPr>
          <w:color w:val="231F20"/>
          <w:w w:val="105"/>
        </w:rPr>
        <w:t>instituciones</w:t>
      </w:r>
      <w:r>
        <w:rPr>
          <w:color w:val="231F20"/>
          <w:spacing w:val="-24"/>
          <w:w w:val="105"/>
        </w:rPr>
        <w:t> </w:t>
      </w:r>
      <w:r>
        <w:rPr>
          <w:color w:val="231F20"/>
          <w:w w:val="105"/>
        </w:rPr>
        <w:t>educativas.</w:t>
      </w:r>
    </w:p>
    <w:p>
      <w:pPr>
        <w:pStyle w:val="BodyText"/>
        <w:rPr>
          <w:sz w:val="20"/>
        </w:rPr>
      </w:pPr>
    </w:p>
    <w:p>
      <w:pPr>
        <w:pStyle w:val="BodyText"/>
        <w:spacing w:before="7"/>
        <w:rPr>
          <w:sz w:val="18"/>
        </w:rPr>
      </w:pPr>
    </w:p>
    <w:p>
      <w:pPr>
        <w:pStyle w:val="Heading2"/>
        <w:spacing w:line="247" w:lineRule="auto"/>
        <w:ind w:left="103" w:right="1285"/>
        <w:jc w:val="left"/>
      </w:pPr>
      <w:r>
        <w:rPr>
          <w:color w:val="231F20"/>
        </w:rPr>
        <w:t>Modelos</w:t>
      </w:r>
      <w:r>
        <w:rPr>
          <w:color w:val="231F20"/>
          <w:spacing w:val="-29"/>
        </w:rPr>
        <w:t> </w:t>
      </w:r>
      <w:r>
        <w:rPr>
          <w:color w:val="231F20"/>
        </w:rPr>
        <w:t>de</w:t>
      </w:r>
      <w:r>
        <w:rPr>
          <w:color w:val="231F20"/>
          <w:spacing w:val="-29"/>
        </w:rPr>
        <w:t> </w:t>
      </w:r>
      <w:r>
        <w:rPr>
          <w:color w:val="231F20"/>
        </w:rPr>
        <w:t>excelencia</w:t>
      </w:r>
      <w:r>
        <w:rPr>
          <w:color w:val="231F20"/>
          <w:spacing w:val="-29"/>
        </w:rPr>
        <w:t> </w:t>
      </w:r>
      <w:r>
        <w:rPr>
          <w:color w:val="231F20"/>
        </w:rPr>
        <w:t>administrativa</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evaluación del</w:t>
      </w:r>
      <w:r>
        <w:rPr>
          <w:color w:val="231F20"/>
          <w:spacing w:val="-31"/>
        </w:rPr>
        <w:t> </w:t>
      </w:r>
      <w:r>
        <w:rPr>
          <w:color w:val="231F20"/>
        </w:rPr>
        <w:t>desempeño</w:t>
      </w:r>
      <w:r>
        <w:rPr>
          <w:color w:val="231F20"/>
          <w:spacing w:val="-31"/>
        </w:rPr>
        <w:t> </w:t>
      </w:r>
      <w:r>
        <w:rPr>
          <w:color w:val="231F20"/>
        </w:rPr>
        <w:t>en</w:t>
      </w:r>
      <w:r>
        <w:rPr>
          <w:color w:val="231F20"/>
          <w:spacing w:val="-31"/>
        </w:rPr>
        <w:t> </w:t>
      </w:r>
      <w:r>
        <w:rPr>
          <w:color w:val="231F20"/>
        </w:rPr>
        <w:t>universidades</w:t>
      </w:r>
    </w:p>
    <w:p>
      <w:pPr>
        <w:pStyle w:val="BodyText"/>
        <w:rPr>
          <w:b/>
          <w:sz w:val="22"/>
        </w:rPr>
      </w:pPr>
    </w:p>
    <w:p>
      <w:pPr>
        <w:pStyle w:val="BodyText"/>
        <w:spacing w:line="259" w:lineRule="auto" w:before="153"/>
        <w:ind w:left="103" w:right="115"/>
        <w:jc w:val="both"/>
      </w:pPr>
      <w:r>
        <w:rPr>
          <w:color w:val="231F20"/>
          <w:w w:val="105"/>
        </w:rPr>
        <w:t>Cada</w:t>
      </w:r>
      <w:r>
        <w:rPr>
          <w:color w:val="231F20"/>
          <w:spacing w:val="-13"/>
          <w:w w:val="105"/>
        </w:rPr>
        <w:t> </w:t>
      </w:r>
      <w:r>
        <w:rPr>
          <w:color w:val="231F20"/>
          <w:w w:val="105"/>
        </w:rPr>
        <w:t>vez</w:t>
      </w:r>
      <w:r>
        <w:rPr>
          <w:color w:val="231F20"/>
          <w:spacing w:val="-13"/>
          <w:w w:val="105"/>
        </w:rPr>
        <w:t> </w:t>
      </w:r>
      <w:r>
        <w:rPr>
          <w:color w:val="231F20"/>
          <w:w w:val="105"/>
        </w:rPr>
        <w:t>es</w:t>
      </w:r>
      <w:r>
        <w:rPr>
          <w:color w:val="231F20"/>
          <w:spacing w:val="-13"/>
          <w:w w:val="105"/>
        </w:rPr>
        <w:t> </w:t>
      </w:r>
      <w:r>
        <w:rPr>
          <w:color w:val="231F20"/>
          <w:w w:val="105"/>
        </w:rPr>
        <w:t>más</w:t>
      </w:r>
      <w:r>
        <w:rPr>
          <w:color w:val="231F20"/>
          <w:spacing w:val="-13"/>
          <w:w w:val="105"/>
        </w:rPr>
        <w:t> </w:t>
      </w:r>
      <w:r>
        <w:rPr>
          <w:color w:val="231F20"/>
          <w:w w:val="105"/>
        </w:rPr>
        <w:t>el</w:t>
      </w:r>
      <w:r>
        <w:rPr>
          <w:color w:val="231F20"/>
          <w:spacing w:val="-13"/>
          <w:w w:val="105"/>
        </w:rPr>
        <w:t> </w:t>
      </w:r>
      <w:r>
        <w:rPr>
          <w:color w:val="231F20"/>
          <w:w w:val="105"/>
        </w:rPr>
        <w:t>interés</w:t>
      </w:r>
      <w:r>
        <w:rPr>
          <w:color w:val="231F20"/>
          <w:spacing w:val="-13"/>
          <w:w w:val="105"/>
        </w:rPr>
        <w:t> </w:t>
      </w:r>
      <w:r>
        <w:rPr>
          <w:color w:val="231F20"/>
          <w:w w:val="105"/>
        </w:rPr>
        <w:t>por</w:t>
      </w:r>
      <w:r>
        <w:rPr>
          <w:color w:val="231F20"/>
          <w:spacing w:val="-13"/>
          <w:w w:val="105"/>
        </w:rPr>
        <w:t> </w:t>
      </w:r>
      <w:r>
        <w:rPr>
          <w:color w:val="231F20"/>
          <w:w w:val="105"/>
        </w:rPr>
        <w:t>evaluar</w:t>
      </w:r>
      <w:r>
        <w:rPr>
          <w:color w:val="231F20"/>
          <w:spacing w:val="-13"/>
          <w:w w:val="105"/>
        </w:rPr>
        <w:t> </w:t>
      </w:r>
      <w:r>
        <w:rPr>
          <w:color w:val="231F20"/>
          <w:w w:val="105"/>
        </w:rPr>
        <w:t>el</w:t>
      </w:r>
      <w:r>
        <w:rPr>
          <w:color w:val="231F20"/>
          <w:spacing w:val="-13"/>
          <w:w w:val="105"/>
        </w:rPr>
        <w:t> </w:t>
      </w:r>
      <w:r>
        <w:rPr>
          <w:color w:val="231F20"/>
          <w:w w:val="105"/>
        </w:rPr>
        <w:t>desempeño</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universida- des,</w:t>
      </w:r>
      <w:r>
        <w:rPr>
          <w:color w:val="231F20"/>
          <w:spacing w:val="-11"/>
          <w:w w:val="105"/>
        </w:rPr>
        <w:t> </w:t>
      </w:r>
      <w:r>
        <w:rPr>
          <w:color w:val="231F20"/>
          <w:w w:val="105"/>
        </w:rPr>
        <w:t>ya</w:t>
      </w:r>
      <w:r>
        <w:rPr>
          <w:color w:val="231F20"/>
          <w:spacing w:val="-4"/>
          <w:w w:val="105"/>
        </w:rPr>
        <w:t> </w:t>
      </w:r>
      <w:r>
        <w:rPr>
          <w:color w:val="231F20"/>
          <w:w w:val="105"/>
        </w:rPr>
        <w:t>sea</w:t>
      </w:r>
      <w:r>
        <w:rPr>
          <w:color w:val="231F20"/>
          <w:spacing w:val="-4"/>
          <w:w w:val="105"/>
        </w:rPr>
        <w:t> </w:t>
      </w:r>
      <w:r>
        <w:rPr>
          <w:color w:val="231F20"/>
          <w:w w:val="105"/>
        </w:rPr>
        <w:t>por</w:t>
      </w:r>
      <w:r>
        <w:rPr>
          <w:color w:val="231F20"/>
          <w:spacing w:val="-4"/>
          <w:w w:val="105"/>
        </w:rPr>
        <w:t> </w:t>
      </w:r>
      <w:r>
        <w:rPr>
          <w:color w:val="231F20"/>
          <w:w w:val="105"/>
        </w:rPr>
        <w:t>el</w:t>
      </w:r>
      <w:r>
        <w:rPr>
          <w:color w:val="231F20"/>
          <w:spacing w:val="-4"/>
          <w:w w:val="105"/>
        </w:rPr>
        <w:t> </w:t>
      </w:r>
      <w:r>
        <w:rPr>
          <w:color w:val="231F20"/>
          <w:w w:val="105"/>
        </w:rPr>
        <w:t>incremento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competencia</w:t>
      </w:r>
      <w:r>
        <w:rPr>
          <w:color w:val="231F20"/>
          <w:spacing w:val="-4"/>
          <w:w w:val="105"/>
        </w:rPr>
        <w:t> </w:t>
      </w:r>
      <w:r>
        <w:rPr>
          <w:color w:val="231F20"/>
          <w:w w:val="105"/>
        </w:rPr>
        <w:t>entre</w:t>
      </w:r>
      <w:r>
        <w:rPr>
          <w:color w:val="231F20"/>
          <w:spacing w:val="-4"/>
          <w:w w:val="105"/>
        </w:rPr>
        <w:t> </w:t>
      </w:r>
      <w:r>
        <w:rPr>
          <w:color w:val="231F20"/>
          <w:w w:val="105"/>
        </w:rPr>
        <w:t>instituciones</w:t>
      </w:r>
      <w:r>
        <w:rPr>
          <w:color w:val="231F20"/>
          <w:spacing w:val="-4"/>
          <w:w w:val="105"/>
        </w:rPr>
        <w:t> </w:t>
      </w:r>
      <w:r>
        <w:rPr>
          <w:color w:val="231F20"/>
          <w:w w:val="105"/>
        </w:rPr>
        <w:t>pú- blicas</w:t>
      </w:r>
      <w:r>
        <w:rPr>
          <w:color w:val="231F20"/>
          <w:spacing w:val="-6"/>
          <w:w w:val="105"/>
        </w:rPr>
        <w:t> </w:t>
      </w:r>
      <w:r>
        <w:rPr>
          <w:color w:val="231F20"/>
          <w:w w:val="105"/>
        </w:rPr>
        <w:t>y</w:t>
      </w:r>
      <w:r>
        <w:rPr>
          <w:color w:val="231F20"/>
          <w:spacing w:val="-6"/>
          <w:w w:val="105"/>
        </w:rPr>
        <w:t> </w:t>
      </w:r>
      <w:r>
        <w:rPr>
          <w:color w:val="231F20"/>
          <w:w w:val="105"/>
        </w:rPr>
        <w:t>privadas,</w:t>
      </w:r>
      <w:r>
        <w:rPr>
          <w:color w:val="231F20"/>
          <w:spacing w:val="-12"/>
          <w:w w:val="105"/>
        </w:rPr>
        <w:t> </w:t>
      </w:r>
      <w:r>
        <w:rPr>
          <w:color w:val="231F20"/>
          <w:w w:val="105"/>
        </w:rPr>
        <w:t>por</w:t>
      </w:r>
      <w:r>
        <w:rPr>
          <w:color w:val="231F20"/>
          <w:spacing w:val="-6"/>
          <w:w w:val="105"/>
        </w:rPr>
        <w:t> </w:t>
      </w:r>
      <w:r>
        <w:rPr>
          <w:color w:val="231F20"/>
          <w:w w:val="105"/>
        </w:rPr>
        <w:t>la</w:t>
      </w:r>
      <w:r>
        <w:rPr>
          <w:color w:val="231F20"/>
          <w:spacing w:val="-6"/>
          <w:w w:val="105"/>
        </w:rPr>
        <w:t> </w:t>
      </w:r>
      <w:r>
        <w:rPr>
          <w:color w:val="231F20"/>
          <w:w w:val="105"/>
        </w:rPr>
        <w:t>presión</w:t>
      </w:r>
      <w:r>
        <w:rPr>
          <w:color w:val="231F20"/>
          <w:spacing w:val="-6"/>
          <w:w w:val="105"/>
        </w:rPr>
        <w:t> </w:t>
      </w:r>
      <w:r>
        <w:rPr>
          <w:color w:val="231F20"/>
          <w:w w:val="105"/>
        </w:rPr>
        <w:t>gubernamental</w:t>
      </w:r>
      <w:r>
        <w:rPr>
          <w:color w:val="231F20"/>
          <w:spacing w:val="-6"/>
          <w:w w:val="105"/>
        </w:rPr>
        <w:t> </w:t>
      </w:r>
      <w:r>
        <w:rPr>
          <w:color w:val="231F20"/>
          <w:w w:val="105"/>
        </w:rPr>
        <w:t>y</w:t>
      </w:r>
      <w:r>
        <w:rPr>
          <w:color w:val="231F20"/>
          <w:spacing w:val="-6"/>
          <w:w w:val="105"/>
        </w:rPr>
        <w:t> </w:t>
      </w:r>
      <w:r>
        <w:rPr>
          <w:color w:val="231F20"/>
          <w:w w:val="105"/>
        </w:rPr>
        <w:t>social</w:t>
      </w:r>
      <w:r>
        <w:rPr>
          <w:color w:val="231F20"/>
          <w:spacing w:val="-6"/>
          <w:w w:val="105"/>
        </w:rPr>
        <w:t> </w:t>
      </w:r>
      <w:r>
        <w:rPr>
          <w:color w:val="231F20"/>
          <w:w w:val="105"/>
        </w:rPr>
        <w:t>para</w:t>
      </w:r>
      <w:r>
        <w:rPr>
          <w:color w:val="231F20"/>
          <w:spacing w:val="-6"/>
          <w:w w:val="105"/>
        </w:rPr>
        <w:t> </w:t>
      </w:r>
      <w:r>
        <w:rPr>
          <w:color w:val="231F20"/>
          <w:w w:val="105"/>
        </w:rPr>
        <w:t>demostrar</w:t>
      </w:r>
    </w:p>
    <w:p>
      <w:pPr>
        <w:pStyle w:val="BodyText"/>
        <w:rPr>
          <w:sz w:val="20"/>
        </w:rPr>
      </w:pPr>
    </w:p>
    <w:p>
      <w:pPr>
        <w:pStyle w:val="BodyText"/>
        <w:rPr>
          <w:sz w:val="20"/>
        </w:rPr>
      </w:pPr>
    </w:p>
    <w:p>
      <w:pPr>
        <w:pStyle w:val="BodyText"/>
        <w:spacing w:before="1"/>
        <w:rPr>
          <w:sz w:val="18"/>
        </w:rPr>
      </w:pPr>
    </w:p>
    <w:p>
      <w:pPr>
        <w:tabs>
          <w:tab w:pos="1317" w:val="left" w:leader="none"/>
        </w:tabs>
        <w:spacing w:before="0"/>
        <w:ind w:left="267" w:right="17" w:firstLine="0"/>
        <w:jc w:val="left"/>
        <w:rPr>
          <w:rFonts w:ascii="Calibri" w:hAnsi="Calibri"/>
          <w:sz w:val="15"/>
        </w:rPr>
      </w:pPr>
      <w:r>
        <w:rPr/>
        <w:pict>
          <v:group style="position:absolute;margin-left:101.817299pt;margin-top:-20.299887pt;width:17.850pt;height:56.5pt;mso-position-horizontal-relative:page;mso-position-vertical-relative:paragraph;z-index:-244552"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96</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045" w:right="0" w:firstLine="0"/>
        <w:jc w:val="left"/>
        <w:rPr>
          <w:sz w:val="20"/>
        </w:rPr>
      </w:pPr>
      <w:r>
        <w:rPr/>
        <w:pict>
          <v:line style="position:absolute;mso-position-horizontal-relative:page;mso-position-vertical-relative:paragraph;z-index:-244528"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7"/>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97</w:t>
      </w:r>
    </w:p>
    <w:p>
      <w:pPr>
        <w:pStyle w:val="BodyText"/>
        <w:rPr>
          <w:sz w:val="20"/>
        </w:rPr>
      </w:pPr>
    </w:p>
    <w:p>
      <w:pPr>
        <w:pStyle w:val="BodyText"/>
        <w:rPr>
          <w:sz w:val="20"/>
        </w:rPr>
      </w:pPr>
    </w:p>
    <w:p>
      <w:pPr>
        <w:pStyle w:val="BodyText"/>
        <w:spacing w:line="259" w:lineRule="auto" w:before="134"/>
        <w:ind w:left="117" w:right="114"/>
      </w:pPr>
      <w:r>
        <w:rPr>
          <w:color w:val="231F20"/>
          <w:w w:val="105"/>
        </w:rPr>
        <w:t>el valor de su rendimiento en función de su costo o por mayor calidad con menos recursos (Sarrico </w:t>
      </w:r>
      <w:r>
        <w:rPr>
          <w:i/>
          <w:color w:val="231F20"/>
          <w:w w:val="105"/>
        </w:rPr>
        <w:t>et al</w:t>
      </w:r>
      <w:r>
        <w:rPr>
          <w:color w:val="231F20"/>
          <w:w w:val="105"/>
        </w:rPr>
        <w:t>., 2010).</w:t>
      </w:r>
    </w:p>
    <w:p>
      <w:pPr>
        <w:pStyle w:val="BodyText"/>
        <w:spacing w:line="259" w:lineRule="auto"/>
        <w:ind w:left="117" w:right="121" w:firstLine="567"/>
        <w:jc w:val="both"/>
      </w:pPr>
      <w:r>
        <w:rPr>
          <w:color w:val="231F20"/>
          <w:w w:val="105"/>
        </w:rPr>
        <w:t>Tradicionalmente,</w:t>
      </w:r>
      <w:r>
        <w:rPr>
          <w:color w:val="231F20"/>
          <w:spacing w:val="-30"/>
          <w:w w:val="105"/>
        </w:rPr>
        <w:t> </w:t>
      </w:r>
      <w:r>
        <w:rPr>
          <w:color w:val="231F20"/>
          <w:w w:val="105"/>
        </w:rPr>
        <w:t>el</w:t>
      </w:r>
      <w:r>
        <w:rPr>
          <w:color w:val="231F20"/>
          <w:spacing w:val="-24"/>
          <w:w w:val="105"/>
        </w:rPr>
        <w:t> </w:t>
      </w:r>
      <w:r>
        <w:rPr>
          <w:color w:val="231F20"/>
          <w:w w:val="105"/>
        </w:rPr>
        <w:t>apoyo</w:t>
      </w:r>
      <w:r>
        <w:rPr>
          <w:color w:val="231F20"/>
          <w:spacing w:val="-24"/>
          <w:w w:val="105"/>
        </w:rPr>
        <w:t> </w:t>
      </w:r>
      <w:r>
        <w:rPr>
          <w:color w:val="231F20"/>
          <w:w w:val="105"/>
        </w:rPr>
        <w:t>gubernamental</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enseñanza</w:t>
      </w:r>
      <w:r>
        <w:rPr>
          <w:color w:val="231F20"/>
          <w:spacing w:val="-24"/>
          <w:w w:val="105"/>
        </w:rPr>
        <w:t> </w:t>
      </w:r>
      <w:r>
        <w:rPr>
          <w:color w:val="231F20"/>
          <w:w w:val="105"/>
        </w:rPr>
        <w:t>e</w:t>
      </w:r>
      <w:r>
        <w:rPr>
          <w:color w:val="231F20"/>
          <w:spacing w:val="-24"/>
          <w:w w:val="105"/>
        </w:rPr>
        <w:t> </w:t>
      </w:r>
      <w:r>
        <w:rPr>
          <w:color w:val="231F20"/>
          <w:w w:val="105"/>
        </w:rPr>
        <w:t>in- vestigación</w:t>
      </w:r>
      <w:r>
        <w:rPr>
          <w:color w:val="231F20"/>
          <w:spacing w:val="-10"/>
          <w:w w:val="105"/>
        </w:rPr>
        <w:t> </w:t>
      </w:r>
      <w:r>
        <w:rPr>
          <w:color w:val="231F20"/>
          <w:w w:val="105"/>
        </w:rPr>
        <w:t>se</w:t>
      </w:r>
      <w:r>
        <w:rPr>
          <w:color w:val="231F20"/>
          <w:spacing w:val="-10"/>
          <w:w w:val="105"/>
        </w:rPr>
        <w:t> </w:t>
      </w:r>
      <w:r>
        <w:rPr>
          <w:color w:val="231F20"/>
          <w:w w:val="105"/>
        </w:rPr>
        <w:t>ha</w:t>
      </w:r>
      <w:r>
        <w:rPr>
          <w:color w:val="231F20"/>
          <w:spacing w:val="-10"/>
          <w:w w:val="105"/>
        </w:rPr>
        <w:t> </w:t>
      </w:r>
      <w:r>
        <w:rPr>
          <w:color w:val="231F20"/>
          <w:w w:val="105"/>
        </w:rPr>
        <w:t>justificado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argumento</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producen</w:t>
      </w:r>
      <w:r>
        <w:rPr>
          <w:color w:val="231F20"/>
          <w:spacing w:val="-10"/>
          <w:w w:val="105"/>
        </w:rPr>
        <w:t> </w:t>
      </w:r>
      <w:r>
        <w:rPr>
          <w:color w:val="231F20"/>
          <w:w w:val="105"/>
        </w:rPr>
        <w:t>un</w:t>
      </w:r>
      <w:r>
        <w:rPr>
          <w:color w:val="231F20"/>
          <w:spacing w:val="-10"/>
          <w:w w:val="105"/>
        </w:rPr>
        <w:t> </w:t>
      </w:r>
      <w:r>
        <w:rPr>
          <w:color w:val="231F20"/>
          <w:w w:val="105"/>
        </w:rPr>
        <w:t>bien público, donde los beneficios están dispersos y los resultados no son inmediatos.</w:t>
      </w:r>
      <w:r>
        <w:rPr>
          <w:color w:val="231F20"/>
          <w:spacing w:val="-28"/>
          <w:w w:val="105"/>
        </w:rPr>
        <w:t> </w:t>
      </w:r>
      <w:r>
        <w:rPr>
          <w:color w:val="231F20"/>
          <w:w w:val="105"/>
        </w:rPr>
        <w:t>Sin</w:t>
      </w:r>
      <w:r>
        <w:rPr>
          <w:color w:val="231F20"/>
          <w:spacing w:val="-23"/>
          <w:w w:val="105"/>
        </w:rPr>
        <w:t> </w:t>
      </w:r>
      <w:r>
        <w:rPr>
          <w:color w:val="231F20"/>
          <w:w w:val="105"/>
        </w:rPr>
        <w:t>embargo,</w:t>
      </w:r>
      <w:r>
        <w:rPr>
          <w:color w:val="231F20"/>
          <w:spacing w:val="-28"/>
          <w:w w:val="105"/>
        </w:rPr>
        <w:t> </w:t>
      </w:r>
      <w:r>
        <w:rPr>
          <w:color w:val="231F20"/>
          <w:w w:val="105"/>
        </w:rPr>
        <w:t>cada</w:t>
      </w:r>
      <w:r>
        <w:rPr>
          <w:color w:val="231F20"/>
          <w:spacing w:val="-23"/>
          <w:w w:val="105"/>
        </w:rPr>
        <w:t> </w:t>
      </w:r>
      <w:r>
        <w:rPr>
          <w:color w:val="231F20"/>
          <w:w w:val="105"/>
        </w:rPr>
        <w:t>vez</w:t>
      </w:r>
      <w:r>
        <w:rPr>
          <w:color w:val="231F20"/>
          <w:spacing w:val="-23"/>
          <w:w w:val="105"/>
        </w:rPr>
        <w:t> </w:t>
      </w:r>
      <w:r>
        <w:rPr>
          <w:color w:val="231F20"/>
          <w:w w:val="105"/>
        </w:rPr>
        <w:t>es</w:t>
      </w:r>
      <w:r>
        <w:rPr>
          <w:color w:val="231F20"/>
          <w:spacing w:val="-23"/>
          <w:w w:val="105"/>
        </w:rPr>
        <w:t> </w:t>
      </w:r>
      <w:r>
        <w:rPr>
          <w:color w:val="231F20"/>
          <w:w w:val="105"/>
        </w:rPr>
        <w:t>mayor</w:t>
      </w:r>
      <w:r>
        <w:rPr>
          <w:color w:val="231F20"/>
          <w:spacing w:val="-23"/>
          <w:w w:val="105"/>
        </w:rPr>
        <w:t> </w:t>
      </w:r>
      <w:r>
        <w:rPr>
          <w:color w:val="231F20"/>
          <w:w w:val="105"/>
        </w:rPr>
        <w:t>la</w:t>
      </w:r>
      <w:r>
        <w:rPr>
          <w:color w:val="231F20"/>
          <w:spacing w:val="-23"/>
          <w:w w:val="105"/>
        </w:rPr>
        <w:t> </w:t>
      </w:r>
      <w:r>
        <w:rPr>
          <w:color w:val="231F20"/>
          <w:w w:val="105"/>
        </w:rPr>
        <w:t>tendencia</w:t>
      </w:r>
      <w:r>
        <w:rPr>
          <w:color w:val="231F20"/>
          <w:spacing w:val="-23"/>
          <w:w w:val="105"/>
        </w:rPr>
        <w:t> </w:t>
      </w:r>
      <w:r>
        <w:rPr>
          <w:color w:val="231F20"/>
          <w:w w:val="105"/>
        </w:rPr>
        <w:t>de</w:t>
      </w:r>
      <w:r>
        <w:rPr>
          <w:color w:val="231F20"/>
          <w:spacing w:val="-23"/>
          <w:w w:val="105"/>
        </w:rPr>
        <w:t> </w:t>
      </w:r>
      <w:r>
        <w:rPr>
          <w:color w:val="231F20"/>
          <w:w w:val="105"/>
        </w:rPr>
        <w:t>exigir</w:t>
      </w:r>
      <w:r>
        <w:rPr>
          <w:color w:val="231F20"/>
          <w:spacing w:val="-23"/>
          <w:w w:val="105"/>
        </w:rPr>
        <w:t> </w:t>
      </w:r>
      <w:r>
        <w:rPr>
          <w:color w:val="231F20"/>
          <w:w w:val="105"/>
        </w:rPr>
        <w:t>resul- tados</w:t>
      </w:r>
      <w:r>
        <w:rPr>
          <w:color w:val="231F20"/>
          <w:spacing w:val="-16"/>
          <w:w w:val="105"/>
        </w:rPr>
        <w:t> </w:t>
      </w:r>
      <w:r>
        <w:rPr>
          <w:color w:val="231F20"/>
          <w:w w:val="105"/>
        </w:rPr>
        <w:t>tangibles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corto</w:t>
      </w:r>
      <w:r>
        <w:rPr>
          <w:color w:val="231F20"/>
          <w:spacing w:val="-16"/>
          <w:w w:val="105"/>
        </w:rPr>
        <w:t> </w:t>
      </w:r>
      <w:r>
        <w:rPr>
          <w:color w:val="231F20"/>
          <w:w w:val="105"/>
        </w:rPr>
        <w:t>plazo</w:t>
      </w:r>
      <w:r>
        <w:rPr>
          <w:color w:val="231F20"/>
          <w:spacing w:val="-16"/>
          <w:w w:val="105"/>
        </w:rPr>
        <w:t> </w:t>
      </w:r>
      <w:r>
        <w:rPr>
          <w:color w:val="231F20"/>
          <w:w w:val="105"/>
        </w:rPr>
        <w:t>(Guthrie</w:t>
      </w:r>
      <w:r>
        <w:rPr>
          <w:color w:val="231F20"/>
          <w:spacing w:val="-16"/>
          <w:w w:val="105"/>
        </w:rPr>
        <w:t> </w:t>
      </w:r>
      <w:r>
        <w:rPr>
          <w:color w:val="231F20"/>
          <w:w w:val="105"/>
        </w:rPr>
        <w:t>y</w:t>
      </w:r>
      <w:r>
        <w:rPr>
          <w:color w:val="231F20"/>
          <w:spacing w:val="-16"/>
          <w:w w:val="105"/>
        </w:rPr>
        <w:t> </w:t>
      </w:r>
      <w:r>
        <w:rPr>
          <w:color w:val="231F20"/>
          <w:w w:val="105"/>
        </w:rPr>
        <w:t>Neumann,</w:t>
      </w:r>
      <w:r>
        <w:rPr>
          <w:color w:val="231F20"/>
          <w:spacing w:val="-22"/>
          <w:w w:val="105"/>
        </w:rPr>
        <w:t> </w:t>
      </w:r>
      <w:r>
        <w:rPr>
          <w:color w:val="231F20"/>
          <w:w w:val="105"/>
        </w:rPr>
        <w:t>2007).</w:t>
      </w:r>
    </w:p>
    <w:p>
      <w:pPr>
        <w:pStyle w:val="BodyText"/>
        <w:spacing w:line="259" w:lineRule="auto"/>
        <w:ind w:left="117" w:right="115" w:firstLine="567"/>
        <w:jc w:val="both"/>
      </w:pPr>
      <w:r>
        <w:rPr>
          <w:color w:val="231F20"/>
          <w:w w:val="105"/>
        </w:rPr>
        <w:t>De aquí la aplicabilidad de la gestión pública, la cual persigue la creación</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administración</w:t>
      </w:r>
      <w:r>
        <w:rPr>
          <w:color w:val="231F20"/>
          <w:spacing w:val="-11"/>
          <w:w w:val="105"/>
        </w:rPr>
        <w:t> </w:t>
      </w:r>
      <w:r>
        <w:rPr>
          <w:color w:val="231F20"/>
          <w:w w:val="105"/>
        </w:rPr>
        <w:t>eficiente</w:t>
      </w:r>
      <w:r>
        <w:rPr>
          <w:color w:val="231F20"/>
          <w:spacing w:val="-11"/>
          <w:w w:val="105"/>
        </w:rPr>
        <w:t> </w:t>
      </w:r>
      <w:r>
        <w:rPr>
          <w:color w:val="231F20"/>
          <w:w w:val="105"/>
        </w:rPr>
        <w:t>y</w:t>
      </w:r>
      <w:r>
        <w:rPr>
          <w:color w:val="231F20"/>
          <w:spacing w:val="-11"/>
          <w:w w:val="105"/>
        </w:rPr>
        <w:t> </w:t>
      </w:r>
      <w:r>
        <w:rPr>
          <w:color w:val="231F20"/>
          <w:w w:val="105"/>
        </w:rPr>
        <w:t>eficaz,</w:t>
      </w:r>
      <w:r>
        <w:rPr>
          <w:color w:val="231F20"/>
          <w:spacing w:val="-15"/>
          <w:w w:val="105"/>
        </w:rPr>
        <w:t> </w:t>
      </w:r>
      <w:r>
        <w:rPr>
          <w:color w:val="231F20"/>
          <w:w w:val="105"/>
        </w:rPr>
        <w:t>es</w:t>
      </w:r>
      <w:r>
        <w:rPr>
          <w:color w:val="231F20"/>
          <w:spacing w:val="-11"/>
          <w:w w:val="105"/>
        </w:rPr>
        <w:t> </w:t>
      </w:r>
      <w:r>
        <w:rPr>
          <w:color w:val="231F20"/>
          <w:w w:val="105"/>
        </w:rPr>
        <w:t>decir,</w:t>
      </w:r>
      <w:r>
        <w:rPr>
          <w:color w:val="231F20"/>
          <w:spacing w:val="-15"/>
          <w:w w:val="105"/>
        </w:rPr>
        <w:t> </w:t>
      </w:r>
      <w:r>
        <w:rPr>
          <w:color w:val="231F20"/>
          <w:w w:val="105"/>
        </w:rPr>
        <w:t>una</w:t>
      </w:r>
      <w:r>
        <w:rPr>
          <w:color w:val="231F20"/>
          <w:spacing w:val="-11"/>
          <w:w w:val="105"/>
        </w:rPr>
        <w:t> </w:t>
      </w:r>
      <w:r>
        <w:rPr>
          <w:color w:val="231F20"/>
          <w:w w:val="105"/>
        </w:rPr>
        <w:t>adminis- tración</w:t>
      </w:r>
      <w:r>
        <w:rPr>
          <w:color w:val="231F20"/>
          <w:spacing w:val="-18"/>
          <w:w w:val="105"/>
        </w:rPr>
        <w:t> </w:t>
      </w:r>
      <w:r>
        <w:rPr>
          <w:color w:val="231F20"/>
          <w:w w:val="105"/>
        </w:rPr>
        <w:t>que</w:t>
      </w:r>
      <w:r>
        <w:rPr>
          <w:color w:val="231F20"/>
          <w:spacing w:val="-18"/>
          <w:w w:val="105"/>
        </w:rPr>
        <w:t> </w:t>
      </w:r>
      <w:r>
        <w:rPr>
          <w:color w:val="231F20"/>
          <w:w w:val="105"/>
        </w:rPr>
        <w:t>satisfaga</w:t>
      </w:r>
      <w:r>
        <w:rPr>
          <w:color w:val="231F20"/>
          <w:spacing w:val="-18"/>
          <w:w w:val="105"/>
        </w:rPr>
        <w:t> </w:t>
      </w:r>
      <w:r>
        <w:rPr>
          <w:color w:val="231F20"/>
          <w:w w:val="105"/>
        </w:rPr>
        <w:t>las</w:t>
      </w:r>
      <w:r>
        <w:rPr>
          <w:color w:val="231F20"/>
          <w:spacing w:val="-18"/>
          <w:w w:val="105"/>
        </w:rPr>
        <w:t> </w:t>
      </w:r>
      <w:r>
        <w:rPr>
          <w:color w:val="231F20"/>
          <w:w w:val="105"/>
        </w:rPr>
        <w:t>necesidades</w:t>
      </w:r>
      <w:r>
        <w:rPr>
          <w:color w:val="231F20"/>
          <w:spacing w:val="-18"/>
          <w:w w:val="105"/>
        </w:rPr>
        <w:t> </w:t>
      </w:r>
      <w:r>
        <w:rPr>
          <w:color w:val="231F20"/>
          <w:w w:val="105"/>
        </w:rPr>
        <w:t>reales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ciudadanos</w:t>
      </w:r>
      <w:r>
        <w:rPr>
          <w:color w:val="231F20"/>
          <w:spacing w:val="-18"/>
          <w:w w:val="105"/>
        </w:rPr>
        <w:t> </w:t>
      </w:r>
      <w:r>
        <w:rPr>
          <w:color w:val="231F20"/>
          <w:w w:val="105"/>
        </w:rPr>
        <w:t>al</w:t>
      </w:r>
      <w:r>
        <w:rPr>
          <w:color w:val="231F20"/>
          <w:spacing w:val="-18"/>
          <w:w w:val="105"/>
        </w:rPr>
        <w:t> </w:t>
      </w:r>
      <w:r>
        <w:rPr>
          <w:color w:val="231F20"/>
          <w:w w:val="105"/>
        </w:rPr>
        <w:t>menor costo</w:t>
      </w:r>
      <w:r>
        <w:rPr>
          <w:color w:val="231F20"/>
          <w:spacing w:val="-6"/>
          <w:w w:val="105"/>
        </w:rPr>
        <w:t> </w:t>
      </w:r>
      <w:r>
        <w:rPr>
          <w:color w:val="231F20"/>
          <w:w w:val="105"/>
        </w:rPr>
        <w:t>posible,</w:t>
      </w:r>
      <w:r>
        <w:rPr>
          <w:color w:val="231F20"/>
          <w:spacing w:val="-13"/>
          <w:w w:val="105"/>
        </w:rPr>
        <w:t> </w:t>
      </w:r>
      <w:r>
        <w:rPr>
          <w:color w:val="231F20"/>
          <w:w w:val="105"/>
        </w:rPr>
        <w:t>favoreciendo</w:t>
      </w:r>
      <w:r>
        <w:rPr>
          <w:color w:val="231F20"/>
          <w:spacing w:val="-6"/>
          <w:w w:val="105"/>
        </w:rPr>
        <w:t> </w:t>
      </w:r>
      <w:r>
        <w:rPr>
          <w:color w:val="231F20"/>
          <w:w w:val="105"/>
        </w:rPr>
        <w:t>para</w:t>
      </w:r>
      <w:r>
        <w:rPr>
          <w:color w:val="231F20"/>
          <w:spacing w:val="-6"/>
          <w:w w:val="105"/>
        </w:rPr>
        <w:t> </w:t>
      </w:r>
      <w:r>
        <w:rPr>
          <w:color w:val="231F20"/>
          <w:w w:val="105"/>
        </w:rPr>
        <w:t>ello</w:t>
      </w:r>
      <w:r>
        <w:rPr>
          <w:color w:val="231F20"/>
          <w:spacing w:val="-6"/>
          <w:w w:val="105"/>
        </w:rPr>
        <w:t> </w:t>
      </w:r>
      <w:r>
        <w:rPr>
          <w:color w:val="231F20"/>
          <w:w w:val="105"/>
        </w:rPr>
        <w:t>la</w:t>
      </w:r>
      <w:r>
        <w:rPr>
          <w:color w:val="231F20"/>
          <w:spacing w:val="-6"/>
          <w:w w:val="105"/>
        </w:rPr>
        <w:t> </w:t>
      </w:r>
      <w:r>
        <w:rPr>
          <w:color w:val="231F20"/>
          <w:w w:val="105"/>
        </w:rPr>
        <w:t>introducción</w:t>
      </w:r>
      <w:r>
        <w:rPr>
          <w:color w:val="231F20"/>
          <w:spacing w:val="-6"/>
          <w:w w:val="105"/>
        </w:rPr>
        <w:t> </w:t>
      </w:r>
      <w:r>
        <w:rPr>
          <w:color w:val="231F20"/>
          <w:w w:val="105"/>
        </w:rPr>
        <w:t>de</w:t>
      </w:r>
      <w:r>
        <w:rPr>
          <w:color w:val="231F20"/>
          <w:spacing w:val="-6"/>
          <w:w w:val="105"/>
        </w:rPr>
        <w:t> </w:t>
      </w:r>
      <w:r>
        <w:rPr>
          <w:color w:val="231F20"/>
          <w:w w:val="105"/>
        </w:rPr>
        <w:t>mecanismos</w:t>
      </w:r>
      <w:r>
        <w:rPr>
          <w:color w:val="231F20"/>
          <w:spacing w:val="-6"/>
          <w:w w:val="105"/>
        </w:rPr>
        <w:t> </w:t>
      </w:r>
      <w:r>
        <w:rPr>
          <w:color w:val="231F20"/>
          <w:w w:val="105"/>
        </w:rPr>
        <w:t>de competencia que permitan la elección de los usuarios </w:t>
      </w:r>
      <w:r>
        <w:rPr>
          <w:color w:val="231F20"/>
          <w:spacing w:val="-4"/>
          <w:w w:val="105"/>
        </w:rPr>
        <w:t>y, </w:t>
      </w:r>
      <w:r>
        <w:rPr>
          <w:color w:val="231F20"/>
          <w:w w:val="105"/>
        </w:rPr>
        <w:t>a su vez, pro- muevan el desarrollo de servicios de mayor calidad. </w:t>
      </w:r>
      <w:r>
        <w:rPr>
          <w:color w:val="231F20"/>
          <w:spacing w:val="-6"/>
          <w:w w:val="105"/>
        </w:rPr>
        <w:t>Todo </w:t>
      </w:r>
      <w:r>
        <w:rPr>
          <w:color w:val="231F20"/>
          <w:w w:val="105"/>
        </w:rPr>
        <w:t>ello rodeado de</w:t>
      </w:r>
      <w:r>
        <w:rPr>
          <w:color w:val="231F20"/>
          <w:spacing w:val="-18"/>
          <w:w w:val="105"/>
        </w:rPr>
        <w:t> </w:t>
      </w:r>
      <w:r>
        <w:rPr>
          <w:color w:val="231F20"/>
          <w:w w:val="105"/>
        </w:rPr>
        <w:t>sistemas</w:t>
      </w:r>
      <w:r>
        <w:rPr>
          <w:color w:val="231F20"/>
          <w:spacing w:val="-18"/>
          <w:w w:val="105"/>
        </w:rPr>
        <w:t> </w:t>
      </w:r>
      <w:r>
        <w:rPr>
          <w:color w:val="231F20"/>
          <w:w w:val="105"/>
        </w:rPr>
        <w:t>de</w:t>
      </w:r>
      <w:r>
        <w:rPr>
          <w:color w:val="231F20"/>
          <w:spacing w:val="-18"/>
          <w:w w:val="105"/>
        </w:rPr>
        <w:t> </w:t>
      </w:r>
      <w:r>
        <w:rPr>
          <w:color w:val="231F20"/>
          <w:w w:val="105"/>
        </w:rPr>
        <w:t>control</w:t>
      </w:r>
      <w:r>
        <w:rPr>
          <w:color w:val="231F20"/>
          <w:spacing w:val="-18"/>
          <w:w w:val="105"/>
        </w:rPr>
        <w:t> </w:t>
      </w:r>
      <w:r>
        <w:rPr>
          <w:color w:val="231F20"/>
          <w:w w:val="105"/>
        </w:rPr>
        <w:t>que</w:t>
      </w:r>
      <w:r>
        <w:rPr>
          <w:color w:val="231F20"/>
          <w:spacing w:val="-18"/>
          <w:w w:val="105"/>
        </w:rPr>
        <w:t> </w:t>
      </w:r>
      <w:r>
        <w:rPr>
          <w:color w:val="231F20"/>
          <w:w w:val="105"/>
        </w:rPr>
        <w:t>otorguen</w:t>
      </w:r>
      <w:r>
        <w:rPr>
          <w:color w:val="231F20"/>
          <w:spacing w:val="-18"/>
          <w:w w:val="105"/>
        </w:rPr>
        <w:t> </w:t>
      </w:r>
      <w:r>
        <w:rPr>
          <w:color w:val="231F20"/>
          <w:w w:val="105"/>
        </w:rPr>
        <w:t>una</w:t>
      </w:r>
      <w:r>
        <w:rPr>
          <w:color w:val="231F20"/>
          <w:spacing w:val="-18"/>
          <w:w w:val="105"/>
        </w:rPr>
        <w:t> </w:t>
      </w:r>
      <w:r>
        <w:rPr>
          <w:color w:val="231F20"/>
          <w:w w:val="105"/>
        </w:rPr>
        <w:t>plena</w:t>
      </w:r>
      <w:r>
        <w:rPr>
          <w:color w:val="231F20"/>
          <w:spacing w:val="-18"/>
          <w:w w:val="105"/>
        </w:rPr>
        <w:t> </w:t>
      </w:r>
      <w:r>
        <w:rPr>
          <w:color w:val="231F20"/>
          <w:w w:val="105"/>
        </w:rPr>
        <w:t>transparencia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pro- cesos,</w:t>
      </w:r>
      <w:r>
        <w:rPr>
          <w:color w:val="231F20"/>
          <w:spacing w:val="-29"/>
          <w:w w:val="105"/>
        </w:rPr>
        <w:t> </w:t>
      </w:r>
      <w:r>
        <w:rPr>
          <w:color w:val="231F20"/>
          <w:w w:val="105"/>
        </w:rPr>
        <w:t>planes</w:t>
      </w:r>
      <w:r>
        <w:rPr>
          <w:color w:val="231F20"/>
          <w:spacing w:val="-25"/>
          <w:w w:val="105"/>
        </w:rPr>
        <w:t> </w:t>
      </w:r>
      <w:r>
        <w:rPr>
          <w:color w:val="231F20"/>
          <w:w w:val="105"/>
        </w:rPr>
        <w:t>y</w:t>
      </w:r>
      <w:r>
        <w:rPr>
          <w:color w:val="231F20"/>
          <w:spacing w:val="-25"/>
          <w:w w:val="105"/>
        </w:rPr>
        <w:t> </w:t>
      </w:r>
      <w:r>
        <w:rPr>
          <w:color w:val="231F20"/>
          <w:w w:val="105"/>
        </w:rPr>
        <w:t>resultados,</w:t>
      </w:r>
      <w:r>
        <w:rPr>
          <w:color w:val="231F20"/>
          <w:spacing w:val="-29"/>
          <w:w w:val="105"/>
        </w:rPr>
        <w:t> </w:t>
      </w:r>
      <w:r>
        <w:rPr>
          <w:color w:val="231F20"/>
          <w:w w:val="105"/>
        </w:rPr>
        <w:t>para</w:t>
      </w:r>
      <w:r>
        <w:rPr>
          <w:color w:val="231F20"/>
          <w:spacing w:val="-25"/>
          <w:w w:val="105"/>
        </w:rPr>
        <w:t> </w:t>
      </w:r>
      <w:r>
        <w:rPr>
          <w:color w:val="231F20"/>
          <w:w w:val="105"/>
        </w:rPr>
        <w:t>que</w:t>
      </w:r>
      <w:r>
        <w:rPr>
          <w:color w:val="231F20"/>
          <w:spacing w:val="-25"/>
          <w:w w:val="105"/>
        </w:rPr>
        <w:t> </w:t>
      </w:r>
      <w:r>
        <w:rPr>
          <w:color w:val="231F20"/>
          <w:w w:val="105"/>
        </w:rPr>
        <w:t>por</w:t>
      </w:r>
      <w:r>
        <w:rPr>
          <w:color w:val="231F20"/>
          <w:spacing w:val="-25"/>
          <w:w w:val="105"/>
        </w:rPr>
        <w:t> </w:t>
      </w:r>
      <w:r>
        <w:rPr>
          <w:color w:val="231F20"/>
          <w:w w:val="105"/>
        </w:rPr>
        <w:t>un</w:t>
      </w:r>
      <w:r>
        <w:rPr>
          <w:color w:val="231F20"/>
          <w:spacing w:val="-25"/>
          <w:w w:val="105"/>
        </w:rPr>
        <w:t> </w:t>
      </w:r>
      <w:r>
        <w:rPr>
          <w:color w:val="231F20"/>
          <w:w w:val="105"/>
        </w:rPr>
        <w:t>lado,</w:t>
      </w:r>
      <w:r>
        <w:rPr>
          <w:color w:val="231F20"/>
          <w:spacing w:val="-29"/>
          <w:w w:val="105"/>
        </w:rPr>
        <w:t> </w:t>
      </w:r>
      <w:r>
        <w:rPr>
          <w:color w:val="231F20"/>
          <w:w w:val="105"/>
        </w:rPr>
        <w:t>perfeccionen</w:t>
      </w:r>
      <w:r>
        <w:rPr>
          <w:color w:val="231F20"/>
          <w:spacing w:val="-25"/>
          <w:w w:val="105"/>
        </w:rPr>
        <w:t> </w:t>
      </w:r>
      <w:r>
        <w:rPr>
          <w:color w:val="231F20"/>
          <w:w w:val="105"/>
        </w:rPr>
        <w:t>el</w:t>
      </w:r>
      <w:r>
        <w:rPr>
          <w:color w:val="231F20"/>
          <w:spacing w:val="-25"/>
          <w:w w:val="105"/>
        </w:rPr>
        <w:t> </w:t>
      </w:r>
      <w:r>
        <w:rPr>
          <w:color w:val="231F20"/>
          <w:w w:val="105"/>
        </w:rPr>
        <w:t>sistema de elección, </w:t>
      </w:r>
      <w:r>
        <w:rPr>
          <w:color w:val="231F20"/>
          <w:spacing w:val="-4"/>
          <w:w w:val="105"/>
        </w:rPr>
        <w:t>y, </w:t>
      </w:r>
      <w:r>
        <w:rPr>
          <w:color w:val="231F20"/>
          <w:w w:val="105"/>
        </w:rPr>
        <w:t>por otro, favorezcan la participación ciudadana (García, 2007).</w:t>
      </w:r>
      <w:r>
        <w:rPr>
          <w:color w:val="231F20"/>
          <w:spacing w:val="-31"/>
          <w:w w:val="105"/>
        </w:rPr>
        <w:t> </w:t>
      </w:r>
      <w:r>
        <w:rPr>
          <w:color w:val="231F20"/>
          <w:spacing w:val="-6"/>
          <w:w w:val="105"/>
        </w:rPr>
        <w:t>Por</w:t>
      </w:r>
      <w:r>
        <w:rPr>
          <w:color w:val="231F20"/>
          <w:spacing w:val="-27"/>
          <w:w w:val="105"/>
        </w:rPr>
        <w:t> </w:t>
      </w:r>
      <w:r>
        <w:rPr>
          <w:color w:val="231F20"/>
          <w:w w:val="105"/>
        </w:rPr>
        <w:t>esto,</w:t>
      </w:r>
      <w:r>
        <w:rPr>
          <w:color w:val="231F20"/>
          <w:spacing w:val="-31"/>
          <w:w w:val="105"/>
        </w:rPr>
        <w:t> </w:t>
      </w:r>
      <w:r>
        <w:rPr>
          <w:color w:val="231F20"/>
          <w:w w:val="105"/>
        </w:rPr>
        <w:t>en</w:t>
      </w:r>
      <w:r>
        <w:rPr>
          <w:color w:val="231F20"/>
          <w:spacing w:val="-27"/>
          <w:w w:val="105"/>
        </w:rPr>
        <w:t> </w:t>
      </w:r>
      <w:r>
        <w:rPr>
          <w:color w:val="231F20"/>
          <w:w w:val="105"/>
        </w:rPr>
        <w:t>busca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excelencia</w:t>
      </w:r>
      <w:r>
        <w:rPr>
          <w:color w:val="231F20"/>
          <w:spacing w:val="-27"/>
          <w:w w:val="105"/>
        </w:rPr>
        <w:t> </w:t>
      </w:r>
      <w:r>
        <w:rPr>
          <w:color w:val="231F20"/>
          <w:w w:val="105"/>
        </w:rPr>
        <w:t>administrativa,</w:t>
      </w:r>
      <w:r>
        <w:rPr>
          <w:color w:val="231F20"/>
          <w:spacing w:val="-31"/>
          <w:w w:val="105"/>
        </w:rPr>
        <w:t> </w:t>
      </w:r>
      <w:r>
        <w:rPr>
          <w:color w:val="231F20"/>
          <w:w w:val="105"/>
        </w:rPr>
        <w:t>se</w:t>
      </w:r>
      <w:r>
        <w:rPr>
          <w:color w:val="231F20"/>
          <w:spacing w:val="-27"/>
          <w:w w:val="105"/>
        </w:rPr>
        <w:t> </w:t>
      </w:r>
      <w:r>
        <w:rPr>
          <w:color w:val="231F20"/>
          <w:w w:val="105"/>
        </w:rPr>
        <w:t>utilizan</w:t>
      </w:r>
      <w:r>
        <w:rPr>
          <w:color w:val="231F20"/>
          <w:spacing w:val="-27"/>
          <w:w w:val="105"/>
        </w:rPr>
        <w:t> </w:t>
      </w:r>
      <w:r>
        <w:rPr>
          <w:color w:val="231F20"/>
          <w:w w:val="105"/>
        </w:rPr>
        <w:t>cada vez</w:t>
      </w:r>
      <w:r>
        <w:rPr>
          <w:color w:val="231F20"/>
          <w:spacing w:val="-14"/>
          <w:w w:val="105"/>
        </w:rPr>
        <w:t> </w:t>
      </w:r>
      <w:r>
        <w:rPr>
          <w:color w:val="231F20"/>
          <w:w w:val="105"/>
        </w:rPr>
        <w:t>más</w:t>
      </w:r>
      <w:r>
        <w:rPr>
          <w:color w:val="231F20"/>
          <w:spacing w:val="-14"/>
          <w:w w:val="105"/>
        </w:rPr>
        <w:t> </w:t>
      </w:r>
      <w:r>
        <w:rPr>
          <w:color w:val="231F20"/>
          <w:w w:val="105"/>
        </w:rPr>
        <w:t>modelos</w:t>
      </w:r>
      <w:r>
        <w:rPr>
          <w:color w:val="231F20"/>
          <w:spacing w:val="-14"/>
          <w:w w:val="105"/>
        </w:rPr>
        <w:t> </w:t>
      </w:r>
      <w:r>
        <w:rPr>
          <w:color w:val="231F20"/>
          <w:w w:val="105"/>
        </w:rPr>
        <w:t>de</w:t>
      </w:r>
      <w:r>
        <w:rPr>
          <w:color w:val="231F20"/>
          <w:spacing w:val="-14"/>
          <w:w w:val="105"/>
        </w:rPr>
        <w:t> </w:t>
      </w:r>
      <w:r>
        <w:rPr>
          <w:color w:val="231F20"/>
          <w:w w:val="105"/>
        </w:rPr>
        <w:t>medición</w:t>
      </w:r>
      <w:r>
        <w:rPr>
          <w:color w:val="231F20"/>
          <w:spacing w:val="-14"/>
          <w:w w:val="105"/>
        </w:rPr>
        <w:t> </w:t>
      </w:r>
      <w:r>
        <w:rPr>
          <w:color w:val="231F20"/>
          <w:w w:val="105"/>
        </w:rPr>
        <w:t>del</w:t>
      </w:r>
      <w:r>
        <w:rPr>
          <w:color w:val="231F20"/>
          <w:spacing w:val="-14"/>
          <w:w w:val="105"/>
        </w:rPr>
        <w:t> </w:t>
      </w:r>
      <w:r>
        <w:rPr>
          <w:color w:val="231F20"/>
          <w:w w:val="105"/>
        </w:rPr>
        <w:t>desempeño</w:t>
      </w:r>
      <w:r>
        <w:rPr>
          <w:color w:val="231F20"/>
          <w:spacing w:val="-14"/>
          <w:w w:val="105"/>
        </w:rPr>
        <w:t> </w:t>
      </w:r>
      <w:r>
        <w:rPr>
          <w:color w:val="231F20"/>
          <w:w w:val="105"/>
        </w:rPr>
        <w:t>creados</w:t>
      </w:r>
      <w:r>
        <w:rPr>
          <w:color w:val="231F20"/>
          <w:spacing w:val="-14"/>
          <w:w w:val="105"/>
        </w:rPr>
        <w:t> </w:t>
      </w:r>
      <w:r>
        <w:rPr>
          <w:color w:val="231F20"/>
          <w:w w:val="105"/>
        </w:rPr>
        <w:t>en</w:t>
      </w:r>
      <w:r>
        <w:rPr>
          <w:color w:val="231F20"/>
          <w:spacing w:val="-14"/>
          <w:w w:val="105"/>
        </w:rPr>
        <w:t> </w:t>
      </w:r>
      <w:r>
        <w:rPr>
          <w:color w:val="231F20"/>
          <w:w w:val="105"/>
        </w:rPr>
        <w:t>entornos</w:t>
      </w:r>
      <w:r>
        <w:rPr>
          <w:color w:val="231F20"/>
          <w:spacing w:val="-14"/>
          <w:w w:val="105"/>
        </w:rPr>
        <w:t> </w:t>
      </w:r>
      <w:r>
        <w:rPr>
          <w:color w:val="231F20"/>
          <w:w w:val="105"/>
        </w:rPr>
        <w:t>em- presariales</w:t>
      </w:r>
    </w:p>
    <w:p>
      <w:pPr>
        <w:pStyle w:val="BodyText"/>
        <w:spacing w:line="259" w:lineRule="auto"/>
        <w:ind w:left="117" w:right="121" w:firstLine="567"/>
        <w:jc w:val="both"/>
      </w:pPr>
      <w:r>
        <w:rPr>
          <w:color w:val="231F20"/>
          <w:w w:val="105"/>
        </w:rPr>
        <w:t>La excelencia es un término que se ha utilizado desde la antigua Grecia, descrita como el estado de la naturaleza en el cual los</w:t>
      </w:r>
      <w:r>
        <w:rPr>
          <w:color w:val="231F20"/>
          <w:spacing w:val="-18"/>
          <w:w w:val="105"/>
        </w:rPr>
        <w:t> </w:t>
      </w:r>
      <w:r>
        <w:rPr>
          <w:color w:val="231F20"/>
          <w:w w:val="105"/>
        </w:rPr>
        <w:t>factores que</w:t>
      </w:r>
      <w:r>
        <w:rPr>
          <w:color w:val="231F20"/>
          <w:spacing w:val="-22"/>
          <w:w w:val="105"/>
        </w:rPr>
        <w:t> </w:t>
      </w:r>
      <w:r>
        <w:rPr>
          <w:color w:val="231F20"/>
          <w:w w:val="105"/>
        </w:rPr>
        <w:t>la</w:t>
      </w:r>
      <w:r>
        <w:rPr>
          <w:color w:val="231F20"/>
          <w:spacing w:val="-22"/>
          <w:w w:val="105"/>
        </w:rPr>
        <w:t> </w:t>
      </w:r>
      <w:r>
        <w:rPr>
          <w:color w:val="231F20"/>
          <w:w w:val="105"/>
        </w:rPr>
        <w:t>integran</w:t>
      </w:r>
      <w:r>
        <w:rPr>
          <w:color w:val="231F20"/>
          <w:spacing w:val="-22"/>
          <w:w w:val="105"/>
        </w:rPr>
        <w:t> </w:t>
      </w:r>
      <w:r>
        <w:rPr>
          <w:color w:val="231F20"/>
          <w:w w:val="105"/>
        </w:rPr>
        <w:t>(armonía,</w:t>
      </w:r>
      <w:r>
        <w:rPr>
          <w:color w:val="231F20"/>
          <w:spacing w:val="-28"/>
          <w:w w:val="105"/>
        </w:rPr>
        <w:t> </w:t>
      </w:r>
      <w:r>
        <w:rPr>
          <w:color w:val="231F20"/>
          <w:w w:val="105"/>
        </w:rPr>
        <w:t>bien</w:t>
      </w:r>
      <w:r>
        <w:rPr>
          <w:color w:val="231F20"/>
          <w:spacing w:val="-22"/>
          <w:w w:val="105"/>
        </w:rPr>
        <w:t> </w:t>
      </w:r>
      <w:r>
        <w:rPr>
          <w:color w:val="231F20"/>
          <w:w w:val="105"/>
        </w:rPr>
        <w:t>y</w:t>
      </w:r>
      <w:r>
        <w:rPr>
          <w:color w:val="231F20"/>
          <w:spacing w:val="-22"/>
          <w:w w:val="105"/>
        </w:rPr>
        <w:t> </w:t>
      </w:r>
      <w:r>
        <w:rPr>
          <w:color w:val="231F20"/>
          <w:w w:val="105"/>
        </w:rPr>
        <w:t>conocimiento)</w:t>
      </w:r>
      <w:r>
        <w:rPr>
          <w:color w:val="231F20"/>
          <w:spacing w:val="-22"/>
          <w:w w:val="105"/>
        </w:rPr>
        <w:t> </w:t>
      </w:r>
      <w:r>
        <w:rPr>
          <w:color w:val="231F20"/>
          <w:w w:val="105"/>
        </w:rPr>
        <w:t>existen</w:t>
      </w:r>
      <w:r>
        <w:rPr>
          <w:color w:val="231F20"/>
          <w:spacing w:val="-22"/>
          <w:w w:val="105"/>
        </w:rPr>
        <w:t> </w:t>
      </w:r>
      <w:r>
        <w:rPr>
          <w:color w:val="231F20"/>
          <w:w w:val="105"/>
        </w:rPr>
        <w:t>de</w:t>
      </w:r>
      <w:r>
        <w:rPr>
          <w:color w:val="231F20"/>
          <w:spacing w:val="-22"/>
          <w:w w:val="105"/>
        </w:rPr>
        <w:t> </w:t>
      </w:r>
      <w:r>
        <w:rPr>
          <w:color w:val="231F20"/>
          <w:w w:val="105"/>
        </w:rPr>
        <w:t>forma</w:t>
      </w:r>
      <w:r>
        <w:rPr>
          <w:color w:val="231F20"/>
          <w:spacing w:val="-22"/>
          <w:w w:val="105"/>
        </w:rPr>
        <w:t> </w:t>
      </w:r>
      <w:r>
        <w:rPr>
          <w:color w:val="231F20"/>
          <w:w w:val="105"/>
        </w:rPr>
        <w:t>absoluta y excepcionalmente buena. </w:t>
      </w:r>
      <w:r>
        <w:rPr>
          <w:color w:val="231F20"/>
          <w:spacing w:val="-4"/>
          <w:w w:val="105"/>
        </w:rPr>
        <w:t>Para </w:t>
      </w:r>
      <w:r>
        <w:rPr>
          <w:color w:val="231F20"/>
          <w:w w:val="105"/>
        </w:rPr>
        <w:t>Sócrates está constituida por</w:t>
      </w:r>
      <w:r>
        <w:rPr>
          <w:color w:val="231F20"/>
          <w:spacing w:val="-18"/>
          <w:w w:val="105"/>
        </w:rPr>
        <w:t> </w:t>
      </w:r>
      <w:r>
        <w:rPr>
          <w:color w:val="231F20"/>
          <w:w w:val="105"/>
        </w:rPr>
        <w:t>virtudes éticas,</w:t>
      </w:r>
      <w:r>
        <w:rPr>
          <w:color w:val="231F20"/>
          <w:spacing w:val="-23"/>
          <w:w w:val="105"/>
        </w:rPr>
        <w:t> </w:t>
      </w:r>
      <w:r>
        <w:rPr>
          <w:color w:val="231F20"/>
          <w:w w:val="105"/>
        </w:rPr>
        <w:t>justicia,</w:t>
      </w:r>
      <w:r>
        <w:rPr>
          <w:color w:val="231F20"/>
          <w:spacing w:val="-23"/>
          <w:w w:val="105"/>
        </w:rPr>
        <w:t> </w:t>
      </w:r>
      <w:r>
        <w:rPr>
          <w:color w:val="231F20"/>
          <w:w w:val="105"/>
        </w:rPr>
        <w:t>belleza</w:t>
      </w:r>
      <w:r>
        <w:rPr>
          <w:color w:val="231F20"/>
          <w:spacing w:val="-18"/>
          <w:w w:val="105"/>
        </w:rPr>
        <w:t> </w:t>
      </w:r>
      <w:r>
        <w:rPr>
          <w:color w:val="231F20"/>
          <w:w w:val="105"/>
        </w:rPr>
        <w:t>y</w:t>
      </w:r>
      <w:r>
        <w:rPr>
          <w:color w:val="231F20"/>
          <w:spacing w:val="-18"/>
          <w:w w:val="105"/>
        </w:rPr>
        <w:t> </w:t>
      </w:r>
      <w:r>
        <w:rPr>
          <w:color w:val="231F20"/>
          <w:w w:val="105"/>
        </w:rPr>
        <w:t>beneficios;</w:t>
      </w:r>
      <w:r>
        <w:rPr>
          <w:color w:val="231F20"/>
          <w:spacing w:val="-18"/>
          <w:w w:val="105"/>
        </w:rPr>
        <w:t> </w:t>
      </w:r>
      <w:r>
        <w:rPr>
          <w:color w:val="231F20"/>
          <w:w w:val="105"/>
        </w:rPr>
        <w:t>para</w:t>
      </w:r>
      <w:r>
        <w:rPr>
          <w:color w:val="231F20"/>
          <w:spacing w:val="-21"/>
          <w:w w:val="105"/>
        </w:rPr>
        <w:t> </w:t>
      </w:r>
      <w:r>
        <w:rPr>
          <w:color w:val="231F20"/>
          <w:w w:val="105"/>
        </w:rPr>
        <w:t>Aristóteles</w:t>
      </w:r>
      <w:r>
        <w:rPr>
          <w:color w:val="231F20"/>
          <w:spacing w:val="-18"/>
          <w:w w:val="105"/>
        </w:rPr>
        <w:t> </w:t>
      </w:r>
      <w:r>
        <w:rPr>
          <w:color w:val="231F20"/>
          <w:w w:val="105"/>
        </w:rPr>
        <w:t>la</w:t>
      </w:r>
      <w:r>
        <w:rPr>
          <w:color w:val="231F20"/>
          <w:spacing w:val="-18"/>
          <w:w w:val="105"/>
        </w:rPr>
        <w:t> </w:t>
      </w:r>
      <w:r>
        <w:rPr>
          <w:color w:val="231F20"/>
          <w:w w:val="105"/>
        </w:rPr>
        <w:t>excelencia</w:t>
      </w:r>
      <w:r>
        <w:rPr>
          <w:color w:val="231F20"/>
          <w:spacing w:val="-18"/>
          <w:w w:val="105"/>
        </w:rPr>
        <w:t> </w:t>
      </w:r>
      <w:r>
        <w:rPr>
          <w:color w:val="231F20"/>
          <w:w w:val="105"/>
        </w:rPr>
        <w:t>puede ser</w:t>
      </w:r>
      <w:r>
        <w:rPr>
          <w:color w:val="231F20"/>
          <w:spacing w:val="-10"/>
          <w:w w:val="105"/>
        </w:rPr>
        <w:t> </w:t>
      </w:r>
      <w:r>
        <w:rPr>
          <w:color w:val="231F20"/>
          <w:w w:val="105"/>
        </w:rPr>
        <w:t>lograda</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entrenamiento</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gente</w:t>
      </w:r>
      <w:r>
        <w:rPr>
          <w:color w:val="231F20"/>
          <w:spacing w:val="-10"/>
          <w:w w:val="105"/>
        </w:rPr>
        <w:t> </w:t>
      </w:r>
      <w:r>
        <w:rPr>
          <w:color w:val="231F20"/>
          <w:w w:val="105"/>
        </w:rPr>
        <w:t>excelente</w:t>
      </w:r>
      <w:r>
        <w:rPr>
          <w:color w:val="231F20"/>
          <w:spacing w:val="-10"/>
          <w:w w:val="105"/>
        </w:rPr>
        <w:t> </w:t>
      </w:r>
      <w:r>
        <w:rPr>
          <w:color w:val="231F20"/>
          <w:w w:val="105"/>
        </w:rPr>
        <w:t>lo</w:t>
      </w:r>
      <w:r>
        <w:rPr>
          <w:color w:val="231F20"/>
          <w:spacing w:val="-10"/>
          <w:w w:val="105"/>
        </w:rPr>
        <w:t> </w:t>
      </w:r>
      <w:r>
        <w:rPr>
          <w:color w:val="231F20"/>
          <w:w w:val="105"/>
        </w:rPr>
        <w:t>es</w:t>
      </w:r>
      <w:r>
        <w:rPr>
          <w:color w:val="231F20"/>
          <w:spacing w:val="-10"/>
          <w:w w:val="105"/>
        </w:rPr>
        <w:t> </w:t>
      </w:r>
      <w:r>
        <w:rPr>
          <w:color w:val="231F20"/>
          <w:w w:val="105"/>
        </w:rPr>
        <w:t>por- que</w:t>
      </w:r>
      <w:r>
        <w:rPr>
          <w:color w:val="231F20"/>
          <w:spacing w:val="-28"/>
          <w:w w:val="105"/>
        </w:rPr>
        <w:t> </w:t>
      </w:r>
      <w:r>
        <w:rPr>
          <w:color w:val="231F20"/>
          <w:w w:val="105"/>
        </w:rPr>
        <w:t>actúa</w:t>
      </w:r>
      <w:r>
        <w:rPr>
          <w:color w:val="231F20"/>
          <w:spacing w:val="-28"/>
          <w:w w:val="105"/>
        </w:rPr>
        <w:t> </w:t>
      </w:r>
      <w:r>
        <w:rPr>
          <w:color w:val="231F20"/>
          <w:w w:val="105"/>
        </w:rPr>
        <w:t>correctamente</w:t>
      </w:r>
      <w:r>
        <w:rPr>
          <w:color w:val="231F20"/>
          <w:spacing w:val="-28"/>
          <w:w w:val="105"/>
        </w:rPr>
        <w:t> </w:t>
      </w:r>
      <w:r>
        <w:rPr>
          <w:color w:val="231F20"/>
          <w:w w:val="105"/>
        </w:rPr>
        <w:t>(Anninos,</w:t>
      </w:r>
      <w:r>
        <w:rPr>
          <w:color w:val="231F20"/>
          <w:spacing w:val="-33"/>
          <w:w w:val="105"/>
        </w:rPr>
        <w:t> </w:t>
      </w:r>
      <w:r>
        <w:rPr>
          <w:color w:val="231F20"/>
          <w:w w:val="105"/>
        </w:rPr>
        <w:t>2007).</w:t>
      </w:r>
    </w:p>
    <w:p>
      <w:pPr>
        <w:pStyle w:val="BodyText"/>
        <w:spacing w:line="259" w:lineRule="auto"/>
        <w:ind w:left="117" w:right="121" w:firstLine="567"/>
        <w:jc w:val="both"/>
      </w:pP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contexto</w:t>
      </w:r>
      <w:r>
        <w:rPr>
          <w:color w:val="231F20"/>
          <w:spacing w:val="-31"/>
          <w:w w:val="105"/>
        </w:rPr>
        <w:t> </w:t>
      </w:r>
      <w:r>
        <w:rPr>
          <w:color w:val="231F20"/>
          <w:w w:val="105"/>
        </w:rPr>
        <w:t>organizacional,</w:t>
      </w:r>
      <w:r>
        <w:rPr>
          <w:color w:val="231F20"/>
          <w:spacing w:val="-36"/>
          <w:w w:val="105"/>
        </w:rPr>
        <w:t> </w:t>
      </w:r>
      <w:r>
        <w:rPr>
          <w:color w:val="231F20"/>
          <w:w w:val="105"/>
        </w:rPr>
        <w:t>la</w:t>
      </w:r>
      <w:r>
        <w:rPr>
          <w:color w:val="231F20"/>
          <w:spacing w:val="-31"/>
          <w:w w:val="105"/>
        </w:rPr>
        <w:t> </w:t>
      </w:r>
      <w:r>
        <w:rPr>
          <w:color w:val="231F20"/>
          <w:w w:val="105"/>
        </w:rPr>
        <w:t>excelencia</w:t>
      </w:r>
      <w:r>
        <w:rPr>
          <w:color w:val="231F20"/>
          <w:spacing w:val="-31"/>
          <w:w w:val="105"/>
        </w:rPr>
        <w:t> </w:t>
      </w:r>
      <w:r>
        <w:rPr>
          <w:color w:val="231F20"/>
          <w:w w:val="105"/>
        </w:rPr>
        <w:t>es</w:t>
      </w:r>
      <w:r>
        <w:rPr>
          <w:color w:val="231F20"/>
          <w:spacing w:val="-31"/>
          <w:w w:val="105"/>
        </w:rPr>
        <w:t> </w:t>
      </w:r>
      <w:r>
        <w:rPr>
          <w:color w:val="231F20"/>
          <w:w w:val="105"/>
        </w:rPr>
        <w:t>un</w:t>
      </w:r>
      <w:r>
        <w:rPr>
          <w:color w:val="231F20"/>
          <w:spacing w:val="-31"/>
          <w:w w:val="105"/>
        </w:rPr>
        <w:t> </w:t>
      </w:r>
      <w:r>
        <w:rPr>
          <w:color w:val="231F20"/>
          <w:w w:val="105"/>
        </w:rPr>
        <w:t>marco</w:t>
      </w:r>
      <w:r>
        <w:rPr>
          <w:color w:val="231F20"/>
          <w:spacing w:val="-31"/>
          <w:w w:val="105"/>
        </w:rPr>
        <w:t> </w:t>
      </w:r>
      <w:r>
        <w:rPr>
          <w:color w:val="231F20"/>
          <w:w w:val="105"/>
        </w:rPr>
        <w:t>que</w:t>
      </w:r>
      <w:r>
        <w:rPr>
          <w:color w:val="231F20"/>
          <w:spacing w:val="-31"/>
          <w:w w:val="105"/>
        </w:rPr>
        <w:t> </w:t>
      </w:r>
      <w:r>
        <w:rPr>
          <w:color w:val="231F20"/>
          <w:w w:val="105"/>
        </w:rPr>
        <w:t>ofrece una</w:t>
      </w:r>
      <w:r>
        <w:rPr>
          <w:color w:val="231F20"/>
          <w:spacing w:val="-12"/>
          <w:w w:val="105"/>
        </w:rPr>
        <w:t> </w:t>
      </w:r>
      <w:r>
        <w:rPr>
          <w:color w:val="231F20"/>
          <w:w w:val="105"/>
        </w:rPr>
        <w:t>visión</w:t>
      </w:r>
      <w:r>
        <w:rPr>
          <w:color w:val="231F20"/>
          <w:spacing w:val="-12"/>
          <w:w w:val="105"/>
        </w:rPr>
        <w:t> </w:t>
      </w:r>
      <w:r>
        <w:rPr>
          <w:color w:val="231F20"/>
          <w:w w:val="105"/>
        </w:rPr>
        <w:t>sistémica</w:t>
      </w:r>
      <w:r>
        <w:rPr>
          <w:color w:val="231F20"/>
          <w:spacing w:val="-12"/>
          <w:w w:val="105"/>
        </w:rPr>
        <w:t> </w:t>
      </w:r>
      <w:r>
        <w:rPr>
          <w:color w:val="231F20"/>
          <w:w w:val="105"/>
        </w:rPr>
        <w:t>respecto</w:t>
      </w:r>
      <w:r>
        <w:rPr>
          <w:color w:val="231F20"/>
          <w:spacing w:val="-12"/>
          <w:w w:val="105"/>
        </w:rPr>
        <w:t> </w:t>
      </w:r>
      <w:r>
        <w:rPr>
          <w:color w:val="231F20"/>
          <w:w w:val="105"/>
        </w:rPr>
        <w:t>al</w:t>
      </w:r>
      <w:r>
        <w:rPr>
          <w:color w:val="231F20"/>
          <w:spacing w:val="-12"/>
          <w:w w:val="105"/>
        </w:rPr>
        <w:t> </w:t>
      </w:r>
      <w:r>
        <w:rPr>
          <w:color w:val="231F20"/>
          <w:w w:val="105"/>
        </w:rPr>
        <w:t>alto</w:t>
      </w:r>
      <w:r>
        <w:rPr>
          <w:color w:val="231F20"/>
          <w:spacing w:val="-12"/>
          <w:w w:val="105"/>
        </w:rPr>
        <w:t> </w:t>
      </w:r>
      <w:r>
        <w:rPr>
          <w:color w:val="231F20"/>
          <w:w w:val="105"/>
        </w:rPr>
        <w:t>compromiso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recursos</w:t>
      </w:r>
      <w:r>
        <w:rPr>
          <w:color w:val="231F20"/>
          <w:spacing w:val="-12"/>
          <w:w w:val="105"/>
        </w:rPr>
        <w:t> </w:t>
      </w:r>
      <w:r>
        <w:rPr>
          <w:color w:val="231F20"/>
          <w:w w:val="105"/>
        </w:rPr>
        <w:t>huma- nos,</w:t>
      </w:r>
      <w:r>
        <w:rPr>
          <w:color w:val="231F20"/>
          <w:spacing w:val="-12"/>
          <w:w w:val="105"/>
        </w:rPr>
        <w:t> </w:t>
      </w:r>
      <w:r>
        <w:rPr>
          <w:color w:val="231F20"/>
          <w:w w:val="105"/>
        </w:rPr>
        <w:t>permite</w:t>
      </w:r>
      <w:r>
        <w:rPr>
          <w:color w:val="231F20"/>
          <w:spacing w:val="-7"/>
          <w:w w:val="105"/>
        </w:rPr>
        <w:t> </w:t>
      </w:r>
      <w:r>
        <w:rPr>
          <w:color w:val="231F20"/>
          <w:w w:val="105"/>
        </w:rPr>
        <w:t>la</w:t>
      </w:r>
      <w:r>
        <w:rPr>
          <w:color w:val="231F20"/>
          <w:spacing w:val="-7"/>
          <w:w w:val="105"/>
        </w:rPr>
        <w:t> </w:t>
      </w:r>
      <w:r>
        <w:rPr>
          <w:color w:val="231F20"/>
          <w:w w:val="105"/>
        </w:rPr>
        <w:t>mejora</w:t>
      </w:r>
      <w:r>
        <w:rPr>
          <w:color w:val="231F20"/>
          <w:spacing w:val="-7"/>
          <w:w w:val="105"/>
        </w:rPr>
        <w:t> </w:t>
      </w:r>
      <w:r>
        <w:rPr>
          <w:color w:val="231F20"/>
          <w:w w:val="105"/>
        </w:rPr>
        <w:t>y</w:t>
      </w:r>
      <w:r>
        <w:rPr>
          <w:color w:val="231F20"/>
          <w:spacing w:val="-7"/>
          <w:w w:val="105"/>
        </w:rPr>
        <w:t> </w:t>
      </w:r>
      <w:r>
        <w:rPr>
          <w:color w:val="231F20"/>
          <w:w w:val="105"/>
        </w:rPr>
        <w:t>evolución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organizaciones</w:t>
      </w:r>
      <w:r>
        <w:rPr>
          <w:color w:val="231F20"/>
          <w:spacing w:val="-7"/>
          <w:w w:val="105"/>
        </w:rPr>
        <w:t> </w:t>
      </w:r>
      <w:r>
        <w:rPr>
          <w:color w:val="231F20"/>
          <w:w w:val="105"/>
        </w:rPr>
        <w:t>y</w:t>
      </w:r>
      <w:r>
        <w:rPr>
          <w:color w:val="231F20"/>
          <w:spacing w:val="-7"/>
          <w:w w:val="105"/>
        </w:rPr>
        <w:t> </w:t>
      </w:r>
      <w:r>
        <w:rPr>
          <w:color w:val="231F20"/>
          <w:w w:val="105"/>
        </w:rPr>
        <w:t>así</w:t>
      </w:r>
      <w:r>
        <w:rPr>
          <w:color w:val="231F20"/>
          <w:spacing w:val="-7"/>
          <w:w w:val="105"/>
        </w:rPr>
        <w:t> </w:t>
      </w:r>
      <w:r>
        <w:rPr>
          <w:color w:val="231F20"/>
          <w:w w:val="105"/>
        </w:rPr>
        <w:t>contribu- ye a la adecuación a los constantes cambios mediante el monitoreo</w:t>
      </w:r>
      <w:r>
        <w:rPr>
          <w:color w:val="231F20"/>
          <w:spacing w:val="-13"/>
          <w:w w:val="105"/>
        </w:rPr>
        <w:t> </w:t>
      </w:r>
      <w:r>
        <w:rPr>
          <w:color w:val="231F20"/>
          <w:w w:val="105"/>
        </w:rPr>
        <w:t>de la calidad. Es, por tanto, un concepto utilizado para medir de manera holística el logro de las metas de organización, o bien, del desempeño organizacional.</w:t>
      </w:r>
    </w:p>
    <w:p>
      <w:pPr>
        <w:pStyle w:val="BodyText"/>
        <w:spacing w:line="259" w:lineRule="auto"/>
        <w:ind w:left="117" w:right="121" w:firstLine="567"/>
        <w:jc w:val="right"/>
      </w:pPr>
      <w:r>
        <w:rPr>
          <w:color w:val="231F20"/>
          <w:w w:val="105"/>
        </w:rPr>
        <w:t>Los</w:t>
      </w:r>
      <w:r>
        <w:rPr>
          <w:color w:val="231F20"/>
          <w:spacing w:val="-31"/>
          <w:w w:val="105"/>
        </w:rPr>
        <w:t> </w:t>
      </w:r>
      <w:r>
        <w:rPr>
          <w:color w:val="231F20"/>
          <w:w w:val="105"/>
        </w:rPr>
        <w:t>cuatro</w:t>
      </w:r>
      <w:r>
        <w:rPr>
          <w:color w:val="231F20"/>
          <w:spacing w:val="-31"/>
          <w:w w:val="105"/>
        </w:rPr>
        <w:t> </w:t>
      </w:r>
      <w:r>
        <w:rPr>
          <w:color w:val="231F20"/>
          <w:w w:val="105"/>
        </w:rPr>
        <w:t>modelos</w:t>
      </w:r>
      <w:r>
        <w:rPr>
          <w:color w:val="231F20"/>
          <w:spacing w:val="-31"/>
          <w:w w:val="105"/>
        </w:rPr>
        <w:t> </w:t>
      </w:r>
      <w:r>
        <w:rPr>
          <w:color w:val="231F20"/>
          <w:w w:val="105"/>
        </w:rPr>
        <w:t>de</w:t>
      </w:r>
      <w:r>
        <w:rPr>
          <w:color w:val="231F20"/>
          <w:spacing w:val="-31"/>
          <w:w w:val="105"/>
        </w:rPr>
        <w:t> </w:t>
      </w:r>
      <w:r>
        <w:rPr>
          <w:color w:val="231F20"/>
          <w:w w:val="105"/>
        </w:rPr>
        <w:t>excelencia</w:t>
      </w:r>
      <w:r>
        <w:rPr>
          <w:color w:val="231F20"/>
          <w:spacing w:val="-31"/>
          <w:w w:val="105"/>
        </w:rPr>
        <w:t> </w:t>
      </w:r>
      <w:r>
        <w:rPr>
          <w:color w:val="231F20"/>
          <w:w w:val="105"/>
        </w:rPr>
        <w:t>administrativa</w:t>
      </w:r>
      <w:r>
        <w:rPr>
          <w:color w:val="231F20"/>
          <w:spacing w:val="-31"/>
          <w:w w:val="105"/>
        </w:rPr>
        <w:t> </w:t>
      </w:r>
      <w:r>
        <w:rPr>
          <w:color w:val="231F20"/>
          <w:w w:val="105"/>
        </w:rPr>
        <w:t>más</w:t>
      </w:r>
      <w:r>
        <w:rPr>
          <w:color w:val="231F20"/>
          <w:spacing w:val="-31"/>
          <w:w w:val="105"/>
        </w:rPr>
        <w:t> </w:t>
      </w:r>
      <w:r>
        <w:rPr>
          <w:color w:val="231F20"/>
          <w:w w:val="105"/>
        </w:rPr>
        <w:t>ampliamente</w:t>
      </w:r>
      <w:r>
        <w:rPr>
          <w:color w:val="231F20"/>
          <w:w w:val="105"/>
        </w:rPr>
        <w:t> </w:t>
      </w:r>
      <w:r>
        <w:rPr>
          <w:color w:val="231F20"/>
          <w:w w:val="105"/>
        </w:rPr>
        <w:t>adoptados son el </w:t>
      </w:r>
      <w:r>
        <w:rPr>
          <w:color w:val="231F20"/>
          <w:spacing w:val="-3"/>
          <w:w w:val="105"/>
        </w:rPr>
        <w:t>Premio </w:t>
      </w:r>
      <w:r>
        <w:rPr>
          <w:color w:val="231F20"/>
          <w:w w:val="105"/>
        </w:rPr>
        <w:t>Deming, otorgado por la Unión</w:t>
      </w:r>
      <w:r>
        <w:rPr>
          <w:color w:val="231F20"/>
          <w:spacing w:val="32"/>
          <w:w w:val="105"/>
        </w:rPr>
        <w:t> </w:t>
      </w:r>
      <w:r>
        <w:rPr>
          <w:color w:val="231F20"/>
          <w:w w:val="105"/>
        </w:rPr>
        <w:t>Japonesa</w:t>
      </w:r>
      <w:r>
        <w:rPr>
          <w:color w:val="231F20"/>
          <w:spacing w:val="11"/>
          <w:w w:val="105"/>
        </w:rPr>
        <w:t> </w:t>
      </w:r>
      <w:r>
        <w:rPr>
          <w:color w:val="231F20"/>
          <w:w w:val="105"/>
        </w:rPr>
        <w:t>de</w:t>
      </w:r>
      <w:r>
        <w:rPr>
          <w:color w:val="231F20"/>
          <w:w w:val="108"/>
        </w:rPr>
        <w:t> </w:t>
      </w:r>
      <w:r>
        <w:rPr>
          <w:color w:val="231F20"/>
          <w:w w:val="105"/>
        </w:rPr>
        <w:t>Científicos</w:t>
      </w:r>
      <w:r>
        <w:rPr>
          <w:color w:val="231F20"/>
          <w:spacing w:val="-14"/>
          <w:w w:val="105"/>
        </w:rPr>
        <w:t> </w:t>
      </w:r>
      <w:r>
        <w:rPr>
          <w:color w:val="231F20"/>
          <w:w w:val="105"/>
        </w:rPr>
        <w:t>e</w:t>
      </w:r>
      <w:r>
        <w:rPr>
          <w:color w:val="231F20"/>
          <w:spacing w:val="-14"/>
          <w:w w:val="105"/>
        </w:rPr>
        <w:t> </w:t>
      </w:r>
      <w:r>
        <w:rPr>
          <w:color w:val="231F20"/>
          <w:w w:val="105"/>
        </w:rPr>
        <w:t>Ingenieros</w:t>
      </w:r>
      <w:r>
        <w:rPr>
          <w:color w:val="231F20"/>
          <w:spacing w:val="-14"/>
          <w:w w:val="105"/>
        </w:rPr>
        <w:t> </w:t>
      </w:r>
      <w:r>
        <w:rPr>
          <w:color w:val="231F20"/>
          <w:w w:val="105"/>
        </w:rPr>
        <w:t>(JUSE);</w:t>
      </w:r>
      <w:r>
        <w:rPr>
          <w:color w:val="231F20"/>
          <w:spacing w:val="-14"/>
          <w:w w:val="105"/>
        </w:rPr>
        <w:t> </w:t>
      </w:r>
      <w:r>
        <w:rPr>
          <w:color w:val="231F20"/>
          <w:w w:val="105"/>
        </w:rPr>
        <w:t>el</w:t>
      </w:r>
      <w:r>
        <w:rPr>
          <w:color w:val="231F20"/>
          <w:spacing w:val="-14"/>
          <w:w w:val="105"/>
        </w:rPr>
        <w:t> </w:t>
      </w:r>
      <w:r>
        <w:rPr>
          <w:color w:val="231F20"/>
          <w:spacing w:val="-3"/>
          <w:w w:val="105"/>
        </w:rPr>
        <w:t>Premio</w:t>
      </w:r>
      <w:r>
        <w:rPr>
          <w:color w:val="231F20"/>
          <w:spacing w:val="-14"/>
          <w:w w:val="105"/>
        </w:rPr>
        <w:t> </w:t>
      </w:r>
      <w:r>
        <w:rPr>
          <w:color w:val="231F20"/>
          <w:w w:val="105"/>
        </w:rPr>
        <w:t>Nacional</w:t>
      </w:r>
      <w:r>
        <w:rPr>
          <w:color w:val="231F20"/>
          <w:spacing w:val="-14"/>
          <w:w w:val="105"/>
        </w:rPr>
        <w:t> </w:t>
      </w:r>
      <w:r>
        <w:rPr>
          <w:color w:val="231F20"/>
          <w:w w:val="105"/>
        </w:rPr>
        <w:t>de</w:t>
      </w:r>
      <w:r>
        <w:rPr>
          <w:color w:val="231F20"/>
          <w:spacing w:val="-14"/>
          <w:w w:val="105"/>
        </w:rPr>
        <w:t> </w:t>
      </w:r>
      <w:r>
        <w:rPr>
          <w:color w:val="231F20"/>
          <w:w w:val="105"/>
        </w:rPr>
        <w:t>Calidad</w:t>
      </w:r>
      <w:r>
        <w:rPr>
          <w:color w:val="231F20"/>
          <w:spacing w:val="-14"/>
          <w:w w:val="105"/>
        </w:rPr>
        <w:t> </w:t>
      </w:r>
      <w:r>
        <w:rPr>
          <w:color w:val="231F20"/>
          <w:w w:val="105"/>
        </w:rPr>
        <w:t>Malcolm</w:t>
      </w:r>
      <w:r>
        <w:rPr>
          <w:color w:val="231F20"/>
          <w:w w:val="105"/>
        </w:rPr>
        <w:t> </w:t>
      </w:r>
      <w:r>
        <w:rPr>
          <w:color w:val="231F20"/>
          <w:w w:val="105"/>
        </w:rPr>
        <w:t>Baldrige</w:t>
      </w:r>
      <w:r>
        <w:rPr>
          <w:color w:val="231F20"/>
          <w:spacing w:val="-15"/>
          <w:w w:val="105"/>
        </w:rPr>
        <w:t> </w:t>
      </w:r>
      <w:r>
        <w:rPr>
          <w:color w:val="231F20"/>
          <w:w w:val="105"/>
        </w:rPr>
        <w:t>(MBNQA)</w:t>
      </w:r>
      <w:r>
        <w:rPr>
          <w:color w:val="231F20"/>
          <w:spacing w:val="-15"/>
          <w:w w:val="105"/>
        </w:rPr>
        <w:t> </w:t>
      </w:r>
      <w:r>
        <w:rPr>
          <w:color w:val="231F20"/>
          <w:w w:val="105"/>
        </w:rPr>
        <w:t>conocido</w:t>
      </w:r>
      <w:r>
        <w:rPr>
          <w:color w:val="231F20"/>
          <w:spacing w:val="-15"/>
          <w:w w:val="105"/>
        </w:rPr>
        <w:t> </w:t>
      </w:r>
      <w:r>
        <w:rPr>
          <w:color w:val="231F20"/>
          <w:w w:val="105"/>
        </w:rPr>
        <w:t>como</w:t>
      </w:r>
      <w:r>
        <w:rPr>
          <w:color w:val="231F20"/>
          <w:spacing w:val="-15"/>
          <w:w w:val="105"/>
        </w:rPr>
        <w:t> </w:t>
      </w:r>
      <w:r>
        <w:rPr>
          <w:color w:val="231F20"/>
          <w:w w:val="105"/>
        </w:rPr>
        <w:t>el</w:t>
      </w:r>
      <w:r>
        <w:rPr>
          <w:color w:val="231F20"/>
          <w:spacing w:val="-15"/>
          <w:w w:val="105"/>
        </w:rPr>
        <w:t> </w:t>
      </w:r>
      <w:r>
        <w:rPr>
          <w:color w:val="231F20"/>
          <w:w w:val="105"/>
        </w:rPr>
        <w:t>Modelo</w:t>
      </w:r>
      <w:r>
        <w:rPr>
          <w:color w:val="231F20"/>
          <w:spacing w:val="-19"/>
          <w:w w:val="105"/>
        </w:rPr>
        <w:t> </w:t>
      </w:r>
      <w:r>
        <w:rPr>
          <w:color w:val="231F20"/>
          <w:w w:val="105"/>
        </w:rPr>
        <w:t>Americano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Excelencia</w:t>
      </w:r>
      <w:r>
        <w:rPr>
          <w:color w:val="231F20"/>
          <w:w w:val="102"/>
        </w:rPr>
        <w:t> </w:t>
      </w:r>
      <w:r>
        <w:rPr>
          <w:color w:val="231F20"/>
          <w:w w:val="105"/>
        </w:rPr>
        <w:t>Empresarial;</w:t>
      </w:r>
      <w:r>
        <w:rPr>
          <w:color w:val="231F20"/>
          <w:spacing w:val="-27"/>
          <w:w w:val="105"/>
        </w:rPr>
        <w:t> </w:t>
      </w:r>
      <w:r>
        <w:rPr>
          <w:color w:val="231F20"/>
          <w:w w:val="105"/>
        </w:rPr>
        <w:t>el</w:t>
      </w:r>
      <w:r>
        <w:rPr>
          <w:color w:val="231F20"/>
          <w:spacing w:val="-27"/>
          <w:w w:val="105"/>
        </w:rPr>
        <w:t> </w:t>
      </w:r>
      <w:r>
        <w:rPr>
          <w:color w:val="231F20"/>
          <w:w w:val="105"/>
        </w:rPr>
        <w:t>Modelo</w:t>
      </w:r>
      <w:r>
        <w:rPr>
          <w:color w:val="231F20"/>
          <w:spacing w:val="-27"/>
          <w:w w:val="105"/>
        </w:rPr>
        <w:t> </w:t>
      </w:r>
      <w:r>
        <w:rPr>
          <w:color w:val="231F20"/>
          <w:w w:val="105"/>
        </w:rPr>
        <w:t>Europeo</w:t>
      </w:r>
      <w:r>
        <w:rPr>
          <w:color w:val="231F20"/>
          <w:spacing w:val="-27"/>
          <w:w w:val="105"/>
        </w:rPr>
        <w:t> </w:t>
      </w:r>
      <w:r>
        <w:rPr>
          <w:color w:val="231F20"/>
          <w:w w:val="105"/>
        </w:rPr>
        <w:t>de</w:t>
      </w:r>
      <w:r>
        <w:rPr>
          <w:color w:val="231F20"/>
          <w:spacing w:val="-27"/>
          <w:w w:val="105"/>
        </w:rPr>
        <w:t> </w:t>
      </w:r>
      <w:r>
        <w:rPr>
          <w:color w:val="231F20"/>
          <w:w w:val="105"/>
        </w:rPr>
        <w:t>Excelencia</w:t>
      </w:r>
      <w:r>
        <w:rPr>
          <w:color w:val="231F20"/>
          <w:spacing w:val="-27"/>
          <w:w w:val="105"/>
        </w:rPr>
        <w:t> </w:t>
      </w:r>
      <w:r>
        <w:rPr>
          <w:color w:val="231F20"/>
          <w:w w:val="105"/>
        </w:rPr>
        <w:t>para</w:t>
      </w:r>
      <w:r>
        <w:rPr>
          <w:color w:val="231F20"/>
          <w:spacing w:val="-27"/>
          <w:w w:val="105"/>
        </w:rPr>
        <w:t> </w:t>
      </w:r>
      <w:r>
        <w:rPr>
          <w:color w:val="231F20"/>
          <w:w w:val="105"/>
        </w:rPr>
        <w:t>la</w:t>
      </w:r>
      <w:r>
        <w:rPr>
          <w:color w:val="231F20"/>
          <w:spacing w:val="-27"/>
          <w:w w:val="105"/>
        </w:rPr>
        <w:t> </w:t>
      </w:r>
      <w:r>
        <w:rPr>
          <w:color w:val="231F20"/>
          <w:w w:val="105"/>
        </w:rPr>
        <w:t>Gestión</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Cali-</w:t>
      </w:r>
      <w:r>
        <w:rPr>
          <w:color w:val="231F20"/>
          <w:w w:val="96"/>
        </w:rPr>
        <w:t> </w:t>
      </w:r>
      <w:r>
        <w:rPr>
          <w:color w:val="231F20"/>
          <w:w w:val="105"/>
        </w:rPr>
        <w:t>dad</w:t>
      </w:r>
      <w:r>
        <w:rPr>
          <w:color w:val="231F20"/>
          <w:spacing w:val="-23"/>
          <w:w w:val="105"/>
        </w:rPr>
        <w:t> </w:t>
      </w:r>
      <w:r>
        <w:rPr>
          <w:color w:val="231F20"/>
          <w:w w:val="105"/>
        </w:rPr>
        <w:t>(EFQM);</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Modelo</w:t>
      </w:r>
      <w:r>
        <w:rPr>
          <w:color w:val="231F20"/>
          <w:spacing w:val="-23"/>
          <w:w w:val="105"/>
        </w:rPr>
        <w:t> </w:t>
      </w:r>
      <w:r>
        <w:rPr>
          <w:color w:val="231F20"/>
          <w:w w:val="105"/>
        </w:rPr>
        <w:t>Iberoamericano</w:t>
      </w:r>
      <w:r>
        <w:rPr>
          <w:color w:val="231F20"/>
          <w:spacing w:val="-23"/>
          <w:w w:val="105"/>
        </w:rPr>
        <w:t> </w:t>
      </w:r>
      <w:r>
        <w:rPr>
          <w:color w:val="231F20"/>
          <w:w w:val="105"/>
        </w:rPr>
        <w:t>de</w:t>
      </w:r>
      <w:r>
        <w:rPr>
          <w:color w:val="231F20"/>
          <w:spacing w:val="-23"/>
          <w:w w:val="105"/>
        </w:rPr>
        <w:t> </w:t>
      </w:r>
      <w:r>
        <w:rPr>
          <w:color w:val="231F20"/>
          <w:w w:val="105"/>
        </w:rPr>
        <w:t>Excelencia</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Gestión</w:t>
      </w:r>
      <w:r>
        <w:rPr>
          <w:color w:val="231F20"/>
          <w:spacing w:val="-23"/>
          <w:w w:val="105"/>
        </w:rPr>
        <w:t> </w:t>
      </w:r>
      <w:r>
        <w:rPr>
          <w:color w:val="231F20"/>
          <w:w w:val="105"/>
        </w:rPr>
        <w:t>de</w:t>
      </w:r>
      <w:r>
        <w:rPr>
          <w:color w:val="231F20"/>
          <w:w w:val="108"/>
        </w:rPr>
        <w:t> </w:t>
      </w:r>
      <w:r>
        <w:rPr>
          <w:color w:val="231F20"/>
          <w:w w:val="105"/>
        </w:rPr>
        <w:t>la</w:t>
      </w:r>
      <w:r>
        <w:rPr>
          <w:color w:val="231F20"/>
          <w:spacing w:val="-29"/>
          <w:w w:val="105"/>
        </w:rPr>
        <w:t> </w:t>
      </w:r>
      <w:r>
        <w:rPr>
          <w:color w:val="231F20"/>
          <w:w w:val="105"/>
        </w:rPr>
        <w:t>Fundación</w:t>
      </w:r>
      <w:r>
        <w:rPr>
          <w:color w:val="231F20"/>
          <w:spacing w:val="-29"/>
          <w:w w:val="105"/>
        </w:rPr>
        <w:t> </w:t>
      </w:r>
      <w:r>
        <w:rPr>
          <w:color w:val="231F20"/>
          <w:w w:val="105"/>
        </w:rPr>
        <w:t>Iberoamericana</w:t>
      </w:r>
      <w:r>
        <w:rPr>
          <w:color w:val="231F20"/>
          <w:spacing w:val="-29"/>
          <w:w w:val="105"/>
        </w:rPr>
        <w:t> </w:t>
      </w:r>
      <w:r>
        <w:rPr>
          <w:color w:val="231F20"/>
          <w:w w:val="105"/>
        </w:rPr>
        <w:t>para</w:t>
      </w:r>
      <w:r>
        <w:rPr>
          <w:color w:val="231F20"/>
          <w:spacing w:val="-29"/>
          <w:w w:val="105"/>
        </w:rPr>
        <w:t> </w:t>
      </w:r>
      <w:r>
        <w:rPr>
          <w:color w:val="231F20"/>
          <w:w w:val="105"/>
        </w:rPr>
        <w:t>la</w:t>
      </w:r>
      <w:r>
        <w:rPr>
          <w:color w:val="231F20"/>
          <w:spacing w:val="-29"/>
          <w:w w:val="105"/>
        </w:rPr>
        <w:t> </w:t>
      </w:r>
      <w:r>
        <w:rPr>
          <w:color w:val="231F20"/>
          <w:w w:val="105"/>
        </w:rPr>
        <w:t>Gestión</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Calidad</w:t>
      </w:r>
      <w:r>
        <w:rPr>
          <w:color w:val="231F20"/>
          <w:spacing w:val="-29"/>
          <w:w w:val="105"/>
        </w:rPr>
        <w:t> </w:t>
      </w:r>
      <w:r>
        <w:rPr>
          <w:color w:val="231F20"/>
          <w:w w:val="105"/>
        </w:rPr>
        <w:t>(FUNDIBEQ).</w:t>
      </w:r>
      <w:r>
        <w:rPr>
          <w:color w:val="231F20"/>
          <w:w w:val="97"/>
        </w:rPr>
        <w:t> </w:t>
      </w:r>
      <w:r>
        <w:rPr>
          <w:color w:val="231F20"/>
          <w:w w:val="105"/>
        </w:rPr>
        <w:t>Durante</w:t>
      </w:r>
      <w:r>
        <w:rPr>
          <w:color w:val="231F20"/>
          <w:spacing w:val="-15"/>
          <w:w w:val="105"/>
        </w:rPr>
        <w:t> </w:t>
      </w:r>
      <w:r>
        <w:rPr>
          <w:color w:val="231F20"/>
          <w:w w:val="105"/>
        </w:rPr>
        <w:t>las</w:t>
      </w:r>
      <w:r>
        <w:rPr>
          <w:color w:val="231F20"/>
          <w:spacing w:val="-15"/>
          <w:w w:val="105"/>
        </w:rPr>
        <w:t> </w:t>
      </w:r>
      <w:r>
        <w:rPr>
          <w:color w:val="231F20"/>
          <w:w w:val="105"/>
        </w:rPr>
        <w:t>dos</w:t>
      </w:r>
      <w:r>
        <w:rPr>
          <w:color w:val="231F20"/>
          <w:spacing w:val="-15"/>
          <w:w w:val="105"/>
        </w:rPr>
        <w:t> </w:t>
      </w:r>
      <w:r>
        <w:rPr>
          <w:color w:val="231F20"/>
          <w:w w:val="105"/>
        </w:rPr>
        <w:t>últimas</w:t>
      </w:r>
      <w:r>
        <w:rPr>
          <w:color w:val="231F20"/>
          <w:spacing w:val="-15"/>
          <w:w w:val="105"/>
        </w:rPr>
        <w:t> </w:t>
      </w:r>
      <w:r>
        <w:rPr>
          <w:color w:val="231F20"/>
          <w:w w:val="105"/>
        </w:rPr>
        <w:t>décadas</w:t>
      </w:r>
      <w:r>
        <w:rPr>
          <w:color w:val="231F20"/>
          <w:spacing w:val="-15"/>
          <w:w w:val="105"/>
        </w:rPr>
        <w:t> </w:t>
      </w:r>
      <w:r>
        <w:rPr>
          <w:color w:val="231F20"/>
          <w:w w:val="105"/>
        </w:rPr>
        <w:t>estos</w:t>
      </w:r>
      <w:r>
        <w:rPr>
          <w:color w:val="231F20"/>
          <w:spacing w:val="-15"/>
          <w:w w:val="105"/>
        </w:rPr>
        <w:t> </w:t>
      </w:r>
      <w:r>
        <w:rPr>
          <w:color w:val="231F20"/>
          <w:w w:val="105"/>
        </w:rPr>
        <w:t>modelos</w:t>
      </w:r>
      <w:r>
        <w:rPr>
          <w:color w:val="231F20"/>
          <w:spacing w:val="-15"/>
          <w:w w:val="105"/>
        </w:rPr>
        <w:t> </w:t>
      </w:r>
      <w:r>
        <w:rPr>
          <w:color w:val="231F20"/>
          <w:w w:val="105"/>
        </w:rPr>
        <w:t>de</w:t>
      </w:r>
      <w:r>
        <w:rPr>
          <w:color w:val="231F20"/>
          <w:spacing w:val="-15"/>
          <w:w w:val="105"/>
        </w:rPr>
        <w:t> </w:t>
      </w:r>
      <w:r>
        <w:rPr>
          <w:color w:val="231F20"/>
          <w:w w:val="105"/>
        </w:rPr>
        <w:t>excelencia</w:t>
      </w:r>
      <w:r>
        <w:rPr>
          <w:color w:val="231F20"/>
          <w:spacing w:val="-15"/>
          <w:w w:val="105"/>
        </w:rPr>
        <w:t> </w:t>
      </w:r>
      <w:r>
        <w:rPr>
          <w:color w:val="231F20"/>
          <w:w w:val="105"/>
        </w:rPr>
        <w:t>ad-</w:t>
      </w:r>
      <w:r>
        <w:rPr>
          <w:color w:val="231F20"/>
          <w:w w:val="96"/>
        </w:rPr>
        <w:t> </w:t>
      </w:r>
      <w:r>
        <w:rPr>
          <w:color w:val="231F20"/>
          <w:w w:val="105"/>
        </w:rPr>
        <w:t>ministrativa</w:t>
      </w:r>
      <w:r>
        <w:rPr>
          <w:color w:val="231F20"/>
          <w:spacing w:val="-21"/>
          <w:w w:val="105"/>
        </w:rPr>
        <w:t> </w:t>
      </w:r>
      <w:r>
        <w:rPr>
          <w:color w:val="231F20"/>
          <w:w w:val="105"/>
        </w:rPr>
        <w:t>han</w:t>
      </w:r>
      <w:r>
        <w:rPr>
          <w:color w:val="231F20"/>
          <w:spacing w:val="-21"/>
          <w:w w:val="105"/>
        </w:rPr>
        <w:t> </w:t>
      </w:r>
      <w:r>
        <w:rPr>
          <w:color w:val="231F20"/>
          <w:w w:val="105"/>
        </w:rPr>
        <w:t>sido</w:t>
      </w:r>
      <w:r>
        <w:rPr>
          <w:color w:val="231F20"/>
          <w:spacing w:val="-21"/>
          <w:w w:val="105"/>
        </w:rPr>
        <w:t> </w:t>
      </w:r>
      <w:r>
        <w:rPr>
          <w:color w:val="231F20"/>
          <w:w w:val="105"/>
        </w:rPr>
        <w:t>considerados</w:t>
      </w:r>
      <w:r>
        <w:rPr>
          <w:color w:val="231F20"/>
          <w:spacing w:val="-21"/>
          <w:w w:val="105"/>
        </w:rPr>
        <w:t> </w:t>
      </w:r>
      <w:r>
        <w:rPr>
          <w:color w:val="231F20"/>
          <w:w w:val="105"/>
        </w:rPr>
        <w:t>como</w:t>
      </w:r>
      <w:r>
        <w:rPr>
          <w:color w:val="231F20"/>
          <w:spacing w:val="-21"/>
          <w:w w:val="105"/>
        </w:rPr>
        <w:t> </w:t>
      </w:r>
      <w:r>
        <w:rPr>
          <w:color w:val="231F20"/>
          <w:w w:val="105"/>
        </w:rPr>
        <w:t>una</w:t>
      </w:r>
      <w:r>
        <w:rPr>
          <w:color w:val="231F20"/>
          <w:spacing w:val="-21"/>
          <w:w w:val="105"/>
        </w:rPr>
        <w:t> </w:t>
      </w:r>
      <w:r>
        <w:rPr>
          <w:color w:val="231F20"/>
          <w:w w:val="105"/>
        </w:rPr>
        <w:t>forma</w:t>
      </w:r>
      <w:r>
        <w:rPr>
          <w:color w:val="231F20"/>
          <w:spacing w:val="-21"/>
          <w:w w:val="105"/>
        </w:rPr>
        <w:t> </w:t>
      </w:r>
      <w:r>
        <w:rPr>
          <w:color w:val="231F20"/>
          <w:w w:val="105"/>
        </w:rPr>
        <w:t>efectiva</w:t>
      </w:r>
      <w:r>
        <w:rPr>
          <w:color w:val="231F20"/>
          <w:spacing w:val="-21"/>
          <w:w w:val="105"/>
        </w:rPr>
        <w:t> </w:t>
      </w:r>
      <w:r>
        <w:rPr>
          <w:color w:val="231F20"/>
          <w:w w:val="105"/>
        </w:rPr>
        <w:t>de</w:t>
      </w:r>
      <w:r>
        <w:rPr>
          <w:color w:val="231F20"/>
          <w:spacing w:val="-21"/>
          <w:w w:val="105"/>
        </w:rPr>
        <w:t> </w:t>
      </w:r>
      <w:r>
        <w:rPr>
          <w:color w:val="231F20"/>
          <w:w w:val="105"/>
        </w:rPr>
        <w:t>medir</w:t>
      </w:r>
      <w:r>
        <w:rPr>
          <w:color w:val="231F20"/>
          <w:spacing w:val="-21"/>
          <w:w w:val="105"/>
        </w:rPr>
        <w:t> </w:t>
      </w:r>
      <w:r>
        <w:rPr>
          <w:color w:val="231F20"/>
          <w:w w:val="105"/>
        </w:rPr>
        <w:t>los</w:t>
      </w:r>
      <w:r>
        <w:rPr>
          <w:color w:val="231F20"/>
          <w:w w:val="102"/>
        </w:rPr>
        <w:t> </w:t>
      </w:r>
      <w:r>
        <w:rPr>
          <w:color w:val="231F20"/>
          <w:w w:val="105"/>
        </w:rPr>
        <w:t>resultados</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gestión</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organizaciones</w:t>
      </w:r>
      <w:r>
        <w:rPr>
          <w:color w:val="231F20"/>
          <w:spacing w:val="-27"/>
          <w:w w:val="105"/>
        </w:rPr>
        <w:t> </w:t>
      </w:r>
      <w:r>
        <w:rPr>
          <w:color w:val="231F20"/>
          <w:spacing w:val="-4"/>
          <w:w w:val="105"/>
        </w:rPr>
        <w:t>(Talwar,</w:t>
      </w:r>
      <w:r>
        <w:rPr>
          <w:color w:val="231F20"/>
          <w:spacing w:val="-30"/>
          <w:w w:val="105"/>
        </w:rPr>
        <w:t> </w:t>
      </w:r>
      <w:r>
        <w:rPr>
          <w:color w:val="231F20"/>
          <w:w w:val="105"/>
        </w:rPr>
        <w:t>2011).</w:t>
      </w:r>
      <w:r>
        <w:rPr>
          <w:color w:val="231F20"/>
          <w:spacing w:val="-30"/>
          <w:w w:val="105"/>
        </w:rPr>
        <w:t> </w:t>
      </w:r>
      <w:r>
        <w:rPr>
          <w:color w:val="231F20"/>
          <w:w w:val="105"/>
        </w:rPr>
        <w:t>Sin</w:t>
      </w:r>
      <w:r>
        <w:rPr>
          <w:color w:val="231F20"/>
          <w:spacing w:val="-27"/>
          <w:w w:val="105"/>
        </w:rPr>
        <w:t> </w:t>
      </w:r>
      <w:r>
        <w:rPr>
          <w:color w:val="231F20"/>
          <w:w w:val="105"/>
        </w:rPr>
        <w:t>embar-</w:t>
      </w:r>
    </w:p>
    <w:p>
      <w:pPr>
        <w:spacing w:after="0" w:line="259" w:lineRule="auto"/>
        <w:jc w:val="right"/>
        <w:sectPr>
          <w:pgSz w:w="9640" w:h="13890"/>
          <w:pgMar w:top="0" w:bottom="280" w:left="1300" w:right="1180"/>
        </w:sectPr>
      </w:pPr>
    </w:p>
    <w:p>
      <w:pPr>
        <w:pStyle w:val="BodyText"/>
        <w:spacing w:line="259" w:lineRule="auto" w:before="49"/>
        <w:ind w:left="103" w:right="115"/>
        <w:jc w:val="both"/>
      </w:pPr>
      <w:r>
        <w:rPr>
          <w:color w:val="231F20"/>
          <w:w w:val="105"/>
        </w:rPr>
        <w:t>go,</w:t>
      </w:r>
      <w:r>
        <w:rPr>
          <w:color w:val="231F20"/>
          <w:spacing w:val="-28"/>
          <w:w w:val="105"/>
        </w:rPr>
        <w:t> </w:t>
      </w:r>
      <w:r>
        <w:rPr>
          <w:color w:val="231F20"/>
          <w:w w:val="105"/>
        </w:rPr>
        <w:t>el</w:t>
      </w:r>
      <w:r>
        <w:rPr>
          <w:color w:val="231F20"/>
          <w:spacing w:val="-21"/>
          <w:w w:val="105"/>
        </w:rPr>
        <w:t> </w:t>
      </w:r>
      <w:r>
        <w:rPr>
          <w:color w:val="231F20"/>
          <w:w w:val="105"/>
        </w:rPr>
        <w:t>surgimiento</w:t>
      </w:r>
      <w:r>
        <w:rPr>
          <w:color w:val="231F20"/>
          <w:spacing w:val="-21"/>
          <w:w w:val="105"/>
        </w:rPr>
        <w:t> </w:t>
      </w:r>
      <w:r>
        <w:rPr>
          <w:color w:val="231F20"/>
          <w:w w:val="105"/>
        </w:rPr>
        <w:t>de</w:t>
      </w:r>
      <w:r>
        <w:rPr>
          <w:color w:val="231F20"/>
          <w:spacing w:val="-21"/>
          <w:w w:val="105"/>
        </w:rPr>
        <w:t> </w:t>
      </w:r>
      <w:r>
        <w:rPr>
          <w:color w:val="231F20"/>
          <w:w w:val="105"/>
        </w:rPr>
        <w:t>dichos</w:t>
      </w:r>
      <w:r>
        <w:rPr>
          <w:color w:val="231F20"/>
          <w:spacing w:val="-21"/>
          <w:w w:val="105"/>
        </w:rPr>
        <w:t> </w:t>
      </w:r>
      <w:r>
        <w:rPr>
          <w:color w:val="231F20"/>
          <w:w w:val="105"/>
        </w:rPr>
        <w:t>modelos</w:t>
      </w:r>
      <w:r>
        <w:rPr>
          <w:color w:val="231F20"/>
          <w:spacing w:val="-21"/>
          <w:w w:val="105"/>
        </w:rPr>
        <w:t> </w:t>
      </w:r>
      <w:r>
        <w:rPr>
          <w:color w:val="231F20"/>
          <w:w w:val="105"/>
        </w:rPr>
        <w:t>se</w:t>
      </w:r>
      <w:r>
        <w:rPr>
          <w:color w:val="231F20"/>
          <w:spacing w:val="-21"/>
          <w:w w:val="105"/>
        </w:rPr>
        <w:t> </w:t>
      </w:r>
      <w:r>
        <w:rPr>
          <w:color w:val="231F20"/>
          <w:w w:val="105"/>
        </w:rPr>
        <w:t>remonta</w:t>
      </w:r>
      <w:r>
        <w:rPr>
          <w:color w:val="231F20"/>
          <w:spacing w:val="-21"/>
          <w:w w:val="105"/>
        </w:rPr>
        <w:t> </w:t>
      </w:r>
      <w:r>
        <w:rPr>
          <w:color w:val="231F20"/>
          <w:w w:val="105"/>
        </w:rPr>
        <w:t>al</w:t>
      </w:r>
      <w:r>
        <w:rPr>
          <w:color w:val="231F20"/>
          <w:spacing w:val="-21"/>
          <w:w w:val="105"/>
        </w:rPr>
        <w:t> </w:t>
      </w:r>
      <w:r>
        <w:rPr>
          <w:color w:val="231F20"/>
          <w:w w:val="105"/>
        </w:rPr>
        <w:t>año</w:t>
      </w:r>
      <w:r>
        <w:rPr>
          <w:color w:val="231F20"/>
          <w:spacing w:val="-21"/>
          <w:w w:val="105"/>
        </w:rPr>
        <w:t> </w:t>
      </w:r>
      <w:r>
        <w:rPr>
          <w:color w:val="231F20"/>
          <w:w w:val="105"/>
        </w:rPr>
        <w:t>1951</w:t>
      </w:r>
      <w:r>
        <w:rPr>
          <w:color w:val="231F20"/>
          <w:spacing w:val="-21"/>
          <w:w w:val="105"/>
        </w:rPr>
        <w:t> </w:t>
      </w:r>
      <w:r>
        <w:rPr>
          <w:color w:val="231F20"/>
          <w:w w:val="105"/>
        </w:rPr>
        <w:t>cuando</w:t>
      </w:r>
      <w:r>
        <w:rPr>
          <w:color w:val="231F20"/>
          <w:spacing w:val="-21"/>
          <w:w w:val="105"/>
        </w:rPr>
        <w:t> </w:t>
      </w:r>
      <w:r>
        <w:rPr>
          <w:color w:val="231F20"/>
          <w:w w:val="105"/>
        </w:rPr>
        <w:t>fue instituido el </w:t>
      </w:r>
      <w:r>
        <w:rPr>
          <w:color w:val="231F20"/>
          <w:spacing w:val="-3"/>
          <w:w w:val="105"/>
        </w:rPr>
        <w:t>Premio </w:t>
      </w:r>
      <w:r>
        <w:rPr>
          <w:color w:val="231F20"/>
          <w:w w:val="105"/>
        </w:rPr>
        <w:t>Deming, el cual introdujo el concepto de auto-eva- luación</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mejora</w:t>
      </w:r>
      <w:r>
        <w:rPr>
          <w:color w:val="231F20"/>
          <w:spacing w:val="-15"/>
          <w:w w:val="105"/>
        </w:rPr>
        <w:t> </w:t>
      </w:r>
      <w:r>
        <w:rPr>
          <w:color w:val="231F20"/>
          <w:w w:val="105"/>
        </w:rPr>
        <w:t>y</w:t>
      </w:r>
      <w:r>
        <w:rPr>
          <w:color w:val="231F20"/>
          <w:spacing w:val="-15"/>
          <w:w w:val="105"/>
        </w:rPr>
        <w:t> </w:t>
      </w:r>
      <w:r>
        <w:rPr>
          <w:color w:val="231F20"/>
          <w:w w:val="105"/>
        </w:rPr>
        <w:t>sentó</w:t>
      </w:r>
      <w:r>
        <w:rPr>
          <w:color w:val="231F20"/>
          <w:spacing w:val="-15"/>
          <w:w w:val="105"/>
        </w:rPr>
        <w:t> </w:t>
      </w:r>
      <w:r>
        <w:rPr>
          <w:color w:val="231F20"/>
          <w:w w:val="105"/>
        </w:rPr>
        <w:t>las</w:t>
      </w:r>
      <w:r>
        <w:rPr>
          <w:color w:val="231F20"/>
          <w:spacing w:val="-15"/>
          <w:w w:val="105"/>
        </w:rPr>
        <w:t> </w:t>
      </w:r>
      <w:r>
        <w:rPr>
          <w:color w:val="231F20"/>
          <w:w w:val="105"/>
        </w:rPr>
        <w:t>bases</w:t>
      </w:r>
      <w:r>
        <w:rPr>
          <w:color w:val="231F20"/>
          <w:spacing w:val="-15"/>
          <w:w w:val="105"/>
        </w:rPr>
        <w:t> </w:t>
      </w:r>
      <w:r>
        <w:rPr>
          <w:color w:val="231F20"/>
          <w:w w:val="105"/>
        </w:rPr>
        <w:t>para</w:t>
      </w:r>
      <w:r>
        <w:rPr>
          <w:color w:val="231F20"/>
          <w:spacing w:val="-15"/>
          <w:w w:val="105"/>
        </w:rPr>
        <w:t> </w:t>
      </w:r>
      <w:r>
        <w:rPr>
          <w:color w:val="231F20"/>
          <w:w w:val="105"/>
        </w:rPr>
        <w:t>los</w:t>
      </w:r>
      <w:r>
        <w:rPr>
          <w:color w:val="231F20"/>
          <w:spacing w:val="-15"/>
          <w:w w:val="105"/>
        </w:rPr>
        <w:t> </w:t>
      </w:r>
      <w:r>
        <w:rPr>
          <w:color w:val="231F20"/>
          <w:w w:val="105"/>
        </w:rPr>
        <w:t>modelos</w:t>
      </w:r>
      <w:r>
        <w:rPr>
          <w:color w:val="231F20"/>
          <w:spacing w:val="-15"/>
          <w:w w:val="105"/>
        </w:rPr>
        <w:t> </w:t>
      </w:r>
      <w:r>
        <w:rPr>
          <w:color w:val="231F20"/>
          <w:w w:val="105"/>
        </w:rPr>
        <w:t>de</w:t>
      </w:r>
      <w:r>
        <w:rPr>
          <w:color w:val="231F20"/>
          <w:spacing w:val="-15"/>
          <w:w w:val="105"/>
        </w:rPr>
        <w:t> </w:t>
      </w:r>
      <w:r>
        <w:rPr>
          <w:color w:val="231F20"/>
          <w:w w:val="105"/>
        </w:rPr>
        <w:t>excelencia más</w:t>
      </w:r>
      <w:r>
        <w:rPr>
          <w:color w:val="231F20"/>
          <w:spacing w:val="-34"/>
          <w:w w:val="105"/>
        </w:rPr>
        <w:t> </w:t>
      </w:r>
      <w:r>
        <w:rPr>
          <w:color w:val="231F20"/>
          <w:w w:val="105"/>
        </w:rPr>
        <w:t>recientes</w:t>
      </w:r>
      <w:r>
        <w:rPr>
          <w:color w:val="231F20"/>
          <w:spacing w:val="-34"/>
          <w:w w:val="105"/>
        </w:rPr>
        <w:t> </w:t>
      </w:r>
      <w:r>
        <w:rPr>
          <w:color w:val="231F20"/>
          <w:w w:val="105"/>
        </w:rPr>
        <w:t>con</w:t>
      </w:r>
      <w:r>
        <w:rPr>
          <w:color w:val="231F20"/>
          <w:spacing w:val="-34"/>
          <w:w w:val="105"/>
        </w:rPr>
        <w:t> </w:t>
      </w:r>
      <w:r>
        <w:rPr>
          <w:color w:val="231F20"/>
          <w:w w:val="105"/>
        </w:rPr>
        <w:t>sus</w:t>
      </w:r>
      <w:r>
        <w:rPr>
          <w:color w:val="231F20"/>
          <w:spacing w:val="-34"/>
          <w:w w:val="105"/>
        </w:rPr>
        <w:t> </w:t>
      </w:r>
      <w:r>
        <w:rPr>
          <w:color w:val="231F20"/>
          <w:w w:val="105"/>
        </w:rPr>
        <w:t>respectivos</w:t>
      </w:r>
      <w:r>
        <w:rPr>
          <w:color w:val="231F20"/>
          <w:spacing w:val="-34"/>
          <w:w w:val="105"/>
        </w:rPr>
        <w:t> </w:t>
      </w:r>
      <w:r>
        <w:rPr>
          <w:color w:val="231F20"/>
          <w:w w:val="105"/>
        </w:rPr>
        <w:t>premios</w:t>
      </w:r>
      <w:r>
        <w:rPr>
          <w:color w:val="231F20"/>
          <w:spacing w:val="-34"/>
          <w:w w:val="105"/>
        </w:rPr>
        <w:t> </w:t>
      </w:r>
      <w:r>
        <w:rPr>
          <w:color w:val="231F20"/>
          <w:w w:val="105"/>
        </w:rPr>
        <w:t>(Gutiérrez,</w:t>
      </w:r>
      <w:r>
        <w:rPr>
          <w:color w:val="231F20"/>
          <w:spacing w:val="-38"/>
          <w:w w:val="105"/>
        </w:rPr>
        <w:t> </w:t>
      </w:r>
      <w:r>
        <w:rPr>
          <w:color w:val="231F20"/>
          <w:w w:val="105"/>
        </w:rPr>
        <w:t>2010).</w:t>
      </w:r>
    </w:p>
    <w:p>
      <w:pPr>
        <w:pStyle w:val="BodyText"/>
        <w:spacing w:line="259" w:lineRule="auto"/>
        <w:ind w:left="103" w:right="114" w:firstLine="567"/>
        <w:jc w:val="both"/>
      </w:pPr>
      <w:r>
        <w:rPr>
          <w:color w:val="231F20"/>
          <w:w w:val="105"/>
        </w:rPr>
        <w:t>El</w:t>
      </w:r>
      <w:r>
        <w:rPr>
          <w:color w:val="231F20"/>
          <w:spacing w:val="-20"/>
          <w:w w:val="105"/>
        </w:rPr>
        <w:t> </w:t>
      </w:r>
      <w:r>
        <w:rPr>
          <w:color w:val="231F20"/>
          <w:w w:val="105"/>
        </w:rPr>
        <w:t>modelo</w:t>
      </w:r>
      <w:r>
        <w:rPr>
          <w:color w:val="231F20"/>
          <w:spacing w:val="-20"/>
          <w:w w:val="105"/>
        </w:rPr>
        <w:t> </w:t>
      </w:r>
      <w:r>
        <w:rPr>
          <w:color w:val="231F20"/>
          <w:w w:val="105"/>
        </w:rPr>
        <w:t>parte</w:t>
      </w:r>
      <w:r>
        <w:rPr>
          <w:color w:val="231F20"/>
          <w:spacing w:val="-20"/>
          <w:w w:val="105"/>
        </w:rPr>
        <w:t> </w:t>
      </w:r>
      <w:r>
        <w:rPr>
          <w:color w:val="231F20"/>
          <w:w w:val="105"/>
        </w:rPr>
        <w:t>del</w:t>
      </w:r>
      <w:r>
        <w:rPr>
          <w:color w:val="231F20"/>
          <w:spacing w:val="-20"/>
          <w:w w:val="105"/>
        </w:rPr>
        <w:t> </w:t>
      </w:r>
      <w:r>
        <w:rPr>
          <w:color w:val="231F20"/>
          <w:w w:val="105"/>
        </w:rPr>
        <w:t>supuesto</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resultados</w:t>
      </w:r>
      <w:r>
        <w:rPr>
          <w:color w:val="231F20"/>
          <w:spacing w:val="-20"/>
          <w:w w:val="105"/>
        </w:rPr>
        <w:t> </w:t>
      </w:r>
      <w:r>
        <w:rPr>
          <w:color w:val="231F20"/>
          <w:w w:val="105"/>
        </w:rPr>
        <w:t>son</w:t>
      </w:r>
      <w:r>
        <w:rPr>
          <w:color w:val="231F20"/>
          <w:spacing w:val="-20"/>
          <w:w w:val="105"/>
        </w:rPr>
        <w:t> </w:t>
      </w:r>
      <w:r>
        <w:rPr>
          <w:color w:val="231F20"/>
          <w:w w:val="105"/>
        </w:rPr>
        <w:t>fruto</w:t>
      </w:r>
      <w:r>
        <w:rPr>
          <w:color w:val="231F20"/>
          <w:spacing w:val="-20"/>
          <w:w w:val="105"/>
        </w:rPr>
        <w:t> </w:t>
      </w:r>
      <w:r>
        <w:rPr>
          <w:color w:val="231F20"/>
          <w:w w:val="105"/>
        </w:rPr>
        <w:t>de</w:t>
      </w:r>
      <w:r>
        <w:rPr>
          <w:color w:val="231F20"/>
          <w:spacing w:val="-20"/>
          <w:w w:val="105"/>
        </w:rPr>
        <w:t> </w:t>
      </w:r>
      <w:r>
        <w:rPr>
          <w:color w:val="231F20"/>
          <w:w w:val="105"/>
        </w:rPr>
        <w:t>los hechos</w:t>
      </w:r>
      <w:r>
        <w:rPr>
          <w:color w:val="231F20"/>
          <w:spacing w:val="-22"/>
          <w:w w:val="105"/>
        </w:rPr>
        <w:t> </w:t>
      </w:r>
      <w:r>
        <w:rPr>
          <w:color w:val="231F20"/>
          <w:w w:val="105"/>
        </w:rPr>
        <w:t>realizados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pasado</w:t>
      </w:r>
      <w:r>
        <w:rPr>
          <w:color w:val="231F20"/>
          <w:spacing w:val="-22"/>
          <w:w w:val="105"/>
        </w:rPr>
        <w:t> </w:t>
      </w:r>
      <w:r>
        <w:rPr>
          <w:color w:val="231F20"/>
          <w:spacing w:val="-4"/>
          <w:w w:val="105"/>
        </w:rPr>
        <w:t>y,</w:t>
      </w:r>
      <w:r>
        <w:rPr>
          <w:color w:val="231F20"/>
          <w:spacing w:val="-28"/>
          <w:w w:val="105"/>
        </w:rPr>
        <w:t> </w:t>
      </w:r>
      <w:r>
        <w:rPr>
          <w:color w:val="231F20"/>
          <w:w w:val="105"/>
        </w:rPr>
        <w:t>por</w:t>
      </w:r>
      <w:r>
        <w:rPr>
          <w:color w:val="231F20"/>
          <w:spacing w:val="-22"/>
          <w:w w:val="105"/>
        </w:rPr>
        <w:t> </w:t>
      </w:r>
      <w:r>
        <w:rPr>
          <w:color w:val="231F20"/>
          <w:w w:val="105"/>
        </w:rPr>
        <w:t>mucho</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controlen</w:t>
      </w:r>
      <w:r>
        <w:rPr>
          <w:color w:val="231F20"/>
          <w:spacing w:val="-22"/>
          <w:w w:val="105"/>
        </w:rPr>
        <w:t> </w:t>
      </w:r>
      <w:r>
        <w:rPr>
          <w:color w:val="231F20"/>
          <w:w w:val="105"/>
        </w:rPr>
        <w:t>nada</w:t>
      </w:r>
      <w:r>
        <w:rPr>
          <w:color w:val="231F20"/>
          <w:spacing w:val="-22"/>
          <w:w w:val="105"/>
        </w:rPr>
        <w:t> </w:t>
      </w:r>
      <w:r>
        <w:rPr>
          <w:color w:val="231F20"/>
          <w:w w:val="105"/>
        </w:rPr>
        <w:t>pue- de hacerse para cambiarlos, aunque con una gestión adecuada de los procesos</w:t>
      </w:r>
      <w:r>
        <w:rPr>
          <w:color w:val="231F20"/>
          <w:spacing w:val="-10"/>
          <w:w w:val="105"/>
        </w:rPr>
        <w:t> </w:t>
      </w:r>
      <w:r>
        <w:rPr>
          <w:color w:val="231F20"/>
          <w:w w:val="105"/>
        </w:rPr>
        <w:t>es</w:t>
      </w:r>
      <w:r>
        <w:rPr>
          <w:color w:val="231F20"/>
          <w:spacing w:val="-10"/>
          <w:w w:val="105"/>
        </w:rPr>
        <w:t> </w:t>
      </w:r>
      <w:r>
        <w:rPr>
          <w:color w:val="231F20"/>
          <w:w w:val="105"/>
        </w:rPr>
        <w:t>posible</w:t>
      </w:r>
      <w:r>
        <w:rPr>
          <w:color w:val="231F20"/>
          <w:spacing w:val="-10"/>
          <w:w w:val="105"/>
        </w:rPr>
        <w:t> </w:t>
      </w:r>
      <w:r>
        <w:rPr>
          <w:color w:val="231F20"/>
          <w:w w:val="105"/>
        </w:rPr>
        <w:t>modificar</w:t>
      </w:r>
      <w:r>
        <w:rPr>
          <w:color w:val="231F20"/>
          <w:spacing w:val="-10"/>
          <w:w w:val="105"/>
        </w:rPr>
        <w:t> </w:t>
      </w:r>
      <w:r>
        <w:rPr>
          <w:color w:val="231F20"/>
          <w:w w:val="105"/>
        </w:rPr>
        <w:t>los</w:t>
      </w:r>
      <w:r>
        <w:rPr>
          <w:color w:val="231F20"/>
          <w:spacing w:val="-10"/>
          <w:w w:val="105"/>
        </w:rPr>
        <w:t> </w:t>
      </w:r>
      <w:r>
        <w:rPr>
          <w:color w:val="231F20"/>
          <w:w w:val="105"/>
        </w:rPr>
        <w:t>resultados</w:t>
      </w:r>
      <w:r>
        <w:rPr>
          <w:color w:val="231F20"/>
          <w:spacing w:val="-10"/>
          <w:w w:val="105"/>
        </w:rPr>
        <w:t> </w:t>
      </w:r>
      <w:r>
        <w:rPr>
          <w:color w:val="231F20"/>
          <w:w w:val="105"/>
        </w:rPr>
        <w:t>futuros</w:t>
      </w:r>
      <w:r>
        <w:rPr>
          <w:color w:val="231F20"/>
          <w:spacing w:val="-10"/>
          <w:w w:val="105"/>
        </w:rPr>
        <w:t> </w:t>
      </w:r>
      <w:r>
        <w:rPr>
          <w:color w:val="231F20"/>
          <w:w w:val="105"/>
        </w:rPr>
        <w:t>(Benavides</w:t>
      </w:r>
      <w:r>
        <w:rPr>
          <w:color w:val="231F20"/>
          <w:spacing w:val="-10"/>
          <w:w w:val="105"/>
        </w:rPr>
        <w:t> </w:t>
      </w:r>
      <w:r>
        <w:rPr>
          <w:color w:val="231F20"/>
          <w:w w:val="105"/>
        </w:rPr>
        <w:t>y</w:t>
      </w:r>
      <w:r>
        <w:rPr>
          <w:color w:val="231F20"/>
          <w:spacing w:val="-10"/>
          <w:w w:val="105"/>
        </w:rPr>
        <w:t> </w:t>
      </w:r>
      <w:r>
        <w:rPr>
          <w:color w:val="231F20"/>
          <w:w w:val="105"/>
        </w:rPr>
        <w:t>Quin- tana,</w:t>
      </w:r>
      <w:r>
        <w:rPr>
          <w:color w:val="231F20"/>
          <w:spacing w:val="-19"/>
          <w:w w:val="105"/>
        </w:rPr>
        <w:t> </w:t>
      </w:r>
      <w:r>
        <w:rPr>
          <w:color w:val="231F20"/>
          <w:w w:val="105"/>
        </w:rPr>
        <w:t>2003).</w:t>
      </w:r>
      <w:r>
        <w:rPr>
          <w:color w:val="231F20"/>
          <w:spacing w:val="-19"/>
          <w:w w:val="105"/>
        </w:rPr>
        <w:t> </w:t>
      </w:r>
      <w:r>
        <w:rPr>
          <w:color w:val="231F20"/>
          <w:w w:val="105"/>
        </w:rPr>
        <w:t>El</w:t>
      </w:r>
      <w:r>
        <w:rPr>
          <w:color w:val="231F20"/>
          <w:spacing w:val="-13"/>
          <w:w w:val="105"/>
        </w:rPr>
        <w:t> </w:t>
      </w:r>
      <w:r>
        <w:rPr>
          <w:color w:val="231F20"/>
          <w:w w:val="105"/>
        </w:rPr>
        <w:t>modelo</w:t>
      </w:r>
      <w:r>
        <w:rPr>
          <w:color w:val="231F20"/>
          <w:spacing w:val="-13"/>
          <w:w w:val="105"/>
        </w:rPr>
        <w:t> </w:t>
      </w:r>
      <w:r>
        <w:rPr>
          <w:color w:val="231F20"/>
          <w:w w:val="105"/>
        </w:rPr>
        <w:t>está</w:t>
      </w:r>
      <w:r>
        <w:rPr>
          <w:color w:val="231F20"/>
          <w:spacing w:val="-13"/>
          <w:w w:val="105"/>
        </w:rPr>
        <w:t> </w:t>
      </w:r>
      <w:r>
        <w:rPr>
          <w:color w:val="231F20"/>
          <w:w w:val="105"/>
        </w:rPr>
        <w:t>orientado</w:t>
      </w:r>
      <w:r>
        <w:rPr>
          <w:color w:val="231F20"/>
          <w:spacing w:val="-13"/>
          <w:w w:val="105"/>
        </w:rPr>
        <w:t> </w:t>
      </w:r>
      <w:r>
        <w:rPr>
          <w:color w:val="231F20"/>
          <w:w w:val="105"/>
        </w:rPr>
        <w:t>a</w:t>
      </w:r>
      <w:r>
        <w:rPr>
          <w:color w:val="231F20"/>
          <w:spacing w:val="-13"/>
          <w:w w:val="105"/>
        </w:rPr>
        <w:t> </w:t>
      </w:r>
      <w:r>
        <w:rPr>
          <w:color w:val="231F20"/>
          <w:w w:val="105"/>
        </w:rPr>
        <w:t>crear</w:t>
      </w:r>
      <w:r>
        <w:rPr>
          <w:color w:val="231F20"/>
          <w:spacing w:val="-13"/>
          <w:w w:val="105"/>
        </w:rPr>
        <w:t> </w:t>
      </w:r>
      <w:r>
        <w:rPr>
          <w:color w:val="231F20"/>
          <w:w w:val="105"/>
        </w:rPr>
        <w:t>un</w:t>
      </w:r>
      <w:r>
        <w:rPr>
          <w:color w:val="231F20"/>
          <w:spacing w:val="-13"/>
          <w:w w:val="105"/>
        </w:rPr>
        <w:t> </w:t>
      </w:r>
      <w:r>
        <w:rPr>
          <w:color w:val="231F20"/>
          <w:w w:val="105"/>
        </w:rPr>
        <w:t>sistema</w:t>
      </w:r>
      <w:r>
        <w:rPr>
          <w:color w:val="231F20"/>
          <w:spacing w:val="-13"/>
          <w:w w:val="105"/>
        </w:rPr>
        <w:t> </w:t>
      </w:r>
      <w:r>
        <w:rPr>
          <w:color w:val="231F20"/>
          <w:w w:val="105"/>
        </w:rPr>
        <w:t>que</w:t>
      </w:r>
      <w:r>
        <w:rPr>
          <w:color w:val="231F20"/>
          <w:spacing w:val="-13"/>
          <w:w w:val="105"/>
        </w:rPr>
        <w:t> </w:t>
      </w:r>
      <w:r>
        <w:rPr>
          <w:color w:val="231F20"/>
          <w:w w:val="105"/>
        </w:rPr>
        <w:t>fomente</w:t>
      </w:r>
      <w:r>
        <w:rPr>
          <w:color w:val="231F20"/>
          <w:spacing w:val="-13"/>
          <w:w w:val="105"/>
        </w:rPr>
        <w:t> </w:t>
      </w:r>
      <w:r>
        <w:rPr>
          <w:color w:val="231F20"/>
          <w:w w:val="105"/>
        </w:rPr>
        <w:t>la cooperación, tanto interna como externa, así como un aprendizaje que facilite</w:t>
      </w:r>
      <w:r>
        <w:rPr>
          <w:color w:val="231F20"/>
          <w:spacing w:val="-22"/>
          <w:w w:val="105"/>
        </w:rPr>
        <w:t> </w:t>
      </w:r>
      <w:r>
        <w:rPr>
          <w:color w:val="231F20"/>
          <w:w w:val="105"/>
        </w:rPr>
        <w:t>la</w:t>
      </w:r>
      <w:r>
        <w:rPr>
          <w:color w:val="231F20"/>
          <w:spacing w:val="-22"/>
          <w:w w:val="105"/>
        </w:rPr>
        <w:t> </w:t>
      </w:r>
      <w:r>
        <w:rPr>
          <w:color w:val="231F20"/>
          <w:w w:val="105"/>
        </w:rPr>
        <w:t>implementación</w:t>
      </w:r>
      <w:r>
        <w:rPr>
          <w:color w:val="231F20"/>
          <w:spacing w:val="-22"/>
          <w:w w:val="105"/>
        </w:rPr>
        <w:t> </w:t>
      </w:r>
      <w:r>
        <w:rPr>
          <w:color w:val="231F20"/>
          <w:w w:val="105"/>
        </w:rPr>
        <w:t>de</w:t>
      </w:r>
      <w:r>
        <w:rPr>
          <w:color w:val="231F20"/>
          <w:spacing w:val="-22"/>
          <w:w w:val="105"/>
        </w:rPr>
        <w:t> </w:t>
      </w:r>
      <w:r>
        <w:rPr>
          <w:color w:val="231F20"/>
          <w:w w:val="105"/>
        </w:rPr>
        <w:t>prácticas</w:t>
      </w:r>
      <w:r>
        <w:rPr>
          <w:color w:val="231F20"/>
          <w:spacing w:val="-22"/>
          <w:w w:val="105"/>
        </w:rPr>
        <w:t> </w:t>
      </w:r>
      <w:r>
        <w:rPr>
          <w:color w:val="231F20"/>
          <w:w w:val="105"/>
        </w:rPr>
        <w:t>de</w:t>
      </w:r>
      <w:r>
        <w:rPr>
          <w:color w:val="231F20"/>
          <w:spacing w:val="-22"/>
          <w:w w:val="105"/>
        </w:rPr>
        <w:t> </w:t>
      </w:r>
      <w:r>
        <w:rPr>
          <w:color w:val="231F20"/>
          <w:w w:val="105"/>
        </w:rPr>
        <w:t>gestión</w:t>
      </w:r>
      <w:r>
        <w:rPr>
          <w:color w:val="231F20"/>
          <w:spacing w:val="-22"/>
          <w:w w:val="105"/>
        </w:rPr>
        <w:t> </w:t>
      </w:r>
      <w:r>
        <w:rPr>
          <w:color w:val="231F20"/>
          <w:w w:val="105"/>
        </w:rPr>
        <w:t>de</w:t>
      </w:r>
      <w:r>
        <w:rPr>
          <w:color w:val="231F20"/>
          <w:spacing w:val="-22"/>
          <w:w w:val="105"/>
        </w:rPr>
        <w:t> </w:t>
      </w:r>
      <w:r>
        <w:rPr>
          <w:color w:val="231F20"/>
          <w:w w:val="105"/>
        </w:rPr>
        <w:t>procesos.</w:t>
      </w:r>
      <w:r>
        <w:rPr>
          <w:color w:val="231F20"/>
          <w:spacing w:val="-28"/>
          <w:w w:val="105"/>
        </w:rPr>
        <w:t> </w:t>
      </w:r>
      <w:r>
        <w:rPr>
          <w:color w:val="231F20"/>
          <w:w w:val="105"/>
        </w:rPr>
        <w:t>Esto</w:t>
      </w:r>
      <w:r>
        <w:rPr>
          <w:color w:val="231F20"/>
          <w:spacing w:val="-22"/>
          <w:w w:val="105"/>
        </w:rPr>
        <w:t> </w:t>
      </w:r>
      <w:r>
        <w:rPr>
          <w:color w:val="231F20"/>
          <w:w w:val="105"/>
        </w:rPr>
        <w:t>lleva a una mejora continua de procesos, productos y servicios, así como el compromiso</w:t>
      </w:r>
      <w:r>
        <w:rPr>
          <w:color w:val="231F20"/>
          <w:spacing w:val="-20"/>
          <w:w w:val="105"/>
        </w:rPr>
        <w:t> </w:t>
      </w:r>
      <w:r>
        <w:rPr>
          <w:color w:val="231F20"/>
          <w:w w:val="105"/>
        </w:rPr>
        <w:t>del</w:t>
      </w:r>
      <w:r>
        <w:rPr>
          <w:color w:val="231F20"/>
          <w:spacing w:val="-20"/>
          <w:w w:val="105"/>
        </w:rPr>
        <w:t> </w:t>
      </w:r>
      <w:r>
        <w:rPr>
          <w:color w:val="231F20"/>
          <w:w w:val="105"/>
        </w:rPr>
        <w:t>trabajador,</w:t>
      </w:r>
      <w:r>
        <w:rPr>
          <w:color w:val="231F20"/>
          <w:spacing w:val="-25"/>
          <w:w w:val="105"/>
        </w:rPr>
        <w:t> </w:t>
      </w:r>
      <w:r>
        <w:rPr>
          <w:color w:val="231F20"/>
          <w:w w:val="105"/>
        </w:rPr>
        <w:t>fundamentales</w:t>
      </w:r>
      <w:r>
        <w:rPr>
          <w:color w:val="231F20"/>
          <w:spacing w:val="-20"/>
          <w:w w:val="105"/>
        </w:rPr>
        <w:t> </w:t>
      </w:r>
      <w:r>
        <w:rPr>
          <w:color w:val="231F20"/>
          <w:w w:val="105"/>
        </w:rPr>
        <w:t>para</w:t>
      </w:r>
      <w:r>
        <w:rPr>
          <w:color w:val="231F20"/>
          <w:spacing w:val="-20"/>
          <w:w w:val="105"/>
        </w:rPr>
        <w:t> </w:t>
      </w:r>
      <w:r>
        <w:rPr>
          <w:color w:val="231F20"/>
          <w:w w:val="105"/>
        </w:rPr>
        <w:t>la</w:t>
      </w:r>
      <w:r>
        <w:rPr>
          <w:color w:val="231F20"/>
          <w:spacing w:val="-20"/>
          <w:w w:val="105"/>
        </w:rPr>
        <w:t> </w:t>
      </w:r>
      <w:r>
        <w:rPr>
          <w:color w:val="231F20"/>
          <w:w w:val="105"/>
        </w:rPr>
        <w:t>satisfacción</w:t>
      </w:r>
      <w:r>
        <w:rPr>
          <w:color w:val="231F20"/>
          <w:spacing w:val="-20"/>
          <w:w w:val="105"/>
        </w:rPr>
        <w:t> </w:t>
      </w:r>
      <w:r>
        <w:rPr>
          <w:color w:val="231F20"/>
          <w:w w:val="105"/>
        </w:rPr>
        <w:t>del</w:t>
      </w:r>
      <w:r>
        <w:rPr>
          <w:color w:val="231F20"/>
          <w:spacing w:val="-20"/>
          <w:w w:val="105"/>
        </w:rPr>
        <w:t> </w:t>
      </w:r>
      <w:r>
        <w:rPr>
          <w:color w:val="231F20"/>
          <w:w w:val="105"/>
        </w:rPr>
        <w:t>clien- te</w:t>
      </w:r>
      <w:r>
        <w:rPr>
          <w:color w:val="231F20"/>
          <w:spacing w:val="-26"/>
          <w:w w:val="105"/>
        </w:rPr>
        <w:t> </w:t>
      </w:r>
      <w:r>
        <w:rPr>
          <w:color w:val="231F20"/>
          <w:w w:val="105"/>
        </w:rPr>
        <w:t>y</w:t>
      </w:r>
      <w:r>
        <w:rPr>
          <w:color w:val="231F20"/>
          <w:spacing w:val="-26"/>
          <w:w w:val="105"/>
        </w:rPr>
        <w:t> </w:t>
      </w:r>
      <w:r>
        <w:rPr>
          <w:color w:val="231F20"/>
          <w:w w:val="105"/>
        </w:rPr>
        <w:t>para</w:t>
      </w:r>
      <w:r>
        <w:rPr>
          <w:color w:val="231F20"/>
          <w:spacing w:val="-26"/>
          <w:w w:val="105"/>
        </w:rPr>
        <w:t> </w:t>
      </w:r>
      <w:r>
        <w:rPr>
          <w:color w:val="231F20"/>
          <w:w w:val="105"/>
        </w:rPr>
        <w:t>la</w:t>
      </w:r>
      <w:r>
        <w:rPr>
          <w:color w:val="231F20"/>
          <w:spacing w:val="-26"/>
          <w:w w:val="105"/>
        </w:rPr>
        <w:t> </w:t>
      </w:r>
      <w:r>
        <w:rPr>
          <w:color w:val="231F20"/>
          <w:w w:val="105"/>
        </w:rPr>
        <w:t>supervivencia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organización</w:t>
      </w:r>
      <w:r>
        <w:rPr>
          <w:color w:val="231F20"/>
          <w:spacing w:val="-26"/>
          <w:w w:val="105"/>
        </w:rPr>
        <w:t> </w:t>
      </w:r>
      <w:r>
        <w:rPr>
          <w:color w:val="231F20"/>
          <w:w w:val="105"/>
        </w:rPr>
        <w:t>(De</w:t>
      </w:r>
      <w:r>
        <w:rPr>
          <w:color w:val="231F20"/>
          <w:spacing w:val="-26"/>
          <w:w w:val="105"/>
        </w:rPr>
        <w:t> </w:t>
      </w:r>
      <w:r>
        <w:rPr>
          <w:color w:val="231F20"/>
          <w:w w:val="105"/>
        </w:rPr>
        <w:t>Nieves</w:t>
      </w:r>
      <w:r>
        <w:rPr>
          <w:color w:val="231F20"/>
          <w:spacing w:val="-26"/>
          <w:w w:val="105"/>
        </w:rPr>
        <w:t> </w:t>
      </w:r>
      <w:r>
        <w:rPr>
          <w:color w:val="231F20"/>
          <w:w w:val="105"/>
        </w:rPr>
        <w:t>y</w:t>
      </w:r>
      <w:r>
        <w:rPr>
          <w:color w:val="231F20"/>
          <w:spacing w:val="-26"/>
          <w:w w:val="105"/>
        </w:rPr>
        <w:t> </w:t>
      </w:r>
      <w:r>
        <w:rPr>
          <w:color w:val="231F20"/>
          <w:w w:val="105"/>
        </w:rPr>
        <w:t>Ros,</w:t>
      </w:r>
      <w:r>
        <w:rPr>
          <w:color w:val="231F20"/>
          <w:spacing w:val="-31"/>
          <w:w w:val="105"/>
        </w:rPr>
        <w:t> </w:t>
      </w:r>
      <w:r>
        <w:rPr>
          <w:color w:val="231F20"/>
          <w:w w:val="105"/>
        </w:rPr>
        <w:t>2006).</w:t>
      </w:r>
    </w:p>
    <w:p>
      <w:pPr>
        <w:pStyle w:val="BodyText"/>
        <w:spacing w:line="259" w:lineRule="auto"/>
        <w:ind w:left="103" w:right="108" w:firstLine="567"/>
        <w:jc w:val="both"/>
      </w:pPr>
      <w:r>
        <w:rPr>
          <w:color w:val="231F20"/>
          <w:w w:val="105"/>
        </w:rPr>
        <w:t>Con</w:t>
      </w:r>
      <w:r>
        <w:rPr>
          <w:color w:val="231F20"/>
          <w:spacing w:val="-8"/>
          <w:w w:val="105"/>
        </w:rPr>
        <w:t> </w:t>
      </w:r>
      <w:r>
        <w:rPr>
          <w:color w:val="231F20"/>
          <w:w w:val="105"/>
        </w:rPr>
        <w:t>base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modelo</w:t>
      </w:r>
      <w:r>
        <w:rPr>
          <w:color w:val="231F20"/>
          <w:spacing w:val="-8"/>
          <w:w w:val="105"/>
        </w:rPr>
        <w:t> </w:t>
      </w:r>
      <w:r>
        <w:rPr>
          <w:color w:val="231F20"/>
          <w:w w:val="105"/>
        </w:rPr>
        <w:t>Deming,</w:t>
      </w:r>
      <w:r>
        <w:rPr>
          <w:color w:val="231F20"/>
          <w:spacing w:val="-15"/>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se</w:t>
      </w:r>
      <w:r>
        <w:rPr>
          <w:color w:val="231F20"/>
          <w:spacing w:val="-8"/>
          <w:w w:val="105"/>
        </w:rPr>
        <w:t> </w:t>
      </w:r>
      <w:r>
        <w:rPr>
          <w:color w:val="231F20"/>
          <w:w w:val="105"/>
        </w:rPr>
        <w:t>había</w:t>
      </w:r>
      <w:r>
        <w:rPr>
          <w:color w:val="231F20"/>
          <w:spacing w:val="-8"/>
          <w:w w:val="105"/>
        </w:rPr>
        <w:t> </w:t>
      </w:r>
      <w:r>
        <w:rPr>
          <w:color w:val="231F20"/>
          <w:w w:val="105"/>
        </w:rPr>
        <w:t>convertido</w:t>
      </w:r>
      <w:r>
        <w:rPr>
          <w:color w:val="231F20"/>
          <w:spacing w:val="-8"/>
          <w:w w:val="105"/>
        </w:rPr>
        <w:t> </w:t>
      </w:r>
      <w:r>
        <w:rPr>
          <w:color w:val="231F20"/>
          <w:w w:val="105"/>
        </w:rPr>
        <w:t>en</w:t>
      </w:r>
      <w:r>
        <w:rPr>
          <w:color w:val="231F20"/>
          <w:spacing w:val="-8"/>
          <w:w w:val="105"/>
        </w:rPr>
        <w:t> </w:t>
      </w:r>
      <w:r>
        <w:rPr>
          <w:color w:val="231F20"/>
          <w:w w:val="105"/>
        </w:rPr>
        <w:t>un factor</w:t>
      </w:r>
      <w:r>
        <w:rPr>
          <w:color w:val="231F20"/>
          <w:spacing w:val="-6"/>
          <w:w w:val="105"/>
        </w:rPr>
        <w:t> </w:t>
      </w:r>
      <w:r>
        <w:rPr>
          <w:color w:val="231F20"/>
          <w:w w:val="105"/>
        </w:rPr>
        <w:t>de</w:t>
      </w:r>
      <w:r>
        <w:rPr>
          <w:color w:val="231F20"/>
          <w:spacing w:val="-6"/>
          <w:w w:val="105"/>
        </w:rPr>
        <w:t> </w:t>
      </w:r>
      <w:r>
        <w:rPr>
          <w:color w:val="231F20"/>
          <w:w w:val="105"/>
        </w:rPr>
        <w:t>motivación</w:t>
      </w:r>
      <w:r>
        <w:rPr>
          <w:color w:val="231F20"/>
          <w:spacing w:val="-6"/>
          <w:w w:val="105"/>
        </w:rPr>
        <w:t> </w:t>
      </w:r>
      <w:r>
        <w:rPr>
          <w:color w:val="231F20"/>
          <w:w w:val="105"/>
        </w:rPr>
        <w:t>e</w:t>
      </w:r>
      <w:r>
        <w:rPr>
          <w:color w:val="231F20"/>
          <w:spacing w:val="-6"/>
          <w:w w:val="105"/>
        </w:rPr>
        <w:t> </w:t>
      </w:r>
      <w:r>
        <w:rPr>
          <w:color w:val="231F20"/>
          <w:w w:val="105"/>
        </w:rPr>
        <w:t>incremento</w:t>
      </w:r>
      <w:r>
        <w:rPr>
          <w:color w:val="231F20"/>
          <w:spacing w:val="-6"/>
          <w:w w:val="105"/>
        </w:rPr>
        <w:t> </w:t>
      </w:r>
      <w:r>
        <w:rPr>
          <w:color w:val="231F20"/>
          <w:w w:val="105"/>
        </w:rPr>
        <w:t>de</w:t>
      </w:r>
      <w:r>
        <w:rPr>
          <w:color w:val="231F20"/>
          <w:spacing w:val="-6"/>
          <w:w w:val="105"/>
        </w:rPr>
        <w:t> </w:t>
      </w:r>
      <w:r>
        <w:rPr>
          <w:color w:val="231F20"/>
          <w:w w:val="105"/>
        </w:rPr>
        <w:t>competitividad</w:t>
      </w:r>
      <w:r>
        <w:rPr>
          <w:color w:val="231F20"/>
          <w:spacing w:val="-6"/>
          <w:w w:val="105"/>
        </w:rPr>
        <w:t> </w:t>
      </w:r>
      <w:r>
        <w:rPr>
          <w:color w:val="231F20"/>
          <w:w w:val="105"/>
        </w:rPr>
        <w:t>para</w:t>
      </w:r>
      <w:r>
        <w:rPr>
          <w:color w:val="231F20"/>
          <w:spacing w:val="-6"/>
          <w:w w:val="105"/>
        </w:rPr>
        <w:t> </w:t>
      </w:r>
      <w:r>
        <w:rPr>
          <w:color w:val="231F20"/>
          <w:w w:val="105"/>
        </w:rPr>
        <w:t>las</w:t>
      </w:r>
      <w:r>
        <w:rPr>
          <w:color w:val="231F20"/>
          <w:spacing w:val="-6"/>
          <w:w w:val="105"/>
        </w:rPr>
        <w:t> </w:t>
      </w:r>
      <w:r>
        <w:rPr>
          <w:color w:val="231F20"/>
          <w:w w:val="105"/>
        </w:rPr>
        <w:t>empresas japonesas, el gobierno de Ronald Reagan instituyó el premio Malcolm Baldrige</w:t>
      </w:r>
      <w:r>
        <w:rPr>
          <w:color w:val="231F20"/>
          <w:spacing w:val="-20"/>
          <w:w w:val="105"/>
        </w:rPr>
        <w:t> </w:t>
      </w:r>
      <w:r>
        <w:rPr>
          <w:color w:val="231F20"/>
          <w:w w:val="105"/>
        </w:rPr>
        <w:t>en</w:t>
      </w:r>
      <w:r>
        <w:rPr>
          <w:color w:val="231F20"/>
          <w:spacing w:val="-20"/>
          <w:w w:val="105"/>
        </w:rPr>
        <w:t> </w:t>
      </w:r>
      <w:r>
        <w:rPr>
          <w:color w:val="231F20"/>
          <w:w w:val="105"/>
        </w:rPr>
        <w:t>1987</w:t>
      </w:r>
      <w:r>
        <w:rPr>
          <w:color w:val="231F20"/>
          <w:spacing w:val="-20"/>
          <w:w w:val="105"/>
        </w:rPr>
        <w:t> </w:t>
      </w:r>
      <w:r>
        <w:rPr>
          <w:color w:val="231F20"/>
          <w:w w:val="105"/>
        </w:rPr>
        <w:t>(Miranda,</w:t>
      </w:r>
      <w:r>
        <w:rPr>
          <w:color w:val="231F20"/>
          <w:spacing w:val="-25"/>
          <w:w w:val="105"/>
        </w:rPr>
        <w:t> </w:t>
      </w:r>
      <w:r>
        <w:rPr>
          <w:color w:val="231F20"/>
          <w:w w:val="105"/>
        </w:rPr>
        <w:t>Chamorro</w:t>
      </w:r>
      <w:r>
        <w:rPr>
          <w:color w:val="231F20"/>
          <w:spacing w:val="-20"/>
          <w:w w:val="105"/>
        </w:rPr>
        <w:t> </w:t>
      </w:r>
      <w:r>
        <w:rPr>
          <w:color w:val="231F20"/>
          <w:w w:val="105"/>
        </w:rPr>
        <w:t>y</w:t>
      </w:r>
      <w:r>
        <w:rPr>
          <w:color w:val="231F20"/>
          <w:spacing w:val="-20"/>
          <w:w w:val="105"/>
        </w:rPr>
        <w:t> </w:t>
      </w:r>
      <w:r>
        <w:rPr>
          <w:color w:val="231F20"/>
          <w:w w:val="105"/>
        </w:rPr>
        <w:t>Rubio,</w:t>
      </w:r>
      <w:r>
        <w:rPr>
          <w:color w:val="231F20"/>
          <w:spacing w:val="-25"/>
          <w:w w:val="105"/>
        </w:rPr>
        <w:t> </w:t>
      </w:r>
      <w:r>
        <w:rPr>
          <w:color w:val="231F20"/>
          <w:w w:val="105"/>
        </w:rPr>
        <w:t>2007).</w:t>
      </w:r>
      <w:r>
        <w:rPr>
          <w:color w:val="231F20"/>
          <w:spacing w:val="-25"/>
          <w:w w:val="105"/>
        </w:rPr>
        <w:t> </w:t>
      </w:r>
      <w:r>
        <w:rPr>
          <w:color w:val="231F20"/>
          <w:w w:val="105"/>
        </w:rPr>
        <w:t>En</w:t>
      </w:r>
      <w:r>
        <w:rPr>
          <w:color w:val="231F20"/>
          <w:spacing w:val="-20"/>
          <w:w w:val="105"/>
        </w:rPr>
        <w:t> </w:t>
      </w:r>
      <w:r>
        <w:rPr>
          <w:color w:val="231F20"/>
          <w:w w:val="105"/>
        </w:rPr>
        <w:t>este</w:t>
      </w:r>
      <w:r>
        <w:rPr>
          <w:color w:val="231F20"/>
          <w:spacing w:val="-20"/>
          <w:w w:val="105"/>
        </w:rPr>
        <w:t> </w:t>
      </w:r>
      <w:r>
        <w:rPr>
          <w:color w:val="231F20"/>
          <w:w w:val="105"/>
        </w:rPr>
        <w:t>modelo</w:t>
      </w:r>
      <w:r>
        <w:rPr>
          <w:color w:val="231F20"/>
          <w:spacing w:val="-20"/>
          <w:w w:val="105"/>
        </w:rPr>
        <w:t> </w:t>
      </w:r>
      <w:r>
        <w:rPr>
          <w:color w:val="231F20"/>
          <w:w w:val="105"/>
        </w:rPr>
        <w:t>se introducen</w:t>
      </w:r>
      <w:r>
        <w:rPr>
          <w:color w:val="231F20"/>
          <w:spacing w:val="-12"/>
          <w:w w:val="105"/>
        </w:rPr>
        <w:t> </w:t>
      </w:r>
      <w:r>
        <w:rPr>
          <w:color w:val="231F20"/>
          <w:w w:val="105"/>
        </w:rPr>
        <w:t>aspectos</w:t>
      </w:r>
      <w:r>
        <w:rPr>
          <w:color w:val="231F20"/>
          <w:spacing w:val="-12"/>
          <w:w w:val="105"/>
        </w:rPr>
        <w:t> </w:t>
      </w:r>
      <w:r>
        <w:rPr>
          <w:color w:val="231F20"/>
          <w:w w:val="105"/>
        </w:rPr>
        <w:t>novedosos</w:t>
      </w:r>
      <w:r>
        <w:rPr>
          <w:color w:val="231F20"/>
          <w:spacing w:val="-12"/>
          <w:w w:val="105"/>
        </w:rPr>
        <w:t> </w:t>
      </w:r>
      <w:r>
        <w:rPr>
          <w:color w:val="231F20"/>
          <w:w w:val="105"/>
        </w:rPr>
        <w:t>respecto</w:t>
      </w:r>
      <w:r>
        <w:rPr>
          <w:color w:val="231F20"/>
          <w:spacing w:val="-12"/>
          <w:w w:val="105"/>
        </w:rPr>
        <w:t> </w:t>
      </w:r>
      <w:r>
        <w:rPr>
          <w:color w:val="231F20"/>
          <w:w w:val="105"/>
        </w:rPr>
        <w:t>del</w:t>
      </w:r>
      <w:r>
        <w:rPr>
          <w:color w:val="231F20"/>
          <w:spacing w:val="-12"/>
          <w:w w:val="105"/>
        </w:rPr>
        <w:t> </w:t>
      </w:r>
      <w:r>
        <w:rPr>
          <w:color w:val="231F20"/>
          <w:w w:val="105"/>
        </w:rPr>
        <w:t>premio</w:t>
      </w:r>
      <w:r>
        <w:rPr>
          <w:color w:val="231F20"/>
          <w:spacing w:val="-12"/>
          <w:w w:val="105"/>
        </w:rPr>
        <w:t> </w:t>
      </w:r>
      <w:r>
        <w:rPr>
          <w:color w:val="231F20"/>
          <w:w w:val="105"/>
        </w:rPr>
        <w:t>japonés,</w:t>
      </w:r>
      <w:r>
        <w:rPr>
          <w:color w:val="231F20"/>
          <w:spacing w:val="-18"/>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no se centra únicamente en la eliminación de defectos, sino también en la creatividad</w:t>
      </w:r>
      <w:r>
        <w:rPr>
          <w:color w:val="231F20"/>
          <w:spacing w:val="-27"/>
          <w:w w:val="105"/>
        </w:rPr>
        <w:t> </w:t>
      </w:r>
      <w:r>
        <w:rPr>
          <w:color w:val="231F20"/>
          <w:w w:val="105"/>
        </w:rPr>
        <w:t>para</w:t>
      </w:r>
      <w:r>
        <w:rPr>
          <w:color w:val="231F20"/>
          <w:spacing w:val="-27"/>
          <w:w w:val="105"/>
        </w:rPr>
        <w:t> </w:t>
      </w:r>
      <w:r>
        <w:rPr>
          <w:color w:val="231F20"/>
          <w:w w:val="105"/>
        </w:rPr>
        <w:t>aumentar</w:t>
      </w:r>
      <w:r>
        <w:rPr>
          <w:color w:val="231F20"/>
          <w:spacing w:val="-27"/>
          <w:w w:val="105"/>
        </w:rPr>
        <w:t> </w:t>
      </w:r>
      <w:r>
        <w:rPr>
          <w:color w:val="231F20"/>
          <w:w w:val="105"/>
        </w:rPr>
        <w:t>la</w:t>
      </w:r>
      <w:r>
        <w:rPr>
          <w:color w:val="231F20"/>
          <w:spacing w:val="-27"/>
          <w:w w:val="105"/>
        </w:rPr>
        <w:t> </w:t>
      </w:r>
      <w:r>
        <w:rPr>
          <w:color w:val="231F20"/>
          <w:w w:val="105"/>
        </w:rPr>
        <w:t>satisfacción</w:t>
      </w:r>
      <w:r>
        <w:rPr>
          <w:color w:val="231F20"/>
          <w:spacing w:val="-27"/>
          <w:w w:val="105"/>
        </w:rPr>
        <w:t> </w:t>
      </w:r>
      <w:r>
        <w:rPr>
          <w:color w:val="231F20"/>
          <w:w w:val="105"/>
        </w:rPr>
        <w:t>del</w:t>
      </w:r>
      <w:r>
        <w:rPr>
          <w:color w:val="231F20"/>
          <w:spacing w:val="-27"/>
          <w:w w:val="105"/>
        </w:rPr>
        <w:t> </w:t>
      </w:r>
      <w:r>
        <w:rPr>
          <w:color w:val="231F20"/>
          <w:w w:val="105"/>
        </w:rPr>
        <w:t>cliente.</w:t>
      </w:r>
      <w:r>
        <w:rPr>
          <w:color w:val="231F20"/>
          <w:spacing w:val="-32"/>
          <w:w w:val="105"/>
        </w:rPr>
        <w:t> </w:t>
      </w:r>
      <w:r>
        <w:rPr>
          <w:color w:val="231F20"/>
          <w:w w:val="105"/>
        </w:rPr>
        <w:t>Se</w:t>
      </w:r>
      <w:r>
        <w:rPr>
          <w:color w:val="231F20"/>
          <w:spacing w:val="-27"/>
          <w:w w:val="105"/>
        </w:rPr>
        <w:t> </w:t>
      </w:r>
      <w:r>
        <w:rPr>
          <w:color w:val="231F20"/>
          <w:w w:val="105"/>
        </w:rPr>
        <w:t>incluye,</w:t>
      </w:r>
      <w:r>
        <w:rPr>
          <w:color w:val="231F20"/>
          <w:spacing w:val="-32"/>
          <w:w w:val="105"/>
        </w:rPr>
        <w:t> </w:t>
      </w:r>
      <w:r>
        <w:rPr>
          <w:color w:val="231F20"/>
          <w:w w:val="105"/>
        </w:rPr>
        <w:t>además, el</w:t>
      </w:r>
      <w:r>
        <w:rPr>
          <w:color w:val="231F20"/>
          <w:spacing w:val="-12"/>
          <w:w w:val="105"/>
        </w:rPr>
        <w:t> </w:t>
      </w:r>
      <w:r>
        <w:rPr>
          <w:color w:val="231F20"/>
          <w:w w:val="105"/>
        </w:rPr>
        <w:t>término</w:t>
      </w:r>
      <w:r>
        <w:rPr>
          <w:color w:val="231F20"/>
          <w:spacing w:val="-12"/>
          <w:w w:val="105"/>
        </w:rPr>
        <w:t> </w:t>
      </w:r>
      <w:r>
        <w:rPr>
          <w:color w:val="231F20"/>
          <w:w w:val="105"/>
        </w:rPr>
        <w:t>liderazgo</w:t>
      </w:r>
      <w:r>
        <w:rPr>
          <w:color w:val="231F20"/>
          <w:spacing w:val="-12"/>
          <w:w w:val="105"/>
        </w:rPr>
        <w:t> </w:t>
      </w:r>
      <w:r>
        <w:rPr>
          <w:color w:val="231F20"/>
          <w:w w:val="105"/>
        </w:rPr>
        <w:t>en</w:t>
      </w:r>
      <w:r>
        <w:rPr>
          <w:color w:val="231F20"/>
          <w:spacing w:val="-12"/>
          <w:w w:val="105"/>
        </w:rPr>
        <w:t> </w:t>
      </w:r>
      <w:r>
        <w:rPr>
          <w:color w:val="231F20"/>
          <w:w w:val="105"/>
        </w:rPr>
        <w:t>calidad,</w:t>
      </w:r>
      <w:r>
        <w:rPr>
          <w:color w:val="231F20"/>
          <w:spacing w:val="-19"/>
          <w:w w:val="105"/>
        </w:rPr>
        <w:t> </w:t>
      </w:r>
      <w:r>
        <w:rPr>
          <w:color w:val="231F20"/>
          <w:w w:val="105"/>
        </w:rPr>
        <w:t>para</w:t>
      </w:r>
      <w:r>
        <w:rPr>
          <w:color w:val="231F20"/>
          <w:spacing w:val="-12"/>
          <w:w w:val="105"/>
        </w:rPr>
        <w:t> </w:t>
      </w:r>
      <w:r>
        <w:rPr>
          <w:color w:val="231F20"/>
          <w:w w:val="105"/>
        </w:rPr>
        <w:t>enfatizar</w:t>
      </w:r>
      <w:r>
        <w:rPr>
          <w:color w:val="231F20"/>
          <w:spacing w:val="-12"/>
          <w:w w:val="105"/>
        </w:rPr>
        <w:t> </w:t>
      </w:r>
      <w:r>
        <w:rPr>
          <w:color w:val="231F20"/>
          <w:w w:val="105"/>
        </w:rPr>
        <w:t>la</w:t>
      </w:r>
      <w:r>
        <w:rPr>
          <w:color w:val="231F20"/>
          <w:spacing w:val="-12"/>
          <w:w w:val="105"/>
        </w:rPr>
        <w:t> </w:t>
      </w:r>
      <w:r>
        <w:rPr>
          <w:color w:val="231F20"/>
          <w:w w:val="105"/>
        </w:rPr>
        <w:t>importancia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figura del líder como</w:t>
      </w:r>
      <w:r>
        <w:rPr>
          <w:color w:val="231F20"/>
          <w:spacing w:val="-17"/>
          <w:w w:val="105"/>
        </w:rPr>
        <w:t> </w:t>
      </w:r>
      <w:r>
        <w:rPr>
          <w:color w:val="231F20"/>
          <w:w w:val="105"/>
        </w:rPr>
        <w:t>guía.</w:t>
      </w:r>
    </w:p>
    <w:p>
      <w:pPr>
        <w:pStyle w:val="BodyText"/>
        <w:spacing w:line="259" w:lineRule="auto"/>
        <w:ind w:left="103" w:right="115" w:firstLine="567"/>
        <w:jc w:val="both"/>
      </w:pPr>
      <w:r>
        <w:rPr>
          <w:color w:val="231F20"/>
          <w:w w:val="105"/>
        </w:rPr>
        <w:t>En</w:t>
      </w:r>
      <w:r>
        <w:rPr>
          <w:color w:val="231F20"/>
          <w:spacing w:val="-4"/>
          <w:w w:val="105"/>
        </w:rPr>
        <w:t> </w:t>
      </w:r>
      <w:r>
        <w:rPr>
          <w:color w:val="231F20"/>
          <w:w w:val="105"/>
        </w:rPr>
        <w:t>1991</w:t>
      </w:r>
      <w:r>
        <w:rPr>
          <w:color w:val="231F20"/>
          <w:spacing w:val="-4"/>
          <w:w w:val="105"/>
        </w:rPr>
        <w:t> </w:t>
      </w:r>
      <w:r>
        <w:rPr>
          <w:color w:val="231F20"/>
          <w:w w:val="105"/>
        </w:rPr>
        <w:t>es</w:t>
      </w:r>
      <w:r>
        <w:rPr>
          <w:color w:val="231F20"/>
          <w:spacing w:val="-4"/>
          <w:w w:val="105"/>
        </w:rPr>
        <w:t> </w:t>
      </w:r>
      <w:r>
        <w:rPr>
          <w:color w:val="231F20"/>
          <w:w w:val="105"/>
        </w:rPr>
        <w:t>creado</w:t>
      </w:r>
      <w:r>
        <w:rPr>
          <w:color w:val="231F20"/>
          <w:spacing w:val="-4"/>
          <w:w w:val="105"/>
        </w:rPr>
        <w:t> </w:t>
      </w:r>
      <w:r>
        <w:rPr>
          <w:color w:val="231F20"/>
          <w:w w:val="105"/>
        </w:rPr>
        <w:t>el</w:t>
      </w:r>
      <w:r>
        <w:rPr>
          <w:color w:val="231F20"/>
          <w:spacing w:val="-4"/>
          <w:w w:val="105"/>
        </w:rPr>
        <w:t> </w:t>
      </w:r>
      <w:r>
        <w:rPr>
          <w:color w:val="231F20"/>
          <w:w w:val="105"/>
        </w:rPr>
        <w:t>Modelo</w:t>
      </w:r>
      <w:r>
        <w:rPr>
          <w:color w:val="231F20"/>
          <w:spacing w:val="-4"/>
          <w:w w:val="105"/>
        </w:rPr>
        <w:t> </w:t>
      </w:r>
      <w:r>
        <w:rPr>
          <w:color w:val="231F20"/>
          <w:w w:val="105"/>
        </w:rPr>
        <w:t>de</w:t>
      </w:r>
      <w:r>
        <w:rPr>
          <w:color w:val="231F20"/>
          <w:spacing w:val="-4"/>
          <w:w w:val="105"/>
        </w:rPr>
        <w:t> </w:t>
      </w:r>
      <w:r>
        <w:rPr>
          <w:color w:val="231F20"/>
          <w:w w:val="105"/>
        </w:rPr>
        <w:t>excelencia</w:t>
      </w:r>
      <w:r>
        <w:rPr>
          <w:color w:val="231F20"/>
          <w:spacing w:val="-4"/>
          <w:w w:val="105"/>
        </w:rPr>
        <w:t> </w:t>
      </w:r>
      <w:r>
        <w:rPr>
          <w:color w:val="231F20"/>
          <w:w w:val="105"/>
        </w:rPr>
        <w:t>por</w:t>
      </w:r>
      <w:r>
        <w:rPr>
          <w:color w:val="231F20"/>
          <w:spacing w:val="-4"/>
          <w:w w:val="105"/>
        </w:rPr>
        <w:t> </w:t>
      </w:r>
      <w:r>
        <w:rPr>
          <w:color w:val="231F20"/>
          <w:w w:val="105"/>
        </w:rPr>
        <w:t>la</w:t>
      </w:r>
      <w:r>
        <w:rPr>
          <w:color w:val="231F20"/>
          <w:spacing w:val="-4"/>
          <w:w w:val="105"/>
        </w:rPr>
        <w:t> </w:t>
      </w:r>
      <w:r>
        <w:rPr>
          <w:color w:val="231F20"/>
          <w:w w:val="105"/>
        </w:rPr>
        <w:t>Fundación</w:t>
      </w:r>
      <w:r>
        <w:rPr>
          <w:color w:val="231F20"/>
          <w:spacing w:val="-4"/>
          <w:w w:val="105"/>
        </w:rPr>
        <w:t> </w:t>
      </w:r>
      <w:r>
        <w:rPr>
          <w:color w:val="231F20"/>
          <w:w w:val="105"/>
        </w:rPr>
        <w:t>Eu- ropea para la Gestión de la Calidad (EFQM), el cual ha sido revisado y actualizado</w:t>
      </w:r>
      <w:r>
        <w:rPr>
          <w:color w:val="231F20"/>
          <w:spacing w:val="-15"/>
          <w:w w:val="105"/>
        </w:rPr>
        <w:t> </w:t>
      </w:r>
      <w:r>
        <w:rPr>
          <w:color w:val="231F20"/>
          <w:w w:val="105"/>
        </w:rPr>
        <w:t>en</w:t>
      </w:r>
      <w:r>
        <w:rPr>
          <w:color w:val="231F20"/>
          <w:spacing w:val="-15"/>
          <w:w w:val="105"/>
        </w:rPr>
        <w:t> </w:t>
      </w:r>
      <w:r>
        <w:rPr>
          <w:color w:val="231F20"/>
          <w:w w:val="105"/>
        </w:rPr>
        <w:t>1999,</w:t>
      </w:r>
      <w:r>
        <w:rPr>
          <w:color w:val="231F20"/>
          <w:spacing w:val="-20"/>
          <w:w w:val="105"/>
        </w:rPr>
        <w:t> </w:t>
      </w:r>
      <w:r>
        <w:rPr>
          <w:color w:val="231F20"/>
          <w:w w:val="105"/>
        </w:rPr>
        <w:t>2003</w:t>
      </w:r>
      <w:r>
        <w:rPr>
          <w:color w:val="231F20"/>
          <w:spacing w:val="-15"/>
          <w:w w:val="105"/>
        </w:rPr>
        <w:t> </w:t>
      </w:r>
      <w:r>
        <w:rPr>
          <w:color w:val="231F20"/>
          <w:w w:val="105"/>
        </w:rPr>
        <w:t>y</w:t>
      </w:r>
      <w:r>
        <w:rPr>
          <w:color w:val="231F20"/>
          <w:spacing w:val="-15"/>
          <w:w w:val="105"/>
        </w:rPr>
        <w:t> </w:t>
      </w:r>
      <w:r>
        <w:rPr>
          <w:color w:val="231F20"/>
          <w:w w:val="105"/>
        </w:rPr>
        <w:t>2009.</w:t>
      </w:r>
      <w:r>
        <w:rPr>
          <w:color w:val="231F20"/>
          <w:spacing w:val="-20"/>
          <w:w w:val="105"/>
        </w:rPr>
        <w:t> </w:t>
      </w:r>
      <w:r>
        <w:rPr>
          <w:color w:val="231F20"/>
          <w:w w:val="105"/>
        </w:rPr>
        <w:t>Este</w:t>
      </w:r>
      <w:r>
        <w:rPr>
          <w:color w:val="231F20"/>
          <w:spacing w:val="-15"/>
          <w:w w:val="105"/>
        </w:rPr>
        <w:t> </w:t>
      </w:r>
      <w:r>
        <w:rPr>
          <w:color w:val="231F20"/>
          <w:w w:val="105"/>
        </w:rPr>
        <w:t>modelo</w:t>
      </w:r>
      <w:r>
        <w:rPr>
          <w:color w:val="231F20"/>
          <w:spacing w:val="-15"/>
          <w:w w:val="105"/>
        </w:rPr>
        <w:t> </w:t>
      </w:r>
      <w:r>
        <w:rPr>
          <w:color w:val="231F20"/>
          <w:w w:val="105"/>
        </w:rPr>
        <w:t>parte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utilización</w:t>
      </w:r>
      <w:r>
        <w:rPr>
          <w:color w:val="231F20"/>
          <w:spacing w:val="-15"/>
          <w:w w:val="105"/>
        </w:rPr>
        <w:t> </w:t>
      </w:r>
      <w:r>
        <w:rPr>
          <w:color w:val="231F20"/>
          <w:w w:val="105"/>
        </w:rPr>
        <w:t>de los</w:t>
      </w:r>
      <w:r>
        <w:rPr>
          <w:color w:val="231F20"/>
          <w:spacing w:val="-22"/>
          <w:w w:val="105"/>
        </w:rPr>
        <w:t> </w:t>
      </w:r>
      <w:r>
        <w:rPr>
          <w:color w:val="231F20"/>
          <w:w w:val="105"/>
        </w:rPr>
        <w:t>procesos</w:t>
      </w:r>
      <w:r>
        <w:rPr>
          <w:color w:val="231F20"/>
          <w:spacing w:val="-22"/>
          <w:w w:val="105"/>
        </w:rPr>
        <w:t> </w:t>
      </w:r>
      <w:r>
        <w:rPr>
          <w:color w:val="231F20"/>
          <w:w w:val="105"/>
        </w:rPr>
        <w:t>como</w:t>
      </w:r>
      <w:r>
        <w:rPr>
          <w:color w:val="231F20"/>
          <w:spacing w:val="-22"/>
          <w:w w:val="105"/>
        </w:rPr>
        <w:t> </w:t>
      </w:r>
      <w:r>
        <w:rPr>
          <w:color w:val="231F20"/>
          <w:w w:val="105"/>
        </w:rPr>
        <w:t>vías</w:t>
      </w:r>
      <w:r>
        <w:rPr>
          <w:color w:val="231F20"/>
          <w:spacing w:val="-22"/>
          <w:w w:val="105"/>
        </w:rPr>
        <w:t> </w:t>
      </w:r>
      <w:r>
        <w:rPr>
          <w:color w:val="231F20"/>
          <w:w w:val="105"/>
        </w:rPr>
        <w:t>a</w:t>
      </w:r>
      <w:r>
        <w:rPr>
          <w:color w:val="231F20"/>
          <w:spacing w:val="-22"/>
          <w:w w:val="105"/>
        </w:rPr>
        <w:t> </w:t>
      </w:r>
      <w:r>
        <w:rPr>
          <w:color w:val="231F20"/>
          <w:w w:val="105"/>
        </w:rPr>
        <w:t>través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la</w:t>
      </w:r>
      <w:r>
        <w:rPr>
          <w:color w:val="231F20"/>
          <w:spacing w:val="-22"/>
          <w:w w:val="105"/>
        </w:rPr>
        <w:t> </w:t>
      </w:r>
      <w:r>
        <w:rPr>
          <w:color w:val="231F20"/>
          <w:w w:val="105"/>
        </w:rPr>
        <w:t>empresa</w:t>
      </w:r>
      <w:r>
        <w:rPr>
          <w:color w:val="231F20"/>
          <w:spacing w:val="-22"/>
          <w:w w:val="105"/>
        </w:rPr>
        <w:t> </w:t>
      </w:r>
      <w:r>
        <w:rPr>
          <w:color w:val="231F20"/>
          <w:w w:val="105"/>
        </w:rPr>
        <w:t>encauza</w:t>
      </w:r>
      <w:r>
        <w:rPr>
          <w:color w:val="231F20"/>
          <w:spacing w:val="-22"/>
          <w:w w:val="105"/>
        </w:rPr>
        <w:t> </w:t>
      </w:r>
      <w:r>
        <w:rPr>
          <w:color w:val="231F20"/>
          <w:w w:val="105"/>
        </w:rPr>
        <w:t>y</w:t>
      </w:r>
      <w:r>
        <w:rPr>
          <w:color w:val="231F20"/>
          <w:spacing w:val="-22"/>
          <w:w w:val="105"/>
        </w:rPr>
        <w:t> </w:t>
      </w:r>
      <w:r>
        <w:rPr>
          <w:color w:val="231F20"/>
          <w:w w:val="105"/>
        </w:rPr>
        <w:t>libe- ra las aptitudes de su personal con el fin de obtener ciertos resultados (Benavides</w:t>
      </w:r>
      <w:r>
        <w:rPr>
          <w:color w:val="231F20"/>
          <w:spacing w:val="-42"/>
          <w:w w:val="105"/>
        </w:rPr>
        <w:t> </w:t>
      </w:r>
      <w:r>
        <w:rPr>
          <w:color w:val="231F20"/>
          <w:w w:val="105"/>
        </w:rPr>
        <w:t>y</w:t>
      </w:r>
      <w:r>
        <w:rPr>
          <w:color w:val="231F20"/>
          <w:spacing w:val="-42"/>
          <w:w w:val="105"/>
        </w:rPr>
        <w:t> </w:t>
      </w:r>
      <w:r>
        <w:rPr>
          <w:color w:val="231F20"/>
          <w:w w:val="105"/>
        </w:rPr>
        <w:t>Quintana,</w:t>
      </w:r>
      <w:r>
        <w:rPr>
          <w:color w:val="231F20"/>
          <w:spacing w:val="-45"/>
          <w:w w:val="105"/>
        </w:rPr>
        <w:t> </w:t>
      </w:r>
      <w:r>
        <w:rPr>
          <w:color w:val="231F20"/>
          <w:w w:val="105"/>
        </w:rPr>
        <w:t>2003).</w:t>
      </w:r>
    </w:p>
    <w:p>
      <w:pPr>
        <w:pStyle w:val="BodyText"/>
        <w:spacing w:line="259" w:lineRule="auto"/>
        <w:ind w:left="103" w:right="114" w:firstLine="567"/>
        <w:jc w:val="both"/>
      </w:pPr>
      <w:r>
        <w:rPr>
          <w:color w:val="231F20"/>
          <w:w w:val="105"/>
        </w:rPr>
        <w:t>El modelo está integrado por nueve criterios que evalúan el pro- greso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organización</w:t>
      </w:r>
      <w:r>
        <w:rPr>
          <w:color w:val="231F20"/>
          <w:spacing w:val="-12"/>
          <w:w w:val="105"/>
        </w:rPr>
        <w:t> </w:t>
      </w:r>
      <w:r>
        <w:rPr>
          <w:color w:val="231F20"/>
          <w:w w:val="105"/>
        </w:rPr>
        <w:t>hacia</w:t>
      </w:r>
      <w:r>
        <w:rPr>
          <w:color w:val="231F20"/>
          <w:spacing w:val="-12"/>
          <w:w w:val="105"/>
        </w:rPr>
        <w:t> </w:t>
      </w:r>
      <w:r>
        <w:rPr>
          <w:color w:val="231F20"/>
          <w:w w:val="105"/>
        </w:rPr>
        <w:t>la</w:t>
      </w:r>
      <w:r>
        <w:rPr>
          <w:color w:val="231F20"/>
          <w:spacing w:val="-12"/>
          <w:w w:val="105"/>
        </w:rPr>
        <w:t> </w:t>
      </w:r>
      <w:r>
        <w:rPr>
          <w:color w:val="231F20"/>
          <w:w w:val="105"/>
        </w:rPr>
        <w:t>excelencia:</w:t>
      </w:r>
      <w:r>
        <w:rPr>
          <w:color w:val="231F20"/>
          <w:spacing w:val="-12"/>
          <w:w w:val="105"/>
        </w:rPr>
        <w:t> </w:t>
      </w:r>
      <w:r>
        <w:rPr>
          <w:color w:val="231F20"/>
          <w:w w:val="105"/>
        </w:rPr>
        <w:t>cinco</w:t>
      </w:r>
      <w:r>
        <w:rPr>
          <w:color w:val="231F20"/>
          <w:spacing w:val="-12"/>
          <w:w w:val="105"/>
        </w:rPr>
        <w:t> </w:t>
      </w:r>
      <w:r>
        <w:rPr>
          <w:color w:val="231F20"/>
          <w:w w:val="105"/>
        </w:rPr>
        <w:t>agentes</w:t>
      </w:r>
      <w:r>
        <w:rPr>
          <w:color w:val="231F20"/>
          <w:spacing w:val="-12"/>
          <w:w w:val="105"/>
        </w:rPr>
        <w:t> </w:t>
      </w:r>
      <w:r>
        <w:rPr>
          <w:color w:val="231F20"/>
          <w:w w:val="105"/>
        </w:rPr>
        <w:t>que</w:t>
      </w:r>
      <w:r>
        <w:rPr>
          <w:color w:val="231F20"/>
          <w:spacing w:val="-12"/>
          <w:w w:val="105"/>
        </w:rPr>
        <w:t> </w:t>
      </w:r>
      <w:r>
        <w:rPr>
          <w:color w:val="231F20"/>
          <w:w w:val="105"/>
        </w:rPr>
        <w:t>ofrecen un</w:t>
      </w:r>
      <w:r>
        <w:rPr>
          <w:color w:val="231F20"/>
          <w:spacing w:val="-15"/>
          <w:w w:val="105"/>
        </w:rPr>
        <w:t> </w:t>
      </w:r>
      <w:r>
        <w:rPr>
          <w:color w:val="231F20"/>
          <w:w w:val="105"/>
        </w:rPr>
        <w:t>enfoque</w:t>
      </w:r>
      <w:r>
        <w:rPr>
          <w:color w:val="231F20"/>
          <w:spacing w:val="-15"/>
          <w:w w:val="105"/>
        </w:rPr>
        <w:t> </w:t>
      </w:r>
      <w:r>
        <w:rPr>
          <w:color w:val="231F20"/>
          <w:w w:val="105"/>
        </w:rPr>
        <w:t>relevante</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logro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excelencia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organización;</w:t>
      </w:r>
      <w:r>
        <w:rPr>
          <w:color w:val="231F20"/>
          <w:spacing w:val="-15"/>
          <w:w w:val="105"/>
        </w:rPr>
        <w:t> </w:t>
      </w:r>
      <w:r>
        <w:rPr>
          <w:color w:val="231F20"/>
          <w:w w:val="105"/>
        </w:rPr>
        <w:t>y cuatro</w:t>
      </w:r>
      <w:r>
        <w:rPr>
          <w:color w:val="231F20"/>
          <w:spacing w:val="-15"/>
          <w:w w:val="105"/>
        </w:rPr>
        <w:t> </w:t>
      </w:r>
      <w:r>
        <w:rPr>
          <w:color w:val="231F20"/>
          <w:w w:val="105"/>
        </w:rPr>
        <w:t>criterios</w:t>
      </w:r>
      <w:r>
        <w:rPr>
          <w:color w:val="231F20"/>
          <w:spacing w:val="-15"/>
          <w:w w:val="105"/>
        </w:rPr>
        <w:t> </w:t>
      </w:r>
      <w:r>
        <w:rPr>
          <w:color w:val="231F20"/>
          <w:w w:val="105"/>
        </w:rPr>
        <w:t>resultados</w:t>
      </w:r>
      <w:r>
        <w:rPr>
          <w:color w:val="231F20"/>
          <w:spacing w:val="-15"/>
          <w:w w:val="105"/>
        </w:rPr>
        <w:t> </w:t>
      </w:r>
      <w:r>
        <w:rPr>
          <w:color w:val="231F20"/>
          <w:w w:val="105"/>
        </w:rPr>
        <w:t>que</w:t>
      </w:r>
      <w:r>
        <w:rPr>
          <w:color w:val="231F20"/>
          <w:spacing w:val="-15"/>
          <w:w w:val="105"/>
        </w:rPr>
        <w:t> </w:t>
      </w:r>
      <w:r>
        <w:rPr>
          <w:color w:val="231F20"/>
          <w:w w:val="105"/>
        </w:rPr>
        <w:t>sirven</w:t>
      </w:r>
      <w:r>
        <w:rPr>
          <w:color w:val="231F20"/>
          <w:spacing w:val="-15"/>
          <w:w w:val="105"/>
        </w:rPr>
        <w:t> </w:t>
      </w:r>
      <w:r>
        <w:rPr>
          <w:color w:val="231F20"/>
          <w:w w:val="105"/>
        </w:rPr>
        <w:t>para</w:t>
      </w:r>
      <w:r>
        <w:rPr>
          <w:color w:val="231F20"/>
          <w:spacing w:val="-15"/>
          <w:w w:val="105"/>
        </w:rPr>
        <w:t> </w:t>
      </w:r>
      <w:r>
        <w:rPr>
          <w:color w:val="231F20"/>
          <w:w w:val="105"/>
        </w:rPr>
        <w:t>evaluar</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está</w:t>
      </w:r>
      <w:r>
        <w:rPr>
          <w:color w:val="231F20"/>
          <w:spacing w:val="-15"/>
          <w:w w:val="105"/>
        </w:rPr>
        <w:t> </w:t>
      </w:r>
      <w:r>
        <w:rPr>
          <w:color w:val="231F20"/>
          <w:w w:val="105"/>
        </w:rPr>
        <w:t>logran- do con respecto a la excelencia, entendida ésta como la disponibilidad de</w:t>
      </w:r>
      <w:r>
        <w:rPr>
          <w:color w:val="231F20"/>
          <w:spacing w:val="-12"/>
          <w:w w:val="105"/>
        </w:rPr>
        <w:t> </w:t>
      </w:r>
      <w:r>
        <w:rPr>
          <w:color w:val="231F20"/>
          <w:w w:val="105"/>
        </w:rPr>
        <w:t>un</w:t>
      </w:r>
      <w:r>
        <w:rPr>
          <w:color w:val="231F20"/>
          <w:spacing w:val="-12"/>
          <w:w w:val="105"/>
        </w:rPr>
        <w:t> </w:t>
      </w:r>
      <w:r>
        <w:rPr>
          <w:color w:val="231F20"/>
          <w:w w:val="105"/>
        </w:rPr>
        <w:t>sistema</w:t>
      </w:r>
      <w:r>
        <w:rPr>
          <w:color w:val="231F20"/>
          <w:spacing w:val="-12"/>
          <w:w w:val="105"/>
        </w:rPr>
        <w:t> </w:t>
      </w:r>
      <w:r>
        <w:rPr>
          <w:color w:val="231F20"/>
          <w:w w:val="105"/>
        </w:rPr>
        <w:t>de</w:t>
      </w:r>
      <w:r>
        <w:rPr>
          <w:color w:val="231F20"/>
          <w:spacing w:val="-12"/>
          <w:w w:val="105"/>
        </w:rPr>
        <w:t> </w:t>
      </w:r>
      <w:r>
        <w:rPr>
          <w:color w:val="231F20"/>
          <w:w w:val="105"/>
        </w:rPr>
        <w:t>aseguramiento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requisitos</w:t>
      </w:r>
      <w:r>
        <w:rPr>
          <w:color w:val="231F20"/>
          <w:spacing w:val="-12"/>
          <w:w w:val="105"/>
        </w:rPr>
        <w:t> </w:t>
      </w:r>
      <w:r>
        <w:rPr>
          <w:color w:val="231F20"/>
          <w:w w:val="105"/>
        </w:rPr>
        <w:t>de</w:t>
      </w:r>
      <w:r>
        <w:rPr>
          <w:color w:val="231F20"/>
          <w:spacing w:val="-12"/>
          <w:w w:val="105"/>
        </w:rPr>
        <w:t> </w:t>
      </w:r>
      <w:r>
        <w:rPr>
          <w:color w:val="231F20"/>
          <w:w w:val="105"/>
        </w:rPr>
        <w:t>calidad</w:t>
      </w:r>
      <w:r>
        <w:rPr>
          <w:color w:val="231F20"/>
          <w:spacing w:val="-12"/>
          <w:w w:val="105"/>
        </w:rPr>
        <w:t> </w:t>
      </w:r>
      <w:r>
        <w:rPr>
          <w:color w:val="231F20"/>
          <w:w w:val="105"/>
        </w:rPr>
        <w:t>de</w:t>
      </w:r>
      <w:r>
        <w:rPr>
          <w:color w:val="231F20"/>
          <w:spacing w:val="-12"/>
          <w:w w:val="105"/>
        </w:rPr>
        <w:t> </w:t>
      </w:r>
      <w:r>
        <w:rPr>
          <w:color w:val="231F20"/>
          <w:w w:val="105"/>
        </w:rPr>
        <w:t>produc- tos</w:t>
      </w:r>
      <w:r>
        <w:rPr>
          <w:color w:val="231F20"/>
          <w:spacing w:val="-22"/>
          <w:w w:val="105"/>
        </w:rPr>
        <w:t> </w:t>
      </w:r>
      <w:r>
        <w:rPr>
          <w:color w:val="231F20"/>
          <w:w w:val="105"/>
        </w:rPr>
        <w:t>y</w:t>
      </w:r>
      <w:r>
        <w:rPr>
          <w:color w:val="231F20"/>
          <w:spacing w:val="-22"/>
          <w:w w:val="105"/>
        </w:rPr>
        <w:t> </w:t>
      </w:r>
      <w:r>
        <w:rPr>
          <w:color w:val="231F20"/>
          <w:w w:val="105"/>
        </w:rPr>
        <w:t>servicios</w:t>
      </w:r>
      <w:r>
        <w:rPr>
          <w:color w:val="231F20"/>
          <w:spacing w:val="-22"/>
          <w:w w:val="105"/>
        </w:rPr>
        <w:t> </w:t>
      </w:r>
      <w:r>
        <w:rPr>
          <w:color w:val="231F20"/>
          <w:w w:val="105"/>
        </w:rPr>
        <w:t>(Martín</w:t>
      </w:r>
      <w:r>
        <w:rPr>
          <w:color w:val="231F20"/>
          <w:spacing w:val="-22"/>
          <w:w w:val="105"/>
        </w:rPr>
        <w:t> </w:t>
      </w:r>
      <w:r>
        <w:rPr>
          <w:color w:val="231F20"/>
          <w:w w:val="105"/>
        </w:rPr>
        <w:t>y</w:t>
      </w:r>
      <w:r>
        <w:rPr>
          <w:color w:val="231F20"/>
          <w:spacing w:val="-22"/>
          <w:w w:val="105"/>
        </w:rPr>
        <w:t> </w:t>
      </w:r>
      <w:r>
        <w:rPr>
          <w:color w:val="231F20"/>
          <w:w w:val="105"/>
        </w:rPr>
        <w:t>Rodríguez,</w:t>
      </w:r>
      <w:r>
        <w:rPr>
          <w:color w:val="231F20"/>
          <w:spacing w:val="-27"/>
          <w:w w:val="105"/>
        </w:rPr>
        <w:t> </w:t>
      </w:r>
      <w:r>
        <w:rPr>
          <w:color w:val="231F20"/>
          <w:w w:val="105"/>
        </w:rPr>
        <w:t>2008).</w:t>
      </w:r>
      <w:r>
        <w:rPr>
          <w:color w:val="231F20"/>
          <w:spacing w:val="-27"/>
          <w:w w:val="105"/>
        </w:rPr>
        <w:t> </w:t>
      </w:r>
      <w:r>
        <w:rPr>
          <w:color w:val="231F20"/>
          <w:w w:val="105"/>
        </w:rPr>
        <w:t>Cada</w:t>
      </w:r>
      <w:r>
        <w:rPr>
          <w:color w:val="231F20"/>
          <w:spacing w:val="-22"/>
          <w:w w:val="105"/>
        </w:rPr>
        <w:t> </w:t>
      </w:r>
      <w:r>
        <w:rPr>
          <w:color w:val="231F20"/>
          <w:w w:val="105"/>
        </w:rPr>
        <w:t>uno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criterios</w:t>
      </w:r>
      <w:r>
        <w:rPr>
          <w:color w:val="231F20"/>
          <w:spacing w:val="-22"/>
          <w:w w:val="105"/>
        </w:rPr>
        <w:t> </w:t>
      </w:r>
      <w:r>
        <w:rPr>
          <w:color w:val="231F20"/>
          <w:w w:val="105"/>
        </w:rPr>
        <w:t>tiene un peso que da un total de 100% (1000 puntos distribuidos en agen- tes</w:t>
      </w:r>
      <w:r>
        <w:rPr>
          <w:color w:val="231F20"/>
          <w:spacing w:val="-7"/>
          <w:w w:val="105"/>
        </w:rPr>
        <w:t> </w:t>
      </w:r>
      <w:r>
        <w:rPr>
          <w:color w:val="231F20"/>
          <w:w w:val="105"/>
        </w:rPr>
        <w:t>y</w:t>
      </w:r>
      <w:r>
        <w:rPr>
          <w:color w:val="231F20"/>
          <w:spacing w:val="-7"/>
          <w:w w:val="105"/>
        </w:rPr>
        <w:t> </w:t>
      </w:r>
      <w:r>
        <w:rPr>
          <w:color w:val="231F20"/>
          <w:w w:val="105"/>
        </w:rPr>
        <w:t>resultados).</w:t>
      </w:r>
      <w:r>
        <w:rPr>
          <w:color w:val="231F20"/>
          <w:spacing w:val="-12"/>
          <w:w w:val="105"/>
        </w:rPr>
        <w:t> </w:t>
      </w:r>
      <w:r>
        <w:rPr>
          <w:color w:val="231F20"/>
          <w:w w:val="105"/>
        </w:rPr>
        <w:t>El</w:t>
      </w:r>
      <w:r>
        <w:rPr>
          <w:color w:val="231F20"/>
          <w:spacing w:val="-7"/>
          <w:w w:val="105"/>
        </w:rPr>
        <w:t> </w:t>
      </w:r>
      <w:r>
        <w:rPr>
          <w:color w:val="231F20"/>
          <w:w w:val="105"/>
        </w:rPr>
        <w:t>modelo</w:t>
      </w:r>
      <w:r>
        <w:rPr>
          <w:color w:val="231F20"/>
          <w:spacing w:val="-7"/>
          <w:w w:val="105"/>
        </w:rPr>
        <w:t> </w:t>
      </w:r>
      <w:r>
        <w:rPr>
          <w:color w:val="231F20"/>
          <w:w w:val="105"/>
        </w:rPr>
        <w:t>EFQM</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adaptado</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gestión</w:t>
      </w:r>
      <w:r>
        <w:rPr>
          <w:color w:val="231F20"/>
          <w:spacing w:val="-7"/>
          <w:w w:val="105"/>
        </w:rPr>
        <w:t> </w:t>
      </w:r>
      <w:r>
        <w:rPr>
          <w:color w:val="231F20"/>
          <w:w w:val="105"/>
        </w:rPr>
        <w:t>de pequeñas y medianas empresas, servicios de administración pública e instituciones</w:t>
      </w:r>
      <w:r>
        <w:rPr>
          <w:color w:val="231F20"/>
          <w:spacing w:val="-32"/>
          <w:w w:val="105"/>
        </w:rPr>
        <w:t> </w:t>
      </w:r>
      <w:r>
        <w:rPr>
          <w:color w:val="231F20"/>
          <w:w w:val="105"/>
        </w:rPr>
        <w:t>educativas</w:t>
      </w:r>
      <w:r>
        <w:rPr>
          <w:color w:val="231F20"/>
          <w:spacing w:val="-32"/>
          <w:w w:val="105"/>
        </w:rPr>
        <w:t> </w:t>
      </w:r>
      <w:r>
        <w:rPr>
          <w:color w:val="231F20"/>
          <w:w w:val="105"/>
        </w:rPr>
        <w:t>(Corma,</w:t>
      </w:r>
      <w:r>
        <w:rPr>
          <w:color w:val="231F20"/>
          <w:spacing w:val="-37"/>
          <w:w w:val="105"/>
        </w:rPr>
        <w:t> </w:t>
      </w:r>
      <w:r>
        <w:rPr>
          <w:color w:val="231F20"/>
          <w:w w:val="105"/>
        </w:rPr>
        <w:t>2005;</w:t>
      </w:r>
      <w:r>
        <w:rPr>
          <w:color w:val="231F20"/>
          <w:spacing w:val="-32"/>
          <w:w w:val="105"/>
        </w:rPr>
        <w:t> </w:t>
      </w:r>
      <w:r>
        <w:rPr>
          <w:color w:val="231F20"/>
          <w:w w:val="105"/>
        </w:rPr>
        <w:t>Ministerio</w:t>
      </w:r>
      <w:r>
        <w:rPr>
          <w:color w:val="231F20"/>
          <w:spacing w:val="-32"/>
          <w:w w:val="105"/>
        </w:rPr>
        <w:t> </w:t>
      </w:r>
      <w:r>
        <w:rPr>
          <w:color w:val="231F20"/>
          <w:w w:val="105"/>
        </w:rPr>
        <w:t>Español</w:t>
      </w:r>
      <w:r>
        <w:rPr>
          <w:color w:val="231F20"/>
          <w:spacing w:val="-32"/>
          <w:w w:val="105"/>
        </w:rPr>
        <w:t> </w:t>
      </w:r>
      <w:r>
        <w:rPr>
          <w:color w:val="231F20"/>
          <w:w w:val="105"/>
        </w:rPr>
        <w:t>de</w:t>
      </w:r>
      <w:r>
        <w:rPr>
          <w:color w:val="231F20"/>
          <w:spacing w:val="-35"/>
          <w:w w:val="105"/>
        </w:rPr>
        <w:t> </w:t>
      </w:r>
      <w:r>
        <w:rPr>
          <w:color w:val="231F20"/>
          <w:w w:val="105"/>
        </w:rPr>
        <w:t>Administra- ciones</w:t>
      </w:r>
      <w:r>
        <w:rPr>
          <w:color w:val="231F20"/>
          <w:spacing w:val="-42"/>
          <w:w w:val="105"/>
        </w:rPr>
        <w:t> </w:t>
      </w:r>
      <w:r>
        <w:rPr>
          <w:color w:val="231F20"/>
          <w:w w:val="105"/>
        </w:rPr>
        <w:t>Públicas,</w:t>
      </w:r>
      <w:r>
        <w:rPr>
          <w:color w:val="231F20"/>
          <w:spacing w:val="-45"/>
          <w:w w:val="105"/>
        </w:rPr>
        <w:t> </w:t>
      </w:r>
      <w:r>
        <w:rPr>
          <w:color w:val="231F20"/>
          <w:w w:val="105"/>
        </w:rPr>
        <w:t>2006;</w:t>
      </w:r>
      <w:r>
        <w:rPr>
          <w:color w:val="231F20"/>
          <w:spacing w:val="-42"/>
          <w:w w:val="105"/>
        </w:rPr>
        <w:t> </w:t>
      </w:r>
      <w:r>
        <w:rPr>
          <w:color w:val="231F20"/>
          <w:w w:val="105"/>
        </w:rPr>
        <w:t>Steed,</w:t>
      </w:r>
      <w:r>
        <w:rPr>
          <w:color w:val="231F20"/>
          <w:spacing w:val="-45"/>
          <w:w w:val="105"/>
        </w:rPr>
        <w:t> </w:t>
      </w:r>
      <w:r>
        <w:rPr>
          <w:color w:val="231F20"/>
          <w:w w:val="105"/>
        </w:rPr>
        <w:t>2003).</w:t>
      </w:r>
    </w:p>
    <w:p>
      <w:pPr>
        <w:pStyle w:val="BodyText"/>
        <w:spacing w:line="259" w:lineRule="auto"/>
        <w:ind w:left="103" w:right="115" w:firstLine="567"/>
        <w:jc w:val="both"/>
      </w:pPr>
      <w:r>
        <w:rPr>
          <w:color w:val="231F20"/>
          <w:w w:val="105"/>
        </w:rPr>
        <w:t>El</w:t>
      </w:r>
      <w:r>
        <w:rPr>
          <w:color w:val="231F20"/>
          <w:spacing w:val="-22"/>
          <w:w w:val="105"/>
        </w:rPr>
        <w:t> </w:t>
      </w:r>
      <w:r>
        <w:rPr>
          <w:color w:val="231F20"/>
          <w:w w:val="105"/>
        </w:rPr>
        <w:t>Modelo</w:t>
      </w:r>
      <w:r>
        <w:rPr>
          <w:color w:val="231F20"/>
          <w:spacing w:val="-22"/>
          <w:w w:val="105"/>
        </w:rPr>
        <w:t> </w:t>
      </w:r>
      <w:r>
        <w:rPr>
          <w:color w:val="231F20"/>
          <w:spacing w:val="-3"/>
          <w:w w:val="105"/>
        </w:rPr>
        <w:t>Iberoamericano</w:t>
      </w:r>
      <w:r>
        <w:rPr>
          <w:color w:val="231F20"/>
          <w:spacing w:val="-22"/>
          <w:w w:val="105"/>
        </w:rPr>
        <w:t> </w:t>
      </w:r>
      <w:r>
        <w:rPr>
          <w:color w:val="231F20"/>
          <w:w w:val="105"/>
        </w:rPr>
        <w:t>de</w:t>
      </w:r>
      <w:r>
        <w:rPr>
          <w:color w:val="231F20"/>
          <w:spacing w:val="-22"/>
          <w:w w:val="105"/>
        </w:rPr>
        <w:t> </w:t>
      </w:r>
      <w:r>
        <w:rPr>
          <w:color w:val="231F20"/>
          <w:w w:val="105"/>
        </w:rPr>
        <w:t>Excelencia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Gestión</w:t>
      </w:r>
      <w:r>
        <w:rPr>
          <w:color w:val="231F20"/>
          <w:spacing w:val="-22"/>
          <w:w w:val="105"/>
        </w:rPr>
        <w:t> </w:t>
      </w:r>
      <w:r>
        <w:rPr>
          <w:color w:val="231F20"/>
          <w:spacing w:val="-3"/>
          <w:w w:val="105"/>
        </w:rPr>
        <w:t>surge</w:t>
      </w:r>
      <w:r>
        <w:rPr>
          <w:color w:val="231F20"/>
          <w:spacing w:val="-22"/>
          <w:w w:val="105"/>
        </w:rPr>
        <w:t> </w:t>
      </w:r>
      <w:r>
        <w:rPr>
          <w:color w:val="231F20"/>
          <w:w w:val="105"/>
        </w:rPr>
        <w:t>inspi- rado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modelo</w:t>
      </w:r>
      <w:r>
        <w:rPr>
          <w:color w:val="231F20"/>
          <w:spacing w:val="-28"/>
          <w:w w:val="105"/>
        </w:rPr>
        <w:t> </w:t>
      </w:r>
      <w:r>
        <w:rPr>
          <w:color w:val="231F20"/>
          <w:spacing w:val="-3"/>
          <w:w w:val="105"/>
        </w:rPr>
        <w:t>europeo</w:t>
      </w:r>
      <w:r>
        <w:rPr>
          <w:color w:val="231F20"/>
          <w:spacing w:val="-28"/>
          <w:w w:val="105"/>
        </w:rPr>
        <w:t> </w:t>
      </w:r>
      <w:r>
        <w:rPr>
          <w:color w:val="231F20"/>
          <w:spacing w:val="-3"/>
          <w:w w:val="105"/>
        </w:rPr>
        <w:t>(Gallardo,</w:t>
      </w:r>
      <w:r>
        <w:rPr>
          <w:color w:val="231F20"/>
          <w:spacing w:val="-33"/>
          <w:w w:val="105"/>
        </w:rPr>
        <w:t> </w:t>
      </w:r>
      <w:r>
        <w:rPr>
          <w:color w:val="231F20"/>
          <w:w w:val="105"/>
        </w:rPr>
        <w:t>2005)</w:t>
      </w:r>
      <w:r>
        <w:rPr>
          <w:color w:val="231F20"/>
          <w:spacing w:val="-28"/>
          <w:w w:val="105"/>
        </w:rPr>
        <w:t> </w:t>
      </w:r>
      <w:r>
        <w:rPr>
          <w:color w:val="231F20"/>
          <w:spacing w:val="-5"/>
          <w:w w:val="105"/>
        </w:rPr>
        <w:t>y,</w:t>
      </w:r>
      <w:r>
        <w:rPr>
          <w:color w:val="231F20"/>
          <w:spacing w:val="-33"/>
          <w:w w:val="105"/>
        </w:rPr>
        <w:t> </w:t>
      </w:r>
      <w:r>
        <w:rPr>
          <w:color w:val="231F20"/>
          <w:w w:val="105"/>
        </w:rPr>
        <w:t>al</w:t>
      </w:r>
      <w:r>
        <w:rPr>
          <w:color w:val="231F20"/>
          <w:spacing w:val="-28"/>
          <w:w w:val="105"/>
        </w:rPr>
        <w:t> </w:t>
      </w:r>
      <w:r>
        <w:rPr>
          <w:color w:val="231F20"/>
          <w:w w:val="105"/>
        </w:rPr>
        <w:t>igual</w:t>
      </w:r>
      <w:r>
        <w:rPr>
          <w:color w:val="231F20"/>
          <w:spacing w:val="-28"/>
          <w:w w:val="105"/>
        </w:rPr>
        <w:t> </w:t>
      </w:r>
      <w:r>
        <w:rPr>
          <w:color w:val="231F20"/>
          <w:w w:val="105"/>
        </w:rPr>
        <w:t>que</w:t>
      </w:r>
      <w:r>
        <w:rPr>
          <w:color w:val="231F20"/>
          <w:spacing w:val="-28"/>
          <w:w w:val="105"/>
        </w:rPr>
        <w:t> </w:t>
      </w:r>
      <w:r>
        <w:rPr>
          <w:color w:val="231F20"/>
          <w:w w:val="105"/>
        </w:rPr>
        <w:t>el</w:t>
      </w:r>
      <w:r>
        <w:rPr>
          <w:color w:val="231F20"/>
          <w:spacing w:val="-28"/>
          <w:w w:val="105"/>
        </w:rPr>
        <w:t> </w:t>
      </w:r>
      <w:r>
        <w:rPr>
          <w:color w:val="231F20"/>
          <w:w w:val="105"/>
        </w:rPr>
        <w:t>EFQM,</w:t>
      </w:r>
      <w:r>
        <w:rPr>
          <w:color w:val="231F20"/>
          <w:spacing w:val="-33"/>
          <w:w w:val="105"/>
        </w:rPr>
        <w:t> </w:t>
      </w:r>
      <w:r>
        <w:rPr>
          <w:color w:val="231F20"/>
          <w:w w:val="105"/>
        </w:rPr>
        <w:t>cons-</w:t>
      </w:r>
    </w:p>
    <w:p>
      <w:pPr>
        <w:pStyle w:val="BodyText"/>
        <w:rPr>
          <w:sz w:val="20"/>
        </w:rPr>
      </w:pPr>
    </w:p>
    <w:p>
      <w:pPr>
        <w:pStyle w:val="BodyText"/>
        <w:spacing w:before="8"/>
        <w:rPr>
          <w:sz w:val="28"/>
        </w:rPr>
      </w:pPr>
    </w:p>
    <w:p>
      <w:pPr>
        <w:tabs>
          <w:tab w:pos="1317" w:val="left" w:leader="none"/>
        </w:tabs>
        <w:spacing w:before="70"/>
        <w:ind w:left="267"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50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98</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16" w:val="right" w:leader="none"/>
        </w:tabs>
        <w:spacing w:before="52"/>
        <w:ind w:left="1045" w:right="0" w:firstLine="0"/>
        <w:jc w:val="left"/>
        <w:rPr>
          <w:sz w:val="20"/>
        </w:rPr>
      </w:pPr>
      <w:r>
        <w:rPr/>
        <w:pict>
          <v:line style="position:absolute;mso-position-horizontal-relative:page;mso-position-vertical-relative:paragraph;z-index:-244480"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7"/>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99</w:t>
      </w:r>
    </w:p>
    <w:p>
      <w:pPr>
        <w:pStyle w:val="BodyText"/>
        <w:rPr>
          <w:sz w:val="20"/>
        </w:rPr>
      </w:pPr>
    </w:p>
    <w:p>
      <w:pPr>
        <w:pStyle w:val="BodyText"/>
        <w:rPr>
          <w:sz w:val="20"/>
        </w:rPr>
      </w:pPr>
    </w:p>
    <w:p>
      <w:pPr>
        <w:pStyle w:val="BodyText"/>
        <w:spacing w:line="259" w:lineRule="auto" w:before="176"/>
        <w:ind w:left="117" w:right="122"/>
        <w:jc w:val="both"/>
      </w:pPr>
      <w:r>
        <w:rPr>
          <w:color w:val="231F20"/>
          <w:w w:val="105"/>
        </w:rPr>
        <w:t>ta de nueve criterios divididos en cinco </w:t>
      </w:r>
      <w:r>
        <w:rPr>
          <w:color w:val="231F20"/>
          <w:spacing w:val="-3"/>
          <w:w w:val="105"/>
        </w:rPr>
        <w:t>procesos facilitadores </w:t>
      </w:r>
      <w:r>
        <w:rPr>
          <w:color w:val="231F20"/>
          <w:w w:val="105"/>
        </w:rPr>
        <w:t>y </w:t>
      </w:r>
      <w:r>
        <w:rPr>
          <w:color w:val="231F20"/>
          <w:spacing w:val="-3"/>
          <w:w w:val="105"/>
        </w:rPr>
        <w:t>cuatro resultados; diferenciándose </w:t>
      </w:r>
      <w:r>
        <w:rPr>
          <w:color w:val="231F20"/>
          <w:w w:val="105"/>
        </w:rPr>
        <w:t>en la asignación de los puntos, teniendo en el</w:t>
      </w:r>
      <w:r>
        <w:rPr>
          <w:color w:val="231F20"/>
          <w:spacing w:val="-25"/>
          <w:w w:val="105"/>
        </w:rPr>
        <w:t> </w:t>
      </w:r>
      <w:r>
        <w:rPr>
          <w:color w:val="231F20"/>
          <w:w w:val="105"/>
        </w:rPr>
        <w:t>Modelo</w:t>
      </w:r>
      <w:r>
        <w:rPr>
          <w:color w:val="231F20"/>
          <w:spacing w:val="-25"/>
          <w:w w:val="105"/>
        </w:rPr>
        <w:t> </w:t>
      </w:r>
      <w:r>
        <w:rPr>
          <w:color w:val="231F20"/>
          <w:spacing w:val="-3"/>
          <w:w w:val="105"/>
        </w:rPr>
        <w:t>Iberoamericano</w:t>
      </w:r>
      <w:r>
        <w:rPr>
          <w:color w:val="231F20"/>
          <w:spacing w:val="-25"/>
          <w:w w:val="105"/>
        </w:rPr>
        <w:t> </w:t>
      </w:r>
      <w:r>
        <w:rPr>
          <w:color w:val="231F20"/>
          <w:w w:val="105"/>
        </w:rPr>
        <w:t>un</w:t>
      </w:r>
      <w:r>
        <w:rPr>
          <w:color w:val="231F20"/>
          <w:spacing w:val="-25"/>
          <w:w w:val="105"/>
        </w:rPr>
        <w:t> </w:t>
      </w:r>
      <w:r>
        <w:rPr>
          <w:color w:val="231F20"/>
          <w:w w:val="105"/>
        </w:rPr>
        <w:t>mayor</w:t>
      </w:r>
      <w:r>
        <w:rPr>
          <w:color w:val="231F20"/>
          <w:spacing w:val="-25"/>
          <w:w w:val="105"/>
        </w:rPr>
        <w:t> </w:t>
      </w:r>
      <w:r>
        <w:rPr>
          <w:color w:val="231F20"/>
          <w:w w:val="105"/>
        </w:rPr>
        <w:t>peso</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spacing w:val="-3"/>
          <w:w w:val="105"/>
        </w:rPr>
        <w:t>procesos</w:t>
      </w:r>
      <w:r>
        <w:rPr>
          <w:color w:val="231F20"/>
          <w:spacing w:val="-25"/>
          <w:w w:val="105"/>
        </w:rPr>
        <w:t> </w:t>
      </w:r>
      <w:r>
        <w:rPr>
          <w:color w:val="231F20"/>
          <w:spacing w:val="-3"/>
          <w:w w:val="105"/>
        </w:rPr>
        <w:t>facilitadores</w:t>
      </w:r>
      <w:r>
        <w:rPr>
          <w:color w:val="231F20"/>
          <w:spacing w:val="-25"/>
          <w:w w:val="105"/>
        </w:rPr>
        <w:t> </w:t>
      </w:r>
      <w:r>
        <w:rPr>
          <w:color w:val="231F20"/>
          <w:spacing w:val="-2"/>
          <w:w w:val="105"/>
        </w:rPr>
        <w:t>que </w:t>
      </w:r>
      <w:r>
        <w:rPr>
          <w:color w:val="231F20"/>
          <w:w w:val="105"/>
        </w:rPr>
        <w:t>a</w:t>
      </w:r>
      <w:r>
        <w:rPr>
          <w:color w:val="231F20"/>
          <w:spacing w:val="-27"/>
          <w:w w:val="105"/>
        </w:rPr>
        <w:t> </w:t>
      </w:r>
      <w:r>
        <w:rPr>
          <w:color w:val="231F20"/>
          <w:w w:val="105"/>
        </w:rPr>
        <w:t>los</w:t>
      </w:r>
      <w:r>
        <w:rPr>
          <w:color w:val="231F20"/>
          <w:spacing w:val="-27"/>
          <w:w w:val="105"/>
        </w:rPr>
        <w:t> </w:t>
      </w:r>
      <w:r>
        <w:rPr>
          <w:color w:val="231F20"/>
          <w:spacing w:val="-3"/>
          <w:w w:val="105"/>
        </w:rPr>
        <w:t>resultados</w:t>
      </w:r>
      <w:r>
        <w:rPr>
          <w:color w:val="231F20"/>
          <w:spacing w:val="-27"/>
          <w:w w:val="105"/>
        </w:rPr>
        <w:t> </w:t>
      </w:r>
      <w:r>
        <w:rPr>
          <w:color w:val="231F20"/>
          <w:spacing w:val="-3"/>
          <w:w w:val="105"/>
        </w:rPr>
        <w:t>(Membrado,</w:t>
      </w:r>
      <w:r>
        <w:rPr>
          <w:color w:val="231F20"/>
          <w:spacing w:val="-31"/>
          <w:w w:val="105"/>
        </w:rPr>
        <w:t> </w:t>
      </w:r>
      <w:r>
        <w:rPr>
          <w:color w:val="231F20"/>
          <w:w w:val="105"/>
        </w:rPr>
        <w:t>2003).</w:t>
      </w:r>
      <w:r>
        <w:rPr>
          <w:color w:val="231F20"/>
          <w:spacing w:val="-31"/>
          <w:w w:val="105"/>
        </w:rPr>
        <w:t> </w:t>
      </w:r>
      <w:r>
        <w:rPr>
          <w:color w:val="231F20"/>
          <w:w w:val="105"/>
        </w:rPr>
        <w:t>Este</w:t>
      </w:r>
      <w:r>
        <w:rPr>
          <w:color w:val="231F20"/>
          <w:spacing w:val="-27"/>
          <w:w w:val="105"/>
        </w:rPr>
        <w:t> </w:t>
      </w:r>
      <w:r>
        <w:rPr>
          <w:color w:val="231F20"/>
          <w:w w:val="105"/>
        </w:rPr>
        <w:t>modelo</w:t>
      </w:r>
      <w:r>
        <w:rPr>
          <w:color w:val="231F20"/>
          <w:spacing w:val="-27"/>
          <w:w w:val="105"/>
        </w:rPr>
        <w:t> </w:t>
      </w:r>
      <w:r>
        <w:rPr>
          <w:color w:val="231F20"/>
          <w:w w:val="105"/>
        </w:rPr>
        <w:t>tiene</w:t>
      </w:r>
      <w:r>
        <w:rPr>
          <w:color w:val="231F20"/>
          <w:spacing w:val="-27"/>
          <w:w w:val="105"/>
        </w:rPr>
        <w:t> </w:t>
      </w:r>
      <w:r>
        <w:rPr>
          <w:color w:val="231F20"/>
          <w:w w:val="105"/>
        </w:rPr>
        <w:t>dos</w:t>
      </w:r>
      <w:r>
        <w:rPr>
          <w:color w:val="231F20"/>
          <w:spacing w:val="-27"/>
          <w:w w:val="105"/>
        </w:rPr>
        <w:t> </w:t>
      </w:r>
      <w:r>
        <w:rPr>
          <w:color w:val="231F20"/>
          <w:w w:val="105"/>
        </w:rPr>
        <w:t>versiones:</w:t>
      </w:r>
      <w:r>
        <w:rPr>
          <w:color w:val="231F20"/>
          <w:spacing w:val="-27"/>
          <w:w w:val="105"/>
        </w:rPr>
        <w:t> </w:t>
      </w:r>
      <w:r>
        <w:rPr>
          <w:color w:val="231F20"/>
          <w:spacing w:val="-2"/>
          <w:w w:val="105"/>
        </w:rPr>
        <w:t>una </w:t>
      </w:r>
      <w:r>
        <w:rPr>
          <w:color w:val="231F20"/>
          <w:w w:val="105"/>
        </w:rPr>
        <w:t>general</w:t>
      </w:r>
      <w:r>
        <w:rPr>
          <w:color w:val="231F20"/>
          <w:spacing w:val="-11"/>
          <w:w w:val="105"/>
        </w:rPr>
        <w:t> </w:t>
      </w:r>
      <w:r>
        <w:rPr>
          <w:color w:val="231F20"/>
          <w:w w:val="105"/>
        </w:rPr>
        <w:t>para</w:t>
      </w:r>
      <w:r>
        <w:rPr>
          <w:color w:val="231F20"/>
          <w:spacing w:val="-11"/>
          <w:w w:val="105"/>
        </w:rPr>
        <w:t> </w:t>
      </w:r>
      <w:r>
        <w:rPr>
          <w:color w:val="231F20"/>
          <w:w w:val="105"/>
        </w:rPr>
        <w:t>las</w:t>
      </w:r>
      <w:r>
        <w:rPr>
          <w:color w:val="231F20"/>
          <w:spacing w:val="-11"/>
          <w:w w:val="105"/>
        </w:rPr>
        <w:t> </w:t>
      </w:r>
      <w:r>
        <w:rPr>
          <w:color w:val="231F20"/>
          <w:spacing w:val="-3"/>
          <w:w w:val="105"/>
        </w:rPr>
        <w:t>empresas</w:t>
      </w:r>
      <w:r>
        <w:rPr>
          <w:color w:val="231F20"/>
          <w:spacing w:val="-11"/>
          <w:w w:val="105"/>
        </w:rPr>
        <w:t> </w:t>
      </w:r>
      <w:r>
        <w:rPr>
          <w:color w:val="231F20"/>
          <w:w w:val="105"/>
        </w:rPr>
        <w:t>de</w:t>
      </w:r>
      <w:r>
        <w:rPr>
          <w:color w:val="231F20"/>
          <w:spacing w:val="-11"/>
          <w:w w:val="105"/>
        </w:rPr>
        <w:t> </w:t>
      </w:r>
      <w:r>
        <w:rPr>
          <w:color w:val="231F20"/>
          <w:w w:val="105"/>
        </w:rPr>
        <w:t>carácter</w:t>
      </w:r>
      <w:r>
        <w:rPr>
          <w:color w:val="231F20"/>
          <w:spacing w:val="-11"/>
          <w:w w:val="105"/>
        </w:rPr>
        <w:t> </w:t>
      </w:r>
      <w:r>
        <w:rPr>
          <w:color w:val="231F20"/>
          <w:w w:val="105"/>
        </w:rPr>
        <w:t>privado</w:t>
      </w:r>
      <w:r>
        <w:rPr>
          <w:color w:val="231F20"/>
          <w:spacing w:val="-11"/>
          <w:w w:val="105"/>
        </w:rPr>
        <w:t> </w:t>
      </w:r>
      <w:r>
        <w:rPr>
          <w:color w:val="231F20"/>
          <w:w w:val="105"/>
        </w:rPr>
        <w:t>y</w:t>
      </w:r>
      <w:r>
        <w:rPr>
          <w:color w:val="231F20"/>
          <w:spacing w:val="-11"/>
          <w:w w:val="105"/>
        </w:rPr>
        <w:t> </w:t>
      </w:r>
      <w:r>
        <w:rPr>
          <w:color w:val="231F20"/>
          <w:w w:val="105"/>
        </w:rPr>
        <w:t>una</w:t>
      </w:r>
      <w:r>
        <w:rPr>
          <w:color w:val="231F20"/>
          <w:spacing w:val="-11"/>
          <w:w w:val="105"/>
        </w:rPr>
        <w:t> </w:t>
      </w:r>
      <w:r>
        <w:rPr>
          <w:color w:val="231F20"/>
          <w:w w:val="105"/>
        </w:rPr>
        <w:t>enfocada</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eva- luación</w:t>
      </w:r>
      <w:r>
        <w:rPr>
          <w:color w:val="231F20"/>
          <w:spacing w:val="-38"/>
          <w:w w:val="105"/>
        </w:rPr>
        <w:t> </w:t>
      </w:r>
      <w:r>
        <w:rPr>
          <w:color w:val="231F20"/>
          <w:w w:val="105"/>
        </w:rPr>
        <w:t>de</w:t>
      </w:r>
      <w:r>
        <w:rPr>
          <w:color w:val="231F20"/>
          <w:spacing w:val="-38"/>
          <w:w w:val="105"/>
        </w:rPr>
        <w:t> </w:t>
      </w:r>
      <w:r>
        <w:rPr>
          <w:color w:val="231F20"/>
          <w:w w:val="105"/>
        </w:rPr>
        <w:t>instituciones</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administración</w:t>
      </w:r>
      <w:r>
        <w:rPr>
          <w:color w:val="231F20"/>
          <w:spacing w:val="-38"/>
          <w:w w:val="105"/>
        </w:rPr>
        <w:t> </w:t>
      </w:r>
      <w:r>
        <w:rPr>
          <w:color w:val="231F20"/>
          <w:w w:val="105"/>
        </w:rPr>
        <w:t>pública</w:t>
      </w:r>
      <w:r>
        <w:rPr>
          <w:color w:val="231F20"/>
          <w:spacing w:val="-38"/>
          <w:w w:val="105"/>
        </w:rPr>
        <w:t> </w:t>
      </w:r>
      <w:r>
        <w:rPr>
          <w:color w:val="231F20"/>
          <w:w w:val="105"/>
        </w:rPr>
        <w:t>(FUNDIBEQ,</w:t>
      </w:r>
      <w:r>
        <w:rPr>
          <w:color w:val="231F20"/>
          <w:spacing w:val="-41"/>
          <w:w w:val="105"/>
        </w:rPr>
        <w:t> </w:t>
      </w:r>
      <w:r>
        <w:rPr>
          <w:color w:val="231F20"/>
          <w:spacing w:val="-2"/>
          <w:w w:val="105"/>
        </w:rPr>
        <w:t>2012).</w:t>
      </w:r>
    </w:p>
    <w:p>
      <w:pPr>
        <w:pStyle w:val="BodyText"/>
        <w:spacing w:line="259" w:lineRule="auto"/>
        <w:ind w:left="117" w:right="121" w:firstLine="567"/>
        <w:jc w:val="both"/>
      </w:pPr>
      <w:r>
        <w:rPr>
          <w:color w:val="231F20"/>
          <w:w w:val="105"/>
        </w:rPr>
        <w:t>La</w:t>
      </w:r>
      <w:r>
        <w:rPr>
          <w:color w:val="231F20"/>
          <w:spacing w:val="-11"/>
          <w:w w:val="105"/>
        </w:rPr>
        <w:t> </w:t>
      </w:r>
      <w:r>
        <w:rPr>
          <w:color w:val="231F20"/>
          <w:w w:val="105"/>
        </w:rPr>
        <w:t>figura</w:t>
      </w:r>
      <w:r>
        <w:rPr>
          <w:color w:val="231F20"/>
          <w:spacing w:val="-11"/>
          <w:w w:val="105"/>
        </w:rPr>
        <w:t> </w:t>
      </w:r>
      <w:r>
        <w:rPr>
          <w:color w:val="231F20"/>
          <w:w w:val="105"/>
        </w:rPr>
        <w:t>1</w:t>
      </w:r>
      <w:r>
        <w:rPr>
          <w:color w:val="231F20"/>
          <w:spacing w:val="-11"/>
          <w:w w:val="105"/>
        </w:rPr>
        <w:t> </w:t>
      </w:r>
      <w:r>
        <w:rPr>
          <w:color w:val="231F20"/>
          <w:w w:val="105"/>
        </w:rPr>
        <w:t>resume</w:t>
      </w:r>
      <w:r>
        <w:rPr>
          <w:color w:val="231F20"/>
          <w:spacing w:val="-11"/>
          <w:w w:val="105"/>
        </w:rPr>
        <w:t> </w:t>
      </w:r>
      <w:r>
        <w:rPr>
          <w:color w:val="231F20"/>
          <w:w w:val="105"/>
        </w:rPr>
        <w:t>las</w:t>
      </w:r>
      <w:r>
        <w:rPr>
          <w:color w:val="231F20"/>
          <w:spacing w:val="-11"/>
          <w:w w:val="105"/>
        </w:rPr>
        <w:t> </w:t>
      </w:r>
      <w:r>
        <w:rPr>
          <w:color w:val="231F20"/>
          <w:w w:val="105"/>
        </w:rPr>
        <w:t>características</w:t>
      </w:r>
      <w:r>
        <w:rPr>
          <w:color w:val="231F20"/>
          <w:spacing w:val="-11"/>
          <w:w w:val="105"/>
        </w:rPr>
        <w:t> </w:t>
      </w:r>
      <w:r>
        <w:rPr>
          <w:color w:val="231F20"/>
          <w:w w:val="105"/>
        </w:rPr>
        <w:t>que</w:t>
      </w:r>
      <w:r>
        <w:rPr>
          <w:color w:val="231F20"/>
          <w:spacing w:val="-11"/>
          <w:w w:val="105"/>
        </w:rPr>
        <w:t> </w:t>
      </w:r>
      <w:r>
        <w:rPr>
          <w:color w:val="231F20"/>
          <w:w w:val="105"/>
        </w:rPr>
        <w:t>estos</w:t>
      </w:r>
      <w:r>
        <w:rPr>
          <w:color w:val="231F20"/>
          <w:spacing w:val="-11"/>
          <w:w w:val="105"/>
        </w:rPr>
        <w:t> </w:t>
      </w:r>
      <w:r>
        <w:rPr>
          <w:color w:val="231F20"/>
          <w:w w:val="105"/>
        </w:rPr>
        <w:t>modelos</w:t>
      </w:r>
      <w:r>
        <w:rPr>
          <w:color w:val="231F20"/>
          <w:spacing w:val="-11"/>
          <w:w w:val="105"/>
        </w:rPr>
        <w:t> </w:t>
      </w:r>
      <w:r>
        <w:rPr>
          <w:color w:val="231F20"/>
          <w:w w:val="105"/>
        </w:rPr>
        <w:t>compar- ten:</w:t>
      </w:r>
      <w:r>
        <w:rPr>
          <w:color w:val="231F20"/>
          <w:spacing w:val="-8"/>
          <w:w w:val="105"/>
        </w:rPr>
        <w:t> </w:t>
      </w:r>
      <w:r>
        <w:rPr>
          <w:color w:val="231F20"/>
          <w:w w:val="105"/>
        </w:rPr>
        <w:t>conciben</w:t>
      </w:r>
      <w:r>
        <w:rPr>
          <w:color w:val="231F20"/>
          <w:spacing w:val="-8"/>
          <w:w w:val="105"/>
        </w:rPr>
        <w:t> </w:t>
      </w:r>
      <w:r>
        <w:rPr>
          <w:color w:val="231F20"/>
          <w:w w:val="105"/>
        </w:rPr>
        <w:t>la</w:t>
      </w:r>
      <w:r>
        <w:rPr>
          <w:color w:val="231F20"/>
          <w:spacing w:val="-8"/>
          <w:w w:val="105"/>
        </w:rPr>
        <w:t> </w:t>
      </w:r>
      <w:r>
        <w:rPr>
          <w:color w:val="231F20"/>
          <w:w w:val="105"/>
        </w:rPr>
        <w:t>organización</w:t>
      </w:r>
      <w:r>
        <w:rPr>
          <w:color w:val="231F20"/>
          <w:spacing w:val="-8"/>
          <w:w w:val="105"/>
        </w:rPr>
        <w:t> </w:t>
      </w:r>
      <w:r>
        <w:rPr>
          <w:color w:val="231F20"/>
          <w:w w:val="105"/>
        </w:rPr>
        <w:t>como</w:t>
      </w:r>
      <w:r>
        <w:rPr>
          <w:color w:val="231F20"/>
          <w:spacing w:val="-8"/>
          <w:w w:val="105"/>
        </w:rPr>
        <w:t> </w:t>
      </w:r>
      <w:r>
        <w:rPr>
          <w:color w:val="231F20"/>
          <w:w w:val="105"/>
        </w:rPr>
        <w:t>conjunto</w:t>
      </w:r>
      <w:r>
        <w:rPr>
          <w:color w:val="231F20"/>
          <w:spacing w:val="-8"/>
          <w:w w:val="105"/>
        </w:rPr>
        <w:t> </w:t>
      </w:r>
      <w:r>
        <w:rPr>
          <w:color w:val="231F20"/>
          <w:w w:val="105"/>
        </w:rPr>
        <w:t>de</w:t>
      </w:r>
      <w:r>
        <w:rPr>
          <w:color w:val="231F20"/>
          <w:spacing w:val="-8"/>
          <w:w w:val="105"/>
        </w:rPr>
        <w:t> </w:t>
      </w:r>
      <w:r>
        <w:rPr>
          <w:color w:val="231F20"/>
          <w:w w:val="105"/>
        </w:rPr>
        <w:t>subsistemas</w:t>
      </w:r>
      <w:r>
        <w:rPr>
          <w:color w:val="231F20"/>
          <w:spacing w:val="-8"/>
          <w:w w:val="105"/>
        </w:rPr>
        <w:t> </w:t>
      </w:r>
      <w:r>
        <w:rPr>
          <w:color w:val="231F20"/>
          <w:w w:val="105"/>
        </w:rPr>
        <w:t>relaciona- dos y conectados entre sí; su objetivo primordial es la excelencia y la mejora</w:t>
      </w:r>
      <w:r>
        <w:rPr>
          <w:color w:val="231F20"/>
          <w:spacing w:val="-25"/>
          <w:w w:val="105"/>
        </w:rPr>
        <w:t> </w:t>
      </w:r>
      <w:r>
        <w:rPr>
          <w:color w:val="231F20"/>
          <w:w w:val="105"/>
        </w:rPr>
        <w:t>contínua;</w:t>
      </w:r>
      <w:r>
        <w:rPr>
          <w:color w:val="231F20"/>
          <w:spacing w:val="-25"/>
          <w:w w:val="105"/>
        </w:rPr>
        <w:t> </w:t>
      </w:r>
      <w:r>
        <w:rPr>
          <w:color w:val="231F20"/>
          <w:w w:val="105"/>
        </w:rPr>
        <w:t>sirven</w:t>
      </w:r>
      <w:r>
        <w:rPr>
          <w:color w:val="231F20"/>
          <w:spacing w:val="-25"/>
          <w:w w:val="105"/>
        </w:rPr>
        <w:t> </w:t>
      </w:r>
      <w:r>
        <w:rPr>
          <w:color w:val="231F20"/>
          <w:w w:val="105"/>
        </w:rPr>
        <w:t>para</w:t>
      </w:r>
      <w:r>
        <w:rPr>
          <w:color w:val="231F20"/>
          <w:spacing w:val="-25"/>
          <w:w w:val="105"/>
        </w:rPr>
        <w:t> </w:t>
      </w:r>
      <w:r>
        <w:rPr>
          <w:color w:val="231F20"/>
          <w:w w:val="105"/>
        </w:rPr>
        <w:t>la</w:t>
      </w:r>
      <w:r>
        <w:rPr>
          <w:color w:val="231F20"/>
          <w:spacing w:val="-25"/>
          <w:w w:val="105"/>
        </w:rPr>
        <w:t> </w:t>
      </w:r>
      <w:r>
        <w:rPr>
          <w:color w:val="231F20"/>
          <w:w w:val="105"/>
        </w:rPr>
        <w:t>autoevaluación</w:t>
      </w:r>
      <w:r>
        <w:rPr>
          <w:color w:val="231F20"/>
          <w:spacing w:val="-25"/>
          <w:w w:val="105"/>
        </w:rPr>
        <w:t> </w:t>
      </w:r>
      <w:r>
        <w:rPr>
          <w:color w:val="231F20"/>
          <w:w w:val="105"/>
        </w:rPr>
        <w:t>del</w:t>
      </w:r>
      <w:r>
        <w:rPr>
          <w:color w:val="231F20"/>
          <w:spacing w:val="-25"/>
          <w:w w:val="105"/>
        </w:rPr>
        <w:t> </w:t>
      </w:r>
      <w:r>
        <w:rPr>
          <w:color w:val="231F20"/>
          <w:w w:val="105"/>
        </w:rPr>
        <w:t>funcionamiento</w:t>
      </w:r>
      <w:r>
        <w:rPr>
          <w:color w:val="231F20"/>
          <w:spacing w:val="-25"/>
          <w:w w:val="105"/>
        </w:rPr>
        <w:t> </w:t>
      </w:r>
      <w:r>
        <w:rPr>
          <w:color w:val="231F20"/>
          <w:w w:val="105"/>
        </w:rPr>
        <w:t>de</w:t>
      </w:r>
      <w:r>
        <w:rPr>
          <w:color w:val="231F20"/>
          <w:spacing w:val="-25"/>
          <w:w w:val="105"/>
        </w:rPr>
        <w:t> </w:t>
      </w:r>
      <w:r>
        <w:rPr>
          <w:color w:val="231F20"/>
          <w:w w:val="105"/>
        </w:rPr>
        <w:t>las organizaciones</w:t>
      </w:r>
      <w:r>
        <w:rPr>
          <w:color w:val="231F20"/>
          <w:spacing w:val="-28"/>
          <w:w w:val="105"/>
        </w:rPr>
        <w:t> </w:t>
      </w:r>
      <w:r>
        <w:rPr>
          <w:color w:val="231F20"/>
          <w:w w:val="105"/>
        </w:rPr>
        <w:t>y</w:t>
      </w:r>
      <w:r>
        <w:rPr>
          <w:color w:val="231F20"/>
          <w:spacing w:val="-28"/>
          <w:w w:val="105"/>
        </w:rPr>
        <w:t> </w:t>
      </w:r>
      <w:r>
        <w:rPr>
          <w:color w:val="231F20"/>
          <w:w w:val="105"/>
        </w:rPr>
        <w:t>su</w:t>
      </w:r>
      <w:r>
        <w:rPr>
          <w:color w:val="231F20"/>
          <w:spacing w:val="-28"/>
          <w:w w:val="105"/>
        </w:rPr>
        <w:t> </w:t>
      </w:r>
      <w:r>
        <w:rPr>
          <w:color w:val="231F20"/>
          <w:w w:val="105"/>
        </w:rPr>
        <w:t>sistema</w:t>
      </w:r>
      <w:r>
        <w:rPr>
          <w:color w:val="231F20"/>
          <w:spacing w:val="-28"/>
          <w:w w:val="105"/>
        </w:rPr>
        <w:t> </w:t>
      </w:r>
      <w:r>
        <w:rPr>
          <w:color w:val="231F20"/>
          <w:w w:val="105"/>
        </w:rPr>
        <w:t>de</w:t>
      </w:r>
      <w:r>
        <w:rPr>
          <w:color w:val="231F20"/>
          <w:spacing w:val="-28"/>
          <w:w w:val="105"/>
        </w:rPr>
        <w:t> </w:t>
      </w:r>
      <w:r>
        <w:rPr>
          <w:color w:val="231F20"/>
          <w:w w:val="105"/>
        </w:rPr>
        <w:t>calidad.</w:t>
      </w:r>
    </w:p>
    <w:p>
      <w:pPr>
        <w:pStyle w:val="BodyText"/>
        <w:spacing w:line="259" w:lineRule="auto"/>
        <w:ind w:left="117" w:right="115" w:firstLine="567"/>
        <w:jc w:val="both"/>
      </w:pPr>
      <w:r>
        <w:rPr>
          <w:color w:val="231F20"/>
          <w:w w:val="105"/>
        </w:rPr>
        <w:t>Apenas</w:t>
      </w:r>
      <w:r>
        <w:rPr>
          <w:color w:val="231F20"/>
          <w:spacing w:val="-29"/>
          <w:w w:val="105"/>
        </w:rPr>
        <w:t> </w:t>
      </w:r>
      <w:r>
        <w:rPr>
          <w:color w:val="231F20"/>
          <w:w w:val="105"/>
        </w:rPr>
        <w:t>existen</w:t>
      </w:r>
      <w:r>
        <w:rPr>
          <w:color w:val="231F20"/>
          <w:spacing w:val="-29"/>
          <w:w w:val="105"/>
        </w:rPr>
        <w:t> </w:t>
      </w:r>
      <w:r>
        <w:rPr>
          <w:color w:val="231F20"/>
          <w:w w:val="105"/>
        </w:rPr>
        <w:t>diferencias</w:t>
      </w:r>
      <w:r>
        <w:rPr>
          <w:color w:val="231F20"/>
          <w:spacing w:val="-29"/>
          <w:w w:val="105"/>
        </w:rPr>
        <w:t> </w:t>
      </w:r>
      <w:r>
        <w:rPr>
          <w:color w:val="231F20"/>
          <w:w w:val="105"/>
        </w:rPr>
        <w:t>entre</w:t>
      </w:r>
      <w:r>
        <w:rPr>
          <w:color w:val="231F20"/>
          <w:spacing w:val="-29"/>
          <w:w w:val="105"/>
        </w:rPr>
        <w:t> </w:t>
      </w:r>
      <w:r>
        <w:rPr>
          <w:color w:val="231F20"/>
          <w:w w:val="105"/>
        </w:rPr>
        <w:t>los</w:t>
      </w:r>
      <w:r>
        <w:rPr>
          <w:color w:val="231F20"/>
          <w:spacing w:val="-29"/>
          <w:w w:val="105"/>
        </w:rPr>
        <w:t> </w:t>
      </w:r>
      <w:r>
        <w:rPr>
          <w:color w:val="231F20"/>
          <w:w w:val="105"/>
        </w:rPr>
        <w:t>modelos</w:t>
      </w:r>
      <w:r>
        <w:rPr>
          <w:color w:val="231F20"/>
          <w:spacing w:val="-29"/>
          <w:w w:val="105"/>
        </w:rPr>
        <w:t> </w:t>
      </w:r>
      <w:r>
        <w:rPr>
          <w:color w:val="231F20"/>
          <w:w w:val="105"/>
        </w:rPr>
        <w:t>EFQM</w:t>
      </w:r>
      <w:r>
        <w:rPr>
          <w:color w:val="231F20"/>
          <w:spacing w:val="-29"/>
          <w:w w:val="105"/>
        </w:rPr>
        <w:t> </w:t>
      </w:r>
      <w:r>
        <w:rPr>
          <w:color w:val="231F20"/>
          <w:w w:val="105"/>
        </w:rPr>
        <w:t>y</w:t>
      </w:r>
      <w:r>
        <w:rPr>
          <w:color w:val="231F20"/>
          <w:spacing w:val="-29"/>
          <w:w w:val="105"/>
        </w:rPr>
        <w:t> </w:t>
      </w:r>
      <w:r>
        <w:rPr>
          <w:color w:val="231F20"/>
          <w:w w:val="105"/>
        </w:rPr>
        <w:t>el</w:t>
      </w:r>
      <w:r>
        <w:rPr>
          <w:color w:val="231F20"/>
          <w:spacing w:val="-29"/>
          <w:w w:val="105"/>
        </w:rPr>
        <w:t> </w:t>
      </w:r>
      <w:r>
        <w:rPr>
          <w:color w:val="231F20"/>
          <w:w w:val="105"/>
        </w:rPr>
        <w:t>Iberoame- ricano,</w:t>
      </w:r>
      <w:r>
        <w:rPr>
          <w:color w:val="231F20"/>
          <w:spacing w:val="-15"/>
          <w:w w:val="105"/>
        </w:rPr>
        <w:t> </w:t>
      </w:r>
      <w:r>
        <w:rPr>
          <w:color w:val="231F20"/>
          <w:w w:val="105"/>
        </w:rPr>
        <w:t>debido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cuentan</w:t>
      </w:r>
      <w:r>
        <w:rPr>
          <w:color w:val="231F20"/>
          <w:spacing w:val="-9"/>
          <w:w w:val="105"/>
        </w:rPr>
        <w:t> </w:t>
      </w:r>
      <w:r>
        <w:rPr>
          <w:color w:val="231F20"/>
          <w:w w:val="105"/>
        </w:rPr>
        <w:t>con</w:t>
      </w:r>
      <w:r>
        <w:rPr>
          <w:color w:val="231F20"/>
          <w:spacing w:val="-9"/>
          <w:w w:val="105"/>
        </w:rPr>
        <w:t> </w:t>
      </w:r>
      <w:r>
        <w:rPr>
          <w:color w:val="231F20"/>
          <w:w w:val="105"/>
        </w:rPr>
        <w:t>los</w:t>
      </w:r>
      <w:r>
        <w:rPr>
          <w:color w:val="231F20"/>
          <w:spacing w:val="-9"/>
          <w:w w:val="105"/>
        </w:rPr>
        <w:t> </w:t>
      </w:r>
      <w:r>
        <w:rPr>
          <w:color w:val="231F20"/>
          <w:w w:val="105"/>
        </w:rPr>
        <w:t>mismos</w:t>
      </w:r>
      <w:r>
        <w:rPr>
          <w:color w:val="231F20"/>
          <w:spacing w:val="-9"/>
          <w:w w:val="105"/>
        </w:rPr>
        <w:t> </w:t>
      </w:r>
      <w:r>
        <w:rPr>
          <w:color w:val="231F20"/>
          <w:w w:val="105"/>
        </w:rPr>
        <w:t>principios</w:t>
      </w:r>
      <w:r>
        <w:rPr>
          <w:color w:val="231F20"/>
          <w:spacing w:val="-9"/>
          <w:w w:val="105"/>
        </w:rPr>
        <w:t> </w:t>
      </w:r>
      <w:r>
        <w:rPr>
          <w:color w:val="231F20"/>
          <w:spacing w:val="-4"/>
          <w:w w:val="105"/>
        </w:rPr>
        <w:t>y,</w:t>
      </w:r>
      <w:r>
        <w:rPr>
          <w:color w:val="231F20"/>
          <w:spacing w:val="-15"/>
          <w:w w:val="105"/>
        </w:rPr>
        <w:t> </w:t>
      </w:r>
      <w:r>
        <w:rPr>
          <w:color w:val="231F20"/>
          <w:w w:val="105"/>
        </w:rPr>
        <w:t>básicamente, los</w:t>
      </w:r>
      <w:r>
        <w:rPr>
          <w:color w:val="231F20"/>
          <w:spacing w:val="-10"/>
          <w:w w:val="105"/>
        </w:rPr>
        <w:t> </w:t>
      </w:r>
      <w:r>
        <w:rPr>
          <w:color w:val="231F20"/>
          <w:w w:val="105"/>
        </w:rPr>
        <w:t>mismos</w:t>
      </w:r>
      <w:r>
        <w:rPr>
          <w:color w:val="231F20"/>
          <w:spacing w:val="-10"/>
          <w:w w:val="105"/>
        </w:rPr>
        <w:t> </w:t>
      </w:r>
      <w:r>
        <w:rPr>
          <w:color w:val="231F20"/>
          <w:w w:val="105"/>
        </w:rPr>
        <w:t>criterios.</w:t>
      </w:r>
      <w:r>
        <w:rPr>
          <w:color w:val="231F20"/>
          <w:spacing w:val="-15"/>
          <w:w w:val="105"/>
        </w:rPr>
        <w:t> </w:t>
      </w:r>
      <w:r>
        <w:rPr>
          <w:color w:val="231F20"/>
          <w:w w:val="105"/>
        </w:rPr>
        <w:t>No</w:t>
      </w:r>
      <w:r>
        <w:rPr>
          <w:color w:val="231F20"/>
          <w:spacing w:val="-10"/>
          <w:w w:val="105"/>
        </w:rPr>
        <w:t> </w:t>
      </w:r>
      <w:r>
        <w:rPr>
          <w:color w:val="231F20"/>
          <w:w w:val="105"/>
        </w:rPr>
        <w:t>obstante,</w:t>
      </w:r>
      <w:r>
        <w:rPr>
          <w:color w:val="231F20"/>
          <w:spacing w:val="-15"/>
          <w:w w:val="105"/>
        </w:rPr>
        <w:t> </w:t>
      </w:r>
      <w:r>
        <w:rPr>
          <w:color w:val="231F20"/>
          <w:w w:val="105"/>
        </w:rPr>
        <w:t>el</w:t>
      </w:r>
      <w:r>
        <w:rPr>
          <w:color w:val="231F20"/>
          <w:spacing w:val="-10"/>
          <w:w w:val="105"/>
        </w:rPr>
        <w:t> </w:t>
      </w:r>
      <w:r>
        <w:rPr>
          <w:color w:val="231F20"/>
          <w:w w:val="105"/>
        </w:rPr>
        <w:t>modelo</w:t>
      </w:r>
      <w:r>
        <w:rPr>
          <w:color w:val="231F20"/>
          <w:spacing w:val="-10"/>
          <w:w w:val="105"/>
        </w:rPr>
        <w:t> </w:t>
      </w:r>
      <w:r>
        <w:rPr>
          <w:color w:val="231F20"/>
          <w:w w:val="105"/>
        </w:rPr>
        <w:t>EFQM</w:t>
      </w:r>
      <w:r>
        <w:rPr>
          <w:color w:val="231F20"/>
          <w:spacing w:val="-10"/>
          <w:w w:val="105"/>
        </w:rPr>
        <w:t> </w:t>
      </w:r>
      <w:r>
        <w:rPr>
          <w:color w:val="231F20"/>
          <w:w w:val="105"/>
        </w:rPr>
        <w:t>puede</w:t>
      </w:r>
      <w:r>
        <w:rPr>
          <w:color w:val="231F20"/>
          <w:spacing w:val="-10"/>
          <w:w w:val="105"/>
        </w:rPr>
        <w:t> </w:t>
      </w:r>
      <w:r>
        <w:rPr>
          <w:color w:val="231F20"/>
          <w:w w:val="105"/>
        </w:rPr>
        <w:t>ser</w:t>
      </w:r>
      <w:r>
        <w:rPr>
          <w:color w:val="231F20"/>
          <w:spacing w:val="-10"/>
          <w:w w:val="105"/>
        </w:rPr>
        <w:t> </w:t>
      </w:r>
      <w:r>
        <w:rPr>
          <w:color w:val="231F20"/>
          <w:w w:val="105"/>
        </w:rPr>
        <w:t>más</w:t>
      </w:r>
      <w:r>
        <w:rPr>
          <w:color w:val="231F20"/>
          <w:spacing w:val="-10"/>
          <w:w w:val="105"/>
        </w:rPr>
        <w:t> </w:t>
      </w:r>
      <w:r>
        <w:rPr>
          <w:color w:val="231F20"/>
          <w:w w:val="105"/>
        </w:rPr>
        <w:t>apli- cable a las universidades porque: (1) el modelo Iberoamericano es</w:t>
      </w:r>
      <w:r>
        <w:rPr>
          <w:color w:val="231F20"/>
          <w:spacing w:val="-35"/>
          <w:w w:val="105"/>
        </w:rPr>
        <w:t> </w:t>
      </w:r>
      <w:r>
        <w:rPr>
          <w:color w:val="231F20"/>
          <w:w w:val="105"/>
        </w:rPr>
        <w:t>una mera adaptación del modelo EFQM; (2) la existencia de mayor avance en la investigación empírica con el modelo EFQM; (3) el modelo Ibe- roamericano</w:t>
      </w:r>
      <w:r>
        <w:rPr>
          <w:color w:val="231F20"/>
          <w:spacing w:val="-31"/>
          <w:w w:val="105"/>
        </w:rPr>
        <w:t> </w:t>
      </w:r>
      <w:r>
        <w:rPr>
          <w:color w:val="231F20"/>
          <w:w w:val="105"/>
        </w:rPr>
        <w:t>no</w:t>
      </w:r>
      <w:r>
        <w:rPr>
          <w:color w:val="231F20"/>
          <w:spacing w:val="-31"/>
          <w:w w:val="105"/>
        </w:rPr>
        <w:t> </w:t>
      </w:r>
      <w:r>
        <w:rPr>
          <w:color w:val="231F20"/>
          <w:w w:val="105"/>
        </w:rPr>
        <w:t>cuenta</w:t>
      </w:r>
      <w:r>
        <w:rPr>
          <w:color w:val="231F20"/>
          <w:spacing w:val="-31"/>
          <w:w w:val="105"/>
        </w:rPr>
        <w:t> </w:t>
      </w:r>
      <w:r>
        <w:rPr>
          <w:color w:val="231F20"/>
          <w:w w:val="105"/>
        </w:rPr>
        <w:t>con</w:t>
      </w:r>
      <w:r>
        <w:rPr>
          <w:color w:val="231F20"/>
          <w:spacing w:val="-31"/>
          <w:w w:val="105"/>
        </w:rPr>
        <w:t> </w:t>
      </w:r>
      <w:r>
        <w:rPr>
          <w:color w:val="231F20"/>
          <w:w w:val="105"/>
        </w:rPr>
        <w:t>una</w:t>
      </w:r>
      <w:r>
        <w:rPr>
          <w:color w:val="231F20"/>
          <w:spacing w:val="-31"/>
          <w:w w:val="105"/>
        </w:rPr>
        <w:t> </w:t>
      </w:r>
      <w:r>
        <w:rPr>
          <w:color w:val="231F20"/>
          <w:w w:val="105"/>
        </w:rPr>
        <w:t>versión</w:t>
      </w:r>
      <w:r>
        <w:rPr>
          <w:color w:val="231F20"/>
          <w:spacing w:val="-31"/>
          <w:w w:val="105"/>
        </w:rPr>
        <w:t> </w:t>
      </w:r>
      <w:r>
        <w:rPr>
          <w:color w:val="231F20"/>
          <w:w w:val="105"/>
        </w:rPr>
        <w:t>adaptada</w:t>
      </w:r>
      <w:r>
        <w:rPr>
          <w:color w:val="231F20"/>
          <w:spacing w:val="-31"/>
          <w:w w:val="105"/>
        </w:rPr>
        <w:t> </w:t>
      </w:r>
      <w:r>
        <w:rPr>
          <w:color w:val="231F20"/>
          <w:w w:val="105"/>
        </w:rPr>
        <w:t>al</w:t>
      </w:r>
      <w:r>
        <w:rPr>
          <w:color w:val="231F20"/>
          <w:spacing w:val="-31"/>
          <w:w w:val="105"/>
        </w:rPr>
        <w:t> </w:t>
      </w:r>
      <w:r>
        <w:rPr>
          <w:color w:val="231F20"/>
          <w:w w:val="105"/>
        </w:rPr>
        <w:t>contexto</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IPES, la</w:t>
      </w:r>
      <w:r>
        <w:rPr>
          <w:color w:val="231F20"/>
          <w:spacing w:val="-5"/>
          <w:w w:val="105"/>
        </w:rPr>
        <w:t> </w:t>
      </w:r>
      <w:r>
        <w:rPr>
          <w:color w:val="231F20"/>
          <w:w w:val="105"/>
        </w:rPr>
        <w:t>cual</w:t>
      </w:r>
      <w:r>
        <w:rPr>
          <w:color w:val="231F20"/>
          <w:spacing w:val="-5"/>
          <w:w w:val="105"/>
        </w:rPr>
        <w:t> </w:t>
      </w:r>
      <w:r>
        <w:rPr>
          <w:color w:val="231F20"/>
          <w:w w:val="105"/>
        </w:rPr>
        <w:t>sí</w:t>
      </w:r>
      <w:r>
        <w:rPr>
          <w:color w:val="231F20"/>
          <w:spacing w:val="-5"/>
          <w:w w:val="105"/>
        </w:rPr>
        <w:t> </w:t>
      </w:r>
      <w:r>
        <w:rPr>
          <w:color w:val="231F20"/>
          <w:w w:val="105"/>
        </w:rPr>
        <w:t>existe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del</w:t>
      </w:r>
      <w:r>
        <w:rPr>
          <w:color w:val="231F20"/>
          <w:spacing w:val="-5"/>
          <w:w w:val="105"/>
        </w:rPr>
        <w:t> </w:t>
      </w:r>
      <w:r>
        <w:rPr>
          <w:color w:val="231F20"/>
          <w:w w:val="105"/>
        </w:rPr>
        <w:t>modelo</w:t>
      </w:r>
      <w:r>
        <w:rPr>
          <w:color w:val="231F20"/>
          <w:spacing w:val="-5"/>
          <w:w w:val="105"/>
        </w:rPr>
        <w:t> </w:t>
      </w:r>
      <w:r>
        <w:rPr>
          <w:color w:val="231F20"/>
          <w:w w:val="105"/>
        </w:rPr>
        <w:t>EFQM</w:t>
      </w:r>
      <w:r>
        <w:rPr>
          <w:color w:val="231F20"/>
          <w:spacing w:val="-5"/>
          <w:w w:val="105"/>
        </w:rPr>
        <w:t> </w:t>
      </w:r>
      <w:r>
        <w:rPr>
          <w:color w:val="231F20"/>
          <w:w w:val="105"/>
        </w:rPr>
        <w:t>identificándose,</w:t>
      </w:r>
      <w:r>
        <w:rPr>
          <w:color w:val="231F20"/>
          <w:spacing w:val="-10"/>
          <w:w w:val="105"/>
        </w:rPr>
        <w:t> </w:t>
      </w:r>
      <w:r>
        <w:rPr>
          <w:color w:val="231F20"/>
          <w:w w:val="105"/>
        </w:rPr>
        <w:t>inclusive, instrumentos</w:t>
      </w:r>
      <w:r>
        <w:rPr>
          <w:color w:val="231F20"/>
          <w:spacing w:val="-14"/>
          <w:w w:val="105"/>
        </w:rPr>
        <w:t> </w:t>
      </w:r>
      <w:r>
        <w:rPr>
          <w:color w:val="231F20"/>
          <w:w w:val="105"/>
        </w:rPr>
        <w:t>de</w:t>
      </w:r>
      <w:r>
        <w:rPr>
          <w:color w:val="231F20"/>
          <w:spacing w:val="-14"/>
          <w:w w:val="105"/>
        </w:rPr>
        <w:t> </w:t>
      </w:r>
      <w:r>
        <w:rPr>
          <w:color w:val="231F20"/>
          <w:w w:val="105"/>
        </w:rPr>
        <w:t>autoevaluación</w:t>
      </w:r>
      <w:r>
        <w:rPr>
          <w:color w:val="231F20"/>
          <w:spacing w:val="-14"/>
          <w:w w:val="105"/>
        </w:rPr>
        <w:t> </w:t>
      </w:r>
      <w:r>
        <w:rPr>
          <w:color w:val="231F20"/>
          <w:w w:val="105"/>
        </w:rPr>
        <w:t>para</w:t>
      </w:r>
      <w:r>
        <w:rPr>
          <w:color w:val="231F20"/>
          <w:spacing w:val="-14"/>
          <w:w w:val="105"/>
        </w:rPr>
        <w:t> </w:t>
      </w:r>
      <w:r>
        <w:rPr>
          <w:color w:val="231F20"/>
          <w:w w:val="105"/>
        </w:rPr>
        <w:t>tal</w:t>
      </w:r>
      <w:r>
        <w:rPr>
          <w:color w:val="231F20"/>
          <w:spacing w:val="-14"/>
          <w:w w:val="105"/>
        </w:rPr>
        <w:t> </w:t>
      </w:r>
      <w:r>
        <w:rPr>
          <w:color w:val="231F20"/>
          <w:w w:val="105"/>
        </w:rPr>
        <w:t>efecto.</w:t>
      </w:r>
      <w:r>
        <w:rPr>
          <w:color w:val="231F20"/>
          <w:spacing w:val="-19"/>
          <w:w w:val="105"/>
        </w:rPr>
        <w:t> </w:t>
      </w:r>
      <w:r>
        <w:rPr>
          <w:color w:val="231F20"/>
          <w:spacing w:val="-6"/>
          <w:w w:val="105"/>
        </w:rPr>
        <w:t>Por</w:t>
      </w:r>
      <w:r>
        <w:rPr>
          <w:color w:val="231F20"/>
          <w:spacing w:val="-14"/>
          <w:w w:val="105"/>
        </w:rPr>
        <w:t> </w:t>
      </w:r>
      <w:r>
        <w:rPr>
          <w:color w:val="231F20"/>
          <w:w w:val="105"/>
        </w:rPr>
        <w:t>esto,</w:t>
      </w:r>
      <w:r>
        <w:rPr>
          <w:color w:val="231F20"/>
          <w:spacing w:val="-19"/>
          <w:w w:val="105"/>
        </w:rPr>
        <w:t> </w:t>
      </w:r>
      <w:r>
        <w:rPr>
          <w:color w:val="231F20"/>
          <w:w w:val="105"/>
        </w:rPr>
        <w:t>a</w:t>
      </w:r>
      <w:r>
        <w:rPr>
          <w:color w:val="231F20"/>
          <w:spacing w:val="-14"/>
          <w:w w:val="105"/>
        </w:rPr>
        <w:t> </w:t>
      </w:r>
      <w:r>
        <w:rPr>
          <w:color w:val="231F20"/>
          <w:w w:val="105"/>
        </w:rPr>
        <w:t>continuación se</w:t>
      </w:r>
      <w:r>
        <w:rPr>
          <w:color w:val="231F20"/>
          <w:spacing w:val="-9"/>
          <w:w w:val="105"/>
        </w:rPr>
        <w:t> </w:t>
      </w:r>
      <w:r>
        <w:rPr>
          <w:color w:val="231F20"/>
          <w:w w:val="105"/>
        </w:rPr>
        <w:t>presenta</w:t>
      </w:r>
      <w:r>
        <w:rPr>
          <w:color w:val="231F20"/>
          <w:spacing w:val="-9"/>
          <w:w w:val="105"/>
        </w:rPr>
        <w:t> </w:t>
      </w:r>
      <w:r>
        <w:rPr>
          <w:color w:val="231F20"/>
          <w:w w:val="105"/>
        </w:rPr>
        <w:t>una</w:t>
      </w:r>
      <w:r>
        <w:rPr>
          <w:color w:val="231F20"/>
          <w:spacing w:val="-9"/>
          <w:w w:val="105"/>
        </w:rPr>
        <w:t> </w:t>
      </w:r>
      <w:r>
        <w:rPr>
          <w:color w:val="231F20"/>
          <w:w w:val="105"/>
        </w:rPr>
        <w:t>descripción</w:t>
      </w:r>
      <w:r>
        <w:rPr>
          <w:color w:val="231F20"/>
          <w:spacing w:val="-9"/>
          <w:w w:val="105"/>
        </w:rPr>
        <w:t> </w:t>
      </w:r>
      <w:r>
        <w:rPr>
          <w:color w:val="231F20"/>
          <w:w w:val="105"/>
        </w:rPr>
        <w:t>más</w:t>
      </w:r>
      <w:r>
        <w:rPr>
          <w:color w:val="231F20"/>
          <w:spacing w:val="-9"/>
          <w:w w:val="105"/>
        </w:rPr>
        <w:t> </w:t>
      </w:r>
      <w:r>
        <w:rPr>
          <w:color w:val="231F20"/>
          <w:w w:val="105"/>
        </w:rPr>
        <w:t>detallada</w:t>
      </w:r>
      <w:r>
        <w:rPr>
          <w:color w:val="231F20"/>
          <w:spacing w:val="-9"/>
          <w:w w:val="105"/>
        </w:rPr>
        <w:t> </w:t>
      </w:r>
      <w:r>
        <w:rPr>
          <w:color w:val="231F20"/>
          <w:w w:val="105"/>
        </w:rPr>
        <w:t>sobre</w:t>
      </w:r>
      <w:r>
        <w:rPr>
          <w:color w:val="231F20"/>
          <w:spacing w:val="-9"/>
          <w:w w:val="105"/>
        </w:rPr>
        <w:t> </w:t>
      </w:r>
      <w:r>
        <w:rPr>
          <w:color w:val="231F20"/>
          <w:w w:val="105"/>
        </w:rPr>
        <w:t>el</w:t>
      </w:r>
      <w:r>
        <w:rPr>
          <w:color w:val="231F20"/>
          <w:spacing w:val="-9"/>
          <w:w w:val="105"/>
        </w:rPr>
        <w:t> </w:t>
      </w:r>
      <w:r>
        <w:rPr>
          <w:color w:val="231F20"/>
          <w:w w:val="105"/>
        </w:rPr>
        <w:t>modelo</w:t>
      </w:r>
      <w:r>
        <w:rPr>
          <w:color w:val="231F20"/>
          <w:spacing w:val="-9"/>
          <w:w w:val="105"/>
        </w:rPr>
        <w:t> </w:t>
      </w:r>
      <w:r>
        <w:rPr>
          <w:color w:val="231F20"/>
          <w:w w:val="105"/>
        </w:rPr>
        <w:t>EFQM,</w:t>
      </w:r>
      <w:r>
        <w:rPr>
          <w:color w:val="231F20"/>
          <w:spacing w:val="-14"/>
          <w:w w:val="105"/>
        </w:rPr>
        <w:t> </w:t>
      </w:r>
      <w:r>
        <w:rPr>
          <w:color w:val="231F20"/>
          <w:w w:val="105"/>
        </w:rPr>
        <w:t>con la</w:t>
      </w:r>
      <w:r>
        <w:rPr>
          <w:color w:val="231F20"/>
          <w:spacing w:val="-39"/>
          <w:w w:val="105"/>
        </w:rPr>
        <w:t> </w:t>
      </w:r>
      <w:r>
        <w:rPr>
          <w:color w:val="231F20"/>
          <w:w w:val="105"/>
        </w:rPr>
        <w:t>respectiva</w:t>
      </w:r>
      <w:r>
        <w:rPr>
          <w:color w:val="231F20"/>
          <w:spacing w:val="-39"/>
          <w:w w:val="105"/>
        </w:rPr>
        <w:t> </w:t>
      </w:r>
      <w:r>
        <w:rPr>
          <w:color w:val="231F20"/>
          <w:w w:val="105"/>
        </w:rPr>
        <w:t>evidencia</w:t>
      </w:r>
      <w:r>
        <w:rPr>
          <w:color w:val="231F20"/>
          <w:spacing w:val="-39"/>
          <w:w w:val="105"/>
        </w:rPr>
        <w:t> </w:t>
      </w:r>
      <w:r>
        <w:rPr>
          <w:color w:val="231F20"/>
          <w:w w:val="105"/>
        </w:rPr>
        <w:t>empírica</w:t>
      </w:r>
      <w:r>
        <w:rPr>
          <w:color w:val="231F20"/>
          <w:spacing w:val="-39"/>
          <w:w w:val="105"/>
        </w:rPr>
        <w:t> </w:t>
      </w:r>
      <w:r>
        <w:rPr>
          <w:color w:val="231F20"/>
          <w:w w:val="105"/>
        </w:rPr>
        <w:t>en</w:t>
      </w:r>
      <w:r>
        <w:rPr>
          <w:color w:val="231F20"/>
          <w:spacing w:val="-39"/>
          <w:w w:val="105"/>
        </w:rPr>
        <w:t> </w:t>
      </w:r>
      <w:r>
        <w:rPr>
          <w:color w:val="231F20"/>
          <w:w w:val="105"/>
        </w:rPr>
        <w:t>IPES.</w:t>
      </w:r>
    </w:p>
    <w:p>
      <w:pPr>
        <w:pStyle w:val="BodyText"/>
        <w:rPr>
          <w:sz w:val="20"/>
        </w:rPr>
      </w:pPr>
    </w:p>
    <w:p>
      <w:pPr>
        <w:pStyle w:val="BodyText"/>
        <w:spacing w:before="7"/>
        <w:rPr>
          <w:sz w:val="18"/>
        </w:rPr>
      </w:pPr>
    </w:p>
    <w:p>
      <w:pPr>
        <w:pStyle w:val="Heading2"/>
      </w:pPr>
      <w:r>
        <w:rPr>
          <w:color w:val="231F20"/>
        </w:rPr>
        <w:t>Modelo europeo de excelencia administrativa EFQM</w:t>
      </w:r>
    </w:p>
    <w:p>
      <w:pPr>
        <w:pStyle w:val="BodyText"/>
        <w:rPr>
          <w:b/>
          <w:sz w:val="22"/>
        </w:rPr>
      </w:pPr>
    </w:p>
    <w:p>
      <w:pPr>
        <w:pStyle w:val="BodyText"/>
        <w:spacing w:line="259" w:lineRule="auto" w:before="160"/>
        <w:ind w:left="117" w:right="115"/>
        <w:jc w:val="both"/>
      </w:pPr>
      <w:r>
        <w:rPr>
          <w:color w:val="231F20"/>
          <w:w w:val="105"/>
        </w:rPr>
        <w:t>La</w:t>
      </w:r>
      <w:r>
        <w:rPr>
          <w:color w:val="231F20"/>
          <w:spacing w:val="-12"/>
          <w:w w:val="105"/>
        </w:rPr>
        <w:t> </w:t>
      </w:r>
      <w:r>
        <w:rPr>
          <w:color w:val="231F20"/>
          <w:w w:val="105"/>
        </w:rPr>
        <w:t>figura</w:t>
      </w:r>
      <w:r>
        <w:rPr>
          <w:color w:val="231F20"/>
          <w:spacing w:val="-12"/>
          <w:w w:val="105"/>
        </w:rPr>
        <w:t> </w:t>
      </w:r>
      <w:r>
        <w:rPr>
          <w:color w:val="231F20"/>
          <w:w w:val="105"/>
        </w:rPr>
        <w:t>2</w:t>
      </w:r>
      <w:r>
        <w:rPr>
          <w:color w:val="231F20"/>
          <w:spacing w:val="-12"/>
          <w:w w:val="105"/>
        </w:rPr>
        <w:t> </w:t>
      </w:r>
      <w:r>
        <w:rPr>
          <w:color w:val="231F20"/>
          <w:w w:val="105"/>
        </w:rPr>
        <w:t>muestra</w:t>
      </w:r>
      <w:r>
        <w:rPr>
          <w:color w:val="231F20"/>
          <w:spacing w:val="-12"/>
          <w:w w:val="105"/>
        </w:rPr>
        <w:t> </w:t>
      </w:r>
      <w:r>
        <w:rPr>
          <w:color w:val="231F20"/>
          <w:w w:val="105"/>
        </w:rPr>
        <w:t>el</w:t>
      </w:r>
      <w:r>
        <w:rPr>
          <w:color w:val="231F20"/>
          <w:spacing w:val="-12"/>
          <w:w w:val="105"/>
        </w:rPr>
        <w:t> </w:t>
      </w:r>
      <w:r>
        <w:rPr>
          <w:color w:val="231F20"/>
          <w:w w:val="105"/>
        </w:rPr>
        <w:t>modelo</w:t>
      </w:r>
      <w:r>
        <w:rPr>
          <w:color w:val="231F20"/>
          <w:spacing w:val="-12"/>
          <w:w w:val="105"/>
        </w:rPr>
        <w:t> </w:t>
      </w:r>
      <w:r>
        <w:rPr>
          <w:color w:val="231F20"/>
          <w:w w:val="105"/>
        </w:rPr>
        <w:t>de</w:t>
      </w:r>
      <w:r>
        <w:rPr>
          <w:color w:val="231F20"/>
          <w:spacing w:val="-12"/>
          <w:w w:val="105"/>
        </w:rPr>
        <w:t> </w:t>
      </w:r>
      <w:r>
        <w:rPr>
          <w:color w:val="231F20"/>
          <w:w w:val="105"/>
        </w:rPr>
        <w:t>excelencia</w:t>
      </w:r>
      <w:r>
        <w:rPr>
          <w:color w:val="231F20"/>
          <w:spacing w:val="-12"/>
          <w:w w:val="105"/>
        </w:rPr>
        <w:t> </w:t>
      </w:r>
      <w:r>
        <w:rPr>
          <w:color w:val="231F20"/>
          <w:w w:val="105"/>
        </w:rPr>
        <w:t>administrativa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EFQM. En</w:t>
      </w:r>
      <w:r>
        <w:rPr>
          <w:color w:val="231F20"/>
          <w:spacing w:val="-17"/>
          <w:w w:val="105"/>
        </w:rPr>
        <w:t> </w:t>
      </w:r>
      <w:r>
        <w:rPr>
          <w:color w:val="231F20"/>
          <w:w w:val="105"/>
        </w:rPr>
        <w:t>él</w:t>
      </w:r>
      <w:r>
        <w:rPr>
          <w:color w:val="231F20"/>
          <w:spacing w:val="-17"/>
          <w:w w:val="105"/>
        </w:rPr>
        <w:t> </w:t>
      </w:r>
      <w:r>
        <w:rPr>
          <w:color w:val="231F20"/>
          <w:w w:val="105"/>
        </w:rPr>
        <w:t>se</w:t>
      </w:r>
      <w:r>
        <w:rPr>
          <w:color w:val="231F20"/>
          <w:spacing w:val="-17"/>
          <w:w w:val="105"/>
        </w:rPr>
        <w:t> </w:t>
      </w:r>
      <w:r>
        <w:rPr>
          <w:color w:val="231F20"/>
          <w:w w:val="105"/>
        </w:rPr>
        <w:t>asume</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organización</w:t>
      </w:r>
      <w:r>
        <w:rPr>
          <w:color w:val="231F20"/>
          <w:spacing w:val="-17"/>
          <w:w w:val="105"/>
        </w:rPr>
        <w:t> </w:t>
      </w:r>
      <w:r>
        <w:rPr>
          <w:color w:val="231F20"/>
          <w:w w:val="105"/>
        </w:rPr>
        <w:t>obtiene</w:t>
      </w:r>
      <w:r>
        <w:rPr>
          <w:color w:val="231F20"/>
          <w:spacing w:val="-17"/>
          <w:w w:val="105"/>
        </w:rPr>
        <w:t> </w:t>
      </w:r>
      <w:r>
        <w:rPr>
          <w:color w:val="231F20"/>
          <w:w w:val="105"/>
        </w:rPr>
        <w:t>resultados</w:t>
      </w:r>
      <w:r>
        <w:rPr>
          <w:color w:val="231F20"/>
          <w:spacing w:val="-17"/>
          <w:w w:val="105"/>
        </w:rPr>
        <w:t> </w:t>
      </w:r>
      <w:r>
        <w:rPr>
          <w:color w:val="231F20"/>
          <w:w w:val="105"/>
        </w:rPr>
        <w:t>a</w:t>
      </w:r>
      <w:r>
        <w:rPr>
          <w:color w:val="231F20"/>
          <w:spacing w:val="-17"/>
          <w:w w:val="105"/>
        </w:rPr>
        <w:t> </w:t>
      </w:r>
      <w:r>
        <w:rPr>
          <w:color w:val="231F20"/>
          <w:w w:val="105"/>
        </w:rPr>
        <w:t>través</w:t>
      </w:r>
      <w:r>
        <w:rPr>
          <w:color w:val="231F20"/>
          <w:spacing w:val="-17"/>
          <w:w w:val="105"/>
        </w:rPr>
        <w:t> </w:t>
      </w:r>
      <w:r>
        <w:rPr>
          <w:color w:val="231F20"/>
          <w:w w:val="105"/>
        </w:rPr>
        <w:t>del</w:t>
      </w:r>
      <w:r>
        <w:rPr>
          <w:color w:val="231F20"/>
          <w:spacing w:val="-17"/>
          <w:w w:val="105"/>
        </w:rPr>
        <w:t> </w:t>
      </w:r>
      <w:r>
        <w:rPr>
          <w:color w:val="231F20"/>
          <w:w w:val="105"/>
        </w:rPr>
        <w:t>com- portamiento</w:t>
      </w:r>
      <w:r>
        <w:rPr>
          <w:color w:val="231F20"/>
          <w:spacing w:val="-21"/>
          <w:w w:val="105"/>
        </w:rPr>
        <w:t> </w:t>
      </w:r>
      <w:r>
        <w:rPr>
          <w:color w:val="231F20"/>
          <w:w w:val="105"/>
        </w:rPr>
        <w:t>de</w:t>
      </w:r>
      <w:r>
        <w:rPr>
          <w:color w:val="231F20"/>
          <w:spacing w:val="-21"/>
          <w:w w:val="105"/>
        </w:rPr>
        <w:t> </w:t>
      </w:r>
      <w:r>
        <w:rPr>
          <w:color w:val="231F20"/>
          <w:w w:val="105"/>
        </w:rPr>
        <w:t>sus</w:t>
      </w:r>
      <w:r>
        <w:rPr>
          <w:color w:val="231F20"/>
          <w:spacing w:val="-21"/>
          <w:w w:val="105"/>
        </w:rPr>
        <w:t> </w:t>
      </w:r>
      <w:r>
        <w:rPr>
          <w:color w:val="231F20"/>
          <w:w w:val="105"/>
        </w:rPr>
        <w:t>cinco</w:t>
      </w:r>
      <w:r>
        <w:rPr>
          <w:color w:val="231F20"/>
          <w:spacing w:val="-21"/>
          <w:w w:val="105"/>
        </w:rPr>
        <w:t> </w:t>
      </w:r>
      <w:r>
        <w:rPr>
          <w:color w:val="231F20"/>
          <w:w w:val="105"/>
        </w:rPr>
        <w:t>agentes:</w:t>
      </w:r>
      <w:r>
        <w:rPr>
          <w:color w:val="231F20"/>
          <w:spacing w:val="-21"/>
          <w:w w:val="105"/>
        </w:rPr>
        <w:t> </w:t>
      </w:r>
      <w:r>
        <w:rPr>
          <w:color w:val="231F20"/>
          <w:w w:val="105"/>
        </w:rPr>
        <w:t>liderazgo,</w:t>
      </w:r>
      <w:r>
        <w:rPr>
          <w:color w:val="231F20"/>
          <w:spacing w:val="-26"/>
          <w:w w:val="105"/>
        </w:rPr>
        <w:t> </w:t>
      </w:r>
      <w:r>
        <w:rPr>
          <w:color w:val="231F20"/>
          <w:w w:val="105"/>
        </w:rPr>
        <w:t>personas,</w:t>
      </w:r>
      <w:r>
        <w:rPr>
          <w:color w:val="231F20"/>
          <w:spacing w:val="-26"/>
          <w:w w:val="105"/>
        </w:rPr>
        <w:t> </w:t>
      </w:r>
      <w:r>
        <w:rPr>
          <w:color w:val="231F20"/>
          <w:w w:val="105"/>
        </w:rPr>
        <w:t>estrategia,</w:t>
      </w:r>
      <w:r>
        <w:rPr>
          <w:color w:val="231F20"/>
          <w:spacing w:val="-26"/>
          <w:w w:val="105"/>
        </w:rPr>
        <w:t> </w:t>
      </w:r>
      <w:r>
        <w:rPr>
          <w:color w:val="231F20"/>
          <w:w w:val="105"/>
        </w:rPr>
        <w:t>alian- zas</w:t>
      </w:r>
      <w:r>
        <w:rPr>
          <w:color w:val="231F20"/>
          <w:spacing w:val="-15"/>
          <w:w w:val="105"/>
        </w:rPr>
        <w:t> </w:t>
      </w:r>
      <w:r>
        <w:rPr>
          <w:color w:val="231F20"/>
          <w:w w:val="105"/>
        </w:rPr>
        <w:t>y</w:t>
      </w:r>
      <w:r>
        <w:rPr>
          <w:color w:val="231F20"/>
          <w:spacing w:val="-15"/>
          <w:w w:val="105"/>
        </w:rPr>
        <w:t> </w:t>
      </w:r>
      <w:r>
        <w:rPr>
          <w:color w:val="231F20"/>
          <w:w w:val="105"/>
        </w:rPr>
        <w:t>recursos,</w:t>
      </w:r>
      <w:r>
        <w:rPr>
          <w:color w:val="231F20"/>
          <w:spacing w:val="-19"/>
          <w:w w:val="105"/>
        </w:rPr>
        <w:t> </w:t>
      </w:r>
      <w:r>
        <w:rPr>
          <w:color w:val="231F20"/>
          <w:w w:val="105"/>
        </w:rPr>
        <w:t>procesos,</w:t>
      </w:r>
      <w:r>
        <w:rPr>
          <w:color w:val="231F20"/>
          <w:spacing w:val="-19"/>
          <w:w w:val="105"/>
        </w:rPr>
        <w:t> </w:t>
      </w:r>
      <w:r>
        <w:rPr>
          <w:color w:val="231F20"/>
          <w:w w:val="105"/>
        </w:rPr>
        <w:t>productos</w:t>
      </w:r>
      <w:r>
        <w:rPr>
          <w:color w:val="231F20"/>
          <w:spacing w:val="-15"/>
          <w:w w:val="105"/>
        </w:rPr>
        <w:t> </w:t>
      </w:r>
      <w:r>
        <w:rPr>
          <w:color w:val="231F20"/>
          <w:w w:val="105"/>
        </w:rPr>
        <w:t>y</w:t>
      </w:r>
      <w:r>
        <w:rPr>
          <w:color w:val="231F20"/>
          <w:spacing w:val="-15"/>
          <w:w w:val="105"/>
        </w:rPr>
        <w:t> </w:t>
      </w:r>
      <w:r>
        <w:rPr>
          <w:color w:val="231F20"/>
          <w:w w:val="105"/>
        </w:rPr>
        <w:t>servicios.</w:t>
      </w:r>
      <w:r>
        <w:rPr>
          <w:color w:val="231F20"/>
          <w:spacing w:val="-19"/>
          <w:w w:val="105"/>
        </w:rPr>
        <w:t> </w:t>
      </w:r>
      <w:r>
        <w:rPr>
          <w:color w:val="231F20"/>
          <w:w w:val="105"/>
        </w:rPr>
        <w:t>Los</w:t>
      </w:r>
      <w:r>
        <w:rPr>
          <w:color w:val="231F20"/>
          <w:spacing w:val="-15"/>
          <w:w w:val="105"/>
        </w:rPr>
        <w:t> </w:t>
      </w:r>
      <w:r>
        <w:rPr>
          <w:color w:val="231F20"/>
          <w:w w:val="105"/>
        </w:rPr>
        <w:t>resultados</w:t>
      </w:r>
      <w:r>
        <w:rPr>
          <w:color w:val="231F20"/>
          <w:spacing w:val="-15"/>
          <w:w w:val="105"/>
        </w:rPr>
        <w:t> </w:t>
      </w:r>
      <w:r>
        <w:rPr>
          <w:color w:val="231F20"/>
          <w:w w:val="105"/>
        </w:rPr>
        <w:t>de</w:t>
      </w:r>
      <w:r>
        <w:rPr>
          <w:color w:val="231F20"/>
          <w:spacing w:val="-15"/>
          <w:w w:val="105"/>
        </w:rPr>
        <w:t> </w:t>
      </w:r>
      <w:r>
        <w:rPr>
          <w:color w:val="231F20"/>
          <w:w w:val="105"/>
        </w:rPr>
        <w:t>estos agentes</w:t>
      </w:r>
      <w:r>
        <w:rPr>
          <w:color w:val="231F20"/>
          <w:spacing w:val="-11"/>
          <w:w w:val="105"/>
        </w:rPr>
        <w:t> </w:t>
      </w:r>
      <w:r>
        <w:rPr>
          <w:color w:val="231F20"/>
          <w:w w:val="105"/>
        </w:rPr>
        <w:t>se</w:t>
      </w:r>
      <w:r>
        <w:rPr>
          <w:color w:val="231F20"/>
          <w:spacing w:val="-11"/>
          <w:w w:val="105"/>
        </w:rPr>
        <w:t> </w:t>
      </w:r>
      <w:r>
        <w:rPr>
          <w:color w:val="231F20"/>
          <w:w w:val="105"/>
        </w:rPr>
        <w:t>ven</w:t>
      </w:r>
      <w:r>
        <w:rPr>
          <w:color w:val="231F20"/>
          <w:spacing w:val="-11"/>
          <w:w w:val="105"/>
        </w:rPr>
        <w:t> </w:t>
      </w:r>
      <w:r>
        <w:rPr>
          <w:color w:val="231F20"/>
          <w:w w:val="105"/>
        </w:rPr>
        <w:t>reflejados</w:t>
      </w:r>
      <w:r>
        <w:rPr>
          <w:color w:val="231F20"/>
          <w:spacing w:val="-11"/>
          <w:w w:val="105"/>
        </w:rPr>
        <w:t> </w:t>
      </w:r>
      <w:r>
        <w:rPr>
          <w:color w:val="231F20"/>
          <w:w w:val="105"/>
        </w:rPr>
        <w:t>en</w:t>
      </w:r>
      <w:r>
        <w:rPr>
          <w:color w:val="231F20"/>
          <w:spacing w:val="-11"/>
          <w:w w:val="105"/>
        </w:rPr>
        <w:t> </w:t>
      </w:r>
      <w:r>
        <w:rPr>
          <w:color w:val="231F20"/>
          <w:w w:val="105"/>
        </w:rPr>
        <w:t>cuatro</w:t>
      </w:r>
      <w:r>
        <w:rPr>
          <w:color w:val="231F20"/>
          <w:spacing w:val="-11"/>
          <w:w w:val="105"/>
        </w:rPr>
        <w:t> </w:t>
      </w:r>
      <w:r>
        <w:rPr>
          <w:color w:val="231F20"/>
          <w:w w:val="105"/>
        </w:rPr>
        <w:t>ámbitos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las</w:t>
      </w:r>
      <w:r>
        <w:rPr>
          <w:color w:val="231F20"/>
          <w:spacing w:val="-11"/>
          <w:w w:val="105"/>
        </w:rPr>
        <w:t> </w:t>
      </w:r>
      <w:r>
        <w:rPr>
          <w:color w:val="231F20"/>
          <w:w w:val="105"/>
        </w:rPr>
        <w:t>per- sonas,</w:t>
      </w:r>
      <w:r>
        <w:rPr>
          <w:color w:val="231F20"/>
          <w:spacing w:val="-32"/>
          <w:w w:val="105"/>
        </w:rPr>
        <w:t> </w:t>
      </w:r>
      <w:r>
        <w:rPr>
          <w:color w:val="231F20"/>
          <w:w w:val="105"/>
        </w:rPr>
        <w:t>los</w:t>
      </w:r>
      <w:r>
        <w:rPr>
          <w:color w:val="231F20"/>
          <w:spacing w:val="-28"/>
          <w:w w:val="105"/>
        </w:rPr>
        <w:t> </w:t>
      </w:r>
      <w:r>
        <w:rPr>
          <w:color w:val="231F20"/>
          <w:w w:val="105"/>
        </w:rPr>
        <w:t>clientes,</w:t>
      </w:r>
      <w:r>
        <w:rPr>
          <w:color w:val="231F20"/>
          <w:spacing w:val="-32"/>
          <w:w w:val="105"/>
        </w:rPr>
        <w:t> </w:t>
      </w:r>
      <w:r>
        <w:rPr>
          <w:color w:val="231F20"/>
          <w:w w:val="105"/>
        </w:rPr>
        <w:t>la</w:t>
      </w:r>
      <w:r>
        <w:rPr>
          <w:color w:val="231F20"/>
          <w:spacing w:val="-28"/>
          <w:w w:val="105"/>
        </w:rPr>
        <w:t> </w:t>
      </w:r>
      <w:r>
        <w:rPr>
          <w:color w:val="231F20"/>
          <w:w w:val="105"/>
        </w:rPr>
        <w:t>sociedad</w:t>
      </w:r>
      <w:r>
        <w:rPr>
          <w:color w:val="231F20"/>
          <w:spacing w:val="-28"/>
          <w:w w:val="105"/>
        </w:rPr>
        <w:t> </w:t>
      </w:r>
      <w:r>
        <w:rPr>
          <w:color w:val="231F20"/>
          <w:w w:val="105"/>
        </w:rPr>
        <w:t>y</w:t>
      </w:r>
      <w:r>
        <w:rPr>
          <w:color w:val="231F20"/>
          <w:spacing w:val="-28"/>
          <w:w w:val="105"/>
        </w:rPr>
        <w:t> </w:t>
      </w:r>
      <w:r>
        <w:rPr>
          <w:color w:val="231F20"/>
          <w:w w:val="105"/>
        </w:rPr>
        <w:t>los</w:t>
      </w:r>
      <w:r>
        <w:rPr>
          <w:color w:val="231F20"/>
          <w:spacing w:val="-28"/>
          <w:w w:val="105"/>
        </w:rPr>
        <w:t> </w:t>
      </w:r>
      <w:r>
        <w:rPr>
          <w:color w:val="231F20"/>
          <w:w w:val="105"/>
        </w:rPr>
        <w:t>resultados</w:t>
      </w:r>
      <w:r>
        <w:rPr>
          <w:color w:val="231F20"/>
          <w:spacing w:val="-28"/>
          <w:w w:val="105"/>
        </w:rPr>
        <w:t> </w:t>
      </w:r>
      <w:r>
        <w:rPr>
          <w:color w:val="231F20"/>
          <w:w w:val="105"/>
        </w:rPr>
        <w:t>clave.</w:t>
      </w:r>
      <w:r>
        <w:rPr>
          <w:color w:val="231F20"/>
          <w:spacing w:val="-32"/>
          <w:w w:val="105"/>
        </w:rPr>
        <w:t> </w:t>
      </w:r>
      <w:r>
        <w:rPr>
          <w:color w:val="231F20"/>
          <w:w w:val="105"/>
        </w:rPr>
        <w:t>Las</w:t>
      </w:r>
      <w:r>
        <w:rPr>
          <w:color w:val="231F20"/>
          <w:spacing w:val="-28"/>
          <w:w w:val="105"/>
        </w:rPr>
        <w:t> </w:t>
      </w:r>
      <w:r>
        <w:rPr>
          <w:color w:val="231F20"/>
          <w:w w:val="105"/>
        </w:rPr>
        <w:t>flechas</w:t>
      </w:r>
      <w:r>
        <w:rPr>
          <w:color w:val="231F20"/>
          <w:spacing w:val="-28"/>
          <w:w w:val="105"/>
        </w:rPr>
        <w:t> </w:t>
      </w:r>
      <w:r>
        <w:rPr>
          <w:color w:val="231F20"/>
          <w:w w:val="105"/>
        </w:rPr>
        <w:t>reflejan la</w:t>
      </w:r>
      <w:r>
        <w:rPr>
          <w:color w:val="231F20"/>
          <w:spacing w:val="-8"/>
          <w:w w:val="105"/>
        </w:rPr>
        <w:t> </w:t>
      </w:r>
      <w:r>
        <w:rPr>
          <w:color w:val="231F20"/>
          <w:w w:val="105"/>
        </w:rPr>
        <w:t>naturaleza</w:t>
      </w:r>
      <w:r>
        <w:rPr>
          <w:color w:val="231F20"/>
          <w:spacing w:val="-8"/>
          <w:w w:val="105"/>
        </w:rPr>
        <w:t> </w:t>
      </w:r>
      <w:r>
        <w:rPr>
          <w:color w:val="231F20"/>
          <w:w w:val="105"/>
        </w:rPr>
        <w:t>dinámica</w:t>
      </w:r>
      <w:r>
        <w:rPr>
          <w:color w:val="231F20"/>
          <w:spacing w:val="-8"/>
          <w:w w:val="105"/>
        </w:rPr>
        <w:t> </w:t>
      </w:r>
      <w:r>
        <w:rPr>
          <w:color w:val="231F20"/>
          <w:w w:val="105"/>
        </w:rPr>
        <w:t>del</w:t>
      </w:r>
      <w:r>
        <w:rPr>
          <w:color w:val="231F20"/>
          <w:spacing w:val="-8"/>
          <w:w w:val="105"/>
        </w:rPr>
        <w:t> </w:t>
      </w:r>
      <w:r>
        <w:rPr>
          <w:color w:val="231F20"/>
          <w:w w:val="105"/>
        </w:rPr>
        <w:t>modelo;</w:t>
      </w:r>
      <w:r>
        <w:rPr>
          <w:color w:val="231F20"/>
          <w:spacing w:val="-8"/>
          <w:w w:val="105"/>
        </w:rPr>
        <w:t> </w:t>
      </w:r>
      <w:r>
        <w:rPr>
          <w:color w:val="231F20"/>
          <w:w w:val="105"/>
        </w:rPr>
        <w:t>la</w:t>
      </w:r>
      <w:r>
        <w:rPr>
          <w:color w:val="231F20"/>
          <w:spacing w:val="-8"/>
          <w:w w:val="105"/>
        </w:rPr>
        <w:t> </w:t>
      </w:r>
      <w:r>
        <w:rPr>
          <w:color w:val="231F20"/>
          <w:w w:val="105"/>
        </w:rPr>
        <w:t>innovación,</w:t>
      </w:r>
      <w:r>
        <w:rPr>
          <w:color w:val="231F20"/>
          <w:spacing w:val="-14"/>
          <w:w w:val="105"/>
        </w:rPr>
        <w:t> </w:t>
      </w:r>
      <w:r>
        <w:rPr>
          <w:color w:val="231F20"/>
          <w:w w:val="105"/>
        </w:rPr>
        <w:t>creatividad</w:t>
      </w:r>
      <w:r>
        <w:rPr>
          <w:color w:val="231F20"/>
          <w:spacing w:val="-8"/>
          <w:w w:val="105"/>
        </w:rPr>
        <w:t> </w:t>
      </w:r>
      <w:r>
        <w:rPr>
          <w:color w:val="231F20"/>
          <w:w w:val="105"/>
        </w:rPr>
        <w:t>y</w:t>
      </w:r>
      <w:r>
        <w:rPr>
          <w:color w:val="231F20"/>
          <w:spacing w:val="-8"/>
          <w:w w:val="105"/>
        </w:rPr>
        <w:t> </w:t>
      </w:r>
      <w:r>
        <w:rPr>
          <w:color w:val="231F20"/>
          <w:w w:val="105"/>
        </w:rPr>
        <w:t>aprendi- zaje</w:t>
      </w:r>
      <w:r>
        <w:rPr>
          <w:color w:val="231F20"/>
          <w:spacing w:val="-21"/>
          <w:w w:val="105"/>
        </w:rPr>
        <w:t> </w:t>
      </w:r>
      <w:r>
        <w:rPr>
          <w:color w:val="231F20"/>
          <w:w w:val="105"/>
        </w:rPr>
        <w:t>brindan</w:t>
      </w:r>
      <w:r>
        <w:rPr>
          <w:color w:val="231F20"/>
          <w:spacing w:val="-21"/>
          <w:w w:val="105"/>
        </w:rPr>
        <w:t> </w:t>
      </w:r>
      <w:r>
        <w:rPr>
          <w:color w:val="231F20"/>
          <w:w w:val="105"/>
        </w:rPr>
        <w:t>retroalimentación</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agentes</w:t>
      </w:r>
      <w:r>
        <w:rPr>
          <w:color w:val="231F20"/>
          <w:spacing w:val="-21"/>
          <w:w w:val="105"/>
        </w:rPr>
        <w:t> </w:t>
      </w:r>
      <w:r>
        <w:rPr>
          <w:color w:val="231F20"/>
          <w:w w:val="105"/>
        </w:rPr>
        <w:t>produciendo</w:t>
      </w:r>
      <w:r>
        <w:rPr>
          <w:color w:val="231F20"/>
          <w:spacing w:val="-21"/>
          <w:w w:val="105"/>
        </w:rPr>
        <w:t> </w:t>
      </w:r>
      <w:r>
        <w:rPr>
          <w:color w:val="231F20"/>
          <w:w w:val="105"/>
        </w:rPr>
        <w:t>mejoras</w:t>
      </w:r>
      <w:r>
        <w:rPr>
          <w:color w:val="231F20"/>
          <w:spacing w:val="-21"/>
          <w:w w:val="105"/>
        </w:rPr>
        <w:t> </w:t>
      </w:r>
      <w:r>
        <w:rPr>
          <w:color w:val="231F20"/>
          <w:w w:val="105"/>
        </w:rPr>
        <w:t>en</w:t>
      </w:r>
      <w:r>
        <w:rPr>
          <w:color w:val="231F20"/>
          <w:spacing w:val="-21"/>
          <w:w w:val="105"/>
        </w:rPr>
        <w:t> </w:t>
      </w:r>
      <w:r>
        <w:rPr>
          <w:color w:val="231F20"/>
          <w:w w:val="105"/>
        </w:rPr>
        <w:t>los resultados</w:t>
      </w:r>
      <w:r>
        <w:rPr>
          <w:color w:val="231F20"/>
          <w:spacing w:val="-34"/>
          <w:w w:val="105"/>
        </w:rPr>
        <w:t> </w:t>
      </w:r>
      <w:r>
        <w:rPr>
          <w:color w:val="231F20"/>
          <w:w w:val="105"/>
        </w:rPr>
        <w:t>(Kim,</w:t>
      </w:r>
      <w:r>
        <w:rPr>
          <w:color w:val="231F20"/>
          <w:spacing w:val="-38"/>
          <w:w w:val="105"/>
        </w:rPr>
        <w:t> </w:t>
      </w:r>
      <w:r>
        <w:rPr>
          <w:color w:val="231F20"/>
          <w:w w:val="105"/>
        </w:rPr>
        <w:t>Kumar</w:t>
      </w:r>
      <w:r>
        <w:rPr>
          <w:color w:val="231F20"/>
          <w:spacing w:val="-34"/>
          <w:w w:val="105"/>
        </w:rPr>
        <w:t> </w:t>
      </w:r>
      <w:r>
        <w:rPr>
          <w:color w:val="231F20"/>
          <w:w w:val="105"/>
        </w:rPr>
        <w:t>y</w:t>
      </w:r>
      <w:r>
        <w:rPr>
          <w:color w:val="231F20"/>
          <w:spacing w:val="-34"/>
          <w:w w:val="105"/>
        </w:rPr>
        <w:t> </w:t>
      </w:r>
      <w:r>
        <w:rPr>
          <w:color w:val="231F20"/>
          <w:w w:val="105"/>
        </w:rPr>
        <w:t>Murphy,</w:t>
      </w:r>
      <w:r>
        <w:rPr>
          <w:color w:val="231F20"/>
          <w:spacing w:val="-38"/>
          <w:w w:val="105"/>
        </w:rPr>
        <w:t> </w:t>
      </w:r>
      <w:r>
        <w:rPr>
          <w:color w:val="231F20"/>
          <w:w w:val="105"/>
        </w:rPr>
        <w:t>2010).</w:t>
      </w:r>
    </w:p>
    <w:p>
      <w:pPr>
        <w:spacing w:after="0" w:line="259" w:lineRule="auto"/>
        <w:jc w:val="both"/>
        <w:sectPr>
          <w:pgSz w:w="9640" w:h="13890"/>
          <w:pgMar w:top="0" w:bottom="280" w:left="1300" w:right="1180"/>
        </w:sectPr>
      </w:pPr>
    </w:p>
    <w:p>
      <w:pPr>
        <w:spacing w:before="148"/>
        <w:ind w:left="4794" w:right="0" w:firstLine="0"/>
        <w:jc w:val="left"/>
        <w:rPr>
          <w:sz w:val="18"/>
        </w:rPr>
      </w:pPr>
      <w:r>
        <w:rPr/>
        <w:pict>
          <v:shape style="position:absolute;margin-left:22.123045pt;margin-top:25.706591pt;width:12pt;height:18.55pt;mso-position-horizontal-relative:page;mso-position-vertical-relative:paragraph;z-index:3520" type="#_x0000_t202" filled="false" stroked="false">
            <v:textbox inset="0,0,0,0" style="layout-flow:vertical">
              <w:txbxContent>
                <w:p>
                  <w:pPr>
                    <w:spacing w:line="209" w:lineRule="exact" w:before="0"/>
                    <w:ind w:left="20" w:right="-131" w:firstLine="0"/>
                    <w:jc w:val="left"/>
                    <w:rPr>
                      <w:sz w:val="20"/>
                    </w:rPr>
                  </w:pPr>
                  <w:r>
                    <w:rPr>
                      <w:color w:val="414042"/>
                      <w:spacing w:val="-1"/>
                      <w:w w:val="99"/>
                      <w:sz w:val="20"/>
                    </w:rPr>
                    <w:t>100</w:t>
                  </w:r>
                </w:p>
              </w:txbxContent>
            </v:textbox>
            <w10:wrap type="none"/>
          </v:shape>
        </w:pict>
      </w:r>
      <w:r>
        <w:rPr>
          <w:color w:val="231F20"/>
          <w:w w:val="105"/>
          <w:sz w:val="18"/>
        </w:rPr>
        <w:t>Figura 1. Comparativo entre modelos de excelencia.</w:t>
      </w:r>
    </w:p>
    <w:p>
      <w:pPr>
        <w:pStyle w:val="BodyText"/>
        <w:rPr>
          <w:sz w:val="20"/>
        </w:rPr>
      </w:pPr>
    </w:p>
    <w:p>
      <w:pPr>
        <w:pStyle w:val="BodyText"/>
        <w:rPr>
          <w:sz w:val="20"/>
        </w:rPr>
      </w:pPr>
    </w:p>
    <w:p>
      <w:pPr>
        <w:pStyle w:val="BodyText"/>
        <w:spacing w:before="6"/>
        <w:rPr>
          <w:sz w:val="23"/>
        </w:rPr>
      </w:pPr>
    </w:p>
    <w:p>
      <w:pPr>
        <w:tabs>
          <w:tab w:pos="715" w:val="left" w:leader="none"/>
        </w:tabs>
        <w:spacing w:before="76"/>
        <w:ind w:left="0" w:right="0" w:firstLine="0"/>
        <w:jc w:val="left"/>
        <w:rPr>
          <w:sz w:val="14"/>
        </w:rPr>
      </w:pPr>
      <w:r>
        <w:rPr/>
        <w:pict>
          <v:group style="position:absolute;margin-left:17.150pt;margin-top:3.638722pt;width:39.2pt;height:17.850pt;mso-position-horizontal-relative:page;mso-position-vertical-relative:paragraph;z-index:-244456" coordorigin="343,73" coordsize="784,357">
            <v:shape style="position:absolute;left:343;top:73;width:609;height:356" type="#_x0000_t75" stroked="false">
              <v:imagedata r:id="rId36" o:title=""/>
            </v:shape>
            <v:shape style="position:absolute;left:343;top:73;width:783;height:356" type="#_x0000_t75" stroked="false">
              <v:imagedata r:id="rId37" o:title=""/>
            </v:shape>
            <w10:wrap type="none"/>
          </v:group>
        </w:pict>
      </w:r>
      <w:r>
        <w:rPr/>
        <w:pict>
          <v:shape style="position:absolute;margin-left:26.019033pt;margin-top:26.679724pt;width:9.5pt;height:253.8pt;mso-position-horizontal-relative:page;mso-position-vertical-relative:paragraph;z-index:3496" type="#_x0000_t202" filled="false" stroked="false">
            <v:textbox inset="0,0,0,0" style="layout-flow:vertical">
              <w:txbxContent>
                <w:p>
                  <w:pPr>
                    <w:spacing w:line="173" w:lineRule="exact" w:before="0"/>
                    <w:ind w:left="20" w:right="-443" w:firstLine="0"/>
                    <w:jc w:val="left"/>
                    <w:rPr>
                      <w:rFonts w:ascii="Calibri" w:hAnsi="Calibri"/>
                      <w:sz w:val="15"/>
                    </w:rPr>
                  </w:pPr>
                  <w:r>
                    <w:rPr>
                      <w:rFonts w:ascii="Calibri" w:hAnsi="Calibri"/>
                      <w:color w:val="6D6E71"/>
                      <w:w w:val="101"/>
                      <w:sz w:val="15"/>
                    </w:rPr>
                    <w:t>Felipe</w:t>
                  </w:r>
                  <w:r>
                    <w:rPr>
                      <w:rFonts w:ascii="Calibri" w:hAnsi="Calibri"/>
                      <w:color w:val="6D6E71"/>
                      <w:spacing w:val="-2"/>
                      <w:sz w:val="15"/>
                    </w:rPr>
                    <w:t> </w:t>
                  </w:r>
                  <w:r>
                    <w:rPr>
                      <w:rFonts w:ascii="Calibri" w:hAnsi="Calibri"/>
                      <w:color w:val="6D6E71"/>
                      <w:w w:val="101"/>
                      <w:sz w:val="15"/>
                    </w:rPr>
                    <w:t>Machor</w:t>
                  </w:r>
                  <w:r>
                    <w:rPr>
                      <w:rFonts w:ascii="Calibri" w:hAnsi="Calibri"/>
                      <w:color w:val="6D6E71"/>
                      <w:spacing w:val="-1"/>
                      <w:w w:val="101"/>
                      <w:sz w:val="15"/>
                    </w:rPr>
                    <w:t>r</w:t>
                  </w:r>
                  <w:r>
                    <w:rPr>
                      <w:rFonts w:ascii="Calibri" w:hAnsi="Calibri"/>
                      <w:color w:val="6D6E71"/>
                      <w:w w:val="102"/>
                      <w:sz w:val="15"/>
                    </w:rPr>
                    <w:t>o</w:t>
                  </w:r>
                  <w:r>
                    <w:rPr>
                      <w:rFonts w:ascii="Calibri" w:hAnsi="Calibri"/>
                      <w:color w:val="6D6E71"/>
                      <w:spacing w:val="-2"/>
                      <w:sz w:val="15"/>
                    </w:rPr>
                    <w:t> </w:t>
                  </w:r>
                  <w:r>
                    <w:rPr>
                      <w:rFonts w:ascii="Calibri" w:hAnsi="Calibri"/>
                      <w:color w:val="6D6E71"/>
                      <w:w w:val="103"/>
                      <w:sz w:val="15"/>
                    </w:rPr>
                    <w:t>Ramos,</w:t>
                  </w:r>
                  <w:r>
                    <w:rPr>
                      <w:rFonts w:ascii="Calibri" w:hAnsi="Calibri"/>
                      <w:color w:val="6D6E71"/>
                      <w:spacing w:val="-2"/>
                      <w:sz w:val="15"/>
                    </w:rPr>
                    <w:t> </w:t>
                  </w:r>
                  <w:r>
                    <w:rPr>
                      <w:rFonts w:ascii="Calibri" w:hAnsi="Calibri"/>
                      <w:color w:val="6D6E71"/>
                      <w:w w:val="102"/>
                      <w:sz w:val="15"/>
                    </w:rPr>
                    <w:t>Patricia</w:t>
                  </w:r>
                  <w:r>
                    <w:rPr>
                      <w:rFonts w:ascii="Calibri" w:hAnsi="Calibri"/>
                      <w:color w:val="6D6E71"/>
                      <w:spacing w:val="-2"/>
                      <w:sz w:val="15"/>
                    </w:rPr>
                    <w:t> </w:t>
                  </w:r>
                  <w:r>
                    <w:rPr>
                      <w:rFonts w:ascii="Calibri" w:hAnsi="Calibri"/>
                      <w:color w:val="6D6E71"/>
                      <w:w w:val="97"/>
                      <w:sz w:val="15"/>
                    </w:rPr>
                    <w:t>Me</w:t>
                  </w:r>
                  <w:r>
                    <w:rPr>
                      <w:rFonts w:ascii="Calibri" w:hAnsi="Calibri"/>
                      <w:color w:val="6D6E71"/>
                      <w:spacing w:val="-1"/>
                      <w:w w:val="97"/>
                      <w:sz w:val="15"/>
                    </w:rPr>
                    <w:t>r</w:t>
                  </w:r>
                  <w:r>
                    <w:rPr>
                      <w:rFonts w:ascii="Calibri" w:hAnsi="Calibri"/>
                      <w:color w:val="6D6E71"/>
                      <w:w w:val="102"/>
                      <w:sz w:val="15"/>
                    </w:rPr>
                    <w:t>cado</w:t>
                  </w:r>
                  <w:r>
                    <w:rPr>
                      <w:rFonts w:ascii="Calibri" w:hAnsi="Calibri"/>
                      <w:color w:val="6D6E71"/>
                      <w:spacing w:val="-2"/>
                      <w:sz w:val="15"/>
                    </w:rPr>
                    <w:t> </w:t>
                  </w:r>
                  <w:r>
                    <w:rPr>
                      <w:rFonts w:ascii="Calibri" w:hAnsi="Calibri"/>
                      <w:color w:val="6D6E71"/>
                      <w:w w:val="108"/>
                      <w:sz w:val="15"/>
                    </w:rPr>
                    <w:t>Sa</w:t>
                  </w:r>
                  <w:r>
                    <w:rPr>
                      <w:rFonts w:ascii="Calibri" w:hAnsi="Calibri"/>
                      <w:color w:val="6D6E71"/>
                      <w:spacing w:val="-2"/>
                      <w:w w:val="108"/>
                      <w:sz w:val="15"/>
                    </w:rPr>
                    <w:t>l</w:t>
                  </w:r>
                  <w:r>
                    <w:rPr>
                      <w:rFonts w:ascii="Calibri" w:hAnsi="Calibri"/>
                      <w:color w:val="6D6E71"/>
                      <w:w w:val="103"/>
                      <w:sz w:val="15"/>
                    </w:rPr>
                    <w:t>gado</w:t>
                  </w:r>
                  <w:r>
                    <w:rPr>
                      <w:rFonts w:ascii="Calibri" w:hAnsi="Calibri"/>
                      <w:color w:val="6D6E71"/>
                      <w:spacing w:val="-4"/>
                      <w:sz w:val="15"/>
                    </w:rPr>
                    <w:t> </w:t>
                  </w:r>
                  <w:r>
                    <w:rPr>
                      <w:rFonts w:ascii="Calibri" w:hAnsi="Calibri"/>
                      <w:color w:val="6D6E71"/>
                      <w:w w:val="97"/>
                      <w:sz w:val="15"/>
                    </w:rPr>
                    <w:t>y</w:t>
                  </w:r>
                  <w:r>
                    <w:rPr>
                      <w:rFonts w:ascii="Calibri" w:hAnsi="Calibri"/>
                      <w:color w:val="6D6E71"/>
                      <w:spacing w:val="-2"/>
                      <w:sz w:val="15"/>
                    </w:rPr>
                    <w:t> </w:t>
                  </w:r>
                  <w:r>
                    <w:rPr>
                      <w:rFonts w:ascii="Calibri" w:hAnsi="Calibri"/>
                      <w:color w:val="6D6E71"/>
                      <w:w w:val="100"/>
                      <w:sz w:val="15"/>
                    </w:rPr>
                    <w:t>María</w:t>
                  </w:r>
                  <w:r>
                    <w:rPr>
                      <w:rFonts w:ascii="Calibri" w:hAnsi="Calibri"/>
                      <w:color w:val="6D6E71"/>
                      <w:spacing w:val="-6"/>
                      <w:sz w:val="15"/>
                    </w:rPr>
                    <w:t> </w:t>
                  </w:r>
                  <w:r>
                    <w:rPr>
                      <w:rFonts w:ascii="Calibri" w:hAnsi="Calibri"/>
                      <w:color w:val="6D6E71"/>
                      <w:spacing w:val="-4"/>
                      <w:w w:val="101"/>
                      <w:sz w:val="15"/>
                    </w:rPr>
                    <w:t>V</w:t>
                  </w:r>
                  <w:r>
                    <w:rPr>
                      <w:rFonts w:ascii="Calibri" w:hAnsi="Calibri"/>
                      <w:color w:val="6D6E71"/>
                      <w:w w:val="102"/>
                      <w:sz w:val="15"/>
                    </w:rPr>
                    <w:t>ane</w:t>
                  </w:r>
                  <w:r>
                    <w:rPr>
                      <w:rFonts w:ascii="Calibri" w:hAnsi="Calibri"/>
                      <w:color w:val="6D6E71"/>
                      <w:spacing w:val="-1"/>
                      <w:w w:val="102"/>
                      <w:sz w:val="15"/>
                    </w:rPr>
                    <w:t>s</w:t>
                  </w:r>
                  <w:r>
                    <w:rPr>
                      <w:rFonts w:ascii="Calibri" w:hAnsi="Calibri"/>
                      <w:color w:val="6D6E71"/>
                      <w:w w:val="105"/>
                      <w:sz w:val="15"/>
                    </w:rPr>
                    <w:t>sa</w:t>
                  </w:r>
                  <w:r>
                    <w:rPr>
                      <w:rFonts w:ascii="Calibri" w:hAnsi="Calibri"/>
                      <w:color w:val="6D6E71"/>
                      <w:spacing w:val="-2"/>
                      <w:sz w:val="15"/>
                    </w:rPr>
                    <w:t> </w:t>
                  </w:r>
                  <w:r>
                    <w:rPr>
                      <w:rFonts w:ascii="Calibri" w:hAnsi="Calibri"/>
                      <w:color w:val="6D6E71"/>
                      <w:w w:val="102"/>
                      <w:sz w:val="15"/>
                    </w:rPr>
                    <w:t>Rome</w:t>
                  </w:r>
                  <w:r>
                    <w:rPr>
                      <w:rFonts w:ascii="Calibri" w:hAnsi="Calibri"/>
                      <w:color w:val="6D6E71"/>
                      <w:spacing w:val="-1"/>
                      <w:w w:val="102"/>
                      <w:sz w:val="15"/>
                    </w:rPr>
                    <w:t>r</w:t>
                  </w:r>
                  <w:r>
                    <w:rPr>
                      <w:rFonts w:ascii="Calibri" w:hAnsi="Calibri"/>
                      <w:color w:val="6D6E71"/>
                      <w:w w:val="102"/>
                      <w:sz w:val="15"/>
                    </w:rPr>
                    <w:t>o</w:t>
                  </w:r>
                  <w:r>
                    <w:rPr>
                      <w:rFonts w:ascii="Calibri" w:hAnsi="Calibri"/>
                      <w:color w:val="6D6E71"/>
                      <w:spacing w:val="-2"/>
                      <w:sz w:val="15"/>
                    </w:rPr>
                    <w:t> </w:t>
                  </w:r>
                  <w:r>
                    <w:rPr>
                      <w:rFonts w:ascii="Calibri" w:hAnsi="Calibri"/>
                      <w:color w:val="6D6E71"/>
                      <w:w w:val="108"/>
                      <w:sz w:val="15"/>
                    </w:rPr>
                    <w:t>Ortiz</w:t>
                  </w:r>
                </w:p>
              </w:txbxContent>
            </v:textbox>
            <w10:wrap type="none"/>
          </v:shape>
        </w:pict>
      </w:r>
      <w:r>
        <w:rPr/>
        <w:pict>
          <v:shape style="position:absolute;margin-left:70.866096pt;margin-top:-28.769077pt;width:554.450pt;height:345.45pt;mso-position-horizontal-relative:page;mso-position-vertical-relative:paragraph;z-index:3544"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57"/>
                    <w:gridCol w:w="3671"/>
                    <w:gridCol w:w="1984"/>
                    <w:gridCol w:w="1984"/>
                    <w:gridCol w:w="1984"/>
                  </w:tblGrid>
                  <w:tr>
                    <w:trPr>
                      <w:trHeight w:val="379" w:hRule="exact"/>
                    </w:trPr>
                    <w:tc>
                      <w:tcPr>
                        <w:tcW w:w="1457" w:type="dxa"/>
                      </w:tcPr>
                      <w:p>
                        <w:pPr>
                          <w:pStyle w:val="TableParagraph"/>
                          <w:spacing w:before="108"/>
                          <w:ind w:left="173"/>
                          <w:rPr>
                            <w:sz w:val="18"/>
                          </w:rPr>
                        </w:pPr>
                        <w:r>
                          <w:rPr>
                            <w:color w:val="231F20"/>
                            <w:sz w:val="18"/>
                          </w:rPr>
                          <w:t>Característica</w:t>
                        </w:r>
                      </w:p>
                    </w:tc>
                    <w:tc>
                      <w:tcPr>
                        <w:tcW w:w="3671" w:type="dxa"/>
                      </w:tcPr>
                      <w:p>
                        <w:pPr>
                          <w:pStyle w:val="TableParagraph"/>
                          <w:spacing w:before="108"/>
                          <w:ind w:right="1501"/>
                          <w:jc w:val="right"/>
                          <w:rPr>
                            <w:sz w:val="18"/>
                          </w:rPr>
                        </w:pPr>
                        <w:r>
                          <w:rPr>
                            <w:color w:val="231F20"/>
                            <w:w w:val="105"/>
                            <w:sz w:val="18"/>
                          </w:rPr>
                          <w:t>Deming</w:t>
                        </w:r>
                      </w:p>
                    </w:tc>
                    <w:tc>
                      <w:tcPr>
                        <w:tcW w:w="1984" w:type="dxa"/>
                      </w:tcPr>
                      <w:p>
                        <w:pPr>
                          <w:pStyle w:val="TableParagraph"/>
                          <w:spacing w:before="108"/>
                          <w:ind w:left="266" w:right="108"/>
                          <w:rPr>
                            <w:sz w:val="18"/>
                          </w:rPr>
                        </w:pPr>
                        <w:r>
                          <w:rPr>
                            <w:color w:val="231F20"/>
                            <w:w w:val="105"/>
                            <w:sz w:val="18"/>
                          </w:rPr>
                          <w:t>Malcolm Baldrige</w:t>
                        </w:r>
                      </w:p>
                    </w:tc>
                    <w:tc>
                      <w:tcPr>
                        <w:tcW w:w="1984" w:type="dxa"/>
                      </w:tcPr>
                      <w:p>
                        <w:pPr>
                          <w:pStyle w:val="TableParagraph"/>
                          <w:spacing w:before="108"/>
                          <w:ind w:left="709" w:right="709"/>
                          <w:jc w:val="center"/>
                          <w:rPr>
                            <w:sz w:val="18"/>
                          </w:rPr>
                        </w:pPr>
                        <w:r>
                          <w:rPr>
                            <w:color w:val="231F20"/>
                            <w:sz w:val="18"/>
                          </w:rPr>
                          <w:t>EFQM</w:t>
                        </w:r>
                      </w:p>
                    </w:tc>
                    <w:tc>
                      <w:tcPr>
                        <w:tcW w:w="1984" w:type="dxa"/>
                      </w:tcPr>
                      <w:p>
                        <w:pPr>
                          <w:pStyle w:val="TableParagraph"/>
                          <w:spacing w:before="108"/>
                          <w:ind w:left="527" w:right="392"/>
                          <w:rPr>
                            <w:sz w:val="18"/>
                          </w:rPr>
                        </w:pPr>
                        <w:r>
                          <w:rPr>
                            <w:color w:val="231F20"/>
                            <w:sz w:val="18"/>
                          </w:rPr>
                          <w:t>FUNDIBEQ</w:t>
                        </w:r>
                      </w:p>
                    </w:tc>
                  </w:tr>
                  <w:tr>
                    <w:trPr>
                      <w:trHeight w:val="656" w:hRule="exact"/>
                    </w:trPr>
                    <w:tc>
                      <w:tcPr>
                        <w:tcW w:w="1457" w:type="dxa"/>
                      </w:tcPr>
                      <w:p>
                        <w:pPr>
                          <w:pStyle w:val="TableParagraph"/>
                          <w:rPr>
                            <w:sz w:val="14"/>
                          </w:rPr>
                        </w:pPr>
                      </w:p>
                      <w:p>
                        <w:pPr>
                          <w:pStyle w:val="TableParagraph"/>
                          <w:spacing w:before="106"/>
                          <w:ind w:left="77"/>
                          <w:rPr>
                            <w:sz w:val="14"/>
                          </w:rPr>
                        </w:pPr>
                        <w:r>
                          <w:rPr>
                            <w:color w:val="231F20"/>
                            <w:w w:val="110"/>
                            <w:sz w:val="14"/>
                          </w:rPr>
                          <w:t>Enfoque</w:t>
                        </w:r>
                      </w:p>
                    </w:tc>
                    <w:tc>
                      <w:tcPr>
                        <w:tcW w:w="3671" w:type="dxa"/>
                      </w:tcPr>
                      <w:p>
                        <w:pPr>
                          <w:pStyle w:val="TableParagraph"/>
                          <w:rPr>
                            <w:sz w:val="14"/>
                          </w:rPr>
                        </w:pPr>
                      </w:p>
                      <w:p>
                        <w:pPr>
                          <w:pStyle w:val="TableParagraph"/>
                          <w:spacing w:before="106"/>
                          <w:ind w:right="1473"/>
                          <w:jc w:val="right"/>
                          <w:rPr>
                            <w:sz w:val="14"/>
                          </w:rPr>
                        </w:pPr>
                        <w:r>
                          <w:rPr>
                            <w:color w:val="231F20"/>
                            <w:w w:val="110"/>
                            <w:sz w:val="14"/>
                          </w:rPr>
                          <w:t>Control estadístico de la calidad</w:t>
                        </w:r>
                      </w:p>
                    </w:tc>
                    <w:tc>
                      <w:tcPr>
                        <w:tcW w:w="1984" w:type="dxa"/>
                      </w:tcPr>
                      <w:p>
                        <w:pPr>
                          <w:pStyle w:val="TableParagraph"/>
                          <w:spacing w:line="261" w:lineRule="auto" w:before="92"/>
                          <w:ind w:left="77" w:right="75"/>
                          <w:jc w:val="both"/>
                          <w:rPr>
                            <w:sz w:val="14"/>
                          </w:rPr>
                        </w:pPr>
                        <w:r>
                          <w:rPr>
                            <w:color w:val="231F20"/>
                            <w:w w:val="110"/>
                            <w:sz w:val="14"/>
                          </w:rPr>
                          <w:t>Mejora</w:t>
                        </w:r>
                        <w:r>
                          <w:rPr>
                            <w:color w:val="231F20"/>
                            <w:spacing w:val="-18"/>
                            <w:w w:val="110"/>
                            <w:sz w:val="14"/>
                          </w:rPr>
                          <w:t> </w:t>
                        </w:r>
                        <w:r>
                          <w:rPr>
                            <w:color w:val="231F20"/>
                            <w:w w:val="110"/>
                            <w:sz w:val="14"/>
                          </w:rPr>
                          <w:t>continua,</w:t>
                        </w:r>
                        <w:r>
                          <w:rPr>
                            <w:color w:val="231F20"/>
                            <w:spacing w:val="-20"/>
                            <w:w w:val="110"/>
                            <w:sz w:val="14"/>
                          </w:rPr>
                          <w:t> </w:t>
                        </w:r>
                        <w:r>
                          <w:rPr>
                            <w:color w:val="231F20"/>
                            <w:w w:val="110"/>
                            <w:sz w:val="14"/>
                          </w:rPr>
                          <w:t>búsqueda de</w:t>
                        </w:r>
                        <w:r>
                          <w:rPr>
                            <w:color w:val="231F20"/>
                            <w:spacing w:val="-28"/>
                            <w:w w:val="110"/>
                            <w:sz w:val="14"/>
                          </w:rPr>
                          <w:t> </w:t>
                        </w:r>
                        <w:r>
                          <w:rPr>
                            <w:color w:val="231F20"/>
                            <w:w w:val="110"/>
                            <w:sz w:val="14"/>
                          </w:rPr>
                          <w:t>la</w:t>
                        </w:r>
                        <w:r>
                          <w:rPr>
                            <w:color w:val="231F20"/>
                            <w:spacing w:val="-28"/>
                            <w:w w:val="110"/>
                            <w:sz w:val="14"/>
                          </w:rPr>
                          <w:t> </w:t>
                        </w:r>
                        <w:r>
                          <w:rPr>
                            <w:color w:val="231F20"/>
                            <w:w w:val="110"/>
                            <w:sz w:val="14"/>
                          </w:rPr>
                          <w:t>excelencia</w:t>
                        </w:r>
                        <w:r>
                          <w:rPr>
                            <w:color w:val="231F20"/>
                            <w:spacing w:val="-28"/>
                            <w:w w:val="110"/>
                            <w:sz w:val="14"/>
                          </w:rPr>
                          <w:t> </w:t>
                        </w:r>
                        <w:r>
                          <w:rPr>
                            <w:color w:val="231F20"/>
                            <w:w w:val="110"/>
                            <w:sz w:val="14"/>
                          </w:rPr>
                          <w:t>y</w:t>
                        </w:r>
                        <w:r>
                          <w:rPr>
                            <w:color w:val="231F20"/>
                            <w:spacing w:val="-28"/>
                            <w:w w:val="110"/>
                            <w:sz w:val="14"/>
                          </w:rPr>
                          <w:t> </w:t>
                        </w:r>
                        <w:r>
                          <w:rPr>
                            <w:color w:val="231F20"/>
                            <w:w w:val="110"/>
                            <w:sz w:val="14"/>
                          </w:rPr>
                          <w:t>mejora</w:t>
                        </w:r>
                        <w:r>
                          <w:rPr>
                            <w:color w:val="231F20"/>
                            <w:spacing w:val="-28"/>
                            <w:w w:val="110"/>
                            <w:sz w:val="14"/>
                          </w:rPr>
                          <w:t> </w:t>
                        </w:r>
                        <w:r>
                          <w:rPr>
                            <w:color w:val="231F20"/>
                            <w:w w:val="110"/>
                            <w:sz w:val="14"/>
                          </w:rPr>
                          <w:t>de la</w:t>
                        </w:r>
                        <w:r>
                          <w:rPr>
                            <w:color w:val="231F20"/>
                            <w:spacing w:val="-8"/>
                            <w:w w:val="110"/>
                            <w:sz w:val="14"/>
                          </w:rPr>
                          <w:t> </w:t>
                        </w:r>
                        <w:r>
                          <w:rPr>
                            <w:color w:val="231F20"/>
                            <w:w w:val="110"/>
                            <w:sz w:val="14"/>
                          </w:rPr>
                          <w:t>competitividad</w:t>
                        </w:r>
                      </w:p>
                    </w:tc>
                    <w:tc>
                      <w:tcPr>
                        <w:tcW w:w="1984" w:type="dxa"/>
                      </w:tcPr>
                      <w:p>
                        <w:pPr>
                          <w:pStyle w:val="TableParagraph"/>
                          <w:spacing w:line="261" w:lineRule="auto" w:before="92"/>
                          <w:ind w:left="77" w:right="69"/>
                          <w:jc w:val="both"/>
                          <w:rPr>
                            <w:sz w:val="14"/>
                          </w:rPr>
                        </w:pPr>
                        <w:r>
                          <w:rPr>
                            <w:color w:val="231F20"/>
                            <w:w w:val="110"/>
                            <w:sz w:val="14"/>
                          </w:rPr>
                          <w:t>Los agentes del modelo conducen a los resultados </w:t>
                        </w:r>
                        <w:r>
                          <w:rPr>
                            <w:color w:val="231F20"/>
                            <w:w w:val="105"/>
                            <w:sz w:val="14"/>
                          </w:rPr>
                          <w:t>de excelencia</w:t>
                        </w:r>
                      </w:p>
                    </w:tc>
                    <w:tc>
                      <w:tcPr>
                        <w:tcW w:w="1984" w:type="dxa"/>
                      </w:tcPr>
                      <w:p>
                        <w:pPr>
                          <w:pStyle w:val="TableParagraph"/>
                          <w:spacing w:line="261" w:lineRule="auto" w:before="92"/>
                          <w:ind w:left="77" w:right="71"/>
                          <w:jc w:val="both"/>
                          <w:rPr>
                            <w:sz w:val="14"/>
                          </w:rPr>
                        </w:pPr>
                        <w:r>
                          <w:rPr>
                            <w:color w:val="231F20"/>
                            <w:w w:val="105"/>
                            <w:sz w:val="14"/>
                          </w:rPr>
                          <w:t>Al igual que el EFQM se fundamenta en los agentes y resultados</w:t>
                        </w:r>
                      </w:p>
                    </w:tc>
                  </w:tr>
                  <w:tr>
                    <w:trPr>
                      <w:trHeight w:val="2058" w:hRule="exact"/>
                    </w:trPr>
                    <w:tc>
                      <w:tcPr>
                        <w:tcW w:w="145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2"/>
                          <w:rPr>
                            <w:sz w:val="14"/>
                          </w:rPr>
                        </w:pPr>
                      </w:p>
                      <w:p>
                        <w:pPr>
                          <w:pStyle w:val="TableParagraph"/>
                          <w:ind w:left="77"/>
                          <w:rPr>
                            <w:sz w:val="14"/>
                          </w:rPr>
                        </w:pPr>
                        <w:r>
                          <w:rPr>
                            <w:color w:val="231F20"/>
                            <w:w w:val="110"/>
                            <w:sz w:val="14"/>
                          </w:rPr>
                          <w:t>Criterios</w:t>
                        </w:r>
                      </w:p>
                    </w:tc>
                    <w:tc>
                      <w:tcPr>
                        <w:tcW w:w="3671" w:type="dxa"/>
                      </w:tcPr>
                      <w:p>
                        <w:pPr>
                          <w:pStyle w:val="TableParagraph"/>
                          <w:rPr>
                            <w:sz w:val="14"/>
                          </w:rPr>
                        </w:pPr>
                      </w:p>
                      <w:p>
                        <w:pPr>
                          <w:pStyle w:val="TableParagraph"/>
                          <w:spacing w:line="261" w:lineRule="auto" w:before="106"/>
                          <w:ind w:left="77" w:right="1296"/>
                          <w:rPr>
                            <w:sz w:val="14"/>
                          </w:rPr>
                        </w:pPr>
                        <w:r>
                          <w:rPr>
                            <w:color w:val="231F20"/>
                            <w:w w:val="105"/>
                            <w:sz w:val="14"/>
                          </w:rPr>
                          <w:t>Política y planificación Organización y dirección</w:t>
                        </w:r>
                      </w:p>
                      <w:p>
                        <w:pPr>
                          <w:pStyle w:val="TableParagraph"/>
                          <w:spacing w:line="261" w:lineRule="auto"/>
                          <w:ind w:left="77" w:right="69"/>
                          <w:rPr>
                            <w:sz w:val="14"/>
                          </w:rPr>
                        </w:pPr>
                        <w:r>
                          <w:rPr>
                            <w:color w:val="231F20"/>
                            <w:w w:val="105"/>
                            <w:sz w:val="14"/>
                          </w:rPr>
                          <w:t>Educación y difusión del control de calidad Recolección de datos, informes y análisis Estandarización</w:t>
                        </w:r>
                      </w:p>
                      <w:p>
                        <w:pPr>
                          <w:pStyle w:val="TableParagraph"/>
                          <w:ind w:left="77" w:right="1296"/>
                          <w:rPr>
                            <w:sz w:val="14"/>
                          </w:rPr>
                        </w:pPr>
                        <w:r>
                          <w:rPr>
                            <w:color w:val="231F20"/>
                            <w:w w:val="115"/>
                            <w:sz w:val="14"/>
                          </w:rPr>
                          <w:t>Control</w:t>
                        </w:r>
                      </w:p>
                      <w:p>
                        <w:pPr>
                          <w:pStyle w:val="TableParagraph"/>
                          <w:spacing w:line="261" w:lineRule="auto" w:before="14"/>
                          <w:ind w:left="77" w:right="2224"/>
                          <w:rPr>
                            <w:sz w:val="14"/>
                          </w:rPr>
                        </w:pPr>
                        <w:r>
                          <w:rPr>
                            <w:color w:val="231F20"/>
                            <w:w w:val="110"/>
                            <w:sz w:val="14"/>
                          </w:rPr>
                          <w:t>Garantía de calidad Efectos</w:t>
                        </w:r>
                      </w:p>
                      <w:p>
                        <w:pPr>
                          <w:pStyle w:val="TableParagraph"/>
                          <w:ind w:left="77" w:right="1296"/>
                          <w:rPr>
                            <w:sz w:val="14"/>
                          </w:rPr>
                        </w:pPr>
                        <w:r>
                          <w:rPr>
                            <w:color w:val="231F20"/>
                            <w:w w:val="105"/>
                            <w:sz w:val="14"/>
                          </w:rPr>
                          <w:t>Planes futuros</w:t>
                        </w:r>
                      </w:p>
                    </w:tc>
                    <w:tc>
                      <w:tcPr>
                        <w:tcW w:w="1984" w:type="dxa"/>
                      </w:tcPr>
                      <w:p>
                        <w:pPr>
                          <w:pStyle w:val="TableParagraph"/>
                          <w:spacing w:before="7"/>
                          <w:rPr>
                            <w:sz w:val="15"/>
                          </w:rPr>
                        </w:pPr>
                      </w:p>
                      <w:p>
                        <w:pPr>
                          <w:pStyle w:val="TableParagraph"/>
                          <w:spacing w:line="261" w:lineRule="auto"/>
                          <w:ind w:left="77" w:right="108"/>
                          <w:rPr>
                            <w:sz w:val="14"/>
                          </w:rPr>
                        </w:pPr>
                        <w:r>
                          <w:rPr>
                            <w:color w:val="231F20"/>
                            <w:w w:val="105"/>
                            <w:sz w:val="14"/>
                          </w:rPr>
                          <w:t>Planificación estratégica y liderazgo</w:t>
                        </w:r>
                      </w:p>
                      <w:p>
                        <w:pPr>
                          <w:pStyle w:val="TableParagraph"/>
                          <w:spacing w:line="261" w:lineRule="auto"/>
                          <w:ind w:left="77" w:right="375"/>
                          <w:rPr>
                            <w:sz w:val="14"/>
                          </w:rPr>
                        </w:pPr>
                        <w:r>
                          <w:rPr>
                            <w:color w:val="231F20"/>
                            <w:w w:val="110"/>
                            <w:sz w:val="14"/>
                          </w:rPr>
                          <w:t>Enfoque al cliente y al mercado</w:t>
                        </w:r>
                      </w:p>
                      <w:p>
                        <w:pPr>
                          <w:pStyle w:val="TableParagraph"/>
                          <w:spacing w:line="261" w:lineRule="auto"/>
                          <w:ind w:left="77" w:right="187"/>
                          <w:rPr>
                            <w:sz w:val="14"/>
                          </w:rPr>
                        </w:pPr>
                        <w:r>
                          <w:rPr>
                            <w:color w:val="231F20"/>
                            <w:w w:val="110"/>
                            <w:sz w:val="14"/>
                          </w:rPr>
                          <w:t>Dirección y desarrollo de los recursos humanos Información y análisis Administración de procesos</w:t>
                        </w:r>
                      </w:p>
                      <w:p>
                        <w:pPr>
                          <w:pStyle w:val="TableParagraph"/>
                          <w:ind w:left="77" w:right="108"/>
                          <w:rPr>
                            <w:sz w:val="14"/>
                          </w:rPr>
                        </w:pPr>
                        <w:r>
                          <w:rPr>
                            <w:color w:val="231F20"/>
                            <w:w w:val="105"/>
                            <w:sz w:val="14"/>
                          </w:rPr>
                          <w:t>Resultados empresariales</w:t>
                        </w:r>
                      </w:p>
                    </w:tc>
                    <w:tc>
                      <w:tcPr>
                        <w:tcW w:w="1984" w:type="dxa"/>
                      </w:tcPr>
                      <w:p>
                        <w:pPr>
                          <w:pStyle w:val="TableParagraph"/>
                          <w:spacing w:before="7"/>
                          <w:rPr>
                            <w:sz w:val="15"/>
                          </w:rPr>
                        </w:pPr>
                      </w:p>
                      <w:p>
                        <w:pPr>
                          <w:pStyle w:val="TableParagraph"/>
                          <w:spacing w:line="261" w:lineRule="auto"/>
                          <w:ind w:left="77" w:right="779"/>
                          <w:rPr>
                            <w:sz w:val="14"/>
                          </w:rPr>
                        </w:pPr>
                        <w:r>
                          <w:rPr>
                            <w:color w:val="231F20"/>
                            <w:w w:val="105"/>
                            <w:sz w:val="14"/>
                          </w:rPr>
                          <w:t>Liderazgo Personas Estrategia</w:t>
                        </w:r>
                      </w:p>
                      <w:p>
                        <w:pPr>
                          <w:pStyle w:val="TableParagraph"/>
                          <w:spacing w:line="261" w:lineRule="auto"/>
                          <w:ind w:left="77" w:right="108"/>
                          <w:rPr>
                            <w:sz w:val="14"/>
                          </w:rPr>
                        </w:pPr>
                        <w:r>
                          <w:rPr>
                            <w:color w:val="231F20"/>
                            <w:w w:val="105"/>
                            <w:sz w:val="14"/>
                          </w:rPr>
                          <w:t>Aliados y recursos Procesos productos y servicios</w:t>
                        </w:r>
                      </w:p>
                      <w:p>
                        <w:pPr>
                          <w:pStyle w:val="TableParagraph"/>
                          <w:spacing w:line="261" w:lineRule="auto"/>
                          <w:ind w:left="77" w:right="187"/>
                          <w:jc w:val="both"/>
                          <w:rPr>
                            <w:sz w:val="14"/>
                          </w:rPr>
                        </w:pPr>
                        <w:r>
                          <w:rPr>
                            <w:color w:val="231F20"/>
                            <w:w w:val="105"/>
                            <w:sz w:val="14"/>
                          </w:rPr>
                          <w:t>Resultado</w:t>
                        </w:r>
                        <w:r>
                          <w:rPr>
                            <w:color w:val="231F20"/>
                            <w:spacing w:val="-12"/>
                            <w:w w:val="105"/>
                            <w:sz w:val="14"/>
                          </w:rPr>
                          <w:t> </w:t>
                        </w:r>
                        <w:r>
                          <w:rPr>
                            <w:color w:val="231F20"/>
                            <w:w w:val="105"/>
                            <w:sz w:val="14"/>
                          </w:rPr>
                          <w:t>en</w:t>
                        </w:r>
                        <w:r>
                          <w:rPr>
                            <w:color w:val="231F20"/>
                            <w:spacing w:val="-12"/>
                            <w:w w:val="105"/>
                            <w:sz w:val="14"/>
                          </w:rPr>
                          <w:t> </w:t>
                        </w:r>
                        <w:r>
                          <w:rPr>
                            <w:color w:val="231F20"/>
                            <w:w w:val="105"/>
                            <w:sz w:val="14"/>
                          </w:rPr>
                          <w:t>las</w:t>
                        </w:r>
                        <w:r>
                          <w:rPr>
                            <w:color w:val="231F20"/>
                            <w:spacing w:val="-12"/>
                            <w:w w:val="105"/>
                            <w:sz w:val="14"/>
                          </w:rPr>
                          <w:t> </w:t>
                        </w:r>
                        <w:r>
                          <w:rPr>
                            <w:color w:val="231F20"/>
                            <w:w w:val="105"/>
                            <w:sz w:val="14"/>
                          </w:rPr>
                          <w:t>personas Resultados en los clientes Resultados en la</w:t>
                        </w:r>
                        <w:r>
                          <w:rPr>
                            <w:color w:val="231F20"/>
                            <w:spacing w:val="-18"/>
                            <w:w w:val="105"/>
                            <w:sz w:val="14"/>
                          </w:rPr>
                          <w:t> </w:t>
                        </w:r>
                        <w:r>
                          <w:rPr>
                            <w:color w:val="231F20"/>
                            <w:w w:val="105"/>
                            <w:sz w:val="14"/>
                          </w:rPr>
                          <w:t>sociedad </w:t>
                        </w:r>
                        <w:r>
                          <w:rPr>
                            <w:color w:val="231F20"/>
                            <w:sz w:val="14"/>
                          </w:rPr>
                          <w:t>Resultados</w:t>
                        </w:r>
                        <w:r>
                          <w:rPr>
                            <w:color w:val="231F20"/>
                            <w:spacing w:val="24"/>
                            <w:sz w:val="14"/>
                          </w:rPr>
                          <w:t> </w:t>
                        </w:r>
                        <w:r>
                          <w:rPr>
                            <w:color w:val="231F20"/>
                            <w:sz w:val="14"/>
                          </w:rPr>
                          <w:t>clave</w:t>
                        </w:r>
                      </w:p>
                    </w:tc>
                    <w:tc>
                      <w:tcPr>
                        <w:tcW w:w="1984" w:type="dxa"/>
                      </w:tcPr>
                      <w:p>
                        <w:pPr>
                          <w:pStyle w:val="TableParagraph"/>
                          <w:spacing w:line="261" w:lineRule="auto" w:before="92"/>
                          <w:ind w:left="77" w:right="392"/>
                          <w:rPr>
                            <w:sz w:val="14"/>
                          </w:rPr>
                        </w:pPr>
                        <w:r>
                          <w:rPr>
                            <w:color w:val="231F20"/>
                            <w:w w:val="110"/>
                            <w:sz w:val="14"/>
                          </w:rPr>
                          <w:t>Liderazgo y estilos de gestión</w:t>
                        </w:r>
                      </w:p>
                      <w:p>
                        <w:pPr>
                          <w:pStyle w:val="TableParagraph"/>
                          <w:ind w:left="77" w:right="392"/>
                          <w:rPr>
                            <w:sz w:val="14"/>
                          </w:rPr>
                        </w:pPr>
                        <w:r>
                          <w:rPr>
                            <w:color w:val="231F20"/>
                            <w:w w:val="105"/>
                            <w:sz w:val="14"/>
                          </w:rPr>
                          <w:t>Estrategia</w:t>
                        </w:r>
                      </w:p>
                      <w:p>
                        <w:pPr>
                          <w:pStyle w:val="TableParagraph"/>
                          <w:spacing w:line="261" w:lineRule="auto" w:before="14"/>
                          <w:ind w:left="77" w:right="133"/>
                          <w:rPr>
                            <w:sz w:val="14"/>
                          </w:rPr>
                        </w:pPr>
                        <w:r>
                          <w:rPr>
                            <w:color w:val="231F20"/>
                            <w:w w:val="105"/>
                            <w:sz w:val="14"/>
                          </w:rPr>
                          <w:t>Desarrollo de las personas Recursos y asociados Procesos y clientes Resultados de clientes Resultados del desarrollo de las personas Resultados de sociedad Resultados globales</w:t>
                        </w:r>
                      </w:p>
                    </w:tc>
                  </w:tr>
                  <w:tr>
                    <w:trPr>
                      <w:trHeight w:val="3810" w:hRule="exact"/>
                    </w:trPr>
                    <w:tc>
                      <w:tcPr>
                        <w:tcW w:w="1457" w:type="dxa"/>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2"/>
                          </w:rPr>
                        </w:pPr>
                      </w:p>
                      <w:p>
                        <w:pPr>
                          <w:pStyle w:val="TableParagraph"/>
                          <w:spacing w:line="261" w:lineRule="auto"/>
                          <w:ind w:left="77"/>
                          <w:rPr>
                            <w:sz w:val="14"/>
                          </w:rPr>
                        </w:pPr>
                        <w:r>
                          <w:rPr>
                            <w:color w:val="231F20"/>
                            <w:w w:val="110"/>
                            <w:sz w:val="14"/>
                          </w:rPr>
                          <w:t>Principios funda- mentales</w:t>
                        </w:r>
                      </w:p>
                    </w:tc>
                    <w:tc>
                      <w:tcPr>
                        <w:tcW w:w="3671" w:type="dxa"/>
                      </w:tcPr>
                      <w:p>
                        <w:pPr>
                          <w:pStyle w:val="TableParagraph"/>
                          <w:spacing w:line="261" w:lineRule="auto" w:before="92"/>
                          <w:ind w:left="77" w:right="885"/>
                          <w:rPr>
                            <w:sz w:val="14"/>
                          </w:rPr>
                        </w:pPr>
                        <w:r>
                          <w:rPr>
                            <w:color w:val="231F20"/>
                            <w:w w:val="110"/>
                            <w:sz w:val="14"/>
                          </w:rPr>
                          <w:t>Crear</w:t>
                        </w:r>
                        <w:r>
                          <w:rPr>
                            <w:color w:val="231F20"/>
                            <w:spacing w:val="-18"/>
                            <w:w w:val="110"/>
                            <w:sz w:val="14"/>
                          </w:rPr>
                          <w:t> </w:t>
                        </w:r>
                        <w:r>
                          <w:rPr>
                            <w:color w:val="231F20"/>
                            <w:w w:val="110"/>
                            <w:sz w:val="14"/>
                          </w:rPr>
                          <w:t>y</w:t>
                        </w:r>
                        <w:r>
                          <w:rPr>
                            <w:color w:val="231F20"/>
                            <w:spacing w:val="-18"/>
                            <w:w w:val="110"/>
                            <w:sz w:val="14"/>
                          </w:rPr>
                          <w:t> </w:t>
                        </w:r>
                        <w:r>
                          <w:rPr>
                            <w:color w:val="231F20"/>
                            <w:w w:val="110"/>
                            <w:sz w:val="14"/>
                          </w:rPr>
                          <w:t>difundir</w:t>
                        </w:r>
                        <w:r>
                          <w:rPr>
                            <w:color w:val="231F20"/>
                            <w:spacing w:val="-18"/>
                            <w:w w:val="110"/>
                            <w:sz w:val="14"/>
                          </w:rPr>
                          <w:t> </w:t>
                        </w:r>
                        <w:r>
                          <w:rPr>
                            <w:color w:val="231F20"/>
                            <w:w w:val="110"/>
                            <w:sz w:val="14"/>
                          </w:rPr>
                          <w:t>visión,</w:t>
                        </w:r>
                        <w:r>
                          <w:rPr>
                            <w:color w:val="231F20"/>
                            <w:spacing w:val="-22"/>
                            <w:w w:val="110"/>
                            <w:sz w:val="14"/>
                          </w:rPr>
                          <w:t> </w:t>
                        </w:r>
                        <w:r>
                          <w:rPr>
                            <w:color w:val="231F20"/>
                            <w:w w:val="110"/>
                            <w:sz w:val="14"/>
                          </w:rPr>
                          <w:t>propósito,</w:t>
                        </w:r>
                        <w:r>
                          <w:rPr>
                            <w:color w:val="231F20"/>
                            <w:spacing w:val="-22"/>
                            <w:w w:val="110"/>
                            <w:sz w:val="14"/>
                          </w:rPr>
                          <w:t> </w:t>
                        </w:r>
                        <w:r>
                          <w:rPr>
                            <w:color w:val="231F20"/>
                            <w:w w:val="110"/>
                            <w:sz w:val="14"/>
                          </w:rPr>
                          <w:t>misión. Aprender</w:t>
                        </w:r>
                        <w:r>
                          <w:rPr>
                            <w:color w:val="231F20"/>
                            <w:spacing w:val="-20"/>
                            <w:w w:val="110"/>
                            <w:sz w:val="14"/>
                          </w:rPr>
                          <w:t> </w:t>
                        </w:r>
                        <w:r>
                          <w:rPr>
                            <w:color w:val="231F20"/>
                            <w:w w:val="110"/>
                            <w:sz w:val="14"/>
                          </w:rPr>
                          <w:t>y</w:t>
                        </w:r>
                        <w:r>
                          <w:rPr>
                            <w:color w:val="231F20"/>
                            <w:spacing w:val="-20"/>
                            <w:w w:val="110"/>
                            <w:sz w:val="14"/>
                          </w:rPr>
                          <w:t> </w:t>
                        </w:r>
                        <w:r>
                          <w:rPr>
                            <w:color w:val="231F20"/>
                            <w:w w:val="110"/>
                            <w:sz w:val="14"/>
                          </w:rPr>
                          <w:t>adoptar</w:t>
                        </w:r>
                        <w:r>
                          <w:rPr>
                            <w:color w:val="231F20"/>
                            <w:spacing w:val="-20"/>
                            <w:w w:val="110"/>
                            <w:sz w:val="14"/>
                          </w:rPr>
                          <w:t> </w:t>
                        </w:r>
                        <w:r>
                          <w:rPr>
                            <w:color w:val="231F20"/>
                            <w:w w:val="110"/>
                            <w:sz w:val="14"/>
                          </w:rPr>
                          <w:t>la</w:t>
                        </w:r>
                        <w:r>
                          <w:rPr>
                            <w:color w:val="231F20"/>
                            <w:spacing w:val="-20"/>
                            <w:w w:val="110"/>
                            <w:sz w:val="14"/>
                          </w:rPr>
                          <w:t> </w:t>
                        </w:r>
                        <w:r>
                          <w:rPr>
                            <w:color w:val="231F20"/>
                            <w:w w:val="110"/>
                            <w:sz w:val="14"/>
                          </w:rPr>
                          <w:t>nueva</w:t>
                        </w:r>
                        <w:r>
                          <w:rPr>
                            <w:color w:val="231F20"/>
                            <w:spacing w:val="-20"/>
                            <w:w w:val="110"/>
                            <w:sz w:val="14"/>
                          </w:rPr>
                          <w:t> </w:t>
                        </w:r>
                        <w:r>
                          <w:rPr>
                            <w:color w:val="231F20"/>
                            <w:w w:val="110"/>
                            <w:sz w:val="14"/>
                          </w:rPr>
                          <w:t>filosofía.</w:t>
                        </w:r>
                      </w:p>
                      <w:p>
                        <w:pPr>
                          <w:pStyle w:val="TableParagraph"/>
                          <w:ind w:left="77"/>
                          <w:jc w:val="both"/>
                          <w:rPr>
                            <w:sz w:val="14"/>
                          </w:rPr>
                        </w:pPr>
                        <w:r>
                          <w:rPr>
                            <w:color w:val="231F20"/>
                            <w:w w:val="110"/>
                            <w:sz w:val="14"/>
                          </w:rPr>
                          <w:t>No depender más de la inspección masiva.</w:t>
                        </w:r>
                      </w:p>
                      <w:p>
                        <w:pPr>
                          <w:pStyle w:val="TableParagraph"/>
                          <w:spacing w:line="261" w:lineRule="auto" w:before="14"/>
                          <w:ind w:left="77" w:right="69"/>
                          <w:rPr>
                            <w:sz w:val="14"/>
                          </w:rPr>
                        </w:pPr>
                        <w:r>
                          <w:rPr>
                            <w:color w:val="231F20"/>
                            <w:w w:val="110"/>
                            <w:sz w:val="14"/>
                          </w:rPr>
                          <w:t>Eliminar la práctica de otorgar contratos de compra </w:t>
                        </w:r>
                        <w:r>
                          <w:rPr>
                            <w:color w:val="231F20"/>
                            <w:w w:val="105"/>
                            <w:sz w:val="14"/>
                          </w:rPr>
                          <w:t>basándose exclusivamente en el precio.</w:t>
                        </w:r>
                      </w:p>
                      <w:p>
                        <w:pPr>
                          <w:pStyle w:val="TableParagraph"/>
                          <w:spacing w:line="261" w:lineRule="auto"/>
                          <w:ind w:left="77" w:right="69"/>
                          <w:rPr>
                            <w:sz w:val="14"/>
                          </w:rPr>
                        </w:pPr>
                        <w:r>
                          <w:rPr>
                            <w:color w:val="231F20"/>
                            <w:w w:val="110"/>
                            <w:sz w:val="14"/>
                          </w:rPr>
                          <w:t>Mejorar</w:t>
                        </w:r>
                        <w:r>
                          <w:rPr>
                            <w:color w:val="231F20"/>
                            <w:spacing w:val="-12"/>
                            <w:w w:val="110"/>
                            <w:sz w:val="14"/>
                          </w:rPr>
                          <w:t> </w:t>
                        </w:r>
                        <w:r>
                          <w:rPr>
                            <w:color w:val="231F20"/>
                            <w:w w:val="110"/>
                            <w:sz w:val="14"/>
                          </w:rPr>
                          <w:t>de</w:t>
                        </w:r>
                        <w:r>
                          <w:rPr>
                            <w:color w:val="231F20"/>
                            <w:spacing w:val="-12"/>
                            <w:w w:val="110"/>
                            <w:sz w:val="14"/>
                          </w:rPr>
                          <w:t> </w:t>
                        </w:r>
                        <w:r>
                          <w:rPr>
                            <w:color w:val="231F20"/>
                            <w:w w:val="110"/>
                            <w:sz w:val="14"/>
                          </w:rPr>
                          <w:t>forma</w:t>
                        </w:r>
                        <w:r>
                          <w:rPr>
                            <w:color w:val="231F20"/>
                            <w:spacing w:val="-12"/>
                            <w:w w:val="110"/>
                            <w:sz w:val="14"/>
                          </w:rPr>
                          <w:t> </w:t>
                        </w:r>
                        <w:r>
                          <w:rPr>
                            <w:color w:val="231F20"/>
                            <w:w w:val="110"/>
                            <w:sz w:val="14"/>
                          </w:rPr>
                          <w:t>continua</w:t>
                        </w:r>
                        <w:r>
                          <w:rPr>
                            <w:color w:val="231F20"/>
                            <w:spacing w:val="-12"/>
                            <w:w w:val="110"/>
                            <w:sz w:val="14"/>
                          </w:rPr>
                          <w:t> </w:t>
                        </w:r>
                        <w:r>
                          <w:rPr>
                            <w:color w:val="231F20"/>
                            <w:w w:val="110"/>
                            <w:sz w:val="14"/>
                          </w:rPr>
                          <w:t>y</w:t>
                        </w:r>
                        <w:r>
                          <w:rPr>
                            <w:color w:val="231F20"/>
                            <w:spacing w:val="-12"/>
                            <w:w w:val="110"/>
                            <w:sz w:val="14"/>
                          </w:rPr>
                          <w:t> </w:t>
                        </w:r>
                        <w:r>
                          <w:rPr>
                            <w:color w:val="231F20"/>
                            <w:w w:val="110"/>
                            <w:sz w:val="14"/>
                          </w:rPr>
                          <w:t>para</w:t>
                        </w:r>
                        <w:r>
                          <w:rPr>
                            <w:color w:val="231F20"/>
                            <w:spacing w:val="-12"/>
                            <w:w w:val="110"/>
                            <w:sz w:val="14"/>
                          </w:rPr>
                          <w:t> </w:t>
                        </w:r>
                        <w:r>
                          <w:rPr>
                            <w:color w:val="231F20"/>
                            <w:w w:val="110"/>
                            <w:sz w:val="14"/>
                          </w:rPr>
                          <w:t>siempre</w:t>
                        </w:r>
                        <w:r>
                          <w:rPr>
                            <w:color w:val="231F20"/>
                            <w:spacing w:val="-12"/>
                            <w:w w:val="110"/>
                            <w:sz w:val="14"/>
                          </w:rPr>
                          <w:t> </w:t>
                        </w:r>
                        <w:r>
                          <w:rPr>
                            <w:color w:val="231F20"/>
                            <w:w w:val="110"/>
                            <w:sz w:val="14"/>
                          </w:rPr>
                          <w:t>el</w:t>
                        </w:r>
                        <w:r>
                          <w:rPr>
                            <w:color w:val="231F20"/>
                            <w:spacing w:val="-12"/>
                            <w:w w:val="110"/>
                            <w:sz w:val="14"/>
                          </w:rPr>
                          <w:t> </w:t>
                        </w:r>
                        <w:r>
                          <w:rPr>
                            <w:color w:val="231F20"/>
                            <w:w w:val="110"/>
                            <w:sz w:val="14"/>
                          </w:rPr>
                          <w:t>sistema de</w:t>
                        </w:r>
                        <w:r>
                          <w:rPr>
                            <w:color w:val="231F20"/>
                            <w:spacing w:val="-17"/>
                            <w:w w:val="110"/>
                            <w:sz w:val="14"/>
                          </w:rPr>
                          <w:t> </w:t>
                        </w:r>
                        <w:r>
                          <w:rPr>
                            <w:color w:val="231F20"/>
                            <w:w w:val="110"/>
                            <w:sz w:val="14"/>
                          </w:rPr>
                          <w:t>producción</w:t>
                        </w:r>
                        <w:r>
                          <w:rPr>
                            <w:color w:val="231F20"/>
                            <w:spacing w:val="-17"/>
                            <w:w w:val="110"/>
                            <w:sz w:val="14"/>
                          </w:rPr>
                          <w:t> </w:t>
                        </w:r>
                        <w:r>
                          <w:rPr>
                            <w:color w:val="231F20"/>
                            <w:w w:val="110"/>
                            <w:sz w:val="14"/>
                          </w:rPr>
                          <w:t>y</w:t>
                        </w:r>
                        <w:r>
                          <w:rPr>
                            <w:color w:val="231F20"/>
                            <w:spacing w:val="-17"/>
                            <w:w w:val="110"/>
                            <w:sz w:val="14"/>
                          </w:rPr>
                          <w:t> </w:t>
                        </w:r>
                        <w:r>
                          <w:rPr>
                            <w:color w:val="231F20"/>
                            <w:w w:val="110"/>
                            <w:sz w:val="14"/>
                          </w:rPr>
                          <w:t>de</w:t>
                        </w:r>
                        <w:r>
                          <w:rPr>
                            <w:color w:val="231F20"/>
                            <w:spacing w:val="-17"/>
                            <w:w w:val="110"/>
                            <w:sz w:val="14"/>
                          </w:rPr>
                          <w:t> </w:t>
                        </w:r>
                        <w:r>
                          <w:rPr>
                            <w:color w:val="231F20"/>
                            <w:w w:val="110"/>
                            <w:sz w:val="14"/>
                          </w:rPr>
                          <w:t>servicios.</w:t>
                        </w:r>
                      </w:p>
                      <w:p>
                        <w:pPr>
                          <w:pStyle w:val="TableParagraph"/>
                          <w:spacing w:line="261" w:lineRule="auto"/>
                          <w:ind w:left="77" w:right="1182"/>
                          <w:rPr>
                            <w:sz w:val="14"/>
                          </w:rPr>
                        </w:pPr>
                        <w:r>
                          <w:rPr>
                            <w:color w:val="231F20"/>
                            <w:w w:val="110"/>
                            <w:sz w:val="14"/>
                          </w:rPr>
                          <w:t>Instituir</w:t>
                        </w:r>
                        <w:r>
                          <w:rPr>
                            <w:color w:val="231F20"/>
                            <w:spacing w:val="-21"/>
                            <w:w w:val="110"/>
                            <w:sz w:val="14"/>
                          </w:rPr>
                          <w:t> </w:t>
                        </w:r>
                        <w:r>
                          <w:rPr>
                            <w:color w:val="231F20"/>
                            <w:w w:val="110"/>
                            <w:sz w:val="14"/>
                          </w:rPr>
                          <w:t>la</w:t>
                        </w:r>
                        <w:r>
                          <w:rPr>
                            <w:color w:val="231F20"/>
                            <w:spacing w:val="-21"/>
                            <w:w w:val="110"/>
                            <w:sz w:val="14"/>
                          </w:rPr>
                          <w:t> </w:t>
                        </w:r>
                        <w:r>
                          <w:rPr>
                            <w:color w:val="231F20"/>
                            <w:w w:val="110"/>
                            <w:sz w:val="14"/>
                          </w:rPr>
                          <w:t>capacitación</w:t>
                        </w:r>
                        <w:r>
                          <w:rPr>
                            <w:color w:val="231F20"/>
                            <w:spacing w:val="-21"/>
                            <w:w w:val="110"/>
                            <w:sz w:val="14"/>
                          </w:rPr>
                          <w:t> </w:t>
                        </w:r>
                        <w:r>
                          <w:rPr>
                            <w:color w:val="231F20"/>
                            <w:w w:val="110"/>
                            <w:sz w:val="14"/>
                          </w:rPr>
                          <w:t>en</w:t>
                        </w:r>
                        <w:r>
                          <w:rPr>
                            <w:color w:val="231F20"/>
                            <w:spacing w:val="-21"/>
                            <w:w w:val="110"/>
                            <w:sz w:val="14"/>
                          </w:rPr>
                          <w:t> </w:t>
                        </w:r>
                        <w:r>
                          <w:rPr>
                            <w:color w:val="231F20"/>
                            <w:w w:val="110"/>
                            <w:sz w:val="14"/>
                          </w:rPr>
                          <w:t>el</w:t>
                        </w:r>
                        <w:r>
                          <w:rPr>
                            <w:color w:val="231F20"/>
                            <w:spacing w:val="-21"/>
                            <w:w w:val="110"/>
                            <w:sz w:val="14"/>
                          </w:rPr>
                          <w:t> </w:t>
                        </w:r>
                        <w:r>
                          <w:rPr>
                            <w:color w:val="231F20"/>
                            <w:w w:val="110"/>
                            <w:sz w:val="14"/>
                          </w:rPr>
                          <w:t>trabajo. Enseñar</w:t>
                        </w:r>
                        <w:r>
                          <w:rPr>
                            <w:color w:val="231F20"/>
                            <w:spacing w:val="-26"/>
                            <w:w w:val="110"/>
                            <w:sz w:val="14"/>
                          </w:rPr>
                          <w:t> </w:t>
                        </w:r>
                        <w:r>
                          <w:rPr>
                            <w:color w:val="231F20"/>
                            <w:w w:val="110"/>
                            <w:sz w:val="14"/>
                          </w:rPr>
                          <w:t>e</w:t>
                        </w:r>
                        <w:r>
                          <w:rPr>
                            <w:color w:val="231F20"/>
                            <w:spacing w:val="-26"/>
                            <w:w w:val="110"/>
                            <w:sz w:val="14"/>
                          </w:rPr>
                          <w:t> </w:t>
                        </w:r>
                        <w:r>
                          <w:rPr>
                            <w:color w:val="231F20"/>
                            <w:w w:val="110"/>
                            <w:sz w:val="14"/>
                          </w:rPr>
                          <w:t>instituir</w:t>
                        </w:r>
                        <w:r>
                          <w:rPr>
                            <w:color w:val="231F20"/>
                            <w:spacing w:val="-26"/>
                            <w:w w:val="110"/>
                            <w:sz w:val="14"/>
                          </w:rPr>
                          <w:t> </w:t>
                        </w:r>
                        <w:r>
                          <w:rPr>
                            <w:color w:val="231F20"/>
                            <w:w w:val="110"/>
                            <w:sz w:val="14"/>
                          </w:rPr>
                          <w:t>el</w:t>
                        </w:r>
                        <w:r>
                          <w:rPr>
                            <w:color w:val="231F20"/>
                            <w:spacing w:val="-26"/>
                            <w:w w:val="110"/>
                            <w:sz w:val="14"/>
                          </w:rPr>
                          <w:t> </w:t>
                        </w:r>
                        <w:r>
                          <w:rPr>
                            <w:color w:val="231F20"/>
                            <w:w w:val="110"/>
                            <w:sz w:val="14"/>
                          </w:rPr>
                          <w:t>liderazgo.</w:t>
                        </w:r>
                      </w:p>
                      <w:p>
                        <w:pPr>
                          <w:pStyle w:val="TableParagraph"/>
                          <w:spacing w:line="261" w:lineRule="auto"/>
                          <w:ind w:left="77" w:right="69"/>
                          <w:jc w:val="both"/>
                          <w:rPr>
                            <w:sz w:val="14"/>
                          </w:rPr>
                        </w:pPr>
                        <w:r>
                          <w:rPr>
                            <w:color w:val="231F20"/>
                            <w:w w:val="105"/>
                            <w:sz w:val="14"/>
                          </w:rPr>
                          <w:t>Desterrar</w:t>
                        </w:r>
                        <w:r>
                          <w:rPr>
                            <w:color w:val="231F20"/>
                            <w:spacing w:val="-12"/>
                            <w:w w:val="105"/>
                            <w:sz w:val="14"/>
                          </w:rPr>
                          <w:t> </w:t>
                        </w:r>
                        <w:r>
                          <w:rPr>
                            <w:color w:val="231F20"/>
                            <w:w w:val="105"/>
                            <w:sz w:val="14"/>
                          </w:rPr>
                          <w:t>el</w:t>
                        </w:r>
                        <w:r>
                          <w:rPr>
                            <w:color w:val="231F20"/>
                            <w:spacing w:val="-12"/>
                            <w:w w:val="105"/>
                            <w:sz w:val="14"/>
                          </w:rPr>
                          <w:t> </w:t>
                        </w:r>
                        <w:r>
                          <w:rPr>
                            <w:color w:val="231F20"/>
                            <w:spacing w:val="-3"/>
                            <w:w w:val="105"/>
                            <w:sz w:val="14"/>
                          </w:rPr>
                          <w:t>temor,</w:t>
                        </w:r>
                        <w:r>
                          <w:rPr>
                            <w:color w:val="231F20"/>
                            <w:spacing w:val="-16"/>
                            <w:w w:val="105"/>
                            <w:sz w:val="14"/>
                          </w:rPr>
                          <w:t> </w:t>
                        </w:r>
                        <w:r>
                          <w:rPr>
                            <w:color w:val="231F20"/>
                            <w:w w:val="105"/>
                            <w:sz w:val="14"/>
                          </w:rPr>
                          <w:t>generar</w:t>
                        </w:r>
                        <w:r>
                          <w:rPr>
                            <w:color w:val="231F20"/>
                            <w:spacing w:val="-12"/>
                            <w:w w:val="105"/>
                            <w:sz w:val="14"/>
                          </w:rPr>
                          <w:t> </w:t>
                        </w:r>
                        <w:r>
                          <w:rPr>
                            <w:color w:val="231F20"/>
                            <w:w w:val="105"/>
                            <w:sz w:val="14"/>
                          </w:rPr>
                          <w:t>el</w:t>
                        </w:r>
                        <w:r>
                          <w:rPr>
                            <w:color w:val="231F20"/>
                            <w:spacing w:val="-12"/>
                            <w:w w:val="105"/>
                            <w:sz w:val="14"/>
                          </w:rPr>
                          <w:t> </w:t>
                        </w:r>
                        <w:r>
                          <w:rPr>
                            <w:color w:val="231F20"/>
                            <w:w w:val="105"/>
                            <w:sz w:val="14"/>
                          </w:rPr>
                          <w:t>clima</w:t>
                        </w:r>
                        <w:r>
                          <w:rPr>
                            <w:color w:val="231F20"/>
                            <w:spacing w:val="-12"/>
                            <w:w w:val="105"/>
                            <w:sz w:val="14"/>
                          </w:rPr>
                          <w:t> </w:t>
                        </w:r>
                        <w:r>
                          <w:rPr>
                            <w:color w:val="231F20"/>
                            <w:w w:val="105"/>
                            <w:sz w:val="14"/>
                          </w:rPr>
                          <w:t>para</w:t>
                        </w:r>
                        <w:r>
                          <w:rPr>
                            <w:color w:val="231F20"/>
                            <w:spacing w:val="-12"/>
                            <w:w w:val="105"/>
                            <w:sz w:val="14"/>
                          </w:rPr>
                          <w:t> </w:t>
                        </w:r>
                        <w:r>
                          <w:rPr>
                            <w:color w:val="231F20"/>
                            <w:w w:val="105"/>
                            <w:sz w:val="14"/>
                          </w:rPr>
                          <w:t>la</w:t>
                        </w:r>
                        <w:r>
                          <w:rPr>
                            <w:color w:val="231F20"/>
                            <w:spacing w:val="-12"/>
                            <w:w w:val="105"/>
                            <w:sz w:val="14"/>
                          </w:rPr>
                          <w:t> </w:t>
                        </w:r>
                        <w:r>
                          <w:rPr>
                            <w:color w:val="231F20"/>
                            <w:w w:val="105"/>
                            <w:sz w:val="14"/>
                          </w:rPr>
                          <w:t>innovación. Derribar las barreras que hay entre las áreas depar- tamentales.</w:t>
                        </w:r>
                      </w:p>
                      <w:p>
                        <w:pPr>
                          <w:pStyle w:val="TableParagraph"/>
                          <w:spacing w:line="261" w:lineRule="auto"/>
                          <w:ind w:left="77" w:right="69"/>
                          <w:rPr>
                            <w:sz w:val="14"/>
                          </w:rPr>
                        </w:pPr>
                        <w:r>
                          <w:rPr>
                            <w:color w:val="231F20"/>
                            <w:w w:val="105"/>
                            <w:sz w:val="14"/>
                          </w:rPr>
                          <w:t>Eliminar los eslóganes, las exhortaciones y las metas numéricas para la fuerza laboral.</w:t>
                        </w:r>
                      </w:p>
                      <w:p>
                        <w:pPr>
                          <w:pStyle w:val="TableParagraph"/>
                          <w:spacing w:line="261" w:lineRule="auto"/>
                          <w:ind w:left="77"/>
                          <w:rPr>
                            <w:sz w:val="14"/>
                          </w:rPr>
                        </w:pPr>
                        <w:r>
                          <w:rPr>
                            <w:color w:val="231F20"/>
                            <w:w w:val="105"/>
                            <w:sz w:val="14"/>
                          </w:rPr>
                          <w:t>Eliminar estándares de producción y las cuotas numé- ricas, sustituir por mejora continua.</w:t>
                        </w:r>
                      </w:p>
                      <w:p>
                        <w:pPr>
                          <w:pStyle w:val="TableParagraph"/>
                          <w:spacing w:line="261" w:lineRule="auto"/>
                          <w:ind w:left="77" w:right="69"/>
                          <w:rPr>
                            <w:sz w:val="14"/>
                          </w:rPr>
                        </w:pPr>
                        <w:r>
                          <w:rPr>
                            <w:color w:val="231F20"/>
                            <w:w w:val="110"/>
                            <w:sz w:val="14"/>
                          </w:rPr>
                          <w:t>Derribar</w:t>
                        </w:r>
                        <w:r>
                          <w:rPr>
                            <w:color w:val="231F20"/>
                            <w:spacing w:val="-14"/>
                            <w:w w:val="110"/>
                            <w:sz w:val="14"/>
                          </w:rPr>
                          <w:t> </w:t>
                        </w:r>
                        <w:r>
                          <w:rPr>
                            <w:color w:val="231F20"/>
                            <w:w w:val="110"/>
                            <w:sz w:val="14"/>
                          </w:rPr>
                          <w:t>las</w:t>
                        </w:r>
                        <w:r>
                          <w:rPr>
                            <w:color w:val="231F20"/>
                            <w:spacing w:val="-14"/>
                            <w:w w:val="110"/>
                            <w:sz w:val="14"/>
                          </w:rPr>
                          <w:t> </w:t>
                        </w:r>
                        <w:r>
                          <w:rPr>
                            <w:color w:val="231F20"/>
                            <w:w w:val="110"/>
                            <w:sz w:val="14"/>
                          </w:rPr>
                          <w:t>barreras</w:t>
                        </w:r>
                        <w:r>
                          <w:rPr>
                            <w:color w:val="231F20"/>
                            <w:spacing w:val="-14"/>
                            <w:w w:val="110"/>
                            <w:sz w:val="14"/>
                          </w:rPr>
                          <w:t> </w:t>
                        </w:r>
                        <w:r>
                          <w:rPr>
                            <w:color w:val="231F20"/>
                            <w:w w:val="110"/>
                            <w:sz w:val="14"/>
                          </w:rPr>
                          <w:t>que</w:t>
                        </w:r>
                        <w:r>
                          <w:rPr>
                            <w:color w:val="231F20"/>
                            <w:spacing w:val="-14"/>
                            <w:w w:val="110"/>
                            <w:sz w:val="14"/>
                          </w:rPr>
                          <w:t> </w:t>
                        </w:r>
                        <w:r>
                          <w:rPr>
                            <w:color w:val="231F20"/>
                            <w:w w:val="110"/>
                            <w:sz w:val="14"/>
                          </w:rPr>
                          <w:t>impiden</w:t>
                        </w:r>
                        <w:r>
                          <w:rPr>
                            <w:color w:val="231F20"/>
                            <w:spacing w:val="-14"/>
                            <w:w w:val="110"/>
                            <w:sz w:val="14"/>
                          </w:rPr>
                          <w:t> </w:t>
                        </w:r>
                        <w:r>
                          <w:rPr>
                            <w:color w:val="231F20"/>
                            <w:w w:val="110"/>
                            <w:sz w:val="14"/>
                          </w:rPr>
                          <w:t>el</w:t>
                        </w:r>
                        <w:r>
                          <w:rPr>
                            <w:color w:val="231F20"/>
                            <w:spacing w:val="-14"/>
                            <w:w w:val="110"/>
                            <w:sz w:val="14"/>
                          </w:rPr>
                          <w:t> </w:t>
                        </w:r>
                        <w:r>
                          <w:rPr>
                            <w:color w:val="231F20"/>
                            <w:w w:val="110"/>
                            <w:sz w:val="14"/>
                          </w:rPr>
                          <w:t>orgullo</w:t>
                        </w:r>
                        <w:r>
                          <w:rPr>
                            <w:color w:val="231F20"/>
                            <w:spacing w:val="-14"/>
                            <w:w w:val="110"/>
                            <w:sz w:val="14"/>
                          </w:rPr>
                          <w:t> </w:t>
                        </w:r>
                        <w:r>
                          <w:rPr>
                            <w:color w:val="231F20"/>
                            <w:w w:val="110"/>
                            <w:sz w:val="14"/>
                          </w:rPr>
                          <w:t>de</w:t>
                        </w:r>
                        <w:r>
                          <w:rPr>
                            <w:color w:val="231F20"/>
                            <w:spacing w:val="-14"/>
                            <w:w w:val="110"/>
                            <w:sz w:val="14"/>
                          </w:rPr>
                          <w:t> </w:t>
                        </w:r>
                        <w:r>
                          <w:rPr>
                            <w:color w:val="231F20"/>
                            <w:w w:val="110"/>
                            <w:sz w:val="14"/>
                          </w:rPr>
                          <w:t>hacer bien un</w:t>
                        </w:r>
                        <w:r>
                          <w:rPr>
                            <w:color w:val="231F20"/>
                            <w:spacing w:val="-28"/>
                            <w:w w:val="110"/>
                            <w:sz w:val="14"/>
                          </w:rPr>
                          <w:t> </w:t>
                        </w:r>
                        <w:r>
                          <w:rPr>
                            <w:color w:val="231F20"/>
                            <w:w w:val="110"/>
                            <w:sz w:val="14"/>
                          </w:rPr>
                          <w:t>trabajo.</w:t>
                        </w:r>
                      </w:p>
                      <w:p>
                        <w:pPr>
                          <w:pStyle w:val="TableParagraph"/>
                          <w:spacing w:line="261" w:lineRule="auto"/>
                          <w:ind w:left="77"/>
                          <w:rPr>
                            <w:sz w:val="14"/>
                          </w:rPr>
                        </w:pPr>
                        <w:r>
                          <w:rPr>
                            <w:color w:val="231F20"/>
                            <w:w w:val="110"/>
                            <w:sz w:val="14"/>
                          </w:rPr>
                          <w:t>Instituir un programa vigoroso de educación y reen- trenamiento.</w:t>
                        </w:r>
                      </w:p>
                      <w:p>
                        <w:pPr>
                          <w:pStyle w:val="TableParagraph"/>
                          <w:ind w:left="77"/>
                          <w:jc w:val="both"/>
                          <w:rPr>
                            <w:sz w:val="14"/>
                          </w:rPr>
                        </w:pPr>
                        <w:r>
                          <w:rPr>
                            <w:color w:val="231F20"/>
                            <w:w w:val="105"/>
                            <w:sz w:val="14"/>
                          </w:rPr>
                          <w:t>Emprender acciones para alcanzar la transformación.</w:t>
                        </w:r>
                      </w:p>
                    </w:tc>
                    <w:tc>
                      <w:tcPr>
                        <w:tcW w:w="1984" w:type="dxa"/>
                      </w:tcPr>
                      <w:p>
                        <w:pPr>
                          <w:pStyle w:val="TableParagraph"/>
                          <w:rPr>
                            <w:sz w:val="14"/>
                          </w:rPr>
                        </w:pPr>
                      </w:p>
                      <w:p>
                        <w:pPr>
                          <w:pStyle w:val="TableParagraph"/>
                          <w:spacing w:line="261" w:lineRule="auto" w:before="106"/>
                          <w:ind w:left="77" w:right="68"/>
                          <w:rPr>
                            <w:sz w:val="14"/>
                          </w:rPr>
                        </w:pPr>
                        <w:r>
                          <w:rPr>
                            <w:color w:val="231F20"/>
                            <w:w w:val="105"/>
                            <w:sz w:val="14"/>
                          </w:rPr>
                          <w:t>Enfoque en los resultados y en la creación de valor.</w:t>
                        </w:r>
                      </w:p>
                      <w:p>
                        <w:pPr>
                          <w:pStyle w:val="TableParagraph"/>
                          <w:spacing w:line="261" w:lineRule="auto"/>
                          <w:ind w:left="77" w:right="108"/>
                          <w:rPr>
                            <w:sz w:val="14"/>
                          </w:rPr>
                        </w:pPr>
                        <w:r>
                          <w:rPr>
                            <w:color w:val="231F20"/>
                            <w:w w:val="105"/>
                            <w:sz w:val="14"/>
                          </w:rPr>
                          <w:t>Excelencia enfocada hacia </w:t>
                        </w:r>
                        <w:r>
                          <w:rPr>
                            <w:color w:val="231F20"/>
                            <w:w w:val="110"/>
                            <w:sz w:val="14"/>
                          </w:rPr>
                          <w:t>el cliente</w:t>
                        </w:r>
                      </w:p>
                      <w:p>
                        <w:pPr>
                          <w:pStyle w:val="TableParagraph"/>
                          <w:spacing w:line="261" w:lineRule="auto"/>
                          <w:ind w:left="77" w:right="80"/>
                          <w:rPr>
                            <w:sz w:val="14"/>
                          </w:rPr>
                        </w:pPr>
                        <w:r>
                          <w:rPr>
                            <w:color w:val="231F20"/>
                            <w:w w:val="110"/>
                            <w:sz w:val="14"/>
                          </w:rPr>
                          <w:t>Visión de Liderazgo. Dirección por hechos. Valoración de los empleados</w:t>
                        </w:r>
                        <w:r>
                          <w:rPr>
                            <w:color w:val="231F20"/>
                            <w:spacing w:val="-19"/>
                            <w:w w:val="110"/>
                            <w:sz w:val="14"/>
                          </w:rPr>
                          <w:t> </w:t>
                        </w:r>
                        <w:r>
                          <w:rPr>
                            <w:color w:val="231F20"/>
                            <w:w w:val="110"/>
                            <w:sz w:val="14"/>
                          </w:rPr>
                          <w:t>y</w:t>
                        </w:r>
                        <w:r>
                          <w:rPr>
                            <w:color w:val="231F20"/>
                            <w:spacing w:val="-19"/>
                            <w:w w:val="110"/>
                            <w:sz w:val="14"/>
                          </w:rPr>
                          <w:t> </w:t>
                        </w:r>
                        <w:r>
                          <w:rPr>
                            <w:color w:val="231F20"/>
                            <w:w w:val="110"/>
                            <w:sz w:val="14"/>
                          </w:rPr>
                          <w:t>de</w:t>
                        </w:r>
                        <w:r>
                          <w:rPr>
                            <w:color w:val="231F20"/>
                            <w:spacing w:val="-19"/>
                            <w:w w:val="110"/>
                            <w:sz w:val="14"/>
                          </w:rPr>
                          <w:t> </w:t>
                        </w:r>
                        <w:r>
                          <w:rPr>
                            <w:color w:val="231F20"/>
                            <w:w w:val="110"/>
                            <w:sz w:val="14"/>
                          </w:rPr>
                          <w:t>los</w:t>
                        </w:r>
                        <w:r>
                          <w:rPr>
                            <w:color w:val="231F20"/>
                            <w:spacing w:val="-19"/>
                            <w:w w:val="110"/>
                            <w:sz w:val="14"/>
                          </w:rPr>
                          <w:t> </w:t>
                        </w:r>
                        <w:r>
                          <w:rPr>
                            <w:color w:val="231F20"/>
                            <w:w w:val="110"/>
                            <w:sz w:val="14"/>
                          </w:rPr>
                          <w:t>socios. </w:t>
                        </w:r>
                        <w:r>
                          <w:rPr>
                            <w:color w:val="231F20"/>
                            <w:w w:val="105"/>
                            <w:sz w:val="14"/>
                          </w:rPr>
                          <w:t>Aprendizaje organizacional </w:t>
                        </w:r>
                        <w:r>
                          <w:rPr>
                            <w:color w:val="231F20"/>
                            <w:w w:val="110"/>
                            <w:sz w:val="14"/>
                          </w:rPr>
                          <w:t>y personal y mejora contínua.</w:t>
                        </w:r>
                      </w:p>
                      <w:p>
                        <w:pPr>
                          <w:pStyle w:val="TableParagraph"/>
                          <w:spacing w:line="261" w:lineRule="auto"/>
                          <w:ind w:left="77" w:right="779"/>
                          <w:rPr>
                            <w:sz w:val="14"/>
                          </w:rPr>
                        </w:pPr>
                        <w:r>
                          <w:rPr>
                            <w:color w:val="231F20"/>
                            <w:w w:val="105"/>
                            <w:sz w:val="14"/>
                          </w:rPr>
                          <w:t>Desarrollo de las asociaciones.</w:t>
                        </w:r>
                      </w:p>
                      <w:p>
                        <w:pPr>
                          <w:pStyle w:val="TableParagraph"/>
                          <w:spacing w:line="261" w:lineRule="auto"/>
                          <w:ind w:left="77" w:right="108"/>
                          <w:rPr>
                            <w:sz w:val="14"/>
                          </w:rPr>
                        </w:pPr>
                        <w:r>
                          <w:rPr>
                            <w:color w:val="231F20"/>
                            <w:w w:val="105"/>
                            <w:sz w:val="14"/>
                          </w:rPr>
                          <w:t>Responsabilidad Social y </w:t>
                        </w:r>
                        <w:r>
                          <w:rPr>
                            <w:color w:val="231F20"/>
                            <w:w w:val="110"/>
                            <w:sz w:val="14"/>
                          </w:rPr>
                          <w:t>bien hacer ciudadano. Agilidad y Respuestas rápidas</w:t>
                        </w:r>
                      </w:p>
                      <w:p>
                        <w:pPr>
                          <w:pStyle w:val="TableParagraph"/>
                          <w:spacing w:line="261" w:lineRule="auto"/>
                          <w:ind w:left="77" w:right="248"/>
                          <w:rPr>
                            <w:sz w:val="14"/>
                          </w:rPr>
                        </w:pPr>
                        <w:r>
                          <w:rPr>
                            <w:color w:val="231F20"/>
                            <w:w w:val="105"/>
                            <w:sz w:val="14"/>
                          </w:rPr>
                          <w:t>Enfoque en el futuro Perspectiva en sistemas.</w:t>
                        </w:r>
                      </w:p>
                    </w:tc>
                    <w:tc>
                      <w:tcPr>
                        <w:tcW w:w="1984" w:type="dxa"/>
                      </w:tcPr>
                      <w:p>
                        <w:pPr>
                          <w:pStyle w:val="TableParagraph"/>
                          <w:rPr>
                            <w:sz w:val="14"/>
                          </w:rPr>
                        </w:pPr>
                      </w:p>
                      <w:p>
                        <w:pPr>
                          <w:pStyle w:val="TableParagraph"/>
                          <w:rPr>
                            <w:sz w:val="14"/>
                          </w:rPr>
                        </w:pPr>
                      </w:p>
                      <w:p>
                        <w:pPr>
                          <w:pStyle w:val="TableParagraph"/>
                          <w:rPr>
                            <w:sz w:val="14"/>
                          </w:rPr>
                        </w:pPr>
                      </w:p>
                      <w:p>
                        <w:pPr>
                          <w:pStyle w:val="TableParagraph"/>
                          <w:spacing w:before="3"/>
                          <w:rPr>
                            <w:sz w:val="19"/>
                          </w:rPr>
                        </w:pPr>
                      </w:p>
                      <w:p>
                        <w:pPr>
                          <w:pStyle w:val="TableParagraph"/>
                          <w:spacing w:line="261" w:lineRule="auto" w:before="1"/>
                          <w:ind w:left="77" w:right="108"/>
                          <w:rPr>
                            <w:sz w:val="14"/>
                          </w:rPr>
                        </w:pPr>
                        <w:r>
                          <w:rPr>
                            <w:color w:val="231F20"/>
                            <w:w w:val="110"/>
                            <w:sz w:val="14"/>
                          </w:rPr>
                          <w:t>Orientación en los resultados.</w:t>
                        </w:r>
                      </w:p>
                      <w:p>
                        <w:pPr>
                          <w:pStyle w:val="TableParagraph"/>
                          <w:spacing w:line="261" w:lineRule="auto"/>
                          <w:ind w:left="77" w:right="92"/>
                          <w:jc w:val="both"/>
                          <w:rPr>
                            <w:sz w:val="14"/>
                          </w:rPr>
                        </w:pPr>
                        <w:r>
                          <w:rPr>
                            <w:color w:val="231F20"/>
                            <w:w w:val="110"/>
                            <w:sz w:val="14"/>
                          </w:rPr>
                          <w:t>Orientación</w:t>
                        </w:r>
                        <w:r>
                          <w:rPr>
                            <w:color w:val="231F20"/>
                            <w:spacing w:val="-19"/>
                            <w:w w:val="110"/>
                            <w:sz w:val="14"/>
                          </w:rPr>
                          <w:t> </w:t>
                        </w:r>
                        <w:r>
                          <w:rPr>
                            <w:color w:val="231F20"/>
                            <w:w w:val="110"/>
                            <w:sz w:val="14"/>
                          </w:rPr>
                          <w:t>hacia</w:t>
                        </w:r>
                        <w:r>
                          <w:rPr>
                            <w:color w:val="231F20"/>
                            <w:spacing w:val="-19"/>
                            <w:w w:val="110"/>
                            <w:sz w:val="14"/>
                          </w:rPr>
                          <w:t> </w:t>
                        </w:r>
                        <w:r>
                          <w:rPr>
                            <w:color w:val="231F20"/>
                            <w:w w:val="110"/>
                            <w:sz w:val="14"/>
                          </w:rPr>
                          <w:t>el</w:t>
                        </w:r>
                        <w:r>
                          <w:rPr>
                            <w:color w:val="231F20"/>
                            <w:spacing w:val="-19"/>
                            <w:w w:val="110"/>
                            <w:sz w:val="14"/>
                          </w:rPr>
                          <w:t> </w:t>
                        </w:r>
                        <w:r>
                          <w:rPr>
                            <w:color w:val="231F20"/>
                            <w:w w:val="110"/>
                            <w:sz w:val="14"/>
                          </w:rPr>
                          <w:t>cliente Liderazgo</w:t>
                        </w:r>
                        <w:r>
                          <w:rPr>
                            <w:color w:val="231F20"/>
                            <w:spacing w:val="-26"/>
                            <w:w w:val="110"/>
                            <w:sz w:val="14"/>
                          </w:rPr>
                          <w:t> </w:t>
                        </w:r>
                        <w:r>
                          <w:rPr>
                            <w:color w:val="231F20"/>
                            <w:w w:val="110"/>
                            <w:sz w:val="14"/>
                          </w:rPr>
                          <w:t>y</w:t>
                        </w:r>
                        <w:r>
                          <w:rPr>
                            <w:color w:val="231F20"/>
                            <w:spacing w:val="-26"/>
                            <w:w w:val="110"/>
                            <w:sz w:val="14"/>
                          </w:rPr>
                          <w:t> </w:t>
                        </w:r>
                        <w:r>
                          <w:rPr>
                            <w:color w:val="231F20"/>
                            <w:w w:val="110"/>
                            <w:sz w:val="14"/>
                          </w:rPr>
                          <w:t>coherencia</w:t>
                        </w:r>
                        <w:r>
                          <w:rPr>
                            <w:color w:val="231F20"/>
                            <w:spacing w:val="-26"/>
                            <w:w w:val="110"/>
                            <w:sz w:val="14"/>
                          </w:rPr>
                          <w:t> </w:t>
                        </w:r>
                        <w:r>
                          <w:rPr>
                            <w:color w:val="231F20"/>
                            <w:w w:val="110"/>
                            <w:sz w:val="14"/>
                          </w:rPr>
                          <w:t>con los</w:t>
                        </w:r>
                        <w:r>
                          <w:rPr>
                            <w:color w:val="231F20"/>
                            <w:spacing w:val="-23"/>
                            <w:w w:val="110"/>
                            <w:sz w:val="14"/>
                          </w:rPr>
                          <w:t> </w:t>
                        </w:r>
                        <w:r>
                          <w:rPr>
                            <w:color w:val="231F20"/>
                            <w:w w:val="110"/>
                            <w:sz w:val="14"/>
                          </w:rPr>
                          <w:t>objetivos</w:t>
                        </w:r>
                      </w:p>
                      <w:p>
                        <w:pPr>
                          <w:pStyle w:val="TableParagraph"/>
                          <w:spacing w:line="261" w:lineRule="auto"/>
                          <w:ind w:left="77" w:right="187"/>
                          <w:rPr>
                            <w:sz w:val="14"/>
                          </w:rPr>
                        </w:pPr>
                        <w:r>
                          <w:rPr>
                            <w:color w:val="231F20"/>
                            <w:w w:val="110"/>
                            <w:sz w:val="14"/>
                          </w:rPr>
                          <w:t>Dirección por procesos y hechos.</w:t>
                        </w:r>
                      </w:p>
                      <w:p>
                        <w:pPr>
                          <w:pStyle w:val="TableParagraph"/>
                          <w:spacing w:line="261" w:lineRule="auto"/>
                          <w:ind w:left="77" w:right="108"/>
                          <w:rPr>
                            <w:sz w:val="14"/>
                          </w:rPr>
                        </w:pPr>
                        <w:r>
                          <w:rPr>
                            <w:color w:val="231F20"/>
                            <w:w w:val="110"/>
                            <w:sz w:val="14"/>
                          </w:rPr>
                          <w:t>Desarrollo e implicación del personal.</w:t>
                        </w:r>
                      </w:p>
                      <w:p>
                        <w:pPr>
                          <w:pStyle w:val="TableParagraph"/>
                          <w:spacing w:line="261" w:lineRule="auto"/>
                          <w:ind w:left="77" w:right="198"/>
                          <w:rPr>
                            <w:sz w:val="14"/>
                          </w:rPr>
                        </w:pPr>
                        <w:r>
                          <w:rPr>
                            <w:color w:val="231F20"/>
                            <w:w w:val="105"/>
                            <w:sz w:val="14"/>
                          </w:rPr>
                          <w:t>Aprendizaje, Innovación y mejora contínua.</w:t>
                        </w:r>
                      </w:p>
                      <w:p>
                        <w:pPr>
                          <w:pStyle w:val="TableParagraph"/>
                          <w:spacing w:line="261" w:lineRule="auto"/>
                          <w:ind w:left="77" w:right="108"/>
                          <w:rPr>
                            <w:sz w:val="14"/>
                          </w:rPr>
                        </w:pPr>
                        <w:r>
                          <w:rPr>
                            <w:color w:val="231F20"/>
                            <w:w w:val="105"/>
                            <w:sz w:val="14"/>
                          </w:rPr>
                          <w:t>Desarrollo de alianzas y asociaciones Responsabilidad Social.</w:t>
                        </w:r>
                      </w:p>
                    </w:tc>
                    <w:tc>
                      <w:tcPr>
                        <w:tcW w:w="1984" w:type="dxa"/>
                      </w:tcPr>
                      <w:p>
                        <w:pPr>
                          <w:pStyle w:val="TableParagraph"/>
                          <w:rPr>
                            <w:sz w:val="14"/>
                          </w:rPr>
                        </w:pPr>
                      </w:p>
                      <w:p>
                        <w:pPr>
                          <w:pStyle w:val="TableParagraph"/>
                          <w:rPr>
                            <w:sz w:val="14"/>
                          </w:rPr>
                        </w:pPr>
                      </w:p>
                      <w:p>
                        <w:pPr>
                          <w:pStyle w:val="TableParagraph"/>
                          <w:rPr>
                            <w:sz w:val="14"/>
                          </w:rPr>
                        </w:pPr>
                      </w:p>
                      <w:p>
                        <w:pPr>
                          <w:pStyle w:val="TableParagraph"/>
                          <w:spacing w:before="3"/>
                          <w:rPr>
                            <w:sz w:val="19"/>
                          </w:rPr>
                        </w:pPr>
                      </w:p>
                      <w:p>
                        <w:pPr>
                          <w:pStyle w:val="TableParagraph"/>
                          <w:spacing w:line="261" w:lineRule="auto" w:before="1"/>
                          <w:ind w:left="77" w:right="392"/>
                          <w:rPr>
                            <w:sz w:val="14"/>
                          </w:rPr>
                        </w:pPr>
                        <w:r>
                          <w:rPr>
                            <w:color w:val="231F20"/>
                            <w:w w:val="110"/>
                            <w:sz w:val="14"/>
                          </w:rPr>
                          <w:t>Orientación en los resultados.</w:t>
                        </w:r>
                      </w:p>
                      <w:p>
                        <w:pPr>
                          <w:pStyle w:val="TableParagraph"/>
                          <w:spacing w:line="261" w:lineRule="auto"/>
                          <w:ind w:left="77" w:right="92"/>
                          <w:jc w:val="both"/>
                          <w:rPr>
                            <w:sz w:val="14"/>
                          </w:rPr>
                        </w:pPr>
                        <w:r>
                          <w:rPr>
                            <w:color w:val="231F20"/>
                            <w:w w:val="110"/>
                            <w:sz w:val="14"/>
                          </w:rPr>
                          <w:t>Orientación</w:t>
                        </w:r>
                        <w:r>
                          <w:rPr>
                            <w:color w:val="231F20"/>
                            <w:spacing w:val="-19"/>
                            <w:w w:val="110"/>
                            <w:sz w:val="14"/>
                          </w:rPr>
                          <w:t> </w:t>
                        </w:r>
                        <w:r>
                          <w:rPr>
                            <w:color w:val="231F20"/>
                            <w:w w:val="110"/>
                            <w:sz w:val="14"/>
                          </w:rPr>
                          <w:t>hacia</w:t>
                        </w:r>
                        <w:r>
                          <w:rPr>
                            <w:color w:val="231F20"/>
                            <w:spacing w:val="-19"/>
                            <w:w w:val="110"/>
                            <w:sz w:val="14"/>
                          </w:rPr>
                          <w:t> </w:t>
                        </w:r>
                        <w:r>
                          <w:rPr>
                            <w:color w:val="231F20"/>
                            <w:w w:val="110"/>
                            <w:sz w:val="14"/>
                          </w:rPr>
                          <w:t>el</w:t>
                        </w:r>
                        <w:r>
                          <w:rPr>
                            <w:color w:val="231F20"/>
                            <w:spacing w:val="-19"/>
                            <w:w w:val="110"/>
                            <w:sz w:val="14"/>
                          </w:rPr>
                          <w:t> </w:t>
                        </w:r>
                        <w:r>
                          <w:rPr>
                            <w:color w:val="231F20"/>
                            <w:w w:val="110"/>
                            <w:sz w:val="14"/>
                          </w:rPr>
                          <w:t>cliente Liderazgo</w:t>
                        </w:r>
                        <w:r>
                          <w:rPr>
                            <w:color w:val="231F20"/>
                            <w:spacing w:val="-26"/>
                            <w:w w:val="110"/>
                            <w:sz w:val="14"/>
                          </w:rPr>
                          <w:t> </w:t>
                        </w:r>
                        <w:r>
                          <w:rPr>
                            <w:color w:val="231F20"/>
                            <w:w w:val="110"/>
                            <w:sz w:val="14"/>
                          </w:rPr>
                          <w:t>y</w:t>
                        </w:r>
                        <w:r>
                          <w:rPr>
                            <w:color w:val="231F20"/>
                            <w:spacing w:val="-26"/>
                            <w:w w:val="110"/>
                            <w:sz w:val="14"/>
                          </w:rPr>
                          <w:t> </w:t>
                        </w:r>
                        <w:r>
                          <w:rPr>
                            <w:color w:val="231F20"/>
                            <w:w w:val="110"/>
                            <w:sz w:val="14"/>
                          </w:rPr>
                          <w:t>coherencia</w:t>
                        </w:r>
                        <w:r>
                          <w:rPr>
                            <w:color w:val="231F20"/>
                            <w:spacing w:val="-26"/>
                            <w:w w:val="110"/>
                            <w:sz w:val="14"/>
                          </w:rPr>
                          <w:t> </w:t>
                        </w:r>
                        <w:r>
                          <w:rPr>
                            <w:color w:val="231F20"/>
                            <w:w w:val="110"/>
                            <w:sz w:val="14"/>
                          </w:rPr>
                          <w:t>con los</w:t>
                        </w:r>
                        <w:r>
                          <w:rPr>
                            <w:color w:val="231F20"/>
                            <w:spacing w:val="-23"/>
                            <w:w w:val="110"/>
                            <w:sz w:val="14"/>
                          </w:rPr>
                          <w:t> </w:t>
                        </w:r>
                        <w:r>
                          <w:rPr>
                            <w:color w:val="231F20"/>
                            <w:w w:val="110"/>
                            <w:sz w:val="14"/>
                          </w:rPr>
                          <w:t>objetivos</w:t>
                        </w:r>
                      </w:p>
                      <w:p>
                        <w:pPr>
                          <w:pStyle w:val="TableParagraph"/>
                          <w:spacing w:line="261" w:lineRule="auto"/>
                          <w:ind w:left="77" w:right="187"/>
                          <w:rPr>
                            <w:sz w:val="14"/>
                          </w:rPr>
                        </w:pPr>
                        <w:r>
                          <w:rPr>
                            <w:color w:val="231F20"/>
                            <w:w w:val="110"/>
                            <w:sz w:val="14"/>
                          </w:rPr>
                          <w:t>Dirección por procesos y hechos.</w:t>
                        </w:r>
                      </w:p>
                      <w:p>
                        <w:pPr>
                          <w:pStyle w:val="TableParagraph"/>
                          <w:spacing w:line="261" w:lineRule="auto"/>
                          <w:ind w:left="77" w:right="133"/>
                          <w:rPr>
                            <w:sz w:val="14"/>
                          </w:rPr>
                        </w:pPr>
                        <w:r>
                          <w:rPr>
                            <w:color w:val="231F20"/>
                            <w:w w:val="110"/>
                            <w:sz w:val="14"/>
                          </w:rPr>
                          <w:t>Desarrollo e implicación del personal.</w:t>
                        </w:r>
                      </w:p>
                      <w:p>
                        <w:pPr>
                          <w:pStyle w:val="TableParagraph"/>
                          <w:spacing w:line="261" w:lineRule="auto"/>
                          <w:ind w:left="77" w:right="198"/>
                          <w:rPr>
                            <w:sz w:val="14"/>
                          </w:rPr>
                        </w:pPr>
                        <w:r>
                          <w:rPr>
                            <w:color w:val="231F20"/>
                            <w:w w:val="105"/>
                            <w:sz w:val="14"/>
                          </w:rPr>
                          <w:t>Aprendizaje, Innovación y Mejora contínua.</w:t>
                        </w:r>
                      </w:p>
                      <w:p>
                        <w:pPr>
                          <w:pStyle w:val="TableParagraph"/>
                          <w:spacing w:line="261" w:lineRule="auto"/>
                          <w:ind w:left="77" w:right="133"/>
                          <w:rPr>
                            <w:sz w:val="14"/>
                          </w:rPr>
                        </w:pPr>
                        <w:r>
                          <w:rPr>
                            <w:color w:val="231F20"/>
                            <w:w w:val="105"/>
                            <w:sz w:val="14"/>
                          </w:rPr>
                          <w:t>Desarrollo de alianzas y asociaciones Responsabilidad Social.</w:t>
                        </w:r>
                      </w:p>
                    </w:tc>
                  </w:tr>
                </w:tbl>
                <w:p>
                  <w:pPr>
                    <w:pStyle w:val="BodyText"/>
                  </w:pPr>
                </w:p>
              </w:txbxContent>
            </v:textbox>
            <w10:wrap type="none"/>
          </v:shape>
        </w:pict>
      </w:r>
      <w:r>
        <w:rPr>
          <w:color w:val="231F20"/>
          <w:w w:val="93"/>
          <w:sz w:val="14"/>
          <w:u w:val="single" w:color="231F20"/>
        </w:rPr>
        <w:t> </w:t>
      </w:r>
      <w:r>
        <w:rPr>
          <w:color w:val="231F20"/>
          <w:sz w:val="14"/>
          <w:u w:val="single" w:color="231F20"/>
        </w:rPr>
        <w:tab/>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spacing w:before="67"/>
        <w:ind w:left="1417" w:right="0" w:firstLine="0"/>
        <w:jc w:val="left"/>
        <w:rPr>
          <w:sz w:val="16"/>
        </w:rPr>
      </w:pPr>
      <w:r>
        <w:rPr>
          <w:color w:val="231F20"/>
          <w:w w:val="105"/>
          <w:sz w:val="16"/>
        </w:rPr>
        <w:t>Fuente: elaboración propia a partir de De Nieves y Ros (2006); Gemoets (2010); González (2004); Miranda </w:t>
      </w:r>
      <w:r>
        <w:rPr>
          <w:i/>
          <w:color w:val="231F20"/>
          <w:w w:val="105"/>
          <w:sz w:val="16"/>
        </w:rPr>
        <w:t>et al</w:t>
      </w:r>
      <w:r>
        <w:rPr>
          <w:color w:val="231F20"/>
          <w:w w:val="105"/>
          <w:sz w:val="16"/>
        </w:rPr>
        <w:t>, (2007) y FUNDIBEQ (2012).</w:t>
      </w:r>
    </w:p>
    <w:p>
      <w:pPr>
        <w:spacing w:after="0"/>
        <w:jc w:val="left"/>
        <w:rPr>
          <w:sz w:val="16"/>
        </w:rPr>
        <w:sectPr>
          <w:pgSz w:w="13890" w:h="9640" w:orient="landscape"/>
          <w:pgMar w:top="860" w:bottom="280" w:left="0" w:right="1280"/>
        </w:sectPr>
      </w:pPr>
    </w:p>
    <w:p>
      <w:pPr>
        <w:pStyle w:val="BodyText"/>
        <w:rPr>
          <w:sz w:val="20"/>
        </w:rPr>
      </w:pPr>
    </w:p>
    <w:p>
      <w:pPr>
        <w:pStyle w:val="BodyText"/>
        <w:spacing w:before="2"/>
        <w:rPr>
          <w:sz w:val="23"/>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4048"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101</w:t>
      </w:r>
    </w:p>
    <w:p>
      <w:pPr>
        <w:spacing w:before="634"/>
        <w:ind w:left="1393" w:right="114" w:firstLine="0"/>
        <w:jc w:val="left"/>
        <w:rPr>
          <w:sz w:val="18"/>
        </w:rPr>
      </w:pPr>
      <w:r>
        <w:rPr/>
        <w:pict>
          <v:shape style="position:absolute;margin-left:77.776901pt;margin-top:48.210564pt;width:192.8pt;height:19.55pt;mso-position-horizontal-relative:page;mso-position-vertical-relative:paragraph;z-index:3568;mso-wrap-distance-left:0;mso-wrap-distance-right:0" coordorigin="1556,964" coordsize="3856,391" path="m5128,964l5184,1096,1556,1096,1556,1223,5184,1223,5128,1355,5411,1160,5128,964xe" filled="true" fillcolor="#231f20" stroked="false">
            <v:path arrowok="t"/>
            <v:fill type="solid"/>
            <w10:wrap type="topAndBottom"/>
          </v:shape>
        </w:pict>
      </w:r>
      <w:r>
        <w:rPr/>
        <w:pict>
          <v:shape style="position:absolute;margin-left:282.112pt;margin-top:48.210564pt;width:126.75pt;height:19.55pt;mso-position-horizontal-relative:page;mso-position-vertical-relative:paragraph;z-index:3592;mso-wrap-distance-left:0;mso-wrap-distance-right:0" coordorigin="5642,964" coordsize="2535,391" path="m7894,964l7950,1096,5642,1096,5642,1223,7950,1223,7894,1355,8177,1160,7894,964xe" filled="true" fillcolor="#231f20" stroked="false">
            <v:path arrowok="t"/>
            <v:fill type="solid"/>
            <w10:wrap type="topAndBottom"/>
          </v:shape>
        </w:pict>
      </w:r>
      <w:r>
        <w:rPr>
          <w:color w:val="231F20"/>
          <w:w w:val="105"/>
          <w:sz w:val="18"/>
        </w:rPr>
        <w:t>Figura 2. Modelo EFQM de excelencia administrativa</w:t>
      </w:r>
    </w:p>
    <w:p>
      <w:pPr>
        <w:pStyle w:val="BodyText"/>
        <w:spacing w:before="8"/>
        <w:rPr>
          <w:sz w:val="3"/>
        </w:rPr>
      </w:pPr>
    </w:p>
    <w:p>
      <w:pPr>
        <w:pStyle w:val="BodyText"/>
        <w:ind w:left="234"/>
        <w:rPr>
          <w:sz w:val="20"/>
        </w:rPr>
      </w:pPr>
      <w:r>
        <w:rPr>
          <w:sz w:val="20"/>
        </w:rPr>
        <w:pict>
          <v:group style="width:332.5pt;height:137.550pt;mso-position-horizontal-relative:char;mso-position-vertical-relative:line" coordorigin="0,0" coordsize="6650,2751">
            <v:rect style="position:absolute;left:1858;top:750;width:127;height:252" filled="true" fillcolor="#231f20" stroked="false">
              <v:fill type="solid"/>
            </v:rect>
            <v:rect style="position:absolute;left:2498;top:317;width:227;height:127" filled="true" fillcolor="#231f20" stroked="false">
              <v:fill type="solid"/>
            </v:rect>
            <v:rect style="position:absolute;left:1165;top:317;width:180;height:127" filled="true" fillcolor="#231f20" stroked="false">
              <v:fill type="solid"/>
            </v:rect>
            <v:rect style="position:absolute;left:1345;top:8;width:1153;height:742" filled="false" stroked="true" strokeweight=".5pt" strokecolor="#231f20"/>
            <v:rect style="position:absolute;left:1858;top:1743;width:127;height:258" filled="true" fillcolor="#231f20" stroked="false">
              <v:fill type="solid"/>
            </v:rect>
            <v:rect style="position:absolute;left:2498;top:1338;width:227;height:127" filled="true" fillcolor="#231f20" stroked="false">
              <v:fill type="solid"/>
            </v:rect>
            <v:rect style="position:absolute;left:1165;top:1338;width:180;height:127" filled="true" fillcolor="#231f20" stroked="false">
              <v:fill type="solid"/>
            </v:rect>
            <v:rect style="position:absolute;left:1345;top:1002;width:1153;height:742" filled="false" stroked="true" strokeweight=".5pt" strokecolor="#231f20"/>
            <v:rect style="position:absolute;left:2505;top:2317;width:220;height:127" filled="true" fillcolor="#231f20" stroked="false">
              <v:fill type="solid"/>
            </v:rect>
            <v:rect style="position:absolute;left:1165;top:2317;width:187;height:127" filled="true" fillcolor="#231f20" stroked="false">
              <v:fill type="solid"/>
            </v:rect>
            <v:rect style="position:absolute;left:1352;top:2002;width:1153;height:742" filled="false" stroked="true" strokeweight=".5pt" strokecolor="#231f20"/>
            <v:rect style="position:absolute;left:4631;top:752;width:127;height:252" filled="true" fillcolor="#231f20" stroked="false">
              <v:fill type="solid"/>
            </v:rect>
            <v:rect style="position:absolute;left:5258;top:317;width:227;height:127" filled="true" fillcolor="#231f20" stroked="false">
              <v:fill type="solid"/>
            </v:rect>
            <v:rect style="position:absolute;left:3885;top:317;width:220;height:127" filled="true" fillcolor="#231f20" stroked="false">
              <v:fill type="solid"/>
            </v:rect>
            <v:rect style="position:absolute;left:4105;top:10;width:1153;height:742" filled="false" stroked="true" strokeweight=".5pt" strokecolor="#231f20"/>
            <v:rect style="position:absolute;left:4631;top:1745;width:127;height:258" filled="true" fillcolor="#231f20" stroked="false">
              <v:fill type="solid"/>
            </v:rect>
            <v:rect style="position:absolute;left:5258;top:1338;width:227;height:127" filled="true" fillcolor="#231f20" stroked="false">
              <v:fill type="solid"/>
            </v:rect>
            <v:rect style="position:absolute;left:3885;top:1338;width:220;height:127" filled="true" fillcolor="#231f20" stroked="false">
              <v:fill type="solid"/>
            </v:rect>
            <v:rect style="position:absolute;left:4105;top:1003;width:1153;height:742" filled="false" stroked="true" strokeweight=".5pt" strokecolor="#231f20"/>
            <v:rect style="position:absolute;left:5265;top:2317;width:220;height:127" filled="true" fillcolor="#231f20" stroked="false">
              <v:fill type="solid"/>
            </v:rect>
            <v:rect style="position:absolute;left:3885;top:2317;width:227;height:127" filled="true" fillcolor="#231f20" stroked="false">
              <v:fill type="solid"/>
            </v:rect>
            <v:rect style="position:absolute;left:4112;top:2003;width:1153;height:742" filled="false" stroked="true" strokeweight=".5pt" strokecolor="#231f20"/>
            <v:rect style="position:absolute;left:5485;top:7;width:1160;height:2735" filled="false" stroked="true" strokeweight=".5pt" strokecolor="#231f20"/>
            <v:rect style="position:absolute;left:2725;top:5;width:1160;height:2735" filled="false" stroked="true" strokeweight=".5pt" strokecolor="#231f20"/>
            <v:rect style="position:absolute;left:5;top:5;width:1160;height:2735" filled="false" stroked="true" strokeweight=".5pt" strokecolor="#231f20"/>
            <v:shape style="position:absolute;left:5;top:6;width:1160;height:2736"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8"/>
                      <w:rPr>
                        <w:sz w:val="21"/>
                      </w:rPr>
                    </w:pPr>
                  </w:p>
                  <w:p>
                    <w:pPr>
                      <w:spacing w:line="192" w:lineRule="exact" w:before="0"/>
                      <w:ind w:left="459" w:right="197" w:hanging="202"/>
                      <w:jc w:val="left"/>
                      <w:rPr>
                        <w:rFonts w:ascii="Calibri"/>
                        <w:sz w:val="16"/>
                      </w:rPr>
                    </w:pPr>
                    <w:r>
                      <w:rPr>
                        <w:rFonts w:ascii="Calibri"/>
                        <w:color w:val="231F20"/>
                        <w:w w:val="110"/>
                        <w:sz w:val="16"/>
                      </w:rPr>
                      <w:t>Liderazgo </w:t>
                    </w:r>
                    <w:r>
                      <w:rPr>
                        <w:rFonts w:ascii="Calibri"/>
                        <w:color w:val="231F20"/>
                        <w:w w:val="115"/>
                        <w:sz w:val="16"/>
                      </w:rPr>
                      <w:t>100</w:t>
                    </w:r>
                  </w:p>
                </w:txbxContent>
              </v:textbox>
              <w10:wrap type="none"/>
            </v:shape>
            <v:shape style="position:absolute;left:1347;top:6;width:1154;height:745" type="#_x0000_t202" filled="false" stroked="false">
              <v:textbox inset="0,0,0,0">
                <w:txbxContent>
                  <w:p>
                    <w:pPr>
                      <w:spacing w:line="240" w:lineRule="auto" w:before="0"/>
                      <w:rPr>
                        <w:sz w:val="14"/>
                      </w:rPr>
                    </w:pPr>
                  </w:p>
                  <w:p>
                    <w:pPr>
                      <w:spacing w:line="192" w:lineRule="exact" w:before="0"/>
                      <w:ind w:left="437" w:right="0" w:hanging="175"/>
                      <w:jc w:val="left"/>
                      <w:rPr>
                        <w:rFonts w:ascii="Calibri"/>
                        <w:sz w:val="16"/>
                      </w:rPr>
                    </w:pPr>
                    <w:r>
                      <w:rPr>
                        <w:rFonts w:ascii="Calibri"/>
                        <w:color w:val="231F20"/>
                        <w:w w:val="110"/>
                        <w:sz w:val="16"/>
                      </w:rPr>
                      <w:t>Personas </w:t>
                    </w:r>
                    <w:r>
                      <w:rPr>
                        <w:rFonts w:ascii="Calibri"/>
                        <w:color w:val="231F20"/>
                        <w:w w:val="115"/>
                        <w:sz w:val="16"/>
                      </w:rPr>
                      <w:t>100</w:t>
                    </w:r>
                  </w:p>
                </w:txbxContent>
              </v:textbox>
              <w10:wrap type="none"/>
            </v:shape>
            <v:shape style="position:absolute;left:2725;top:6;width:1160;height:2737"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9"/>
                      <w:rPr>
                        <w:sz w:val="23"/>
                      </w:rPr>
                    </w:pPr>
                  </w:p>
                  <w:p>
                    <w:pPr>
                      <w:spacing w:line="192" w:lineRule="exact" w:before="0"/>
                      <w:ind w:left="181" w:right="133" w:hanging="1"/>
                      <w:jc w:val="center"/>
                      <w:rPr>
                        <w:rFonts w:ascii="Calibri"/>
                        <w:sz w:val="16"/>
                      </w:rPr>
                    </w:pPr>
                    <w:r>
                      <w:rPr>
                        <w:rFonts w:ascii="Calibri"/>
                        <w:color w:val="231F20"/>
                        <w:w w:val="110"/>
                        <w:sz w:val="16"/>
                      </w:rPr>
                      <w:t>Procesos productos</w:t>
                    </w:r>
                    <w:r>
                      <w:rPr>
                        <w:rFonts w:ascii="Calibri"/>
                        <w:color w:val="231F20"/>
                        <w:spacing w:val="-5"/>
                        <w:w w:val="110"/>
                        <w:sz w:val="16"/>
                      </w:rPr>
                      <w:t> </w:t>
                    </w:r>
                    <w:r>
                      <w:rPr>
                        <w:rFonts w:ascii="Calibri"/>
                        <w:color w:val="231F20"/>
                        <w:w w:val="110"/>
                        <w:sz w:val="16"/>
                      </w:rPr>
                      <w:t>y servicios 100</w:t>
                    </w:r>
                  </w:p>
                </w:txbxContent>
              </v:textbox>
              <w10:wrap type="none"/>
            </v:shape>
            <v:shape style="position:absolute;left:4107;top:6;width:1154;height:745" type="#_x0000_t202" filled="false" stroked="false">
              <v:textbox inset="0,0,0,0">
                <w:txbxContent>
                  <w:p>
                    <w:pPr>
                      <w:spacing w:line="192" w:lineRule="exact" w:before="83"/>
                      <w:ind w:left="72" w:right="62" w:firstLine="0"/>
                      <w:jc w:val="center"/>
                      <w:rPr>
                        <w:rFonts w:ascii="Calibri"/>
                        <w:sz w:val="16"/>
                      </w:rPr>
                    </w:pPr>
                    <w:r>
                      <w:rPr>
                        <w:rFonts w:ascii="Calibri"/>
                        <w:color w:val="231F20"/>
                        <w:w w:val="110"/>
                        <w:sz w:val="16"/>
                      </w:rPr>
                      <w:t>Resultados en las personas 100</w:t>
                    </w:r>
                  </w:p>
                </w:txbxContent>
              </v:textbox>
              <w10:wrap type="none"/>
            </v:shape>
            <v:shape style="position:absolute;left:5485;top:6;width:1160;height:2737"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7"/>
                      <w:rPr>
                        <w:sz w:val="13"/>
                      </w:rPr>
                    </w:pPr>
                  </w:p>
                  <w:p>
                    <w:pPr>
                      <w:spacing w:line="192" w:lineRule="exact" w:before="0"/>
                      <w:ind w:left="417" w:right="146" w:hanging="206"/>
                      <w:jc w:val="left"/>
                      <w:rPr>
                        <w:rFonts w:ascii="Calibri"/>
                        <w:sz w:val="16"/>
                      </w:rPr>
                    </w:pPr>
                    <w:r>
                      <w:rPr>
                        <w:rFonts w:ascii="Calibri"/>
                        <w:color w:val="231F20"/>
                        <w:w w:val="110"/>
                        <w:sz w:val="16"/>
                      </w:rPr>
                      <w:t>Resultados </w:t>
                    </w:r>
                    <w:r>
                      <w:rPr>
                        <w:rFonts w:ascii="Calibri"/>
                        <w:color w:val="231F20"/>
                        <w:w w:val="115"/>
                        <w:sz w:val="16"/>
                      </w:rPr>
                      <w:t>clave 150</w:t>
                    </w:r>
                  </w:p>
                </w:txbxContent>
              </v:textbox>
              <w10:wrap type="none"/>
            </v:shape>
            <v:shape style="position:absolute;left:1347;top:1003;width:1154;height:742" type="#_x0000_t202" filled="false" stroked="false">
              <v:textbox inset="0,0,0,0">
                <w:txbxContent>
                  <w:p>
                    <w:pPr>
                      <w:spacing w:line="240" w:lineRule="auto" w:before="9"/>
                      <w:rPr>
                        <w:sz w:val="13"/>
                      </w:rPr>
                    </w:pPr>
                  </w:p>
                  <w:p>
                    <w:pPr>
                      <w:spacing w:line="192" w:lineRule="exact" w:before="0"/>
                      <w:ind w:left="437" w:right="0" w:hanging="244"/>
                      <w:jc w:val="left"/>
                      <w:rPr>
                        <w:rFonts w:ascii="Calibri"/>
                        <w:sz w:val="16"/>
                      </w:rPr>
                    </w:pPr>
                    <w:r>
                      <w:rPr>
                        <w:rFonts w:ascii="Calibri"/>
                        <w:color w:val="231F20"/>
                        <w:w w:val="110"/>
                        <w:sz w:val="16"/>
                      </w:rPr>
                      <w:t>Estrategias </w:t>
                    </w:r>
                    <w:r>
                      <w:rPr>
                        <w:rFonts w:ascii="Calibri"/>
                        <w:color w:val="231F20"/>
                        <w:w w:val="115"/>
                        <w:sz w:val="16"/>
                      </w:rPr>
                      <w:t>100</w:t>
                    </w:r>
                  </w:p>
                </w:txbxContent>
              </v:textbox>
              <w10:wrap type="none"/>
            </v:shape>
            <v:shape style="position:absolute;left:4107;top:1003;width:1154;height:742" type="#_x0000_t202" filled="false" stroked="false">
              <v:textbox inset="0,0,0,0">
                <w:txbxContent>
                  <w:p>
                    <w:pPr>
                      <w:spacing w:line="192" w:lineRule="exact" w:before="80"/>
                      <w:ind w:left="72" w:right="62" w:firstLine="0"/>
                      <w:jc w:val="center"/>
                      <w:rPr>
                        <w:rFonts w:ascii="Calibri"/>
                        <w:sz w:val="16"/>
                      </w:rPr>
                    </w:pPr>
                    <w:r>
                      <w:rPr>
                        <w:rFonts w:ascii="Calibri"/>
                        <w:color w:val="231F20"/>
                        <w:w w:val="110"/>
                        <w:sz w:val="16"/>
                      </w:rPr>
                      <w:t>Resultados en los clientes 150</w:t>
                    </w:r>
                  </w:p>
                </w:txbxContent>
              </v:textbox>
              <w10:wrap type="none"/>
            </v:shape>
            <v:shape style="position:absolute;left:1347;top:2003;width:1154;height:739" type="#_x0000_t202" filled="false" stroked="false">
              <v:textbox inset="0,0,0,0">
                <w:txbxContent>
                  <w:p>
                    <w:pPr>
                      <w:spacing w:line="192" w:lineRule="exact" w:before="78"/>
                      <w:ind w:left="233" w:right="209" w:firstLine="0"/>
                      <w:jc w:val="center"/>
                      <w:rPr>
                        <w:rFonts w:ascii="Calibri"/>
                        <w:sz w:val="16"/>
                      </w:rPr>
                    </w:pPr>
                    <w:r>
                      <w:rPr>
                        <w:rFonts w:ascii="Calibri"/>
                        <w:color w:val="231F20"/>
                        <w:w w:val="110"/>
                        <w:sz w:val="16"/>
                      </w:rPr>
                      <w:t>Alianzas y recursos 100</w:t>
                    </w:r>
                  </w:p>
                </w:txbxContent>
              </v:textbox>
              <w10:wrap type="none"/>
            </v:shape>
            <v:shape style="position:absolute;left:4107;top:2003;width:1154;height:740" type="#_x0000_t202" filled="false" stroked="false">
              <v:textbox inset="0,0,0,0">
                <w:txbxContent>
                  <w:p>
                    <w:pPr>
                      <w:spacing w:line="192" w:lineRule="exact" w:before="80"/>
                      <w:ind w:left="79" w:right="55" w:firstLine="0"/>
                      <w:jc w:val="center"/>
                      <w:rPr>
                        <w:rFonts w:ascii="Calibri"/>
                        <w:sz w:val="16"/>
                      </w:rPr>
                    </w:pPr>
                    <w:r>
                      <w:rPr>
                        <w:rFonts w:ascii="Calibri"/>
                        <w:color w:val="231F20"/>
                        <w:w w:val="110"/>
                        <w:sz w:val="16"/>
                      </w:rPr>
                      <w:t>Resultados en la sociedad 100</w:t>
                    </w:r>
                  </w:p>
                </w:txbxContent>
              </v:textbox>
              <w10:wrap type="none"/>
            </v:shape>
          </v:group>
        </w:pict>
      </w:r>
      <w:r>
        <w:rPr>
          <w:sz w:val="20"/>
        </w:rPr>
      </w:r>
    </w:p>
    <w:p>
      <w:pPr>
        <w:pStyle w:val="BodyText"/>
        <w:spacing w:before="10"/>
        <w:rPr>
          <w:sz w:val="6"/>
        </w:rPr>
      </w:pPr>
    </w:p>
    <w:p>
      <w:pPr>
        <w:pStyle w:val="BodyText"/>
        <w:ind w:left="241"/>
        <w:rPr>
          <w:sz w:val="20"/>
        </w:rPr>
      </w:pPr>
      <w:r>
        <w:rPr>
          <w:sz w:val="20"/>
        </w:rPr>
        <w:pict>
          <v:group style="width:331.9pt;height:19.55pt;mso-position-horizontal-relative:char;mso-position-vertical-relative:line" coordorigin="0,0" coordsize="6638,391">
            <v:shape style="position:absolute;left:0;top:0;width:6638;height:391" coordorigin="0,0" coordsize="6638,391" path="m283,0l0,195,283,391,227,259,6638,259,6638,132,227,132,283,0xe" filled="true" fillcolor="#231f20" stroked="false">
              <v:path arrowok="t"/>
              <v:fill type="solid"/>
            </v:shape>
          </v:group>
        </w:pict>
      </w:r>
      <w:r>
        <w:rPr>
          <w:sz w:val="20"/>
        </w:rPr>
      </w:r>
    </w:p>
    <w:p>
      <w:pPr>
        <w:spacing w:before="59"/>
        <w:ind w:left="117" w:right="114" w:firstLine="0"/>
        <w:jc w:val="left"/>
        <w:rPr>
          <w:sz w:val="16"/>
        </w:rPr>
      </w:pPr>
      <w:r>
        <w:rPr>
          <w:color w:val="231F20"/>
          <w:sz w:val="16"/>
        </w:rPr>
        <w:t>Fuente: Gemoets (2010: 9).</w:t>
      </w:r>
    </w:p>
    <w:p>
      <w:pPr>
        <w:pStyle w:val="BodyText"/>
        <w:rPr>
          <w:sz w:val="16"/>
        </w:rPr>
      </w:pPr>
    </w:p>
    <w:p>
      <w:pPr>
        <w:pStyle w:val="BodyText"/>
        <w:spacing w:line="259" w:lineRule="auto" w:before="105"/>
        <w:ind w:left="117" w:right="236"/>
      </w:pPr>
      <w:r>
        <w:rPr>
          <w:color w:val="231F20"/>
        </w:rPr>
        <w:t>El total de puntos atribuidos a los agentes es de 500 y se distribuyen de  la siguiente manera (Benavides y Quintana, </w:t>
      </w:r>
      <w:r>
        <w:rPr>
          <w:color w:val="231F20"/>
          <w:spacing w:val="1"/>
        </w:rPr>
        <w:t> </w:t>
      </w:r>
      <w:r>
        <w:rPr>
          <w:color w:val="231F20"/>
        </w:rPr>
        <w:t>2003):</w:t>
      </w:r>
    </w:p>
    <w:p>
      <w:pPr>
        <w:pStyle w:val="BodyText"/>
        <w:spacing w:before="6"/>
        <w:rPr>
          <w:sz w:val="22"/>
        </w:rPr>
      </w:pPr>
    </w:p>
    <w:p>
      <w:pPr>
        <w:pStyle w:val="ListParagraph"/>
        <w:numPr>
          <w:ilvl w:val="0"/>
          <w:numId w:val="36"/>
        </w:numPr>
        <w:tabs>
          <w:tab w:pos="1328" w:val="left" w:leader="none"/>
        </w:tabs>
        <w:spacing w:line="259" w:lineRule="auto" w:before="0" w:after="0"/>
        <w:ind w:left="1327" w:right="116" w:hanging="360"/>
        <w:jc w:val="both"/>
        <w:rPr>
          <w:sz w:val="21"/>
        </w:rPr>
      </w:pPr>
      <w:r>
        <w:rPr>
          <w:color w:val="231F20"/>
          <w:w w:val="105"/>
          <w:sz w:val="21"/>
        </w:rPr>
        <w:t>Liderazgo</w:t>
      </w:r>
      <w:r>
        <w:rPr>
          <w:color w:val="231F20"/>
          <w:spacing w:val="-9"/>
          <w:w w:val="105"/>
          <w:sz w:val="21"/>
        </w:rPr>
        <w:t> </w:t>
      </w:r>
      <w:r>
        <w:rPr>
          <w:color w:val="231F20"/>
          <w:w w:val="105"/>
          <w:sz w:val="21"/>
        </w:rPr>
        <w:t>(100):</w:t>
      </w:r>
      <w:r>
        <w:rPr>
          <w:color w:val="231F20"/>
          <w:spacing w:val="-9"/>
          <w:w w:val="105"/>
          <w:sz w:val="21"/>
        </w:rPr>
        <w:t> </w:t>
      </w:r>
      <w:r>
        <w:rPr>
          <w:color w:val="231F20"/>
          <w:w w:val="105"/>
          <w:sz w:val="21"/>
        </w:rPr>
        <w:t>se</w:t>
      </w:r>
      <w:r>
        <w:rPr>
          <w:color w:val="231F20"/>
          <w:spacing w:val="-9"/>
          <w:w w:val="105"/>
          <w:sz w:val="21"/>
        </w:rPr>
        <w:t> </w:t>
      </w:r>
      <w:r>
        <w:rPr>
          <w:color w:val="231F20"/>
          <w:w w:val="105"/>
          <w:sz w:val="21"/>
        </w:rPr>
        <w:t>define</w:t>
      </w:r>
      <w:r>
        <w:rPr>
          <w:color w:val="231F20"/>
          <w:spacing w:val="-9"/>
          <w:w w:val="105"/>
          <w:sz w:val="21"/>
        </w:rPr>
        <w:t> </w:t>
      </w:r>
      <w:r>
        <w:rPr>
          <w:color w:val="231F20"/>
          <w:w w:val="105"/>
          <w:sz w:val="21"/>
        </w:rPr>
        <w:t>como</w:t>
      </w:r>
      <w:r>
        <w:rPr>
          <w:color w:val="231F20"/>
          <w:spacing w:val="-9"/>
          <w:w w:val="105"/>
          <w:sz w:val="21"/>
        </w:rPr>
        <w:t> </w:t>
      </w:r>
      <w:r>
        <w:rPr>
          <w:color w:val="231F20"/>
          <w:w w:val="105"/>
          <w:sz w:val="21"/>
        </w:rPr>
        <w:t>el</w:t>
      </w:r>
      <w:r>
        <w:rPr>
          <w:color w:val="231F20"/>
          <w:spacing w:val="-9"/>
          <w:w w:val="105"/>
          <w:sz w:val="21"/>
        </w:rPr>
        <w:t> </w:t>
      </w:r>
      <w:r>
        <w:rPr>
          <w:color w:val="231F20"/>
          <w:w w:val="105"/>
          <w:sz w:val="21"/>
        </w:rPr>
        <w:t>comportamiento</w:t>
      </w:r>
      <w:r>
        <w:rPr>
          <w:color w:val="231F20"/>
          <w:spacing w:val="-9"/>
          <w:w w:val="105"/>
          <w:sz w:val="21"/>
        </w:rPr>
        <w:t> </w:t>
      </w:r>
      <w:r>
        <w:rPr>
          <w:color w:val="231F20"/>
          <w:w w:val="105"/>
          <w:sz w:val="21"/>
        </w:rPr>
        <w:t>directi- vo</w:t>
      </w:r>
      <w:r>
        <w:rPr>
          <w:color w:val="231F20"/>
          <w:spacing w:val="-16"/>
          <w:w w:val="105"/>
          <w:sz w:val="21"/>
        </w:rPr>
        <w:t> </w:t>
      </w:r>
      <w:r>
        <w:rPr>
          <w:color w:val="231F20"/>
          <w:w w:val="105"/>
          <w:sz w:val="21"/>
        </w:rPr>
        <w:t>para</w:t>
      </w:r>
      <w:r>
        <w:rPr>
          <w:color w:val="231F20"/>
          <w:spacing w:val="-16"/>
          <w:w w:val="105"/>
          <w:sz w:val="21"/>
        </w:rPr>
        <w:t> </w:t>
      </w:r>
      <w:r>
        <w:rPr>
          <w:color w:val="231F20"/>
          <w:w w:val="105"/>
          <w:sz w:val="21"/>
        </w:rPr>
        <w:t>guiar</w:t>
      </w:r>
      <w:r>
        <w:rPr>
          <w:color w:val="231F20"/>
          <w:spacing w:val="-16"/>
          <w:w w:val="105"/>
          <w:sz w:val="21"/>
        </w:rPr>
        <w:t> </w:t>
      </w:r>
      <w:r>
        <w:rPr>
          <w:color w:val="231F20"/>
          <w:w w:val="105"/>
          <w:sz w:val="21"/>
        </w:rPr>
        <w:t>a</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organización</w:t>
      </w:r>
      <w:r>
        <w:rPr>
          <w:color w:val="231F20"/>
          <w:spacing w:val="-16"/>
          <w:w w:val="105"/>
          <w:sz w:val="21"/>
        </w:rPr>
        <w:t> </w:t>
      </w:r>
      <w:r>
        <w:rPr>
          <w:color w:val="231F20"/>
          <w:w w:val="105"/>
          <w:sz w:val="21"/>
        </w:rPr>
        <w:t>hacia</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mejora</w:t>
      </w:r>
      <w:r>
        <w:rPr>
          <w:color w:val="231F20"/>
          <w:spacing w:val="-16"/>
          <w:w w:val="105"/>
          <w:sz w:val="21"/>
        </w:rPr>
        <w:t> </w:t>
      </w:r>
      <w:r>
        <w:rPr>
          <w:color w:val="231F20"/>
          <w:w w:val="105"/>
          <w:sz w:val="21"/>
        </w:rPr>
        <w:t>continua.</w:t>
      </w:r>
      <w:r>
        <w:rPr>
          <w:color w:val="231F20"/>
          <w:spacing w:val="-21"/>
          <w:w w:val="105"/>
          <w:sz w:val="21"/>
        </w:rPr>
        <w:t> </w:t>
      </w:r>
      <w:r>
        <w:rPr>
          <w:color w:val="231F20"/>
          <w:w w:val="105"/>
          <w:sz w:val="21"/>
        </w:rPr>
        <w:t>Se manifiesta</w:t>
      </w:r>
      <w:r>
        <w:rPr>
          <w:color w:val="231F20"/>
          <w:spacing w:val="-19"/>
          <w:w w:val="105"/>
          <w:sz w:val="21"/>
        </w:rPr>
        <w:t> </w:t>
      </w:r>
      <w:r>
        <w:rPr>
          <w:color w:val="231F20"/>
          <w:w w:val="105"/>
          <w:sz w:val="21"/>
        </w:rPr>
        <w:t>en</w:t>
      </w:r>
      <w:r>
        <w:rPr>
          <w:color w:val="231F20"/>
          <w:spacing w:val="-19"/>
          <w:w w:val="105"/>
          <w:sz w:val="21"/>
        </w:rPr>
        <w:t> </w:t>
      </w:r>
      <w:r>
        <w:rPr>
          <w:color w:val="231F20"/>
          <w:w w:val="105"/>
          <w:sz w:val="21"/>
        </w:rPr>
        <w:t>el</w:t>
      </w:r>
      <w:r>
        <w:rPr>
          <w:color w:val="231F20"/>
          <w:spacing w:val="-19"/>
          <w:w w:val="105"/>
          <w:sz w:val="21"/>
        </w:rPr>
        <w:t> </w:t>
      </w:r>
      <w:r>
        <w:rPr>
          <w:color w:val="231F20"/>
          <w:w w:val="105"/>
          <w:sz w:val="21"/>
        </w:rPr>
        <w:t>modo</w:t>
      </w:r>
      <w:r>
        <w:rPr>
          <w:color w:val="231F20"/>
          <w:spacing w:val="-19"/>
          <w:w w:val="105"/>
          <w:sz w:val="21"/>
        </w:rPr>
        <w:t> </w:t>
      </w:r>
      <w:r>
        <w:rPr>
          <w:color w:val="231F20"/>
          <w:w w:val="105"/>
          <w:sz w:val="21"/>
        </w:rPr>
        <w:t>en</w:t>
      </w:r>
      <w:r>
        <w:rPr>
          <w:color w:val="231F20"/>
          <w:spacing w:val="-19"/>
          <w:w w:val="105"/>
          <w:sz w:val="21"/>
        </w:rPr>
        <w:t> </w:t>
      </w:r>
      <w:r>
        <w:rPr>
          <w:color w:val="231F20"/>
          <w:w w:val="105"/>
          <w:sz w:val="21"/>
        </w:rPr>
        <w:t>que</w:t>
      </w:r>
      <w:r>
        <w:rPr>
          <w:color w:val="231F20"/>
          <w:spacing w:val="-19"/>
          <w:w w:val="105"/>
          <w:sz w:val="21"/>
        </w:rPr>
        <w:t> </w:t>
      </w:r>
      <w:r>
        <w:rPr>
          <w:color w:val="231F20"/>
          <w:w w:val="105"/>
          <w:sz w:val="21"/>
        </w:rPr>
        <w:t>el</w:t>
      </w:r>
      <w:r>
        <w:rPr>
          <w:color w:val="231F20"/>
          <w:spacing w:val="-19"/>
          <w:w w:val="105"/>
          <w:sz w:val="21"/>
        </w:rPr>
        <w:t> </w:t>
      </w:r>
      <w:r>
        <w:rPr>
          <w:color w:val="231F20"/>
          <w:w w:val="105"/>
          <w:sz w:val="21"/>
        </w:rPr>
        <w:t>equipo</w:t>
      </w:r>
      <w:r>
        <w:rPr>
          <w:color w:val="231F20"/>
          <w:spacing w:val="-19"/>
          <w:w w:val="105"/>
          <w:sz w:val="21"/>
        </w:rPr>
        <w:t> </w:t>
      </w:r>
      <w:r>
        <w:rPr>
          <w:color w:val="231F20"/>
          <w:w w:val="105"/>
          <w:sz w:val="21"/>
        </w:rPr>
        <w:t>directivo,</w:t>
      </w:r>
      <w:r>
        <w:rPr>
          <w:color w:val="231F20"/>
          <w:spacing w:val="-25"/>
          <w:w w:val="105"/>
          <w:sz w:val="21"/>
        </w:rPr>
        <w:t> </w:t>
      </w:r>
      <w:r>
        <w:rPr>
          <w:color w:val="231F20"/>
          <w:w w:val="105"/>
          <w:sz w:val="21"/>
        </w:rPr>
        <w:t>y</w:t>
      </w:r>
      <w:r>
        <w:rPr>
          <w:color w:val="231F20"/>
          <w:spacing w:val="-19"/>
          <w:w w:val="105"/>
          <w:sz w:val="21"/>
        </w:rPr>
        <w:t> </w:t>
      </w:r>
      <w:r>
        <w:rPr>
          <w:color w:val="231F20"/>
          <w:w w:val="105"/>
          <w:sz w:val="21"/>
        </w:rPr>
        <w:t>todas</w:t>
      </w:r>
      <w:r>
        <w:rPr>
          <w:color w:val="231F20"/>
          <w:spacing w:val="-19"/>
          <w:w w:val="105"/>
          <w:sz w:val="21"/>
        </w:rPr>
        <w:t> </w:t>
      </w:r>
      <w:r>
        <w:rPr>
          <w:color w:val="231F20"/>
          <w:w w:val="105"/>
          <w:sz w:val="21"/>
        </w:rPr>
        <w:t>las personas con responsabilidad en la organización, dirigen, coordinan</w:t>
      </w:r>
      <w:r>
        <w:rPr>
          <w:color w:val="231F20"/>
          <w:spacing w:val="-22"/>
          <w:w w:val="105"/>
          <w:sz w:val="21"/>
        </w:rPr>
        <w:t> </w:t>
      </w:r>
      <w:r>
        <w:rPr>
          <w:color w:val="231F20"/>
          <w:w w:val="105"/>
          <w:sz w:val="21"/>
        </w:rPr>
        <w:t>y</w:t>
      </w:r>
      <w:r>
        <w:rPr>
          <w:color w:val="231F20"/>
          <w:spacing w:val="-22"/>
          <w:w w:val="105"/>
          <w:sz w:val="21"/>
        </w:rPr>
        <w:t> </w:t>
      </w:r>
      <w:r>
        <w:rPr>
          <w:color w:val="231F20"/>
          <w:w w:val="105"/>
          <w:sz w:val="21"/>
        </w:rPr>
        <w:t>supervisan</w:t>
      </w:r>
      <w:r>
        <w:rPr>
          <w:color w:val="231F20"/>
          <w:spacing w:val="-22"/>
          <w:w w:val="105"/>
          <w:sz w:val="21"/>
        </w:rPr>
        <w:t> </w:t>
      </w:r>
      <w:r>
        <w:rPr>
          <w:color w:val="231F20"/>
          <w:w w:val="105"/>
          <w:sz w:val="21"/>
        </w:rPr>
        <w:t>el</w:t>
      </w:r>
      <w:r>
        <w:rPr>
          <w:color w:val="231F20"/>
          <w:spacing w:val="-22"/>
          <w:w w:val="105"/>
          <w:sz w:val="21"/>
        </w:rPr>
        <w:t> </w:t>
      </w:r>
      <w:r>
        <w:rPr>
          <w:color w:val="231F20"/>
          <w:w w:val="105"/>
          <w:sz w:val="21"/>
        </w:rPr>
        <w:t>trabajo.</w:t>
      </w:r>
      <w:r>
        <w:rPr>
          <w:color w:val="231F20"/>
          <w:spacing w:val="-26"/>
          <w:w w:val="105"/>
          <w:sz w:val="21"/>
        </w:rPr>
        <w:t> </w:t>
      </w:r>
      <w:r>
        <w:rPr>
          <w:color w:val="231F20"/>
          <w:w w:val="105"/>
          <w:sz w:val="21"/>
        </w:rPr>
        <w:t>La</w:t>
      </w:r>
      <w:r>
        <w:rPr>
          <w:color w:val="231F20"/>
          <w:spacing w:val="-22"/>
          <w:w w:val="105"/>
          <w:sz w:val="21"/>
        </w:rPr>
        <w:t> </w:t>
      </w:r>
      <w:r>
        <w:rPr>
          <w:color w:val="231F20"/>
          <w:w w:val="105"/>
          <w:sz w:val="21"/>
        </w:rPr>
        <w:t>conducción</w:t>
      </w:r>
      <w:r>
        <w:rPr>
          <w:color w:val="231F20"/>
          <w:spacing w:val="-22"/>
          <w:w w:val="105"/>
          <w:sz w:val="21"/>
        </w:rPr>
        <w:t> </w:t>
      </w:r>
      <w:r>
        <w:rPr>
          <w:color w:val="231F20"/>
          <w:w w:val="105"/>
          <w:sz w:val="21"/>
        </w:rPr>
        <w:t>es</w:t>
      </w:r>
      <w:r>
        <w:rPr>
          <w:color w:val="231F20"/>
          <w:spacing w:val="-22"/>
          <w:w w:val="105"/>
          <w:sz w:val="21"/>
        </w:rPr>
        <w:t> </w:t>
      </w:r>
      <w:r>
        <w:rPr>
          <w:color w:val="231F20"/>
          <w:w w:val="105"/>
          <w:sz w:val="21"/>
        </w:rPr>
        <w:t>hacia</w:t>
      </w:r>
      <w:r>
        <w:rPr>
          <w:color w:val="231F20"/>
          <w:spacing w:val="-22"/>
          <w:w w:val="105"/>
          <w:sz w:val="21"/>
        </w:rPr>
        <w:t> </w:t>
      </w:r>
      <w:r>
        <w:rPr>
          <w:color w:val="231F20"/>
          <w:w w:val="105"/>
          <w:sz w:val="21"/>
        </w:rPr>
        <w:t>el logro de los objetivos de</w:t>
      </w:r>
      <w:r>
        <w:rPr>
          <w:color w:val="231F20"/>
          <w:spacing w:val="-7"/>
          <w:w w:val="105"/>
          <w:sz w:val="21"/>
        </w:rPr>
        <w:t> </w:t>
      </w:r>
      <w:r>
        <w:rPr>
          <w:color w:val="231F20"/>
          <w:w w:val="105"/>
          <w:sz w:val="21"/>
        </w:rPr>
        <w:t>calidad.</w:t>
      </w:r>
    </w:p>
    <w:p>
      <w:pPr>
        <w:pStyle w:val="ListParagraph"/>
        <w:numPr>
          <w:ilvl w:val="0"/>
          <w:numId w:val="36"/>
        </w:numPr>
        <w:tabs>
          <w:tab w:pos="1328" w:val="left" w:leader="none"/>
        </w:tabs>
        <w:spacing w:line="259" w:lineRule="auto" w:before="170" w:after="0"/>
        <w:ind w:left="1327" w:right="121" w:hanging="360"/>
        <w:jc w:val="both"/>
        <w:rPr>
          <w:sz w:val="21"/>
        </w:rPr>
      </w:pPr>
      <w:r>
        <w:rPr>
          <w:color w:val="231F20"/>
          <w:w w:val="105"/>
          <w:sz w:val="21"/>
        </w:rPr>
        <w:t>Personas (100): la organización aprovecha e incentiva las características</w:t>
      </w:r>
      <w:r>
        <w:rPr>
          <w:color w:val="231F20"/>
          <w:spacing w:val="-24"/>
          <w:w w:val="105"/>
          <w:sz w:val="21"/>
        </w:rPr>
        <w:t> </w:t>
      </w:r>
      <w:r>
        <w:rPr>
          <w:color w:val="231F20"/>
          <w:w w:val="105"/>
          <w:sz w:val="21"/>
        </w:rPr>
        <w:t>profesionales</w:t>
      </w:r>
      <w:r>
        <w:rPr>
          <w:color w:val="231F20"/>
          <w:spacing w:val="-24"/>
          <w:w w:val="105"/>
          <w:sz w:val="21"/>
        </w:rPr>
        <w:t> </w:t>
      </w:r>
      <w:r>
        <w:rPr>
          <w:color w:val="231F20"/>
          <w:w w:val="105"/>
          <w:sz w:val="21"/>
        </w:rPr>
        <w:t>y</w:t>
      </w:r>
      <w:r>
        <w:rPr>
          <w:color w:val="231F20"/>
          <w:spacing w:val="-24"/>
          <w:w w:val="105"/>
          <w:sz w:val="21"/>
        </w:rPr>
        <w:t> </w:t>
      </w:r>
      <w:r>
        <w:rPr>
          <w:color w:val="231F20"/>
          <w:w w:val="105"/>
          <w:sz w:val="21"/>
        </w:rPr>
        <w:t>humanas</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todo</w:t>
      </w:r>
      <w:r>
        <w:rPr>
          <w:color w:val="231F20"/>
          <w:spacing w:val="-24"/>
          <w:w w:val="105"/>
          <w:sz w:val="21"/>
        </w:rPr>
        <w:t> </w:t>
      </w:r>
      <w:r>
        <w:rPr>
          <w:color w:val="231F20"/>
          <w:w w:val="105"/>
          <w:sz w:val="21"/>
        </w:rPr>
        <w:t>el</w:t>
      </w:r>
      <w:r>
        <w:rPr>
          <w:color w:val="231F20"/>
          <w:spacing w:val="-24"/>
          <w:w w:val="105"/>
          <w:sz w:val="21"/>
        </w:rPr>
        <w:t> </w:t>
      </w:r>
      <w:r>
        <w:rPr>
          <w:color w:val="231F20"/>
          <w:w w:val="105"/>
          <w:sz w:val="21"/>
        </w:rPr>
        <w:t>personal para</w:t>
      </w:r>
      <w:r>
        <w:rPr>
          <w:color w:val="231F20"/>
          <w:spacing w:val="-8"/>
          <w:w w:val="105"/>
          <w:sz w:val="21"/>
        </w:rPr>
        <w:t> </w:t>
      </w:r>
      <w:r>
        <w:rPr>
          <w:color w:val="231F20"/>
          <w:w w:val="105"/>
          <w:sz w:val="21"/>
        </w:rPr>
        <w:t>hacer</w:t>
      </w:r>
      <w:r>
        <w:rPr>
          <w:color w:val="231F20"/>
          <w:spacing w:val="-8"/>
          <w:w w:val="105"/>
          <w:sz w:val="21"/>
        </w:rPr>
        <w:t> </w:t>
      </w:r>
      <w:r>
        <w:rPr>
          <w:color w:val="231F20"/>
          <w:w w:val="105"/>
          <w:sz w:val="21"/>
        </w:rPr>
        <w:t>posible</w:t>
      </w:r>
      <w:r>
        <w:rPr>
          <w:color w:val="231F20"/>
          <w:spacing w:val="-8"/>
          <w:w w:val="105"/>
          <w:sz w:val="21"/>
        </w:rPr>
        <w:t> </w:t>
      </w:r>
      <w:r>
        <w:rPr>
          <w:color w:val="231F20"/>
          <w:w w:val="105"/>
          <w:sz w:val="21"/>
        </w:rPr>
        <w:t>la</w:t>
      </w:r>
      <w:r>
        <w:rPr>
          <w:color w:val="231F20"/>
          <w:spacing w:val="-8"/>
          <w:w w:val="105"/>
          <w:sz w:val="21"/>
        </w:rPr>
        <w:t> </w:t>
      </w:r>
      <w:r>
        <w:rPr>
          <w:color w:val="231F20"/>
          <w:w w:val="105"/>
          <w:sz w:val="21"/>
        </w:rPr>
        <w:t>mejora</w:t>
      </w:r>
      <w:r>
        <w:rPr>
          <w:color w:val="231F20"/>
          <w:spacing w:val="-8"/>
          <w:w w:val="105"/>
          <w:sz w:val="21"/>
        </w:rPr>
        <w:t> </w:t>
      </w:r>
      <w:r>
        <w:rPr>
          <w:color w:val="231F20"/>
          <w:w w:val="105"/>
          <w:sz w:val="21"/>
        </w:rPr>
        <w:t>continua.</w:t>
      </w:r>
      <w:r>
        <w:rPr>
          <w:color w:val="231F20"/>
          <w:spacing w:val="-15"/>
          <w:w w:val="105"/>
          <w:sz w:val="21"/>
        </w:rPr>
        <w:t> </w:t>
      </w:r>
      <w:r>
        <w:rPr>
          <w:color w:val="231F20"/>
          <w:w w:val="105"/>
          <w:sz w:val="21"/>
        </w:rPr>
        <w:t>Los</w:t>
      </w:r>
      <w:r>
        <w:rPr>
          <w:color w:val="231F20"/>
          <w:spacing w:val="-8"/>
          <w:w w:val="105"/>
          <w:sz w:val="21"/>
        </w:rPr>
        <w:t> </w:t>
      </w:r>
      <w:r>
        <w:rPr>
          <w:color w:val="231F20"/>
          <w:w w:val="105"/>
          <w:sz w:val="21"/>
        </w:rPr>
        <w:t>principios</w:t>
      </w:r>
      <w:r>
        <w:rPr>
          <w:color w:val="231F20"/>
          <w:spacing w:val="-8"/>
          <w:w w:val="105"/>
          <w:sz w:val="21"/>
        </w:rPr>
        <w:t> </w:t>
      </w:r>
      <w:r>
        <w:rPr>
          <w:color w:val="231F20"/>
          <w:w w:val="105"/>
          <w:sz w:val="21"/>
        </w:rPr>
        <w:t>gene- rales</w:t>
      </w:r>
      <w:r>
        <w:rPr>
          <w:color w:val="231F20"/>
          <w:spacing w:val="-27"/>
          <w:w w:val="105"/>
          <w:sz w:val="21"/>
        </w:rPr>
        <w:t> </w:t>
      </w:r>
      <w:r>
        <w:rPr>
          <w:color w:val="231F20"/>
          <w:w w:val="105"/>
          <w:sz w:val="21"/>
        </w:rPr>
        <w:t>para</w:t>
      </w:r>
      <w:r>
        <w:rPr>
          <w:color w:val="231F20"/>
          <w:spacing w:val="-27"/>
          <w:w w:val="105"/>
          <w:sz w:val="21"/>
        </w:rPr>
        <w:t> </w:t>
      </w:r>
      <w:r>
        <w:rPr>
          <w:color w:val="231F20"/>
          <w:w w:val="105"/>
          <w:sz w:val="21"/>
        </w:rPr>
        <w:t>la</w:t>
      </w:r>
      <w:r>
        <w:rPr>
          <w:color w:val="231F20"/>
          <w:spacing w:val="-27"/>
          <w:w w:val="105"/>
          <w:sz w:val="21"/>
        </w:rPr>
        <w:t> </w:t>
      </w:r>
      <w:r>
        <w:rPr>
          <w:color w:val="231F20"/>
          <w:w w:val="105"/>
          <w:sz w:val="21"/>
        </w:rPr>
        <w:t>obtención</w:t>
      </w:r>
      <w:r>
        <w:rPr>
          <w:color w:val="231F20"/>
          <w:spacing w:val="-27"/>
          <w:w w:val="105"/>
          <w:sz w:val="21"/>
        </w:rPr>
        <w:t> </w:t>
      </w:r>
      <w:r>
        <w:rPr>
          <w:color w:val="231F20"/>
          <w:w w:val="105"/>
          <w:sz w:val="21"/>
        </w:rPr>
        <w:t>de</w:t>
      </w:r>
      <w:r>
        <w:rPr>
          <w:color w:val="231F20"/>
          <w:spacing w:val="-27"/>
          <w:w w:val="105"/>
          <w:sz w:val="21"/>
        </w:rPr>
        <w:t> </w:t>
      </w:r>
      <w:r>
        <w:rPr>
          <w:color w:val="231F20"/>
          <w:w w:val="105"/>
          <w:sz w:val="21"/>
        </w:rPr>
        <w:t>mejores</w:t>
      </w:r>
      <w:r>
        <w:rPr>
          <w:color w:val="231F20"/>
          <w:spacing w:val="-27"/>
          <w:w w:val="105"/>
          <w:sz w:val="21"/>
        </w:rPr>
        <w:t> </w:t>
      </w:r>
      <w:r>
        <w:rPr>
          <w:color w:val="231F20"/>
          <w:w w:val="105"/>
          <w:sz w:val="21"/>
        </w:rPr>
        <w:t>resultados</w:t>
      </w:r>
      <w:r>
        <w:rPr>
          <w:color w:val="231F20"/>
          <w:spacing w:val="-27"/>
          <w:w w:val="105"/>
          <w:sz w:val="21"/>
        </w:rPr>
        <w:t> </w:t>
      </w:r>
      <w:r>
        <w:rPr>
          <w:color w:val="231F20"/>
          <w:w w:val="105"/>
          <w:sz w:val="21"/>
        </w:rPr>
        <w:t>son:</w:t>
      </w:r>
      <w:r>
        <w:rPr>
          <w:color w:val="231F20"/>
          <w:spacing w:val="-27"/>
          <w:w w:val="105"/>
          <w:sz w:val="21"/>
        </w:rPr>
        <w:t> </w:t>
      </w:r>
      <w:r>
        <w:rPr>
          <w:color w:val="231F20"/>
          <w:w w:val="105"/>
          <w:sz w:val="21"/>
        </w:rPr>
        <w:t>participa- ción, comunicación, formación constante, trabajo en equi- po,</w:t>
      </w:r>
      <w:r>
        <w:rPr>
          <w:color w:val="231F20"/>
          <w:spacing w:val="-24"/>
          <w:w w:val="105"/>
          <w:sz w:val="21"/>
        </w:rPr>
        <w:t> </w:t>
      </w:r>
      <w:r>
        <w:rPr>
          <w:color w:val="231F20"/>
          <w:w w:val="105"/>
          <w:sz w:val="21"/>
        </w:rPr>
        <w:t>incentivos</w:t>
      </w:r>
      <w:r>
        <w:rPr>
          <w:color w:val="231F20"/>
          <w:spacing w:val="-18"/>
          <w:w w:val="105"/>
          <w:sz w:val="21"/>
        </w:rPr>
        <w:t> </w:t>
      </w:r>
      <w:r>
        <w:rPr>
          <w:color w:val="231F20"/>
          <w:w w:val="105"/>
          <w:sz w:val="21"/>
        </w:rPr>
        <w:t>y</w:t>
      </w:r>
      <w:r>
        <w:rPr>
          <w:color w:val="231F20"/>
          <w:spacing w:val="-18"/>
          <w:w w:val="105"/>
          <w:sz w:val="21"/>
        </w:rPr>
        <w:t> </w:t>
      </w:r>
      <w:r>
        <w:rPr>
          <w:color w:val="231F20"/>
          <w:w w:val="105"/>
          <w:sz w:val="21"/>
        </w:rPr>
        <w:t>dedicación</w:t>
      </w:r>
      <w:r>
        <w:rPr>
          <w:color w:val="231F20"/>
          <w:spacing w:val="-18"/>
          <w:w w:val="105"/>
          <w:sz w:val="21"/>
        </w:rPr>
        <w:t> </w:t>
      </w:r>
      <w:r>
        <w:rPr>
          <w:color w:val="231F20"/>
          <w:w w:val="105"/>
          <w:sz w:val="21"/>
        </w:rPr>
        <w:t>a</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tarea.</w:t>
      </w:r>
    </w:p>
    <w:p>
      <w:pPr>
        <w:pStyle w:val="ListParagraph"/>
        <w:numPr>
          <w:ilvl w:val="0"/>
          <w:numId w:val="36"/>
        </w:numPr>
        <w:tabs>
          <w:tab w:pos="1328" w:val="left" w:leader="none"/>
        </w:tabs>
        <w:spacing w:line="259" w:lineRule="auto" w:before="170" w:after="0"/>
        <w:ind w:left="1327" w:right="121" w:hanging="360"/>
        <w:jc w:val="both"/>
        <w:rPr>
          <w:sz w:val="21"/>
        </w:rPr>
      </w:pPr>
      <w:r>
        <w:rPr>
          <w:color w:val="231F20"/>
          <w:w w:val="105"/>
          <w:sz w:val="21"/>
        </w:rPr>
        <w:t>Estrategia</w:t>
      </w:r>
      <w:r>
        <w:rPr>
          <w:color w:val="231F20"/>
          <w:spacing w:val="-24"/>
          <w:w w:val="105"/>
          <w:sz w:val="21"/>
        </w:rPr>
        <w:t> </w:t>
      </w:r>
      <w:r>
        <w:rPr>
          <w:color w:val="231F20"/>
          <w:w w:val="105"/>
          <w:sz w:val="21"/>
        </w:rPr>
        <w:t>(100):</w:t>
      </w:r>
      <w:r>
        <w:rPr>
          <w:color w:val="231F20"/>
          <w:spacing w:val="-24"/>
          <w:w w:val="105"/>
          <w:sz w:val="21"/>
        </w:rPr>
        <w:t> </w:t>
      </w:r>
      <w:r>
        <w:rPr>
          <w:color w:val="231F20"/>
          <w:w w:val="105"/>
          <w:sz w:val="21"/>
        </w:rPr>
        <w:t>analiza</w:t>
      </w:r>
      <w:r>
        <w:rPr>
          <w:color w:val="231F20"/>
          <w:spacing w:val="-24"/>
          <w:w w:val="105"/>
          <w:sz w:val="21"/>
        </w:rPr>
        <w:t> </w:t>
      </w:r>
      <w:r>
        <w:rPr>
          <w:color w:val="231F20"/>
          <w:w w:val="105"/>
          <w:sz w:val="21"/>
        </w:rPr>
        <w:t>cómo</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institución</w:t>
      </w:r>
      <w:r>
        <w:rPr>
          <w:color w:val="231F20"/>
          <w:spacing w:val="-24"/>
          <w:w w:val="105"/>
          <w:sz w:val="21"/>
        </w:rPr>
        <w:t> </w:t>
      </w:r>
      <w:r>
        <w:rPr>
          <w:color w:val="231F20"/>
          <w:w w:val="105"/>
          <w:sz w:val="21"/>
        </w:rPr>
        <w:t>define</w:t>
      </w:r>
      <w:r>
        <w:rPr>
          <w:color w:val="231F20"/>
          <w:spacing w:val="-24"/>
          <w:w w:val="105"/>
          <w:sz w:val="21"/>
        </w:rPr>
        <w:t> </w:t>
      </w:r>
      <w:r>
        <w:rPr>
          <w:color w:val="231F20"/>
          <w:w w:val="105"/>
          <w:sz w:val="21"/>
        </w:rPr>
        <w:t>y</w:t>
      </w:r>
      <w:r>
        <w:rPr>
          <w:color w:val="231F20"/>
          <w:spacing w:val="-24"/>
          <w:w w:val="105"/>
          <w:sz w:val="21"/>
        </w:rPr>
        <w:t> </w:t>
      </w:r>
      <w:r>
        <w:rPr>
          <w:color w:val="231F20"/>
          <w:w w:val="105"/>
          <w:sz w:val="21"/>
        </w:rPr>
        <w:t>formula su</w:t>
      </w:r>
      <w:r>
        <w:rPr>
          <w:color w:val="231F20"/>
          <w:spacing w:val="-20"/>
          <w:w w:val="105"/>
          <w:sz w:val="21"/>
        </w:rPr>
        <w:t> </w:t>
      </w:r>
      <w:r>
        <w:rPr>
          <w:color w:val="231F20"/>
          <w:w w:val="105"/>
          <w:sz w:val="21"/>
        </w:rPr>
        <w:t>política</w:t>
      </w:r>
      <w:r>
        <w:rPr>
          <w:color w:val="231F20"/>
          <w:spacing w:val="-20"/>
          <w:w w:val="105"/>
          <w:sz w:val="21"/>
        </w:rPr>
        <w:t> </w:t>
      </w:r>
      <w:r>
        <w:rPr>
          <w:color w:val="231F20"/>
          <w:w w:val="105"/>
          <w:sz w:val="21"/>
        </w:rPr>
        <w:t>y</w:t>
      </w:r>
      <w:r>
        <w:rPr>
          <w:color w:val="231F20"/>
          <w:spacing w:val="-20"/>
          <w:w w:val="105"/>
          <w:sz w:val="21"/>
        </w:rPr>
        <w:t> </w:t>
      </w:r>
      <w:r>
        <w:rPr>
          <w:color w:val="231F20"/>
          <w:w w:val="105"/>
          <w:sz w:val="21"/>
        </w:rPr>
        <w:t>su</w:t>
      </w:r>
      <w:r>
        <w:rPr>
          <w:color w:val="231F20"/>
          <w:spacing w:val="-20"/>
          <w:w w:val="105"/>
          <w:sz w:val="21"/>
        </w:rPr>
        <w:t> </w:t>
      </w:r>
      <w:r>
        <w:rPr>
          <w:color w:val="231F20"/>
          <w:w w:val="105"/>
          <w:sz w:val="21"/>
        </w:rPr>
        <w:t>estrategia,</w:t>
      </w:r>
      <w:r>
        <w:rPr>
          <w:color w:val="231F20"/>
          <w:spacing w:val="-25"/>
          <w:w w:val="105"/>
          <w:sz w:val="21"/>
        </w:rPr>
        <w:t> </w:t>
      </w:r>
      <w:r>
        <w:rPr>
          <w:color w:val="231F20"/>
          <w:w w:val="105"/>
          <w:sz w:val="21"/>
        </w:rPr>
        <w:t>traduciéndolas</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planes</w:t>
      </w:r>
      <w:r>
        <w:rPr>
          <w:color w:val="231F20"/>
          <w:spacing w:val="-20"/>
          <w:w w:val="105"/>
          <w:sz w:val="21"/>
        </w:rPr>
        <w:t> </w:t>
      </w:r>
      <w:r>
        <w:rPr>
          <w:color w:val="231F20"/>
          <w:w w:val="105"/>
          <w:sz w:val="21"/>
        </w:rPr>
        <w:t>y</w:t>
      </w:r>
      <w:r>
        <w:rPr>
          <w:color w:val="231F20"/>
          <w:spacing w:val="-20"/>
          <w:w w:val="105"/>
          <w:sz w:val="21"/>
        </w:rPr>
        <w:t> </w:t>
      </w:r>
      <w:r>
        <w:rPr>
          <w:color w:val="231F20"/>
          <w:w w:val="105"/>
          <w:sz w:val="21"/>
        </w:rPr>
        <w:t>accio- nes concretos que incorporan conceptos de calidad. Este criterio</w:t>
      </w:r>
      <w:r>
        <w:rPr>
          <w:color w:val="231F20"/>
          <w:spacing w:val="-6"/>
          <w:w w:val="105"/>
          <w:sz w:val="21"/>
        </w:rPr>
        <w:t> </w:t>
      </w:r>
      <w:r>
        <w:rPr>
          <w:color w:val="231F20"/>
          <w:w w:val="105"/>
          <w:sz w:val="21"/>
        </w:rPr>
        <w:t>se</w:t>
      </w:r>
      <w:r>
        <w:rPr>
          <w:color w:val="231F20"/>
          <w:spacing w:val="-6"/>
          <w:w w:val="105"/>
          <w:sz w:val="21"/>
        </w:rPr>
        <w:t> </w:t>
      </w:r>
      <w:r>
        <w:rPr>
          <w:color w:val="231F20"/>
          <w:w w:val="105"/>
          <w:sz w:val="21"/>
        </w:rPr>
        <w:t>refiere</w:t>
      </w:r>
      <w:r>
        <w:rPr>
          <w:color w:val="231F20"/>
          <w:spacing w:val="-6"/>
          <w:w w:val="105"/>
          <w:sz w:val="21"/>
        </w:rPr>
        <w:t> </w:t>
      </w:r>
      <w:r>
        <w:rPr>
          <w:color w:val="231F20"/>
          <w:w w:val="105"/>
          <w:sz w:val="21"/>
        </w:rPr>
        <w:t>a</w:t>
      </w:r>
      <w:r>
        <w:rPr>
          <w:color w:val="231F20"/>
          <w:spacing w:val="-6"/>
          <w:w w:val="105"/>
          <w:sz w:val="21"/>
        </w:rPr>
        <w:t> </w:t>
      </w:r>
      <w:r>
        <w:rPr>
          <w:color w:val="231F20"/>
          <w:w w:val="105"/>
          <w:sz w:val="21"/>
        </w:rPr>
        <w:t>la</w:t>
      </w:r>
      <w:r>
        <w:rPr>
          <w:color w:val="231F20"/>
          <w:spacing w:val="-6"/>
          <w:w w:val="105"/>
          <w:sz w:val="21"/>
        </w:rPr>
        <w:t> </w:t>
      </w:r>
      <w:r>
        <w:rPr>
          <w:color w:val="231F20"/>
          <w:w w:val="105"/>
          <w:sz w:val="21"/>
        </w:rPr>
        <w:t>manera</w:t>
      </w:r>
      <w:r>
        <w:rPr>
          <w:color w:val="231F20"/>
          <w:spacing w:val="-6"/>
          <w:w w:val="105"/>
          <w:sz w:val="21"/>
        </w:rPr>
        <w:t> </w:t>
      </w:r>
      <w:r>
        <w:rPr>
          <w:color w:val="231F20"/>
          <w:w w:val="105"/>
          <w:sz w:val="21"/>
        </w:rPr>
        <w:t>en</w:t>
      </w:r>
      <w:r>
        <w:rPr>
          <w:color w:val="231F20"/>
          <w:spacing w:val="-6"/>
          <w:w w:val="105"/>
          <w:sz w:val="21"/>
        </w:rPr>
        <w:t> </w:t>
      </w:r>
      <w:r>
        <w:rPr>
          <w:color w:val="231F20"/>
          <w:w w:val="105"/>
          <w:sz w:val="21"/>
        </w:rPr>
        <w:t>que</w:t>
      </w:r>
      <w:r>
        <w:rPr>
          <w:color w:val="231F20"/>
          <w:spacing w:val="-6"/>
          <w:w w:val="105"/>
          <w:sz w:val="21"/>
        </w:rPr>
        <w:t> </w:t>
      </w:r>
      <w:r>
        <w:rPr>
          <w:color w:val="231F20"/>
          <w:w w:val="105"/>
          <w:sz w:val="21"/>
        </w:rPr>
        <w:t>la</w:t>
      </w:r>
      <w:r>
        <w:rPr>
          <w:color w:val="231F20"/>
          <w:spacing w:val="-6"/>
          <w:w w:val="105"/>
          <w:sz w:val="21"/>
        </w:rPr>
        <w:t> </w:t>
      </w:r>
      <w:r>
        <w:rPr>
          <w:color w:val="231F20"/>
          <w:w w:val="105"/>
          <w:sz w:val="21"/>
        </w:rPr>
        <w:t>estrategia</w:t>
      </w:r>
      <w:r>
        <w:rPr>
          <w:color w:val="231F20"/>
          <w:spacing w:val="-6"/>
          <w:w w:val="105"/>
          <w:sz w:val="21"/>
        </w:rPr>
        <w:t> </w:t>
      </w:r>
      <w:r>
        <w:rPr>
          <w:color w:val="231F20"/>
          <w:w w:val="105"/>
          <w:sz w:val="21"/>
        </w:rPr>
        <w:t>refleja</w:t>
      </w:r>
      <w:r>
        <w:rPr>
          <w:color w:val="231F20"/>
          <w:spacing w:val="-6"/>
          <w:w w:val="105"/>
          <w:sz w:val="21"/>
        </w:rPr>
        <w:t> </w:t>
      </w:r>
      <w:r>
        <w:rPr>
          <w:color w:val="231F20"/>
          <w:w w:val="105"/>
          <w:sz w:val="21"/>
        </w:rPr>
        <w:t>el concepto</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mejora</w:t>
      </w:r>
      <w:r>
        <w:rPr>
          <w:color w:val="231F20"/>
          <w:spacing w:val="-15"/>
          <w:w w:val="105"/>
          <w:sz w:val="21"/>
        </w:rPr>
        <w:t> </w:t>
      </w:r>
      <w:r>
        <w:rPr>
          <w:color w:val="231F20"/>
          <w:w w:val="105"/>
          <w:sz w:val="21"/>
        </w:rPr>
        <w:t>continua</w:t>
      </w:r>
      <w:r>
        <w:rPr>
          <w:color w:val="231F20"/>
          <w:spacing w:val="-15"/>
          <w:w w:val="105"/>
          <w:sz w:val="21"/>
        </w:rPr>
        <w:t> </w:t>
      </w:r>
      <w:r>
        <w:rPr>
          <w:color w:val="231F20"/>
          <w:w w:val="105"/>
          <w:sz w:val="21"/>
        </w:rPr>
        <w:t>y</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desarrolla</w:t>
      </w:r>
      <w:r>
        <w:rPr>
          <w:color w:val="231F20"/>
          <w:spacing w:val="-15"/>
          <w:w w:val="105"/>
          <w:sz w:val="21"/>
        </w:rPr>
        <w:t> </w:t>
      </w:r>
      <w:r>
        <w:rPr>
          <w:color w:val="231F20"/>
          <w:w w:val="105"/>
          <w:sz w:val="21"/>
        </w:rPr>
        <w:t>a</w:t>
      </w:r>
      <w:r>
        <w:rPr>
          <w:color w:val="231F20"/>
          <w:spacing w:val="-15"/>
          <w:w w:val="105"/>
          <w:sz w:val="21"/>
        </w:rPr>
        <w:t> </w:t>
      </w:r>
      <w:r>
        <w:rPr>
          <w:color w:val="231F20"/>
          <w:w w:val="105"/>
          <w:sz w:val="21"/>
        </w:rPr>
        <w:t>través</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pla- </w:t>
      </w:r>
      <w:r>
        <w:rPr>
          <w:color w:val="231F20"/>
          <w:sz w:val="21"/>
        </w:rPr>
        <w:t>nes</w:t>
      </w:r>
      <w:r>
        <w:rPr>
          <w:color w:val="231F20"/>
          <w:spacing w:val="-14"/>
          <w:sz w:val="21"/>
        </w:rPr>
        <w:t> </w:t>
      </w:r>
      <w:r>
        <w:rPr>
          <w:color w:val="231F20"/>
          <w:sz w:val="21"/>
        </w:rPr>
        <w:t>anuales.</w:t>
      </w:r>
    </w:p>
    <w:p>
      <w:pPr>
        <w:spacing w:after="0" w:line="259" w:lineRule="auto"/>
        <w:jc w:val="both"/>
        <w:rPr>
          <w:sz w:val="21"/>
        </w:rPr>
        <w:sectPr>
          <w:pgSz w:w="9640" w:h="13890"/>
          <w:pgMar w:top="0" w:bottom="280" w:left="1300" w:right="1180"/>
        </w:sectPr>
      </w:pPr>
    </w:p>
    <w:p>
      <w:pPr>
        <w:pStyle w:val="ListParagraph"/>
        <w:numPr>
          <w:ilvl w:val="0"/>
          <w:numId w:val="36"/>
        </w:numPr>
        <w:tabs>
          <w:tab w:pos="1315" w:val="left" w:leader="none"/>
        </w:tabs>
        <w:spacing w:line="259" w:lineRule="auto" w:before="120" w:after="0"/>
        <w:ind w:left="1314" w:right="114" w:hanging="360"/>
        <w:jc w:val="both"/>
        <w:rPr>
          <w:sz w:val="21"/>
        </w:rPr>
      </w:pPr>
      <w:r>
        <w:rPr>
          <w:color w:val="231F20"/>
          <w:w w:val="105"/>
          <w:sz w:val="21"/>
        </w:rPr>
        <w:t>Alianzas</w:t>
      </w:r>
      <w:r>
        <w:rPr>
          <w:color w:val="231F20"/>
          <w:spacing w:val="-30"/>
          <w:w w:val="105"/>
          <w:sz w:val="21"/>
        </w:rPr>
        <w:t> </w:t>
      </w:r>
      <w:r>
        <w:rPr>
          <w:color w:val="231F20"/>
          <w:w w:val="105"/>
          <w:sz w:val="21"/>
        </w:rPr>
        <w:t>y</w:t>
      </w:r>
      <w:r>
        <w:rPr>
          <w:color w:val="231F20"/>
          <w:spacing w:val="-30"/>
          <w:w w:val="105"/>
          <w:sz w:val="21"/>
        </w:rPr>
        <w:t> </w:t>
      </w:r>
      <w:r>
        <w:rPr>
          <w:color w:val="231F20"/>
          <w:w w:val="105"/>
          <w:sz w:val="21"/>
        </w:rPr>
        <w:t>recursos</w:t>
      </w:r>
      <w:r>
        <w:rPr>
          <w:color w:val="231F20"/>
          <w:spacing w:val="-30"/>
          <w:w w:val="105"/>
          <w:sz w:val="21"/>
        </w:rPr>
        <w:t> </w:t>
      </w:r>
      <w:r>
        <w:rPr>
          <w:color w:val="231F20"/>
          <w:w w:val="105"/>
          <w:sz w:val="21"/>
        </w:rPr>
        <w:t>(100):</w:t>
      </w:r>
      <w:r>
        <w:rPr>
          <w:color w:val="231F20"/>
          <w:spacing w:val="-30"/>
          <w:w w:val="105"/>
          <w:sz w:val="21"/>
        </w:rPr>
        <w:t> </w:t>
      </w:r>
      <w:r>
        <w:rPr>
          <w:color w:val="231F20"/>
          <w:w w:val="105"/>
          <w:sz w:val="21"/>
        </w:rPr>
        <w:t>muestra</w:t>
      </w:r>
      <w:r>
        <w:rPr>
          <w:color w:val="231F20"/>
          <w:spacing w:val="-30"/>
          <w:w w:val="105"/>
          <w:sz w:val="21"/>
        </w:rPr>
        <w:t> </w:t>
      </w:r>
      <w:r>
        <w:rPr>
          <w:color w:val="231F20"/>
          <w:w w:val="105"/>
          <w:sz w:val="21"/>
        </w:rPr>
        <w:t>la</w:t>
      </w:r>
      <w:r>
        <w:rPr>
          <w:color w:val="231F20"/>
          <w:spacing w:val="-30"/>
          <w:w w:val="105"/>
          <w:sz w:val="21"/>
        </w:rPr>
        <w:t> </w:t>
      </w:r>
      <w:r>
        <w:rPr>
          <w:color w:val="231F20"/>
          <w:w w:val="105"/>
          <w:sz w:val="21"/>
        </w:rPr>
        <w:t>planeación</w:t>
      </w:r>
      <w:r>
        <w:rPr>
          <w:color w:val="231F20"/>
          <w:spacing w:val="-30"/>
          <w:w w:val="105"/>
          <w:sz w:val="21"/>
        </w:rPr>
        <w:t> </w:t>
      </w:r>
      <w:r>
        <w:rPr>
          <w:color w:val="231F20"/>
          <w:w w:val="105"/>
          <w:sz w:val="21"/>
        </w:rPr>
        <w:t>y</w:t>
      </w:r>
      <w:r>
        <w:rPr>
          <w:color w:val="231F20"/>
          <w:spacing w:val="-30"/>
          <w:w w:val="105"/>
          <w:sz w:val="21"/>
        </w:rPr>
        <w:t> </w:t>
      </w:r>
      <w:r>
        <w:rPr>
          <w:color w:val="231F20"/>
          <w:w w:val="105"/>
          <w:sz w:val="21"/>
        </w:rPr>
        <w:t>utiliza</w:t>
      </w:r>
      <w:r>
        <w:rPr>
          <w:color w:val="231F20"/>
          <w:spacing w:val="-30"/>
          <w:w w:val="105"/>
          <w:sz w:val="21"/>
        </w:rPr>
        <w:t> </w:t>
      </w:r>
      <w:r>
        <w:rPr>
          <w:color w:val="231F20"/>
          <w:w w:val="105"/>
          <w:sz w:val="21"/>
        </w:rPr>
        <w:t>sus recursos</w:t>
      </w:r>
      <w:r>
        <w:rPr>
          <w:color w:val="231F20"/>
          <w:spacing w:val="-23"/>
          <w:w w:val="105"/>
          <w:sz w:val="21"/>
        </w:rPr>
        <w:t> </w:t>
      </w:r>
      <w:r>
        <w:rPr>
          <w:color w:val="231F20"/>
          <w:w w:val="105"/>
          <w:sz w:val="21"/>
        </w:rPr>
        <w:t>para</w:t>
      </w:r>
      <w:r>
        <w:rPr>
          <w:color w:val="231F20"/>
          <w:spacing w:val="-23"/>
          <w:w w:val="105"/>
          <w:sz w:val="21"/>
        </w:rPr>
        <w:t> </w:t>
      </w:r>
      <w:r>
        <w:rPr>
          <w:color w:val="231F20"/>
          <w:w w:val="105"/>
          <w:sz w:val="21"/>
        </w:rPr>
        <w:t>apoyar</w:t>
      </w:r>
      <w:r>
        <w:rPr>
          <w:color w:val="231F20"/>
          <w:spacing w:val="-23"/>
          <w:w w:val="105"/>
          <w:sz w:val="21"/>
        </w:rPr>
        <w:t> </w:t>
      </w:r>
      <w:r>
        <w:rPr>
          <w:color w:val="231F20"/>
          <w:w w:val="105"/>
          <w:sz w:val="21"/>
        </w:rPr>
        <w:t>su</w:t>
      </w:r>
      <w:r>
        <w:rPr>
          <w:color w:val="231F20"/>
          <w:spacing w:val="-23"/>
          <w:w w:val="105"/>
          <w:sz w:val="21"/>
        </w:rPr>
        <w:t> </w:t>
      </w:r>
      <w:r>
        <w:rPr>
          <w:color w:val="231F20"/>
          <w:w w:val="105"/>
          <w:sz w:val="21"/>
        </w:rPr>
        <w:t>actividad</w:t>
      </w:r>
      <w:r>
        <w:rPr>
          <w:color w:val="231F20"/>
          <w:spacing w:val="-23"/>
          <w:w w:val="105"/>
          <w:sz w:val="21"/>
        </w:rPr>
        <w:t> </w:t>
      </w:r>
      <w:r>
        <w:rPr>
          <w:color w:val="231F20"/>
          <w:w w:val="105"/>
          <w:sz w:val="21"/>
        </w:rPr>
        <w:t>actual</w:t>
      </w:r>
      <w:r>
        <w:rPr>
          <w:color w:val="231F20"/>
          <w:spacing w:val="-23"/>
          <w:w w:val="105"/>
          <w:sz w:val="21"/>
        </w:rPr>
        <w:t> </w:t>
      </w:r>
      <w:r>
        <w:rPr>
          <w:color w:val="231F20"/>
          <w:w w:val="105"/>
          <w:sz w:val="21"/>
        </w:rPr>
        <w:t>y</w:t>
      </w:r>
      <w:r>
        <w:rPr>
          <w:color w:val="231F20"/>
          <w:spacing w:val="-23"/>
          <w:w w:val="105"/>
          <w:sz w:val="21"/>
        </w:rPr>
        <w:t> </w:t>
      </w:r>
      <w:r>
        <w:rPr>
          <w:color w:val="231F20"/>
          <w:w w:val="105"/>
          <w:sz w:val="21"/>
        </w:rPr>
        <w:t>sus</w:t>
      </w:r>
      <w:r>
        <w:rPr>
          <w:color w:val="231F20"/>
          <w:spacing w:val="-23"/>
          <w:w w:val="105"/>
          <w:sz w:val="21"/>
        </w:rPr>
        <w:t> </w:t>
      </w:r>
      <w:r>
        <w:rPr>
          <w:color w:val="231F20"/>
          <w:w w:val="105"/>
          <w:sz w:val="21"/>
        </w:rPr>
        <w:t>planes</w:t>
      </w:r>
      <w:r>
        <w:rPr>
          <w:color w:val="231F20"/>
          <w:spacing w:val="-23"/>
          <w:w w:val="105"/>
          <w:sz w:val="21"/>
        </w:rPr>
        <w:t> </w:t>
      </w:r>
      <w:r>
        <w:rPr>
          <w:color w:val="231F20"/>
          <w:w w:val="105"/>
          <w:sz w:val="21"/>
        </w:rPr>
        <w:t>a</w:t>
      </w:r>
      <w:r>
        <w:rPr>
          <w:color w:val="231F20"/>
          <w:spacing w:val="-23"/>
          <w:w w:val="105"/>
          <w:sz w:val="21"/>
        </w:rPr>
        <w:t> </w:t>
      </w:r>
      <w:r>
        <w:rPr>
          <w:color w:val="231F20"/>
          <w:w w:val="105"/>
          <w:sz w:val="21"/>
        </w:rPr>
        <w:t>futu- </w:t>
      </w:r>
      <w:r>
        <w:rPr>
          <w:color w:val="231F20"/>
          <w:spacing w:val="-3"/>
          <w:w w:val="105"/>
          <w:sz w:val="21"/>
        </w:rPr>
        <w:t>ro.</w:t>
      </w:r>
      <w:r>
        <w:rPr>
          <w:color w:val="231F20"/>
          <w:spacing w:val="-21"/>
          <w:w w:val="105"/>
          <w:sz w:val="21"/>
        </w:rPr>
        <w:t> </w:t>
      </w:r>
      <w:r>
        <w:rPr>
          <w:color w:val="231F20"/>
          <w:w w:val="105"/>
          <w:sz w:val="21"/>
        </w:rPr>
        <w:t>Se</w:t>
      </w:r>
      <w:r>
        <w:rPr>
          <w:color w:val="231F20"/>
          <w:spacing w:val="-16"/>
          <w:w w:val="105"/>
          <w:sz w:val="21"/>
        </w:rPr>
        <w:t> </w:t>
      </w:r>
      <w:r>
        <w:rPr>
          <w:color w:val="231F20"/>
          <w:w w:val="105"/>
          <w:sz w:val="21"/>
        </w:rPr>
        <w:t>analiza</w:t>
      </w:r>
      <w:r>
        <w:rPr>
          <w:color w:val="231F20"/>
          <w:spacing w:val="-16"/>
          <w:w w:val="105"/>
          <w:sz w:val="21"/>
        </w:rPr>
        <w:t> </w:t>
      </w:r>
      <w:r>
        <w:rPr>
          <w:color w:val="231F20"/>
          <w:w w:val="105"/>
          <w:sz w:val="21"/>
        </w:rPr>
        <w:t>si</w:t>
      </w:r>
      <w:r>
        <w:rPr>
          <w:color w:val="231F20"/>
          <w:spacing w:val="-16"/>
          <w:w w:val="105"/>
          <w:sz w:val="21"/>
        </w:rPr>
        <w:t> </w:t>
      </w:r>
      <w:r>
        <w:rPr>
          <w:color w:val="231F20"/>
          <w:w w:val="105"/>
          <w:sz w:val="21"/>
        </w:rPr>
        <w:t>los</w:t>
      </w:r>
      <w:r>
        <w:rPr>
          <w:color w:val="231F20"/>
          <w:spacing w:val="-16"/>
          <w:w w:val="105"/>
          <w:sz w:val="21"/>
        </w:rPr>
        <w:t> </w:t>
      </w:r>
      <w:r>
        <w:rPr>
          <w:color w:val="231F20"/>
          <w:w w:val="105"/>
          <w:sz w:val="21"/>
        </w:rPr>
        <w:t>recursos</w:t>
      </w:r>
      <w:r>
        <w:rPr>
          <w:color w:val="231F20"/>
          <w:spacing w:val="-16"/>
          <w:w w:val="105"/>
          <w:sz w:val="21"/>
        </w:rPr>
        <w:t> </w:t>
      </w:r>
      <w:r>
        <w:rPr>
          <w:color w:val="231F20"/>
          <w:w w:val="105"/>
          <w:sz w:val="21"/>
        </w:rPr>
        <w:t>disponibles</w:t>
      </w:r>
      <w:r>
        <w:rPr>
          <w:color w:val="231F20"/>
          <w:spacing w:val="-16"/>
          <w:w w:val="105"/>
          <w:sz w:val="21"/>
        </w:rPr>
        <w:t> </w:t>
      </w:r>
      <w:r>
        <w:rPr>
          <w:color w:val="231F20"/>
          <w:w w:val="105"/>
          <w:sz w:val="21"/>
        </w:rPr>
        <w:t>están</w:t>
      </w:r>
      <w:r>
        <w:rPr>
          <w:color w:val="231F20"/>
          <w:spacing w:val="-16"/>
          <w:w w:val="105"/>
          <w:sz w:val="21"/>
        </w:rPr>
        <w:t> </w:t>
      </w:r>
      <w:r>
        <w:rPr>
          <w:color w:val="231F20"/>
          <w:w w:val="105"/>
          <w:sz w:val="21"/>
        </w:rPr>
        <w:t>orientados</w:t>
      </w:r>
      <w:r>
        <w:rPr>
          <w:color w:val="231F20"/>
          <w:spacing w:val="-16"/>
          <w:w w:val="105"/>
          <w:sz w:val="21"/>
        </w:rPr>
        <w:t> </w:t>
      </w:r>
      <w:r>
        <w:rPr>
          <w:color w:val="231F20"/>
          <w:w w:val="105"/>
          <w:sz w:val="21"/>
        </w:rPr>
        <w:t>a conseguir</w:t>
      </w:r>
      <w:r>
        <w:rPr>
          <w:color w:val="231F20"/>
          <w:spacing w:val="-9"/>
          <w:w w:val="105"/>
          <w:sz w:val="21"/>
        </w:rPr>
        <w:t> </w:t>
      </w:r>
      <w:r>
        <w:rPr>
          <w:color w:val="231F20"/>
          <w:w w:val="105"/>
          <w:sz w:val="21"/>
        </w:rPr>
        <w:t>los</w:t>
      </w:r>
      <w:r>
        <w:rPr>
          <w:color w:val="231F20"/>
          <w:spacing w:val="-9"/>
          <w:w w:val="105"/>
          <w:sz w:val="21"/>
        </w:rPr>
        <w:t> </w:t>
      </w:r>
      <w:r>
        <w:rPr>
          <w:color w:val="231F20"/>
          <w:w w:val="105"/>
          <w:sz w:val="21"/>
        </w:rPr>
        <w:t>objetivos</w:t>
      </w:r>
      <w:r>
        <w:rPr>
          <w:color w:val="231F20"/>
          <w:spacing w:val="-9"/>
          <w:w w:val="105"/>
          <w:sz w:val="21"/>
        </w:rPr>
        <w:t> </w:t>
      </w:r>
      <w:r>
        <w:rPr>
          <w:color w:val="231F20"/>
          <w:w w:val="105"/>
          <w:sz w:val="21"/>
        </w:rPr>
        <w:t>de</w:t>
      </w:r>
      <w:r>
        <w:rPr>
          <w:color w:val="231F20"/>
          <w:spacing w:val="-9"/>
          <w:w w:val="105"/>
          <w:sz w:val="21"/>
        </w:rPr>
        <w:t> </w:t>
      </w:r>
      <w:r>
        <w:rPr>
          <w:color w:val="231F20"/>
          <w:w w:val="105"/>
          <w:sz w:val="21"/>
        </w:rPr>
        <w:t>calidad</w:t>
      </w:r>
      <w:r>
        <w:rPr>
          <w:color w:val="231F20"/>
          <w:spacing w:val="-9"/>
          <w:w w:val="105"/>
          <w:sz w:val="21"/>
        </w:rPr>
        <w:t> </w:t>
      </w:r>
      <w:r>
        <w:rPr>
          <w:color w:val="231F20"/>
          <w:w w:val="105"/>
          <w:sz w:val="21"/>
        </w:rPr>
        <w:t>propuestos.</w:t>
      </w:r>
    </w:p>
    <w:p>
      <w:pPr>
        <w:pStyle w:val="ListParagraph"/>
        <w:numPr>
          <w:ilvl w:val="0"/>
          <w:numId w:val="36"/>
        </w:numPr>
        <w:tabs>
          <w:tab w:pos="1315" w:val="left" w:leader="none"/>
        </w:tabs>
        <w:spacing w:line="259" w:lineRule="auto" w:before="170" w:after="0"/>
        <w:ind w:left="1314" w:right="114" w:hanging="360"/>
        <w:jc w:val="both"/>
        <w:rPr>
          <w:sz w:val="21"/>
        </w:rPr>
      </w:pPr>
      <w:r>
        <w:rPr>
          <w:color w:val="231F20"/>
          <w:w w:val="105"/>
          <w:sz w:val="21"/>
        </w:rPr>
        <w:t>Procesos,</w:t>
      </w:r>
      <w:r>
        <w:rPr>
          <w:color w:val="231F20"/>
          <w:spacing w:val="-17"/>
          <w:w w:val="105"/>
          <w:sz w:val="21"/>
        </w:rPr>
        <w:t> </w:t>
      </w:r>
      <w:r>
        <w:rPr>
          <w:color w:val="231F20"/>
          <w:w w:val="105"/>
          <w:sz w:val="21"/>
        </w:rPr>
        <w:t>productos</w:t>
      </w:r>
      <w:r>
        <w:rPr>
          <w:color w:val="231F20"/>
          <w:spacing w:val="-13"/>
          <w:w w:val="105"/>
          <w:sz w:val="21"/>
        </w:rPr>
        <w:t> </w:t>
      </w:r>
      <w:r>
        <w:rPr>
          <w:color w:val="231F20"/>
          <w:w w:val="105"/>
          <w:sz w:val="21"/>
        </w:rPr>
        <w:t>y</w:t>
      </w:r>
      <w:r>
        <w:rPr>
          <w:color w:val="231F20"/>
          <w:spacing w:val="-13"/>
          <w:w w:val="105"/>
          <w:sz w:val="21"/>
        </w:rPr>
        <w:t> </w:t>
      </w:r>
      <w:r>
        <w:rPr>
          <w:color w:val="231F20"/>
          <w:w w:val="105"/>
          <w:sz w:val="21"/>
        </w:rPr>
        <w:t>servicios</w:t>
      </w:r>
      <w:r>
        <w:rPr>
          <w:color w:val="231F20"/>
          <w:spacing w:val="-13"/>
          <w:w w:val="105"/>
          <w:sz w:val="21"/>
        </w:rPr>
        <w:t> </w:t>
      </w:r>
      <w:r>
        <w:rPr>
          <w:color w:val="231F20"/>
          <w:w w:val="105"/>
          <w:sz w:val="21"/>
        </w:rPr>
        <w:t>(100):</w:t>
      </w:r>
      <w:r>
        <w:rPr>
          <w:color w:val="231F20"/>
          <w:spacing w:val="-13"/>
          <w:w w:val="105"/>
          <w:sz w:val="21"/>
        </w:rPr>
        <w:t> </w:t>
      </w:r>
      <w:r>
        <w:rPr>
          <w:color w:val="231F20"/>
          <w:w w:val="105"/>
          <w:sz w:val="21"/>
        </w:rPr>
        <w:t>este</w:t>
      </w:r>
      <w:r>
        <w:rPr>
          <w:color w:val="231F20"/>
          <w:spacing w:val="-13"/>
          <w:w w:val="105"/>
          <w:sz w:val="21"/>
        </w:rPr>
        <w:t> </w:t>
      </w:r>
      <w:r>
        <w:rPr>
          <w:color w:val="231F20"/>
          <w:w w:val="105"/>
          <w:sz w:val="21"/>
        </w:rPr>
        <w:t>criterio</w:t>
      </w:r>
      <w:r>
        <w:rPr>
          <w:color w:val="231F20"/>
          <w:spacing w:val="-13"/>
          <w:w w:val="105"/>
          <w:sz w:val="21"/>
        </w:rPr>
        <w:t> </w:t>
      </w:r>
      <w:r>
        <w:rPr>
          <w:color w:val="231F20"/>
          <w:w w:val="105"/>
          <w:sz w:val="21"/>
        </w:rPr>
        <w:t>hace</w:t>
      </w:r>
      <w:r>
        <w:rPr>
          <w:color w:val="231F20"/>
          <w:spacing w:val="-13"/>
          <w:w w:val="105"/>
          <w:sz w:val="21"/>
        </w:rPr>
        <w:t> </w:t>
      </w:r>
      <w:r>
        <w:rPr>
          <w:color w:val="231F20"/>
          <w:w w:val="105"/>
          <w:sz w:val="21"/>
        </w:rPr>
        <w:t>re- ferencia a la identificación, organización y revisión de los procesos</w:t>
      </w:r>
      <w:r>
        <w:rPr>
          <w:color w:val="231F20"/>
          <w:spacing w:val="-12"/>
          <w:w w:val="105"/>
          <w:sz w:val="21"/>
        </w:rPr>
        <w:t> </w:t>
      </w:r>
      <w:r>
        <w:rPr>
          <w:color w:val="231F20"/>
          <w:w w:val="105"/>
          <w:sz w:val="21"/>
        </w:rPr>
        <w:t>para</w:t>
      </w:r>
      <w:r>
        <w:rPr>
          <w:color w:val="231F20"/>
          <w:spacing w:val="-12"/>
          <w:w w:val="105"/>
          <w:sz w:val="21"/>
        </w:rPr>
        <w:t> </w:t>
      </w:r>
      <w:r>
        <w:rPr>
          <w:color w:val="231F20"/>
          <w:w w:val="105"/>
          <w:sz w:val="21"/>
        </w:rPr>
        <w:t>asegurar</w:t>
      </w:r>
      <w:r>
        <w:rPr>
          <w:color w:val="231F20"/>
          <w:spacing w:val="-12"/>
          <w:w w:val="105"/>
          <w:sz w:val="21"/>
        </w:rPr>
        <w:t> </w:t>
      </w:r>
      <w:r>
        <w:rPr>
          <w:color w:val="231F20"/>
          <w:w w:val="105"/>
          <w:sz w:val="21"/>
        </w:rPr>
        <w:t>la</w:t>
      </w:r>
      <w:r>
        <w:rPr>
          <w:color w:val="231F20"/>
          <w:spacing w:val="-12"/>
          <w:w w:val="105"/>
          <w:sz w:val="21"/>
        </w:rPr>
        <w:t> </w:t>
      </w:r>
      <w:r>
        <w:rPr>
          <w:color w:val="231F20"/>
          <w:w w:val="105"/>
          <w:sz w:val="21"/>
        </w:rPr>
        <w:t>mejora</w:t>
      </w:r>
      <w:r>
        <w:rPr>
          <w:color w:val="231F20"/>
          <w:spacing w:val="-12"/>
          <w:w w:val="105"/>
          <w:sz w:val="21"/>
        </w:rPr>
        <w:t> </w:t>
      </w:r>
      <w:r>
        <w:rPr>
          <w:color w:val="231F20"/>
          <w:w w:val="105"/>
          <w:sz w:val="21"/>
        </w:rPr>
        <w:t>continua</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todas</w:t>
      </w:r>
      <w:r>
        <w:rPr>
          <w:color w:val="231F20"/>
          <w:spacing w:val="-12"/>
          <w:w w:val="105"/>
          <w:sz w:val="21"/>
        </w:rPr>
        <w:t> </w:t>
      </w:r>
      <w:r>
        <w:rPr>
          <w:color w:val="231F20"/>
          <w:w w:val="105"/>
          <w:sz w:val="21"/>
        </w:rPr>
        <w:t>las</w:t>
      </w:r>
      <w:r>
        <w:rPr>
          <w:color w:val="231F20"/>
          <w:spacing w:val="-12"/>
          <w:w w:val="105"/>
          <w:sz w:val="21"/>
        </w:rPr>
        <w:t> </w:t>
      </w:r>
      <w:r>
        <w:rPr>
          <w:color w:val="231F20"/>
          <w:w w:val="105"/>
          <w:sz w:val="21"/>
        </w:rPr>
        <w:t>ac- tividades de la institución, entendiendo por proceso el</w:t>
      </w:r>
      <w:r>
        <w:rPr>
          <w:color w:val="231F20"/>
          <w:spacing w:val="-34"/>
          <w:w w:val="105"/>
          <w:sz w:val="21"/>
        </w:rPr>
        <w:t> </w:t>
      </w:r>
      <w:r>
        <w:rPr>
          <w:color w:val="231F20"/>
          <w:w w:val="105"/>
          <w:sz w:val="21"/>
        </w:rPr>
        <w:t>con- junto</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actividades</w:t>
      </w:r>
      <w:r>
        <w:rPr>
          <w:color w:val="231F20"/>
          <w:spacing w:val="-23"/>
          <w:w w:val="105"/>
          <w:sz w:val="21"/>
        </w:rPr>
        <w:t> </w:t>
      </w:r>
      <w:r>
        <w:rPr>
          <w:color w:val="231F20"/>
          <w:w w:val="105"/>
          <w:sz w:val="21"/>
        </w:rPr>
        <w:t>concatenadas</w:t>
      </w:r>
      <w:r>
        <w:rPr>
          <w:color w:val="231F20"/>
          <w:spacing w:val="-23"/>
          <w:w w:val="105"/>
          <w:sz w:val="21"/>
        </w:rPr>
        <w:t> </w:t>
      </w:r>
      <w:r>
        <w:rPr>
          <w:color w:val="231F20"/>
          <w:w w:val="105"/>
          <w:sz w:val="21"/>
        </w:rPr>
        <w:t>que</w:t>
      </w:r>
      <w:r>
        <w:rPr>
          <w:color w:val="231F20"/>
          <w:spacing w:val="-23"/>
          <w:w w:val="105"/>
          <w:sz w:val="21"/>
        </w:rPr>
        <w:t> </w:t>
      </w:r>
      <w:r>
        <w:rPr>
          <w:color w:val="231F20"/>
          <w:w w:val="105"/>
          <w:sz w:val="21"/>
        </w:rPr>
        <w:t>van</w:t>
      </w:r>
      <w:r>
        <w:rPr>
          <w:color w:val="231F20"/>
          <w:spacing w:val="-23"/>
          <w:w w:val="105"/>
          <w:sz w:val="21"/>
        </w:rPr>
        <w:t> </w:t>
      </w:r>
      <w:r>
        <w:rPr>
          <w:color w:val="231F20"/>
          <w:w w:val="105"/>
          <w:sz w:val="21"/>
        </w:rPr>
        <w:t>añadiendo</w:t>
      </w:r>
      <w:r>
        <w:rPr>
          <w:color w:val="231F20"/>
          <w:spacing w:val="-23"/>
          <w:w w:val="105"/>
          <w:sz w:val="21"/>
        </w:rPr>
        <w:t> </w:t>
      </w:r>
      <w:r>
        <w:rPr>
          <w:color w:val="231F20"/>
          <w:w w:val="105"/>
          <w:sz w:val="21"/>
        </w:rPr>
        <w:t>valor y</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permiten</w:t>
      </w:r>
      <w:r>
        <w:rPr>
          <w:color w:val="231F20"/>
          <w:spacing w:val="-14"/>
          <w:w w:val="105"/>
          <w:sz w:val="21"/>
        </w:rPr>
        <w:t> </w:t>
      </w:r>
      <w:r>
        <w:rPr>
          <w:color w:val="231F20"/>
          <w:w w:val="105"/>
          <w:sz w:val="21"/>
        </w:rPr>
        <w:t>lograr</w:t>
      </w:r>
      <w:r>
        <w:rPr>
          <w:color w:val="231F20"/>
          <w:spacing w:val="-14"/>
          <w:w w:val="105"/>
          <w:sz w:val="21"/>
        </w:rPr>
        <w:t> </w:t>
      </w:r>
      <w:r>
        <w:rPr>
          <w:color w:val="231F20"/>
          <w:w w:val="105"/>
          <w:sz w:val="21"/>
        </w:rPr>
        <w:t>los</w:t>
      </w:r>
      <w:r>
        <w:rPr>
          <w:color w:val="231F20"/>
          <w:spacing w:val="-14"/>
          <w:w w:val="105"/>
          <w:sz w:val="21"/>
        </w:rPr>
        <w:t> </w:t>
      </w:r>
      <w:r>
        <w:rPr>
          <w:color w:val="231F20"/>
          <w:w w:val="105"/>
          <w:sz w:val="21"/>
        </w:rPr>
        <w:t>resultados</w:t>
      </w:r>
      <w:r>
        <w:rPr>
          <w:color w:val="231F20"/>
          <w:spacing w:val="-14"/>
          <w:w w:val="105"/>
          <w:sz w:val="21"/>
        </w:rPr>
        <w:t> </w:t>
      </w:r>
      <w:r>
        <w:rPr>
          <w:color w:val="231F20"/>
          <w:w w:val="105"/>
          <w:sz w:val="21"/>
        </w:rPr>
        <w:t>previstos.</w:t>
      </w:r>
    </w:p>
    <w:p>
      <w:pPr>
        <w:pStyle w:val="BodyText"/>
        <w:rPr>
          <w:sz w:val="20"/>
        </w:rPr>
      </w:pPr>
    </w:p>
    <w:p>
      <w:pPr>
        <w:pStyle w:val="BodyText"/>
        <w:spacing w:before="4"/>
        <w:rPr>
          <w:sz w:val="17"/>
        </w:rPr>
      </w:pPr>
    </w:p>
    <w:p>
      <w:pPr>
        <w:pStyle w:val="BodyText"/>
        <w:spacing w:line="259" w:lineRule="auto"/>
        <w:ind w:left="103" w:right="115"/>
        <w:jc w:val="both"/>
      </w:pPr>
      <w:r>
        <w:rPr>
          <w:color w:val="231F20"/>
          <w:w w:val="105"/>
        </w:rPr>
        <w:t>Los criterios del bloque de resultados tienen como finalidad conocer lo que ha conseguido la organización por medio de sus agentes:</w:t>
      </w:r>
    </w:p>
    <w:p>
      <w:pPr>
        <w:pStyle w:val="BodyText"/>
        <w:spacing w:before="6"/>
        <w:rPr>
          <w:sz w:val="22"/>
        </w:rPr>
      </w:pPr>
    </w:p>
    <w:p>
      <w:pPr>
        <w:pStyle w:val="ListParagraph"/>
        <w:numPr>
          <w:ilvl w:val="0"/>
          <w:numId w:val="36"/>
        </w:numPr>
        <w:tabs>
          <w:tab w:pos="1315" w:val="left" w:leader="none"/>
        </w:tabs>
        <w:spacing w:line="259" w:lineRule="auto" w:before="1" w:after="0"/>
        <w:ind w:left="1314" w:right="109" w:hanging="360"/>
        <w:jc w:val="both"/>
        <w:rPr>
          <w:sz w:val="21"/>
        </w:rPr>
      </w:pPr>
      <w:r>
        <w:rPr>
          <w:color w:val="231F20"/>
          <w:w w:val="105"/>
          <w:sz w:val="21"/>
        </w:rPr>
        <w:t>Resultados</w:t>
      </w:r>
      <w:r>
        <w:rPr>
          <w:color w:val="231F20"/>
          <w:spacing w:val="-29"/>
          <w:w w:val="105"/>
          <w:sz w:val="21"/>
        </w:rPr>
        <w:t> </w:t>
      </w:r>
      <w:r>
        <w:rPr>
          <w:color w:val="231F20"/>
          <w:w w:val="105"/>
          <w:sz w:val="21"/>
        </w:rPr>
        <w:t>en</w:t>
      </w:r>
      <w:r>
        <w:rPr>
          <w:color w:val="231F20"/>
          <w:spacing w:val="-29"/>
          <w:w w:val="105"/>
          <w:sz w:val="21"/>
        </w:rPr>
        <w:t> </w:t>
      </w:r>
      <w:r>
        <w:rPr>
          <w:color w:val="231F20"/>
          <w:w w:val="105"/>
          <w:sz w:val="21"/>
        </w:rPr>
        <w:t>las</w:t>
      </w:r>
      <w:r>
        <w:rPr>
          <w:color w:val="231F20"/>
          <w:spacing w:val="-29"/>
          <w:w w:val="105"/>
          <w:sz w:val="21"/>
        </w:rPr>
        <w:t> </w:t>
      </w:r>
      <w:r>
        <w:rPr>
          <w:color w:val="231F20"/>
          <w:w w:val="105"/>
          <w:sz w:val="21"/>
        </w:rPr>
        <w:t>personas</w:t>
      </w:r>
      <w:r>
        <w:rPr>
          <w:color w:val="231F20"/>
          <w:spacing w:val="-29"/>
          <w:w w:val="105"/>
          <w:sz w:val="21"/>
        </w:rPr>
        <w:t> </w:t>
      </w:r>
      <w:r>
        <w:rPr>
          <w:color w:val="231F20"/>
          <w:w w:val="105"/>
          <w:sz w:val="21"/>
        </w:rPr>
        <w:t>(100):</w:t>
      </w:r>
      <w:r>
        <w:rPr>
          <w:color w:val="231F20"/>
          <w:spacing w:val="-29"/>
          <w:w w:val="105"/>
          <w:sz w:val="21"/>
        </w:rPr>
        <w:t> </w:t>
      </w:r>
      <w:r>
        <w:rPr>
          <w:color w:val="231F20"/>
          <w:w w:val="105"/>
          <w:sz w:val="21"/>
        </w:rPr>
        <w:t>grado</w:t>
      </w:r>
      <w:r>
        <w:rPr>
          <w:color w:val="231F20"/>
          <w:spacing w:val="-29"/>
          <w:w w:val="105"/>
          <w:sz w:val="21"/>
        </w:rPr>
        <w:t> </w:t>
      </w:r>
      <w:r>
        <w:rPr>
          <w:color w:val="231F20"/>
          <w:w w:val="105"/>
          <w:sz w:val="21"/>
        </w:rPr>
        <w:t>de</w:t>
      </w:r>
      <w:r>
        <w:rPr>
          <w:color w:val="231F20"/>
          <w:spacing w:val="-29"/>
          <w:w w:val="105"/>
          <w:sz w:val="21"/>
        </w:rPr>
        <w:t> </w:t>
      </w:r>
      <w:r>
        <w:rPr>
          <w:color w:val="231F20"/>
          <w:w w:val="105"/>
          <w:sz w:val="21"/>
        </w:rPr>
        <w:t>acierto</w:t>
      </w:r>
      <w:r>
        <w:rPr>
          <w:color w:val="231F20"/>
          <w:spacing w:val="-29"/>
          <w:w w:val="105"/>
          <w:sz w:val="21"/>
        </w:rPr>
        <w:t> </w:t>
      </w:r>
      <w:r>
        <w:rPr>
          <w:color w:val="231F20"/>
          <w:w w:val="105"/>
          <w:sz w:val="21"/>
        </w:rPr>
        <w:t>de</w:t>
      </w:r>
      <w:r>
        <w:rPr>
          <w:color w:val="231F20"/>
          <w:spacing w:val="-29"/>
          <w:w w:val="105"/>
          <w:sz w:val="21"/>
        </w:rPr>
        <w:t> </w:t>
      </w:r>
      <w:r>
        <w:rPr>
          <w:color w:val="231F20"/>
          <w:w w:val="105"/>
          <w:sz w:val="21"/>
        </w:rPr>
        <w:t>la</w:t>
      </w:r>
      <w:r>
        <w:rPr>
          <w:color w:val="231F20"/>
          <w:spacing w:val="-29"/>
          <w:w w:val="105"/>
          <w:sz w:val="21"/>
        </w:rPr>
        <w:t> </w:t>
      </w:r>
      <w:r>
        <w:rPr>
          <w:color w:val="231F20"/>
          <w:w w:val="105"/>
          <w:sz w:val="21"/>
        </w:rPr>
        <w:t>ins- titución</w:t>
      </w:r>
      <w:r>
        <w:rPr>
          <w:color w:val="231F20"/>
          <w:spacing w:val="-35"/>
          <w:w w:val="105"/>
          <w:sz w:val="21"/>
        </w:rPr>
        <w:t> </w:t>
      </w:r>
      <w:r>
        <w:rPr>
          <w:color w:val="231F20"/>
          <w:w w:val="105"/>
          <w:sz w:val="21"/>
        </w:rPr>
        <w:t>a</w:t>
      </w:r>
      <w:r>
        <w:rPr>
          <w:color w:val="231F20"/>
          <w:spacing w:val="-35"/>
          <w:w w:val="105"/>
          <w:sz w:val="21"/>
        </w:rPr>
        <w:t> </w:t>
      </w:r>
      <w:r>
        <w:rPr>
          <w:color w:val="231F20"/>
          <w:w w:val="105"/>
          <w:sz w:val="21"/>
        </w:rPr>
        <w:t>la</w:t>
      </w:r>
      <w:r>
        <w:rPr>
          <w:color w:val="231F20"/>
          <w:spacing w:val="-35"/>
          <w:w w:val="105"/>
          <w:sz w:val="21"/>
        </w:rPr>
        <w:t> </w:t>
      </w:r>
      <w:r>
        <w:rPr>
          <w:color w:val="231F20"/>
          <w:w w:val="105"/>
          <w:sz w:val="21"/>
        </w:rPr>
        <w:t>hora</w:t>
      </w:r>
      <w:r>
        <w:rPr>
          <w:color w:val="231F20"/>
          <w:spacing w:val="-35"/>
          <w:w w:val="105"/>
          <w:sz w:val="21"/>
        </w:rPr>
        <w:t> </w:t>
      </w:r>
      <w:r>
        <w:rPr>
          <w:color w:val="231F20"/>
          <w:w w:val="105"/>
          <w:sz w:val="21"/>
        </w:rPr>
        <w:t>de</w:t>
      </w:r>
      <w:r>
        <w:rPr>
          <w:color w:val="231F20"/>
          <w:spacing w:val="-35"/>
          <w:w w:val="105"/>
          <w:sz w:val="21"/>
        </w:rPr>
        <w:t> </w:t>
      </w:r>
      <w:r>
        <w:rPr>
          <w:color w:val="231F20"/>
          <w:w w:val="105"/>
          <w:sz w:val="21"/>
        </w:rPr>
        <w:t>satisfacer</w:t>
      </w:r>
      <w:r>
        <w:rPr>
          <w:color w:val="231F20"/>
          <w:spacing w:val="-35"/>
          <w:w w:val="105"/>
          <w:sz w:val="21"/>
        </w:rPr>
        <w:t> </w:t>
      </w:r>
      <w:r>
        <w:rPr>
          <w:color w:val="231F20"/>
          <w:w w:val="105"/>
          <w:sz w:val="21"/>
        </w:rPr>
        <w:t>las</w:t>
      </w:r>
      <w:r>
        <w:rPr>
          <w:color w:val="231F20"/>
          <w:spacing w:val="-35"/>
          <w:w w:val="105"/>
          <w:sz w:val="21"/>
        </w:rPr>
        <w:t> </w:t>
      </w:r>
      <w:r>
        <w:rPr>
          <w:color w:val="231F20"/>
          <w:w w:val="105"/>
          <w:sz w:val="21"/>
        </w:rPr>
        <w:t>necesidades</w:t>
      </w:r>
      <w:r>
        <w:rPr>
          <w:color w:val="231F20"/>
          <w:spacing w:val="-35"/>
          <w:w w:val="105"/>
          <w:sz w:val="21"/>
        </w:rPr>
        <w:t> </w:t>
      </w:r>
      <w:r>
        <w:rPr>
          <w:color w:val="231F20"/>
          <w:w w:val="105"/>
          <w:sz w:val="21"/>
        </w:rPr>
        <w:t>y</w:t>
      </w:r>
      <w:r>
        <w:rPr>
          <w:color w:val="231F20"/>
          <w:spacing w:val="-35"/>
          <w:w w:val="105"/>
          <w:sz w:val="21"/>
        </w:rPr>
        <w:t> </w:t>
      </w:r>
      <w:r>
        <w:rPr>
          <w:color w:val="231F20"/>
          <w:spacing w:val="-3"/>
          <w:w w:val="105"/>
          <w:sz w:val="21"/>
        </w:rPr>
        <w:t>expectativas </w:t>
      </w:r>
      <w:r>
        <w:rPr>
          <w:color w:val="231F20"/>
          <w:w w:val="105"/>
          <w:sz w:val="21"/>
        </w:rPr>
        <w:t>razonables</w:t>
      </w:r>
      <w:r>
        <w:rPr>
          <w:color w:val="231F20"/>
          <w:spacing w:val="-31"/>
          <w:w w:val="105"/>
          <w:sz w:val="21"/>
        </w:rPr>
        <w:t> </w:t>
      </w:r>
      <w:r>
        <w:rPr>
          <w:color w:val="231F20"/>
          <w:w w:val="105"/>
          <w:sz w:val="21"/>
        </w:rPr>
        <w:t>de</w:t>
      </w:r>
      <w:r>
        <w:rPr>
          <w:color w:val="231F20"/>
          <w:spacing w:val="-31"/>
          <w:w w:val="105"/>
          <w:sz w:val="21"/>
        </w:rPr>
        <w:t> </w:t>
      </w:r>
      <w:r>
        <w:rPr>
          <w:color w:val="231F20"/>
          <w:w w:val="105"/>
          <w:sz w:val="21"/>
        </w:rPr>
        <w:t>su</w:t>
      </w:r>
      <w:r>
        <w:rPr>
          <w:color w:val="231F20"/>
          <w:spacing w:val="-31"/>
          <w:w w:val="105"/>
          <w:sz w:val="21"/>
        </w:rPr>
        <w:t> </w:t>
      </w:r>
      <w:r>
        <w:rPr>
          <w:color w:val="231F20"/>
          <w:w w:val="105"/>
          <w:sz w:val="21"/>
        </w:rPr>
        <w:t>personal,</w:t>
      </w:r>
      <w:r>
        <w:rPr>
          <w:color w:val="231F20"/>
          <w:spacing w:val="-35"/>
          <w:w w:val="105"/>
          <w:sz w:val="21"/>
        </w:rPr>
        <w:t> </w:t>
      </w:r>
      <w:r>
        <w:rPr>
          <w:color w:val="231F20"/>
          <w:w w:val="105"/>
          <w:sz w:val="21"/>
        </w:rPr>
        <w:t>entendiendo</w:t>
      </w:r>
      <w:r>
        <w:rPr>
          <w:color w:val="231F20"/>
          <w:spacing w:val="-31"/>
          <w:w w:val="105"/>
          <w:sz w:val="21"/>
        </w:rPr>
        <w:t> </w:t>
      </w:r>
      <w:r>
        <w:rPr>
          <w:color w:val="231F20"/>
          <w:w w:val="105"/>
          <w:sz w:val="21"/>
        </w:rPr>
        <w:t>por</w:t>
      </w:r>
      <w:r>
        <w:rPr>
          <w:color w:val="231F20"/>
          <w:spacing w:val="-31"/>
          <w:w w:val="105"/>
          <w:sz w:val="21"/>
        </w:rPr>
        <w:t> </w:t>
      </w:r>
      <w:r>
        <w:rPr>
          <w:color w:val="231F20"/>
          <w:w w:val="105"/>
          <w:sz w:val="21"/>
        </w:rPr>
        <w:t>personal</w:t>
      </w:r>
      <w:r>
        <w:rPr>
          <w:color w:val="231F20"/>
          <w:spacing w:val="-31"/>
          <w:w w:val="105"/>
          <w:sz w:val="21"/>
        </w:rPr>
        <w:t> </w:t>
      </w:r>
      <w:r>
        <w:rPr>
          <w:color w:val="231F20"/>
          <w:w w:val="105"/>
          <w:sz w:val="21"/>
        </w:rPr>
        <w:t>a</w:t>
      </w:r>
      <w:r>
        <w:rPr>
          <w:color w:val="231F20"/>
          <w:spacing w:val="-31"/>
          <w:w w:val="105"/>
          <w:sz w:val="21"/>
        </w:rPr>
        <w:t> </w:t>
      </w:r>
      <w:r>
        <w:rPr>
          <w:color w:val="231F20"/>
          <w:w w:val="105"/>
          <w:sz w:val="21"/>
        </w:rPr>
        <w:t>cual- quier</w:t>
      </w:r>
      <w:r>
        <w:rPr>
          <w:color w:val="231F20"/>
          <w:spacing w:val="-37"/>
          <w:w w:val="105"/>
          <w:sz w:val="21"/>
        </w:rPr>
        <w:t> </w:t>
      </w:r>
      <w:r>
        <w:rPr>
          <w:color w:val="231F20"/>
          <w:w w:val="105"/>
          <w:sz w:val="21"/>
        </w:rPr>
        <w:t>ser</w:t>
      </w:r>
      <w:r>
        <w:rPr>
          <w:color w:val="231F20"/>
          <w:spacing w:val="-37"/>
          <w:w w:val="105"/>
          <w:sz w:val="21"/>
        </w:rPr>
        <w:t> </w:t>
      </w:r>
      <w:r>
        <w:rPr>
          <w:color w:val="231F20"/>
          <w:w w:val="105"/>
          <w:sz w:val="21"/>
        </w:rPr>
        <w:t>humano</w:t>
      </w:r>
      <w:r>
        <w:rPr>
          <w:color w:val="231F20"/>
          <w:spacing w:val="-37"/>
          <w:w w:val="105"/>
          <w:sz w:val="21"/>
        </w:rPr>
        <w:t> </w:t>
      </w:r>
      <w:r>
        <w:rPr>
          <w:color w:val="231F20"/>
          <w:w w:val="105"/>
          <w:sz w:val="21"/>
        </w:rPr>
        <w:t>que</w:t>
      </w:r>
      <w:r>
        <w:rPr>
          <w:color w:val="231F20"/>
          <w:spacing w:val="-37"/>
          <w:w w:val="105"/>
          <w:sz w:val="21"/>
        </w:rPr>
        <w:t> </w:t>
      </w:r>
      <w:r>
        <w:rPr>
          <w:color w:val="231F20"/>
          <w:spacing w:val="-3"/>
          <w:w w:val="105"/>
          <w:sz w:val="21"/>
        </w:rPr>
        <w:t>presta</w:t>
      </w:r>
      <w:r>
        <w:rPr>
          <w:color w:val="231F20"/>
          <w:spacing w:val="-37"/>
          <w:w w:val="105"/>
          <w:sz w:val="21"/>
        </w:rPr>
        <w:t> </w:t>
      </w:r>
      <w:r>
        <w:rPr>
          <w:color w:val="231F20"/>
          <w:w w:val="105"/>
          <w:sz w:val="21"/>
        </w:rPr>
        <w:t>sus</w:t>
      </w:r>
      <w:r>
        <w:rPr>
          <w:color w:val="231F20"/>
          <w:spacing w:val="-37"/>
          <w:w w:val="105"/>
          <w:sz w:val="21"/>
        </w:rPr>
        <w:t> </w:t>
      </w:r>
      <w:r>
        <w:rPr>
          <w:color w:val="231F20"/>
          <w:w w:val="105"/>
          <w:sz w:val="21"/>
        </w:rPr>
        <w:t>servicios</w:t>
      </w:r>
      <w:r>
        <w:rPr>
          <w:color w:val="231F20"/>
          <w:spacing w:val="-37"/>
          <w:w w:val="105"/>
          <w:sz w:val="21"/>
        </w:rPr>
        <w:t> </w:t>
      </w:r>
      <w:r>
        <w:rPr>
          <w:color w:val="231F20"/>
          <w:w w:val="105"/>
          <w:sz w:val="21"/>
        </w:rPr>
        <w:t>en</w:t>
      </w:r>
      <w:r>
        <w:rPr>
          <w:color w:val="231F20"/>
          <w:spacing w:val="-37"/>
          <w:w w:val="105"/>
          <w:sz w:val="21"/>
        </w:rPr>
        <w:t> </w:t>
      </w:r>
      <w:r>
        <w:rPr>
          <w:color w:val="231F20"/>
          <w:w w:val="105"/>
          <w:sz w:val="21"/>
        </w:rPr>
        <w:t>la</w:t>
      </w:r>
      <w:r>
        <w:rPr>
          <w:color w:val="231F20"/>
          <w:spacing w:val="-37"/>
          <w:w w:val="105"/>
          <w:sz w:val="21"/>
        </w:rPr>
        <w:t> </w:t>
      </w:r>
      <w:r>
        <w:rPr>
          <w:color w:val="231F20"/>
          <w:spacing w:val="-3"/>
          <w:w w:val="105"/>
          <w:sz w:val="21"/>
        </w:rPr>
        <w:t>organización.</w:t>
      </w:r>
    </w:p>
    <w:p>
      <w:pPr>
        <w:pStyle w:val="ListParagraph"/>
        <w:numPr>
          <w:ilvl w:val="0"/>
          <w:numId w:val="36"/>
        </w:numPr>
        <w:tabs>
          <w:tab w:pos="1315" w:val="left" w:leader="none"/>
        </w:tabs>
        <w:spacing w:line="259" w:lineRule="auto" w:before="170" w:after="0"/>
        <w:ind w:left="1314" w:right="115" w:hanging="360"/>
        <w:jc w:val="both"/>
        <w:rPr>
          <w:sz w:val="21"/>
        </w:rPr>
      </w:pPr>
      <w:r>
        <w:rPr>
          <w:color w:val="231F20"/>
          <w:sz w:val="21"/>
        </w:rPr>
        <w:t>Resultados en los clientes (150): atención por parte de la or- ganización a las necesidades y expectativas de los destina- tarios inmediatos del servicio  </w:t>
      </w:r>
      <w:r>
        <w:rPr>
          <w:color w:val="231F20"/>
          <w:spacing w:val="14"/>
          <w:sz w:val="21"/>
        </w:rPr>
        <w:t> </w:t>
      </w:r>
      <w:r>
        <w:rPr>
          <w:color w:val="231F20"/>
          <w:sz w:val="21"/>
        </w:rPr>
        <w:t>ofrecido.</w:t>
      </w:r>
    </w:p>
    <w:p>
      <w:pPr>
        <w:pStyle w:val="ListParagraph"/>
        <w:numPr>
          <w:ilvl w:val="0"/>
          <w:numId w:val="36"/>
        </w:numPr>
        <w:tabs>
          <w:tab w:pos="1315" w:val="left" w:leader="none"/>
        </w:tabs>
        <w:spacing w:line="259" w:lineRule="auto" w:before="170" w:after="0"/>
        <w:ind w:left="1314" w:right="115" w:hanging="360"/>
        <w:jc w:val="both"/>
        <w:rPr>
          <w:sz w:val="21"/>
        </w:rPr>
      </w:pPr>
      <w:r>
        <w:rPr>
          <w:color w:val="231F20"/>
          <w:sz w:val="21"/>
        </w:rPr>
        <w:t>Resultados en la sociedad (100): este criterio </w:t>
      </w:r>
      <w:r>
        <w:rPr>
          <w:color w:val="231F20"/>
          <w:spacing w:val="-3"/>
          <w:sz w:val="21"/>
        </w:rPr>
        <w:t>pretende </w:t>
      </w:r>
      <w:r>
        <w:rPr>
          <w:color w:val="231F20"/>
          <w:sz w:val="21"/>
        </w:rPr>
        <w:t>eva- luar</w:t>
      </w:r>
      <w:r>
        <w:rPr>
          <w:color w:val="231F20"/>
          <w:spacing w:val="-8"/>
          <w:sz w:val="21"/>
        </w:rPr>
        <w:t> </w:t>
      </w:r>
      <w:r>
        <w:rPr>
          <w:color w:val="231F20"/>
          <w:sz w:val="21"/>
        </w:rPr>
        <w:t>las</w:t>
      </w:r>
      <w:r>
        <w:rPr>
          <w:color w:val="231F20"/>
          <w:spacing w:val="-8"/>
          <w:sz w:val="21"/>
        </w:rPr>
        <w:t> </w:t>
      </w:r>
      <w:r>
        <w:rPr>
          <w:color w:val="231F20"/>
          <w:sz w:val="21"/>
        </w:rPr>
        <w:t>consecuencias</w:t>
      </w:r>
      <w:r>
        <w:rPr>
          <w:color w:val="231F20"/>
          <w:spacing w:val="-8"/>
          <w:sz w:val="21"/>
        </w:rPr>
        <w:t> </w:t>
      </w:r>
      <w:r>
        <w:rPr>
          <w:color w:val="231F20"/>
          <w:spacing w:val="-3"/>
          <w:sz w:val="21"/>
        </w:rPr>
        <w:t>directas</w:t>
      </w:r>
      <w:r>
        <w:rPr>
          <w:color w:val="231F20"/>
          <w:spacing w:val="-8"/>
          <w:sz w:val="21"/>
        </w:rPr>
        <w:t> </w:t>
      </w:r>
      <w:r>
        <w:rPr>
          <w:color w:val="231F20"/>
          <w:sz w:val="21"/>
        </w:rPr>
        <w:t>e</w:t>
      </w:r>
      <w:r>
        <w:rPr>
          <w:color w:val="231F20"/>
          <w:spacing w:val="-8"/>
          <w:sz w:val="21"/>
        </w:rPr>
        <w:t> </w:t>
      </w:r>
      <w:r>
        <w:rPr>
          <w:color w:val="231F20"/>
          <w:sz w:val="21"/>
        </w:rPr>
        <w:t>inmediatas</w:t>
      </w:r>
      <w:r>
        <w:rPr>
          <w:color w:val="231F20"/>
          <w:spacing w:val="-8"/>
          <w:sz w:val="21"/>
        </w:rPr>
        <w:t> </w:t>
      </w:r>
      <w:r>
        <w:rPr>
          <w:color w:val="231F20"/>
          <w:sz w:val="21"/>
        </w:rPr>
        <w:t>de</w:t>
      </w:r>
      <w:r>
        <w:rPr>
          <w:color w:val="231F20"/>
          <w:spacing w:val="-8"/>
          <w:sz w:val="21"/>
        </w:rPr>
        <w:t> </w:t>
      </w:r>
      <w:r>
        <w:rPr>
          <w:color w:val="231F20"/>
          <w:sz w:val="21"/>
        </w:rPr>
        <w:t>las</w:t>
      </w:r>
      <w:r>
        <w:rPr>
          <w:color w:val="231F20"/>
          <w:spacing w:val="-8"/>
          <w:sz w:val="21"/>
        </w:rPr>
        <w:t> </w:t>
      </w:r>
      <w:r>
        <w:rPr>
          <w:color w:val="231F20"/>
          <w:spacing w:val="-3"/>
          <w:sz w:val="21"/>
        </w:rPr>
        <w:t>diferentes </w:t>
      </w:r>
      <w:r>
        <w:rPr>
          <w:color w:val="231F20"/>
          <w:sz w:val="21"/>
        </w:rPr>
        <w:t>actividades </w:t>
      </w:r>
      <w:r>
        <w:rPr>
          <w:color w:val="231F20"/>
          <w:spacing w:val="-3"/>
          <w:sz w:val="21"/>
        </w:rPr>
        <w:t>realizadas </w:t>
      </w:r>
      <w:r>
        <w:rPr>
          <w:color w:val="231F20"/>
          <w:sz w:val="21"/>
        </w:rPr>
        <w:t>por la </w:t>
      </w:r>
      <w:r>
        <w:rPr>
          <w:color w:val="231F20"/>
          <w:spacing w:val="-3"/>
          <w:sz w:val="21"/>
        </w:rPr>
        <w:t>organización </w:t>
      </w:r>
      <w:r>
        <w:rPr>
          <w:color w:val="231F20"/>
          <w:sz w:val="21"/>
        </w:rPr>
        <w:t>para la comunidad del entorno local y </w:t>
      </w:r>
      <w:r>
        <w:rPr>
          <w:color w:val="231F20"/>
          <w:spacing w:val="-3"/>
          <w:sz w:val="21"/>
        </w:rPr>
        <w:t>regional </w:t>
      </w:r>
      <w:r>
        <w:rPr>
          <w:color w:val="231F20"/>
          <w:sz w:val="21"/>
        </w:rPr>
        <w:t>y para la sociedad en  </w:t>
      </w:r>
      <w:r>
        <w:rPr>
          <w:color w:val="231F20"/>
          <w:spacing w:val="3"/>
          <w:sz w:val="21"/>
        </w:rPr>
        <w:t> </w:t>
      </w:r>
      <w:r>
        <w:rPr>
          <w:color w:val="231F20"/>
          <w:spacing w:val="-3"/>
          <w:sz w:val="21"/>
        </w:rPr>
        <w:t>general.</w:t>
      </w:r>
    </w:p>
    <w:p>
      <w:pPr>
        <w:pStyle w:val="ListParagraph"/>
        <w:numPr>
          <w:ilvl w:val="0"/>
          <w:numId w:val="36"/>
        </w:numPr>
        <w:tabs>
          <w:tab w:pos="1315" w:val="left" w:leader="none"/>
        </w:tabs>
        <w:spacing w:line="259" w:lineRule="auto" w:before="170" w:after="0"/>
        <w:ind w:left="1314" w:right="115" w:hanging="360"/>
        <w:jc w:val="both"/>
        <w:rPr>
          <w:sz w:val="21"/>
        </w:rPr>
      </w:pPr>
      <w:r>
        <w:rPr>
          <w:color w:val="231F20"/>
          <w:w w:val="105"/>
          <w:sz w:val="21"/>
        </w:rPr>
        <w:t>Resultados</w:t>
      </w:r>
      <w:r>
        <w:rPr>
          <w:color w:val="231F20"/>
          <w:spacing w:val="-27"/>
          <w:w w:val="105"/>
          <w:sz w:val="21"/>
        </w:rPr>
        <w:t> </w:t>
      </w:r>
      <w:r>
        <w:rPr>
          <w:color w:val="231F20"/>
          <w:w w:val="105"/>
          <w:sz w:val="21"/>
        </w:rPr>
        <w:t>clave</w:t>
      </w:r>
      <w:r>
        <w:rPr>
          <w:color w:val="231F20"/>
          <w:spacing w:val="-27"/>
          <w:w w:val="105"/>
          <w:sz w:val="21"/>
        </w:rPr>
        <w:t> </w:t>
      </w:r>
      <w:r>
        <w:rPr>
          <w:color w:val="231F20"/>
          <w:w w:val="105"/>
          <w:sz w:val="21"/>
        </w:rPr>
        <w:t>(150):</w:t>
      </w:r>
      <w:r>
        <w:rPr>
          <w:color w:val="231F20"/>
          <w:spacing w:val="-27"/>
          <w:w w:val="105"/>
          <w:sz w:val="21"/>
        </w:rPr>
        <w:t> </w:t>
      </w:r>
      <w:r>
        <w:rPr>
          <w:color w:val="231F20"/>
          <w:w w:val="105"/>
          <w:sz w:val="21"/>
        </w:rPr>
        <w:t>se</w:t>
      </w:r>
      <w:r>
        <w:rPr>
          <w:color w:val="231F20"/>
          <w:spacing w:val="-27"/>
          <w:w w:val="105"/>
          <w:sz w:val="21"/>
        </w:rPr>
        <w:t> </w:t>
      </w:r>
      <w:r>
        <w:rPr>
          <w:color w:val="231F20"/>
          <w:w w:val="105"/>
          <w:sz w:val="21"/>
        </w:rPr>
        <w:t>refiere</w:t>
      </w:r>
      <w:r>
        <w:rPr>
          <w:color w:val="231F20"/>
          <w:spacing w:val="-27"/>
          <w:w w:val="105"/>
          <w:sz w:val="21"/>
        </w:rPr>
        <w:t> </w:t>
      </w:r>
      <w:r>
        <w:rPr>
          <w:color w:val="231F20"/>
          <w:w w:val="105"/>
          <w:sz w:val="21"/>
        </w:rPr>
        <w:t>a</w:t>
      </w:r>
      <w:r>
        <w:rPr>
          <w:color w:val="231F20"/>
          <w:spacing w:val="-27"/>
          <w:w w:val="105"/>
          <w:sz w:val="21"/>
        </w:rPr>
        <w:t> </w:t>
      </w:r>
      <w:r>
        <w:rPr>
          <w:color w:val="231F20"/>
          <w:w w:val="105"/>
          <w:sz w:val="21"/>
        </w:rPr>
        <w:t>lo</w:t>
      </w:r>
      <w:r>
        <w:rPr>
          <w:color w:val="231F20"/>
          <w:spacing w:val="-27"/>
          <w:w w:val="105"/>
          <w:sz w:val="21"/>
        </w:rPr>
        <w:t> </w:t>
      </w:r>
      <w:r>
        <w:rPr>
          <w:color w:val="231F20"/>
          <w:w w:val="105"/>
          <w:sz w:val="21"/>
        </w:rPr>
        <w:t>que</w:t>
      </w:r>
      <w:r>
        <w:rPr>
          <w:color w:val="231F20"/>
          <w:spacing w:val="-27"/>
          <w:w w:val="105"/>
          <w:sz w:val="21"/>
        </w:rPr>
        <w:t> </w:t>
      </w:r>
      <w:r>
        <w:rPr>
          <w:color w:val="231F20"/>
          <w:w w:val="105"/>
          <w:sz w:val="21"/>
        </w:rPr>
        <w:t>la</w:t>
      </w:r>
      <w:r>
        <w:rPr>
          <w:color w:val="231F20"/>
          <w:spacing w:val="-27"/>
          <w:w w:val="105"/>
          <w:sz w:val="21"/>
        </w:rPr>
        <w:t> </w:t>
      </w:r>
      <w:r>
        <w:rPr>
          <w:color w:val="231F20"/>
          <w:w w:val="105"/>
          <w:sz w:val="21"/>
        </w:rPr>
        <w:t>institución</w:t>
      </w:r>
      <w:r>
        <w:rPr>
          <w:color w:val="231F20"/>
          <w:spacing w:val="-27"/>
          <w:w w:val="105"/>
          <w:sz w:val="21"/>
        </w:rPr>
        <w:t> </w:t>
      </w:r>
      <w:r>
        <w:rPr>
          <w:color w:val="231F20"/>
          <w:w w:val="105"/>
          <w:sz w:val="21"/>
        </w:rPr>
        <w:t>logra en</w:t>
      </w:r>
      <w:r>
        <w:rPr>
          <w:color w:val="231F20"/>
          <w:spacing w:val="-18"/>
          <w:w w:val="105"/>
          <w:sz w:val="21"/>
        </w:rPr>
        <w:t> </w:t>
      </w:r>
      <w:r>
        <w:rPr>
          <w:color w:val="231F20"/>
          <w:w w:val="105"/>
          <w:sz w:val="21"/>
        </w:rPr>
        <w:t>relación</w:t>
      </w:r>
      <w:r>
        <w:rPr>
          <w:color w:val="231F20"/>
          <w:spacing w:val="-18"/>
          <w:w w:val="105"/>
          <w:sz w:val="21"/>
        </w:rPr>
        <w:t> </w:t>
      </w:r>
      <w:r>
        <w:rPr>
          <w:color w:val="231F20"/>
          <w:w w:val="105"/>
          <w:sz w:val="21"/>
        </w:rPr>
        <w:t>con</w:t>
      </w:r>
      <w:r>
        <w:rPr>
          <w:color w:val="231F20"/>
          <w:spacing w:val="-18"/>
          <w:w w:val="105"/>
          <w:sz w:val="21"/>
        </w:rPr>
        <w:t> </w:t>
      </w:r>
      <w:r>
        <w:rPr>
          <w:color w:val="231F20"/>
          <w:w w:val="105"/>
          <w:sz w:val="21"/>
        </w:rPr>
        <w:t>sus</w:t>
      </w:r>
      <w:r>
        <w:rPr>
          <w:color w:val="231F20"/>
          <w:spacing w:val="-18"/>
          <w:w w:val="105"/>
          <w:sz w:val="21"/>
        </w:rPr>
        <w:t> </w:t>
      </w:r>
      <w:r>
        <w:rPr>
          <w:color w:val="231F20"/>
          <w:w w:val="105"/>
          <w:sz w:val="21"/>
        </w:rPr>
        <w:t>objetivos</w:t>
      </w:r>
      <w:r>
        <w:rPr>
          <w:color w:val="231F20"/>
          <w:spacing w:val="-18"/>
          <w:w w:val="105"/>
          <w:sz w:val="21"/>
        </w:rPr>
        <w:t> </w:t>
      </w:r>
      <w:r>
        <w:rPr>
          <w:color w:val="231F20"/>
          <w:w w:val="105"/>
          <w:sz w:val="21"/>
        </w:rPr>
        <w:t>y</w:t>
      </w:r>
      <w:r>
        <w:rPr>
          <w:color w:val="231F20"/>
          <w:spacing w:val="-18"/>
          <w:w w:val="105"/>
          <w:sz w:val="21"/>
        </w:rPr>
        <w:t> </w:t>
      </w:r>
      <w:r>
        <w:rPr>
          <w:color w:val="231F20"/>
          <w:w w:val="105"/>
          <w:sz w:val="21"/>
        </w:rPr>
        <w:t>con</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satisfacción</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las</w:t>
      </w:r>
      <w:r>
        <w:rPr>
          <w:color w:val="231F20"/>
          <w:spacing w:val="-18"/>
          <w:w w:val="105"/>
          <w:sz w:val="21"/>
        </w:rPr>
        <w:t> </w:t>
      </w:r>
      <w:r>
        <w:rPr>
          <w:color w:val="231F20"/>
          <w:w w:val="105"/>
          <w:sz w:val="21"/>
        </w:rPr>
        <w:t>ne- cesidades</w:t>
      </w:r>
      <w:r>
        <w:rPr>
          <w:color w:val="231F20"/>
          <w:spacing w:val="-9"/>
          <w:w w:val="105"/>
          <w:sz w:val="21"/>
        </w:rPr>
        <w:t> </w:t>
      </w:r>
      <w:r>
        <w:rPr>
          <w:color w:val="231F20"/>
          <w:w w:val="105"/>
          <w:sz w:val="21"/>
        </w:rPr>
        <w:t>y</w:t>
      </w:r>
      <w:r>
        <w:rPr>
          <w:color w:val="231F20"/>
          <w:spacing w:val="-9"/>
          <w:w w:val="105"/>
          <w:sz w:val="21"/>
        </w:rPr>
        <w:t> </w:t>
      </w:r>
      <w:r>
        <w:rPr>
          <w:color w:val="231F20"/>
          <w:w w:val="105"/>
          <w:sz w:val="21"/>
        </w:rPr>
        <w:t>expectativas</w:t>
      </w:r>
      <w:r>
        <w:rPr>
          <w:color w:val="231F20"/>
          <w:spacing w:val="-9"/>
          <w:w w:val="105"/>
          <w:sz w:val="21"/>
        </w:rPr>
        <w:t> </w:t>
      </w:r>
      <w:r>
        <w:rPr>
          <w:color w:val="231F20"/>
          <w:w w:val="105"/>
          <w:sz w:val="21"/>
        </w:rPr>
        <w:t>de</w:t>
      </w:r>
      <w:r>
        <w:rPr>
          <w:color w:val="231F20"/>
          <w:spacing w:val="-9"/>
          <w:w w:val="105"/>
          <w:sz w:val="21"/>
        </w:rPr>
        <w:t> </w:t>
      </w:r>
      <w:r>
        <w:rPr>
          <w:color w:val="231F20"/>
          <w:w w:val="105"/>
          <w:sz w:val="21"/>
        </w:rPr>
        <w:t>aquellos</w:t>
      </w:r>
      <w:r>
        <w:rPr>
          <w:color w:val="231F20"/>
          <w:spacing w:val="-9"/>
          <w:w w:val="105"/>
          <w:sz w:val="21"/>
        </w:rPr>
        <w:t> </w:t>
      </w:r>
      <w:r>
        <w:rPr>
          <w:color w:val="231F20"/>
          <w:w w:val="105"/>
          <w:sz w:val="21"/>
        </w:rPr>
        <w:t>que</w:t>
      </w:r>
      <w:r>
        <w:rPr>
          <w:color w:val="231F20"/>
          <w:spacing w:val="-9"/>
          <w:w w:val="105"/>
          <w:sz w:val="21"/>
        </w:rPr>
        <w:t> </w:t>
      </w:r>
      <w:r>
        <w:rPr>
          <w:color w:val="231F20"/>
          <w:w w:val="105"/>
          <w:sz w:val="21"/>
        </w:rPr>
        <w:t>tengan</w:t>
      </w:r>
      <w:r>
        <w:rPr>
          <w:color w:val="231F20"/>
          <w:spacing w:val="-9"/>
          <w:w w:val="105"/>
          <w:sz w:val="21"/>
        </w:rPr>
        <w:t> </w:t>
      </w:r>
      <w:r>
        <w:rPr>
          <w:color w:val="231F20"/>
          <w:w w:val="105"/>
          <w:sz w:val="21"/>
        </w:rPr>
        <w:t>intereses en</w:t>
      </w:r>
      <w:r>
        <w:rPr>
          <w:color w:val="231F20"/>
          <w:spacing w:val="-15"/>
          <w:w w:val="105"/>
          <w:sz w:val="21"/>
        </w:rPr>
        <w:t> </w:t>
      </w:r>
      <w:r>
        <w:rPr>
          <w:color w:val="231F20"/>
          <w:w w:val="105"/>
          <w:sz w:val="21"/>
        </w:rPr>
        <w:t>él,</w:t>
      </w:r>
      <w:r>
        <w:rPr>
          <w:color w:val="231F20"/>
          <w:spacing w:val="-20"/>
          <w:w w:val="105"/>
          <w:sz w:val="21"/>
        </w:rPr>
        <w:t> </w:t>
      </w:r>
      <w:r>
        <w:rPr>
          <w:color w:val="231F20"/>
          <w:w w:val="105"/>
          <w:sz w:val="21"/>
        </w:rPr>
        <w:t>así</w:t>
      </w:r>
      <w:r>
        <w:rPr>
          <w:color w:val="231F20"/>
          <w:spacing w:val="-15"/>
          <w:w w:val="105"/>
          <w:sz w:val="21"/>
        </w:rPr>
        <w:t> </w:t>
      </w:r>
      <w:r>
        <w:rPr>
          <w:color w:val="231F20"/>
          <w:w w:val="105"/>
          <w:sz w:val="21"/>
        </w:rPr>
        <w:t>como</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mejora</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su</w:t>
      </w:r>
      <w:r>
        <w:rPr>
          <w:color w:val="231F20"/>
          <w:spacing w:val="-15"/>
          <w:w w:val="105"/>
          <w:sz w:val="21"/>
        </w:rPr>
        <w:t> </w:t>
      </w:r>
      <w:r>
        <w:rPr>
          <w:color w:val="231F20"/>
          <w:w w:val="105"/>
          <w:sz w:val="21"/>
        </w:rPr>
        <w:t>organización.</w:t>
      </w:r>
      <w:r>
        <w:rPr>
          <w:color w:val="231F20"/>
          <w:spacing w:val="-20"/>
          <w:w w:val="105"/>
          <w:sz w:val="21"/>
        </w:rPr>
        <w:t> </w:t>
      </w:r>
      <w:r>
        <w:rPr>
          <w:color w:val="231F20"/>
          <w:w w:val="105"/>
          <w:sz w:val="21"/>
        </w:rPr>
        <w:t>Supone</w:t>
      </w:r>
      <w:r>
        <w:rPr>
          <w:color w:val="231F20"/>
          <w:spacing w:val="-15"/>
          <w:w w:val="105"/>
          <w:sz w:val="21"/>
        </w:rPr>
        <w:t> </w:t>
      </w:r>
      <w:r>
        <w:rPr>
          <w:color w:val="231F20"/>
          <w:w w:val="105"/>
          <w:sz w:val="21"/>
        </w:rPr>
        <w:t>anali- zar</w:t>
      </w:r>
      <w:r>
        <w:rPr>
          <w:color w:val="231F20"/>
          <w:spacing w:val="-17"/>
          <w:w w:val="105"/>
          <w:sz w:val="21"/>
        </w:rPr>
        <w:t> </w:t>
      </w:r>
      <w:r>
        <w:rPr>
          <w:color w:val="231F20"/>
          <w:w w:val="105"/>
          <w:sz w:val="21"/>
        </w:rPr>
        <w:t>los</w:t>
      </w:r>
      <w:r>
        <w:rPr>
          <w:color w:val="231F20"/>
          <w:spacing w:val="-17"/>
          <w:w w:val="105"/>
          <w:sz w:val="21"/>
        </w:rPr>
        <w:t> </w:t>
      </w:r>
      <w:r>
        <w:rPr>
          <w:color w:val="231F20"/>
          <w:w w:val="105"/>
          <w:sz w:val="21"/>
        </w:rPr>
        <w:t>resultados</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actividad</w:t>
      </w:r>
      <w:r>
        <w:rPr>
          <w:color w:val="231F20"/>
          <w:spacing w:val="-17"/>
          <w:w w:val="105"/>
          <w:sz w:val="21"/>
        </w:rPr>
        <w:t> </w:t>
      </w:r>
      <w:r>
        <w:rPr>
          <w:color w:val="231F20"/>
          <w:w w:val="105"/>
          <w:sz w:val="21"/>
        </w:rPr>
        <w:t>que</w:t>
      </w:r>
      <w:r>
        <w:rPr>
          <w:color w:val="231F20"/>
          <w:spacing w:val="-17"/>
          <w:w w:val="105"/>
          <w:sz w:val="21"/>
        </w:rPr>
        <w:t> </w:t>
      </w:r>
      <w:r>
        <w:rPr>
          <w:color w:val="231F20"/>
          <w:w w:val="105"/>
          <w:sz w:val="21"/>
        </w:rPr>
        <w:t>presta</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organización y</w:t>
      </w:r>
      <w:r>
        <w:rPr>
          <w:color w:val="231F20"/>
          <w:spacing w:val="-24"/>
          <w:w w:val="105"/>
          <w:sz w:val="21"/>
        </w:rPr>
        <w:t> </w:t>
      </w:r>
      <w:r>
        <w:rPr>
          <w:color w:val="231F20"/>
          <w:w w:val="105"/>
          <w:sz w:val="21"/>
        </w:rPr>
        <w:t>que</w:t>
      </w:r>
      <w:r>
        <w:rPr>
          <w:color w:val="231F20"/>
          <w:spacing w:val="-24"/>
          <w:w w:val="105"/>
          <w:sz w:val="21"/>
        </w:rPr>
        <w:t> </w:t>
      </w:r>
      <w:r>
        <w:rPr>
          <w:color w:val="231F20"/>
          <w:w w:val="105"/>
          <w:sz w:val="21"/>
        </w:rPr>
        <w:t>son</w:t>
      </w:r>
      <w:r>
        <w:rPr>
          <w:color w:val="231F20"/>
          <w:spacing w:val="-24"/>
          <w:w w:val="105"/>
          <w:sz w:val="21"/>
        </w:rPr>
        <w:t> </w:t>
      </w:r>
      <w:r>
        <w:rPr>
          <w:color w:val="231F20"/>
          <w:w w:val="105"/>
          <w:sz w:val="21"/>
        </w:rPr>
        <w:t>considerados</w:t>
      </w:r>
      <w:r>
        <w:rPr>
          <w:color w:val="231F20"/>
          <w:spacing w:val="-24"/>
          <w:w w:val="105"/>
          <w:sz w:val="21"/>
        </w:rPr>
        <w:t> </w:t>
      </w:r>
      <w:r>
        <w:rPr>
          <w:color w:val="231F20"/>
          <w:w w:val="105"/>
          <w:sz w:val="21"/>
        </w:rPr>
        <w:t>más</w:t>
      </w:r>
      <w:r>
        <w:rPr>
          <w:color w:val="231F20"/>
          <w:spacing w:val="-24"/>
          <w:w w:val="105"/>
          <w:sz w:val="21"/>
        </w:rPr>
        <w:t> </w:t>
      </w:r>
      <w:r>
        <w:rPr>
          <w:color w:val="231F20"/>
          <w:w w:val="105"/>
          <w:sz w:val="21"/>
        </w:rPr>
        <w:t>significativos,</w:t>
      </w:r>
      <w:r>
        <w:rPr>
          <w:color w:val="231F20"/>
          <w:spacing w:val="-29"/>
          <w:w w:val="105"/>
          <w:sz w:val="21"/>
        </w:rPr>
        <w:t> </w:t>
      </w:r>
      <w:r>
        <w:rPr>
          <w:color w:val="231F20"/>
          <w:w w:val="105"/>
          <w:sz w:val="21"/>
        </w:rPr>
        <w:t>lo</w:t>
      </w:r>
      <w:r>
        <w:rPr>
          <w:color w:val="231F20"/>
          <w:spacing w:val="-24"/>
          <w:w w:val="105"/>
          <w:sz w:val="21"/>
        </w:rPr>
        <w:t> </w:t>
      </w:r>
      <w:r>
        <w:rPr>
          <w:color w:val="231F20"/>
          <w:w w:val="105"/>
          <w:sz w:val="21"/>
        </w:rPr>
        <w:t>que</w:t>
      </w:r>
      <w:r>
        <w:rPr>
          <w:color w:val="231F20"/>
          <w:spacing w:val="-24"/>
          <w:w w:val="105"/>
          <w:sz w:val="21"/>
        </w:rPr>
        <w:t> </w:t>
      </w:r>
      <w:r>
        <w:rPr>
          <w:color w:val="231F20"/>
          <w:w w:val="105"/>
          <w:sz w:val="21"/>
        </w:rPr>
        <w:t>incluye</w:t>
      </w:r>
      <w:r>
        <w:rPr>
          <w:color w:val="231F20"/>
          <w:spacing w:val="-24"/>
          <w:w w:val="105"/>
          <w:sz w:val="21"/>
        </w:rPr>
        <w:t> </w:t>
      </w:r>
      <w:r>
        <w:rPr>
          <w:color w:val="231F20"/>
          <w:w w:val="105"/>
          <w:sz w:val="21"/>
        </w:rPr>
        <w:t>re- sultados</w:t>
      </w:r>
      <w:r>
        <w:rPr>
          <w:color w:val="231F20"/>
          <w:spacing w:val="-43"/>
          <w:w w:val="105"/>
          <w:sz w:val="21"/>
        </w:rPr>
        <w:t> </w:t>
      </w:r>
      <w:r>
        <w:rPr>
          <w:color w:val="231F20"/>
          <w:w w:val="105"/>
          <w:sz w:val="21"/>
        </w:rPr>
        <w:t>económicos.</w:t>
      </w:r>
    </w:p>
    <w:p>
      <w:pPr>
        <w:pStyle w:val="BodyText"/>
        <w:rPr>
          <w:sz w:val="20"/>
        </w:rPr>
      </w:pPr>
    </w:p>
    <w:p>
      <w:pPr>
        <w:pStyle w:val="BodyText"/>
        <w:spacing w:before="4"/>
        <w:rPr>
          <w:sz w:val="17"/>
        </w:rPr>
      </w:pPr>
    </w:p>
    <w:p>
      <w:pPr>
        <w:pStyle w:val="BodyText"/>
        <w:spacing w:line="259" w:lineRule="auto"/>
        <w:ind w:left="103" w:right="110"/>
        <w:jc w:val="both"/>
      </w:pPr>
      <w:r>
        <w:rPr>
          <w:color w:val="231F20"/>
          <w:spacing w:val="-4"/>
          <w:w w:val="105"/>
        </w:rPr>
        <w:t>Teóricamente,</w:t>
      </w:r>
      <w:r>
        <w:rPr>
          <w:color w:val="231F20"/>
          <w:spacing w:val="-26"/>
          <w:w w:val="105"/>
        </w:rPr>
        <w:t> </w:t>
      </w:r>
      <w:r>
        <w:rPr>
          <w:color w:val="231F20"/>
          <w:w w:val="105"/>
        </w:rPr>
        <w:t>el</w:t>
      </w:r>
      <w:r>
        <w:rPr>
          <w:color w:val="231F20"/>
          <w:spacing w:val="-20"/>
          <w:w w:val="105"/>
        </w:rPr>
        <w:t> </w:t>
      </w:r>
      <w:r>
        <w:rPr>
          <w:color w:val="231F20"/>
          <w:w w:val="105"/>
        </w:rPr>
        <w:t>modelo</w:t>
      </w:r>
      <w:r>
        <w:rPr>
          <w:color w:val="231F20"/>
          <w:spacing w:val="-20"/>
          <w:w w:val="105"/>
        </w:rPr>
        <w:t> </w:t>
      </w:r>
      <w:r>
        <w:rPr>
          <w:color w:val="231F20"/>
          <w:w w:val="105"/>
        </w:rPr>
        <w:t>asume</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spacing w:val="-3"/>
          <w:w w:val="105"/>
        </w:rPr>
        <w:t>organización</w:t>
      </w:r>
      <w:r>
        <w:rPr>
          <w:color w:val="231F20"/>
          <w:spacing w:val="-20"/>
          <w:w w:val="105"/>
        </w:rPr>
        <w:t> </w:t>
      </w:r>
      <w:r>
        <w:rPr>
          <w:color w:val="231F20"/>
          <w:w w:val="105"/>
        </w:rPr>
        <w:t>obtiene</w:t>
      </w:r>
      <w:r>
        <w:rPr>
          <w:color w:val="231F20"/>
          <w:spacing w:val="-20"/>
          <w:w w:val="105"/>
        </w:rPr>
        <w:t> </w:t>
      </w:r>
      <w:r>
        <w:rPr>
          <w:color w:val="231F20"/>
          <w:spacing w:val="-3"/>
          <w:w w:val="105"/>
        </w:rPr>
        <w:t>resultados</w:t>
      </w:r>
      <w:r>
        <w:rPr>
          <w:color w:val="231F20"/>
          <w:spacing w:val="-20"/>
          <w:w w:val="105"/>
        </w:rPr>
        <w:t> </w:t>
      </w:r>
      <w:r>
        <w:rPr>
          <w:color w:val="231F20"/>
          <w:w w:val="105"/>
        </w:rPr>
        <w:t>a </w:t>
      </w:r>
      <w:r>
        <w:rPr>
          <w:color w:val="231F20"/>
          <w:spacing w:val="-2"/>
          <w:w w:val="105"/>
        </w:rPr>
        <w:t>través</w:t>
      </w:r>
      <w:r>
        <w:rPr>
          <w:color w:val="231F20"/>
          <w:spacing w:val="-39"/>
          <w:w w:val="105"/>
        </w:rPr>
        <w:t> </w:t>
      </w:r>
      <w:r>
        <w:rPr>
          <w:color w:val="231F20"/>
          <w:w w:val="105"/>
        </w:rPr>
        <w:t>del</w:t>
      </w:r>
      <w:r>
        <w:rPr>
          <w:color w:val="231F20"/>
          <w:spacing w:val="-39"/>
          <w:w w:val="105"/>
        </w:rPr>
        <w:t> </w:t>
      </w:r>
      <w:r>
        <w:rPr>
          <w:color w:val="231F20"/>
          <w:w w:val="105"/>
        </w:rPr>
        <w:t>comportamiento</w:t>
      </w:r>
      <w:r>
        <w:rPr>
          <w:color w:val="231F20"/>
          <w:spacing w:val="-39"/>
          <w:w w:val="105"/>
        </w:rPr>
        <w:t> </w:t>
      </w:r>
      <w:r>
        <w:rPr>
          <w:color w:val="231F20"/>
          <w:w w:val="105"/>
        </w:rPr>
        <w:t>de</w:t>
      </w:r>
      <w:r>
        <w:rPr>
          <w:color w:val="231F20"/>
          <w:spacing w:val="-39"/>
          <w:w w:val="105"/>
        </w:rPr>
        <w:t> </w:t>
      </w:r>
      <w:r>
        <w:rPr>
          <w:color w:val="231F20"/>
          <w:w w:val="105"/>
        </w:rPr>
        <w:t>sus</w:t>
      </w:r>
      <w:r>
        <w:rPr>
          <w:color w:val="231F20"/>
          <w:spacing w:val="-39"/>
          <w:w w:val="105"/>
        </w:rPr>
        <w:t> </w:t>
      </w:r>
      <w:r>
        <w:rPr>
          <w:color w:val="231F20"/>
          <w:w w:val="105"/>
        </w:rPr>
        <w:t>agentes</w:t>
      </w:r>
      <w:r>
        <w:rPr>
          <w:color w:val="231F20"/>
          <w:spacing w:val="-39"/>
          <w:w w:val="105"/>
        </w:rPr>
        <w:t> </w:t>
      </w:r>
      <w:r>
        <w:rPr>
          <w:color w:val="231F20"/>
          <w:w w:val="105"/>
        </w:rPr>
        <w:t>y</w:t>
      </w:r>
      <w:r>
        <w:rPr>
          <w:color w:val="231F20"/>
          <w:spacing w:val="-39"/>
          <w:w w:val="105"/>
        </w:rPr>
        <w:t> </w:t>
      </w:r>
      <w:r>
        <w:rPr>
          <w:color w:val="231F20"/>
          <w:w w:val="105"/>
        </w:rPr>
        <w:t>que</w:t>
      </w:r>
      <w:r>
        <w:rPr>
          <w:color w:val="231F20"/>
          <w:spacing w:val="-39"/>
          <w:w w:val="105"/>
        </w:rPr>
        <w:t> </w:t>
      </w:r>
      <w:r>
        <w:rPr>
          <w:color w:val="231F20"/>
          <w:w w:val="105"/>
        </w:rPr>
        <w:t>existe</w:t>
      </w:r>
      <w:r>
        <w:rPr>
          <w:color w:val="231F20"/>
          <w:spacing w:val="-39"/>
          <w:w w:val="105"/>
        </w:rPr>
        <w:t> </w:t>
      </w:r>
      <w:r>
        <w:rPr>
          <w:color w:val="231F20"/>
          <w:w w:val="105"/>
        </w:rPr>
        <w:t>una</w:t>
      </w:r>
      <w:r>
        <w:rPr>
          <w:color w:val="231F20"/>
          <w:spacing w:val="-39"/>
          <w:w w:val="105"/>
        </w:rPr>
        <w:t> </w:t>
      </w:r>
      <w:r>
        <w:rPr>
          <w:color w:val="231F20"/>
          <w:spacing w:val="-3"/>
          <w:w w:val="105"/>
        </w:rPr>
        <w:t>relación</w:t>
      </w:r>
      <w:r>
        <w:rPr>
          <w:color w:val="231F20"/>
          <w:spacing w:val="-39"/>
          <w:w w:val="105"/>
        </w:rPr>
        <w:t> </w:t>
      </w:r>
      <w:r>
        <w:rPr>
          <w:color w:val="231F20"/>
          <w:spacing w:val="-2"/>
          <w:w w:val="105"/>
        </w:rPr>
        <w:t>causal </w:t>
      </w:r>
      <w:r>
        <w:rPr>
          <w:color w:val="231F20"/>
          <w:w w:val="105"/>
        </w:rPr>
        <w:t>con</w:t>
      </w:r>
      <w:r>
        <w:rPr>
          <w:color w:val="231F20"/>
          <w:spacing w:val="-18"/>
          <w:w w:val="105"/>
        </w:rPr>
        <w:t> </w:t>
      </w:r>
      <w:r>
        <w:rPr>
          <w:color w:val="231F20"/>
          <w:w w:val="105"/>
        </w:rPr>
        <w:t>éstos,</w:t>
      </w:r>
      <w:r>
        <w:rPr>
          <w:color w:val="231F20"/>
          <w:spacing w:val="-22"/>
          <w:w w:val="105"/>
        </w:rPr>
        <w:t> </w:t>
      </w:r>
      <w:r>
        <w:rPr>
          <w:color w:val="231F20"/>
          <w:w w:val="105"/>
        </w:rPr>
        <w:t>lo</w:t>
      </w:r>
      <w:r>
        <w:rPr>
          <w:color w:val="231F20"/>
          <w:spacing w:val="-18"/>
          <w:w w:val="105"/>
        </w:rPr>
        <w:t> </w:t>
      </w:r>
      <w:r>
        <w:rPr>
          <w:color w:val="231F20"/>
          <w:w w:val="105"/>
        </w:rPr>
        <w:t>cual</w:t>
      </w:r>
      <w:r>
        <w:rPr>
          <w:color w:val="231F20"/>
          <w:spacing w:val="-18"/>
          <w:w w:val="105"/>
        </w:rPr>
        <w:t> </w:t>
      </w:r>
      <w:r>
        <w:rPr>
          <w:color w:val="231F20"/>
          <w:w w:val="105"/>
        </w:rPr>
        <w:t>es</w:t>
      </w:r>
      <w:r>
        <w:rPr>
          <w:color w:val="231F20"/>
          <w:spacing w:val="-18"/>
          <w:w w:val="105"/>
        </w:rPr>
        <w:t> </w:t>
      </w:r>
      <w:r>
        <w:rPr>
          <w:color w:val="231F20"/>
          <w:w w:val="105"/>
        </w:rPr>
        <w:t>coincidente</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w w:val="105"/>
        </w:rPr>
        <w:t>supuestos</w:t>
      </w:r>
      <w:r>
        <w:rPr>
          <w:color w:val="231F20"/>
          <w:spacing w:val="-18"/>
          <w:w w:val="105"/>
        </w:rPr>
        <w:t> </w:t>
      </w:r>
      <w:r>
        <w:rPr>
          <w:color w:val="231F20"/>
          <w:w w:val="105"/>
        </w:rPr>
        <w:t>teóricos</w:t>
      </w:r>
      <w:r>
        <w:rPr>
          <w:color w:val="231F20"/>
          <w:spacing w:val="-18"/>
          <w:w w:val="105"/>
        </w:rPr>
        <w:t> </w:t>
      </w:r>
      <w:r>
        <w:rPr>
          <w:color w:val="231F20"/>
          <w:w w:val="105"/>
        </w:rPr>
        <w:t>ya</w:t>
      </w:r>
      <w:r>
        <w:rPr>
          <w:color w:val="231F20"/>
          <w:spacing w:val="-18"/>
          <w:w w:val="105"/>
        </w:rPr>
        <w:t> </w:t>
      </w:r>
      <w:r>
        <w:rPr>
          <w:color w:val="231F20"/>
          <w:spacing w:val="-3"/>
          <w:w w:val="105"/>
        </w:rPr>
        <w:t>referidos,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sentido</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una</w:t>
      </w:r>
      <w:r>
        <w:rPr>
          <w:color w:val="231F20"/>
          <w:spacing w:val="-9"/>
          <w:w w:val="105"/>
        </w:rPr>
        <w:t> </w:t>
      </w:r>
      <w:r>
        <w:rPr>
          <w:color w:val="231F20"/>
          <w:spacing w:val="-3"/>
          <w:w w:val="105"/>
        </w:rPr>
        <w:t>organización</w:t>
      </w:r>
      <w:r>
        <w:rPr>
          <w:color w:val="231F20"/>
          <w:spacing w:val="-9"/>
          <w:w w:val="105"/>
        </w:rPr>
        <w:t> </w:t>
      </w:r>
      <w:r>
        <w:rPr>
          <w:color w:val="231F20"/>
          <w:w w:val="105"/>
        </w:rPr>
        <w:t>logra</w:t>
      </w:r>
      <w:r>
        <w:rPr>
          <w:color w:val="231F20"/>
          <w:spacing w:val="-9"/>
          <w:w w:val="105"/>
        </w:rPr>
        <w:t> </w:t>
      </w:r>
      <w:r>
        <w:rPr>
          <w:color w:val="231F20"/>
          <w:w w:val="105"/>
        </w:rPr>
        <w:t>obtener</w:t>
      </w:r>
      <w:r>
        <w:rPr>
          <w:color w:val="231F20"/>
          <w:spacing w:val="-9"/>
          <w:w w:val="105"/>
        </w:rPr>
        <w:t> </w:t>
      </w:r>
      <w:r>
        <w:rPr>
          <w:color w:val="231F20"/>
          <w:w w:val="105"/>
        </w:rPr>
        <w:t>ventajas</w:t>
      </w:r>
      <w:r>
        <w:rPr>
          <w:color w:val="231F20"/>
          <w:spacing w:val="-9"/>
          <w:w w:val="105"/>
        </w:rPr>
        <w:t> </w:t>
      </w:r>
      <w:r>
        <w:rPr>
          <w:color w:val="231F20"/>
          <w:w w:val="105"/>
        </w:rPr>
        <w:t>competiti-</w:t>
      </w:r>
    </w:p>
    <w:p>
      <w:pPr>
        <w:pStyle w:val="BodyText"/>
        <w:rPr>
          <w:sz w:val="20"/>
        </w:rPr>
      </w:pPr>
    </w:p>
    <w:p>
      <w:pPr>
        <w:pStyle w:val="BodyText"/>
        <w:rPr>
          <w:sz w:val="20"/>
        </w:rPr>
      </w:pPr>
    </w:p>
    <w:p>
      <w:pPr>
        <w:pStyle w:val="BodyText"/>
        <w:rPr>
          <w:sz w:val="20"/>
        </w:rPr>
      </w:pPr>
    </w:p>
    <w:p>
      <w:pPr>
        <w:pStyle w:val="BodyText"/>
        <w:spacing w:before="5"/>
        <w:rPr>
          <w:sz w:val="29"/>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402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102</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4000"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103</w:t>
      </w:r>
    </w:p>
    <w:p>
      <w:pPr>
        <w:pStyle w:val="BodyText"/>
        <w:rPr>
          <w:sz w:val="20"/>
        </w:rPr>
      </w:pPr>
    </w:p>
    <w:p>
      <w:pPr>
        <w:pStyle w:val="BodyText"/>
        <w:rPr>
          <w:sz w:val="20"/>
        </w:rPr>
      </w:pPr>
    </w:p>
    <w:p>
      <w:pPr>
        <w:pStyle w:val="BodyText"/>
        <w:spacing w:line="259" w:lineRule="auto" w:before="134"/>
        <w:ind w:left="117" w:right="114"/>
      </w:pPr>
      <w:r>
        <w:rPr>
          <w:color w:val="231F20"/>
          <w:w w:val="105"/>
        </w:rPr>
        <w:t>vas</w:t>
      </w:r>
      <w:r>
        <w:rPr>
          <w:color w:val="231F20"/>
          <w:spacing w:val="-29"/>
          <w:w w:val="105"/>
        </w:rPr>
        <w:t> </w:t>
      </w:r>
      <w:r>
        <w:rPr>
          <w:color w:val="231F20"/>
          <w:w w:val="105"/>
        </w:rPr>
        <w:t>sostenibles</w:t>
      </w:r>
      <w:r>
        <w:rPr>
          <w:color w:val="231F20"/>
          <w:spacing w:val="-29"/>
          <w:w w:val="105"/>
        </w:rPr>
        <w:t> </w:t>
      </w:r>
      <w:r>
        <w:rPr>
          <w:color w:val="231F20"/>
          <w:spacing w:val="-3"/>
          <w:w w:val="105"/>
        </w:rPr>
        <w:t>(resultados</w:t>
      </w:r>
      <w:r>
        <w:rPr>
          <w:color w:val="231F20"/>
          <w:spacing w:val="-29"/>
          <w:w w:val="105"/>
        </w:rPr>
        <w:t> </w:t>
      </w:r>
      <w:r>
        <w:rPr>
          <w:color w:val="231F20"/>
          <w:w w:val="105"/>
        </w:rPr>
        <w:t>del</w:t>
      </w:r>
      <w:r>
        <w:rPr>
          <w:color w:val="231F20"/>
          <w:spacing w:val="-29"/>
          <w:w w:val="105"/>
        </w:rPr>
        <w:t> </w:t>
      </w:r>
      <w:r>
        <w:rPr>
          <w:color w:val="231F20"/>
          <w:w w:val="105"/>
        </w:rPr>
        <w:t>modelo</w:t>
      </w:r>
      <w:r>
        <w:rPr>
          <w:color w:val="231F20"/>
          <w:spacing w:val="-29"/>
          <w:w w:val="105"/>
        </w:rPr>
        <w:t> </w:t>
      </w:r>
      <w:r>
        <w:rPr>
          <w:color w:val="231F20"/>
          <w:w w:val="105"/>
        </w:rPr>
        <w:t>EFQM)</w:t>
      </w:r>
      <w:r>
        <w:rPr>
          <w:color w:val="231F20"/>
          <w:spacing w:val="-29"/>
          <w:w w:val="105"/>
        </w:rPr>
        <w:t> </w:t>
      </w:r>
      <w:r>
        <w:rPr>
          <w:color w:val="231F20"/>
          <w:w w:val="105"/>
        </w:rPr>
        <w:t>por</w:t>
      </w:r>
      <w:r>
        <w:rPr>
          <w:color w:val="231F20"/>
          <w:spacing w:val="-29"/>
          <w:w w:val="105"/>
        </w:rPr>
        <w:t> </w:t>
      </w:r>
      <w:r>
        <w:rPr>
          <w:color w:val="231F20"/>
          <w:w w:val="105"/>
        </w:rPr>
        <w:t>medio</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aspectos distintivos</w:t>
      </w:r>
      <w:r>
        <w:rPr>
          <w:color w:val="231F20"/>
          <w:spacing w:val="-26"/>
          <w:w w:val="105"/>
        </w:rPr>
        <w:t> </w:t>
      </w:r>
      <w:r>
        <w:rPr>
          <w:color w:val="231F20"/>
          <w:w w:val="105"/>
        </w:rPr>
        <w:t>internos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organización</w:t>
      </w:r>
      <w:r>
        <w:rPr>
          <w:color w:val="231F20"/>
          <w:spacing w:val="-26"/>
          <w:w w:val="105"/>
        </w:rPr>
        <w:t> </w:t>
      </w:r>
      <w:r>
        <w:rPr>
          <w:color w:val="231F20"/>
          <w:w w:val="105"/>
        </w:rPr>
        <w:t>(agentes</w:t>
      </w:r>
      <w:r>
        <w:rPr>
          <w:color w:val="231F20"/>
          <w:spacing w:val="-26"/>
          <w:w w:val="105"/>
        </w:rPr>
        <w:t> </w:t>
      </w:r>
      <w:r>
        <w:rPr>
          <w:color w:val="231F20"/>
          <w:w w:val="105"/>
        </w:rPr>
        <w:t>del</w:t>
      </w:r>
      <w:r>
        <w:rPr>
          <w:color w:val="231F20"/>
          <w:spacing w:val="-26"/>
          <w:w w:val="105"/>
        </w:rPr>
        <w:t> </w:t>
      </w:r>
      <w:r>
        <w:rPr>
          <w:color w:val="231F20"/>
          <w:w w:val="105"/>
        </w:rPr>
        <w:t>modelo</w:t>
      </w:r>
      <w:r>
        <w:rPr>
          <w:color w:val="231F20"/>
          <w:spacing w:val="-26"/>
          <w:w w:val="105"/>
        </w:rPr>
        <w:t> </w:t>
      </w:r>
      <w:r>
        <w:rPr>
          <w:color w:val="231F20"/>
          <w:spacing w:val="-2"/>
          <w:w w:val="105"/>
        </w:rPr>
        <w:t>EFQM).</w:t>
      </w:r>
    </w:p>
    <w:p>
      <w:pPr>
        <w:pStyle w:val="BodyText"/>
        <w:spacing w:line="259" w:lineRule="auto"/>
        <w:ind w:left="117" w:right="115" w:firstLine="567"/>
        <w:jc w:val="both"/>
      </w:pPr>
      <w:r>
        <w:rPr>
          <w:color w:val="231F20"/>
          <w:w w:val="105"/>
        </w:rPr>
        <w:t>Empíricamente</w:t>
      </w:r>
      <w:r>
        <w:rPr>
          <w:color w:val="231F20"/>
          <w:spacing w:val="-23"/>
          <w:w w:val="105"/>
        </w:rPr>
        <w:t> </w:t>
      </w:r>
      <w:r>
        <w:rPr>
          <w:color w:val="231F20"/>
          <w:w w:val="105"/>
        </w:rPr>
        <w:t>este</w:t>
      </w:r>
      <w:r>
        <w:rPr>
          <w:color w:val="231F20"/>
          <w:spacing w:val="-23"/>
          <w:w w:val="105"/>
        </w:rPr>
        <w:t> </w:t>
      </w:r>
      <w:r>
        <w:rPr>
          <w:color w:val="231F20"/>
          <w:w w:val="105"/>
        </w:rPr>
        <w:t>modelo,</w:t>
      </w:r>
      <w:r>
        <w:rPr>
          <w:color w:val="231F20"/>
          <w:spacing w:val="-27"/>
          <w:w w:val="105"/>
        </w:rPr>
        <w:t> </w:t>
      </w:r>
      <w:r>
        <w:rPr>
          <w:color w:val="231F20"/>
          <w:w w:val="105"/>
        </w:rPr>
        <w:t>en</w:t>
      </w:r>
      <w:r>
        <w:rPr>
          <w:color w:val="231F20"/>
          <w:spacing w:val="-23"/>
          <w:w w:val="105"/>
        </w:rPr>
        <w:t> </w:t>
      </w:r>
      <w:r>
        <w:rPr>
          <w:color w:val="231F20"/>
          <w:w w:val="105"/>
        </w:rPr>
        <w:t>sus</w:t>
      </w:r>
      <w:r>
        <w:rPr>
          <w:color w:val="231F20"/>
          <w:spacing w:val="-23"/>
          <w:w w:val="105"/>
        </w:rPr>
        <w:t> </w:t>
      </w:r>
      <w:r>
        <w:rPr>
          <w:color w:val="231F20"/>
          <w:w w:val="105"/>
        </w:rPr>
        <w:t>inicios,</w:t>
      </w:r>
      <w:r>
        <w:rPr>
          <w:color w:val="231F20"/>
          <w:spacing w:val="-27"/>
          <w:w w:val="105"/>
        </w:rPr>
        <w:t> </w:t>
      </w:r>
      <w:r>
        <w:rPr>
          <w:color w:val="231F20"/>
          <w:w w:val="105"/>
        </w:rPr>
        <w:t>fue</w:t>
      </w:r>
      <w:r>
        <w:rPr>
          <w:color w:val="231F20"/>
          <w:spacing w:val="-23"/>
          <w:w w:val="105"/>
        </w:rPr>
        <w:t> </w:t>
      </w:r>
      <w:r>
        <w:rPr>
          <w:color w:val="231F20"/>
          <w:w w:val="105"/>
        </w:rPr>
        <w:t>utilizado</w:t>
      </w:r>
      <w:r>
        <w:rPr>
          <w:color w:val="231F20"/>
          <w:spacing w:val="-23"/>
          <w:w w:val="105"/>
        </w:rPr>
        <w:t> </w:t>
      </w:r>
      <w:r>
        <w:rPr>
          <w:color w:val="231F20"/>
          <w:w w:val="105"/>
        </w:rPr>
        <w:t>exclusiva- mente</w:t>
      </w:r>
      <w:r>
        <w:rPr>
          <w:color w:val="231F20"/>
          <w:spacing w:val="-21"/>
          <w:w w:val="105"/>
        </w:rPr>
        <w:t> </w:t>
      </w:r>
      <w:r>
        <w:rPr>
          <w:color w:val="231F20"/>
          <w:w w:val="105"/>
        </w:rPr>
        <w:t>por</w:t>
      </w:r>
      <w:r>
        <w:rPr>
          <w:color w:val="231F20"/>
          <w:spacing w:val="-21"/>
          <w:w w:val="105"/>
        </w:rPr>
        <w:t> </w:t>
      </w:r>
      <w:r>
        <w:rPr>
          <w:color w:val="231F20"/>
          <w:w w:val="105"/>
        </w:rPr>
        <w:t>empresas</w:t>
      </w:r>
      <w:r>
        <w:rPr>
          <w:color w:val="231F20"/>
          <w:spacing w:val="-21"/>
          <w:w w:val="105"/>
        </w:rPr>
        <w:t> </w:t>
      </w:r>
      <w:r>
        <w:rPr>
          <w:color w:val="231F20"/>
          <w:w w:val="105"/>
        </w:rPr>
        <w:t>reuniendo</w:t>
      </w:r>
      <w:r>
        <w:rPr>
          <w:color w:val="231F20"/>
          <w:spacing w:val="-21"/>
          <w:w w:val="105"/>
        </w:rPr>
        <w:t> </w:t>
      </w:r>
      <w:r>
        <w:rPr>
          <w:color w:val="231F20"/>
          <w:w w:val="105"/>
        </w:rPr>
        <w:t>evidencia</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implementación</w:t>
      </w:r>
      <w:r>
        <w:rPr>
          <w:color w:val="231F20"/>
          <w:spacing w:val="-21"/>
          <w:w w:val="105"/>
        </w:rPr>
        <w:t> </w:t>
      </w:r>
      <w:r>
        <w:rPr>
          <w:color w:val="231F20"/>
          <w:w w:val="105"/>
        </w:rPr>
        <w:t>exitosa. Esta</w:t>
      </w:r>
      <w:r>
        <w:rPr>
          <w:color w:val="231F20"/>
          <w:spacing w:val="-6"/>
          <w:w w:val="105"/>
        </w:rPr>
        <w:t> </w:t>
      </w:r>
      <w:r>
        <w:rPr>
          <w:color w:val="231F20"/>
          <w:w w:val="105"/>
        </w:rPr>
        <w:t>experiencia</w:t>
      </w:r>
      <w:r>
        <w:rPr>
          <w:color w:val="231F20"/>
          <w:spacing w:val="-6"/>
          <w:w w:val="105"/>
        </w:rPr>
        <w:t> </w:t>
      </w:r>
      <w:r>
        <w:rPr>
          <w:color w:val="231F20"/>
          <w:w w:val="105"/>
        </w:rPr>
        <w:t>ha</w:t>
      </w:r>
      <w:r>
        <w:rPr>
          <w:color w:val="231F20"/>
          <w:spacing w:val="-6"/>
          <w:w w:val="105"/>
        </w:rPr>
        <w:t> </w:t>
      </w:r>
      <w:r>
        <w:rPr>
          <w:color w:val="231F20"/>
          <w:w w:val="105"/>
        </w:rPr>
        <w:t>generado</w:t>
      </w:r>
      <w:r>
        <w:rPr>
          <w:color w:val="231F20"/>
          <w:spacing w:val="-6"/>
          <w:w w:val="105"/>
        </w:rPr>
        <w:t> </w:t>
      </w:r>
      <w:r>
        <w:rPr>
          <w:color w:val="231F20"/>
          <w:w w:val="105"/>
        </w:rPr>
        <w:t>interés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modelo</w:t>
      </w:r>
      <w:r>
        <w:rPr>
          <w:color w:val="231F20"/>
          <w:spacing w:val="-6"/>
          <w:w w:val="105"/>
        </w:rPr>
        <w:t> </w:t>
      </w:r>
      <w:r>
        <w:rPr>
          <w:color w:val="231F20"/>
          <w:w w:val="105"/>
        </w:rPr>
        <w:t>por</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organi- zaciones del sector público, lo cual ha conducido a la creación de una versión</w:t>
      </w:r>
      <w:r>
        <w:rPr>
          <w:color w:val="231F20"/>
          <w:spacing w:val="-9"/>
          <w:w w:val="105"/>
        </w:rPr>
        <w:t> </w:t>
      </w:r>
      <w:r>
        <w:rPr>
          <w:color w:val="231F20"/>
          <w:w w:val="105"/>
        </w:rPr>
        <w:t>específica,</w:t>
      </w:r>
      <w:r>
        <w:rPr>
          <w:color w:val="231F20"/>
          <w:spacing w:val="-15"/>
          <w:w w:val="105"/>
        </w:rPr>
        <w:t> </w:t>
      </w:r>
      <w:r>
        <w:rPr>
          <w:color w:val="231F20"/>
          <w:w w:val="105"/>
        </w:rPr>
        <w:t>principalmente</w:t>
      </w:r>
      <w:r>
        <w:rPr>
          <w:color w:val="231F20"/>
          <w:spacing w:val="-9"/>
          <w:w w:val="105"/>
        </w:rPr>
        <w:t> </w:t>
      </w:r>
      <w:r>
        <w:rPr>
          <w:color w:val="231F20"/>
          <w:w w:val="105"/>
        </w:rPr>
        <w:t>en</w:t>
      </w:r>
      <w:r>
        <w:rPr>
          <w:color w:val="231F20"/>
          <w:spacing w:val="-9"/>
          <w:w w:val="105"/>
        </w:rPr>
        <w:t> </w:t>
      </w:r>
      <w:r>
        <w:rPr>
          <w:color w:val="231F20"/>
          <w:w w:val="105"/>
        </w:rPr>
        <w:t>Europa,</w:t>
      </w:r>
      <w:r>
        <w:rPr>
          <w:color w:val="231F20"/>
          <w:spacing w:val="-15"/>
          <w:w w:val="105"/>
        </w:rPr>
        <w:t> </w:t>
      </w:r>
      <w:r>
        <w:rPr>
          <w:color w:val="231F20"/>
          <w:w w:val="105"/>
        </w:rPr>
        <w:t>para</w:t>
      </w:r>
      <w:r>
        <w:rPr>
          <w:color w:val="231F20"/>
          <w:spacing w:val="-9"/>
          <w:w w:val="105"/>
        </w:rPr>
        <w:t> </w:t>
      </w:r>
      <w:r>
        <w:rPr>
          <w:color w:val="231F20"/>
          <w:w w:val="105"/>
        </w:rPr>
        <w:t>medir</w:t>
      </w:r>
      <w:r>
        <w:rPr>
          <w:color w:val="231F20"/>
          <w:spacing w:val="-9"/>
          <w:w w:val="105"/>
        </w:rPr>
        <w:t> </w:t>
      </w:r>
      <w:r>
        <w:rPr>
          <w:color w:val="231F20"/>
          <w:w w:val="105"/>
        </w:rPr>
        <w:t>los</w:t>
      </w:r>
      <w:r>
        <w:rPr>
          <w:color w:val="231F20"/>
          <w:spacing w:val="-9"/>
          <w:w w:val="105"/>
        </w:rPr>
        <w:t> </w:t>
      </w:r>
      <w:r>
        <w:rPr>
          <w:color w:val="231F20"/>
          <w:w w:val="105"/>
        </w:rPr>
        <w:t>resultados organizacionales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instituciones</w:t>
      </w:r>
      <w:r>
        <w:rPr>
          <w:color w:val="231F20"/>
          <w:spacing w:val="-9"/>
          <w:w w:val="105"/>
        </w:rPr>
        <w:t> </w:t>
      </w:r>
      <w:r>
        <w:rPr>
          <w:color w:val="231F20"/>
          <w:w w:val="105"/>
        </w:rPr>
        <w:t>de</w:t>
      </w:r>
      <w:r>
        <w:rPr>
          <w:color w:val="231F20"/>
          <w:spacing w:val="-9"/>
          <w:w w:val="105"/>
        </w:rPr>
        <w:t> </w:t>
      </w:r>
      <w:r>
        <w:rPr>
          <w:color w:val="231F20"/>
          <w:w w:val="105"/>
        </w:rPr>
        <w:t>educación</w:t>
      </w:r>
      <w:r>
        <w:rPr>
          <w:color w:val="231F20"/>
          <w:spacing w:val="-9"/>
          <w:w w:val="105"/>
        </w:rPr>
        <w:t> </w:t>
      </w:r>
      <w:r>
        <w:rPr>
          <w:color w:val="231F20"/>
          <w:w w:val="105"/>
        </w:rPr>
        <w:t>superior</w:t>
      </w:r>
      <w:r>
        <w:rPr>
          <w:color w:val="231F20"/>
          <w:spacing w:val="-9"/>
          <w:w w:val="105"/>
        </w:rPr>
        <w:t> </w:t>
      </w:r>
      <w:r>
        <w:rPr>
          <w:color w:val="231F20"/>
          <w:w w:val="105"/>
        </w:rPr>
        <w:t>(Hides,</w:t>
      </w:r>
      <w:r>
        <w:rPr>
          <w:color w:val="231F20"/>
          <w:spacing w:val="-13"/>
          <w:w w:val="105"/>
        </w:rPr>
        <w:t> </w:t>
      </w:r>
      <w:r>
        <w:rPr>
          <w:color w:val="231F20"/>
          <w:w w:val="105"/>
        </w:rPr>
        <w:t>Da- </w:t>
      </w:r>
      <w:r>
        <w:rPr>
          <w:color w:val="231F20"/>
        </w:rPr>
        <w:t>vies y Jackson,</w:t>
      </w:r>
      <w:r>
        <w:rPr>
          <w:color w:val="231F20"/>
          <w:spacing w:val="-34"/>
        </w:rPr>
        <w:t> </w:t>
      </w:r>
      <w:r>
        <w:rPr>
          <w:color w:val="231F20"/>
        </w:rPr>
        <w:t>2004).</w:t>
      </w:r>
    </w:p>
    <w:p>
      <w:pPr>
        <w:pStyle w:val="BodyText"/>
        <w:spacing w:line="259" w:lineRule="auto"/>
        <w:ind w:left="117" w:right="115" w:firstLine="567"/>
        <w:jc w:val="both"/>
      </w:pPr>
      <w:r>
        <w:rPr>
          <w:color w:val="231F20"/>
        </w:rPr>
        <w:t>Un ejemplo representativo es la adaptación del modelo EFQM en  su versión 2003 por parte de la Universidad de Sheffield (Steed, 2003). Esta adaptación destaca la importancia de lograr la excelencia en todas sus áreas, con la necesidad de desarrollar prácticas administrativas más efectivas y</w:t>
      </w:r>
      <w:r>
        <w:rPr>
          <w:color w:val="231F20"/>
          <w:spacing w:val="13"/>
        </w:rPr>
        <w:t> </w:t>
      </w:r>
      <w:r>
        <w:rPr>
          <w:color w:val="231F20"/>
        </w:rPr>
        <w:t>eficientes.</w:t>
      </w:r>
    </w:p>
    <w:p>
      <w:pPr>
        <w:pStyle w:val="BodyText"/>
        <w:spacing w:line="259" w:lineRule="auto"/>
        <w:ind w:left="117" w:right="121" w:firstLine="567"/>
        <w:jc w:val="both"/>
      </w:pPr>
      <w:r>
        <w:rPr>
          <w:color w:val="231F20"/>
          <w:w w:val="105"/>
        </w:rPr>
        <w:t>Hides </w:t>
      </w:r>
      <w:r>
        <w:rPr>
          <w:i/>
          <w:color w:val="231F20"/>
          <w:w w:val="105"/>
        </w:rPr>
        <w:t>et al </w:t>
      </w:r>
      <w:r>
        <w:rPr>
          <w:color w:val="231F20"/>
          <w:w w:val="105"/>
        </w:rPr>
        <w:t>(2004) analizaron la aplicación del modelo EFQM en universidades del Reino Unido. El estudio provee evidencias de que la autoevaluación ayuda a conformar una cultura con orientación hacia el “cliente” en las instituciones educativas.</w:t>
      </w:r>
    </w:p>
    <w:p>
      <w:pPr>
        <w:pStyle w:val="BodyText"/>
        <w:spacing w:line="259" w:lineRule="auto"/>
        <w:ind w:left="117" w:right="121" w:firstLine="567"/>
        <w:jc w:val="both"/>
      </w:pPr>
      <w:r>
        <w:rPr>
          <w:color w:val="231F20"/>
          <w:w w:val="105"/>
        </w:rPr>
        <w:t>En</w:t>
      </w:r>
      <w:r>
        <w:rPr>
          <w:color w:val="231F20"/>
          <w:spacing w:val="-40"/>
          <w:w w:val="105"/>
        </w:rPr>
        <w:t> </w:t>
      </w:r>
      <w:r>
        <w:rPr>
          <w:color w:val="231F20"/>
          <w:w w:val="105"/>
        </w:rPr>
        <w:t>España,</w:t>
      </w:r>
      <w:r>
        <w:rPr>
          <w:color w:val="231F20"/>
          <w:spacing w:val="-42"/>
          <w:w w:val="105"/>
        </w:rPr>
        <w:t> </w:t>
      </w:r>
      <w:r>
        <w:rPr>
          <w:color w:val="231F20"/>
          <w:w w:val="105"/>
        </w:rPr>
        <w:t>Martínez</w:t>
      </w:r>
      <w:r>
        <w:rPr>
          <w:color w:val="231F20"/>
          <w:spacing w:val="-40"/>
          <w:w w:val="105"/>
        </w:rPr>
        <w:t> </w:t>
      </w:r>
      <w:r>
        <w:rPr>
          <w:color w:val="231F20"/>
          <w:w w:val="105"/>
        </w:rPr>
        <w:t>y</w:t>
      </w:r>
      <w:r>
        <w:rPr>
          <w:color w:val="231F20"/>
          <w:spacing w:val="-40"/>
          <w:w w:val="105"/>
        </w:rPr>
        <w:t> </w:t>
      </w:r>
      <w:r>
        <w:rPr>
          <w:color w:val="231F20"/>
          <w:w w:val="105"/>
        </w:rPr>
        <w:t>Riopérez</w:t>
      </w:r>
      <w:r>
        <w:rPr>
          <w:color w:val="231F20"/>
          <w:spacing w:val="-40"/>
          <w:w w:val="105"/>
        </w:rPr>
        <w:t> </w:t>
      </w:r>
      <w:r>
        <w:rPr>
          <w:color w:val="231F20"/>
          <w:w w:val="105"/>
        </w:rPr>
        <w:t>(2005)</w:t>
      </w:r>
      <w:r>
        <w:rPr>
          <w:color w:val="231F20"/>
          <w:spacing w:val="-40"/>
          <w:w w:val="105"/>
        </w:rPr>
        <w:t> </w:t>
      </w:r>
      <w:r>
        <w:rPr>
          <w:color w:val="231F20"/>
          <w:w w:val="105"/>
        </w:rPr>
        <w:t>realizaron</w:t>
      </w:r>
      <w:r>
        <w:rPr>
          <w:color w:val="231F20"/>
          <w:spacing w:val="-40"/>
          <w:w w:val="105"/>
        </w:rPr>
        <w:t> </w:t>
      </w:r>
      <w:r>
        <w:rPr>
          <w:color w:val="231F20"/>
          <w:w w:val="105"/>
        </w:rPr>
        <w:t>un</w:t>
      </w:r>
      <w:r>
        <w:rPr>
          <w:color w:val="231F20"/>
          <w:spacing w:val="-40"/>
          <w:w w:val="105"/>
        </w:rPr>
        <w:t> </w:t>
      </w:r>
      <w:r>
        <w:rPr>
          <w:color w:val="231F20"/>
          <w:w w:val="105"/>
        </w:rPr>
        <w:t>estudio</w:t>
      </w:r>
      <w:r>
        <w:rPr>
          <w:color w:val="231F20"/>
          <w:spacing w:val="-40"/>
          <w:w w:val="105"/>
        </w:rPr>
        <w:t> </w:t>
      </w:r>
      <w:r>
        <w:rPr>
          <w:color w:val="231F20"/>
          <w:w w:val="105"/>
        </w:rPr>
        <w:t>acerca de</w:t>
      </w:r>
      <w:r>
        <w:rPr>
          <w:color w:val="231F20"/>
          <w:spacing w:val="-19"/>
          <w:w w:val="105"/>
        </w:rPr>
        <w:t> </w:t>
      </w:r>
      <w:r>
        <w:rPr>
          <w:color w:val="231F20"/>
          <w:w w:val="105"/>
        </w:rPr>
        <w:t>la</w:t>
      </w:r>
      <w:r>
        <w:rPr>
          <w:color w:val="231F20"/>
          <w:spacing w:val="-19"/>
          <w:w w:val="105"/>
        </w:rPr>
        <w:t> </w:t>
      </w:r>
      <w:r>
        <w:rPr>
          <w:color w:val="231F20"/>
          <w:w w:val="105"/>
        </w:rPr>
        <w:t>aplicación</w:t>
      </w:r>
      <w:r>
        <w:rPr>
          <w:color w:val="231F20"/>
          <w:spacing w:val="-19"/>
          <w:w w:val="105"/>
        </w:rPr>
        <w:t> </w:t>
      </w:r>
      <w:r>
        <w:rPr>
          <w:color w:val="231F20"/>
          <w:w w:val="105"/>
        </w:rPr>
        <w:t>del</w:t>
      </w:r>
      <w:r>
        <w:rPr>
          <w:color w:val="231F20"/>
          <w:spacing w:val="-19"/>
          <w:w w:val="105"/>
        </w:rPr>
        <w:t> </w:t>
      </w:r>
      <w:r>
        <w:rPr>
          <w:color w:val="231F20"/>
          <w:w w:val="105"/>
        </w:rPr>
        <w:t>modelo</w:t>
      </w:r>
      <w:r>
        <w:rPr>
          <w:color w:val="231F20"/>
          <w:spacing w:val="-19"/>
          <w:w w:val="105"/>
        </w:rPr>
        <w:t> </w:t>
      </w:r>
      <w:r>
        <w:rPr>
          <w:color w:val="231F20"/>
          <w:w w:val="105"/>
        </w:rPr>
        <w:t>EFQM</w:t>
      </w:r>
      <w:r>
        <w:rPr>
          <w:color w:val="231F20"/>
          <w:spacing w:val="-19"/>
          <w:w w:val="105"/>
        </w:rPr>
        <w:t> </w:t>
      </w:r>
      <w:r>
        <w:rPr>
          <w:color w:val="231F20"/>
          <w:w w:val="105"/>
        </w:rPr>
        <w:t>en</w:t>
      </w:r>
      <w:r>
        <w:rPr>
          <w:color w:val="231F20"/>
          <w:spacing w:val="-19"/>
          <w:w w:val="105"/>
        </w:rPr>
        <w:t> </w:t>
      </w:r>
      <w:r>
        <w:rPr>
          <w:color w:val="231F20"/>
          <w:w w:val="105"/>
        </w:rPr>
        <w:t>instituciones</w:t>
      </w:r>
      <w:r>
        <w:rPr>
          <w:color w:val="231F20"/>
          <w:spacing w:val="-19"/>
          <w:w w:val="105"/>
        </w:rPr>
        <w:t> </w:t>
      </w:r>
      <w:r>
        <w:rPr>
          <w:color w:val="231F20"/>
          <w:w w:val="105"/>
        </w:rPr>
        <w:t>de</w:t>
      </w:r>
      <w:r>
        <w:rPr>
          <w:color w:val="231F20"/>
          <w:spacing w:val="-19"/>
          <w:w w:val="105"/>
        </w:rPr>
        <w:t> </w:t>
      </w:r>
      <w:r>
        <w:rPr>
          <w:color w:val="231F20"/>
          <w:w w:val="105"/>
        </w:rPr>
        <w:t>educación</w:t>
      </w:r>
      <w:r>
        <w:rPr>
          <w:color w:val="231F20"/>
          <w:spacing w:val="-19"/>
          <w:w w:val="105"/>
        </w:rPr>
        <w:t> </w:t>
      </w:r>
      <w:r>
        <w:rPr>
          <w:color w:val="231F20"/>
          <w:w w:val="105"/>
        </w:rPr>
        <w:t>en</w:t>
      </w:r>
      <w:r>
        <w:rPr>
          <w:color w:val="231F20"/>
          <w:spacing w:val="-19"/>
          <w:w w:val="105"/>
        </w:rPr>
        <w:t> </w:t>
      </w:r>
      <w:r>
        <w:rPr>
          <w:color w:val="231F20"/>
          <w:w w:val="105"/>
        </w:rPr>
        <w:t>cua- tro</w:t>
      </w:r>
      <w:r>
        <w:rPr>
          <w:color w:val="231F20"/>
          <w:spacing w:val="-14"/>
          <w:w w:val="105"/>
        </w:rPr>
        <w:t> </w:t>
      </w:r>
      <w:r>
        <w:rPr>
          <w:color w:val="231F20"/>
          <w:w w:val="105"/>
        </w:rPr>
        <w:t>niveles:</w:t>
      </w:r>
      <w:r>
        <w:rPr>
          <w:color w:val="231F20"/>
          <w:spacing w:val="-14"/>
          <w:w w:val="105"/>
        </w:rPr>
        <w:t> </w:t>
      </w:r>
      <w:r>
        <w:rPr>
          <w:color w:val="231F20"/>
          <w:w w:val="105"/>
        </w:rPr>
        <w:t>infantil,</w:t>
      </w:r>
      <w:r>
        <w:rPr>
          <w:color w:val="231F20"/>
          <w:spacing w:val="-19"/>
          <w:w w:val="105"/>
        </w:rPr>
        <w:t> </w:t>
      </w:r>
      <w:r>
        <w:rPr>
          <w:color w:val="231F20"/>
          <w:w w:val="105"/>
        </w:rPr>
        <w:t>primaria,</w:t>
      </w:r>
      <w:r>
        <w:rPr>
          <w:color w:val="231F20"/>
          <w:spacing w:val="-19"/>
          <w:w w:val="105"/>
        </w:rPr>
        <w:t> </w:t>
      </w:r>
      <w:r>
        <w:rPr>
          <w:color w:val="231F20"/>
          <w:w w:val="105"/>
        </w:rPr>
        <w:t>secundaria</w:t>
      </w:r>
      <w:r>
        <w:rPr>
          <w:color w:val="231F20"/>
          <w:spacing w:val="-14"/>
          <w:w w:val="105"/>
        </w:rPr>
        <w:t> </w:t>
      </w:r>
      <w:r>
        <w:rPr>
          <w:color w:val="231F20"/>
          <w:w w:val="105"/>
        </w:rPr>
        <w:t>y</w:t>
      </w:r>
      <w:r>
        <w:rPr>
          <w:color w:val="231F20"/>
          <w:spacing w:val="-14"/>
          <w:w w:val="105"/>
        </w:rPr>
        <w:t> </w:t>
      </w:r>
      <w:r>
        <w:rPr>
          <w:color w:val="231F20"/>
          <w:w w:val="105"/>
        </w:rPr>
        <w:t>profesional.</w:t>
      </w:r>
      <w:r>
        <w:rPr>
          <w:color w:val="231F20"/>
          <w:spacing w:val="-19"/>
          <w:w w:val="105"/>
        </w:rPr>
        <w:t> </w:t>
      </w:r>
      <w:r>
        <w:rPr>
          <w:color w:val="231F20"/>
          <w:w w:val="105"/>
        </w:rPr>
        <w:t>Su</w:t>
      </w:r>
      <w:r>
        <w:rPr>
          <w:color w:val="231F20"/>
          <w:spacing w:val="-14"/>
          <w:w w:val="105"/>
        </w:rPr>
        <w:t> </w:t>
      </w:r>
      <w:r>
        <w:rPr>
          <w:color w:val="231F20"/>
          <w:w w:val="105"/>
        </w:rPr>
        <w:t>aportación</w:t>
      </w:r>
      <w:r>
        <w:rPr>
          <w:color w:val="231F20"/>
          <w:spacing w:val="-14"/>
          <w:w w:val="105"/>
        </w:rPr>
        <w:t> </w:t>
      </w:r>
      <w:r>
        <w:rPr>
          <w:color w:val="231F20"/>
          <w:w w:val="105"/>
        </w:rPr>
        <w:t>fue diagnóstica,</w:t>
      </w:r>
      <w:r>
        <w:rPr>
          <w:color w:val="231F20"/>
          <w:spacing w:val="-13"/>
          <w:w w:val="105"/>
        </w:rPr>
        <w:t> </w:t>
      </w:r>
      <w:r>
        <w:rPr>
          <w:color w:val="231F20"/>
          <w:w w:val="105"/>
        </w:rPr>
        <w:t>además</w:t>
      </w:r>
      <w:r>
        <w:rPr>
          <w:color w:val="231F20"/>
          <w:spacing w:val="-7"/>
          <w:w w:val="105"/>
        </w:rPr>
        <w:t> </w:t>
      </w:r>
      <w:r>
        <w:rPr>
          <w:color w:val="231F20"/>
          <w:w w:val="105"/>
        </w:rPr>
        <w:t>de</w:t>
      </w:r>
      <w:r>
        <w:rPr>
          <w:color w:val="231F20"/>
          <w:spacing w:val="-7"/>
          <w:w w:val="105"/>
        </w:rPr>
        <w:t> </w:t>
      </w:r>
      <w:r>
        <w:rPr>
          <w:color w:val="231F20"/>
          <w:w w:val="105"/>
        </w:rPr>
        <w:t>proponer</w:t>
      </w:r>
      <w:r>
        <w:rPr>
          <w:color w:val="231F20"/>
          <w:spacing w:val="-7"/>
          <w:w w:val="105"/>
        </w:rPr>
        <w:t> </w:t>
      </w:r>
      <w:r>
        <w:rPr>
          <w:color w:val="231F20"/>
          <w:w w:val="105"/>
        </w:rPr>
        <w:t>programas</w:t>
      </w:r>
      <w:r>
        <w:rPr>
          <w:color w:val="231F20"/>
          <w:spacing w:val="-7"/>
          <w:w w:val="105"/>
        </w:rPr>
        <w:t> </w:t>
      </w:r>
      <w:r>
        <w:rPr>
          <w:color w:val="231F20"/>
          <w:w w:val="105"/>
        </w:rPr>
        <w:t>de</w:t>
      </w:r>
      <w:r>
        <w:rPr>
          <w:color w:val="231F20"/>
          <w:spacing w:val="-7"/>
          <w:w w:val="105"/>
        </w:rPr>
        <w:t> </w:t>
      </w:r>
      <w:r>
        <w:rPr>
          <w:color w:val="231F20"/>
          <w:w w:val="105"/>
        </w:rPr>
        <w:t>mejora</w:t>
      </w:r>
      <w:r>
        <w:rPr>
          <w:color w:val="231F20"/>
          <w:spacing w:val="-7"/>
          <w:w w:val="105"/>
        </w:rPr>
        <w:t> </w:t>
      </w:r>
      <w:r>
        <w:rPr>
          <w:color w:val="231F20"/>
          <w:w w:val="105"/>
        </w:rPr>
        <w:t>y</w:t>
      </w:r>
      <w:r>
        <w:rPr>
          <w:color w:val="231F20"/>
          <w:spacing w:val="-7"/>
          <w:w w:val="105"/>
        </w:rPr>
        <w:t> </w:t>
      </w:r>
      <w:r>
        <w:rPr>
          <w:color w:val="231F20"/>
          <w:w w:val="105"/>
        </w:rPr>
        <w:t>hacer</w:t>
      </w:r>
      <w:r>
        <w:rPr>
          <w:color w:val="231F20"/>
          <w:spacing w:val="-7"/>
          <w:w w:val="105"/>
        </w:rPr>
        <w:t> </w:t>
      </w:r>
      <w:r>
        <w:rPr>
          <w:color w:val="231F20"/>
          <w:w w:val="105"/>
        </w:rPr>
        <w:t>énfasis en</w:t>
      </w:r>
      <w:r>
        <w:rPr>
          <w:color w:val="231F20"/>
          <w:spacing w:val="-7"/>
          <w:w w:val="105"/>
        </w:rPr>
        <w:t> </w:t>
      </w:r>
      <w:r>
        <w:rPr>
          <w:color w:val="231F20"/>
          <w:w w:val="105"/>
        </w:rPr>
        <w:t>la</w:t>
      </w:r>
      <w:r>
        <w:rPr>
          <w:color w:val="231F20"/>
          <w:spacing w:val="-7"/>
          <w:w w:val="105"/>
        </w:rPr>
        <w:t> </w:t>
      </w:r>
      <w:r>
        <w:rPr>
          <w:color w:val="231F20"/>
          <w:w w:val="105"/>
        </w:rPr>
        <w:t>necesidad</w:t>
      </w:r>
      <w:r>
        <w:rPr>
          <w:color w:val="231F20"/>
          <w:spacing w:val="-7"/>
          <w:w w:val="105"/>
        </w:rPr>
        <w:t> </w:t>
      </w:r>
      <w:r>
        <w:rPr>
          <w:color w:val="231F20"/>
          <w:w w:val="105"/>
        </w:rPr>
        <w:t>de</w:t>
      </w:r>
      <w:r>
        <w:rPr>
          <w:color w:val="231F20"/>
          <w:spacing w:val="-7"/>
          <w:w w:val="105"/>
        </w:rPr>
        <w:t> </w:t>
      </w:r>
      <w:r>
        <w:rPr>
          <w:color w:val="231F20"/>
          <w:w w:val="105"/>
        </w:rPr>
        <w:t>evaluación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centros</w:t>
      </w:r>
      <w:r>
        <w:rPr>
          <w:color w:val="231F20"/>
          <w:spacing w:val="-7"/>
          <w:w w:val="105"/>
        </w:rPr>
        <w:t> </w:t>
      </w:r>
      <w:r>
        <w:rPr>
          <w:color w:val="231F20"/>
          <w:w w:val="105"/>
        </w:rPr>
        <w:t>educativos</w:t>
      </w:r>
      <w:r>
        <w:rPr>
          <w:color w:val="231F20"/>
          <w:spacing w:val="-7"/>
          <w:w w:val="105"/>
        </w:rPr>
        <w:t> </w:t>
      </w:r>
      <w:r>
        <w:rPr>
          <w:color w:val="231F20"/>
          <w:w w:val="105"/>
        </w:rPr>
        <w:t>españoles.</w:t>
      </w:r>
      <w:r>
        <w:rPr>
          <w:color w:val="231F20"/>
          <w:spacing w:val="-11"/>
          <w:w w:val="105"/>
        </w:rPr>
        <w:t> </w:t>
      </w:r>
      <w:r>
        <w:rPr>
          <w:color w:val="231F20"/>
          <w:w w:val="105"/>
        </w:rPr>
        <w:t>En este</w:t>
      </w:r>
      <w:r>
        <w:rPr>
          <w:color w:val="231F20"/>
          <w:spacing w:val="-15"/>
          <w:w w:val="105"/>
        </w:rPr>
        <w:t> </w:t>
      </w:r>
      <w:r>
        <w:rPr>
          <w:color w:val="231F20"/>
          <w:w w:val="105"/>
        </w:rPr>
        <w:t>país</w:t>
      </w:r>
      <w:r>
        <w:rPr>
          <w:color w:val="231F20"/>
          <w:spacing w:val="-15"/>
          <w:w w:val="105"/>
        </w:rPr>
        <w:t> </w:t>
      </w:r>
      <w:r>
        <w:rPr>
          <w:color w:val="231F20"/>
          <w:w w:val="105"/>
        </w:rPr>
        <w:t>55</w:t>
      </w:r>
      <w:r>
        <w:rPr>
          <w:color w:val="231F20"/>
          <w:spacing w:val="-15"/>
          <w:w w:val="105"/>
        </w:rPr>
        <w:t> </w:t>
      </w:r>
      <w:r>
        <w:rPr>
          <w:color w:val="231F20"/>
          <w:w w:val="105"/>
        </w:rPr>
        <w:t>centros</w:t>
      </w:r>
      <w:r>
        <w:rPr>
          <w:color w:val="231F20"/>
          <w:spacing w:val="-15"/>
          <w:w w:val="105"/>
        </w:rPr>
        <w:t> </w:t>
      </w:r>
      <w:r>
        <w:rPr>
          <w:color w:val="231F20"/>
          <w:w w:val="105"/>
        </w:rPr>
        <w:t>educativos</w:t>
      </w:r>
      <w:r>
        <w:rPr>
          <w:color w:val="231F20"/>
          <w:spacing w:val="-15"/>
          <w:w w:val="105"/>
        </w:rPr>
        <w:t> </w:t>
      </w:r>
      <w:r>
        <w:rPr>
          <w:color w:val="231F20"/>
          <w:w w:val="105"/>
        </w:rPr>
        <w:t>han</w:t>
      </w:r>
      <w:r>
        <w:rPr>
          <w:color w:val="231F20"/>
          <w:spacing w:val="-15"/>
          <w:w w:val="105"/>
        </w:rPr>
        <w:t> </w:t>
      </w:r>
      <w:r>
        <w:rPr>
          <w:color w:val="231F20"/>
          <w:w w:val="105"/>
        </w:rPr>
        <w:t>implementado</w:t>
      </w:r>
      <w:r>
        <w:rPr>
          <w:color w:val="231F20"/>
          <w:spacing w:val="-15"/>
          <w:w w:val="105"/>
        </w:rPr>
        <w:t> </w:t>
      </w:r>
      <w:r>
        <w:rPr>
          <w:color w:val="231F20"/>
          <w:w w:val="105"/>
        </w:rPr>
        <w:t>el</w:t>
      </w:r>
      <w:r>
        <w:rPr>
          <w:color w:val="231F20"/>
          <w:spacing w:val="-15"/>
          <w:w w:val="105"/>
        </w:rPr>
        <w:t> </w:t>
      </w:r>
      <w:r>
        <w:rPr>
          <w:color w:val="231F20"/>
          <w:w w:val="105"/>
        </w:rPr>
        <w:t>modelo.</w:t>
      </w:r>
    </w:p>
    <w:p>
      <w:pPr>
        <w:pStyle w:val="BodyText"/>
        <w:spacing w:line="259" w:lineRule="auto"/>
        <w:ind w:left="117" w:right="121" w:firstLine="567"/>
        <w:jc w:val="both"/>
      </w:pPr>
      <w:r>
        <w:rPr>
          <w:color w:val="231F20"/>
          <w:w w:val="105"/>
        </w:rPr>
        <w:t>En</w:t>
      </w:r>
      <w:r>
        <w:rPr>
          <w:color w:val="231F20"/>
          <w:spacing w:val="-30"/>
          <w:w w:val="105"/>
        </w:rPr>
        <w:t> </w:t>
      </w:r>
      <w:r>
        <w:rPr>
          <w:color w:val="231F20"/>
          <w:w w:val="105"/>
        </w:rPr>
        <w:t>Irán,</w:t>
      </w:r>
      <w:r>
        <w:rPr>
          <w:color w:val="231F20"/>
          <w:spacing w:val="-33"/>
          <w:w w:val="105"/>
        </w:rPr>
        <w:t> </w:t>
      </w:r>
      <w:r>
        <w:rPr>
          <w:color w:val="231F20"/>
          <w:w w:val="105"/>
        </w:rPr>
        <w:t>Ghurchian,</w:t>
      </w:r>
      <w:r>
        <w:rPr>
          <w:color w:val="231F20"/>
          <w:spacing w:val="-35"/>
          <w:w w:val="105"/>
        </w:rPr>
        <w:t> </w:t>
      </w:r>
      <w:r>
        <w:rPr>
          <w:color w:val="231F20"/>
          <w:w w:val="105"/>
        </w:rPr>
        <w:t>Jafari</w:t>
      </w:r>
      <w:r>
        <w:rPr>
          <w:color w:val="231F20"/>
          <w:spacing w:val="-30"/>
          <w:w w:val="105"/>
        </w:rPr>
        <w:t> </w:t>
      </w:r>
      <w:r>
        <w:rPr>
          <w:color w:val="231F20"/>
          <w:w w:val="105"/>
        </w:rPr>
        <w:t>y</w:t>
      </w:r>
      <w:r>
        <w:rPr>
          <w:color w:val="231F20"/>
          <w:spacing w:val="-30"/>
          <w:w w:val="105"/>
        </w:rPr>
        <w:t> </w:t>
      </w:r>
      <w:r>
        <w:rPr>
          <w:color w:val="231F20"/>
          <w:w w:val="105"/>
        </w:rPr>
        <w:t>Rahgozar</w:t>
      </w:r>
      <w:r>
        <w:rPr>
          <w:color w:val="231F20"/>
          <w:spacing w:val="-30"/>
          <w:w w:val="105"/>
        </w:rPr>
        <w:t> </w:t>
      </w:r>
      <w:r>
        <w:rPr>
          <w:color w:val="231F20"/>
          <w:w w:val="105"/>
        </w:rPr>
        <w:t>(2010)</w:t>
      </w:r>
      <w:r>
        <w:rPr>
          <w:color w:val="231F20"/>
          <w:spacing w:val="-30"/>
          <w:w w:val="105"/>
        </w:rPr>
        <w:t> </w:t>
      </w:r>
      <w:r>
        <w:rPr>
          <w:color w:val="231F20"/>
          <w:w w:val="105"/>
        </w:rPr>
        <w:t>propusieron</w:t>
      </w:r>
      <w:r>
        <w:rPr>
          <w:color w:val="231F20"/>
          <w:spacing w:val="-30"/>
          <w:w w:val="105"/>
        </w:rPr>
        <w:t> </w:t>
      </w:r>
      <w:r>
        <w:rPr>
          <w:color w:val="231F20"/>
          <w:w w:val="105"/>
        </w:rPr>
        <w:t>un</w:t>
      </w:r>
      <w:r>
        <w:rPr>
          <w:color w:val="231F20"/>
          <w:spacing w:val="-30"/>
          <w:w w:val="105"/>
        </w:rPr>
        <w:t> </w:t>
      </w:r>
      <w:r>
        <w:rPr>
          <w:color w:val="231F20"/>
          <w:w w:val="105"/>
        </w:rPr>
        <w:t>mode- lo</w:t>
      </w:r>
      <w:r>
        <w:rPr>
          <w:color w:val="231F20"/>
          <w:spacing w:val="-11"/>
          <w:w w:val="105"/>
        </w:rPr>
        <w:t> </w:t>
      </w:r>
      <w:r>
        <w:rPr>
          <w:color w:val="231F20"/>
          <w:w w:val="105"/>
        </w:rPr>
        <w:t>de</w:t>
      </w:r>
      <w:r>
        <w:rPr>
          <w:color w:val="231F20"/>
          <w:spacing w:val="-11"/>
          <w:w w:val="105"/>
        </w:rPr>
        <w:t> </w:t>
      </w:r>
      <w:r>
        <w:rPr>
          <w:color w:val="231F20"/>
          <w:w w:val="105"/>
        </w:rPr>
        <w:t>evaluación</w:t>
      </w:r>
      <w:r>
        <w:rPr>
          <w:color w:val="231F20"/>
          <w:spacing w:val="-11"/>
          <w:w w:val="105"/>
        </w:rPr>
        <w:t> </w:t>
      </w:r>
      <w:r>
        <w:rPr>
          <w:color w:val="231F20"/>
          <w:w w:val="105"/>
        </w:rPr>
        <w:t>de</w:t>
      </w:r>
      <w:r>
        <w:rPr>
          <w:color w:val="231F20"/>
          <w:spacing w:val="-11"/>
          <w:w w:val="105"/>
        </w:rPr>
        <w:t> </w:t>
      </w:r>
      <w:r>
        <w:rPr>
          <w:color w:val="231F20"/>
          <w:w w:val="105"/>
        </w:rPr>
        <w:t>desempeño</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instituciones</w:t>
      </w:r>
      <w:r>
        <w:rPr>
          <w:color w:val="231F20"/>
          <w:spacing w:val="-11"/>
          <w:w w:val="105"/>
        </w:rPr>
        <w:t> </w:t>
      </w:r>
      <w:r>
        <w:rPr>
          <w:color w:val="231F20"/>
          <w:w w:val="105"/>
        </w:rPr>
        <w:t>de</w:t>
      </w:r>
      <w:r>
        <w:rPr>
          <w:color w:val="231F20"/>
          <w:spacing w:val="-11"/>
          <w:w w:val="105"/>
        </w:rPr>
        <w:t> </w:t>
      </w:r>
      <w:r>
        <w:rPr>
          <w:color w:val="231F20"/>
          <w:w w:val="105"/>
        </w:rPr>
        <w:t>educación</w:t>
      </w:r>
      <w:r>
        <w:rPr>
          <w:color w:val="231F20"/>
          <w:spacing w:val="-11"/>
          <w:w w:val="105"/>
        </w:rPr>
        <w:t> </w:t>
      </w:r>
      <w:r>
        <w:rPr>
          <w:color w:val="231F20"/>
          <w:w w:val="105"/>
        </w:rPr>
        <w:t>supe- rior</w:t>
      </w:r>
      <w:r>
        <w:rPr>
          <w:color w:val="231F20"/>
          <w:spacing w:val="-21"/>
          <w:w w:val="105"/>
        </w:rPr>
        <w:t> </w:t>
      </w:r>
      <w:r>
        <w:rPr>
          <w:color w:val="231F20"/>
          <w:w w:val="105"/>
        </w:rPr>
        <w:t>basado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EFQM.</w:t>
      </w:r>
      <w:r>
        <w:rPr>
          <w:color w:val="231F20"/>
          <w:spacing w:val="-27"/>
          <w:w w:val="105"/>
        </w:rPr>
        <w:t> </w:t>
      </w:r>
      <w:r>
        <w:rPr>
          <w:color w:val="231F20"/>
          <w:w w:val="105"/>
        </w:rPr>
        <w:t>Los</w:t>
      </w:r>
      <w:r>
        <w:rPr>
          <w:color w:val="231F20"/>
          <w:spacing w:val="-21"/>
          <w:w w:val="105"/>
        </w:rPr>
        <w:t> </w:t>
      </w:r>
      <w:r>
        <w:rPr>
          <w:color w:val="231F20"/>
          <w:w w:val="105"/>
        </w:rPr>
        <w:t>indicadores</w:t>
      </w:r>
      <w:r>
        <w:rPr>
          <w:color w:val="231F20"/>
          <w:spacing w:val="-21"/>
          <w:w w:val="105"/>
        </w:rPr>
        <w:t> </w:t>
      </w:r>
      <w:r>
        <w:rPr>
          <w:color w:val="231F20"/>
          <w:w w:val="105"/>
        </w:rPr>
        <w:t>de</w:t>
      </w:r>
      <w:r>
        <w:rPr>
          <w:color w:val="231F20"/>
          <w:spacing w:val="-21"/>
          <w:w w:val="105"/>
        </w:rPr>
        <w:t> </w:t>
      </w:r>
      <w:r>
        <w:rPr>
          <w:color w:val="231F20"/>
          <w:w w:val="105"/>
        </w:rPr>
        <w:t>entrada</w:t>
      </w:r>
      <w:r>
        <w:rPr>
          <w:color w:val="231F20"/>
          <w:spacing w:val="-21"/>
          <w:w w:val="105"/>
        </w:rPr>
        <w:t> </w:t>
      </w:r>
      <w:r>
        <w:rPr>
          <w:color w:val="231F20"/>
          <w:w w:val="105"/>
        </w:rPr>
        <w:t>fueron:</w:t>
      </w:r>
      <w:r>
        <w:rPr>
          <w:color w:val="231F20"/>
          <w:spacing w:val="-21"/>
          <w:w w:val="105"/>
        </w:rPr>
        <w:t> </w:t>
      </w:r>
      <w:r>
        <w:rPr>
          <w:color w:val="231F20"/>
          <w:w w:val="105"/>
        </w:rPr>
        <w:t>política</w:t>
      </w:r>
      <w:r>
        <w:rPr>
          <w:color w:val="231F20"/>
          <w:spacing w:val="-21"/>
          <w:w w:val="105"/>
        </w:rPr>
        <w:t> </w:t>
      </w:r>
      <w:r>
        <w:rPr>
          <w:color w:val="231F20"/>
          <w:w w:val="105"/>
        </w:rPr>
        <w:t>y</w:t>
      </w:r>
      <w:r>
        <w:rPr>
          <w:color w:val="231F20"/>
          <w:spacing w:val="-21"/>
          <w:w w:val="105"/>
        </w:rPr>
        <w:t> </w:t>
      </w:r>
      <w:r>
        <w:rPr>
          <w:color w:val="231F20"/>
          <w:w w:val="105"/>
        </w:rPr>
        <w:t>es- trategia,</w:t>
      </w:r>
      <w:r>
        <w:rPr>
          <w:color w:val="231F20"/>
          <w:spacing w:val="-33"/>
          <w:w w:val="105"/>
        </w:rPr>
        <w:t> </w:t>
      </w:r>
      <w:r>
        <w:rPr>
          <w:color w:val="231F20"/>
          <w:w w:val="105"/>
        </w:rPr>
        <w:t>liderazgo</w:t>
      </w:r>
      <w:r>
        <w:rPr>
          <w:color w:val="231F20"/>
          <w:spacing w:val="-29"/>
          <w:w w:val="105"/>
        </w:rPr>
        <w:t> </w:t>
      </w:r>
      <w:r>
        <w:rPr>
          <w:color w:val="231F20"/>
          <w:w w:val="105"/>
        </w:rPr>
        <w:t>y</w:t>
      </w:r>
      <w:r>
        <w:rPr>
          <w:color w:val="231F20"/>
          <w:spacing w:val="-29"/>
          <w:w w:val="105"/>
        </w:rPr>
        <w:t> </w:t>
      </w:r>
      <w:r>
        <w:rPr>
          <w:color w:val="231F20"/>
          <w:w w:val="105"/>
        </w:rPr>
        <w:t>gestión,</w:t>
      </w:r>
      <w:r>
        <w:rPr>
          <w:color w:val="231F20"/>
          <w:spacing w:val="-33"/>
          <w:w w:val="105"/>
        </w:rPr>
        <w:t> </w:t>
      </w:r>
      <w:r>
        <w:rPr>
          <w:color w:val="231F20"/>
          <w:w w:val="105"/>
        </w:rPr>
        <w:t>cliente</w:t>
      </w:r>
      <w:r>
        <w:rPr>
          <w:color w:val="231F20"/>
          <w:spacing w:val="-29"/>
          <w:w w:val="105"/>
        </w:rPr>
        <w:t> </w:t>
      </w:r>
      <w:r>
        <w:rPr>
          <w:color w:val="231F20"/>
          <w:w w:val="105"/>
        </w:rPr>
        <w:t>y</w:t>
      </w:r>
      <w:r>
        <w:rPr>
          <w:color w:val="231F20"/>
          <w:spacing w:val="-29"/>
          <w:w w:val="105"/>
        </w:rPr>
        <w:t> </w:t>
      </w:r>
      <w:r>
        <w:rPr>
          <w:color w:val="231F20"/>
          <w:w w:val="105"/>
        </w:rPr>
        <w:t>mercado,</w:t>
      </w:r>
      <w:r>
        <w:rPr>
          <w:color w:val="231F20"/>
          <w:spacing w:val="-33"/>
          <w:w w:val="105"/>
        </w:rPr>
        <w:t> </w:t>
      </w:r>
      <w:r>
        <w:rPr>
          <w:color w:val="231F20"/>
          <w:w w:val="105"/>
        </w:rPr>
        <w:t>capital</w:t>
      </w:r>
      <w:r>
        <w:rPr>
          <w:color w:val="231F20"/>
          <w:spacing w:val="-29"/>
          <w:w w:val="105"/>
        </w:rPr>
        <w:t> </w:t>
      </w:r>
      <w:r>
        <w:rPr>
          <w:color w:val="231F20"/>
          <w:w w:val="105"/>
        </w:rPr>
        <w:t>humano,</w:t>
      </w:r>
      <w:r>
        <w:rPr>
          <w:color w:val="231F20"/>
          <w:spacing w:val="-33"/>
          <w:w w:val="105"/>
        </w:rPr>
        <w:t> </w:t>
      </w:r>
      <w:r>
        <w:rPr>
          <w:color w:val="231F20"/>
          <w:w w:val="105"/>
        </w:rPr>
        <w:t>procesos y</w:t>
      </w:r>
      <w:r>
        <w:rPr>
          <w:color w:val="231F20"/>
          <w:spacing w:val="-25"/>
          <w:w w:val="105"/>
        </w:rPr>
        <w:t> </w:t>
      </w:r>
      <w:r>
        <w:rPr>
          <w:color w:val="231F20"/>
          <w:w w:val="105"/>
        </w:rPr>
        <w:t>organización,</w:t>
      </w:r>
      <w:r>
        <w:rPr>
          <w:color w:val="231F20"/>
          <w:spacing w:val="-30"/>
          <w:w w:val="105"/>
        </w:rPr>
        <w:t> </w:t>
      </w:r>
      <w:r>
        <w:rPr>
          <w:color w:val="231F20"/>
          <w:w w:val="105"/>
        </w:rPr>
        <w:t>y</w:t>
      </w:r>
      <w:r>
        <w:rPr>
          <w:color w:val="231F20"/>
          <w:spacing w:val="-25"/>
          <w:w w:val="105"/>
        </w:rPr>
        <w:t> </w:t>
      </w:r>
      <w:r>
        <w:rPr>
          <w:color w:val="231F20"/>
          <w:w w:val="105"/>
        </w:rPr>
        <w:t>socios</w:t>
      </w:r>
      <w:r>
        <w:rPr>
          <w:color w:val="231F20"/>
          <w:spacing w:val="-25"/>
          <w:w w:val="105"/>
        </w:rPr>
        <w:t> </w:t>
      </w:r>
      <w:r>
        <w:rPr>
          <w:color w:val="231F20"/>
          <w:w w:val="105"/>
        </w:rPr>
        <w:t>y</w:t>
      </w:r>
      <w:r>
        <w:rPr>
          <w:color w:val="231F20"/>
          <w:spacing w:val="-25"/>
          <w:w w:val="105"/>
        </w:rPr>
        <w:t> </w:t>
      </w:r>
      <w:r>
        <w:rPr>
          <w:color w:val="231F20"/>
          <w:w w:val="105"/>
        </w:rPr>
        <w:t>recursos.</w:t>
      </w:r>
      <w:r>
        <w:rPr>
          <w:color w:val="231F20"/>
          <w:spacing w:val="-30"/>
          <w:w w:val="105"/>
        </w:rPr>
        <w:t> </w:t>
      </w:r>
      <w:r>
        <w:rPr>
          <w:color w:val="231F20"/>
          <w:w w:val="105"/>
        </w:rPr>
        <w:t>Los</w:t>
      </w:r>
      <w:r>
        <w:rPr>
          <w:color w:val="231F20"/>
          <w:spacing w:val="-25"/>
          <w:w w:val="105"/>
        </w:rPr>
        <w:t> </w:t>
      </w:r>
      <w:r>
        <w:rPr>
          <w:color w:val="231F20"/>
          <w:w w:val="105"/>
        </w:rPr>
        <w:t>indicadores</w:t>
      </w:r>
      <w:r>
        <w:rPr>
          <w:color w:val="231F20"/>
          <w:spacing w:val="-25"/>
          <w:w w:val="105"/>
        </w:rPr>
        <w:t> </w:t>
      </w:r>
      <w:r>
        <w:rPr>
          <w:color w:val="231F20"/>
          <w:w w:val="105"/>
        </w:rPr>
        <w:t>de</w:t>
      </w:r>
      <w:r>
        <w:rPr>
          <w:color w:val="231F20"/>
          <w:spacing w:val="-25"/>
          <w:w w:val="105"/>
        </w:rPr>
        <w:t> </w:t>
      </w:r>
      <w:r>
        <w:rPr>
          <w:color w:val="231F20"/>
          <w:w w:val="105"/>
        </w:rPr>
        <w:t>productos</w:t>
      </w:r>
      <w:r>
        <w:rPr>
          <w:color w:val="231F20"/>
          <w:spacing w:val="-25"/>
          <w:w w:val="105"/>
        </w:rPr>
        <w:t> </w:t>
      </w:r>
      <w:r>
        <w:rPr>
          <w:color w:val="231F20"/>
          <w:w w:val="105"/>
        </w:rPr>
        <w:t>fueron: resultados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recursos</w:t>
      </w:r>
      <w:r>
        <w:rPr>
          <w:color w:val="231F20"/>
          <w:spacing w:val="-11"/>
          <w:w w:val="105"/>
        </w:rPr>
        <w:t> </w:t>
      </w:r>
      <w:r>
        <w:rPr>
          <w:color w:val="231F20"/>
          <w:w w:val="105"/>
        </w:rPr>
        <w:t>humanos,</w:t>
      </w:r>
      <w:r>
        <w:rPr>
          <w:color w:val="231F20"/>
          <w:spacing w:val="-16"/>
          <w:w w:val="105"/>
        </w:rPr>
        <w:t> </w:t>
      </w:r>
      <w:r>
        <w:rPr>
          <w:color w:val="231F20"/>
          <w:w w:val="105"/>
        </w:rPr>
        <w:t>resultados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6"/>
          <w:w w:val="105"/>
        </w:rPr>
        <w:t> </w:t>
      </w:r>
      <w:r>
        <w:rPr>
          <w:color w:val="231F20"/>
          <w:w w:val="105"/>
        </w:rPr>
        <w:t>resulta- dos</w:t>
      </w:r>
      <w:r>
        <w:rPr>
          <w:color w:val="231F20"/>
          <w:spacing w:val="-18"/>
          <w:w w:val="105"/>
        </w:rPr>
        <w:t> </w:t>
      </w:r>
      <w:r>
        <w:rPr>
          <w:color w:val="231F20"/>
          <w:w w:val="105"/>
        </w:rPr>
        <w:t>financieros</w:t>
      </w:r>
      <w:r>
        <w:rPr>
          <w:color w:val="231F20"/>
          <w:spacing w:val="-18"/>
          <w:w w:val="105"/>
        </w:rPr>
        <w:t> </w:t>
      </w:r>
      <w:r>
        <w:rPr>
          <w:color w:val="231F20"/>
          <w:w w:val="105"/>
        </w:rPr>
        <w:t>y</w:t>
      </w:r>
      <w:r>
        <w:rPr>
          <w:color w:val="231F20"/>
          <w:spacing w:val="-18"/>
          <w:w w:val="105"/>
        </w:rPr>
        <w:t> </w:t>
      </w:r>
      <w:r>
        <w:rPr>
          <w:color w:val="231F20"/>
          <w:w w:val="105"/>
        </w:rPr>
        <w:t>económicos,</w:t>
      </w:r>
      <w:r>
        <w:rPr>
          <w:color w:val="231F20"/>
          <w:spacing w:val="-24"/>
          <w:w w:val="105"/>
        </w:rPr>
        <w:t> </w:t>
      </w:r>
      <w:r>
        <w:rPr>
          <w:color w:val="231F20"/>
          <w:w w:val="105"/>
        </w:rPr>
        <w:t>y</w:t>
      </w:r>
      <w:r>
        <w:rPr>
          <w:color w:val="231F20"/>
          <w:spacing w:val="-18"/>
          <w:w w:val="105"/>
        </w:rPr>
        <w:t> </w:t>
      </w:r>
      <w:r>
        <w:rPr>
          <w:color w:val="231F20"/>
          <w:w w:val="105"/>
        </w:rPr>
        <w:t>resultados</w:t>
      </w:r>
      <w:r>
        <w:rPr>
          <w:color w:val="231F20"/>
          <w:spacing w:val="-18"/>
          <w:w w:val="105"/>
        </w:rPr>
        <w:t> </w:t>
      </w:r>
      <w:r>
        <w:rPr>
          <w:color w:val="231F20"/>
          <w:w w:val="105"/>
        </w:rPr>
        <w:t>de</w:t>
      </w:r>
      <w:r>
        <w:rPr>
          <w:color w:val="231F20"/>
          <w:spacing w:val="-18"/>
          <w:w w:val="105"/>
        </w:rPr>
        <w:t> </w:t>
      </w:r>
      <w:r>
        <w:rPr>
          <w:color w:val="231F20"/>
          <w:w w:val="105"/>
        </w:rPr>
        <w:t>rendimiento.</w:t>
      </w:r>
    </w:p>
    <w:p>
      <w:pPr>
        <w:pStyle w:val="BodyText"/>
        <w:spacing w:line="259" w:lineRule="auto"/>
        <w:ind w:left="117" w:right="121" w:firstLine="567"/>
        <w:jc w:val="both"/>
      </w:pPr>
      <w:r>
        <w:rPr>
          <w:color w:val="231F20"/>
          <w:w w:val="105"/>
        </w:rPr>
        <w:t>En</w:t>
      </w:r>
      <w:r>
        <w:rPr>
          <w:color w:val="231F20"/>
          <w:spacing w:val="-25"/>
          <w:w w:val="105"/>
        </w:rPr>
        <w:t> </w:t>
      </w:r>
      <w:r>
        <w:rPr>
          <w:color w:val="231F20"/>
          <w:spacing w:val="-3"/>
          <w:w w:val="105"/>
        </w:rPr>
        <w:t>América</w:t>
      </w:r>
      <w:r>
        <w:rPr>
          <w:color w:val="231F20"/>
          <w:spacing w:val="-22"/>
          <w:w w:val="105"/>
        </w:rPr>
        <w:t> </w:t>
      </w:r>
      <w:r>
        <w:rPr>
          <w:color w:val="231F20"/>
          <w:spacing w:val="-3"/>
          <w:w w:val="105"/>
        </w:rPr>
        <w:t>Latina</w:t>
      </w:r>
      <w:r>
        <w:rPr>
          <w:color w:val="231F20"/>
          <w:spacing w:val="-22"/>
          <w:w w:val="105"/>
        </w:rPr>
        <w:t> </w:t>
      </w:r>
      <w:r>
        <w:rPr>
          <w:color w:val="231F20"/>
          <w:w w:val="105"/>
        </w:rPr>
        <w:t>se</w:t>
      </w:r>
      <w:r>
        <w:rPr>
          <w:color w:val="231F20"/>
          <w:spacing w:val="-22"/>
          <w:w w:val="105"/>
        </w:rPr>
        <w:t> </w:t>
      </w:r>
      <w:r>
        <w:rPr>
          <w:color w:val="231F20"/>
          <w:w w:val="105"/>
        </w:rPr>
        <w:t>ha</w:t>
      </w:r>
      <w:r>
        <w:rPr>
          <w:color w:val="231F20"/>
          <w:spacing w:val="-22"/>
          <w:w w:val="105"/>
        </w:rPr>
        <w:t> </w:t>
      </w:r>
      <w:r>
        <w:rPr>
          <w:color w:val="231F20"/>
          <w:spacing w:val="-3"/>
          <w:w w:val="105"/>
        </w:rPr>
        <w:t>aplicado</w:t>
      </w:r>
      <w:r>
        <w:rPr>
          <w:color w:val="231F20"/>
          <w:spacing w:val="-22"/>
          <w:w w:val="105"/>
        </w:rPr>
        <w:t> </w:t>
      </w:r>
      <w:r>
        <w:rPr>
          <w:color w:val="231F20"/>
          <w:w w:val="105"/>
        </w:rPr>
        <w:t>el</w:t>
      </w:r>
      <w:r>
        <w:rPr>
          <w:color w:val="231F20"/>
          <w:spacing w:val="-22"/>
          <w:w w:val="105"/>
        </w:rPr>
        <w:t> </w:t>
      </w:r>
      <w:r>
        <w:rPr>
          <w:color w:val="231F20"/>
          <w:spacing w:val="-3"/>
          <w:w w:val="105"/>
        </w:rPr>
        <w:t>modelo</w:t>
      </w:r>
      <w:r>
        <w:rPr>
          <w:color w:val="231F20"/>
          <w:spacing w:val="-22"/>
          <w:w w:val="105"/>
        </w:rPr>
        <w:t> </w:t>
      </w:r>
      <w:r>
        <w:rPr>
          <w:color w:val="231F20"/>
          <w:spacing w:val="-3"/>
          <w:w w:val="105"/>
        </w:rPr>
        <w:t>EFQM</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spacing w:val="-3"/>
          <w:w w:val="105"/>
        </w:rPr>
        <w:t>sector</w:t>
      </w:r>
      <w:r>
        <w:rPr>
          <w:color w:val="231F20"/>
          <w:spacing w:val="-22"/>
          <w:w w:val="105"/>
        </w:rPr>
        <w:t> </w:t>
      </w:r>
      <w:r>
        <w:rPr>
          <w:color w:val="231F20"/>
          <w:spacing w:val="-3"/>
          <w:w w:val="105"/>
        </w:rPr>
        <w:t>edu- cativo</w:t>
      </w:r>
      <w:r>
        <w:rPr>
          <w:color w:val="231F20"/>
          <w:spacing w:val="-25"/>
          <w:w w:val="105"/>
        </w:rPr>
        <w:t> </w:t>
      </w:r>
      <w:r>
        <w:rPr>
          <w:color w:val="231F20"/>
          <w:w w:val="105"/>
        </w:rPr>
        <w:t>en</w:t>
      </w:r>
      <w:r>
        <w:rPr>
          <w:color w:val="231F20"/>
          <w:spacing w:val="-25"/>
          <w:w w:val="105"/>
        </w:rPr>
        <w:t> </w:t>
      </w:r>
      <w:r>
        <w:rPr>
          <w:color w:val="231F20"/>
          <w:spacing w:val="-3"/>
          <w:w w:val="105"/>
        </w:rPr>
        <w:t>Colombia,</w:t>
      </w:r>
      <w:r>
        <w:rPr>
          <w:color w:val="231F20"/>
          <w:spacing w:val="-31"/>
          <w:w w:val="105"/>
        </w:rPr>
        <w:t> </w:t>
      </w:r>
      <w:r>
        <w:rPr>
          <w:color w:val="231F20"/>
          <w:spacing w:val="-3"/>
          <w:w w:val="105"/>
        </w:rPr>
        <w:t>país</w:t>
      </w:r>
      <w:r>
        <w:rPr>
          <w:color w:val="231F20"/>
          <w:spacing w:val="-25"/>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spacing w:val="-3"/>
          <w:w w:val="105"/>
        </w:rPr>
        <w:t>cual</w:t>
      </w:r>
      <w:r>
        <w:rPr>
          <w:color w:val="231F20"/>
          <w:spacing w:val="-25"/>
          <w:w w:val="105"/>
        </w:rPr>
        <w:t> </w:t>
      </w:r>
      <w:r>
        <w:rPr>
          <w:color w:val="231F20"/>
          <w:w w:val="105"/>
        </w:rPr>
        <w:t>el</w:t>
      </w:r>
      <w:r>
        <w:rPr>
          <w:color w:val="231F20"/>
          <w:spacing w:val="-25"/>
          <w:w w:val="105"/>
        </w:rPr>
        <w:t> </w:t>
      </w:r>
      <w:r>
        <w:rPr>
          <w:color w:val="231F20"/>
          <w:spacing w:val="-3"/>
          <w:w w:val="105"/>
        </w:rPr>
        <w:t>Ministerio</w:t>
      </w:r>
      <w:r>
        <w:rPr>
          <w:color w:val="231F20"/>
          <w:spacing w:val="-25"/>
          <w:w w:val="105"/>
        </w:rPr>
        <w:t> </w:t>
      </w:r>
      <w:r>
        <w:rPr>
          <w:color w:val="231F20"/>
          <w:w w:val="105"/>
        </w:rPr>
        <w:t>de</w:t>
      </w:r>
      <w:r>
        <w:rPr>
          <w:color w:val="231F20"/>
          <w:spacing w:val="-25"/>
          <w:w w:val="105"/>
        </w:rPr>
        <w:t> </w:t>
      </w:r>
      <w:r>
        <w:rPr>
          <w:color w:val="231F20"/>
          <w:spacing w:val="-3"/>
          <w:w w:val="105"/>
        </w:rPr>
        <w:t>Educación</w:t>
      </w:r>
      <w:r>
        <w:rPr>
          <w:color w:val="231F20"/>
          <w:spacing w:val="-25"/>
          <w:w w:val="105"/>
        </w:rPr>
        <w:t> </w:t>
      </w:r>
      <w:r>
        <w:rPr>
          <w:color w:val="231F20"/>
          <w:w w:val="105"/>
        </w:rPr>
        <w:t>ha</w:t>
      </w:r>
      <w:r>
        <w:rPr>
          <w:color w:val="231F20"/>
          <w:spacing w:val="-25"/>
          <w:w w:val="105"/>
        </w:rPr>
        <w:t> </w:t>
      </w:r>
      <w:r>
        <w:rPr>
          <w:color w:val="231F20"/>
          <w:spacing w:val="-3"/>
          <w:w w:val="105"/>
        </w:rPr>
        <w:t>reconoci- </w:t>
      </w:r>
      <w:r>
        <w:rPr>
          <w:color w:val="231F20"/>
          <w:w w:val="105"/>
        </w:rPr>
        <w:t>do</w:t>
      </w:r>
      <w:r>
        <w:rPr>
          <w:color w:val="231F20"/>
          <w:spacing w:val="-7"/>
          <w:w w:val="105"/>
        </w:rPr>
        <w:t> </w:t>
      </w:r>
      <w:r>
        <w:rPr>
          <w:color w:val="231F20"/>
          <w:spacing w:val="-3"/>
          <w:w w:val="105"/>
        </w:rPr>
        <w:t>este</w:t>
      </w:r>
      <w:r>
        <w:rPr>
          <w:color w:val="231F20"/>
          <w:spacing w:val="-7"/>
          <w:w w:val="105"/>
        </w:rPr>
        <w:t> </w:t>
      </w:r>
      <w:r>
        <w:rPr>
          <w:color w:val="231F20"/>
          <w:spacing w:val="-3"/>
          <w:w w:val="105"/>
        </w:rPr>
        <w:t>modelo</w:t>
      </w:r>
      <w:r>
        <w:rPr>
          <w:color w:val="231F20"/>
          <w:spacing w:val="-7"/>
          <w:w w:val="105"/>
        </w:rPr>
        <w:t> </w:t>
      </w:r>
      <w:r>
        <w:rPr>
          <w:color w:val="231F20"/>
          <w:spacing w:val="-3"/>
          <w:w w:val="105"/>
        </w:rPr>
        <w:t>como</w:t>
      </w:r>
      <w:r>
        <w:rPr>
          <w:color w:val="231F20"/>
          <w:spacing w:val="-7"/>
          <w:w w:val="105"/>
        </w:rPr>
        <w:t> </w:t>
      </w:r>
      <w:r>
        <w:rPr>
          <w:color w:val="231F20"/>
          <w:w w:val="105"/>
        </w:rPr>
        <w:t>un</w:t>
      </w:r>
      <w:r>
        <w:rPr>
          <w:color w:val="231F20"/>
          <w:spacing w:val="-7"/>
          <w:w w:val="105"/>
        </w:rPr>
        <w:t> </w:t>
      </w:r>
      <w:r>
        <w:rPr>
          <w:color w:val="231F20"/>
          <w:spacing w:val="-3"/>
          <w:w w:val="105"/>
        </w:rPr>
        <w:t>sistema</w:t>
      </w:r>
      <w:r>
        <w:rPr>
          <w:color w:val="231F20"/>
          <w:spacing w:val="-7"/>
          <w:w w:val="105"/>
        </w:rPr>
        <w:t> </w:t>
      </w:r>
      <w:r>
        <w:rPr>
          <w:color w:val="231F20"/>
          <w:spacing w:val="-3"/>
          <w:w w:val="105"/>
        </w:rPr>
        <w:t>válido</w:t>
      </w:r>
      <w:r>
        <w:rPr>
          <w:color w:val="231F20"/>
          <w:spacing w:val="-7"/>
          <w:w w:val="105"/>
        </w:rPr>
        <w:t> </w:t>
      </w:r>
      <w:r>
        <w:rPr>
          <w:color w:val="231F20"/>
          <w:w w:val="105"/>
        </w:rPr>
        <w:t>de</w:t>
      </w:r>
      <w:r>
        <w:rPr>
          <w:color w:val="231F20"/>
          <w:spacing w:val="-7"/>
          <w:w w:val="105"/>
        </w:rPr>
        <w:t> </w:t>
      </w:r>
      <w:r>
        <w:rPr>
          <w:color w:val="231F20"/>
          <w:spacing w:val="-3"/>
          <w:w w:val="105"/>
        </w:rPr>
        <w:t>gestión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spacing w:val="-3"/>
          <w:w w:val="105"/>
        </w:rPr>
        <w:t>calidad</w:t>
      </w:r>
      <w:r>
        <w:rPr>
          <w:color w:val="231F20"/>
          <w:spacing w:val="-7"/>
          <w:w w:val="105"/>
        </w:rPr>
        <w:t> </w:t>
      </w:r>
      <w:r>
        <w:rPr>
          <w:color w:val="231F20"/>
          <w:w w:val="105"/>
        </w:rPr>
        <w:t>en</w:t>
      </w:r>
      <w:r>
        <w:rPr>
          <w:color w:val="231F20"/>
          <w:spacing w:val="-7"/>
          <w:w w:val="105"/>
        </w:rPr>
        <w:t> </w:t>
      </w:r>
      <w:r>
        <w:rPr>
          <w:color w:val="231F20"/>
          <w:spacing w:val="-3"/>
          <w:w w:val="105"/>
        </w:rPr>
        <w:t>cole- gios</w:t>
      </w:r>
      <w:r>
        <w:rPr>
          <w:color w:val="231F20"/>
          <w:spacing w:val="-11"/>
          <w:w w:val="105"/>
        </w:rPr>
        <w:t> </w:t>
      </w:r>
      <w:r>
        <w:rPr>
          <w:color w:val="231F20"/>
          <w:spacing w:val="-3"/>
          <w:w w:val="105"/>
        </w:rPr>
        <w:t>privados</w:t>
      </w:r>
      <w:r>
        <w:rPr>
          <w:color w:val="231F20"/>
          <w:spacing w:val="-11"/>
          <w:w w:val="105"/>
        </w:rPr>
        <w:t> </w:t>
      </w:r>
      <w:r>
        <w:rPr>
          <w:color w:val="231F20"/>
          <w:spacing w:val="-3"/>
          <w:w w:val="105"/>
        </w:rPr>
        <w:t>(Ministerio</w:t>
      </w:r>
      <w:r>
        <w:rPr>
          <w:color w:val="231F20"/>
          <w:spacing w:val="-11"/>
          <w:w w:val="105"/>
        </w:rPr>
        <w:t> </w:t>
      </w:r>
      <w:r>
        <w:rPr>
          <w:color w:val="231F20"/>
          <w:w w:val="105"/>
        </w:rPr>
        <w:t>de</w:t>
      </w:r>
      <w:r>
        <w:rPr>
          <w:color w:val="231F20"/>
          <w:spacing w:val="-11"/>
          <w:w w:val="105"/>
        </w:rPr>
        <w:t> </w:t>
      </w:r>
      <w:r>
        <w:rPr>
          <w:color w:val="231F20"/>
          <w:spacing w:val="-3"/>
          <w:w w:val="105"/>
        </w:rPr>
        <w:t>Educación</w:t>
      </w:r>
      <w:r>
        <w:rPr>
          <w:color w:val="231F20"/>
          <w:spacing w:val="-11"/>
          <w:w w:val="105"/>
        </w:rPr>
        <w:t> </w:t>
      </w:r>
      <w:r>
        <w:rPr>
          <w:color w:val="231F20"/>
          <w:spacing w:val="-4"/>
          <w:w w:val="105"/>
        </w:rPr>
        <w:t>Colombiano,</w:t>
      </w:r>
      <w:r>
        <w:rPr>
          <w:color w:val="231F20"/>
          <w:spacing w:val="-16"/>
          <w:w w:val="105"/>
        </w:rPr>
        <w:t> </w:t>
      </w:r>
      <w:r>
        <w:rPr>
          <w:color w:val="231F20"/>
          <w:spacing w:val="-3"/>
          <w:w w:val="105"/>
        </w:rPr>
        <w:t>2011).</w:t>
      </w:r>
      <w:r>
        <w:rPr>
          <w:color w:val="231F20"/>
          <w:spacing w:val="-16"/>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spacing w:val="-3"/>
          <w:w w:val="105"/>
        </w:rPr>
        <w:t>caso</w:t>
      </w:r>
      <w:r>
        <w:rPr>
          <w:color w:val="231F20"/>
          <w:spacing w:val="-11"/>
          <w:w w:val="105"/>
        </w:rPr>
        <w:t> </w:t>
      </w:r>
      <w:r>
        <w:rPr>
          <w:color w:val="231F20"/>
          <w:spacing w:val="-3"/>
          <w:w w:val="105"/>
        </w:rPr>
        <w:t>de México,</w:t>
      </w:r>
      <w:r>
        <w:rPr>
          <w:color w:val="231F20"/>
          <w:spacing w:val="-20"/>
          <w:w w:val="105"/>
        </w:rPr>
        <w:t> </w:t>
      </w:r>
      <w:r>
        <w:rPr>
          <w:color w:val="231F20"/>
          <w:w w:val="105"/>
        </w:rPr>
        <w:t>se</w:t>
      </w:r>
      <w:r>
        <w:rPr>
          <w:color w:val="231F20"/>
          <w:spacing w:val="-15"/>
          <w:w w:val="105"/>
        </w:rPr>
        <w:t> </w:t>
      </w:r>
      <w:r>
        <w:rPr>
          <w:color w:val="231F20"/>
          <w:spacing w:val="-3"/>
          <w:w w:val="105"/>
        </w:rPr>
        <w:t>detectan</w:t>
      </w:r>
      <w:r>
        <w:rPr>
          <w:color w:val="231F20"/>
          <w:spacing w:val="-15"/>
          <w:w w:val="105"/>
        </w:rPr>
        <w:t> </w:t>
      </w:r>
      <w:r>
        <w:rPr>
          <w:color w:val="231F20"/>
          <w:w w:val="105"/>
        </w:rPr>
        <w:t>dos</w:t>
      </w:r>
      <w:r>
        <w:rPr>
          <w:color w:val="231F20"/>
          <w:spacing w:val="-15"/>
          <w:w w:val="105"/>
        </w:rPr>
        <w:t> </w:t>
      </w:r>
      <w:r>
        <w:rPr>
          <w:color w:val="231F20"/>
          <w:spacing w:val="-3"/>
          <w:w w:val="105"/>
        </w:rPr>
        <w:t>casos</w:t>
      </w:r>
      <w:r>
        <w:rPr>
          <w:color w:val="231F20"/>
          <w:spacing w:val="-15"/>
          <w:w w:val="105"/>
        </w:rPr>
        <w:t> </w:t>
      </w:r>
      <w:r>
        <w:rPr>
          <w:color w:val="231F20"/>
          <w:spacing w:val="-3"/>
          <w:w w:val="105"/>
        </w:rPr>
        <w:t>diagnósticos.</w:t>
      </w:r>
      <w:r>
        <w:rPr>
          <w:color w:val="231F20"/>
          <w:spacing w:val="-20"/>
          <w:w w:val="105"/>
        </w:rPr>
        <w:t> </w:t>
      </w:r>
      <w:r>
        <w:rPr>
          <w:color w:val="231F20"/>
          <w:w w:val="105"/>
        </w:rPr>
        <w:t>Uno</w:t>
      </w:r>
      <w:r>
        <w:rPr>
          <w:color w:val="231F20"/>
          <w:spacing w:val="-15"/>
          <w:w w:val="105"/>
        </w:rPr>
        <w:t> </w:t>
      </w:r>
      <w:r>
        <w:rPr>
          <w:color w:val="231F20"/>
          <w:spacing w:val="-3"/>
          <w:w w:val="105"/>
        </w:rPr>
        <w:t>aplicado</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Universi- </w:t>
      </w:r>
      <w:r>
        <w:rPr>
          <w:color w:val="231F20"/>
          <w:w w:val="105"/>
        </w:rPr>
        <w:t>dad</w:t>
      </w:r>
      <w:r>
        <w:rPr>
          <w:color w:val="231F20"/>
          <w:spacing w:val="-24"/>
          <w:w w:val="105"/>
        </w:rPr>
        <w:t> </w:t>
      </w:r>
      <w:r>
        <w:rPr>
          <w:color w:val="231F20"/>
          <w:spacing w:val="-3"/>
          <w:w w:val="105"/>
        </w:rPr>
        <w:t>Autónoma</w:t>
      </w:r>
      <w:r>
        <w:rPr>
          <w:color w:val="231F20"/>
          <w:spacing w:val="-20"/>
          <w:w w:val="105"/>
        </w:rPr>
        <w:t> </w:t>
      </w:r>
      <w:r>
        <w:rPr>
          <w:color w:val="231F20"/>
          <w:w w:val="105"/>
        </w:rPr>
        <w:t>del</w:t>
      </w:r>
      <w:r>
        <w:rPr>
          <w:color w:val="231F20"/>
          <w:spacing w:val="-20"/>
          <w:w w:val="105"/>
        </w:rPr>
        <w:t> </w:t>
      </w:r>
      <w:r>
        <w:rPr>
          <w:color w:val="231F20"/>
          <w:spacing w:val="-3"/>
          <w:w w:val="105"/>
        </w:rPr>
        <w:t>Estado</w:t>
      </w:r>
      <w:r>
        <w:rPr>
          <w:color w:val="231F20"/>
          <w:spacing w:val="-20"/>
          <w:w w:val="105"/>
        </w:rPr>
        <w:t> </w:t>
      </w:r>
      <w:r>
        <w:rPr>
          <w:color w:val="231F20"/>
          <w:w w:val="105"/>
        </w:rPr>
        <w:t>de</w:t>
      </w:r>
      <w:r>
        <w:rPr>
          <w:color w:val="231F20"/>
          <w:spacing w:val="-20"/>
          <w:w w:val="105"/>
        </w:rPr>
        <w:t> </w:t>
      </w:r>
      <w:r>
        <w:rPr>
          <w:color w:val="231F20"/>
          <w:spacing w:val="-3"/>
          <w:w w:val="105"/>
        </w:rPr>
        <w:t>México</w:t>
      </w:r>
      <w:r>
        <w:rPr>
          <w:color w:val="231F20"/>
          <w:spacing w:val="-20"/>
          <w:w w:val="105"/>
        </w:rPr>
        <w:t> </w:t>
      </w:r>
      <w:r>
        <w:rPr>
          <w:color w:val="231F20"/>
          <w:spacing w:val="-4"/>
          <w:w w:val="105"/>
        </w:rPr>
        <w:t>(Cortés,</w:t>
      </w:r>
      <w:r>
        <w:rPr>
          <w:color w:val="231F20"/>
          <w:spacing w:val="-26"/>
          <w:w w:val="105"/>
        </w:rPr>
        <w:t> </w:t>
      </w:r>
      <w:r>
        <w:rPr>
          <w:color w:val="231F20"/>
          <w:spacing w:val="-3"/>
          <w:w w:val="105"/>
        </w:rPr>
        <w:t>2001)</w:t>
      </w:r>
      <w:r>
        <w:rPr>
          <w:color w:val="231F20"/>
          <w:spacing w:val="-20"/>
          <w:w w:val="105"/>
        </w:rPr>
        <w:t> </w:t>
      </w:r>
      <w:r>
        <w:rPr>
          <w:color w:val="231F20"/>
          <w:w w:val="105"/>
        </w:rPr>
        <w:t>y</w:t>
      </w:r>
      <w:r>
        <w:rPr>
          <w:color w:val="231F20"/>
          <w:spacing w:val="-20"/>
          <w:w w:val="105"/>
        </w:rPr>
        <w:t> </w:t>
      </w:r>
      <w:r>
        <w:rPr>
          <w:color w:val="231F20"/>
          <w:spacing w:val="-3"/>
          <w:w w:val="105"/>
        </w:rPr>
        <w:t>otro</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spacing w:val="-3"/>
          <w:w w:val="105"/>
        </w:rPr>
        <w:t>institutos tecnológicos</w:t>
      </w:r>
      <w:r>
        <w:rPr>
          <w:color w:val="231F20"/>
          <w:spacing w:val="-28"/>
          <w:w w:val="105"/>
        </w:rPr>
        <w:t> </w:t>
      </w:r>
      <w:r>
        <w:rPr>
          <w:color w:val="231F20"/>
          <w:spacing w:val="-3"/>
          <w:w w:val="105"/>
        </w:rPr>
        <w:t>descentralizados</w:t>
      </w:r>
      <w:r>
        <w:rPr>
          <w:color w:val="231F20"/>
          <w:spacing w:val="-28"/>
          <w:w w:val="105"/>
        </w:rPr>
        <w:t> </w:t>
      </w:r>
      <w:r>
        <w:rPr>
          <w:color w:val="231F20"/>
          <w:w w:val="105"/>
        </w:rPr>
        <w:t>del</w:t>
      </w:r>
      <w:r>
        <w:rPr>
          <w:color w:val="231F20"/>
          <w:spacing w:val="-28"/>
          <w:w w:val="105"/>
        </w:rPr>
        <w:t> </w:t>
      </w:r>
      <w:r>
        <w:rPr>
          <w:color w:val="231F20"/>
          <w:spacing w:val="-3"/>
          <w:w w:val="105"/>
        </w:rPr>
        <w:t>estado</w:t>
      </w:r>
      <w:r>
        <w:rPr>
          <w:color w:val="231F20"/>
          <w:spacing w:val="-28"/>
          <w:w w:val="105"/>
        </w:rPr>
        <w:t> </w:t>
      </w:r>
      <w:r>
        <w:rPr>
          <w:color w:val="231F20"/>
          <w:w w:val="105"/>
        </w:rPr>
        <w:t>de</w:t>
      </w:r>
      <w:r>
        <w:rPr>
          <w:color w:val="231F20"/>
          <w:spacing w:val="-30"/>
          <w:w w:val="105"/>
        </w:rPr>
        <w:t> </w:t>
      </w:r>
      <w:r>
        <w:rPr>
          <w:color w:val="231F20"/>
          <w:spacing w:val="-4"/>
          <w:w w:val="105"/>
        </w:rPr>
        <w:t>Veracruz</w:t>
      </w:r>
      <w:r>
        <w:rPr>
          <w:color w:val="231F20"/>
          <w:spacing w:val="-28"/>
          <w:w w:val="105"/>
        </w:rPr>
        <w:t> </w:t>
      </w:r>
      <w:r>
        <w:rPr>
          <w:color w:val="231F20"/>
          <w:spacing w:val="-4"/>
          <w:w w:val="105"/>
        </w:rPr>
        <w:t>(Machorro,</w:t>
      </w:r>
      <w:r>
        <w:rPr>
          <w:color w:val="231F20"/>
          <w:spacing w:val="-32"/>
          <w:w w:val="105"/>
        </w:rPr>
        <w:t> </w:t>
      </w:r>
      <w:r>
        <w:rPr>
          <w:color w:val="231F20"/>
          <w:spacing w:val="-3"/>
          <w:w w:val="105"/>
        </w:rPr>
        <w:t>2013).</w:t>
      </w:r>
    </w:p>
    <w:p>
      <w:pPr>
        <w:pStyle w:val="BodyText"/>
        <w:spacing w:line="259" w:lineRule="auto"/>
        <w:ind w:left="117" w:right="115" w:firstLine="567"/>
        <w:jc w:val="both"/>
      </w:pPr>
      <w:r>
        <w:rPr>
          <w:color w:val="231F20"/>
          <w:w w:val="105"/>
        </w:rPr>
        <w:t>La</w:t>
      </w:r>
      <w:r>
        <w:rPr>
          <w:color w:val="231F20"/>
          <w:spacing w:val="-29"/>
          <w:w w:val="105"/>
        </w:rPr>
        <w:t> </w:t>
      </w:r>
      <w:r>
        <w:rPr>
          <w:color w:val="231F20"/>
          <w:w w:val="105"/>
        </w:rPr>
        <w:t>manera</w:t>
      </w:r>
      <w:r>
        <w:rPr>
          <w:color w:val="231F20"/>
          <w:spacing w:val="-29"/>
          <w:w w:val="105"/>
        </w:rPr>
        <w:t> </w:t>
      </w:r>
      <w:r>
        <w:rPr>
          <w:color w:val="231F20"/>
          <w:w w:val="105"/>
        </w:rPr>
        <w:t>más</w:t>
      </w:r>
      <w:r>
        <w:rPr>
          <w:color w:val="231F20"/>
          <w:spacing w:val="-29"/>
          <w:w w:val="105"/>
        </w:rPr>
        <w:t> </w:t>
      </w:r>
      <w:r>
        <w:rPr>
          <w:color w:val="231F20"/>
          <w:w w:val="105"/>
        </w:rPr>
        <w:t>usual</w:t>
      </w:r>
      <w:r>
        <w:rPr>
          <w:color w:val="231F20"/>
          <w:spacing w:val="-29"/>
          <w:w w:val="105"/>
        </w:rPr>
        <w:t> </w:t>
      </w:r>
      <w:r>
        <w:rPr>
          <w:color w:val="231F20"/>
          <w:w w:val="105"/>
        </w:rPr>
        <w:t>de</w:t>
      </w:r>
      <w:r>
        <w:rPr>
          <w:color w:val="231F20"/>
          <w:spacing w:val="-29"/>
          <w:w w:val="105"/>
        </w:rPr>
        <w:t> </w:t>
      </w:r>
      <w:r>
        <w:rPr>
          <w:color w:val="231F20"/>
          <w:w w:val="105"/>
        </w:rPr>
        <w:t>realizar</w:t>
      </w:r>
      <w:r>
        <w:rPr>
          <w:color w:val="231F20"/>
          <w:spacing w:val="-29"/>
          <w:w w:val="105"/>
        </w:rPr>
        <w:t> </w:t>
      </w:r>
      <w:r>
        <w:rPr>
          <w:color w:val="231F20"/>
          <w:w w:val="105"/>
        </w:rPr>
        <w:t>la</w:t>
      </w:r>
      <w:r>
        <w:rPr>
          <w:color w:val="231F20"/>
          <w:spacing w:val="-29"/>
          <w:w w:val="105"/>
        </w:rPr>
        <w:t> </w:t>
      </w:r>
      <w:r>
        <w:rPr>
          <w:color w:val="231F20"/>
          <w:w w:val="105"/>
        </w:rPr>
        <w:t>autoevaluación</w:t>
      </w:r>
      <w:r>
        <w:rPr>
          <w:color w:val="231F20"/>
          <w:spacing w:val="-29"/>
          <w:w w:val="105"/>
        </w:rPr>
        <w:t> </w:t>
      </w:r>
      <w:r>
        <w:rPr>
          <w:color w:val="231F20"/>
          <w:w w:val="105"/>
        </w:rPr>
        <w:t>mediante</w:t>
      </w:r>
      <w:r>
        <w:rPr>
          <w:color w:val="231F20"/>
          <w:spacing w:val="-29"/>
          <w:w w:val="105"/>
        </w:rPr>
        <w:t> </w:t>
      </w:r>
      <w:r>
        <w:rPr>
          <w:color w:val="231F20"/>
          <w:w w:val="105"/>
        </w:rPr>
        <w:t>el</w:t>
      </w:r>
      <w:r>
        <w:rPr>
          <w:color w:val="231F20"/>
          <w:spacing w:val="-29"/>
          <w:w w:val="105"/>
        </w:rPr>
        <w:t> </w:t>
      </w:r>
      <w:r>
        <w:rPr>
          <w:color w:val="231F20"/>
          <w:w w:val="105"/>
        </w:rPr>
        <w:t>mo- delo</w:t>
      </w:r>
      <w:r>
        <w:rPr>
          <w:color w:val="231F20"/>
          <w:spacing w:val="-22"/>
          <w:w w:val="105"/>
        </w:rPr>
        <w:t> </w:t>
      </w:r>
      <w:r>
        <w:rPr>
          <w:color w:val="231F20"/>
          <w:w w:val="105"/>
        </w:rPr>
        <w:t>EFQM</w:t>
      </w:r>
      <w:r>
        <w:rPr>
          <w:color w:val="231F20"/>
          <w:spacing w:val="-22"/>
          <w:w w:val="105"/>
        </w:rPr>
        <w:t> </w:t>
      </w:r>
      <w:r>
        <w:rPr>
          <w:color w:val="231F20"/>
          <w:w w:val="105"/>
        </w:rPr>
        <w:t>en</w:t>
      </w:r>
      <w:r>
        <w:rPr>
          <w:color w:val="231F20"/>
          <w:spacing w:val="-22"/>
          <w:w w:val="105"/>
        </w:rPr>
        <w:t> </w:t>
      </w:r>
      <w:r>
        <w:rPr>
          <w:color w:val="231F20"/>
          <w:w w:val="105"/>
        </w:rPr>
        <w:t>instituciones</w:t>
      </w:r>
      <w:r>
        <w:rPr>
          <w:color w:val="231F20"/>
          <w:spacing w:val="-22"/>
          <w:w w:val="105"/>
        </w:rPr>
        <w:t> </w:t>
      </w:r>
      <w:r>
        <w:rPr>
          <w:color w:val="231F20"/>
          <w:w w:val="105"/>
        </w:rPr>
        <w:t>educativas,</w:t>
      </w:r>
      <w:r>
        <w:rPr>
          <w:color w:val="231F20"/>
          <w:spacing w:val="-27"/>
          <w:w w:val="105"/>
        </w:rPr>
        <w:t> </w:t>
      </w:r>
      <w:r>
        <w:rPr>
          <w:color w:val="231F20"/>
          <w:w w:val="105"/>
        </w:rPr>
        <w:t>es</w:t>
      </w:r>
      <w:r>
        <w:rPr>
          <w:color w:val="231F20"/>
          <w:spacing w:val="-22"/>
          <w:w w:val="105"/>
        </w:rPr>
        <w:t> </w:t>
      </w:r>
      <w:r>
        <w:rPr>
          <w:color w:val="231F20"/>
          <w:w w:val="105"/>
        </w:rPr>
        <w:t>la</w:t>
      </w:r>
      <w:r>
        <w:rPr>
          <w:color w:val="231F20"/>
          <w:spacing w:val="-22"/>
          <w:w w:val="105"/>
        </w:rPr>
        <w:t> </w:t>
      </w:r>
      <w:r>
        <w:rPr>
          <w:color w:val="231F20"/>
          <w:w w:val="105"/>
        </w:rPr>
        <w:t>aplicación</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w w:val="105"/>
        </w:rPr>
        <w:t>cuestiona- rio a un comité conformado por empleados de la organización, lo cual supone</w:t>
      </w:r>
      <w:r>
        <w:rPr>
          <w:color w:val="231F20"/>
          <w:spacing w:val="-15"/>
          <w:w w:val="105"/>
        </w:rPr>
        <w:t> </w:t>
      </w:r>
      <w:r>
        <w:rPr>
          <w:color w:val="231F20"/>
          <w:w w:val="105"/>
        </w:rPr>
        <w:t>ventajas</w:t>
      </w:r>
      <w:r>
        <w:rPr>
          <w:color w:val="231F20"/>
          <w:spacing w:val="-15"/>
          <w:w w:val="105"/>
        </w:rPr>
        <w:t> </w:t>
      </w:r>
      <w:r>
        <w:rPr>
          <w:color w:val="231F20"/>
          <w:w w:val="105"/>
        </w:rPr>
        <w:t>tales</w:t>
      </w:r>
      <w:r>
        <w:rPr>
          <w:color w:val="231F20"/>
          <w:spacing w:val="-15"/>
          <w:w w:val="105"/>
        </w:rPr>
        <w:t> </w:t>
      </w:r>
      <w:r>
        <w:rPr>
          <w:color w:val="231F20"/>
          <w:w w:val="105"/>
        </w:rPr>
        <w:t>como</w:t>
      </w:r>
      <w:r>
        <w:rPr>
          <w:color w:val="231F20"/>
          <w:spacing w:val="-15"/>
          <w:w w:val="105"/>
        </w:rPr>
        <w:t> </w:t>
      </w:r>
      <w:r>
        <w:rPr>
          <w:color w:val="231F20"/>
          <w:w w:val="105"/>
        </w:rPr>
        <w:t>facilidad,</w:t>
      </w:r>
      <w:r>
        <w:rPr>
          <w:color w:val="231F20"/>
          <w:spacing w:val="-19"/>
          <w:w w:val="105"/>
        </w:rPr>
        <w:t> </w:t>
      </w:r>
      <w:r>
        <w:rPr>
          <w:color w:val="231F20"/>
          <w:w w:val="105"/>
        </w:rPr>
        <w:t>economía</w:t>
      </w:r>
      <w:r>
        <w:rPr>
          <w:color w:val="231F20"/>
          <w:spacing w:val="-15"/>
          <w:w w:val="105"/>
        </w:rPr>
        <w:t> </w:t>
      </w:r>
      <w:r>
        <w:rPr>
          <w:color w:val="231F20"/>
          <w:w w:val="105"/>
        </w:rPr>
        <w:t>y</w:t>
      </w:r>
      <w:r>
        <w:rPr>
          <w:color w:val="231F20"/>
          <w:spacing w:val="-15"/>
          <w:w w:val="105"/>
        </w:rPr>
        <w:t> </w:t>
      </w:r>
      <w:r>
        <w:rPr>
          <w:color w:val="231F20"/>
          <w:w w:val="105"/>
        </w:rPr>
        <w:t>rapidez;</w:t>
      </w:r>
      <w:r>
        <w:rPr>
          <w:color w:val="231F20"/>
          <w:spacing w:val="-15"/>
          <w:w w:val="105"/>
        </w:rPr>
        <w:t> </w:t>
      </w:r>
      <w:r>
        <w:rPr>
          <w:color w:val="231F20"/>
          <w:w w:val="105"/>
        </w:rPr>
        <w:t>sin</w:t>
      </w:r>
      <w:r>
        <w:rPr>
          <w:color w:val="231F20"/>
          <w:spacing w:val="-15"/>
          <w:w w:val="105"/>
        </w:rPr>
        <w:t> </w:t>
      </w:r>
      <w:r>
        <w:rPr>
          <w:color w:val="231F20"/>
          <w:w w:val="105"/>
        </w:rPr>
        <w:t>embargo, también se considera que esta metodología no permite un examen</w:t>
      </w:r>
      <w:r>
        <w:rPr>
          <w:color w:val="231F20"/>
          <w:spacing w:val="8"/>
          <w:w w:val="105"/>
        </w:rPr>
        <w:t> </w:t>
      </w:r>
      <w:r>
        <w:rPr>
          <w:color w:val="231F20"/>
          <w:w w:val="105"/>
        </w:rPr>
        <w:t>ex-</w:t>
      </w:r>
    </w:p>
    <w:p>
      <w:pPr>
        <w:spacing w:after="0" w:line="259" w:lineRule="auto"/>
        <w:jc w:val="both"/>
        <w:sectPr>
          <w:pgSz w:w="9640" w:h="13890"/>
          <w:pgMar w:top="0" w:bottom="280" w:left="1300" w:right="1180"/>
        </w:sectPr>
      </w:pPr>
    </w:p>
    <w:p>
      <w:pPr>
        <w:pStyle w:val="BodyText"/>
        <w:spacing w:line="259" w:lineRule="auto" w:before="120"/>
        <w:ind w:left="103" w:right="115"/>
        <w:jc w:val="both"/>
      </w:pPr>
      <w:r>
        <w:rPr>
          <w:color w:val="231F20"/>
          <w:w w:val="105"/>
        </w:rPr>
        <w:t>haustivo, ya que al estar sustentado en la percepción de los miembros del</w:t>
      </w:r>
      <w:r>
        <w:rPr>
          <w:color w:val="231F20"/>
          <w:spacing w:val="-7"/>
          <w:w w:val="105"/>
        </w:rPr>
        <w:t> </w:t>
      </w:r>
      <w:r>
        <w:rPr>
          <w:color w:val="231F20"/>
          <w:w w:val="105"/>
        </w:rPr>
        <w:t>comité</w:t>
      </w:r>
      <w:r>
        <w:rPr>
          <w:color w:val="231F20"/>
          <w:spacing w:val="-7"/>
          <w:w w:val="105"/>
        </w:rPr>
        <w:t> </w:t>
      </w:r>
      <w:r>
        <w:rPr>
          <w:color w:val="231F20"/>
          <w:w w:val="105"/>
        </w:rPr>
        <w:t>puede</w:t>
      </w:r>
      <w:r>
        <w:rPr>
          <w:color w:val="231F20"/>
          <w:spacing w:val="-7"/>
          <w:w w:val="105"/>
        </w:rPr>
        <w:t> </w:t>
      </w:r>
      <w:r>
        <w:rPr>
          <w:color w:val="231F20"/>
          <w:w w:val="105"/>
        </w:rPr>
        <w:t>tenderse</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subjetividad.</w:t>
      </w:r>
      <w:r>
        <w:rPr>
          <w:color w:val="231F20"/>
          <w:spacing w:val="-13"/>
          <w:w w:val="105"/>
        </w:rPr>
        <w:t> </w:t>
      </w:r>
      <w:r>
        <w:rPr>
          <w:color w:val="231F20"/>
          <w:w w:val="105"/>
        </w:rPr>
        <w:t>Una</w:t>
      </w:r>
      <w:r>
        <w:rPr>
          <w:color w:val="231F20"/>
          <w:spacing w:val="-7"/>
          <w:w w:val="105"/>
        </w:rPr>
        <w:t> </w:t>
      </w:r>
      <w:r>
        <w:rPr>
          <w:color w:val="231F20"/>
          <w:w w:val="105"/>
        </w:rPr>
        <w:t>alternativa</w:t>
      </w:r>
      <w:r>
        <w:rPr>
          <w:color w:val="231F20"/>
          <w:spacing w:val="-7"/>
          <w:w w:val="105"/>
        </w:rPr>
        <w:t> </w:t>
      </w:r>
      <w:r>
        <w:rPr>
          <w:color w:val="231F20"/>
          <w:w w:val="105"/>
        </w:rPr>
        <w:t>es</w:t>
      </w:r>
      <w:r>
        <w:rPr>
          <w:color w:val="231F20"/>
          <w:spacing w:val="-7"/>
          <w:w w:val="105"/>
        </w:rPr>
        <w:t> </w:t>
      </w:r>
      <w:r>
        <w:rPr>
          <w:color w:val="231F20"/>
          <w:w w:val="105"/>
        </w:rPr>
        <w:t>comple- mentar</w:t>
      </w:r>
      <w:r>
        <w:rPr>
          <w:color w:val="231F20"/>
          <w:spacing w:val="-9"/>
          <w:w w:val="105"/>
        </w:rPr>
        <w:t> </w:t>
      </w:r>
      <w:r>
        <w:rPr>
          <w:color w:val="231F20"/>
          <w:w w:val="105"/>
        </w:rPr>
        <w:t>esta</w:t>
      </w:r>
      <w:r>
        <w:rPr>
          <w:color w:val="231F20"/>
          <w:spacing w:val="-9"/>
          <w:w w:val="105"/>
        </w:rPr>
        <w:t> </w:t>
      </w:r>
      <w:r>
        <w:rPr>
          <w:color w:val="231F20"/>
          <w:w w:val="105"/>
        </w:rPr>
        <w:t>autoevaluación</w:t>
      </w:r>
      <w:r>
        <w:rPr>
          <w:color w:val="231F20"/>
          <w:spacing w:val="-9"/>
          <w:w w:val="105"/>
        </w:rPr>
        <w:t> </w:t>
      </w:r>
      <w:r>
        <w:rPr>
          <w:color w:val="231F20"/>
          <w:w w:val="105"/>
        </w:rPr>
        <w:t>mediante</w:t>
      </w:r>
      <w:r>
        <w:rPr>
          <w:color w:val="231F20"/>
          <w:spacing w:val="-9"/>
          <w:w w:val="105"/>
        </w:rPr>
        <w:t> </w:t>
      </w:r>
      <w:r>
        <w:rPr>
          <w:color w:val="231F20"/>
          <w:w w:val="105"/>
        </w:rPr>
        <w:t>indicadores</w:t>
      </w:r>
      <w:r>
        <w:rPr>
          <w:color w:val="231F20"/>
          <w:spacing w:val="-9"/>
          <w:w w:val="105"/>
        </w:rPr>
        <w:t> </w:t>
      </w:r>
      <w:r>
        <w:rPr>
          <w:color w:val="231F20"/>
          <w:w w:val="105"/>
        </w:rPr>
        <w:t>estadísticos</w:t>
      </w:r>
      <w:r>
        <w:rPr>
          <w:color w:val="231F20"/>
          <w:spacing w:val="-9"/>
          <w:w w:val="105"/>
        </w:rPr>
        <w:t> </w:t>
      </w:r>
      <w:r>
        <w:rPr>
          <w:color w:val="231F20"/>
          <w:w w:val="105"/>
        </w:rPr>
        <w:t>que</w:t>
      </w:r>
      <w:r>
        <w:rPr>
          <w:color w:val="231F20"/>
          <w:spacing w:val="-9"/>
          <w:w w:val="105"/>
        </w:rPr>
        <w:t> </w:t>
      </w:r>
      <w:r>
        <w:rPr>
          <w:color w:val="231F20"/>
          <w:w w:val="105"/>
        </w:rPr>
        <w:t>pro- vean</w:t>
      </w:r>
      <w:r>
        <w:rPr>
          <w:color w:val="231F20"/>
          <w:spacing w:val="-25"/>
          <w:w w:val="105"/>
        </w:rPr>
        <w:t> </w:t>
      </w:r>
      <w:r>
        <w:rPr>
          <w:color w:val="231F20"/>
          <w:w w:val="105"/>
        </w:rPr>
        <w:t>evidencia</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resultados</w:t>
      </w:r>
      <w:r>
        <w:rPr>
          <w:color w:val="231F20"/>
          <w:spacing w:val="-25"/>
          <w:w w:val="105"/>
        </w:rPr>
        <w:t> </w:t>
      </w:r>
      <w:r>
        <w:rPr>
          <w:color w:val="231F20"/>
          <w:w w:val="105"/>
        </w:rPr>
        <w:t>obtenidos,</w:t>
      </w:r>
      <w:r>
        <w:rPr>
          <w:color w:val="231F20"/>
          <w:spacing w:val="-29"/>
          <w:w w:val="105"/>
        </w:rPr>
        <w:t> </w:t>
      </w:r>
      <w:r>
        <w:rPr>
          <w:color w:val="231F20"/>
          <w:w w:val="105"/>
        </w:rPr>
        <w:t>así</w:t>
      </w:r>
      <w:r>
        <w:rPr>
          <w:color w:val="231F20"/>
          <w:spacing w:val="-25"/>
          <w:w w:val="105"/>
        </w:rPr>
        <w:t> </w:t>
      </w:r>
      <w:r>
        <w:rPr>
          <w:color w:val="231F20"/>
          <w:w w:val="105"/>
        </w:rPr>
        <w:t>como</w:t>
      </w:r>
      <w:r>
        <w:rPr>
          <w:color w:val="231F20"/>
          <w:spacing w:val="-25"/>
          <w:w w:val="105"/>
        </w:rPr>
        <w:t> </w:t>
      </w:r>
      <w:r>
        <w:rPr>
          <w:color w:val="231F20"/>
          <w:w w:val="105"/>
        </w:rPr>
        <w:t>entrevistas</w:t>
      </w:r>
      <w:r>
        <w:rPr>
          <w:color w:val="231F20"/>
          <w:spacing w:val="-25"/>
          <w:w w:val="105"/>
        </w:rPr>
        <w:t> </w:t>
      </w:r>
      <w:r>
        <w:rPr>
          <w:color w:val="231F20"/>
          <w:w w:val="105"/>
        </w:rPr>
        <w:t>a</w:t>
      </w:r>
      <w:r>
        <w:rPr>
          <w:color w:val="231F20"/>
          <w:spacing w:val="-25"/>
          <w:w w:val="105"/>
        </w:rPr>
        <w:t> </w:t>
      </w:r>
      <w:r>
        <w:rPr>
          <w:color w:val="231F20"/>
          <w:w w:val="105"/>
        </w:rPr>
        <w:t>direc- tivos, empleados, estudiantes, padres de familia y miembros del</w:t>
      </w:r>
      <w:r>
        <w:rPr>
          <w:color w:val="231F20"/>
          <w:spacing w:val="-15"/>
          <w:w w:val="105"/>
        </w:rPr>
        <w:t> </w:t>
      </w:r>
      <w:r>
        <w:rPr>
          <w:color w:val="231F20"/>
          <w:w w:val="105"/>
        </w:rPr>
        <w:t>sector productivo</w:t>
      </w:r>
      <w:r>
        <w:rPr>
          <w:color w:val="231F20"/>
          <w:spacing w:val="-15"/>
          <w:w w:val="105"/>
        </w:rPr>
        <w:t> </w:t>
      </w:r>
      <w:r>
        <w:rPr>
          <w:color w:val="231F20"/>
          <w:w w:val="105"/>
        </w:rPr>
        <w:t>(Medina</w:t>
      </w:r>
      <w:r>
        <w:rPr>
          <w:color w:val="231F20"/>
          <w:spacing w:val="-15"/>
          <w:w w:val="105"/>
        </w:rPr>
        <w:t> </w:t>
      </w:r>
      <w:r>
        <w:rPr>
          <w:i/>
          <w:color w:val="231F20"/>
          <w:w w:val="105"/>
        </w:rPr>
        <w:t>et</w:t>
      </w:r>
      <w:r>
        <w:rPr>
          <w:i/>
          <w:color w:val="231F20"/>
          <w:spacing w:val="-15"/>
          <w:w w:val="105"/>
        </w:rPr>
        <w:t> </w:t>
      </w:r>
      <w:r>
        <w:rPr>
          <w:i/>
          <w:color w:val="231F20"/>
          <w:w w:val="105"/>
        </w:rPr>
        <w:t>al</w:t>
      </w:r>
      <w:r>
        <w:rPr>
          <w:color w:val="231F20"/>
          <w:w w:val="105"/>
        </w:rPr>
        <w:t>.,</w:t>
      </w:r>
      <w:r>
        <w:rPr>
          <w:color w:val="231F20"/>
          <w:spacing w:val="-21"/>
          <w:w w:val="105"/>
        </w:rPr>
        <w:t> </w:t>
      </w:r>
      <w:r>
        <w:rPr>
          <w:color w:val="231F20"/>
          <w:w w:val="105"/>
        </w:rPr>
        <w:t>2001).</w:t>
      </w:r>
    </w:p>
    <w:p>
      <w:pPr>
        <w:pStyle w:val="BodyText"/>
        <w:rPr>
          <w:sz w:val="20"/>
        </w:rPr>
      </w:pPr>
    </w:p>
    <w:p>
      <w:pPr>
        <w:pStyle w:val="BodyText"/>
        <w:spacing w:before="7"/>
        <w:rPr>
          <w:sz w:val="18"/>
        </w:rPr>
      </w:pPr>
    </w:p>
    <w:p>
      <w:pPr>
        <w:pStyle w:val="Heading2"/>
        <w:ind w:left="103"/>
      </w:pPr>
      <w:r>
        <w:rPr>
          <w:color w:val="231F20"/>
        </w:rPr>
        <w:t>Retos</w:t>
      </w:r>
      <w:r>
        <w:rPr>
          <w:color w:val="231F20"/>
          <w:spacing w:val="-31"/>
        </w:rPr>
        <w:t> </w:t>
      </w:r>
      <w:r>
        <w:rPr>
          <w:color w:val="231F20"/>
        </w:rPr>
        <w:t>para</w:t>
      </w:r>
      <w:r>
        <w:rPr>
          <w:color w:val="231F20"/>
          <w:spacing w:val="-31"/>
        </w:rPr>
        <w:t> </w:t>
      </w:r>
      <w:r>
        <w:rPr>
          <w:color w:val="231F20"/>
        </w:rPr>
        <w:t>la</w:t>
      </w:r>
      <w:r>
        <w:rPr>
          <w:color w:val="231F20"/>
          <w:spacing w:val="-31"/>
        </w:rPr>
        <w:t> </w:t>
      </w:r>
      <w:r>
        <w:rPr>
          <w:color w:val="231F20"/>
        </w:rPr>
        <w:t>evaluación</w:t>
      </w:r>
      <w:r>
        <w:rPr>
          <w:color w:val="231F20"/>
          <w:spacing w:val="-31"/>
        </w:rPr>
        <w:t> </w:t>
      </w:r>
      <w:r>
        <w:rPr>
          <w:color w:val="231F20"/>
        </w:rPr>
        <w:t>del</w:t>
      </w:r>
      <w:r>
        <w:rPr>
          <w:color w:val="231F20"/>
          <w:spacing w:val="-31"/>
        </w:rPr>
        <w:t> </w:t>
      </w:r>
      <w:r>
        <w:rPr>
          <w:color w:val="231F20"/>
        </w:rPr>
        <w:t>desempeño</w:t>
      </w:r>
      <w:r>
        <w:rPr>
          <w:color w:val="231F20"/>
          <w:spacing w:val="-31"/>
        </w:rPr>
        <w:t> </w:t>
      </w:r>
      <w:r>
        <w:rPr>
          <w:color w:val="231F20"/>
        </w:rPr>
        <w:t>organizacional</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IPES</w:t>
      </w:r>
    </w:p>
    <w:p>
      <w:pPr>
        <w:pStyle w:val="BodyText"/>
        <w:rPr>
          <w:b/>
          <w:sz w:val="22"/>
        </w:rPr>
      </w:pPr>
    </w:p>
    <w:p>
      <w:pPr>
        <w:pStyle w:val="BodyText"/>
        <w:spacing w:line="259" w:lineRule="auto" w:before="160"/>
        <w:ind w:left="103" w:right="110"/>
        <w:jc w:val="both"/>
      </w:pPr>
      <w:r>
        <w:rPr>
          <w:color w:val="231F20"/>
        </w:rPr>
        <w:t>Los retos de ser una universidad de rango mundial son distintos de un país a otro, pero todas están sujetas a comparaciones y clasificaciones. Las universidades que busquen construir ventajas competitivas sustenta- bles requieren explotar sus fortalezas internas para aprovechar las opor- tunidades del ambiente y, al mismo tiempo, neutralizar sus amenazas evi- tando debilidades internas (Barney,  1991a).</w:t>
      </w:r>
    </w:p>
    <w:p>
      <w:pPr>
        <w:pStyle w:val="BodyText"/>
        <w:spacing w:line="259" w:lineRule="auto"/>
        <w:ind w:left="103" w:right="114" w:firstLine="567"/>
        <w:jc w:val="both"/>
      </w:pPr>
      <w:r>
        <w:rPr>
          <w:color w:val="231F20"/>
          <w:w w:val="105"/>
        </w:rPr>
        <w:t>A partir de lo expuesto a lo largo de este documento, la elección de indicadores de desempeño en las instituciones de educación supe- rior</w:t>
      </w:r>
      <w:r>
        <w:rPr>
          <w:color w:val="231F20"/>
          <w:spacing w:val="-29"/>
          <w:w w:val="105"/>
        </w:rPr>
        <w:t> </w:t>
      </w:r>
      <w:r>
        <w:rPr>
          <w:color w:val="231F20"/>
          <w:w w:val="105"/>
        </w:rPr>
        <w:t>es</w:t>
      </w:r>
      <w:r>
        <w:rPr>
          <w:color w:val="231F20"/>
          <w:spacing w:val="-29"/>
          <w:w w:val="105"/>
        </w:rPr>
        <w:t> </w:t>
      </w:r>
      <w:r>
        <w:rPr>
          <w:color w:val="231F20"/>
          <w:w w:val="105"/>
        </w:rPr>
        <w:t>compleja</w:t>
      </w:r>
      <w:r>
        <w:rPr>
          <w:color w:val="231F20"/>
          <w:spacing w:val="-29"/>
          <w:w w:val="105"/>
        </w:rPr>
        <w:t> </w:t>
      </w:r>
      <w:r>
        <w:rPr>
          <w:color w:val="231F20"/>
          <w:w w:val="105"/>
        </w:rPr>
        <w:t>y</w:t>
      </w:r>
      <w:r>
        <w:rPr>
          <w:color w:val="231F20"/>
          <w:spacing w:val="-29"/>
          <w:w w:val="105"/>
        </w:rPr>
        <w:t> </w:t>
      </w:r>
      <w:r>
        <w:rPr>
          <w:color w:val="231F20"/>
          <w:w w:val="105"/>
        </w:rPr>
        <w:t>en</w:t>
      </w:r>
      <w:r>
        <w:rPr>
          <w:color w:val="231F20"/>
          <w:spacing w:val="-29"/>
          <w:w w:val="105"/>
        </w:rPr>
        <w:t> </w:t>
      </w:r>
      <w:r>
        <w:rPr>
          <w:color w:val="231F20"/>
          <w:w w:val="105"/>
        </w:rPr>
        <w:t>ocasiones</w:t>
      </w:r>
      <w:r>
        <w:rPr>
          <w:color w:val="231F20"/>
          <w:spacing w:val="-29"/>
          <w:w w:val="105"/>
        </w:rPr>
        <w:t> </w:t>
      </w:r>
      <w:r>
        <w:rPr>
          <w:color w:val="231F20"/>
          <w:w w:val="105"/>
        </w:rPr>
        <w:t>controversial</w:t>
      </w:r>
      <w:r>
        <w:rPr>
          <w:color w:val="231F20"/>
          <w:spacing w:val="-29"/>
          <w:w w:val="105"/>
        </w:rPr>
        <w:t> </w:t>
      </w:r>
      <w:r>
        <w:rPr>
          <w:color w:val="231F20"/>
          <w:w w:val="105"/>
        </w:rPr>
        <w:t>(Kells,</w:t>
      </w:r>
      <w:r>
        <w:rPr>
          <w:color w:val="231F20"/>
          <w:spacing w:val="-33"/>
          <w:w w:val="105"/>
        </w:rPr>
        <w:t> </w:t>
      </w:r>
      <w:r>
        <w:rPr>
          <w:color w:val="231F20"/>
          <w:w w:val="105"/>
        </w:rPr>
        <w:t>1992;</w:t>
      </w:r>
      <w:r>
        <w:rPr>
          <w:color w:val="231F20"/>
          <w:spacing w:val="-29"/>
          <w:w w:val="105"/>
        </w:rPr>
        <w:t> </w:t>
      </w:r>
      <w:r>
        <w:rPr>
          <w:color w:val="231F20"/>
          <w:w w:val="105"/>
        </w:rPr>
        <w:t>Lu,</w:t>
      </w:r>
      <w:r>
        <w:rPr>
          <w:color w:val="231F20"/>
          <w:spacing w:val="-33"/>
          <w:w w:val="105"/>
        </w:rPr>
        <w:t> </w:t>
      </w:r>
      <w:r>
        <w:rPr>
          <w:color w:val="231F20"/>
          <w:w w:val="105"/>
        </w:rPr>
        <w:t>2012).</w:t>
      </w:r>
      <w:r>
        <w:rPr>
          <w:color w:val="231F20"/>
          <w:spacing w:val="-33"/>
          <w:w w:val="105"/>
        </w:rPr>
        <w:t> </w:t>
      </w:r>
      <w:r>
        <w:rPr>
          <w:color w:val="231F20"/>
          <w:w w:val="105"/>
        </w:rPr>
        <w:t>Esto es, a pesar de la existencia de fundamentos teóricos y evidencia</w:t>
      </w:r>
      <w:r>
        <w:rPr>
          <w:color w:val="231F20"/>
          <w:spacing w:val="-29"/>
          <w:w w:val="105"/>
        </w:rPr>
        <w:t> </w:t>
      </w:r>
      <w:r>
        <w:rPr>
          <w:color w:val="231F20"/>
          <w:w w:val="105"/>
        </w:rPr>
        <w:t>empí- rica, la medición del desempeño organizacional en las universidades que</w:t>
      </w:r>
      <w:r>
        <w:rPr>
          <w:color w:val="231F20"/>
          <w:spacing w:val="-6"/>
          <w:w w:val="105"/>
        </w:rPr>
        <w:t> </w:t>
      </w:r>
      <w:r>
        <w:rPr>
          <w:color w:val="231F20"/>
          <w:w w:val="105"/>
        </w:rPr>
        <w:t>todavía</w:t>
      </w:r>
      <w:r>
        <w:rPr>
          <w:color w:val="231F20"/>
          <w:spacing w:val="-6"/>
          <w:w w:val="105"/>
        </w:rPr>
        <w:t> </w:t>
      </w:r>
      <w:r>
        <w:rPr>
          <w:color w:val="231F20"/>
          <w:w w:val="105"/>
        </w:rPr>
        <w:t>enfrentan</w:t>
      </w:r>
      <w:r>
        <w:rPr>
          <w:color w:val="231F20"/>
          <w:spacing w:val="-6"/>
          <w:w w:val="105"/>
        </w:rPr>
        <w:t> </w:t>
      </w:r>
      <w:r>
        <w:rPr>
          <w:color w:val="231F20"/>
          <w:w w:val="105"/>
        </w:rPr>
        <w:t>limitantes</w:t>
      </w:r>
      <w:r>
        <w:rPr>
          <w:color w:val="231F20"/>
          <w:spacing w:val="-6"/>
          <w:w w:val="105"/>
        </w:rPr>
        <w:t> </w:t>
      </w:r>
      <w:r>
        <w:rPr>
          <w:color w:val="231F20"/>
          <w:w w:val="105"/>
        </w:rPr>
        <w:t>y</w:t>
      </w:r>
      <w:r>
        <w:rPr>
          <w:color w:val="231F20"/>
          <w:spacing w:val="-6"/>
          <w:w w:val="105"/>
        </w:rPr>
        <w:t> </w:t>
      </w:r>
      <w:r>
        <w:rPr>
          <w:color w:val="231F20"/>
          <w:w w:val="105"/>
        </w:rPr>
        <w:t>hasta</w:t>
      </w:r>
      <w:r>
        <w:rPr>
          <w:color w:val="231F20"/>
          <w:spacing w:val="-6"/>
          <w:w w:val="105"/>
        </w:rPr>
        <w:t> </w:t>
      </w:r>
      <w:r>
        <w:rPr>
          <w:color w:val="231F20"/>
          <w:w w:val="105"/>
        </w:rPr>
        <w:t>barreras</w:t>
      </w:r>
      <w:r>
        <w:rPr>
          <w:color w:val="231F20"/>
          <w:spacing w:val="-6"/>
          <w:w w:val="105"/>
        </w:rPr>
        <w:t> </w:t>
      </w:r>
      <w:r>
        <w:rPr>
          <w:color w:val="231F20"/>
          <w:w w:val="105"/>
        </w:rPr>
        <w:t>directivas.</w:t>
      </w:r>
      <w:r>
        <w:rPr>
          <w:color w:val="231F20"/>
          <w:spacing w:val="-11"/>
          <w:w w:val="105"/>
        </w:rPr>
        <w:t> </w:t>
      </w:r>
      <w:r>
        <w:rPr>
          <w:color w:val="231F20"/>
          <w:w w:val="105"/>
        </w:rPr>
        <w:t>Lo</w:t>
      </w:r>
      <w:r>
        <w:rPr>
          <w:color w:val="231F20"/>
          <w:spacing w:val="-6"/>
          <w:w w:val="105"/>
        </w:rPr>
        <w:t> </w:t>
      </w:r>
      <w:r>
        <w:rPr>
          <w:color w:val="231F20"/>
          <w:w w:val="105"/>
        </w:rPr>
        <w:t>primero es determinar qué debe ser incluido en la medición del desempeño, ya que</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organizaciones</w:t>
      </w:r>
      <w:r>
        <w:rPr>
          <w:color w:val="231F20"/>
          <w:spacing w:val="-14"/>
          <w:w w:val="105"/>
        </w:rPr>
        <w:t> </w:t>
      </w:r>
      <w:r>
        <w:rPr>
          <w:color w:val="231F20"/>
          <w:w w:val="105"/>
        </w:rPr>
        <w:t>privadas</w:t>
      </w:r>
      <w:r>
        <w:rPr>
          <w:color w:val="231F20"/>
          <w:spacing w:val="-14"/>
          <w:w w:val="105"/>
        </w:rPr>
        <w:t> </w:t>
      </w:r>
      <w:r>
        <w:rPr>
          <w:color w:val="231F20"/>
          <w:w w:val="105"/>
        </w:rPr>
        <w:t>el</w:t>
      </w:r>
      <w:r>
        <w:rPr>
          <w:color w:val="231F20"/>
          <w:spacing w:val="-14"/>
          <w:w w:val="105"/>
        </w:rPr>
        <w:t> </w:t>
      </w:r>
      <w:r>
        <w:rPr>
          <w:color w:val="231F20"/>
          <w:w w:val="105"/>
        </w:rPr>
        <w:t>modelo</w:t>
      </w:r>
      <w:r>
        <w:rPr>
          <w:color w:val="231F20"/>
          <w:spacing w:val="-14"/>
          <w:w w:val="105"/>
        </w:rPr>
        <w:t> </w:t>
      </w:r>
      <w:r>
        <w:rPr>
          <w:color w:val="231F20"/>
          <w:w w:val="105"/>
        </w:rPr>
        <w:t>entradas-proceso-salidas es válido para tal efecto; sin embargo, el desempeño del sector</w:t>
      </w:r>
      <w:r>
        <w:rPr>
          <w:color w:val="231F20"/>
          <w:spacing w:val="-37"/>
          <w:w w:val="105"/>
        </w:rPr>
        <w:t> </w:t>
      </w:r>
      <w:r>
        <w:rPr>
          <w:color w:val="231F20"/>
          <w:w w:val="105"/>
        </w:rPr>
        <w:t>público no solamente se mide en función de un bien producido o un servicio brindado,</w:t>
      </w:r>
      <w:r>
        <w:rPr>
          <w:color w:val="231F20"/>
          <w:spacing w:val="-22"/>
          <w:w w:val="105"/>
        </w:rPr>
        <w:t> </w:t>
      </w:r>
      <w:r>
        <w:rPr>
          <w:color w:val="231F20"/>
          <w:w w:val="105"/>
        </w:rPr>
        <w:t>sino</w:t>
      </w:r>
      <w:r>
        <w:rPr>
          <w:color w:val="231F20"/>
          <w:spacing w:val="-16"/>
          <w:w w:val="105"/>
        </w:rPr>
        <w:t> </w:t>
      </w:r>
      <w:r>
        <w:rPr>
          <w:color w:val="231F20"/>
          <w:w w:val="105"/>
        </w:rPr>
        <w:t>por</w:t>
      </w:r>
      <w:r>
        <w:rPr>
          <w:color w:val="231F20"/>
          <w:spacing w:val="-16"/>
          <w:w w:val="105"/>
        </w:rPr>
        <w:t> </w:t>
      </w:r>
      <w:r>
        <w:rPr>
          <w:color w:val="231F20"/>
          <w:w w:val="105"/>
        </w:rPr>
        <w:t>los</w:t>
      </w:r>
      <w:r>
        <w:rPr>
          <w:color w:val="231F20"/>
          <w:spacing w:val="-16"/>
          <w:w w:val="105"/>
        </w:rPr>
        <w:t> </w:t>
      </w:r>
      <w:r>
        <w:rPr>
          <w:color w:val="231F20"/>
          <w:w w:val="105"/>
        </w:rPr>
        <w:t>impactos</w:t>
      </w:r>
      <w:r>
        <w:rPr>
          <w:color w:val="231F20"/>
          <w:spacing w:val="-16"/>
          <w:w w:val="105"/>
        </w:rPr>
        <w:t> </w:t>
      </w:r>
      <w:r>
        <w:rPr>
          <w:color w:val="231F20"/>
          <w:w w:val="105"/>
        </w:rPr>
        <w:t>que</w:t>
      </w:r>
      <w:r>
        <w:rPr>
          <w:color w:val="231F20"/>
          <w:spacing w:val="-16"/>
          <w:w w:val="105"/>
        </w:rPr>
        <w:t> </w:t>
      </w:r>
      <w:r>
        <w:rPr>
          <w:color w:val="231F20"/>
          <w:w w:val="105"/>
        </w:rPr>
        <w:t>éstos</w:t>
      </w:r>
      <w:r>
        <w:rPr>
          <w:color w:val="231F20"/>
          <w:spacing w:val="-16"/>
          <w:w w:val="105"/>
        </w:rPr>
        <w:t> </w:t>
      </w:r>
      <w:r>
        <w:rPr>
          <w:color w:val="231F20"/>
          <w:w w:val="105"/>
        </w:rPr>
        <w:t>producen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bienestar</w:t>
      </w:r>
      <w:r>
        <w:rPr>
          <w:color w:val="231F20"/>
          <w:spacing w:val="-16"/>
          <w:w w:val="105"/>
        </w:rPr>
        <w:t> </w:t>
      </w:r>
      <w:r>
        <w:rPr>
          <w:color w:val="231F20"/>
          <w:w w:val="105"/>
        </w:rPr>
        <w:t>de</w:t>
      </w:r>
      <w:r>
        <w:rPr>
          <w:color w:val="231F20"/>
          <w:spacing w:val="-16"/>
          <w:w w:val="105"/>
        </w:rPr>
        <w:t> </w:t>
      </w:r>
      <w:r>
        <w:rPr>
          <w:color w:val="231F20"/>
          <w:w w:val="105"/>
        </w:rPr>
        <w:t>la sociedad</w:t>
      </w:r>
      <w:r>
        <w:rPr>
          <w:color w:val="231F20"/>
          <w:spacing w:val="-30"/>
          <w:w w:val="105"/>
        </w:rPr>
        <w:t> </w:t>
      </w:r>
      <w:r>
        <w:rPr>
          <w:color w:val="231F20"/>
          <w:spacing w:val="-3"/>
          <w:w w:val="105"/>
        </w:rPr>
        <w:t>(Talbot,</w:t>
      </w:r>
      <w:r>
        <w:rPr>
          <w:color w:val="231F20"/>
          <w:spacing w:val="-34"/>
          <w:w w:val="105"/>
        </w:rPr>
        <w:t> </w:t>
      </w:r>
      <w:r>
        <w:rPr>
          <w:color w:val="231F20"/>
          <w:w w:val="105"/>
        </w:rPr>
        <w:t>2010).</w:t>
      </w:r>
    </w:p>
    <w:p>
      <w:pPr>
        <w:pStyle w:val="BodyText"/>
        <w:spacing w:line="259" w:lineRule="auto"/>
        <w:ind w:left="103" w:right="108" w:firstLine="567"/>
        <w:jc w:val="right"/>
      </w:pPr>
      <w:r>
        <w:rPr>
          <w:color w:val="231F20"/>
          <w:w w:val="105"/>
        </w:rPr>
        <w:t>La</w:t>
      </w:r>
      <w:r>
        <w:rPr>
          <w:color w:val="231F20"/>
          <w:spacing w:val="-14"/>
          <w:w w:val="105"/>
        </w:rPr>
        <w:t> </w:t>
      </w:r>
      <w:r>
        <w:rPr>
          <w:color w:val="231F20"/>
          <w:spacing w:val="-3"/>
          <w:w w:val="105"/>
        </w:rPr>
        <w:t>propuesta</w:t>
      </w:r>
      <w:r>
        <w:rPr>
          <w:color w:val="231F20"/>
          <w:spacing w:val="-14"/>
          <w:w w:val="105"/>
        </w:rPr>
        <w:t> </w:t>
      </w:r>
      <w:r>
        <w:rPr>
          <w:color w:val="231F20"/>
          <w:w w:val="105"/>
        </w:rPr>
        <w:t>de</w:t>
      </w:r>
      <w:r>
        <w:rPr>
          <w:color w:val="231F20"/>
          <w:spacing w:val="-14"/>
          <w:w w:val="105"/>
        </w:rPr>
        <w:t> </w:t>
      </w:r>
      <w:r>
        <w:rPr>
          <w:color w:val="231F20"/>
          <w:spacing w:val="-3"/>
          <w:w w:val="105"/>
        </w:rPr>
        <w:t>diferentes</w:t>
      </w:r>
      <w:r>
        <w:rPr>
          <w:color w:val="231F20"/>
          <w:spacing w:val="-14"/>
          <w:w w:val="105"/>
        </w:rPr>
        <w:t> </w:t>
      </w:r>
      <w:r>
        <w:rPr>
          <w:color w:val="231F20"/>
          <w:w w:val="105"/>
        </w:rPr>
        <w:t>modelos</w:t>
      </w:r>
      <w:r>
        <w:rPr>
          <w:color w:val="231F20"/>
          <w:spacing w:val="-14"/>
          <w:w w:val="105"/>
        </w:rPr>
        <w:t> </w:t>
      </w:r>
      <w:r>
        <w:rPr>
          <w:color w:val="231F20"/>
          <w:w w:val="105"/>
        </w:rPr>
        <w:t>de</w:t>
      </w:r>
      <w:r>
        <w:rPr>
          <w:color w:val="231F20"/>
          <w:spacing w:val="-14"/>
          <w:w w:val="105"/>
        </w:rPr>
        <w:t> </w:t>
      </w:r>
      <w:r>
        <w:rPr>
          <w:color w:val="231F20"/>
          <w:w w:val="105"/>
        </w:rPr>
        <w:t>evaluación</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universi-</w:t>
      </w:r>
      <w:r>
        <w:rPr>
          <w:color w:val="231F20"/>
          <w:w w:val="96"/>
        </w:rPr>
        <w:t> </w:t>
      </w:r>
      <w:r>
        <w:rPr>
          <w:color w:val="231F20"/>
          <w:w w:val="105"/>
        </w:rPr>
        <w:t>dades</w:t>
      </w:r>
      <w:r>
        <w:rPr>
          <w:color w:val="231F20"/>
          <w:spacing w:val="-21"/>
          <w:w w:val="105"/>
        </w:rPr>
        <w:t> </w:t>
      </w:r>
      <w:r>
        <w:rPr>
          <w:color w:val="231F20"/>
          <w:w w:val="105"/>
        </w:rPr>
        <w:t>ha</w:t>
      </w:r>
      <w:r>
        <w:rPr>
          <w:color w:val="231F20"/>
          <w:spacing w:val="-21"/>
          <w:w w:val="105"/>
        </w:rPr>
        <w:t> </w:t>
      </w:r>
      <w:r>
        <w:rPr>
          <w:color w:val="231F20"/>
          <w:w w:val="105"/>
        </w:rPr>
        <w:t>generado</w:t>
      </w:r>
      <w:r>
        <w:rPr>
          <w:color w:val="231F20"/>
          <w:spacing w:val="-21"/>
          <w:w w:val="105"/>
        </w:rPr>
        <w:t> </w:t>
      </w:r>
      <w:r>
        <w:rPr>
          <w:color w:val="231F20"/>
          <w:w w:val="105"/>
        </w:rPr>
        <w:t>multiplicidad</w:t>
      </w:r>
      <w:r>
        <w:rPr>
          <w:color w:val="231F20"/>
          <w:spacing w:val="-21"/>
          <w:w w:val="105"/>
        </w:rPr>
        <w:t> </w:t>
      </w:r>
      <w:r>
        <w:rPr>
          <w:color w:val="231F20"/>
          <w:w w:val="105"/>
        </w:rPr>
        <w:t>de</w:t>
      </w:r>
      <w:r>
        <w:rPr>
          <w:color w:val="231F20"/>
          <w:spacing w:val="-21"/>
          <w:w w:val="105"/>
        </w:rPr>
        <w:t> </w:t>
      </w:r>
      <w:r>
        <w:rPr>
          <w:color w:val="231F20"/>
          <w:spacing w:val="-3"/>
          <w:w w:val="105"/>
        </w:rPr>
        <w:t>indicadores</w:t>
      </w:r>
      <w:r>
        <w:rPr>
          <w:color w:val="231F20"/>
          <w:spacing w:val="-21"/>
          <w:w w:val="105"/>
        </w:rPr>
        <w:t> </w:t>
      </w:r>
      <w:r>
        <w:rPr>
          <w:color w:val="231F20"/>
          <w:w w:val="105"/>
        </w:rPr>
        <w:t>y</w:t>
      </w:r>
      <w:r>
        <w:rPr>
          <w:color w:val="231F20"/>
          <w:spacing w:val="-21"/>
          <w:w w:val="105"/>
        </w:rPr>
        <w:t> </w:t>
      </w:r>
      <w:r>
        <w:rPr>
          <w:color w:val="231F20"/>
          <w:w w:val="105"/>
        </w:rPr>
        <w:t>no</w:t>
      </w:r>
      <w:r>
        <w:rPr>
          <w:color w:val="231F20"/>
          <w:spacing w:val="-21"/>
          <w:w w:val="105"/>
        </w:rPr>
        <w:t> </w:t>
      </w:r>
      <w:r>
        <w:rPr>
          <w:color w:val="231F20"/>
          <w:w w:val="105"/>
        </w:rPr>
        <w:t>existe</w:t>
      </w:r>
      <w:r>
        <w:rPr>
          <w:color w:val="231F20"/>
          <w:spacing w:val="-21"/>
          <w:w w:val="105"/>
        </w:rPr>
        <w:t> </w:t>
      </w:r>
      <w:r>
        <w:rPr>
          <w:color w:val="231F20"/>
          <w:w w:val="105"/>
        </w:rPr>
        <w:t>un</w:t>
      </w:r>
      <w:r>
        <w:rPr>
          <w:color w:val="231F20"/>
          <w:spacing w:val="-21"/>
          <w:w w:val="105"/>
        </w:rPr>
        <w:t> </w:t>
      </w:r>
      <w:r>
        <w:rPr>
          <w:color w:val="231F20"/>
          <w:w w:val="105"/>
        </w:rPr>
        <w:t>consenso</w:t>
      </w:r>
      <w:r>
        <w:rPr>
          <w:color w:val="231F20"/>
          <w:spacing w:val="-2"/>
          <w:w w:val="101"/>
        </w:rPr>
        <w:t> </w:t>
      </w:r>
      <w:r>
        <w:rPr>
          <w:color w:val="231F20"/>
          <w:spacing w:val="-3"/>
          <w:w w:val="105"/>
        </w:rPr>
        <w:t>sobre</w:t>
      </w:r>
      <w:r>
        <w:rPr>
          <w:color w:val="231F20"/>
          <w:spacing w:val="-10"/>
          <w:w w:val="105"/>
        </w:rPr>
        <w:t> </w:t>
      </w:r>
      <w:r>
        <w:rPr>
          <w:color w:val="231F20"/>
          <w:w w:val="105"/>
        </w:rPr>
        <w:t>los</w:t>
      </w:r>
      <w:r>
        <w:rPr>
          <w:color w:val="231F20"/>
          <w:spacing w:val="-10"/>
          <w:w w:val="105"/>
        </w:rPr>
        <w:t> </w:t>
      </w:r>
      <w:r>
        <w:rPr>
          <w:color w:val="231F20"/>
          <w:spacing w:val="-3"/>
          <w:w w:val="105"/>
        </w:rPr>
        <w:t>factores</w:t>
      </w:r>
      <w:r>
        <w:rPr>
          <w:color w:val="231F20"/>
          <w:spacing w:val="-10"/>
          <w:w w:val="105"/>
        </w:rPr>
        <w:t> </w:t>
      </w:r>
      <w:r>
        <w:rPr>
          <w:color w:val="231F20"/>
          <w:w w:val="105"/>
        </w:rPr>
        <w:t>clave</w:t>
      </w:r>
      <w:r>
        <w:rPr>
          <w:color w:val="231F20"/>
          <w:spacing w:val="-10"/>
          <w:w w:val="105"/>
        </w:rPr>
        <w:t> </w:t>
      </w:r>
      <w:r>
        <w:rPr>
          <w:color w:val="231F20"/>
          <w:w w:val="105"/>
        </w:rPr>
        <w:t>de</w:t>
      </w:r>
      <w:r>
        <w:rPr>
          <w:color w:val="231F20"/>
          <w:spacing w:val="-10"/>
          <w:w w:val="105"/>
        </w:rPr>
        <w:t> </w:t>
      </w:r>
      <w:r>
        <w:rPr>
          <w:color w:val="231F20"/>
          <w:w w:val="105"/>
        </w:rPr>
        <w:t>medición</w:t>
      </w:r>
      <w:r>
        <w:rPr>
          <w:color w:val="231F20"/>
          <w:spacing w:val="-10"/>
          <w:w w:val="105"/>
        </w:rPr>
        <w:t> </w:t>
      </w:r>
      <w:r>
        <w:rPr>
          <w:color w:val="231F20"/>
          <w:spacing w:val="-4"/>
          <w:w w:val="105"/>
        </w:rPr>
        <w:t>(Palomares</w:t>
      </w:r>
      <w:r>
        <w:rPr>
          <w:color w:val="231F20"/>
          <w:spacing w:val="-10"/>
          <w:w w:val="105"/>
        </w:rPr>
        <w:t> </w:t>
      </w:r>
      <w:r>
        <w:rPr>
          <w:color w:val="231F20"/>
          <w:w w:val="105"/>
        </w:rPr>
        <w:t>y</w:t>
      </w:r>
      <w:r>
        <w:rPr>
          <w:color w:val="231F20"/>
          <w:spacing w:val="-10"/>
          <w:w w:val="105"/>
        </w:rPr>
        <w:t> </w:t>
      </w:r>
      <w:r>
        <w:rPr>
          <w:color w:val="231F20"/>
          <w:spacing w:val="-3"/>
          <w:w w:val="105"/>
        </w:rPr>
        <w:t>García,</w:t>
      </w:r>
      <w:r>
        <w:rPr>
          <w:color w:val="231F20"/>
          <w:spacing w:val="-14"/>
          <w:w w:val="105"/>
        </w:rPr>
        <w:t> </w:t>
      </w:r>
      <w:r>
        <w:rPr>
          <w:color w:val="231F20"/>
          <w:w w:val="105"/>
        </w:rPr>
        <w:t>2011).</w:t>
      </w:r>
      <w:r>
        <w:rPr>
          <w:color w:val="231F20"/>
          <w:spacing w:val="-17"/>
          <w:w w:val="105"/>
        </w:rPr>
        <w:t> </w:t>
      </w:r>
      <w:r>
        <w:rPr>
          <w:color w:val="231F20"/>
          <w:w w:val="105"/>
        </w:rPr>
        <w:t>Al</w:t>
      </w:r>
      <w:r>
        <w:rPr>
          <w:color w:val="231F20"/>
          <w:spacing w:val="-10"/>
          <w:w w:val="105"/>
        </w:rPr>
        <w:t> </w:t>
      </w:r>
      <w:r>
        <w:rPr>
          <w:color w:val="231F20"/>
          <w:spacing w:val="-3"/>
          <w:w w:val="105"/>
        </w:rPr>
        <w:t>res-</w:t>
      </w:r>
      <w:r>
        <w:rPr>
          <w:color w:val="231F20"/>
          <w:w w:val="96"/>
        </w:rPr>
        <w:t> </w:t>
      </w:r>
      <w:r>
        <w:rPr>
          <w:color w:val="231F20"/>
          <w:spacing w:val="-2"/>
          <w:w w:val="105"/>
        </w:rPr>
        <w:t>pecto,</w:t>
      </w:r>
      <w:r>
        <w:rPr>
          <w:color w:val="231F20"/>
          <w:spacing w:val="-27"/>
          <w:w w:val="105"/>
        </w:rPr>
        <w:t> </w:t>
      </w:r>
      <w:r>
        <w:rPr>
          <w:color w:val="231F20"/>
          <w:w w:val="105"/>
        </w:rPr>
        <w:t>Mertens</w:t>
      </w:r>
      <w:r>
        <w:rPr>
          <w:color w:val="231F20"/>
          <w:spacing w:val="-22"/>
          <w:w w:val="105"/>
        </w:rPr>
        <w:t> </w:t>
      </w:r>
      <w:r>
        <w:rPr>
          <w:color w:val="231F20"/>
          <w:w w:val="105"/>
        </w:rPr>
        <w:t>(1979)</w:t>
      </w:r>
      <w:r>
        <w:rPr>
          <w:color w:val="231F20"/>
          <w:spacing w:val="-22"/>
          <w:w w:val="105"/>
        </w:rPr>
        <w:t> </w:t>
      </w:r>
      <w:r>
        <w:rPr>
          <w:color w:val="231F20"/>
          <w:spacing w:val="-3"/>
          <w:w w:val="105"/>
        </w:rPr>
        <w:t>propone</w:t>
      </w:r>
      <w:r>
        <w:rPr>
          <w:color w:val="231F20"/>
          <w:spacing w:val="-22"/>
          <w:w w:val="105"/>
        </w:rPr>
        <w:t> </w:t>
      </w:r>
      <w:r>
        <w:rPr>
          <w:color w:val="231F20"/>
          <w:spacing w:val="-3"/>
          <w:w w:val="105"/>
        </w:rPr>
        <w:t>tres</w:t>
      </w:r>
      <w:r>
        <w:rPr>
          <w:color w:val="231F20"/>
          <w:spacing w:val="-22"/>
          <w:w w:val="105"/>
        </w:rPr>
        <w:t> </w:t>
      </w:r>
      <w:r>
        <w:rPr>
          <w:color w:val="231F20"/>
          <w:w w:val="105"/>
        </w:rPr>
        <w:t>categorías</w:t>
      </w:r>
      <w:r>
        <w:rPr>
          <w:color w:val="231F20"/>
          <w:spacing w:val="-22"/>
          <w:w w:val="105"/>
        </w:rPr>
        <w:t> </w:t>
      </w:r>
      <w:r>
        <w:rPr>
          <w:color w:val="231F20"/>
          <w:w w:val="105"/>
        </w:rPr>
        <w:t>de</w:t>
      </w:r>
      <w:r>
        <w:rPr>
          <w:color w:val="231F20"/>
          <w:spacing w:val="-22"/>
          <w:w w:val="105"/>
        </w:rPr>
        <w:t> </w:t>
      </w:r>
      <w:r>
        <w:rPr>
          <w:color w:val="231F20"/>
          <w:spacing w:val="-3"/>
          <w:w w:val="105"/>
        </w:rPr>
        <w:t>indicadores</w:t>
      </w:r>
      <w:r>
        <w:rPr>
          <w:color w:val="231F20"/>
          <w:spacing w:val="-22"/>
          <w:w w:val="105"/>
        </w:rPr>
        <w:t> </w:t>
      </w:r>
      <w:r>
        <w:rPr>
          <w:color w:val="231F20"/>
          <w:w w:val="105"/>
        </w:rPr>
        <w:t>de</w:t>
      </w:r>
      <w:r>
        <w:rPr>
          <w:color w:val="231F20"/>
          <w:spacing w:val="-22"/>
          <w:w w:val="105"/>
        </w:rPr>
        <w:t> </w:t>
      </w:r>
      <w:r>
        <w:rPr>
          <w:color w:val="231F20"/>
          <w:w w:val="105"/>
        </w:rPr>
        <w:t>desem-</w:t>
      </w:r>
      <w:r>
        <w:rPr>
          <w:color w:val="231F20"/>
          <w:w w:val="96"/>
        </w:rPr>
        <w:t> </w:t>
      </w:r>
      <w:r>
        <w:rPr>
          <w:color w:val="231F20"/>
          <w:w w:val="105"/>
        </w:rPr>
        <w:t>peño:</w:t>
      </w:r>
      <w:r>
        <w:rPr>
          <w:color w:val="231F20"/>
          <w:spacing w:val="-26"/>
          <w:w w:val="105"/>
        </w:rPr>
        <w:t> </w:t>
      </w:r>
      <w:r>
        <w:rPr>
          <w:color w:val="231F20"/>
          <w:w w:val="105"/>
        </w:rPr>
        <w:t>en</w:t>
      </w:r>
      <w:r>
        <w:rPr>
          <w:color w:val="231F20"/>
          <w:spacing w:val="-26"/>
          <w:w w:val="105"/>
        </w:rPr>
        <w:t> </w:t>
      </w:r>
      <w:r>
        <w:rPr>
          <w:color w:val="231F20"/>
          <w:spacing w:val="-3"/>
          <w:w w:val="105"/>
        </w:rPr>
        <w:t>relación</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gastos</w:t>
      </w:r>
      <w:r>
        <w:rPr>
          <w:color w:val="231F20"/>
          <w:spacing w:val="-26"/>
          <w:w w:val="105"/>
        </w:rPr>
        <w:t> </w:t>
      </w:r>
      <w:r>
        <w:rPr>
          <w:color w:val="231F20"/>
          <w:w w:val="105"/>
        </w:rPr>
        <w:t>(por</w:t>
      </w:r>
      <w:r>
        <w:rPr>
          <w:color w:val="231F20"/>
          <w:spacing w:val="-26"/>
          <w:w w:val="105"/>
        </w:rPr>
        <w:t> </w:t>
      </w:r>
      <w:r>
        <w:rPr>
          <w:color w:val="231F20"/>
          <w:w w:val="105"/>
        </w:rPr>
        <w:t>ejemplo</w:t>
      </w:r>
      <w:r>
        <w:rPr>
          <w:color w:val="231F20"/>
          <w:spacing w:val="-26"/>
          <w:w w:val="105"/>
        </w:rPr>
        <w:t> </w:t>
      </w:r>
      <w:r>
        <w:rPr>
          <w:color w:val="231F20"/>
          <w:w w:val="105"/>
        </w:rPr>
        <w:t>costo</w:t>
      </w:r>
      <w:r>
        <w:rPr>
          <w:color w:val="231F20"/>
          <w:spacing w:val="-26"/>
          <w:w w:val="105"/>
        </w:rPr>
        <w:t> </w:t>
      </w:r>
      <w:r>
        <w:rPr>
          <w:color w:val="231F20"/>
          <w:w w:val="105"/>
        </w:rPr>
        <w:t>por</w:t>
      </w:r>
      <w:r>
        <w:rPr>
          <w:color w:val="231F20"/>
          <w:spacing w:val="-26"/>
          <w:w w:val="105"/>
        </w:rPr>
        <w:t> </w:t>
      </w:r>
      <w:r>
        <w:rPr>
          <w:color w:val="231F20"/>
          <w:w w:val="105"/>
        </w:rPr>
        <w:t>estudiante),</w:t>
      </w:r>
      <w:r>
        <w:rPr>
          <w:color w:val="231F20"/>
          <w:spacing w:val="-30"/>
          <w:w w:val="105"/>
        </w:rPr>
        <w:t> </w:t>
      </w:r>
      <w:r>
        <w:rPr>
          <w:color w:val="231F20"/>
          <w:w w:val="105"/>
        </w:rPr>
        <w:t>capaci-</w:t>
      </w:r>
      <w:r>
        <w:rPr>
          <w:color w:val="231F20"/>
          <w:w w:val="96"/>
        </w:rPr>
        <w:t> </w:t>
      </w:r>
      <w:r>
        <w:rPr>
          <w:color w:val="231F20"/>
          <w:w w:val="105"/>
        </w:rPr>
        <w:t>dad (espacio disponible) y </w:t>
      </w:r>
      <w:r>
        <w:rPr>
          <w:color w:val="231F20"/>
          <w:spacing w:val="-3"/>
          <w:w w:val="105"/>
        </w:rPr>
        <w:t>rendimiento </w:t>
      </w:r>
      <w:r>
        <w:rPr>
          <w:color w:val="231F20"/>
          <w:w w:val="105"/>
        </w:rPr>
        <w:t>estudiantil</w:t>
      </w:r>
      <w:r>
        <w:rPr>
          <w:color w:val="231F20"/>
          <w:spacing w:val="-10"/>
          <w:w w:val="105"/>
        </w:rPr>
        <w:t> </w:t>
      </w:r>
      <w:r>
        <w:rPr>
          <w:color w:val="231F20"/>
          <w:spacing w:val="-3"/>
          <w:w w:val="105"/>
        </w:rPr>
        <w:t>(semestres promedio</w:t>
      </w:r>
      <w:r>
        <w:rPr>
          <w:color w:val="231F20"/>
          <w:spacing w:val="-2"/>
          <w:w w:val="108"/>
        </w:rPr>
        <w:t> </w:t>
      </w:r>
      <w:r>
        <w:rPr>
          <w:color w:val="231F20"/>
          <w:w w:val="105"/>
        </w:rPr>
        <w:t>de</w:t>
      </w:r>
      <w:r>
        <w:rPr>
          <w:color w:val="231F20"/>
          <w:spacing w:val="-10"/>
          <w:w w:val="105"/>
        </w:rPr>
        <w:t> </w:t>
      </w:r>
      <w:r>
        <w:rPr>
          <w:color w:val="231F20"/>
          <w:spacing w:val="-3"/>
          <w:w w:val="105"/>
        </w:rPr>
        <w:t>realización</w:t>
      </w:r>
      <w:r>
        <w:rPr>
          <w:color w:val="231F20"/>
          <w:spacing w:val="-10"/>
          <w:w w:val="105"/>
        </w:rPr>
        <w:t> </w:t>
      </w:r>
      <w:r>
        <w:rPr>
          <w:color w:val="231F20"/>
          <w:w w:val="105"/>
        </w:rPr>
        <w:t>de</w:t>
      </w:r>
      <w:r>
        <w:rPr>
          <w:color w:val="231F20"/>
          <w:spacing w:val="-10"/>
          <w:w w:val="105"/>
        </w:rPr>
        <w:t> </w:t>
      </w:r>
      <w:r>
        <w:rPr>
          <w:color w:val="231F20"/>
          <w:w w:val="105"/>
        </w:rPr>
        <w:t>estudios).</w:t>
      </w:r>
      <w:r>
        <w:rPr>
          <w:color w:val="231F20"/>
          <w:spacing w:val="-14"/>
          <w:w w:val="105"/>
        </w:rPr>
        <w:t> </w:t>
      </w:r>
      <w:r>
        <w:rPr>
          <w:color w:val="231F20"/>
          <w:spacing w:val="-7"/>
          <w:w w:val="105"/>
        </w:rPr>
        <w:t>Por</w:t>
      </w:r>
      <w:r>
        <w:rPr>
          <w:color w:val="231F20"/>
          <w:spacing w:val="-10"/>
          <w:w w:val="105"/>
        </w:rPr>
        <w:t> </w:t>
      </w:r>
      <w:r>
        <w:rPr>
          <w:color w:val="231F20"/>
          <w:w w:val="105"/>
        </w:rPr>
        <w:t>su</w:t>
      </w:r>
      <w:r>
        <w:rPr>
          <w:color w:val="231F20"/>
          <w:spacing w:val="-10"/>
          <w:w w:val="105"/>
        </w:rPr>
        <w:t> </w:t>
      </w:r>
      <w:r>
        <w:rPr>
          <w:color w:val="231F20"/>
          <w:spacing w:val="-2"/>
          <w:w w:val="105"/>
        </w:rPr>
        <w:t>parte,</w:t>
      </w:r>
      <w:r>
        <w:rPr>
          <w:color w:val="231F20"/>
          <w:spacing w:val="-17"/>
          <w:w w:val="105"/>
        </w:rPr>
        <w:t> </w:t>
      </w:r>
      <w:r>
        <w:rPr>
          <w:color w:val="231F20"/>
          <w:spacing w:val="-3"/>
          <w:w w:val="105"/>
        </w:rPr>
        <w:t>Jarrat</w:t>
      </w:r>
      <w:r>
        <w:rPr>
          <w:color w:val="231F20"/>
          <w:spacing w:val="-10"/>
          <w:w w:val="105"/>
        </w:rPr>
        <w:t> </w:t>
      </w:r>
      <w:r>
        <w:rPr>
          <w:color w:val="231F20"/>
          <w:w w:val="105"/>
        </w:rPr>
        <w:t>(1985)</w:t>
      </w:r>
      <w:r>
        <w:rPr>
          <w:color w:val="231F20"/>
          <w:spacing w:val="-10"/>
          <w:w w:val="105"/>
        </w:rPr>
        <w:t> </w:t>
      </w:r>
      <w:r>
        <w:rPr>
          <w:color w:val="231F20"/>
          <w:spacing w:val="-3"/>
          <w:w w:val="105"/>
        </w:rPr>
        <w:t>sugiere</w:t>
      </w:r>
      <w:r>
        <w:rPr>
          <w:color w:val="231F20"/>
          <w:spacing w:val="-10"/>
          <w:w w:val="105"/>
        </w:rPr>
        <w:t> </w:t>
      </w:r>
      <w:r>
        <w:rPr>
          <w:color w:val="231F20"/>
          <w:spacing w:val="-3"/>
          <w:w w:val="105"/>
        </w:rPr>
        <w:t>tres</w:t>
      </w:r>
      <w:r>
        <w:rPr>
          <w:color w:val="231F20"/>
          <w:spacing w:val="-10"/>
          <w:w w:val="105"/>
        </w:rPr>
        <w:t> </w:t>
      </w:r>
      <w:r>
        <w:rPr>
          <w:color w:val="231F20"/>
          <w:w w:val="105"/>
        </w:rPr>
        <w:t>cate-</w:t>
      </w:r>
      <w:r>
        <w:rPr>
          <w:color w:val="231F20"/>
          <w:w w:val="96"/>
        </w:rPr>
        <w:t> </w:t>
      </w:r>
      <w:r>
        <w:rPr>
          <w:color w:val="231F20"/>
          <w:w w:val="105"/>
        </w:rPr>
        <w:t>gorías:</w:t>
      </w:r>
      <w:r>
        <w:rPr>
          <w:color w:val="231F20"/>
          <w:spacing w:val="-30"/>
          <w:w w:val="105"/>
        </w:rPr>
        <w:t> </w:t>
      </w:r>
      <w:r>
        <w:rPr>
          <w:color w:val="231F20"/>
          <w:w w:val="105"/>
        </w:rPr>
        <w:t>desempeño</w:t>
      </w:r>
      <w:r>
        <w:rPr>
          <w:color w:val="231F20"/>
          <w:spacing w:val="-30"/>
          <w:w w:val="105"/>
        </w:rPr>
        <w:t> </w:t>
      </w:r>
      <w:r>
        <w:rPr>
          <w:color w:val="231F20"/>
          <w:w w:val="105"/>
        </w:rPr>
        <w:t>interno,</w:t>
      </w:r>
      <w:r>
        <w:rPr>
          <w:color w:val="231F20"/>
          <w:spacing w:val="-34"/>
          <w:w w:val="105"/>
        </w:rPr>
        <w:t> </w:t>
      </w:r>
      <w:r>
        <w:rPr>
          <w:color w:val="231F20"/>
          <w:w w:val="105"/>
        </w:rPr>
        <w:t>desempeño</w:t>
      </w:r>
      <w:r>
        <w:rPr>
          <w:color w:val="231F20"/>
          <w:spacing w:val="-30"/>
          <w:w w:val="105"/>
        </w:rPr>
        <w:t> </w:t>
      </w:r>
      <w:r>
        <w:rPr>
          <w:color w:val="231F20"/>
          <w:w w:val="105"/>
        </w:rPr>
        <w:t>externo</w:t>
      </w:r>
      <w:r>
        <w:rPr>
          <w:color w:val="231F20"/>
          <w:spacing w:val="-30"/>
          <w:w w:val="105"/>
        </w:rPr>
        <w:t> </w:t>
      </w:r>
      <w:r>
        <w:rPr>
          <w:color w:val="231F20"/>
          <w:w w:val="105"/>
        </w:rPr>
        <w:t>y</w:t>
      </w:r>
      <w:r>
        <w:rPr>
          <w:color w:val="231F20"/>
          <w:spacing w:val="-30"/>
          <w:w w:val="105"/>
        </w:rPr>
        <w:t> </w:t>
      </w:r>
      <w:r>
        <w:rPr>
          <w:color w:val="231F20"/>
          <w:w w:val="105"/>
        </w:rPr>
        <w:t>desempeño</w:t>
      </w:r>
      <w:r>
        <w:rPr>
          <w:color w:val="231F20"/>
          <w:spacing w:val="-30"/>
          <w:w w:val="105"/>
        </w:rPr>
        <w:t> </w:t>
      </w:r>
      <w:r>
        <w:rPr>
          <w:color w:val="231F20"/>
          <w:spacing w:val="-3"/>
          <w:w w:val="105"/>
        </w:rPr>
        <w:t>operativo.</w:t>
      </w:r>
      <w:r>
        <w:rPr>
          <w:color w:val="231F20"/>
          <w:w w:val="93"/>
        </w:rPr>
        <w:t> </w:t>
      </w:r>
      <w:r>
        <w:rPr>
          <w:color w:val="231F20"/>
          <w:w w:val="105"/>
        </w:rPr>
        <w:t>El </w:t>
      </w:r>
      <w:r>
        <w:rPr>
          <w:color w:val="231F20"/>
          <w:spacing w:val="-3"/>
          <w:w w:val="105"/>
        </w:rPr>
        <w:t>criterio </w:t>
      </w:r>
      <w:r>
        <w:rPr>
          <w:color w:val="231F20"/>
          <w:w w:val="105"/>
        </w:rPr>
        <w:t>más </w:t>
      </w:r>
      <w:r>
        <w:rPr>
          <w:color w:val="231F20"/>
          <w:spacing w:val="-3"/>
          <w:w w:val="105"/>
        </w:rPr>
        <w:t>frecuente para medir </w:t>
      </w:r>
      <w:r>
        <w:rPr>
          <w:color w:val="231F20"/>
          <w:w w:val="105"/>
        </w:rPr>
        <w:t>el </w:t>
      </w:r>
      <w:r>
        <w:rPr>
          <w:color w:val="231F20"/>
          <w:spacing w:val="-3"/>
          <w:w w:val="105"/>
        </w:rPr>
        <w:t>desempeño </w:t>
      </w:r>
      <w:r>
        <w:rPr>
          <w:color w:val="231F20"/>
          <w:w w:val="105"/>
        </w:rPr>
        <w:t>de</w:t>
      </w:r>
      <w:r>
        <w:rPr>
          <w:color w:val="231F20"/>
          <w:spacing w:val="-30"/>
          <w:w w:val="105"/>
        </w:rPr>
        <w:t> </w:t>
      </w:r>
      <w:r>
        <w:rPr>
          <w:color w:val="231F20"/>
          <w:w w:val="105"/>
        </w:rPr>
        <w:t>las</w:t>
      </w:r>
      <w:r>
        <w:rPr>
          <w:color w:val="231F20"/>
          <w:spacing w:val="-5"/>
          <w:w w:val="105"/>
        </w:rPr>
        <w:t> </w:t>
      </w:r>
      <w:r>
        <w:rPr>
          <w:color w:val="231F20"/>
          <w:spacing w:val="-3"/>
          <w:w w:val="105"/>
        </w:rPr>
        <w:t>universi-</w:t>
      </w:r>
      <w:r>
        <w:rPr>
          <w:color w:val="231F20"/>
          <w:w w:val="96"/>
        </w:rPr>
        <w:t> </w:t>
      </w:r>
      <w:r>
        <w:rPr>
          <w:color w:val="231F20"/>
          <w:spacing w:val="-3"/>
          <w:w w:val="105"/>
        </w:rPr>
        <w:t>dades </w:t>
      </w:r>
      <w:r>
        <w:rPr>
          <w:color w:val="231F20"/>
          <w:w w:val="105"/>
        </w:rPr>
        <w:t>es la </w:t>
      </w:r>
      <w:r>
        <w:rPr>
          <w:color w:val="231F20"/>
          <w:spacing w:val="-3"/>
          <w:w w:val="105"/>
        </w:rPr>
        <w:t>enseñanza </w:t>
      </w:r>
      <w:r>
        <w:rPr>
          <w:color w:val="231F20"/>
          <w:w w:val="105"/>
        </w:rPr>
        <w:t>y el </w:t>
      </w:r>
      <w:r>
        <w:rPr>
          <w:color w:val="231F20"/>
          <w:spacing w:val="-3"/>
          <w:w w:val="105"/>
        </w:rPr>
        <w:t>aprendizaje relacionados </w:t>
      </w:r>
      <w:r>
        <w:rPr>
          <w:color w:val="231F20"/>
          <w:w w:val="105"/>
        </w:rPr>
        <w:t>con el</w:t>
      </w:r>
      <w:r>
        <w:rPr>
          <w:color w:val="231F20"/>
          <w:spacing w:val="-8"/>
          <w:w w:val="105"/>
        </w:rPr>
        <w:t> </w:t>
      </w:r>
      <w:r>
        <w:rPr>
          <w:color w:val="231F20"/>
          <w:spacing w:val="-3"/>
          <w:w w:val="105"/>
        </w:rPr>
        <w:t>objetivo</w:t>
      </w:r>
      <w:r>
        <w:rPr>
          <w:color w:val="231F20"/>
          <w:spacing w:val="-2"/>
          <w:w w:val="105"/>
        </w:rPr>
        <w:t> </w:t>
      </w:r>
      <w:r>
        <w:rPr>
          <w:color w:val="231F20"/>
          <w:spacing w:val="-3"/>
          <w:w w:val="105"/>
        </w:rPr>
        <w:t>pri-</w:t>
      </w:r>
      <w:r>
        <w:rPr>
          <w:color w:val="231F20"/>
          <w:w w:val="96"/>
        </w:rPr>
        <w:t> </w:t>
      </w:r>
      <w:r>
        <w:rPr>
          <w:color w:val="231F20"/>
          <w:spacing w:val="-3"/>
          <w:w w:val="105"/>
        </w:rPr>
        <w:t>mordial</w:t>
      </w:r>
      <w:r>
        <w:rPr>
          <w:color w:val="231F20"/>
          <w:spacing w:val="-19"/>
          <w:w w:val="105"/>
        </w:rPr>
        <w:t> </w:t>
      </w:r>
      <w:r>
        <w:rPr>
          <w:color w:val="231F20"/>
          <w:w w:val="105"/>
        </w:rPr>
        <w:t>de</w:t>
      </w:r>
      <w:r>
        <w:rPr>
          <w:color w:val="231F20"/>
          <w:spacing w:val="-19"/>
          <w:w w:val="105"/>
        </w:rPr>
        <w:t> </w:t>
      </w:r>
      <w:r>
        <w:rPr>
          <w:color w:val="231F20"/>
          <w:spacing w:val="-3"/>
          <w:w w:val="105"/>
        </w:rPr>
        <w:t>proveer</w:t>
      </w:r>
      <w:r>
        <w:rPr>
          <w:color w:val="231F20"/>
          <w:spacing w:val="-19"/>
          <w:w w:val="105"/>
        </w:rPr>
        <w:t> </w:t>
      </w:r>
      <w:r>
        <w:rPr>
          <w:color w:val="231F20"/>
          <w:spacing w:val="-3"/>
          <w:w w:val="105"/>
        </w:rPr>
        <w:t>educación</w:t>
      </w:r>
      <w:r>
        <w:rPr>
          <w:color w:val="231F20"/>
          <w:spacing w:val="-19"/>
          <w:w w:val="105"/>
        </w:rPr>
        <w:t> </w:t>
      </w:r>
      <w:r>
        <w:rPr>
          <w:color w:val="231F20"/>
          <w:w w:val="105"/>
        </w:rPr>
        <w:t>de</w:t>
      </w:r>
      <w:r>
        <w:rPr>
          <w:color w:val="231F20"/>
          <w:spacing w:val="-19"/>
          <w:w w:val="105"/>
        </w:rPr>
        <w:t> </w:t>
      </w:r>
      <w:r>
        <w:rPr>
          <w:color w:val="231F20"/>
          <w:spacing w:val="-3"/>
          <w:w w:val="105"/>
        </w:rPr>
        <w:t>calidad</w:t>
      </w:r>
      <w:r>
        <w:rPr>
          <w:color w:val="231F20"/>
          <w:spacing w:val="-19"/>
          <w:w w:val="105"/>
        </w:rPr>
        <w:t> </w:t>
      </w:r>
      <w:r>
        <w:rPr>
          <w:color w:val="231F20"/>
          <w:w w:val="105"/>
        </w:rPr>
        <w:t>a</w:t>
      </w:r>
      <w:r>
        <w:rPr>
          <w:color w:val="231F20"/>
          <w:spacing w:val="-19"/>
          <w:w w:val="105"/>
        </w:rPr>
        <w:t> </w:t>
      </w:r>
      <w:r>
        <w:rPr>
          <w:color w:val="231F20"/>
          <w:w w:val="105"/>
        </w:rPr>
        <w:t>sus</w:t>
      </w:r>
      <w:r>
        <w:rPr>
          <w:color w:val="231F20"/>
          <w:spacing w:val="-19"/>
          <w:w w:val="105"/>
        </w:rPr>
        <w:t> </w:t>
      </w:r>
      <w:r>
        <w:rPr>
          <w:color w:val="231F20"/>
          <w:spacing w:val="-3"/>
          <w:w w:val="105"/>
        </w:rPr>
        <w:t>usuarios</w:t>
      </w:r>
      <w:r>
        <w:rPr>
          <w:color w:val="231F20"/>
          <w:spacing w:val="-19"/>
          <w:w w:val="105"/>
        </w:rPr>
        <w:t> </w:t>
      </w:r>
      <w:r>
        <w:rPr>
          <w:color w:val="231F20"/>
          <w:w w:val="105"/>
        </w:rPr>
        <w:t>y</w:t>
      </w:r>
      <w:r>
        <w:rPr>
          <w:color w:val="231F20"/>
          <w:spacing w:val="-19"/>
          <w:w w:val="105"/>
        </w:rPr>
        <w:t> </w:t>
      </w:r>
      <w:r>
        <w:rPr>
          <w:color w:val="231F20"/>
          <w:spacing w:val="-3"/>
          <w:w w:val="105"/>
        </w:rPr>
        <w:t>formar</w:t>
      </w:r>
      <w:r>
        <w:rPr>
          <w:color w:val="231F20"/>
          <w:spacing w:val="-19"/>
          <w:w w:val="105"/>
        </w:rPr>
        <w:t> </w:t>
      </w:r>
      <w:r>
        <w:rPr>
          <w:color w:val="231F20"/>
          <w:spacing w:val="-4"/>
          <w:w w:val="105"/>
        </w:rPr>
        <w:t>recursos</w:t>
      </w:r>
      <w:r>
        <w:rPr>
          <w:color w:val="231F20"/>
          <w:spacing w:val="-3"/>
          <w:w w:val="100"/>
        </w:rPr>
        <w:t> </w:t>
      </w:r>
      <w:r>
        <w:rPr>
          <w:color w:val="231F20"/>
          <w:spacing w:val="-3"/>
          <w:w w:val="105"/>
        </w:rPr>
        <w:t>humanos</w:t>
      </w:r>
      <w:r>
        <w:rPr>
          <w:color w:val="231F20"/>
          <w:spacing w:val="-27"/>
          <w:w w:val="105"/>
        </w:rPr>
        <w:t> </w:t>
      </w:r>
      <w:r>
        <w:rPr>
          <w:color w:val="231F20"/>
          <w:spacing w:val="-3"/>
          <w:w w:val="105"/>
        </w:rPr>
        <w:t>calificados</w:t>
      </w:r>
      <w:r>
        <w:rPr>
          <w:color w:val="231F20"/>
          <w:spacing w:val="-27"/>
          <w:w w:val="105"/>
        </w:rPr>
        <w:t> </w:t>
      </w:r>
      <w:r>
        <w:rPr>
          <w:color w:val="231F20"/>
          <w:spacing w:val="-3"/>
          <w:w w:val="105"/>
        </w:rPr>
        <w:t>para</w:t>
      </w:r>
      <w:r>
        <w:rPr>
          <w:color w:val="231F20"/>
          <w:spacing w:val="-27"/>
          <w:w w:val="105"/>
        </w:rPr>
        <w:t> </w:t>
      </w:r>
      <w:r>
        <w:rPr>
          <w:color w:val="231F20"/>
          <w:w w:val="105"/>
        </w:rPr>
        <w:t>el</w:t>
      </w:r>
      <w:r>
        <w:rPr>
          <w:color w:val="231F20"/>
          <w:spacing w:val="-27"/>
          <w:w w:val="105"/>
        </w:rPr>
        <w:t> </w:t>
      </w:r>
      <w:r>
        <w:rPr>
          <w:color w:val="231F20"/>
          <w:spacing w:val="-3"/>
          <w:w w:val="105"/>
        </w:rPr>
        <w:t>sector</w:t>
      </w:r>
      <w:r>
        <w:rPr>
          <w:color w:val="231F20"/>
          <w:spacing w:val="-27"/>
          <w:w w:val="105"/>
        </w:rPr>
        <w:t> </w:t>
      </w:r>
      <w:r>
        <w:rPr>
          <w:color w:val="231F20"/>
          <w:spacing w:val="-3"/>
          <w:w w:val="105"/>
        </w:rPr>
        <w:t>productivo</w:t>
      </w:r>
      <w:r>
        <w:rPr>
          <w:color w:val="231F20"/>
          <w:spacing w:val="-27"/>
          <w:w w:val="105"/>
        </w:rPr>
        <w:t> </w:t>
      </w:r>
      <w:r>
        <w:rPr>
          <w:color w:val="231F20"/>
          <w:spacing w:val="-3"/>
          <w:w w:val="105"/>
        </w:rPr>
        <w:t>(Capaldi</w:t>
      </w:r>
      <w:r>
        <w:rPr>
          <w:color w:val="231F20"/>
          <w:spacing w:val="-27"/>
          <w:w w:val="105"/>
        </w:rPr>
        <w:t> </w:t>
      </w:r>
      <w:r>
        <w:rPr>
          <w:color w:val="231F20"/>
          <w:w w:val="105"/>
        </w:rPr>
        <w:t>y</w:t>
      </w:r>
      <w:r>
        <w:rPr>
          <w:color w:val="231F20"/>
          <w:spacing w:val="-30"/>
          <w:w w:val="105"/>
        </w:rPr>
        <w:t> </w:t>
      </w:r>
      <w:r>
        <w:rPr>
          <w:color w:val="231F20"/>
          <w:spacing w:val="-4"/>
          <w:w w:val="105"/>
        </w:rPr>
        <w:t>Abbey,</w:t>
      </w:r>
      <w:r>
        <w:rPr>
          <w:color w:val="231F20"/>
          <w:spacing w:val="-33"/>
          <w:w w:val="105"/>
        </w:rPr>
        <w:t> </w:t>
      </w:r>
      <w:r>
        <w:rPr>
          <w:color w:val="231F20"/>
          <w:spacing w:val="-3"/>
          <w:w w:val="105"/>
        </w:rPr>
        <w:t>2011;</w:t>
      </w:r>
      <w:r>
        <w:rPr>
          <w:color w:val="231F20"/>
          <w:spacing w:val="-27"/>
          <w:w w:val="105"/>
        </w:rPr>
        <w:t> </w:t>
      </w:r>
      <w:r>
        <w:rPr>
          <w:color w:val="231F20"/>
          <w:w w:val="105"/>
        </w:rPr>
        <w:t>Gu-</w:t>
      </w:r>
      <w:r>
        <w:rPr>
          <w:color w:val="231F20"/>
          <w:w w:val="96"/>
        </w:rPr>
        <w:t> </w:t>
      </w:r>
      <w:r>
        <w:rPr>
          <w:color w:val="231F20"/>
          <w:spacing w:val="-3"/>
          <w:w w:val="105"/>
        </w:rPr>
        <w:t>thrie,</w:t>
      </w:r>
      <w:r>
        <w:rPr>
          <w:color w:val="231F20"/>
          <w:spacing w:val="-30"/>
          <w:w w:val="105"/>
        </w:rPr>
        <w:t> </w:t>
      </w:r>
      <w:r>
        <w:rPr>
          <w:color w:val="231F20"/>
          <w:spacing w:val="-3"/>
          <w:w w:val="105"/>
        </w:rPr>
        <w:t>Ricceri</w:t>
      </w:r>
      <w:r>
        <w:rPr>
          <w:color w:val="231F20"/>
          <w:spacing w:val="-25"/>
          <w:w w:val="105"/>
        </w:rPr>
        <w:t> </w:t>
      </w:r>
      <w:r>
        <w:rPr>
          <w:color w:val="231F20"/>
          <w:w w:val="105"/>
        </w:rPr>
        <w:t>y</w:t>
      </w:r>
      <w:r>
        <w:rPr>
          <w:color w:val="231F20"/>
          <w:spacing w:val="-25"/>
          <w:w w:val="105"/>
        </w:rPr>
        <w:t> </w:t>
      </w:r>
      <w:r>
        <w:rPr>
          <w:color w:val="231F20"/>
          <w:spacing w:val="-4"/>
          <w:w w:val="105"/>
        </w:rPr>
        <w:t>Dumay,</w:t>
      </w:r>
      <w:r>
        <w:rPr>
          <w:color w:val="231F20"/>
          <w:spacing w:val="-30"/>
          <w:w w:val="105"/>
        </w:rPr>
        <w:t> </w:t>
      </w:r>
      <w:r>
        <w:rPr>
          <w:color w:val="231F20"/>
          <w:spacing w:val="-3"/>
          <w:w w:val="105"/>
        </w:rPr>
        <w:t>2012;</w:t>
      </w:r>
      <w:r>
        <w:rPr>
          <w:color w:val="231F20"/>
          <w:spacing w:val="-25"/>
          <w:w w:val="105"/>
        </w:rPr>
        <w:t> </w:t>
      </w:r>
      <w:r>
        <w:rPr>
          <w:color w:val="231F20"/>
          <w:spacing w:val="-3"/>
          <w:w w:val="105"/>
        </w:rPr>
        <w:t>Iqbal</w:t>
      </w:r>
      <w:r>
        <w:rPr>
          <w:color w:val="231F20"/>
          <w:spacing w:val="-25"/>
          <w:w w:val="105"/>
        </w:rPr>
        <w:t> </w:t>
      </w:r>
      <w:r>
        <w:rPr>
          <w:i/>
          <w:color w:val="231F20"/>
          <w:w w:val="105"/>
        </w:rPr>
        <w:t>et</w:t>
      </w:r>
      <w:r>
        <w:rPr>
          <w:i/>
          <w:color w:val="231F20"/>
          <w:spacing w:val="-25"/>
          <w:w w:val="105"/>
        </w:rPr>
        <w:t> </w:t>
      </w:r>
      <w:r>
        <w:rPr>
          <w:i/>
          <w:color w:val="231F20"/>
          <w:spacing w:val="-3"/>
          <w:w w:val="105"/>
        </w:rPr>
        <w:t>al</w:t>
      </w:r>
      <w:r>
        <w:rPr>
          <w:color w:val="231F20"/>
          <w:spacing w:val="-3"/>
          <w:w w:val="105"/>
        </w:rPr>
        <w:t>.,</w:t>
      </w:r>
      <w:r>
        <w:rPr>
          <w:color w:val="231F20"/>
          <w:spacing w:val="-30"/>
          <w:w w:val="105"/>
        </w:rPr>
        <w:t> </w:t>
      </w:r>
      <w:r>
        <w:rPr>
          <w:color w:val="231F20"/>
          <w:spacing w:val="-3"/>
          <w:w w:val="105"/>
        </w:rPr>
        <w:t>2011).</w:t>
      </w:r>
      <w:r>
        <w:rPr>
          <w:color w:val="231F20"/>
          <w:spacing w:val="-30"/>
          <w:w w:val="105"/>
        </w:rPr>
        <w:t> </w:t>
      </w:r>
      <w:r>
        <w:rPr>
          <w:color w:val="231F20"/>
          <w:w w:val="105"/>
        </w:rPr>
        <w:t>De</w:t>
      </w:r>
      <w:r>
        <w:rPr>
          <w:color w:val="231F20"/>
          <w:spacing w:val="-25"/>
          <w:w w:val="105"/>
        </w:rPr>
        <w:t> </w:t>
      </w:r>
      <w:r>
        <w:rPr>
          <w:color w:val="231F20"/>
          <w:spacing w:val="-3"/>
          <w:w w:val="105"/>
        </w:rPr>
        <w:t>igual</w:t>
      </w:r>
      <w:r>
        <w:rPr>
          <w:color w:val="231F20"/>
          <w:spacing w:val="-25"/>
          <w:w w:val="105"/>
        </w:rPr>
        <w:t> </w:t>
      </w:r>
      <w:r>
        <w:rPr>
          <w:color w:val="231F20"/>
          <w:spacing w:val="-3"/>
          <w:w w:val="105"/>
        </w:rPr>
        <w:t>manera,</w:t>
      </w:r>
      <w:r>
        <w:rPr>
          <w:color w:val="231F20"/>
          <w:spacing w:val="-30"/>
          <w:w w:val="105"/>
        </w:rPr>
        <w:t> </w:t>
      </w:r>
      <w:r>
        <w:rPr>
          <w:color w:val="231F20"/>
          <w:w w:val="105"/>
        </w:rPr>
        <w:t>la</w:t>
      </w:r>
      <w:r>
        <w:rPr>
          <w:color w:val="231F20"/>
          <w:spacing w:val="-25"/>
          <w:w w:val="105"/>
        </w:rPr>
        <w:t> </w:t>
      </w:r>
      <w:r>
        <w:rPr>
          <w:color w:val="231F20"/>
          <w:spacing w:val="-3"/>
          <w:w w:val="105"/>
        </w:rPr>
        <w:t>investi-</w:t>
      </w:r>
      <w:r>
        <w:rPr>
          <w:color w:val="231F20"/>
          <w:w w:val="96"/>
        </w:rPr>
        <w:t> </w:t>
      </w:r>
      <w:r>
        <w:rPr>
          <w:color w:val="231F20"/>
          <w:spacing w:val="-3"/>
          <w:w w:val="105"/>
        </w:rPr>
        <w:t>gación,</w:t>
      </w:r>
      <w:r>
        <w:rPr>
          <w:color w:val="231F20"/>
          <w:spacing w:val="-31"/>
          <w:w w:val="105"/>
        </w:rPr>
        <w:t> </w:t>
      </w:r>
      <w:r>
        <w:rPr>
          <w:color w:val="231F20"/>
          <w:spacing w:val="-3"/>
          <w:w w:val="105"/>
        </w:rPr>
        <w:t>vista</w:t>
      </w:r>
      <w:r>
        <w:rPr>
          <w:color w:val="231F20"/>
          <w:spacing w:val="-26"/>
          <w:w w:val="105"/>
        </w:rPr>
        <w:t> </w:t>
      </w:r>
      <w:r>
        <w:rPr>
          <w:color w:val="231F20"/>
          <w:spacing w:val="-3"/>
          <w:w w:val="105"/>
        </w:rPr>
        <w:t>como</w:t>
      </w:r>
      <w:r>
        <w:rPr>
          <w:color w:val="231F20"/>
          <w:spacing w:val="-26"/>
          <w:w w:val="105"/>
        </w:rPr>
        <w:t> </w:t>
      </w:r>
      <w:r>
        <w:rPr>
          <w:color w:val="231F20"/>
          <w:w w:val="105"/>
        </w:rPr>
        <w:t>la</w:t>
      </w:r>
      <w:r>
        <w:rPr>
          <w:color w:val="231F20"/>
          <w:spacing w:val="-26"/>
          <w:w w:val="105"/>
        </w:rPr>
        <w:t> </w:t>
      </w:r>
      <w:r>
        <w:rPr>
          <w:color w:val="231F20"/>
          <w:spacing w:val="-3"/>
          <w:w w:val="105"/>
        </w:rPr>
        <w:t>capacidad</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spacing w:val="-3"/>
          <w:w w:val="105"/>
        </w:rPr>
        <w:t>universidades</w:t>
      </w:r>
      <w:r>
        <w:rPr>
          <w:color w:val="231F20"/>
          <w:spacing w:val="-26"/>
          <w:w w:val="105"/>
        </w:rPr>
        <w:t> </w:t>
      </w:r>
      <w:r>
        <w:rPr>
          <w:color w:val="231F20"/>
          <w:spacing w:val="-3"/>
          <w:w w:val="105"/>
        </w:rPr>
        <w:t>para</w:t>
      </w:r>
      <w:r>
        <w:rPr>
          <w:color w:val="231F20"/>
          <w:spacing w:val="-26"/>
          <w:w w:val="105"/>
        </w:rPr>
        <w:t> </w:t>
      </w:r>
      <w:r>
        <w:rPr>
          <w:color w:val="231F20"/>
          <w:spacing w:val="-3"/>
          <w:w w:val="105"/>
        </w:rPr>
        <w:t>generar</w:t>
      </w:r>
      <w:r>
        <w:rPr>
          <w:color w:val="231F20"/>
          <w:spacing w:val="-26"/>
          <w:w w:val="105"/>
        </w:rPr>
        <w:t> </w:t>
      </w:r>
      <w:r>
        <w:rPr>
          <w:color w:val="231F20"/>
          <w:spacing w:val="-3"/>
          <w:w w:val="105"/>
        </w:rPr>
        <w:t>nuevos</w:t>
      </w:r>
    </w:p>
    <w:p>
      <w:pPr>
        <w:pStyle w:val="BodyText"/>
        <w:rPr>
          <w:sz w:val="20"/>
        </w:rPr>
      </w:pPr>
    </w:p>
    <w:p>
      <w:pPr>
        <w:pStyle w:val="BodyText"/>
        <w:rPr>
          <w:sz w:val="20"/>
        </w:rPr>
      </w:pPr>
    </w:p>
    <w:p>
      <w:pPr>
        <w:pStyle w:val="BodyText"/>
        <w:rPr>
          <w:sz w:val="19"/>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397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104</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3952"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105</w:t>
      </w:r>
    </w:p>
    <w:p>
      <w:pPr>
        <w:pStyle w:val="BodyText"/>
        <w:rPr>
          <w:sz w:val="20"/>
        </w:rPr>
      </w:pPr>
    </w:p>
    <w:p>
      <w:pPr>
        <w:pStyle w:val="BodyText"/>
        <w:rPr>
          <w:sz w:val="20"/>
        </w:rPr>
      </w:pPr>
    </w:p>
    <w:p>
      <w:pPr>
        <w:pStyle w:val="BodyText"/>
        <w:spacing w:line="259" w:lineRule="auto" w:before="176"/>
        <w:ind w:left="117" w:right="121"/>
        <w:jc w:val="both"/>
      </w:pPr>
      <w:r>
        <w:rPr>
          <w:color w:val="231F20"/>
          <w:spacing w:val="-3"/>
          <w:w w:val="105"/>
        </w:rPr>
        <w:t>conocimientos, </w:t>
      </w:r>
      <w:r>
        <w:rPr>
          <w:color w:val="231F20"/>
          <w:w w:val="105"/>
        </w:rPr>
        <w:t>se ha </w:t>
      </w:r>
      <w:r>
        <w:rPr>
          <w:color w:val="231F20"/>
          <w:spacing w:val="-3"/>
          <w:w w:val="105"/>
        </w:rPr>
        <w:t>propuesto como indicador para evaluar </w:t>
      </w:r>
      <w:r>
        <w:rPr>
          <w:color w:val="231F20"/>
          <w:w w:val="105"/>
        </w:rPr>
        <w:t>su </w:t>
      </w:r>
      <w:r>
        <w:rPr>
          <w:color w:val="231F20"/>
          <w:spacing w:val="-3"/>
          <w:w w:val="105"/>
        </w:rPr>
        <w:t>desem- peño,</w:t>
      </w:r>
      <w:r>
        <w:rPr>
          <w:color w:val="231F20"/>
          <w:spacing w:val="-25"/>
          <w:w w:val="105"/>
        </w:rPr>
        <w:t> </w:t>
      </w:r>
      <w:r>
        <w:rPr>
          <w:color w:val="231F20"/>
          <w:spacing w:val="-3"/>
          <w:w w:val="105"/>
        </w:rPr>
        <w:t>existiendo</w:t>
      </w:r>
      <w:r>
        <w:rPr>
          <w:color w:val="231F20"/>
          <w:spacing w:val="-19"/>
          <w:w w:val="105"/>
        </w:rPr>
        <w:t> </w:t>
      </w:r>
      <w:r>
        <w:rPr>
          <w:color w:val="231F20"/>
          <w:spacing w:val="-3"/>
          <w:w w:val="105"/>
        </w:rPr>
        <w:t>rankings</w:t>
      </w:r>
      <w:r>
        <w:rPr>
          <w:color w:val="231F20"/>
          <w:spacing w:val="-19"/>
          <w:w w:val="105"/>
        </w:rPr>
        <w:t> </w:t>
      </w:r>
      <w:r>
        <w:rPr>
          <w:color w:val="231F20"/>
          <w:w w:val="105"/>
        </w:rPr>
        <w:t>que</w:t>
      </w:r>
      <w:r>
        <w:rPr>
          <w:color w:val="231F20"/>
          <w:spacing w:val="-19"/>
          <w:w w:val="105"/>
        </w:rPr>
        <w:t> </w:t>
      </w:r>
      <w:r>
        <w:rPr>
          <w:color w:val="231F20"/>
          <w:spacing w:val="-3"/>
          <w:w w:val="105"/>
        </w:rPr>
        <w:t>clasifican</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spacing w:val="-3"/>
          <w:w w:val="105"/>
        </w:rPr>
        <w:t>universidades</w:t>
      </w:r>
      <w:r>
        <w:rPr>
          <w:color w:val="231F20"/>
          <w:spacing w:val="-19"/>
          <w:w w:val="105"/>
        </w:rPr>
        <w:t> </w:t>
      </w:r>
      <w:r>
        <w:rPr>
          <w:color w:val="231F20"/>
          <w:w w:val="105"/>
        </w:rPr>
        <w:t>en</w:t>
      </w:r>
      <w:r>
        <w:rPr>
          <w:color w:val="231F20"/>
          <w:spacing w:val="-19"/>
          <w:w w:val="105"/>
        </w:rPr>
        <w:t> </w:t>
      </w:r>
      <w:r>
        <w:rPr>
          <w:color w:val="231F20"/>
          <w:spacing w:val="-3"/>
          <w:w w:val="105"/>
        </w:rPr>
        <w:t>función</w:t>
      </w:r>
      <w:r>
        <w:rPr>
          <w:color w:val="231F20"/>
          <w:spacing w:val="-19"/>
          <w:w w:val="105"/>
        </w:rPr>
        <w:t> </w:t>
      </w:r>
      <w:r>
        <w:rPr>
          <w:color w:val="231F20"/>
          <w:spacing w:val="-3"/>
          <w:w w:val="105"/>
        </w:rPr>
        <w:t>de </w:t>
      </w:r>
      <w:r>
        <w:rPr>
          <w:color w:val="231F20"/>
          <w:w w:val="105"/>
        </w:rPr>
        <w:t>su</w:t>
      </w:r>
      <w:r>
        <w:rPr>
          <w:color w:val="231F20"/>
          <w:spacing w:val="-20"/>
          <w:w w:val="105"/>
        </w:rPr>
        <w:t> </w:t>
      </w:r>
      <w:r>
        <w:rPr>
          <w:color w:val="231F20"/>
          <w:spacing w:val="-3"/>
          <w:w w:val="105"/>
        </w:rPr>
        <w:t>producción</w:t>
      </w:r>
      <w:r>
        <w:rPr>
          <w:color w:val="231F20"/>
          <w:spacing w:val="-20"/>
          <w:w w:val="105"/>
        </w:rPr>
        <w:t> </w:t>
      </w:r>
      <w:r>
        <w:rPr>
          <w:color w:val="231F20"/>
          <w:spacing w:val="-3"/>
          <w:w w:val="105"/>
        </w:rPr>
        <w:t>científica</w:t>
      </w:r>
      <w:r>
        <w:rPr>
          <w:color w:val="231F20"/>
          <w:spacing w:val="-20"/>
          <w:w w:val="105"/>
        </w:rPr>
        <w:t> </w:t>
      </w:r>
      <w:r>
        <w:rPr>
          <w:color w:val="231F20"/>
          <w:spacing w:val="-3"/>
          <w:w w:val="105"/>
        </w:rPr>
        <w:t>(Shin,</w:t>
      </w:r>
      <w:r>
        <w:rPr>
          <w:color w:val="231F20"/>
          <w:spacing w:val="-25"/>
          <w:w w:val="105"/>
        </w:rPr>
        <w:t> </w:t>
      </w:r>
      <w:r>
        <w:rPr>
          <w:color w:val="231F20"/>
          <w:spacing w:val="-3"/>
          <w:w w:val="105"/>
        </w:rPr>
        <w:t>2009).</w:t>
      </w:r>
      <w:r>
        <w:rPr>
          <w:color w:val="231F20"/>
          <w:spacing w:val="-25"/>
          <w:w w:val="105"/>
        </w:rPr>
        <w:t> </w:t>
      </w:r>
      <w:r>
        <w:rPr>
          <w:color w:val="231F20"/>
          <w:w w:val="105"/>
        </w:rPr>
        <w:t>Un</w:t>
      </w:r>
      <w:r>
        <w:rPr>
          <w:color w:val="231F20"/>
          <w:spacing w:val="-20"/>
          <w:w w:val="105"/>
        </w:rPr>
        <w:t> </w:t>
      </w:r>
      <w:r>
        <w:rPr>
          <w:color w:val="231F20"/>
          <w:spacing w:val="-3"/>
          <w:w w:val="105"/>
        </w:rPr>
        <w:t>criterio</w:t>
      </w:r>
      <w:r>
        <w:rPr>
          <w:color w:val="231F20"/>
          <w:spacing w:val="-20"/>
          <w:w w:val="105"/>
        </w:rPr>
        <w:t> </w:t>
      </w:r>
      <w:r>
        <w:rPr>
          <w:color w:val="231F20"/>
          <w:spacing w:val="-3"/>
          <w:w w:val="105"/>
        </w:rPr>
        <w:t>más,</w:t>
      </w:r>
      <w:r>
        <w:rPr>
          <w:color w:val="231F20"/>
          <w:spacing w:val="-25"/>
          <w:w w:val="105"/>
        </w:rPr>
        <w:t> </w:t>
      </w:r>
      <w:r>
        <w:rPr>
          <w:color w:val="231F20"/>
          <w:w w:val="105"/>
        </w:rPr>
        <w:t>es</w:t>
      </w:r>
      <w:r>
        <w:rPr>
          <w:color w:val="231F20"/>
          <w:spacing w:val="-20"/>
          <w:w w:val="105"/>
        </w:rPr>
        <w:t> </w:t>
      </w:r>
      <w:r>
        <w:rPr>
          <w:color w:val="231F20"/>
          <w:w w:val="105"/>
        </w:rPr>
        <w:t>la</w:t>
      </w:r>
      <w:r>
        <w:rPr>
          <w:color w:val="231F20"/>
          <w:spacing w:val="-20"/>
          <w:w w:val="105"/>
        </w:rPr>
        <w:t> </w:t>
      </w:r>
      <w:r>
        <w:rPr>
          <w:color w:val="231F20"/>
          <w:spacing w:val="-3"/>
          <w:w w:val="105"/>
        </w:rPr>
        <w:t>influencia</w:t>
      </w:r>
      <w:r>
        <w:rPr>
          <w:color w:val="231F20"/>
          <w:spacing w:val="-20"/>
          <w:w w:val="105"/>
        </w:rPr>
        <w:t> </w:t>
      </w:r>
      <w:r>
        <w:rPr>
          <w:color w:val="231F20"/>
          <w:w w:val="105"/>
        </w:rPr>
        <w:t>de</w:t>
      </w:r>
      <w:r>
        <w:rPr>
          <w:color w:val="231F20"/>
          <w:spacing w:val="-20"/>
          <w:w w:val="105"/>
        </w:rPr>
        <w:t> </w:t>
      </w:r>
      <w:r>
        <w:rPr>
          <w:color w:val="231F20"/>
          <w:spacing w:val="-3"/>
          <w:w w:val="105"/>
        </w:rPr>
        <w:t>la autonomía universitaria </w:t>
      </w:r>
      <w:r>
        <w:rPr>
          <w:color w:val="231F20"/>
          <w:w w:val="105"/>
        </w:rPr>
        <w:t>y el </w:t>
      </w:r>
      <w:r>
        <w:rPr>
          <w:color w:val="231F20"/>
          <w:spacing w:val="-3"/>
          <w:w w:val="105"/>
        </w:rPr>
        <w:t>ambiente </w:t>
      </w:r>
      <w:r>
        <w:rPr>
          <w:color w:val="231F20"/>
          <w:w w:val="105"/>
        </w:rPr>
        <w:t>de </w:t>
      </w:r>
      <w:r>
        <w:rPr>
          <w:color w:val="231F20"/>
          <w:spacing w:val="-3"/>
          <w:w w:val="105"/>
        </w:rPr>
        <w:t>competencia </w:t>
      </w:r>
      <w:r>
        <w:rPr>
          <w:color w:val="231F20"/>
          <w:w w:val="105"/>
        </w:rPr>
        <w:t>que </w:t>
      </w:r>
      <w:r>
        <w:rPr>
          <w:color w:val="231F20"/>
          <w:spacing w:val="-3"/>
          <w:w w:val="105"/>
        </w:rPr>
        <w:t>enfrentan las instituciones</w:t>
      </w:r>
      <w:r>
        <w:rPr>
          <w:color w:val="231F20"/>
          <w:spacing w:val="-24"/>
          <w:w w:val="105"/>
        </w:rPr>
        <w:t> </w:t>
      </w:r>
      <w:r>
        <w:rPr>
          <w:color w:val="231F20"/>
          <w:w w:val="105"/>
        </w:rPr>
        <w:t>en</w:t>
      </w:r>
      <w:r>
        <w:rPr>
          <w:color w:val="231F20"/>
          <w:spacing w:val="-24"/>
          <w:w w:val="105"/>
        </w:rPr>
        <w:t> </w:t>
      </w:r>
      <w:r>
        <w:rPr>
          <w:color w:val="231F20"/>
          <w:w w:val="105"/>
        </w:rPr>
        <w:t>su</w:t>
      </w:r>
      <w:r>
        <w:rPr>
          <w:color w:val="231F20"/>
          <w:spacing w:val="-24"/>
          <w:w w:val="105"/>
        </w:rPr>
        <w:t> </w:t>
      </w:r>
      <w:r>
        <w:rPr>
          <w:color w:val="231F20"/>
          <w:spacing w:val="-3"/>
          <w:w w:val="105"/>
        </w:rPr>
        <w:t>desempeño</w:t>
      </w:r>
      <w:r>
        <w:rPr>
          <w:color w:val="231F20"/>
          <w:spacing w:val="-24"/>
          <w:w w:val="105"/>
        </w:rPr>
        <w:t> </w:t>
      </w:r>
      <w:r>
        <w:rPr>
          <w:color w:val="231F20"/>
          <w:w w:val="105"/>
        </w:rPr>
        <w:t>en</w:t>
      </w:r>
      <w:r>
        <w:rPr>
          <w:color w:val="231F20"/>
          <w:spacing w:val="-24"/>
          <w:w w:val="105"/>
        </w:rPr>
        <w:t> </w:t>
      </w:r>
      <w:r>
        <w:rPr>
          <w:color w:val="231F20"/>
          <w:spacing w:val="-3"/>
          <w:w w:val="105"/>
        </w:rPr>
        <w:t>investigación</w:t>
      </w:r>
      <w:r>
        <w:rPr>
          <w:color w:val="231F20"/>
          <w:spacing w:val="-24"/>
          <w:w w:val="105"/>
        </w:rPr>
        <w:t> </w:t>
      </w:r>
      <w:r>
        <w:rPr>
          <w:color w:val="231F20"/>
          <w:spacing w:val="-3"/>
          <w:w w:val="105"/>
        </w:rPr>
        <w:t>(Aghion</w:t>
      </w:r>
      <w:r>
        <w:rPr>
          <w:color w:val="231F20"/>
          <w:spacing w:val="-24"/>
          <w:w w:val="105"/>
        </w:rPr>
        <w:t> </w:t>
      </w:r>
      <w:r>
        <w:rPr>
          <w:i/>
          <w:color w:val="231F20"/>
          <w:w w:val="105"/>
        </w:rPr>
        <w:t>et</w:t>
      </w:r>
      <w:r>
        <w:rPr>
          <w:i/>
          <w:color w:val="231F20"/>
          <w:spacing w:val="-24"/>
          <w:w w:val="105"/>
        </w:rPr>
        <w:t> </w:t>
      </w:r>
      <w:r>
        <w:rPr>
          <w:i/>
          <w:color w:val="231F20"/>
          <w:w w:val="105"/>
        </w:rPr>
        <w:t>al</w:t>
      </w:r>
      <w:r>
        <w:rPr>
          <w:color w:val="231F20"/>
          <w:w w:val="105"/>
        </w:rPr>
        <w:t>,</w:t>
      </w:r>
      <w:r>
        <w:rPr>
          <w:color w:val="231F20"/>
          <w:spacing w:val="-28"/>
          <w:w w:val="105"/>
        </w:rPr>
        <w:t> </w:t>
      </w:r>
      <w:r>
        <w:rPr>
          <w:color w:val="231F20"/>
          <w:spacing w:val="-3"/>
          <w:w w:val="105"/>
        </w:rPr>
        <w:t>2010).</w:t>
      </w:r>
    </w:p>
    <w:p>
      <w:pPr>
        <w:pStyle w:val="BodyText"/>
        <w:spacing w:line="259" w:lineRule="auto"/>
        <w:ind w:left="117" w:right="121" w:firstLine="567"/>
        <w:jc w:val="both"/>
      </w:pPr>
      <w:r>
        <w:rPr>
          <w:color w:val="231F20"/>
          <w:spacing w:val="-3"/>
          <w:w w:val="105"/>
        </w:rPr>
        <w:t>Englobando</w:t>
      </w:r>
      <w:r>
        <w:rPr>
          <w:color w:val="231F20"/>
          <w:spacing w:val="-20"/>
          <w:w w:val="105"/>
        </w:rPr>
        <w:t> </w:t>
      </w:r>
      <w:r>
        <w:rPr>
          <w:color w:val="231F20"/>
          <w:w w:val="105"/>
        </w:rPr>
        <w:t>lo</w:t>
      </w:r>
      <w:r>
        <w:rPr>
          <w:color w:val="231F20"/>
          <w:spacing w:val="-20"/>
          <w:w w:val="105"/>
        </w:rPr>
        <w:t> </w:t>
      </w:r>
      <w:r>
        <w:rPr>
          <w:color w:val="231F20"/>
          <w:spacing w:val="-4"/>
          <w:w w:val="105"/>
        </w:rPr>
        <w:t>anterior,</w:t>
      </w:r>
      <w:r>
        <w:rPr>
          <w:color w:val="231F20"/>
          <w:spacing w:val="-27"/>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spacing w:val="-3"/>
          <w:w w:val="105"/>
        </w:rPr>
        <w:t>acuerdo</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spacing w:val="-3"/>
          <w:w w:val="105"/>
        </w:rPr>
        <w:t>contexto</w:t>
      </w:r>
      <w:r>
        <w:rPr>
          <w:color w:val="231F20"/>
          <w:spacing w:val="-20"/>
          <w:w w:val="105"/>
        </w:rPr>
        <w:t> </w:t>
      </w:r>
      <w:r>
        <w:rPr>
          <w:color w:val="231F20"/>
          <w:spacing w:val="-3"/>
          <w:w w:val="105"/>
        </w:rPr>
        <w:t>actual</w:t>
      </w:r>
      <w:r>
        <w:rPr>
          <w:color w:val="231F20"/>
          <w:spacing w:val="-20"/>
          <w:w w:val="105"/>
        </w:rPr>
        <w:t> </w:t>
      </w:r>
      <w:r>
        <w:rPr>
          <w:color w:val="231F20"/>
          <w:w w:val="105"/>
        </w:rPr>
        <w:t>de</w:t>
      </w:r>
      <w:r>
        <w:rPr>
          <w:color w:val="231F20"/>
          <w:spacing w:val="-20"/>
          <w:w w:val="105"/>
        </w:rPr>
        <w:t> </w:t>
      </w:r>
      <w:r>
        <w:rPr>
          <w:color w:val="231F20"/>
          <w:spacing w:val="-3"/>
          <w:w w:val="105"/>
        </w:rPr>
        <w:t>com- petencia</w:t>
      </w:r>
      <w:r>
        <w:rPr>
          <w:color w:val="231F20"/>
          <w:spacing w:val="-25"/>
          <w:w w:val="105"/>
        </w:rPr>
        <w:t> </w:t>
      </w:r>
      <w:r>
        <w:rPr>
          <w:color w:val="231F20"/>
          <w:w w:val="105"/>
        </w:rPr>
        <w:t>y</w:t>
      </w:r>
      <w:r>
        <w:rPr>
          <w:color w:val="231F20"/>
          <w:spacing w:val="-25"/>
          <w:w w:val="105"/>
        </w:rPr>
        <w:t> </w:t>
      </w:r>
      <w:r>
        <w:rPr>
          <w:color w:val="231F20"/>
          <w:spacing w:val="-3"/>
          <w:w w:val="105"/>
        </w:rPr>
        <w:t>exigencia</w:t>
      </w:r>
      <w:r>
        <w:rPr>
          <w:color w:val="231F20"/>
          <w:spacing w:val="-25"/>
          <w:w w:val="105"/>
        </w:rPr>
        <w:t> </w:t>
      </w:r>
      <w:r>
        <w:rPr>
          <w:color w:val="231F20"/>
          <w:spacing w:val="-3"/>
          <w:w w:val="105"/>
        </w:rPr>
        <w:t>social,</w:t>
      </w:r>
      <w:r>
        <w:rPr>
          <w:color w:val="231F20"/>
          <w:spacing w:val="-30"/>
          <w:w w:val="105"/>
        </w:rPr>
        <w:t> </w:t>
      </w:r>
      <w:r>
        <w:rPr>
          <w:color w:val="231F20"/>
          <w:w w:val="105"/>
        </w:rPr>
        <w:t>las</w:t>
      </w:r>
      <w:r>
        <w:rPr>
          <w:color w:val="231F20"/>
          <w:spacing w:val="-25"/>
          <w:w w:val="105"/>
        </w:rPr>
        <w:t> </w:t>
      </w:r>
      <w:r>
        <w:rPr>
          <w:color w:val="231F20"/>
          <w:spacing w:val="-3"/>
          <w:w w:val="105"/>
        </w:rPr>
        <w:t>universidades</w:t>
      </w:r>
      <w:r>
        <w:rPr>
          <w:color w:val="231F20"/>
          <w:spacing w:val="-25"/>
          <w:w w:val="105"/>
        </w:rPr>
        <w:t> </w:t>
      </w:r>
      <w:r>
        <w:rPr>
          <w:color w:val="231F20"/>
          <w:spacing w:val="-3"/>
          <w:w w:val="105"/>
        </w:rPr>
        <w:t>deben</w:t>
      </w:r>
      <w:r>
        <w:rPr>
          <w:color w:val="231F20"/>
          <w:spacing w:val="-25"/>
          <w:w w:val="105"/>
        </w:rPr>
        <w:t> </w:t>
      </w:r>
      <w:r>
        <w:rPr>
          <w:color w:val="231F20"/>
          <w:spacing w:val="-3"/>
          <w:w w:val="105"/>
        </w:rPr>
        <w:t>tener</w:t>
      </w:r>
      <w:r>
        <w:rPr>
          <w:color w:val="231F20"/>
          <w:spacing w:val="-25"/>
          <w:w w:val="105"/>
        </w:rPr>
        <w:t> </w:t>
      </w:r>
      <w:r>
        <w:rPr>
          <w:color w:val="231F20"/>
          <w:spacing w:val="-3"/>
          <w:w w:val="105"/>
        </w:rPr>
        <w:t>viabilidad</w:t>
      </w:r>
      <w:r>
        <w:rPr>
          <w:color w:val="231F20"/>
          <w:spacing w:val="-25"/>
          <w:w w:val="105"/>
        </w:rPr>
        <w:t> </w:t>
      </w:r>
      <w:r>
        <w:rPr>
          <w:color w:val="231F20"/>
          <w:spacing w:val="-3"/>
          <w:w w:val="105"/>
        </w:rPr>
        <w:t>finan- ciera</w:t>
      </w:r>
      <w:r>
        <w:rPr>
          <w:color w:val="231F20"/>
          <w:spacing w:val="-22"/>
          <w:w w:val="105"/>
        </w:rPr>
        <w:t> </w:t>
      </w:r>
      <w:r>
        <w:rPr>
          <w:color w:val="231F20"/>
          <w:w w:val="105"/>
        </w:rPr>
        <w:t>y</w:t>
      </w:r>
      <w:r>
        <w:rPr>
          <w:color w:val="231F20"/>
          <w:spacing w:val="-22"/>
          <w:w w:val="105"/>
        </w:rPr>
        <w:t> </w:t>
      </w:r>
      <w:r>
        <w:rPr>
          <w:color w:val="231F20"/>
          <w:spacing w:val="-3"/>
          <w:w w:val="105"/>
        </w:rPr>
        <w:t>sustentabilidad</w:t>
      </w:r>
      <w:r>
        <w:rPr>
          <w:color w:val="231F20"/>
          <w:spacing w:val="-22"/>
          <w:w w:val="105"/>
        </w:rPr>
        <w:t> </w:t>
      </w:r>
      <w:r>
        <w:rPr>
          <w:color w:val="231F20"/>
          <w:spacing w:val="-3"/>
          <w:w w:val="105"/>
        </w:rPr>
        <w:t>ambiental</w:t>
      </w:r>
      <w:r>
        <w:rPr>
          <w:color w:val="231F20"/>
          <w:spacing w:val="-22"/>
          <w:w w:val="105"/>
        </w:rPr>
        <w:t> </w:t>
      </w:r>
      <w:r>
        <w:rPr>
          <w:color w:val="231F20"/>
          <w:spacing w:val="-3"/>
          <w:w w:val="105"/>
        </w:rPr>
        <w:t>(Guthrie</w:t>
      </w:r>
      <w:r>
        <w:rPr>
          <w:color w:val="231F20"/>
          <w:spacing w:val="-22"/>
          <w:w w:val="105"/>
        </w:rPr>
        <w:t> </w:t>
      </w:r>
      <w:r>
        <w:rPr>
          <w:color w:val="231F20"/>
          <w:w w:val="105"/>
        </w:rPr>
        <w:t>y</w:t>
      </w:r>
      <w:r>
        <w:rPr>
          <w:color w:val="231F20"/>
          <w:spacing w:val="-22"/>
          <w:w w:val="105"/>
        </w:rPr>
        <w:t> </w:t>
      </w:r>
      <w:r>
        <w:rPr>
          <w:color w:val="231F20"/>
          <w:spacing w:val="-3"/>
          <w:w w:val="105"/>
        </w:rPr>
        <w:t>Neumann,</w:t>
      </w:r>
      <w:r>
        <w:rPr>
          <w:color w:val="231F20"/>
          <w:spacing w:val="-27"/>
          <w:w w:val="105"/>
        </w:rPr>
        <w:t> </w:t>
      </w:r>
      <w:r>
        <w:rPr>
          <w:color w:val="231F20"/>
          <w:spacing w:val="-3"/>
          <w:w w:val="105"/>
        </w:rPr>
        <w:t>2007;</w:t>
      </w:r>
      <w:r>
        <w:rPr>
          <w:color w:val="231F20"/>
          <w:spacing w:val="-24"/>
          <w:w w:val="105"/>
        </w:rPr>
        <w:t> </w:t>
      </w:r>
      <w:r>
        <w:rPr>
          <w:color w:val="231F20"/>
          <w:spacing w:val="-3"/>
          <w:w w:val="105"/>
        </w:rPr>
        <w:t>Xing,</w:t>
      </w:r>
      <w:r>
        <w:rPr>
          <w:color w:val="231F20"/>
          <w:spacing w:val="-27"/>
          <w:w w:val="105"/>
        </w:rPr>
        <w:t> </w:t>
      </w:r>
      <w:r>
        <w:rPr>
          <w:color w:val="231F20"/>
          <w:spacing w:val="-3"/>
          <w:w w:val="105"/>
        </w:rPr>
        <w:t>2009).</w:t>
      </w:r>
    </w:p>
    <w:p>
      <w:pPr>
        <w:pStyle w:val="BodyText"/>
        <w:spacing w:line="259" w:lineRule="auto"/>
        <w:ind w:left="117" w:right="115" w:firstLine="567"/>
        <w:jc w:val="both"/>
      </w:pPr>
      <w:r>
        <w:rPr>
          <w:color w:val="231F20"/>
        </w:rPr>
        <w:t>El segundo reto en la medición del desempeño en las IPES es la definición de los </w:t>
      </w:r>
      <w:r>
        <w:rPr>
          <w:i/>
          <w:color w:val="231F20"/>
        </w:rPr>
        <w:t>stakeholders</w:t>
      </w:r>
      <w:r>
        <w:rPr>
          <w:color w:val="231F20"/>
        </w:rPr>
        <w:t>, es decir, aquellas personas o entidades con interés en la actividad de la institución, aquellos que pagan por el servicio y quienes se benefician del mismo. La necesidad de tomar en cuenta todos los intereses en la educación superior ha dado lugar a la aparición de enfoques diversos de medición del desempeño </w:t>
      </w:r>
      <w:r>
        <w:rPr>
          <w:color w:val="231F20"/>
          <w:spacing w:val="-3"/>
        </w:rPr>
        <w:t>(Tambi, </w:t>
      </w:r>
      <w:r>
        <w:rPr>
          <w:color w:val="231F20"/>
        </w:rPr>
        <w:t>Ghazali y</w:t>
      </w:r>
      <w:r>
        <w:rPr>
          <w:color w:val="231F20"/>
          <w:spacing w:val="-42"/>
        </w:rPr>
        <w:t> </w:t>
      </w:r>
      <w:r>
        <w:rPr>
          <w:color w:val="231F20"/>
          <w:spacing w:val="-4"/>
        </w:rPr>
        <w:t>Yahya, </w:t>
      </w:r>
      <w:r>
        <w:rPr>
          <w:color w:val="231F20"/>
        </w:rPr>
        <w:t>2008).</w:t>
      </w:r>
    </w:p>
    <w:p>
      <w:pPr>
        <w:pStyle w:val="BodyText"/>
        <w:spacing w:line="259" w:lineRule="auto"/>
        <w:ind w:left="117" w:right="121" w:firstLine="567"/>
        <w:jc w:val="both"/>
      </w:pPr>
      <w:r>
        <w:rPr>
          <w:color w:val="231F20"/>
          <w:w w:val="105"/>
        </w:rPr>
        <w:t>Uno de los primeros estudios identificados que intentan deter- minar a los </w:t>
      </w:r>
      <w:r>
        <w:rPr>
          <w:i/>
          <w:color w:val="231F20"/>
          <w:w w:val="105"/>
        </w:rPr>
        <w:t>stakeholders </w:t>
      </w:r>
      <w:r>
        <w:rPr>
          <w:color w:val="231F20"/>
          <w:w w:val="105"/>
        </w:rPr>
        <w:t>de las instituciones educativas es el de </w:t>
      </w:r>
      <w:r>
        <w:rPr>
          <w:color w:val="231F20"/>
          <w:spacing w:val="-5"/>
          <w:w w:val="105"/>
        </w:rPr>
        <w:t>Yorke </w:t>
      </w:r>
      <w:r>
        <w:rPr>
          <w:color w:val="231F20"/>
          <w:w w:val="105"/>
        </w:rPr>
        <w:t>(1991), para quien los interesados en el desempeño organizacional de las</w:t>
      </w:r>
      <w:r>
        <w:rPr>
          <w:color w:val="231F20"/>
          <w:spacing w:val="-18"/>
          <w:w w:val="105"/>
        </w:rPr>
        <w:t> </w:t>
      </w:r>
      <w:r>
        <w:rPr>
          <w:color w:val="231F20"/>
          <w:w w:val="105"/>
        </w:rPr>
        <w:t>instituciones</w:t>
      </w:r>
      <w:r>
        <w:rPr>
          <w:color w:val="231F20"/>
          <w:spacing w:val="-18"/>
          <w:w w:val="105"/>
        </w:rPr>
        <w:t> </w:t>
      </w:r>
      <w:r>
        <w:rPr>
          <w:color w:val="231F20"/>
          <w:w w:val="105"/>
        </w:rPr>
        <w:t>de</w:t>
      </w:r>
      <w:r>
        <w:rPr>
          <w:color w:val="231F20"/>
          <w:spacing w:val="-18"/>
          <w:w w:val="105"/>
        </w:rPr>
        <w:t> </w:t>
      </w:r>
      <w:r>
        <w:rPr>
          <w:color w:val="231F20"/>
          <w:w w:val="105"/>
        </w:rPr>
        <w:t>educación</w:t>
      </w:r>
      <w:r>
        <w:rPr>
          <w:color w:val="231F20"/>
          <w:spacing w:val="-18"/>
          <w:w w:val="105"/>
        </w:rPr>
        <w:t> </w:t>
      </w:r>
      <w:r>
        <w:rPr>
          <w:color w:val="231F20"/>
          <w:w w:val="105"/>
        </w:rPr>
        <w:t>son</w:t>
      </w:r>
      <w:r>
        <w:rPr>
          <w:color w:val="231F20"/>
          <w:spacing w:val="-18"/>
          <w:w w:val="105"/>
        </w:rPr>
        <w:t> </w:t>
      </w:r>
      <w:r>
        <w:rPr>
          <w:color w:val="231F20"/>
          <w:w w:val="105"/>
        </w:rPr>
        <w:t>los</w:t>
      </w:r>
      <w:r>
        <w:rPr>
          <w:color w:val="231F20"/>
          <w:spacing w:val="-18"/>
          <w:w w:val="105"/>
        </w:rPr>
        <w:t> </w:t>
      </w:r>
      <w:r>
        <w:rPr>
          <w:color w:val="231F20"/>
          <w:w w:val="105"/>
        </w:rPr>
        <w:t>empleadores,</w:t>
      </w:r>
      <w:r>
        <w:rPr>
          <w:color w:val="231F20"/>
          <w:spacing w:val="-23"/>
          <w:w w:val="105"/>
        </w:rPr>
        <w:t> </w:t>
      </w:r>
      <w:r>
        <w:rPr>
          <w:color w:val="231F20"/>
          <w:w w:val="105"/>
        </w:rPr>
        <w:t>el</w:t>
      </w:r>
      <w:r>
        <w:rPr>
          <w:color w:val="231F20"/>
          <w:spacing w:val="-18"/>
          <w:w w:val="105"/>
        </w:rPr>
        <w:t> </w:t>
      </w:r>
      <w:r>
        <w:rPr>
          <w:color w:val="231F20"/>
          <w:w w:val="105"/>
        </w:rPr>
        <w:t>gobierno,</w:t>
      </w:r>
      <w:r>
        <w:rPr>
          <w:color w:val="231F20"/>
          <w:spacing w:val="-23"/>
          <w:w w:val="105"/>
        </w:rPr>
        <w:t> </w:t>
      </w:r>
      <w:r>
        <w:rPr>
          <w:color w:val="231F20"/>
          <w:w w:val="105"/>
        </w:rPr>
        <w:t>las</w:t>
      </w:r>
      <w:r>
        <w:rPr>
          <w:color w:val="231F20"/>
          <w:spacing w:val="-18"/>
          <w:w w:val="105"/>
        </w:rPr>
        <w:t> </w:t>
      </w:r>
      <w:r>
        <w:rPr>
          <w:color w:val="231F20"/>
          <w:w w:val="105"/>
        </w:rPr>
        <w:t>pro- pias</w:t>
      </w:r>
      <w:r>
        <w:rPr>
          <w:color w:val="231F20"/>
          <w:spacing w:val="-31"/>
          <w:w w:val="105"/>
        </w:rPr>
        <w:t> </w:t>
      </w:r>
      <w:r>
        <w:rPr>
          <w:color w:val="231F20"/>
          <w:w w:val="105"/>
        </w:rPr>
        <w:t>instituciones,</w:t>
      </w:r>
      <w:r>
        <w:rPr>
          <w:color w:val="231F20"/>
          <w:spacing w:val="-35"/>
          <w:w w:val="105"/>
        </w:rPr>
        <w:t> </w:t>
      </w:r>
      <w:r>
        <w:rPr>
          <w:color w:val="231F20"/>
          <w:w w:val="105"/>
        </w:rPr>
        <w:t>y</w:t>
      </w:r>
      <w:r>
        <w:rPr>
          <w:color w:val="231F20"/>
          <w:spacing w:val="-31"/>
          <w:w w:val="105"/>
        </w:rPr>
        <w:t> </w:t>
      </w:r>
      <w:r>
        <w:rPr>
          <w:color w:val="231F20"/>
          <w:w w:val="105"/>
        </w:rPr>
        <w:t>los</w:t>
      </w:r>
      <w:r>
        <w:rPr>
          <w:color w:val="231F20"/>
          <w:spacing w:val="-31"/>
          <w:w w:val="105"/>
        </w:rPr>
        <w:t> </w:t>
      </w:r>
      <w:r>
        <w:rPr>
          <w:color w:val="231F20"/>
          <w:w w:val="105"/>
        </w:rPr>
        <w:t>estudiantes.</w:t>
      </w:r>
    </w:p>
    <w:p>
      <w:pPr>
        <w:pStyle w:val="BodyText"/>
        <w:spacing w:line="259" w:lineRule="auto"/>
        <w:ind w:left="117" w:right="121" w:firstLine="567"/>
        <w:jc w:val="both"/>
      </w:pPr>
      <w:r>
        <w:rPr>
          <w:color w:val="231F20"/>
          <w:w w:val="105"/>
        </w:rPr>
        <w:t>Reavill (1998) extiende el análisis a doce grupos de interesados: estudiantes,</w:t>
      </w:r>
      <w:r>
        <w:rPr>
          <w:color w:val="231F20"/>
          <w:spacing w:val="-10"/>
          <w:w w:val="105"/>
        </w:rPr>
        <w:t> </w:t>
      </w:r>
      <w:r>
        <w:rPr>
          <w:color w:val="231F20"/>
          <w:w w:val="105"/>
        </w:rPr>
        <w:t>empleadores,</w:t>
      </w:r>
      <w:r>
        <w:rPr>
          <w:color w:val="231F20"/>
          <w:spacing w:val="-10"/>
          <w:w w:val="105"/>
        </w:rPr>
        <w:t> </w:t>
      </w:r>
      <w:r>
        <w:rPr>
          <w:color w:val="231F20"/>
          <w:w w:val="105"/>
        </w:rPr>
        <w:t>padres</w:t>
      </w:r>
      <w:r>
        <w:rPr>
          <w:color w:val="231F20"/>
          <w:spacing w:val="-4"/>
          <w:w w:val="105"/>
        </w:rPr>
        <w:t> </w:t>
      </w:r>
      <w:r>
        <w:rPr>
          <w:color w:val="231F20"/>
          <w:w w:val="105"/>
        </w:rPr>
        <w:t>de</w:t>
      </w:r>
      <w:r>
        <w:rPr>
          <w:color w:val="231F20"/>
          <w:spacing w:val="-4"/>
          <w:w w:val="105"/>
        </w:rPr>
        <w:t> </w:t>
      </w:r>
      <w:r>
        <w:rPr>
          <w:color w:val="231F20"/>
          <w:w w:val="105"/>
        </w:rPr>
        <w:t>familia</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estudiantes,</w:t>
      </w:r>
      <w:r>
        <w:rPr>
          <w:color w:val="231F20"/>
          <w:spacing w:val="-10"/>
          <w:w w:val="105"/>
        </w:rPr>
        <w:t> </w:t>
      </w:r>
      <w:r>
        <w:rPr>
          <w:color w:val="231F20"/>
          <w:w w:val="105"/>
        </w:rPr>
        <w:t>univer- sidades y sus empleados; proveedores de bienes y servicios a las uni- versidades,</w:t>
      </w:r>
      <w:r>
        <w:rPr>
          <w:color w:val="231F20"/>
          <w:spacing w:val="-26"/>
          <w:w w:val="105"/>
        </w:rPr>
        <w:t> </w:t>
      </w:r>
      <w:r>
        <w:rPr>
          <w:color w:val="231F20"/>
          <w:w w:val="105"/>
        </w:rPr>
        <w:t>instituciones</w:t>
      </w:r>
      <w:r>
        <w:rPr>
          <w:color w:val="231F20"/>
          <w:spacing w:val="-22"/>
          <w:w w:val="105"/>
        </w:rPr>
        <w:t> </w:t>
      </w:r>
      <w:r>
        <w:rPr>
          <w:color w:val="231F20"/>
          <w:w w:val="105"/>
        </w:rPr>
        <w:t>de</w:t>
      </w:r>
      <w:r>
        <w:rPr>
          <w:color w:val="231F20"/>
          <w:spacing w:val="-22"/>
          <w:w w:val="105"/>
        </w:rPr>
        <w:t> </w:t>
      </w:r>
      <w:r>
        <w:rPr>
          <w:color w:val="231F20"/>
          <w:w w:val="105"/>
        </w:rPr>
        <w:t>educación</w:t>
      </w:r>
      <w:r>
        <w:rPr>
          <w:color w:val="231F20"/>
          <w:spacing w:val="-22"/>
          <w:w w:val="105"/>
        </w:rPr>
        <w:t> </w:t>
      </w:r>
      <w:r>
        <w:rPr>
          <w:color w:val="231F20"/>
          <w:w w:val="105"/>
        </w:rPr>
        <w:t>media,</w:t>
      </w:r>
      <w:r>
        <w:rPr>
          <w:color w:val="231F20"/>
          <w:spacing w:val="-26"/>
          <w:w w:val="105"/>
        </w:rPr>
        <w:t> </w:t>
      </w:r>
      <w:r>
        <w:rPr>
          <w:color w:val="231F20"/>
          <w:w w:val="105"/>
        </w:rPr>
        <w:t>otras</w:t>
      </w:r>
      <w:r>
        <w:rPr>
          <w:color w:val="231F20"/>
          <w:spacing w:val="-22"/>
          <w:w w:val="105"/>
        </w:rPr>
        <w:t> </w:t>
      </w:r>
      <w:r>
        <w:rPr>
          <w:color w:val="231F20"/>
          <w:w w:val="105"/>
        </w:rPr>
        <w:t>IPES,</w:t>
      </w:r>
      <w:r>
        <w:rPr>
          <w:color w:val="231F20"/>
          <w:spacing w:val="-26"/>
          <w:w w:val="105"/>
        </w:rPr>
        <w:t> </w:t>
      </w:r>
      <w:r>
        <w:rPr>
          <w:color w:val="231F20"/>
          <w:w w:val="105"/>
        </w:rPr>
        <w:t>comercio</w:t>
      </w:r>
      <w:r>
        <w:rPr>
          <w:color w:val="231F20"/>
          <w:spacing w:val="-22"/>
          <w:w w:val="105"/>
        </w:rPr>
        <w:t> </w:t>
      </w:r>
      <w:r>
        <w:rPr>
          <w:color w:val="231F20"/>
          <w:w w:val="105"/>
        </w:rPr>
        <w:t>e</w:t>
      </w:r>
      <w:r>
        <w:rPr>
          <w:color w:val="231F20"/>
          <w:spacing w:val="-22"/>
          <w:w w:val="105"/>
        </w:rPr>
        <w:t> </w:t>
      </w:r>
      <w:r>
        <w:rPr>
          <w:color w:val="231F20"/>
          <w:w w:val="105"/>
        </w:rPr>
        <w:t>in- dustria,</w:t>
      </w:r>
      <w:r>
        <w:rPr>
          <w:color w:val="231F20"/>
          <w:spacing w:val="-12"/>
          <w:w w:val="105"/>
        </w:rPr>
        <w:t> </w:t>
      </w:r>
      <w:r>
        <w:rPr>
          <w:color w:val="231F20"/>
          <w:w w:val="105"/>
        </w:rPr>
        <w:t>la</w:t>
      </w:r>
      <w:r>
        <w:rPr>
          <w:color w:val="231F20"/>
          <w:spacing w:val="-6"/>
          <w:w w:val="105"/>
        </w:rPr>
        <w:t> </w:t>
      </w:r>
      <w:r>
        <w:rPr>
          <w:color w:val="231F20"/>
          <w:w w:val="105"/>
        </w:rPr>
        <w:t>nación,</w:t>
      </w:r>
      <w:r>
        <w:rPr>
          <w:color w:val="231F20"/>
          <w:spacing w:val="-12"/>
          <w:w w:val="105"/>
        </w:rPr>
        <w:t> </w:t>
      </w:r>
      <w:r>
        <w:rPr>
          <w:color w:val="231F20"/>
          <w:w w:val="105"/>
        </w:rPr>
        <w:t>el</w:t>
      </w:r>
      <w:r>
        <w:rPr>
          <w:color w:val="231F20"/>
          <w:spacing w:val="-6"/>
          <w:w w:val="105"/>
        </w:rPr>
        <w:t> </w:t>
      </w:r>
      <w:r>
        <w:rPr>
          <w:color w:val="231F20"/>
          <w:w w:val="105"/>
        </w:rPr>
        <w:t>gobierno,</w:t>
      </w:r>
      <w:r>
        <w:rPr>
          <w:color w:val="231F20"/>
          <w:spacing w:val="-12"/>
          <w:w w:val="105"/>
        </w:rPr>
        <w:t> </w:t>
      </w:r>
      <w:r>
        <w:rPr>
          <w:color w:val="231F20"/>
          <w:w w:val="105"/>
        </w:rPr>
        <w:t>los</w:t>
      </w:r>
      <w:r>
        <w:rPr>
          <w:color w:val="231F20"/>
          <w:spacing w:val="-6"/>
          <w:w w:val="105"/>
        </w:rPr>
        <w:t> </w:t>
      </w:r>
      <w:r>
        <w:rPr>
          <w:color w:val="231F20"/>
          <w:w w:val="105"/>
        </w:rPr>
        <w:t>contribuyentes</w:t>
      </w:r>
      <w:r>
        <w:rPr>
          <w:color w:val="231F20"/>
          <w:spacing w:val="-6"/>
          <w:w w:val="105"/>
        </w:rPr>
        <w:t> </w:t>
      </w:r>
      <w:r>
        <w:rPr>
          <w:color w:val="231F20"/>
          <w:w w:val="105"/>
        </w:rPr>
        <w:t>nacionales</w:t>
      </w:r>
      <w:r>
        <w:rPr>
          <w:color w:val="231F20"/>
          <w:spacing w:val="-6"/>
          <w:w w:val="105"/>
        </w:rPr>
        <w:t> </w:t>
      </w:r>
      <w:r>
        <w:rPr>
          <w:color w:val="231F20"/>
          <w:w w:val="105"/>
        </w:rPr>
        <w:t>y</w:t>
      </w:r>
      <w:r>
        <w:rPr>
          <w:color w:val="231F20"/>
          <w:spacing w:val="-6"/>
          <w:w w:val="105"/>
        </w:rPr>
        <w:t> </w:t>
      </w:r>
      <w:r>
        <w:rPr>
          <w:color w:val="231F20"/>
          <w:w w:val="105"/>
        </w:rPr>
        <w:t>locales</w:t>
      </w:r>
      <w:r>
        <w:rPr>
          <w:color w:val="231F20"/>
          <w:spacing w:val="-6"/>
          <w:w w:val="105"/>
        </w:rPr>
        <w:t> </w:t>
      </w:r>
      <w:r>
        <w:rPr>
          <w:color w:val="231F20"/>
          <w:w w:val="105"/>
        </w:rPr>
        <w:t>y asociaciones</w:t>
      </w:r>
      <w:r>
        <w:rPr>
          <w:color w:val="231F20"/>
          <w:spacing w:val="-31"/>
          <w:w w:val="105"/>
        </w:rPr>
        <w:t> </w:t>
      </w:r>
      <w:r>
        <w:rPr>
          <w:color w:val="231F20"/>
          <w:w w:val="105"/>
        </w:rPr>
        <w:t>profesionales.</w:t>
      </w:r>
      <w:r>
        <w:rPr>
          <w:color w:val="231F20"/>
          <w:spacing w:val="-35"/>
          <w:w w:val="105"/>
        </w:rPr>
        <w:t> </w:t>
      </w:r>
      <w:r>
        <w:rPr>
          <w:color w:val="231F20"/>
          <w:spacing w:val="-4"/>
          <w:w w:val="105"/>
        </w:rPr>
        <w:t>Para</w:t>
      </w:r>
      <w:r>
        <w:rPr>
          <w:color w:val="231F20"/>
          <w:spacing w:val="-31"/>
          <w:w w:val="105"/>
        </w:rPr>
        <w:t> </w:t>
      </w:r>
      <w:r>
        <w:rPr>
          <w:color w:val="231F20"/>
          <w:w w:val="105"/>
        </w:rPr>
        <w:t>Sarrico</w:t>
      </w:r>
      <w:r>
        <w:rPr>
          <w:color w:val="231F20"/>
          <w:spacing w:val="-31"/>
          <w:w w:val="105"/>
        </w:rPr>
        <w:t> </w:t>
      </w:r>
      <w:r>
        <w:rPr>
          <w:i/>
          <w:color w:val="231F20"/>
          <w:w w:val="105"/>
        </w:rPr>
        <w:t>et</w:t>
      </w:r>
      <w:r>
        <w:rPr>
          <w:i/>
          <w:color w:val="231F20"/>
          <w:spacing w:val="-31"/>
          <w:w w:val="105"/>
        </w:rPr>
        <w:t> </w:t>
      </w:r>
      <w:r>
        <w:rPr>
          <w:i/>
          <w:color w:val="231F20"/>
          <w:w w:val="105"/>
        </w:rPr>
        <w:t>al</w:t>
      </w:r>
      <w:r>
        <w:rPr>
          <w:color w:val="231F20"/>
          <w:w w:val="105"/>
        </w:rPr>
        <w:t>.</w:t>
      </w:r>
      <w:r>
        <w:rPr>
          <w:color w:val="231F20"/>
          <w:spacing w:val="-35"/>
          <w:w w:val="105"/>
        </w:rPr>
        <w:t> </w:t>
      </w:r>
      <w:r>
        <w:rPr>
          <w:color w:val="231F20"/>
          <w:w w:val="105"/>
        </w:rPr>
        <w:t>(2010),</w:t>
      </w:r>
      <w:r>
        <w:rPr>
          <w:color w:val="231F20"/>
          <w:spacing w:val="-35"/>
          <w:w w:val="105"/>
        </w:rPr>
        <w:t> </w:t>
      </w:r>
      <w:r>
        <w:rPr>
          <w:color w:val="231F20"/>
          <w:w w:val="105"/>
        </w:rPr>
        <w:t>los</w:t>
      </w:r>
      <w:r>
        <w:rPr>
          <w:color w:val="231F20"/>
          <w:spacing w:val="-31"/>
          <w:w w:val="105"/>
        </w:rPr>
        <w:t> </w:t>
      </w:r>
      <w:r>
        <w:rPr>
          <w:color w:val="231F20"/>
          <w:w w:val="105"/>
        </w:rPr>
        <w:t>diferentes</w:t>
      </w:r>
      <w:r>
        <w:rPr>
          <w:color w:val="231F20"/>
          <w:spacing w:val="-31"/>
          <w:w w:val="105"/>
        </w:rPr>
        <w:t> </w:t>
      </w:r>
      <w:r>
        <w:rPr>
          <w:color w:val="231F20"/>
          <w:w w:val="105"/>
        </w:rPr>
        <w:t>acto- res</w:t>
      </w:r>
      <w:r>
        <w:rPr>
          <w:color w:val="231F20"/>
          <w:spacing w:val="-10"/>
          <w:w w:val="105"/>
        </w:rPr>
        <w:t> </w:t>
      </w:r>
      <w:r>
        <w:rPr>
          <w:color w:val="231F20"/>
          <w:w w:val="105"/>
        </w:rPr>
        <w:t>que</w:t>
      </w:r>
      <w:r>
        <w:rPr>
          <w:color w:val="231F20"/>
          <w:spacing w:val="-10"/>
          <w:w w:val="105"/>
        </w:rPr>
        <w:t> </w:t>
      </w:r>
      <w:r>
        <w:rPr>
          <w:color w:val="231F20"/>
          <w:w w:val="105"/>
        </w:rPr>
        <w:t>tienen</w:t>
      </w:r>
      <w:r>
        <w:rPr>
          <w:color w:val="231F20"/>
          <w:spacing w:val="-10"/>
          <w:w w:val="105"/>
        </w:rPr>
        <w:t> </w:t>
      </w:r>
      <w:r>
        <w:rPr>
          <w:color w:val="231F20"/>
          <w:w w:val="105"/>
        </w:rPr>
        <w:t>interés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desempeño</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institución</w:t>
      </w:r>
      <w:r>
        <w:rPr>
          <w:color w:val="231F20"/>
          <w:spacing w:val="-10"/>
          <w:w w:val="105"/>
        </w:rPr>
        <w:t> </w:t>
      </w:r>
      <w:r>
        <w:rPr>
          <w:color w:val="231F20"/>
          <w:w w:val="105"/>
        </w:rPr>
        <w:t>de</w:t>
      </w:r>
      <w:r>
        <w:rPr>
          <w:color w:val="231F20"/>
          <w:spacing w:val="-10"/>
          <w:w w:val="105"/>
        </w:rPr>
        <w:t> </w:t>
      </w:r>
      <w:r>
        <w:rPr>
          <w:color w:val="231F20"/>
          <w:w w:val="105"/>
        </w:rPr>
        <w:t>educación superior</w:t>
      </w:r>
      <w:r>
        <w:rPr>
          <w:color w:val="231F20"/>
          <w:spacing w:val="-31"/>
          <w:w w:val="105"/>
        </w:rPr>
        <w:t> </w:t>
      </w:r>
      <w:r>
        <w:rPr>
          <w:color w:val="231F20"/>
          <w:w w:val="105"/>
        </w:rPr>
        <w:t>son</w:t>
      </w:r>
      <w:r>
        <w:rPr>
          <w:color w:val="231F20"/>
          <w:spacing w:val="-31"/>
          <w:w w:val="105"/>
        </w:rPr>
        <w:t> </w:t>
      </w:r>
      <w:r>
        <w:rPr>
          <w:color w:val="231F20"/>
          <w:w w:val="105"/>
        </w:rPr>
        <w:t>los</w:t>
      </w:r>
      <w:r>
        <w:rPr>
          <w:color w:val="231F20"/>
          <w:spacing w:val="-31"/>
          <w:w w:val="105"/>
        </w:rPr>
        <w:t> </w:t>
      </w:r>
      <w:r>
        <w:rPr>
          <w:color w:val="231F20"/>
          <w:w w:val="105"/>
        </w:rPr>
        <w:t>aspirantes</w:t>
      </w:r>
      <w:r>
        <w:rPr>
          <w:color w:val="231F20"/>
          <w:spacing w:val="-31"/>
          <w:w w:val="105"/>
        </w:rPr>
        <w:t> </w:t>
      </w:r>
      <w:r>
        <w:rPr>
          <w:color w:val="231F20"/>
          <w:w w:val="105"/>
        </w:rPr>
        <w:t>a</w:t>
      </w:r>
      <w:r>
        <w:rPr>
          <w:color w:val="231F20"/>
          <w:spacing w:val="-31"/>
          <w:w w:val="105"/>
        </w:rPr>
        <w:t> </w:t>
      </w:r>
      <w:r>
        <w:rPr>
          <w:color w:val="231F20"/>
          <w:w w:val="105"/>
        </w:rPr>
        <w:t>cursar</w:t>
      </w:r>
      <w:r>
        <w:rPr>
          <w:color w:val="231F20"/>
          <w:spacing w:val="-31"/>
          <w:w w:val="105"/>
        </w:rPr>
        <w:t> </w:t>
      </w:r>
      <w:r>
        <w:rPr>
          <w:color w:val="231F20"/>
          <w:w w:val="105"/>
        </w:rPr>
        <w:t>la</w:t>
      </w:r>
      <w:r>
        <w:rPr>
          <w:color w:val="231F20"/>
          <w:spacing w:val="-31"/>
          <w:w w:val="105"/>
        </w:rPr>
        <w:t> </w:t>
      </w:r>
      <w:r>
        <w:rPr>
          <w:color w:val="231F20"/>
          <w:w w:val="105"/>
        </w:rPr>
        <w:t>educación</w:t>
      </w:r>
      <w:r>
        <w:rPr>
          <w:color w:val="231F20"/>
          <w:spacing w:val="-31"/>
          <w:w w:val="105"/>
        </w:rPr>
        <w:t> </w:t>
      </w:r>
      <w:r>
        <w:rPr>
          <w:color w:val="231F20"/>
          <w:w w:val="105"/>
        </w:rPr>
        <w:t>superior,</w:t>
      </w:r>
      <w:r>
        <w:rPr>
          <w:color w:val="231F20"/>
          <w:spacing w:val="-36"/>
          <w:w w:val="105"/>
        </w:rPr>
        <w:t> </w:t>
      </w:r>
      <w:r>
        <w:rPr>
          <w:color w:val="231F20"/>
          <w:w w:val="105"/>
        </w:rPr>
        <w:t>las</w:t>
      </w:r>
      <w:r>
        <w:rPr>
          <w:color w:val="231F20"/>
          <w:spacing w:val="-31"/>
          <w:w w:val="105"/>
        </w:rPr>
        <w:t> </w:t>
      </w:r>
      <w:r>
        <w:rPr>
          <w:color w:val="231F20"/>
          <w:w w:val="105"/>
        </w:rPr>
        <w:t>propias</w:t>
      </w:r>
      <w:r>
        <w:rPr>
          <w:color w:val="231F20"/>
          <w:spacing w:val="-31"/>
          <w:w w:val="105"/>
        </w:rPr>
        <w:t> </w:t>
      </w:r>
      <w:r>
        <w:rPr>
          <w:color w:val="231F20"/>
          <w:w w:val="105"/>
        </w:rPr>
        <w:t>ins- tituciones</w:t>
      </w:r>
      <w:r>
        <w:rPr>
          <w:color w:val="231F20"/>
          <w:spacing w:val="-18"/>
          <w:w w:val="105"/>
        </w:rPr>
        <w:t> </w:t>
      </w:r>
      <w:r>
        <w:rPr>
          <w:color w:val="231F20"/>
          <w:w w:val="105"/>
        </w:rPr>
        <w:t>y</w:t>
      </w:r>
      <w:r>
        <w:rPr>
          <w:color w:val="231F20"/>
          <w:spacing w:val="-18"/>
          <w:w w:val="105"/>
        </w:rPr>
        <w:t> </w:t>
      </w:r>
      <w:r>
        <w:rPr>
          <w:color w:val="231F20"/>
          <w:w w:val="105"/>
        </w:rPr>
        <w:t>grupos</w:t>
      </w:r>
      <w:r>
        <w:rPr>
          <w:color w:val="231F20"/>
          <w:spacing w:val="-18"/>
          <w:w w:val="105"/>
        </w:rPr>
        <w:t> </w:t>
      </w:r>
      <w:r>
        <w:rPr>
          <w:color w:val="231F20"/>
          <w:w w:val="105"/>
        </w:rPr>
        <w:t>de</w:t>
      </w:r>
      <w:r>
        <w:rPr>
          <w:color w:val="231F20"/>
          <w:spacing w:val="-18"/>
          <w:w w:val="105"/>
        </w:rPr>
        <w:t> </w:t>
      </w:r>
      <w:r>
        <w:rPr>
          <w:color w:val="231F20"/>
          <w:w w:val="105"/>
        </w:rPr>
        <w:t>interés</w:t>
      </w:r>
      <w:r>
        <w:rPr>
          <w:color w:val="231F20"/>
          <w:spacing w:val="-18"/>
          <w:w w:val="105"/>
        </w:rPr>
        <w:t> </w:t>
      </w:r>
      <w:r>
        <w:rPr>
          <w:color w:val="231F20"/>
          <w:w w:val="105"/>
        </w:rPr>
        <w:t>internos:</w:t>
      </w:r>
      <w:r>
        <w:rPr>
          <w:color w:val="231F20"/>
          <w:spacing w:val="-18"/>
          <w:w w:val="105"/>
        </w:rPr>
        <w:t> </w:t>
      </w:r>
      <w:r>
        <w:rPr>
          <w:color w:val="231F20"/>
          <w:w w:val="105"/>
        </w:rPr>
        <w:t>estudiantes,</w:t>
      </w:r>
      <w:r>
        <w:rPr>
          <w:color w:val="231F20"/>
          <w:spacing w:val="-23"/>
          <w:w w:val="105"/>
        </w:rPr>
        <w:t> </w:t>
      </w:r>
      <w:r>
        <w:rPr>
          <w:color w:val="231F20"/>
          <w:w w:val="105"/>
        </w:rPr>
        <w:t>personal</w:t>
      </w:r>
      <w:r>
        <w:rPr>
          <w:color w:val="231F20"/>
          <w:spacing w:val="-18"/>
          <w:w w:val="105"/>
        </w:rPr>
        <w:t> </w:t>
      </w:r>
      <w:r>
        <w:rPr>
          <w:color w:val="231F20"/>
          <w:w w:val="105"/>
        </w:rPr>
        <w:t>académico y</w:t>
      </w:r>
      <w:r>
        <w:rPr>
          <w:color w:val="231F20"/>
          <w:spacing w:val="-31"/>
          <w:w w:val="105"/>
        </w:rPr>
        <w:t> </w:t>
      </w:r>
      <w:r>
        <w:rPr>
          <w:color w:val="231F20"/>
          <w:w w:val="105"/>
        </w:rPr>
        <w:t>no</w:t>
      </w:r>
      <w:r>
        <w:rPr>
          <w:color w:val="231F20"/>
          <w:spacing w:val="-31"/>
          <w:w w:val="105"/>
        </w:rPr>
        <w:t> </w:t>
      </w:r>
      <w:r>
        <w:rPr>
          <w:color w:val="231F20"/>
          <w:w w:val="105"/>
        </w:rPr>
        <w:t>académico,</w:t>
      </w:r>
      <w:r>
        <w:rPr>
          <w:color w:val="231F20"/>
          <w:spacing w:val="-35"/>
          <w:w w:val="105"/>
        </w:rPr>
        <w:t> </w:t>
      </w:r>
      <w:r>
        <w:rPr>
          <w:color w:val="231F20"/>
          <w:w w:val="105"/>
        </w:rPr>
        <w:t>exalumnos,</w:t>
      </w:r>
      <w:r>
        <w:rPr>
          <w:color w:val="231F20"/>
          <w:spacing w:val="-35"/>
          <w:w w:val="105"/>
        </w:rPr>
        <w:t> </w:t>
      </w:r>
      <w:r>
        <w:rPr>
          <w:color w:val="231F20"/>
          <w:w w:val="105"/>
        </w:rPr>
        <w:t>organizaciones</w:t>
      </w:r>
      <w:r>
        <w:rPr>
          <w:color w:val="231F20"/>
          <w:spacing w:val="-31"/>
          <w:w w:val="105"/>
        </w:rPr>
        <w:t> </w:t>
      </w:r>
      <w:r>
        <w:rPr>
          <w:color w:val="231F20"/>
          <w:w w:val="105"/>
        </w:rPr>
        <w:t>profesionales,</w:t>
      </w:r>
      <w:r>
        <w:rPr>
          <w:color w:val="231F20"/>
          <w:spacing w:val="-35"/>
          <w:w w:val="105"/>
        </w:rPr>
        <w:t> </w:t>
      </w:r>
      <w:r>
        <w:rPr>
          <w:color w:val="231F20"/>
          <w:w w:val="105"/>
        </w:rPr>
        <w:t>empleadores y</w:t>
      </w:r>
      <w:r>
        <w:rPr>
          <w:color w:val="231F20"/>
          <w:spacing w:val="-23"/>
          <w:w w:val="105"/>
        </w:rPr>
        <w:t> </w:t>
      </w:r>
      <w:r>
        <w:rPr>
          <w:color w:val="231F20"/>
          <w:w w:val="105"/>
        </w:rPr>
        <w:t>ciudadanía</w:t>
      </w:r>
      <w:r>
        <w:rPr>
          <w:color w:val="231F20"/>
          <w:spacing w:val="-23"/>
          <w:w w:val="105"/>
        </w:rPr>
        <w:t> </w:t>
      </w:r>
      <w:r>
        <w:rPr>
          <w:color w:val="231F20"/>
          <w:w w:val="105"/>
        </w:rPr>
        <w:t>en</w:t>
      </w:r>
      <w:r>
        <w:rPr>
          <w:color w:val="231F20"/>
          <w:spacing w:val="-23"/>
          <w:w w:val="105"/>
        </w:rPr>
        <w:t> </w:t>
      </w:r>
      <w:r>
        <w:rPr>
          <w:color w:val="231F20"/>
          <w:w w:val="105"/>
        </w:rPr>
        <w:t>general.</w:t>
      </w:r>
    </w:p>
    <w:p>
      <w:pPr>
        <w:pStyle w:val="BodyText"/>
        <w:rPr>
          <w:sz w:val="20"/>
        </w:rPr>
      </w:pPr>
    </w:p>
    <w:p>
      <w:pPr>
        <w:pStyle w:val="BodyText"/>
        <w:spacing w:before="7"/>
        <w:rPr>
          <w:sz w:val="18"/>
        </w:rPr>
      </w:pPr>
    </w:p>
    <w:p>
      <w:pPr>
        <w:pStyle w:val="Heading2"/>
      </w:pPr>
      <w:r>
        <w:rPr>
          <w:color w:val="231F20"/>
          <w:w w:val="95"/>
        </w:rPr>
        <w:t>Reflexión final</w:t>
      </w:r>
    </w:p>
    <w:p>
      <w:pPr>
        <w:pStyle w:val="BodyText"/>
        <w:rPr>
          <w:b/>
          <w:sz w:val="22"/>
        </w:rPr>
      </w:pPr>
    </w:p>
    <w:p>
      <w:pPr>
        <w:pStyle w:val="BodyText"/>
        <w:spacing w:line="259" w:lineRule="auto" w:before="160"/>
        <w:ind w:left="117" w:right="115"/>
        <w:jc w:val="both"/>
      </w:pPr>
      <w:r>
        <w:rPr>
          <w:color w:val="231F20"/>
          <w:w w:val="105"/>
        </w:rPr>
        <w:t>En el presente capítulo ha quedado manifiesta la importancia de reali- zar</w:t>
      </w:r>
      <w:r>
        <w:rPr>
          <w:color w:val="231F20"/>
          <w:spacing w:val="-13"/>
          <w:w w:val="105"/>
        </w:rPr>
        <w:t> </w:t>
      </w:r>
      <w:r>
        <w:rPr>
          <w:color w:val="231F20"/>
          <w:w w:val="105"/>
        </w:rPr>
        <w:t>autoevaluaciones</w:t>
      </w:r>
      <w:r>
        <w:rPr>
          <w:color w:val="231F20"/>
          <w:spacing w:val="-13"/>
          <w:w w:val="105"/>
        </w:rPr>
        <w:t> </w:t>
      </w:r>
      <w:r>
        <w:rPr>
          <w:color w:val="231F20"/>
          <w:w w:val="105"/>
        </w:rPr>
        <w:t>del</w:t>
      </w:r>
      <w:r>
        <w:rPr>
          <w:color w:val="231F20"/>
          <w:spacing w:val="-13"/>
          <w:w w:val="105"/>
        </w:rPr>
        <w:t> </w:t>
      </w:r>
      <w:r>
        <w:rPr>
          <w:color w:val="231F20"/>
          <w:w w:val="105"/>
        </w:rPr>
        <w:t>desempeño</w:t>
      </w:r>
      <w:r>
        <w:rPr>
          <w:color w:val="231F20"/>
          <w:spacing w:val="-13"/>
          <w:w w:val="105"/>
        </w:rPr>
        <w:t> </w:t>
      </w:r>
      <w:r>
        <w:rPr>
          <w:color w:val="231F20"/>
          <w:w w:val="105"/>
        </w:rPr>
        <w:t>organizacional</w:t>
      </w:r>
      <w:r>
        <w:rPr>
          <w:color w:val="231F20"/>
          <w:spacing w:val="-13"/>
          <w:w w:val="105"/>
        </w:rPr>
        <w:t> </w:t>
      </w:r>
      <w:r>
        <w:rPr>
          <w:color w:val="231F20"/>
          <w:w w:val="105"/>
        </w:rPr>
        <w:t>en</w:t>
      </w:r>
      <w:r>
        <w:rPr>
          <w:color w:val="231F20"/>
          <w:spacing w:val="-13"/>
          <w:w w:val="105"/>
        </w:rPr>
        <w:t> </w:t>
      </w:r>
      <w:r>
        <w:rPr>
          <w:color w:val="231F20"/>
          <w:w w:val="105"/>
        </w:rPr>
        <w:t>IPES,</w:t>
      </w:r>
      <w:r>
        <w:rPr>
          <w:color w:val="231F20"/>
          <w:spacing w:val="-18"/>
          <w:w w:val="105"/>
        </w:rPr>
        <w:t> </w:t>
      </w:r>
      <w:r>
        <w:rPr>
          <w:color w:val="231F20"/>
          <w:w w:val="105"/>
        </w:rPr>
        <w:t>así</w:t>
      </w:r>
      <w:r>
        <w:rPr>
          <w:color w:val="231F20"/>
          <w:spacing w:val="-13"/>
          <w:w w:val="105"/>
        </w:rPr>
        <w:t> </w:t>
      </w:r>
      <w:r>
        <w:rPr>
          <w:color w:val="231F20"/>
          <w:w w:val="105"/>
        </w:rPr>
        <w:t>como una modesta contribución teórica a la medición del desempeño de las universidades</w:t>
      </w:r>
      <w:r>
        <w:rPr>
          <w:color w:val="231F20"/>
          <w:spacing w:val="-31"/>
          <w:w w:val="105"/>
        </w:rPr>
        <w:t> </w:t>
      </w:r>
      <w:r>
        <w:rPr>
          <w:color w:val="231F20"/>
          <w:w w:val="105"/>
        </w:rPr>
        <w:t>desde</w:t>
      </w:r>
      <w:r>
        <w:rPr>
          <w:color w:val="231F20"/>
          <w:spacing w:val="-31"/>
          <w:w w:val="105"/>
        </w:rPr>
        <w:t> </w:t>
      </w:r>
      <w:r>
        <w:rPr>
          <w:color w:val="231F20"/>
          <w:w w:val="105"/>
        </w:rPr>
        <w:t>los</w:t>
      </w:r>
      <w:r>
        <w:rPr>
          <w:color w:val="231F20"/>
          <w:spacing w:val="-31"/>
          <w:w w:val="105"/>
        </w:rPr>
        <w:t> </w:t>
      </w:r>
      <w:r>
        <w:rPr>
          <w:color w:val="231F20"/>
          <w:w w:val="105"/>
        </w:rPr>
        <w:t>estudios</w:t>
      </w:r>
      <w:r>
        <w:rPr>
          <w:color w:val="231F20"/>
          <w:spacing w:val="-31"/>
          <w:w w:val="105"/>
        </w:rPr>
        <w:t> </w:t>
      </w:r>
      <w:r>
        <w:rPr>
          <w:color w:val="231F20"/>
          <w:w w:val="105"/>
        </w:rPr>
        <w:t>económico-administrativos.</w:t>
      </w:r>
      <w:r>
        <w:rPr>
          <w:color w:val="231F20"/>
          <w:spacing w:val="-36"/>
          <w:w w:val="105"/>
        </w:rPr>
        <w:t> </w:t>
      </w:r>
      <w:r>
        <w:rPr>
          <w:color w:val="231F20"/>
          <w:spacing w:val="-4"/>
          <w:w w:val="105"/>
        </w:rPr>
        <w:t>Para</w:t>
      </w:r>
      <w:r>
        <w:rPr>
          <w:color w:val="231F20"/>
          <w:spacing w:val="-31"/>
          <w:w w:val="105"/>
        </w:rPr>
        <w:t> </w:t>
      </w:r>
      <w:r>
        <w:rPr>
          <w:color w:val="231F20"/>
          <w:w w:val="105"/>
        </w:rPr>
        <w:t>tal</w:t>
      </w:r>
      <w:r>
        <w:rPr>
          <w:color w:val="231F20"/>
          <w:spacing w:val="-31"/>
          <w:w w:val="105"/>
        </w:rPr>
        <w:t> </w:t>
      </w:r>
      <w:r>
        <w:rPr>
          <w:color w:val="231F20"/>
          <w:w w:val="105"/>
        </w:rPr>
        <w:t>fin, este</w:t>
      </w:r>
      <w:r>
        <w:rPr>
          <w:color w:val="231F20"/>
          <w:spacing w:val="-24"/>
          <w:w w:val="105"/>
        </w:rPr>
        <w:t> </w:t>
      </w:r>
      <w:r>
        <w:rPr>
          <w:color w:val="231F20"/>
          <w:w w:val="105"/>
        </w:rPr>
        <w:t>capítulo</w:t>
      </w:r>
      <w:r>
        <w:rPr>
          <w:color w:val="231F20"/>
          <w:spacing w:val="-24"/>
          <w:w w:val="105"/>
        </w:rPr>
        <w:t> </w:t>
      </w:r>
      <w:r>
        <w:rPr>
          <w:color w:val="231F20"/>
          <w:w w:val="105"/>
        </w:rPr>
        <w:t>recorrió</w:t>
      </w:r>
      <w:r>
        <w:rPr>
          <w:color w:val="231F20"/>
          <w:spacing w:val="-24"/>
          <w:w w:val="105"/>
        </w:rPr>
        <w:t> </w:t>
      </w:r>
      <w:r>
        <w:rPr>
          <w:color w:val="231F20"/>
          <w:w w:val="105"/>
        </w:rPr>
        <w:t>cuatro</w:t>
      </w:r>
      <w:r>
        <w:rPr>
          <w:color w:val="231F20"/>
          <w:spacing w:val="-24"/>
          <w:w w:val="105"/>
        </w:rPr>
        <w:t> </w:t>
      </w:r>
      <w:r>
        <w:rPr>
          <w:color w:val="231F20"/>
          <w:w w:val="105"/>
        </w:rPr>
        <w:t>teorías:</w:t>
      </w:r>
      <w:r>
        <w:rPr>
          <w:color w:val="231F20"/>
          <w:spacing w:val="-24"/>
          <w:w w:val="105"/>
        </w:rPr>
        <w:t> </w:t>
      </w:r>
      <w:r>
        <w:rPr>
          <w:color w:val="231F20"/>
          <w:w w:val="105"/>
        </w:rPr>
        <w:t>la</w:t>
      </w:r>
      <w:r>
        <w:rPr>
          <w:color w:val="231F20"/>
          <w:spacing w:val="-24"/>
          <w:w w:val="105"/>
        </w:rPr>
        <w:t> </w:t>
      </w:r>
      <w:r>
        <w:rPr>
          <w:color w:val="231F20"/>
          <w:w w:val="105"/>
        </w:rPr>
        <w:t>subjetiva</w:t>
      </w:r>
      <w:r>
        <w:rPr>
          <w:color w:val="231F20"/>
          <w:spacing w:val="-24"/>
          <w:w w:val="105"/>
        </w:rPr>
        <w:t> </w:t>
      </w:r>
      <w:r>
        <w:rPr>
          <w:color w:val="231F20"/>
          <w:w w:val="105"/>
        </w:rPr>
        <w:t>del</w:t>
      </w:r>
      <w:r>
        <w:rPr>
          <w:color w:val="231F20"/>
          <w:spacing w:val="-24"/>
          <w:w w:val="105"/>
        </w:rPr>
        <w:t> </w:t>
      </w:r>
      <w:r>
        <w:rPr>
          <w:color w:val="231F20"/>
          <w:w w:val="105"/>
        </w:rPr>
        <w:t>valor,</w:t>
      </w:r>
      <w:r>
        <w:rPr>
          <w:color w:val="231F20"/>
          <w:spacing w:val="-28"/>
          <w:w w:val="105"/>
        </w:rPr>
        <w:t> </w:t>
      </w:r>
      <w:r>
        <w:rPr>
          <w:color w:val="231F20"/>
          <w:w w:val="105"/>
        </w:rPr>
        <w:t>la</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i/>
          <w:color w:val="231F20"/>
          <w:w w:val="105"/>
        </w:rPr>
        <w:t>stake- </w:t>
      </w:r>
      <w:r>
        <w:rPr>
          <w:i/>
          <w:color w:val="231F20"/>
          <w:w w:val="105"/>
        </w:rPr>
        <w:t>holders</w:t>
      </w:r>
      <w:r>
        <w:rPr>
          <w:color w:val="231F20"/>
          <w:w w:val="105"/>
        </w:rPr>
        <w:t>,</w:t>
      </w:r>
      <w:r>
        <w:rPr>
          <w:color w:val="231F20"/>
          <w:spacing w:val="-13"/>
          <w:w w:val="105"/>
        </w:rPr>
        <w:t> </w:t>
      </w:r>
      <w:r>
        <w:rPr>
          <w:color w:val="231F20"/>
          <w:w w:val="105"/>
        </w:rPr>
        <w:t>la</w:t>
      </w:r>
      <w:r>
        <w:rPr>
          <w:color w:val="231F20"/>
          <w:spacing w:val="-8"/>
          <w:w w:val="105"/>
        </w:rPr>
        <w:t> </w:t>
      </w:r>
      <w:r>
        <w:rPr>
          <w:color w:val="231F20"/>
          <w:w w:val="105"/>
        </w:rPr>
        <w:t>de</w:t>
      </w:r>
      <w:r>
        <w:rPr>
          <w:color w:val="231F20"/>
          <w:spacing w:val="-8"/>
          <w:w w:val="105"/>
        </w:rPr>
        <w:t> </w:t>
      </w:r>
      <w:r>
        <w:rPr>
          <w:color w:val="231F20"/>
          <w:w w:val="105"/>
        </w:rPr>
        <w:t>dependencia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de</w:t>
      </w:r>
      <w:r>
        <w:rPr>
          <w:color w:val="231F20"/>
          <w:spacing w:val="-8"/>
          <w:w w:val="105"/>
        </w:rPr>
        <w:t> </w:t>
      </w:r>
      <w:r>
        <w:rPr>
          <w:color w:val="231F20"/>
          <w:w w:val="105"/>
        </w:rPr>
        <w:t>recursos</w:t>
      </w:r>
      <w:r>
        <w:rPr>
          <w:color w:val="231F20"/>
          <w:spacing w:val="-8"/>
          <w:w w:val="105"/>
        </w:rPr>
        <w:t> </w:t>
      </w:r>
      <w:r>
        <w:rPr>
          <w:color w:val="231F20"/>
          <w:w w:val="105"/>
        </w:rPr>
        <w:t>y</w:t>
      </w:r>
      <w:r>
        <w:rPr>
          <w:color w:val="231F20"/>
          <w:spacing w:val="-8"/>
          <w:w w:val="105"/>
        </w:rPr>
        <w:t> </w:t>
      </w:r>
      <w:r>
        <w:rPr>
          <w:color w:val="231F20"/>
          <w:w w:val="105"/>
        </w:rPr>
        <w:t>capacida- des.</w:t>
      </w:r>
      <w:r>
        <w:rPr>
          <w:color w:val="231F20"/>
          <w:spacing w:val="-21"/>
          <w:w w:val="105"/>
        </w:rPr>
        <w:t> </w:t>
      </w:r>
      <w:r>
        <w:rPr>
          <w:color w:val="231F20"/>
          <w:w w:val="105"/>
        </w:rPr>
        <w:t>Al</w:t>
      </w:r>
      <w:r>
        <w:rPr>
          <w:color w:val="231F20"/>
          <w:spacing w:val="-13"/>
          <w:w w:val="105"/>
        </w:rPr>
        <w:t> </w:t>
      </w:r>
      <w:r>
        <w:rPr>
          <w:color w:val="231F20"/>
          <w:w w:val="105"/>
        </w:rPr>
        <w:t>considerarlas</w:t>
      </w:r>
      <w:r>
        <w:rPr>
          <w:color w:val="231F20"/>
          <w:spacing w:val="-13"/>
          <w:w w:val="105"/>
        </w:rPr>
        <w:t> </w:t>
      </w:r>
      <w:r>
        <w:rPr>
          <w:color w:val="231F20"/>
          <w:w w:val="105"/>
        </w:rPr>
        <w:t>extensión</w:t>
      </w:r>
      <w:r>
        <w:rPr>
          <w:color w:val="231F20"/>
          <w:spacing w:val="-13"/>
          <w:w w:val="105"/>
        </w:rPr>
        <w:t> </w:t>
      </w:r>
      <w:r>
        <w:rPr>
          <w:color w:val="231F20"/>
          <w:w w:val="105"/>
        </w:rPr>
        <w:t>unas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otras,</w:t>
      </w:r>
      <w:r>
        <w:rPr>
          <w:color w:val="231F20"/>
          <w:spacing w:val="-18"/>
          <w:w w:val="105"/>
        </w:rPr>
        <w:t> </w:t>
      </w:r>
      <w:r>
        <w:rPr>
          <w:color w:val="231F20"/>
          <w:w w:val="105"/>
        </w:rPr>
        <w:t>y</w:t>
      </w:r>
      <w:r>
        <w:rPr>
          <w:color w:val="231F20"/>
          <w:spacing w:val="-13"/>
          <w:w w:val="105"/>
        </w:rPr>
        <w:t> </w:t>
      </w:r>
      <w:r>
        <w:rPr>
          <w:color w:val="231F20"/>
          <w:w w:val="105"/>
        </w:rPr>
        <w:t>siendo</w:t>
      </w:r>
      <w:r>
        <w:rPr>
          <w:color w:val="231F20"/>
          <w:spacing w:val="-13"/>
          <w:w w:val="105"/>
        </w:rPr>
        <w:t> </w:t>
      </w:r>
      <w:r>
        <w:rPr>
          <w:color w:val="231F20"/>
          <w:w w:val="105"/>
        </w:rPr>
        <w:t>necesario</w:t>
      </w:r>
      <w:r>
        <w:rPr>
          <w:color w:val="231F20"/>
          <w:spacing w:val="-13"/>
          <w:w w:val="105"/>
        </w:rPr>
        <w:t> </w:t>
      </w:r>
      <w:r>
        <w:rPr>
          <w:color w:val="231F20"/>
          <w:w w:val="105"/>
        </w:rPr>
        <w:t>un</w:t>
      </w:r>
    </w:p>
    <w:p>
      <w:pPr>
        <w:spacing w:after="0" w:line="259" w:lineRule="auto"/>
        <w:jc w:val="both"/>
        <w:sectPr>
          <w:pgSz w:w="9640" w:h="13890"/>
          <w:pgMar w:top="0" w:bottom="280" w:left="1300" w:right="1180"/>
        </w:sectPr>
      </w:pPr>
    </w:p>
    <w:p>
      <w:pPr>
        <w:pStyle w:val="BodyText"/>
        <w:spacing w:line="259" w:lineRule="auto" w:before="120"/>
        <w:ind w:left="103" w:right="108"/>
        <w:jc w:val="both"/>
      </w:pPr>
      <w:r>
        <w:rPr>
          <w:color w:val="231F20"/>
          <w:w w:val="105"/>
        </w:rPr>
        <w:t>modelo que de manera integral y holística capte la naturaleza multifac- torial</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autoevaluación</w:t>
      </w:r>
      <w:r>
        <w:rPr>
          <w:color w:val="231F20"/>
          <w:spacing w:val="-11"/>
          <w:w w:val="105"/>
        </w:rPr>
        <w:t> </w:t>
      </w:r>
      <w:r>
        <w:rPr>
          <w:color w:val="231F20"/>
          <w:w w:val="105"/>
        </w:rPr>
        <w:t>del</w:t>
      </w:r>
      <w:r>
        <w:rPr>
          <w:color w:val="231F20"/>
          <w:spacing w:val="-11"/>
          <w:w w:val="105"/>
        </w:rPr>
        <w:t> </w:t>
      </w:r>
      <w:r>
        <w:rPr>
          <w:color w:val="231F20"/>
          <w:w w:val="105"/>
        </w:rPr>
        <w:t>desempeño,</w:t>
      </w:r>
      <w:r>
        <w:rPr>
          <w:color w:val="231F20"/>
          <w:spacing w:val="-18"/>
          <w:w w:val="105"/>
        </w:rPr>
        <w:t> </w:t>
      </w:r>
      <w:r>
        <w:rPr>
          <w:color w:val="231F20"/>
          <w:w w:val="105"/>
        </w:rPr>
        <w:t>se</w:t>
      </w:r>
      <w:r>
        <w:rPr>
          <w:color w:val="231F20"/>
          <w:spacing w:val="-11"/>
          <w:w w:val="105"/>
        </w:rPr>
        <w:t> </w:t>
      </w:r>
      <w:r>
        <w:rPr>
          <w:color w:val="231F20"/>
          <w:w w:val="105"/>
        </w:rPr>
        <w:t>soporta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modelo</w:t>
      </w:r>
      <w:r>
        <w:rPr>
          <w:color w:val="231F20"/>
          <w:spacing w:val="-11"/>
          <w:w w:val="105"/>
        </w:rPr>
        <w:t> </w:t>
      </w:r>
      <w:r>
        <w:rPr>
          <w:color w:val="231F20"/>
          <w:w w:val="105"/>
        </w:rPr>
        <w:t>de la</w:t>
      </w:r>
      <w:r>
        <w:rPr>
          <w:color w:val="231F20"/>
          <w:spacing w:val="-10"/>
          <w:w w:val="105"/>
        </w:rPr>
        <w:t> </w:t>
      </w:r>
      <w:r>
        <w:rPr>
          <w:color w:val="231F20"/>
          <w:w w:val="105"/>
        </w:rPr>
        <w:t>excelencia</w:t>
      </w:r>
      <w:r>
        <w:rPr>
          <w:color w:val="231F20"/>
          <w:spacing w:val="-10"/>
          <w:w w:val="105"/>
        </w:rPr>
        <w:t> </w:t>
      </w:r>
      <w:r>
        <w:rPr>
          <w:color w:val="231F20"/>
          <w:w w:val="105"/>
        </w:rPr>
        <w:t>administrativa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EFQM</w:t>
      </w:r>
      <w:r>
        <w:rPr>
          <w:color w:val="231F20"/>
          <w:spacing w:val="-10"/>
          <w:w w:val="105"/>
        </w:rPr>
        <w:t> </w:t>
      </w:r>
      <w:r>
        <w:rPr>
          <w:color w:val="231F20"/>
          <w:w w:val="105"/>
        </w:rPr>
        <w:t>puede</w:t>
      </w:r>
      <w:r>
        <w:rPr>
          <w:color w:val="231F20"/>
          <w:spacing w:val="-10"/>
          <w:w w:val="105"/>
        </w:rPr>
        <w:t> </w:t>
      </w:r>
      <w:r>
        <w:rPr>
          <w:color w:val="231F20"/>
          <w:w w:val="105"/>
        </w:rPr>
        <w:t>llegar</w:t>
      </w:r>
      <w:r>
        <w:rPr>
          <w:color w:val="231F20"/>
          <w:spacing w:val="-10"/>
          <w:w w:val="105"/>
        </w:rPr>
        <w:t> </w:t>
      </w:r>
      <w:r>
        <w:rPr>
          <w:color w:val="231F20"/>
          <w:w w:val="105"/>
        </w:rPr>
        <w:t>a</w:t>
      </w:r>
      <w:r>
        <w:rPr>
          <w:color w:val="231F20"/>
          <w:spacing w:val="-10"/>
          <w:w w:val="105"/>
        </w:rPr>
        <w:t> </w:t>
      </w:r>
      <w:r>
        <w:rPr>
          <w:color w:val="231F20"/>
          <w:w w:val="105"/>
        </w:rPr>
        <w:t>explicar</w:t>
      </w:r>
      <w:r>
        <w:rPr>
          <w:color w:val="231F20"/>
          <w:spacing w:val="-10"/>
          <w:w w:val="105"/>
        </w:rPr>
        <w:t> </w:t>
      </w:r>
      <w:r>
        <w:rPr>
          <w:color w:val="231F20"/>
          <w:w w:val="105"/>
        </w:rPr>
        <w:t>este</w:t>
      </w:r>
      <w:r>
        <w:rPr>
          <w:color w:val="231F20"/>
          <w:spacing w:val="-10"/>
          <w:w w:val="105"/>
        </w:rPr>
        <w:t> </w:t>
      </w:r>
      <w:r>
        <w:rPr>
          <w:color w:val="231F20"/>
          <w:w w:val="105"/>
        </w:rPr>
        <w:t>fe- nómeno</w:t>
      </w:r>
      <w:r>
        <w:rPr>
          <w:color w:val="231F20"/>
          <w:spacing w:val="-11"/>
          <w:w w:val="105"/>
        </w:rPr>
        <w:t> </w:t>
      </w:r>
      <w:r>
        <w:rPr>
          <w:color w:val="231F20"/>
          <w:w w:val="105"/>
        </w:rPr>
        <w:t>mediante</w:t>
      </w:r>
      <w:r>
        <w:rPr>
          <w:color w:val="231F20"/>
          <w:spacing w:val="-11"/>
          <w:w w:val="105"/>
        </w:rPr>
        <w:t> </w:t>
      </w:r>
      <w:r>
        <w:rPr>
          <w:color w:val="231F20"/>
          <w:w w:val="105"/>
        </w:rPr>
        <w:t>cinco</w:t>
      </w:r>
      <w:r>
        <w:rPr>
          <w:color w:val="231F20"/>
          <w:spacing w:val="-11"/>
          <w:w w:val="105"/>
        </w:rPr>
        <w:t> </w:t>
      </w:r>
      <w:r>
        <w:rPr>
          <w:color w:val="231F20"/>
          <w:w w:val="105"/>
        </w:rPr>
        <w:t>agentes:</w:t>
      </w:r>
      <w:r>
        <w:rPr>
          <w:color w:val="231F20"/>
          <w:spacing w:val="-11"/>
          <w:w w:val="105"/>
        </w:rPr>
        <w:t> </w:t>
      </w:r>
      <w:r>
        <w:rPr>
          <w:color w:val="231F20"/>
          <w:w w:val="105"/>
        </w:rPr>
        <w:t>liderazgo,</w:t>
      </w:r>
      <w:r>
        <w:rPr>
          <w:color w:val="231F20"/>
          <w:spacing w:val="-16"/>
          <w:w w:val="105"/>
        </w:rPr>
        <w:t> </w:t>
      </w:r>
      <w:r>
        <w:rPr>
          <w:color w:val="231F20"/>
          <w:w w:val="105"/>
        </w:rPr>
        <w:t>factor</w:t>
      </w:r>
      <w:r>
        <w:rPr>
          <w:color w:val="231F20"/>
          <w:spacing w:val="-11"/>
          <w:w w:val="105"/>
        </w:rPr>
        <w:t> </w:t>
      </w:r>
      <w:r>
        <w:rPr>
          <w:color w:val="231F20"/>
          <w:w w:val="105"/>
        </w:rPr>
        <w:t>humano,</w:t>
      </w:r>
      <w:r>
        <w:rPr>
          <w:color w:val="231F20"/>
          <w:spacing w:val="-16"/>
          <w:w w:val="105"/>
        </w:rPr>
        <w:t> </w:t>
      </w:r>
      <w:r>
        <w:rPr>
          <w:color w:val="231F20"/>
          <w:w w:val="105"/>
        </w:rPr>
        <w:t>estrategias, alianzas</w:t>
      </w:r>
      <w:r>
        <w:rPr>
          <w:color w:val="231F20"/>
          <w:spacing w:val="-26"/>
          <w:w w:val="105"/>
        </w:rPr>
        <w:t> </w:t>
      </w:r>
      <w:r>
        <w:rPr>
          <w:color w:val="231F20"/>
          <w:w w:val="105"/>
        </w:rPr>
        <w:t>y</w:t>
      </w:r>
      <w:r>
        <w:rPr>
          <w:color w:val="231F20"/>
          <w:spacing w:val="-26"/>
          <w:w w:val="105"/>
        </w:rPr>
        <w:t> </w:t>
      </w:r>
      <w:r>
        <w:rPr>
          <w:color w:val="231F20"/>
          <w:w w:val="105"/>
        </w:rPr>
        <w:t>recursos,</w:t>
      </w:r>
      <w:r>
        <w:rPr>
          <w:color w:val="231F20"/>
          <w:spacing w:val="-31"/>
          <w:w w:val="105"/>
        </w:rPr>
        <w:t> </w:t>
      </w:r>
      <w:r>
        <w:rPr>
          <w:color w:val="231F20"/>
          <w:w w:val="105"/>
        </w:rPr>
        <w:t>y</w:t>
      </w:r>
      <w:r>
        <w:rPr>
          <w:color w:val="231F20"/>
          <w:spacing w:val="-26"/>
          <w:w w:val="105"/>
        </w:rPr>
        <w:t> </w:t>
      </w:r>
      <w:r>
        <w:rPr>
          <w:color w:val="231F20"/>
          <w:w w:val="105"/>
        </w:rPr>
        <w:t>procesos,</w:t>
      </w:r>
      <w:r>
        <w:rPr>
          <w:color w:val="231F20"/>
          <w:spacing w:val="-31"/>
          <w:w w:val="105"/>
        </w:rPr>
        <w:t> </w:t>
      </w:r>
      <w:r>
        <w:rPr>
          <w:color w:val="231F20"/>
          <w:w w:val="105"/>
        </w:rPr>
        <w:t>productos</w:t>
      </w:r>
      <w:r>
        <w:rPr>
          <w:color w:val="231F20"/>
          <w:spacing w:val="-26"/>
          <w:w w:val="105"/>
        </w:rPr>
        <w:t> </w:t>
      </w:r>
      <w:r>
        <w:rPr>
          <w:color w:val="231F20"/>
          <w:w w:val="105"/>
        </w:rPr>
        <w:t>y</w:t>
      </w:r>
      <w:r>
        <w:rPr>
          <w:color w:val="231F20"/>
          <w:spacing w:val="-26"/>
          <w:w w:val="105"/>
        </w:rPr>
        <w:t> </w:t>
      </w:r>
      <w:r>
        <w:rPr>
          <w:color w:val="231F20"/>
          <w:w w:val="105"/>
        </w:rPr>
        <w:t>servicios,</w:t>
      </w:r>
      <w:r>
        <w:rPr>
          <w:color w:val="231F20"/>
          <w:spacing w:val="-31"/>
          <w:w w:val="105"/>
        </w:rPr>
        <w:t> </w:t>
      </w:r>
      <w:r>
        <w:rPr>
          <w:color w:val="231F20"/>
          <w:w w:val="105"/>
        </w:rPr>
        <w:t>con</w:t>
      </w:r>
      <w:r>
        <w:rPr>
          <w:color w:val="231F20"/>
          <w:spacing w:val="-26"/>
          <w:w w:val="105"/>
        </w:rPr>
        <w:t> </w:t>
      </w:r>
      <w:r>
        <w:rPr>
          <w:color w:val="231F20"/>
          <w:w w:val="105"/>
        </w:rPr>
        <w:t>impacto</w:t>
      </w:r>
      <w:r>
        <w:rPr>
          <w:color w:val="231F20"/>
          <w:spacing w:val="-26"/>
          <w:w w:val="105"/>
        </w:rPr>
        <w:t> </w:t>
      </w:r>
      <w:r>
        <w:rPr>
          <w:color w:val="231F20"/>
          <w:w w:val="105"/>
        </w:rPr>
        <w:t>en</w:t>
      </w:r>
      <w:r>
        <w:rPr>
          <w:color w:val="231F20"/>
          <w:spacing w:val="-26"/>
          <w:w w:val="105"/>
        </w:rPr>
        <w:t> </w:t>
      </w:r>
      <w:r>
        <w:rPr>
          <w:color w:val="231F20"/>
          <w:w w:val="105"/>
        </w:rPr>
        <w:t>las personas,</w:t>
      </w:r>
      <w:r>
        <w:rPr>
          <w:color w:val="231F20"/>
          <w:spacing w:val="-34"/>
          <w:w w:val="105"/>
        </w:rPr>
        <w:t> </w:t>
      </w:r>
      <w:r>
        <w:rPr>
          <w:color w:val="231F20"/>
          <w:w w:val="105"/>
        </w:rPr>
        <w:t>los</w:t>
      </w:r>
      <w:r>
        <w:rPr>
          <w:color w:val="231F20"/>
          <w:spacing w:val="-29"/>
          <w:w w:val="105"/>
        </w:rPr>
        <w:t> </w:t>
      </w:r>
      <w:r>
        <w:rPr>
          <w:color w:val="231F20"/>
          <w:spacing w:val="-4"/>
          <w:w w:val="105"/>
        </w:rPr>
        <w:t>“clientes”,</w:t>
      </w:r>
      <w:r>
        <w:rPr>
          <w:color w:val="231F20"/>
          <w:spacing w:val="-34"/>
          <w:w w:val="105"/>
        </w:rPr>
        <w:t> </w:t>
      </w:r>
      <w:r>
        <w:rPr>
          <w:color w:val="231F20"/>
          <w:w w:val="105"/>
        </w:rPr>
        <w:t>la</w:t>
      </w:r>
      <w:r>
        <w:rPr>
          <w:color w:val="231F20"/>
          <w:spacing w:val="-29"/>
          <w:w w:val="105"/>
        </w:rPr>
        <w:t> </w:t>
      </w:r>
      <w:r>
        <w:rPr>
          <w:color w:val="231F20"/>
          <w:w w:val="105"/>
        </w:rPr>
        <w:t>sociedad</w:t>
      </w:r>
      <w:r>
        <w:rPr>
          <w:color w:val="231F20"/>
          <w:spacing w:val="-29"/>
          <w:w w:val="105"/>
        </w:rPr>
        <w:t> </w:t>
      </w:r>
      <w:r>
        <w:rPr>
          <w:color w:val="231F20"/>
          <w:w w:val="105"/>
        </w:rPr>
        <w:t>y</w:t>
      </w:r>
      <w:r>
        <w:rPr>
          <w:color w:val="231F20"/>
          <w:spacing w:val="-29"/>
          <w:w w:val="105"/>
        </w:rPr>
        <w:t> </w:t>
      </w:r>
      <w:r>
        <w:rPr>
          <w:color w:val="231F20"/>
          <w:w w:val="105"/>
        </w:rPr>
        <w:t>todos</w:t>
      </w:r>
      <w:r>
        <w:rPr>
          <w:color w:val="231F20"/>
          <w:spacing w:val="-29"/>
          <w:w w:val="105"/>
        </w:rPr>
        <w:t> </w:t>
      </w:r>
      <w:r>
        <w:rPr>
          <w:color w:val="231F20"/>
          <w:w w:val="105"/>
        </w:rPr>
        <w:t>aquellos</w:t>
      </w:r>
      <w:r>
        <w:rPr>
          <w:color w:val="231F20"/>
          <w:spacing w:val="-29"/>
          <w:w w:val="105"/>
        </w:rPr>
        <w:t> </w:t>
      </w:r>
      <w:r>
        <w:rPr>
          <w:color w:val="231F20"/>
          <w:w w:val="105"/>
        </w:rPr>
        <w:t>interesados</w:t>
      </w:r>
      <w:r>
        <w:rPr>
          <w:color w:val="231F20"/>
          <w:spacing w:val="-29"/>
          <w:w w:val="105"/>
        </w:rPr>
        <w:t> </w:t>
      </w:r>
      <w:r>
        <w:rPr>
          <w:color w:val="231F20"/>
          <w:w w:val="105"/>
        </w:rPr>
        <w:t>en</w:t>
      </w:r>
      <w:r>
        <w:rPr>
          <w:color w:val="231F20"/>
          <w:spacing w:val="-29"/>
          <w:w w:val="105"/>
        </w:rPr>
        <w:t> </w:t>
      </w:r>
      <w:r>
        <w:rPr>
          <w:color w:val="231F20"/>
          <w:w w:val="105"/>
        </w:rPr>
        <w:t>estas </w:t>
      </w:r>
      <w:r>
        <w:rPr>
          <w:color w:val="231F20"/>
        </w:rPr>
        <w:t>organizaciones</w:t>
      </w:r>
      <w:r>
        <w:rPr>
          <w:color w:val="231F20"/>
          <w:spacing w:val="20"/>
        </w:rPr>
        <w:t> </w:t>
      </w:r>
      <w:r>
        <w:rPr>
          <w:color w:val="231F20"/>
        </w:rPr>
        <w:t>(</w:t>
      </w:r>
      <w:r>
        <w:rPr>
          <w:i/>
          <w:color w:val="231F20"/>
        </w:rPr>
        <w:t>stakeholders</w:t>
      </w:r>
      <w:r>
        <w:rPr>
          <w:color w:val="231F20"/>
        </w:rPr>
        <w:t>).</w:t>
      </w:r>
    </w:p>
    <w:p>
      <w:pPr>
        <w:pStyle w:val="BodyText"/>
        <w:spacing w:line="259" w:lineRule="auto"/>
        <w:ind w:left="103" w:right="114" w:firstLine="567"/>
        <w:jc w:val="both"/>
      </w:pPr>
      <w:r>
        <w:rPr>
          <w:color w:val="231F20"/>
          <w:spacing w:val="-4"/>
          <w:w w:val="105"/>
        </w:rPr>
        <w:t>Para</w:t>
      </w:r>
      <w:r>
        <w:rPr>
          <w:color w:val="231F20"/>
          <w:spacing w:val="-26"/>
          <w:w w:val="105"/>
        </w:rPr>
        <w:t> </w:t>
      </w:r>
      <w:r>
        <w:rPr>
          <w:color w:val="231F20"/>
          <w:w w:val="105"/>
        </w:rPr>
        <w:t>ello</w:t>
      </w:r>
      <w:r>
        <w:rPr>
          <w:color w:val="231F20"/>
          <w:spacing w:val="-26"/>
          <w:w w:val="105"/>
        </w:rPr>
        <w:t> </w:t>
      </w:r>
      <w:r>
        <w:rPr>
          <w:color w:val="231F20"/>
          <w:w w:val="105"/>
        </w:rPr>
        <w:t>son</w:t>
      </w:r>
      <w:r>
        <w:rPr>
          <w:color w:val="231F20"/>
          <w:spacing w:val="-26"/>
          <w:w w:val="105"/>
        </w:rPr>
        <w:t> </w:t>
      </w:r>
      <w:r>
        <w:rPr>
          <w:color w:val="231F20"/>
          <w:w w:val="105"/>
        </w:rPr>
        <w:t>dos</w:t>
      </w:r>
      <w:r>
        <w:rPr>
          <w:color w:val="231F20"/>
          <w:spacing w:val="-26"/>
          <w:w w:val="105"/>
        </w:rPr>
        <w:t> </w:t>
      </w:r>
      <w:r>
        <w:rPr>
          <w:color w:val="231F20"/>
          <w:w w:val="105"/>
        </w:rPr>
        <w:t>los</w:t>
      </w:r>
      <w:r>
        <w:rPr>
          <w:color w:val="231F20"/>
          <w:spacing w:val="-26"/>
          <w:w w:val="105"/>
        </w:rPr>
        <w:t> </w:t>
      </w:r>
      <w:r>
        <w:rPr>
          <w:color w:val="231F20"/>
          <w:w w:val="105"/>
        </w:rPr>
        <w:t>retos</w:t>
      </w:r>
      <w:r>
        <w:rPr>
          <w:color w:val="231F20"/>
          <w:spacing w:val="-26"/>
          <w:w w:val="105"/>
        </w:rPr>
        <w:t> </w:t>
      </w:r>
      <w:r>
        <w:rPr>
          <w:color w:val="231F20"/>
          <w:w w:val="105"/>
        </w:rPr>
        <w:t>que</w:t>
      </w:r>
      <w:r>
        <w:rPr>
          <w:color w:val="231F20"/>
          <w:spacing w:val="-26"/>
          <w:w w:val="105"/>
        </w:rPr>
        <w:t> </w:t>
      </w:r>
      <w:r>
        <w:rPr>
          <w:color w:val="231F20"/>
          <w:w w:val="105"/>
        </w:rPr>
        <w:t>las</w:t>
      </w:r>
      <w:r>
        <w:rPr>
          <w:color w:val="231F20"/>
          <w:spacing w:val="-26"/>
          <w:w w:val="105"/>
        </w:rPr>
        <w:t> </w:t>
      </w:r>
      <w:r>
        <w:rPr>
          <w:color w:val="231F20"/>
          <w:w w:val="105"/>
        </w:rPr>
        <w:t>universidades</w:t>
      </w:r>
      <w:r>
        <w:rPr>
          <w:color w:val="231F20"/>
          <w:spacing w:val="-26"/>
          <w:w w:val="105"/>
        </w:rPr>
        <w:t> </w:t>
      </w:r>
      <w:r>
        <w:rPr>
          <w:color w:val="231F20"/>
          <w:w w:val="105"/>
        </w:rPr>
        <w:t>deben</w:t>
      </w:r>
      <w:r>
        <w:rPr>
          <w:color w:val="231F20"/>
          <w:spacing w:val="-26"/>
          <w:w w:val="105"/>
        </w:rPr>
        <w:t> </w:t>
      </w:r>
      <w:r>
        <w:rPr>
          <w:color w:val="231F20"/>
          <w:w w:val="105"/>
        </w:rPr>
        <w:t>enfrentar</w:t>
      </w:r>
      <w:r>
        <w:rPr>
          <w:color w:val="231F20"/>
          <w:spacing w:val="-26"/>
          <w:w w:val="105"/>
        </w:rPr>
        <w:t> </w:t>
      </w:r>
      <w:r>
        <w:rPr>
          <w:color w:val="231F20"/>
          <w:w w:val="105"/>
        </w:rPr>
        <w:t>al evaluar</w:t>
      </w:r>
      <w:r>
        <w:rPr>
          <w:color w:val="231F20"/>
          <w:spacing w:val="-21"/>
          <w:w w:val="105"/>
        </w:rPr>
        <w:t> </w:t>
      </w:r>
      <w:r>
        <w:rPr>
          <w:color w:val="231F20"/>
          <w:w w:val="105"/>
        </w:rPr>
        <w:t>su</w:t>
      </w:r>
      <w:r>
        <w:rPr>
          <w:color w:val="231F20"/>
          <w:spacing w:val="-21"/>
          <w:w w:val="105"/>
        </w:rPr>
        <w:t> </w:t>
      </w:r>
      <w:r>
        <w:rPr>
          <w:color w:val="231F20"/>
          <w:w w:val="105"/>
        </w:rPr>
        <w:t>desempeño</w:t>
      </w:r>
      <w:r>
        <w:rPr>
          <w:color w:val="231F20"/>
          <w:spacing w:val="-21"/>
          <w:w w:val="105"/>
        </w:rPr>
        <w:t> </w:t>
      </w:r>
      <w:r>
        <w:rPr>
          <w:color w:val="231F20"/>
          <w:w w:val="105"/>
        </w:rPr>
        <w:t>con</w:t>
      </w:r>
      <w:r>
        <w:rPr>
          <w:color w:val="231F20"/>
          <w:spacing w:val="-21"/>
          <w:w w:val="105"/>
        </w:rPr>
        <w:t> </w:t>
      </w:r>
      <w:r>
        <w:rPr>
          <w:color w:val="231F20"/>
          <w:w w:val="105"/>
        </w:rPr>
        <w:t>enfoque</w:t>
      </w:r>
      <w:r>
        <w:rPr>
          <w:color w:val="231F20"/>
          <w:spacing w:val="-21"/>
          <w:w w:val="105"/>
        </w:rPr>
        <w:t> </w:t>
      </w:r>
      <w:r>
        <w:rPr>
          <w:color w:val="231F20"/>
          <w:w w:val="105"/>
        </w:rPr>
        <w:t>de</w:t>
      </w:r>
      <w:r>
        <w:rPr>
          <w:color w:val="231F20"/>
          <w:spacing w:val="-21"/>
          <w:w w:val="105"/>
        </w:rPr>
        <w:t> </w:t>
      </w:r>
      <w:r>
        <w:rPr>
          <w:color w:val="231F20"/>
          <w:w w:val="105"/>
        </w:rPr>
        <w:t>excelencia</w:t>
      </w:r>
      <w:r>
        <w:rPr>
          <w:color w:val="231F20"/>
          <w:spacing w:val="-21"/>
          <w:w w:val="105"/>
        </w:rPr>
        <w:t> </w:t>
      </w:r>
      <w:r>
        <w:rPr>
          <w:color w:val="231F20"/>
          <w:w w:val="105"/>
        </w:rPr>
        <w:t>administrativa:</w:t>
      </w:r>
      <w:r>
        <w:rPr>
          <w:color w:val="231F20"/>
          <w:spacing w:val="-21"/>
          <w:w w:val="105"/>
        </w:rPr>
        <w:t> </w:t>
      </w:r>
      <w:r>
        <w:rPr>
          <w:color w:val="231F20"/>
          <w:w w:val="105"/>
        </w:rPr>
        <w:t>confir- mar</w:t>
      </w:r>
      <w:r>
        <w:rPr>
          <w:color w:val="231F20"/>
          <w:spacing w:val="-5"/>
          <w:w w:val="105"/>
        </w:rPr>
        <w:t> </w:t>
      </w:r>
      <w:r>
        <w:rPr>
          <w:color w:val="231F20"/>
          <w:w w:val="105"/>
        </w:rPr>
        <w:t>la</w:t>
      </w:r>
      <w:r>
        <w:rPr>
          <w:color w:val="231F20"/>
          <w:spacing w:val="-5"/>
          <w:w w:val="105"/>
        </w:rPr>
        <w:t> </w:t>
      </w:r>
      <w:r>
        <w:rPr>
          <w:color w:val="231F20"/>
          <w:w w:val="105"/>
        </w:rPr>
        <w:t>aportación</w:t>
      </w:r>
      <w:r>
        <w:rPr>
          <w:color w:val="231F20"/>
          <w:spacing w:val="-5"/>
          <w:w w:val="105"/>
        </w:rPr>
        <w:t> </w:t>
      </w:r>
      <w:r>
        <w:rPr>
          <w:color w:val="231F20"/>
          <w:w w:val="105"/>
        </w:rPr>
        <w:t>de</w:t>
      </w:r>
      <w:r>
        <w:rPr>
          <w:color w:val="231F20"/>
          <w:spacing w:val="-5"/>
          <w:w w:val="105"/>
        </w:rPr>
        <w:t> </w:t>
      </w:r>
      <w:r>
        <w:rPr>
          <w:color w:val="231F20"/>
          <w:w w:val="105"/>
        </w:rPr>
        <w:t>cada</w:t>
      </w:r>
      <w:r>
        <w:rPr>
          <w:color w:val="231F20"/>
          <w:spacing w:val="-5"/>
          <w:w w:val="105"/>
        </w:rPr>
        <w:t> </w:t>
      </w:r>
      <w:r>
        <w:rPr>
          <w:color w:val="231F20"/>
          <w:w w:val="105"/>
        </w:rPr>
        <w:t>componente</w:t>
      </w:r>
      <w:r>
        <w:rPr>
          <w:color w:val="231F20"/>
          <w:spacing w:val="-6"/>
          <w:w w:val="105"/>
        </w:rPr>
        <w:t> </w:t>
      </w:r>
      <w:r>
        <w:rPr>
          <w:color w:val="231F20"/>
          <w:w w:val="105"/>
        </w:rPr>
        <w:t>o</w:t>
      </w:r>
      <w:r>
        <w:rPr>
          <w:color w:val="231F20"/>
          <w:spacing w:val="-5"/>
          <w:w w:val="105"/>
        </w:rPr>
        <w:t> </w:t>
      </w:r>
      <w:r>
        <w:rPr>
          <w:color w:val="231F20"/>
          <w:w w:val="105"/>
        </w:rPr>
        <w:t>factor</w:t>
      </w:r>
      <w:r>
        <w:rPr>
          <w:color w:val="231F20"/>
          <w:spacing w:val="-5"/>
          <w:w w:val="105"/>
        </w:rPr>
        <w:t> </w:t>
      </w:r>
      <w:r>
        <w:rPr>
          <w:color w:val="231F20"/>
          <w:w w:val="105"/>
        </w:rPr>
        <w:t>y</w:t>
      </w:r>
      <w:r>
        <w:rPr>
          <w:color w:val="231F20"/>
          <w:spacing w:val="-5"/>
          <w:w w:val="105"/>
        </w:rPr>
        <w:t> </w:t>
      </w:r>
      <w:r>
        <w:rPr>
          <w:color w:val="231F20"/>
          <w:w w:val="105"/>
        </w:rPr>
        <w:t>ser</w:t>
      </w:r>
      <w:r>
        <w:rPr>
          <w:color w:val="231F20"/>
          <w:spacing w:val="-5"/>
          <w:w w:val="105"/>
        </w:rPr>
        <w:t> </w:t>
      </w:r>
      <w:r>
        <w:rPr>
          <w:color w:val="231F20"/>
          <w:w w:val="105"/>
        </w:rPr>
        <w:t>incluyente</w:t>
      </w:r>
      <w:r>
        <w:rPr>
          <w:color w:val="231F20"/>
          <w:spacing w:val="-5"/>
          <w:w w:val="105"/>
        </w:rPr>
        <w:t> </w:t>
      </w:r>
      <w:r>
        <w:rPr>
          <w:color w:val="231F20"/>
          <w:w w:val="105"/>
        </w:rPr>
        <w:t>con</w:t>
      </w:r>
      <w:r>
        <w:rPr>
          <w:color w:val="231F20"/>
          <w:spacing w:val="-5"/>
          <w:w w:val="105"/>
        </w:rPr>
        <w:t> </w:t>
      </w:r>
      <w:r>
        <w:rPr>
          <w:color w:val="231F20"/>
          <w:w w:val="105"/>
        </w:rPr>
        <w:t>los agentes</w:t>
      </w:r>
      <w:r>
        <w:rPr>
          <w:color w:val="231F20"/>
          <w:spacing w:val="-18"/>
          <w:w w:val="105"/>
        </w:rPr>
        <w:t> </w:t>
      </w:r>
      <w:r>
        <w:rPr>
          <w:color w:val="231F20"/>
          <w:w w:val="105"/>
        </w:rPr>
        <w:t>vinculados</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vida</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universidades,</w:t>
      </w:r>
      <w:r>
        <w:rPr>
          <w:color w:val="231F20"/>
          <w:spacing w:val="-22"/>
          <w:w w:val="105"/>
        </w:rPr>
        <w:t> </w:t>
      </w:r>
      <w:r>
        <w:rPr>
          <w:color w:val="231F20"/>
          <w:w w:val="105"/>
        </w:rPr>
        <w:t>pues</w:t>
      </w:r>
      <w:r>
        <w:rPr>
          <w:color w:val="231F20"/>
          <w:spacing w:val="-18"/>
          <w:w w:val="105"/>
        </w:rPr>
        <w:t> </w:t>
      </w:r>
      <w:r>
        <w:rPr>
          <w:color w:val="231F20"/>
          <w:w w:val="105"/>
        </w:rPr>
        <w:t>cada</w:t>
      </w:r>
      <w:r>
        <w:rPr>
          <w:color w:val="231F20"/>
          <w:spacing w:val="-18"/>
          <w:w w:val="105"/>
        </w:rPr>
        <w:t> </w:t>
      </w:r>
      <w:r>
        <w:rPr>
          <w:color w:val="231F20"/>
          <w:w w:val="105"/>
        </w:rPr>
        <w:t>vez</w:t>
      </w:r>
      <w:r>
        <w:rPr>
          <w:color w:val="231F20"/>
          <w:spacing w:val="-18"/>
          <w:w w:val="105"/>
        </w:rPr>
        <w:t> </w:t>
      </w:r>
      <w:r>
        <w:rPr>
          <w:color w:val="231F20"/>
          <w:w w:val="105"/>
        </w:rPr>
        <w:t>resulta más complejo dibujar</w:t>
      </w:r>
      <w:r>
        <w:rPr>
          <w:color w:val="231F20"/>
          <w:spacing w:val="-37"/>
          <w:w w:val="105"/>
        </w:rPr>
        <w:t> </w:t>
      </w:r>
      <w:r>
        <w:rPr>
          <w:color w:val="231F20"/>
          <w:w w:val="105"/>
        </w:rPr>
        <w:t>fronteras.</w:t>
      </w:r>
    </w:p>
    <w:p>
      <w:pPr>
        <w:pStyle w:val="BodyText"/>
        <w:spacing w:line="259" w:lineRule="auto"/>
        <w:ind w:left="103" w:right="111" w:firstLine="567"/>
        <w:jc w:val="both"/>
      </w:pPr>
      <w:r>
        <w:rPr>
          <w:color w:val="231F20"/>
          <w:spacing w:val="-3"/>
          <w:w w:val="105"/>
        </w:rPr>
        <w:t>Finalmente, </w:t>
      </w:r>
      <w:r>
        <w:rPr>
          <w:color w:val="231F20"/>
          <w:w w:val="105"/>
        </w:rPr>
        <w:t>no </w:t>
      </w:r>
      <w:r>
        <w:rPr>
          <w:color w:val="231F20"/>
          <w:spacing w:val="-3"/>
          <w:w w:val="105"/>
        </w:rPr>
        <w:t>podemos perder </w:t>
      </w:r>
      <w:r>
        <w:rPr>
          <w:color w:val="231F20"/>
          <w:w w:val="105"/>
        </w:rPr>
        <w:t>de </w:t>
      </w:r>
      <w:r>
        <w:rPr>
          <w:color w:val="231F20"/>
          <w:spacing w:val="-3"/>
          <w:w w:val="105"/>
        </w:rPr>
        <w:t>vista </w:t>
      </w:r>
      <w:r>
        <w:rPr>
          <w:color w:val="231F20"/>
          <w:w w:val="105"/>
        </w:rPr>
        <w:t>la </w:t>
      </w:r>
      <w:r>
        <w:rPr>
          <w:color w:val="231F20"/>
          <w:spacing w:val="-4"/>
          <w:w w:val="105"/>
        </w:rPr>
        <w:t>apertura </w:t>
      </w:r>
      <w:r>
        <w:rPr>
          <w:color w:val="231F20"/>
          <w:spacing w:val="-3"/>
          <w:w w:val="105"/>
        </w:rPr>
        <w:t>directiva para reconocer</w:t>
      </w:r>
      <w:r>
        <w:rPr>
          <w:color w:val="231F20"/>
          <w:spacing w:val="-32"/>
          <w:w w:val="105"/>
        </w:rPr>
        <w:t> </w:t>
      </w:r>
      <w:r>
        <w:rPr>
          <w:color w:val="231F20"/>
          <w:spacing w:val="-3"/>
          <w:w w:val="105"/>
        </w:rPr>
        <w:t>posibles</w:t>
      </w:r>
      <w:r>
        <w:rPr>
          <w:color w:val="231F20"/>
          <w:spacing w:val="-32"/>
          <w:w w:val="105"/>
        </w:rPr>
        <w:t> </w:t>
      </w:r>
      <w:r>
        <w:rPr>
          <w:color w:val="231F20"/>
          <w:spacing w:val="-3"/>
          <w:w w:val="105"/>
        </w:rPr>
        <w:t>debilidades,</w:t>
      </w:r>
      <w:r>
        <w:rPr>
          <w:color w:val="231F20"/>
          <w:spacing w:val="-36"/>
          <w:w w:val="105"/>
        </w:rPr>
        <w:t> </w:t>
      </w:r>
      <w:r>
        <w:rPr>
          <w:color w:val="231F20"/>
          <w:w w:val="105"/>
        </w:rPr>
        <w:t>las</w:t>
      </w:r>
      <w:r>
        <w:rPr>
          <w:color w:val="231F20"/>
          <w:spacing w:val="-32"/>
          <w:w w:val="105"/>
        </w:rPr>
        <w:t> </w:t>
      </w:r>
      <w:r>
        <w:rPr>
          <w:color w:val="231F20"/>
          <w:spacing w:val="-3"/>
          <w:w w:val="105"/>
        </w:rPr>
        <w:t>cuales</w:t>
      </w:r>
      <w:r>
        <w:rPr>
          <w:color w:val="231F20"/>
          <w:spacing w:val="-32"/>
          <w:w w:val="105"/>
        </w:rPr>
        <w:t> </w:t>
      </w:r>
      <w:r>
        <w:rPr>
          <w:color w:val="231F20"/>
          <w:spacing w:val="-3"/>
          <w:w w:val="105"/>
        </w:rPr>
        <w:t>deben</w:t>
      </w:r>
      <w:r>
        <w:rPr>
          <w:color w:val="231F20"/>
          <w:spacing w:val="-32"/>
          <w:w w:val="105"/>
        </w:rPr>
        <w:t> </w:t>
      </w:r>
      <w:r>
        <w:rPr>
          <w:color w:val="231F20"/>
          <w:spacing w:val="-3"/>
          <w:w w:val="105"/>
        </w:rPr>
        <w:t>convertirse</w:t>
      </w:r>
      <w:r>
        <w:rPr>
          <w:color w:val="231F20"/>
          <w:spacing w:val="-32"/>
          <w:w w:val="105"/>
        </w:rPr>
        <w:t> </w:t>
      </w:r>
      <w:r>
        <w:rPr>
          <w:color w:val="231F20"/>
          <w:w w:val="105"/>
        </w:rPr>
        <w:t>en</w:t>
      </w:r>
      <w:r>
        <w:rPr>
          <w:color w:val="231F20"/>
          <w:spacing w:val="-32"/>
          <w:w w:val="105"/>
        </w:rPr>
        <w:t> </w:t>
      </w:r>
      <w:r>
        <w:rPr>
          <w:color w:val="231F20"/>
          <w:spacing w:val="-4"/>
          <w:w w:val="105"/>
        </w:rPr>
        <w:t>fortalezas, </w:t>
      </w:r>
      <w:r>
        <w:rPr>
          <w:color w:val="231F20"/>
          <w:spacing w:val="-3"/>
          <w:w w:val="105"/>
        </w:rPr>
        <w:t>pero</w:t>
      </w:r>
      <w:r>
        <w:rPr>
          <w:color w:val="231F20"/>
          <w:spacing w:val="-37"/>
          <w:w w:val="105"/>
        </w:rPr>
        <w:t> </w:t>
      </w:r>
      <w:r>
        <w:rPr>
          <w:color w:val="231F20"/>
          <w:spacing w:val="-3"/>
          <w:w w:val="105"/>
        </w:rPr>
        <w:t>también</w:t>
      </w:r>
      <w:r>
        <w:rPr>
          <w:color w:val="231F20"/>
          <w:spacing w:val="-37"/>
          <w:w w:val="105"/>
        </w:rPr>
        <w:t> </w:t>
      </w:r>
      <w:r>
        <w:rPr>
          <w:color w:val="231F20"/>
          <w:spacing w:val="-3"/>
          <w:w w:val="105"/>
        </w:rPr>
        <w:t>para</w:t>
      </w:r>
      <w:r>
        <w:rPr>
          <w:color w:val="231F20"/>
          <w:spacing w:val="-37"/>
          <w:w w:val="105"/>
        </w:rPr>
        <w:t> </w:t>
      </w:r>
      <w:r>
        <w:rPr>
          <w:color w:val="231F20"/>
          <w:spacing w:val="-3"/>
          <w:w w:val="105"/>
        </w:rPr>
        <w:t>estar</w:t>
      </w:r>
      <w:r>
        <w:rPr>
          <w:color w:val="231F20"/>
          <w:spacing w:val="-37"/>
          <w:w w:val="105"/>
        </w:rPr>
        <w:t> </w:t>
      </w:r>
      <w:r>
        <w:rPr>
          <w:color w:val="231F20"/>
          <w:spacing w:val="-3"/>
          <w:w w:val="105"/>
        </w:rPr>
        <w:t>atentos</w:t>
      </w:r>
      <w:r>
        <w:rPr>
          <w:color w:val="231F20"/>
          <w:spacing w:val="-37"/>
          <w:w w:val="105"/>
        </w:rPr>
        <w:t> </w:t>
      </w:r>
      <w:r>
        <w:rPr>
          <w:color w:val="231F20"/>
          <w:w w:val="105"/>
        </w:rPr>
        <w:t>a</w:t>
      </w:r>
      <w:r>
        <w:rPr>
          <w:color w:val="231F20"/>
          <w:spacing w:val="-37"/>
          <w:w w:val="105"/>
        </w:rPr>
        <w:t> </w:t>
      </w:r>
      <w:r>
        <w:rPr>
          <w:color w:val="231F20"/>
          <w:w w:val="105"/>
        </w:rPr>
        <w:t>las</w:t>
      </w:r>
      <w:r>
        <w:rPr>
          <w:color w:val="231F20"/>
          <w:spacing w:val="-37"/>
          <w:w w:val="105"/>
        </w:rPr>
        <w:t> </w:t>
      </w:r>
      <w:r>
        <w:rPr>
          <w:color w:val="231F20"/>
          <w:spacing w:val="-3"/>
          <w:w w:val="105"/>
        </w:rPr>
        <w:t>amenazas</w:t>
      </w:r>
      <w:r>
        <w:rPr>
          <w:color w:val="231F20"/>
          <w:spacing w:val="-37"/>
          <w:w w:val="105"/>
        </w:rPr>
        <w:t> </w:t>
      </w:r>
      <w:r>
        <w:rPr>
          <w:color w:val="231F20"/>
          <w:w w:val="105"/>
        </w:rPr>
        <w:t>que</w:t>
      </w:r>
      <w:r>
        <w:rPr>
          <w:color w:val="231F20"/>
          <w:spacing w:val="-37"/>
          <w:w w:val="105"/>
        </w:rPr>
        <w:t> </w:t>
      </w:r>
      <w:r>
        <w:rPr>
          <w:color w:val="231F20"/>
          <w:spacing w:val="-3"/>
          <w:w w:val="105"/>
        </w:rPr>
        <w:t>asechan</w:t>
      </w:r>
      <w:r>
        <w:rPr>
          <w:color w:val="231F20"/>
          <w:spacing w:val="-37"/>
          <w:w w:val="105"/>
        </w:rPr>
        <w:t> </w:t>
      </w:r>
      <w:r>
        <w:rPr>
          <w:color w:val="231F20"/>
          <w:w w:val="105"/>
        </w:rPr>
        <w:t>su</w:t>
      </w:r>
      <w:r>
        <w:rPr>
          <w:color w:val="231F20"/>
          <w:spacing w:val="-37"/>
          <w:w w:val="105"/>
        </w:rPr>
        <w:t> </w:t>
      </w:r>
      <w:r>
        <w:rPr>
          <w:color w:val="231F20"/>
          <w:spacing w:val="-3"/>
          <w:w w:val="105"/>
        </w:rPr>
        <w:t>contexto,</w:t>
      </w:r>
      <w:r>
        <w:rPr>
          <w:color w:val="231F20"/>
          <w:spacing w:val="-41"/>
          <w:w w:val="105"/>
        </w:rPr>
        <w:t> </w:t>
      </w:r>
      <w:r>
        <w:rPr>
          <w:color w:val="231F20"/>
          <w:w w:val="105"/>
        </w:rPr>
        <w:t>o </w:t>
      </w:r>
      <w:r>
        <w:rPr>
          <w:color w:val="231F20"/>
          <w:spacing w:val="-3"/>
          <w:w w:val="105"/>
        </w:rPr>
        <w:t>bien,</w:t>
      </w:r>
      <w:r>
        <w:rPr>
          <w:color w:val="231F20"/>
          <w:spacing w:val="-25"/>
          <w:w w:val="105"/>
        </w:rPr>
        <w:t> </w:t>
      </w:r>
      <w:r>
        <w:rPr>
          <w:color w:val="231F20"/>
          <w:spacing w:val="-3"/>
          <w:w w:val="105"/>
        </w:rPr>
        <w:t>explotar</w:t>
      </w:r>
      <w:r>
        <w:rPr>
          <w:color w:val="231F20"/>
          <w:spacing w:val="-20"/>
          <w:w w:val="105"/>
        </w:rPr>
        <w:t> </w:t>
      </w:r>
      <w:r>
        <w:rPr>
          <w:color w:val="231F20"/>
          <w:w w:val="105"/>
        </w:rPr>
        <w:t>las</w:t>
      </w:r>
      <w:r>
        <w:rPr>
          <w:color w:val="231F20"/>
          <w:spacing w:val="-20"/>
          <w:w w:val="105"/>
        </w:rPr>
        <w:t> </w:t>
      </w:r>
      <w:r>
        <w:rPr>
          <w:color w:val="231F20"/>
          <w:spacing w:val="-3"/>
          <w:w w:val="105"/>
        </w:rPr>
        <w:t>oportunidades</w:t>
      </w:r>
      <w:r>
        <w:rPr>
          <w:color w:val="231F20"/>
          <w:spacing w:val="-20"/>
          <w:w w:val="105"/>
        </w:rPr>
        <w:t> </w:t>
      </w:r>
      <w:r>
        <w:rPr>
          <w:color w:val="231F20"/>
          <w:w w:val="105"/>
        </w:rPr>
        <w:t>que</w:t>
      </w:r>
      <w:r>
        <w:rPr>
          <w:color w:val="231F20"/>
          <w:spacing w:val="-20"/>
          <w:w w:val="105"/>
        </w:rPr>
        <w:t> </w:t>
      </w:r>
      <w:r>
        <w:rPr>
          <w:color w:val="231F20"/>
          <w:w w:val="105"/>
        </w:rPr>
        <w:t>les</w:t>
      </w:r>
      <w:r>
        <w:rPr>
          <w:color w:val="231F20"/>
          <w:spacing w:val="-20"/>
          <w:w w:val="105"/>
        </w:rPr>
        <w:t> </w:t>
      </w:r>
      <w:r>
        <w:rPr>
          <w:color w:val="231F20"/>
          <w:spacing w:val="-3"/>
          <w:w w:val="105"/>
        </w:rPr>
        <w:t>pueden</w:t>
      </w:r>
      <w:r>
        <w:rPr>
          <w:color w:val="231F20"/>
          <w:spacing w:val="-20"/>
          <w:w w:val="105"/>
        </w:rPr>
        <w:t> </w:t>
      </w:r>
      <w:r>
        <w:rPr>
          <w:color w:val="231F20"/>
          <w:spacing w:val="-3"/>
          <w:w w:val="105"/>
        </w:rPr>
        <w:t>hacer</w:t>
      </w:r>
      <w:r>
        <w:rPr>
          <w:color w:val="231F20"/>
          <w:spacing w:val="-20"/>
          <w:w w:val="105"/>
        </w:rPr>
        <w:t> </w:t>
      </w:r>
      <w:r>
        <w:rPr>
          <w:color w:val="231F20"/>
          <w:w w:val="105"/>
        </w:rPr>
        <w:t>más</w:t>
      </w:r>
      <w:r>
        <w:rPr>
          <w:color w:val="231F20"/>
          <w:spacing w:val="-20"/>
          <w:w w:val="105"/>
        </w:rPr>
        <w:t> </w:t>
      </w:r>
      <w:r>
        <w:rPr>
          <w:color w:val="231F20"/>
          <w:spacing w:val="-3"/>
          <w:w w:val="105"/>
        </w:rPr>
        <w:t>competitivas.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3928"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106</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3904"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107</w:t>
      </w:r>
    </w:p>
    <w:p>
      <w:pPr>
        <w:pStyle w:val="BodyText"/>
        <w:rPr>
          <w:sz w:val="22"/>
        </w:rPr>
      </w:pPr>
    </w:p>
    <w:p>
      <w:pPr>
        <w:pStyle w:val="BodyText"/>
        <w:rPr>
          <w:sz w:val="22"/>
        </w:rPr>
      </w:pPr>
    </w:p>
    <w:p>
      <w:pPr>
        <w:pStyle w:val="Heading2"/>
        <w:spacing w:before="131"/>
        <w:ind w:right="114"/>
        <w:jc w:val="left"/>
      </w:pPr>
      <w:r>
        <w:rPr>
          <w:color w:val="231F20"/>
        </w:rPr>
        <w:t>Referencias</w:t>
      </w:r>
    </w:p>
    <w:p>
      <w:pPr>
        <w:pStyle w:val="BodyText"/>
        <w:rPr>
          <w:b/>
          <w:sz w:val="22"/>
        </w:rPr>
      </w:pPr>
    </w:p>
    <w:p>
      <w:pPr>
        <w:pStyle w:val="BodyText"/>
        <w:spacing w:line="259" w:lineRule="auto" w:before="160"/>
        <w:ind w:left="854" w:right="115" w:hanging="738"/>
        <w:jc w:val="both"/>
      </w:pPr>
      <w:r>
        <w:rPr>
          <w:color w:val="231F20"/>
          <w:w w:val="105"/>
        </w:rPr>
        <w:t>Aghion,</w:t>
      </w:r>
      <w:r>
        <w:rPr>
          <w:color w:val="231F20"/>
          <w:spacing w:val="-20"/>
          <w:w w:val="105"/>
        </w:rPr>
        <w:t> </w:t>
      </w:r>
      <w:r>
        <w:rPr>
          <w:color w:val="231F20"/>
          <w:spacing w:val="-11"/>
          <w:w w:val="105"/>
        </w:rPr>
        <w:t>P.,</w:t>
      </w:r>
      <w:r>
        <w:rPr>
          <w:color w:val="231F20"/>
          <w:spacing w:val="-20"/>
          <w:w w:val="105"/>
        </w:rPr>
        <w:t> </w:t>
      </w:r>
      <w:r>
        <w:rPr>
          <w:color w:val="231F20"/>
          <w:w w:val="105"/>
        </w:rPr>
        <w:t>Dewatripont,</w:t>
      </w:r>
      <w:r>
        <w:rPr>
          <w:color w:val="231F20"/>
          <w:spacing w:val="-20"/>
          <w:w w:val="105"/>
        </w:rPr>
        <w:t> </w:t>
      </w:r>
      <w:r>
        <w:rPr>
          <w:color w:val="231F20"/>
          <w:w w:val="105"/>
        </w:rPr>
        <w:t>M.,</w:t>
      </w:r>
      <w:r>
        <w:rPr>
          <w:color w:val="231F20"/>
          <w:spacing w:val="-20"/>
          <w:w w:val="105"/>
        </w:rPr>
        <w:t> </w:t>
      </w:r>
      <w:r>
        <w:rPr>
          <w:color w:val="231F20"/>
          <w:w w:val="105"/>
        </w:rPr>
        <w:t>Hoxby,</w:t>
      </w:r>
      <w:r>
        <w:rPr>
          <w:color w:val="231F20"/>
          <w:spacing w:val="-20"/>
          <w:w w:val="105"/>
        </w:rPr>
        <w:t> </w:t>
      </w:r>
      <w:r>
        <w:rPr>
          <w:color w:val="231F20"/>
          <w:w w:val="105"/>
        </w:rPr>
        <w:t>C.,</w:t>
      </w:r>
      <w:r>
        <w:rPr>
          <w:color w:val="231F20"/>
          <w:spacing w:val="-20"/>
          <w:w w:val="105"/>
        </w:rPr>
        <w:t> </w:t>
      </w:r>
      <w:r>
        <w:rPr>
          <w:color w:val="231F20"/>
          <w:w w:val="105"/>
        </w:rPr>
        <w:t>Mas-Colell,</w:t>
      </w:r>
      <w:r>
        <w:rPr>
          <w:color w:val="231F20"/>
          <w:spacing w:val="-23"/>
          <w:w w:val="105"/>
        </w:rPr>
        <w:t> </w:t>
      </w:r>
      <w:r>
        <w:rPr>
          <w:color w:val="231F20"/>
          <w:w w:val="105"/>
        </w:rPr>
        <w:t>A.,</w:t>
      </w:r>
      <w:r>
        <w:rPr>
          <w:color w:val="231F20"/>
          <w:spacing w:val="-20"/>
          <w:w w:val="105"/>
        </w:rPr>
        <w:t> </w:t>
      </w:r>
      <w:r>
        <w:rPr>
          <w:color w:val="231F20"/>
          <w:w w:val="105"/>
        </w:rPr>
        <w:t>y</w:t>
      </w:r>
      <w:r>
        <w:rPr>
          <w:color w:val="231F20"/>
          <w:spacing w:val="-16"/>
          <w:w w:val="105"/>
        </w:rPr>
        <w:t> </w:t>
      </w:r>
      <w:r>
        <w:rPr>
          <w:color w:val="231F20"/>
          <w:w w:val="105"/>
        </w:rPr>
        <w:t>Sapir,</w:t>
      </w:r>
      <w:r>
        <w:rPr>
          <w:color w:val="231F20"/>
          <w:spacing w:val="-23"/>
          <w:w w:val="105"/>
        </w:rPr>
        <w:t> </w:t>
      </w:r>
      <w:r>
        <w:rPr>
          <w:color w:val="231F20"/>
          <w:w w:val="105"/>
        </w:rPr>
        <w:t>A.</w:t>
      </w:r>
      <w:r>
        <w:rPr>
          <w:color w:val="231F20"/>
          <w:spacing w:val="-20"/>
          <w:w w:val="105"/>
        </w:rPr>
        <w:t> </w:t>
      </w:r>
      <w:r>
        <w:rPr>
          <w:color w:val="231F20"/>
          <w:w w:val="105"/>
        </w:rPr>
        <w:t>(2010). “The</w:t>
      </w:r>
      <w:r>
        <w:rPr>
          <w:color w:val="231F20"/>
          <w:spacing w:val="-20"/>
          <w:w w:val="105"/>
        </w:rPr>
        <w:t> </w:t>
      </w:r>
      <w:r>
        <w:rPr>
          <w:color w:val="231F20"/>
          <w:w w:val="105"/>
        </w:rPr>
        <w:t>governance</w:t>
      </w:r>
      <w:r>
        <w:rPr>
          <w:color w:val="231F20"/>
          <w:spacing w:val="-20"/>
          <w:w w:val="105"/>
        </w:rPr>
        <w:t> </w:t>
      </w:r>
      <w:r>
        <w:rPr>
          <w:color w:val="231F20"/>
          <w:w w:val="105"/>
        </w:rPr>
        <w:t>and</w:t>
      </w:r>
      <w:r>
        <w:rPr>
          <w:color w:val="231F20"/>
          <w:spacing w:val="-20"/>
          <w:w w:val="105"/>
        </w:rPr>
        <w:t> </w:t>
      </w:r>
      <w:r>
        <w:rPr>
          <w:color w:val="231F20"/>
          <w:w w:val="105"/>
        </w:rPr>
        <w:t>performance</w:t>
      </w:r>
      <w:r>
        <w:rPr>
          <w:color w:val="231F20"/>
          <w:spacing w:val="-20"/>
          <w:w w:val="105"/>
        </w:rPr>
        <w:t> </w:t>
      </w:r>
      <w:r>
        <w:rPr>
          <w:color w:val="231F20"/>
          <w:w w:val="105"/>
        </w:rPr>
        <w:t>of</w:t>
      </w:r>
      <w:r>
        <w:rPr>
          <w:color w:val="231F20"/>
          <w:spacing w:val="-16"/>
          <w:w w:val="105"/>
        </w:rPr>
        <w:t> </w:t>
      </w:r>
      <w:r>
        <w:rPr>
          <w:color w:val="231F20"/>
          <w:w w:val="105"/>
        </w:rPr>
        <w:t>universities:</w:t>
      </w:r>
      <w:r>
        <w:rPr>
          <w:color w:val="231F20"/>
          <w:spacing w:val="-20"/>
          <w:w w:val="105"/>
        </w:rPr>
        <w:t> </w:t>
      </w:r>
      <w:r>
        <w:rPr>
          <w:color w:val="231F20"/>
          <w:w w:val="105"/>
        </w:rPr>
        <w:t>evidence</w:t>
      </w:r>
      <w:r>
        <w:rPr>
          <w:color w:val="231F20"/>
          <w:spacing w:val="-20"/>
          <w:w w:val="105"/>
        </w:rPr>
        <w:t> </w:t>
      </w:r>
      <w:r>
        <w:rPr>
          <w:color w:val="231F20"/>
          <w:w w:val="105"/>
        </w:rPr>
        <w:t>from Europe</w:t>
      </w:r>
      <w:r>
        <w:rPr>
          <w:color w:val="231F20"/>
          <w:spacing w:val="-23"/>
          <w:w w:val="105"/>
        </w:rPr>
        <w:t> </w:t>
      </w:r>
      <w:r>
        <w:rPr>
          <w:color w:val="231F20"/>
          <w:w w:val="105"/>
        </w:rPr>
        <w:t>and</w:t>
      </w:r>
      <w:r>
        <w:rPr>
          <w:color w:val="231F20"/>
          <w:spacing w:val="-23"/>
          <w:w w:val="105"/>
        </w:rPr>
        <w:t> </w:t>
      </w:r>
      <w:r>
        <w:rPr>
          <w:color w:val="231F20"/>
          <w:w w:val="105"/>
        </w:rPr>
        <w:t>the</w:t>
      </w:r>
      <w:r>
        <w:rPr>
          <w:color w:val="231F20"/>
          <w:spacing w:val="-23"/>
          <w:w w:val="105"/>
        </w:rPr>
        <w:t> </w:t>
      </w:r>
      <w:r>
        <w:rPr>
          <w:color w:val="231F20"/>
          <w:spacing w:val="-7"/>
          <w:w w:val="105"/>
        </w:rPr>
        <w:t>US”.</w:t>
      </w:r>
      <w:r>
        <w:rPr>
          <w:color w:val="231F20"/>
          <w:spacing w:val="-28"/>
          <w:w w:val="105"/>
        </w:rPr>
        <w:t> </w:t>
      </w:r>
      <w:r>
        <w:rPr>
          <w:i/>
          <w:color w:val="231F20"/>
          <w:w w:val="105"/>
        </w:rPr>
        <w:t>Economic</w:t>
      </w:r>
      <w:r>
        <w:rPr>
          <w:i/>
          <w:color w:val="231F20"/>
          <w:spacing w:val="-23"/>
          <w:w w:val="105"/>
        </w:rPr>
        <w:t> </w:t>
      </w:r>
      <w:r>
        <w:rPr>
          <w:i/>
          <w:color w:val="231F20"/>
          <w:spacing w:val="-4"/>
          <w:w w:val="105"/>
        </w:rPr>
        <w:t>Policy,</w:t>
      </w:r>
      <w:r>
        <w:rPr>
          <w:i/>
          <w:color w:val="231F20"/>
          <w:spacing w:val="-28"/>
          <w:w w:val="105"/>
        </w:rPr>
        <w:t> </w:t>
      </w:r>
      <w:r>
        <w:rPr>
          <w:color w:val="231F20"/>
          <w:spacing w:val="-3"/>
          <w:w w:val="105"/>
        </w:rPr>
        <w:t>Vol.</w:t>
      </w:r>
      <w:r>
        <w:rPr>
          <w:color w:val="231F20"/>
          <w:spacing w:val="-28"/>
          <w:w w:val="105"/>
        </w:rPr>
        <w:t> </w:t>
      </w:r>
      <w:r>
        <w:rPr>
          <w:i/>
          <w:color w:val="231F20"/>
          <w:w w:val="105"/>
        </w:rPr>
        <w:t>25</w:t>
      </w:r>
      <w:r>
        <w:rPr>
          <w:color w:val="231F20"/>
          <w:w w:val="105"/>
        </w:rPr>
        <w:t>,</w:t>
      </w:r>
      <w:r>
        <w:rPr>
          <w:color w:val="231F20"/>
          <w:spacing w:val="-28"/>
          <w:w w:val="105"/>
        </w:rPr>
        <w:t> </w:t>
      </w:r>
      <w:r>
        <w:rPr>
          <w:color w:val="231F20"/>
          <w:w w:val="105"/>
        </w:rPr>
        <w:t>Núm.</w:t>
      </w:r>
      <w:r>
        <w:rPr>
          <w:color w:val="231F20"/>
          <w:spacing w:val="-28"/>
          <w:w w:val="105"/>
        </w:rPr>
        <w:t> </w:t>
      </w:r>
      <w:r>
        <w:rPr>
          <w:color w:val="231F20"/>
          <w:w w:val="105"/>
        </w:rPr>
        <w:t>61,</w:t>
      </w:r>
      <w:r>
        <w:rPr>
          <w:color w:val="231F20"/>
          <w:spacing w:val="-28"/>
          <w:w w:val="105"/>
        </w:rPr>
        <w:t> </w:t>
      </w:r>
      <w:r>
        <w:rPr>
          <w:color w:val="231F20"/>
          <w:w w:val="105"/>
        </w:rPr>
        <w:t>pp.</w:t>
      </w:r>
      <w:r>
        <w:rPr>
          <w:color w:val="231F20"/>
          <w:spacing w:val="-28"/>
          <w:w w:val="105"/>
        </w:rPr>
        <w:t> </w:t>
      </w:r>
      <w:r>
        <w:rPr>
          <w:color w:val="231F20"/>
          <w:w w:val="105"/>
        </w:rPr>
        <w:t>7-59.</w:t>
      </w:r>
    </w:p>
    <w:p>
      <w:pPr>
        <w:spacing w:line="259" w:lineRule="auto" w:before="0"/>
        <w:ind w:left="854" w:right="121" w:hanging="738"/>
        <w:jc w:val="both"/>
        <w:rPr>
          <w:sz w:val="21"/>
        </w:rPr>
      </w:pPr>
      <w:r>
        <w:rPr>
          <w:color w:val="231F20"/>
          <w:w w:val="105"/>
          <w:sz w:val="21"/>
        </w:rPr>
        <w:t>Anninos, L. N. (2007). “The archetype of excellence in universities and </w:t>
      </w:r>
      <w:r>
        <w:rPr>
          <w:color w:val="231F20"/>
          <w:spacing w:val="-7"/>
          <w:w w:val="105"/>
          <w:sz w:val="21"/>
        </w:rPr>
        <w:t>TQM”.</w:t>
      </w:r>
      <w:r>
        <w:rPr>
          <w:color w:val="231F20"/>
          <w:spacing w:val="-13"/>
          <w:w w:val="105"/>
          <w:sz w:val="21"/>
        </w:rPr>
        <w:t> </w:t>
      </w:r>
      <w:r>
        <w:rPr>
          <w:i/>
          <w:color w:val="231F20"/>
          <w:w w:val="105"/>
          <w:sz w:val="21"/>
        </w:rPr>
        <w:t>Journal</w:t>
      </w:r>
      <w:r>
        <w:rPr>
          <w:i/>
          <w:color w:val="231F20"/>
          <w:spacing w:val="-7"/>
          <w:w w:val="105"/>
          <w:sz w:val="21"/>
        </w:rPr>
        <w:t> </w:t>
      </w:r>
      <w:r>
        <w:rPr>
          <w:i/>
          <w:color w:val="231F20"/>
          <w:w w:val="105"/>
          <w:sz w:val="21"/>
        </w:rPr>
        <w:t>of</w:t>
      </w:r>
      <w:r>
        <w:rPr>
          <w:i/>
          <w:color w:val="231F20"/>
          <w:spacing w:val="-3"/>
          <w:w w:val="105"/>
          <w:sz w:val="21"/>
        </w:rPr>
        <w:t> </w:t>
      </w:r>
      <w:r>
        <w:rPr>
          <w:i/>
          <w:color w:val="231F20"/>
          <w:w w:val="105"/>
          <w:sz w:val="21"/>
        </w:rPr>
        <w:t>Management</w:t>
      </w:r>
      <w:r>
        <w:rPr>
          <w:i/>
          <w:color w:val="231F20"/>
          <w:spacing w:val="-7"/>
          <w:w w:val="105"/>
          <w:sz w:val="21"/>
        </w:rPr>
        <w:t> </w:t>
      </w:r>
      <w:r>
        <w:rPr>
          <w:i/>
          <w:color w:val="231F20"/>
          <w:w w:val="105"/>
          <w:sz w:val="21"/>
        </w:rPr>
        <w:t>History,</w:t>
      </w:r>
      <w:r>
        <w:rPr>
          <w:i/>
          <w:color w:val="231F20"/>
          <w:spacing w:val="-13"/>
          <w:w w:val="105"/>
          <w:sz w:val="21"/>
        </w:rPr>
        <w:t> </w:t>
      </w:r>
      <w:r>
        <w:rPr>
          <w:color w:val="231F20"/>
          <w:spacing w:val="-3"/>
          <w:w w:val="105"/>
          <w:sz w:val="21"/>
        </w:rPr>
        <w:t>Vol.</w:t>
      </w:r>
      <w:r>
        <w:rPr>
          <w:color w:val="231F20"/>
          <w:spacing w:val="-12"/>
          <w:w w:val="105"/>
          <w:sz w:val="21"/>
        </w:rPr>
        <w:t> </w:t>
      </w:r>
      <w:r>
        <w:rPr>
          <w:i/>
          <w:color w:val="231F20"/>
          <w:w w:val="105"/>
          <w:sz w:val="21"/>
        </w:rPr>
        <w:t>12</w:t>
      </w:r>
      <w:r>
        <w:rPr>
          <w:color w:val="231F20"/>
          <w:w w:val="105"/>
          <w:sz w:val="21"/>
        </w:rPr>
        <w:t>,</w:t>
      </w:r>
      <w:r>
        <w:rPr>
          <w:color w:val="231F20"/>
          <w:spacing w:val="-13"/>
          <w:w w:val="105"/>
          <w:sz w:val="21"/>
        </w:rPr>
        <w:t> </w:t>
      </w:r>
      <w:r>
        <w:rPr>
          <w:color w:val="231F20"/>
          <w:w w:val="105"/>
          <w:sz w:val="21"/>
        </w:rPr>
        <w:t>Núm.</w:t>
      </w:r>
      <w:r>
        <w:rPr>
          <w:color w:val="231F20"/>
          <w:spacing w:val="-13"/>
          <w:w w:val="105"/>
          <w:sz w:val="21"/>
        </w:rPr>
        <w:t> </w:t>
      </w:r>
      <w:r>
        <w:rPr>
          <w:color w:val="231F20"/>
          <w:w w:val="105"/>
          <w:sz w:val="21"/>
        </w:rPr>
        <w:t>4,</w:t>
      </w:r>
      <w:r>
        <w:rPr>
          <w:color w:val="231F20"/>
          <w:spacing w:val="-13"/>
          <w:w w:val="105"/>
          <w:sz w:val="21"/>
        </w:rPr>
        <w:t> </w:t>
      </w:r>
      <w:r>
        <w:rPr>
          <w:color w:val="231F20"/>
          <w:w w:val="105"/>
          <w:sz w:val="21"/>
        </w:rPr>
        <w:t>pp.</w:t>
      </w:r>
      <w:r>
        <w:rPr>
          <w:color w:val="231F20"/>
          <w:spacing w:val="-13"/>
          <w:w w:val="105"/>
          <w:sz w:val="21"/>
        </w:rPr>
        <w:t> </w:t>
      </w:r>
      <w:r>
        <w:rPr>
          <w:color w:val="231F20"/>
          <w:w w:val="105"/>
          <w:sz w:val="21"/>
        </w:rPr>
        <w:t>307- 321.</w:t>
      </w:r>
    </w:p>
    <w:p>
      <w:pPr>
        <w:spacing w:line="259" w:lineRule="auto" w:before="0"/>
        <w:ind w:left="854" w:right="116" w:hanging="738"/>
        <w:jc w:val="both"/>
        <w:rPr>
          <w:sz w:val="21"/>
        </w:rPr>
      </w:pPr>
      <w:r>
        <w:rPr>
          <w:color w:val="231F20"/>
          <w:sz w:val="21"/>
        </w:rPr>
        <w:t>ANUIES. (2006). </w:t>
      </w:r>
      <w:r>
        <w:rPr>
          <w:i/>
          <w:color w:val="231F20"/>
          <w:sz w:val="21"/>
        </w:rPr>
        <w:t>Consolidación y Avance de la Educación Superior en </w:t>
      </w:r>
      <w:r>
        <w:rPr>
          <w:i/>
          <w:color w:val="231F20"/>
          <w:sz w:val="21"/>
        </w:rPr>
        <w:t>México: Elementos de Diagnóstico y Propuestas</w:t>
      </w:r>
      <w:r>
        <w:rPr>
          <w:color w:val="231F20"/>
          <w:sz w:val="21"/>
        </w:rPr>
        <w:t>. Asociacion Na- cional de Universidades e Instituciones de Educación Superior, México.</w:t>
      </w:r>
    </w:p>
    <w:p>
      <w:pPr>
        <w:pStyle w:val="BodyText"/>
        <w:spacing w:line="259" w:lineRule="auto"/>
        <w:ind w:left="854" w:right="115" w:hanging="738"/>
        <w:jc w:val="both"/>
      </w:pPr>
      <w:r>
        <w:rPr>
          <w:color w:val="231F20"/>
          <w:w w:val="105"/>
        </w:rPr>
        <w:t>Arena,</w:t>
      </w:r>
      <w:r>
        <w:rPr>
          <w:color w:val="231F20"/>
          <w:spacing w:val="-23"/>
          <w:w w:val="105"/>
        </w:rPr>
        <w:t> </w:t>
      </w:r>
      <w:r>
        <w:rPr>
          <w:color w:val="231F20"/>
          <w:w w:val="105"/>
        </w:rPr>
        <w:t>M.,</w:t>
      </w:r>
      <w:r>
        <w:rPr>
          <w:color w:val="231F20"/>
          <w:spacing w:val="-26"/>
          <w:w w:val="105"/>
        </w:rPr>
        <w:t> </w:t>
      </w:r>
      <w:r>
        <w:rPr>
          <w:color w:val="231F20"/>
          <w:w w:val="105"/>
        </w:rPr>
        <w:t>Arnaboldi,</w:t>
      </w:r>
      <w:r>
        <w:rPr>
          <w:color w:val="231F20"/>
          <w:spacing w:val="-23"/>
          <w:w w:val="105"/>
        </w:rPr>
        <w:t> </w:t>
      </w:r>
      <w:r>
        <w:rPr>
          <w:color w:val="231F20"/>
          <w:w w:val="105"/>
        </w:rPr>
        <w:t>M.,</w:t>
      </w:r>
      <w:r>
        <w:rPr>
          <w:color w:val="231F20"/>
          <w:spacing w:val="-26"/>
          <w:w w:val="105"/>
        </w:rPr>
        <w:t> </w:t>
      </w:r>
      <w:r>
        <w:rPr>
          <w:color w:val="231F20"/>
          <w:w w:val="105"/>
        </w:rPr>
        <w:t>Azzone,</w:t>
      </w:r>
      <w:r>
        <w:rPr>
          <w:color w:val="231F20"/>
          <w:spacing w:val="-23"/>
          <w:w w:val="105"/>
        </w:rPr>
        <w:t> </w:t>
      </w:r>
      <w:r>
        <w:rPr>
          <w:color w:val="231F20"/>
          <w:w w:val="105"/>
        </w:rPr>
        <w:t>G.,</w:t>
      </w:r>
      <w:r>
        <w:rPr>
          <w:color w:val="231F20"/>
          <w:spacing w:val="-23"/>
          <w:w w:val="105"/>
        </w:rPr>
        <w:t> </w:t>
      </w:r>
      <w:r>
        <w:rPr>
          <w:color w:val="231F20"/>
          <w:w w:val="105"/>
        </w:rPr>
        <w:t>y</w:t>
      </w:r>
      <w:r>
        <w:rPr>
          <w:color w:val="231F20"/>
          <w:spacing w:val="-19"/>
          <w:w w:val="105"/>
        </w:rPr>
        <w:t> </w:t>
      </w:r>
      <w:r>
        <w:rPr>
          <w:color w:val="231F20"/>
          <w:w w:val="105"/>
        </w:rPr>
        <w:t>Carlucci,</w:t>
      </w:r>
      <w:r>
        <w:rPr>
          <w:color w:val="231F20"/>
          <w:spacing w:val="-23"/>
          <w:w w:val="105"/>
        </w:rPr>
        <w:t> </w:t>
      </w:r>
      <w:r>
        <w:rPr>
          <w:color w:val="231F20"/>
          <w:spacing w:val="-16"/>
          <w:w w:val="105"/>
        </w:rPr>
        <w:t>P.</w:t>
      </w:r>
      <w:r>
        <w:rPr>
          <w:color w:val="231F20"/>
          <w:spacing w:val="-23"/>
          <w:w w:val="105"/>
        </w:rPr>
        <w:t> </w:t>
      </w:r>
      <w:r>
        <w:rPr>
          <w:color w:val="231F20"/>
          <w:w w:val="105"/>
        </w:rPr>
        <w:t>(2009).</w:t>
      </w:r>
      <w:r>
        <w:rPr>
          <w:color w:val="231F20"/>
          <w:spacing w:val="-23"/>
          <w:w w:val="105"/>
        </w:rPr>
        <w:t> </w:t>
      </w:r>
      <w:r>
        <w:rPr>
          <w:color w:val="231F20"/>
          <w:w w:val="105"/>
        </w:rPr>
        <w:t>“Developing</w:t>
      </w:r>
      <w:r>
        <w:rPr>
          <w:color w:val="231F20"/>
          <w:spacing w:val="-19"/>
          <w:w w:val="105"/>
        </w:rPr>
        <w:t> </w:t>
      </w:r>
      <w:r>
        <w:rPr>
          <w:color w:val="231F20"/>
          <w:w w:val="105"/>
        </w:rPr>
        <w:t>a Performance</w:t>
      </w:r>
      <w:r>
        <w:rPr>
          <w:color w:val="231F20"/>
          <w:spacing w:val="-28"/>
          <w:w w:val="105"/>
        </w:rPr>
        <w:t> </w:t>
      </w:r>
      <w:r>
        <w:rPr>
          <w:color w:val="231F20"/>
          <w:w w:val="105"/>
        </w:rPr>
        <w:t>Measurement</w:t>
      </w:r>
      <w:r>
        <w:rPr>
          <w:color w:val="231F20"/>
          <w:spacing w:val="-28"/>
          <w:w w:val="105"/>
        </w:rPr>
        <w:t> </w:t>
      </w:r>
      <w:r>
        <w:rPr>
          <w:color w:val="231F20"/>
          <w:w w:val="105"/>
        </w:rPr>
        <w:t>System</w:t>
      </w:r>
      <w:r>
        <w:rPr>
          <w:color w:val="231F20"/>
          <w:spacing w:val="-28"/>
          <w:w w:val="105"/>
        </w:rPr>
        <w:t> </w:t>
      </w:r>
      <w:r>
        <w:rPr>
          <w:color w:val="231F20"/>
          <w:w w:val="105"/>
        </w:rPr>
        <w:t>for</w:t>
      </w:r>
      <w:r>
        <w:rPr>
          <w:color w:val="231F20"/>
          <w:spacing w:val="-28"/>
          <w:w w:val="105"/>
        </w:rPr>
        <w:t> </w:t>
      </w:r>
      <w:r>
        <w:rPr>
          <w:color w:val="231F20"/>
          <w:w w:val="105"/>
        </w:rPr>
        <w:t>University</w:t>
      </w:r>
      <w:r>
        <w:rPr>
          <w:color w:val="231F20"/>
          <w:spacing w:val="-28"/>
          <w:w w:val="105"/>
        </w:rPr>
        <w:t> </w:t>
      </w:r>
      <w:r>
        <w:rPr>
          <w:color w:val="231F20"/>
          <w:w w:val="105"/>
        </w:rPr>
        <w:t>Central</w:t>
      </w:r>
      <w:r>
        <w:rPr>
          <w:color w:val="231F20"/>
          <w:spacing w:val="-30"/>
          <w:w w:val="105"/>
        </w:rPr>
        <w:t> </w:t>
      </w:r>
      <w:r>
        <w:rPr>
          <w:color w:val="231F20"/>
          <w:w w:val="105"/>
        </w:rPr>
        <w:t>Admin- istrative</w:t>
      </w:r>
      <w:r>
        <w:rPr>
          <w:color w:val="231F20"/>
          <w:spacing w:val="-39"/>
          <w:w w:val="105"/>
        </w:rPr>
        <w:t> </w:t>
      </w:r>
      <w:r>
        <w:rPr>
          <w:color w:val="231F20"/>
          <w:spacing w:val="-3"/>
          <w:w w:val="105"/>
        </w:rPr>
        <w:t>Services”.</w:t>
      </w:r>
      <w:r>
        <w:rPr>
          <w:color w:val="231F20"/>
          <w:spacing w:val="-43"/>
          <w:w w:val="105"/>
        </w:rPr>
        <w:t> </w:t>
      </w:r>
      <w:r>
        <w:rPr>
          <w:i/>
          <w:color w:val="231F20"/>
          <w:w w:val="105"/>
        </w:rPr>
        <w:t>Higher</w:t>
      </w:r>
      <w:r>
        <w:rPr>
          <w:i/>
          <w:color w:val="231F20"/>
          <w:spacing w:val="-39"/>
          <w:w w:val="105"/>
        </w:rPr>
        <w:t> </w:t>
      </w:r>
      <w:r>
        <w:rPr>
          <w:i/>
          <w:color w:val="231F20"/>
          <w:w w:val="105"/>
        </w:rPr>
        <w:t>Education</w:t>
      </w:r>
      <w:r>
        <w:rPr>
          <w:i/>
          <w:color w:val="231F20"/>
          <w:spacing w:val="-39"/>
          <w:w w:val="105"/>
        </w:rPr>
        <w:t> </w:t>
      </w:r>
      <w:r>
        <w:rPr>
          <w:i/>
          <w:color w:val="231F20"/>
          <w:w w:val="105"/>
        </w:rPr>
        <w:t>Quarterly,</w:t>
      </w:r>
      <w:r>
        <w:rPr>
          <w:i/>
          <w:color w:val="231F20"/>
          <w:spacing w:val="-43"/>
          <w:w w:val="105"/>
        </w:rPr>
        <w:t> </w:t>
      </w:r>
      <w:r>
        <w:rPr>
          <w:color w:val="231F20"/>
          <w:spacing w:val="-3"/>
          <w:w w:val="105"/>
        </w:rPr>
        <w:t>Vol.</w:t>
      </w:r>
      <w:r>
        <w:rPr>
          <w:color w:val="231F20"/>
          <w:spacing w:val="-43"/>
          <w:w w:val="105"/>
        </w:rPr>
        <w:t> </w:t>
      </w:r>
      <w:r>
        <w:rPr>
          <w:i/>
          <w:color w:val="231F20"/>
          <w:w w:val="105"/>
        </w:rPr>
        <w:t>63</w:t>
      </w:r>
      <w:r>
        <w:rPr>
          <w:color w:val="231F20"/>
          <w:w w:val="105"/>
        </w:rPr>
        <w:t>,</w:t>
      </w:r>
      <w:r>
        <w:rPr>
          <w:color w:val="231F20"/>
          <w:spacing w:val="-43"/>
          <w:w w:val="105"/>
        </w:rPr>
        <w:t> </w:t>
      </w:r>
      <w:r>
        <w:rPr>
          <w:color w:val="231F20"/>
          <w:w w:val="105"/>
        </w:rPr>
        <w:t>Núm.</w:t>
      </w:r>
      <w:r>
        <w:rPr>
          <w:color w:val="231F20"/>
          <w:spacing w:val="-43"/>
          <w:w w:val="105"/>
        </w:rPr>
        <w:t> </w:t>
      </w:r>
      <w:r>
        <w:rPr>
          <w:color w:val="231F20"/>
          <w:w w:val="105"/>
        </w:rPr>
        <w:t>3,</w:t>
      </w:r>
      <w:r>
        <w:rPr>
          <w:color w:val="231F20"/>
          <w:spacing w:val="-43"/>
          <w:w w:val="105"/>
        </w:rPr>
        <w:t> </w:t>
      </w:r>
      <w:r>
        <w:rPr>
          <w:color w:val="231F20"/>
          <w:w w:val="105"/>
        </w:rPr>
        <w:t>pp. 237-263.</w:t>
      </w:r>
    </w:p>
    <w:p>
      <w:pPr>
        <w:spacing w:line="259" w:lineRule="auto" w:before="0"/>
        <w:ind w:left="854" w:right="115" w:hanging="738"/>
        <w:jc w:val="both"/>
        <w:rPr>
          <w:sz w:val="21"/>
        </w:rPr>
      </w:pPr>
      <w:r>
        <w:rPr>
          <w:color w:val="231F20"/>
          <w:sz w:val="21"/>
        </w:rPr>
        <w:t>Argyris, C. (1960). “Organizational Effectiveness Under Stress” en: </w:t>
      </w:r>
      <w:r>
        <w:rPr>
          <w:i/>
          <w:color w:val="231F20"/>
          <w:sz w:val="21"/>
        </w:rPr>
        <w:t>Har- </w:t>
      </w:r>
      <w:r>
        <w:rPr>
          <w:i/>
          <w:color w:val="231F20"/>
          <w:sz w:val="21"/>
        </w:rPr>
        <w:t>vard Business Review, </w:t>
      </w:r>
      <w:r>
        <w:rPr>
          <w:color w:val="231F20"/>
          <w:sz w:val="21"/>
        </w:rPr>
        <w:t>Vol. </w:t>
      </w:r>
      <w:r>
        <w:rPr>
          <w:i/>
          <w:color w:val="231F20"/>
          <w:sz w:val="21"/>
        </w:rPr>
        <w:t>38</w:t>
      </w:r>
      <w:r>
        <w:rPr>
          <w:color w:val="231F20"/>
          <w:sz w:val="21"/>
        </w:rPr>
        <w:t>, Núm. 3, pp. 137-146.Barney, J. B. (1991a). “Firm Resources and Sustained Competitive Advantage”. </w:t>
      </w:r>
      <w:r>
        <w:rPr>
          <w:i/>
          <w:color w:val="231F20"/>
          <w:sz w:val="21"/>
        </w:rPr>
        <w:t>Journal of Management, </w:t>
      </w:r>
      <w:r>
        <w:rPr>
          <w:color w:val="231F20"/>
          <w:sz w:val="21"/>
        </w:rPr>
        <w:t>Vol. </w:t>
      </w:r>
      <w:r>
        <w:rPr>
          <w:i/>
          <w:color w:val="231F20"/>
          <w:sz w:val="21"/>
        </w:rPr>
        <w:t>17</w:t>
      </w:r>
      <w:r>
        <w:rPr>
          <w:color w:val="231F20"/>
          <w:sz w:val="21"/>
        </w:rPr>
        <w:t>, Núm. 1, pp.  99-120.</w:t>
      </w:r>
    </w:p>
    <w:p>
      <w:pPr>
        <w:pStyle w:val="BodyText"/>
        <w:spacing w:line="259" w:lineRule="auto"/>
        <w:ind w:left="854" w:right="121" w:hanging="738"/>
        <w:jc w:val="both"/>
      </w:pPr>
      <w:r>
        <w:rPr>
          <w:color w:val="231F20"/>
        </w:rPr>
        <w:t>Barney, J. B. (1991b). “Special Theory Forum The Resource-Based Model of the Firm: Origins, Implications, and Prospects”. </w:t>
      </w:r>
      <w:r>
        <w:rPr>
          <w:i/>
          <w:color w:val="231F20"/>
        </w:rPr>
        <w:t>Journal of Man- </w:t>
      </w:r>
      <w:r>
        <w:rPr>
          <w:i/>
          <w:color w:val="231F20"/>
        </w:rPr>
        <w:t>agement, </w:t>
      </w:r>
      <w:r>
        <w:rPr>
          <w:color w:val="231F20"/>
        </w:rPr>
        <w:t>Vol. </w:t>
      </w:r>
      <w:r>
        <w:rPr>
          <w:i/>
          <w:color w:val="231F20"/>
        </w:rPr>
        <w:t>17</w:t>
      </w:r>
      <w:r>
        <w:rPr>
          <w:color w:val="231F20"/>
        </w:rPr>
        <w:t>, Núm. 1, pp. 97-98.</w:t>
      </w:r>
    </w:p>
    <w:p>
      <w:pPr>
        <w:pStyle w:val="BodyText"/>
        <w:spacing w:line="259" w:lineRule="auto"/>
        <w:ind w:left="854" w:right="121" w:hanging="738"/>
        <w:jc w:val="both"/>
      </w:pPr>
      <w:r>
        <w:rPr>
          <w:color w:val="231F20"/>
        </w:rPr>
        <w:t>Barney, J. B., Ketchen, </w:t>
      </w:r>
      <w:r>
        <w:rPr>
          <w:color w:val="231F20"/>
          <w:spacing w:val="-6"/>
        </w:rPr>
        <w:t>D. </w:t>
      </w:r>
      <w:r>
        <w:rPr>
          <w:color w:val="231F20"/>
        </w:rPr>
        <w:t>J., y Wright, M. (2011). “The </w:t>
      </w:r>
      <w:r>
        <w:rPr>
          <w:color w:val="231F20"/>
          <w:spacing w:val="-3"/>
        </w:rPr>
        <w:t>Future </w:t>
      </w:r>
      <w:r>
        <w:rPr>
          <w:color w:val="231F20"/>
        </w:rPr>
        <w:t>of Re- source-Based Theory: Revitalization or </w:t>
      </w:r>
      <w:r>
        <w:rPr>
          <w:color w:val="231F20"/>
          <w:spacing w:val="-3"/>
        </w:rPr>
        <w:t>Decline?”. </w:t>
      </w:r>
      <w:r>
        <w:rPr>
          <w:i/>
          <w:color w:val="231F20"/>
        </w:rPr>
        <w:t>Journal of Man- </w:t>
      </w:r>
      <w:r>
        <w:rPr>
          <w:i/>
          <w:color w:val="231F20"/>
        </w:rPr>
        <w:t>agement, </w:t>
      </w:r>
      <w:r>
        <w:rPr>
          <w:color w:val="231F20"/>
          <w:spacing w:val="-3"/>
        </w:rPr>
        <w:t>Vol. </w:t>
      </w:r>
      <w:r>
        <w:rPr>
          <w:i/>
          <w:color w:val="231F20"/>
        </w:rPr>
        <w:t>37</w:t>
      </w:r>
      <w:r>
        <w:rPr>
          <w:color w:val="231F20"/>
        </w:rPr>
        <w:t>, Núm. 5, pp.</w:t>
      </w:r>
      <w:r>
        <w:rPr>
          <w:color w:val="231F20"/>
          <w:spacing w:val="50"/>
        </w:rPr>
        <w:t> </w:t>
      </w:r>
      <w:r>
        <w:rPr>
          <w:color w:val="231F20"/>
        </w:rPr>
        <w:t>1299-1315.</w:t>
      </w:r>
    </w:p>
    <w:p>
      <w:pPr>
        <w:spacing w:line="259" w:lineRule="auto" w:before="0"/>
        <w:ind w:left="854" w:right="121" w:hanging="738"/>
        <w:jc w:val="both"/>
        <w:rPr>
          <w:sz w:val="21"/>
        </w:rPr>
      </w:pPr>
      <w:r>
        <w:rPr>
          <w:color w:val="231F20"/>
          <w:sz w:val="21"/>
        </w:rPr>
        <w:t>Baumgartel, H. (1975). “Motivation and Organizational Effectiveness”. </w:t>
      </w:r>
      <w:r>
        <w:rPr>
          <w:i/>
          <w:color w:val="231F20"/>
          <w:sz w:val="21"/>
        </w:rPr>
        <w:t>Per- </w:t>
      </w:r>
      <w:r>
        <w:rPr>
          <w:i/>
          <w:color w:val="231F20"/>
          <w:sz w:val="21"/>
        </w:rPr>
        <w:t>sonnel Psychology, </w:t>
      </w:r>
      <w:r>
        <w:rPr>
          <w:color w:val="231F20"/>
          <w:sz w:val="21"/>
        </w:rPr>
        <w:t>Vol. </w:t>
      </w:r>
      <w:r>
        <w:rPr>
          <w:i/>
          <w:color w:val="231F20"/>
          <w:sz w:val="21"/>
        </w:rPr>
        <w:t>28</w:t>
      </w:r>
      <w:r>
        <w:rPr>
          <w:color w:val="231F20"/>
          <w:sz w:val="21"/>
        </w:rPr>
        <w:t>, Núm. 3, pp. 410-413.</w:t>
      </w:r>
    </w:p>
    <w:p>
      <w:pPr>
        <w:spacing w:line="259" w:lineRule="auto" w:before="0"/>
        <w:ind w:left="854" w:right="121" w:hanging="737"/>
        <w:jc w:val="both"/>
        <w:rPr>
          <w:sz w:val="21"/>
        </w:rPr>
      </w:pPr>
      <w:r>
        <w:rPr>
          <w:color w:val="231F20"/>
          <w:sz w:val="21"/>
        </w:rPr>
        <w:t>Benavides, C., y Quintana, C. (2003). </w:t>
      </w:r>
      <w:r>
        <w:rPr>
          <w:i/>
          <w:color w:val="231F20"/>
          <w:sz w:val="21"/>
        </w:rPr>
        <w:t>Gestión del Conocimiento y Calidad </w:t>
      </w:r>
      <w:r>
        <w:rPr>
          <w:i/>
          <w:color w:val="231F20"/>
          <w:sz w:val="21"/>
        </w:rPr>
        <w:t>Total</w:t>
      </w:r>
      <w:r>
        <w:rPr>
          <w:color w:val="231F20"/>
          <w:sz w:val="21"/>
        </w:rPr>
        <w:t>. Ediciones Díaz de Santos, S.A., Madrid.</w:t>
      </w:r>
    </w:p>
    <w:p>
      <w:pPr>
        <w:pStyle w:val="BodyText"/>
        <w:spacing w:line="259" w:lineRule="auto"/>
        <w:ind w:left="854" w:right="116" w:hanging="737"/>
        <w:jc w:val="both"/>
      </w:pPr>
      <w:r>
        <w:rPr>
          <w:color w:val="231F20"/>
          <w:w w:val="105"/>
        </w:rPr>
        <w:t>Capaldi,</w:t>
      </w:r>
      <w:r>
        <w:rPr>
          <w:color w:val="231F20"/>
          <w:spacing w:val="-16"/>
          <w:w w:val="105"/>
        </w:rPr>
        <w:t> </w:t>
      </w:r>
      <w:r>
        <w:rPr>
          <w:color w:val="231F20"/>
          <w:w w:val="105"/>
        </w:rPr>
        <w:t>E.</w:t>
      </w:r>
      <w:r>
        <w:rPr>
          <w:color w:val="231F20"/>
          <w:spacing w:val="-16"/>
          <w:w w:val="105"/>
        </w:rPr>
        <w:t> </w:t>
      </w:r>
      <w:r>
        <w:rPr>
          <w:color w:val="231F20"/>
          <w:spacing w:val="-4"/>
          <w:w w:val="105"/>
        </w:rPr>
        <w:t>D.,</w:t>
      </w:r>
      <w:r>
        <w:rPr>
          <w:color w:val="231F20"/>
          <w:spacing w:val="-16"/>
          <w:w w:val="105"/>
        </w:rPr>
        <w:t> </w:t>
      </w:r>
      <w:r>
        <w:rPr>
          <w:color w:val="231F20"/>
          <w:w w:val="105"/>
        </w:rPr>
        <w:t>y</w:t>
      </w:r>
      <w:r>
        <w:rPr>
          <w:color w:val="231F20"/>
          <w:spacing w:val="-15"/>
          <w:w w:val="105"/>
        </w:rPr>
        <w:t> </w:t>
      </w:r>
      <w:r>
        <w:rPr>
          <w:color w:val="231F20"/>
          <w:w w:val="105"/>
        </w:rPr>
        <w:t>Abbey,</w:t>
      </w:r>
      <w:r>
        <w:rPr>
          <w:color w:val="231F20"/>
          <w:spacing w:val="-16"/>
          <w:w w:val="105"/>
        </w:rPr>
        <w:t> </w:t>
      </w:r>
      <w:r>
        <w:rPr>
          <w:color w:val="231F20"/>
          <w:w w:val="105"/>
        </w:rPr>
        <w:t>C.</w:t>
      </w:r>
      <w:r>
        <w:rPr>
          <w:color w:val="231F20"/>
          <w:spacing w:val="-18"/>
          <w:w w:val="105"/>
        </w:rPr>
        <w:t> </w:t>
      </w:r>
      <w:r>
        <w:rPr>
          <w:color w:val="231F20"/>
          <w:spacing w:val="-7"/>
          <w:w w:val="105"/>
        </w:rPr>
        <w:t>W.</w:t>
      </w:r>
      <w:r>
        <w:rPr>
          <w:color w:val="231F20"/>
          <w:spacing w:val="-16"/>
          <w:w w:val="105"/>
        </w:rPr>
        <w:t> </w:t>
      </w:r>
      <w:r>
        <w:rPr>
          <w:color w:val="231F20"/>
          <w:w w:val="105"/>
        </w:rPr>
        <w:t>(2011).</w:t>
      </w:r>
      <w:r>
        <w:rPr>
          <w:color w:val="231F20"/>
          <w:spacing w:val="-16"/>
          <w:w w:val="105"/>
        </w:rPr>
        <w:t> </w:t>
      </w:r>
      <w:r>
        <w:rPr>
          <w:color w:val="231F20"/>
          <w:w w:val="105"/>
        </w:rPr>
        <w:t>“Performance</w:t>
      </w:r>
      <w:r>
        <w:rPr>
          <w:color w:val="231F20"/>
          <w:spacing w:val="-12"/>
          <w:w w:val="105"/>
        </w:rPr>
        <w:t> </w:t>
      </w:r>
      <w:r>
        <w:rPr>
          <w:color w:val="231F20"/>
          <w:w w:val="105"/>
        </w:rPr>
        <w:t>and</w:t>
      </w:r>
      <w:r>
        <w:rPr>
          <w:color w:val="231F20"/>
          <w:spacing w:val="-12"/>
          <w:w w:val="105"/>
        </w:rPr>
        <w:t> </w:t>
      </w:r>
      <w:r>
        <w:rPr>
          <w:color w:val="231F20"/>
          <w:w w:val="105"/>
        </w:rPr>
        <w:t>Costs</w:t>
      </w:r>
      <w:r>
        <w:rPr>
          <w:color w:val="231F20"/>
          <w:spacing w:val="-12"/>
          <w:w w:val="105"/>
        </w:rPr>
        <w:t> </w:t>
      </w:r>
      <w:r>
        <w:rPr>
          <w:color w:val="231F20"/>
          <w:w w:val="105"/>
        </w:rPr>
        <w:t>in</w:t>
      </w:r>
      <w:r>
        <w:rPr>
          <w:color w:val="231F20"/>
          <w:spacing w:val="-12"/>
          <w:w w:val="105"/>
        </w:rPr>
        <w:t> </w:t>
      </w:r>
      <w:r>
        <w:rPr>
          <w:color w:val="231F20"/>
          <w:w w:val="105"/>
        </w:rPr>
        <w:t>Higher Education:</w:t>
      </w:r>
      <w:r>
        <w:rPr>
          <w:color w:val="231F20"/>
          <w:spacing w:val="-12"/>
          <w:w w:val="105"/>
        </w:rPr>
        <w:t> </w:t>
      </w:r>
      <w:r>
        <w:rPr>
          <w:color w:val="231F20"/>
          <w:w w:val="105"/>
        </w:rPr>
        <w:t>A</w:t>
      </w:r>
      <w:r>
        <w:rPr>
          <w:color w:val="231F20"/>
          <w:spacing w:val="-12"/>
          <w:w w:val="105"/>
        </w:rPr>
        <w:t> </w:t>
      </w:r>
      <w:r>
        <w:rPr>
          <w:color w:val="231F20"/>
          <w:w w:val="105"/>
        </w:rPr>
        <w:t>Proposal</w:t>
      </w:r>
      <w:r>
        <w:rPr>
          <w:color w:val="231F20"/>
          <w:spacing w:val="-9"/>
          <w:w w:val="105"/>
        </w:rPr>
        <w:t> </w:t>
      </w:r>
      <w:r>
        <w:rPr>
          <w:color w:val="231F20"/>
          <w:w w:val="105"/>
        </w:rPr>
        <w:t>for</w:t>
      </w:r>
      <w:r>
        <w:rPr>
          <w:color w:val="231F20"/>
          <w:spacing w:val="-9"/>
          <w:w w:val="105"/>
        </w:rPr>
        <w:t> </w:t>
      </w:r>
      <w:r>
        <w:rPr>
          <w:color w:val="231F20"/>
          <w:w w:val="105"/>
        </w:rPr>
        <w:t>Better</w:t>
      </w:r>
      <w:r>
        <w:rPr>
          <w:color w:val="231F20"/>
          <w:spacing w:val="-9"/>
          <w:w w:val="105"/>
        </w:rPr>
        <w:t> </w:t>
      </w:r>
      <w:r>
        <w:rPr>
          <w:color w:val="231F20"/>
          <w:spacing w:val="-6"/>
          <w:w w:val="105"/>
        </w:rPr>
        <w:t>Data”.</w:t>
      </w:r>
      <w:r>
        <w:rPr>
          <w:color w:val="231F20"/>
          <w:spacing w:val="-15"/>
          <w:w w:val="105"/>
        </w:rPr>
        <w:t> </w:t>
      </w:r>
      <w:r>
        <w:rPr>
          <w:i/>
          <w:color w:val="231F20"/>
          <w:w w:val="105"/>
        </w:rPr>
        <w:t>Change,</w:t>
      </w:r>
      <w:r>
        <w:rPr>
          <w:i/>
          <w:color w:val="231F20"/>
          <w:spacing w:val="-15"/>
          <w:w w:val="105"/>
        </w:rPr>
        <w:t> </w:t>
      </w:r>
      <w:r>
        <w:rPr>
          <w:color w:val="231F20"/>
          <w:spacing w:val="-3"/>
          <w:w w:val="105"/>
        </w:rPr>
        <w:t>Vol.</w:t>
      </w:r>
      <w:r>
        <w:rPr>
          <w:color w:val="231F20"/>
          <w:spacing w:val="-15"/>
          <w:w w:val="105"/>
        </w:rPr>
        <w:t> </w:t>
      </w:r>
      <w:r>
        <w:rPr>
          <w:i/>
          <w:color w:val="231F20"/>
          <w:w w:val="105"/>
        </w:rPr>
        <w:t>43</w:t>
      </w:r>
      <w:r>
        <w:rPr>
          <w:color w:val="231F20"/>
          <w:w w:val="105"/>
        </w:rPr>
        <w:t>,</w:t>
      </w:r>
      <w:r>
        <w:rPr>
          <w:color w:val="231F20"/>
          <w:spacing w:val="-15"/>
          <w:w w:val="105"/>
        </w:rPr>
        <w:t> </w:t>
      </w:r>
      <w:r>
        <w:rPr>
          <w:color w:val="231F20"/>
          <w:w w:val="105"/>
        </w:rPr>
        <w:t>Núm.</w:t>
      </w:r>
      <w:r>
        <w:rPr>
          <w:color w:val="231F20"/>
          <w:spacing w:val="-15"/>
          <w:w w:val="105"/>
        </w:rPr>
        <w:t> </w:t>
      </w:r>
      <w:r>
        <w:rPr>
          <w:color w:val="231F20"/>
          <w:w w:val="105"/>
        </w:rPr>
        <w:t>2, pp.</w:t>
      </w:r>
      <w:r>
        <w:rPr>
          <w:color w:val="231F20"/>
          <w:spacing w:val="-20"/>
          <w:w w:val="105"/>
        </w:rPr>
        <w:t> </w:t>
      </w:r>
      <w:r>
        <w:rPr>
          <w:color w:val="231F20"/>
          <w:w w:val="105"/>
        </w:rPr>
        <w:t>8-15.</w:t>
      </w:r>
    </w:p>
    <w:p>
      <w:pPr>
        <w:pStyle w:val="BodyText"/>
        <w:spacing w:line="259" w:lineRule="auto"/>
        <w:ind w:left="854" w:right="115" w:hanging="738"/>
        <w:jc w:val="both"/>
      </w:pPr>
      <w:r>
        <w:rPr>
          <w:color w:val="231F20"/>
          <w:w w:val="105"/>
        </w:rPr>
        <w:t>Chawla, </w:t>
      </w:r>
      <w:r>
        <w:rPr>
          <w:color w:val="231F20"/>
          <w:spacing w:val="-4"/>
          <w:w w:val="105"/>
        </w:rPr>
        <w:t>D., </w:t>
      </w:r>
      <w:r>
        <w:rPr>
          <w:color w:val="231F20"/>
          <w:w w:val="105"/>
        </w:rPr>
        <w:t>y Joshi, H. (2011). </w:t>
      </w:r>
      <w:r>
        <w:rPr>
          <w:color w:val="231F20"/>
          <w:spacing w:val="-8"/>
          <w:w w:val="105"/>
        </w:rPr>
        <w:t>“A </w:t>
      </w:r>
      <w:r>
        <w:rPr>
          <w:color w:val="231F20"/>
          <w:w w:val="105"/>
        </w:rPr>
        <w:t>Comparative Study of Knowledge Management</w:t>
      </w:r>
      <w:r>
        <w:rPr>
          <w:color w:val="231F20"/>
          <w:spacing w:val="-10"/>
          <w:w w:val="105"/>
        </w:rPr>
        <w:t> </w:t>
      </w:r>
      <w:r>
        <w:rPr>
          <w:color w:val="231F20"/>
          <w:w w:val="105"/>
        </w:rPr>
        <w:t>Assessment</w:t>
      </w:r>
      <w:r>
        <w:rPr>
          <w:color w:val="231F20"/>
          <w:spacing w:val="-7"/>
          <w:w w:val="105"/>
        </w:rPr>
        <w:t> </w:t>
      </w:r>
      <w:r>
        <w:rPr>
          <w:color w:val="231F20"/>
          <w:w w:val="105"/>
        </w:rPr>
        <w:t>in</w:t>
      </w:r>
      <w:r>
        <w:rPr>
          <w:color w:val="231F20"/>
          <w:spacing w:val="-7"/>
          <w:w w:val="105"/>
        </w:rPr>
        <w:t> </w:t>
      </w:r>
      <w:r>
        <w:rPr>
          <w:color w:val="231F20"/>
          <w:w w:val="105"/>
        </w:rPr>
        <w:t>Business</w:t>
      </w:r>
      <w:r>
        <w:rPr>
          <w:color w:val="231F20"/>
          <w:spacing w:val="-7"/>
          <w:w w:val="105"/>
        </w:rPr>
        <w:t> </w:t>
      </w:r>
      <w:r>
        <w:rPr>
          <w:color w:val="231F20"/>
          <w:w w:val="105"/>
        </w:rPr>
        <w:t>Excellence</w:t>
      </w:r>
      <w:r>
        <w:rPr>
          <w:color w:val="231F20"/>
          <w:spacing w:val="-10"/>
          <w:w w:val="105"/>
        </w:rPr>
        <w:t> </w:t>
      </w:r>
      <w:r>
        <w:rPr>
          <w:color w:val="231F20"/>
          <w:w w:val="105"/>
        </w:rPr>
        <w:t>Awarded</w:t>
      </w:r>
      <w:r>
        <w:rPr>
          <w:color w:val="231F20"/>
          <w:spacing w:val="-7"/>
          <w:w w:val="105"/>
        </w:rPr>
        <w:t> </w:t>
      </w:r>
      <w:r>
        <w:rPr>
          <w:color w:val="231F20"/>
          <w:w w:val="105"/>
        </w:rPr>
        <w:t>and Non-awarded Organizations in </w:t>
      </w:r>
      <w:r>
        <w:rPr>
          <w:color w:val="231F20"/>
          <w:spacing w:val="-5"/>
          <w:w w:val="105"/>
        </w:rPr>
        <w:t>India”. </w:t>
      </w:r>
      <w:r>
        <w:rPr>
          <w:i/>
          <w:color w:val="231F20"/>
          <w:w w:val="105"/>
        </w:rPr>
        <w:t>Global Business Review, </w:t>
      </w:r>
      <w:r>
        <w:rPr>
          <w:color w:val="231F20"/>
          <w:spacing w:val="-3"/>
          <w:w w:val="105"/>
        </w:rPr>
        <w:t>Vol.</w:t>
      </w:r>
      <w:r>
        <w:rPr>
          <w:color w:val="231F20"/>
          <w:spacing w:val="-24"/>
          <w:w w:val="105"/>
        </w:rPr>
        <w:t> </w:t>
      </w:r>
      <w:r>
        <w:rPr>
          <w:i/>
          <w:color w:val="231F20"/>
          <w:w w:val="105"/>
        </w:rPr>
        <w:t>12</w:t>
      </w:r>
      <w:r>
        <w:rPr>
          <w:color w:val="231F20"/>
          <w:w w:val="105"/>
        </w:rPr>
        <w:t>,</w:t>
      </w:r>
      <w:r>
        <w:rPr>
          <w:color w:val="231F20"/>
          <w:spacing w:val="-24"/>
          <w:w w:val="105"/>
        </w:rPr>
        <w:t> </w:t>
      </w:r>
      <w:r>
        <w:rPr>
          <w:color w:val="231F20"/>
          <w:w w:val="105"/>
        </w:rPr>
        <w:t>Núm.</w:t>
      </w:r>
      <w:r>
        <w:rPr>
          <w:color w:val="231F20"/>
          <w:spacing w:val="-24"/>
          <w:w w:val="105"/>
        </w:rPr>
        <w:t> </w:t>
      </w:r>
      <w:r>
        <w:rPr>
          <w:color w:val="231F20"/>
          <w:w w:val="105"/>
        </w:rPr>
        <w:t>2,</w:t>
      </w:r>
      <w:r>
        <w:rPr>
          <w:color w:val="231F20"/>
          <w:spacing w:val="-24"/>
          <w:w w:val="105"/>
        </w:rPr>
        <w:t> </w:t>
      </w:r>
      <w:r>
        <w:rPr>
          <w:color w:val="231F20"/>
          <w:w w:val="105"/>
        </w:rPr>
        <w:t>pp.</w:t>
      </w:r>
      <w:r>
        <w:rPr>
          <w:color w:val="231F20"/>
          <w:spacing w:val="-24"/>
          <w:w w:val="105"/>
        </w:rPr>
        <w:t> </w:t>
      </w:r>
      <w:r>
        <w:rPr>
          <w:color w:val="231F20"/>
          <w:w w:val="105"/>
        </w:rPr>
        <w:t>279-295.</w:t>
      </w:r>
    </w:p>
    <w:p>
      <w:pPr>
        <w:spacing w:line="259" w:lineRule="auto" w:before="0"/>
        <w:ind w:left="854" w:right="122" w:hanging="738"/>
        <w:jc w:val="both"/>
        <w:rPr>
          <w:sz w:val="21"/>
        </w:rPr>
      </w:pPr>
      <w:r>
        <w:rPr>
          <w:color w:val="231F20"/>
          <w:sz w:val="21"/>
        </w:rPr>
        <w:t>Chiavenato, I. (2006). </w:t>
      </w:r>
      <w:r>
        <w:rPr>
          <w:i/>
          <w:color w:val="231F20"/>
          <w:sz w:val="21"/>
        </w:rPr>
        <w:t>Introducción a la </w:t>
      </w:r>
      <w:r>
        <w:rPr>
          <w:i/>
          <w:color w:val="231F20"/>
          <w:spacing w:val="-4"/>
          <w:sz w:val="21"/>
        </w:rPr>
        <w:t>Teoría </w:t>
      </w:r>
      <w:r>
        <w:rPr>
          <w:i/>
          <w:color w:val="231F20"/>
          <w:sz w:val="21"/>
        </w:rPr>
        <w:t>General de la Administra- </w:t>
      </w:r>
      <w:r>
        <w:rPr>
          <w:i/>
          <w:color w:val="231F20"/>
          <w:sz w:val="21"/>
        </w:rPr>
        <w:t>ción</w:t>
      </w:r>
      <w:r>
        <w:rPr>
          <w:color w:val="231F20"/>
          <w:sz w:val="21"/>
        </w:rPr>
        <w:t>. McGraw Hill Interamericana,</w:t>
      </w:r>
      <w:r>
        <w:rPr>
          <w:color w:val="231F20"/>
          <w:spacing w:val="57"/>
          <w:sz w:val="21"/>
        </w:rPr>
        <w:t> </w:t>
      </w:r>
      <w:r>
        <w:rPr>
          <w:color w:val="231F20"/>
          <w:sz w:val="21"/>
        </w:rPr>
        <w:t>México.</w:t>
      </w:r>
    </w:p>
    <w:p>
      <w:pPr>
        <w:spacing w:line="259" w:lineRule="auto" w:before="0"/>
        <w:ind w:left="854" w:right="122" w:hanging="738"/>
        <w:jc w:val="both"/>
        <w:rPr>
          <w:sz w:val="21"/>
        </w:rPr>
      </w:pPr>
      <w:r>
        <w:rPr>
          <w:color w:val="231F20"/>
          <w:w w:val="105"/>
          <w:sz w:val="21"/>
        </w:rPr>
        <w:t>Corma,</w:t>
      </w:r>
      <w:r>
        <w:rPr>
          <w:color w:val="231F20"/>
          <w:spacing w:val="-38"/>
          <w:w w:val="105"/>
          <w:sz w:val="21"/>
        </w:rPr>
        <w:t> </w:t>
      </w:r>
      <w:r>
        <w:rPr>
          <w:color w:val="231F20"/>
          <w:spacing w:val="-11"/>
          <w:w w:val="105"/>
          <w:sz w:val="21"/>
        </w:rPr>
        <w:t>F.</w:t>
      </w:r>
      <w:r>
        <w:rPr>
          <w:color w:val="231F20"/>
          <w:spacing w:val="-38"/>
          <w:w w:val="105"/>
          <w:sz w:val="21"/>
        </w:rPr>
        <w:t> </w:t>
      </w:r>
      <w:r>
        <w:rPr>
          <w:color w:val="231F20"/>
          <w:w w:val="105"/>
          <w:sz w:val="21"/>
        </w:rPr>
        <w:t>(2005).</w:t>
      </w:r>
      <w:r>
        <w:rPr>
          <w:color w:val="231F20"/>
          <w:spacing w:val="-38"/>
          <w:w w:val="105"/>
          <w:sz w:val="21"/>
        </w:rPr>
        <w:t> </w:t>
      </w:r>
      <w:r>
        <w:rPr>
          <w:i/>
          <w:color w:val="231F20"/>
          <w:w w:val="105"/>
          <w:sz w:val="21"/>
        </w:rPr>
        <w:t>Aplicaciones</w:t>
      </w:r>
      <w:r>
        <w:rPr>
          <w:i/>
          <w:color w:val="231F20"/>
          <w:spacing w:val="-34"/>
          <w:w w:val="105"/>
          <w:sz w:val="21"/>
        </w:rPr>
        <w:t> </w:t>
      </w:r>
      <w:r>
        <w:rPr>
          <w:i/>
          <w:color w:val="231F20"/>
          <w:w w:val="105"/>
          <w:sz w:val="21"/>
        </w:rPr>
        <w:t>prácticas</w:t>
      </w:r>
      <w:r>
        <w:rPr>
          <w:i/>
          <w:color w:val="231F20"/>
          <w:spacing w:val="-34"/>
          <w:w w:val="105"/>
          <w:sz w:val="21"/>
        </w:rPr>
        <w:t> </w:t>
      </w:r>
      <w:r>
        <w:rPr>
          <w:i/>
          <w:color w:val="231F20"/>
          <w:w w:val="105"/>
          <w:sz w:val="21"/>
        </w:rPr>
        <w:t>del</w:t>
      </w:r>
      <w:r>
        <w:rPr>
          <w:i/>
          <w:color w:val="231F20"/>
          <w:spacing w:val="-34"/>
          <w:w w:val="105"/>
          <w:sz w:val="21"/>
        </w:rPr>
        <w:t> </w:t>
      </w:r>
      <w:r>
        <w:rPr>
          <w:i/>
          <w:color w:val="231F20"/>
          <w:w w:val="105"/>
          <w:sz w:val="21"/>
        </w:rPr>
        <w:t>modelo</w:t>
      </w:r>
      <w:r>
        <w:rPr>
          <w:i/>
          <w:color w:val="231F20"/>
          <w:spacing w:val="-34"/>
          <w:w w:val="105"/>
          <w:sz w:val="21"/>
        </w:rPr>
        <w:t> </w:t>
      </w:r>
      <w:r>
        <w:rPr>
          <w:i/>
          <w:color w:val="231F20"/>
          <w:w w:val="105"/>
          <w:sz w:val="21"/>
        </w:rPr>
        <w:t>EFQM</w:t>
      </w:r>
      <w:r>
        <w:rPr>
          <w:i/>
          <w:color w:val="231F20"/>
          <w:spacing w:val="-34"/>
          <w:w w:val="105"/>
          <w:sz w:val="21"/>
        </w:rPr>
        <w:t> </w:t>
      </w:r>
      <w:r>
        <w:rPr>
          <w:i/>
          <w:color w:val="231F20"/>
          <w:w w:val="105"/>
          <w:sz w:val="21"/>
        </w:rPr>
        <w:t>de</w:t>
      </w:r>
      <w:r>
        <w:rPr>
          <w:i/>
          <w:color w:val="231F20"/>
          <w:spacing w:val="-34"/>
          <w:w w:val="105"/>
          <w:sz w:val="21"/>
        </w:rPr>
        <w:t> </w:t>
      </w:r>
      <w:r>
        <w:rPr>
          <w:i/>
          <w:color w:val="231F20"/>
          <w:w w:val="105"/>
          <w:sz w:val="21"/>
        </w:rPr>
        <w:t>Excelencia </w:t>
      </w:r>
      <w:r>
        <w:rPr>
          <w:i/>
          <w:color w:val="231F20"/>
          <w:sz w:val="21"/>
        </w:rPr>
        <w:t>en</w:t>
      </w:r>
      <w:r>
        <w:rPr>
          <w:i/>
          <w:color w:val="231F20"/>
          <w:spacing w:val="-9"/>
          <w:sz w:val="21"/>
        </w:rPr>
        <w:t> </w:t>
      </w:r>
      <w:r>
        <w:rPr>
          <w:i/>
          <w:color w:val="231F20"/>
          <w:sz w:val="21"/>
        </w:rPr>
        <w:t>PYMES</w:t>
      </w:r>
      <w:r>
        <w:rPr>
          <w:color w:val="231F20"/>
          <w:sz w:val="21"/>
        </w:rPr>
        <w:t>.</w:t>
      </w:r>
      <w:r>
        <w:rPr>
          <w:color w:val="231F20"/>
          <w:spacing w:val="-16"/>
          <w:sz w:val="21"/>
        </w:rPr>
        <w:t> </w:t>
      </w:r>
      <w:r>
        <w:rPr>
          <w:color w:val="231F20"/>
          <w:sz w:val="21"/>
        </w:rPr>
        <w:t>Ediciones</w:t>
      </w:r>
      <w:r>
        <w:rPr>
          <w:color w:val="231F20"/>
          <w:spacing w:val="-9"/>
          <w:sz w:val="21"/>
        </w:rPr>
        <w:t> </w:t>
      </w:r>
      <w:r>
        <w:rPr>
          <w:color w:val="231F20"/>
          <w:sz w:val="21"/>
        </w:rPr>
        <w:t>Díaz</w:t>
      </w:r>
      <w:r>
        <w:rPr>
          <w:color w:val="231F20"/>
          <w:spacing w:val="-9"/>
          <w:sz w:val="21"/>
        </w:rPr>
        <w:t> </w:t>
      </w:r>
      <w:r>
        <w:rPr>
          <w:color w:val="231F20"/>
          <w:sz w:val="21"/>
        </w:rPr>
        <w:t>de</w:t>
      </w:r>
      <w:r>
        <w:rPr>
          <w:color w:val="231F20"/>
          <w:spacing w:val="-9"/>
          <w:sz w:val="21"/>
        </w:rPr>
        <w:t> </w:t>
      </w:r>
      <w:r>
        <w:rPr>
          <w:color w:val="231F20"/>
          <w:sz w:val="21"/>
        </w:rPr>
        <w:t>Santos,</w:t>
      </w:r>
      <w:r>
        <w:rPr>
          <w:color w:val="231F20"/>
          <w:spacing w:val="-16"/>
          <w:sz w:val="21"/>
        </w:rPr>
        <w:t> </w:t>
      </w:r>
      <w:r>
        <w:rPr>
          <w:color w:val="231F20"/>
          <w:sz w:val="21"/>
        </w:rPr>
        <w:t>Madrid.</w:t>
      </w:r>
    </w:p>
    <w:p>
      <w:pPr>
        <w:spacing w:after="0" w:line="259" w:lineRule="auto"/>
        <w:jc w:val="both"/>
        <w:rPr>
          <w:sz w:val="21"/>
        </w:rPr>
        <w:sectPr>
          <w:pgSz w:w="9640" w:h="13890"/>
          <w:pgMar w:top="0" w:bottom="280" w:left="1300" w:right="1180"/>
        </w:sectPr>
      </w:pPr>
    </w:p>
    <w:p>
      <w:pPr>
        <w:spacing w:line="259" w:lineRule="auto" w:before="64"/>
        <w:ind w:left="841" w:right="114" w:hanging="738"/>
        <w:jc w:val="both"/>
        <w:rPr>
          <w:sz w:val="21"/>
        </w:rPr>
      </w:pPr>
      <w:r>
        <w:rPr>
          <w:color w:val="231F20"/>
          <w:spacing w:val="-4"/>
          <w:w w:val="105"/>
          <w:sz w:val="21"/>
        </w:rPr>
        <w:t>Cortés,</w:t>
      </w:r>
      <w:r>
        <w:rPr>
          <w:color w:val="231F20"/>
          <w:spacing w:val="-40"/>
          <w:w w:val="105"/>
          <w:sz w:val="21"/>
        </w:rPr>
        <w:t> </w:t>
      </w:r>
      <w:r>
        <w:rPr>
          <w:color w:val="231F20"/>
          <w:w w:val="105"/>
          <w:sz w:val="21"/>
        </w:rPr>
        <w:t>L.</w:t>
      </w:r>
      <w:r>
        <w:rPr>
          <w:color w:val="231F20"/>
          <w:spacing w:val="-40"/>
          <w:w w:val="105"/>
          <w:sz w:val="21"/>
        </w:rPr>
        <w:t> </w:t>
      </w:r>
      <w:r>
        <w:rPr>
          <w:color w:val="231F20"/>
          <w:w w:val="105"/>
          <w:sz w:val="21"/>
        </w:rPr>
        <w:t>M.</w:t>
      </w:r>
      <w:r>
        <w:rPr>
          <w:color w:val="231F20"/>
          <w:spacing w:val="-40"/>
          <w:w w:val="105"/>
          <w:sz w:val="21"/>
        </w:rPr>
        <w:t> </w:t>
      </w:r>
      <w:r>
        <w:rPr>
          <w:color w:val="231F20"/>
          <w:w w:val="105"/>
          <w:sz w:val="21"/>
        </w:rPr>
        <w:t>de</w:t>
      </w:r>
      <w:r>
        <w:rPr>
          <w:color w:val="231F20"/>
          <w:spacing w:val="-38"/>
          <w:w w:val="105"/>
          <w:sz w:val="21"/>
        </w:rPr>
        <w:t> </w:t>
      </w:r>
      <w:r>
        <w:rPr>
          <w:color w:val="231F20"/>
          <w:w w:val="105"/>
          <w:sz w:val="21"/>
        </w:rPr>
        <w:t>J.</w:t>
      </w:r>
      <w:r>
        <w:rPr>
          <w:color w:val="231F20"/>
          <w:spacing w:val="-40"/>
          <w:w w:val="105"/>
          <w:sz w:val="21"/>
        </w:rPr>
        <w:t> </w:t>
      </w:r>
      <w:r>
        <w:rPr>
          <w:color w:val="231F20"/>
          <w:spacing w:val="-4"/>
          <w:w w:val="105"/>
          <w:sz w:val="21"/>
        </w:rPr>
        <w:t>(2001).</w:t>
      </w:r>
      <w:r>
        <w:rPr>
          <w:color w:val="231F20"/>
          <w:spacing w:val="-40"/>
          <w:w w:val="105"/>
          <w:sz w:val="21"/>
        </w:rPr>
        <w:t> </w:t>
      </w:r>
      <w:r>
        <w:rPr>
          <w:i/>
          <w:color w:val="231F20"/>
          <w:spacing w:val="-4"/>
          <w:w w:val="105"/>
          <w:sz w:val="21"/>
        </w:rPr>
        <w:t>Diagnóstico</w:t>
      </w:r>
      <w:r>
        <w:rPr>
          <w:i/>
          <w:color w:val="231F20"/>
          <w:spacing w:val="-36"/>
          <w:w w:val="105"/>
          <w:sz w:val="21"/>
        </w:rPr>
        <w:t> </w:t>
      </w:r>
      <w:r>
        <w:rPr>
          <w:i/>
          <w:color w:val="231F20"/>
          <w:spacing w:val="-4"/>
          <w:w w:val="105"/>
          <w:sz w:val="21"/>
        </w:rPr>
        <w:t>organizacional</w:t>
      </w:r>
      <w:r>
        <w:rPr>
          <w:i/>
          <w:color w:val="231F20"/>
          <w:spacing w:val="-36"/>
          <w:w w:val="105"/>
          <w:sz w:val="21"/>
        </w:rPr>
        <w:t> </w:t>
      </w:r>
      <w:r>
        <w:rPr>
          <w:i/>
          <w:color w:val="231F20"/>
          <w:w w:val="105"/>
          <w:sz w:val="21"/>
        </w:rPr>
        <w:t>de</w:t>
      </w:r>
      <w:r>
        <w:rPr>
          <w:i/>
          <w:color w:val="231F20"/>
          <w:spacing w:val="-36"/>
          <w:w w:val="105"/>
          <w:sz w:val="21"/>
        </w:rPr>
        <w:t> </w:t>
      </w:r>
      <w:r>
        <w:rPr>
          <w:i/>
          <w:color w:val="231F20"/>
          <w:w w:val="105"/>
          <w:sz w:val="21"/>
        </w:rPr>
        <w:t>la</w:t>
      </w:r>
      <w:r>
        <w:rPr>
          <w:i/>
          <w:color w:val="231F20"/>
          <w:spacing w:val="-36"/>
          <w:w w:val="105"/>
          <w:sz w:val="21"/>
        </w:rPr>
        <w:t> </w:t>
      </w:r>
      <w:r>
        <w:rPr>
          <w:i/>
          <w:color w:val="231F20"/>
          <w:spacing w:val="-5"/>
          <w:w w:val="105"/>
          <w:sz w:val="21"/>
        </w:rPr>
        <w:t>Facultad</w:t>
      </w:r>
      <w:r>
        <w:rPr>
          <w:i/>
          <w:color w:val="231F20"/>
          <w:spacing w:val="-36"/>
          <w:w w:val="105"/>
          <w:sz w:val="21"/>
        </w:rPr>
        <w:t> </w:t>
      </w:r>
      <w:r>
        <w:rPr>
          <w:i/>
          <w:color w:val="231F20"/>
          <w:w w:val="105"/>
          <w:sz w:val="21"/>
        </w:rPr>
        <w:t>de</w:t>
      </w:r>
      <w:r>
        <w:rPr>
          <w:i/>
          <w:color w:val="231F20"/>
          <w:spacing w:val="-36"/>
          <w:w w:val="105"/>
          <w:sz w:val="21"/>
        </w:rPr>
        <w:t> </w:t>
      </w:r>
      <w:r>
        <w:rPr>
          <w:i/>
          <w:color w:val="231F20"/>
          <w:spacing w:val="-4"/>
          <w:w w:val="105"/>
          <w:sz w:val="21"/>
        </w:rPr>
        <w:t>Con- </w:t>
      </w:r>
      <w:r>
        <w:rPr>
          <w:i/>
          <w:color w:val="231F20"/>
          <w:spacing w:val="-4"/>
          <w:w w:val="105"/>
          <w:sz w:val="21"/>
        </w:rPr>
        <w:t>taduría</w:t>
      </w:r>
      <w:r>
        <w:rPr>
          <w:i/>
          <w:color w:val="231F20"/>
          <w:spacing w:val="-13"/>
          <w:w w:val="105"/>
          <w:sz w:val="21"/>
        </w:rPr>
        <w:t> </w:t>
      </w:r>
      <w:r>
        <w:rPr>
          <w:i/>
          <w:color w:val="231F20"/>
          <w:w w:val="105"/>
          <w:sz w:val="21"/>
        </w:rPr>
        <w:t>y</w:t>
      </w:r>
      <w:r>
        <w:rPr>
          <w:i/>
          <w:color w:val="231F20"/>
          <w:spacing w:val="-16"/>
          <w:w w:val="105"/>
          <w:sz w:val="21"/>
        </w:rPr>
        <w:t> </w:t>
      </w:r>
      <w:r>
        <w:rPr>
          <w:i/>
          <w:color w:val="231F20"/>
          <w:spacing w:val="-4"/>
          <w:w w:val="105"/>
          <w:sz w:val="21"/>
        </w:rPr>
        <w:t>Administración</w:t>
      </w:r>
      <w:r>
        <w:rPr>
          <w:i/>
          <w:color w:val="231F20"/>
          <w:spacing w:val="-13"/>
          <w:w w:val="105"/>
          <w:sz w:val="21"/>
        </w:rPr>
        <w:t> </w:t>
      </w:r>
      <w:r>
        <w:rPr>
          <w:i/>
          <w:color w:val="231F20"/>
          <w:w w:val="105"/>
          <w:sz w:val="21"/>
        </w:rPr>
        <w:t>de</w:t>
      </w:r>
      <w:r>
        <w:rPr>
          <w:i/>
          <w:color w:val="231F20"/>
          <w:spacing w:val="-13"/>
          <w:w w:val="105"/>
          <w:sz w:val="21"/>
        </w:rPr>
        <w:t> </w:t>
      </w:r>
      <w:r>
        <w:rPr>
          <w:i/>
          <w:color w:val="231F20"/>
          <w:w w:val="105"/>
          <w:sz w:val="21"/>
        </w:rPr>
        <w:t>la</w:t>
      </w:r>
      <w:r>
        <w:rPr>
          <w:i/>
          <w:color w:val="231F20"/>
          <w:spacing w:val="-13"/>
          <w:w w:val="105"/>
          <w:sz w:val="21"/>
        </w:rPr>
        <w:t> </w:t>
      </w:r>
      <w:r>
        <w:rPr>
          <w:i/>
          <w:color w:val="231F20"/>
          <w:spacing w:val="-4"/>
          <w:w w:val="105"/>
          <w:sz w:val="21"/>
        </w:rPr>
        <w:t>UAEM</w:t>
      </w:r>
      <w:r>
        <w:rPr>
          <w:i/>
          <w:color w:val="231F20"/>
          <w:spacing w:val="-13"/>
          <w:w w:val="105"/>
          <w:sz w:val="21"/>
        </w:rPr>
        <w:t> </w:t>
      </w:r>
      <w:r>
        <w:rPr>
          <w:i/>
          <w:color w:val="231F20"/>
          <w:spacing w:val="-4"/>
          <w:w w:val="105"/>
          <w:sz w:val="21"/>
        </w:rPr>
        <w:t>(1999-2000),</w:t>
      </w:r>
      <w:r>
        <w:rPr>
          <w:i/>
          <w:color w:val="231F20"/>
          <w:spacing w:val="-18"/>
          <w:w w:val="105"/>
          <w:sz w:val="21"/>
        </w:rPr>
        <w:t> </w:t>
      </w:r>
      <w:r>
        <w:rPr>
          <w:i/>
          <w:color w:val="231F20"/>
          <w:w w:val="105"/>
          <w:sz w:val="21"/>
        </w:rPr>
        <w:t>a</w:t>
      </w:r>
      <w:r>
        <w:rPr>
          <w:i/>
          <w:color w:val="231F20"/>
          <w:spacing w:val="-13"/>
          <w:w w:val="105"/>
          <w:sz w:val="21"/>
        </w:rPr>
        <w:t> </w:t>
      </w:r>
      <w:r>
        <w:rPr>
          <w:i/>
          <w:color w:val="231F20"/>
          <w:spacing w:val="-4"/>
          <w:w w:val="105"/>
          <w:sz w:val="21"/>
        </w:rPr>
        <w:t>partir</w:t>
      </w:r>
      <w:r>
        <w:rPr>
          <w:i/>
          <w:color w:val="231F20"/>
          <w:spacing w:val="-13"/>
          <w:w w:val="105"/>
          <w:sz w:val="21"/>
        </w:rPr>
        <w:t> </w:t>
      </w:r>
      <w:r>
        <w:rPr>
          <w:i/>
          <w:color w:val="231F20"/>
          <w:spacing w:val="-3"/>
          <w:w w:val="105"/>
          <w:sz w:val="21"/>
        </w:rPr>
        <w:t>del</w:t>
      </w:r>
      <w:r>
        <w:rPr>
          <w:i/>
          <w:color w:val="231F20"/>
          <w:spacing w:val="-13"/>
          <w:w w:val="105"/>
          <w:sz w:val="21"/>
        </w:rPr>
        <w:t> </w:t>
      </w:r>
      <w:r>
        <w:rPr>
          <w:i/>
          <w:color w:val="231F20"/>
          <w:spacing w:val="-3"/>
          <w:w w:val="105"/>
          <w:sz w:val="21"/>
        </w:rPr>
        <w:t>Mo- delo</w:t>
      </w:r>
      <w:r>
        <w:rPr>
          <w:i/>
          <w:color w:val="231F20"/>
          <w:spacing w:val="-38"/>
          <w:w w:val="105"/>
          <w:sz w:val="21"/>
        </w:rPr>
        <w:t> </w:t>
      </w:r>
      <w:r>
        <w:rPr>
          <w:i/>
          <w:color w:val="231F20"/>
          <w:spacing w:val="-4"/>
          <w:w w:val="105"/>
          <w:sz w:val="21"/>
        </w:rPr>
        <w:t>Europeo</w:t>
      </w:r>
      <w:r>
        <w:rPr>
          <w:i/>
          <w:color w:val="231F20"/>
          <w:spacing w:val="-38"/>
          <w:w w:val="105"/>
          <w:sz w:val="21"/>
        </w:rPr>
        <w:t> </w:t>
      </w:r>
      <w:r>
        <w:rPr>
          <w:i/>
          <w:color w:val="231F20"/>
          <w:spacing w:val="-4"/>
          <w:w w:val="105"/>
          <w:sz w:val="21"/>
        </w:rPr>
        <w:t>para</w:t>
      </w:r>
      <w:r>
        <w:rPr>
          <w:i/>
          <w:color w:val="231F20"/>
          <w:spacing w:val="-38"/>
          <w:w w:val="105"/>
          <w:sz w:val="21"/>
        </w:rPr>
        <w:t> </w:t>
      </w:r>
      <w:r>
        <w:rPr>
          <w:i/>
          <w:color w:val="231F20"/>
          <w:w w:val="105"/>
          <w:sz w:val="21"/>
        </w:rPr>
        <w:t>la</w:t>
      </w:r>
      <w:r>
        <w:rPr>
          <w:i/>
          <w:color w:val="231F20"/>
          <w:spacing w:val="-38"/>
          <w:w w:val="105"/>
          <w:sz w:val="21"/>
        </w:rPr>
        <w:t> </w:t>
      </w:r>
      <w:r>
        <w:rPr>
          <w:i/>
          <w:color w:val="231F20"/>
          <w:spacing w:val="-4"/>
          <w:w w:val="105"/>
          <w:sz w:val="21"/>
        </w:rPr>
        <w:t>Gestión</w:t>
      </w:r>
      <w:r>
        <w:rPr>
          <w:i/>
          <w:color w:val="231F20"/>
          <w:spacing w:val="-38"/>
          <w:w w:val="105"/>
          <w:sz w:val="21"/>
        </w:rPr>
        <w:t> </w:t>
      </w:r>
      <w:r>
        <w:rPr>
          <w:i/>
          <w:color w:val="231F20"/>
          <w:w w:val="105"/>
          <w:sz w:val="21"/>
        </w:rPr>
        <w:t>de</w:t>
      </w:r>
      <w:r>
        <w:rPr>
          <w:i/>
          <w:color w:val="231F20"/>
          <w:spacing w:val="-38"/>
          <w:w w:val="105"/>
          <w:sz w:val="21"/>
        </w:rPr>
        <w:t> </w:t>
      </w:r>
      <w:r>
        <w:rPr>
          <w:i/>
          <w:color w:val="231F20"/>
          <w:w w:val="105"/>
          <w:sz w:val="21"/>
        </w:rPr>
        <w:t>la</w:t>
      </w:r>
      <w:r>
        <w:rPr>
          <w:i/>
          <w:color w:val="231F20"/>
          <w:spacing w:val="-38"/>
          <w:w w:val="105"/>
          <w:sz w:val="21"/>
        </w:rPr>
        <w:t> </w:t>
      </w:r>
      <w:r>
        <w:rPr>
          <w:i/>
          <w:color w:val="231F20"/>
          <w:spacing w:val="-4"/>
          <w:w w:val="105"/>
          <w:sz w:val="21"/>
        </w:rPr>
        <w:t>Calidad</w:t>
      </w:r>
      <w:r>
        <w:rPr>
          <w:i/>
          <w:color w:val="231F20"/>
          <w:spacing w:val="-38"/>
          <w:w w:val="105"/>
          <w:sz w:val="21"/>
        </w:rPr>
        <w:t> </w:t>
      </w:r>
      <w:r>
        <w:rPr>
          <w:i/>
          <w:color w:val="231F20"/>
          <w:spacing w:val="-4"/>
          <w:w w:val="105"/>
          <w:sz w:val="21"/>
        </w:rPr>
        <w:t>(EFQM).</w:t>
      </w:r>
      <w:r>
        <w:rPr>
          <w:i/>
          <w:color w:val="231F20"/>
          <w:spacing w:val="-38"/>
          <w:w w:val="105"/>
          <w:sz w:val="21"/>
        </w:rPr>
        <w:t> </w:t>
      </w:r>
      <w:r>
        <w:rPr>
          <w:color w:val="231F20"/>
          <w:spacing w:val="-4"/>
          <w:w w:val="105"/>
          <w:sz w:val="21"/>
        </w:rPr>
        <w:t>Maestría</w:t>
      </w:r>
      <w:r>
        <w:rPr>
          <w:color w:val="231F20"/>
          <w:spacing w:val="-38"/>
          <w:w w:val="105"/>
          <w:sz w:val="21"/>
        </w:rPr>
        <w:t> </w:t>
      </w:r>
      <w:r>
        <w:rPr>
          <w:color w:val="231F20"/>
          <w:w w:val="105"/>
          <w:sz w:val="21"/>
        </w:rPr>
        <w:t>en</w:t>
      </w:r>
      <w:r>
        <w:rPr>
          <w:color w:val="231F20"/>
          <w:spacing w:val="-41"/>
          <w:w w:val="105"/>
          <w:sz w:val="21"/>
        </w:rPr>
        <w:t> </w:t>
      </w:r>
      <w:r>
        <w:rPr>
          <w:color w:val="231F20"/>
          <w:spacing w:val="-3"/>
          <w:w w:val="105"/>
          <w:sz w:val="21"/>
        </w:rPr>
        <w:t>Ad- </w:t>
      </w:r>
      <w:r>
        <w:rPr>
          <w:color w:val="231F20"/>
          <w:spacing w:val="-4"/>
          <w:w w:val="105"/>
          <w:sz w:val="21"/>
        </w:rPr>
        <w:t>ministración,</w:t>
      </w:r>
      <w:r>
        <w:rPr>
          <w:color w:val="231F20"/>
          <w:spacing w:val="-30"/>
          <w:w w:val="105"/>
          <w:sz w:val="21"/>
        </w:rPr>
        <w:t> </w:t>
      </w:r>
      <w:r>
        <w:rPr>
          <w:color w:val="231F20"/>
          <w:spacing w:val="-4"/>
          <w:w w:val="105"/>
          <w:sz w:val="21"/>
        </w:rPr>
        <w:t>Universidad</w:t>
      </w:r>
      <w:r>
        <w:rPr>
          <w:color w:val="231F20"/>
          <w:spacing w:val="-28"/>
          <w:w w:val="105"/>
          <w:sz w:val="21"/>
        </w:rPr>
        <w:t> </w:t>
      </w:r>
      <w:r>
        <w:rPr>
          <w:color w:val="231F20"/>
          <w:spacing w:val="-4"/>
          <w:w w:val="105"/>
          <w:sz w:val="21"/>
        </w:rPr>
        <w:t>Autónoma</w:t>
      </w:r>
      <w:r>
        <w:rPr>
          <w:color w:val="231F20"/>
          <w:spacing w:val="-25"/>
          <w:w w:val="105"/>
          <w:sz w:val="21"/>
        </w:rPr>
        <w:t> </w:t>
      </w:r>
      <w:r>
        <w:rPr>
          <w:color w:val="231F20"/>
          <w:spacing w:val="-3"/>
          <w:w w:val="105"/>
          <w:sz w:val="21"/>
        </w:rPr>
        <w:t>del</w:t>
      </w:r>
      <w:r>
        <w:rPr>
          <w:color w:val="231F20"/>
          <w:spacing w:val="-25"/>
          <w:w w:val="105"/>
          <w:sz w:val="21"/>
        </w:rPr>
        <w:t> </w:t>
      </w:r>
      <w:r>
        <w:rPr>
          <w:color w:val="231F20"/>
          <w:spacing w:val="-4"/>
          <w:w w:val="105"/>
          <w:sz w:val="21"/>
        </w:rPr>
        <w:t>Estado</w:t>
      </w:r>
      <w:r>
        <w:rPr>
          <w:color w:val="231F20"/>
          <w:spacing w:val="-25"/>
          <w:w w:val="105"/>
          <w:sz w:val="21"/>
        </w:rPr>
        <w:t> </w:t>
      </w:r>
      <w:r>
        <w:rPr>
          <w:color w:val="231F20"/>
          <w:w w:val="105"/>
          <w:sz w:val="21"/>
        </w:rPr>
        <w:t>de</w:t>
      </w:r>
      <w:r>
        <w:rPr>
          <w:color w:val="231F20"/>
          <w:spacing w:val="-25"/>
          <w:w w:val="105"/>
          <w:sz w:val="21"/>
        </w:rPr>
        <w:t> </w:t>
      </w:r>
      <w:r>
        <w:rPr>
          <w:color w:val="231F20"/>
          <w:spacing w:val="-4"/>
          <w:w w:val="105"/>
          <w:sz w:val="21"/>
        </w:rPr>
        <w:t>México,</w:t>
      </w:r>
      <w:r>
        <w:rPr>
          <w:color w:val="231F20"/>
          <w:spacing w:val="-34"/>
          <w:w w:val="105"/>
          <w:sz w:val="21"/>
        </w:rPr>
        <w:t> </w:t>
      </w:r>
      <w:r>
        <w:rPr>
          <w:color w:val="231F20"/>
          <w:spacing w:val="-7"/>
          <w:w w:val="105"/>
          <w:sz w:val="21"/>
        </w:rPr>
        <w:t>Toluca.</w:t>
      </w:r>
    </w:p>
    <w:p>
      <w:pPr>
        <w:spacing w:line="241" w:lineRule="exact" w:before="0"/>
        <w:ind w:left="103" w:right="17" w:firstLine="0"/>
        <w:jc w:val="left"/>
        <w:rPr>
          <w:sz w:val="21"/>
        </w:rPr>
      </w:pPr>
      <w:r>
        <w:rPr>
          <w:color w:val="231F20"/>
          <w:sz w:val="21"/>
        </w:rPr>
        <w:t>Daft, R. L. (2007). </w:t>
      </w:r>
      <w:r>
        <w:rPr>
          <w:i/>
          <w:color w:val="231F20"/>
          <w:sz w:val="21"/>
        </w:rPr>
        <w:t>Teoría y Diseño Organizacional</w:t>
      </w:r>
      <w:r>
        <w:rPr>
          <w:color w:val="231F20"/>
          <w:sz w:val="21"/>
        </w:rPr>
        <w:t>. Thomson, México.</w:t>
      </w:r>
    </w:p>
    <w:p>
      <w:pPr>
        <w:spacing w:line="259" w:lineRule="auto" w:before="18"/>
        <w:ind w:left="841" w:right="114" w:hanging="738"/>
        <w:jc w:val="both"/>
        <w:rPr>
          <w:sz w:val="21"/>
        </w:rPr>
      </w:pPr>
      <w:r>
        <w:rPr>
          <w:color w:val="231F20"/>
          <w:w w:val="105"/>
          <w:sz w:val="21"/>
        </w:rPr>
        <w:t>De</w:t>
      </w:r>
      <w:r>
        <w:rPr>
          <w:color w:val="231F20"/>
          <w:spacing w:val="-17"/>
          <w:w w:val="105"/>
          <w:sz w:val="21"/>
        </w:rPr>
        <w:t> </w:t>
      </w:r>
      <w:r>
        <w:rPr>
          <w:color w:val="231F20"/>
          <w:w w:val="105"/>
          <w:sz w:val="21"/>
        </w:rPr>
        <w:t>Nieves,</w:t>
      </w:r>
      <w:r>
        <w:rPr>
          <w:color w:val="231F20"/>
          <w:spacing w:val="-21"/>
          <w:w w:val="105"/>
          <w:sz w:val="21"/>
        </w:rPr>
        <w:t> </w:t>
      </w:r>
      <w:r>
        <w:rPr>
          <w:color w:val="231F20"/>
          <w:w w:val="105"/>
          <w:sz w:val="21"/>
        </w:rPr>
        <w:t>C.,</w:t>
      </w:r>
      <w:r>
        <w:rPr>
          <w:color w:val="231F20"/>
          <w:spacing w:val="-21"/>
          <w:w w:val="105"/>
          <w:sz w:val="21"/>
        </w:rPr>
        <w:t> </w:t>
      </w:r>
      <w:r>
        <w:rPr>
          <w:color w:val="231F20"/>
          <w:w w:val="105"/>
          <w:sz w:val="21"/>
        </w:rPr>
        <w:t>y</w:t>
      </w:r>
      <w:r>
        <w:rPr>
          <w:color w:val="231F20"/>
          <w:spacing w:val="-17"/>
          <w:w w:val="105"/>
          <w:sz w:val="21"/>
        </w:rPr>
        <w:t> </w:t>
      </w:r>
      <w:r>
        <w:rPr>
          <w:color w:val="231F20"/>
          <w:w w:val="105"/>
          <w:sz w:val="21"/>
        </w:rPr>
        <w:t>Ros,</w:t>
      </w:r>
      <w:r>
        <w:rPr>
          <w:color w:val="231F20"/>
          <w:spacing w:val="-21"/>
          <w:w w:val="105"/>
          <w:sz w:val="21"/>
        </w:rPr>
        <w:t> </w:t>
      </w:r>
      <w:r>
        <w:rPr>
          <w:color w:val="231F20"/>
          <w:w w:val="105"/>
          <w:sz w:val="21"/>
        </w:rPr>
        <w:t>L.</w:t>
      </w:r>
      <w:r>
        <w:rPr>
          <w:color w:val="231F20"/>
          <w:spacing w:val="-21"/>
          <w:w w:val="105"/>
          <w:sz w:val="21"/>
        </w:rPr>
        <w:t> </w:t>
      </w:r>
      <w:r>
        <w:rPr>
          <w:color w:val="231F20"/>
          <w:w w:val="105"/>
          <w:sz w:val="21"/>
        </w:rPr>
        <w:t>(2006).</w:t>
      </w:r>
      <w:r>
        <w:rPr>
          <w:color w:val="231F20"/>
          <w:spacing w:val="-21"/>
          <w:w w:val="105"/>
          <w:sz w:val="21"/>
        </w:rPr>
        <w:t> </w:t>
      </w:r>
      <w:r>
        <w:rPr>
          <w:i/>
          <w:color w:val="231F20"/>
          <w:w w:val="105"/>
          <w:sz w:val="21"/>
        </w:rPr>
        <w:t>Comparación</w:t>
      </w:r>
      <w:r>
        <w:rPr>
          <w:i/>
          <w:color w:val="231F20"/>
          <w:spacing w:val="-17"/>
          <w:w w:val="105"/>
          <w:sz w:val="21"/>
        </w:rPr>
        <w:t> </w:t>
      </w:r>
      <w:r>
        <w:rPr>
          <w:i/>
          <w:color w:val="231F20"/>
          <w:w w:val="105"/>
          <w:sz w:val="21"/>
        </w:rPr>
        <w:t>entre</w:t>
      </w:r>
      <w:r>
        <w:rPr>
          <w:i/>
          <w:color w:val="231F20"/>
          <w:spacing w:val="-17"/>
          <w:w w:val="105"/>
          <w:sz w:val="21"/>
        </w:rPr>
        <w:t> </w:t>
      </w:r>
      <w:r>
        <w:rPr>
          <w:i/>
          <w:color w:val="231F20"/>
          <w:w w:val="105"/>
          <w:sz w:val="21"/>
        </w:rPr>
        <w:t>los</w:t>
      </w:r>
      <w:r>
        <w:rPr>
          <w:i/>
          <w:color w:val="231F20"/>
          <w:spacing w:val="-17"/>
          <w:w w:val="105"/>
          <w:sz w:val="21"/>
        </w:rPr>
        <w:t> </w:t>
      </w:r>
      <w:r>
        <w:rPr>
          <w:i/>
          <w:color w:val="231F20"/>
          <w:w w:val="105"/>
          <w:sz w:val="21"/>
        </w:rPr>
        <w:t>Modelos</w:t>
      </w:r>
      <w:r>
        <w:rPr>
          <w:i/>
          <w:color w:val="231F20"/>
          <w:spacing w:val="-17"/>
          <w:w w:val="105"/>
          <w:sz w:val="21"/>
        </w:rPr>
        <w:t> </w:t>
      </w:r>
      <w:r>
        <w:rPr>
          <w:i/>
          <w:color w:val="231F20"/>
          <w:w w:val="105"/>
          <w:sz w:val="21"/>
        </w:rPr>
        <w:t>de</w:t>
      </w:r>
      <w:r>
        <w:rPr>
          <w:i/>
          <w:color w:val="231F20"/>
          <w:spacing w:val="-17"/>
          <w:w w:val="105"/>
          <w:sz w:val="21"/>
        </w:rPr>
        <w:t> </w:t>
      </w:r>
      <w:r>
        <w:rPr>
          <w:i/>
          <w:color w:val="231F20"/>
          <w:w w:val="105"/>
          <w:sz w:val="21"/>
        </w:rPr>
        <w:t>Ges- </w:t>
      </w:r>
      <w:r>
        <w:rPr>
          <w:i/>
          <w:color w:val="231F20"/>
          <w:w w:val="105"/>
          <w:sz w:val="21"/>
        </w:rPr>
        <w:t>tión de Calidad </w:t>
      </w:r>
      <w:r>
        <w:rPr>
          <w:i/>
          <w:color w:val="231F20"/>
          <w:spacing w:val="-4"/>
          <w:w w:val="105"/>
          <w:sz w:val="21"/>
        </w:rPr>
        <w:t>Total: </w:t>
      </w:r>
      <w:r>
        <w:rPr>
          <w:i/>
          <w:color w:val="231F20"/>
          <w:w w:val="105"/>
          <w:sz w:val="21"/>
        </w:rPr>
        <w:t>EFQM, Gerencial de Deming,</w:t>
      </w:r>
      <w:r>
        <w:rPr>
          <w:i/>
          <w:color w:val="231F20"/>
          <w:spacing w:val="-21"/>
          <w:w w:val="105"/>
          <w:sz w:val="21"/>
        </w:rPr>
        <w:t> </w:t>
      </w:r>
      <w:r>
        <w:rPr>
          <w:i/>
          <w:color w:val="231F20"/>
          <w:w w:val="105"/>
          <w:sz w:val="21"/>
        </w:rPr>
        <w:t>Iberoameri- cano</w:t>
      </w:r>
      <w:r>
        <w:rPr>
          <w:i/>
          <w:color w:val="231F20"/>
          <w:spacing w:val="-11"/>
          <w:w w:val="105"/>
          <w:sz w:val="21"/>
        </w:rPr>
        <w:t> </w:t>
      </w:r>
      <w:r>
        <w:rPr>
          <w:i/>
          <w:color w:val="231F20"/>
          <w:w w:val="105"/>
          <w:sz w:val="21"/>
        </w:rPr>
        <w:t>para</w:t>
      </w:r>
      <w:r>
        <w:rPr>
          <w:i/>
          <w:color w:val="231F20"/>
          <w:spacing w:val="-11"/>
          <w:w w:val="105"/>
          <w:sz w:val="21"/>
        </w:rPr>
        <w:t> </w:t>
      </w:r>
      <w:r>
        <w:rPr>
          <w:i/>
          <w:color w:val="231F20"/>
          <w:w w:val="105"/>
          <w:sz w:val="21"/>
        </w:rPr>
        <w:t>la</w:t>
      </w:r>
      <w:r>
        <w:rPr>
          <w:i/>
          <w:color w:val="231F20"/>
          <w:spacing w:val="-11"/>
          <w:w w:val="105"/>
          <w:sz w:val="21"/>
        </w:rPr>
        <w:t> </w:t>
      </w:r>
      <w:r>
        <w:rPr>
          <w:i/>
          <w:color w:val="231F20"/>
          <w:w w:val="105"/>
          <w:sz w:val="21"/>
        </w:rPr>
        <w:t>Excelencia</w:t>
      </w:r>
      <w:r>
        <w:rPr>
          <w:i/>
          <w:color w:val="231F20"/>
          <w:spacing w:val="-11"/>
          <w:w w:val="105"/>
          <w:sz w:val="21"/>
        </w:rPr>
        <w:t> </w:t>
      </w:r>
      <w:r>
        <w:rPr>
          <w:i/>
          <w:color w:val="231F20"/>
          <w:w w:val="105"/>
          <w:sz w:val="21"/>
        </w:rPr>
        <w:t>y</w:t>
      </w:r>
      <w:r>
        <w:rPr>
          <w:i/>
          <w:color w:val="231F20"/>
          <w:spacing w:val="-11"/>
          <w:w w:val="105"/>
          <w:sz w:val="21"/>
        </w:rPr>
        <w:t> </w:t>
      </w:r>
      <w:r>
        <w:rPr>
          <w:i/>
          <w:color w:val="231F20"/>
          <w:w w:val="105"/>
          <w:sz w:val="21"/>
        </w:rPr>
        <w:t>Malcom</w:t>
      </w:r>
      <w:r>
        <w:rPr>
          <w:i/>
          <w:color w:val="231F20"/>
          <w:spacing w:val="-11"/>
          <w:w w:val="105"/>
          <w:sz w:val="21"/>
        </w:rPr>
        <w:t> </w:t>
      </w:r>
      <w:r>
        <w:rPr>
          <w:i/>
          <w:color w:val="231F20"/>
          <w:w w:val="105"/>
          <w:sz w:val="21"/>
        </w:rPr>
        <w:t>Baldrige.</w:t>
      </w:r>
      <w:r>
        <w:rPr>
          <w:i/>
          <w:color w:val="231F20"/>
          <w:spacing w:val="-16"/>
          <w:w w:val="105"/>
          <w:sz w:val="21"/>
        </w:rPr>
        <w:t> </w:t>
      </w:r>
      <w:r>
        <w:rPr>
          <w:i/>
          <w:color w:val="231F20"/>
          <w:w w:val="105"/>
          <w:sz w:val="21"/>
        </w:rPr>
        <w:t>Situación</w:t>
      </w:r>
      <w:r>
        <w:rPr>
          <w:i/>
          <w:color w:val="231F20"/>
          <w:spacing w:val="-11"/>
          <w:w w:val="105"/>
          <w:sz w:val="21"/>
        </w:rPr>
        <w:t> </w:t>
      </w:r>
      <w:r>
        <w:rPr>
          <w:i/>
          <w:color w:val="231F20"/>
          <w:w w:val="105"/>
          <w:sz w:val="21"/>
        </w:rPr>
        <w:t>frente</w:t>
      </w:r>
      <w:r>
        <w:rPr>
          <w:i/>
          <w:color w:val="231F20"/>
          <w:spacing w:val="-11"/>
          <w:w w:val="105"/>
          <w:sz w:val="21"/>
        </w:rPr>
        <w:t> </w:t>
      </w:r>
      <w:r>
        <w:rPr>
          <w:i/>
          <w:color w:val="231F20"/>
          <w:w w:val="105"/>
          <w:sz w:val="21"/>
        </w:rPr>
        <w:t>a</w:t>
      </w:r>
      <w:r>
        <w:rPr>
          <w:i/>
          <w:color w:val="231F20"/>
          <w:spacing w:val="-11"/>
          <w:w w:val="105"/>
          <w:sz w:val="21"/>
        </w:rPr>
        <w:t> </w:t>
      </w:r>
      <w:r>
        <w:rPr>
          <w:i/>
          <w:color w:val="231F20"/>
          <w:w w:val="105"/>
          <w:sz w:val="21"/>
        </w:rPr>
        <w:t>la ISO 9000</w:t>
      </w:r>
      <w:r>
        <w:rPr>
          <w:color w:val="231F20"/>
          <w:w w:val="105"/>
          <w:sz w:val="21"/>
        </w:rPr>
        <w:t>. </w:t>
      </w:r>
      <w:r>
        <w:rPr>
          <w:color w:val="231F20"/>
          <w:spacing w:val="-3"/>
          <w:w w:val="105"/>
          <w:sz w:val="21"/>
        </w:rPr>
        <w:t>Paper </w:t>
      </w:r>
      <w:r>
        <w:rPr>
          <w:color w:val="231F20"/>
          <w:w w:val="105"/>
          <w:sz w:val="21"/>
        </w:rPr>
        <w:t>presented at the X Congreso de Ingeniería de </w:t>
      </w:r>
      <w:r>
        <w:rPr>
          <w:color w:val="231F20"/>
          <w:sz w:val="21"/>
        </w:rPr>
        <w:t>Organización,</w:t>
      </w:r>
      <w:r>
        <w:rPr>
          <w:color w:val="231F20"/>
          <w:spacing w:val="14"/>
          <w:sz w:val="21"/>
        </w:rPr>
        <w:t> </w:t>
      </w:r>
      <w:r>
        <w:rPr>
          <w:color w:val="231F20"/>
          <w:sz w:val="21"/>
        </w:rPr>
        <w:t>Valencia.</w:t>
      </w:r>
    </w:p>
    <w:p>
      <w:pPr>
        <w:pStyle w:val="BodyText"/>
        <w:spacing w:line="259" w:lineRule="auto"/>
        <w:ind w:left="840" w:right="115" w:hanging="737"/>
        <w:jc w:val="both"/>
      </w:pPr>
      <w:r>
        <w:rPr>
          <w:color w:val="231F20"/>
          <w:w w:val="105"/>
        </w:rPr>
        <w:t>Deming,</w:t>
      </w:r>
      <w:r>
        <w:rPr>
          <w:color w:val="231F20"/>
          <w:spacing w:val="-42"/>
          <w:w w:val="105"/>
        </w:rPr>
        <w:t> </w:t>
      </w:r>
      <w:r>
        <w:rPr>
          <w:color w:val="231F20"/>
          <w:spacing w:val="-7"/>
          <w:w w:val="105"/>
        </w:rPr>
        <w:t>W.</w:t>
      </w:r>
      <w:r>
        <w:rPr>
          <w:color w:val="231F20"/>
          <w:spacing w:val="-40"/>
          <w:w w:val="105"/>
        </w:rPr>
        <w:t> </w:t>
      </w:r>
      <w:r>
        <w:rPr>
          <w:color w:val="231F20"/>
          <w:w w:val="105"/>
        </w:rPr>
        <w:t>E.</w:t>
      </w:r>
      <w:r>
        <w:rPr>
          <w:color w:val="231F20"/>
          <w:spacing w:val="-40"/>
          <w:w w:val="105"/>
        </w:rPr>
        <w:t> </w:t>
      </w:r>
      <w:r>
        <w:rPr>
          <w:color w:val="231F20"/>
          <w:w w:val="105"/>
        </w:rPr>
        <w:t>(1986).</w:t>
      </w:r>
      <w:r>
        <w:rPr>
          <w:color w:val="231F20"/>
          <w:spacing w:val="-40"/>
          <w:w w:val="105"/>
        </w:rPr>
        <w:t> </w:t>
      </w:r>
      <w:r>
        <w:rPr>
          <w:i/>
          <w:color w:val="231F20"/>
          <w:w w:val="105"/>
        </w:rPr>
        <w:t>Out</w:t>
      </w:r>
      <w:r>
        <w:rPr>
          <w:i/>
          <w:color w:val="231F20"/>
          <w:spacing w:val="-37"/>
          <w:w w:val="105"/>
        </w:rPr>
        <w:t> </w:t>
      </w:r>
      <w:r>
        <w:rPr>
          <w:i/>
          <w:color w:val="231F20"/>
          <w:w w:val="105"/>
        </w:rPr>
        <w:t>of</w:t>
      </w:r>
      <w:r>
        <w:rPr>
          <w:i/>
          <w:color w:val="231F20"/>
          <w:spacing w:val="-34"/>
          <w:w w:val="105"/>
        </w:rPr>
        <w:t> </w:t>
      </w:r>
      <w:r>
        <w:rPr>
          <w:i/>
          <w:color w:val="231F20"/>
          <w:w w:val="105"/>
        </w:rPr>
        <w:t>the</w:t>
      </w:r>
      <w:r>
        <w:rPr>
          <w:i/>
          <w:color w:val="231F20"/>
          <w:spacing w:val="-37"/>
          <w:w w:val="105"/>
        </w:rPr>
        <w:t> </w:t>
      </w:r>
      <w:r>
        <w:rPr>
          <w:i/>
          <w:color w:val="231F20"/>
          <w:w w:val="105"/>
        </w:rPr>
        <w:t>crisis</w:t>
      </w:r>
      <w:r>
        <w:rPr>
          <w:color w:val="231F20"/>
          <w:w w:val="105"/>
        </w:rPr>
        <w:t>.</w:t>
      </w:r>
      <w:r>
        <w:rPr>
          <w:color w:val="231F20"/>
          <w:spacing w:val="-40"/>
          <w:w w:val="105"/>
        </w:rPr>
        <w:t> </w:t>
      </w:r>
      <w:r>
        <w:rPr>
          <w:color w:val="231F20"/>
          <w:w w:val="105"/>
        </w:rPr>
        <w:t>Massachusetts</w:t>
      </w:r>
      <w:r>
        <w:rPr>
          <w:color w:val="231F20"/>
          <w:spacing w:val="-37"/>
          <w:w w:val="105"/>
        </w:rPr>
        <w:t> </w:t>
      </w:r>
      <w:r>
        <w:rPr>
          <w:color w:val="231F20"/>
          <w:w w:val="105"/>
        </w:rPr>
        <w:t>Institute</w:t>
      </w:r>
      <w:r>
        <w:rPr>
          <w:color w:val="231F20"/>
          <w:spacing w:val="-37"/>
          <w:w w:val="105"/>
        </w:rPr>
        <w:t> </w:t>
      </w:r>
      <w:r>
        <w:rPr>
          <w:color w:val="231F20"/>
          <w:w w:val="105"/>
        </w:rPr>
        <w:t>of</w:t>
      </w:r>
      <w:r>
        <w:rPr>
          <w:color w:val="231F20"/>
          <w:spacing w:val="-37"/>
          <w:w w:val="105"/>
        </w:rPr>
        <w:t> </w:t>
      </w:r>
      <w:r>
        <w:rPr>
          <w:color w:val="231F20"/>
          <w:spacing w:val="-3"/>
          <w:w w:val="105"/>
        </w:rPr>
        <w:t>Technol- </w:t>
      </w:r>
      <w:r>
        <w:rPr>
          <w:color w:val="231F20"/>
          <w:w w:val="105"/>
        </w:rPr>
        <w:t>ogy,</w:t>
      </w:r>
      <w:r>
        <w:rPr>
          <w:color w:val="231F20"/>
          <w:spacing w:val="-23"/>
          <w:w w:val="105"/>
        </w:rPr>
        <w:t> </w:t>
      </w:r>
      <w:r>
        <w:rPr>
          <w:color w:val="231F20"/>
          <w:w w:val="105"/>
        </w:rPr>
        <w:t>Center</w:t>
      </w:r>
      <w:r>
        <w:rPr>
          <w:color w:val="231F20"/>
          <w:spacing w:val="-17"/>
          <w:w w:val="105"/>
        </w:rPr>
        <w:t> </w:t>
      </w:r>
      <w:r>
        <w:rPr>
          <w:color w:val="231F20"/>
          <w:w w:val="105"/>
        </w:rPr>
        <w:t>for</w:t>
      </w:r>
      <w:r>
        <w:rPr>
          <w:color w:val="231F20"/>
          <w:spacing w:val="-20"/>
          <w:w w:val="105"/>
        </w:rPr>
        <w:t> </w:t>
      </w:r>
      <w:r>
        <w:rPr>
          <w:color w:val="231F20"/>
          <w:w w:val="105"/>
        </w:rPr>
        <w:t>Advanced</w:t>
      </w:r>
      <w:r>
        <w:rPr>
          <w:color w:val="231F20"/>
          <w:spacing w:val="-17"/>
          <w:w w:val="105"/>
        </w:rPr>
        <w:t> </w:t>
      </w:r>
      <w:r>
        <w:rPr>
          <w:color w:val="231F20"/>
          <w:w w:val="105"/>
        </w:rPr>
        <w:t>Engineering</w:t>
      </w:r>
      <w:r>
        <w:rPr>
          <w:color w:val="231F20"/>
          <w:spacing w:val="-17"/>
          <w:w w:val="105"/>
        </w:rPr>
        <w:t> </w:t>
      </w:r>
      <w:r>
        <w:rPr>
          <w:color w:val="231F20"/>
          <w:w w:val="105"/>
        </w:rPr>
        <w:t>Study,</w:t>
      </w:r>
      <w:r>
        <w:rPr>
          <w:color w:val="231F20"/>
          <w:spacing w:val="-23"/>
          <w:w w:val="105"/>
        </w:rPr>
        <w:t> </w:t>
      </w:r>
      <w:r>
        <w:rPr>
          <w:color w:val="231F20"/>
          <w:w w:val="105"/>
        </w:rPr>
        <w:t>Cambridge.</w:t>
      </w:r>
    </w:p>
    <w:p>
      <w:pPr>
        <w:spacing w:line="259" w:lineRule="auto" w:before="0"/>
        <w:ind w:left="840" w:right="109" w:hanging="737"/>
        <w:jc w:val="both"/>
        <w:rPr>
          <w:sz w:val="21"/>
        </w:rPr>
      </w:pPr>
      <w:r>
        <w:rPr>
          <w:color w:val="231F20"/>
          <w:sz w:val="21"/>
        </w:rPr>
        <w:t>Dore, R. (2000). </w:t>
      </w:r>
      <w:r>
        <w:rPr>
          <w:i/>
          <w:color w:val="231F20"/>
          <w:sz w:val="21"/>
        </w:rPr>
        <w:t>Stock Market Capitalism: Welfare Capitalism: Japan and </w:t>
      </w:r>
      <w:r>
        <w:rPr>
          <w:i/>
          <w:color w:val="231F20"/>
          <w:sz w:val="21"/>
        </w:rPr>
        <w:t>Germany versus the Anglo-Saxons</w:t>
      </w:r>
      <w:r>
        <w:rPr>
          <w:color w:val="231F20"/>
          <w:sz w:val="21"/>
        </w:rPr>
        <w:t>. Oxford University Press, USA, New York.</w:t>
      </w:r>
    </w:p>
    <w:p>
      <w:pPr>
        <w:spacing w:line="259" w:lineRule="auto" w:before="0"/>
        <w:ind w:left="840" w:right="115" w:hanging="738"/>
        <w:jc w:val="both"/>
        <w:rPr>
          <w:sz w:val="21"/>
        </w:rPr>
      </w:pPr>
      <w:r>
        <w:rPr>
          <w:color w:val="231F20"/>
          <w:sz w:val="21"/>
        </w:rPr>
        <w:t>Drucker,</w:t>
      </w:r>
      <w:r>
        <w:rPr>
          <w:color w:val="231F20"/>
          <w:spacing w:val="-14"/>
          <w:sz w:val="21"/>
        </w:rPr>
        <w:t> </w:t>
      </w:r>
      <w:r>
        <w:rPr>
          <w:color w:val="231F20"/>
          <w:spacing w:val="-16"/>
          <w:sz w:val="21"/>
        </w:rPr>
        <w:t>P.</w:t>
      </w:r>
      <w:r>
        <w:rPr>
          <w:color w:val="231F20"/>
          <w:spacing w:val="-14"/>
          <w:sz w:val="21"/>
        </w:rPr>
        <w:t> </w:t>
      </w:r>
      <w:r>
        <w:rPr>
          <w:color w:val="231F20"/>
          <w:spacing w:val="-11"/>
          <w:sz w:val="21"/>
        </w:rPr>
        <w:t>F.</w:t>
      </w:r>
      <w:r>
        <w:rPr>
          <w:color w:val="231F20"/>
          <w:spacing w:val="-14"/>
          <w:sz w:val="21"/>
        </w:rPr>
        <w:t> </w:t>
      </w:r>
      <w:r>
        <w:rPr>
          <w:color w:val="231F20"/>
          <w:sz w:val="21"/>
        </w:rPr>
        <w:t>(1963).</w:t>
      </w:r>
      <w:r>
        <w:rPr>
          <w:color w:val="231F20"/>
          <w:spacing w:val="-14"/>
          <w:sz w:val="21"/>
        </w:rPr>
        <w:t> </w:t>
      </w:r>
      <w:r>
        <w:rPr>
          <w:color w:val="231F20"/>
          <w:sz w:val="21"/>
        </w:rPr>
        <w:t>“Managing</w:t>
      </w:r>
      <w:r>
        <w:rPr>
          <w:color w:val="231F20"/>
          <w:spacing w:val="-8"/>
          <w:sz w:val="21"/>
        </w:rPr>
        <w:t> </w:t>
      </w:r>
      <w:r>
        <w:rPr>
          <w:color w:val="231F20"/>
          <w:sz w:val="21"/>
        </w:rPr>
        <w:t>for</w:t>
      </w:r>
      <w:r>
        <w:rPr>
          <w:color w:val="231F20"/>
          <w:spacing w:val="-8"/>
          <w:sz w:val="21"/>
        </w:rPr>
        <w:t> </w:t>
      </w:r>
      <w:r>
        <w:rPr>
          <w:color w:val="231F20"/>
          <w:sz w:val="21"/>
        </w:rPr>
        <w:t>Business</w:t>
      </w:r>
      <w:r>
        <w:rPr>
          <w:color w:val="231F20"/>
          <w:spacing w:val="-8"/>
          <w:sz w:val="21"/>
        </w:rPr>
        <w:t> </w:t>
      </w:r>
      <w:r>
        <w:rPr>
          <w:color w:val="231F20"/>
          <w:sz w:val="21"/>
        </w:rPr>
        <w:t>Effectiveness”.</w:t>
      </w:r>
      <w:r>
        <w:rPr>
          <w:color w:val="231F20"/>
          <w:spacing w:val="-15"/>
          <w:sz w:val="21"/>
        </w:rPr>
        <w:t> </w:t>
      </w:r>
      <w:r>
        <w:rPr>
          <w:i/>
          <w:color w:val="231F20"/>
          <w:sz w:val="21"/>
        </w:rPr>
        <w:t>Harvard</w:t>
      </w:r>
      <w:r>
        <w:rPr>
          <w:i/>
          <w:color w:val="231F20"/>
          <w:spacing w:val="-8"/>
          <w:sz w:val="21"/>
        </w:rPr>
        <w:t> </w:t>
      </w:r>
      <w:r>
        <w:rPr>
          <w:i/>
          <w:color w:val="231F20"/>
          <w:sz w:val="21"/>
        </w:rPr>
        <w:t>Busi- </w:t>
      </w:r>
      <w:r>
        <w:rPr>
          <w:i/>
          <w:color w:val="231F20"/>
          <w:sz w:val="21"/>
        </w:rPr>
        <w:t>ness</w:t>
      </w:r>
      <w:r>
        <w:rPr>
          <w:i/>
          <w:color w:val="231F20"/>
          <w:spacing w:val="-2"/>
          <w:sz w:val="21"/>
        </w:rPr>
        <w:t> </w:t>
      </w:r>
      <w:r>
        <w:rPr>
          <w:i/>
          <w:color w:val="231F20"/>
          <w:sz w:val="21"/>
        </w:rPr>
        <w:t>Review,</w:t>
      </w:r>
      <w:r>
        <w:rPr>
          <w:i/>
          <w:color w:val="231F20"/>
          <w:spacing w:val="-10"/>
          <w:sz w:val="21"/>
        </w:rPr>
        <w:t> </w:t>
      </w:r>
      <w:r>
        <w:rPr>
          <w:color w:val="231F20"/>
          <w:spacing w:val="-3"/>
          <w:sz w:val="21"/>
        </w:rPr>
        <w:t>Vol.</w:t>
      </w:r>
      <w:r>
        <w:rPr>
          <w:color w:val="231F20"/>
          <w:spacing w:val="-10"/>
          <w:sz w:val="21"/>
        </w:rPr>
        <w:t> </w:t>
      </w:r>
      <w:r>
        <w:rPr>
          <w:i/>
          <w:color w:val="231F20"/>
          <w:sz w:val="21"/>
        </w:rPr>
        <w:t>41</w:t>
      </w:r>
      <w:r>
        <w:rPr>
          <w:color w:val="231F20"/>
          <w:sz w:val="21"/>
        </w:rPr>
        <w:t>,</w:t>
      </w:r>
      <w:r>
        <w:rPr>
          <w:color w:val="231F20"/>
          <w:spacing w:val="-10"/>
          <w:sz w:val="21"/>
        </w:rPr>
        <w:t> </w:t>
      </w:r>
      <w:r>
        <w:rPr>
          <w:color w:val="231F20"/>
          <w:sz w:val="21"/>
        </w:rPr>
        <w:t>Núm.</w:t>
      </w:r>
      <w:r>
        <w:rPr>
          <w:color w:val="231F20"/>
          <w:spacing w:val="-10"/>
          <w:sz w:val="21"/>
        </w:rPr>
        <w:t> </w:t>
      </w:r>
      <w:r>
        <w:rPr>
          <w:color w:val="231F20"/>
          <w:sz w:val="21"/>
        </w:rPr>
        <w:t>3,</w:t>
      </w:r>
      <w:r>
        <w:rPr>
          <w:color w:val="231F20"/>
          <w:spacing w:val="-10"/>
          <w:sz w:val="21"/>
        </w:rPr>
        <w:t> </w:t>
      </w:r>
      <w:r>
        <w:rPr>
          <w:color w:val="231F20"/>
          <w:sz w:val="21"/>
        </w:rPr>
        <w:t>pp.</w:t>
      </w:r>
      <w:r>
        <w:rPr>
          <w:color w:val="231F20"/>
          <w:spacing w:val="-10"/>
          <w:sz w:val="21"/>
        </w:rPr>
        <w:t> </w:t>
      </w:r>
      <w:r>
        <w:rPr>
          <w:color w:val="231F20"/>
          <w:sz w:val="21"/>
        </w:rPr>
        <w:t>53-60.</w:t>
      </w:r>
    </w:p>
    <w:p>
      <w:pPr>
        <w:spacing w:line="241" w:lineRule="exact" w:before="0"/>
        <w:ind w:left="103" w:right="17" w:firstLine="0"/>
        <w:jc w:val="left"/>
        <w:rPr>
          <w:sz w:val="21"/>
        </w:rPr>
      </w:pPr>
      <w:r>
        <w:rPr>
          <w:color w:val="231F20"/>
          <w:sz w:val="21"/>
        </w:rPr>
        <w:t>Etzioni, A. (1979). </w:t>
      </w:r>
      <w:r>
        <w:rPr>
          <w:i/>
          <w:color w:val="231F20"/>
          <w:sz w:val="21"/>
        </w:rPr>
        <w:t>Organizaciones Modernas</w:t>
      </w:r>
      <w:r>
        <w:rPr>
          <w:color w:val="231F20"/>
          <w:sz w:val="21"/>
        </w:rPr>
        <w:t>. UTEHA, México.</w:t>
      </w:r>
    </w:p>
    <w:p>
      <w:pPr>
        <w:spacing w:before="18"/>
        <w:ind w:left="103" w:right="17" w:firstLine="0"/>
        <w:jc w:val="left"/>
        <w:rPr>
          <w:sz w:val="21"/>
        </w:rPr>
      </w:pPr>
      <w:r>
        <w:rPr>
          <w:color w:val="231F20"/>
          <w:sz w:val="21"/>
        </w:rPr>
        <w:t>Freeman, R. E. (1984). </w:t>
      </w:r>
      <w:r>
        <w:rPr>
          <w:i/>
          <w:color w:val="231F20"/>
          <w:sz w:val="21"/>
        </w:rPr>
        <w:t>Strategic  management:  a  stakeholder</w:t>
      </w:r>
      <w:r>
        <w:rPr>
          <w:i/>
          <w:color w:val="231F20"/>
          <w:spacing w:val="50"/>
          <w:sz w:val="21"/>
        </w:rPr>
        <w:t> </w:t>
      </w:r>
      <w:r>
        <w:rPr>
          <w:i/>
          <w:color w:val="231F20"/>
          <w:sz w:val="21"/>
        </w:rPr>
        <w:t>approach</w:t>
      </w:r>
      <w:r>
        <w:rPr>
          <w:color w:val="231F20"/>
          <w:sz w:val="21"/>
        </w:rPr>
        <w:t>.</w:t>
      </w:r>
    </w:p>
    <w:p>
      <w:pPr>
        <w:pStyle w:val="BodyText"/>
        <w:spacing w:before="18"/>
        <w:ind w:left="840" w:right="17"/>
      </w:pPr>
      <w:r>
        <w:rPr>
          <w:color w:val="231F20"/>
        </w:rPr>
        <w:t>Pitman, Indiana.</w:t>
      </w:r>
    </w:p>
    <w:p>
      <w:pPr>
        <w:spacing w:line="259" w:lineRule="auto" w:before="18"/>
        <w:ind w:left="840" w:right="115" w:hanging="737"/>
        <w:jc w:val="both"/>
        <w:rPr>
          <w:sz w:val="21"/>
        </w:rPr>
      </w:pPr>
      <w:r>
        <w:rPr>
          <w:color w:val="231F20"/>
          <w:sz w:val="21"/>
        </w:rPr>
        <w:t>Friedman, M. (1970). “The Social Responsability of Business is to</w:t>
      </w:r>
      <w:r>
        <w:rPr>
          <w:color w:val="231F20"/>
          <w:spacing w:val="-40"/>
          <w:sz w:val="21"/>
        </w:rPr>
        <w:t> </w:t>
      </w:r>
      <w:r>
        <w:rPr>
          <w:color w:val="231F20"/>
          <w:sz w:val="21"/>
        </w:rPr>
        <w:t>increase its </w:t>
      </w:r>
      <w:r>
        <w:rPr>
          <w:color w:val="231F20"/>
          <w:spacing w:val="-5"/>
          <w:sz w:val="21"/>
        </w:rPr>
        <w:t>Profits”. </w:t>
      </w:r>
      <w:r>
        <w:rPr>
          <w:i/>
          <w:color w:val="231F20"/>
          <w:sz w:val="21"/>
        </w:rPr>
        <w:t>New </w:t>
      </w:r>
      <w:r>
        <w:rPr>
          <w:i/>
          <w:color w:val="231F20"/>
          <w:spacing w:val="-4"/>
          <w:sz w:val="21"/>
        </w:rPr>
        <w:t>York </w:t>
      </w:r>
      <w:r>
        <w:rPr>
          <w:i/>
          <w:color w:val="231F20"/>
          <w:sz w:val="21"/>
        </w:rPr>
        <w:t>Times Magazine, </w:t>
      </w:r>
      <w:r>
        <w:rPr>
          <w:color w:val="231F20"/>
          <w:spacing w:val="-3"/>
          <w:sz w:val="21"/>
        </w:rPr>
        <w:t>Vol. </w:t>
      </w:r>
      <w:r>
        <w:rPr>
          <w:i/>
          <w:color w:val="231F20"/>
          <w:sz w:val="21"/>
        </w:rPr>
        <w:t>Septiembre 13</w:t>
      </w:r>
      <w:r>
        <w:rPr>
          <w:color w:val="231F20"/>
          <w:sz w:val="21"/>
        </w:rPr>
        <w:t>, pp.</w:t>
      </w:r>
      <w:r>
        <w:rPr>
          <w:color w:val="231F20"/>
          <w:spacing w:val="-35"/>
          <w:sz w:val="21"/>
        </w:rPr>
        <w:t> </w:t>
      </w:r>
      <w:r>
        <w:rPr>
          <w:color w:val="231F20"/>
          <w:sz w:val="21"/>
        </w:rPr>
        <w:t>32- 33.</w:t>
      </w:r>
    </w:p>
    <w:p>
      <w:pPr>
        <w:spacing w:line="259" w:lineRule="auto" w:before="0"/>
        <w:ind w:left="840" w:right="109" w:hanging="738"/>
        <w:jc w:val="both"/>
        <w:rPr>
          <w:sz w:val="21"/>
        </w:rPr>
      </w:pPr>
      <w:r>
        <w:rPr>
          <w:color w:val="231F20"/>
          <w:w w:val="105"/>
          <w:sz w:val="21"/>
        </w:rPr>
        <w:t>Fundación Iberoamericana para la Gestión de la Calidad. FUNDIBEQ. (2012). </w:t>
      </w:r>
      <w:r>
        <w:rPr>
          <w:i/>
          <w:color w:val="231F20"/>
          <w:w w:val="105"/>
          <w:sz w:val="21"/>
        </w:rPr>
        <w:t>Modelo Iberoamericano de Excelencia en la Gestión </w:t>
      </w:r>
      <w:r>
        <w:rPr>
          <w:i/>
          <w:color w:val="231F20"/>
          <w:spacing w:val="-3"/>
          <w:w w:val="105"/>
          <w:sz w:val="21"/>
        </w:rPr>
        <w:t>V.2012</w:t>
      </w:r>
      <w:r>
        <w:rPr>
          <w:color w:val="231F20"/>
          <w:spacing w:val="-3"/>
          <w:w w:val="105"/>
          <w:sz w:val="21"/>
        </w:rPr>
        <w:t>.</w:t>
      </w:r>
      <w:r>
        <w:rPr>
          <w:color w:val="231F20"/>
          <w:spacing w:val="-30"/>
          <w:w w:val="105"/>
          <w:sz w:val="21"/>
        </w:rPr>
        <w:t> </w:t>
      </w:r>
      <w:r>
        <w:rPr>
          <w:color w:val="231F20"/>
          <w:w w:val="105"/>
          <w:sz w:val="21"/>
        </w:rPr>
        <w:t>Fundación</w:t>
      </w:r>
      <w:r>
        <w:rPr>
          <w:color w:val="231F20"/>
          <w:spacing w:val="-26"/>
          <w:w w:val="105"/>
          <w:sz w:val="21"/>
        </w:rPr>
        <w:t> </w:t>
      </w:r>
      <w:r>
        <w:rPr>
          <w:color w:val="231F20"/>
          <w:w w:val="105"/>
          <w:sz w:val="21"/>
        </w:rPr>
        <w:t>Iberoamericana</w:t>
      </w:r>
      <w:r>
        <w:rPr>
          <w:color w:val="231F20"/>
          <w:spacing w:val="-26"/>
          <w:w w:val="105"/>
          <w:sz w:val="21"/>
        </w:rPr>
        <w:t> </w:t>
      </w:r>
      <w:r>
        <w:rPr>
          <w:color w:val="231F20"/>
          <w:w w:val="105"/>
          <w:sz w:val="21"/>
        </w:rPr>
        <w:t>para</w:t>
      </w:r>
      <w:r>
        <w:rPr>
          <w:color w:val="231F20"/>
          <w:spacing w:val="-26"/>
          <w:w w:val="105"/>
          <w:sz w:val="21"/>
        </w:rPr>
        <w:t> </w:t>
      </w:r>
      <w:r>
        <w:rPr>
          <w:color w:val="231F20"/>
          <w:w w:val="105"/>
          <w:sz w:val="21"/>
        </w:rPr>
        <w:t>la</w:t>
      </w:r>
      <w:r>
        <w:rPr>
          <w:color w:val="231F20"/>
          <w:spacing w:val="-26"/>
          <w:w w:val="105"/>
          <w:sz w:val="21"/>
        </w:rPr>
        <w:t> </w:t>
      </w:r>
      <w:r>
        <w:rPr>
          <w:color w:val="231F20"/>
          <w:w w:val="105"/>
          <w:sz w:val="21"/>
        </w:rPr>
        <w:t>Gestión</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la</w:t>
      </w:r>
      <w:r>
        <w:rPr>
          <w:color w:val="231F20"/>
          <w:spacing w:val="-26"/>
          <w:w w:val="105"/>
          <w:sz w:val="21"/>
        </w:rPr>
        <w:t> </w:t>
      </w:r>
      <w:r>
        <w:rPr>
          <w:color w:val="231F20"/>
          <w:w w:val="105"/>
          <w:sz w:val="21"/>
        </w:rPr>
        <w:t>Calidad, Madrid.</w:t>
      </w:r>
    </w:p>
    <w:p>
      <w:pPr>
        <w:spacing w:line="259" w:lineRule="auto" w:before="0"/>
        <w:ind w:left="840" w:right="110" w:hanging="737"/>
        <w:jc w:val="both"/>
        <w:rPr>
          <w:sz w:val="21"/>
        </w:rPr>
      </w:pPr>
      <w:r>
        <w:rPr>
          <w:color w:val="231F20"/>
          <w:sz w:val="21"/>
        </w:rPr>
        <w:t>Gallardo, L. (2005). </w:t>
      </w:r>
      <w:r>
        <w:rPr>
          <w:i/>
          <w:color w:val="231F20"/>
          <w:sz w:val="21"/>
        </w:rPr>
        <w:t>La gestión del deporte a través de la calidad</w:t>
      </w:r>
      <w:r>
        <w:rPr>
          <w:color w:val="231F20"/>
          <w:sz w:val="21"/>
        </w:rPr>
        <w:t>. Inde, Barcelona.</w:t>
      </w:r>
    </w:p>
    <w:p>
      <w:pPr>
        <w:pStyle w:val="BodyText"/>
        <w:spacing w:line="241" w:lineRule="exact"/>
        <w:ind w:left="103" w:right="17"/>
      </w:pPr>
      <w:r>
        <w:rPr>
          <w:color w:val="231F20"/>
        </w:rPr>
        <w:t>García, M. I. (2007). “La nueva gestión pública: evolución y tendencias”.</w:t>
      </w:r>
    </w:p>
    <w:p>
      <w:pPr>
        <w:spacing w:before="18"/>
        <w:ind w:left="840" w:right="17" w:firstLine="0"/>
        <w:jc w:val="left"/>
        <w:rPr>
          <w:sz w:val="21"/>
        </w:rPr>
      </w:pPr>
      <w:r>
        <w:rPr>
          <w:i/>
          <w:color w:val="231F20"/>
          <w:sz w:val="21"/>
        </w:rPr>
        <w:t>Presupuesto y Gasto Público</w:t>
      </w:r>
      <w:r>
        <w:rPr>
          <w:color w:val="231F20"/>
          <w:sz w:val="21"/>
        </w:rPr>
        <w:t>, Núm. 47, pp. 37-64.</w:t>
      </w:r>
    </w:p>
    <w:p>
      <w:pPr>
        <w:pStyle w:val="BodyText"/>
        <w:spacing w:line="259" w:lineRule="auto" w:before="18"/>
        <w:ind w:left="840" w:right="109" w:hanging="738"/>
        <w:jc w:val="both"/>
      </w:pPr>
      <w:r>
        <w:rPr>
          <w:color w:val="231F20"/>
        </w:rPr>
        <w:t>García, S. (2006). “Importancia estratégica de los activos intangibles. Un análisis desde la perspectiva de la teoría de recursos y capacida- des. </w:t>
      </w:r>
      <w:r>
        <w:rPr>
          <w:color w:val="231F20"/>
          <w:spacing w:val="-3"/>
        </w:rPr>
        <w:t>(Spanish)”. </w:t>
      </w:r>
      <w:r>
        <w:rPr>
          <w:i/>
          <w:color w:val="231F20"/>
        </w:rPr>
        <w:t>Administracion y Organizaciones, </w:t>
      </w:r>
      <w:r>
        <w:rPr>
          <w:color w:val="231F20"/>
          <w:spacing w:val="-3"/>
        </w:rPr>
        <w:t>Vol. </w:t>
      </w:r>
      <w:r>
        <w:rPr>
          <w:i/>
          <w:color w:val="231F20"/>
        </w:rPr>
        <w:t>9</w:t>
      </w:r>
      <w:r>
        <w:rPr>
          <w:color w:val="231F20"/>
        </w:rPr>
        <w:t>, Núm. 17, pp. 93-115.</w:t>
      </w:r>
    </w:p>
    <w:p>
      <w:pPr>
        <w:pStyle w:val="BodyText"/>
        <w:spacing w:line="259" w:lineRule="auto"/>
        <w:ind w:left="840" w:right="116" w:hanging="738"/>
        <w:jc w:val="both"/>
      </w:pPr>
      <w:r>
        <w:rPr>
          <w:color w:val="231F20"/>
          <w:w w:val="105"/>
        </w:rPr>
        <w:t>Gemoets,</w:t>
      </w:r>
      <w:r>
        <w:rPr>
          <w:color w:val="231F20"/>
          <w:spacing w:val="-37"/>
          <w:w w:val="105"/>
        </w:rPr>
        <w:t> </w:t>
      </w:r>
      <w:r>
        <w:rPr>
          <w:color w:val="231F20"/>
          <w:spacing w:val="-16"/>
          <w:w w:val="105"/>
        </w:rPr>
        <w:t>P.</w:t>
      </w:r>
      <w:r>
        <w:rPr>
          <w:color w:val="231F20"/>
          <w:spacing w:val="-37"/>
          <w:w w:val="105"/>
        </w:rPr>
        <w:t> </w:t>
      </w:r>
      <w:r>
        <w:rPr>
          <w:color w:val="231F20"/>
          <w:w w:val="105"/>
        </w:rPr>
        <w:t>(2010).</w:t>
      </w:r>
      <w:r>
        <w:rPr>
          <w:color w:val="231F20"/>
          <w:spacing w:val="-37"/>
          <w:w w:val="105"/>
        </w:rPr>
        <w:t> </w:t>
      </w:r>
      <w:r>
        <w:rPr>
          <w:color w:val="231F20"/>
          <w:w w:val="105"/>
        </w:rPr>
        <w:t>EFQM</w:t>
      </w:r>
      <w:r>
        <w:rPr>
          <w:color w:val="231F20"/>
          <w:spacing w:val="-36"/>
          <w:w w:val="105"/>
        </w:rPr>
        <w:t> </w:t>
      </w:r>
      <w:r>
        <w:rPr>
          <w:color w:val="231F20"/>
          <w:spacing w:val="-3"/>
          <w:w w:val="105"/>
        </w:rPr>
        <w:t>Transition</w:t>
      </w:r>
      <w:r>
        <w:rPr>
          <w:color w:val="231F20"/>
          <w:spacing w:val="-33"/>
          <w:w w:val="105"/>
        </w:rPr>
        <w:t> </w:t>
      </w:r>
      <w:r>
        <w:rPr>
          <w:color w:val="231F20"/>
          <w:w w:val="105"/>
        </w:rPr>
        <w:t>Guide.</w:t>
      </w:r>
      <w:r>
        <w:rPr>
          <w:color w:val="231F20"/>
          <w:spacing w:val="-37"/>
          <w:w w:val="105"/>
        </w:rPr>
        <w:t> </w:t>
      </w:r>
      <w:r>
        <w:rPr>
          <w:color w:val="231F20"/>
          <w:w w:val="105"/>
        </w:rPr>
        <w:t>How</w:t>
      </w:r>
      <w:r>
        <w:rPr>
          <w:color w:val="231F20"/>
          <w:spacing w:val="-33"/>
          <w:w w:val="105"/>
        </w:rPr>
        <w:t> </w:t>
      </w:r>
      <w:r>
        <w:rPr>
          <w:color w:val="231F20"/>
          <w:w w:val="105"/>
        </w:rPr>
        <w:t>to</w:t>
      </w:r>
      <w:r>
        <w:rPr>
          <w:color w:val="231F20"/>
          <w:spacing w:val="-33"/>
          <w:w w:val="105"/>
        </w:rPr>
        <w:t> </w:t>
      </w:r>
      <w:r>
        <w:rPr>
          <w:color w:val="231F20"/>
          <w:w w:val="105"/>
        </w:rPr>
        <w:t>upgrade</w:t>
      </w:r>
      <w:r>
        <w:rPr>
          <w:color w:val="231F20"/>
          <w:spacing w:val="-33"/>
          <w:w w:val="105"/>
        </w:rPr>
        <w:t> </w:t>
      </w:r>
      <w:r>
        <w:rPr>
          <w:color w:val="231F20"/>
          <w:w w:val="105"/>
        </w:rPr>
        <w:t>to</w:t>
      </w:r>
      <w:r>
        <w:rPr>
          <w:color w:val="231F20"/>
          <w:spacing w:val="-33"/>
          <w:w w:val="105"/>
        </w:rPr>
        <w:t> </w:t>
      </w:r>
      <w:r>
        <w:rPr>
          <w:color w:val="231F20"/>
          <w:w w:val="105"/>
        </w:rPr>
        <w:t>the</w:t>
      </w:r>
      <w:r>
        <w:rPr>
          <w:color w:val="231F20"/>
          <w:spacing w:val="-33"/>
          <w:w w:val="105"/>
        </w:rPr>
        <w:t> </w:t>
      </w:r>
      <w:r>
        <w:rPr>
          <w:color w:val="231F20"/>
          <w:w w:val="105"/>
        </w:rPr>
        <w:t>EFQM Excellence</w:t>
      </w:r>
      <w:r>
        <w:rPr>
          <w:color w:val="231F20"/>
          <w:spacing w:val="-42"/>
          <w:w w:val="105"/>
        </w:rPr>
        <w:t> </w:t>
      </w:r>
      <w:r>
        <w:rPr>
          <w:color w:val="231F20"/>
          <w:w w:val="105"/>
        </w:rPr>
        <w:t>Model</w:t>
      </w:r>
      <w:r>
        <w:rPr>
          <w:color w:val="231F20"/>
          <w:spacing w:val="-42"/>
          <w:w w:val="105"/>
        </w:rPr>
        <w:t> </w:t>
      </w:r>
      <w:r>
        <w:rPr>
          <w:color w:val="231F20"/>
          <w:w w:val="105"/>
        </w:rPr>
        <w:t>2010.</w:t>
      </w:r>
      <w:r>
        <w:rPr>
          <w:color w:val="231F20"/>
          <w:spacing w:val="-44"/>
          <w:w w:val="105"/>
        </w:rPr>
        <w:t> </w:t>
      </w:r>
      <w:r>
        <w:rPr>
          <w:color w:val="231F20"/>
          <w:w w:val="105"/>
        </w:rPr>
        <w:t>Bruselas:</w:t>
      </w:r>
      <w:r>
        <w:rPr>
          <w:color w:val="231F20"/>
          <w:spacing w:val="-42"/>
          <w:w w:val="105"/>
        </w:rPr>
        <w:t> </w:t>
      </w:r>
      <w:r>
        <w:rPr>
          <w:color w:val="231F20"/>
          <w:w w:val="105"/>
        </w:rPr>
        <w:t>EFQM.</w:t>
      </w:r>
    </w:p>
    <w:p>
      <w:pPr>
        <w:pStyle w:val="BodyText"/>
        <w:spacing w:line="259" w:lineRule="auto"/>
        <w:ind w:left="103" w:right="109"/>
        <w:jc w:val="right"/>
        <w:rPr>
          <w:i/>
        </w:rPr>
      </w:pPr>
      <w:r>
        <w:rPr>
          <w:color w:val="231F20"/>
          <w:w w:val="105"/>
        </w:rPr>
        <w:t>Georgiou, </w:t>
      </w:r>
      <w:r>
        <w:rPr>
          <w:color w:val="231F20"/>
          <w:spacing w:val="-16"/>
          <w:w w:val="105"/>
        </w:rPr>
        <w:t>P. </w:t>
      </w:r>
      <w:r>
        <w:rPr>
          <w:color w:val="231F20"/>
          <w:w w:val="105"/>
        </w:rPr>
        <w:t>(1973). “The goal paradigm and notes towards</w:t>
      </w:r>
      <w:r>
        <w:rPr>
          <w:color w:val="231F20"/>
          <w:spacing w:val="20"/>
          <w:w w:val="105"/>
        </w:rPr>
        <w:t> </w:t>
      </w:r>
      <w:r>
        <w:rPr>
          <w:color w:val="231F20"/>
          <w:w w:val="105"/>
        </w:rPr>
        <w:t>a</w:t>
      </w:r>
      <w:r>
        <w:rPr>
          <w:color w:val="231F20"/>
          <w:spacing w:val="14"/>
          <w:w w:val="105"/>
        </w:rPr>
        <w:t> </w:t>
      </w:r>
      <w:r>
        <w:rPr>
          <w:color w:val="231F20"/>
          <w:w w:val="105"/>
        </w:rPr>
        <w:t>counter</w:t>
      </w:r>
      <w:r>
        <w:rPr>
          <w:color w:val="231F20"/>
          <w:w w:val="105"/>
        </w:rPr>
        <w:t> </w:t>
      </w:r>
      <w:r>
        <w:rPr>
          <w:color w:val="231F20"/>
          <w:spacing w:val="-3"/>
          <w:w w:val="105"/>
        </w:rPr>
        <w:t>paradigm”.</w:t>
      </w:r>
      <w:r>
        <w:rPr>
          <w:color w:val="231F20"/>
          <w:spacing w:val="-32"/>
          <w:w w:val="105"/>
        </w:rPr>
        <w:t> </w:t>
      </w:r>
      <w:r>
        <w:rPr>
          <w:i/>
          <w:color w:val="231F20"/>
          <w:w w:val="105"/>
        </w:rPr>
        <w:t>Administrative</w:t>
      </w:r>
      <w:r>
        <w:rPr>
          <w:i/>
          <w:color w:val="231F20"/>
          <w:spacing w:val="-27"/>
          <w:w w:val="105"/>
        </w:rPr>
        <w:t> </w:t>
      </w:r>
      <w:r>
        <w:rPr>
          <w:i/>
          <w:color w:val="231F20"/>
          <w:w w:val="105"/>
        </w:rPr>
        <w:t>Science</w:t>
      </w:r>
      <w:r>
        <w:rPr>
          <w:i/>
          <w:color w:val="231F20"/>
          <w:spacing w:val="-27"/>
          <w:w w:val="105"/>
        </w:rPr>
        <w:t> </w:t>
      </w:r>
      <w:r>
        <w:rPr>
          <w:i/>
          <w:color w:val="231F20"/>
          <w:w w:val="105"/>
        </w:rPr>
        <w:t>Quarterly</w:t>
      </w:r>
      <w:r>
        <w:rPr>
          <w:i/>
          <w:color w:val="231F20"/>
          <w:spacing w:val="-27"/>
          <w:w w:val="105"/>
        </w:rPr>
        <w:t> </w:t>
      </w:r>
      <w:r>
        <w:rPr>
          <w:color w:val="231F20"/>
          <w:spacing w:val="-3"/>
          <w:w w:val="105"/>
        </w:rPr>
        <w:t>Vol.</w:t>
      </w:r>
      <w:r>
        <w:rPr>
          <w:color w:val="231F20"/>
          <w:spacing w:val="-32"/>
          <w:w w:val="105"/>
        </w:rPr>
        <w:t> </w:t>
      </w:r>
      <w:r>
        <w:rPr>
          <w:i/>
          <w:color w:val="231F20"/>
          <w:w w:val="105"/>
        </w:rPr>
        <w:t>18</w:t>
      </w:r>
      <w:r>
        <w:rPr>
          <w:color w:val="231F20"/>
          <w:w w:val="105"/>
        </w:rPr>
        <w:t>,</w:t>
      </w:r>
      <w:r>
        <w:rPr>
          <w:color w:val="231F20"/>
          <w:spacing w:val="-32"/>
          <w:w w:val="105"/>
        </w:rPr>
        <w:t> </w:t>
      </w:r>
      <w:r>
        <w:rPr>
          <w:color w:val="231F20"/>
          <w:w w:val="105"/>
        </w:rPr>
        <w:t>pp.</w:t>
      </w:r>
      <w:r>
        <w:rPr>
          <w:color w:val="231F20"/>
          <w:spacing w:val="-32"/>
          <w:w w:val="105"/>
        </w:rPr>
        <w:t> </w:t>
      </w:r>
      <w:r>
        <w:rPr>
          <w:color w:val="231F20"/>
          <w:w w:val="105"/>
        </w:rPr>
        <w:t>291-310.</w:t>
      </w:r>
      <w:r>
        <w:rPr>
          <w:color w:val="231F20"/>
          <w:w w:val="102"/>
        </w:rPr>
        <w:t> </w:t>
      </w:r>
      <w:r>
        <w:rPr>
          <w:color w:val="231F20"/>
          <w:w w:val="105"/>
        </w:rPr>
        <w:t>Ghurchian,</w:t>
      </w:r>
      <w:r>
        <w:rPr>
          <w:color w:val="231F20"/>
          <w:spacing w:val="-30"/>
          <w:w w:val="105"/>
        </w:rPr>
        <w:t> </w:t>
      </w:r>
      <w:r>
        <w:rPr>
          <w:color w:val="231F20"/>
          <w:w w:val="105"/>
        </w:rPr>
        <w:t>N.</w:t>
      </w:r>
      <w:r>
        <w:rPr>
          <w:color w:val="231F20"/>
          <w:spacing w:val="-30"/>
          <w:w w:val="105"/>
        </w:rPr>
        <w:t> </w:t>
      </w:r>
      <w:r>
        <w:rPr>
          <w:color w:val="231F20"/>
          <w:w w:val="105"/>
        </w:rPr>
        <w:t>G.,</w:t>
      </w:r>
      <w:r>
        <w:rPr>
          <w:color w:val="231F20"/>
          <w:spacing w:val="-31"/>
          <w:w w:val="105"/>
        </w:rPr>
        <w:t> </w:t>
      </w:r>
      <w:r>
        <w:rPr>
          <w:color w:val="231F20"/>
          <w:w w:val="105"/>
        </w:rPr>
        <w:t>Jafari,</w:t>
      </w:r>
      <w:r>
        <w:rPr>
          <w:color w:val="231F20"/>
          <w:spacing w:val="-30"/>
          <w:w w:val="105"/>
        </w:rPr>
        <w:t> </w:t>
      </w:r>
      <w:r>
        <w:rPr>
          <w:color w:val="231F20"/>
          <w:spacing w:val="-11"/>
          <w:w w:val="105"/>
        </w:rPr>
        <w:t>P.,</w:t>
      </w:r>
      <w:r>
        <w:rPr>
          <w:color w:val="231F20"/>
          <w:spacing w:val="-30"/>
          <w:w w:val="105"/>
        </w:rPr>
        <w:t> </w:t>
      </w:r>
      <w:r>
        <w:rPr>
          <w:color w:val="231F20"/>
          <w:w w:val="105"/>
        </w:rPr>
        <w:t>y</w:t>
      </w:r>
      <w:r>
        <w:rPr>
          <w:color w:val="231F20"/>
          <w:spacing w:val="-26"/>
          <w:w w:val="105"/>
        </w:rPr>
        <w:t> </w:t>
      </w:r>
      <w:r>
        <w:rPr>
          <w:color w:val="231F20"/>
          <w:w w:val="105"/>
        </w:rPr>
        <w:t>Rahgozar,</w:t>
      </w:r>
      <w:r>
        <w:rPr>
          <w:color w:val="231F20"/>
          <w:spacing w:val="-30"/>
          <w:w w:val="105"/>
        </w:rPr>
        <w:t> </w:t>
      </w:r>
      <w:r>
        <w:rPr>
          <w:color w:val="231F20"/>
          <w:w w:val="105"/>
        </w:rPr>
        <w:t>H.</w:t>
      </w:r>
      <w:r>
        <w:rPr>
          <w:color w:val="231F20"/>
          <w:spacing w:val="-30"/>
          <w:w w:val="105"/>
        </w:rPr>
        <w:t> </w:t>
      </w:r>
      <w:r>
        <w:rPr>
          <w:color w:val="231F20"/>
          <w:w w:val="105"/>
        </w:rPr>
        <w:t>(2010).</w:t>
      </w:r>
      <w:r>
        <w:rPr>
          <w:color w:val="231F20"/>
          <w:spacing w:val="-30"/>
          <w:w w:val="105"/>
        </w:rPr>
        <w:t> </w:t>
      </w:r>
      <w:r>
        <w:rPr>
          <w:color w:val="231F20"/>
          <w:w w:val="105"/>
        </w:rPr>
        <w:t>“Designing</w:t>
      </w:r>
      <w:r>
        <w:rPr>
          <w:color w:val="231F20"/>
          <w:spacing w:val="-26"/>
          <w:w w:val="105"/>
        </w:rPr>
        <w:t> </w:t>
      </w:r>
      <w:r>
        <w:rPr>
          <w:color w:val="231F20"/>
          <w:w w:val="105"/>
        </w:rPr>
        <w:t>a</w:t>
      </w:r>
      <w:r>
        <w:rPr>
          <w:color w:val="231F20"/>
          <w:spacing w:val="-26"/>
          <w:w w:val="105"/>
        </w:rPr>
        <w:t> </w:t>
      </w:r>
      <w:r>
        <w:rPr>
          <w:color w:val="231F20"/>
          <w:w w:val="105"/>
        </w:rPr>
        <w:t>Model</w:t>
      </w:r>
      <w:r>
        <w:rPr>
          <w:color w:val="231F20"/>
          <w:spacing w:val="-26"/>
          <w:w w:val="105"/>
        </w:rPr>
        <w:t> </w:t>
      </w:r>
      <w:r>
        <w:rPr>
          <w:color w:val="231F20"/>
          <w:w w:val="105"/>
        </w:rPr>
        <w:t>for</w:t>
      </w:r>
      <w:r>
        <w:rPr>
          <w:color w:val="231F20"/>
          <w:w w:val="108"/>
        </w:rPr>
        <w:t> </w:t>
      </w:r>
      <w:r>
        <w:rPr>
          <w:color w:val="231F20"/>
          <w:w w:val="105"/>
        </w:rPr>
        <w:t>Performance</w:t>
      </w:r>
      <w:r>
        <w:rPr>
          <w:color w:val="231F20"/>
          <w:spacing w:val="-12"/>
          <w:w w:val="105"/>
        </w:rPr>
        <w:t> </w:t>
      </w:r>
      <w:r>
        <w:rPr>
          <w:color w:val="231F20"/>
          <w:w w:val="105"/>
        </w:rPr>
        <w:t>Evaluation</w:t>
      </w:r>
      <w:r>
        <w:rPr>
          <w:color w:val="231F20"/>
          <w:spacing w:val="-12"/>
          <w:w w:val="105"/>
        </w:rPr>
        <w:t> </w:t>
      </w:r>
      <w:r>
        <w:rPr>
          <w:color w:val="231F20"/>
          <w:w w:val="105"/>
        </w:rPr>
        <w:t>in</w:t>
      </w:r>
      <w:r>
        <w:rPr>
          <w:color w:val="231F20"/>
          <w:spacing w:val="-12"/>
          <w:w w:val="105"/>
        </w:rPr>
        <w:t> </w:t>
      </w:r>
      <w:r>
        <w:rPr>
          <w:color w:val="231F20"/>
          <w:w w:val="105"/>
        </w:rPr>
        <w:t>Iranian</w:t>
      </w:r>
      <w:r>
        <w:rPr>
          <w:color w:val="231F20"/>
          <w:spacing w:val="-12"/>
          <w:w w:val="105"/>
        </w:rPr>
        <w:t> </w:t>
      </w:r>
      <w:r>
        <w:rPr>
          <w:color w:val="231F20"/>
          <w:w w:val="105"/>
        </w:rPr>
        <w:t>Universities</w:t>
      </w:r>
      <w:r>
        <w:rPr>
          <w:color w:val="231F20"/>
          <w:spacing w:val="-12"/>
          <w:w w:val="105"/>
        </w:rPr>
        <w:t> </w:t>
      </w:r>
      <w:r>
        <w:rPr>
          <w:color w:val="231F20"/>
          <w:w w:val="105"/>
        </w:rPr>
        <w:t>Based</w:t>
      </w:r>
      <w:r>
        <w:rPr>
          <w:color w:val="231F20"/>
          <w:spacing w:val="-12"/>
          <w:w w:val="105"/>
        </w:rPr>
        <w:t> </w:t>
      </w:r>
      <w:r>
        <w:rPr>
          <w:color w:val="231F20"/>
          <w:w w:val="105"/>
        </w:rPr>
        <w:t>on</w:t>
      </w:r>
      <w:r>
        <w:rPr>
          <w:color w:val="231F20"/>
          <w:spacing w:val="-12"/>
          <w:w w:val="105"/>
        </w:rPr>
        <w:t> </w:t>
      </w:r>
      <w:r>
        <w:rPr>
          <w:color w:val="231F20"/>
          <w:w w:val="105"/>
        </w:rPr>
        <w:t>the</w:t>
      </w:r>
      <w:r>
        <w:rPr>
          <w:color w:val="231F20"/>
          <w:spacing w:val="-12"/>
          <w:w w:val="105"/>
        </w:rPr>
        <w:t> </w:t>
      </w:r>
      <w:r>
        <w:rPr>
          <w:color w:val="231F20"/>
          <w:w w:val="105"/>
        </w:rPr>
        <w:t>Or-</w:t>
      </w:r>
      <w:r>
        <w:rPr>
          <w:color w:val="231F20"/>
          <w:w w:val="96"/>
        </w:rPr>
        <w:t> </w:t>
      </w:r>
      <w:r>
        <w:rPr>
          <w:color w:val="231F20"/>
          <w:w w:val="105"/>
        </w:rPr>
        <w:t>ganizational Excellence </w:t>
      </w:r>
      <w:r>
        <w:rPr>
          <w:color w:val="231F20"/>
          <w:spacing w:val="-3"/>
          <w:w w:val="105"/>
        </w:rPr>
        <w:t>Indicators”. </w:t>
      </w:r>
      <w:r>
        <w:rPr>
          <w:i/>
          <w:color w:val="231F20"/>
          <w:w w:val="105"/>
        </w:rPr>
        <w:t>European Journal of</w:t>
      </w:r>
      <w:r>
        <w:rPr>
          <w:i/>
          <w:color w:val="231F20"/>
          <w:spacing w:val="46"/>
          <w:w w:val="105"/>
        </w:rPr>
        <w:t> </w:t>
      </w:r>
      <w:r>
        <w:rPr>
          <w:i/>
          <w:color w:val="231F20"/>
          <w:w w:val="105"/>
        </w:rPr>
        <w:t>Social</w:t>
      </w:r>
    </w:p>
    <w:p>
      <w:pPr>
        <w:spacing w:line="241" w:lineRule="exact" w:before="0"/>
        <w:ind w:left="840" w:right="17" w:firstLine="0"/>
        <w:jc w:val="left"/>
        <w:rPr>
          <w:sz w:val="21"/>
        </w:rPr>
      </w:pPr>
      <w:r>
        <w:rPr>
          <w:i/>
          <w:color w:val="231F20"/>
          <w:w w:val="105"/>
          <w:sz w:val="21"/>
        </w:rPr>
        <w:t>Science, </w:t>
      </w:r>
      <w:r>
        <w:rPr>
          <w:color w:val="231F20"/>
          <w:w w:val="105"/>
          <w:sz w:val="21"/>
        </w:rPr>
        <w:t>Vol. </w:t>
      </w:r>
      <w:r>
        <w:rPr>
          <w:i/>
          <w:color w:val="231F20"/>
          <w:w w:val="105"/>
          <w:sz w:val="21"/>
        </w:rPr>
        <w:t>17</w:t>
      </w:r>
      <w:r>
        <w:rPr>
          <w:color w:val="231F20"/>
          <w:w w:val="105"/>
          <w:sz w:val="21"/>
        </w:rPr>
        <w:t>, Núm. 3, pp. 434-441.</w:t>
      </w:r>
    </w:p>
    <w:p>
      <w:pPr>
        <w:pStyle w:val="BodyText"/>
        <w:rPr>
          <w:sz w:val="20"/>
        </w:rPr>
      </w:pPr>
    </w:p>
    <w:p>
      <w:pPr>
        <w:pStyle w:val="BodyText"/>
        <w:spacing w:before="1"/>
        <w:rPr>
          <w:sz w:val="29"/>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388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108</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3856"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109</w:t>
      </w:r>
    </w:p>
    <w:p>
      <w:pPr>
        <w:pStyle w:val="BodyText"/>
        <w:rPr>
          <w:sz w:val="20"/>
        </w:rPr>
      </w:pPr>
    </w:p>
    <w:p>
      <w:pPr>
        <w:pStyle w:val="BodyText"/>
        <w:rPr>
          <w:sz w:val="20"/>
        </w:rPr>
      </w:pPr>
    </w:p>
    <w:p>
      <w:pPr>
        <w:pStyle w:val="BodyText"/>
        <w:spacing w:line="259" w:lineRule="auto" w:before="176"/>
        <w:ind w:left="854" w:right="121" w:hanging="738"/>
        <w:jc w:val="both"/>
      </w:pPr>
      <w:r>
        <w:rPr>
          <w:color w:val="231F20"/>
          <w:w w:val="105"/>
        </w:rPr>
        <w:t>González,</w:t>
      </w:r>
      <w:r>
        <w:rPr>
          <w:color w:val="231F20"/>
          <w:spacing w:val="-24"/>
          <w:w w:val="105"/>
        </w:rPr>
        <w:t> </w:t>
      </w:r>
      <w:r>
        <w:rPr>
          <w:color w:val="231F20"/>
          <w:w w:val="105"/>
        </w:rPr>
        <w:t>E.</w:t>
      </w:r>
      <w:r>
        <w:rPr>
          <w:color w:val="231F20"/>
          <w:spacing w:val="-24"/>
          <w:w w:val="105"/>
        </w:rPr>
        <w:t> </w:t>
      </w:r>
      <w:r>
        <w:rPr>
          <w:color w:val="231F20"/>
          <w:w w:val="105"/>
        </w:rPr>
        <w:t>(2007).</w:t>
      </w:r>
      <w:r>
        <w:rPr>
          <w:color w:val="231F20"/>
          <w:spacing w:val="-24"/>
          <w:w w:val="105"/>
        </w:rPr>
        <w:t> </w:t>
      </w:r>
      <w:r>
        <w:rPr>
          <w:color w:val="231F20"/>
          <w:w w:val="105"/>
        </w:rPr>
        <w:t>“La</w:t>
      </w:r>
      <w:r>
        <w:rPr>
          <w:color w:val="231F20"/>
          <w:spacing w:val="-18"/>
          <w:w w:val="105"/>
        </w:rPr>
        <w:t> </w:t>
      </w:r>
      <w:r>
        <w:rPr>
          <w:color w:val="231F20"/>
          <w:w w:val="105"/>
        </w:rPr>
        <w:t>teoría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stakeholders</w:t>
      </w:r>
      <w:r>
        <w:rPr>
          <w:color w:val="231F20"/>
          <w:spacing w:val="-18"/>
          <w:w w:val="105"/>
        </w:rPr>
        <w:t> </w:t>
      </w:r>
      <w:r>
        <w:rPr>
          <w:color w:val="231F20"/>
          <w:w w:val="105"/>
        </w:rPr>
        <w:t>un</w:t>
      </w:r>
      <w:r>
        <w:rPr>
          <w:color w:val="231F20"/>
          <w:spacing w:val="-18"/>
          <w:w w:val="105"/>
        </w:rPr>
        <w:t> </w:t>
      </w:r>
      <w:r>
        <w:rPr>
          <w:color w:val="231F20"/>
          <w:w w:val="105"/>
        </w:rPr>
        <w:t>puente</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de- sarrollo práctico de la ética empresarial y de la responsabilidad social</w:t>
      </w:r>
      <w:r>
        <w:rPr>
          <w:color w:val="231F20"/>
          <w:spacing w:val="-27"/>
          <w:w w:val="105"/>
        </w:rPr>
        <w:t> </w:t>
      </w:r>
      <w:r>
        <w:rPr>
          <w:color w:val="231F20"/>
          <w:spacing w:val="-3"/>
          <w:w w:val="105"/>
        </w:rPr>
        <w:t>corporativa”.</w:t>
      </w:r>
      <w:r>
        <w:rPr>
          <w:color w:val="231F20"/>
          <w:spacing w:val="-32"/>
          <w:w w:val="105"/>
        </w:rPr>
        <w:t> </w:t>
      </w:r>
      <w:r>
        <w:rPr>
          <w:i/>
          <w:color w:val="231F20"/>
          <w:w w:val="105"/>
        </w:rPr>
        <w:t>Veritas,</w:t>
      </w:r>
      <w:r>
        <w:rPr>
          <w:i/>
          <w:color w:val="231F20"/>
          <w:spacing w:val="-32"/>
          <w:w w:val="105"/>
        </w:rPr>
        <w:t> </w:t>
      </w:r>
      <w:r>
        <w:rPr>
          <w:color w:val="231F20"/>
          <w:spacing w:val="-3"/>
          <w:w w:val="105"/>
        </w:rPr>
        <w:t>Vol.</w:t>
      </w:r>
      <w:r>
        <w:rPr>
          <w:color w:val="231F20"/>
          <w:spacing w:val="-32"/>
          <w:w w:val="105"/>
        </w:rPr>
        <w:t> </w:t>
      </w:r>
      <w:r>
        <w:rPr>
          <w:i/>
          <w:color w:val="231F20"/>
          <w:w w:val="105"/>
        </w:rPr>
        <w:t>II</w:t>
      </w:r>
      <w:r>
        <w:rPr>
          <w:color w:val="231F20"/>
          <w:w w:val="105"/>
        </w:rPr>
        <w:t>,</w:t>
      </w:r>
      <w:r>
        <w:rPr>
          <w:color w:val="231F20"/>
          <w:spacing w:val="-32"/>
          <w:w w:val="105"/>
        </w:rPr>
        <w:t> </w:t>
      </w:r>
      <w:r>
        <w:rPr>
          <w:color w:val="231F20"/>
          <w:w w:val="105"/>
        </w:rPr>
        <w:t>Núm.</w:t>
      </w:r>
      <w:r>
        <w:rPr>
          <w:color w:val="231F20"/>
          <w:spacing w:val="-32"/>
          <w:w w:val="105"/>
        </w:rPr>
        <w:t> </w:t>
      </w:r>
      <w:r>
        <w:rPr>
          <w:color w:val="231F20"/>
          <w:w w:val="105"/>
        </w:rPr>
        <w:t>17,</w:t>
      </w:r>
      <w:r>
        <w:rPr>
          <w:color w:val="231F20"/>
          <w:spacing w:val="-32"/>
          <w:w w:val="105"/>
        </w:rPr>
        <w:t> </w:t>
      </w:r>
      <w:r>
        <w:rPr>
          <w:color w:val="231F20"/>
          <w:w w:val="105"/>
        </w:rPr>
        <w:t>pp.</w:t>
      </w:r>
      <w:r>
        <w:rPr>
          <w:color w:val="231F20"/>
          <w:spacing w:val="-32"/>
          <w:w w:val="105"/>
        </w:rPr>
        <w:t> </w:t>
      </w:r>
      <w:r>
        <w:rPr>
          <w:color w:val="231F20"/>
          <w:w w:val="105"/>
        </w:rPr>
        <w:t>205-224.</w:t>
      </w:r>
    </w:p>
    <w:p>
      <w:pPr>
        <w:spacing w:line="241" w:lineRule="exact" w:before="0"/>
        <w:ind w:left="117" w:right="114" w:firstLine="0"/>
        <w:jc w:val="left"/>
        <w:rPr>
          <w:sz w:val="21"/>
        </w:rPr>
      </w:pPr>
      <w:r>
        <w:rPr>
          <w:color w:val="231F20"/>
          <w:sz w:val="21"/>
        </w:rPr>
        <w:t>González, I. (2004). </w:t>
      </w:r>
      <w:r>
        <w:rPr>
          <w:i/>
          <w:color w:val="231F20"/>
          <w:sz w:val="21"/>
        </w:rPr>
        <w:t>Calidad en la Universidad: Evaluación e  Indicadores</w:t>
      </w:r>
      <w:r>
        <w:rPr>
          <w:color w:val="231F20"/>
          <w:sz w:val="21"/>
        </w:rPr>
        <w:t>.</w:t>
      </w:r>
    </w:p>
    <w:p>
      <w:pPr>
        <w:pStyle w:val="BodyText"/>
        <w:spacing w:before="18"/>
        <w:ind w:left="854" w:right="114"/>
      </w:pPr>
      <w:r>
        <w:rPr>
          <w:color w:val="231F20"/>
        </w:rPr>
        <w:t>Ediciones Universidad de Salamanca, Salamanca.</w:t>
      </w:r>
    </w:p>
    <w:p>
      <w:pPr>
        <w:spacing w:line="259" w:lineRule="auto" w:before="18"/>
        <w:ind w:left="854" w:right="115" w:hanging="738"/>
        <w:jc w:val="both"/>
        <w:rPr>
          <w:sz w:val="21"/>
        </w:rPr>
      </w:pPr>
      <w:r>
        <w:rPr>
          <w:color w:val="231F20"/>
          <w:w w:val="105"/>
          <w:sz w:val="21"/>
        </w:rPr>
        <w:t>Grant,</w:t>
      </w:r>
      <w:r>
        <w:rPr>
          <w:color w:val="231F20"/>
          <w:spacing w:val="-24"/>
          <w:w w:val="105"/>
          <w:sz w:val="21"/>
        </w:rPr>
        <w:t> </w:t>
      </w:r>
      <w:r>
        <w:rPr>
          <w:color w:val="231F20"/>
          <w:w w:val="105"/>
          <w:sz w:val="21"/>
        </w:rPr>
        <w:t>R.</w:t>
      </w:r>
      <w:r>
        <w:rPr>
          <w:color w:val="231F20"/>
          <w:spacing w:val="-24"/>
          <w:w w:val="105"/>
          <w:sz w:val="21"/>
        </w:rPr>
        <w:t> </w:t>
      </w:r>
      <w:r>
        <w:rPr>
          <w:color w:val="231F20"/>
          <w:w w:val="105"/>
          <w:sz w:val="21"/>
        </w:rPr>
        <w:t>M.</w:t>
      </w:r>
      <w:r>
        <w:rPr>
          <w:color w:val="231F20"/>
          <w:spacing w:val="-24"/>
          <w:w w:val="105"/>
          <w:sz w:val="21"/>
        </w:rPr>
        <w:t> </w:t>
      </w:r>
      <w:r>
        <w:rPr>
          <w:color w:val="231F20"/>
          <w:w w:val="105"/>
          <w:sz w:val="21"/>
        </w:rPr>
        <w:t>(1996).</w:t>
      </w:r>
      <w:r>
        <w:rPr>
          <w:color w:val="231F20"/>
          <w:spacing w:val="-24"/>
          <w:w w:val="105"/>
          <w:sz w:val="21"/>
        </w:rPr>
        <w:t> </w:t>
      </w:r>
      <w:r>
        <w:rPr>
          <w:color w:val="231F20"/>
          <w:spacing w:val="-4"/>
          <w:w w:val="105"/>
          <w:sz w:val="21"/>
        </w:rPr>
        <w:t>“Toward</w:t>
      </w:r>
      <w:r>
        <w:rPr>
          <w:color w:val="231F20"/>
          <w:spacing w:val="-19"/>
          <w:w w:val="105"/>
          <w:sz w:val="21"/>
        </w:rPr>
        <w:t> </w:t>
      </w:r>
      <w:r>
        <w:rPr>
          <w:color w:val="231F20"/>
          <w:w w:val="105"/>
          <w:sz w:val="21"/>
        </w:rPr>
        <w:t>a</w:t>
      </w:r>
      <w:r>
        <w:rPr>
          <w:color w:val="231F20"/>
          <w:spacing w:val="-19"/>
          <w:w w:val="105"/>
          <w:sz w:val="21"/>
        </w:rPr>
        <w:t> </w:t>
      </w:r>
      <w:r>
        <w:rPr>
          <w:color w:val="231F20"/>
          <w:w w:val="105"/>
          <w:sz w:val="21"/>
        </w:rPr>
        <w:t>knowledge-based</w:t>
      </w:r>
      <w:r>
        <w:rPr>
          <w:color w:val="231F20"/>
          <w:spacing w:val="-19"/>
          <w:w w:val="105"/>
          <w:sz w:val="21"/>
        </w:rPr>
        <w:t> </w:t>
      </w:r>
      <w:r>
        <w:rPr>
          <w:color w:val="231F20"/>
          <w:w w:val="105"/>
          <w:sz w:val="21"/>
        </w:rPr>
        <w:t>theory</w:t>
      </w:r>
      <w:r>
        <w:rPr>
          <w:color w:val="231F20"/>
          <w:spacing w:val="-19"/>
          <w:w w:val="105"/>
          <w:sz w:val="21"/>
        </w:rPr>
        <w:t> </w:t>
      </w:r>
      <w:r>
        <w:rPr>
          <w:color w:val="231F20"/>
          <w:w w:val="105"/>
          <w:sz w:val="21"/>
        </w:rPr>
        <w:t>of</w:t>
      </w:r>
      <w:r>
        <w:rPr>
          <w:color w:val="231F20"/>
          <w:spacing w:val="-15"/>
          <w:w w:val="105"/>
          <w:sz w:val="21"/>
        </w:rPr>
        <w:t> </w:t>
      </w:r>
      <w:r>
        <w:rPr>
          <w:color w:val="231F20"/>
          <w:w w:val="105"/>
          <w:sz w:val="21"/>
        </w:rPr>
        <w:t>the</w:t>
      </w:r>
      <w:r>
        <w:rPr>
          <w:color w:val="231F20"/>
          <w:spacing w:val="-19"/>
          <w:w w:val="105"/>
          <w:sz w:val="21"/>
        </w:rPr>
        <w:t> </w:t>
      </w:r>
      <w:r>
        <w:rPr>
          <w:color w:val="231F20"/>
          <w:spacing w:val="-5"/>
          <w:w w:val="105"/>
          <w:sz w:val="21"/>
        </w:rPr>
        <w:t>firm”.</w:t>
      </w:r>
      <w:r>
        <w:rPr>
          <w:color w:val="231F20"/>
          <w:spacing w:val="-24"/>
          <w:w w:val="105"/>
          <w:sz w:val="21"/>
        </w:rPr>
        <w:t> </w:t>
      </w:r>
      <w:r>
        <w:rPr>
          <w:i/>
          <w:color w:val="231F20"/>
          <w:w w:val="105"/>
          <w:sz w:val="21"/>
        </w:rPr>
        <w:t>Stra- </w:t>
      </w:r>
      <w:r>
        <w:rPr>
          <w:i/>
          <w:color w:val="231F20"/>
          <w:w w:val="105"/>
          <w:sz w:val="21"/>
        </w:rPr>
        <w:t>tegic Management Journal, </w:t>
      </w:r>
      <w:r>
        <w:rPr>
          <w:color w:val="231F20"/>
          <w:spacing w:val="-3"/>
          <w:w w:val="105"/>
          <w:sz w:val="21"/>
        </w:rPr>
        <w:t>Vol. </w:t>
      </w:r>
      <w:r>
        <w:rPr>
          <w:i/>
          <w:color w:val="231F20"/>
          <w:w w:val="105"/>
          <w:sz w:val="21"/>
        </w:rPr>
        <w:t>17</w:t>
      </w:r>
      <w:r>
        <w:rPr>
          <w:color w:val="231F20"/>
          <w:w w:val="105"/>
          <w:sz w:val="21"/>
        </w:rPr>
        <w:t>, Núm. Winter Special Issue, pp.</w:t>
      </w:r>
      <w:r>
        <w:rPr>
          <w:color w:val="231F20"/>
          <w:spacing w:val="-22"/>
          <w:w w:val="105"/>
          <w:sz w:val="21"/>
        </w:rPr>
        <w:t> </w:t>
      </w:r>
      <w:r>
        <w:rPr>
          <w:color w:val="231F20"/>
          <w:w w:val="105"/>
          <w:sz w:val="21"/>
        </w:rPr>
        <w:t>109-122.</w:t>
      </w:r>
    </w:p>
    <w:p>
      <w:pPr>
        <w:pStyle w:val="BodyText"/>
        <w:spacing w:line="259" w:lineRule="auto"/>
        <w:ind w:left="854" w:right="115" w:hanging="737"/>
        <w:jc w:val="both"/>
      </w:pPr>
      <w:r>
        <w:rPr>
          <w:color w:val="231F20"/>
          <w:w w:val="105"/>
        </w:rPr>
        <w:t>Grant,</w:t>
      </w:r>
      <w:r>
        <w:rPr>
          <w:color w:val="231F20"/>
          <w:spacing w:val="-21"/>
          <w:w w:val="105"/>
        </w:rPr>
        <w:t> </w:t>
      </w:r>
      <w:r>
        <w:rPr>
          <w:color w:val="231F20"/>
          <w:w w:val="105"/>
        </w:rPr>
        <w:t>R.</w:t>
      </w:r>
      <w:r>
        <w:rPr>
          <w:color w:val="231F20"/>
          <w:spacing w:val="-21"/>
          <w:w w:val="105"/>
        </w:rPr>
        <w:t> </w:t>
      </w:r>
      <w:r>
        <w:rPr>
          <w:color w:val="231F20"/>
          <w:w w:val="105"/>
        </w:rPr>
        <w:t>M.</w:t>
      </w:r>
      <w:r>
        <w:rPr>
          <w:color w:val="231F20"/>
          <w:spacing w:val="-21"/>
          <w:w w:val="105"/>
        </w:rPr>
        <w:t> </w:t>
      </w:r>
      <w:r>
        <w:rPr>
          <w:color w:val="231F20"/>
          <w:w w:val="105"/>
        </w:rPr>
        <w:t>(1997).</w:t>
      </w:r>
      <w:r>
        <w:rPr>
          <w:color w:val="231F20"/>
          <w:spacing w:val="-21"/>
          <w:w w:val="105"/>
        </w:rPr>
        <w:t> </w:t>
      </w:r>
      <w:r>
        <w:rPr>
          <w:color w:val="231F20"/>
          <w:w w:val="105"/>
        </w:rPr>
        <w:t>“The</w:t>
      </w:r>
      <w:r>
        <w:rPr>
          <w:color w:val="231F20"/>
          <w:spacing w:val="-16"/>
          <w:w w:val="105"/>
        </w:rPr>
        <w:t> </w:t>
      </w:r>
      <w:r>
        <w:rPr>
          <w:color w:val="231F20"/>
          <w:w w:val="105"/>
        </w:rPr>
        <w:t>knowledge-based</w:t>
      </w:r>
      <w:r>
        <w:rPr>
          <w:color w:val="231F20"/>
          <w:spacing w:val="-16"/>
          <w:w w:val="105"/>
        </w:rPr>
        <w:t> </w:t>
      </w:r>
      <w:r>
        <w:rPr>
          <w:color w:val="231F20"/>
          <w:w w:val="105"/>
        </w:rPr>
        <w:t>view</w:t>
      </w:r>
      <w:r>
        <w:rPr>
          <w:color w:val="231F20"/>
          <w:spacing w:val="-16"/>
          <w:w w:val="105"/>
        </w:rPr>
        <w:t> </w:t>
      </w:r>
      <w:r>
        <w:rPr>
          <w:color w:val="231F20"/>
          <w:w w:val="105"/>
        </w:rPr>
        <w:t>of</w:t>
      </w:r>
      <w:r>
        <w:rPr>
          <w:color w:val="231F20"/>
          <w:spacing w:val="-11"/>
          <w:w w:val="105"/>
        </w:rPr>
        <w:t> </w:t>
      </w:r>
      <w:r>
        <w:rPr>
          <w:color w:val="231F20"/>
          <w:w w:val="105"/>
        </w:rPr>
        <w:t>the</w:t>
      </w:r>
      <w:r>
        <w:rPr>
          <w:color w:val="231F20"/>
          <w:spacing w:val="-16"/>
          <w:w w:val="105"/>
        </w:rPr>
        <w:t> </w:t>
      </w:r>
      <w:r>
        <w:rPr>
          <w:color w:val="231F20"/>
          <w:w w:val="105"/>
        </w:rPr>
        <w:t>firm:</w:t>
      </w:r>
      <w:r>
        <w:rPr>
          <w:color w:val="231F20"/>
          <w:spacing w:val="-16"/>
          <w:w w:val="105"/>
        </w:rPr>
        <w:t> </w:t>
      </w:r>
      <w:r>
        <w:rPr>
          <w:color w:val="231F20"/>
          <w:w w:val="105"/>
        </w:rPr>
        <w:t>implications for</w:t>
      </w:r>
      <w:r>
        <w:rPr>
          <w:color w:val="231F20"/>
          <w:spacing w:val="-12"/>
          <w:w w:val="105"/>
        </w:rPr>
        <w:t> </w:t>
      </w:r>
      <w:r>
        <w:rPr>
          <w:color w:val="231F20"/>
          <w:w w:val="105"/>
        </w:rPr>
        <w:t>management</w:t>
      </w:r>
      <w:r>
        <w:rPr>
          <w:color w:val="231F20"/>
          <w:spacing w:val="-12"/>
          <w:w w:val="105"/>
        </w:rPr>
        <w:t> </w:t>
      </w:r>
      <w:r>
        <w:rPr>
          <w:color w:val="231F20"/>
          <w:spacing w:val="-3"/>
          <w:w w:val="105"/>
        </w:rPr>
        <w:t>practice”.</w:t>
      </w:r>
      <w:r>
        <w:rPr>
          <w:color w:val="231F20"/>
          <w:spacing w:val="-17"/>
          <w:w w:val="105"/>
        </w:rPr>
        <w:t> </w:t>
      </w:r>
      <w:r>
        <w:rPr>
          <w:i/>
          <w:color w:val="231F20"/>
          <w:w w:val="105"/>
        </w:rPr>
        <w:t>Longe</w:t>
      </w:r>
      <w:r>
        <w:rPr>
          <w:i/>
          <w:color w:val="231F20"/>
          <w:spacing w:val="-12"/>
          <w:w w:val="105"/>
        </w:rPr>
        <w:t> </w:t>
      </w:r>
      <w:r>
        <w:rPr>
          <w:i/>
          <w:color w:val="231F20"/>
          <w:w w:val="105"/>
        </w:rPr>
        <w:t>Range-planning,</w:t>
      </w:r>
      <w:r>
        <w:rPr>
          <w:i/>
          <w:color w:val="231F20"/>
          <w:spacing w:val="-17"/>
          <w:w w:val="105"/>
        </w:rPr>
        <w:t> </w:t>
      </w:r>
      <w:r>
        <w:rPr>
          <w:color w:val="231F20"/>
          <w:spacing w:val="-3"/>
          <w:w w:val="105"/>
        </w:rPr>
        <w:t>Vol.</w:t>
      </w:r>
      <w:r>
        <w:rPr>
          <w:color w:val="231F20"/>
          <w:spacing w:val="-17"/>
          <w:w w:val="105"/>
        </w:rPr>
        <w:t> </w:t>
      </w:r>
      <w:r>
        <w:rPr>
          <w:i/>
          <w:color w:val="231F20"/>
          <w:w w:val="105"/>
        </w:rPr>
        <w:t>30</w:t>
      </w:r>
      <w:r>
        <w:rPr>
          <w:color w:val="231F20"/>
          <w:w w:val="105"/>
        </w:rPr>
        <w:t>,</w:t>
      </w:r>
      <w:r>
        <w:rPr>
          <w:color w:val="231F20"/>
          <w:spacing w:val="-17"/>
          <w:w w:val="105"/>
        </w:rPr>
        <w:t> </w:t>
      </w:r>
      <w:r>
        <w:rPr>
          <w:color w:val="231F20"/>
          <w:w w:val="105"/>
        </w:rPr>
        <w:t>Núm. 3, pp.</w:t>
      </w:r>
      <w:r>
        <w:rPr>
          <w:color w:val="231F20"/>
          <w:spacing w:val="-46"/>
          <w:w w:val="105"/>
        </w:rPr>
        <w:t> </w:t>
      </w:r>
      <w:r>
        <w:rPr>
          <w:color w:val="231F20"/>
          <w:w w:val="105"/>
        </w:rPr>
        <w:t>450-454.</w:t>
      </w:r>
    </w:p>
    <w:p>
      <w:pPr>
        <w:pStyle w:val="BodyText"/>
        <w:spacing w:line="259" w:lineRule="auto"/>
        <w:ind w:left="854" w:right="118" w:hanging="738"/>
        <w:jc w:val="both"/>
      </w:pPr>
      <w:r>
        <w:rPr>
          <w:color w:val="231F20"/>
        </w:rPr>
        <w:t>Guthrie, J., Ricceri, F., y Dumay, J. (2012). “Reflections and projections: A decade of Intellectual Capital Accounting Research”. </w:t>
      </w:r>
      <w:r>
        <w:rPr>
          <w:i/>
          <w:color w:val="231F20"/>
        </w:rPr>
        <w:t>The British </w:t>
      </w:r>
      <w:r>
        <w:rPr>
          <w:i/>
          <w:color w:val="231F20"/>
        </w:rPr>
        <w:t>Accounting Review, </w:t>
      </w:r>
      <w:r>
        <w:rPr>
          <w:color w:val="231F20"/>
        </w:rPr>
        <w:t>pp. 1-15.</w:t>
      </w:r>
    </w:p>
    <w:p>
      <w:pPr>
        <w:pStyle w:val="BodyText"/>
        <w:spacing w:line="259" w:lineRule="auto"/>
        <w:ind w:left="854" w:right="115" w:hanging="738"/>
        <w:jc w:val="both"/>
      </w:pPr>
      <w:r>
        <w:rPr>
          <w:color w:val="231F20"/>
        </w:rPr>
        <w:t>Guthrie, J., y Neumann, R. (2007). “Economic and non-financial perfor- mance indicators in universities”. </w:t>
      </w:r>
      <w:r>
        <w:rPr>
          <w:i/>
          <w:color w:val="231F20"/>
        </w:rPr>
        <w:t>Public Management Review, </w:t>
      </w:r>
      <w:r>
        <w:rPr>
          <w:color w:val="231F20"/>
        </w:rPr>
        <w:t>Vol. </w:t>
      </w:r>
      <w:r>
        <w:rPr>
          <w:i/>
          <w:color w:val="231F20"/>
        </w:rPr>
        <w:t>9</w:t>
      </w:r>
      <w:r>
        <w:rPr>
          <w:color w:val="231F20"/>
        </w:rPr>
        <w:t>, Núm. 2, pp. 231-252.</w:t>
      </w:r>
    </w:p>
    <w:p>
      <w:pPr>
        <w:spacing w:line="259" w:lineRule="auto" w:before="0"/>
        <w:ind w:left="117" w:right="120" w:firstLine="0"/>
        <w:jc w:val="left"/>
        <w:rPr>
          <w:i/>
          <w:sz w:val="21"/>
        </w:rPr>
      </w:pPr>
      <w:r>
        <w:rPr>
          <w:color w:val="231F20"/>
          <w:w w:val="105"/>
          <w:sz w:val="21"/>
        </w:rPr>
        <w:t>Gutiérrez,</w:t>
      </w:r>
      <w:r>
        <w:rPr>
          <w:color w:val="231F20"/>
          <w:spacing w:val="-27"/>
          <w:w w:val="105"/>
          <w:sz w:val="21"/>
        </w:rPr>
        <w:t> </w:t>
      </w:r>
      <w:r>
        <w:rPr>
          <w:color w:val="231F20"/>
          <w:w w:val="105"/>
          <w:sz w:val="21"/>
        </w:rPr>
        <w:t>H.</w:t>
      </w:r>
      <w:r>
        <w:rPr>
          <w:color w:val="231F20"/>
          <w:spacing w:val="-27"/>
          <w:w w:val="105"/>
          <w:sz w:val="21"/>
        </w:rPr>
        <w:t> </w:t>
      </w:r>
      <w:r>
        <w:rPr>
          <w:color w:val="231F20"/>
          <w:w w:val="105"/>
          <w:sz w:val="21"/>
        </w:rPr>
        <w:t>(2010).</w:t>
      </w:r>
      <w:r>
        <w:rPr>
          <w:color w:val="231F20"/>
          <w:spacing w:val="-27"/>
          <w:w w:val="105"/>
          <w:sz w:val="21"/>
        </w:rPr>
        <w:t> </w:t>
      </w:r>
      <w:r>
        <w:rPr>
          <w:i/>
          <w:color w:val="231F20"/>
          <w:w w:val="105"/>
          <w:sz w:val="21"/>
        </w:rPr>
        <w:t>Calidad</w:t>
      </w:r>
      <w:r>
        <w:rPr>
          <w:i/>
          <w:color w:val="231F20"/>
          <w:spacing w:val="-21"/>
          <w:w w:val="105"/>
          <w:sz w:val="21"/>
        </w:rPr>
        <w:t> </w:t>
      </w:r>
      <w:r>
        <w:rPr>
          <w:i/>
          <w:color w:val="231F20"/>
          <w:w w:val="105"/>
          <w:sz w:val="21"/>
        </w:rPr>
        <w:t>total</w:t>
      </w:r>
      <w:r>
        <w:rPr>
          <w:i/>
          <w:color w:val="231F20"/>
          <w:spacing w:val="-21"/>
          <w:w w:val="105"/>
          <w:sz w:val="21"/>
        </w:rPr>
        <w:t> </w:t>
      </w:r>
      <w:r>
        <w:rPr>
          <w:i/>
          <w:color w:val="231F20"/>
          <w:w w:val="105"/>
          <w:sz w:val="21"/>
        </w:rPr>
        <w:t>y</w:t>
      </w:r>
      <w:r>
        <w:rPr>
          <w:i/>
          <w:color w:val="231F20"/>
          <w:spacing w:val="-21"/>
          <w:w w:val="105"/>
          <w:sz w:val="21"/>
        </w:rPr>
        <w:t> </w:t>
      </w:r>
      <w:r>
        <w:rPr>
          <w:i/>
          <w:color w:val="231F20"/>
          <w:w w:val="105"/>
          <w:sz w:val="21"/>
        </w:rPr>
        <w:t>productividad</w:t>
      </w:r>
      <w:r>
        <w:rPr>
          <w:color w:val="231F20"/>
          <w:w w:val="105"/>
          <w:sz w:val="21"/>
        </w:rPr>
        <w:t>.</w:t>
      </w:r>
      <w:r>
        <w:rPr>
          <w:color w:val="231F20"/>
          <w:spacing w:val="-27"/>
          <w:w w:val="105"/>
          <w:sz w:val="21"/>
        </w:rPr>
        <w:t> </w:t>
      </w:r>
      <w:r>
        <w:rPr>
          <w:color w:val="231F20"/>
          <w:w w:val="105"/>
          <w:sz w:val="21"/>
        </w:rPr>
        <w:t>McGraw</w:t>
      </w:r>
      <w:r>
        <w:rPr>
          <w:color w:val="231F20"/>
          <w:spacing w:val="-21"/>
          <w:w w:val="105"/>
          <w:sz w:val="21"/>
        </w:rPr>
        <w:t> </w:t>
      </w:r>
      <w:r>
        <w:rPr>
          <w:color w:val="231F20"/>
          <w:w w:val="105"/>
          <w:sz w:val="21"/>
        </w:rPr>
        <w:t>Hill,</w:t>
      </w:r>
      <w:r>
        <w:rPr>
          <w:color w:val="231F20"/>
          <w:spacing w:val="-27"/>
          <w:w w:val="105"/>
          <w:sz w:val="21"/>
        </w:rPr>
        <w:t> </w:t>
      </w:r>
      <w:r>
        <w:rPr>
          <w:color w:val="231F20"/>
          <w:w w:val="105"/>
          <w:sz w:val="21"/>
        </w:rPr>
        <w:t>México. Hernández,</w:t>
      </w:r>
      <w:r>
        <w:rPr>
          <w:color w:val="231F20"/>
          <w:spacing w:val="-42"/>
          <w:w w:val="105"/>
          <w:sz w:val="21"/>
        </w:rPr>
        <w:t> </w:t>
      </w:r>
      <w:r>
        <w:rPr>
          <w:color w:val="231F20"/>
          <w:w w:val="105"/>
          <w:sz w:val="21"/>
        </w:rPr>
        <w:t>S.</w:t>
      </w:r>
      <w:r>
        <w:rPr>
          <w:color w:val="231F20"/>
          <w:spacing w:val="-42"/>
          <w:w w:val="105"/>
          <w:sz w:val="21"/>
        </w:rPr>
        <w:t> </w:t>
      </w:r>
      <w:r>
        <w:rPr>
          <w:color w:val="231F20"/>
          <w:w w:val="105"/>
          <w:sz w:val="21"/>
        </w:rPr>
        <w:t>(2006).</w:t>
      </w:r>
      <w:r>
        <w:rPr>
          <w:color w:val="231F20"/>
          <w:spacing w:val="-42"/>
          <w:w w:val="105"/>
          <w:sz w:val="21"/>
        </w:rPr>
        <w:t> </w:t>
      </w:r>
      <w:r>
        <w:rPr>
          <w:i/>
          <w:color w:val="231F20"/>
          <w:w w:val="105"/>
          <w:sz w:val="21"/>
        </w:rPr>
        <w:t>Introducción</w:t>
      </w:r>
      <w:r>
        <w:rPr>
          <w:i/>
          <w:color w:val="231F20"/>
          <w:spacing w:val="-39"/>
          <w:w w:val="105"/>
          <w:sz w:val="21"/>
        </w:rPr>
        <w:t> </w:t>
      </w:r>
      <w:r>
        <w:rPr>
          <w:i/>
          <w:color w:val="231F20"/>
          <w:w w:val="105"/>
          <w:sz w:val="21"/>
        </w:rPr>
        <w:t>a</w:t>
      </w:r>
      <w:r>
        <w:rPr>
          <w:i/>
          <w:color w:val="231F20"/>
          <w:spacing w:val="-39"/>
          <w:w w:val="105"/>
          <w:sz w:val="21"/>
        </w:rPr>
        <w:t> </w:t>
      </w:r>
      <w:r>
        <w:rPr>
          <w:i/>
          <w:color w:val="231F20"/>
          <w:w w:val="105"/>
          <w:sz w:val="21"/>
        </w:rPr>
        <w:t>la</w:t>
      </w:r>
      <w:r>
        <w:rPr>
          <w:i/>
          <w:color w:val="231F20"/>
          <w:spacing w:val="-40"/>
          <w:w w:val="105"/>
          <w:sz w:val="21"/>
        </w:rPr>
        <w:t> </w:t>
      </w:r>
      <w:r>
        <w:rPr>
          <w:i/>
          <w:color w:val="231F20"/>
          <w:w w:val="105"/>
          <w:sz w:val="21"/>
        </w:rPr>
        <w:t>Administración.</w:t>
      </w:r>
      <w:r>
        <w:rPr>
          <w:i/>
          <w:color w:val="231F20"/>
          <w:spacing w:val="-44"/>
          <w:w w:val="105"/>
          <w:sz w:val="21"/>
        </w:rPr>
        <w:t> </w:t>
      </w:r>
      <w:r>
        <w:rPr>
          <w:i/>
          <w:color w:val="231F20"/>
          <w:spacing w:val="-4"/>
          <w:w w:val="105"/>
          <w:sz w:val="21"/>
        </w:rPr>
        <w:t>Teoría</w:t>
      </w:r>
      <w:r>
        <w:rPr>
          <w:i/>
          <w:color w:val="231F20"/>
          <w:spacing w:val="-39"/>
          <w:w w:val="105"/>
          <w:sz w:val="21"/>
        </w:rPr>
        <w:t> </w:t>
      </w:r>
      <w:r>
        <w:rPr>
          <w:i/>
          <w:color w:val="231F20"/>
          <w:w w:val="105"/>
          <w:sz w:val="21"/>
        </w:rPr>
        <w:t>general</w:t>
      </w:r>
      <w:r>
        <w:rPr>
          <w:i/>
          <w:color w:val="231F20"/>
          <w:spacing w:val="-39"/>
          <w:w w:val="105"/>
          <w:sz w:val="21"/>
        </w:rPr>
        <w:t> </w:t>
      </w:r>
      <w:r>
        <w:rPr>
          <w:i/>
          <w:color w:val="231F20"/>
          <w:w w:val="105"/>
          <w:sz w:val="21"/>
        </w:rPr>
        <w:t>ad-</w:t>
      </w:r>
    </w:p>
    <w:p>
      <w:pPr>
        <w:spacing w:line="259" w:lineRule="auto" w:before="0"/>
        <w:ind w:left="854" w:right="114" w:firstLine="0"/>
        <w:jc w:val="left"/>
        <w:rPr>
          <w:sz w:val="21"/>
        </w:rPr>
      </w:pPr>
      <w:r>
        <w:rPr>
          <w:i/>
          <w:color w:val="231F20"/>
          <w:sz w:val="21"/>
        </w:rPr>
        <w:t>ministrativa: origen, evolución y vanguardia</w:t>
      </w:r>
      <w:r>
        <w:rPr>
          <w:color w:val="231F20"/>
          <w:sz w:val="21"/>
        </w:rPr>
        <w:t>. McGraw Hill Intera- mericana, México.</w:t>
      </w:r>
    </w:p>
    <w:p>
      <w:pPr>
        <w:pStyle w:val="BodyText"/>
        <w:spacing w:line="259" w:lineRule="auto"/>
        <w:ind w:left="854" w:right="115" w:hanging="738"/>
        <w:jc w:val="both"/>
      </w:pPr>
      <w:r>
        <w:rPr>
          <w:color w:val="231F20"/>
        </w:rPr>
        <w:t>Hides,</w:t>
      </w:r>
      <w:r>
        <w:rPr>
          <w:color w:val="231F20"/>
          <w:spacing w:val="-15"/>
        </w:rPr>
        <w:t> </w:t>
      </w:r>
      <w:r>
        <w:rPr>
          <w:color w:val="231F20"/>
        </w:rPr>
        <w:t>M.</w:t>
      </w:r>
      <w:r>
        <w:rPr>
          <w:color w:val="231F20"/>
          <w:spacing w:val="-21"/>
        </w:rPr>
        <w:t> </w:t>
      </w:r>
      <w:r>
        <w:rPr>
          <w:color w:val="231F20"/>
          <w:spacing w:val="-6"/>
        </w:rPr>
        <w:t>T.,</w:t>
      </w:r>
      <w:r>
        <w:rPr>
          <w:color w:val="231F20"/>
          <w:spacing w:val="-15"/>
        </w:rPr>
        <w:t> </w:t>
      </w:r>
      <w:r>
        <w:rPr>
          <w:color w:val="231F20"/>
        </w:rPr>
        <w:t>Davies,</w:t>
      </w:r>
      <w:r>
        <w:rPr>
          <w:color w:val="231F20"/>
          <w:spacing w:val="-18"/>
        </w:rPr>
        <w:t> </w:t>
      </w:r>
      <w:r>
        <w:rPr>
          <w:color w:val="231F20"/>
        </w:rPr>
        <w:t>J.,</w:t>
      </w:r>
      <w:r>
        <w:rPr>
          <w:color w:val="231F20"/>
          <w:spacing w:val="-15"/>
        </w:rPr>
        <w:t> </w:t>
      </w:r>
      <w:r>
        <w:rPr>
          <w:color w:val="231F20"/>
        </w:rPr>
        <w:t>y</w:t>
      </w:r>
      <w:r>
        <w:rPr>
          <w:color w:val="231F20"/>
          <w:spacing w:val="-11"/>
        </w:rPr>
        <w:t> </w:t>
      </w:r>
      <w:r>
        <w:rPr>
          <w:color w:val="231F20"/>
        </w:rPr>
        <w:t>Jackson,</w:t>
      </w:r>
      <w:r>
        <w:rPr>
          <w:color w:val="231F20"/>
          <w:spacing w:val="-15"/>
        </w:rPr>
        <w:t> </w:t>
      </w:r>
      <w:r>
        <w:rPr>
          <w:color w:val="231F20"/>
        </w:rPr>
        <w:t>S.</w:t>
      </w:r>
      <w:r>
        <w:rPr>
          <w:color w:val="231F20"/>
          <w:spacing w:val="-15"/>
        </w:rPr>
        <w:t> </w:t>
      </w:r>
      <w:r>
        <w:rPr>
          <w:color w:val="231F20"/>
        </w:rPr>
        <w:t>(2004).</w:t>
      </w:r>
      <w:r>
        <w:rPr>
          <w:color w:val="231F20"/>
          <w:spacing w:val="-15"/>
        </w:rPr>
        <w:t> </w:t>
      </w:r>
      <w:r>
        <w:rPr>
          <w:color w:val="231F20"/>
        </w:rPr>
        <w:t>“Implementation</w:t>
      </w:r>
      <w:r>
        <w:rPr>
          <w:color w:val="231F20"/>
          <w:spacing w:val="-8"/>
        </w:rPr>
        <w:t> </w:t>
      </w:r>
      <w:r>
        <w:rPr>
          <w:color w:val="231F20"/>
        </w:rPr>
        <w:t>of</w:t>
      </w:r>
      <w:r>
        <w:rPr>
          <w:color w:val="231F20"/>
          <w:spacing w:val="-2"/>
        </w:rPr>
        <w:t> </w:t>
      </w:r>
      <w:r>
        <w:rPr>
          <w:color w:val="231F20"/>
        </w:rPr>
        <w:t>EFQM</w:t>
      </w:r>
      <w:r>
        <w:rPr>
          <w:color w:val="231F20"/>
          <w:spacing w:val="-8"/>
        </w:rPr>
        <w:t> </w:t>
      </w:r>
      <w:r>
        <w:rPr>
          <w:color w:val="231F20"/>
        </w:rPr>
        <w:t>ex- cellence model self-assessment in the UK higher education sec- tor – lessons learned from other </w:t>
      </w:r>
      <w:r>
        <w:rPr>
          <w:color w:val="231F20"/>
          <w:spacing w:val="-3"/>
        </w:rPr>
        <w:t>sectors”. </w:t>
      </w:r>
      <w:r>
        <w:rPr>
          <w:i/>
          <w:color w:val="231F20"/>
        </w:rPr>
        <w:t>The </w:t>
      </w:r>
      <w:r>
        <w:rPr>
          <w:i/>
          <w:color w:val="231F20"/>
          <w:spacing w:val="-3"/>
        </w:rPr>
        <w:t>TQM </w:t>
      </w:r>
      <w:r>
        <w:rPr>
          <w:i/>
          <w:color w:val="231F20"/>
        </w:rPr>
        <w:t>Magazine, </w:t>
      </w:r>
      <w:r>
        <w:rPr>
          <w:color w:val="231F20"/>
          <w:spacing w:val="-3"/>
        </w:rPr>
        <w:t>Vol. </w:t>
      </w:r>
      <w:r>
        <w:rPr>
          <w:i/>
          <w:color w:val="231F20"/>
        </w:rPr>
        <w:t>16</w:t>
      </w:r>
      <w:r>
        <w:rPr>
          <w:color w:val="231F20"/>
        </w:rPr>
        <w:t>, Núm. 3, pp. 194 -</w:t>
      </w:r>
      <w:r>
        <w:rPr>
          <w:color w:val="231F20"/>
          <w:spacing w:val="14"/>
        </w:rPr>
        <w:t> </w:t>
      </w:r>
      <w:r>
        <w:rPr>
          <w:color w:val="231F20"/>
        </w:rPr>
        <w:t>201.</w:t>
      </w:r>
    </w:p>
    <w:p>
      <w:pPr>
        <w:spacing w:line="259" w:lineRule="auto" w:before="0"/>
        <w:ind w:left="854" w:right="115" w:hanging="738"/>
        <w:jc w:val="both"/>
        <w:rPr>
          <w:sz w:val="21"/>
        </w:rPr>
      </w:pPr>
      <w:r>
        <w:rPr>
          <w:color w:val="231F20"/>
          <w:sz w:val="21"/>
        </w:rPr>
        <w:t>Iqbal, M. J., Rasli, A., Low Hock, H., Huam Hon, </w:t>
      </w:r>
      <w:r>
        <w:rPr>
          <w:color w:val="231F20"/>
          <w:spacing w:val="-6"/>
          <w:sz w:val="21"/>
        </w:rPr>
        <w:t>T., </w:t>
      </w:r>
      <w:r>
        <w:rPr>
          <w:color w:val="231F20"/>
          <w:sz w:val="21"/>
        </w:rPr>
        <w:t>Mohamad Bin Bilal,</w:t>
      </w:r>
      <w:r>
        <w:rPr>
          <w:color w:val="231F20"/>
          <w:spacing w:val="-18"/>
          <w:sz w:val="21"/>
        </w:rPr>
        <w:t> </w:t>
      </w:r>
      <w:r>
        <w:rPr>
          <w:color w:val="231F20"/>
          <w:sz w:val="21"/>
        </w:rPr>
        <w:t>A., y Hassan, I. (2011). “Knowledge Economy and University </w:t>
      </w:r>
      <w:r>
        <w:rPr>
          <w:color w:val="231F20"/>
          <w:spacing w:val="-4"/>
          <w:sz w:val="21"/>
        </w:rPr>
        <w:t>Perfor- mance”. </w:t>
      </w:r>
      <w:r>
        <w:rPr>
          <w:i/>
          <w:color w:val="231F20"/>
          <w:sz w:val="21"/>
        </w:rPr>
        <w:t>International Journal of Academic Research, </w:t>
      </w:r>
      <w:r>
        <w:rPr>
          <w:color w:val="231F20"/>
          <w:spacing w:val="-3"/>
          <w:sz w:val="21"/>
        </w:rPr>
        <w:t>Vol. </w:t>
      </w:r>
      <w:r>
        <w:rPr>
          <w:i/>
          <w:color w:val="231F20"/>
          <w:sz w:val="21"/>
        </w:rPr>
        <w:t>3</w:t>
      </w:r>
      <w:r>
        <w:rPr>
          <w:color w:val="231F20"/>
          <w:sz w:val="21"/>
        </w:rPr>
        <w:t>, Núm. 5, pp.</w:t>
      </w:r>
      <w:r>
        <w:rPr>
          <w:color w:val="231F20"/>
          <w:spacing w:val="15"/>
          <w:sz w:val="21"/>
        </w:rPr>
        <w:t> </w:t>
      </w:r>
      <w:r>
        <w:rPr>
          <w:color w:val="231F20"/>
          <w:sz w:val="21"/>
        </w:rPr>
        <w:t>27-32.</w:t>
      </w:r>
    </w:p>
    <w:p>
      <w:pPr>
        <w:pStyle w:val="BodyText"/>
        <w:spacing w:line="259" w:lineRule="auto"/>
        <w:ind w:left="854" w:right="122" w:hanging="738"/>
        <w:jc w:val="both"/>
      </w:pPr>
      <w:r>
        <w:rPr>
          <w:color w:val="231F20"/>
          <w:w w:val="105"/>
        </w:rPr>
        <w:t>Ishikawa, K. (1986). ¿Qué es el control total de calidad?: la modalidad japonesa. Editorial Norma, Bogotá.</w:t>
      </w:r>
    </w:p>
    <w:p>
      <w:pPr>
        <w:spacing w:line="259" w:lineRule="auto" w:before="0"/>
        <w:ind w:left="854" w:right="122" w:hanging="737"/>
        <w:jc w:val="both"/>
        <w:rPr>
          <w:sz w:val="21"/>
        </w:rPr>
      </w:pPr>
      <w:r>
        <w:rPr>
          <w:color w:val="231F20"/>
          <w:w w:val="105"/>
          <w:sz w:val="21"/>
        </w:rPr>
        <w:t>Jarrat,</w:t>
      </w:r>
      <w:r>
        <w:rPr>
          <w:color w:val="231F20"/>
          <w:spacing w:val="-27"/>
          <w:w w:val="105"/>
          <w:sz w:val="21"/>
        </w:rPr>
        <w:t> </w:t>
      </w:r>
      <w:r>
        <w:rPr>
          <w:color w:val="231F20"/>
          <w:w w:val="105"/>
          <w:sz w:val="21"/>
        </w:rPr>
        <w:t>A.</w:t>
      </w:r>
      <w:r>
        <w:rPr>
          <w:color w:val="231F20"/>
          <w:spacing w:val="-25"/>
          <w:w w:val="105"/>
          <w:sz w:val="21"/>
        </w:rPr>
        <w:t> </w:t>
      </w:r>
      <w:r>
        <w:rPr>
          <w:color w:val="231F20"/>
          <w:w w:val="105"/>
          <w:sz w:val="21"/>
        </w:rPr>
        <w:t>(1985).</w:t>
      </w:r>
      <w:r>
        <w:rPr>
          <w:color w:val="231F20"/>
          <w:spacing w:val="-25"/>
          <w:w w:val="105"/>
          <w:sz w:val="21"/>
        </w:rPr>
        <w:t> </w:t>
      </w:r>
      <w:r>
        <w:rPr>
          <w:i/>
          <w:color w:val="231F20"/>
          <w:w w:val="105"/>
          <w:sz w:val="21"/>
        </w:rPr>
        <w:t>Report</w:t>
      </w:r>
      <w:r>
        <w:rPr>
          <w:i/>
          <w:color w:val="231F20"/>
          <w:spacing w:val="-20"/>
          <w:w w:val="105"/>
          <w:sz w:val="21"/>
        </w:rPr>
        <w:t> </w:t>
      </w:r>
      <w:r>
        <w:rPr>
          <w:i/>
          <w:color w:val="231F20"/>
          <w:w w:val="105"/>
          <w:sz w:val="21"/>
        </w:rPr>
        <w:t>of</w:t>
      </w:r>
      <w:r>
        <w:rPr>
          <w:i/>
          <w:color w:val="231F20"/>
          <w:spacing w:val="-17"/>
          <w:w w:val="105"/>
          <w:sz w:val="21"/>
        </w:rPr>
        <w:t> </w:t>
      </w:r>
      <w:r>
        <w:rPr>
          <w:i/>
          <w:color w:val="231F20"/>
          <w:w w:val="105"/>
          <w:sz w:val="21"/>
        </w:rPr>
        <w:t>the</w:t>
      </w:r>
      <w:r>
        <w:rPr>
          <w:i/>
          <w:color w:val="231F20"/>
          <w:spacing w:val="-20"/>
          <w:w w:val="105"/>
          <w:sz w:val="21"/>
        </w:rPr>
        <w:t> </w:t>
      </w:r>
      <w:r>
        <w:rPr>
          <w:i/>
          <w:color w:val="231F20"/>
          <w:w w:val="105"/>
          <w:sz w:val="21"/>
        </w:rPr>
        <w:t>Steering</w:t>
      </w:r>
      <w:r>
        <w:rPr>
          <w:i/>
          <w:color w:val="231F20"/>
          <w:spacing w:val="-20"/>
          <w:w w:val="105"/>
          <w:sz w:val="21"/>
        </w:rPr>
        <w:t> </w:t>
      </w:r>
      <w:r>
        <w:rPr>
          <w:i/>
          <w:color w:val="231F20"/>
          <w:w w:val="105"/>
          <w:sz w:val="21"/>
        </w:rPr>
        <w:t>Committee</w:t>
      </w:r>
      <w:r>
        <w:rPr>
          <w:i/>
          <w:color w:val="231F20"/>
          <w:spacing w:val="-20"/>
          <w:w w:val="105"/>
          <w:sz w:val="21"/>
        </w:rPr>
        <w:t> </w:t>
      </w:r>
      <w:r>
        <w:rPr>
          <w:i/>
          <w:color w:val="231F20"/>
          <w:w w:val="105"/>
          <w:sz w:val="21"/>
        </w:rPr>
        <w:t>for</w:t>
      </w:r>
      <w:r>
        <w:rPr>
          <w:i/>
          <w:color w:val="231F20"/>
          <w:spacing w:val="-20"/>
          <w:w w:val="105"/>
          <w:sz w:val="21"/>
        </w:rPr>
        <w:t> </w:t>
      </w:r>
      <w:r>
        <w:rPr>
          <w:i/>
          <w:color w:val="231F20"/>
          <w:w w:val="105"/>
          <w:sz w:val="21"/>
        </w:rPr>
        <w:t>Efficiency</w:t>
      </w:r>
      <w:r>
        <w:rPr>
          <w:i/>
          <w:color w:val="231F20"/>
          <w:spacing w:val="-20"/>
          <w:w w:val="105"/>
          <w:sz w:val="21"/>
        </w:rPr>
        <w:t> </w:t>
      </w:r>
      <w:r>
        <w:rPr>
          <w:i/>
          <w:color w:val="231F20"/>
          <w:w w:val="105"/>
          <w:sz w:val="21"/>
        </w:rPr>
        <w:t>Studies </w:t>
      </w:r>
      <w:r>
        <w:rPr>
          <w:i/>
          <w:color w:val="231F20"/>
          <w:w w:val="105"/>
          <w:sz w:val="21"/>
        </w:rPr>
        <w:t>in</w:t>
      </w:r>
      <w:r>
        <w:rPr>
          <w:i/>
          <w:color w:val="231F20"/>
          <w:spacing w:val="-7"/>
          <w:w w:val="105"/>
          <w:sz w:val="21"/>
        </w:rPr>
        <w:t> </w:t>
      </w:r>
      <w:r>
        <w:rPr>
          <w:i/>
          <w:color w:val="231F20"/>
          <w:w w:val="105"/>
          <w:sz w:val="21"/>
        </w:rPr>
        <w:t>Universities</w:t>
      </w:r>
      <w:r>
        <w:rPr>
          <w:color w:val="231F20"/>
          <w:w w:val="105"/>
          <w:sz w:val="21"/>
        </w:rPr>
        <w:t>.</w:t>
      </w:r>
      <w:r>
        <w:rPr>
          <w:color w:val="231F20"/>
          <w:spacing w:val="-12"/>
          <w:w w:val="105"/>
          <w:sz w:val="21"/>
        </w:rPr>
        <w:t> </w:t>
      </w:r>
      <w:r>
        <w:rPr>
          <w:color w:val="231F20"/>
          <w:w w:val="105"/>
          <w:sz w:val="21"/>
        </w:rPr>
        <w:t>Committee</w:t>
      </w:r>
      <w:r>
        <w:rPr>
          <w:color w:val="231F20"/>
          <w:spacing w:val="-7"/>
          <w:w w:val="105"/>
          <w:sz w:val="21"/>
        </w:rPr>
        <w:t> </w:t>
      </w:r>
      <w:r>
        <w:rPr>
          <w:color w:val="231F20"/>
          <w:w w:val="105"/>
          <w:sz w:val="21"/>
        </w:rPr>
        <w:t>of</w:t>
      </w:r>
      <w:r>
        <w:rPr>
          <w:color w:val="231F20"/>
          <w:spacing w:val="-7"/>
          <w:w w:val="105"/>
          <w:sz w:val="21"/>
        </w:rPr>
        <w:t> </w:t>
      </w:r>
      <w:r>
        <w:rPr>
          <w:color w:val="231F20"/>
          <w:w w:val="105"/>
          <w:sz w:val="21"/>
        </w:rPr>
        <w:t>Vice-Chancellors</w:t>
      </w:r>
      <w:r>
        <w:rPr>
          <w:color w:val="231F20"/>
          <w:spacing w:val="-7"/>
          <w:w w:val="105"/>
          <w:sz w:val="21"/>
        </w:rPr>
        <w:t> </w:t>
      </w:r>
      <w:r>
        <w:rPr>
          <w:color w:val="231F20"/>
          <w:w w:val="105"/>
          <w:sz w:val="21"/>
        </w:rPr>
        <w:t>and</w:t>
      </w:r>
      <w:r>
        <w:rPr>
          <w:color w:val="231F20"/>
          <w:spacing w:val="-7"/>
          <w:w w:val="105"/>
          <w:sz w:val="21"/>
        </w:rPr>
        <w:t> </w:t>
      </w:r>
      <w:r>
        <w:rPr>
          <w:color w:val="231F20"/>
          <w:w w:val="105"/>
          <w:sz w:val="21"/>
        </w:rPr>
        <w:t>Principals</w:t>
      </w:r>
      <w:r>
        <w:rPr>
          <w:color w:val="231F20"/>
          <w:spacing w:val="-7"/>
          <w:w w:val="105"/>
          <w:sz w:val="21"/>
        </w:rPr>
        <w:t> </w:t>
      </w:r>
      <w:r>
        <w:rPr>
          <w:color w:val="231F20"/>
          <w:w w:val="105"/>
          <w:sz w:val="21"/>
        </w:rPr>
        <w:t>of the</w:t>
      </w:r>
      <w:r>
        <w:rPr>
          <w:color w:val="231F20"/>
          <w:spacing w:val="-23"/>
          <w:w w:val="105"/>
          <w:sz w:val="21"/>
        </w:rPr>
        <w:t> </w:t>
      </w:r>
      <w:r>
        <w:rPr>
          <w:color w:val="231F20"/>
          <w:w w:val="105"/>
          <w:sz w:val="21"/>
        </w:rPr>
        <w:t>United</w:t>
      </w:r>
      <w:r>
        <w:rPr>
          <w:color w:val="231F20"/>
          <w:spacing w:val="-23"/>
          <w:w w:val="105"/>
          <w:sz w:val="21"/>
        </w:rPr>
        <w:t> </w:t>
      </w:r>
      <w:r>
        <w:rPr>
          <w:color w:val="231F20"/>
          <w:w w:val="105"/>
          <w:sz w:val="21"/>
        </w:rPr>
        <w:t>Kingdom</w:t>
      </w:r>
      <w:r>
        <w:rPr>
          <w:color w:val="231F20"/>
          <w:spacing w:val="-23"/>
          <w:w w:val="105"/>
          <w:sz w:val="21"/>
        </w:rPr>
        <w:t> </w:t>
      </w:r>
      <w:r>
        <w:rPr>
          <w:color w:val="231F20"/>
          <w:w w:val="105"/>
          <w:sz w:val="21"/>
        </w:rPr>
        <w:t>Universities,</w:t>
      </w:r>
      <w:r>
        <w:rPr>
          <w:color w:val="231F20"/>
          <w:spacing w:val="-28"/>
          <w:w w:val="105"/>
          <w:sz w:val="21"/>
        </w:rPr>
        <w:t> </w:t>
      </w:r>
      <w:r>
        <w:rPr>
          <w:color w:val="231F20"/>
          <w:w w:val="105"/>
          <w:sz w:val="21"/>
        </w:rPr>
        <w:t>Londres.</w:t>
      </w:r>
    </w:p>
    <w:p>
      <w:pPr>
        <w:spacing w:line="259" w:lineRule="auto" w:before="0"/>
        <w:ind w:left="854" w:right="123" w:hanging="738"/>
        <w:jc w:val="both"/>
        <w:rPr>
          <w:sz w:val="21"/>
        </w:rPr>
      </w:pPr>
      <w:r>
        <w:rPr>
          <w:color w:val="231F20"/>
          <w:w w:val="105"/>
          <w:sz w:val="21"/>
        </w:rPr>
        <w:t>Juran,</w:t>
      </w:r>
      <w:r>
        <w:rPr>
          <w:color w:val="231F20"/>
          <w:spacing w:val="-29"/>
          <w:w w:val="105"/>
          <w:sz w:val="21"/>
        </w:rPr>
        <w:t> </w:t>
      </w:r>
      <w:r>
        <w:rPr>
          <w:color w:val="231F20"/>
          <w:w w:val="105"/>
          <w:sz w:val="21"/>
        </w:rPr>
        <w:t>J.</w:t>
      </w:r>
      <w:r>
        <w:rPr>
          <w:color w:val="231F20"/>
          <w:spacing w:val="-26"/>
          <w:w w:val="105"/>
          <w:sz w:val="21"/>
        </w:rPr>
        <w:t> </w:t>
      </w:r>
      <w:r>
        <w:rPr>
          <w:color w:val="231F20"/>
          <w:w w:val="105"/>
          <w:sz w:val="21"/>
        </w:rPr>
        <w:t>M.</w:t>
      </w:r>
      <w:r>
        <w:rPr>
          <w:color w:val="231F20"/>
          <w:spacing w:val="-26"/>
          <w:w w:val="105"/>
          <w:sz w:val="21"/>
        </w:rPr>
        <w:t> </w:t>
      </w:r>
      <w:r>
        <w:rPr>
          <w:color w:val="231F20"/>
          <w:w w:val="105"/>
          <w:sz w:val="21"/>
        </w:rPr>
        <w:t>(1969).</w:t>
      </w:r>
      <w:r>
        <w:rPr>
          <w:color w:val="231F20"/>
          <w:spacing w:val="-26"/>
          <w:w w:val="105"/>
          <w:sz w:val="21"/>
        </w:rPr>
        <w:t> </w:t>
      </w:r>
      <w:r>
        <w:rPr>
          <w:i/>
          <w:color w:val="231F20"/>
          <w:w w:val="105"/>
          <w:sz w:val="21"/>
        </w:rPr>
        <w:t>Managerial</w:t>
      </w:r>
      <w:r>
        <w:rPr>
          <w:i/>
          <w:color w:val="231F20"/>
          <w:spacing w:val="-22"/>
          <w:w w:val="105"/>
          <w:sz w:val="21"/>
        </w:rPr>
        <w:t> </w:t>
      </w:r>
      <w:r>
        <w:rPr>
          <w:i/>
          <w:color w:val="231F20"/>
          <w:w w:val="105"/>
          <w:sz w:val="21"/>
        </w:rPr>
        <w:t>breakthrough:</w:t>
      </w:r>
      <w:r>
        <w:rPr>
          <w:i/>
          <w:color w:val="231F20"/>
          <w:spacing w:val="-25"/>
          <w:w w:val="105"/>
          <w:sz w:val="21"/>
        </w:rPr>
        <w:t> </w:t>
      </w:r>
      <w:r>
        <w:rPr>
          <w:i/>
          <w:color w:val="231F20"/>
          <w:w w:val="105"/>
          <w:sz w:val="21"/>
        </w:rPr>
        <w:t>A</w:t>
      </w:r>
      <w:r>
        <w:rPr>
          <w:i/>
          <w:color w:val="231F20"/>
          <w:spacing w:val="-25"/>
          <w:w w:val="105"/>
          <w:sz w:val="21"/>
        </w:rPr>
        <w:t> </w:t>
      </w:r>
      <w:r>
        <w:rPr>
          <w:i/>
          <w:color w:val="231F20"/>
          <w:w w:val="105"/>
          <w:sz w:val="21"/>
        </w:rPr>
        <w:t>new</w:t>
      </w:r>
      <w:r>
        <w:rPr>
          <w:i/>
          <w:color w:val="231F20"/>
          <w:spacing w:val="-22"/>
          <w:w w:val="105"/>
          <w:sz w:val="21"/>
        </w:rPr>
        <w:t> </w:t>
      </w:r>
      <w:r>
        <w:rPr>
          <w:i/>
          <w:color w:val="231F20"/>
          <w:w w:val="105"/>
          <w:sz w:val="21"/>
        </w:rPr>
        <w:t>concept</w:t>
      </w:r>
      <w:r>
        <w:rPr>
          <w:i/>
          <w:color w:val="231F20"/>
          <w:spacing w:val="-22"/>
          <w:w w:val="105"/>
          <w:sz w:val="21"/>
        </w:rPr>
        <w:t> </w:t>
      </w:r>
      <w:r>
        <w:rPr>
          <w:i/>
          <w:color w:val="231F20"/>
          <w:w w:val="105"/>
          <w:sz w:val="21"/>
        </w:rPr>
        <w:t>of</w:t>
      </w:r>
      <w:r>
        <w:rPr>
          <w:i/>
          <w:color w:val="231F20"/>
          <w:spacing w:val="-18"/>
          <w:w w:val="105"/>
          <w:sz w:val="21"/>
        </w:rPr>
        <w:t> </w:t>
      </w:r>
      <w:r>
        <w:rPr>
          <w:i/>
          <w:color w:val="231F20"/>
          <w:w w:val="105"/>
          <w:sz w:val="21"/>
        </w:rPr>
        <w:t>the</w:t>
      </w:r>
      <w:r>
        <w:rPr>
          <w:i/>
          <w:color w:val="231F20"/>
          <w:spacing w:val="-22"/>
          <w:w w:val="105"/>
          <w:sz w:val="21"/>
        </w:rPr>
        <w:t> </w:t>
      </w:r>
      <w:r>
        <w:rPr>
          <w:i/>
          <w:color w:val="231F20"/>
          <w:w w:val="105"/>
          <w:sz w:val="21"/>
        </w:rPr>
        <w:t>man- </w:t>
      </w:r>
      <w:r>
        <w:rPr>
          <w:i/>
          <w:color w:val="231F20"/>
          <w:w w:val="105"/>
          <w:sz w:val="21"/>
        </w:rPr>
        <w:t>ager’s</w:t>
      </w:r>
      <w:r>
        <w:rPr>
          <w:i/>
          <w:color w:val="231F20"/>
          <w:spacing w:val="-29"/>
          <w:w w:val="105"/>
          <w:sz w:val="21"/>
        </w:rPr>
        <w:t> </w:t>
      </w:r>
      <w:r>
        <w:rPr>
          <w:i/>
          <w:color w:val="231F20"/>
          <w:w w:val="105"/>
          <w:sz w:val="21"/>
        </w:rPr>
        <w:t>job</w:t>
      </w:r>
      <w:r>
        <w:rPr>
          <w:color w:val="231F20"/>
          <w:w w:val="105"/>
          <w:sz w:val="21"/>
        </w:rPr>
        <w:t>.</w:t>
      </w:r>
      <w:r>
        <w:rPr>
          <w:color w:val="231F20"/>
          <w:spacing w:val="-34"/>
          <w:w w:val="105"/>
          <w:sz w:val="21"/>
        </w:rPr>
        <w:t> </w:t>
      </w:r>
      <w:r>
        <w:rPr>
          <w:color w:val="231F20"/>
          <w:w w:val="105"/>
          <w:sz w:val="21"/>
        </w:rPr>
        <w:t>McGraw</w:t>
      </w:r>
      <w:r>
        <w:rPr>
          <w:color w:val="231F20"/>
          <w:spacing w:val="-29"/>
          <w:w w:val="105"/>
          <w:sz w:val="21"/>
        </w:rPr>
        <w:t> </w:t>
      </w:r>
      <w:r>
        <w:rPr>
          <w:color w:val="231F20"/>
          <w:w w:val="105"/>
          <w:sz w:val="21"/>
        </w:rPr>
        <w:t>Hill,</w:t>
      </w:r>
      <w:r>
        <w:rPr>
          <w:color w:val="231F20"/>
          <w:spacing w:val="-34"/>
          <w:w w:val="105"/>
          <w:sz w:val="21"/>
        </w:rPr>
        <w:t> </w:t>
      </w:r>
      <w:r>
        <w:rPr>
          <w:color w:val="231F20"/>
          <w:w w:val="105"/>
          <w:sz w:val="21"/>
        </w:rPr>
        <w:t>Nueva</w:t>
      </w:r>
      <w:r>
        <w:rPr>
          <w:color w:val="231F20"/>
          <w:spacing w:val="-32"/>
          <w:w w:val="105"/>
          <w:sz w:val="21"/>
        </w:rPr>
        <w:t> </w:t>
      </w:r>
      <w:r>
        <w:rPr>
          <w:color w:val="231F20"/>
          <w:spacing w:val="-4"/>
          <w:w w:val="105"/>
          <w:sz w:val="21"/>
        </w:rPr>
        <w:t>York.</w:t>
      </w:r>
    </w:p>
    <w:p>
      <w:pPr>
        <w:pStyle w:val="BodyText"/>
        <w:spacing w:line="259" w:lineRule="auto"/>
        <w:ind w:left="853" w:right="116" w:hanging="737"/>
        <w:jc w:val="both"/>
      </w:pPr>
      <w:r>
        <w:rPr>
          <w:color w:val="231F20"/>
        </w:rPr>
        <w:t>Kaplan, R., y Norton, </w:t>
      </w:r>
      <w:r>
        <w:rPr>
          <w:color w:val="231F20"/>
          <w:spacing w:val="-6"/>
        </w:rPr>
        <w:t>D. </w:t>
      </w:r>
      <w:r>
        <w:rPr>
          <w:color w:val="231F20"/>
          <w:spacing w:val="-16"/>
        </w:rPr>
        <w:t>P. </w:t>
      </w:r>
      <w:r>
        <w:rPr>
          <w:color w:val="231F20"/>
        </w:rPr>
        <w:t>(1992). “The Balanced Scorecard -Measures That Drive </w:t>
      </w:r>
      <w:r>
        <w:rPr>
          <w:color w:val="231F20"/>
          <w:spacing w:val="-4"/>
        </w:rPr>
        <w:t>Performance”. </w:t>
      </w:r>
      <w:r>
        <w:rPr>
          <w:i/>
          <w:color w:val="231F20"/>
        </w:rPr>
        <w:t>Harvard Business Review, </w:t>
      </w:r>
      <w:r>
        <w:rPr>
          <w:color w:val="231F20"/>
          <w:spacing w:val="-3"/>
        </w:rPr>
        <w:t>Vol. </w:t>
      </w:r>
      <w:r>
        <w:rPr>
          <w:i/>
          <w:color w:val="231F20"/>
        </w:rPr>
        <w:t>70</w:t>
      </w:r>
      <w:r>
        <w:rPr>
          <w:color w:val="231F20"/>
        </w:rPr>
        <w:t>, Núm. 1, pp. 71-79.</w:t>
      </w:r>
    </w:p>
    <w:p>
      <w:pPr>
        <w:spacing w:line="259" w:lineRule="auto" w:before="0"/>
        <w:ind w:left="853" w:right="116" w:hanging="738"/>
        <w:jc w:val="both"/>
        <w:rPr>
          <w:sz w:val="21"/>
        </w:rPr>
      </w:pPr>
      <w:r>
        <w:rPr>
          <w:color w:val="231F20"/>
          <w:spacing w:val="-3"/>
          <w:w w:val="105"/>
          <w:sz w:val="21"/>
        </w:rPr>
        <w:t>Keeley, </w:t>
      </w:r>
      <w:r>
        <w:rPr>
          <w:color w:val="231F20"/>
          <w:w w:val="105"/>
          <w:sz w:val="21"/>
        </w:rPr>
        <w:t>M. (1984). “Impartiality and participant-interest theories of</w:t>
      </w:r>
      <w:r>
        <w:rPr>
          <w:color w:val="231F20"/>
          <w:spacing w:val="-39"/>
          <w:w w:val="105"/>
          <w:sz w:val="21"/>
        </w:rPr>
        <w:t> </w:t>
      </w:r>
      <w:r>
        <w:rPr>
          <w:color w:val="231F20"/>
          <w:w w:val="105"/>
          <w:sz w:val="21"/>
        </w:rPr>
        <w:t>orga- nizational</w:t>
      </w:r>
      <w:r>
        <w:rPr>
          <w:color w:val="231F20"/>
          <w:spacing w:val="-10"/>
          <w:w w:val="105"/>
          <w:sz w:val="21"/>
        </w:rPr>
        <w:t> </w:t>
      </w:r>
      <w:r>
        <w:rPr>
          <w:color w:val="231F20"/>
          <w:w w:val="105"/>
          <w:sz w:val="21"/>
        </w:rPr>
        <w:t>effectiveness”.</w:t>
      </w:r>
      <w:r>
        <w:rPr>
          <w:color w:val="231F20"/>
          <w:spacing w:val="-13"/>
          <w:w w:val="105"/>
          <w:sz w:val="21"/>
        </w:rPr>
        <w:t> </w:t>
      </w:r>
      <w:r>
        <w:rPr>
          <w:i/>
          <w:color w:val="231F20"/>
          <w:w w:val="105"/>
          <w:sz w:val="21"/>
        </w:rPr>
        <w:t>Administrative</w:t>
      </w:r>
      <w:r>
        <w:rPr>
          <w:i/>
          <w:color w:val="231F20"/>
          <w:spacing w:val="-10"/>
          <w:w w:val="105"/>
          <w:sz w:val="21"/>
        </w:rPr>
        <w:t> </w:t>
      </w:r>
      <w:r>
        <w:rPr>
          <w:i/>
          <w:color w:val="231F20"/>
          <w:w w:val="105"/>
          <w:sz w:val="21"/>
        </w:rPr>
        <w:t>Science</w:t>
      </w:r>
      <w:r>
        <w:rPr>
          <w:i/>
          <w:color w:val="231F20"/>
          <w:spacing w:val="-10"/>
          <w:w w:val="105"/>
          <w:sz w:val="21"/>
        </w:rPr>
        <w:t> </w:t>
      </w:r>
      <w:r>
        <w:rPr>
          <w:i/>
          <w:color w:val="231F20"/>
          <w:w w:val="105"/>
          <w:sz w:val="21"/>
        </w:rPr>
        <w:t>Quarterly,</w:t>
      </w:r>
      <w:r>
        <w:rPr>
          <w:i/>
          <w:color w:val="231F20"/>
          <w:spacing w:val="-13"/>
          <w:w w:val="105"/>
          <w:sz w:val="21"/>
        </w:rPr>
        <w:t> </w:t>
      </w:r>
      <w:r>
        <w:rPr>
          <w:color w:val="231F20"/>
          <w:w w:val="105"/>
          <w:sz w:val="21"/>
        </w:rPr>
        <w:t>Vol., Núm.</w:t>
      </w:r>
      <w:r>
        <w:rPr>
          <w:color w:val="231F20"/>
          <w:spacing w:val="-22"/>
          <w:w w:val="105"/>
          <w:sz w:val="21"/>
        </w:rPr>
        <w:t> </w:t>
      </w:r>
      <w:r>
        <w:rPr>
          <w:color w:val="231F20"/>
          <w:w w:val="105"/>
          <w:sz w:val="21"/>
        </w:rPr>
        <w:t>29,</w:t>
      </w:r>
      <w:r>
        <w:rPr>
          <w:color w:val="231F20"/>
          <w:spacing w:val="-22"/>
          <w:w w:val="105"/>
          <w:sz w:val="21"/>
        </w:rPr>
        <w:t> </w:t>
      </w:r>
      <w:r>
        <w:rPr>
          <w:color w:val="231F20"/>
          <w:w w:val="105"/>
          <w:sz w:val="21"/>
        </w:rPr>
        <w:t>pp.</w:t>
      </w:r>
      <w:r>
        <w:rPr>
          <w:color w:val="231F20"/>
          <w:spacing w:val="-22"/>
          <w:w w:val="105"/>
          <w:sz w:val="21"/>
        </w:rPr>
        <w:t> </w:t>
      </w:r>
      <w:r>
        <w:rPr>
          <w:color w:val="231F20"/>
          <w:w w:val="105"/>
          <w:sz w:val="21"/>
        </w:rPr>
        <w:t>1-25.</w:t>
      </w:r>
    </w:p>
    <w:p>
      <w:pPr>
        <w:spacing w:after="0" w:line="259" w:lineRule="auto"/>
        <w:jc w:val="both"/>
        <w:rPr>
          <w:sz w:val="21"/>
        </w:rPr>
        <w:sectPr>
          <w:pgSz w:w="9640" w:h="13890"/>
          <w:pgMar w:top="0" w:bottom="280" w:left="1300" w:right="1180"/>
        </w:sectPr>
      </w:pPr>
    </w:p>
    <w:p>
      <w:pPr>
        <w:pStyle w:val="BodyText"/>
        <w:spacing w:line="259" w:lineRule="auto" w:before="120"/>
        <w:ind w:left="841" w:right="115" w:hanging="738"/>
        <w:jc w:val="both"/>
      </w:pPr>
      <w:r>
        <w:rPr>
          <w:color w:val="231F20"/>
          <w:w w:val="105"/>
        </w:rPr>
        <w:t>Kells,</w:t>
      </w:r>
      <w:r>
        <w:rPr>
          <w:color w:val="231F20"/>
          <w:spacing w:val="-39"/>
          <w:w w:val="105"/>
        </w:rPr>
        <w:t> </w:t>
      </w:r>
      <w:r>
        <w:rPr>
          <w:color w:val="231F20"/>
          <w:w w:val="105"/>
        </w:rPr>
        <w:t>H.</w:t>
      </w:r>
      <w:r>
        <w:rPr>
          <w:color w:val="231F20"/>
          <w:spacing w:val="-39"/>
          <w:w w:val="105"/>
        </w:rPr>
        <w:t> </w:t>
      </w:r>
      <w:r>
        <w:rPr>
          <w:color w:val="231F20"/>
          <w:w w:val="105"/>
        </w:rPr>
        <w:t>R.</w:t>
      </w:r>
      <w:r>
        <w:rPr>
          <w:color w:val="231F20"/>
          <w:spacing w:val="-39"/>
          <w:w w:val="105"/>
        </w:rPr>
        <w:t> </w:t>
      </w:r>
      <w:r>
        <w:rPr>
          <w:color w:val="231F20"/>
          <w:w w:val="105"/>
        </w:rPr>
        <w:t>(1992).</w:t>
      </w:r>
      <w:r>
        <w:rPr>
          <w:color w:val="231F20"/>
          <w:spacing w:val="-39"/>
          <w:w w:val="105"/>
        </w:rPr>
        <w:t> </w:t>
      </w:r>
      <w:r>
        <w:rPr>
          <w:color w:val="231F20"/>
          <w:w w:val="105"/>
        </w:rPr>
        <w:t>Performance</w:t>
      </w:r>
      <w:r>
        <w:rPr>
          <w:color w:val="231F20"/>
          <w:spacing w:val="-35"/>
          <w:w w:val="105"/>
        </w:rPr>
        <w:t> </w:t>
      </w:r>
      <w:r>
        <w:rPr>
          <w:color w:val="231F20"/>
          <w:w w:val="105"/>
        </w:rPr>
        <w:t>Indicators</w:t>
      </w:r>
      <w:r>
        <w:rPr>
          <w:color w:val="231F20"/>
          <w:spacing w:val="-35"/>
          <w:w w:val="105"/>
        </w:rPr>
        <w:t> </w:t>
      </w:r>
      <w:r>
        <w:rPr>
          <w:color w:val="231F20"/>
          <w:w w:val="105"/>
        </w:rPr>
        <w:t>for</w:t>
      </w:r>
      <w:r>
        <w:rPr>
          <w:color w:val="231F20"/>
          <w:spacing w:val="-35"/>
          <w:w w:val="105"/>
        </w:rPr>
        <w:t> </w:t>
      </w:r>
      <w:r>
        <w:rPr>
          <w:color w:val="231F20"/>
          <w:w w:val="105"/>
        </w:rPr>
        <w:t>Higher</w:t>
      </w:r>
      <w:r>
        <w:rPr>
          <w:color w:val="231F20"/>
          <w:spacing w:val="-35"/>
          <w:w w:val="105"/>
        </w:rPr>
        <w:t> </w:t>
      </w:r>
      <w:r>
        <w:rPr>
          <w:color w:val="231F20"/>
          <w:w w:val="105"/>
        </w:rPr>
        <w:t>Education:</w:t>
      </w:r>
      <w:r>
        <w:rPr>
          <w:color w:val="231F20"/>
          <w:spacing w:val="-37"/>
          <w:w w:val="105"/>
        </w:rPr>
        <w:t> </w:t>
      </w:r>
      <w:r>
        <w:rPr>
          <w:color w:val="231F20"/>
          <w:w w:val="105"/>
        </w:rPr>
        <w:t>A</w:t>
      </w:r>
      <w:r>
        <w:rPr>
          <w:color w:val="231F20"/>
          <w:spacing w:val="-37"/>
          <w:w w:val="105"/>
        </w:rPr>
        <w:t> </w:t>
      </w:r>
      <w:r>
        <w:rPr>
          <w:color w:val="231F20"/>
          <w:w w:val="105"/>
        </w:rPr>
        <w:t>Critical Review</w:t>
      </w:r>
      <w:r>
        <w:rPr>
          <w:color w:val="231F20"/>
          <w:spacing w:val="-35"/>
          <w:w w:val="105"/>
        </w:rPr>
        <w:t> </w:t>
      </w:r>
      <w:r>
        <w:rPr>
          <w:color w:val="231F20"/>
          <w:w w:val="105"/>
        </w:rPr>
        <w:t>with</w:t>
      </w:r>
      <w:r>
        <w:rPr>
          <w:color w:val="231F20"/>
          <w:spacing w:val="-35"/>
          <w:w w:val="105"/>
        </w:rPr>
        <w:t> </w:t>
      </w:r>
      <w:r>
        <w:rPr>
          <w:color w:val="231F20"/>
          <w:spacing w:val="-3"/>
          <w:w w:val="105"/>
        </w:rPr>
        <w:t>Policy</w:t>
      </w:r>
      <w:r>
        <w:rPr>
          <w:color w:val="231F20"/>
          <w:spacing w:val="-35"/>
          <w:w w:val="105"/>
        </w:rPr>
        <w:t> </w:t>
      </w:r>
      <w:r>
        <w:rPr>
          <w:color w:val="231F20"/>
          <w:w w:val="105"/>
        </w:rPr>
        <w:t>Recommendations:</w:t>
      </w:r>
      <w:r>
        <w:rPr>
          <w:color w:val="231F20"/>
          <w:spacing w:val="-35"/>
          <w:w w:val="105"/>
        </w:rPr>
        <w:t> </w:t>
      </w:r>
      <w:r>
        <w:rPr>
          <w:color w:val="231F20"/>
          <w:w w:val="105"/>
        </w:rPr>
        <w:t>Banco</w:t>
      </w:r>
      <w:r>
        <w:rPr>
          <w:color w:val="231F20"/>
          <w:spacing w:val="-35"/>
          <w:w w:val="105"/>
        </w:rPr>
        <w:t> </w:t>
      </w:r>
      <w:r>
        <w:rPr>
          <w:color w:val="231F20"/>
          <w:w w:val="105"/>
        </w:rPr>
        <w:t>Mundial.</w:t>
      </w:r>
    </w:p>
    <w:p>
      <w:pPr>
        <w:spacing w:line="259" w:lineRule="auto" w:before="0"/>
        <w:ind w:left="841" w:right="115" w:hanging="738"/>
        <w:jc w:val="both"/>
        <w:rPr>
          <w:sz w:val="21"/>
        </w:rPr>
      </w:pPr>
      <w:r>
        <w:rPr>
          <w:color w:val="231F20"/>
          <w:w w:val="105"/>
          <w:sz w:val="21"/>
        </w:rPr>
        <w:t>Kim,</w:t>
      </w:r>
      <w:r>
        <w:rPr>
          <w:color w:val="231F20"/>
          <w:spacing w:val="-8"/>
          <w:w w:val="105"/>
          <w:sz w:val="21"/>
        </w:rPr>
        <w:t> </w:t>
      </w:r>
      <w:r>
        <w:rPr>
          <w:color w:val="231F20"/>
          <w:spacing w:val="-6"/>
          <w:w w:val="105"/>
          <w:sz w:val="21"/>
        </w:rPr>
        <w:t>D.</w:t>
      </w:r>
      <w:r>
        <w:rPr>
          <w:color w:val="231F20"/>
          <w:spacing w:val="-12"/>
          <w:w w:val="105"/>
          <w:sz w:val="21"/>
        </w:rPr>
        <w:t> </w:t>
      </w:r>
      <w:r>
        <w:rPr>
          <w:color w:val="231F20"/>
          <w:spacing w:val="-6"/>
          <w:w w:val="105"/>
          <w:sz w:val="21"/>
        </w:rPr>
        <w:t>Y.,</w:t>
      </w:r>
      <w:r>
        <w:rPr>
          <w:color w:val="231F20"/>
          <w:spacing w:val="-8"/>
          <w:w w:val="105"/>
          <w:sz w:val="21"/>
        </w:rPr>
        <w:t> </w:t>
      </w:r>
      <w:r>
        <w:rPr>
          <w:color w:val="231F20"/>
          <w:spacing w:val="-3"/>
          <w:w w:val="105"/>
          <w:sz w:val="21"/>
        </w:rPr>
        <w:t>Kumar,</w:t>
      </w:r>
      <w:r>
        <w:rPr>
          <w:color w:val="231F20"/>
          <w:spacing w:val="-11"/>
          <w:w w:val="105"/>
          <w:sz w:val="21"/>
        </w:rPr>
        <w:t> </w:t>
      </w:r>
      <w:r>
        <w:rPr>
          <w:color w:val="231F20"/>
          <w:spacing w:val="-6"/>
          <w:w w:val="105"/>
          <w:sz w:val="21"/>
        </w:rPr>
        <w:t>V.,</w:t>
      </w:r>
      <w:r>
        <w:rPr>
          <w:color w:val="231F20"/>
          <w:spacing w:val="-8"/>
          <w:w w:val="105"/>
          <w:sz w:val="21"/>
        </w:rPr>
        <w:t> </w:t>
      </w:r>
      <w:r>
        <w:rPr>
          <w:color w:val="231F20"/>
          <w:w w:val="105"/>
          <w:sz w:val="21"/>
        </w:rPr>
        <w:t>y</w:t>
      </w:r>
      <w:r>
        <w:rPr>
          <w:color w:val="231F20"/>
          <w:spacing w:val="-3"/>
          <w:w w:val="105"/>
          <w:sz w:val="21"/>
        </w:rPr>
        <w:t> </w:t>
      </w:r>
      <w:r>
        <w:rPr>
          <w:color w:val="231F20"/>
          <w:w w:val="105"/>
          <w:sz w:val="21"/>
        </w:rPr>
        <w:t>Murphy,</w:t>
      </w:r>
      <w:r>
        <w:rPr>
          <w:color w:val="231F20"/>
          <w:spacing w:val="-8"/>
          <w:w w:val="105"/>
          <w:sz w:val="21"/>
        </w:rPr>
        <w:t> </w:t>
      </w:r>
      <w:r>
        <w:rPr>
          <w:color w:val="231F20"/>
          <w:w w:val="105"/>
          <w:sz w:val="21"/>
        </w:rPr>
        <w:t>S.</w:t>
      </w:r>
      <w:r>
        <w:rPr>
          <w:color w:val="231F20"/>
          <w:spacing w:val="-11"/>
          <w:w w:val="105"/>
          <w:sz w:val="21"/>
        </w:rPr>
        <w:t> </w:t>
      </w:r>
      <w:r>
        <w:rPr>
          <w:color w:val="231F20"/>
          <w:w w:val="105"/>
          <w:sz w:val="21"/>
        </w:rPr>
        <w:t>A.</w:t>
      </w:r>
      <w:r>
        <w:rPr>
          <w:color w:val="231F20"/>
          <w:spacing w:val="-8"/>
          <w:w w:val="105"/>
          <w:sz w:val="21"/>
        </w:rPr>
        <w:t> </w:t>
      </w:r>
      <w:r>
        <w:rPr>
          <w:color w:val="231F20"/>
          <w:w w:val="105"/>
          <w:sz w:val="21"/>
        </w:rPr>
        <w:t>(2010).</w:t>
      </w:r>
      <w:r>
        <w:rPr>
          <w:color w:val="231F20"/>
          <w:spacing w:val="-8"/>
          <w:w w:val="105"/>
          <w:sz w:val="21"/>
        </w:rPr>
        <w:t> </w:t>
      </w:r>
      <w:r>
        <w:rPr>
          <w:color w:val="231F20"/>
          <w:w w:val="105"/>
          <w:sz w:val="21"/>
        </w:rPr>
        <w:t>“European</w:t>
      </w:r>
      <w:r>
        <w:rPr>
          <w:color w:val="231F20"/>
          <w:spacing w:val="-3"/>
          <w:w w:val="105"/>
          <w:sz w:val="21"/>
        </w:rPr>
        <w:t> </w:t>
      </w:r>
      <w:r>
        <w:rPr>
          <w:color w:val="231F20"/>
          <w:w w:val="105"/>
          <w:sz w:val="21"/>
        </w:rPr>
        <w:t>Foundation</w:t>
      </w:r>
      <w:r>
        <w:rPr>
          <w:color w:val="231F20"/>
          <w:spacing w:val="-3"/>
          <w:w w:val="105"/>
          <w:sz w:val="21"/>
        </w:rPr>
        <w:t> </w:t>
      </w:r>
      <w:r>
        <w:rPr>
          <w:color w:val="231F20"/>
          <w:w w:val="105"/>
          <w:sz w:val="21"/>
        </w:rPr>
        <w:t>for Quality</w:t>
      </w:r>
      <w:r>
        <w:rPr>
          <w:color w:val="231F20"/>
          <w:spacing w:val="-12"/>
          <w:w w:val="105"/>
          <w:sz w:val="21"/>
        </w:rPr>
        <w:t> </w:t>
      </w:r>
      <w:r>
        <w:rPr>
          <w:color w:val="231F20"/>
          <w:w w:val="105"/>
          <w:sz w:val="21"/>
        </w:rPr>
        <w:t>Management</w:t>
      </w:r>
      <w:r>
        <w:rPr>
          <w:color w:val="231F20"/>
          <w:spacing w:val="-12"/>
          <w:w w:val="105"/>
          <w:sz w:val="21"/>
        </w:rPr>
        <w:t> </w:t>
      </w:r>
      <w:r>
        <w:rPr>
          <w:color w:val="231F20"/>
          <w:w w:val="105"/>
          <w:sz w:val="21"/>
        </w:rPr>
        <w:t>Business</w:t>
      </w:r>
      <w:r>
        <w:rPr>
          <w:color w:val="231F20"/>
          <w:spacing w:val="-12"/>
          <w:w w:val="105"/>
          <w:sz w:val="21"/>
        </w:rPr>
        <w:t> </w:t>
      </w:r>
      <w:r>
        <w:rPr>
          <w:color w:val="231F20"/>
          <w:w w:val="105"/>
          <w:sz w:val="21"/>
        </w:rPr>
        <w:t>Excellence</w:t>
      </w:r>
      <w:r>
        <w:rPr>
          <w:color w:val="231F20"/>
          <w:spacing w:val="-12"/>
          <w:w w:val="105"/>
          <w:sz w:val="21"/>
        </w:rPr>
        <w:t> </w:t>
      </w:r>
      <w:r>
        <w:rPr>
          <w:color w:val="231F20"/>
          <w:w w:val="105"/>
          <w:sz w:val="21"/>
        </w:rPr>
        <w:t>Model:</w:t>
      </w:r>
      <w:r>
        <w:rPr>
          <w:color w:val="231F20"/>
          <w:spacing w:val="-15"/>
          <w:w w:val="105"/>
          <w:sz w:val="21"/>
        </w:rPr>
        <w:t> </w:t>
      </w:r>
      <w:r>
        <w:rPr>
          <w:color w:val="231F20"/>
          <w:w w:val="105"/>
          <w:sz w:val="21"/>
        </w:rPr>
        <w:t>An</w:t>
      </w:r>
      <w:r>
        <w:rPr>
          <w:color w:val="231F20"/>
          <w:spacing w:val="-12"/>
          <w:w w:val="105"/>
          <w:sz w:val="21"/>
        </w:rPr>
        <w:t> </w:t>
      </w:r>
      <w:r>
        <w:rPr>
          <w:color w:val="231F20"/>
          <w:w w:val="105"/>
          <w:sz w:val="21"/>
        </w:rPr>
        <w:t>integrative review and research </w:t>
      </w:r>
      <w:r>
        <w:rPr>
          <w:color w:val="231F20"/>
          <w:spacing w:val="-4"/>
          <w:w w:val="105"/>
          <w:sz w:val="21"/>
        </w:rPr>
        <w:t>agenda”. </w:t>
      </w:r>
      <w:r>
        <w:rPr>
          <w:i/>
          <w:color w:val="231F20"/>
          <w:w w:val="105"/>
          <w:sz w:val="21"/>
        </w:rPr>
        <w:t>International Journal of Quality y </w:t>
      </w:r>
      <w:r>
        <w:rPr>
          <w:i/>
          <w:color w:val="231F20"/>
          <w:w w:val="105"/>
          <w:sz w:val="21"/>
        </w:rPr>
        <w:t>Reliability</w:t>
      </w:r>
      <w:r>
        <w:rPr>
          <w:i/>
          <w:color w:val="231F20"/>
          <w:spacing w:val="-24"/>
          <w:w w:val="105"/>
          <w:sz w:val="21"/>
        </w:rPr>
        <w:t> </w:t>
      </w:r>
      <w:r>
        <w:rPr>
          <w:i/>
          <w:color w:val="231F20"/>
          <w:w w:val="105"/>
          <w:sz w:val="21"/>
        </w:rPr>
        <w:t>Management,</w:t>
      </w:r>
      <w:r>
        <w:rPr>
          <w:i/>
          <w:color w:val="231F20"/>
          <w:spacing w:val="-29"/>
          <w:w w:val="105"/>
          <w:sz w:val="21"/>
        </w:rPr>
        <w:t> </w:t>
      </w:r>
      <w:r>
        <w:rPr>
          <w:color w:val="231F20"/>
          <w:spacing w:val="-3"/>
          <w:w w:val="105"/>
          <w:sz w:val="21"/>
        </w:rPr>
        <w:t>Vol.</w:t>
      </w:r>
      <w:r>
        <w:rPr>
          <w:color w:val="231F20"/>
          <w:spacing w:val="-29"/>
          <w:w w:val="105"/>
          <w:sz w:val="21"/>
        </w:rPr>
        <w:t> </w:t>
      </w:r>
      <w:r>
        <w:rPr>
          <w:i/>
          <w:color w:val="231F20"/>
          <w:w w:val="105"/>
          <w:sz w:val="21"/>
        </w:rPr>
        <w:t>27</w:t>
      </w:r>
      <w:r>
        <w:rPr>
          <w:color w:val="231F20"/>
          <w:w w:val="105"/>
          <w:sz w:val="21"/>
        </w:rPr>
        <w:t>,</w:t>
      </w:r>
      <w:r>
        <w:rPr>
          <w:color w:val="231F20"/>
          <w:spacing w:val="-29"/>
          <w:w w:val="105"/>
          <w:sz w:val="21"/>
        </w:rPr>
        <w:t> </w:t>
      </w:r>
      <w:r>
        <w:rPr>
          <w:color w:val="231F20"/>
          <w:w w:val="105"/>
          <w:sz w:val="21"/>
        </w:rPr>
        <w:t>Núm.</w:t>
      </w:r>
      <w:r>
        <w:rPr>
          <w:color w:val="231F20"/>
          <w:spacing w:val="-29"/>
          <w:w w:val="105"/>
          <w:sz w:val="21"/>
        </w:rPr>
        <w:t> </w:t>
      </w:r>
      <w:r>
        <w:rPr>
          <w:color w:val="231F20"/>
          <w:w w:val="105"/>
          <w:sz w:val="21"/>
        </w:rPr>
        <w:t>6,</w:t>
      </w:r>
      <w:r>
        <w:rPr>
          <w:color w:val="231F20"/>
          <w:spacing w:val="-29"/>
          <w:w w:val="105"/>
          <w:sz w:val="21"/>
        </w:rPr>
        <w:t> </w:t>
      </w:r>
      <w:r>
        <w:rPr>
          <w:color w:val="231F20"/>
          <w:w w:val="105"/>
          <w:sz w:val="21"/>
        </w:rPr>
        <w:t>pp.</w:t>
      </w:r>
      <w:r>
        <w:rPr>
          <w:color w:val="231F20"/>
          <w:spacing w:val="-29"/>
          <w:w w:val="105"/>
          <w:sz w:val="21"/>
        </w:rPr>
        <w:t> </w:t>
      </w:r>
      <w:r>
        <w:rPr>
          <w:color w:val="231F20"/>
          <w:w w:val="105"/>
          <w:sz w:val="21"/>
        </w:rPr>
        <w:t>684-701.</w:t>
      </w:r>
    </w:p>
    <w:p>
      <w:pPr>
        <w:spacing w:line="241" w:lineRule="exact" w:before="0"/>
        <w:ind w:left="103" w:right="17" w:firstLine="0"/>
        <w:jc w:val="left"/>
        <w:rPr>
          <w:sz w:val="21"/>
        </w:rPr>
      </w:pPr>
      <w:r>
        <w:rPr>
          <w:color w:val="231F20"/>
          <w:sz w:val="21"/>
        </w:rPr>
        <w:t>Koontz, H., y Weihrich, H. (2007). </w:t>
      </w:r>
      <w:r>
        <w:rPr>
          <w:i/>
          <w:color w:val="231F20"/>
          <w:sz w:val="21"/>
        </w:rPr>
        <w:t>Administración. Una perspectiva global</w:t>
      </w:r>
      <w:r>
        <w:rPr>
          <w:color w:val="231F20"/>
          <w:sz w:val="21"/>
        </w:rPr>
        <w:t>.</w:t>
      </w:r>
    </w:p>
    <w:p>
      <w:pPr>
        <w:pStyle w:val="BodyText"/>
        <w:spacing w:before="18"/>
        <w:ind w:left="841" w:right="17"/>
      </w:pPr>
      <w:r>
        <w:rPr>
          <w:color w:val="231F20"/>
        </w:rPr>
        <w:t>McGraw-Hill, México.</w:t>
      </w:r>
    </w:p>
    <w:p>
      <w:pPr>
        <w:pStyle w:val="BodyText"/>
        <w:spacing w:line="259" w:lineRule="auto" w:before="18"/>
        <w:ind w:left="841" w:right="115" w:hanging="738"/>
        <w:jc w:val="both"/>
      </w:pPr>
      <w:r>
        <w:rPr>
          <w:color w:val="231F20"/>
        </w:rPr>
        <w:t>Kraaijenbrink,</w:t>
      </w:r>
      <w:r>
        <w:rPr>
          <w:color w:val="231F20"/>
          <w:spacing w:val="-34"/>
        </w:rPr>
        <w:t> </w:t>
      </w:r>
      <w:r>
        <w:rPr>
          <w:color w:val="231F20"/>
        </w:rPr>
        <w:t>J.,</w:t>
      </w:r>
      <w:r>
        <w:rPr>
          <w:color w:val="231F20"/>
          <w:spacing w:val="-31"/>
        </w:rPr>
        <w:t> </w:t>
      </w:r>
      <w:r>
        <w:rPr>
          <w:color w:val="231F20"/>
        </w:rPr>
        <w:t>Spender,</w:t>
      </w:r>
      <w:r>
        <w:rPr>
          <w:color w:val="231F20"/>
          <w:spacing w:val="-34"/>
        </w:rPr>
        <w:t> </w:t>
      </w:r>
      <w:r>
        <w:rPr>
          <w:color w:val="231F20"/>
        </w:rPr>
        <w:t>J.-C.,</w:t>
      </w:r>
      <w:r>
        <w:rPr>
          <w:color w:val="231F20"/>
          <w:spacing w:val="-31"/>
        </w:rPr>
        <w:t> </w:t>
      </w:r>
      <w:r>
        <w:rPr>
          <w:color w:val="231F20"/>
        </w:rPr>
        <w:t>y</w:t>
      </w:r>
      <w:r>
        <w:rPr>
          <w:color w:val="231F20"/>
          <w:spacing w:val="-24"/>
        </w:rPr>
        <w:t> </w:t>
      </w:r>
      <w:r>
        <w:rPr>
          <w:color w:val="231F20"/>
        </w:rPr>
        <w:t>Groen,</w:t>
      </w:r>
      <w:r>
        <w:rPr>
          <w:color w:val="231F20"/>
          <w:spacing w:val="-35"/>
        </w:rPr>
        <w:t> </w:t>
      </w:r>
      <w:r>
        <w:rPr>
          <w:color w:val="231F20"/>
        </w:rPr>
        <w:t>A.</w:t>
      </w:r>
      <w:r>
        <w:rPr>
          <w:color w:val="231F20"/>
          <w:spacing w:val="-34"/>
        </w:rPr>
        <w:t> </w:t>
      </w:r>
      <w:r>
        <w:rPr>
          <w:color w:val="231F20"/>
        </w:rPr>
        <w:t>J.</w:t>
      </w:r>
      <w:r>
        <w:rPr>
          <w:color w:val="231F20"/>
          <w:spacing w:val="-31"/>
        </w:rPr>
        <w:t> </w:t>
      </w:r>
      <w:r>
        <w:rPr>
          <w:color w:val="231F20"/>
          <w:spacing w:val="2"/>
        </w:rPr>
        <w:t>(2010).“The</w:t>
      </w:r>
      <w:r>
        <w:rPr>
          <w:color w:val="231F20"/>
          <w:spacing w:val="-24"/>
        </w:rPr>
        <w:t> </w:t>
      </w:r>
      <w:r>
        <w:rPr>
          <w:color w:val="231F20"/>
        </w:rPr>
        <w:t>Resource-Based View: A Review and Assessment of Its </w:t>
      </w:r>
      <w:r>
        <w:rPr>
          <w:color w:val="231F20"/>
          <w:spacing w:val="-3"/>
        </w:rPr>
        <w:t>Critiques”. </w:t>
      </w:r>
      <w:r>
        <w:rPr>
          <w:i/>
          <w:color w:val="231F20"/>
        </w:rPr>
        <w:t>Journal of Man- </w:t>
      </w:r>
      <w:r>
        <w:rPr>
          <w:i/>
          <w:color w:val="231F20"/>
        </w:rPr>
        <w:t>agement, </w:t>
      </w:r>
      <w:r>
        <w:rPr>
          <w:color w:val="231F20"/>
          <w:spacing w:val="-3"/>
        </w:rPr>
        <w:t>Vol. </w:t>
      </w:r>
      <w:r>
        <w:rPr>
          <w:i/>
          <w:color w:val="231F20"/>
        </w:rPr>
        <w:t>36</w:t>
      </w:r>
      <w:r>
        <w:rPr>
          <w:color w:val="231F20"/>
        </w:rPr>
        <w:t>, Núm. 1, pp.</w:t>
      </w:r>
      <w:r>
        <w:rPr>
          <w:color w:val="231F20"/>
          <w:spacing w:val="40"/>
        </w:rPr>
        <w:t> </w:t>
      </w:r>
      <w:r>
        <w:rPr>
          <w:color w:val="231F20"/>
        </w:rPr>
        <w:t>349-372.</w:t>
      </w:r>
    </w:p>
    <w:p>
      <w:pPr>
        <w:pStyle w:val="BodyText"/>
        <w:spacing w:line="259" w:lineRule="auto"/>
        <w:ind w:left="841" w:right="115" w:hanging="738"/>
        <w:jc w:val="both"/>
      </w:pPr>
      <w:r>
        <w:rPr>
          <w:color w:val="231F20"/>
          <w:w w:val="105"/>
        </w:rPr>
        <w:t>Kristandl,</w:t>
      </w:r>
      <w:r>
        <w:rPr>
          <w:color w:val="231F20"/>
          <w:spacing w:val="-27"/>
          <w:w w:val="105"/>
        </w:rPr>
        <w:t> </w:t>
      </w:r>
      <w:r>
        <w:rPr>
          <w:color w:val="231F20"/>
          <w:w w:val="105"/>
        </w:rPr>
        <w:t>G.,</w:t>
      </w:r>
      <w:r>
        <w:rPr>
          <w:color w:val="231F20"/>
          <w:spacing w:val="-27"/>
          <w:w w:val="105"/>
        </w:rPr>
        <w:t> </w:t>
      </w:r>
      <w:r>
        <w:rPr>
          <w:color w:val="231F20"/>
          <w:w w:val="105"/>
        </w:rPr>
        <w:t>y</w:t>
      </w:r>
      <w:r>
        <w:rPr>
          <w:color w:val="231F20"/>
          <w:spacing w:val="-22"/>
          <w:w w:val="105"/>
        </w:rPr>
        <w:t> </w:t>
      </w:r>
      <w:r>
        <w:rPr>
          <w:color w:val="231F20"/>
          <w:w w:val="105"/>
        </w:rPr>
        <w:t>Bontis,</w:t>
      </w:r>
      <w:r>
        <w:rPr>
          <w:color w:val="231F20"/>
          <w:spacing w:val="-27"/>
          <w:w w:val="105"/>
        </w:rPr>
        <w:t> </w:t>
      </w:r>
      <w:r>
        <w:rPr>
          <w:color w:val="231F20"/>
          <w:w w:val="105"/>
        </w:rPr>
        <w:t>N.</w:t>
      </w:r>
      <w:r>
        <w:rPr>
          <w:color w:val="231F20"/>
          <w:spacing w:val="-27"/>
          <w:w w:val="105"/>
        </w:rPr>
        <w:t> </w:t>
      </w:r>
      <w:r>
        <w:rPr>
          <w:color w:val="231F20"/>
          <w:w w:val="105"/>
        </w:rPr>
        <w:t>(2007).</w:t>
      </w:r>
      <w:r>
        <w:rPr>
          <w:color w:val="231F20"/>
          <w:spacing w:val="-27"/>
          <w:w w:val="105"/>
        </w:rPr>
        <w:t> </w:t>
      </w:r>
      <w:r>
        <w:rPr>
          <w:color w:val="231F20"/>
          <w:w w:val="105"/>
        </w:rPr>
        <w:t>“Constructing</w:t>
      </w:r>
      <w:r>
        <w:rPr>
          <w:color w:val="231F20"/>
          <w:spacing w:val="-22"/>
          <w:w w:val="105"/>
        </w:rPr>
        <w:t> </w:t>
      </w:r>
      <w:r>
        <w:rPr>
          <w:color w:val="231F20"/>
          <w:w w:val="105"/>
        </w:rPr>
        <w:t>a</w:t>
      </w:r>
      <w:r>
        <w:rPr>
          <w:color w:val="231F20"/>
          <w:spacing w:val="-22"/>
          <w:w w:val="105"/>
        </w:rPr>
        <w:t> </w:t>
      </w:r>
      <w:r>
        <w:rPr>
          <w:color w:val="231F20"/>
          <w:w w:val="105"/>
        </w:rPr>
        <w:t>definition</w:t>
      </w:r>
      <w:r>
        <w:rPr>
          <w:color w:val="231F20"/>
          <w:spacing w:val="-22"/>
          <w:w w:val="105"/>
        </w:rPr>
        <w:t> </w:t>
      </w:r>
      <w:r>
        <w:rPr>
          <w:color w:val="231F20"/>
          <w:w w:val="105"/>
        </w:rPr>
        <w:t>for</w:t>
      </w:r>
      <w:r>
        <w:rPr>
          <w:color w:val="231F20"/>
          <w:spacing w:val="-22"/>
          <w:w w:val="105"/>
        </w:rPr>
        <w:t> </w:t>
      </w:r>
      <w:r>
        <w:rPr>
          <w:color w:val="231F20"/>
          <w:w w:val="105"/>
        </w:rPr>
        <w:t>intangibles using the resource based view of the </w:t>
      </w:r>
      <w:r>
        <w:rPr>
          <w:color w:val="231F20"/>
          <w:spacing w:val="-5"/>
          <w:w w:val="105"/>
        </w:rPr>
        <w:t>firm”. </w:t>
      </w:r>
      <w:r>
        <w:rPr>
          <w:i/>
          <w:color w:val="231F20"/>
          <w:w w:val="105"/>
        </w:rPr>
        <w:t>Management Deci- </w:t>
      </w:r>
      <w:r>
        <w:rPr>
          <w:i/>
          <w:color w:val="231F20"/>
          <w:w w:val="105"/>
        </w:rPr>
        <w:t>sion,</w:t>
      </w:r>
      <w:r>
        <w:rPr>
          <w:i/>
          <w:color w:val="231F20"/>
          <w:spacing w:val="-26"/>
          <w:w w:val="105"/>
        </w:rPr>
        <w:t> </w:t>
      </w:r>
      <w:r>
        <w:rPr>
          <w:color w:val="231F20"/>
          <w:spacing w:val="-3"/>
          <w:w w:val="105"/>
        </w:rPr>
        <w:t>Vol.</w:t>
      </w:r>
      <w:r>
        <w:rPr>
          <w:color w:val="231F20"/>
          <w:spacing w:val="-26"/>
          <w:w w:val="105"/>
        </w:rPr>
        <w:t> </w:t>
      </w:r>
      <w:r>
        <w:rPr>
          <w:i/>
          <w:color w:val="231F20"/>
          <w:w w:val="105"/>
        </w:rPr>
        <w:t>45</w:t>
      </w:r>
      <w:r>
        <w:rPr>
          <w:color w:val="231F20"/>
          <w:w w:val="105"/>
        </w:rPr>
        <w:t>,</w:t>
      </w:r>
      <w:r>
        <w:rPr>
          <w:color w:val="231F20"/>
          <w:spacing w:val="-26"/>
          <w:w w:val="105"/>
        </w:rPr>
        <w:t> </w:t>
      </w:r>
      <w:r>
        <w:rPr>
          <w:color w:val="231F20"/>
          <w:w w:val="105"/>
        </w:rPr>
        <w:t>Núm.</w:t>
      </w:r>
      <w:r>
        <w:rPr>
          <w:color w:val="231F20"/>
          <w:spacing w:val="-26"/>
          <w:w w:val="105"/>
        </w:rPr>
        <w:t> </w:t>
      </w:r>
      <w:r>
        <w:rPr>
          <w:color w:val="231F20"/>
          <w:w w:val="105"/>
        </w:rPr>
        <w:t>9,</w:t>
      </w:r>
      <w:r>
        <w:rPr>
          <w:color w:val="231F20"/>
          <w:spacing w:val="-26"/>
          <w:w w:val="105"/>
        </w:rPr>
        <w:t> </w:t>
      </w:r>
      <w:r>
        <w:rPr>
          <w:color w:val="231F20"/>
          <w:w w:val="105"/>
        </w:rPr>
        <w:t>pp.</w:t>
      </w:r>
      <w:r>
        <w:rPr>
          <w:color w:val="231F20"/>
          <w:spacing w:val="-26"/>
          <w:w w:val="105"/>
        </w:rPr>
        <w:t> </w:t>
      </w:r>
      <w:r>
        <w:rPr>
          <w:color w:val="231F20"/>
          <w:w w:val="105"/>
        </w:rPr>
        <w:t>1510-1524.</w:t>
      </w:r>
    </w:p>
    <w:p>
      <w:pPr>
        <w:spacing w:line="259" w:lineRule="auto" w:before="0"/>
        <w:ind w:left="841" w:right="108" w:hanging="738"/>
        <w:jc w:val="both"/>
        <w:rPr>
          <w:sz w:val="21"/>
        </w:rPr>
      </w:pPr>
      <w:r>
        <w:rPr>
          <w:color w:val="231F20"/>
          <w:w w:val="105"/>
          <w:sz w:val="21"/>
        </w:rPr>
        <w:t>Li-An,</w:t>
      </w:r>
      <w:r>
        <w:rPr>
          <w:color w:val="231F20"/>
          <w:spacing w:val="-28"/>
          <w:w w:val="105"/>
          <w:sz w:val="21"/>
        </w:rPr>
        <w:t> </w:t>
      </w:r>
      <w:r>
        <w:rPr>
          <w:color w:val="231F20"/>
          <w:w w:val="105"/>
          <w:sz w:val="21"/>
        </w:rPr>
        <w:t>H.</w:t>
      </w:r>
      <w:r>
        <w:rPr>
          <w:color w:val="231F20"/>
          <w:spacing w:val="-28"/>
          <w:w w:val="105"/>
          <w:sz w:val="21"/>
        </w:rPr>
        <w:t> </w:t>
      </w:r>
      <w:r>
        <w:rPr>
          <w:color w:val="231F20"/>
          <w:w w:val="105"/>
          <w:sz w:val="21"/>
        </w:rPr>
        <w:t>(2011).</w:t>
      </w:r>
      <w:r>
        <w:rPr>
          <w:color w:val="231F20"/>
          <w:spacing w:val="-28"/>
          <w:w w:val="105"/>
          <w:sz w:val="21"/>
        </w:rPr>
        <w:t> </w:t>
      </w:r>
      <w:r>
        <w:rPr>
          <w:color w:val="231F20"/>
          <w:w w:val="105"/>
          <w:sz w:val="21"/>
        </w:rPr>
        <w:t>“Meditation,</w:t>
      </w:r>
      <w:r>
        <w:rPr>
          <w:color w:val="231F20"/>
          <w:spacing w:val="-28"/>
          <w:w w:val="105"/>
          <w:sz w:val="21"/>
        </w:rPr>
        <w:t> </w:t>
      </w:r>
      <w:r>
        <w:rPr>
          <w:color w:val="231F20"/>
          <w:w w:val="105"/>
          <w:sz w:val="21"/>
        </w:rPr>
        <w:t>learning,</w:t>
      </w:r>
      <w:r>
        <w:rPr>
          <w:color w:val="231F20"/>
          <w:spacing w:val="-28"/>
          <w:w w:val="105"/>
          <w:sz w:val="21"/>
        </w:rPr>
        <w:t> </w:t>
      </w:r>
      <w:r>
        <w:rPr>
          <w:color w:val="231F20"/>
          <w:w w:val="105"/>
          <w:sz w:val="21"/>
        </w:rPr>
        <w:t>organizational</w:t>
      </w:r>
      <w:r>
        <w:rPr>
          <w:color w:val="231F20"/>
          <w:spacing w:val="-24"/>
          <w:w w:val="105"/>
          <w:sz w:val="21"/>
        </w:rPr>
        <w:t> </w:t>
      </w:r>
      <w:r>
        <w:rPr>
          <w:color w:val="231F20"/>
          <w:w w:val="105"/>
          <w:sz w:val="21"/>
        </w:rPr>
        <w:t>innovation</w:t>
      </w:r>
      <w:r>
        <w:rPr>
          <w:color w:val="231F20"/>
          <w:spacing w:val="-24"/>
          <w:w w:val="105"/>
          <w:sz w:val="21"/>
        </w:rPr>
        <w:t> </w:t>
      </w:r>
      <w:r>
        <w:rPr>
          <w:color w:val="231F20"/>
          <w:w w:val="105"/>
          <w:sz w:val="21"/>
        </w:rPr>
        <w:t>and</w:t>
      </w:r>
      <w:r>
        <w:rPr>
          <w:color w:val="231F20"/>
          <w:spacing w:val="-24"/>
          <w:w w:val="105"/>
          <w:sz w:val="21"/>
        </w:rPr>
        <w:t> </w:t>
      </w:r>
      <w:r>
        <w:rPr>
          <w:color w:val="231F20"/>
          <w:w w:val="105"/>
          <w:sz w:val="21"/>
        </w:rPr>
        <w:t>per- </w:t>
      </w:r>
      <w:r>
        <w:rPr>
          <w:color w:val="231F20"/>
          <w:spacing w:val="-3"/>
          <w:w w:val="105"/>
          <w:sz w:val="21"/>
        </w:rPr>
        <w:t>formance”.</w:t>
      </w:r>
      <w:r>
        <w:rPr>
          <w:color w:val="231F20"/>
          <w:spacing w:val="-42"/>
          <w:w w:val="105"/>
          <w:sz w:val="21"/>
        </w:rPr>
        <w:t> </w:t>
      </w:r>
      <w:r>
        <w:rPr>
          <w:i/>
          <w:color w:val="231F20"/>
          <w:w w:val="105"/>
          <w:sz w:val="21"/>
        </w:rPr>
        <w:t>Industrial</w:t>
      </w:r>
      <w:r>
        <w:rPr>
          <w:i/>
          <w:color w:val="231F20"/>
          <w:spacing w:val="-38"/>
          <w:w w:val="105"/>
          <w:sz w:val="21"/>
        </w:rPr>
        <w:t> </w:t>
      </w:r>
      <w:r>
        <w:rPr>
          <w:i/>
          <w:color w:val="231F20"/>
          <w:w w:val="105"/>
          <w:sz w:val="21"/>
        </w:rPr>
        <w:t>Management</w:t>
      </w:r>
      <w:r>
        <w:rPr>
          <w:i/>
          <w:color w:val="231F20"/>
          <w:spacing w:val="-38"/>
          <w:w w:val="105"/>
          <w:sz w:val="21"/>
        </w:rPr>
        <w:t> </w:t>
      </w:r>
      <w:r>
        <w:rPr>
          <w:i/>
          <w:color w:val="231F20"/>
          <w:w w:val="105"/>
          <w:sz w:val="21"/>
        </w:rPr>
        <w:t>y</w:t>
      </w:r>
      <w:r>
        <w:rPr>
          <w:i/>
          <w:color w:val="231F20"/>
          <w:spacing w:val="-38"/>
          <w:w w:val="105"/>
          <w:sz w:val="21"/>
        </w:rPr>
        <w:t> </w:t>
      </w:r>
      <w:r>
        <w:rPr>
          <w:i/>
          <w:color w:val="231F20"/>
          <w:w w:val="105"/>
          <w:sz w:val="21"/>
        </w:rPr>
        <w:t>Data</w:t>
      </w:r>
      <w:r>
        <w:rPr>
          <w:i/>
          <w:color w:val="231F20"/>
          <w:spacing w:val="-38"/>
          <w:w w:val="105"/>
          <w:sz w:val="21"/>
        </w:rPr>
        <w:t> </w:t>
      </w:r>
      <w:r>
        <w:rPr>
          <w:i/>
          <w:color w:val="231F20"/>
          <w:w w:val="105"/>
          <w:sz w:val="21"/>
        </w:rPr>
        <w:t>Systems,</w:t>
      </w:r>
      <w:r>
        <w:rPr>
          <w:i/>
          <w:color w:val="231F20"/>
          <w:spacing w:val="-42"/>
          <w:w w:val="105"/>
          <w:sz w:val="21"/>
        </w:rPr>
        <w:t> </w:t>
      </w:r>
      <w:r>
        <w:rPr>
          <w:color w:val="231F20"/>
          <w:spacing w:val="-3"/>
          <w:w w:val="105"/>
          <w:sz w:val="21"/>
        </w:rPr>
        <w:t>Vol.</w:t>
      </w:r>
      <w:r>
        <w:rPr>
          <w:color w:val="231F20"/>
          <w:spacing w:val="-42"/>
          <w:w w:val="105"/>
          <w:sz w:val="21"/>
        </w:rPr>
        <w:t> </w:t>
      </w:r>
      <w:r>
        <w:rPr>
          <w:i/>
          <w:color w:val="231F20"/>
          <w:w w:val="105"/>
          <w:sz w:val="21"/>
        </w:rPr>
        <w:t>111</w:t>
      </w:r>
      <w:r>
        <w:rPr>
          <w:color w:val="231F20"/>
          <w:w w:val="105"/>
          <w:sz w:val="21"/>
        </w:rPr>
        <w:t>,</w:t>
      </w:r>
      <w:r>
        <w:rPr>
          <w:color w:val="231F20"/>
          <w:spacing w:val="-42"/>
          <w:w w:val="105"/>
          <w:sz w:val="21"/>
        </w:rPr>
        <w:t> </w:t>
      </w:r>
      <w:r>
        <w:rPr>
          <w:color w:val="231F20"/>
          <w:w w:val="105"/>
          <w:sz w:val="21"/>
        </w:rPr>
        <w:t>Núm. 1, pp.</w:t>
      </w:r>
      <w:r>
        <w:rPr>
          <w:color w:val="231F20"/>
          <w:spacing w:val="-46"/>
          <w:w w:val="105"/>
          <w:sz w:val="21"/>
        </w:rPr>
        <w:t> </w:t>
      </w:r>
      <w:r>
        <w:rPr>
          <w:color w:val="231F20"/>
          <w:w w:val="105"/>
          <w:sz w:val="21"/>
        </w:rPr>
        <w:t>113-131.</w:t>
      </w:r>
    </w:p>
    <w:p>
      <w:pPr>
        <w:spacing w:line="259" w:lineRule="auto" w:before="0"/>
        <w:ind w:left="841" w:right="115" w:hanging="737"/>
        <w:jc w:val="both"/>
        <w:rPr>
          <w:sz w:val="21"/>
        </w:rPr>
      </w:pPr>
      <w:r>
        <w:rPr>
          <w:color w:val="231F20"/>
          <w:w w:val="105"/>
          <w:sz w:val="21"/>
        </w:rPr>
        <w:t>Likert,</w:t>
      </w:r>
      <w:r>
        <w:rPr>
          <w:color w:val="231F20"/>
          <w:spacing w:val="-29"/>
          <w:w w:val="105"/>
          <w:sz w:val="21"/>
        </w:rPr>
        <w:t> </w:t>
      </w:r>
      <w:r>
        <w:rPr>
          <w:color w:val="231F20"/>
          <w:w w:val="105"/>
          <w:sz w:val="21"/>
        </w:rPr>
        <w:t>R.</w:t>
      </w:r>
      <w:r>
        <w:rPr>
          <w:color w:val="231F20"/>
          <w:spacing w:val="-29"/>
          <w:w w:val="105"/>
          <w:sz w:val="21"/>
        </w:rPr>
        <w:t> </w:t>
      </w:r>
      <w:r>
        <w:rPr>
          <w:color w:val="231F20"/>
          <w:w w:val="105"/>
          <w:sz w:val="21"/>
        </w:rPr>
        <w:t>(1958).</w:t>
      </w:r>
      <w:r>
        <w:rPr>
          <w:color w:val="231F20"/>
          <w:spacing w:val="-29"/>
          <w:w w:val="105"/>
          <w:sz w:val="21"/>
        </w:rPr>
        <w:t> </w:t>
      </w:r>
      <w:r>
        <w:rPr>
          <w:color w:val="231F20"/>
          <w:w w:val="105"/>
          <w:sz w:val="21"/>
        </w:rPr>
        <w:t>“Measuring</w:t>
      </w:r>
      <w:r>
        <w:rPr>
          <w:color w:val="231F20"/>
          <w:spacing w:val="-26"/>
          <w:w w:val="105"/>
          <w:sz w:val="21"/>
        </w:rPr>
        <w:t> </w:t>
      </w:r>
      <w:r>
        <w:rPr>
          <w:color w:val="231F20"/>
          <w:w w:val="105"/>
          <w:sz w:val="21"/>
        </w:rPr>
        <w:t>Organizational</w:t>
      </w:r>
      <w:r>
        <w:rPr>
          <w:color w:val="231F20"/>
          <w:spacing w:val="-26"/>
          <w:w w:val="105"/>
          <w:sz w:val="21"/>
        </w:rPr>
        <w:t> </w:t>
      </w:r>
      <w:r>
        <w:rPr>
          <w:color w:val="231F20"/>
          <w:spacing w:val="-4"/>
          <w:w w:val="105"/>
          <w:sz w:val="21"/>
        </w:rPr>
        <w:t>Performance”.</w:t>
      </w:r>
      <w:r>
        <w:rPr>
          <w:color w:val="231F20"/>
          <w:spacing w:val="-29"/>
          <w:w w:val="105"/>
          <w:sz w:val="21"/>
        </w:rPr>
        <w:t> </w:t>
      </w:r>
      <w:r>
        <w:rPr>
          <w:i/>
          <w:color w:val="231F20"/>
          <w:w w:val="105"/>
          <w:sz w:val="21"/>
        </w:rPr>
        <w:t>Harvard</w:t>
      </w:r>
      <w:r>
        <w:rPr>
          <w:i/>
          <w:color w:val="231F20"/>
          <w:spacing w:val="-26"/>
          <w:w w:val="105"/>
          <w:sz w:val="21"/>
        </w:rPr>
        <w:t> </w:t>
      </w:r>
      <w:r>
        <w:rPr>
          <w:i/>
          <w:color w:val="231F20"/>
          <w:w w:val="105"/>
          <w:sz w:val="21"/>
        </w:rPr>
        <w:t>Busi- </w:t>
      </w:r>
      <w:r>
        <w:rPr>
          <w:i/>
          <w:color w:val="231F20"/>
          <w:w w:val="105"/>
          <w:sz w:val="21"/>
        </w:rPr>
        <w:t>ness</w:t>
      </w:r>
      <w:r>
        <w:rPr>
          <w:i/>
          <w:color w:val="231F20"/>
          <w:spacing w:val="-33"/>
          <w:w w:val="105"/>
          <w:sz w:val="21"/>
        </w:rPr>
        <w:t> </w:t>
      </w:r>
      <w:r>
        <w:rPr>
          <w:i/>
          <w:color w:val="231F20"/>
          <w:w w:val="105"/>
          <w:sz w:val="21"/>
        </w:rPr>
        <w:t>Review,</w:t>
      </w:r>
      <w:r>
        <w:rPr>
          <w:i/>
          <w:color w:val="231F20"/>
          <w:spacing w:val="-36"/>
          <w:w w:val="105"/>
          <w:sz w:val="21"/>
        </w:rPr>
        <w:t> </w:t>
      </w:r>
      <w:r>
        <w:rPr>
          <w:color w:val="231F20"/>
          <w:spacing w:val="-3"/>
          <w:w w:val="105"/>
          <w:sz w:val="21"/>
        </w:rPr>
        <w:t>Vol.</w:t>
      </w:r>
      <w:r>
        <w:rPr>
          <w:color w:val="231F20"/>
          <w:spacing w:val="-36"/>
          <w:w w:val="105"/>
          <w:sz w:val="21"/>
        </w:rPr>
        <w:t> </w:t>
      </w:r>
      <w:r>
        <w:rPr>
          <w:i/>
          <w:color w:val="231F20"/>
          <w:w w:val="105"/>
          <w:sz w:val="21"/>
        </w:rPr>
        <w:t>36</w:t>
      </w:r>
      <w:r>
        <w:rPr>
          <w:color w:val="231F20"/>
          <w:w w:val="105"/>
          <w:sz w:val="21"/>
        </w:rPr>
        <w:t>,</w:t>
      </w:r>
      <w:r>
        <w:rPr>
          <w:color w:val="231F20"/>
          <w:spacing w:val="-36"/>
          <w:w w:val="105"/>
          <w:sz w:val="21"/>
        </w:rPr>
        <w:t> </w:t>
      </w:r>
      <w:r>
        <w:rPr>
          <w:color w:val="231F20"/>
          <w:w w:val="105"/>
          <w:sz w:val="21"/>
        </w:rPr>
        <w:t>Núm.</w:t>
      </w:r>
      <w:r>
        <w:rPr>
          <w:color w:val="231F20"/>
          <w:spacing w:val="-36"/>
          <w:w w:val="105"/>
          <w:sz w:val="21"/>
        </w:rPr>
        <w:t> </w:t>
      </w:r>
      <w:r>
        <w:rPr>
          <w:color w:val="231F20"/>
          <w:w w:val="105"/>
          <w:sz w:val="21"/>
        </w:rPr>
        <w:t>2,</w:t>
      </w:r>
      <w:r>
        <w:rPr>
          <w:color w:val="231F20"/>
          <w:spacing w:val="-36"/>
          <w:w w:val="105"/>
          <w:sz w:val="21"/>
        </w:rPr>
        <w:t> </w:t>
      </w:r>
      <w:r>
        <w:rPr>
          <w:color w:val="231F20"/>
          <w:w w:val="105"/>
          <w:sz w:val="21"/>
        </w:rPr>
        <w:t>pp.</w:t>
      </w:r>
      <w:r>
        <w:rPr>
          <w:color w:val="231F20"/>
          <w:spacing w:val="-36"/>
          <w:w w:val="105"/>
          <w:sz w:val="21"/>
        </w:rPr>
        <w:t> </w:t>
      </w:r>
      <w:r>
        <w:rPr>
          <w:color w:val="231F20"/>
          <w:w w:val="105"/>
          <w:sz w:val="21"/>
        </w:rPr>
        <w:t>41-50.</w:t>
      </w:r>
    </w:p>
    <w:p>
      <w:pPr>
        <w:pStyle w:val="BodyText"/>
        <w:spacing w:line="259" w:lineRule="auto"/>
        <w:ind w:left="841" w:right="115" w:hanging="738"/>
        <w:jc w:val="both"/>
      </w:pPr>
      <w:r>
        <w:rPr>
          <w:color w:val="231F20"/>
          <w:w w:val="105"/>
        </w:rPr>
        <w:t>Lu, </w:t>
      </w:r>
      <w:r>
        <w:rPr>
          <w:color w:val="231F20"/>
          <w:spacing w:val="-5"/>
          <w:w w:val="105"/>
        </w:rPr>
        <w:t>W.-M. </w:t>
      </w:r>
      <w:r>
        <w:rPr>
          <w:color w:val="231F20"/>
          <w:w w:val="105"/>
        </w:rPr>
        <w:t>(2012). “Intellectual capital and university performance in</w:t>
      </w:r>
      <w:r>
        <w:rPr>
          <w:color w:val="231F20"/>
          <w:spacing w:val="-31"/>
          <w:w w:val="105"/>
        </w:rPr>
        <w:t> </w:t>
      </w:r>
      <w:r>
        <w:rPr>
          <w:color w:val="231F20"/>
          <w:spacing w:val="-6"/>
          <w:w w:val="105"/>
        </w:rPr>
        <w:t>Tai- wan”.</w:t>
      </w:r>
      <w:r>
        <w:rPr>
          <w:color w:val="231F20"/>
          <w:spacing w:val="-23"/>
          <w:w w:val="105"/>
        </w:rPr>
        <w:t> </w:t>
      </w:r>
      <w:r>
        <w:rPr>
          <w:i/>
          <w:color w:val="231F20"/>
          <w:w w:val="105"/>
        </w:rPr>
        <w:t>Economic</w:t>
      </w:r>
      <w:r>
        <w:rPr>
          <w:i/>
          <w:color w:val="231F20"/>
          <w:spacing w:val="-17"/>
          <w:w w:val="105"/>
        </w:rPr>
        <w:t> </w:t>
      </w:r>
      <w:r>
        <w:rPr>
          <w:i/>
          <w:color w:val="231F20"/>
          <w:w w:val="105"/>
        </w:rPr>
        <w:t>Modelling,</w:t>
      </w:r>
      <w:r>
        <w:rPr>
          <w:i/>
          <w:color w:val="231F20"/>
          <w:spacing w:val="-23"/>
          <w:w w:val="105"/>
        </w:rPr>
        <w:t> </w:t>
      </w:r>
      <w:r>
        <w:rPr>
          <w:color w:val="231F20"/>
          <w:spacing w:val="-3"/>
          <w:w w:val="105"/>
        </w:rPr>
        <w:t>Vol.</w:t>
      </w:r>
      <w:r>
        <w:rPr>
          <w:color w:val="231F20"/>
          <w:spacing w:val="-23"/>
          <w:w w:val="105"/>
        </w:rPr>
        <w:t> </w:t>
      </w:r>
      <w:r>
        <w:rPr>
          <w:i/>
          <w:color w:val="231F20"/>
          <w:w w:val="105"/>
        </w:rPr>
        <w:t>29</w:t>
      </w:r>
      <w:r>
        <w:rPr>
          <w:color w:val="231F20"/>
          <w:w w:val="105"/>
        </w:rPr>
        <w:t>,</w:t>
      </w:r>
      <w:r>
        <w:rPr>
          <w:color w:val="231F20"/>
          <w:spacing w:val="-23"/>
          <w:w w:val="105"/>
        </w:rPr>
        <w:t> </w:t>
      </w:r>
      <w:r>
        <w:rPr>
          <w:color w:val="231F20"/>
          <w:w w:val="105"/>
        </w:rPr>
        <w:t>Núm.</w:t>
      </w:r>
      <w:r>
        <w:rPr>
          <w:color w:val="231F20"/>
          <w:spacing w:val="-23"/>
          <w:w w:val="105"/>
        </w:rPr>
        <w:t> </w:t>
      </w:r>
      <w:r>
        <w:rPr>
          <w:color w:val="231F20"/>
          <w:w w:val="105"/>
        </w:rPr>
        <w:t>4,</w:t>
      </w:r>
      <w:r>
        <w:rPr>
          <w:color w:val="231F20"/>
          <w:spacing w:val="-23"/>
          <w:w w:val="105"/>
        </w:rPr>
        <w:t> </w:t>
      </w:r>
      <w:r>
        <w:rPr>
          <w:color w:val="231F20"/>
          <w:w w:val="105"/>
        </w:rPr>
        <w:t>pp.</w:t>
      </w:r>
      <w:r>
        <w:rPr>
          <w:color w:val="231F20"/>
          <w:spacing w:val="-23"/>
          <w:w w:val="105"/>
        </w:rPr>
        <w:t> </w:t>
      </w:r>
      <w:r>
        <w:rPr>
          <w:color w:val="231F20"/>
          <w:w w:val="105"/>
        </w:rPr>
        <w:t>1081-1089.</w:t>
      </w:r>
    </w:p>
    <w:p>
      <w:pPr>
        <w:spacing w:line="259" w:lineRule="auto" w:before="0"/>
        <w:ind w:left="841" w:right="114" w:hanging="738"/>
        <w:jc w:val="both"/>
        <w:rPr>
          <w:sz w:val="21"/>
        </w:rPr>
      </w:pPr>
      <w:r>
        <w:rPr>
          <w:color w:val="231F20"/>
          <w:w w:val="105"/>
          <w:sz w:val="21"/>
        </w:rPr>
        <w:t>Machorro,</w:t>
      </w:r>
      <w:r>
        <w:rPr>
          <w:color w:val="231F20"/>
          <w:spacing w:val="-19"/>
          <w:w w:val="105"/>
          <w:sz w:val="21"/>
        </w:rPr>
        <w:t> </w:t>
      </w:r>
      <w:r>
        <w:rPr>
          <w:color w:val="231F20"/>
          <w:spacing w:val="-11"/>
          <w:w w:val="105"/>
          <w:sz w:val="21"/>
        </w:rPr>
        <w:t>F.</w:t>
      </w:r>
      <w:r>
        <w:rPr>
          <w:color w:val="231F20"/>
          <w:spacing w:val="-19"/>
          <w:w w:val="105"/>
          <w:sz w:val="21"/>
        </w:rPr>
        <w:t> </w:t>
      </w:r>
      <w:r>
        <w:rPr>
          <w:color w:val="231F20"/>
          <w:w w:val="105"/>
          <w:sz w:val="21"/>
        </w:rPr>
        <w:t>(2013).</w:t>
      </w:r>
      <w:r>
        <w:rPr>
          <w:color w:val="231F20"/>
          <w:spacing w:val="-19"/>
          <w:w w:val="105"/>
          <w:sz w:val="21"/>
        </w:rPr>
        <w:t> </w:t>
      </w:r>
      <w:r>
        <w:rPr>
          <w:i/>
          <w:color w:val="231F20"/>
          <w:w w:val="105"/>
          <w:sz w:val="21"/>
        </w:rPr>
        <w:t>El</w:t>
      </w:r>
      <w:r>
        <w:rPr>
          <w:i/>
          <w:color w:val="231F20"/>
          <w:spacing w:val="-14"/>
          <w:w w:val="105"/>
          <w:sz w:val="21"/>
        </w:rPr>
        <w:t> </w:t>
      </w:r>
      <w:r>
        <w:rPr>
          <w:i/>
          <w:color w:val="231F20"/>
          <w:w w:val="105"/>
          <w:sz w:val="21"/>
        </w:rPr>
        <w:t>capital</w:t>
      </w:r>
      <w:r>
        <w:rPr>
          <w:i/>
          <w:color w:val="231F20"/>
          <w:spacing w:val="-14"/>
          <w:w w:val="105"/>
          <w:sz w:val="21"/>
        </w:rPr>
        <w:t> </w:t>
      </w:r>
      <w:r>
        <w:rPr>
          <w:i/>
          <w:color w:val="231F20"/>
          <w:w w:val="105"/>
          <w:sz w:val="21"/>
        </w:rPr>
        <w:t>intelectual</w:t>
      </w:r>
      <w:r>
        <w:rPr>
          <w:i/>
          <w:color w:val="231F20"/>
          <w:spacing w:val="-14"/>
          <w:w w:val="105"/>
          <w:sz w:val="21"/>
        </w:rPr>
        <w:t> </w:t>
      </w:r>
      <w:r>
        <w:rPr>
          <w:i/>
          <w:color w:val="231F20"/>
          <w:w w:val="105"/>
          <w:sz w:val="21"/>
        </w:rPr>
        <w:t>como</w:t>
      </w:r>
      <w:r>
        <w:rPr>
          <w:i/>
          <w:color w:val="231F20"/>
          <w:spacing w:val="-14"/>
          <w:w w:val="105"/>
          <w:sz w:val="21"/>
        </w:rPr>
        <w:t> </w:t>
      </w:r>
      <w:r>
        <w:rPr>
          <w:i/>
          <w:color w:val="231F20"/>
          <w:w w:val="105"/>
          <w:sz w:val="21"/>
        </w:rPr>
        <w:t>agente</w:t>
      </w:r>
      <w:r>
        <w:rPr>
          <w:i/>
          <w:color w:val="231F20"/>
          <w:spacing w:val="-14"/>
          <w:w w:val="105"/>
          <w:sz w:val="21"/>
        </w:rPr>
        <w:t> </w:t>
      </w:r>
      <w:r>
        <w:rPr>
          <w:i/>
          <w:color w:val="231F20"/>
          <w:w w:val="105"/>
          <w:sz w:val="21"/>
        </w:rPr>
        <w:t>de</w:t>
      </w:r>
      <w:r>
        <w:rPr>
          <w:i/>
          <w:color w:val="231F20"/>
          <w:spacing w:val="-14"/>
          <w:w w:val="105"/>
          <w:sz w:val="21"/>
        </w:rPr>
        <w:t> </w:t>
      </w:r>
      <w:r>
        <w:rPr>
          <w:i/>
          <w:color w:val="231F20"/>
          <w:w w:val="105"/>
          <w:sz w:val="21"/>
        </w:rPr>
        <w:t>los</w:t>
      </w:r>
      <w:r>
        <w:rPr>
          <w:i/>
          <w:color w:val="231F20"/>
          <w:spacing w:val="-14"/>
          <w:w w:val="105"/>
          <w:sz w:val="21"/>
        </w:rPr>
        <w:t> </w:t>
      </w:r>
      <w:r>
        <w:rPr>
          <w:i/>
          <w:color w:val="231F20"/>
          <w:w w:val="105"/>
          <w:sz w:val="21"/>
        </w:rPr>
        <w:t>resultados </w:t>
      </w:r>
      <w:r>
        <w:rPr>
          <w:i/>
          <w:color w:val="231F20"/>
          <w:w w:val="105"/>
          <w:sz w:val="21"/>
        </w:rPr>
        <w:t>de</w:t>
      </w:r>
      <w:r>
        <w:rPr>
          <w:i/>
          <w:color w:val="231F20"/>
          <w:spacing w:val="-38"/>
          <w:w w:val="105"/>
          <w:sz w:val="21"/>
        </w:rPr>
        <w:t> </w:t>
      </w:r>
      <w:r>
        <w:rPr>
          <w:i/>
          <w:color w:val="231F20"/>
          <w:w w:val="105"/>
          <w:sz w:val="21"/>
        </w:rPr>
        <w:t>la</w:t>
      </w:r>
      <w:r>
        <w:rPr>
          <w:i/>
          <w:color w:val="231F20"/>
          <w:spacing w:val="-38"/>
          <w:w w:val="105"/>
          <w:sz w:val="21"/>
        </w:rPr>
        <w:t> </w:t>
      </w:r>
      <w:r>
        <w:rPr>
          <w:i/>
          <w:color w:val="231F20"/>
          <w:w w:val="105"/>
          <w:sz w:val="21"/>
        </w:rPr>
        <w:t>excelencia</w:t>
      </w:r>
      <w:r>
        <w:rPr>
          <w:i/>
          <w:color w:val="231F20"/>
          <w:spacing w:val="-38"/>
          <w:w w:val="105"/>
          <w:sz w:val="21"/>
        </w:rPr>
        <w:t> </w:t>
      </w:r>
      <w:r>
        <w:rPr>
          <w:i/>
          <w:color w:val="231F20"/>
          <w:w w:val="105"/>
          <w:sz w:val="21"/>
        </w:rPr>
        <w:t>administrativa</w:t>
      </w:r>
      <w:r>
        <w:rPr>
          <w:i/>
          <w:color w:val="231F20"/>
          <w:spacing w:val="-38"/>
          <w:w w:val="105"/>
          <w:sz w:val="21"/>
        </w:rPr>
        <w:t> </w:t>
      </w:r>
      <w:r>
        <w:rPr>
          <w:i/>
          <w:color w:val="231F20"/>
          <w:w w:val="105"/>
          <w:sz w:val="21"/>
        </w:rPr>
        <w:t>en</w:t>
      </w:r>
      <w:r>
        <w:rPr>
          <w:i/>
          <w:color w:val="231F20"/>
          <w:spacing w:val="-38"/>
          <w:w w:val="105"/>
          <w:sz w:val="21"/>
        </w:rPr>
        <w:t> </w:t>
      </w:r>
      <w:r>
        <w:rPr>
          <w:i/>
          <w:color w:val="231F20"/>
          <w:w w:val="105"/>
          <w:sz w:val="21"/>
        </w:rPr>
        <w:t>los</w:t>
      </w:r>
      <w:r>
        <w:rPr>
          <w:i/>
          <w:color w:val="231F20"/>
          <w:spacing w:val="-38"/>
          <w:w w:val="105"/>
          <w:sz w:val="21"/>
        </w:rPr>
        <w:t> </w:t>
      </w:r>
      <w:r>
        <w:rPr>
          <w:i/>
          <w:color w:val="231F20"/>
          <w:w w:val="105"/>
          <w:sz w:val="21"/>
        </w:rPr>
        <w:t>Institutos</w:t>
      </w:r>
      <w:r>
        <w:rPr>
          <w:i/>
          <w:color w:val="231F20"/>
          <w:spacing w:val="-41"/>
          <w:w w:val="105"/>
          <w:sz w:val="21"/>
        </w:rPr>
        <w:t> </w:t>
      </w:r>
      <w:r>
        <w:rPr>
          <w:i/>
          <w:color w:val="231F20"/>
          <w:w w:val="105"/>
          <w:sz w:val="21"/>
        </w:rPr>
        <w:t>Tecnológicos</w:t>
      </w:r>
      <w:r>
        <w:rPr>
          <w:i/>
          <w:color w:val="231F20"/>
          <w:spacing w:val="-38"/>
          <w:w w:val="105"/>
          <w:sz w:val="21"/>
        </w:rPr>
        <w:t> </w:t>
      </w:r>
      <w:r>
        <w:rPr>
          <w:i/>
          <w:color w:val="231F20"/>
          <w:w w:val="105"/>
          <w:sz w:val="21"/>
        </w:rPr>
        <w:t>Des- centralizados</w:t>
      </w:r>
      <w:r>
        <w:rPr>
          <w:i/>
          <w:color w:val="231F20"/>
          <w:spacing w:val="-16"/>
          <w:w w:val="105"/>
          <w:sz w:val="21"/>
        </w:rPr>
        <w:t> </w:t>
      </w:r>
      <w:r>
        <w:rPr>
          <w:i/>
          <w:color w:val="231F20"/>
          <w:w w:val="105"/>
          <w:sz w:val="21"/>
        </w:rPr>
        <w:t>del</w:t>
      </w:r>
      <w:r>
        <w:rPr>
          <w:i/>
          <w:color w:val="231F20"/>
          <w:spacing w:val="-16"/>
          <w:w w:val="105"/>
          <w:sz w:val="21"/>
        </w:rPr>
        <w:t> </w:t>
      </w:r>
      <w:r>
        <w:rPr>
          <w:i/>
          <w:color w:val="231F20"/>
          <w:w w:val="105"/>
          <w:sz w:val="21"/>
        </w:rPr>
        <w:t>estado</w:t>
      </w:r>
      <w:r>
        <w:rPr>
          <w:i/>
          <w:color w:val="231F20"/>
          <w:spacing w:val="-16"/>
          <w:w w:val="105"/>
          <w:sz w:val="21"/>
        </w:rPr>
        <w:t> </w:t>
      </w:r>
      <w:r>
        <w:rPr>
          <w:i/>
          <w:color w:val="231F20"/>
          <w:w w:val="105"/>
          <w:sz w:val="21"/>
        </w:rPr>
        <w:t>de</w:t>
      </w:r>
      <w:r>
        <w:rPr>
          <w:i/>
          <w:color w:val="231F20"/>
          <w:spacing w:val="-18"/>
          <w:w w:val="105"/>
          <w:sz w:val="21"/>
        </w:rPr>
        <w:t> </w:t>
      </w:r>
      <w:r>
        <w:rPr>
          <w:i/>
          <w:color w:val="231F20"/>
          <w:w w:val="105"/>
          <w:sz w:val="21"/>
        </w:rPr>
        <w:t>Veracruz,</w:t>
      </w:r>
      <w:r>
        <w:rPr>
          <w:i/>
          <w:color w:val="231F20"/>
          <w:spacing w:val="-20"/>
          <w:w w:val="105"/>
          <w:sz w:val="21"/>
        </w:rPr>
        <w:t> </w:t>
      </w:r>
      <w:r>
        <w:rPr>
          <w:i/>
          <w:color w:val="231F20"/>
          <w:w w:val="105"/>
          <w:sz w:val="21"/>
        </w:rPr>
        <w:t>2012.</w:t>
      </w:r>
      <w:r>
        <w:rPr>
          <w:i/>
          <w:color w:val="231F20"/>
          <w:spacing w:val="-19"/>
          <w:w w:val="105"/>
          <w:sz w:val="21"/>
        </w:rPr>
        <w:t> </w:t>
      </w:r>
      <w:r>
        <w:rPr>
          <w:color w:val="231F20"/>
          <w:spacing w:val="-4"/>
          <w:w w:val="105"/>
          <w:sz w:val="21"/>
        </w:rPr>
        <w:t>Tesis.</w:t>
      </w:r>
      <w:r>
        <w:rPr>
          <w:color w:val="231F20"/>
          <w:spacing w:val="-20"/>
          <w:w w:val="105"/>
          <w:sz w:val="21"/>
        </w:rPr>
        <w:t> </w:t>
      </w:r>
      <w:r>
        <w:rPr>
          <w:color w:val="231F20"/>
          <w:w w:val="105"/>
          <w:sz w:val="21"/>
        </w:rPr>
        <w:t>Doctorado</w:t>
      </w:r>
      <w:r>
        <w:rPr>
          <w:color w:val="231F20"/>
          <w:spacing w:val="-16"/>
          <w:w w:val="105"/>
          <w:sz w:val="21"/>
        </w:rPr>
        <w:t> </w:t>
      </w:r>
      <w:r>
        <w:rPr>
          <w:color w:val="231F20"/>
          <w:w w:val="105"/>
          <w:sz w:val="21"/>
        </w:rPr>
        <w:t>en Ciencias</w:t>
      </w:r>
      <w:r>
        <w:rPr>
          <w:color w:val="231F20"/>
          <w:spacing w:val="-23"/>
          <w:w w:val="105"/>
          <w:sz w:val="21"/>
        </w:rPr>
        <w:t> </w:t>
      </w:r>
      <w:r>
        <w:rPr>
          <w:color w:val="231F20"/>
          <w:w w:val="105"/>
          <w:sz w:val="21"/>
        </w:rPr>
        <w:t>Económico-Adminsitrativas.</w:t>
      </w:r>
      <w:r>
        <w:rPr>
          <w:color w:val="231F20"/>
          <w:spacing w:val="-26"/>
          <w:w w:val="105"/>
          <w:sz w:val="21"/>
        </w:rPr>
        <w:t> </w:t>
      </w:r>
      <w:r>
        <w:rPr>
          <w:color w:val="231F20"/>
          <w:w w:val="105"/>
          <w:sz w:val="21"/>
        </w:rPr>
        <w:t>Universidad</w:t>
      </w:r>
      <w:r>
        <w:rPr>
          <w:color w:val="231F20"/>
          <w:spacing w:val="-25"/>
          <w:w w:val="105"/>
          <w:sz w:val="21"/>
        </w:rPr>
        <w:t> </w:t>
      </w:r>
      <w:r>
        <w:rPr>
          <w:color w:val="231F20"/>
          <w:w w:val="105"/>
          <w:sz w:val="21"/>
        </w:rPr>
        <w:t>Autónoma</w:t>
      </w:r>
      <w:r>
        <w:rPr>
          <w:color w:val="231F20"/>
          <w:spacing w:val="-23"/>
          <w:w w:val="105"/>
          <w:sz w:val="21"/>
        </w:rPr>
        <w:t> </w:t>
      </w:r>
      <w:r>
        <w:rPr>
          <w:color w:val="231F20"/>
          <w:w w:val="105"/>
          <w:sz w:val="21"/>
        </w:rPr>
        <w:t>del Estado</w:t>
      </w:r>
      <w:r>
        <w:rPr>
          <w:color w:val="231F20"/>
          <w:spacing w:val="-33"/>
          <w:w w:val="105"/>
          <w:sz w:val="21"/>
        </w:rPr>
        <w:t> </w:t>
      </w:r>
      <w:r>
        <w:rPr>
          <w:color w:val="231F20"/>
          <w:w w:val="105"/>
          <w:sz w:val="21"/>
        </w:rPr>
        <w:t>de</w:t>
      </w:r>
      <w:r>
        <w:rPr>
          <w:color w:val="231F20"/>
          <w:spacing w:val="-33"/>
          <w:w w:val="105"/>
          <w:sz w:val="21"/>
        </w:rPr>
        <w:t> </w:t>
      </w:r>
      <w:r>
        <w:rPr>
          <w:color w:val="231F20"/>
          <w:w w:val="105"/>
          <w:sz w:val="21"/>
        </w:rPr>
        <w:t>México,</w:t>
      </w:r>
      <w:r>
        <w:rPr>
          <w:color w:val="231F20"/>
          <w:spacing w:val="-39"/>
          <w:w w:val="105"/>
          <w:sz w:val="21"/>
        </w:rPr>
        <w:t> </w:t>
      </w:r>
      <w:r>
        <w:rPr>
          <w:color w:val="231F20"/>
          <w:spacing w:val="-3"/>
          <w:w w:val="105"/>
          <w:sz w:val="21"/>
        </w:rPr>
        <w:t>Toluca.</w:t>
      </w:r>
    </w:p>
    <w:p>
      <w:pPr>
        <w:pStyle w:val="BodyText"/>
        <w:spacing w:line="259" w:lineRule="auto"/>
        <w:ind w:left="841" w:right="115" w:hanging="738"/>
        <w:jc w:val="both"/>
      </w:pPr>
      <w:r>
        <w:rPr>
          <w:color w:val="231F20"/>
          <w:w w:val="105"/>
        </w:rPr>
        <w:t>Mahoney,</w:t>
      </w:r>
      <w:r>
        <w:rPr>
          <w:color w:val="231F20"/>
          <w:spacing w:val="-34"/>
          <w:w w:val="105"/>
        </w:rPr>
        <w:t> </w:t>
      </w:r>
      <w:r>
        <w:rPr>
          <w:color w:val="231F20"/>
          <w:w w:val="105"/>
        </w:rPr>
        <w:t>J.</w:t>
      </w:r>
      <w:r>
        <w:rPr>
          <w:color w:val="231F20"/>
          <w:spacing w:val="-35"/>
          <w:w w:val="105"/>
        </w:rPr>
        <w:t> </w:t>
      </w:r>
      <w:r>
        <w:rPr>
          <w:color w:val="231F20"/>
          <w:spacing w:val="-6"/>
          <w:w w:val="105"/>
        </w:rPr>
        <w:t>T.,</w:t>
      </w:r>
      <w:r>
        <w:rPr>
          <w:color w:val="231F20"/>
          <w:spacing w:val="-32"/>
          <w:w w:val="105"/>
        </w:rPr>
        <w:t> </w:t>
      </w:r>
      <w:r>
        <w:rPr>
          <w:color w:val="231F20"/>
          <w:w w:val="105"/>
        </w:rPr>
        <w:t>y</w:t>
      </w:r>
      <w:r>
        <w:rPr>
          <w:color w:val="231F20"/>
          <w:spacing w:val="-28"/>
          <w:w w:val="105"/>
        </w:rPr>
        <w:t> </w:t>
      </w:r>
      <w:r>
        <w:rPr>
          <w:color w:val="231F20"/>
          <w:w w:val="105"/>
        </w:rPr>
        <w:t>Pandian,</w:t>
      </w:r>
      <w:r>
        <w:rPr>
          <w:color w:val="231F20"/>
          <w:spacing w:val="-32"/>
          <w:w w:val="105"/>
        </w:rPr>
        <w:t> </w:t>
      </w:r>
      <w:r>
        <w:rPr>
          <w:color w:val="231F20"/>
          <w:w w:val="105"/>
        </w:rPr>
        <w:t>R.</w:t>
      </w:r>
      <w:r>
        <w:rPr>
          <w:color w:val="231F20"/>
          <w:spacing w:val="-32"/>
          <w:w w:val="105"/>
        </w:rPr>
        <w:t> </w:t>
      </w:r>
      <w:r>
        <w:rPr>
          <w:color w:val="231F20"/>
          <w:w w:val="105"/>
        </w:rPr>
        <w:t>(1992).</w:t>
      </w:r>
      <w:r>
        <w:rPr>
          <w:color w:val="231F20"/>
          <w:spacing w:val="-32"/>
          <w:w w:val="105"/>
        </w:rPr>
        <w:t> </w:t>
      </w:r>
      <w:r>
        <w:rPr>
          <w:color w:val="231F20"/>
          <w:w w:val="105"/>
        </w:rPr>
        <w:t>“The</w:t>
      </w:r>
      <w:r>
        <w:rPr>
          <w:color w:val="231F20"/>
          <w:spacing w:val="-28"/>
          <w:w w:val="105"/>
        </w:rPr>
        <w:t> </w:t>
      </w:r>
      <w:r>
        <w:rPr>
          <w:color w:val="231F20"/>
          <w:w w:val="105"/>
        </w:rPr>
        <w:t>resource-based</w:t>
      </w:r>
      <w:r>
        <w:rPr>
          <w:color w:val="231F20"/>
          <w:spacing w:val="-28"/>
          <w:w w:val="105"/>
        </w:rPr>
        <w:t> </w:t>
      </w:r>
      <w:r>
        <w:rPr>
          <w:color w:val="231F20"/>
          <w:w w:val="105"/>
        </w:rPr>
        <w:t>view</w:t>
      </w:r>
      <w:r>
        <w:rPr>
          <w:color w:val="231F20"/>
          <w:spacing w:val="-28"/>
          <w:w w:val="105"/>
        </w:rPr>
        <w:t> </w:t>
      </w:r>
      <w:r>
        <w:rPr>
          <w:color w:val="231F20"/>
          <w:w w:val="105"/>
        </w:rPr>
        <w:t>within</w:t>
      </w:r>
      <w:r>
        <w:rPr>
          <w:color w:val="231F20"/>
          <w:spacing w:val="-28"/>
          <w:w w:val="105"/>
        </w:rPr>
        <w:t> </w:t>
      </w:r>
      <w:r>
        <w:rPr>
          <w:color w:val="231F20"/>
          <w:w w:val="105"/>
        </w:rPr>
        <w:t>the conversation of strategic management”. </w:t>
      </w:r>
      <w:r>
        <w:rPr>
          <w:i/>
          <w:color w:val="231F20"/>
          <w:w w:val="105"/>
        </w:rPr>
        <w:t>Strategic Management </w:t>
      </w:r>
      <w:r>
        <w:rPr>
          <w:i/>
          <w:color w:val="231F20"/>
          <w:w w:val="105"/>
        </w:rPr>
        <w:t>Journal,</w:t>
      </w:r>
      <w:r>
        <w:rPr>
          <w:i/>
          <w:color w:val="231F20"/>
          <w:spacing w:val="-28"/>
          <w:w w:val="105"/>
        </w:rPr>
        <w:t> </w:t>
      </w:r>
      <w:r>
        <w:rPr>
          <w:color w:val="231F20"/>
          <w:spacing w:val="-3"/>
          <w:w w:val="105"/>
        </w:rPr>
        <w:t>Vol.</w:t>
      </w:r>
      <w:r>
        <w:rPr>
          <w:color w:val="231F20"/>
          <w:spacing w:val="-28"/>
          <w:w w:val="105"/>
        </w:rPr>
        <w:t> </w:t>
      </w:r>
      <w:r>
        <w:rPr>
          <w:i/>
          <w:color w:val="231F20"/>
          <w:w w:val="105"/>
        </w:rPr>
        <w:t>13</w:t>
      </w:r>
      <w:r>
        <w:rPr>
          <w:color w:val="231F20"/>
          <w:w w:val="105"/>
        </w:rPr>
        <w:t>,</w:t>
      </w:r>
      <w:r>
        <w:rPr>
          <w:color w:val="231F20"/>
          <w:spacing w:val="-28"/>
          <w:w w:val="105"/>
        </w:rPr>
        <w:t> </w:t>
      </w:r>
      <w:r>
        <w:rPr>
          <w:color w:val="231F20"/>
          <w:w w:val="105"/>
        </w:rPr>
        <w:t>pp.</w:t>
      </w:r>
      <w:r>
        <w:rPr>
          <w:color w:val="231F20"/>
          <w:spacing w:val="-28"/>
          <w:w w:val="105"/>
        </w:rPr>
        <w:t> </w:t>
      </w:r>
      <w:r>
        <w:rPr>
          <w:color w:val="231F20"/>
          <w:w w:val="105"/>
        </w:rPr>
        <w:t>363-380.</w:t>
      </w:r>
    </w:p>
    <w:p>
      <w:pPr>
        <w:spacing w:line="259" w:lineRule="auto" w:before="0"/>
        <w:ind w:left="841" w:right="115" w:hanging="738"/>
        <w:jc w:val="both"/>
        <w:rPr>
          <w:sz w:val="21"/>
        </w:rPr>
      </w:pPr>
      <w:r>
        <w:rPr>
          <w:color w:val="231F20"/>
          <w:sz w:val="21"/>
        </w:rPr>
        <w:t>Mahoney, </w:t>
      </w:r>
      <w:r>
        <w:rPr>
          <w:color w:val="231F20"/>
          <w:spacing w:val="-9"/>
          <w:sz w:val="21"/>
        </w:rPr>
        <w:t>T. </w:t>
      </w:r>
      <w:r>
        <w:rPr>
          <w:color w:val="231F20"/>
          <w:sz w:val="21"/>
        </w:rPr>
        <w:t>A., y </w:t>
      </w:r>
      <w:r>
        <w:rPr>
          <w:color w:val="231F20"/>
          <w:spacing w:val="-3"/>
          <w:sz w:val="21"/>
        </w:rPr>
        <w:t>Frost, </w:t>
      </w:r>
      <w:r>
        <w:rPr>
          <w:color w:val="231F20"/>
          <w:spacing w:val="-16"/>
          <w:sz w:val="21"/>
        </w:rPr>
        <w:t>P. </w:t>
      </w:r>
      <w:r>
        <w:rPr>
          <w:color w:val="231F20"/>
          <w:sz w:val="21"/>
        </w:rPr>
        <w:t>J. (1974). “The Role of </w:t>
      </w:r>
      <w:r>
        <w:rPr>
          <w:color w:val="231F20"/>
          <w:spacing w:val="-3"/>
          <w:sz w:val="21"/>
        </w:rPr>
        <w:t>Technology </w:t>
      </w:r>
      <w:r>
        <w:rPr>
          <w:color w:val="231F20"/>
          <w:sz w:val="21"/>
        </w:rPr>
        <w:t>in Models of Organizational Effectiveness”. </w:t>
      </w:r>
      <w:r>
        <w:rPr>
          <w:i/>
          <w:color w:val="231F20"/>
          <w:sz w:val="21"/>
        </w:rPr>
        <w:t>Organizational Behavior y Human </w:t>
      </w:r>
      <w:r>
        <w:rPr>
          <w:i/>
          <w:color w:val="231F20"/>
          <w:sz w:val="21"/>
        </w:rPr>
        <w:t>Performance, </w:t>
      </w:r>
      <w:r>
        <w:rPr>
          <w:color w:val="231F20"/>
          <w:spacing w:val="-3"/>
          <w:sz w:val="21"/>
        </w:rPr>
        <w:t>Vol. </w:t>
      </w:r>
      <w:r>
        <w:rPr>
          <w:i/>
          <w:color w:val="231F20"/>
          <w:sz w:val="21"/>
        </w:rPr>
        <w:t>11</w:t>
      </w:r>
      <w:r>
        <w:rPr>
          <w:color w:val="231F20"/>
          <w:sz w:val="21"/>
        </w:rPr>
        <w:t>, Núm. 1, pp. 122-138.</w:t>
      </w:r>
    </w:p>
    <w:p>
      <w:pPr>
        <w:spacing w:line="259" w:lineRule="auto" w:before="0"/>
        <w:ind w:left="841" w:right="108" w:hanging="738"/>
        <w:jc w:val="both"/>
        <w:rPr>
          <w:sz w:val="21"/>
        </w:rPr>
      </w:pPr>
      <w:r>
        <w:rPr>
          <w:color w:val="231F20"/>
          <w:w w:val="105"/>
          <w:sz w:val="21"/>
        </w:rPr>
        <w:t>Martín, J. I., y Rodríguez, </w:t>
      </w:r>
      <w:r>
        <w:rPr>
          <w:color w:val="231F20"/>
          <w:spacing w:val="-6"/>
          <w:w w:val="105"/>
          <w:sz w:val="21"/>
        </w:rPr>
        <w:t>Ó. </w:t>
      </w:r>
      <w:r>
        <w:rPr>
          <w:color w:val="231F20"/>
          <w:w w:val="105"/>
          <w:sz w:val="21"/>
        </w:rPr>
        <w:t>(2008). “EFQM model: knowledge gover- nance</w:t>
      </w:r>
      <w:r>
        <w:rPr>
          <w:color w:val="231F20"/>
          <w:spacing w:val="-24"/>
          <w:w w:val="105"/>
          <w:sz w:val="21"/>
        </w:rPr>
        <w:t> </w:t>
      </w:r>
      <w:r>
        <w:rPr>
          <w:color w:val="231F20"/>
          <w:w w:val="105"/>
          <w:sz w:val="21"/>
        </w:rPr>
        <w:t>and</w:t>
      </w:r>
      <w:r>
        <w:rPr>
          <w:color w:val="231F20"/>
          <w:spacing w:val="-24"/>
          <w:w w:val="105"/>
          <w:sz w:val="21"/>
        </w:rPr>
        <w:t> </w:t>
      </w:r>
      <w:r>
        <w:rPr>
          <w:color w:val="231F20"/>
          <w:w w:val="105"/>
          <w:sz w:val="21"/>
        </w:rPr>
        <w:t>competitive</w:t>
      </w:r>
      <w:r>
        <w:rPr>
          <w:color w:val="231F20"/>
          <w:spacing w:val="-24"/>
          <w:w w:val="105"/>
          <w:sz w:val="21"/>
        </w:rPr>
        <w:t> </w:t>
      </w:r>
      <w:r>
        <w:rPr>
          <w:color w:val="231F20"/>
          <w:spacing w:val="-3"/>
          <w:w w:val="105"/>
          <w:sz w:val="21"/>
        </w:rPr>
        <w:t>advantage”.</w:t>
      </w:r>
      <w:r>
        <w:rPr>
          <w:color w:val="231F20"/>
          <w:spacing w:val="-30"/>
          <w:w w:val="105"/>
          <w:sz w:val="21"/>
        </w:rPr>
        <w:t> </w:t>
      </w:r>
      <w:r>
        <w:rPr>
          <w:i/>
          <w:color w:val="231F20"/>
          <w:w w:val="105"/>
          <w:sz w:val="21"/>
        </w:rPr>
        <w:t>Journal</w:t>
      </w:r>
      <w:r>
        <w:rPr>
          <w:i/>
          <w:color w:val="231F20"/>
          <w:spacing w:val="-24"/>
          <w:w w:val="105"/>
          <w:sz w:val="21"/>
        </w:rPr>
        <w:t> </w:t>
      </w:r>
      <w:r>
        <w:rPr>
          <w:i/>
          <w:color w:val="231F20"/>
          <w:w w:val="105"/>
          <w:sz w:val="21"/>
        </w:rPr>
        <w:t>of</w:t>
      </w:r>
      <w:r>
        <w:rPr>
          <w:i/>
          <w:color w:val="231F20"/>
          <w:spacing w:val="-20"/>
          <w:w w:val="105"/>
          <w:sz w:val="21"/>
        </w:rPr>
        <w:t> </w:t>
      </w:r>
      <w:r>
        <w:rPr>
          <w:i/>
          <w:color w:val="231F20"/>
          <w:w w:val="105"/>
          <w:sz w:val="21"/>
        </w:rPr>
        <w:t>Intellectual</w:t>
      </w:r>
      <w:r>
        <w:rPr>
          <w:i/>
          <w:color w:val="231F20"/>
          <w:spacing w:val="-24"/>
          <w:w w:val="105"/>
          <w:sz w:val="21"/>
        </w:rPr>
        <w:t> </w:t>
      </w:r>
      <w:r>
        <w:rPr>
          <w:i/>
          <w:color w:val="231F20"/>
          <w:w w:val="105"/>
          <w:sz w:val="21"/>
        </w:rPr>
        <w:t>Capital, </w:t>
      </w:r>
      <w:r>
        <w:rPr>
          <w:color w:val="231F20"/>
          <w:spacing w:val="-3"/>
          <w:w w:val="105"/>
          <w:sz w:val="21"/>
        </w:rPr>
        <w:t>Vol.</w:t>
      </w:r>
      <w:r>
        <w:rPr>
          <w:color w:val="231F20"/>
          <w:spacing w:val="-24"/>
          <w:w w:val="105"/>
          <w:sz w:val="21"/>
        </w:rPr>
        <w:t> </w:t>
      </w:r>
      <w:r>
        <w:rPr>
          <w:i/>
          <w:color w:val="231F20"/>
          <w:w w:val="105"/>
          <w:sz w:val="21"/>
        </w:rPr>
        <w:t>9</w:t>
      </w:r>
      <w:r>
        <w:rPr>
          <w:color w:val="231F20"/>
          <w:w w:val="105"/>
          <w:sz w:val="21"/>
        </w:rPr>
        <w:t>,</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1,</w:t>
      </w:r>
      <w:r>
        <w:rPr>
          <w:color w:val="231F20"/>
          <w:spacing w:val="-24"/>
          <w:w w:val="105"/>
          <w:sz w:val="21"/>
        </w:rPr>
        <w:t> </w:t>
      </w:r>
      <w:r>
        <w:rPr>
          <w:color w:val="231F20"/>
          <w:w w:val="105"/>
          <w:sz w:val="21"/>
        </w:rPr>
        <w:t>pp.</w:t>
      </w:r>
      <w:r>
        <w:rPr>
          <w:color w:val="231F20"/>
          <w:spacing w:val="-24"/>
          <w:w w:val="105"/>
          <w:sz w:val="21"/>
        </w:rPr>
        <w:t> </w:t>
      </w:r>
      <w:r>
        <w:rPr>
          <w:color w:val="231F20"/>
          <w:w w:val="105"/>
          <w:sz w:val="21"/>
        </w:rPr>
        <w:t>133-156.</w:t>
      </w:r>
    </w:p>
    <w:p>
      <w:pPr>
        <w:pStyle w:val="BodyText"/>
        <w:spacing w:line="259" w:lineRule="auto"/>
        <w:ind w:left="841" w:right="114" w:hanging="738"/>
        <w:jc w:val="both"/>
      </w:pPr>
      <w:r>
        <w:rPr>
          <w:color w:val="231F20"/>
        </w:rPr>
        <w:t>Martínez, C., y Riopérez, N. (2005). “El Modelo de Excelencia en la EFQM y su aplicación para la mejora de la calidad de los centros educa- tivos”. </w:t>
      </w:r>
      <w:r>
        <w:rPr>
          <w:i/>
          <w:color w:val="231F20"/>
        </w:rPr>
        <w:t>Educación XX1, </w:t>
      </w:r>
      <w:r>
        <w:rPr>
          <w:color w:val="231F20"/>
        </w:rPr>
        <w:t>Núm. 008, pp. 35-65.</w:t>
      </w:r>
    </w:p>
    <w:p>
      <w:pPr>
        <w:spacing w:line="259" w:lineRule="auto" w:before="0"/>
        <w:ind w:left="841" w:right="114" w:hanging="738"/>
        <w:jc w:val="both"/>
        <w:rPr>
          <w:sz w:val="21"/>
        </w:rPr>
      </w:pPr>
      <w:r>
        <w:rPr>
          <w:color w:val="231F20"/>
          <w:sz w:val="21"/>
        </w:rPr>
        <w:t>Medina, J., Salvador, L., Quintana, R., y Cubillas, G. (2001). </w:t>
      </w:r>
      <w:r>
        <w:rPr>
          <w:i/>
          <w:color w:val="231F20"/>
          <w:sz w:val="21"/>
        </w:rPr>
        <w:t>Cuestionario </w:t>
      </w:r>
      <w:r>
        <w:rPr>
          <w:i/>
          <w:color w:val="231F20"/>
          <w:sz w:val="21"/>
        </w:rPr>
        <w:t>de evaluación de servicios</w:t>
      </w:r>
      <w:r>
        <w:rPr>
          <w:color w:val="231F20"/>
          <w:sz w:val="21"/>
        </w:rPr>
        <w:t>. Consejo de Universidades. Secretaría General, Madrid.</w:t>
      </w: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383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110</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045" w:right="0" w:firstLine="0"/>
        <w:jc w:val="left"/>
        <w:rPr>
          <w:sz w:val="20"/>
        </w:rPr>
      </w:pPr>
      <w:r>
        <w:rPr/>
        <w:pict>
          <v:line style="position:absolute;mso-position-horizontal-relative:page;mso-position-vertical-relative:paragraph;z-index:-243808" from="384.061005pt,-25.30427pt" to="384.061005pt,9.561580pt" stroked="true" strokeweight=".3pt" strokecolor="#231f20">
            <w10:wrap type="none"/>
          </v:line>
        </w:pict>
      </w:r>
      <w:r>
        <w:rPr>
          <w:rFonts w:ascii="Lucida Sans Unicode" w:hAnsi="Lucida Sans Unicode"/>
          <w:color w:val="6D6E71"/>
          <w:sz w:val="14"/>
        </w:rPr>
        <w:t>IV. Desempeño organIzacIonal y excelencIa aDmInIstratIVa</w:t>
      </w:r>
      <w:r>
        <w:rPr>
          <w:rFonts w:ascii="Lucida Sans Unicode" w:hAnsi="Lucida Sans Unicode"/>
          <w:color w:val="6D6E71"/>
          <w:spacing w:val="-26"/>
          <w:sz w:val="14"/>
        </w:rPr>
        <w:t> </w:t>
      </w:r>
      <w:r>
        <w:rPr>
          <w:rFonts w:ascii="Lucida Sans Unicode" w:hAnsi="Lucida Sans Unicode"/>
          <w:color w:val="6D6E71"/>
          <w:sz w:val="14"/>
        </w:rPr>
        <w:t>en</w:t>
      </w:r>
      <w:r>
        <w:rPr>
          <w:rFonts w:ascii="Lucida Sans Unicode" w:hAnsi="Lucida Sans Unicode"/>
          <w:color w:val="6D6E71"/>
          <w:spacing w:val="-5"/>
          <w:sz w:val="14"/>
        </w:rPr>
        <w:t> </w:t>
      </w:r>
      <w:r>
        <w:rPr>
          <w:rFonts w:ascii="Lucida Sans Unicode" w:hAnsi="Lucida Sans Unicode"/>
          <w:color w:val="6D6E71"/>
          <w:sz w:val="14"/>
        </w:rPr>
        <w:t>unIVersIDaDes</w:t>
      </w:r>
      <w:r>
        <w:rPr>
          <w:color w:val="414042"/>
          <w:position w:val="-3"/>
          <w:sz w:val="20"/>
        </w:rPr>
        <w:tab/>
        <w:t>111</w:t>
      </w:r>
    </w:p>
    <w:p>
      <w:pPr>
        <w:pStyle w:val="BodyText"/>
        <w:rPr>
          <w:sz w:val="20"/>
        </w:rPr>
      </w:pPr>
    </w:p>
    <w:p>
      <w:pPr>
        <w:pStyle w:val="BodyText"/>
        <w:rPr>
          <w:sz w:val="20"/>
        </w:rPr>
      </w:pPr>
    </w:p>
    <w:p>
      <w:pPr>
        <w:spacing w:line="259" w:lineRule="auto" w:before="176"/>
        <w:ind w:left="854" w:right="121" w:hanging="738"/>
        <w:jc w:val="both"/>
        <w:rPr>
          <w:sz w:val="21"/>
        </w:rPr>
      </w:pPr>
      <w:r>
        <w:rPr>
          <w:color w:val="231F20"/>
          <w:sz w:val="21"/>
        </w:rPr>
        <w:t>Membrado, J. (2003). </w:t>
      </w:r>
      <w:r>
        <w:rPr>
          <w:i/>
          <w:color w:val="231F20"/>
          <w:sz w:val="21"/>
        </w:rPr>
        <w:t>Innovación y Mejora Continua Según el Modelo </w:t>
      </w:r>
      <w:r>
        <w:rPr>
          <w:i/>
          <w:color w:val="231F20"/>
          <w:sz w:val="21"/>
        </w:rPr>
        <w:t>EFQM de Excelencia</w:t>
      </w:r>
      <w:r>
        <w:rPr>
          <w:color w:val="231F20"/>
          <w:sz w:val="21"/>
        </w:rPr>
        <w:t>. Díaz de Santos, Madrid.</w:t>
      </w:r>
    </w:p>
    <w:p>
      <w:pPr>
        <w:spacing w:line="259" w:lineRule="auto" w:before="0"/>
        <w:ind w:left="854" w:right="121" w:hanging="738"/>
        <w:jc w:val="both"/>
        <w:rPr>
          <w:sz w:val="21"/>
        </w:rPr>
      </w:pPr>
      <w:r>
        <w:rPr>
          <w:color w:val="231F20"/>
          <w:sz w:val="21"/>
        </w:rPr>
        <w:t>Mertens, P. (1979). “Comparative Indicators for German Universities”. </w:t>
      </w:r>
      <w:r>
        <w:rPr>
          <w:i/>
          <w:color w:val="231F20"/>
          <w:sz w:val="21"/>
        </w:rPr>
        <w:t>In- </w:t>
      </w:r>
      <w:r>
        <w:rPr>
          <w:i/>
          <w:color w:val="231F20"/>
          <w:sz w:val="21"/>
        </w:rPr>
        <w:t>ternational Journal of Institutional Management in Higher Educa- tion, </w:t>
      </w:r>
      <w:r>
        <w:rPr>
          <w:color w:val="231F20"/>
          <w:sz w:val="21"/>
        </w:rPr>
        <w:t>Vol. </w:t>
      </w:r>
      <w:r>
        <w:rPr>
          <w:i/>
          <w:color w:val="231F20"/>
          <w:sz w:val="21"/>
        </w:rPr>
        <w:t>3</w:t>
      </w:r>
      <w:r>
        <w:rPr>
          <w:color w:val="231F20"/>
          <w:sz w:val="21"/>
        </w:rPr>
        <w:t>, Núm. 1, pp. 155-168.</w:t>
      </w:r>
    </w:p>
    <w:p>
      <w:pPr>
        <w:pStyle w:val="BodyText"/>
        <w:spacing w:line="259" w:lineRule="auto"/>
        <w:ind w:left="854" w:right="121" w:hanging="738"/>
        <w:jc w:val="both"/>
      </w:pPr>
      <w:r>
        <w:rPr>
          <w:color w:val="231F20"/>
          <w:w w:val="105"/>
        </w:rPr>
        <w:t>Ministerio de Educación Colombiano (2011). “Certificación y acredita- ción” Disponible en: </w:t>
      </w:r>
      <w:hyperlink r:id="rId38">
        <w:r>
          <w:rPr>
            <w:color w:val="231F20"/>
            <w:w w:val="105"/>
          </w:rPr>
          <w:t>http://www.mineducacion.gov.co/1621/arti-</w:t>
        </w:r>
      </w:hyperlink>
      <w:r>
        <w:rPr>
          <w:color w:val="231F20"/>
          <w:w w:val="105"/>
        </w:rPr>
        <w:t> cle-179263.html Consultado el 4 de mayo de 2011.</w:t>
      </w:r>
    </w:p>
    <w:p>
      <w:pPr>
        <w:spacing w:line="259" w:lineRule="auto" w:before="0"/>
        <w:ind w:left="854" w:right="121" w:hanging="738"/>
        <w:jc w:val="both"/>
        <w:rPr>
          <w:sz w:val="21"/>
        </w:rPr>
      </w:pPr>
      <w:r>
        <w:rPr>
          <w:color w:val="231F20"/>
          <w:w w:val="105"/>
          <w:sz w:val="21"/>
        </w:rPr>
        <w:t>Ministerio</w:t>
      </w:r>
      <w:r>
        <w:rPr>
          <w:color w:val="231F20"/>
          <w:spacing w:val="-24"/>
          <w:w w:val="105"/>
          <w:sz w:val="21"/>
        </w:rPr>
        <w:t> </w:t>
      </w:r>
      <w:r>
        <w:rPr>
          <w:color w:val="231F20"/>
          <w:w w:val="105"/>
          <w:sz w:val="21"/>
        </w:rPr>
        <w:t>Español</w:t>
      </w:r>
      <w:r>
        <w:rPr>
          <w:color w:val="231F20"/>
          <w:spacing w:val="-24"/>
          <w:w w:val="105"/>
          <w:sz w:val="21"/>
        </w:rPr>
        <w:t> </w:t>
      </w:r>
      <w:r>
        <w:rPr>
          <w:color w:val="231F20"/>
          <w:w w:val="105"/>
          <w:sz w:val="21"/>
        </w:rPr>
        <w:t>de</w:t>
      </w:r>
      <w:r>
        <w:rPr>
          <w:color w:val="231F20"/>
          <w:spacing w:val="-27"/>
          <w:w w:val="105"/>
          <w:sz w:val="21"/>
        </w:rPr>
        <w:t> </w:t>
      </w:r>
      <w:r>
        <w:rPr>
          <w:color w:val="231F20"/>
          <w:w w:val="105"/>
          <w:sz w:val="21"/>
        </w:rPr>
        <w:t>Administraciones</w:t>
      </w:r>
      <w:r>
        <w:rPr>
          <w:color w:val="231F20"/>
          <w:spacing w:val="-24"/>
          <w:w w:val="105"/>
          <w:sz w:val="21"/>
        </w:rPr>
        <w:t> </w:t>
      </w:r>
      <w:r>
        <w:rPr>
          <w:color w:val="231F20"/>
          <w:w w:val="105"/>
          <w:sz w:val="21"/>
        </w:rPr>
        <w:t>Públicas.</w:t>
      </w:r>
      <w:r>
        <w:rPr>
          <w:color w:val="231F20"/>
          <w:spacing w:val="-28"/>
          <w:w w:val="105"/>
          <w:sz w:val="21"/>
        </w:rPr>
        <w:t> </w:t>
      </w:r>
      <w:r>
        <w:rPr>
          <w:color w:val="231F20"/>
          <w:w w:val="105"/>
          <w:sz w:val="21"/>
        </w:rPr>
        <w:t>(2006).</w:t>
      </w:r>
      <w:r>
        <w:rPr>
          <w:color w:val="231F20"/>
          <w:spacing w:val="-28"/>
          <w:w w:val="105"/>
          <w:sz w:val="21"/>
        </w:rPr>
        <w:t> </w:t>
      </w:r>
      <w:r>
        <w:rPr>
          <w:i/>
          <w:color w:val="231F20"/>
          <w:w w:val="105"/>
          <w:sz w:val="21"/>
        </w:rPr>
        <w:t>Guía</w:t>
      </w:r>
      <w:r>
        <w:rPr>
          <w:i/>
          <w:color w:val="231F20"/>
          <w:spacing w:val="-24"/>
          <w:w w:val="105"/>
          <w:sz w:val="21"/>
        </w:rPr>
        <w:t> </w:t>
      </w:r>
      <w:r>
        <w:rPr>
          <w:i/>
          <w:color w:val="231F20"/>
          <w:w w:val="105"/>
          <w:sz w:val="21"/>
        </w:rPr>
        <w:t>de</w:t>
      </w:r>
      <w:r>
        <w:rPr>
          <w:i/>
          <w:color w:val="231F20"/>
          <w:spacing w:val="-27"/>
          <w:w w:val="105"/>
          <w:sz w:val="21"/>
        </w:rPr>
        <w:t> </w:t>
      </w:r>
      <w:r>
        <w:rPr>
          <w:i/>
          <w:color w:val="231F20"/>
          <w:w w:val="105"/>
          <w:sz w:val="21"/>
        </w:rPr>
        <w:t>Autoe- </w:t>
      </w:r>
      <w:r>
        <w:rPr>
          <w:i/>
          <w:color w:val="231F20"/>
          <w:w w:val="105"/>
          <w:sz w:val="21"/>
        </w:rPr>
        <w:t>valuación</w:t>
      </w:r>
      <w:r>
        <w:rPr>
          <w:i/>
          <w:color w:val="231F20"/>
          <w:spacing w:val="-32"/>
          <w:w w:val="105"/>
          <w:sz w:val="21"/>
        </w:rPr>
        <w:t> </w:t>
      </w:r>
      <w:r>
        <w:rPr>
          <w:i/>
          <w:color w:val="231F20"/>
          <w:w w:val="105"/>
          <w:sz w:val="21"/>
        </w:rPr>
        <w:t>para</w:t>
      </w:r>
      <w:r>
        <w:rPr>
          <w:i/>
          <w:color w:val="231F20"/>
          <w:spacing w:val="-32"/>
          <w:w w:val="105"/>
          <w:sz w:val="21"/>
        </w:rPr>
        <w:t> </w:t>
      </w:r>
      <w:r>
        <w:rPr>
          <w:i/>
          <w:color w:val="231F20"/>
          <w:w w:val="105"/>
          <w:sz w:val="21"/>
        </w:rPr>
        <w:t>la</w:t>
      </w:r>
      <w:r>
        <w:rPr>
          <w:i/>
          <w:color w:val="231F20"/>
          <w:spacing w:val="-34"/>
          <w:w w:val="105"/>
          <w:sz w:val="21"/>
        </w:rPr>
        <w:t> </w:t>
      </w:r>
      <w:r>
        <w:rPr>
          <w:i/>
          <w:color w:val="231F20"/>
          <w:w w:val="105"/>
          <w:sz w:val="21"/>
        </w:rPr>
        <w:t>Administración</w:t>
      </w:r>
      <w:r>
        <w:rPr>
          <w:i/>
          <w:color w:val="231F20"/>
          <w:spacing w:val="-32"/>
          <w:w w:val="105"/>
          <w:sz w:val="21"/>
        </w:rPr>
        <w:t> </w:t>
      </w:r>
      <w:r>
        <w:rPr>
          <w:i/>
          <w:color w:val="231F20"/>
          <w:w w:val="105"/>
          <w:sz w:val="21"/>
        </w:rPr>
        <w:t>Pública.</w:t>
      </w:r>
      <w:r>
        <w:rPr>
          <w:i/>
          <w:color w:val="231F20"/>
          <w:spacing w:val="-35"/>
          <w:w w:val="105"/>
          <w:sz w:val="21"/>
        </w:rPr>
        <w:t> </w:t>
      </w:r>
      <w:r>
        <w:rPr>
          <w:i/>
          <w:color w:val="231F20"/>
          <w:w w:val="105"/>
          <w:sz w:val="21"/>
        </w:rPr>
        <w:t>Modelo</w:t>
      </w:r>
      <w:r>
        <w:rPr>
          <w:i/>
          <w:color w:val="231F20"/>
          <w:spacing w:val="-32"/>
          <w:w w:val="105"/>
          <w:sz w:val="21"/>
        </w:rPr>
        <w:t> </w:t>
      </w:r>
      <w:r>
        <w:rPr>
          <w:i/>
          <w:color w:val="231F20"/>
          <w:w w:val="105"/>
          <w:sz w:val="21"/>
        </w:rPr>
        <w:t>EFQM</w:t>
      </w:r>
      <w:r>
        <w:rPr>
          <w:i/>
          <w:color w:val="231F20"/>
          <w:spacing w:val="-32"/>
          <w:w w:val="105"/>
          <w:sz w:val="21"/>
        </w:rPr>
        <w:t> </w:t>
      </w:r>
      <w:r>
        <w:rPr>
          <w:i/>
          <w:color w:val="231F20"/>
          <w:w w:val="105"/>
          <w:sz w:val="21"/>
        </w:rPr>
        <w:t>de</w:t>
      </w:r>
      <w:r>
        <w:rPr>
          <w:i/>
          <w:color w:val="231F20"/>
          <w:spacing w:val="-32"/>
          <w:w w:val="105"/>
          <w:sz w:val="21"/>
        </w:rPr>
        <w:t> </w:t>
      </w:r>
      <w:r>
        <w:rPr>
          <w:i/>
          <w:color w:val="231F20"/>
          <w:w w:val="105"/>
          <w:sz w:val="21"/>
        </w:rPr>
        <w:t>Exce- lencia</w:t>
      </w:r>
      <w:r>
        <w:rPr>
          <w:color w:val="231F20"/>
          <w:w w:val="105"/>
          <w:sz w:val="21"/>
        </w:rPr>
        <w:t>.</w:t>
      </w:r>
      <w:r>
        <w:rPr>
          <w:color w:val="231F20"/>
          <w:spacing w:val="-23"/>
          <w:w w:val="105"/>
          <w:sz w:val="21"/>
        </w:rPr>
        <w:t> </w:t>
      </w:r>
      <w:r>
        <w:rPr>
          <w:color w:val="231F20"/>
          <w:w w:val="105"/>
          <w:sz w:val="21"/>
        </w:rPr>
        <w:t>Madrid.</w:t>
      </w:r>
    </w:p>
    <w:p>
      <w:pPr>
        <w:spacing w:line="259" w:lineRule="auto" w:before="0"/>
        <w:ind w:left="854" w:right="121" w:hanging="737"/>
        <w:jc w:val="both"/>
        <w:rPr>
          <w:sz w:val="21"/>
        </w:rPr>
      </w:pPr>
      <w:r>
        <w:rPr>
          <w:color w:val="231F20"/>
          <w:w w:val="105"/>
          <w:sz w:val="21"/>
        </w:rPr>
        <w:t>Miranda,</w:t>
      </w:r>
      <w:r>
        <w:rPr>
          <w:color w:val="231F20"/>
          <w:spacing w:val="-23"/>
          <w:w w:val="105"/>
          <w:sz w:val="21"/>
        </w:rPr>
        <w:t> </w:t>
      </w:r>
      <w:r>
        <w:rPr>
          <w:color w:val="231F20"/>
          <w:spacing w:val="-11"/>
          <w:w w:val="105"/>
          <w:sz w:val="21"/>
        </w:rPr>
        <w:t>F.</w:t>
      </w:r>
      <w:r>
        <w:rPr>
          <w:color w:val="231F20"/>
          <w:spacing w:val="-25"/>
          <w:w w:val="105"/>
          <w:sz w:val="21"/>
        </w:rPr>
        <w:t> </w:t>
      </w:r>
      <w:r>
        <w:rPr>
          <w:color w:val="231F20"/>
          <w:w w:val="105"/>
          <w:sz w:val="21"/>
        </w:rPr>
        <w:t>J.,</w:t>
      </w:r>
      <w:r>
        <w:rPr>
          <w:color w:val="231F20"/>
          <w:spacing w:val="-23"/>
          <w:w w:val="105"/>
          <w:sz w:val="21"/>
        </w:rPr>
        <w:t> </w:t>
      </w:r>
      <w:r>
        <w:rPr>
          <w:color w:val="231F20"/>
          <w:w w:val="105"/>
          <w:sz w:val="21"/>
        </w:rPr>
        <w:t>Chamorro,</w:t>
      </w:r>
      <w:r>
        <w:rPr>
          <w:color w:val="231F20"/>
          <w:spacing w:val="-26"/>
          <w:w w:val="105"/>
          <w:sz w:val="21"/>
        </w:rPr>
        <w:t> </w:t>
      </w:r>
      <w:r>
        <w:rPr>
          <w:color w:val="231F20"/>
          <w:w w:val="105"/>
          <w:sz w:val="21"/>
        </w:rPr>
        <w:t>A.,</w:t>
      </w:r>
      <w:r>
        <w:rPr>
          <w:color w:val="231F20"/>
          <w:spacing w:val="-23"/>
          <w:w w:val="105"/>
          <w:sz w:val="21"/>
        </w:rPr>
        <w:t> </w:t>
      </w:r>
      <w:r>
        <w:rPr>
          <w:color w:val="231F20"/>
          <w:w w:val="105"/>
          <w:sz w:val="21"/>
        </w:rPr>
        <w:t>y</w:t>
      </w:r>
      <w:r>
        <w:rPr>
          <w:color w:val="231F20"/>
          <w:spacing w:val="-19"/>
          <w:w w:val="105"/>
          <w:sz w:val="21"/>
        </w:rPr>
        <w:t> </w:t>
      </w:r>
      <w:r>
        <w:rPr>
          <w:color w:val="231F20"/>
          <w:w w:val="105"/>
          <w:sz w:val="21"/>
        </w:rPr>
        <w:t>Rubio,</w:t>
      </w:r>
      <w:r>
        <w:rPr>
          <w:color w:val="231F20"/>
          <w:spacing w:val="-23"/>
          <w:w w:val="105"/>
          <w:sz w:val="21"/>
        </w:rPr>
        <w:t> </w:t>
      </w:r>
      <w:r>
        <w:rPr>
          <w:color w:val="231F20"/>
          <w:w w:val="105"/>
          <w:sz w:val="21"/>
        </w:rPr>
        <w:t>S.</w:t>
      </w:r>
      <w:r>
        <w:rPr>
          <w:color w:val="231F20"/>
          <w:spacing w:val="-23"/>
          <w:w w:val="105"/>
          <w:sz w:val="21"/>
        </w:rPr>
        <w:t> </w:t>
      </w:r>
      <w:r>
        <w:rPr>
          <w:color w:val="231F20"/>
          <w:w w:val="105"/>
          <w:sz w:val="21"/>
        </w:rPr>
        <w:t>(2007).</w:t>
      </w:r>
      <w:r>
        <w:rPr>
          <w:color w:val="231F20"/>
          <w:spacing w:val="-23"/>
          <w:w w:val="105"/>
          <w:sz w:val="21"/>
        </w:rPr>
        <w:t> </w:t>
      </w:r>
      <w:r>
        <w:rPr>
          <w:i/>
          <w:color w:val="231F20"/>
          <w:w w:val="105"/>
          <w:sz w:val="21"/>
        </w:rPr>
        <w:t>Introducción</w:t>
      </w:r>
      <w:r>
        <w:rPr>
          <w:i/>
          <w:color w:val="231F20"/>
          <w:spacing w:val="-19"/>
          <w:w w:val="105"/>
          <w:sz w:val="21"/>
        </w:rPr>
        <w:t> </w:t>
      </w:r>
      <w:r>
        <w:rPr>
          <w:i/>
          <w:color w:val="231F20"/>
          <w:w w:val="105"/>
          <w:sz w:val="21"/>
        </w:rPr>
        <w:t>a</w:t>
      </w:r>
      <w:r>
        <w:rPr>
          <w:i/>
          <w:color w:val="231F20"/>
          <w:spacing w:val="-19"/>
          <w:w w:val="105"/>
          <w:sz w:val="21"/>
        </w:rPr>
        <w:t> </w:t>
      </w:r>
      <w:r>
        <w:rPr>
          <w:i/>
          <w:color w:val="231F20"/>
          <w:w w:val="105"/>
          <w:sz w:val="21"/>
        </w:rPr>
        <w:t>la</w:t>
      </w:r>
      <w:r>
        <w:rPr>
          <w:i/>
          <w:color w:val="231F20"/>
          <w:spacing w:val="-19"/>
          <w:w w:val="105"/>
          <w:sz w:val="21"/>
        </w:rPr>
        <w:t> </w:t>
      </w:r>
      <w:r>
        <w:rPr>
          <w:i/>
          <w:color w:val="231F20"/>
          <w:w w:val="105"/>
          <w:sz w:val="21"/>
        </w:rPr>
        <w:t>gestión </w:t>
      </w:r>
      <w:r>
        <w:rPr>
          <w:i/>
          <w:color w:val="231F20"/>
          <w:w w:val="105"/>
          <w:sz w:val="21"/>
        </w:rPr>
        <w:t>de</w:t>
      </w:r>
      <w:r>
        <w:rPr>
          <w:i/>
          <w:color w:val="231F20"/>
          <w:spacing w:val="-12"/>
          <w:w w:val="105"/>
          <w:sz w:val="21"/>
        </w:rPr>
        <w:t> </w:t>
      </w:r>
      <w:r>
        <w:rPr>
          <w:i/>
          <w:color w:val="231F20"/>
          <w:w w:val="105"/>
          <w:sz w:val="21"/>
        </w:rPr>
        <w:t>la</w:t>
      </w:r>
      <w:r>
        <w:rPr>
          <w:i/>
          <w:color w:val="231F20"/>
          <w:spacing w:val="-12"/>
          <w:w w:val="105"/>
          <w:sz w:val="21"/>
        </w:rPr>
        <w:t> </w:t>
      </w:r>
      <w:r>
        <w:rPr>
          <w:i/>
          <w:color w:val="231F20"/>
          <w:w w:val="105"/>
          <w:sz w:val="21"/>
        </w:rPr>
        <w:t>calidad</w:t>
      </w:r>
      <w:r>
        <w:rPr>
          <w:color w:val="231F20"/>
          <w:w w:val="105"/>
          <w:sz w:val="21"/>
        </w:rPr>
        <w:t>.</w:t>
      </w:r>
      <w:r>
        <w:rPr>
          <w:color w:val="231F20"/>
          <w:spacing w:val="-19"/>
          <w:w w:val="105"/>
          <w:sz w:val="21"/>
        </w:rPr>
        <w:t> </w:t>
      </w:r>
      <w:r>
        <w:rPr>
          <w:color w:val="231F20"/>
          <w:w w:val="105"/>
          <w:sz w:val="21"/>
        </w:rPr>
        <w:t>Delta,</w:t>
      </w:r>
      <w:r>
        <w:rPr>
          <w:color w:val="231F20"/>
          <w:spacing w:val="-19"/>
          <w:w w:val="105"/>
          <w:sz w:val="21"/>
        </w:rPr>
        <w:t> </w:t>
      </w:r>
      <w:r>
        <w:rPr>
          <w:color w:val="231F20"/>
          <w:w w:val="105"/>
          <w:sz w:val="21"/>
        </w:rPr>
        <w:t>Madrid.</w:t>
      </w:r>
    </w:p>
    <w:p>
      <w:pPr>
        <w:spacing w:line="259" w:lineRule="auto" w:before="0"/>
        <w:ind w:left="854" w:right="122" w:hanging="738"/>
        <w:jc w:val="both"/>
        <w:rPr>
          <w:sz w:val="21"/>
        </w:rPr>
      </w:pPr>
      <w:r>
        <w:rPr>
          <w:color w:val="231F20"/>
          <w:w w:val="105"/>
          <w:sz w:val="21"/>
        </w:rPr>
        <w:t>Ortiz,</w:t>
      </w:r>
      <w:r>
        <w:rPr>
          <w:color w:val="231F20"/>
          <w:spacing w:val="-37"/>
          <w:w w:val="105"/>
          <w:sz w:val="21"/>
        </w:rPr>
        <w:t> </w:t>
      </w:r>
      <w:r>
        <w:rPr>
          <w:color w:val="231F20"/>
          <w:w w:val="105"/>
          <w:sz w:val="21"/>
        </w:rPr>
        <w:t>M.,</w:t>
      </w:r>
      <w:r>
        <w:rPr>
          <w:color w:val="231F20"/>
          <w:spacing w:val="-37"/>
          <w:w w:val="105"/>
          <w:sz w:val="21"/>
        </w:rPr>
        <w:t> </w:t>
      </w:r>
      <w:r>
        <w:rPr>
          <w:color w:val="231F20"/>
          <w:w w:val="105"/>
          <w:sz w:val="21"/>
        </w:rPr>
        <w:t>y</w:t>
      </w:r>
      <w:r>
        <w:rPr>
          <w:color w:val="231F20"/>
          <w:spacing w:val="-33"/>
          <w:w w:val="105"/>
          <w:sz w:val="21"/>
        </w:rPr>
        <w:t> </w:t>
      </w:r>
      <w:r>
        <w:rPr>
          <w:color w:val="231F20"/>
          <w:w w:val="105"/>
          <w:sz w:val="21"/>
        </w:rPr>
        <w:t>Navas,</w:t>
      </w:r>
      <w:r>
        <w:rPr>
          <w:color w:val="231F20"/>
          <w:spacing w:val="-39"/>
          <w:w w:val="105"/>
          <w:sz w:val="21"/>
        </w:rPr>
        <w:t> </w:t>
      </w:r>
      <w:r>
        <w:rPr>
          <w:color w:val="231F20"/>
          <w:w w:val="105"/>
          <w:sz w:val="21"/>
        </w:rPr>
        <w:t>J.</w:t>
      </w:r>
      <w:r>
        <w:rPr>
          <w:color w:val="231F20"/>
          <w:spacing w:val="-37"/>
          <w:w w:val="105"/>
          <w:sz w:val="21"/>
        </w:rPr>
        <w:t> </w:t>
      </w:r>
      <w:r>
        <w:rPr>
          <w:color w:val="231F20"/>
          <w:w w:val="105"/>
          <w:sz w:val="21"/>
        </w:rPr>
        <w:t>E.</w:t>
      </w:r>
      <w:r>
        <w:rPr>
          <w:color w:val="231F20"/>
          <w:spacing w:val="-37"/>
          <w:w w:val="105"/>
          <w:sz w:val="21"/>
        </w:rPr>
        <w:t> </w:t>
      </w:r>
      <w:r>
        <w:rPr>
          <w:color w:val="231F20"/>
          <w:w w:val="105"/>
          <w:sz w:val="21"/>
        </w:rPr>
        <w:t>(2001).</w:t>
      </w:r>
      <w:r>
        <w:rPr>
          <w:color w:val="231F20"/>
          <w:spacing w:val="-37"/>
          <w:w w:val="105"/>
          <w:sz w:val="21"/>
        </w:rPr>
        <w:t> </w:t>
      </w:r>
      <w:r>
        <w:rPr>
          <w:color w:val="231F20"/>
          <w:w w:val="105"/>
          <w:sz w:val="21"/>
        </w:rPr>
        <w:t>“Gestión</w:t>
      </w:r>
      <w:r>
        <w:rPr>
          <w:color w:val="231F20"/>
          <w:spacing w:val="-33"/>
          <w:w w:val="105"/>
          <w:sz w:val="21"/>
        </w:rPr>
        <w:t> </w:t>
      </w:r>
      <w:r>
        <w:rPr>
          <w:color w:val="231F20"/>
          <w:w w:val="105"/>
          <w:sz w:val="21"/>
        </w:rPr>
        <w:t>del</w:t>
      </w:r>
      <w:r>
        <w:rPr>
          <w:color w:val="231F20"/>
          <w:spacing w:val="-33"/>
          <w:w w:val="105"/>
          <w:sz w:val="21"/>
        </w:rPr>
        <w:t> </w:t>
      </w:r>
      <w:r>
        <w:rPr>
          <w:color w:val="231F20"/>
          <w:w w:val="105"/>
          <w:sz w:val="21"/>
        </w:rPr>
        <w:t>conocimiento</w:t>
      </w:r>
      <w:r>
        <w:rPr>
          <w:color w:val="231F20"/>
          <w:spacing w:val="-33"/>
          <w:w w:val="105"/>
          <w:sz w:val="21"/>
        </w:rPr>
        <w:t> </w:t>
      </w:r>
      <w:r>
        <w:rPr>
          <w:color w:val="231F20"/>
          <w:w w:val="105"/>
          <w:sz w:val="21"/>
        </w:rPr>
        <w:t>y</w:t>
      </w:r>
      <w:r>
        <w:rPr>
          <w:color w:val="231F20"/>
          <w:spacing w:val="-33"/>
          <w:w w:val="105"/>
          <w:sz w:val="21"/>
        </w:rPr>
        <w:t> </w:t>
      </w:r>
      <w:r>
        <w:rPr>
          <w:color w:val="231F20"/>
          <w:w w:val="105"/>
          <w:sz w:val="21"/>
        </w:rPr>
        <w:t>capital</w:t>
      </w:r>
      <w:r>
        <w:rPr>
          <w:color w:val="231F20"/>
          <w:spacing w:val="-33"/>
          <w:w w:val="105"/>
          <w:sz w:val="21"/>
        </w:rPr>
        <w:t> </w:t>
      </w:r>
      <w:r>
        <w:rPr>
          <w:color w:val="231F20"/>
          <w:w w:val="105"/>
          <w:sz w:val="21"/>
        </w:rPr>
        <w:t>intelec- tual:</w:t>
      </w:r>
      <w:r>
        <w:rPr>
          <w:color w:val="231F20"/>
          <w:spacing w:val="-38"/>
          <w:w w:val="105"/>
          <w:sz w:val="21"/>
        </w:rPr>
        <w:t> </w:t>
      </w:r>
      <w:r>
        <w:rPr>
          <w:color w:val="231F20"/>
          <w:w w:val="105"/>
          <w:sz w:val="21"/>
        </w:rPr>
        <w:t>Algunos</w:t>
      </w:r>
      <w:r>
        <w:rPr>
          <w:color w:val="231F20"/>
          <w:spacing w:val="-36"/>
          <w:w w:val="105"/>
          <w:sz w:val="21"/>
        </w:rPr>
        <w:t> </w:t>
      </w:r>
      <w:r>
        <w:rPr>
          <w:color w:val="231F20"/>
          <w:w w:val="105"/>
          <w:sz w:val="21"/>
        </w:rPr>
        <w:t>aspectos</w:t>
      </w:r>
      <w:r>
        <w:rPr>
          <w:color w:val="231F20"/>
          <w:spacing w:val="-36"/>
          <w:w w:val="105"/>
          <w:sz w:val="21"/>
        </w:rPr>
        <w:t> </w:t>
      </w:r>
      <w:r>
        <w:rPr>
          <w:color w:val="231F20"/>
          <w:w w:val="105"/>
          <w:sz w:val="21"/>
        </w:rPr>
        <w:t>conceptuales”.</w:t>
      </w:r>
      <w:r>
        <w:rPr>
          <w:color w:val="231F20"/>
          <w:spacing w:val="-39"/>
          <w:w w:val="105"/>
          <w:sz w:val="21"/>
        </w:rPr>
        <w:t> </w:t>
      </w:r>
      <w:r>
        <w:rPr>
          <w:i/>
          <w:color w:val="231F20"/>
          <w:w w:val="105"/>
          <w:sz w:val="21"/>
        </w:rPr>
        <w:t>Cuadernos</w:t>
      </w:r>
      <w:r>
        <w:rPr>
          <w:i/>
          <w:color w:val="231F20"/>
          <w:spacing w:val="-38"/>
          <w:w w:val="105"/>
          <w:sz w:val="21"/>
        </w:rPr>
        <w:t> </w:t>
      </w:r>
      <w:r>
        <w:rPr>
          <w:i/>
          <w:color w:val="231F20"/>
          <w:w w:val="105"/>
          <w:sz w:val="21"/>
        </w:rPr>
        <w:t>Aragoneses</w:t>
      </w:r>
      <w:r>
        <w:rPr>
          <w:i/>
          <w:color w:val="231F20"/>
          <w:spacing w:val="-36"/>
          <w:w w:val="105"/>
          <w:sz w:val="21"/>
        </w:rPr>
        <w:t> </w:t>
      </w:r>
      <w:r>
        <w:rPr>
          <w:i/>
          <w:color w:val="231F20"/>
          <w:w w:val="105"/>
          <w:sz w:val="21"/>
        </w:rPr>
        <w:t>de </w:t>
      </w:r>
      <w:r>
        <w:rPr>
          <w:i/>
          <w:color w:val="231F20"/>
          <w:w w:val="105"/>
          <w:sz w:val="21"/>
        </w:rPr>
        <w:t>Economía,</w:t>
      </w:r>
      <w:r>
        <w:rPr>
          <w:i/>
          <w:color w:val="231F20"/>
          <w:spacing w:val="-31"/>
          <w:w w:val="105"/>
          <w:sz w:val="21"/>
        </w:rPr>
        <w:t> </w:t>
      </w:r>
      <w:r>
        <w:rPr>
          <w:color w:val="231F20"/>
          <w:spacing w:val="-3"/>
          <w:w w:val="105"/>
          <w:sz w:val="21"/>
        </w:rPr>
        <w:t>Vol.</w:t>
      </w:r>
      <w:r>
        <w:rPr>
          <w:color w:val="231F20"/>
          <w:spacing w:val="-31"/>
          <w:w w:val="105"/>
          <w:sz w:val="21"/>
        </w:rPr>
        <w:t> </w:t>
      </w:r>
      <w:r>
        <w:rPr>
          <w:i/>
          <w:color w:val="231F20"/>
          <w:w w:val="105"/>
          <w:sz w:val="21"/>
        </w:rPr>
        <w:t>11</w:t>
      </w:r>
      <w:r>
        <w:rPr>
          <w:color w:val="231F20"/>
          <w:w w:val="105"/>
          <w:sz w:val="21"/>
        </w:rPr>
        <w:t>,</w:t>
      </w:r>
      <w:r>
        <w:rPr>
          <w:color w:val="231F20"/>
          <w:spacing w:val="-31"/>
          <w:w w:val="105"/>
          <w:sz w:val="21"/>
        </w:rPr>
        <w:t> </w:t>
      </w:r>
      <w:r>
        <w:rPr>
          <w:color w:val="231F20"/>
          <w:w w:val="105"/>
          <w:sz w:val="21"/>
        </w:rPr>
        <w:t>Núm.</w:t>
      </w:r>
      <w:r>
        <w:rPr>
          <w:color w:val="231F20"/>
          <w:spacing w:val="-31"/>
          <w:w w:val="105"/>
          <w:sz w:val="21"/>
        </w:rPr>
        <w:t> </w:t>
      </w:r>
      <w:r>
        <w:rPr>
          <w:color w:val="231F20"/>
          <w:w w:val="105"/>
          <w:sz w:val="21"/>
        </w:rPr>
        <w:t>1,</w:t>
      </w:r>
      <w:r>
        <w:rPr>
          <w:color w:val="231F20"/>
          <w:spacing w:val="-31"/>
          <w:w w:val="105"/>
          <w:sz w:val="21"/>
        </w:rPr>
        <w:t> </w:t>
      </w:r>
      <w:r>
        <w:rPr>
          <w:color w:val="231F20"/>
          <w:w w:val="105"/>
          <w:sz w:val="21"/>
        </w:rPr>
        <w:t>pp.</w:t>
      </w:r>
      <w:r>
        <w:rPr>
          <w:color w:val="231F20"/>
          <w:spacing w:val="-31"/>
          <w:w w:val="105"/>
          <w:sz w:val="21"/>
        </w:rPr>
        <w:t> </w:t>
      </w:r>
      <w:r>
        <w:rPr>
          <w:color w:val="231F20"/>
          <w:w w:val="105"/>
          <w:sz w:val="21"/>
        </w:rPr>
        <w:t>35-48.</w:t>
      </w:r>
    </w:p>
    <w:p>
      <w:pPr>
        <w:pStyle w:val="BodyText"/>
        <w:spacing w:line="259" w:lineRule="auto"/>
        <w:ind w:left="854" w:right="115" w:hanging="738"/>
        <w:jc w:val="both"/>
      </w:pPr>
      <w:r>
        <w:rPr>
          <w:color w:val="231F20"/>
        </w:rPr>
        <w:t>Palomares, D., y García, A. (2011). “What are the key indicators for evalu- ating the activities of universities?”. </w:t>
      </w:r>
      <w:r>
        <w:rPr>
          <w:i/>
          <w:color w:val="231F20"/>
        </w:rPr>
        <w:t>Research Evaluation, </w:t>
      </w:r>
      <w:r>
        <w:rPr>
          <w:color w:val="231F20"/>
        </w:rPr>
        <w:t>Vol. </w:t>
      </w:r>
      <w:r>
        <w:rPr>
          <w:i/>
          <w:color w:val="231F20"/>
        </w:rPr>
        <w:t>20</w:t>
      </w:r>
      <w:r>
        <w:rPr>
          <w:color w:val="231F20"/>
        </w:rPr>
        <w:t>, Núm. 5, pp. 353-363.</w:t>
      </w:r>
    </w:p>
    <w:p>
      <w:pPr>
        <w:spacing w:line="259" w:lineRule="auto" w:before="0"/>
        <w:ind w:left="854" w:right="122" w:hanging="738"/>
        <w:jc w:val="both"/>
        <w:rPr>
          <w:sz w:val="21"/>
        </w:rPr>
      </w:pPr>
      <w:r>
        <w:rPr>
          <w:color w:val="231F20"/>
          <w:spacing w:val="-3"/>
          <w:sz w:val="21"/>
        </w:rPr>
        <w:t>Penrose, </w:t>
      </w:r>
      <w:r>
        <w:rPr>
          <w:color w:val="231F20"/>
          <w:sz w:val="21"/>
        </w:rPr>
        <w:t>E. (1959). </w:t>
      </w:r>
      <w:r>
        <w:rPr>
          <w:i/>
          <w:color w:val="231F20"/>
          <w:sz w:val="21"/>
        </w:rPr>
        <w:t>The Theory of the Growth of the Firm</w:t>
      </w:r>
      <w:r>
        <w:rPr>
          <w:color w:val="231F20"/>
          <w:sz w:val="21"/>
        </w:rPr>
        <w:t>. Oxford</w:t>
      </w:r>
      <w:r>
        <w:rPr>
          <w:color w:val="231F20"/>
          <w:spacing w:val="-32"/>
          <w:sz w:val="21"/>
        </w:rPr>
        <w:t> </w:t>
      </w:r>
      <w:r>
        <w:rPr>
          <w:color w:val="231F20"/>
          <w:sz w:val="21"/>
        </w:rPr>
        <w:t>Universi- ty </w:t>
      </w:r>
      <w:r>
        <w:rPr>
          <w:color w:val="231F20"/>
          <w:spacing w:val="-3"/>
          <w:sz w:val="21"/>
        </w:rPr>
        <w:t>Press, </w:t>
      </w:r>
      <w:r>
        <w:rPr>
          <w:color w:val="231F20"/>
          <w:sz w:val="21"/>
        </w:rPr>
        <w:t>New</w:t>
      </w:r>
      <w:r>
        <w:rPr>
          <w:color w:val="231F20"/>
          <w:spacing w:val="-35"/>
          <w:sz w:val="21"/>
        </w:rPr>
        <w:t> </w:t>
      </w:r>
      <w:r>
        <w:rPr>
          <w:color w:val="231F20"/>
          <w:spacing w:val="-4"/>
          <w:sz w:val="21"/>
        </w:rPr>
        <w:t>York.</w:t>
      </w:r>
    </w:p>
    <w:p>
      <w:pPr>
        <w:spacing w:line="259" w:lineRule="auto" w:before="0"/>
        <w:ind w:left="854" w:right="122" w:hanging="738"/>
        <w:jc w:val="both"/>
        <w:rPr>
          <w:sz w:val="21"/>
        </w:rPr>
      </w:pPr>
      <w:r>
        <w:rPr>
          <w:color w:val="231F20"/>
          <w:sz w:val="21"/>
        </w:rPr>
        <w:t>Pesqueux,</w:t>
      </w:r>
      <w:r>
        <w:rPr>
          <w:color w:val="231F20"/>
          <w:spacing w:val="-22"/>
          <w:sz w:val="21"/>
        </w:rPr>
        <w:t> </w:t>
      </w:r>
      <w:r>
        <w:rPr>
          <w:color w:val="231F20"/>
          <w:spacing w:val="-6"/>
          <w:sz w:val="21"/>
        </w:rPr>
        <w:t>Y.,</w:t>
      </w:r>
      <w:r>
        <w:rPr>
          <w:color w:val="231F20"/>
          <w:spacing w:val="-16"/>
          <w:sz w:val="21"/>
        </w:rPr>
        <w:t> </w:t>
      </w:r>
      <w:r>
        <w:rPr>
          <w:color w:val="231F20"/>
          <w:sz w:val="21"/>
        </w:rPr>
        <w:t>y</w:t>
      </w:r>
      <w:r>
        <w:rPr>
          <w:color w:val="231F20"/>
          <w:spacing w:val="-9"/>
          <w:sz w:val="21"/>
        </w:rPr>
        <w:t> </w:t>
      </w:r>
      <w:r>
        <w:rPr>
          <w:color w:val="231F20"/>
          <w:sz w:val="21"/>
        </w:rPr>
        <w:t>Damak,</w:t>
      </w:r>
      <w:r>
        <w:rPr>
          <w:color w:val="231F20"/>
          <w:spacing w:val="-16"/>
          <w:sz w:val="21"/>
        </w:rPr>
        <w:t> </w:t>
      </w:r>
      <w:r>
        <w:rPr>
          <w:color w:val="231F20"/>
          <w:sz w:val="21"/>
        </w:rPr>
        <w:t>S.</w:t>
      </w:r>
      <w:r>
        <w:rPr>
          <w:color w:val="231F20"/>
          <w:spacing w:val="-16"/>
          <w:sz w:val="21"/>
        </w:rPr>
        <w:t> </w:t>
      </w:r>
      <w:r>
        <w:rPr>
          <w:color w:val="231F20"/>
          <w:sz w:val="21"/>
        </w:rPr>
        <w:t>(2005).</w:t>
      </w:r>
      <w:r>
        <w:rPr>
          <w:color w:val="231F20"/>
          <w:spacing w:val="-16"/>
          <w:sz w:val="21"/>
        </w:rPr>
        <w:t> </w:t>
      </w:r>
      <w:r>
        <w:rPr>
          <w:color w:val="231F20"/>
          <w:sz w:val="21"/>
        </w:rPr>
        <w:t>“Stakeholder</w:t>
      </w:r>
      <w:r>
        <w:rPr>
          <w:color w:val="231F20"/>
          <w:spacing w:val="-9"/>
          <w:sz w:val="21"/>
        </w:rPr>
        <w:t> </w:t>
      </w:r>
      <w:r>
        <w:rPr>
          <w:color w:val="231F20"/>
          <w:sz w:val="21"/>
        </w:rPr>
        <w:t>theory</w:t>
      </w:r>
      <w:r>
        <w:rPr>
          <w:color w:val="231F20"/>
          <w:spacing w:val="-9"/>
          <w:sz w:val="21"/>
        </w:rPr>
        <w:t> </w:t>
      </w:r>
      <w:r>
        <w:rPr>
          <w:color w:val="231F20"/>
          <w:sz w:val="21"/>
        </w:rPr>
        <w:t>in</w:t>
      </w:r>
      <w:r>
        <w:rPr>
          <w:color w:val="231F20"/>
          <w:spacing w:val="-9"/>
          <w:sz w:val="21"/>
        </w:rPr>
        <w:t> </w:t>
      </w:r>
      <w:r>
        <w:rPr>
          <w:color w:val="231F20"/>
          <w:sz w:val="21"/>
        </w:rPr>
        <w:t>perspective”.</w:t>
      </w:r>
      <w:r>
        <w:rPr>
          <w:color w:val="231F20"/>
          <w:spacing w:val="-17"/>
          <w:sz w:val="21"/>
        </w:rPr>
        <w:t> </w:t>
      </w:r>
      <w:r>
        <w:rPr>
          <w:i/>
          <w:color w:val="231F20"/>
          <w:spacing w:val="-3"/>
          <w:sz w:val="21"/>
        </w:rPr>
        <w:t>Cor- </w:t>
      </w:r>
      <w:r>
        <w:rPr>
          <w:i/>
          <w:color w:val="231F20"/>
          <w:sz w:val="21"/>
        </w:rPr>
        <w:t>porate Governance, </w:t>
      </w:r>
      <w:r>
        <w:rPr>
          <w:color w:val="231F20"/>
          <w:spacing w:val="-3"/>
          <w:sz w:val="21"/>
        </w:rPr>
        <w:t>Vol. </w:t>
      </w:r>
      <w:r>
        <w:rPr>
          <w:i/>
          <w:color w:val="231F20"/>
          <w:sz w:val="21"/>
        </w:rPr>
        <w:t>5</w:t>
      </w:r>
      <w:r>
        <w:rPr>
          <w:color w:val="231F20"/>
          <w:sz w:val="21"/>
        </w:rPr>
        <w:t>, Núm. 2, pp.</w:t>
      </w:r>
      <w:r>
        <w:rPr>
          <w:color w:val="231F20"/>
          <w:spacing w:val="19"/>
          <w:sz w:val="21"/>
        </w:rPr>
        <w:t> </w:t>
      </w:r>
      <w:r>
        <w:rPr>
          <w:color w:val="231F20"/>
          <w:sz w:val="21"/>
        </w:rPr>
        <w:t>5-21.</w:t>
      </w:r>
    </w:p>
    <w:p>
      <w:pPr>
        <w:spacing w:line="259" w:lineRule="auto" w:before="0"/>
        <w:ind w:left="854" w:right="115" w:hanging="738"/>
        <w:jc w:val="both"/>
        <w:rPr>
          <w:sz w:val="21"/>
        </w:rPr>
      </w:pPr>
      <w:r>
        <w:rPr>
          <w:color w:val="231F20"/>
          <w:sz w:val="21"/>
        </w:rPr>
        <w:t>Peteraf, M. A. (1993). “The Cornerstones of Competitive Advantage: A Resource-Based View”. </w:t>
      </w:r>
      <w:r>
        <w:rPr>
          <w:i/>
          <w:color w:val="231F20"/>
          <w:sz w:val="21"/>
        </w:rPr>
        <w:t>Strategic Management Journal, </w:t>
      </w:r>
      <w:r>
        <w:rPr>
          <w:color w:val="231F20"/>
          <w:sz w:val="21"/>
        </w:rPr>
        <w:t>Vol. </w:t>
      </w:r>
      <w:r>
        <w:rPr>
          <w:i/>
          <w:color w:val="231F20"/>
          <w:sz w:val="21"/>
        </w:rPr>
        <w:t>14</w:t>
      </w:r>
      <w:r>
        <w:rPr>
          <w:color w:val="231F20"/>
          <w:sz w:val="21"/>
        </w:rPr>
        <w:t>, Núm. 3, pp. 179-191.</w:t>
      </w:r>
    </w:p>
    <w:p>
      <w:pPr>
        <w:spacing w:line="259" w:lineRule="auto" w:before="0"/>
        <w:ind w:left="854" w:right="115" w:hanging="738"/>
        <w:jc w:val="both"/>
        <w:rPr>
          <w:sz w:val="21"/>
        </w:rPr>
      </w:pPr>
      <w:r>
        <w:rPr>
          <w:color w:val="231F20"/>
          <w:w w:val="105"/>
          <w:sz w:val="21"/>
        </w:rPr>
        <w:t>Pfeffer,</w:t>
      </w:r>
      <w:r>
        <w:rPr>
          <w:color w:val="231F20"/>
          <w:spacing w:val="-16"/>
          <w:w w:val="105"/>
          <w:sz w:val="21"/>
        </w:rPr>
        <w:t> </w:t>
      </w:r>
      <w:r>
        <w:rPr>
          <w:color w:val="231F20"/>
          <w:w w:val="105"/>
          <w:sz w:val="21"/>
        </w:rPr>
        <w:t>J.</w:t>
      </w:r>
      <w:r>
        <w:rPr>
          <w:color w:val="231F20"/>
          <w:spacing w:val="-13"/>
          <w:w w:val="105"/>
          <w:sz w:val="21"/>
        </w:rPr>
        <w:t> </w:t>
      </w:r>
      <w:r>
        <w:rPr>
          <w:color w:val="231F20"/>
          <w:w w:val="105"/>
          <w:sz w:val="21"/>
        </w:rPr>
        <w:t>(1977).</w:t>
      </w:r>
      <w:r>
        <w:rPr>
          <w:color w:val="231F20"/>
          <w:spacing w:val="-13"/>
          <w:w w:val="105"/>
          <w:sz w:val="21"/>
        </w:rPr>
        <w:t> </w:t>
      </w:r>
      <w:r>
        <w:rPr>
          <w:color w:val="231F20"/>
          <w:w w:val="105"/>
          <w:sz w:val="21"/>
        </w:rPr>
        <w:t>“Usefulness</w:t>
      </w:r>
      <w:r>
        <w:rPr>
          <w:color w:val="231F20"/>
          <w:spacing w:val="-9"/>
          <w:w w:val="105"/>
          <w:sz w:val="21"/>
        </w:rPr>
        <w:t> </w:t>
      </w:r>
      <w:r>
        <w:rPr>
          <w:color w:val="231F20"/>
          <w:w w:val="105"/>
          <w:sz w:val="21"/>
        </w:rPr>
        <w:t>of</w:t>
      </w:r>
      <w:r>
        <w:rPr>
          <w:color w:val="231F20"/>
          <w:spacing w:val="-5"/>
          <w:w w:val="105"/>
          <w:sz w:val="21"/>
        </w:rPr>
        <w:t> </w:t>
      </w:r>
      <w:r>
        <w:rPr>
          <w:color w:val="231F20"/>
          <w:w w:val="105"/>
          <w:sz w:val="21"/>
        </w:rPr>
        <w:t>the</w:t>
      </w:r>
      <w:r>
        <w:rPr>
          <w:color w:val="231F20"/>
          <w:spacing w:val="-9"/>
          <w:w w:val="105"/>
          <w:sz w:val="21"/>
        </w:rPr>
        <w:t> </w:t>
      </w:r>
      <w:r>
        <w:rPr>
          <w:color w:val="231F20"/>
          <w:spacing w:val="-3"/>
          <w:w w:val="105"/>
          <w:sz w:val="21"/>
        </w:rPr>
        <w:t>concept”.</w:t>
      </w:r>
      <w:r>
        <w:rPr>
          <w:color w:val="231F20"/>
          <w:spacing w:val="-13"/>
          <w:w w:val="105"/>
          <w:sz w:val="21"/>
        </w:rPr>
        <w:t> </w:t>
      </w:r>
      <w:r>
        <w:rPr>
          <w:color w:val="231F20"/>
          <w:w w:val="105"/>
          <w:sz w:val="21"/>
        </w:rPr>
        <w:t>En</w:t>
      </w:r>
      <w:r>
        <w:rPr>
          <w:color w:val="231F20"/>
          <w:spacing w:val="-9"/>
          <w:w w:val="105"/>
          <w:sz w:val="21"/>
        </w:rPr>
        <w:t> </w:t>
      </w:r>
      <w:r>
        <w:rPr>
          <w:color w:val="231F20"/>
          <w:spacing w:val="-16"/>
          <w:w w:val="105"/>
          <w:sz w:val="21"/>
        </w:rPr>
        <w:t>P.</w:t>
      </w:r>
      <w:r>
        <w:rPr>
          <w:color w:val="231F20"/>
          <w:spacing w:val="-13"/>
          <w:w w:val="105"/>
          <w:sz w:val="21"/>
        </w:rPr>
        <w:t> </w:t>
      </w:r>
      <w:r>
        <w:rPr>
          <w:color w:val="231F20"/>
          <w:w w:val="105"/>
          <w:sz w:val="21"/>
        </w:rPr>
        <w:t>S.</w:t>
      </w:r>
      <w:r>
        <w:rPr>
          <w:color w:val="231F20"/>
          <w:spacing w:val="-13"/>
          <w:w w:val="105"/>
          <w:sz w:val="21"/>
        </w:rPr>
        <w:t> </w:t>
      </w:r>
      <w:r>
        <w:rPr>
          <w:color w:val="231F20"/>
          <w:w w:val="105"/>
          <w:sz w:val="21"/>
        </w:rPr>
        <w:t>Goodman</w:t>
      </w:r>
      <w:r>
        <w:rPr>
          <w:color w:val="231F20"/>
          <w:spacing w:val="-9"/>
          <w:w w:val="105"/>
          <w:sz w:val="21"/>
        </w:rPr>
        <w:t> </w:t>
      </w:r>
      <w:r>
        <w:rPr>
          <w:color w:val="231F20"/>
          <w:w w:val="105"/>
          <w:sz w:val="21"/>
        </w:rPr>
        <w:t>y</w:t>
      </w:r>
      <w:r>
        <w:rPr>
          <w:color w:val="231F20"/>
          <w:spacing w:val="-11"/>
          <w:w w:val="105"/>
          <w:sz w:val="21"/>
        </w:rPr>
        <w:t> </w:t>
      </w:r>
      <w:r>
        <w:rPr>
          <w:color w:val="231F20"/>
          <w:w w:val="105"/>
          <w:sz w:val="21"/>
        </w:rPr>
        <w:t>J.</w:t>
      </w:r>
      <w:r>
        <w:rPr>
          <w:color w:val="231F20"/>
          <w:spacing w:val="-13"/>
          <w:w w:val="105"/>
          <w:sz w:val="21"/>
        </w:rPr>
        <w:t> </w:t>
      </w:r>
      <w:r>
        <w:rPr>
          <w:color w:val="231F20"/>
          <w:w w:val="105"/>
          <w:sz w:val="21"/>
        </w:rPr>
        <w:t>M. Pennings (eds.). </w:t>
      </w:r>
      <w:r>
        <w:rPr>
          <w:i/>
          <w:color w:val="231F20"/>
          <w:w w:val="105"/>
          <w:sz w:val="21"/>
        </w:rPr>
        <w:t>New perspectives on organizational effective- </w:t>
      </w:r>
      <w:r>
        <w:rPr>
          <w:i/>
          <w:color w:val="231F20"/>
          <w:sz w:val="21"/>
        </w:rPr>
        <w:t>ness.</w:t>
      </w:r>
      <w:r>
        <w:rPr>
          <w:i/>
          <w:color w:val="231F20"/>
          <w:spacing w:val="-16"/>
          <w:sz w:val="21"/>
        </w:rPr>
        <w:t> </w:t>
      </w:r>
      <w:r>
        <w:rPr>
          <w:color w:val="231F20"/>
          <w:sz w:val="21"/>
        </w:rPr>
        <w:t>Jossey-Bass,</w:t>
      </w:r>
      <w:r>
        <w:rPr>
          <w:color w:val="231F20"/>
          <w:spacing w:val="-19"/>
          <w:sz w:val="21"/>
        </w:rPr>
        <w:t> </w:t>
      </w:r>
      <w:r>
        <w:rPr>
          <w:color w:val="231F20"/>
          <w:sz w:val="21"/>
        </w:rPr>
        <w:t>San</w:t>
      </w:r>
      <w:r>
        <w:rPr>
          <w:color w:val="231F20"/>
          <w:spacing w:val="-13"/>
          <w:sz w:val="21"/>
        </w:rPr>
        <w:t> </w:t>
      </w:r>
      <w:r>
        <w:rPr>
          <w:color w:val="231F20"/>
          <w:sz w:val="21"/>
        </w:rPr>
        <w:t>Francisco,</w:t>
      </w:r>
      <w:r>
        <w:rPr>
          <w:color w:val="231F20"/>
          <w:spacing w:val="-19"/>
          <w:sz w:val="21"/>
        </w:rPr>
        <w:t> </w:t>
      </w:r>
      <w:r>
        <w:rPr>
          <w:color w:val="231F20"/>
          <w:sz w:val="21"/>
        </w:rPr>
        <w:t>California.</w:t>
      </w:r>
      <w:r>
        <w:rPr>
          <w:color w:val="231F20"/>
          <w:spacing w:val="-19"/>
          <w:sz w:val="21"/>
        </w:rPr>
        <w:t> </w:t>
      </w:r>
      <w:r>
        <w:rPr>
          <w:color w:val="231F20"/>
          <w:sz w:val="21"/>
        </w:rPr>
        <w:t>pp.</w:t>
      </w:r>
      <w:r>
        <w:rPr>
          <w:color w:val="231F20"/>
          <w:spacing w:val="-19"/>
          <w:sz w:val="21"/>
        </w:rPr>
        <w:t> </w:t>
      </w:r>
      <w:r>
        <w:rPr>
          <w:color w:val="231F20"/>
          <w:sz w:val="21"/>
        </w:rPr>
        <w:t>132-145.</w:t>
      </w:r>
    </w:p>
    <w:p>
      <w:pPr>
        <w:spacing w:line="259" w:lineRule="auto" w:before="0"/>
        <w:ind w:left="854" w:right="118" w:hanging="737"/>
        <w:jc w:val="both"/>
        <w:rPr>
          <w:sz w:val="21"/>
        </w:rPr>
      </w:pPr>
      <w:r>
        <w:rPr>
          <w:color w:val="231F20"/>
          <w:sz w:val="21"/>
        </w:rPr>
        <w:t>Pfeffer, J., y Salancik, G. (1978). </w:t>
      </w:r>
      <w:r>
        <w:rPr>
          <w:i/>
          <w:color w:val="231F20"/>
          <w:sz w:val="21"/>
        </w:rPr>
        <w:t>The External Control of Organizations: A </w:t>
      </w:r>
      <w:r>
        <w:rPr>
          <w:i/>
          <w:color w:val="231F20"/>
          <w:sz w:val="21"/>
        </w:rPr>
        <w:t>Resource Dependence Perspectives</w:t>
      </w:r>
      <w:r>
        <w:rPr>
          <w:color w:val="231F20"/>
          <w:sz w:val="21"/>
        </w:rPr>
        <w:t>. Harper y Row, Nueva York.</w:t>
      </w:r>
    </w:p>
    <w:p>
      <w:pPr>
        <w:spacing w:line="259" w:lineRule="auto" w:before="0"/>
        <w:ind w:left="854" w:right="122" w:hanging="738"/>
        <w:jc w:val="both"/>
        <w:rPr>
          <w:sz w:val="21"/>
        </w:rPr>
      </w:pPr>
      <w:r>
        <w:rPr>
          <w:color w:val="231F20"/>
          <w:spacing w:val="-5"/>
          <w:w w:val="105"/>
          <w:sz w:val="21"/>
        </w:rPr>
        <w:t>Porter,</w:t>
      </w:r>
      <w:r>
        <w:rPr>
          <w:color w:val="231F20"/>
          <w:spacing w:val="-43"/>
          <w:w w:val="105"/>
          <w:sz w:val="21"/>
        </w:rPr>
        <w:t> </w:t>
      </w:r>
      <w:r>
        <w:rPr>
          <w:color w:val="231F20"/>
          <w:w w:val="105"/>
          <w:sz w:val="21"/>
        </w:rPr>
        <w:t>L.,</w:t>
      </w:r>
      <w:r>
        <w:rPr>
          <w:color w:val="231F20"/>
          <w:spacing w:val="-43"/>
          <w:w w:val="105"/>
          <w:sz w:val="21"/>
        </w:rPr>
        <w:t> </w:t>
      </w:r>
      <w:r>
        <w:rPr>
          <w:color w:val="231F20"/>
          <w:w w:val="105"/>
          <w:sz w:val="21"/>
        </w:rPr>
        <w:t>y</w:t>
      </w:r>
      <w:r>
        <w:rPr>
          <w:color w:val="231F20"/>
          <w:spacing w:val="-42"/>
          <w:w w:val="105"/>
          <w:sz w:val="21"/>
        </w:rPr>
        <w:t> </w:t>
      </w:r>
      <w:r>
        <w:rPr>
          <w:color w:val="231F20"/>
          <w:spacing w:val="-5"/>
          <w:w w:val="105"/>
          <w:sz w:val="21"/>
        </w:rPr>
        <w:t>Tanner,</w:t>
      </w:r>
      <w:r>
        <w:rPr>
          <w:color w:val="231F20"/>
          <w:spacing w:val="-43"/>
          <w:w w:val="105"/>
          <w:sz w:val="21"/>
        </w:rPr>
        <w:t> </w:t>
      </w:r>
      <w:r>
        <w:rPr>
          <w:color w:val="231F20"/>
          <w:w w:val="105"/>
          <w:sz w:val="21"/>
        </w:rPr>
        <w:t>S.</w:t>
      </w:r>
      <w:r>
        <w:rPr>
          <w:color w:val="231F20"/>
          <w:spacing w:val="-43"/>
          <w:w w:val="105"/>
          <w:sz w:val="21"/>
        </w:rPr>
        <w:t> </w:t>
      </w:r>
      <w:r>
        <w:rPr>
          <w:color w:val="231F20"/>
          <w:w w:val="105"/>
          <w:sz w:val="21"/>
        </w:rPr>
        <w:t>(2004).</w:t>
      </w:r>
      <w:r>
        <w:rPr>
          <w:color w:val="231F20"/>
          <w:spacing w:val="-43"/>
          <w:w w:val="105"/>
          <w:sz w:val="21"/>
        </w:rPr>
        <w:t> </w:t>
      </w:r>
      <w:r>
        <w:rPr>
          <w:i/>
          <w:color w:val="231F20"/>
          <w:w w:val="105"/>
          <w:sz w:val="21"/>
        </w:rPr>
        <w:t>Assesing</w:t>
      </w:r>
      <w:r>
        <w:rPr>
          <w:i/>
          <w:color w:val="231F20"/>
          <w:spacing w:val="-40"/>
          <w:w w:val="105"/>
          <w:sz w:val="21"/>
        </w:rPr>
        <w:t> </w:t>
      </w:r>
      <w:r>
        <w:rPr>
          <w:i/>
          <w:color w:val="231F20"/>
          <w:w w:val="105"/>
          <w:sz w:val="21"/>
        </w:rPr>
        <w:t>Business</w:t>
      </w:r>
      <w:r>
        <w:rPr>
          <w:i/>
          <w:color w:val="231F20"/>
          <w:spacing w:val="-40"/>
          <w:w w:val="105"/>
          <w:sz w:val="21"/>
        </w:rPr>
        <w:t> </w:t>
      </w:r>
      <w:r>
        <w:rPr>
          <w:i/>
          <w:color w:val="231F20"/>
          <w:w w:val="105"/>
          <w:sz w:val="21"/>
        </w:rPr>
        <w:t>Excellence</w:t>
      </w:r>
      <w:r>
        <w:rPr>
          <w:color w:val="231F20"/>
          <w:w w:val="105"/>
          <w:sz w:val="21"/>
        </w:rPr>
        <w:t>.</w:t>
      </w:r>
      <w:r>
        <w:rPr>
          <w:color w:val="231F20"/>
          <w:spacing w:val="-43"/>
          <w:w w:val="105"/>
          <w:sz w:val="21"/>
        </w:rPr>
        <w:t> </w:t>
      </w:r>
      <w:r>
        <w:rPr>
          <w:color w:val="231F20"/>
          <w:w w:val="105"/>
          <w:sz w:val="21"/>
        </w:rPr>
        <w:t>Elsevier</w:t>
      </w:r>
      <w:r>
        <w:rPr>
          <w:color w:val="231F20"/>
          <w:spacing w:val="-40"/>
          <w:w w:val="105"/>
          <w:sz w:val="21"/>
        </w:rPr>
        <w:t> </w:t>
      </w:r>
      <w:r>
        <w:rPr>
          <w:color w:val="231F20"/>
          <w:w w:val="105"/>
          <w:sz w:val="21"/>
        </w:rPr>
        <w:t>But- </w:t>
      </w:r>
      <w:r>
        <w:rPr>
          <w:color w:val="231F20"/>
          <w:sz w:val="21"/>
        </w:rPr>
        <w:t>terworth-Heinemann, </w:t>
      </w:r>
      <w:r>
        <w:rPr>
          <w:color w:val="231F20"/>
          <w:spacing w:val="40"/>
          <w:sz w:val="21"/>
        </w:rPr>
        <w:t> </w:t>
      </w:r>
      <w:r>
        <w:rPr>
          <w:color w:val="231F20"/>
          <w:sz w:val="21"/>
        </w:rPr>
        <w:t>Amsterdam.</w:t>
      </w:r>
    </w:p>
    <w:p>
      <w:pPr>
        <w:spacing w:line="259" w:lineRule="auto" w:before="0"/>
        <w:ind w:left="854" w:right="122" w:hanging="738"/>
        <w:jc w:val="both"/>
        <w:rPr>
          <w:sz w:val="21"/>
        </w:rPr>
      </w:pPr>
      <w:r>
        <w:rPr>
          <w:color w:val="231F20"/>
          <w:w w:val="105"/>
          <w:sz w:val="21"/>
        </w:rPr>
        <w:t>Prahalad,</w:t>
      </w:r>
      <w:r>
        <w:rPr>
          <w:color w:val="231F20"/>
          <w:spacing w:val="-15"/>
          <w:w w:val="105"/>
          <w:sz w:val="21"/>
        </w:rPr>
        <w:t> </w:t>
      </w:r>
      <w:r>
        <w:rPr>
          <w:color w:val="231F20"/>
          <w:w w:val="105"/>
          <w:sz w:val="21"/>
        </w:rPr>
        <w:t>C.,</w:t>
      </w:r>
      <w:r>
        <w:rPr>
          <w:color w:val="231F20"/>
          <w:spacing w:val="-15"/>
          <w:w w:val="105"/>
          <w:sz w:val="21"/>
        </w:rPr>
        <w:t> </w:t>
      </w:r>
      <w:r>
        <w:rPr>
          <w:color w:val="231F20"/>
          <w:w w:val="105"/>
          <w:sz w:val="21"/>
        </w:rPr>
        <w:t>y</w:t>
      </w:r>
      <w:r>
        <w:rPr>
          <w:color w:val="231F20"/>
          <w:spacing w:val="-10"/>
          <w:w w:val="105"/>
          <w:sz w:val="21"/>
        </w:rPr>
        <w:t> </w:t>
      </w:r>
      <w:r>
        <w:rPr>
          <w:color w:val="231F20"/>
          <w:w w:val="105"/>
          <w:sz w:val="21"/>
        </w:rPr>
        <w:t>Hamel,</w:t>
      </w:r>
      <w:r>
        <w:rPr>
          <w:color w:val="231F20"/>
          <w:spacing w:val="-15"/>
          <w:w w:val="105"/>
          <w:sz w:val="21"/>
        </w:rPr>
        <w:t> </w:t>
      </w:r>
      <w:r>
        <w:rPr>
          <w:color w:val="231F20"/>
          <w:w w:val="105"/>
          <w:sz w:val="21"/>
        </w:rPr>
        <w:t>G.</w:t>
      </w:r>
      <w:r>
        <w:rPr>
          <w:color w:val="231F20"/>
          <w:spacing w:val="-15"/>
          <w:w w:val="105"/>
          <w:sz w:val="21"/>
        </w:rPr>
        <w:t> </w:t>
      </w:r>
      <w:r>
        <w:rPr>
          <w:color w:val="231F20"/>
          <w:w w:val="105"/>
          <w:sz w:val="21"/>
        </w:rPr>
        <w:t>(1990).</w:t>
      </w:r>
      <w:r>
        <w:rPr>
          <w:color w:val="231F20"/>
          <w:spacing w:val="-15"/>
          <w:w w:val="105"/>
          <w:sz w:val="21"/>
        </w:rPr>
        <w:t> </w:t>
      </w:r>
      <w:r>
        <w:rPr>
          <w:color w:val="231F20"/>
          <w:w w:val="105"/>
          <w:sz w:val="21"/>
        </w:rPr>
        <w:t>“The</w:t>
      </w:r>
      <w:r>
        <w:rPr>
          <w:color w:val="231F20"/>
          <w:spacing w:val="-10"/>
          <w:w w:val="105"/>
          <w:sz w:val="21"/>
        </w:rPr>
        <w:t> </w:t>
      </w:r>
      <w:r>
        <w:rPr>
          <w:color w:val="231F20"/>
          <w:w w:val="105"/>
          <w:sz w:val="21"/>
        </w:rPr>
        <w:t>core</w:t>
      </w:r>
      <w:r>
        <w:rPr>
          <w:color w:val="231F20"/>
          <w:spacing w:val="-10"/>
          <w:w w:val="105"/>
          <w:sz w:val="21"/>
        </w:rPr>
        <w:t> </w:t>
      </w:r>
      <w:r>
        <w:rPr>
          <w:color w:val="231F20"/>
          <w:w w:val="105"/>
          <w:sz w:val="21"/>
        </w:rPr>
        <w:t>competence</w:t>
      </w:r>
      <w:r>
        <w:rPr>
          <w:color w:val="231F20"/>
          <w:spacing w:val="-10"/>
          <w:w w:val="105"/>
          <w:sz w:val="21"/>
        </w:rPr>
        <w:t> </w:t>
      </w:r>
      <w:r>
        <w:rPr>
          <w:color w:val="231F20"/>
          <w:w w:val="105"/>
          <w:sz w:val="21"/>
        </w:rPr>
        <w:t>of</w:t>
      </w:r>
      <w:r>
        <w:rPr>
          <w:color w:val="231F20"/>
          <w:spacing w:val="-6"/>
          <w:w w:val="105"/>
          <w:sz w:val="21"/>
        </w:rPr>
        <w:t> </w:t>
      </w:r>
      <w:r>
        <w:rPr>
          <w:color w:val="231F20"/>
          <w:w w:val="105"/>
          <w:sz w:val="21"/>
        </w:rPr>
        <w:t>the</w:t>
      </w:r>
      <w:r>
        <w:rPr>
          <w:color w:val="231F20"/>
          <w:spacing w:val="-10"/>
          <w:w w:val="105"/>
          <w:sz w:val="21"/>
        </w:rPr>
        <w:t> </w:t>
      </w:r>
      <w:r>
        <w:rPr>
          <w:color w:val="231F20"/>
          <w:w w:val="105"/>
          <w:sz w:val="21"/>
        </w:rPr>
        <w:t>corpora- </w:t>
      </w:r>
      <w:r>
        <w:rPr>
          <w:color w:val="231F20"/>
          <w:spacing w:val="-5"/>
          <w:w w:val="105"/>
          <w:sz w:val="21"/>
        </w:rPr>
        <w:t>tion”.</w:t>
      </w:r>
      <w:r>
        <w:rPr>
          <w:color w:val="231F20"/>
          <w:spacing w:val="-37"/>
          <w:w w:val="105"/>
          <w:sz w:val="21"/>
        </w:rPr>
        <w:t> </w:t>
      </w:r>
      <w:r>
        <w:rPr>
          <w:i/>
          <w:color w:val="231F20"/>
          <w:w w:val="105"/>
          <w:sz w:val="21"/>
        </w:rPr>
        <w:t>Harvard</w:t>
      </w:r>
      <w:r>
        <w:rPr>
          <w:i/>
          <w:color w:val="231F20"/>
          <w:spacing w:val="-33"/>
          <w:w w:val="105"/>
          <w:sz w:val="21"/>
        </w:rPr>
        <w:t> </w:t>
      </w:r>
      <w:r>
        <w:rPr>
          <w:i/>
          <w:color w:val="231F20"/>
          <w:w w:val="105"/>
          <w:sz w:val="21"/>
        </w:rPr>
        <w:t>Business</w:t>
      </w:r>
      <w:r>
        <w:rPr>
          <w:i/>
          <w:color w:val="231F20"/>
          <w:spacing w:val="-33"/>
          <w:w w:val="105"/>
          <w:sz w:val="21"/>
        </w:rPr>
        <w:t> </w:t>
      </w:r>
      <w:r>
        <w:rPr>
          <w:i/>
          <w:color w:val="231F20"/>
          <w:w w:val="105"/>
          <w:sz w:val="21"/>
        </w:rPr>
        <w:t>Review,</w:t>
      </w:r>
      <w:r>
        <w:rPr>
          <w:i/>
          <w:color w:val="231F20"/>
          <w:spacing w:val="-37"/>
          <w:w w:val="105"/>
          <w:sz w:val="21"/>
        </w:rPr>
        <w:t> </w:t>
      </w:r>
      <w:r>
        <w:rPr>
          <w:color w:val="231F20"/>
          <w:spacing w:val="-3"/>
          <w:w w:val="105"/>
          <w:sz w:val="21"/>
        </w:rPr>
        <w:t>Vol.</w:t>
      </w:r>
      <w:r>
        <w:rPr>
          <w:color w:val="231F20"/>
          <w:spacing w:val="-37"/>
          <w:w w:val="105"/>
          <w:sz w:val="21"/>
        </w:rPr>
        <w:t> </w:t>
      </w:r>
      <w:r>
        <w:rPr>
          <w:i/>
          <w:color w:val="231F20"/>
          <w:w w:val="105"/>
          <w:sz w:val="21"/>
        </w:rPr>
        <w:t>68</w:t>
      </w:r>
      <w:r>
        <w:rPr>
          <w:color w:val="231F20"/>
          <w:w w:val="105"/>
          <w:sz w:val="21"/>
        </w:rPr>
        <w:t>,</w:t>
      </w:r>
      <w:r>
        <w:rPr>
          <w:color w:val="231F20"/>
          <w:spacing w:val="-37"/>
          <w:w w:val="105"/>
          <w:sz w:val="21"/>
        </w:rPr>
        <w:t> </w:t>
      </w:r>
      <w:r>
        <w:rPr>
          <w:color w:val="231F20"/>
          <w:w w:val="105"/>
          <w:sz w:val="21"/>
        </w:rPr>
        <w:t>Núm.</w:t>
      </w:r>
      <w:r>
        <w:rPr>
          <w:color w:val="231F20"/>
          <w:spacing w:val="-37"/>
          <w:w w:val="105"/>
          <w:sz w:val="21"/>
        </w:rPr>
        <w:t> </w:t>
      </w:r>
      <w:r>
        <w:rPr>
          <w:color w:val="231F20"/>
          <w:w w:val="105"/>
          <w:sz w:val="21"/>
        </w:rPr>
        <w:t>3,</w:t>
      </w:r>
      <w:r>
        <w:rPr>
          <w:color w:val="231F20"/>
          <w:spacing w:val="-37"/>
          <w:w w:val="105"/>
          <w:sz w:val="21"/>
        </w:rPr>
        <w:t> </w:t>
      </w:r>
      <w:r>
        <w:rPr>
          <w:color w:val="231F20"/>
          <w:w w:val="105"/>
          <w:sz w:val="21"/>
        </w:rPr>
        <w:t>pp.</w:t>
      </w:r>
      <w:r>
        <w:rPr>
          <w:color w:val="231F20"/>
          <w:spacing w:val="-37"/>
          <w:w w:val="105"/>
          <w:sz w:val="21"/>
        </w:rPr>
        <w:t> </w:t>
      </w:r>
      <w:r>
        <w:rPr>
          <w:color w:val="231F20"/>
          <w:w w:val="105"/>
          <w:sz w:val="21"/>
        </w:rPr>
        <w:t>79-92.</w:t>
      </w:r>
    </w:p>
    <w:p>
      <w:pPr>
        <w:spacing w:line="259" w:lineRule="auto" w:before="0"/>
        <w:ind w:left="853" w:right="116" w:hanging="737"/>
        <w:jc w:val="both"/>
        <w:rPr>
          <w:sz w:val="21"/>
        </w:rPr>
      </w:pPr>
      <w:r>
        <w:rPr>
          <w:color w:val="231F20"/>
          <w:sz w:val="21"/>
        </w:rPr>
        <w:t>Raj, S. (2000). </w:t>
      </w:r>
      <w:r>
        <w:rPr>
          <w:i/>
          <w:color w:val="231F20"/>
          <w:sz w:val="21"/>
        </w:rPr>
        <w:t>A look at Total Quality Management’s (TQM) effectiveness</w:t>
      </w:r>
      <w:r>
        <w:rPr>
          <w:color w:val="231F20"/>
          <w:sz w:val="21"/>
        </w:rPr>
        <w:t>. Documento presentado en Conference of the Production and Operations Management Society, San Antonio, Texas.</w:t>
      </w:r>
    </w:p>
    <w:p>
      <w:pPr>
        <w:pStyle w:val="BodyText"/>
        <w:spacing w:line="259" w:lineRule="auto"/>
        <w:ind w:left="853" w:right="122" w:hanging="738"/>
        <w:jc w:val="both"/>
      </w:pPr>
      <w:r>
        <w:rPr>
          <w:color w:val="231F20"/>
          <w:w w:val="105"/>
        </w:rPr>
        <w:t>Reavill,</w:t>
      </w:r>
      <w:r>
        <w:rPr>
          <w:color w:val="231F20"/>
          <w:spacing w:val="-42"/>
          <w:w w:val="105"/>
        </w:rPr>
        <w:t> </w:t>
      </w:r>
      <w:r>
        <w:rPr>
          <w:color w:val="231F20"/>
          <w:w w:val="105"/>
        </w:rPr>
        <w:t>L.</w:t>
      </w:r>
      <w:r>
        <w:rPr>
          <w:color w:val="231F20"/>
          <w:spacing w:val="-42"/>
          <w:w w:val="105"/>
        </w:rPr>
        <w:t> </w:t>
      </w:r>
      <w:r>
        <w:rPr>
          <w:color w:val="231F20"/>
          <w:w w:val="105"/>
        </w:rPr>
        <w:t>R.</w:t>
      </w:r>
      <w:r>
        <w:rPr>
          <w:color w:val="231F20"/>
          <w:spacing w:val="-42"/>
          <w:w w:val="105"/>
        </w:rPr>
        <w:t> </w:t>
      </w:r>
      <w:r>
        <w:rPr>
          <w:color w:val="231F20"/>
          <w:spacing w:val="-16"/>
          <w:w w:val="105"/>
        </w:rPr>
        <w:t>P.</w:t>
      </w:r>
      <w:r>
        <w:rPr>
          <w:color w:val="231F20"/>
          <w:spacing w:val="-42"/>
          <w:w w:val="105"/>
        </w:rPr>
        <w:t> </w:t>
      </w:r>
      <w:r>
        <w:rPr>
          <w:color w:val="231F20"/>
          <w:w w:val="105"/>
        </w:rPr>
        <w:t>(1998).</w:t>
      </w:r>
      <w:r>
        <w:rPr>
          <w:color w:val="231F20"/>
          <w:spacing w:val="-42"/>
          <w:w w:val="105"/>
        </w:rPr>
        <w:t> </w:t>
      </w:r>
      <w:r>
        <w:rPr>
          <w:color w:val="231F20"/>
          <w:w w:val="105"/>
        </w:rPr>
        <w:t>“Quality</w:t>
      </w:r>
      <w:r>
        <w:rPr>
          <w:color w:val="231F20"/>
          <w:spacing w:val="-39"/>
          <w:w w:val="105"/>
        </w:rPr>
        <w:t> </w:t>
      </w:r>
      <w:r>
        <w:rPr>
          <w:color w:val="231F20"/>
          <w:w w:val="105"/>
        </w:rPr>
        <w:t>assessment,</w:t>
      </w:r>
      <w:r>
        <w:rPr>
          <w:color w:val="231F20"/>
          <w:spacing w:val="-42"/>
          <w:w w:val="105"/>
        </w:rPr>
        <w:t> </w:t>
      </w:r>
      <w:r>
        <w:rPr>
          <w:color w:val="231F20"/>
          <w:w w:val="105"/>
        </w:rPr>
        <w:t>total</w:t>
      </w:r>
      <w:r>
        <w:rPr>
          <w:color w:val="231F20"/>
          <w:spacing w:val="-39"/>
          <w:w w:val="105"/>
        </w:rPr>
        <w:t> </w:t>
      </w:r>
      <w:r>
        <w:rPr>
          <w:color w:val="231F20"/>
          <w:w w:val="105"/>
        </w:rPr>
        <w:t>quality</w:t>
      </w:r>
      <w:r>
        <w:rPr>
          <w:color w:val="231F20"/>
          <w:spacing w:val="-39"/>
          <w:w w:val="105"/>
        </w:rPr>
        <w:t> </w:t>
      </w:r>
      <w:r>
        <w:rPr>
          <w:color w:val="231F20"/>
          <w:w w:val="105"/>
        </w:rPr>
        <w:t>management</w:t>
      </w:r>
      <w:r>
        <w:rPr>
          <w:color w:val="231F20"/>
          <w:spacing w:val="-39"/>
          <w:w w:val="105"/>
        </w:rPr>
        <w:t> </w:t>
      </w:r>
      <w:r>
        <w:rPr>
          <w:color w:val="231F20"/>
          <w:w w:val="105"/>
        </w:rPr>
        <w:t>and the stakeholders in the UK higher education </w:t>
      </w:r>
      <w:r>
        <w:rPr>
          <w:color w:val="231F20"/>
          <w:spacing w:val="-4"/>
          <w:w w:val="105"/>
        </w:rPr>
        <w:t>system”. </w:t>
      </w:r>
      <w:r>
        <w:rPr>
          <w:i/>
          <w:color w:val="231F20"/>
          <w:w w:val="105"/>
        </w:rPr>
        <w:t>Managing </w:t>
      </w:r>
      <w:r>
        <w:rPr>
          <w:i/>
          <w:color w:val="231F20"/>
          <w:w w:val="105"/>
        </w:rPr>
        <w:t>Service</w:t>
      </w:r>
      <w:r>
        <w:rPr>
          <w:i/>
          <w:color w:val="231F20"/>
          <w:spacing w:val="-26"/>
          <w:w w:val="105"/>
        </w:rPr>
        <w:t> </w:t>
      </w:r>
      <w:r>
        <w:rPr>
          <w:i/>
          <w:color w:val="231F20"/>
          <w:w w:val="105"/>
        </w:rPr>
        <w:t>Quality,</w:t>
      </w:r>
      <w:r>
        <w:rPr>
          <w:i/>
          <w:color w:val="231F20"/>
          <w:spacing w:val="-31"/>
          <w:w w:val="105"/>
        </w:rPr>
        <w:t> </w:t>
      </w:r>
      <w:r>
        <w:rPr>
          <w:color w:val="231F20"/>
          <w:spacing w:val="-3"/>
          <w:w w:val="105"/>
        </w:rPr>
        <w:t>Vol.</w:t>
      </w:r>
      <w:r>
        <w:rPr>
          <w:color w:val="231F20"/>
          <w:spacing w:val="-31"/>
          <w:w w:val="105"/>
        </w:rPr>
        <w:t> </w:t>
      </w:r>
      <w:r>
        <w:rPr>
          <w:i/>
          <w:color w:val="231F20"/>
          <w:w w:val="105"/>
        </w:rPr>
        <w:t>8</w:t>
      </w:r>
      <w:r>
        <w:rPr>
          <w:color w:val="231F20"/>
          <w:w w:val="105"/>
        </w:rPr>
        <w:t>,</w:t>
      </w:r>
      <w:r>
        <w:rPr>
          <w:color w:val="231F20"/>
          <w:spacing w:val="-31"/>
          <w:w w:val="105"/>
        </w:rPr>
        <w:t> </w:t>
      </w:r>
      <w:r>
        <w:rPr>
          <w:color w:val="231F20"/>
          <w:w w:val="105"/>
        </w:rPr>
        <w:t>Núm.</w:t>
      </w:r>
      <w:r>
        <w:rPr>
          <w:color w:val="231F20"/>
          <w:spacing w:val="-31"/>
          <w:w w:val="105"/>
        </w:rPr>
        <w:t> </w:t>
      </w:r>
      <w:r>
        <w:rPr>
          <w:color w:val="231F20"/>
          <w:w w:val="105"/>
        </w:rPr>
        <w:t>1,</w:t>
      </w:r>
      <w:r>
        <w:rPr>
          <w:color w:val="231F20"/>
          <w:spacing w:val="-31"/>
          <w:w w:val="105"/>
        </w:rPr>
        <w:t> </w:t>
      </w:r>
      <w:r>
        <w:rPr>
          <w:color w:val="231F20"/>
          <w:w w:val="105"/>
        </w:rPr>
        <w:t>pp.</w:t>
      </w:r>
      <w:r>
        <w:rPr>
          <w:color w:val="231F20"/>
          <w:spacing w:val="-31"/>
          <w:w w:val="105"/>
        </w:rPr>
        <w:t> </w:t>
      </w:r>
      <w:r>
        <w:rPr>
          <w:color w:val="231F20"/>
          <w:w w:val="105"/>
        </w:rPr>
        <w:t>55-63.</w:t>
      </w:r>
    </w:p>
    <w:p>
      <w:pPr>
        <w:spacing w:after="0" w:line="259" w:lineRule="auto"/>
        <w:jc w:val="both"/>
        <w:sectPr>
          <w:pgSz w:w="9640" w:h="13890"/>
          <w:pgMar w:top="0" w:bottom="280" w:left="1300" w:right="1180"/>
        </w:sectPr>
      </w:pPr>
    </w:p>
    <w:p>
      <w:pPr>
        <w:pStyle w:val="BodyText"/>
        <w:spacing w:line="259" w:lineRule="auto" w:before="120"/>
        <w:ind w:left="841" w:right="115" w:hanging="738"/>
        <w:jc w:val="both"/>
      </w:pPr>
      <w:r>
        <w:rPr>
          <w:color w:val="231F20"/>
        </w:rPr>
        <w:t>Reimann, B. C. (1975). “Organizational Effectiveness and Management’s Public Values: A Canonical Analysis”. </w:t>
      </w:r>
      <w:r>
        <w:rPr>
          <w:i/>
          <w:color w:val="231F20"/>
        </w:rPr>
        <w:t>Academy of Management </w:t>
      </w:r>
      <w:r>
        <w:rPr>
          <w:i/>
          <w:color w:val="231F20"/>
        </w:rPr>
        <w:t>Journal, </w:t>
      </w:r>
      <w:r>
        <w:rPr>
          <w:color w:val="231F20"/>
        </w:rPr>
        <w:t>Vol. </w:t>
      </w:r>
      <w:r>
        <w:rPr>
          <w:i/>
          <w:color w:val="231F20"/>
        </w:rPr>
        <w:t>18</w:t>
      </w:r>
      <w:r>
        <w:rPr>
          <w:color w:val="231F20"/>
        </w:rPr>
        <w:t>, Núm. 2, pp. 224-241.</w:t>
      </w:r>
    </w:p>
    <w:p>
      <w:pPr>
        <w:pStyle w:val="BodyText"/>
        <w:spacing w:line="259" w:lineRule="auto"/>
        <w:ind w:left="841" w:right="115" w:hanging="738"/>
        <w:jc w:val="both"/>
      </w:pPr>
      <w:r>
        <w:rPr>
          <w:color w:val="231F20"/>
          <w:w w:val="105"/>
        </w:rPr>
        <w:t>Richard,</w:t>
      </w:r>
      <w:r>
        <w:rPr>
          <w:color w:val="231F20"/>
          <w:spacing w:val="-38"/>
          <w:w w:val="105"/>
        </w:rPr>
        <w:t> </w:t>
      </w:r>
      <w:r>
        <w:rPr>
          <w:color w:val="231F20"/>
          <w:spacing w:val="-16"/>
          <w:w w:val="105"/>
        </w:rPr>
        <w:t>P.</w:t>
      </w:r>
      <w:r>
        <w:rPr>
          <w:color w:val="231F20"/>
          <w:spacing w:val="-39"/>
          <w:w w:val="105"/>
        </w:rPr>
        <w:t> </w:t>
      </w:r>
      <w:r>
        <w:rPr>
          <w:color w:val="231F20"/>
          <w:w w:val="105"/>
        </w:rPr>
        <w:t>J.,</w:t>
      </w:r>
      <w:r>
        <w:rPr>
          <w:color w:val="231F20"/>
          <w:spacing w:val="-38"/>
          <w:w w:val="105"/>
        </w:rPr>
        <w:t> </w:t>
      </w:r>
      <w:r>
        <w:rPr>
          <w:color w:val="231F20"/>
          <w:w w:val="105"/>
        </w:rPr>
        <w:t>Devinney,</w:t>
      </w:r>
      <w:r>
        <w:rPr>
          <w:color w:val="231F20"/>
          <w:spacing w:val="-40"/>
          <w:w w:val="105"/>
        </w:rPr>
        <w:t> </w:t>
      </w:r>
      <w:r>
        <w:rPr>
          <w:color w:val="231F20"/>
          <w:spacing w:val="-9"/>
          <w:w w:val="105"/>
        </w:rPr>
        <w:t>T.</w:t>
      </w:r>
      <w:r>
        <w:rPr>
          <w:color w:val="231F20"/>
          <w:spacing w:val="-38"/>
          <w:w w:val="105"/>
        </w:rPr>
        <w:t> </w:t>
      </w:r>
      <w:r>
        <w:rPr>
          <w:color w:val="231F20"/>
          <w:w w:val="105"/>
        </w:rPr>
        <w:t>M.,</w:t>
      </w:r>
      <w:r>
        <w:rPr>
          <w:color w:val="231F20"/>
          <w:spacing w:val="-40"/>
          <w:w w:val="105"/>
        </w:rPr>
        <w:t> </w:t>
      </w:r>
      <w:r>
        <w:rPr>
          <w:color w:val="231F20"/>
          <w:spacing w:val="-3"/>
          <w:w w:val="105"/>
        </w:rPr>
        <w:t>Yip,</w:t>
      </w:r>
      <w:r>
        <w:rPr>
          <w:color w:val="231F20"/>
          <w:spacing w:val="-38"/>
          <w:w w:val="105"/>
        </w:rPr>
        <w:t> </w:t>
      </w:r>
      <w:r>
        <w:rPr>
          <w:color w:val="231F20"/>
          <w:w w:val="105"/>
        </w:rPr>
        <w:t>G.</w:t>
      </w:r>
      <w:r>
        <w:rPr>
          <w:color w:val="231F20"/>
          <w:spacing w:val="-38"/>
          <w:w w:val="105"/>
        </w:rPr>
        <w:t> </w:t>
      </w:r>
      <w:r>
        <w:rPr>
          <w:color w:val="231F20"/>
          <w:w w:val="105"/>
        </w:rPr>
        <w:t>S.,</w:t>
      </w:r>
      <w:r>
        <w:rPr>
          <w:color w:val="231F20"/>
          <w:spacing w:val="-38"/>
          <w:w w:val="105"/>
        </w:rPr>
        <w:t> </w:t>
      </w:r>
      <w:r>
        <w:rPr>
          <w:color w:val="231F20"/>
          <w:w w:val="105"/>
        </w:rPr>
        <w:t>y</w:t>
      </w:r>
      <w:r>
        <w:rPr>
          <w:color w:val="231F20"/>
          <w:spacing w:val="-36"/>
          <w:w w:val="105"/>
        </w:rPr>
        <w:t> </w:t>
      </w:r>
      <w:r>
        <w:rPr>
          <w:color w:val="231F20"/>
          <w:w w:val="105"/>
        </w:rPr>
        <w:t>Johnson,</w:t>
      </w:r>
      <w:r>
        <w:rPr>
          <w:color w:val="231F20"/>
          <w:spacing w:val="-38"/>
          <w:w w:val="105"/>
        </w:rPr>
        <w:t> </w:t>
      </w:r>
      <w:r>
        <w:rPr>
          <w:color w:val="231F20"/>
          <w:w w:val="105"/>
        </w:rPr>
        <w:t>G.</w:t>
      </w:r>
      <w:r>
        <w:rPr>
          <w:color w:val="231F20"/>
          <w:spacing w:val="-38"/>
          <w:w w:val="105"/>
        </w:rPr>
        <w:t> </w:t>
      </w:r>
      <w:r>
        <w:rPr>
          <w:color w:val="231F20"/>
          <w:w w:val="105"/>
        </w:rPr>
        <w:t>(2009).</w:t>
      </w:r>
      <w:r>
        <w:rPr>
          <w:color w:val="231F20"/>
          <w:spacing w:val="-38"/>
          <w:w w:val="105"/>
        </w:rPr>
        <w:t> </w:t>
      </w:r>
      <w:r>
        <w:rPr>
          <w:color w:val="231F20"/>
          <w:w w:val="105"/>
        </w:rPr>
        <w:t>“Measuring Organizational</w:t>
      </w:r>
      <w:r>
        <w:rPr>
          <w:color w:val="231F20"/>
          <w:spacing w:val="-26"/>
          <w:w w:val="105"/>
        </w:rPr>
        <w:t> </w:t>
      </w:r>
      <w:r>
        <w:rPr>
          <w:color w:val="231F20"/>
          <w:w w:val="105"/>
        </w:rPr>
        <w:t>Performance:</w:t>
      </w:r>
      <w:r>
        <w:rPr>
          <w:color w:val="231F20"/>
          <w:spacing w:val="-29"/>
          <w:w w:val="105"/>
        </w:rPr>
        <w:t> </w:t>
      </w:r>
      <w:r>
        <w:rPr>
          <w:color w:val="231F20"/>
          <w:spacing w:val="-4"/>
          <w:w w:val="105"/>
        </w:rPr>
        <w:t>Towards</w:t>
      </w:r>
      <w:r>
        <w:rPr>
          <w:color w:val="231F20"/>
          <w:spacing w:val="-26"/>
          <w:w w:val="105"/>
        </w:rPr>
        <w:t> </w:t>
      </w:r>
      <w:r>
        <w:rPr>
          <w:color w:val="231F20"/>
          <w:w w:val="105"/>
        </w:rPr>
        <w:t>Methodological</w:t>
      </w:r>
      <w:r>
        <w:rPr>
          <w:color w:val="231F20"/>
          <w:spacing w:val="-26"/>
          <w:w w:val="105"/>
        </w:rPr>
        <w:t> </w:t>
      </w:r>
      <w:r>
        <w:rPr>
          <w:color w:val="231F20"/>
          <w:w w:val="105"/>
        </w:rPr>
        <w:t>Best</w:t>
      </w:r>
      <w:r>
        <w:rPr>
          <w:color w:val="231F20"/>
          <w:spacing w:val="-26"/>
          <w:w w:val="105"/>
        </w:rPr>
        <w:t> </w:t>
      </w:r>
      <w:r>
        <w:rPr>
          <w:color w:val="231F20"/>
          <w:spacing w:val="-3"/>
          <w:w w:val="105"/>
        </w:rPr>
        <w:t>Prac- </w:t>
      </w:r>
      <w:r>
        <w:rPr>
          <w:color w:val="231F20"/>
          <w:spacing w:val="-5"/>
          <w:w w:val="105"/>
        </w:rPr>
        <w:t>tice”.</w:t>
      </w:r>
      <w:r>
        <w:rPr>
          <w:color w:val="231F20"/>
          <w:spacing w:val="-24"/>
          <w:w w:val="105"/>
        </w:rPr>
        <w:t> </w:t>
      </w:r>
      <w:r>
        <w:rPr>
          <w:i/>
          <w:color w:val="231F20"/>
          <w:w w:val="105"/>
        </w:rPr>
        <w:t>Journal</w:t>
      </w:r>
      <w:r>
        <w:rPr>
          <w:i/>
          <w:color w:val="231F20"/>
          <w:spacing w:val="-18"/>
          <w:w w:val="105"/>
        </w:rPr>
        <w:t> </w:t>
      </w:r>
      <w:r>
        <w:rPr>
          <w:i/>
          <w:color w:val="231F20"/>
          <w:w w:val="105"/>
        </w:rPr>
        <w:t>of</w:t>
      </w:r>
      <w:r>
        <w:rPr>
          <w:i/>
          <w:color w:val="231F20"/>
          <w:spacing w:val="-13"/>
          <w:w w:val="105"/>
        </w:rPr>
        <w:t> </w:t>
      </w:r>
      <w:r>
        <w:rPr>
          <w:i/>
          <w:color w:val="231F20"/>
          <w:w w:val="105"/>
        </w:rPr>
        <w:t>Management,</w:t>
      </w:r>
      <w:r>
        <w:rPr>
          <w:i/>
          <w:color w:val="231F20"/>
          <w:spacing w:val="-24"/>
          <w:w w:val="105"/>
        </w:rPr>
        <w:t> </w:t>
      </w:r>
      <w:r>
        <w:rPr>
          <w:color w:val="231F20"/>
          <w:spacing w:val="-3"/>
          <w:w w:val="105"/>
        </w:rPr>
        <w:t>Vol.</w:t>
      </w:r>
      <w:r>
        <w:rPr>
          <w:color w:val="231F20"/>
          <w:spacing w:val="-24"/>
          <w:w w:val="105"/>
        </w:rPr>
        <w:t> </w:t>
      </w:r>
      <w:r>
        <w:rPr>
          <w:i/>
          <w:color w:val="231F20"/>
          <w:w w:val="105"/>
        </w:rPr>
        <w:t>35</w:t>
      </w:r>
      <w:r>
        <w:rPr>
          <w:color w:val="231F20"/>
          <w:w w:val="105"/>
        </w:rPr>
        <w:t>,</w:t>
      </w:r>
      <w:r>
        <w:rPr>
          <w:color w:val="231F20"/>
          <w:spacing w:val="-24"/>
          <w:w w:val="105"/>
        </w:rPr>
        <w:t> </w:t>
      </w:r>
      <w:r>
        <w:rPr>
          <w:color w:val="231F20"/>
          <w:w w:val="105"/>
        </w:rPr>
        <w:t>Núm.</w:t>
      </w:r>
      <w:r>
        <w:rPr>
          <w:color w:val="231F20"/>
          <w:spacing w:val="-24"/>
          <w:w w:val="105"/>
        </w:rPr>
        <w:t> </w:t>
      </w:r>
      <w:r>
        <w:rPr>
          <w:color w:val="231F20"/>
          <w:w w:val="105"/>
        </w:rPr>
        <w:t>3,</w:t>
      </w:r>
      <w:r>
        <w:rPr>
          <w:color w:val="231F20"/>
          <w:spacing w:val="-24"/>
          <w:w w:val="105"/>
        </w:rPr>
        <w:t> </w:t>
      </w:r>
      <w:r>
        <w:rPr>
          <w:color w:val="231F20"/>
          <w:w w:val="105"/>
        </w:rPr>
        <w:t>pp.</w:t>
      </w:r>
      <w:r>
        <w:rPr>
          <w:color w:val="231F20"/>
          <w:spacing w:val="-24"/>
          <w:w w:val="105"/>
        </w:rPr>
        <w:t> </w:t>
      </w:r>
      <w:r>
        <w:rPr>
          <w:color w:val="231F20"/>
          <w:w w:val="105"/>
        </w:rPr>
        <w:t>718-804.</w:t>
      </w:r>
    </w:p>
    <w:p>
      <w:pPr>
        <w:spacing w:line="259" w:lineRule="auto" w:before="0"/>
        <w:ind w:left="840" w:right="115" w:hanging="737"/>
        <w:jc w:val="both"/>
        <w:rPr>
          <w:sz w:val="21"/>
        </w:rPr>
      </w:pPr>
      <w:r>
        <w:rPr>
          <w:color w:val="231F20"/>
          <w:w w:val="105"/>
          <w:sz w:val="21"/>
        </w:rPr>
        <w:t>Salmi,</w:t>
      </w:r>
      <w:r>
        <w:rPr>
          <w:color w:val="231F20"/>
          <w:spacing w:val="-29"/>
          <w:w w:val="105"/>
          <w:sz w:val="21"/>
        </w:rPr>
        <w:t> </w:t>
      </w:r>
      <w:r>
        <w:rPr>
          <w:color w:val="231F20"/>
          <w:w w:val="105"/>
          <w:sz w:val="21"/>
        </w:rPr>
        <w:t>J.</w:t>
      </w:r>
      <w:r>
        <w:rPr>
          <w:color w:val="231F20"/>
          <w:spacing w:val="-28"/>
          <w:w w:val="105"/>
          <w:sz w:val="21"/>
        </w:rPr>
        <w:t> </w:t>
      </w:r>
      <w:r>
        <w:rPr>
          <w:color w:val="231F20"/>
          <w:w w:val="105"/>
          <w:sz w:val="21"/>
        </w:rPr>
        <w:t>(2009).</w:t>
      </w:r>
      <w:r>
        <w:rPr>
          <w:color w:val="231F20"/>
          <w:spacing w:val="-28"/>
          <w:w w:val="105"/>
          <w:sz w:val="21"/>
        </w:rPr>
        <w:t> </w:t>
      </w:r>
      <w:r>
        <w:rPr>
          <w:i/>
          <w:color w:val="231F20"/>
          <w:w w:val="105"/>
          <w:sz w:val="21"/>
        </w:rPr>
        <w:t>El</w:t>
      </w:r>
      <w:r>
        <w:rPr>
          <w:i/>
          <w:color w:val="231F20"/>
          <w:spacing w:val="-23"/>
          <w:w w:val="105"/>
          <w:sz w:val="21"/>
        </w:rPr>
        <w:t> </w:t>
      </w:r>
      <w:r>
        <w:rPr>
          <w:i/>
          <w:color w:val="231F20"/>
          <w:w w:val="105"/>
          <w:sz w:val="21"/>
        </w:rPr>
        <w:t>desafío</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crear</w:t>
      </w:r>
      <w:r>
        <w:rPr>
          <w:i/>
          <w:color w:val="231F20"/>
          <w:spacing w:val="-23"/>
          <w:w w:val="105"/>
          <w:sz w:val="21"/>
        </w:rPr>
        <w:t> </w:t>
      </w:r>
      <w:r>
        <w:rPr>
          <w:i/>
          <w:color w:val="231F20"/>
          <w:w w:val="105"/>
          <w:sz w:val="21"/>
        </w:rPr>
        <w:t>universidades</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rango</w:t>
      </w:r>
      <w:r>
        <w:rPr>
          <w:i/>
          <w:color w:val="231F20"/>
          <w:spacing w:val="-23"/>
          <w:w w:val="105"/>
          <w:sz w:val="21"/>
        </w:rPr>
        <w:t> </w:t>
      </w:r>
      <w:r>
        <w:rPr>
          <w:i/>
          <w:color w:val="231F20"/>
          <w:w w:val="105"/>
          <w:sz w:val="21"/>
        </w:rPr>
        <w:t>mundial</w:t>
      </w:r>
      <w:r>
        <w:rPr>
          <w:color w:val="231F20"/>
          <w:w w:val="105"/>
          <w:sz w:val="21"/>
        </w:rPr>
        <w:t>.</w:t>
      </w:r>
      <w:r>
        <w:rPr>
          <w:color w:val="231F20"/>
          <w:spacing w:val="-28"/>
          <w:w w:val="105"/>
          <w:sz w:val="21"/>
        </w:rPr>
        <w:t> </w:t>
      </w:r>
      <w:r>
        <w:rPr>
          <w:color w:val="231F20"/>
          <w:w w:val="105"/>
          <w:sz w:val="21"/>
        </w:rPr>
        <w:t>Co- lombia: Banco Mundial. Recuperado de: </w:t>
      </w:r>
      <w:hyperlink r:id="rId39">
        <w:r>
          <w:rPr>
            <w:color w:val="231F20"/>
            <w:w w:val="105"/>
            <w:sz w:val="21"/>
          </w:rPr>
          <w:t>http://www.cna.gov.</w:t>
        </w:r>
      </w:hyperlink>
      <w:r>
        <w:rPr>
          <w:color w:val="231F20"/>
          <w:w w:val="105"/>
          <w:sz w:val="21"/>
        </w:rPr>
        <w:t> co/1741/articles-311056_UniMundial.pdf</w:t>
      </w:r>
    </w:p>
    <w:p>
      <w:pPr>
        <w:spacing w:line="259" w:lineRule="auto" w:before="0"/>
        <w:ind w:left="840" w:right="115" w:hanging="738"/>
        <w:jc w:val="both"/>
        <w:rPr>
          <w:sz w:val="21"/>
        </w:rPr>
      </w:pPr>
      <w:r>
        <w:rPr>
          <w:color w:val="231F20"/>
          <w:w w:val="105"/>
          <w:sz w:val="21"/>
        </w:rPr>
        <w:t>Sarrico,</w:t>
      </w:r>
      <w:r>
        <w:rPr>
          <w:color w:val="231F20"/>
          <w:spacing w:val="-42"/>
          <w:w w:val="105"/>
          <w:sz w:val="21"/>
        </w:rPr>
        <w:t> </w:t>
      </w:r>
      <w:r>
        <w:rPr>
          <w:color w:val="231F20"/>
          <w:w w:val="105"/>
          <w:sz w:val="21"/>
        </w:rPr>
        <w:t>C.,</w:t>
      </w:r>
      <w:r>
        <w:rPr>
          <w:color w:val="231F20"/>
          <w:spacing w:val="-42"/>
          <w:w w:val="105"/>
          <w:sz w:val="21"/>
        </w:rPr>
        <w:t> </w:t>
      </w:r>
      <w:r>
        <w:rPr>
          <w:color w:val="231F20"/>
          <w:w w:val="105"/>
          <w:sz w:val="21"/>
        </w:rPr>
        <w:t>Rosa,</w:t>
      </w:r>
      <w:r>
        <w:rPr>
          <w:color w:val="231F20"/>
          <w:spacing w:val="-42"/>
          <w:w w:val="105"/>
          <w:sz w:val="21"/>
        </w:rPr>
        <w:t> </w:t>
      </w:r>
      <w:r>
        <w:rPr>
          <w:color w:val="231F20"/>
          <w:w w:val="105"/>
          <w:sz w:val="21"/>
        </w:rPr>
        <w:t>M.,</w:t>
      </w:r>
      <w:r>
        <w:rPr>
          <w:color w:val="231F20"/>
          <w:spacing w:val="-44"/>
          <w:w w:val="105"/>
          <w:sz w:val="21"/>
        </w:rPr>
        <w:t> </w:t>
      </w:r>
      <w:r>
        <w:rPr>
          <w:color w:val="231F20"/>
          <w:spacing w:val="-3"/>
          <w:w w:val="105"/>
          <w:sz w:val="21"/>
        </w:rPr>
        <w:t>Teixeira,</w:t>
      </w:r>
      <w:r>
        <w:rPr>
          <w:color w:val="231F20"/>
          <w:spacing w:val="-42"/>
          <w:w w:val="105"/>
          <w:sz w:val="21"/>
        </w:rPr>
        <w:t> </w:t>
      </w:r>
      <w:r>
        <w:rPr>
          <w:color w:val="231F20"/>
          <w:spacing w:val="-11"/>
          <w:w w:val="105"/>
          <w:sz w:val="21"/>
        </w:rPr>
        <w:t>P.,</w:t>
      </w:r>
      <w:r>
        <w:rPr>
          <w:color w:val="231F20"/>
          <w:spacing w:val="-42"/>
          <w:w w:val="105"/>
          <w:sz w:val="21"/>
        </w:rPr>
        <w:t> </w:t>
      </w:r>
      <w:r>
        <w:rPr>
          <w:color w:val="231F20"/>
          <w:w w:val="105"/>
          <w:sz w:val="21"/>
        </w:rPr>
        <w:t>y</w:t>
      </w:r>
      <w:r>
        <w:rPr>
          <w:color w:val="231F20"/>
          <w:spacing w:val="-39"/>
          <w:w w:val="105"/>
          <w:sz w:val="21"/>
        </w:rPr>
        <w:t> </w:t>
      </w:r>
      <w:r>
        <w:rPr>
          <w:color w:val="231F20"/>
          <w:w w:val="105"/>
          <w:sz w:val="21"/>
        </w:rPr>
        <w:t>Cardoso,</w:t>
      </w:r>
      <w:r>
        <w:rPr>
          <w:color w:val="231F20"/>
          <w:spacing w:val="-42"/>
          <w:w w:val="105"/>
          <w:sz w:val="21"/>
        </w:rPr>
        <w:t> </w:t>
      </w:r>
      <w:r>
        <w:rPr>
          <w:color w:val="231F20"/>
          <w:w w:val="105"/>
          <w:sz w:val="21"/>
        </w:rPr>
        <w:t>M.</w:t>
      </w:r>
      <w:r>
        <w:rPr>
          <w:color w:val="231F20"/>
          <w:spacing w:val="-42"/>
          <w:w w:val="105"/>
          <w:sz w:val="21"/>
        </w:rPr>
        <w:t> </w:t>
      </w:r>
      <w:r>
        <w:rPr>
          <w:color w:val="231F20"/>
          <w:w w:val="105"/>
          <w:sz w:val="21"/>
        </w:rPr>
        <w:t>(2010).</w:t>
      </w:r>
      <w:r>
        <w:rPr>
          <w:color w:val="231F20"/>
          <w:spacing w:val="-42"/>
          <w:w w:val="105"/>
          <w:sz w:val="21"/>
        </w:rPr>
        <w:t> </w:t>
      </w:r>
      <w:r>
        <w:rPr>
          <w:color w:val="231F20"/>
          <w:w w:val="105"/>
          <w:sz w:val="21"/>
        </w:rPr>
        <w:t>“Assessing</w:t>
      </w:r>
      <w:r>
        <w:rPr>
          <w:color w:val="231F20"/>
          <w:spacing w:val="-39"/>
          <w:w w:val="105"/>
          <w:sz w:val="21"/>
        </w:rPr>
        <w:t> </w:t>
      </w:r>
      <w:r>
        <w:rPr>
          <w:color w:val="231F20"/>
          <w:w w:val="105"/>
          <w:sz w:val="21"/>
        </w:rPr>
        <w:t>Quality and Evaluating Performance in Higher Education: Worlds Apart or</w:t>
      </w:r>
      <w:r>
        <w:rPr>
          <w:color w:val="231F20"/>
          <w:spacing w:val="-32"/>
          <w:w w:val="105"/>
          <w:sz w:val="21"/>
        </w:rPr>
        <w:t> </w:t>
      </w:r>
      <w:r>
        <w:rPr>
          <w:color w:val="231F20"/>
          <w:w w:val="105"/>
          <w:sz w:val="21"/>
        </w:rPr>
        <w:t>Complementary</w:t>
      </w:r>
      <w:r>
        <w:rPr>
          <w:color w:val="231F20"/>
          <w:spacing w:val="-34"/>
          <w:w w:val="105"/>
          <w:sz w:val="21"/>
        </w:rPr>
        <w:t> </w:t>
      </w:r>
      <w:r>
        <w:rPr>
          <w:color w:val="231F20"/>
          <w:spacing w:val="-4"/>
          <w:w w:val="105"/>
          <w:sz w:val="21"/>
        </w:rPr>
        <w:t>Views?”.</w:t>
      </w:r>
      <w:r>
        <w:rPr>
          <w:color w:val="231F20"/>
          <w:spacing w:val="-35"/>
          <w:w w:val="105"/>
          <w:sz w:val="21"/>
        </w:rPr>
        <w:t> </w:t>
      </w:r>
      <w:r>
        <w:rPr>
          <w:i/>
          <w:color w:val="231F20"/>
          <w:w w:val="105"/>
          <w:sz w:val="21"/>
        </w:rPr>
        <w:t>Minerva:</w:t>
      </w:r>
      <w:r>
        <w:rPr>
          <w:i/>
          <w:color w:val="231F20"/>
          <w:spacing w:val="-34"/>
          <w:w w:val="105"/>
          <w:sz w:val="21"/>
        </w:rPr>
        <w:t> </w:t>
      </w:r>
      <w:r>
        <w:rPr>
          <w:i/>
          <w:color w:val="231F20"/>
          <w:w w:val="105"/>
          <w:sz w:val="21"/>
        </w:rPr>
        <w:t>A</w:t>
      </w:r>
      <w:r>
        <w:rPr>
          <w:i/>
          <w:color w:val="231F20"/>
          <w:spacing w:val="-34"/>
          <w:w w:val="105"/>
          <w:sz w:val="21"/>
        </w:rPr>
        <w:t> </w:t>
      </w:r>
      <w:r>
        <w:rPr>
          <w:i/>
          <w:color w:val="231F20"/>
          <w:w w:val="105"/>
          <w:sz w:val="21"/>
        </w:rPr>
        <w:t>Review</w:t>
      </w:r>
      <w:r>
        <w:rPr>
          <w:i/>
          <w:color w:val="231F20"/>
          <w:spacing w:val="-32"/>
          <w:w w:val="105"/>
          <w:sz w:val="21"/>
        </w:rPr>
        <w:t> </w:t>
      </w:r>
      <w:r>
        <w:rPr>
          <w:i/>
          <w:color w:val="231F20"/>
          <w:w w:val="105"/>
          <w:sz w:val="21"/>
        </w:rPr>
        <w:t>of</w:t>
      </w:r>
      <w:r>
        <w:rPr>
          <w:i/>
          <w:color w:val="231F20"/>
          <w:spacing w:val="-29"/>
          <w:w w:val="105"/>
          <w:sz w:val="21"/>
        </w:rPr>
        <w:t> </w:t>
      </w:r>
      <w:r>
        <w:rPr>
          <w:i/>
          <w:color w:val="231F20"/>
          <w:w w:val="105"/>
          <w:sz w:val="21"/>
        </w:rPr>
        <w:t>Science,</w:t>
      </w:r>
      <w:r>
        <w:rPr>
          <w:i/>
          <w:color w:val="231F20"/>
          <w:spacing w:val="-35"/>
          <w:w w:val="105"/>
          <w:sz w:val="21"/>
        </w:rPr>
        <w:t> </w:t>
      </w:r>
      <w:r>
        <w:rPr>
          <w:i/>
          <w:color w:val="231F20"/>
          <w:w w:val="105"/>
          <w:sz w:val="21"/>
        </w:rPr>
        <w:t>Learn- </w:t>
      </w:r>
      <w:r>
        <w:rPr>
          <w:i/>
          <w:color w:val="231F20"/>
          <w:w w:val="105"/>
          <w:sz w:val="21"/>
        </w:rPr>
        <w:t>ing</w:t>
      </w:r>
      <w:r>
        <w:rPr>
          <w:i/>
          <w:color w:val="231F20"/>
          <w:spacing w:val="-18"/>
          <w:w w:val="105"/>
          <w:sz w:val="21"/>
        </w:rPr>
        <w:t> </w:t>
      </w:r>
      <w:r>
        <w:rPr>
          <w:i/>
          <w:color w:val="231F20"/>
          <w:w w:val="105"/>
          <w:sz w:val="21"/>
        </w:rPr>
        <w:t>y</w:t>
      </w:r>
      <w:r>
        <w:rPr>
          <w:i/>
          <w:color w:val="231F20"/>
          <w:spacing w:val="-18"/>
          <w:w w:val="105"/>
          <w:sz w:val="21"/>
        </w:rPr>
        <w:t> </w:t>
      </w:r>
      <w:r>
        <w:rPr>
          <w:i/>
          <w:color w:val="231F20"/>
          <w:spacing w:val="-4"/>
          <w:w w:val="105"/>
          <w:sz w:val="21"/>
        </w:rPr>
        <w:t>Policy,</w:t>
      </w:r>
      <w:r>
        <w:rPr>
          <w:i/>
          <w:color w:val="231F20"/>
          <w:spacing w:val="-24"/>
          <w:w w:val="105"/>
          <w:sz w:val="21"/>
        </w:rPr>
        <w:t> </w:t>
      </w:r>
      <w:r>
        <w:rPr>
          <w:color w:val="231F20"/>
          <w:spacing w:val="-3"/>
          <w:w w:val="105"/>
          <w:sz w:val="21"/>
        </w:rPr>
        <w:t>Vol.</w:t>
      </w:r>
      <w:r>
        <w:rPr>
          <w:color w:val="231F20"/>
          <w:spacing w:val="-24"/>
          <w:w w:val="105"/>
          <w:sz w:val="21"/>
        </w:rPr>
        <w:t> </w:t>
      </w:r>
      <w:r>
        <w:rPr>
          <w:i/>
          <w:color w:val="231F20"/>
          <w:w w:val="105"/>
          <w:sz w:val="21"/>
        </w:rPr>
        <w:t>48</w:t>
      </w:r>
      <w:r>
        <w:rPr>
          <w:color w:val="231F20"/>
          <w:w w:val="105"/>
          <w:sz w:val="21"/>
        </w:rPr>
        <w:t>,</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1,</w:t>
      </w:r>
      <w:r>
        <w:rPr>
          <w:color w:val="231F20"/>
          <w:spacing w:val="-24"/>
          <w:w w:val="105"/>
          <w:sz w:val="21"/>
        </w:rPr>
        <w:t> </w:t>
      </w:r>
      <w:r>
        <w:rPr>
          <w:color w:val="231F20"/>
          <w:w w:val="105"/>
          <w:sz w:val="21"/>
        </w:rPr>
        <w:t>pp.</w:t>
      </w:r>
      <w:r>
        <w:rPr>
          <w:color w:val="231F20"/>
          <w:spacing w:val="-24"/>
          <w:w w:val="105"/>
          <w:sz w:val="21"/>
        </w:rPr>
        <w:t> </w:t>
      </w:r>
      <w:r>
        <w:rPr>
          <w:color w:val="231F20"/>
          <w:w w:val="105"/>
          <w:sz w:val="21"/>
        </w:rPr>
        <w:t>35-54.</w:t>
      </w:r>
    </w:p>
    <w:p>
      <w:pPr>
        <w:pStyle w:val="BodyText"/>
        <w:spacing w:line="259" w:lineRule="auto"/>
        <w:ind w:left="840" w:right="109" w:hanging="738"/>
        <w:jc w:val="both"/>
      </w:pPr>
      <w:r>
        <w:rPr>
          <w:color w:val="231F20"/>
          <w:w w:val="105"/>
        </w:rPr>
        <w:t>Shin,</w:t>
      </w:r>
      <w:r>
        <w:rPr>
          <w:color w:val="231F20"/>
          <w:spacing w:val="-20"/>
          <w:w w:val="105"/>
        </w:rPr>
        <w:t> </w:t>
      </w:r>
      <w:r>
        <w:rPr>
          <w:color w:val="231F20"/>
          <w:w w:val="105"/>
        </w:rPr>
        <w:t>J.</w:t>
      </w:r>
      <w:r>
        <w:rPr>
          <w:color w:val="231F20"/>
          <w:spacing w:val="-18"/>
          <w:w w:val="105"/>
        </w:rPr>
        <w:t> </w:t>
      </w:r>
      <w:r>
        <w:rPr>
          <w:color w:val="231F20"/>
          <w:w w:val="105"/>
        </w:rPr>
        <w:t>(2009).</w:t>
      </w:r>
      <w:r>
        <w:rPr>
          <w:color w:val="231F20"/>
          <w:spacing w:val="-18"/>
          <w:w w:val="105"/>
        </w:rPr>
        <w:t> </w:t>
      </w:r>
      <w:r>
        <w:rPr>
          <w:color w:val="231F20"/>
          <w:w w:val="105"/>
        </w:rPr>
        <w:t>“Classifying</w:t>
      </w:r>
      <w:r>
        <w:rPr>
          <w:color w:val="231F20"/>
          <w:spacing w:val="-13"/>
          <w:w w:val="105"/>
        </w:rPr>
        <w:t> </w:t>
      </w:r>
      <w:r>
        <w:rPr>
          <w:color w:val="231F20"/>
          <w:w w:val="105"/>
        </w:rPr>
        <w:t>higher</w:t>
      </w:r>
      <w:r>
        <w:rPr>
          <w:color w:val="231F20"/>
          <w:spacing w:val="-13"/>
          <w:w w:val="105"/>
        </w:rPr>
        <w:t> </w:t>
      </w:r>
      <w:r>
        <w:rPr>
          <w:color w:val="231F20"/>
          <w:w w:val="105"/>
        </w:rPr>
        <w:t>education</w:t>
      </w:r>
      <w:r>
        <w:rPr>
          <w:color w:val="231F20"/>
          <w:spacing w:val="-13"/>
          <w:w w:val="105"/>
        </w:rPr>
        <w:t> </w:t>
      </w:r>
      <w:r>
        <w:rPr>
          <w:color w:val="231F20"/>
          <w:w w:val="105"/>
        </w:rPr>
        <w:t>institutions</w:t>
      </w:r>
      <w:r>
        <w:rPr>
          <w:color w:val="231F20"/>
          <w:spacing w:val="-13"/>
          <w:w w:val="105"/>
        </w:rPr>
        <w:t> </w:t>
      </w:r>
      <w:r>
        <w:rPr>
          <w:color w:val="231F20"/>
          <w:w w:val="105"/>
        </w:rPr>
        <w:t>in</w:t>
      </w:r>
      <w:r>
        <w:rPr>
          <w:color w:val="231F20"/>
          <w:spacing w:val="-13"/>
          <w:w w:val="105"/>
        </w:rPr>
        <w:t> </w:t>
      </w:r>
      <w:r>
        <w:rPr>
          <w:color w:val="231F20"/>
          <w:spacing w:val="-3"/>
          <w:w w:val="105"/>
        </w:rPr>
        <w:t>Korea:</w:t>
      </w:r>
      <w:r>
        <w:rPr>
          <w:color w:val="231F20"/>
          <w:spacing w:val="-13"/>
          <w:w w:val="105"/>
        </w:rPr>
        <w:t> </w:t>
      </w:r>
      <w:r>
        <w:rPr>
          <w:color w:val="231F20"/>
          <w:w w:val="105"/>
        </w:rPr>
        <w:t>a</w:t>
      </w:r>
      <w:r>
        <w:rPr>
          <w:color w:val="231F20"/>
          <w:spacing w:val="-13"/>
          <w:w w:val="105"/>
        </w:rPr>
        <w:t> </w:t>
      </w:r>
      <w:r>
        <w:rPr>
          <w:color w:val="231F20"/>
          <w:w w:val="105"/>
        </w:rPr>
        <w:t>per- formance-based </w:t>
      </w:r>
      <w:r>
        <w:rPr>
          <w:color w:val="231F20"/>
          <w:spacing w:val="-3"/>
          <w:w w:val="105"/>
        </w:rPr>
        <w:t>approach”. </w:t>
      </w:r>
      <w:r>
        <w:rPr>
          <w:i/>
          <w:color w:val="231F20"/>
          <w:w w:val="105"/>
        </w:rPr>
        <w:t>Higher Education, </w:t>
      </w:r>
      <w:r>
        <w:rPr>
          <w:color w:val="231F20"/>
          <w:spacing w:val="-3"/>
          <w:w w:val="105"/>
        </w:rPr>
        <w:t>Vol. </w:t>
      </w:r>
      <w:r>
        <w:rPr>
          <w:i/>
          <w:color w:val="231F20"/>
          <w:w w:val="105"/>
        </w:rPr>
        <w:t>57</w:t>
      </w:r>
      <w:r>
        <w:rPr>
          <w:color w:val="231F20"/>
          <w:w w:val="105"/>
        </w:rPr>
        <w:t>, Núm. 2, pp.</w:t>
      </w:r>
      <w:r>
        <w:rPr>
          <w:color w:val="231F20"/>
          <w:spacing w:val="-22"/>
          <w:w w:val="105"/>
        </w:rPr>
        <w:t> </w:t>
      </w:r>
      <w:r>
        <w:rPr>
          <w:color w:val="231F20"/>
          <w:w w:val="105"/>
        </w:rPr>
        <w:t>247-266.</w:t>
      </w:r>
    </w:p>
    <w:p>
      <w:pPr>
        <w:spacing w:line="259" w:lineRule="auto" w:before="0"/>
        <w:ind w:left="840" w:right="115" w:hanging="738"/>
        <w:jc w:val="both"/>
        <w:rPr>
          <w:sz w:val="21"/>
        </w:rPr>
      </w:pPr>
      <w:r>
        <w:rPr>
          <w:color w:val="231F20"/>
          <w:sz w:val="21"/>
        </w:rPr>
        <w:t>Steed, C. (2003). EFQM Excellence Model. Higher Education Version 2003 </w:t>
      </w:r>
      <w:r>
        <w:rPr>
          <w:i/>
          <w:color w:val="231F20"/>
          <w:sz w:val="21"/>
        </w:rPr>
        <w:t>Adapted from the EFQM Excellence Model 2003 Public and </w:t>
      </w:r>
      <w:r>
        <w:rPr>
          <w:i/>
          <w:color w:val="231F20"/>
          <w:sz w:val="21"/>
        </w:rPr>
        <w:t>Voluntary Sector Version</w:t>
      </w:r>
      <w:r>
        <w:rPr>
          <w:color w:val="231F20"/>
          <w:sz w:val="21"/>
        </w:rPr>
        <w:t>. Sheffield Reino Unido: Sheffield Hallam University.</w:t>
      </w:r>
    </w:p>
    <w:p>
      <w:pPr>
        <w:spacing w:line="259" w:lineRule="auto" w:before="0"/>
        <w:ind w:left="840" w:right="115" w:hanging="737"/>
        <w:jc w:val="both"/>
        <w:rPr>
          <w:sz w:val="21"/>
        </w:rPr>
      </w:pPr>
      <w:r>
        <w:rPr>
          <w:color w:val="231F20"/>
          <w:spacing w:val="-3"/>
          <w:w w:val="105"/>
          <w:sz w:val="21"/>
        </w:rPr>
        <w:t>Talbot, </w:t>
      </w:r>
      <w:r>
        <w:rPr>
          <w:color w:val="231F20"/>
          <w:w w:val="105"/>
          <w:sz w:val="21"/>
        </w:rPr>
        <w:t>C. (2010). </w:t>
      </w:r>
      <w:r>
        <w:rPr>
          <w:i/>
          <w:color w:val="231F20"/>
          <w:w w:val="105"/>
          <w:sz w:val="21"/>
        </w:rPr>
        <w:t>Theories of Performance. Organizational and</w:t>
      </w:r>
      <w:r>
        <w:rPr>
          <w:i/>
          <w:color w:val="231F20"/>
          <w:spacing w:val="-37"/>
          <w:w w:val="105"/>
          <w:sz w:val="21"/>
        </w:rPr>
        <w:t> </w:t>
      </w:r>
      <w:r>
        <w:rPr>
          <w:i/>
          <w:color w:val="231F20"/>
          <w:w w:val="105"/>
          <w:sz w:val="21"/>
        </w:rPr>
        <w:t>Service </w:t>
      </w:r>
      <w:r>
        <w:rPr>
          <w:i/>
          <w:color w:val="231F20"/>
          <w:w w:val="105"/>
          <w:sz w:val="21"/>
        </w:rPr>
        <w:t>Improvement</w:t>
      </w:r>
      <w:r>
        <w:rPr>
          <w:i/>
          <w:color w:val="231F20"/>
          <w:spacing w:val="-22"/>
          <w:w w:val="105"/>
          <w:sz w:val="21"/>
        </w:rPr>
        <w:t> </w:t>
      </w:r>
      <w:r>
        <w:rPr>
          <w:i/>
          <w:color w:val="231F20"/>
          <w:w w:val="105"/>
          <w:sz w:val="21"/>
        </w:rPr>
        <w:t>in</w:t>
      </w:r>
      <w:r>
        <w:rPr>
          <w:i/>
          <w:color w:val="231F20"/>
          <w:spacing w:val="-22"/>
          <w:w w:val="105"/>
          <w:sz w:val="21"/>
        </w:rPr>
        <w:t> </w:t>
      </w:r>
      <w:r>
        <w:rPr>
          <w:i/>
          <w:color w:val="231F20"/>
          <w:w w:val="105"/>
          <w:sz w:val="21"/>
        </w:rPr>
        <w:t>the</w:t>
      </w:r>
      <w:r>
        <w:rPr>
          <w:i/>
          <w:color w:val="231F20"/>
          <w:spacing w:val="-22"/>
          <w:w w:val="105"/>
          <w:sz w:val="21"/>
        </w:rPr>
        <w:t> </w:t>
      </w:r>
      <w:r>
        <w:rPr>
          <w:i/>
          <w:color w:val="231F20"/>
          <w:w w:val="105"/>
          <w:sz w:val="21"/>
        </w:rPr>
        <w:t>Public</w:t>
      </w:r>
      <w:r>
        <w:rPr>
          <w:i/>
          <w:color w:val="231F20"/>
          <w:spacing w:val="-22"/>
          <w:w w:val="105"/>
          <w:sz w:val="21"/>
        </w:rPr>
        <w:t> </w:t>
      </w:r>
      <w:r>
        <w:rPr>
          <w:i/>
          <w:color w:val="231F20"/>
          <w:w w:val="105"/>
          <w:sz w:val="21"/>
        </w:rPr>
        <w:t>Domain</w:t>
      </w:r>
      <w:r>
        <w:rPr>
          <w:color w:val="231F20"/>
          <w:w w:val="105"/>
          <w:sz w:val="21"/>
        </w:rPr>
        <w:t>.</w:t>
      </w:r>
      <w:r>
        <w:rPr>
          <w:color w:val="231F20"/>
          <w:spacing w:val="-26"/>
          <w:w w:val="105"/>
          <w:sz w:val="21"/>
        </w:rPr>
        <w:t> </w:t>
      </w:r>
      <w:r>
        <w:rPr>
          <w:color w:val="231F20"/>
          <w:w w:val="105"/>
          <w:sz w:val="21"/>
        </w:rPr>
        <w:t>Oxford</w:t>
      </w:r>
      <w:r>
        <w:rPr>
          <w:color w:val="231F20"/>
          <w:spacing w:val="-22"/>
          <w:w w:val="105"/>
          <w:sz w:val="21"/>
        </w:rPr>
        <w:t> </w:t>
      </w:r>
      <w:r>
        <w:rPr>
          <w:color w:val="231F20"/>
          <w:w w:val="105"/>
          <w:sz w:val="21"/>
        </w:rPr>
        <w:t>University</w:t>
      </w:r>
      <w:r>
        <w:rPr>
          <w:color w:val="231F20"/>
          <w:spacing w:val="-22"/>
          <w:w w:val="105"/>
          <w:sz w:val="21"/>
        </w:rPr>
        <w:t> </w:t>
      </w:r>
      <w:r>
        <w:rPr>
          <w:color w:val="231F20"/>
          <w:spacing w:val="-3"/>
          <w:w w:val="105"/>
          <w:sz w:val="21"/>
        </w:rPr>
        <w:t>Press,</w:t>
      </w:r>
      <w:r>
        <w:rPr>
          <w:color w:val="231F20"/>
          <w:spacing w:val="-26"/>
          <w:w w:val="105"/>
          <w:sz w:val="21"/>
        </w:rPr>
        <w:t> </w:t>
      </w:r>
      <w:r>
        <w:rPr>
          <w:color w:val="231F20"/>
          <w:w w:val="105"/>
          <w:sz w:val="21"/>
        </w:rPr>
        <w:t>New </w:t>
      </w:r>
      <w:r>
        <w:rPr>
          <w:color w:val="231F20"/>
          <w:spacing w:val="-4"/>
          <w:w w:val="105"/>
          <w:sz w:val="21"/>
        </w:rPr>
        <w:t>York.</w:t>
      </w:r>
    </w:p>
    <w:p>
      <w:pPr>
        <w:pStyle w:val="BodyText"/>
        <w:spacing w:line="259" w:lineRule="auto"/>
        <w:ind w:left="840" w:right="115" w:hanging="738"/>
        <w:jc w:val="both"/>
      </w:pPr>
      <w:r>
        <w:rPr>
          <w:color w:val="231F20"/>
          <w:spacing w:val="-5"/>
          <w:w w:val="105"/>
        </w:rPr>
        <w:t>Talwar,</w:t>
      </w:r>
      <w:r>
        <w:rPr>
          <w:color w:val="231F20"/>
          <w:spacing w:val="-25"/>
          <w:w w:val="105"/>
        </w:rPr>
        <w:t> </w:t>
      </w:r>
      <w:r>
        <w:rPr>
          <w:color w:val="231F20"/>
          <w:w w:val="105"/>
        </w:rPr>
        <w:t>B.</w:t>
      </w:r>
      <w:r>
        <w:rPr>
          <w:color w:val="231F20"/>
          <w:spacing w:val="-25"/>
          <w:w w:val="105"/>
        </w:rPr>
        <w:t> </w:t>
      </w:r>
      <w:r>
        <w:rPr>
          <w:color w:val="231F20"/>
          <w:w w:val="105"/>
        </w:rPr>
        <w:t>(2011).</w:t>
      </w:r>
      <w:r>
        <w:rPr>
          <w:color w:val="231F20"/>
          <w:spacing w:val="-25"/>
          <w:w w:val="105"/>
        </w:rPr>
        <w:t> </w:t>
      </w:r>
      <w:r>
        <w:rPr>
          <w:color w:val="231F20"/>
          <w:w w:val="105"/>
        </w:rPr>
        <w:t>“Business</w:t>
      </w:r>
      <w:r>
        <w:rPr>
          <w:color w:val="231F20"/>
          <w:spacing w:val="-21"/>
          <w:w w:val="105"/>
        </w:rPr>
        <w:t> </w:t>
      </w:r>
      <w:r>
        <w:rPr>
          <w:color w:val="231F20"/>
          <w:w w:val="105"/>
        </w:rPr>
        <w:t>excellence</w:t>
      </w:r>
      <w:r>
        <w:rPr>
          <w:color w:val="231F20"/>
          <w:spacing w:val="-21"/>
          <w:w w:val="105"/>
        </w:rPr>
        <w:t> </w:t>
      </w:r>
      <w:r>
        <w:rPr>
          <w:color w:val="231F20"/>
          <w:w w:val="105"/>
        </w:rPr>
        <w:t>models</w:t>
      </w:r>
      <w:r>
        <w:rPr>
          <w:color w:val="231F20"/>
          <w:spacing w:val="-21"/>
          <w:w w:val="105"/>
        </w:rPr>
        <w:t> </w:t>
      </w:r>
      <w:r>
        <w:rPr>
          <w:color w:val="231F20"/>
          <w:w w:val="105"/>
        </w:rPr>
        <w:t>and</w:t>
      </w:r>
      <w:r>
        <w:rPr>
          <w:color w:val="231F20"/>
          <w:spacing w:val="-21"/>
          <w:w w:val="105"/>
        </w:rPr>
        <w:t> </w:t>
      </w:r>
      <w:r>
        <w:rPr>
          <w:color w:val="231F20"/>
          <w:w w:val="105"/>
        </w:rPr>
        <w:t>the</w:t>
      </w:r>
      <w:r>
        <w:rPr>
          <w:color w:val="231F20"/>
          <w:spacing w:val="-21"/>
          <w:w w:val="105"/>
        </w:rPr>
        <w:t> </w:t>
      </w:r>
      <w:r>
        <w:rPr>
          <w:color w:val="231F20"/>
          <w:w w:val="105"/>
        </w:rPr>
        <w:t>path</w:t>
      </w:r>
      <w:r>
        <w:rPr>
          <w:color w:val="231F20"/>
          <w:spacing w:val="-21"/>
          <w:w w:val="105"/>
        </w:rPr>
        <w:t> </w:t>
      </w:r>
      <w:r>
        <w:rPr>
          <w:color w:val="231F20"/>
          <w:spacing w:val="-4"/>
          <w:w w:val="105"/>
        </w:rPr>
        <w:t>ahead”.</w:t>
      </w:r>
      <w:r>
        <w:rPr>
          <w:color w:val="231F20"/>
          <w:spacing w:val="-25"/>
          <w:w w:val="105"/>
        </w:rPr>
        <w:t> </w:t>
      </w:r>
      <w:r>
        <w:rPr>
          <w:i/>
          <w:color w:val="231F20"/>
          <w:w w:val="105"/>
        </w:rPr>
        <w:t>The </w:t>
      </w:r>
      <w:r>
        <w:rPr>
          <w:i/>
          <w:color w:val="231F20"/>
          <w:spacing w:val="-3"/>
          <w:w w:val="105"/>
        </w:rPr>
        <w:t>TQM</w:t>
      </w:r>
      <w:r>
        <w:rPr>
          <w:i/>
          <w:color w:val="231F20"/>
          <w:spacing w:val="-23"/>
          <w:w w:val="105"/>
        </w:rPr>
        <w:t> </w:t>
      </w:r>
      <w:r>
        <w:rPr>
          <w:i/>
          <w:color w:val="231F20"/>
          <w:w w:val="105"/>
        </w:rPr>
        <w:t>Journal,</w:t>
      </w:r>
      <w:r>
        <w:rPr>
          <w:i/>
          <w:color w:val="231F20"/>
          <w:spacing w:val="-26"/>
          <w:w w:val="105"/>
        </w:rPr>
        <w:t> </w:t>
      </w:r>
      <w:r>
        <w:rPr>
          <w:color w:val="231F20"/>
          <w:spacing w:val="-3"/>
          <w:w w:val="105"/>
        </w:rPr>
        <w:t>Vol.</w:t>
      </w:r>
      <w:r>
        <w:rPr>
          <w:color w:val="231F20"/>
          <w:spacing w:val="-26"/>
          <w:w w:val="105"/>
        </w:rPr>
        <w:t> </w:t>
      </w:r>
      <w:r>
        <w:rPr>
          <w:i/>
          <w:color w:val="231F20"/>
          <w:w w:val="105"/>
        </w:rPr>
        <w:t>23</w:t>
      </w:r>
      <w:r>
        <w:rPr>
          <w:color w:val="231F20"/>
          <w:w w:val="105"/>
        </w:rPr>
        <w:t>,</w:t>
      </w:r>
      <w:r>
        <w:rPr>
          <w:color w:val="231F20"/>
          <w:spacing w:val="-26"/>
          <w:w w:val="105"/>
        </w:rPr>
        <w:t> </w:t>
      </w:r>
      <w:r>
        <w:rPr>
          <w:color w:val="231F20"/>
          <w:w w:val="105"/>
        </w:rPr>
        <w:t>Núm.</w:t>
      </w:r>
      <w:r>
        <w:rPr>
          <w:color w:val="231F20"/>
          <w:spacing w:val="-26"/>
          <w:w w:val="105"/>
        </w:rPr>
        <w:t> </w:t>
      </w:r>
      <w:r>
        <w:rPr>
          <w:color w:val="231F20"/>
          <w:w w:val="105"/>
        </w:rPr>
        <w:t>1,</w:t>
      </w:r>
      <w:r>
        <w:rPr>
          <w:color w:val="231F20"/>
          <w:spacing w:val="-26"/>
          <w:w w:val="105"/>
        </w:rPr>
        <w:t> </w:t>
      </w:r>
      <w:r>
        <w:rPr>
          <w:color w:val="231F20"/>
          <w:w w:val="105"/>
        </w:rPr>
        <w:t>pp.</w:t>
      </w:r>
      <w:r>
        <w:rPr>
          <w:color w:val="231F20"/>
          <w:spacing w:val="-26"/>
          <w:w w:val="105"/>
        </w:rPr>
        <w:t> </w:t>
      </w:r>
      <w:r>
        <w:rPr>
          <w:color w:val="231F20"/>
          <w:w w:val="105"/>
        </w:rPr>
        <w:t>21-35.</w:t>
      </w:r>
    </w:p>
    <w:p>
      <w:pPr>
        <w:spacing w:line="259" w:lineRule="auto" w:before="0"/>
        <w:ind w:left="840" w:right="109" w:hanging="738"/>
        <w:jc w:val="both"/>
        <w:rPr>
          <w:sz w:val="21"/>
        </w:rPr>
      </w:pPr>
      <w:r>
        <w:rPr>
          <w:color w:val="231F20"/>
          <w:spacing w:val="-4"/>
          <w:w w:val="105"/>
          <w:sz w:val="21"/>
        </w:rPr>
        <w:t>Tambi,</w:t>
      </w:r>
      <w:r>
        <w:rPr>
          <w:color w:val="231F20"/>
          <w:spacing w:val="-17"/>
          <w:w w:val="105"/>
          <w:sz w:val="21"/>
        </w:rPr>
        <w:t> </w:t>
      </w:r>
      <w:r>
        <w:rPr>
          <w:color w:val="231F20"/>
          <w:w w:val="105"/>
          <w:sz w:val="21"/>
        </w:rPr>
        <w:t>A.</w:t>
      </w:r>
      <w:r>
        <w:rPr>
          <w:color w:val="231F20"/>
          <w:spacing w:val="-13"/>
          <w:w w:val="105"/>
          <w:sz w:val="21"/>
        </w:rPr>
        <w:t> </w:t>
      </w:r>
      <w:r>
        <w:rPr>
          <w:color w:val="231F20"/>
          <w:w w:val="105"/>
          <w:sz w:val="21"/>
        </w:rPr>
        <w:t>M.</w:t>
      </w:r>
      <w:r>
        <w:rPr>
          <w:color w:val="231F20"/>
          <w:spacing w:val="-13"/>
          <w:w w:val="105"/>
          <w:sz w:val="21"/>
        </w:rPr>
        <w:t> </w:t>
      </w:r>
      <w:r>
        <w:rPr>
          <w:color w:val="231F20"/>
          <w:w w:val="105"/>
          <w:sz w:val="21"/>
        </w:rPr>
        <w:t>B.</w:t>
      </w:r>
      <w:r>
        <w:rPr>
          <w:color w:val="231F20"/>
          <w:spacing w:val="-17"/>
          <w:w w:val="105"/>
          <w:sz w:val="21"/>
        </w:rPr>
        <w:t> </w:t>
      </w:r>
      <w:r>
        <w:rPr>
          <w:color w:val="231F20"/>
          <w:w w:val="105"/>
          <w:sz w:val="21"/>
        </w:rPr>
        <w:t>A.,</w:t>
      </w:r>
      <w:r>
        <w:rPr>
          <w:color w:val="231F20"/>
          <w:spacing w:val="-13"/>
          <w:w w:val="105"/>
          <w:sz w:val="21"/>
        </w:rPr>
        <w:t> </w:t>
      </w:r>
      <w:r>
        <w:rPr>
          <w:color w:val="231F20"/>
          <w:w w:val="105"/>
          <w:sz w:val="21"/>
        </w:rPr>
        <w:t>Ghazali,</w:t>
      </w:r>
      <w:r>
        <w:rPr>
          <w:color w:val="231F20"/>
          <w:spacing w:val="-13"/>
          <w:w w:val="105"/>
          <w:sz w:val="21"/>
        </w:rPr>
        <w:t> </w:t>
      </w:r>
      <w:r>
        <w:rPr>
          <w:color w:val="231F20"/>
          <w:w w:val="105"/>
          <w:sz w:val="21"/>
        </w:rPr>
        <w:t>M.</w:t>
      </w:r>
      <w:r>
        <w:rPr>
          <w:color w:val="231F20"/>
          <w:spacing w:val="-13"/>
          <w:w w:val="105"/>
          <w:sz w:val="21"/>
        </w:rPr>
        <w:t> </w:t>
      </w:r>
      <w:r>
        <w:rPr>
          <w:color w:val="231F20"/>
          <w:w w:val="105"/>
          <w:sz w:val="21"/>
        </w:rPr>
        <w:t>C.,</w:t>
      </w:r>
      <w:r>
        <w:rPr>
          <w:color w:val="231F20"/>
          <w:spacing w:val="-13"/>
          <w:w w:val="105"/>
          <w:sz w:val="21"/>
        </w:rPr>
        <w:t> </w:t>
      </w:r>
      <w:r>
        <w:rPr>
          <w:color w:val="231F20"/>
          <w:w w:val="105"/>
          <w:sz w:val="21"/>
        </w:rPr>
        <w:t>y</w:t>
      </w:r>
      <w:r>
        <w:rPr>
          <w:color w:val="231F20"/>
          <w:spacing w:val="-12"/>
          <w:w w:val="105"/>
          <w:sz w:val="21"/>
        </w:rPr>
        <w:t> </w:t>
      </w:r>
      <w:r>
        <w:rPr>
          <w:color w:val="231F20"/>
          <w:spacing w:val="-4"/>
          <w:w w:val="105"/>
          <w:sz w:val="21"/>
        </w:rPr>
        <w:t>Yahya,</w:t>
      </w:r>
      <w:r>
        <w:rPr>
          <w:color w:val="231F20"/>
          <w:spacing w:val="-13"/>
          <w:w w:val="105"/>
          <w:sz w:val="21"/>
        </w:rPr>
        <w:t> </w:t>
      </w:r>
      <w:r>
        <w:rPr>
          <w:color w:val="231F20"/>
          <w:w w:val="105"/>
          <w:sz w:val="21"/>
        </w:rPr>
        <w:t>N.</w:t>
      </w:r>
      <w:r>
        <w:rPr>
          <w:color w:val="231F20"/>
          <w:spacing w:val="-13"/>
          <w:w w:val="105"/>
          <w:sz w:val="21"/>
        </w:rPr>
        <w:t> </w:t>
      </w:r>
      <w:r>
        <w:rPr>
          <w:color w:val="231F20"/>
          <w:w w:val="105"/>
          <w:sz w:val="21"/>
        </w:rPr>
        <w:t>B.</w:t>
      </w:r>
      <w:r>
        <w:rPr>
          <w:color w:val="231F20"/>
          <w:spacing w:val="-13"/>
          <w:w w:val="105"/>
          <w:sz w:val="21"/>
        </w:rPr>
        <w:t> </w:t>
      </w:r>
      <w:r>
        <w:rPr>
          <w:color w:val="231F20"/>
          <w:w w:val="105"/>
          <w:sz w:val="21"/>
        </w:rPr>
        <w:t>(2008).</w:t>
      </w:r>
      <w:r>
        <w:rPr>
          <w:color w:val="231F20"/>
          <w:spacing w:val="-13"/>
          <w:w w:val="105"/>
          <w:sz w:val="21"/>
        </w:rPr>
        <w:t> </w:t>
      </w:r>
      <w:r>
        <w:rPr>
          <w:color w:val="231F20"/>
          <w:w w:val="105"/>
          <w:sz w:val="21"/>
        </w:rPr>
        <w:t>“The</w:t>
      </w:r>
      <w:r>
        <w:rPr>
          <w:color w:val="231F20"/>
          <w:spacing w:val="-8"/>
          <w:w w:val="105"/>
          <w:sz w:val="21"/>
        </w:rPr>
        <w:t> </w:t>
      </w:r>
      <w:r>
        <w:rPr>
          <w:color w:val="231F20"/>
          <w:w w:val="105"/>
          <w:sz w:val="21"/>
        </w:rPr>
        <w:t>ranking</w:t>
      </w:r>
      <w:r>
        <w:rPr>
          <w:color w:val="231F20"/>
          <w:spacing w:val="-8"/>
          <w:w w:val="105"/>
          <w:sz w:val="21"/>
        </w:rPr>
        <w:t> </w:t>
      </w:r>
      <w:r>
        <w:rPr>
          <w:color w:val="231F20"/>
          <w:w w:val="105"/>
          <w:sz w:val="21"/>
        </w:rPr>
        <w:t>of higher education institutions: A deduction or </w:t>
      </w:r>
      <w:r>
        <w:rPr>
          <w:color w:val="231F20"/>
          <w:spacing w:val="-3"/>
          <w:w w:val="105"/>
          <w:sz w:val="21"/>
        </w:rPr>
        <w:t>delusion?”. </w:t>
      </w:r>
      <w:r>
        <w:rPr>
          <w:i/>
          <w:color w:val="231F20"/>
          <w:spacing w:val="-5"/>
          <w:w w:val="105"/>
          <w:sz w:val="21"/>
        </w:rPr>
        <w:t>Total </w:t>
      </w:r>
      <w:r>
        <w:rPr>
          <w:i/>
          <w:color w:val="231F20"/>
          <w:w w:val="105"/>
          <w:sz w:val="21"/>
        </w:rPr>
        <w:t>Quality</w:t>
      </w:r>
      <w:r>
        <w:rPr>
          <w:i/>
          <w:color w:val="231F20"/>
          <w:spacing w:val="-30"/>
          <w:w w:val="105"/>
          <w:sz w:val="21"/>
        </w:rPr>
        <w:t> </w:t>
      </w:r>
      <w:r>
        <w:rPr>
          <w:i/>
          <w:color w:val="231F20"/>
          <w:w w:val="105"/>
          <w:sz w:val="21"/>
        </w:rPr>
        <w:t>Management</w:t>
      </w:r>
      <w:r>
        <w:rPr>
          <w:i/>
          <w:color w:val="231F20"/>
          <w:spacing w:val="-30"/>
          <w:w w:val="105"/>
          <w:sz w:val="21"/>
        </w:rPr>
        <w:t> </w:t>
      </w:r>
      <w:r>
        <w:rPr>
          <w:i/>
          <w:color w:val="231F20"/>
          <w:w w:val="105"/>
          <w:sz w:val="21"/>
        </w:rPr>
        <w:t>y</w:t>
      </w:r>
      <w:r>
        <w:rPr>
          <w:i/>
          <w:color w:val="231F20"/>
          <w:spacing w:val="-30"/>
          <w:w w:val="105"/>
          <w:sz w:val="21"/>
        </w:rPr>
        <w:t> </w:t>
      </w:r>
      <w:r>
        <w:rPr>
          <w:i/>
          <w:color w:val="231F20"/>
          <w:w w:val="105"/>
          <w:sz w:val="21"/>
        </w:rPr>
        <w:t>Business</w:t>
      </w:r>
      <w:r>
        <w:rPr>
          <w:i/>
          <w:color w:val="231F20"/>
          <w:spacing w:val="-30"/>
          <w:w w:val="105"/>
          <w:sz w:val="21"/>
        </w:rPr>
        <w:t> </w:t>
      </w:r>
      <w:r>
        <w:rPr>
          <w:i/>
          <w:color w:val="231F20"/>
          <w:w w:val="105"/>
          <w:sz w:val="21"/>
        </w:rPr>
        <w:t>Excellence,</w:t>
      </w:r>
      <w:r>
        <w:rPr>
          <w:i/>
          <w:color w:val="231F20"/>
          <w:spacing w:val="-34"/>
          <w:w w:val="105"/>
          <w:sz w:val="21"/>
        </w:rPr>
        <w:t> </w:t>
      </w:r>
      <w:r>
        <w:rPr>
          <w:color w:val="231F20"/>
          <w:spacing w:val="-3"/>
          <w:w w:val="105"/>
          <w:sz w:val="21"/>
        </w:rPr>
        <w:t>Vol.</w:t>
      </w:r>
      <w:r>
        <w:rPr>
          <w:color w:val="231F20"/>
          <w:spacing w:val="-34"/>
          <w:w w:val="105"/>
          <w:sz w:val="21"/>
        </w:rPr>
        <w:t> </w:t>
      </w:r>
      <w:r>
        <w:rPr>
          <w:i/>
          <w:color w:val="231F20"/>
          <w:w w:val="105"/>
          <w:sz w:val="21"/>
        </w:rPr>
        <w:t>19</w:t>
      </w:r>
      <w:r>
        <w:rPr>
          <w:color w:val="231F20"/>
          <w:w w:val="105"/>
          <w:sz w:val="21"/>
        </w:rPr>
        <w:t>,</w:t>
      </w:r>
      <w:r>
        <w:rPr>
          <w:color w:val="231F20"/>
          <w:spacing w:val="-34"/>
          <w:w w:val="105"/>
          <w:sz w:val="21"/>
        </w:rPr>
        <w:t> </w:t>
      </w:r>
      <w:r>
        <w:rPr>
          <w:color w:val="231F20"/>
          <w:w w:val="105"/>
          <w:sz w:val="21"/>
        </w:rPr>
        <w:t>Núm.</w:t>
      </w:r>
      <w:r>
        <w:rPr>
          <w:color w:val="231F20"/>
          <w:spacing w:val="-34"/>
          <w:w w:val="105"/>
          <w:sz w:val="21"/>
        </w:rPr>
        <w:t> </w:t>
      </w:r>
      <w:r>
        <w:rPr>
          <w:color w:val="231F20"/>
          <w:w w:val="105"/>
          <w:sz w:val="21"/>
        </w:rPr>
        <w:t>10,</w:t>
      </w:r>
      <w:r>
        <w:rPr>
          <w:color w:val="231F20"/>
          <w:spacing w:val="-34"/>
          <w:w w:val="105"/>
          <w:sz w:val="21"/>
        </w:rPr>
        <w:t> </w:t>
      </w:r>
      <w:r>
        <w:rPr>
          <w:color w:val="231F20"/>
          <w:w w:val="105"/>
          <w:sz w:val="21"/>
        </w:rPr>
        <w:t>pp. 997-1011.</w:t>
      </w:r>
    </w:p>
    <w:p>
      <w:pPr>
        <w:pStyle w:val="BodyText"/>
        <w:spacing w:line="259" w:lineRule="auto"/>
        <w:ind w:left="840" w:right="115" w:hanging="738"/>
        <w:jc w:val="both"/>
      </w:pPr>
      <w:r>
        <w:rPr>
          <w:color w:val="231F20"/>
        </w:rPr>
        <w:t>Wade, M., y Hulland, J. (2004). “The Resource-Based View and Informa- tion Systems Research: Review, Extension, and Suggestions for Future Research”. </w:t>
      </w:r>
      <w:r>
        <w:rPr>
          <w:i/>
          <w:color w:val="231F20"/>
        </w:rPr>
        <w:t>MIS Quarterly, </w:t>
      </w:r>
      <w:r>
        <w:rPr>
          <w:color w:val="231F20"/>
        </w:rPr>
        <w:t>Vol. </w:t>
      </w:r>
      <w:r>
        <w:rPr>
          <w:i/>
          <w:color w:val="231F20"/>
        </w:rPr>
        <w:t>28</w:t>
      </w:r>
      <w:r>
        <w:rPr>
          <w:color w:val="231F20"/>
        </w:rPr>
        <w:t>, Núm. 1, pp. 107-142.</w:t>
      </w:r>
    </w:p>
    <w:p>
      <w:pPr>
        <w:spacing w:line="259" w:lineRule="auto" w:before="0"/>
        <w:ind w:left="840" w:right="115" w:hanging="738"/>
        <w:jc w:val="both"/>
        <w:rPr>
          <w:sz w:val="21"/>
        </w:rPr>
      </w:pPr>
      <w:r>
        <w:rPr>
          <w:color w:val="231F20"/>
          <w:sz w:val="21"/>
        </w:rPr>
        <w:t>Wernerfelt, B. (1984). </w:t>
      </w:r>
      <w:r>
        <w:rPr>
          <w:color w:val="231F20"/>
          <w:spacing w:val="-8"/>
          <w:sz w:val="21"/>
        </w:rPr>
        <w:t>“A </w:t>
      </w:r>
      <w:r>
        <w:rPr>
          <w:color w:val="231F20"/>
          <w:sz w:val="21"/>
        </w:rPr>
        <w:t>Resource-based view of the </w:t>
      </w:r>
      <w:r>
        <w:rPr>
          <w:color w:val="231F20"/>
          <w:spacing w:val="-5"/>
          <w:sz w:val="21"/>
        </w:rPr>
        <w:t>firm”. </w:t>
      </w:r>
      <w:r>
        <w:rPr>
          <w:i/>
          <w:color w:val="231F20"/>
          <w:sz w:val="21"/>
        </w:rPr>
        <w:t>Strategic Man- </w:t>
      </w:r>
      <w:r>
        <w:rPr>
          <w:i/>
          <w:color w:val="231F20"/>
          <w:sz w:val="21"/>
        </w:rPr>
        <w:t>agement Journal, </w:t>
      </w:r>
      <w:r>
        <w:rPr>
          <w:color w:val="231F20"/>
          <w:spacing w:val="-3"/>
          <w:sz w:val="21"/>
        </w:rPr>
        <w:t>Vol. </w:t>
      </w:r>
      <w:r>
        <w:rPr>
          <w:i/>
          <w:color w:val="231F20"/>
          <w:sz w:val="21"/>
        </w:rPr>
        <w:t>5</w:t>
      </w:r>
      <w:r>
        <w:rPr>
          <w:color w:val="231F20"/>
          <w:sz w:val="21"/>
        </w:rPr>
        <w:t>, Núm. pp.</w:t>
      </w:r>
      <w:r>
        <w:rPr>
          <w:color w:val="231F20"/>
          <w:spacing w:val="56"/>
          <w:sz w:val="21"/>
        </w:rPr>
        <w:t> </w:t>
      </w:r>
      <w:r>
        <w:rPr>
          <w:color w:val="231F20"/>
          <w:sz w:val="21"/>
        </w:rPr>
        <w:t>171-180.</w:t>
      </w:r>
    </w:p>
    <w:p>
      <w:pPr>
        <w:pStyle w:val="BodyText"/>
        <w:spacing w:line="259" w:lineRule="auto"/>
        <w:ind w:left="840" w:right="109" w:hanging="738"/>
        <w:jc w:val="both"/>
      </w:pPr>
      <w:r>
        <w:rPr>
          <w:color w:val="231F20"/>
        </w:rPr>
        <w:t>Wu,</w:t>
      </w:r>
      <w:r>
        <w:rPr>
          <w:color w:val="231F20"/>
          <w:spacing w:val="-7"/>
        </w:rPr>
        <w:t> </w:t>
      </w:r>
      <w:r>
        <w:rPr>
          <w:color w:val="231F20"/>
          <w:spacing w:val="-8"/>
        </w:rPr>
        <w:t>H.-Y.,</w:t>
      </w:r>
      <w:r>
        <w:rPr>
          <w:color w:val="231F20"/>
          <w:spacing w:val="-7"/>
        </w:rPr>
        <w:t> </w:t>
      </w:r>
      <w:r>
        <w:rPr>
          <w:color w:val="231F20"/>
        </w:rPr>
        <w:t>Chen,</w:t>
      </w:r>
      <w:r>
        <w:rPr>
          <w:color w:val="231F20"/>
          <w:spacing w:val="-9"/>
        </w:rPr>
        <w:t> </w:t>
      </w:r>
      <w:r>
        <w:rPr>
          <w:color w:val="231F20"/>
        </w:rPr>
        <w:t>J.-K.,</w:t>
      </w:r>
      <w:r>
        <w:rPr>
          <w:color w:val="231F20"/>
          <w:spacing w:val="-7"/>
        </w:rPr>
        <w:t> </w:t>
      </w:r>
      <w:r>
        <w:rPr>
          <w:color w:val="231F20"/>
        </w:rPr>
        <w:t>Chen,</w:t>
      </w:r>
      <w:r>
        <w:rPr>
          <w:color w:val="231F20"/>
          <w:spacing w:val="-7"/>
        </w:rPr>
        <w:t> </w:t>
      </w:r>
      <w:r>
        <w:rPr>
          <w:color w:val="231F20"/>
        </w:rPr>
        <w:t>I.</w:t>
      </w:r>
      <w:r>
        <w:rPr>
          <w:color w:val="231F20"/>
          <w:spacing w:val="-7"/>
        </w:rPr>
        <w:t> </w:t>
      </w:r>
      <w:r>
        <w:rPr>
          <w:color w:val="231F20"/>
        </w:rPr>
        <w:t>S.,</w:t>
      </w:r>
      <w:r>
        <w:rPr>
          <w:color w:val="231F20"/>
          <w:spacing w:val="-7"/>
        </w:rPr>
        <w:t> </w:t>
      </w:r>
      <w:r>
        <w:rPr>
          <w:color w:val="231F20"/>
        </w:rPr>
        <w:t>y</w:t>
      </w:r>
      <w:r>
        <w:rPr>
          <w:color w:val="231F20"/>
          <w:spacing w:val="-2"/>
        </w:rPr>
        <w:t> </w:t>
      </w:r>
      <w:r>
        <w:rPr>
          <w:color w:val="231F20"/>
        </w:rPr>
        <w:t>Zhuo,</w:t>
      </w:r>
      <w:r>
        <w:rPr>
          <w:color w:val="231F20"/>
          <w:spacing w:val="-7"/>
        </w:rPr>
        <w:t> </w:t>
      </w:r>
      <w:r>
        <w:rPr>
          <w:color w:val="231F20"/>
        </w:rPr>
        <w:t>H.-H.</w:t>
      </w:r>
      <w:r>
        <w:rPr>
          <w:color w:val="231F20"/>
          <w:spacing w:val="-7"/>
        </w:rPr>
        <w:t> </w:t>
      </w:r>
      <w:r>
        <w:rPr>
          <w:color w:val="231F20"/>
        </w:rPr>
        <w:t>(2012).</w:t>
      </w:r>
      <w:r>
        <w:rPr>
          <w:color w:val="231F20"/>
          <w:spacing w:val="-7"/>
        </w:rPr>
        <w:t> </w:t>
      </w:r>
      <w:r>
        <w:rPr>
          <w:color w:val="231F20"/>
        </w:rPr>
        <w:t>“Ranking</w:t>
      </w:r>
      <w:r>
        <w:rPr>
          <w:color w:val="231F20"/>
          <w:spacing w:val="-2"/>
        </w:rPr>
        <w:t> </w:t>
      </w:r>
      <w:r>
        <w:rPr>
          <w:color w:val="231F20"/>
        </w:rPr>
        <w:t>universi- ties based on performance evaluation by a hybrid MCDM </w:t>
      </w:r>
      <w:r>
        <w:rPr>
          <w:color w:val="231F20"/>
          <w:spacing w:val="-4"/>
        </w:rPr>
        <w:t>model”.</w:t>
      </w:r>
      <w:r>
        <w:rPr>
          <w:color w:val="231F20"/>
          <w:spacing w:val="50"/>
        </w:rPr>
        <w:t> </w:t>
      </w:r>
      <w:r>
        <w:rPr>
          <w:i/>
          <w:color w:val="231F20"/>
        </w:rPr>
        <w:t>Measurement, </w:t>
      </w:r>
      <w:r>
        <w:rPr>
          <w:color w:val="231F20"/>
          <w:spacing w:val="-3"/>
        </w:rPr>
        <w:t>Vol. </w:t>
      </w:r>
      <w:r>
        <w:rPr>
          <w:i/>
          <w:color w:val="231F20"/>
        </w:rPr>
        <w:t>45</w:t>
      </w:r>
      <w:r>
        <w:rPr>
          <w:color w:val="231F20"/>
        </w:rPr>
        <w:t>, Núm. 5, pp.</w:t>
      </w:r>
      <w:r>
        <w:rPr>
          <w:color w:val="231F20"/>
          <w:spacing w:val="29"/>
        </w:rPr>
        <w:t> </w:t>
      </w:r>
      <w:r>
        <w:rPr>
          <w:color w:val="231F20"/>
        </w:rPr>
        <w:t>856-880.</w:t>
      </w:r>
    </w:p>
    <w:p>
      <w:pPr>
        <w:pStyle w:val="BodyText"/>
        <w:spacing w:line="259" w:lineRule="auto"/>
        <w:ind w:left="840" w:right="109" w:hanging="737"/>
        <w:jc w:val="both"/>
      </w:pPr>
      <w:r>
        <w:rPr>
          <w:color w:val="231F20"/>
          <w:w w:val="105"/>
        </w:rPr>
        <w:t>Xianhai, M., y Michael, M. (2011). “Performance measurement models in facility management: a comparative </w:t>
      </w:r>
      <w:r>
        <w:rPr>
          <w:color w:val="231F20"/>
          <w:spacing w:val="-4"/>
          <w:w w:val="105"/>
        </w:rPr>
        <w:t>study”. </w:t>
      </w:r>
      <w:r>
        <w:rPr>
          <w:i/>
          <w:color w:val="231F20"/>
          <w:w w:val="105"/>
        </w:rPr>
        <w:t>Facilities, </w:t>
      </w:r>
      <w:r>
        <w:rPr>
          <w:color w:val="231F20"/>
          <w:spacing w:val="-3"/>
          <w:w w:val="105"/>
        </w:rPr>
        <w:t>Vol. </w:t>
      </w:r>
      <w:r>
        <w:rPr>
          <w:i/>
          <w:color w:val="231F20"/>
          <w:w w:val="105"/>
        </w:rPr>
        <w:t>29</w:t>
      </w:r>
      <w:r>
        <w:rPr>
          <w:color w:val="231F20"/>
          <w:w w:val="105"/>
        </w:rPr>
        <w:t>, Núm. 11, pp. 472-484.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317" w:val="left" w:leader="none"/>
        </w:tabs>
        <w:spacing w:before="190"/>
        <w:ind w:left="212" w:right="17" w:firstLine="0"/>
        <w:jc w:val="left"/>
        <w:rPr>
          <w:rFonts w:ascii="Calibri" w:hAnsi="Calibri"/>
          <w:sz w:val="15"/>
        </w:rPr>
      </w:pPr>
      <w:r>
        <w:rPr/>
        <w:pict>
          <v:group style="position:absolute;margin-left:101.817299pt;margin-top:-10.799887pt;width:17.850pt;height:56.5pt;mso-position-horizontal-relative:page;mso-position-vertical-relative:paragraph;z-index:-243784" coordorigin="2036,-216" coordsize="357,1130">
            <v:line style="position:absolute" from="2211,194" to="2211,910" stroked="true" strokeweight=".3pt" strokecolor="#231f20"/>
            <v:shape style="position:absolute;left:2036;top:-42;width:356;height:609" type="#_x0000_t75" stroked="false">
              <v:imagedata r:id="rId18" o:title=""/>
            </v:shape>
            <v:shape style="position:absolute;left:2036;top:-216;width:356;height:783" type="#_x0000_t75" stroked="false">
              <v:imagedata r:id="rId19" o:title=""/>
            </v:shape>
            <w10:wrap type="none"/>
          </v:group>
        </w:pict>
      </w:r>
      <w:r>
        <w:rPr>
          <w:color w:val="414042"/>
          <w:position w:val="-5"/>
          <w:sz w:val="20"/>
        </w:rPr>
        <w:t>112</w:t>
        <w:tab/>
      </w:r>
      <w:r>
        <w:rPr>
          <w:rFonts w:ascii="Calibri" w:hAnsi="Calibri"/>
          <w:color w:val="6D6E71"/>
          <w:sz w:val="15"/>
        </w:rPr>
        <w:t>Felipe Machorro Ramos, Patricia Mercado Salgado y María Vanessa Romero  </w:t>
      </w:r>
      <w:r>
        <w:rPr>
          <w:rFonts w:ascii="Calibri" w:hAnsi="Calibri"/>
          <w:color w:val="6D6E71"/>
          <w:spacing w:val="13"/>
          <w:sz w:val="15"/>
        </w:rPr>
        <w:t> </w:t>
      </w:r>
      <w:r>
        <w:rPr>
          <w:rFonts w:ascii="Calibri" w:hAnsi="Calibri"/>
          <w:color w:val="6D6E71"/>
          <w:sz w:val="15"/>
        </w:rPr>
        <w:t>Ortiz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37"/>
        </w:numPr>
        <w:tabs>
          <w:tab w:pos="1232" w:val="left" w:leader="none"/>
          <w:tab w:pos="6971" w:val="right" w:leader="none"/>
        </w:tabs>
        <w:spacing w:line="240" w:lineRule="auto" w:before="52" w:after="0"/>
        <w:ind w:left="375" w:right="0" w:firstLine="670"/>
        <w:jc w:val="left"/>
        <w:rPr>
          <w:rFonts w:ascii="Lucida Sans Unicode" w:hAnsi="Lucida Sans Unicode"/>
          <w:color w:val="6D6E71"/>
          <w:sz w:val="14"/>
        </w:rPr>
      </w:pPr>
      <w:r>
        <w:rPr/>
        <w:pict>
          <v:line style="position:absolute;mso-position-horizontal-relative:page;mso-position-vertical-relative:paragraph;z-index:-243760" from="384.061005pt,-25.30427pt" to="384.061005pt,9.561580pt" stroked="true" strokeweight=".3pt" strokecolor="#231f20">
            <w10:wrap type="none"/>
          </v:line>
        </w:pict>
      </w:r>
      <w:r>
        <w:rPr>
          <w:rFonts w:ascii="Lucida Sans Unicode" w:hAnsi="Lucida Sans Unicode"/>
          <w:color w:val="6D6E71"/>
          <w:sz w:val="14"/>
        </w:rPr>
        <w:t>Desempeño organIzacIonal y excelencIa aDmInIstratIVa</w:t>
      </w:r>
      <w:r>
        <w:rPr>
          <w:rFonts w:ascii="Lucida Sans Unicode" w:hAnsi="Lucida Sans Unicode"/>
          <w:color w:val="6D6E71"/>
          <w:spacing w:val="-12"/>
          <w:sz w:val="14"/>
        </w:rPr>
        <w:t> </w:t>
      </w:r>
      <w:r>
        <w:rPr>
          <w:rFonts w:ascii="Lucida Sans Unicode" w:hAnsi="Lucida Sans Unicode"/>
          <w:color w:val="6D6E71"/>
          <w:sz w:val="14"/>
        </w:rPr>
        <w:t>en</w:t>
      </w:r>
      <w:r>
        <w:rPr>
          <w:rFonts w:ascii="Lucida Sans Unicode" w:hAnsi="Lucida Sans Unicode"/>
          <w:color w:val="6D6E71"/>
          <w:spacing w:val="-3"/>
          <w:sz w:val="14"/>
        </w:rPr>
        <w:t> </w:t>
      </w:r>
      <w:r>
        <w:rPr>
          <w:rFonts w:ascii="Lucida Sans Unicode" w:hAnsi="Lucida Sans Unicode"/>
          <w:color w:val="6D6E71"/>
          <w:sz w:val="14"/>
        </w:rPr>
        <w:t>unIVersIDaDes</w:t>
      </w:r>
      <w:r>
        <w:rPr>
          <w:color w:val="414042"/>
          <w:position w:val="-3"/>
          <w:sz w:val="20"/>
        </w:rPr>
        <w:tab/>
        <w:t>113</w:t>
      </w:r>
    </w:p>
    <w:p>
      <w:pPr>
        <w:pStyle w:val="BodyText"/>
        <w:rPr>
          <w:sz w:val="20"/>
        </w:rPr>
      </w:pPr>
    </w:p>
    <w:p>
      <w:pPr>
        <w:pStyle w:val="BodyText"/>
        <w:rPr>
          <w:sz w:val="20"/>
        </w:rPr>
      </w:pPr>
    </w:p>
    <w:p>
      <w:pPr>
        <w:spacing w:line="259" w:lineRule="auto" w:before="176"/>
        <w:ind w:left="854" w:right="121" w:hanging="738"/>
        <w:jc w:val="both"/>
        <w:rPr>
          <w:sz w:val="21"/>
        </w:rPr>
      </w:pPr>
      <w:r>
        <w:rPr>
          <w:color w:val="231F20"/>
          <w:w w:val="105"/>
          <w:sz w:val="21"/>
        </w:rPr>
        <w:t>Xing,</w:t>
      </w:r>
      <w:r>
        <w:rPr>
          <w:color w:val="231F20"/>
          <w:spacing w:val="-23"/>
          <w:w w:val="105"/>
          <w:sz w:val="21"/>
        </w:rPr>
        <w:t> </w:t>
      </w:r>
      <w:r>
        <w:rPr>
          <w:color w:val="231F20"/>
          <w:w w:val="105"/>
          <w:sz w:val="21"/>
        </w:rPr>
        <w:t>Z.-l.</w:t>
      </w:r>
      <w:r>
        <w:rPr>
          <w:color w:val="231F20"/>
          <w:spacing w:val="-23"/>
          <w:w w:val="105"/>
          <w:sz w:val="21"/>
        </w:rPr>
        <w:t> </w:t>
      </w:r>
      <w:r>
        <w:rPr>
          <w:color w:val="231F20"/>
          <w:w w:val="105"/>
          <w:sz w:val="21"/>
        </w:rPr>
        <w:t>(2009).</w:t>
      </w:r>
      <w:r>
        <w:rPr>
          <w:color w:val="231F20"/>
          <w:spacing w:val="-23"/>
          <w:w w:val="105"/>
          <w:sz w:val="21"/>
        </w:rPr>
        <w:t> </w:t>
      </w:r>
      <w:r>
        <w:rPr>
          <w:color w:val="231F20"/>
          <w:w w:val="105"/>
          <w:sz w:val="21"/>
        </w:rPr>
        <w:t>“Impact</w:t>
      </w:r>
      <w:r>
        <w:rPr>
          <w:color w:val="231F20"/>
          <w:spacing w:val="-19"/>
          <w:w w:val="105"/>
          <w:sz w:val="21"/>
        </w:rPr>
        <w:t> </w:t>
      </w:r>
      <w:r>
        <w:rPr>
          <w:color w:val="231F20"/>
          <w:w w:val="105"/>
          <w:sz w:val="21"/>
        </w:rPr>
        <w:t>of</w:t>
      </w:r>
      <w:r>
        <w:rPr>
          <w:color w:val="231F20"/>
          <w:spacing w:val="-16"/>
          <w:w w:val="105"/>
          <w:sz w:val="21"/>
        </w:rPr>
        <w:t> </w:t>
      </w:r>
      <w:r>
        <w:rPr>
          <w:color w:val="231F20"/>
          <w:w w:val="105"/>
          <w:sz w:val="21"/>
        </w:rPr>
        <w:t>University’s</w:t>
      </w:r>
      <w:r>
        <w:rPr>
          <w:color w:val="231F20"/>
          <w:spacing w:val="-19"/>
          <w:w w:val="105"/>
          <w:sz w:val="21"/>
        </w:rPr>
        <w:t> </w:t>
      </w:r>
      <w:r>
        <w:rPr>
          <w:color w:val="231F20"/>
          <w:w w:val="105"/>
          <w:sz w:val="21"/>
        </w:rPr>
        <w:t>Optimal</w:t>
      </w:r>
      <w:r>
        <w:rPr>
          <w:color w:val="231F20"/>
          <w:spacing w:val="-19"/>
          <w:w w:val="105"/>
          <w:sz w:val="21"/>
        </w:rPr>
        <w:t> </w:t>
      </w:r>
      <w:r>
        <w:rPr>
          <w:color w:val="231F20"/>
          <w:w w:val="105"/>
          <w:sz w:val="21"/>
        </w:rPr>
        <w:t>Human</w:t>
      </w:r>
      <w:r>
        <w:rPr>
          <w:color w:val="231F20"/>
          <w:spacing w:val="-19"/>
          <w:w w:val="105"/>
          <w:sz w:val="21"/>
        </w:rPr>
        <w:t> </w:t>
      </w:r>
      <w:r>
        <w:rPr>
          <w:color w:val="231F20"/>
          <w:w w:val="105"/>
          <w:sz w:val="21"/>
        </w:rPr>
        <w:t>Resource</w:t>
      </w:r>
      <w:r>
        <w:rPr>
          <w:color w:val="231F20"/>
          <w:spacing w:val="-19"/>
          <w:w w:val="105"/>
          <w:sz w:val="21"/>
        </w:rPr>
        <w:t> </w:t>
      </w:r>
      <w:r>
        <w:rPr>
          <w:color w:val="231F20"/>
          <w:w w:val="105"/>
          <w:sz w:val="21"/>
        </w:rPr>
        <w:t>Man- agement</w:t>
      </w:r>
      <w:r>
        <w:rPr>
          <w:color w:val="231F20"/>
          <w:spacing w:val="-26"/>
          <w:w w:val="105"/>
          <w:sz w:val="21"/>
        </w:rPr>
        <w:t> </w:t>
      </w:r>
      <w:r>
        <w:rPr>
          <w:color w:val="231F20"/>
          <w:w w:val="105"/>
          <w:sz w:val="21"/>
        </w:rPr>
        <w:t>Practices</w:t>
      </w:r>
      <w:r>
        <w:rPr>
          <w:color w:val="231F20"/>
          <w:spacing w:val="-26"/>
          <w:w w:val="105"/>
          <w:sz w:val="21"/>
        </w:rPr>
        <w:t> </w:t>
      </w:r>
      <w:r>
        <w:rPr>
          <w:color w:val="231F20"/>
          <w:w w:val="105"/>
          <w:sz w:val="21"/>
        </w:rPr>
        <w:t>on</w:t>
      </w:r>
      <w:r>
        <w:rPr>
          <w:color w:val="231F20"/>
          <w:spacing w:val="-26"/>
          <w:w w:val="105"/>
          <w:sz w:val="21"/>
        </w:rPr>
        <w:t> </w:t>
      </w:r>
      <w:r>
        <w:rPr>
          <w:color w:val="231F20"/>
          <w:w w:val="105"/>
          <w:sz w:val="21"/>
        </w:rPr>
        <w:t>Organizational</w:t>
      </w:r>
      <w:r>
        <w:rPr>
          <w:color w:val="231F20"/>
          <w:spacing w:val="-26"/>
          <w:w w:val="105"/>
          <w:sz w:val="21"/>
        </w:rPr>
        <w:t> </w:t>
      </w:r>
      <w:r>
        <w:rPr>
          <w:color w:val="231F20"/>
          <w:spacing w:val="-4"/>
          <w:w w:val="105"/>
          <w:sz w:val="21"/>
        </w:rPr>
        <w:t>Performance”.</w:t>
      </w:r>
      <w:r>
        <w:rPr>
          <w:color w:val="231F20"/>
          <w:spacing w:val="-29"/>
          <w:w w:val="105"/>
          <w:sz w:val="21"/>
        </w:rPr>
        <w:t> </w:t>
      </w:r>
      <w:r>
        <w:rPr>
          <w:i/>
          <w:color w:val="231F20"/>
          <w:w w:val="105"/>
          <w:sz w:val="21"/>
        </w:rPr>
        <w:t>Systems</w:t>
      </w:r>
      <w:r>
        <w:rPr>
          <w:i/>
          <w:color w:val="231F20"/>
          <w:spacing w:val="-26"/>
          <w:w w:val="105"/>
          <w:sz w:val="21"/>
        </w:rPr>
        <w:t> </w:t>
      </w:r>
      <w:r>
        <w:rPr>
          <w:i/>
          <w:color w:val="231F20"/>
          <w:w w:val="105"/>
          <w:sz w:val="21"/>
        </w:rPr>
        <w:t>En- </w:t>
      </w:r>
      <w:r>
        <w:rPr>
          <w:i/>
          <w:color w:val="231F20"/>
          <w:w w:val="105"/>
          <w:sz w:val="21"/>
        </w:rPr>
        <w:t>gineering</w:t>
      </w:r>
      <w:r>
        <w:rPr>
          <w:i/>
          <w:color w:val="231F20"/>
          <w:spacing w:val="-25"/>
          <w:w w:val="105"/>
          <w:sz w:val="21"/>
        </w:rPr>
        <w:t> </w:t>
      </w:r>
      <w:r>
        <w:rPr>
          <w:i/>
          <w:color w:val="231F20"/>
          <w:w w:val="105"/>
          <w:sz w:val="21"/>
        </w:rPr>
        <w:t>-</w:t>
      </w:r>
      <w:r>
        <w:rPr>
          <w:i/>
          <w:color w:val="231F20"/>
          <w:spacing w:val="-28"/>
          <w:w w:val="105"/>
          <w:sz w:val="21"/>
        </w:rPr>
        <w:t> </w:t>
      </w:r>
      <w:r>
        <w:rPr>
          <w:i/>
          <w:color w:val="231F20"/>
          <w:w w:val="105"/>
          <w:sz w:val="21"/>
        </w:rPr>
        <w:t>Theory</w:t>
      </w:r>
      <w:r>
        <w:rPr>
          <w:i/>
          <w:color w:val="231F20"/>
          <w:spacing w:val="-25"/>
          <w:w w:val="105"/>
          <w:sz w:val="21"/>
        </w:rPr>
        <w:t> </w:t>
      </w:r>
      <w:r>
        <w:rPr>
          <w:i/>
          <w:color w:val="231F20"/>
          <w:w w:val="105"/>
          <w:sz w:val="21"/>
        </w:rPr>
        <w:t>yamp;</w:t>
      </w:r>
      <w:r>
        <w:rPr>
          <w:i/>
          <w:color w:val="231F20"/>
          <w:spacing w:val="-25"/>
          <w:w w:val="105"/>
          <w:sz w:val="21"/>
        </w:rPr>
        <w:t> </w:t>
      </w:r>
      <w:r>
        <w:rPr>
          <w:i/>
          <w:color w:val="231F20"/>
          <w:w w:val="105"/>
          <w:sz w:val="21"/>
        </w:rPr>
        <w:t>Practice,</w:t>
      </w:r>
      <w:r>
        <w:rPr>
          <w:i/>
          <w:color w:val="231F20"/>
          <w:spacing w:val="-29"/>
          <w:w w:val="105"/>
          <w:sz w:val="21"/>
        </w:rPr>
        <w:t> </w:t>
      </w:r>
      <w:r>
        <w:rPr>
          <w:color w:val="231F20"/>
          <w:spacing w:val="-3"/>
          <w:w w:val="105"/>
          <w:sz w:val="21"/>
        </w:rPr>
        <w:t>Vol.</w:t>
      </w:r>
      <w:r>
        <w:rPr>
          <w:color w:val="231F20"/>
          <w:spacing w:val="-29"/>
          <w:w w:val="105"/>
          <w:sz w:val="21"/>
        </w:rPr>
        <w:t> </w:t>
      </w:r>
      <w:r>
        <w:rPr>
          <w:i/>
          <w:color w:val="231F20"/>
          <w:w w:val="105"/>
          <w:sz w:val="21"/>
        </w:rPr>
        <w:t>29</w:t>
      </w:r>
      <w:r>
        <w:rPr>
          <w:color w:val="231F20"/>
          <w:w w:val="105"/>
          <w:sz w:val="21"/>
        </w:rPr>
        <w:t>,</w:t>
      </w:r>
      <w:r>
        <w:rPr>
          <w:color w:val="231F20"/>
          <w:spacing w:val="-29"/>
          <w:w w:val="105"/>
          <w:sz w:val="21"/>
        </w:rPr>
        <w:t> </w:t>
      </w:r>
      <w:r>
        <w:rPr>
          <w:color w:val="231F20"/>
          <w:w w:val="105"/>
          <w:sz w:val="21"/>
        </w:rPr>
        <w:t>Núm.</w:t>
      </w:r>
      <w:r>
        <w:rPr>
          <w:color w:val="231F20"/>
          <w:spacing w:val="-29"/>
          <w:w w:val="105"/>
          <w:sz w:val="21"/>
        </w:rPr>
        <w:t> </w:t>
      </w:r>
      <w:r>
        <w:rPr>
          <w:color w:val="231F20"/>
          <w:w w:val="105"/>
          <w:sz w:val="21"/>
        </w:rPr>
        <w:t>11,</w:t>
      </w:r>
      <w:r>
        <w:rPr>
          <w:color w:val="231F20"/>
          <w:spacing w:val="-29"/>
          <w:w w:val="105"/>
          <w:sz w:val="21"/>
        </w:rPr>
        <w:t> </w:t>
      </w:r>
      <w:r>
        <w:rPr>
          <w:color w:val="231F20"/>
          <w:w w:val="105"/>
          <w:sz w:val="21"/>
        </w:rPr>
        <w:t>pp.</w:t>
      </w:r>
      <w:r>
        <w:rPr>
          <w:color w:val="231F20"/>
          <w:spacing w:val="-29"/>
          <w:w w:val="105"/>
          <w:sz w:val="21"/>
        </w:rPr>
        <w:t> </w:t>
      </w:r>
      <w:r>
        <w:rPr>
          <w:color w:val="231F20"/>
          <w:w w:val="105"/>
          <w:sz w:val="21"/>
        </w:rPr>
        <w:t>112-122.</w:t>
      </w:r>
    </w:p>
    <w:p>
      <w:pPr>
        <w:pStyle w:val="BodyText"/>
        <w:spacing w:line="259" w:lineRule="auto"/>
        <w:ind w:left="854" w:right="115" w:hanging="738"/>
        <w:jc w:val="both"/>
      </w:pPr>
      <w:r>
        <w:rPr>
          <w:color w:val="231F20"/>
          <w:spacing w:val="-4"/>
          <w:w w:val="105"/>
        </w:rPr>
        <w:t>Yorke,</w:t>
      </w:r>
      <w:r>
        <w:rPr>
          <w:color w:val="231F20"/>
          <w:spacing w:val="-12"/>
          <w:w w:val="105"/>
        </w:rPr>
        <w:t> </w:t>
      </w:r>
      <w:r>
        <w:rPr>
          <w:color w:val="231F20"/>
          <w:spacing w:val="-6"/>
          <w:w w:val="105"/>
        </w:rPr>
        <w:t>D.</w:t>
      </w:r>
      <w:r>
        <w:rPr>
          <w:color w:val="231F20"/>
          <w:spacing w:val="-12"/>
          <w:w w:val="105"/>
        </w:rPr>
        <w:t> </w:t>
      </w:r>
      <w:r>
        <w:rPr>
          <w:color w:val="231F20"/>
          <w:w w:val="105"/>
        </w:rPr>
        <w:t>M.</w:t>
      </w:r>
      <w:r>
        <w:rPr>
          <w:color w:val="231F20"/>
          <w:spacing w:val="-12"/>
          <w:w w:val="105"/>
        </w:rPr>
        <w:t> </w:t>
      </w:r>
      <w:r>
        <w:rPr>
          <w:color w:val="231F20"/>
          <w:w w:val="105"/>
        </w:rPr>
        <w:t>(1987).</w:t>
      </w:r>
      <w:r>
        <w:rPr>
          <w:color w:val="231F20"/>
          <w:spacing w:val="-12"/>
          <w:w w:val="105"/>
        </w:rPr>
        <w:t> </w:t>
      </w:r>
      <w:r>
        <w:rPr>
          <w:color w:val="231F20"/>
          <w:w w:val="105"/>
        </w:rPr>
        <w:t>“Indicators</w:t>
      </w:r>
      <w:r>
        <w:rPr>
          <w:color w:val="231F20"/>
          <w:spacing w:val="-6"/>
          <w:w w:val="105"/>
        </w:rPr>
        <w:t> </w:t>
      </w:r>
      <w:r>
        <w:rPr>
          <w:color w:val="231F20"/>
          <w:w w:val="105"/>
        </w:rPr>
        <w:t>of</w:t>
      </w:r>
      <w:r>
        <w:rPr>
          <w:color w:val="231F20"/>
          <w:spacing w:val="-2"/>
          <w:w w:val="105"/>
        </w:rPr>
        <w:t> </w:t>
      </w:r>
      <w:r>
        <w:rPr>
          <w:color w:val="231F20"/>
          <w:w w:val="105"/>
        </w:rPr>
        <w:t>institutional</w:t>
      </w:r>
      <w:r>
        <w:rPr>
          <w:color w:val="231F20"/>
          <w:spacing w:val="-6"/>
          <w:w w:val="105"/>
        </w:rPr>
        <w:t> </w:t>
      </w:r>
      <w:r>
        <w:rPr>
          <w:color w:val="231F20"/>
          <w:w w:val="105"/>
        </w:rPr>
        <w:t>achievement:</w:t>
      </w:r>
      <w:r>
        <w:rPr>
          <w:color w:val="231F20"/>
          <w:spacing w:val="-6"/>
          <w:w w:val="105"/>
        </w:rPr>
        <w:t> </w:t>
      </w:r>
      <w:r>
        <w:rPr>
          <w:color w:val="231F20"/>
          <w:w w:val="105"/>
        </w:rPr>
        <w:t>some</w:t>
      </w:r>
      <w:r>
        <w:rPr>
          <w:color w:val="231F20"/>
          <w:spacing w:val="-6"/>
          <w:w w:val="105"/>
        </w:rPr>
        <w:t> </w:t>
      </w:r>
      <w:r>
        <w:rPr>
          <w:color w:val="231F20"/>
          <w:w w:val="105"/>
        </w:rPr>
        <w:t>theo- retical and empirical considerations”. </w:t>
      </w:r>
      <w:r>
        <w:rPr>
          <w:i/>
          <w:color w:val="231F20"/>
          <w:w w:val="105"/>
        </w:rPr>
        <w:t>Higher Education, </w:t>
      </w:r>
      <w:r>
        <w:rPr>
          <w:color w:val="231F20"/>
          <w:spacing w:val="-3"/>
          <w:w w:val="105"/>
        </w:rPr>
        <w:t>Vol. </w:t>
      </w:r>
      <w:r>
        <w:rPr>
          <w:i/>
          <w:color w:val="231F20"/>
          <w:w w:val="105"/>
        </w:rPr>
        <w:t>16</w:t>
      </w:r>
      <w:r>
        <w:rPr>
          <w:color w:val="231F20"/>
          <w:w w:val="105"/>
        </w:rPr>
        <w:t>, Núm.</w:t>
      </w:r>
      <w:r>
        <w:rPr>
          <w:color w:val="231F20"/>
          <w:spacing w:val="-22"/>
          <w:w w:val="105"/>
        </w:rPr>
        <w:t> </w:t>
      </w:r>
      <w:r>
        <w:rPr>
          <w:color w:val="231F20"/>
          <w:w w:val="105"/>
        </w:rPr>
        <w:t>1,</w:t>
      </w:r>
      <w:r>
        <w:rPr>
          <w:color w:val="231F20"/>
          <w:spacing w:val="-22"/>
          <w:w w:val="105"/>
        </w:rPr>
        <w:t> </w:t>
      </w:r>
      <w:r>
        <w:rPr>
          <w:color w:val="231F20"/>
          <w:w w:val="105"/>
        </w:rPr>
        <w:t>pp.</w:t>
      </w:r>
      <w:r>
        <w:rPr>
          <w:color w:val="231F20"/>
          <w:spacing w:val="-22"/>
          <w:w w:val="105"/>
        </w:rPr>
        <w:t> </w:t>
      </w:r>
      <w:r>
        <w:rPr>
          <w:color w:val="231F20"/>
          <w:w w:val="105"/>
        </w:rPr>
        <w:t>3-20.</w:t>
      </w:r>
    </w:p>
    <w:p>
      <w:pPr>
        <w:pStyle w:val="BodyText"/>
        <w:spacing w:line="259" w:lineRule="auto"/>
        <w:ind w:left="854" w:right="121" w:hanging="738"/>
        <w:jc w:val="both"/>
      </w:pPr>
      <w:r>
        <w:rPr>
          <w:color w:val="231F20"/>
          <w:w w:val="105"/>
        </w:rPr>
        <w:t>Yorke, M. (1991). “Performance indicators: Towards a synoptic frame- work”. </w:t>
      </w:r>
      <w:r>
        <w:rPr>
          <w:i/>
          <w:color w:val="231F20"/>
          <w:w w:val="105"/>
        </w:rPr>
        <w:t>Higher Education, </w:t>
      </w:r>
      <w:r>
        <w:rPr>
          <w:color w:val="231F20"/>
          <w:w w:val="105"/>
        </w:rPr>
        <w:t>Vol. </w:t>
      </w:r>
      <w:r>
        <w:rPr>
          <w:i/>
          <w:color w:val="231F20"/>
          <w:w w:val="105"/>
        </w:rPr>
        <w:t>21</w:t>
      </w:r>
      <w:r>
        <w:rPr>
          <w:color w:val="231F20"/>
          <w:w w:val="105"/>
        </w:rPr>
        <w:t>, Núm. 2, pp. 235-248.</w:t>
      </w:r>
    </w:p>
    <w:p>
      <w:pPr>
        <w:pStyle w:val="BodyText"/>
        <w:spacing w:line="259" w:lineRule="auto"/>
        <w:ind w:left="854" w:right="115" w:hanging="738"/>
        <w:jc w:val="both"/>
      </w:pPr>
      <w:r>
        <w:rPr>
          <w:color w:val="231F20"/>
        </w:rPr>
        <w:t>Yuchtman, E., y Seashore, S. E. (1967). “A system resource approach to organizational effectiveness”. </w:t>
      </w:r>
      <w:r>
        <w:rPr>
          <w:i/>
          <w:color w:val="231F20"/>
        </w:rPr>
        <w:t>American Sociological Review, </w:t>
      </w:r>
      <w:r>
        <w:rPr>
          <w:color w:val="231F20"/>
        </w:rPr>
        <w:t>Vol., Núm. 32, pp. 891-903.</w:t>
      </w:r>
    </w:p>
    <w:p>
      <w:pPr>
        <w:spacing w:after="0" w:line="259" w:lineRule="auto"/>
        <w:jc w:val="both"/>
        <w:sectPr>
          <w:pgSz w:w="9640" w:h="13890"/>
          <w:pgMar w:top="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1719">
            <wp:simplePos x="0" y="0"/>
            <wp:positionH relativeFrom="page">
              <wp:posOffset>7200</wp:posOffset>
            </wp:positionH>
            <wp:positionV relativeFrom="page">
              <wp:posOffset>0</wp:posOffset>
            </wp:positionV>
            <wp:extent cx="6112802" cy="8819997"/>
            <wp:effectExtent l="0" t="0" r="0" b="0"/>
            <wp:wrapNone/>
            <wp:docPr id="25" name="image11.png" descr=""/>
            <wp:cNvGraphicFramePr>
              <a:graphicFrameLocks noChangeAspect="1"/>
            </wp:cNvGraphicFramePr>
            <a:graphic>
              <a:graphicData uri="http://schemas.openxmlformats.org/drawingml/2006/picture">
                <pic:pic>
                  <pic:nvPicPr>
                    <pic:cNvPr id="26"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numPr>
          <w:ilvl w:val="0"/>
          <w:numId w:val="37"/>
        </w:numPr>
        <w:tabs>
          <w:tab w:pos="991" w:val="left" w:leader="none"/>
        </w:tabs>
        <w:spacing w:line="288" w:lineRule="exact" w:before="189" w:after="0"/>
        <w:ind w:left="375" w:right="3024" w:firstLine="349"/>
        <w:jc w:val="both"/>
        <w:rPr>
          <w:color w:val="FFFFFF"/>
        </w:rPr>
      </w:pPr>
      <w:r>
        <w:rPr>
          <w:color w:val="FFFFFF"/>
          <w:w w:val="110"/>
        </w:rPr>
        <w:t>REDES</w:t>
      </w:r>
      <w:r>
        <w:rPr>
          <w:color w:val="FFFFFF"/>
          <w:spacing w:val="-38"/>
          <w:w w:val="110"/>
        </w:rPr>
        <w:t> </w:t>
      </w:r>
      <w:r>
        <w:rPr>
          <w:color w:val="FFFFFF"/>
          <w:w w:val="110"/>
        </w:rPr>
        <w:t>Y</w:t>
      </w:r>
      <w:r>
        <w:rPr>
          <w:color w:val="FFFFFF"/>
          <w:spacing w:val="-38"/>
          <w:w w:val="110"/>
        </w:rPr>
        <w:t> </w:t>
      </w:r>
      <w:r>
        <w:rPr>
          <w:color w:val="FFFFFF"/>
          <w:w w:val="110"/>
        </w:rPr>
        <w:t>CONOCIMIENTO</w:t>
      </w:r>
      <w:r>
        <w:rPr>
          <w:color w:val="FFFFFF"/>
          <w:spacing w:val="-38"/>
          <w:w w:val="110"/>
        </w:rPr>
        <w:t> </w:t>
      </w:r>
      <w:r>
        <w:rPr>
          <w:color w:val="FFFFFF"/>
          <w:w w:val="110"/>
        </w:rPr>
        <w:t>EN EL </w:t>
      </w:r>
      <w:r>
        <w:rPr>
          <w:color w:val="FFFFFF"/>
          <w:spacing w:val="-3"/>
          <w:w w:val="110"/>
        </w:rPr>
        <w:t>MARCO </w:t>
      </w:r>
      <w:r>
        <w:rPr>
          <w:color w:val="FFFFFF"/>
          <w:w w:val="110"/>
        </w:rPr>
        <w:t>DE LA ECONOMÍA DEL </w:t>
      </w:r>
      <w:r>
        <w:rPr>
          <w:color w:val="FFFFFF"/>
          <w:w w:val="105"/>
        </w:rPr>
        <w:t>CONOCIMIENTO: UNA</w:t>
      </w:r>
      <w:r>
        <w:rPr>
          <w:color w:val="FFFFFF"/>
          <w:spacing w:val="-16"/>
          <w:w w:val="105"/>
        </w:rPr>
        <w:t> </w:t>
      </w:r>
      <w:r>
        <w:rPr>
          <w:color w:val="FFFFFF"/>
          <w:w w:val="105"/>
        </w:rPr>
        <w:t>PROPUESTA</w:t>
      </w:r>
    </w:p>
    <w:p>
      <w:pPr>
        <w:spacing w:before="2"/>
        <w:ind w:left="2213" w:right="2382" w:firstLine="0"/>
        <w:jc w:val="left"/>
        <w:rPr>
          <w:rFonts w:ascii="Calibri" w:hAnsi="Calibri"/>
          <w:sz w:val="24"/>
        </w:rPr>
      </w:pPr>
      <w:r>
        <w:rPr>
          <w:rFonts w:ascii="Calibri" w:hAnsi="Calibri"/>
          <w:color w:val="FFFFFF"/>
          <w:w w:val="105"/>
          <w:sz w:val="24"/>
        </w:rPr>
        <w:t>METODOLÓftICA</w:t>
      </w:r>
    </w:p>
    <w:p>
      <w:pPr>
        <w:pStyle w:val="Heading3"/>
        <w:spacing w:before="135"/>
        <w:ind w:right="485"/>
        <w:jc w:val="both"/>
      </w:pPr>
      <w:r>
        <w:rPr>
          <w:color w:val="FFFFFF"/>
          <w:w w:val="105"/>
        </w:rPr>
        <w:t>Rosa Azalea Canales García Juan</w:t>
      </w:r>
      <w:r>
        <w:rPr>
          <w:color w:val="FFFFFF"/>
          <w:spacing w:val="-25"/>
          <w:w w:val="105"/>
        </w:rPr>
        <w:t> </w:t>
      </w:r>
      <w:r>
        <w:rPr>
          <w:color w:val="FFFFFF"/>
          <w:w w:val="105"/>
        </w:rPr>
        <w:t>Andrés</w:t>
      </w:r>
      <w:r>
        <w:rPr>
          <w:color w:val="FFFFFF"/>
          <w:spacing w:val="-25"/>
          <w:w w:val="105"/>
        </w:rPr>
        <w:t> </w:t>
      </w:r>
      <w:r>
        <w:rPr>
          <w:color w:val="FFFFFF"/>
          <w:w w:val="105"/>
        </w:rPr>
        <w:t>Godínez</w:t>
      </w:r>
      <w:r>
        <w:rPr>
          <w:color w:val="FFFFFF"/>
          <w:spacing w:val="-25"/>
          <w:w w:val="105"/>
        </w:rPr>
        <w:t> </w:t>
      </w:r>
      <w:r>
        <w:rPr>
          <w:color w:val="FFFFFF"/>
          <w:w w:val="105"/>
        </w:rPr>
        <w:t>Enciso Reyna</w:t>
      </w:r>
      <w:r>
        <w:rPr>
          <w:color w:val="FFFFFF"/>
          <w:spacing w:val="-37"/>
          <w:w w:val="105"/>
        </w:rPr>
        <w:t> </w:t>
      </w:r>
      <w:r>
        <w:rPr>
          <w:color w:val="FFFFFF"/>
          <w:w w:val="105"/>
        </w:rPr>
        <w:t>Vergara</w:t>
      </w:r>
      <w:r>
        <w:rPr>
          <w:color w:val="FFFFFF"/>
          <w:spacing w:val="-35"/>
          <w:w w:val="105"/>
        </w:rPr>
        <w:t> </w:t>
      </w:r>
      <w:r>
        <w:rPr>
          <w:color w:val="FFFFFF"/>
          <w:w w:val="105"/>
        </w:rPr>
        <w:t>González</w:t>
      </w:r>
    </w:p>
    <w:p>
      <w:pPr>
        <w:spacing w:after="0"/>
        <w:jc w:val="both"/>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3"/>
        </w:rPr>
      </w:pPr>
    </w:p>
    <w:p>
      <w:pPr>
        <w:spacing w:before="55"/>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17" w:hanging="3"/>
        <w:jc w:val="both"/>
      </w:pPr>
      <w:r>
        <w:rPr/>
        <w:pict>
          <v:shape style="position:absolute;margin-left:78.408798pt;margin-top:12.669586pt;width:39.7pt;height:51pt;mso-position-horizontal-relative:page;mso-position-vertical-relative:paragraph;z-index:421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A</w:t>
                  </w:r>
                </w:p>
              </w:txbxContent>
            </v:textbox>
            <w10:wrap type="none"/>
          </v:shape>
        </w:pict>
      </w:r>
      <w:r>
        <w:rPr>
          <w:color w:val="231F20"/>
          <w:w w:val="105"/>
        </w:rPr>
        <w:t>nte</w:t>
      </w:r>
      <w:r>
        <w:rPr>
          <w:color w:val="231F20"/>
          <w:spacing w:val="-16"/>
          <w:w w:val="105"/>
        </w:rPr>
        <w:t> </w:t>
      </w:r>
      <w:r>
        <w:rPr>
          <w:color w:val="231F20"/>
          <w:w w:val="105"/>
        </w:rPr>
        <w:t>la</w:t>
      </w:r>
      <w:r>
        <w:rPr>
          <w:color w:val="231F20"/>
          <w:spacing w:val="-16"/>
          <w:w w:val="105"/>
        </w:rPr>
        <w:t> </w:t>
      </w:r>
      <w:r>
        <w:rPr>
          <w:color w:val="231F20"/>
          <w:spacing w:val="-3"/>
          <w:w w:val="105"/>
        </w:rPr>
        <w:t>inmersión</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spacing w:val="-3"/>
          <w:w w:val="105"/>
        </w:rPr>
        <w:t>sociedades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spacing w:val="-3"/>
          <w:w w:val="105"/>
        </w:rPr>
        <w:t>economía</w:t>
      </w:r>
      <w:r>
        <w:rPr>
          <w:color w:val="231F20"/>
          <w:spacing w:val="-16"/>
          <w:w w:val="105"/>
        </w:rPr>
        <w:t> </w:t>
      </w:r>
      <w:r>
        <w:rPr>
          <w:color w:val="231F20"/>
          <w:w w:val="105"/>
        </w:rPr>
        <w:t>del</w:t>
      </w:r>
      <w:r>
        <w:rPr>
          <w:color w:val="231F20"/>
          <w:spacing w:val="-16"/>
          <w:w w:val="105"/>
        </w:rPr>
        <w:t> </w:t>
      </w:r>
      <w:r>
        <w:rPr>
          <w:color w:val="231F20"/>
          <w:spacing w:val="-3"/>
          <w:w w:val="105"/>
        </w:rPr>
        <w:t>conoci- miento, resulta trascendental examinar </w:t>
      </w:r>
      <w:r>
        <w:rPr>
          <w:color w:val="231F20"/>
          <w:w w:val="105"/>
        </w:rPr>
        <w:t>la </w:t>
      </w:r>
      <w:r>
        <w:rPr>
          <w:color w:val="231F20"/>
          <w:spacing w:val="-4"/>
          <w:w w:val="105"/>
        </w:rPr>
        <w:t>creación </w:t>
      </w:r>
      <w:r>
        <w:rPr>
          <w:color w:val="231F20"/>
          <w:w w:val="105"/>
        </w:rPr>
        <w:t>y </w:t>
      </w:r>
      <w:r>
        <w:rPr>
          <w:color w:val="231F20"/>
          <w:spacing w:val="-3"/>
          <w:w w:val="105"/>
        </w:rPr>
        <w:t>transmi- sión </w:t>
      </w:r>
      <w:r>
        <w:rPr>
          <w:color w:val="231F20"/>
          <w:w w:val="105"/>
        </w:rPr>
        <w:t>en </w:t>
      </w:r>
      <w:r>
        <w:rPr>
          <w:color w:val="231F20"/>
          <w:spacing w:val="-3"/>
          <w:w w:val="105"/>
        </w:rPr>
        <w:t>red </w:t>
      </w:r>
      <w:r>
        <w:rPr>
          <w:color w:val="231F20"/>
          <w:w w:val="105"/>
        </w:rPr>
        <w:t>de </w:t>
      </w:r>
      <w:r>
        <w:rPr>
          <w:color w:val="231F20"/>
          <w:spacing w:val="-3"/>
          <w:w w:val="105"/>
        </w:rPr>
        <w:t>factores cognitivos, particularmente porque la absorción, generación </w:t>
      </w:r>
      <w:r>
        <w:rPr>
          <w:color w:val="231F20"/>
          <w:w w:val="105"/>
        </w:rPr>
        <w:t>y </w:t>
      </w:r>
      <w:r>
        <w:rPr>
          <w:color w:val="231F20"/>
          <w:spacing w:val="-3"/>
          <w:w w:val="105"/>
        </w:rPr>
        <w:t>difusión </w:t>
      </w:r>
      <w:r>
        <w:rPr>
          <w:color w:val="231F20"/>
          <w:w w:val="105"/>
        </w:rPr>
        <w:t>de </w:t>
      </w:r>
      <w:r>
        <w:rPr>
          <w:color w:val="231F20"/>
          <w:spacing w:val="-3"/>
          <w:w w:val="105"/>
        </w:rPr>
        <w:t>conocimiento </w:t>
      </w:r>
      <w:r>
        <w:rPr>
          <w:color w:val="231F20"/>
          <w:spacing w:val="-4"/>
          <w:w w:val="105"/>
        </w:rPr>
        <w:t>relevante, </w:t>
      </w:r>
      <w:r>
        <w:rPr>
          <w:color w:val="231F20"/>
          <w:w w:val="105"/>
        </w:rPr>
        <w:t>en</w:t>
      </w:r>
      <w:r>
        <w:rPr>
          <w:color w:val="231F20"/>
          <w:spacing w:val="-24"/>
          <w:w w:val="105"/>
        </w:rPr>
        <w:t> </w:t>
      </w:r>
      <w:r>
        <w:rPr>
          <w:color w:val="231F20"/>
          <w:spacing w:val="-3"/>
          <w:w w:val="105"/>
        </w:rPr>
        <w:t>términos</w:t>
      </w:r>
      <w:r>
        <w:rPr>
          <w:color w:val="231F20"/>
          <w:spacing w:val="-24"/>
          <w:w w:val="105"/>
        </w:rPr>
        <w:t> </w:t>
      </w:r>
      <w:r>
        <w:rPr>
          <w:color w:val="231F20"/>
          <w:spacing w:val="-3"/>
          <w:w w:val="105"/>
        </w:rPr>
        <w:t>económicos</w:t>
      </w:r>
      <w:r>
        <w:rPr>
          <w:color w:val="231F20"/>
          <w:spacing w:val="-24"/>
          <w:w w:val="105"/>
        </w:rPr>
        <w:t> </w:t>
      </w:r>
      <w:r>
        <w:rPr>
          <w:color w:val="231F20"/>
          <w:w w:val="105"/>
        </w:rPr>
        <w:t>y</w:t>
      </w:r>
      <w:r>
        <w:rPr>
          <w:color w:val="231F20"/>
          <w:spacing w:val="-24"/>
          <w:w w:val="105"/>
        </w:rPr>
        <w:t> </w:t>
      </w:r>
      <w:r>
        <w:rPr>
          <w:color w:val="231F20"/>
          <w:spacing w:val="-3"/>
          <w:w w:val="105"/>
        </w:rPr>
        <w:t>sociales,</w:t>
      </w:r>
      <w:r>
        <w:rPr>
          <w:color w:val="231F20"/>
          <w:spacing w:val="-28"/>
          <w:w w:val="105"/>
        </w:rPr>
        <w:t> </w:t>
      </w:r>
      <w:r>
        <w:rPr>
          <w:color w:val="231F20"/>
          <w:w w:val="105"/>
        </w:rPr>
        <w:t>es</w:t>
      </w:r>
      <w:r>
        <w:rPr>
          <w:color w:val="231F20"/>
          <w:spacing w:val="-24"/>
          <w:w w:val="105"/>
        </w:rPr>
        <w:t> </w:t>
      </w:r>
      <w:r>
        <w:rPr>
          <w:color w:val="231F20"/>
          <w:spacing w:val="-3"/>
          <w:w w:val="105"/>
        </w:rPr>
        <w:t>conformado</w:t>
      </w:r>
      <w:r>
        <w:rPr>
          <w:color w:val="231F20"/>
          <w:spacing w:val="-24"/>
          <w:w w:val="105"/>
        </w:rPr>
        <w:t> </w:t>
      </w:r>
      <w:r>
        <w:rPr>
          <w:color w:val="231F20"/>
          <w:w w:val="105"/>
        </w:rPr>
        <w:t>y</w:t>
      </w:r>
      <w:r>
        <w:rPr>
          <w:color w:val="231F20"/>
          <w:spacing w:val="-24"/>
          <w:w w:val="105"/>
        </w:rPr>
        <w:t> </w:t>
      </w:r>
      <w:r>
        <w:rPr>
          <w:color w:val="231F20"/>
          <w:spacing w:val="-3"/>
          <w:w w:val="105"/>
        </w:rPr>
        <w:t>gestiona-</w:t>
      </w:r>
    </w:p>
    <w:p>
      <w:pPr>
        <w:pStyle w:val="BodyText"/>
        <w:spacing w:line="259" w:lineRule="auto"/>
        <w:ind w:left="117" w:right="117"/>
        <w:jc w:val="both"/>
      </w:pPr>
      <w:r>
        <w:rPr>
          <w:color w:val="231F20"/>
          <w:w w:val="105"/>
        </w:rPr>
        <w:t>do</w:t>
      </w:r>
      <w:r>
        <w:rPr>
          <w:color w:val="231F20"/>
          <w:spacing w:val="-23"/>
          <w:w w:val="105"/>
        </w:rPr>
        <w:t> </w:t>
      </w:r>
      <w:r>
        <w:rPr>
          <w:color w:val="231F20"/>
          <w:w w:val="105"/>
        </w:rPr>
        <w:t>de</w:t>
      </w:r>
      <w:r>
        <w:rPr>
          <w:color w:val="231F20"/>
          <w:spacing w:val="-23"/>
          <w:w w:val="105"/>
        </w:rPr>
        <w:t> </w:t>
      </w:r>
      <w:r>
        <w:rPr>
          <w:color w:val="231F20"/>
          <w:spacing w:val="-3"/>
          <w:w w:val="105"/>
        </w:rPr>
        <w:t>manera</w:t>
      </w:r>
      <w:r>
        <w:rPr>
          <w:color w:val="231F20"/>
          <w:spacing w:val="-23"/>
          <w:w w:val="105"/>
        </w:rPr>
        <w:t> </w:t>
      </w:r>
      <w:r>
        <w:rPr>
          <w:color w:val="231F20"/>
          <w:spacing w:val="-3"/>
          <w:w w:val="105"/>
        </w:rPr>
        <w:t>sistémica</w:t>
      </w:r>
      <w:r>
        <w:rPr>
          <w:color w:val="231F20"/>
          <w:spacing w:val="-23"/>
          <w:w w:val="105"/>
        </w:rPr>
        <w:t> </w:t>
      </w:r>
      <w:r>
        <w:rPr>
          <w:color w:val="231F20"/>
          <w:spacing w:val="-3"/>
          <w:w w:val="105"/>
        </w:rPr>
        <w:t>entre</w:t>
      </w:r>
      <w:r>
        <w:rPr>
          <w:color w:val="231F20"/>
          <w:spacing w:val="-23"/>
          <w:w w:val="105"/>
        </w:rPr>
        <w:t> </w:t>
      </w:r>
      <w:r>
        <w:rPr>
          <w:color w:val="231F20"/>
          <w:spacing w:val="-3"/>
          <w:w w:val="105"/>
        </w:rPr>
        <w:t>diversas</w:t>
      </w:r>
      <w:r>
        <w:rPr>
          <w:color w:val="231F20"/>
          <w:spacing w:val="-23"/>
          <w:w w:val="105"/>
        </w:rPr>
        <w:t> </w:t>
      </w:r>
      <w:r>
        <w:rPr>
          <w:color w:val="231F20"/>
          <w:spacing w:val="-3"/>
          <w:w w:val="105"/>
        </w:rPr>
        <w:t>fuentes</w:t>
      </w:r>
      <w:r>
        <w:rPr>
          <w:color w:val="231F20"/>
          <w:spacing w:val="-23"/>
          <w:w w:val="105"/>
        </w:rPr>
        <w:t> </w:t>
      </w:r>
      <w:r>
        <w:rPr>
          <w:color w:val="231F20"/>
          <w:w w:val="105"/>
        </w:rPr>
        <w:t>y</w:t>
      </w:r>
      <w:r>
        <w:rPr>
          <w:color w:val="231F20"/>
          <w:spacing w:val="-23"/>
          <w:w w:val="105"/>
        </w:rPr>
        <w:t> </w:t>
      </w:r>
      <w:r>
        <w:rPr>
          <w:color w:val="231F20"/>
          <w:spacing w:val="-3"/>
          <w:w w:val="105"/>
        </w:rPr>
        <w:t>agentes.</w:t>
      </w:r>
      <w:r>
        <w:rPr>
          <w:color w:val="231F20"/>
          <w:spacing w:val="-31"/>
          <w:w w:val="105"/>
        </w:rPr>
        <w:t> </w:t>
      </w:r>
      <w:r>
        <w:rPr>
          <w:color w:val="231F20"/>
          <w:w w:val="105"/>
        </w:rPr>
        <w:t>A</w:t>
      </w:r>
      <w:r>
        <w:rPr>
          <w:color w:val="231F20"/>
          <w:spacing w:val="-26"/>
          <w:w w:val="105"/>
        </w:rPr>
        <w:t> </w:t>
      </w:r>
      <w:r>
        <w:rPr>
          <w:color w:val="231F20"/>
          <w:spacing w:val="-3"/>
          <w:w w:val="105"/>
        </w:rPr>
        <w:t>pesar</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re- levancia </w:t>
      </w:r>
      <w:r>
        <w:rPr>
          <w:color w:val="231F20"/>
          <w:w w:val="105"/>
        </w:rPr>
        <w:t>del </w:t>
      </w:r>
      <w:r>
        <w:rPr>
          <w:color w:val="231F20"/>
          <w:spacing w:val="-3"/>
          <w:w w:val="105"/>
        </w:rPr>
        <w:t>conocimiento generado reticularmente, </w:t>
      </w:r>
      <w:r>
        <w:rPr>
          <w:color w:val="231F20"/>
          <w:w w:val="105"/>
        </w:rPr>
        <w:t>se </w:t>
      </w:r>
      <w:r>
        <w:rPr>
          <w:color w:val="231F20"/>
          <w:spacing w:val="-3"/>
          <w:w w:val="105"/>
        </w:rPr>
        <w:t>carece </w:t>
      </w:r>
      <w:r>
        <w:rPr>
          <w:color w:val="231F20"/>
          <w:w w:val="105"/>
        </w:rPr>
        <w:t>de </w:t>
      </w:r>
      <w:r>
        <w:rPr>
          <w:color w:val="231F20"/>
          <w:spacing w:val="-3"/>
          <w:w w:val="105"/>
        </w:rPr>
        <w:t>esque- </w:t>
      </w:r>
      <w:r>
        <w:rPr>
          <w:color w:val="231F20"/>
          <w:w w:val="105"/>
        </w:rPr>
        <w:t>mas</w:t>
      </w:r>
      <w:r>
        <w:rPr>
          <w:color w:val="231F20"/>
          <w:spacing w:val="-17"/>
          <w:w w:val="105"/>
        </w:rPr>
        <w:t> </w:t>
      </w:r>
      <w:r>
        <w:rPr>
          <w:color w:val="231F20"/>
          <w:spacing w:val="-3"/>
          <w:w w:val="105"/>
        </w:rPr>
        <w:t>analíticos</w:t>
      </w:r>
      <w:r>
        <w:rPr>
          <w:color w:val="231F20"/>
          <w:spacing w:val="-17"/>
          <w:w w:val="105"/>
        </w:rPr>
        <w:t> </w:t>
      </w:r>
      <w:r>
        <w:rPr>
          <w:color w:val="231F20"/>
          <w:w w:val="105"/>
        </w:rPr>
        <w:t>que</w:t>
      </w:r>
      <w:r>
        <w:rPr>
          <w:color w:val="231F20"/>
          <w:spacing w:val="-17"/>
          <w:w w:val="105"/>
        </w:rPr>
        <w:t> </w:t>
      </w:r>
      <w:r>
        <w:rPr>
          <w:color w:val="231F20"/>
          <w:spacing w:val="-4"/>
          <w:w w:val="105"/>
        </w:rPr>
        <w:t>exploren</w:t>
      </w:r>
      <w:r>
        <w:rPr>
          <w:color w:val="231F20"/>
          <w:spacing w:val="-17"/>
          <w:w w:val="105"/>
        </w:rPr>
        <w:t> </w:t>
      </w:r>
      <w:r>
        <w:rPr>
          <w:color w:val="231F20"/>
          <w:spacing w:val="-3"/>
          <w:w w:val="105"/>
        </w:rPr>
        <w:t>conjuntamente</w:t>
      </w:r>
      <w:r>
        <w:rPr>
          <w:color w:val="231F20"/>
          <w:spacing w:val="-17"/>
          <w:w w:val="105"/>
        </w:rPr>
        <w:t> </w:t>
      </w:r>
      <w:r>
        <w:rPr>
          <w:color w:val="231F20"/>
          <w:spacing w:val="-3"/>
          <w:w w:val="105"/>
        </w:rPr>
        <w:t>estos</w:t>
      </w:r>
      <w:r>
        <w:rPr>
          <w:color w:val="231F20"/>
          <w:spacing w:val="-17"/>
          <w:w w:val="105"/>
        </w:rPr>
        <w:t> </w:t>
      </w:r>
      <w:r>
        <w:rPr>
          <w:color w:val="231F20"/>
          <w:spacing w:val="-3"/>
          <w:w w:val="105"/>
        </w:rPr>
        <w:t>aspectos</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spacing w:val="-4"/>
          <w:w w:val="105"/>
        </w:rPr>
        <w:t>arrojen, </w:t>
      </w:r>
      <w:r>
        <w:rPr>
          <w:color w:val="231F20"/>
          <w:w w:val="105"/>
        </w:rPr>
        <w:t>a</w:t>
      </w:r>
      <w:r>
        <w:rPr>
          <w:color w:val="231F20"/>
          <w:spacing w:val="-24"/>
          <w:w w:val="105"/>
        </w:rPr>
        <w:t> </w:t>
      </w:r>
      <w:r>
        <w:rPr>
          <w:color w:val="231F20"/>
          <w:w w:val="105"/>
        </w:rPr>
        <w:t>su</w:t>
      </w:r>
      <w:r>
        <w:rPr>
          <w:color w:val="231F20"/>
          <w:spacing w:val="-24"/>
          <w:w w:val="105"/>
        </w:rPr>
        <w:t> </w:t>
      </w:r>
      <w:r>
        <w:rPr>
          <w:color w:val="231F20"/>
          <w:spacing w:val="-3"/>
          <w:w w:val="105"/>
        </w:rPr>
        <w:t>vez,</w:t>
      </w:r>
      <w:r>
        <w:rPr>
          <w:color w:val="231F20"/>
          <w:spacing w:val="-30"/>
          <w:w w:val="105"/>
        </w:rPr>
        <w:t> </w:t>
      </w:r>
      <w:r>
        <w:rPr>
          <w:color w:val="231F20"/>
          <w:spacing w:val="-3"/>
          <w:w w:val="105"/>
        </w:rPr>
        <w:t>resultados</w:t>
      </w:r>
      <w:r>
        <w:rPr>
          <w:color w:val="231F20"/>
          <w:spacing w:val="-24"/>
          <w:w w:val="105"/>
        </w:rPr>
        <w:t> </w:t>
      </w:r>
      <w:r>
        <w:rPr>
          <w:color w:val="231F20"/>
          <w:spacing w:val="-3"/>
          <w:w w:val="105"/>
        </w:rPr>
        <w:t>cuantitativos</w:t>
      </w:r>
      <w:r>
        <w:rPr>
          <w:color w:val="231F20"/>
          <w:spacing w:val="-24"/>
          <w:w w:val="105"/>
        </w:rPr>
        <w:t> </w:t>
      </w:r>
      <w:r>
        <w:rPr>
          <w:color w:val="231F20"/>
          <w:w w:val="105"/>
        </w:rPr>
        <w:t>y</w:t>
      </w:r>
      <w:r>
        <w:rPr>
          <w:color w:val="231F20"/>
          <w:spacing w:val="-24"/>
          <w:w w:val="105"/>
        </w:rPr>
        <w:t> </w:t>
      </w:r>
      <w:r>
        <w:rPr>
          <w:color w:val="231F20"/>
          <w:spacing w:val="-3"/>
          <w:w w:val="105"/>
        </w:rPr>
        <w:t>cualitativos.</w:t>
      </w:r>
      <w:r>
        <w:rPr>
          <w:color w:val="231F20"/>
          <w:spacing w:val="-30"/>
          <w:w w:val="105"/>
        </w:rPr>
        <w:t> </w:t>
      </w:r>
      <w:r>
        <w:rPr>
          <w:color w:val="231F20"/>
          <w:w w:val="105"/>
        </w:rPr>
        <w:t>El</w:t>
      </w:r>
      <w:r>
        <w:rPr>
          <w:color w:val="231F20"/>
          <w:spacing w:val="-24"/>
          <w:w w:val="105"/>
        </w:rPr>
        <w:t> </w:t>
      </w:r>
      <w:r>
        <w:rPr>
          <w:color w:val="231F20"/>
          <w:spacing w:val="-3"/>
          <w:w w:val="105"/>
        </w:rPr>
        <w:t>objetivo</w:t>
      </w:r>
      <w:r>
        <w:rPr>
          <w:color w:val="231F20"/>
          <w:spacing w:val="-24"/>
          <w:w w:val="105"/>
        </w:rPr>
        <w:t> </w:t>
      </w:r>
      <w:r>
        <w:rPr>
          <w:color w:val="231F20"/>
          <w:w w:val="105"/>
        </w:rPr>
        <w:t>de</w:t>
      </w:r>
      <w:r>
        <w:rPr>
          <w:color w:val="231F20"/>
          <w:spacing w:val="-24"/>
          <w:w w:val="105"/>
        </w:rPr>
        <w:t> </w:t>
      </w:r>
      <w:r>
        <w:rPr>
          <w:color w:val="231F20"/>
          <w:spacing w:val="-3"/>
          <w:w w:val="105"/>
        </w:rPr>
        <w:t>este</w:t>
      </w:r>
      <w:r>
        <w:rPr>
          <w:color w:val="231F20"/>
          <w:spacing w:val="-24"/>
          <w:w w:val="105"/>
        </w:rPr>
        <w:t> </w:t>
      </w:r>
      <w:r>
        <w:rPr>
          <w:color w:val="231F20"/>
          <w:spacing w:val="-3"/>
          <w:w w:val="105"/>
        </w:rPr>
        <w:t>capítulo </w:t>
      </w:r>
      <w:r>
        <w:rPr>
          <w:color w:val="231F20"/>
          <w:w w:val="105"/>
        </w:rPr>
        <w:t>es</w:t>
      </w:r>
      <w:r>
        <w:rPr>
          <w:color w:val="231F20"/>
          <w:spacing w:val="-15"/>
          <w:w w:val="105"/>
        </w:rPr>
        <w:t> </w:t>
      </w:r>
      <w:r>
        <w:rPr>
          <w:color w:val="231F20"/>
          <w:spacing w:val="-3"/>
          <w:w w:val="105"/>
        </w:rPr>
        <w:t>proponer</w:t>
      </w:r>
      <w:r>
        <w:rPr>
          <w:color w:val="231F20"/>
          <w:spacing w:val="-15"/>
          <w:w w:val="105"/>
        </w:rPr>
        <w:t> </w:t>
      </w:r>
      <w:r>
        <w:rPr>
          <w:color w:val="231F20"/>
          <w:w w:val="105"/>
        </w:rPr>
        <w:t>un</w:t>
      </w:r>
      <w:r>
        <w:rPr>
          <w:color w:val="231F20"/>
          <w:spacing w:val="-15"/>
          <w:w w:val="105"/>
        </w:rPr>
        <w:t> </w:t>
      </w:r>
      <w:r>
        <w:rPr>
          <w:color w:val="231F20"/>
          <w:spacing w:val="-3"/>
          <w:w w:val="105"/>
        </w:rPr>
        <w:t>marco</w:t>
      </w:r>
      <w:r>
        <w:rPr>
          <w:color w:val="231F20"/>
          <w:spacing w:val="-15"/>
          <w:w w:val="105"/>
        </w:rPr>
        <w:t> </w:t>
      </w:r>
      <w:r>
        <w:rPr>
          <w:color w:val="231F20"/>
          <w:spacing w:val="-3"/>
          <w:w w:val="105"/>
        </w:rPr>
        <w:t>metodológico</w:t>
      </w:r>
      <w:r>
        <w:rPr>
          <w:color w:val="231F20"/>
          <w:spacing w:val="-15"/>
          <w:w w:val="105"/>
        </w:rPr>
        <w:t> </w:t>
      </w:r>
      <w:r>
        <w:rPr>
          <w:color w:val="231F20"/>
          <w:spacing w:val="-3"/>
          <w:w w:val="105"/>
        </w:rPr>
        <w:t>para</w:t>
      </w:r>
      <w:r>
        <w:rPr>
          <w:color w:val="231F20"/>
          <w:spacing w:val="-15"/>
          <w:w w:val="105"/>
        </w:rPr>
        <w:t> </w:t>
      </w:r>
      <w:r>
        <w:rPr>
          <w:color w:val="231F20"/>
          <w:spacing w:val="-3"/>
          <w:w w:val="105"/>
        </w:rPr>
        <w:t>examinar</w:t>
      </w:r>
      <w:r>
        <w:rPr>
          <w:color w:val="231F20"/>
          <w:spacing w:val="-15"/>
          <w:w w:val="105"/>
        </w:rPr>
        <w:t> </w:t>
      </w:r>
      <w:r>
        <w:rPr>
          <w:color w:val="231F20"/>
          <w:w w:val="105"/>
        </w:rPr>
        <w:t>de</w:t>
      </w:r>
      <w:r>
        <w:rPr>
          <w:color w:val="231F20"/>
          <w:spacing w:val="-15"/>
          <w:w w:val="105"/>
        </w:rPr>
        <w:t> </w:t>
      </w:r>
      <w:r>
        <w:rPr>
          <w:color w:val="231F20"/>
          <w:spacing w:val="-3"/>
          <w:w w:val="105"/>
        </w:rPr>
        <w:t>forma</w:t>
      </w:r>
      <w:r>
        <w:rPr>
          <w:color w:val="231F20"/>
          <w:spacing w:val="-15"/>
          <w:w w:val="105"/>
        </w:rPr>
        <w:t> </w:t>
      </w:r>
      <w:r>
        <w:rPr>
          <w:color w:val="231F20"/>
          <w:spacing w:val="-3"/>
          <w:w w:val="105"/>
        </w:rPr>
        <w:t>conjunta</w:t>
      </w:r>
      <w:r>
        <w:rPr>
          <w:color w:val="231F20"/>
          <w:spacing w:val="-15"/>
          <w:w w:val="105"/>
        </w:rPr>
        <w:t> </w:t>
      </w:r>
      <w:r>
        <w:rPr>
          <w:color w:val="231F20"/>
          <w:spacing w:val="-3"/>
          <w:w w:val="105"/>
        </w:rPr>
        <w:t>las redes </w:t>
      </w:r>
      <w:r>
        <w:rPr>
          <w:color w:val="231F20"/>
          <w:w w:val="105"/>
        </w:rPr>
        <w:t>y el </w:t>
      </w:r>
      <w:r>
        <w:rPr>
          <w:color w:val="231F20"/>
          <w:spacing w:val="-3"/>
          <w:w w:val="105"/>
        </w:rPr>
        <w:t>conocimiento </w:t>
      </w:r>
      <w:r>
        <w:rPr>
          <w:color w:val="231F20"/>
          <w:w w:val="105"/>
        </w:rPr>
        <w:t>a </w:t>
      </w:r>
      <w:r>
        <w:rPr>
          <w:color w:val="231F20"/>
          <w:spacing w:val="-3"/>
          <w:w w:val="105"/>
        </w:rPr>
        <w:t>partir </w:t>
      </w:r>
      <w:r>
        <w:rPr>
          <w:color w:val="231F20"/>
          <w:w w:val="105"/>
        </w:rPr>
        <w:t>del </w:t>
      </w:r>
      <w:r>
        <w:rPr>
          <w:color w:val="231F20"/>
          <w:spacing w:val="-3"/>
          <w:w w:val="105"/>
        </w:rPr>
        <w:t>enfoque análisis </w:t>
      </w:r>
      <w:r>
        <w:rPr>
          <w:color w:val="231F20"/>
          <w:w w:val="105"/>
        </w:rPr>
        <w:t>de </w:t>
      </w:r>
      <w:r>
        <w:rPr>
          <w:color w:val="231F20"/>
          <w:spacing w:val="-3"/>
          <w:w w:val="105"/>
        </w:rPr>
        <w:t>redes sociales (ARS)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spacing w:val="-3"/>
          <w:w w:val="105"/>
        </w:rPr>
        <w:t>agregación</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color w:val="231F20"/>
          <w:spacing w:val="-3"/>
          <w:w w:val="105"/>
        </w:rPr>
        <w:t>serie</w:t>
      </w:r>
      <w:r>
        <w:rPr>
          <w:color w:val="231F20"/>
          <w:spacing w:val="-17"/>
          <w:w w:val="105"/>
        </w:rPr>
        <w:t> </w:t>
      </w:r>
      <w:r>
        <w:rPr>
          <w:color w:val="231F20"/>
          <w:w w:val="105"/>
        </w:rPr>
        <w:t>de</w:t>
      </w:r>
      <w:r>
        <w:rPr>
          <w:color w:val="231F20"/>
          <w:spacing w:val="-17"/>
          <w:w w:val="105"/>
        </w:rPr>
        <w:t> </w:t>
      </w:r>
      <w:r>
        <w:rPr>
          <w:color w:val="231F20"/>
          <w:spacing w:val="-3"/>
          <w:w w:val="105"/>
        </w:rPr>
        <w:t>factores</w:t>
      </w:r>
      <w:r>
        <w:rPr>
          <w:color w:val="231F20"/>
          <w:spacing w:val="-17"/>
          <w:w w:val="105"/>
        </w:rPr>
        <w:t> </w:t>
      </w:r>
      <w:r>
        <w:rPr>
          <w:color w:val="231F20"/>
          <w:spacing w:val="-3"/>
          <w:w w:val="105"/>
        </w:rPr>
        <w:t>provenientes</w:t>
      </w:r>
      <w:r>
        <w:rPr>
          <w:color w:val="231F20"/>
          <w:spacing w:val="-17"/>
          <w:w w:val="105"/>
        </w:rPr>
        <w:t> </w:t>
      </w:r>
      <w:r>
        <w:rPr>
          <w:color w:val="231F20"/>
          <w:w w:val="105"/>
        </w:rPr>
        <w:t>de</w:t>
      </w:r>
      <w:r>
        <w:rPr>
          <w:color w:val="231F20"/>
          <w:spacing w:val="-17"/>
          <w:w w:val="105"/>
        </w:rPr>
        <w:t> </w:t>
      </w:r>
      <w:r>
        <w:rPr>
          <w:color w:val="231F20"/>
          <w:spacing w:val="-3"/>
          <w:w w:val="105"/>
        </w:rPr>
        <w:t>investiga- ciones sobre redes </w:t>
      </w:r>
      <w:r>
        <w:rPr>
          <w:color w:val="231F20"/>
          <w:w w:val="105"/>
        </w:rPr>
        <w:t>de </w:t>
      </w:r>
      <w:r>
        <w:rPr>
          <w:color w:val="231F20"/>
          <w:spacing w:val="-3"/>
          <w:w w:val="105"/>
        </w:rPr>
        <w:t>conocimiento. Dicha propuesta posibilita, </w:t>
      </w:r>
      <w:r>
        <w:rPr>
          <w:color w:val="231F20"/>
          <w:w w:val="105"/>
        </w:rPr>
        <w:t>por </w:t>
      </w:r>
      <w:r>
        <w:rPr>
          <w:color w:val="231F20"/>
          <w:spacing w:val="-3"/>
          <w:w w:val="105"/>
        </w:rPr>
        <w:t>un lado,</w:t>
      </w:r>
      <w:r>
        <w:rPr>
          <w:color w:val="231F20"/>
          <w:spacing w:val="-25"/>
          <w:w w:val="105"/>
        </w:rPr>
        <w:t> </w:t>
      </w:r>
      <w:r>
        <w:rPr>
          <w:color w:val="231F20"/>
          <w:spacing w:val="-3"/>
          <w:w w:val="105"/>
        </w:rPr>
        <w:t>examinar</w:t>
      </w:r>
      <w:r>
        <w:rPr>
          <w:color w:val="231F20"/>
          <w:spacing w:val="-20"/>
          <w:w w:val="105"/>
        </w:rPr>
        <w:t> </w:t>
      </w:r>
      <w:r>
        <w:rPr>
          <w:color w:val="231F20"/>
          <w:spacing w:val="-3"/>
          <w:w w:val="105"/>
        </w:rPr>
        <w:t>cuantitativa</w:t>
      </w:r>
      <w:r>
        <w:rPr>
          <w:color w:val="231F20"/>
          <w:spacing w:val="-20"/>
          <w:w w:val="105"/>
        </w:rPr>
        <w:t> </w:t>
      </w:r>
      <w:r>
        <w:rPr>
          <w:color w:val="231F20"/>
          <w:w w:val="105"/>
        </w:rPr>
        <w:t>y</w:t>
      </w:r>
      <w:r>
        <w:rPr>
          <w:color w:val="231F20"/>
          <w:spacing w:val="-20"/>
          <w:w w:val="105"/>
        </w:rPr>
        <w:t> </w:t>
      </w:r>
      <w:r>
        <w:rPr>
          <w:color w:val="231F20"/>
          <w:spacing w:val="-3"/>
          <w:w w:val="105"/>
        </w:rPr>
        <w:t>cualitativamente</w:t>
      </w:r>
      <w:r>
        <w:rPr>
          <w:color w:val="231F20"/>
          <w:spacing w:val="-20"/>
          <w:w w:val="105"/>
        </w:rPr>
        <w:t> </w:t>
      </w:r>
      <w:r>
        <w:rPr>
          <w:color w:val="231F20"/>
          <w:w w:val="105"/>
        </w:rPr>
        <w:t>las</w:t>
      </w:r>
      <w:r>
        <w:rPr>
          <w:color w:val="231F20"/>
          <w:spacing w:val="-20"/>
          <w:w w:val="105"/>
        </w:rPr>
        <w:t> </w:t>
      </w:r>
      <w:r>
        <w:rPr>
          <w:color w:val="231F20"/>
          <w:spacing w:val="-3"/>
          <w:w w:val="105"/>
        </w:rPr>
        <w:t>redes</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20"/>
          <w:w w:val="105"/>
        </w:rPr>
        <w:t> </w:t>
      </w:r>
      <w:r>
        <w:rPr>
          <w:color w:val="231F20"/>
          <w:spacing w:val="-3"/>
          <w:w w:val="105"/>
        </w:rPr>
        <w:t>conocimiento; </w:t>
      </w:r>
      <w:r>
        <w:rPr>
          <w:color w:val="231F20"/>
          <w:w w:val="105"/>
        </w:rPr>
        <w:t>y</w:t>
      </w:r>
      <w:r>
        <w:rPr>
          <w:color w:val="231F20"/>
          <w:spacing w:val="-31"/>
          <w:w w:val="105"/>
        </w:rPr>
        <w:t> </w:t>
      </w:r>
      <w:r>
        <w:rPr>
          <w:color w:val="231F20"/>
          <w:w w:val="105"/>
        </w:rPr>
        <w:t>por</w:t>
      </w:r>
      <w:r>
        <w:rPr>
          <w:color w:val="231F20"/>
          <w:spacing w:val="-31"/>
          <w:w w:val="105"/>
        </w:rPr>
        <w:t> </w:t>
      </w:r>
      <w:r>
        <w:rPr>
          <w:color w:val="231F20"/>
          <w:w w:val="105"/>
        </w:rPr>
        <w:t>el</w:t>
      </w:r>
      <w:r>
        <w:rPr>
          <w:color w:val="231F20"/>
          <w:spacing w:val="-31"/>
          <w:w w:val="105"/>
        </w:rPr>
        <w:t> </w:t>
      </w:r>
      <w:r>
        <w:rPr>
          <w:color w:val="231F20"/>
          <w:spacing w:val="-4"/>
          <w:w w:val="105"/>
        </w:rPr>
        <w:t>otro,</w:t>
      </w:r>
      <w:r>
        <w:rPr>
          <w:color w:val="231F20"/>
          <w:spacing w:val="-36"/>
          <w:w w:val="105"/>
        </w:rPr>
        <w:t> </w:t>
      </w:r>
      <w:r>
        <w:rPr>
          <w:color w:val="231F20"/>
          <w:spacing w:val="-3"/>
          <w:w w:val="105"/>
        </w:rPr>
        <w:t>permite</w:t>
      </w:r>
      <w:r>
        <w:rPr>
          <w:color w:val="231F20"/>
          <w:spacing w:val="-31"/>
          <w:w w:val="105"/>
        </w:rPr>
        <w:t> </w:t>
      </w:r>
      <w:r>
        <w:rPr>
          <w:color w:val="231F20"/>
          <w:spacing w:val="-3"/>
          <w:w w:val="105"/>
        </w:rPr>
        <w:t>visualizar</w:t>
      </w:r>
      <w:r>
        <w:rPr>
          <w:color w:val="231F20"/>
          <w:spacing w:val="-31"/>
          <w:w w:val="105"/>
        </w:rPr>
        <w:t> </w:t>
      </w:r>
      <w:r>
        <w:rPr>
          <w:color w:val="231F20"/>
          <w:w w:val="105"/>
        </w:rPr>
        <w:t>las</w:t>
      </w:r>
      <w:r>
        <w:rPr>
          <w:color w:val="231F20"/>
          <w:spacing w:val="-31"/>
          <w:w w:val="105"/>
        </w:rPr>
        <w:t> </w:t>
      </w:r>
      <w:r>
        <w:rPr>
          <w:color w:val="231F20"/>
          <w:spacing w:val="-3"/>
          <w:w w:val="105"/>
        </w:rPr>
        <w:t>redes</w:t>
      </w:r>
      <w:r>
        <w:rPr>
          <w:color w:val="231F20"/>
          <w:spacing w:val="-31"/>
          <w:w w:val="105"/>
        </w:rPr>
        <w:t> </w:t>
      </w:r>
      <w:r>
        <w:rPr>
          <w:color w:val="231F20"/>
          <w:w w:val="105"/>
        </w:rPr>
        <w:t>con</w:t>
      </w:r>
      <w:r>
        <w:rPr>
          <w:color w:val="231F20"/>
          <w:spacing w:val="-31"/>
          <w:w w:val="105"/>
        </w:rPr>
        <w:t> </w:t>
      </w:r>
      <w:r>
        <w:rPr>
          <w:color w:val="231F20"/>
          <w:w w:val="105"/>
        </w:rPr>
        <w:t>fines</w:t>
      </w:r>
      <w:r>
        <w:rPr>
          <w:color w:val="231F20"/>
          <w:spacing w:val="-31"/>
          <w:w w:val="105"/>
        </w:rPr>
        <w:t> </w:t>
      </w:r>
      <w:r>
        <w:rPr>
          <w:color w:val="231F20"/>
          <w:spacing w:val="-3"/>
          <w:w w:val="105"/>
        </w:rPr>
        <w:t>cognitivos,</w:t>
      </w:r>
      <w:r>
        <w:rPr>
          <w:color w:val="231F20"/>
          <w:spacing w:val="-36"/>
          <w:w w:val="105"/>
        </w:rPr>
        <w:t> </w:t>
      </w:r>
      <w:r>
        <w:rPr>
          <w:color w:val="231F20"/>
          <w:w w:val="105"/>
        </w:rPr>
        <w:t>no</w:t>
      </w:r>
      <w:r>
        <w:rPr>
          <w:color w:val="231F20"/>
          <w:spacing w:val="-31"/>
          <w:w w:val="105"/>
        </w:rPr>
        <w:t> </w:t>
      </w:r>
      <w:r>
        <w:rPr>
          <w:color w:val="231F20"/>
          <w:spacing w:val="-3"/>
          <w:w w:val="105"/>
        </w:rPr>
        <w:t>únicamen- </w:t>
      </w:r>
      <w:r>
        <w:rPr>
          <w:color w:val="231F20"/>
          <w:w w:val="105"/>
        </w:rPr>
        <w:t>te</w:t>
      </w:r>
      <w:r>
        <w:rPr>
          <w:color w:val="231F20"/>
          <w:spacing w:val="-26"/>
          <w:w w:val="105"/>
        </w:rPr>
        <w:t> </w:t>
      </w:r>
      <w:r>
        <w:rPr>
          <w:color w:val="231F20"/>
          <w:spacing w:val="-3"/>
          <w:w w:val="105"/>
        </w:rPr>
        <w:t>como</w:t>
      </w:r>
      <w:r>
        <w:rPr>
          <w:color w:val="231F20"/>
          <w:spacing w:val="-26"/>
          <w:w w:val="105"/>
        </w:rPr>
        <w:t> </w:t>
      </w:r>
      <w:r>
        <w:rPr>
          <w:color w:val="231F20"/>
          <w:spacing w:val="-3"/>
          <w:w w:val="105"/>
        </w:rPr>
        <w:t>enlaces</w:t>
      </w:r>
      <w:r>
        <w:rPr>
          <w:color w:val="231F20"/>
          <w:spacing w:val="-26"/>
          <w:w w:val="105"/>
        </w:rPr>
        <w:t> </w:t>
      </w:r>
      <w:r>
        <w:rPr>
          <w:color w:val="231F20"/>
          <w:spacing w:val="-3"/>
          <w:w w:val="105"/>
        </w:rPr>
        <w:t>entre</w:t>
      </w:r>
      <w:r>
        <w:rPr>
          <w:color w:val="231F20"/>
          <w:spacing w:val="-26"/>
          <w:w w:val="105"/>
        </w:rPr>
        <w:t> </w:t>
      </w:r>
      <w:r>
        <w:rPr>
          <w:color w:val="231F20"/>
          <w:spacing w:val="-3"/>
          <w:w w:val="105"/>
        </w:rPr>
        <w:t>heterogéneos</w:t>
      </w:r>
      <w:r>
        <w:rPr>
          <w:color w:val="231F20"/>
          <w:spacing w:val="-26"/>
          <w:w w:val="105"/>
        </w:rPr>
        <w:t> </w:t>
      </w:r>
      <w:r>
        <w:rPr>
          <w:color w:val="231F20"/>
          <w:spacing w:val="-3"/>
          <w:w w:val="105"/>
        </w:rPr>
        <w:t>sino</w:t>
      </w:r>
      <w:r>
        <w:rPr>
          <w:color w:val="231F20"/>
          <w:spacing w:val="-26"/>
          <w:w w:val="105"/>
        </w:rPr>
        <w:t> </w:t>
      </w:r>
      <w:r>
        <w:rPr>
          <w:color w:val="231F20"/>
          <w:spacing w:val="-3"/>
          <w:w w:val="105"/>
        </w:rPr>
        <w:t>como</w:t>
      </w:r>
      <w:r>
        <w:rPr>
          <w:color w:val="231F20"/>
          <w:spacing w:val="-26"/>
          <w:w w:val="105"/>
        </w:rPr>
        <w:t> </w:t>
      </w:r>
      <w:r>
        <w:rPr>
          <w:color w:val="231F20"/>
          <w:spacing w:val="-3"/>
          <w:w w:val="105"/>
        </w:rPr>
        <w:t>estructuras</w:t>
      </w:r>
      <w:r>
        <w:rPr>
          <w:color w:val="231F20"/>
          <w:spacing w:val="-26"/>
          <w:w w:val="105"/>
        </w:rPr>
        <w:t> </w:t>
      </w:r>
      <w:r>
        <w:rPr>
          <w:color w:val="231F20"/>
          <w:spacing w:val="-3"/>
          <w:w w:val="105"/>
        </w:rPr>
        <w:t>complejas</w:t>
      </w:r>
      <w:r>
        <w:rPr>
          <w:color w:val="231F20"/>
          <w:spacing w:val="-26"/>
          <w:w w:val="105"/>
        </w:rPr>
        <w:t> </w:t>
      </w:r>
      <w:r>
        <w:rPr>
          <w:color w:val="231F20"/>
          <w:spacing w:val="-3"/>
          <w:w w:val="105"/>
        </w:rPr>
        <w:t>que implican</w:t>
      </w:r>
      <w:r>
        <w:rPr>
          <w:color w:val="231F20"/>
          <w:spacing w:val="-26"/>
          <w:w w:val="105"/>
        </w:rPr>
        <w:t> </w:t>
      </w:r>
      <w:r>
        <w:rPr>
          <w:color w:val="231F20"/>
          <w:spacing w:val="-3"/>
          <w:w w:val="105"/>
        </w:rPr>
        <w:t>varios</w:t>
      </w:r>
      <w:r>
        <w:rPr>
          <w:color w:val="231F20"/>
          <w:spacing w:val="-26"/>
          <w:w w:val="105"/>
        </w:rPr>
        <w:t> </w:t>
      </w:r>
      <w:r>
        <w:rPr>
          <w:color w:val="231F20"/>
          <w:spacing w:val="-3"/>
          <w:w w:val="105"/>
        </w:rPr>
        <w:t>niveles</w:t>
      </w:r>
      <w:r>
        <w:rPr>
          <w:color w:val="231F20"/>
          <w:spacing w:val="-26"/>
          <w:w w:val="105"/>
        </w:rPr>
        <w:t> </w:t>
      </w:r>
      <w:r>
        <w:rPr>
          <w:color w:val="231F20"/>
          <w:w w:val="105"/>
        </w:rPr>
        <w:t>de</w:t>
      </w:r>
      <w:r>
        <w:rPr>
          <w:color w:val="231F20"/>
          <w:spacing w:val="-26"/>
          <w:w w:val="105"/>
        </w:rPr>
        <w:t> </w:t>
      </w:r>
      <w:r>
        <w:rPr>
          <w:color w:val="231F20"/>
          <w:spacing w:val="-3"/>
          <w:w w:val="105"/>
        </w:rPr>
        <w:t>análisis</w:t>
      </w:r>
      <w:r>
        <w:rPr>
          <w:color w:val="231F20"/>
          <w:spacing w:val="-26"/>
          <w:w w:val="105"/>
        </w:rPr>
        <w:t> </w:t>
      </w:r>
      <w:r>
        <w:rPr>
          <w:color w:val="231F20"/>
          <w:w w:val="105"/>
        </w:rPr>
        <w:t>y</w:t>
      </w:r>
      <w:r>
        <w:rPr>
          <w:color w:val="231F20"/>
          <w:spacing w:val="-26"/>
          <w:w w:val="105"/>
        </w:rPr>
        <w:t> </w:t>
      </w:r>
      <w:r>
        <w:rPr>
          <w:color w:val="231F20"/>
          <w:spacing w:val="-3"/>
          <w:w w:val="105"/>
        </w:rPr>
        <w:t>relaciones</w:t>
      </w:r>
      <w:r>
        <w:rPr>
          <w:color w:val="231F20"/>
          <w:spacing w:val="-26"/>
          <w:w w:val="105"/>
        </w:rPr>
        <w:t> </w:t>
      </w:r>
      <w:r>
        <w:rPr>
          <w:color w:val="231F20"/>
          <w:spacing w:val="-3"/>
          <w:w w:val="105"/>
        </w:rPr>
        <w:t>frecuentes</w:t>
      </w:r>
      <w:r>
        <w:rPr>
          <w:color w:val="231F20"/>
          <w:spacing w:val="-26"/>
          <w:w w:val="105"/>
        </w:rPr>
        <w:t> </w:t>
      </w:r>
      <w:r>
        <w:rPr>
          <w:color w:val="231F20"/>
          <w:w w:val="105"/>
        </w:rPr>
        <w:t>de</w:t>
      </w:r>
      <w:r>
        <w:rPr>
          <w:color w:val="231F20"/>
          <w:spacing w:val="-26"/>
          <w:w w:val="105"/>
        </w:rPr>
        <w:t> </w:t>
      </w:r>
      <w:r>
        <w:rPr>
          <w:color w:val="231F20"/>
          <w:spacing w:val="-3"/>
          <w:w w:val="105"/>
        </w:rPr>
        <w:t>largo</w:t>
      </w:r>
      <w:r>
        <w:rPr>
          <w:color w:val="231F20"/>
          <w:spacing w:val="-26"/>
          <w:w w:val="105"/>
        </w:rPr>
        <w:t> </w:t>
      </w:r>
      <w:r>
        <w:rPr>
          <w:color w:val="231F20"/>
          <w:spacing w:val="-3"/>
          <w:w w:val="105"/>
        </w:rPr>
        <w:t>plazo.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0"/>
        <w:jc w:val="both"/>
      </w:pPr>
      <w:r>
        <w:rPr>
          <w:color w:val="231F20"/>
          <w:w w:val="105"/>
        </w:rPr>
        <w:t>En</w:t>
      </w:r>
      <w:r>
        <w:rPr>
          <w:color w:val="231F20"/>
          <w:spacing w:val="-17"/>
          <w:w w:val="105"/>
        </w:rPr>
        <w:t> </w:t>
      </w:r>
      <w:r>
        <w:rPr>
          <w:color w:val="231F20"/>
          <w:w w:val="105"/>
        </w:rPr>
        <w:t>lo</w:t>
      </w:r>
      <w:r>
        <w:rPr>
          <w:color w:val="231F20"/>
          <w:spacing w:val="-17"/>
          <w:w w:val="105"/>
        </w:rPr>
        <w:t> </w:t>
      </w:r>
      <w:r>
        <w:rPr>
          <w:color w:val="231F20"/>
          <w:w w:val="105"/>
        </w:rPr>
        <w:t>últimos</w:t>
      </w:r>
      <w:r>
        <w:rPr>
          <w:color w:val="231F20"/>
          <w:spacing w:val="-17"/>
          <w:w w:val="105"/>
        </w:rPr>
        <w:t> </w:t>
      </w:r>
      <w:r>
        <w:rPr>
          <w:color w:val="231F20"/>
          <w:w w:val="105"/>
        </w:rPr>
        <w:t>años,</w:t>
      </w:r>
      <w:r>
        <w:rPr>
          <w:color w:val="231F20"/>
          <w:spacing w:val="-22"/>
          <w:w w:val="105"/>
        </w:rPr>
        <w:t> </w:t>
      </w:r>
      <w:r>
        <w:rPr>
          <w:color w:val="231F20"/>
          <w:w w:val="105"/>
        </w:rPr>
        <w:t>como</w:t>
      </w:r>
      <w:r>
        <w:rPr>
          <w:color w:val="231F20"/>
          <w:spacing w:val="-17"/>
          <w:w w:val="105"/>
        </w:rPr>
        <w:t> </w:t>
      </w:r>
      <w:r>
        <w:rPr>
          <w:color w:val="231F20"/>
          <w:w w:val="105"/>
        </w:rPr>
        <w:t>resultado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inmersión</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sociedades</w:t>
      </w:r>
      <w:r>
        <w:rPr>
          <w:color w:val="231F20"/>
          <w:spacing w:val="-17"/>
          <w:w w:val="105"/>
        </w:rPr>
        <w:t> </w:t>
      </w:r>
      <w:r>
        <w:rPr>
          <w:color w:val="231F20"/>
          <w:w w:val="105"/>
        </w:rPr>
        <w:t>en la</w:t>
      </w:r>
      <w:r>
        <w:rPr>
          <w:color w:val="231F20"/>
          <w:spacing w:val="-13"/>
          <w:w w:val="105"/>
        </w:rPr>
        <w:t> </w:t>
      </w:r>
      <w:r>
        <w:rPr>
          <w:color w:val="231F20"/>
          <w:w w:val="105"/>
        </w:rPr>
        <w:t>economía</w:t>
      </w:r>
      <w:r>
        <w:rPr>
          <w:color w:val="231F20"/>
          <w:spacing w:val="-13"/>
          <w:w w:val="105"/>
        </w:rPr>
        <w:t> </w:t>
      </w:r>
      <w:r>
        <w:rPr>
          <w:color w:val="231F20"/>
          <w:w w:val="105"/>
        </w:rPr>
        <w:t>de</w:t>
      </w:r>
      <w:r>
        <w:rPr>
          <w:color w:val="231F20"/>
          <w:spacing w:val="-13"/>
          <w:w w:val="105"/>
        </w:rPr>
        <w:t> </w:t>
      </w:r>
      <w:r>
        <w:rPr>
          <w:color w:val="231F20"/>
          <w:w w:val="105"/>
        </w:rPr>
        <w:t>conocimiento,</w:t>
      </w:r>
      <w:r>
        <w:rPr>
          <w:color w:val="231F20"/>
          <w:spacing w:val="-19"/>
          <w:w w:val="105"/>
        </w:rPr>
        <w:t> </w:t>
      </w:r>
      <w:r>
        <w:rPr>
          <w:color w:val="231F20"/>
          <w:w w:val="105"/>
        </w:rPr>
        <w:t>se</w:t>
      </w:r>
      <w:r>
        <w:rPr>
          <w:color w:val="231F20"/>
          <w:spacing w:val="-13"/>
          <w:w w:val="105"/>
        </w:rPr>
        <w:t> </w:t>
      </w:r>
      <w:r>
        <w:rPr>
          <w:color w:val="231F20"/>
          <w:w w:val="105"/>
        </w:rPr>
        <w:t>ha</w:t>
      </w:r>
      <w:r>
        <w:rPr>
          <w:color w:val="231F20"/>
          <w:spacing w:val="-13"/>
          <w:w w:val="105"/>
        </w:rPr>
        <w:t> </w:t>
      </w:r>
      <w:r>
        <w:rPr>
          <w:color w:val="231F20"/>
          <w:w w:val="105"/>
        </w:rPr>
        <w:t>reconocido</w:t>
      </w:r>
      <w:r>
        <w:rPr>
          <w:color w:val="231F20"/>
          <w:spacing w:val="-13"/>
          <w:w w:val="105"/>
        </w:rPr>
        <w:t> </w:t>
      </w:r>
      <w:r>
        <w:rPr>
          <w:color w:val="231F20"/>
          <w:w w:val="105"/>
        </w:rPr>
        <w:t>al</w:t>
      </w:r>
      <w:r>
        <w:rPr>
          <w:color w:val="231F20"/>
          <w:spacing w:val="-13"/>
          <w:w w:val="105"/>
        </w:rPr>
        <w:t> </w:t>
      </w:r>
      <w:r>
        <w:rPr>
          <w:color w:val="231F20"/>
          <w:w w:val="105"/>
        </w:rPr>
        <w:t>factor</w:t>
      </w:r>
      <w:r>
        <w:rPr>
          <w:color w:val="231F20"/>
          <w:spacing w:val="-13"/>
          <w:w w:val="105"/>
        </w:rPr>
        <w:t> </w:t>
      </w:r>
      <w:r>
        <w:rPr>
          <w:color w:val="231F20"/>
          <w:w w:val="105"/>
        </w:rPr>
        <w:t>cognitivo</w:t>
      </w:r>
      <w:r>
        <w:rPr>
          <w:color w:val="231F20"/>
          <w:spacing w:val="-13"/>
          <w:w w:val="105"/>
        </w:rPr>
        <w:t> </w:t>
      </w:r>
      <w:r>
        <w:rPr>
          <w:color w:val="231F20"/>
          <w:w w:val="105"/>
        </w:rPr>
        <w:t>como un componente de producción intangible, necesario para generar</w:t>
      </w:r>
      <w:r>
        <w:rPr>
          <w:color w:val="231F20"/>
          <w:spacing w:val="-15"/>
          <w:w w:val="105"/>
        </w:rPr>
        <w:t> </w:t>
      </w:r>
      <w:r>
        <w:rPr>
          <w:color w:val="231F20"/>
          <w:w w:val="105"/>
        </w:rPr>
        <w:t>inno- vación</w:t>
      </w:r>
      <w:r>
        <w:rPr>
          <w:color w:val="231F20"/>
          <w:spacing w:val="-15"/>
          <w:w w:val="105"/>
        </w:rPr>
        <w:t> </w:t>
      </w:r>
      <w:r>
        <w:rPr>
          <w:color w:val="231F20"/>
          <w:w w:val="105"/>
        </w:rPr>
        <w:t>y</w:t>
      </w:r>
      <w:r>
        <w:rPr>
          <w:color w:val="231F20"/>
          <w:spacing w:val="-15"/>
          <w:w w:val="105"/>
        </w:rPr>
        <w:t> </w:t>
      </w:r>
      <w:r>
        <w:rPr>
          <w:color w:val="231F20"/>
          <w:w w:val="105"/>
        </w:rPr>
        <w:t>cambio</w:t>
      </w:r>
      <w:r>
        <w:rPr>
          <w:color w:val="231F20"/>
          <w:spacing w:val="-15"/>
          <w:w w:val="105"/>
        </w:rPr>
        <w:t> </w:t>
      </w:r>
      <w:r>
        <w:rPr>
          <w:color w:val="231F20"/>
          <w:w w:val="105"/>
        </w:rPr>
        <w:t>tecnológico,</w:t>
      </w:r>
      <w:r>
        <w:rPr>
          <w:color w:val="231F20"/>
          <w:spacing w:val="-22"/>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desarrollo</w:t>
      </w:r>
      <w:r>
        <w:rPr>
          <w:color w:val="231F20"/>
          <w:spacing w:val="-15"/>
          <w:w w:val="105"/>
        </w:rPr>
        <w:t> </w:t>
      </w:r>
      <w:r>
        <w:rPr>
          <w:color w:val="231F20"/>
          <w:w w:val="105"/>
        </w:rPr>
        <w:t>económico</w:t>
      </w:r>
      <w:r>
        <w:rPr>
          <w:color w:val="231F20"/>
          <w:spacing w:val="-15"/>
          <w:w w:val="105"/>
        </w:rPr>
        <w:t> </w:t>
      </w:r>
      <w:r>
        <w:rPr>
          <w:color w:val="231F20"/>
          <w:w w:val="105"/>
        </w:rPr>
        <w:t>y</w:t>
      </w:r>
      <w:r>
        <w:rPr>
          <w:color w:val="231F20"/>
          <w:spacing w:val="-15"/>
          <w:w w:val="105"/>
        </w:rPr>
        <w:t> </w:t>
      </w:r>
      <w:r>
        <w:rPr>
          <w:color w:val="231F20"/>
          <w:w w:val="105"/>
        </w:rPr>
        <w:t>social.</w:t>
      </w:r>
    </w:p>
    <w:p>
      <w:pPr>
        <w:spacing w:after="0" w:line="259" w:lineRule="auto"/>
        <w:jc w:val="both"/>
        <w:sectPr>
          <w:pgSz w:w="9640" w:h="13890"/>
          <w:pgMar w:top="1300" w:bottom="280" w:left="1300" w:right="1180"/>
        </w:sectPr>
      </w:pPr>
    </w:p>
    <w:p>
      <w:pPr>
        <w:pStyle w:val="BodyText"/>
        <w:spacing w:line="259" w:lineRule="auto" w:before="64"/>
        <w:ind w:left="103" w:right="114"/>
        <w:jc w:val="both"/>
      </w:pPr>
      <w:r>
        <w:rPr>
          <w:color w:val="231F20"/>
          <w:w w:val="105"/>
        </w:rPr>
        <w:t>Bajo</w:t>
      </w:r>
      <w:r>
        <w:rPr>
          <w:color w:val="231F20"/>
          <w:spacing w:val="-14"/>
          <w:w w:val="105"/>
        </w:rPr>
        <w:t> </w:t>
      </w:r>
      <w:r>
        <w:rPr>
          <w:color w:val="231F20"/>
          <w:w w:val="105"/>
        </w:rPr>
        <w:t>esta</w:t>
      </w:r>
      <w:r>
        <w:rPr>
          <w:color w:val="231F20"/>
          <w:spacing w:val="-14"/>
          <w:w w:val="105"/>
        </w:rPr>
        <w:t> </w:t>
      </w:r>
      <w:r>
        <w:rPr>
          <w:color w:val="231F20"/>
          <w:w w:val="105"/>
        </w:rPr>
        <w:t>perspectiva,</w:t>
      </w:r>
      <w:r>
        <w:rPr>
          <w:color w:val="231F20"/>
          <w:spacing w:val="-20"/>
          <w:w w:val="105"/>
        </w:rPr>
        <w:t> </w:t>
      </w:r>
      <w:r>
        <w:rPr>
          <w:color w:val="231F20"/>
          <w:w w:val="105"/>
        </w:rPr>
        <w:t>la</w:t>
      </w:r>
      <w:r>
        <w:rPr>
          <w:color w:val="231F20"/>
          <w:spacing w:val="-14"/>
          <w:w w:val="105"/>
        </w:rPr>
        <w:t> </w:t>
      </w:r>
      <w:r>
        <w:rPr>
          <w:color w:val="231F20"/>
          <w:w w:val="105"/>
        </w:rPr>
        <w:t>configuración</w:t>
      </w:r>
      <w:r>
        <w:rPr>
          <w:color w:val="231F20"/>
          <w:spacing w:val="-14"/>
          <w:w w:val="105"/>
        </w:rPr>
        <w:t> </w:t>
      </w:r>
      <w:r>
        <w:rPr>
          <w:color w:val="231F20"/>
          <w:w w:val="105"/>
        </w:rPr>
        <w:t>de</w:t>
      </w:r>
      <w:r>
        <w:rPr>
          <w:color w:val="231F20"/>
          <w:spacing w:val="-14"/>
          <w:w w:val="105"/>
        </w:rPr>
        <w:t> </w:t>
      </w:r>
      <w:r>
        <w:rPr>
          <w:color w:val="231F20"/>
          <w:w w:val="105"/>
        </w:rPr>
        <w:t>redes</w:t>
      </w:r>
      <w:r>
        <w:rPr>
          <w:color w:val="231F20"/>
          <w:spacing w:val="-34"/>
          <w:w w:val="105"/>
        </w:rPr>
        <w:t> </w:t>
      </w:r>
      <w:r>
        <w:rPr>
          <w:color w:val="231F20"/>
          <w:w w:val="105"/>
        </w:rPr>
        <w:t>con</w:t>
      </w:r>
      <w:r>
        <w:rPr>
          <w:color w:val="231F20"/>
          <w:spacing w:val="-14"/>
          <w:w w:val="105"/>
        </w:rPr>
        <w:t> </w:t>
      </w:r>
      <w:r>
        <w:rPr>
          <w:color w:val="231F20"/>
          <w:w w:val="105"/>
        </w:rPr>
        <w:t>fines</w:t>
      </w:r>
      <w:r>
        <w:rPr>
          <w:color w:val="231F20"/>
          <w:spacing w:val="-14"/>
          <w:w w:val="105"/>
        </w:rPr>
        <w:t> </w:t>
      </w:r>
      <w:r>
        <w:rPr>
          <w:color w:val="231F20"/>
          <w:w w:val="105"/>
        </w:rPr>
        <w:t>de</w:t>
      </w:r>
      <w:r>
        <w:rPr>
          <w:color w:val="231F20"/>
          <w:spacing w:val="-14"/>
          <w:w w:val="105"/>
        </w:rPr>
        <w:t> </w:t>
      </w:r>
      <w:r>
        <w:rPr>
          <w:color w:val="231F20"/>
          <w:w w:val="105"/>
        </w:rPr>
        <w:t>interacción cognitiva</w:t>
      </w:r>
      <w:r>
        <w:rPr>
          <w:color w:val="231F20"/>
          <w:spacing w:val="-7"/>
          <w:w w:val="105"/>
        </w:rPr>
        <w:t> </w:t>
      </w:r>
      <w:r>
        <w:rPr>
          <w:color w:val="231F20"/>
          <w:w w:val="105"/>
        </w:rPr>
        <w:t>asume</w:t>
      </w:r>
      <w:r>
        <w:rPr>
          <w:color w:val="231F20"/>
          <w:spacing w:val="-7"/>
          <w:w w:val="105"/>
        </w:rPr>
        <w:t> </w:t>
      </w:r>
      <w:r>
        <w:rPr>
          <w:color w:val="231F20"/>
          <w:w w:val="105"/>
        </w:rPr>
        <w:t>especial</w:t>
      </w:r>
      <w:r>
        <w:rPr>
          <w:color w:val="231F20"/>
          <w:spacing w:val="-7"/>
          <w:w w:val="105"/>
        </w:rPr>
        <w:t> </w:t>
      </w:r>
      <w:r>
        <w:rPr>
          <w:color w:val="231F20"/>
          <w:w w:val="105"/>
        </w:rPr>
        <w:t>relevancia,</w:t>
      </w:r>
      <w:r>
        <w:rPr>
          <w:color w:val="231F20"/>
          <w:spacing w:val="-12"/>
          <w:w w:val="105"/>
        </w:rPr>
        <w:t> </w:t>
      </w:r>
      <w:r>
        <w:rPr>
          <w:color w:val="231F20"/>
          <w:w w:val="105"/>
        </w:rPr>
        <w:t>ya</w:t>
      </w:r>
      <w:r>
        <w:rPr>
          <w:color w:val="231F20"/>
          <w:spacing w:val="-7"/>
          <w:w w:val="105"/>
        </w:rPr>
        <w:t> </w:t>
      </w:r>
      <w:r>
        <w:rPr>
          <w:color w:val="231F20"/>
          <w:w w:val="105"/>
        </w:rPr>
        <w:t>que</w:t>
      </w:r>
      <w:r>
        <w:rPr>
          <w:color w:val="231F20"/>
          <w:spacing w:val="-7"/>
          <w:w w:val="105"/>
        </w:rPr>
        <w:t> </w:t>
      </w:r>
      <w:r>
        <w:rPr>
          <w:color w:val="231F20"/>
          <w:w w:val="105"/>
        </w:rPr>
        <w:t>a</w:t>
      </w:r>
      <w:r>
        <w:rPr>
          <w:color w:val="231F20"/>
          <w:spacing w:val="-7"/>
          <w:w w:val="105"/>
        </w:rPr>
        <w:t> </w:t>
      </w:r>
      <w:r>
        <w:rPr>
          <w:color w:val="231F20"/>
          <w:w w:val="105"/>
        </w:rPr>
        <w:t>través</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conexiones entre actores heterogéneos es posible intercambiar conocimiento útil para</w:t>
      </w:r>
      <w:r>
        <w:rPr>
          <w:color w:val="231F20"/>
          <w:spacing w:val="-24"/>
          <w:w w:val="105"/>
        </w:rPr>
        <w:t> </w:t>
      </w:r>
      <w:r>
        <w:rPr>
          <w:color w:val="231F20"/>
          <w:w w:val="105"/>
        </w:rPr>
        <w:t>las</w:t>
      </w:r>
      <w:r>
        <w:rPr>
          <w:color w:val="231F20"/>
          <w:spacing w:val="-24"/>
          <w:w w:val="105"/>
        </w:rPr>
        <w:t> </w:t>
      </w:r>
      <w:r>
        <w:rPr>
          <w:color w:val="231F20"/>
          <w:w w:val="105"/>
        </w:rPr>
        <w:t>organizaciones</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sociedad</w:t>
      </w:r>
      <w:r>
        <w:rPr>
          <w:color w:val="231F20"/>
          <w:spacing w:val="-24"/>
          <w:w w:val="105"/>
        </w:rPr>
        <w:t> </w:t>
      </w:r>
      <w:r>
        <w:rPr>
          <w:color w:val="231F20"/>
          <w:w w:val="105"/>
        </w:rPr>
        <w:t>en</w:t>
      </w:r>
      <w:r>
        <w:rPr>
          <w:color w:val="231F20"/>
          <w:spacing w:val="-24"/>
          <w:w w:val="105"/>
        </w:rPr>
        <w:t> </w:t>
      </w:r>
      <w:r>
        <w:rPr>
          <w:color w:val="231F20"/>
          <w:w w:val="105"/>
        </w:rPr>
        <w:t>general.</w:t>
      </w:r>
    </w:p>
    <w:p>
      <w:pPr>
        <w:pStyle w:val="BodyText"/>
        <w:spacing w:line="259" w:lineRule="auto"/>
        <w:ind w:left="103" w:right="114" w:firstLine="567"/>
        <w:jc w:val="both"/>
      </w:pPr>
      <w:r>
        <w:rPr>
          <w:color w:val="231F20"/>
          <w:w w:val="105"/>
        </w:rPr>
        <w:t>No obstante, a pesar de la trascendencia que tiene el estudio del conocimiento generado en red, se carece de esquemas analíticos que posibiliten indagar conjuntamente la relación redes-conocimiento y</w:t>
      </w:r>
      <w:r>
        <w:rPr>
          <w:color w:val="231F20"/>
          <w:spacing w:val="-28"/>
          <w:w w:val="105"/>
        </w:rPr>
        <w:t> </w:t>
      </w:r>
      <w:r>
        <w:rPr>
          <w:color w:val="231F20"/>
          <w:w w:val="105"/>
        </w:rPr>
        <w:t>que a</w:t>
      </w:r>
      <w:r>
        <w:rPr>
          <w:color w:val="231F20"/>
          <w:spacing w:val="-11"/>
          <w:w w:val="105"/>
        </w:rPr>
        <w:t> </w:t>
      </w:r>
      <w:r>
        <w:rPr>
          <w:color w:val="231F20"/>
          <w:w w:val="105"/>
        </w:rPr>
        <w:t>su</w:t>
      </w:r>
      <w:r>
        <w:rPr>
          <w:color w:val="231F20"/>
          <w:spacing w:val="-11"/>
          <w:w w:val="105"/>
        </w:rPr>
        <w:t> </w:t>
      </w:r>
      <w:r>
        <w:rPr>
          <w:color w:val="231F20"/>
          <w:w w:val="105"/>
        </w:rPr>
        <w:t>vez,</w:t>
      </w:r>
      <w:r>
        <w:rPr>
          <w:color w:val="231F20"/>
          <w:spacing w:val="-16"/>
          <w:w w:val="105"/>
        </w:rPr>
        <w:t> </w:t>
      </w:r>
      <w:r>
        <w:rPr>
          <w:color w:val="231F20"/>
          <w:w w:val="105"/>
        </w:rPr>
        <w:t>proporcionen</w:t>
      </w:r>
      <w:r>
        <w:rPr>
          <w:color w:val="231F20"/>
          <w:spacing w:val="-11"/>
          <w:w w:val="105"/>
        </w:rPr>
        <w:t> </w:t>
      </w:r>
      <w:r>
        <w:rPr>
          <w:color w:val="231F20"/>
          <w:w w:val="105"/>
        </w:rPr>
        <w:t>resultados</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ámbitos</w:t>
      </w:r>
      <w:r>
        <w:rPr>
          <w:color w:val="231F20"/>
          <w:spacing w:val="-11"/>
          <w:w w:val="105"/>
        </w:rPr>
        <w:t> </w:t>
      </w:r>
      <w:r>
        <w:rPr>
          <w:color w:val="231F20"/>
          <w:w w:val="105"/>
        </w:rPr>
        <w:t>cuantitativos</w:t>
      </w:r>
      <w:r>
        <w:rPr>
          <w:color w:val="231F20"/>
          <w:spacing w:val="-11"/>
          <w:w w:val="105"/>
        </w:rPr>
        <w:t> </w:t>
      </w:r>
      <w:r>
        <w:rPr>
          <w:color w:val="231F20"/>
          <w:w w:val="105"/>
        </w:rPr>
        <w:t>y</w:t>
      </w:r>
      <w:r>
        <w:rPr>
          <w:color w:val="231F20"/>
          <w:spacing w:val="-11"/>
          <w:w w:val="105"/>
        </w:rPr>
        <w:t> </w:t>
      </w:r>
      <w:r>
        <w:rPr>
          <w:color w:val="231F20"/>
          <w:w w:val="105"/>
        </w:rPr>
        <w:t>cualita- tivos.</w:t>
      </w:r>
      <w:r>
        <w:rPr>
          <w:color w:val="231F20"/>
          <w:spacing w:val="-14"/>
          <w:w w:val="105"/>
        </w:rPr>
        <w:t> </w:t>
      </w:r>
      <w:r>
        <w:rPr>
          <w:color w:val="231F20"/>
          <w:w w:val="105"/>
        </w:rPr>
        <w:t>Así,</w:t>
      </w:r>
      <w:r>
        <w:rPr>
          <w:color w:val="231F20"/>
          <w:spacing w:val="-10"/>
          <w:w w:val="105"/>
        </w:rPr>
        <w:t> </w:t>
      </w:r>
      <w:r>
        <w:rPr>
          <w:color w:val="231F20"/>
          <w:w w:val="105"/>
        </w:rPr>
        <w:t>el</w:t>
      </w:r>
      <w:r>
        <w:rPr>
          <w:color w:val="231F20"/>
          <w:spacing w:val="-4"/>
          <w:w w:val="105"/>
        </w:rPr>
        <w:t> </w:t>
      </w:r>
      <w:r>
        <w:rPr>
          <w:color w:val="231F20"/>
          <w:w w:val="105"/>
        </w:rPr>
        <w:t>objetivo</w:t>
      </w:r>
      <w:r>
        <w:rPr>
          <w:color w:val="231F20"/>
          <w:spacing w:val="-4"/>
          <w:w w:val="105"/>
        </w:rPr>
        <w:t> </w:t>
      </w:r>
      <w:r>
        <w:rPr>
          <w:color w:val="231F20"/>
          <w:w w:val="105"/>
        </w:rPr>
        <w:t>de</w:t>
      </w:r>
      <w:r>
        <w:rPr>
          <w:color w:val="231F20"/>
          <w:spacing w:val="-4"/>
          <w:w w:val="105"/>
        </w:rPr>
        <w:t> </w:t>
      </w:r>
      <w:r>
        <w:rPr>
          <w:color w:val="231F20"/>
          <w:w w:val="105"/>
        </w:rPr>
        <w:t>este</w:t>
      </w:r>
      <w:r>
        <w:rPr>
          <w:color w:val="231F20"/>
          <w:spacing w:val="-4"/>
          <w:w w:val="105"/>
        </w:rPr>
        <w:t> </w:t>
      </w:r>
      <w:r>
        <w:rPr>
          <w:color w:val="231F20"/>
          <w:w w:val="105"/>
        </w:rPr>
        <w:t>trabajo</w:t>
      </w:r>
      <w:r>
        <w:rPr>
          <w:color w:val="231F20"/>
          <w:spacing w:val="-4"/>
          <w:w w:val="105"/>
        </w:rPr>
        <w:t> </w:t>
      </w:r>
      <w:r>
        <w:rPr>
          <w:color w:val="231F20"/>
          <w:w w:val="105"/>
        </w:rPr>
        <w:t>es</w:t>
      </w:r>
      <w:r>
        <w:rPr>
          <w:color w:val="231F20"/>
          <w:spacing w:val="-4"/>
          <w:w w:val="105"/>
        </w:rPr>
        <w:t> </w:t>
      </w:r>
      <w:r>
        <w:rPr>
          <w:color w:val="231F20"/>
          <w:w w:val="105"/>
        </w:rPr>
        <w:t>proponer</w:t>
      </w:r>
      <w:r>
        <w:rPr>
          <w:color w:val="231F20"/>
          <w:spacing w:val="-4"/>
          <w:w w:val="105"/>
        </w:rPr>
        <w:t> </w:t>
      </w:r>
      <w:r>
        <w:rPr>
          <w:color w:val="231F20"/>
          <w:w w:val="105"/>
        </w:rPr>
        <w:t>un</w:t>
      </w:r>
      <w:r>
        <w:rPr>
          <w:color w:val="231F20"/>
          <w:spacing w:val="-4"/>
          <w:w w:val="105"/>
        </w:rPr>
        <w:t> </w:t>
      </w:r>
      <w:r>
        <w:rPr>
          <w:color w:val="231F20"/>
          <w:w w:val="105"/>
        </w:rPr>
        <w:t>marco</w:t>
      </w:r>
      <w:r>
        <w:rPr>
          <w:color w:val="231F20"/>
          <w:spacing w:val="-4"/>
          <w:w w:val="105"/>
        </w:rPr>
        <w:t> </w:t>
      </w:r>
      <w:r>
        <w:rPr>
          <w:color w:val="231F20"/>
          <w:w w:val="105"/>
        </w:rPr>
        <w:t>metodológi- co para examinar de forma conjunta las redes y el conocimiento con la finalidad</w:t>
      </w:r>
      <w:r>
        <w:rPr>
          <w:color w:val="231F20"/>
          <w:spacing w:val="-13"/>
          <w:w w:val="105"/>
        </w:rPr>
        <w:t> </w:t>
      </w:r>
      <w:r>
        <w:rPr>
          <w:color w:val="231F20"/>
          <w:w w:val="105"/>
        </w:rPr>
        <w:t>de</w:t>
      </w:r>
      <w:r>
        <w:rPr>
          <w:color w:val="231F20"/>
          <w:spacing w:val="-13"/>
          <w:w w:val="105"/>
        </w:rPr>
        <w:t> </w:t>
      </w:r>
      <w:r>
        <w:rPr>
          <w:color w:val="231F20"/>
          <w:w w:val="105"/>
        </w:rPr>
        <w:t>obtener</w:t>
      </w:r>
      <w:r>
        <w:rPr>
          <w:color w:val="231F20"/>
          <w:spacing w:val="-13"/>
          <w:w w:val="105"/>
        </w:rPr>
        <w:t> </w:t>
      </w:r>
      <w:r>
        <w:rPr>
          <w:color w:val="231F20"/>
          <w:w w:val="105"/>
        </w:rPr>
        <w:t>hallazgos</w:t>
      </w:r>
      <w:r>
        <w:rPr>
          <w:color w:val="231F20"/>
          <w:spacing w:val="-13"/>
          <w:w w:val="105"/>
        </w:rPr>
        <w:t> </w:t>
      </w:r>
      <w:r>
        <w:rPr>
          <w:color w:val="231F20"/>
          <w:w w:val="105"/>
        </w:rPr>
        <w:t>cualitativos</w:t>
      </w:r>
      <w:r>
        <w:rPr>
          <w:color w:val="231F20"/>
          <w:spacing w:val="-13"/>
          <w:w w:val="105"/>
        </w:rPr>
        <w:t> </w:t>
      </w:r>
      <w:r>
        <w:rPr>
          <w:color w:val="231F20"/>
          <w:w w:val="105"/>
        </w:rPr>
        <w:t>y</w:t>
      </w:r>
      <w:r>
        <w:rPr>
          <w:color w:val="231F20"/>
          <w:spacing w:val="-13"/>
          <w:w w:val="105"/>
        </w:rPr>
        <w:t> </w:t>
      </w:r>
      <w:r>
        <w:rPr>
          <w:color w:val="231F20"/>
          <w:w w:val="105"/>
        </w:rPr>
        <w:t>cuantitativos</w:t>
      </w:r>
      <w:r>
        <w:rPr>
          <w:color w:val="231F20"/>
          <w:spacing w:val="-13"/>
          <w:w w:val="105"/>
        </w:rPr>
        <w:t> </w:t>
      </w:r>
      <w:r>
        <w:rPr>
          <w:color w:val="231F20"/>
          <w:w w:val="105"/>
        </w:rPr>
        <w:t>que</w:t>
      </w:r>
      <w:r>
        <w:rPr>
          <w:color w:val="231F20"/>
          <w:spacing w:val="-13"/>
          <w:w w:val="105"/>
        </w:rPr>
        <w:t> </w:t>
      </w:r>
      <w:r>
        <w:rPr>
          <w:color w:val="231F20"/>
          <w:w w:val="105"/>
        </w:rPr>
        <w:t>posibiliten hacer</w:t>
      </w:r>
      <w:r>
        <w:rPr>
          <w:color w:val="231F20"/>
          <w:spacing w:val="-6"/>
          <w:w w:val="105"/>
        </w:rPr>
        <w:t> </w:t>
      </w:r>
      <w:r>
        <w:rPr>
          <w:color w:val="231F20"/>
          <w:w w:val="105"/>
        </w:rPr>
        <w:t>inferencias</w:t>
      </w:r>
      <w:r>
        <w:rPr>
          <w:color w:val="231F20"/>
          <w:spacing w:val="-6"/>
          <w:w w:val="105"/>
        </w:rPr>
        <w:t> </w:t>
      </w:r>
      <w:r>
        <w:rPr>
          <w:color w:val="231F20"/>
          <w:w w:val="105"/>
        </w:rPr>
        <w:t>respecto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configuración</w:t>
      </w:r>
      <w:r>
        <w:rPr>
          <w:color w:val="231F20"/>
          <w:spacing w:val="-6"/>
          <w:w w:val="105"/>
        </w:rPr>
        <w:t> </w:t>
      </w:r>
      <w:r>
        <w:rPr>
          <w:color w:val="231F20"/>
          <w:w w:val="105"/>
        </w:rPr>
        <w:t>de</w:t>
      </w:r>
      <w:r>
        <w:rPr>
          <w:color w:val="231F20"/>
          <w:spacing w:val="-6"/>
          <w:w w:val="105"/>
        </w:rPr>
        <w:t> </w:t>
      </w:r>
      <w:r>
        <w:rPr>
          <w:color w:val="231F20"/>
          <w:w w:val="105"/>
        </w:rPr>
        <w:t>redes</w:t>
      </w:r>
      <w:r>
        <w:rPr>
          <w:color w:val="231F20"/>
          <w:spacing w:val="-6"/>
          <w:w w:val="105"/>
        </w:rPr>
        <w:t> </w:t>
      </w:r>
      <w:r>
        <w:rPr>
          <w:color w:val="231F20"/>
          <w:w w:val="105"/>
        </w:rPr>
        <w:t>de</w:t>
      </w:r>
      <w:r>
        <w:rPr>
          <w:color w:val="231F20"/>
          <w:spacing w:val="-6"/>
          <w:w w:val="105"/>
        </w:rPr>
        <w:t> </w:t>
      </w:r>
      <w:r>
        <w:rPr>
          <w:color w:val="231F20"/>
          <w:w w:val="105"/>
        </w:rPr>
        <w:t>conocimiento entre</w:t>
      </w:r>
      <w:r>
        <w:rPr>
          <w:color w:val="231F20"/>
          <w:spacing w:val="-23"/>
          <w:w w:val="105"/>
        </w:rPr>
        <w:t> </w:t>
      </w:r>
      <w:r>
        <w:rPr>
          <w:color w:val="231F20"/>
          <w:w w:val="105"/>
        </w:rPr>
        <w:t>actores</w:t>
      </w:r>
      <w:r>
        <w:rPr>
          <w:color w:val="231F20"/>
          <w:spacing w:val="-23"/>
          <w:w w:val="105"/>
        </w:rPr>
        <w:t> </w:t>
      </w:r>
      <w:r>
        <w:rPr>
          <w:color w:val="231F20"/>
          <w:w w:val="105"/>
        </w:rPr>
        <w:t>heterogéneos.</w:t>
      </w:r>
      <w:r>
        <w:rPr>
          <w:color w:val="231F20"/>
          <w:spacing w:val="-28"/>
          <w:w w:val="105"/>
        </w:rPr>
        <w:t> </w:t>
      </w:r>
      <w:r>
        <w:rPr>
          <w:color w:val="231F20"/>
          <w:w w:val="105"/>
        </w:rPr>
        <w:t>La</w:t>
      </w:r>
      <w:r>
        <w:rPr>
          <w:color w:val="231F20"/>
          <w:spacing w:val="-23"/>
          <w:w w:val="105"/>
        </w:rPr>
        <w:t> </w:t>
      </w:r>
      <w:r>
        <w:rPr>
          <w:color w:val="231F20"/>
          <w:w w:val="105"/>
        </w:rPr>
        <w:t>justificación</w:t>
      </w:r>
      <w:r>
        <w:rPr>
          <w:color w:val="231F20"/>
          <w:spacing w:val="-23"/>
          <w:w w:val="105"/>
        </w:rPr>
        <w:t> </w:t>
      </w:r>
      <w:r>
        <w:rPr>
          <w:color w:val="231F20"/>
          <w:w w:val="105"/>
        </w:rPr>
        <w:t>para</w:t>
      </w:r>
      <w:r>
        <w:rPr>
          <w:color w:val="231F20"/>
          <w:spacing w:val="-23"/>
          <w:w w:val="105"/>
        </w:rPr>
        <w:t> </w:t>
      </w:r>
      <w:r>
        <w:rPr>
          <w:color w:val="231F20"/>
          <w:w w:val="105"/>
        </w:rPr>
        <w:t>tal</w:t>
      </w:r>
      <w:r>
        <w:rPr>
          <w:color w:val="231F20"/>
          <w:spacing w:val="-23"/>
          <w:w w:val="105"/>
        </w:rPr>
        <w:t> </w:t>
      </w:r>
      <w:r>
        <w:rPr>
          <w:color w:val="231F20"/>
          <w:w w:val="105"/>
        </w:rPr>
        <w:t>bosquejo</w:t>
      </w:r>
      <w:r>
        <w:rPr>
          <w:color w:val="231F20"/>
          <w:spacing w:val="-23"/>
          <w:w w:val="105"/>
        </w:rPr>
        <w:t> </w:t>
      </w:r>
      <w:r>
        <w:rPr>
          <w:color w:val="231F20"/>
          <w:w w:val="105"/>
        </w:rPr>
        <w:t>se</w:t>
      </w:r>
      <w:r>
        <w:rPr>
          <w:color w:val="231F20"/>
          <w:spacing w:val="-23"/>
          <w:w w:val="105"/>
        </w:rPr>
        <w:t> </w:t>
      </w:r>
      <w:r>
        <w:rPr>
          <w:color w:val="231F20"/>
          <w:w w:val="105"/>
        </w:rPr>
        <w:t>halla</w:t>
      </w:r>
      <w:r>
        <w:rPr>
          <w:color w:val="231F20"/>
          <w:spacing w:val="-23"/>
          <w:w w:val="105"/>
        </w:rPr>
        <w:t> </w:t>
      </w:r>
      <w:r>
        <w:rPr>
          <w:color w:val="231F20"/>
          <w:w w:val="105"/>
        </w:rPr>
        <w:t>en la importancia que tiene en la economía del conocimiento conformar y consolidar redes de conocimiento que posibiliten incentivar la innova- ción y el desarrollo</w:t>
      </w:r>
      <w:r>
        <w:rPr>
          <w:color w:val="231F20"/>
          <w:spacing w:val="-39"/>
          <w:w w:val="105"/>
        </w:rPr>
        <w:t> </w:t>
      </w:r>
      <w:r>
        <w:rPr>
          <w:color w:val="231F20"/>
          <w:w w:val="105"/>
        </w:rPr>
        <w:t>económico.</w:t>
      </w:r>
    </w:p>
    <w:p>
      <w:pPr>
        <w:pStyle w:val="BodyText"/>
        <w:spacing w:line="259" w:lineRule="auto"/>
        <w:ind w:left="103" w:right="116" w:firstLine="567"/>
        <w:jc w:val="both"/>
      </w:pPr>
      <w:r>
        <w:rPr>
          <w:color w:val="231F20"/>
          <w:w w:val="105"/>
        </w:rPr>
        <w:t>El planteamiento versa en enlazar dos marcos de referencia. El primero, dado por el análisis de redes sociales (ARS) que provee</w:t>
      </w:r>
      <w:r>
        <w:rPr>
          <w:color w:val="231F20"/>
          <w:spacing w:val="-30"/>
          <w:w w:val="105"/>
        </w:rPr>
        <w:t> </w:t>
      </w:r>
      <w:r>
        <w:rPr>
          <w:color w:val="231F20"/>
          <w:w w:val="105"/>
        </w:rPr>
        <w:t>infor- mación</w:t>
      </w:r>
      <w:r>
        <w:rPr>
          <w:color w:val="231F20"/>
          <w:spacing w:val="-6"/>
          <w:w w:val="105"/>
        </w:rPr>
        <w:t> </w:t>
      </w:r>
      <w:r>
        <w:rPr>
          <w:color w:val="231F20"/>
          <w:w w:val="105"/>
        </w:rPr>
        <w:t>cuantitativa</w:t>
      </w:r>
      <w:r>
        <w:rPr>
          <w:color w:val="231F20"/>
          <w:spacing w:val="-6"/>
          <w:w w:val="105"/>
        </w:rPr>
        <w:t> </w:t>
      </w:r>
      <w:r>
        <w:rPr>
          <w:color w:val="231F20"/>
          <w:w w:val="105"/>
        </w:rPr>
        <w:t>del</w:t>
      </w:r>
      <w:r>
        <w:rPr>
          <w:color w:val="231F20"/>
          <w:spacing w:val="-6"/>
          <w:w w:val="105"/>
        </w:rPr>
        <w:t> </w:t>
      </w:r>
      <w:r>
        <w:rPr>
          <w:color w:val="231F20"/>
          <w:w w:val="105"/>
        </w:rPr>
        <w:t>ambiente</w:t>
      </w:r>
      <w:r>
        <w:rPr>
          <w:color w:val="231F20"/>
          <w:spacing w:val="-6"/>
          <w:w w:val="105"/>
        </w:rPr>
        <w:t> </w:t>
      </w:r>
      <w:r>
        <w:rPr>
          <w:color w:val="231F20"/>
          <w:w w:val="105"/>
        </w:rPr>
        <w:t>reticular;</w:t>
      </w:r>
      <w:r>
        <w:rPr>
          <w:color w:val="231F20"/>
          <w:spacing w:val="-6"/>
          <w:w w:val="105"/>
        </w:rPr>
        <w:t> </w:t>
      </w:r>
      <w:r>
        <w:rPr>
          <w:color w:val="231F20"/>
          <w:w w:val="105"/>
        </w:rPr>
        <w:t>el</w:t>
      </w:r>
      <w:r>
        <w:rPr>
          <w:color w:val="231F20"/>
          <w:spacing w:val="-6"/>
          <w:w w:val="105"/>
        </w:rPr>
        <w:t> </w:t>
      </w:r>
      <w:r>
        <w:rPr>
          <w:color w:val="231F20"/>
          <w:w w:val="105"/>
        </w:rPr>
        <w:t>segundo</w:t>
      </w:r>
      <w:r>
        <w:rPr>
          <w:color w:val="231F20"/>
          <w:spacing w:val="-6"/>
          <w:w w:val="105"/>
        </w:rPr>
        <w:t> </w:t>
      </w:r>
      <w:r>
        <w:rPr>
          <w:color w:val="231F20"/>
          <w:w w:val="105"/>
        </w:rPr>
        <w:t>corresponde</w:t>
      </w:r>
      <w:r>
        <w:rPr>
          <w:color w:val="231F20"/>
          <w:spacing w:val="-6"/>
          <w:w w:val="105"/>
        </w:rPr>
        <w:t> </w:t>
      </w:r>
      <w:r>
        <w:rPr>
          <w:color w:val="231F20"/>
          <w:w w:val="105"/>
        </w:rPr>
        <w:t>a</w:t>
      </w:r>
      <w:r>
        <w:rPr>
          <w:color w:val="231F20"/>
          <w:spacing w:val="-6"/>
          <w:w w:val="105"/>
        </w:rPr>
        <w:t> </w:t>
      </w:r>
      <w:r>
        <w:rPr>
          <w:color w:val="231F20"/>
          <w:w w:val="105"/>
        </w:rPr>
        <w:t>la identificación</w:t>
      </w:r>
      <w:r>
        <w:rPr>
          <w:color w:val="231F20"/>
          <w:spacing w:val="-28"/>
          <w:w w:val="105"/>
        </w:rPr>
        <w:t> </w:t>
      </w:r>
      <w:r>
        <w:rPr>
          <w:color w:val="231F20"/>
          <w:w w:val="105"/>
        </w:rPr>
        <w:t>de</w:t>
      </w:r>
      <w:r>
        <w:rPr>
          <w:color w:val="231F20"/>
          <w:spacing w:val="-28"/>
          <w:w w:val="105"/>
        </w:rPr>
        <w:t> </w:t>
      </w:r>
      <w:r>
        <w:rPr>
          <w:color w:val="231F20"/>
          <w:w w:val="105"/>
        </w:rPr>
        <w:t>factores</w:t>
      </w:r>
      <w:r>
        <w:rPr>
          <w:color w:val="231F20"/>
          <w:spacing w:val="-28"/>
          <w:w w:val="105"/>
        </w:rPr>
        <w:t> </w:t>
      </w:r>
      <w:r>
        <w:rPr>
          <w:color w:val="231F20"/>
          <w:w w:val="105"/>
        </w:rPr>
        <w:t>cualitativos</w:t>
      </w:r>
      <w:r>
        <w:rPr>
          <w:color w:val="231F20"/>
          <w:spacing w:val="-28"/>
          <w:w w:val="105"/>
        </w:rPr>
        <w:t> </w:t>
      </w:r>
      <w:r>
        <w:rPr>
          <w:color w:val="231F20"/>
          <w:w w:val="105"/>
        </w:rPr>
        <w:t>provenientes</w:t>
      </w:r>
      <w:r>
        <w:rPr>
          <w:color w:val="231F20"/>
          <w:spacing w:val="-28"/>
          <w:w w:val="105"/>
        </w:rPr>
        <w:t> </w:t>
      </w:r>
      <w:r>
        <w:rPr>
          <w:color w:val="231F20"/>
          <w:w w:val="105"/>
        </w:rPr>
        <w:t>de</w:t>
      </w:r>
      <w:r>
        <w:rPr>
          <w:color w:val="231F20"/>
          <w:spacing w:val="-28"/>
          <w:w w:val="105"/>
        </w:rPr>
        <w:t> </w:t>
      </w:r>
      <w:r>
        <w:rPr>
          <w:color w:val="231F20"/>
          <w:w w:val="105"/>
        </w:rPr>
        <w:t>investigaciones</w:t>
      </w:r>
      <w:r>
        <w:rPr>
          <w:color w:val="231F20"/>
          <w:spacing w:val="-28"/>
          <w:w w:val="105"/>
        </w:rPr>
        <w:t> </w:t>
      </w:r>
      <w:r>
        <w:rPr>
          <w:color w:val="231F20"/>
          <w:w w:val="105"/>
        </w:rPr>
        <w:t>re- presentativas</w:t>
      </w:r>
      <w:r>
        <w:rPr>
          <w:color w:val="231F20"/>
          <w:spacing w:val="-22"/>
          <w:w w:val="105"/>
        </w:rPr>
        <w:t> </w:t>
      </w:r>
      <w:r>
        <w:rPr>
          <w:color w:val="231F20"/>
          <w:w w:val="105"/>
        </w:rPr>
        <w:t>sobre</w:t>
      </w:r>
      <w:r>
        <w:rPr>
          <w:color w:val="231F20"/>
          <w:spacing w:val="-22"/>
          <w:w w:val="105"/>
        </w:rPr>
        <w:t> </w:t>
      </w:r>
      <w:r>
        <w:rPr>
          <w:color w:val="231F20"/>
          <w:w w:val="105"/>
        </w:rPr>
        <w:t>redes</w:t>
      </w:r>
      <w:r>
        <w:rPr>
          <w:color w:val="231F20"/>
          <w:spacing w:val="-22"/>
          <w:w w:val="105"/>
        </w:rPr>
        <w:t> </w:t>
      </w:r>
      <w:r>
        <w:rPr>
          <w:color w:val="231F20"/>
          <w:w w:val="105"/>
        </w:rPr>
        <w:t>de</w:t>
      </w:r>
      <w:r>
        <w:rPr>
          <w:color w:val="231F20"/>
          <w:spacing w:val="-22"/>
          <w:w w:val="105"/>
        </w:rPr>
        <w:t> </w:t>
      </w:r>
      <w:r>
        <w:rPr>
          <w:color w:val="231F20"/>
          <w:w w:val="105"/>
        </w:rPr>
        <w:t>conocimiento.</w:t>
      </w:r>
    </w:p>
    <w:p>
      <w:pPr>
        <w:pStyle w:val="BodyText"/>
        <w:spacing w:line="259" w:lineRule="auto"/>
        <w:ind w:left="103" w:right="115" w:firstLine="567"/>
        <w:jc w:val="both"/>
      </w:pPr>
      <w:r>
        <w:rPr>
          <w:color w:val="231F20"/>
          <w:w w:val="105"/>
        </w:rPr>
        <w:t>Del</w:t>
      </w:r>
      <w:r>
        <w:rPr>
          <w:color w:val="231F20"/>
          <w:spacing w:val="-15"/>
          <w:w w:val="105"/>
        </w:rPr>
        <w:t> </w:t>
      </w:r>
      <w:r>
        <w:rPr>
          <w:color w:val="231F20"/>
          <w:w w:val="105"/>
        </w:rPr>
        <w:t>ARS</w:t>
      </w:r>
      <w:r>
        <w:rPr>
          <w:color w:val="231F20"/>
          <w:spacing w:val="-11"/>
          <w:w w:val="105"/>
        </w:rPr>
        <w:t> </w:t>
      </w:r>
      <w:r>
        <w:rPr>
          <w:color w:val="231F20"/>
          <w:w w:val="105"/>
        </w:rPr>
        <w:t>se</w:t>
      </w:r>
      <w:r>
        <w:rPr>
          <w:color w:val="231F20"/>
          <w:spacing w:val="-11"/>
          <w:w w:val="105"/>
        </w:rPr>
        <w:t> </w:t>
      </w:r>
      <w:r>
        <w:rPr>
          <w:color w:val="231F20"/>
          <w:w w:val="105"/>
        </w:rPr>
        <w:t>sugiere</w:t>
      </w:r>
      <w:r>
        <w:rPr>
          <w:color w:val="231F20"/>
          <w:spacing w:val="-11"/>
          <w:w w:val="105"/>
        </w:rPr>
        <w:t> </w:t>
      </w:r>
      <w:r>
        <w:rPr>
          <w:color w:val="231F20"/>
          <w:w w:val="105"/>
        </w:rPr>
        <w:t>retomar</w:t>
      </w:r>
      <w:r>
        <w:rPr>
          <w:color w:val="231F20"/>
          <w:spacing w:val="-11"/>
          <w:w w:val="105"/>
        </w:rPr>
        <w:t> </w:t>
      </w:r>
      <w:r>
        <w:rPr>
          <w:color w:val="231F20"/>
          <w:w w:val="105"/>
        </w:rPr>
        <w:t>la</w:t>
      </w:r>
      <w:r>
        <w:rPr>
          <w:color w:val="231F20"/>
          <w:spacing w:val="-11"/>
          <w:w w:val="105"/>
        </w:rPr>
        <w:t> </w:t>
      </w:r>
      <w:r>
        <w:rPr>
          <w:color w:val="231F20"/>
          <w:w w:val="105"/>
        </w:rPr>
        <w:t>perspectiva</w:t>
      </w:r>
      <w:r>
        <w:rPr>
          <w:color w:val="231F20"/>
          <w:spacing w:val="-11"/>
          <w:w w:val="105"/>
        </w:rPr>
        <w:t> </w:t>
      </w:r>
      <w:r>
        <w:rPr>
          <w:color w:val="231F20"/>
          <w:w w:val="105"/>
        </w:rPr>
        <w:t>sociométrica</w:t>
      </w:r>
      <w:r>
        <w:rPr>
          <w:color w:val="231F20"/>
          <w:spacing w:val="-11"/>
          <w:w w:val="105"/>
        </w:rPr>
        <w:t> </w:t>
      </w:r>
      <w:r>
        <w:rPr>
          <w:color w:val="231F20"/>
          <w:w w:val="105"/>
        </w:rPr>
        <w:t>y</w:t>
      </w:r>
      <w:r>
        <w:rPr>
          <w:color w:val="231F20"/>
          <w:spacing w:val="-11"/>
          <w:w w:val="105"/>
        </w:rPr>
        <w:t> </w:t>
      </w:r>
      <w:r>
        <w:rPr>
          <w:color w:val="231F20"/>
          <w:w w:val="105"/>
        </w:rPr>
        <w:t>con</w:t>
      </w:r>
      <w:r>
        <w:rPr>
          <w:color w:val="231F20"/>
          <w:spacing w:val="-11"/>
          <w:w w:val="105"/>
        </w:rPr>
        <w:t> </w:t>
      </w:r>
      <w:r>
        <w:rPr>
          <w:color w:val="231F20"/>
          <w:w w:val="105"/>
        </w:rPr>
        <w:t>ello obtener indicadores estructurales (densidad, distancia) y posicionales (centralidad de grado, grado de intermediación). Estos elementos</w:t>
      </w:r>
      <w:r>
        <w:rPr>
          <w:color w:val="231F20"/>
          <w:spacing w:val="-36"/>
          <w:w w:val="105"/>
        </w:rPr>
        <w:t> </w:t>
      </w:r>
      <w:r>
        <w:rPr>
          <w:color w:val="231F20"/>
          <w:w w:val="105"/>
        </w:rPr>
        <w:t>mos- trarán el sitio de cada actor y la conformación reticular en términos de densidad,</w:t>
      </w:r>
      <w:r>
        <w:rPr>
          <w:color w:val="231F20"/>
          <w:spacing w:val="-17"/>
          <w:w w:val="105"/>
        </w:rPr>
        <w:t> </w:t>
      </w:r>
      <w:r>
        <w:rPr>
          <w:color w:val="231F20"/>
          <w:w w:val="105"/>
        </w:rPr>
        <w:t>cohesión,</w:t>
      </w:r>
      <w:r>
        <w:rPr>
          <w:color w:val="231F20"/>
          <w:spacing w:val="-17"/>
          <w:w w:val="105"/>
        </w:rPr>
        <w:t> </w:t>
      </w:r>
      <w:r>
        <w:rPr>
          <w:color w:val="231F20"/>
          <w:w w:val="105"/>
        </w:rPr>
        <w:t>nodos</w:t>
      </w:r>
      <w:r>
        <w:rPr>
          <w:color w:val="231F20"/>
          <w:spacing w:val="-12"/>
          <w:w w:val="105"/>
        </w:rPr>
        <w:t> </w:t>
      </w:r>
      <w:r>
        <w:rPr>
          <w:color w:val="231F20"/>
          <w:w w:val="105"/>
        </w:rPr>
        <w:t>centrales</w:t>
      </w:r>
      <w:r>
        <w:rPr>
          <w:color w:val="231F20"/>
          <w:spacing w:val="-12"/>
          <w:w w:val="105"/>
        </w:rPr>
        <w:t> </w:t>
      </w:r>
      <w:r>
        <w:rPr>
          <w:color w:val="231F20"/>
          <w:w w:val="105"/>
        </w:rPr>
        <w:t>y</w:t>
      </w:r>
      <w:r>
        <w:rPr>
          <w:color w:val="231F20"/>
          <w:spacing w:val="-12"/>
          <w:w w:val="105"/>
        </w:rPr>
        <w:t> </w:t>
      </w:r>
      <w:r>
        <w:rPr>
          <w:color w:val="231F20"/>
          <w:w w:val="105"/>
        </w:rPr>
        <w:t>enlaces</w:t>
      </w:r>
      <w:r>
        <w:rPr>
          <w:color w:val="231F20"/>
          <w:spacing w:val="-12"/>
          <w:w w:val="105"/>
        </w:rPr>
        <w:t> </w:t>
      </w:r>
      <w:r>
        <w:rPr>
          <w:color w:val="231F20"/>
          <w:w w:val="105"/>
        </w:rPr>
        <w:t>importantes.</w:t>
      </w:r>
      <w:r>
        <w:rPr>
          <w:color w:val="231F20"/>
          <w:spacing w:val="-17"/>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incor- poración de factores retomados de investigaciones sobre redes de co- nocimiento se propone considerar el objetivo de la interacción, las di- mensiones reticulares, los mecanismos de integración y los resultados del</w:t>
      </w:r>
      <w:r>
        <w:rPr>
          <w:color w:val="231F20"/>
          <w:spacing w:val="-22"/>
          <w:w w:val="105"/>
        </w:rPr>
        <w:t> </w:t>
      </w:r>
      <w:r>
        <w:rPr>
          <w:color w:val="231F20"/>
          <w:w w:val="105"/>
        </w:rPr>
        <w:t>desempeño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red.</w:t>
      </w:r>
      <w:r>
        <w:rPr>
          <w:color w:val="231F20"/>
          <w:spacing w:val="-27"/>
          <w:w w:val="105"/>
        </w:rPr>
        <w:t> </w:t>
      </w:r>
      <w:r>
        <w:rPr>
          <w:color w:val="231F20"/>
          <w:w w:val="105"/>
        </w:rPr>
        <w:t>La</w:t>
      </w:r>
      <w:r>
        <w:rPr>
          <w:color w:val="231F20"/>
          <w:spacing w:val="-22"/>
          <w:w w:val="105"/>
        </w:rPr>
        <w:t> </w:t>
      </w:r>
      <w:r>
        <w:rPr>
          <w:color w:val="231F20"/>
          <w:w w:val="105"/>
        </w:rPr>
        <w:t>finalidad</w:t>
      </w:r>
      <w:r>
        <w:rPr>
          <w:color w:val="231F20"/>
          <w:spacing w:val="-22"/>
          <w:w w:val="105"/>
        </w:rPr>
        <w:t> </w:t>
      </w:r>
      <w:r>
        <w:rPr>
          <w:color w:val="231F20"/>
          <w:w w:val="105"/>
        </w:rPr>
        <w:t>de</w:t>
      </w:r>
      <w:r>
        <w:rPr>
          <w:color w:val="231F20"/>
          <w:spacing w:val="-22"/>
          <w:w w:val="105"/>
        </w:rPr>
        <w:t> </w:t>
      </w:r>
      <w:r>
        <w:rPr>
          <w:color w:val="231F20"/>
          <w:w w:val="105"/>
        </w:rPr>
        <w:t>examinar</w:t>
      </w:r>
      <w:r>
        <w:rPr>
          <w:color w:val="231F20"/>
          <w:spacing w:val="-22"/>
          <w:w w:val="105"/>
        </w:rPr>
        <w:t> </w:t>
      </w:r>
      <w:r>
        <w:rPr>
          <w:color w:val="231F20"/>
          <w:w w:val="105"/>
        </w:rPr>
        <w:t>estos</w:t>
      </w:r>
      <w:r>
        <w:rPr>
          <w:color w:val="231F20"/>
          <w:spacing w:val="-22"/>
          <w:w w:val="105"/>
        </w:rPr>
        <w:t> </w:t>
      </w:r>
      <w:r>
        <w:rPr>
          <w:color w:val="231F20"/>
          <w:w w:val="105"/>
        </w:rPr>
        <w:t>aspectos</w:t>
      </w:r>
      <w:r>
        <w:rPr>
          <w:color w:val="231F20"/>
          <w:spacing w:val="-22"/>
          <w:w w:val="105"/>
        </w:rPr>
        <w:t> </w:t>
      </w:r>
      <w:r>
        <w:rPr>
          <w:color w:val="231F20"/>
          <w:w w:val="105"/>
        </w:rPr>
        <w:t>radica en</w:t>
      </w:r>
      <w:r>
        <w:rPr>
          <w:color w:val="231F20"/>
          <w:spacing w:val="-6"/>
          <w:w w:val="105"/>
        </w:rPr>
        <w:t> </w:t>
      </w:r>
      <w:r>
        <w:rPr>
          <w:color w:val="231F20"/>
          <w:w w:val="105"/>
        </w:rPr>
        <w:t>complementar</w:t>
      </w:r>
      <w:r>
        <w:rPr>
          <w:color w:val="231F20"/>
          <w:spacing w:val="-6"/>
          <w:w w:val="105"/>
        </w:rPr>
        <w:t> </w:t>
      </w:r>
      <w:r>
        <w:rPr>
          <w:color w:val="231F20"/>
          <w:w w:val="105"/>
        </w:rPr>
        <w:t>los</w:t>
      </w:r>
      <w:r>
        <w:rPr>
          <w:color w:val="231F20"/>
          <w:spacing w:val="-6"/>
          <w:w w:val="105"/>
        </w:rPr>
        <w:t> </w:t>
      </w:r>
      <w:r>
        <w:rPr>
          <w:color w:val="231F20"/>
          <w:w w:val="105"/>
        </w:rPr>
        <w:t>hallazgos</w:t>
      </w:r>
      <w:r>
        <w:rPr>
          <w:color w:val="231F20"/>
          <w:spacing w:val="-6"/>
          <w:w w:val="105"/>
        </w:rPr>
        <w:t> </w:t>
      </w:r>
      <w:r>
        <w:rPr>
          <w:color w:val="231F20"/>
          <w:w w:val="105"/>
        </w:rPr>
        <w:t>del</w:t>
      </w:r>
      <w:r>
        <w:rPr>
          <w:color w:val="231F20"/>
          <w:spacing w:val="-9"/>
          <w:w w:val="105"/>
        </w:rPr>
        <w:t> </w:t>
      </w:r>
      <w:r>
        <w:rPr>
          <w:color w:val="231F20"/>
          <w:w w:val="105"/>
        </w:rPr>
        <w:t>ARS,</w:t>
      </w:r>
      <w:r>
        <w:rPr>
          <w:color w:val="231F20"/>
          <w:spacing w:val="-12"/>
          <w:w w:val="105"/>
        </w:rPr>
        <w:t> </w:t>
      </w:r>
      <w:r>
        <w:rPr>
          <w:color w:val="231F20"/>
          <w:w w:val="105"/>
        </w:rPr>
        <w:t>al</w:t>
      </w:r>
      <w:r>
        <w:rPr>
          <w:color w:val="231F20"/>
          <w:spacing w:val="-6"/>
          <w:w w:val="105"/>
        </w:rPr>
        <w:t> </w:t>
      </w:r>
      <w:r>
        <w:rPr>
          <w:color w:val="231F20"/>
          <w:w w:val="105"/>
        </w:rPr>
        <w:t>tiempo</w:t>
      </w:r>
      <w:r>
        <w:rPr>
          <w:color w:val="231F20"/>
          <w:spacing w:val="-6"/>
          <w:w w:val="105"/>
        </w:rPr>
        <w:t> </w:t>
      </w:r>
      <w:r>
        <w:rPr>
          <w:color w:val="231F20"/>
          <w:w w:val="105"/>
        </w:rPr>
        <w:t>que</w:t>
      </w:r>
      <w:r>
        <w:rPr>
          <w:color w:val="231F20"/>
          <w:spacing w:val="-6"/>
          <w:w w:val="105"/>
        </w:rPr>
        <w:t> </w:t>
      </w:r>
      <w:r>
        <w:rPr>
          <w:color w:val="231F20"/>
          <w:w w:val="105"/>
        </w:rPr>
        <w:t>permite</w:t>
      </w:r>
      <w:r>
        <w:rPr>
          <w:color w:val="231F20"/>
          <w:spacing w:val="-6"/>
          <w:w w:val="105"/>
        </w:rPr>
        <w:t> </w:t>
      </w:r>
      <w:r>
        <w:rPr>
          <w:color w:val="231F20"/>
          <w:w w:val="105"/>
        </w:rPr>
        <w:t>agregar al</w:t>
      </w:r>
      <w:r>
        <w:rPr>
          <w:color w:val="231F20"/>
          <w:spacing w:val="-13"/>
          <w:w w:val="105"/>
        </w:rPr>
        <w:t> </w:t>
      </w:r>
      <w:r>
        <w:rPr>
          <w:color w:val="231F20"/>
          <w:w w:val="105"/>
        </w:rPr>
        <w:t>planteamiento</w:t>
      </w:r>
      <w:r>
        <w:rPr>
          <w:color w:val="231F20"/>
          <w:spacing w:val="-13"/>
          <w:w w:val="105"/>
        </w:rPr>
        <w:t> </w:t>
      </w:r>
      <w:r>
        <w:rPr>
          <w:color w:val="231F20"/>
          <w:w w:val="105"/>
        </w:rPr>
        <w:t>fundamentos</w:t>
      </w:r>
      <w:r>
        <w:rPr>
          <w:color w:val="231F20"/>
          <w:spacing w:val="-13"/>
          <w:w w:val="105"/>
        </w:rPr>
        <w:t> </w:t>
      </w:r>
      <w:r>
        <w:rPr>
          <w:color w:val="231F20"/>
          <w:w w:val="105"/>
        </w:rPr>
        <w:t>de</w:t>
      </w:r>
      <w:r>
        <w:rPr>
          <w:color w:val="231F20"/>
          <w:spacing w:val="-13"/>
          <w:w w:val="105"/>
        </w:rPr>
        <w:t> </w:t>
      </w:r>
      <w:r>
        <w:rPr>
          <w:color w:val="231F20"/>
          <w:w w:val="105"/>
        </w:rPr>
        <w:t>corte</w:t>
      </w:r>
      <w:r>
        <w:rPr>
          <w:color w:val="231F20"/>
          <w:spacing w:val="-13"/>
          <w:w w:val="105"/>
        </w:rPr>
        <w:t> </w:t>
      </w:r>
      <w:r>
        <w:rPr>
          <w:color w:val="231F20"/>
          <w:w w:val="105"/>
        </w:rPr>
        <w:t>cualitativo.</w:t>
      </w:r>
    </w:p>
    <w:p>
      <w:pPr>
        <w:pStyle w:val="BodyText"/>
        <w:spacing w:line="259" w:lineRule="auto"/>
        <w:ind w:left="103" w:right="114" w:firstLine="567"/>
        <w:jc w:val="both"/>
      </w:pPr>
      <w:r>
        <w:rPr>
          <w:color w:val="231F20"/>
          <w:w w:val="105"/>
        </w:rPr>
        <w:t>En general la propuesta metodológica permite observar que el estudio conjunto de redes y conocimiento implica más que analizar</w:t>
      </w:r>
      <w:r>
        <w:rPr>
          <w:color w:val="231F20"/>
          <w:spacing w:val="-15"/>
          <w:w w:val="105"/>
        </w:rPr>
        <w:t> </w:t>
      </w:r>
      <w:r>
        <w:rPr>
          <w:color w:val="231F20"/>
          <w:w w:val="105"/>
        </w:rPr>
        <w:t>en- laces</w:t>
      </w:r>
      <w:r>
        <w:rPr>
          <w:color w:val="231F20"/>
          <w:spacing w:val="-9"/>
          <w:w w:val="105"/>
        </w:rPr>
        <w:t> </w:t>
      </w:r>
      <w:r>
        <w:rPr>
          <w:color w:val="231F20"/>
          <w:w w:val="105"/>
        </w:rPr>
        <w:t>entre</w:t>
      </w:r>
      <w:r>
        <w:rPr>
          <w:color w:val="231F20"/>
          <w:spacing w:val="-9"/>
          <w:w w:val="105"/>
        </w:rPr>
        <w:t> </w:t>
      </w:r>
      <w:r>
        <w:rPr>
          <w:color w:val="231F20"/>
          <w:w w:val="105"/>
        </w:rPr>
        <w:t>actores</w:t>
      </w:r>
      <w:r>
        <w:rPr>
          <w:color w:val="231F20"/>
          <w:spacing w:val="-9"/>
          <w:w w:val="105"/>
        </w:rPr>
        <w:t> </w:t>
      </w:r>
      <w:r>
        <w:rPr>
          <w:color w:val="231F20"/>
          <w:w w:val="105"/>
        </w:rPr>
        <w:t>disimiles;</w:t>
      </w:r>
      <w:r>
        <w:rPr>
          <w:color w:val="231F20"/>
          <w:spacing w:val="-9"/>
          <w:w w:val="105"/>
        </w:rPr>
        <w:t> </w:t>
      </w:r>
      <w:r>
        <w:rPr>
          <w:color w:val="231F20"/>
          <w:w w:val="105"/>
        </w:rPr>
        <w:t>además</w:t>
      </w:r>
      <w:r>
        <w:rPr>
          <w:color w:val="231F20"/>
          <w:spacing w:val="-9"/>
          <w:w w:val="105"/>
        </w:rPr>
        <w:t> </w:t>
      </w:r>
      <w:r>
        <w:rPr>
          <w:color w:val="231F20"/>
          <w:w w:val="105"/>
        </w:rPr>
        <w:t>involucra</w:t>
      </w:r>
      <w:r>
        <w:rPr>
          <w:color w:val="231F20"/>
          <w:spacing w:val="-9"/>
          <w:w w:val="105"/>
        </w:rPr>
        <w:t> </w:t>
      </w:r>
      <w:r>
        <w:rPr>
          <w:color w:val="231F20"/>
          <w:w w:val="105"/>
        </w:rPr>
        <w:t>objetivos</w:t>
      </w:r>
      <w:r>
        <w:rPr>
          <w:color w:val="231F20"/>
          <w:spacing w:val="-9"/>
          <w:w w:val="105"/>
        </w:rPr>
        <w:t> </w:t>
      </w:r>
      <w:r>
        <w:rPr>
          <w:color w:val="231F20"/>
          <w:w w:val="105"/>
        </w:rPr>
        <w:t>de</w:t>
      </w:r>
      <w:r>
        <w:rPr>
          <w:color w:val="231F20"/>
          <w:spacing w:val="-9"/>
          <w:w w:val="105"/>
        </w:rPr>
        <w:t> </w:t>
      </w:r>
      <w:r>
        <w:rPr>
          <w:color w:val="231F20"/>
          <w:w w:val="105"/>
        </w:rPr>
        <w:t>interacción enfocados al tipo de conocimiento que se transfiere, a la dimensión de los actores que participan, los mecanismos de integración (formal o in- formal) que adoptan, el desempeño que se observa en la transmisión  y las formas de colaboración, además de los resultados respecto a los objetivos</w:t>
      </w:r>
      <w:r>
        <w:rPr>
          <w:color w:val="231F20"/>
          <w:spacing w:val="-7"/>
          <w:w w:val="105"/>
        </w:rPr>
        <w:t> </w:t>
      </w:r>
      <w:r>
        <w:rPr>
          <w:color w:val="231F20"/>
          <w:w w:val="105"/>
        </w:rPr>
        <w:t>planteados.</w:t>
      </w:r>
      <w:r>
        <w:rPr>
          <w:color w:val="231F20"/>
          <w:spacing w:val="-14"/>
          <w:w w:val="105"/>
        </w:rPr>
        <w:t> </w:t>
      </w:r>
      <w:r>
        <w:rPr>
          <w:color w:val="231F20"/>
          <w:w w:val="105"/>
        </w:rPr>
        <w:t>Este</w:t>
      </w:r>
      <w:r>
        <w:rPr>
          <w:color w:val="231F20"/>
          <w:spacing w:val="-7"/>
          <w:w w:val="105"/>
        </w:rPr>
        <w:t> </w:t>
      </w:r>
      <w:r>
        <w:rPr>
          <w:color w:val="231F20"/>
          <w:w w:val="105"/>
        </w:rPr>
        <w:t>grupo</w:t>
      </w:r>
      <w:r>
        <w:rPr>
          <w:color w:val="231F20"/>
          <w:spacing w:val="-7"/>
          <w:w w:val="105"/>
        </w:rPr>
        <w:t> </w:t>
      </w:r>
      <w:r>
        <w:rPr>
          <w:color w:val="231F20"/>
          <w:w w:val="105"/>
        </w:rPr>
        <w:t>de</w:t>
      </w:r>
      <w:r>
        <w:rPr>
          <w:color w:val="231F20"/>
          <w:spacing w:val="-7"/>
          <w:w w:val="105"/>
        </w:rPr>
        <w:t> </w:t>
      </w:r>
      <w:r>
        <w:rPr>
          <w:color w:val="231F20"/>
          <w:w w:val="105"/>
        </w:rPr>
        <w:t>elementos</w:t>
      </w:r>
      <w:r>
        <w:rPr>
          <w:color w:val="231F20"/>
          <w:spacing w:val="-7"/>
          <w:w w:val="105"/>
        </w:rPr>
        <w:t> </w:t>
      </w:r>
      <w:r>
        <w:rPr>
          <w:color w:val="231F20"/>
          <w:w w:val="105"/>
        </w:rPr>
        <w:t>posibilitan</w:t>
      </w:r>
      <w:r>
        <w:rPr>
          <w:color w:val="231F20"/>
          <w:spacing w:val="-7"/>
          <w:w w:val="105"/>
        </w:rPr>
        <w:t> </w:t>
      </w:r>
      <w:r>
        <w:rPr>
          <w:color w:val="231F20"/>
          <w:w w:val="105"/>
        </w:rPr>
        <w:t>averiguar</w:t>
      </w:r>
      <w:r>
        <w:rPr>
          <w:color w:val="231F20"/>
          <w:spacing w:val="-7"/>
          <w:w w:val="105"/>
        </w:rPr>
        <w:t> </w:t>
      </w:r>
      <w:r>
        <w:rPr>
          <w:color w:val="231F20"/>
          <w:w w:val="105"/>
        </w:rPr>
        <w:t>ex- plícitamente si las conexiones contienen componentes cognitivos o se trata de vinculaciones cuyo fin no necesariamente es el intercambio, la colaboración o la generación de</w:t>
      </w:r>
      <w:r>
        <w:rPr>
          <w:color w:val="231F20"/>
          <w:spacing w:val="-31"/>
          <w:w w:val="105"/>
        </w:rPr>
        <w:t> </w:t>
      </w:r>
      <w:r>
        <w:rPr>
          <w:color w:val="231F20"/>
          <w:w w:val="105"/>
        </w:rPr>
        <w:t>conocimiento.</w:t>
      </w:r>
    </w:p>
    <w:p>
      <w:pPr>
        <w:pStyle w:val="BodyText"/>
        <w:rPr>
          <w:sz w:val="20"/>
        </w:rPr>
      </w:pPr>
    </w:p>
    <w:p>
      <w:pPr>
        <w:pStyle w:val="BodyText"/>
        <w:spacing w:before="5"/>
        <w:rPr>
          <w:sz w:val="27"/>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3688"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118</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4264"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119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9"/>
        <w:rPr>
          <w:sz w:val="18"/>
        </w:rPr>
      </w:pPr>
    </w:p>
    <w:p>
      <w:pPr>
        <w:pStyle w:val="BodyText"/>
        <w:spacing w:line="259" w:lineRule="auto"/>
        <w:ind w:left="117" w:right="121"/>
        <w:jc w:val="both"/>
      </w:pPr>
      <w:r>
        <w:rPr>
          <w:color w:val="231F20"/>
          <w:w w:val="105"/>
        </w:rPr>
        <w:t>El</w:t>
      </w:r>
      <w:r>
        <w:rPr>
          <w:color w:val="231F20"/>
          <w:spacing w:val="-36"/>
          <w:w w:val="105"/>
        </w:rPr>
        <w:t> </w:t>
      </w:r>
      <w:r>
        <w:rPr>
          <w:color w:val="231F20"/>
          <w:w w:val="105"/>
        </w:rPr>
        <w:t>trabajo</w:t>
      </w:r>
      <w:r>
        <w:rPr>
          <w:color w:val="231F20"/>
          <w:spacing w:val="-36"/>
          <w:w w:val="105"/>
        </w:rPr>
        <w:t> </w:t>
      </w:r>
      <w:r>
        <w:rPr>
          <w:color w:val="231F20"/>
          <w:w w:val="105"/>
        </w:rPr>
        <w:t>está</w:t>
      </w:r>
      <w:r>
        <w:rPr>
          <w:color w:val="231F20"/>
          <w:spacing w:val="-36"/>
          <w:w w:val="105"/>
        </w:rPr>
        <w:t> </w:t>
      </w:r>
      <w:r>
        <w:rPr>
          <w:color w:val="231F20"/>
          <w:w w:val="105"/>
        </w:rPr>
        <w:t>compuesto</w:t>
      </w:r>
      <w:r>
        <w:rPr>
          <w:color w:val="231F20"/>
          <w:spacing w:val="-36"/>
          <w:w w:val="105"/>
        </w:rPr>
        <w:t> </w:t>
      </w:r>
      <w:r>
        <w:rPr>
          <w:color w:val="231F20"/>
          <w:w w:val="105"/>
        </w:rPr>
        <w:t>de</w:t>
      </w:r>
      <w:r>
        <w:rPr>
          <w:color w:val="231F20"/>
          <w:spacing w:val="-36"/>
          <w:w w:val="105"/>
        </w:rPr>
        <w:t> </w:t>
      </w:r>
      <w:r>
        <w:rPr>
          <w:color w:val="231F20"/>
          <w:spacing w:val="-3"/>
          <w:w w:val="105"/>
        </w:rPr>
        <w:t>tres</w:t>
      </w:r>
      <w:r>
        <w:rPr>
          <w:color w:val="231F20"/>
          <w:spacing w:val="-36"/>
          <w:w w:val="105"/>
        </w:rPr>
        <w:t> </w:t>
      </w:r>
      <w:r>
        <w:rPr>
          <w:color w:val="231F20"/>
          <w:w w:val="105"/>
        </w:rPr>
        <w:t>secciones.</w:t>
      </w:r>
      <w:r>
        <w:rPr>
          <w:color w:val="231F20"/>
          <w:spacing w:val="-40"/>
          <w:w w:val="105"/>
        </w:rPr>
        <w:t> </w:t>
      </w:r>
      <w:r>
        <w:rPr>
          <w:color w:val="231F20"/>
          <w:w w:val="105"/>
        </w:rPr>
        <w:t>La</w:t>
      </w:r>
      <w:r>
        <w:rPr>
          <w:color w:val="231F20"/>
          <w:spacing w:val="-36"/>
          <w:w w:val="105"/>
        </w:rPr>
        <w:t> </w:t>
      </w:r>
      <w:r>
        <w:rPr>
          <w:color w:val="231F20"/>
          <w:w w:val="105"/>
        </w:rPr>
        <w:t>primera,</w:t>
      </w:r>
      <w:r>
        <w:rPr>
          <w:color w:val="231F20"/>
          <w:spacing w:val="-40"/>
          <w:w w:val="105"/>
        </w:rPr>
        <w:t> </w:t>
      </w:r>
      <w:r>
        <w:rPr>
          <w:color w:val="231F20"/>
          <w:w w:val="105"/>
        </w:rPr>
        <w:t>describe</w:t>
      </w:r>
      <w:r>
        <w:rPr>
          <w:color w:val="231F20"/>
          <w:spacing w:val="-36"/>
          <w:w w:val="105"/>
        </w:rPr>
        <w:t> </w:t>
      </w:r>
      <w:r>
        <w:rPr>
          <w:color w:val="231F20"/>
          <w:w w:val="105"/>
        </w:rPr>
        <w:t>el</w:t>
      </w:r>
      <w:r>
        <w:rPr>
          <w:color w:val="231F20"/>
          <w:spacing w:val="-36"/>
          <w:w w:val="105"/>
        </w:rPr>
        <w:t> </w:t>
      </w:r>
      <w:r>
        <w:rPr>
          <w:color w:val="231F20"/>
          <w:w w:val="105"/>
        </w:rPr>
        <w:t>cono- cimiento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entorno</w:t>
      </w:r>
      <w:r>
        <w:rPr>
          <w:color w:val="231F20"/>
          <w:spacing w:val="-11"/>
          <w:w w:val="105"/>
        </w:rPr>
        <w:t> </w:t>
      </w:r>
      <w:r>
        <w:rPr>
          <w:color w:val="231F20"/>
          <w:w w:val="105"/>
        </w:rPr>
        <w:t>de</w:t>
      </w:r>
      <w:r>
        <w:rPr>
          <w:color w:val="231F20"/>
          <w:spacing w:val="-11"/>
          <w:w w:val="105"/>
        </w:rPr>
        <w:t> </w:t>
      </w:r>
      <w:r>
        <w:rPr>
          <w:color w:val="231F20"/>
          <w:w w:val="105"/>
        </w:rPr>
        <w:t>economía</w:t>
      </w:r>
      <w:r>
        <w:rPr>
          <w:color w:val="231F20"/>
          <w:spacing w:val="-11"/>
          <w:w w:val="105"/>
        </w:rPr>
        <w:t> </w:t>
      </w:r>
      <w:r>
        <w:rPr>
          <w:color w:val="231F20"/>
          <w:w w:val="105"/>
        </w:rPr>
        <w:t>del</w:t>
      </w:r>
      <w:r>
        <w:rPr>
          <w:color w:val="231F20"/>
          <w:spacing w:val="-11"/>
          <w:w w:val="105"/>
        </w:rPr>
        <w:t> </w:t>
      </w:r>
      <w:r>
        <w:rPr>
          <w:color w:val="231F20"/>
          <w:w w:val="105"/>
        </w:rPr>
        <w:t>conocimiento;</w:t>
      </w:r>
      <w:r>
        <w:rPr>
          <w:color w:val="231F20"/>
          <w:spacing w:val="-11"/>
          <w:w w:val="105"/>
        </w:rPr>
        <w:t> </w:t>
      </w:r>
      <w:r>
        <w:rPr>
          <w:color w:val="231F20"/>
          <w:w w:val="105"/>
        </w:rPr>
        <w:t>la</w:t>
      </w:r>
      <w:r>
        <w:rPr>
          <w:color w:val="231F20"/>
          <w:spacing w:val="-11"/>
          <w:w w:val="105"/>
        </w:rPr>
        <w:t> </w:t>
      </w:r>
      <w:r>
        <w:rPr>
          <w:color w:val="231F20"/>
          <w:w w:val="105"/>
        </w:rPr>
        <w:t>segunda,</w:t>
      </w:r>
      <w:r>
        <w:rPr>
          <w:color w:val="231F20"/>
          <w:spacing w:val="-17"/>
          <w:w w:val="105"/>
        </w:rPr>
        <w:t> </w:t>
      </w:r>
      <w:r>
        <w:rPr>
          <w:color w:val="231F20"/>
          <w:w w:val="105"/>
        </w:rPr>
        <w:t>pun- tualiza</w:t>
      </w:r>
      <w:r>
        <w:rPr>
          <w:color w:val="231F20"/>
          <w:spacing w:val="-29"/>
          <w:w w:val="105"/>
        </w:rPr>
        <w:t> </w:t>
      </w:r>
      <w:r>
        <w:rPr>
          <w:color w:val="231F20"/>
          <w:w w:val="105"/>
        </w:rPr>
        <w:t>el</w:t>
      </w:r>
      <w:r>
        <w:rPr>
          <w:color w:val="231F20"/>
          <w:spacing w:val="-31"/>
          <w:w w:val="105"/>
        </w:rPr>
        <w:t> </w:t>
      </w:r>
      <w:r>
        <w:rPr>
          <w:color w:val="231F20"/>
          <w:w w:val="105"/>
        </w:rPr>
        <w:t>ARS,</w:t>
      </w:r>
      <w:r>
        <w:rPr>
          <w:color w:val="231F20"/>
          <w:spacing w:val="-32"/>
          <w:w w:val="105"/>
        </w:rPr>
        <w:t> </w:t>
      </w:r>
      <w:r>
        <w:rPr>
          <w:color w:val="231F20"/>
          <w:w w:val="105"/>
        </w:rPr>
        <w:t>enfatizando</w:t>
      </w:r>
      <w:r>
        <w:rPr>
          <w:color w:val="231F20"/>
          <w:spacing w:val="-29"/>
          <w:w w:val="105"/>
        </w:rPr>
        <w:t> </w:t>
      </w:r>
      <w:r>
        <w:rPr>
          <w:color w:val="231F20"/>
          <w:w w:val="105"/>
        </w:rPr>
        <w:t>los</w:t>
      </w:r>
      <w:r>
        <w:rPr>
          <w:color w:val="231F20"/>
          <w:spacing w:val="-29"/>
          <w:w w:val="105"/>
        </w:rPr>
        <w:t> </w:t>
      </w:r>
      <w:r>
        <w:rPr>
          <w:color w:val="231F20"/>
          <w:spacing w:val="-3"/>
          <w:w w:val="105"/>
        </w:rPr>
        <w:t>indicadores</w:t>
      </w:r>
      <w:r>
        <w:rPr>
          <w:color w:val="231F20"/>
          <w:spacing w:val="-29"/>
          <w:w w:val="105"/>
        </w:rPr>
        <w:t> </w:t>
      </w:r>
      <w:r>
        <w:rPr>
          <w:color w:val="231F20"/>
          <w:w w:val="105"/>
        </w:rPr>
        <w:t>estructurales</w:t>
      </w:r>
      <w:r>
        <w:rPr>
          <w:color w:val="231F20"/>
          <w:spacing w:val="-29"/>
          <w:w w:val="105"/>
        </w:rPr>
        <w:t> </w:t>
      </w:r>
      <w:r>
        <w:rPr>
          <w:color w:val="231F20"/>
          <w:w w:val="105"/>
        </w:rPr>
        <w:t>y</w:t>
      </w:r>
      <w:r>
        <w:rPr>
          <w:color w:val="231F20"/>
          <w:spacing w:val="-29"/>
          <w:w w:val="105"/>
        </w:rPr>
        <w:t> </w:t>
      </w:r>
      <w:r>
        <w:rPr>
          <w:color w:val="231F20"/>
          <w:w w:val="105"/>
        </w:rPr>
        <w:t>posicionales;</w:t>
      </w:r>
      <w:r>
        <w:rPr>
          <w:color w:val="231F20"/>
          <w:spacing w:val="-29"/>
          <w:w w:val="105"/>
        </w:rPr>
        <w:t> </w:t>
      </w:r>
      <w:r>
        <w:rPr>
          <w:color w:val="231F20"/>
          <w:w w:val="105"/>
        </w:rPr>
        <w:t>y la</w:t>
      </w:r>
      <w:r>
        <w:rPr>
          <w:color w:val="231F20"/>
          <w:spacing w:val="-15"/>
          <w:w w:val="105"/>
        </w:rPr>
        <w:t> </w:t>
      </w:r>
      <w:r>
        <w:rPr>
          <w:color w:val="231F20"/>
          <w:spacing w:val="-3"/>
          <w:w w:val="105"/>
        </w:rPr>
        <w:t>tercer</w:t>
      </w:r>
      <w:r>
        <w:rPr>
          <w:color w:val="231F20"/>
          <w:spacing w:val="-15"/>
          <w:w w:val="105"/>
        </w:rPr>
        <w:t> </w:t>
      </w:r>
      <w:r>
        <w:rPr>
          <w:color w:val="231F20"/>
          <w:spacing w:val="-2"/>
          <w:w w:val="105"/>
        </w:rPr>
        <w:t>parte,</w:t>
      </w:r>
      <w:r>
        <w:rPr>
          <w:color w:val="231F20"/>
          <w:spacing w:val="-21"/>
          <w:w w:val="105"/>
        </w:rPr>
        <w:t> </w:t>
      </w:r>
      <w:r>
        <w:rPr>
          <w:color w:val="231F20"/>
          <w:w w:val="105"/>
        </w:rPr>
        <w:t>detalla</w:t>
      </w:r>
      <w:r>
        <w:rPr>
          <w:color w:val="231F20"/>
          <w:spacing w:val="-15"/>
          <w:w w:val="105"/>
        </w:rPr>
        <w:t> </w:t>
      </w:r>
      <w:r>
        <w:rPr>
          <w:color w:val="231F20"/>
          <w:w w:val="105"/>
        </w:rPr>
        <w:t>la</w:t>
      </w:r>
      <w:r>
        <w:rPr>
          <w:color w:val="231F20"/>
          <w:spacing w:val="-15"/>
          <w:w w:val="105"/>
        </w:rPr>
        <w:t> </w:t>
      </w:r>
      <w:r>
        <w:rPr>
          <w:color w:val="231F20"/>
          <w:spacing w:val="-3"/>
          <w:w w:val="105"/>
        </w:rPr>
        <w:t>propuesta</w:t>
      </w:r>
      <w:r>
        <w:rPr>
          <w:color w:val="231F20"/>
          <w:spacing w:val="-15"/>
          <w:w w:val="105"/>
        </w:rPr>
        <w:t> </w:t>
      </w:r>
      <w:r>
        <w:rPr>
          <w:color w:val="231F20"/>
          <w:w w:val="105"/>
        </w:rPr>
        <w:t>metodológica</w:t>
      </w:r>
      <w:r>
        <w:rPr>
          <w:color w:val="231F20"/>
          <w:spacing w:val="-15"/>
          <w:w w:val="105"/>
        </w:rPr>
        <w:t>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estudio</w:t>
      </w:r>
      <w:r>
        <w:rPr>
          <w:color w:val="231F20"/>
          <w:spacing w:val="-15"/>
          <w:w w:val="105"/>
        </w:rPr>
        <w:t> </w:t>
      </w:r>
      <w:r>
        <w:rPr>
          <w:color w:val="231F20"/>
          <w:w w:val="105"/>
        </w:rPr>
        <w:t>conjun- to</w:t>
      </w:r>
      <w:r>
        <w:rPr>
          <w:color w:val="231F20"/>
          <w:spacing w:val="-19"/>
          <w:w w:val="105"/>
        </w:rPr>
        <w:t> </w:t>
      </w:r>
      <w:r>
        <w:rPr>
          <w:color w:val="231F20"/>
          <w:w w:val="105"/>
        </w:rPr>
        <w:t>de</w:t>
      </w:r>
      <w:r>
        <w:rPr>
          <w:color w:val="231F20"/>
          <w:spacing w:val="-19"/>
          <w:w w:val="105"/>
        </w:rPr>
        <w:t> </w:t>
      </w:r>
      <w:r>
        <w:rPr>
          <w:color w:val="231F20"/>
          <w:spacing w:val="-3"/>
          <w:w w:val="105"/>
        </w:rPr>
        <w:t>redes</w:t>
      </w:r>
      <w:r>
        <w:rPr>
          <w:color w:val="231F20"/>
          <w:spacing w:val="-19"/>
          <w:w w:val="105"/>
        </w:rPr>
        <w:t> </w:t>
      </w:r>
      <w:r>
        <w:rPr>
          <w:color w:val="231F20"/>
          <w:w w:val="105"/>
        </w:rPr>
        <w:t>y</w:t>
      </w:r>
      <w:r>
        <w:rPr>
          <w:color w:val="231F20"/>
          <w:spacing w:val="-19"/>
          <w:w w:val="105"/>
        </w:rPr>
        <w:t> </w:t>
      </w:r>
      <w:r>
        <w:rPr>
          <w:color w:val="231F20"/>
          <w:w w:val="105"/>
        </w:rPr>
        <w:t>los</w:t>
      </w:r>
      <w:r>
        <w:rPr>
          <w:color w:val="231F20"/>
          <w:spacing w:val="-19"/>
          <w:w w:val="105"/>
        </w:rPr>
        <w:t> </w:t>
      </w:r>
      <w:r>
        <w:rPr>
          <w:color w:val="231F20"/>
          <w:spacing w:val="-3"/>
          <w:w w:val="105"/>
        </w:rPr>
        <w:t>procesos</w:t>
      </w:r>
      <w:r>
        <w:rPr>
          <w:color w:val="231F20"/>
          <w:spacing w:val="-19"/>
          <w:w w:val="105"/>
        </w:rPr>
        <w:t> </w:t>
      </w:r>
      <w:r>
        <w:rPr>
          <w:color w:val="231F20"/>
          <w:w w:val="105"/>
        </w:rPr>
        <w:t>de</w:t>
      </w:r>
      <w:r>
        <w:rPr>
          <w:color w:val="231F20"/>
          <w:spacing w:val="-19"/>
          <w:w w:val="105"/>
        </w:rPr>
        <w:t> </w:t>
      </w:r>
      <w:r>
        <w:rPr>
          <w:color w:val="231F20"/>
          <w:spacing w:val="-3"/>
          <w:w w:val="105"/>
        </w:rPr>
        <w:t>creación</w:t>
      </w:r>
      <w:r>
        <w:rPr>
          <w:color w:val="231F20"/>
          <w:spacing w:val="-19"/>
          <w:w w:val="105"/>
        </w:rPr>
        <w:t> </w:t>
      </w:r>
      <w:r>
        <w:rPr>
          <w:color w:val="231F20"/>
          <w:w w:val="105"/>
        </w:rPr>
        <w:t>y</w:t>
      </w:r>
      <w:r>
        <w:rPr>
          <w:color w:val="231F20"/>
          <w:spacing w:val="-19"/>
          <w:w w:val="105"/>
        </w:rPr>
        <w:t> </w:t>
      </w:r>
      <w:r>
        <w:rPr>
          <w:color w:val="231F20"/>
          <w:w w:val="105"/>
        </w:rPr>
        <w:t>transmisión</w:t>
      </w:r>
      <w:r>
        <w:rPr>
          <w:color w:val="231F20"/>
          <w:spacing w:val="-19"/>
          <w:w w:val="105"/>
        </w:rPr>
        <w:t> </w:t>
      </w:r>
      <w:r>
        <w:rPr>
          <w:color w:val="231F20"/>
          <w:w w:val="105"/>
        </w:rPr>
        <w:t>de</w:t>
      </w:r>
      <w:r>
        <w:rPr>
          <w:color w:val="231F20"/>
          <w:spacing w:val="-19"/>
          <w:w w:val="105"/>
        </w:rPr>
        <w:t> </w:t>
      </w:r>
      <w:r>
        <w:rPr>
          <w:color w:val="231F20"/>
          <w:w w:val="105"/>
        </w:rPr>
        <w:t>conocimiento.</w:t>
      </w:r>
    </w:p>
    <w:p>
      <w:pPr>
        <w:pStyle w:val="BodyText"/>
        <w:rPr>
          <w:sz w:val="20"/>
        </w:rPr>
      </w:pPr>
    </w:p>
    <w:p>
      <w:pPr>
        <w:pStyle w:val="BodyText"/>
        <w:spacing w:before="7"/>
        <w:rPr>
          <w:sz w:val="18"/>
        </w:rPr>
      </w:pPr>
    </w:p>
    <w:p>
      <w:pPr>
        <w:pStyle w:val="Heading2"/>
      </w:pPr>
      <w:r>
        <w:rPr>
          <w:color w:val="231F20"/>
        </w:rPr>
        <w:t>Conocimiento en el contexto de la economía del conocimiento</w:t>
      </w:r>
    </w:p>
    <w:p>
      <w:pPr>
        <w:pStyle w:val="BodyText"/>
        <w:rPr>
          <w:b/>
          <w:sz w:val="22"/>
        </w:rPr>
      </w:pPr>
    </w:p>
    <w:p>
      <w:pPr>
        <w:pStyle w:val="BodyText"/>
        <w:spacing w:line="259" w:lineRule="auto" w:before="160"/>
        <w:ind w:left="117" w:right="116"/>
        <w:jc w:val="both"/>
      </w:pPr>
      <w:r>
        <w:rPr>
          <w:color w:val="231F20"/>
          <w:w w:val="105"/>
        </w:rPr>
        <w:t>En</w:t>
      </w:r>
      <w:r>
        <w:rPr>
          <w:color w:val="231F20"/>
          <w:spacing w:val="-29"/>
          <w:w w:val="105"/>
        </w:rPr>
        <w:t> </w:t>
      </w:r>
      <w:r>
        <w:rPr>
          <w:color w:val="231F20"/>
          <w:w w:val="105"/>
        </w:rPr>
        <w:t>los</w:t>
      </w:r>
      <w:r>
        <w:rPr>
          <w:color w:val="231F20"/>
          <w:spacing w:val="-29"/>
          <w:w w:val="105"/>
        </w:rPr>
        <w:t> </w:t>
      </w:r>
      <w:r>
        <w:rPr>
          <w:color w:val="231F20"/>
          <w:w w:val="105"/>
        </w:rPr>
        <w:t>últimos</w:t>
      </w:r>
      <w:r>
        <w:rPr>
          <w:color w:val="231F20"/>
          <w:spacing w:val="-29"/>
          <w:w w:val="105"/>
        </w:rPr>
        <w:t> </w:t>
      </w:r>
      <w:r>
        <w:rPr>
          <w:color w:val="231F20"/>
          <w:w w:val="105"/>
        </w:rPr>
        <w:t>años,</w:t>
      </w:r>
      <w:r>
        <w:rPr>
          <w:color w:val="231F20"/>
          <w:spacing w:val="-33"/>
          <w:w w:val="105"/>
        </w:rPr>
        <w:t> </w:t>
      </w:r>
      <w:r>
        <w:rPr>
          <w:color w:val="231F20"/>
          <w:w w:val="105"/>
        </w:rPr>
        <w:t>como</w:t>
      </w:r>
      <w:r>
        <w:rPr>
          <w:color w:val="231F20"/>
          <w:spacing w:val="-29"/>
          <w:w w:val="105"/>
        </w:rPr>
        <w:t> </w:t>
      </w:r>
      <w:r>
        <w:rPr>
          <w:color w:val="231F20"/>
          <w:w w:val="105"/>
        </w:rPr>
        <w:t>resultado</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nuevas</w:t>
      </w:r>
      <w:r>
        <w:rPr>
          <w:color w:val="231F20"/>
          <w:spacing w:val="-29"/>
          <w:w w:val="105"/>
        </w:rPr>
        <w:t> </w:t>
      </w:r>
      <w:r>
        <w:rPr>
          <w:color w:val="231F20"/>
          <w:w w:val="105"/>
        </w:rPr>
        <w:t>dinámicas</w:t>
      </w:r>
      <w:r>
        <w:rPr>
          <w:color w:val="231F20"/>
          <w:spacing w:val="-29"/>
          <w:w w:val="105"/>
        </w:rPr>
        <w:t> </w:t>
      </w:r>
      <w:r>
        <w:rPr>
          <w:color w:val="231F20"/>
          <w:w w:val="105"/>
        </w:rPr>
        <w:t>productivas y de los avances tecnológicos, se ha reconocido al conocimiento</w:t>
      </w:r>
      <w:r>
        <w:rPr>
          <w:color w:val="231F20"/>
          <w:spacing w:val="-10"/>
          <w:w w:val="105"/>
        </w:rPr>
        <w:t> </w:t>
      </w:r>
      <w:r>
        <w:rPr>
          <w:color w:val="231F20"/>
          <w:w w:val="105"/>
        </w:rPr>
        <w:t>como factor</w:t>
      </w:r>
      <w:r>
        <w:rPr>
          <w:color w:val="231F20"/>
          <w:spacing w:val="-19"/>
          <w:w w:val="105"/>
        </w:rPr>
        <w:t> </w:t>
      </w:r>
      <w:r>
        <w:rPr>
          <w:color w:val="231F20"/>
          <w:w w:val="105"/>
        </w:rPr>
        <w:t>de</w:t>
      </w:r>
      <w:r>
        <w:rPr>
          <w:color w:val="231F20"/>
          <w:spacing w:val="-19"/>
          <w:w w:val="105"/>
        </w:rPr>
        <w:t> </w:t>
      </w:r>
      <w:r>
        <w:rPr>
          <w:color w:val="231F20"/>
          <w:w w:val="105"/>
        </w:rPr>
        <w:t>producción</w:t>
      </w:r>
      <w:r>
        <w:rPr>
          <w:color w:val="231F20"/>
          <w:spacing w:val="-19"/>
          <w:w w:val="105"/>
        </w:rPr>
        <w:t> </w:t>
      </w:r>
      <w:r>
        <w:rPr>
          <w:color w:val="231F20"/>
          <w:w w:val="105"/>
        </w:rPr>
        <w:t>intangible</w:t>
      </w:r>
      <w:r>
        <w:rPr>
          <w:color w:val="231F20"/>
          <w:spacing w:val="-19"/>
          <w:w w:val="105"/>
        </w:rPr>
        <w:t> </w:t>
      </w:r>
      <w:r>
        <w:rPr>
          <w:color w:val="231F20"/>
          <w:w w:val="105"/>
        </w:rPr>
        <w:t>necesario</w:t>
      </w:r>
      <w:r>
        <w:rPr>
          <w:color w:val="231F20"/>
          <w:spacing w:val="-19"/>
          <w:w w:val="105"/>
        </w:rPr>
        <w:t> </w:t>
      </w:r>
      <w:r>
        <w:rPr>
          <w:color w:val="231F20"/>
          <w:w w:val="105"/>
        </w:rPr>
        <w:t>para</w:t>
      </w:r>
      <w:r>
        <w:rPr>
          <w:color w:val="231F20"/>
          <w:spacing w:val="-19"/>
          <w:w w:val="105"/>
        </w:rPr>
        <w:t> </w:t>
      </w:r>
      <w:r>
        <w:rPr>
          <w:color w:val="231F20"/>
          <w:w w:val="105"/>
        </w:rPr>
        <w:t>generar</w:t>
      </w:r>
      <w:r>
        <w:rPr>
          <w:color w:val="231F20"/>
          <w:spacing w:val="-19"/>
          <w:w w:val="105"/>
        </w:rPr>
        <w:t> </w:t>
      </w:r>
      <w:r>
        <w:rPr>
          <w:color w:val="231F20"/>
          <w:w w:val="105"/>
        </w:rPr>
        <w:t>innovación,</w:t>
      </w:r>
      <w:r>
        <w:rPr>
          <w:color w:val="231F20"/>
          <w:spacing w:val="-26"/>
          <w:w w:val="105"/>
        </w:rPr>
        <w:t> </w:t>
      </w:r>
      <w:r>
        <w:rPr>
          <w:color w:val="231F20"/>
          <w:w w:val="105"/>
        </w:rPr>
        <w:t>cam- bio</w:t>
      </w:r>
      <w:r>
        <w:rPr>
          <w:color w:val="231F20"/>
          <w:spacing w:val="-13"/>
          <w:w w:val="105"/>
        </w:rPr>
        <w:t> </w:t>
      </w:r>
      <w:r>
        <w:rPr>
          <w:color w:val="231F20"/>
          <w:w w:val="105"/>
        </w:rPr>
        <w:t>tecnológico</w:t>
      </w:r>
      <w:r>
        <w:rPr>
          <w:color w:val="231F20"/>
          <w:spacing w:val="-13"/>
          <w:w w:val="105"/>
        </w:rPr>
        <w:t> </w:t>
      </w:r>
      <w:r>
        <w:rPr>
          <w:color w:val="231F20"/>
          <w:w w:val="105"/>
        </w:rPr>
        <w:t>y</w:t>
      </w:r>
      <w:r>
        <w:rPr>
          <w:color w:val="231F20"/>
          <w:spacing w:val="-13"/>
          <w:w w:val="105"/>
        </w:rPr>
        <w:t> </w:t>
      </w:r>
      <w:r>
        <w:rPr>
          <w:color w:val="231F20"/>
          <w:w w:val="105"/>
        </w:rPr>
        <w:t>desarrollo</w:t>
      </w:r>
      <w:r>
        <w:rPr>
          <w:color w:val="231F20"/>
          <w:spacing w:val="-13"/>
          <w:w w:val="105"/>
        </w:rPr>
        <w:t> </w:t>
      </w:r>
      <w:r>
        <w:rPr>
          <w:color w:val="231F20"/>
          <w:w w:val="105"/>
        </w:rPr>
        <w:t>económico.</w:t>
      </w:r>
      <w:r>
        <w:rPr>
          <w:color w:val="231F20"/>
          <w:spacing w:val="-19"/>
          <w:w w:val="105"/>
        </w:rPr>
        <w:t> </w:t>
      </w:r>
      <w:r>
        <w:rPr>
          <w:color w:val="231F20"/>
          <w:w w:val="105"/>
        </w:rPr>
        <w:t>Esta</w:t>
      </w:r>
      <w:r>
        <w:rPr>
          <w:color w:val="231F20"/>
          <w:spacing w:val="-13"/>
          <w:w w:val="105"/>
        </w:rPr>
        <w:t> </w:t>
      </w:r>
      <w:r>
        <w:rPr>
          <w:color w:val="231F20"/>
          <w:w w:val="105"/>
        </w:rPr>
        <w:t>nueva</w:t>
      </w:r>
      <w:r>
        <w:rPr>
          <w:color w:val="231F20"/>
          <w:spacing w:val="-13"/>
          <w:w w:val="105"/>
        </w:rPr>
        <w:t> </w:t>
      </w:r>
      <w:r>
        <w:rPr>
          <w:color w:val="231F20"/>
          <w:w w:val="105"/>
        </w:rPr>
        <w:t>circunstancia</w:t>
      </w:r>
      <w:r>
        <w:rPr>
          <w:color w:val="231F20"/>
          <w:spacing w:val="-13"/>
          <w:w w:val="105"/>
        </w:rPr>
        <w:t> </w:t>
      </w:r>
      <w:r>
        <w:rPr>
          <w:color w:val="231F20"/>
          <w:w w:val="105"/>
        </w:rPr>
        <w:t>es</w:t>
      </w:r>
      <w:r>
        <w:rPr>
          <w:color w:val="231F20"/>
          <w:spacing w:val="-13"/>
          <w:w w:val="105"/>
        </w:rPr>
        <w:t> </w:t>
      </w:r>
      <w:r>
        <w:rPr>
          <w:color w:val="231F20"/>
          <w:w w:val="105"/>
        </w:rPr>
        <w:t>ex- plicada por el enfoque economía del conocimiento cuyo énfasis</w:t>
      </w:r>
      <w:r>
        <w:rPr>
          <w:color w:val="231F20"/>
          <w:spacing w:val="-13"/>
          <w:w w:val="105"/>
        </w:rPr>
        <w:t> </w:t>
      </w:r>
      <w:r>
        <w:rPr>
          <w:color w:val="231F20"/>
          <w:w w:val="105"/>
        </w:rPr>
        <w:t>central radica</w:t>
      </w:r>
      <w:r>
        <w:rPr>
          <w:color w:val="231F20"/>
          <w:spacing w:val="-17"/>
          <w:w w:val="105"/>
        </w:rPr>
        <w:t> </w:t>
      </w:r>
      <w:r>
        <w:rPr>
          <w:color w:val="231F20"/>
          <w:w w:val="105"/>
        </w:rPr>
        <w:t>en</w:t>
      </w:r>
      <w:r>
        <w:rPr>
          <w:color w:val="231F20"/>
          <w:spacing w:val="-17"/>
          <w:w w:val="105"/>
        </w:rPr>
        <w:t> </w:t>
      </w:r>
      <w:r>
        <w:rPr>
          <w:color w:val="231F20"/>
          <w:w w:val="105"/>
        </w:rPr>
        <w:t>explicar</w:t>
      </w:r>
      <w:r>
        <w:rPr>
          <w:color w:val="231F20"/>
          <w:spacing w:val="-17"/>
          <w:w w:val="105"/>
        </w:rPr>
        <w:t> </w:t>
      </w:r>
      <w:r>
        <w:rPr>
          <w:color w:val="231F20"/>
          <w:w w:val="105"/>
        </w:rPr>
        <w:t>que</w:t>
      </w:r>
      <w:r>
        <w:rPr>
          <w:color w:val="231F20"/>
          <w:spacing w:val="-17"/>
          <w:w w:val="105"/>
        </w:rPr>
        <w:t> </w:t>
      </w:r>
      <w:r>
        <w:rPr>
          <w:color w:val="231F20"/>
          <w:w w:val="105"/>
        </w:rPr>
        <w:t>la</w:t>
      </w:r>
      <w:r>
        <w:rPr>
          <w:color w:val="231F20"/>
          <w:spacing w:val="-17"/>
          <w:w w:val="105"/>
        </w:rPr>
        <w:t> </w:t>
      </w:r>
      <w:r>
        <w:rPr>
          <w:color w:val="231F20"/>
          <w:w w:val="105"/>
        </w:rPr>
        <w:t>expansión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sectores</w:t>
      </w:r>
      <w:r>
        <w:rPr>
          <w:color w:val="231F20"/>
          <w:spacing w:val="-17"/>
          <w:w w:val="105"/>
        </w:rPr>
        <w:t> </w:t>
      </w:r>
      <w:r>
        <w:rPr>
          <w:color w:val="231F20"/>
          <w:w w:val="105"/>
        </w:rPr>
        <w:t>productivos</w:t>
      </w:r>
      <w:r>
        <w:rPr>
          <w:color w:val="231F20"/>
          <w:spacing w:val="-17"/>
          <w:w w:val="105"/>
        </w:rPr>
        <w:t> </w:t>
      </w:r>
      <w:r>
        <w:rPr>
          <w:color w:val="231F20"/>
          <w:w w:val="105"/>
        </w:rPr>
        <w:t>es</w:t>
      </w:r>
      <w:r>
        <w:rPr>
          <w:color w:val="231F20"/>
          <w:spacing w:val="-17"/>
          <w:w w:val="105"/>
        </w:rPr>
        <w:t> </w:t>
      </w:r>
      <w:r>
        <w:rPr>
          <w:color w:val="231F20"/>
          <w:w w:val="105"/>
        </w:rPr>
        <w:t>resul- tado de la creación de valor, a partir del uso intensivo de</w:t>
      </w:r>
      <w:r>
        <w:rPr>
          <w:color w:val="231F20"/>
          <w:spacing w:val="-33"/>
          <w:w w:val="105"/>
        </w:rPr>
        <w:t> </w:t>
      </w:r>
      <w:r>
        <w:rPr>
          <w:color w:val="231F20"/>
          <w:w w:val="105"/>
        </w:rPr>
        <w:t>conocimiento, siendo</w:t>
      </w:r>
      <w:r>
        <w:rPr>
          <w:color w:val="231F20"/>
          <w:spacing w:val="-8"/>
          <w:w w:val="105"/>
        </w:rPr>
        <w:t> </w:t>
      </w:r>
      <w:r>
        <w:rPr>
          <w:color w:val="231F20"/>
          <w:w w:val="105"/>
        </w:rPr>
        <w:t>éste</w:t>
      </w:r>
      <w:r>
        <w:rPr>
          <w:color w:val="231F20"/>
          <w:spacing w:val="-8"/>
          <w:w w:val="105"/>
        </w:rPr>
        <w:t> </w:t>
      </w:r>
      <w:r>
        <w:rPr>
          <w:color w:val="231F20"/>
          <w:w w:val="105"/>
        </w:rPr>
        <w:t>el</w:t>
      </w:r>
      <w:r>
        <w:rPr>
          <w:color w:val="231F20"/>
          <w:spacing w:val="-8"/>
          <w:w w:val="105"/>
        </w:rPr>
        <w:t> </w:t>
      </w:r>
      <w:r>
        <w:rPr>
          <w:color w:val="231F20"/>
          <w:w w:val="105"/>
        </w:rPr>
        <w:t>principal</w:t>
      </w:r>
      <w:r>
        <w:rPr>
          <w:color w:val="231F20"/>
          <w:spacing w:val="-8"/>
          <w:w w:val="105"/>
        </w:rPr>
        <w:t> </w:t>
      </w:r>
      <w:r>
        <w:rPr>
          <w:color w:val="231F20"/>
          <w:w w:val="105"/>
        </w:rPr>
        <w:t>promotor</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generación</w:t>
      </w:r>
      <w:r>
        <w:rPr>
          <w:color w:val="231F20"/>
          <w:spacing w:val="-8"/>
          <w:w w:val="105"/>
        </w:rPr>
        <w:t> </w:t>
      </w:r>
      <w:r>
        <w:rPr>
          <w:color w:val="231F20"/>
          <w:w w:val="105"/>
        </w:rPr>
        <w:t>de</w:t>
      </w:r>
      <w:r>
        <w:rPr>
          <w:color w:val="231F20"/>
          <w:spacing w:val="-8"/>
          <w:w w:val="105"/>
        </w:rPr>
        <w:t> </w:t>
      </w:r>
      <w:r>
        <w:rPr>
          <w:color w:val="231F20"/>
          <w:w w:val="105"/>
        </w:rPr>
        <w:t>riqueza.</w:t>
      </w:r>
    </w:p>
    <w:p>
      <w:pPr>
        <w:pStyle w:val="BodyText"/>
        <w:spacing w:line="259" w:lineRule="auto"/>
        <w:ind w:left="117" w:right="121" w:firstLine="567"/>
        <w:jc w:val="both"/>
      </w:pPr>
      <w:r>
        <w:rPr>
          <w:color w:val="231F20"/>
          <w:w w:val="105"/>
        </w:rPr>
        <w:t>La</w:t>
      </w:r>
      <w:r>
        <w:rPr>
          <w:color w:val="231F20"/>
          <w:spacing w:val="-22"/>
          <w:w w:val="105"/>
        </w:rPr>
        <w:t> </w:t>
      </w:r>
      <w:r>
        <w:rPr>
          <w:color w:val="231F20"/>
          <w:w w:val="105"/>
        </w:rPr>
        <w:t>diferencia</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rPr>
        <w:t>modelo</w:t>
      </w:r>
      <w:r>
        <w:rPr>
          <w:color w:val="231F20"/>
          <w:spacing w:val="-22"/>
          <w:w w:val="105"/>
        </w:rPr>
        <w:t> </w:t>
      </w:r>
      <w:r>
        <w:rPr>
          <w:color w:val="231F20"/>
          <w:w w:val="105"/>
        </w:rPr>
        <w:t>de</w:t>
      </w:r>
      <w:r>
        <w:rPr>
          <w:color w:val="231F20"/>
          <w:spacing w:val="-22"/>
          <w:w w:val="105"/>
        </w:rPr>
        <w:t> </w:t>
      </w:r>
      <w:r>
        <w:rPr>
          <w:color w:val="231F20"/>
          <w:w w:val="105"/>
        </w:rPr>
        <w:t>economía</w:t>
      </w:r>
      <w:r>
        <w:rPr>
          <w:color w:val="231F20"/>
          <w:spacing w:val="-22"/>
          <w:w w:val="105"/>
        </w:rPr>
        <w:t> </w:t>
      </w:r>
      <w:r>
        <w:rPr>
          <w:color w:val="231F20"/>
          <w:w w:val="105"/>
        </w:rPr>
        <w:t>industrial</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perspecti- va</w:t>
      </w:r>
      <w:r>
        <w:rPr>
          <w:color w:val="231F20"/>
          <w:spacing w:val="-15"/>
          <w:w w:val="105"/>
        </w:rPr>
        <w:t> </w:t>
      </w:r>
      <w:r>
        <w:rPr>
          <w:color w:val="231F20"/>
          <w:w w:val="105"/>
        </w:rPr>
        <w:t>basada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conocimiento,</w:t>
      </w:r>
      <w:r>
        <w:rPr>
          <w:color w:val="231F20"/>
          <w:spacing w:val="-21"/>
          <w:w w:val="105"/>
        </w:rPr>
        <w:t> </w:t>
      </w:r>
      <w:r>
        <w:rPr>
          <w:color w:val="231F20"/>
          <w:w w:val="105"/>
        </w:rPr>
        <w:t>se</w:t>
      </w:r>
      <w:r>
        <w:rPr>
          <w:color w:val="231F20"/>
          <w:spacing w:val="-15"/>
          <w:w w:val="105"/>
        </w:rPr>
        <w:t> </w:t>
      </w:r>
      <w:r>
        <w:rPr>
          <w:color w:val="231F20"/>
          <w:w w:val="105"/>
        </w:rPr>
        <w:t>halla</w:t>
      </w:r>
      <w:r>
        <w:rPr>
          <w:color w:val="231F20"/>
          <w:spacing w:val="-15"/>
          <w:w w:val="105"/>
        </w:rPr>
        <w:t> </w:t>
      </w:r>
      <w:r>
        <w:rPr>
          <w:color w:val="231F20"/>
          <w:w w:val="105"/>
        </w:rPr>
        <w:t>en</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primero</w:t>
      </w:r>
      <w:r>
        <w:rPr>
          <w:color w:val="231F20"/>
          <w:spacing w:val="-15"/>
          <w:w w:val="105"/>
        </w:rPr>
        <w:t> </w:t>
      </w:r>
      <w:r>
        <w:rPr>
          <w:color w:val="231F20"/>
          <w:w w:val="105"/>
        </w:rPr>
        <w:t>se</w:t>
      </w:r>
      <w:r>
        <w:rPr>
          <w:color w:val="231F20"/>
          <w:spacing w:val="-15"/>
          <w:w w:val="105"/>
        </w:rPr>
        <w:t> </w:t>
      </w:r>
      <w:r>
        <w:rPr>
          <w:color w:val="231F20"/>
          <w:w w:val="105"/>
        </w:rPr>
        <w:t>fundamenta en</w:t>
      </w:r>
      <w:r>
        <w:rPr>
          <w:color w:val="231F20"/>
          <w:spacing w:val="-15"/>
          <w:w w:val="105"/>
        </w:rPr>
        <w:t> </w:t>
      </w:r>
      <w:r>
        <w:rPr>
          <w:color w:val="231F20"/>
          <w:w w:val="105"/>
        </w:rPr>
        <w:t>la</w:t>
      </w:r>
      <w:r>
        <w:rPr>
          <w:color w:val="231F20"/>
          <w:spacing w:val="-15"/>
          <w:w w:val="105"/>
        </w:rPr>
        <w:t> </w:t>
      </w:r>
      <w:r>
        <w:rPr>
          <w:color w:val="231F20"/>
          <w:w w:val="105"/>
        </w:rPr>
        <w:t>fuerza</w:t>
      </w:r>
      <w:r>
        <w:rPr>
          <w:color w:val="231F20"/>
          <w:spacing w:val="-15"/>
          <w:w w:val="105"/>
        </w:rPr>
        <w:t> </w:t>
      </w:r>
      <w:r>
        <w:rPr>
          <w:color w:val="231F20"/>
          <w:w w:val="105"/>
        </w:rPr>
        <w:t>de</w:t>
      </w:r>
      <w:r>
        <w:rPr>
          <w:color w:val="231F20"/>
          <w:spacing w:val="-15"/>
          <w:w w:val="105"/>
        </w:rPr>
        <w:t> </w:t>
      </w:r>
      <w:r>
        <w:rPr>
          <w:color w:val="231F20"/>
          <w:w w:val="105"/>
        </w:rPr>
        <w:t>trabajo</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explotación</w:t>
      </w:r>
      <w:r>
        <w:rPr>
          <w:color w:val="231F20"/>
          <w:spacing w:val="-15"/>
          <w:w w:val="105"/>
        </w:rPr>
        <w:t> </w:t>
      </w:r>
      <w:r>
        <w:rPr>
          <w:color w:val="231F20"/>
          <w:w w:val="105"/>
        </w:rPr>
        <w:t>de</w:t>
      </w:r>
      <w:r>
        <w:rPr>
          <w:color w:val="231F20"/>
          <w:spacing w:val="-15"/>
          <w:w w:val="105"/>
        </w:rPr>
        <w:t> </w:t>
      </w:r>
      <w:r>
        <w:rPr>
          <w:color w:val="231F20"/>
          <w:w w:val="105"/>
        </w:rPr>
        <w:t>recursos</w:t>
      </w:r>
      <w:r>
        <w:rPr>
          <w:color w:val="231F20"/>
          <w:spacing w:val="-15"/>
          <w:w w:val="105"/>
        </w:rPr>
        <w:t> </w:t>
      </w:r>
      <w:r>
        <w:rPr>
          <w:color w:val="231F20"/>
          <w:w w:val="105"/>
        </w:rPr>
        <w:t>físicos</w:t>
      </w:r>
      <w:r>
        <w:rPr>
          <w:color w:val="231F20"/>
          <w:spacing w:val="-15"/>
          <w:w w:val="105"/>
        </w:rPr>
        <w:t> </w:t>
      </w:r>
      <w:r>
        <w:rPr>
          <w:color w:val="231F20"/>
          <w:w w:val="105"/>
        </w:rPr>
        <w:t>o</w:t>
      </w:r>
      <w:r>
        <w:rPr>
          <w:color w:val="231F20"/>
          <w:spacing w:val="-15"/>
          <w:w w:val="105"/>
        </w:rPr>
        <w:t> </w:t>
      </w:r>
      <w:r>
        <w:rPr>
          <w:color w:val="231F20"/>
          <w:w w:val="105"/>
        </w:rPr>
        <w:t>tangibles;</w:t>
      </w:r>
      <w:r>
        <w:rPr>
          <w:color w:val="231F20"/>
          <w:spacing w:val="-15"/>
          <w:w w:val="105"/>
        </w:rPr>
        <w:t> </w:t>
      </w:r>
      <w:r>
        <w:rPr>
          <w:color w:val="231F20"/>
          <w:w w:val="105"/>
        </w:rPr>
        <w:t>el segundo se cimienta en la creación de innovación, producto del apren- dizaje</w:t>
      </w:r>
      <w:r>
        <w:rPr>
          <w:color w:val="231F20"/>
          <w:spacing w:val="-16"/>
          <w:w w:val="105"/>
        </w:rPr>
        <w:t> </w:t>
      </w:r>
      <w:r>
        <w:rPr>
          <w:color w:val="231F20"/>
          <w:w w:val="105"/>
        </w:rPr>
        <w:t>colectivo</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transformación</w:t>
      </w:r>
      <w:r>
        <w:rPr>
          <w:color w:val="231F20"/>
          <w:spacing w:val="-16"/>
          <w:w w:val="105"/>
        </w:rPr>
        <w:t> </w:t>
      </w:r>
      <w:r>
        <w:rPr>
          <w:color w:val="231F20"/>
          <w:w w:val="105"/>
        </w:rPr>
        <w:t>de</w:t>
      </w:r>
      <w:r>
        <w:rPr>
          <w:color w:val="231F20"/>
          <w:spacing w:val="-16"/>
          <w:w w:val="105"/>
        </w:rPr>
        <w:t> </w:t>
      </w:r>
      <w:r>
        <w:rPr>
          <w:color w:val="231F20"/>
          <w:w w:val="105"/>
        </w:rPr>
        <w:t>éste</w:t>
      </w:r>
      <w:r>
        <w:rPr>
          <w:color w:val="231F20"/>
          <w:spacing w:val="-16"/>
          <w:w w:val="105"/>
        </w:rPr>
        <w:t> </w:t>
      </w:r>
      <w:r>
        <w:rPr>
          <w:color w:val="231F20"/>
          <w:w w:val="105"/>
        </w:rPr>
        <w:t>en</w:t>
      </w:r>
      <w:r>
        <w:rPr>
          <w:color w:val="231F20"/>
          <w:spacing w:val="-16"/>
          <w:w w:val="105"/>
        </w:rPr>
        <w:t> </w:t>
      </w:r>
      <w:r>
        <w:rPr>
          <w:color w:val="231F20"/>
          <w:w w:val="105"/>
        </w:rPr>
        <w:t>conocimiento</w:t>
      </w:r>
      <w:r>
        <w:rPr>
          <w:color w:val="231F20"/>
          <w:spacing w:val="-16"/>
          <w:w w:val="105"/>
        </w:rPr>
        <w:t> </w:t>
      </w:r>
      <w:r>
        <w:rPr>
          <w:color w:val="231F20"/>
          <w:w w:val="105"/>
        </w:rPr>
        <w:t>aplicado con</w:t>
      </w:r>
      <w:r>
        <w:rPr>
          <w:color w:val="231F20"/>
          <w:spacing w:val="-28"/>
          <w:w w:val="105"/>
        </w:rPr>
        <w:t> </w:t>
      </w:r>
      <w:r>
        <w:rPr>
          <w:color w:val="231F20"/>
          <w:w w:val="105"/>
        </w:rPr>
        <w:t>resultados</w:t>
      </w:r>
      <w:r>
        <w:rPr>
          <w:color w:val="231F20"/>
          <w:spacing w:val="-28"/>
          <w:w w:val="105"/>
        </w:rPr>
        <w:t> </w:t>
      </w:r>
      <w:r>
        <w:rPr>
          <w:color w:val="231F20"/>
          <w:w w:val="105"/>
        </w:rPr>
        <w:t>económicos</w:t>
      </w:r>
      <w:r>
        <w:rPr>
          <w:color w:val="231F20"/>
          <w:spacing w:val="-28"/>
          <w:w w:val="105"/>
        </w:rPr>
        <w:t> </w:t>
      </w:r>
      <w:r>
        <w:rPr>
          <w:color w:val="231F20"/>
          <w:w w:val="105"/>
        </w:rPr>
        <w:t>y</w:t>
      </w:r>
      <w:r>
        <w:rPr>
          <w:color w:val="231F20"/>
          <w:spacing w:val="-28"/>
          <w:w w:val="105"/>
        </w:rPr>
        <w:t> </w:t>
      </w:r>
      <w:r>
        <w:rPr>
          <w:color w:val="231F20"/>
          <w:w w:val="105"/>
        </w:rPr>
        <w:t>sociales</w:t>
      </w:r>
      <w:r>
        <w:rPr>
          <w:color w:val="231F20"/>
          <w:spacing w:val="-28"/>
          <w:w w:val="105"/>
        </w:rPr>
        <w:t> </w:t>
      </w:r>
      <w:r>
        <w:rPr>
          <w:color w:val="231F20"/>
          <w:w w:val="105"/>
        </w:rPr>
        <w:t>(Aboites</w:t>
      </w:r>
      <w:r>
        <w:rPr>
          <w:color w:val="231F20"/>
          <w:spacing w:val="-28"/>
          <w:w w:val="105"/>
        </w:rPr>
        <w:t> </w:t>
      </w:r>
      <w:r>
        <w:rPr>
          <w:color w:val="231F20"/>
          <w:w w:val="105"/>
        </w:rPr>
        <w:t>y</w:t>
      </w:r>
      <w:r>
        <w:rPr>
          <w:color w:val="231F20"/>
          <w:spacing w:val="-28"/>
          <w:w w:val="105"/>
        </w:rPr>
        <w:t> </w:t>
      </w:r>
      <w:r>
        <w:rPr>
          <w:color w:val="231F20"/>
          <w:w w:val="105"/>
        </w:rPr>
        <w:t>Soria,</w:t>
      </w:r>
      <w:r>
        <w:rPr>
          <w:color w:val="231F20"/>
          <w:spacing w:val="-32"/>
          <w:w w:val="105"/>
        </w:rPr>
        <w:t> </w:t>
      </w:r>
      <w:r>
        <w:rPr>
          <w:color w:val="231F20"/>
          <w:w w:val="105"/>
        </w:rPr>
        <w:t>2008).</w:t>
      </w:r>
    </w:p>
    <w:p>
      <w:pPr>
        <w:pStyle w:val="BodyText"/>
        <w:spacing w:line="259" w:lineRule="auto"/>
        <w:ind w:left="117" w:right="116" w:firstLine="567"/>
        <w:jc w:val="both"/>
      </w:pPr>
      <w:r>
        <w:rPr>
          <w:color w:val="231F20"/>
          <w:w w:val="105"/>
        </w:rPr>
        <w:t>Bajo</w:t>
      </w:r>
      <w:r>
        <w:rPr>
          <w:color w:val="231F20"/>
          <w:spacing w:val="-24"/>
          <w:w w:val="105"/>
        </w:rPr>
        <w:t> </w:t>
      </w:r>
      <w:r>
        <w:rPr>
          <w:color w:val="231F20"/>
          <w:w w:val="105"/>
        </w:rPr>
        <w:t>el</w:t>
      </w:r>
      <w:r>
        <w:rPr>
          <w:color w:val="231F20"/>
          <w:spacing w:val="-24"/>
          <w:w w:val="105"/>
        </w:rPr>
        <w:t> </w:t>
      </w:r>
      <w:r>
        <w:rPr>
          <w:color w:val="231F20"/>
          <w:w w:val="105"/>
        </w:rPr>
        <w:t>esquema</w:t>
      </w:r>
      <w:r>
        <w:rPr>
          <w:color w:val="231F20"/>
          <w:spacing w:val="-24"/>
          <w:w w:val="105"/>
        </w:rPr>
        <w:t> </w:t>
      </w:r>
      <w:r>
        <w:rPr>
          <w:color w:val="231F20"/>
          <w:w w:val="105"/>
        </w:rPr>
        <w:t>economía</w:t>
      </w:r>
      <w:r>
        <w:rPr>
          <w:color w:val="231F20"/>
          <w:spacing w:val="-24"/>
          <w:w w:val="105"/>
        </w:rPr>
        <w:t> </w:t>
      </w:r>
      <w:r>
        <w:rPr>
          <w:color w:val="231F20"/>
          <w:w w:val="105"/>
        </w:rPr>
        <w:t>del</w:t>
      </w:r>
      <w:r>
        <w:rPr>
          <w:color w:val="231F20"/>
          <w:spacing w:val="-24"/>
          <w:w w:val="105"/>
        </w:rPr>
        <w:t> </w:t>
      </w:r>
      <w:r>
        <w:rPr>
          <w:color w:val="231F20"/>
          <w:w w:val="105"/>
        </w:rPr>
        <w:t>conocimiento,</w:t>
      </w:r>
      <w:r>
        <w:rPr>
          <w:color w:val="231F20"/>
          <w:spacing w:val="-29"/>
          <w:w w:val="105"/>
        </w:rPr>
        <w:t> </w:t>
      </w:r>
      <w:r>
        <w:rPr>
          <w:color w:val="231F20"/>
          <w:w w:val="105"/>
        </w:rPr>
        <w:t>es</w:t>
      </w:r>
      <w:r>
        <w:rPr>
          <w:color w:val="231F20"/>
          <w:spacing w:val="-24"/>
          <w:w w:val="105"/>
        </w:rPr>
        <w:t> </w:t>
      </w:r>
      <w:r>
        <w:rPr>
          <w:color w:val="231F20"/>
          <w:w w:val="105"/>
        </w:rPr>
        <w:t>posible</w:t>
      </w:r>
      <w:r>
        <w:rPr>
          <w:color w:val="231F20"/>
          <w:spacing w:val="-24"/>
          <w:w w:val="105"/>
        </w:rPr>
        <w:t> </w:t>
      </w:r>
      <w:r>
        <w:rPr>
          <w:color w:val="231F20"/>
          <w:w w:val="105"/>
        </w:rPr>
        <w:t>identificar dos</w:t>
      </w:r>
      <w:r>
        <w:rPr>
          <w:color w:val="231F20"/>
          <w:spacing w:val="-22"/>
          <w:w w:val="105"/>
        </w:rPr>
        <w:t> </w:t>
      </w:r>
      <w:r>
        <w:rPr>
          <w:color w:val="231F20"/>
          <w:w w:val="105"/>
        </w:rPr>
        <w:t>definiciones</w:t>
      </w:r>
      <w:r>
        <w:rPr>
          <w:color w:val="231F20"/>
          <w:spacing w:val="-22"/>
          <w:w w:val="105"/>
        </w:rPr>
        <w:t> </w:t>
      </w:r>
      <w:r>
        <w:rPr>
          <w:color w:val="231F20"/>
          <w:w w:val="105"/>
        </w:rPr>
        <w:t>esenciales:</w:t>
      </w:r>
      <w:r>
        <w:rPr>
          <w:color w:val="231F20"/>
          <w:spacing w:val="-22"/>
          <w:w w:val="105"/>
        </w:rPr>
        <w:t> </w:t>
      </w:r>
      <w:r>
        <w:rPr>
          <w:color w:val="231F20"/>
          <w:spacing w:val="-3"/>
          <w:w w:val="105"/>
        </w:rPr>
        <w:t>aprendizaje</w:t>
      </w:r>
      <w:r>
        <w:rPr>
          <w:color w:val="231F20"/>
          <w:spacing w:val="-22"/>
          <w:w w:val="105"/>
        </w:rPr>
        <w:t> </w:t>
      </w:r>
      <w:r>
        <w:rPr>
          <w:color w:val="231F20"/>
          <w:w w:val="105"/>
        </w:rPr>
        <w:t>colectivo</w:t>
      </w:r>
      <w:r>
        <w:rPr>
          <w:color w:val="231F20"/>
          <w:spacing w:val="-22"/>
          <w:w w:val="105"/>
        </w:rPr>
        <w:t> </w:t>
      </w:r>
      <w:r>
        <w:rPr>
          <w:color w:val="231F20"/>
          <w:w w:val="105"/>
        </w:rPr>
        <w:t>y</w:t>
      </w:r>
      <w:r>
        <w:rPr>
          <w:color w:val="231F20"/>
          <w:spacing w:val="-22"/>
          <w:w w:val="105"/>
        </w:rPr>
        <w:t> </w:t>
      </w:r>
      <w:r>
        <w:rPr>
          <w:color w:val="231F20"/>
          <w:w w:val="105"/>
        </w:rPr>
        <w:t>conocimiento</w:t>
      </w:r>
      <w:r>
        <w:rPr>
          <w:color w:val="231F20"/>
          <w:spacing w:val="-22"/>
          <w:w w:val="105"/>
        </w:rPr>
        <w:t> </w:t>
      </w:r>
      <w:r>
        <w:rPr>
          <w:color w:val="231F20"/>
          <w:w w:val="105"/>
        </w:rPr>
        <w:t>de</w:t>
      </w:r>
      <w:r>
        <w:rPr>
          <w:color w:val="231F20"/>
          <w:spacing w:val="-22"/>
          <w:w w:val="105"/>
        </w:rPr>
        <w:t> </w:t>
      </w:r>
      <w:r>
        <w:rPr>
          <w:color w:val="231F20"/>
          <w:w w:val="105"/>
        </w:rPr>
        <w:t>na- turaleza</w:t>
      </w:r>
      <w:r>
        <w:rPr>
          <w:color w:val="231F20"/>
          <w:spacing w:val="-40"/>
          <w:w w:val="105"/>
        </w:rPr>
        <w:t> </w:t>
      </w:r>
      <w:r>
        <w:rPr>
          <w:color w:val="231F20"/>
          <w:w w:val="105"/>
        </w:rPr>
        <w:t>sistémica.</w:t>
      </w:r>
      <w:r>
        <w:rPr>
          <w:color w:val="231F20"/>
          <w:spacing w:val="-44"/>
          <w:w w:val="105"/>
        </w:rPr>
        <w:t> </w:t>
      </w:r>
      <w:r>
        <w:rPr>
          <w:color w:val="231F20"/>
          <w:w w:val="105"/>
        </w:rPr>
        <w:t>El</w:t>
      </w:r>
      <w:r>
        <w:rPr>
          <w:color w:val="231F20"/>
          <w:spacing w:val="-40"/>
          <w:w w:val="105"/>
        </w:rPr>
        <w:t> </w:t>
      </w:r>
      <w:r>
        <w:rPr>
          <w:color w:val="231F20"/>
          <w:spacing w:val="-3"/>
          <w:w w:val="105"/>
        </w:rPr>
        <w:t>primero</w:t>
      </w:r>
      <w:r>
        <w:rPr>
          <w:color w:val="231F20"/>
          <w:spacing w:val="-40"/>
          <w:w w:val="105"/>
        </w:rPr>
        <w:t> </w:t>
      </w:r>
      <w:r>
        <w:rPr>
          <w:color w:val="231F20"/>
          <w:w w:val="105"/>
        </w:rPr>
        <w:t>ostenta</w:t>
      </w:r>
      <w:r>
        <w:rPr>
          <w:color w:val="231F20"/>
          <w:spacing w:val="-40"/>
          <w:w w:val="105"/>
        </w:rPr>
        <w:t> </w:t>
      </w:r>
      <w:r>
        <w:rPr>
          <w:color w:val="231F20"/>
          <w:w w:val="105"/>
        </w:rPr>
        <w:t>una</w:t>
      </w:r>
      <w:r>
        <w:rPr>
          <w:color w:val="231F20"/>
          <w:spacing w:val="-40"/>
          <w:w w:val="105"/>
        </w:rPr>
        <w:t> </w:t>
      </w:r>
      <w:r>
        <w:rPr>
          <w:color w:val="231F20"/>
          <w:w w:val="105"/>
        </w:rPr>
        <w:t>postura</w:t>
      </w:r>
      <w:r>
        <w:rPr>
          <w:color w:val="231F20"/>
          <w:spacing w:val="-40"/>
          <w:w w:val="105"/>
        </w:rPr>
        <w:t> </w:t>
      </w:r>
      <w:r>
        <w:rPr>
          <w:color w:val="231F20"/>
          <w:w w:val="105"/>
        </w:rPr>
        <w:t>prioritaria</w:t>
      </w:r>
      <w:r>
        <w:rPr>
          <w:color w:val="231F20"/>
          <w:spacing w:val="-40"/>
          <w:w w:val="105"/>
        </w:rPr>
        <w:t> </w:t>
      </w:r>
      <w:r>
        <w:rPr>
          <w:color w:val="231F20"/>
          <w:w w:val="105"/>
        </w:rPr>
        <w:t>al</w:t>
      </w:r>
      <w:r>
        <w:rPr>
          <w:color w:val="231F20"/>
          <w:spacing w:val="-40"/>
          <w:w w:val="105"/>
        </w:rPr>
        <w:t> </w:t>
      </w:r>
      <w:r>
        <w:rPr>
          <w:color w:val="231F20"/>
          <w:spacing w:val="-3"/>
          <w:w w:val="105"/>
        </w:rPr>
        <w:t>representar </w:t>
      </w:r>
      <w:r>
        <w:rPr>
          <w:color w:val="231F20"/>
          <w:w w:val="105"/>
        </w:rPr>
        <w:t>un</w:t>
      </w:r>
      <w:r>
        <w:rPr>
          <w:color w:val="231F20"/>
          <w:spacing w:val="-32"/>
          <w:w w:val="105"/>
        </w:rPr>
        <w:t> </w:t>
      </w:r>
      <w:r>
        <w:rPr>
          <w:color w:val="231F20"/>
          <w:w w:val="105"/>
        </w:rPr>
        <w:t>antecedente</w:t>
      </w:r>
      <w:r>
        <w:rPr>
          <w:color w:val="231F20"/>
          <w:spacing w:val="-32"/>
          <w:w w:val="105"/>
        </w:rPr>
        <w:t> </w:t>
      </w:r>
      <w:r>
        <w:rPr>
          <w:color w:val="231F20"/>
          <w:w w:val="105"/>
        </w:rPr>
        <w:t>para</w:t>
      </w:r>
      <w:r>
        <w:rPr>
          <w:color w:val="231F20"/>
          <w:spacing w:val="-32"/>
          <w:w w:val="105"/>
        </w:rPr>
        <w:t> </w:t>
      </w:r>
      <w:r>
        <w:rPr>
          <w:color w:val="231F20"/>
          <w:spacing w:val="-3"/>
          <w:w w:val="105"/>
        </w:rPr>
        <w:t>crear</w:t>
      </w:r>
      <w:r>
        <w:rPr>
          <w:color w:val="231F20"/>
          <w:spacing w:val="-32"/>
          <w:w w:val="105"/>
        </w:rPr>
        <w:t> </w:t>
      </w:r>
      <w:r>
        <w:rPr>
          <w:color w:val="231F20"/>
          <w:w w:val="105"/>
        </w:rPr>
        <w:t>y</w:t>
      </w:r>
      <w:r>
        <w:rPr>
          <w:color w:val="231F20"/>
          <w:spacing w:val="-32"/>
          <w:w w:val="105"/>
        </w:rPr>
        <w:t> </w:t>
      </w:r>
      <w:r>
        <w:rPr>
          <w:color w:val="231F20"/>
          <w:w w:val="105"/>
        </w:rPr>
        <w:t>transmitir</w:t>
      </w:r>
      <w:r>
        <w:rPr>
          <w:color w:val="231F20"/>
          <w:spacing w:val="-32"/>
          <w:w w:val="105"/>
        </w:rPr>
        <w:t> </w:t>
      </w:r>
      <w:r>
        <w:rPr>
          <w:color w:val="231F20"/>
          <w:w w:val="105"/>
        </w:rPr>
        <w:t>conocimiento.</w:t>
      </w:r>
      <w:r>
        <w:rPr>
          <w:color w:val="231F20"/>
          <w:spacing w:val="-36"/>
          <w:w w:val="105"/>
        </w:rPr>
        <w:t> </w:t>
      </w:r>
      <w:r>
        <w:rPr>
          <w:color w:val="231F20"/>
          <w:w w:val="105"/>
        </w:rPr>
        <w:t>En</w:t>
      </w:r>
      <w:r>
        <w:rPr>
          <w:color w:val="231F20"/>
          <w:spacing w:val="-32"/>
          <w:w w:val="105"/>
        </w:rPr>
        <w:t> </w:t>
      </w:r>
      <w:r>
        <w:rPr>
          <w:color w:val="231F20"/>
          <w:w w:val="105"/>
        </w:rPr>
        <w:t>específico,</w:t>
      </w:r>
      <w:r>
        <w:rPr>
          <w:color w:val="231F20"/>
          <w:spacing w:val="-36"/>
          <w:w w:val="105"/>
        </w:rPr>
        <w:t> </w:t>
      </w:r>
      <w:r>
        <w:rPr>
          <w:color w:val="231F20"/>
          <w:w w:val="105"/>
        </w:rPr>
        <w:t>alude formas de </w:t>
      </w:r>
      <w:r>
        <w:rPr>
          <w:color w:val="231F20"/>
          <w:spacing w:val="-3"/>
          <w:w w:val="105"/>
        </w:rPr>
        <w:t>comportamiento, producto </w:t>
      </w:r>
      <w:r>
        <w:rPr>
          <w:color w:val="231F20"/>
          <w:w w:val="105"/>
        </w:rPr>
        <w:t>de la adaptación del sujeto al en- torno</w:t>
      </w:r>
      <w:r>
        <w:rPr>
          <w:color w:val="231F20"/>
          <w:spacing w:val="-16"/>
          <w:w w:val="105"/>
        </w:rPr>
        <w:t> </w:t>
      </w:r>
      <w:r>
        <w:rPr>
          <w:color w:val="231F20"/>
          <w:w w:val="105"/>
        </w:rPr>
        <w:t>y</w:t>
      </w:r>
      <w:r>
        <w:rPr>
          <w:color w:val="231F20"/>
          <w:spacing w:val="-16"/>
          <w:w w:val="105"/>
        </w:rPr>
        <w:t> </w:t>
      </w:r>
      <w:r>
        <w:rPr>
          <w:color w:val="231F20"/>
          <w:w w:val="105"/>
        </w:rPr>
        <w:t>tiene</w:t>
      </w:r>
      <w:r>
        <w:rPr>
          <w:color w:val="231F20"/>
          <w:spacing w:val="-16"/>
          <w:w w:val="105"/>
        </w:rPr>
        <w:t> </w:t>
      </w:r>
      <w:r>
        <w:rPr>
          <w:color w:val="231F20"/>
          <w:w w:val="105"/>
        </w:rPr>
        <w:t>como</w:t>
      </w:r>
      <w:r>
        <w:rPr>
          <w:color w:val="231F20"/>
          <w:spacing w:val="-16"/>
          <w:w w:val="105"/>
        </w:rPr>
        <w:t> </w:t>
      </w:r>
      <w:r>
        <w:rPr>
          <w:color w:val="231F20"/>
          <w:w w:val="105"/>
        </w:rPr>
        <w:t>consecuencia</w:t>
      </w:r>
      <w:r>
        <w:rPr>
          <w:color w:val="231F20"/>
          <w:spacing w:val="-16"/>
          <w:w w:val="105"/>
        </w:rPr>
        <w:t> </w:t>
      </w:r>
      <w:r>
        <w:rPr>
          <w:color w:val="231F20"/>
          <w:w w:val="105"/>
        </w:rPr>
        <w:t>la</w:t>
      </w:r>
      <w:r>
        <w:rPr>
          <w:color w:val="231F20"/>
          <w:spacing w:val="-16"/>
          <w:w w:val="105"/>
        </w:rPr>
        <w:t> </w:t>
      </w:r>
      <w:r>
        <w:rPr>
          <w:color w:val="231F20"/>
          <w:w w:val="105"/>
        </w:rPr>
        <w:t>generación</w:t>
      </w:r>
      <w:r>
        <w:rPr>
          <w:color w:val="231F20"/>
          <w:spacing w:val="-16"/>
          <w:w w:val="105"/>
        </w:rPr>
        <w:t> </w:t>
      </w:r>
      <w:r>
        <w:rPr>
          <w:color w:val="231F20"/>
          <w:w w:val="105"/>
        </w:rPr>
        <w:t>de</w:t>
      </w:r>
      <w:r>
        <w:rPr>
          <w:color w:val="231F20"/>
          <w:spacing w:val="-16"/>
          <w:w w:val="105"/>
        </w:rPr>
        <w:t> </w:t>
      </w:r>
      <w:r>
        <w:rPr>
          <w:color w:val="231F20"/>
          <w:w w:val="105"/>
        </w:rPr>
        <w:t>información</w:t>
      </w:r>
      <w:r>
        <w:rPr>
          <w:color w:val="231F20"/>
          <w:spacing w:val="-16"/>
          <w:w w:val="105"/>
        </w:rPr>
        <w:t> </w:t>
      </w:r>
      <w:r>
        <w:rPr>
          <w:color w:val="231F20"/>
          <w:w w:val="105"/>
        </w:rPr>
        <w:t>que</w:t>
      </w:r>
      <w:r>
        <w:rPr>
          <w:color w:val="231F20"/>
          <w:spacing w:val="-16"/>
          <w:w w:val="105"/>
        </w:rPr>
        <w:t> </w:t>
      </w:r>
      <w:r>
        <w:rPr>
          <w:color w:val="231F20"/>
          <w:w w:val="105"/>
        </w:rPr>
        <w:t>pos- teriormente</w:t>
      </w:r>
      <w:r>
        <w:rPr>
          <w:color w:val="231F20"/>
          <w:spacing w:val="-38"/>
          <w:w w:val="105"/>
        </w:rPr>
        <w:t> </w:t>
      </w:r>
      <w:r>
        <w:rPr>
          <w:color w:val="231F20"/>
          <w:w w:val="105"/>
        </w:rPr>
        <w:t>será</w:t>
      </w:r>
      <w:r>
        <w:rPr>
          <w:color w:val="231F20"/>
          <w:spacing w:val="-38"/>
          <w:w w:val="105"/>
        </w:rPr>
        <w:t> </w:t>
      </w:r>
      <w:r>
        <w:rPr>
          <w:color w:val="231F20"/>
          <w:w w:val="105"/>
        </w:rPr>
        <w:t>exteriorizada</w:t>
      </w:r>
      <w:r>
        <w:rPr>
          <w:color w:val="231F20"/>
          <w:spacing w:val="-38"/>
          <w:w w:val="105"/>
        </w:rPr>
        <w:t> </w:t>
      </w:r>
      <w:r>
        <w:rPr>
          <w:color w:val="231F20"/>
          <w:w w:val="105"/>
        </w:rPr>
        <w:t>en</w:t>
      </w:r>
      <w:r>
        <w:rPr>
          <w:color w:val="231F20"/>
          <w:spacing w:val="-38"/>
          <w:w w:val="105"/>
        </w:rPr>
        <w:t> </w:t>
      </w:r>
      <w:r>
        <w:rPr>
          <w:color w:val="231F20"/>
          <w:w w:val="105"/>
        </w:rPr>
        <w:t>forma</w:t>
      </w:r>
      <w:r>
        <w:rPr>
          <w:color w:val="231F20"/>
          <w:spacing w:val="-38"/>
          <w:w w:val="105"/>
        </w:rPr>
        <w:t> </w:t>
      </w:r>
      <w:r>
        <w:rPr>
          <w:color w:val="231F20"/>
          <w:w w:val="105"/>
        </w:rPr>
        <w:t>cognitiva</w:t>
      </w:r>
      <w:r>
        <w:rPr>
          <w:color w:val="231F20"/>
          <w:spacing w:val="-38"/>
          <w:w w:val="105"/>
        </w:rPr>
        <w:t> </w:t>
      </w:r>
      <w:r>
        <w:rPr>
          <w:color w:val="231F20"/>
          <w:w w:val="105"/>
        </w:rPr>
        <w:t>(Bueno,</w:t>
      </w:r>
      <w:r>
        <w:rPr>
          <w:color w:val="231F20"/>
          <w:spacing w:val="-41"/>
          <w:w w:val="105"/>
        </w:rPr>
        <w:t> </w:t>
      </w:r>
      <w:r>
        <w:rPr>
          <w:color w:val="231F20"/>
          <w:w w:val="105"/>
        </w:rPr>
        <w:t>2008;</w:t>
      </w:r>
      <w:r>
        <w:rPr>
          <w:color w:val="231F20"/>
          <w:spacing w:val="-38"/>
          <w:w w:val="105"/>
        </w:rPr>
        <w:t> </w:t>
      </w:r>
      <w:r>
        <w:rPr>
          <w:color w:val="231F20"/>
          <w:w w:val="105"/>
        </w:rPr>
        <w:t>Medellín, 2008).</w:t>
      </w:r>
      <w:r>
        <w:rPr>
          <w:color w:val="231F20"/>
          <w:spacing w:val="-25"/>
          <w:w w:val="105"/>
        </w:rPr>
        <w:t> </w:t>
      </w:r>
      <w:r>
        <w:rPr>
          <w:color w:val="231F20"/>
          <w:w w:val="105"/>
        </w:rPr>
        <w:t>El</w:t>
      </w:r>
      <w:r>
        <w:rPr>
          <w:color w:val="231F20"/>
          <w:spacing w:val="-20"/>
          <w:w w:val="105"/>
        </w:rPr>
        <w:t> </w:t>
      </w:r>
      <w:r>
        <w:rPr>
          <w:color w:val="231F20"/>
          <w:w w:val="105"/>
        </w:rPr>
        <w:t>segundo</w:t>
      </w:r>
      <w:r>
        <w:rPr>
          <w:color w:val="231F20"/>
          <w:spacing w:val="-20"/>
          <w:w w:val="105"/>
        </w:rPr>
        <w:t> </w:t>
      </w:r>
      <w:r>
        <w:rPr>
          <w:color w:val="231F20"/>
          <w:spacing w:val="-3"/>
          <w:w w:val="105"/>
        </w:rPr>
        <w:t>precisa</w:t>
      </w:r>
      <w:r>
        <w:rPr>
          <w:color w:val="231F20"/>
          <w:spacing w:val="-20"/>
          <w:w w:val="105"/>
        </w:rPr>
        <w:t> </w:t>
      </w:r>
      <w:r>
        <w:rPr>
          <w:color w:val="231F20"/>
          <w:w w:val="105"/>
        </w:rPr>
        <w:t>un</w:t>
      </w:r>
      <w:r>
        <w:rPr>
          <w:color w:val="231F20"/>
          <w:spacing w:val="-20"/>
          <w:w w:val="105"/>
        </w:rPr>
        <w:t> </w:t>
      </w:r>
      <w:r>
        <w:rPr>
          <w:color w:val="231F20"/>
          <w:w w:val="105"/>
        </w:rPr>
        <w:t>conjunto</w:t>
      </w:r>
      <w:r>
        <w:rPr>
          <w:color w:val="231F20"/>
          <w:spacing w:val="-20"/>
          <w:w w:val="105"/>
        </w:rPr>
        <w:t> </w:t>
      </w:r>
      <w:r>
        <w:rPr>
          <w:color w:val="231F20"/>
          <w:w w:val="105"/>
        </w:rPr>
        <w:t>de</w:t>
      </w:r>
      <w:r>
        <w:rPr>
          <w:color w:val="231F20"/>
          <w:spacing w:val="-20"/>
          <w:w w:val="105"/>
        </w:rPr>
        <w:t> </w:t>
      </w:r>
      <w:r>
        <w:rPr>
          <w:color w:val="231F20"/>
          <w:w w:val="105"/>
        </w:rPr>
        <w:t>acciones</w:t>
      </w:r>
      <w:r>
        <w:rPr>
          <w:color w:val="231F20"/>
          <w:spacing w:val="-20"/>
          <w:w w:val="105"/>
        </w:rPr>
        <w:t> </w:t>
      </w:r>
      <w:r>
        <w:rPr>
          <w:color w:val="231F20"/>
          <w:w w:val="105"/>
        </w:rPr>
        <w:t>humanas</w:t>
      </w:r>
      <w:r>
        <w:rPr>
          <w:color w:val="231F20"/>
          <w:spacing w:val="-20"/>
          <w:w w:val="105"/>
        </w:rPr>
        <w:t> </w:t>
      </w:r>
      <w:r>
        <w:rPr>
          <w:color w:val="231F20"/>
          <w:w w:val="105"/>
        </w:rPr>
        <w:t>de</w:t>
      </w:r>
      <w:r>
        <w:rPr>
          <w:color w:val="231F20"/>
          <w:spacing w:val="-20"/>
          <w:w w:val="105"/>
        </w:rPr>
        <w:t> </w:t>
      </w:r>
      <w:r>
        <w:rPr>
          <w:color w:val="231F20"/>
          <w:spacing w:val="-3"/>
          <w:w w:val="105"/>
        </w:rPr>
        <w:t>carácter </w:t>
      </w:r>
      <w:r>
        <w:rPr>
          <w:color w:val="231F20"/>
          <w:w w:val="105"/>
        </w:rPr>
        <w:t>dinámico</w:t>
      </w:r>
      <w:r>
        <w:rPr>
          <w:color w:val="231F20"/>
          <w:spacing w:val="-37"/>
          <w:w w:val="105"/>
        </w:rPr>
        <w:t> </w:t>
      </w:r>
      <w:r>
        <w:rPr>
          <w:color w:val="231F20"/>
          <w:w w:val="105"/>
        </w:rPr>
        <w:t>que,</w:t>
      </w:r>
      <w:r>
        <w:rPr>
          <w:color w:val="231F20"/>
          <w:spacing w:val="-41"/>
          <w:w w:val="105"/>
        </w:rPr>
        <w:t> </w:t>
      </w:r>
      <w:r>
        <w:rPr>
          <w:color w:val="231F20"/>
          <w:w w:val="105"/>
        </w:rPr>
        <w:t>a</w:t>
      </w:r>
      <w:r>
        <w:rPr>
          <w:color w:val="231F20"/>
          <w:spacing w:val="-37"/>
          <w:w w:val="105"/>
        </w:rPr>
        <w:t> </w:t>
      </w:r>
      <w:r>
        <w:rPr>
          <w:color w:val="231F20"/>
          <w:spacing w:val="-2"/>
          <w:w w:val="105"/>
        </w:rPr>
        <w:t>través</w:t>
      </w:r>
      <w:r>
        <w:rPr>
          <w:color w:val="231F20"/>
          <w:spacing w:val="-37"/>
          <w:w w:val="105"/>
        </w:rPr>
        <w:t> </w:t>
      </w:r>
      <w:r>
        <w:rPr>
          <w:color w:val="231F20"/>
          <w:w w:val="105"/>
        </w:rPr>
        <w:t>de</w:t>
      </w:r>
      <w:r>
        <w:rPr>
          <w:color w:val="231F20"/>
          <w:spacing w:val="-37"/>
          <w:w w:val="105"/>
        </w:rPr>
        <w:t> </w:t>
      </w:r>
      <w:r>
        <w:rPr>
          <w:color w:val="231F20"/>
          <w:w w:val="105"/>
        </w:rPr>
        <w:t>interacciones,</w:t>
      </w:r>
      <w:r>
        <w:rPr>
          <w:color w:val="231F20"/>
          <w:spacing w:val="-41"/>
          <w:w w:val="105"/>
        </w:rPr>
        <w:t> </w:t>
      </w:r>
      <w:r>
        <w:rPr>
          <w:color w:val="231F20"/>
          <w:w w:val="105"/>
        </w:rPr>
        <w:t>origina</w:t>
      </w:r>
      <w:r>
        <w:rPr>
          <w:color w:val="231F20"/>
          <w:spacing w:val="-37"/>
          <w:w w:val="105"/>
        </w:rPr>
        <w:t> </w:t>
      </w:r>
      <w:r>
        <w:rPr>
          <w:color w:val="231F20"/>
          <w:w w:val="105"/>
        </w:rPr>
        <w:t>experiencia,</w:t>
      </w:r>
      <w:r>
        <w:rPr>
          <w:color w:val="231F20"/>
          <w:spacing w:val="-41"/>
          <w:w w:val="105"/>
        </w:rPr>
        <w:t> </w:t>
      </w:r>
      <w:r>
        <w:rPr>
          <w:color w:val="231F20"/>
          <w:w w:val="105"/>
        </w:rPr>
        <w:t>nuevas</w:t>
      </w:r>
      <w:r>
        <w:rPr>
          <w:color w:val="231F20"/>
          <w:spacing w:val="-37"/>
          <w:w w:val="105"/>
        </w:rPr>
        <w:t> </w:t>
      </w:r>
      <w:r>
        <w:rPr>
          <w:color w:val="231F20"/>
          <w:w w:val="105"/>
        </w:rPr>
        <w:t>habi- lidades</w:t>
      </w:r>
      <w:r>
        <w:rPr>
          <w:color w:val="231F20"/>
          <w:spacing w:val="-22"/>
          <w:w w:val="105"/>
        </w:rPr>
        <w:t> </w:t>
      </w:r>
      <w:r>
        <w:rPr>
          <w:color w:val="231F20"/>
          <w:w w:val="105"/>
        </w:rPr>
        <w:t>y</w:t>
      </w:r>
      <w:r>
        <w:rPr>
          <w:color w:val="231F20"/>
          <w:spacing w:val="-22"/>
          <w:w w:val="105"/>
        </w:rPr>
        <w:t> </w:t>
      </w:r>
      <w:r>
        <w:rPr>
          <w:color w:val="231F20"/>
          <w:w w:val="105"/>
        </w:rPr>
        <w:t>capacidades</w:t>
      </w:r>
      <w:r>
        <w:rPr>
          <w:color w:val="231F20"/>
          <w:spacing w:val="-22"/>
          <w:w w:val="105"/>
        </w:rPr>
        <w:t> </w:t>
      </w:r>
      <w:r>
        <w:rPr>
          <w:color w:val="231F20"/>
          <w:w w:val="105"/>
        </w:rPr>
        <w:t>detonadoras</w:t>
      </w:r>
      <w:r>
        <w:rPr>
          <w:color w:val="231F20"/>
          <w:spacing w:val="-22"/>
          <w:w w:val="105"/>
        </w:rPr>
        <w:t> </w:t>
      </w:r>
      <w:r>
        <w:rPr>
          <w:color w:val="231F20"/>
          <w:w w:val="105"/>
        </w:rPr>
        <w:t>de</w:t>
      </w:r>
      <w:r>
        <w:rPr>
          <w:color w:val="231F20"/>
          <w:spacing w:val="-22"/>
          <w:w w:val="105"/>
        </w:rPr>
        <w:t> </w:t>
      </w:r>
      <w:r>
        <w:rPr>
          <w:color w:val="231F20"/>
          <w:w w:val="105"/>
        </w:rPr>
        <w:t>innovación,</w:t>
      </w:r>
      <w:r>
        <w:rPr>
          <w:color w:val="231F20"/>
          <w:spacing w:val="-27"/>
          <w:w w:val="105"/>
        </w:rPr>
        <w:t> </w:t>
      </w:r>
      <w:r>
        <w:rPr>
          <w:color w:val="231F20"/>
          <w:w w:val="105"/>
        </w:rPr>
        <w:t>cambio</w:t>
      </w:r>
      <w:r>
        <w:rPr>
          <w:color w:val="231F20"/>
          <w:spacing w:val="-22"/>
          <w:w w:val="105"/>
        </w:rPr>
        <w:t> </w:t>
      </w:r>
      <w:r>
        <w:rPr>
          <w:color w:val="231F20"/>
          <w:w w:val="105"/>
        </w:rPr>
        <w:t>tecnológico</w:t>
      </w:r>
      <w:r>
        <w:rPr>
          <w:color w:val="231F20"/>
          <w:spacing w:val="-22"/>
          <w:w w:val="105"/>
        </w:rPr>
        <w:t> </w:t>
      </w:r>
      <w:r>
        <w:rPr>
          <w:color w:val="231F20"/>
          <w:w w:val="105"/>
        </w:rPr>
        <w:t>y </w:t>
      </w:r>
      <w:r>
        <w:rPr>
          <w:color w:val="231F20"/>
          <w:spacing w:val="-3"/>
          <w:w w:val="105"/>
        </w:rPr>
        <w:t>desarrollo</w:t>
      </w:r>
      <w:r>
        <w:rPr>
          <w:color w:val="231F20"/>
          <w:spacing w:val="-34"/>
          <w:w w:val="105"/>
        </w:rPr>
        <w:t> </w:t>
      </w:r>
      <w:r>
        <w:rPr>
          <w:color w:val="231F20"/>
          <w:w w:val="105"/>
        </w:rPr>
        <w:t>económico</w:t>
      </w:r>
      <w:r>
        <w:rPr>
          <w:color w:val="231F20"/>
          <w:spacing w:val="-34"/>
          <w:w w:val="105"/>
        </w:rPr>
        <w:t> </w:t>
      </w:r>
      <w:r>
        <w:rPr>
          <w:color w:val="231F20"/>
          <w:w w:val="105"/>
        </w:rPr>
        <w:t>y</w:t>
      </w:r>
      <w:r>
        <w:rPr>
          <w:color w:val="231F20"/>
          <w:spacing w:val="-34"/>
          <w:w w:val="105"/>
        </w:rPr>
        <w:t> </w:t>
      </w:r>
      <w:r>
        <w:rPr>
          <w:color w:val="231F20"/>
          <w:w w:val="105"/>
        </w:rPr>
        <w:t>social</w:t>
      </w:r>
      <w:r>
        <w:rPr>
          <w:color w:val="231F20"/>
          <w:spacing w:val="-34"/>
          <w:w w:val="105"/>
        </w:rPr>
        <w:t> </w:t>
      </w:r>
      <w:r>
        <w:rPr>
          <w:color w:val="231F20"/>
          <w:spacing w:val="-3"/>
          <w:w w:val="105"/>
        </w:rPr>
        <w:t>(Vilaseca,</w:t>
      </w:r>
      <w:r>
        <w:rPr>
          <w:color w:val="231F20"/>
          <w:spacing w:val="-41"/>
          <w:w w:val="105"/>
        </w:rPr>
        <w:t> </w:t>
      </w:r>
      <w:r>
        <w:rPr>
          <w:color w:val="231F20"/>
          <w:spacing w:val="-5"/>
          <w:w w:val="105"/>
        </w:rPr>
        <w:t>Torrent</w:t>
      </w:r>
      <w:r>
        <w:rPr>
          <w:color w:val="231F20"/>
          <w:spacing w:val="-34"/>
          <w:w w:val="105"/>
        </w:rPr>
        <w:t> </w:t>
      </w:r>
      <w:r>
        <w:rPr>
          <w:color w:val="231F20"/>
          <w:w w:val="105"/>
        </w:rPr>
        <w:t>y</w:t>
      </w:r>
      <w:r>
        <w:rPr>
          <w:color w:val="231F20"/>
          <w:spacing w:val="-34"/>
          <w:w w:val="105"/>
        </w:rPr>
        <w:t> </w:t>
      </w:r>
      <w:r>
        <w:rPr>
          <w:color w:val="231F20"/>
          <w:w w:val="105"/>
        </w:rPr>
        <w:t>Díaz,</w:t>
      </w:r>
      <w:r>
        <w:rPr>
          <w:color w:val="231F20"/>
          <w:spacing w:val="-38"/>
          <w:w w:val="105"/>
        </w:rPr>
        <w:t> </w:t>
      </w:r>
      <w:r>
        <w:rPr>
          <w:color w:val="231F20"/>
          <w:spacing w:val="-2"/>
          <w:w w:val="105"/>
        </w:rPr>
        <w:t>2002).</w:t>
      </w:r>
    </w:p>
    <w:p>
      <w:pPr>
        <w:pStyle w:val="BodyText"/>
        <w:spacing w:line="259" w:lineRule="auto"/>
        <w:ind w:left="117" w:right="116" w:firstLine="567"/>
        <w:jc w:val="both"/>
      </w:pPr>
      <w:r>
        <w:rPr>
          <w:color w:val="231F20"/>
          <w:spacing w:val="-7"/>
          <w:w w:val="105"/>
        </w:rPr>
        <w:t>Tanto </w:t>
      </w:r>
      <w:r>
        <w:rPr>
          <w:color w:val="231F20"/>
          <w:w w:val="105"/>
        </w:rPr>
        <w:t>el </w:t>
      </w:r>
      <w:r>
        <w:rPr>
          <w:color w:val="231F20"/>
          <w:spacing w:val="-3"/>
          <w:w w:val="105"/>
        </w:rPr>
        <w:t>aprendizaje colectivo como </w:t>
      </w:r>
      <w:r>
        <w:rPr>
          <w:color w:val="231F20"/>
          <w:w w:val="105"/>
        </w:rPr>
        <w:t>las </w:t>
      </w:r>
      <w:r>
        <w:rPr>
          <w:color w:val="231F20"/>
          <w:spacing w:val="-3"/>
          <w:w w:val="105"/>
        </w:rPr>
        <w:t>capacidades cognitivas </w:t>
      </w:r>
      <w:r>
        <w:rPr>
          <w:color w:val="231F20"/>
          <w:w w:val="105"/>
        </w:rPr>
        <w:t>in- </w:t>
      </w:r>
      <w:r>
        <w:rPr>
          <w:color w:val="231F20"/>
          <w:spacing w:val="-3"/>
          <w:w w:val="105"/>
        </w:rPr>
        <w:t>sertas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marco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economía</w:t>
      </w:r>
      <w:r>
        <w:rPr>
          <w:color w:val="231F20"/>
          <w:spacing w:val="-9"/>
          <w:w w:val="105"/>
        </w:rPr>
        <w:t> </w:t>
      </w:r>
      <w:r>
        <w:rPr>
          <w:color w:val="231F20"/>
          <w:w w:val="105"/>
        </w:rPr>
        <w:t>del</w:t>
      </w:r>
      <w:r>
        <w:rPr>
          <w:color w:val="231F20"/>
          <w:spacing w:val="-9"/>
          <w:w w:val="105"/>
        </w:rPr>
        <w:t> </w:t>
      </w:r>
      <w:r>
        <w:rPr>
          <w:color w:val="231F20"/>
          <w:spacing w:val="-3"/>
          <w:w w:val="105"/>
        </w:rPr>
        <w:t>conocimiento</w:t>
      </w:r>
      <w:r>
        <w:rPr>
          <w:color w:val="231F20"/>
          <w:spacing w:val="-9"/>
          <w:w w:val="105"/>
        </w:rPr>
        <w:t> </w:t>
      </w:r>
      <w:r>
        <w:rPr>
          <w:color w:val="231F20"/>
          <w:spacing w:val="-4"/>
          <w:w w:val="105"/>
        </w:rPr>
        <w:t>requieren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inte- racción</w:t>
      </w:r>
      <w:r>
        <w:rPr>
          <w:color w:val="231F20"/>
          <w:spacing w:val="-23"/>
          <w:w w:val="105"/>
        </w:rPr>
        <w:t> </w:t>
      </w:r>
      <w:r>
        <w:rPr>
          <w:color w:val="231F20"/>
          <w:spacing w:val="-3"/>
          <w:w w:val="105"/>
        </w:rPr>
        <w:t>entre</w:t>
      </w:r>
      <w:r>
        <w:rPr>
          <w:color w:val="231F20"/>
          <w:spacing w:val="-23"/>
          <w:w w:val="105"/>
        </w:rPr>
        <w:t> </w:t>
      </w:r>
      <w:r>
        <w:rPr>
          <w:color w:val="231F20"/>
          <w:spacing w:val="-3"/>
          <w:w w:val="105"/>
        </w:rPr>
        <w:t>actores</w:t>
      </w:r>
      <w:r>
        <w:rPr>
          <w:color w:val="231F20"/>
          <w:spacing w:val="-23"/>
          <w:w w:val="105"/>
        </w:rPr>
        <w:t> </w:t>
      </w:r>
      <w:r>
        <w:rPr>
          <w:color w:val="231F20"/>
          <w:w w:val="105"/>
        </w:rPr>
        <w:t>de</w:t>
      </w:r>
      <w:r>
        <w:rPr>
          <w:color w:val="231F20"/>
          <w:spacing w:val="-23"/>
          <w:w w:val="105"/>
        </w:rPr>
        <w:t> </w:t>
      </w:r>
      <w:r>
        <w:rPr>
          <w:color w:val="231F20"/>
          <w:spacing w:val="-3"/>
          <w:w w:val="105"/>
        </w:rPr>
        <w:t>índole</w:t>
      </w:r>
      <w:r>
        <w:rPr>
          <w:color w:val="231F20"/>
          <w:spacing w:val="-23"/>
          <w:w w:val="105"/>
        </w:rPr>
        <w:t> </w:t>
      </w:r>
      <w:r>
        <w:rPr>
          <w:color w:val="231F20"/>
          <w:spacing w:val="-3"/>
          <w:w w:val="105"/>
        </w:rPr>
        <w:t>diversa,</w:t>
      </w:r>
      <w:r>
        <w:rPr>
          <w:color w:val="231F20"/>
          <w:spacing w:val="-29"/>
          <w:w w:val="105"/>
        </w:rPr>
        <w:t> </w:t>
      </w:r>
      <w:r>
        <w:rPr>
          <w:color w:val="231F20"/>
          <w:spacing w:val="-3"/>
          <w:w w:val="105"/>
        </w:rPr>
        <w:t>quienes</w:t>
      </w:r>
      <w:r>
        <w:rPr>
          <w:color w:val="231F20"/>
          <w:spacing w:val="-23"/>
          <w:w w:val="105"/>
        </w:rPr>
        <w:t> </w:t>
      </w:r>
      <w:r>
        <w:rPr>
          <w:color w:val="231F20"/>
          <w:spacing w:val="-3"/>
          <w:w w:val="105"/>
        </w:rPr>
        <w:t>comparten</w:t>
      </w:r>
      <w:r>
        <w:rPr>
          <w:color w:val="231F20"/>
          <w:spacing w:val="-23"/>
          <w:w w:val="105"/>
        </w:rPr>
        <w:t> </w:t>
      </w:r>
      <w:r>
        <w:rPr>
          <w:color w:val="231F20"/>
          <w:w w:val="105"/>
        </w:rPr>
        <w:t>o</w:t>
      </w:r>
      <w:r>
        <w:rPr>
          <w:color w:val="231F20"/>
          <w:spacing w:val="-23"/>
          <w:w w:val="105"/>
        </w:rPr>
        <w:t> </w:t>
      </w:r>
      <w:r>
        <w:rPr>
          <w:color w:val="231F20"/>
          <w:spacing w:val="-3"/>
          <w:w w:val="105"/>
        </w:rPr>
        <w:t>complemen- </w:t>
      </w:r>
      <w:r>
        <w:rPr>
          <w:color w:val="231F20"/>
          <w:w w:val="105"/>
        </w:rPr>
        <w:t>tan</w:t>
      </w:r>
      <w:r>
        <w:rPr>
          <w:color w:val="231F20"/>
          <w:spacing w:val="-18"/>
          <w:w w:val="105"/>
        </w:rPr>
        <w:t> </w:t>
      </w:r>
      <w:r>
        <w:rPr>
          <w:color w:val="231F20"/>
          <w:spacing w:val="-3"/>
          <w:w w:val="105"/>
        </w:rPr>
        <w:t>información</w:t>
      </w:r>
      <w:r>
        <w:rPr>
          <w:color w:val="231F20"/>
          <w:spacing w:val="-18"/>
          <w:w w:val="105"/>
        </w:rPr>
        <w:t> </w:t>
      </w:r>
      <w:r>
        <w:rPr>
          <w:color w:val="231F20"/>
          <w:w w:val="105"/>
        </w:rPr>
        <w:t>y</w:t>
      </w:r>
      <w:r>
        <w:rPr>
          <w:color w:val="231F20"/>
          <w:spacing w:val="-18"/>
          <w:w w:val="105"/>
        </w:rPr>
        <w:t> </w:t>
      </w:r>
      <w:r>
        <w:rPr>
          <w:color w:val="231F20"/>
          <w:spacing w:val="-3"/>
          <w:w w:val="105"/>
        </w:rPr>
        <w:t>conocimiento,</w:t>
      </w:r>
      <w:r>
        <w:rPr>
          <w:color w:val="231F20"/>
          <w:spacing w:val="-23"/>
          <w:w w:val="105"/>
        </w:rPr>
        <w:t> </w:t>
      </w:r>
      <w:r>
        <w:rPr>
          <w:color w:val="231F20"/>
          <w:w w:val="105"/>
        </w:rPr>
        <w:t>un</w:t>
      </w:r>
      <w:r>
        <w:rPr>
          <w:color w:val="231F20"/>
          <w:spacing w:val="-18"/>
          <w:w w:val="105"/>
        </w:rPr>
        <w:t> </w:t>
      </w:r>
      <w:r>
        <w:rPr>
          <w:color w:val="231F20"/>
          <w:spacing w:val="-3"/>
          <w:w w:val="105"/>
        </w:rPr>
        <w:t>proceso</w:t>
      </w:r>
      <w:r>
        <w:rPr>
          <w:color w:val="231F20"/>
          <w:spacing w:val="-18"/>
          <w:w w:val="105"/>
        </w:rPr>
        <w:t> </w:t>
      </w:r>
      <w:r>
        <w:rPr>
          <w:color w:val="231F20"/>
          <w:w w:val="105"/>
        </w:rPr>
        <w:t>que</w:t>
      </w:r>
      <w:r>
        <w:rPr>
          <w:color w:val="231F20"/>
          <w:spacing w:val="-18"/>
          <w:w w:val="105"/>
        </w:rPr>
        <w:t> </w:t>
      </w:r>
      <w:r>
        <w:rPr>
          <w:color w:val="231F20"/>
          <w:spacing w:val="-3"/>
          <w:w w:val="105"/>
        </w:rPr>
        <w:t>implica,</w:t>
      </w:r>
      <w:r>
        <w:rPr>
          <w:color w:val="231F20"/>
          <w:spacing w:val="-23"/>
          <w:w w:val="105"/>
        </w:rPr>
        <w:t> </w:t>
      </w:r>
      <w:r>
        <w:rPr>
          <w:color w:val="231F20"/>
          <w:spacing w:val="-3"/>
          <w:w w:val="105"/>
        </w:rPr>
        <w:t>necesariamente, configurar redes. </w:t>
      </w:r>
      <w:r>
        <w:rPr>
          <w:color w:val="231F20"/>
          <w:spacing w:val="-7"/>
          <w:w w:val="105"/>
        </w:rPr>
        <w:t>Por </w:t>
      </w:r>
      <w:r>
        <w:rPr>
          <w:color w:val="231F20"/>
          <w:spacing w:val="-2"/>
          <w:w w:val="105"/>
        </w:rPr>
        <w:t>tanto, </w:t>
      </w:r>
      <w:r>
        <w:rPr>
          <w:color w:val="231F20"/>
          <w:w w:val="105"/>
        </w:rPr>
        <w:t>es significativo </w:t>
      </w:r>
      <w:r>
        <w:rPr>
          <w:color w:val="231F20"/>
          <w:spacing w:val="-3"/>
          <w:w w:val="105"/>
        </w:rPr>
        <w:t>reconocer </w:t>
      </w:r>
      <w:r>
        <w:rPr>
          <w:color w:val="231F20"/>
          <w:w w:val="105"/>
        </w:rPr>
        <w:t>los enfoques teó- ricos </w:t>
      </w:r>
      <w:r>
        <w:rPr>
          <w:color w:val="231F20"/>
          <w:spacing w:val="-3"/>
          <w:w w:val="105"/>
        </w:rPr>
        <w:t>referentes </w:t>
      </w:r>
      <w:r>
        <w:rPr>
          <w:color w:val="231F20"/>
          <w:w w:val="105"/>
        </w:rPr>
        <w:t>a la generación y transmisión cognitiva en </w:t>
      </w:r>
      <w:r>
        <w:rPr>
          <w:color w:val="231F20"/>
          <w:spacing w:val="-3"/>
          <w:w w:val="105"/>
        </w:rPr>
        <w:t>red. </w:t>
      </w:r>
      <w:r>
        <w:rPr>
          <w:color w:val="231F20"/>
          <w:w w:val="105"/>
        </w:rPr>
        <w:t>Uno de los</w:t>
      </w:r>
      <w:r>
        <w:rPr>
          <w:color w:val="231F20"/>
          <w:spacing w:val="-19"/>
          <w:w w:val="105"/>
        </w:rPr>
        <w:t> </w:t>
      </w:r>
      <w:r>
        <w:rPr>
          <w:color w:val="231F20"/>
          <w:w w:val="105"/>
        </w:rPr>
        <w:t>más</w:t>
      </w:r>
      <w:r>
        <w:rPr>
          <w:color w:val="231F20"/>
          <w:spacing w:val="-19"/>
          <w:w w:val="105"/>
        </w:rPr>
        <w:t> </w:t>
      </w:r>
      <w:r>
        <w:rPr>
          <w:color w:val="231F20"/>
          <w:spacing w:val="-3"/>
          <w:w w:val="105"/>
        </w:rPr>
        <w:t>representativos</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w w:val="105"/>
        </w:rPr>
        <w:t>perspectiva</w:t>
      </w:r>
      <w:r>
        <w:rPr>
          <w:color w:val="231F20"/>
          <w:spacing w:val="-19"/>
          <w:w w:val="105"/>
        </w:rPr>
        <w:t> </w:t>
      </w:r>
      <w:r>
        <w:rPr>
          <w:color w:val="231F20"/>
          <w:w w:val="105"/>
        </w:rPr>
        <w:t>de</w:t>
      </w:r>
      <w:r>
        <w:rPr>
          <w:color w:val="231F20"/>
          <w:spacing w:val="-19"/>
          <w:w w:val="105"/>
        </w:rPr>
        <w:t> </w:t>
      </w:r>
      <w:r>
        <w:rPr>
          <w:color w:val="231F20"/>
          <w:spacing w:val="-3"/>
          <w:w w:val="105"/>
        </w:rPr>
        <w:t>redes</w:t>
      </w:r>
      <w:r>
        <w:rPr>
          <w:color w:val="231F20"/>
          <w:spacing w:val="-19"/>
          <w:w w:val="105"/>
        </w:rPr>
        <w:t> </w:t>
      </w:r>
      <w:r>
        <w:rPr>
          <w:color w:val="231F20"/>
          <w:w w:val="105"/>
        </w:rPr>
        <w:t>de</w:t>
      </w:r>
      <w:r>
        <w:rPr>
          <w:color w:val="231F20"/>
          <w:spacing w:val="-19"/>
          <w:w w:val="105"/>
        </w:rPr>
        <w:t> </w:t>
      </w:r>
      <w:r>
        <w:rPr>
          <w:color w:val="231F20"/>
          <w:w w:val="105"/>
        </w:rPr>
        <w:t>conocimiento</w:t>
      </w:r>
      <w:r>
        <w:rPr>
          <w:color w:val="231F20"/>
          <w:spacing w:val="-19"/>
          <w:w w:val="105"/>
        </w:rPr>
        <w:t> </w:t>
      </w:r>
      <w:r>
        <w:rPr>
          <w:color w:val="231F20"/>
          <w:w w:val="105"/>
        </w:rPr>
        <w:t>que, aunque</w:t>
      </w:r>
      <w:r>
        <w:rPr>
          <w:color w:val="231F20"/>
          <w:spacing w:val="-22"/>
          <w:w w:val="105"/>
        </w:rPr>
        <w:t> </w:t>
      </w:r>
      <w:r>
        <w:rPr>
          <w:color w:val="231F20"/>
          <w:spacing w:val="-3"/>
          <w:w w:val="105"/>
        </w:rPr>
        <w:t>carece</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spacing w:val="-3"/>
          <w:w w:val="105"/>
        </w:rPr>
        <w:t>marco</w:t>
      </w:r>
      <w:r>
        <w:rPr>
          <w:color w:val="231F20"/>
          <w:spacing w:val="-22"/>
          <w:w w:val="105"/>
        </w:rPr>
        <w:t> </w:t>
      </w:r>
      <w:r>
        <w:rPr>
          <w:color w:val="231F20"/>
          <w:w w:val="105"/>
        </w:rPr>
        <w:t>teórico</w:t>
      </w:r>
      <w:r>
        <w:rPr>
          <w:color w:val="231F20"/>
          <w:spacing w:val="-22"/>
          <w:w w:val="105"/>
        </w:rPr>
        <w:t> </w:t>
      </w:r>
      <w:r>
        <w:rPr>
          <w:color w:val="231F20"/>
          <w:w w:val="105"/>
        </w:rPr>
        <w:t>unificado,</w:t>
      </w:r>
      <w:r>
        <w:rPr>
          <w:color w:val="231F20"/>
          <w:spacing w:val="-28"/>
          <w:w w:val="105"/>
        </w:rPr>
        <w:t> </w:t>
      </w:r>
      <w:r>
        <w:rPr>
          <w:color w:val="231F20"/>
          <w:w w:val="105"/>
        </w:rPr>
        <w:t>posibilita</w:t>
      </w:r>
      <w:r>
        <w:rPr>
          <w:color w:val="231F20"/>
          <w:spacing w:val="-22"/>
          <w:w w:val="105"/>
        </w:rPr>
        <w:t> </w:t>
      </w:r>
      <w:r>
        <w:rPr>
          <w:color w:val="231F20"/>
          <w:w w:val="105"/>
        </w:rPr>
        <w:t>la</w:t>
      </w:r>
      <w:r>
        <w:rPr>
          <w:color w:val="231F20"/>
          <w:spacing w:val="-22"/>
          <w:w w:val="105"/>
        </w:rPr>
        <w:t> </w:t>
      </w:r>
      <w:r>
        <w:rPr>
          <w:color w:val="231F20"/>
          <w:w w:val="105"/>
        </w:rPr>
        <w:t>explicación</w:t>
      </w:r>
      <w:r>
        <w:rPr>
          <w:color w:val="231F20"/>
          <w:spacing w:val="-22"/>
          <w:w w:val="105"/>
        </w:rPr>
        <w:t> </w:t>
      </w:r>
      <w:r>
        <w:rPr>
          <w:color w:val="231F20"/>
          <w:spacing w:val="-2"/>
          <w:w w:val="105"/>
        </w:rPr>
        <w:t>del </w:t>
      </w:r>
      <w:r>
        <w:rPr>
          <w:color w:val="231F20"/>
          <w:w w:val="105"/>
        </w:rPr>
        <w:t>conocimiento</w:t>
      </w:r>
      <w:r>
        <w:rPr>
          <w:color w:val="231F20"/>
          <w:spacing w:val="-24"/>
          <w:w w:val="105"/>
        </w:rPr>
        <w:t> </w:t>
      </w:r>
      <w:r>
        <w:rPr>
          <w:color w:val="231F20"/>
          <w:w w:val="105"/>
        </w:rPr>
        <w:t>en</w:t>
      </w:r>
      <w:r>
        <w:rPr>
          <w:color w:val="231F20"/>
          <w:spacing w:val="-24"/>
          <w:w w:val="105"/>
        </w:rPr>
        <w:t> </w:t>
      </w:r>
      <w:r>
        <w:rPr>
          <w:color w:val="231F20"/>
          <w:w w:val="105"/>
        </w:rPr>
        <w:t>entornos</w:t>
      </w:r>
      <w:r>
        <w:rPr>
          <w:color w:val="231F20"/>
          <w:spacing w:val="-24"/>
          <w:w w:val="105"/>
        </w:rPr>
        <w:t> </w:t>
      </w:r>
      <w:r>
        <w:rPr>
          <w:color w:val="231F20"/>
          <w:spacing w:val="-3"/>
          <w:w w:val="105"/>
        </w:rPr>
        <w:t>reticulares</w:t>
      </w:r>
      <w:r>
        <w:rPr>
          <w:color w:val="231F20"/>
          <w:spacing w:val="-24"/>
          <w:w w:val="105"/>
        </w:rPr>
        <w:t> </w:t>
      </w:r>
      <w:r>
        <w:rPr>
          <w:color w:val="231F20"/>
          <w:w w:val="105"/>
        </w:rPr>
        <w:t>a</w:t>
      </w:r>
      <w:r>
        <w:rPr>
          <w:color w:val="231F20"/>
          <w:spacing w:val="-24"/>
          <w:w w:val="105"/>
        </w:rPr>
        <w:t> </w:t>
      </w:r>
      <w:r>
        <w:rPr>
          <w:color w:val="231F20"/>
          <w:spacing w:val="-2"/>
          <w:w w:val="105"/>
        </w:rPr>
        <w:t>partir</w:t>
      </w:r>
      <w:r>
        <w:rPr>
          <w:color w:val="231F20"/>
          <w:spacing w:val="-24"/>
          <w:w w:val="105"/>
        </w:rPr>
        <w:t> </w:t>
      </w:r>
      <w:r>
        <w:rPr>
          <w:color w:val="231F20"/>
          <w:w w:val="105"/>
        </w:rPr>
        <w:t>de</w:t>
      </w:r>
      <w:r>
        <w:rPr>
          <w:color w:val="231F20"/>
          <w:spacing w:val="-24"/>
          <w:w w:val="105"/>
        </w:rPr>
        <w:t> </w:t>
      </w:r>
      <w:r>
        <w:rPr>
          <w:color w:val="231F20"/>
          <w:w w:val="105"/>
        </w:rPr>
        <w:t>diversos</w:t>
      </w:r>
      <w:r>
        <w:rPr>
          <w:color w:val="231F20"/>
          <w:spacing w:val="-24"/>
          <w:w w:val="105"/>
        </w:rPr>
        <w:t> </w:t>
      </w:r>
      <w:r>
        <w:rPr>
          <w:color w:val="231F20"/>
          <w:w w:val="105"/>
        </w:rPr>
        <w:t>elementos.</w:t>
      </w:r>
    </w:p>
    <w:p>
      <w:pPr>
        <w:spacing w:after="0" w:line="259" w:lineRule="auto"/>
        <w:jc w:val="both"/>
        <w:sectPr>
          <w:type w:val="continuous"/>
          <w:pgSz w:w="9640" w:h="13890"/>
          <w:pgMar w:top="1300" w:bottom="280" w:left="1300" w:right="1180"/>
        </w:sectPr>
      </w:pPr>
    </w:p>
    <w:p>
      <w:pPr>
        <w:pStyle w:val="BodyText"/>
        <w:spacing w:line="259" w:lineRule="auto" w:before="120"/>
        <w:ind w:left="103" w:right="115"/>
        <w:jc w:val="both"/>
      </w:pPr>
      <w:r>
        <w:rPr>
          <w:color w:val="231F20"/>
          <w:w w:val="105"/>
        </w:rPr>
        <w:t>A fin de exponer este punto de vista, es preciso puntualizar la noción de</w:t>
      </w:r>
      <w:r>
        <w:rPr>
          <w:color w:val="231F20"/>
          <w:spacing w:val="-18"/>
          <w:w w:val="105"/>
        </w:rPr>
        <w:t> </w:t>
      </w:r>
      <w:r>
        <w:rPr>
          <w:color w:val="231F20"/>
          <w:w w:val="105"/>
        </w:rPr>
        <w:t>redes</w:t>
      </w:r>
      <w:r>
        <w:rPr>
          <w:color w:val="231F20"/>
          <w:spacing w:val="-18"/>
          <w:w w:val="105"/>
        </w:rPr>
        <w:t> </w:t>
      </w:r>
      <w:r>
        <w:rPr>
          <w:color w:val="231F20"/>
          <w:w w:val="105"/>
        </w:rPr>
        <w:t>de</w:t>
      </w:r>
      <w:r>
        <w:rPr>
          <w:color w:val="231F20"/>
          <w:spacing w:val="-18"/>
          <w:w w:val="105"/>
        </w:rPr>
        <w:t> </w:t>
      </w:r>
      <w:r>
        <w:rPr>
          <w:color w:val="231F20"/>
          <w:w w:val="105"/>
        </w:rPr>
        <w:t>conocimiento.</w:t>
      </w:r>
      <w:r>
        <w:rPr>
          <w:color w:val="231F20"/>
          <w:spacing w:val="-24"/>
          <w:w w:val="105"/>
        </w:rPr>
        <w:t> </w:t>
      </w:r>
      <w:r>
        <w:rPr>
          <w:color w:val="231F20"/>
          <w:w w:val="105"/>
        </w:rPr>
        <w:t>Éstas</w:t>
      </w:r>
      <w:r>
        <w:rPr>
          <w:color w:val="231F20"/>
          <w:spacing w:val="-18"/>
          <w:w w:val="105"/>
        </w:rPr>
        <w:t> </w:t>
      </w:r>
      <w:r>
        <w:rPr>
          <w:color w:val="231F20"/>
          <w:w w:val="105"/>
        </w:rPr>
        <w:t>definen</w:t>
      </w:r>
      <w:r>
        <w:rPr>
          <w:color w:val="231F20"/>
          <w:spacing w:val="-18"/>
          <w:w w:val="105"/>
        </w:rPr>
        <w:t> </w:t>
      </w:r>
      <w:r>
        <w:rPr>
          <w:color w:val="231F20"/>
          <w:w w:val="105"/>
        </w:rPr>
        <w:t>una</w:t>
      </w:r>
      <w:r>
        <w:rPr>
          <w:color w:val="231F20"/>
          <w:spacing w:val="-18"/>
          <w:w w:val="105"/>
        </w:rPr>
        <w:t> </w:t>
      </w:r>
      <w:r>
        <w:rPr>
          <w:color w:val="231F20"/>
          <w:w w:val="105"/>
        </w:rPr>
        <w:t>forma</w:t>
      </w:r>
      <w:r>
        <w:rPr>
          <w:color w:val="231F20"/>
          <w:spacing w:val="-18"/>
          <w:w w:val="105"/>
        </w:rPr>
        <w:t> </w:t>
      </w:r>
      <w:r>
        <w:rPr>
          <w:color w:val="231F20"/>
          <w:w w:val="105"/>
        </w:rPr>
        <w:t>de</w:t>
      </w:r>
      <w:r>
        <w:rPr>
          <w:color w:val="231F20"/>
          <w:spacing w:val="-18"/>
          <w:w w:val="105"/>
        </w:rPr>
        <w:t> </w:t>
      </w:r>
      <w:r>
        <w:rPr>
          <w:color w:val="231F20"/>
          <w:w w:val="105"/>
        </w:rPr>
        <w:t>interacción</w:t>
      </w:r>
      <w:r>
        <w:rPr>
          <w:color w:val="231F20"/>
          <w:spacing w:val="-18"/>
          <w:w w:val="105"/>
        </w:rPr>
        <w:t> </w:t>
      </w:r>
      <w:r>
        <w:rPr>
          <w:color w:val="231F20"/>
          <w:w w:val="105"/>
        </w:rPr>
        <w:t>social construida con el propósito de potenciar recursos y beneficios deriva- dos de la identificación, absorción, producción y aplicación de conoci- miento</w:t>
      </w:r>
      <w:r>
        <w:rPr>
          <w:color w:val="231F20"/>
          <w:spacing w:val="-23"/>
          <w:w w:val="105"/>
        </w:rPr>
        <w:t> </w:t>
      </w:r>
      <w:r>
        <w:rPr>
          <w:color w:val="231F20"/>
          <w:w w:val="105"/>
        </w:rPr>
        <w:t>relevante.</w:t>
      </w:r>
      <w:r>
        <w:rPr>
          <w:color w:val="231F20"/>
          <w:spacing w:val="-29"/>
          <w:w w:val="105"/>
        </w:rPr>
        <w:t> </w:t>
      </w:r>
      <w:r>
        <w:rPr>
          <w:color w:val="231F20"/>
          <w:w w:val="105"/>
        </w:rPr>
        <w:t>Entre</w:t>
      </w:r>
      <w:r>
        <w:rPr>
          <w:color w:val="231F20"/>
          <w:spacing w:val="-23"/>
          <w:w w:val="105"/>
        </w:rPr>
        <w:t> </w:t>
      </w:r>
      <w:r>
        <w:rPr>
          <w:color w:val="231F20"/>
          <w:w w:val="105"/>
        </w:rPr>
        <w:t>los</w:t>
      </w:r>
      <w:r>
        <w:rPr>
          <w:color w:val="231F20"/>
          <w:spacing w:val="-23"/>
          <w:w w:val="105"/>
        </w:rPr>
        <w:t> </w:t>
      </w:r>
      <w:r>
        <w:rPr>
          <w:color w:val="231F20"/>
          <w:w w:val="105"/>
        </w:rPr>
        <w:t>objetivos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redes</w:t>
      </w:r>
      <w:r>
        <w:rPr>
          <w:color w:val="231F20"/>
          <w:spacing w:val="-23"/>
          <w:w w:val="105"/>
        </w:rPr>
        <w:t> </w:t>
      </w:r>
      <w:r>
        <w:rPr>
          <w:color w:val="231F20"/>
          <w:w w:val="105"/>
        </w:rPr>
        <w:t>de</w:t>
      </w:r>
      <w:r>
        <w:rPr>
          <w:color w:val="231F20"/>
          <w:spacing w:val="-23"/>
          <w:w w:val="105"/>
        </w:rPr>
        <w:t> </w:t>
      </w:r>
      <w:r>
        <w:rPr>
          <w:color w:val="231F20"/>
          <w:w w:val="105"/>
        </w:rPr>
        <w:t>conocimiento</w:t>
      </w:r>
      <w:r>
        <w:rPr>
          <w:color w:val="231F20"/>
          <w:spacing w:val="-23"/>
          <w:w w:val="105"/>
        </w:rPr>
        <w:t> </w:t>
      </w:r>
      <w:r>
        <w:rPr>
          <w:color w:val="231F20"/>
          <w:w w:val="105"/>
        </w:rPr>
        <w:t>están: compartir información relevante, incentivar la investigación y</w:t>
      </w:r>
      <w:r>
        <w:rPr>
          <w:color w:val="231F20"/>
          <w:spacing w:val="-10"/>
          <w:w w:val="105"/>
        </w:rPr>
        <w:t> </w:t>
      </w:r>
      <w:r>
        <w:rPr>
          <w:color w:val="231F20"/>
          <w:w w:val="105"/>
        </w:rPr>
        <w:t>desarrollo tecnológico,</w:t>
      </w:r>
      <w:r>
        <w:rPr>
          <w:color w:val="231F20"/>
          <w:spacing w:val="-20"/>
          <w:w w:val="105"/>
        </w:rPr>
        <w:t> </w:t>
      </w:r>
      <w:r>
        <w:rPr>
          <w:color w:val="231F20"/>
          <w:w w:val="105"/>
        </w:rPr>
        <w:t>crear</w:t>
      </w:r>
      <w:r>
        <w:rPr>
          <w:color w:val="231F20"/>
          <w:spacing w:val="-14"/>
          <w:w w:val="105"/>
        </w:rPr>
        <w:t> </w:t>
      </w:r>
      <w:r>
        <w:rPr>
          <w:color w:val="231F20"/>
          <w:w w:val="105"/>
        </w:rPr>
        <w:t>nuevos</w:t>
      </w:r>
      <w:r>
        <w:rPr>
          <w:color w:val="231F20"/>
          <w:spacing w:val="-14"/>
          <w:w w:val="105"/>
        </w:rPr>
        <w:t> </w:t>
      </w:r>
      <w:r>
        <w:rPr>
          <w:color w:val="231F20"/>
          <w:w w:val="105"/>
        </w:rPr>
        <w:t>productos,</w:t>
      </w:r>
      <w:r>
        <w:rPr>
          <w:color w:val="231F20"/>
          <w:spacing w:val="-20"/>
          <w:w w:val="105"/>
        </w:rPr>
        <w:t> </w:t>
      </w:r>
      <w:r>
        <w:rPr>
          <w:color w:val="231F20"/>
          <w:w w:val="105"/>
        </w:rPr>
        <w:t>procesos</w:t>
      </w:r>
      <w:r>
        <w:rPr>
          <w:color w:val="231F20"/>
          <w:spacing w:val="-14"/>
          <w:w w:val="105"/>
        </w:rPr>
        <w:t> </w:t>
      </w:r>
      <w:r>
        <w:rPr>
          <w:color w:val="231F20"/>
          <w:w w:val="105"/>
        </w:rPr>
        <w:t>y</w:t>
      </w:r>
      <w:r>
        <w:rPr>
          <w:color w:val="231F20"/>
          <w:spacing w:val="-14"/>
          <w:w w:val="105"/>
        </w:rPr>
        <w:t> </w:t>
      </w:r>
      <w:r>
        <w:rPr>
          <w:color w:val="231F20"/>
          <w:w w:val="105"/>
        </w:rPr>
        <w:t>modalidades</w:t>
      </w:r>
      <w:r>
        <w:rPr>
          <w:color w:val="231F20"/>
          <w:spacing w:val="-14"/>
          <w:w w:val="105"/>
        </w:rPr>
        <w:t> </w:t>
      </w:r>
      <w:r>
        <w:rPr>
          <w:color w:val="231F20"/>
          <w:w w:val="105"/>
        </w:rPr>
        <w:t>organiza- cionales,</w:t>
      </w:r>
      <w:r>
        <w:rPr>
          <w:color w:val="231F20"/>
          <w:spacing w:val="-19"/>
          <w:w w:val="105"/>
        </w:rPr>
        <w:t> </w:t>
      </w:r>
      <w:r>
        <w:rPr>
          <w:color w:val="231F20"/>
          <w:w w:val="105"/>
        </w:rPr>
        <w:t>configurar</w:t>
      </w:r>
      <w:r>
        <w:rPr>
          <w:color w:val="231F20"/>
          <w:spacing w:val="-15"/>
          <w:w w:val="105"/>
        </w:rPr>
        <w:t> </w:t>
      </w:r>
      <w:r>
        <w:rPr>
          <w:color w:val="231F20"/>
          <w:w w:val="105"/>
        </w:rPr>
        <w:t>alianzas</w:t>
      </w:r>
      <w:r>
        <w:rPr>
          <w:color w:val="231F20"/>
          <w:spacing w:val="-15"/>
          <w:w w:val="105"/>
        </w:rPr>
        <w:t> </w:t>
      </w:r>
      <w:r>
        <w:rPr>
          <w:color w:val="231F20"/>
          <w:w w:val="105"/>
        </w:rPr>
        <w:t>estratégicas</w:t>
      </w:r>
      <w:r>
        <w:rPr>
          <w:color w:val="231F20"/>
          <w:spacing w:val="-15"/>
          <w:w w:val="105"/>
        </w:rPr>
        <w:t> </w:t>
      </w:r>
      <w:r>
        <w:rPr>
          <w:color w:val="231F20"/>
          <w:w w:val="105"/>
        </w:rPr>
        <w:t>tecnológicas,</w:t>
      </w:r>
      <w:r>
        <w:rPr>
          <w:color w:val="231F20"/>
          <w:spacing w:val="-19"/>
          <w:w w:val="105"/>
        </w:rPr>
        <w:t> </w:t>
      </w:r>
      <w:r>
        <w:rPr>
          <w:color w:val="231F20"/>
          <w:w w:val="105"/>
        </w:rPr>
        <w:t>compartir</w:t>
      </w:r>
      <w:r>
        <w:rPr>
          <w:color w:val="231F20"/>
          <w:spacing w:val="-15"/>
          <w:w w:val="105"/>
        </w:rPr>
        <w:t> </w:t>
      </w:r>
      <w:r>
        <w:rPr>
          <w:color w:val="231F20"/>
          <w:w w:val="105"/>
        </w:rPr>
        <w:t>habili- dades y experiencias, desarrollar nuevas competencias y proporcionar </w:t>
      </w:r>
      <w:r>
        <w:rPr>
          <w:color w:val="231F20"/>
        </w:rPr>
        <w:t>asesoría técnica y</w:t>
      </w:r>
      <w:r>
        <w:rPr>
          <w:color w:val="231F20"/>
          <w:spacing w:val="14"/>
        </w:rPr>
        <w:t> </w:t>
      </w:r>
      <w:r>
        <w:rPr>
          <w:color w:val="231F20"/>
        </w:rPr>
        <w:t>capacitación.</w:t>
      </w:r>
    </w:p>
    <w:p>
      <w:pPr>
        <w:pStyle w:val="BodyText"/>
        <w:spacing w:line="259" w:lineRule="auto"/>
        <w:ind w:left="103" w:right="114" w:firstLine="567"/>
        <w:jc w:val="both"/>
      </w:pPr>
      <w:r>
        <w:rPr>
          <w:color w:val="231F20"/>
        </w:rPr>
        <w:t>Existe un conjunto de investigaciones que analizan desde diversos ángulos las redes de conocimiento. Dada esta circunstancia, se retoman los trabajos de Yoguel, </w:t>
      </w:r>
      <w:r>
        <w:rPr>
          <w:i/>
          <w:color w:val="231F20"/>
        </w:rPr>
        <w:t>et al </w:t>
      </w:r>
      <w:r>
        <w:rPr>
          <w:color w:val="231F20"/>
        </w:rPr>
        <w:t>(2009), Casas (2001 y 2003), Luna y Velasco (2003 y 2006) y Lara (2008).</w:t>
      </w:r>
    </w:p>
    <w:p>
      <w:pPr>
        <w:pStyle w:val="BodyText"/>
        <w:spacing w:line="259" w:lineRule="auto"/>
        <w:ind w:left="103" w:right="114" w:firstLine="567"/>
        <w:jc w:val="both"/>
      </w:pPr>
      <w:r>
        <w:rPr>
          <w:color w:val="231F20"/>
          <w:w w:val="105"/>
        </w:rPr>
        <w:t>Es</w:t>
      </w:r>
      <w:r>
        <w:rPr>
          <w:color w:val="231F20"/>
          <w:spacing w:val="-23"/>
          <w:w w:val="105"/>
        </w:rPr>
        <w:t> </w:t>
      </w:r>
      <w:r>
        <w:rPr>
          <w:color w:val="231F20"/>
          <w:w w:val="105"/>
        </w:rPr>
        <w:t>justificable</w:t>
      </w:r>
      <w:r>
        <w:rPr>
          <w:color w:val="231F20"/>
          <w:spacing w:val="-23"/>
          <w:w w:val="105"/>
        </w:rPr>
        <w:t> </w:t>
      </w:r>
      <w:r>
        <w:rPr>
          <w:color w:val="231F20"/>
          <w:w w:val="105"/>
        </w:rPr>
        <w:t>considerar</w:t>
      </w:r>
      <w:r>
        <w:rPr>
          <w:color w:val="231F20"/>
          <w:spacing w:val="-23"/>
          <w:w w:val="105"/>
        </w:rPr>
        <w:t> </w:t>
      </w:r>
      <w:r>
        <w:rPr>
          <w:color w:val="231F20"/>
          <w:w w:val="105"/>
        </w:rPr>
        <w:t>las</w:t>
      </w:r>
      <w:r>
        <w:rPr>
          <w:color w:val="231F20"/>
          <w:spacing w:val="-23"/>
          <w:w w:val="105"/>
        </w:rPr>
        <w:t> </w:t>
      </w:r>
      <w:r>
        <w:rPr>
          <w:color w:val="231F20"/>
          <w:w w:val="105"/>
        </w:rPr>
        <w:t>investigaciones</w:t>
      </w:r>
      <w:r>
        <w:rPr>
          <w:color w:val="231F20"/>
          <w:spacing w:val="-23"/>
          <w:w w:val="105"/>
        </w:rPr>
        <w:t> </w:t>
      </w:r>
      <w:r>
        <w:rPr>
          <w:color w:val="231F20"/>
          <w:w w:val="105"/>
        </w:rPr>
        <w:t>anteriormente</w:t>
      </w:r>
      <w:r>
        <w:rPr>
          <w:color w:val="231F20"/>
          <w:spacing w:val="-23"/>
          <w:w w:val="105"/>
        </w:rPr>
        <w:t> </w:t>
      </w:r>
      <w:r>
        <w:rPr>
          <w:color w:val="231F20"/>
          <w:w w:val="105"/>
        </w:rPr>
        <w:t>para</w:t>
      </w:r>
      <w:r>
        <w:rPr>
          <w:color w:val="231F20"/>
          <w:spacing w:val="-23"/>
          <w:w w:val="105"/>
        </w:rPr>
        <w:t> </w:t>
      </w:r>
      <w:r>
        <w:rPr>
          <w:color w:val="231F20"/>
          <w:w w:val="105"/>
        </w:rPr>
        <w:t>la construcción</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propuesta</w:t>
      </w:r>
      <w:r>
        <w:rPr>
          <w:color w:val="231F20"/>
          <w:spacing w:val="-10"/>
          <w:w w:val="105"/>
        </w:rPr>
        <w:t> </w:t>
      </w:r>
      <w:r>
        <w:rPr>
          <w:color w:val="231F20"/>
          <w:w w:val="105"/>
        </w:rPr>
        <w:t>metodológica,</w:t>
      </w:r>
      <w:r>
        <w:rPr>
          <w:color w:val="231F20"/>
          <w:spacing w:val="-15"/>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asumen</w:t>
      </w:r>
      <w:r>
        <w:rPr>
          <w:color w:val="231F20"/>
          <w:spacing w:val="-10"/>
          <w:w w:val="105"/>
        </w:rPr>
        <w:t> </w:t>
      </w:r>
      <w:r>
        <w:rPr>
          <w:color w:val="231F20"/>
          <w:w w:val="105"/>
        </w:rPr>
        <w:t>un</w:t>
      </w:r>
      <w:r>
        <w:rPr>
          <w:color w:val="231F20"/>
          <w:spacing w:val="-10"/>
          <w:w w:val="105"/>
        </w:rPr>
        <w:t> </w:t>
      </w:r>
      <w:r>
        <w:rPr>
          <w:color w:val="231F20"/>
          <w:w w:val="105"/>
        </w:rPr>
        <w:t>carác- ter</w:t>
      </w:r>
      <w:r>
        <w:rPr>
          <w:color w:val="231F20"/>
          <w:spacing w:val="-18"/>
          <w:w w:val="105"/>
        </w:rPr>
        <w:t> </w:t>
      </w:r>
      <w:r>
        <w:rPr>
          <w:color w:val="231F20"/>
          <w:w w:val="105"/>
        </w:rPr>
        <w:t>complementario</w:t>
      </w:r>
      <w:r>
        <w:rPr>
          <w:color w:val="231F20"/>
          <w:spacing w:val="-18"/>
          <w:w w:val="105"/>
        </w:rPr>
        <w:t> </w:t>
      </w:r>
      <w:r>
        <w:rPr>
          <w:color w:val="231F20"/>
          <w:w w:val="105"/>
        </w:rPr>
        <w:t>al</w:t>
      </w:r>
      <w:r>
        <w:rPr>
          <w:color w:val="231F20"/>
          <w:spacing w:val="-18"/>
          <w:w w:val="105"/>
        </w:rPr>
        <w:t> </w:t>
      </w:r>
      <w:r>
        <w:rPr>
          <w:color w:val="231F20"/>
          <w:w w:val="105"/>
        </w:rPr>
        <w:t>examinar</w:t>
      </w:r>
      <w:r>
        <w:rPr>
          <w:color w:val="231F20"/>
          <w:spacing w:val="-18"/>
          <w:w w:val="105"/>
        </w:rPr>
        <w:t> </w:t>
      </w:r>
      <w:r>
        <w:rPr>
          <w:color w:val="231F20"/>
          <w:w w:val="105"/>
        </w:rPr>
        <w:t>cada</w:t>
      </w:r>
      <w:r>
        <w:rPr>
          <w:color w:val="231F20"/>
          <w:spacing w:val="-18"/>
          <w:w w:val="105"/>
        </w:rPr>
        <w:t> </w:t>
      </w:r>
      <w:r>
        <w:rPr>
          <w:color w:val="231F20"/>
          <w:w w:val="105"/>
        </w:rPr>
        <w:t>una</w:t>
      </w:r>
      <w:r>
        <w:rPr>
          <w:color w:val="231F20"/>
          <w:spacing w:val="-18"/>
          <w:w w:val="105"/>
        </w:rPr>
        <w:t> </w:t>
      </w:r>
      <w:r>
        <w:rPr>
          <w:color w:val="231F20"/>
          <w:w w:val="105"/>
        </w:rPr>
        <w:t>aspectos</w:t>
      </w:r>
      <w:r>
        <w:rPr>
          <w:color w:val="231F20"/>
          <w:spacing w:val="-18"/>
          <w:w w:val="105"/>
        </w:rPr>
        <w:t> </w:t>
      </w:r>
      <w:r>
        <w:rPr>
          <w:color w:val="231F20"/>
          <w:w w:val="105"/>
        </w:rPr>
        <w:t>diferentes</w:t>
      </w:r>
      <w:r>
        <w:rPr>
          <w:color w:val="231F20"/>
          <w:spacing w:val="-18"/>
          <w:w w:val="105"/>
        </w:rPr>
        <w:t> </w:t>
      </w:r>
      <w:r>
        <w:rPr>
          <w:color w:val="231F20"/>
          <w:w w:val="105"/>
        </w:rPr>
        <w:t>en</w:t>
      </w:r>
      <w:r>
        <w:rPr>
          <w:color w:val="231F20"/>
          <w:spacing w:val="-18"/>
          <w:w w:val="105"/>
        </w:rPr>
        <w:t> </w:t>
      </w:r>
      <w:r>
        <w:rPr>
          <w:color w:val="231F20"/>
          <w:w w:val="105"/>
        </w:rPr>
        <w:t>torno</w:t>
      </w:r>
      <w:r>
        <w:rPr>
          <w:color w:val="231F20"/>
          <w:spacing w:val="-18"/>
          <w:w w:val="105"/>
        </w:rPr>
        <w:t> </w:t>
      </w:r>
      <w:r>
        <w:rPr>
          <w:color w:val="231F20"/>
          <w:w w:val="105"/>
        </w:rPr>
        <w:t>a las</w:t>
      </w:r>
      <w:r>
        <w:rPr>
          <w:color w:val="231F20"/>
          <w:spacing w:val="-8"/>
          <w:w w:val="105"/>
        </w:rPr>
        <w:t> </w:t>
      </w:r>
      <w:r>
        <w:rPr>
          <w:color w:val="231F20"/>
          <w:w w:val="105"/>
        </w:rPr>
        <w:t>redes</w:t>
      </w:r>
      <w:r>
        <w:rPr>
          <w:color w:val="231F20"/>
          <w:spacing w:val="-8"/>
          <w:w w:val="105"/>
        </w:rPr>
        <w:t> </w:t>
      </w:r>
      <w:r>
        <w:rPr>
          <w:color w:val="231F20"/>
          <w:w w:val="105"/>
        </w:rPr>
        <w:t>de</w:t>
      </w:r>
      <w:r>
        <w:rPr>
          <w:color w:val="231F20"/>
          <w:spacing w:val="-8"/>
          <w:w w:val="105"/>
        </w:rPr>
        <w:t> </w:t>
      </w:r>
      <w:r>
        <w:rPr>
          <w:color w:val="231F20"/>
          <w:w w:val="105"/>
        </w:rPr>
        <w:t>conocimiento.</w:t>
      </w:r>
      <w:r>
        <w:rPr>
          <w:color w:val="231F20"/>
          <w:spacing w:val="-13"/>
          <w:w w:val="10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divergencia</w:t>
      </w:r>
      <w:r>
        <w:rPr>
          <w:color w:val="231F20"/>
          <w:spacing w:val="-8"/>
          <w:w w:val="105"/>
        </w:rPr>
        <w:t> </w:t>
      </w:r>
      <w:r>
        <w:rPr>
          <w:color w:val="231F20"/>
          <w:w w:val="105"/>
        </w:rPr>
        <w:t>de</w:t>
      </w:r>
      <w:r>
        <w:rPr>
          <w:color w:val="231F20"/>
          <w:spacing w:val="-8"/>
          <w:w w:val="105"/>
        </w:rPr>
        <w:t> </w:t>
      </w:r>
      <w:r>
        <w:rPr>
          <w:color w:val="231F20"/>
          <w:w w:val="105"/>
        </w:rPr>
        <w:t>enfoques,</w:t>
      </w:r>
      <w:r>
        <w:rPr>
          <w:color w:val="231F20"/>
          <w:spacing w:val="-13"/>
          <w:w w:val="105"/>
        </w:rPr>
        <w:t> </w:t>
      </w:r>
      <w:r>
        <w:rPr>
          <w:color w:val="231F20"/>
          <w:w w:val="105"/>
        </w:rPr>
        <w:t>es</w:t>
      </w:r>
      <w:r>
        <w:rPr>
          <w:color w:val="231F20"/>
          <w:spacing w:val="-8"/>
          <w:w w:val="105"/>
        </w:rPr>
        <w:t> </w:t>
      </w:r>
      <w:r>
        <w:rPr>
          <w:color w:val="231F20"/>
          <w:w w:val="105"/>
        </w:rPr>
        <w:t>po- sible</w:t>
      </w:r>
      <w:r>
        <w:rPr>
          <w:color w:val="231F20"/>
          <w:spacing w:val="-13"/>
          <w:w w:val="105"/>
        </w:rPr>
        <w:t> </w:t>
      </w:r>
      <w:r>
        <w:rPr>
          <w:color w:val="231F20"/>
          <w:w w:val="105"/>
        </w:rPr>
        <w:t>constituir</w:t>
      </w:r>
      <w:r>
        <w:rPr>
          <w:color w:val="231F20"/>
          <w:spacing w:val="-13"/>
          <w:w w:val="105"/>
        </w:rPr>
        <w:t> </w:t>
      </w:r>
      <w:r>
        <w:rPr>
          <w:color w:val="231F20"/>
          <w:w w:val="105"/>
        </w:rPr>
        <w:t>un</w:t>
      </w:r>
      <w:r>
        <w:rPr>
          <w:color w:val="231F20"/>
          <w:spacing w:val="-13"/>
          <w:w w:val="105"/>
        </w:rPr>
        <w:t> </w:t>
      </w:r>
      <w:r>
        <w:rPr>
          <w:color w:val="231F20"/>
          <w:w w:val="105"/>
        </w:rPr>
        <w:t>marco</w:t>
      </w:r>
      <w:r>
        <w:rPr>
          <w:color w:val="231F20"/>
          <w:spacing w:val="-13"/>
          <w:w w:val="105"/>
        </w:rPr>
        <w:t> </w:t>
      </w:r>
      <w:r>
        <w:rPr>
          <w:color w:val="231F20"/>
          <w:w w:val="105"/>
        </w:rPr>
        <w:t>analítico</w:t>
      </w:r>
      <w:r>
        <w:rPr>
          <w:color w:val="231F20"/>
          <w:spacing w:val="-13"/>
          <w:w w:val="105"/>
        </w:rPr>
        <w:t> </w:t>
      </w:r>
      <w:r>
        <w:rPr>
          <w:color w:val="231F20"/>
          <w:w w:val="105"/>
        </w:rPr>
        <w:t>multifactorial</w:t>
      </w:r>
      <w:r>
        <w:rPr>
          <w:color w:val="231F20"/>
          <w:spacing w:val="-13"/>
          <w:w w:val="105"/>
        </w:rPr>
        <w:t> </w:t>
      </w:r>
      <w:r>
        <w:rPr>
          <w:color w:val="231F20"/>
          <w:w w:val="105"/>
        </w:rPr>
        <w:t>encaminado</w:t>
      </w:r>
      <w:r>
        <w:rPr>
          <w:color w:val="231F20"/>
          <w:spacing w:val="-13"/>
          <w:w w:val="105"/>
        </w:rPr>
        <w:t> </w:t>
      </w:r>
      <w:r>
        <w:rPr>
          <w:color w:val="231F20"/>
          <w:w w:val="105"/>
        </w:rPr>
        <w:t>a</w:t>
      </w:r>
      <w:r>
        <w:rPr>
          <w:color w:val="231F20"/>
          <w:spacing w:val="-13"/>
          <w:w w:val="105"/>
        </w:rPr>
        <w:t> </w:t>
      </w:r>
      <w:r>
        <w:rPr>
          <w:color w:val="231F20"/>
          <w:w w:val="105"/>
        </w:rPr>
        <w:t>identificar elementos</w:t>
      </w:r>
      <w:r>
        <w:rPr>
          <w:color w:val="231F20"/>
          <w:spacing w:val="-25"/>
          <w:w w:val="105"/>
        </w:rPr>
        <w:t> </w:t>
      </w:r>
      <w:r>
        <w:rPr>
          <w:color w:val="231F20"/>
          <w:w w:val="105"/>
        </w:rPr>
        <w:t>trascendentales</w:t>
      </w:r>
      <w:r>
        <w:rPr>
          <w:color w:val="231F20"/>
          <w:spacing w:val="-25"/>
          <w:w w:val="105"/>
        </w:rPr>
        <w:t> </w:t>
      </w:r>
      <w:r>
        <w:rPr>
          <w:color w:val="231F20"/>
          <w:w w:val="105"/>
        </w:rPr>
        <w:t>relativos</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construcción</w:t>
      </w:r>
      <w:r>
        <w:rPr>
          <w:color w:val="231F20"/>
          <w:spacing w:val="-25"/>
          <w:w w:val="105"/>
        </w:rPr>
        <w:t> </w:t>
      </w:r>
      <w:r>
        <w:rPr>
          <w:color w:val="231F20"/>
          <w:w w:val="105"/>
        </w:rPr>
        <w:t>y</w:t>
      </w:r>
      <w:r>
        <w:rPr>
          <w:color w:val="231F20"/>
          <w:spacing w:val="-25"/>
          <w:w w:val="105"/>
        </w:rPr>
        <w:t> </w:t>
      </w:r>
      <w:r>
        <w:rPr>
          <w:color w:val="231F20"/>
          <w:w w:val="105"/>
        </w:rPr>
        <w:t>consolidación</w:t>
      </w:r>
      <w:r>
        <w:rPr>
          <w:color w:val="231F20"/>
          <w:spacing w:val="-25"/>
          <w:w w:val="105"/>
        </w:rPr>
        <w:t> </w:t>
      </w:r>
      <w:r>
        <w:rPr>
          <w:color w:val="231F20"/>
          <w:w w:val="105"/>
        </w:rPr>
        <w:t>de </w:t>
      </w:r>
      <w:r>
        <w:rPr>
          <w:color w:val="231F20"/>
        </w:rPr>
        <w:t>estructuras reticulares</w:t>
      </w:r>
      <w:r>
        <w:rPr>
          <w:color w:val="231F20"/>
          <w:spacing w:val="47"/>
        </w:rPr>
        <w:t> </w:t>
      </w:r>
      <w:r>
        <w:rPr>
          <w:color w:val="231F20"/>
        </w:rPr>
        <w:t>cognitivas.</w:t>
      </w:r>
    </w:p>
    <w:p>
      <w:pPr>
        <w:pStyle w:val="BodyText"/>
        <w:spacing w:line="259" w:lineRule="auto"/>
        <w:ind w:left="104" w:right="109" w:firstLine="566"/>
        <w:jc w:val="both"/>
      </w:pPr>
      <w:r>
        <w:rPr>
          <w:color w:val="231F20"/>
          <w:w w:val="105"/>
        </w:rPr>
        <w:t>Desde</w:t>
      </w:r>
      <w:r>
        <w:rPr>
          <w:color w:val="231F20"/>
          <w:spacing w:val="-19"/>
          <w:w w:val="105"/>
        </w:rPr>
        <w:t> </w:t>
      </w:r>
      <w:r>
        <w:rPr>
          <w:color w:val="231F20"/>
          <w:w w:val="105"/>
        </w:rPr>
        <w:t>el</w:t>
      </w:r>
      <w:r>
        <w:rPr>
          <w:color w:val="231F20"/>
          <w:spacing w:val="-19"/>
          <w:w w:val="105"/>
        </w:rPr>
        <w:t> </w:t>
      </w:r>
      <w:r>
        <w:rPr>
          <w:color w:val="231F20"/>
          <w:w w:val="105"/>
        </w:rPr>
        <w:t>punto</w:t>
      </w:r>
      <w:r>
        <w:rPr>
          <w:color w:val="231F20"/>
          <w:spacing w:val="-19"/>
          <w:w w:val="105"/>
        </w:rPr>
        <w:t> </w:t>
      </w:r>
      <w:r>
        <w:rPr>
          <w:color w:val="231F20"/>
          <w:w w:val="105"/>
        </w:rPr>
        <w:t>de</w:t>
      </w:r>
      <w:r>
        <w:rPr>
          <w:color w:val="231F20"/>
          <w:spacing w:val="-19"/>
          <w:w w:val="105"/>
        </w:rPr>
        <w:t> </w:t>
      </w:r>
      <w:r>
        <w:rPr>
          <w:color w:val="231F20"/>
          <w:w w:val="105"/>
        </w:rPr>
        <w:t>vista</w:t>
      </w:r>
      <w:r>
        <w:rPr>
          <w:color w:val="231F20"/>
          <w:spacing w:val="-19"/>
          <w:w w:val="105"/>
        </w:rPr>
        <w:t> </w:t>
      </w:r>
      <w:r>
        <w:rPr>
          <w:color w:val="231F20"/>
          <w:w w:val="105"/>
        </w:rPr>
        <w:t>de</w:t>
      </w:r>
      <w:r>
        <w:rPr>
          <w:color w:val="231F20"/>
          <w:spacing w:val="-25"/>
          <w:w w:val="105"/>
        </w:rPr>
        <w:t> </w:t>
      </w:r>
      <w:r>
        <w:rPr>
          <w:color w:val="231F20"/>
          <w:spacing w:val="-4"/>
          <w:w w:val="105"/>
        </w:rPr>
        <w:t>Yoguel</w:t>
      </w:r>
      <w:r>
        <w:rPr>
          <w:color w:val="231F20"/>
          <w:spacing w:val="-19"/>
          <w:w w:val="105"/>
        </w:rPr>
        <w:t> </w:t>
      </w:r>
      <w:r>
        <w:rPr>
          <w:i/>
          <w:color w:val="231F20"/>
          <w:w w:val="105"/>
        </w:rPr>
        <w:t>et</w:t>
      </w:r>
      <w:r>
        <w:rPr>
          <w:i/>
          <w:color w:val="231F20"/>
          <w:spacing w:val="-20"/>
          <w:w w:val="105"/>
        </w:rPr>
        <w:t> </w:t>
      </w:r>
      <w:r>
        <w:rPr>
          <w:i/>
          <w:color w:val="231F20"/>
          <w:w w:val="105"/>
        </w:rPr>
        <w:t>al</w:t>
      </w:r>
      <w:r>
        <w:rPr>
          <w:i/>
          <w:color w:val="231F20"/>
          <w:spacing w:val="-20"/>
          <w:w w:val="105"/>
        </w:rPr>
        <w:t> </w:t>
      </w:r>
      <w:r>
        <w:rPr>
          <w:color w:val="231F20"/>
          <w:w w:val="105"/>
        </w:rPr>
        <w:t>(2009),</w:t>
      </w:r>
      <w:r>
        <w:rPr>
          <w:color w:val="231F20"/>
          <w:spacing w:val="-26"/>
          <w:w w:val="105"/>
        </w:rPr>
        <w:t> </w:t>
      </w:r>
      <w:r>
        <w:rPr>
          <w:color w:val="231F20"/>
          <w:w w:val="105"/>
        </w:rPr>
        <w:t>las</w:t>
      </w:r>
      <w:r>
        <w:rPr>
          <w:color w:val="231F20"/>
          <w:spacing w:val="-20"/>
          <w:w w:val="105"/>
        </w:rPr>
        <w:t> </w:t>
      </w:r>
      <w:r>
        <w:rPr>
          <w:color w:val="231F20"/>
          <w:w w:val="105"/>
        </w:rPr>
        <w:t>redes</w:t>
      </w:r>
      <w:r>
        <w:rPr>
          <w:color w:val="231F20"/>
          <w:spacing w:val="-20"/>
          <w:w w:val="105"/>
        </w:rPr>
        <w:t> </w:t>
      </w:r>
      <w:r>
        <w:rPr>
          <w:color w:val="231F20"/>
          <w:w w:val="105"/>
        </w:rPr>
        <w:t>de</w:t>
      </w:r>
      <w:r>
        <w:rPr>
          <w:color w:val="231F20"/>
          <w:spacing w:val="-20"/>
          <w:w w:val="105"/>
        </w:rPr>
        <w:t> </w:t>
      </w:r>
      <w:r>
        <w:rPr>
          <w:color w:val="231F20"/>
          <w:w w:val="105"/>
        </w:rPr>
        <w:t>conoci- miento</w:t>
      </w:r>
      <w:r>
        <w:rPr>
          <w:color w:val="231F20"/>
          <w:spacing w:val="-10"/>
          <w:w w:val="105"/>
        </w:rPr>
        <w:t> </w:t>
      </w:r>
      <w:r>
        <w:rPr>
          <w:color w:val="231F20"/>
          <w:w w:val="105"/>
        </w:rPr>
        <w:t>pueden</w:t>
      </w:r>
      <w:r>
        <w:rPr>
          <w:color w:val="231F20"/>
          <w:spacing w:val="-10"/>
          <w:w w:val="105"/>
        </w:rPr>
        <w:t> </w:t>
      </w:r>
      <w:r>
        <w:rPr>
          <w:color w:val="231F20"/>
          <w:w w:val="105"/>
        </w:rPr>
        <w:t>observarse</w:t>
      </w:r>
      <w:r>
        <w:rPr>
          <w:color w:val="231F20"/>
          <w:spacing w:val="-10"/>
          <w:w w:val="105"/>
        </w:rPr>
        <w:t> </w:t>
      </w:r>
      <w:r>
        <w:rPr>
          <w:color w:val="231F20"/>
          <w:w w:val="105"/>
        </w:rPr>
        <w:t>como</w:t>
      </w:r>
      <w:r>
        <w:rPr>
          <w:color w:val="231F20"/>
          <w:spacing w:val="-10"/>
          <w:w w:val="105"/>
        </w:rPr>
        <w:t> </w:t>
      </w:r>
      <w:r>
        <w:rPr>
          <w:color w:val="231F20"/>
          <w:w w:val="105"/>
        </w:rPr>
        <w:t>estructuras</w:t>
      </w:r>
      <w:r>
        <w:rPr>
          <w:color w:val="231F20"/>
          <w:spacing w:val="-10"/>
          <w:w w:val="105"/>
        </w:rPr>
        <w:t> </w:t>
      </w:r>
      <w:r>
        <w:rPr>
          <w:color w:val="231F20"/>
          <w:w w:val="105"/>
        </w:rPr>
        <w:t>complejas</w:t>
      </w:r>
      <w:r>
        <w:rPr>
          <w:color w:val="231F20"/>
          <w:spacing w:val="-10"/>
          <w:w w:val="105"/>
        </w:rPr>
        <w:t> </w:t>
      </w:r>
      <w:r>
        <w:rPr>
          <w:color w:val="231F20"/>
          <w:w w:val="105"/>
        </w:rPr>
        <w:t>cuyos</w:t>
      </w:r>
      <w:r>
        <w:rPr>
          <w:color w:val="231F20"/>
          <w:spacing w:val="-10"/>
          <w:w w:val="105"/>
        </w:rPr>
        <w:t> </w:t>
      </w:r>
      <w:r>
        <w:rPr>
          <w:color w:val="231F20"/>
          <w:w w:val="105"/>
        </w:rPr>
        <w:t>integran- tes absorben información del entorno para internalizarla, transformarla en</w:t>
      </w:r>
      <w:r>
        <w:rPr>
          <w:color w:val="231F20"/>
          <w:spacing w:val="-18"/>
          <w:w w:val="105"/>
        </w:rPr>
        <w:t> </w:t>
      </w:r>
      <w:r>
        <w:rPr>
          <w:color w:val="231F20"/>
          <w:w w:val="105"/>
        </w:rPr>
        <w:t>aprendizaje</w:t>
      </w:r>
      <w:r>
        <w:rPr>
          <w:color w:val="231F20"/>
          <w:spacing w:val="-18"/>
          <w:w w:val="105"/>
        </w:rPr>
        <w:t> </w:t>
      </w:r>
      <w:r>
        <w:rPr>
          <w:color w:val="231F20"/>
          <w:spacing w:val="-4"/>
          <w:w w:val="105"/>
        </w:rPr>
        <w:t>y,</w:t>
      </w:r>
      <w:r>
        <w:rPr>
          <w:color w:val="231F20"/>
          <w:spacing w:val="-23"/>
          <w:w w:val="105"/>
        </w:rPr>
        <w:t> </w:t>
      </w:r>
      <w:r>
        <w:rPr>
          <w:color w:val="231F20"/>
          <w:w w:val="105"/>
        </w:rPr>
        <w:t>posteriormente,</w:t>
      </w:r>
      <w:r>
        <w:rPr>
          <w:color w:val="231F20"/>
          <w:spacing w:val="-23"/>
          <w:w w:val="105"/>
        </w:rPr>
        <w:t> </w:t>
      </w:r>
      <w:r>
        <w:rPr>
          <w:color w:val="231F20"/>
          <w:w w:val="105"/>
        </w:rPr>
        <w:t>en</w:t>
      </w:r>
      <w:r>
        <w:rPr>
          <w:color w:val="231F20"/>
          <w:spacing w:val="-18"/>
          <w:w w:val="105"/>
        </w:rPr>
        <w:t> </w:t>
      </w:r>
      <w:r>
        <w:rPr>
          <w:color w:val="231F20"/>
          <w:w w:val="105"/>
        </w:rPr>
        <w:t>conocimiento.</w:t>
      </w:r>
      <w:r>
        <w:rPr>
          <w:color w:val="231F20"/>
          <w:spacing w:val="-23"/>
          <w:w w:val="105"/>
        </w:rPr>
        <w:t> </w:t>
      </w:r>
      <w:r>
        <w:rPr>
          <w:color w:val="231F20"/>
          <w:w w:val="105"/>
        </w:rPr>
        <w:t>Sin</w:t>
      </w:r>
      <w:r>
        <w:rPr>
          <w:color w:val="231F20"/>
          <w:spacing w:val="-18"/>
          <w:w w:val="105"/>
        </w:rPr>
        <w:t> </w:t>
      </w:r>
      <w:r>
        <w:rPr>
          <w:color w:val="231F20"/>
          <w:w w:val="105"/>
        </w:rPr>
        <w:t>embargo,</w:t>
      </w:r>
      <w:r>
        <w:rPr>
          <w:color w:val="231F20"/>
          <w:spacing w:val="-23"/>
          <w:w w:val="105"/>
        </w:rPr>
        <w:t> </w:t>
      </w:r>
      <w:r>
        <w:rPr>
          <w:color w:val="231F20"/>
          <w:w w:val="105"/>
        </w:rPr>
        <w:t>la</w:t>
      </w:r>
      <w:r>
        <w:rPr>
          <w:color w:val="231F20"/>
          <w:spacing w:val="-18"/>
          <w:w w:val="105"/>
        </w:rPr>
        <w:t> </w:t>
      </w:r>
      <w:r>
        <w:rPr>
          <w:color w:val="231F20"/>
          <w:w w:val="105"/>
        </w:rPr>
        <w:t>sen- da de transmutación de información a conocimiento no es un proceso automático originado por la simple interacción entre dos o más partes, sino es un procedimiento ligado a las capacidades de conectividad y absorción mediadas por la retroalimentación. Son cinco peculiaridades propias de las redes de</w:t>
      </w:r>
      <w:r>
        <w:rPr>
          <w:color w:val="231F20"/>
          <w:spacing w:val="-44"/>
          <w:w w:val="105"/>
        </w:rPr>
        <w:t> </w:t>
      </w:r>
      <w:r>
        <w:rPr>
          <w:color w:val="231F20"/>
          <w:w w:val="105"/>
        </w:rPr>
        <w:t>conocimiento:</w:t>
      </w:r>
    </w:p>
    <w:p>
      <w:pPr>
        <w:pStyle w:val="BodyText"/>
        <w:spacing w:before="6"/>
        <w:rPr>
          <w:sz w:val="22"/>
        </w:rPr>
      </w:pPr>
    </w:p>
    <w:p>
      <w:pPr>
        <w:pStyle w:val="ListParagraph"/>
        <w:numPr>
          <w:ilvl w:val="0"/>
          <w:numId w:val="38"/>
        </w:numPr>
        <w:tabs>
          <w:tab w:pos="1315" w:val="left" w:leader="none"/>
        </w:tabs>
        <w:spacing w:line="259" w:lineRule="auto" w:before="0" w:after="0"/>
        <w:ind w:left="1314" w:right="114" w:hanging="360"/>
        <w:jc w:val="both"/>
        <w:rPr>
          <w:sz w:val="21"/>
        </w:rPr>
      </w:pPr>
      <w:r>
        <w:rPr>
          <w:color w:val="231F20"/>
          <w:w w:val="105"/>
          <w:sz w:val="21"/>
        </w:rPr>
        <w:t>Complejidad</w:t>
      </w:r>
      <w:r>
        <w:rPr>
          <w:color w:val="231F20"/>
          <w:spacing w:val="-20"/>
          <w:w w:val="105"/>
          <w:sz w:val="21"/>
        </w:rPr>
        <w:t> </w:t>
      </w:r>
      <w:r>
        <w:rPr>
          <w:color w:val="231F20"/>
          <w:w w:val="105"/>
          <w:sz w:val="21"/>
        </w:rPr>
        <w:t>y</w:t>
      </w:r>
      <w:r>
        <w:rPr>
          <w:color w:val="231F20"/>
          <w:spacing w:val="-20"/>
          <w:w w:val="105"/>
          <w:sz w:val="21"/>
        </w:rPr>
        <w:t> </w:t>
      </w:r>
      <w:r>
        <w:rPr>
          <w:color w:val="231F20"/>
          <w:w w:val="105"/>
          <w:sz w:val="21"/>
        </w:rPr>
        <w:t>heterogeneidad:</w:t>
      </w:r>
      <w:r>
        <w:rPr>
          <w:color w:val="231F20"/>
          <w:spacing w:val="-20"/>
          <w:w w:val="105"/>
          <w:sz w:val="21"/>
        </w:rPr>
        <w:t> </w:t>
      </w:r>
      <w:r>
        <w:rPr>
          <w:color w:val="231F20"/>
          <w:w w:val="105"/>
          <w:sz w:val="21"/>
        </w:rPr>
        <w:t>cada</w:t>
      </w:r>
      <w:r>
        <w:rPr>
          <w:color w:val="231F20"/>
          <w:spacing w:val="-20"/>
          <w:w w:val="105"/>
          <w:sz w:val="21"/>
        </w:rPr>
        <w:t> </w:t>
      </w:r>
      <w:r>
        <w:rPr>
          <w:color w:val="231F20"/>
          <w:w w:val="105"/>
          <w:sz w:val="21"/>
        </w:rPr>
        <w:t>actor</w:t>
      </w:r>
      <w:r>
        <w:rPr>
          <w:color w:val="231F20"/>
          <w:spacing w:val="-20"/>
          <w:w w:val="105"/>
          <w:sz w:val="21"/>
        </w:rPr>
        <w:t> </w:t>
      </w:r>
      <w:r>
        <w:rPr>
          <w:color w:val="231F20"/>
          <w:w w:val="105"/>
          <w:sz w:val="21"/>
        </w:rPr>
        <w:t>es</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naturaleza diversa</w:t>
      </w:r>
      <w:r>
        <w:rPr>
          <w:color w:val="231F20"/>
          <w:spacing w:val="-28"/>
          <w:w w:val="105"/>
          <w:sz w:val="21"/>
        </w:rPr>
        <w:t> </w:t>
      </w:r>
      <w:r>
        <w:rPr>
          <w:color w:val="231F20"/>
          <w:w w:val="105"/>
          <w:sz w:val="21"/>
        </w:rPr>
        <w:t>y</w:t>
      </w:r>
      <w:r>
        <w:rPr>
          <w:color w:val="231F20"/>
          <w:spacing w:val="-28"/>
          <w:w w:val="105"/>
          <w:sz w:val="21"/>
        </w:rPr>
        <w:t> </w:t>
      </w:r>
      <w:r>
        <w:rPr>
          <w:color w:val="231F20"/>
          <w:w w:val="105"/>
          <w:sz w:val="21"/>
        </w:rPr>
        <w:t>se</w:t>
      </w:r>
      <w:r>
        <w:rPr>
          <w:color w:val="231F20"/>
          <w:spacing w:val="-28"/>
          <w:w w:val="105"/>
          <w:sz w:val="21"/>
        </w:rPr>
        <w:t> </w:t>
      </w:r>
      <w:r>
        <w:rPr>
          <w:color w:val="231F20"/>
          <w:w w:val="105"/>
          <w:sz w:val="21"/>
        </w:rPr>
        <w:t>mueve</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escenarios</w:t>
      </w:r>
      <w:r>
        <w:rPr>
          <w:color w:val="231F20"/>
          <w:spacing w:val="-28"/>
          <w:w w:val="105"/>
          <w:sz w:val="21"/>
        </w:rPr>
        <w:t> </w:t>
      </w:r>
      <w:r>
        <w:rPr>
          <w:color w:val="231F20"/>
          <w:w w:val="105"/>
          <w:sz w:val="21"/>
        </w:rPr>
        <w:t>distintos.</w:t>
      </w:r>
    </w:p>
    <w:p>
      <w:pPr>
        <w:pStyle w:val="ListParagraph"/>
        <w:numPr>
          <w:ilvl w:val="0"/>
          <w:numId w:val="38"/>
        </w:numPr>
        <w:tabs>
          <w:tab w:pos="1315" w:val="left" w:leader="none"/>
        </w:tabs>
        <w:spacing w:line="259" w:lineRule="auto" w:before="170" w:after="0"/>
        <w:ind w:left="1314" w:right="115" w:hanging="360"/>
        <w:jc w:val="both"/>
        <w:rPr>
          <w:sz w:val="21"/>
        </w:rPr>
      </w:pPr>
      <w:r>
        <w:rPr>
          <w:color w:val="231F20"/>
          <w:w w:val="105"/>
          <w:sz w:val="21"/>
        </w:rPr>
        <w:t>Capacidad</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conectividad:</w:t>
      </w:r>
      <w:r>
        <w:rPr>
          <w:color w:val="231F20"/>
          <w:spacing w:val="-21"/>
          <w:w w:val="105"/>
          <w:sz w:val="21"/>
        </w:rPr>
        <w:t> </w:t>
      </w:r>
      <w:r>
        <w:rPr>
          <w:color w:val="231F20"/>
          <w:w w:val="105"/>
          <w:sz w:val="21"/>
        </w:rPr>
        <w:t>mediante</w:t>
      </w:r>
      <w:r>
        <w:rPr>
          <w:color w:val="231F20"/>
          <w:spacing w:val="-21"/>
          <w:w w:val="105"/>
          <w:sz w:val="21"/>
        </w:rPr>
        <w:t> </w:t>
      </w:r>
      <w:r>
        <w:rPr>
          <w:color w:val="231F20"/>
          <w:w w:val="105"/>
          <w:sz w:val="21"/>
        </w:rPr>
        <w:t>conexiones</w:t>
      </w:r>
      <w:r>
        <w:rPr>
          <w:color w:val="231F20"/>
          <w:spacing w:val="-21"/>
          <w:w w:val="105"/>
          <w:sz w:val="21"/>
        </w:rPr>
        <w:t> </w:t>
      </w:r>
      <w:r>
        <w:rPr>
          <w:color w:val="231F20"/>
          <w:w w:val="105"/>
          <w:sz w:val="21"/>
        </w:rPr>
        <w:t>con</w:t>
      </w:r>
      <w:r>
        <w:rPr>
          <w:color w:val="231F20"/>
          <w:spacing w:val="-21"/>
          <w:w w:val="105"/>
          <w:sz w:val="21"/>
        </w:rPr>
        <w:t> </w:t>
      </w:r>
      <w:r>
        <w:rPr>
          <w:color w:val="231F20"/>
          <w:w w:val="105"/>
          <w:sz w:val="21"/>
        </w:rPr>
        <w:t>otros actores, el conocimiento se crea a partir de la información obtenida del entorno </w:t>
      </w:r>
      <w:r>
        <w:rPr>
          <w:color w:val="231F20"/>
          <w:spacing w:val="-4"/>
          <w:w w:val="105"/>
          <w:sz w:val="21"/>
        </w:rPr>
        <w:t>y, </w:t>
      </w:r>
      <w:r>
        <w:rPr>
          <w:color w:val="231F20"/>
          <w:w w:val="105"/>
          <w:sz w:val="21"/>
        </w:rPr>
        <w:t>debido a la interacción, ésta se transforma en</w:t>
      </w:r>
      <w:r>
        <w:rPr>
          <w:color w:val="231F20"/>
          <w:spacing w:val="-38"/>
          <w:w w:val="105"/>
          <w:sz w:val="21"/>
        </w:rPr>
        <w:t> </w:t>
      </w:r>
      <w:r>
        <w:rPr>
          <w:color w:val="231F20"/>
          <w:w w:val="105"/>
          <w:sz w:val="21"/>
        </w:rPr>
        <w:t>conocimiento.</w:t>
      </w:r>
    </w:p>
    <w:p>
      <w:pPr>
        <w:pStyle w:val="ListParagraph"/>
        <w:numPr>
          <w:ilvl w:val="0"/>
          <w:numId w:val="38"/>
        </w:numPr>
        <w:tabs>
          <w:tab w:pos="1315" w:val="left" w:leader="none"/>
        </w:tabs>
        <w:spacing w:line="259" w:lineRule="auto" w:before="170" w:after="0"/>
        <w:ind w:left="1314" w:right="114" w:hanging="360"/>
        <w:jc w:val="both"/>
        <w:rPr>
          <w:sz w:val="21"/>
        </w:rPr>
      </w:pPr>
      <w:r>
        <w:rPr>
          <w:color w:val="231F20"/>
          <w:w w:val="105"/>
          <w:sz w:val="21"/>
        </w:rPr>
        <w:t>Capacidad de absorción: el conocimiento adquirido del medio ambiente (el entorno competitivo e institucional) es internalizando</w:t>
      </w:r>
      <w:r>
        <w:rPr>
          <w:color w:val="231F20"/>
          <w:spacing w:val="-14"/>
          <w:w w:val="105"/>
          <w:sz w:val="21"/>
        </w:rPr>
        <w:t> </w:t>
      </w:r>
      <w:r>
        <w:rPr>
          <w:color w:val="231F20"/>
          <w:w w:val="105"/>
          <w:sz w:val="21"/>
        </w:rPr>
        <w:t>por</w:t>
      </w:r>
      <w:r>
        <w:rPr>
          <w:color w:val="231F20"/>
          <w:spacing w:val="-14"/>
          <w:w w:val="105"/>
          <w:sz w:val="21"/>
        </w:rPr>
        <w:t> </w:t>
      </w:r>
      <w:r>
        <w:rPr>
          <w:color w:val="231F20"/>
          <w:w w:val="105"/>
          <w:sz w:val="21"/>
        </w:rPr>
        <w:t>los</w:t>
      </w:r>
      <w:r>
        <w:rPr>
          <w:color w:val="231F20"/>
          <w:spacing w:val="-14"/>
          <w:w w:val="105"/>
          <w:sz w:val="21"/>
        </w:rPr>
        <w:t> </w:t>
      </w:r>
      <w:r>
        <w:rPr>
          <w:color w:val="231F20"/>
          <w:w w:val="105"/>
          <w:sz w:val="21"/>
        </w:rPr>
        <w:t>integrantes</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red,</w:t>
      </w:r>
      <w:r>
        <w:rPr>
          <w:color w:val="231F20"/>
          <w:spacing w:val="-22"/>
          <w:w w:val="105"/>
          <w:sz w:val="21"/>
        </w:rPr>
        <w:t> </w:t>
      </w:r>
      <w:r>
        <w:rPr>
          <w:color w:val="231F20"/>
          <w:w w:val="105"/>
          <w:sz w:val="21"/>
        </w:rPr>
        <w:t>originando</w:t>
      </w:r>
      <w:r>
        <w:rPr>
          <w:color w:val="231F20"/>
          <w:spacing w:val="-14"/>
          <w:w w:val="105"/>
          <w:sz w:val="21"/>
        </w:rPr>
        <w:t> </w:t>
      </w:r>
      <w:r>
        <w:rPr>
          <w:color w:val="231F20"/>
          <w:w w:val="105"/>
          <w:sz w:val="21"/>
        </w:rPr>
        <w:t>nue- vas</w:t>
      </w:r>
      <w:r>
        <w:rPr>
          <w:color w:val="231F20"/>
          <w:spacing w:val="-35"/>
          <w:w w:val="105"/>
          <w:sz w:val="21"/>
        </w:rPr>
        <w:t> </w:t>
      </w:r>
      <w:r>
        <w:rPr>
          <w:color w:val="231F20"/>
          <w:w w:val="105"/>
          <w:sz w:val="21"/>
        </w:rPr>
        <w:t>habilidades</w:t>
      </w:r>
      <w:r>
        <w:rPr>
          <w:color w:val="231F20"/>
          <w:spacing w:val="-35"/>
          <w:w w:val="105"/>
          <w:sz w:val="21"/>
        </w:rPr>
        <w:t> </w:t>
      </w:r>
      <w:r>
        <w:rPr>
          <w:color w:val="231F20"/>
          <w:w w:val="105"/>
          <w:sz w:val="21"/>
        </w:rPr>
        <w:t>y</w:t>
      </w:r>
      <w:r>
        <w:rPr>
          <w:color w:val="231F20"/>
          <w:spacing w:val="-35"/>
          <w:w w:val="105"/>
          <w:sz w:val="21"/>
        </w:rPr>
        <w:t> </w:t>
      </w:r>
      <w:r>
        <w:rPr>
          <w:color w:val="231F20"/>
          <w:w w:val="105"/>
          <w:sz w:val="21"/>
        </w:rPr>
        <w:t>experiencias.</w:t>
      </w:r>
    </w:p>
    <w:p>
      <w:pPr>
        <w:pStyle w:val="BodyText"/>
        <w:rPr>
          <w:sz w:val="20"/>
        </w:rPr>
      </w:pPr>
    </w:p>
    <w:p>
      <w:pPr>
        <w:pStyle w:val="BodyText"/>
        <w:rPr>
          <w:sz w:val="20"/>
        </w:rPr>
      </w:pPr>
    </w:p>
    <w:p>
      <w:pPr>
        <w:pStyle w:val="BodyText"/>
        <w:spacing w:before="2"/>
        <w:rPr>
          <w:sz w:val="18"/>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364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120</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280" w:right="1160"/>
        </w:sectPr>
      </w:pPr>
    </w:p>
    <w:p>
      <w:pPr>
        <w:spacing w:line="180" w:lineRule="exact" w:before="61"/>
        <w:ind w:left="2961" w:right="-12" w:hanging="285"/>
        <w:jc w:val="left"/>
        <w:rPr>
          <w:rFonts w:ascii="Lucida Sans Unicode" w:hAnsi="Lucida Sans Unicode"/>
          <w:sz w:val="14"/>
        </w:rPr>
      </w:pPr>
      <w:r>
        <w:rPr/>
        <w:pict>
          <v:line style="position:absolute;mso-position-horizontal-relative:page;mso-position-vertical-relative:paragraph;z-index:4312"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121</w:t>
      </w:r>
    </w:p>
    <w:p>
      <w:pPr>
        <w:spacing w:after="0"/>
        <w:jc w:val="left"/>
        <w:rPr>
          <w:sz w:val="20"/>
        </w:rPr>
        <w:sectPr>
          <w:type w:val="continuous"/>
          <w:pgSz w:w="9640" w:h="13890"/>
          <w:pgMar w:top="1300" w:bottom="280" w:left="1280" w:right="1160"/>
          <w:cols w:num="2" w:equalWidth="0">
            <w:col w:w="6281" w:space="40"/>
            <w:col w:w="879"/>
          </w:cols>
        </w:sectPr>
      </w:pPr>
    </w:p>
    <w:p>
      <w:pPr>
        <w:pStyle w:val="BodyText"/>
        <w:rPr>
          <w:sz w:val="20"/>
        </w:rPr>
      </w:pPr>
    </w:p>
    <w:p>
      <w:pPr>
        <w:pStyle w:val="BodyText"/>
        <w:spacing w:before="3"/>
        <w:rPr>
          <w:sz w:val="16"/>
        </w:rPr>
      </w:pPr>
    </w:p>
    <w:p>
      <w:pPr>
        <w:pStyle w:val="ListParagraph"/>
        <w:numPr>
          <w:ilvl w:val="0"/>
          <w:numId w:val="38"/>
        </w:numPr>
        <w:tabs>
          <w:tab w:pos="1320" w:val="left" w:leader="none"/>
        </w:tabs>
        <w:spacing w:line="259" w:lineRule="auto" w:before="57" w:after="0"/>
        <w:ind w:left="1319" w:right="107" w:hanging="360"/>
        <w:jc w:val="both"/>
        <w:rPr>
          <w:sz w:val="21"/>
        </w:rPr>
      </w:pPr>
      <w:r>
        <w:rPr>
          <w:color w:val="231F20"/>
          <w:spacing w:val="-5"/>
          <w:w w:val="105"/>
          <w:sz w:val="21"/>
        </w:rPr>
        <w:t>Retroalimentación: </w:t>
      </w:r>
      <w:r>
        <w:rPr>
          <w:color w:val="231F20"/>
          <w:spacing w:val="-4"/>
          <w:w w:val="105"/>
          <w:sz w:val="21"/>
        </w:rPr>
        <w:t>aspecto intermedio entre </w:t>
      </w:r>
      <w:r>
        <w:rPr>
          <w:color w:val="231F20"/>
          <w:w w:val="105"/>
          <w:sz w:val="21"/>
        </w:rPr>
        <w:t>la </w:t>
      </w:r>
      <w:r>
        <w:rPr>
          <w:color w:val="231F20"/>
          <w:spacing w:val="-4"/>
          <w:w w:val="105"/>
          <w:sz w:val="21"/>
        </w:rPr>
        <w:t>conectividad </w:t>
      </w:r>
      <w:r>
        <w:rPr>
          <w:color w:val="231F20"/>
          <w:w w:val="105"/>
          <w:sz w:val="21"/>
        </w:rPr>
        <w:t>y la</w:t>
      </w:r>
      <w:r>
        <w:rPr>
          <w:color w:val="231F20"/>
          <w:spacing w:val="-20"/>
          <w:w w:val="105"/>
          <w:sz w:val="21"/>
        </w:rPr>
        <w:t> </w:t>
      </w:r>
      <w:r>
        <w:rPr>
          <w:color w:val="231F20"/>
          <w:spacing w:val="-4"/>
          <w:w w:val="105"/>
          <w:sz w:val="21"/>
        </w:rPr>
        <w:t>absorción.</w:t>
      </w:r>
      <w:r>
        <w:rPr>
          <w:color w:val="231F20"/>
          <w:spacing w:val="-26"/>
          <w:w w:val="105"/>
          <w:sz w:val="21"/>
        </w:rPr>
        <w:t> </w:t>
      </w:r>
      <w:r>
        <w:rPr>
          <w:color w:val="231F20"/>
          <w:spacing w:val="-4"/>
          <w:w w:val="105"/>
          <w:sz w:val="21"/>
        </w:rPr>
        <w:t>Constituye</w:t>
      </w:r>
      <w:r>
        <w:rPr>
          <w:color w:val="231F20"/>
          <w:spacing w:val="-20"/>
          <w:w w:val="105"/>
          <w:sz w:val="21"/>
        </w:rPr>
        <w:t> </w:t>
      </w:r>
      <w:r>
        <w:rPr>
          <w:color w:val="231F20"/>
          <w:w w:val="105"/>
          <w:sz w:val="21"/>
        </w:rPr>
        <w:t>un</w:t>
      </w:r>
      <w:r>
        <w:rPr>
          <w:color w:val="231F20"/>
          <w:spacing w:val="-20"/>
          <w:w w:val="105"/>
          <w:sz w:val="21"/>
        </w:rPr>
        <w:t> </w:t>
      </w:r>
      <w:r>
        <w:rPr>
          <w:color w:val="231F20"/>
          <w:spacing w:val="-4"/>
          <w:w w:val="105"/>
          <w:sz w:val="21"/>
        </w:rPr>
        <w:t>elemento</w:t>
      </w:r>
      <w:r>
        <w:rPr>
          <w:color w:val="231F20"/>
          <w:spacing w:val="-20"/>
          <w:w w:val="105"/>
          <w:sz w:val="21"/>
        </w:rPr>
        <w:t> </w:t>
      </w:r>
      <w:r>
        <w:rPr>
          <w:color w:val="231F20"/>
          <w:spacing w:val="-4"/>
          <w:w w:val="105"/>
          <w:sz w:val="21"/>
        </w:rPr>
        <w:t>primordial</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el</w:t>
      </w:r>
      <w:r>
        <w:rPr>
          <w:color w:val="231F20"/>
          <w:spacing w:val="-20"/>
          <w:w w:val="105"/>
          <w:sz w:val="21"/>
        </w:rPr>
        <w:t> </w:t>
      </w:r>
      <w:r>
        <w:rPr>
          <w:color w:val="231F20"/>
          <w:spacing w:val="-4"/>
          <w:w w:val="105"/>
          <w:sz w:val="21"/>
        </w:rPr>
        <w:t>aprendi- </w:t>
      </w:r>
      <w:r>
        <w:rPr>
          <w:color w:val="231F20"/>
          <w:spacing w:val="-3"/>
          <w:w w:val="105"/>
          <w:sz w:val="21"/>
        </w:rPr>
        <w:t>zaje</w:t>
      </w:r>
      <w:r>
        <w:rPr>
          <w:color w:val="231F20"/>
          <w:spacing w:val="-27"/>
          <w:w w:val="105"/>
          <w:sz w:val="21"/>
        </w:rPr>
        <w:t> </w:t>
      </w:r>
      <w:r>
        <w:rPr>
          <w:color w:val="231F20"/>
          <w:spacing w:val="-4"/>
          <w:w w:val="105"/>
          <w:sz w:val="21"/>
        </w:rPr>
        <w:t>colectivo</w:t>
      </w:r>
      <w:r>
        <w:rPr>
          <w:color w:val="231F20"/>
          <w:spacing w:val="-27"/>
          <w:w w:val="105"/>
          <w:sz w:val="21"/>
        </w:rPr>
        <w:t> </w:t>
      </w:r>
      <w:r>
        <w:rPr>
          <w:color w:val="231F20"/>
          <w:w w:val="105"/>
          <w:sz w:val="21"/>
        </w:rPr>
        <w:t>y</w:t>
      </w:r>
      <w:r>
        <w:rPr>
          <w:color w:val="231F20"/>
          <w:spacing w:val="-27"/>
          <w:w w:val="105"/>
          <w:sz w:val="21"/>
        </w:rPr>
        <w:t> </w:t>
      </w:r>
      <w:r>
        <w:rPr>
          <w:color w:val="231F20"/>
          <w:w w:val="105"/>
          <w:sz w:val="21"/>
        </w:rPr>
        <w:t>en</w:t>
      </w:r>
      <w:r>
        <w:rPr>
          <w:color w:val="231F20"/>
          <w:spacing w:val="-27"/>
          <w:w w:val="105"/>
          <w:sz w:val="21"/>
        </w:rPr>
        <w:t> </w:t>
      </w:r>
      <w:r>
        <w:rPr>
          <w:color w:val="231F20"/>
          <w:w w:val="105"/>
          <w:sz w:val="21"/>
        </w:rPr>
        <w:t>la</w:t>
      </w:r>
      <w:r>
        <w:rPr>
          <w:color w:val="231F20"/>
          <w:spacing w:val="-27"/>
          <w:w w:val="105"/>
          <w:sz w:val="21"/>
        </w:rPr>
        <w:t> </w:t>
      </w:r>
      <w:r>
        <w:rPr>
          <w:color w:val="231F20"/>
          <w:spacing w:val="-4"/>
          <w:w w:val="105"/>
          <w:sz w:val="21"/>
        </w:rPr>
        <w:t>creación</w:t>
      </w:r>
      <w:r>
        <w:rPr>
          <w:color w:val="231F20"/>
          <w:spacing w:val="-27"/>
          <w:w w:val="105"/>
          <w:sz w:val="21"/>
        </w:rPr>
        <w:t> </w:t>
      </w:r>
      <w:r>
        <w:rPr>
          <w:color w:val="231F20"/>
          <w:w w:val="105"/>
          <w:sz w:val="21"/>
        </w:rPr>
        <w:t>y</w:t>
      </w:r>
      <w:r>
        <w:rPr>
          <w:color w:val="231F20"/>
          <w:spacing w:val="-27"/>
          <w:w w:val="105"/>
          <w:sz w:val="21"/>
        </w:rPr>
        <w:t> </w:t>
      </w:r>
      <w:r>
        <w:rPr>
          <w:color w:val="231F20"/>
          <w:spacing w:val="-5"/>
          <w:w w:val="105"/>
          <w:sz w:val="21"/>
        </w:rPr>
        <w:t>transferencia</w:t>
      </w:r>
      <w:r>
        <w:rPr>
          <w:color w:val="231F20"/>
          <w:spacing w:val="-27"/>
          <w:w w:val="105"/>
          <w:sz w:val="21"/>
        </w:rPr>
        <w:t> </w:t>
      </w:r>
      <w:r>
        <w:rPr>
          <w:color w:val="231F20"/>
          <w:w w:val="105"/>
          <w:sz w:val="21"/>
        </w:rPr>
        <w:t>de</w:t>
      </w:r>
      <w:r>
        <w:rPr>
          <w:color w:val="231F20"/>
          <w:spacing w:val="-27"/>
          <w:w w:val="105"/>
          <w:sz w:val="21"/>
        </w:rPr>
        <w:t> </w:t>
      </w:r>
      <w:r>
        <w:rPr>
          <w:color w:val="231F20"/>
          <w:spacing w:val="-4"/>
          <w:w w:val="105"/>
          <w:sz w:val="21"/>
        </w:rPr>
        <w:t>conocimiento.</w:t>
      </w:r>
    </w:p>
    <w:p>
      <w:pPr>
        <w:pStyle w:val="ListParagraph"/>
        <w:numPr>
          <w:ilvl w:val="0"/>
          <w:numId w:val="38"/>
        </w:numPr>
        <w:tabs>
          <w:tab w:pos="1320" w:val="left" w:leader="none"/>
        </w:tabs>
        <w:spacing w:line="259" w:lineRule="auto" w:before="170" w:after="0"/>
        <w:ind w:left="1319" w:right="113" w:hanging="360"/>
        <w:jc w:val="both"/>
        <w:rPr>
          <w:sz w:val="21"/>
        </w:rPr>
      </w:pPr>
      <w:r>
        <w:rPr>
          <w:color w:val="231F20"/>
          <w:w w:val="105"/>
          <w:sz w:val="21"/>
        </w:rPr>
        <w:t>Temporalidad: las redes asumen un horizonte de tiempo li- mitado</w:t>
      </w:r>
      <w:r>
        <w:rPr>
          <w:color w:val="231F20"/>
          <w:spacing w:val="-13"/>
          <w:w w:val="105"/>
          <w:sz w:val="21"/>
        </w:rPr>
        <w:t> </w:t>
      </w:r>
      <w:r>
        <w:rPr>
          <w:color w:val="231F20"/>
          <w:w w:val="105"/>
          <w:sz w:val="21"/>
        </w:rPr>
        <w:t>en</w:t>
      </w:r>
      <w:r>
        <w:rPr>
          <w:color w:val="231F20"/>
          <w:spacing w:val="-13"/>
          <w:w w:val="105"/>
          <w:sz w:val="21"/>
        </w:rPr>
        <w:t> </w:t>
      </w:r>
      <w:r>
        <w:rPr>
          <w:color w:val="231F20"/>
          <w:w w:val="105"/>
          <w:sz w:val="21"/>
        </w:rPr>
        <w:t>la</w:t>
      </w:r>
      <w:r>
        <w:rPr>
          <w:color w:val="231F20"/>
          <w:spacing w:val="-13"/>
          <w:w w:val="105"/>
          <w:sz w:val="21"/>
        </w:rPr>
        <w:t> </w:t>
      </w:r>
      <w:r>
        <w:rPr>
          <w:color w:val="231F20"/>
          <w:w w:val="105"/>
          <w:sz w:val="21"/>
        </w:rPr>
        <w:t>medida</w:t>
      </w:r>
      <w:r>
        <w:rPr>
          <w:color w:val="231F20"/>
          <w:spacing w:val="-13"/>
          <w:w w:val="105"/>
          <w:sz w:val="21"/>
        </w:rPr>
        <w:t> </w:t>
      </w:r>
      <w:r>
        <w:rPr>
          <w:color w:val="231F20"/>
          <w:w w:val="105"/>
          <w:sz w:val="21"/>
        </w:rPr>
        <w:t>que</w:t>
      </w:r>
      <w:r>
        <w:rPr>
          <w:color w:val="231F20"/>
          <w:spacing w:val="-13"/>
          <w:w w:val="105"/>
          <w:sz w:val="21"/>
        </w:rPr>
        <w:t> </w:t>
      </w:r>
      <w:r>
        <w:rPr>
          <w:color w:val="231F20"/>
          <w:w w:val="105"/>
          <w:sz w:val="21"/>
        </w:rPr>
        <w:t>pueden</w:t>
      </w:r>
      <w:r>
        <w:rPr>
          <w:color w:val="231F20"/>
          <w:spacing w:val="-13"/>
          <w:w w:val="105"/>
          <w:sz w:val="21"/>
        </w:rPr>
        <w:t> </w:t>
      </w:r>
      <w:r>
        <w:rPr>
          <w:color w:val="231F20"/>
          <w:w w:val="105"/>
          <w:sz w:val="21"/>
        </w:rPr>
        <w:t>disolverse</w:t>
      </w:r>
      <w:r>
        <w:rPr>
          <w:color w:val="231F20"/>
          <w:spacing w:val="-13"/>
          <w:w w:val="105"/>
          <w:sz w:val="21"/>
        </w:rPr>
        <w:t> </w:t>
      </w:r>
      <w:r>
        <w:rPr>
          <w:color w:val="231F20"/>
          <w:w w:val="105"/>
          <w:sz w:val="21"/>
        </w:rPr>
        <w:t>una</w:t>
      </w:r>
      <w:r>
        <w:rPr>
          <w:color w:val="231F20"/>
          <w:spacing w:val="-13"/>
          <w:w w:val="105"/>
          <w:sz w:val="21"/>
        </w:rPr>
        <w:t> </w:t>
      </w:r>
      <w:r>
        <w:rPr>
          <w:color w:val="231F20"/>
          <w:w w:val="105"/>
          <w:sz w:val="21"/>
        </w:rPr>
        <w:t>vez</w:t>
      </w:r>
      <w:r>
        <w:rPr>
          <w:color w:val="231F20"/>
          <w:spacing w:val="-13"/>
          <w:w w:val="105"/>
          <w:sz w:val="21"/>
        </w:rPr>
        <w:t> </w:t>
      </w:r>
      <w:r>
        <w:rPr>
          <w:color w:val="231F20"/>
          <w:w w:val="105"/>
          <w:sz w:val="21"/>
        </w:rPr>
        <w:t>cumpli- dos sus objetivos, o bien, cuando predomina el conflicto o no</w:t>
      </w:r>
      <w:r>
        <w:rPr>
          <w:color w:val="231F20"/>
          <w:spacing w:val="-22"/>
          <w:w w:val="105"/>
          <w:sz w:val="21"/>
        </w:rPr>
        <w:t> </w:t>
      </w:r>
      <w:r>
        <w:rPr>
          <w:color w:val="231F20"/>
          <w:w w:val="105"/>
          <w:sz w:val="21"/>
        </w:rPr>
        <w:t>se</w:t>
      </w:r>
      <w:r>
        <w:rPr>
          <w:color w:val="231F20"/>
          <w:spacing w:val="-22"/>
          <w:w w:val="105"/>
          <w:sz w:val="21"/>
        </w:rPr>
        <w:t> </w:t>
      </w:r>
      <w:r>
        <w:rPr>
          <w:color w:val="231F20"/>
          <w:w w:val="105"/>
          <w:sz w:val="21"/>
        </w:rPr>
        <w:t>alcanzan</w:t>
      </w:r>
      <w:r>
        <w:rPr>
          <w:color w:val="231F20"/>
          <w:spacing w:val="-22"/>
          <w:w w:val="105"/>
          <w:sz w:val="21"/>
        </w:rPr>
        <w:t> </w:t>
      </w:r>
      <w:r>
        <w:rPr>
          <w:color w:val="231F20"/>
          <w:w w:val="105"/>
          <w:sz w:val="21"/>
        </w:rPr>
        <w:t>los</w:t>
      </w:r>
      <w:r>
        <w:rPr>
          <w:color w:val="231F20"/>
          <w:spacing w:val="-22"/>
          <w:w w:val="105"/>
          <w:sz w:val="21"/>
        </w:rPr>
        <w:t> </w:t>
      </w:r>
      <w:r>
        <w:rPr>
          <w:color w:val="231F20"/>
          <w:w w:val="105"/>
          <w:sz w:val="21"/>
        </w:rPr>
        <w:t>objetivos</w:t>
      </w:r>
      <w:r>
        <w:rPr>
          <w:color w:val="231F20"/>
          <w:spacing w:val="-22"/>
          <w:w w:val="105"/>
          <w:sz w:val="21"/>
        </w:rPr>
        <w:t> </w:t>
      </w:r>
      <w:r>
        <w:rPr>
          <w:color w:val="231F20"/>
          <w:w w:val="105"/>
          <w:sz w:val="21"/>
        </w:rPr>
        <w:t>y</w:t>
      </w:r>
      <w:r>
        <w:rPr>
          <w:color w:val="231F20"/>
          <w:spacing w:val="-22"/>
          <w:w w:val="105"/>
          <w:sz w:val="21"/>
        </w:rPr>
        <w:t> </w:t>
      </w:r>
      <w:r>
        <w:rPr>
          <w:color w:val="231F20"/>
          <w:w w:val="105"/>
          <w:sz w:val="21"/>
        </w:rPr>
        <w:t>se</w:t>
      </w:r>
      <w:r>
        <w:rPr>
          <w:color w:val="231F20"/>
          <w:spacing w:val="-22"/>
          <w:w w:val="105"/>
          <w:sz w:val="21"/>
        </w:rPr>
        <w:t> </w:t>
      </w:r>
      <w:r>
        <w:rPr>
          <w:color w:val="231F20"/>
          <w:w w:val="105"/>
          <w:sz w:val="21"/>
        </w:rPr>
        <w:t>rompen</w:t>
      </w:r>
      <w:r>
        <w:rPr>
          <w:color w:val="231F20"/>
          <w:spacing w:val="-22"/>
          <w:w w:val="105"/>
          <w:sz w:val="21"/>
        </w:rPr>
        <w:t> </w:t>
      </w:r>
      <w:r>
        <w:rPr>
          <w:color w:val="231F20"/>
          <w:w w:val="105"/>
          <w:sz w:val="21"/>
        </w:rPr>
        <w:t>los</w:t>
      </w:r>
      <w:r>
        <w:rPr>
          <w:color w:val="231F20"/>
          <w:spacing w:val="-22"/>
          <w:w w:val="105"/>
          <w:sz w:val="21"/>
        </w:rPr>
        <w:t> </w:t>
      </w:r>
      <w:r>
        <w:rPr>
          <w:color w:val="231F20"/>
          <w:w w:val="105"/>
          <w:sz w:val="21"/>
        </w:rPr>
        <w:t>acuerdos.</w:t>
      </w:r>
    </w:p>
    <w:p>
      <w:pPr>
        <w:pStyle w:val="BodyText"/>
        <w:rPr>
          <w:sz w:val="20"/>
        </w:rPr>
      </w:pPr>
    </w:p>
    <w:p>
      <w:pPr>
        <w:pStyle w:val="BodyText"/>
        <w:spacing w:before="4"/>
        <w:rPr>
          <w:sz w:val="17"/>
        </w:rPr>
      </w:pPr>
    </w:p>
    <w:p>
      <w:pPr>
        <w:pStyle w:val="BodyText"/>
        <w:spacing w:line="259" w:lineRule="auto"/>
        <w:ind w:left="108" w:right="113"/>
        <w:jc w:val="both"/>
      </w:pPr>
      <w:r>
        <w:rPr>
          <w:color w:val="231F20"/>
          <w:spacing w:val="-3"/>
          <w:w w:val="105"/>
        </w:rPr>
        <w:t>Alternativamente,</w:t>
      </w:r>
      <w:r>
        <w:rPr>
          <w:color w:val="231F20"/>
          <w:spacing w:val="-32"/>
          <w:w w:val="105"/>
        </w:rPr>
        <w:t> </w:t>
      </w:r>
      <w:r>
        <w:rPr>
          <w:color w:val="231F20"/>
          <w:w w:val="105"/>
        </w:rPr>
        <w:t>el</w:t>
      </w:r>
      <w:r>
        <w:rPr>
          <w:color w:val="231F20"/>
          <w:spacing w:val="-26"/>
          <w:w w:val="105"/>
        </w:rPr>
        <w:t> </w:t>
      </w:r>
      <w:r>
        <w:rPr>
          <w:color w:val="231F20"/>
          <w:spacing w:val="-3"/>
          <w:w w:val="105"/>
        </w:rPr>
        <w:t>estudio</w:t>
      </w:r>
      <w:r>
        <w:rPr>
          <w:color w:val="231F20"/>
          <w:spacing w:val="-26"/>
          <w:w w:val="105"/>
        </w:rPr>
        <w:t> </w:t>
      </w:r>
      <w:r>
        <w:rPr>
          <w:color w:val="231F20"/>
          <w:spacing w:val="-3"/>
          <w:w w:val="105"/>
        </w:rPr>
        <w:t>llevado</w:t>
      </w:r>
      <w:r>
        <w:rPr>
          <w:color w:val="231F20"/>
          <w:spacing w:val="-26"/>
          <w:w w:val="105"/>
        </w:rPr>
        <w:t> </w:t>
      </w:r>
      <w:r>
        <w:rPr>
          <w:color w:val="231F20"/>
          <w:w w:val="105"/>
        </w:rPr>
        <w:t>a</w:t>
      </w:r>
      <w:r>
        <w:rPr>
          <w:color w:val="231F20"/>
          <w:spacing w:val="-26"/>
          <w:w w:val="105"/>
        </w:rPr>
        <w:t> </w:t>
      </w:r>
      <w:r>
        <w:rPr>
          <w:color w:val="231F20"/>
          <w:spacing w:val="-3"/>
          <w:w w:val="105"/>
        </w:rPr>
        <w:t>cabo</w:t>
      </w:r>
      <w:r>
        <w:rPr>
          <w:color w:val="231F20"/>
          <w:spacing w:val="-26"/>
          <w:w w:val="105"/>
        </w:rPr>
        <w:t> </w:t>
      </w:r>
      <w:r>
        <w:rPr>
          <w:color w:val="231F20"/>
          <w:w w:val="105"/>
        </w:rPr>
        <w:t>por</w:t>
      </w:r>
      <w:r>
        <w:rPr>
          <w:color w:val="231F20"/>
          <w:spacing w:val="-26"/>
          <w:w w:val="105"/>
        </w:rPr>
        <w:t> </w:t>
      </w:r>
      <w:r>
        <w:rPr>
          <w:color w:val="231F20"/>
          <w:spacing w:val="-3"/>
          <w:w w:val="105"/>
        </w:rPr>
        <w:t>Casas</w:t>
      </w:r>
      <w:r>
        <w:rPr>
          <w:color w:val="231F20"/>
          <w:spacing w:val="-26"/>
          <w:w w:val="105"/>
        </w:rPr>
        <w:t> </w:t>
      </w:r>
      <w:r>
        <w:rPr>
          <w:color w:val="231F20"/>
          <w:spacing w:val="-3"/>
          <w:w w:val="105"/>
        </w:rPr>
        <w:t>(2001</w:t>
      </w:r>
      <w:r>
        <w:rPr>
          <w:color w:val="231F20"/>
          <w:spacing w:val="-26"/>
          <w:w w:val="105"/>
        </w:rPr>
        <w:t> </w:t>
      </w:r>
      <w:r>
        <w:rPr>
          <w:color w:val="231F20"/>
          <w:w w:val="105"/>
        </w:rPr>
        <w:t>y</w:t>
      </w:r>
      <w:r>
        <w:rPr>
          <w:color w:val="231F20"/>
          <w:spacing w:val="-26"/>
          <w:w w:val="105"/>
        </w:rPr>
        <w:t> </w:t>
      </w:r>
      <w:r>
        <w:rPr>
          <w:color w:val="231F20"/>
          <w:spacing w:val="-3"/>
          <w:w w:val="105"/>
        </w:rPr>
        <w:t>2003)</w:t>
      </w:r>
      <w:r>
        <w:rPr>
          <w:color w:val="231F20"/>
          <w:spacing w:val="-26"/>
          <w:w w:val="105"/>
        </w:rPr>
        <w:t> </w:t>
      </w:r>
      <w:r>
        <w:rPr>
          <w:color w:val="231F20"/>
          <w:spacing w:val="-3"/>
          <w:w w:val="105"/>
        </w:rPr>
        <w:t>propo- </w:t>
      </w:r>
      <w:r>
        <w:rPr>
          <w:color w:val="231F20"/>
          <w:w w:val="105"/>
        </w:rPr>
        <w:t>ne</w:t>
      </w:r>
      <w:r>
        <w:rPr>
          <w:color w:val="231F20"/>
          <w:spacing w:val="-27"/>
          <w:w w:val="105"/>
        </w:rPr>
        <w:t> </w:t>
      </w:r>
      <w:r>
        <w:rPr>
          <w:color w:val="231F20"/>
          <w:w w:val="105"/>
        </w:rPr>
        <w:t>un</w:t>
      </w:r>
      <w:r>
        <w:rPr>
          <w:color w:val="231F20"/>
          <w:spacing w:val="-27"/>
          <w:w w:val="105"/>
        </w:rPr>
        <w:t> </w:t>
      </w:r>
      <w:r>
        <w:rPr>
          <w:color w:val="231F20"/>
          <w:spacing w:val="-3"/>
          <w:w w:val="105"/>
        </w:rPr>
        <w:t>conjunto</w:t>
      </w:r>
      <w:r>
        <w:rPr>
          <w:color w:val="231F20"/>
          <w:spacing w:val="-27"/>
          <w:w w:val="105"/>
        </w:rPr>
        <w:t> </w:t>
      </w:r>
      <w:r>
        <w:rPr>
          <w:color w:val="231F20"/>
          <w:w w:val="105"/>
        </w:rPr>
        <w:t>de</w:t>
      </w:r>
      <w:r>
        <w:rPr>
          <w:color w:val="231F20"/>
          <w:spacing w:val="-27"/>
          <w:w w:val="105"/>
        </w:rPr>
        <w:t> </w:t>
      </w:r>
      <w:r>
        <w:rPr>
          <w:color w:val="231F20"/>
          <w:spacing w:val="-3"/>
          <w:w w:val="105"/>
        </w:rPr>
        <w:t>cinco</w:t>
      </w:r>
      <w:r>
        <w:rPr>
          <w:color w:val="231F20"/>
          <w:spacing w:val="-27"/>
          <w:w w:val="105"/>
        </w:rPr>
        <w:t> </w:t>
      </w:r>
      <w:r>
        <w:rPr>
          <w:color w:val="231F20"/>
          <w:spacing w:val="-3"/>
          <w:w w:val="105"/>
        </w:rPr>
        <w:t>dimensiones</w:t>
      </w:r>
      <w:r>
        <w:rPr>
          <w:color w:val="231F20"/>
          <w:spacing w:val="-27"/>
          <w:w w:val="105"/>
        </w:rPr>
        <w:t> </w:t>
      </w:r>
      <w:r>
        <w:rPr>
          <w:color w:val="231F20"/>
          <w:spacing w:val="-4"/>
          <w:w w:val="105"/>
        </w:rPr>
        <w:t>relativas</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spacing w:val="-3"/>
          <w:w w:val="105"/>
        </w:rPr>
        <w:t>redes</w:t>
      </w:r>
      <w:r>
        <w:rPr>
          <w:color w:val="231F20"/>
          <w:spacing w:val="-27"/>
          <w:w w:val="105"/>
        </w:rPr>
        <w:t> </w:t>
      </w:r>
      <w:r>
        <w:rPr>
          <w:color w:val="231F20"/>
          <w:w w:val="105"/>
        </w:rPr>
        <w:t>de</w:t>
      </w:r>
      <w:r>
        <w:rPr>
          <w:color w:val="231F20"/>
          <w:spacing w:val="-27"/>
          <w:w w:val="105"/>
        </w:rPr>
        <w:t> </w:t>
      </w:r>
      <w:r>
        <w:rPr>
          <w:color w:val="231F20"/>
          <w:spacing w:val="-3"/>
          <w:w w:val="105"/>
        </w:rPr>
        <w:t>conocimiento:</w:t>
      </w:r>
    </w:p>
    <w:p>
      <w:pPr>
        <w:pStyle w:val="BodyText"/>
        <w:spacing w:line="259" w:lineRule="auto"/>
        <w:ind w:left="108" w:right="116"/>
        <w:jc w:val="both"/>
      </w:pPr>
      <w:r>
        <w:rPr>
          <w:color w:val="231F20"/>
          <w:w w:val="105"/>
        </w:rPr>
        <w:t>1.</w:t>
      </w:r>
      <w:r>
        <w:rPr>
          <w:color w:val="231F20"/>
          <w:spacing w:val="-18"/>
          <w:w w:val="105"/>
        </w:rPr>
        <w:t> </w:t>
      </w:r>
      <w:r>
        <w:rPr>
          <w:color w:val="231F20"/>
          <w:w w:val="105"/>
        </w:rPr>
        <w:t>La</w:t>
      </w:r>
      <w:r>
        <w:rPr>
          <w:color w:val="231F20"/>
          <w:spacing w:val="-13"/>
          <w:w w:val="105"/>
        </w:rPr>
        <w:t> </w:t>
      </w:r>
      <w:r>
        <w:rPr>
          <w:color w:val="231F20"/>
          <w:spacing w:val="-3"/>
          <w:w w:val="105"/>
        </w:rPr>
        <w:t>institucional;</w:t>
      </w:r>
      <w:r>
        <w:rPr>
          <w:color w:val="231F20"/>
          <w:spacing w:val="-13"/>
          <w:w w:val="105"/>
        </w:rPr>
        <w:t> </w:t>
      </w:r>
      <w:r>
        <w:rPr>
          <w:color w:val="231F20"/>
          <w:w w:val="105"/>
        </w:rPr>
        <w:t>2.</w:t>
      </w:r>
      <w:r>
        <w:rPr>
          <w:color w:val="231F20"/>
          <w:spacing w:val="-18"/>
          <w:w w:val="105"/>
        </w:rPr>
        <w:t> </w:t>
      </w:r>
      <w:r>
        <w:rPr>
          <w:color w:val="231F20"/>
          <w:w w:val="105"/>
        </w:rPr>
        <w:t>La</w:t>
      </w:r>
      <w:r>
        <w:rPr>
          <w:color w:val="231F20"/>
          <w:spacing w:val="-13"/>
          <w:w w:val="105"/>
        </w:rPr>
        <w:t> </w:t>
      </w:r>
      <w:r>
        <w:rPr>
          <w:color w:val="231F20"/>
          <w:spacing w:val="-3"/>
          <w:w w:val="105"/>
        </w:rPr>
        <w:t>estructural</w:t>
      </w:r>
      <w:r>
        <w:rPr>
          <w:color w:val="231F20"/>
          <w:spacing w:val="-13"/>
          <w:w w:val="105"/>
        </w:rPr>
        <w:t> </w:t>
      </w:r>
      <w:r>
        <w:rPr>
          <w:color w:val="231F20"/>
          <w:w w:val="105"/>
        </w:rPr>
        <w:t>y</w:t>
      </w:r>
      <w:r>
        <w:rPr>
          <w:color w:val="231F20"/>
          <w:spacing w:val="-13"/>
          <w:w w:val="105"/>
        </w:rPr>
        <w:t> </w:t>
      </w:r>
      <w:r>
        <w:rPr>
          <w:color w:val="231F20"/>
          <w:spacing w:val="-3"/>
          <w:w w:val="105"/>
        </w:rPr>
        <w:t>morfológica;</w:t>
      </w:r>
      <w:r>
        <w:rPr>
          <w:color w:val="231F20"/>
          <w:spacing w:val="-13"/>
          <w:w w:val="105"/>
        </w:rPr>
        <w:t> </w:t>
      </w:r>
      <w:r>
        <w:rPr>
          <w:color w:val="231F20"/>
          <w:w w:val="105"/>
        </w:rPr>
        <w:t>3.</w:t>
      </w:r>
      <w:r>
        <w:rPr>
          <w:color w:val="231F20"/>
          <w:spacing w:val="-18"/>
          <w:w w:val="105"/>
        </w:rPr>
        <w:t> </w:t>
      </w:r>
      <w:r>
        <w:rPr>
          <w:color w:val="231F20"/>
          <w:w w:val="105"/>
        </w:rPr>
        <w:t>La</w:t>
      </w:r>
      <w:r>
        <w:rPr>
          <w:color w:val="231F20"/>
          <w:spacing w:val="-13"/>
          <w:w w:val="105"/>
        </w:rPr>
        <w:t> </w:t>
      </w:r>
      <w:r>
        <w:rPr>
          <w:color w:val="231F20"/>
          <w:spacing w:val="-3"/>
          <w:w w:val="105"/>
        </w:rPr>
        <w:t>dinámica;</w:t>
      </w:r>
      <w:r>
        <w:rPr>
          <w:color w:val="231F20"/>
          <w:spacing w:val="-13"/>
          <w:w w:val="105"/>
        </w:rPr>
        <w:t> </w:t>
      </w:r>
      <w:r>
        <w:rPr>
          <w:color w:val="231F20"/>
          <w:w w:val="105"/>
        </w:rPr>
        <w:t>4.</w:t>
      </w:r>
      <w:r>
        <w:rPr>
          <w:color w:val="231F20"/>
          <w:spacing w:val="-18"/>
          <w:w w:val="105"/>
        </w:rPr>
        <w:t> </w:t>
      </w:r>
      <w:r>
        <w:rPr>
          <w:color w:val="231F20"/>
          <w:w w:val="105"/>
        </w:rPr>
        <w:t>La</w:t>
      </w:r>
      <w:r>
        <w:rPr>
          <w:color w:val="231F20"/>
          <w:spacing w:val="-13"/>
          <w:w w:val="105"/>
        </w:rPr>
        <w:t> </w:t>
      </w:r>
      <w:r>
        <w:rPr>
          <w:color w:val="231F20"/>
          <w:spacing w:val="-3"/>
          <w:w w:val="105"/>
        </w:rPr>
        <w:t>de contenido</w:t>
      </w:r>
      <w:r>
        <w:rPr>
          <w:color w:val="231F20"/>
          <w:spacing w:val="-22"/>
          <w:w w:val="105"/>
        </w:rPr>
        <w:t> </w:t>
      </w:r>
      <w:r>
        <w:rPr>
          <w:color w:val="231F20"/>
          <w:w w:val="105"/>
        </w:rPr>
        <w:t>y;</w:t>
      </w:r>
      <w:r>
        <w:rPr>
          <w:color w:val="231F20"/>
          <w:spacing w:val="-22"/>
          <w:w w:val="105"/>
        </w:rPr>
        <w:t> </w:t>
      </w:r>
      <w:r>
        <w:rPr>
          <w:color w:val="231F20"/>
          <w:w w:val="105"/>
        </w:rPr>
        <w:t>5.</w:t>
      </w:r>
      <w:r>
        <w:rPr>
          <w:color w:val="231F20"/>
          <w:spacing w:val="-27"/>
          <w:w w:val="105"/>
        </w:rPr>
        <w:t> </w:t>
      </w:r>
      <w:r>
        <w:rPr>
          <w:color w:val="231F20"/>
          <w:w w:val="105"/>
        </w:rPr>
        <w:t>La</w:t>
      </w:r>
      <w:r>
        <w:rPr>
          <w:color w:val="231F20"/>
          <w:spacing w:val="-22"/>
          <w:w w:val="105"/>
        </w:rPr>
        <w:t> </w:t>
      </w:r>
      <w:r>
        <w:rPr>
          <w:color w:val="231F20"/>
          <w:w w:val="105"/>
        </w:rPr>
        <w:t>de</w:t>
      </w:r>
      <w:r>
        <w:rPr>
          <w:color w:val="231F20"/>
          <w:spacing w:val="-22"/>
          <w:w w:val="105"/>
        </w:rPr>
        <w:t> </w:t>
      </w:r>
      <w:r>
        <w:rPr>
          <w:color w:val="231F20"/>
          <w:spacing w:val="-3"/>
          <w:w w:val="105"/>
        </w:rPr>
        <w:t>resultados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4"/>
          <w:w w:val="105"/>
        </w:rPr>
        <w:t>creación</w:t>
      </w:r>
      <w:r>
        <w:rPr>
          <w:color w:val="231F20"/>
          <w:spacing w:val="-22"/>
          <w:w w:val="105"/>
        </w:rPr>
        <w:t> </w:t>
      </w:r>
      <w:r>
        <w:rPr>
          <w:color w:val="231F20"/>
          <w:w w:val="105"/>
        </w:rPr>
        <w:t>y</w:t>
      </w:r>
      <w:r>
        <w:rPr>
          <w:color w:val="231F20"/>
          <w:spacing w:val="-22"/>
          <w:w w:val="105"/>
        </w:rPr>
        <w:t> </w:t>
      </w:r>
      <w:r>
        <w:rPr>
          <w:color w:val="231F20"/>
          <w:spacing w:val="-3"/>
          <w:w w:val="105"/>
        </w:rPr>
        <w:t>transmisión</w:t>
      </w:r>
      <w:r>
        <w:rPr>
          <w:color w:val="231F20"/>
          <w:spacing w:val="-22"/>
          <w:w w:val="105"/>
        </w:rPr>
        <w:t> </w:t>
      </w:r>
      <w:r>
        <w:rPr>
          <w:color w:val="231F20"/>
          <w:spacing w:val="-3"/>
          <w:w w:val="105"/>
        </w:rPr>
        <w:t>cognitiva.</w:t>
      </w:r>
    </w:p>
    <w:p>
      <w:pPr>
        <w:pStyle w:val="BodyText"/>
        <w:spacing w:line="259" w:lineRule="auto"/>
        <w:ind w:left="108" w:right="113" w:firstLine="567"/>
        <w:jc w:val="both"/>
      </w:pPr>
      <w:r>
        <w:rPr>
          <w:color w:val="231F20"/>
          <w:w w:val="105"/>
        </w:rPr>
        <w:t>La</w:t>
      </w:r>
      <w:r>
        <w:rPr>
          <w:color w:val="231F20"/>
          <w:spacing w:val="-9"/>
          <w:w w:val="105"/>
        </w:rPr>
        <w:t> </w:t>
      </w:r>
      <w:r>
        <w:rPr>
          <w:color w:val="231F20"/>
          <w:w w:val="105"/>
        </w:rPr>
        <w:t>dimensión</w:t>
      </w:r>
      <w:r>
        <w:rPr>
          <w:color w:val="231F20"/>
          <w:spacing w:val="-9"/>
          <w:w w:val="105"/>
        </w:rPr>
        <w:t> </w:t>
      </w:r>
      <w:r>
        <w:rPr>
          <w:color w:val="231F20"/>
          <w:w w:val="105"/>
        </w:rPr>
        <w:t>institucional</w:t>
      </w:r>
      <w:r>
        <w:rPr>
          <w:color w:val="231F20"/>
          <w:spacing w:val="-9"/>
          <w:w w:val="105"/>
        </w:rPr>
        <w:t> </w:t>
      </w:r>
      <w:r>
        <w:rPr>
          <w:color w:val="231F20"/>
          <w:w w:val="105"/>
        </w:rPr>
        <w:t>alude</w:t>
      </w:r>
      <w:r>
        <w:rPr>
          <w:color w:val="231F20"/>
          <w:spacing w:val="-9"/>
          <w:w w:val="105"/>
        </w:rPr>
        <w:t> </w:t>
      </w:r>
      <w:r>
        <w:rPr>
          <w:color w:val="231F20"/>
          <w:w w:val="105"/>
        </w:rPr>
        <w:t>al</w:t>
      </w:r>
      <w:r>
        <w:rPr>
          <w:color w:val="231F20"/>
          <w:spacing w:val="-9"/>
          <w:w w:val="105"/>
        </w:rPr>
        <w:t> </w:t>
      </w:r>
      <w:r>
        <w:rPr>
          <w:color w:val="231F20"/>
          <w:w w:val="105"/>
        </w:rPr>
        <w:t>conjunto</w:t>
      </w:r>
      <w:r>
        <w:rPr>
          <w:color w:val="231F20"/>
          <w:spacing w:val="-9"/>
          <w:w w:val="105"/>
        </w:rPr>
        <w:t> </w:t>
      </w:r>
      <w:r>
        <w:rPr>
          <w:color w:val="231F20"/>
          <w:w w:val="105"/>
        </w:rPr>
        <w:t>de</w:t>
      </w:r>
      <w:r>
        <w:rPr>
          <w:color w:val="231F20"/>
          <w:spacing w:val="-9"/>
          <w:w w:val="105"/>
        </w:rPr>
        <w:t> </w:t>
      </w:r>
      <w:r>
        <w:rPr>
          <w:color w:val="231F20"/>
          <w:w w:val="105"/>
        </w:rPr>
        <w:t>normas,</w:t>
      </w:r>
      <w:r>
        <w:rPr>
          <w:color w:val="231F20"/>
          <w:spacing w:val="-14"/>
          <w:w w:val="105"/>
        </w:rPr>
        <w:t> </w:t>
      </w:r>
      <w:r>
        <w:rPr>
          <w:color w:val="231F20"/>
          <w:w w:val="105"/>
        </w:rPr>
        <w:t>reglamen- tos, políticas y programas gubernamentales que posibilitan la acumula- ción</w:t>
      </w:r>
      <w:r>
        <w:rPr>
          <w:color w:val="231F20"/>
          <w:spacing w:val="-12"/>
          <w:w w:val="105"/>
        </w:rPr>
        <w:t> </w:t>
      </w:r>
      <w:r>
        <w:rPr>
          <w:color w:val="231F20"/>
          <w:w w:val="105"/>
        </w:rPr>
        <w:t>de</w:t>
      </w:r>
      <w:r>
        <w:rPr>
          <w:color w:val="231F20"/>
          <w:spacing w:val="-12"/>
          <w:w w:val="105"/>
        </w:rPr>
        <w:t> </w:t>
      </w:r>
      <w:r>
        <w:rPr>
          <w:color w:val="231F20"/>
          <w:w w:val="105"/>
        </w:rPr>
        <w:t>conocimiento.</w:t>
      </w:r>
      <w:r>
        <w:rPr>
          <w:color w:val="231F20"/>
          <w:spacing w:val="-18"/>
          <w:w w:val="105"/>
        </w:rPr>
        <w:t> </w:t>
      </w:r>
      <w:r>
        <w:rPr>
          <w:color w:val="231F20"/>
          <w:w w:val="105"/>
        </w:rPr>
        <w:t>Este</w:t>
      </w:r>
      <w:r>
        <w:rPr>
          <w:color w:val="231F20"/>
          <w:spacing w:val="-12"/>
          <w:w w:val="105"/>
        </w:rPr>
        <w:t> </w:t>
      </w:r>
      <w:r>
        <w:rPr>
          <w:color w:val="231F20"/>
          <w:w w:val="105"/>
        </w:rPr>
        <w:t>entorno</w:t>
      </w:r>
      <w:r>
        <w:rPr>
          <w:color w:val="231F20"/>
          <w:spacing w:val="-12"/>
          <w:w w:val="105"/>
        </w:rPr>
        <w:t> </w:t>
      </w:r>
      <w:r>
        <w:rPr>
          <w:color w:val="231F20"/>
          <w:w w:val="105"/>
        </w:rPr>
        <w:t>adquiere</w:t>
      </w:r>
      <w:r>
        <w:rPr>
          <w:color w:val="231F20"/>
          <w:spacing w:val="-12"/>
          <w:w w:val="105"/>
        </w:rPr>
        <w:t> </w:t>
      </w:r>
      <w:r>
        <w:rPr>
          <w:color w:val="231F20"/>
          <w:w w:val="105"/>
        </w:rPr>
        <w:t>especial</w:t>
      </w:r>
      <w:r>
        <w:rPr>
          <w:color w:val="231F20"/>
          <w:spacing w:val="-12"/>
          <w:w w:val="105"/>
        </w:rPr>
        <w:t> </w:t>
      </w:r>
      <w:r>
        <w:rPr>
          <w:color w:val="231F20"/>
          <w:w w:val="105"/>
        </w:rPr>
        <w:t>relevancia,</w:t>
      </w:r>
      <w:r>
        <w:rPr>
          <w:color w:val="231F20"/>
          <w:spacing w:val="-18"/>
          <w:w w:val="105"/>
        </w:rPr>
        <w:t> </w:t>
      </w:r>
      <w:r>
        <w:rPr>
          <w:color w:val="231F20"/>
          <w:w w:val="105"/>
        </w:rPr>
        <w:t>ya</w:t>
      </w:r>
      <w:r>
        <w:rPr>
          <w:color w:val="231F20"/>
          <w:spacing w:val="-12"/>
          <w:w w:val="105"/>
        </w:rPr>
        <w:t> </w:t>
      </w:r>
      <w:r>
        <w:rPr>
          <w:color w:val="231F20"/>
          <w:w w:val="105"/>
        </w:rPr>
        <w:t>que las</w:t>
      </w:r>
      <w:r>
        <w:rPr>
          <w:color w:val="231F20"/>
          <w:spacing w:val="-16"/>
          <w:w w:val="105"/>
        </w:rPr>
        <w:t> </w:t>
      </w:r>
      <w:r>
        <w:rPr>
          <w:color w:val="231F20"/>
          <w:w w:val="105"/>
        </w:rPr>
        <w:t>instituciones</w:t>
      </w:r>
      <w:r>
        <w:rPr>
          <w:color w:val="231F20"/>
          <w:spacing w:val="-16"/>
          <w:w w:val="105"/>
        </w:rPr>
        <w:t> </w:t>
      </w:r>
      <w:r>
        <w:rPr>
          <w:color w:val="231F20"/>
          <w:w w:val="105"/>
        </w:rPr>
        <w:t>promueven</w:t>
      </w:r>
      <w:r>
        <w:rPr>
          <w:color w:val="231F20"/>
          <w:spacing w:val="-16"/>
          <w:w w:val="105"/>
        </w:rPr>
        <w:t> </w:t>
      </w:r>
      <w:r>
        <w:rPr>
          <w:color w:val="231F20"/>
          <w:w w:val="105"/>
        </w:rPr>
        <w:t>o</w:t>
      </w:r>
      <w:r>
        <w:rPr>
          <w:color w:val="231F20"/>
          <w:spacing w:val="-16"/>
          <w:w w:val="105"/>
        </w:rPr>
        <w:t> </w:t>
      </w:r>
      <w:r>
        <w:rPr>
          <w:color w:val="231F20"/>
          <w:w w:val="105"/>
        </w:rPr>
        <w:t>inhiben</w:t>
      </w:r>
      <w:r>
        <w:rPr>
          <w:color w:val="231F20"/>
          <w:spacing w:val="-16"/>
          <w:w w:val="105"/>
        </w:rPr>
        <w:t> </w:t>
      </w:r>
      <w:r>
        <w:rPr>
          <w:color w:val="231F20"/>
          <w:w w:val="105"/>
        </w:rPr>
        <w:t>la</w:t>
      </w:r>
      <w:r>
        <w:rPr>
          <w:color w:val="231F20"/>
          <w:spacing w:val="-16"/>
          <w:w w:val="105"/>
        </w:rPr>
        <w:t> </w:t>
      </w:r>
      <w:r>
        <w:rPr>
          <w:color w:val="231F20"/>
          <w:w w:val="105"/>
        </w:rPr>
        <w:t>consolidación</w:t>
      </w:r>
      <w:r>
        <w:rPr>
          <w:color w:val="231F20"/>
          <w:spacing w:val="-16"/>
          <w:w w:val="105"/>
        </w:rPr>
        <w:t> </w:t>
      </w:r>
      <w:r>
        <w:rPr>
          <w:color w:val="231F20"/>
          <w:w w:val="105"/>
        </w:rPr>
        <w:t>reticular.</w:t>
      </w:r>
    </w:p>
    <w:p>
      <w:pPr>
        <w:pStyle w:val="BodyText"/>
        <w:spacing w:line="259" w:lineRule="auto"/>
        <w:ind w:left="108" w:right="113" w:firstLine="567"/>
        <w:jc w:val="both"/>
      </w:pPr>
      <w:r>
        <w:rPr>
          <w:color w:val="231F20"/>
          <w:w w:val="105"/>
        </w:rPr>
        <w:t>La</w:t>
      </w:r>
      <w:r>
        <w:rPr>
          <w:color w:val="231F20"/>
          <w:spacing w:val="-23"/>
          <w:w w:val="105"/>
        </w:rPr>
        <w:t> </w:t>
      </w:r>
      <w:r>
        <w:rPr>
          <w:color w:val="231F20"/>
          <w:w w:val="105"/>
        </w:rPr>
        <w:t>dimensión</w:t>
      </w:r>
      <w:r>
        <w:rPr>
          <w:color w:val="231F20"/>
          <w:spacing w:val="-23"/>
          <w:w w:val="105"/>
        </w:rPr>
        <w:t> </w:t>
      </w:r>
      <w:r>
        <w:rPr>
          <w:color w:val="231F20"/>
          <w:w w:val="105"/>
        </w:rPr>
        <w:t>morfológica-estructural</w:t>
      </w:r>
      <w:r>
        <w:rPr>
          <w:color w:val="231F20"/>
          <w:spacing w:val="-23"/>
          <w:w w:val="105"/>
        </w:rPr>
        <w:t> </w:t>
      </w:r>
      <w:r>
        <w:rPr>
          <w:color w:val="231F20"/>
          <w:w w:val="105"/>
        </w:rPr>
        <w:t>se</w:t>
      </w:r>
      <w:r>
        <w:rPr>
          <w:color w:val="231F20"/>
          <w:spacing w:val="-23"/>
          <w:w w:val="105"/>
        </w:rPr>
        <w:t> </w:t>
      </w:r>
      <w:r>
        <w:rPr>
          <w:color w:val="231F20"/>
          <w:w w:val="105"/>
        </w:rPr>
        <w:t>divide</w:t>
      </w:r>
      <w:r>
        <w:rPr>
          <w:color w:val="231F20"/>
          <w:spacing w:val="-23"/>
          <w:w w:val="105"/>
        </w:rPr>
        <w:t> </w:t>
      </w:r>
      <w:r>
        <w:rPr>
          <w:color w:val="231F20"/>
          <w:w w:val="105"/>
        </w:rPr>
        <w:t>en</w:t>
      </w:r>
      <w:r>
        <w:rPr>
          <w:color w:val="231F20"/>
          <w:spacing w:val="-23"/>
          <w:w w:val="105"/>
        </w:rPr>
        <w:t> </w:t>
      </w:r>
      <w:r>
        <w:rPr>
          <w:color w:val="231F20"/>
          <w:w w:val="105"/>
        </w:rPr>
        <w:t>estos</w:t>
      </w:r>
      <w:r>
        <w:rPr>
          <w:color w:val="231F20"/>
          <w:spacing w:val="-23"/>
          <w:w w:val="105"/>
        </w:rPr>
        <w:t> </w:t>
      </w:r>
      <w:r>
        <w:rPr>
          <w:color w:val="231F20"/>
          <w:w w:val="105"/>
        </w:rPr>
        <w:t>dos</w:t>
      </w:r>
      <w:r>
        <w:rPr>
          <w:color w:val="231F20"/>
          <w:spacing w:val="-23"/>
          <w:w w:val="105"/>
        </w:rPr>
        <w:t> </w:t>
      </w:r>
      <w:r>
        <w:rPr>
          <w:color w:val="231F20"/>
          <w:w w:val="105"/>
        </w:rPr>
        <w:t>aspec- tos.</w:t>
      </w:r>
      <w:r>
        <w:rPr>
          <w:color w:val="231F20"/>
          <w:spacing w:val="-12"/>
          <w:w w:val="105"/>
        </w:rPr>
        <w:t> </w:t>
      </w:r>
      <w:r>
        <w:rPr>
          <w:color w:val="231F20"/>
          <w:w w:val="105"/>
        </w:rPr>
        <w:t>El</w:t>
      </w:r>
      <w:r>
        <w:rPr>
          <w:color w:val="231F20"/>
          <w:spacing w:val="-5"/>
          <w:w w:val="105"/>
        </w:rPr>
        <w:t> </w:t>
      </w:r>
      <w:r>
        <w:rPr>
          <w:color w:val="231F20"/>
          <w:w w:val="105"/>
        </w:rPr>
        <w:t>morfológico</w:t>
      </w:r>
      <w:r>
        <w:rPr>
          <w:color w:val="231F20"/>
          <w:spacing w:val="-5"/>
          <w:w w:val="105"/>
        </w:rPr>
        <w:t> </w:t>
      </w:r>
      <w:r>
        <w:rPr>
          <w:color w:val="231F20"/>
          <w:w w:val="105"/>
        </w:rPr>
        <w:t>se</w:t>
      </w:r>
      <w:r>
        <w:rPr>
          <w:color w:val="231F20"/>
          <w:spacing w:val="-5"/>
          <w:w w:val="105"/>
        </w:rPr>
        <w:t> </w:t>
      </w:r>
      <w:r>
        <w:rPr>
          <w:color w:val="231F20"/>
          <w:w w:val="105"/>
        </w:rPr>
        <w:t>refiere</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conformación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red</w:t>
      </w:r>
      <w:r>
        <w:rPr>
          <w:color w:val="231F20"/>
          <w:spacing w:val="-5"/>
          <w:w w:val="105"/>
        </w:rPr>
        <w:t> </w:t>
      </w:r>
      <w:r>
        <w:rPr>
          <w:color w:val="231F20"/>
          <w:w w:val="105"/>
        </w:rPr>
        <w:t>en</w:t>
      </w:r>
      <w:r>
        <w:rPr>
          <w:color w:val="231F20"/>
          <w:spacing w:val="-5"/>
          <w:w w:val="105"/>
        </w:rPr>
        <w:t> </w:t>
      </w:r>
      <w:r>
        <w:rPr>
          <w:color w:val="231F20"/>
          <w:w w:val="105"/>
        </w:rPr>
        <w:t>términos</w:t>
      </w:r>
      <w:r>
        <w:rPr>
          <w:color w:val="231F20"/>
          <w:spacing w:val="-5"/>
          <w:w w:val="105"/>
        </w:rPr>
        <w:t> </w:t>
      </w:r>
      <w:r>
        <w:rPr>
          <w:color w:val="231F20"/>
          <w:w w:val="105"/>
        </w:rPr>
        <w:t>de tamaño, tipo de actor y diferenciación entre actores centrales y periféri- cos. El estructural define ciertos mecanismos de control (confianza,</w:t>
      </w:r>
      <w:r>
        <w:rPr>
          <w:color w:val="231F20"/>
          <w:spacing w:val="-15"/>
          <w:w w:val="105"/>
        </w:rPr>
        <w:t> </w:t>
      </w:r>
      <w:r>
        <w:rPr>
          <w:color w:val="231F20"/>
          <w:w w:val="105"/>
        </w:rPr>
        <w:t>tra- ducción, negociación y deliberación) que fundamentan el entramado</w:t>
      </w:r>
      <w:r>
        <w:rPr>
          <w:color w:val="231F20"/>
          <w:spacing w:val="-17"/>
          <w:w w:val="105"/>
        </w:rPr>
        <w:t> </w:t>
      </w:r>
      <w:r>
        <w:rPr>
          <w:color w:val="231F20"/>
          <w:w w:val="105"/>
        </w:rPr>
        <w:t>de relaciones</w:t>
      </w:r>
      <w:r>
        <w:rPr>
          <w:color w:val="231F20"/>
          <w:spacing w:val="-34"/>
          <w:w w:val="105"/>
        </w:rPr>
        <w:t> </w:t>
      </w:r>
      <w:r>
        <w:rPr>
          <w:color w:val="231F20"/>
          <w:w w:val="105"/>
        </w:rPr>
        <w:t>entre</w:t>
      </w:r>
      <w:r>
        <w:rPr>
          <w:color w:val="231F20"/>
          <w:spacing w:val="-34"/>
          <w:w w:val="105"/>
        </w:rPr>
        <w:t> </w:t>
      </w:r>
      <w:r>
        <w:rPr>
          <w:color w:val="231F20"/>
          <w:w w:val="105"/>
        </w:rPr>
        <w:t>los</w:t>
      </w:r>
      <w:r>
        <w:rPr>
          <w:color w:val="231F20"/>
          <w:spacing w:val="-34"/>
          <w:w w:val="105"/>
        </w:rPr>
        <w:t> </w:t>
      </w:r>
      <w:r>
        <w:rPr>
          <w:color w:val="231F20"/>
          <w:w w:val="105"/>
        </w:rPr>
        <w:t>actores</w:t>
      </w:r>
      <w:r>
        <w:rPr>
          <w:color w:val="231F20"/>
          <w:spacing w:val="-34"/>
          <w:w w:val="105"/>
        </w:rPr>
        <w:t> </w:t>
      </w:r>
      <w:r>
        <w:rPr>
          <w:color w:val="231F20"/>
          <w:w w:val="105"/>
        </w:rPr>
        <w:t>reticulares.</w:t>
      </w:r>
    </w:p>
    <w:p>
      <w:pPr>
        <w:pStyle w:val="BodyText"/>
        <w:spacing w:line="259" w:lineRule="auto"/>
        <w:ind w:left="108" w:right="113" w:firstLine="567"/>
        <w:jc w:val="both"/>
      </w:pPr>
      <w:r>
        <w:rPr>
          <w:color w:val="231F20"/>
          <w:w w:val="105"/>
        </w:rPr>
        <w:t>La dimensión dinámica precisa el movimiento entre los agentes a través de la direccionalidad, la durabilidad, la intensidad y la frecuencia del conjunto de interacciones.</w:t>
      </w:r>
    </w:p>
    <w:p>
      <w:pPr>
        <w:pStyle w:val="BodyText"/>
        <w:spacing w:line="259" w:lineRule="auto"/>
        <w:ind w:left="108" w:right="113" w:firstLine="567"/>
        <w:jc w:val="both"/>
      </w:pPr>
      <w:r>
        <w:rPr>
          <w:color w:val="231F20"/>
          <w:w w:val="105"/>
        </w:rPr>
        <w:t>La</w:t>
      </w:r>
      <w:r>
        <w:rPr>
          <w:color w:val="231F20"/>
          <w:spacing w:val="-10"/>
          <w:w w:val="105"/>
        </w:rPr>
        <w:t> </w:t>
      </w:r>
      <w:r>
        <w:rPr>
          <w:color w:val="231F20"/>
          <w:w w:val="105"/>
        </w:rPr>
        <w:t>dimensión</w:t>
      </w:r>
      <w:r>
        <w:rPr>
          <w:color w:val="231F20"/>
          <w:spacing w:val="-10"/>
          <w:w w:val="105"/>
        </w:rPr>
        <w:t> </w:t>
      </w:r>
      <w:r>
        <w:rPr>
          <w:color w:val="231F20"/>
          <w:w w:val="105"/>
        </w:rPr>
        <w:t>contenido</w:t>
      </w:r>
      <w:r>
        <w:rPr>
          <w:color w:val="231F20"/>
          <w:spacing w:val="-10"/>
          <w:w w:val="105"/>
        </w:rPr>
        <w:t> </w:t>
      </w:r>
      <w:r>
        <w:rPr>
          <w:color w:val="231F20"/>
          <w:w w:val="105"/>
        </w:rPr>
        <w:t>describe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intercambiados</w:t>
      </w:r>
      <w:r>
        <w:rPr>
          <w:color w:val="231F20"/>
          <w:spacing w:val="-10"/>
          <w:w w:val="105"/>
        </w:rPr>
        <w:t> </w:t>
      </w:r>
      <w:r>
        <w:rPr>
          <w:color w:val="231F20"/>
          <w:w w:val="105"/>
        </w:rPr>
        <w:t>reti- cularmente.</w:t>
      </w:r>
      <w:r>
        <w:rPr>
          <w:color w:val="231F20"/>
          <w:spacing w:val="-20"/>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red</w:t>
      </w:r>
      <w:r>
        <w:rPr>
          <w:color w:val="231F20"/>
          <w:spacing w:val="-13"/>
          <w:w w:val="105"/>
        </w:rPr>
        <w:t> </w:t>
      </w:r>
      <w:r>
        <w:rPr>
          <w:color w:val="231F20"/>
          <w:w w:val="105"/>
        </w:rPr>
        <w:t>cognitiva,</w:t>
      </w:r>
      <w:r>
        <w:rPr>
          <w:color w:val="231F20"/>
          <w:spacing w:val="-20"/>
          <w:w w:val="105"/>
        </w:rPr>
        <w:t> </w:t>
      </w:r>
      <w:r>
        <w:rPr>
          <w:color w:val="231F20"/>
          <w:w w:val="105"/>
        </w:rPr>
        <w:t>el</w:t>
      </w:r>
      <w:r>
        <w:rPr>
          <w:color w:val="231F20"/>
          <w:spacing w:val="-13"/>
          <w:w w:val="105"/>
        </w:rPr>
        <w:t> </w:t>
      </w:r>
      <w:r>
        <w:rPr>
          <w:color w:val="231F20"/>
          <w:w w:val="105"/>
        </w:rPr>
        <w:t>principal</w:t>
      </w:r>
      <w:r>
        <w:rPr>
          <w:color w:val="231F20"/>
          <w:spacing w:val="-13"/>
          <w:w w:val="105"/>
        </w:rPr>
        <w:t> </w:t>
      </w:r>
      <w:r>
        <w:rPr>
          <w:color w:val="231F20"/>
          <w:w w:val="105"/>
        </w:rPr>
        <w:t>factor</w:t>
      </w:r>
      <w:r>
        <w:rPr>
          <w:color w:val="231F20"/>
          <w:spacing w:val="-13"/>
          <w:w w:val="105"/>
        </w:rPr>
        <w:t> </w:t>
      </w:r>
      <w:r>
        <w:rPr>
          <w:color w:val="231F20"/>
          <w:w w:val="105"/>
        </w:rPr>
        <w:t>es</w:t>
      </w:r>
      <w:r>
        <w:rPr>
          <w:color w:val="231F20"/>
          <w:spacing w:val="-13"/>
          <w:w w:val="105"/>
        </w:rPr>
        <w:t> </w:t>
      </w:r>
      <w:r>
        <w:rPr>
          <w:color w:val="231F20"/>
          <w:w w:val="105"/>
        </w:rPr>
        <w:t>el</w:t>
      </w:r>
      <w:r>
        <w:rPr>
          <w:color w:val="231F20"/>
          <w:spacing w:val="-13"/>
          <w:w w:val="105"/>
        </w:rPr>
        <w:t> </w:t>
      </w:r>
      <w:r>
        <w:rPr>
          <w:color w:val="231F20"/>
          <w:w w:val="105"/>
        </w:rPr>
        <w:t>conocimiento.</w:t>
      </w:r>
    </w:p>
    <w:p>
      <w:pPr>
        <w:pStyle w:val="BodyText"/>
        <w:spacing w:line="259" w:lineRule="auto"/>
        <w:ind w:left="108" w:right="113" w:firstLine="567"/>
        <w:jc w:val="both"/>
      </w:pPr>
      <w:r>
        <w:rPr>
          <w:color w:val="231F20"/>
          <w:w w:val="105"/>
        </w:rPr>
        <w:t>La</w:t>
      </w:r>
      <w:r>
        <w:rPr>
          <w:color w:val="231F20"/>
          <w:spacing w:val="-11"/>
          <w:w w:val="105"/>
        </w:rPr>
        <w:t> </w:t>
      </w:r>
      <w:r>
        <w:rPr>
          <w:color w:val="231F20"/>
          <w:w w:val="105"/>
        </w:rPr>
        <w:t>quinta</w:t>
      </w:r>
      <w:r>
        <w:rPr>
          <w:color w:val="231F20"/>
          <w:spacing w:val="-11"/>
          <w:w w:val="105"/>
        </w:rPr>
        <w:t> </w:t>
      </w:r>
      <w:r>
        <w:rPr>
          <w:color w:val="231F20"/>
          <w:w w:val="105"/>
        </w:rPr>
        <w:t>y</w:t>
      </w:r>
      <w:r>
        <w:rPr>
          <w:color w:val="231F20"/>
          <w:spacing w:val="-11"/>
          <w:w w:val="105"/>
        </w:rPr>
        <w:t> </w:t>
      </w:r>
      <w:r>
        <w:rPr>
          <w:color w:val="231F20"/>
          <w:w w:val="105"/>
        </w:rPr>
        <w:t>última</w:t>
      </w:r>
      <w:r>
        <w:rPr>
          <w:color w:val="231F20"/>
          <w:spacing w:val="-11"/>
          <w:w w:val="105"/>
        </w:rPr>
        <w:t> </w:t>
      </w:r>
      <w:r>
        <w:rPr>
          <w:color w:val="231F20"/>
          <w:w w:val="105"/>
        </w:rPr>
        <w:t>dimensión</w:t>
      </w:r>
      <w:r>
        <w:rPr>
          <w:color w:val="231F20"/>
          <w:spacing w:val="-11"/>
          <w:w w:val="105"/>
        </w:rPr>
        <w:t> </w:t>
      </w:r>
      <w:r>
        <w:rPr>
          <w:color w:val="231F20"/>
          <w:w w:val="105"/>
        </w:rPr>
        <w:t>define</w:t>
      </w:r>
      <w:r>
        <w:rPr>
          <w:color w:val="231F20"/>
          <w:spacing w:val="-11"/>
          <w:w w:val="105"/>
        </w:rPr>
        <w:t> </w:t>
      </w:r>
      <w:r>
        <w:rPr>
          <w:color w:val="231F20"/>
          <w:w w:val="105"/>
        </w:rPr>
        <w:t>el</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resultados</w:t>
      </w:r>
      <w:r>
        <w:rPr>
          <w:color w:val="231F20"/>
          <w:spacing w:val="-11"/>
          <w:w w:val="105"/>
        </w:rPr>
        <w:t> </w:t>
      </w:r>
      <w:r>
        <w:rPr>
          <w:color w:val="231F20"/>
          <w:w w:val="105"/>
        </w:rPr>
        <w:t>obtenidos mediante el intercambio de conocimiento en términos de formación de capital</w:t>
      </w:r>
      <w:r>
        <w:rPr>
          <w:color w:val="231F20"/>
          <w:spacing w:val="-10"/>
          <w:w w:val="105"/>
        </w:rPr>
        <w:t> </w:t>
      </w:r>
      <w:r>
        <w:rPr>
          <w:color w:val="231F20"/>
          <w:w w:val="105"/>
        </w:rPr>
        <w:t>humano,</w:t>
      </w:r>
      <w:r>
        <w:rPr>
          <w:color w:val="231F20"/>
          <w:spacing w:val="-16"/>
          <w:w w:val="105"/>
        </w:rPr>
        <w:t> </w:t>
      </w:r>
      <w:r>
        <w:rPr>
          <w:color w:val="231F20"/>
          <w:w w:val="105"/>
        </w:rPr>
        <w:t>generación</w:t>
      </w:r>
      <w:r>
        <w:rPr>
          <w:color w:val="231F20"/>
          <w:spacing w:val="-10"/>
          <w:w w:val="105"/>
        </w:rPr>
        <w:t> </w:t>
      </w:r>
      <w:r>
        <w:rPr>
          <w:color w:val="231F20"/>
          <w:w w:val="105"/>
        </w:rPr>
        <w:t>de</w:t>
      </w:r>
      <w:r>
        <w:rPr>
          <w:color w:val="231F20"/>
          <w:spacing w:val="-10"/>
          <w:w w:val="105"/>
        </w:rPr>
        <w:t> </w:t>
      </w:r>
      <w:r>
        <w:rPr>
          <w:color w:val="231F20"/>
          <w:w w:val="105"/>
        </w:rPr>
        <w:t>nuevo</w:t>
      </w:r>
      <w:r>
        <w:rPr>
          <w:color w:val="231F20"/>
          <w:spacing w:val="-10"/>
          <w:w w:val="105"/>
        </w:rPr>
        <w:t> </w:t>
      </w:r>
      <w:r>
        <w:rPr>
          <w:color w:val="231F20"/>
          <w:w w:val="105"/>
        </w:rPr>
        <w:t>conocimiento,</w:t>
      </w:r>
      <w:r>
        <w:rPr>
          <w:color w:val="231F20"/>
          <w:spacing w:val="-16"/>
          <w:w w:val="105"/>
        </w:rPr>
        <w:t> </w:t>
      </w:r>
      <w:r>
        <w:rPr>
          <w:color w:val="231F20"/>
          <w:w w:val="105"/>
        </w:rPr>
        <w:t>mejoras</w:t>
      </w:r>
      <w:r>
        <w:rPr>
          <w:color w:val="231F20"/>
          <w:spacing w:val="-10"/>
          <w:w w:val="105"/>
        </w:rPr>
        <w:t> </w:t>
      </w:r>
      <w:r>
        <w:rPr>
          <w:color w:val="231F20"/>
          <w:w w:val="105"/>
        </w:rPr>
        <w:t>de</w:t>
      </w:r>
      <w:r>
        <w:rPr>
          <w:color w:val="231F20"/>
          <w:spacing w:val="-10"/>
          <w:w w:val="105"/>
        </w:rPr>
        <w:t> </w:t>
      </w:r>
      <w:r>
        <w:rPr>
          <w:color w:val="231F20"/>
          <w:w w:val="105"/>
        </w:rPr>
        <w:t>produc- tos</w:t>
      </w:r>
      <w:r>
        <w:rPr>
          <w:color w:val="231F20"/>
          <w:spacing w:val="-38"/>
          <w:w w:val="105"/>
        </w:rPr>
        <w:t> </w:t>
      </w:r>
      <w:r>
        <w:rPr>
          <w:color w:val="231F20"/>
          <w:w w:val="105"/>
        </w:rPr>
        <w:t>y</w:t>
      </w:r>
      <w:r>
        <w:rPr>
          <w:color w:val="231F20"/>
          <w:spacing w:val="-38"/>
          <w:w w:val="105"/>
        </w:rPr>
        <w:t> </w:t>
      </w:r>
      <w:r>
        <w:rPr>
          <w:color w:val="231F20"/>
          <w:w w:val="105"/>
        </w:rPr>
        <w:t>procesos,</w:t>
      </w:r>
      <w:r>
        <w:rPr>
          <w:color w:val="231F20"/>
          <w:spacing w:val="-42"/>
          <w:w w:val="105"/>
        </w:rPr>
        <w:t> </w:t>
      </w:r>
      <w:r>
        <w:rPr>
          <w:color w:val="231F20"/>
          <w:w w:val="105"/>
        </w:rPr>
        <w:t>creación</w:t>
      </w:r>
      <w:r>
        <w:rPr>
          <w:color w:val="231F20"/>
          <w:spacing w:val="-38"/>
          <w:w w:val="105"/>
        </w:rPr>
        <w:t> </w:t>
      </w:r>
      <w:r>
        <w:rPr>
          <w:color w:val="231F20"/>
          <w:w w:val="105"/>
        </w:rPr>
        <w:t>de</w:t>
      </w:r>
      <w:r>
        <w:rPr>
          <w:color w:val="231F20"/>
          <w:spacing w:val="-38"/>
          <w:w w:val="105"/>
        </w:rPr>
        <w:t> </w:t>
      </w:r>
      <w:r>
        <w:rPr>
          <w:color w:val="231F20"/>
          <w:w w:val="105"/>
        </w:rPr>
        <w:t>nuevas</w:t>
      </w:r>
      <w:r>
        <w:rPr>
          <w:color w:val="231F20"/>
          <w:spacing w:val="-38"/>
          <w:w w:val="105"/>
        </w:rPr>
        <w:t> </w:t>
      </w:r>
      <w:r>
        <w:rPr>
          <w:color w:val="231F20"/>
          <w:w w:val="105"/>
        </w:rPr>
        <w:t>empresas</w:t>
      </w:r>
      <w:r>
        <w:rPr>
          <w:color w:val="231F20"/>
          <w:spacing w:val="-38"/>
          <w:w w:val="105"/>
        </w:rPr>
        <w:t> </w:t>
      </w:r>
      <w:r>
        <w:rPr>
          <w:color w:val="231F20"/>
          <w:w w:val="105"/>
        </w:rPr>
        <w:t>y</w:t>
      </w:r>
      <w:r>
        <w:rPr>
          <w:color w:val="231F20"/>
          <w:spacing w:val="-38"/>
          <w:w w:val="105"/>
        </w:rPr>
        <w:t> </w:t>
      </w:r>
      <w:r>
        <w:rPr>
          <w:color w:val="231F20"/>
          <w:w w:val="105"/>
        </w:rPr>
        <w:t>nuevas</w:t>
      </w:r>
      <w:r>
        <w:rPr>
          <w:color w:val="231F20"/>
          <w:spacing w:val="-38"/>
          <w:w w:val="105"/>
        </w:rPr>
        <w:t> </w:t>
      </w:r>
      <w:r>
        <w:rPr>
          <w:color w:val="231F20"/>
          <w:w w:val="105"/>
        </w:rPr>
        <w:t>competencias</w:t>
      </w:r>
      <w:r>
        <w:rPr>
          <w:color w:val="231F20"/>
          <w:spacing w:val="-38"/>
          <w:w w:val="105"/>
        </w:rPr>
        <w:t> </w:t>
      </w:r>
      <w:r>
        <w:rPr>
          <w:color w:val="231F20"/>
          <w:w w:val="105"/>
        </w:rPr>
        <w:t>edu- </w:t>
      </w:r>
      <w:r>
        <w:rPr>
          <w:color w:val="231F20"/>
        </w:rPr>
        <w:t>cacionales, entre</w:t>
      </w:r>
      <w:r>
        <w:rPr>
          <w:color w:val="231F20"/>
          <w:spacing w:val="12"/>
        </w:rPr>
        <w:t> </w:t>
      </w:r>
      <w:r>
        <w:rPr>
          <w:color w:val="231F20"/>
        </w:rPr>
        <w:t>otras.</w:t>
      </w:r>
    </w:p>
    <w:p>
      <w:pPr>
        <w:pStyle w:val="BodyText"/>
        <w:spacing w:line="259" w:lineRule="auto"/>
        <w:ind w:left="108" w:right="113" w:firstLine="567"/>
        <w:jc w:val="both"/>
      </w:pPr>
      <w:r>
        <w:rPr>
          <w:color w:val="231F20"/>
          <w:w w:val="105"/>
        </w:rPr>
        <w:t>Los</w:t>
      </w:r>
      <w:r>
        <w:rPr>
          <w:color w:val="231F20"/>
          <w:spacing w:val="-20"/>
          <w:w w:val="105"/>
        </w:rPr>
        <w:t> </w:t>
      </w:r>
      <w:r>
        <w:rPr>
          <w:color w:val="231F20"/>
          <w:w w:val="105"/>
        </w:rPr>
        <w:t>estudios</w:t>
      </w:r>
      <w:r>
        <w:rPr>
          <w:color w:val="231F20"/>
          <w:spacing w:val="-20"/>
          <w:w w:val="105"/>
        </w:rPr>
        <w:t> </w:t>
      </w:r>
      <w:r>
        <w:rPr>
          <w:color w:val="231F20"/>
          <w:w w:val="105"/>
        </w:rPr>
        <w:t>de</w:t>
      </w:r>
      <w:r>
        <w:rPr>
          <w:color w:val="231F20"/>
          <w:spacing w:val="-20"/>
          <w:w w:val="105"/>
        </w:rPr>
        <w:t> </w:t>
      </w:r>
      <w:r>
        <w:rPr>
          <w:color w:val="231F20"/>
          <w:w w:val="105"/>
        </w:rPr>
        <w:t>Luna</w:t>
      </w:r>
      <w:r>
        <w:rPr>
          <w:color w:val="231F20"/>
          <w:spacing w:val="-20"/>
          <w:w w:val="105"/>
        </w:rPr>
        <w:t> </w:t>
      </w:r>
      <w:r>
        <w:rPr>
          <w:color w:val="231F20"/>
          <w:w w:val="105"/>
        </w:rPr>
        <w:t>y</w:t>
      </w:r>
      <w:r>
        <w:rPr>
          <w:color w:val="231F20"/>
          <w:spacing w:val="-23"/>
          <w:w w:val="105"/>
        </w:rPr>
        <w:t> </w:t>
      </w:r>
      <w:r>
        <w:rPr>
          <w:color w:val="231F20"/>
          <w:w w:val="105"/>
        </w:rPr>
        <w:t>Velasco</w:t>
      </w:r>
      <w:r>
        <w:rPr>
          <w:color w:val="231F20"/>
          <w:spacing w:val="-20"/>
          <w:w w:val="105"/>
        </w:rPr>
        <w:t> </w:t>
      </w:r>
      <w:r>
        <w:rPr>
          <w:color w:val="231F20"/>
          <w:w w:val="105"/>
        </w:rPr>
        <w:t>(2003;</w:t>
      </w:r>
      <w:r>
        <w:rPr>
          <w:color w:val="231F20"/>
          <w:spacing w:val="-20"/>
          <w:w w:val="105"/>
        </w:rPr>
        <w:t> </w:t>
      </w:r>
      <w:r>
        <w:rPr>
          <w:color w:val="231F20"/>
          <w:w w:val="105"/>
        </w:rPr>
        <w:t>2006)</w:t>
      </w:r>
      <w:r>
        <w:rPr>
          <w:color w:val="231F20"/>
          <w:spacing w:val="-20"/>
          <w:w w:val="105"/>
        </w:rPr>
        <w:t> </w:t>
      </w:r>
      <w:r>
        <w:rPr>
          <w:color w:val="231F20"/>
          <w:w w:val="105"/>
        </w:rPr>
        <w:t>son</w:t>
      </w:r>
      <w:r>
        <w:rPr>
          <w:color w:val="231F20"/>
          <w:spacing w:val="-20"/>
          <w:w w:val="105"/>
        </w:rPr>
        <w:t> </w:t>
      </w:r>
      <w:r>
        <w:rPr>
          <w:color w:val="231F20"/>
          <w:w w:val="105"/>
        </w:rPr>
        <w:t>complementarios al</w:t>
      </w:r>
      <w:r>
        <w:rPr>
          <w:color w:val="231F20"/>
          <w:spacing w:val="-20"/>
          <w:w w:val="105"/>
        </w:rPr>
        <w:t> </w:t>
      </w:r>
      <w:r>
        <w:rPr>
          <w:color w:val="231F20"/>
          <w:w w:val="105"/>
        </w:rPr>
        <w:t>precedente,</w:t>
      </w:r>
      <w:r>
        <w:rPr>
          <w:color w:val="231F20"/>
          <w:spacing w:val="-26"/>
          <w:w w:val="105"/>
        </w:rPr>
        <w:t> </w:t>
      </w:r>
      <w:r>
        <w:rPr>
          <w:color w:val="231F20"/>
          <w:w w:val="105"/>
        </w:rPr>
        <w:t>ya</w:t>
      </w:r>
      <w:r>
        <w:rPr>
          <w:color w:val="231F20"/>
          <w:spacing w:val="-20"/>
          <w:w w:val="105"/>
        </w:rPr>
        <w:t> </w:t>
      </w:r>
      <w:r>
        <w:rPr>
          <w:color w:val="231F20"/>
          <w:w w:val="105"/>
        </w:rPr>
        <w:t>que</w:t>
      </w:r>
      <w:r>
        <w:rPr>
          <w:color w:val="231F20"/>
          <w:spacing w:val="-20"/>
          <w:w w:val="105"/>
        </w:rPr>
        <w:t> </w:t>
      </w:r>
      <w:r>
        <w:rPr>
          <w:color w:val="231F20"/>
          <w:w w:val="105"/>
        </w:rPr>
        <w:t>enfatizan</w:t>
      </w:r>
      <w:r>
        <w:rPr>
          <w:color w:val="231F20"/>
          <w:spacing w:val="-20"/>
          <w:w w:val="105"/>
        </w:rPr>
        <w:t> </w:t>
      </w:r>
      <w:r>
        <w:rPr>
          <w:color w:val="231F20"/>
          <w:w w:val="105"/>
        </w:rPr>
        <w:t>sobre</w:t>
      </w:r>
      <w:r>
        <w:rPr>
          <w:color w:val="231F20"/>
          <w:spacing w:val="-20"/>
          <w:w w:val="105"/>
        </w:rPr>
        <w:t> </w:t>
      </w:r>
      <w:r>
        <w:rPr>
          <w:color w:val="231F20"/>
          <w:w w:val="105"/>
        </w:rPr>
        <w:t>los</w:t>
      </w:r>
      <w:r>
        <w:rPr>
          <w:color w:val="231F20"/>
          <w:spacing w:val="-20"/>
          <w:w w:val="105"/>
        </w:rPr>
        <w:t> </w:t>
      </w:r>
      <w:r>
        <w:rPr>
          <w:color w:val="231F20"/>
          <w:w w:val="105"/>
        </w:rPr>
        <w:t>mecanismos</w:t>
      </w:r>
      <w:r>
        <w:rPr>
          <w:color w:val="231F20"/>
          <w:spacing w:val="-20"/>
          <w:w w:val="105"/>
        </w:rPr>
        <w:t> </w:t>
      </w:r>
      <w:r>
        <w:rPr>
          <w:color w:val="231F20"/>
          <w:w w:val="105"/>
        </w:rPr>
        <w:t>de</w:t>
      </w:r>
      <w:r>
        <w:rPr>
          <w:color w:val="231F20"/>
          <w:spacing w:val="-20"/>
          <w:w w:val="105"/>
        </w:rPr>
        <w:t> </w:t>
      </w:r>
      <w:r>
        <w:rPr>
          <w:color w:val="231F20"/>
          <w:w w:val="105"/>
        </w:rPr>
        <w:t>integración,</w:t>
      </w:r>
      <w:r>
        <w:rPr>
          <w:color w:val="231F20"/>
          <w:spacing w:val="-26"/>
          <w:w w:val="105"/>
        </w:rPr>
        <w:t> </w:t>
      </w:r>
      <w:r>
        <w:rPr>
          <w:color w:val="231F20"/>
          <w:w w:val="105"/>
        </w:rPr>
        <w:t>los cuales</w:t>
      </w:r>
      <w:r>
        <w:rPr>
          <w:color w:val="231F20"/>
          <w:spacing w:val="-8"/>
          <w:w w:val="105"/>
        </w:rPr>
        <w:t> </w:t>
      </w:r>
      <w:r>
        <w:rPr>
          <w:color w:val="231F20"/>
          <w:w w:val="105"/>
        </w:rPr>
        <w:t>pueden</w:t>
      </w:r>
      <w:r>
        <w:rPr>
          <w:color w:val="231F20"/>
          <w:spacing w:val="-8"/>
          <w:w w:val="105"/>
        </w:rPr>
        <w:t> </w:t>
      </w:r>
      <w:r>
        <w:rPr>
          <w:color w:val="231F20"/>
          <w:w w:val="105"/>
        </w:rPr>
        <w:t>equipararse</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dimensión</w:t>
      </w:r>
      <w:r>
        <w:rPr>
          <w:color w:val="231F20"/>
          <w:spacing w:val="-8"/>
          <w:w w:val="105"/>
        </w:rPr>
        <w:t> </w:t>
      </w:r>
      <w:r>
        <w:rPr>
          <w:color w:val="231F20"/>
          <w:w w:val="105"/>
        </w:rPr>
        <w:t>estructural</w:t>
      </w:r>
      <w:r>
        <w:rPr>
          <w:color w:val="231F20"/>
          <w:spacing w:val="-8"/>
          <w:w w:val="105"/>
        </w:rPr>
        <w:t> </w:t>
      </w:r>
      <w:r>
        <w:rPr>
          <w:color w:val="231F20"/>
          <w:w w:val="105"/>
        </w:rPr>
        <w:t>aludida</w:t>
      </w:r>
      <w:r>
        <w:rPr>
          <w:color w:val="231F20"/>
          <w:spacing w:val="-8"/>
          <w:w w:val="105"/>
        </w:rPr>
        <w:t> </w:t>
      </w:r>
      <w:r>
        <w:rPr>
          <w:color w:val="231F20"/>
          <w:w w:val="105"/>
        </w:rPr>
        <w:t>por</w:t>
      </w:r>
      <w:r>
        <w:rPr>
          <w:color w:val="231F20"/>
          <w:spacing w:val="-8"/>
          <w:w w:val="105"/>
        </w:rPr>
        <w:t> </w:t>
      </w:r>
      <w:r>
        <w:rPr>
          <w:color w:val="231F20"/>
          <w:w w:val="105"/>
        </w:rPr>
        <w:t>Ca- sas</w:t>
      </w:r>
      <w:r>
        <w:rPr>
          <w:color w:val="231F20"/>
          <w:spacing w:val="-25"/>
          <w:w w:val="105"/>
        </w:rPr>
        <w:t> </w:t>
      </w:r>
      <w:r>
        <w:rPr>
          <w:color w:val="231F20"/>
          <w:w w:val="105"/>
        </w:rPr>
        <w:t>(2001</w:t>
      </w:r>
      <w:r>
        <w:rPr>
          <w:color w:val="231F20"/>
          <w:spacing w:val="-25"/>
          <w:w w:val="105"/>
        </w:rPr>
        <w:t> </w:t>
      </w:r>
      <w:r>
        <w:rPr>
          <w:color w:val="231F20"/>
          <w:w w:val="105"/>
        </w:rPr>
        <w:t>y</w:t>
      </w:r>
      <w:r>
        <w:rPr>
          <w:color w:val="231F20"/>
          <w:spacing w:val="-25"/>
          <w:w w:val="105"/>
        </w:rPr>
        <w:t> </w:t>
      </w:r>
      <w:r>
        <w:rPr>
          <w:color w:val="231F20"/>
          <w:w w:val="105"/>
        </w:rPr>
        <w:t>2003).</w:t>
      </w:r>
      <w:r>
        <w:rPr>
          <w:color w:val="231F20"/>
          <w:spacing w:val="-30"/>
          <w:w w:val="105"/>
        </w:rPr>
        <w:t> </w:t>
      </w:r>
      <w:r>
        <w:rPr>
          <w:color w:val="231F20"/>
          <w:w w:val="105"/>
        </w:rPr>
        <w:t>En</w:t>
      </w:r>
      <w:r>
        <w:rPr>
          <w:color w:val="231F20"/>
          <w:spacing w:val="-25"/>
          <w:w w:val="105"/>
        </w:rPr>
        <w:t> </w:t>
      </w:r>
      <w:r>
        <w:rPr>
          <w:color w:val="231F20"/>
          <w:w w:val="105"/>
        </w:rPr>
        <w:t>particular,</w:t>
      </w:r>
      <w:r>
        <w:rPr>
          <w:color w:val="231F20"/>
          <w:spacing w:val="-30"/>
          <w:w w:val="105"/>
        </w:rPr>
        <w:t> </w:t>
      </w:r>
      <w:r>
        <w:rPr>
          <w:color w:val="231F20"/>
          <w:w w:val="105"/>
        </w:rPr>
        <w:t>señalan</w:t>
      </w:r>
      <w:r>
        <w:rPr>
          <w:color w:val="231F20"/>
          <w:spacing w:val="-25"/>
          <w:w w:val="105"/>
        </w:rPr>
        <w:t> </w:t>
      </w:r>
      <w:r>
        <w:rPr>
          <w:color w:val="231F20"/>
          <w:w w:val="105"/>
        </w:rPr>
        <w:t>que</w:t>
      </w:r>
      <w:r>
        <w:rPr>
          <w:color w:val="231F20"/>
          <w:spacing w:val="-25"/>
          <w:w w:val="105"/>
        </w:rPr>
        <w:t> </w:t>
      </w:r>
      <w:r>
        <w:rPr>
          <w:color w:val="231F20"/>
          <w:w w:val="105"/>
        </w:rPr>
        <w:t>tales</w:t>
      </w:r>
      <w:r>
        <w:rPr>
          <w:color w:val="231F20"/>
          <w:spacing w:val="-25"/>
          <w:w w:val="105"/>
        </w:rPr>
        <w:t> </w:t>
      </w:r>
      <w:r>
        <w:rPr>
          <w:color w:val="231F20"/>
          <w:w w:val="105"/>
        </w:rPr>
        <w:t>mecanismos</w:t>
      </w:r>
      <w:r>
        <w:rPr>
          <w:color w:val="231F20"/>
          <w:spacing w:val="-25"/>
          <w:w w:val="105"/>
        </w:rPr>
        <w:t> </w:t>
      </w:r>
      <w:r>
        <w:rPr>
          <w:color w:val="231F20"/>
          <w:w w:val="105"/>
        </w:rPr>
        <w:t>están</w:t>
      </w:r>
      <w:r>
        <w:rPr>
          <w:color w:val="231F20"/>
          <w:spacing w:val="-25"/>
          <w:w w:val="105"/>
        </w:rPr>
        <w:t> </w:t>
      </w:r>
      <w:r>
        <w:rPr>
          <w:color w:val="231F20"/>
          <w:w w:val="105"/>
        </w:rPr>
        <w:t>da- dos</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confianza,</w:t>
      </w:r>
      <w:r>
        <w:rPr>
          <w:color w:val="231F20"/>
          <w:spacing w:val="-21"/>
          <w:w w:val="105"/>
        </w:rPr>
        <w:t> </w:t>
      </w:r>
      <w:r>
        <w:rPr>
          <w:color w:val="231F20"/>
          <w:w w:val="105"/>
        </w:rPr>
        <w:t>la</w:t>
      </w:r>
      <w:r>
        <w:rPr>
          <w:color w:val="231F20"/>
          <w:spacing w:val="-14"/>
          <w:w w:val="105"/>
        </w:rPr>
        <w:t> </w:t>
      </w:r>
      <w:r>
        <w:rPr>
          <w:color w:val="231F20"/>
          <w:w w:val="105"/>
        </w:rPr>
        <w:t>traducción,</w:t>
      </w:r>
      <w:r>
        <w:rPr>
          <w:color w:val="231F20"/>
          <w:spacing w:val="-21"/>
          <w:w w:val="105"/>
        </w:rPr>
        <w:t> </w:t>
      </w:r>
      <w:r>
        <w:rPr>
          <w:color w:val="231F20"/>
          <w:w w:val="105"/>
        </w:rPr>
        <w:t>la</w:t>
      </w:r>
      <w:r>
        <w:rPr>
          <w:color w:val="231F20"/>
          <w:spacing w:val="-14"/>
          <w:w w:val="105"/>
        </w:rPr>
        <w:t> </w:t>
      </w:r>
      <w:r>
        <w:rPr>
          <w:color w:val="231F20"/>
          <w:w w:val="105"/>
        </w:rPr>
        <w:t>negociación</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deliberación.</w:t>
      </w:r>
    </w:p>
    <w:p>
      <w:pPr>
        <w:pStyle w:val="BodyText"/>
        <w:spacing w:line="259" w:lineRule="auto"/>
        <w:ind w:left="108" w:right="108"/>
        <w:jc w:val="both"/>
      </w:pPr>
      <w:r>
        <w:rPr>
          <w:color w:val="231F20"/>
          <w:w w:val="105"/>
        </w:rPr>
        <w:t>La</w:t>
      </w:r>
      <w:r>
        <w:rPr>
          <w:color w:val="231F20"/>
          <w:spacing w:val="-9"/>
          <w:w w:val="105"/>
        </w:rPr>
        <w:t> </w:t>
      </w:r>
      <w:r>
        <w:rPr>
          <w:color w:val="231F20"/>
          <w:w w:val="105"/>
        </w:rPr>
        <w:t>confianza</w:t>
      </w:r>
      <w:r>
        <w:rPr>
          <w:color w:val="231F20"/>
          <w:spacing w:val="-9"/>
          <w:w w:val="105"/>
        </w:rPr>
        <w:t> </w:t>
      </w:r>
      <w:r>
        <w:rPr>
          <w:color w:val="231F20"/>
          <w:w w:val="105"/>
        </w:rPr>
        <w:t>precisa</w:t>
      </w:r>
      <w:r>
        <w:rPr>
          <w:color w:val="231F20"/>
          <w:spacing w:val="-9"/>
          <w:w w:val="105"/>
        </w:rPr>
        <w:t> </w:t>
      </w:r>
      <w:r>
        <w:rPr>
          <w:color w:val="231F20"/>
          <w:w w:val="105"/>
        </w:rPr>
        <w:t>un</w:t>
      </w:r>
      <w:r>
        <w:rPr>
          <w:color w:val="231F20"/>
          <w:spacing w:val="-9"/>
          <w:w w:val="105"/>
        </w:rPr>
        <w:t> </w:t>
      </w:r>
      <w:r>
        <w:rPr>
          <w:color w:val="231F20"/>
          <w:w w:val="105"/>
        </w:rPr>
        <w:t>conjunto</w:t>
      </w:r>
      <w:r>
        <w:rPr>
          <w:color w:val="231F20"/>
          <w:spacing w:val="-9"/>
          <w:w w:val="105"/>
        </w:rPr>
        <w:t> </w:t>
      </w:r>
      <w:r>
        <w:rPr>
          <w:color w:val="231F20"/>
          <w:w w:val="105"/>
        </w:rPr>
        <w:t>de</w:t>
      </w:r>
      <w:r>
        <w:rPr>
          <w:color w:val="231F20"/>
          <w:spacing w:val="-9"/>
          <w:w w:val="105"/>
        </w:rPr>
        <w:t> </w:t>
      </w:r>
      <w:r>
        <w:rPr>
          <w:color w:val="231F20"/>
          <w:w w:val="105"/>
        </w:rPr>
        <w:t>expectativas</w:t>
      </w:r>
      <w:r>
        <w:rPr>
          <w:color w:val="231F20"/>
          <w:spacing w:val="-9"/>
          <w:w w:val="105"/>
        </w:rPr>
        <w:t> </w:t>
      </w:r>
      <w:r>
        <w:rPr>
          <w:color w:val="231F20"/>
          <w:w w:val="105"/>
        </w:rPr>
        <w:t>positivas</w:t>
      </w:r>
      <w:r>
        <w:rPr>
          <w:color w:val="231F20"/>
          <w:spacing w:val="-9"/>
          <w:w w:val="105"/>
        </w:rPr>
        <w:t> </w:t>
      </w:r>
      <w:r>
        <w:rPr>
          <w:color w:val="231F20"/>
          <w:w w:val="105"/>
        </w:rPr>
        <w:t>sobre</w:t>
      </w:r>
      <w:r>
        <w:rPr>
          <w:color w:val="231F20"/>
          <w:spacing w:val="-9"/>
          <w:w w:val="105"/>
        </w:rPr>
        <w:t> </w:t>
      </w:r>
      <w:r>
        <w:rPr>
          <w:color w:val="231F20"/>
          <w:w w:val="105"/>
        </w:rPr>
        <w:t>las</w:t>
      </w:r>
      <w:r>
        <w:rPr>
          <w:color w:val="231F20"/>
          <w:spacing w:val="-9"/>
          <w:w w:val="105"/>
        </w:rPr>
        <w:t> </w:t>
      </w:r>
      <w:r>
        <w:rPr>
          <w:color w:val="231F20"/>
          <w:w w:val="105"/>
        </w:rPr>
        <w:t>ac- ciones de los demás e implica tres dimensiones: personal o normativa, estratégica</w:t>
      </w:r>
      <w:r>
        <w:rPr>
          <w:color w:val="231F20"/>
          <w:spacing w:val="-11"/>
          <w:w w:val="105"/>
        </w:rPr>
        <w:t> </w:t>
      </w:r>
      <w:r>
        <w:rPr>
          <w:color w:val="231F20"/>
          <w:w w:val="105"/>
        </w:rPr>
        <w:t>y</w:t>
      </w:r>
      <w:r>
        <w:rPr>
          <w:color w:val="231F20"/>
          <w:spacing w:val="-11"/>
          <w:w w:val="105"/>
        </w:rPr>
        <w:t> </w:t>
      </w:r>
      <w:r>
        <w:rPr>
          <w:color w:val="231F20"/>
          <w:w w:val="105"/>
        </w:rPr>
        <w:t>técnica.</w:t>
      </w:r>
      <w:r>
        <w:rPr>
          <w:color w:val="231F20"/>
          <w:spacing w:val="-15"/>
          <w:w w:val="105"/>
        </w:rPr>
        <w:t> </w:t>
      </w:r>
      <w:r>
        <w:rPr>
          <w:color w:val="231F20"/>
          <w:w w:val="105"/>
        </w:rPr>
        <w:t>La</w:t>
      </w:r>
      <w:r>
        <w:rPr>
          <w:color w:val="231F20"/>
          <w:spacing w:val="-11"/>
          <w:w w:val="105"/>
        </w:rPr>
        <w:t> </w:t>
      </w:r>
      <w:r>
        <w:rPr>
          <w:color w:val="231F20"/>
          <w:w w:val="105"/>
        </w:rPr>
        <w:t>confianza</w:t>
      </w:r>
      <w:r>
        <w:rPr>
          <w:color w:val="231F20"/>
          <w:spacing w:val="-11"/>
          <w:w w:val="105"/>
        </w:rPr>
        <w:t> </w:t>
      </w:r>
      <w:r>
        <w:rPr>
          <w:color w:val="231F20"/>
          <w:w w:val="105"/>
        </w:rPr>
        <w:t>personal</w:t>
      </w:r>
      <w:r>
        <w:rPr>
          <w:color w:val="231F20"/>
          <w:spacing w:val="-11"/>
          <w:w w:val="105"/>
        </w:rPr>
        <w:t> </w:t>
      </w:r>
      <w:r>
        <w:rPr>
          <w:color w:val="231F20"/>
          <w:w w:val="105"/>
        </w:rPr>
        <w:t>o</w:t>
      </w:r>
      <w:r>
        <w:rPr>
          <w:color w:val="231F20"/>
          <w:spacing w:val="-11"/>
          <w:w w:val="105"/>
        </w:rPr>
        <w:t> </w:t>
      </w:r>
      <w:r>
        <w:rPr>
          <w:color w:val="231F20"/>
          <w:w w:val="105"/>
        </w:rPr>
        <w:t>normativa</w:t>
      </w:r>
      <w:r>
        <w:rPr>
          <w:color w:val="231F20"/>
          <w:spacing w:val="-11"/>
          <w:w w:val="105"/>
        </w:rPr>
        <w:t> </w:t>
      </w:r>
      <w:r>
        <w:rPr>
          <w:color w:val="231F20"/>
          <w:w w:val="105"/>
        </w:rPr>
        <w:t>depende</w:t>
      </w:r>
      <w:r>
        <w:rPr>
          <w:color w:val="231F20"/>
          <w:spacing w:val="-11"/>
          <w:w w:val="105"/>
        </w:rPr>
        <w:t> </w:t>
      </w:r>
      <w:r>
        <w:rPr>
          <w:color w:val="231F20"/>
          <w:w w:val="105"/>
        </w:rPr>
        <w:t>de</w:t>
      </w:r>
      <w:r>
        <w:rPr>
          <w:color w:val="231F20"/>
          <w:spacing w:val="-11"/>
          <w:w w:val="105"/>
        </w:rPr>
        <w:t> </w:t>
      </w:r>
      <w:r>
        <w:rPr>
          <w:color w:val="231F20"/>
          <w:w w:val="105"/>
        </w:rPr>
        <w:t>las normas,</w:t>
      </w:r>
      <w:r>
        <w:rPr>
          <w:color w:val="231F20"/>
          <w:spacing w:val="-29"/>
          <w:w w:val="105"/>
        </w:rPr>
        <w:t> </w:t>
      </w:r>
      <w:r>
        <w:rPr>
          <w:color w:val="231F20"/>
          <w:w w:val="105"/>
        </w:rPr>
        <w:t>creencias,</w:t>
      </w:r>
      <w:r>
        <w:rPr>
          <w:color w:val="231F20"/>
          <w:spacing w:val="-29"/>
          <w:w w:val="105"/>
        </w:rPr>
        <w:t> </w:t>
      </w:r>
      <w:r>
        <w:rPr>
          <w:color w:val="231F20"/>
          <w:w w:val="105"/>
        </w:rPr>
        <w:t>valores</w:t>
      </w:r>
      <w:r>
        <w:rPr>
          <w:color w:val="231F20"/>
          <w:spacing w:val="-24"/>
          <w:w w:val="105"/>
        </w:rPr>
        <w:t> </w:t>
      </w:r>
      <w:r>
        <w:rPr>
          <w:color w:val="231F20"/>
          <w:w w:val="105"/>
        </w:rPr>
        <w:t>compartidos</w:t>
      </w:r>
      <w:r>
        <w:rPr>
          <w:color w:val="231F20"/>
          <w:spacing w:val="-24"/>
          <w:w w:val="105"/>
        </w:rPr>
        <w:t> </w:t>
      </w:r>
      <w:r>
        <w:rPr>
          <w:color w:val="231F20"/>
          <w:w w:val="105"/>
        </w:rPr>
        <w:t>y</w:t>
      </w:r>
      <w:r>
        <w:rPr>
          <w:color w:val="231F20"/>
          <w:spacing w:val="-24"/>
          <w:w w:val="105"/>
        </w:rPr>
        <w:t> </w:t>
      </w:r>
      <w:r>
        <w:rPr>
          <w:color w:val="231F20"/>
          <w:w w:val="105"/>
        </w:rPr>
        <w:t>solidaridad</w:t>
      </w:r>
      <w:r>
        <w:rPr>
          <w:color w:val="231F20"/>
          <w:spacing w:val="-24"/>
          <w:w w:val="105"/>
        </w:rPr>
        <w:t> </w:t>
      </w:r>
      <w:r>
        <w:rPr>
          <w:color w:val="231F20"/>
          <w:w w:val="105"/>
        </w:rPr>
        <w:t>social.</w:t>
      </w:r>
      <w:r>
        <w:rPr>
          <w:color w:val="231F20"/>
          <w:spacing w:val="-29"/>
          <w:w w:val="105"/>
        </w:rPr>
        <w:t> </w:t>
      </w:r>
      <w:r>
        <w:rPr>
          <w:color w:val="231F20"/>
          <w:w w:val="105"/>
        </w:rPr>
        <w:t>La</w:t>
      </w:r>
      <w:r>
        <w:rPr>
          <w:color w:val="231F20"/>
          <w:spacing w:val="-24"/>
          <w:w w:val="105"/>
        </w:rPr>
        <w:t> </w:t>
      </w:r>
      <w:r>
        <w:rPr>
          <w:color w:val="231F20"/>
          <w:w w:val="105"/>
        </w:rPr>
        <w:t>estratégi-</w:t>
      </w:r>
    </w:p>
    <w:p>
      <w:pPr>
        <w:spacing w:after="0" w:line="259" w:lineRule="auto"/>
        <w:jc w:val="both"/>
        <w:sectPr>
          <w:type w:val="continuous"/>
          <w:pgSz w:w="9640" w:h="13890"/>
          <w:pgMar w:top="1300" w:bottom="280" w:left="1280" w:right="1160"/>
        </w:sectPr>
      </w:pPr>
    </w:p>
    <w:p>
      <w:pPr>
        <w:pStyle w:val="BodyText"/>
        <w:spacing w:line="259" w:lineRule="auto" w:before="78"/>
        <w:ind w:left="103" w:right="115"/>
        <w:jc w:val="both"/>
      </w:pPr>
      <w:r>
        <w:rPr>
          <w:color w:val="231F20"/>
          <w:w w:val="105"/>
        </w:rPr>
        <w:t>ca</w:t>
      </w:r>
      <w:r>
        <w:rPr>
          <w:color w:val="231F20"/>
          <w:spacing w:val="-22"/>
          <w:w w:val="105"/>
        </w:rPr>
        <w:t> </w:t>
      </w:r>
      <w:r>
        <w:rPr>
          <w:color w:val="231F20"/>
          <w:w w:val="105"/>
        </w:rPr>
        <w:t>se</w:t>
      </w:r>
      <w:r>
        <w:rPr>
          <w:color w:val="231F20"/>
          <w:spacing w:val="-22"/>
          <w:w w:val="105"/>
        </w:rPr>
        <w:t> </w:t>
      </w:r>
      <w:r>
        <w:rPr>
          <w:color w:val="231F20"/>
          <w:w w:val="105"/>
        </w:rPr>
        <w:t>fundamenta</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cálculo</w:t>
      </w:r>
      <w:r>
        <w:rPr>
          <w:color w:val="231F20"/>
          <w:spacing w:val="-22"/>
          <w:w w:val="105"/>
        </w:rPr>
        <w:t> </w:t>
      </w:r>
      <w:r>
        <w:rPr>
          <w:color w:val="231F20"/>
          <w:w w:val="105"/>
        </w:rPr>
        <w:t>costo-beneficio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interacción</w:t>
      </w:r>
      <w:r>
        <w:rPr>
          <w:color w:val="231F20"/>
          <w:spacing w:val="-22"/>
          <w:w w:val="105"/>
        </w:rPr>
        <w:t> </w:t>
      </w:r>
      <w:r>
        <w:rPr>
          <w:color w:val="231F20"/>
          <w:w w:val="105"/>
        </w:rPr>
        <w:t>y</w:t>
      </w:r>
      <w:r>
        <w:rPr>
          <w:color w:val="231F20"/>
          <w:spacing w:val="-22"/>
          <w:w w:val="105"/>
        </w:rPr>
        <w:t> </w:t>
      </w:r>
      <w:r>
        <w:rPr>
          <w:color w:val="231F20"/>
          <w:w w:val="105"/>
        </w:rPr>
        <w:t>estriba en</w:t>
      </w:r>
      <w:r>
        <w:rPr>
          <w:color w:val="231F20"/>
          <w:spacing w:val="-15"/>
          <w:w w:val="105"/>
        </w:rPr>
        <w:t> </w:t>
      </w:r>
      <w:r>
        <w:rPr>
          <w:color w:val="231F20"/>
          <w:w w:val="105"/>
        </w:rPr>
        <w:t>las</w:t>
      </w:r>
      <w:r>
        <w:rPr>
          <w:color w:val="231F20"/>
          <w:spacing w:val="-15"/>
          <w:w w:val="105"/>
        </w:rPr>
        <w:t> </w:t>
      </w:r>
      <w:r>
        <w:rPr>
          <w:color w:val="231F20"/>
          <w:w w:val="105"/>
        </w:rPr>
        <w:t>expectativas</w:t>
      </w:r>
      <w:r>
        <w:rPr>
          <w:color w:val="231F20"/>
          <w:spacing w:val="-15"/>
          <w:w w:val="105"/>
        </w:rPr>
        <w:t> </w:t>
      </w:r>
      <w:r>
        <w:rPr>
          <w:color w:val="231F20"/>
          <w:w w:val="105"/>
        </w:rPr>
        <w:t>de</w:t>
      </w:r>
      <w:r>
        <w:rPr>
          <w:color w:val="231F20"/>
          <w:spacing w:val="-15"/>
          <w:w w:val="105"/>
        </w:rPr>
        <w:t> </w:t>
      </w:r>
      <w:r>
        <w:rPr>
          <w:color w:val="231F20"/>
          <w:w w:val="105"/>
        </w:rPr>
        <w:t>ganancias</w:t>
      </w:r>
      <w:r>
        <w:rPr>
          <w:color w:val="231F20"/>
          <w:spacing w:val="-15"/>
          <w:w w:val="105"/>
        </w:rPr>
        <w:t> </w:t>
      </w:r>
      <w:r>
        <w:rPr>
          <w:color w:val="231F20"/>
          <w:w w:val="105"/>
        </w:rPr>
        <w:t>mutuas</w:t>
      </w:r>
      <w:r>
        <w:rPr>
          <w:color w:val="231F20"/>
          <w:spacing w:val="-15"/>
          <w:w w:val="105"/>
        </w:rPr>
        <w:t> </w:t>
      </w:r>
      <w:r>
        <w:rPr>
          <w:color w:val="231F20"/>
          <w:w w:val="105"/>
        </w:rPr>
        <w:t>al</w:t>
      </w:r>
      <w:r>
        <w:rPr>
          <w:color w:val="231F20"/>
          <w:spacing w:val="-15"/>
          <w:w w:val="105"/>
        </w:rPr>
        <w:t> </w:t>
      </w:r>
      <w:r>
        <w:rPr>
          <w:color w:val="231F20"/>
          <w:w w:val="105"/>
        </w:rPr>
        <w:t>participar</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red;</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con- fianza</w:t>
      </w:r>
      <w:r>
        <w:rPr>
          <w:color w:val="231F20"/>
          <w:spacing w:val="-22"/>
          <w:w w:val="105"/>
        </w:rPr>
        <w:t> </w:t>
      </w:r>
      <w:r>
        <w:rPr>
          <w:color w:val="231F20"/>
          <w:w w:val="105"/>
        </w:rPr>
        <w:t>técnica</w:t>
      </w:r>
      <w:r>
        <w:rPr>
          <w:color w:val="231F20"/>
          <w:spacing w:val="-22"/>
          <w:w w:val="105"/>
        </w:rPr>
        <w:t> </w:t>
      </w:r>
      <w:r>
        <w:rPr>
          <w:color w:val="231F20"/>
          <w:w w:val="105"/>
        </w:rPr>
        <w:t>está</w:t>
      </w:r>
      <w:r>
        <w:rPr>
          <w:color w:val="231F20"/>
          <w:spacing w:val="-22"/>
          <w:w w:val="105"/>
        </w:rPr>
        <w:t> </w:t>
      </w:r>
      <w:r>
        <w:rPr>
          <w:color w:val="231F20"/>
          <w:w w:val="105"/>
        </w:rPr>
        <w:t>basada</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reputación,</w:t>
      </w:r>
      <w:r>
        <w:rPr>
          <w:color w:val="231F20"/>
          <w:spacing w:val="-26"/>
          <w:w w:val="105"/>
        </w:rPr>
        <w:t> </w:t>
      </w:r>
      <w:r>
        <w:rPr>
          <w:color w:val="231F20"/>
          <w:w w:val="105"/>
        </w:rPr>
        <w:t>el</w:t>
      </w:r>
      <w:r>
        <w:rPr>
          <w:color w:val="231F20"/>
          <w:spacing w:val="-22"/>
          <w:w w:val="105"/>
        </w:rPr>
        <w:t> </w:t>
      </w:r>
      <w:r>
        <w:rPr>
          <w:color w:val="231F20"/>
          <w:w w:val="105"/>
        </w:rPr>
        <w:t>prestigio,</w:t>
      </w:r>
      <w:r>
        <w:rPr>
          <w:color w:val="231F20"/>
          <w:spacing w:val="-26"/>
          <w:w w:val="105"/>
        </w:rPr>
        <w:t> </w:t>
      </w:r>
      <w:r>
        <w:rPr>
          <w:color w:val="231F20"/>
          <w:w w:val="105"/>
        </w:rPr>
        <w:t>las</w:t>
      </w:r>
      <w:r>
        <w:rPr>
          <w:color w:val="231F20"/>
          <w:spacing w:val="-22"/>
          <w:w w:val="105"/>
        </w:rPr>
        <w:t> </w:t>
      </w:r>
      <w:r>
        <w:rPr>
          <w:color w:val="231F20"/>
          <w:w w:val="105"/>
        </w:rPr>
        <w:t>capacidades y</w:t>
      </w:r>
      <w:r>
        <w:rPr>
          <w:color w:val="231F20"/>
          <w:spacing w:val="-28"/>
          <w:w w:val="105"/>
        </w:rPr>
        <w:t> </w:t>
      </w:r>
      <w:r>
        <w:rPr>
          <w:color w:val="231F20"/>
          <w:w w:val="105"/>
        </w:rPr>
        <w:t>los</w:t>
      </w:r>
      <w:r>
        <w:rPr>
          <w:color w:val="231F20"/>
          <w:spacing w:val="-28"/>
          <w:w w:val="105"/>
        </w:rPr>
        <w:t> </w:t>
      </w:r>
      <w:r>
        <w:rPr>
          <w:color w:val="231F20"/>
          <w:w w:val="105"/>
        </w:rPr>
        <w:t>recursos</w:t>
      </w:r>
      <w:r>
        <w:rPr>
          <w:color w:val="231F20"/>
          <w:spacing w:val="-28"/>
          <w:w w:val="105"/>
        </w:rPr>
        <w:t> </w:t>
      </w:r>
      <w:r>
        <w:rPr>
          <w:color w:val="231F20"/>
          <w:w w:val="105"/>
        </w:rPr>
        <w:t>con</w:t>
      </w:r>
      <w:r>
        <w:rPr>
          <w:color w:val="231F20"/>
          <w:spacing w:val="-28"/>
          <w:w w:val="105"/>
        </w:rPr>
        <w:t> </w:t>
      </w:r>
      <w:r>
        <w:rPr>
          <w:color w:val="231F20"/>
          <w:w w:val="105"/>
        </w:rPr>
        <w:t>que</w:t>
      </w:r>
      <w:r>
        <w:rPr>
          <w:color w:val="231F20"/>
          <w:spacing w:val="-28"/>
          <w:w w:val="105"/>
        </w:rPr>
        <w:t> </w:t>
      </w:r>
      <w:r>
        <w:rPr>
          <w:color w:val="231F20"/>
          <w:w w:val="105"/>
        </w:rPr>
        <w:t>cuentan</w:t>
      </w:r>
      <w:r>
        <w:rPr>
          <w:color w:val="231F20"/>
          <w:spacing w:val="-28"/>
          <w:w w:val="105"/>
        </w:rPr>
        <w:t> </w:t>
      </w:r>
      <w:r>
        <w:rPr>
          <w:color w:val="231F20"/>
          <w:w w:val="105"/>
        </w:rPr>
        <w:t>los</w:t>
      </w:r>
      <w:r>
        <w:rPr>
          <w:color w:val="231F20"/>
          <w:spacing w:val="-28"/>
          <w:w w:val="105"/>
        </w:rPr>
        <w:t> </w:t>
      </w:r>
      <w:r>
        <w:rPr>
          <w:color w:val="231F20"/>
          <w:w w:val="105"/>
        </w:rPr>
        <w:t>participantes</w:t>
      </w:r>
      <w:r>
        <w:rPr>
          <w:color w:val="231F20"/>
          <w:spacing w:val="-28"/>
          <w:w w:val="105"/>
        </w:rPr>
        <w:t> </w:t>
      </w:r>
      <w:r>
        <w:rPr>
          <w:color w:val="231F20"/>
          <w:w w:val="105"/>
        </w:rPr>
        <w:t>(Luna</w:t>
      </w:r>
      <w:r>
        <w:rPr>
          <w:color w:val="231F20"/>
          <w:spacing w:val="-28"/>
          <w:w w:val="105"/>
        </w:rPr>
        <w:t> </w:t>
      </w:r>
      <w:r>
        <w:rPr>
          <w:color w:val="231F20"/>
          <w:w w:val="105"/>
        </w:rPr>
        <w:t>y</w:t>
      </w:r>
      <w:r>
        <w:rPr>
          <w:color w:val="231F20"/>
          <w:spacing w:val="-31"/>
          <w:w w:val="105"/>
        </w:rPr>
        <w:t> </w:t>
      </w:r>
      <w:r>
        <w:rPr>
          <w:color w:val="231F20"/>
          <w:w w:val="105"/>
        </w:rPr>
        <w:t>Velasco,</w:t>
      </w:r>
      <w:r>
        <w:rPr>
          <w:color w:val="231F20"/>
          <w:spacing w:val="-33"/>
          <w:w w:val="105"/>
        </w:rPr>
        <w:t> </w:t>
      </w:r>
      <w:r>
        <w:rPr>
          <w:color w:val="231F20"/>
          <w:w w:val="105"/>
        </w:rPr>
        <w:t>2006).</w:t>
      </w:r>
    </w:p>
    <w:p>
      <w:pPr>
        <w:pStyle w:val="BodyText"/>
        <w:spacing w:line="259" w:lineRule="auto"/>
        <w:ind w:left="103" w:right="108" w:firstLine="567"/>
        <w:jc w:val="right"/>
      </w:pPr>
      <w:r>
        <w:rPr>
          <w:color w:val="231F20"/>
          <w:w w:val="105"/>
        </w:rPr>
        <w:t>En</w:t>
      </w:r>
      <w:r>
        <w:rPr>
          <w:color w:val="231F20"/>
          <w:spacing w:val="-15"/>
          <w:w w:val="105"/>
        </w:rPr>
        <w:t> </w:t>
      </w:r>
      <w:r>
        <w:rPr>
          <w:color w:val="231F20"/>
          <w:w w:val="105"/>
        </w:rPr>
        <w:t>términos</w:t>
      </w:r>
      <w:r>
        <w:rPr>
          <w:color w:val="231F20"/>
          <w:spacing w:val="-15"/>
          <w:w w:val="105"/>
        </w:rPr>
        <w:t> </w:t>
      </w:r>
      <w:r>
        <w:rPr>
          <w:color w:val="231F20"/>
          <w:w w:val="105"/>
        </w:rPr>
        <w:t>generales</w:t>
      </w:r>
      <w:r>
        <w:rPr>
          <w:color w:val="231F20"/>
          <w:spacing w:val="-15"/>
          <w:w w:val="105"/>
        </w:rPr>
        <w:t> </w:t>
      </w:r>
      <w:r>
        <w:rPr>
          <w:color w:val="231F20"/>
          <w:w w:val="105"/>
        </w:rPr>
        <w:t>la</w:t>
      </w:r>
      <w:r>
        <w:rPr>
          <w:color w:val="231F20"/>
          <w:spacing w:val="-15"/>
          <w:w w:val="105"/>
        </w:rPr>
        <w:t> </w:t>
      </w:r>
      <w:r>
        <w:rPr>
          <w:color w:val="231F20"/>
          <w:w w:val="105"/>
        </w:rPr>
        <w:t>confianza</w:t>
      </w:r>
      <w:r>
        <w:rPr>
          <w:color w:val="231F20"/>
          <w:spacing w:val="-15"/>
          <w:w w:val="105"/>
        </w:rPr>
        <w:t> </w:t>
      </w:r>
      <w:r>
        <w:rPr>
          <w:color w:val="231F20"/>
          <w:w w:val="105"/>
        </w:rPr>
        <w:t>ostenta</w:t>
      </w:r>
      <w:r>
        <w:rPr>
          <w:color w:val="231F20"/>
          <w:spacing w:val="-15"/>
          <w:w w:val="105"/>
        </w:rPr>
        <w:t> </w:t>
      </w:r>
      <w:r>
        <w:rPr>
          <w:color w:val="231F20"/>
          <w:w w:val="105"/>
        </w:rPr>
        <w:t>un</w:t>
      </w:r>
      <w:r>
        <w:rPr>
          <w:color w:val="231F20"/>
          <w:spacing w:val="-15"/>
          <w:w w:val="105"/>
        </w:rPr>
        <w:t> </w:t>
      </w:r>
      <w:r>
        <w:rPr>
          <w:color w:val="231F20"/>
          <w:w w:val="105"/>
        </w:rPr>
        <w:t>lugar</w:t>
      </w:r>
      <w:r>
        <w:rPr>
          <w:color w:val="231F20"/>
          <w:spacing w:val="-15"/>
          <w:w w:val="105"/>
        </w:rPr>
        <w:t> </w:t>
      </w:r>
      <w:r>
        <w:rPr>
          <w:color w:val="231F20"/>
          <w:w w:val="105"/>
        </w:rPr>
        <w:t>sobresaliente</w:t>
      </w:r>
      <w:r>
        <w:rPr>
          <w:color w:val="231F20"/>
          <w:w w:val="102"/>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configuración</w:t>
      </w:r>
      <w:r>
        <w:rPr>
          <w:color w:val="231F20"/>
          <w:spacing w:val="-13"/>
          <w:w w:val="105"/>
        </w:rPr>
        <w:t> </w:t>
      </w:r>
      <w:r>
        <w:rPr>
          <w:color w:val="231F20"/>
          <w:w w:val="105"/>
        </w:rPr>
        <w:t>de</w:t>
      </w:r>
      <w:r>
        <w:rPr>
          <w:color w:val="231F20"/>
          <w:spacing w:val="-13"/>
          <w:w w:val="105"/>
        </w:rPr>
        <w:t> </w:t>
      </w:r>
      <w:r>
        <w:rPr>
          <w:color w:val="231F20"/>
          <w:w w:val="105"/>
        </w:rPr>
        <w:t>redes</w:t>
      </w:r>
      <w:r>
        <w:rPr>
          <w:color w:val="231F20"/>
          <w:spacing w:val="-13"/>
          <w:w w:val="105"/>
        </w:rPr>
        <w:t> </w:t>
      </w:r>
      <w:r>
        <w:rPr>
          <w:color w:val="231F20"/>
          <w:w w:val="105"/>
        </w:rPr>
        <w:t>de</w:t>
      </w:r>
      <w:r>
        <w:rPr>
          <w:color w:val="231F20"/>
          <w:spacing w:val="-13"/>
          <w:w w:val="105"/>
        </w:rPr>
        <w:t> </w:t>
      </w:r>
      <w:r>
        <w:rPr>
          <w:color w:val="231F20"/>
          <w:w w:val="105"/>
        </w:rPr>
        <w:t>conocimiento,</w:t>
      </w:r>
      <w:r>
        <w:rPr>
          <w:color w:val="231F20"/>
          <w:spacing w:val="-18"/>
          <w:w w:val="105"/>
        </w:rPr>
        <w:t> </w:t>
      </w:r>
      <w:r>
        <w:rPr>
          <w:color w:val="231F20"/>
          <w:w w:val="105"/>
        </w:rPr>
        <w:t>ya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carencia</w:t>
      </w:r>
      <w:r>
        <w:rPr>
          <w:color w:val="231F20"/>
          <w:spacing w:val="-13"/>
          <w:w w:val="105"/>
        </w:rPr>
        <w:t> </w:t>
      </w:r>
      <w:r>
        <w:rPr>
          <w:color w:val="231F20"/>
          <w:w w:val="105"/>
        </w:rPr>
        <w:t>de</w:t>
      </w:r>
      <w:r>
        <w:rPr>
          <w:color w:val="231F20"/>
          <w:spacing w:val="-13"/>
          <w:w w:val="105"/>
        </w:rPr>
        <w:t> </w:t>
      </w:r>
      <w:r>
        <w:rPr>
          <w:color w:val="231F20"/>
          <w:w w:val="105"/>
        </w:rPr>
        <w:t>ella</w:t>
      </w:r>
      <w:r>
        <w:rPr>
          <w:color w:val="231F20"/>
          <w:w w:val="103"/>
        </w:rPr>
        <w:t> </w:t>
      </w:r>
      <w:r>
        <w:rPr>
          <w:color w:val="231F20"/>
          <w:w w:val="105"/>
        </w:rPr>
        <w:t>inhibirá</w:t>
      </w:r>
      <w:r>
        <w:rPr>
          <w:color w:val="231F20"/>
          <w:spacing w:val="-30"/>
          <w:w w:val="105"/>
        </w:rPr>
        <w:t> </w:t>
      </w:r>
      <w:r>
        <w:rPr>
          <w:color w:val="231F20"/>
          <w:w w:val="105"/>
        </w:rPr>
        <w:t>a</w:t>
      </w:r>
      <w:r>
        <w:rPr>
          <w:color w:val="231F20"/>
          <w:spacing w:val="-30"/>
          <w:w w:val="105"/>
        </w:rPr>
        <w:t> </w:t>
      </w:r>
      <w:r>
        <w:rPr>
          <w:color w:val="231F20"/>
          <w:w w:val="105"/>
        </w:rPr>
        <w:t>las</w:t>
      </w:r>
      <w:r>
        <w:rPr>
          <w:color w:val="231F20"/>
          <w:spacing w:val="-30"/>
          <w:w w:val="105"/>
        </w:rPr>
        <w:t> </w:t>
      </w:r>
      <w:r>
        <w:rPr>
          <w:color w:val="231F20"/>
          <w:w w:val="105"/>
        </w:rPr>
        <w:t>partes</w:t>
      </w:r>
      <w:r>
        <w:rPr>
          <w:color w:val="231F20"/>
          <w:spacing w:val="-30"/>
          <w:w w:val="105"/>
        </w:rPr>
        <w:t> </w:t>
      </w:r>
      <w:r>
        <w:rPr>
          <w:color w:val="231F20"/>
          <w:w w:val="105"/>
        </w:rPr>
        <w:t>para</w:t>
      </w:r>
      <w:r>
        <w:rPr>
          <w:color w:val="231F20"/>
          <w:spacing w:val="-30"/>
          <w:w w:val="105"/>
        </w:rPr>
        <w:t> </w:t>
      </w:r>
      <w:r>
        <w:rPr>
          <w:color w:val="231F20"/>
          <w:w w:val="105"/>
        </w:rPr>
        <w:t>relacionarse</w:t>
      </w:r>
      <w:r>
        <w:rPr>
          <w:color w:val="231F20"/>
          <w:spacing w:val="-30"/>
          <w:w w:val="105"/>
        </w:rPr>
        <w:t> </w:t>
      </w:r>
      <w:r>
        <w:rPr>
          <w:color w:val="231F20"/>
          <w:w w:val="105"/>
        </w:rPr>
        <w:t>e</w:t>
      </w:r>
      <w:r>
        <w:rPr>
          <w:color w:val="231F20"/>
          <w:spacing w:val="-30"/>
          <w:w w:val="105"/>
        </w:rPr>
        <w:t> </w:t>
      </w:r>
      <w:r>
        <w:rPr>
          <w:color w:val="231F20"/>
          <w:w w:val="105"/>
        </w:rPr>
        <w:t>interactuar.</w:t>
      </w:r>
      <w:r>
        <w:rPr>
          <w:color w:val="231F20"/>
          <w:spacing w:val="-34"/>
          <w:w w:val="105"/>
        </w:rPr>
        <w:t> </w:t>
      </w:r>
      <w:r>
        <w:rPr>
          <w:color w:val="231F20"/>
          <w:w w:val="105"/>
        </w:rPr>
        <w:t>De</w:t>
      </w:r>
      <w:r>
        <w:rPr>
          <w:color w:val="231F20"/>
          <w:spacing w:val="-30"/>
          <w:w w:val="105"/>
        </w:rPr>
        <w:t> </w:t>
      </w:r>
      <w:r>
        <w:rPr>
          <w:color w:val="231F20"/>
          <w:w w:val="105"/>
        </w:rPr>
        <w:t>hecho,</w:t>
      </w:r>
      <w:r>
        <w:rPr>
          <w:color w:val="231F20"/>
          <w:spacing w:val="-34"/>
          <w:w w:val="105"/>
        </w:rPr>
        <w:t> </w:t>
      </w:r>
      <w:r>
        <w:rPr>
          <w:color w:val="231F20"/>
          <w:w w:val="105"/>
        </w:rPr>
        <w:t>es</w:t>
      </w:r>
      <w:r>
        <w:rPr>
          <w:color w:val="231F20"/>
          <w:spacing w:val="-30"/>
          <w:w w:val="105"/>
        </w:rPr>
        <w:t> </w:t>
      </w:r>
      <w:r>
        <w:rPr>
          <w:color w:val="231F20"/>
          <w:w w:val="105"/>
        </w:rPr>
        <w:t>una</w:t>
      </w:r>
      <w:r>
        <w:rPr>
          <w:color w:val="231F20"/>
          <w:spacing w:val="-30"/>
          <w:w w:val="105"/>
        </w:rPr>
        <w:t> </w:t>
      </w:r>
      <w:r>
        <w:rPr>
          <w:color w:val="231F20"/>
          <w:w w:val="105"/>
        </w:rPr>
        <w:t>pre-</w:t>
      </w:r>
      <w:r>
        <w:rPr>
          <w:color w:val="231F20"/>
          <w:w w:val="96"/>
        </w:rPr>
        <w:t> </w:t>
      </w:r>
      <w:r>
        <w:rPr>
          <w:color w:val="231F20"/>
          <w:w w:val="105"/>
        </w:rPr>
        <w:t>condición</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existencia</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restantes</w:t>
      </w:r>
      <w:r>
        <w:rPr>
          <w:color w:val="231F20"/>
          <w:spacing w:val="-24"/>
          <w:w w:val="105"/>
        </w:rPr>
        <w:t> </w:t>
      </w:r>
      <w:r>
        <w:rPr>
          <w:color w:val="231F20"/>
          <w:w w:val="105"/>
        </w:rPr>
        <w:t>mecanismos</w:t>
      </w:r>
      <w:r>
        <w:rPr>
          <w:color w:val="231F20"/>
          <w:spacing w:val="-24"/>
          <w:w w:val="105"/>
        </w:rPr>
        <w:t> </w:t>
      </w:r>
      <w:r>
        <w:rPr>
          <w:color w:val="231F20"/>
          <w:w w:val="105"/>
        </w:rPr>
        <w:t>de</w:t>
      </w:r>
      <w:r>
        <w:rPr>
          <w:color w:val="231F20"/>
          <w:spacing w:val="-24"/>
          <w:w w:val="105"/>
        </w:rPr>
        <w:t> </w:t>
      </w:r>
      <w:r>
        <w:rPr>
          <w:color w:val="231F20"/>
          <w:w w:val="105"/>
        </w:rPr>
        <w:t>integración.</w:t>
      </w:r>
      <w:r>
        <w:rPr>
          <w:color w:val="231F20"/>
          <w:w w:val="102"/>
        </w:rPr>
        <w:t> </w:t>
      </w:r>
      <w:r>
        <w:rPr>
          <w:color w:val="231F20"/>
          <w:w w:val="105"/>
        </w:rPr>
        <w:t>Ante barreras en los flujos de comunicación que</w:t>
      </w:r>
      <w:r>
        <w:rPr>
          <w:color w:val="231F20"/>
          <w:spacing w:val="57"/>
          <w:w w:val="105"/>
        </w:rPr>
        <w:t> </w:t>
      </w:r>
      <w:r>
        <w:rPr>
          <w:color w:val="231F20"/>
          <w:w w:val="105"/>
        </w:rPr>
        <w:t>entorpezcan</w:t>
      </w:r>
      <w:r>
        <w:rPr>
          <w:color w:val="231F20"/>
          <w:spacing w:val="14"/>
          <w:w w:val="105"/>
        </w:rPr>
        <w:t> </w:t>
      </w:r>
      <w:r>
        <w:rPr>
          <w:color w:val="231F20"/>
          <w:w w:val="105"/>
        </w:rPr>
        <w:t>la</w:t>
      </w:r>
      <w:r>
        <w:rPr>
          <w:color w:val="231F20"/>
          <w:w w:val="100"/>
        </w:rPr>
        <w:t> </w:t>
      </w:r>
      <w:r>
        <w:rPr>
          <w:color w:val="231F20"/>
          <w:w w:val="105"/>
        </w:rPr>
        <w:t>construcción</w:t>
      </w:r>
      <w:r>
        <w:rPr>
          <w:color w:val="231F20"/>
          <w:spacing w:val="-5"/>
          <w:w w:val="105"/>
        </w:rPr>
        <w:t> </w:t>
      </w:r>
      <w:r>
        <w:rPr>
          <w:color w:val="231F20"/>
          <w:w w:val="105"/>
        </w:rPr>
        <w:t>de</w:t>
      </w:r>
      <w:r>
        <w:rPr>
          <w:color w:val="231F20"/>
          <w:spacing w:val="-5"/>
          <w:w w:val="105"/>
        </w:rPr>
        <w:t> </w:t>
      </w:r>
      <w:r>
        <w:rPr>
          <w:color w:val="231F20"/>
          <w:w w:val="105"/>
        </w:rPr>
        <w:t>redes</w:t>
      </w:r>
      <w:r>
        <w:rPr>
          <w:color w:val="231F20"/>
          <w:spacing w:val="-5"/>
          <w:w w:val="105"/>
        </w:rPr>
        <w:t> </w:t>
      </w:r>
      <w:r>
        <w:rPr>
          <w:color w:val="231F20"/>
          <w:w w:val="105"/>
        </w:rPr>
        <w:t>de</w:t>
      </w:r>
      <w:r>
        <w:rPr>
          <w:color w:val="231F20"/>
          <w:spacing w:val="-5"/>
          <w:w w:val="105"/>
        </w:rPr>
        <w:t> </w:t>
      </w:r>
      <w:r>
        <w:rPr>
          <w:color w:val="231F20"/>
          <w:w w:val="105"/>
        </w:rPr>
        <w:t>conocimiento,</w:t>
      </w:r>
      <w:r>
        <w:rPr>
          <w:color w:val="231F20"/>
          <w:spacing w:val="-11"/>
          <w:w w:val="105"/>
        </w:rPr>
        <w:t> </w:t>
      </w:r>
      <w:r>
        <w:rPr>
          <w:color w:val="231F20"/>
          <w:w w:val="105"/>
        </w:rPr>
        <w:t>la</w:t>
      </w:r>
      <w:r>
        <w:rPr>
          <w:color w:val="231F20"/>
          <w:spacing w:val="-5"/>
          <w:w w:val="105"/>
        </w:rPr>
        <w:t> </w:t>
      </w:r>
      <w:r>
        <w:rPr>
          <w:color w:val="231F20"/>
          <w:w w:val="105"/>
        </w:rPr>
        <w:t>traducción</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figura</w:t>
      </w:r>
      <w:r>
        <w:rPr>
          <w:color w:val="231F20"/>
          <w:spacing w:val="-5"/>
          <w:w w:val="105"/>
        </w:rPr>
        <w:t> </w:t>
      </w:r>
      <w:r>
        <w:rPr>
          <w:color w:val="231F20"/>
          <w:w w:val="105"/>
        </w:rPr>
        <w:t>del</w:t>
      </w:r>
      <w:r>
        <w:rPr>
          <w:color w:val="231F20"/>
          <w:spacing w:val="-5"/>
          <w:w w:val="105"/>
        </w:rPr>
        <w:t> </w:t>
      </w:r>
      <w:r>
        <w:rPr>
          <w:color w:val="231F20"/>
          <w:w w:val="105"/>
        </w:rPr>
        <w:t>tra-</w:t>
      </w:r>
      <w:r>
        <w:rPr>
          <w:color w:val="231F20"/>
          <w:w w:val="96"/>
        </w:rPr>
        <w:t> </w:t>
      </w:r>
      <w:r>
        <w:rPr>
          <w:color w:val="231F20"/>
          <w:w w:val="105"/>
        </w:rPr>
        <w:t>ductor</w:t>
      </w:r>
      <w:r>
        <w:rPr>
          <w:color w:val="231F20"/>
          <w:spacing w:val="-29"/>
          <w:w w:val="105"/>
        </w:rPr>
        <w:t> </w:t>
      </w:r>
      <w:r>
        <w:rPr>
          <w:color w:val="231F20"/>
          <w:w w:val="105"/>
        </w:rPr>
        <w:t>constituyen</w:t>
      </w:r>
      <w:r>
        <w:rPr>
          <w:color w:val="231F20"/>
          <w:spacing w:val="-29"/>
          <w:w w:val="105"/>
        </w:rPr>
        <w:t> </w:t>
      </w:r>
      <w:r>
        <w:rPr>
          <w:color w:val="231F20"/>
          <w:w w:val="105"/>
        </w:rPr>
        <w:t>aspectos</w:t>
      </w:r>
      <w:r>
        <w:rPr>
          <w:color w:val="231F20"/>
          <w:spacing w:val="-29"/>
          <w:w w:val="105"/>
        </w:rPr>
        <w:t> </w:t>
      </w:r>
      <w:r>
        <w:rPr>
          <w:color w:val="231F20"/>
          <w:w w:val="105"/>
        </w:rPr>
        <w:t>necesarios.</w:t>
      </w:r>
      <w:r>
        <w:rPr>
          <w:color w:val="231F20"/>
          <w:spacing w:val="-33"/>
          <w:w w:val="105"/>
        </w:rPr>
        <w:t> </w:t>
      </w:r>
      <w:r>
        <w:rPr>
          <w:color w:val="231F20"/>
          <w:w w:val="105"/>
        </w:rPr>
        <w:t>El</w:t>
      </w:r>
      <w:r>
        <w:rPr>
          <w:color w:val="231F20"/>
          <w:spacing w:val="-29"/>
          <w:w w:val="105"/>
        </w:rPr>
        <w:t> </w:t>
      </w:r>
      <w:r>
        <w:rPr>
          <w:color w:val="231F20"/>
          <w:w w:val="105"/>
        </w:rPr>
        <w:t>traductor</w:t>
      </w:r>
      <w:r>
        <w:rPr>
          <w:color w:val="231F20"/>
          <w:spacing w:val="-29"/>
          <w:w w:val="105"/>
        </w:rPr>
        <w:t> </w:t>
      </w:r>
      <w:r>
        <w:rPr>
          <w:color w:val="231F20"/>
          <w:w w:val="105"/>
        </w:rPr>
        <w:t>alude</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existencia</w:t>
      </w:r>
      <w:r>
        <w:rPr>
          <w:color w:val="231F20"/>
          <w:w w:val="101"/>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actor</w:t>
      </w:r>
      <w:r>
        <w:rPr>
          <w:color w:val="231F20"/>
          <w:spacing w:val="-20"/>
          <w:w w:val="105"/>
        </w:rPr>
        <w:t> </w:t>
      </w:r>
      <w:r>
        <w:rPr>
          <w:color w:val="231F20"/>
          <w:w w:val="105"/>
        </w:rPr>
        <w:t>inserto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proceso</w:t>
      </w:r>
      <w:r>
        <w:rPr>
          <w:color w:val="231F20"/>
          <w:spacing w:val="-20"/>
          <w:w w:val="105"/>
        </w:rPr>
        <w:t> </w:t>
      </w:r>
      <w:r>
        <w:rPr>
          <w:color w:val="231F20"/>
          <w:w w:val="105"/>
        </w:rPr>
        <w:t>de</w:t>
      </w:r>
      <w:r>
        <w:rPr>
          <w:color w:val="231F20"/>
          <w:spacing w:val="-20"/>
          <w:w w:val="105"/>
        </w:rPr>
        <w:t> </w:t>
      </w:r>
      <w:r>
        <w:rPr>
          <w:color w:val="231F20"/>
          <w:w w:val="105"/>
        </w:rPr>
        <w:t>comunicación</w:t>
      </w:r>
      <w:r>
        <w:rPr>
          <w:color w:val="231F20"/>
          <w:spacing w:val="-20"/>
          <w:w w:val="105"/>
        </w:rPr>
        <w:t> </w:t>
      </w:r>
      <w:r>
        <w:rPr>
          <w:color w:val="231F20"/>
          <w:w w:val="105"/>
        </w:rPr>
        <w:t>donde</w:t>
      </w:r>
      <w:r>
        <w:rPr>
          <w:color w:val="231F20"/>
          <w:spacing w:val="-20"/>
          <w:w w:val="105"/>
        </w:rPr>
        <w:t> </w:t>
      </w:r>
      <w:r>
        <w:rPr>
          <w:color w:val="231F20"/>
          <w:w w:val="105"/>
        </w:rPr>
        <w:t>realiza</w:t>
      </w:r>
      <w:r>
        <w:rPr>
          <w:color w:val="231F20"/>
          <w:spacing w:val="-20"/>
          <w:w w:val="105"/>
        </w:rPr>
        <w:t> </w:t>
      </w:r>
      <w:r>
        <w:rPr>
          <w:color w:val="231F20"/>
          <w:w w:val="105"/>
        </w:rPr>
        <w:t>el</w:t>
      </w:r>
      <w:r>
        <w:rPr>
          <w:color w:val="231F20"/>
          <w:spacing w:val="-20"/>
          <w:w w:val="105"/>
        </w:rPr>
        <w:t> </w:t>
      </w:r>
      <w:r>
        <w:rPr>
          <w:color w:val="231F20"/>
          <w:w w:val="105"/>
        </w:rPr>
        <w:t>papel</w:t>
      </w:r>
      <w:r>
        <w:rPr>
          <w:color w:val="231F20"/>
          <w:w w:val="107"/>
        </w:rPr>
        <w:t> </w:t>
      </w:r>
      <w:r>
        <w:rPr>
          <w:color w:val="231F20"/>
          <w:w w:val="105"/>
        </w:rPr>
        <w:t>de intérprete o “puente” entre otros miembros que poseen lógicas </w:t>
      </w:r>
      <w:r>
        <w:rPr>
          <w:color w:val="231F20"/>
          <w:spacing w:val="18"/>
          <w:w w:val="105"/>
        </w:rPr>
        <w:t> </w:t>
      </w:r>
      <w:r>
        <w:rPr>
          <w:color w:val="231F20"/>
          <w:w w:val="105"/>
        </w:rPr>
        <w:t>dis-</w:t>
      </w:r>
    </w:p>
    <w:p>
      <w:pPr>
        <w:pStyle w:val="BodyText"/>
        <w:spacing w:line="241" w:lineRule="exact"/>
        <w:ind w:left="103"/>
        <w:jc w:val="both"/>
      </w:pPr>
      <w:r>
        <w:rPr>
          <w:color w:val="231F20"/>
        </w:rPr>
        <w:t>tintas (Lara, 2008).</w:t>
      </w:r>
    </w:p>
    <w:p>
      <w:pPr>
        <w:pStyle w:val="BodyText"/>
        <w:spacing w:line="259" w:lineRule="auto" w:before="18"/>
        <w:ind w:left="103" w:right="115" w:firstLine="567"/>
        <w:jc w:val="both"/>
      </w:pPr>
      <w:r>
        <w:rPr>
          <w:color w:val="231F20"/>
          <w:w w:val="105"/>
        </w:rPr>
        <w:t>La</w:t>
      </w:r>
      <w:r>
        <w:rPr>
          <w:color w:val="231F20"/>
          <w:spacing w:val="-14"/>
          <w:w w:val="105"/>
        </w:rPr>
        <w:t> </w:t>
      </w:r>
      <w:r>
        <w:rPr>
          <w:color w:val="231F20"/>
          <w:w w:val="105"/>
        </w:rPr>
        <w:t>confianza</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traducción</w:t>
      </w:r>
      <w:r>
        <w:rPr>
          <w:color w:val="231F20"/>
          <w:spacing w:val="-14"/>
          <w:w w:val="105"/>
        </w:rPr>
        <w:t> </w:t>
      </w:r>
      <w:r>
        <w:rPr>
          <w:color w:val="231F20"/>
          <w:w w:val="105"/>
        </w:rPr>
        <w:t>representan,</w:t>
      </w:r>
      <w:r>
        <w:rPr>
          <w:color w:val="231F20"/>
          <w:spacing w:val="-18"/>
          <w:w w:val="105"/>
        </w:rPr>
        <w:t> </w:t>
      </w:r>
      <w:r>
        <w:rPr>
          <w:color w:val="231F20"/>
          <w:w w:val="105"/>
        </w:rPr>
        <w:t>en</w:t>
      </w:r>
      <w:r>
        <w:rPr>
          <w:color w:val="231F20"/>
          <w:spacing w:val="-14"/>
          <w:w w:val="105"/>
        </w:rPr>
        <w:t> </w:t>
      </w:r>
      <w:r>
        <w:rPr>
          <w:color w:val="231F20"/>
          <w:w w:val="105"/>
        </w:rPr>
        <w:t>cierto</w:t>
      </w:r>
      <w:r>
        <w:rPr>
          <w:color w:val="231F20"/>
          <w:spacing w:val="-14"/>
          <w:w w:val="105"/>
        </w:rPr>
        <w:t> </w:t>
      </w:r>
      <w:r>
        <w:rPr>
          <w:color w:val="231F20"/>
          <w:w w:val="105"/>
        </w:rPr>
        <w:t>grado,</w:t>
      </w:r>
      <w:r>
        <w:rPr>
          <w:color w:val="231F20"/>
          <w:spacing w:val="-18"/>
          <w:w w:val="105"/>
        </w:rPr>
        <w:t> </w:t>
      </w:r>
      <w:r>
        <w:rPr>
          <w:color w:val="231F20"/>
          <w:w w:val="105"/>
        </w:rPr>
        <w:t>factores adjuntos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redes</w:t>
      </w:r>
      <w:r>
        <w:rPr>
          <w:color w:val="231F20"/>
          <w:spacing w:val="-9"/>
          <w:w w:val="105"/>
        </w:rPr>
        <w:t> </w:t>
      </w:r>
      <w:r>
        <w:rPr>
          <w:color w:val="231F20"/>
          <w:w w:val="105"/>
        </w:rPr>
        <w:t>del</w:t>
      </w:r>
      <w:r>
        <w:rPr>
          <w:color w:val="231F20"/>
          <w:spacing w:val="-9"/>
          <w:w w:val="105"/>
        </w:rPr>
        <w:t> </w:t>
      </w:r>
      <w:r>
        <w:rPr>
          <w:color w:val="231F20"/>
          <w:w w:val="105"/>
        </w:rPr>
        <w:t>conocimiento.</w:t>
      </w:r>
      <w:r>
        <w:rPr>
          <w:color w:val="231F20"/>
          <w:spacing w:val="-14"/>
          <w:w w:val="105"/>
        </w:rPr>
        <w:t> </w:t>
      </w:r>
      <w:r>
        <w:rPr>
          <w:color w:val="231F20"/>
          <w:w w:val="105"/>
        </w:rPr>
        <w:t>La</w:t>
      </w:r>
      <w:r>
        <w:rPr>
          <w:color w:val="231F20"/>
          <w:spacing w:val="-9"/>
          <w:w w:val="105"/>
        </w:rPr>
        <w:t> </w:t>
      </w:r>
      <w:r>
        <w:rPr>
          <w:color w:val="231F20"/>
          <w:w w:val="105"/>
        </w:rPr>
        <w:t>confianza</w:t>
      </w:r>
      <w:r>
        <w:rPr>
          <w:color w:val="231F20"/>
          <w:spacing w:val="-9"/>
          <w:w w:val="105"/>
        </w:rPr>
        <w:t> </w:t>
      </w:r>
      <w:r>
        <w:rPr>
          <w:color w:val="231F20"/>
          <w:w w:val="105"/>
        </w:rPr>
        <w:t>es</w:t>
      </w:r>
      <w:r>
        <w:rPr>
          <w:color w:val="231F20"/>
          <w:spacing w:val="-9"/>
          <w:w w:val="105"/>
        </w:rPr>
        <w:t> </w:t>
      </w:r>
      <w:r>
        <w:rPr>
          <w:color w:val="231F20"/>
          <w:w w:val="105"/>
        </w:rPr>
        <w:t>necesaria</w:t>
      </w:r>
      <w:r>
        <w:rPr>
          <w:color w:val="231F20"/>
          <w:spacing w:val="-9"/>
          <w:w w:val="105"/>
        </w:rPr>
        <w:t> </w:t>
      </w:r>
      <w:r>
        <w:rPr>
          <w:color w:val="231F20"/>
          <w:w w:val="105"/>
        </w:rPr>
        <w:t>para llevar a cabo una vinculación y la heterogeneidad de actores hace de la función de traducción un recurso preponderante. Incluso es posible encontrar</w:t>
      </w:r>
      <w:r>
        <w:rPr>
          <w:color w:val="231F20"/>
          <w:spacing w:val="-28"/>
          <w:w w:val="105"/>
        </w:rPr>
        <w:t> </w:t>
      </w:r>
      <w:r>
        <w:rPr>
          <w:color w:val="231F20"/>
          <w:w w:val="105"/>
        </w:rPr>
        <w:t>una</w:t>
      </w:r>
      <w:r>
        <w:rPr>
          <w:color w:val="231F20"/>
          <w:spacing w:val="-28"/>
          <w:w w:val="105"/>
        </w:rPr>
        <w:t> </w:t>
      </w:r>
      <w:r>
        <w:rPr>
          <w:color w:val="231F20"/>
          <w:w w:val="105"/>
        </w:rPr>
        <w:t>relación</w:t>
      </w:r>
      <w:r>
        <w:rPr>
          <w:color w:val="231F20"/>
          <w:spacing w:val="-28"/>
          <w:w w:val="105"/>
        </w:rPr>
        <w:t> </w:t>
      </w:r>
      <w:r>
        <w:rPr>
          <w:color w:val="231F20"/>
          <w:w w:val="105"/>
        </w:rPr>
        <w:t>inversa</w:t>
      </w:r>
      <w:r>
        <w:rPr>
          <w:color w:val="231F20"/>
          <w:spacing w:val="-28"/>
          <w:w w:val="105"/>
        </w:rPr>
        <w:t> </w:t>
      </w:r>
      <w:r>
        <w:rPr>
          <w:color w:val="231F20"/>
          <w:w w:val="105"/>
        </w:rPr>
        <w:t>entre</w:t>
      </w:r>
      <w:r>
        <w:rPr>
          <w:color w:val="231F20"/>
          <w:spacing w:val="-28"/>
          <w:w w:val="105"/>
        </w:rPr>
        <w:t> </w:t>
      </w:r>
      <w:r>
        <w:rPr>
          <w:color w:val="231F20"/>
          <w:w w:val="105"/>
        </w:rPr>
        <w:t>confianza</w:t>
      </w:r>
      <w:r>
        <w:rPr>
          <w:color w:val="231F20"/>
          <w:spacing w:val="-28"/>
          <w:w w:val="105"/>
        </w:rPr>
        <w:t> </w:t>
      </w:r>
      <w:r>
        <w:rPr>
          <w:color w:val="231F20"/>
          <w:w w:val="105"/>
        </w:rPr>
        <w:t>y</w:t>
      </w:r>
      <w:r>
        <w:rPr>
          <w:color w:val="231F20"/>
          <w:spacing w:val="-28"/>
          <w:w w:val="105"/>
        </w:rPr>
        <w:t> </w:t>
      </w:r>
      <w:r>
        <w:rPr>
          <w:color w:val="231F20"/>
          <w:w w:val="105"/>
        </w:rPr>
        <w:t>traducción:</w:t>
      </w:r>
      <w:r>
        <w:rPr>
          <w:color w:val="231F20"/>
          <w:spacing w:val="-28"/>
          <w:w w:val="105"/>
        </w:rPr>
        <w:t> </w:t>
      </w:r>
      <w:r>
        <w:rPr>
          <w:color w:val="231F20"/>
          <w:w w:val="105"/>
        </w:rPr>
        <w:t>cuando</w:t>
      </w:r>
      <w:r>
        <w:rPr>
          <w:color w:val="231F20"/>
          <w:spacing w:val="-28"/>
          <w:w w:val="105"/>
        </w:rPr>
        <w:t> </w:t>
      </w:r>
      <w:r>
        <w:rPr>
          <w:color w:val="231F20"/>
          <w:w w:val="105"/>
        </w:rPr>
        <w:t>exis- te</w:t>
      </w:r>
      <w:r>
        <w:rPr>
          <w:color w:val="231F20"/>
          <w:spacing w:val="-11"/>
          <w:w w:val="105"/>
        </w:rPr>
        <w:t> </w:t>
      </w:r>
      <w:r>
        <w:rPr>
          <w:color w:val="231F20"/>
          <w:w w:val="105"/>
        </w:rPr>
        <w:t>confianza</w:t>
      </w:r>
      <w:r>
        <w:rPr>
          <w:color w:val="231F20"/>
          <w:spacing w:val="-11"/>
          <w:w w:val="105"/>
        </w:rPr>
        <w:t> </w:t>
      </w:r>
      <w:r>
        <w:rPr>
          <w:color w:val="231F20"/>
          <w:w w:val="105"/>
        </w:rPr>
        <w:t>entre</w:t>
      </w:r>
      <w:r>
        <w:rPr>
          <w:color w:val="231F20"/>
          <w:spacing w:val="-11"/>
          <w:w w:val="105"/>
        </w:rPr>
        <w:t> </w:t>
      </w:r>
      <w:r>
        <w:rPr>
          <w:color w:val="231F20"/>
          <w:w w:val="105"/>
        </w:rPr>
        <w:t>actores,</w:t>
      </w:r>
      <w:r>
        <w:rPr>
          <w:color w:val="231F20"/>
          <w:spacing w:val="-17"/>
          <w:w w:val="105"/>
        </w:rPr>
        <w:t> </w:t>
      </w:r>
      <w:r>
        <w:rPr>
          <w:color w:val="231F20"/>
          <w:w w:val="105"/>
        </w:rPr>
        <w:t>la</w:t>
      </w:r>
      <w:r>
        <w:rPr>
          <w:color w:val="231F20"/>
          <w:spacing w:val="-11"/>
          <w:w w:val="105"/>
        </w:rPr>
        <w:t> </w:t>
      </w:r>
      <w:r>
        <w:rPr>
          <w:color w:val="231F20"/>
          <w:w w:val="105"/>
        </w:rPr>
        <w:t>traducción</w:t>
      </w:r>
      <w:r>
        <w:rPr>
          <w:color w:val="231F20"/>
          <w:spacing w:val="-11"/>
          <w:w w:val="105"/>
        </w:rPr>
        <w:t> </w:t>
      </w:r>
      <w:r>
        <w:rPr>
          <w:color w:val="231F20"/>
          <w:w w:val="105"/>
        </w:rPr>
        <w:t>es</w:t>
      </w:r>
      <w:r>
        <w:rPr>
          <w:color w:val="231F20"/>
          <w:spacing w:val="-11"/>
          <w:w w:val="105"/>
        </w:rPr>
        <w:t> </w:t>
      </w:r>
      <w:r>
        <w:rPr>
          <w:color w:val="231F20"/>
          <w:w w:val="105"/>
        </w:rPr>
        <w:t>menos</w:t>
      </w:r>
      <w:r>
        <w:rPr>
          <w:color w:val="231F20"/>
          <w:spacing w:val="-11"/>
          <w:w w:val="105"/>
        </w:rPr>
        <w:t> </w:t>
      </w:r>
      <w:r>
        <w:rPr>
          <w:color w:val="231F20"/>
          <w:w w:val="105"/>
        </w:rPr>
        <w:t>importante,</w:t>
      </w:r>
      <w:r>
        <w:rPr>
          <w:color w:val="231F20"/>
          <w:spacing w:val="-17"/>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la comunicación</w:t>
      </w:r>
      <w:r>
        <w:rPr>
          <w:color w:val="231F20"/>
          <w:spacing w:val="-32"/>
          <w:w w:val="105"/>
        </w:rPr>
        <w:t> </w:t>
      </w:r>
      <w:r>
        <w:rPr>
          <w:color w:val="231F20"/>
          <w:w w:val="105"/>
        </w:rPr>
        <w:t>tiende</w:t>
      </w:r>
      <w:r>
        <w:rPr>
          <w:color w:val="231F20"/>
          <w:spacing w:val="-32"/>
          <w:w w:val="105"/>
        </w:rPr>
        <w:t> </w:t>
      </w:r>
      <w:r>
        <w:rPr>
          <w:color w:val="231F20"/>
          <w:w w:val="105"/>
        </w:rPr>
        <w:t>a</w:t>
      </w:r>
      <w:r>
        <w:rPr>
          <w:color w:val="231F20"/>
          <w:spacing w:val="-32"/>
          <w:w w:val="105"/>
        </w:rPr>
        <w:t> </w:t>
      </w:r>
      <w:r>
        <w:rPr>
          <w:color w:val="231F20"/>
          <w:w w:val="105"/>
        </w:rPr>
        <w:t>ser</w:t>
      </w:r>
      <w:r>
        <w:rPr>
          <w:color w:val="231F20"/>
          <w:spacing w:val="-32"/>
          <w:w w:val="105"/>
        </w:rPr>
        <w:t> </w:t>
      </w:r>
      <w:r>
        <w:rPr>
          <w:color w:val="231F20"/>
          <w:w w:val="105"/>
        </w:rPr>
        <w:t>más</w:t>
      </w:r>
      <w:r>
        <w:rPr>
          <w:color w:val="231F20"/>
          <w:spacing w:val="-32"/>
          <w:w w:val="105"/>
        </w:rPr>
        <w:t> </w:t>
      </w:r>
      <w:r>
        <w:rPr>
          <w:color w:val="231F20"/>
          <w:w w:val="105"/>
        </w:rPr>
        <w:t>fácil</w:t>
      </w:r>
      <w:r>
        <w:rPr>
          <w:color w:val="231F20"/>
          <w:spacing w:val="-32"/>
          <w:w w:val="105"/>
        </w:rPr>
        <w:t> </w:t>
      </w:r>
      <w:r>
        <w:rPr>
          <w:color w:val="231F20"/>
          <w:w w:val="105"/>
        </w:rPr>
        <w:t>y</w:t>
      </w:r>
      <w:r>
        <w:rPr>
          <w:color w:val="231F20"/>
          <w:spacing w:val="-32"/>
          <w:w w:val="105"/>
        </w:rPr>
        <w:t> </w:t>
      </w:r>
      <w:r>
        <w:rPr>
          <w:color w:val="231F20"/>
          <w:w w:val="105"/>
        </w:rPr>
        <w:t>viceversa</w:t>
      </w:r>
      <w:r>
        <w:rPr>
          <w:color w:val="231F20"/>
          <w:spacing w:val="-32"/>
          <w:w w:val="105"/>
        </w:rPr>
        <w:t> </w:t>
      </w:r>
      <w:r>
        <w:rPr>
          <w:color w:val="231F20"/>
          <w:w w:val="105"/>
        </w:rPr>
        <w:t>(Luna</w:t>
      </w:r>
      <w:r>
        <w:rPr>
          <w:color w:val="231F20"/>
          <w:spacing w:val="-32"/>
          <w:w w:val="105"/>
        </w:rPr>
        <w:t> </w:t>
      </w:r>
      <w:r>
        <w:rPr>
          <w:color w:val="231F20"/>
          <w:w w:val="105"/>
        </w:rPr>
        <w:t>y</w:t>
      </w:r>
      <w:r>
        <w:rPr>
          <w:color w:val="231F20"/>
          <w:spacing w:val="-34"/>
          <w:w w:val="105"/>
        </w:rPr>
        <w:t> </w:t>
      </w:r>
      <w:r>
        <w:rPr>
          <w:color w:val="231F20"/>
          <w:w w:val="105"/>
        </w:rPr>
        <w:t>Velasco,</w:t>
      </w:r>
      <w:r>
        <w:rPr>
          <w:color w:val="231F20"/>
          <w:spacing w:val="-36"/>
          <w:w w:val="105"/>
        </w:rPr>
        <w:t> </w:t>
      </w:r>
      <w:r>
        <w:rPr>
          <w:color w:val="231F20"/>
          <w:w w:val="105"/>
        </w:rPr>
        <w:t>2003).</w:t>
      </w:r>
    </w:p>
    <w:p>
      <w:pPr>
        <w:pStyle w:val="BodyText"/>
        <w:spacing w:line="259" w:lineRule="auto"/>
        <w:ind w:left="103" w:right="109" w:firstLine="567"/>
        <w:jc w:val="right"/>
      </w:pPr>
      <w:r>
        <w:rPr>
          <w:color w:val="231F20"/>
          <w:w w:val="105"/>
        </w:rPr>
        <w:t>La negociación es un mecanismo de resolución de</w:t>
      </w:r>
      <w:r>
        <w:rPr>
          <w:color w:val="231F20"/>
          <w:spacing w:val="-16"/>
          <w:w w:val="105"/>
        </w:rPr>
        <w:t> </w:t>
      </w:r>
      <w:r>
        <w:rPr>
          <w:color w:val="231F20"/>
          <w:w w:val="105"/>
        </w:rPr>
        <w:t>conflictos</w:t>
      </w:r>
      <w:r>
        <w:rPr>
          <w:color w:val="231F20"/>
          <w:spacing w:val="-2"/>
          <w:w w:val="105"/>
        </w:rPr>
        <w:t> </w:t>
      </w:r>
      <w:r>
        <w:rPr>
          <w:color w:val="231F20"/>
          <w:w w:val="105"/>
        </w:rPr>
        <w:t>que</w:t>
      </w:r>
      <w:r>
        <w:rPr>
          <w:color w:val="231F20"/>
          <w:w w:val="107"/>
        </w:rPr>
        <w:t> </w:t>
      </w:r>
      <w:r>
        <w:rPr>
          <w:color w:val="231F20"/>
          <w:w w:val="105"/>
        </w:rPr>
        <w:t>permite</w:t>
      </w:r>
      <w:r>
        <w:rPr>
          <w:color w:val="231F20"/>
          <w:spacing w:val="-30"/>
          <w:w w:val="105"/>
        </w:rPr>
        <w:t> </w:t>
      </w:r>
      <w:r>
        <w:rPr>
          <w:color w:val="231F20"/>
          <w:w w:val="105"/>
        </w:rPr>
        <w:t>alcanzar</w:t>
      </w:r>
      <w:r>
        <w:rPr>
          <w:color w:val="231F20"/>
          <w:spacing w:val="-30"/>
          <w:w w:val="105"/>
        </w:rPr>
        <w:t> </w:t>
      </w:r>
      <w:r>
        <w:rPr>
          <w:color w:val="231F20"/>
          <w:w w:val="105"/>
        </w:rPr>
        <w:t>consensos</w:t>
      </w:r>
      <w:r>
        <w:rPr>
          <w:color w:val="231F20"/>
          <w:spacing w:val="-30"/>
          <w:w w:val="105"/>
        </w:rPr>
        <w:t> </w:t>
      </w:r>
      <w:r>
        <w:rPr>
          <w:color w:val="231F20"/>
          <w:w w:val="105"/>
        </w:rPr>
        <w:t>entre</w:t>
      </w:r>
      <w:r>
        <w:rPr>
          <w:color w:val="231F20"/>
          <w:spacing w:val="-30"/>
          <w:w w:val="105"/>
        </w:rPr>
        <w:t> </w:t>
      </w:r>
      <w:r>
        <w:rPr>
          <w:color w:val="231F20"/>
          <w:w w:val="105"/>
        </w:rPr>
        <w:t>los</w:t>
      </w:r>
      <w:r>
        <w:rPr>
          <w:color w:val="231F20"/>
          <w:spacing w:val="-30"/>
          <w:w w:val="105"/>
        </w:rPr>
        <w:t> </w:t>
      </w:r>
      <w:r>
        <w:rPr>
          <w:color w:val="231F20"/>
          <w:w w:val="105"/>
        </w:rPr>
        <w:t>involucrados.</w:t>
      </w:r>
      <w:r>
        <w:rPr>
          <w:color w:val="231F20"/>
          <w:spacing w:val="-33"/>
          <w:w w:val="105"/>
        </w:rPr>
        <w:t> </w:t>
      </w:r>
      <w:r>
        <w:rPr>
          <w:color w:val="231F20"/>
          <w:w w:val="105"/>
        </w:rPr>
        <w:t>Entre</w:t>
      </w:r>
      <w:r>
        <w:rPr>
          <w:color w:val="231F20"/>
          <w:spacing w:val="-30"/>
          <w:w w:val="105"/>
        </w:rPr>
        <w:t> </w:t>
      </w:r>
      <w:r>
        <w:rPr>
          <w:color w:val="231F20"/>
          <w:w w:val="105"/>
        </w:rPr>
        <w:t>otros</w:t>
      </w:r>
      <w:r>
        <w:rPr>
          <w:color w:val="231F20"/>
          <w:spacing w:val="-30"/>
          <w:w w:val="105"/>
        </w:rPr>
        <w:t> </w:t>
      </w:r>
      <w:r>
        <w:rPr>
          <w:color w:val="231F20"/>
          <w:w w:val="105"/>
        </w:rPr>
        <w:t>aspectos,</w:t>
      </w:r>
      <w:r>
        <w:rPr>
          <w:color w:val="231F20"/>
          <w:w w:val="100"/>
        </w:rPr>
        <w:t> </w:t>
      </w:r>
      <w:r>
        <w:rPr>
          <w:color w:val="231F20"/>
          <w:w w:val="105"/>
        </w:rPr>
        <w:t>se vincula con la traducción para facilitar la fijación de criterios</w:t>
      </w:r>
      <w:r>
        <w:rPr>
          <w:color w:val="231F20"/>
          <w:spacing w:val="-31"/>
          <w:w w:val="105"/>
        </w:rPr>
        <w:t> </w:t>
      </w:r>
      <w:r>
        <w:rPr>
          <w:color w:val="231F20"/>
          <w:w w:val="105"/>
        </w:rPr>
        <w:t>sobre</w:t>
      </w:r>
      <w:r>
        <w:rPr>
          <w:color w:val="231F20"/>
          <w:spacing w:val="-3"/>
          <w:w w:val="105"/>
        </w:rPr>
        <w:t> </w:t>
      </w:r>
      <w:r>
        <w:rPr>
          <w:color w:val="231F20"/>
          <w:w w:val="105"/>
        </w:rPr>
        <w:t>la</w:t>
      </w:r>
      <w:r>
        <w:rPr>
          <w:color w:val="231F20"/>
          <w:w w:val="100"/>
        </w:rPr>
        <w:t> </w:t>
      </w:r>
      <w:r>
        <w:rPr>
          <w:color w:val="231F20"/>
          <w:w w:val="105"/>
        </w:rPr>
        <w:t>definición</w:t>
      </w:r>
      <w:r>
        <w:rPr>
          <w:color w:val="231F20"/>
          <w:spacing w:val="-23"/>
          <w:w w:val="105"/>
        </w:rPr>
        <w:t> </w:t>
      </w:r>
      <w:r>
        <w:rPr>
          <w:color w:val="231F20"/>
          <w:w w:val="105"/>
        </w:rPr>
        <w:t>de</w:t>
      </w:r>
      <w:r>
        <w:rPr>
          <w:color w:val="231F20"/>
          <w:spacing w:val="-23"/>
          <w:w w:val="105"/>
        </w:rPr>
        <w:t> </w:t>
      </w:r>
      <w:r>
        <w:rPr>
          <w:color w:val="231F20"/>
          <w:w w:val="105"/>
        </w:rPr>
        <w:t>pérdidas</w:t>
      </w:r>
      <w:r>
        <w:rPr>
          <w:color w:val="231F20"/>
          <w:spacing w:val="-23"/>
          <w:w w:val="105"/>
        </w:rPr>
        <w:t> </w:t>
      </w:r>
      <w:r>
        <w:rPr>
          <w:color w:val="231F20"/>
          <w:w w:val="105"/>
        </w:rPr>
        <w:t>y</w:t>
      </w:r>
      <w:r>
        <w:rPr>
          <w:color w:val="231F20"/>
          <w:spacing w:val="-23"/>
          <w:w w:val="105"/>
        </w:rPr>
        <w:t> </w:t>
      </w:r>
      <w:r>
        <w:rPr>
          <w:color w:val="231F20"/>
          <w:w w:val="105"/>
        </w:rPr>
        <w:t>ganancias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relación</w:t>
      </w:r>
      <w:r>
        <w:rPr>
          <w:color w:val="231F20"/>
          <w:spacing w:val="-23"/>
          <w:w w:val="105"/>
        </w:rPr>
        <w:t> </w:t>
      </w:r>
      <w:r>
        <w:rPr>
          <w:color w:val="231F20"/>
          <w:w w:val="105"/>
        </w:rPr>
        <w:t>(Luna</w:t>
      </w:r>
      <w:r>
        <w:rPr>
          <w:color w:val="231F20"/>
          <w:spacing w:val="-23"/>
          <w:w w:val="105"/>
        </w:rPr>
        <w:t> </w:t>
      </w:r>
      <w:r>
        <w:rPr>
          <w:color w:val="231F20"/>
          <w:w w:val="105"/>
        </w:rPr>
        <w:t>y</w:t>
      </w:r>
      <w:r>
        <w:rPr>
          <w:color w:val="231F20"/>
          <w:spacing w:val="-26"/>
          <w:w w:val="105"/>
        </w:rPr>
        <w:t> </w:t>
      </w:r>
      <w:r>
        <w:rPr>
          <w:color w:val="231F20"/>
          <w:w w:val="105"/>
        </w:rPr>
        <w:t>Velasco,</w:t>
      </w:r>
      <w:r>
        <w:rPr>
          <w:color w:val="231F20"/>
          <w:spacing w:val="-29"/>
          <w:w w:val="105"/>
        </w:rPr>
        <w:t> </w:t>
      </w:r>
      <w:r>
        <w:rPr>
          <w:color w:val="231F20"/>
          <w:w w:val="105"/>
        </w:rPr>
        <w:t>2006).</w:t>
      </w:r>
      <w:r>
        <w:rPr>
          <w:color w:val="231F20"/>
          <w:w w:val="101"/>
        </w:rPr>
        <w:t> </w:t>
      </w:r>
      <w:r>
        <w:rPr>
          <w:color w:val="231F20"/>
          <w:w w:val="105"/>
        </w:rPr>
        <w:t>La</w:t>
      </w:r>
      <w:r>
        <w:rPr>
          <w:color w:val="231F20"/>
          <w:spacing w:val="-16"/>
          <w:w w:val="105"/>
        </w:rPr>
        <w:t> </w:t>
      </w:r>
      <w:r>
        <w:rPr>
          <w:color w:val="231F20"/>
          <w:w w:val="105"/>
        </w:rPr>
        <w:t>deliberación</w:t>
      </w:r>
      <w:r>
        <w:rPr>
          <w:color w:val="231F20"/>
          <w:spacing w:val="-16"/>
          <w:w w:val="105"/>
        </w:rPr>
        <w:t> </w:t>
      </w:r>
      <w:r>
        <w:rPr>
          <w:color w:val="231F20"/>
          <w:w w:val="105"/>
        </w:rPr>
        <w:t>precisa</w:t>
      </w:r>
      <w:r>
        <w:rPr>
          <w:color w:val="231F20"/>
          <w:spacing w:val="-16"/>
          <w:w w:val="105"/>
        </w:rPr>
        <w:t> </w:t>
      </w:r>
      <w:r>
        <w:rPr>
          <w:color w:val="231F20"/>
          <w:w w:val="105"/>
        </w:rPr>
        <w:t>la</w:t>
      </w:r>
      <w:r>
        <w:rPr>
          <w:color w:val="231F20"/>
          <w:spacing w:val="-16"/>
          <w:w w:val="105"/>
        </w:rPr>
        <w:t> </w:t>
      </w:r>
      <w:r>
        <w:rPr>
          <w:color w:val="231F20"/>
          <w:w w:val="105"/>
        </w:rPr>
        <w:t>construcción</w:t>
      </w:r>
      <w:r>
        <w:rPr>
          <w:color w:val="231F20"/>
          <w:spacing w:val="-16"/>
          <w:w w:val="105"/>
        </w:rPr>
        <w:t> </w:t>
      </w:r>
      <w:r>
        <w:rPr>
          <w:color w:val="231F20"/>
          <w:w w:val="105"/>
        </w:rPr>
        <w:t>de</w:t>
      </w:r>
      <w:r>
        <w:rPr>
          <w:color w:val="231F20"/>
          <w:spacing w:val="-16"/>
          <w:w w:val="105"/>
        </w:rPr>
        <w:t> </w:t>
      </w:r>
      <w:r>
        <w:rPr>
          <w:color w:val="231F20"/>
          <w:w w:val="105"/>
        </w:rPr>
        <w:t>consensos</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redefini-</w:t>
      </w:r>
    </w:p>
    <w:p>
      <w:pPr>
        <w:pStyle w:val="BodyText"/>
        <w:spacing w:line="259" w:lineRule="auto"/>
        <w:ind w:left="103" w:right="114"/>
        <w:jc w:val="both"/>
      </w:pPr>
      <w:r>
        <w:rPr>
          <w:color w:val="231F20"/>
        </w:rPr>
        <w:t>ción de objetivos y criterios de interacción, a través de la discusión racio- nal de argumentos, lo cual requiere confianza y un lenguaje común entre los participantes. Específicamente, se relaciona con la identificación de  un problema y el acuerdo sobre la forma de resolverlo conjuntamente (Luna y Velasco, 2006). </w:t>
      </w:r>
      <w:r>
        <w:rPr>
          <w:color w:val="231F20"/>
          <w:spacing w:val="-6"/>
        </w:rPr>
        <w:t>Por </w:t>
      </w:r>
      <w:r>
        <w:rPr>
          <w:color w:val="231F20"/>
        </w:rPr>
        <w:t>tanto, la deliberación conduce a un proceso de aprendizaje grupal al compartir información, analizarla colectivamen- te, evaluar puntos a favor y en contra sobre la elección de un determina- do rumbo de acción, así como la valoración de las implicaciones de la decisión colectiva (Lara,</w:t>
      </w:r>
      <w:r>
        <w:rPr>
          <w:color w:val="231F20"/>
          <w:spacing w:val="22"/>
        </w:rPr>
        <w:t> </w:t>
      </w:r>
      <w:r>
        <w:rPr>
          <w:color w:val="231F20"/>
        </w:rPr>
        <w:t>2008).</w:t>
      </w:r>
    </w:p>
    <w:p>
      <w:pPr>
        <w:pStyle w:val="BodyText"/>
        <w:spacing w:line="259" w:lineRule="auto"/>
        <w:ind w:left="103" w:right="114" w:firstLine="567"/>
        <w:jc w:val="both"/>
      </w:pP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redes</w:t>
      </w:r>
      <w:r>
        <w:rPr>
          <w:color w:val="231F20"/>
          <w:spacing w:val="-9"/>
          <w:w w:val="105"/>
        </w:rPr>
        <w:t> </w:t>
      </w:r>
      <w:r>
        <w:rPr>
          <w:color w:val="231F20"/>
          <w:w w:val="105"/>
        </w:rPr>
        <w:t>de</w:t>
      </w:r>
      <w:r>
        <w:rPr>
          <w:color w:val="231F20"/>
          <w:spacing w:val="-9"/>
          <w:w w:val="105"/>
        </w:rPr>
        <w:t> </w:t>
      </w:r>
      <w:r>
        <w:rPr>
          <w:color w:val="231F20"/>
          <w:w w:val="105"/>
        </w:rPr>
        <w:t>conocimiento</w:t>
      </w:r>
      <w:r>
        <w:rPr>
          <w:color w:val="231F20"/>
          <w:spacing w:val="-9"/>
          <w:w w:val="105"/>
        </w:rPr>
        <w:t> </w:t>
      </w:r>
      <w:r>
        <w:rPr>
          <w:color w:val="231F20"/>
          <w:w w:val="105"/>
        </w:rPr>
        <w:t>la</w:t>
      </w:r>
      <w:r>
        <w:rPr>
          <w:color w:val="231F20"/>
          <w:spacing w:val="-9"/>
          <w:w w:val="105"/>
        </w:rPr>
        <w:t> </w:t>
      </w:r>
      <w:r>
        <w:rPr>
          <w:color w:val="231F20"/>
          <w:w w:val="105"/>
        </w:rPr>
        <w:t>negociación</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deliberación</w:t>
      </w:r>
      <w:r>
        <w:rPr>
          <w:color w:val="231F20"/>
          <w:spacing w:val="-9"/>
          <w:w w:val="105"/>
        </w:rPr>
        <w:t> </w:t>
      </w:r>
      <w:r>
        <w:rPr>
          <w:color w:val="231F20"/>
          <w:w w:val="105"/>
        </w:rPr>
        <w:t>son mecanismos</w:t>
      </w:r>
      <w:r>
        <w:rPr>
          <w:color w:val="231F20"/>
          <w:spacing w:val="-18"/>
          <w:w w:val="105"/>
        </w:rPr>
        <w:t> </w:t>
      </w:r>
      <w:r>
        <w:rPr>
          <w:color w:val="231F20"/>
          <w:w w:val="105"/>
        </w:rPr>
        <w:t>inherentes</w:t>
      </w:r>
      <w:r>
        <w:rPr>
          <w:color w:val="231F20"/>
          <w:spacing w:val="-18"/>
          <w:w w:val="105"/>
        </w:rPr>
        <w:t> </w:t>
      </w:r>
      <w:r>
        <w:rPr>
          <w:color w:val="231F20"/>
          <w:w w:val="105"/>
        </w:rPr>
        <w:t>al</w:t>
      </w:r>
      <w:r>
        <w:rPr>
          <w:color w:val="231F20"/>
          <w:spacing w:val="-18"/>
          <w:w w:val="105"/>
        </w:rPr>
        <w:t> </w:t>
      </w:r>
      <w:r>
        <w:rPr>
          <w:color w:val="231F20"/>
          <w:w w:val="105"/>
        </w:rPr>
        <w:t>proceso</w:t>
      </w:r>
      <w:r>
        <w:rPr>
          <w:color w:val="231F20"/>
          <w:spacing w:val="-18"/>
          <w:w w:val="105"/>
        </w:rPr>
        <w:t> </w:t>
      </w:r>
      <w:r>
        <w:rPr>
          <w:color w:val="231F20"/>
          <w:w w:val="105"/>
        </w:rPr>
        <w:t>de</w:t>
      </w:r>
      <w:r>
        <w:rPr>
          <w:color w:val="231F20"/>
          <w:spacing w:val="-18"/>
          <w:w w:val="105"/>
        </w:rPr>
        <w:t> </w:t>
      </w:r>
      <w:r>
        <w:rPr>
          <w:color w:val="231F20"/>
          <w:w w:val="105"/>
        </w:rPr>
        <w:t>toma</w:t>
      </w:r>
      <w:r>
        <w:rPr>
          <w:color w:val="231F20"/>
          <w:spacing w:val="-18"/>
          <w:w w:val="105"/>
        </w:rPr>
        <w:t> </w:t>
      </w:r>
      <w:r>
        <w:rPr>
          <w:color w:val="231F20"/>
          <w:w w:val="105"/>
        </w:rPr>
        <w:t>de</w:t>
      </w:r>
      <w:r>
        <w:rPr>
          <w:color w:val="231F20"/>
          <w:spacing w:val="-18"/>
          <w:w w:val="105"/>
        </w:rPr>
        <w:t> </w:t>
      </w:r>
      <w:r>
        <w:rPr>
          <w:color w:val="231F20"/>
          <w:w w:val="105"/>
        </w:rPr>
        <w:t>decisiones;</w:t>
      </w:r>
      <w:r>
        <w:rPr>
          <w:color w:val="231F20"/>
          <w:spacing w:val="-18"/>
          <w:w w:val="105"/>
        </w:rPr>
        <w:t> </w:t>
      </w:r>
      <w:r>
        <w:rPr>
          <w:color w:val="231F20"/>
          <w:w w:val="105"/>
        </w:rPr>
        <w:t>ambas</w:t>
      </w:r>
      <w:r>
        <w:rPr>
          <w:color w:val="231F20"/>
          <w:spacing w:val="-18"/>
          <w:w w:val="105"/>
        </w:rPr>
        <w:t> </w:t>
      </w:r>
      <w:r>
        <w:rPr>
          <w:color w:val="231F20"/>
          <w:w w:val="105"/>
        </w:rPr>
        <w:t>se</w:t>
      </w:r>
      <w:r>
        <w:rPr>
          <w:color w:val="231F20"/>
          <w:spacing w:val="-18"/>
          <w:w w:val="105"/>
        </w:rPr>
        <w:t> </w:t>
      </w:r>
      <w:r>
        <w:rPr>
          <w:color w:val="231F20"/>
          <w:w w:val="105"/>
        </w:rPr>
        <w:t>re- lacionan</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resolución</w:t>
      </w:r>
      <w:r>
        <w:rPr>
          <w:color w:val="231F20"/>
          <w:spacing w:val="-14"/>
          <w:w w:val="105"/>
        </w:rPr>
        <w:t> </w:t>
      </w:r>
      <w:r>
        <w:rPr>
          <w:color w:val="231F20"/>
          <w:w w:val="105"/>
        </w:rPr>
        <w:t>de</w:t>
      </w:r>
      <w:r>
        <w:rPr>
          <w:color w:val="231F20"/>
          <w:spacing w:val="-14"/>
          <w:w w:val="105"/>
        </w:rPr>
        <w:t> </w:t>
      </w:r>
      <w:r>
        <w:rPr>
          <w:color w:val="231F20"/>
          <w:w w:val="105"/>
        </w:rPr>
        <w:t>problemas</w:t>
      </w:r>
      <w:r>
        <w:rPr>
          <w:color w:val="231F20"/>
          <w:spacing w:val="-14"/>
          <w:w w:val="105"/>
        </w:rPr>
        <w:t> </w:t>
      </w:r>
      <w:r>
        <w:rPr>
          <w:color w:val="231F20"/>
          <w:w w:val="105"/>
        </w:rPr>
        <w:t>y</w:t>
      </w:r>
      <w:r>
        <w:rPr>
          <w:color w:val="231F20"/>
          <w:spacing w:val="-14"/>
          <w:w w:val="105"/>
        </w:rPr>
        <w:t> </w:t>
      </w:r>
      <w:r>
        <w:rPr>
          <w:color w:val="231F20"/>
          <w:w w:val="105"/>
        </w:rPr>
        <w:t>conflictos</w:t>
      </w:r>
      <w:r>
        <w:rPr>
          <w:color w:val="231F20"/>
          <w:spacing w:val="-14"/>
          <w:w w:val="105"/>
        </w:rPr>
        <w:t> </w:t>
      </w:r>
      <w:r>
        <w:rPr>
          <w:color w:val="231F20"/>
          <w:w w:val="105"/>
        </w:rPr>
        <w:t>derivados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vin- </w:t>
      </w:r>
      <w:r>
        <w:rPr>
          <w:color w:val="231F20"/>
        </w:rPr>
        <w:t>culación (Lara,</w:t>
      </w:r>
      <w:r>
        <w:rPr>
          <w:color w:val="231F20"/>
          <w:spacing w:val="-8"/>
        </w:rPr>
        <w:t> </w:t>
      </w:r>
      <w:r>
        <w:rPr>
          <w:color w:val="231F20"/>
        </w:rPr>
        <w:t>2008).</w:t>
      </w:r>
    </w:p>
    <w:p>
      <w:pPr>
        <w:pStyle w:val="BodyText"/>
        <w:spacing w:line="259" w:lineRule="auto"/>
        <w:ind w:left="103" w:right="115" w:firstLine="567"/>
        <w:jc w:val="both"/>
      </w:pPr>
      <w:r>
        <w:rPr>
          <w:color w:val="231F20"/>
          <w:w w:val="105"/>
        </w:rPr>
        <w:t>Relativo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resultados</w:t>
      </w:r>
      <w:r>
        <w:rPr>
          <w:color w:val="231F20"/>
          <w:spacing w:val="-13"/>
          <w:w w:val="105"/>
        </w:rPr>
        <w:t> </w:t>
      </w:r>
      <w:r>
        <w:rPr>
          <w:color w:val="231F20"/>
          <w:w w:val="105"/>
        </w:rPr>
        <w:t>de</w:t>
      </w:r>
      <w:r>
        <w:rPr>
          <w:color w:val="231F20"/>
          <w:spacing w:val="-13"/>
          <w:w w:val="105"/>
        </w:rPr>
        <w:t> </w:t>
      </w:r>
      <w:r>
        <w:rPr>
          <w:color w:val="231F20"/>
          <w:w w:val="105"/>
        </w:rPr>
        <w:t>desempeño</w:t>
      </w:r>
      <w:r>
        <w:rPr>
          <w:color w:val="231F20"/>
          <w:spacing w:val="-13"/>
          <w:w w:val="105"/>
        </w:rPr>
        <w:t> </w:t>
      </w:r>
      <w:r>
        <w:rPr>
          <w:color w:val="231F20"/>
          <w:w w:val="105"/>
        </w:rPr>
        <w:t>reticular,</w:t>
      </w:r>
      <w:r>
        <w:rPr>
          <w:color w:val="231F20"/>
          <w:spacing w:val="-18"/>
          <w:w w:val="105"/>
        </w:rPr>
        <w:t> </w:t>
      </w:r>
      <w:r>
        <w:rPr>
          <w:color w:val="231F20"/>
          <w:w w:val="105"/>
        </w:rPr>
        <w:t>la</w:t>
      </w:r>
      <w:r>
        <w:rPr>
          <w:color w:val="231F20"/>
          <w:spacing w:val="-13"/>
          <w:w w:val="105"/>
        </w:rPr>
        <w:t> </w:t>
      </w:r>
      <w:r>
        <w:rPr>
          <w:color w:val="231F20"/>
          <w:w w:val="105"/>
        </w:rPr>
        <w:t>aportación</w:t>
      </w:r>
      <w:r>
        <w:rPr>
          <w:color w:val="231F20"/>
          <w:spacing w:val="-13"/>
          <w:w w:val="105"/>
        </w:rPr>
        <w:t> </w:t>
      </w:r>
      <w:r>
        <w:rPr>
          <w:color w:val="231F20"/>
          <w:w w:val="105"/>
        </w:rPr>
        <w:t>de Lara (2008) sugiere que deben evaluarse mediante dos factores: des- empeño funcional y desempeño organizacional. El primero determina el</w:t>
      </w:r>
      <w:r>
        <w:rPr>
          <w:color w:val="231F20"/>
          <w:spacing w:val="20"/>
          <w:w w:val="105"/>
        </w:rPr>
        <w:t> </w:t>
      </w:r>
      <w:r>
        <w:rPr>
          <w:color w:val="231F20"/>
          <w:w w:val="105"/>
        </w:rPr>
        <w:t>grado</w:t>
      </w:r>
      <w:r>
        <w:rPr>
          <w:color w:val="231F20"/>
          <w:spacing w:val="20"/>
          <w:w w:val="105"/>
        </w:rPr>
        <w:t> </w:t>
      </w:r>
      <w:r>
        <w:rPr>
          <w:color w:val="231F20"/>
          <w:w w:val="105"/>
        </w:rPr>
        <w:t>de</w:t>
      </w:r>
      <w:r>
        <w:rPr>
          <w:color w:val="231F20"/>
          <w:spacing w:val="20"/>
          <w:w w:val="105"/>
        </w:rPr>
        <w:t> </w:t>
      </w:r>
      <w:r>
        <w:rPr>
          <w:color w:val="231F20"/>
          <w:w w:val="105"/>
        </w:rPr>
        <w:t>cumplimiento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propósitos</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vinculación.</w:t>
      </w:r>
      <w:r>
        <w:rPr>
          <w:color w:val="231F20"/>
          <w:spacing w:val="13"/>
          <w:w w:val="105"/>
        </w:rPr>
        <w:t> </w:t>
      </w:r>
      <w:r>
        <w:rPr>
          <w:color w:val="231F20"/>
          <w:w w:val="105"/>
        </w:rPr>
        <w:t>Es</w:t>
      </w:r>
      <w:r>
        <w:rPr>
          <w:color w:val="231F20"/>
          <w:spacing w:val="20"/>
          <w:w w:val="105"/>
        </w:rPr>
        <w:t> </w:t>
      </w:r>
      <w:r>
        <w:rPr>
          <w:color w:val="231F20"/>
          <w:w w:val="105"/>
        </w:rPr>
        <w:t>una</w:t>
      </w:r>
    </w:p>
    <w:p>
      <w:pPr>
        <w:pStyle w:val="BodyText"/>
        <w:rPr>
          <w:sz w:val="20"/>
        </w:rPr>
      </w:pPr>
    </w:p>
    <w:p>
      <w:pPr>
        <w:pStyle w:val="BodyText"/>
        <w:spacing w:before="3"/>
        <w:rPr>
          <w:sz w:val="26"/>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359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122</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4384"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123</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9"/>
        <w:rPr>
          <w:sz w:val="18"/>
        </w:rPr>
      </w:pPr>
    </w:p>
    <w:p>
      <w:pPr>
        <w:pStyle w:val="BodyText"/>
        <w:spacing w:line="259" w:lineRule="auto"/>
        <w:ind w:left="117" w:right="121"/>
        <w:jc w:val="both"/>
      </w:pPr>
      <w:r>
        <w:rPr>
          <w:color w:val="231F20"/>
          <w:w w:val="105"/>
        </w:rPr>
        <w:t>medida del logro de los objetivos (eficacia) mediante el uso óptimo de los</w:t>
      </w:r>
      <w:r>
        <w:rPr>
          <w:color w:val="231F20"/>
          <w:spacing w:val="-24"/>
          <w:w w:val="105"/>
        </w:rPr>
        <w:t> </w:t>
      </w:r>
      <w:r>
        <w:rPr>
          <w:color w:val="231F20"/>
          <w:w w:val="105"/>
        </w:rPr>
        <w:t>recursos</w:t>
      </w:r>
      <w:r>
        <w:rPr>
          <w:color w:val="231F20"/>
          <w:spacing w:val="-24"/>
          <w:w w:val="105"/>
        </w:rPr>
        <w:t> </w:t>
      </w:r>
      <w:r>
        <w:rPr>
          <w:color w:val="231F20"/>
          <w:w w:val="105"/>
        </w:rPr>
        <w:t>(eficiencia).</w:t>
      </w:r>
      <w:r>
        <w:rPr>
          <w:color w:val="231F20"/>
          <w:spacing w:val="-28"/>
          <w:w w:val="105"/>
        </w:rPr>
        <w:t> </w:t>
      </w:r>
      <w:r>
        <w:rPr>
          <w:color w:val="231F20"/>
          <w:w w:val="105"/>
        </w:rPr>
        <w:t>Igualmente,</w:t>
      </w:r>
      <w:r>
        <w:rPr>
          <w:color w:val="231F20"/>
          <w:spacing w:val="-28"/>
          <w:w w:val="105"/>
        </w:rPr>
        <w:t> </w:t>
      </w:r>
      <w:r>
        <w:rPr>
          <w:color w:val="231F20"/>
          <w:w w:val="105"/>
        </w:rPr>
        <w:t>considera</w:t>
      </w:r>
      <w:r>
        <w:rPr>
          <w:color w:val="231F20"/>
          <w:spacing w:val="-24"/>
          <w:w w:val="105"/>
        </w:rPr>
        <w:t> </w:t>
      </w:r>
      <w:r>
        <w:rPr>
          <w:color w:val="231F20"/>
          <w:w w:val="105"/>
        </w:rPr>
        <w:t>la</w:t>
      </w:r>
      <w:r>
        <w:rPr>
          <w:color w:val="231F20"/>
          <w:spacing w:val="-24"/>
          <w:w w:val="105"/>
        </w:rPr>
        <w:t> </w:t>
      </w:r>
      <w:r>
        <w:rPr>
          <w:color w:val="231F20"/>
          <w:w w:val="105"/>
        </w:rPr>
        <w:t>solución</w:t>
      </w:r>
      <w:r>
        <w:rPr>
          <w:color w:val="231F20"/>
          <w:spacing w:val="-24"/>
          <w:w w:val="105"/>
        </w:rPr>
        <w:t> </w:t>
      </w:r>
      <w:r>
        <w:rPr>
          <w:color w:val="231F20"/>
          <w:w w:val="105"/>
        </w:rPr>
        <w:t>de</w:t>
      </w:r>
      <w:r>
        <w:rPr>
          <w:color w:val="231F20"/>
          <w:spacing w:val="-24"/>
          <w:w w:val="105"/>
        </w:rPr>
        <w:t> </w:t>
      </w:r>
      <w:r>
        <w:rPr>
          <w:color w:val="231F20"/>
          <w:w w:val="105"/>
        </w:rPr>
        <w:t>problemas regionales</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logros</w:t>
      </w:r>
      <w:r>
        <w:rPr>
          <w:color w:val="231F20"/>
          <w:spacing w:val="-8"/>
          <w:w w:val="105"/>
        </w:rPr>
        <w:t> </w:t>
      </w:r>
      <w:r>
        <w:rPr>
          <w:color w:val="231F20"/>
          <w:w w:val="105"/>
        </w:rPr>
        <w:t>no</w:t>
      </w:r>
      <w:r>
        <w:rPr>
          <w:color w:val="231F20"/>
          <w:spacing w:val="-8"/>
          <w:w w:val="105"/>
        </w:rPr>
        <w:t> </w:t>
      </w:r>
      <w:r>
        <w:rPr>
          <w:color w:val="231F20"/>
          <w:w w:val="105"/>
        </w:rPr>
        <w:t>previstos</w:t>
      </w:r>
      <w:r>
        <w:rPr>
          <w:color w:val="231F20"/>
          <w:spacing w:val="-8"/>
          <w:w w:val="105"/>
        </w:rPr>
        <w:t> </w:t>
      </w:r>
      <w:r>
        <w:rPr>
          <w:color w:val="231F20"/>
          <w:w w:val="105"/>
        </w:rPr>
        <w:t>al</w:t>
      </w:r>
      <w:r>
        <w:rPr>
          <w:color w:val="231F20"/>
          <w:spacing w:val="-8"/>
          <w:w w:val="105"/>
        </w:rPr>
        <w:t> </w:t>
      </w:r>
      <w:r>
        <w:rPr>
          <w:color w:val="231F20"/>
          <w:w w:val="105"/>
        </w:rPr>
        <w:t>inicio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interacción.</w:t>
      </w:r>
      <w:r>
        <w:rPr>
          <w:color w:val="231F20"/>
          <w:spacing w:val="-13"/>
          <w:w w:val="105"/>
        </w:rPr>
        <w:t> </w:t>
      </w:r>
      <w:r>
        <w:rPr>
          <w:color w:val="231F20"/>
          <w:w w:val="105"/>
        </w:rPr>
        <w:t>Concreta- mente, depende básicamente de la definición de objetivos y la claridad de</w:t>
      </w:r>
      <w:r>
        <w:rPr>
          <w:color w:val="231F20"/>
          <w:spacing w:val="-11"/>
          <w:w w:val="105"/>
        </w:rPr>
        <w:t> </w:t>
      </w:r>
      <w:r>
        <w:rPr>
          <w:color w:val="231F20"/>
          <w:w w:val="105"/>
        </w:rPr>
        <w:t>las</w:t>
      </w:r>
      <w:r>
        <w:rPr>
          <w:color w:val="231F20"/>
          <w:spacing w:val="-11"/>
          <w:w w:val="105"/>
        </w:rPr>
        <w:t> </w:t>
      </w:r>
      <w:r>
        <w:rPr>
          <w:color w:val="231F20"/>
          <w:w w:val="105"/>
        </w:rPr>
        <w:t>metas,</w:t>
      </w:r>
      <w:r>
        <w:rPr>
          <w:color w:val="231F20"/>
          <w:spacing w:val="-16"/>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omisión</w:t>
      </w:r>
      <w:r>
        <w:rPr>
          <w:color w:val="231F20"/>
          <w:spacing w:val="-11"/>
          <w:w w:val="105"/>
        </w:rPr>
        <w:t> </w:t>
      </w:r>
      <w:r>
        <w:rPr>
          <w:color w:val="231F20"/>
          <w:w w:val="105"/>
        </w:rPr>
        <w:t>de</w:t>
      </w:r>
      <w:r>
        <w:rPr>
          <w:color w:val="231F20"/>
          <w:spacing w:val="-11"/>
          <w:w w:val="105"/>
        </w:rPr>
        <w:t> </w:t>
      </w:r>
      <w:r>
        <w:rPr>
          <w:color w:val="231F20"/>
          <w:w w:val="105"/>
        </w:rPr>
        <w:t>estos</w:t>
      </w:r>
      <w:r>
        <w:rPr>
          <w:color w:val="231F20"/>
          <w:spacing w:val="-11"/>
          <w:w w:val="105"/>
        </w:rPr>
        <w:t> </w:t>
      </w:r>
      <w:r>
        <w:rPr>
          <w:color w:val="231F20"/>
          <w:w w:val="105"/>
        </w:rPr>
        <w:t>aspectos</w:t>
      </w:r>
      <w:r>
        <w:rPr>
          <w:color w:val="231F20"/>
          <w:spacing w:val="-11"/>
          <w:w w:val="105"/>
        </w:rPr>
        <w:t> </w:t>
      </w:r>
      <w:r>
        <w:rPr>
          <w:color w:val="231F20"/>
          <w:w w:val="105"/>
        </w:rPr>
        <w:t>genera</w:t>
      </w:r>
      <w:r>
        <w:rPr>
          <w:color w:val="231F20"/>
          <w:spacing w:val="-11"/>
          <w:w w:val="105"/>
        </w:rPr>
        <w:t> </w:t>
      </w:r>
      <w:r>
        <w:rPr>
          <w:color w:val="231F20"/>
          <w:w w:val="105"/>
        </w:rPr>
        <w:t>deficiente</w:t>
      </w:r>
      <w:r>
        <w:rPr>
          <w:color w:val="231F20"/>
          <w:spacing w:val="-11"/>
          <w:w w:val="105"/>
        </w:rPr>
        <w:t> </w:t>
      </w:r>
      <w:r>
        <w:rPr>
          <w:color w:val="231F20"/>
          <w:w w:val="105"/>
        </w:rPr>
        <w:t>co- rresponsabilidad, coparticipación y colaboración. No obstante, existen factores</w:t>
      </w:r>
      <w:r>
        <w:rPr>
          <w:color w:val="231F20"/>
          <w:spacing w:val="-32"/>
          <w:w w:val="105"/>
        </w:rPr>
        <w:t> </w:t>
      </w:r>
      <w:r>
        <w:rPr>
          <w:color w:val="231F20"/>
          <w:w w:val="105"/>
        </w:rPr>
        <w:t>que</w:t>
      </w:r>
      <w:r>
        <w:rPr>
          <w:color w:val="231F20"/>
          <w:spacing w:val="-32"/>
          <w:w w:val="105"/>
        </w:rPr>
        <w:t> </w:t>
      </w:r>
      <w:r>
        <w:rPr>
          <w:color w:val="231F20"/>
          <w:w w:val="105"/>
        </w:rPr>
        <w:t>obstaculizan</w:t>
      </w:r>
      <w:r>
        <w:rPr>
          <w:color w:val="231F20"/>
          <w:spacing w:val="-32"/>
          <w:w w:val="105"/>
        </w:rPr>
        <w:t> </w:t>
      </w:r>
      <w:r>
        <w:rPr>
          <w:color w:val="231F20"/>
          <w:w w:val="105"/>
        </w:rPr>
        <w:t>esta</w:t>
      </w:r>
      <w:r>
        <w:rPr>
          <w:color w:val="231F20"/>
          <w:spacing w:val="-32"/>
          <w:w w:val="105"/>
        </w:rPr>
        <w:t> </w:t>
      </w:r>
      <w:r>
        <w:rPr>
          <w:color w:val="231F20"/>
          <w:w w:val="105"/>
        </w:rPr>
        <w:t>clase</w:t>
      </w:r>
      <w:r>
        <w:rPr>
          <w:color w:val="231F20"/>
          <w:spacing w:val="-32"/>
          <w:w w:val="105"/>
        </w:rPr>
        <w:t> </w:t>
      </w:r>
      <w:r>
        <w:rPr>
          <w:color w:val="231F20"/>
          <w:w w:val="105"/>
        </w:rPr>
        <w:t>de</w:t>
      </w:r>
      <w:r>
        <w:rPr>
          <w:color w:val="231F20"/>
          <w:spacing w:val="-32"/>
          <w:w w:val="105"/>
        </w:rPr>
        <w:t> </w:t>
      </w:r>
      <w:r>
        <w:rPr>
          <w:color w:val="231F20"/>
          <w:w w:val="105"/>
        </w:rPr>
        <w:t>desempeño,</w:t>
      </w:r>
      <w:r>
        <w:rPr>
          <w:color w:val="231F20"/>
          <w:spacing w:val="-36"/>
          <w:w w:val="105"/>
        </w:rPr>
        <w:t> </w:t>
      </w:r>
      <w:r>
        <w:rPr>
          <w:color w:val="231F20"/>
          <w:w w:val="105"/>
        </w:rPr>
        <w:t>entre</w:t>
      </w:r>
      <w:r>
        <w:rPr>
          <w:color w:val="231F20"/>
          <w:spacing w:val="-32"/>
          <w:w w:val="105"/>
        </w:rPr>
        <w:t> </w:t>
      </w:r>
      <w:r>
        <w:rPr>
          <w:color w:val="231F20"/>
          <w:w w:val="105"/>
        </w:rPr>
        <w:t>ellos:</w:t>
      </w:r>
      <w:r>
        <w:rPr>
          <w:color w:val="231F20"/>
          <w:spacing w:val="-32"/>
          <w:w w:val="105"/>
        </w:rPr>
        <w:t> </w:t>
      </w:r>
      <w:r>
        <w:rPr>
          <w:color w:val="231F20"/>
          <w:w w:val="105"/>
        </w:rPr>
        <w:t>la</w:t>
      </w:r>
      <w:r>
        <w:rPr>
          <w:color w:val="231F20"/>
          <w:spacing w:val="-32"/>
          <w:w w:val="105"/>
        </w:rPr>
        <w:t> </w:t>
      </w:r>
      <w:r>
        <w:rPr>
          <w:color w:val="231F20"/>
          <w:w w:val="105"/>
        </w:rPr>
        <w:t>distan- cia</w:t>
      </w:r>
      <w:r>
        <w:rPr>
          <w:color w:val="231F20"/>
          <w:spacing w:val="-5"/>
          <w:w w:val="105"/>
        </w:rPr>
        <w:t> </w:t>
      </w:r>
      <w:r>
        <w:rPr>
          <w:color w:val="231F20"/>
          <w:w w:val="105"/>
        </w:rPr>
        <w:t>geográfica,</w:t>
      </w:r>
      <w:r>
        <w:rPr>
          <w:color w:val="231F20"/>
          <w:spacing w:val="-11"/>
          <w:w w:val="105"/>
        </w:rPr>
        <w:t> </w:t>
      </w:r>
      <w:r>
        <w:rPr>
          <w:color w:val="231F20"/>
          <w:w w:val="105"/>
        </w:rPr>
        <w:t>que</w:t>
      </w:r>
      <w:r>
        <w:rPr>
          <w:color w:val="231F20"/>
          <w:spacing w:val="-5"/>
          <w:w w:val="105"/>
        </w:rPr>
        <w:t> </w:t>
      </w:r>
      <w:r>
        <w:rPr>
          <w:color w:val="231F20"/>
          <w:w w:val="105"/>
        </w:rPr>
        <w:t>dificulta</w:t>
      </w:r>
      <w:r>
        <w:rPr>
          <w:color w:val="231F20"/>
          <w:spacing w:val="-5"/>
          <w:w w:val="105"/>
        </w:rPr>
        <w:t> </w:t>
      </w:r>
      <w:r>
        <w:rPr>
          <w:color w:val="231F20"/>
          <w:w w:val="105"/>
        </w:rPr>
        <w:t>la</w:t>
      </w:r>
      <w:r>
        <w:rPr>
          <w:color w:val="231F20"/>
          <w:spacing w:val="-5"/>
          <w:w w:val="105"/>
        </w:rPr>
        <w:t> </w:t>
      </w:r>
      <w:r>
        <w:rPr>
          <w:color w:val="231F20"/>
          <w:w w:val="105"/>
        </w:rPr>
        <w:t>interacción,</w:t>
      </w:r>
      <w:r>
        <w:rPr>
          <w:color w:val="231F20"/>
          <w:spacing w:val="-11"/>
          <w:w w:val="105"/>
        </w:rPr>
        <w:t> </w:t>
      </w:r>
      <w:r>
        <w:rPr>
          <w:color w:val="231F20"/>
          <w:w w:val="105"/>
        </w:rPr>
        <w:t>la</w:t>
      </w:r>
      <w:r>
        <w:rPr>
          <w:color w:val="231F20"/>
          <w:spacing w:val="-5"/>
          <w:w w:val="105"/>
        </w:rPr>
        <w:t> </w:t>
      </w:r>
      <w:r>
        <w:rPr>
          <w:color w:val="231F20"/>
          <w:w w:val="105"/>
        </w:rPr>
        <w:t>falta</w:t>
      </w:r>
      <w:r>
        <w:rPr>
          <w:color w:val="231F20"/>
          <w:spacing w:val="-5"/>
          <w:w w:val="105"/>
        </w:rPr>
        <w:t> </w:t>
      </w:r>
      <w:r>
        <w:rPr>
          <w:color w:val="231F20"/>
          <w:w w:val="105"/>
        </w:rPr>
        <w:t>de</w:t>
      </w:r>
      <w:r>
        <w:rPr>
          <w:color w:val="231F20"/>
          <w:spacing w:val="-5"/>
          <w:w w:val="105"/>
        </w:rPr>
        <w:t> </w:t>
      </w:r>
      <w:r>
        <w:rPr>
          <w:color w:val="231F20"/>
          <w:w w:val="105"/>
        </w:rPr>
        <w:t>cultura</w:t>
      </w:r>
      <w:r>
        <w:rPr>
          <w:color w:val="231F20"/>
          <w:spacing w:val="-5"/>
          <w:w w:val="105"/>
        </w:rPr>
        <w:t> </w:t>
      </w:r>
      <w:r>
        <w:rPr>
          <w:color w:val="231F20"/>
          <w:w w:val="105"/>
        </w:rPr>
        <w:t>respecto</w:t>
      </w:r>
      <w:r>
        <w:rPr>
          <w:color w:val="231F20"/>
          <w:spacing w:val="-5"/>
          <w:w w:val="105"/>
        </w:rPr>
        <w:t> </w:t>
      </w:r>
      <w:r>
        <w:rPr>
          <w:color w:val="231F20"/>
          <w:w w:val="105"/>
        </w:rPr>
        <w:t>al trabajo</w:t>
      </w:r>
      <w:r>
        <w:rPr>
          <w:color w:val="231F20"/>
          <w:spacing w:val="-5"/>
          <w:w w:val="105"/>
        </w:rPr>
        <w:t> </w:t>
      </w:r>
      <w:r>
        <w:rPr>
          <w:color w:val="231F20"/>
          <w:w w:val="105"/>
        </w:rPr>
        <w:t>en</w:t>
      </w:r>
      <w:r>
        <w:rPr>
          <w:color w:val="231F20"/>
          <w:spacing w:val="-5"/>
          <w:w w:val="105"/>
        </w:rPr>
        <w:t> </w:t>
      </w:r>
      <w:r>
        <w:rPr>
          <w:color w:val="231F20"/>
          <w:w w:val="105"/>
        </w:rPr>
        <w:t>equipo,</w:t>
      </w:r>
      <w:r>
        <w:rPr>
          <w:color w:val="231F20"/>
          <w:spacing w:val="-11"/>
          <w:w w:val="105"/>
        </w:rPr>
        <w:t> </w:t>
      </w:r>
      <w:r>
        <w:rPr>
          <w:color w:val="231F20"/>
          <w:w w:val="105"/>
        </w:rPr>
        <w:t>la</w:t>
      </w:r>
      <w:r>
        <w:rPr>
          <w:color w:val="231F20"/>
          <w:spacing w:val="-5"/>
          <w:w w:val="105"/>
        </w:rPr>
        <w:t> </w:t>
      </w:r>
      <w:r>
        <w:rPr>
          <w:color w:val="231F20"/>
          <w:w w:val="105"/>
        </w:rPr>
        <w:t>carencia</w:t>
      </w:r>
      <w:r>
        <w:rPr>
          <w:color w:val="231F20"/>
          <w:spacing w:val="-5"/>
          <w:w w:val="105"/>
        </w:rPr>
        <w:t> </w:t>
      </w:r>
      <w:r>
        <w:rPr>
          <w:color w:val="231F20"/>
          <w:w w:val="105"/>
        </w:rPr>
        <w:t>de</w:t>
      </w:r>
      <w:r>
        <w:rPr>
          <w:color w:val="231F20"/>
          <w:spacing w:val="-5"/>
          <w:w w:val="105"/>
        </w:rPr>
        <w:t> </w:t>
      </w:r>
      <w:r>
        <w:rPr>
          <w:color w:val="231F20"/>
          <w:w w:val="105"/>
        </w:rPr>
        <w:t>importancia</w:t>
      </w:r>
      <w:r>
        <w:rPr>
          <w:color w:val="231F20"/>
          <w:spacing w:val="-5"/>
          <w:w w:val="105"/>
        </w:rPr>
        <w:t> </w:t>
      </w:r>
      <w:r>
        <w:rPr>
          <w:color w:val="231F20"/>
          <w:w w:val="105"/>
        </w:rPr>
        <w:t>relativa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configuración de</w:t>
      </w:r>
      <w:r>
        <w:rPr>
          <w:color w:val="231F20"/>
          <w:spacing w:val="-26"/>
          <w:w w:val="105"/>
        </w:rPr>
        <w:t> </w:t>
      </w:r>
      <w:r>
        <w:rPr>
          <w:color w:val="231F20"/>
          <w:w w:val="105"/>
        </w:rPr>
        <w:t>redes</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escasos</w:t>
      </w:r>
      <w:r>
        <w:rPr>
          <w:color w:val="231F20"/>
          <w:spacing w:val="-26"/>
          <w:w w:val="105"/>
        </w:rPr>
        <w:t> </w:t>
      </w:r>
      <w:r>
        <w:rPr>
          <w:color w:val="231F20"/>
          <w:w w:val="105"/>
        </w:rPr>
        <w:t>recursos</w:t>
      </w:r>
      <w:r>
        <w:rPr>
          <w:color w:val="231F20"/>
          <w:spacing w:val="-26"/>
          <w:w w:val="105"/>
        </w:rPr>
        <w:t> </w:t>
      </w:r>
      <w:r>
        <w:rPr>
          <w:color w:val="231F20"/>
          <w:w w:val="105"/>
        </w:rPr>
        <w:t>económicos</w:t>
      </w:r>
      <w:r>
        <w:rPr>
          <w:color w:val="231F20"/>
          <w:spacing w:val="-26"/>
          <w:w w:val="105"/>
        </w:rPr>
        <w:t> </w:t>
      </w:r>
      <w:r>
        <w:rPr>
          <w:color w:val="231F20"/>
          <w:w w:val="105"/>
        </w:rPr>
        <w:t>y</w:t>
      </w:r>
      <w:r>
        <w:rPr>
          <w:color w:val="231F20"/>
          <w:spacing w:val="-26"/>
          <w:w w:val="105"/>
        </w:rPr>
        <w:t> </w:t>
      </w:r>
      <w:r>
        <w:rPr>
          <w:color w:val="231F20"/>
          <w:w w:val="105"/>
        </w:rPr>
        <w:t>tecnológicos.</w:t>
      </w:r>
    </w:p>
    <w:p>
      <w:pPr>
        <w:pStyle w:val="BodyText"/>
        <w:spacing w:line="259" w:lineRule="auto"/>
        <w:ind w:left="117" w:right="115" w:firstLine="567"/>
        <w:jc w:val="both"/>
      </w:pPr>
      <w:r>
        <w:rPr>
          <w:color w:val="231F20"/>
          <w:w w:val="105"/>
        </w:rPr>
        <w:t>El</w:t>
      </w:r>
      <w:r>
        <w:rPr>
          <w:color w:val="231F20"/>
          <w:spacing w:val="-16"/>
          <w:w w:val="105"/>
        </w:rPr>
        <w:t> </w:t>
      </w:r>
      <w:r>
        <w:rPr>
          <w:color w:val="231F20"/>
          <w:w w:val="105"/>
        </w:rPr>
        <w:t>segundo</w:t>
      </w:r>
      <w:r>
        <w:rPr>
          <w:color w:val="231F20"/>
          <w:spacing w:val="-17"/>
          <w:w w:val="105"/>
        </w:rPr>
        <w:t> </w:t>
      </w:r>
      <w:r>
        <w:rPr>
          <w:color w:val="231F20"/>
          <w:w w:val="105"/>
        </w:rPr>
        <w:t>componente</w:t>
      </w:r>
      <w:r>
        <w:rPr>
          <w:color w:val="231F20"/>
          <w:spacing w:val="-17"/>
          <w:w w:val="105"/>
        </w:rPr>
        <w:t> </w:t>
      </w:r>
      <w:r>
        <w:rPr>
          <w:color w:val="231F20"/>
          <w:w w:val="105"/>
        </w:rPr>
        <w:t>–desempeño</w:t>
      </w:r>
      <w:r>
        <w:rPr>
          <w:color w:val="231F20"/>
          <w:spacing w:val="-16"/>
          <w:w w:val="105"/>
        </w:rPr>
        <w:t> </w:t>
      </w:r>
      <w:r>
        <w:rPr>
          <w:color w:val="231F20"/>
          <w:w w:val="105"/>
        </w:rPr>
        <w:t>organizacional–</w:t>
      </w:r>
      <w:r>
        <w:rPr>
          <w:color w:val="231F20"/>
          <w:spacing w:val="-16"/>
          <w:w w:val="105"/>
        </w:rPr>
        <w:t> </w:t>
      </w:r>
      <w:r>
        <w:rPr>
          <w:color w:val="231F20"/>
          <w:w w:val="105"/>
        </w:rPr>
        <w:t>describe</w:t>
      </w:r>
      <w:r>
        <w:rPr>
          <w:color w:val="231F20"/>
          <w:spacing w:val="-16"/>
          <w:w w:val="105"/>
        </w:rPr>
        <w:t> </w:t>
      </w:r>
      <w:r>
        <w:rPr>
          <w:color w:val="231F20"/>
          <w:w w:val="105"/>
        </w:rPr>
        <w:t>la combinación</w:t>
      </w:r>
      <w:r>
        <w:rPr>
          <w:color w:val="231F20"/>
          <w:spacing w:val="-13"/>
          <w:w w:val="105"/>
        </w:rPr>
        <w:t> </w:t>
      </w:r>
      <w:r>
        <w:rPr>
          <w:color w:val="231F20"/>
          <w:w w:val="105"/>
        </w:rPr>
        <w:t>de</w:t>
      </w:r>
      <w:r>
        <w:rPr>
          <w:color w:val="231F20"/>
          <w:spacing w:val="-13"/>
          <w:w w:val="105"/>
        </w:rPr>
        <w:t> </w:t>
      </w:r>
      <w:r>
        <w:rPr>
          <w:color w:val="231F20"/>
          <w:w w:val="105"/>
        </w:rPr>
        <w:t>elementos</w:t>
      </w:r>
      <w:r>
        <w:rPr>
          <w:color w:val="231F20"/>
          <w:spacing w:val="-13"/>
          <w:w w:val="105"/>
        </w:rPr>
        <w:t> </w:t>
      </w:r>
      <w:r>
        <w:rPr>
          <w:color w:val="231F20"/>
          <w:w w:val="105"/>
        </w:rPr>
        <w:t>que</w:t>
      </w:r>
      <w:r>
        <w:rPr>
          <w:color w:val="231F20"/>
          <w:spacing w:val="-13"/>
          <w:w w:val="105"/>
        </w:rPr>
        <w:t> </w:t>
      </w:r>
      <w:r>
        <w:rPr>
          <w:color w:val="231F20"/>
          <w:w w:val="105"/>
        </w:rPr>
        <w:t>facilitan</w:t>
      </w:r>
      <w:r>
        <w:rPr>
          <w:color w:val="231F20"/>
          <w:spacing w:val="-13"/>
          <w:w w:val="105"/>
        </w:rPr>
        <w:t> </w:t>
      </w:r>
      <w:r>
        <w:rPr>
          <w:color w:val="231F20"/>
          <w:w w:val="105"/>
        </w:rPr>
        <w:t>los</w:t>
      </w:r>
      <w:r>
        <w:rPr>
          <w:color w:val="231F20"/>
          <w:spacing w:val="-13"/>
          <w:w w:val="105"/>
        </w:rPr>
        <w:t> </w:t>
      </w:r>
      <w:r>
        <w:rPr>
          <w:color w:val="231F20"/>
          <w:w w:val="105"/>
        </w:rPr>
        <w:t>flujos</w:t>
      </w:r>
      <w:r>
        <w:rPr>
          <w:color w:val="231F20"/>
          <w:spacing w:val="-13"/>
          <w:w w:val="105"/>
        </w:rPr>
        <w:t> </w:t>
      </w:r>
      <w:r>
        <w:rPr>
          <w:color w:val="231F20"/>
          <w:w w:val="105"/>
        </w:rPr>
        <w:t>de</w:t>
      </w:r>
      <w:r>
        <w:rPr>
          <w:color w:val="231F20"/>
          <w:spacing w:val="-13"/>
          <w:w w:val="105"/>
        </w:rPr>
        <w:t> </w:t>
      </w:r>
      <w:r>
        <w:rPr>
          <w:color w:val="231F20"/>
          <w:w w:val="105"/>
        </w:rPr>
        <w:t>información,</w:t>
      </w:r>
      <w:r>
        <w:rPr>
          <w:color w:val="231F20"/>
          <w:spacing w:val="-19"/>
          <w:w w:val="105"/>
        </w:rPr>
        <w:t> </w:t>
      </w:r>
      <w:r>
        <w:rPr>
          <w:color w:val="231F20"/>
          <w:w w:val="105"/>
        </w:rPr>
        <w:t>comu- nicación</w:t>
      </w:r>
      <w:r>
        <w:rPr>
          <w:color w:val="231F20"/>
          <w:spacing w:val="-17"/>
          <w:w w:val="105"/>
        </w:rPr>
        <w:t> </w:t>
      </w:r>
      <w:r>
        <w:rPr>
          <w:color w:val="231F20"/>
          <w:w w:val="105"/>
        </w:rPr>
        <w:t>y</w:t>
      </w:r>
      <w:r>
        <w:rPr>
          <w:color w:val="231F20"/>
          <w:spacing w:val="-17"/>
          <w:w w:val="105"/>
        </w:rPr>
        <w:t> </w:t>
      </w:r>
      <w:r>
        <w:rPr>
          <w:color w:val="231F20"/>
          <w:w w:val="105"/>
        </w:rPr>
        <w:t>toma</w:t>
      </w:r>
      <w:r>
        <w:rPr>
          <w:color w:val="231F20"/>
          <w:spacing w:val="-17"/>
          <w:w w:val="105"/>
        </w:rPr>
        <w:t> </w:t>
      </w:r>
      <w:r>
        <w:rPr>
          <w:color w:val="231F20"/>
          <w:w w:val="105"/>
        </w:rPr>
        <w:t>de</w:t>
      </w:r>
      <w:r>
        <w:rPr>
          <w:color w:val="231F20"/>
          <w:spacing w:val="-17"/>
          <w:w w:val="105"/>
        </w:rPr>
        <w:t> </w:t>
      </w:r>
      <w:r>
        <w:rPr>
          <w:color w:val="231F20"/>
          <w:w w:val="105"/>
        </w:rPr>
        <w:t>decisiones,</w:t>
      </w:r>
      <w:r>
        <w:rPr>
          <w:color w:val="231F20"/>
          <w:spacing w:val="-22"/>
          <w:w w:val="105"/>
        </w:rPr>
        <w:t> </w:t>
      </w:r>
      <w:r>
        <w:rPr>
          <w:color w:val="231F20"/>
          <w:w w:val="105"/>
        </w:rPr>
        <w:t>incluidos</w:t>
      </w:r>
      <w:r>
        <w:rPr>
          <w:color w:val="231F20"/>
          <w:spacing w:val="-17"/>
          <w:w w:val="105"/>
        </w:rPr>
        <w:t> </w:t>
      </w:r>
      <w:r>
        <w:rPr>
          <w:color w:val="231F20"/>
          <w:w w:val="105"/>
        </w:rPr>
        <w:t>los</w:t>
      </w:r>
      <w:r>
        <w:rPr>
          <w:color w:val="231F20"/>
          <w:spacing w:val="-17"/>
          <w:w w:val="105"/>
        </w:rPr>
        <w:t> </w:t>
      </w:r>
      <w:r>
        <w:rPr>
          <w:color w:val="231F20"/>
          <w:w w:val="105"/>
        </w:rPr>
        <w:t>mecanismos</w:t>
      </w:r>
      <w:r>
        <w:rPr>
          <w:color w:val="231F20"/>
          <w:spacing w:val="-17"/>
          <w:w w:val="105"/>
        </w:rPr>
        <w:t> </w:t>
      </w:r>
      <w:r>
        <w:rPr>
          <w:color w:val="231F20"/>
          <w:w w:val="105"/>
        </w:rPr>
        <w:t>de</w:t>
      </w:r>
      <w:r>
        <w:rPr>
          <w:color w:val="231F20"/>
          <w:spacing w:val="-17"/>
          <w:w w:val="105"/>
        </w:rPr>
        <w:t> </w:t>
      </w:r>
      <w:r>
        <w:rPr>
          <w:color w:val="231F20"/>
          <w:w w:val="105"/>
        </w:rPr>
        <w:t>integración. Este</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desempeño</w:t>
      </w:r>
      <w:r>
        <w:rPr>
          <w:color w:val="231F20"/>
          <w:spacing w:val="-18"/>
          <w:w w:val="105"/>
        </w:rPr>
        <w:t> </w:t>
      </w:r>
      <w:r>
        <w:rPr>
          <w:color w:val="231F20"/>
          <w:w w:val="105"/>
        </w:rPr>
        <w:t>estriba</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actitudes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actores</w:t>
      </w:r>
      <w:r>
        <w:rPr>
          <w:color w:val="231F20"/>
          <w:spacing w:val="-18"/>
          <w:w w:val="105"/>
        </w:rPr>
        <w:t> </w:t>
      </w:r>
      <w:r>
        <w:rPr>
          <w:color w:val="231F20"/>
          <w:w w:val="105"/>
        </w:rPr>
        <w:t>para</w:t>
      </w:r>
      <w:r>
        <w:rPr>
          <w:color w:val="231F20"/>
          <w:spacing w:val="-18"/>
          <w:w w:val="105"/>
        </w:rPr>
        <w:t> </w:t>
      </w:r>
      <w:r>
        <w:rPr>
          <w:color w:val="231F20"/>
          <w:w w:val="105"/>
        </w:rPr>
        <w:t>inte- ractuar</w:t>
      </w:r>
      <w:r>
        <w:rPr>
          <w:color w:val="231F20"/>
          <w:spacing w:val="-25"/>
          <w:w w:val="105"/>
        </w:rPr>
        <w:t> </w:t>
      </w:r>
      <w:r>
        <w:rPr>
          <w:color w:val="231F20"/>
          <w:w w:val="105"/>
        </w:rPr>
        <w:t>y</w:t>
      </w:r>
      <w:r>
        <w:rPr>
          <w:color w:val="231F20"/>
          <w:spacing w:val="-25"/>
          <w:w w:val="105"/>
        </w:rPr>
        <w:t> </w:t>
      </w:r>
      <w:r>
        <w:rPr>
          <w:color w:val="231F20"/>
          <w:w w:val="105"/>
        </w:rPr>
        <w:t>de</w:t>
      </w:r>
      <w:r>
        <w:rPr>
          <w:color w:val="231F20"/>
          <w:spacing w:val="-25"/>
          <w:w w:val="105"/>
        </w:rPr>
        <w:t> </w:t>
      </w:r>
      <w:r>
        <w:rPr>
          <w:color w:val="231F20"/>
          <w:w w:val="105"/>
        </w:rPr>
        <w:t>su</w:t>
      </w:r>
      <w:r>
        <w:rPr>
          <w:color w:val="231F20"/>
          <w:spacing w:val="-25"/>
          <w:w w:val="105"/>
        </w:rPr>
        <w:t> </w:t>
      </w:r>
      <w:r>
        <w:rPr>
          <w:color w:val="231F20"/>
          <w:w w:val="105"/>
        </w:rPr>
        <w:t>capacidad</w:t>
      </w:r>
      <w:r>
        <w:rPr>
          <w:color w:val="231F20"/>
          <w:spacing w:val="-25"/>
          <w:w w:val="105"/>
        </w:rPr>
        <w:t> </w:t>
      </w:r>
      <w:r>
        <w:rPr>
          <w:color w:val="231F20"/>
          <w:w w:val="105"/>
        </w:rPr>
        <w:t>para</w:t>
      </w:r>
      <w:r>
        <w:rPr>
          <w:color w:val="231F20"/>
          <w:spacing w:val="-25"/>
          <w:w w:val="105"/>
        </w:rPr>
        <w:t> </w:t>
      </w:r>
      <w:r>
        <w:rPr>
          <w:color w:val="231F20"/>
          <w:w w:val="105"/>
        </w:rPr>
        <w:t>organizarse</w:t>
      </w:r>
      <w:r>
        <w:rPr>
          <w:color w:val="231F20"/>
          <w:spacing w:val="-25"/>
          <w:w w:val="105"/>
        </w:rPr>
        <w:t> </w:t>
      </w:r>
      <w:r>
        <w:rPr>
          <w:color w:val="231F20"/>
          <w:w w:val="105"/>
        </w:rPr>
        <w:t>colectivamente.</w:t>
      </w:r>
    </w:p>
    <w:p>
      <w:pPr>
        <w:pStyle w:val="BodyText"/>
        <w:spacing w:line="259" w:lineRule="auto"/>
        <w:ind w:left="117" w:right="115" w:firstLine="567"/>
        <w:jc w:val="right"/>
      </w:pPr>
      <w:r>
        <w:rPr>
          <w:color w:val="231F20"/>
          <w:w w:val="105"/>
        </w:rPr>
        <w:t>De</w:t>
      </w:r>
      <w:r>
        <w:rPr>
          <w:color w:val="231F20"/>
          <w:spacing w:val="-22"/>
          <w:w w:val="105"/>
        </w:rPr>
        <w:t> </w:t>
      </w:r>
      <w:r>
        <w:rPr>
          <w:color w:val="231F20"/>
          <w:w w:val="105"/>
        </w:rPr>
        <w:t>estas</w:t>
      </w:r>
      <w:r>
        <w:rPr>
          <w:color w:val="231F20"/>
          <w:spacing w:val="-22"/>
          <w:w w:val="105"/>
        </w:rPr>
        <w:t> </w:t>
      </w:r>
      <w:r>
        <w:rPr>
          <w:color w:val="231F20"/>
          <w:w w:val="105"/>
        </w:rPr>
        <w:t>valoraciones,</w:t>
      </w:r>
      <w:r>
        <w:rPr>
          <w:color w:val="231F20"/>
          <w:spacing w:val="-27"/>
          <w:w w:val="105"/>
        </w:rPr>
        <w:t> </w:t>
      </w:r>
      <w:r>
        <w:rPr>
          <w:color w:val="231F20"/>
          <w:w w:val="105"/>
        </w:rPr>
        <w:t>es</w:t>
      </w:r>
      <w:r>
        <w:rPr>
          <w:color w:val="231F20"/>
          <w:spacing w:val="-22"/>
          <w:w w:val="105"/>
        </w:rPr>
        <w:t> </w:t>
      </w:r>
      <w:r>
        <w:rPr>
          <w:color w:val="231F20"/>
          <w:w w:val="105"/>
        </w:rPr>
        <w:t>posible</w:t>
      </w:r>
      <w:r>
        <w:rPr>
          <w:color w:val="231F20"/>
          <w:spacing w:val="-22"/>
          <w:w w:val="105"/>
        </w:rPr>
        <w:t> </w:t>
      </w:r>
      <w:r>
        <w:rPr>
          <w:color w:val="231F20"/>
          <w:w w:val="105"/>
        </w:rPr>
        <w:t>inferir</w:t>
      </w:r>
      <w:r>
        <w:rPr>
          <w:color w:val="231F20"/>
          <w:spacing w:val="-22"/>
          <w:w w:val="105"/>
        </w:rPr>
        <w:t> </w:t>
      </w:r>
      <w:r>
        <w:rPr>
          <w:color w:val="231F20"/>
          <w:w w:val="105"/>
        </w:rPr>
        <w:t>cierto</w:t>
      </w:r>
      <w:r>
        <w:rPr>
          <w:color w:val="231F20"/>
          <w:spacing w:val="-22"/>
          <w:w w:val="105"/>
        </w:rPr>
        <w:t> </w:t>
      </w:r>
      <w:r>
        <w:rPr>
          <w:color w:val="231F20"/>
          <w:w w:val="105"/>
        </w:rPr>
        <w:t>grado</w:t>
      </w:r>
      <w:r>
        <w:rPr>
          <w:color w:val="231F20"/>
          <w:spacing w:val="-22"/>
          <w:w w:val="105"/>
        </w:rPr>
        <w:t> </w:t>
      </w:r>
      <w:r>
        <w:rPr>
          <w:color w:val="231F20"/>
          <w:w w:val="105"/>
        </w:rPr>
        <w:t>de</w:t>
      </w:r>
      <w:r>
        <w:rPr>
          <w:color w:val="231F20"/>
          <w:spacing w:val="-22"/>
          <w:w w:val="105"/>
        </w:rPr>
        <w:t> </w:t>
      </w:r>
      <w:r>
        <w:rPr>
          <w:color w:val="231F20"/>
          <w:w w:val="105"/>
        </w:rPr>
        <w:t>correspon-</w:t>
      </w:r>
      <w:r>
        <w:rPr>
          <w:color w:val="231F20"/>
          <w:w w:val="96"/>
        </w:rPr>
        <w:t> </w:t>
      </w:r>
      <w:r>
        <w:rPr>
          <w:color w:val="231F20"/>
          <w:w w:val="105"/>
        </w:rPr>
        <w:t>sabilidad positiva entre los desempeños funcional y</w:t>
      </w:r>
      <w:r>
        <w:rPr>
          <w:color w:val="231F20"/>
          <w:spacing w:val="-1"/>
          <w:w w:val="105"/>
        </w:rPr>
        <w:t> </w:t>
      </w:r>
      <w:r>
        <w:rPr>
          <w:color w:val="231F20"/>
          <w:w w:val="105"/>
        </w:rPr>
        <w:t>organizacional:</w:t>
      </w:r>
      <w:r>
        <w:rPr>
          <w:color w:val="231F20"/>
          <w:spacing w:val="-1"/>
          <w:w w:val="105"/>
        </w:rPr>
        <w:t> </w:t>
      </w:r>
      <w:r>
        <w:rPr>
          <w:color w:val="231F20"/>
          <w:w w:val="105"/>
        </w:rPr>
        <w:t>las</w:t>
      </w:r>
      <w:r>
        <w:rPr>
          <w:color w:val="231F20"/>
          <w:w w:val="96"/>
        </w:rPr>
        <w:t> </w:t>
      </w:r>
      <w:r>
        <w:rPr>
          <w:color w:val="231F20"/>
          <w:w w:val="105"/>
        </w:rPr>
        <w:t>variaciones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mecanismos</w:t>
      </w:r>
      <w:r>
        <w:rPr>
          <w:color w:val="231F20"/>
          <w:spacing w:val="-17"/>
          <w:w w:val="105"/>
        </w:rPr>
        <w:t> </w:t>
      </w:r>
      <w:r>
        <w:rPr>
          <w:color w:val="231F20"/>
          <w:w w:val="105"/>
        </w:rPr>
        <w:t>de</w:t>
      </w:r>
      <w:r>
        <w:rPr>
          <w:color w:val="231F20"/>
          <w:spacing w:val="-17"/>
          <w:w w:val="105"/>
        </w:rPr>
        <w:t> </w:t>
      </w:r>
      <w:r>
        <w:rPr>
          <w:color w:val="231F20"/>
          <w:w w:val="105"/>
        </w:rPr>
        <w:t>integración</w:t>
      </w:r>
      <w:r>
        <w:rPr>
          <w:color w:val="231F20"/>
          <w:spacing w:val="-17"/>
          <w:w w:val="105"/>
        </w:rPr>
        <w:t> </w:t>
      </w:r>
      <w:r>
        <w:rPr>
          <w:color w:val="231F20"/>
          <w:w w:val="105"/>
        </w:rPr>
        <w:t>o</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flujos</w:t>
      </w:r>
      <w:r>
        <w:rPr>
          <w:color w:val="231F20"/>
          <w:spacing w:val="-17"/>
          <w:w w:val="105"/>
        </w:rPr>
        <w:t> </w:t>
      </w:r>
      <w:r>
        <w:rPr>
          <w:color w:val="231F20"/>
          <w:w w:val="105"/>
        </w:rPr>
        <w:t>de</w:t>
      </w:r>
      <w:r>
        <w:rPr>
          <w:color w:val="231F20"/>
          <w:spacing w:val="-17"/>
          <w:w w:val="105"/>
        </w:rPr>
        <w:t> </w:t>
      </w:r>
      <w:r>
        <w:rPr>
          <w:color w:val="231F20"/>
          <w:w w:val="105"/>
        </w:rPr>
        <w:t>informa-</w:t>
      </w:r>
      <w:r>
        <w:rPr>
          <w:color w:val="231F20"/>
          <w:w w:val="96"/>
        </w:rPr>
        <w:t> </w:t>
      </w:r>
      <w:r>
        <w:rPr>
          <w:color w:val="231F20"/>
          <w:w w:val="105"/>
        </w:rPr>
        <w:t>ción (desempeño organizacional) incidirán en el grado</w:t>
      </w:r>
      <w:r>
        <w:rPr>
          <w:color w:val="231F20"/>
          <w:spacing w:val="-43"/>
          <w:w w:val="105"/>
        </w:rPr>
        <w:t> </w:t>
      </w:r>
      <w:r>
        <w:rPr>
          <w:color w:val="231F20"/>
          <w:w w:val="105"/>
        </w:rPr>
        <w:t>de</w:t>
      </w:r>
      <w:r>
        <w:rPr>
          <w:color w:val="231F20"/>
          <w:spacing w:val="-6"/>
          <w:w w:val="105"/>
        </w:rPr>
        <w:t> </w:t>
      </w:r>
      <w:r>
        <w:rPr>
          <w:color w:val="231F20"/>
          <w:w w:val="105"/>
        </w:rPr>
        <w:t>cumplimiento</w:t>
      </w:r>
      <w:r>
        <w:rPr>
          <w:color w:val="231F20"/>
          <w:w w:val="107"/>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objetivos</w:t>
      </w:r>
      <w:r>
        <w:rPr>
          <w:color w:val="231F20"/>
          <w:spacing w:val="-24"/>
          <w:w w:val="105"/>
        </w:rPr>
        <w:t> </w:t>
      </w:r>
      <w:r>
        <w:rPr>
          <w:color w:val="231F20"/>
          <w:w w:val="105"/>
        </w:rPr>
        <w:t>y</w:t>
      </w:r>
      <w:r>
        <w:rPr>
          <w:color w:val="231F20"/>
          <w:spacing w:val="-24"/>
          <w:w w:val="105"/>
        </w:rPr>
        <w:t> </w:t>
      </w:r>
      <w:r>
        <w:rPr>
          <w:color w:val="231F20"/>
          <w:w w:val="105"/>
        </w:rPr>
        <w:t>metas</w:t>
      </w:r>
      <w:r>
        <w:rPr>
          <w:color w:val="231F20"/>
          <w:spacing w:val="-24"/>
          <w:w w:val="105"/>
        </w:rPr>
        <w:t> </w:t>
      </w:r>
      <w:r>
        <w:rPr>
          <w:color w:val="231F20"/>
          <w:w w:val="105"/>
        </w:rPr>
        <w:t>colectivas</w:t>
      </w:r>
      <w:r>
        <w:rPr>
          <w:color w:val="231F20"/>
          <w:spacing w:val="-24"/>
          <w:w w:val="105"/>
        </w:rPr>
        <w:t> </w:t>
      </w:r>
      <w:r>
        <w:rPr>
          <w:color w:val="231F20"/>
          <w:w w:val="105"/>
        </w:rPr>
        <w:t>(desempeño</w:t>
      </w:r>
      <w:r>
        <w:rPr>
          <w:color w:val="231F20"/>
          <w:spacing w:val="-24"/>
          <w:w w:val="105"/>
        </w:rPr>
        <w:t> </w:t>
      </w:r>
      <w:r>
        <w:rPr>
          <w:color w:val="231F20"/>
          <w:w w:val="105"/>
        </w:rPr>
        <w:t>funcional);</w:t>
      </w:r>
      <w:r>
        <w:rPr>
          <w:color w:val="231F20"/>
          <w:spacing w:val="-24"/>
          <w:w w:val="105"/>
        </w:rPr>
        <w:t> </w:t>
      </w:r>
      <w:r>
        <w:rPr>
          <w:color w:val="231F20"/>
          <w:w w:val="105"/>
        </w:rPr>
        <w:t>y</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inversa.</w:t>
      </w:r>
      <w:r>
        <w:rPr>
          <w:color w:val="231F20"/>
          <w:w w:val="99"/>
        </w:rPr>
        <w:t> </w:t>
      </w:r>
      <w:r>
        <w:rPr>
          <w:color w:val="231F20"/>
          <w:w w:val="105"/>
        </w:rPr>
        <w:t>En suma, ante los cambios que implica la economía</w:t>
      </w:r>
      <w:r>
        <w:rPr>
          <w:color w:val="231F20"/>
          <w:spacing w:val="53"/>
          <w:w w:val="105"/>
        </w:rPr>
        <w:t> </w:t>
      </w:r>
      <w:r>
        <w:rPr>
          <w:color w:val="231F20"/>
          <w:w w:val="105"/>
        </w:rPr>
        <w:t>del</w:t>
      </w:r>
      <w:r>
        <w:rPr>
          <w:color w:val="231F20"/>
          <w:spacing w:val="14"/>
          <w:w w:val="105"/>
        </w:rPr>
        <w:t> </w:t>
      </w:r>
      <w:r>
        <w:rPr>
          <w:color w:val="231F20"/>
          <w:w w:val="105"/>
        </w:rPr>
        <w:t>conoci-</w:t>
      </w:r>
      <w:r>
        <w:rPr>
          <w:color w:val="231F20"/>
          <w:w w:val="96"/>
        </w:rPr>
        <w:t> </w:t>
      </w:r>
      <w:r>
        <w:rPr>
          <w:color w:val="231F20"/>
          <w:w w:val="105"/>
        </w:rPr>
        <w:t>miento,</w:t>
      </w:r>
      <w:r>
        <w:rPr>
          <w:color w:val="231F20"/>
          <w:spacing w:val="-12"/>
          <w:w w:val="105"/>
        </w:rPr>
        <w:t> </w:t>
      </w:r>
      <w:r>
        <w:rPr>
          <w:color w:val="231F20"/>
          <w:w w:val="105"/>
        </w:rPr>
        <w:t>el</w:t>
      </w:r>
      <w:r>
        <w:rPr>
          <w:color w:val="231F20"/>
          <w:spacing w:val="-5"/>
          <w:w w:val="105"/>
        </w:rPr>
        <w:t> </w:t>
      </w:r>
      <w:r>
        <w:rPr>
          <w:color w:val="231F20"/>
          <w:w w:val="105"/>
        </w:rPr>
        <w:t>estudio</w:t>
      </w:r>
      <w:r>
        <w:rPr>
          <w:color w:val="231F20"/>
          <w:spacing w:val="-5"/>
          <w:w w:val="105"/>
        </w:rPr>
        <w:t> </w:t>
      </w:r>
      <w:r>
        <w:rPr>
          <w:color w:val="231F20"/>
          <w:w w:val="105"/>
        </w:rPr>
        <w:t>de</w:t>
      </w:r>
      <w:r>
        <w:rPr>
          <w:color w:val="231F20"/>
          <w:spacing w:val="-5"/>
          <w:w w:val="105"/>
        </w:rPr>
        <w:t> </w:t>
      </w:r>
      <w:r>
        <w:rPr>
          <w:color w:val="231F20"/>
          <w:w w:val="105"/>
        </w:rPr>
        <w:t>factores</w:t>
      </w:r>
      <w:r>
        <w:rPr>
          <w:color w:val="231F20"/>
          <w:spacing w:val="-5"/>
          <w:w w:val="105"/>
        </w:rPr>
        <w:t> </w:t>
      </w:r>
      <w:r>
        <w:rPr>
          <w:color w:val="231F20"/>
          <w:w w:val="105"/>
        </w:rPr>
        <w:t>cognitivos</w:t>
      </w:r>
      <w:r>
        <w:rPr>
          <w:color w:val="231F20"/>
          <w:spacing w:val="-5"/>
          <w:w w:val="105"/>
        </w:rPr>
        <w:t> </w:t>
      </w:r>
      <w:r>
        <w:rPr>
          <w:color w:val="231F20"/>
          <w:w w:val="105"/>
        </w:rPr>
        <w:t>y</w:t>
      </w:r>
      <w:r>
        <w:rPr>
          <w:color w:val="231F20"/>
          <w:spacing w:val="-5"/>
          <w:w w:val="105"/>
        </w:rPr>
        <w:t> </w:t>
      </w:r>
      <w:r>
        <w:rPr>
          <w:color w:val="231F20"/>
          <w:w w:val="105"/>
        </w:rPr>
        <w:t>su</w:t>
      </w:r>
      <w:r>
        <w:rPr>
          <w:color w:val="231F20"/>
          <w:spacing w:val="-5"/>
          <w:w w:val="105"/>
        </w:rPr>
        <w:t> </w:t>
      </w:r>
      <w:r>
        <w:rPr>
          <w:color w:val="231F20"/>
          <w:w w:val="105"/>
        </w:rPr>
        <w:t>transmisión</w:t>
      </w:r>
      <w:r>
        <w:rPr>
          <w:color w:val="231F20"/>
          <w:spacing w:val="-5"/>
          <w:w w:val="105"/>
        </w:rPr>
        <w:t> </w:t>
      </w:r>
      <w:r>
        <w:rPr>
          <w:color w:val="231F20"/>
          <w:w w:val="105"/>
        </w:rPr>
        <w:t>en</w:t>
      </w:r>
      <w:r>
        <w:rPr>
          <w:color w:val="231F20"/>
          <w:spacing w:val="-5"/>
          <w:w w:val="105"/>
        </w:rPr>
        <w:t> </w:t>
      </w:r>
      <w:r>
        <w:rPr>
          <w:color w:val="231F20"/>
          <w:w w:val="105"/>
        </w:rPr>
        <w:t>red</w:t>
      </w:r>
      <w:r>
        <w:rPr>
          <w:color w:val="231F20"/>
          <w:spacing w:val="-5"/>
          <w:w w:val="105"/>
        </w:rPr>
        <w:t> </w:t>
      </w:r>
      <w:r>
        <w:rPr>
          <w:color w:val="231F20"/>
          <w:w w:val="105"/>
        </w:rPr>
        <w:t>involu-</w:t>
      </w:r>
      <w:r>
        <w:rPr>
          <w:color w:val="231F20"/>
          <w:w w:val="96"/>
        </w:rPr>
        <w:t> </w:t>
      </w:r>
      <w:r>
        <w:rPr>
          <w:color w:val="231F20"/>
          <w:w w:val="105"/>
        </w:rPr>
        <w:t>cra indagar cuáles son los elementos que inciden en la configuración y</w:t>
      </w:r>
      <w:r>
        <w:rPr>
          <w:color w:val="231F20"/>
          <w:w w:val="97"/>
        </w:rPr>
        <w:t> </w:t>
      </w:r>
      <w:r>
        <w:rPr>
          <w:color w:val="231F20"/>
          <w:w w:val="105"/>
        </w:rPr>
        <w:t>consolidación</w:t>
      </w:r>
      <w:r>
        <w:rPr>
          <w:color w:val="231F20"/>
          <w:spacing w:val="-6"/>
          <w:w w:val="105"/>
        </w:rPr>
        <w:t> </w:t>
      </w:r>
      <w:r>
        <w:rPr>
          <w:color w:val="231F20"/>
          <w:w w:val="105"/>
        </w:rPr>
        <w:t>de</w:t>
      </w:r>
      <w:r>
        <w:rPr>
          <w:color w:val="231F20"/>
          <w:spacing w:val="-6"/>
          <w:w w:val="105"/>
        </w:rPr>
        <w:t> </w:t>
      </w:r>
      <w:r>
        <w:rPr>
          <w:color w:val="231F20"/>
          <w:w w:val="105"/>
        </w:rPr>
        <w:t>redes</w:t>
      </w:r>
      <w:r>
        <w:rPr>
          <w:color w:val="231F20"/>
          <w:spacing w:val="-6"/>
          <w:w w:val="105"/>
        </w:rPr>
        <w:t> </w:t>
      </w:r>
      <w:r>
        <w:rPr>
          <w:color w:val="231F20"/>
          <w:w w:val="105"/>
        </w:rPr>
        <w:t>de</w:t>
      </w:r>
      <w:r>
        <w:rPr>
          <w:color w:val="231F20"/>
          <w:spacing w:val="-6"/>
          <w:w w:val="105"/>
        </w:rPr>
        <w:t> </w:t>
      </w:r>
      <w:r>
        <w:rPr>
          <w:color w:val="231F20"/>
          <w:w w:val="105"/>
        </w:rPr>
        <w:t>conocimiento.</w:t>
      </w:r>
      <w:r>
        <w:rPr>
          <w:color w:val="231F20"/>
          <w:spacing w:val="-11"/>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revisión</w:t>
      </w:r>
      <w:r>
        <w:rPr>
          <w:color w:val="231F20"/>
          <w:spacing w:val="-6"/>
          <w:w w:val="105"/>
        </w:rPr>
        <w:t> </w:t>
      </w:r>
      <w:r>
        <w:rPr>
          <w:color w:val="231F20"/>
          <w:w w:val="105"/>
        </w:rPr>
        <w:t>precedente</w:t>
      </w:r>
      <w:r>
        <w:rPr>
          <w:color w:val="231F20"/>
          <w:spacing w:val="-6"/>
          <w:w w:val="105"/>
        </w:rPr>
        <w:t> </w:t>
      </w:r>
      <w:r>
        <w:rPr>
          <w:color w:val="231F20"/>
          <w:w w:val="105"/>
        </w:rPr>
        <w:t>es</w:t>
      </w:r>
      <w:r>
        <w:rPr>
          <w:color w:val="231F20"/>
          <w:w w:val="96"/>
        </w:rPr>
        <w:t> </w:t>
      </w:r>
      <w:r>
        <w:rPr>
          <w:color w:val="231F20"/>
          <w:w w:val="105"/>
        </w:rPr>
        <w:t>posible deducir que estas estructuras reticulares</w:t>
      </w:r>
      <w:r>
        <w:rPr>
          <w:color w:val="231F20"/>
          <w:spacing w:val="1"/>
          <w:w w:val="105"/>
        </w:rPr>
        <w:t> </w:t>
      </w:r>
      <w:r>
        <w:rPr>
          <w:color w:val="231F20"/>
          <w:w w:val="105"/>
        </w:rPr>
        <w:t>asumen particularida-</w:t>
      </w:r>
      <w:r>
        <w:rPr>
          <w:color w:val="231F20"/>
          <w:w w:val="96"/>
        </w:rPr>
        <w:t> </w:t>
      </w:r>
      <w:r>
        <w:rPr>
          <w:color w:val="231F20"/>
          <w:w w:val="105"/>
        </w:rPr>
        <w:t>des específicas, dimensiones, mecanismos de integración</w:t>
      </w:r>
      <w:r>
        <w:rPr>
          <w:color w:val="231F20"/>
          <w:spacing w:val="-22"/>
          <w:w w:val="105"/>
        </w:rPr>
        <w:t> </w:t>
      </w:r>
      <w:r>
        <w:rPr>
          <w:color w:val="231F20"/>
          <w:w w:val="105"/>
        </w:rPr>
        <w:t>y</w:t>
      </w:r>
      <w:r>
        <w:rPr>
          <w:color w:val="231F20"/>
          <w:spacing w:val="-3"/>
          <w:w w:val="105"/>
        </w:rPr>
        <w:t> </w:t>
      </w:r>
      <w:r>
        <w:rPr>
          <w:color w:val="231F20"/>
          <w:w w:val="105"/>
        </w:rPr>
        <w:t>resultados</w:t>
      </w:r>
      <w:r>
        <w:rPr>
          <w:color w:val="231F20"/>
          <w:w w:val="102"/>
        </w:rPr>
        <w:t> </w:t>
      </w:r>
      <w:r>
        <w:rPr>
          <w:color w:val="231F20"/>
          <w:w w:val="105"/>
        </w:rPr>
        <w:t>de</w:t>
      </w:r>
      <w:r>
        <w:rPr>
          <w:color w:val="231F20"/>
          <w:spacing w:val="-17"/>
          <w:w w:val="105"/>
        </w:rPr>
        <w:t> </w:t>
      </w:r>
      <w:r>
        <w:rPr>
          <w:color w:val="231F20"/>
          <w:w w:val="105"/>
        </w:rPr>
        <w:t>desempeño.</w:t>
      </w:r>
      <w:r>
        <w:rPr>
          <w:color w:val="231F20"/>
          <w:spacing w:val="-28"/>
          <w:w w:val="105"/>
        </w:rPr>
        <w:t> </w:t>
      </w:r>
      <w:r>
        <w:rPr>
          <w:color w:val="231F20"/>
          <w:spacing w:val="-7"/>
          <w:w w:val="105"/>
        </w:rPr>
        <w:t>Tal</w:t>
      </w:r>
      <w:r>
        <w:rPr>
          <w:color w:val="231F20"/>
          <w:spacing w:val="-17"/>
          <w:w w:val="105"/>
        </w:rPr>
        <w:t> </w:t>
      </w:r>
      <w:r>
        <w:rPr>
          <w:color w:val="231F20"/>
          <w:w w:val="105"/>
        </w:rPr>
        <w:t>conjunto</w:t>
      </w:r>
      <w:r>
        <w:rPr>
          <w:color w:val="231F20"/>
          <w:spacing w:val="-17"/>
          <w:w w:val="105"/>
        </w:rPr>
        <w:t> </w:t>
      </w:r>
      <w:r>
        <w:rPr>
          <w:color w:val="231F20"/>
          <w:w w:val="105"/>
        </w:rPr>
        <w:t>de</w:t>
      </w:r>
      <w:r>
        <w:rPr>
          <w:color w:val="231F20"/>
          <w:spacing w:val="-17"/>
          <w:w w:val="105"/>
        </w:rPr>
        <w:t> </w:t>
      </w:r>
      <w:r>
        <w:rPr>
          <w:color w:val="231F20"/>
          <w:w w:val="105"/>
        </w:rPr>
        <w:t>componentes</w:t>
      </w:r>
      <w:r>
        <w:rPr>
          <w:color w:val="231F20"/>
          <w:spacing w:val="-17"/>
          <w:w w:val="105"/>
        </w:rPr>
        <w:t> </w:t>
      </w:r>
      <w:r>
        <w:rPr>
          <w:color w:val="231F20"/>
          <w:w w:val="105"/>
        </w:rPr>
        <w:t>posibilita</w:t>
      </w:r>
      <w:r>
        <w:rPr>
          <w:color w:val="231F20"/>
          <w:spacing w:val="-17"/>
          <w:w w:val="105"/>
        </w:rPr>
        <w:t> </w:t>
      </w:r>
      <w:r>
        <w:rPr>
          <w:color w:val="231F20"/>
          <w:w w:val="105"/>
        </w:rPr>
        <w:t>identificar</w:t>
      </w:r>
      <w:r>
        <w:rPr>
          <w:color w:val="231F20"/>
          <w:spacing w:val="-17"/>
          <w:w w:val="105"/>
        </w:rPr>
        <w:t> </w:t>
      </w:r>
      <w:r>
        <w:rPr>
          <w:color w:val="231F20"/>
          <w:w w:val="105"/>
        </w:rPr>
        <w:t>carac-</w:t>
      </w:r>
      <w:r>
        <w:rPr>
          <w:color w:val="231F20"/>
          <w:w w:val="96"/>
        </w:rPr>
        <w:t> </w:t>
      </w:r>
      <w:r>
        <w:rPr>
          <w:color w:val="231F20"/>
          <w:w w:val="105"/>
        </w:rPr>
        <w:t>terísticas de tipo cualitativo; sin embargo, con el objetivo</w:t>
      </w:r>
      <w:r>
        <w:rPr>
          <w:color w:val="231F20"/>
          <w:spacing w:val="40"/>
          <w:w w:val="105"/>
        </w:rPr>
        <w:t> </w:t>
      </w:r>
      <w:r>
        <w:rPr>
          <w:color w:val="231F20"/>
          <w:w w:val="105"/>
        </w:rPr>
        <w:t>de</w:t>
      </w:r>
      <w:r>
        <w:rPr>
          <w:color w:val="231F20"/>
          <w:spacing w:val="5"/>
          <w:w w:val="105"/>
        </w:rPr>
        <w:t> </w:t>
      </w:r>
      <w:r>
        <w:rPr>
          <w:color w:val="231F20"/>
          <w:w w:val="105"/>
        </w:rPr>
        <w:t>reconocer</w:t>
      </w:r>
      <w:r>
        <w:rPr>
          <w:color w:val="231F20"/>
          <w:w w:val="104"/>
        </w:rPr>
        <w:t> </w:t>
      </w:r>
      <w:r>
        <w:rPr>
          <w:color w:val="231F20"/>
          <w:w w:val="105"/>
        </w:rPr>
        <w:t>rasgos</w:t>
      </w:r>
      <w:r>
        <w:rPr>
          <w:color w:val="231F20"/>
          <w:spacing w:val="-13"/>
          <w:w w:val="105"/>
        </w:rPr>
        <w:t> </w:t>
      </w:r>
      <w:r>
        <w:rPr>
          <w:color w:val="231F20"/>
          <w:w w:val="105"/>
        </w:rPr>
        <w:t>cuantitativos</w:t>
      </w:r>
      <w:r>
        <w:rPr>
          <w:color w:val="231F20"/>
          <w:spacing w:val="-13"/>
          <w:w w:val="105"/>
        </w:rPr>
        <w:t> </w:t>
      </w:r>
      <w:r>
        <w:rPr>
          <w:color w:val="231F20"/>
          <w:w w:val="105"/>
        </w:rPr>
        <w:t>se</w:t>
      </w:r>
      <w:r>
        <w:rPr>
          <w:color w:val="231F20"/>
          <w:spacing w:val="-13"/>
          <w:w w:val="105"/>
        </w:rPr>
        <w:t> </w:t>
      </w:r>
      <w:r>
        <w:rPr>
          <w:color w:val="231F20"/>
          <w:w w:val="105"/>
        </w:rPr>
        <w:t>sugiere</w:t>
      </w:r>
      <w:r>
        <w:rPr>
          <w:color w:val="231F20"/>
          <w:spacing w:val="-13"/>
          <w:w w:val="105"/>
        </w:rPr>
        <w:t> </w:t>
      </w:r>
      <w:r>
        <w:rPr>
          <w:color w:val="231F20"/>
          <w:w w:val="105"/>
        </w:rPr>
        <w:t>incorporar</w:t>
      </w:r>
      <w:r>
        <w:rPr>
          <w:color w:val="231F20"/>
          <w:spacing w:val="-13"/>
          <w:w w:val="105"/>
        </w:rPr>
        <w:t> </w:t>
      </w:r>
      <w:r>
        <w:rPr>
          <w:color w:val="231F20"/>
          <w:w w:val="105"/>
        </w:rPr>
        <w:t>la</w:t>
      </w:r>
      <w:r>
        <w:rPr>
          <w:color w:val="231F20"/>
          <w:spacing w:val="-13"/>
          <w:w w:val="105"/>
        </w:rPr>
        <w:t> </w:t>
      </w:r>
      <w:r>
        <w:rPr>
          <w:color w:val="231F20"/>
          <w:w w:val="105"/>
        </w:rPr>
        <w:t>perspectiva</w:t>
      </w:r>
      <w:r>
        <w:rPr>
          <w:color w:val="231F20"/>
          <w:spacing w:val="-16"/>
          <w:w w:val="105"/>
        </w:rPr>
        <w:t> </w:t>
      </w:r>
      <w:r>
        <w:rPr>
          <w:color w:val="231F20"/>
          <w:w w:val="105"/>
        </w:rPr>
        <w:t>ARS</w:t>
      </w:r>
      <w:r>
        <w:rPr>
          <w:color w:val="231F20"/>
          <w:spacing w:val="-13"/>
          <w:w w:val="105"/>
        </w:rPr>
        <w:t> </w:t>
      </w:r>
      <w:r>
        <w:rPr>
          <w:color w:val="231F20"/>
          <w:w w:val="105"/>
        </w:rPr>
        <w:t>al</w:t>
      </w:r>
      <w:r>
        <w:rPr>
          <w:color w:val="231F20"/>
          <w:spacing w:val="-13"/>
          <w:w w:val="105"/>
        </w:rPr>
        <w:t> </w:t>
      </w:r>
      <w:r>
        <w:rPr>
          <w:color w:val="231F20"/>
          <w:w w:val="105"/>
        </w:rPr>
        <w:t>estudio</w:t>
      </w:r>
    </w:p>
    <w:p>
      <w:pPr>
        <w:pStyle w:val="BodyText"/>
        <w:spacing w:line="241" w:lineRule="exact"/>
        <w:ind w:left="117"/>
        <w:jc w:val="both"/>
      </w:pPr>
      <w:r>
        <w:rPr>
          <w:color w:val="231F20"/>
          <w:w w:val="105"/>
        </w:rPr>
        <w:t>de las redes de conocimiento.</w:t>
      </w:r>
    </w:p>
    <w:p>
      <w:pPr>
        <w:pStyle w:val="BodyText"/>
        <w:rPr>
          <w:sz w:val="20"/>
        </w:rPr>
      </w:pPr>
    </w:p>
    <w:p>
      <w:pPr>
        <w:pStyle w:val="BodyText"/>
        <w:spacing w:before="3"/>
        <w:rPr>
          <w:sz w:val="20"/>
        </w:rPr>
      </w:pPr>
    </w:p>
    <w:p>
      <w:pPr>
        <w:pStyle w:val="Heading2"/>
      </w:pPr>
      <w:r>
        <w:rPr>
          <w:color w:val="231F20"/>
          <w:w w:val="95"/>
        </w:rPr>
        <w:t>Análisis de redes sociales (ARS)</w:t>
      </w:r>
    </w:p>
    <w:p>
      <w:pPr>
        <w:pStyle w:val="BodyText"/>
        <w:rPr>
          <w:b/>
          <w:sz w:val="22"/>
        </w:rPr>
      </w:pPr>
    </w:p>
    <w:p>
      <w:pPr>
        <w:pStyle w:val="BodyText"/>
        <w:spacing w:line="259" w:lineRule="auto" w:before="160"/>
        <w:ind w:left="117" w:right="121"/>
        <w:jc w:val="both"/>
      </w:pPr>
      <w:r>
        <w:rPr>
          <w:color w:val="231F20"/>
          <w:w w:val="105"/>
        </w:rPr>
        <w:t>Con la finalidad de otorgar cierto grado de cuantificación a las</w:t>
      </w:r>
      <w:r>
        <w:rPr>
          <w:color w:val="231F20"/>
          <w:spacing w:val="-28"/>
          <w:w w:val="105"/>
        </w:rPr>
        <w:t> </w:t>
      </w:r>
      <w:r>
        <w:rPr>
          <w:color w:val="231F20"/>
          <w:w w:val="105"/>
        </w:rPr>
        <w:t>conexio- nes</w:t>
      </w:r>
      <w:r>
        <w:rPr>
          <w:color w:val="231F20"/>
          <w:spacing w:val="-15"/>
          <w:w w:val="105"/>
        </w:rPr>
        <w:t> </w:t>
      </w:r>
      <w:r>
        <w:rPr>
          <w:color w:val="231F20"/>
          <w:w w:val="105"/>
        </w:rPr>
        <w:t>presentes</w:t>
      </w:r>
      <w:r>
        <w:rPr>
          <w:color w:val="231F20"/>
          <w:spacing w:val="-15"/>
          <w:w w:val="105"/>
        </w:rPr>
        <w:t> </w:t>
      </w:r>
      <w:r>
        <w:rPr>
          <w:color w:val="231F20"/>
          <w:w w:val="105"/>
        </w:rPr>
        <w:t>en</w:t>
      </w:r>
      <w:r>
        <w:rPr>
          <w:color w:val="231F20"/>
          <w:spacing w:val="-15"/>
          <w:w w:val="105"/>
        </w:rPr>
        <w:t> </w:t>
      </w:r>
      <w:r>
        <w:rPr>
          <w:color w:val="231F20"/>
          <w:w w:val="105"/>
        </w:rPr>
        <w:t>una</w:t>
      </w:r>
      <w:r>
        <w:rPr>
          <w:color w:val="231F20"/>
          <w:spacing w:val="-15"/>
          <w:w w:val="105"/>
        </w:rPr>
        <w:t> </w:t>
      </w:r>
      <w:r>
        <w:rPr>
          <w:color w:val="231F20"/>
          <w:w w:val="105"/>
        </w:rPr>
        <w:t>red</w:t>
      </w:r>
      <w:r>
        <w:rPr>
          <w:color w:val="231F20"/>
          <w:spacing w:val="-15"/>
          <w:w w:val="105"/>
        </w:rPr>
        <w:t> </w:t>
      </w:r>
      <w:r>
        <w:rPr>
          <w:color w:val="231F20"/>
          <w:w w:val="105"/>
        </w:rPr>
        <w:t>de</w:t>
      </w:r>
      <w:r>
        <w:rPr>
          <w:color w:val="231F20"/>
          <w:spacing w:val="-15"/>
          <w:w w:val="105"/>
        </w:rPr>
        <w:t> </w:t>
      </w:r>
      <w:r>
        <w:rPr>
          <w:color w:val="231F20"/>
          <w:w w:val="105"/>
        </w:rPr>
        <w:t>conocimiento,</w:t>
      </w:r>
      <w:r>
        <w:rPr>
          <w:color w:val="231F20"/>
          <w:spacing w:val="-20"/>
          <w:w w:val="105"/>
        </w:rPr>
        <w:t> </w:t>
      </w:r>
      <w:r>
        <w:rPr>
          <w:color w:val="231F20"/>
          <w:w w:val="105"/>
        </w:rPr>
        <w:t>se</w:t>
      </w:r>
      <w:r>
        <w:rPr>
          <w:color w:val="231F20"/>
          <w:spacing w:val="-15"/>
          <w:w w:val="105"/>
        </w:rPr>
        <w:t> </w:t>
      </w:r>
      <w:r>
        <w:rPr>
          <w:color w:val="231F20"/>
          <w:w w:val="105"/>
        </w:rPr>
        <w:t>planeta</w:t>
      </w:r>
      <w:r>
        <w:rPr>
          <w:color w:val="231F20"/>
          <w:spacing w:val="-15"/>
          <w:w w:val="105"/>
        </w:rPr>
        <w:t> </w:t>
      </w:r>
      <w:r>
        <w:rPr>
          <w:color w:val="231F20"/>
          <w:w w:val="105"/>
        </w:rPr>
        <w:t>retomar</w:t>
      </w:r>
      <w:r>
        <w:rPr>
          <w:color w:val="231F20"/>
          <w:spacing w:val="-15"/>
          <w:w w:val="105"/>
        </w:rPr>
        <w:t> </w:t>
      </w:r>
      <w:r>
        <w:rPr>
          <w:color w:val="231F20"/>
          <w:w w:val="105"/>
        </w:rPr>
        <w:t>las</w:t>
      </w:r>
      <w:r>
        <w:rPr>
          <w:color w:val="231F20"/>
          <w:spacing w:val="-15"/>
          <w:w w:val="105"/>
        </w:rPr>
        <w:t> </w:t>
      </w:r>
      <w:r>
        <w:rPr>
          <w:color w:val="231F20"/>
          <w:w w:val="105"/>
        </w:rPr>
        <w:t>técni- cas</w:t>
      </w:r>
      <w:r>
        <w:rPr>
          <w:color w:val="231F20"/>
          <w:spacing w:val="-6"/>
          <w:w w:val="105"/>
        </w:rPr>
        <w:t> </w:t>
      </w:r>
      <w:r>
        <w:rPr>
          <w:color w:val="231F20"/>
          <w:w w:val="105"/>
        </w:rPr>
        <w:t>de</w:t>
      </w:r>
      <w:r>
        <w:rPr>
          <w:color w:val="231F20"/>
          <w:spacing w:val="-6"/>
          <w:w w:val="105"/>
        </w:rPr>
        <w:t> </w:t>
      </w:r>
      <w:r>
        <w:rPr>
          <w:color w:val="231F20"/>
          <w:w w:val="105"/>
        </w:rPr>
        <w:t>medición</w:t>
      </w:r>
      <w:r>
        <w:rPr>
          <w:color w:val="231F20"/>
          <w:spacing w:val="-6"/>
          <w:w w:val="105"/>
        </w:rPr>
        <w:t> </w:t>
      </w:r>
      <w:r>
        <w:rPr>
          <w:color w:val="231F20"/>
          <w:w w:val="105"/>
        </w:rPr>
        <w:t>provenientes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perspectiva</w:t>
      </w:r>
      <w:r>
        <w:rPr>
          <w:color w:val="231F20"/>
          <w:spacing w:val="-9"/>
          <w:w w:val="105"/>
        </w:rPr>
        <w:t> </w:t>
      </w:r>
      <w:r>
        <w:rPr>
          <w:color w:val="231F20"/>
          <w:w w:val="105"/>
        </w:rPr>
        <w:t>ARS</w:t>
      </w:r>
      <w:r>
        <w:rPr>
          <w:color w:val="231F20"/>
          <w:w w:val="105"/>
          <w:position w:val="7"/>
          <w:sz w:val="12"/>
        </w:rPr>
        <w:t>1</w:t>
      </w:r>
      <w:r>
        <w:rPr>
          <w:color w:val="231F20"/>
          <w:w w:val="105"/>
        </w:rPr>
        <w:t>,</w:t>
      </w:r>
      <w:r>
        <w:rPr>
          <w:color w:val="231F20"/>
          <w:spacing w:val="-12"/>
          <w:w w:val="105"/>
        </w:rPr>
        <w:t> </w:t>
      </w:r>
      <w:r>
        <w:rPr>
          <w:color w:val="231F20"/>
          <w:w w:val="105"/>
        </w:rPr>
        <w:t>también</w:t>
      </w:r>
      <w:r>
        <w:rPr>
          <w:color w:val="231F20"/>
          <w:spacing w:val="-6"/>
          <w:w w:val="105"/>
        </w:rPr>
        <w:t> </w:t>
      </w:r>
      <w:r>
        <w:rPr>
          <w:color w:val="231F20"/>
          <w:w w:val="105"/>
        </w:rPr>
        <w:t>llamado</w:t>
      </w:r>
    </w:p>
    <w:p>
      <w:pPr>
        <w:pStyle w:val="BodyText"/>
        <w:spacing w:before="3"/>
        <w:rPr>
          <w:sz w:val="25"/>
        </w:rPr>
      </w:pPr>
      <w:r>
        <w:rPr/>
        <w:pict>
          <v:line style="position:absolute;mso-position-horizontal-relative:page;mso-position-vertical-relative:paragraph;z-index:4360;mso-wrap-distance-left:0;mso-wrap-distance-right:0" from="70.866096pt,16.636061pt" to="184.252096pt,16.636061pt" stroked="true" strokeweight=".25pt" strokecolor="#231f20">
            <w10:wrap type="topAndBottom"/>
          </v:line>
        </w:pict>
      </w:r>
    </w:p>
    <w:p>
      <w:pPr>
        <w:spacing w:line="192" w:lineRule="exact" w:before="7"/>
        <w:ind w:left="117" w:right="121" w:hanging="1"/>
        <w:jc w:val="both"/>
        <w:rPr>
          <w:rFonts w:ascii="Calibri" w:hAnsi="Calibri"/>
          <w:sz w:val="16"/>
        </w:rPr>
      </w:pPr>
      <w:r>
        <w:rPr>
          <w:rFonts w:ascii="Calibri" w:hAnsi="Calibri"/>
          <w:color w:val="414042"/>
          <w:position w:val="5"/>
          <w:sz w:val="9"/>
        </w:rPr>
        <w:t>1 </w:t>
      </w:r>
      <w:r>
        <w:rPr>
          <w:rFonts w:ascii="Calibri" w:hAnsi="Calibri"/>
          <w:color w:val="414042"/>
          <w:sz w:val="16"/>
        </w:rPr>
        <w:t>Este enfoque proviene del punto de vista sociológico teoría de redes sociales. Dentro de este marco existen otras perspectivas como: la teoría del actor–red, el interaccionismo simbólico y la teoría de la coordinación social, entre otras. Para fines de la construcción del marco metodológico, objeto de estudio de la presente investigación, se retoman el análisis de redes sociales (ARS) y parcialmente, la teoría de a coordinación social. del análisis de redes sociales, se consideran sus técnicas y herramientas de medición con la finalidad de obtener resultados cuantitativos; en tanto, de la coordinación social, únicamente se</w:t>
      </w:r>
    </w:p>
    <w:p>
      <w:pPr>
        <w:spacing w:after="0" w:line="192" w:lineRule="exact"/>
        <w:jc w:val="both"/>
        <w:rPr>
          <w:rFonts w:ascii="Calibri" w:hAnsi="Calibri"/>
          <w:sz w:val="16"/>
        </w:rPr>
        <w:sectPr>
          <w:type w:val="continuous"/>
          <w:pgSz w:w="9640" w:h="13890"/>
          <w:pgMar w:top="1300" w:bottom="280" w:left="1300" w:right="1180"/>
        </w:sectPr>
      </w:pPr>
    </w:p>
    <w:p>
      <w:pPr>
        <w:pStyle w:val="BodyText"/>
        <w:spacing w:line="259" w:lineRule="auto" w:before="120"/>
        <w:ind w:left="103" w:right="115"/>
        <w:jc w:val="both"/>
      </w:pPr>
      <w:r>
        <w:rPr>
          <w:color w:val="231F20"/>
          <w:w w:val="105"/>
        </w:rPr>
        <w:t>análisis</w:t>
      </w:r>
      <w:r>
        <w:rPr>
          <w:color w:val="231F20"/>
          <w:spacing w:val="-27"/>
          <w:w w:val="105"/>
        </w:rPr>
        <w:t> </w:t>
      </w:r>
      <w:r>
        <w:rPr>
          <w:color w:val="231F20"/>
          <w:w w:val="105"/>
        </w:rPr>
        <w:t>estructural.</w:t>
      </w:r>
      <w:r>
        <w:rPr>
          <w:color w:val="231F20"/>
          <w:spacing w:val="-31"/>
          <w:w w:val="105"/>
        </w:rPr>
        <w:t> </w:t>
      </w:r>
      <w:r>
        <w:rPr>
          <w:color w:val="231F20"/>
          <w:w w:val="105"/>
        </w:rPr>
        <w:t>El</w:t>
      </w:r>
      <w:r>
        <w:rPr>
          <w:color w:val="231F20"/>
          <w:spacing w:val="-29"/>
          <w:w w:val="105"/>
        </w:rPr>
        <w:t> </w:t>
      </w:r>
      <w:r>
        <w:rPr>
          <w:color w:val="231F20"/>
          <w:w w:val="105"/>
        </w:rPr>
        <w:t>ARS</w:t>
      </w:r>
      <w:r>
        <w:rPr>
          <w:color w:val="231F20"/>
          <w:w w:val="105"/>
          <w:position w:val="7"/>
          <w:sz w:val="12"/>
        </w:rPr>
        <w:t>2</w:t>
      </w:r>
      <w:r>
        <w:rPr>
          <w:color w:val="231F20"/>
          <w:w w:val="105"/>
        </w:rPr>
        <w:t>,</w:t>
      </w:r>
      <w:r>
        <w:rPr>
          <w:color w:val="231F20"/>
          <w:spacing w:val="-31"/>
          <w:w w:val="105"/>
        </w:rPr>
        <w:t> </w:t>
      </w:r>
      <w:r>
        <w:rPr>
          <w:color w:val="231F20"/>
          <w:w w:val="105"/>
        </w:rPr>
        <w:t>se</w:t>
      </w:r>
      <w:r>
        <w:rPr>
          <w:color w:val="231F20"/>
          <w:spacing w:val="-27"/>
          <w:w w:val="105"/>
        </w:rPr>
        <w:t> </w:t>
      </w:r>
      <w:r>
        <w:rPr>
          <w:color w:val="231F20"/>
          <w:w w:val="105"/>
        </w:rPr>
        <w:t>concentra</w:t>
      </w:r>
      <w:r>
        <w:rPr>
          <w:color w:val="231F20"/>
          <w:spacing w:val="-27"/>
          <w:w w:val="105"/>
        </w:rPr>
        <w:t> </w:t>
      </w:r>
      <w:r>
        <w:rPr>
          <w:color w:val="231F20"/>
          <w:w w:val="105"/>
        </w:rPr>
        <w:t>principalmente</w:t>
      </w:r>
      <w:r>
        <w:rPr>
          <w:color w:val="231F20"/>
          <w:spacing w:val="-27"/>
          <w:w w:val="105"/>
        </w:rPr>
        <w:t> </w:t>
      </w:r>
      <w:r>
        <w:rPr>
          <w:color w:val="231F20"/>
          <w:w w:val="105"/>
        </w:rPr>
        <w:t>en</w:t>
      </w:r>
      <w:r>
        <w:rPr>
          <w:color w:val="231F20"/>
          <w:spacing w:val="-27"/>
          <w:w w:val="105"/>
        </w:rPr>
        <w:t> </w:t>
      </w:r>
      <w:r>
        <w:rPr>
          <w:color w:val="231F20"/>
          <w:w w:val="105"/>
        </w:rPr>
        <w:t>estructuras</w:t>
      </w:r>
      <w:r>
        <w:rPr>
          <w:color w:val="231F20"/>
          <w:w w:val="105"/>
          <w:position w:val="7"/>
          <w:sz w:val="12"/>
        </w:rPr>
        <w:t>3 </w:t>
      </w:r>
      <w:r>
        <w:rPr>
          <w:color w:val="231F20"/>
          <w:w w:val="105"/>
        </w:rPr>
        <w:t>sociales originadas a partir de relaciones</w:t>
      </w:r>
      <w:r>
        <w:rPr>
          <w:color w:val="231F20"/>
          <w:w w:val="105"/>
          <w:position w:val="7"/>
          <w:sz w:val="12"/>
        </w:rPr>
        <w:t>4 </w:t>
      </w:r>
      <w:r>
        <w:rPr>
          <w:color w:val="231F20"/>
          <w:w w:val="105"/>
        </w:rPr>
        <w:t>entre actores (individuos, or- ganizaciones,</w:t>
      </w:r>
      <w:r>
        <w:rPr>
          <w:color w:val="231F20"/>
          <w:spacing w:val="-33"/>
          <w:w w:val="105"/>
        </w:rPr>
        <w:t> </w:t>
      </w:r>
      <w:r>
        <w:rPr>
          <w:color w:val="231F20"/>
          <w:w w:val="105"/>
        </w:rPr>
        <w:t>empresas,</w:t>
      </w:r>
      <w:r>
        <w:rPr>
          <w:color w:val="231F20"/>
          <w:spacing w:val="-33"/>
          <w:w w:val="105"/>
        </w:rPr>
        <w:t> </w:t>
      </w:r>
      <w:r>
        <w:rPr>
          <w:color w:val="231F20"/>
          <w:w w:val="105"/>
        </w:rPr>
        <w:t>países,</w:t>
      </w:r>
      <w:r>
        <w:rPr>
          <w:color w:val="231F20"/>
          <w:spacing w:val="-33"/>
          <w:w w:val="105"/>
        </w:rPr>
        <w:t> </w:t>
      </w:r>
      <w:r>
        <w:rPr>
          <w:color w:val="231F20"/>
          <w:w w:val="105"/>
        </w:rPr>
        <w:t>etc.)</w:t>
      </w:r>
      <w:r>
        <w:rPr>
          <w:color w:val="231F20"/>
          <w:spacing w:val="-29"/>
          <w:w w:val="105"/>
        </w:rPr>
        <w:t> </w:t>
      </w:r>
      <w:r>
        <w:rPr>
          <w:color w:val="231F20"/>
          <w:w w:val="105"/>
        </w:rPr>
        <w:t>e</w:t>
      </w:r>
      <w:r>
        <w:rPr>
          <w:color w:val="231F20"/>
          <w:spacing w:val="-29"/>
          <w:w w:val="105"/>
        </w:rPr>
        <w:t> </w:t>
      </w:r>
      <w:r>
        <w:rPr>
          <w:color w:val="231F20"/>
          <w:w w:val="105"/>
        </w:rPr>
        <w:t>involucra</w:t>
      </w:r>
      <w:r>
        <w:rPr>
          <w:color w:val="231F20"/>
          <w:spacing w:val="-29"/>
          <w:w w:val="105"/>
        </w:rPr>
        <w:t> </w:t>
      </w:r>
      <w:r>
        <w:rPr>
          <w:color w:val="231F20"/>
          <w:w w:val="105"/>
        </w:rPr>
        <w:t>un</w:t>
      </w:r>
      <w:r>
        <w:rPr>
          <w:color w:val="231F20"/>
          <w:spacing w:val="-29"/>
          <w:w w:val="105"/>
        </w:rPr>
        <w:t> </w:t>
      </w:r>
      <w:r>
        <w:rPr>
          <w:color w:val="231F20"/>
          <w:w w:val="105"/>
        </w:rPr>
        <w:t>conjunto</w:t>
      </w:r>
      <w:r>
        <w:rPr>
          <w:color w:val="231F20"/>
          <w:spacing w:val="-29"/>
          <w:w w:val="105"/>
        </w:rPr>
        <w:t> </w:t>
      </w:r>
      <w:r>
        <w:rPr>
          <w:color w:val="231F20"/>
          <w:w w:val="105"/>
        </w:rPr>
        <w:t>de</w:t>
      </w:r>
      <w:r>
        <w:rPr>
          <w:color w:val="231F20"/>
          <w:spacing w:val="-29"/>
          <w:w w:val="105"/>
        </w:rPr>
        <w:t> </w:t>
      </w:r>
      <w:r>
        <w:rPr>
          <w:color w:val="231F20"/>
          <w:w w:val="105"/>
        </w:rPr>
        <w:t>agentes con atributos no necesariamente iguales y la observación relativa a los vínculos entre ellos (Quatman y Chelladurai, 2008). Es decir “se ocupa del</w:t>
      </w:r>
      <w:r>
        <w:rPr>
          <w:color w:val="231F20"/>
          <w:spacing w:val="-14"/>
          <w:w w:val="105"/>
        </w:rPr>
        <w:t> </w:t>
      </w:r>
      <w:r>
        <w:rPr>
          <w:color w:val="231F20"/>
          <w:w w:val="105"/>
        </w:rPr>
        <w:t>estudio</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relaciones</w:t>
      </w:r>
      <w:r>
        <w:rPr>
          <w:color w:val="231F20"/>
          <w:spacing w:val="-14"/>
          <w:w w:val="105"/>
        </w:rPr>
        <w:t> </w:t>
      </w:r>
      <w:r>
        <w:rPr>
          <w:color w:val="231F20"/>
          <w:w w:val="105"/>
        </w:rPr>
        <w:t>entre</w:t>
      </w:r>
      <w:r>
        <w:rPr>
          <w:color w:val="231F20"/>
          <w:spacing w:val="-14"/>
          <w:w w:val="105"/>
        </w:rPr>
        <w:t> </w:t>
      </w:r>
      <w:r>
        <w:rPr>
          <w:color w:val="231F20"/>
          <w:w w:val="105"/>
        </w:rPr>
        <w:t>una</w:t>
      </w:r>
      <w:r>
        <w:rPr>
          <w:color w:val="231F20"/>
          <w:spacing w:val="-14"/>
          <w:w w:val="105"/>
        </w:rPr>
        <w:t> </w:t>
      </w:r>
      <w:r>
        <w:rPr>
          <w:color w:val="231F20"/>
          <w:w w:val="105"/>
        </w:rPr>
        <w:t>serie</w:t>
      </w:r>
      <w:r>
        <w:rPr>
          <w:color w:val="231F20"/>
          <w:spacing w:val="-14"/>
          <w:w w:val="105"/>
        </w:rPr>
        <w:t> </w:t>
      </w:r>
      <w:r>
        <w:rPr>
          <w:color w:val="231F20"/>
          <w:w w:val="105"/>
        </w:rPr>
        <w:t>definida</w:t>
      </w:r>
      <w:r>
        <w:rPr>
          <w:color w:val="231F20"/>
          <w:spacing w:val="-14"/>
          <w:w w:val="105"/>
        </w:rPr>
        <w:t> </w:t>
      </w:r>
      <w:r>
        <w:rPr>
          <w:color w:val="231F20"/>
          <w:w w:val="105"/>
        </w:rPr>
        <w:t>de</w:t>
      </w:r>
      <w:r>
        <w:rPr>
          <w:color w:val="231F20"/>
          <w:spacing w:val="-14"/>
          <w:w w:val="105"/>
        </w:rPr>
        <w:t> </w:t>
      </w:r>
      <w:r>
        <w:rPr>
          <w:color w:val="231F20"/>
          <w:w w:val="105"/>
        </w:rPr>
        <w:t>elementos</w:t>
      </w:r>
      <w:r>
        <w:rPr>
          <w:color w:val="231F20"/>
          <w:spacing w:val="-14"/>
          <w:w w:val="105"/>
        </w:rPr>
        <w:t> </w:t>
      </w:r>
      <w:r>
        <w:rPr>
          <w:color w:val="231F20"/>
          <w:w w:val="105"/>
        </w:rPr>
        <w:t>(per- sonas,</w:t>
      </w:r>
      <w:r>
        <w:rPr>
          <w:color w:val="231F20"/>
          <w:spacing w:val="-35"/>
          <w:w w:val="105"/>
        </w:rPr>
        <w:t> </w:t>
      </w:r>
      <w:r>
        <w:rPr>
          <w:color w:val="231F20"/>
          <w:w w:val="105"/>
        </w:rPr>
        <w:t>grupos,</w:t>
      </w:r>
      <w:r>
        <w:rPr>
          <w:color w:val="231F20"/>
          <w:spacing w:val="-35"/>
          <w:w w:val="105"/>
        </w:rPr>
        <w:t> </w:t>
      </w:r>
      <w:r>
        <w:rPr>
          <w:color w:val="231F20"/>
          <w:w w:val="105"/>
        </w:rPr>
        <w:t>organizaciones,</w:t>
      </w:r>
      <w:r>
        <w:rPr>
          <w:color w:val="231F20"/>
          <w:spacing w:val="-35"/>
          <w:w w:val="105"/>
        </w:rPr>
        <w:t> </w:t>
      </w:r>
      <w:r>
        <w:rPr>
          <w:color w:val="231F20"/>
          <w:w w:val="105"/>
        </w:rPr>
        <w:t>países</w:t>
      </w:r>
      <w:r>
        <w:rPr>
          <w:color w:val="231F20"/>
          <w:spacing w:val="-32"/>
          <w:w w:val="105"/>
        </w:rPr>
        <w:t> </w:t>
      </w:r>
      <w:r>
        <w:rPr>
          <w:color w:val="231F20"/>
          <w:w w:val="105"/>
        </w:rPr>
        <w:t>e</w:t>
      </w:r>
      <w:r>
        <w:rPr>
          <w:color w:val="231F20"/>
          <w:spacing w:val="-32"/>
          <w:w w:val="105"/>
        </w:rPr>
        <w:t> </w:t>
      </w:r>
      <w:r>
        <w:rPr>
          <w:color w:val="231F20"/>
          <w:w w:val="105"/>
        </w:rPr>
        <w:t>incluso</w:t>
      </w:r>
      <w:r>
        <w:rPr>
          <w:color w:val="231F20"/>
          <w:spacing w:val="-32"/>
          <w:w w:val="105"/>
        </w:rPr>
        <w:t> </w:t>
      </w:r>
      <w:r>
        <w:rPr>
          <w:color w:val="231F20"/>
          <w:w w:val="105"/>
        </w:rPr>
        <w:t>acontecimientos).</w:t>
      </w:r>
      <w:r>
        <w:rPr>
          <w:color w:val="231F20"/>
          <w:spacing w:val="-37"/>
          <w:w w:val="105"/>
        </w:rPr>
        <w:t> </w:t>
      </w:r>
      <w:r>
        <w:rPr>
          <w:color w:val="231F20"/>
          <w:w w:val="105"/>
        </w:rPr>
        <w:t>A</w:t>
      </w:r>
      <w:r>
        <w:rPr>
          <w:color w:val="231F20"/>
          <w:spacing w:val="-33"/>
          <w:w w:val="105"/>
        </w:rPr>
        <w:t> </w:t>
      </w:r>
      <w:r>
        <w:rPr>
          <w:color w:val="231F20"/>
          <w:w w:val="105"/>
        </w:rPr>
        <w:t>dife- rencia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análisis</w:t>
      </w:r>
      <w:r>
        <w:rPr>
          <w:color w:val="231F20"/>
          <w:spacing w:val="-26"/>
          <w:w w:val="105"/>
        </w:rPr>
        <w:t> </w:t>
      </w:r>
      <w:r>
        <w:rPr>
          <w:color w:val="231F20"/>
          <w:w w:val="105"/>
        </w:rPr>
        <w:t>tradicionales</w:t>
      </w:r>
      <w:r>
        <w:rPr>
          <w:color w:val="231F20"/>
          <w:spacing w:val="-26"/>
          <w:w w:val="105"/>
        </w:rPr>
        <w:t> </w:t>
      </w:r>
      <w:r>
        <w:rPr>
          <w:color w:val="231F20"/>
          <w:w w:val="105"/>
        </w:rPr>
        <w:t>que</w:t>
      </w:r>
      <w:r>
        <w:rPr>
          <w:color w:val="231F20"/>
          <w:spacing w:val="-26"/>
          <w:w w:val="105"/>
        </w:rPr>
        <w:t> </w:t>
      </w:r>
      <w:r>
        <w:rPr>
          <w:color w:val="231F20"/>
          <w:w w:val="105"/>
        </w:rPr>
        <w:t>explican,</w:t>
      </w:r>
      <w:r>
        <w:rPr>
          <w:color w:val="231F20"/>
          <w:spacing w:val="-31"/>
          <w:w w:val="105"/>
        </w:rPr>
        <w:t> </w:t>
      </w:r>
      <w:r>
        <w:rPr>
          <w:color w:val="231F20"/>
          <w:w w:val="105"/>
        </w:rPr>
        <w:t>por</w:t>
      </w:r>
      <w:r>
        <w:rPr>
          <w:color w:val="231F20"/>
          <w:spacing w:val="-26"/>
          <w:w w:val="105"/>
        </w:rPr>
        <w:t> </w:t>
      </w:r>
      <w:r>
        <w:rPr>
          <w:color w:val="231F20"/>
          <w:w w:val="105"/>
        </w:rPr>
        <w:t>ejemplo,</w:t>
      </w:r>
      <w:r>
        <w:rPr>
          <w:color w:val="231F20"/>
          <w:spacing w:val="-31"/>
          <w:w w:val="105"/>
        </w:rPr>
        <w:t> </w:t>
      </w:r>
      <w:r>
        <w:rPr>
          <w:color w:val="231F20"/>
          <w:w w:val="105"/>
        </w:rPr>
        <w:t>la</w:t>
      </w:r>
      <w:r>
        <w:rPr>
          <w:color w:val="231F20"/>
          <w:spacing w:val="-26"/>
          <w:w w:val="105"/>
        </w:rPr>
        <w:t> </w:t>
      </w:r>
      <w:r>
        <w:rPr>
          <w:color w:val="231F20"/>
          <w:w w:val="105"/>
        </w:rPr>
        <w:t>conducta en</w:t>
      </w:r>
      <w:r>
        <w:rPr>
          <w:color w:val="231F20"/>
          <w:spacing w:val="-29"/>
          <w:w w:val="105"/>
        </w:rPr>
        <w:t> </w:t>
      </w:r>
      <w:r>
        <w:rPr>
          <w:color w:val="231F20"/>
          <w:w w:val="105"/>
        </w:rPr>
        <w:t>función</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clase</w:t>
      </w:r>
      <w:r>
        <w:rPr>
          <w:color w:val="231F20"/>
          <w:spacing w:val="-29"/>
          <w:w w:val="105"/>
        </w:rPr>
        <w:t> </w:t>
      </w:r>
      <w:r>
        <w:rPr>
          <w:color w:val="231F20"/>
          <w:w w:val="105"/>
        </w:rPr>
        <w:t>social</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w w:val="105"/>
        </w:rPr>
        <w:t>profesión,</w:t>
      </w:r>
      <w:r>
        <w:rPr>
          <w:color w:val="231F20"/>
          <w:spacing w:val="-33"/>
          <w:w w:val="105"/>
        </w:rPr>
        <w:t> </w:t>
      </w:r>
      <w:r>
        <w:rPr>
          <w:color w:val="231F20"/>
          <w:w w:val="105"/>
        </w:rPr>
        <w:t>el</w:t>
      </w:r>
      <w:r>
        <w:rPr>
          <w:color w:val="231F20"/>
          <w:spacing w:val="-32"/>
          <w:w w:val="105"/>
        </w:rPr>
        <w:t> </w:t>
      </w:r>
      <w:r>
        <w:rPr>
          <w:color w:val="231F20"/>
          <w:w w:val="105"/>
        </w:rPr>
        <w:t>ARS</w:t>
      </w:r>
      <w:r>
        <w:rPr>
          <w:color w:val="231F20"/>
          <w:spacing w:val="-29"/>
          <w:w w:val="105"/>
        </w:rPr>
        <w:t> </w:t>
      </w:r>
      <w:r>
        <w:rPr>
          <w:color w:val="231F20"/>
          <w:w w:val="105"/>
        </w:rPr>
        <w:t>se</w:t>
      </w:r>
      <w:r>
        <w:rPr>
          <w:color w:val="231F20"/>
          <w:spacing w:val="-29"/>
          <w:w w:val="105"/>
        </w:rPr>
        <w:t> </w:t>
      </w:r>
      <w:r>
        <w:rPr>
          <w:color w:val="231F20"/>
          <w:w w:val="105"/>
        </w:rPr>
        <w:t>centra</w:t>
      </w:r>
      <w:r>
        <w:rPr>
          <w:color w:val="231F20"/>
          <w:spacing w:val="-29"/>
          <w:w w:val="105"/>
        </w:rPr>
        <w:t> </w:t>
      </w:r>
      <w:r>
        <w:rPr>
          <w:color w:val="231F20"/>
          <w:w w:val="105"/>
        </w:rPr>
        <w:t>en</w:t>
      </w:r>
      <w:r>
        <w:rPr>
          <w:color w:val="231F20"/>
          <w:spacing w:val="-29"/>
          <w:w w:val="105"/>
        </w:rPr>
        <w:t> </w:t>
      </w:r>
      <w:r>
        <w:rPr>
          <w:color w:val="231F20"/>
          <w:w w:val="105"/>
        </w:rPr>
        <w:t>las</w:t>
      </w:r>
      <w:r>
        <w:rPr>
          <w:color w:val="231F20"/>
          <w:spacing w:val="-29"/>
          <w:w w:val="105"/>
        </w:rPr>
        <w:t> </w:t>
      </w:r>
      <w:r>
        <w:rPr>
          <w:color w:val="231F20"/>
          <w:w w:val="105"/>
        </w:rPr>
        <w:t>relacio- nes y no en los atributos de los elementos aunque los datos</w:t>
      </w:r>
      <w:r>
        <w:rPr>
          <w:color w:val="231F20"/>
          <w:spacing w:val="-23"/>
          <w:w w:val="105"/>
        </w:rPr>
        <w:t> </w:t>
      </w:r>
      <w:r>
        <w:rPr>
          <w:color w:val="231F20"/>
          <w:w w:val="105"/>
        </w:rPr>
        <w:t>atributivos también</w:t>
      </w:r>
      <w:r>
        <w:rPr>
          <w:color w:val="231F20"/>
          <w:spacing w:val="-16"/>
          <w:w w:val="105"/>
        </w:rPr>
        <w:t> </w:t>
      </w:r>
      <w:r>
        <w:rPr>
          <w:color w:val="231F20"/>
          <w:w w:val="105"/>
        </w:rPr>
        <w:t>pueden</w:t>
      </w:r>
      <w:r>
        <w:rPr>
          <w:color w:val="231F20"/>
          <w:spacing w:val="-16"/>
          <w:w w:val="105"/>
        </w:rPr>
        <w:t> </w:t>
      </w:r>
      <w:r>
        <w:rPr>
          <w:color w:val="231F20"/>
          <w:w w:val="105"/>
        </w:rPr>
        <w:t>ser</w:t>
      </w:r>
      <w:r>
        <w:rPr>
          <w:color w:val="231F20"/>
          <w:spacing w:val="-16"/>
          <w:w w:val="105"/>
        </w:rPr>
        <w:t> </w:t>
      </w:r>
      <w:r>
        <w:rPr>
          <w:color w:val="231F20"/>
          <w:w w:val="105"/>
        </w:rPr>
        <w:t>incorporados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análisis”</w:t>
      </w:r>
      <w:r>
        <w:rPr>
          <w:color w:val="231F20"/>
          <w:spacing w:val="-16"/>
          <w:w w:val="105"/>
        </w:rPr>
        <w:t> </w:t>
      </w:r>
      <w:r>
        <w:rPr>
          <w:color w:val="231F20"/>
          <w:w w:val="105"/>
        </w:rPr>
        <w:t>(Molina,</w:t>
      </w:r>
      <w:r>
        <w:rPr>
          <w:color w:val="231F20"/>
          <w:spacing w:val="-22"/>
          <w:w w:val="105"/>
        </w:rPr>
        <w:t> </w:t>
      </w:r>
      <w:r>
        <w:rPr>
          <w:color w:val="231F20"/>
          <w:w w:val="105"/>
        </w:rPr>
        <w:t>2001:</w:t>
      </w:r>
      <w:r>
        <w:rPr>
          <w:color w:val="231F20"/>
          <w:spacing w:val="-16"/>
          <w:w w:val="105"/>
        </w:rPr>
        <w:t> </w:t>
      </w:r>
      <w:r>
        <w:rPr>
          <w:color w:val="231F20"/>
          <w:w w:val="105"/>
        </w:rPr>
        <w:t>13).</w:t>
      </w:r>
    </w:p>
    <w:p>
      <w:pPr>
        <w:pStyle w:val="BodyText"/>
        <w:spacing w:line="259" w:lineRule="auto"/>
        <w:ind w:left="103" w:right="26" w:firstLine="567"/>
      </w:pPr>
      <w:r>
        <w:rPr>
          <w:color w:val="231F20"/>
          <w:w w:val="105"/>
        </w:rPr>
        <w:t>Son notables cinco peculiaridades que diferencian esta perspecti- va de otros enfoques sobre redes sociales:</w:t>
      </w:r>
    </w:p>
    <w:p>
      <w:pPr>
        <w:pStyle w:val="BodyText"/>
        <w:spacing w:before="6"/>
        <w:rPr>
          <w:sz w:val="22"/>
        </w:rPr>
      </w:pPr>
    </w:p>
    <w:p>
      <w:pPr>
        <w:pStyle w:val="ListParagraph"/>
        <w:numPr>
          <w:ilvl w:val="0"/>
          <w:numId w:val="39"/>
        </w:numPr>
        <w:tabs>
          <w:tab w:pos="1315" w:val="left" w:leader="none"/>
        </w:tabs>
        <w:spacing w:line="259" w:lineRule="auto" w:before="0" w:after="0"/>
        <w:ind w:left="1314" w:right="115" w:hanging="360"/>
        <w:jc w:val="both"/>
        <w:rPr>
          <w:sz w:val="21"/>
        </w:rPr>
      </w:pPr>
      <w:r>
        <w:rPr>
          <w:color w:val="231F20"/>
          <w:w w:val="105"/>
          <w:sz w:val="21"/>
        </w:rPr>
        <w:t>Es</w:t>
      </w:r>
      <w:r>
        <w:rPr>
          <w:color w:val="231F20"/>
          <w:spacing w:val="-20"/>
          <w:w w:val="105"/>
          <w:sz w:val="21"/>
        </w:rPr>
        <w:t> </w:t>
      </w:r>
      <w:r>
        <w:rPr>
          <w:color w:val="231F20"/>
          <w:w w:val="105"/>
          <w:sz w:val="21"/>
        </w:rPr>
        <w:t>un</w:t>
      </w:r>
      <w:r>
        <w:rPr>
          <w:color w:val="231F20"/>
          <w:spacing w:val="-20"/>
          <w:w w:val="105"/>
          <w:sz w:val="21"/>
        </w:rPr>
        <w:t> </w:t>
      </w:r>
      <w:r>
        <w:rPr>
          <w:color w:val="231F20"/>
          <w:w w:val="105"/>
          <w:sz w:val="21"/>
        </w:rPr>
        <w:t>análisis</w:t>
      </w:r>
      <w:r>
        <w:rPr>
          <w:color w:val="231F20"/>
          <w:spacing w:val="-20"/>
          <w:w w:val="105"/>
          <w:sz w:val="21"/>
        </w:rPr>
        <w:t> </w:t>
      </w:r>
      <w:r>
        <w:rPr>
          <w:color w:val="231F20"/>
          <w:w w:val="105"/>
          <w:sz w:val="21"/>
        </w:rPr>
        <w:t>cuya</w:t>
      </w:r>
      <w:r>
        <w:rPr>
          <w:color w:val="231F20"/>
          <w:spacing w:val="-20"/>
          <w:w w:val="105"/>
          <w:sz w:val="21"/>
        </w:rPr>
        <w:t> </w:t>
      </w:r>
      <w:r>
        <w:rPr>
          <w:color w:val="231F20"/>
          <w:w w:val="105"/>
          <w:sz w:val="21"/>
        </w:rPr>
        <w:t>principal</w:t>
      </w:r>
      <w:r>
        <w:rPr>
          <w:color w:val="231F20"/>
          <w:spacing w:val="-20"/>
          <w:w w:val="105"/>
          <w:sz w:val="21"/>
        </w:rPr>
        <w:t> </w:t>
      </w:r>
      <w:r>
        <w:rPr>
          <w:color w:val="231F20"/>
          <w:w w:val="105"/>
          <w:sz w:val="21"/>
        </w:rPr>
        <w:t>finalidad</w:t>
      </w:r>
      <w:r>
        <w:rPr>
          <w:color w:val="231F20"/>
          <w:spacing w:val="-20"/>
          <w:w w:val="105"/>
          <w:sz w:val="21"/>
        </w:rPr>
        <w:t> </w:t>
      </w:r>
      <w:r>
        <w:rPr>
          <w:color w:val="231F20"/>
          <w:w w:val="105"/>
          <w:sz w:val="21"/>
        </w:rPr>
        <w:t>radica</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la</w:t>
      </w:r>
      <w:r>
        <w:rPr>
          <w:color w:val="231F20"/>
          <w:spacing w:val="-20"/>
          <w:w w:val="105"/>
          <w:sz w:val="21"/>
        </w:rPr>
        <w:t> </w:t>
      </w:r>
      <w:r>
        <w:rPr>
          <w:color w:val="231F20"/>
          <w:w w:val="105"/>
          <w:sz w:val="21"/>
        </w:rPr>
        <w:t>búsqueda de estructuras sociales constituidas mediante la acción</w:t>
      </w:r>
      <w:r>
        <w:rPr>
          <w:color w:val="231F20"/>
          <w:spacing w:val="-43"/>
          <w:w w:val="105"/>
          <w:sz w:val="21"/>
        </w:rPr>
        <w:t> </w:t>
      </w:r>
      <w:r>
        <w:rPr>
          <w:color w:val="231F20"/>
          <w:w w:val="105"/>
          <w:sz w:val="21"/>
        </w:rPr>
        <w:t>co- </w:t>
      </w:r>
      <w:r>
        <w:rPr>
          <w:color w:val="231F20"/>
          <w:sz w:val="21"/>
        </w:rPr>
        <w:t>lectiva</w:t>
      </w:r>
      <w:r>
        <w:rPr>
          <w:color w:val="231F20"/>
          <w:spacing w:val="24"/>
          <w:sz w:val="21"/>
        </w:rPr>
        <w:t> </w:t>
      </w:r>
      <w:r>
        <w:rPr>
          <w:color w:val="231F20"/>
          <w:sz w:val="21"/>
        </w:rPr>
        <w:t>humana.</w:t>
      </w:r>
    </w:p>
    <w:p>
      <w:pPr>
        <w:pStyle w:val="ListParagraph"/>
        <w:numPr>
          <w:ilvl w:val="0"/>
          <w:numId w:val="39"/>
        </w:numPr>
        <w:tabs>
          <w:tab w:pos="1315" w:val="left" w:leader="none"/>
        </w:tabs>
        <w:spacing w:line="259" w:lineRule="auto" w:before="170" w:after="0"/>
        <w:ind w:left="1314" w:right="117" w:hanging="360"/>
        <w:jc w:val="both"/>
        <w:rPr>
          <w:sz w:val="21"/>
        </w:rPr>
      </w:pPr>
      <w:r>
        <w:rPr>
          <w:color w:val="231F20"/>
          <w:w w:val="105"/>
          <w:sz w:val="21"/>
        </w:rPr>
        <w:t>El</w:t>
      </w:r>
      <w:r>
        <w:rPr>
          <w:color w:val="231F20"/>
          <w:spacing w:val="-15"/>
          <w:w w:val="105"/>
          <w:sz w:val="21"/>
        </w:rPr>
        <w:t> </w:t>
      </w:r>
      <w:r>
        <w:rPr>
          <w:color w:val="231F20"/>
          <w:w w:val="105"/>
          <w:sz w:val="21"/>
        </w:rPr>
        <w:t>comportamiento</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los</w:t>
      </w:r>
      <w:r>
        <w:rPr>
          <w:color w:val="231F20"/>
          <w:spacing w:val="-15"/>
          <w:w w:val="105"/>
          <w:sz w:val="21"/>
        </w:rPr>
        <w:t> </w:t>
      </w:r>
      <w:r>
        <w:rPr>
          <w:color w:val="231F20"/>
          <w:w w:val="105"/>
          <w:sz w:val="21"/>
        </w:rPr>
        <w:t>actores</w:t>
      </w:r>
      <w:r>
        <w:rPr>
          <w:color w:val="231F20"/>
          <w:spacing w:val="-15"/>
          <w:w w:val="105"/>
          <w:sz w:val="21"/>
        </w:rPr>
        <w:t> </w:t>
      </w:r>
      <w:r>
        <w:rPr>
          <w:color w:val="231F20"/>
          <w:w w:val="105"/>
          <w:sz w:val="21"/>
        </w:rPr>
        <w:t>reticulares</w:t>
      </w:r>
      <w:r>
        <w:rPr>
          <w:color w:val="231F20"/>
          <w:spacing w:val="-15"/>
          <w:w w:val="105"/>
          <w:sz w:val="21"/>
        </w:rPr>
        <w:t> </w:t>
      </w:r>
      <w:r>
        <w:rPr>
          <w:color w:val="231F20"/>
          <w:w w:val="105"/>
          <w:sz w:val="21"/>
        </w:rPr>
        <w:t>se</w:t>
      </w:r>
      <w:r>
        <w:rPr>
          <w:color w:val="231F20"/>
          <w:spacing w:val="-15"/>
          <w:w w:val="105"/>
          <w:sz w:val="21"/>
        </w:rPr>
        <w:t> </w:t>
      </w:r>
      <w:r>
        <w:rPr>
          <w:color w:val="231F20"/>
          <w:w w:val="105"/>
          <w:sz w:val="21"/>
        </w:rPr>
        <w:t>halla</w:t>
      </w:r>
      <w:r>
        <w:rPr>
          <w:color w:val="231F20"/>
          <w:spacing w:val="-15"/>
          <w:w w:val="105"/>
          <w:sz w:val="21"/>
        </w:rPr>
        <w:t> </w:t>
      </w:r>
      <w:r>
        <w:rPr>
          <w:color w:val="231F20"/>
          <w:w w:val="105"/>
          <w:sz w:val="21"/>
        </w:rPr>
        <w:t>sujeto a</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estructura</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red.</w:t>
      </w:r>
    </w:p>
    <w:p>
      <w:pPr>
        <w:pStyle w:val="ListParagraph"/>
        <w:numPr>
          <w:ilvl w:val="0"/>
          <w:numId w:val="39"/>
        </w:numPr>
        <w:tabs>
          <w:tab w:pos="1315" w:val="left" w:leader="none"/>
        </w:tabs>
        <w:spacing w:line="259" w:lineRule="auto" w:before="170" w:after="0"/>
        <w:ind w:left="1314" w:right="115" w:hanging="360"/>
        <w:jc w:val="both"/>
        <w:rPr>
          <w:sz w:val="21"/>
        </w:rPr>
      </w:pPr>
      <w:r>
        <w:rPr>
          <w:color w:val="231F20"/>
          <w:w w:val="105"/>
          <w:sz w:val="21"/>
        </w:rPr>
        <w:t>La</w:t>
      </w:r>
      <w:r>
        <w:rPr>
          <w:color w:val="231F20"/>
          <w:spacing w:val="-5"/>
          <w:w w:val="105"/>
          <w:sz w:val="21"/>
        </w:rPr>
        <w:t> </w:t>
      </w:r>
      <w:r>
        <w:rPr>
          <w:color w:val="231F20"/>
          <w:w w:val="105"/>
          <w:sz w:val="21"/>
        </w:rPr>
        <w:t>conducta</w:t>
      </w:r>
      <w:r>
        <w:rPr>
          <w:color w:val="231F20"/>
          <w:spacing w:val="-5"/>
          <w:w w:val="105"/>
          <w:sz w:val="21"/>
        </w:rPr>
        <w:t> </w:t>
      </w:r>
      <w:r>
        <w:rPr>
          <w:color w:val="231F20"/>
          <w:w w:val="105"/>
          <w:sz w:val="21"/>
        </w:rPr>
        <w:t>y</w:t>
      </w:r>
      <w:r>
        <w:rPr>
          <w:color w:val="231F20"/>
          <w:spacing w:val="-5"/>
          <w:w w:val="105"/>
          <w:sz w:val="21"/>
        </w:rPr>
        <w:t> </w:t>
      </w:r>
      <w:r>
        <w:rPr>
          <w:color w:val="231F20"/>
          <w:w w:val="105"/>
          <w:sz w:val="21"/>
        </w:rPr>
        <w:t>el</w:t>
      </w:r>
      <w:r>
        <w:rPr>
          <w:color w:val="231F20"/>
          <w:spacing w:val="-5"/>
          <w:w w:val="105"/>
          <w:sz w:val="21"/>
        </w:rPr>
        <w:t> </w:t>
      </w:r>
      <w:r>
        <w:rPr>
          <w:color w:val="231F20"/>
          <w:w w:val="105"/>
          <w:sz w:val="21"/>
        </w:rPr>
        <w:t>poder</w:t>
      </w:r>
      <w:r>
        <w:rPr>
          <w:color w:val="231F20"/>
          <w:spacing w:val="-5"/>
          <w:w w:val="105"/>
          <w:sz w:val="21"/>
        </w:rPr>
        <w:t> </w:t>
      </w:r>
      <w:r>
        <w:rPr>
          <w:color w:val="231F20"/>
          <w:w w:val="105"/>
          <w:sz w:val="21"/>
        </w:rPr>
        <w:t>de</w:t>
      </w:r>
      <w:r>
        <w:rPr>
          <w:color w:val="231F20"/>
          <w:spacing w:val="-5"/>
          <w:w w:val="105"/>
          <w:sz w:val="21"/>
        </w:rPr>
        <w:t> </w:t>
      </w:r>
      <w:r>
        <w:rPr>
          <w:color w:val="231F20"/>
          <w:w w:val="105"/>
          <w:sz w:val="21"/>
        </w:rPr>
        <w:t>cada</w:t>
      </w:r>
      <w:r>
        <w:rPr>
          <w:color w:val="231F20"/>
          <w:spacing w:val="-5"/>
          <w:w w:val="105"/>
          <w:sz w:val="21"/>
        </w:rPr>
        <w:t> </w:t>
      </w:r>
      <w:r>
        <w:rPr>
          <w:color w:val="231F20"/>
          <w:w w:val="105"/>
          <w:sz w:val="21"/>
        </w:rPr>
        <w:t>uno</w:t>
      </w:r>
      <w:r>
        <w:rPr>
          <w:color w:val="231F20"/>
          <w:spacing w:val="-5"/>
          <w:w w:val="105"/>
          <w:sz w:val="21"/>
        </w:rPr>
        <w:t> </w:t>
      </w:r>
      <w:r>
        <w:rPr>
          <w:color w:val="231F20"/>
          <w:w w:val="105"/>
          <w:sz w:val="21"/>
        </w:rPr>
        <w:t>de</w:t>
      </w:r>
      <w:r>
        <w:rPr>
          <w:color w:val="231F20"/>
          <w:spacing w:val="-5"/>
          <w:w w:val="105"/>
          <w:sz w:val="21"/>
        </w:rPr>
        <w:t> </w:t>
      </w:r>
      <w:r>
        <w:rPr>
          <w:color w:val="231F20"/>
          <w:w w:val="105"/>
          <w:sz w:val="21"/>
        </w:rPr>
        <w:t>los</w:t>
      </w:r>
      <w:r>
        <w:rPr>
          <w:color w:val="231F20"/>
          <w:spacing w:val="-5"/>
          <w:w w:val="105"/>
          <w:sz w:val="21"/>
        </w:rPr>
        <w:t> </w:t>
      </w:r>
      <w:r>
        <w:rPr>
          <w:color w:val="231F20"/>
          <w:w w:val="105"/>
          <w:sz w:val="21"/>
        </w:rPr>
        <w:t>agentes</w:t>
      </w:r>
      <w:r>
        <w:rPr>
          <w:color w:val="231F20"/>
          <w:spacing w:val="-5"/>
          <w:w w:val="105"/>
          <w:sz w:val="21"/>
        </w:rPr>
        <w:t> </w:t>
      </w:r>
      <w:r>
        <w:rPr>
          <w:color w:val="231F20"/>
          <w:w w:val="105"/>
          <w:sz w:val="21"/>
        </w:rPr>
        <w:t>depen- de</w:t>
      </w:r>
      <w:r>
        <w:rPr>
          <w:color w:val="231F20"/>
          <w:spacing w:val="-19"/>
          <w:w w:val="105"/>
          <w:sz w:val="21"/>
        </w:rPr>
        <w:t> </w:t>
      </w:r>
      <w:r>
        <w:rPr>
          <w:color w:val="231F20"/>
          <w:w w:val="105"/>
          <w:sz w:val="21"/>
        </w:rPr>
        <w:t>del</w:t>
      </w:r>
      <w:r>
        <w:rPr>
          <w:color w:val="231F20"/>
          <w:spacing w:val="-19"/>
          <w:w w:val="105"/>
          <w:sz w:val="21"/>
        </w:rPr>
        <w:t> </w:t>
      </w:r>
      <w:r>
        <w:rPr>
          <w:color w:val="231F20"/>
          <w:w w:val="105"/>
          <w:sz w:val="21"/>
        </w:rPr>
        <w:t>número</w:t>
      </w:r>
      <w:r>
        <w:rPr>
          <w:color w:val="231F20"/>
          <w:spacing w:val="-19"/>
          <w:w w:val="105"/>
          <w:sz w:val="21"/>
        </w:rPr>
        <w:t> </w:t>
      </w:r>
      <w:r>
        <w:rPr>
          <w:color w:val="231F20"/>
          <w:w w:val="105"/>
          <w:sz w:val="21"/>
        </w:rPr>
        <w:t>y</w:t>
      </w:r>
      <w:r>
        <w:rPr>
          <w:color w:val="231F20"/>
          <w:spacing w:val="-19"/>
          <w:w w:val="105"/>
          <w:sz w:val="21"/>
        </w:rPr>
        <w:t> </w:t>
      </w:r>
      <w:r>
        <w:rPr>
          <w:color w:val="231F20"/>
          <w:w w:val="105"/>
          <w:sz w:val="21"/>
        </w:rPr>
        <w:t>clase</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relaciones</w:t>
      </w:r>
      <w:r>
        <w:rPr>
          <w:color w:val="231F20"/>
          <w:spacing w:val="-19"/>
          <w:w w:val="105"/>
          <w:sz w:val="21"/>
        </w:rPr>
        <w:t> </w:t>
      </w:r>
      <w:r>
        <w:rPr>
          <w:color w:val="231F20"/>
          <w:w w:val="105"/>
          <w:sz w:val="21"/>
        </w:rPr>
        <w:t>reticulares.</w:t>
      </w:r>
    </w:p>
    <w:p>
      <w:pPr>
        <w:pStyle w:val="ListParagraph"/>
        <w:numPr>
          <w:ilvl w:val="0"/>
          <w:numId w:val="39"/>
        </w:numPr>
        <w:tabs>
          <w:tab w:pos="1315" w:val="left" w:leader="none"/>
        </w:tabs>
        <w:spacing w:line="259" w:lineRule="auto" w:before="170" w:after="0"/>
        <w:ind w:left="1314" w:right="115" w:hanging="360"/>
        <w:jc w:val="both"/>
        <w:rPr>
          <w:sz w:val="21"/>
        </w:rPr>
      </w:pPr>
      <w:r>
        <w:rPr>
          <w:color w:val="231F20"/>
          <w:sz w:val="21"/>
        </w:rPr>
        <w:t>Se trata de un estudio simultáneo de tres niveles: micro (indi- viduos), meso (interacciones) y macro (estructura de la  red).</w:t>
      </w:r>
    </w:p>
    <w:p>
      <w:pPr>
        <w:pStyle w:val="ListParagraph"/>
        <w:numPr>
          <w:ilvl w:val="0"/>
          <w:numId w:val="39"/>
        </w:numPr>
        <w:tabs>
          <w:tab w:pos="1315" w:val="left" w:leader="none"/>
        </w:tabs>
        <w:spacing w:line="259" w:lineRule="auto" w:before="170" w:after="0"/>
        <w:ind w:left="1314" w:right="115" w:hanging="360"/>
        <w:jc w:val="both"/>
        <w:rPr>
          <w:sz w:val="21"/>
        </w:rPr>
      </w:pPr>
      <w:r>
        <w:rPr>
          <w:color w:val="231F20"/>
          <w:sz w:val="21"/>
        </w:rPr>
        <w:t>Se sustenta en cualificaciones para obtener conclusiones descriptivas y</w:t>
      </w:r>
      <w:r>
        <w:rPr>
          <w:color w:val="231F20"/>
          <w:spacing w:val="29"/>
          <w:sz w:val="21"/>
        </w:rPr>
        <w:t> </w:t>
      </w:r>
      <w:r>
        <w:rPr>
          <w:color w:val="231F20"/>
          <w:sz w:val="21"/>
        </w:rPr>
        <w:t>cuantitativas.</w:t>
      </w:r>
    </w:p>
    <w:p>
      <w:pPr>
        <w:pStyle w:val="BodyText"/>
        <w:spacing w:line="259" w:lineRule="auto" w:before="170"/>
        <w:ind w:left="103" w:right="115"/>
        <w:jc w:val="both"/>
      </w:pPr>
      <w:r>
        <w:rPr>
          <w:color w:val="231F20"/>
          <w:w w:val="105"/>
        </w:rPr>
        <w:t>En</w:t>
      </w:r>
      <w:r>
        <w:rPr>
          <w:color w:val="231F20"/>
          <w:spacing w:val="-9"/>
          <w:w w:val="105"/>
        </w:rPr>
        <w:t> </w:t>
      </w:r>
      <w:r>
        <w:rPr>
          <w:color w:val="231F20"/>
          <w:w w:val="105"/>
        </w:rPr>
        <w:t>el</w:t>
      </w:r>
      <w:r>
        <w:rPr>
          <w:color w:val="231F20"/>
          <w:spacing w:val="-12"/>
          <w:w w:val="105"/>
        </w:rPr>
        <w:t> </w:t>
      </w:r>
      <w:r>
        <w:rPr>
          <w:color w:val="231F20"/>
          <w:w w:val="105"/>
        </w:rPr>
        <w:t>ARS</w:t>
      </w:r>
      <w:r>
        <w:rPr>
          <w:color w:val="231F20"/>
          <w:spacing w:val="-9"/>
          <w:w w:val="105"/>
        </w:rPr>
        <w:t> </w:t>
      </w:r>
      <w:r>
        <w:rPr>
          <w:color w:val="231F20"/>
          <w:w w:val="105"/>
        </w:rPr>
        <w:t>la</w:t>
      </w:r>
      <w:r>
        <w:rPr>
          <w:color w:val="231F20"/>
          <w:spacing w:val="-9"/>
          <w:w w:val="105"/>
        </w:rPr>
        <w:t> </w:t>
      </w:r>
      <w:r>
        <w:rPr>
          <w:color w:val="231F20"/>
          <w:w w:val="105"/>
        </w:rPr>
        <w:t>relación</w:t>
      </w:r>
      <w:r>
        <w:rPr>
          <w:color w:val="231F20"/>
          <w:spacing w:val="-9"/>
          <w:w w:val="105"/>
        </w:rPr>
        <w:t> </w:t>
      </w:r>
      <w:r>
        <w:rPr>
          <w:color w:val="231F20"/>
          <w:w w:val="105"/>
        </w:rPr>
        <w:t>social</w:t>
      </w:r>
      <w:r>
        <w:rPr>
          <w:color w:val="231F20"/>
          <w:spacing w:val="-9"/>
          <w:w w:val="105"/>
        </w:rPr>
        <w:t> </w:t>
      </w:r>
      <w:r>
        <w:rPr>
          <w:color w:val="231F20"/>
          <w:w w:val="105"/>
        </w:rPr>
        <w:t>representa</w:t>
      </w:r>
      <w:r>
        <w:rPr>
          <w:color w:val="231F20"/>
          <w:spacing w:val="-9"/>
          <w:w w:val="105"/>
        </w:rPr>
        <w:t> </w:t>
      </w:r>
      <w:r>
        <w:rPr>
          <w:color w:val="231F20"/>
          <w:w w:val="105"/>
        </w:rPr>
        <w:t>la</w:t>
      </w:r>
      <w:r>
        <w:rPr>
          <w:color w:val="231F20"/>
          <w:spacing w:val="-9"/>
          <w:w w:val="105"/>
        </w:rPr>
        <w:t> </w:t>
      </w:r>
      <w:r>
        <w:rPr>
          <w:color w:val="231F20"/>
          <w:w w:val="105"/>
        </w:rPr>
        <w:t>unidad</w:t>
      </w:r>
      <w:r>
        <w:rPr>
          <w:color w:val="231F20"/>
          <w:spacing w:val="-9"/>
          <w:w w:val="105"/>
        </w:rPr>
        <w:t> </w:t>
      </w:r>
      <w:r>
        <w:rPr>
          <w:color w:val="231F20"/>
          <w:w w:val="105"/>
        </w:rPr>
        <w:t>básica</w:t>
      </w:r>
      <w:r>
        <w:rPr>
          <w:color w:val="231F20"/>
          <w:spacing w:val="-9"/>
          <w:w w:val="105"/>
        </w:rPr>
        <w:t> </w:t>
      </w:r>
      <w:r>
        <w:rPr>
          <w:color w:val="231F20"/>
          <w:w w:val="105"/>
        </w:rPr>
        <w:t>de</w:t>
      </w:r>
      <w:r>
        <w:rPr>
          <w:color w:val="231F20"/>
          <w:spacing w:val="-9"/>
          <w:w w:val="105"/>
        </w:rPr>
        <w:t> </w:t>
      </w:r>
      <w:r>
        <w:rPr>
          <w:color w:val="231F20"/>
          <w:w w:val="105"/>
        </w:rPr>
        <w:t>estudio</w:t>
      </w:r>
      <w:r>
        <w:rPr>
          <w:color w:val="231F20"/>
          <w:spacing w:val="-9"/>
          <w:w w:val="105"/>
        </w:rPr>
        <w:t> </w:t>
      </w:r>
      <w:r>
        <w:rPr>
          <w:color w:val="231F20"/>
          <w:w w:val="105"/>
        </w:rPr>
        <w:t>y</w:t>
      </w:r>
      <w:r>
        <w:rPr>
          <w:color w:val="231F20"/>
          <w:spacing w:val="-9"/>
          <w:w w:val="105"/>
        </w:rPr>
        <w:t> </w:t>
      </w:r>
      <w:r>
        <w:rPr>
          <w:color w:val="231F20"/>
          <w:w w:val="105"/>
        </w:rPr>
        <w:t>se examina mediante dos tipos de variables: las de composición y las es- tructurales. Las variables de composición se refieren a atributos</w:t>
      </w:r>
      <w:r>
        <w:rPr>
          <w:color w:val="231F20"/>
          <w:w w:val="105"/>
          <w:position w:val="7"/>
          <w:sz w:val="12"/>
        </w:rPr>
        <w:t>5  </w:t>
      </w:r>
      <w:r>
        <w:rPr>
          <w:color w:val="231F20"/>
          <w:spacing w:val="7"/>
          <w:w w:val="105"/>
          <w:position w:val="7"/>
          <w:sz w:val="12"/>
        </w:rPr>
        <w:t> </w:t>
      </w:r>
      <w:r>
        <w:rPr>
          <w:color w:val="231F20"/>
          <w:w w:val="105"/>
        </w:rPr>
        <w:t>inhe-</w:t>
      </w:r>
    </w:p>
    <w:p>
      <w:pPr>
        <w:pStyle w:val="BodyText"/>
        <w:spacing w:before="9"/>
        <w:rPr>
          <w:sz w:val="15"/>
        </w:rPr>
      </w:pPr>
      <w:r>
        <w:rPr/>
        <w:pict>
          <v:line style="position:absolute;mso-position-horizontal-relative:page;mso-position-vertical-relative:paragraph;z-index:4408;mso-wrap-distance-left:0;mso-wrap-distance-right:0" from="65.1968pt,11.172667pt" to="178.5828pt,11.172667pt" stroked="true" strokeweight=".25pt" strokecolor="#231f20">
            <w10:wrap type="topAndBottom"/>
          </v:line>
        </w:pict>
      </w:r>
    </w:p>
    <w:p>
      <w:pPr>
        <w:spacing w:line="194" w:lineRule="exact" w:before="8"/>
        <w:ind w:left="103" w:right="0" w:firstLine="0"/>
        <w:jc w:val="both"/>
        <w:rPr>
          <w:rFonts w:ascii="Calibri" w:hAnsi="Calibri"/>
          <w:sz w:val="16"/>
        </w:rPr>
      </w:pPr>
      <w:r>
        <w:rPr>
          <w:rFonts w:ascii="Calibri" w:hAnsi="Calibri"/>
          <w:color w:val="414042"/>
          <w:sz w:val="16"/>
        </w:rPr>
        <w:t>atienden los mecanismos de integración (confianza, traducción, negociación y deliberación).</w:t>
      </w:r>
    </w:p>
    <w:p>
      <w:pPr>
        <w:spacing w:line="235" w:lineRule="auto" w:before="1"/>
        <w:ind w:left="103" w:right="114" w:firstLine="0"/>
        <w:jc w:val="both"/>
        <w:rPr>
          <w:rFonts w:ascii="Calibri" w:hAnsi="Calibri"/>
          <w:sz w:val="16"/>
        </w:rPr>
      </w:pPr>
      <w:r>
        <w:rPr>
          <w:rFonts w:ascii="Calibri" w:hAnsi="Calibri"/>
          <w:color w:val="414042"/>
          <w:w w:val="105"/>
          <w:position w:val="5"/>
          <w:sz w:val="9"/>
        </w:rPr>
        <w:t>2</w:t>
      </w:r>
      <w:r>
        <w:rPr>
          <w:rFonts w:ascii="Calibri" w:hAnsi="Calibri"/>
          <w:color w:val="414042"/>
          <w:spacing w:val="20"/>
          <w:w w:val="105"/>
          <w:position w:val="5"/>
          <w:sz w:val="9"/>
        </w:rPr>
        <w:t> </w:t>
      </w:r>
      <w:r>
        <w:rPr>
          <w:rFonts w:ascii="Calibri" w:hAnsi="Calibri"/>
          <w:color w:val="414042"/>
          <w:w w:val="105"/>
          <w:sz w:val="16"/>
        </w:rPr>
        <w:t>En</w:t>
      </w:r>
      <w:r>
        <w:rPr>
          <w:rFonts w:ascii="Calibri" w:hAnsi="Calibri"/>
          <w:color w:val="414042"/>
          <w:spacing w:val="-16"/>
          <w:w w:val="105"/>
          <w:sz w:val="16"/>
        </w:rPr>
        <w:t> </w:t>
      </w:r>
      <w:r>
        <w:rPr>
          <w:rFonts w:ascii="Calibri" w:hAnsi="Calibri"/>
          <w:color w:val="414042"/>
          <w:w w:val="105"/>
          <w:sz w:val="16"/>
        </w:rPr>
        <w:t>términos</w:t>
      </w:r>
      <w:r>
        <w:rPr>
          <w:rFonts w:ascii="Calibri" w:hAnsi="Calibri"/>
          <w:color w:val="414042"/>
          <w:spacing w:val="-16"/>
          <w:w w:val="105"/>
          <w:sz w:val="16"/>
        </w:rPr>
        <w:t> </w:t>
      </w:r>
      <w:r>
        <w:rPr>
          <w:rFonts w:ascii="Calibri" w:hAnsi="Calibri"/>
          <w:color w:val="414042"/>
          <w:w w:val="105"/>
          <w:sz w:val="16"/>
        </w:rPr>
        <w:t>históricos,</w:t>
      </w:r>
      <w:r>
        <w:rPr>
          <w:rFonts w:ascii="Calibri" w:hAnsi="Calibri"/>
          <w:color w:val="414042"/>
          <w:spacing w:val="-16"/>
          <w:w w:val="105"/>
          <w:sz w:val="16"/>
        </w:rPr>
        <w:t> </w:t>
      </w:r>
      <w:r>
        <w:rPr>
          <w:rFonts w:ascii="Calibri" w:hAnsi="Calibri"/>
          <w:color w:val="414042"/>
          <w:w w:val="105"/>
          <w:sz w:val="16"/>
        </w:rPr>
        <w:t>el</w:t>
      </w:r>
      <w:r>
        <w:rPr>
          <w:rFonts w:ascii="Calibri" w:hAnsi="Calibri"/>
          <w:color w:val="414042"/>
          <w:spacing w:val="-16"/>
          <w:w w:val="105"/>
          <w:sz w:val="16"/>
        </w:rPr>
        <w:t> </w:t>
      </w:r>
      <w:r>
        <w:rPr>
          <w:rFonts w:ascii="Calibri" w:hAnsi="Calibri"/>
          <w:color w:val="414042"/>
          <w:w w:val="105"/>
          <w:sz w:val="16"/>
        </w:rPr>
        <w:t>análisis</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redes</w:t>
      </w:r>
      <w:r>
        <w:rPr>
          <w:rFonts w:ascii="Calibri" w:hAnsi="Calibri"/>
          <w:color w:val="414042"/>
          <w:spacing w:val="-16"/>
          <w:w w:val="105"/>
          <w:sz w:val="16"/>
        </w:rPr>
        <w:t> </w:t>
      </w:r>
      <w:r>
        <w:rPr>
          <w:rFonts w:ascii="Calibri" w:hAnsi="Calibri"/>
          <w:color w:val="414042"/>
          <w:w w:val="105"/>
          <w:sz w:val="16"/>
        </w:rPr>
        <w:t>sociales</w:t>
      </w:r>
      <w:r>
        <w:rPr>
          <w:rFonts w:ascii="Calibri" w:hAnsi="Calibri"/>
          <w:color w:val="414042"/>
          <w:spacing w:val="-16"/>
          <w:w w:val="105"/>
          <w:sz w:val="16"/>
        </w:rPr>
        <w:t> </w:t>
      </w:r>
      <w:r>
        <w:rPr>
          <w:rFonts w:ascii="Calibri" w:hAnsi="Calibri"/>
          <w:color w:val="414042"/>
          <w:w w:val="105"/>
          <w:sz w:val="16"/>
        </w:rPr>
        <w:t>puede</w:t>
      </w:r>
      <w:r>
        <w:rPr>
          <w:rFonts w:ascii="Calibri" w:hAnsi="Calibri"/>
          <w:color w:val="414042"/>
          <w:spacing w:val="-16"/>
          <w:w w:val="105"/>
          <w:sz w:val="16"/>
        </w:rPr>
        <w:t> </w:t>
      </w:r>
      <w:r>
        <w:rPr>
          <w:rFonts w:ascii="Calibri" w:hAnsi="Calibri"/>
          <w:color w:val="414042"/>
          <w:w w:val="105"/>
          <w:sz w:val="16"/>
        </w:rPr>
        <w:t>rastrearse</w:t>
      </w:r>
      <w:r>
        <w:rPr>
          <w:rFonts w:ascii="Calibri" w:hAnsi="Calibri"/>
          <w:color w:val="414042"/>
          <w:spacing w:val="-16"/>
          <w:w w:val="105"/>
          <w:sz w:val="16"/>
        </w:rPr>
        <w:t> </w:t>
      </w:r>
      <w:r>
        <w:rPr>
          <w:rFonts w:ascii="Calibri" w:hAnsi="Calibri"/>
          <w:color w:val="414042"/>
          <w:w w:val="105"/>
          <w:sz w:val="16"/>
        </w:rPr>
        <w:t>desde</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sociología</w:t>
      </w:r>
      <w:r>
        <w:rPr>
          <w:rFonts w:ascii="Calibri" w:hAnsi="Calibri"/>
          <w:color w:val="414042"/>
          <w:spacing w:val="-17"/>
          <w:w w:val="105"/>
          <w:sz w:val="16"/>
        </w:rPr>
        <w:t> </w:t>
      </w:r>
      <w:r>
        <w:rPr>
          <w:rFonts w:ascii="Calibri" w:hAnsi="Calibri"/>
          <w:color w:val="414042"/>
          <w:w w:val="105"/>
          <w:sz w:val="16"/>
        </w:rPr>
        <w:t>y</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antropolo- gía</w:t>
      </w:r>
      <w:r>
        <w:rPr>
          <w:rFonts w:ascii="Calibri" w:hAnsi="Calibri"/>
          <w:color w:val="414042"/>
          <w:spacing w:val="-8"/>
          <w:w w:val="105"/>
          <w:sz w:val="16"/>
        </w:rPr>
        <w:t> </w:t>
      </w:r>
      <w:r>
        <w:rPr>
          <w:rFonts w:ascii="Calibri" w:hAnsi="Calibri"/>
          <w:color w:val="414042"/>
          <w:w w:val="105"/>
          <w:sz w:val="16"/>
        </w:rPr>
        <w:t>con</w:t>
      </w:r>
      <w:r>
        <w:rPr>
          <w:rFonts w:ascii="Calibri" w:hAnsi="Calibri"/>
          <w:color w:val="414042"/>
          <w:spacing w:val="-8"/>
          <w:w w:val="105"/>
          <w:sz w:val="16"/>
        </w:rPr>
        <w:t> </w:t>
      </w:r>
      <w:r>
        <w:rPr>
          <w:rFonts w:ascii="Calibri" w:hAnsi="Calibri"/>
          <w:color w:val="414042"/>
          <w:w w:val="105"/>
          <w:sz w:val="16"/>
        </w:rPr>
        <w:t>los</w:t>
      </w:r>
      <w:r>
        <w:rPr>
          <w:rFonts w:ascii="Calibri" w:hAnsi="Calibri"/>
          <w:color w:val="414042"/>
          <w:spacing w:val="-8"/>
          <w:w w:val="105"/>
          <w:sz w:val="16"/>
        </w:rPr>
        <w:t> </w:t>
      </w:r>
      <w:r>
        <w:rPr>
          <w:rFonts w:ascii="Calibri" w:hAnsi="Calibri"/>
          <w:color w:val="414042"/>
          <w:w w:val="105"/>
          <w:sz w:val="16"/>
        </w:rPr>
        <w:t>trabajos</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8"/>
          <w:w w:val="105"/>
          <w:sz w:val="16"/>
        </w:rPr>
        <w:t> </w:t>
      </w:r>
      <w:r>
        <w:rPr>
          <w:rFonts w:ascii="Calibri" w:hAnsi="Calibri"/>
          <w:color w:val="414042"/>
          <w:w w:val="105"/>
          <w:sz w:val="16"/>
        </w:rPr>
        <w:t>Emile</w:t>
      </w:r>
      <w:r>
        <w:rPr>
          <w:rFonts w:ascii="Calibri" w:hAnsi="Calibri"/>
          <w:color w:val="414042"/>
          <w:spacing w:val="-8"/>
          <w:w w:val="105"/>
          <w:sz w:val="16"/>
        </w:rPr>
        <w:t> </w:t>
      </w:r>
      <w:r>
        <w:rPr>
          <w:rFonts w:ascii="Calibri" w:hAnsi="Calibri"/>
          <w:color w:val="414042"/>
          <w:w w:val="105"/>
          <w:sz w:val="16"/>
        </w:rPr>
        <w:t>Durkheim,</w:t>
      </w:r>
      <w:r>
        <w:rPr>
          <w:rFonts w:ascii="Calibri" w:hAnsi="Calibri"/>
          <w:color w:val="414042"/>
          <w:spacing w:val="-8"/>
          <w:w w:val="105"/>
          <w:sz w:val="16"/>
        </w:rPr>
        <w:t> </w:t>
      </w:r>
      <w:r>
        <w:rPr>
          <w:rFonts w:ascii="Calibri" w:hAnsi="Calibri"/>
          <w:color w:val="414042"/>
          <w:w w:val="105"/>
          <w:sz w:val="16"/>
        </w:rPr>
        <w:t>Georg</w:t>
      </w:r>
      <w:r>
        <w:rPr>
          <w:rFonts w:ascii="Calibri" w:hAnsi="Calibri"/>
          <w:color w:val="414042"/>
          <w:spacing w:val="-8"/>
          <w:w w:val="105"/>
          <w:sz w:val="16"/>
        </w:rPr>
        <w:t> </w:t>
      </w:r>
      <w:r>
        <w:rPr>
          <w:rFonts w:ascii="Calibri" w:hAnsi="Calibri"/>
          <w:color w:val="414042"/>
          <w:w w:val="105"/>
          <w:sz w:val="16"/>
        </w:rPr>
        <w:t>Simmel</w:t>
      </w:r>
      <w:r>
        <w:rPr>
          <w:rFonts w:ascii="Calibri" w:hAnsi="Calibri"/>
          <w:color w:val="414042"/>
          <w:spacing w:val="-9"/>
          <w:w w:val="105"/>
          <w:sz w:val="16"/>
        </w:rPr>
        <w:t> </w:t>
      </w:r>
      <w:r>
        <w:rPr>
          <w:rFonts w:ascii="Calibri" w:hAnsi="Calibri"/>
          <w:color w:val="414042"/>
          <w:w w:val="105"/>
          <w:sz w:val="16"/>
        </w:rPr>
        <w:t>y</w:t>
      </w:r>
      <w:r>
        <w:rPr>
          <w:rFonts w:ascii="Calibri" w:hAnsi="Calibri"/>
          <w:color w:val="414042"/>
          <w:spacing w:val="-8"/>
          <w:w w:val="105"/>
          <w:sz w:val="16"/>
        </w:rPr>
        <w:t> </w:t>
      </w:r>
      <w:r>
        <w:rPr>
          <w:rFonts w:ascii="Calibri" w:hAnsi="Calibri"/>
          <w:color w:val="414042"/>
          <w:w w:val="105"/>
          <w:sz w:val="16"/>
        </w:rPr>
        <w:t>Radcliffe–Brown.</w:t>
      </w:r>
      <w:r>
        <w:rPr>
          <w:rFonts w:ascii="Calibri" w:hAnsi="Calibri"/>
          <w:color w:val="414042"/>
          <w:spacing w:val="-8"/>
          <w:w w:val="105"/>
          <w:sz w:val="16"/>
        </w:rPr>
        <w:t> </w:t>
      </w:r>
      <w:r>
        <w:rPr>
          <w:rFonts w:ascii="Calibri" w:hAnsi="Calibri"/>
          <w:color w:val="414042"/>
          <w:w w:val="105"/>
          <w:sz w:val="16"/>
        </w:rPr>
        <w:t>En</w:t>
      </w:r>
      <w:r>
        <w:rPr>
          <w:rFonts w:ascii="Calibri" w:hAnsi="Calibri"/>
          <w:color w:val="414042"/>
          <w:spacing w:val="-8"/>
          <w:w w:val="105"/>
          <w:sz w:val="16"/>
        </w:rPr>
        <w:t> </w:t>
      </w:r>
      <w:r>
        <w:rPr>
          <w:rFonts w:ascii="Calibri" w:hAnsi="Calibri"/>
          <w:color w:val="414042"/>
          <w:w w:val="105"/>
          <w:sz w:val="16"/>
        </w:rPr>
        <w:t>los</w:t>
      </w:r>
      <w:r>
        <w:rPr>
          <w:rFonts w:ascii="Calibri" w:hAnsi="Calibri"/>
          <w:color w:val="414042"/>
          <w:spacing w:val="-8"/>
          <w:w w:val="105"/>
          <w:sz w:val="16"/>
        </w:rPr>
        <w:t> </w:t>
      </w:r>
      <w:r>
        <w:rPr>
          <w:rFonts w:ascii="Calibri" w:hAnsi="Calibri"/>
          <w:color w:val="414042"/>
          <w:w w:val="105"/>
          <w:sz w:val="16"/>
        </w:rPr>
        <w:t>años</w:t>
      </w:r>
      <w:r>
        <w:rPr>
          <w:rFonts w:ascii="Calibri" w:hAnsi="Calibri"/>
          <w:color w:val="414042"/>
          <w:spacing w:val="-8"/>
          <w:w w:val="105"/>
          <w:sz w:val="16"/>
        </w:rPr>
        <w:t> </w:t>
      </w:r>
      <w:r>
        <w:rPr>
          <w:rFonts w:ascii="Calibri" w:hAnsi="Calibri"/>
          <w:color w:val="414042"/>
          <w:w w:val="105"/>
          <w:sz w:val="16"/>
        </w:rPr>
        <w:t>treinta,</w:t>
      </w:r>
      <w:r>
        <w:rPr>
          <w:rFonts w:ascii="Calibri" w:hAnsi="Calibri"/>
          <w:color w:val="414042"/>
          <w:spacing w:val="-8"/>
          <w:w w:val="105"/>
          <w:sz w:val="16"/>
        </w:rPr>
        <w:t> </w:t>
      </w:r>
      <w:r>
        <w:rPr>
          <w:rFonts w:ascii="Calibri" w:hAnsi="Calibri"/>
          <w:color w:val="414042"/>
          <w:w w:val="105"/>
          <w:sz w:val="16"/>
        </w:rPr>
        <w:t>la</w:t>
      </w:r>
      <w:r>
        <w:rPr>
          <w:rFonts w:ascii="Calibri" w:hAnsi="Calibri"/>
          <w:color w:val="414042"/>
          <w:spacing w:val="-8"/>
          <w:w w:val="105"/>
          <w:sz w:val="16"/>
        </w:rPr>
        <w:t> </w:t>
      </w:r>
      <w:r>
        <w:rPr>
          <w:rFonts w:ascii="Calibri" w:hAnsi="Calibri"/>
          <w:color w:val="414042"/>
          <w:w w:val="105"/>
          <w:sz w:val="16"/>
        </w:rPr>
        <w:t>técnica propuesta</w:t>
      </w:r>
      <w:r>
        <w:rPr>
          <w:rFonts w:ascii="Calibri" w:hAnsi="Calibri"/>
          <w:color w:val="414042"/>
          <w:spacing w:val="-3"/>
          <w:w w:val="105"/>
          <w:sz w:val="16"/>
        </w:rPr>
        <w:t> </w:t>
      </w:r>
      <w:r>
        <w:rPr>
          <w:rFonts w:ascii="Calibri" w:hAnsi="Calibri"/>
          <w:color w:val="414042"/>
          <w:w w:val="105"/>
          <w:sz w:val="16"/>
        </w:rPr>
        <w:t>por</w:t>
      </w:r>
      <w:r>
        <w:rPr>
          <w:rFonts w:ascii="Calibri" w:hAnsi="Calibri"/>
          <w:color w:val="414042"/>
          <w:spacing w:val="-3"/>
          <w:w w:val="105"/>
          <w:sz w:val="16"/>
        </w:rPr>
        <w:t> </w:t>
      </w:r>
      <w:r>
        <w:rPr>
          <w:rFonts w:ascii="Calibri" w:hAnsi="Calibri"/>
          <w:color w:val="414042"/>
          <w:w w:val="105"/>
          <w:sz w:val="16"/>
        </w:rPr>
        <w:t>Jacob</w:t>
      </w:r>
      <w:r>
        <w:rPr>
          <w:rFonts w:ascii="Calibri" w:hAnsi="Calibri"/>
          <w:color w:val="414042"/>
          <w:spacing w:val="-3"/>
          <w:w w:val="105"/>
          <w:sz w:val="16"/>
        </w:rPr>
        <w:t> </w:t>
      </w:r>
      <w:r>
        <w:rPr>
          <w:rFonts w:ascii="Calibri" w:hAnsi="Calibri"/>
          <w:color w:val="414042"/>
          <w:w w:val="105"/>
          <w:sz w:val="16"/>
        </w:rPr>
        <w:t>Moreno</w:t>
      </w:r>
      <w:r>
        <w:rPr>
          <w:rFonts w:ascii="Calibri" w:hAnsi="Calibri"/>
          <w:color w:val="414042"/>
          <w:spacing w:val="-5"/>
          <w:w w:val="105"/>
          <w:sz w:val="16"/>
        </w:rPr>
        <w:t> </w:t>
      </w:r>
      <w:r>
        <w:rPr>
          <w:rFonts w:ascii="Calibri" w:hAnsi="Calibri"/>
          <w:color w:val="414042"/>
          <w:w w:val="105"/>
          <w:sz w:val="16"/>
        </w:rPr>
        <w:t>y</w:t>
      </w:r>
      <w:r>
        <w:rPr>
          <w:rFonts w:ascii="Calibri" w:hAnsi="Calibri"/>
          <w:color w:val="414042"/>
          <w:spacing w:val="-3"/>
          <w:w w:val="105"/>
          <w:sz w:val="16"/>
        </w:rPr>
        <w:t> </w:t>
      </w:r>
      <w:r>
        <w:rPr>
          <w:rFonts w:ascii="Calibri" w:hAnsi="Calibri"/>
          <w:color w:val="414042"/>
          <w:w w:val="105"/>
          <w:sz w:val="16"/>
        </w:rPr>
        <w:t>Helen</w:t>
      </w:r>
      <w:r>
        <w:rPr>
          <w:rFonts w:ascii="Calibri" w:hAnsi="Calibri"/>
          <w:color w:val="414042"/>
          <w:spacing w:val="-3"/>
          <w:w w:val="105"/>
          <w:sz w:val="16"/>
        </w:rPr>
        <w:t> </w:t>
      </w:r>
      <w:r>
        <w:rPr>
          <w:rFonts w:ascii="Calibri" w:hAnsi="Calibri"/>
          <w:color w:val="414042"/>
          <w:w w:val="105"/>
          <w:sz w:val="16"/>
        </w:rPr>
        <w:t>Jennings</w:t>
      </w:r>
      <w:r>
        <w:rPr>
          <w:rFonts w:ascii="Calibri" w:hAnsi="Calibri"/>
          <w:color w:val="414042"/>
          <w:spacing w:val="-3"/>
          <w:w w:val="105"/>
          <w:sz w:val="16"/>
        </w:rPr>
        <w:t> </w:t>
      </w:r>
      <w:r>
        <w:rPr>
          <w:rFonts w:ascii="Calibri" w:hAnsi="Calibri"/>
          <w:color w:val="414042"/>
          <w:w w:val="105"/>
          <w:sz w:val="16"/>
        </w:rPr>
        <w:t>llamada</w:t>
      </w:r>
      <w:r>
        <w:rPr>
          <w:rFonts w:ascii="Calibri" w:hAnsi="Calibri"/>
          <w:color w:val="414042"/>
          <w:spacing w:val="-3"/>
          <w:w w:val="105"/>
          <w:sz w:val="16"/>
        </w:rPr>
        <w:t> </w:t>
      </w:r>
      <w:r>
        <w:rPr>
          <w:rFonts w:ascii="Calibri" w:hAnsi="Calibri"/>
          <w:i/>
          <w:color w:val="414042"/>
          <w:w w:val="105"/>
          <w:sz w:val="16"/>
        </w:rPr>
        <w:t>sociometría</w:t>
      </w:r>
      <w:r>
        <w:rPr>
          <w:rFonts w:ascii="Calibri" w:hAnsi="Calibri"/>
          <w:color w:val="414042"/>
          <w:w w:val="105"/>
          <w:sz w:val="16"/>
        </w:rPr>
        <w:t>,</w:t>
      </w:r>
      <w:r>
        <w:rPr>
          <w:rFonts w:ascii="Calibri" w:hAnsi="Calibri"/>
          <w:color w:val="414042"/>
          <w:spacing w:val="-3"/>
          <w:w w:val="105"/>
          <w:sz w:val="16"/>
        </w:rPr>
        <w:t> </w:t>
      </w:r>
      <w:r>
        <w:rPr>
          <w:rFonts w:ascii="Calibri" w:hAnsi="Calibri"/>
          <w:color w:val="414042"/>
          <w:w w:val="105"/>
          <w:sz w:val="16"/>
        </w:rPr>
        <w:t>configuró</w:t>
      </w:r>
      <w:r>
        <w:rPr>
          <w:rFonts w:ascii="Calibri" w:hAnsi="Calibri"/>
          <w:color w:val="414042"/>
          <w:spacing w:val="-3"/>
          <w:w w:val="105"/>
          <w:sz w:val="16"/>
        </w:rPr>
        <w:t> </w:t>
      </w:r>
      <w:r>
        <w:rPr>
          <w:rFonts w:ascii="Calibri" w:hAnsi="Calibri"/>
          <w:color w:val="414042"/>
          <w:w w:val="105"/>
          <w:sz w:val="16"/>
        </w:rPr>
        <w:t>explícitamente</w:t>
      </w:r>
      <w:r>
        <w:rPr>
          <w:rFonts w:ascii="Calibri" w:hAnsi="Calibri"/>
          <w:color w:val="414042"/>
          <w:spacing w:val="-3"/>
          <w:w w:val="105"/>
          <w:sz w:val="16"/>
        </w:rPr>
        <w:t> </w:t>
      </w:r>
      <w:r>
        <w:rPr>
          <w:rFonts w:ascii="Calibri" w:hAnsi="Calibri"/>
          <w:color w:val="414042"/>
          <w:w w:val="105"/>
          <w:sz w:val="16"/>
        </w:rPr>
        <w:t>técnicas de</w:t>
      </w:r>
      <w:r>
        <w:rPr>
          <w:rFonts w:ascii="Calibri" w:hAnsi="Calibri"/>
          <w:color w:val="414042"/>
          <w:spacing w:val="-17"/>
          <w:w w:val="105"/>
          <w:sz w:val="16"/>
        </w:rPr>
        <w:t> </w:t>
      </w:r>
      <w:r>
        <w:rPr>
          <w:rFonts w:ascii="Calibri" w:hAnsi="Calibri"/>
          <w:color w:val="414042"/>
          <w:w w:val="105"/>
          <w:sz w:val="16"/>
        </w:rPr>
        <w:t>medición</w:t>
      </w:r>
      <w:r>
        <w:rPr>
          <w:rFonts w:ascii="Calibri" w:hAnsi="Calibri"/>
          <w:color w:val="414042"/>
          <w:spacing w:val="-17"/>
          <w:w w:val="105"/>
          <w:sz w:val="16"/>
        </w:rPr>
        <w:t> </w:t>
      </w:r>
      <w:r>
        <w:rPr>
          <w:rFonts w:ascii="Calibri" w:hAnsi="Calibri"/>
          <w:color w:val="414042"/>
          <w:w w:val="105"/>
          <w:sz w:val="16"/>
        </w:rPr>
        <w:t>de</w:t>
      </w:r>
      <w:r>
        <w:rPr>
          <w:rFonts w:ascii="Calibri" w:hAnsi="Calibri"/>
          <w:color w:val="414042"/>
          <w:spacing w:val="-17"/>
          <w:w w:val="105"/>
          <w:sz w:val="16"/>
        </w:rPr>
        <w:t> </w:t>
      </w:r>
      <w:r>
        <w:rPr>
          <w:rFonts w:ascii="Calibri" w:hAnsi="Calibri"/>
          <w:color w:val="414042"/>
          <w:w w:val="105"/>
          <w:sz w:val="16"/>
        </w:rPr>
        <w:t>estructuras</w:t>
      </w:r>
      <w:r>
        <w:rPr>
          <w:rFonts w:ascii="Calibri" w:hAnsi="Calibri"/>
          <w:color w:val="414042"/>
          <w:spacing w:val="-17"/>
          <w:w w:val="105"/>
          <w:sz w:val="16"/>
        </w:rPr>
        <w:t> </w:t>
      </w:r>
      <w:r>
        <w:rPr>
          <w:rFonts w:ascii="Calibri" w:hAnsi="Calibri"/>
          <w:color w:val="414042"/>
          <w:w w:val="105"/>
          <w:sz w:val="16"/>
        </w:rPr>
        <w:t>interpersonales</w:t>
      </w:r>
      <w:r>
        <w:rPr>
          <w:rFonts w:ascii="Calibri" w:hAnsi="Calibri"/>
          <w:color w:val="414042"/>
          <w:spacing w:val="-17"/>
          <w:w w:val="105"/>
          <w:sz w:val="16"/>
        </w:rPr>
        <w:t> </w:t>
      </w:r>
      <w:r>
        <w:rPr>
          <w:rFonts w:ascii="Calibri" w:hAnsi="Calibri"/>
          <w:color w:val="414042"/>
          <w:w w:val="105"/>
          <w:sz w:val="16"/>
        </w:rPr>
        <w:t>empleando</w:t>
      </w:r>
      <w:r>
        <w:rPr>
          <w:rFonts w:ascii="Calibri" w:hAnsi="Calibri"/>
          <w:color w:val="414042"/>
          <w:spacing w:val="-17"/>
          <w:w w:val="105"/>
          <w:sz w:val="16"/>
        </w:rPr>
        <w:t> </w:t>
      </w:r>
      <w:r>
        <w:rPr>
          <w:rFonts w:ascii="Calibri" w:hAnsi="Calibri"/>
          <w:color w:val="414042"/>
          <w:w w:val="105"/>
          <w:sz w:val="16"/>
        </w:rPr>
        <w:t>puntos</w:t>
      </w:r>
      <w:r>
        <w:rPr>
          <w:rFonts w:ascii="Calibri" w:hAnsi="Calibri"/>
          <w:color w:val="414042"/>
          <w:spacing w:val="-17"/>
          <w:w w:val="105"/>
          <w:sz w:val="16"/>
        </w:rPr>
        <w:t> </w:t>
      </w:r>
      <w:r>
        <w:rPr>
          <w:rFonts w:ascii="Calibri" w:hAnsi="Calibri"/>
          <w:color w:val="414042"/>
          <w:w w:val="105"/>
          <w:sz w:val="16"/>
        </w:rPr>
        <w:t>para</w:t>
      </w:r>
      <w:r>
        <w:rPr>
          <w:rFonts w:ascii="Calibri" w:hAnsi="Calibri"/>
          <w:color w:val="414042"/>
          <w:spacing w:val="-17"/>
          <w:w w:val="105"/>
          <w:sz w:val="16"/>
        </w:rPr>
        <w:t> </w:t>
      </w:r>
      <w:r>
        <w:rPr>
          <w:rFonts w:ascii="Calibri" w:hAnsi="Calibri"/>
          <w:color w:val="414042"/>
          <w:w w:val="105"/>
          <w:sz w:val="16"/>
        </w:rPr>
        <w:t>representar</w:t>
      </w:r>
      <w:r>
        <w:rPr>
          <w:rFonts w:ascii="Calibri" w:hAnsi="Calibri"/>
          <w:color w:val="414042"/>
          <w:spacing w:val="-17"/>
          <w:w w:val="105"/>
          <w:sz w:val="16"/>
        </w:rPr>
        <w:t> </w:t>
      </w:r>
      <w:r>
        <w:rPr>
          <w:rFonts w:ascii="Calibri" w:hAnsi="Calibri"/>
          <w:color w:val="414042"/>
          <w:w w:val="105"/>
          <w:sz w:val="16"/>
        </w:rPr>
        <w:t>individuos</w:t>
      </w:r>
      <w:r>
        <w:rPr>
          <w:rFonts w:ascii="Calibri" w:hAnsi="Calibri"/>
          <w:color w:val="414042"/>
          <w:spacing w:val="-18"/>
          <w:w w:val="105"/>
          <w:sz w:val="16"/>
        </w:rPr>
        <w:t> </w:t>
      </w:r>
      <w:r>
        <w:rPr>
          <w:rFonts w:ascii="Calibri" w:hAnsi="Calibri"/>
          <w:color w:val="414042"/>
          <w:w w:val="105"/>
          <w:sz w:val="16"/>
        </w:rPr>
        <w:t>y</w:t>
      </w:r>
      <w:r>
        <w:rPr>
          <w:rFonts w:ascii="Calibri" w:hAnsi="Calibri"/>
          <w:color w:val="414042"/>
          <w:spacing w:val="-17"/>
          <w:w w:val="105"/>
          <w:sz w:val="16"/>
        </w:rPr>
        <w:t> </w:t>
      </w:r>
      <w:r>
        <w:rPr>
          <w:rFonts w:ascii="Calibri" w:hAnsi="Calibri"/>
          <w:color w:val="414042"/>
          <w:w w:val="105"/>
          <w:sz w:val="16"/>
        </w:rPr>
        <w:t>líneas</w:t>
      </w:r>
      <w:r>
        <w:rPr>
          <w:rFonts w:ascii="Calibri" w:hAnsi="Calibri"/>
          <w:color w:val="414042"/>
          <w:spacing w:val="-17"/>
          <w:w w:val="105"/>
          <w:sz w:val="16"/>
        </w:rPr>
        <w:t> </w:t>
      </w:r>
      <w:r>
        <w:rPr>
          <w:rFonts w:ascii="Calibri" w:hAnsi="Calibri"/>
          <w:color w:val="414042"/>
          <w:w w:val="105"/>
          <w:sz w:val="16"/>
        </w:rPr>
        <w:t>para simbolizar</w:t>
      </w:r>
      <w:r>
        <w:rPr>
          <w:rFonts w:ascii="Calibri" w:hAnsi="Calibri"/>
          <w:color w:val="414042"/>
          <w:spacing w:val="-14"/>
          <w:w w:val="105"/>
          <w:sz w:val="16"/>
        </w:rPr>
        <w:t> </w:t>
      </w:r>
      <w:r>
        <w:rPr>
          <w:rFonts w:ascii="Calibri" w:hAnsi="Calibri"/>
          <w:color w:val="414042"/>
          <w:w w:val="105"/>
          <w:sz w:val="16"/>
        </w:rPr>
        <w:t>las</w:t>
      </w:r>
      <w:r>
        <w:rPr>
          <w:rFonts w:ascii="Calibri" w:hAnsi="Calibri"/>
          <w:color w:val="414042"/>
          <w:spacing w:val="-14"/>
          <w:w w:val="105"/>
          <w:sz w:val="16"/>
        </w:rPr>
        <w:t> </w:t>
      </w:r>
      <w:r>
        <w:rPr>
          <w:rFonts w:ascii="Calibri" w:hAnsi="Calibri"/>
          <w:color w:val="414042"/>
          <w:w w:val="105"/>
          <w:sz w:val="16"/>
        </w:rPr>
        <w:t>relaciones</w:t>
      </w:r>
      <w:r>
        <w:rPr>
          <w:rFonts w:ascii="Calibri" w:hAnsi="Calibri"/>
          <w:color w:val="414042"/>
          <w:spacing w:val="-14"/>
          <w:w w:val="105"/>
          <w:sz w:val="16"/>
        </w:rPr>
        <w:t> </w:t>
      </w:r>
      <w:r>
        <w:rPr>
          <w:rFonts w:ascii="Calibri" w:hAnsi="Calibri"/>
          <w:color w:val="414042"/>
          <w:w w:val="105"/>
          <w:sz w:val="16"/>
        </w:rPr>
        <w:t>entre</w:t>
      </w:r>
      <w:r>
        <w:rPr>
          <w:rFonts w:ascii="Calibri" w:hAnsi="Calibri"/>
          <w:color w:val="414042"/>
          <w:spacing w:val="-14"/>
          <w:w w:val="105"/>
          <w:sz w:val="16"/>
        </w:rPr>
        <w:t> </w:t>
      </w:r>
      <w:r>
        <w:rPr>
          <w:rFonts w:ascii="Calibri" w:hAnsi="Calibri"/>
          <w:color w:val="414042"/>
          <w:w w:val="105"/>
          <w:sz w:val="16"/>
        </w:rPr>
        <w:t>ellos.</w:t>
      </w:r>
      <w:r>
        <w:rPr>
          <w:rFonts w:ascii="Calibri" w:hAnsi="Calibri"/>
          <w:color w:val="414042"/>
          <w:spacing w:val="-14"/>
          <w:w w:val="105"/>
          <w:sz w:val="16"/>
        </w:rPr>
        <w:t> </w:t>
      </w:r>
      <w:r>
        <w:rPr>
          <w:rFonts w:ascii="Calibri" w:hAnsi="Calibri"/>
          <w:color w:val="414042"/>
          <w:w w:val="105"/>
          <w:sz w:val="16"/>
        </w:rPr>
        <w:t>Más</w:t>
      </w:r>
      <w:r>
        <w:rPr>
          <w:rFonts w:ascii="Calibri" w:hAnsi="Calibri"/>
          <w:color w:val="414042"/>
          <w:spacing w:val="-14"/>
          <w:w w:val="105"/>
          <w:sz w:val="16"/>
        </w:rPr>
        <w:t> </w:t>
      </w:r>
      <w:r>
        <w:rPr>
          <w:rFonts w:ascii="Calibri" w:hAnsi="Calibri"/>
          <w:color w:val="414042"/>
          <w:w w:val="105"/>
          <w:sz w:val="16"/>
        </w:rPr>
        <w:t>tarde,</w:t>
      </w:r>
      <w:r>
        <w:rPr>
          <w:rFonts w:ascii="Calibri" w:hAnsi="Calibri"/>
          <w:color w:val="414042"/>
          <w:spacing w:val="-14"/>
          <w:w w:val="105"/>
          <w:sz w:val="16"/>
        </w:rPr>
        <w:t> </w:t>
      </w:r>
      <w:r>
        <w:rPr>
          <w:rFonts w:ascii="Calibri" w:hAnsi="Calibri"/>
          <w:color w:val="414042"/>
          <w:w w:val="105"/>
          <w:sz w:val="16"/>
        </w:rPr>
        <w:t>la</w:t>
      </w:r>
      <w:r>
        <w:rPr>
          <w:rFonts w:ascii="Calibri" w:hAnsi="Calibri"/>
          <w:color w:val="414042"/>
          <w:spacing w:val="-14"/>
          <w:w w:val="105"/>
          <w:sz w:val="16"/>
        </w:rPr>
        <w:t> </w:t>
      </w:r>
      <w:r>
        <w:rPr>
          <w:rFonts w:ascii="Calibri" w:hAnsi="Calibri"/>
          <w:color w:val="414042"/>
          <w:w w:val="105"/>
          <w:sz w:val="16"/>
        </w:rPr>
        <w:t>sociometría</w:t>
      </w:r>
      <w:r>
        <w:rPr>
          <w:rFonts w:ascii="Calibri" w:hAnsi="Calibri"/>
          <w:color w:val="414042"/>
          <w:spacing w:val="-14"/>
          <w:w w:val="105"/>
          <w:sz w:val="16"/>
        </w:rPr>
        <w:t> </w:t>
      </w:r>
      <w:r>
        <w:rPr>
          <w:rFonts w:ascii="Calibri" w:hAnsi="Calibri"/>
          <w:color w:val="414042"/>
          <w:w w:val="105"/>
          <w:sz w:val="16"/>
        </w:rPr>
        <w:t>fue</w:t>
      </w:r>
      <w:r>
        <w:rPr>
          <w:rFonts w:ascii="Calibri" w:hAnsi="Calibri"/>
          <w:color w:val="414042"/>
          <w:spacing w:val="-14"/>
          <w:w w:val="105"/>
          <w:sz w:val="16"/>
        </w:rPr>
        <w:t> </w:t>
      </w:r>
      <w:r>
        <w:rPr>
          <w:rFonts w:ascii="Calibri" w:hAnsi="Calibri"/>
          <w:color w:val="414042"/>
          <w:w w:val="105"/>
          <w:sz w:val="16"/>
        </w:rPr>
        <w:t>completada</w:t>
      </w:r>
      <w:r>
        <w:rPr>
          <w:rFonts w:ascii="Calibri" w:hAnsi="Calibri"/>
          <w:color w:val="414042"/>
          <w:spacing w:val="-14"/>
          <w:w w:val="105"/>
          <w:sz w:val="16"/>
        </w:rPr>
        <w:t> </w:t>
      </w:r>
      <w:r>
        <w:rPr>
          <w:rFonts w:ascii="Calibri" w:hAnsi="Calibri"/>
          <w:color w:val="414042"/>
          <w:w w:val="105"/>
          <w:sz w:val="16"/>
        </w:rPr>
        <w:t>matemáticamente</w:t>
      </w:r>
      <w:r>
        <w:rPr>
          <w:rFonts w:ascii="Calibri" w:hAnsi="Calibri"/>
          <w:color w:val="414042"/>
          <w:spacing w:val="-14"/>
          <w:w w:val="105"/>
          <w:sz w:val="16"/>
        </w:rPr>
        <w:t> </w:t>
      </w:r>
      <w:r>
        <w:rPr>
          <w:rFonts w:ascii="Calibri" w:hAnsi="Calibri"/>
          <w:color w:val="414042"/>
          <w:w w:val="105"/>
          <w:sz w:val="16"/>
        </w:rPr>
        <w:t>con</w:t>
      </w:r>
      <w:r>
        <w:rPr>
          <w:rFonts w:ascii="Calibri" w:hAnsi="Calibri"/>
          <w:color w:val="414042"/>
          <w:spacing w:val="-14"/>
          <w:w w:val="105"/>
          <w:sz w:val="16"/>
        </w:rPr>
        <w:t> </w:t>
      </w:r>
      <w:r>
        <w:rPr>
          <w:rFonts w:ascii="Calibri" w:hAnsi="Calibri"/>
          <w:color w:val="414042"/>
          <w:w w:val="105"/>
          <w:sz w:val="16"/>
        </w:rPr>
        <w:t>el enfoque</w:t>
      </w:r>
      <w:r>
        <w:rPr>
          <w:rFonts w:ascii="Calibri" w:hAnsi="Calibri"/>
          <w:color w:val="414042"/>
          <w:spacing w:val="-15"/>
          <w:w w:val="105"/>
          <w:sz w:val="16"/>
        </w:rPr>
        <w:t> </w:t>
      </w:r>
      <w:r>
        <w:rPr>
          <w:rFonts w:ascii="Calibri" w:hAnsi="Calibri"/>
          <w:color w:val="414042"/>
          <w:w w:val="105"/>
          <w:sz w:val="16"/>
        </w:rPr>
        <w:t>matricial.</w:t>
      </w:r>
      <w:r>
        <w:rPr>
          <w:rFonts w:ascii="Calibri" w:hAnsi="Calibri"/>
          <w:color w:val="414042"/>
          <w:spacing w:val="-15"/>
          <w:w w:val="105"/>
          <w:sz w:val="16"/>
        </w:rPr>
        <w:t> </w:t>
      </w:r>
      <w:r>
        <w:rPr>
          <w:rFonts w:ascii="Calibri" w:hAnsi="Calibri"/>
          <w:color w:val="414042"/>
          <w:w w:val="105"/>
          <w:sz w:val="16"/>
        </w:rPr>
        <w:t>Actualmente,</w:t>
      </w:r>
      <w:r>
        <w:rPr>
          <w:rFonts w:ascii="Calibri" w:hAnsi="Calibri"/>
          <w:color w:val="414042"/>
          <w:spacing w:val="-15"/>
          <w:w w:val="105"/>
          <w:sz w:val="16"/>
        </w:rPr>
        <w:t> </w:t>
      </w:r>
      <w:r>
        <w:rPr>
          <w:rFonts w:ascii="Calibri" w:hAnsi="Calibri"/>
          <w:color w:val="414042"/>
          <w:w w:val="105"/>
          <w:sz w:val="16"/>
        </w:rPr>
        <w:t>el</w:t>
      </w:r>
      <w:r>
        <w:rPr>
          <w:rFonts w:ascii="Calibri" w:hAnsi="Calibri"/>
          <w:color w:val="414042"/>
          <w:spacing w:val="-15"/>
          <w:w w:val="105"/>
          <w:sz w:val="16"/>
        </w:rPr>
        <w:t> </w:t>
      </w:r>
      <w:r>
        <w:rPr>
          <w:rFonts w:ascii="Calibri" w:hAnsi="Calibri"/>
          <w:color w:val="414042"/>
          <w:w w:val="105"/>
          <w:sz w:val="16"/>
        </w:rPr>
        <w:t>análisis</w:t>
      </w:r>
      <w:r>
        <w:rPr>
          <w:rFonts w:ascii="Calibri" w:hAnsi="Calibri"/>
          <w:color w:val="414042"/>
          <w:spacing w:val="-15"/>
          <w:w w:val="105"/>
          <w:sz w:val="16"/>
        </w:rPr>
        <w:t> </w:t>
      </w:r>
      <w:r>
        <w:rPr>
          <w:rFonts w:ascii="Calibri" w:hAnsi="Calibri"/>
          <w:color w:val="414042"/>
          <w:w w:val="105"/>
          <w:sz w:val="16"/>
        </w:rPr>
        <w:t>de</w:t>
      </w:r>
      <w:r>
        <w:rPr>
          <w:rFonts w:ascii="Calibri" w:hAnsi="Calibri"/>
          <w:color w:val="414042"/>
          <w:spacing w:val="-15"/>
          <w:w w:val="105"/>
          <w:sz w:val="16"/>
        </w:rPr>
        <w:t> </w:t>
      </w:r>
      <w:r>
        <w:rPr>
          <w:rFonts w:ascii="Calibri" w:hAnsi="Calibri"/>
          <w:color w:val="414042"/>
          <w:w w:val="105"/>
          <w:sz w:val="16"/>
        </w:rPr>
        <w:t>redes</w:t>
      </w:r>
      <w:r>
        <w:rPr>
          <w:rFonts w:ascii="Calibri" w:hAnsi="Calibri"/>
          <w:color w:val="414042"/>
          <w:spacing w:val="-15"/>
          <w:w w:val="105"/>
          <w:sz w:val="16"/>
        </w:rPr>
        <w:t> </w:t>
      </w:r>
      <w:r>
        <w:rPr>
          <w:rFonts w:ascii="Calibri" w:hAnsi="Calibri"/>
          <w:color w:val="414042"/>
          <w:w w:val="105"/>
          <w:sz w:val="16"/>
        </w:rPr>
        <w:t>sociales</w:t>
      </w:r>
      <w:r>
        <w:rPr>
          <w:rFonts w:ascii="Calibri" w:hAnsi="Calibri"/>
          <w:color w:val="414042"/>
          <w:spacing w:val="-15"/>
          <w:w w:val="105"/>
          <w:sz w:val="16"/>
        </w:rPr>
        <w:t> </w:t>
      </w:r>
      <w:r>
        <w:rPr>
          <w:rFonts w:ascii="Calibri" w:hAnsi="Calibri"/>
          <w:color w:val="414042"/>
          <w:w w:val="105"/>
          <w:sz w:val="16"/>
        </w:rPr>
        <w:t>conjuga</w:t>
      </w:r>
      <w:r>
        <w:rPr>
          <w:rFonts w:ascii="Calibri" w:hAnsi="Calibri"/>
          <w:color w:val="414042"/>
          <w:spacing w:val="-15"/>
          <w:w w:val="105"/>
          <w:sz w:val="16"/>
        </w:rPr>
        <w:t> </w:t>
      </w:r>
      <w:r>
        <w:rPr>
          <w:rFonts w:ascii="Calibri" w:hAnsi="Calibri"/>
          <w:color w:val="414042"/>
          <w:w w:val="105"/>
          <w:sz w:val="16"/>
        </w:rPr>
        <w:t>elementos</w:t>
      </w:r>
      <w:r>
        <w:rPr>
          <w:rFonts w:ascii="Calibri" w:hAnsi="Calibri"/>
          <w:color w:val="414042"/>
          <w:spacing w:val="-15"/>
          <w:w w:val="105"/>
          <w:sz w:val="16"/>
        </w:rPr>
        <w:t> </w:t>
      </w:r>
      <w:r>
        <w:rPr>
          <w:rFonts w:ascii="Calibri" w:hAnsi="Calibri"/>
          <w:color w:val="414042"/>
          <w:w w:val="105"/>
          <w:sz w:val="16"/>
        </w:rPr>
        <w:t>matriciales,</w:t>
      </w:r>
      <w:r>
        <w:rPr>
          <w:rFonts w:ascii="Calibri" w:hAnsi="Calibri"/>
          <w:color w:val="414042"/>
          <w:spacing w:val="-15"/>
          <w:w w:val="105"/>
          <w:sz w:val="16"/>
        </w:rPr>
        <w:t> </w:t>
      </w:r>
      <w:r>
        <w:rPr>
          <w:rFonts w:ascii="Calibri" w:hAnsi="Calibri"/>
          <w:color w:val="414042"/>
          <w:w w:val="105"/>
          <w:sz w:val="16"/>
        </w:rPr>
        <w:t>sociométri- cos</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paquetes</w:t>
      </w:r>
      <w:r>
        <w:rPr>
          <w:rFonts w:ascii="Calibri" w:hAnsi="Calibri"/>
          <w:color w:val="414042"/>
          <w:spacing w:val="-15"/>
          <w:w w:val="105"/>
          <w:sz w:val="16"/>
        </w:rPr>
        <w:t> </w:t>
      </w:r>
      <w:r>
        <w:rPr>
          <w:rFonts w:ascii="Calibri" w:hAnsi="Calibri"/>
          <w:color w:val="414042"/>
          <w:w w:val="105"/>
          <w:sz w:val="16"/>
        </w:rPr>
        <w:t>computacionales</w:t>
      </w:r>
      <w:r>
        <w:rPr>
          <w:rFonts w:ascii="Calibri" w:hAnsi="Calibri"/>
          <w:color w:val="414042"/>
          <w:spacing w:val="-15"/>
          <w:w w:val="105"/>
          <w:sz w:val="16"/>
        </w:rPr>
        <w:t> </w:t>
      </w:r>
      <w:r>
        <w:rPr>
          <w:rFonts w:ascii="Calibri" w:hAnsi="Calibri"/>
          <w:color w:val="414042"/>
          <w:w w:val="105"/>
          <w:sz w:val="16"/>
        </w:rPr>
        <w:t>(ucinet,</w:t>
      </w:r>
      <w:r>
        <w:rPr>
          <w:rFonts w:ascii="Calibri" w:hAnsi="Calibri"/>
          <w:color w:val="414042"/>
          <w:spacing w:val="-15"/>
          <w:w w:val="105"/>
          <w:sz w:val="16"/>
        </w:rPr>
        <w:t> </w:t>
      </w:r>
      <w:r>
        <w:rPr>
          <w:rFonts w:ascii="Calibri" w:hAnsi="Calibri"/>
          <w:color w:val="414042"/>
          <w:w w:val="105"/>
          <w:sz w:val="16"/>
        </w:rPr>
        <w:t>pajek,</w:t>
      </w:r>
      <w:r>
        <w:rPr>
          <w:rFonts w:ascii="Calibri" w:hAnsi="Calibri"/>
          <w:color w:val="414042"/>
          <w:spacing w:val="-15"/>
          <w:w w:val="105"/>
          <w:sz w:val="16"/>
        </w:rPr>
        <w:t> </w:t>
      </w:r>
      <w:r>
        <w:rPr>
          <w:rFonts w:ascii="Calibri" w:hAnsi="Calibri"/>
          <w:color w:val="414042"/>
          <w:w w:val="105"/>
          <w:sz w:val="16"/>
        </w:rPr>
        <w:t>entre</w:t>
      </w:r>
      <w:r>
        <w:rPr>
          <w:rFonts w:ascii="Calibri" w:hAnsi="Calibri"/>
          <w:color w:val="414042"/>
          <w:spacing w:val="-15"/>
          <w:w w:val="105"/>
          <w:sz w:val="16"/>
        </w:rPr>
        <w:t> </w:t>
      </w:r>
      <w:r>
        <w:rPr>
          <w:rFonts w:ascii="Calibri" w:hAnsi="Calibri"/>
          <w:color w:val="414042"/>
          <w:w w:val="105"/>
          <w:sz w:val="16"/>
        </w:rPr>
        <w:t>otros),</w:t>
      </w:r>
      <w:r>
        <w:rPr>
          <w:rFonts w:ascii="Calibri" w:hAnsi="Calibri"/>
          <w:color w:val="414042"/>
          <w:spacing w:val="-15"/>
          <w:w w:val="105"/>
          <w:sz w:val="16"/>
        </w:rPr>
        <w:t> </w:t>
      </w:r>
      <w:r>
        <w:rPr>
          <w:rFonts w:ascii="Calibri" w:hAnsi="Calibri"/>
          <w:color w:val="414042"/>
          <w:w w:val="105"/>
          <w:sz w:val="16"/>
        </w:rPr>
        <w:t>para</w:t>
      </w:r>
      <w:r>
        <w:rPr>
          <w:rFonts w:ascii="Calibri" w:hAnsi="Calibri"/>
          <w:color w:val="414042"/>
          <w:spacing w:val="-15"/>
          <w:w w:val="105"/>
          <w:sz w:val="16"/>
        </w:rPr>
        <w:t> </w:t>
      </w:r>
      <w:r>
        <w:rPr>
          <w:rFonts w:ascii="Calibri" w:hAnsi="Calibri"/>
          <w:color w:val="414042"/>
          <w:w w:val="105"/>
          <w:sz w:val="16"/>
        </w:rPr>
        <w:t>estudiar</w:t>
      </w:r>
      <w:r>
        <w:rPr>
          <w:rFonts w:ascii="Calibri" w:hAnsi="Calibri"/>
          <w:color w:val="414042"/>
          <w:spacing w:val="-15"/>
          <w:w w:val="105"/>
          <w:sz w:val="16"/>
        </w:rPr>
        <w:t> </w:t>
      </w:r>
      <w:r>
        <w:rPr>
          <w:rFonts w:ascii="Calibri" w:hAnsi="Calibri"/>
          <w:color w:val="414042"/>
          <w:w w:val="105"/>
          <w:sz w:val="16"/>
        </w:rPr>
        <w:t>las</w:t>
      </w:r>
      <w:r>
        <w:rPr>
          <w:rFonts w:ascii="Calibri" w:hAnsi="Calibri"/>
          <w:color w:val="414042"/>
          <w:spacing w:val="-15"/>
          <w:w w:val="105"/>
          <w:sz w:val="16"/>
        </w:rPr>
        <w:t> </w:t>
      </w:r>
      <w:r>
        <w:rPr>
          <w:rFonts w:ascii="Calibri" w:hAnsi="Calibri"/>
          <w:color w:val="414042"/>
          <w:w w:val="105"/>
          <w:sz w:val="16"/>
        </w:rPr>
        <w:t>relaciones</w:t>
      </w:r>
      <w:r>
        <w:rPr>
          <w:rFonts w:ascii="Calibri" w:hAnsi="Calibri"/>
          <w:color w:val="414042"/>
          <w:spacing w:val="-15"/>
          <w:w w:val="105"/>
          <w:sz w:val="16"/>
        </w:rPr>
        <w:t> </w:t>
      </w:r>
      <w:r>
        <w:rPr>
          <w:rFonts w:ascii="Calibri" w:hAnsi="Calibri"/>
          <w:color w:val="414042"/>
          <w:w w:val="105"/>
          <w:sz w:val="16"/>
        </w:rPr>
        <w:t>entre</w:t>
      </w:r>
      <w:r>
        <w:rPr>
          <w:rFonts w:ascii="Calibri" w:hAnsi="Calibri"/>
          <w:color w:val="414042"/>
          <w:spacing w:val="-15"/>
          <w:w w:val="105"/>
          <w:sz w:val="16"/>
        </w:rPr>
        <w:t> </w:t>
      </w:r>
      <w:r>
        <w:rPr>
          <w:rFonts w:ascii="Calibri" w:hAnsi="Calibri"/>
          <w:color w:val="414042"/>
          <w:w w:val="105"/>
          <w:sz w:val="16"/>
        </w:rPr>
        <w:t>los</w:t>
      </w:r>
      <w:r>
        <w:rPr>
          <w:rFonts w:ascii="Calibri" w:hAnsi="Calibri"/>
          <w:color w:val="414042"/>
          <w:spacing w:val="-15"/>
          <w:w w:val="105"/>
          <w:sz w:val="16"/>
        </w:rPr>
        <w:t> </w:t>
      </w:r>
      <w:r>
        <w:rPr>
          <w:rFonts w:ascii="Calibri" w:hAnsi="Calibri"/>
          <w:color w:val="414042"/>
          <w:w w:val="105"/>
          <w:sz w:val="16"/>
        </w:rPr>
        <w:t>indivi- duos</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estructuras</w:t>
      </w:r>
      <w:r>
        <w:rPr>
          <w:rFonts w:ascii="Calibri" w:hAnsi="Calibri"/>
          <w:color w:val="414042"/>
          <w:spacing w:val="-11"/>
          <w:w w:val="105"/>
          <w:sz w:val="16"/>
        </w:rPr>
        <w:t> </w:t>
      </w:r>
      <w:r>
        <w:rPr>
          <w:rFonts w:ascii="Calibri" w:hAnsi="Calibri"/>
          <w:color w:val="414042"/>
          <w:w w:val="105"/>
          <w:sz w:val="16"/>
        </w:rPr>
        <w:t>reticulares</w:t>
      </w:r>
      <w:r>
        <w:rPr>
          <w:rFonts w:ascii="Calibri" w:hAnsi="Calibri"/>
          <w:color w:val="414042"/>
          <w:spacing w:val="-11"/>
          <w:w w:val="105"/>
          <w:sz w:val="16"/>
        </w:rPr>
        <w:t> </w:t>
      </w:r>
      <w:r>
        <w:rPr>
          <w:rFonts w:ascii="Calibri" w:hAnsi="Calibri"/>
          <w:color w:val="414042"/>
          <w:w w:val="105"/>
          <w:sz w:val="16"/>
        </w:rPr>
        <w:t>(Quatman</w:t>
      </w:r>
      <w:r>
        <w:rPr>
          <w:rFonts w:ascii="Calibri" w:hAnsi="Calibri"/>
          <w:color w:val="414042"/>
          <w:spacing w:val="-13"/>
          <w:w w:val="105"/>
          <w:sz w:val="16"/>
        </w:rPr>
        <w:t> </w:t>
      </w:r>
      <w:r>
        <w:rPr>
          <w:rFonts w:ascii="Calibri" w:hAnsi="Calibri"/>
          <w:color w:val="414042"/>
          <w:w w:val="105"/>
          <w:sz w:val="16"/>
        </w:rPr>
        <w:t>y</w:t>
      </w:r>
      <w:r>
        <w:rPr>
          <w:rFonts w:ascii="Calibri" w:hAnsi="Calibri"/>
          <w:color w:val="414042"/>
          <w:spacing w:val="-11"/>
          <w:w w:val="105"/>
          <w:sz w:val="16"/>
        </w:rPr>
        <w:t> </w:t>
      </w:r>
      <w:r>
        <w:rPr>
          <w:rFonts w:ascii="Calibri" w:hAnsi="Calibri"/>
          <w:color w:val="414042"/>
          <w:w w:val="105"/>
          <w:sz w:val="16"/>
        </w:rPr>
        <w:t>Chelladurai,</w:t>
      </w:r>
      <w:r>
        <w:rPr>
          <w:rFonts w:ascii="Calibri" w:hAnsi="Calibri"/>
          <w:color w:val="414042"/>
          <w:spacing w:val="-11"/>
          <w:w w:val="105"/>
          <w:sz w:val="16"/>
        </w:rPr>
        <w:t> </w:t>
      </w:r>
      <w:r>
        <w:rPr>
          <w:rFonts w:ascii="Calibri" w:hAnsi="Calibri"/>
          <w:color w:val="414042"/>
          <w:w w:val="105"/>
          <w:sz w:val="16"/>
        </w:rPr>
        <w:t>2008).</w:t>
      </w:r>
    </w:p>
    <w:p>
      <w:pPr>
        <w:spacing w:line="235" w:lineRule="auto" w:before="0"/>
        <w:ind w:left="103" w:right="116" w:firstLine="0"/>
        <w:jc w:val="both"/>
        <w:rPr>
          <w:rFonts w:ascii="Calibri" w:hAnsi="Calibri"/>
          <w:sz w:val="16"/>
        </w:rPr>
      </w:pPr>
      <w:r>
        <w:rPr>
          <w:rFonts w:ascii="Calibri" w:hAnsi="Calibri"/>
          <w:color w:val="414042"/>
          <w:w w:val="105"/>
          <w:position w:val="5"/>
          <w:sz w:val="9"/>
        </w:rPr>
        <w:t>3 </w:t>
      </w:r>
      <w:r>
        <w:rPr>
          <w:rFonts w:ascii="Calibri" w:hAnsi="Calibri"/>
          <w:color w:val="414042"/>
          <w:w w:val="105"/>
          <w:sz w:val="16"/>
        </w:rPr>
        <w:t>La estructura supone vínculos entre los nodos o actores que integran una red social. Así, las redes sociales son estructuras que muestran un conjunto de vínculos y nodos (Linares, 2008).</w:t>
      </w:r>
    </w:p>
    <w:p>
      <w:pPr>
        <w:spacing w:line="191" w:lineRule="exact" w:before="0"/>
        <w:ind w:left="103" w:right="0" w:firstLine="0"/>
        <w:jc w:val="both"/>
        <w:rPr>
          <w:rFonts w:ascii="Calibri" w:hAnsi="Calibri"/>
          <w:sz w:val="16"/>
        </w:rPr>
      </w:pPr>
      <w:r>
        <w:rPr>
          <w:rFonts w:ascii="Calibri" w:hAnsi="Calibri"/>
          <w:color w:val="414042"/>
          <w:w w:val="105"/>
          <w:position w:val="5"/>
          <w:sz w:val="9"/>
        </w:rPr>
        <w:t>4    </w:t>
      </w:r>
      <w:r>
        <w:rPr>
          <w:rFonts w:ascii="Calibri" w:hAnsi="Calibri"/>
          <w:color w:val="414042"/>
          <w:w w:val="105"/>
          <w:sz w:val="16"/>
        </w:rPr>
        <w:t>Una</w:t>
      </w:r>
      <w:r>
        <w:rPr>
          <w:rFonts w:ascii="Calibri" w:hAnsi="Calibri"/>
          <w:color w:val="414042"/>
          <w:spacing w:val="-12"/>
          <w:w w:val="105"/>
          <w:sz w:val="16"/>
        </w:rPr>
        <w:t> </w:t>
      </w:r>
      <w:r>
        <w:rPr>
          <w:rFonts w:ascii="Calibri" w:hAnsi="Calibri"/>
          <w:color w:val="414042"/>
          <w:w w:val="105"/>
          <w:sz w:val="16"/>
        </w:rPr>
        <w:t>relación</w:t>
      </w:r>
      <w:r>
        <w:rPr>
          <w:rFonts w:ascii="Calibri" w:hAnsi="Calibri"/>
          <w:color w:val="414042"/>
          <w:spacing w:val="-12"/>
          <w:w w:val="105"/>
          <w:sz w:val="16"/>
        </w:rPr>
        <w:t> </w:t>
      </w:r>
      <w:r>
        <w:rPr>
          <w:rFonts w:ascii="Calibri" w:hAnsi="Calibri"/>
          <w:color w:val="414042"/>
          <w:w w:val="105"/>
          <w:sz w:val="16"/>
        </w:rPr>
        <w:t>representa</w:t>
      </w:r>
      <w:r>
        <w:rPr>
          <w:rFonts w:ascii="Calibri" w:hAnsi="Calibri"/>
          <w:color w:val="414042"/>
          <w:spacing w:val="-12"/>
          <w:w w:val="105"/>
          <w:sz w:val="16"/>
        </w:rPr>
        <w:t> </w:t>
      </w:r>
      <w:r>
        <w:rPr>
          <w:rFonts w:ascii="Calibri" w:hAnsi="Calibri"/>
          <w:color w:val="414042"/>
          <w:w w:val="105"/>
          <w:sz w:val="16"/>
        </w:rPr>
        <w:t>la</w:t>
      </w:r>
      <w:r>
        <w:rPr>
          <w:rFonts w:ascii="Calibri" w:hAnsi="Calibri"/>
          <w:color w:val="414042"/>
          <w:spacing w:val="-12"/>
          <w:w w:val="105"/>
          <w:sz w:val="16"/>
        </w:rPr>
        <w:t> </w:t>
      </w:r>
      <w:r>
        <w:rPr>
          <w:rFonts w:ascii="Calibri" w:hAnsi="Calibri"/>
          <w:color w:val="414042"/>
          <w:w w:val="105"/>
          <w:sz w:val="16"/>
        </w:rPr>
        <w:t>interacción</w:t>
      </w:r>
      <w:r>
        <w:rPr>
          <w:rFonts w:ascii="Calibri" w:hAnsi="Calibri"/>
          <w:color w:val="414042"/>
          <w:spacing w:val="-12"/>
          <w:w w:val="105"/>
          <w:sz w:val="16"/>
        </w:rPr>
        <w:t> </w:t>
      </w:r>
      <w:r>
        <w:rPr>
          <w:rFonts w:ascii="Calibri" w:hAnsi="Calibri"/>
          <w:color w:val="414042"/>
          <w:w w:val="105"/>
          <w:sz w:val="16"/>
        </w:rPr>
        <w:t>entre</w:t>
      </w:r>
      <w:r>
        <w:rPr>
          <w:rFonts w:ascii="Calibri" w:hAnsi="Calibri"/>
          <w:color w:val="414042"/>
          <w:spacing w:val="-12"/>
          <w:w w:val="105"/>
          <w:sz w:val="16"/>
        </w:rPr>
        <w:t> </w:t>
      </w:r>
      <w:r>
        <w:rPr>
          <w:rFonts w:ascii="Calibri" w:hAnsi="Calibri"/>
          <w:color w:val="414042"/>
          <w:w w:val="105"/>
          <w:sz w:val="16"/>
        </w:rPr>
        <w:t>individuos</w:t>
      </w:r>
      <w:r>
        <w:rPr>
          <w:rFonts w:ascii="Calibri" w:hAnsi="Calibri"/>
          <w:color w:val="414042"/>
          <w:spacing w:val="-12"/>
          <w:w w:val="105"/>
          <w:sz w:val="16"/>
        </w:rPr>
        <w:t> </w:t>
      </w:r>
      <w:r>
        <w:rPr>
          <w:rFonts w:ascii="Calibri" w:hAnsi="Calibri"/>
          <w:color w:val="414042"/>
          <w:w w:val="105"/>
          <w:sz w:val="16"/>
        </w:rPr>
        <w:t>a</w:t>
      </w:r>
      <w:r>
        <w:rPr>
          <w:rFonts w:ascii="Calibri" w:hAnsi="Calibri"/>
          <w:color w:val="414042"/>
          <w:spacing w:val="-12"/>
          <w:w w:val="105"/>
          <w:sz w:val="16"/>
        </w:rPr>
        <w:t> </w:t>
      </w:r>
      <w:r>
        <w:rPr>
          <w:rFonts w:ascii="Calibri" w:hAnsi="Calibri"/>
          <w:color w:val="414042"/>
          <w:w w:val="105"/>
          <w:sz w:val="16"/>
        </w:rPr>
        <w:t>través</w:t>
      </w:r>
      <w:r>
        <w:rPr>
          <w:rFonts w:ascii="Calibri" w:hAnsi="Calibri"/>
          <w:color w:val="414042"/>
          <w:spacing w:val="-12"/>
          <w:w w:val="105"/>
          <w:sz w:val="16"/>
        </w:rPr>
        <w:t> </w:t>
      </w:r>
      <w:r>
        <w:rPr>
          <w:rFonts w:ascii="Calibri" w:hAnsi="Calibri"/>
          <w:color w:val="414042"/>
          <w:w w:val="105"/>
          <w:sz w:val="16"/>
        </w:rPr>
        <w:t>de</w:t>
      </w:r>
      <w:r>
        <w:rPr>
          <w:rFonts w:ascii="Calibri" w:hAnsi="Calibri"/>
          <w:color w:val="414042"/>
          <w:spacing w:val="-12"/>
          <w:w w:val="105"/>
          <w:sz w:val="16"/>
        </w:rPr>
        <w:t> </w:t>
      </w:r>
      <w:r>
        <w:rPr>
          <w:rFonts w:ascii="Calibri" w:hAnsi="Calibri"/>
          <w:color w:val="414042"/>
          <w:w w:val="105"/>
          <w:sz w:val="16"/>
        </w:rPr>
        <w:t>objetivos</w:t>
      </w:r>
      <w:r>
        <w:rPr>
          <w:rFonts w:ascii="Calibri" w:hAnsi="Calibri"/>
          <w:color w:val="414042"/>
          <w:spacing w:val="-12"/>
          <w:w w:val="105"/>
          <w:sz w:val="16"/>
        </w:rPr>
        <w:t> </w:t>
      </w:r>
      <w:r>
        <w:rPr>
          <w:rFonts w:ascii="Calibri" w:hAnsi="Calibri"/>
          <w:color w:val="414042"/>
          <w:w w:val="105"/>
          <w:sz w:val="16"/>
        </w:rPr>
        <w:t>comunes,</w:t>
      </w:r>
      <w:r>
        <w:rPr>
          <w:rFonts w:ascii="Calibri" w:hAnsi="Calibri"/>
          <w:color w:val="414042"/>
          <w:spacing w:val="-12"/>
          <w:w w:val="105"/>
          <w:sz w:val="16"/>
        </w:rPr>
        <w:t> </w:t>
      </w:r>
      <w:r>
        <w:rPr>
          <w:rFonts w:ascii="Calibri" w:hAnsi="Calibri"/>
          <w:color w:val="414042"/>
          <w:w w:val="105"/>
          <w:sz w:val="16"/>
        </w:rPr>
        <w:t>tipo</w:t>
      </w:r>
      <w:r>
        <w:rPr>
          <w:rFonts w:ascii="Calibri" w:hAnsi="Calibri"/>
          <w:color w:val="414042"/>
          <w:spacing w:val="-12"/>
          <w:w w:val="105"/>
          <w:sz w:val="16"/>
        </w:rPr>
        <w:t> </w:t>
      </w:r>
      <w:r>
        <w:rPr>
          <w:rFonts w:ascii="Calibri" w:hAnsi="Calibri"/>
          <w:color w:val="414042"/>
          <w:w w:val="105"/>
          <w:sz w:val="16"/>
        </w:rPr>
        <w:t>de</w:t>
      </w:r>
      <w:r>
        <w:rPr>
          <w:rFonts w:ascii="Calibri" w:hAnsi="Calibri"/>
          <w:color w:val="414042"/>
          <w:spacing w:val="-12"/>
          <w:w w:val="105"/>
          <w:sz w:val="16"/>
        </w:rPr>
        <w:t> </w:t>
      </w:r>
      <w:r>
        <w:rPr>
          <w:rFonts w:ascii="Calibri" w:hAnsi="Calibri"/>
          <w:color w:val="414042"/>
          <w:w w:val="105"/>
          <w:sz w:val="16"/>
        </w:rPr>
        <w:t>asocia-</w:t>
      </w:r>
    </w:p>
    <w:p>
      <w:pPr>
        <w:spacing w:line="192" w:lineRule="exact" w:before="0"/>
        <w:ind w:left="103" w:right="0" w:firstLine="0"/>
        <w:jc w:val="both"/>
        <w:rPr>
          <w:rFonts w:ascii="Calibri" w:hAnsi="Calibri"/>
          <w:sz w:val="16"/>
        </w:rPr>
      </w:pPr>
      <w:r>
        <w:rPr>
          <w:rFonts w:ascii="Calibri" w:hAnsi="Calibri"/>
          <w:color w:val="414042"/>
          <w:w w:val="105"/>
          <w:sz w:val="16"/>
        </w:rPr>
        <w:t>ción y reglas de funcionamiento (López y Solís, 2004).</w:t>
      </w:r>
    </w:p>
    <w:p>
      <w:pPr>
        <w:spacing w:line="194" w:lineRule="exact" w:before="0"/>
        <w:ind w:left="103" w:right="0" w:firstLine="0"/>
        <w:jc w:val="both"/>
        <w:rPr>
          <w:rFonts w:ascii="Calibri" w:hAnsi="Calibri"/>
          <w:sz w:val="16"/>
        </w:rPr>
      </w:pPr>
      <w:r>
        <w:rPr>
          <w:rFonts w:ascii="Calibri" w:hAnsi="Calibri"/>
          <w:color w:val="414042"/>
          <w:w w:val="105"/>
          <w:position w:val="5"/>
          <w:sz w:val="9"/>
        </w:rPr>
        <w:t>5  </w:t>
      </w:r>
      <w:r>
        <w:rPr>
          <w:rFonts w:ascii="Calibri" w:hAnsi="Calibri"/>
          <w:color w:val="414042"/>
          <w:w w:val="105"/>
          <w:sz w:val="16"/>
        </w:rPr>
        <w:t>Los atributos refieren las características de los nodos, las cuales posibilitan identificar a cada actor o</w:t>
      </w:r>
    </w:p>
    <w:p>
      <w:pPr>
        <w:pStyle w:val="BodyText"/>
        <w:rPr>
          <w:rFonts w:ascii="Calibri"/>
          <w:sz w:val="20"/>
        </w:rPr>
      </w:pPr>
    </w:p>
    <w:p>
      <w:pPr>
        <w:pStyle w:val="BodyText"/>
        <w:spacing w:before="10"/>
        <w:rPr>
          <w:rFonts w:ascii="Calibri"/>
          <w:sz w:val="2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349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124</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4480"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125</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22"/>
        <w:jc w:val="both"/>
      </w:pPr>
      <w:r>
        <w:rPr>
          <w:color w:val="231F20"/>
        </w:rPr>
        <w:t>rentes a cada actor, en tanto que las estructurales enmarcan dos tipos de análisis: estructural y posicional. El análisis estructural determina el nivel de integración de la red mediante el estudio de los conceptos densidad    y cohesión; ésta es examinada a través de la noción distancia </w:t>
      </w:r>
      <w:r>
        <w:rPr>
          <w:color w:val="231F20"/>
          <w:spacing w:val="8"/>
        </w:rPr>
        <w:t> </w:t>
      </w:r>
      <w:r>
        <w:rPr>
          <w:color w:val="231F20"/>
        </w:rPr>
        <w:t>reticular.</w:t>
      </w:r>
    </w:p>
    <w:p>
      <w:pPr>
        <w:pStyle w:val="BodyText"/>
        <w:spacing w:line="259" w:lineRule="auto"/>
        <w:ind w:left="117" w:right="115" w:firstLine="567"/>
        <w:jc w:val="both"/>
      </w:pPr>
      <w:r>
        <w:rPr>
          <w:color w:val="231F20"/>
          <w:w w:val="105"/>
        </w:rPr>
        <w:t>La densidad muestra, en porcentaje, la conectividad de la red y describe</w:t>
      </w:r>
      <w:r>
        <w:rPr>
          <w:color w:val="231F20"/>
          <w:spacing w:val="-12"/>
          <w:w w:val="105"/>
        </w:rPr>
        <w:t> </w:t>
      </w: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de</w:t>
      </w:r>
      <w:r>
        <w:rPr>
          <w:color w:val="231F20"/>
          <w:spacing w:val="-12"/>
          <w:w w:val="105"/>
        </w:rPr>
        <w:t> </w:t>
      </w:r>
      <w:r>
        <w:rPr>
          <w:color w:val="231F20"/>
          <w:w w:val="105"/>
        </w:rPr>
        <w:t>conexiones</w:t>
      </w:r>
      <w:r>
        <w:rPr>
          <w:color w:val="231F20"/>
          <w:spacing w:val="-12"/>
          <w:w w:val="105"/>
        </w:rPr>
        <w:t> </w:t>
      </w:r>
      <w:r>
        <w:rPr>
          <w:color w:val="231F20"/>
          <w:w w:val="105"/>
        </w:rPr>
        <w:t>establecidas</w:t>
      </w:r>
      <w:r>
        <w:rPr>
          <w:color w:val="231F20"/>
          <w:spacing w:val="-12"/>
          <w:w w:val="105"/>
        </w:rPr>
        <w:t> </w:t>
      </w:r>
      <w:r>
        <w:rPr>
          <w:color w:val="231F20"/>
          <w:w w:val="105"/>
        </w:rPr>
        <w:t>en</w:t>
      </w:r>
      <w:r>
        <w:rPr>
          <w:color w:val="231F20"/>
          <w:spacing w:val="-12"/>
          <w:w w:val="105"/>
        </w:rPr>
        <w:t> </w:t>
      </w:r>
      <w:r>
        <w:rPr>
          <w:color w:val="231F20"/>
          <w:w w:val="105"/>
        </w:rPr>
        <w:t>relación</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máxi- mo número que pudiera llevarse a cabo si todos los participantes es- tuvieran</w:t>
      </w:r>
      <w:r>
        <w:rPr>
          <w:color w:val="231F20"/>
          <w:spacing w:val="-19"/>
          <w:w w:val="105"/>
        </w:rPr>
        <w:t> </w:t>
      </w:r>
      <w:r>
        <w:rPr>
          <w:color w:val="231F20"/>
          <w:w w:val="105"/>
        </w:rPr>
        <w:t>enlazados</w:t>
      </w:r>
      <w:r>
        <w:rPr>
          <w:color w:val="231F20"/>
          <w:spacing w:val="-19"/>
          <w:w w:val="105"/>
        </w:rPr>
        <w:t> </w:t>
      </w:r>
      <w:r>
        <w:rPr>
          <w:color w:val="231F20"/>
          <w:w w:val="105"/>
        </w:rPr>
        <w:t>directamente</w:t>
      </w:r>
      <w:r>
        <w:rPr>
          <w:color w:val="231F20"/>
          <w:spacing w:val="-19"/>
          <w:w w:val="105"/>
        </w:rPr>
        <w:t> </w:t>
      </w:r>
      <w:r>
        <w:rPr>
          <w:color w:val="231F20"/>
          <w:w w:val="105"/>
        </w:rPr>
        <w:t>con</w:t>
      </w:r>
      <w:r>
        <w:rPr>
          <w:color w:val="231F20"/>
          <w:spacing w:val="-19"/>
          <w:w w:val="105"/>
        </w:rPr>
        <w:t> </w:t>
      </w:r>
      <w:r>
        <w:rPr>
          <w:color w:val="231F20"/>
          <w:w w:val="105"/>
        </w:rPr>
        <w:t>todos</w:t>
      </w:r>
      <w:r>
        <w:rPr>
          <w:color w:val="231F20"/>
          <w:spacing w:val="-19"/>
          <w:w w:val="105"/>
        </w:rPr>
        <w:t> </w:t>
      </w:r>
      <w:r>
        <w:rPr>
          <w:color w:val="231F20"/>
          <w:w w:val="105"/>
        </w:rPr>
        <w:t>los</w:t>
      </w:r>
      <w:r>
        <w:rPr>
          <w:color w:val="231F20"/>
          <w:spacing w:val="-19"/>
          <w:w w:val="105"/>
        </w:rPr>
        <w:t> </w:t>
      </w:r>
      <w:r>
        <w:rPr>
          <w:color w:val="231F20"/>
          <w:w w:val="105"/>
        </w:rPr>
        <w:t>demás</w:t>
      </w:r>
      <w:r>
        <w:rPr>
          <w:color w:val="231F20"/>
          <w:spacing w:val="-19"/>
          <w:w w:val="105"/>
        </w:rPr>
        <w:t> </w:t>
      </w:r>
      <w:r>
        <w:rPr>
          <w:color w:val="231F20"/>
          <w:w w:val="105"/>
        </w:rPr>
        <w:t>(Sanz,</w:t>
      </w:r>
      <w:r>
        <w:rPr>
          <w:color w:val="231F20"/>
          <w:spacing w:val="-23"/>
          <w:w w:val="105"/>
        </w:rPr>
        <w:t> </w:t>
      </w:r>
      <w:r>
        <w:rPr>
          <w:color w:val="231F20"/>
          <w:w w:val="105"/>
        </w:rPr>
        <w:t>2003).</w:t>
      </w:r>
      <w:r>
        <w:rPr>
          <w:color w:val="231F20"/>
          <w:spacing w:val="-26"/>
          <w:w w:val="105"/>
        </w:rPr>
        <w:t> </w:t>
      </w:r>
      <w:r>
        <w:rPr>
          <w:color w:val="231F20"/>
          <w:w w:val="105"/>
        </w:rPr>
        <w:t>Así, una densidad alta sugiere actores altamente conectados, posibilitando una rápida trasmisión de información o recursos. Una densidad inter- media señala que algunos actores están conectados pero otros no,</w:t>
      </w:r>
      <w:r>
        <w:rPr>
          <w:color w:val="231F20"/>
          <w:spacing w:val="-40"/>
          <w:w w:val="105"/>
        </w:rPr>
        <w:t> </w:t>
      </w:r>
      <w:r>
        <w:rPr>
          <w:color w:val="231F20"/>
          <w:w w:val="105"/>
        </w:rPr>
        <w:t>por lo que la red tendrá zonas de alta y baja densidad. En cambio, una red con</w:t>
      </w:r>
      <w:r>
        <w:rPr>
          <w:color w:val="231F20"/>
          <w:spacing w:val="-12"/>
          <w:w w:val="105"/>
        </w:rPr>
        <w:t> </w:t>
      </w:r>
      <w:r>
        <w:rPr>
          <w:color w:val="231F20"/>
          <w:w w:val="105"/>
        </w:rPr>
        <w:t>baja</w:t>
      </w:r>
      <w:r>
        <w:rPr>
          <w:color w:val="231F20"/>
          <w:spacing w:val="-12"/>
          <w:w w:val="105"/>
        </w:rPr>
        <w:t> </w:t>
      </w:r>
      <w:r>
        <w:rPr>
          <w:color w:val="231F20"/>
          <w:w w:val="105"/>
        </w:rPr>
        <w:t>densidad</w:t>
      </w:r>
      <w:r>
        <w:rPr>
          <w:color w:val="231F20"/>
          <w:spacing w:val="-12"/>
          <w:w w:val="105"/>
        </w:rPr>
        <w:t> </w:t>
      </w:r>
      <w:r>
        <w:rPr>
          <w:color w:val="231F20"/>
          <w:w w:val="105"/>
        </w:rPr>
        <w:t>describe</w:t>
      </w:r>
      <w:r>
        <w:rPr>
          <w:color w:val="231F20"/>
          <w:spacing w:val="-12"/>
          <w:w w:val="105"/>
        </w:rPr>
        <w:t> </w:t>
      </w:r>
      <w:r>
        <w:rPr>
          <w:color w:val="231F20"/>
          <w:w w:val="105"/>
        </w:rPr>
        <w:t>un</w:t>
      </w:r>
      <w:r>
        <w:rPr>
          <w:color w:val="231F20"/>
          <w:spacing w:val="-12"/>
          <w:w w:val="105"/>
        </w:rPr>
        <w:t> </w:t>
      </w:r>
      <w:r>
        <w:rPr>
          <w:color w:val="231F20"/>
          <w:w w:val="105"/>
        </w:rPr>
        <w:t>conjunto</w:t>
      </w:r>
      <w:r>
        <w:rPr>
          <w:color w:val="231F20"/>
          <w:spacing w:val="-12"/>
          <w:w w:val="105"/>
        </w:rPr>
        <w:t> </w:t>
      </w:r>
      <w:r>
        <w:rPr>
          <w:color w:val="231F20"/>
          <w:w w:val="105"/>
        </w:rPr>
        <w:t>de</w:t>
      </w:r>
      <w:r>
        <w:rPr>
          <w:color w:val="231F20"/>
          <w:spacing w:val="-12"/>
          <w:w w:val="105"/>
        </w:rPr>
        <w:t> </w:t>
      </w:r>
      <w:r>
        <w:rPr>
          <w:color w:val="231F20"/>
          <w:w w:val="105"/>
        </w:rPr>
        <w:t>nodos</w:t>
      </w:r>
      <w:r>
        <w:rPr>
          <w:color w:val="231F20"/>
          <w:spacing w:val="-12"/>
          <w:w w:val="105"/>
        </w:rPr>
        <w:t> </w:t>
      </w:r>
      <w:r>
        <w:rPr>
          <w:color w:val="231F20"/>
          <w:w w:val="105"/>
        </w:rPr>
        <w:t>escasamente</w:t>
      </w:r>
      <w:r>
        <w:rPr>
          <w:color w:val="231F20"/>
          <w:spacing w:val="-12"/>
          <w:w w:val="105"/>
        </w:rPr>
        <w:t> </w:t>
      </w:r>
      <w:r>
        <w:rPr>
          <w:color w:val="231F20"/>
          <w:w w:val="105"/>
        </w:rPr>
        <w:t>relacio- nados, imposibilitando establecer conexiones inmediatas entre actores (Requena,</w:t>
      </w:r>
      <w:r>
        <w:rPr>
          <w:color w:val="231F20"/>
          <w:spacing w:val="-42"/>
          <w:w w:val="105"/>
        </w:rPr>
        <w:t> </w:t>
      </w:r>
      <w:r>
        <w:rPr>
          <w:color w:val="231F20"/>
          <w:spacing w:val="-3"/>
          <w:w w:val="105"/>
        </w:rPr>
        <w:t>1989).</w:t>
      </w:r>
      <w:r>
        <w:rPr>
          <w:color w:val="231F20"/>
          <w:spacing w:val="-42"/>
          <w:w w:val="105"/>
        </w:rPr>
        <w:t> </w:t>
      </w:r>
      <w:r>
        <w:rPr>
          <w:color w:val="231F20"/>
          <w:spacing w:val="-3"/>
          <w:w w:val="105"/>
        </w:rPr>
        <w:t>Esquemáticamente,</w:t>
      </w:r>
      <w:r>
        <w:rPr>
          <w:color w:val="231F20"/>
          <w:spacing w:val="-42"/>
          <w:w w:val="105"/>
        </w:rPr>
        <w:t> </w:t>
      </w:r>
      <w:r>
        <w:rPr>
          <w:color w:val="231F20"/>
          <w:w w:val="105"/>
        </w:rPr>
        <w:t>la</w:t>
      </w:r>
      <w:r>
        <w:rPr>
          <w:color w:val="231F20"/>
          <w:spacing w:val="-38"/>
          <w:w w:val="105"/>
        </w:rPr>
        <w:t> </w:t>
      </w:r>
      <w:r>
        <w:rPr>
          <w:color w:val="231F20"/>
          <w:spacing w:val="-3"/>
          <w:w w:val="105"/>
        </w:rPr>
        <w:t>figura</w:t>
      </w:r>
      <w:r>
        <w:rPr>
          <w:color w:val="231F20"/>
          <w:spacing w:val="-38"/>
          <w:w w:val="105"/>
        </w:rPr>
        <w:t> </w:t>
      </w:r>
      <w:r>
        <w:rPr>
          <w:color w:val="231F20"/>
          <w:w w:val="105"/>
        </w:rPr>
        <w:t>1</w:t>
      </w:r>
      <w:r>
        <w:rPr>
          <w:color w:val="231F20"/>
          <w:spacing w:val="-38"/>
          <w:w w:val="105"/>
        </w:rPr>
        <w:t> </w:t>
      </w:r>
      <w:r>
        <w:rPr>
          <w:color w:val="231F20"/>
          <w:spacing w:val="-3"/>
          <w:w w:val="105"/>
        </w:rPr>
        <w:t>ejemplifica</w:t>
      </w:r>
      <w:r>
        <w:rPr>
          <w:color w:val="231F20"/>
          <w:spacing w:val="-38"/>
          <w:w w:val="105"/>
        </w:rPr>
        <w:t> </w:t>
      </w:r>
      <w:r>
        <w:rPr>
          <w:color w:val="231F20"/>
          <w:spacing w:val="-3"/>
          <w:w w:val="105"/>
        </w:rPr>
        <w:t>estos</w:t>
      </w:r>
      <w:r>
        <w:rPr>
          <w:color w:val="231F20"/>
          <w:spacing w:val="-38"/>
          <w:w w:val="105"/>
        </w:rPr>
        <w:t> </w:t>
      </w:r>
      <w:r>
        <w:rPr>
          <w:color w:val="231F20"/>
          <w:spacing w:val="-3"/>
          <w:w w:val="105"/>
        </w:rPr>
        <w:t>tres</w:t>
      </w:r>
      <w:r>
        <w:rPr>
          <w:color w:val="231F20"/>
          <w:spacing w:val="-38"/>
          <w:w w:val="105"/>
        </w:rPr>
        <w:t> </w:t>
      </w:r>
      <w:r>
        <w:rPr>
          <w:color w:val="231F20"/>
          <w:spacing w:val="-3"/>
          <w:w w:val="105"/>
        </w:rPr>
        <w:t>tipos </w:t>
      </w:r>
      <w:r>
        <w:rPr>
          <w:color w:val="231F20"/>
          <w:w w:val="105"/>
        </w:rPr>
        <w:t>de</w:t>
      </w:r>
      <w:r>
        <w:rPr>
          <w:color w:val="231F20"/>
          <w:spacing w:val="-32"/>
          <w:w w:val="105"/>
        </w:rPr>
        <w:t> </w:t>
      </w:r>
      <w:r>
        <w:rPr>
          <w:color w:val="231F20"/>
          <w:w w:val="105"/>
        </w:rPr>
        <w:t>densidades.</w:t>
      </w:r>
      <w:r>
        <w:rPr>
          <w:color w:val="231F20"/>
          <w:spacing w:val="-35"/>
          <w:w w:val="105"/>
        </w:rPr>
        <w:t> </w:t>
      </w:r>
      <w:r>
        <w:rPr>
          <w:color w:val="231F20"/>
          <w:w w:val="105"/>
        </w:rPr>
        <w:t>En</w:t>
      </w:r>
      <w:r>
        <w:rPr>
          <w:color w:val="231F20"/>
          <w:spacing w:val="-31"/>
          <w:w w:val="105"/>
        </w:rPr>
        <w:t> </w:t>
      </w:r>
      <w:r>
        <w:rPr>
          <w:color w:val="231F20"/>
          <w:w w:val="105"/>
        </w:rPr>
        <w:t>(a)</w:t>
      </w:r>
      <w:r>
        <w:rPr>
          <w:color w:val="231F20"/>
          <w:spacing w:val="-31"/>
          <w:w w:val="105"/>
        </w:rPr>
        <w:t> </w:t>
      </w:r>
      <w:r>
        <w:rPr>
          <w:color w:val="231F20"/>
          <w:w w:val="105"/>
        </w:rPr>
        <w:t>se</w:t>
      </w:r>
      <w:r>
        <w:rPr>
          <w:color w:val="231F20"/>
          <w:spacing w:val="-31"/>
          <w:w w:val="105"/>
        </w:rPr>
        <w:t> </w:t>
      </w:r>
      <w:r>
        <w:rPr>
          <w:color w:val="231F20"/>
          <w:w w:val="105"/>
        </w:rPr>
        <w:t>muestra</w:t>
      </w:r>
      <w:r>
        <w:rPr>
          <w:color w:val="231F20"/>
          <w:spacing w:val="-31"/>
          <w:w w:val="105"/>
        </w:rPr>
        <w:t> </w:t>
      </w:r>
      <w:r>
        <w:rPr>
          <w:color w:val="231F20"/>
          <w:w w:val="105"/>
        </w:rPr>
        <w:t>una</w:t>
      </w:r>
      <w:r>
        <w:rPr>
          <w:color w:val="231F20"/>
          <w:spacing w:val="-31"/>
          <w:w w:val="105"/>
        </w:rPr>
        <w:t> </w:t>
      </w:r>
      <w:r>
        <w:rPr>
          <w:color w:val="231F20"/>
          <w:w w:val="105"/>
        </w:rPr>
        <w:t>estructura</w:t>
      </w:r>
      <w:r>
        <w:rPr>
          <w:color w:val="231F20"/>
          <w:spacing w:val="-31"/>
          <w:w w:val="105"/>
        </w:rPr>
        <w:t> </w:t>
      </w:r>
      <w:r>
        <w:rPr>
          <w:color w:val="231F20"/>
          <w:w w:val="105"/>
        </w:rPr>
        <w:t>reticular</w:t>
      </w:r>
      <w:r>
        <w:rPr>
          <w:color w:val="231F20"/>
          <w:spacing w:val="-31"/>
          <w:w w:val="105"/>
        </w:rPr>
        <w:t> </w:t>
      </w:r>
      <w:r>
        <w:rPr>
          <w:color w:val="231F20"/>
          <w:w w:val="105"/>
        </w:rPr>
        <w:t>completamente densa;</w:t>
      </w:r>
      <w:r>
        <w:rPr>
          <w:color w:val="231F20"/>
          <w:spacing w:val="-5"/>
          <w:w w:val="105"/>
        </w:rPr>
        <w:t> </w:t>
      </w:r>
      <w:r>
        <w:rPr>
          <w:color w:val="231F20"/>
          <w:w w:val="105"/>
        </w:rPr>
        <w:t>(b)</w:t>
      </w:r>
      <w:r>
        <w:rPr>
          <w:color w:val="231F20"/>
          <w:spacing w:val="-5"/>
          <w:w w:val="105"/>
        </w:rPr>
        <w:t> </w:t>
      </w:r>
      <w:r>
        <w:rPr>
          <w:color w:val="231F20"/>
          <w:w w:val="105"/>
        </w:rPr>
        <w:t>describe</w:t>
      </w:r>
      <w:r>
        <w:rPr>
          <w:color w:val="231F20"/>
          <w:spacing w:val="-5"/>
          <w:w w:val="105"/>
        </w:rPr>
        <w:t> </w:t>
      </w:r>
      <w:r>
        <w:rPr>
          <w:color w:val="231F20"/>
          <w:w w:val="105"/>
        </w:rPr>
        <w:t>una</w:t>
      </w:r>
      <w:r>
        <w:rPr>
          <w:color w:val="231F20"/>
          <w:spacing w:val="-5"/>
          <w:w w:val="105"/>
        </w:rPr>
        <w:t> </w:t>
      </w:r>
      <w:r>
        <w:rPr>
          <w:color w:val="231F20"/>
          <w:w w:val="105"/>
        </w:rPr>
        <w:t>red</w:t>
      </w:r>
      <w:r>
        <w:rPr>
          <w:color w:val="231F20"/>
          <w:spacing w:val="-5"/>
          <w:w w:val="105"/>
        </w:rPr>
        <w:t> </w:t>
      </w:r>
      <w:r>
        <w:rPr>
          <w:color w:val="231F20"/>
          <w:w w:val="105"/>
        </w:rPr>
        <w:t>con</w:t>
      </w:r>
      <w:r>
        <w:rPr>
          <w:color w:val="231F20"/>
          <w:spacing w:val="-5"/>
          <w:w w:val="105"/>
        </w:rPr>
        <w:t> </w:t>
      </w:r>
      <w:r>
        <w:rPr>
          <w:color w:val="231F20"/>
          <w:w w:val="105"/>
        </w:rPr>
        <w:t>densidad</w:t>
      </w:r>
      <w:r>
        <w:rPr>
          <w:color w:val="231F20"/>
          <w:spacing w:val="-5"/>
          <w:w w:val="105"/>
        </w:rPr>
        <w:t> </w:t>
      </w:r>
      <w:r>
        <w:rPr>
          <w:color w:val="231F20"/>
          <w:w w:val="105"/>
        </w:rPr>
        <w:t>intermedia</w:t>
      </w:r>
      <w:r>
        <w:rPr>
          <w:color w:val="231F20"/>
          <w:spacing w:val="-5"/>
          <w:w w:val="105"/>
        </w:rPr>
        <w:t> </w:t>
      </w:r>
      <w:r>
        <w:rPr>
          <w:color w:val="231F20"/>
          <w:w w:val="105"/>
        </w:rPr>
        <w:t>y</w:t>
      </w:r>
      <w:r>
        <w:rPr>
          <w:color w:val="231F20"/>
          <w:spacing w:val="-5"/>
          <w:w w:val="105"/>
        </w:rPr>
        <w:t> </w:t>
      </w:r>
      <w:r>
        <w:rPr>
          <w:color w:val="231F20"/>
          <w:w w:val="105"/>
        </w:rPr>
        <w:t>(c)</w:t>
      </w:r>
      <w:r>
        <w:rPr>
          <w:color w:val="231F20"/>
          <w:spacing w:val="-5"/>
          <w:w w:val="105"/>
        </w:rPr>
        <w:t> </w:t>
      </w:r>
      <w:r>
        <w:rPr>
          <w:color w:val="231F20"/>
          <w:w w:val="105"/>
        </w:rPr>
        <w:t>esquematiza una red poco</w:t>
      </w:r>
      <w:r>
        <w:rPr>
          <w:color w:val="231F20"/>
          <w:spacing w:val="-41"/>
          <w:w w:val="105"/>
        </w:rPr>
        <w:t> </w:t>
      </w:r>
      <w:r>
        <w:rPr>
          <w:color w:val="231F20"/>
          <w:w w:val="105"/>
        </w:rPr>
        <w:t>densa.</w:t>
      </w:r>
    </w:p>
    <w:p>
      <w:pPr>
        <w:pStyle w:val="BodyText"/>
        <w:spacing w:line="259" w:lineRule="auto"/>
        <w:ind w:left="117" w:right="121" w:firstLine="567"/>
        <w:jc w:val="both"/>
      </w:pPr>
      <w:r>
        <w:rPr>
          <w:color w:val="231F20"/>
        </w:rPr>
        <w:t>Respecto a la distancia, se define a partir del concepto distancia geodésica</w:t>
      </w:r>
      <w:r>
        <w:rPr>
          <w:i/>
          <w:color w:val="231F20"/>
          <w:position w:val="7"/>
          <w:sz w:val="12"/>
        </w:rPr>
        <w:t>6</w:t>
      </w:r>
      <w:r>
        <w:rPr>
          <w:color w:val="231F20"/>
        </w:rPr>
        <w:t>, descrita como el trayecto más corto entre pares de actores (ARSChile, 2014). Específicamente, muestra el valor promedio entre no- dos para el conjunto reticular y el grado de cohesión de la red. Este últi- mo debe oscilar entre los valores 0 y 1, en donde cero indica una red no cohesionada y uno describe una red totalmente    cohesionada.</w:t>
      </w:r>
    </w:p>
    <w:p>
      <w:pPr>
        <w:pStyle w:val="BodyText"/>
        <w:spacing w:line="259" w:lineRule="auto"/>
        <w:ind w:left="117" w:right="121" w:firstLine="567"/>
        <w:jc w:val="both"/>
      </w:pPr>
      <w:r>
        <w:rPr>
          <w:color w:val="231F20"/>
          <w:w w:val="105"/>
        </w:rPr>
        <w:t>El análisis posicional detalla el lugar que cada uno de los</w:t>
      </w:r>
      <w:r>
        <w:rPr>
          <w:color w:val="231F20"/>
          <w:spacing w:val="-17"/>
          <w:w w:val="105"/>
        </w:rPr>
        <w:t> </w:t>
      </w:r>
      <w:r>
        <w:rPr>
          <w:color w:val="231F20"/>
          <w:w w:val="105"/>
        </w:rPr>
        <w:t>actores ocupa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conjunto</w:t>
      </w:r>
      <w:r>
        <w:rPr>
          <w:color w:val="231F20"/>
          <w:spacing w:val="-19"/>
          <w:w w:val="105"/>
        </w:rPr>
        <w:t> </w:t>
      </w:r>
      <w:r>
        <w:rPr>
          <w:color w:val="231F20"/>
          <w:w w:val="105"/>
        </w:rPr>
        <w:t>reticular.</w:t>
      </w:r>
      <w:r>
        <w:rPr>
          <w:color w:val="231F20"/>
          <w:spacing w:val="-24"/>
          <w:w w:val="105"/>
        </w:rPr>
        <w:t> </w:t>
      </w:r>
      <w:r>
        <w:rPr>
          <w:color w:val="231F20"/>
          <w:w w:val="105"/>
        </w:rPr>
        <w:t>Se</w:t>
      </w:r>
      <w:r>
        <w:rPr>
          <w:color w:val="231F20"/>
          <w:spacing w:val="-19"/>
          <w:w w:val="105"/>
        </w:rPr>
        <w:t> </w:t>
      </w:r>
      <w:r>
        <w:rPr>
          <w:color w:val="231F20"/>
          <w:w w:val="105"/>
        </w:rPr>
        <w:t>emplea</w:t>
      </w:r>
      <w:r>
        <w:rPr>
          <w:color w:val="231F20"/>
          <w:spacing w:val="-19"/>
          <w:w w:val="105"/>
        </w:rPr>
        <w:t> </w:t>
      </w:r>
      <w:r>
        <w:rPr>
          <w:color w:val="231F20"/>
          <w:w w:val="105"/>
        </w:rPr>
        <w:t>para</w:t>
      </w:r>
      <w:r>
        <w:rPr>
          <w:color w:val="231F20"/>
          <w:spacing w:val="-19"/>
          <w:w w:val="105"/>
        </w:rPr>
        <w:t> </w:t>
      </w:r>
      <w:r>
        <w:rPr>
          <w:color w:val="231F20"/>
          <w:w w:val="105"/>
        </w:rPr>
        <w:t>observar</w:t>
      </w:r>
      <w:r>
        <w:rPr>
          <w:color w:val="231F20"/>
          <w:spacing w:val="-19"/>
          <w:w w:val="105"/>
        </w:rPr>
        <w:t> </w:t>
      </w:r>
      <w:r>
        <w:rPr>
          <w:color w:val="231F20"/>
          <w:w w:val="105"/>
        </w:rPr>
        <w:t>el</w:t>
      </w:r>
      <w:r>
        <w:rPr>
          <w:color w:val="231F20"/>
          <w:spacing w:val="-19"/>
          <w:w w:val="105"/>
        </w:rPr>
        <w:t> </w:t>
      </w:r>
      <w:r>
        <w:rPr>
          <w:color w:val="231F20"/>
          <w:w w:val="105"/>
        </w:rPr>
        <w:t>poder</w:t>
      </w:r>
      <w:r>
        <w:rPr>
          <w:color w:val="231F20"/>
          <w:spacing w:val="-19"/>
          <w:w w:val="105"/>
        </w:rPr>
        <w:t> </w:t>
      </w:r>
      <w:r>
        <w:rPr>
          <w:color w:val="231F20"/>
          <w:w w:val="105"/>
        </w:rPr>
        <w:t>que</w:t>
      </w:r>
      <w:r>
        <w:rPr>
          <w:color w:val="231F20"/>
          <w:spacing w:val="-19"/>
          <w:w w:val="105"/>
        </w:rPr>
        <w:t> </w:t>
      </w:r>
      <w:r>
        <w:rPr>
          <w:color w:val="231F20"/>
          <w:w w:val="105"/>
        </w:rPr>
        <w:t>os- tentan</w:t>
      </w:r>
      <w:r>
        <w:rPr>
          <w:color w:val="231F20"/>
          <w:spacing w:val="-10"/>
          <w:w w:val="105"/>
        </w:rPr>
        <w:t> </w:t>
      </w:r>
      <w:r>
        <w:rPr>
          <w:color w:val="231F20"/>
          <w:w w:val="105"/>
        </w:rPr>
        <w:t>los</w:t>
      </w:r>
      <w:r>
        <w:rPr>
          <w:color w:val="231F20"/>
          <w:spacing w:val="-10"/>
          <w:w w:val="105"/>
        </w:rPr>
        <w:t> </w:t>
      </w:r>
      <w:r>
        <w:rPr>
          <w:color w:val="231F20"/>
          <w:w w:val="105"/>
        </w:rPr>
        <w:t>miembros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red</w:t>
      </w:r>
      <w:r>
        <w:rPr>
          <w:color w:val="231F20"/>
          <w:spacing w:val="-10"/>
          <w:w w:val="105"/>
        </w:rPr>
        <w:t> </w:t>
      </w:r>
      <w:r>
        <w:rPr>
          <w:color w:val="231F20"/>
          <w:w w:val="105"/>
        </w:rPr>
        <w:t>e</w:t>
      </w:r>
      <w:r>
        <w:rPr>
          <w:color w:val="231F20"/>
          <w:spacing w:val="-10"/>
          <w:w w:val="105"/>
        </w:rPr>
        <w:t> </w:t>
      </w:r>
      <w:r>
        <w:rPr>
          <w:color w:val="231F20"/>
          <w:w w:val="105"/>
        </w:rPr>
        <w:t>identifica</w:t>
      </w:r>
      <w:r>
        <w:rPr>
          <w:color w:val="231F20"/>
          <w:spacing w:val="-10"/>
          <w:w w:val="105"/>
        </w:rPr>
        <w:t> </w:t>
      </w:r>
      <w:r>
        <w:rPr>
          <w:color w:val="231F20"/>
          <w:w w:val="105"/>
        </w:rPr>
        <w:t>si</w:t>
      </w:r>
      <w:r>
        <w:rPr>
          <w:color w:val="231F20"/>
          <w:spacing w:val="-10"/>
          <w:w w:val="105"/>
        </w:rPr>
        <w:t> </w:t>
      </w:r>
      <w:r>
        <w:rPr>
          <w:color w:val="231F20"/>
          <w:w w:val="105"/>
        </w:rPr>
        <w:t>algún</w:t>
      </w:r>
      <w:r>
        <w:rPr>
          <w:color w:val="231F20"/>
          <w:spacing w:val="-10"/>
          <w:w w:val="105"/>
        </w:rPr>
        <w:t> </w:t>
      </w:r>
      <w:r>
        <w:rPr>
          <w:color w:val="231F20"/>
          <w:w w:val="105"/>
        </w:rPr>
        <w:t>actor</w:t>
      </w:r>
      <w:r>
        <w:rPr>
          <w:color w:val="231F20"/>
          <w:spacing w:val="-10"/>
          <w:w w:val="105"/>
        </w:rPr>
        <w:t> </w:t>
      </w:r>
      <w:r>
        <w:rPr>
          <w:color w:val="231F20"/>
          <w:w w:val="105"/>
        </w:rPr>
        <w:t>ejerce</w:t>
      </w:r>
      <w:r>
        <w:rPr>
          <w:color w:val="231F20"/>
          <w:spacing w:val="-10"/>
          <w:w w:val="105"/>
        </w:rPr>
        <w:t> </w:t>
      </w:r>
      <w:r>
        <w:rPr>
          <w:color w:val="231F20"/>
          <w:w w:val="105"/>
        </w:rPr>
        <w:t>autoridad sobre los demás. Particularmente, utiliza los indicadores centralidad</w:t>
      </w:r>
      <w:r>
        <w:rPr>
          <w:color w:val="231F20"/>
          <w:spacing w:val="-38"/>
          <w:w w:val="105"/>
        </w:rPr>
        <w:t> </w:t>
      </w:r>
      <w:r>
        <w:rPr>
          <w:color w:val="231F20"/>
          <w:w w:val="105"/>
        </w:rPr>
        <w:t>de grado</w:t>
      </w:r>
      <w:r>
        <w:rPr>
          <w:color w:val="231F20"/>
          <w:spacing w:val="-8"/>
          <w:w w:val="105"/>
        </w:rPr>
        <w:t> </w:t>
      </w:r>
      <w:r>
        <w:rPr>
          <w:color w:val="231F20"/>
          <w:w w:val="105"/>
        </w:rPr>
        <w:t>y</w:t>
      </w:r>
      <w:r>
        <w:rPr>
          <w:color w:val="231F20"/>
          <w:spacing w:val="-8"/>
          <w:w w:val="105"/>
        </w:rPr>
        <w:t> </w:t>
      </w:r>
      <w:r>
        <w:rPr>
          <w:color w:val="231F20"/>
          <w:w w:val="105"/>
        </w:rPr>
        <w:t>centralidad</w:t>
      </w:r>
      <w:r>
        <w:rPr>
          <w:color w:val="231F20"/>
          <w:spacing w:val="-8"/>
          <w:w w:val="105"/>
        </w:rPr>
        <w:t> </w:t>
      </w:r>
      <w:r>
        <w:rPr>
          <w:color w:val="231F20"/>
          <w:w w:val="105"/>
        </w:rPr>
        <w:t>de</w:t>
      </w:r>
      <w:r>
        <w:rPr>
          <w:color w:val="231F20"/>
          <w:spacing w:val="-8"/>
          <w:w w:val="105"/>
        </w:rPr>
        <w:t> </w:t>
      </w:r>
      <w:r>
        <w:rPr>
          <w:color w:val="231F20"/>
          <w:w w:val="105"/>
        </w:rPr>
        <w:t>intermediación</w:t>
      </w:r>
      <w:r>
        <w:rPr>
          <w:color w:val="231F20"/>
          <w:spacing w:val="-8"/>
          <w:w w:val="105"/>
        </w:rPr>
        <w:t> </w:t>
      </w:r>
      <w:r>
        <w:rPr>
          <w:color w:val="231F20"/>
          <w:w w:val="105"/>
        </w:rPr>
        <w:t>(Velázquez</w:t>
      </w:r>
      <w:r>
        <w:rPr>
          <w:color w:val="231F20"/>
          <w:spacing w:val="-8"/>
          <w:w w:val="105"/>
        </w:rPr>
        <w:t> </w:t>
      </w:r>
      <w:r>
        <w:rPr>
          <w:color w:val="231F20"/>
          <w:w w:val="105"/>
        </w:rPr>
        <w:t>y</w:t>
      </w:r>
      <w:r>
        <w:rPr>
          <w:color w:val="231F20"/>
          <w:spacing w:val="-11"/>
          <w:w w:val="105"/>
        </w:rPr>
        <w:t> </w:t>
      </w:r>
      <w:r>
        <w:rPr>
          <w:color w:val="231F20"/>
          <w:w w:val="105"/>
        </w:rPr>
        <w:t>Aguilar,</w:t>
      </w:r>
      <w:r>
        <w:rPr>
          <w:color w:val="231F20"/>
          <w:spacing w:val="-13"/>
          <w:w w:val="105"/>
        </w:rPr>
        <w:t> </w:t>
      </w:r>
      <w:r>
        <w:rPr>
          <w:color w:val="231F20"/>
          <w:w w:val="105"/>
        </w:rPr>
        <w:t>2005;</w:t>
      </w:r>
      <w:r>
        <w:rPr>
          <w:color w:val="231F20"/>
          <w:spacing w:val="-8"/>
          <w:w w:val="105"/>
        </w:rPr>
        <w:t> </w:t>
      </w:r>
      <w:r>
        <w:rPr>
          <w:color w:val="231F20"/>
          <w:w w:val="105"/>
        </w:rPr>
        <w:t>Lina- res,</w:t>
      </w:r>
      <w:r>
        <w:rPr>
          <w:color w:val="231F20"/>
          <w:spacing w:val="-32"/>
          <w:w w:val="105"/>
        </w:rPr>
        <w:t> </w:t>
      </w:r>
      <w:r>
        <w:rPr>
          <w:color w:val="231F20"/>
          <w:w w:val="105"/>
        </w:rPr>
        <w:t>2008;</w:t>
      </w:r>
      <w:r>
        <w:rPr>
          <w:color w:val="231F20"/>
          <w:spacing w:val="-28"/>
          <w:w w:val="105"/>
        </w:rPr>
        <w:t> </w:t>
      </w:r>
      <w:r>
        <w:rPr>
          <w:color w:val="231F20"/>
          <w:w w:val="105"/>
        </w:rPr>
        <w:t>Quatman</w:t>
      </w:r>
      <w:r>
        <w:rPr>
          <w:color w:val="231F20"/>
          <w:spacing w:val="-28"/>
          <w:w w:val="105"/>
        </w:rPr>
        <w:t> </w:t>
      </w:r>
      <w:r>
        <w:rPr>
          <w:color w:val="231F20"/>
          <w:w w:val="105"/>
        </w:rPr>
        <w:t>y</w:t>
      </w:r>
      <w:r>
        <w:rPr>
          <w:color w:val="231F20"/>
          <w:spacing w:val="-28"/>
          <w:w w:val="105"/>
        </w:rPr>
        <w:t> </w:t>
      </w:r>
      <w:r>
        <w:rPr>
          <w:color w:val="231F20"/>
          <w:w w:val="105"/>
        </w:rPr>
        <w:t>Chelladurai,</w:t>
      </w:r>
      <w:r>
        <w:rPr>
          <w:color w:val="231F20"/>
          <w:spacing w:val="-32"/>
          <w:w w:val="105"/>
        </w:rPr>
        <w:t> </w:t>
      </w:r>
      <w:r>
        <w:rPr>
          <w:color w:val="231F20"/>
          <w:w w:val="105"/>
        </w:rPr>
        <w:t>2008).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4456;mso-wrap-distance-left:0;mso-wrap-distance-right:0" from="70.866096pt,8.712126pt" to="184.252096pt,8.712126pt" stroked="true" strokeweight=".25pt" strokecolor="#231f20">
            <w10:wrap type="topAndBottom"/>
          </v:line>
        </w:pict>
      </w:r>
    </w:p>
    <w:p>
      <w:pPr>
        <w:spacing w:line="194" w:lineRule="exact" w:before="8"/>
        <w:ind w:left="117" w:right="0" w:firstLine="0"/>
        <w:jc w:val="both"/>
        <w:rPr>
          <w:rFonts w:ascii="Calibri" w:hAnsi="Calibri"/>
          <w:sz w:val="16"/>
        </w:rPr>
      </w:pPr>
      <w:r>
        <w:rPr>
          <w:rFonts w:ascii="Calibri" w:hAnsi="Calibri"/>
          <w:color w:val="414042"/>
          <w:sz w:val="16"/>
        </w:rPr>
        <w:t>grupo de actores dentro de una red, por ejemplo: edad, sexo, profesión, etc. (Velázquez y Aguilar,   2005).</w:t>
      </w:r>
    </w:p>
    <w:p>
      <w:pPr>
        <w:spacing w:line="235" w:lineRule="auto" w:before="1"/>
        <w:ind w:left="117" w:right="121" w:firstLine="0"/>
        <w:jc w:val="both"/>
        <w:rPr>
          <w:rFonts w:ascii="Calibri" w:hAnsi="Calibri"/>
          <w:sz w:val="16"/>
        </w:rPr>
      </w:pPr>
      <w:r>
        <w:rPr>
          <w:rFonts w:ascii="Calibri" w:hAnsi="Calibri"/>
          <w:color w:val="414042"/>
          <w:position w:val="5"/>
          <w:sz w:val="9"/>
        </w:rPr>
        <w:t>6 </w:t>
      </w:r>
      <w:r>
        <w:rPr>
          <w:rFonts w:ascii="Calibri" w:hAnsi="Calibri"/>
          <w:color w:val="414042"/>
          <w:sz w:val="16"/>
        </w:rPr>
        <w:t>Este concepto también se encuentra ligado con las definiciones de </w:t>
      </w:r>
      <w:r>
        <w:rPr>
          <w:rFonts w:ascii="Calibri" w:hAnsi="Calibri"/>
          <w:i/>
          <w:color w:val="414042"/>
          <w:sz w:val="16"/>
        </w:rPr>
        <w:t>ecentricidad </w:t>
      </w:r>
      <w:r>
        <w:rPr>
          <w:rFonts w:ascii="Calibri" w:hAnsi="Calibri"/>
          <w:color w:val="414042"/>
          <w:sz w:val="16"/>
        </w:rPr>
        <w:t>y diámetro de la red. La </w:t>
      </w:r>
      <w:r>
        <w:rPr>
          <w:rFonts w:ascii="Calibri" w:hAnsi="Calibri"/>
          <w:i/>
          <w:color w:val="414042"/>
          <w:sz w:val="16"/>
        </w:rPr>
        <w:t>ecentricidad </w:t>
      </w:r>
      <w:r>
        <w:rPr>
          <w:rFonts w:ascii="Calibri" w:hAnsi="Calibri"/>
          <w:color w:val="414042"/>
          <w:sz w:val="16"/>
        </w:rPr>
        <w:t>es distancia geodésica más grande entre nodos y mide la lejanía de un actor a otro. El diáme- tro se define como la distancia geodésica más larga de toda la red (Rodríguez y Mérida, 2009).</w:t>
      </w:r>
    </w:p>
    <w:p>
      <w:pPr>
        <w:spacing w:after="0" w:line="235" w:lineRule="auto"/>
        <w:jc w:val="both"/>
        <w:rPr>
          <w:rFonts w:ascii="Calibri" w:hAnsi="Calibri"/>
          <w:sz w:val="16"/>
        </w:rPr>
        <w:sectPr>
          <w:type w:val="continuous"/>
          <w:pgSz w:w="9640" w:h="13890"/>
          <w:pgMar w:top="1300" w:bottom="280" w:left="1300" w:right="1180"/>
        </w:sectPr>
      </w:pPr>
    </w:p>
    <w:p>
      <w:pPr>
        <w:spacing w:before="118"/>
        <w:ind w:left="1473" w:right="17" w:firstLine="0"/>
        <w:jc w:val="left"/>
        <w:rPr>
          <w:sz w:val="18"/>
        </w:rPr>
      </w:pPr>
      <w:r>
        <w:rPr/>
        <w:pict>
          <v:group style="position:absolute;margin-left:65.197197pt;margin-top:22.411366pt;width:91.85pt;height:104.5pt;mso-position-horizontal-relative:page;mso-position-vertical-relative:paragraph;z-index:4504;mso-wrap-distance-left:0;mso-wrap-distance-right:0" coordorigin="1304,448" coordsize="1837,2090">
            <v:line style="position:absolute" from="1813,2405" to="2491,2405" stroked="true" strokeweight=".701pt" strokecolor="#000000"/>
            <v:shape style="position:absolute;left:1485;top:2151;width:335;height:386" type="#_x0000_t75" stroked="false">
              <v:imagedata r:id="rId40" o:title=""/>
            </v:shape>
            <v:shape style="position:absolute;left:1549;top:2291;width:269;height:112" type="#_x0000_t75" stroked="false">
              <v:imagedata r:id="rId41" o:title=""/>
            </v:shape>
            <v:line style="position:absolute" from="1409,1322" to="1632,2158" stroked="true" strokeweight=".701pt" strokecolor="#000000"/>
            <v:line style="position:absolute" from="2313,828" to="2559,2158" stroked="true" strokeweight=".701pt" strokecolor="#000000"/>
            <v:line style="position:absolute" from="1570,1036" to="2169,612" stroked="true" strokeweight=".701pt" strokecolor="#000000"/>
            <v:line style="position:absolute" from="2246,828" to="1632,2158" stroked="true" strokeweight=".701pt" strokecolor="#000000"/>
            <v:line style="position:absolute" from="2920,1194" to="1632,1194" stroked="true" strokeweight=".701pt" strokecolor="#000000"/>
            <v:line style="position:absolute" from="2920,1200" to="1632,2158" stroked="true" strokeweight=".701pt" strokecolor="#000000"/>
            <v:line style="position:absolute" from="3102,1322" to="2738,2405" stroked="true" strokeweight=".701pt" strokecolor="#000000"/>
            <v:line style="position:absolute" from="1632,1200" to="2643,2247" stroked="true" strokeweight=".701pt" strokecolor="#000000"/>
            <v:line style="position:absolute" from="2995,1036" to="2416,612" stroked="true" strokeweight=".701pt" strokecolor="#000000"/>
            <v:shape style="position:absolute;left:2805;top:1029;width:335;height:386" type="#_x0000_t75" stroked="false">
              <v:imagedata r:id="rId42" o:title=""/>
            </v:shape>
            <v:shape style="position:absolute;left:2869;top:1169;width:269;height:117" type="#_x0000_t75" stroked="false">
              <v:imagedata r:id="rId43" o:title=""/>
            </v:shape>
            <v:shape style="position:absolute;left:2088;top:448;width:335;height:386" type="#_x0000_t75" stroked="false">
              <v:imagedata r:id="rId44" o:title=""/>
            </v:shape>
            <v:shape style="position:absolute;left:2155;top:590;width:269;height:112" type="#_x0000_t75" stroked="false">
              <v:imagedata r:id="rId41" o:title=""/>
            </v:shape>
            <v:shape style="position:absolute;left:1304;top:943;width:335;height:386" type="#_x0000_t75" stroked="false">
              <v:imagedata r:id="rId45" o:title=""/>
            </v:shape>
            <v:shape style="position:absolute;left:1369;top:1084;width:269;height:112" type="#_x0000_t75" stroked="false">
              <v:imagedata r:id="rId41" o:title=""/>
            </v:shape>
            <v:shape style="position:absolute;left:2483;top:2151;width:335;height:386" type="#_x0000_t75" stroked="false">
              <v:imagedata r:id="rId44" o:title=""/>
            </v:shape>
            <v:shape style="position:absolute;left:2550;top:2291;width:269;height:112" type="#_x0000_t75" stroked="false">
              <v:imagedata r:id="rId41" o:title=""/>
            </v:shape>
            <w10:wrap type="topAndBottom"/>
          </v:group>
        </w:pict>
      </w:r>
      <w:r>
        <w:rPr/>
        <w:pict>
          <v:group style="position:absolute;margin-left:196.413101pt;margin-top:26.698765pt;width:91.85pt;height:104.5pt;mso-position-horizontal-relative:page;mso-position-vertical-relative:paragraph;z-index:4528;mso-wrap-distance-left:0;mso-wrap-distance-right:0" coordorigin="3928,534" coordsize="1837,2090">
            <v:shape style="position:absolute;left:4109;top:2237;width:335;height:386" type="#_x0000_t75" stroked="false">
              <v:imagedata r:id="rId46" o:title=""/>
            </v:shape>
            <v:shape style="position:absolute;left:4175;top:2377;width:269;height:117" type="#_x0000_t75" stroked="false">
              <v:imagedata r:id="rId43" o:title=""/>
            </v:shape>
            <v:line style="position:absolute" from="4870,913" to="4257,2244" stroked="true" strokeweight=".701pt" strokecolor="#000000"/>
            <v:line style="position:absolute" from="5545,1279" to="4257,1279" stroked="true" strokeweight=".701pt" strokecolor="#000000"/>
            <v:line style="position:absolute" from="5545,1286" to="4257,2244" stroked="true" strokeweight=".701pt" strokecolor="#000000"/>
            <v:line style="position:absolute" from="4257,1286" to="5267,2333" stroked="true" strokeweight=".701pt" strokecolor="#000000"/>
            <v:shape style="position:absolute;left:5429;top:1115;width:335;height:386" type="#_x0000_t75" stroked="false">
              <v:imagedata r:id="rId47" o:title=""/>
            </v:shape>
            <v:shape style="position:absolute;left:5495;top:1254;width:269;height:117" type="#_x0000_t75" stroked="false">
              <v:imagedata r:id="rId43" o:title=""/>
            </v:shape>
            <v:shape style="position:absolute;left:4712;top:534;width:335;height:386" type="#_x0000_t75" stroked="false">
              <v:imagedata r:id="rId48" o:title=""/>
            </v:shape>
            <v:shape style="position:absolute;left:4777;top:675;width:269;height:112" type="#_x0000_t75" stroked="false">
              <v:imagedata r:id="rId41" o:title=""/>
            </v:shape>
            <v:shape style="position:absolute;left:3928;top:1029;width:335;height:386" type="#_x0000_t75" stroked="false">
              <v:imagedata r:id="rId49" o:title=""/>
            </v:shape>
            <v:shape style="position:absolute;left:3996;top:1169;width:269;height:112" type="#_x0000_t75" stroked="false">
              <v:imagedata r:id="rId41" o:title=""/>
            </v:shape>
            <v:shape style="position:absolute;left:5108;top:2237;width:335;height:386" type="#_x0000_t75" stroked="false">
              <v:imagedata r:id="rId47" o:title=""/>
            </v:shape>
            <v:shape style="position:absolute;left:5172;top:2377;width:269;height:117" type="#_x0000_t75" stroked="false">
              <v:imagedata r:id="rId43" o:title=""/>
            </v:shape>
            <w10:wrap type="topAndBottom"/>
          </v:group>
        </w:pict>
      </w:r>
      <w:r>
        <w:rPr/>
        <w:pict>
          <v:group style="position:absolute;margin-left:319.159607pt;margin-top:30.271364pt;width:91.9pt;height:104.5pt;mso-position-horizontal-relative:page;mso-position-vertical-relative:paragraph;z-index:4552;mso-wrap-distance-left:0;mso-wrap-distance-right:0" coordorigin="6383,605" coordsize="1838,2090">
            <v:shape style="position:absolute;left:6564;top:2308;width:335;height:386" type="#_x0000_t75" stroked="false">
              <v:imagedata r:id="rId50" o:title=""/>
            </v:shape>
            <v:shape style="position:absolute;left:6631;top:2449;width:269;height:112" type="#_x0000_t75" stroked="false">
              <v:imagedata r:id="rId41" o:title=""/>
            </v:shape>
            <v:line style="position:absolute" from="7326,985" to="6711,2315" stroked="true" strokeweight=".701pt" strokecolor="#000000"/>
            <v:line style="position:absolute" from="8001,1351" to="6711,1351" stroked="true" strokeweight=".701pt" strokecolor="#000000"/>
            <v:shape style="position:absolute;left:7885;top:1187;width:335;height:386" type="#_x0000_t75" stroked="false">
              <v:imagedata r:id="rId51" o:title=""/>
            </v:shape>
            <v:shape style="position:absolute;left:7951;top:1326;width:269;height:117" type="#_x0000_t75" stroked="false">
              <v:imagedata r:id="rId43" o:title=""/>
            </v:shape>
            <v:shape style="position:absolute;left:7167;top:605;width:336;height:386" type="#_x0000_t75" stroked="false">
              <v:imagedata r:id="rId52" o:title=""/>
            </v:shape>
            <v:shape style="position:absolute;left:7233;top:747;width:269;height:112" type="#_x0000_t75" stroked="false">
              <v:imagedata r:id="rId41" o:title=""/>
            </v:shape>
            <v:shape style="position:absolute;left:6383;top:1100;width:335;height:386" type="#_x0000_t75" stroked="false">
              <v:imagedata r:id="rId53" o:title=""/>
            </v:shape>
            <v:shape style="position:absolute;left:6447;top:1241;width:269;height:112" type="#_x0000_t75" stroked="false">
              <v:imagedata r:id="rId41" o:title=""/>
            </v:shape>
            <v:shape style="position:absolute;left:7563;top:2308;width:336;height:386" type="#_x0000_t75" stroked="false">
              <v:imagedata r:id="rId54" o:title=""/>
            </v:shape>
            <v:shape style="position:absolute;left:7628;top:2449;width:269;height:112" type="#_x0000_t75" stroked="false">
              <v:imagedata r:id="rId41" o:title=""/>
            </v:shape>
            <w10:wrap type="topAndBottom"/>
          </v:group>
        </w:pict>
      </w:r>
      <w:r>
        <w:rPr>
          <w:color w:val="231F20"/>
          <w:w w:val="105"/>
          <w:sz w:val="18"/>
        </w:rPr>
        <w:t>Figura 1. Ejemplos hipotéticos, densidad de la red.</w:t>
      </w:r>
    </w:p>
    <w:p>
      <w:pPr>
        <w:pStyle w:val="BodyText"/>
        <w:spacing w:before="1"/>
        <w:rPr>
          <w:sz w:val="6"/>
        </w:rPr>
      </w:pPr>
    </w:p>
    <w:p>
      <w:pPr>
        <w:spacing w:after="0"/>
        <w:rPr>
          <w:sz w:val="6"/>
        </w:rPr>
        <w:sectPr>
          <w:pgSz w:w="9640" w:h="13890"/>
          <w:pgMar w:top="1300" w:bottom="0" w:left="1200" w:right="1300"/>
        </w:sectPr>
      </w:pPr>
    </w:p>
    <w:p>
      <w:pPr>
        <w:spacing w:line="249" w:lineRule="auto" w:before="0"/>
        <w:ind w:left="623" w:right="0" w:firstLine="546"/>
        <w:jc w:val="left"/>
        <w:rPr>
          <w:sz w:val="20"/>
        </w:rPr>
      </w:pPr>
      <w:r>
        <w:rPr>
          <w:color w:val="231F20"/>
          <w:sz w:val="20"/>
        </w:rPr>
        <w:t>a) Densidad alta</w:t>
      </w:r>
    </w:p>
    <w:p>
      <w:pPr>
        <w:spacing w:line="249" w:lineRule="auto" w:before="0"/>
        <w:ind w:left="623" w:right="-17" w:firstLine="868"/>
        <w:jc w:val="left"/>
        <w:rPr>
          <w:sz w:val="20"/>
        </w:rPr>
      </w:pPr>
      <w:r>
        <w:rPr/>
        <w:br w:type="column"/>
      </w:r>
      <w:r>
        <w:rPr>
          <w:color w:val="231F20"/>
          <w:w w:val="105"/>
          <w:sz w:val="20"/>
        </w:rPr>
        <w:t>b) Densidad</w:t>
      </w:r>
      <w:r>
        <w:rPr>
          <w:color w:val="231F20"/>
          <w:spacing w:val="-3"/>
          <w:w w:val="105"/>
          <w:sz w:val="20"/>
        </w:rPr>
        <w:t> </w:t>
      </w:r>
      <w:r>
        <w:rPr>
          <w:color w:val="231F20"/>
          <w:w w:val="105"/>
          <w:sz w:val="20"/>
        </w:rPr>
        <w:t>intermedia</w:t>
      </w:r>
    </w:p>
    <w:p>
      <w:pPr>
        <w:spacing w:line="249" w:lineRule="auto" w:before="0"/>
        <w:ind w:left="623" w:right="378" w:firstLine="581"/>
        <w:jc w:val="left"/>
        <w:rPr>
          <w:sz w:val="20"/>
        </w:rPr>
      </w:pPr>
      <w:r>
        <w:rPr/>
        <w:br w:type="column"/>
      </w:r>
      <w:r>
        <w:rPr>
          <w:color w:val="231F20"/>
          <w:sz w:val="20"/>
        </w:rPr>
        <w:t>c) Densidad baja</w:t>
      </w:r>
    </w:p>
    <w:p>
      <w:pPr>
        <w:spacing w:after="0" w:line="249" w:lineRule="auto"/>
        <w:jc w:val="left"/>
        <w:rPr>
          <w:sz w:val="20"/>
        </w:rPr>
        <w:sectPr>
          <w:type w:val="continuous"/>
          <w:pgSz w:w="9640" w:h="13890"/>
          <w:pgMar w:top="1300" w:bottom="280" w:left="1200" w:right="1300"/>
          <w:cols w:num="3" w:equalWidth="0">
            <w:col w:w="1884" w:space="83"/>
            <w:col w:w="2548" w:space="51"/>
            <w:col w:w="2574"/>
          </w:cols>
        </w:sectPr>
      </w:pPr>
    </w:p>
    <w:p>
      <w:pPr>
        <w:spacing w:before="47"/>
        <w:ind w:left="103" w:right="0" w:firstLine="0"/>
        <w:jc w:val="both"/>
        <w:rPr>
          <w:sz w:val="16"/>
        </w:rPr>
      </w:pPr>
      <w:r>
        <w:rPr>
          <w:color w:val="231F20"/>
          <w:w w:val="105"/>
          <w:sz w:val="16"/>
        </w:rPr>
        <w:t>Fuente: Elaboración propia a partir de Requena (1989).</w:t>
      </w:r>
    </w:p>
    <w:p>
      <w:pPr>
        <w:pStyle w:val="BodyText"/>
        <w:rPr>
          <w:sz w:val="16"/>
        </w:rPr>
      </w:pPr>
    </w:p>
    <w:p>
      <w:pPr>
        <w:pStyle w:val="BodyText"/>
        <w:spacing w:line="259" w:lineRule="auto" w:before="105"/>
        <w:ind w:left="103" w:right="115"/>
        <w:jc w:val="both"/>
      </w:pPr>
      <w:r>
        <w:rPr>
          <w:color w:val="231F20"/>
          <w:w w:val="105"/>
        </w:rPr>
        <w:t>La</w:t>
      </w:r>
      <w:r>
        <w:rPr>
          <w:color w:val="231F20"/>
          <w:spacing w:val="-13"/>
          <w:w w:val="105"/>
        </w:rPr>
        <w:t> </w:t>
      </w:r>
      <w:r>
        <w:rPr>
          <w:color w:val="231F20"/>
          <w:w w:val="105"/>
        </w:rPr>
        <w:t>centralidad</w:t>
      </w:r>
      <w:r>
        <w:rPr>
          <w:color w:val="231F20"/>
          <w:spacing w:val="-13"/>
          <w:w w:val="105"/>
        </w:rPr>
        <w:t> </w:t>
      </w:r>
      <w:r>
        <w:rPr>
          <w:color w:val="231F20"/>
          <w:w w:val="105"/>
        </w:rPr>
        <w:t>de</w:t>
      </w:r>
      <w:r>
        <w:rPr>
          <w:color w:val="231F20"/>
          <w:spacing w:val="-13"/>
          <w:w w:val="105"/>
        </w:rPr>
        <w:t> </w:t>
      </w:r>
      <w:r>
        <w:rPr>
          <w:color w:val="231F20"/>
          <w:w w:val="105"/>
        </w:rPr>
        <w:t>grado</w:t>
      </w:r>
      <w:r>
        <w:rPr>
          <w:color w:val="231F20"/>
          <w:spacing w:val="-13"/>
          <w:w w:val="105"/>
        </w:rPr>
        <w:t> </w:t>
      </w:r>
      <w:r>
        <w:rPr>
          <w:color w:val="231F20"/>
          <w:w w:val="105"/>
        </w:rPr>
        <w:t>expresa</w:t>
      </w:r>
      <w:r>
        <w:rPr>
          <w:color w:val="231F20"/>
          <w:spacing w:val="-13"/>
          <w:w w:val="105"/>
        </w:rPr>
        <w:t> </w:t>
      </w:r>
      <w:r>
        <w:rPr>
          <w:color w:val="231F20"/>
          <w:w w:val="105"/>
        </w:rPr>
        <w:t>el</w:t>
      </w:r>
      <w:r>
        <w:rPr>
          <w:color w:val="231F20"/>
          <w:spacing w:val="-13"/>
          <w:w w:val="105"/>
        </w:rPr>
        <w:t> </w:t>
      </w:r>
      <w:r>
        <w:rPr>
          <w:color w:val="231F20"/>
          <w:w w:val="105"/>
        </w:rPr>
        <w:t>sitio</w:t>
      </w:r>
      <w:r>
        <w:rPr>
          <w:color w:val="231F20"/>
          <w:spacing w:val="-13"/>
          <w:w w:val="105"/>
        </w:rPr>
        <w:t> </w:t>
      </w:r>
      <w:r>
        <w:rPr>
          <w:color w:val="231F20"/>
          <w:w w:val="105"/>
        </w:rPr>
        <w:t>central</w:t>
      </w:r>
      <w:r>
        <w:rPr>
          <w:color w:val="231F20"/>
          <w:spacing w:val="-13"/>
          <w:w w:val="105"/>
        </w:rPr>
        <w:t> </w:t>
      </w:r>
      <w:r>
        <w:rPr>
          <w:color w:val="231F20"/>
          <w:w w:val="105"/>
        </w:rPr>
        <w:t>o</w:t>
      </w:r>
      <w:r>
        <w:rPr>
          <w:color w:val="231F20"/>
          <w:spacing w:val="-13"/>
          <w:w w:val="105"/>
        </w:rPr>
        <w:t> </w:t>
      </w:r>
      <w:r>
        <w:rPr>
          <w:color w:val="231F20"/>
          <w:w w:val="105"/>
        </w:rPr>
        <w:t>periférico</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actor</w:t>
      </w:r>
      <w:r>
        <w:rPr>
          <w:color w:val="231F20"/>
          <w:spacing w:val="-13"/>
          <w:w w:val="105"/>
        </w:rPr>
        <w:t> </w:t>
      </w:r>
      <w:r>
        <w:rPr>
          <w:color w:val="231F20"/>
          <w:w w:val="105"/>
        </w:rPr>
        <w:t>a través</w:t>
      </w:r>
      <w:r>
        <w:rPr>
          <w:color w:val="231F20"/>
          <w:spacing w:val="-11"/>
          <w:w w:val="105"/>
        </w:rPr>
        <w:t> </w:t>
      </w:r>
      <w:r>
        <w:rPr>
          <w:color w:val="231F20"/>
          <w:w w:val="105"/>
        </w:rPr>
        <w:t>del</w:t>
      </w:r>
      <w:r>
        <w:rPr>
          <w:color w:val="231F20"/>
          <w:spacing w:val="-11"/>
          <w:w w:val="105"/>
        </w:rPr>
        <w:t> </w:t>
      </w:r>
      <w:r>
        <w:rPr>
          <w:color w:val="231F20"/>
          <w:w w:val="105"/>
        </w:rPr>
        <w:t>número</w:t>
      </w:r>
      <w:r>
        <w:rPr>
          <w:color w:val="231F20"/>
          <w:spacing w:val="-11"/>
          <w:w w:val="105"/>
        </w:rPr>
        <w:t> </w:t>
      </w:r>
      <w:r>
        <w:rPr>
          <w:color w:val="231F20"/>
          <w:w w:val="105"/>
        </w:rPr>
        <w:t>de</w:t>
      </w:r>
      <w:r>
        <w:rPr>
          <w:color w:val="231F20"/>
          <w:spacing w:val="-11"/>
          <w:w w:val="105"/>
        </w:rPr>
        <w:t> </w:t>
      </w:r>
      <w:r>
        <w:rPr>
          <w:color w:val="231F20"/>
          <w:w w:val="105"/>
        </w:rPr>
        <w:t>nodos</w:t>
      </w:r>
      <w:r>
        <w:rPr>
          <w:color w:val="231F20"/>
          <w:spacing w:val="-11"/>
          <w:w w:val="105"/>
        </w:rPr>
        <w:t> </w:t>
      </w:r>
      <w:r>
        <w:rPr>
          <w:color w:val="231F20"/>
          <w:w w:val="105"/>
        </w:rPr>
        <w:t>conectados</w:t>
      </w:r>
      <w:r>
        <w:rPr>
          <w:color w:val="231F20"/>
          <w:spacing w:val="-11"/>
          <w:w w:val="105"/>
        </w:rPr>
        <w:t> </w:t>
      </w:r>
      <w:r>
        <w:rPr>
          <w:color w:val="231F20"/>
          <w:w w:val="105"/>
        </w:rPr>
        <w:t>directamente</w:t>
      </w:r>
      <w:r>
        <w:rPr>
          <w:color w:val="231F20"/>
          <w:spacing w:val="-11"/>
          <w:w w:val="105"/>
        </w:rPr>
        <w:t> </w:t>
      </w:r>
      <w:r>
        <w:rPr>
          <w:color w:val="231F20"/>
          <w:w w:val="105"/>
        </w:rPr>
        <w:t>a</w:t>
      </w:r>
      <w:r>
        <w:rPr>
          <w:color w:val="231F20"/>
          <w:spacing w:val="-11"/>
          <w:w w:val="105"/>
        </w:rPr>
        <w:t> </w:t>
      </w:r>
      <w:r>
        <w:rPr>
          <w:color w:val="231F20"/>
          <w:w w:val="105"/>
        </w:rPr>
        <w:t>él</w:t>
      </w:r>
      <w:r>
        <w:rPr>
          <w:color w:val="231F20"/>
          <w:spacing w:val="-11"/>
          <w:w w:val="105"/>
        </w:rPr>
        <w:t> </w:t>
      </w:r>
      <w:r>
        <w:rPr>
          <w:color w:val="231F20"/>
          <w:w w:val="105"/>
        </w:rPr>
        <w:t>por</w:t>
      </w:r>
      <w:r>
        <w:rPr>
          <w:color w:val="231F20"/>
          <w:spacing w:val="-11"/>
          <w:w w:val="105"/>
        </w:rPr>
        <w:t> </w:t>
      </w:r>
      <w:r>
        <w:rPr>
          <w:color w:val="231F20"/>
          <w:w w:val="105"/>
        </w:rPr>
        <w:t>medio</w:t>
      </w:r>
      <w:r>
        <w:rPr>
          <w:color w:val="231F20"/>
          <w:spacing w:val="-11"/>
          <w:w w:val="105"/>
        </w:rPr>
        <w:t> </w:t>
      </w:r>
      <w:r>
        <w:rPr>
          <w:color w:val="231F20"/>
          <w:w w:val="105"/>
        </w:rPr>
        <w:t>de flujos</w:t>
      </w:r>
      <w:r>
        <w:rPr>
          <w:color w:val="231F20"/>
          <w:spacing w:val="-7"/>
          <w:w w:val="105"/>
        </w:rPr>
        <w:t> </w:t>
      </w:r>
      <w:r>
        <w:rPr>
          <w:color w:val="231F20"/>
          <w:w w:val="105"/>
        </w:rPr>
        <w:t>de</w:t>
      </w:r>
      <w:r>
        <w:rPr>
          <w:color w:val="231F20"/>
          <w:spacing w:val="-7"/>
          <w:w w:val="105"/>
        </w:rPr>
        <w:t> </w:t>
      </w:r>
      <w:r>
        <w:rPr>
          <w:color w:val="231F20"/>
          <w:w w:val="105"/>
        </w:rPr>
        <w:t>entrada</w:t>
      </w:r>
      <w:r>
        <w:rPr>
          <w:color w:val="231F20"/>
          <w:spacing w:val="-7"/>
          <w:w w:val="105"/>
        </w:rPr>
        <w:t> </w:t>
      </w:r>
      <w:r>
        <w:rPr>
          <w:color w:val="231F20"/>
          <w:w w:val="105"/>
        </w:rPr>
        <w:t>o</w:t>
      </w:r>
      <w:r>
        <w:rPr>
          <w:color w:val="231F20"/>
          <w:spacing w:val="-7"/>
          <w:w w:val="105"/>
        </w:rPr>
        <w:t> </w:t>
      </w:r>
      <w:r>
        <w:rPr>
          <w:color w:val="231F20"/>
          <w:w w:val="105"/>
        </w:rPr>
        <w:t>salida</w:t>
      </w:r>
      <w:r>
        <w:rPr>
          <w:color w:val="231F20"/>
          <w:spacing w:val="-7"/>
          <w:w w:val="105"/>
        </w:rPr>
        <w:t> </w:t>
      </w:r>
      <w:r>
        <w:rPr>
          <w:color w:val="231F20"/>
          <w:w w:val="105"/>
        </w:rPr>
        <w:t>(Quiroga,</w:t>
      </w:r>
      <w:r>
        <w:rPr>
          <w:color w:val="231F20"/>
          <w:spacing w:val="-13"/>
          <w:w w:val="105"/>
        </w:rPr>
        <w:t> </w:t>
      </w:r>
      <w:r>
        <w:rPr>
          <w:color w:val="231F20"/>
          <w:w w:val="105"/>
        </w:rPr>
        <w:t>2003).</w:t>
      </w:r>
      <w:r>
        <w:rPr>
          <w:color w:val="231F20"/>
          <w:spacing w:val="-13"/>
          <w:w w:val="105"/>
        </w:rPr>
        <w:t> </w:t>
      </w:r>
      <w:r>
        <w:rPr>
          <w:color w:val="231F20"/>
          <w:w w:val="105"/>
        </w:rPr>
        <w:t>Si</w:t>
      </w:r>
      <w:r>
        <w:rPr>
          <w:color w:val="231F20"/>
          <w:spacing w:val="-7"/>
          <w:w w:val="105"/>
        </w:rPr>
        <w:t> </w:t>
      </w:r>
      <w:r>
        <w:rPr>
          <w:color w:val="231F20"/>
          <w:w w:val="105"/>
        </w:rPr>
        <w:t>un</w:t>
      </w:r>
      <w:r>
        <w:rPr>
          <w:color w:val="231F20"/>
          <w:spacing w:val="-7"/>
          <w:w w:val="105"/>
        </w:rPr>
        <w:t> </w:t>
      </w:r>
      <w:r>
        <w:rPr>
          <w:color w:val="231F20"/>
          <w:w w:val="105"/>
        </w:rPr>
        <w:t>nodo</w:t>
      </w:r>
      <w:r>
        <w:rPr>
          <w:color w:val="231F20"/>
          <w:spacing w:val="-7"/>
          <w:w w:val="105"/>
        </w:rPr>
        <w:t> </w:t>
      </w:r>
      <w:r>
        <w:rPr>
          <w:color w:val="231F20"/>
          <w:w w:val="105"/>
        </w:rPr>
        <w:t>asume</w:t>
      </w:r>
      <w:r>
        <w:rPr>
          <w:color w:val="231F20"/>
          <w:spacing w:val="-7"/>
          <w:w w:val="105"/>
        </w:rPr>
        <w:t> </w:t>
      </w:r>
      <w:r>
        <w:rPr>
          <w:color w:val="231F20"/>
          <w:w w:val="105"/>
        </w:rPr>
        <w:t>alto</w:t>
      </w:r>
      <w:r>
        <w:rPr>
          <w:color w:val="231F20"/>
          <w:spacing w:val="-7"/>
          <w:w w:val="105"/>
        </w:rPr>
        <w:t> </w:t>
      </w:r>
      <w:r>
        <w:rPr>
          <w:color w:val="231F20"/>
          <w:w w:val="105"/>
        </w:rPr>
        <w:t>grado de entrada, se deduce que es central debido a que posee la recepción de</w:t>
      </w:r>
      <w:r>
        <w:rPr>
          <w:color w:val="231F20"/>
          <w:spacing w:val="-8"/>
          <w:w w:val="105"/>
        </w:rPr>
        <w:t> </w:t>
      </w:r>
      <w:r>
        <w:rPr>
          <w:color w:val="231F20"/>
          <w:w w:val="105"/>
        </w:rPr>
        <w:t>un</w:t>
      </w:r>
      <w:r>
        <w:rPr>
          <w:color w:val="231F20"/>
          <w:spacing w:val="-8"/>
          <w:w w:val="105"/>
        </w:rPr>
        <w:t> </w:t>
      </w:r>
      <w:r>
        <w:rPr>
          <w:color w:val="231F20"/>
          <w:w w:val="105"/>
        </w:rPr>
        <w:t>amplio</w:t>
      </w:r>
      <w:r>
        <w:rPr>
          <w:color w:val="231F20"/>
          <w:spacing w:val="-8"/>
          <w:w w:val="105"/>
        </w:rPr>
        <w:t> </w:t>
      </w:r>
      <w:r>
        <w:rPr>
          <w:color w:val="231F20"/>
          <w:w w:val="105"/>
        </w:rPr>
        <w:t>número</w:t>
      </w:r>
      <w:r>
        <w:rPr>
          <w:color w:val="231F20"/>
          <w:spacing w:val="-8"/>
          <w:w w:val="105"/>
        </w:rPr>
        <w:t> </w:t>
      </w:r>
      <w:r>
        <w:rPr>
          <w:color w:val="231F20"/>
          <w:w w:val="105"/>
        </w:rPr>
        <w:t>de</w:t>
      </w:r>
      <w:r>
        <w:rPr>
          <w:color w:val="231F20"/>
          <w:spacing w:val="-8"/>
          <w:w w:val="105"/>
        </w:rPr>
        <w:t> </w:t>
      </w:r>
      <w:r>
        <w:rPr>
          <w:color w:val="231F20"/>
          <w:w w:val="105"/>
        </w:rPr>
        <w:t>flujos</w:t>
      </w:r>
      <w:r>
        <w:rPr>
          <w:color w:val="231F20"/>
          <w:spacing w:val="-8"/>
          <w:w w:val="105"/>
        </w:rPr>
        <w:t> </w:t>
      </w:r>
      <w:r>
        <w:rPr>
          <w:color w:val="231F20"/>
          <w:w w:val="105"/>
        </w:rPr>
        <w:t>que</w:t>
      </w:r>
      <w:r>
        <w:rPr>
          <w:color w:val="231F20"/>
          <w:spacing w:val="-8"/>
          <w:w w:val="105"/>
        </w:rPr>
        <w:t> </w:t>
      </w:r>
      <w:r>
        <w:rPr>
          <w:color w:val="231F20"/>
          <w:w w:val="105"/>
        </w:rPr>
        <w:t>le</w:t>
      </w:r>
      <w:r>
        <w:rPr>
          <w:color w:val="231F20"/>
          <w:spacing w:val="-8"/>
          <w:w w:val="105"/>
        </w:rPr>
        <w:t> </w:t>
      </w:r>
      <w:r>
        <w:rPr>
          <w:color w:val="231F20"/>
          <w:w w:val="105"/>
        </w:rPr>
        <w:t>otorgan</w:t>
      </w:r>
      <w:r>
        <w:rPr>
          <w:color w:val="231F20"/>
          <w:spacing w:val="-8"/>
          <w:w w:val="105"/>
        </w:rPr>
        <w:t> </w:t>
      </w:r>
      <w:r>
        <w:rPr>
          <w:color w:val="231F20"/>
          <w:w w:val="105"/>
        </w:rPr>
        <w:t>influencia</w:t>
      </w:r>
      <w:r>
        <w:rPr>
          <w:color w:val="231F20"/>
          <w:spacing w:val="-8"/>
          <w:w w:val="105"/>
        </w:rPr>
        <w:t> </w:t>
      </w:r>
      <w:r>
        <w:rPr>
          <w:color w:val="231F20"/>
          <w:w w:val="105"/>
        </w:rPr>
        <w:t>para</w:t>
      </w:r>
      <w:r>
        <w:rPr>
          <w:color w:val="231F20"/>
          <w:spacing w:val="-8"/>
          <w:w w:val="105"/>
        </w:rPr>
        <w:t> </w:t>
      </w:r>
      <w:r>
        <w:rPr>
          <w:color w:val="231F20"/>
          <w:w w:val="105"/>
        </w:rPr>
        <w:t>impulsar</w:t>
      </w:r>
      <w:r>
        <w:rPr>
          <w:color w:val="231F20"/>
          <w:spacing w:val="-8"/>
          <w:w w:val="105"/>
        </w:rPr>
        <w:t> </w:t>
      </w:r>
      <w:r>
        <w:rPr>
          <w:color w:val="231F20"/>
          <w:w w:val="105"/>
        </w:rPr>
        <w:t>o impedir</w:t>
      </w:r>
      <w:r>
        <w:rPr>
          <w:color w:val="231F20"/>
          <w:spacing w:val="-7"/>
          <w:w w:val="105"/>
        </w:rPr>
        <w:t> </w:t>
      </w:r>
      <w:r>
        <w:rPr>
          <w:color w:val="231F20"/>
          <w:w w:val="105"/>
        </w:rPr>
        <w:t>el</w:t>
      </w:r>
      <w:r>
        <w:rPr>
          <w:color w:val="231F20"/>
          <w:spacing w:val="-7"/>
          <w:w w:val="105"/>
        </w:rPr>
        <w:t> </w:t>
      </w:r>
      <w:r>
        <w:rPr>
          <w:color w:val="231F20"/>
          <w:w w:val="105"/>
        </w:rPr>
        <w:t>intercambio</w:t>
      </w:r>
      <w:r>
        <w:rPr>
          <w:color w:val="231F20"/>
          <w:spacing w:val="-7"/>
          <w:w w:val="105"/>
        </w:rPr>
        <w:t> </w:t>
      </w:r>
      <w:r>
        <w:rPr>
          <w:color w:val="231F20"/>
          <w:w w:val="105"/>
        </w:rPr>
        <w:t>de</w:t>
      </w:r>
      <w:r>
        <w:rPr>
          <w:color w:val="231F20"/>
          <w:spacing w:val="-7"/>
          <w:w w:val="105"/>
        </w:rPr>
        <w:t> </w:t>
      </w:r>
      <w:r>
        <w:rPr>
          <w:color w:val="231F20"/>
          <w:w w:val="105"/>
        </w:rPr>
        <w:t>recursos.</w:t>
      </w:r>
      <w:r>
        <w:rPr>
          <w:color w:val="231F20"/>
          <w:spacing w:val="-13"/>
          <w:w w:val="105"/>
        </w:rPr>
        <w:t> </w:t>
      </w:r>
      <w:r>
        <w:rPr>
          <w:color w:val="231F20"/>
          <w:w w:val="105"/>
        </w:rPr>
        <w:t>En</w:t>
      </w:r>
      <w:r>
        <w:rPr>
          <w:color w:val="231F20"/>
          <w:spacing w:val="-7"/>
          <w:w w:val="105"/>
        </w:rPr>
        <w:t> </w:t>
      </w:r>
      <w:r>
        <w:rPr>
          <w:color w:val="231F20"/>
          <w:w w:val="105"/>
        </w:rPr>
        <w:t>tanto,</w:t>
      </w:r>
      <w:r>
        <w:rPr>
          <w:color w:val="231F20"/>
          <w:spacing w:val="-13"/>
          <w:w w:val="105"/>
        </w:rPr>
        <w:t> </w:t>
      </w:r>
      <w:r>
        <w:rPr>
          <w:color w:val="231F20"/>
          <w:w w:val="105"/>
        </w:rPr>
        <w:t>un</w:t>
      </w:r>
      <w:r>
        <w:rPr>
          <w:color w:val="231F20"/>
          <w:spacing w:val="-7"/>
          <w:w w:val="105"/>
        </w:rPr>
        <w:t> </w:t>
      </w:r>
      <w:r>
        <w:rPr>
          <w:color w:val="231F20"/>
          <w:w w:val="105"/>
        </w:rPr>
        <w:t>actor</w:t>
      </w:r>
      <w:r>
        <w:rPr>
          <w:color w:val="231F20"/>
          <w:spacing w:val="-7"/>
          <w:w w:val="105"/>
        </w:rPr>
        <w:t> </w:t>
      </w:r>
      <w:r>
        <w:rPr>
          <w:color w:val="231F20"/>
          <w:w w:val="105"/>
        </w:rPr>
        <w:t>con</w:t>
      </w:r>
      <w:r>
        <w:rPr>
          <w:color w:val="231F20"/>
          <w:spacing w:val="-7"/>
          <w:w w:val="105"/>
        </w:rPr>
        <w:t> </w:t>
      </w:r>
      <w:r>
        <w:rPr>
          <w:color w:val="231F20"/>
          <w:w w:val="105"/>
        </w:rPr>
        <w:t>alto</w:t>
      </w:r>
      <w:r>
        <w:rPr>
          <w:color w:val="231F20"/>
          <w:spacing w:val="-7"/>
          <w:w w:val="105"/>
        </w:rPr>
        <w:t> </w:t>
      </w:r>
      <w:r>
        <w:rPr>
          <w:color w:val="231F20"/>
          <w:w w:val="105"/>
        </w:rPr>
        <w:t>grado</w:t>
      </w:r>
      <w:r>
        <w:rPr>
          <w:color w:val="231F20"/>
          <w:spacing w:val="-7"/>
          <w:w w:val="105"/>
        </w:rPr>
        <w:t> </w:t>
      </w:r>
      <w:r>
        <w:rPr>
          <w:color w:val="231F20"/>
          <w:w w:val="105"/>
        </w:rPr>
        <w:t>de salida</w:t>
      </w:r>
      <w:r>
        <w:rPr>
          <w:color w:val="231F20"/>
          <w:spacing w:val="-26"/>
          <w:w w:val="105"/>
        </w:rPr>
        <w:t> </w:t>
      </w:r>
      <w:r>
        <w:rPr>
          <w:color w:val="231F20"/>
          <w:w w:val="105"/>
        </w:rPr>
        <w:t>sugiere</w:t>
      </w:r>
      <w:r>
        <w:rPr>
          <w:color w:val="231F20"/>
          <w:spacing w:val="-26"/>
          <w:w w:val="105"/>
        </w:rPr>
        <w:t> </w:t>
      </w:r>
      <w:r>
        <w:rPr>
          <w:color w:val="231F20"/>
          <w:w w:val="105"/>
        </w:rPr>
        <w:t>capacidad</w:t>
      </w:r>
      <w:r>
        <w:rPr>
          <w:color w:val="231F20"/>
          <w:spacing w:val="-26"/>
          <w:w w:val="105"/>
        </w:rPr>
        <w:t> </w:t>
      </w:r>
      <w:r>
        <w:rPr>
          <w:color w:val="231F20"/>
          <w:w w:val="105"/>
        </w:rPr>
        <w:t>para</w:t>
      </w:r>
      <w:r>
        <w:rPr>
          <w:color w:val="231F20"/>
          <w:spacing w:val="-26"/>
          <w:w w:val="105"/>
        </w:rPr>
        <w:t> </w:t>
      </w:r>
      <w:r>
        <w:rPr>
          <w:color w:val="231F20"/>
          <w:w w:val="105"/>
        </w:rPr>
        <w:t>vincularse</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resto</w:t>
      </w:r>
      <w:r>
        <w:rPr>
          <w:color w:val="231F20"/>
          <w:spacing w:val="-26"/>
          <w:w w:val="105"/>
        </w:rPr>
        <w:t> </w:t>
      </w:r>
      <w:r>
        <w:rPr>
          <w:color w:val="231F20"/>
          <w:w w:val="105"/>
        </w:rPr>
        <w:t>al</w:t>
      </w:r>
      <w:r>
        <w:rPr>
          <w:color w:val="231F20"/>
          <w:spacing w:val="-26"/>
          <w:w w:val="105"/>
        </w:rPr>
        <w:t> </w:t>
      </w:r>
      <w:r>
        <w:rPr>
          <w:color w:val="231F20"/>
          <w:w w:val="105"/>
        </w:rPr>
        <w:t>buscar</w:t>
      </w:r>
      <w:r>
        <w:rPr>
          <w:color w:val="231F20"/>
          <w:spacing w:val="-26"/>
          <w:w w:val="105"/>
        </w:rPr>
        <w:t> </w:t>
      </w:r>
      <w:r>
        <w:rPr>
          <w:color w:val="231F20"/>
          <w:w w:val="105"/>
        </w:rPr>
        <w:t>diferentes alternativas</w:t>
      </w:r>
      <w:r>
        <w:rPr>
          <w:color w:val="231F20"/>
          <w:spacing w:val="-31"/>
          <w:w w:val="105"/>
        </w:rPr>
        <w:t> </w:t>
      </w:r>
      <w:r>
        <w:rPr>
          <w:color w:val="231F20"/>
          <w:w w:val="105"/>
        </w:rPr>
        <w:t>de</w:t>
      </w:r>
      <w:r>
        <w:rPr>
          <w:color w:val="231F20"/>
          <w:spacing w:val="-31"/>
          <w:w w:val="105"/>
        </w:rPr>
        <w:t> </w:t>
      </w:r>
      <w:r>
        <w:rPr>
          <w:color w:val="231F20"/>
          <w:w w:val="105"/>
        </w:rPr>
        <w:t>enlace</w:t>
      </w:r>
      <w:r>
        <w:rPr>
          <w:color w:val="231F20"/>
          <w:spacing w:val="-31"/>
          <w:w w:val="105"/>
        </w:rPr>
        <w:t> </w:t>
      </w:r>
      <w:r>
        <w:rPr>
          <w:color w:val="231F20"/>
          <w:w w:val="105"/>
        </w:rPr>
        <w:t>(Rendón</w:t>
      </w:r>
      <w:r>
        <w:rPr>
          <w:color w:val="231F20"/>
          <w:spacing w:val="-31"/>
          <w:w w:val="105"/>
        </w:rPr>
        <w:t> </w:t>
      </w:r>
      <w:r>
        <w:rPr>
          <w:i/>
          <w:color w:val="231F20"/>
          <w:w w:val="105"/>
        </w:rPr>
        <w:t>et</w:t>
      </w:r>
      <w:r>
        <w:rPr>
          <w:i/>
          <w:color w:val="231F20"/>
          <w:spacing w:val="-31"/>
          <w:w w:val="105"/>
        </w:rPr>
        <w:t> </w:t>
      </w:r>
      <w:r>
        <w:rPr>
          <w:i/>
          <w:color w:val="231F20"/>
          <w:w w:val="105"/>
        </w:rPr>
        <w:t>al</w:t>
      </w:r>
      <w:r>
        <w:rPr>
          <w:color w:val="231F20"/>
          <w:w w:val="105"/>
        </w:rPr>
        <w:t>.,</w:t>
      </w:r>
      <w:r>
        <w:rPr>
          <w:color w:val="231F20"/>
          <w:spacing w:val="-35"/>
          <w:w w:val="105"/>
        </w:rPr>
        <w:t> </w:t>
      </w:r>
      <w:r>
        <w:rPr>
          <w:color w:val="231F20"/>
          <w:w w:val="105"/>
        </w:rPr>
        <w:t>2007).</w:t>
      </w:r>
    </w:p>
    <w:p>
      <w:pPr>
        <w:pStyle w:val="BodyText"/>
        <w:spacing w:line="259" w:lineRule="auto"/>
        <w:ind w:left="103" w:right="114" w:firstLine="567"/>
        <w:jc w:val="both"/>
      </w:pPr>
      <w:r>
        <w:rPr>
          <w:color w:val="231F20"/>
          <w:spacing w:val="-3"/>
          <w:w w:val="105"/>
        </w:rPr>
        <w:t>Igualmente,</w:t>
      </w:r>
      <w:r>
        <w:rPr>
          <w:color w:val="231F20"/>
          <w:spacing w:val="-24"/>
          <w:w w:val="105"/>
        </w:rPr>
        <w:t> </w:t>
      </w:r>
      <w:r>
        <w:rPr>
          <w:color w:val="231F20"/>
          <w:w w:val="105"/>
        </w:rPr>
        <w:t>el</w:t>
      </w:r>
      <w:r>
        <w:rPr>
          <w:color w:val="231F20"/>
          <w:spacing w:val="-18"/>
          <w:w w:val="105"/>
        </w:rPr>
        <w:t> </w:t>
      </w:r>
      <w:r>
        <w:rPr>
          <w:color w:val="231F20"/>
          <w:spacing w:val="-3"/>
          <w:w w:val="105"/>
        </w:rPr>
        <w:t>índice</w:t>
      </w:r>
      <w:r>
        <w:rPr>
          <w:color w:val="231F20"/>
          <w:spacing w:val="-18"/>
          <w:w w:val="105"/>
        </w:rPr>
        <w:t> </w:t>
      </w:r>
      <w:r>
        <w:rPr>
          <w:color w:val="231F20"/>
          <w:w w:val="105"/>
        </w:rPr>
        <w:t>de</w:t>
      </w:r>
      <w:r>
        <w:rPr>
          <w:color w:val="231F20"/>
          <w:spacing w:val="-18"/>
          <w:w w:val="105"/>
        </w:rPr>
        <w:t> </w:t>
      </w:r>
      <w:r>
        <w:rPr>
          <w:color w:val="231F20"/>
          <w:spacing w:val="-3"/>
          <w:w w:val="105"/>
        </w:rPr>
        <w:t>centralización</w:t>
      </w:r>
      <w:r>
        <w:rPr>
          <w:color w:val="231F20"/>
          <w:spacing w:val="-18"/>
          <w:w w:val="105"/>
        </w:rPr>
        <w:t> </w:t>
      </w:r>
      <w:r>
        <w:rPr>
          <w:color w:val="231F20"/>
          <w:w w:val="105"/>
        </w:rPr>
        <w:t>es</w:t>
      </w:r>
      <w:r>
        <w:rPr>
          <w:color w:val="231F20"/>
          <w:spacing w:val="-18"/>
          <w:w w:val="105"/>
        </w:rPr>
        <w:t> </w:t>
      </w:r>
      <w:r>
        <w:rPr>
          <w:color w:val="231F20"/>
          <w:w w:val="105"/>
        </w:rPr>
        <w:t>una</w:t>
      </w:r>
      <w:r>
        <w:rPr>
          <w:color w:val="231F20"/>
          <w:spacing w:val="-18"/>
          <w:w w:val="105"/>
        </w:rPr>
        <w:t> </w:t>
      </w:r>
      <w:r>
        <w:rPr>
          <w:color w:val="231F20"/>
          <w:spacing w:val="-3"/>
          <w:w w:val="105"/>
        </w:rPr>
        <w:t>medida</w:t>
      </w:r>
      <w:r>
        <w:rPr>
          <w:color w:val="231F20"/>
          <w:spacing w:val="-18"/>
          <w:w w:val="105"/>
        </w:rPr>
        <w:t> </w:t>
      </w:r>
      <w:r>
        <w:rPr>
          <w:color w:val="231F20"/>
          <w:w w:val="105"/>
        </w:rPr>
        <w:t>que</w:t>
      </w:r>
      <w:r>
        <w:rPr>
          <w:color w:val="231F20"/>
          <w:spacing w:val="-18"/>
          <w:w w:val="105"/>
        </w:rPr>
        <w:t> </w:t>
      </w:r>
      <w:r>
        <w:rPr>
          <w:color w:val="231F20"/>
          <w:spacing w:val="-3"/>
          <w:w w:val="105"/>
        </w:rPr>
        <w:t>posibilita observar</w:t>
      </w:r>
      <w:r>
        <w:rPr>
          <w:color w:val="231F20"/>
          <w:spacing w:val="-7"/>
          <w:w w:val="105"/>
        </w:rPr>
        <w:t> </w:t>
      </w:r>
      <w:r>
        <w:rPr>
          <w:color w:val="231F20"/>
          <w:w w:val="105"/>
        </w:rPr>
        <w:t>la</w:t>
      </w:r>
      <w:r>
        <w:rPr>
          <w:color w:val="231F20"/>
          <w:spacing w:val="-7"/>
          <w:w w:val="105"/>
        </w:rPr>
        <w:t> </w:t>
      </w:r>
      <w:r>
        <w:rPr>
          <w:color w:val="231F20"/>
          <w:spacing w:val="-3"/>
          <w:w w:val="105"/>
        </w:rPr>
        <w:t>presencia</w:t>
      </w:r>
      <w:r>
        <w:rPr>
          <w:color w:val="231F20"/>
          <w:spacing w:val="-7"/>
          <w:w w:val="105"/>
        </w:rPr>
        <w:t> </w:t>
      </w:r>
      <w:r>
        <w:rPr>
          <w:color w:val="231F20"/>
          <w:w w:val="105"/>
        </w:rPr>
        <w:t>o</w:t>
      </w:r>
      <w:r>
        <w:rPr>
          <w:color w:val="231F20"/>
          <w:spacing w:val="-7"/>
          <w:w w:val="105"/>
        </w:rPr>
        <w:t> </w:t>
      </w:r>
      <w:r>
        <w:rPr>
          <w:color w:val="231F20"/>
          <w:spacing w:val="-3"/>
          <w:w w:val="105"/>
        </w:rPr>
        <w:t>ausencia</w:t>
      </w:r>
      <w:r>
        <w:rPr>
          <w:color w:val="231F20"/>
          <w:spacing w:val="-7"/>
          <w:w w:val="105"/>
        </w:rPr>
        <w:t> </w:t>
      </w:r>
      <w:r>
        <w:rPr>
          <w:color w:val="231F20"/>
          <w:w w:val="105"/>
        </w:rPr>
        <w:t>de</w:t>
      </w:r>
      <w:r>
        <w:rPr>
          <w:color w:val="231F20"/>
          <w:spacing w:val="-7"/>
          <w:w w:val="105"/>
        </w:rPr>
        <w:t> </w:t>
      </w:r>
      <w:r>
        <w:rPr>
          <w:color w:val="231F20"/>
          <w:spacing w:val="-3"/>
          <w:w w:val="105"/>
        </w:rPr>
        <w:t>actores</w:t>
      </w:r>
      <w:r>
        <w:rPr>
          <w:color w:val="231F20"/>
          <w:spacing w:val="-7"/>
          <w:w w:val="105"/>
        </w:rPr>
        <w:t> </w:t>
      </w:r>
      <w:r>
        <w:rPr>
          <w:color w:val="231F20"/>
          <w:w w:val="105"/>
        </w:rPr>
        <w:t>en</w:t>
      </w:r>
      <w:r>
        <w:rPr>
          <w:color w:val="231F20"/>
          <w:spacing w:val="-7"/>
          <w:w w:val="105"/>
        </w:rPr>
        <w:t> </w:t>
      </w:r>
      <w:r>
        <w:rPr>
          <w:color w:val="231F20"/>
          <w:spacing w:val="-3"/>
          <w:w w:val="105"/>
        </w:rPr>
        <w:t>torno</w:t>
      </w:r>
      <w:r>
        <w:rPr>
          <w:color w:val="231F20"/>
          <w:spacing w:val="-7"/>
          <w:w w:val="105"/>
        </w:rPr>
        <w:t> </w:t>
      </w:r>
      <w:r>
        <w:rPr>
          <w:color w:val="231F20"/>
          <w:w w:val="105"/>
        </w:rPr>
        <w:t>al</w:t>
      </w:r>
      <w:r>
        <w:rPr>
          <w:color w:val="231F20"/>
          <w:spacing w:val="-7"/>
          <w:w w:val="105"/>
        </w:rPr>
        <w:t> </w:t>
      </w:r>
      <w:r>
        <w:rPr>
          <w:color w:val="231F20"/>
          <w:spacing w:val="-3"/>
          <w:w w:val="105"/>
        </w:rPr>
        <w:t>nivel</w:t>
      </w:r>
      <w:r>
        <w:rPr>
          <w:color w:val="231F20"/>
          <w:spacing w:val="-7"/>
          <w:w w:val="105"/>
        </w:rPr>
        <w:t> </w:t>
      </w:r>
      <w:r>
        <w:rPr>
          <w:color w:val="231F20"/>
          <w:w w:val="105"/>
        </w:rPr>
        <w:t>de</w:t>
      </w:r>
      <w:r>
        <w:rPr>
          <w:color w:val="231F20"/>
          <w:spacing w:val="-7"/>
          <w:w w:val="105"/>
        </w:rPr>
        <w:t> </w:t>
      </w:r>
      <w:r>
        <w:rPr>
          <w:color w:val="231F20"/>
          <w:spacing w:val="-3"/>
          <w:w w:val="105"/>
        </w:rPr>
        <w:t>concen- tración </w:t>
      </w:r>
      <w:r>
        <w:rPr>
          <w:color w:val="231F20"/>
          <w:spacing w:val="-4"/>
          <w:w w:val="105"/>
        </w:rPr>
        <w:t>reticular. Concretamente, </w:t>
      </w:r>
      <w:r>
        <w:rPr>
          <w:color w:val="231F20"/>
          <w:spacing w:val="-3"/>
          <w:w w:val="105"/>
        </w:rPr>
        <w:t>retoma </w:t>
      </w:r>
      <w:r>
        <w:rPr>
          <w:color w:val="231F20"/>
          <w:w w:val="105"/>
        </w:rPr>
        <w:t>los </w:t>
      </w:r>
      <w:r>
        <w:rPr>
          <w:color w:val="231F20"/>
          <w:spacing w:val="-3"/>
          <w:w w:val="105"/>
        </w:rPr>
        <w:t>conceptos red </w:t>
      </w:r>
      <w:r>
        <w:rPr>
          <w:color w:val="231F20"/>
          <w:w w:val="105"/>
        </w:rPr>
        <w:t>en </w:t>
      </w:r>
      <w:r>
        <w:rPr>
          <w:color w:val="231F20"/>
          <w:spacing w:val="-3"/>
          <w:w w:val="105"/>
        </w:rPr>
        <w:t>estrella </w:t>
      </w:r>
      <w:r>
        <w:rPr>
          <w:color w:val="231F20"/>
          <w:w w:val="105"/>
        </w:rPr>
        <w:t>y </w:t>
      </w:r>
      <w:r>
        <w:rPr>
          <w:color w:val="231F20"/>
          <w:spacing w:val="-3"/>
          <w:w w:val="105"/>
        </w:rPr>
        <w:t>totalmente</w:t>
      </w:r>
      <w:r>
        <w:rPr>
          <w:color w:val="231F20"/>
          <w:spacing w:val="-27"/>
          <w:w w:val="105"/>
        </w:rPr>
        <w:t> </w:t>
      </w:r>
      <w:r>
        <w:rPr>
          <w:color w:val="231F20"/>
          <w:spacing w:val="-3"/>
          <w:w w:val="105"/>
        </w:rPr>
        <w:t>conexa</w:t>
      </w:r>
      <w:r>
        <w:rPr>
          <w:color w:val="231F20"/>
          <w:spacing w:val="-27"/>
          <w:w w:val="105"/>
        </w:rPr>
        <w:t> </w:t>
      </w:r>
      <w:r>
        <w:rPr>
          <w:color w:val="231F20"/>
          <w:spacing w:val="-3"/>
          <w:w w:val="105"/>
        </w:rPr>
        <w:t>para</w:t>
      </w:r>
      <w:r>
        <w:rPr>
          <w:color w:val="231F20"/>
          <w:spacing w:val="-27"/>
          <w:w w:val="105"/>
        </w:rPr>
        <w:t> </w:t>
      </w:r>
      <w:r>
        <w:rPr>
          <w:color w:val="231F20"/>
          <w:spacing w:val="-5"/>
          <w:w w:val="105"/>
        </w:rPr>
        <w:t>expresar,</w:t>
      </w:r>
      <w:r>
        <w:rPr>
          <w:color w:val="231F20"/>
          <w:spacing w:val="-33"/>
          <w:w w:val="105"/>
        </w:rPr>
        <w:t> </w:t>
      </w:r>
      <w:r>
        <w:rPr>
          <w:color w:val="231F20"/>
          <w:w w:val="105"/>
        </w:rPr>
        <w:t>en</w:t>
      </w:r>
      <w:r>
        <w:rPr>
          <w:color w:val="231F20"/>
          <w:spacing w:val="-27"/>
          <w:w w:val="105"/>
        </w:rPr>
        <w:t> </w:t>
      </w:r>
      <w:r>
        <w:rPr>
          <w:color w:val="231F20"/>
          <w:spacing w:val="-3"/>
          <w:w w:val="105"/>
        </w:rPr>
        <w:t>porcentaje,</w:t>
      </w:r>
      <w:r>
        <w:rPr>
          <w:color w:val="231F20"/>
          <w:spacing w:val="-33"/>
          <w:w w:val="105"/>
        </w:rPr>
        <w:t> </w:t>
      </w:r>
      <w:r>
        <w:rPr>
          <w:color w:val="231F20"/>
          <w:w w:val="105"/>
        </w:rPr>
        <w:t>qué</w:t>
      </w:r>
      <w:r>
        <w:rPr>
          <w:color w:val="231F20"/>
          <w:spacing w:val="-27"/>
          <w:w w:val="105"/>
        </w:rPr>
        <w:t> </w:t>
      </w:r>
      <w:r>
        <w:rPr>
          <w:color w:val="231F20"/>
          <w:w w:val="105"/>
        </w:rPr>
        <w:t>tan</w:t>
      </w:r>
      <w:r>
        <w:rPr>
          <w:color w:val="231F20"/>
          <w:spacing w:val="-27"/>
          <w:w w:val="105"/>
        </w:rPr>
        <w:t> </w:t>
      </w:r>
      <w:r>
        <w:rPr>
          <w:color w:val="231F20"/>
          <w:spacing w:val="-4"/>
          <w:w w:val="105"/>
        </w:rPr>
        <w:t>próxima</w:t>
      </w:r>
      <w:r>
        <w:rPr>
          <w:color w:val="231F20"/>
          <w:spacing w:val="-27"/>
          <w:w w:val="105"/>
        </w:rPr>
        <w:t> </w:t>
      </w:r>
      <w:r>
        <w:rPr>
          <w:color w:val="231F20"/>
          <w:w w:val="105"/>
        </w:rPr>
        <w:t>o</w:t>
      </w:r>
      <w:r>
        <w:rPr>
          <w:color w:val="231F20"/>
          <w:spacing w:val="-27"/>
          <w:w w:val="105"/>
        </w:rPr>
        <w:t> </w:t>
      </w:r>
      <w:r>
        <w:rPr>
          <w:color w:val="231F20"/>
          <w:spacing w:val="-3"/>
          <w:w w:val="105"/>
        </w:rPr>
        <w:t>alejada </w:t>
      </w:r>
      <w:r>
        <w:rPr>
          <w:color w:val="231F20"/>
          <w:w w:val="105"/>
        </w:rPr>
        <w:t>es</w:t>
      </w:r>
      <w:r>
        <w:rPr>
          <w:color w:val="231F20"/>
          <w:spacing w:val="-30"/>
          <w:w w:val="105"/>
        </w:rPr>
        <w:t> </w:t>
      </w:r>
      <w:r>
        <w:rPr>
          <w:color w:val="231F20"/>
          <w:w w:val="105"/>
        </w:rPr>
        <w:t>una</w:t>
      </w:r>
      <w:r>
        <w:rPr>
          <w:color w:val="231F20"/>
          <w:spacing w:val="-30"/>
          <w:w w:val="105"/>
        </w:rPr>
        <w:t> </w:t>
      </w:r>
      <w:r>
        <w:rPr>
          <w:color w:val="231F20"/>
          <w:spacing w:val="-3"/>
          <w:w w:val="105"/>
        </w:rPr>
        <w:t>estructura</w:t>
      </w:r>
      <w:r>
        <w:rPr>
          <w:color w:val="231F20"/>
          <w:spacing w:val="-30"/>
          <w:w w:val="105"/>
        </w:rPr>
        <w:t> </w:t>
      </w:r>
      <w:r>
        <w:rPr>
          <w:color w:val="231F20"/>
          <w:spacing w:val="-3"/>
          <w:w w:val="105"/>
        </w:rPr>
        <w:t>reticular</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spacing w:val="-3"/>
          <w:w w:val="105"/>
        </w:rPr>
        <w:t>forma</w:t>
      </w:r>
      <w:r>
        <w:rPr>
          <w:color w:val="231F20"/>
          <w:spacing w:val="-30"/>
          <w:w w:val="105"/>
        </w:rPr>
        <w:t> </w:t>
      </w:r>
      <w:r>
        <w:rPr>
          <w:color w:val="231F20"/>
          <w:spacing w:val="-3"/>
          <w:w w:val="105"/>
        </w:rPr>
        <w:t>estrella</w:t>
      </w:r>
      <w:r>
        <w:rPr>
          <w:color w:val="231F20"/>
          <w:spacing w:val="-30"/>
          <w:w w:val="105"/>
        </w:rPr>
        <w:t> </w:t>
      </w:r>
      <w:r>
        <w:rPr>
          <w:color w:val="231F20"/>
          <w:spacing w:val="-3"/>
          <w:w w:val="105"/>
        </w:rPr>
        <w:t>(Hanneman</w:t>
      </w:r>
      <w:r>
        <w:rPr>
          <w:color w:val="231F20"/>
          <w:spacing w:val="-30"/>
          <w:w w:val="105"/>
        </w:rPr>
        <w:t> </w:t>
      </w:r>
      <w:r>
        <w:rPr>
          <w:color w:val="231F20"/>
          <w:w w:val="105"/>
        </w:rPr>
        <w:t>y</w:t>
      </w:r>
      <w:r>
        <w:rPr>
          <w:color w:val="231F20"/>
          <w:spacing w:val="-30"/>
          <w:w w:val="105"/>
        </w:rPr>
        <w:t> </w:t>
      </w:r>
      <w:r>
        <w:rPr>
          <w:color w:val="231F20"/>
          <w:spacing w:val="-3"/>
          <w:w w:val="105"/>
        </w:rPr>
        <w:t>Riddle,</w:t>
      </w:r>
      <w:r>
        <w:rPr>
          <w:color w:val="231F20"/>
          <w:spacing w:val="-34"/>
          <w:w w:val="105"/>
        </w:rPr>
        <w:t> </w:t>
      </w:r>
      <w:r>
        <w:rPr>
          <w:color w:val="231F20"/>
          <w:spacing w:val="-3"/>
          <w:w w:val="105"/>
        </w:rPr>
        <w:t>2005).</w:t>
      </w:r>
    </w:p>
    <w:p>
      <w:pPr>
        <w:pStyle w:val="BodyText"/>
        <w:spacing w:line="259" w:lineRule="auto"/>
        <w:ind w:left="103" w:right="115" w:firstLine="567"/>
        <w:jc w:val="both"/>
      </w:pPr>
      <w:r>
        <w:rPr>
          <w:color w:val="231F20"/>
          <w:w w:val="105"/>
        </w:rPr>
        <w:t>Un índice de centralización de 100% implica que existe un actor central</w:t>
      </w:r>
      <w:r>
        <w:rPr>
          <w:color w:val="231F20"/>
          <w:spacing w:val="-17"/>
          <w:w w:val="105"/>
        </w:rPr>
        <w:t> </w:t>
      </w:r>
      <w:r>
        <w:rPr>
          <w:color w:val="231F20"/>
          <w:w w:val="105"/>
        </w:rPr>
        <w:t>que</w:t>
      </w:r>
      <w:r>
        <w:rPr>
          <w:color w:val="231F20"/>
          <w:spacing w:val="-17"/>
          <w:w w:val="105"/>
        </w:rPr>
        <w:t> </w:t>
      </w:r>
      <w:r>
        <w:rPr>
          <w:color w:val="231F20"/>
          <w:w w:val="105"/>
        </w:rPr>
        <w:t>ocupa</w:t>
      </w:r>
      <w:r>
        <w:rPr>
          <w:color w:val="231F20"/>
          <w:spacing w:val="-17"/>
          <w:w w:val="105"/>
        </w:rPr>
        <w:t> </w:t>
      </w:r>
      <w:r>
        <w:rPr>
          <w:color w:val="231F20"/>
          <w:w w:val="105"/>
        </w:rPr>
        <w:t>el</w:t>
      </w:r>
      <w:r>
        <w:rPr>
          <w:color w:val="231F20"/>
          <w:spacing w:val="-17"/>
          <w:w w:val="105"/>
        </w:rPr>
        <w:t> </w:t>
      </w:r>
      <w:r>
        <w:rPr>
          <w:color w:val="231F20"/>
          <w:w w:val="105"/>
        </w:rPr>
        <w:t>papel</w:t>
      </w:r>
      <w:r>
        <w:rPr>
          <w:color w:val="231F20"/>
          <w:spacing w:val="-17"/>
          <w:w w:val="105"/>
        </w:rPr>
        <w:t> </w:t>
      </w:r>
      <w:r>
        <w:rPr>
          <w:color w:val="231F20"/>
          <w:w w:val="105"/>
        </w:rPr>
        <w:t>de</w:t>
      </w:r>
      <w:r>
        <w:rPr>
          <w:color w:val="231F20"/>
          <w:spacing w:val="-17"/>
          <w:w w:val="105"/>
        </w:rPr>
        <w:t> </w:t>
      </w:r>
      <w:r>
        <w:rPr>
          <w:color w:val="231F20"/>
          <w:w w:val="105"/>
        </w:rPr>
        <w:t>intermediario</w:t>
      </w:r>
      <w:r>
        <w:rPr>
          <w:color w:val="231F20"/>
          <w:spacing w:val="-17"/>
          <w:w w:val="105"/>
        </w:rPr>
        <w:t> </w:t>
      </w:r>
      <w:r>
        <w:rPr>
          <w:color w:val="231F20"/>
          <w:w w:val="105"/>
        </w:rPr>
        <w:t>o</w:t>
      </w:r>
      <w:r>
        <w:rPr>
          <w:color w:val="231F20"/>
          <w:spacing w:val="-17"/>
          <w:w w:val="105"/>
        </w:rPr>
        <w:t> </w:t>
      </w:r>
      <w:r>
        <w:rPr>
          <w:color w:val="231F20"/>
          <w:w w:val="105"/>
        </w:rPr>
        <w:t>puente</w:t>
      </w:r>
      <w:r>
        <w:rPr>
          <w:color w:val="231F20"/>
          <w:spacing w:val="-17"/>
          <w:w w:val="105"/>
        </w:rPr>
        <w:t> </w:t>
      </w:r>
      <w:r>
        <w:rPr>
          <w:color w:val="231F20"/>
          <w:spacing w:val="-3"/>
          <w:w w:val="105"/>
        </w:rPr>
        <w:t>entre</w:t>
      </w:r>
      <w:r>
        <w:rPr>
          <w:color w:val="231F20"/>
          <w:spacing w:val="-17"/>
          <w:w w:val="105"/>
        </w:rPr>
        <w:t> </w:t>
      </w:r>
      <w:r>
        <w:rPr>
          <w:color w:val="231F20"/>
          <w:w w:val="105"/>
        </w:rPr>
        <w:t>conexiones</w:t>
      </w:r>
      <w:r>
        <w:rPr>
          <w:color w:val="231F20"/>
          <w:spacing w:val="-17"/>
          <w:w w:val="105"/>
        </w:rPr>
        <w:t> </w:t>
      </w:r>
      <w:r>
        <w:rPr>
          <w:color w:val="231F20"/>
          <w:w w:val="105"/>
        </w:rPr>
        <w:t>e </w:t>
      </w:r>
      <w:r>
        <w:rPr>
          <w:color w:val="231F20"/>
          <w:spacing w:val="-2"/>
          <w:w w:val="105"/>
        </w:rPr>
        <w:t>involucra</w:t>
      </w:r>
      <w:r>
        <w:rPr>
          <w:color w:val="231F20"/>
          <w:spacing w:val="-25"/>
          <w:w w:val="105"/>
        </w:rPr>
        <w:t> </w:t>
      </w:r>
      <w:r>
        <w:rPr>
          <w:color w:val="231F20"/>
          <w:w w:val="105"/>
        </w:rPr>
        <w:t>que</w:t>
      </w:r>
      <w:r>
        <w:rPr>
          <w:color w:val="231F20"/>
          <w:spacing w:val="-25"/>
          <w:w w:val="105"/>
        </w:rPr>
        <w:t> </w:t>
      </w:r>
      <w:r>
        <w:rPr>
          <w:color w:val="231F20"/>
          <w:spacing w:val="-3"/>
          <w:w w:val="105"/>
        </w:rPr>
        <w:t>otros,</w:t>
      </w:r>
      <w:r>
        <w:rPr>
          <w:color w:val="231F20"/>
          <w:spacing w:val="-30"/>
          <w:w w:val="105"/>
        </w:rPr>
        <w:t> </w:t>
      </w:r>
      <w:r>
        <w:rPr>
          <w:color w:val="231F20"/>
          <w:w w:val="105"/>
        </w:rPr>
        <w:t>necesariamente,</w:t>
      </w:r>
      <w:r>
        <w:rPr>
          <w:color w:val="231F20"/>
          <w:spacing w:val="-30"/>
          <w:w w:val="105"/>
        </w:rPr>
        <w:t> </w:t>
      </w:r>
      <w:r>
        <w:rPr>
          <w:color w:val="231F20"/>
          <w:w w:val="105"/>
        </w:rPr>
        <w:t>deben</w:t>
      </w:r>
      <w:r>
        <w:rPr>
          <w:color w:val="231F20"/>
          <w:spacing w:val="-25"/>
          <w:w w:val="105"/>
        </w:rPr>
        <w:t> </w:t>
      </w:r>
      <w:r>
        <w:rPr>
          <w:color w:val="231F20"/>
          <w:spacing w:val="-2"/>
          <w:w w:val="105"/>
        </w:rPr>
        <w:t>transitar</w:t>
      </w:r>
      <w:r>
        <w:rPr>
          <w:color w:val="231F20"/>
          <w:spacing w:val="-25"/>
          <w:w w:val="105"/>
        </w:rPr>
        <w:t> </w:t>
      </w:r>
      <w:r>
        <w:rPr>
          <w:color w:val="231F20"/>
          <w:w w:val="105"/>
        </w:rPr>
        <w:t>por</w:t>
      </w:r>
      <w:r>
        <w:rPr>
          <w:color w:val="231F20"/>
          <w:spacing w:val="-25"/>
          <w:w w:val="105"/>
        </w:rPr>
        <w:t> </w:t>
      </w:r>
      <w:r>
        <w:rPr>
          <w:color w:val="231F20"/>
          <w:w w:val="105"/>
        </w:rPr>
        <w:t>éste</w:t>
      </w:r>
      <w:r>
        <w:rPr>
          <w:color w:val="231F20"/>
          <w:spacing w:val="-25"/>
          <w:w w:val="105"/>
        </w:rPr>
        <w:t> </w:t>
      </w:r>
      <w:r>
        <w:rPr>
          <w:color w:val="231F20"/>
          <w:w w:val="105"/>
        </w:rPr>
        <w:t>para</w:t>
      </w:r>
      <w:r>
        <w:rPr>
          <w:color w:val="231F20"/>
          <w:spacing w:val="-25"/>
          <w:w w:val="105"/>
        </w:rPr>
        <w:t> </w:t>
      </w:r>
      <w:r>
        <w:rPr>
          <w:color w:val="231F20"/>
          <w:w w:val="105"/>
        </w:rPr>
        <w:t>alcan- zar</w:t>
      </w:r>
      <w:r>
        <w:rPr>
          <w:color w:val="231F20"/>
          <w:spacing w:val="-35"/>
          <w:w w:val="105"/>
        </w:rPr>
        <w:t> </w:t>
      </w:r>
      <w:r>
        <w:rPr>
          <w:color w:val="231F20"/>
          <w:w w:val="105"/>
        </w:rPr>
        <w:t>a</w:t>
      </w:r>
      <w:r>
        <w:rPr>
          <w:color w:val="231F20"/>
          <w:spacing w:val="-35"/>
          <w:w w:val="105"/>
        </w:rPr>
        <w:t> </w:t>
      </w:r>
      <w:r>
        <w:rPr>
          <w:color w:val="231F20"/>
          <w:spacing w:val="-3"/>
          <w:w w:val="105"/>
        </w:rPr>
        <w:t>otros</w:t>
      </w:r>
      <w:r>
        <w:rPr>
          <w:color w:val="231F20"/>
          <w:spacing w:val="-35"/>
          <w:w w:val="105"/>
        </w:rPr>
        <w:t> </w:t>
      </w:r>
      <w:r>
        <w:rPr>
          <w:color w:val="231F20"/>
          <w:w w:val="105"/>
        </w:rPr>
        <w:t>agentes</w:t>
      </w:r>
      <w:r>
        <w:rPr>
          <w:color w:val="231F20"/>
          <w:spacing w:val="-35"/>
          <w:w w:val="105"/>
        </w:rPr>
        <w:t> </w:t>
      </w:r>
      <w:r>
        <w:rPr>
          <w:color w:val="231F20"/>
          <w:spacing w:val="-3"/>
          <w:w w:val="105"/>
        </w:rPr>
        <w:t>reticulares.</w:t>
      </w:r>
      <w:r>
        <w:rPr>
          <w:color w:val="231F20"/>
          <w:spacing w:val="-42"/>
          <w:w w:val="105"/>
        </w:rPr>
        <w:t> </w:t>
      </w:r>
      <w:r>
        <w:rPr>
          <w:color w:val="231F20"/>
          <w:w w:val="105"/>
        </w:rPr>
        <w:t>Así,</w:t>
      </w:r>
      <w:r>
        <w:rPr>
          <w:color w:val="231F20"/>
          <w:spacing w:val="-39"/>
          <w:w w:val="105"/>
        </w:rPr>
        <w:t> </w:t>
      </w:r>
      <w:r>
        <w:rPr>
          <w:color w:val="231F20"/>
          <w:w w:val="105"/>
        </w:rPr>
        <w:t>el</w:t>
      </w:r>
      <w:r>
        <w:rPr>
          <w:color w:val="231F20"/>
          <w:spacing w:val="-35"/>
          <w:w w:val="105"/>
        </w:rPr>
        <w:t> </w:t>
      </w:r>
      <w:r>
        <w:rPr>
          <w:color w:val="231F20"/>
          <w:w w:val="105"/>
        </w:rPr>
        <w:t>actor</w:t>
      </w:r>
      <w:r>
        <w:rPr>
          <w:color w:val="231F20"/>
          <w:spacing w:val="-35"/>
          <w:w w:val="105"/>
        </w:rPr>
        <w:t> </w:t>
      </w:r>
      <w:r>
        <w:rPr>
          <w:color w:val="231F20"/>
          <w:w w:val="105"/>
        </w:rPr>
        <w:t>central</w:t>
      </w:r>
      <w:r>
        <w:rPr>
          <w:color w:val="231F20"/>
          <w:spacing w:val="-35"/>
          <w:w w:val="105"/>
        </w:rPr>
        <w:t> </w:t>
      </w:r>
      <w:r>
        <w:rPr>
          <w:color w:val="231F20"/>
          <w:w w:val="105"/>
        </w:rPr>
        <w:t>es</w:t>
      </w:r>
      <w:r>
        <w:rPr>
          <w:color w:val="231F20"/>
          <w:spacing w:val="-35"/>
          <w:w w:val="105"/>
        </w:rPr>
        <w:t> </w:t>
      </w:r>
      <w:r>
        <w:rPr>
          <w:color w:val="231F20"/>
          <w:w w:val="105"/>
        </w:rPr>
        <w:t>menos</w:t>
      </w:r>
      <w:r>
        <w:rPr>
          <w:color w:val="231F20"/>
          <w:spacing w:val="-35"/>
          <w:w w:val="105"/>
        </w:rPr>
        <w:t> </w:t>
      </w:r>
      <w:r>
        <w:rPr>
          <w:color w:val="231F20"/>
          <w:w w:val="105"/>
        </w:rPr>
        <w:t>independien- te</w:t>
      </w:r>
      <w:r>
        <w:rPr>
          <w:color w:val="231F20"/>
          <w:spacing w:val="-33"/>
          <w:w w:val="105"/>
        </w:rPr>
        <w:t> </w:t>
      </w:r>
      <w:r>
        <w:rPr>
          <w:color w:val="231F20"/>
          <w:w w:val="105"/>
        </w:rPr>
        <w:t>y</w:t>
      </w:r>
      <w:r>
        <w:rPr>
          <w:color w:val="231F20"/>
          <w:spacing w:val="-33"/>
          <w:w w:val="105"/>
        </w:rPr>
        <w:t> </w:t>
      </w:r>
      <w:r>
        <w:rPr>
          <w:color w:val="231F20"/>
          <w:w w:val="105"/>
        </w:rPr>
        <w:t>más</w:t>
      </w:r>
      <w:r>
        <w:rPr>
          <w:color w:val="231F20"/>
          <w:spacing w:val="-33"/>
          <w:w w:val="105"/>
        </w:rPr>
        <w:t> </w:t>
      </w:r>
      <w:r>
        <w:rPr>
          <w:color w:val="231F20"/>
          <w:w w:val="105"/>
        </w:rPr>
        <w:t>influyente</w:t>
      </w:r>
      <w:r>
        <w:rPr>
          <w:color w:val="231F20"/>
          <w:spacing w:val="-33"/>
          <w:w w:val="105"/>
        </w:rPr>
        <w:t> </w:t>
      </w:r>
      <w:r>
        <w:rPr>
          <w:color w:val="231F20"/>
          <w:w w:val="105"/>
        </w:rPr>
        <w:t>dadas</w:t>
      </w:r>
      <w:r>
        <w:rPr>
          <w:color w:val="231F20"/>
          <w:spacing w:val="-33"/>
          <w:w w:val="105"/>
        </w:rPr>
        <w:t> </w:t>
      </w:r>
      <w:r>
        <w:rPr>
          <w:color w:val="231F20"/>
          <w:w w:val="105"/>
        </w:rPr>
        <w:t>sus</w:t>
      </w:r>
      <w:r>
        <w:rPr>
          <w:color w:val="231F20"/>
          <w:spacing w:val="-33"/>
          <w:w w:val="105"/>
        </w:rPr>
        <w:t> </w:t>
      </w:r>
      <w:r>
        <w:rPr>
          <w:color w:val="231F20"/>
          <w:w w:val="105"/>
        </w:rPr>
        <w:t>múltiples</w:t>
      </w:r>
      <w:r>
        <w:rPr>
          <w:color w:val="231F20"/>
          <w:spacing w:val="-33"/>
          <w:w w:val="105"/>
        </w:rPr>
        <w:t> </w:t>
      </w:r>
      <w:r>
        <w:rPr>
          <w:color w:val="231F20"/>
          <w:spacing w:val="-2"/>
          <w:w w:val="105"/>
        </w:rPr>
        <w:t>alternativas</w:t>
      </w:r>
      <w:r>
        <w:rPr>
          <w:color w:val="231F20"/>
          <w:spacing w:val="-33"/>
          <w:w w:val="105"/>
        </w:rPr>
        <w:t> </w:t>
      </w:r>
      <w:r>
        <w:rPr>
          <w:color w:val="231F20"/>
          <w:w w:val="105"/>
        </w:rPr>
        <w:t>de</w:t>
      </w:r>
      <w:r>
        <w:rPr>
          <w:color w:val="231F20"/>
          <w:spacing w:val="-33"/>
          <w:w w:val="105"/>
        </w:rPr>
        <w:t> </w:t>
      </w:r>
      <w:r>
        <w:rPr>
          <w:color w:val="231F20"/>
          <w:w w:val="105"/>
        </w:rPr>
        <w:t>enlace</w:t>
      </w:r>
      <w:r>
        <w:rPr>
          <w:color w:val="231F20"/>
          <w:w w:val="105"/>
          <w:position w:val="7"/>
          <w:sz w:val="12"/>
        </w:rPr>
        <w:t>7</w:t>
      </w:r>
      <w:r>
        <w:rPr>
          <w:color w:val="231F20"/>
          <w:spacing w:val="-18"/>
          <w:w w:val="105"/>
          <w:position w:val="7"/>
          <w:sz w:val="12"/>
        </w:rPr>
        <w:t> </w:t>
      </w:r>
      <w:r>
        <w:rPr>
          <w:color w:val="231F20"/>
          <w:w w:val="105"/>
        </w:rPr>
        <w:t>(figura</w:t>
      </w:r>
      <w:r>
        <w:rPr>
          <w:color w:val="231F20"/>
          <w:spacing w:val="-33"/>
          <w:w w:val="105"/>
        </w:rPr>
        <w:t> </w:t>
      </w:r>
      <w:r>
        <w:rPr>
          <w:color w:val="231F20"/>
          <w:spacing w:val="-2"/>
          <w:w w:val="105"/>
        </w:rPr>
        <w:t>2).</w:t>
      </w:r>
    </w:p>
    <w:p>
      <w:pPr>
        <w:pStyle w:val="BodyText"/>
        <w:spacing w:line="259" w:lineRule="auto"/>
        <w:ind w:left="103" w:right="114" w:firstLine="567"/>
        <w:jc w:val="both"/>
      </w:pPr>
      <w:r>
        <w:rPr>
          <w:color w:val="231F20"/>
        </w:rPr>
        <w:t>Contrariamente, en una red totalmente conexa el grado de centra- lización es cero. Se trata de una estructura descentralizada, carente de</w:t>
      </w:r>
      <w:r>
        <w:rPr>
          <w:color w:val="231F20"/>
          <w:spacing w:val="-17"/>
        </w:rPr>
        <w:t> </w:t>
      </w:r>
      <w:r>
        <w:rPr>
          <w:color w:val="231F20"/>
        </w:rPr>
        <w:t>un nodo central e implica que todos los actores se hallan enlazados entre     sí reduciendo problemas de dependencia (Crovi, López y López, 2009; Velázquez y Aguilar, 2005) (figura</w:t>
      </w:r>
      <w:r>
        <w:rPr>
          <w:color w:val="231F20"/>
          <w:spacing w:val="-1"/>
        </w:rPr>
        <w:t> </w:t>
      </w:r>
      <w:r>
        <w:rPr>
          <w:color w:val="231F20"/>
        </w:rPr>
        <w:t>3).</w:t>
      </w: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4576;mso-wrap-distance-left:0;mso-wrap-distance-right:0" from="65.196899pt,8.365812pt" to="178.582899pt,8.365812pt" stroked="true" strokeweight=".25pt" strokecolor="#231f20">
            <w10:wrap type="topAndBottom"/>
          </v:line>
        </w:pict>
      </w:r>
    </w:p>
    <w:p>
      <w:pPr>
        <w:spacing w:line="192" w:lineRule="exact" w:before="7"/>
        <w:ind w:left="103" w:right="114" w:firstLine="0"/>
        <w:jc w:val="both"/>
        <w:rPr>
          <w:rFonts w:ascii="Calibri" w:hAnsi="Calibri"/>
          <w:sz w:val="16"/>
        </w:rPr>
      </w:pPr>
      <w:r>
        <w:rPr>
          <w:rFonts w:ascii="Calibri" w:hAnsi="Calibri"/>
          <w:color w:val="414042"/>
          <w:w w:val="105"/>
          <w:position w:val="5"/>
          <w:sz w:val="9"/>
        </w:rPr>
        <w:t>7 </w:t>
      </w:r>
      <w:r>
        <w:rPr>
          <w:rFonts w:ascii="Calibri" w:hAnsi="Calibri"/>
          <w:color w:val="414042"/>
          <w:w w:val="105"/>
          <w:sz w:val="16"/>
        </w:rPr>
        <w:t>Configurar una red en forma estrella tiene implicaciones, por ejemplo, ante una innovación de gran impacto,</w:t>
      </w:r>
      <w:r>
        <w:rPr>
          <w:rFonts w:ascii="Calibri" w:hAnsi="Calibri"/>
          <w:color w:val="414042"/>
          <w:spacing w:val="-6"/>
          <w:w w:val="105"/>
          <w:sz w:val="16"/>
        </w:rPr>
        <w:t> </w:t>
      </w:r>
      <w:r>
        <w:rPr>
          <w:rFonts w:ascii="Calibri" w:hAnsi="Calibri"/>
          <w:color w:val="414042"/>
          <w:w w:val="105"/>
          <w:sz w:val="16"/>
        </w:rPr>
        <w:t>sólo</w:t>
      </w:r>
      <w:r>
        <w:rPr>
          <w:rFonts w:ascii="Calibri" w:hAnsi="Calibri"/>
          <w:color w:val="414042"/>
          <w:spacing w:val="-6"/>
          <w:w w:val="105"/>
          <w:sz w:val="16"/>
        </w:rPr>
        <w:t> </w:t>
      </w:r>
      <w:r>
        <w:rPr>
          <w:rFonts w:ascii="Calibri" w:hAnsi="Calibri"/>
          <w:color w:val="414042"/>
          <w:w w:val="105"/>
          <w:sz w:val="16"/>
        </w:rPr>
        <w:t>el</w:t>
      </w:r>
      <w:r>
        <w:rPr>
          <w:rFonts w:ascii="Calibri" w:hAnsi="Calibri"/>
          <w:color w:val="414042"/>
          <w:spacing w:val="-6"/>
          <w:w w:val="105"/>
          <w:sz w:val="16"/>
        </w:rPr>
        <w:t> </w:t>
      </w:r>
      <w:r>
        <w:rPr>
          <w:rFonts w:ascii="Calibri" w:hAnsi="Calibri"/>
          <w:color w:val="414042"/>
          <w:w w:val="105"/>
          <w:sz w:val="16"/>
        </w:rPr>
        <w:t>actor</w:t>
      </w:r>
      <w:r>
        <w:rPr>
          <w:rFonts w:ascii="Calibri" w:hAnsi="Calibri"/>
          <w:color w:val="414042"/>
          <w:spacing w:val="-6"/>
          <w:w w:val="105"/>
          <w:sz w:val="16"/>
        </w:rPr>
        <w:t> </w:t>
      </w:r>
      <w:r>
        <w:rPr>
          <w:rFonts w:ascii="Calibri" w:hAnsi="Calibri"/>
          <w:color w:val="414042"/>
          <w:w w:val="105"/>
          <w:sz w:val="16"/>
        </w:rPr>
        <w:t>central</w:t>
      </w:r>
      <w:r>
        <w:rPr>
          <w:rFonts w:ascii="Calibri" w:hAnsi="Calibri"/>
          <w:color w:val="414042"/>
          <w:spacing w:val="-6"/>
          <w:w w:val="105"/>
          <w:sz w:val="16"/>
        </w:rPr>
        <w:t> </w:t>
      </w:r>
      <w:r>
        <w:rPr>
          <w:rFonts w:ascii="Calibri" w:hAnsi="Calibri"/>
          <w:color w:val="414042"/>
          <w:w w:val="105"/>
          <w:sz w:val="16"/>
        </w:rPr>
        <w:t>puede</w:t>
      </w:r>
      <w:r>
        <w:rPr>
          <w:rFonts w:ascii="Calibri" w:hAnsi="Calibri"/>
          <w:color w:val="414042"/>
          <w:spacing w:val="-6"/>
          <w:w w:val="105"/>
          <w:sz w:val="16"/>
        </w:rPr>
        <w:t> </w:t>
      </w:r>
      <w:r>
        <w:rPr>
          <w:rFonts w:ascii="Calibri" w:hAnsi="Calibri"/>
          <w:color w:val="414042"/>
          <w:w w:val="105"/>
          <w:sz w:val="16"/>
        </w:rPr>
        <w:t>permitir</w:t>
      </w:r>
      <w:r>
        <w:rPr>
          <w:rFonts w:ascii="Calibri" w:hAnsi="Calibri"/>
          <w:color w:val="414042"/>
          <w:spacing w:val="-6"/>
          <w:w w:val="105"/>
          <w:sz w:val="16"/>
        </w:rPr>
        <w:t> </w:t>
      </w:r>
      <w:r>
        <w:rPr>
          <w:rFonts w:ascii="Calibri" w:hAnsi="Calibri"/>
          <w:color w:val="414042"/>
          <w:w w:val="105"/>
          <w:sz w:val="16"/>
        </w:rPr>
        <w:t>que</w:t>
      </w:r>
      <w:r>
        <w:rPr>
          <w:rFonts w:ascii="Calibri" w:hAnsi="Calibri"/>
          <w:color w:val="414042"/>
          <w:spacing w:val="-6"/>
          <w:w w:val="105"/>
          <w:sz w:val="16"/>
        </w:rPr>
        <w:t> </w:t>
      </w:r>
      <w:r>
        <w:rPr>
          <w:rFonts w:ascii="Calibri" w:hAnsi="Calibri"/>
          <w:color w:val="414042"/>
          <w:w w:val="105"/>
          <w:sz w:val="16"/>
        </w:rPr>
        <w:t>ésta</w:t>
      </w:r>
      <w:r>
        <w:rPr>
          <w:rFonts w:ascii="Calibri" w:hAnsi="Calibri"/>
          <w:color w:val="414042"/>
          <w:spacing w:val="-6"/>
          <w:w w:val="105"/>
          <w:sz w:val="16"/>
        </w:rPr>
        <w:t> </w:t>
      </w:r>
      <w:r>
        <w:rPr>
          <w:rFonts w:ascii="Calibri" w:hAnsi="Calibri"/>
          <w:color w:val="414042"/>
          <w:w w:val="105"/>
          <w:sz w:val="16"/>
        </w:rPr>
        <w:t>se</w:t>
      </w:r>
      <w:r>
        <w:rPr>
          <w:rFonts w:ascii="Calibri" w:hAnsi="Calibri"/>
          <w:color w:val="414042"/>
          <w:spacing w:val="-6"/>
          <w:w w:val="105"/>
          <w:sz w:val="16"/>
        </w:rPr>
        <w:t> </w:t>
      </w:r>
      <w:r>
        <w:rPr>
          <w:rFonts w:ascii="Calibri" w:hAnsi="Calibri"/>
          <w:color w:val="414042"/>
          <w:w w:val="105"/>
          <w:sz w:val="16"/>
        </w:rPr>
        <w:t>difunda.</w:t>
      </w:r>
      <w:r>
        <w:rPr>
          <w:rFonts w:ascii="Calibri" w:hAnsi="Calibri"/>
          <w:color w:val="414042"/>
          <w:spacing w:val="-6"/>
          <w:w w:val="105"/>
          <w:sz w:val="16"/>
        </w:rPr>
        <w:t> </w:t>
      </w:r>
      <w:r>
        <w:rPr>
          <w:rFonts w:ascii="Calibri" w:hAnsi="Calibri"/>
          <w:color w:val="414042"/>
          <w:w w:val="105"/>
          <w:sz w:val="16"/>
        </w:rPr>
        <w:t>Igualmente,</w:t>
      </w:r>
      <w:r>
        <w:rPr>
          <w:rFonts w:ascii="Calibri" w:hAnsi="Calibri"/>
          <w:color w:val="414042"/>
          <w:spacing w:val="-6"/>
          <w:w w:val="105"/>
          <w:sz w:val="16"/>
        </w:rPr>
        <w:t> </w:t>
      </w:r>
      <w:r>
        <w:rPr>
          <w:rFonts w:ascii="Calibri" w:hAnsi="Calibri"/>
          <w:color w:val="414042"/>
          <w:w w:val="105"/>
          <w:sz w:val="16"/>
        </w:rPr>
        <w:t>podría</w:t>
      </w:r>
      <w:r>
        <w:rPr>
          <w:rFonts w:ascii="Calibri" w:hAnsi="Calibri"/>
          <w:color w:val="414042"/>
          <w:spacing w:val="-6"/>
          <w:w w:val="105"/>
          <w:sz w:val="16"/>
        </w:rPr>
        <w:t> </w:t>
      </w:r>
      <w:r>
        <w:rPr>
          <w:rFonts w:ascii="Calibri" w:hAnsi="Calibri"/>
          <w:color w:val="414042"/>
          <w:w w:val="105"/>
          <w:sz w:val="16"/>
        </w:rPr>
        <w:t>suceder</w:t>
      </w:r>
      <w:r>
        <w:rPr>
          <w:rFonts w:ascii="Calibri" w:hAnsi="Calibri"/>
          <w:color w:val="414042"/>
          <w:spacing w:val="-6"/>
          <w:w w:val="105"/>
          <w:sz w:val="16"/>
        </w:rPr>
        <w:t> </w:t>
      </w:r>
      <w:r>
        <w:rPr>
          <w:rFonts w:ascii="Calibri" w:hAnsi="Calibri"/>
          <w:color w:val="414042"/>
          <w:w w:val="105"/>
          <w:sz w:val="16"/>
        </w:rPr>
        <w:t>que</w:t>
      </w:r>
      <w:r>
        <w:rPr>
          <w:rFonts w:ascii="Calibri" w:hAnsi="Calibri"/>
          <w:color w:val="414042"/>
          <w:spacing w:val="-6"/>
          <w:w w:val="105"/>
          <w:sz w:val="16"/>
        </w:rPr>
        <w:t> </w:t>
      </w:r>
      <w:r>
        <w:rPr>
          <w:rFonts w:ascii="Calibri" w:hAnsi="Calibri"/>
          <w:color w:val="414042"/>
          <w:w w:val="105"/>
          <w:sz w:val="16"/>
        </w:rPr>
        <w:t>des- aparezca el nodo al centro ocasionando que el resto de los actores queden sueltos sin posibilidad de vinculación</w:t>
      </w:r>
      <w:r>
        <w:rPr>
          <w:rFonts w:ascii="Calibri" w:hAnsi="Calibri"/>
          <w:color w:val="414042"/>
          <w:spacing w:val="-18"/>
          <w:w w:val="105"/>
          <w:sz w:val="16"/>
        </w:rPr>
        <w:t> </w:t>
      </w:r>
      <w:r>
        <w:rPr>
          <w:rFonts w:ascii="Calibri" w:hAnsi="Calibri"/>
          <w:color w:val="414042"/>
          <w:w w:val="105"/>
          <w:sz w:val="16"/>
        </w:rPr>
        <w:t>(Rendón</w:t>
      </w:r>
      <w:r>
        <w:rPr>
          <w:rFonts w:ascii="Calibri" w:hAnsi="Calibri"/>
          <w:color w:val="414042"/>
          <w:spacing w:val="-18"/>
          <w:w w:val="105"/>
          <w:sz w:val="16"/>
        </w:rPr>
        <w:t> </w:t>
      </w:r>
      <w:r>
        <w:rPr>
          <w:rFonts w:ascii="Calibri" w:hAnsi="Calibri"/>
          <w:i/>
          <w:color w:val="414042"/>
          <w:w w:val="105"/>
          <w:sz w:val="16"/>
        </w:rPr>
        <w:t>et</w:t>
      </w:r>
      <w:r>
        <w:rPr>
          <w:rFonts w:ascii="Calibri" w:hAnsi="Calibri"/>
          <w:i/>
          <w:color w:val="414042"/>
          <w:spacing w:val="-19"/>
          <w:w w:val="105"/>
          <w:sz w:val="16"/>
        </w:rPr>
        <w:t> </w:t>
      </w:r>
      <w:r>
        <w:rPr>
          <w:rFonts w:ascii="Calibri" w:hAnsi="Calibri"/>
          <w:i/>
          <w:color w:val="414042"/>
          <w:w w:val="105"/>
          <w:sz w:val="16"/>
        </w:rPr>
        <w:t>al</w:t>
      </w:r>
      <w:r>
        <w:rPr>
          <w:rFonts w:ascii="Calibri" w:hAnsi="Calibri"/>
          <w:color w:val="414042"/>
          <w:w w:val="105"/>
          <w:sz w:val="16"/>
        </w:rPr>
        <w:t>.,</w:t>
      </w:r>
      <w:r>
        <w:rPr>
          <w:rFonts w:ascii="Calibri" w:hAnsi="Calibri"/>
          <w:color w:val="414042"/>
          <w:spacing w:val="-18"/>
          <w:w w:val="105"/>
          <w:sz w:val="16"/>
        </w:rPr>
        <w:t> </w:t>
      </w:r>
      <w:r>
        <w:rPr>
          <w:rFonts w:ascii="Calibri" w:hAnsi="Calibri"/>
          <w:color w:val="414042"/>
          <w:w w:val="105"/>
          <w:sz w:val="16"/>
        </w:rPr>
        <w:t>2007).</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3328"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126</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type w:val="continuous"/>
          <w:pgSz w:w="9640" w:h="13890"/>
          <w:pgMar w:top="1300" w:bottom="28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5008"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127</w:t>
      </w:r>
    </w:p>
    <w:p>
      <w:pPr>
        <w:spacing w:after="0"/>
        <w:jc w:val="left"/>
        <w:rPr>
          <w:sz w:val="20"/>
        </w:rPr>
        <w:sectPr>
          <w:type w:val="continuous"/>
          <w:pgSz w:w="9640" w:h="13890"/>
          <w:pgMar w:top="1300" w:bottom="280" w:left="1300" w:right="1200"/>
          <w:cols w:num="2" w:equalWidth="0">
            <w:col w:w="6261" w:space="40"/>
            <w:col w:w="839"/>
          </w:cols>
        </w:sectPr>
      </w:pPr>
    </w:p>
    <w:p>
      <w:pPr>
        <w:pStyle w:val="BodyText"/>
        <w:rPr>
          <w:sz w:val="20"/>
        </w:rPr>
      </w:pPr>
    </w:p>
    <w:p>
      <w:pPr>
        <w:pStyle w:val="BodyText"/>
        <w:spacing w:before="1"/>
      </w:pPr>
    </w:p>
    <w:p>
      <w:pPr>
        <w:spacing w:before="0"/>
        <w:ind w:left="1752" w:right="17" w:firstLine="0"/>
        <w:jc w:val="left"/>
        <w:rPr>
          <w:sz w:val="18"/>
        </w:rPr>
      </w:pPr>
      <w:r>
        <w:rPr>
          <w:color w:val="231F20"/>
          <w:w w:val="105"/>
          <w:sz w:val="18"/>
        </w:rPr>
        <w:t>Figura 2. Ejemplo hipotético red en estrella.</w:t>
      </w:r>
    </w:p>
    <w:p>
      <w:pPr>
        <w:pStyle w:val="BodyText"/>
        <w:spacing w:before="5"/>
        <w:rPr>
          <w:sz w:val="14"/>
        </w:rPr>
      </w:pPr>
    </w:p>
    <w:p>
      <w:pPr>
        <w:spacing w:before="0"/>
        <w:ind w:left="117" w:right="17" w:firstLine="0"/>
        <w:jc w:val="left"/>
        <w:rPr>
          <w:sz w:val="18"/>
        </w:rPr>
      </w:pPr>
      <w:r>
        <w:rPr/>
        <w:pict>
          <v:group style="position:absolute;margin-left:168.455902pt;margin-top:16.147608pt;width:148.85pt;height:112.25pt;mso-position-horizontal-relative:page;mso-position-vertical-relative:paragraph;z-index:4792;mso-wrap-distance-left:0;mso-wrap-distance-right:0" coordorigin="3369,323" coordsize="2977,2245">
            <v:line style="position:absolute" from="5979,1999" to="3654,829" stroked="true" strokeweight=".452pt" strokecolor="#000000"/>
            <v:line style="position:absolute" from="5979,741" to="3736,2087" stroked="true" strokeweight=".452pt" strokecolor="#000000"/>
            <v:line style="position:absolute" from="4816,2282" to="4816,663" stroked="true" strokeweight=".452pt" strokecolor="#000000"/>
            <v:shape style="position:absolute;left:4656;top:2228;width:372;height:339" type="#_x0000_t75" stroked="false">
              <v:imagedata r:id="rId55" o:title=""/>
            </v:shape>
            <v:shape style="position:absolute;left:4719;top:2332;width:249;height:136" type="#_x0000_t75" stroked="false">
              <v:imagedata r:id="rId56" o:title=""/>
            </v:shape>
            <v:shape style="position:absolute;left:4656;top:323;width:372;height:345" type="#_x0000_t75" stroked="false">
              <v:imagedata r:id="rId57" o:title=""/>
            </v:shape>
            <v:shape style="position:absolute;left:4719;top:425;width:249;height:142" type="#_x0000_t75" stroked="false">
              <v:imagedata r:id="rId58" o:title=""/>
            </v:shape>
            <v:shape style="position:absolute;left:5920;top:493;width:372;height:340" type="#_x0000_t75" stroked="false">
              <v:imagedata r:id="rId59" o:title=""/>
            </v:shape>
            <v:shape style="position:absolute;left:5983;top:596;width:249;height:139" type="#_x0000_t75" stroked="false">
              <v:imagedata r:id="rId56" o:title=""/>
            </v:shape>
            <v:shape style="position:absolute;left:5974;top:1868;width:372;height:369" type="#_x0000_t75" stroked="false">
              <v:imagedata r:id="rId60" o:title=""/>
            </v:shape>
            <v:shape style="position:absolute;left:6038;top:1973;width:246;height:159" type="#_x0000_t75" stroked="false">
              <v:imagedata r:id="rId61" o:title=""/>
            </v:shape>
            <v:shape style="position:absolute;left:3369;top:591;width:372;height:374" type="#_x0000_t75" stroked="false">
              <v:imagedata r:id="rId62" o:title=""/>
            </v:shape>
            <v:shape style="position:absolute;left:3431;top:697;width:249;height:162" type="#_x0000_t75" stroked="false">
              <v:imagedata r:id="rId61" o:title=""/>
            </v:shape>
            <v:shape style="position:absolute;left:3369;top:1946;width:372;height:340" type="#_x0000_t75" stroked="false">
              <v:imagedata r:id="rId63" o:title=""/>
            </v:shape>
            <v:shape style="position:absolute;left:3431;top:2048;width:249;height:139" type="#_x0000_t75" stroked="false">
              <v:imagedata r:id="rId56" o:title=""/>
            </v:shape>
            <v:shape style="position:absolute;left:4656;top:1273;width:372;height:360" type="#_x0000_t75" stroked="false">
              <v:imagedata r:id="rId64" o:title=""/>
            </v:shape>
            <v:shape style="position:absolute;left:4719;top:1377;width:249;height:153" type="#_x0000_t75" stroked="false">
              <v:imagedata r:id="rId65" o:title=""/>
            </v:shape>
            <v:shape style="position:absolute;left:4805;top:439;width:113;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G</w:t>
                    </w:r>
                  </w:p>
                </w:txbxContent>
              </v:textbox>
              <w10:wrap type="none"/>
            </v:shape>
            <v:shape style="position:absolute;left:3518;top:711;width:105;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D</w:t>
                    </w:r>
                  </w:p>
                </w:txbxContent>
              </v:textbox>
              <w10:wrap type="none"/>
            </v:shape>
            <v:shape style="position:absolute;left:6069;top:610;width:105;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C</w:t>
                    </w:r>
                  </w:p>
                </w:txbxContent>
              </v:textbox>
              <w10:wrap type="none"/>
            </v:shape>
            <v:shape style="position:absolute;left:4805;top:1391;width:105;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A</w:t>
                    </w:r>
                  </w:p>
                </w:txbxContent>
              </v:textbox>
              <w10:wrap type="none"/>
            </v:shape>
            <v:shape style="position:absolute;left:3518;top:2062;width:89;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F</w:t>
                    </w:r>
                  </w:p>
                </w:txbxContent>
              </v:textbox>
              <w10:wrap type="none"/>
            </v:shape>
            <v:shape style="position:absolute;left:6124;top:1987;width:97;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B</w:t>
                    </w:r>
                  </w:p>
                </w:txbxContent>
              </v:textbox>
              <w10:wrap type="none"/>
            </v:shape>
            <v:shape style="position:absolute;left:4805;top:2345;width:113;height:145" type="#_x0000_t202" filled="false" stroked="false">
              <v:textbox inset="0,0,0,0">
                <w:txbxContent>
                  <w:p>
                    <w:pPr>
                      <w:spacing w:line="145" w:lineRule="exact" w:before="0"/>
                      <w:ind w:left="0" w:right="0" w:firstLine="0"/>
                      <w:jc w:val="left"/>
                      <w:rPr>
                        <w:rFonts w:ascii="Times New Roman"/>
                        <w:b/>
                        <w:sz w:val="14"/>
                      </w:rPr>
                    </w:pPr>
                    <w:r>
                      <w:rPr>
                        <w:rFonts w:ascii="Times New Roman"/>
                        <w:b/>
                        <w:w w:val="103"/>
                        <w:sz w:val="14"/>
                      </w:rPr>
                      <w:t>G</w:t>
                    </w:r>
                  </w:p>
                </w:txbxContent>
              </v:textbox>
              <w10:wrap type="none"/>
            </v:shape>
            <w10:wrap type="topAndBottom"/>
          </v:group>
        </w:pict>
      </w:r>
      <w:r>
        <w:rPr>
          <w:color w:val="231F20"/>
          <w:w w:val="105"/>
          <w:sz w:val="18"/>
        </w:rPr>
        <w:t>Grado de centralización= 100%</w:t>
      </w:r>
    </w:p>
    <w:p>
      <w:pPr>
        <w:spacing w:before="133"/>
        <w:ind w:left="117" w:right="17" w:firstLine="0"/>
        <w:jc w:val="left"/>
        <w:rPr>
          <w:sz w:val="16"/>
        </w:rPr>
      </w:pPr>
      <w:r>
        <w:rPr>
          <w:color w:val="231F20"/>
          <w:sz w:val="16"/>
        </w:rPr>
        <w:t>Fuente: Hanneman y Riddle (2005).</w:t>
      </w:r>
    </w:p>
    <w:p>
      <w:pPr>
        <w:pStyle w:val="BodyText"/>
        <w:spacing w:before="8"/>
        <w:rPr>
          <w:sz w:val="23"/>
        </w:rPr>
      </w:pPr>
    </w:p>
    <w:p>
      <w:pPr>
        <w:spacing w:before="0"/>
        <w:ind w:left="1429" w:right="17" w:firstLine="0"/>
        <w:jc w:val="left"/>
        <w:rPr>
          <w:sz w:val="18"/>
        </w:rPr>
      </w:pPr>
      <w:r>
        <w:rPr>
          <w:color w:val="231F20"/>
          <w:w w:val="105"/>
          <w:sz w:val="18"/>
        </w:rPr>
        <w:t>Figura 3. Ejemplo hipotético red totalmente conexa.</w:t>
      </w:r>
    </w:p>
    <w:p>
      <w:pPr>
        <w:pStyle w:val="BodyText"/>
        <w:spacing w:before="5"/>
        <w:rPr>
          <w:sz w:val="14"/>
        </w:rPr>
      </w:pPr>
    </w:p>
    <w:p>
      <w:pPr>
        <w:spacing w:before="0" w:after="19"/>
        <w:ind w:left="117" w:right="17" w:firstLine="0"/>
        <w:jc w:val="left"/>
        <w:rPr>
          <w:sz w:val="18"/>
        </w:rPr>
      </w:pPr>
      <w:r>
        <w:rPr>
          <w:color w:val="231F20"/>
          <w:w w:val="105"/>
          <w:sz w:val="18"/>
        </w:rPr>
        <w:t>Grado de centralización= 0%</w:t>
      </w:r>
    </w:p>
    <w:p>
      <w:pPr>
        <w:pStyle w:val="BodyText"/>
        <w:ind w:left="1742"/>
        <w:rPr>
          <w:sz w:val="20"/>
        </w:rPr>
      </w:pPr>
      <w:r>
        <w:rPr>
          <w:sz w:val="20"/>
        </w:rPr>
        <w:pict>
          <v:group style="width:171.05pt;height:150.75pt;mso-position-horizontal-relative:char;mso-position-vertical-relative:line" coordorigin="0,0" coordsize="3421,3015">
            <v:line style="position:absolute" from="3266,1602" to="2778,686" stroked="true" strokeweight=".501pt" strokecolor="#000000"/>
            <v:line style="position:absolute" from="390,1705" to="3089,1705" stroked="true" strokeweight=".501pt" strokecolor="#000000"/>
            <v:line style="position:absolute" from="969,686" to="3163,1705" stroked="true" strokeweight=".501pt" strokecolor="#000000"/>
            <v:line style="position:absolute" from="1784,378" to="3163,1710" stroked="true" strokeweight=".501pt" strokecolor="#000000"/>
            <v:line style="position:absolute" from="895,554" to="1611,197" stroked="true" strokeweight=".501pt" strokecolor="#000000"/>
            <v:line style="position:absolute" from="701,794" to="240,1710" stroked="true" strokeweight=".501pt" strokecolor="#000000"/>
            <v:shape style="position:absolute;left:895;top:2608;width:385;height:402" coordorigin="895,2608" coordsize="385,402" path="m895,2809l910,2730,951,2667,1012,2624,1087,2608,1162,2624,1223,2667,1265,2730,1280,2809,1265,2887,1223,2951,1162,2994,1087,3010,1012,2994,951,2951,910,2887,895,2809xe" filled="false" stroked="true" strokeweight=".501pt" strokecolor="#000000">
              <v:path arrowok="t"/>
            </v:shape>
            <v:shape style="position:absolute;left:954;top:2720;width:263;height:179" type="#_x0000_t75" stroked="false">
              <v:imagedata r:id="rId66" o:title=""/>
            </v:shape>
            <v:line style="position:absolute" from="969,2636" to="240,1915" stroked="true" strokeweight=".501pt" strokecolor="#000000"/>
            <v:line style="position:absolute" from="2215,2797" to="1280,2797" stroked="true" strokeweight=".501pt" strokecolor="#000000"/>
            <v:line style="position:absolute" from="1784,378" to="2348,2636" stroked="true" strokeweight=".501pt" strokecolor="#000000"/>
            <v:line style="position:absolute" from="1784,378" to="1102,2608" stroked="true" strokeweight=".501pt" strokecolor="#000000"/>
            <v:line style="position:absolute" from="1784,378" to="390,1710" stroked="true" strokeweight=".501pt" strokecolor="#000000"/>
            <v:line style="position:absolute" from="2511,686" to="969,686" stroked="true" strokeweight=".501pt" strokecolor="#000000"/>
            <v:line style="position:absolute" from="2511,691" to="390,1710" stroked="true" strokeweight=".501pt" strokecolor="#000000"/>
            <v:line style="position:absolute" from="2511,2797" to="3266,1915" stroked="true" strokeweight=".501pt" strokecolor="#000000"/>
            <v:line style="position:absolute" from="2511,691" to="1102,2608" stroked="true" strokeweight=".501pt" strokecolor="#000000"/>
            <v:line style="position:absolute" from="2511,686" to="2348,2636" stroked="true" strokeweight=".501pt" strokecolor="#000000"/>
            <v:line style="position:absolute" from="1102,2608" to="3031,1711" stroked="true" strokeweight=".501pt" strokecolor="#000000"/>
            <v:line style="position:absolute" from="969,691" to="2348,2636" stroked="true" strokeweight=".501pt" strokecolor="#000000"/>
            <v:line style="position:absolute" from="390,1705" to="2348,2636" stroked="true" strokeweight=".501pt" strokecolor="#000000"/>
            <v:line style="position:absolute" from="895,691" to="1102,2608" stroked="true" strokeweight=".501pt" strokecolor="#000000"/>
            <v:line style="position:absolute" from="2600,481" to="1907,197" stroked="true" strokeweight=".501pt" strokecolor="#000000"/>
            <v:shape style="position:absolute;left:2511;top:378;width:385;height:416" coordorigin="2511,378" coordsize="385,416" path="m2703,378l2628,395,2567,439,2526,505,2511,586,2526,667,2567,733,2628,778,2703,794,2778,778,2839,733,2880,667,2896,586,2880,505,2839,439,2778,395,2703,378xe" filled="true" fillcolor="#ffffff" stroked="false">
              <v:path arrowok="t"/>
              <v:fill type="solid"/>
            </v:shape>
            <v:shape style="position:absolute;left:2511;top:378;width:385;height:416" coordorigin="2511,378" coordsize="385,416" path="m2511,586l2526,505,2567,439,2628,395,2703,378,2778,395,2839,439,2880,505,2896,586,2880,667,2839,733,2778,778,2703,794,2628,778,2567,733,2526,667,2511,586xe" filled="false" stroked="true" strokeweight=".501pt" strokecolor="#000000">
              <v:path arrowok="t"/>
            </v:shape>
            <v:shape style="position:absolute;left:2572;top:492;width:260;height:189" type="#_x0000_t75" stroked="false">
              <v:imagedata r:id="rId67" o:title=""/>
            </v:shape>
            <v:shape style="position:absolute;left:3031;top:1507;width:385;height:408" coordorigin="3031,1507" coordsize="385,408" path="m3223,1507l3148,1523,3087,1567,3046,1632,3031,1711,3046,1791,3087,1856,3148,1899,3223,1915,3298,1899,3359,1856,3401,1791,3416,1711,3401,1632,3359,1567,3298,1523,3223,1507xe" filled="true" fillcolor="#ffffff" stroked="false">
              <v:path arrowok="t"/>
              <v:fill type="solid"/>
            </v:shape>
            <v:shape style="position:absolute;left:3031;top:1507;width:385;height:408" coordorigin="3031,1507" coordsize="385,408" path="m3031,1711l3046,1632,3087,1567,3148,1523,3223,1507,3298,1523,3359,1567,3401,1632,3416,1711,3401,1791,3359,1856,3298,1899,3223,1915,3148,1899,3087,1856,3046,1791,3031,1711xe" filled="false" stroked="true" strokeweight=".501pt" strokecolor="#000000">
              <v:path arrowok="t"/>
            </v:shape>
            <v:shape style="position:absolute;left:3091;top:1620;width:263;height:183" type="#_x0000_t75" stroked="false">
              <v:imagedata r:id="rId68" o:title=""/>
            </v:shape>
            <v:shape style="position:absolute;left:1606;top:0;width:395;height:383" type="#_x0000_t75" stroked="false">
              <v:imagedata r:id="rId69" o:title=""/>
            </v:shape>
            <v:shape style="position:absolute;left:1672;top:114;width:263;height:157" type="#_x0000_t75" stroked="false">
              <v:imagedata r:id="rId70" o:title=""/>
            </v:shape>
            <v:shape style="position:absolute;left:584;top:378;width:385;height:416" coordorigin="584,378" coordsize="385,416" path="m777,378l702,395,641,439,599,505,584,586,599,667,641,733,702,778,777,794,851,778,913,733,954,667,969,586,954,505,913,439,851,395,777,378xe" filled="true" fillcolor="#ffffff" stroked="false">
              <v:path arrowok="t"/>
              <v:fill type="solid"/>
            </v:shape>
            <v:shape style="position:absolute;left:584;top:378;width:385;height:416" coordorigin="584,378" coordsize="385,416" path="m584,586l599,505,641,439,702,395,777,378,851,395,913,439,954,505,969,586,954,667,913,733,851,778,777,794,702,778,641,733,599,667,584,586xe" filled="false" stroked="true" strokeweight=".501pt" strokecolor="#000000">
              <v:path arrowok="t"/>
            </v:shape>
            <v:shape style="position:absolute;left:643;top:492;width:263;height:189" type="#_x0000_t75" stroked="false">
              <v:imagedata r:id="rId71" o:title=""/>
            </v:shape>
            <v:shape style="position:absolute;left:0;top:1597;width:395;height:406" type="#_x0000_t75" stroked="false">
              <v:imagedata r:id="rId72" o:title=""/>
            </v:shape>
            <v:shape style="position:absolute;left:66;top:1713;width:260;height:173" type="#_x0000_t75" stroked="false">
              <v:imagedata r:id="rId73" o:title=""/>
            </v:shape>
            <v:shape style="position:absolute;left:2210;top:2631;width:395;height:383" type="#_x0000_t75" stroked="false">
              <v:imagedata r:id="rId74" o:title=""/>
            </v:shape>
            <v:shape style="position:absolute;left:2274;top:2745;width:263;height:157" type="#_x0000_t75" stroked="false">
              <v:imagedata r:id="rId70" o:title=""/>
            </v:shape>
            <v:shape style="position:absolute;left:1768;top:129;width:116;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C</w:t>
                    </w:r>
                  </w:p>
                </w:txbxContent>
              </v:textbox>
              <w10:wrap type="none"/>
            </v:shape>
            <v:shape style="position:absolute;left:739;top:507;width:107;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E</w:t>
                    </w:r>
                  </w:p>
                </w:txbxContent>
              </v:textbox>
              <w10:wrap type="none"/>
            </v:shape>
            <v:shape style="position:absolute;left:2668;top:507;width:107;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B</w:t>
                    </w:r>
                  </w:p>
                </w:txbxContent>
              </v:textbox>
              <w10:wrap type="none"/>
            </v:shape>
            <v:shape style="position:absolute;left:162;top:1729;width:98;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F</w:t>
                    </w:r>
                  </w:p>
                </w:txbxContent>
              </v:textbox>
              <w10:wrap type="none"/>
            </v:shape>
            <v:shape style="position:absolute;left:3188;top:1636;width:116;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D</w:t>
                    </w:r>
                  </w:p>
                </w:txbxContent>
              </v:textbox>
              <w10:wrap type="none"/>
            </v:shape>
            <v:shape style="position:absolute;left:1050;top:2735;width:125;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G</w:t>
                    </w:r>
                  </w:p>
                </w:txbxContent>
              </v:textbox>
              <w10:wrap type="none"/>
            </v:shape>
            <v:shape style="position:absolute;left:2370;top:2761;width:116;height:161" type="#_x0000_t202" filled="false" stroked="false">
              <v:textbox inset="0,0,0,0">
                <w:txbxContent>
                  <w:p>
                    <w:pPr>
                      <w:spacing w:line="160" w:lineRule="exact" w:before="0"/>
                      <w:ind w:left="0" w:right="0" w:firstLine="0"/>
                      <w:jc w:val="left"/>
                      <w:rPr>
                        <w:rFonts w:ascii="Times New Roman"/>
                        <w:b/>
                        <w:sz w:val="16"/>
                      </w:rPr>
                    </w:pPr>
                    <w:r>
                      <w:rPr>
                        <w:rFonts w:ascii="Times New Roman"/>
                        <w:b/>
                        <w:w w:val="100"/>
                        <w:sz w:val="16"/>
                      </w:rPr>
                      <w:t>A</w:t>
                    </w:r>
                  </w:p>
                </w:txbxContent>
              </v:textbox>
              <w10:wrap type="none"/>
            </v:shape>
          </v:group>
        </w:pict>
      </w:r>
      <w:r>
        <w:rPr>
          <w:sz w:val="20"/>
        </w:rPr>
      </w:r>
    </w:p>
    <w:p>
      <w:pPr>
        <w:pStyle w:val="BodyText"/>
        <w:spacing w:before="7"/>
        <w:rPr>
          <w:sz w:val="7"/>
        </w:rPr>
      </w:pPr>
    </w:p>
    <w:p>
      <w:pPr>
        <w:spacing w:before="67"/>
        <w:ind w:left="117" w:right="0" w:firstLine="0"/>
        <w:jc w:val="both"/>
        <w:rPr>
          <w:sz w:val="16"/>
        </w:rPr>
      </w:pPr>
      <w:r>
        <w:rPr>
          <w:color w:val="231F20"/>
          <w:w w:val="105"/>
          <w:sz w:val="16"/>
        </w:rPr>
        <w:t>Fuente: Elaboración propia a partir de Velázquez y Aguilar (2005).</w:t>
      </w:r>
    </w:p>
    <w:p>
      <w:pPr>
        <w:pStyle w:val="BodyText"/>
        <w:rPr>
          <w:sz w:val="16"/>
        </w:rPr>
      </w:pPr>
    </w:p>
    <w:p>
      <w:pPr>
        <w:pStyle w:val="BodyText"/>
        <w:spacing w:line="259" w:lineRule="auto" w:before="105"/>
        <w:ind w:left="117" w:right="101"/>
        <w:jc w:val="both"/>
      </w:pPr>
      <w:r>
        <w:rPr>
          <w:color w:val="231F20"/>
          <w:w w:val="105"/>
        </w:rPr>
        <w:t>Relativo al indicador posicional, el grado de intermediación describe la capacidad</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actor</w:t>
      </w:r>
      <w:r>
        <w:rPr>
          <w:color w:val="231F20"/>
          <w:spacing w:val="-14"/>
          <w:w w:val="105"/>
        </w:rPr>
        <w:t> </w:t>
      </w:r>
      <w:r>
        <w:rPr>
          <w:color w:val="231F20"/>
          <w:w w:val="105"/>
        </w:rPr>
        <w:t>intermedio</w:t>
      </w:r>
      <w:r>
        <w:rPr>
          <w:color w:val="231F20"/>
          <w:spacing w:val="-14"/>
          <w:w w:val="105"/>
        </w:rPr>
        <w:t> </w:t>
      </w:r>
      <w:r>
        <w:rPr>
          <w:color w:val="231F20"/>
          <w:w w:val="105"/>
        </w:rPr>
        <w:t>para</w:t>
      </w:r>
      <w:r>
        <w:rPr>
          <w:color w:val="231F20"/>
          <w:spacing w:val="-14"/>
          <w:w w:val="105"/>
        </w:rPr>
        <w:t> </w:t>
      </w:r>
      <w:r>
        <w:rPr>
          <w:color w:val="231F20"/>
          <w:w w:val="105"/>
        </w:rPr>
        <w:t>controlar</w:t>
      </w:r>
      <w:r>
        <w:rPr>
          <w:color w:val="231F20"/>
          <w:spacing w:val="-14"/>
          <w:w w:val="105"/>
        </w:rPr>
        <w:t> </w:t>
      </w:r>
      <w:r>
        <w:rPr>
          <w:color w:val="231F20"/>
          <w:w w:val="105"/>
        </w:rPr>
        <w:t>conexiones</w:t>
      </w:r>
      <w:r>
        <w:rPr>
          <w:color w:val="231F20"/>
          <w:spacing w:val="-14"/>
          <w:w w:val="105"/>
        </w:rPr>
        <w:t> </w:t>
      </w:r>
      <w:r>
        <w:rPr>
          <w:color w:val="231F20"/>
          <w:w w:val="105"/>
        </w:rPr>
        <w:t>entre</w:t>
      </w:r>
      <w:r>
        <w:rPr>
          <w:color w:val="231F20"/>
          <w:spacing w:val="-14"/>
          <w:w w:val="105"/>
        </w:rPr>
        <w:t> </w:t>
      </w:r>
      <w:r>
        <w:rPr>
          <w:color w:val="231F20"/>
          <w:w w:val="105"/>
        </w:rPr>
        <w:t>pares no</w:t>
      </w:r>
      <w:r>
        <w:rPr>
          <w:color w:val="231F20"/>
          <w:spacing w:val="-7"/>
          <w:w w:val="105"/>
        </w:rPr>
        <w:t> </w:t>
      </w:r>
      <w:r>
        <w:rPr>
          <w:color w:val="231F20"/>
          <w:w w:val="105"/>
        </w:rPr>
        <w:t>adyacentes.</w:t>
      </w:r>
      <w:r>
        <w:rPr>
          <w:color w:val="231F20"/>
          <w:spacing w:val="-12"/>
          <w:w w:val="105"/>
        </w:rPr>
        <w:t> </w:t>
      </w:r>
      <w:r>
        <w:rPr>
          <w:color w:val="231F20"/>
          <w:w w:val="105"/>
        </w:rPr>
        <w:t>Esto</w:t>
      </w:r>
      <w:r>
        <w:rPr>
          <w:color w:val="231F20"/>
          <w:spacing w:val="-7"/>
          <w:w w:val="105"/>
        </w:rPr>
        <w:t> </w:t>
      </w:r>
      <w:r>
        <w:rPr>
          <w:color w:val="231F20"/>
          <w:w w:val="105"/>
        </w:rPr>
        <w:t>es,</w:t>
      </w:r>
      <w:r>
        <w:rPr>
          <w:color w:val="231F20"/>
          <w:spacing w:val="-12"/>
          <w:w w:val="105"/>
        </w:rPr>
        <w:t> </w:t>
      </w:r>
      <w:r>
        <w:rPr>
          <w:color w:val="231F20"/>
          <w:w w:val="105"/>
        </w:rPr>
        <w:t>puntualiza</w:t>
      </w:r>
      <w:r>
        <w:rPr>
          <w:color w:val="231F20"/>
          <w:spacing w:val="-7"/>
          <w:w w:val="105"/>
        </w:rPr>
        <w:t> </w:t>
      </w:r>
      <w:r>
        <w:rPr>
          <w:color w:val="231F20"/>
          <w:w w:val="105"/>
        </w:rPr>
        <w:t>el</w:t>
      </w:r>
      <w:r>
        <w:rPr>
          <w:color w:val="231F20"/>
          <w:spacing w:val="-7"/>
          <w:w w:val="105"/>
        </w:rPr>
        <w:t> </w:t>
      </w:r>
      <w:r>
        <w:rPr>
          <w:color w:val="231F20"/>
          <w:w w:val="105"/>
        </w:rPr>
        <w:t>número</w:t>
      </w:r>
      <w:r>
        <w:rPr>
          <w:color w:val="231F20"/>
          <w:spacing w:val="-7"/>
          <w:w w:val="105"/>
        </w:rPr>
        <w:t> </w:t>
      </w:r>
      <w:r>
        <w:rPr>
          <w:color w:val="231F20"/>
          <w:w w:val="105"/>
        </w:rPr>
        <w:t>de</w:t>
      </w:r>
      <w:r>
        <w:rPr>
          <w:color w:val="231F20"/>
          <w:spacing w:val="-7"/>
          <w:w w:val="105"/>
        </w:rPr>
        <w:t> </w:t>
      </w:r>
      <w:r>
        <w:rPr>
          <w:color w:val="231F20"/>
          <w:w w:val="105"/>
        </w:rPr>
        <w:t>veces</w:t>
      </w:r>
      <w:r>
        <w:rPr>
          <w:color w:val="231F20"/>
          <w:spacing w:val="-7"/>
          <w:w w:val="105"/>
        </w:rPr>
        <w:t> </w:t>
      </w:r>
      <w:r>
        <w:rPr>
          <w:color w:val="231F20"/>
          <w:w w:val="105"/>
        </w:rPr>
        <w:t>que</w:t>
      </w:r>
      <w:r>
        <w:rPr>
          <w:color w:val="231F20"/>
          <w:spacing w:val="-7"/>
          <w:w w:val="105"/>
        </w:rPr>
        <w:t> </w:t>
      </w:r>
      <w:r>
        <w:rPr>
          <w:color w:val="231F20"/>
          <w:w w:val="105"/>
        </w:rPr>
        <w:t>aparece</w:t>
      </w:r>
      <w:r>
        <w:rPr>
          <w:color w:val="231F20"/>
          <w:spacing w:val="-7"/>
          <w:w w:val="105"/>
        </w:rPr>
        <w:t> </w:t>
      </w:r>
      <w:r>
        <w:rPr>
          <w:color w:val="231F20"/>
          <w:w w:val="105"/>
        </w:rPr>
        <w:t>un nodo</w:t>
      </w:r>
      <w:r>
        <w:rPr>
          <w:color w:val="231F20"/>
          <w:spacing w:val="-5"/>
          <w:w w:val="105"/>
        </w:rPr>
        <w:t> </w:t>
      </w:r>
      <w:r>
        <w:rPr>
          <w:color w:val="231F20"/>
          <w:w w:val="105"/>
        </w:rPr>
        <w:t>puente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camino</w:t>
      </w:r>
      <w:r>
        <w:rPr>
          <w:color w:val="231F20"/>
          <w:spacing w:val="-5"/>
          <w:w w:val="105"/>
        </w:rPr>
        <w:t> </w:t>
      </w:r>
      <w:r>
        <w:rPr>
          <w:color w:val="231F20"/>
          <w:w w:val="105"/>
        </w:rPr>
        <w:t>más</w:t>
      </w:r>
      <w:r>
        <w:rPr>
          <w:color w:val="231F20"/>
          <w:spacing w:val="-5"/>
          <w:w w:val="105"/>
        </w:rPr>
        <w:t> </w:t>
      </w:r>
      <w:r>
        <w:rPr>
          <w:color w:val="231F20"/>
          <w:w w:val="105"/>
        </w:rPr>
        <w:t>corto</w:t>
      </w:r>
      <w:r>
        <w:rPr>
          <w:color w:val="231F20"/>
          <w:spacing w:val="-5"/>
          <w:w w:val="105"/>
        </w:rPr>
        <w:t> </w:t>
      </w:r>
      <w:r>
        <w:rPr>
          <w:color w:val="231F20"/>
          <w:w w:val="105"/>
        </w:rPr>
        <w:t>(o</w:t>
      </w:r>
      <w:r>
        <w:rPr>
          <w:color w:val="231F20"/>
          <w:spacing w:val="-5"/>
          <w:w w:val="105"/>
        </w:rPr>
        <w:t> </w:t>
      </w:r>
      <w:r>
        <w:rPr>
          <w:color w:val="231F20"/>
          <w:w w:val="105"/>
        </w:rPr>
        <w:t>geodésico)</w:t>
      </w:r>
      <w:r>
        <w:rPr>
          <w:color w:val="231F20"/>
          <w:spacing w:val="-5"/>
          <w:w w:val="105"/>
        </w:rPr>
        <w:t> </w:t>
      </w:r>
      <w:r>
        <w:rPr>
          <w:color w:val="231F20"/>
          <w:w w:val="105"/>
        </w:rPr>
        <w:t>que</w:t>
      </w:r>
      <w:r>
        <w:rPr>
          <w:color w:val="231F20"/>
          <w:spacing w:val="-5"/>
          <w:w w:val="105"/>
        </w:rPr>
        <w:t> </w:t>
      </w:r>
      <w:r>
        <w:rPr>
          <w:color w:val="231F20"/>
          <w:w w:val="105"/>
        </w:rPr>
        <w:t>conecta</w:t>
      </w:r>
      <w:r>
        <w:rPr>
          <w:color w:val="231F20"/>
          <w:spacing w:val="-5"/>
          <w:w w:val="105"/>
        </w:rPr>
        <w:t> </w:t>
      </w:r>
      <w:r>
        <w:rPr>
          <w:color w:val="231F20"/>
          <w:w w:val="105"/>
        </w:rPr>
        <w:t>a</w:t>
      </w:r>
      <w:r>
        <w:rPr>
          <w:color w:val="231F20"/>
          <w:spacing w:val="-5"/>
          <w:w w:val="105"/>
        </w:rPr>
        <w:t> </w:t>
      </w:r>
      <w:r>
        <w:rPr>
          <w:color w:val="231F20"/>
          <w:w w:val="105"/>
        </w:rPr>
        <w:t>otros dos</w:t>
      </w:r>
      <w:r>
        <w:rPr>
          <w:color w:val="231F20"/>
          <w:spacing w:val="-32"/>
          <w:w w:val="105"/>
        </w:rPr>
        <w:t> </w:t>
      </w:r>
      <w:r>
        <w:rPr>
          <w:color w:val="231F20"/>
          <w:w w:val="105"/>
        </w:rPr>
        <w:t>actores</w:t>
      </w:r>
      <w:r>
        <w:rPr>
          <w:color w:val="231F20"/>
          <w:spacing w:val="-32"/>
          <w:w w:val="105"/>
        </w:rPr>
        <w:t> </w:t>
      </w:r>
      <w:r>
        <w:rPr>
          <w:color w:val="231F20"/>
          <w:w w:val="105"/>
        </w:rPr>
        <w:t>(Quiroga,</w:t>
      </w:r>
      <w:r>
        <w:rPr>
          <w:color w:val="231F20"/>
          <w:spacing w:val="-36"/>
          <w:w w:val="105"/>
        </w:rPr>
        <w:t> </w:t>
      </w:r>
      <w:r>
        <w:rPr>
          <w:color w:val="231F20"/>
          <w:w w:val="105"/>
        </w:rPr>
        <w:t>2003).</w:t>
      </w:r>
      <w:r>
        <w:rPr>
          <w:color w:val="231F20"/>
          <w:spacing w:val="-36"/>
          <w:w w:val="105"/>
        </w:rPr>
        <w:t> </w:t>
      </w:r>
      <w:r>
        <w:rPr>
          <w:color w:val="231F20"/>
          <w:w w:val="105"/>
        </w:rPr>
        <w:t>Entre</w:t>
      </w:r>
      <w:r>
        <w:rPr>
          <w:color w:val="231F20"/>
          <w:spacing w:val="-32"/>
          <w:w w:val="105"/>
        </w:rPr>
        <w:t> </w:t>
      </w:r>
      <w:r>
        <w:rPr>
          <w:color w:val="231F20"/>
          <w:w w:val="105"/>
        </w:rPr>
        <w:t>más</w:t>
      </w:r>
      <w:r>
        <w:rPr>
          <w:color w:val="231F20"/>
          <w:spacing w:val="-32"/>
          <w:w w:val="105"/>
        </w:rPr>
        <w:t> </w:t>
      </w:r>
      <w:r>
        <w:rPr>
          <w:color w:val="231F20"/>
          <w:w w:val="105"/>
        </w:rPr>
        <w:t>número</w:t>
      </w:r>
      <w:r>
        <w:rPr>
          <w:color w:val="231F20"/>
          <w:spacing w:val="-32"/>
          <w:w w:val="105"/>
        </w:rPr>
        <w:t> </w:t>
      </w:r>
      <w:r>
        <w:rPr>
          <w:color w:val="231F20"/>
          <w:w w:val="105"/>
        </w:rPr>
        <w:t>de</w:t>
      </w:r>
      <w:r>
        <w:rPr>
          <w:color w:val="231F20"/>
          <w:spacing w:val="-32"/>
          <w:w w:val="105"/>
        </w:rPr>
        <w:t> </w:t>
      </w:r>
      <w:r>
        <w:rPr>
          <w:color w:val="231F20"/>
          <w:w w:val="105"/>
        </w:rPr>
        <w:t>veces</w:t>
      </w:r>
      <w:r>
        <w:rPr>
          <w:color w:val="231F20"/>
          <w:spacing w:val="-32"/>
          <w:w w:val="105"/>
        </w:rPr>
        <w:t> </w:t>
      </w:r>
      <w:r>
        <w:rPr>
          <w:color w:val="231F20"/>
          <w:w w:val="105"/>
        </w:rPr>
        <w:t>se</w:t>
      </w:r>
      <w:r>
        <w:rPr>
          <w:color w:val="231F20"/>
          <w:spacing w:val="-32"/>
          <w:w w:val="105"/>
        </w:rPr>
        <w:t> </w:t>
      </w:r>
      <w:r>
        <w:rPr>
          <w:color w:val="231F20"/>
          <w:w w:val="105"/>
        </w:rPr>
        <w:t>encuentre</w:t>
      </w:r>
      <w:r>
        <w:rPr>
          <w:color w:val="231F20"/>
          <w:spacing w:val="-32"/>
          <w:w w:val="105"/>
        </w:rPr>
        <w:t> </w:t>
      </w:r>
      <w:r>
        <w:rPr>
          <w:color w:val="231F20"/>
          <w:w w:val="105"/>
        </w:rPr>
        <w:t>un actor</w:t>
      </w:r>
      <w:r>
        <w:rPr>
          <w:color w:val="231F20"/>
          <w:spacing w:val="-10"/>
          <w:w w:val="105"/>
        </w:rPr>
        <w:t> </w:t>
      </w:r>
      <w:r>
        <w:rPr>
          <w:color w:val="231F20"/>
          <w:w w:val="105"/>
        </w:rPr>
        <w:t>como</w:t>
      </w:r>
      <w:r>
        <w:rPr>
          <w:color w:val="231F20"/>
          <w:spacing w:val="-10"/>
          <w:w w:val="105"/>
        </w:rPr>
        <w:t> </w:t>
      </w:r>
      <w:r>
        <w:rPr>
          <w:color w:val="231F20"/>
          <w:w w:val="105"/>
        </w:rPr>
        <w:t>intermediario,</w:t>
      </w:r>
      <w:r>
        <w:rPr>
          <w:color w:val="231F20"/>
          <w:spacing w:val="-17"/>
          <w:w w:val="105"/>
        </w:rPr>
        <w:t> </w:t>
      </w:r>
      <w:r>
        <w:rPr>
          <w:color w:val="231F20"/>
          <w:w w:val="105"/>
        </w:rPr>
        <w:t>mayor</w:t>
      </w:r>
      <w:r>
        <w:rPr>
          <w:color w:val="231F20"/>
          <w:spacing w:val="-10"/>
          <w:w w:val="105"/>
        </w:rPr>
        <w:t> </w:t>
      </w:r>
      <w:r>
        <w:rPr>
          <w:color w:val="231F20"/>
          <w:w w:val="105"/>
        </w:rPr>
        <w:t>será</w:t>
      </w:r>
      <w:r>
        <w:rPr>
          <w:color w:val="231F20"/>
          <w:spacing w:val="-10"/>
          <w:w w:val="105"/>
        </w:rPr>
        <w:t> </w:t>
      </w:r>
      <w:r>
        <w:rPr>
          <w:color w:val="231F20"/>
          <w:w w:val="105"/>
        </w:rPr>
        <w:t>su</w:t>
      </w:r>
      <w:r>
        <w:rPr>
          <w:color w:val="231F20"/>
          <w:spacing w:val="-10"/>
          <w:w w:val="105"/>
        </w:rPr>
        <w:t> </w:t>
      </w:r>
      <w:r>
        <w:rPr>
          <w:color w:val="231F20"/>
          <w:w w:val="105"/>
        </w:rPr>
        <w:t>grado</w:t>
      </w:r>
      <w:r>
        <w:rPr>
          <w:color w:val="231F20"/>
          <w:spacing w:val="-10"/>
          <w:w w:val="105"/>
        </w:rPr>
        <w:t> </w:t>
      </w:r>
      <w:r>
        <w:rPr>
          <w:color w:val="231F20"/>
          <w:w w:val="105"/>
        </w:rPr>
        <w:t>de</w:t>
      </w:r>
      <w:r>
        <w:rPr>
          <w:color w:val="231F20"/>
          <w:spacing w:val="-10"/>
          <w:w w:val="105"/>
        </w:rPr>
        <w:t> </w:t>
      </w:r>
      <w:r>
        <w:rPr>
          <w:color w:val="231F20"/>
          <w:w w:val="105"/>
        </w:rPr>
        <w:t>intermediación.</w:t>
      </w:r>
    </w:p>
    <w:p>
      <w:pPr>
        <w:pStyle w:val="BodyText"/>
        <w:spacing w:line="259" w:lineRule="auto"/>
        <w:ind w:left="117" w:right="101" w:firstLine="567"/>
        <w:jc w:val="both"/>
      </w:pPr>
      <w:r>
        <w:rPr>
          <w:color w:val="231F20"/>
          <w:w w:val="105"/>
        </w:rPr>
        <w:t>En</w:t>
      </w:r>
      <w:r>
        <w:rPr>
          <w:color w:val="231F20"/>
          <w:spacing w:val="-20"/>
          <w:w w:val="105"/>
        </w:rPr>
        <w:t> </w:t>
      </w:r>
      <w:r>
        <w:rPr>
          <w:color w:val="231F20"/>
          <w:w w:val="105"/>
        </w:rPr>
        <w:t>síntesis,</w:t>
      </w:r>
      <w:r>
        <w:rPr>
          <w:color w:val="231F20"/>
          <w:spacing w:val="-25"/>
          <w:w w:val="105"/>
        </w:rPr>
        <w:t> </w:t>
      </w:r>
      <w:r>
        <w:rPr>
          <w:color w:val="231F20"/>
          <w:w w:val="105"/>
        </w:rPr>
        <w:t>la</w:t>
      </w:r>
      <w:r>
        <w:rPr>
          <w:color w:val="231F20"/>
          <w:spacing w:val="-20"/>
          <w:w w:val="105"/>
        </w:rPr>
        <w:t> </w:t>
      </w:r>
      <w:r>
        <w:rPr>
          <w:color w:val="231F20"/>
          <w:w w:val="105"/>
        </w:rPr>
        <w:t>figura</w:t>
      </w:r>
      <w:r>
        <w:rPr>
          <w:color w:val="231F20"/>
          <w:spacing w:val="-20"/>
          <w:w w:val="105"/>
        </w:rPr>
        <w:t> </w:t>
      </w:r>
      <w:r>
        <w:rPr>
          <w:color w:val="231F20"/>
          <w:w w:val="105"/>
        </w:rPr>
        <w:t>4</w:t>
      </w:r>
      <w:r>
        <w:rPr>
          <w:color w:val="231F20"/>
          <w:spacing w:val="-20"/>
          <w:w w:val="105"/>
        </w:rPr>
        <w:t> </w:t>
      </w:r>
      <w:r>
        <w:rPr>
          <w:color w:val="231F20"/>
          <w:w w:val="105"/>
        </w:rPr>
        <w:t>resume</w:t>
      </w:r>
      <w:r>
        <w:rPr>
          <w:color w:val="231F20"/>
          <w:spacing w:val="-20"/>
          <w:w w:val="105"/>
        </w:rPr>
        <w:t> </w:t>
      </w:r>
      <w:r>
        <w:rPr>
          <w:color w:val="231F20"/>
          <w:w w:val="105"/>
        </w:rPr>
        <w:t>los</w:t>
      </w:r>
      <w:r>
        <w:rPr>
          <w:color w:val="231F20"/>
          <w:spacing w:val="-20"/>
          <w:w w:val="105"/>
        </w:rPr>
        <w:t> </w:t>
      </w:r>
      <w:r>
        <w:rPr>
          <w:color w:val="231F20"/>
          <w:w w:val="105"/>
        </w:rPr>
        <w:t>principales</w:t>
      </w:r>
      <w:r>
        <w:rPr>
          <w:color w:val="231F20"/>
          <w:spacing w:val="-20"/>
          <w:w w:val="105"/>
        </w:rPr>
        <w:t> </w:t>
      </w:r>
      <w:r>
        <w:rPr>
          <w:color w:val="231F20"/>
          <w:w w:val="105"/>
        </w:rPr>
        <w:t>indicadores</w:t>
      </w:r>
      <w:r>
        <w:rPr>
          <w:color w:val="231F20"/>
          <w:spacing w:val="-20"/>
          <w:w w:val="105"/>
        </w:rPr>
        <w:t> </w:t>
      </w:r>
      <w:r>
        <w:rPr>
          <w:color w:val="231F20"/>
          <w:w w:val="105"/>
        </w:rPr>
        <w:t>estructu- rales</w:t>
      </w:r>
      <w:r>
        <w:rPr>
          <w:color w:val="231F20"/>
          <w:spacing w:val="-12"/>
          <w:w w:val="105"/>
        </w:rPr>
        <w:t> </w:t>
      </w:r>
      <w:r>
        <w:rPr>
          <w:color w:val="231F20"/>
          <w:w w:val="105"/>
        </w:rPr>
        <w:t>y</w:t>
      </w:r>
      <w:r>
        <w:rPr>
          <w:color w:val="231F20"/>
          <w:spacing w:val="-12"/>
          <w:w w:val="105"/>
        </w:rPr>
        <w:t> </w:t>
      </w:r>
      <w:r>
        <w:rPr>
          <w:color w:val="231F20"/>
          <w:w w:val="105"/>
        </w:rPr>
        <w:t>posicionales</w:t>
      </w:r>
      <w:r>
        <w:rPr>
          <w:color w:val="231F20"/>
          <w:spacing w:val="-12"/>
          <w:w w:val="105"/>
        </w:rPr>
        <w:t> </w:t>
      </w:r>
      <w:r>
        <w:rPr>
          <w:color w:val="231F20"/>
          <w:w w:val="105"/>
        </w:rPr>
        <w:t>provenientes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perspectiva</w:t>
      </w:r>
      <w:r>
        <w:rPr>
          <w:color w:val="231F20"/>
          <w:spacing w:val="-15"/>
          <w:w w:val="105"/>
        </w:rPr>
        <w:t> </w:t>
      </w:r>
      <w:r>
        <w:rPr>
          <w:color w:val="231F20"/>
          <w:w w:val="105"/>
        </w:rPr>
        <w:t>ARS,</w:t>
      </w:r>
      <w:r>
        <w:rPr>
          <w:color w:val="231F20"/>
          <w:spacing w:val="-17"/>
          <w:w w:val="105"/>
        </w:rPr>
        <w:t> </w:t>
      </w:r>
      <w:r>
        <w:rPr>
          <w:color w:val="231F20"/>
          <w:w w:val="105"/>
        </w:rPr>
        <w:t>que</w:t>
      </w:r>
      <w:r>
        <w:rPr>
          <w:color w:val="231F20"/>
          <w:spacing w:val="-12"/>
          <w:w w:val="105"/>
        </w:rPr>
        <w:t> </w:t>
      </w:r>
      <w:r>
        <w:rPr>
          <w:color w:val="231F20"/>
          <w:w w:val="105"/>
        </w:rPr>
        <w:t>posibilitan obtener</w:t>
      </w:r>
      <w:r>
        <w:rPr>
          <w:color w:val="231F20"/>
          <w:spacing w:val="-31"/>
          <w:w w:val="105"/>
        </w:rPr>
        <w:t> </w:t>
      </w:r>
      <w:r>
        <w:rPr>
          <w:color w:val="231F20"/>
          <w:w w:val="105"/>
        </w:rPr>
        <w:t>aproximaciones</w:t>
      </w:r>
      <w:r>
        <w:rPr>
          <w:color w:val="231F20"/>
          <w:spacing w:val="-31"/>
          <w:w w:val="105"/>
        </w:rPr>
        <w:t> </w:t>
      </w:r>
      <w:r>
        <w:rPr>
          <w:color w:val="231F20"/>
          <w:w w:val="105"/>
        </w:rPr>
        <w:t>cuantitativas</w:t>
      </w:r>
      <w:r>
        <w:rPr>
          <w:color w:val="231F20"/>
          <w:spacing w:val="-31"/>
          <w:w w:val="105"/>
        </w:rPr>
        <w:t> </w:t>
      </w:r>
      <w:r>
        <w:rPr>
          <w:color w:val="231F20"/>
          <w:w w:val="105"/>
        </w:rPr>
        <w:t>respecto</w:t>
      </w:r>
      <w:r>
        <w:rPr>
          <w:color w:val="231F20"/>
          <w:spacing w:val="-31"/>
          <w:w w:val="105"/>
        </w:rPr>
        <w:t> </w:t>
      </w:r>
      <w:r>
        <w:rPr>
          <w:color w:val="231F20"/>
          <w:w w:val="105"/>
        </w:rPr>
        <w:t>a</w:t>
      </w:r>
      <w:r>
        <w:rPr>
          <w:color w:val="231F20"/>
          <w:spacing w:val="-31"/>
          <w:w w:val="105"/>
        </w:rPr>
        <w:t> </w:t>
      </w:r>
      <w:r>
        <w:rPr>
          <w:color w:val="231F20"/>
          <w:w w:val="105"/>
        </w:rPr>
        <w:t>los</w:t>
      </w:r>
      <w:r>
        <w:rPr>
          <w:color w:val="231F20"/>
          <w:spacing w:val="-31"/>
          <w:w w:val="105"/>
        </w:rPr>
        <w:t> </w:t>
      </w:r>
      <w:r>
        <w:rPr>
          <w:color w:val="231F20"/>
          <w:w w:val="105"/>
        </w:rPr>
        <w:t>vínculos</w:t>
      </w:r>
      <w:r>
        <w:rPr>
          <w:color w:val="231F20"/>
          <w:spacing w:val="-31"/>
          <w:w w:val="105"/>
        </w:rPr>
        <w:t> </w:t>
      </w:r>
      <w:r>
        <w:rPr>
          <w:color w:val="231F20"/>
          <w:w w:val="105"/>
        </w:rPr>
        <w:t>entre</w:t>
      </w:r>
      <w:r>
        <w:rPr>
          <w:color w:val="231F20"/>
          <w:spacing w:val="-31"/>
          <w:w w:val="105"/>
        </w:rPr>
        <w:t> </w:t>
      </w:r>
      <w:r>
        <w:rPr>
          <w:color w:val="231F20"/>
          <w:w w:val="105"/>
        </w:rPr>
        <w:t>distin- tos</w:t>
      </w:r>
      <w:r>
        <w:rPr>
          <w:color w:val="231F20"/>
          <w:spacing w:val="-20"/>
          <w:w w:val="105"/>
        </w:rPr>
        <w:t> </w:t>
      </w:r>
      <w:r>
        <w:rPr>
          <w:color w:val="231F20"/>
          <w:w w:val="105"/>
        </w:rPr>
        <w:t>actores.</w:t>
      </w:r>
      <w:r>
        <w:rPr>
          <w:color w:val="231F20"/>
          <w:spacing w:val="-25"/>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ámbito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redes</w:t>
      </w:r>
      <w:r>
        <w:rPr>
          <w:color w:val="231F20"/>
          <w:spacing w:val="-20"/>
          <w:w w:val="105"/>
        </w:rPr>
        <w:t> </w:t>
      </w:r>
      <w:r>
        <w:rPr>
          <w:color w:val="231F20"/>
          <w:w w:val="105"/>
        </w:rPr>
        <w:t>de</w:t>
      </w:r>
      <w:r>
        <w:rPr>
          <w:color w:val="231F20"/>
          <w:spacing w:val="-20"/>
          <w:w w:val="105"/>
        </w:rPr>
        <w:t> </w:t>
      </w:r>
      <w:r>
        <w:rPr>
          <w:color w:val="231F20"/>
          <w:w w:val="105"/>
        </w:rPr>
        <w:t>conocimiento,</w:t>
      </w:r>
      <w:r>
        <w:rPr>
          <w:color w:val="231F20"/>
          <w:spacing w:val="-25"/>
          <w:w w:val="105"/>
        </w:rPr>
        <w:t> </w:t>
      </w:r>
      <w:r>
        <w:rPr>
          <w:color w:val="231F20"/>
          <w:w w:val="105"/>
        </w:rPr>
        <w:t>tales</w:t>
      </w:r>
      <w:r>
        <w:rPr>
          <w:color w:val="231F20"/>
          <w:spacing w:val="-20"/>
          <w:w w:val="105"/>
        </w:rPr>
        <w:t> </w:t>
      </w:r>
      <w:r>
        <w:rPr>
          <w:color w:val="231F20"/>
          <w:w w:val="105"/>
        </w:rPr>
        <w:t>indicadores permiten</w:t>
      </w:r>
      <w:r>
        <w:rPr>
          <w:color w:val="231F20"/>
          <w:spacing w:val="-16"/>
          <w:w w:val="105"/>
        </w:rPr>
        <w:t> </w:t>
      </w:r>
      <w:r>
        <w:rPr>
          <w:color w:val="231F20"/>
          <w:w w:val="105"/>
        </w:rPr>
        <w:t>observar</w:t>
      </w:r>
      <w:r>
        <w:rPr>
          <w:color w:val="231F20"/>
          <w:spacing w:val="-16"/>
          <w:w w:val="105"/>
        </w:rPr>
        <w:t> </w:t>
      </w:r>
      <w:r>
        <w:rPr>
          <w:color w:val="231F20"/>
          <w:w w:val="105"/>
        </w:rPr>
        <w:t>la</w:t>
      </w:r>
      <w:r>
        <w:rPr>
          <w:color w:val="231F20"/>
          <w:spacing w:val="-16"/>
          <w:w w:val="105"/>
        </w:rPr>
        <w:t> </w:t>
      </w:r>
      <w:r>
        <w:rPr>
          <w:color w:val="231F20"/>
          <w:w w:val="105"/>
        </w:rPr>
        <w:t>configuración</w:t>
      </w:r>
      <w:r>
        <w:rPr>
          <w:color w:val="231F20"/>
          <w:spacing w:val="-16"/>
          <w:w w:val="105"/>
        </w:rPr>
        <w:t> </w:t>
      </w:r>
      <w:r>
        <w:rPr>
          <w:color w:val="231F20"/>
          <w:w w:val="105"/>
        </w:rPr>
        <w:t>reticular,</w:t>
      </w:r>
      <w:r>
        <w:rPr>
          <w:color w:val="231F20"/>
          <w:spacing w:val="-21"/>
          <w:w w:val="105"/>
        </w:rPr>
        <w:t> </w:t>
      </w:r>
      <w:r>
        <w:rPr>
          <w:color w:val="231F20"/>
          <w:w w:val="105"/>
        </w:rPr>
        <w:t>sin</w:t>
      </w:r>
      <w:r>
        <w:rPr>
          <w:color w:val="231F20"/>
          <w:spacing w:val="-16"/>
          <w:w w:val="105"/>
        </w:rPr>
        <w:t> </w:t>
      </w:r>
      <w:r>
        <w:rPr>
          <w:color w:val="231F20"/>
          <w:w w:val="105"/>
        </w:rPr>
        <w:t>embargo,</w:t>
      </w:r>
      <w:r>
        <w:rPr>
          <w:color w:val="231F20"/>
          <w:spacing w:val="-21"/>
          <w:w w:val="105"/>
        </w:rPr>
        <w:t> </w:t>
      </w:r>
      <w:r>
        <w:rPr>
          <w:color w:val="231F20"/>
          <w:w w:val="105"/>
        </w:rPr>
        <w:t>excluyen</w:t>
      </w:r>
      <w:r>
        <w:rPr>
          <w:color w:val="231F20"/>
          <w:spacing w:val="-16"/>
          <w:w w:val="105"/>
        </w:rPr>
        <w:t> </w:t>
      </w:r>
      <w:r>
        <w:rPr>
          <w:color w:val="231F20"/>
          <w:w w:val="105"/>
        </w:rPr>
        <w:t>exa- minar</w:t>
      </w:r>
      <w:r>
        <w:rPr>
          <w:color w:val="231F20"/>
          <w:spacing w:val="-15"/>
          <w:w w:val="105"/>
        </w:rPr>
        <w:t> </w:t>
      </w:r>
      <w:r>
        <w:rPr>
          <w:color w:val="231F20"/>
          <w:w w:val="105"/>
        </w:rPr>
        <w:t>los</w:t>
      </w:r>
      <w:r>
        <w:rPr>
          <w:color w:val="231F20"/>
          <w:spacing w:val="-15"/>
          <w:w w:val="105"/>
        </w:rPr>
        <w:t> </w:t>
      </w:r>
      <w:r>
        <w:rPr>
          <w:color w:val="231F20"/>
          <w:w w:val="105"/>
        </w:rPr>
        <w:t>recursos</w:t>
      </w:r>
      <w:r>
        <w:rPr>
          <w:color w:val="231F20"/>
          <w:spacing w:val="-15"/>
          <w:w w:val="105"/>
        </w:rPr>
        <w:t> </w:t>
      </w:r>
      <w:r>
        <w:rPr>
          <w:color w:val="231F20"/>
          <w:w w:val="105"/>
        </w:rPr>
        <w:t>intercambiados</w:t>
      </w:r>
      <w:r>
        <w:rPr>
          <w:color w:val="231F20"/>
          <w:spacing w:val="-15"/>
          <w:w w:val="105"/>
        </w:rPr>
        <w:t> </w:t>
      </w:r>
      <w:r>
        <w:rPr>
          <w:color w:val="231F20"/>
          <w:w w:val="105"/>
        </w:rPr>
        <w:t>entre</w:t>
      </w:r>
      <w:r>
        <w:rPr>
          <w:color w:val="231F20"/>
          <w:spacing w:val="-15"/>
          <w:w w:val="105"/>
        </w:rPr>
        <w:t> </w:t>
      </w:r>
      <w:r>
        <w:rPr>
          <w:color w:val="231F20"/>
          <w:w w:val="105"/>
        </w:rPr>
        <w:t>actores.</w:t>
      </w:r>
      <w:r>
        <w:rPr>
          <w:color w:val="231F20"/>
          <w:spacing w:val="-20"/>
          <w:w w:val="105"/>
        </w:rPr>
        <w:t> </w:t>
      </w:r>
      <w:r>
        <w:rPr>
          <w:color w:val="231F20"/>
          <w:spacing w:val="-6"/>
          <w:w w:val="105"/>
        </w:rPr>
        <w:t>Por</w:t>
      </w:r>
      <w:r>
        <w:rPr>
          <w:color w:val="231F20"/>
          <w:spacing w:val="-15"/>
          <w:w w:val="105"/>
        </w:rPr>
        <w:t> </w:t>
      </w:r>
      <w:r>
        <w:rPr>
          <w:color w:val="231F20"/>
          <w:w w:val="105"/>
        </w:rPr>
        <w:t>tal</w:t>
      </w:r>
      <w:r>
        <w:rPr>
          <w:color w:val="231F20"/>
          <w:spacing w:val="-15"/>
          <w:w w:val="105"/>
        </w:rPr>
        <w:t> </w:t>
      </w:r>
      <w:r>
        <w:rPr>
          <w:color w:val="231F20"/>
          <w:w w:val="105"/>
        </w:rPr>
        <w:t>motivo,</w:t>
      </w:r>
      <w:r>
        <w:rPr>
          <w:color w:val="231F20"/>
          <w:spacing w:val="-20"/>
          <w:w w:val="105"/>
        </w:rPr>
        <w:t> </w:t>
      </w:r>
      <w:r>
        <w:rPr>
          <w:color w:val="231F20"/>
          <w:w w:val="105"/>
        </w:rPr>
        <w:t>se</w:t>
      </w:r>
      <w:r>
        <w:rPr>
          <w:color w:val="231F20"/>
          <w:spacing w:val="-15"/>
          <w:w w:val="105"/>
        </w:rPr>
        <w:t> </w:t>
      </w:r>
      <w:r>
        <w:rPr>
          <w:color w:val="231F20"/>
          <w:w w:val="105"/>
        </w:rPr>
        <w:t>plan-</w:t>
      </w:r>
    </w:p>
    <w:p>
      <w:pPr>
        <w:spacing w:after="0" w:line="259" w:lineRule="auto"/>
        <w:jc w:val="both"/>
        <w:sectPr>
          <w:type w:val="continuous"/>
          <w:pgSz w:w="9640" w:h="13890"/>
          <w:pgMar w:top="1300" w:bottom="280" w:left="1300" w:right="1200"/>
        </w:sectPr>
      </w:pPr>
    </w:p>
    <w:p>
      <w:pPr>
        <w:pStyle w:val="BodyText"/>
        <w:spacing w:line="259" w:lineRule="auto" w:before="120"/>
        <w:ind w:left="123" w:right="129"/>
      </w:pPr>
      <w:r>
        <w:rPr>
          <w:color w:val="231F20"/>
          <w:w w:val="105"/>
        </w:rPr>
        <w:t>tea</w:t>
      </w:r>
      <w:r>
        <w:rPr>
          <w:color w:val="231F20"/>
          <w:spacing w:val="-19"/>
          <w:w w:val="105"/>
        </w:rPr>
        <w:t> </w:t>
      </w:r>
      <w:r>
        <w:rPr>
          <w:color w:val="231F20"/>
          <w:w w:val="105"/>
        </w:rPr>
        <w:t>complementar</w:t>
      </w:r>
      <w:r>
        <w:rPr>
          <w:color w:val="231F20"/>
          <w:spacing w:val="-19"/>
          <w:w w:val="105"/>
        </w:rPr>
        <w:t> </w:t>
      </w:r>
      <w:r>
        <w:rPr>
          <w:color w:val="231F20"/>
          <w:w w:val="105"/>
        </w:rPr>
        <w:t>este</w:t>
      </w:r>
      <w:r>
        <w:rPr>
          <w:color w:val="231F20"/>
          <w:spacing w:val="-19"/>
          <w:w w:val="105"/>
        </w:rPr>
        <w:t> </w:t>
      </w:r>
      <w:r>
        <w:rPr>
          <w:color w:val="231F20"/>
          <w:w w:val="105"/>
        </w:rPr>
        <w:t>enfoque</w:t>
      </w:r>
      <w:r>
        <w:rPr>
          <w:color w:val="231F20"/>
          <w:spacing w:val="-19"/>
          <w:w w:val="105"/>
        </w:rPr>
        <w:t> </w:t>
      </w:r>
      <w:r>
        <w:rPr>
          <w:color w:val="231F20"/>
          <w:w w:val="105"/>
        </w:rPr>
        <w:t>con</w:t>
      </w:r>
      <w:r>
        <w:rPr>
          <w:color w:val="231F20"/>
          <w:spacing w:val="-19"/>
          <w:w w:val="105"/>
        </w:rPr>
        <w:t> </w:t>
      </w:r>
      <w:r>
        <w:rPr>
          <w:color w:val="231F20"/>
          <w:w w:val="105"/>
        </w:rPr>
        <w:t>otras</w:t>
      </w:r>
      <w:r>
        <w:rPr>
          <w:color w:val="231F20"/>
          <w:spacing w:val="-19"/>
          <w:w w:val="105"/>
        </w:rPr>
        <w:t> </w:t>
      </w:r>
      <w:r>
        <w:rPr>
          <w:color w:val="231F20"/>
          <w:w w:val="105"/>
        </w:rPr>
        <w:t>alternativas</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finalidad</w:t>
      </w:r>
      <w:r>
        <w:rPr>
          <w:color w:val="231F20"/>
          <w:spacing w:val="-19"/>
          <w:w w:val="105"/>
        </w:rPr>
        <w:t> </w:t>
      </w:r>
      <w:r>
        <w:rPr>
          <w:color w:val="231F20"/>
          <w:w w:val="105"/>
        </w:rPr>
        <w:t>de indagar</w:t>
      </w:r>
      <w:r>
        <w:rPr>
          <w:color w:val="231F20"/>
          <w:spacing w:val="-15"/>
          <w:w w:val="105"/>
        </w:rPr>
        <w:t> </w:t>
      </w:r>
      <w:r>
        <w:rPr>
          <w:color w:val="231F20"/>
          <w:w w:val="105"/>
        </w:rPr>
        <w:t>cualitativamente</w:t>
      </w:r>
      <w:r>
        <w:rPr>
          <w:color w:val="231F20"/>
          <w:spacing w:val="-15"/>
          <w:w w:val="105"/>
        </w:rPr>
        <w:t> </w:t>
      </w:r>
      <w:r>
        <w:rPr>
          <w:color w:val="231F20"/>
          <w:w w:val="105"/>
        </w:rPr>
        <w:t>el</w:t>
      </w:r>
      <w:r>
        <w:rPr>
          <w:color w:val="231F20"/>
          <w:spacing w:val="-15"/>
          <w:w w:val="105"/>
        </w:rPr>
        <w:t> </w:t>
      </w:r>
      <w:r>
        <w:rPr>
          <w:color w:val="231F20"/>
          <w:w w:val="105"/>
        </w:rPr>
        <w:t>contenido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enlaces.</w:t>
      </w:r>
    </w:p>
    <w:p>
      <w:pPr>
        <w:pStyle w:val="BodyText"/>
        <w:spacing w:before="2"/>
      </w:pPr>
    </w:p>
    <w:p>
      <w:pPr>
        <w:spacing w:line="249" w:lineRule="auto" w:before="0"/>
        <w:ind w:left="2255" w:right="1559" w:hanging="695"/>
        <w:jc w:val="left"/>
        <w:rPr>
          <w:sz w:val="18"/>
        </w:rPr>
      </w:pPr>
      <w:r>
        <w:rPr>
          <w:color w:val="231F20"/>
          <w:w w:val="105"/>
          <w:sz w:val="18"/>
        </w:rPr>
        <w:t>Figura</w:t>
      </w:r>
      <w:r>
        <w:rPr>
          <w:color w:val="231F20"/>
          <w:spacing w:val="-21"/>
          <w:w w:val="105"/>
          <w:sz w:val="18"/>
        </w:rPr>
        <w:t> </w:t>
      </w:r>
      <w:r>
        <w:rPr>
          <w:color w:val="231F20"/>
          <w:w w:val="105"/>
          <w:sz w:val="18"/>
        </w:rPr>
        <w:t>4.</w:t>
      </w:r>
      <w:r>
        <w:rPr>
          <w:color w:val="231F20"/>
          <w:spacing w:val="-25"/>
          <w:w w:val="105"/>
          <w:sz w:val="18"/>
        </w:rPr>
        <w:t> </w:t>
      </w:r>
      <w:r>
        <w:rPr>
          <w:color w:val="231F20"/>
          <w:w w:val="105"/>
          <w:sz w:val="18"/>
        </w:rPr>
        <w:t>Indicadores</w:t>
      </w:r>
      <w:r>
        <w:rPr>
          <w:color w:val="231F20"/>
          <w:spacing w:val="-21"/>
          <w:w w:val="105"/>
          <w:sz w:val="18"/>
        </w:rPr>
        <w:t> </w:t>
      </w:r>
      <w:r>
        <w:rPr>
          <w:color w:val="231F20"/>
          <w:w w:val="105"/>
          <w:sz w:val="18"/>
        </w:rPr>
        <w:t>estructurales</w:t>
      </w:r>
      <w:r>
        <w:rPr>
          <w:color w:val="231F20"/>
          <w:spacing w:val="-21"/>
          <w:w w:val="105"/>
          <w:sz w:val="18"/>
        </w:rPr>
        <w:t> </w:t>
      </w:r>
      <w:r>
        <w:rPr>
          <w:color w:val="231F20"/>
          <w:w w:val="105"/>
          <w:sz w:val="18"/>
        </w:rPr>
        <w:t>y</w:t>
      </w:r>
      <w:r>
        <w:rPr>
          <w:color w:val="231F20"/>
          <w:spacing w:val="-21"/>
          <w:w w:val="105"/>
          <w:sz w:val="18"/>
        </w:rPr>
        <w:t> </w:t>
      </w:r>
      <w:r>
        <w:rPr>
          <w:color w:val="231F20"/>
          <w:w w:val="105"/>
          <w:sz w:val="18"/>
        </w:rPr>
        <w:t>posicionales en</w:t>
      </w:r>
      <w:r>
        <w:rPr>
          <w:color w:val="231F20"/>
          <w:spacing w:val="-28"/>
          <w:w w:val="105"/>
          <w:sz w:val="18"/>
        </w:rPr>
        <w:t> </w:t>
      </w:r>
      <w:r>
        <w:rPr>
          <w:color w:val="231F20"/>
          <w:w w:val="105"/>
          <w:sz w:val="18"/>
        </w:rPr>
        <w:t>el</w:t>
      </w:r>
      <w:r>
        <w:rPr>
          <w:color w:val="231F20"/>
          <w:spacing w:val="-30"/>
          <w:w w:val="105"/>
          <w:sz w:val="18"/>
        </w:rPr>
        <w:t> </w:t>
      </w:r>
      <w:r>
        <w:rPr>
          <w:color w:val="231F20"/>
          <w:w w:val="105"/>
          <w:sz w:val="18"/>
        </w:rPr>
        <w:t>Análisis</w:t>
      </w:r>
      <w:r>
        <w:rPr>
          <w:color w:val="231F20"/>
          <w:spacing w:val="-28"/>
          <w:w w:val="105"/>
          <w:sz w:val="18"/>
        </w:rPr>
        <w:t> </w:t>
      </w:r>
      <w:r>
        <w:rPr>
          <w:color w:val="231F20"/>
          <w:w w:val="105"/>
          <w:sz w:val="18"/>
        </w:rPr>
        <w:t>de</w:t>
      </w:r>
      <w:r>
        <w:rPr>
          <w:color w:val="231F20"/>
          <w:spacing w:val="-28"/>
          <w:w w:val="105"/>
          <w:sz w:val="18"/>
        </w:rPr>
        <w:t> </w:t>
      </w:r>
      <w:r>
        <w:rPr>
          <w:color w:val="231F20"/>
          <w:w w:val="105"/>
          <w:sz w:val="18"/>
        </w:rPr>
        <w:t>Redes</w:t>
      </w:r>
      <w:r>
        <w:rPr>
          <w:color w:val="231F20"/>
          <w:spacing w:val="-28"/>
          <w:w w:val="105"/>
          <w:sz w:val="18"/>
        </w:rPr>
        <w:t> </w:t>
      </w:r>
      <w:r>
        <w:rPr>
          <w:color w:val="231F20"/>
          <w:w w:val="105"/>
          <w:sz w:val="18"/>
        </w:rPr>
        <w:t>Sociales.</w:t>
      </w:r>
    </w:p>
    <w:p>
      <w:pPr>
        <w:pStyle w:val="BodyText"/>
        <w:spacing w:before="9"/>
        <w:rPr>
          <w:sz w:val="12"/>
        </w:rPr>
      </w:pPr>
    </w:p>
    <w:tbl>
      <w:tblPr>
        <w:tblW w:w="0" w:type="auto"/>
        <w:jc w:val="left"/>
        <w:tblInd w:w="103"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411"/>
        <w:gridCol w:w="1379"/>
        <w:gridCol w:w="5161"/>
      </w:tblGrid>
      <w:tr>
        <w:trPr>
          <w:trHeight w:val="340" w:hRule="exact"/>
        </w:trPr>
        <w:tc>
          <w:tcPr>
            <w:tcW w:w="1791" w:type="dxa"/>
            <w:gridSpan w:val="2"/>
          </w:tcPr>
          <w:p>
            <w:pPr>
              <w:pStyle w:val="TableParagraph"/>
              <w:spacing w:before="88"/>
              <w:ind w:left="501"/>
              <w:rPr>
                <w:sz w:val="18"/>
              </w:rPr>
            </w:pPr>
            <w:r>
              <w:rPr>
                <w:color w:val="231F20"/>
                <w:w w:val="105"/>
                <w:sz w:val="18"/>
              </w:rPr>
              <w:t>Indicador</w:t>
            </w:r>
          </w:p>
        </w:tc>
        <w:tc>
          <w:tcPr>
            <w:tcW w:w="5161" w:type="dxa"/>
          </w:tcPr>
          <w:p>
            <w:pPr>
              <w:pStyle w:val="TableParagraph"/>
              <w:spacing w:before="88"/>
              <w:ind w:left="2064" w:right="2064"/>
              <w:jc w:val="center"/>
              <w:rPr>
                <w:sz w:val="18"/>
              </w:rPr>
            </w:pPr>
            <w:r>
              <w:rPr>
                <w:color w:val="231F20"/>
                <w:w w:val="105"/>
                <w:sz w:val="18"/>
              </w:rPr>
              <w:t>Descripción</w:t>
            </w:r>
          </w:p>
        </w:tc>
      </w:tr>
      <w:tr>
        <w:trPr>
          <w:trHeight w:val="1088" w:hRule="exact"/>
        </w:trPr>
        <w:tc>
          <w:tcPr>
            <w:tcW w:w="411" w:type="dxa"/>
            <w:vMerge w:val="restart"/>
            <w:textDirection w:val="btLr"/>
          </w:tcPr>
          <w:p>
            <w:pPr>
              <w:pStyle w:val="TableParagraph"/>
              <w:spacing w:before="133"/>
              <w:ind w:left="179"/>
              <w:rPr>
                <w:sz w:val="16"/>
              </w:rPr>
            </w:pPr>
            <w:r>
              <w:rPr>
                <w:color w:val="231F20"/>
                <w:spacing w:val="-1"/>
                <w:w w:val="106"/>
                <w:sz w:val="16"/>
              </w:rPr>
              <w:t>Indicado</w:t>
            </w:r>
            <w:r>
              <w:rPr>
                <w:color w:val="231F20"/>
                <w:spacing w:val="-4"/>
                <w:w w:val="106"/>
                <w:sz w:val="16"/>
              </w:rPr>
              <w:t>r</w:t>
            </w:r>
            <w:r>
              <w:rPr>
                <w:color w:val="231F20"/>
                <w:spacing w:val="-1"/>
                <w:w w:val="96"/>
                <w:sz w:val="16"/>
              </w:rPr>
              <w:t>e</w:t>
            </w:r>
            <w:r>
              <w:rPr>
                <w:color w:val="231F20"/>
                <w:w w:val="96"/>
                <w:sz w:val="16"/>
              </w:rPr>
              <w:t>s</w:t>
            </w:r>
            <w:r>
              <w:rPr>
                <w:color w:val="231F20"/>
                <w:spacing w:val="-7"/>
                <w:sz w:val="16"/>
              </w:rPr>
              <w:t> </w:t>
            </w:r>
            <w:r>
              <w:rPr>
                <w:color w:val="231F20"/>
                <w:spacing w:val="-1"/>
                <w:w w:val="103"/>
                <w:sz w:val="16"/>
              </w:rPr>
              <w:t>estructu</w:t>
            </w:r>
            <w:r>
              <w:rPr>
                <w:color w:val="231F20"/>
                <w:spacing w:val="-3"/>
                <w:w w:val="103"/>
                <w:sz w:val="16"/>
              </w:rPr>
              <w:t>r</w:t>
            </w:r>
            <w:r>
              <w:rPr>
                <w:color w:val="231F20"/>
                <w:spacing w:val="-1"/>
                <w:w w:val="98"/>
                <w:sz w:val="16"/>
              </w:rPr>
              <w:t>ales</w:t>
            </w:r>
          </w:p>
        </w:tc>
        <w:tc>
          <w:tcPr>
            <w:tcW w:w="1379" w:type="dxa"/>
          </w:tcPr>
          <w:p>
            <w:pPr>
              <w:pStyle w:val="TableParagraph"/>
              <w:spacing w:before="87"/>
              <w:ind w:left="77"/>
              <w:rPr>
                <w:sz w:val="16"/>
              </w:rPr>
            </w:pPr>
            <w:r>
              <w:rPr>
                <w:color w:val="231F20"/>
                <w:w w:val="105"/>
                <w:sz w:val="16"/>
              </w:rPr>
              <w:t>Densidad</w:t>
            </w:r>
          </w:p>
        </w:tc>
        <w:tc>
          <w:tcPr>
            <w:tcW w:w="5161" w:type="dxa"/>
          </w:tcPr>
          <w:p>
            <w:pPr>
              <w:pStyle w:val="TableParagraph"/>
              <w:numPr>
                <w:ilvl w:val="0"/>
                <w:numId w:val="40"/>
              </w:numPr>
              <w:tabs>
                <w:tab w:pos="220" w:val="left" w:leader="none"/>
              </w:tabs>
              <w:spacing w:line="249" w:lineRule="auto" w:before="87" w:after="0"/>
              <w:ind w:left="219" w:right="75" w:hanging="142"/>
              <w:jc w:val="both"/>
              <w:rPr>
                <w:sz w:val="16"/>
              </w:rPr>
            </w:pPr>
            <w:r>
              <w:rPr>
                <w:color w:val="231F20"/>
                <w:sz w:val="16"/>
              </w:rPr>
              <w:t>Muestra en porcentaje qué tan densa es la red: si el valor se aproxi- ma a 100% se trata de una estructura</w:t>
            </w:r>
            <w:r>
              <w:rPr>
                <w:color w:val="231F20"/>
                <w:spacing w:val="3"/>
                <w:sz w:val="16"/>
              </w:rPr>
              <w:t> </w:t>
            </w:r>
            <w:r>
              <w:rPr>
                <w:color w:val="231F20"/>
                <w:sz w:val="16"/>
              </w:rPr>
              <w:t>densa.</w:t>
            </w:r>
          </w:p>
          <w:p>
            <w:pPr>
              <w:pStyle w:val="TableParagraph"/>
              <w:numPr>
                <w:ilvl w:val="0"/>
                <w:numId w:val="40"/>
              </w:numPr>
              <w:tabs>
                <w:tab w:pos="220" w:val="left" w:leader="none"/>
              </w:tabs>
              <w:spacing w:line="249" w:lineRule="auto" w:before="1" w:after="0"/>
              <w:ind w:left="219" w:right="75" w:hanging="142"/>
              <w:jc w:val="both"/>
              <w:rPr>
                <w:sz w:val="16"/>
              </w:rPr>
            </w:pPr>
            <w:r>
              <w:rPr>
                <w:color w:val="231F20"/>
                <w:w w:val="105"/>
                <w:sz w:val="16"/>
              </w:rPr>
              <w:t>Número</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conexiones</w:t>
            </w:r>
            <w:r>
              <w:rPr>
                <w:color w:val="231F20"/>
                <w:spacing w:val="-16"/>
                <w:w w:val="105"/>
                <w:sz w:val="16"/>
              </w:rPr>
              <w:t> </w:t>
            </w:r>
            <w:r>
              <w:rPr>
                <w:color w:val="231F20"/>
                <w:w w:val="105"/>
                <w:sz w:val="16"/>
              </w:rPr>
              <w:t>establecidas</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relación</w:t>
            </w:r>
            <w:r>
              <w:rPr>
                <w:color w:val="231F20"/>
                <w:spacing w:val="-16"/>
                <w:w w:val="105"/>
                <w:sz w:val="16"/>
              </w:rPr>
              <w:t> </w:t>
            </w:r>
            <w:r>
              <w:rPr>
                <w:color w:val="231F20"/>
                <w:w w:val="105"/>
                <w:sz w:val="16"/>
              </w:rPr>
              <w:t>con</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máximo</w:t>
            </w:r>
            <w:r>
              <w:rPr>
                <w:color w:val="231F20"/>
                <w:spacing w:val="-16"/>
                <w:w w:val="105"/>
                <w:sz w:val="16"/>
              </w:rPr>
              <w:t> </w:t>
            </w:r>
            <w:r>
              <w:rPr>
                <w:color w:val="231F20"/>
                <w:w w:val="105"/>
                <w:sz w:val="16"/>
              </w:rPr>
              <w:t>nú- mero</w:t>
            </w:r>
            <w:r>
              <w:rPr>
                <w:color w:val="231F20"/>
                <w:spacing w:val="-16"/>
                <w:w w:val="105"/>
                <w:sz w:val="16"/>
              </w:rPr>
              <w:t> </w:t>
            </w:r>
            <w:r>
              <w:rPr>
                <w:color w:val="231F20"/>
                <w:w w:val="105"/>
                <w:sz w:val="16"/>
              </w:rPr>
              <w:t>que</w:t>
            </w:r>
            <w:r>
              <w:rPr>
                <w:color w:val="231F20"/>
                <w:spacing w:val="-16"/>
                <w:w w:val="105"/>
                <w:sz w:val="16"/>
              </w:rPr>
              <w:t> </w:t>
            </w:r>
            <w:r>
              <w:rPr>
                <w:color w:val="231F20"/>
                <w:w w:val="105"/>
                <w:sz w:val="16"/>
              </w:rPr>
              <w:t>pudiera</w:t>
            </w:r>
            <w:r>
              <w:rPr>
                <w:color w:val="231F20"/>
                <w:spacing w:val="-16"/>
                <w:w w:val="105"/>
                <w:sz w:val="16"/>
              </w:rPr>
              <w:t> </w:t>
            </w:r>
            <w:r>
              <w:rPr>
                <w:color w:val="231F20"/>
                <w:w w:val="105"/>
                <w:sz w:val="16"/>
              </w:rPr>
              <w:t>llevarse</w:t>
            </w:r>
            <w:r>
              <w:rPr>
                <w:color w:val="231F20"/>
                <w:spacing w:val="-16"/>
                <w:w w:val="105"/>
                <w:sz w:val="16"/>
              </w:rPr>
              <w:t> </w:t>
            </w:r>
            <w:r>
              <w:rPr>
                <w:color w:val="231F20"/>
                <w:w w:val="105"/>
                <w:sz w:val="16"/>
              </w:rPr>
              <w:t>a</w:t>
            </w:r>
            <w:r>
              <w:rPr>
                <w:color w:val="231F20"/>
                <w:spacing w:val="-16"/>
                <w:w w:val="105"/>
                <w:sz w:val="16"/>
              </w:rPr>
              <w:t> </w:t>
            </w:r>
            <w:r>
              <w:rPr>
                <w:color w:val="231F20"/>
                <w:w w:val="105"/>
                <w:sz w:val="16"/>
              </w:rPr>
              <w:t>cabo</w:t>
            </w:r>
            <w:r>
              <w:rPr>
                <w:color w:val="231F20"/>
                <w:spacing w:val="-16"/>
                <w:w w:val="105"/>
                <w:sz w:val="16"/>
              </w:rPr>
              <w:t> </w:t>
            </w:r>
            <w:r>
              <w:rPr>
                <w:color w:val="231F20"/>
                <w:w w:val="105"/>
                <w:sz w:val="16"/>
              </w:rPr>
              <w:t>si</w:t>
            </w:r>
            <w:r>
              <w:rPr>
                <w:color w:val="231F20"/>
                <w:spacing w:val="-16"/>
                <w:w w:val="105"/>
                <w:sz w:val="16"/>
              </w:rPr>
              <w:t> </w:t>
            </w:r>
            <w:r>
              <w:rPr>
                <w:color w:val="231F20"/>
                <w:w w:val="105"/>
                <w:sz w:val="16"/>
              </w:rPr>
              <w:t>todos</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participantes</w:t>
            </w:r>
            <w:r>
              <w:rPr>
                <w:color w:val="231F20"/>
                <w:spacing w:val="-16"/>
                <w:w w:val="105"/>
                <w:sz w:val="16"/>
              </w:rPr>
              <w:t> </w:t>
            </w:r>
            <w:r>
              <w:rPr>
                <w:color w:val="231F20"/>
                <w:w w:val="105"/>
                <w:sz w:val="16"/>
              </w:rPr>
              <w:t>estuvie- ran</w:t>
            </w:r>
            <w:r>
              <w:rPr>
                <w:color w:val="231F20"/>
                <w:spacing w:val="-16"/>
                <w:w w:val="105"/>
                <w:sz w:val="16"/>
              </w:rPr>
              <w:t> </w:t>
            </w:r>
            <w:r>
              <w:rPr>
                <w:color w:val="231F20"/>
                <w:w w:val="105"/>
                <w:sz w:val="16"/>
              </w:rPr>
              <w:t>enlazados</w:t>
            </w:r>
            <w:r>
              <w:rPr>
                <w:color w:val="231F20"/>
                <w:spacing w:val="-16"/>
                <w:w w:val="105"/>
                <w:sz w:val="16"/>
              </w:rPr>
              <w:t> </w:t>
            </w:r>
            <w:r>
              <w:rPr>
                <w:color w:val="231F20"/>
                <w:w w:val="105"/>
                <w:sz w:val="16"/>
              </w:rPr>
              <w:t>directamente</w:t>
            </w:r>
            <w:r>
              <w:rPr>
                <w:color w:val="231F20"/>
                <w:spacing w:val="-16"/>
                <w:w w:val="105"/>
                <w:sz w:val="16"/>
              </w:rPr>
              <w:t> </w:t>
            </w:r>
            <w:r>
              <w:rPr>
                <w:color w:val="231F20"/>
                <w:w w:val="105"/>
                <w:sz w:val="16"/>
              </w:rPr>
              <w:t>con</w:t>
            </w:r>
            <w:r>
              <w:rPr>
                <w:color w:val="231F20"/>
                <w:spacing w:val="-16"/>
                <w:w w:val="105"/>
                <w:sz w:val="16"/>
              </w:rPr>
              <w:t> </w:t>
            </w:r>
            <w:r>
              <w:rPr>
                <w:color w:val="231F20"/>
                <w:w w:val="105"/>
                <w:sz w:val="16"/>
              </w:rPr>
              <w:t>todos</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demás</w:t>
            </w:r>
          </w:p>
        </w:tc>
      </w:tr>
      <w:tr>
        <w:trPr>
          <w:trHeight w:val="1088" w:hRule="exact"/>
        </w:trPr>
        <w:tc>
          <w:tcPr>
            <w:tcW w:w="411" w:type="dxa"/>
            <w:vMerge/>
            <w:textDirection w:val="btLr"/>
          </w:tcPr>
          <w:p>
            <w:pPr/>
          </w:p>
        </w:tc>
        <w:tc>
          <w:tcPr>
            <w:tcW w:w="1379" w:type="dxa"/>
          </w:tcPr>
          <w:p>
            <w:pPr>
              <w:pStyle w:val="TableParagraph"/>
              <w:spacing w:before="87"/>
              <w:ind w:left="77"/>
              <w:rPr>
                <w:sz w:val="16"/>
              </w:rPr>
            </w:pPr>
            <w:r>
              <w:rPr>
                <w:color w:val="231F20"/>
                <w:sz w:val="16"/>
              </w:rPr>
              <w:t>Distancia</w:t>
            </w:r>
          </w:p>
        </w:tc>
        <w:tc>
          <w:tcPr>
            <w:tcW w:w="5161" w:type="dxa"/>
          </w:tcPr>
          <w:p>
            <w:pPr>
              <w:pStyle w:val="TableParagraph"/>
              <w:numPr>
                <w:ilvl w:val="0"/>
                <w:numId w:val="41"/>
              </w:numPr>
              <w:tabs>
                <w:tab w:pos="220" w:val="left" w:leader="none"/>
              </w:tabs>
              <w:spacing w:line="249" w:lineRule="auto" w:before="87" w:after="0"/>
              <w:ind w:left="219" w:right="75" w:hanging="142"/>
              <w:jc w:val="left"/>
              <w:rPr>
                <w:sz w:val="16"/>
              </w:rPr>
            </w:pPr>
            <w:r>
              <w:rPr>
                <w:color w:val="231F20"/>
                <w:w w:val="105"/>
                <w:sz w:val="16"/>
              </w:rPr>
              <w:t>Se</w:t>
            </w:r>
            <w:r>
              <w:rPr>
                <w:color w:val="231F20"/>
                <w:spacing w:val="-8"/>
                <w:w w:val="105"/>
                <w:sz w:val="16"/>
              </w:rPr>
              <w:t> </w:t>
            </w:r>
            <w:r>
              <w:rPr>
                <w:color w:val="231F20"/>
                <w:w w:val="105"/>
                <w:sz w:val="16"/>
              </w:rPr>
              <w:t>basa</w:t>
            </w:r>
            <w:r>
              <w:rPr>
                <w:color w:val="231F20"/>
                <w:spacing w:val="-8"/>
                <w:w w:val="105"/>
                <w:sz w:val="16"/>
              </w:rPr>
              <w:t> </w:t>
            </w:r>
            <w:r>
              <w:rPr>
                <w:color w:val="231F20"/>
                <w:w w:val="105"/>
                <w:sz w:val="16"/>
              </w:rPr>
              <w:t>en</w:t>
            </w:r>
            <w:r>
              <w:rPr>
                <w:color w:val="231F20"/>
                <w:spacing w:val="-8"/>
                <w:w w:val="105"/>
                <w:sz w:val="16"/>
              </w:rPr>
              <w:t> </w:t>
            </w:r>
            <w:r>
              <w:rPr>
                <w:color w:val="231F20"/>
                <w:w w:val="105"/>
                <w:sz w:val="16"/>
              </w:rPr>
              <w:t>la</w:t>
            </w:r>
            <w:r>
              <w:rPr>
                <w:color w:val="231F20"/>
                <w:spacing w:val="-8"/>
                <w:w w:val="105"/>
                <w:sz w:val="16"/>
              </w:rPr>
              <w:t> </w:t>
            </w:r>
            <w:r>
              <w:rPr>
                <w:color w:val="231F20"/>
                <w:w w:val="105"/>
                <w:sz w:val="16"/>
              </w:rPr>
              <w:t>noción</w:t>
            </w:r>
            <w:r>
              <w:rPr>
                <w:color w:val="231F20"/>
                <w:spacing w:val="-8"/>
                <w:w w:val="105"/>
                <w:sz w:val="16"/>
              </w:rPr>
              <w:t> </w:t>
            </w:r>
            <w:r>
              <w:rPr>
                <w:color w:val="231F20"/>
                <w:w w:val="105"/>
                <w:sz w:val="16"/>
              </w:rPr>
              <w:t>de</w:t>
            </w:r>
            <w:r>
              <w:rPr>
                <w:color w:val="231F20"/>
                <w:spacing w:val="-8"/>
                <w:w w:val="105"/>
                <w:sz w:val="16"/>
              </w:rPr>
              <w:t> </w:t>
            </w:r>
            <w:r>
              <w:rPr>
                <w:color w:val="231F20"/>
                <w:w w:val="105"/>
                <w:sz w:val="16"/>
              </w:rPr>
              <w:t>distancia</w:t>
            </w:r>
            <w:r>
              <w:rPr>
                <w:color w:val="231F20"/>
                <w:spacing w:val="-8"/>
                <w:w w:val="105"/>
                <w:sz w:val="16"/>
              </w:rPr>
              <w:t> </w:t>
            </w:r>
            <w:r>
              <w:rPr>
                <w:color w:val="231F20"/>
                <w:w w:val="105"/>
                <w:sz w:val="16"/>
              </w:rPr>
              <w:t>geodésica,</w:t>
            </w:r>
            <w:r>
              <w:rPr>
                <w:color w:val="231F20"/>
                <w:spacing w:val="-12"/>
                <w:w w:val="105"/>
                <w:sz w:val="16"/>
              </w:rPr>
              <w:t> </w:t>
            </w:r>
            <w:r>
              <w:rPr>
                <w:color w:val="231F20"/>
                <w:w w:val="105"/>
                <w:sz w:val="16"/>
              </w:rPr>
              <w:t>definida</w:t>
            </w:r>
            <w:r>
              <w:rPr>
                <w:color w:val="231F20"/>
                <w:spacing w:val="-8"/>
                <w:w w:val="105"/>
                <w:sz w:val="16"/>
              </w:rPr>
              <w:t> </w:t>
            </w:r>
            <w:r>
              <w:rPr>
                <w:color w:val="231F20"/>
                <w:w w:val="105"/>
                <w:sz w:val="16"/>
              </w:rPr>
              <w:t>como</w:t>
            </w:r>
            <w:r>
              <w:rPr>
                <w:color w:val="231F20"/>
                <w:spacing w:val="-8"/>
                <w:w w:val="105"/>
                <w:sz w:val="16"/>
              </w:rPr>
              <w:t> </w:t>
            </w:r>
            <w:r>
              <w:rPr>
                <w:color w:val="231F20"/>
                <w:w w:val="105"/>
                <w:sz w:val="16"/>
              </w:rPr>
              <w:t>el</w:t>
            </w:r>
            <w:r>
              <w:rPr>
                <w:color w:val="231F20"/>
                <w:spacing w:val="-8"/>
                <w:w w:val="105"/>
                <w:sz w:val="16"/>
              </w:rPr>
              <w:t> </w:t>
            </w:r>
            <w:r>
              <w:rPr>
                <w:color w:val="231F20"/>
                <w:w w:val="105"/>
                <w:sz w:val="16"/>
              </w:rPr>
              <w:t>tra- yecto</w:t>
            </w:r>
            <w:r>
              <w:rPr>
                <w:color w:val="231F20"/>
                <w:spacing w:val="-12"/>
                <w:w w:val="105"/>
                <w:sz w:val="16"/>
              </w:rPr>
              <w:t> </w:t>
            </w:r>
            <w:r>
              <w:rPr>
                <w:color w:val="231F20"/>
                <w:w w:val="105"/>
                <w:sz w:val="16"/>
              </w:rPr>
              <w:t>más</w:t>
            </w:r>
            <w:r>
              <w:rPr>
                <w:color w:val="231F20"/>
                <w:spacing w:val="-12"/>
                <w:w w:val="105"/>
                <w:sz w:val="16"/>
              </w:rPr>
              <w:t> </w:t>
            </w:r>
            <w:r>
              <w:rPr>
                <w:color w:val="231F20"/>
                <w:w w:val="105"/>
                <w:sz w:val="16"/>
              </w:rPr>
              <w:t>corto</w:t>
            </w:r>
            <w:r>
              <w:rPr>
                <w:color w:val="231F20"/>
                <w:spacing w:val="-12"/>
                <w:w w:val="105"/>
                <w:sz w:val="16"/>
              </w:rPr>
              <w:t> </w:t>
            </w:r>
            <w:r>
              <w:rPr>
                <w:color w:val="231F20"/>
                <w:w w:val="105"/>
                <w:sz w:val="16"/>
              </w:rPr>
              <w:t>entre</w:t>
            </w:r>
            <w:r>
              <w:rPr>
                <w:color w:val="231F20"/>
                <w:spacing w:val="-12"/>
                <w:w w:val="105"/>
                <w:sz w:val="16"/>
              </w:rPr>
              <w:t> </w:t>
            </w:r>
            <w:r>
              <w:rPr>
                <w:color w:val="231F20"/>
                <w:w w:val="105"/>
                <w:sz w:val="16"/>
              </w:rPr>
              <w:t>pares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nodos.</w:t>
            </w:r>
          </w:p>
          <w:p>
            <w:pPr>
              <w:pStyle w:val="TableParagraph"/>
              <w:numPr>
                <w:ilvl w:val="0"/>
                <w:numId w:val="41"/>
              </w:numPr>
              <w:tabs>
                <w:tab w:pos="220" w:val="left" w:leader="none"/>
              </w:tabs>
              <w:spacing w:line="240" w:lineRule="auto" w:before="1" w:after="0"/>
              <w:ind w:left="219" w:right="0" w:hanging="142"/>
              <w:jc w:val="left"/>
              <w:rPr>
                <w:sz w:val="16"/>
              </w:rPr>
            </w:pPr>
            <w:r>
              <w:rPr>
                <w:color w:val="231F20"/>
                <w:sz w:val="16"/>
              </w:rPr>
              <w:t>Es la distancia media entre pares</w:t>
            </w:r>
            <w:r>
              <w:rPr>
                <w:color w:val="231F20"/>
                <w:spacing w:val="11"/>
                <w:sz w:val="16"/>
              </w:rPr>
              <w:t> </w:t>
            </w:r>
            <w:r>
              <w:rPr>
                <w:color w:val="231F20"/>
                <w:sz w:val="16"/>
              </w:rPr>
              <w:t>alcanzables</w:t>
            </w:r>
          </w:p>
          <w:p>
            <w:pPr>
              <w:pStyle w:val="TableParagraph"/>
              <w:numPr>
                <w:ilvl w:val="0"/>
                <w:numId w:val="41"/>
              </w:numPr>
              <w:tabs>
                <w:tab w:pos="220" w:val="left" w:leader="none"/>
              </w:tabs>
              <w:spacing w:line="249" w:lineRule="auto" w:before="8" w:after="0"/>
              <w:ind w:left="219" w:right="75" w:hanging="142"/>
              <w:jc w:val="left"/>
              <w:rPr>
                <w:sz w:val="16"/>
              </w:rPr>
            </w:pPr>
            <w:r>
              <w:rPr>
                <w:color w:val="231F20"/>
                <w:w w:val="105"/>
                <w:sz w:val="16"/>
              </w:rPr>
              <w:t>Mide la cohesión de la red (rango entre 0 y 1): mayor valor indica </w:t>
            </w:r>
            <w:r>
              <w:rPr>
                <w:color w:val="231F20"/>
                <w:sz w:val="16"/>
              </w:rPr>
              <w:t>más</w:t>
            </w:r>
            <w:r>
              <w:rPr>
                <w:color w:val="231F20"/>
                <w:spacing w:val="14"/>
                <w:sz w:val="16"/>
              </w:rPr>
              <w:t> </w:t>
            </w:r>
            <w:r>
              <w:rPr>
                <w:color w:val="231F20"/>
                <w:sz w:val="16"/>
              </w:rPr>
              <w:t>cohesión</w:t>
            </w:r>
          </w:p>
        </w:tc>
      </w:tr>
      <w:tr>
        <w:trPr>
          <w:trHeight w:val="2240" w:hRule="exact"/>
        </w:trPr>
        <w:tc>
          <w:tcPr>
            <w:tcW w:w="411" w:type="dxa"/>
            <w:vMerge w:val="restart"/>
            <w:textDirection w:val="btLr"/>
          </w:tcPr>
          <w:p>
            <w:pPr>
              <w:pStyle w:val="TableParagraph"/>
              <w:spacing w:before="133"/>
              <w:ind w:left="862"/>
              <w:rPr>
                <w:sz w:val="16"/>
              </w:rPr>
            </w:pPr>
            <w:r>
              <w:rPr>
                <w:color w:val="231F20"/>
                <w:spacing w:val="-1"/>
                <w:w w:val="106"/>
                <w:sz w:val="16"/>
              </w:rPr>
              <w:t>Indicado</w:t>
            </w:r>
            <w:r>
              <w:rPr>
                <w:color w:val="231F20"/>
                <w:spacing w:val="-4"/>
                <w:w w:val="106"/>
                <w:sz w:val="16"/>
              </w:rPr>
              <w:t>r</w:t>
            </w:r>
            <w:r>
              <w:rPr>
                <w:color w:val="231F20"/>
                <w:spacing w:val="-1"/>
                <w:w w:val="96"/>
                <w:sz w:val="16"/>
              </w:rPr>
              <w:t>e</w:t>
            </w:r>
            <w:r>
              <w:rPr>
                <w:color w:val="231F20"/>
                <w:w w:val="96"/>
                <w:sz w:val="16"/>
              </w:rPr>
              <w:t>s</w:t>
            </w:r>
            <w:r>
              <w:rPr>
                <w:color w:val="231F20"/>
                <w:spacing w:val="-7"/>
                <w:sz w:val="16"/>
              </w:rPr>
              <w:t> </w:t>
            </w:r>
            <w:r>
              <w:rPr>
                <w:color w:val="231F20"/>
                <w:spacing w:val="-1"/>
                <w:w w:val="103"/>
                <w:sz w:val="16"/>
              </w:rPr>
              <w:t>posicionales</w:t>
            </w:r>
          </w:p>
        </w:tc>
        <w:tc>
          <w:tcPr>
            <w:tcW w:w="1379" w:type="dxa"/>
          </w:tcPr>
          <w:p>
            <w:pPr>
              <w:pStyle w:val="TableParagraph"/>
              <w:spacing w:line="249" w:lineRule="auto" w:before="87"/>
              <w:ind w:left="77" w:right="68"/>
              <w:jc w:val="both"/>
              <w:rPr>
                <w:sz w:val="16"/>
              </w:rPr>
            </w:pPr>
            <w:r>
              <w:rPr>
                <w:color w:val="231F20"/>
                <w:w w:val="105"/>
                <w:sz w:val="16"/>
              </w:rPr>
              <w:t>Centralidad de grado e índice </w:t>
            </w:r>
            <w:r>
              <w:rPr>
                <w:color w:val="231F20"/>
                <w:sz w:val="16"/>
              </w:rPr>
              <w:t>de centralización</w:t>
            </w:r>
          </w:p>
        </w:tc>
        <w:tc>
          <w:tcPr>
            <w:tcW w:w="5161" w:type="dxa"/>
          </w:tcPr>
          <w:p>
            <w:pPr>
              <w:pStyle w:val="TableParagraph"/>
              <w:numPr>
                <w:ilvl w:val="0"/>
                <w:numId w:val="42"/>
              </w:numPr>
              <w:tabs>
                <w:tab w:pos="220" w:val="left" w:leader="none"/>
              </w:tabs>
              <w:spacing w:line="249" w:lineRule="auto" w:before="87" w:after="0"/>
              <w:ind w:left="219" w:right="75" w:hanging="142"/>
              <w:jc w:val="both"/>
              <w:rPr>
                <w:sz w:val="16"/>
              </w:rPr>
            </w:pPr>
            <w:r>
              <w:rPr>
                <w:color w:val="231F20"/>
                <w:w w:val="105"/>
                <w:sz w:val="16"/>
              </w:rPr>
              <w:t>Denota la posición central o periférica de un actor por medio del número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nodos</w:t>
            </w:r>
            <w:r>
              <w:rPr>
                <w:color w:val="231F20"/>
                <w:spacing w:val="-12"/>
                <w:w w:val="105"/>
                <w:sz w:val="16"/>
              </w:rPr>
              <w:t> </w:t>
            </w:r>
            <w:r>
              <w:rPr>
                <w:color w:val="231F20"/>
                <w:w w:val="105"/>
                <w:sz w:val="16"/>
              </w:rPr>
              <w:t>conectados</w:t>
            </w:r>
            <w:r>
              <w:rPr>
                <w:color w:val="231F20"/>
                <w:spacing w:val="-12"/>
                <w:w w:val="105"/>
                <w:sz w:val="16"/>
              </w:rPr>
              <w:t> </w:t>
            </w:r>
            <w:r>
              <w:rPr>
                <w:color w:val="231F20"/>
                <w:w w:val="105"/>
                <w:sz w:val="16"/>
              </w:rPr>
              <w:t>directamente</w:t>
            </w:r>
            <w:r>
              <w:rPr>
                <w:color w:val="231F20"/>
                <w:spacing w:val="-12"/>
                <w:w w:val="105"/>
                <w:sz w:val="16"/>
              </w:rPr>
              <w:t> </w:t>
            </w:r>
            <w:r>
              <w:rPr>
                <w:color w:val="231F20"/>
                <w:w w:val="105"/>
                <w:sz w:val="16"/>
              </w:rPr>
              <w:t>a</w:t>
            </w:r>
            <w:r>
              <w:rPr>
                <w:color w:val="231F20"/>
                <w:spacing w:val="-12"/>
                <w:w w:val="105"/>
                <w:sz w:val="16"/>
              </w:rPr>
              <w:t> </w:t>
            </w:r>
            <w:r>
              <w:rPr>
                <w:color w:val="231F20"/>
                <w:w w:val="105"/>
                <w:sz w:val="16"/>
              </w:rPr>
              <w:t>él</w:t>
            </w:r>
            <w:r>
              <w:rPr>
                <w:color w:val="231F20"/>
                <w:spacing w:val="-12"/>
                <w:w w:val="105"/>
                <w:sz w:val="16"/>
              </w:rPr>
              <w:t> </w:t>
            </w:r>
            <w:r>
              <w:rPr>
                <w:color w:val="231F20"/>
                <w:w w:val="105"/>
                <w:sz w:val="16"/>
              </w:rPr>
              <w:t>mediante</w:t>
            </w:r>
            <w:r>
              <w:rPr>
                <w:color w:val="231F20"/>
                <w:spacing w:val="-12"/>
                <w:w w:val="105"/>
                <w:sz w:val="16"/>
              </w:rPr>
              <w:t> </w:t>
            </w:r>
            <w:r>
              <w:rPr>
                <w:color w:val="231F20"/>
                <w:w w:val="105"/>
                <w:sz w:val="16"/>
              </w:rPr>
              <w:t>flujos</w:t>
            </w:r>
            <w:r>
              <w:rPr>
                <w:color w:val="231F20"/>
                <w:spacing w:val="-12"/>
                <w:w w:val="105"/>
                <w:sz w:val="16"/>
              </w:rPr>
              <w:t> </w:t>
            </w:r>
            <w:r>
              <w:rPr>
                <w:color w:val="231F20"/>
                <w:w w:val="105"/>
                <w:sz w:val="16"/>
              </w:rPr>
              <w:t>de entrada o</w:t>
            </w:r>
            <w:r>
              <w:rPr>
                <w:color w:val="231F20"/>
                <w:spacing w:val="-37"/>
                <w:w w:val="105"/>
                <w:sz w:val="16"/>
              </w:rPr>
              <w:t> </w:t>
            </w:r>
            <w:r>
              <w:rPr>
                <w:color w:val="231F20"/>
                <w:w w:val="105"/>
                <w:sz w:val="16"/>
              </w:rPr>
              <w:t>salida.</w:t>
            </w:r>
          </w:p>
          <w:p>
            <w:pPr>
              <w:pStyle w:val="TableParagraph"/>
              <w:numPr>
                <w:ilvl w:val="0"/>
                <w:numId w:val="42"/>
              </w:numPr>
              <w:tabs>
                <w:tab w:pos="220" w:val="left" w:leader="none"/>
              </w:tabs>
              <w:spacing w:line="249" w:lineRule="auto" w:before="1" w:after="0"/>
              <w:ind w:left="219" w:right="75" w:hanging="142"/>
              <w:jc w:val="both"/>
              <w:rPr>
                <w:sz w:val="16"/>
              </w:rPr>
            </w:pPr>
            <w:r>
              <w:rPr>
                <w:color w:val="231F20"/>
                <w:w w:val="105"/>
                <w:sz w:val="16"/>
              </w:rPr>
              <w:t>Indice</w:t>
            </w:r>
            <w:r>
              <w:rPr>
                <w:color w:val="231F20"/>
                <w:spacing w:val="-7"/>
                <w:w w:val="105"/>
                <w:sz w:val="16"/>
              </w:rPr>
              <w:t> </w:t>
            </w:r>
            <w:r>
              <w:rPr>
                <w:color w:val="231F20"/>
                <w:w w:val="105"/>
                <w:sz w:val="16"/>
              </w:rPr>
              <w:t>de</w:t>
            </w:r>
            <w:r>
              <w:rPr>
                <w:color w:val="231F20"/>
                <w:spacing w:val="-7"/>
                <w:w w:val="105"/>
                <w:sz w:val="16"/>
              </w:rPr>
              <w:t> </w:t>
            </w:r>
            <w:r>
              <w:rPr>
                <w:color w:val="231F20"/>
                <w:w w:val="105"/>
                <w:sz w:val="16"/>
              </w:rPr>
              <w:t>centralización:</w:t>
            </w:r>
            <w:r>
              <w:rPr>
                <w:color w:val="231F20"/>
                <w:spacing w:val="-7"/>
                <w:w w:val="105"/>
                <w:sz w:val="16"/>
              </w:rPr>
              <w:t> </w:t>
            </w:r>
            <w:r>
              <w:rPr>
                <w:color w:val="231F20"/>
                <w:w w:val="105"/>
                <w:sz w:val="16"/>
              </w:rPr>
              <w:t>utiliza</w:t>
            </w:r>
            <w:r>
              <w:rPr>
                <w:color w:val="231F20"/>
                <w:spacing w:val="-7"/>
                <w:w w:val="105"/>
                <w:sz w:val="16"/>
              </w:rPr>
              <w:t> </w:t>
            </w:r>
            <w:r>
              <w:rPr>
                <w:color w:val="231F20"/>
                <w:w w:val="105"/>
                <w:sz w:val="16"/>
              </w:rPr>
              <w:t>las</w:t>
            </w:r>
            <w:r>
              <w:rPr>
                <w:color w:val="231F20"/>
                <w:spacing w:val="-7"/>
                <w:w w:val="105"/>
                <w:sz w:val="16"/>
              </w:rPr>
              <w:t> </w:t>
            </w:r>
            <w:r>
              <w:rPr>
                <w:color w:val="231F20"/>
                <w:w w:val="105"/>
                <w:sz w:val="16"/>
              </w:rPr>
              <w:t>nociones</w:t>
            </w:r>
            <w:r>
              <w:rPr>
                <w:color w:val="231F20"/>
                <w:spacing w:val="-7"/>
                <w:w w:val="105"/>
                <w:sz w:val="16"/>
              </w:rPr>
              <w:t> </w:t>
            </w:r>
            <w:r>
              <w:rPr>
                <w:color w:val="231F20"/>
                <w:w w:val="105"/>
                <w:sz w:val="16"/>
              </w:rPr>
              <w:t>de</w:t>
            </w:r>
            <w:r>
              <w:rPr>
                <w:color w:val="231F20"/>
                <w:spacing w:val="-7"/>
                <w:w w:val="105"/>
                <w:sz w:val="16"/>
              </w:rPr>
              <w:t> </w:t>
            </w:r>
            <w:r>
              <w:rPr>
                <w:color w:val="231F20"/>
                <w:w w:val="105"/>
                <w:sz w:val="16"/>
              </w:rPr>
              <w:t>red</w:t>
            </w:r>
            <w:r>
              <w:rPr>
                <w:color w:val="231F20"/>
                <w:spacing w:val="-7"/>
                <w:w w:val="105"/>
                <w:sz w:val="16"/>
              </w:rPr>
              <w:t> </w:t>
            </w:r>
            <w:r>
              <w:rPr>
                <w:color w:val="231F20"/>
                <w:w w:val="105"/>
                <w:sz w:val="16"/>
              </w:rPr>
              <w:t>estrella</w:t>
            </w:r>
            <w:r>
              <w:rPr>
                <w:color w:val="231F20"/>
                <w:spacing w:val="-7"/>
                <w:w w:val="105"/>
                <w:sz w:val="16"/>
              </w:rPr>
              <w:t> </w:t>
            </w:r>
            <w:r>
              <w:rPr>
                <w:color w:val="231F20"/>
                <w:w w:val="105"/>
                <w:sz w:val="16"/>
              </w:rPr>
              <w:t>y</w:t>
            </w:r>
            <w:r>
              <w:rPr>
                <w:color w:val="231F20"/>
                <w:spacing w:val="-7"/>
                <w:w w:val="105"/>
                <w:sz w:val="16"/>
              </w:rPr>
              <w:t> </w:t>
            </w:r>
            <w:r>
              <w:rPr>
                <w:color w:val="231F20"/>
                <w:w w:val="105"/>
                <w:sz w:val="16"/>
              </w:rPr>
              <w:t>total- mente</w:t>
            </w:r>
            <w:r>
              <w:rPr>
                <w:color w:val="231F20"/>
                <w:spacing w:val="-14"/>
                <w:w w:val="105"/>
                <w:sz w:val="16"/>
              </w:rPr>
              <w:t> </w:t>
            </w:r>
            <w:r>
              <w:rPr>
                <w:color w:val="231F20"/>
                <w:w w:val="105"/>
                <w:sz w:val="16"/>
              </w:rPr>
              <w:t>conexa</w:t>
            </w:r>
            <w:r>
              <w:rPr>
                <w:color w:val="231F20"/>
                <w:spacing w:val="-14"/>
                <w:w w:val="105"/>
                <w:sz w:val="16"/>
              </w:rPr>
              <w:t> </w:t>
            </w:r>
            <w:r>
              <w:rPr>
                <w:color w:val="231F20"/>
                <w:w w:val="105"/>
                <w:sz w:val="16"/>
              </w:rPr>
              <w:t>para</w:t>
            </w:r>
            <w:r>
              <w:rPr>
                <w:color w:val="231F20"/>
                <w:spacing w:val="-14"/>
                <w:w w:val="105"/>
                <w:sz w:val="16"/>
              </w:rPr>
              <w:t> </w:t>
            </w:r>
            <w:r>
              <w:rPr>
                <w:color w:val="231F20"/>
                <w:w w:val="105"/>
                <w:sz w:val="16"/>
              </w:rPr>
              <w:t>describir</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presencia</w:t>
            </w:r>
            <w:r>
              <w:rPr>
                <w:color w:val="231F20"/>
                <w:spacing w:val="-14"/>
                <w:w w:val="105"/>
                <w:sz w:val="16"/>
              </w:rPr>
              <w:t> </w:t>
            </w:r>
            <w:r>
              <w:rPr>
                <w:color w:val="231F20"/>
                <w:w w:val="105"/>
                <w:sz w:val="16"/>
              </w:rPr>
              <w:t>o</w:t>
            </w:r>
            <w:r>
              <w:rPr>
                <w:color w:val="231F20"/>
                <w:spacing w:val="-14"/>
                <w:w w:val="105"/>
                <w:sz w:val="16"/>
              </w:rPr>
              <w:t> </w:t>
            </w:r>
            <w:r>
              <w:rPr>
                <w:color w:val="231F20"/>
                <w:w w:val="105"/>
                <w:sz w:val="16"/>
              </w:rPr>
              <w:t>ausencia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actores</w:t>
            </w:r>
            <w:r>
              <w:rPr>
                <w:color w:val="231F20"/>
                <w:spacing w:val="-14"/>
                <w:w w:val="105"/>
                <w:sz w:val="16"/>
              </w:rPr>
              <w:t> </w:t>
            </w:r>
            <w:r>
              <w:rPr>
                <w:color w:val="231F20"/>
                <w:w w:val="105"/>
                <w:sz w:val="16"/>
              </w:rPr>
              <w:t>en torno</w:t>
            </w:r>
            <w:r>
              <w:rPr>
                <w:color w:val="231F20"/>
                <w:spacing w:val="-7"/>
                <w:w w:val="105"/>
                <w:sz w:val="16"/>
              </w:rPr>
              <w:t> </w:t>
            </w:r>
            <w:r>
              <w:rPr>
                <w:color w:val="231F20"/>
                <w:w w:val="105"/>
                <w:sz w:val="16"/>
              </w:rPr>
              <w:t>a</w:t>
            </w:r>
            <w:r>
              <w:rPr>
                <w:color w:val="231F20"/>
                <w:spacing w:val="-7"/>
                <w:w w:val="105"/>
                <w:sz w:val="16"/>
              </w:rPr>
              <w:t> </w:t>
            </w:r>
            <w:r>
              <w:rPr>
                <w:color w:val="231F20"/>
                <w:w w:val="105"/>
                <w:sz w:val="16"/>
              </w:rPr>
              <w:t>un</w:t>
            </w:r>
            <w:r>
              <w:rPr>
                <w:color w:val="231F20"/>
                <w:spacing w:val="-7"/>
                <w:w w:val="105"/>
                <w:sz w:val="16"/>
              </w:rPr>
              <w:t> </w:t>
            </w:r>
            <w:r>
              <w:rPr>
                <w:color w:val="231F20"/>
                <w:w w:val="105"/>
                <w:sz w:val="16"/>
              </w:rPr>
              <w:t>nivel</w:t>
            </w:r>
            <w:r>
              <w:rPr>
                <w:color w:val="231F20"/>
                <w:spacing w:val="-7"/>
                <w:w w:val="105"/>
                <w:sz w:val="16"/>
              </w:rPr>
              <w:t> </w:t>
            </w:r>
            <w:r>
              <w:rPr>
                <w:color w:val="231F20"/>
                <w:w w:val="105"/>
                <w:sz w:val="16"/>
              </w:rPr>
              <w:t>de</w:t>
            </w:r>
            <w:r>
              <w:rPr>
                <w:color w:val="231F20"/>
                <w:spacing w:val="-7"/>
                <w:w w:val="105"/>
                <w:sz w:val="16"/>
              </w:rPr>
              <w:t> </w:t>
            </w:r>
            <w:r>
              <w:rPr>
                <w:color w:val="231F20"/>
                <w:w w:val="105"/>
                <w:sz w:val="16"/>
              </w:rPr>
              <w:t>concentración:</w:t>
            </w:r>
          </w:p>
          <w:p>
            <w:pPr>
              <w:pStyle w:val="TableParagraph"/>
              <w:spacing w:line="249" w:lineRule="auto" w:before="1"/>
              <w:ind w:left="474" w:right="75"/>
              <w:jc w:val="both"/>
              <w:rPr>
                <w:sz w:val="16"/>
              </w:rPr>
            </w:pPr>
            <w:r>
              <w:rPr>
                <w:color w:val="231F20"/>
                <w:w w:val="105"/>
                <w:sz w:val="16"/>
              </w:rPr>
              <w:t>−Si</w:t>
            </w:r>
            <w:r>
              <w:rPr>
                <w:color w:val="231F20"/>
                <w:spacing w:val="-8"/>
                <w:w w:val="105"/>
                <w:sz w:val="16"/>
              </w:rPr>
              <w:t> </w:t>
            </w:r>
            <w:r>
              <w:rPr>
                <w:color w:val="231F20"/>
                <w:w w:val="105"/>
                <w:sz w:val="16"/>
              </w:rPr>
              <w:t>el</w:t>
            </w:r>
            <w:r>
              <w:rPr>
                <w:color w:val="231F20"/>
                <w:spacing w:val="-8"/>
                <w:w w:val="105"/>
                <w:sz w:val="16"/>
              </w:rPr>
              <w:t> </w:t>
            </w:r>
            <w:r>
              <w:rPr>
                <w:color w:val="231F20"/>
                <w:w w:val="105"/>
                <w:sz w:val="16"/>
              </w:rPr>
              <w:t>valor</w:t>
            </w:r>
            <w:r>
              <w:rPr>
                <w:color w:val="231F20"/>
                <w:spacing w:val="-8"/>
                <w:w w:val="105"/>
                <w:sz w:val="16"/>
              </w:rPr>
              <w:t> </w:t>
            </w:r>
            <w:r>
              <w:rPr>
                <w:color w:val="231F20"/>
                <w:w w:val="105"/>
                <w:sz w:val="16"/>
              </w:rPr>
              <w:t>del</w:t>
            </w:r>
            <w:r>
              <w:rPr>
                <w:color w:val="231F20"/>
                <w:spacing w:val="-8"/>
                <w:w w:val="105"/>
                <w:sz w:val="16"/>
              </w:rPr>
              <w:t> </w:t>
            </w:r>
            <w:r>
              <w:rPr>
                <w:color w:val="231F20"/>
                <w:w w:val="105"/>
                <w:sz w:val="16"/>
              </w:rPr>
              <w:t>índice</w:t>
            </w:r>
            <w:r>
              <w:rPr>
                <w:color w:val="231F20"/>
                <w:spacing w:val="-8"/>
                <w:w w:val="105"/>
                <w:sz w:val="16"/>
              </w:rPr>
              <w:t> </w:t>
            </w:r>
            <w:r>
              <w:rPr>
                <w:color w:val="231F20"/>
                <w:w w:val="105"/>
                <w:sz w:val="16"/>
              </w:rPr>
              <w:t>se</w:t>
            </w:r>
            <w:r>
              <w:rPr>
                <w:color w:val="231F20"/>
                <w:spacing w:val="-8"/>
                <w:w w:val="105"/>
                <w:sz w:val="16"/>
              </w:rPr>
              <w:t> </w:t>
            </w:r>
            <w:r>
              <w:rPr>
                <w:color w:val="231F20"/>
                <w:w w:val="105"/>
                <w:sz w:val="16"/>
              </w:rPr>
              <w:t>aproxima</w:t>
            </w:r>
            <w:r>
              <w:rPr>
                <w:color w:val="231F20"/>
                <w:spacing w:val="-8"/>
                <w:w w:val="105"/>
                <w:sz w:val="16"/>
              </w:rPr>
              <w:t> </w:t>
            </w:r>
            <w:r>
              <w:rPr>
                <w:color w:val="231F20"/>
                <w:w w:val="105"/>
                <w:sz w:val="16"/>
              </w:rPr>
              <w:t>a</w:t>
            </w:r>
            <w:r>
              <w:rPr>
                <w:color w:val="231F20"/>
                <w:spacing w:val="-8"/>
                <w:w w:val="105"/>
                <w:sz w:val="16"/>
              </w:rPr>
              <w:t> </w:t>
            </w:r>
            <w:r>
              <w:rPr>
                <w:color w:val="231F20"/>
                <w:w w:val="105"/>
                <w:sz w:val="16"/>
              </w:rPr>
              <w:t>100%,</w:t>
            </w:r>
            <w:r>
              <w:rPr>
                <w:color w:val="231F20"/>
                <w:spacing w:val="-13"/>
                <w:w w:val="105"/>
                <w:sz w:val="16"/>
              </w:rPr>
              <w:t> </w:t>
            </w:r>
            <w:r>
              <w:rPr>
                <w:color w:val="231F20"/>
                <w:w w:val="105"/>
                <w:sz w:val="16"/>
              </w:rPr>
              <w:t>la</w:t>
            </w:r>
            <w:r>
              <w:rPr>
                <w:color w:val="231F20"/>
                <w:spacing w:val="-8"/>
                <w:w w:val="105"/>
                <w:sz w:val="16"/>
              </w:rPr>
              <w:t> </w:t>
            </w:r>
            <w:r>
              <w:rPr>
                <w:color w:val="231F20"/>
                <w:w w:val="105"/>
                <w:sz w:val="16"/>
              </w:rPr>
              <w:t>red</w:t>
            </w:r>
            <w:r>
              <w:rPr>
                <w:color w:val="231F20"/>
                <w:spacing w:val="-8"/>
                <w:w w:val="105"/>
                <w:sz w:val="16"/>
              </w:rPr>
              <w:t> </w:t>
            </w:r>
            <w:r>
              <w:rPr>
                <w:color w:val="231F20"/>
                <w:w w:val="105"/>
                <w:sz w:val="16"/>
              </w:rPr>
              <w:t>está</w:t>
            </w:r>
            <w:r>
              <w:rPr>
                <w:color w:val="231F20"/>
                <w:spacing w:val="-8"/>
                <w:w w:val="105"/>
                <w:sz w:val="16"/>
              </w:rPr>
              <w:t> </w:t>
            </w:r>
            <w:r>
              <w:rPr>
                <w:color w:val="231F20"/>
                <w:w w:val="105"/>
                <w:sz w:val="16"/>
              </w:rPr>
              <w:t>próxima a una forma estrella con un actor central que sirve de</w:t>
            </w:r>
            <w:r>
              <w:rPr>
                <w:color w:val="231F20"/>
                <w:spacing w:val="-28"/>
                <w:w w:val="105"/>
                <w:sz w:val="16"/>
              </w:rPr>
              <w:t> </w:t>
            </w:r>
            <w:r>
              <w:rPr>
                <w:color w:val="231F20"/>
                <w:w w:val="105"/>
                <w:sz w:val="16"/>
              </w:rPr>
              <w:t>interme- diario o</w:t>
            </w:r>
            <w:r>
              <w:rPr>
                <w:color w:val="231F20"/>
                <w:spacing w:val="4"/>
                <w:w w:val="105"/>
                <w:sz w:val="16"/>
              </w:rPr>
              <w:t> </w:t>
            </w:r>
            <w:r>
              <w:rPr>
                <w:color w:val="231F20"/>
                <w:w w:val="105"/>
                <w:sz w:val="16"/>
              </w:rPr>
              <w:t>puente.</w:t>
            </w:r>
          </w:p>
          <w:p>
            <w:pPr>
              <w:pStyle w:val="TableParagraph"/>
              <w:spacing w:line="249" w:lineRule="auto" w:before="1"/>
              <w:ind w:left="474" w:right="75"/>
              <w:jc w:val="both"/>
              <w:rPr>
                <w:sz w:val="16"/>
              </w:rPr>
            </w:pPr>
            <w:r>
              <w:rPr>
                <w:color w:val="231F20"/>
                <w:w w:val="105"/>
                <w:sz w:val="16"/>
              </w:rPr>
              <w:t>−Si</w:t>
            </w:r>
            <w:r>
              <w:rPr>
                <w:color w:val="231F20"/>
                <w:spacing w:val="-26"/>
                <w:w w:val="105"/>
                <w:sz w:val="16"/>
              </w:rPr>
              <w:t> </w:t>
            </w:r>
            <w:r>
              <w:rPr>
                <w:color w:val="231F20"/>
                <w:w w:val="105"/>
                <w:sz w:val="16"/>
              </w:rPr>
              <w:t>el</w:t>
            </w:r>
            <w:r>
              <w:rPr>
                <w:color w:val="231F20"/>
                <w:spacing w:val="-26"/>
                <w:w w:val="105"/>
                <w:sz w:val="16"/>
              </w:rPr>
              <w:t> </w:t>
            </w:r>
            <w:r>
              <w:rPr>
                <w:color w:val="231F20"/>
                <w:w w:val="105"/>
                <w:sz w:val="16"/>
              </w:rPr>
              <w:t>valor</w:t>
            </w:r>
            <w:r>
              <w:rPr>
                <w:color w:val="231F20"/>
                <w:spacing w:val="-26"/>
                <w:w w:val="105"/>
                <w:sz w:val="16"/>
              </w:rPr>
              <w:t> </w:t>
            </w:r>
            <w:r>
              <w:rPr>
                <w:color w:val="231F20"/>
                <w:w w:val="105"/>
                <w:sz w:val="16"/>
              </w:rPr>
              <w:t>del</w:t>
            </w:r>
            <w:r>
              <w:rPr>
                <w:color w:val="231F20"/>
                <w:spacing w:val="-26"/>
                <w:w w:val="105"/>
                <w:sz w:val="16"/>
              </w:rPr>
              <w:t> </w:t>
            </w:r>
            <w:r>
              <w:rPr>
                <w:color w:val="231F20"/>
                <w:w w:val="105"/>
                <w:sz w:val="16"/>
              </w:rPr>
              <w:t>índice</w:t>
            </w:r>
            <w:r>
              <w:rPr>
                <w:color w:val="231F20"/>
                <w:spacing w:val="-26"/>
                <w:w w:val="105"/>
                <w:sz w:val="16"/>
              </w:rPr>
              <w:t> </w:t>
            </w:r>
            <w:r>
              <w:rPr>
                <w:color w:val="231F20"/>
                <w:w w:val="105"/>
                <w:sz w:val="16"/>
              </w:rPr>
              <w:t>se</w:t>
            </w:r>
            <w:r>
              <w:rPr>
                <w:color w:val="231F20"/>
                <w:spacing w:val="-26"/>
                <w:w w:val="105"/>
                <w:sz w:val="16"/>
              </w:rPr>
              <w:t> </w:t>
            </w:r>
            <w:r>
              <w:rPr>
                <w:color w:val="231F20"/>
                <w:w w:val="105"/>
                <w:sz w:val="16"/>
              </w:rPr>
              <w:t>aleja</w:t>
            </w:r>
            <w:r>
              <w:rPr>
                <w:color w:val="231F20"/>
                <w:spacing w:val="-26"/>
                <w:w w:val="105"/>
                <w:sz w:val="16"/>
              </w:rPr>
              <w:t> </w:t>
            </w:r>
            <w:r>
              <w:rPr>
                <w:color w:val="231F20"/>
                <w:w w:val="105"/>
                <w:sz w:val="16"/>
              </w:rPr>
              <w:t>del</w:t>
            </w:r>
            <w:r>
              <w:rPr>
                <w:color w:val="231F20"/>
                <w:spacing w:val="-26"/>
                <w:w w:val="105"/>
                <w:sz w:val="16"/>
              </w:rPr>
              <w:t> </w:t>
            </w:r>
            <w:r>
              <w:rPr>
                <w:color w:val="231F20"/>
                <w:w w:val="105"/>
                <w:sz w:val="16"/>
              </w:rPr>
              <w:t>100%,</w:t>
            </w:r>
            <w:r>
              <w:rPr>
                <w:color w:val="231F20"/>
                <w:spacing w:val="-29"/>
                <w:w w:val="105"/>
                <w:sz w:val="16"/>
              </w:rPr>
              <w:t> </w:t>
            </w:r>
            <w:r>
              <w:rPr>
                <w:color w:val="231F20"/>
                <w:w w:val="105"/>
                <w:sz w:val="16"/>
              </w:rPr>
              <w:t>entonces,</w:t>
            </w:r>
            <w:r>
              <w:rPr>
                <w:color w:val="231F20"/>
                <w:spacing w:val="-29"/>
                <w:w w:val="105"/>
                <w:sz w:val="16"/>
              </w:rPr>
              <w:t> </w:t>
            </w:r>
            <w:r>
              <w:rPr>
                <w:color w:val="231F20"/>
                <w:w w:val="105"/>
                <w:sz w:val="16"/>
              </w:rPr>
              <w:t>la</w:t>
            </w:r>
            <w:r>
              <w:rPr>
                <w:color w:val="231F20"/>
                <w:spacing w:val="-26"/>
                <w:w w:val="105"/>
                <w:sz w:val="16"/>
              </w:rPr>
              <w:t> </w:t>
            </w:r>
            <w:r>
              <w:rPr>
                <w:color w:val="231F20"/>
                <w:w w:val="105"/>
                <w:sz w:val="16"/>
              </w:rPr>
              <w:t>red</w:t>
            </w:r>
            <w:r>
              <w:rPr>
                <w:color w:val="231F20"/>
                <w:spacing w:val="-26"/>
                <w:w w:val="105"/>
                <w:sz w:val="16"/>
              </w:rPr>
              <w:t> </w:t>
            </w:r>
            <w:r>
              <w:rPr>
                <w:color w:val="231F20"/>
                <w:w w:val="105"/>
                <w:sz w:val="16"/>
              </w:rPr>
              <w:t>se</w:t>
            </w:r>
            <w:r>
              <w:rPr>
                <w:color w:val="231F20"/>
                <w:spacing w:val="-26"/>
                <w:w w:val="105"/>
                <w:sz w:val="16"/>
              </w:rPr>
              <w:t> </w:t>
            </w:r>
            <w:r>
              <w:rPr>
                <w:color w:val="231F20"/>
                <w:w w:val="105"/>
                <w:sz w:val="16"/>
              </w:rPr>
              <w:t>apro- xima</w:t>
            </w:r>
            <w:r>
              <w:rPr>
                <w:color w:val="231F20"/>
                <w:spacing w:val="-15"/>
                <w:w w:val="105"/>
                <w:sz w:val="16"/>
              </w:rPr>
              <w:t> </w:t>
            </w:r>
            <w:r>
              <w:rPr>
                <w:color w:val="231F20"/>
                <w:w w:val="105"/>
                <w:sz w:val="16"/>
              </w:rPr>
              <w:t>a</w:t>
            </w:r>
            <w:r>
              <w:rPr>
                <w:color w:val="231F20"/>
                <w:spacing w:val="-15"/>
                <w:w w:val="105"/>
                <w:sz w:val="16"/>
              </w:rPr>
              <w:t> </w:t>
            </w:r>
            <w:r>
              <w:rPr>
                <w:color w:val="231F20"/>
                <w:w w:val="105"/>
                <w:sz w:val="16"/>
              </w:rPr>
              <w:t>un</w:t>
            </w:r>
            <w:r>
              <w:rPr>
                <w:color w:val="231F20"/>
                <w:spacing w:val="-15"/>
                <w:w w:val="105"/>
                <w:sz w:val="16"/>
              </w:rPr>
              <w:t> </w:t>
            </w:r>
            <w:r>
              <w:rPr>
                <w:color w:val="231F20"/>
                <w:w w:val="105"/>
                <w:sz w:val="16"/>
              </w:rPr>
              <w:t>tipo</w:t>
            </w:r>
            <w:r>
              <w:rPr>
                <w:color w:val="231F20"/>
                <w:spacing w:val="-15"/>
                <w:w w:val="105"/>
                <w:sz w:val="16"/>
              </w:rPr>
              <w:t> </w:t>
            </w:r>
            <w:r>
              <w:rPr>
                <w:color w:val="231F20"/>
                <w:w w:val="105"/>
                <w:sz w:val="16"/>
              </w:rPr>
              <w:t>totalmente</w:t>
            </w:r>
            <w:r>
              <w:rPr>
                <w:color w:val="231F20"/>
                <w:spacing w:val="-15"/>
                <w:w w:val="105"/>
                <w:sz w:val="16"/>
              </w:rPr>
              <w:t> </w:t>
            </w:r>
            <w:r>
              <w:rPr>
                <w:color w:val="231F20"/>
                <w:w w:val="105"/>
                <w:sz w:val="16"/>
              </w:rPr>
              <w:t>conexa;</w:t>
            </w:r>
            <w:r>
              <w:rPr>
                <w:color w:val="231F20"/>
                <w:spacing w:val="-15"/>
                <w:w w:val="105"/>
                <w:sz w:val="16"/>
              </w:rPr>
              <w:t> </w:t>
            </w:r>
            <w:r>
              <w:rPr>
                <w:color w:val="231F20"/>
                <w:w w:val="105"/>
                <w:sz w:val="16"/>
              </w:rPr>
              <w:t>carente</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un</w:t>
            </w:r>
            <w:r>
              <w:rPr>
                <w:color w:val="231F20"/>
                <w:spacing w:val="-15"/>
                <w:w w:val="105"/>
                <w:sz w:val="16"/>
              </w:rPr>
              <w:t> </w:t>
            </w:r>
            <w:r>
              <w:rPr>
                <w:color w:val="231F20"/>
                <w:w w:val="105"/>
                <w:sz w:val="16"/>
              </w:rPr>
              <w:t>nodo</w:t>
            </w:r>
            <w:r>
              <w:rPr>
                <w:color w:val="231F20"/>
                <w:spacing w:val="-15"/>
                <w:w w:val="105"/>
                <w:sz w:val="16"/>
              </w:rPr>
              <w:t> </w:t>
            </w:r>
            <w:r>
              <w:rPr>
                <w:color w:val="231F20"/>
                <w:w w:val="105"/>
                <w:sz w:val="16"/>
              </w:rPr>
              <w:t>central.</w:t>
            </w:r>
          </w:p>
        </w:tc>
      </w:tr>
      <w:tr>
        <w:trPr>
          <w:trHeight w:val="1280" w:hRule="exact"/>
        </w:trPr>
        <w:tc>
          <w:tcPr>
            <w:tcW w:w="411" w:type="dxa"/>
            <w:vMerge/>
            <w:textDirection w:val="btLr"/>
          </w:tcPr>
          <w:p>
            <w:pPr/>
          </w:p>
        </w:tc>
        <w:tc>
          <w:tcPr>
            <w:tcW w:w="1379" w:type="dxa"/>
          </w:tcPr>
          <w:p>
            <w:pPr>
              <w:pStyle w:val="TableParagraph"/>
              <w:spacing w:line="249" w:lineRule="auto" w:before="87"/>
              <w:ind w:left="77" w:right="75"/>
              <w:jc w:val="both"/>
              <w:rPr>
                <w:sz w:val="16"/>
              </w:rPr>
            </w:pPr>
            <w:r>
              <w:rPr>
                <w:color w:val="231F20"/>
                <w:w w:val="105"/>
                <w:sz w:val="16"/>
              </w:rPr>
              <w:t>Grado de in- termediación e índice de inter- mediación</w:t>
            </w:r>
          </w:p>
        </w:tc>
        <w:tc>
          <w:tcPr>
            <w:tcW w:w="5161" w:type="dxa"/>
          </w:tcPr>
          <w:p>
            <w:pPr>
              <w:pStyle w:val="TableParagraph"/>
              <w:numPr>
                <w:ilvl w:val="0"/>
                <w:numId w:val="43"/>
              </w:numPr>
              <w:tabs>
                <w:tab w:pos="220" w:val="left" w:leader="none"/>
              </w:tabs>
              <w:spacing w:line="249" w:lineRule="auto" w:before="87" w:after="0"/>
              <w:ind w:left="219" w:right="75" w:hanging="142"/>
              <w:jc w:val="left"/>
              <w:rPr>
                <w:sz w:val="16"/>
              </w:rPr>
            </w:pPr>
            <w:r>
              <w:rPr>
                <w:color w:val="231F20"/>
                <w:w w:val="105"/>
                <w:sz w:val="16"/>
              </w:rPr>
              <w:t>Muestra la capacidad de un actor intermedio para controlar</w:t>
            </w:r>
            <w:r>
              <w:rPr>
                <w:color w:val="231F20"/>
                <w:spacing w:val="-7"/>
                <w:w w:val="105"/>
                <w:sz w:val="16"/>
              </w:rPr>
              <w:t> </w:t>
            </w:r>
            <w:r>
              <w:rPr>
                <w:color w:val="231F20"/>
                <w:w w:val="105"/>
                <w:sz w:val="16"/>
              </w:rPr>
              <w:t>cone- xiones</w:t>
            </w:r>
            <w:r>
              <w:rPr>
                <w:color w:val="231F20"/>
                <w:spacing w:val="-24"/>
                <w:w w:val="105"/>
                <w:sz w:val="16"/>
              </w:rPr>
              <w:t> </w:t>
            </w:r>
            <w:r>
              <w:rPr>
                <w:color w:val="231F20"/>
                <w:w w:val="105"/>
                <w:sz w:val="16"/>
              </w:rPr>
              <w:t>entre</w:t>
            </w:r>
            <w:r>
              <w:rPr>
                <w:color w:val="231F20"/>
                <w:spacing w:val="-24"/>
                <w:w w:val="105"/>
                <w:sz w:val="16"/>
              </w:rPr>
              <w:t> </w:t>
            </w:r>
            <w:r>
              <w:rPr>
                <w:color w:val="231F20"/>
                <w:w w:val="105"/>
                <w:sz w:val="16"/>
              </w:rPr>
              <w:t>pares</w:t>
            </w:r>
            <w:r>
              <w:rPr>
                <w:color w:val="231F20"/>
                <w:spacing w:val="-24"/>
                <w:w w:val="105"/>
                <w:sz w:val="16"/>
              </w:rPr>
              <w:t> </w:t>
            </w:r>
            <w:r>
              <w:rPr>
                <w:color w:val="231F20"/>
                <w:w w:val="105"/>
                <w:sz w:val="16"/>
              </w:rPr>
              <w:t>no</w:t>
            </w:r>
            <w:r>
              <w:rPr>
                <w:color w:val="231F20"/>
                <w:spacing w:val="-24"/>
                <w:w w:val="105"/>
                <w:sz w:val="16"/>
              </w:rPr>
              <w:t> </w:t>
            </w:r>
            <w:r>
              <w:rPr>
                <w:color w:val="231F20"/>
                <w:w w:val="105"/>
                <w:sz w:val="16"/>
              </w:rPr>
              <w:t>adyacentes.</w:t>
            </w:r>
          </w:p>
          <w:p>
            <w:pPr>
              <w:pStyle w:val="TableParagraph"/>
              <w:numPr>
                <w:ilvl w:val="0"/>
                <w:numId w:val="43"/>
              </w:numPr>
              <w:tabs>
                <w:tab w:pos="220" w:val="left" w:leader="none"/>
              </w:tabs>
              <w:spacing w:line="249" w:lineRule="auto" w:before="1" w:after="0"/>
              <w:ind w:left="219" w:right="75" w:hanging="142"/>
              <w:jc w:val="left"/>
              <w:rPr>
                <w:sz w:val="16"/>
              </w:rPr>
            </w:pPr>
            <w:r>
              <w:rPr>
                <w:color w:val="231F20"/>
                <w:w w:val="105"/>
                <w:sz w:val="16"/>
              </w:rPr>
              <w:t>El</w:t>
            </w:r>
            <w:r>
              <w:rPr>
                <w:color w:val="231F20"/>
                <w:spacing w:val="-10"/>
                <w:w w:val="105"/>
                <w:sz w:val="16"/>
              </w:rPr>
              <w:t> </w:t>
            </w:r>
            <w:r>
              <w:rPr>
                <w:color w:val="231F20"/>
                <w:w w:val="105"/>
                <w:sz w:val="16"/>
              </w:rPr>
              <w:t>resultado</w:t>
            </w:r>
            <w:r>
              <w:rPr>
                <w:color w:val="231F20"/>
                <w:spacing w:val="-10"/>
                <w:w w:val="105"/>
                <w:sz w:val="16"/>
              </w:rPr>
              <w:t> </w:t>
            </w:r>
            <w:r>
              <w:rPr>
                <w:color w:val="231F20"/>
                <w:w w:val="105"/>
                <w:sz w:val="16"/>
              </w:rPr>
              <w:t>muestra</w:t>
            </w:r>
            <w:r>
              <w:rPr>
                <w:color w:val="231F20"/>
                <w:spacing w:val="-10"/>
                <w:w w:val="105"/>
                <w:sz w:val="16"/>
              </w:rPr>
              <w:t> </w:t>
            </w:r>
            <w:r>
              <w:rPr>
                <w:color w:val="231F20"/>
                <w:w w:val="105"/>
                <w:sz w:val="16"/>
              </w:rPr>
              <w:t>un</w:t>
            </w:r>
            <w:r>
              <w:rPr>
                <w:color w:val="231F20"/>
                <w:spacing w:val="-10"/>
                <w:w w:val="105"/>
                <w:sz w:val="16"/>
              </w:rPr>
              <w:t> </w:t>
            </w:r>
            <w:r>
              <w:rPr>
                <w:color w:val="231F20"/>
                <w:w w:val="105"/>
                <w:sz w:val="16"/>
              </w:rPr>
              <w:t>cuadro</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indica</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número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veces</w:t>
            </w:r>
            <w:r>
              <w:rPr>
                <w:color w:val="231F20"/>
                <w:spacing w:val="-10"/>
                <w:w w:val="105"/>
                <w:sz w:val="16"/>
              </w:rPr>
              <w:t> </w:t>
            </w:r>
            <w:r>
              <w:rPr>
                <w:color w:val="231F20"/>
                <w:w w:val="105"/>
                <w:sz w:val="16"/>
              </w:rPr>
              <w:t>y</w:t>
            </w:r>
            <w:r>
              <w:rPr>
                <w:color w:val="231F20"/>
                <w:spacing w:val="-10"/>
                <w:w w:val="105"/>
                <w:sz w:val="16"/>
              </w:rPr>
              <w:t> </w:t>
            </w:r>
            <w:r>
              <w:rPr>
                <w:color w:val="231F20"/>
                <w:w w:val="105"/>
                <w:sz w:val="16"/>
              </w:rPr>
              <w:t>el porcentaje en que un nodo es</w:t>
            </w:r>
            <w:r>
              <w:rPr>
                <w:color w:val="231F20"/>
                <w:spacing w:val="-24"/>
                <w:w w:val="105"/>
                <w:sz w:val="16"/>
              </w:rPr>
              <w:t> </w:t>
            </w:r>
            <w:r>
              <w:rPr>
                <w:color w:val="231F20"/>
                <w:w w:val="105"/>
                <w:sz w:val="16"/>
              </w:rPr>
              <w:t>intermedio.</w:t>
            </w:r>
          </w:p>
          <w:p>
            <w:pPr>
              <w:pStyle w:val="TableParagraph"/>
              <w:numPr>
                <w:ilvl w:val="0"/>
                <w:numId w:val="43"/>
              </w:numPr>
              <w:tabs>
                <w:tab w:pos="220" w:val="left" w:leader="none"/>
              </w:tabs>
              <w:spacing w:line="249" w:lineRule="auto" w:before="1" w:after="0"/>
              <w:ind w:left="219" w:right="75" w:hanging="142"/>
              <w:jc w:val="left"/>
              <w:rPr>
                <w:sz w:val="16"/>
              </w:rPr>
            </w:pPr>
            <w:r>
              <w:rPr>
                <w:color w:val="231F20"/>
                <w:w w:val="105"/>
                <w:sz w:val="16"/>
              </w:rPr>
              <w:t>Indice de intermediación que describe, en porcentaje, la medida en</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red</w:t>
            </w:r>
            <w:r>
              <w:rPr>
                <w:color w:val="231F20"/>
                <w:spacing w:val="-11"/>
                <w:w w:val="105"/>
                <w:sz w:val="16"/>
              </w:rPr>
              <w:t> </w:t>
            </w:r>
            <w:r>
              <w:rPr>
                <w:color w:val="231F20"/>
                <w:w w:val="105"/>
                <w:sz w:val="16"/>
              </w:rPr>
              <w:t>está</w:t>
            </w:r>
            <w:r>
              <w:rPr>
                <w:color w:val="231F20"/>
                <w:spacing w:val="-11"/>
                <w:w w:val="105"/>
                <w:sz w:val="16"/>
              </w:rPr>
              <w:t> </w:t>
            </w:r>
            <w:r>
              <w:rPr>
                <w:color w:val="231F20"/>
                <w:w w:val="105"/>
                <w:sz w:val="16"/>
              </w:rPr>
              <w:t>conectada</w:t>
            </w:r>
            <w:r>
              <w:rPr>
                <w:color w:val="231F20"/>
                <w:spacing w:val="-11"/>
                <w:w w:val="105"/>
                <w:sz w:val="16"/>
              </w:rPr>
              <w:t> </w:t>
            </w:r>
            <w:r>
              <w:rPr>
                <w:color w:val="231F20"/>
                <w:w w:val="105"/>
                <w:sz w:val="16"/>
              </w:rPr>
              <w:t>mediante</w:t>
            </w:r>
            <w:r>
              <w:rPr>
                <w:color w:val="231F20"/>
                <w:spacing w:val="-11"/>
                <w:w w:val="105"/>
                <w:sz w:val="16"/>
              </w:rPr>
              <w:t> </w:t>
            </w:r>
            <w:r>
              <w:rPr>
                <w:color w:val="231F20"/>
                <w:w w:val="105"/>
                <w:sz w:val="16"/>
              </w:rPr>
              <w:t>intermediarios.</w:t>
            </w:r>
          </w:p>
        </w:tc>
      </w:tr>
    </w:tbl>
    <w:p>
      <w:pPr>
        <w:spacing w:line="249" w:lineRule="auto" w:before="18"/>
        <w:ind w:left="123" w:right="135" w:firstLine="0"/>
        <w:jc w:val="both"/>
        <w:rPr>
          <w:sz w:val="16"/>
        </w:rPr>
      </w:pPr>
      <w:r>
        <w:rPr>
          <w:color w:val="231F20"/>
          <w:w w:val="105"/>
          <w:sz w:val="16"/>
        </w:rPr>
        <w:t>Fuente: Elaboración propia a partir de Quiroga, 2003; Velázquez y Aguilar, 2005; Quatman y </w:t>
      </w:r>
      <w:r>
        <w:rPr>
          <w:color w:val="231F20"/>
          <w:sz w:val="16"/>
        </w:rPr>
        <w:t>Chelladurai, 2008.</w:t>
      </w:r>
    </w:p>
    <w:p>
      <w:pPr>
        <w:pStyle w:val="BodyText"/>
        <w:rPr>
          <w:sz w:val="16"/>
        </w:rPr>
      </w:pPr>
    </w:p>
    <w:p>
      <w:pPr>
        <w:pStyle w:val="BodyText"/>
        <w:spacing w:before="7"/>
        <w:rPr>
          <w:sz w:val="14"/>
        </w:rPr>
      </w:pPr>
    </w:p>
    <w:p>
      <w:pPr>
        <w:pStyle w:val="Heading2"/>
        <w:spacing w:line="247" w:lineRule="auto"/>
        <w:ind w:left="123" w:right="1082"/>
        <w:jc w:val="left"/>
      </w:pPr>
      <w:r>
        <w:rPr>
          <w:color w:val="231F20"/>
        </w:rPr>
        <w:t>Propuesta</w:t>
      </w:r>
      <w:r>
        <w:rPr>
          <w:color w:val="231F20"/>
          <w:spacing w:val="-26"/>
        </w:rPr>
        <w:t> </w:t>
      </w:r>
      <w:r>
        <w:rPr>
          <w:color w:val="231F20"/>
        </w:rPr>
        <w:t>metodológica</w:t>
      </w:r>
      <w:r>
        <w:rPr>
          <w:color w:val="231F20"/>
          <w:spacing w:val="-26"/>
        </w:rPr>
        <w:t> </w:t>
      </w:r>
      <w:r>
        <w:rPr>
          <w:color w:val="231F20"/>
        </w:rPr>
        <w:t>para</w:t>
      </w:r>
      <w:r>
        <w:rPr>
          <w:color w:val="231F20"/>
          <w:spacing w:val="-26"/>
        </w:rPr>
        <w:t> </w:t>
      </w:r>
      <w:r>
        <w:rPr>
          <w:color w:val="231F20"/>
        </w:rPr>
        <w:t>el</w:t>
      </w:r>
      <w:r>
        <w:rPr>
          <w:color w:val="231F20"/>
          <w:spacing w:val="-26"/>
        </w:rPr>
        <w:t> </w:t>
      </w:r>
      <w:r>
        <w:rPr>
          <w:color w:val="231F20"/>
        </w:rPr>
        <w:t>estudio</w:t>
      </w:r>
      <w:r>
        <w:rPr>
          <w:color w:val="231F20"/>
          <w:spacing w:val="-26"/>
        </w:rPr>
        <w:t> </w:t>
      </w:r>
      <w:r>
        <w:rPr>
          <w:color w:val="231F20"/>
        </w:rPr>
        <w:t>conjunto</w:t>
      </w:r>
      <w:r>
        <w:rPr>
          <w:color w:val="231F20"/>
          <w:spacing w:val="-26"/>
        </w:rPr>
        <w:t> </w:t>
      </w:r>
      <w:r>
        <w:rPr>
          <w:color w:val="231F20"/>
        </w:rPr>
        <w:t>de</w:t>
      </w:r>
      <w:r>
        <w:rPr>
          <w:color w:val="231F20"/>
          <w:spacing w:val="-26"/>
        </w:rPr>
        <w:t> </w:t>
      </w:r>
      <w:r>
        <w:rPr>
          <w:color w:val="231F20"/>
        </w:rPr>
        <w:t>redes </w:t>
      </w:r>
      <w:r>
        <w:rPr>
          <w:color w:val="231F20"/>
          <w:w w:val="95"/>
        </w:rPr>
        <w:t>y</w:t>
      </w:r>
      <w:r>
        <w:rPr>
          <w:color w:val="231F20"/>
          <w:spacing w:val="22"/>
          <w:w w:val="95"/>
        </w:rPr>
        <w:t> </w:t>
      </w:r>
      <w:r>
        <w:rPr>
          <w:color w:val="231F20"/>
          <w:w w:val="95"/>
        </w:rPr>
        <w:t>conocimiento</w:t>
      </w:r>
    </w:p>
    <w:p>
      <w:pPr>
        <w:pStyle w:val="BodyText"/>
        <w:spacing w:before="4"/>
        <w:rPr>
          <w:b/>
          <w:sz w:val="25"/>
        </w:rPr>
      </w:pPr>
    </w:p>
    <w:p>
      <w:pPr>
        <w:pStyle w:val="BodyText"/>
        <w:spacing w:line="259" w:lineRule="auto" w:before="1"/>
        <w:ind w:left="123" w:right="134"/>
        <w:jc w:val="both"/>
      </w:pPr>
      <w:r>
        <w:rPr>
          <w:color w:val="231F20"/>
          <w:spacing w:val="-3"/>
          <w:w w:val="105"/>
        </w:rPr>
        <w:t>Como</w:t>
      </w:r>
      <w:r>
        <w:rPr>
          <w:color w:val="231F20"/>
          <w:spacing w:val="-29"/>
          <w:w w:val="105"/>
        </w:rPr>
        <w:t> </w:t>
      </w:r>
      <w:r>
        <w:rPr>
          <w:color w:val="231F20"/>
          <w:spacing w:val="-3"/>
          <w:w w:val="105"/>
        </w:rPr>
        <w:t>consecuencia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inmersión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spacing w:val="-3"/>
          <w:w w:val="105"/>
        </w:rPr>
        <w:t>sociedades</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spacing w:val="-3"/>
          <w:w w:val="105"/>
        </w:rPr>
        <w:t>Economía</w:t>
      </w:r>
      <w:r>
        <w:rPr>
          <w:color w:val="231F20"/>
          <w:spacing w:val="-29"/>
          <w:w w:val="105"/>
        </w:rPr>
        <w:t> </w:t>
      </w:r>
      <w:r>
        <w:rPr>
          <w:color w:val="231F20"/>
          <w:spacing w:val="-3"/>
          <w:w w:val="105"/>
        </w:rPr>
        <w:t>del </w:t>
      </w:r>
      <w:r>
        <w:rPr>
          <w:color w:val="231F20"/>
          <w:spacing w:val="-4"/>
          <w:w w:val="105"/>
        </w:rPr>
        <w:t>Conocimiento,</w:t>
      </w:r>
      <w:r>
        <w:rPr>
          <w:color w:val="231F20"/>
          <w:spacing w:val="-27"/>
          <w:w w:val="105"/>
        </w:rPr>
        <w:t> </w:t>
      </w:r>
      <w:r>
        <w:rPr>
          <w:color w:val="231F20"/>
          <w:w w:val="105"/>
        </w:rPr>
        <w:t>el</w:t>
      </w:r>
      <w:r>
        <w:rPr>
          <w:color w:val="231F20"/>
          <w:spacing w:val="-22"/>
          <w:w w:val="105"/>
        </w:rPr>
        <w:t> </w:t>
      </w:r>
      <w:r>
        <w:rPr>
          <w:color w:val="231F20"/>
          <w:spacing w:val="-3"/>
          <w:w w:val="105"/>
        </w:rPr>
        <w:t>análisis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4"/>
          <w:w w:val="105"/>
        </w:rPr>
        <w:t>creación</w:t>
      </w:r>
      <w:r>
        <w:rPr>
          <w:color w:val="231F20"/>
          <w:spacing w:val="-22"/>
          <w:w w:val="105"/>
        </w:rPr>
        <w:t> </w:t>
      </w:r>
      <w:r>
        <w:rPr>
          <w:color w:val="231F20"/>
          <w:w w:val="105"/>
        </w:rPr>
        <w:t>de</w:t>
      </w:r>
      <w:r>
        <w:rPr>
          <w:color w:val="231F20"/>
          <w:spacing w:val="-22"/>
          <w:w w:val="105"/>
        </w:rPr>
        <w:t> </w:t>
      </w:r>
      <w:r>
        <w:rPr>
          <w:color w:val="231F20"/>
          <w:spacing w:val="-3"/>
          <w:w w:val="105"/>
        </w:rPr>
        <w:t>capacidades</w:t>
      </w:r>
      <w:r>
        <w:rPr>
          <w:color w:val="231F20"/>
          <w:spacing w:val="-22"/>
          <w:w w:val="105"/>
        </w:rPr>
        <w:t> </w:t>
      </w:r>
      <w:r>
        <w:rPr>
          <w:color w:val="231F20"/>
          <w:spacing w:val="-3"/>
          <w:w w:val="105"/>
        </w:rPr>
        <w:t>cognitivas</w:t>
      </w:r>
      <w:r>
        <w:rPr>
          <w:color w:val="231F20"/>
          <w:spacing w:val="-22"/>
          <w:w w:val="105"/>
        </w:rPr>
        <w:t> </w:t>
      </w:r>
      <w:r>
        <w:rPr>
          <w:color w:val="231F20"/>
          <w:w w:val="105"/>
        </w:rPr>
        <w:t>y</w:t>
      </w:r>
      <w:r>
        <w:rPr>
          <w:color w:val="231F20"/>
          <w:spacing w:val="-22"/>
          <w:w w:val="105"/>
        </w:rPr>
        <w:t> </w:t>
      </w:r>
      <w:r>
        <w:rPr>
          <w:color w:val="231F20"/>
          <w:w w:val="105"/>
        </w:rPr>
        <w:t>su</w:t>
      </w:r>
      <w:r>
        <w:rPr>
          <w:color w:val="231F20"/>
          <w:spacing w:val="-22"/>
          <w:w w:val="105"/>
        </w:rPr>
        <w:t> </w:t>
      </w:r>
      <w:r>
        <w:rPr>
          <w:color w:val="231F20"/>
          <w:w w:val="105"/>
        </w:rPr>
        <w:t>in- </w:t>
      </w:r>
      <w:r>
        <w:rPr>
          <w:color w:val="231F20"/>
          <w:spacing w:val="-3"/>
          <w:w w:val="105"/>
        </w:rPr>
        <w:t>tercambio</w:t>
      </w:r>
      <w:r>
        <w:rPr>
          <w:color w:val="231F20"/>
          <w:spacing w:val="-15"/>
          <w:w w:val="105"/>
        </w:rPr>
        <w:t> </w:t>
      </w:r>
      <w:r>
        <w:rPr>
          <w:color w:val="231F20"/>
          <w:w w:val="105"/>
        </w:rPr>
        <w:t>en</w:t>
      </w:r>
      <w:r>
        <w:rPr>
          <w:color w:val="231F20"/>
          <w:spacing w:val="-15"/>
          <w:w w:val="105"/>
        </w:rPr>
        <w:t> </w:t>
      </w:r>
      <w:r>
        <w:rPr>
          <w:color w:val="231F20"/>
          <w:spacing w:val="-3"/>
          <w:w w:val="105"/>
        </w:rPr>
        <w:t>red</w:t>
      </w:r>
      <w:r>
        <w:rPr>
          <w:color w:val="231F20"/>
          <w:spacing w:val="-15"/>
          <w:w w:val="105"/>
        </w:rPr>
        <w:t> </w:t>
      </w:r>
      <w:r>
        <w:rPr>
          <w:color w:val="231F20"/>
          <w:spacing w:val="-3"/>
          <w:w w:val="105"/>
        </w:rPr>
        <w:t>adquiere</w:t>
      </w:r>
      <w:r>
        <w:rPr>
          <w:color w:val="231F20"/>
          <w:spacing w:val="-15"/>
          <w:w w:val="105"/>
        </w:rPr>
        <w:t> </w:t>
      </w:r>
      <w:r>
        <w:rPr>
          <w:color w:val="231F20"/>
          <w:spacing w:val="-3"/>
          <w:w w:val="105"/>
        </w:rPr>
        <w:t>especial</w:t>
      </w:r>
      <w:r>
        <w:rPr>
          <w:color w:val="231F20"/>
          <w:spacing w:val="-15"/>
          <w:w w:val="105"/>
        </w:rPr>
        <w:t> </w:t>
      </w:r>
      <w:r>
        <w:rPr>
          <w:color w:val="231F20"/>
          <w:spacing w:val="-3"/>
          <w:w w:val="105"/>
        </w:rPr>
        <w:t>relevancia.</w:t>
      </w:r>
      <w:r>
        <w:rPr>
          <w:color w:val="231F20"/>
          <w:spacing w:val="-21"/>
          <w:w w:val="105"/>
        </w:rPr>
        <w:t> </w:t>
      </w:r>
      <w:r>
        <w:rPr>
          <w:color w:val="231F20"/>
          <w:w w:val="105"/>
        </w:rPr>
        <w:t>Sin</w:t>
      </w:r>
      <w:r>
        <w:rPr>
          <w:color w:val="231F20"/>
          <w:spacing w:val="-15"/>
          <w:w w:val="105"/>
        </w:rPr>
        <w:t> </w:t>
      </w:r>
      <w:r>
        <w:rPr>
          <w:color w:val="231F20"/>
          <w:spacing w:val="-4"/>
          <w:w w:val="105"/>
        </w:rPr>
        <w:t>embargo,</w:t>
      </w:r>
      <w:r>
        <w:rPr>
          <w:color w:val="231F20"/>
          <w:spacing w:val="-21"/>
          <w:w w:val="105"/>
        </w:rPr>
        <w:t> </w:t>
      </w:r>
      <w:r>
        <w:rPr>
          <w:color w:val="231F20"/>
          <w:w w:val="105"/>
        </w:rPr>
        <w:t>es</w:t>
      </w:r>
      <w:r>
        <w:rPr>
          <w:color w:val="231F20"/>
          <w:spacing w:val="-15"/>
          <w:w w:val="105"/>
        </w:rPr>
        <w:t> </w:t>
      </w:r>
      <w:r>
        <w:rPr>
          <w:color w:val="231F20"/>
          <w:spacing w:val="-3"/>
          <w:w w:val="105"/>
        </w:rPr>
        <w:t>notoria</w:t>
      </w:r>
      <w:r>
        <w:rPr>
          <w:color w:val="231F20"/>
          <w:spacing w:val="-15"/>
          <w:w w:val="105"/>
        </w:rPr>
        <w:t> </w:t>
      </w:r>
      <w:r>
        <w:rPr>
          <w:color w:val="231F20"/>
          <w:spacing w:val="-3"/>
          <w:w w:val="105"/>
        </w:rPr>
        <w:t>la inexistencia</w:t>
      </w:r>
      <w:r>
        <w:rPr>
          <w:color w:val="231F20"/>
          <w:spacing w:val="-23"/>
          <w:w w:val="105"/>
        </w:rPr>
        <w:t> </w:t>
      </w:r>
      <w:r>
        <w:rPr>
          <w:color w:val="231F20"/>
          <w:w w:val="105"/>
        </w:rPr>
        <w:t>de</w:t>
      </w:r>
      <w:r>
        <w:rPr>
          <w:color w:val="231F20"/>
          <w:spacing w:val="-23"/>
          <w:w w:val="105"/>
        </w:rPr>
        <w:t> </w:t>
      </w:r>
      <w:r>
        <w:rPr>
          <w:color w:val="231F20"/>
          <w:spacing w:val="-3"/>
          <w:w w:val="105"/>
        </w:rPr>
        <w:t>enfoques</w:t>
      </w:r>
      <w:r>
        <w:rPr>
          <w:color w:val="231F20"/>
          <w:spacing w:val="-23"/>
          <w:w w:val="105"/>
        </w:rPr>
        <w:t> </w:t>
      </w:r>
      <w:r>
        <w:rPr>
          <w:color w:val="231F20"/>
          <w:spacing w:val="-3"/>
          <w:w w:val="105"/>
        </w:rPr>
        <w:t>metodológicos</w:t>
      </w:r>
      <w:r>
        <w:rPr>
          <w:color w:val="231F20"/>
          <w:spacing w:val="-23"/>
          <w:w w:val="105"/>
        </w:rPr>
        <w:t> </w:t>
      </w:r>
      <w:r>
        <w:rPr>
          <w:color w:val="231F20"/>
          <w:w w:val="105"/>
        </w:rPr>
        <w:t>que</w:t>
      </w:r>
      <w:r>
        <w:rPr>
          <w:color w:val="231F20"/>
          <w:spacing w:val="-23"/>
          <w:w w:val="105"/>
        </w:rPr>
        <w:t> </w:t>
      </w:r>
      <w:r>
        <w:rPr>
          <w:color w:val="231F20"/>
          <w:spacing w:val="-3"/>
          <w:w w:val="105"/>
        </w:rPr>
        <w:t>permitan</w:t>
      </w:r>
      <w:r>
        <w:rPr>
          <w:color w:val="231F20"/>
          <w:spacing w:val="-23"/>
          <w:w w:val="105"/>
        </w:rPr>
        <w:t> </w:t>
      </w:r>
      <w:r>
        <w:rPr>
          <w:color w:val="231F20"/>
          <w:spacing w:val="-3"/>
          <w:w w:val="105"/>
        </w:rPr>
        <w:t>examinar</w:t>
      </w:r>
      <w:r>
        <w:rPr>
          <w:color w:val="231F20"/>
          <w:spacing w:val="-23"/>
          <w:w w:val="105"/>
        </w:rPr>
        <w:t> </w:t>
      </w:r>
      <w:r>
        <w:rPr>
          <w:color w:val="231F20"/>
          <w:spacing w:val="-3"/>
          <w:w w:val="105"/>
        </w:rPr>
        <w:t>conjunta- mente</w:t>
      </w:r>
      <w:r>
        <w:rPr>
          <w:color w:val="231F20"/>
          <w:spacing w:val="-16"/>
          <w:w w:val="105"/>
        </w:rPr>
        <w:t> </w:t>
      </w:r>
      <w:r>
        <w:rPr>
          <w:color w:val="231F20"/>
          <w:w w:val="105"/>
        </w:rPr>
        <w:t>lo</w:t>
      </w:r>
      <w:r>
        <w:rPr>
          <w:color w:val="231F20"/>
          <w:spacing w:val="-16"/>
          <w:w w:val="105"/>
        </w:rPr>
        <w:t> </w:t>
      </w:r>
      <w:r>
        <w:rPr>
          <w:color w:val="231F20"/>
          <w:spacing w:val="-3"/>
          <w:w w:val="105"/>
        </w:rPr>
        <w:t>cuantitativo</w:t>
      </w:r>
      <w:r>
        <w:rPr>
          <w:color w:val="231F20"/>
          <w:spacing w:val="-16"/>
          <w:w w:val="105"/>
        </w:rPr>
        <w:t> </w:t>
      </w:r>
      <w:r>
        <w:rPr>
          <w:color w:val="231F20"/>
          <w:w w:val="105"/>
        </w:rPr>
        <w:t>y</w:t>
      </w:r>
      <w:r>
        <w:rPr>
          <w:color w:val="231F20"/>
          <w:spacing w:val="-16"/>
          <w:w w:val="105"/>
        </w:rPr>
        <w:t> </w:t>
      </w:r>
      <w:r>
        <w:rPr>
          <w:color w:val="231F20"/>
          <w:w w:val="105"/>
        </w:rPr>
        <w:t>lo</w:t>
      </w:r>
      <w:r>
        <w:rPr>
          <w:color w:val="231F20"/>
          <w:spacing w:val="-16"/>
          <w:w w:val="105"/>
        </w:rPr>
        <w:t> </w:t>
      </w:r>
      <w:r>
        <w:rPr>
          <w:color w:val="231F20"/>
          <w:spacing w:val="-4"/>
          <w:w w:val="105"/>
        </w:rPr>
        <w:t>cualitativo,</w:t>
      </w:r>
      <w:r>
        <w:rPr>
          <w:color w:val="231F20"/>
          <w:spacing w:val="-22"/>
          <w:w w:val="105"/>
        </w:rPr>
        <w:t> </w:t>
      </w:r>
      <w:r>
        <w:rPr>
          <w:color w:val="231F20"/>
          <w:w w:val="105"/>
        </w:rPr>
        <w:t>la</w:t>
      </w:r>
      <w:r>
        <w:rPr>
          <w:color w:val="231F20"/>
          <w:spacing w:val="-16"/>
          <w:w w:val="105"/>
        </w:rPr>
        <w:t> </w:t>
      </w:r>
      <w:r>
        <w:rPr>
          <w:color w:val="231F20"/>
          <w:spacing w:val="-3"/>
          <w:w w:val="105"/>
        </w:rPr>
        <w:t>configuración</w:t>
      </w:r>
      <w:r>
        <w:rPr>
          <w:color w:val="231F20"/>
          <w:spacing w:val="-16"/>
          <w:w w:val="105"/>
        </w:rPr>
        <w:t> </w:t>
      </w:r>
      <w:r>
        <w:rPr>
          <w:color w:val="231F20"/>
          <w:w w:val="105"/>
        </w:rPr>
        <w:t>de</w:t>
      </w:r>
      <w:r>
        <w:rPr>
          <w:color w:val="231F20"/>
          <w:spacing w:val="-16"/>
          <w:w w:val="105"/>
        </w:rPr>
        <w:t> </w:t>
      </w:r>
      <w:r>
        <w:rPr>
          <w:color w:val="231F20"/>
          <w:spacing w:val="-3"/>
          <w:w w:val="105"/>
        </w:rPr>
        <w:t>redes</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spacing w:val="-3"/>
          <w:w w:val="105"/>
        </w:rPr>
        <w:t>conoci- miento</w:t>
      </w:r>
      <w:r>
        <w:rPr>
          <w:color w:val="231F20"/>
          <w:spacing w:val="-8"/>
          <w:w w:val="105"/>
        </w:rPr>
        <w:t> </w:t>
      </w:r>
      <w:r>
        <w:rPr>
          <w:color w:val="231F20"/>
          <w:spacing w:val="-3"/>
          <w:w w:val="105"/>
        </w:rPr>
        <w:t>generado</w:t>
      </w:r>
      <w:r>
        <w:rPr>
          <w:color w:val="231F20"/>
          <w:spacing w:val="-8"/>
          <w:w w:val="105"/>
        </w:rPr>
        <w:t> </w:t>
      </w:r>
      <w:r>
        <w:rPr>
          <w:color w:val="231F20"/>
          <w:w w:val="105"/>
        </w:rPr>
        <w:t>en</w:t>
      </w:r>
      <w:r>
        <w:rPr>
          <w:color w:val="231F20"/>
          <w:spacing w:val="-8"/>
          <w:w w:val="105"/>
        </w:rPr>
        <w:t> </w:t>
      </w:r>
      <w:r>
        <w:rPr>
          <w:color w:val="231F20"/>
          <w:spacing w:val="-3"/>
          <w:w w:val="105"/>
        </w:rPr>
        <w:t>ellas.</w:t>
      </w:r>
      <w:r>
        <w:rPr>
          <w:color w:val="231F20"/>
          <w:spacing w:val="-15"/>
          <w:w w:val="105"/>
        </w:rPr>
        <w:t> </w:t>
      </w:r>
      <w:r>
        <w:rPr>
          <w:color w:val="231F20"/>
          <w:spacing w:val="-3"/>
          <w:w w:val="105"/>
        </w:rPr>
        <w:t>Debido</w:t>
      </w:r>
      <w:r>
        <w:rPr>
          <w:color w:val="231F20"/>
          <w:spacing w:val="-8"/>
          <w:w w:val="105"/>
        </w:rPr>
        <w:t> </w:t>
      </w:r>
      <w:r>
        <w:rPr>
          <w:color w:val="231F20"/>
          <w:w w:val="105"/>
        </w:rPr>
        <w:t>a</w:t>
      </w:r>
      <w:r>
        <w:rPr>
          <w:color w:val="231F20"/>
          <w:spacing w:val="-8"/>
          <w:w w:val="105"/>
        </w:rPr>
        <w:t> </w:t>
      </w:r>
      <w:r>
        <w:rPr>
          <w:color w:val="231F20"/>
          <w:w w:val="105"/>
        </w:rPr>
        <w:t>tal</w:t>
      </w:r>
      <w:r>
        <w:rPr>
          <w:color w:val="231F20"/>
          <w:spacing w:val="-8"/>
          <w:w w:val="105"/>
        </w:rPr>
        <w:t> </w:t>
      </w:r>
      <w:r>
        <w:rPr>
          <w:color w:val="231F20"/>
          <w:spacing w:val="-3"/>
          <w:w w:val="105"/>
        </w:rPr>
        <w:t>carencia</w:t>
      </w:r>
      <w:r>
        <w:rPr>
          <w:color w:val="231F20"/>
          <w:spacing w:val="-8"/>
          <w:w w:val="105"/>
        </w:rPr>
        <w:t> </w:t>
      </w:r>
      <w:r>
        <w:rPr>
          <w:color w:val="231F20"/>
          <w:w w:val="105"/>
        </w:rPr>
        <w:t>se</w:t>
      </w:r>
      <w:r>
        <w:rPr>
          <w:color w:val="231F20"/>
          <w:spacing w:val="-8"/>
          <w:w w:val="105"/>
        </w:rPr>
        <w:t> </w:t>
      </w:r>
      <w:r>
        <w:rPr>
          <w:color w:val="231F20"/>
          <w:spacing w:val="-3"/>
          <w:w w:val="105"/>
        </w:rPr>
        <w:t>propone</w:t>
      </w:r>
      <w:r>
        <w:rPr>
          <w:color w:val="231F20"/>
          <w:spacing w:val="-8"/>
          <w:w w:val="105"/>
        </w:rPr>
        <w:t> </w:t>
      </w:r>
      <w:r>
        <w:rPr>
          <w:color w:val="231F20"/>
          <w:w w:val="105"/>
        </w:rPr>
        <w:t>un</w:t>
      </w:r>
      <w:r>
        <w:rPr>
          <w:color w:val="231F20"/>
          <w:spacing w:val="-8"/>
          <w:w w:val="105"/>
        </w:rPr>
        <w:t> </w:t>
      </w:r>
      <w:r>
        <w:rPr>
          <w:color w:val="231F20"/>
          <w:spacing w:val="-3"/>
          <w:w w:val="105"/>
        </w:rPr>
        <w:t>esquema metodológico </w:t>
      </w:r>
      <w:r>
        <w:rPr>
          <w:color w:val="231F20"/>
          <w:w w:val="105"/>
        </w:rPr>
        <w:t>a </w:t>
      </w:r>
      <w:r>
        <w:rPr>
          <w:color w:val="231F20"/>
          <w:spacing w:val="-3"/>
          <w:w w:val="105"/>
        </w:rPr>
        <w:t>partir </w:t>
      </w:r>
      <w:r>
        <w:rPr>
          <w:color w:val="231F20"/>
          <w:w w:val="105"/>
        </w:rPr>
        <w:t>de la </w:t>
      </w:r>
      <w:r>
        <w:rPr>
          <w:color w:val="231F20"/>
          <w:spacing w:val="-3"/>
          <w:w w:val="105"/>
        </w:rPr>
        <w:t>confluencia </w:t>
      </w:r>
      <w:r>
        <w:rPr>
          <w:color w:val="231F20"/>
          <w:w w:val="105"/>
        </w:rPr>
        <w:t>del ARS y </w:t>
      </w:r>
      <w:r>
        <w:rPr>
          <w:color w:val="231F20"/>
          <w:spacing w:val="-3"/>
          <w:w w:val="105"/>
        </w:rPr>
        <w:t>aspectos </w:t>
      </w:r>
      <w:r>
        <w:rPr>
          <w:color w:val="231F20"/>
          <w:spacing w:val="-4"/>
          <w:w w:val="105"/>
        </w:rPr>
        <w:t>provenientes </w:t>
      </w:r>
      <w:r>
        <w:rPr>
          <w:color w:val="231F20"/>
          <w:w w:val="105"/>
        </w:rPr>
        <w:t>de</w:t>
      </w:r>
      <w:r>
        <w:rPr>
          <w:color w:val="231F20"/>
          <w:spacing w:val="-22"/>
          <w:w w:val="105"/>
        </w:rPr>
        <w:t> </w:t>
      </w:r>
      <w:r>
        <w:rPr>
          <w:color w:val="231F20"/>
          <w:spacing w:val="-3"/>
          <w:w w:val="105"/>
        </w:rPr>
        <w:t>investigaciones</w:t>
      </w:r>
      <w:r>
        <w:rPr>
          <w:color w:val="231F20"/>
          <w:spacing w:val="-22"/>
          <w:w w:val="105"/>
        </w:rPr>
        <w:t> </w:t>
      </w:r>
      <w:r>
        <w:rPr>
          <w:color w:val="231F20"/>
          <w:spacing w:val="-4"/>
          <w:w w:val="105"/>
        </w:rPr>
        <w:t>representativas</w:t>
      </w:r>
      <w:r>
        <w:rPr>
          <w:color w:val="231F20"/>
          <w:spacing w:val="-22"/>
          <w:w w:val="105"/>
        </w:rPr>
        <w:t> </w:t>
      </w:r>
      <w:r>
        <w:rPr>
          <w:color w:val="231F20"/>
          <w:spacing w:val="-3"/>
          <w:w w:val="105"/>
        </w:rPr>
        <w:t>sobre</w:t>
      </w:r>
      <w:r>
        <w:rPr>
          <w:color w:val="231F20"/>
          <w:spacing w:val="-22"/>
          <w:w w:val="105"/>
        </w:rPr>
        <w:t> </w:t>
      </w:r>
      <w:r>
        <w:rPr>
          <w:color w:val="231F20"/>
          <w:spacing w:val="-3"/>
          <w:w w:val="105"/>
        </w:rPr>
        <w:t>redes</w:t>
      </w:r>
      <w:r>
        <w:rPr>
          <w:color w:val="231F20"/>
          <w:spacing w:val="-22"/>
          <w:w w:val="105"/>
        </w:rPr>
        <w:t> </w:t>
      </w:r>
      <w:r>
        <w:rPr>
          <w:color w:val="231F20"/>
          <w:w w:val="105"/>
        </w:rPr>
        <w:t>de</w:t>
      </w:r>
      <w:r>
        <w:rPr>
          <w:color w:val="231F20"/>
          <w:spacing w:val="-22"/>
          <w:w w:val="105"/>
        </w:rPr>
        <w:t> </w:t>
      </w:r>
      <w:r>
        <w:rPr>
          <w:color w:val="231F20"/>
          <w:spacing w:val="-3"/>
          <w:w w:val="105"/>
        </w:rPr>
        <w:t>conocimiento.</w:t>
      </w:r>
    </w:p>
    <w:p>
      <w:pPr>
        <w:pStyle w:val="BodyText"/>
        <w:rPr>
          <w:sz w:val="20"/>
        </w:rPr>
      </w:pPr>
    </w:p>
    <w:p>
      <w:pPr>
        <w:pStyle w:val="BodyText"/>
        <w:rPr>
          <w:sz w:val="20"/>
        </w:rPr>
      </w:pPr>
    </w:p>
    <w:p>
      <w:pPr>
        <w:pStyle w:val="BodyText"/>
        <w:spacing w:before="7"/>
      </w:pPr>
    </w:p>
    <w:p>
      <w:pPr>
        <w:tabs>
          <w:tab w:pos="1337" w:val="left" w:leader="none"/>
        </w:tabs>
        <w:spacing w:before="0"/>
        <w:ind w:left="232" w:right="0" w:firstLine="0"/>
        <w:jc w:val="left"/>
        <w:rPr>
          <w:rFonts w:ascii="Calibri" w:hAnsi="Calibri"/>
          <w:sz w:val="15"/>
        </w:rPr>
      </w:pPr>
      <w:r>
        <w:rPr/>
        <w:pict>
          <v:group style="position:absolute;margin-left:101.817299pt;margin-top:-20.299887pt;width:17.850pt;height:56.5pt;mso-position-horizontal-relative:page;mso-position-vertical-relative:paragraph;z-index:-242896"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w w:val="105"/>
          <w:position w:val="-5"/>
          <w:sz w:val="20"/>
        </w:rPr>
        <w:t>128</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180" w:right="128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5080"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129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21"/>
        <w:jc w:val="both"/>
      </w:pPr>
      <w:r>
        <w:rPr>
          <w:color w:val="231F20"/>
          <w:w w:val="105"/>
        </w:rPr>
        <w:t>Del ARS se sugiere retomar la perspectiva sociométrica y con ello ob- tener</w:t>
      </w:r>
      <w:r>
        <w:rPr>
          <w:color w:val="231F20"/>
          <w:spacing w:val="-13"/>
          <w:w w:val="105"/>
        </w:rPr>
        <w:t> </w:t>
      </w:r>
      <w:r>
        <w:rPr>
          <w:color w:val="231F20"/>
          <w:w w:val="105"/>
        </w:rPr>
        <w:t>los</w:t>
      </w:r>
      <w:r>
        <w:rPr>
          <w:color w:val="231F20"/>
          <w:spacing w:val="-13"/>
          <w:w w:val="105"/>
        </w:rPr>
        <w:t> </w:t>
      </w:r>
      <w:r>
        <w:rPr>
          <w:color w:val="231F20"/>
          <w:w w:val="105"/>
        </w:rPr>
        <w:t>indicadores</w:t>
      </w:r>
      <w:r>
        <w:rPr>
          <w:color w:val="231F20"/>
          <w:spacing w:val="-13"/>
          <w:w w:val="105"/>
        </w:rPr>
        <w:t> </w:t>
      </w:r>
      <w:r>
        <w:rPr>
          <w:color w:val="231F20"/>
          <w:w w:val="105"/>
        </w:rPr>
        <w:t>estructurales</w:t>
      </w:r>
      <w:r>
        <w:rPr>
          <w:color w:val="231F20"/>
          <w:spacing w:val="-13"/>
          <w:w w:val="105"/>
        </w:rPr>
        <w:t> </w:t>
      </w:r>
      <w:r>
        <w:rPr>
          <w:color w:val="231F20"/>
          <w:w w:val="105"/>
        </w:rPr>
        <w:t>(densidad</w:t>
      </w:r>
      <w:r>
        <w:rPr>
          <w:color w:val="231F20"/>
          <w:spacing w:val="-13"/>
          <w:w w:val="105"/>
        </w:rPr>
        <w:t> </w:t>
      </w:r>
      <w:r>
        <w:rPr>
          <w:color w:val="231F20"/>
          <w:w w:val="105"/>
        </w:rPr>
        <w:t>y</w:t>
      </w:r>
      <w:r>
        <w:rPr>
          <w:color w:val="231F20"/>
          <w:spacing w:val="-13"/>
          <w:w w:val="105"/>
        </w:rPr>
        <w:t> </w:t>
      </w:r>
      <w:r>
        <w:rPr>
          <w:color w:val="231F20"/>
          <w:w w:val="105"/>
        </w:rPr>
        <w:t>distancia)</w:t>
      </w:r>
      <w:r>
        <w:rPr>
          <w:color w:val="231F20"/>
          <w:spacing w:val="-13"/>
          <w:w w:val="105"/>
        </w:rPr>
        <w:t> </w:t>
      </w:r>
      <w:r>
        <w:rPr>
          <w:color w:val="231F20"/>
          <w:w w:val="105"/>
        </w:rPr>
        <w:t>y</w:t>
      </w:r>
      <w:r>
        <w:rPr>
          <w:color w:val="231F20"/>
          <w:spacing w:val="-13"/>
          <w:w w:val="105"/>
        </w:rPr>
        <w:t> </w:t>
      </w:r>
      <w:r>
        <w:rPr>
          <w:color w:val="231F20"/>
          <w:w w:val="105"/>
        </w:rPr>
        <w:t>posicionales (centralidad</w:t>
      </w:r>
      <w:r>
        <w:rPr>
          <w:color w:val="231F20"/>
          <w:spacing w:val="-16"/>
          <w:w w:val="105"/>
        </w:rPr>
        <w:t> </w:t>
      </w:r>
      <w:r>
        <w:rPr>
          <w:color w:val="231F20"/>
          <w:w w:val="105"/>
        </w:rPr>
        <w:t>de</w:t>
      </w:r>
      <w:r>
        <w:rPr>
          <w:color w:val="231F20"/>
          <w:spacing w:val="-16"/>
          <w:w w:val="105"/>
        </w:rPr>
        <w:t> </w:t>
      </w:r>
      <w:r>
        <w:rPr>
          <w:color w:val="231F20"/>
          <w:w w:val="105"/>
        </w:rPr>
        <w:t>grado</w:t>
      </w:r>
      <w:r>
        <w:rPr>
          <w:color w:val="231F20"/>
          <w:spacing w:val="-16"/>
          <w:w w:val="105"/>
        </w:rPr>
        <w:t> </w:t>
      </w:r>
      <w:r>
        <w:rPr>
          <w:color w:val="231F20"/>
          <w:w w:val="105"/>
        </w:rPr>
        <w:t>y</w:t>
      </w:r>
      <w:r>
        <w:rPr>
          <w:color w:val="231F20"/>
          <w:spacing w:val="-16"/>
          <w:w w:val="105"/>
        </w:rPr>
        <w:t> </w:t>
      </w:r>
      <w:r>
        <w:rPr>
          <w:color w:val="231F20"/>
          <w:w w:val="105"/>
        </w:rPr>
        <w:t>grado</w:t>
      </w:r>
      <w:r>
        <w:rPr>
          <w:color w:val="231F20"/>
          <w:spacing w:val="-16"/>
          <w:w w:val="105"/>
        </w:rPr>
        <w:t> </w:t>
      </w:r>
      <w:r>
        <w:rPr>
          <w:color w:val="231F20"/>
          <w:w w:val="105"/>
        </w:rPr>
        <w:t>de</w:t>
      </w:r>
      <w:r>
        <w:rPr>
          <w:color w:val="231F20"/>
          <w:spacing w:val="-16"/>
          <w:w w:val="105"/>
        </w:rPr>
        <w:t> </w:t>
      </w:r>
      <w:r>
        <w:rPr>
          <w:color w:val="231F20"/>
          <w:w w:val="105"/>
        </w:rPr>
        <w:t>intermediación).</w:t>
      </w:r>
      <w:r>
        <w:rPr>
          <w:color w:val="231F20"/>
          <w:spacing w:val="-22"/>
          <w:w w:val="105"/>
        </w:rPr>
        <w:t> </w:t>
      </w:r>
      <w:r>
        <w:rPr>
          <w:color w:val="231F20"/>
          <w:w w:val="105"/>
        </w:rPr>
        <w:t>Estos</w:t>
      </w:r>
      <w:r>
        <w:rPr>
          <w:color w:val="231F20"/>
          <w:spacing w:val="-16"/>
          <w:w w:val="105"/>
        </w:rPr>
        <w:t> </w:t>
      </w:r>
      <w:r>
        <w:rPr>
          <w:color w:val="231F20"/>
          <w:w w:val="105"/>
        </w:rPr>
        <w:t>elementos</w:t>
      </w:r>
      <w:r>
        <w:rPr>
          <w:color w:val="231F20"/>
          <w:spacing w:val="-16"/>
          <w:w w:val="105"/>
        </w:rPr>
        <w:t> </w:t>
      </w:r>
      <w:r>
        <w:rPr>
          <w:color w:val="231F20"/>
          <w:w w:val="105"/>
        </w:rPr>
        <w:t>mos- trarán</w:t>
      </w:r>
      <w:r>
        <w:rPr>
          <w:color w:val="231F20"/>
          <w:spacing w:val="-16"/>
          <w:w w:val="105"/>
        </w:rPr>
        <w:t> </w:t>
      </w:r>
      <w:r>
        <w:rPr>
          <w:color w:val="231F20"/>
          <w:w w:val="105"/>
        </w:rPr>
        <w:t>el</w:t>
      </w:r>
      <w:r>
        <w:rPr>
          <w:color w:val="231F20"/>
          <w:spacing w:val="-16"/>
          <w:w w:val="105"/>
        </w:rPr>
        <w:t> </w:t>
      </w:r>
      <w:r>
        <w:rPr>
          <w:color w:val="231F20"/>
          <w:w w:val="105"/>
        </w:rPr>
        <w:t>sitio</w:t>
      </w:r>
      <w:r>
        <w:rPr>
          <w:color w:val="231F20"/>
          <w:spacing w:val="-16"/>
          <w:w w:val="105"/>
        </w:rPr>
        <w:t> </w:t>
      </w:r>
      <w:r>
        <w:rPr>
          <w:color w:val="231F20"/>
          <w:w w:val="105"/>
        </w:rPr>
        <w:t>que</w:t>
      </w:r>
      <w:r>
        <w:rPr>
          <w:color w:val="231F20"/>
          <w:spacing w:val="-16"/>
          <w:w w:val="105"/>
        </w:rPr>
        <w:t> </w:t>
      </w:r>
      <w:r>
        <w:rPr>
          <w:color w:val="231F20"/>
          <w:w w:val="105"/>
        </w:rPr>
        <w:t>asume</w:t>
      </w:r>
      <w:r>
        <w:rPr>
          <w:color w:val="231F20"/>
          <w:spacing w:val="-16"/>
          <w:w w:val="105"/>
        </w:rPr>
        <w:t> </w:t>
      </w:r>
      <w:r>
        <w:rPr>
          <w:color w:val="231F20"/>
          <w:w w:val="105"/>
        </w:rPr>
        <w:t>cada</w:t>
      </w:r>
      <w:r>
        <w:rPr>
          <w:color w:val="231F20"/>
          <w:spacing w:val="-16"/>
          <w:w w:val="105"/>
        </w:rPr>
        <w:t> </w:t>
      </w:r>
      <w:r>
        <w:rPr>
          <w:color w:val="231F20"/>
          <w:w w:val="105"/>
        </w:rPr>
        <w:t>actor</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configuración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red</w:t>
      </w:r>
      <w:r>
        <w:rPr>
          <w:color w:val="231F20"/>
          <w:spacing w:val="-16"/>
          <w:w w:val="105"/>
        </w:rPr>
        <w:t> </w:t>
      </w:r>
      <w:r>
        <w:rPr>
          <w:color w:val="231F20"/>
          <w:w w:val="105"/>
        </w:rPr>
        <w:t>en</w:t>
      </w:r>
      <w:r>
        <w:rPr>
          <w:color w:val="231F20"/>
          <w:spacing w:val="-16"/>
          <w:w w:val="105"/>
        </w:rPr>
        <w:t> </w:t>
      </w:r>
      <w:r>
        <w:rPr>
          <w:color w:val="231F20"/>
          <w:w w:val="105"/>
        </w:rPr>
        <w:t>térmi- nos</w:t>
      </w:r>
      <w:r>
        <w:rPr>
          <w:color w:val="231F20"/>
          <w:spacing w:val="-22"/>
          <w:w w:val="105"/>
        </w:rPr>
        <w:t> </w:t>
      </w:r>
      <w:r>
        <w:rPr>
          <w:color w:val="231F20"/>
          <w:w w:val="105"/>
        </w:rPr>
        <w:t>de</w:t>
      </w:r>
      <w:r>
        <w:rPr>
          <w:color w:val="231F20"/>
          <w:spacing w:val="-22"/>
          <w:w w:val="105"/>
        </w:rPr>
        <w:t> </w:t>
      </w:r>
      <w:r>
        <w:rPr>
          <w:color w:val="231F20"/>
          <w:w w:val="105"/>
        </w:rPr>
        <w:t>densidad,</w:t>
      </w:r>
      <w:r>
        <w:rPr>
          <w:color w:val="231F20"/>
          <w:spacing w:val="-27"/>
          <w:w w:val="105"/>
        </w:rPr>
        <w:t> </w:t>
      </w:r>
      <w:r>
        <w:rPr>
          <w:color w:val="231F20"/>
          <w:w w:val="105"/>
        </w:rPr>
        <w:t>cohesión,</w:t>
      </w:r>
      <w:r>
        <w:rPr>
          <w:color w:val="231F20"/>
          <w:spacing w:val="-27"/>
          <w:w w:val="105"/>
        </w:rPr>
        <w:t> </w:t>
      </w:r>
      <w:r>
        <w:rPr>
          <w:color w:val="231F20"/>
          <w:w w:val="105"/>
        </w:rPr>
        <w:t>nodos</w:t>
      </w:r>
      <w:r>
        <w:rPr>
          <w:color w:val="231F20"/>
          <w:spacing w:val="-22"/>
          <w:w w:val="105"/>
        </w:rPr>
        <w:t> </w:t>
      </w:r>
      <w:r>
        <w:rPr>
          <w:color w:val="231F20"/>
          <w:w w:val="105"/>
        </w:rPr>
        <w:t>centrales</w:t>
      </w:r>
      <w:r>
        <w:rPr>
          <w:color w:val="231F20"/>
          <w:spacing w:val="-22"/>
          <w:w w:val="105"/>
        </w:rPr>
        <w:t> </w:t>
      </w:r>
      <w:r>
        <w:rPr>
          <w:color w:val="231F20"/>
          <w:w w:val="105"/>
        </w:rPr>
        <w:t>y</w:t>
      </w:r>
      <w:r>
        <w:rPr>
          <w:color w:val="231F20"/>
          <w:spacing w:val="-22"/>
          <w:w w:val="105"/>
        </w:rPr>
        <w:t> </w:t>
      </w:r>
      <w:r>
        <w:rPr>
          <w:color w:val="231F20"/>
          <w:w w:val="105"/>
        </w:rPr>
        <w:t>enlaces</w:t>
      </w:r>
      <w:r>
        <w:rPr>
          <w:color w:val="231F20"/>
          <w:spacing w:val="-22"/>
          <w:w w:val="105"/>
        </w:rPr>
        <w:t> </w:t>
      </w:r>
      <w:r>
        <w:rPr>
          <w:color w:val="231F20"/>
          <w:w w:val="105"/>
        </w:rPr>
        <w:t>principales</w:t>
      </w:r>
      <w:r>
        <w:rPr>
          <w:color w:val="231F20"/>
          <w:w w:val="105"/>
          <w:position w:val="7"/>
          <w:sz w:val="12"/>
        </w:rPr>
        <w:t>8</w:t>
      </w:r>
      <w:r>
        <w:rPr>
          <w:color w:val="231F20"/>
          <w:w w:val="105"/>
        </w:rPr>
        <w:t>.</w:t>
      </w:r>
    </w:p>
    <w:p>
      <w:pPr>
        <w:pStyle w:val="BodyText"/>
        <w:spacing w:line="259" w:lineRule="auto"/>
        <w:ind w:left="117" w:right="121" w:firstLine="567"/>
        <w:jc w:val="both"/>
      </w:pPr>
      <w:r>
        <w:rPr>
          <w:color w:val="231F20"/>
        </w:rPr>
        <w:t>De los estudios sobre redes de conocimiento, se consideran los descritos precedentemente </w:t>
      </w:r>
      <w:r>
        <w:rPr>
          <w:color w:val="231F20"/>
          <w:spacing w:val="-3"/>
        </w:rPr>
        <w:t>(Yoguel </w:t>
      </w:r>
      <w:r>
        <w:rPr>
          <w:i/>
          <w:color w:val="231F20"/>
        </w:rPr>
        <w:t>et al</w:t>
      </w:r>
      <w:r>
        <w:rPr>
          <w:color w:val="231F20"/>
        </w:rPr>
        <w:t>., 2009; Casas, 2001 y 2003;  Luna y Velasco, 2003 y 2006; Lara, 2008) dada su complementariedad y la posibilidad de obtener conclusiones cualitativas relativas al contenido intercambiado en los vínculos reticulares. Específicamente, se sugiere in- corporar las características, dimensiones, mecanismos de integración y desempeño de las redes de  </w:t>
      </w:r>
      <w:r>
        <w:rPr>
          <w:color w:val="231F20"/>
          <w:spacing w:val="28"/>
        </w:rPr>
        <w:t> </w:t>
      </w:r>
      <w:r>
        <w:rPr>
          <w:color w:val="231F20"/>
        </w:rPr>
        <w:t>conocimiento.</w:t>
      </w:r>
    </w:p>
    <w:p>
      <w:pPr>
        <w:pStyle w:val="BodyText"/>
        <w:spacing w:line="259" w:lineRule="auto"/>
        <w:ind w:left="117" w:right="121" w:firstLine="567"/>
        <w:jc w:val="both"/>
      </w:pPr>
      <w:r>
        <w:rPr>
          <w:color w:val="231F20"/>
          <w:w w:val="105"/>
        </w:rPr>
        <w:t>Se complementan los enfoques anteriores agregando el objeti- vo de la interacción y el factor económico como aspecto inherente al desempeño</w:t>
      </w:r>
      <w:r>
        <w:rPr>
          <w:color w:val="231F20"/>
          <w:spacing w:val="-13"/>
          <w:w w:val="105"/>
        </w:rPr>
        <w:t> </w:t>
      </w:r>
      <w:r>
        <w:rPr>
          <w:color w:val="231F20"/>
          <w:w w:val="105"/>
        </w:rPr>
        <w:t>reticular.</w:t>
      </w:r>
      <w:r>
        <w:rPr>
          <w:color w:val="231F20"/>
          <w:spacing w:val="-18"/>
          <w:w w:val="105"/>
        </w:rPr>
        <w:t> </w:t>
      </w:r>
      <w:r>
        <w:rPr>
          <w:color w:val="231F20"/>
          <w:w w:val="105"/>
        </w:rPr>
        <w:t>El</w:t>
      </w:r>
      <w:r>
        <w:rPr>
          <w:color w:val="231F20"/>
          <w:spacing w:val="-13"/>
          <w:w w:val="105"/>
        </w:rPr>
        <w:t> </w:t>
      </w:r>
      <w:r>
        <w:rPr>
          <w:color w:val="231F20"/>
          <w:w w:val="105"/>
        </w:rPr>
        <w:t>primero,</w:t>
      </w:r>
      <w:r>
        <w:rPr>
          <w:color w:val="231F20"/>
          <w:spacing w:val="-18"/>
          <w:w w:val="105"/>
        </w:rPr>
        <w:t> </w:t>
      </w:r>
      <w:r>
        <w:rPr>
          <w:color w:val="231F20"/>
          <w:w w:val="105"/>
        </w:rPr>
        <w:t>para</w:t>
      </w:r>
      <w:r>
        <w:rPr>
          <w:color w:val="231F20"/>
          <w:spacing w:val="-13"/>
          <w:w w:val="105"/>
        </w:rPr>
        <w:t> </w:t>
      </w:r>
      <w:r>
        <w:rPr>
          <w:color w:val="231F20"/>
          <w:w w:val="105"/>
        </w:rPr>
        <w:t>observar</w:t>
      </w:r>
      <w:r>
        <w:rPr>
          <w:color w:val="231F20"/>
          <w:spacing w:val="-13"/>
          <w:w w:val="105"/>
        </w:rPr>
        <w:t> </w:t>
      </w:r>
      <w:r>
        <w:rPr>
          <w:color w:val="231F20"/>
          <w:w w:val="105"/>
        </w:rPr>
        <w:t>explícitamente</w:t>
      </w:r>
      <w:r>
        <w:rPr>
          <w:color w:val="231F20"/>
          <w:spacing w:val="-13"/>
          <w:w w:val="105"/>
        </w:rPr>
        <w:t> </w:t>
      </w:r>
      <w:r>
        <w:rPr>
          <w:color w:val="231F20"/>
          <w:w w:val="105"/>
        </w:rPr>
        <w:t>si</w:t>
      </w:r>
      <w:r>
        <w:rPr>
          <w:color w:val="231F20"/>
          <w:spacing w:val="-13"/>
          <w:w w:val="105"/>
        </w:rPr>
        <w:t> </w:t>
      </w:r>
      <w:r>
        <w:rPr>
          <w:color w:val="231F20"/>
          <w:w w:val="105"/>
        </w:rPr>
        <w:t>los</w:t>
      </w:r>
      <w:r>
        <w:rPr>
          <w:color w:val="231F20"/>
          <w:spacing w:val="-13"/>
          <w:w w:val="105"/>
        </w:rPr>
        <w:t> </w:t>
      </w:r>
      <w:r>
        <w:rPr>
          <w:color w:val="231F20"/>
          <w:w w:val="105"/>
        </w:rPr>
        <w:t>en- laces entre nodos involucran como propósito central el intercambiar o compartir información y conocimiento; el segundo, con la finalidad de indagar la generación de valor agregado y el impacto económico de la creación</w:t>
      </w:r>
      <w:r>
        <w:rPr>
          <w:color w:val="231F20"/>
          <w:spacing w:val="-9"/>
          <w:w w:val="105"/>
        </w:rPr>
        <w:t> </w:t>
      </w:r>
      <w:r>
        <w:rPr>
          <w:color w:val="231F20"/>
          <w:w w:val="105"/>
        </w:rPr>
        <w:t>y</w:t>
      </w:r>
      <w:r>
        <w:rPr>
          <w:color w:val="231F20"/>
          <w:spacing w:val="-9"/>
          <w:w w:val="105"/>
        </w:rPr>
        <w:t> </w:t>
      </w:r>
      <w:r>
        <w:rPr>
          <w:color w:val="231F20"/>
          <w:w w:val="105"/>
        </w:rPr>
        <w:t>aplicación</w:t>
      </w:r>
      <w:r>
        <w:rPr>
          <w:color w:val="231F20"/>
          <w:spacing w:val="-9"/>
          <w:w w:val="105"/>
        </w:rPr>
        <w:t> </w:t>
      </w:r>
      <w:r>
        <w:rPr>
          <w:color w:val="231F20"/>
          <w:w w:val="105"/>
        </w:rPr>
        <w:t>del</w:t>
      </w:r>
      <w:r>
        <w:rPr>
          <w:color w:val="231F20"/>
          <w:spacing w:val="-9"/>
          <w:w w:val="105"/>
        </w:rPr>
        <w:t> </w:t>
      </w:r>
      <w:r>
        <w:rPr>
          <w:color w:val="231F20"/>
          <w:w w:val="105"/>
        </w:rPr>
        <w:t>conocimiento</w:t>
      </w:r>
      <w:r>
        <w:rPr>
          <w:color w:val="231F20"/>
          <w:spacing w:val="-9"/>
          <w:w w:val="105"/>
        </w:rPr>
        <w:t> </w:t>
      </w:r>
      <w:r>
        <w:rPr>
          <w:color w:val="231F20"/>
          <w:w w:val="105"/>
        </w:rPr>
        <w:t>generado</w:t>
      </w:r>
      <w:r>
        <w:rPr>
          <w:color w:val="231F20"/>
          <w:spacing w:val="-9"/>
          <w:w w:val="105"/>
        </w:rPr>
        <w:t> </w:t>
      </w:r>
      <w:r>
        <w:rPr>
          <w:color w:val="231F20"/>
          <w:w w:val="105"/>
        </w:rPr>
        <w:t>en</w:t>
      </w:r>
      <w:r>
        <w:rPr>
          <w:color w:val="231F20"/>
          <w:spacing w:val="-9"/>
          <w:w w:val="105"/>
        </w:rPr>
        <w:t> </w:t>
      </w:r>
      <w:r>
        <w:rPr>
          <w:color w:val="231F20"/>
          <w:w w:val="105"/>
        </w:rPr>
        <w:t>red.</w:t>
      </w:r>
    </w:p>
    <w:p>
      <w:pPr>
        <w:pStyle w:val="BodyText"/>
        <w:spacing w:line="259" w:lineRule="auto"/>
        <w:ind w:left="117" w:right="121" w:firstLine="567"/>
        <w:jc w:val="both"/>
      </w:pPr>
      <w:r>
        <w:rPr>
          <w:color w:val="231F20"/>
          <w:w w:val="105"/>
        </w:rPr>
        <w:t>Al respecto, se sugiere que una forma de investigar si el objetivo de</w:t>
      </w:r>
      <w:r>
        <w:rPr>
          <w:color w:val="231F20"/>
          <w:spacing w:val="-23"/>
          <w:w w:val="105"/>
        </w:rPr>
        <w:t> </w:t>
      </w:r>
      <w:r>
        <w:rPr>
          <w:color w:val="231F20"/>
          <w:w w:val="105"/>
        </w:rPr>
        <w:t>la</w:t>
      </w:r>
      <w:r>
        <w:rPr>
          <w:color w:val="231F20"/>
          <w:spacing w:val="-23"/>
          <w:w w:val="105"/>
        </w:rPr>
        <w:t> </w:t>
      </w:r>
      <w:r>
        <w:rPr>
          <w:color w:val="231F20"/>
          <w:w w:val="105"/>
        </w:rPr>
        <w:t>interacción</w:t>
      </w:r>
      <w:r>
        <w:rPr>
          <w:color w:val="231F20"/>
          <w:spacing w:val="-23"/>
          <w:w w:val="105"/>
        </w:rPr>
        <w:t> </w:t>
      </w:r>
      <w:r>
        <w:rPr>
          <w:color w:val="231F20"/>
          <w:w w:val="105"/>
        </w:rPr>
        <w:t>asume</w:t>
      </w:r>
      <w:r>
        <w:rPr>
          <w:color w:val="231F20"/>
          <w:spacing w:val="-23"/>
          <w:w w:val="105"/>
        </w:rPr>
        <w:t> </w:t>
      </w:r>
      <w:r>
        <w:rPr>
          <w:color w:val="231F20"/>
          <w:w w:val="105"/>
        </w:rPr>
        <w:t>ciertas</w:t>
      </w:r>
      <w:r>
        <w:rPr>
          <w:color w:val="231F20"/>
          <w:spacing w:val="-23"/>
          <w:w w:val="105"/>
        </w:rPr>
        <w:t> </w:t>
      </w:r>
      <w:r>
        <w:rPr>
          <w:color w:val="231F20"/>
          <w:w w:val="105"/>
        </w:rPr>
        <w:t>particularidades</w:t>
      </w:r>
      <w:r>
        <w:rPr>
          <w:color w:val="231F20"/>
          <w:spacing w:val="-23"/>
          <w:w w:val="105"/>
        </w:rPr>
        <w:t> </w:t>
      </w:r>
      <w:r>
        <w:rPr>
          <w:color w:val="231F20"/>
          <w:w w:val="105"/>
        </w:rPr>
        <w:t>cognitivas</w:t>
      </w:r>
      <w:r>
        <w:rPr>
          <w:color w:val="231F20"/>
          <w:spacing w:val="-23"/>
          <w:w w:val="105"/>
        </w:rPr>
        <w:t> </w:t>
      </w:r>
      <w:r>
        <w:rPr>
          <w:color w:val="231F20"/>
          <w:w w:val="105"/>
        </w:rPr>
        <w:t>es</w:t>
      </w:r>
      <w:r>
        <w:rPr>
          <w:color w:val="231F20"/>
          <w:spacing w:val="-23"/>
          <w:w w:val="105"/>
        </w:rPr>
        <w:t> </w:t>
      </w:r>
      <w:r>
        <w:rPr>
          <w:color w:val="231F20"/>
          <w:w w:val="105"/>
        </w:rPr>
        <w:t>visualizan- do</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vinculación</w:t>
      </w:r>
      <w:r>
        <w:rPr>
          <w:color w:val="231F20"/>
          <w:spacing w:val="-6"/>
          <w:w w:val="105"/>
        </w:rPr>
        <w:t> </w:t>
      </w:r>
      <w:r>
        <w:rPr>
          <w:color w:val="231F20"/>
          <w:w w:val="105"/>
        </w:rPr>
        <w:t>se</w:t>
      </w:r>
      <w:r>
        <w:rPr>
          <w:color w:val="231F20"/>
          <w:spacing w:val="-6"/>
          <w:w w:val="105"/>
        </w:rPr>
        <w:t> </w:t>
      </w:r>
      <w:r>
        <w:rPr>
          <w:color w:val="231F20"/>
          <w:w w:val="105"/>
        </w:rPr>
        <w:t>lleve</w:t>
      </w:r>
      <w:r>
        <w:rPr>
          <w:color w:val="231F20"/>
          <w:spacing w:val="-6"/>
          <w:w w:val="105"/>
        </w:rPr>
        <w:t> </w:t>
      </w:r>
      <w:r>
        <w:rPr>
          <w:color w:val="231F20"/>
          <w:w w:val="105"/>
        </w:rPr>
        <w:t>a</w:t>
      </w:r>
      <w:r>
        <w:rPr>
          <w:color w:val="231F20"/>
          <w:spacing w:val="-6"/>
          <w:w w:val="105"/>
        </w:rPr>
        <w:t> </w:t>
      </w:r>
      <w:r>
        <w:rPr>
          <w:color w:val="231F20"/>
          <w:w w:val="105"/>
        </w:rPr>
        <w:t>cabo</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fin</w:t>
      </w:r>
      <w:r>
        <w:rPr>
          <w:color w:val="231F20"/>
          <w:spacing w:val="-6"/>
          <w:w w:val="105"/>
        </w:rPr>
        <w:t> </w:t>
      </w:r>
      <w:r>
        <w:rPr>
          <w:color w:val="231F20"/>
          <w:w w:val="105"/>
        </w:rPr>
        <w:t>de</w:t>
      </w:r>
      <w:r>
        <w:rPr>
          <w:color w:val="231F20"/>
          <w:spacing w:val="-6"/>
          <w:w w:val="105"/>
        </w:rPr>
        <w:t> </w:t>
      </w:r>
      <w:r>
        <w:rPr>
          <w:color w:val="231F20"/>
          <w:w w:val="105"/>
        </w:rPr>
        <w:t>intercambiar</w:t>
      </w:r>
      <w:r>
        <w:rPr>
          <w:color w:val="231F20"/>
          <w:spacing w:val="-6"/>
          <w:w w:val="105"/>
        </w:rPr>
        <w:t> </w:t>
      </w:r>
      <w:r>
        <w:rPr>
          <w:color w:val="231F20"/>
          <w:w w:val="105"/>
        </w:rPr>
        <w:t>informa- ción,</w:t>
      </w:r>
      <w:r>
        <w:rPr>
          <w:color w:val="231F20"/>
          <w:spacing w:val="-24"/>
          <w:w w:val="105"/>
        </w:rPr>
        <w:t> </w:t>
      </w:r>
      <w:r>
        <w:rPr>
          <w:color w:val="231F20"/>
          <w:w w:val="105"/>
        </w:rPr>
        <w:t>configurar</w:t>
      </w:r>
      <w:r>
        <w:rPr>
          <w:color w:val="231F20"/>
          <w:spacing w:val="-19"/>
          <w:w w:val="105"/>
        </w:rPr>
        <w:t> </w:t>
      </w:r>
      <w:r>
        <w:rPr>
          <w:color w:val="231F20"/>
          <w:w w:val="105"/>
        </w:rPr>
        <w:t>alianzas</w:t>
      </w:r>
      <w:r>
        <w:rPr>
          <w:color w:val="231F20"/>
          <w:spacing w:val="-19"/>
          <w:w w:val="105"/>
        </w:rPr>
        <w:t> </w:t>
      </w:r>
      <w:r>
        <w:rPr>
          <w:color w:val="231F20"/>
          <w:w w:val="105"/>
        </w:rPr>
        <w:t>estratégicas,</w:t>
      </w:r>
      <w:r>
        <w:rPr>
          <w:color w:val="231F20"/>
          <w:spacing w:val="-24"/>
          <w:w w:val="105"/>
        </w:rPr>
        <w:t> </w:t>
      </w:r>
      <w:r>
        <w:rPr>
          <w:color w:val="231F20"/>
          <w:w w:val="105"/>
        </w:rPr>
        <w:t>generar</w:t>
      </w:r>
      <w:r>
        <w:rPr>
          <w:color w:val="231F20"/>
          <w:spacing w:val="-19"/>
          <w:w w:val="105"/>
        </w:rPr>
        <w:t> </w:t>
      </w:r>
      <w:r>
        <w:rPr>
          <w:color w:val="231F20"/>
          <w:w w:val="105"/>
        </w:rPr>
        <w:t>nuevos</w:t>
      </w:r>
      <w:r>
        <w:rPr>
          <w:color w:val="231F20"/>
          <w:spacing w:val="-19"/>
          <w:w w:val="105"/>
        </w:rPr>
        <w:t> </w:t>
      </w:r>
      <w:r>
        <w:rPr>
          <w:color w:val="231F20"/>
          <w:w w:val="105"/>
        </w:rPr>
        <w:t>procesos,</w:t>
      </w:r>
      <w:r>
        <w:rPr>
          <w:color w:val="231F20"/>
          <w:spacing w:val="-24"/>
          <w:w w:val="105"/>
        </w:rPr>
        <w:t> </w:t>
      </w:r>
      <w:r>
        <w:rPr>
          <w:color w:val="231F20"/>
          <w:w w:val="105"/>
        </w:rPr>
        <w:t>otorgar capacitación y asesoría técnica, entre otros. Además es trascendental observar</w:t>
      </w:r>
      <w:r>
        <w:rPr>
          <w:color w:val="231F20"/>
          <w:spacing w:val="-8"/>
          <w:w w:val="105"/>
        </w:rPr>
        <w:t> </w:t>
      </w:r>
      <w:r>
        <w:rPr>
          <w:color w:val="231F20"/>
          <w:w w:val="105"/>
        </w:rPr>
        <w:t>la</w:t>
      </w:r>
      <w:r>
        <w:rPr>
          <w:color w:val="231F20"/>
          <w:spacing w:val="-8"/>
          <w:w w:val="105"/>
        </w:rPr>
        <w:t> </w:t>
      </w:r>
      <w:r>
        <w:rPr>
          <w:color w:val="231F20"/>
          <w:w w:val="105"/>
        </w:rPr>
        <w:t>frecuencia</w:t>
      </w:r>
      <w:r>
        <w:rPr>
          <w:color w:val="231F20"/>
          <w:spacing w:val="-8"/>
          <w:w w:val="105"/>
        </w:rPr>
        <w:t> </w:t>
      </w:r>
      <w:r>
        <w:rPr>
          <w:color w:val="231F20"/>
          <w:w w:val="105"/>
        </w:rPr>
        <w:t>y</w:t>
      </w:r>
      <w:r>
        <w:rPr>
          <w:color w:val="231F20"/>
          <w:spacing w:val="-8"/>
          <w:w w:val="105"/>
        </w:rPr>
        <w:t> </w:t>
      </w:r>
      <w:r>
        <w:rPr>
          <w:color w:val="231F20"/>
          <w:w w:val="105"/>
        </w:rPr>
        <w:t>periodicidad</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relaciones,</w:t>
      </w:r>
      <w:r>
        <w:rPr>
          <w:color w:val="231F20"/>
          <w:spacing w:val="-14"/>
          <w:w w:val="105"/>
        </w:rPr>
        <w:t> </w:t>
      </w:r>
      <w:r>
        <w:rPr>
          <w:color w:val="231F20"/>
          <w:w w:val="105"/>
        </w:rPr>
        <w:t>ya</w:t>
      </w:r>
      <w:r>
        <w:rPr>
          <w:color w:val="231F20"/>
          <w:spacing w:val="-8"/>
          <w:w w:val="105"/>
        </w:rPr>
        <w:t> </w:t>
      </w:r>
      <w:r>
        <w:rPr>
          <w:color w:val="231F20"/>
          <w:w w:val="105"/>
        </w:rPr>
        <w:t>que</w:t>
      </w:r>
      <w:r>
        <w:rPr>
          <w:color w:val="231F20"/>
          <w:spacing w:val="-8"/>
          <w:w w:val="105"/>
        </w:rPr>
        <w:t> </w:t>
      </w:r>
      <w:r>
        <w:rPr>
          <w:color w:val="231F20"/>
          <w:w w:val="105"/>
        </w:rPr>
        <w:t>debido</w:t>
      </w:r>
      <w:r>
        <w:rPr>
          <w:color w:val="231F20"/>
          <w:spacing w:val="-8"/>
          <w:w w:val="105"/>
        </w:rPr>
        <w:t> </w:t>
      </w:r>
      <w:r>
        <w:rPr>
          <w:color w:val="231F20"/>
          <w:w w:val="105"/>
        </w:rPr>
        <w:t>a la propia naturaleza del conocimiento son indispensables</w:t>
      </w:r>
      <w:r>
        <w:rPr>
          <w:color w:val="231F20"/>
          <w:spacing w:val="-39"/>
          <w:w w:val="105"/>
        </w:rPr>
        <w:t> </w:t>
      </w:r>
      <w:r>
        <w:rPr>
          <w:color w:val="231F20"/>
          <w:w w:val="105"/>
        </w:rPr>
        <w:t>interacciones frecuentes</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largo</w:t>
      </w:r>
      <w:r>
        <w:rPr>
          <w:color w:val="231F20"/>
          <w:spacing w:val="-18"/>
          <w:w w:val="105"/>
        </w:rPr>
        <w:t> </w:t>
      </w:r>
      <w:r>
        <w:rPr>
          <w:color w:val="231F20"/>
          <w:w w:val="105"/>
        </w:rPr>
        <w:t>plazo.</w:t>
      </w:r>
    </w:p>
    <w:p>
      <w:pPr>
        <w:pStyle w:val="BodyText"/>
        <w:spacing w:line="259" w:lineRule="auto"/>
        <w:ind w:left="117" w:right="121" w:firstLine="567"/>
        <w:jc w:val="both"/>
      </w:pPr>
      <w:r>
        <w:rPr>
          <w:color w:val="231F20"/>
          <w:w w:val="105"/>
        </w:rPr>
        <w:t>Relativo</w:t>
      </w:r>
      <w:r>
        <w:rPr>
          <w:color w:val="231F20"/>
          <w:spacing w:val="-26"/>
          <w:w w:val="105"/>
        </w:rPr>
        <w:t> </w:t>
      </w:r>
      <w:r>
        <w:rPr>
          <w:color w:val="231F20"/>
          <w:w w:val="105"/>
        </w:rPr>
        <w:t>al</w:t>
      </w:r>
      <w:r>
        <w:rPr>
          <w:color w:val="231F20"/>
          <w:spacing w:val="-26"/>
          <w:w w:val="105"/>
        </w:rPr>
        <w:t> </w:t>
      </w:r>
      <w:r>
        <w:rPr>
          <w:color w:val="231F20"/>
          <w:w w:val="105"/>
        </w:rPr>
        <w:t>factor</w:t>
      </w:r>
      <w:r>
        <w:rPr>
          <w:color w:val="231F20"/>
          <w:spacing w:val="-26"/>
          <w:w w:val="105"/>
        </w:rPr>
        <w:t> </w:t>
      </w:r>
      <w:r>
        <w:rPr>
          <w:color w:val="231F20"/>
          <w:w w:val="105"/>
        </w:rPr>
        <w:t>económico,</w:t>
      </w:r>
      <w:r>
        <w:rPr>
          <w:color w:val="231F20"/>
          <w:spacing w:val="-31"/>
          <w:w w:val="105"/>
        </w:rPr>
        <w:t> </w:t>
      </w:r>
      <w:r>
        <w:rPr>
          <w:color w:val="231F20"/>
          <w:w w:val="105"/>
        </w:rPr>
        <w:t>es</w:t>
      </w:r>
      <w:r>
        <w:rPr>
          <w:color w:val="231F20"/>
          <w:spacing w:val="-26"/>
          <w:w w:val="105"/>
        </w:rPr>
        <w:t> </w:t>
      </w:r>
      <w:r>
        <w:rPr>
          <w:color w:val="231F20"/>
          <w:w w:val="105"/>
        </w:rPr>
        <w:t>factible</w:t>
      </w:r>
      <w:r>
        <w:rPr>
          <w:color w:val="231F20"/>
          <w:spacing w:val="-26"/>
          <w:w w:val="105"/>
        </w:rPr>
        <w:t> </w:t>
      </w:r>
      <w:r>
        <w:rPr>
          <w:color w:val="231F20"/>
          <w:w w:val="105"/>
        </w:rPr>
        <w:t>observarlo</w:t>
      </w:r>
      <w:r>
        <w:rPr>
          <w:color w:val="231F20"/>
          <w:spacing w:val="-26"/>
          <w:w w:val="105"/>
        </w:rPr>
        <w:t> </w:t>
      </w:r>
      <w:r>
        <w:rPr>
          <w:color w:val="231F20"/>
          <w:w w:val="105"/>
        </w:rPr>
        <w:t>mediante</w:t>
      </w:r>
      <w:r>
        <w:rPr>
          <w:color w:val="231F20"/>
          <w:spacing w:val="-26"/>
          <w:w w:val="105"/>
        </w:rPr>
        <w:t> </w:t>
      </w:r>
      <w:r>
        <w:rPr>
          <w:color w:val="231F20"/>
          <w:w w:val="105"/>
        </w:rPr>
        <w:t>varia- bles de impacto positivo sobre el desarrollo económico, por ejemplo,</w:t>
      </w:r>
      <w:r>
        <w:rPr>
          <w:color w:val="231F20"/>
          <w:spacing w:val="-18"/>
          <w:w w:val="105"/>
        </w:rPr>
        <w:t> </w:t>
      </w:r>
      <w:r>
        <w:rPr>
          <w:color w:val="231F20"/>
          <w:w w:val="105"/>
        </w:rPr>
        <w:t>la creación de nuevas empresas tecnológicas, empleos de calidad,</w:t>
      </w:r>
      <w:r>
        <w:rPr>
          <w:color w:val="231F20"/>
          <w:spacing w:val="-12"/>
          <w:w w:val="105"/>
        </w:rPr>
        <w:t> </w:t>
      </w:r>
      <w:r>
        <w:rPr>
          <w:color w:val="231F20"/>
          <w:w w:val="105"/>
        </w:rPr>
        <w:t>inser- ción</w:t>
      </w:r>
      <w:r>
        <w:rPr>
          <w:color w:val="231F20"/>
          <w:spacing w:val="-15"/>
          <w:w w:val="105"/>
        </w:rPr>
        <w:t> </w:t>
      </w:r>
      <w:r>
        <w:rPr>
          <w:color w:val="231F20"/>
          <w:w w:val="105"/>
        </w:rPr>
        <w:t>a</w:t>
      </w:r>
      <w:r>
        <w:rPr>
          <w:color w:val="231F20"/>
          <w:spacing w:val="-15"/>
          <w:w w:val="105"/>
        </w:rPr>
        <w:t> </w:t>
      </w:r>
      <w:r>
        <w:rPr>
          <w:color w:val="231F20"/>
          <w:w w:val="105"/>
        </w:rPr>
        <w:t>cadenas</w:t>
      </w:r>
      <w:r>
        <w:rPr>
          <w:color w:val="231F20"/>
          <w:spacing w:val="-15"/>
          <w:w w:val="105"/>
        </w:rPr>
        <w:t> </w:t>
      </w:r>
      <w:r>
        <w:rPr>
          <w:color w:val="231F20"/>
          <w:w w:val="105"/>
        </w:rPr>
        <w:t>de</w:t>
      </w:r>
      <w:r>
        <w:rPr>
          <w:color w:val="231F20"/>
          <w:spacing w:val="-15"/>
          <w:w w:val="105"/>
        </w:rPr>
        <w:t> </w:t>
      </w:r>
      <w:r>
        <w:rPr>
          <w:color w:val="231F20"/>
          <w:w w:val="105"/>
        </w:rPr>
        <w:t>valor</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generación</w:t>
      </w:r>
      <w:r>
        <w:rPr>
          <w:color w:val="231F20"/>
          <w:spacing w:val="-15"/>
          <w:w w:val="105"/>
        </w:rPr>
        <w:t> </w:t>
      </w:r>
      <w:r>
        <w:rPr>
          <w:color w:val="231F20"/>
          <w:w w:val="105"/>
        </w:rPr>
        <w:t>de</w:t>
      </w:r>
      <w:r>
        <w:rPr>
          <w:color w:val="231F20"/>
          <w:spacing w:val="-15"/>
          <w:w w:val="105"/>
        </w:rPr>
        <w:t> </w:t>
      </w:r>
      <w:r>
        <w:rPr>
          <w:color w:val="231F20"/>
          <w:w w:val="105"/>
        </w:rPr>
        <w:t>valor</w:t>
      </w:r>
      <w:r>
        <w:rPr>
          <w:color w:val="231F20"/>
          <w:spacing w:val="-15"/>
          <w:w w:val="105"/>
        </w:rPr>
        <w:t> </w:t>
      </w:r>
      <w:r>
        <w:rPr>
          <w:color w:val="231F20"/>
          <w:w w:val="105"/>
        </w:rPr>
        <w:t>agregado.</w:t>
      </w:r>
    </w:p>
    <w:p>
      <w:pPr>
        <w:pStyle w:val="BodyText"/>
        <w:spacing w:line="259" w:lineRule="auto"/>
        <w:ind w:left="117" w:right="115" w:firstLine="567"/>
        <w:jc w:val="both"/>
      </w:pPr>
      <w:r>
        <w:rPr>
          <w:color w:val="231F20"/>
          <w:w w:val="105"/>
        </w:rPr>
        <w:t>La</w:t>
      </w:r>
      <w:r>
        <w:rPr>
          <w:color w:val="231F20"/>
          <w:spacing w:val="-15"/>
          <w:w w:val="105"/>
        </w:rPr>
        <w:t> </w:t>
      </w:r>
      <w:r>
        <w:rPr>
          <w:color w:val="231F20"/>
          <w:w w:val="105"/>
        </w:rPr>
        <w:t>consideración</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características</w:t>
      </w:r>
      <w:r>
        <w:rPr>
          <w:color w:val="231F20"/>
          <w:spacing w:val="-15"/>
          <w:w w:val="105"/>
        </w:rPr>
        <w:t> </w:t>
      </w:r>
      <w:r>
        <w:rPr>
          <w:color w:val="231F20"/>
          <w:w w:val="105"/>
        </w:rPr>
        <w:t>complejidad,</w:t>
      </w:r>
      <w:r>
        <w:rPr>
          <w:color w:val="231F20"/>
          <w:spacing w:val="-20"/>
          <w:w w:val="105"/>
        </w:rPr>
        <w:t> </w:t>
      </w:r>
      <w:r>
        <w:rPr>
          <w:color w:val="231F20"/>
          <w:w w:val="105"/>
        </w:rPr>
        <w:t>conectividad, absorción, retroalimentación y horizonte temporal, presentadas por</w:t>
      </w:r>
      <w:r>
        <w:rPr>
          <w:color w:val="231F20"/>
          <w:spacing w:val="-14"/>
          <w:w w:val="105"/>
        </w:rPr>
        <w:t> </w:t>
      </w:r>
      <w:r>
        <w:rPr>
          <w:color w:val="231F20"/>
          <w:spacing w:val="-7"/>
          <w:w w:val="105"/>
        </w:rPr>
        <w:t>Yo- </w:t>
      </w:r>
      <w:r>
        <w:rPr>
          <w:color w:val="231F20"/>
          <w:w w:val="105"/>
        </w:rPr>
        <w:t>guel</w:t>
      </w:r>
      <w:r>
        <w:rPr>
          <w:color w:val="231F20"/>
          <w:spacing w:val="-13"/>
          <w:w w:val="105"/>
        </w:rPr>
        <w:t> </w:t>
      </w:r>
      <w:r>
        <w:rPr>
          <w:i/>
          <w:color w:val="231F20"/>
          <w:w w:val="105"/>
        </w:rPr>
        <w:t>et</w:t>
      </w:r>
      <w:r>
        <w:rPr>
          <w:i/>
          <w:color w:val="231F20"/>
          <w:spacing w:val="-13"/>
          <w:w w:val="105"/>
        </w:rPr>
        <w:t> </w:t>
      </w:r>
      <w:r>
        <w:rPr>
          <w:i/>
          <w:color w:val="231F20"/>
          <w:w w:val="105"/>
        </w:rPr>
        <w:t>al</w:t>
      </w:r>
      <w:r>
        <w:rPr>
          <w:color w:val="231F20"/>
          <w:w w:val="105"/>
        </w:rPr>
        <w:t>.,</w:t>
      </w:r>
      <w:r>
        <w:rPr>
          <w:color w:val="231F20"/>
          <w:spacing w:val="-19"/>
          <w:w w:val="105"/>
        </w:rPr>
        <w:t> </w:t>
      </w:r>
      <w:r>
        <w:rPr>
          <w:color w:val="231F20"/>
          <w:w w:val="105"/>
        </w:rPr>
        <w:t>(2009),</w:t>
      </w:r>
      <w:r>
        <w:rPr>
          <w:color w:val="231F20"/>
          <w:spacing w:val="30"/>
          <w:w w:val="105"/>
        </w:rPr>
        <w:t> </w:t>
      </w:r>
      <w:r>
        <w:rPr>
          <w:color w:val="231F20"/>
          <w:w w:val="105"/>
        </w:rPr>
        <w:t>describen</w:t>
      </w:r>
      <w:r>
        <w:rPr>
          <w:color w:val="231F20"/>
          <w:spacing w:val="-13"/>
          <w:w w:val="105"/>
        </w:rPr>
        <w:t> </w:t>
      </w:r>
      <w:r>
        <w:rPr>
          <w:color w:val="231F20"/>
          <w:w w:val="105"/>
        </w:rPr>
        <w:t>expresamente</w:t>
      </w:r>
      <w:r>
        <w:rPr>
          <w:color w:val="231F20"/>
          <w:spacing w:val="-13"/>
          <w:w w:val="105"/>
        </w:rPr>
        <w:t> </w:t>
      </w:r>
      <w:r>
        <w:rPr>
          <w:color w:val="231F20"/>
          <w:w w:val="105"/>
        </w:rPr>
        <w:t>la</w:t>
      </w:r>
      <w:r>
        <w:rPr>
          <w:color w:val="231F20"/>
          <w:spacing w:val="-13"/>
          <w:w w:val="105"/>
        </w:rPr>
        <w:t> </w:t>
      </w:r>
      <w:r>
        <w:rPr>
          <w:color w:val="231F20"/>
          <w:w w:val="105"/>
        </w:rPr>
        <w:t>complejidad</w:t>
      </w:r>
      <w:r>
        <w:rPr>
          <w:color w:val="231F20"/>
          <w:spacing w:val="-13"/>
          <w:w w:val="105"/>
        </w:rPr>
        <w:t> </w:t>
      </w:r>
      <w:r>
        <w:rPr>
          <w:color w:val="231F20"/>
          <w:w w:val="105"/>
        </w:rPr>
        <w:t>de</w:t>
      </w:r>
      <w:r>
        <w:rPr>
          <w:color w:val="231F20"/>
          <w:spacing w:val="-13"/>
          <w:w w:val="105"/>
        </w:rPr>
        <w:t> </w:t>
      </w:r>
      <w:r>
        <w:rPr>
          <w:color w:val="231F20"/>
          <w:w w:val="105"/>
        </w:rPr>
        <w:t>cualquier estructura</w:t>
      </w:r>
      <w:r>
        <w:rPr>
          <w:color w:val="231F20"/>
          <w:spacing w:val="-22"/>
          <w:w w:val="105"/>
        </w:rPr>
        <w:t> </w:t>
      </w:r>
      <w:r>
        <w:rPr>
          <w:color w:val="231F20"/>
          <w:w w:val="105"/>
        </w:rPr>
        <w:t>reticular</w:t>
      </w:r>
      <w:r>
        <w:rPr>
          <w:color w:val="231F20"/>
          <w:spacing w:val="-22"/>
          <w:w w:val="105"/>
        </w:rPr>
        <w:t> </w:t>
      </w:r>
      <w:r>
        <w:rPr>
          <w:color w:val="231F20"/>
          <w:w w:val="105"/>
        </w:rPr>
        <w:t>cognitiva.</w:t>
      </w:r>
      <w:r>
        <w:rPr>
          <w:color w:val="231F20"/>
          <w:spacing w:val="-26"/>
          <w:w w:val="105"/>
        </w:rPr>
        <w:t> </w:t>
      </w:r>
      <w:r>
        <w:rPr>
          <w:color w:val="231F20"/>
          <w:w w:val="105"/>
        </w:rPr>
        <w:t>Dichas</w:t>
      </w:r>
      <w:r>
        <w:rPr>
          <w:color w:val="231F20"/>
          <w:spacing w:val="-22"/>
          <w:w w:val="105"/>
        </w:rPr>
        <w:t> </w:t>
      </w:r>
      <w:r>
        <w:rPr>
          <w:color w:val="231F20"/>
          <w:w w:val="105"/>
        </w:rPr>
        <w:t>particularidades</w:t>
      </w:r>
      <w:r>
        <w:rPr>
          <w:color w:val="231F20"/>
          <w:spacing w:val="-22"/>
          <w:w w:val="105"/>
        </w:rPr>
        <w:t> </w:t>
      </w:r>
      <w:r>
        <w:rPr>
          <w:color w:val="231F20"/>
          <w:w w:val="105"/>
        </w:rPr>
        <w:t>posibilitan</w:t>
      </w:r>
      <w:r>
        <w:rPr>
          <w:color w:val="231F20"/>
          <w:spacing w:val="-22"/>
          <w:w w:val="105"/>
        </w:rPr>
        <w:t> </w:t>
      </w:r>
      <w:r>
        <w:rPr>
          <w:color w:val="231F20"/>
          <w:w w:val="105"/>
        </w:rPr>
        <w:t>analizar las</w:t>
      </w:r>
      <w:r>
        <w:rPr>
          <w:color w:val="231F20"/>
          <w:spacing w:val="-13"/>
          <w:w w:val="105"/>
        </w:rPr>
        <w:t> </w:t>
      </w:r>
      <w:r>
        <w:rPr>
          <w:color w:val="231F20"/>
          <w:w w:val="105"/>
        </w:rPr>
        <w:t>conexiones</w:t>
      </w:r>
      <w:r>
        <w:rPr>
          <w:color w:val="231F20"/>
          <w:spacing w:val="-13"/>
          <w:w w:val="105"/>
        </w:rPr>
        <w:t> </w:t>
      </w:r>
      <w:r>
        <w:rPr>
          <w:color w:val="231F20"/>
          <w:w w:val="105"/>
        </w:rPr>
        <w:t>entre</w:t>
      </w:r>
      <w:r>
        <w:rPr>
          <w:color w:val="231F20"/>
          <w:spacing w:val="-13"/>
          <w:w w:val="105"/>
        </w:rPr>
        <w:t> </w:t>
      </w:r>
      <w:r>
        <w:rPr>
          <w:color w:val="231F20"/>
          <w:w w:val="105"/>
        </w:rPr>
        <w:t>heterogéneos</w:t>
      </w:r>
      <w:r>
        <w:rPr>
          <w:color w:val="231F20"/>
          <w:spacing w:val="-13"/>
          <w:w w:val="105"/>
        </w:rPr>
        <w:t> </w:t>
      </w:r>
      <w:r>
        <w:rPr>
          <w:color w:val="231F20"/>
          <w:w w:val="105"/>
        </w:rPr>
        <w:t>como</w:t>
      </w:r>
      <w:r>
        <w:rPr>
          <w:color w:val="231F20"/>
          <w:spacing w:val="-13"/>
          <w:w w:val="105"/>
        </w:rPr>
        <w:t> </w:t>
      </w:r>
      <w:r>
        <w:rPr>
          <w:color w:val="231F20"/>
          <w:w w:val="105"/>
        </w:rPr>
        <w:t>componentes</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sistema</w:t>
      </w:r>
      <w:r>
        <w:rPr>
          <w:color w:val="231F20"/>
          <w:spacing w:val="-13"/>
          <w:w w:val="105"/>
        </w:rPr>
        <w:t> </w:t>
      </w:r>
      <w:r>
        <w:rPr>
          <w:color w:val="231F20"/>
          <w:w w:val="105"/>
        </w:rPr>
        <w:t>y no</w:t>
      </w:r>
      <w:r>
        <w:rPr>
          <w:color w:val="231F20"/>
          <w:spacing w:val="-12"/>
          <w:w w:val="105"/>
        </w:rPr>
        <w:t> </w:t>
      </w:r>
      <w:r>
        <w:rPr>
          <w:color w:val="231F20"/>
          <w:w w:val="105"/>
        </w:rPr>
        <w:t>simplemente</w:t>
      </w:r>
      <w:r>
        <w:rPr>
          <w:color w:val="231F20"/>
          <w:spacing w:val="-12"/>
          <w:w w:val="105"/>
        </w:rPr>
        <w:t> </w:t>
      </w:r>
      <w:r>
        <w:rPr>
          <w:color w:val="231F20"/>
          <w:w w:val="105"/>
        </w:rPr>
        <w:t>como</w:t>
      </w:r>
      <w:r>
        <w:rPr>
          <w:color w:val="231F20"/>
          <w:spacing w:val="-12"/>
          <w:w w:val="105"/>
        </w:rPr>
        <w:t> </w:t>
      </w:r>
      <w:r>
        <w:rPr>
          <w:color w:val="231F20"/>
          <w:w w:val="105"/>
        </w:rPr>
        <w:t>un</w:t>
      </w:r>
      <w:r>
        <w:rPr>
          <w:color w:val="231F20"/>
          <w:spacing w:val="-12"/>
          <w:w w:val="105"/>
        </w:rPr>
        <w:t> </w:t>
      </w:r>
      <w:r>
        <w:rPr>
          <w:color w:val="231F20"/>
          <w:w w:val="105"/>
        </w:rPr>
        <w:t>grupo</w:t>
      </w:r>
      <w:r>
        <w:rPr>
          <w:color w:val="231F20"/>
          <w:spacing w:val="-12"/>
          <w:w w:val="105"/>
        </w:rPr>
        <w:t> </w:t>
      </w:r>
      <w:r>
        <w:rPr>
          <w:color w:val="231F20"/>
          <w:w w:val="105"/>
        </w:rPr>
        <w:t>de</w:t>
      </w:r>
      <w:r>
        <w:rPr>
          <w:color w:val="231F20"/>
          <w:spacing w:val="-12"/>
          <w:w w:val="105"/>
        </w:rPr>
        <w:t> </w:t>
      </w:r>
      <w:r>
        <w:rPr>
          <w:color w:val="231F20"/>
          <w:w w:val="105"/>
        </w:rPr>
        <w:t>enlaces</w:t>
      </w:r>
      <w:r>
        <w:rPr>
          <w:color w:val="231F20"/>
          <w:spacing w:val="-12"/>
          <w:w w:val="105"/>
        </w:rPr>
        <w:t> </w:t>
      </w:r>
      <w:r>
        <w:rPr>
          <w:color w:val="231F20"/>
          <w:w w:val="105"/>
        </w:rPr>
        <w:t>entre</w:t>
      </w:r>
      <w:r>
        <w:rPr>
          <w:color w:val="231F20"/>
          <w:spacing w:val="-12"/>
          <w:w w:val="105"/>
        </w:rPr>
        <w:t> </w:t>
      </w:r>
      <w:r>
        <w:rPr>
          <w:color w:val="231F20"/>
          <w:w w:val="105"/>
        </w:rPr>
        <w:t>actores.</w:t>
      </w:r>
    </w:p>
    <w:p>
      <w:pPr>
        <w:pStyle w:val="BodyText"/>
        <w:spacing w:line="259" w:lineRule="auto"/>
        <w:ind w:left="117" w:right="122" w:firstLine="567"/>
        <w:jc w:val="both"/>
      </w:pPr>
      <w:r>
        <w:rPr>
          <w:color w:val="231F20"/>
          <w:w w:val="105"/>
        </w:rPr>
        <w:t>A</w:t>
      </w:r>
      <w:r>
        <w:rPr>
          <w:color w:val="231F20"/>
          <w:spacing w:val="-13"/>
          <w:w w:val="105"/>
        </w:rPr>
        <w:t> </w:t>
      </w:r>
      <w:r>
        <w:rPr>
          <w:color w:val="231F20"/>
          <w:w w:val="105"/>
        </w:rPr>
        <w:t>partir</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dimensiones</w:t>
      </w:r>
      <w:r>
        <w:rPr>
          <w:color w:val="231F20"/>
          <w:spacing w:val="-10"/>
          <w:w w:val="105"/>
        </w:rPr>
        <w:t> </w:t>
      </w:r>
      <w:r>
        <w:rPr>
          <w:color w:val="231F20"/>
          <w:w w:val="105"/>
        </w:rPr>
        <w:t>institucionales,</w:t>
      </w:r>
      <w:r>
        <w:rPr>
          <w:color w:val="231F20"/>
          <w:spacing w:val="-14"/>
          <w:w w:val="105"/>
        </w:rPr>
        <w:t> </w:t>
      </w:r>
      <w:r>
        <w:rPr>
          <w:color w:val="231F20"/>
          <w:w w:val="105"/>
        </w:rPr>
        <w:t>estructurales,</w:t>
      </w:r>
      <w:r>
        <w:rPr>
          <w:color w:val="231F20"/>
          <w:spacing w:val="-14"/>
          <w:w w:val="105"/>
        </w:rPr>
        <w:t> </w:t>
      </w:r>
      <w:r>
        <w:rPr>
          <w:color w:val="231F20"/>
          <w:w w:val="105"/>
        </w:rPr>
        <w:t>morfoló- gicas,</w:t>
      </w:r>
      <w:r>
        <w:rPr>
          <w:color w:val="231F20"/>
          <w:spacing w:val="-34"/>
          <w:w w:val="105"/>
        </w:rPr>
        <w:t> </w:t>
      </w:r>
      <w:r>
        <w:rPr>
          <w:color w:val="231F20"/>
          <w:w w:val="105"/>
        </w:rPr>
        <w:t>dinámicas,</w:t>
      </w:r>
      <w:r>
        <w:rPr>
          <w:color w:val="231F20"/>
          <w:spacing w:val="-34"/>
          <w:w w:val="105"/>
        </w:rPr>
        <w:t> </w:t>
      </w:r>
      <w:r>
        <w:rPr>
          <w:color w:val="231F20"/>
          <w:w w:val="105"/>
        </w:rPr>
        <w:t>de</w:t>
      </w:r>
      <w:r>
        <w:rPr>
          <w:color w:val="231F20"/>
          <w:spacing w:val="-29"/>
          <w:w w:val="105"/>
        </w:rPr>
        <w:t> </w:t>
      </w:r>
      <w:r>
        <w:rPr>
          <w:color w:val="231F20"/>
          <w:w w:val="105"/>
        </w:rPr>
        <w:t>contenido</w:t>
      </w:r>
      <w:r>
        <w:rPr>
          <w:color w:val="231F20"/>
          <w:spacing w:val="-29"/>
          <w:w w:val="105"/>
        </w:rPr>
        <w:t> </w:t>
      </w:r>
      <w:r>
        <w:rPr>
          <w:color w:val="231F20"/>
          <w:w w:val="105"/>
        </w:rPr>
        <w:t>y</w:t>
      </w:r>
      <w:r>
        <w:rPr>
          <w:color w:val="231F20"/>
          <w:spacing w:val="-29"/>
          <w:w w:val="105"/>
        </w:rPr>
        <w:t> </w:t>
      </w:r>
      <w:r>
        <w:rPr>
          <w:color w:val="231F20"/>
          <w:w w:val="105"/>
        </w:rPr>
        <w:t>de</w:t>
      </w:r>
      <w:r>
        <w:rPr>
          <w:color w:val="231F20"/>
          <w:spacing w:val="-29"/>
          <w:w w:val="105"/>
        </w:rPr>
        <w:t> </w:t>
      </w:r>
      <w:r>
        <w:rPr>
          <w:color w:val="231F20"/>
          <w:w w:val="105"/>
        </w:rPr>
        <w:t>resultados</w:t>
      </w:r>
      <w:r>
        <w:rPr>
          <w:color w:val="231F20"/>
          <w:spacing w:val="-29"/>
          <w:w w:val="105"/>
        </w:rPr>
        <w:t> </w:t>
      </w:r>
      <w:r>
        <w:rPr>
          <w:color w:val="231F20"/>
          <w:w w:val="105"/>
        </w:rPr>
        <w:t>descritas</w:t>
      </w:r>
      <w:r>
        <w:rPr>
          <w:color w:val="231F20"/>
          <w:spacing w:val="-29"/>
          <w:w w:val="105"/>
        </w:rPr>
        <w:t> </w:t>
      </w:r>
      <w:r>
        <w:rPr>
          <w:color w:val="231F20"/>
          <w:w w:val="105"/>
        </w:rPr>
        <w:t>por</w:t>
      </w:r>
      <w:r>
        <w:rPr>
          <w:color w:val="231F20"/>
          <w:spacing w:val="-29"/>
          <w:w w:val="105"/>
        </w:rPr>
        <w:t> </w:t>
      </w:r>
      <w:r>
        <w:rPr>
          <w:color w:val="231F20"/>
          <w:w w:val="105"/>
        </w:rPr>
        <w:t>Casas</w:t>
      </w:r>
      <w:r>
        <w:rPr>
          <w:color w:val="231F20"/>
          <w:spacing w:val="-29"/>
          <w:w w:val="105"/>
        </w:rPr>
        <w:t> </w:t>
      </w:r>
      <w:r>
        <w:rPr>
          <w:color w:val="231F20"/>
          <w:w w:val="105"/>
        </w:rPr>
        <w:t>(2001</w:t>
      </w:r>
    </w:p>
    <w:p>
      <w:pPr>
        <w:pStyle w:val="BodyText"/>
        <w:spacing w:before="9"/>
        <w:rPr>
          <w:sz w:val="24"/>
        </w:rPr>
      </w:pPr>
      <w:r>
        <w:rPr/>
        <w:pict>
          <v:line style="position:absolute;mso-position-horizontal-relative:page;mso-position-vertical-relative:paragraph;z-index:5056;mso-wrap-distance-left:0;mso-wrap-distance-right:0" from="70.866096pt,16.326363pt" to="184.252096pt,16.326363pt" stroked="true" strokeweight=".25pt" strokecolor="#231f20">
            <w10:wrap type="topAndBottom"/>
          </v:line>
        </w:pict>
      </w:r>
    </w:p>
    <w:p>
      <w:pPr>
        <w:spacing w:line="192" w:lineRule="exact" w:before="7"/>
        <w:ind w:left="117" w:right="122" w:hanging="1"/>
        <w:jc w:val="both"/>
        <w:rPr>
          <w:rFonts w:ascii="Calibri" w:hAnsi="Calibri"/>
          <w:sz w:val="16"/>
        </w:rPr>
      </w:pPr>
      <w:r>
        <w:rPr>
          <w:rFonts w:ascii="Calibri" w:hAnsi="Calibri"/>
          <w:color w:val="414042"/>
          <w:w w:val="105"/>
          <w:position w:val="5"/>
          <w:sz w:val="9"/>
        </w:rPr>
        <w:t>8 </w:t>
      </w:r>
      <w:r>
        <w:rPr>
          <w:rFonts w:ascii="Calibri" w:hAnsi="Calibri"/>
          <w:color w:val="414042"/>
          <w:w w:val="105"/>
          <w:sz w:val="16"/>
        </w:rPr>
        <w:t>Para obtener el valor de los indicadores estructurales y posicionales se aconseja utilizar programas computacionales</w:t>
      </w:r>
      <w:r>
        <w:rPr>
          <w:rFonts w:ascii="Calibri" w:hAnsi="Calibri"/>
          <w:color w:val="414042"/>
          <w:spacing w:val="-16"/>
          <w:w w:val="105"/>
          <w:sz w:val="16"/>
        </w:rPr>
        <w:t> </w:t>
      </w:r>
      <w:r>
        <w:rPr>
          <w:rFonts w:ascii="Calibri" w:hAnsi="Calibri"/>
          <w:color w:val="414042"/>
          <w:w w:val="105"/>
          <w:sz w:val="16"/>
        </w:rPr>
        <w:t>como</w:t>
      </w:r>
      <w:r>
        <w:rPr>
          <w:rFonts w:ascii="Calibri" w:hAnsi="Calibri"/>
          <w:color w:val="414042"/>
          <w:spacing w:val="-16"/>
          <w:w w:val="105"/>
          <w:sz w:val="16"/>
        </w:rPr>
        <w:t> </w:t>
      </w:r>
      <w:r>
        <w:rPr>
          <w:rFonts w:ascii="Calibri" w:hAnsi="Calibri"/>
          <w:i/>
          <w:color w:val="414042"/>
          <w:w w:val="105"/>
          <w:sz w:val="16"/>
        </w:rPr>
        <w:t>ucinet</w:t>
      </w:r>
      <w:r>
        <w:rPr>
          <w:rFonts w:ascii="Calibri" w:hAnsi="Calibri"/>
          <w:i/>
          <w:color w:val="414042"/>
          <w:spacing w:val="-16"/>
          <w:w w:val="105"/>
          <w:sz w:val="16"/>
        </w:rPr>
        <w:t> </w:t>
      </w:r>
      <w:r>
        <w:rPr>
          <w:rFonts w:ascii="Calibri" w:hAnsi="Calibri"/>
          <w:color w:val="414042"/>
          <w:w w:val="105"/>
          <w:sz w:val="16"/>
        </w:rPr>
        <w:t>o</w:t>
      </w:r>
      <w:r>
        <w:rPr>
          <w:rFonts w:ascii="Calibri" w:hAnsi="Calibri"/>
          <w:color w:val="414042"/>
          <w:spacing w:val="-16"/>
          <w:w w:val="105"/>
          <w:sz w:val="16"/>
        </w:rPr>
        <w:t> </w:t>
      </w:r>
      <w:r>
        <w:rPr>
          <w:rFonts w:ascii="Calibri" w:hAnsi="Calibri"/>
          <w:i/>
          <w:color w:val="414042"/>
          <w:w w:val="105"/>
          <w:sz w:val="16"/>
        </w:rPr>
        <w:t>pajek</w:t>
      </w:r>
      <w:r>
        <w:rPr>
          <w:rFonts w:ascii="Calibri" w:hAnsi="Calibri"/>
          <w:i/>
          <w:color w:val="414042"/>
          <w:spacing w:val="-16"/>
          <w:w w:val="105"/>
          <w:sz w:val="16"/>
        </w:rPr>
        <w:t> </w:t>
      </w:r>
      <w:r>
        <w:rPr>
          <w:rFonts w:ascii="Calibri" w:hAnsi="Calibri"/>
          <w:color w:val="414042"/>
          <w:w w:val="105"/>
          <w:sz w:val="16"/>
        </w:rPr>
        <w:t>dado</w:t>
      </w:r>
      <w:r>
        <w:rPr>
          <w:rFonts w:ascii="Calibri" w:hAnsi="Calibri"/>
          <w:color w:val="414042"/>
          <w:spacing w:val="-16"/>
          <w:w w:val="105"/>
          <w:sz w:val="16"/>
        </w:rPr>
        <w:t> </w:t>
      </w:r>
      <w:r>
        <w:rPr>
          <w:rFonts w:ascii="Calibri" w:hAnsi="Calibri"/>
          <w:color w:val="414042"/>
          <w:w w:val="105"/>
          <w:sz w:val="16"/>
        </w:rPr>
        <w:t>que</w:t>
      </w:r>
      <w:r>
        <w:rPr>
          <w:rFonts w:ascii="Calibri" w:hAnsi="Calibri"/>
          <w:color w:val="414042"/>
          <w:spacing w:val="-16"/>
          <w:w w:val="105"/>
          <w:sz w:val="16"/>
        </w:rPr>
        <w:t> </w:t>
      </w:r>
      <w:r>
        <w:rPr>
          <w:rFonts w:ascii="Calibri" w:hAnsi="Calibri"/>
          <w:color w:val="414042"/>
          <w:w w:val="105"/>
          <w:sz w:val="16"/>
        </w:rPr>
        <w:t>facilitan</w:t>
      </w:r>
      <w:r>
        <w:rPr>
          <w:rFonts w:ascii="Calibri" w:hAnsi="Calibri"/>
          <w:color w:val="414042"/>
          <w:spacing w:val="-16"/>
          <w:w w:val="105"/>
          <w:sz w:val="16"/>
        </w:rPr>
        <w:t> </w:t>
      </w:r>
      <w:r>
        <w:rPr>
          <w:rFonts w:ascii="Calibri" w:hAnsi="Calibri"/>
          <w:color w:val="414042"/>
          <w:w w:val="105"/>
          <w:sz w:val="16"/>
        </w:rPr>
        <w:t>el</w:t>
      </w:r>
      <w:r>
        <w:rPr>
          <w:rFonts w:ascii="Calibri" w:hAnsi="Calibri"/>
          <w:color w:val="414042"/>
          <w:spacing w:val="-16"/>
          <w:w w:val="105"/>
          <w:sz w:val="16"/>
        </w:rPr>
        <w:t> </w:t>
      </w:r>
      <w:r>
        <w:rPr>
          <w:rFonts w:ascii="Calibri" w:hAnsi="Calibri"/>
          <w:color w:val="414042"/>
          <w:w w:val="105"/>
          <w:sz w:val="16"/>
        </w:rPr>
        <w:t>cálculo</w:t>
      </w:r>
      <w:r>
        <w:rPr>
          <w:rFonts w:ascii="Calibri" w:hAnsi="Calibri"/>
          <w:color w:val="414042"/>
          <w:spacing w:val="-17"/>
          <w:w w:val="105"/>
          <w:sz w:val="16"/>
        </w:rPr>
        <w:t> </w:t>
      </w:r>
      <w:r>
        <w:rPr>
          <w:rFonts w:ascii="Calibri" w:hAnsi="Calibri"/>
          <w:color w:val="414042"/>
          <w:w w:val="105"/>
          <w:sz w:val="16"/>
        </w:rPr>
        <w:t>y</w:t>
      </w:r>
      <w:r>
        <w:rPr>
          <w:rFonts w:ascii="Calibri" w:hAnsi="Calibri"/>
          <w:color w:val="414042"/>
          <w:spacing w:val="-16"/>
          <w:w w:val="105"/>
          <w:sz w:val="16"/>
        </w:rPr>
        <w:t> </w:t>
      </w:r>
      <w:r>
        <w:rPr>
          <w:rFonts w:ascii="Calibri" w:hAnsi="Calibri"/>
          <w:color w:val="414042"/>
          <w:w w:val="105"/>
          <w:sz w:val="16"/>
        </w:rPr>
        <w:t>porque</w:t>
      </w:r>
      <w:r>
        <w:rPr>
          <w:rFonts w:ascii="Calibri" w:hAnsi="Calibri"/>
          <w:color w:val="414042"/>
          <w:spacing w:val="-16"/>
          <w:w w:val="105"/>
          <w:sz w:val="16"/>
        </w:rPr>
        <w:t> </w:t>
      </w:r>
      <w:r>
        <w:rPr>
          <w:rFonts w:ascii="Calibri" w:hAnsi="Calibri"/>
          <w:color w:val="414042"/>
          <w:w w:val="105"/>
          <w:sz w:val="16"/>
        </w:rPr>
        <w:t>al</w:t>
      </w:r>
      <w:r>
        <w:rPr>
          <w:rFonts w:ascii="Calibri" w:hAnsi="Calibri"/>
          <w:color w:val="414042"/>
          <w:spacing w:val="-16"/>
          <w:w w:val="105"/>
          <w:sz w:val="16"/>
        </w:rPr>
        <w:t> </w:t>
      </w:r>
      <w:r>
        <w:rPr>
          <w:rFonts w:ascii="Calibri" w:hAnsi="Calibri"/>
          <w:color w:val="414042"/>
          <w:w w:val="105"/>
          <w:sz w:val="16"/>
        </w:rPr>
        <w:t>mismo</w:t>
      </w:r>
      <w:r>
        <w:rPr>
          <w:rFonts w:ascii="Calibri" w:hAnsi="Calibri"/>
          <w:color w:val="414042"/>
          <w:spacing w:val="-16"/>
          <w:w w:val="105"/>
          <w:sz w:val="16"/>
        </w:rPr>
        <w:t> </w:t>
      </w:r>
      <w:r>
        <w:rPr>
          <w:rFonts w:ascii="Calibri" w:hAnsi="Calibri"/>
          <w:color w:val="414042"/>
          <w:w w:val="105"/>
          <w:sz w:val="16"/>
        </w:rPr>
        <w:t>tiempo,</w:t>
      </w:r>
      <w:r>
        <w:rPr>
          <w:rFonts w:ascii="Calibri" w:hAnsi="Calibri"/>
          <w:color w:val="414042"/>
          <w:spacing w:val="-16"/>
          <w:w w:val="105"/>
          <w:sz w:val="16"/>
        </w:rPr>
        <w:t> </w:t>
      </w:r>
      <w:r>
        <w:rPr>
          <w:rFonts w:ascii="Calibri" w:hAnsi="Calibri"/>
          <w:color w:val="414042"/>
          <w:w w:val="105"/>
          <w:sz w:val="16"/>
        </w:rPr>
        <w:t>proporcio- nan</w:t>
      </w:r>
      <w:r>
        <w:rPr>
          <w:rFonts w:ascii="Calibri" w:hAnsi="Calibri"/>
          <w:color w:val="414042"/>
          <w:spacing w:val="-16"/>
          <w:w w:val="105"/>
          <w:sz w:val="16"/>
        </w:rPr>
        <w:t> </w:t>
      </w:r>
      <w:r>
        <w:rPr>
          <w:rFonts w:ascii="Calibri" w:hAnsi="Calibri"/>
          <w:color w:val="414042"/>
          <w:w w:val="105"/>
          <w:sz w:val="16"/>
        </w:rPr>
        <w:t>resultados</w:t>
      </w:r>
      <w:r>
        <w:rPr>
          <w:rFonts w:ascii="Calibri" w:hAnsi="Calibri"/>
          <w:color w:val="414042"/>
          <w:spacing w:val="-16"/>
          <w:w w:val="105"/>
          <w:sz w:val="16"/>
        </w:rPr>
        <w:t> </w:t>
      </w:r>
      <w:r>
        <w:rPr>
          <w:rFonts w:ascii="Calibri" w:hAnsi="Calibri"/>
          <w:color w:val="414042"/>
          <w:w w:val="105"/>
          <w:sz w:val="16"/>
        </w:rPr>
        <w:t>difíciles</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percibir</w:t>
      </w:r>
      <w:r>
        <w:rPr>
          <w:rFonts w:ascii="Calibri" w:hAnsi="Calibri"/>
          <w:color w:val="414042"/>
          <w:spacing w:val="-16"/>
          <w:w w:val="105"/>
          <w:sz w:val="16"/>
        </w:rPr>
        <w:t> </w:t>
      </w:r>
      <w:r>
        <w:rPr>
          <w:rFonts w:ascii="Calibri" w:hAnsi="Calibri"/>
          <w:color w:val="414042"/>
          <w:w w:val="105"/>
          <w:sz w:val="16"/>
        </w:rPr>
        <w:t>con</w:t>
      </w:r>
      <w:r>
        <w:rPr>
          <w:rFonts w:ascii="Calibri" w:hAnsi="Calibri"/>
          <w:color w:val="414042"/>
          <w:spacing w:val="-16"/>
          <w:w w:val="105"/>
          <w:sz w:val="16"/>
        </w:rPr>
        <w:t> </w:t>
      </w:r>
      <w:r>
        <w:rPr>
          <w:rFonts w:ascii="Calibri" w:hAnsi="Calibri"/>
          <w:color w:val="414042"/>
          <w:w w:val="105"/>
          <w:sz w:val="16"/>
        </w:rPr>
        <w:t>métodos</w:t>
      </w:r>
      <w:r>
        <w:rPr>
          <w:rFonts w:ascii="Calibri" w:hAnsi="Calibri"/>
          <w:color w:val="414042"/>
          <w:spacing w:val="-16"/>
          <w:w w:val="105"/>
          <w:sz w:val="16"/>
        </w:rPr>
        <w:t> </w:t>
      </w:r>
      <w:r>
        <w:rPr>
          <w:rFonts w:ascii="Calibri" w:hAnsi="Calibri"/>
          <w:color w:val="414042"/>
          <w:w w:val="105"/>
          <w:sz w:val="16"/>
        </w:rPr>
        <w:t>tradicionales.</w:t>
      </w:r>
    </w:p>
    <w:p>
      <w:pPr>
        <w:spacing w:after="0" w:line="192" w:lineRule="exact"/>
        <w:jc w:val="both"/>
        <w:rPr>
          <w:rFonts w:ascii="Calibri" w:hAnsi="Calibri"/>
          <w:sz w:val="16"/>
        </w:rPr>
        <w:sectPr>
          <w:type w:val="continuous"/>
          <w:pgSz w:w="9640" w:h="13890"/>
          <w:pgMar w:top="1300" w:bottom="280" w:left="1300" w:right="1180"/>
        </w:sectPr>
      </w:pPr>
    </w:p>
    <w:p>
      <w:pPr>
        <w:pStyle w:val="BodyText"/>
        <w:spacing w:line="259" w:lineRule="auto" w:before="106"/>
        <w:ind w:left="103" w:right="110"/>
        <w:jc w:val="both"/>
      </w:pPr>
      <w:r>
        <w:rPr>
          <w:color w:val="231F20"/>
          <w:w w:val="105"/>
        </w:rPr>
        <w:t>y</w:t>
      </w:r>
      <w:r>
        <w:rPr>
          <w:color w:val="231F20"/>
          <w:spacing w:val="-20"/>
          <w:w w:val="105"/>
        </w:rPr>
        <w:t> </w:t>
      </w:r>
      <w:r>
        <w:rPr>
          <w:color w:val="231F20"/>
          <w:w w:val="105"/>
        </w:rPr>
        <w:t>2003),</w:t>
      </w:r>
      <w:r>
        <w:rPr>
          <w:color w:val="231F20"/>
          <w:spacing w:val="-26"/>
          <w:w w:val="105"/>
        </w:rPr>
        <w:t> </w:t>
      </w:r>
      <w:r>
        <w:rPr>
          <w:color w:val="231F20"/>
          <w:w w:val="105"/>
        </w:rPr>
        <w:t>pueden</w:t>
      </w:r>
      <w:r>
        <w:rPr>
          <w:color w:val="231F20"/>
          <w:spacing w:val="-20"/>
          <w:w w:val="105"/>
        </w:rPr>
        <w:t> </w:t>
      </w:r>
      <w:r>
        <w:rPr>
          <w:color w:val="231F20"/>
          <w:w w:val="105"/>
        </w:rPr>
        <w:t>concebirse</w:t>
      </w:r>
      <w:r>
        <w:rPr>
          <w:color w:val="231F20"/>
          <w:spacing w:val="-20"/>
          <w:w w:val="105"/>
        </w:rPr>
        <w:t> </w:t>
      </w:r>
      <w:r>
        <w:rPr>
          <w:color w:val="231F20"/>
          <w:w w:val="105"/>
        </w:rPr>
        <w:t>las</w:t>
      </w:r>
      <w:r>
        <w:rPr>
          <w:color w:val="231F20"/>
          <w:spacing w:val="-20"/>
          <w:w w:val="105"/>
        </w:rPr>
        <w:t> </w:t>
      </w:r>
      <w:r>
        <w:rPr>
          <w:color w:val="231F20"/>
          <w:w w:val="105"/>
        </w:rPr>
        <w:t>redes</w:t>
      </w:r>
      <w:r>
        <w:rPr>
          <w:color w:val="231F20"/>
          <w:spacing w:val="-20"/>
          <w:w w:val="105"/>
        </w:rPr>
        <w:t> </w:t>
      </w:r>
      <w:r>
        <w:rPr>
          <w:color w:val="231F20"/>
          <w:w w:val="105"/>
        </w:rPr>
        <w:t>de</w:t>
      </w:r>
      <w:r>
        <w:rPr>
          <w:color w:val="231F20"/>
          <w:spacing w:val="-20"/>
          <w:w w:val="105"/>
        </w:rPr>
        <w:t> </w:t>
      </w:r>
      <w:r>
        <w:rPr>
          <w:color w:val="231F20"/>
          <w:w w:val="105"/>
        </w:rPr>
        <w:t>conocimiento</w:t>
      </w:r>
      <w:r>
        <w:rPr>
          <w:color w:val="231F20"/>
          <w:spacing w:val="-20"/>
          <w:w w:val="105"/>
        </w:rPr>
        <w:t> </w:t>
      </w:r>
      <w:r>
        <w:rPr>
          <w:color w:val="231F20"/>
          <w:w w:val="105"/>
        </w:rPr>
        <w:t>como</w:t>
      </w:r>
      <w:r>
        <w:rPr>
          <w:color w:val="231F20"/>
          <w:spacing w:val="-20"/>
          <w:w w:val="105"/>
        </w:rPr>
        <w:t> </w:t>
      </w:r>
      <w:r>
        <w:rPr>
          <w:color w:val="231F20"/>
          <w:w w:val="105"/>
        </w:rPr>
        <w:t>estructuras multidimensionales.</w:t>
      </w:r>
      <w:r>
        <w:rPr>
          <w:color w:val="231F20"/>
          <w:spacing w:val="-42"/>
          <w:w w:val="105"/>
        </w:rPr>
        <w:t> </w:t>
      </w:r>
      <w:r>
        <w:rPr>
          <w:color w:val="231F20"/>
          <w:w w:val="105"/>
        </w:rPr>
        <w:t>Los</w:t>
      </w:r>
      <w:r>
        <w:rPr>
          <w:color w:val="231F20"/>
          <w:spacing w:val="-38"/>
          <w:w w:val="105"/>
        </w:rPr>
        <w:t> </w:t>
      </w:r>
      <w:r>
        <w:rPr>
          <w:color w:val="231F20"/>
          <w:w w:val="105"/>
        </w:rPr>
        <w:t>mecanismos</w:t>
      </w:r>
      <w:r>
        <w:rPr>
          <w:color w:val="231F20"/>
          <w:spacing w:val="-38"/>
          <w:w w:val="105"/>
        </w:rPr>
        <w:t> </w:t>
      </w:r>
      <w:r>
        <w:rPr>
          <w:color w:val="231F20"/>
          <w:w w:val="105"/>
        </w:rPr>
        <w:t>de</w:t>
      </w:r>
      <w:r>
        <w:rPr>
          <w:color w:val="231F20"/>
          <w:spacing w:val="-38"/>
          <w:w w:val="105"/>
        </w:rPr>
        <w:t> </w:t>
      </w:r>
      <w:r>
        <w:rPr>
          <w:color w:val="231F20"/>
          <w:w w:val="105"/>
        </w:rPr>
        <w:t>integración</w:t>
      </w:r>
      <w:r>
        <w:rPr>
          <w:color w:val="231F20"/>
          <w:spacing w:val="-38"/>
          <w:w w:val="105"/>
        </w:rPr>
        <w:t> </w:t>
      </w:r>
      <w:r>
        <w:rPr>
          <w:color w:val="231F20"/>
          <w:w w:val="105"/>
        </w:rPr>
        <w:t>propuestos</w:t>
      </w:r>
      <w:r>
        <w:rPr>
          <w:color w:val="231F20"/>
          <w:spacing w:val="-38"/>
          <w:w w:val="105"/>
        </w:rPr>
        <w:t> </w:t>
      </w:r>
      <w:r>
        <w:rPr>
          <w:color w:val="231F20"/>
          <w:w w:val="105"/>
        </w:rPr>
        <w:t>por</w:t>
      </w:r>
      <w:r>
        <w:rPr>
          <w:color w:val="231F20"/>
          <w:spacing w:val="-38"/>
          <w:w w:val="105"/>
        </w:rPr>
        <w:t> </w:t>
      </w:r>
      <w:r>
        <w:rPr>
          <w:color w:val="231F20"/>
          <w:w w:val="105"/>
        </w:rPr>
        <w:t>Luna y</w:t>
      </w:r>
      <w:r>
        <w:rPr>
          <w:color w:val="231F20"/>
          <w:spacing w:val="-20"/>
          <w:w w:val="105"/>
        </w:rPr>
        <w:t> </w:t>
      </w:r>
      <w:r>
        <w:rPr>
          <w:color w:val="231F20"/>
          <w:w w:val="105"/>
        </w:rPr>
        <w:t>Velasco</w:t>
      </w:r>
      <w:r>
        <w:rPr>
          <w:color w:val="231F20"/>
          <w:spacing w:val="-17"/>
          <w:w w:val="105"/>
        </w:rPr>
        <w:t> </w:t>
      </w:r>
      <w:r>
        <w:rPr>
          <w:color w:val="231F20"/>
          <w:w w:val="105"/>
        </w:rPr>
        <w:t>(2003;</w:t>
      </w:r>
      <w:r>
        <w:rPr>
          <w:color w:val="231F20"/>
          <w:spacing w:val="-17"/>
          <w:w w:val="105"/>
        </w:rPr>
        <w:t> </w:t>
      </w:r>
      <w:r>
        <w:rPr>
          <w:color w:val="231F20"/>
          <w:w w:val="105"/>
        </w:rPr>
        <w:t>2006)</w:t>
      </w:r>
      <w:r>
        <w:rPr>
          <w:color w:val="231F20"/>
          <w:spacing w:val="-17"/>
          <w:w w:val="105"/>
        </w:rPr>
        <w:t> </w:t>
      </w:r>
      <w:r>
        <w:rPr>
          <w:color w:val="231F20"/>
          <w:w w:val="105"/>
        </w:rPr>
        <w:t>apoyan</w:t>
      </w:r>
      <w:r>
        <w:rPr>
          <w:color w:val="231F20"/>
          <w:spacing w:val="-17"/>
          <w:w w:val="105"/>
        </w:rPr>
        <w:t> </w:t>
      </w:r>
      <w:r>
        <w:rPr>
          <w:color w:val="231F20"/>
          <w:w w:val="105"/>
        </w:rPr>
        <w:t>para</w:t>
      </w:r>
      <w:r>
        <w:rPr>
          <w:color w:val="231F20"/>
          <w:spacing w:val="-17"/>
          <w:w w:val="105"/>
        </w:rPr>
        <w:t> </w:t>
      </w:r>
      <w:r>
        <w:rPr>
          <w:color w:val="231F20"/>
          <w:w w:val="105"/>
        </w:rPr>
        <w:t>indagar</w:t>
      </w:r>
      <w:r>
        <w:rPr>
          <w:color w:val="231F20"/>
          <w:spacing w:val="-17"/>
          <w:w w:val="105"/>
        </w:rPr>
        <w:t> </w:t>
      </w:r>
      <w:r>
        <w:rPr>
          <w:color w:val="231F20"/>
          <w:w w:val="105"/>
        </w:rPr>
        <w:t>si</w:t>
      </w:r>
      <w:r>
        <w:rPr>
          <w:color w:val="231F20"/>
          <w:spacing w:val="-17"/>
          <w:w w:val="105"/>
        </w:rPr>
        <w:t> </w:t>
      </w:r>
      <w:r>
        <w:rPr>
          <w:color w:val="231F20"/>
          <w:w w:val="105"/>
        </w:rPr>
        <w:t>las</w:t>
      </w:r>
      <w:r>
        <w:rPr>
          <w:color w:val="231F20"/>
          <w:spacing w:val="-17"/>
          <w:w w:val="105"/>
        </w:rPr>
        <w:t> </w:t>
      </w:r>
      <w:r>
        <w:rPr>
          <w:color w:val="231F20"/>
          <w:w w:val="105"/>
        </w:rPr>
        <w:t>relaciones</w:t>
      </w:r>
      <w:r>
        <w:rPr>
          <w:color w:val="231F20"/>
          <w:spacing w:val="-17"/>
          <w:w w:val="105"/>
        </w:rPr>
        <w:t> </w:t>
      </w:r>
      <w:r>
        <w:rPr>
          <w:color w:val="231F20"/>
          <w:w w:val="105"/>
        </w:rPr>
        <w:t>entre</w:t>
      </w:r>
      <w:r>
        <w:rPr>
          <w:color w:val="231F20"/>
          <w:spacing w:val="-17"/>
          <w:w w:val="105"/>
        </w:rPr>
        <w:t> </w:t>
      </w:r>
      <w:r>
        <w:rPr>
          <w:color w:val="231F20"/>
          <w:w w:val="105"/>
        </w:rPr>
        <w:t>acto- res</w:t>
      </w:r>
      <w:r>
        <w:rPr>
          <w:color w:val="231F20"/>
          <w:spacing w:val="-12"/>
          <w:w w:val="105"/>
        </w:rPr>
        <w:t> </w:t>
      </w:r>
      <w:r>
        <w:rPr>
          <w:color w:val="231F20"/>
          <w:w w:val="105"/>
        </w:rPr>
        <w:t>son</w:t>
      </w:r>
      <w:r>
        <w:rPr>
          <w:color w:val="231F20"/>
          <w:spacing w:val="-12"/>
          <w:w w:val="105"/>
        </w:rPr>
        <w:t> </w:t>
      </w:r>
      <w:r>
        <w:rPr>
          <w:color w:val="231F20"/>
          <w:w w:val="105"/>
        </w:rPr>
        <w:t>frecuentes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largo,</w:t>
      </w:r>
      <w:r>
        <w:rPr>
          <w:color w:val="231F20"/>
          <w:spacing w:val="-17"/>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caso</w:t>
      </w:r>
      <w:r>
        <w:rPr>
          <w:color w:val="231F20"/>
          <w:spacing w:val="-12"/>
          <w:w w:val="105"/>
        </w:rPr>
        <w:t> </w:t>
      </w:r>
      <w:r>
        <w:rPr>
          <w:color w:val="231F20"/>
          <w:w w:val="105"/>
        </w:rPr>
        <w:t>contrario</w:t>
      </w:r>
      <w:r>
        <w:rPr>
          <w:color w:val="231F20"/>
          <w:spacing w:val="-12"/>
          <w:w w:val="105"/>
        </w:rPr>
        <w:t> </w:t>
      </w:r>
      <w:r>
        <w:rPr>
          <w:color w:val="231F20"/>
          <w:w w:val="105"/>
        </w:rPr>
        <w:t>resultaría</w:t>
      </w:r>
      <w:r>
        <w:rPr>
          <w:color w:val="231F20"/>
          <w:spacing w:val="-12"/>
          <w:w w:val="105"/>
        </w:rPr>
        <w:t> </w:t>
      </w:r>
      <w:r>
        <w:rPr>
          <w:color w:val="231F20"/>
          <w:w w:val="105"/>
        </w:rPr>
        <w:t>impro- bable percibir vinculaciones sustentadas en la confianza, la</w:t>
      </w:r>
      <w:r>
        <w:rPr>
          <w:color w:val="231F20"/>
          <w:spacing w:val="-17"/>
          <w:w w:val="105"/>
        </w:rPr>
        <w:t> </w:t>
      </w:r>
      <w:r>
        <w:rPr>
          <w:color w:val="231F20"/>
          <w:w w:val="105"/>
        </w:rPr>
        <w:t>traducción, la negociación y la deliberación. En tanto, los desempeños funcional y organizacional</w:t>
      </w:r>
      <w:r>
        <w:rPr>
          <w:color w:val="231F20"/>
          <w:spacing w:val="-27"/>
          <w:w w:val="105"/>
        </w:rPr>
        <w:t> </w:t>
      </w:r>
      <w:r>
        <w:rPr>
          <w:color w:val="231F20"/>
          <w:w w:val="105"/>
        </w:rPr>
        <w:t>señalados</w:t>
      </w:r>
      <w:r>
        <w:rPr>
          <w:color w:val="231F20"/>
          <w:spacing w:val="-27"/>
          <w:w w:val="105"/>
        </w:rPr>
        <w:t> </w:t>
      </w:r>
      <w:r>
        <w:rPr>
          <w:color w:val="231F20"/>
          <w:w w:val="105"/>
        </w:rPr>
        <w:t>por</w:t>
      </w:r>
      <w:r>
        <w:rPr>
          <w:color w:val="231F20"/>
          <w:spacing w:val="-27"/>
          <w:w w:val="105"/>
        </w:rPr>
        <w:t> </w:t>
      </w:r>
      <w:r>
        <w:rPr>
          <w:color w:val="231F20"/>
          <w:w w:val="105"/>
        </w:rPr>
        <w:t>Lara</w:t>
      </w:r>
      <w:r>
        <w:rPr>
          <w:color w:val="231F20"/>
          <w:spacing w:val="-27"/>
          <w:w w:val="105"/>
        </w:rPr>
        <w:t> </w:t>
      </w:r>
      <w:r>
        <w:rPr>
          <w:color w:val="231F20"/>
          <w:w w:val="105"/>
        </w:rPr>
        <w:t>(2008),</w:t>
      </w:r>
      <w:r>
        <w:rPr>
          <w:color w:val="231F20"/>
          <w:spacing w:val="-31"/>
          <w:w w:val="105"/>
        </w:rPr>
        <w:t> </w:t>
      </w:r>
      <w:r>
        <w:rPr>
          <w:color w:val="231F20"/>
          <w:w w:val="105"/>
        </w:rPr>
        <w:t>constituyen</w:t>
      </w:r>
      <w:r>
        <w:rPr>
          <w:color w:val="231F20"/>
          <w:spacing w:val="-27"/>
          <w:w w:val="105"/>
        </w:rPr>
        <w:t> </w:t>
      </w:r>
      <w:r>
        <w:rPr>
          <w:color w:val="231F20"/>
          <w:w w:val="105"/>
        </w:rPr>
        <w:t>una</w:t>
      </w:r>
      <w:r>
        <w:rPr>
          <w:color w:val="231F20"/>
          <w:spacing w:val="-28"/>
          <w:w w:val="105"/>
        </w:rPr>
        <w:t> </w:t>
      </w:r>
      <w:r>
        <w:rPr>
          <w:color w:val="231F20"/>
          <w:w w:val="105"/>
        </w:rPr>
        <w:t>aproximación para</w:t>
      </w:r>
      <w:r>
        <w:rPr>
          <w:color w:val="231F20"/>
          <w:spacing w:val="-9"/>
          <w:w w:val="105"/>
        </w:rPr>
        <w:t> </w:t>
      </w:r>
      <w:r>
        <w:rPr>
          <w:color w:val="231F20"/>
          <w:w w:val="105"/>
        </w:rPr>
        <w:t>evaluar</w:t>
      </w:r>
      <w:r>
        <w:rPr>
          <w:color w:val="231F20"/>
          <w:spacing w:val="-9"/>
          <w:w w:val="105"/>
        </w:rPr>
        <w:t> </w:t>
      </w:r>
      <w:r>
        <w:rPr>
          <w:color w:val="231F20"/>
          <w:w w:val="105"/>
        </w:rPr>
        <w:t>el</w:t>
      </w:r>
      <w:r>
        <w:rPr>
          <w:color w:val="231F20"/>
          <w:spacing w:val="-9"/>
          <w:w w:val="105"/>
        </w:rPr>
        <w:t> </w:t>
      </w:r>
      <w:r>
        <w:rPr>
          <w:color w:val="231F20"/>
          <w:w w:val="105"/>
        </w:rPr>
        <w:t>cumplimiento</w:t>
      </w:r>
      <w:r>
        <w:rPr>
          <w:color w:val="231F20"/>
          <w:spacing w:val="-9"/>
          <w:w w:val="105"/>
        </w:rPr>
        <w:t> </w:t>
      </w:r>
      <w:r>
        <w:rPr>
          <w:color w:val="231F20"/>
          <w:w w:val="105"/>
        </w:rPr>
        <w:t>eficaz</w:t>
      </w:r>
      <w:r>
        <w:rPr>
          <w:color w:val="231F20"/>
          <w:spacing w:val="-9"/>
          <w:w w:val="105"/>
        </w:rPr>
        <w:t> </w:t>
      </w:r>
      <w:r>
        <w:rPr>
          <w:color w:val="231F20"/>
          <w:w w:val="105"/>
        </w:rPr>
        <w:t>y</w:t>
      </w:r>
      <w:r>
        <w:rPr>
          <w:color w:val="231F20"/>
          <w:spacing w:val="-9"/>
          <w:w w:val="105"/>
        </w:rPr>
        <w:t> </w:t>
      </w:r>
      <w:r>
        <w:rPr>
          <w:color w:val="231F20"/>
          <w:w w:val="105"/>
        </w:rPr>
        <w:t>eficiente</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objetivos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red de</w:t>
      </w:r>
      <w:r>
        <w:rPr>
          <w:color w:val="231F20"/>
          <w:spacing w:val="6"/>
          <w:w w:val="105"/>
        </w:rPr>
        <w:t> </w:t>
      </w:r>
      <w:r>
        <w:rPr>
          <w:color w:val="231F20"/>
          <w:w w:val="105"/>
        </w:rPr>
        <w:t>conocimiento.</w:t>
      </w:r>
    </w:p>
    <w:p>
      <w:pPr>
        <w:pStyle w:val="BodyText"/>
        <w:spacing w:line="259" w:lineRule="auto"/>
        <w:ind w:left="103" w:right="114" w:firstLine="567"/>
        <w:jc w:val="both"/>
      </w:pPr>
      <w:r>
        <w:rPr>
          <w:color w:val="231F20"/>
        </w:rPr>
        <w:t>Así, la propuesta metodológica versa en investigar las redes y el conocimiento a partir de la conjunción de indicadores cuantitativos del    RS y aspectos cualitativos provenientes de estudios sobre redes de co- nocimiento. Este planteamiento posibilita inferir, por un lado, si las cone- xiones asumen peculiaridades de redes de conocimiento o se trata de relaciones cuyo fin no es necesariamente cognitivo. </w:t>
      </w:r>
      <w:r>
        <w:rPr>
          <w:color w:val="231F20"/>
          <w:spacing w:val="-6"/>
        </w:rPr>
        <w:t>Por </w:t>
      </w:r>
      <w:r>
        <w:rPr>
          <w:color w:val="231F20"/>
        </w:rPr>
        <w:t>otra parte, faculta estudiar estas estructuras cognitivas como sistemas complejos para rea- lizar deducciones desde los ámbitos cuantitativo y cualitativo (figura  </w:t>
      </w:r>
      <w:r>
        <w:rPr>
          <w:color w:val="231F20"/>
          <w:spacing w:val="51"/>
        </w:rPr>
        <w:t> </w:t>
      </w:r>
      <w:r>
        <w:rPr>
          <w:color w:val="231F20"/>
        </w:rPr>
        <w:t>5).</w:t>
      </w:r>
    </w:p>
    <w:p>
      <w:pPr>
        <w:pStyle w:val="BodyText"/>
        <w:spacing w:before="2"/>
      </w:pPr>
    </w:p>
    <w:p>
      <w:pPr>
        <w:spacing w:line="249" w:lineRule="auto" w:before="0"/>
        <w:ind w:left="2543" w:right="1150" w:hanging="1395"/>
        <w:jc w:val="left"/>
        <w:rPr>
          <w:sz w:val="18"/>
        </w:rPr>
      </w:pPr>
      <w:r>
        <w:rPr/>
        <w:pict>
          <v:line style="position:absolute;mso-position-horizontal-relative:page;mso-position-vertical-relative:paragraph;z-index:-242800" from="183.288391pt,59.871498pt" to="191.852991pt,59.871498pt" stroked="true" strokeweight=".209pt" strokecolor="#231f20">
            <w10:wrap type="none"/>
          </v:line>
        </w:pict>
      </w:r>
      <w:r>
        <w:rPr/>
        <w:pict>
          <v:shape style="position:absolute;margin-left:101.651222pt;margin-top:94.340263pt;width:8.7pt;height:77.150pt;mso-position-horizontal-relative:page;mso-position-vertical-relative:paragraph;z-index:5248" type="#_x0000_t202" filled="false" stroked="false">
            <v:textbox inset="0,0,0,0" style="layout-flow:vertical;mso-layout-flow-alt:bottom-to-top">
              <w:txbxContent>
                <w:p>
                  <w:pPr>
                    <w:spacing w:line="145" w:lineRule="exact" w:before="0"/>
                    <w:ind w:left="20" w:right="-725" w:firstLine="0"/>
                    <w:jc w:val="left"/>
                    <w:rPr>
                      <w:rFonts w:ascii="Microsoft Sans Serif" w:hAnsi="Microsoft Sans Serif"/>
                      <w:sz w:val="13"/>
                    </w:rPr>
                  </w:pPr>
                  <w:r>
                    <w:rPr>
                      <w:rFonts w:ascii="Microsoft Sans Serif" w:hAnsi="Microsoft Sans Serif"/>
                      <w:color w:val="231F20"/>
                      <w:spacing w:val="-7"/>
                      <w:w w:val="89"/>
                      <w:sz w:val="13"/>
                    </w:rPr>
                    <w:t>P</w:t>
                  </w:r>
                  <w:r>
                    <w:rPr>
                      <w:rFonts w:ascii="Microsoft Sans Serif" w:hAnsi="Microsoft Sans Serif"/>
                      <w:color w:val="231F20"/>
                      <w:spacing w:val="-3"/>
                      <w:w w:val="111"/>
                      <w:sz w:val="13"/>
                    </w:rPr>
                    <w:t>r</w:t>
                  </w:r>
                  <w:r>
                    <w:rPr>
                      <w:rFonts w:ascii="Microsoft Sans Serif" w:hAnsi="Microsoft Sans Serif"/>
                      <w:color w:val="231F20"/>
                      <w:w w:val="106"/>
                      <w:sz w:val="13"/>
                    </w:rPr>
                    <w:t>opuesta</w:t>
                  </w:r>
                  <w:r>
                    <w:rPr>
                      <w:rFonts w:ascii="Microsoft Sans Serif" w:hAnsi="Microsoft Sans Serif"/>
                      <w:color w:val="231F20"/>
                      <w:spacing w:val="-2"/>
                      <w:sz w:val="13"/>
                    </w:rPr>
                    <w:t> </w:t>
                  </w:r>
                  <w:r>
                    <w:rPr>
                      <w:rFonts w:ascii="Microsoft Sans Serif" w:hAnsi="Microsoft Sans Serif"/>
                      <w:color w:val="231F20"/>
                      <w:w w:val="110"/>
                      <w:sz w:val="13"/>
                    </w:rPr>
                    <w:t>metodológica</w:t>
                  </w:r>
                </w:p>
              </w:txbxContent>
            </v:textbox>
            <w10:wrap type="none"/>
          </v:shape>
        </w:pict>
      </w:r>
      <w:r>
        <w:rPr>
          <w:color w:val="231F20"/>
          <w:w w:val="105"/>
          <w:sz w:val="18"/>
        </w:rPr>
        <w:t>Figura</w:t>
      </w:r>
      <w:r>
        <w:rPr>
          <w:color w:val="231F20"/>
          <w:spacing w:val="-13"/>
          <w:w w:val="105"/>
          <w:sz w:val="18"/>
        </w:rPr>
        <w:t> </w:t>
      </w:r>
      <w:r>
        <w:rPr>
          <w:color w:val="231F20"/>
          <w:w w:val="105"/>
          <w:sz w:val="18"/>
        </w:rPr>
        <w:t>5.</w:t>
      </w:r>
      <w:r>
        <w:rPr>
          <w:color w:val="231F20"/>
          <w:spacing w:val="-18"/>
          <w:w w:val="105"/>
          <w:sz w:val="18"/>
        </w:rPr>
        <w:t> </w:t>
      </w:r>
      <w:r>
        <w:rPr>
          <w:color w:val="231F20"/>
          <w:w w:val="105"/>
          <w:sz w:val="18"/>
        </w:rPr>
        <w:t>Propuesta</w:t>
      </w:r>
      <w:r>
        <w:rPr>
          <w:color w:val="231F20"/>
          <w:spacing w:val="-13"/>
          <w:w w:val="105"/>
          <w:sz w:val="18"/>
        </w:rPr>
        <w:t> </w:t>
      </w:r>
      <w:r>
        <w:rPr>
          <w:color w:val="231F20"/>
          <w:w w:val="105"/>
          <w:sz w:val="18"/>
        </w:rPr>
        <w:t>metodológica</w:t>
      </w:r>
      <w:r>
        <w:rPr>
          <w:color w:val="231F20"/>
          <w:spacing w:val="-13"/>
          <w:w w:val="105"/>
          <w:sz w:val="18"/>
        </w:rPr>
        <w:t> </w:t>
      </w:r>
      <w:r>
        <w:rPr>
          <w:color w:val="231F20"/>
          <w:w w:val="105"/>
          <w:sz w:val="18"/>
        </w:rPr>
        <w:t>para</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análisis</w:t>
      </w:r>
      <w:r>
        <w:rPr>
          <w:color w:val="231F20"/>
          <w:spacing w:val="-13"/>
          <w:w w:val="105"/>
          <w:sz w:val="18"/>
        </w:rPr>
        <w:t> </w:t>
      </w:r>
      <w:r>
        <w:rPr>
          <w:color w:val="231F20"/>
          <w:w w:val="105"/>
          <w:sz w:val="18"/>
        </w:rPr>
        <w:t>conjunto de redes y</w:t>
      </w:r>
      <w:r>
        <w:rPr>
          <w:color w:val="231F20"/>
          <w:spacing w:val="-12"/>
          <w:w w:val="105"/>
          <w:sz w:val="18"/>
        </w:rPr>
        <w:t> </w:t>
      </w:r>
      <w:r>
        <w:rPr>
          <w:color w:val="231F20"/>
          <w:w w:val="105"/>
          <w:sz w:val="18"/>
        </w:rPr>
        <w:t>conocimiento</w:t>
      </w:r>
    </w:p>
    <w:p>
      <w:pPr>
        <w:pStyle w:val="BodyText"/>
        <w:rPr>
          <w:sz w:val="12"/>
        </w:rPr>
      </w:pPr>
    </w:p>
    <w:tbl>
      <w:tblPr>
        <w:tblW w:w="0" w:type="auto"/>
        <w:jc w:val="left"/>
        <w:tblInd w:w="1416"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047"/>
        <w:gridCol w:w="171"/>
        <w:gridCol w:w="1448"/>
        <w:gridCol w:w="128"/>
        <w:gridCol w:w="2135"/>
      </w:tblGrid>
      <w:tr>
        <w:trPr>
          <w:trHeight w:val="312" w:hRule="exact"/>
        </w:trPr>
        <w:tc>
          <w:tcPr>
            <w:tcW w:w="2794" w:type="dxa"/>
            <w:gridSpan w:val="4"/>
            <w:tcBorders>
              <w:top w:val="nil"/>
              <w:left w:val="nil"/>
              <w:bottom w:val="nil"/>
            </w:tcBorders>
          </w:tcPr>
          <w:p>
            <w:pPr/>
          </w:p>
        </w:tc>
        <w:tc>
          <w:tcPr>
            <w:tcW w:w="2135" w:type="dxa"/>
            <w:vMerge w:val="restart"/>
          </w:tcPr>
          <w:p>
            <w:pPr>
              <w:pStyle w:val="TableParagraph"/>
              <w:numPr>
                <w:ilvl w:val="0"/>
                <w:numId w:val="44"/>
              </w:numPr>
              <w:tabs>
                <w:tab w:pos="283" w:val="left" w:leader="none"/>
              </w:tabs>
              <w:spacing w:line="261" w:lineRule="auto" w:before="81" w:after="0"/>
              <w:ind w:left="282" w:right="422" w:hanging="142"/>
              <w:jc w:val="left"/>
              <w:rPr>
                <w:rFonts w:ascii="Microsoft Sans Serif" w:hAnsi="Microsoft Sans Serif"/>
                <w:sz w:val="13"/>
              </w:rPr>
            </w:pPr>
            <w:r>
              <w:rPr>
                <w:rFonts w:ascii="Microsoft Sans Serif" w:hAnsi="Microsoft Sans Serif"/>
                <w:color w:val="231F20"/>
                <w:w w:val="110"/>
                <w:sz w:val="13"/>
              </w:rPr>
              <w:t>¿El</w:t>
            </w:r>
            <w:r>
              <w:rPr>
                <w:rFonts w:ascii="Microsoft Sans Serif" w:hAnsi="Microsoft Sans Serif"/>
                <w:color w:val="231F20"/>
                <w:spacing w:val="-23"/>
                <w:w w:val="110"/>
                <w:sz w:val="13"/>
              </w:rPr>
              <w:t> </w:t>
            </w:r>
            <w:r>
              <w:rPr>
                <w:rFonts w:ascii="Microsoft Sans Serif" w:hAnsi="Microsoft Sans Serif"/>
                <w:color w:val="231F20"/>
                <w:w w:val="110"/>
                <w:sz w:val="13"/>
              </w:rPr>
              <w:t>conjunto</w:t>
            </w:r>
            <w:r>
              <w:rPr>
                <w:rFonts w:ascii="Microsoft Sans Serif" w:hAnsi="Microsoft Sans Serif"/>
                <w:color w:val="231F20"/>
                <w:spacing w:val="-23"/>
                <w:w w:val="110"/>
                <w:sz w:val="13"/>
              </w:rPr>
              <w:t> </w:t>
            </w:r>
            <w:r>
              <w:rPr>
                <w:rFonts w:ascii="Microsoft Sans Serif" w:hAnsi="Microsoft Sans Serif"/>
                <w:color w:val="231F20"/>
                <w:w w:val="110"/>
                <w:sz w:val="13"/>
              </w:rPr>
              <w:t>de</w:t>
            </w:r>
            <w:r>
              <w:rPr>
                <w:rFonts w:ascii="Microsoft Sans Serif" w:hAnsi="Microsoft Sans Serif"/>
                <w:color w:val="231F20"/>
                <w:spacing w:val="-23"/>
                <w:w w:val="110"/>
                <w:sz w:val="13"/>
              </w:rPr>
              <w:t> </w:t>
            </w:r>
            <w:r>
              <w:rPr>
                <w:rFonts w:ascii="Microsoft Sans Serif" w:hAnsi="Microsoft Sans Serif"/>
                <w:color w:val="231F20"/>
                <w:w w:val="110"/>
                <w:sz w:val="13"/>
              </w:rPr>
              <w:t>actores configura</w:t>
            </w:r>
            <w:r>
              <w:rPr>
                <w:rFonts w:ascii="Microsoft Sans Serif" w:hAnsi="Microsoft Sans Serif"/>
                <w:color w:val="231F20"/>
                <w:spacing w:val="-24"/>
                <w:w w:val="110"/>
                <w:sz w:val="13"/>
              </w:rPr>
              <w:t> </w:t>
            </w:r>
            <w:r>
              <w:rPr>
                <w:rFonts w:ascii="Microsoft Sans Serif" w:hAnsi="Microsoft Sans Serif"/>
                <w:color w:val="231F20"/>
                <w:w w:val="110"/>
                <w:sz w:val="13"/>
              </w:rPr>
              <w:t>una</w:t>
            </w:r>
            <w:r>
              <w:rPr>
                <w:rFonts w:ascii="Microsoft Sans Serif" w:hAnsi="Microsoft Sans Serif"/>
                <w:color w:val="231F20"/>
                <w:spacing w:val="-24"/>
                <w:w w:val="110"/>
                <w:sz w:val="13"/>
              </w:rPr>
              <w:t> </w:t>
            </w:r>
            <w:r>
              <w:rPr>
                <w:rFonts w:ascii="Microsoft Sans Serif" w:hAnsi="Microsoft Sans Serif"/>
                <w:color w:val="231F20"/>
                <w:w w:val="110"/>
                <w:sz w:val="13"/>
              </w:rPr>
              <w:t>red?</w:t>
            </w:r>
          </w:p>
          <w:p>
            <w:pPr>
              <w:pStyle w:val="TableParagraph"/>
              <w:numPr>
                <w:ilvl w:val="0"/>
                <w:numId w:val="44"/>
              </w:numPr>
              <w:tabs>
                <w:tab w:pos="283" w:val="left" w:leader="none"/>
              </w:tabs>
              <w:spacing w:line="240" w:lineRule="auto" w:before="0" w:after="0"/>
              <w:ind w:left="282" w:right="0" w:hanging="142"/>
              <w:jc w:val="left"/>
              <w:rPr>
                <w:rFonts w:ascii="Microsoft Sans Serif" w:hAnsi="Microsoft Sans Serif"/>
                <w:sz w:val="13"/>
              </w:rPr>
            </w:pPr>
            <w:r>
              <w:rPr>
                <w:rFonts w:ascii="Microsoft Sans Serif" w:hAnsi="Microsoft Sans Serif"/>
                <w:color w:val="231F20"/>
                <w:w w:val="105"/>
                <w:sz w:val="13"/>
              </w:rPr>
              <w:t>¿Qué forma</w:t>
            </w:r>
            <w:r>
              <w:rPr>
                <w:rFonts w:ascii="Microsoft Sans Serif" w:hAnsi="Microsoft Sans Serif"/>
                <w:color w:val="231F20"/>
                <w:spacing w:val="-18"/>
                <w:w w:val="105"/>
                <w:sz w:val="13"/>
              </w:rPr>
              <w:t> </w:t>
            </w:r>
            <w:r>
              <w:rPr>
                <w:rFonts w:ascii="Microsoft Sans Serif" w:hAnsi="Microsoft Sans Serif"/>
                <w:color w:val="231F20"/>
                <w:w w:val="105"/>
                <w:sz w:val="13"/>
              </w:rPr>
              <w:t>asume?</w:t>
            </w:r>
          </w:p>
          <w:p>
            <w:pPr>
              <w:pStyle w:val="TableParagraph"/>
              <w:numPr>
                <w:ilvl w:val="0"/>
                <w:numId w:val="44"/>
              </w:numPr>
              <w:tabs>
                <w:tab w:pos="283" w:val="left" w:leader="none"/>
              </w:tabs>
              <w:spacing w:line="261" w:lineRule="auto" w:before="13" w:after="0"/>
              <w:ind w:left="282" w:right="229" w:hanging="142"/>
              <w:jc w:val="left"/>
              <w:rPr>
                <w:rFonts w:ascii="Microsoft Sans Serif" w:hAnsi="Microsoft Sans Serif"/>
                <w:sz w:val="13"/>
              </w:rPr>
            </w:pPr>
            <w:r>
              <w:rPr>
                <w:rFonts w:ascii="Microsoft Sans Serif" w:hAnsi="Microsoft Sans Serif"/>
                <w:color w:val="231F20"/>
                <w:w w:val="105"/>
                <w:sz w:val="13"/>
              </w:rPr>
              <w:t>¿Quiénes</w:t>
            </w:r>
            <w:r>
              <w:rPr>
                <w:rFonts w:ascii="Microsoft Sans Serif" w:hAnsi="Microsoft Sans Serif"/>
                <w:color w:val="231F20"/>
                <w:spacing w:val="-8"/>
                <w:w w:val="105"/>
                <w:sz w:val="13"/>
              </w:rPr>
              <w:t> </w:t>
            </w:r>
            <w:r>
              <w:rPr>
                <w:rFonts w:ascii="Microsoft Sans Serif" w:hAnsi="Microsoft Sans Serif"/>
                <w:color w:val="231F20"/>
                <w:w w:val="105"/>
                <w:sz w:val="13"/>
              </w:rPr>
              <w:t>son</w:t>
            </w:r>
            <w:r>
              <w:rPr>
                <w:rFonts w:ascii="Microsoft Sans Serif" w:hAnsi="Microsoft Sans Serif"/>
                <w:color w:val="231F20"/>
                <w:spacing w:val="-8"/>
                <w:w w:val="105"/>
                <w:sz w:val="13"/>
              </w:rPr>
              <w:t> </w:t>
            </w:r>
            <w:r>
              <w:rPr>
                <w:rFonts w:ascii="Microsoft Sans Serif" w:hAnsi="Microsoft Sans Serif"/>
                <w:color w:val="231F20"/>
                <w:w w:val="105"/>
                <w:sz w:val="13"/>
              </w:rPr>
              <w:t>los</w:t>
            </w:r>
            <w:r>
              <w:rPr>
                <w:rFonts w:ascii="Microsoft Sans Serif" w:hAnsi="Microsoft Sans Serif"/>
                <w:color w:val="231F20"/>
                <w:spacing w:val="-8"/>
                <w:w w:val="105"/>
                <w:sz w:val="13"/>
              </w:rPr>
              <w:t> </w:t>
            </w:r>
            <w:r>
              <w:rPr>
                <w:rFonts w:ascii="Microsoft Sans Serif" w:hAnsi="Microsoft Sans Serif"/>
                <w:color w:val="231F20"/>
                <w:w w:val="105"/>
                <w:sz w:val="13"/>
              </w:rPr>
              <w:t>actores</w:t>
            </w:r>
            <w:r>
              <w:rPr>
                <w:rFonts w:ascii="Microsoft Sans Serif" w:hAnsi="Microsoft Sans Serif"/>
                <w:color w:val="231F20"/>
                <w:spacing w:val="-8"/>
                <w:w w:val="105"/>
                <w:sz w:val="13"/>
              </w:rPr>
              <w:t> </w:t>
            </w:r>
            <w:r>
              <w:rPr>
                <w:rFonts w:ascii="Microsoft Sans Serif" w:hAnsi="Microsoft Sans Serif"/>
                <w:color w:val="231F20"/>
                <w:w w:val="105"/>
                <w:sz w:val="13"/>
              </w:rPr>
              <w:t>y vínculos</w:t>
            </w:r>
            <w:r>
              <w:rPr>
                <w:rFonts w:ascii="Microsoft Sans Serif" w:hAnsi="Microsoft Sans Serif"/>
                <w:color w:val="231F20"/>
                <w:spacing w:val="-20"/>
                <w:w w:val="105"/>
                <w:sz w:val="13"/>
              </w:rPr>
              <w:t> </w:t>
            </w:r>
            <w:r>
              <w:rPr>
                <w:rFonts w:ascii="Microsoft Sans Serif" w:hAnsi="Microsoft Sans Serif"/>
                <w:color w:val="231F20"/>
                <w:w w:val="105"/>
                <w:sz w:val="13"/>
              </w:rPr>
              <w:t>relevantes?</w:t>
            </w:r>
          </w:p>
          <w:p>
            <w:pPr>
              <w:pStyle w:val="TableParagraph"/>
              <w:numPr>
                <w:ilvl w:val="0"/>
                <w:numId w:val="44"/>
              </w:numPr>
              <w:tabs>
                <w:tab w:pos="283" w:val="left" w:leader="none"/>
              </w:tabs>
              <w:spacing w:line="261" w:lineRule="auto" w:before="0" w:after="0"/>
              <w:ind w:left="282" w:right="212" w:hanging="142"/>
              <w:jc w:val="left"/>
              <w:rPr>
                <w:rFonts w:ascii="Microsoft Sans Serif" w:hAnsi="Microsoft Sans Serif"/>
                <w:sz w:val="13"/>
              </w:rPr>
            </w:pPr>
            <w:r>
              <w:rPr>
                <w:rFonts w:ascii="Microsoft Sans Serif" w:hAnsi="Microsoft Sans Serif"/>
                <w:color w:val="231F20"/>
                <w:w w:val="105"/>
                <w:sz w:val="13"/>
              </w:rPr>
              <w:t>¿Cuáles son los nodos</w:t>
            </w:r>
            <w:r>
              <w:rPr>
                <w:rFonts w:ascii="Microsoft Sans Serif" w:hAnsi="Microsoft Sans Serif"/>
                <w:color w:val="231F20"/>
                <w:spacing w:val="-13"/>
                <w:w w:val="105"/>
                <w:sz w:val="13"/>
              </w:rPr>
              <w:t> </w:t>
            </w:r>
            <w:r>
              <w:rPr>
                <w:rFonts w:ascii="Microsoft Sans Serif" w:hAnsi="Microsoft Sans Serif"/>
                <w:color w:val="231F20"/>
                <w:w w:val="105"/>
                <w:sz w:val="13"/>
              </w:rPr>
              <w:t>que funcionan como puente o intermediarios?</w:t>
            </w:r>
          </w:p>
        </w:tc>
      </w:tr>
      <w:tr>
        <w:trPr>
          <w:trHeight w:val="314" w:hRule="exact"/>
        </w:trPr>
        <w:tc>
          <w:tcPr>
            <w:tcW w:w="1047" w:type="dxa"/>
            <w:vMerge w:val="restart"/>
          </w:tcPr>
          <w:p>
            <w:pPr>
              <w:pStyle w:val="TableParagraph"/>
              <w:spacing w:line="261" w:lineRule="auto" w:before="96"/>
              <w:ind w:left="65" w:right="65" w:hanging="1"/>
              <w:jc w:val="center"/>
              <w:rPr>
                <w:rFonts w:ascii="Microsoft Sans Serif" w:hAnsi="Microsoft Sans Serif"/>
                <w:sz w:val="13"/>
              </w:rPr>
            </w:pPr>
            <w:r>
              <w:rPr>
                <w:rFonts w:ascii="Microsoft Sans Serif" w:hAnsi="Microsoft Sans Serif"/>
                <w:color w:val="231F20"/>
                <w:w w:val="105"/>
                <w:sz w:val="13"/>
              </w:rPr>
              <w:t>Análisis de </w:t>
            </w:r>
            <w:r>
              <w:rPr>
                <w:rFonts w:ascii="Microsoft Sans Serif" w:hAnsi="Microsoft Sans Serif"/>
                <w:color w:val="231F20"/>
                <w:sz w:val="13"/>
              </w:rPr>
              <w:t>Redes Sociales </w:t>
            </w:r>
            <w:r>
              <w:rPr>
                <w:rFonts w:ascii="Microsoft Sans Serif" w:hAnsi="Microsoft Sans Serif"/>
                <w:color w:val="231F20"/>
                <w:w w:val="105"/>
                <w:sz w:val="13"/>
              </w:rPr>
              <w:t>(Resultados cuantitativos)</w:t>
            </w:r>
          </w:p>
        </w:tc>
        <w:tc>
          <w:tcPr>
            <w:tcW w:w="171" w:type="dxa"/>
            <w:vMerge w:val="restart"/>
            <w:tcBorders>
              <w:top w:val="nil"/>
            </w:tcBorders>
          </w:tcPr>
          <w:p>
            <w:pPr>
              <w:pStyle w:val="TableParagraph"/>
              <w:rPr>
                <w:sz w:val="20"/>
              </w:rPr>
            </w:pPr>
          </w:p>
          <w:p>
            <w:pPr>
              <w:pStyle w:val="TableParagraph"/>
              <w:rPr>
                <w:sz w:val="20"/>
              </w:rPr>
            </w:pPr>
          </w:p>
          <w:p>
            <w:pPr>
              <w:pStyle w:val="TableParagraph"/>
              <w:rPr>
                <w:sz w:val="20"/>
              </w:rPr>
            </w:pPr>
          </w:p>
          <w:p>
            <w:pPr>
              <w:pStyle w:val="TableParagraph"/>
              <w:spacing w:before="10"/>
              <w:rPr>
                <w:sz w:val="16"/>
              </w:rPr>
            </w:pPr>
          </w:p>
        </w:tc>
        <w:tc>
          <w:tcPr>
            <w:tcW w:w="1448" w:type="dxa"/>
            <w:vMerge w:val="restart"/>
          </w:tcPr>
          <w:p>
            <w:pPr>
              <w:pStyle w:val="TableParagraph"/>
              <w:numPr>
                <w:ilvl w:val="0"/>
                <w:numId w:val="45"/>
              </w:numPr>
              <w:tabs>
                <w:tab w:pos="247" w:val="left" w:leader="none"/>
              </w:tabs>
              <w:spacing w:line="261" w:lineRule="auto" w:before="72" w:after="0"/>
              <w:ind w:left="246" w:right="435" w:hanging="143"/>
              <w:jc w:val="left"/>
              <w:rPr>
                <w:rFonts w:ascii="Microsoft Sans Serif"/>
                <w:sz w:val="13"/>
              </w:rPr>
            </w:pPr>
            <w:r>
              <w:rPr>
                <w:rFonts w:ascii="Microsoft Sans Serif"/>
                <w:color w:val="231F20"/>
                <w:w w:val="105"/>
                <w:sz w:val="13"/>
              </w:rPr>
              <w:t>Indicadores posicionales</w:t>
            </w:r>
          </w:p>
          <w:p>
            <w:pPr>
              <w:pStyle w:val="TableParagraph"/>
              <w:numPr>
                <w:ilvl w:val="0"/>
                <w:numId w:val="45"/>
              </w:numPr>
              <w:tabs>
                <w:tab w:pos="247" w:val="left" w:leader="none"/>
              </w:tabs>
              <w:spacing w:line="261" w:lineRule="auto" w:before="0" w:after="0"/>
              <w:ind w:left="246" w:right="416" w:hanging="143"/>
              <w:jc w:val="left"/>
              <w:rPr>
                <w:rFonts w:ascii="Microsoft Sans Serif"/>
                <w:sz w:val="13"/>
              </w:rPr>
            </w:pPr>
            <w:r>
              <w:rPr>
                <w:rFonts w:ascii="Microsoft Sans Serif"/>
                <w:color w:val="231F20"/>
                <w:w w:val="105"/>
                <w:sz w:val="13"/>
              </w:rPr>
              <w:t>Indicadores </w:t>
            </w:r>
            <w:r>
              <w:rPr>
                <w:rFonts w:ascii="Microsoft Sans Serif"/>
                <w:color w:val="231F20"/>
                <w:spacing w:val="-1"/>
                <w:w w:val="105"/>
                <w:sz w:val="13"/>
              </w:rPr>
              <w:t>estructurales</w:t>
            </w:r>
          </w:p>
        </w:tc>
        <w:tc>
          <w:tcPr>
            <w:tcW w:w="128" w:type="dxa"/>
            <w:tcBorders>
              <w:top w:val="nil"/>
            </w:tcBorders>
          </w:tcPr>
          <w:p>
            <w:pPr/>
          </w:p>
        </w:tc>
        <w:tc>
          <w:tcPr>
            <w:tcW w:w="2135" w:type="dxa"/>
            <w:vMerge/>
          </w:tcPr>
          <w:p>
            <w:pPr/>
          </w:p>
        </w:tc>
      </w:tr>
      <w:tr>
        <w:trPr>
          <w:trHeight w:val="571" w:hRule="exact"/>
        </w:trPr>
        <w:tc>
          <w:tcPr>
            <w:tcW w:w="1047" w:type="dxa"/>
            <w:vMerge/>
          </w:tcPr>
          <w:p>
            <w:pPr/>
          </w:p>
        </w:tc>
        <w:tc>
          <w:tcPr>
            <w:tcW w:w="171" w:type="dxa"/>
            <w:vMerge/>
            <w:tcBorders>
              <w:bottom w:val="nil"/>
            </w:tcBorders>
          </w:tcPr>
          <w:p>
            <w:pPr/>
          </w:p>
        </w:tc>
        <w:tc>
          <w:tcPr>
            <w:tcW w:w="1448" w:type="dxa"/>
            <w:vMerge/>
          </w:tcPr>
          <w:p>
            <w:pPr/>
          </w:p>
        </w:tc>
        <w:tc>
          <w:tcPr>
            <w:tcW w:w="128" w:type="dxa"/>
            <w:tcBorders>
              <w:bottom w:val="nil"/>
            </w:tcBorders>
          </w:tcPr>
          <w:p>
            <w:pPr/>
          </w:p>
        </w:tc>
        <w:tc>
          <w:tcPr>
            <w:tcW w:w="2135" w:type="dxa"/>
            <w:vMerge/>
          </w:tcPr>
          <w:p>
            <w:pPr/>
          </w:p>
        </w:tc>
      </w:tr>
      <w:tr>
        <w:trPr>
          <w:trHeight w:val="260" w:hRule="exact"/>
        </w:trPr>
        <w:tc>
          <w:tcPr>
            <w:tcW w:w="2794" w:type="dxa"/>
            <w:gridSpan w:val="4"/>
            <w:tcBorders>
              <w:top w:val="nil"/>
              <w:left w:val="nil"/>
              <w:bottom w:val="nil"/>
            </w:tcBorders>
          </w:tcPr>
          <w:p>
            <w:pPr/>
          </w:p>
        </w:tc>
        <w:tc>
          <w:tcPr>
            <w:tcW w:w="2135" w:type="dxa"/>
            <w:vMerge/>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2"/>
        </w:rPr>
      </w:pPr>
    </w:p>
    <w:p>
      <w:pPr>
        <w:spacing w:before="67"/>
        <w:ind w:left="103" w:right="17" w:firstLine="0"/>
        <w:jc w:val="left"/>
        <w:rPr>
          <w:sz w:val="16"/>
        </w:rPr>
      </w:pPr>
      <w:r>
        <w:rPr/>
        <w:pict>
          <v:group style="position:absolute;margin-left:97.949997pt;margin-top:-252.631088pt;width:279.6pt;height:252.8pt;mso-position-horizontal-relative:page;mso-position-vertical-relative:paragraph;z-index:-242704" coordorigin="1959,-5053" coordsize="5592,5056">
            <v:line style="position:absolute" from="5285,-2002" to="5411,-2002" stroked="true" strokeweight=".209pt" strokecolor="#231f20"/>
            <v:rect style="position:absolute;left:5413;top:-3212;width:2135;height:3212" filled="false" stroked="true" strokeweight=".209pt" strokecolor="#231f20"/>
            <v:line style="position:absolute" from="3666,-2002" to="3837,-2002" stroked="true" strokeweight=".209pt" strokecolor="#231f20"/>
            <v:rect style="position:absolute;left:2617;top:-2430;width:1047;height:884" filled="false" stroked="true" strokeweight=".209pt" strokecolor="#231f20"/>
            <v:shape style="position:absolute;left:2427;top:-5016;width:62;height:3027" coordorigin="2427,-5016" coordsize="62,3027" path="m2489,-1989l2427,-1989,2427,-5016,2489,-5016e" filled="false" stroked="true" strokeweight=".209pt" strokecolor="#231f20">
              <v:path arrowok="t"/>
            </v:shape>
            <v:shape style="position:absolute;left:2462;top:-5053;width:101;height:3100" coordorigin="2462,-5053" coordsize="101,3100" path="m2562,-1989l2462,-2026,2489,-1989,2462,-1953,2562,-1989m2562,-5016l2462,-5053,2489,-5016,2462,-4980,2562,-5016e" filled="true" fillcolor="#231f20" stroked="false">
              <v:path arrowok="t"/>
              <v:fill type="solid"/>
            </v:shape>
            <v:rect style="position:absolute;left:3837;top:-2800;width:1448;height:1621" filled="false" stroked="true" strokeweight=".209pt" strokecolor="#231f20"/>
            <v:rect style="position:absolute;left:1961;top:-4515;width:287;height:1985" filled="false" stroked="true" strokeweight=".209pt" strokecolor="#231f20"/>
            <v:line style="position:absolute" from="2250,-3593" to="2425,-3593" stroked="true" strokeweight=".209pt" strokecolor="#231f20"/>
            <v:shape style="position:absolute;left:5413;top:-3212;width:2135;height:3212" type="#_x0000_t202" filled="false" stroked="false">
              <v:textbox inset="0,0,0,0">
                <w:txbxContent>
                  <w:p>
                    <w:pPr>
                      <w:spacing w:line="240" w:lineRule="auto" w:before="1"/>
                      <w:rPr>
                        <w:rFonts w:ascii="Calibri"/>
                        <w:sz w:val="9"/>
                      </w:rPr>
                    </w:pPr>
                  </w:p>
                  <w:p>
                    <w:pPr>
                      <w:numPr>
                        <w:ilvl w:val="0"/>
                        <w:numId w:val="46"/>
                      </w:numPr>
                      <w:tabs>
                        <w:tab w:pos="285" w:val="left" w:leader="none"/>
                      </w:tabs>
                      <w:spacing w:line="261" w:lineRule="auto" w:before="0"/>
                      <w:ind w:left="284" w:right="94" w:hanging="142"/>
                      <w:jc w:val="left"/>
                      <w:rPr>
                        <w:rFonts w:ascii="Microsoft Sans Serif" w:hAnsi="Microsoft Sans Serif"/>
                        <w:sz w:val="13"/>
                      </w:rPr>
                    </w:pPr>
                    <w:r>
                      <w:rPr>
                        <w:rFonts w:ascii="Microsoft Sans Serif" w:hAnsi="Microsoft Sans Serif"/>
                        <w:color w:val="231F20"/>
                        <w:w w:val="105"/>
                        <w:sz w:val="13"/>
                      </w:rPr>
                      <w:t>¿El objetivo de la interacción implica</w:t>
                    </w:r>
                    <w:r>
                      <w:rPr>
                        <w:rFonts w:ascii="Microsoft Sans Serif" w:hAnsi="Microsoft Sans Serif"/>
                        <w:color w:val="231F20"/>
                        <w:spacing w:val="33"/>
                        <w:w w:val="105"/>
                        <w:sz w:val="13"/>
                      </w:rPr>
                      <w:t> </w:t>
                    </w:r>
                    <w:r>
                      <w:rPr>
                        <w:rFonts w:ascii="Microsoft Sans Serif" w:hAnsi="Microsoft Sans Serif"/>
                        <w:color w:val="231F20"/>
                        <w:w w:val="105"/>
                        <w:sz w:val="13"/>
                      </w:rPr>
                      <w:t>conocimiento?</w:t>
                    </w:r>
                  </w:p>
                  <w:p>
                    <w:pPr>
                      <w:numPr>
                        <w:ilvl w:val="0"/>
                        <w:numId w:val="46"/>
                      </w:numPr>
                      <w:tabs>
                        <w:tab w:pos="285" w:val="left" w:leader="none"/>
                      </w:tabs>
                      <w:spacing w:line="261" w:lineRule="auto" w:before="0"/>
                      <w:ind w:left="284" w:right="89" w:hanging="142"/>
                      <w:jc w:val="left"/>
                      <w:rPr>
                        <w:rFonts w:ascii="Microsoft Sans Serif" w:hAnsi="Microsoft Sans Serif"/>
                        <w:sz w:val="13"/>
                      </w:rPr>
                    </w:pPr>
                    <w:r>
                      <w:rPr>
                        <w:rFonts w:ascii="Microsoft Sans Serif" w:hAnsi="Microsoft Sans Serif"/>
                        <w:color w:val="231F20"/>
                        <w:w w:val="105"/>
                        <w:sz w:val="13"/>
                      </w:rPr>
                      <w:t>¿Cuáles</w:t>
                    </w:r>
                    <w:r>
                      <w:rPr>
                        <w:rFonts w:ascii="Microsoft Sans Serif" w:hAnsi="Microsoft Sans Serif"/>
                        <w:color w:val="231F20"/>
                        <w:spacing w:val="-25"/>
                        <w:w w:val="105"/>
                        <w:sz w:val="13"/>
                      </w:rPr>
                      <w:t> </w:t>
                    </w:r>
                    <w:r>
                      <w:rPr>
                        <w:rFonts w:ascii="Microsoft Sans Serif" w:hAnsi="Microsoft Sans Serif"/>
                        <w:color w:val="231F20"/>
                        <w:w w:val="105"/>
                        <w:sz w:val="13"/>
                      </w:rPr>
                      <w:t>son</w:t>
                    </w:r>
                    <w:r>
                      <w:rPr>
                        <w:rFonts w:ascii="Microsoft Sans Serif" w:hAnsi="Microsoft Sans Serif"/>
                        <w:color w:val="231F20"/>
                        <w:spacing w:val="-25"/>
                        <w:w w:val="105"/>
                        <w:sz w:val="13"/>
                      </w:rPr>
                      <w:t> </w:t>
                    </w:r>
                    <w:r>
                      <w:rPr>
                        <w:rFonts w:ascii="Microsoft Sans Serif" w:hAnsi="Microsoft Sans Serif"/>
                        <w:color w:val="231F20"/>
                        <w:w w:val="105"/>
                        <w:sz w:val="13"/>
                      </w:rPr>
                      <w:t>las</w:t>
                    </w:r>
                    <w:r>
                      <w:rPr>
                        <w:rFonts w:ascii="Microsoft Sans Serif" w:hAnsi="Microsoft Sans Serif"/>
                        <w:color w:val="231F20"/>
                        <w:spacing w:val="-25"/>
                        <w:w w:val="105"/>
                        <w:sz w:val="13"/>
                      </w:rPr>
                      <w:t> </w:t>
                    </w:r>
                    <w:r>
                      <w:rPr>
                        <w:rFonts w:ascii="Microsoft Sans Serif" w:hAnsi="Microsoft Sans Serif"/>
                        <w:color w:val="231F20"/>
                        <w:spacing w:val="-3"/>
                        <w:w w:val="105"/>
                        <w:sz w:val="13"/>
                      </w:rPr>
                      <w:t>características reticulares </w:t>
                    </w:r>
                    <w:r>
                      <w:rPr>
                        <w:rFonts w:ascii="Microsoft Sans Serif" w:hAnsi="Microsoft Sans Serif"/>
                        <w:color w:val="231F20"/>
                        <w:w w:val="105"/>
                        <w:sz w:val="13"/>
                      </w:rPr>
                      <w:t>–cognitivas </w:t>
                    </w:r>
                    <w:r>
                      <w:rPr>
                        <w:rFonts w:ascii="Microsoft Sans Serif" w:hAnsi="Microsoft Sans Serif"/>
                        <w:color w:val="231F20"/>
                        <w:spacing w:val="-2"/>
                        <w:w w:val="105"/>
                        <w:sz w:val="13"/>
                      </w:rPr>
                      <w:t>que </w:t>
                    </w:r>
                    <w:r>
                      <w:rPr>
                        <w:rFonts w:ascii="Microsoft Sans Serif" w:hAnsi="Microsoft Sans Serif"/>
                        <w:color w:val="231F20"/>
                        <w:w w:val="105"/>
                        <w:sz w:val="13"/>
                      </w:rPr>
                      <w:t>ostenta la</w:t>
                    </w:r>
                    <w:r>
                      <w:rPr>
                        <w:rFonts w:ascii="Microsoft Sans Serif" w:hAnsi="Microsoft Sans Serif"/>
                        <w:color w:val="231F20"/>
                        <w:spacing w:val="-25"/>
                        <w:w w:val="105"/>
                        <w:sz w:val="13"/>
                      </w:rPr>
                      <w:t> </w:t>
                    </w:r>
                    <w:r>
                      <w:rPr>
                        <w:rFonts w:ascii="Microsoft Sans Serif" w:hAnsi="Microsoft Sans Serif"/>
                        <w:color w:val="231F20"/>
                        <w:spacing w:val="-3"/>
                        <w:w w:val="105"/>
                        <w:sz w:val="13"/>
                      </w:rPr>
                      <w:t>red?</w:t>
                    </w:r>
                  </w:p>
                  <w:p>
                    <w:pPr>
                      <w:numPr>
                        <w:ilvl w:val="0"/>
                        <w:numId w:val="46"/>
                      </w:numPr>
                      <w:tabs>
                        <w:tab w:pos="285" w:val="left" w:leader="none"/>
                      </w:tabs>
                      <w:spacing w:line="261" w:lineRule="auto" w:before="0"/>
                      <w:ind w:left="284" w:right="163" w:hanging="142"/>
                      <w:jc w:val="left"/>
                      <w:rPr>
                        <w:rFonts w:ascii="Microsoft Sans Serif" w:hAnsi="Microsoft Sans Serif"/>
                        <w:sz w:val="13"/>
                      </w:rPr>
                    </w:pPr>
                    <w:r>
                      <w:rPr>
                        <w:rFonts w:ascii="Microsoft Sans Serif" w:hAnsi="Microsoft Sans Serif"/>
                        <w:color w:val="231F20"/>
                        <w:w w:val="105"/>
                        <w:sz w:val="13"/>
                      </w:rPr>
                      <w:t>¿Cómo se manifiestan los mecanismos de integración en la</w:t>
                    </w:r>
                    <w:r>
                      <w:rPr>
                        <w:rFonts w:ascii="Microsoft Sans Serif" w:hAnsi="Microsoft Sans Serif"/>
                        <w:color w:val="231F20"/>
                        <w:spacing w:val="-9"/>
                        <w:w w:val="105"/>
                        <w:sz w:val="13"/>
                      </w:rPr>
                      <w:t> </w:t>
                    </w:r>
                    <w:r>
                      <w:rPr>
                        <w:rFonts w:ascii="Microsoft Sans Serif" w:hAnsi="Microsoft Sans Serif"/>
                        <w:color w:val="231F20"/>
                        <w:w w:val="105"/>
                        <w:sz w:val="13"/>
                      </w:rPr>
                      <w:t>red?</w:t>
                    </w:r>
                  </w:p>
                  <w:p>
                    <w:pPr>
                      <w:numPr>
                        <w:ilvl w:val="0"/>
                        <w:numId w:val="46"/>
                      </w:numPr>
                      <w:tabs>
                        <w:tab w:pos="285" w:val="left" w:leader="none"/>
                      </w:tabs>
                      <w:spacing w:line="261" w:lineRule="auto" w:before="0"/>
                      <w:ind w:left="284" w:right="104" w:hanging="142"/>
                      <w:jc w:val="left"/>
                      <w:rPr>
                        <w:rFonts w:ascii="Microsoft Sans Serif" w:hAnsi="Microsoft Sans Serif"/>
                        <w:sz w:val="13"/>
                      </w:rPr>
                    </w:pPr>
                    <w:r>
                      <w:rPr>
                        <w:rFonts w:ascii="Microsoft Sans Serif" w:hAnsi="Microsoft Sans Serif"/>
                        <w:color w:val="231F20"/>
                        <w:w w:val="105"/>
                        <w:sz w:val="13"/>
                      </w:rPr>
                      <w:t>¿Cuáles</w:t>
                    </w:r>
                    <w:r>
                      <w:rPr>
                        <w:rFonts w:ascii="Microsoft Sans Serif" w:hAnsi="Microsoft Sans Serif"/>
                        <w:color w:val="231F20"/>
                        <w:spacing w:val="-11"/>
                        <w:w w:val="105"/>
                        <w:sz w:val="13"/>
                      </w:rPr>
                      <w:t> </w:t>
                    </w:r>
                    <w:r>
                      <w:rPr>
                        <w:rFonts w:ascii="Microsoft Sans Serif" w:hAnsi="Microsoft Sans Serif"/>
                        <w:color w:val="231F20"/>
                        <w:w w:val="105"/>
                        <w:sz w:val="13"/>
                      </w:rPr>
                      <w:t>son</w:t>
                    </w:r>
                    <w:r>
                      <w:rPr>
                        <w:rFonts w:ascii="Microsoft Sans Serif" w:hAnsi="Microsoft Sans Serif"/>
                        <w:color w:val="231F20"/>
                        <w:spacing w:val="-11"/>
                        <w:w w:val="105"/>
                        <w:sz w:val="13"/>
                      </w:rPr>
                      <w:t> </w:t>
                    </w:r>
                    <w:r>
                      <w:rPr>
                        <w:rFonts w:ascii="Microsoft Sans Serif" w:hAnsi="Microsoft Sans Serif"/>
                        <w:color w:val="231F20"/>
                        <w:w w:val="105"/>
                        <w:sz w:val="13"/>
                      </w:rPr>
                      <w:t>las</w:t>
                    </w:r>
                    <w:r>
                      <w:rPr>
                        <w:rFonts w:ascii="Microsoft Sans Serif" w:hAnsi="Microsoft Sans Serif"/>
                        <w:color w:val="231F20"/>
                        <w:spacing w:val="-11"/>
                        <w:w w:val="105"/>
                        <w:sz w:val="13"/>
                      </w:rPr>
                      <w:t> </w:t>
                    </w:r>
                    <w:r>
                      <w:rPr>
                        <w:rFonts w:ascii="Microsoft Sans Serif" w:hAnsi="Microsoft Sans Serif"/>
                        <w:color w:val="231F20"/>
                        <w:w w:val="105"/>
                        <w:sz w:val="13"/>
                      </w:rPr>
                      <w:t>dimensiones identificadas en la</w:t>
                    </w:r>
                    <w:r>
                      <w:rPr>
                        <w:rFonts w:ascii="Microsoft Sans Serif" w:hAnsi="Microsoft Sans Serif"/>
                        <w:color w:val="231F20"/>
                        <w:spacing w:val="3"/>
                        <w:w w:val="105"/>
                        <w:sz w:val="13"/>
                      </w:rPr>
                      <w:t> </w:t>
                    </w:r>
                    <w:r>
                      <w:rPr>
                        <w:rFonts w:ascii="Microsoft Sans Serif" w:hAnsi="Microsoft Sans Serif"/>
                        <w:color w:val="231F20"/>
                        <w:w w:val="105"/>
                        <w:sz w:val="13"/>
                      </w:rPr>
                      <w:t>red?</w:t>
                    </w:r>
                  </w:p>
                  <w:p>
                    <w:pPr>
                      <w:spacing w:before="0"/>
                      <w:ind w:left="284" w:right="0" w:firstLine="0"/>
                      <w:jc w:val="left"/>
                      <w:rPr>
                        <w:rFonts w:ascii="Microsoft Sans Serif" w:hAnsi="Microsoft Sans Serif"/>
                        <w:sz w:val="13"/>
                      </w:rPr>
                    </w:pPr>
                    <w:r>
                      <w:rPr>
                        <w:rFonts w:ascii="Microsoft Sans Serif" w:hAnsi="Microsoft Sans Serif"/>
                        <w:color w:val="231F20"/>
                        <w:w w:val="105"/>
                        <w:sz w:val="13"/>
                      </w:rPr>
                      <w:t>¿cómo se manifiestan?</w:t>
                    </w:r>
                  </w:p>
                  <w:p>
                    <w:pPr>
                      <w:numPr>
                        <w:ilvl w:val="0"/>
                        <w:numId w:val="46"/>
                      </w:numPr>
                      <w:tabs>
                        <w:tab w:pos="285" w:val="left" w:leader="none"/>
                      </w:tabs>
                      <w:spacing w:line="261" w:lineRule="auto" w:before="13"/>
                      <w:ind w:left="284" w:right="274" w:hanging="142"/>
                      <w:jc w:val="both"/>
                      <w:rPr>
                        <w:rFonts w:ascii="Microsoft Sans Serif" w:hAnsi="Microsoft Sans Serif"/>
                        <w:sz w:val="13"/>
                      </w:rPr>
                    </w:pPr>
                    <w:r>
                      <w:rPr>
                        <w:rFonts w:ascii="Microsoft Sans Serif" w:hAnsi="Microsoft Sans Serif"/>
                        <w:color w:val="231F20"/>
                        <w:w w:val="105"/>
                        <w:sz w:val="13"/>
                      </w:rPr>
                      <w:t>En resultados ¿se cumple el desempeño funcional y organizacional de la</w:t>
                    </w:r>
                    <w:r>
                      <w:rPr>
                        <w:rFonts w:ascii="Microsoft Sans Serif" w:hAnsi="Microsoft Sans Serif"/>
                        <w:color w:val="231F20"/>
                        <w:spacing w:val="2"/>
                        <w:w w:val="105"/>
                        <w:sz w:val="13"/>
                      </w:rPr>
                      <w:t> </w:t>
                    </w:r>
                    <w:r>
                      <w:rPr>
                        <w:rFonts w:ascii="Microsoft Sans Serif" w:hAnsi="Microsoft Sans Serif"/>
                        <w:color w:val="231F20"/>
                        <w:w w:val="105"/>
                        <w:sz w:val="13"/>
                      </w:rPr>
                      <w:t>red?</w:t>
                    </w:r>
                  </w:p>
                  <w:p>
                    <w:pPr>
                      <w:spacing w:line="261" w:lineRule="auto" w:before="0"/>
                      <w:ind w:left="284" w:right="0" w:firstLine="0"/>
                      <w:jc w:val="left"/>
                      <w:rPr>
                        <w:rFonts w:ascii="Microsoft Sans Serif" w:hAnsi="Microsoft Sans Serif"/>
                        <w:sz w:val="13"/>
                      </w:rPr>
                    </w:pPr>
                    <w:r>
                      <w:rPr>
                        <w:rFonts w:ascii="Microsoft Sans Serif" w:hAnsi="Microsoft Sans Serif"/>
                        <w:color w:val="231F20"/>
                        <w:w w:val="105"/>
                        <w:sz w:val="13"/>
                      </w:rPr>
                      <w:t>¿la red tiene impacto económico? Si existe ¿cómo se manifiesta ese impacto económico?</w:t>
                    </w:r>
                  </w:p>
                </w:txbxContent>
              </v:textbox>
              <w10:wrap type="none"/>
            </v:shape>
            <v:shape style="position:absolute;left:3837;top:-2800;width:1449;height:1622" type="#_x0000_t202" filled="false" stroked="false">
              <v:textbox inset="0,0,0,0">
                <w:txbxContent>
                  <w:p>
                    <w:pPr>
                      <w:numPr>
                        <w:ilvl w:val="0"/>
                        <w:numId w:val="47"/>
                      </w:numPr>
                      <w:tabs>
                        <w:tab w:pos="320" w:val="left" w:leader="none"/>
                      </w:tabs>
                      <w:spacing w:line="261" w:lineRule="auto" w:before="79"/>
                      <w:ind w:left="319" w:right="201" w:hanging="214"/>
                      <w:jc w:val="left"/>
                      <w:rPr>
                        <w:rFonts w:ascii="Microsoft Sans Serif" w:hAnsi="Microsoft Sans Serif"/>
                        <w:sz w:val="13"/>
                      </w:rPr>
                    </w:pPr>
                    <w:r>
                      <w:rPr>
                        <w:rFonts w:ascii="Microsoft Sans Serif" w:hAnsi="Microsoft Sans Serif"/>
                        <w:color w:val="231F20"/>
                        <w:w w:val="110"/>
                        <w:sz w:val="13"/>
                      </w:rPr>
                      <w:t>Objetivos de</w:t>
                    </w:r>
                    <w:r>
                      <w:rPr>
                        <w:rFonts w:ascii="Microsoft Sans Serif" w:hAnsi="Microsoft Sans Serif"/>
                        <w:color w:val="231F20"/>
                        <w:spacing w:val="-21"/>
                        <w:w w:val="110"/>
                        <w:sz w:val="13"/>
                      </w:rPr>
                      <w:t> </w:t>
                    </w:r>
                    <w:r>
                      <w:rPr>
                        <w:rFonts w:ascii="Microsoft Sans Serif" w:hAnsi="Microsoft Sans Serif"/>
                        <w:color w:val="231F20"/>
                        <w:w w:val="110"/>
                        <w:sz w:val="13"/>
                      </w:rPr>
                      <w:t>la interacción</w:t>
                    </w:r>
                  </w:p>
                  <w:p>
                    <w:pPr>
                      <w:numPr>
                        <w:ilvl w:val="0"/>
                        <w:numId w:val="47"/>
                      </w:numPr>
                      <w:tabs>
                        <w:tab w:pos="320" w:val="left" w:leader="none"/>
                      </w:tabs>
                      <w:spacing w:line="261" w:lineRule="auto" w:before="0"/>
                      <w:ind w:left="319" w:right="242" w:hanging="214"/>
                      <w:jc w:val="left"/>
                      <w:rPr>
                        <w:rFonts w:ascii="Microsoft Sans Serif" w:hAnsi="Microsoft Sans Serif"/>
                        <w:sz w:val="13"/>
                      </w:rPr>
                    </w:pPr>
                    <w:r>
                      <w:rPr>
                        <w:rFonts w:ascii="Microsoft Sans Serif" w:hAnsi="Microsoft Sans Serif"/>
                        <w:color w:val="231F20"/>
                        <w:spacing w:val="-1"/>
                        <w:sz w:val="13"/>
                      </w:rPr>
                      <w:t>Características </w:t>
                    </w:r>
                    <w:r>
                      <w:rPr>
                        <w:rFonts w:ascii="Microsoft Sans Serif" w:hAnsi="Microsoft Sans Serif"/>
                        <w:color w:val="231F20"/>
                        <w:w w:val="105"/>
                        <w:sz w:val="13"/>
                      </w:rPr>
                      <w:t>reticulares- cognitivas</w:t>
                    </w:r>
                  </w:p>
                  <w:p>
                    <w:pPr>
                      <w:numPr>
                        <w:ilvl w:val="0"/>
                        <w:numId w:val="47"/>
                      </w:numPr>
                      <w:tabs>
                        <w:tab w:pos="320" w:val="left" w:leader="none"/>
                      </w:tabs>
                      <w:spacing w:line="261" w:lineRule="auto" w:before="0"/>
                      <w:ind w:left="319" w:right="168" w:hanging="214"/>
                      <w:jc w:val="left"/>
                      <w:rPr>
                        <w:rFonts w:ascii="Microsoft Sans Serif" w:hAnsi="Microsoft Sans Serif"/>
                        <w:sz w:val="13"/>
                      </w:rPr>
                    </w:pPr>
                    <w:r>
                      <w:rPr>
                        <w:rFonts w:ascii="Microsoft Sans Serif" w:hAnsi="Microsoft Sans Serif"/>
                        <w:color w:val="231F20"/>
                        <w:w w:val="105"/>
                        <w:sz w:val="13"/>
                      </w:rPr>
                      <w:t>Mecanismos de </w:t>
                    </w:r>
                    <w:r>
                      <w:rPr>
                        <w:rFonts w:ascii="Microsoft Sans Serif" w:hAnsi="Microsoft Sans Serif"/>
                        <w:color w:val="231F20"/>
                        <w:w w:val="110"/>
                        <w:sz w:val="13"/>
                      </w:rPr>
                      <w:t>integración</w:t>
                    </w:r>
                  </w:p>
                  <w:p>
                    <w:pPr>
                      <w:numPr>
                        <w:ilvl w:val="0"/>
                        <w:numId w:val="47"/>
                      </w:numPr>
                      <w:tabs>
                        <w:tab w:pos="320" w:val="left" w:leader="none"/>
                      </w:tabs>
                      <w:spacing w:before="0"/>
                      <w:ind w:left="319" w:right="0" w:hanging="214"/>
                      <w:jc w:val="left"/>
                      <w:rPr>
                        <w:rFonts w:ascii="Microsoft Sans Serif"/>
                        <w:sz w:val="13"/>
                      </w:rPr>
                    </w:pPr>
                    <w:r>
                      <w:rPr>
                        <w:rFonts w:ascii="Microsoft Sans Serif"/>
                        <w:color w:val="231F20"/>
                        <w:w w:val="105"/>
                        <w:sz w:val="13"/>
                      </w:rPr>
                      <w:t>Dimensiones</w:t>
                    </w:r>
                  </w:p>
                  <w:p>
                    <w:pPr>
                      <w:numPr>
                        <w:ilvl w:val="0"/>
                        <w:numId w:val="47"/>
                      </w:numPr>
                      <w:tabs>
                        <w:tab w:pos="320" w:val="left" w:leader="none"/>
                      </w:tabs>
                      <w:spacing w:before="13"/>
                      <w:ind w:left="319" w:right="0" w:hanging="214"/>
                      <w:jc w:val="left"/>
                      <w:rPr>
                        <w:rFonts w:ascii="Microsoft Sans Serif"/>
                        <w:sz w:val="13"/>
                      </w:rPr>
                    </w:pPr>
                    <w:r>
                      <w:rPr>
                        <w:rFonts w:ascii="Microsoft Sans Serif"/>
                        <w:color w:val="231F20"/>
                        <w:w w:val="105"/>
                        <w:sz w:val="13"/>
                      </w:rPr>
                      <w:t>Resultados</w:t>
                    </w:r>
                  </w:p>
                </w:txbxContent>
              </v:textbox>
              <w10:wrap type="none"/>
            </v:shape>
            <v:shape style="position:absolute;left:2617;top:-2430;width:1047;height:885" type="#_x0000_t202" filled="false" stroked="false">
              <v:textbox inset="0,0,0,0">
                <w:txbxContent>
                  <w:p>
                    <w:pPr>
                      <w:spacing w:line="261" w:lineRule="auto" w:before="98"/>
                      <w:ind w:left="101" w:right="104" w:firstLine="0"/>
                      <w:jc w:val="center"/>
                      <w:rPr>
                        <w:rFonts w:ascii="Microsoft Sans Serif"/>
                        <w:sz w:val="13"/>
                      </w:rPr>
                    </w:pPr>
                    <w:r>
                      <w:rPr>
                        <w:rFonts w:ascii="Microsoft Sans Serif"/>
                        <w:color w:val="231F20"/>
                        <w:w w:val="105"/>
                        <w:sz w:val="13"/>
                      </w:rPr>
                      <w:t>Redes de conocimiento (Resultados cualitativos)</w:t>
                    </w:r>
                  </w:p>
                </w:txbxContent>
              </v:textbox>
              <w10:wrap type="none"/>
            </v:shape>
            <w10:wrap type="none"/>
          </v:group>
        </w:pict>
      </w:r>
      <w:r>
        <w:rPr>
          <w:color w:val="231F20"/>
          <w:w w:val="105"/>
          <w:sz w:val="16"/>
        </w:rPr>
        <w:t>Fuente: Elaboración propia.</w:t>
      </w:r>
    </w:p>
    <w:p>
      <w:pPr>
        <w:pStyle w:val="BodyText"/>
        <w:rPr>
          <w:sz w:val="20"/>
        </w:rPr>
      </w:pPr>
    </w:p>
    <w:p>
      <w:pPr>
        <w:pStyle w:val="BodyText"/>
        <w:spacing w:before="2"/>
        <w:rPr>
          <w:sz w:val="29"/>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282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130</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5272"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131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20"/>
        <w:jc w:val="both"/>
      </w:pPr>
      <w:r>
        <w:rPr>
          <w:color w:val="231F20"/>
          <w:w w:val="105"/>
        </w:rPr>
        <w:t>En</w:t>
      </w:r>
      <w:r>
        <w:rPr>
          <w:color w:val="231F20"/>
          <w:spacing w:val="-23"/>
          <w:w w:val="105"/>
        </w:rPr>
        <w:t> </w:t>
      </w:r>
      <w:r>
        <w:rPr>
          <w:color w:val="231F20"/>
          <w:w w:val="105"/>
        </w:rPr>
        <w:t>suma,</w:t>
      </w:r>
      <w:r>
        <w:rPr>
          <w:color w:val="231F20"/>
          <w:spacing w:val="-29"/>
          <w:w w:val="105"/>
        </w:rPr>
        <w:t> </w:t>
      </w:r>
      <w:r>
        <w:rPr>
          <w:color w:val="231F20"/>
          <w:w w:val="105"/>
        </w:rPr>
        <w:t>esta</w:t>
      </w:r>
      <w:r>
        <w:rPr>
          <w:color w:val="231F20"/>
          <w:spacing w:val="-23"/>
          <w:w w:val="105"/>
        </w:rPr>
        <w:t> </w:t>
      </w:r>
      <w:r>
        <w:rPr>
          <w:color w:val="231F20"/>
          <w:w w:val="105"/>
        </w:rPr>
        <w:t>propuesta</w:t>
      </w:r>
      <w:r>
        <w:rPr>
          <w:color w:val="231F20"/>
          <w:spacing w:val="-23"/>
          <w:w w:val="105"/>
        </w:rPr>
        <w:t> </w:t>
      </w:r>
      <w:r>
        <w:rPr>
          <w:color w:val="231F20"/>
          <w:w w:val="105"/>
        </w:rPr>
        <w:t>expone</w:t>
      </w:r>
      <w:r>
        <w:rPr>
          <w:color w:val="231F20"/>
          <w:spacing w:val="-23"/>
          <w:w w:val="105"/>
        </w:rPr>
        <w:t> </w:t>
      </w:r>
      <w:r>
        <w:rPr>
          <w:color w:val="231F20"/>
          <w:w w:val="105"/>
        </w:rPr>
        <w:t>un</w:t>
      </w:r>
      <w:r>
        <w:rPr>
          <w:color w:val="231F20"/>
          <w:spacing w:val="-23"/>
          <w:w w:val="105"/>
        </w:rPr>
        <w:t> </w:t>
      </w:r>
      <w:r>
        <w:rPr>
          <w:color w:val="231F20"/>
          <w:w w:val="105"/>
        </w:rPr>
        <w:t>enfoque</w:t>
      </w:r>
      <w:r>
        <w:rPr>
          <w:color w:val="231F20"/>
          <w:spacing w:val="-23"/>
          <w:w w:val="105"/>
        </w:rPr>
        <w:t> </w:t>
      </w:r>
      <w:r>
        <w:rPr>
          <w:color w:val="231F20"/>
          <w:w w:val="105"/>
        </w:rPr>
        <w:t>diferente</w:t>
      </w:r>
      <w:r>
        <w:rPr>
          <w:color w:val="231F20"/>
          <w:spacing w:val="-23"/>
          <w:w w:val="105"/>
        </w:rPr>
        <w:t> </w:t>
      </w:r>
      <w:r>
        <w:rPr>
          <w:color w:val="231F20"/>
          <w:w w:val="105"/>
        </w:rPr>
        <w:t>y</w:t>
      </w:r>
      <w:r>
        <w:rPr>
          <w:color w:val="231F20"/>
          <w:spacing w:val="-23"/>
          <w:w w:val="105"/>
        </w:rPr>
        <w:t> </w:t>
      </w:r>
      <w:r>
        <w:rPr>
          <w:color w:val="231F20"/>
          <w:w w:val="105"/>
        </w:rPr>
        <w:t>complementario a</w:t>
      </w:r>
      <w:r>
        <w:rPr>
          <w:color w:val="231F20"/>
          <w:spacing w:val="-18"/>
          <w:w w:val="105"/>
        </w:rPr>
        <w:t> </w:t>
      </w:r>
      <w:r>
        <w:rPr>
          <w:color w:val="231F20"/>
          <w:w w:val="105"/>
        </w:rPr>
        <w:t>los</w:t>
      </w:r>
      <w:r>
        <w:rPr>
          <w:color w:val="231F20"/>
          <w:spacing w:val="-18"/>
          <w:w w:val="105"/>
        </w:rPr>
        <w:t> </w:t>
      </w:r>
      <w:r>
        <w:rPr>
          <w:color w:val="231F20"/>
          <w:w w:val="105"/>
        </w:rPr>
        <w:t>tradicionales</w:t>
      </w:r>
      <w:r>
        <w:rPr>
          <w:color w:val="231F20"/>
          <w:spacing w:val="-18"/>
          <w:w w:val="105"/>
        </w:rPr>
        <w:t> </w:t>
      </w:r>
      <w:r>
        <w:rPr>
          <w:color w:val="231F20"/>
          <w:w w:val="105"/>
        </w:rPr>
        <w:t>para</w:t>
      </w:r>
      <w:r>
        <w:rPr>
          <w:color w:val="231F20"/>
          <w:spacing w:val="-18"/>
          <w:w w:val="105"/>
        </w:rPr>
        <w:t> </w:t>
      </w:r>
      <w:r>
        <w:rPr>
          <w:color w:val="231F20"/>
          <w:w w:val="105"/>
        </w:rPr>
        <w:t>estudiar</w:t>
      </w:r>
      <w:r>
        <w:rPr>
          <w:color w:val="231F20"/>
          <w:spacing w:val="-18"/>
          <w:w w:val="105"/>
        </w:rPr>
        <w:t> </w:t>
      </w:r>
      <w:r>
        <w:rPr>
          <w:color w:val="231F20"/>
          <w:w w:val="105"/>
        </w:rPr>
        <w:t>cuantitativa</w:t>
      </w:r>
      <w:r>
        <w:rPr>
          <w:color w:val="231F20"/>
          <w:spacing w:val="-18"/>
          <w:w w:val="105"/>
        </w:rPr>
        <w:t> </w:t>
      </w:r>
      <w:r>
        <w:rPr>
          <w:color w:val="231F20"/>
          <w:w w:val="105"/>
        </w:rPr>
        <w:t>y</w:t>
      </w:r>
      <w:r>
        <w:rPr>
          <w:color w:val="231F20"/>
          <w:spacing w:val="-18"/>
          <w:w w:val="105"/>
        </w:rPr>
        <w:t> </w:t>
      </w:r>
      <w:r>
        <w:rPr>
          <w:color w:val="231F20"/>
          <w:w w:val="105"/>
        </w:rPr>
        <w:t>cualitativamente</w:t>
      </w:r>
      <w:r>
        <w:rPr>
          <w:color w:val="231F20"/>
          <w:spacing w:val="-18"/>
          <w:w w:val="105"/>
        </w:rPr>
        <w:t> </w:t>
      </w:r>
      <w:r>
        <w:rPr>
          <w:color w:val="231F20"/>
          <w:w w:val="105"/>
        </w:rPr>
        <w:t>las</w:t>
      </w:r>
      <w:r>
        <w:rPr>
          <w:color w:val="231F20"/>
          <w:spacing w:val="-18"/>
          <w:w w:val="105"/>
        </w:rPr>
        <w:t> </w:t>
      </w:r>
      <w:r>
        <w:rPr>
          <w:color w:val="231F20"/>
          <w:w w:val="105"/>
        </w:rPr>
        <w:t>redes y</w:t>
      </w:r>
      <w:r>
        <w:rPr>
          <w:color w:val="231F20"/>
          <w:spacing w:val="-4"/>
          <w:w w:val="105"/>
        </w:rPr>
        <w:t> </w:t>
      </w:r>
      <w:r>
        <w:rPr>
          <w:color w:val="231F20"/>
          <w:w w:val="105"/>
        </w:rPr>
        <w:t>el</w:t>
      </w:r>
      <w:r>
        <w:rPr>
          <w:color w:val="231F20"/>
          <w:spacing w:val="-4"/>
          <w:w w:val="105"/>
        </w:rPr>
        <w:t> </w:t>
      </w:r>
      <w:r>
        <w:rPr>
          <w:color w:val="231F20"/>
          <w:w w:val="105"/>
        </w:rPr>
        <w:t>conocimiento,</w:t>
      </w:r>
      <w:r>
        <w:rPr>
          <w:color w:val="231F20"/>
          <w:spacing w:val="-11"/>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es</w:t>
      </w:r>
      <w:r>
        <w:rPr>
          <w:color w:val="231F20"/>
          <w:spacing w:val="-4"/>
          <w:w w:val="105"/>
        </w:rPr>
        <w:t> </w:t>
      </w:r>
      <w:r>
        <w:rPr>
          <w:color w:val="231F20"/>
          <w:w w:val="105"/>
        </w:rPr>
        <w:t>posible</w:t>
      </w:r>
      <w:r>
        <w:rPr>
          <w:color w:val="231F20"/>
          <w:spacing w:val="-4"/>
          <w:w w:val="105"/>
        </w:rPr>
        <w:t> </w:t>
      </w:r>
      <w:r>
        <w:rPr>
          <w:color w:val="231F20"/>
          <w:w w:val="105"/>
        </w:rPr>
        <w:t>a</w:t>
      </w:r>
      <w:r>
        <w:rPr>
          <w:color w:val="231F20"/>
          <w:spacing w:val="-4"/>
          <w:w w:val="105"/>
        </w:rPr>
        <w:t> </w:t>
      </w:r>
      <w:r>
        <w:rPr>
          <w:color w:val="231F20"/>
          <w:w w:val="105"/>
        </w:rPr>
        <w:t>través</w:t>
      </w:r>
      <w:r>
        <w:rPr>
          <w:color w:val="231F20"/>
          <w:spacing w:val="-4"/>
          <w:w w:val="105"/>
        </w:rPr>
        <w:t> </w:t>
      </w:r>
      <w:r>
        <w:rPr>
          <w:color w:val="231F20"/>
          <w:w w:val="105"/>
        </w:rPr>
        <w:t>del</w:t>
      </w:r>
      <w:r>
        <w:rPr>
          <w:color w:val="231F20"/>
          <w:spacing w:val="-4"/>
          <w:w w:val="105"/>
        </w:rPr>
        <w:t> </w:t>
      </w:r>
      <w:r>
        <w:rPr>
          <w:color w:val="231F20"/>
          <w:w w:val="105"/>
        </w:rPr>
        <w:t>estudio</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conjunto de</w:t>
      </w:r>
      <w:r>
        <w:rPr>
          <w:color w:val="231F20"/>
          <w:spacing w:val="-28"/>
          <w:w w:val="105"/>
        </w:rPr>
        <w:t> </w:t>
      </w:r>
      <w:r>
        <w:rPr>
          <w:color w:val="231F20"/>
          <w:w w:val="105"/>
        </w:rPr>
        <w:t>aspectos</w:t>
      </w:r>
      <w:r>
        <w:rPr>
          <w:color w:val="231F20"/>
          <w:spacing w:val="-28"/>
          <w:w w:val="105"/>
        </w:rPr>
        <w:t> </w:t>
      </w:r>
      <w:r>
        <w:rPr>
          <w:color w:val="231F20"/>
          <w:w w:val="105"/>
        </w:rPr>
        <w:t>y</w:t>
      </w:r>
      <w:r>
        <w:rPr>
          <w:color w:val="231F20"/>
          <w:spacing w:val="-28"/>
          <w:w w:val="105"/>
        </w:rPr>
        <w:t> </w:t>
      </w:r>
      <w:r>
        <w:rPr>
          <w:color w:val="231F20"/>
          <w:w w:val="105"/>
        </w:rPr>
        <w:t>niveles</w:t>
      </w:r>
      <w:r>
        <w:rPr>
          <w:color w:val="231F20"/>
          <w:spacing w:val="-28"/>
          <w:w w:val="105"/>
        </w:rPr>
        <w:t> </w:t>
      </w:r>
      <w:r>
        <w:rPr>
          <w:color w:val="231F20"/>
          <w:w w:val="105"/>
        </w:rPr>
        <w:t>de</w:t>
      </w:r>
      <w:r>
        <w:rPr>
          <w:color w:val="231F20"/>
          <w:spacing w:val="-28"/>
          <w:w w:val="105"/>
        </w:rPr>
        <w:t> </w:t>
      </w:r>
      <w:r>
        <w:rPr>
          <w:color w:val="231F20"/>
          <w:w w:val="105"/>
        </w:rPr>
        <w:t>análisis.</w:t>
      </w:r>
    </w:p>
    <w:p>
      <w:pPr>
        <w:pStyle w:val="BodyText"/>
        <w:rPr>
          <w:sz w:val="20"/>
        </w:rPr>
      </w:pPr>
    </w:p>
    <w:p>
      <w:pPr>
        <w:pStyle w:val="BodyText"/>
        <w:spacing w:before="7"/>
        <w:rPr>
          <w:sz w:val="18"/>
        </w:rPr>
      </w:pPr>
    </w:p>
    <w:p>
      <w:pPr>
        <w:pStyle w:val="Heading2"/>
      </w:pPr>
      <w:r>
        <w:rPr>
          <w:color w:val="231F20"/>
          <w:w w:val="95"/>
        </w:rPr>
        <w:t>Reflexión final</w:t>
      </w:r>
    </w:p>
    <w:p>
      <w:pPr>
        <w:pStyle w:val="BodyText"/>
        <w:rPr>
          <w:b/>
          <w:sz w:val="22"/>
        </w:rPr>
      </w:pPr>
    </w:p>
    <w:p>
      <w:pPr>
        <w:pStyle w:val="BodyText"/>
        <w:spacing w:line="259" w:lineRule="auto" w:before="160"/>
        <w:ind w:left="77" w:right="115"/>
        <w:jc w:val="right"/>
      </w:pP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economía</w:t>
      </w:r>
      <w:r>
        <w:rPr>
          <w:color w:val="231F20"/>
          <w:spacing w:val="-11"/>
          <w:w w:val="105"/>
        </w:rPr>
        <w:t> </w:t>
      </w:r>
      <w:r>
        <w:rPr>
          <w:color w:val="231F20"/>
          <w:w w:val="105"/>
        </w:rPr>
        <w:t>del</w:t>
      </w:r>
      <w:r>
        <w:rPr>
          <w:color w:val="231F20"/>
          <w:spacing w:val="-11"/>
          <w:w w:val="105"/>
        </w:rPr>
        <w:t> </w:t>
      </w:r>
      <w:r>
        <w:rPr>
          <w:color w:val="231F20"/>
          <w:w w:val="105"/>
        </w:rPr>
        <w:t>conocimiento</w:t>
      </w:r>
      <w:r>
        <w:rPr>
          <w:color w:val="231F20"/>
          <w:spacing w:val="-11"/>
          <w:w w:val="105"/>
        </w:rPr>
        <w:t> </w:t>
      </w:r>
      <w:r>
        <w:rPr>
          <w:color w:val="231F20"/>
          <w:spacing w:val="-3"/>
          <w:w w:val="105"/>
        </w:rPr>
        <w:t>crear</w:t>
      </w:r>
      <w:r>
        <w:rPr>
          <w:color w:val="231F20"/>
          <w:spacing w:val="-11"/>
          <w:w w:val="105"/>
        </w:rPr>
        <w:t> </w:t>
      </w:r>
      <w:r>
        <w:rPr>
          <w:color w:val="231F20"/>
          <w:w w:val="105"/>
        </w:rPr>
        <w:t>y</w:t>
      </w:r>
      <w:r>
        <w:rPr>
          <w:color w:val="231F20"/>
          <w:spacing w:val="-11"/>
          <w:w w:val="105"/>
        </w:rPr>
        <w:t> </w:t>
      </w:r>
      <w:r>
        <w:rPr>
          <w:color w:val="231F20"/>
          <w:w w:val="105"/>
        </w:rPr>
        <w:t>transmitir</w:t>
      </w:r>
      <w:r>
        <w:rPr>
          <w:color w:val="231F20"/>
          <w:spacing w:val="-11"/>
          <w:w w:val="105"/>
        </w:rPr>
        <w:t> </w:t>
      </w:r>
      <w:r>
        <w:rPr>
          <w:color w:val="231F20"/>
          <w:w w:val="105"/>
        </w:rPr>
        <w:t>capa-</w:t>
      </w:r>
      <w:r>
        <w:rPr>
          <w:color w:val="231F20"/>
          <w:w w:val="96"/>
        </w:rPr>
        <w:t> </w:t>
      </w:r>
      <w:r>
        <w:rPr>
          <w:color w:val="231F20"/>
          <w:w w:val="105"/>
        </w:rPr>
        <w:t>cidades</w:t>
      </w:r>
      <w:r>
        <w:rPr>
          <w:color w:val="231F20"/>
          <w:spacing w:val="-25"/>
          <w:w w:val="105"/>
        </w:rPr>
        <w:t> </w:t>
      </w:r>
      <w:r>
        <w:rPr>
          <w:color w:val="231F20"/>
          <w:w w:val="105"/>
        </w:rPr>
        <w:t>cognitivas</w:t>
      </w:r>
      <w:r>
        <w:rPr>
          <w:color w:val="231F20"/>
          <w:spacing w:val="-25"/>
          <w:w w:val="105"/>
        </w:rPr>
        <w:t> </w:t>
      </w:r>
      <w:r>
        <w:rPr>
          <w:color w:val="231F20"/>
          <w:spacing w:val="-3"/>
          <w:w w:val="105"/>
        </w:rPr>
        <w:t>entre</w:t>
      </w:r>
      <w:r>
        <w:rPr>
          <w:color w:val="231F20"/>
          <w:spacing w:val="-25"/>
          <w:w w:val="105"/>
        </w:rPr>
        <w:t> </w:t>
      </w:r>
      <w:r>
        <w:rPr>
          <w:color w:val="231F20"/>
          <w:spacing w:val="-3"/>
          <w:w w:val="105"/>
        </w:rPr>
        <w:t>actores</w:t>
      </w:r>
      <w:r>
        <w:rPr>
          <w:color w:val="231F20"/>
          <w:spacing w:val="-25"/>
          <w:w w:val="105"/>
        </w:rPr>
        <w:t> </w:t>
      </w:r>
      <w:r>
        <w:rPr>
          <w:color w:val="231F20"/>
          <w:spacing w:val="-3"/>
          <w:w w:val="105"/>
        </w:rPr>
        <w:t>heterogéneos</w:t>
      </w:r>
      <w:r>
        <w:rPr>
          <w:color w:val="231F20"/>
          <w:spacing w:val="-25"/>
          <w:w w:val="105"/>
        </w:rPr>
        <w:t> </w:t>
      </w:r>
      <w:r>
        <w:rPr>
          <w:color w:val="231F20"/>
          <w:w w:val="105"/>
        </w:rPr>
        <w:t>asume</w:t>
      </w:r>
      <w:r>
        <w:rPr>
          <w:color w:val="231F20"/>
          <w:spacing w:val="-25"/>
          <w:w w:val="105"/>
        </w:rPr>
        <w:t> </w:t>
      </w:r>
      <w:r>
        <w:rPr>
          <w:color w:val="231F20"/>
          <w:w w:val="105"/>
        </w:rPr>
        <w:t>gran</w:t>
      </w:r>
      <w:r>
        <w:rPr>
          <w:color w:val="231F20"/>
          <w:spacing w:val="-25"/>
          <w:w w:val="105"/>
        </w:rPr>
        <w:t> </w:t>
      </w:r>
      <w:r>
        <w:rPr>
          <w:color w:val="231F20"/>
          <w:spacing w:val="-2"/>
          <w:w w:val="105"/>
        </w:rPr>
        <w:t>transcenden-</w:t>
      </w:r>
      <w:r>
        <w:rPr>
          <w:color w:val="231F20"/>
          <w:w w:val="96"/>
        </w:rPr>
        <w:t> </w:t>
      </w:r>
      <w:r>
        <w:rPr>
          <w:color w:val="231F20"/>
          <w:w w:val="105"/>
        </w:rPr>
        <w:t>cia; sin </w:t>
      </w:r>
      <w:r>
        <w:rPr>
          <w:color w:val="231F20"/>
          <w:spacing w:val="-3"/>
          <w:w w:val="105"/>
        </w:rPr>
        <w:t>embargo, </w:t>
      </w:r>
      <w:r>
        <w:rPr>
          <w:color w:val="231F20"/>
          <w:w w:val="105"/>
        </w:rPr>
        <w:t>no existen esquemas teóricos que</w:t>
      </w:r>
      <w:r>
        <w:rPr>
          <w:color w:val="231F20"/>
          <w:spacing w:val="25"/>
          <w:w w:val="105"/>
        </w:rPr>
        <w:t> </w:t>
      </w:r>
      <w:r>
        <w:rPr>
          <w:color w:val="231F20"/>
          <w:spacing w:val="-3"/>
          <w:w w:val="105"/>
        </w:rPr>
        <w:t>arrojen</w:t>
      </w:r>
      <w:r>
        <w:rPr>
          <w:color w:val="231F20"/>
          <w:spacing w:val="3"/>
          <w:w w:val="105"/>
        </w:rPr>
        <w:t> </w:t>
      </w:r>
      <w:r>
        <w:rPr>
          <w:color w:val="231F20"/>
          <w:spacing w:val="-3"/>
          <w:w w:val="105"/>
        </w:rPr>
        <w:t>resultados</w:t>
      </w:r>
      <w:r>
        <w:rPr>
          <w:color w:val="231F20"/>
          <w:spacing w:val="-2"/>
          <w:w w:val="102"/>
        </w:rPr>
        <w:t> </w:t>
      </w:r>
      <w:r>
        <w:rPr>
          <w:color w:val="231F20"/>
          <w:spacing w:val="-2"/>
          <w:w w:val="105"/>
        </w:rPr>
        <w:t>cualitativos</w:t>
      </w:r>
      <w:r>
        <w:rPr>
          <w:color w:val="231F20"/>
          <w:spacing w:val="-12"/>
          <w:w w:val="105"/>
        </w:rPr>
        <w:t> </w:t>
      </w:r>
      <w:r>
        <w:rPr>
          <w:color w:val="231F20"/>
          <w:w w:val="105"/>
        </w:rPr>
        <w:t>y</w:t>
      </w:r>
      <w:r>
        <w:rPr>
          <w:color w:val="231F20"/>
          <w:spacing w:val="-12"/>
          <w:w w:val="105"/>
        </w:rPr>
        <w:t> </w:t>
      </w:r>
      <w:r>
        <w:rPr>
          <w:color w:val="231F20"/>
          <w:spacing w:val="-2"/>
          <w:w w:val="105"/>
        </w:rPr>
        <w:t>cuantitativos</w:t>
      </w:r>
      <w:r>
        <w:rPr>
          <w:color w:val="231F20"/>
          <w:spacing w:val="-12"/>
          <w:w w:val="105"/>
        </w:rPr>
        <w:t> </w:t>
      </w:r>
      <w:r>
        <w:rPr>
          <w:color w:val="231F20"/>
          <w:spacing w:val="-3"/>
          <w:w w:val="105"/>
        </w:rPr>
        <w:t>respecto</w:t>
      </w:r>
      <w:r>
        <w:rPr>
          <w:color w:val="231F20"/>
          <w:spacing w:val="-12"/>
          <w:w w:val="105"/>
        </w:rPr>
        <w:t> </w:t>
      </w:r>
      <w:r>
        <w:rPr>
          <w:color w:val="231F20"/>
          <w:w w:val="105"/>
        </w:rPr>
        <w:t>al</w:t>
      </w:r>
      <w:r>
        <w:rPr>
          <w:color w:val="231F20"/>
          <w:spacing w:val="-12"/>
          <w:w w:val="105"/>
        </w:rPr>
        <w:t> </w:t>
      </w:r>
      <w:r>
        <w:rPr>
          <w:color w:val="231F20"/>
          <w:w w:val="105"/>
        </w:rPr>
        <w:t>estudio</w:t>
      </w:r>
      <w:r>
        <w:rPr>
          <w:color w:val="231F20"/>
          <w:spacing w:val="-12"/>
          <w:w w:val="105"/>
        </w:rPr>
        <w:t> </w:t>
      </w:r>
      <w:r>
        <w:rPr>
          <w:color w:val="231F20"/>
          <w:w w:val="105"/>
        </w:rPr>
        <w:t>conjunto</w:t>
      </w:r>
      <w:r>
        <w:rPr>
          <w:color w:val="231F20"/>
          <w:spacing w:val="-12"/>
          <w:w w:val="105"/>
        </w:rPr>
        <w:t> </w:t>
      </w:r>
      <w:r>
        <w:rPr>
          <w:color w:val="231F20"/>
          <w:w w:val="105"/>
        </w:rPr>
        <w:t>de</w:t>
      </w:r>
      <w:r>
        <w:rPr>
          <w:color w:val="231F20"/>
          <w:spacing w:val="-12"/>
          <w:w w:val="105"/>
        </w:rPr>
        <w:t> </w:t>
      </w:r>
      <w:r>
        <w:rPr>
          <w:color w:val="231F20"/>
          <w:spacing w:val="-3"/>
          <w:w w:val="105"/>
        </w:rPr>
        <w:t>redes</w:t>
      </w:r>
      <w:r>
        <w:rPr>
          <w:color w:val="231F20"/>
          <w:spacing w:val="-12"/>
          <w:w w:val="105"/>
        </w:rPr>
        <w:t> </w:t>
      </w:r>
      <w:r>
        <w:rPr>
          <w:color w:val="231F20"/>
          <w:w w:val="105"/>
        </w:rPr>
        <w:t>y</w:t>
      </w:r>
      <w:r>
        <w:rPr>
          <w:color w:val="231F20"/>
          <w:spacing w:val="-12"/>
          <w:w w:val="105"/>
        </w:rPr>
        <w:t> </w:t>
      </w:r>
      <w:r>
        <w:rPr>
          <w:color w:val="231F20"/>
          <w:w w:val="105"/>
        </w:rPr>
        <w:t>cono-</w:t>
      </w:r>
      <w:r>
        <w:rPr>
          <w:color w:val="231F20"/>
          <w:w w:val="96"/>
        </w:rPr>
        <w:t> </w:t>
      </w:r>
      <w:r>
        <w:rPr>
          <w:color w:val="231F20"/>
          <w:spacing w:val="-2"/>
          <w:w w:val="105"/>
        </w:rPr>
        <w:t>cimiento.</w:t>
      </w:r>
      <w:r>
        <w:rPr>
          <w:color w:val="231F20"/>
          <w:spacing w:val="-24"/>
          <w:w w:val="105"/>
        </w:rPr>
        <w:t> </w:t>
      </w:r>
      <w:r>
        <w:rPr>
          <w:color w:val="231F20"/>
          <w:w w:val="105"/>
        </w:rPr>
        <w:t>Bajo</w:t>
      </w:r>
      <w:r>
        <w:rPr>
          <w:color w:val="231F20"/>
          <w:spacing w:val="-19"/>
          <w:w w:val="105"/>
        </w:rPr>
        <w:t> </w:t>
      </w:r>
      <w:r>
        <w:rPr>
          <w:color w:val="231F20"/>
          <w:w w:val="105"/>
        </w:rPr>
        <w:t>esta</w:t>
      </w:r>
      <w:r>
        <w:rPr>
          <w:color w:val="231F20"/>
          <w:spacing w:val="-19"/>
          <w:w w:val="105"/>
        </w:rPr>
        <w:t> </w:t>
      </w:r>
      <w:r>
        <w:rPr>
          <w:color w:val="231F20"/>
          <w:spacing w:val="-3"/>
          <w:w w:val="105"/>
        </w:rPr>
        <w:t>circunstancia</w:t>
      </w:r>
      <w:r>
        <w:rPr>
          <w:color w:val="231F20"/>
          <w:spacing w:val="-19"/>
          <w:w w:val="105"/>
        </w:rPr>
        <w:t> </w:t>
      </w:r>
      <w:r>
        <w:rPr>
          <w:color w:val="231F20"/>
          <w:w w:val="105"/>
        </w:rPr>
        <w:t>se</w:t>
      </w:r>
      <w:r>
        <w:rPr>
          <w:color w:val="231F20"/>
          <w:spacing w:val="-19"/>
          <w:w w:val="105"/>
        </w:rPr>
        <w:t> </w:t>
      </w:r>
      <w:r>
        <w:rPr>
          <w:color w:val="231F20"/>
          <w:spacing w:val="-3"/>
          <w:w w:val="105"/>
        </w:rPr>
        <w:t>propone</w:t>
      </w:r>
      <w:r>
        <w:rPr>
          <w:color w:val="231F20"/>
          <w:spacing w:val="-19"/>
          <w:w w:val="105"/>
        </w:rPr>
        <w:t> </w:t>
      </w:r>
      <w:r>
        <w:rPr>
          <w:color w:val="231F20"/>
          <w:w w:val="105"/>
        </w:rPr>
        <w:t>construir</w:t>
      </w:r>
      <w:r>
        <w:rPr>
          <w:color w:val="231F20"/>
          <w:spacing w:val="-19"/>
          <w:w w:val="105"/>
        </w:rPr>
        <w:t> </w:t>
      </w:r>
      <w:r>
        <w:rPr>
          <w:color w:val="231F20"/>
          <w:w w:val="105"/>
        </w:rPr>
        <w:t>un</w:t>
      </w:r>
      <w:r>
        <w:rPr>
          <w:color w:val="231F20"/>
          <w:spacing w:val="-19"/>
          <w:w w:val="105"/>
        </w:rPr>
        <w:t> </w:t>
      </w:r>
      <w:r>
        <w:rPr>
          <w:color w:val="231F20"/>
          <w:spacing w:val="-3"/>
          <w:w w:val="105"/>
        </w:rPr>
        <w:t>marco</w:t>
      </w:r>
      <w:r>
        <w:rPr>
          <w:color w:val="231F20"/>
          <w:spacing w:val="-19"/>
          <w:w w:val="105"/>
        </w:rPr>
        <w:t> </w:t>
      </w:r>
      <w:r>
        <w:rPr>
          <w:color w:val="231F20"/>
          <w:w w:val="105"/>
        </w:rPr>
        <w:t>metodo-</w:t>
      </w:r>
      <w:r>
        <w:rPr>
          <w:color w:val="231F20"/>
          <w:w w:val="96"/>
        </w:rPr>
        <w:t> </w:t>
      </w:r>
      <w:r>
        <w:rPr>
          <w:color w:val="231F20"/>
          <w:w w:val="105"/>
        </w:rPr>
        <w:t>lógico</w:t>
      </w:r>
      <w:r>
        <w:rPr>
          <w:color w:val="231F20"/>
          <w:spacing w:val="-8"/>
          <w:w w:val="105"/>
        </w:rPr>
        <w:t> </w:t>
      </w:r>
      <w:r>
        <w:rPr>
          <w:color w:val="231F20"/>
          <w:w w:val="105"/>
        </w:rPr>
        <w:t>que</w:t>
      </w:r>
      <w:r>
        <w:rPr>
          <w:color w:val="231F20"/>
          <w:spacing w:val="-8"/>
          <w:w w:val="105"/>
        </w:rPr>
        <w:t> </w:t>
      </w:r>
      <w:r>
        <w:rPr>
          <w:color w:val="231F20"/>
          <w:w w:val="105"/>
        </w:rPr>
        <w:t>permita</w:t>
      </w:r>
      <w:r>
        <w:rPr>
          <w:color w:val="231F20"/>
          <w:spacing w:val="-8"/>
          <w:w w:val="105"/>
        </w:rPr>
        <w:t> </w:t>
      </w:r>
      <w:r>
        <w:rPr>
          <w:color w:val="231F20"/>
          <w:w w:val="105"/>
        </w:rPr>
        <w:t>estudiar</w:t>
      </w:r>
      <w:r>
        <w:rPr>
          <w:color w:val="231F20"/>
          <w:spacing w:val="-8"/>
          <w:w w:val="105"/>
        </w:rPr>
        <w:t> </w:t>
      </w:r>
      <w:r>
        <w:rPr>
          <w:color w:val="231F20"/>
          <w:w w:val="105"/>
        </w:rPr>
        <w:t>tales</w:t>
      </w:r>
      <w:r>
        <w:rPr>
          <w:color w:val="231F20"/>
          <w:spacing w:val="-8"/>
          <w:w w:val="105"/>
        </w:rPr>
        <w:t> </w:t>
      </w:r>
      <w:r>
        <w:rPr>
          <w:color w:val="231F20"/>
          <w:w w:val="105"/>
        </w:rPr>
        <w:t>aspectos</w:t>
      </w:r>
      <w:r>
        <w:rPr>
          <w:color w:val="231F20"/>
          <w:spacing w:val="-8"/>
          <w:w w:val="105"/>
        </w:rPr>
        <w:t> </w:t>
      </w:r>
      <w:r>
        <w:rPr>
          <w:color w:val="231F20"/>
          <w:w w:val="105"/>
        </w:rPr>
        <w:t>mediante</w:t>
      </w:r>
      <w:r>
        <w:rPr>
          <w:color w:val="231F20"/>
          <w:spacing w:val="-8"/>
          <w:w w:val="105"/>
        </w:rPr>
        <w:t> </w:t>
      </w:r>
      <w:r>
        <w:rPr>
          <w:color w:val="231F20"/>
          <w:w w:val="105"/>
        </w:rPr>
        <w:t>el</w:t>
      </w:r>
      <w:r>
        <w:rPr>
          <w:color w:val="231F20"/>
          <w:spacing w:val="-11"/>
          <w:w w:val="105"/>
        </w:rPr>
        <w:t> </w:t>
      </w:r>
      <w:r>
        <w:rPr>
          <w:color w:val="231F20"/>
          <w:w w:val="105"/>
        </w:rPr>
        <w:t>ARS</w:t>
      </w:r>
      <w:r>
        <w:rPr>
          <w:color w:val="231F20"/>
          <w:spacing w:val="-8"/>
          <w:w w:val="105"/>
        </w:rPr>
        <w:t> </w:t>
      </w:r>
      <w:r>
        <w:rPr>
          <w:color w:val="231F20"/>
          <w:w w:val="105"/>
        </w:rPr>
        <w:t>y</w:t>
      </w:r>
      <w:r>
        <w:rPr>
          <w:color w:val="231F20"/>
          <w:spacing w:val="-8"/>
          <w:w w:val="105"/>
        </w:rPr>
        <w:t> </w:t>
      </w:r>
      <w:r>
        <w:rPr>
          <w:color w:val="231F20"/>
          <w:w w:val="105"/>
        </w:rPr>
        <w:t>aspectos</w:t>
      </w:r>
      <w:r>
        <w:rPr>
          <w:color w:val="231F20"/>
          <w:spacing w:val="-2"/>
          <w:w w:val="101"/>
        </w:rPr>
        <w:t> </w:t>
      </w:r>
      <w:r>
        <w:rPr>
          <w:color w:val="231F20"/>
          <w:spacing w:val="-3"/>
          <w:w w:val="105"/>
        </w:rPr>
        <w:t>provenientes</w:t>
      </w:r>
      <w:r>
        <w:rPr>
          <w:color w:val="231F20"/>
          <w:spacing w:val="-25"/>
          <w:w w:val="105"/>
        </w:rPr>
        <w:t> </w:t>
      </w:r>
      <w:r>
        <w:rPr>
          <w:color w:val="231F20"/>
          <w:w w:val="105"/>
        </w:rPr>
        <w:t>de</w:t>
      </w:r>
      <w:r>
        <w:rPr>
          <w:color w:val="231F20"/>
          <w:spacing w:val="-25"/>
          <w:w w:val="105"/>
        </w:rPr>
        <w:t> </w:t>
      </w:r>
      <w:r>
        <w:rPr>
          <w:color w:val="231F20"/>
          <w:w w:val="105"/>
        </w:rPr>
        <w:t>estudios</w:t>
      </w:r>
      <w:r>
        <w:rPr>
          <w:color w:val="231F20"/>
          <w:spacing w:val="-25"/>
          <w:w w:val="105"/>
        </w:rPr>
        <w:t> </w:t>
      </w:r>
      <w:r>
        <w:rPr>
          <w:color w:val="231F20"/>
          <w:spacing w:val="-2"/>
          <w:w w:val="105"/>
        </w:rPr>
        <w:t>cualitativos</w:t>
      </w:r>
      <w:r>
        <w:rPr>
          <w:color w:val="231F20"/>
          <w:spacing w:val="-25"/>
          <w:w w:val="105"/>
        </w:rPr>
        <w:t> </w:t>
      </w:r>
      <w:r>
        <w:rPr>
          <w:color w:val="231F20"/>
          <w:spacing w:val="-3"/>
          <w:w w:val="105"/>
        </w:rPr>
        <w:t>sobre</w:t>
      </w:r>
      <w:r>
        <w:rPr>
          <w:color w:val="231F20"/>
          <w:spacing w:val="-25"/>
          <w:w w:val="105"/>
        </w:rPr>
        <w:t> </w:t>
      </w:r>
      <w:r>
        <w:rPr>
          <w:color w:val="231F20"/>
          <w:spacing w:val="-3"/>
          <w:w w:val="105"/>
        </w:rPr>
        <w:t>sobre</w:t>
      </w:r>
      <w:r>
        <w:rPr>
          <w:color w:val="231F20"/>
          <w:spacing w:val="-25"/>
          <w:w w:val="105"/>
        </w:rPr>
        <w:t> </w:t>
      </w:r>
      <w:r>
        <w:rPr>
          <w:color w:val="231F20"/>
          <w:spacing w:val="-3"/>
          <w:w w:val="105"/>
        </w:rPr>
        <w:t>redes</w:t>
      </w:r>
      <w:r>
        <w:rPr>
          <w:color w:val="231F20"/>
          <w:spacing w:val="-25"/>
          <w:w w:val="105"/>
        </w:rPr>
        <w:t> </w:t>
      </w:r>
      <w:r>
        <w:rPr>
          <w:color w:val="231F20"/>
          <w:w w:val="105"/>
        </w:rPr>
        <w:t>de</w:t>
      </w:r>
      <w:r>
        <w:rPr>
          <w:color w:val="231F20"/>
          <w:spacing w:val="-25"/>
          <w:w w:val="105"/>
        </w:rPr>
        <w:t> </w:t>
      </w:r>
      <w:r>
        <w:rPr>
          <w:color w:val="231F20"/>
          <w:w w:val="105"/>
        </w:rPr>
        <w:t>conocimiento.</w:t>
      </w:r>
      <w:r>
        <w:rPr>
          <w:color w:val="231F20"/>
          <w:w w:val="93"/>
        </w:rPr>
        <w:t> </w:t>
      </w:r>
      <w:r>
        <w:rPr>
          <w:color w:val="231F20"/>
          <w:w w:val="105"/>
        </w:rPr>
        <w:t>Como</w:t>
      </w:r>
      <w:r>
        <w:rPr>
          <w:color w:val="231F20"/>
          <w:spacing w:val="-22"/>
          <w:w w:val="105"/>
        </w:rPr>
        <w:t> </w:t>
      </w:r>
      <w:r>
        <w:rPr>
          <w:color w:val="231F20"/>
          <w:w w:val="105"/>
        </w:rPr>
        <w:t>fue</w:t>
      </w:r>
      <w:r>
        <w:rPr>
          <w:color w:val="231F20"/>
          <w:spacing w:val="-22"/>
          <w:w w:val="105"/>
        </w:rPr>
        <w:t> </w:t>
      </w:r>
      <w:r>
        <w:rPr>
          <w:color w:val="231F20"/>
          <w:w w:val="105"/>
        </w:rPr>
        <w:t>planteado</w:t>
      </w:r>
      <w:r>
        <w:rPr>
          <w:color w:val="231F20"/>
          <w:spacing w:val="-22"/>
          <w:w w:val="105"/>
        </w:rPr>
        <w:t> </w:t>
      </w:r>
      <w:r>
        <w:rPr>
          <w:color w:val="231F20"/>
          <w:w w:val="105"/>
        </w:rPr>
        <w:t>a</w:t>
      </w:r>
      <w:r>
        <w:rPr>
          <w:color w:val="231F20"/>
          <w:spacing w:val="-22"/>
          <w:w w:val="105"/>
        </w:rPr>
        <w:t> </w:t>
      </w:r>
      <w:r>
        <w:rPr>
          <w:color w:val="231F20"/>
          <w:w w:val="105"/>
        </w:rPr>
        <w:t>lo</w:t>
      </w:r>
      <w:r>
        <w:rPr>
          <w:color w:val="231F20"/>
          <w:spacing w:val="-22"/>
          <w:w w:val="105"/>
        </w:rPr>
        <w:t> </w:t>
      </w:r>
      <w:r>
        <w:rPr>
          <w:color w:val="231F20"/>
          <w:w w:val="105"/>
        </w:rPr>
        <w:t>largo</w:t>
      </w:r>
      <w:r>
        <w:rPr>
          <w:color w:val="231F20"/>
          <w:spacing w:val="-22"/>
          <w:w w:val="105"/>
        </w:rPr>
        <w:t> </w:t>
      </w:r>
      <w:r>
        <w:rPr>
          <w:color w:val="231F20"/>
          <w:w w:val="105"/>
        </w:rPr>
        <w:t>del</w:t>
      </w:r>
      <w:r>
        <w:rPr>
          <w:color w:val="231F20"/>
          <w:spacing w:val="-25"/>
          <w:w w:val="105"/>
        </w:rPr>
        <w:t> </w:t>
      </w:r>
      <w:r>
        <w:rPr>
          <w:color w:val="231F20"/>
          <w:w w:val="105"/>
        </w:rPr>
        <w:t>ARS,</w:t>
      </w:r>
      <w:r>
        <w:rPr>
          <w:color w:val="231F20"/>
          <w:spacing w:val="-27"/>
          <w:w w:val="105"/>
        </w:rPr>
        <w:t> </w:t>
      </w:r>
      <w:r>
        <w:rPr>
          <w:color w:val="231F20"/>
          <w:w w:val="105"/>
        </w:rPr>
        <w:t>se</w:t>
      </w:r>
      <w:r>
        <w:rPr>
          <w:color w:val="231F20"/>
          <w:spacing w:val="-22"/>
          <w:w w:val="105"/>
        </w:rPr>
        <w:t> </w:t>
      </w:r>
      <w:r>
        <w:rPr>
          <w:color w:val="231F20"/>
          <w:w w:val="105"/>
        </w:rPr>
        <w:t>sugiere</w:t>
      </w:r>
      <w:r>
        <w:rPr>
          <w:color w:val="231F20"/>
          <w:spacing w:val="-22"/>
          <w:w w:val="105"/>
        </w:rPr>
        <w:t> </w:t>
      </w:r>
      <w:r>
        <w:rPr>
          <w:color w:val="231F20"/>
          <w:w w:val="105"/>
        </w:rPr>
        <w:t>calcular</w:t>
      </w:r>
      <w:r>
        <w:rPr>
          <w:color w:val="231F20"/>
          <w:spacing w:val="-22"/>
          <w:w w:val="105"/>
        </w:rPr>
        <w:t> </w:t>
      </w:r>
      <w:r>
        <w:rPr>
          <w:color w:val="231F20"/>
          <w:w w:val="105"/>
        </w:rPr>
        <w:t>los</w:t>
      </w:r>
      <w:r>
        <w:rPr>
          <w:color w:val="231F20"/>
          <w:spacing w:val="-22"/>
          <w:w w:val="105"/>
        </w:rPr>
        <w:t> </w:t>
      </w:r>
      <w:r>
        <w:rPr>
          <w:color w:val="231F20"/>
          <w:w w:val="105"/>
        </w:rPr>
        <w:t>indi-</w:t>
      </w:r>
      <w:r>
        <w:rPr>
          <w:color w:val="231F20"/>
          <w:w w:val="96"/>
        </w:rPr>
        <w:t> </w:t>
      </w:r>
      <w:r>
        <w:rPr>
          <w:color w:val="231F20"/>
          <w:w w:val="105"/>
        </w:rPr>
        <w:t>cadores</w:t>
      </w:r>
      <w:r>
        <w:rPr>
          <w:color w:val="231F20"/>
          <w:spacing w:val="-22"/>
          <w:w w:val="105"/>
        </w:rPr>
        <w:t> </w:t>
      </w:r>
      <w:r>
        <w:rPr>
          <w:color w:val="231F20"/>
          <w:w w:val="105"/>
        </w:rPr>
        <w:t>estructurales</w:t>
      </w:r>
      <w:r>
        <w:rPr>
          <w:color w:val="231F20"/>
          <w:spacing w:val="-22"/>
          <w:w w:val="105"/>
        </w:rPr>
        <w:t> </w:t>
      </w:r>
      <w:r>
        <w:rPr>
          <w:color w:val="231F20"/>
          <w:w w:val="105"/>
        </w:rPr>
        <w:t>y</w:t>
      </w:r>
      <w:r>
        <w:rPr>
          <w:color w:val="231F20"/>
          <w:spacing w:val="-22"/>
          <w:w w:val="105"/>
        </w:rPr>
        <w:t> </w:t>
      </w:r>
      <w:r>
        <w:rPr>
          <w:color w:val="231F20"/>
          <w:w w:val="105"/>
        </w:rPr>
        <w:t>posicionales</w:t>
      </w:r>
      <w:r>
        <w:rPr>
          <w:color w:val="231F20"/>
          <w:spacing w:val="-22"/>
          <w:w w:val="105"/>
        </w:rPr>
        <w:t> </w:t>
      </w:r>
      <w:r>
        <w:rPr>
          <w:color w:val="231F20"/>
          <w:w w:val="105"/>
        </w:rPr>
        <w:t>con</w:t>
      </w:r>
      <w:r>
        <w:rPr>
          <w:color w:val="231F20"/>
          <w:spacing w:val="-22"/>
          <w:w w:val="105"/>
        </w:rPr>
        <w:t> </w:t>
      </w:r>
      <w:r>
        <w:rPr>
          <w:color w:val="231F20"/>
          <w:w w:val="105"/>
        </w:rPr>
        <w:t>la</w:t>
      </w:r>
      <w:r>
        <w:rPr>
          <w:color w:val="231F20"/>
          <w:spacing w:val="-22"/>
          <w:w w:val="105"/>
        </w:rPr>
        <w:t> </w:t>
      </w:r>
      <w:r>
        <w:rPr>
          <w:color w:val="231F20"/>
          <w:w w:val="105"/>
        </w:rPr>
        <w:t>finalidad</w:t>
      </w:r>
      <w:r>
        <w:rPr>
          <w:color w:val="231F20"/>
          <w:spacing w:val="-22"/>
          <w:w w:val="105"/>
        </w:rPr>
        <w:t> </w:t>
      </w:r>
      <w:r>
        <w:rPr>
          <w:color w:val="231F20"/>
          <w:w w:val="105"/>
        </w:rPr>
        <w:t>de</w:t>
      </w:r>
      <w:r>
        <w:rPr>
          <w:color w:val="231F20"/>
          <w:spacing w:val="-22"/>
          <w:w w:val="105"/>
        </w:rPr>
        <w:t> </w:t>
      </w:r>
      <w:r>
        <w:rPr>
          <w:color w:val="231F20"/>
          <w:w w:val="105"/>
        </w:rPr>
        <w:t>mostrar</w:t>
      </w:r>
      <w:r>
        <w:rPr>
          <w:color w:val="231F20"/>
          <w:spacing w:val="-22"/>
          <w:w w:val="105"/>
        </w:rPr>
        <w:t> </w:t>
      </w:r>
      <w:r>
        <w:rPr>
          <w:color w:val="231F20"/>
          <w:w w:val="105"/>
        </w:rPr>
        <w:t>cuantita-</w:t>
      </w:r>
      <w:r>
        <w:rPr>
          <w:color w:val="231F20"/>
          <w:w w:val="96"/>
        </w:rPr>
        <w:t> </w:t>
      </w:r>
      <w:r>
        <w:rPr>
          <w:color w:val="231F20"/>
          <w:w w:val="105"/>
        </w:rPr>
        <w:t>tivamente</w:t>
      </w:r>
      <w:r>
        <w:rPr>
          <w:color w:val="231F20"/>
          <w:spacing w:val="-28"/>
          <w:w w:val="105"/>
        </w:rPr>
        <w:t> </w:t>
      </w:r>
      <w:r>
        <w:rPr>
          <w:color w:val="231F20"/>
          <w:w w:val="105"/>
        </w:rPr>
        <w:t>la</w:t>
      </w:r>
      <w:r>
        <w:rPr>
          <w:color w:val="231F20"/>
          <w:spacing w:val="-28"/>
          <w:w w:val="105"/>
        </w:rPr>
        <w:t> </w:t>
      </w:r>
      <w:r>
        <w:rPr>
          <w:color w:val="231F20"/>
          <w:w w:val="105"/>
        </w:rPr>
        <w:t>morfología</w:t>
      </w:r>
      <w:r>
        <w:rPr>
          <w:color w:val="231F20"/>
          <w:spacing w:val="-28"/>
          <w:w w:val="105"/>
        </w:rPr>
        <w:t> </w:t>
      </w:r>
      <w:r>
        <w:rPr>
          <w:color w:val="231F20"/>
          <w:w w:val="105"/>
        </w:rPr>
        <w:t>reticular</w:t>
      </w:r>
      <w:r>
        <w:rPr>
          <w:color w:val="231F20"/>
          <w:spacing w:val="-28"/>
          <w:w w:val="105"/>
        </w:rPr>
        <w:t> </w:t>
      </w:r>
      <w:r>
        <w:rPr>
          <w:color w:val="231F20"/>
          <w:w w:val="105"/>
        </w:rPr>
        <w:t>e</w:t>
      </w:r>
      <w:r>
        <w:rPr>
          <w:color w:val="231F20"/>
          <w:spacing w:val="-28"/>
          <w:w w:val="105"/>
        </w:rPr>
        <w:t> </w:t>
      </w:r>
      <w:r>
        <w:rPr>
          <w:color w:val="231F20"/>
          <w:w w:val="105"/>
        </w:rPr>
        <w:t>identificar</w:t>
      </w:r>
      <w:r>
        <w:rPr>
          <w:color w:val="231F20"/>
          <w:spacing w:val="-28"/>
          <w:w w:val="105"/>
        </w:rPr>
        <w:t> </w:t>
      </w:r>
      <w:r>
        <w:rPr>
          <w:color w:val="231F20"/>
          <w:w w:val="105"/>
        </w:rPr>
        <w:t>actores</w:t>
      </w:r>
      <w:r>
        <w:rPr>
          <w:color w:val="231F20"/>
          <w:spacing w:val="-28"/>
          <w:w w:val="105"/>
        </w:rPr>
        <w:t> </w:t>
      </w:r>
      <w:r>
        <w:rPr>
          <w:color w:val="231F20"/>
          <w:w w:val="105"/>
        </w:rPr>
        <w:t>y</w:t>
      </w:r>
      <w:r>
        <w:rPr>
          <w:color w:val="231F20"/>
          <w:spacing w:val="-28"/>
          <w:w w:val="105"/>
        </w:rPr>
        <w:t> </w:t>
      </w:r>
      <w:r>
        <w:rPr>
          <w:color w:val="231F20"/>
          <w:w w:val="105"/>
        </w:rPr>
        <w:t>vínculos</w:t>
      </w:r>
      <w:r>
        <w:rPr>
          <w:color w:val="231F20"/>
          <w:spacing w:val="-28"/>
          <w:w w:val="105"/>
        </w:rPr>
        <w:t> </w:t>
      </w:r>
      <w:r>
        <w:rPr>
          <w:color w:val="231F20"/>
          <w:w w:val="105"/>
        </w:rPr>
        <w:t>centrales.</w:t>
      </w:r>
      <w:r>
        <w:rPr>
          <w:color w:val="231F20"/>
          <w:w w:val="97"/>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estudios</w:t>
      </w:r>
      <w:r>
        <w:rPr>
          <w:color w:val="231F20"/>
          <w:spacing w:val="-29"/>
          <w:w w:val="105"/>
        </w:rPr>
        <w:t> </w:t>
      </w:r>
      <w:r>
        <w:rPr>
          <w:color w:val="231F20"/>
          <w:w w:val="105"/>
        </w:rPr>
        <w:t>representativos</w:t>
      </w:r>
      <w:r>
        <w:rPr>
          <w:color w:val="231F20"/>
          <w:spacing w:val="-29"/>
          <w:w w:val="105"/>
        </w:rPr>
        <w:t> </w:t>
      </w:r>
      <w:r>
        <w:rPr>
          <w:color w:val="231F20"/>
          <w:w w:val="105"/>
        </w:rPr>
        <w:t>se</w:t>
      </w:r>
      <w:r>
        <w:rPr>
          <w:color w:val="231F20"/>
          <w:spacing w:val="-29"/>
          <w:w w:val="105"/>
        </w:rPr>
        <w:t> </w:t>
      </w:r>
      <w:r>
        <w:rPr>
          <w:color w:val="231F20"/>
          <w:w w:val="105"/>
        </w:rPr>
        <w:t>retoman</w:t>
      </w:r>
      <w:r>
        <w:rPr>
          <w:color w:val="231F20"/>
          <w:spacing w:val="-29"/>
          <w:w w:val="105"/>
        </w:rPr>
        <w:t> </w:t>
      </w:r>
      <w:r>
        <w:rPr>
          <w:color w:val="231F20"/>
          <w:w w:val="105"/>
        </w:rPr>
        <w:t>las</w:t>
      </w:r>
      <w:r>
        <w:rPr>
          <w:color w:val="231F20"/>
          <w:spacing w:val="-29"/>
          <w:w w:val="105"/>
        </w:rPr>
        <w:t> </w:t>
      </w:r>
      <w:r>
        <w:rPr>
          <w:color w:val="231F20"/>
          <w:w w:val="105"/>
        </w:rPr>
        <w:t>características,</w:t>
      </w:r>
      <w:r>
        <w:rPr>
          <w:color w:val="231F20"/>
          <w:spacing w:val="-33"/>
          <w:w w:val="105"/>
        </w:rPr>
        <w:t> </w:t>
      </w:r>
      <w:r>
        <w:rPr>
          <w:color w:val="231F20"/>
          <w:w w:val="105"/>
        </w:rPr>
        <w:t>dimensio-</w:t>
      </w:r>
      <w:r>
        <w:rPr>
          <w:color w:val="231F20"/>
          <w:w w:val="96"/>
        </w:rPr>
        <w:t> </w:t>
      </w:r>
      <w:r>
        <w:rPr>
          <w:color w:val="231F20"/>
          <w:w w:val="105"/>
        </w:rPr>
        <w:t>nes,</w:t>
      </w:r>
      <w:r>
        <w:rPr>
          <w:color w:val="231F20"/>
          <w:spacing w:val="-39"/>
          <w:w w:val="105"/>
        </w:rPr>
        <w:t> </w:t>
      </w:r>
      <w:r>
        <w:rPr>
          <w:color w:val="231F20"/>
          <w:w w:val="105"/>
        </w:rPr>
        <w:t>mecanismos</w:t>
      </w:r>
      <w:r>
        <w:rPr>
          <w:color w:val="231F20"/>
          <w:spacing w:val="-34"/>
          <w:w w:val="105"/>
        </w:rPr>
        <w:t> </w:t>
      </w:r>
      <w:r>
        <w:rPr>
          <w:color w:val="231F20"/>
          <w:w w:val="105"/>
        </w:rPr>
        <w:t>de</w:t>
      </w:r>
      <w:r>
        <w:rPr>
          <w:color w:val="231F20"/>
          <w:spacing w:val="-34"/>
          <w:w w:val="105"/>
        </w:rPr>
        <w:t> </w:t>
      </w:r>
      <w:r>
        <w:rPr>
          <w:color w:val="231F20"/>
          <w:w w:val="105"/>
        </w:rPr>
        <w:t>integración</w:t>
      </w:r>
      <w:r>
        <w:rPr>
          <w:color w:val="231F20"/>
          <w:spacing w:val="-34"/>
          <w:w w:val="105"/>
        </w:rPr>
        <w:t> </w:t>
      </w:r>
      <w:r>
        <w:rPr>
          <w:color w:val="231F20"/>
          <w:w w:val="105"/>
        </w:rPr>
        <w:t>y</w:t>
      </w:r>
      <w:r>
        <w:rPr>
          <w:color w:val="231F20"/>
          <w:spacing w:val="-34"/>
          <w:w w:val="105"/>
        </w:rPr>
        <w:t> </w:t>
      </w:r>
      <w:r>
        <w:rPr>
          <w:color w:val="231F20"/>
          <w:w w:val="105"/>
        </w:rPr>
        <w:t>desempeño</w:t>
      </w:r>
      <w:r>
        <w:rPr>
          <w:color w:val="231F20"/>
          <w:spacing w:val="-34"/>
          <w:w w:val="105"/>
        </w:rPr>
        <w:t> </w:t>
      </w:r>
      <w:r>
        <w:rPr>
          <w:color w:val="231F20"/>
          <w:w w:val="105"/>
        </w:rPr>
        <w:t>reticular.</w:t>
      </w:r>
      <w:r>
        <w:rPr>
          <w:color w:val="231F20"/>
          <w:spacing w:val="-41"/>
          <w:w w:val="105"/>
        </w:rPr>
        <w:t> </w:t>
      </w:r>
      <w:r>
        <w:rPr>
          <w:color w:val="231F20"/>
          <w:w w:val="105"/>
        </w:rPr>
        <w:t>Además,</w:t>
      </w:r>
      <w:r>
        <w:rPr>
          <w:color w:val="231F20"/>
          <w:spacing w:val="-39"/>
          <w:w w:val="105"/>
        </w:rPr>
        <w:t> </w:t>
      </w:r>
      <w:r>
        <w:rPr>
          <w:color w:val="231F20"/>
          <w:w w:val="105"/>
        </w:rPr>
        <w:t>se</w:t>
      </w:r>
      <w:r>
        <w:rPr>
          <w:color w:val="231F20"/>
          <w:spacing w:val="-34"/>
          <w:w w:val="105"/>
        </w:rPr>
        <w:t> </w:t>
      </w:r>
      <w:r>
        <w:rPr>
          <w:color w:val="231F20"/>
          <w:w w:val="105"/>
        </w:rPr>
        <w:t>plan-</w:t>
      </w:r>
      <w:r>
        <w:rPr>
          <w:color w:val="231F20"/>
          <w:w w:val="96"/>
        </w:rPr>
        <w:t> </w:t>
      </w:r>
      <w:r>
        <w:rPr>
          <w:color w:val="231F20"/>
          <w:w w:val="105"/>
        </w:rPr>
        <w:t>tea incorporar el objetivo de la interacción y los</w:t>
      </w:r>
      <w:r>
        <w:rPr>
          <w:color w:val="231F20"/>
          <w:spacing w:val="-3"/>
          <w:w w:val="105"/>
        </w:rPr>
        <w:t> </w:t>
      </w:r>
      <w:r>
        <w:rPr>
          <w:color w:val="231F20"/>
          <w:w w:val="105"/>
        </w:rPr>
        <w:t>resultados</w:t>
      </w:r>
      <w:r>
        <w:rPr>
          <w:color w:val="231F20"/>
          <w:spacing w:val="-1"/>
          <w:w w:val="105"/>
        </w:rPr>
        <w:t> </w:t>
      </w:r>
      <w:r>
        <w:rPr>
          <w:color w:val="231F20"/>
          <w:w w:val="105"/>
        </w:rPr>
        <w:t>económicos</w:t>
      </w:r>
      <w:r>
        <w:rPr>
          <w:color w:val="231F20"/>
          <w:w w:val="104"/>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red.</w:t>
      </w:r>
      <w:r>
        <w:rPr>
          <w:color w:val="231F20"/>
          <w:spacing w:val="-36"/>
          <w:w w:val="105"/>
        </w:rPr>
        <w:t> </w:t>
      </w:r>
      <w:r>
        <w:rPr>
          <w:color w:val="231F20"/>
          <w:w w:val="105"/>
        </w:rPr>
        <w:t>La</w:t>
      </w:r>
      <w:r>
        <w:rPr>
          <w:color w:val="231F20"/>
          <w:spacing w:val="-31"/>
          <w:w w:val="105"/>
        </w:rPr>
        <w:t> </w:t>
      </w:r>
      <w:r>
        <w:rPr>
          <w:color w:val="231F20"/>
          <w:w w:val="105"/>
        </w:rPr>
        <w:t>fundamentación</w:t>
      </w:r>
      <w:r>
        <w:rPr>
          <w:color w:val="231F20"/>
          <w:spacing w:val="-31"/>
          <w:w w:val="105"/>
        </w:rPr>
        <w:t> </w:t>
      </w:r>
      <w:r>
        <w:rPr>
          <w:color w:val="231F20"/>
          <w:w w:val="105"/>
        </w:rPr>
        <w:t>para</w:t>
      </w:r>
      <w:r>
        <w:rPr>
          <w:color w:val="231F20"/>
          <w:spacing w:val="-31"/>
          <w:w w:val="105"/>
        </w:rPr>
        <w:t> </w:t>
      </w:r>
      <w:r>
        <w:rPr>
          <w:color w:val="231F20"/>
          <w:w w:val="105"/>
        </w:rPr>
        <w:t>incorporar</w:t>
      </w:r>
      <w:r>
        <w:rPr>
          <w:color w:val="231F20"/>
          <w:spacing w:val="-31"/>
          <w:w w:val="105"/>
        </w:rPr>
        <w:t> </w:t>
      </w:r>
      <w:r>
        <w:rPr>
          <w:color w:val="231F20"/>
          <w:w w:val="105"/>
        </w:rPr>
        <w:t>estos</w:t>
      </w:r>
      <w:r>
        <w:rPr>
          <w:color w:val="231F20"/>
          <w:spacing w:val="-31"/>
          <w:w w:val="105"/>
        </w:rPr>
        <w:t> </w:t>
      </w:r>
      <w:r>
        <w:rPr>
          <w:color w:val="231F20"/>
          <w:w w:val="105"/>
        </w:rPr>
        <w:t>factores</w:t>
      </w:r>
      <w:r>
        <w:rPr>
          <w:color w:val="231F20"/>
          <w:spacing w:val="-31"/>
          <w:w w:val="105"/>
        </w:rPr>
        <w:t> </w:t>
      </w:r>
      <w:r>
        <w:rPr>
          <w:color w:val="231F20"/>
          <w:w w:val="105"/>
        </w:rPr>
        <w:t>reside</w:t>
      </w:r>
      <w:r>
        <w:rPr>
          <w:color w:val="231F20"/>
          <w:spacing w:val="-31"/>
          <w:w w:val="105"/>
        </w:rPr>
        <w:t> </w:t>
      </w:r>
      <w:r>
        <w:rPr>
          <w:color w:val="231F20"/>
          <w:w w:val="105"/>
        </w:rPr>
        <w:t>en</w:t>
      </w:r>
      <w:r>
        <w:rPr>
          <w:color w:val="231F20"/>
          <w:spacing w:val="-31"/>
          <w:w w:val="105"/>
        </w:rPr>
        <w:t> </w:t>
      </w:r>
      <w:r>
        <w:rPr>
          <w:color w:val="231F20"/>
          <w:w w:val="105"/>
        </w:rPr>
        <w:t>que</w:t>
      </w:r>
      <w:r>
        <w:rPr>
          <w:color w:val="231F20"/>
          <w:w w:val="107"/>
        </w:rPr>
        <w:t> </w:t>
      </w:r>
      <w:r>
        <w:rPr>
          <w:color w:val="231F20"/>
          <w:w w:val="105"/>
        </w:rPr>
        <w:t>permiten</w:t>
      </w:r>
      <w:r>
        <w:rPr>
          <w:color w:val="231F20"/>
          <w:spacing w:val="-23"/>
          <w:w w:val="105"/>
        </w:rPr>
        <w:t> </w:t>
      </w:r>
      <w:r>
        <w:rPr>
          <w:color w:val="231F20"/>
          <w:w w:val="105"/>
        </w:rPr>
        <w:t>visualizar</w:t>
      </w:r>
      <w:r>
        <w:rPr>
          <w:color w:val="231F20"/>
          <w:spacing w:val="-23"/>
          <w:w w:val="105"/>
        </w:rPr>
        <w:t> </w:t>
      </w:r>
      <w:r>
        <w:rPr>
          <w:color w:val="231F20"/>
          <w:w w:val="105"/>
        </w:rPr>
        <w:t>cualitativamente</w:t>
      </w:r>
      <w:r>
        <w:rPr>
          <w:color w:val="231F20"/>
          <w:spacing w:val="-23"/>
          <w:w w:val="105"/>
        </w:rPr>
        <w:t> </w:t>
      </w:r>
      <w:r>
        <w:rPr>
          <w:color w:val="231F20"/>
          <w:w w:val="105"/>
        </w:rPr>
        <w:t>las</w:t>
      </w:r>
      <w:r>
        <w:rPr>
          <w:color w:val="231F20"/>
          <w:spacing w:val="-23"/>
          <w:w w:val="105"/>
        </w:rPr>
        <w:t> </w:t>
      </w:r>
      <w:r>
        <w:rPr>
          <w:color w:val="231F20"/>
          <w:w w:val="105"/>
        </w:rPr>
        <w:t>redes</w:t>
      </w:r>
      <w:r>
        <w:rPr>
          <w:color w:val="231F20"/>
          <w:spacing w:val="-23"/>
          <w:w w:val="105"/>
        </w:rPr>
        <w:t> </w:t>
      </w:r>
      <w:r>
        <w:rPr>
          <w:color w:val="231F20"/>
          <w:w w:val="105"/>
        </w:rPr>
        <w:t>con</w:t>
      </w:r>
      <w:r>
        <w:rPr>
          <w:color w:val="231F20"/>
          <w:spacing w:val="-23"/>
          <w:w w:val="105"/>
        </w:rPr>
        <w:t> </w:t>
      </w:r>
      <w:r>
        <w:rPr>
          <w:color w:val="231F20"/>
          <w:w w:val="105"/>
        </w:rPr>
        <w:t>fines</w:t>
      </w:r>
      <w:r>
        <w:rPr>
          <w:color w:val="231F20"/>
          <w:spacing w:val="-23"/>
          <w:w w:val="105"/>
        </w:rPr>
        <w:t> </w:t>
      </w:r>
      <w:r>
        <w:rPr>
          <w:color w:val="231F20"/>
          <w:w w:val="105"/>
        </w:rPr>
        <w:t>cognitivos,</w:t>
      </w:r>
      <w:r>
        <w:rPr>
          <w:color w:val="231F20"/>
          <w:spacing w:val="-27"/>
          <w:w w:val="105"/>
        </w:rPr>
        <w:t> </w:t>
      </w:r>
      <w:r>
        <w:rPr>
          <w:color w:val="231F20"/>
          <w:w w:val="105"/>
        </w:rPr>
        <w:t>como</w:t>
      </w:r>
      <w:r>
        <w:rPr>
          <w:color w:val="231F20"/>
          <w:w w:val="106"/>
        </w:rPr>
        <w:t> </w:t>
      </w:r>
      <w:r>
        <w:rPr>
          <w:color w:val="231F20"/>
          <w:w w:val="105"/>
        </w:rPr>
        <w:t>estructuras complejas multifactoriales compuestas de varios niveles</w:t>
      </w:r>
      <w:r>
        <w:rPr>
          <w:color w:val="231F20"/>
          <w:spacing w:val="-23"/>
          <w:w w:val="105"/>
        </w:rPr>
        <w:t> </w:t>
      </w:r>
      <w:r>
        <w:rPr>
          <w:color w:val="231F20"/>
          <w:w w:val="105"/>
        </w:rPr>
        <w:t>de</w:t>
      </w:r>
    </w:p>
    <w:p>
      <w:pPr>
        <w:pStyle w:val="BodyText"/>
        <w:spacing w:line="241" w:lineRule="exact"/>
        <w:ind w:left="117"/>
        <w:jc w:val="both"/>
      </w:pPr>
      <w:r>
        <w:rPr>
          <w:color w:val="231F20"/>
          <w:w w:val="105"/>
        </w:rPr>
        <w:t>estudio que implican más que interacciones entre actores diferentes.</w:t>
      </w:r>
    </w:p>
    <w:p>
      <w:pPr>
        <w:pStyle w:val="BodyText"/>
        <w:spacing w:line="259" w:lineRule="auto" w:before="18"/>
        <w:ind w:left="117" w:right="121" w:firstLine="567"/>
        <w:jc w:val="both"/>
      </w:pPr>
      <w:r>
        <w:rPr>
          <w:color w:val="231F20"/>
          <w:w w:val="105"/>
        </w:rPr>
        <w:t>A partir del esquema metodológico propuesto es posible inferir que</w:t>
      </w:r>
      <w:r>
        <w:rPr>
          <w:color w:val="231F20"/>
          <w:spacing w:val="-9"/>
          <w:w w:val="105"/>
        </w:rPr>
        <w:t> </w:t>
      </w:r>
      <w:r>
        <w:rPr>
          <w:color w:val="231F20"/>
          <w:w w:val="105"/>
        </w:rPr>
        <w:t>una</w:t>
      </w:r>
      <w:r>
        <w:rPr>
          <w:color w:val="231F20"/>
          <w:spacing w:val="-9"/>
          <w:w w:val="105"/>
        </w:rPr>
        <w:t> </w:t>
      </w:r>
      <w:r>
        <w:rPr>
          <w:color w:val="231F20"/>
          <w:w w:val="105"/>
        </w:rPr>
        <w:t>red</w:t>
      </w:r>
      <w:r>
        <w:rPr>
          <w:color w:val="231F20"/>
          <w:spacing w:val="-9"/>
          <w:w w:val="105"/>
        </w:rPr>
        <w:t> </w:t>
      </w:r>
      <w:r>
        <w:rPr>
          <w:color w:val="231F20"/>
          <w:w w:val="105"/>
        </w:rPr>
        <w:t>de</w:t>
      </w:r>
      <w:r>
        <w:rPr>
          <w:color w:val="231F20"/>
          <w:spacing w:val="-9"/>
          <w:w w:val="105"/>
        </w:rPr>
        <w:t> </w:t>
      </w:r>
      <w:r>
        <w:rPr>
          <w:color w:val="231F20"/>
          <w:w w:val="105"/>
        </w:rPr>
        <w:t>conocimiento</w:t>
      </w:r>
      <w:r>
        <w:rPr>
          <w:color w:val="231F20"/>
          <w:spacing w:val="-9"/>
          <w:w w:val="105"/>
        </w:rPr>
        <w:t> </w:t>
      </w:r>
      <w:r>
        <w:rPr>
          <w:color w:val="231F20"/>
          <w:w w:val="105"/>
        </w:rPr>
        <w:t>define</w:t>
      </w:r>
      <w:r>
        <w:rPr>
          <w:color w:val="231F20"/>
          <w:spacing w:val="-9"/>
          <w:w w:val="105"/>
        </w:rPr>
        <w:t> </w:t>
      </w:r>
      <w:r>
        <w:rPr>
          <w:color w:val="231F20"/>
          <w:w w:val="105"/>
        </w:rPr>
        <w:t>una</w:t>
      </w:r>
      <w:r>
        <w:rPr>
          <w:color w:val="231F20"/>
          <w:spacing w:val="-9"/>
          <w:w w:val="105"/>
        </w:rPr>
        <w:t> </w:t>
      </w:r>
      <w:r>
        <w:rPr>
          <w:color w:val="231F20"/>
          <w:w w:val="105"/>
        </w:rPr>
        <w:t>forma</w:t>
      </w:r>
      <w:r>
        <w:rPr>
          <w:color w:val="231F20"/>
          <w:spacing w:val="-9"/>
          <w:w w:val="105"/>
        </w:rPr>
        <w:t> </w:t>
      </w:r>
      <w:r>
        <w:rPr>
          <w:color w:val="231F20"/>
          <w:w w:val="105"/>
        </w:rPr>
        <w:t>de</w:t>
      </w:r>
      <w:r>
        <w:rPr>
          <w:color w:val="231F20"/>
          <w:spacing w:val="-9"/>
          <w:w w:val="105"/>
        </w:rPr>
        <w:t> </w:t>
      </w:r>
      <w:r>
        <w:rPr>
          <w:color w:val="231F20"/>
          <w:w w:val="105"/>
        </w:rPr>
        <w:t>interacción</w:t>
      </w:r>
      <w:r>
        <w:rPr>
          <w:color w:val="231F20"/>
          <w:spacing w:val="-9"/>
          <w:w w:val="105"/>
        </w:rPr>
        <w:t> </w:t>
      </w:r>
      <w:r>
        <w:rPr>
          <w:color w:val="231F20"/>
          <w:w w:val="105"/>
        </w:rPr>
        <w:t>social</w:t>
      </w:r>
      <w:r>
        <w:rPr>
          <w:color w:val="231F20"/>
          <w:spacing w:val="-9"/>
          <w:w w:val="105"/>
        </w:rPr>
        <w:t> </w:t>
      </w:r>
      <w:r>
        <w:rPr>
          <w:color w:val="231F20"/>
          <w:w w:val="105"/>
        </w:rPr>
        <w:t>en- tre</w:t>
      </w:r>
      <w:r>
        <w:rPr>
          <w:color w:val="231F20"/>
          <w:spacing w:val="-28"/>
          <w:w w:val="105"/>
        </w:rPr>
        <w:t> </w:t>
      </w:r>
      <w:r>
        <w:rPr>
          <w:color w:val="231F20"/>
          <w:w w:val="105"/>
        </w:rPr>
        <w:t>actores</w:t>
      </w:r>
      <w:r>
        <w:rPr>
          <w:color w:val="231F20"/>
          <w:spacing w:val="-28"/>
          <w:w w:val="105"/>
        </w:rPr>
        <w:t> </w:t>
      </w:r>
      <w:r>
        <w:rPr>
          <w:color w:val="231F20"/>
          <w:w w:val="105"/>
        </w:rPr>
        <w:t>disimiles</w:t>
      </w:r>
      <w:r>
        <w:rPr>
          <w:color w:val="231F20"/>
          <w:spacing w:val="-28"/>
          <w:w w:val="105"/>
        </w:rPr>
        <w:t> </w:t>
      </w:r>
      <w:r>
        <w:rPr>
          <w:color w:val="231F20"/>
          <w:w w:val="105"/>
        </w:rPr>
        <w:t>pero</w:t>
      </w:r>
      <w:r>
        <w:rPr>
          <w:color w:val="231F20"/>
          <w:spacing w:val="-28"/>
          <w:w w:val="105"/>
        </w:rPr>
        <w:t> </w:t>
      </w:r>
      <w:r>
        <w:rPr>
          <w:color w:val="231F20"/>
          <w:w w:val="105"/>
        </w:rPr>
        <w:t>convergentes</w:t>
      </w:r>
      <w:r>
        <w:rPr>
          <w:color w:val="231F20"/>
          <w:spacing w:val="-28"/>
          <w:w w:val="105"/>
        </w:rPr>
        <w:t> </w:t>
      </w:r>
      <w:r>
        <w:rPr>
          <w:color w:val="231F20"/>
          <w:w w:val="105"/>
        </w:rPr>
        <w:t>en</w:t>
      </w:r>
      <w:r>
        <w:rPr>
          <w:color w:val="231F20"/>
          <w:spacing w:val="-28"/>
          <w:w w:val="105"/>
        </w:rPr>
        <w:t> </w:t>
      </w:r>
      <w:r>
        <w:rPr>
          <w:color w:val="231F20"/>
          <w:w w:val="105"/>
        </w:rPr>
        <w:t>alcanzar</w:t>
      </w:r>
      <w:r>
        <w:rPr>
          <w:color w:val="231F20"/>
          <w:spacing w:val="-28"/>
          <w:w w:val="105"/>
        </w:rPr>
        <w:t> </w:t>
      </w:r>
      <w:r>
        <w:rPr>
          <w:color w:val="231F20"/>
          <w:w w:val="105"/>
        </w:rPr>
        <w:t>un</w:t>
      </w:r>
      <w:r>
        <w:rPr>
          <w:color w:val="231F20"/>
          <w:spacing w:val="-28"/>
          <w:w w:val="105"/>
        </w:rPr>
        <w:t> </w:t>
      </w:r>
      <w:r>
        <w:rPr>
          <w:color w:val="231F20"/>
          <w:w w:val="105"/>
        </w:rPr>
        <w:t>objetivo</w:t>
      </w:r>
      <w:r>
        <w:rPr>
          <w:color w:val="231F20"/>
          <w:spacing w:val="-28"/>
          <w:w w:val="105"/>
        </w:rPr>
        <w:t> </w:t>
      </w:r>
      <w:r>
        <w:rPr>
          <w:color w:val="231F20"/>
          <w:w w:val="105"/>
        </w:rPr>
        <w:t>vinculado a</w:t>
      </w:r>
      <w:r>
        <w:rPr>
          <w:color w:val="231F20"/>
          <w:spacing w:val="-7"/>
          <w:w w:val="105"/>
        </w:rPr>
        <w:t> </w:t>
      </w:r>
      <w:r>
        <w:rPr>
          <w:color w:val="231F20"/>
          <w:w w:val="105"/>
        </w:rPr>
        <w:t>la</w:t>
      </w:r>
      <w:r>
        <w:rPr>
          <w:color w:val="231F20"/>
          <w:spacing w:val="-7"/>
          <w:w w:val="105"/>
        </w:rPr>
        <w:t> </w:t>
      </w:r>
      <w:r>
        <w:rPr>
          <w:color w:val="231F20"/>
          <w:w w:val="105"/>
        </w:rPr>
        <w:t>creación</w:t>
      </w:r>
      <w:r>
        <w:rPr>
          <w:color w:val="231F20"/>
          <w:spacing w:val="-7"/>
          <w:w w:val="105"/>
        </w:rPr>
        <w:t> </w:t>
      </w:r>
      <w:r>
        <w:rPr>
          <w:color w:val="231F20"/>
          <w:w w:val="105"/>
        </w:rPr>
        <w:t>y</w:t>
      </w:r>
      <w:r>
        <w:rPr>
          <w:color w:val="231F20"/>
          <w:spacing w:val="-7"/>
          <w:w w:val="105"/>
        </w:rPr>
        <w:t> </w:t>
      </w:r>
      <w:r>
        <w:rPr>
          <w:color w:val="231F20"/>
          <w:w w:val="105"/>
        </w:rPr>
        <w:t>trasferencia</w:t>
      </w:r>
      <w:r>
        <w:rPr>
          <w:color w:val="231F20"/>
          <w:spacing w:val="-7"/>
          <w:w w:val="105"/>
        </w:rPr>
        <w:t> </w:t>
      </w:r>
      <w:r>
        <w:rPr>
          <w:color w:val="231F20"/>
          <w:w w:val="105"/>
        </w:rPr>
        <w:t>de</w:t>
      </w:r>
      <w:r>
        <w:rPr>
          <w:color w:val="231F20"/>
          <w:spacing w:val="-7"/>
          <w:w w:val="105"/>
        </w:rPr>
        <w:t> </w:t>
      </w:r>
      <w:r>
        <w:rPr>
          <w:color w:val="231F20"/>
          <w:w w:val="105"/>
        </w:rPr>
        <w:t>conocimiento.</w:t>
      </w:r>
      <w:r>
        <w:rPr>
          <w:color w:val="231F20"/>
          <w:spacing w:val="-16"/>
          <w:w w:val="105"/>
        </w:rPr>
        <w:t> </w:t>
      </w:r>
      <w:r>
        <w:rPr>
          <w:color w:val="231F20"/>
          <w:w w:val="105"/>
        </w:rPr>
        <w:t>Además,</w:t>
      </w:r>
      <w:r>
        <w:rPr>
          <w:color w:val="231F20"/>
          <w:spacing w:val="-12"/>
          <w:w w:val="105"/>
        </w:rPr>
        <w:t> </w:t>
      </w:r>
      <w:r>
        <w:rPr>
          <w:color w:val="231F20"/>
          <w:w w:val="105"/>
        </w:rPr>
        <w:t>debido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natu- raleza</w:t>
      </w:r>
      <w:r>
        <w:rPr>
          <w:color w:val="231F20"/>
          <w:spacing w:val="-23"/>
          <w:w w:val="105"/>
        </w:rPr>
        <w:t> </w:t>
      </w:r>
      <w:r>
        <w:rPr>
          <w:color w:val="231F20"/>
          <w:w w:val="105"/>
        </w:rPr>
        <w:t>inherente</w:t>
      </w:r>
      <w:r>
        <w:rPr>
          <w:color w:val="231F20"/>
          <w:spacing w:val="-23"/>
          <w:w w:val="105"/>
        </w:rPr>
        <w:t> </w:t>
      </w:r>
      <w:r>
        <w:rPr>
          <w:color w:val="231F20"/>
          <w:w w:val="105"/>
        </w:rPr>
        <w:t>al</w:t>
      </w:r>
      <w:r>
        <w:rPr>
          <w:color w:val="231F20"/>
          <w:spacing w:val="-23"/>
          <w:w w:val="105"/>
        </w:rPr>
        <w:t> </w:t>
      </w:r>
      <w:r>
        <w:rPr>
          <w:color w:val="231F20"/>
          <w:w w:val="105"/>
        </w:rPr>
        <w:t>elemento</w:t>
      </w:r>
      <w:r>
        <w:rPr>
          <w:color w:val="231F20"/>
          <w:spacing w:val="-23"/>
          <w:w w:val="105"/>
        </w:rPr>
        <w:t> </w:t>
      </w:r>
      <w:r>
        <w:rPr>
          <w:color w:val="231F20"/>
          <w:w w:val="105"/>
        </w:rPr>
        <w:t>cognitivo,</w:t>
      </w:r>
      <w:r>
        <w:rPr>
          <w:color w:val="231F20"/>
          <w:spacing w:val="-28"/>
          <w:w w:val="105"/>
        </w:rPr>
        <w:t> </w:t>
      </w:r>
      <w:r>
        <w:rPr>
          <w:color w:val="231F20"/>
          <w:w w:val="105"/>
        </w:rPr>
        <w:t>tales</w:t>
      </w:r>
      <w:r>
        <w:rPr>
          <w:color w:val="231F20"/>
          <w:spacing w:val="-23"/>
          <w:w w:val="105"/>
        </w:rPr>
        <w:t> </w:t>
      </w:r>
      <w:r>
        <w:rPr>
          <w:color w:val="231F20"/>
          <w:w w:val="105"/>
        </w:rPr>
        <w:t>vinculaciones</w:t>
      </w:r>
      <w:r>
        <w:rPr>
          <w:color w:val="231F20"/>
          <w:spacing w:val="-23"/>
          <w:w w:val="105"/>
        </w:rPr>
        <w:t> </w:t>
      </w:r>
      <w:r>
        <w:rPr>
          <w:color w:val="231F20"/>
          <w:w w:val="105"/>
        </w:rPr>
        <w:t>deben</w:t>
      </w:r>
      <w:r>
        <w:rPr>
          <w:color w:val="231F20"/>
          <w:spacing w:val="-23"/>
          <w:w w:val="105"/>
        </w:rPr>
        <w:t> </w:t>
      </w:r>
      <w:r>
        <w:rPr>
          <w:color w:val="231F20"/>
          <w:w w:val="105"/>
        </w:rPr>
        <w:t>ser</w:t>
      </w:r>
      <w:r>
        <w:rPr>
          <w:color w:val="231F20"/>
          <w:spacing w:val="-23"/>
          <w:w w:val="105"/>
        </w:rPr>
        <w:t> </w:t>
      </w:r>
      <w:r>
        <w:rPr>
          <w:color w:val="231F20"/>
          <w:w w:val="105"/>
        </w:rPr>
        <w:t>fre- cuentes</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largo</w:t>
      </w:r>
      <w:r>
        <w:rPr>
          <w:color w:val="231F20"/>
          <w:spacing w:val="-21"/>
          <w:w w:val="105"/>
        </w:rPr>
        <w:t> </w:t>
      </w:r>
      <w:r>
        <w:rPr>
          <w:color w:val="231F20"/>
          <w:w w:val="105"/>
        </w:rPr>
        <w:t>plazo</w:t>
      </w:r>
      <w:r>
        <w:rPr>
          <w:color w:val="231F20"/>
          <w:spacing w:val="-21"/>
          <w:w w:val="105"/>
        </w:rPr>
        <w:t> </w:t>
      </w:r>
      <w:r>
        <w:rPr>
          <w:color w:val="231F20"/>
          <w:w w:val="105"/>
        </w:rPr>
        <w:t>e</w:t>
      </w:r>
      <w:r>
        <w:rPr>
          <w:color w:val="231F20"/>
          <w:spacing w:val="-21"/>
          <w:w w:val="105"/>
        </w:rPr>
        <w:t> </w:t>
      </w:r>
      <w:r>
        <w:rPr>
          <w:color w:val="231F20"/>
          <w:w w:val="105"/>
        </w:rPr>
        <w:t>implican</w:t>
      </w:r>
      <w:r>
        <w:rPr>
          <w:color w:val="231F20"/>
          <w:spacing w:val="-21"/>
          <w:w w:val="105"/>
        </w:rPr>
        <w:t> </w:t>
      </w:r>
      <w:r>
        <w:rPr>
          <w:color w:val="231F20"/>
          <w:w w:val="105"/>
        </w:rPr>
        <w:t>características</w:t>
      </w:r>
      <w:r>
        <w:rPr>
          <w:color w:val="231F20"/>
          <w:spacing w:val="-21"/>
          <w:w w:val="105"/>
        </w:rPr>
        <w:t> </w:t>
      </w:r>
      <w:r>
        <w:rPr>
          <w:color w:val="231F20"/>
          <w:w w:val="105"/>
        </w:rPr>
        <w:t>específicas,</w:t>
      </w:r>
      <w:r>
        <w:rPr>
          <w:color w:val="231F20"/>
          <w:spacing w:val="-25"/>
          <w:w w:val="105"/>
        </w:rPr>
        <w:t> </w:t>
      </w:r>
      <w:r>
        <w:rPr>
          <w:color w:val="231F20"/>
          <w:w w:val="105"/>
        </w:rPr>
        <w:t>dimen- siones,</w:t>
      </w:r>
      <w:r>
        <w:rPr>
          <w:color w:val="231F20"/>
          <w:spacing w:val="-28"/>
          <w:w w:val="105"/>
        </w:rPr>
        <w:t> </w:t>
      </w:r>
      <w:r>
        <w:rPr>
          <w:color w:val="231F20"/>
          <w:w w:val="105"/>
        </w:rPr>
        <w:t>mecanismos</w:t>
      </w:r>
      <w:r>
        <w:rPr>
          <w:color w:val="231F20"/>
          <w:spacing w:val="-23"/>
          <w:w w:val="105"/>
        </w:rPr>
        <w:t> </w:t>
      </w:r>
      <w:r>
        <w:rPr>
          <w:color w:val="231F20"/>
          <w:w w:val="105"/>
        </w:rPr>
        <w:t>de</w:t>
      </w:r>
      <w:r>
        <w:rPr>
          <w:color w:val="231F20"/>
          <w:spacing w:val="-23"/>
          <w:w w:val="105"/>
        </w:rPr>
        <w:t> </w:t>
      </w:r>
      <w:r>
        <w:rPr>
          <w:color w:val="231F20"/>
          <w:w w:val="105"/>
        </w:rPr>
        <w:t>integración</w:t>
      </w:r>
      <w:r>
        <w:rPr>
          <w:color w:val="231F20"/>
          <w:spacing w:val="-23"/>
          <w:w w:val="105"/>
        </w:rPr>
        <w:t> </w:t>
      </w:r>
      <w:r>
        <w:rPr>
          <w:color w:val="231F20"/>
          <w:w w:val="105"/>
        </w:rPr>
        <w:t>y</w:t>
      </w:r>
      <w:r>
        <w:rPr>
          <w:color w:val="231F20"/>
          <w:spacing w:val="-23"/>
          <w:w w:val="105"/>
        </w:rPr>
        <w:t> </w:t>
      </w:r>
      <w:r>
        <w:rPr>
          <w:color w:val="231F20"/>
          <w:w w:val="105"/>
        </w:rPr>
        <w:t>aspectos</w:t>
      </w:r>
      <w:r>
        <w:rPr>
          <w:color w:val="231F20"/>
          <w:spacing w:val="-23"/>
          <w:w w:val="105"/>
        </w:rPr>
        <w:t> </w:t>
      </w:r>
      <w:r>
        <w:rPr>
          <w:color w:val="231F20"/>
          <w:w w:val="105"/>
        </w:rPr>
        <w:t>de</w:t>
      </w:r>
      <w:r>
        <w:rPr>
          <w:color w:val="231F20"/>
          <w:spacing w:val="-23"/>
          <w:w w:val="105"/>
        </w:rPr>
        <w:t> </w:t>
      </w:r>
      <w:r>
        <w:rPr>
          <w:color w:val="231F20"/>
          <w:w w:val="105"/>
        </w:rPr>
        <w:t>desempeño</w:t>
      </w:r>
      <w:r>
        <w:rPr>
          <w:color w:val="231F20"/>
          <w:spacing w:val="-23"/>
          <w:w w:val="105"/>
        </w:rPr>
        <w:t> </w:t>
      </w:r>
      <w:r>
        <w:rPr>
          <w:color w:val="231F20"/>
          <w:w w:val="105"/>
        </w:rPr>
        <w:t>reticular.</w:t>
      </w:r>
    </w:p>
    <w:p>
      <w:pPr>
        <w:pStyle w:val="BodyText"/>
        <w:spacing w:line="259" w:lineRule="auto"/>
        <w:ind w:left="117" w:right="121" w:firstLine="567"/>
        <w:jc w:val="both"/>
      </w:pPr>
      <w:r>
        <w:rPr>
          <w:color w:val="231F20"/>
          <w:w w:val="105"/>
        </w:rPr>
        <w:t>La aportación central del marco metodológico planteado a lo lar- go del trabajo radica en ofrecer una alternativa para explorar de forma conjunta</w:t>
      </w:r>
      <w:r>
        <w:rPr>
          <w:color w:val="231F20"/>
          <w:spacing w:val="-13"/>
          <w:w w:val="105"/>
        </w:rPr>
        <w:t> </w:t>
      </w:r>
      <w:r>
        <w:rPr>
          <w:color w:val="231F20"/>
          <w:w w:val="105"/>
        </w:rPr>
        <w:t>las</w:t>
      </w:r>
      <w:r>
        <w:rPr>
          <w:color w:val="231F20"/>
          <w:spacing w:val="-13"/>
          <w:w w:val="105"/>
        </w:rPr>
        <w:t> </w:t>
      </w:r>
      <w:r>
        <w:rPr>
          <w:color w:val="231F20"/>
          <w:w w:val="105"/>
        </w:rPr>
        <w:t>redes</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conocimiento.</w:t>
      </w:r>
      <w:r>
        <w:rPr>
          <w:color w:val="231F20"/>
          <w:spacing w:val="-20"/>
          <w:w w:val="105"/>
        </w:rPr>
        <w:t> </w:t>
      </w:r>
      <w:r>
        <w:rPr>
          <w:color w:val="231F20"/>
          <w:w w:val="105"/>
        </w:rPr>
        <w:t>Dicho</w:t>
      </w:r>
      <w:r>
        <w:rPr>
          <w:color w:val="231F20"/>
          <w:spacing w:val="-13"/>
          <w:w w:val="105"/>
        </w:rPr>
        <w:t> </w:t>
      </w:r>
      <w:r>
        <w:rPr>
          <w:color w:val="231F20"/>
          <w:w w:val="105"/>
        </w:rPr>
        <w:t>contexto</w:t>
      </w:r>
      <w:r>
        <w:rPr>
          <w:color w:val="231F20"/>
          <w:spacing w:val="-13"/>
          <w:w w:val="105"/>
        </w:rPr>
        <w:t> </w:t>
      </w:r>
      <w:r>
        <w:rPr>
          <w:color w:val="231F20"/>
          <w:w w:val="105"/>
        </w:rPr>
        <w:t>fue</w:t>
      </w:r>
      <w:r>
        <w:rPr>
          <w:color w:val="231F20"/>
          <w:spacing w:val="-13"/>
          <w:w w:val="105"/>
        </w:rPr>
        <w:t> </w:t>
      </w:r>
      <w:r>
        <w:rPr>
          <w:color w:val="231F20"/>
          <w:w w:val="105"/>
        </w:rPr>
        <w:t>propuesto</w:t>
      </w:r>
      <w:r>
        <w:rPr>
          <w:color w:val="231F20"/>
          <w:spacing w:val="-13"/>
          <w:w w:val="105"/>
        </w:rPr>
        <w:t> </w:t>
      </w:r>
      <w:r>
        <w:rPr>
          <w:color w:val="231F20"/>
          <w:w w:val="105"/>
        </w:rPr>
        <w:t>para subsanar</w:t>
      </w:r>
      <w:r>
        <w:rPr>
          <w:color w:val="231F20"/>
          <w:spacing w:val="-23"/>
          <w:w w:val="105"/>
        </w:rPr>
        <w:t> </w:t>
      </w:r>
      <w:r>
        <w:rPr>
          <w:color w:val="231F20"/>
          <w:w w:val="105"/>
        </w:rPr>
        <w:t>la</w:t>
      </w:r>
      <w:r>
        <w:rPr>
          <w:color w:val="231F20"/>
          <w:spacing w:val="-23"/>
          <w:w w:val="105"/>
        </w:rPr>
        <w:t> </w:t>
      </w:r>
      <w:r>
        <w:rPr>
          <w:color w:val="231F20"/>
          <w:w w:val="105"/>
        </w:rPr>
        <w:t>carencia</w:t>
      </w:r>
      <w:r>
        <w:rPr>
          <w:color w:val="231F20"/>
          <w:spacing w:val="-23"/>
          <w:w w:val="105"/>
        </w:rPr>
        <w:t> </w:t>
      </w:r>
      <w:r>
        <w:rPr>
          <w:color w:val="231F20"/>
          <w:w w:val="105"/>
        </w:rPr>
        <w:t>de</w:t>
      </w:r>
      <w:r>
        <w:rPr>
          <w:color w:val="231F20"/>
          <w:spacing w:val="-23"/>
          <w:w w:val="105"/>
        </w:rPr>
        <w:t> </w:t>
      </w:r>
      <w:r>
        <w:rPr>
          <w:color w:val="231F20"/>
          <w:w w:val="105"/>
        </w:rPr>
        <w:t>esquemas</w:t>
      </w:r>
      <w:r>
        <w:rPr>
          <w:color w:val="231F20"/>
          <w:spacing w:val="-23"/>
          <w:w w:val="105"/>
        </w:rPr>
        <w:t> </w:t>
      </w:r>
      <w:r>
        <w:rPr>
          <w:color w:val="231F20"/>
          <w:w w:val="105"/>
        </w:rPr>
        <w:t>analíticos</w:t>
      </w:r>
      <w:r>
        <w:rPr>
          <w:color w:val="231F20"/>
          <w:spacing w:val="-23"/>
          <w:w w:val="105"/>
        </w:rPr>
        <w:t> </w:t>
      </w:r>
      <w:r>
        <w:rPr>
          <w:color w:val="231F20"/>
          <w:w w:val="105"/>
        </w:rPr>
        <w:t>que</w:t>
      </w:r>
      <w:r>
        <w:rPr>
          <w:color w:val="231F20"/>
          <w:spacing w:val="-23"/>
          <w:w w:val="105"/>
        </w:rPr>
        <w:t> </w:t>
      </w:r>
      <w:r>
        <w:rPr>
          <w:color w:val="231F20"/>
          <w:w w:val="105"/>
        </w:rPr>
        <w:t>posibiliten</w:t>
      </w:r>
      <w:r>
        <w:rPr>
          <w:color w:val="231F20"/>
          <w:spacing w:val="-23"/>
          <w:w w:val="105"/>
        </w:rPr>
        <w:t> </w:t>
      </w:r>
      <w:r>
        <w:rPr>
          <w:color w:val="231F20"/>
          <w:w w:val="105"/>
        </w:rPr>
        <w:t>cuantificar</w:t>
      </w:r>
      <w:r>
        <w:rPr>
          <w:color w:val="231F20"/>
          <w:spacing w:val="-23"/>
          <w:w w:val="105"/>
        </w:rPr>
        <w:t> </w:t>
      </w:r>
      <w:r>
        <w:rPr>
          <w:color w:val="231F20"/>
          <w:w w:val="105"/>
        </w:rPr>
        <w:t>y cualificar</w:t>
      </w:r>
      <w:r>
        <w:rPr>
          <w:color w:val="231F20"/>
          <w:spacing w:val="-23"/>
          <w:w w:val="105"/>
        </w:rPr>
        <w:t> </w:t>
      </w:r>
      <w:r>
        <w:rPr>
          <w:color w:val="231F20"/>
          <w:w w:val="105"/>
        </w:rPr>
        <w:t>las</w:t>
      </w:r>
      <w:r>
        <w:rPr>
          <w:color w:val="231F20"/>
          <w:spacing w:val="-23"/>
          <w:w w:val="105"/>
        </w:rPr>
        <w:t> </w:t>
      </w:r>
      <w:r>
        <w:rPr>
          <w:color w:val="231F20"/>
          <w:w w:val="105"/>
        </w:rPr>
        <w:t>interacciones</w:t>
      </w:r>
      <w:r>
        <w:rPr>
          <w:color w:val="231F20"/>
          <w:spacing w:val="-23"/>
          <w:w w:val="105"/>
        </w:rPr>
        <w:t> </w:t>
      </w:r>
      <w:r>
        <w:rPr>
          <w:color w:val="231F20"/>
          <w:w w:val="105"/>
        </w:rPr>
        <w:t>entre</w:t>
      </w:r>
      <w:r>
        <w:rPr>
          <w:color w:val="231F20"/>
          <w:spacing w:val="-23"/>
          <w:w w:val="105"/>
        </w:rPr>
        <w:t> </w:t>
      </w:r>
      <w:r>
        <w:rPr>
          <w:color w:val="231F20"/>
          <w:w w:val="105"/>
        </w:rPr>
        <w:t>heterogéneos</w:t>
      </w:r>
      <w:r>
        <w:rPr>
          <w:color w:val="231F20"/>
          <w:spacing w:val="-23"/>
          <w:w w:val="105"/>
        </w:rPr>
        <w:t> </w:t>
      </w:r>
      <w:r>
        <w:rPr>
          <w:color w:val="231F20"/>
          <w:w w:val="105"/>
        </w:rPr>
        <w:t>con</w:t>
      </w:r>
      <w:r>
        <w:rPr>
          <w:color w:val="231F20"/>
          <w:spacing w:val="-23"/>
          <w:w w:val="105"/>
        </w:rPr>
        <w:t> </w:t>
      </w:r>
      <w:r>
        <w:rPr>
          <w:color w:val="231F20"/>
          <w:w w:val="105"/>
        </w:rPr>
        <w:t>fines</w:t>
      </w:r>
      <w:r>
        <w:rPr>
          <w:color w:val="231F20"/>
          <w:spacing w:val="-23"/>
          <w:w w:val="105"/>
        </w:rPr>
        <w:t> </w:t>
      </w:r>
      <w:r>
        <w:rPr>
          <w:color w:val="231F20"/>
          <w:w w:val="105"/>
        </w:rPr>
        <w:t>cognitivos.</w:t>
      </w:r>
    </w:p>
    <w:p>
      <w:pPr>
        <w:pStyle w:val="BodyText"/>
        <w:spacing w:line="259" w:lineRule="auto"/>
        <w:ind w:left="117" w:right="121" w:firstLine="567"/>
        <w:jc w:val="both"/>
      </w:pPr>
      <w:r>
        <w:rPr>
          <w:color w:val="231F20"/>
          <w:w w:val="105"/>
        </w:rPr>
        <w:t>Es</w:t>
      </w:r>
      <w:r>
        <w:rPr>
          <w:color w:val="231F20"/>
          <w:spacing w:val="-14"/>
          <w:w w:val="105"/>
        </w:rPr>
        <w:t> </w:t>
      </w:r>
      <w:r>
        <w:rPr>
          <w:color w:val="231F20"/>
          <w:w w:val="105"/>
        </w:rPr>
        <w:t>relevante</w:t>
      </w:r>
      <w:r>
        <w:rPr>
          <w:color w:val="231F20"/>
          <w:spacing w:val="-14"/>
          <w:w w:val="105"/>
        </w:rPr>
        <w:t> </w:t>
      </w:r>
      <w:r>
        <w:rPr>
          <w:color w:val="231F20"/>
          <w:w w:val="105"/>
        </w:rPr>
        <w:t>indicar</w:t>
      </w:r>
      <w:r>
        <w:rPr>
          <w:color w:val="231F20"/>
          <w:spacing w:val="-14"/>
          <w:w w:val="105"/>
        </w:rPr>
        <w:t> </w:t>
      </w:r>
      <w:r>
        <w:rPr>
          <w:color w:val="231F20"/>
          <w:w w:val="105"/>
        </w:rPr>
        <w:t>que</w:t>
      </w:r>
      <w:r>
        <w:rPr>
          <w:color w:val="231F20"/>
          <w:spacing w:val="-14"/>
          <w:w w:val="105"/>
        </w:rPr>
        <w:t> </w:t>
      </w:r>
      <w:r>
        <w:rPr>
          <w:color w:val="231F20"/>
          <w:w w:val="105"/>
        </w:rPr>
        <w:t>este</w:t>
      </w:r>
      <w:r>
        <w:rPr>
          <w:color w:val="231F20"/>
          <w:spacing w:val="-14"/>
          <w:w w:val="105"/>
        </w:rPr>
        <w:t> </w:t>
      </w:r>
      <w:r>
        <w:rPr>
          <w:color w:val="231F20"/>
          <w:w w:val="105"/>
        </w:rPr>
        <w:t>planteamiento</w:t>
      </w:r>
      <w:r>
        <w:rPr>
          <w:color w:val="231F20"/>
          <w:spacing w:val="-14"/>
          <w:w w:val="105"/>
        </w:rPr>
        <w:t> </w:t>
      </w:r>
      <w:r>
        <w:rPr>
          <w:color w:val="231F20"/>
          <w:w w:val="105"/>
        </w:rPr>
        <w:t>es</w:t>
      </w:r>
      <w:r>
        <w:rPr>
          <w:color w:val="231F20"/>
          <w:spacing w:val="-14"/>
          <w:w w:val="105"/>
        </w:rPr>
        <w:t> </w:t>
      </w:r>
      <w:r>
        <w:rPr>
          <w:color w:val="231F20"/>
          <w:w w:val="105"/>
        </w:rPr>
        <w:t>de</w:t>
      </w:r>
      <w:r>
        <w:rPr>
          <w:color w:val="231F20"/>
          <w:spacing w:val="-14"/>
          <w:w w:val="105"/>
        </w:rPr>
        <w:t> </w:t>
      </w:r>
      <w:r>
        <w:rPr>
          <w:color w:val="231F20"/>
          <w:w w:val="105"/>
        </w:rPr>
        <w:t>carácter</w:t>
      </w:r>
      <w:r>
        <w:rPr>
          <w:color w:val="231F20"/>
          <w:spacing w:val="-14"/>
          <w:w w:val="105"/>
        </w:rPr>
        <w:t> </w:t>
      </w:r>
      <w:r>
        <w:rPr>
          <w:color w:val="231F20"/>
          <w:w w:val="105"/>
        </w:rPr>
        <w:t>cuanti- tativo</w:t>
      </w:r>
      <w:r>
        <w:rPr>
          <w:color w:val="231F20"/>
          <w:spacing w:val="-23"/>
          <w:w w:val="105"/>
        </w:rPr>
        <w:t> </w:t>
      </w:r>
      <w:r>
        <w:rPr>
          <w:color w:val="231F20"/>
          <w:w w:val="105"/>
        </w:rPr>
        <w:t>y</w:t>
      </w:r>
      <w:r>
        <w:rPr>
          <w:color w:val="231F20"/>
          <w:spacing w:val="-23"/>
          <w:w w:val="105"/>
        </w:rPr>
        <w:t> </w:t>
      </w:r>
      <w:r>
        <w:rPr>
          <w:color w:val="231F20"/>
          <w:w w:val="105"/>
        </w:rPr>
        <w:t>cualitativo</w:t>
      </w:r>
      <w:r>
        <w:rPr>
          <w:color w:val="231F20"/>
          <w:spacing w:val="-23"/>
          <w:w w:val="105"/>
        </w:rPr>
        <w:t> </w:t>
      </w:r>
      <w:r>
        <w:rPr>
          <w:color w:val="231F20"/>
          <w:w w:val="105"/>
        </w:rPr>
        <w:t>ya</w:t>
      </w:r>
      <w:r>
        <w:rPr>
          <w:color w:val="231F20"/>
          <w:spacing w:val="-23"/>
          <w:w w:val="105"/>
        </w:rPr>
        <w:t> </w:t>
      </w:r>
      <w:r>
        <w:rPr>
          <w:color w:val="231F20"/>
          <w:w w:val="105"/>
        </w:rPr>
        <w:t>que</w:t>
      </w:r>
      <w:r>
        <w:rPr>
          <w:color w:val="231F20"/>
          <w:spacing w:val="-23"/>
          <w:w w:val="105"/>
        </w:rPr>
        <w:t> </w:t>
      </w:r>
      <w:r>
        <w:rPr>
          <w:color w:val="231F20"/>
          <w:w w:val="105"/>
        </w:rPr>
        <w:t>por</w:t>
      </w:r>
      <w:r>
        <w:rPr>
          <w:color w:val="231F20"/>
          <w:spacing w:val="-23"/>
          <w:w w:val="105"/>
        </w:rPr>
        <w:t> </w:t>
      </w:r>
      <w:r>
        <w:rPr>
          <w:color w:val="231F20"/>
          <w:w w:val="105"/>
        </w:rPr>
        <w:t>un</w:t>
      </w:r>
      <w:r>
        <w:rPr>
          <w:color w:val="231F20"/>
          <w:spacing w:val="-23"/>
          <w:w w:val="105"/>
        </w:rPr>
        <w:t> </w:t>
      </w:r>
      <w:r>
        <w:rPr>
          <w:color w:val="231F20"/>
          <w:w w:val="105"/>
        </w:rPr>
        <w:t>lado,</w:t>
      </w:r>
      <w:r>
        <w:rPr>
          <w:color w:val="231F20"/>
          <w:spacing w:val="-29"/>
          <w:w w:val="105"/>
        </w:rPr>
        <w:t> </w:t>
      </w:r>
      <w:r>
        <w:rPr>
          <w:color w:val="231F20"/>
          <w:w w:val="105"/>
        </w:rPr>
        <w:t>expone</w:t>
      </w:r>
      <w:r>
        <w:rPr>
          <w:color w:val="231F20"/>
          <w:spacing w:val="-23"/>
          <w:w w:val="105"/>
        </w:rPr>
        <w:t> </w:t>
      </w:r>
      <w:r>
        <w:rPr>
          <w:color w:val="231F20"/>
          <w:w w:val="105"/>
        </w:rPr>
        <w:t>la</w:t>
      </w:r>
      <w:r>
        <w:rPr>
          <w:color w:val="231F20"/>
          <w:spacing w:val="-23"/>
          <w:w w:val="105"/>
        </w:rPr>
        <w:t> </w:t>
      </w:r>
      <w:r>
        <w:rPr>
          <w:color w:val="231F20"/>
          <w:w w:val="105"/>
        </w:rPr>
        <w:t>importancia</w:t>
      </w:r>
      <w:r>
        <w:rPr>
          <w:color w:val="231F20"/>
          <w:spacing w:val="-23"/>
          <w:w w:val="105"/>
        </w:rPr>
        <w:t> </w:t>
      </w:r>
      <w:r>
        <w:rPr>
          <w:color w:val="231F20"/>
          <w:w w:val="105"/>
        </w:rPr>
        <w:t>de</w:t>
      </w:r>
      <w:r>
        <w:rPr>
          <w:color w:val="231F20"/>
          <w:spacing w:val="-23"/>
          <w:w w:val="105"/>
        </w:rPr>
        <w:t> </w:t>
      </w:r>
      <w:r>
        <w:rPr>
          <w:color w:val="231F20"/>
          <w:w w:val="105"/>
        </w:rPr>
        <w:t>examinar conexiones mediante un enfoque de medición reticular </w:t>
      </w:r>
      <w:r>
        <w:rPr>
          <w:color w:val="231F20"/>
          <w:spacing w:val="-4"/>
          <w:w w:val="105"/>
        </w:rPr>
        <w:t>y, </w:t>
      </w:r>
      <w:r>
        <w:rPr>
          <w:color w:val="231F20"/>
          <w:w w:val="105"/>
        </w:rPr>
        <w:t>también con- juga perspectivas distintas pero complementarias en torno a las redes de conocimiento, lo cual implica asumir que estas estructuras</w:t>
      </w:r>
      <w:r>
        <w:rPr>
          <w:color w:val="231F20"/>
          <w:spacing w:val="57"/>
          <w:w w:val="105"/>
        </w:rPr>
        <w:t> </w:t>
      </w:r>
      <w:r>
        <w:rPr>
          <w:color w:val="231F20"/>
          <w:w w:val="105"/>
        </w:rPr>
        <w:t>reticula-</w:t>
      </w:r>
    </w:p>
    <w:p>
      <w:pPr>
        <w:spacing w:after="0" w:line="259" w:lineRule="auto"/>
        <w:jc w:val="both"/>
        <w:sectPr>
          <w:type w:val="continuous"/>
          <w:pgSz w:w="9640" w:h="13890"/>
          <w:pgMar w:top="1300" w:bottom="280" w:left="1300" w:right="1180"/>
        </w:sectPr>
      </w:pPr>
    </w:p>
    <w:p>
      <w:pPr>
        <w:pStyle w:val="BodyText"/>
        <w:spacing w:line="259" w:lineRule="auto" w:before="120"/>
        <w:ind w:left="103" w:right="114"/>
        <w:jc w:val="both"/>
      </w:pPr>
      <w:r>
        <w:rPr>
          <w:color w:val="231F20"/>
          <w:w w:val="105"/>
        </w:rPr>
        <w:t>res</w:t>
      </w:r>
      <w:r>
        <w:rPr>
          <w:color w:val="231F20"/>
          <w:spacing w:val="-21"/>
          <w:w w:val="105"/>
        </w:rPr>
        <w:t> </w:t>
      </w:r>
      <w:r>
        <w:rPr>
          <w:color w:val="231F20"/>
          <w:w w:val="105"/>
        </w:rPr>
        <w:t>no</w:t>
      </w:r>
      <w:r>
        <w:rPr>
          <w:color w:val="231F20"/>
          <w:spacing w:val="-21"/>
          <w:w w:val="105"/>
        </w:rPr>
        <w:t> </w:t>
      </w:r>
      <w:r>
        <w:rPr>
          <w:color w:val="231F20"/>
          <w:w w:val="105"/>
        </w:rPr>
        <w:t>involucran</w:t>
      </w:r>
      <w:r>
        <w:rPr>
          <w:color w:val="231F20"/>
          <w:spacing w:val="-21"/>
          <w:w w:val="105"/>
        </w:rPr>
        <w:t> </w:t>
      </w:r>
      <w:r>
        <w:rPr>
          <w:color w:val="231F20"/>
          <w:w w:val="105"/>
        </w:rPr>
        <w:t>únicamente</w:t>
      </w:r>
      <w:r>
        <w:rPr>
          <w:color w:val="231F20"/>
          <w:spacing w:val="-21"/>
          <w:w w:val="105"/>
        </w:rPr>
        <w:t> </w:t>
      </w:r>
      <w:r>
        <w:rPr>
          <w:color w:val="231F20"/>
          <w:w w:val="105"/>
        </w:rPr>
        <w:t>enlaces</w:t>
      </w:r>
      <w:r>
        <w:rPr>
          <w:color w:val="231F20"/>
          <w:spacing w:val="-21"/>
          <w:w w:val="105"/>
        </w:rPr>
        <w:t> </w:t>
      </w:r>
      <w:r>
        <w:rPr>
          <w:color w:val="231F20"/>
          <w:w w:val="105"/>
        </w:rPr>
        <w:t>con</w:t>
      </w:r>
      <w:r>
        <w:rPr>
          <w:color w:val="231F20"/>
          <w:spacing w:val="-21"/>
          <w:w w:val="105"/>
        </w:rPr>
        <w:t> </w:t>
      </w:r>
      <w:r>
        <w:rPr>
          <w:color w:val="231F20"/>
          <w:w w:val="105"/>
        </w:rPr>
        <w:t>otros</w:t>
      </w:r>
      <w:r>
        <w:rPr>
          <w:color w:val="231F20"/>
          <w:spacing w:val="-21"/>
          <w:w w:val="105"/>
        </w:rPr>
        <w:t> </w:t>
      </w:r>
      <w:r>
        <w:rPr>
          <w:color w:val="231F20"/>
          <w:w w:val="105"/>
        </w:rPr>
        <w:t>actores</w:t>
      </w:r>
      <w:r>
        <w:rPr>
          <w:color w:val="231F20"/>
          <w:spacing w:val="-21"/>
          <w:w w:val="105"/>
        </w:rPr>
        <w:t> </w:t>
      </w:r>
      <w:r>
        <w:rPr>
          <w:color w:val="231F20"/>
          <w:w w:val="105"/>
        </w:rPr>
        <w:t>sino</w:t>
      </w:r>
      <w:r>
        <w:rPr>
          <w:color w:val="231F20"/>
          <w:spacing w:val="-21"/>
          <w:w w:val="105"/>
        </w:rPr>
        <w:t> </w:t>
      </w:r>
      <w:r>
        <w:rPr>
          <w:color w:val="231F20"/>
          <w:w w:val="105"/>
        </w:rPr>
        <w:t>constituyen agrupamientos</w:t>
      </w:r>
      <w:r>
        <w:rPr>
          <w:color w:val="231F20"/>
          <w:spacing w:val="-23"/>
          <w:w w:val="105"/>
        </w:rPr>
        <w:t> </w:t>
      </w:r>
      <w:r>
        <w:rPr>
          <w:color w:val="231F20"/>
          <w:w w:val="105"/>
        </w:rPr>
        <w:t>complejos.</w:t>
      </w:r>
      <w:r>
        <w:rPr>
          <w:color w:val="231F20"/>
          <w:spacing w:val="-29"/>
          <w:w w:val="105"/>
        </w:rPr>
        <w:t> </w:t>
      </w:r>
      <w:r>
        <w:rPr>
          <w:color w:val="231F20"/>
          <w:w w:val="105"/>
        </w:rPr>
        <w:t>No</w:t>
      </w:r>
      <w:r>
        <w:rPr>
          <w:color w:val="231F20"/>
          <w:spacing w:val="-23"/>
          <w:w w:val="105"/>
        </w:rPr>
        <w:t> </w:t>
      </w:r>
      <w:r>
        <w:rPr>
          <w:color w:val="231F20"/>
          <w:w w:val="105"/>
        </w:rPr>
        <w:t>obstante,</w:t>
      </w:r>
      <w:r>
        <w:rPr>
          <w:color w:val="231F20"/>
          <w:spacing w:val="-29"/>
          <w:w w:val="105"/>
        </w:rPr>
        <w:t> </w:t>
      </w:r>
      <w:r>
        <w:rPr>
          <w:color w:val="231F20"/>
          <w:w w:val="105"/>
        </w:rPr>
        <w:t>es</w:t>
      </w:r>
      <w:r>
        <w:rPr>
          <w:color w:val="231F20"/>
          <w:spacing w:val="-23"/>
          <w:w w:val="105"/>
        </w:rPr>
        <w:t> </w:t>
      </w:r>
      <w:r>
        <w:rPr>
          <w:color w:val="231F20"/>
          <w:w w:val="105"/>
        </w:rPr>
        <w:t>preciso</w:t>
      </w:r>
      <w:r>
        <w:rPr>
          <w:color w:val="231F20"/>
          <w:spacing w:val="-23"/>
          <w:w w:val="105"/>
        </w:rPr>
        <w:t> </w:t>
      </w:r>
      <w:r>
        <w:rPr>
          <w:color w:val="231F20"/>
          <w:w w:val="105"/>
        </w:rPr>
        <w:t>puntualizar</w:t>
      </w:r>
      <w:r>
        <w:rPr>
          <w:color w:val="231F20"/>
          <w:spacing w:val="-23"/>
          <w:w w:val="105"/>
        </w:rPr>
        <w:t> </w:t>
      </w:r>
      <w:r>
        <w:rPr>
          <w:color w:val="231F20"/>
          <w:w w:val="105"/>
        </w:rPr>
        <w:t>que</w:t>
      </w:r>
      <w:r>
        <w:rPr>
          <w:color w:val="231F20"/>
          <w:spacing w:val="-23"/>
          <w:w w:val="105"/>
        </w:rPr>
        <w:t> </w:t>
      </w:r>
      <w:r>
        <w:rPr>
          <w:color w:val="231F20"/>
          <w:w w:val="105"/>
        </w:rPr>
        <w:t>dicha propuesta</w:t>
      </w:r>
      <w:r>
        <w:rPr>
          <w:color w:val="231F20"/>
          <w:spacing w:val="-24"/>
          <w:w w:val="105"/>
        </w:rPr>
        <w:t> </w:t>
      </w:r>
      <w:r>
        <w:rPr>
          <w:color w:val="231F20"/>
          <w:w w:val="105"/>
        </w:rPr>
        <w:t>es</w:t>
      </w:r>
      <w:r>
        <w:rPr>
          <w:color w:val="231F20"/>
          <w:spacing w:val="-24"/>
          <w:w w:val="105"/>
        </w:rPr>
        <w:t> </w:t>
      </w:r>
      <w:r>
        <w:rPr>
          <w:color w:val="231F20"/>
          <w:w w:val="105"/>
        </w:rPr>
        <w:t>de</w:t>
      </w:r>
      <w:r>
        <w:rPr>
          <w:color w:val="231F20"/>
          <w:spacing w:val="-24"/>
          <w:w w:val="105"/>
        </w:rPr>
        <w:t> </w:t>
      </w:r>
      <w:r>
        <w:rPr>
          <w:color w:val="231F20"/>
          <w:w w:val="105"/>
        </w:rPr>
        <w:t>carácter</w:t>
      </w:r>
      <w:r>
        <w:rPr>
          <w:color w:val="231F20"/>
          <w:spacing w:val="-24"/>
          <w:w w:val="105"/>
        </w:rPr>
        <w:t> </w:t>
      </w:r>
      <w:r>
        <w:rPr>
          <w:color w:val="231F20"/>
          <w:w w:val="105"/>
        </w:rPr>
        <w:t>teórico-conceptual</w:t>
      </w:r>
      <w:r>
        <w:rPr>
          <w:color w:val="231F20"/>
          <w:spacing w:val="-24"/>
          <w:w w:val="105"/>
        </w:rPr>
        <w:t> </w:t>
      </w:r>
      <w:r>
        <w:rPr>
          <w:color w:val="231F20"/>
          <w:w w:val="105"/>
        </w:rPr>
        <w:t>y</w:t>
      </w:r>
      <w:r>
        <w:rPr>
          <w:color w:val="231F20"/>
          <w:spacing w:val="-24"/>
          <w:w w:val="105"/>
        </w:rPr>
        <w:t> </w:t>
      </w:r>
      <w:r>
        <w:rPr>
          <w:color w:val="231F20"/>
          <w:w w:val="105"/>
        </w:rPr>
        <w:t>todavía</w:t>
      </w:r>
      <w:r>
        <w:rPr>
          <w:color w:val="231F20"/>
          <w:spacing w:val="-24"/>
          <w:w w:val="105"/>
        </w:rPr>
        <w:t> </w:t>
      </w:r>
      <w:r>
        <w:rPr>
          <w:color w:val="231F20"/>
          <w:w w:val="105"/>
        </w:rPr>
        <w:t>es</w:t>
      </w:r>
      <w:r>
        <w:rPr>
          <w:color w:val="231F20"/>
          <w:spacing w:val="-24"/>
          <w:w w:val="105"/>
        </w:rPr>
        <w:t> </w:t>
      </w:r>
      <w:r>
        <w:rPr>
          <w:color w:val="231F20"/>
          <w:w w:val="105"/>
        </w:rPr>
        <w:t>necesario</w:t>
      </w:r>
      <w:r>
        <w:rPr>
          <w:color w:val="231F20"/>
          <w:spacing w:val="-24"/>
          <w:w w:val="105"/>
        </w:rPr>
        <w:t> </w:t>
      </w:r>
      <w:r>
        <w:rPr>
          <w:color w:val="231F20"/>
          <w:w w:val="105"/>
        </w:rPr>
        <w:t>com- probar</w:t>
      </w:r>
      <w:r>
        <w:rPr>
          <w:color w:val="231F20"/>
          <w:spacing w:val="-7"/>
          <w:w w:val="105"/>
        </w:rPr>
        <w:t> </w:t>
      </w:r>
      <w:r>
        <w:rPr>
          <w:color w:val="231F20"/>
          <w:w w:val="105"/>
        </w:rPr>
        <w:t>en</w:t>
      </w:r>
      <w:r>
        <w:rPr>
          <w:color w:val="231F20"/>
          <w:spacing w:val="-7"/>
          <w:w w:val="105"/>
        </w:rPr>
        <w:t> </w:t>
      </w:r>
      <w:r>
        <w:rPr>
          <w:color w:val="231F20"/>
          <w:w w:val="105"/>
        </w:rPr>
        <w:t>términos</w:t>
      </w:r>
      <w:r>
        <w:rPr>
          <w:color w:val="231F20"/>
          <w:spacing w:val="-7"/>
          <w:w w:val="105"/>
        </w:rPr>
        <w:t> </w:t>
      </w:r>
      <w:r>
        <w:rPr>
          <w:color w:val="231F20"/>
          <w:w w:val="105"/>
        </w:rPr>
        <w:t>empíricos</w:t>
      </w:r>
      <w:r>
        <w:rPr>
          <w:color w:val="231F20"/>
          <w:spacing w:val="-7"/>
          <w:w w:val="105"/>
        </w:rPr>
        <w:t> </w:t>
      </w:r>
      <w:r>
        <w:rPr>
          <w:color w:val="231F20"/>
          <w:w w:val="105"/>
        </w:rPr>
        <w:t>si</w:t>
      </w:r>
      <w:r>
        <w:rPr>
          <w:color w:val="231F20"/>
          <w:spacing w:val="-7"/>
          <w:w w:val="105"/>
        </w:rPr>
        <w:t> </w:t>
      </w:r>
      <w:r>
        <w:rPr>
          <w:color w:val="231F20"/>
          <w:w w:val="105"/>
        </w:rPr>
        <w:t>son</w:t>
      </w:r>
      <w:r>
        <w:rPr>
          <w:color w:val="231F20"/>
          <w:spacing w:val="-7"/>
          <w:w w:val="105"/>
        </w:rPr>
        <w:t> </w:t>
      </w:r>
      <w:r>
        <w:rPr>
          <w:color w:val="231F20"/>
          <w:w w:val="105"/>
        </w:rPr>
        <w:t>observables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realidad</w:t>
      </w:r>
      <w:r>
        <w:rPr>
          <w:color w:val="231F20"/>
          <w:spacing w:val="-7"/>
          <w:w w:val="105"/>
        </w:rPr>
        <w:t> </w:t>
      </w:r>
      <w:r>
        <w:rPr>
          <w:color w:val="231F20"/>
          <w:w w:val="105"/>
        </w:rPr>
        <w:t>práctica los</w:t>
      </w:r>
      <w:r>
        <w:rPr>
          <w:color w:val="231F20"/>
          <w:spacing w:val="-19"/>
          <w:w w:val="105"/>
        </w:rPr>
        <w:t> </w:t>
      </w:r>
      <w:r>
        <w:rPr>
          <w:color w:val="231F20"/>
          <w:w w:val="105"/>
        </w:rPr>
        <w:t>aspectos</w:t>
      </w:r>
      <w:r>
        <w:rPr>
          <w:color w:val="231F20"/>
          <w:spacing w:val="-19"/>
          <w:w w:val="105"/>
        </w:rPr>
        <w:t> </w:t>
      </w:r>
      <w:r>
        <w:rPr>
          <w:color w:val="231F20"/>
          <w:w w:val="105"/>
        </w:rPr>
        <w:t>involucrados</w:t>
      </w:r>
      <w:r>
        <w:rPr>
          <w:color w:val="231F20"/>
          <w:spacing w:val="-19"/>
          <w:w w:val="105"/>
        </w:rPr>
        <w:t> </w:t>
      </w:r>
      <w:r>
        <w:rPr>
          <w:color w:val="231F20"/>
          <w:w w:val="105"/>
        </w:rPr>
        <w:t>en</w:t>
      </w:r>
      <w:r>
        <w:rPr>
          <w:color w:val="231F20"/>
          <w:spacing w:val="-19"/>
          <w:w w:val="105"/>
        </w:rPr>
        <w:t> </w:t>
      </w:r>
      <w:r>
        <w:rPr>
          <w:color w:val="231F20"/>
          <w:w w:val="105"/>
        </w:rPr>
        <w:t>tal</w:t>
      </w:r>
      <w:r>
        <w:rPr>
          <w:color w:val="231F20"/>
          <w:spacing w:val="-19"/>
          <w:w w:val="105"/>
        </w:rPr>
        <w:t> </w:t>
      </w:r>
      <w:r>
        <w:rPr>
          <w:color w:val="231F20"/>
          <w:w w:val="105"/>
        </w:rPr>
        <w:t>marco</w:t>
      </w:r>
      <w:r>
        <w:rPr>
          <w:color w:val="231F20"/>
          <w:spacing w:val="-19"/>
          <w:w w:val="105"/>
        </w:rPr>
        <w:t> </w:t>
      </w:r>
      <w:r>
        <w:rPr>
          <w:color w:val="231F20"/>
          <w:w w:val="105"/>
        </w:rPr>
        <w:t>de</w:t>
      </w:r>
      <w:r>
        <w:rPr>
          <w:color w:val="231F20"/>
          <w:spacing w:val="-19"/>
          <w:w w:val="105"/>
        </w:rPr>
        <w:t> </w:t>
      </w:r>
      <w:r>
        <w:rPr>
          <w:color w:val="231F20"/>
          <w:w w:val="105"/>
        </w:rPr>
        <w:t>análisis.</w:t>
      </w:r>
      <w:r>
        <w:rPr>
          <w:color w:val="231F20"/>
          <w:spacing w:val="-24"/>
          <w:w w:val="105"/>
        </w:rPr>
        <w:t> </w:t>
      </w:r>
      <w:r>
        <w:rPr>
          <w:color w:val="231F20"/>
          <w:w w:val="105"/>
        </w:rPr>
        <w:t>Cabe</w:t>
      </w:r>
      <w:r>
        <w:rPr>
          <w:color w:val="231F20"/>
          <w:spacing w:val="-19"/>
          <w:w w:val="105"/>
        </w:rPr>
        <w:t> </w:t>
      </w:r>
      <w:r>
        <w:rPr>
          <w:color w:val="231F20"/>
          <w:w w:val="105"/>
        </w:rPr>
        <w:t>destacar</w:t>
      </w:r>
      <w:r>
        <w:rPr>
          <w:color w:val="231F20"/>
          <w:spacing w:val="-19"/>
          <w:w w:val="105"/>
        </w:rPr>
        <w:t> </w:t>
      </w:r>
      <w:r>
        <w:rPr>
          <w:color w:val="231F20"/>
          <w:w w:val="105"/>
        </w:rPr>
        <w:t>que</w:t>
      </w:r>
      <w:r>
        <w:rPr>
          <w:color w:val="231F20"/>
          <w:spacing w:val="-19"/>
          <w:w w:val="105"/>
        </w:rPr>
        <w:t> </w:t>
      </w:r>
      <w:r>
        <w:rPr>
          <w:color w:val="231F20"/>
          <w:w w:val="105"/>
        </w:rPr>
        <w:t>la serie de planteamientos que se presentan en esta propuesta,</w:t>
      </w:r>
      <w:r>
        <w:rPr>
          <w:color w:val="231F20"/>
          <w:spacing w:val="-12"/>
          <w:w w:val="105"/>
        </w:rPr>
        <w:t> </w:t>
      </w:r>
      <w:r>
        <w:rPr>
          <w:color w:val="231F20"/>
          <w:w w:val="105"/>
        </w:rPr>
        <w:t>procuran aportar</w:t>
      </w:r>
      <w:r>
        <w:rPr>
          <w:color w:val="231F20"/>
          <w:spacing w:val="-19"/>
          <w:w w:val="105"/>
        </w:rPr>
        <w:t> </w:t>
      </w:r>
      <w:r>
        <w:rPr>
          <w:color w:val="231F20"/>
          <w:w w:val="105"/>
        </w:rPr>
        <w:t>elementos</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discusión</w:t>
      </w:r>
      <w:r>
        <w:rPr>
          <w:color w:val="231F20"/>
          <w:spacing w:val="-19"/>
          <w:w w:val="105"/>
        </w:rPr>
        <w:t> </w:t>
      </w:r>
      <w:r>
        <w:rPr>
          <w:color w:val="231F20"/>
          <w:w w:val="105"/>
        </w:rPr>
        <w:t>sobre</w:t>
      </w:r>
      <w:r>
        <w:rPr>
          <w:color w:val="231F20"/>
          <w:spacing w:val="-19"/>
          <w:w w:val="105"/>
        </w:rPr>
        <w:t> </w:t>
      </w:r>
      <w:r>
        <w:rPr>
          <w:color w:val="231F20"/>
          <w:w w:val="105"/>
        </w:rPr>
        <w:t>un</w:t>
      </w:r>
      <w:r>
        <w:rPr>
          <w:color w:val="231F20"/>
          <w:spacing w:val="-19"/>
          <w:w w:val="105"/>
        </w:rPr>
        <w:t> </w:t>
      </w:r>
      <w:r>
        <w:rPr>
          <w:color w:val="231F20"/>
          <w:w w:val="105"/>
        </w:rPr>
        <w:t>tema</w:t>
      </w:r>
      <w:r>
        <w:rPr>
          <w:color w:val="231F20"/>
          <w:spacing w:val="-19"/>
          <w:w w:val="105"/>
        </w:rPr>
        <w:t> </w:t>
      </w:r>
      <w:r>
        <w:rPr>
          <w:color w:val="231F20"/>
          <w:w w:val="105"/>
        </w:rPr>
        <w:t>en</w:t>
      </w:r>
      <w:r>
        <w:rPr>
          <w:color w:val="231F20"/>
          <w:spacing w:val="-19"/>
          <w:w w:val="105"/>
        </w:rPr>
        <w:t> </w:t>
      </w:r>
      <w:r>
        <w:rPr>
          <w:color w:val="231F20"/>
          <w:w w:val="105"/>
        </w:rPr>
        <w:t>ciernes:</w:t>
      </w:r>
      <w:r>
        <w:rPr>
          <w:color w:val="231F20"/>
          <w:spacing w:val="-19"/>
          <w:w w:val="105"/>
        </w:rPr>
        <w:t> </w:t>
      </w:r>
      <w:r>
        <w:rPr>
          <w:color w:val="231F20"/>
          <w:w w:val="105"/>
        </w:rPr>
        <w:t>compren- der</w:t>
      </w:r>
      <w:r>
        <w:rPr>
          <w:color w:val="231F20"/>
          <w:spacing w:val="-39"/>
          <w:w w:val="105"/>
        </w:rPr>
        <w:t> </w:t>
      </w:r>
      <w:r>
        <w:rPr>
          <w:color w:val="231F20"/>
          <w:w w:val="105"/>
        </w:rPr>
        <w:t>las</w:t>
      </w:r>
      <w:r>
        <w:rPr>
          <w:color w:val="231F20"/>
          <w:spacing w:val="-39"/>
          <w:w w:val="105"/>
        </w:rPr>
        <w:t> </w:t>
      </w:r>
      <w:r>
        <w:rPr>
          <w:color w:val="231F20"/>
          <w:w w:val="105"/>
        </w:rPr>
        <w:t>características</w:t>
      </w:r>
      <w:r>
        <w:rPr>
          <w:color w:val="231F20"/>
          <w:spacing w:val="-39"/>
          <w:w w:val="105"/>
        </w:rPr>
        <w:t> </w:t>
      </w:r>
      <w:r>
        <w:rPr>
          <w:color w:val="231F20"/>
          <w:w w:val="105"/>
        </w:rPr>
        <w:t>y</w:t>
      </w:r>
      <w:r>
        <w:rPr>
          <w:color w:val="231F20"/>
          <w:spacing w:val="-39"/>
          <w:w w:val="105"/>
        </w:rPr>
        <w:t> </w:t>
      </w:r>
      <w:r>
        <w:rPr>
          <w:color w:val="231F20"/>
          <w:w w:val="105"/>
        </w:rPr>
        <w:t>procesos</w:t>
      </w:r>
      <w:r>
        <w:rPr>
          <w:color w:val="231F20"/>
          <w:spacing w:val="-39"/>
          <w:w w:val="105"/>
        </w:rPr>
        <w:t> </w:t>
      </w:r>
      <w:r>
        <w:rPr>
          <w:color w:val="231F20"/>
          <w:w w:val="105"/>
        </w:rPr>
        <w:t>vinculados</w:t>
      </w:r>
      <w:r>
        <w:rPr>
          <w:color w:val="231F20"/>
          <w:spacing w:val="-39"/>
          <w:w w:val="105"/>
        </w:rPr>
        <w:t> </w:t>
      </w:r>
      <w:r>
        <w:rPr>
          <w:color w:val="231F20"/>
          <w:w w:val="105"/>
        </w:rPr>
        <w:t>a</w:t>
      </w:r>
      <w:r>
        <w:rPr>
          <w:color w:val="231F20"/>
          <w:spacing w:val="-39"/>
          <w:w w:val="105"/>
        </w:rPr>
        <w:t> </w:t>
      </w:r>
      <w:r>
        <w:rPr>
          <w:color w:val="231F20"/>
          <w:w w:val="105"/>
        </w:rPr>
        <w:t>las</w:t>
      </w:r>
      <w:r>
        <w:rPr>
          <w:color w:val="231F20"/>
          <w:spacing w:val="-39"/>
          <w:w w:val="105"/>
        </w:rPr>
        <w:t> </w:t>
      </w:r>
      <w:r>
        <w:rPr>
          <w:color w:val="231F20"/>
          <w:w w:val="105"/>
        </w:rPr>
        <w:t>interacciones</w:t>
      </w:r>
      <w:r>
        <w:rPr>
          <w:color w:val="231F20"/>
          <w:spacing w:val="-39"/>
          <w:w w:val="105"/>
        </w:rPr>
        <w:t> </w:t>
      </w:r>
      <w:r>
        <w:rPr>
          <w:color w:val="231F20"/>
          <w:w w:val="105"/>
        </w:rPr>
        <w:t>estableci- dos</w:t>
      </w:r>
      <w:r>
        <w:rPr>
          <w:color w:val="231F20"/>
          <w:spacing w:val="-21"/>
          <w:w w:val="105"/>
        </w:rPr>
        <w:t> </w:t>
      </w:r>
      <w:r>
        <w:rPr>
          <w:color w:val="231F20"/>
          <w:w w:val="105"/>
        </w:rPr>
        <w:t>entre</w:t>
      </w:r>
      <w:r>
        <w:rPr>
          <w:color w:val="231F20"/>
          <w:spacing w:val="-21"/>
          <w:w w:val="105"/>
        </w:rPr>
        <w:t> </w:t>
      </w:r>
      <w:r>
        <w:rPr>
          <w:color w:val="231F20"/>
          <w:w w:val="105"/>
        </w:rPr>
        <w:t>agentes</w:t>
      </w:r>
      <w:r>
        <w:rPr>
          <w:color w:val="231F20"/>
          <w:spacing w:val="-21"/>
          <w:w w:val="105"/>
        </w:rPr>
        <w:t> </w:t>
      </w:r>
      <w:r>
        <w:rPr>
          <w:color w:val="231F20"/>
          <w:w w:val="105"/>
        </w:rPr>
        <w:t>e</w:t>
      </w:r>
      <w:r>
        <w:rPr>
          <w:color w:val="231F20"/>
          <w:spacing w:val="-21"/>
          <w:w w:val="105"/>
        </w:rPr>
        <w:t> </w:t>
      </w:r>
      <w:r>
        <w:rPr>
          <w:color w:val="231F20"/>
          <w:w w:val="105"/>
        </w:rPr>
        <w:t>instituciones</w:t>
      </w:r>
      <w:r>
        <w:rPr>
          <w:color w:val="231F20"/>
          <w:spacing w:val="-21"/>
          <w:w w:val="105"/>
        </w:rPr>
        <w:t> </w:t>
      </w:r>
      <w:r>
        <w:rPr>
          <w:color w:val="231F20"/>
          <w:w w:val="105"/>
        </w:rPr>
        <w:t>para</w:t>
      </w:r>
      <w:r>
        <w:rPr>
          <w:color w:val="231F20"/>
          <w:spacing w:val="-21"/>
          <w:w w:val="105"/>
        </w:rPr>
        <w:t> </w:t>
      </w:r>
      <w:r>
        <w:rPr>
          <w:color w:val="231F20"/>
          <w:w w:val="105"/>
        </w:rPr>
        <w:t>intercambiar,</w:t>
      </w:r>
      <w:r>
        <w:rPr>
          <w:color w:val="231F20"/>
          <w:spacing w:val="-26"/>
          <w:w w:val="105"/>
        </w:rPr>
        <w:t> </w:t>
      </w:r>
      <w:r>
        <w:rPr>
          <w:color w:val="231F20"/>
          <w:w w:val="105"/>
        </w:rPr>
        <w:t>compartir</w:t>
      </w:r>
      <w:r>
        <w:rPr>
          <w:color w:val="231F20"/>
          <w:spacing w:val="-21"/>
          <w:w w:val="105"/>
        </w:rPr>
        <w:t> </w:t>
      </w:r>
      <w:r>
        <w:rPr>
          <w:color w:val="231F20"/>
          <w:w w:val="105"/>
        </w:rPr>
        <w:t>y</w:t>
      </w:r>
      <w:r>
        <w:rPr>
          <w:color w:val="231F20"/>
          <w:spacing w:val="-21"/>
          <w:w w:val="105"/>
        </w:rPr>
        <w:t> </w:t>
      </w:r>
      <w:r>
        <w:rPr>
          <w:color w:val="231F20"/>
          <w:w w:val="105"/>
        </w:rPr>
        <w:t>desarro- llar</w:t>
      </w:r>
      <w:r>
        <w:rPr>
          <w:color w:val="231F20"/>
          <w:spacing w:val="-21"/>
          <w:w w:val="105"/>
        </w:rPr>
        <w:t> </w:t>
      </w:r>
      <w:r>
        <w:rPr>
          <w:color w:val="231F20"/>
          <w:w w:val="105"/>
        </w:rPr>
        <w:t>conocimiento,</w:t>
      </w:r>
      <w:r>
        <w:rPr>
          <w:color w:val="231F20"/>
          <w:spacing w:val="-26"/>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los</w:t>
      </w:r>
      <w:r>
        <w:rPr>
          <w:color w:val="231F20"/>
          <w:spacing w:val="-21"/>
          <w:w w:val="105"/>
        </w:rPr>
        <w:t> </w:t>
      </w:r>
      <w:r>
        <w:rPr>
          <w:color w:val="231F20"/>
          <w:w w:val="105"/>
        </w:rPr>
        <w:t>efectos</w:t>
      </w:r>
      <w:r>
        <w:rPr>
          <w:color w:val="231F20"/>
          <w:spacing w:val="-21"/>
          <w:w w:val="105"/>
        </w:rPr>
        <w:t> </w:t>
      </w:r>
      <w:r>
        <w:rPr>
          <w:color w:val="231F20"/>
          <w:w w:val="105"/>
        </w:rPr>
        <w:t>de</w:t>
      </w:r>
      <w:r>
        <w:rPr>
          <w:color w:val="231F20"/>
          <w:spacing w:val="-21"/>
          <w:w w:val="105"/>
        </w:rPr>
        <w:t> </w:t>
      </w:r>
      <w:r>
        <w:rPr>
          <w:color w:val="231F20"/>
          <w:w w:val="105"/>
        </w:rPr>
        <w:t>dichas</w:t>
      </w:r>
      <w:r>
        <w:rPr>
          <w:color w:val="231F20"/>
          <w:spacing w:val="-21"/>
          <w:w w:val="105"/>
        </w:rPr>
        <w:t> </w:t>
      </w:r>
      <w:r>
        <w:rPr>
          <w:color w:val="231F20"/>
          <w:w w:val="105"/>
        </w:rPr>
        <w:t>relaciones.</w:t>
      </w:r>
    </w:p>
    <w:p>
      <w:pPr>
        <w:pStyle w:val="BodyText"/>
        <w:spacing w:line="259" w:lineRule="auto"/>
        <w:ind w:left="103" w:right="115" w:firstLine="567"/>
        <w:jc w:val="both"/>
      </w:pPr>
      <w:r>
        <w:rPr>
          <w:color w:val="231F20"/>
          <w:w w:val="105"/>
        </w:rPr>
        <w:t>A partir de la propuesta presentada en las líneas precedentes,</w:t>
      </w:r>
      <w:r>
        <w:rPr>
          <w:color w:val="231F20"/>
          <w:spacing w:val="-42"/>
          <w:w w:val="105"/>
        </w:rPr>
        <w:t> </w:t>
      </w:r>
      <w:r>
        <w:rPr>
          <w:color w:val="231F20"/>
          <w:w w:val="105"/>
        </w:rPr>
        <w:t>se considera</w:t>
      </w:r>
      <w:r>
        <w:rPr>
          <w:color w:val="231F20"/>
          <w:spacing w:val="-15"/>
          <w:w w:val="105"/>
        </w:rPr>
        <w:t> </w:t>
      </w:r>
      <w:r>
        <w:rPr>
          <w:color w:val="231F20"/>
          <w:w w:val="105"/>
        </w:rPr>
        <w:t>que</w:t>
      </w:r>
      <w:r>
        <w:rPr>
          <w:color w:val="231F20"/>
          <w:spacing w:val="-15"/>
          <w:w w:val="105"/>
        </w:rPr>
        <w:t> </w:t>
      </w:r>
      <w:r>
        <w:rPr>
          <w:color w:val="231F20"/>
          <w:w w:val="105"/>
        </w:rPr>
        <w:t>es</w:t>
      </w:r>
      <w:r>
        <w:rPr>
          <w:color w:val="231F20"/>
          <w:spacing w:val="-15"/>
          <w:w w:val="105"/>
        </w:rPr>
        <w:t> </w:t>
      </w:r>
      <w:r>
        <w:rPr>
          <w:color w:val="231F20"/>
          <w:w w:val="105"/>
        </w:rPr>
        <w:t>factible</w:t>
      </w:r>
      <w:r>
        <w:rPr>
          <w:color w:val="231F20"/>
          <w:spacing w:val="-15"/>
          <w:w w:val="105"/>
        </w:rPr>
        <w:t> </w:t>
      </w:r>
      <w:r>
        <w:rPr>
          <w:color w:val="231F20"/>
          <w:w w:val="105"/>
        </w:rPr>
        <w:t>abrir</w:t>
      </w:r>
      <w:r>
        <w:rPr>
          <w:color w:val="231F20"/>
          <w:spacing w:val="-15"/>
          <w:w w:val="105"/>
        </w:rPr>
        <w:t> </w:t>
      </w:r>
      <w:r>
        <w:rPr>
          <w:color w:val="231F20"/>
          <w:w w:val="105"/>
        </w:rPr>
        <w:t>posibilidades</w:t>
      </w:r>
      <w:r>
        <w:rPr>
          <w:color w:val="231F20"/>
          <w:spacing w:val="-15"/>
          <w:w w:val="105"/>
        </w:rPr>
        <w:t> </w:t>
      </w:r>
      <w:r>
        <w:rPr>
          <w:color w:val="231F20"/>
          <w:w w:val="105"/>
        </w:rPr>
        <w:t>de</w:t>
      </w:r>
      <w:r>
        <w:rPr>
          <w:color w:val="231F20"/>
          <w:spacing w:val="-15"/>
          <w:w w:val="105"/>
        </w:rPr>
        <w:t> </w:t>
      </w:r>
      <w:r>
        <w:rPr>
          <w:color w:val="231F20"/>
          <w:w w:val="105"/>
        </w:rPr>
        <w:t>investigación</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fina- lidad de comprobar empíricamente tal marco metodológico y con ello confirmar la viabilidad de los elementos presentados para estudiar las redes y el</w:t>
      </w:r>
      <w:r>
        <w:rPr>
          <w:color w:val="231F20"/>
          <w:spacing w:val="-39"/>
          <w:w w:val="105"/>
        </w:rPr>
        <w:t> </w:t>
      </w:r>
      <w:r>
        <w:rPr>
          <w:color w:val="231F20"/>
          <w:w w:val="105"/>
        </w:rPr>
        <w:t>conocimiento.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2632"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w w:val="105"/>
          <w:position w:val="-5"/>
          <w:sz w:val="20"/>
        </w:rPr>
        <w:t>132</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5320"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133</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rPr>
          <w:sz w:val="19"/>
        </w:rPr>
      </w:pPr>
    </w:p>
    <w:p>
      <w:pPr>
        <w:pStyle w:val="Heading2"/>
        <w:spacing w:before="55"/>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w w:val="105"/>
          <w:sz w:val="21"/>
        </w:rPr>
        <w:t>Aboites, J y Soria, M. (2008). </w:t>
      </w:r>
      <w:r>
        <w:rPr>
          <w:i/>
          <w:color w:val="231F20"/>
          <w:w w:val="105"/>
          <w:sz w:val="21"/>
        </w:rPr>
        <w:t>Economía del conocimiento y propiedad </w:t>
      </w:r>
      <w:r>
        <w:rPr>
          <w:i/>
          <w:color w:val="231F20"/>
          <w:w w:val="105"/>
          <w:sz w:val="21"/>
        </w:rPr>
        <w:t>intelectual. Lecciones para la economía mexicana</w:t>
      </w:r>
      <w:r>
        <w:rPr>
          <w:color w:val="231F20"/>
          <w:w w:val="105"/>
          <w:sz w:val="21"/>
        </w:rPr>
        <w:t>. Universidad Autónoma Metropolitana/Siglo XXI, México.</w:t>
      </w:r>
    </w:p>
    <w:p>
      <w:pPr>
        <w:pStyle w:val="BodyText"/>
        <w:spacing w:line="259" w:lineRule="auto"/>
        <w:ind w:left="854" w:right="121" w:hanging="738"/>
        <w:jc w:val="both"/>
      </w:pPr>
      <w:r>
        <w:rPr>
          <w:color w:val="231F20"/>
          <w:w w:val="105"/>
        </w:rPr>
        <w:t>ARSChile</w:t>
      </w:r>
      <w:r>
        <w:rPr>
          <w:color w:val="231F20"/>
          <w:spacing w:val="-35"/>
          <w:w w:val="105"/>
        </w:rPr>
        <w:t> </w:t>
      </w:r>
      <w:r>
        <w:rPr>
          <w:color w:val="231F20"/>
          <w:w w:val="105"/>
        </w:rPr>
        <w:t>(2014).</w:t>
      </w:r>
      <w:r>
        <w:rPr>
          <w:color w:val="231F20"/>
          <w:spacing w:val="-38"/>
          <w:w w:val="105"/>
        </w:rPr>
        <w:t> </w:t>
      </w:r>
      <w:r>
        <w:rPr>
          <w:color w:val="231F20"/>
          <w:w w:val="105"/>
        </w:rPr>
        <w:t>“Análisis</w:t>
      </w:r>
      <w:r>
        <w:rPr>
          <w:color w:val="231F20"/>
          <w:spacing w:val="-35"/>
          <w:w w:val="105"/>
        </w:rPr>
        <w:t> </w:t>
      </w:r>
      <w:r>
        <w:rPr>
          <w:color w:val="231F20"/>
          <w:w w:val="105"/>
        </w:rPr>
        <w:t>de</w:t>
      </w:r>
      <w:r>
        <w:rPr>
          <w:color w:val="231F20"/>
          <w:spacing w:val="-35"/>
          <w:w w:val="105"/>
        </w:rPr>
        <w:t> </w:t>
      </w:r>
      <w:r>
        <w:rPr>
          <w:color w:val="231F20"/>
          <w:w w:val="105"/>
        </w:rPr>
        <w:t>Redes</w:t>
      </w:r>
      <w:r>
        <w:rPr>
          <w:color w:val="231F20"/>
          <w:spacing w:val="-35"/>
          <w:w w:val="105"/>
        </w:rPr>
        <w:t> </w:t>
      </w:r>
      <w:r>
        <w:rPr>
          <w:color w:val="231F20"/>
          <w:w w:val="105"/>
        </w:rPr>
        <w:t>Sociales”</w:t>
      </w:r>
      <w:r>
        <w:rPr>
          <w:color w:val="231F20"/>
          <w:spacing w:val="-35"/>
          <w:w w:val="105"/>
        </w:rPr>
        <w:t> </w:t>
      </w:r>
      <w:r>
        <w:rPr>
          <w:color w:val="231F20"/>
          <w:w w:val="105"/>
        </w:rPr>
        <w:t>Disponible</w:t>
      </w:r>
      <w:r>
        <w:rPr>
          <w:color w:val="231F20"/>
          <w:spacing w:val="-35"/>
          <w:w w:val="105"/>
        </w:rPr>
        <w:t> </w:t>
      </w:r>
      <w:r>
        <w:rPr>
          <w:color w:val="231F20"/>
          <w:w w:val="105"/>
        </w:rPr>
        <w:t>en:</w:t>
      </w:r>
      <w:r>
        <w:rPr>
          <w:color w:val="231F20"/>
          <w:spacing w:val="-35"/>
          <w:w w:val="105"/>
        </w:rPr>
        <w:t> </w:t>
      </w:r>
      <w:hyperlink r:id="rId75">
        <w:r>
          <w:rPr>
            <w:color w:val="231F20"/>
            <w:w w:val="105"/>
          </w:rPr>
          <w:t>http://www.</w:t>
        </w:r>
      </w:hyperlink>
      <w:r>
        <w:rPr>
          <w:color w:val="231F20"/>
          <w:w w:val="105"/>
        </w:rPr>
        <w:t> arschile.cl/ucinet/</w:t>
      </w:r>
      <w:r>
        <w:rPr>
          <w:color w:val="231F20"/>
          <w:spacing w:val="-8"/>
          <w:w w:val="105"/>
        </w:rPr>
        <w:t> </w:t>
      </w:r>
      <w:r>
        <w:rPr>
          <w:color w:val="231F20"/>
          <w:w w:val="105"/>
        </w:rPr>
        <w:t>Consultado</w:t>
      </w:r>
      <w:r>
        <w:rPr>
          <w:color w:val="231F20"/>
          <w:spacing w:val="-8"/>
          <w:w w:val="105"/>
        </w:rPr>
        <w:t> </w:t>
      </w:r>
      <w:r>
        <w:rPr>
          <w:color w:val="231F20"/>
          <w:w w:val="105"/>
        </w:rPr>
        <w:t>el</w:t>
      </w:r>
      <w:r>
        <w:rPr>
          <w:color w:val="231F20"/>
          <w:spacing w:val="-8"/>
          <w:w w:val="105"/>
        </w:rPr>
        <w:t> </w:t>
      </w:r>
      <w:r>
        <w:rPr>
          <w:color w:val="231F20"/>
          <w:w w:val="105"/>
        </w:rPr>
        <w:t>15</w:t>
      </w:r>
      <w:r>
        <w:rPr>
          <w:color w:val="231F20"/>
          <w:spacing w:val="-8"/>
          <w:w w:val="105"/>
        </w:rPr>
        <w:t> </w:t>
      </w:r>
      <w:r>
        <w:rPr>
          <w:color w:val="231F20"/>
          <w:w w:val="105"/>
        </w:rPr>
        <w:t>de</w:t>
      </w:r>
      <w:r>
        <w:rPr>
          <w:color w:val="231F20"/>
          <w:spacing w:val="-8"/>
          <w:w w:val="105"/>
        </w:rPr>
        <w:t> </w:t>
      </w:r>
      <w:r>
        <w:rPr>
          <w:color w:val="231F20"/>
          <w:w w:val="105"/>
        </w:rPr>
        <w:t>abril</w:t>
      </w:r>
      <w:r>
        <w:rPr>
          <w:color w:val="231F20"/>
          <w:spacing w:val="-8"/>
          <w:w w:val="105"/>
        </w:rPr>
        <w:t> </w:t>
      </w:r>
      <w:r>
        <w:rPr>
          <w:color w:val="231F20"/>
          <w:w w:val="105"/>
        </w:rPr>
        <w:t>de</w:t>
      </w:r>
      <w:r>
        <w:rPr>
          <w:color w:val="231F20"/>
          <w:spacing w:val="-8"/>
          <w:w w:val="105"/>
        </w:rPr>
        <w:t> </w:t>
      </w:r>
      <w:r>
        <w:rPr>
          <w:color w:val="231F20"/>
          <w:w w:val="105"/>
        </w:rPr>
        <w:t>2014.</w:t>
      </w:r>
    </w:p>
    <w:p>
      <w:pPr>
        <w:spacing w:line="259" w:lineRule="auto" w:before="0"/>
        <w:ind w:left="854" w:right="115" w:hanging="738"/>
        <w:jc w:val="both"/>
        <w:rPr>
          <w:sz w:val="21"/>
        </w:rPr>
      </w:pPr>
      <w:r>
        <w:rPr>
          <w:color w:val="231F20"/>
          <w:w w:val="105"/>
          <w:sz w:val="21"/>
        </w:rPr>
        <w:t>Bueno, E. (2008). “La sociedad del conocimiento: una realidad inaca- </w:t>
      </w:r>
      <w:r>
        <w:rPr>
          <w:color w:val="231F20"/>
          <w:spacing w:val="-6"/>
          <w:w w:val="105"/>
          <w:sz w:val="21"/>
        </w:rPr>
        <w:t>bada”, </w:t>
      </w:r>
      <w:r>
        <w:rPr>
          <w:color w:val="231F20"/>
          <w:w w:val="105"/>
          <w:sz w:val="21"/>
        </w:rPr>
        <w:t>en J. Micheli, E. Medellín, A. Hidalgo y J. Jasso</w:t>
      </w:r>
      <w:r>
        <w:rPr>
          <w:color w:val="231F20"/>
          <w:spacing w:val="-33"/>
          <w:w w:val="105"/>
          <w:sz w:val="21"/>
        </w:rPr>
        <w:t> </w:t>
      </w:r>
      <w:r>
        <w:rPr>
          <w:color w:val="231F20"/>
          <w:w w:val="105"/>
          <w:sz w:val="21"/>
        </w:rPr>
        <w:t>(coords.) en: </w:t>
      </w:r>
      <w:r>
        <w:rPr>
          <w:i/>
          <w:color w:val="231F20"/>
          <w:w w:val="105"/>
          <w:sz w:val="21"/>
        </w:rPr>
        <w:t>Conocimiento e innovación: retos de la gestión</w:t>
      </w:r>
      <w:r>
        <w:rPr>
          <w:i/>
          <w:color w:val="231F20"/>
          <w:spacing w:val="-33"/>
          <w:w w:val="105"/>
          <w:sz w:val="21"/>
        </w:rPr>
        <w:t> </w:t>
      </w:r>
      <w:r>
        <w:rPr>
          <w:i/>
          <w:color w:val="231F20"/>
          <w:w w:val="105"/>
          <w:sz w:val="21"/>
        </w:rPr>
        <w:t>empresarial</w:t>
      </w:r>
      <w:r>
        <w:rPr>
          <w:color w:val="231F20"/>
          <w:w w:val="105"/>
          <w:sz w:val="21"/>
        </w:rPr>
        <w:t>. </w:t>
      </w:r>
      <w:r>
        <w:rPr>
          <w:color w:val="231F20"/>
          <w:sz w:val="21"/>
        </w:rPr>
        <w:t>UAM/UNAM/PLAZA YVALDES, México, pp.</w:t>
      </w:r>
      <w:r>
        <w:rPr>
          <w:color w:val="231F20"/>
          <w:spacing w:val="-8"/>
          <w:sz w:val="21"/>
        </w:rPr>
        <w:t> </w:t>
      </w:r>
      <w:r>
        <w:rPr>
          <w:color w:val="231F20"/>
          <w:sz w:val="21"/>
        </w:rPr>
        <w:t>25-55.</w:t>
      </w:r>
    </w:p>
    <w:p>
      <w:pPr>
        <w:spacing w:line="259" w:lineRule="auto" w:before="0"/>
        <w:ind w:left="854" w:right="121" w:hanging="738"/>
        <w:jc w:val="both"/>
        <w:rPr>
          <w:sz w:val="21"/>
        </w:rPr>
      </w:pPr>
      <w:r>
        <w:rPr>
          <w:color w:val="231F20"/>
          <w:w w:val="105"/>
          <w:sz w:val="21"/>
        </w:rPr>
        <w:t>Casas,</w:t>
      </w:r>
      <w:r>
        <w:rPr>
          <w:color w:val="231F20"/>
          <w:spacing w:val="-25"/>
          <w:w w:val="105"/>
          <w:sz w:val="21"/>
        </w:rPr>
        <w:t> </w:t>
      </w:r>
      <w:r>
        <w:rPr>
          <w:color w:val="231F20"/>
          <w:w w:val="105"/>
          <w:sz w:val="21"/>
        </w:rPr>
        <w:t>R.</w:t>
      </w:r>
      <w:r>
        <w:rPr>
          <w:color w:val="231F20"/>
          <w:spacing w:val="-25"/>
          <w:w w:val="105"/>
          <w:sz w:val="21"/>
        </w:rPr>
        <w:t> </w:t>
      </w:r>
      <w:r>
        <w:rPr>
          <w:color w:val="231F20"/>
          <w:w w:val="105"/>
          <w:sz w:val="21"/>
        </w:rPr>
        <w:t>(2001).</w:t>
      </w:r>
      <w:r>
        <w:rPr>
          <w:color w:val="231F20"/>
          <w:spacing w:val="-26"/>
          <w:w w:val="105"/>
          <w:sz w:val="21"/>
        </w:rPr>
        <w:t> </w:t>
      </w:r>
      <w:r>
        <w:rPr>
          <w:color w:val="231F20"/>
          <w:w w:val="105"/>
          <w:sz w:val="21"/>
        </w:rPr>
        <w:t>“Introducción</w:t>
      </w:r>
      <w:r>
        <w:rPr>
          <w:color w:val="231F20"/>
          <w:spacing w:val="-22"/>
          <w:w w:val="105"/>
          <w:sz w:val="21"/>
        </w:rPr>
        <w:t> </w:t>
      </w:r>
      <w:r>
        <w:rPr>
          <w:color w:val="231F20"/>
          <w:spacing w:val="-4"/>
          <w:w w:val="105"/>
          <w:sz w:val="21"/>
        </w:rPr>
        <w:t>General”,</w:t>
      </w:r>
      <w:r>
        <w:rPr>
          <w:color w:val="231F20"/>
          <w:spacing w:val="-25"/>
          <w:w w:val="105"/>
          <w:sz w:val="21"/>
        </w:rPr>
        <w:t> </w:t>
      </w:r>
      <w:r>
        <w:rPr>
          <w:color w:val="231F20"/>
          <w:w w:val="105"/>
          <w:sz w:val="21"/>
        </w:rPr>
        <w:t>en</w:t>
      </w:r>
      <w:r>
        <w:rPr>
          <w:color w:val="231F20"/>
          <w:spacing w:val="-22"/>
          <w:w w:val="105"/>
          <w:sz w:val="21"/>
        </w:rPr>
        <w:t> </w:t>
      </w:r>
      <w:r>
        <w:rPr>
          <w:color w:val="231F20"/>
          <w:w w:val="105"/>
          <w:sz w:val="21"/>
        </w:rPr>
        <w:t>R.</w:t>
      </w:r>
      <w:r>
        <w:rPr>
          <w:color w:val="231F20"/>
          <w:spacing w:val="-25"/>
          <w:w w:val="105"/>
          <w:sz w:val="21"/>
        </w:rPr>
        <w:t> </w:t>
      </w:r>
      <w:r>
        <w:rPr>
          <w:color w:val="231F20"/>
          <w:w w:val="105"/>
          <w:sz w:val="21"/>
        </w:rPr>
        <w:t>Casas</w:t>
      </w:r>
      <w:r>
        <w:rPr>
          <w:color w:val="231F20"/>
          <w:spacing w:val="-22"/>
          <w:w w:val="105"/>
          <w:sz w:val="21"/>
        </w:rPr>
        <w:t> </w:t>
      </w:r>
      <w:r>
        <w:rPr>
          <w:color w:val="231F20"/>
          <w:w w:val="105"/>
          <w:sz w:val="21"/>
        </w:rPr>
        <w:t>(coord.)</w:t>
      </w:r>
      <w:r>
        <w:rPr>
          <w:color w:val="231F20"/>
          <w:spacing w:val="-22"/>
          <w:w w:val="105"/>
          <w:sz w:val="21"/>
        </w:rPr>
        <w:t> </w:t>
      </w:r>
      <w:r>
        <w:rPr>
          <w:color w:val="231F20"/>
          <w:w w:val="105"/>
          <w:sz w:val="21"/>
        </w:rPr>
        <w:t>en:</w:t>
      </w:r>
      <w:r>
        <w:rPr>
          <w:color w:val="231F20"/>
          <w:spacing w:val="-22"/>
          <w:w w:val="105"/>
          <w:sz w:val="21"/>
        </w:rPr>
        <w:t> </w:t>
      </w:r>
      <w:r>
        <w:rPr>
          <w:i/>
          <w:color w:val="231F20"/>
          <w:w w:val="105"/>
          <w:sz w:val="21"/>
        </w:rPr>
        <w:t>La</w:t>
      </w:r>
      <w:r>
        <w:rPr>
          <w:i/>
          <w:color w:val="231F20"/>
          <w:spacing w:val="-22"/>
          <w:w w:val="105"/>
          <w:sz w:val="21"/>
        </w:rPr>
        <w:t> </w:t>
      </w:r>
      <w:r>
        <w:rPr>
          <w:i/>
          <w:color w:val="231F20"/>
          <w:w w:val="105"/>
          <w:sz w:val="21"/>
        </w:rPr>
        <w:t>for- </w:t>
      </w:r>
      <w:r>
        <w:rPr>
          <w:i/>
          <w:color w:val="231F20"/>
          <w:w w:val="105"/>
          <w:sz w:val="21"/>
        </w:rPr>
        <w:t>mación</w:t>
      </w:r>
      <w:r>
        <w:rPr>
          <w:i/>
          <w:color w:val="231F20"/>
          <w:spacing w:val="-12"/>
          <w:w w:val="105"/>
          <w:sz w:val="21"/>
        </w:rPr>
        <w:t> </w:t>
      </w:r>
      <w:r>
        <w:rPr>
          <w:i/>
          <w:color w:val="231F20"/>
          <w:w w:val="105"/>
          <w:sz w:val="21"/>
        </w:rPr>
        <w:t>de</w:t>
      </w:r>
      <w:r>
        <w:rPr>
          <w:i/>
          <w:color w:val="231F20"/>
          <w:spacing w:val="-12"/>
          <w:w w:val="105"/>
          <w:sz w:val="21"/>
        </w:rPr>
        <w:t> </w:t>
      </w:r>
      <w:r>
        <w:rPr>
          <w:i/>
          <w:color w:val="231F20"/>
          <w:w w:val="105"/>
          <w:sz w:val="21"/>
        </w:rPr>
        <w:t>redes</w:t>
      </w:r>
      <w:r>
        <w:rPr>
          <w:i/>
          <w:color w:val="231F20"/>
          <w:spacing w:val="-12"/>
          <w:w w:val="105"/>
          <w:sz w:val="21"/>
        </w:rPr>
        <w:t> </w:t>
      </w:r>
      <w:r>
        <w:rPr>
          <w:i/>
          <w:color w:val="231F20"/>
          <w:w w:val="105"/>
          <w:sz w:val="21"/>
        </w:rPr>
        <w:t>de</w:t>
      </w:r>
      <w:r>
        <w:rPr>
          <w:i/>
          <w:color w:val="231F20"/>
          <w:spacing w:val="-12"/>
          <w:w w:val="105"/>
          <w:sz w:val="21"/>
        </w:rPr>
        <w:t> </w:t>
      </w:r>
      <w:r>
        <w:rPr>
          <w:i/>
          <w:color w:val="231F20"/>
          <w:w w:val="105"/>
          <w:sz w:val="21"/>
        </w:rPr>
        <w:t>conocimiento.</w:t>
      </w:r>
      <w:r>
        <w:rPr>
          <w:i/>
          <w:color w:val="231F20"/>
          <w:spacing w:val="-17"/>
          <w:w w:val="105"/>
          <w:sz w:val="21"/>
        </w:rPr>
        <w:t> </w:t>
      </w:r>
      <w:r>
        <w:rPr>
          <w:i/>
          <w:color w:val="231F20"/>
          <w:w w:val="105"/>
          <w:sz w:val="21"/>
        </w:rPr>
        <w:t>Una</w:t>
      </w:r>
      <w:r>
        <w:rPr>
          <w:i/>
          <w:color w:val="231F20"/>
          <w:spacing w:val="-12"/>
          <w:w w:val="105"/>
          <w:sz w:val="21"/>
        </w:rPr>
        <w:t> </w:t>
      </w:r>
      <w:r>
        <w:rPr>
          <w:i/>
          <w:color w:val="231F20"/>
          <w:w w:val="105"/>
          <w:sz w:val="21"/>
        </w:rPr>
        <w:t>perspectiva</w:t>
      </w:r>
      <w:r>
        <w:rPr>
          <w:i/>
          <w:color w:val="231F20"/>
          <w:spacing w:val="-12"/>
          <w:w w:val="105"/>
          <w:sz w:val="21"/>
        </w:rPr>
        <w:t> </w:t>
      </w:r>
      <w:r>
        <w:rPr>
          <w:i/>
          <w:color w:val="231F20"/>
          <w:w w:val="105"/>
          <w:sz w:val="21"/>
        </w:rPr>
        <w:t>desde</w:t>
      </w:r>
      <w:r>
        <w:rPr>
          <w:i/>
          <w:color w:val="231F20"/>
          <w:spacing w:val="-12"/>
          <w:w w:val="105"/>
          <w:sz w:val="21"/>
        </w:rPr>
        <w:t> </w:t>
      </w:r>
      <w:r>
        <w:rPr>
          <w:i/>
          <w:color w:val="231F20"/>
          <w:w w:val="105"/>
          <w:sz w:val="21"/>
        </w:rPr>
        <w:t>Méxi- co</w:t>
      </w:r>
      <w:r>
        <w:rPr>
          <w:color w:val="231F20"/>
          <w:w w:val="105"/>
          <w:sz w:val="21"/>
        </w:rPr>
        <w:t>.</w:t>
      </w:r>
      <w:r>
        <w:rPr>
          <w:color w:val="231F20"/>
          <w:spacing w:val="-34"/>
          <w:w w:val="105"/>
          <w:sz w:val="21"/>
        </w:rPr>
        <w:t> </w:t>
      </w:r>
      <w:r>
        <w:rPr>
          <w:color w:val="231F20"/>
          <w:w w:val="105"/>
          <w:sz w:val="21"/>
        </w:rPr>
        <w:t>Anthropos/UNAM,</w:t>
      </w:r>
      <w:r>
        <w:rPr>
          <w:color w:val="231F20"/>
          <w:spacing w:val="-32"/>
          <w:w w:val="105"/>
          <w:sz w:val="21"/>
        </w:rPr>
        <w:t> </w:t>
      </w:r>
      <w:r>
        <w:rPr>
          <w:color w:val="231F20"/>
          <w:w w:val="105"/>
          <w:sz w:val="21"/>
        </w:rPr>
        <w:t>España,</w:t>
      </w:r>
      <w:r>
        <w:rPr>
          <w:color w:val="231F20"/>
          <w:spacing w:val="-32"/>
          <w:w w:val="105"/>
          <w:sz w:val="21"/>
        </w:rPr>
        <w:t> </w:t>
      </w:r>
      <w:r>
        <w:rPr>
          <w:color w:val="231F20"/>
          <w:w w:val="105"/>
          <w:sz w:val="21"/>
        </w:rPr>
        <w:t>pp.</w:t>
      </w:r>
      <w:r>
        <w:rPr>
          <w:color w:val="231F20"/>
          <w:spacing w:val="-32"/>
          <w:w w:val="105"/>
          <w:sz w:val="21"/>
        </w:rPr>
        <w:t> </w:t>
      </w:r>
      <w:r>
        <w:rPr>
          <w:color w:val="231F20"/>
          <w:w w:val="105"/>
          <w:sz w:val="21"/>
        </w:rPr>
        <w:t>13-34.</w:t>
      </w:r>
    </w:p>
    <w:p>
      <w:pPr>
        <w:spacing w:line="259" w:lineRule="auto" w:before="0"/>
        <w:ind w:left="854" w:right="115" w:hanging="738"/>
        <w:jc w:val="both"/>
        <w:rPr>
          <w:sz w:val="21"/>
        </w:rPr>
      </w:pPr>
      <w:r>
        <w:rPr>
          <w:color w:val="231F20"/>
          <w:sz w:val="21"/>
        </w:rPr>
        <w:t>–––––––</w:t>
      </w:r>
      <w:r>
        <w:rPr>
          <w:color w:val="231F20"/>
          <w:spacing w:val="-6"/>
          <w:sz w:val="21"/>
        </w:rPr>
        <w:t> </w:t>
      </w:r>
      <w:r>
        <w:rPr>
          <w:color w:val="231F20"/>
          <w:sz w:val="21"/>
        </w:rPr>
        <w:t>(2003).</w:t>
      </w:r>
      <w:r>
        <w:rPr>
          <w:color w:val="231F20"/>
          <w:spacing w:val="-12"/>
          <w:sz w:val="21"/>
        </w:rPr>
        <w:t> </w:t>
      </w:r>
      <w:r>
        <w:rPr>
          <w:color w:val="231F20"/>
          <w:sz w:val="21"/>
        </w:rPr>
        <w:t>“Enfoque</w:t>
      </w:r>
      <w:r>
        <w:rPr>
          <w:color w:val="231F20"/>
          <w:spacing w:val="-6"/>
          <w:sz w:val="21"/>
        </w:rPr>
        <w:t> </w:t>
      </w:r>
      <w:r>
        <w:rPr>
          <w:color w:val="231F20"/>
          <w:sz w:val="21"/>
        </w:rPr>
        <w:t>para</w:t>
      </w:r>
      <w:r>
        <w:rPr>
          <w:color w:val="231F20"/>
          <w:spacing w:val="-6"/>
          <w:sz w:val="21"/>
        </w:rPr>
        <w:t> </w:t>
      </w:r>
      <w:r>
        <w:rPr>
          <w:color w:val="231F20"/>
          <w:sz w:val="21"/>
        </w:rPr>
        <w:t>el</w:t>
      </w:r>
      <w:r>
        <w:rPr>
          <w:color w:val="231F20"/>
          <w:spacing w:val="-6"/>
          <w:sz w:val="21"/>
        </w:rPr>
        <w:t> </w:t>
      </w:r>
      <w:r>
        <w:rPr>
          <w:color w:val="231F20"/>
          <w:sz w:val="21"/>
        </w:rPr>
        <w:t>análisis</w:t>
      </w:r>
      <w:r>
        <w:rPr>
          <w:color w:val="231F20"/>
          <w:spacing w:val="-6"/>
          <w:sz w:val="21"/>
        </w:rPr>
        <w:t> </w:t>
      </w:r>
      <w:r>
        <w:rPr>
          <w:color w:val="231F20"/>
          <w:sz w:val="21"/>
        </w:rPr>
        <w:t>de</w:t>
      </w:r>
      <w:r>
        <w:rPr>
          <w:color w:val="231F20"/>
          <w:spacing w:val="-6"/>
          <w:sz w:val="21"/>
        </w:rPr>
        <w:t> </w:t>
      </w:r>
      <w:r>
        <w:rPr>
          <w:color w:val="231F20"/>
          <w:sz w:val="21"/>
        </w:rPr>
        <w:t>redes</w:t>
      </w:r>
      <w:r>
        <w:rPr>
          <w:color w:val="231F20"/>
          <w:spacing w:val="-6"/>
          <w:sz w:val="21"/>
        </w:rPr>
        <w:t> </w:t>
      </w:r>
      <w:r>
        <w:rPr>
          <w:color w:val="231F20"/>
          <w:sz w:val="21"/>
        </w:rPr>
        <w:t>y</w:t>
      </w:r>
      <w:r>
        <w:rPr>
          <w:color w:val="231F20"/>
          <w:spacing w:val="-6"/>
          <w:sz w:val="21"/>
        </w:rPr>
        <w:t> </w:t>
      </w:r>
      <w:r>
        <w:rPr>
          <w:color w:val="231F20"/>
          <w:sz w:val="21"/>
        </w:rPr>
        <w:t>flujos</w:t>
      </w:r>
      <w:r>
        <w:rPr>
          <w:color w:val="231F20"/>
          <w:spacing w:val="-6"/>
          <w:sz w:val="21"/>
        </w:rPr>
        <w:t> </w:t>
      </w:r>
      <w:r>
        <w:rPr>
          <w:color w:val="231F20"/>
          <w:sz w:val="21"/>
        </w:rPr>
        <w:t>de</w:t>
      </w:r>
      <w:r>
        <w:rPr>
          <w:color w:val="231F20"/>
          <w:spacing w:val="-6"/>
          <w:sz w:val="21"/>
        </w:rPr>
        <w:t> </w:t>
      </w:r>
      <w:r>
        <w:rPr>
          <w:color w:val="231F20"/>
          <w:sz w:val="21"/>
        </w:rPr>
        <w:t>conocimien- </w:t>
      </w:r>
      <w:r>
        <w:rPr>
          <w:color w:val="231F20"/>
          <w:spacing w:val="-7"/>
          <w:sz w:val="21"/>
        </w:rPr>
        <w:t>to”, </w:t>
      </w:r>
      <w:r>
        <w:rPr>
          <w:color w:val="231F20"/>
          <w:sz w:val="21"/>
        </w:rPr>
        <w:t>en M. Luna (coord.). </w:t>
      </w:r>
      <w:r>
        <w:rPr>
          <w:i/>
          <w:color w:val="231F20"/>
          <w:sz w:val="21"/>
        </w:rPr>
        <w:t>Itinerarios del conocimiento; formas, di- </w:t>
      </w:r>
      <w:r>
        <w:rPr>
          <w:i/>
          <w:color w:val="231F20"/>
          <w:sz w:val="21"/>
        </w:rPr>
        <w:t>námicas y contenido. Un enfoque de redes</w:t>
      </w:r>
      <w:r>
        <w:rPr>
          <w:color w:val="231F20"/>
          <w:sz w:val="21"/>
        </w:rPr>
        <w:t>. Anthropos/UNAM, España,</w:t>
      </w:r>
      <w:r>
        <w:rPr>
          <w:color w:val="231F20"/>
          <w:spacing w:val="-16"/>
          <w:sz w:val="21"/>
        </w:rPr>
        <w:t> </w:t>
      </w:r>
      <w:r>
        <w:rPr>
          <w:color w:val="231F20"/>
          <w:sz w:val="21"/>
        </w:rPr>
        <w:t>pp.</w:t>
      </w:r>
      <w:r>
        <w:rPr>
          <w:color w:val="231F20"/>
          <w:spacing w:val="-16"/>
          <w:sz w:val="21"/>
        </w:rPr>
        <w:t> </w:t>
      </w:r>
      <w:r>
        <w:rPr>
          <w:color w:val="231F20"/>
          <w:sz w:val="21"/>
        </w:rPr>
        <w:t>19</w:t>
      </w:r>
      <w:r>
        <w:rPr>
          <w:color w:val="231F20"/>
          <w:spacing w:val="-9"/>
          <w:sz w:val="21"/>
        </w:rPr>
        <w:t> </w:t>
      </w:r>
      <w:r>
        <w:rPr>
          <w:color w:val="231F20"/>
          <w:sz w:val="21"/>
        </w:rPr>
        <w:t>–</w:t>
      </w:r>
      <w:r>
        <w:rPr>
          <w:color w:val="231F20"/>
          <w:spacing w:val="-9"/>
          <w:sz w:val="21"/>
        </w:rPr>
        <w:t> </w:t>
      </w:r>
      <w:r>
        <w:rPr>
          <w:color w:val="231F20"/>
          <w:sz w:val="21"/>
        </w:rPr>
        <w:t>50.</w:t>
      </w:r>
    </w:p>
    <w:p>
      <w:pPr>
        <w:spacing w:line="259" w:lineRule="auto" w:before="0"/>
        <w:ind w:left="854" w:right="121" w:hanging="738"/>
        <w:jc w:val="both"/>
        <w:rPr>
          <w:sz w:val="21"/>
        </w:rPr>
      </w:pPr>
      <w:r>
        <w:rPr>
          <w:color w:val="231F20"/>
          <w:sz w:val="21"/>
        </w:rPr>
        <w:t>Crovi,</w:t>
      </w:r>
      <w:r>
        <w:rPr>
          <w:color w:val="231F20"/>
          <w:spacing w:val="-11"/>
          <w:sz w:val="21"/>
        </w:rPr>
        <w:t> </w:t>
      </w:r>
      <w:r>
        <w:rPr>
          <w:color w:val="231F20"/>
          <w:spacing w:val="-4"/>
          <w:sz w:val="21"/>
        </w:rPr>
        <w:t>D.,</w:t>
      </w:r>
      <w:r>
        <w:rPr>
          <w:color w:val="231F20"/>
          <w:spacing w:val="-11"/>
          <w:sz w:val="21"/>
        </w:rPr>
        <w:t> </w:t>
      </w:r>
      <w:r>
        <w:rPr>
          <w:color w:val="231F20"/>
          <w:sz w:val="21"/>
        </w:rPr>
        <w:t>López</w:t>
      </w:r>
      <w:r>
        <w:rPr>
          <w:color w:val="231F20"/>
          <w:spacing w:val="-5"/>
          <w:sz w:val="21"/>
        </w:rPr>
        <w:t> </w:t>
      </w:r>
      <w:r>
        <w:rPr>
          <w:color w:val="231F20"/>
          <w:sz w:val="21"/>
        </w:rPr>
        <w:t>M.</w:t>
      </w:r>
      <w:r>
        <w:rPr>
          <w:color w:val="231F20"/>
          <w:spacing w:val="-11"/>
          <w:sz w:val="21"/>
        </w:rPr>
        <w:t> </w:t>
      </w:r>
      <w:r>
        <w:rPr>
          <w:color w:val="231F20"/>
          <w:sz w:val="21"/>
        </w:rPr>
        <w:t>y</w:t>
      </w:r>
      <w:r>
        <w:rPr>
          <w:color w:val="231F20"/>
          <w:spacing w:val="-5"/>
          <w:sz w:val="21"/>
        </w:rPr>
        <w:t> </w:t>
      </w:r>
      <w:r>
        <w:rPr>
          <w:color w:val="231F20"/>
          <w:sz w:val="21"/>
        </w:rPr>
        <w:t>López</w:t>
      </w:r>
      <w:r>
        <w:rPr>
          <w:color w:val="231F20"/>
          <w:spacing w:val="-5"/>
          <w:sz w:val="21"/>
        </w:rPr>
        <w:t> </w:t>
      </w:r>
      <w:r>
        <w:rPr>
          <w:color w:val="231F20"/>
          <w:sz w:val="21"/>
        </w:rPr>
        <w:t>R.</w:t>
      </w:r>
      <w:r>
        <w:rPr>
          <w:color w:val="231F20"/>
          <w:spacing w:val="-11"/>
          <w:sz w:val="21"/>
        </w:rPr>
        <w:t> </w:t>
      </w:r>
      <w:r>
        <w:rPr>
          <w:color w:val="231F20"/>
          <w:sz w:val="21"/>
        </w:rPr>
        <w:t>(2009).</w:t>
      </w:r>
      <w:r>
        <w:rPr>
          <w:color w:val="231F20"/>
          <w:spacing w:val="-11"/>
          <w:sz w:val="21"/>
        </w:rPr>
        <w:t> </w:t>
      </w:r>
      <w:r>
        <w:rPr>
          <w:i/>
          <w:color w:val="231F20"/>
          <w:sz w:val="21"/>
        </w:rPr>
        <w:t>Redes</w:t>
      </w:r>
      <w:r>
        <w:rPr>
          <w:i/>
          <w:color w:val="231F20"/>
          <w:spacing w:val="-5"/>
          <w:sz w:val="21"/>
        </w:rPr>
        <w:t> </w:t>
      </w:r>
      <w:r>
        <w:rPr>
          <w:i/>
          <w:color w:val="231F20"/>
          <w:sz w:val="21"/>
        </w:rPr>
        <w:t>sociales.</w:t>
      </w:r>
      <w:r>
        <w:rPr>
          <w:i/>
          <w:color w:val="231F20"/>
          <w:spacing w:val="-15"/>
          <w:sz w:val="21"/>
        </w:rPr>
        <w:t> </w:t>
      </w:r>
      <w:r>
        <w:rPr>
          <w:i/>
          <w:color w:val="231F20"/>
          <w:sz w:val="21"/>
        </w:rPr>
        <w:t>Análisis</w:t>
      </w:r>
      <w:r>
        <w:rPr>
          <w:i/>
          <w:color w:val="231F20"/>
          <w:spacing w:val="-5"/>
          <w:sz w:val="21"/>
        </w:rPr>
        <w:t> </w:t>
      </w:r>
      <w:r>
        <w:rPr>
          <w:i/>
          <w:color w:val="231F20"/>
          <w:sz w:val="21"/>
        </w:rPr>
        <w:t>y</w:t>
      </w:r>
      <w:r>
        <w:rPr>
          <w:i/>
          <w:color w:val="231F20"/>
          <w:spacing w:val="-5"/>
          <w:sz w:val="21"/>
        </w:rPr>
        <w:t> </w:t>
      </w:r>
      <w:r>
        <w:rPr>
          <w:i/>
          <w:color w:val="231F20"/>
          <w:sz w:val="21"/>
        </w:rPr>
        <w:t>aplicacio- </w:t>
      </w:r>
      <w:r>
        <w:rPr>
          <w:i/>
          <w:color w:val="231F20"/>
          <w:sz w:val="21"/>
        </w:rPr>
        <w:t>nes</w:t>
      </w:r>
      <w:r>
        <w:rPr>
          <w:color w:val="231F20"/>
          <w:sz w:val="21"/>
        </w:rPr>
        <w:t>.</w:t>
      </w:r>
      <w:r>
        <w:rPr>
          <w:color w:val="231F20"/>
          <w:spacing w:val="-22"/>
          <w:sz w:val="21"/>
        </w:rPr>
        <w:t> </w:t>
      </w:r>
      <w:r>
        <w:rPr>
          <w:color w:val="231F20"/>
          <w:sz w:val="21"/>
        </w:rPr>
        <w:t>UNAM/PLAZA</w:t>
      </w:r>
      <w:r>
        <w:rPr>
          <w:color w:val="231F20"/>
          <w:spacing w:val="-24"/>
          <w:sz w:val="21"/>
        </w:rPr>
        <w:t> </w:t>
      </w:r>
      <w:r>
        <w:rPr>
          <w:color w:val="231F20"/>
          <w:sz w:val="21"/>
        </w:rPr>
        <w:t>Y</w:t>
      </w:r>
      <w:r>
        <w:rPr>
          <w:color w:val="231F20"/>
          <w:spacing w:val="-24"/>
          <w:sz w:val="21"/>
        </w:rPr>
        <w:t> </w:t>
      </w:r>
      <w:r>
        <w:rPr>
          <w:color w:val="231F20"/>
          <w:sz w:val="21"/>
        </w:rPr>
        <w:t>VALDES,</w:t>
      </w:r>
      <w:r>
        <w:rPr>
          <w:color w:val="231F20"/>
          <w:spacing w:val="-22"/>
          <w:sz w:val="21"/>
        </w:rPr>
        <w:t> </w:t>
      </w:r>
      <w:r>
        <w:rPr>
          <w:color w:val="231F20"/>
          <w:sz w:val="21"/>
        </w:rPr>
        <w:t>México.</w:t>
      </w:r>
    </w:p>
    <w:p>
      <w:pPr>
        <w:spacing w:line="259" w:lineRule="auto" w:before="0"/>
        <w:ind w:left="854" w:right="121" w:hanging="738"/>
        <w:jc w:val="both"/>
        <w:rPr>
          <w:sz w:val="21"/>
        </w:rPr>
      </w:pPr>
      <w:r>
        <w:rPr>
          <w:color w:val="231F20"/>
          <w:w w:val="105"/>
          <w:sz w:val="21"/>
        </w:rPr>
        <w:t>Diez,</w:t>
      </w:r>
      <w:r>
        <w:rPr>
          <w:color w:val="231F20"/>
          <w:spacing w:val="-36"/>
          <w:w w:val="105"/>
          <w:sz w:val="21"/>
        </w:rPr>
        <w:t> </w:t>
      </w:r>
      <w:r>
        <w:rPr>
          <w:color w:val="231F20"/>
          <w:w w:val="105"/>
          <w:sz w:val="21"/>
        </w:rPr>
        <w:t>M.</w:t>
      </w:r>
      <w:r>
        <w:rPr>
          <w:color w:val="231F20"/>
          <w:spacing w:val="-36"/>
          <w:w w:val="105"/>
          <w:sz w:val="21"/>
        </w:rPr>
        <w:t> </w:t>
      </w:r>
      <w:r>
        <w:rPr>
          <w:color w:val="231F20"/>
          <w:w w:val="105"/>
          <w:sz w:val="21"/>
        </w:rPr>
        <w:t>(2002).</w:t>
      </w:r>
      <w:r>
        <w:rPr>
          <w:color w:val="231F20"/>
          <w:spacing w:val="-36"/>
          <w:w w:val="105"/>
          <w:sz w:val="21"/>
        </w:rPr>
        <w:t> </w:t>
      </w:r>
      <w:r>
        <w:rPr>
          <w:color w:val="231F20"/>
          <w:w w:val="105"/>
          <w:sz w:val="21"/>
        </w:rPr>
        <w:t>“Evaluating</w:t>
      </w:r>
      <w:r>
        <w:rPr>
          <w:color w:val="231F20"/>
          <w:spacing w:val="-33"/>
          <w:w w:val="105"/>
          <w:sz w:val="21"/>
        </w:rPr>
        <w:t> </w:t>
      </w:r>
      <w:r>
        <w:rPr>
          <w:color w:val="231F20"/>
          <w:w w:val="105"/>
          <w:sz w:val="21"/>
        </w:rPr>
        <w:t>New</w:t>
      </w:r>
      <w:r>
        <w:rPr>
          <w:color w:val="231F20"/>
          <w:spacing w:val="-33"/>
          <w:w w:val="105"/>
          <w:sz w:val="21"/>
        </w:rPr>
        <w:t> </w:t>
      </w:r>
      <w:r>
        <w:rPr>
          <w:color w:val="231F20"/>
          <w:w w:val="105"/>
          <w:sz w:val="21"/>
        </w:rPr>
        <w:t>Regional</w:t>
      </w:r>
      <w:r>
        <w:rPr>
          <w:color w:val="231F20"/>
          <w:spacing w:val="-33"/>
          <w:w w:val="105"/>
          <w:sz w:val="21"/>
        </w:rPr>
        <w:t> </w:t>
      </w:r>
      <w:r>
        <w:rPr>
          <w:color w:val="231F20"/>
          <w:spacing w:val="-5"/>
          <w:w w:val="105"/>
          <w:sz w:val="21"/>
        </w:rPr>
        <w:t>Polices”,</w:t>
      </w:r>
      <w:r>
        <w:rPr>
          <w:color w:val="231F20"/>
          <w:spacing w:val="-36"/>
          <w:w w:val="105"/>
          <w:sz w:val="21"/>
        </w:rPr>
        <w:t> </w:t>
      </w:r>
      <w:r>
        <w:rPr>
          <w:i/>
          <w:color w:val="231F20"/>
          <w:w w:val="105"/>
          <w:sz w:val="21"/>
        </w:rPr>
        <w:t>Reviewing</w:t>
      </w:r>
      <w:r>
        <w:rPr>
          <w:i/>
          <w:color w:val="231F20"/>
          <w:spacing w:val="-33"/>
          <w:w w:val="105"/>
          <w:sz w:val="21"/>
        </w:rPr>
        <w:t> </w:t>
      </w:r>
      <w:r>
        <w:rPr>
          <w:i/>
          <w:color w:val="231F20"/>
          <w:w w:val="105"/>
          <w:sz w:val="21"/>
        </w:rPr>
        <w:t>the</w:t>
      </w:r>
      <w:r>
        <w:rPr>
          <w:i/>
          <w:color w:val="231F20"/>
          <w:spacing w:val="-36"/>
          <w:w w:val="105"/>
          <w:sz w:val="21"/>
        </w:rPr>
        <w:t> </w:t>
      </w:r>
      <w:r>
        <w:rPr>
          <w:i/>
          <w:color w:val="231F20"/>
          <w:w w:val="105"/>
          <w:sz w:val="21"/>
        </w:rPr>
        <w:t>Theory </w:t>
      </w:r>
      <w:r>
        <w:rPr>
          <w:i/>
          <w:color w:val="231F20"/>
          <w:w w:val="105"/>
          <w:sz w:val="21"/>
        </w:rPr>
        <w:t>and</w:t>
      </w:r>
      <w:r>
        <w:rPr>
          <w:i/>
          <w:color w:val="231F20"/>
          <w:spacing w:val="-32"/>
          <w:w w:val="105"/>
          <w:sz w:val="21"/>
        </w:rPr>
        <w:t> </w:t>
      </w:r>
      <w:r>
        <w:rPr>
          <w:i/>
          <w:color w:val="231F20"/>
          <w:w w:val="105"/>
          <w:sz w:val="21"/>
        </w:rPr>
        <w:t>Practice</w:t>
      </w:r>
      <w:r>
        <w:rPr>
          <w:color w:val="231F20"/>
          <w:w w:val="105"/>
          <w:sz w:val="21"/>
        </w:rPr>
        <w:t>.</w:t>
      </w:r>
      <w:r>
        <w:rPr>
          <w:color w:val="231F20"/>
          <w:spacing w:val="-36"/>
          <w:w w:val="105"/>
          <w:sz w:val="21"/>
        </w:rPr>
        <w:t> </w:t>
      </w:r>
      <w:r>
        <w:rPr>
          <w:i/>
          <w:color w:val="231F20"/>
          <w:w w:val="105"/>
          <w:sz w:val="21"/>
        </w:rPr>
        <w:t>Journal</w:t>
      </w:r>
      <w:r>
        <w:rPr>
          <w:i/>
          <w:color w:val="231F20"/>
          <w:spacing w:val="-32"/>
          <w:w w:val="105"/>
          <w:sz w:val="21"/>
        </w:rPr>
        <w:t> </w:t>
      </w:r>
      <w:r>
        <w:rPr>
          <w:i/>
          <w:color w:val="231F20"/>
          <w:w w:val="105"/>
          <w:sz w:val="21"/>
        </w:rPr>
        <w:t>Evaluation</w:t>
      </w:r>
      <w:r>
        <w:rPr>
          <w:color w:val="231F20"/>
          <w:w w:val="105"/>
          <w:sz w:val="21"/>
        </w:rPr>
        <w:t>.</w:t>
      </w:r>
      <w:r>
        <w:rPr>
          <w:color w:val="231F20"/>
          <w:spacing w:val="-37"/>
          <w:w w:val="105"/>
          <w:sz w:val="21"/>
        </w:rPr>
        <w:t> </w:t>
      </w:r>
      <w:r>
        <w:rPr>
          <w:color w:val="231F20"/>
          <w:spacing w:val="-3"/>
          <w:w w:val="105"/>
          <w:sz w:val="21"/>
        </w:rPr>
        <w:t>Vol.</w:t>
      </w:r>
      <w:r>
        <w:rPr>
          <w:color w:val="231F20"/>
          <w:spacing w:val="-36"/>
          <w:w w:val="105"/>
          <w:sz w:val="21"/>
        </w:rPr>
        <w:t> </w:t>
      </w:r>
      <w:r>
        <w:rPr>
          <w:color w:val="231F20"/>
          <w:w w:val="105"/>
          <w:sz w:val="21"/>
        </w:rPr>
        <w:t>8,</w:t>
      </w:r>
      <w:r>
        <w:rPr>
          <w:color w:val="231F20"/>
          <w:spacing w:val="-36"/>
          <w:w w:val="105"/>
          <w:sz w:val="21"/>
        </w:rPr>
        <w:t> </w:t>
      </w:r>
      <w:r>
        <w:rPr>
          <w:color w:val="231F20"/>
          <w:w w:val="105"/>
          <w:sz w:val="21"/>
        </w:rPr>
        <w:t>Núm.</w:t>
      </w:r>
      <w:r>
        <w:rPr>
          <w:color w:val="231F20"/>
          <w:spacing w:val="-36"/>
          <w:w w:val="105"/>
          <w:sz w:val="21"/>
        </w:rPr>
        <w:t> </w:t>
      </w:r>
      <w:r>
        <w:rPr>
          <w:color w:val="231F20"/>
          <w:w w:val="105"/>
          <w:sz w:val="21"/>
        </w:rPr>
        <w:t>3,</w:t>
      </w:r>
      <w:r>
        <w:rPr>
          <w:color w:val="231F20"/>
          <w:spacing w:val="-36"/>
          <w:w w:val="105"/>
          <w:sz w:val="21"/>
        </w:rPr>
        <w:t> </w:t>
      </w:r>
      <w:r>
        <w:rPr>
          <w:color w:val="231F20"/>
          <w:w w:val="105"/>
          <w:sz w:val="21"/>
        </w:rPr>
        <w:t>pp.</w:t>
      </w:r>
      <w:r>
        <w:rPr>
          <w:color w:val="231F20"/>
          <w:spacing w:val="-36"/>
          <w:w w:val="105"/>
          <w:sz w:val="21"/>
        </w:rPr>
        <w:t> </w:t>
      </w:r>
      <w:r>
        <w:rPr>
          <w:color w:val="231F20"/>
          <w:w w:val="105"/>
          <w:sz w:val="21"/>
        </w:rPr>
        <w:t>285-305.</w:t>
      </w:r>
    </w:p>
    <w:p>
      <w:pPr>
        <w:pStyle w:val="BodyText"/>
        <w:spacing w:line="259" w:lineRule="auto"/>
        <w:ind w:left="854" w:right="121" w:hanging="738"/>
        <w:jc w:val="both"/>
      </w:pPr>
      <w:r>
        <w:rPr>
          <w:color w:val="231F20"/>
          <w:w w:val="105"/>
        </w:rPr>
        <w:t>Hanneman, R. y Riddle, M. (2005). “Introduction to social network me- thods” Disponible en: </w:t>
      </w:r>
      <w:hyperlink r:id="rId76">
        <w:r>
          <w:rPr>
            <w:color w:val="231F20"/>
            <w:w w:val="105"/>
          </w:rPr>
          <w:t>http://faculty.ucr.edu/~hanneman/</w:t>
        </w:r>
      </w:hyperlink>
      <w:r>
        <w:rPr>
          <w:color w:val="231F20"/>
          <w:w w:val="105"/>
        </w:rPr>
        <w:t> Con- sultado el 15 de abril de 2014.</w:t>
      </w:r>
    </w:p>
    <w:p>
      <w:pPr>
        <w:spacing w:line="259" w:lineRule="auto" w:before="0"/>
        <w:ind w:left="854" w:right="115" w:hanging="738"/>
        <w:jc w:val="both"/>
        <w:rPr>
          <w:sz w:val="21"/>
        </w:rPr>
      </w:pPr>
      <w:r>
        <w:rPr>
          <w:color w:val="231F20"/>
          <w:w w:val="105"/>
          <w:sz w:val="21"/>
        </w:rPr>
        <w:t>Medellín,</w:t>
      </w:r>
      <w:r>
        <w:rPr>
          <w:color w:val="231F20"/>
          <w:spacing w:val="-10"/>
          <w:w w:val="105"/>
          <w:sz w:val="21"/>
        </w:rPr>
        <w:t> </w:t>
      </w:r>
      <w:r>
        <w:rPr>
          <w:color w:val="231F20"/>
          <w:w w:val="105"/>
          <w:sz w:val="21"/>
        </w:rPr>
        <w:t>E.</w:t>
      </w:r>
      <w:r>
        <w:rPr>
          <w:color w:val="231F20"/>
          <w:spacing w:val="-10"/>
          <w:w w:val="105"/>
          <w:sz w:val="21"/>
        </w:rPr>
        <w:t> </w:t>
      </w:r>
      <w:r>
        <w:rPr>
          <w:color w:val="231F20"/>
          <w:w w:val="105"/>
          <w:sz w:val="21"/>
        </w:rPr>
        <w:t>(2008).</w:t>
      </w:r>
      <w:r>
        <w:rPr>
          <w:color w:val="231F20"/>
          <w:spacing w:val="-10"/>
          <w:w w:val="105"/>
          <w:sz w:val="21"/>
        </w:rPr>
        <w:t> </w:t>
      </w:r>
      <w:r>
        <w:rPr>
          <w:color w:val="231F20"/>
          <w:w w:val="105"/>
          <w:sz w:val="21"/>
        </w:rPr>
        <w:t>“El</w:t>
      </w:r>
      <w:r>
        <w:rPr>
          <w:color w:val="231F20"/>
          <w:spacing w:val="-5"/>
          <w:w w:val="105"/>
          <w:sz w:val="21"/>
        </w:rPr>
        <w:t> </w:t>
      </w:r>
      <w:r>
        <w:rPr>
          <w:color w:val="231F20"/>
          <w:w w:val="105"/>
          <w:sz w:val="21"/>
        </w:rPr>
        <w:t>conocimiento</w:t>
      </w:r>
      <w:r>
        <w:rPr>
          <w:color w:val="231F20"/>
          <w:spacing w:val="-5"/>
          <w:w w:val="105"/>
          <w:sz w:val="21"/>
        </w:rPr>
        <w:t> </w:t>
      </w:r>
      <w:r>
        <w:rPr>
          <w:color w:val="231F20"/>
          <w:w w:val="105"/>
          <w:sz w:val="21"/>
        </w:rPr>
        <w:t>y</w:t>
      </w:r>
      <w:r>
        <w:rPr>
          <w:color w:val="231F20"/>
          <w:spacing w:val="-5"/>
          <w:w w:val="105"/>
          <w:sz w:val="21"/>
        </w:rPr>
        <w:t> </w:t>
      </w:r>
      <w:r>
        <w:rPr>
          <w:color w:val="231F20"/>
          <w:w w:val="105"/>
          <w:sz w:val="21"/>
        </w:rPr>
        <w:t>su</w:t>
      </w:r>
      <w:r>
        <w:rPr>
          <w:color w:val="231F20"/>
          <w:spacing w:val="-5"/>
          <w:w w:val="105"/>
          <w:sz w:val="21"/>
        </w:rPr>
        <w:t> </w:t>
      </w:r>
      <w:r>
        <w:rPr>
          <w:color w:val="231F20"/>
          <w:w w:val="105"/>
          <w:sz w:val="21"/>
        </w:rPr>
        <w:t>administración</w:t>
      </w:r>
      <w:r>
        <w:rPr>
          <w:color w:val="231F20"/>
          <w:spacing w:val="-5"/>
          <w:w w:val="105"/>
          <w:sz w:val="21"/>
        </w:rPr>
        <w:t> </w:t>
      </w:r>
      <w:r>
        <w:rPr>
          <w:color w:val="231F20"/>
          <w:w w:val="105"/>
          <w:sz w:val="21"/>
        </w:rPr>
        <w:t>en</w:t>
      </w:r>
      <w:r>
        <w:rPr>
          <w:color w:val="231F20"/>
          <w:spacing w:val="-5"/>
          <w:w w:val="105"/>
          <w:sz w:val="21"/>
        </w:rPr>
        <w:t> </w:t>
      </w:r>
      <w:r>
        <w:rPr>
          <w:color w:val="231F20"/>
          <w:w w:val="105"/>
          <w:sz w:val="21"/>
        </w:rPr>
        <w:t>las</w:t>
      </w:r>
      <w:r>
        <w:rPr>
          <w:color w:val="231F20"/>
          <w:spacing w:val="-5"/>
          <w:w w:val="105"/>
          <w:sz w:val="21"/>
        </w:rPr>
        <w:t> </w:t>
      </w:r>
      <w:r>
        <w:rPr>
          <w:color w:val="231F20"/>
          <w:w w:val="105"/>
          <w:sz w:val="21"/>
        </w:rPr>
        <w:t>empre- </w:t>
      </w:r>
      <w:r>
        <w:rPr>
          <w:color w:val="231F20"/>
          <w:spacing w:val="-6"/>
          <w:w w:val="105"/>
          <w:sz w:val="21"/>
        </w:rPr>
        <w:t>sas”, </w:t>
      </w:r>
      <w:r>
        <w:rPr>
          <w:color w:val="231F20"/>
          <w:w w:val="105"/>
          <w:sz w:val="21"/>
        </w:rPr>
        <w:t>en J. Micheli, E. Medellín, A. Hidalgo y J. Jasso (coords.) en: </w:t>
      </w:r>
      <w:r>
        <w:rPr>
          <w:i/>
          <w:color w:val="231F20"/>
          <w:w w:val="105"/>
          <w:sz w:val="21"/>
        </w:rPr>
        <w:t>Conocimiento e innovación: retos de la gestión</w:t>
      </w:r>
      <w:r>
        <w:rPr>
          <w:i/>
          <w:color w:val="231F20"/>
          <w:spacing w:val="-33"/>
          <w:w w:val="105"/>
          <w:sz w:val="21"/>
        </w:rPr>
        <w:t> </w:t>
      </w:r>
      <w:r>
        <w:rPr>
          <w:i/>
          <w:color w:val="231F20"/>
          <w:w w:val="105"/>
          <w:sz w:val="21"/>
        </w:rPr>
        <w:t>empresarial</w:t>
      </w:r>
      <w:r>
        <w:rPr>
          <w:color w:val="231F20"/>
          <w:w w:val="105"/>
          <w:sz w:val="21"/>
        </w:rPr>
        <w:t>. UAM/UNAM/Plaza</w:t>
      </w:r>
      <w:r>
        <w:rPr>
          <w:color w:val="231F20"/>
          <w:spacing w:val="-36"/>
          <w:w w:val="105"/>
          <w:sz w:val="21"/>
        </w:rPr>
        <w:t> </w:t>
      </w:r>
      <w:r>
        <w:rPr>
          <w:color w:val="231F20"/>
          <w:w w:val="105"/>
          <w:sz w:val="21"/>
        </w:rPr>
        <w:t>y</w:t>
      </w:r>
      <w:r>
        <w:rPr>
          <w:color w:val="231F20"/>
          <w:spacing w:val="-38"/>
          <w:w w:val="105"/>
          <w:sz w:val="21"/>
        </w:rPr>
        <w:t> </w:t>
      </w:r>
      <w:r>
        <w:rPr>
          <w:color w:val="231F20"/>
          <w:w w:val="105"/>
          <w:sz w:val="21"/>
        </w:rPr>
        <w:t>Valdés,</w:t>
      </w:r>
      <w:r>
        <w:rPr>
          <w:color w:val="231F20"/>
          <w:spacing w:val="-39"/>
          <w:w w:val="105"/>
          <w:sz w:val="21"/>
        </w:rPr>
        <w:t> </w:t>
      </w:r>
      <w:r>
        <w:rPr>
          <w:color w:val="231F20"/>
          <w:w w:val="105"/>
          <w:sz w:val="21"/>
        </w:rPr>
        <w:t>México,</w:t>
      </w:r>
      <w:r>
        <w:rPr>
          <w:color w:val="231F20"/>
          <w:spacing w:val="-39"/>
          <w:w w:val="105"/>
          <w:sz w:val="21"/>
        </w:rPr>
        <w:t> </w:t>
      </w:r>
      <w:r>
        <w:rPr>
          <w:color w:val="231F20"/>
          <w:w w:val="105"/>
          <w:sz w:val="21"/>
        </w:rPr>
        <w:t>pp.</w:t>
      </w:r>
      <w:r>
        <w:rPr>
          <w:color w:val="231F20"/>
          <w:spacing w:val="-39"/>
          <w:w w:val="105"/>
          <w:sz w:val="21"/>
        </w:rPr>
        <w:t> </w:t>
      </w:r>
      <w:r>
        <w:rPr>
          <w:color w:val="231F20"/>
          <w:w w:val="105"/>
          <w:sz w:val="21"/>
        </w:rPr>
        <w:t>57-89.</w:t>
      </w:r>
    </w:p>
    <w:p>
      <w:pPr>
        <w:spacing w:line="247" w:lineRule="auto" w:before="0"/>
        <w:ind w:left="854" w:right="122" w:hanging="738"/>
        <w:jc w:val="both"/>
        <w:rPr>
          <w:sz w:val="22"/>
        </w:rPr>
      </w:pPr>
      <w:r>
        <w:rPr>
          <w:color w:val="231F20"/>
          <w:w w:val="105"/>
          <w:sz w:val="22"/>
        </w:rPr>
        <w:t>Molina,</w:t>
      </w:r>
      <w:r>
        <w:rPr>
          <w:color w:val="231F20"/>
          <w:spacing w:val="-28"/>
          <w:w w:val="105"/>
          <w:sz w:val="22"/>
        </w:rPr>
        <w:t> </w:t>
      </w:r>
      <w:r>
        <w:rPr>
          <w:color w:val="231F20"/>
          <w:w w:val="105"/>
          <w:sz w:val="22"/>
        </w:rPr>
        <w:t>J.</w:t>
      </w:r>
      <w:r>
        <w:rPr>
          <w:color w:val="231F20"/>
          <w:spacing w:val="-26"/>
          <w:w w:val="105"/>
          <w:sz w:val="22"/>
        </w:rPr>
        <w:t> </w:t>
      </w:r>
      <w:r>
        <w:rPr>
          <w:color w:val="231F20"/>
          <w:w w:val="105"/>
          <w:sz w:val="22"/>
        </w:rPr>
        <w:t>(2001).</w:t>
      </w:r>
      <w:r>
        <w:rPr>
          <w:color w:val="231F20"/>
          <w:spacing w:val="-26"/>
          <w:w w:val="105"/>
          <w:sz w:val="22"/>
        </w:rPr>
        <w:t> </w:t>
      </w:r>
      <w:r>
        <w:rPr>
          <w:i/>
          <w:color w:val="231F20"/>
          <w:w w:val="105"/>
          <w:sz w:val="22"/>
        </w:rPr>
        <w:t>El</w:t>
      </w:r>
      <w:r>
        <w:rPr>
          <w:i/>
          <w:color w:val="231F20"/>
          <w:spacing w:val="-22"/>
          <w:w w:val="105"/>
          <w:sz w:val="22"/>
        </w:rPr>
        <w:t> </w:t>
      </w:r>
      <w:r>
        <w:rPr>
          <w:i/>
          <w:color w:val="231F20"/>
          <w:w w:val="105"/>
          <w:sz w:val="22"/>
        </w:rPr>
        <w:t>análisis</w:t>
      </w:r>
      <w:r>
        <w:rPr>
          <w:i/>
          <w:color w:val="231F20"/>
          <w:spacing w:val="-22"/>
          <w:w w:val="105"/>
          <w:sz w:val="22"/>
        </w:rPr>
        <w:t> </w:t>
      </w:r>
      <w:r>
        <w:rPr>
          <w:i/>
          <w:color w:val="231F20"/>
          <w:w w:val="105"/>
          <w:sz w:val="22"/>
        </w:rPr>
        <w:t>de</w:t>
      </w:r>
      <w:r>
        <w:rPr>
          <w:i/>
          <w:color w:val="231F20"/>
          <w:spacing w:val="-22"/>
          <w:w w:val="105"/>
          <w:sz w:val="22"/>
        </w:rPr>
        <w:t> </w:t>
      </w:r>
      <w:r>
        <w:rPr>
          <w:i/>
          <w:color w:val="231F20"/>
          <w:w w:val="105"/>
          <w:sz w:val="22"/>
        </w:rPr>
        <w:t>redes</w:t>
      </w:r>
      <w:r>
        <w:rPr>
          <w:i/>
          <w:color w:val="231F20"/>
          <w:spacing w:val="-22"/>
          <w:w w:val="105"/>
          <w:sz w:val="22"/>
        </w:rPr>
        <w:t> </w:t>
      </w:r>
      <w:r>
        <w:rPr>
          <w:i/>
          <w:color w:val="231F20"/>
          <w:w w:val="105"/>
          <w:sz w:val="22"/>
        </w:rPr>
        <w:t>sociales.</w:t>
      </w:r>
      <w:r>
        <w:rPr>
          <w:i/>
          <w:color w:val="231F20"/>
          <w:spacing w:val="-26"/>
          <w:w w:val="105"/>
          <w:sz w:val="22"/>
        </w:rPr>
        <w:t> </w:t>
      </w:r>
      <w:r>
        <w:rPr>
          <w:i/>
          <w:color w:val="231F20"/>
          <w:w w:val="105"/>
          <w:sz w:val="22"/>
        </w:rPr>
        <w:t>Una</w:t>
      </w:r>
      <w:r>
        <w:rPr>
          <w:i/>
          <w:color w:val="231F20"/>
          <w:spacing w:val="-22"/>
          <w:w w:val="105"/>
          <w:sz w:val="22"/>
        </w:rPr>
        <w:t> </w:t>
      </w:r>
      <w:r>
        <w:rPr>
          <w:i/>
          <w:color w:val="231F20"/>
          <w:w w:val="105"/>
          <w:sz w:val="22"/>
        </w:rPr>
        <w:t>introducción</w:t>
      </w:r>
      <w:r>
        <w:rPr>
          <w:color w:val="231F20"/>
          <w:w w:val="105"/>
          <w:sz w:val="22"/>
        </w:rPr>
        <w:t>.</w:t>
      </w:r>
      <w:r>
        <w:rPr>
          <w:color w:val="231F20"/>
          <w:spacing w:val="-26"/>
          <w:w w:val="105"/>
          <w:sz w:val="22"/>
        </w:rPr>
        <w:t> </w:t>
      </w:r>
      <w:r>
        <w:rPr>
          <w:color w:val="231F20"/>
          <w:w w:val="105"/>
          <w:sz w:val="22"/>
        </w:rPr>
        <w:t>Edi- </w:t>
      </w:r>
      <w:r>
        <w:rPr>
          <w:color w:val="231F20"/>
          <w:sz w:val="22"/>
        </w:rPr>
        <w:t>ciones Bellaterra,</w:t>
      </w:r>
      <w:r>
        <w:rPr>
          <w:color w:val="231F20"/>
          <w:spacing w:val="-11"/>
          <w:sz w:val="22"/>
        </w:rPr>
        <w:t> </w:t>
      </w:r>
      <w:r>
        <w:rPr>
          <w:color w:val="231F20"/>
          <w:sz w:val="22"/>
        </w:rPr>
        <w:t>España.</w:t>
      </w:r>
    </w:p>
    <w:p>
      <w:pPr>
        <w:spacing w:line="247" w:lineRule="auto" w:before="0"/>
        <w:ind w:left="854" w:right="121" w:hanging="737"/>
        <w:jc w:val="both"/>
        <w:rPr>
          <w:sz w:val="22"/>
        </w:rPr>
      </w:pPr>
      <w:r>
        <w:rPr>
          <w:color w:val="231F20"/>
          <w:sz w:val="22"/>
        </w:rPr>
        <w:t>Lara, J. (2008). </w:t>
      </w:r>
      <w:r>
        <w:rPr>
          <w:i/>
          <w:color w:val="231F20"/>
          <w:sz w:val="22"/>
        </w:rPr>
        <w:t>Redes de conocimiento y su desempeño. Estudios de </w:t>
      </w:r>
      <w:r>
        <w:rPr>
          <w:i/>
          <w:color w:val="231F20"/>
          <w:sz w:val="22"/>
        </w:rPr>
        <w:t>caso en el noroeste de México</w:t>
      </w:r>
      <w:r>
        <w:rPr>
          <w:color w:val="231F20"/>
          <w:sz w:val="22"/>
        </w:rPr>
        <w:t>. Universidad Autónoma de Si- naloa/Plaza y Valdés, México.</w:t>
      </w:r>
    </w:p>
    <w:p>
      <w:pPr>
        <w:spacing w:line="259" w:lineRule="auto" w:before="9"/>
        <w:ind w:left="854" w:right="121" w:hanging="738"/>
        <w:jc w:val="both"/>
        <w:rPr>
          <w:sz w:val="21"/>
        </w:rPr>
      </w:pPr>
      <w:r>
        <w:rPr>
          <w:color w:val="231F20"/>
          <w:w w:val="105"/>
          <w:sz w:val="21"/>
        </w:rPr>
        <w:t>Luna,</w:t>
      </w:r>
      <w:r>
        <w:rPr>
          <w:color w:val="231F20"/>
          <w:spacing w:val="-30"/>
          <w:w w:val="105"/>
          <w:sz w:val="21"/>
        </w:rPr>
        <w:t> </w:t>
      </w:r>
      <w:r>
        <w:rPr>
          <w:color w:val="231F20"/>
          <w:w w:val="105"/>
          <w:sz w:val="21"/>
        </w:rPr>
        <w:t>M.</w:t>
      </w:r>
      <w:r>
        <w:rPr>
          <w:color w:val="231F20"/>
          <w:spacing w:val="-30"/>
          <w:w w:val="105"/>
          <w:sz w:val="21"/>
        </w:rPr>
        <w:t> </w:t>
      </w:r>
      <w:r>
        <w:rPr>
          <w:color w:val="231F20"/>
          <w:w w:val="105"/>
          <w:sz w:val="21"/>
        </w:rPr>
        <w:t>(2003).</w:t>
      </w:r>
      <w:r>
        <w:rPr>
          <w:color w:val="231F20"/>
          <w:spacing w:val="-30"/>
          <w:w w:val="105"/>
          <w:sz w:val="21"/>
        </w:rPr>
        <w:t> </w:t>
      </w:r>
      <w:r>
        <w:rPr>
          <w:color w:val="231F20"/>
          <w:w w:val="105"/>
          <w:sz w:val="21"/>
        </w:rPr>
        <w:t>“La</w:t>
      </w:r>
      <w:r>
        <w:rPr>
          <w:color w:val="231F20"/>
          <w:spacing w:val="-25"/>
          <w:w w:val="105"/>
          <w:sz w:val="21"/>
        </w:rPr>
        <w:t> </w:t>
      </w:r>
      <w:r>
        <w:rPr>
          <w:color w:val="231F20"/>
          <w:w w:val="105"/>
          <w:sz w:val="21"/>
        </w:rPr>
        <w:t>red</w:t>
      </w:r>
      <w:r>
        <w:rPr>
          <w:color w:val="231F20"/>
          <w:spacing w:val="-25"/>
          <w:w w:val="105"/>
          <w:sz w:val="21"/>
        </w:rPr>
        <w:t> </w:t>
      </w:r>
      <w:r>
        <w:rPr>
          <w:color w:val="231F20"/>
          <w:w w:val="105"/>
          <w:sz w:val="21"/>
        </w:rPr>
        <w:t>como</w:t>
      </w:r>
      <w:r>
        <w:rPr>
          <w:color w:val="231F20"/>
          <w:spacing w:val="-25"/>
          <w:w w:val="105"/>
          <w:sz w:val="21"/>
        </w:rPr>
        <w:t> </w:t>
      </w:r>
      <w:r>
        <w:rPr>
          <w:color w:val="231F20"/>
          <w:w w:val="105"/>
          <w:sz w:val="21"/>
        </w:rPr>
        <w:t>mecanismo</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coordinación</w:t>
      </w:r>
      <w:r>
        <w:rPr>
          <w:color w:val="231F20"/>
          <w:spacing w:val="-25"/>
          <w:w w:val="105"/>
          <w:sz w:val="21"/>
        </w:rPr>
        <w:t> </w:t>
      </w:r>
      <w:r>
        <w:rPr>
          <w:color w:val="231F20"/>
          <w:w w:val="105"/>
          <w:sz w:val="21"/>
        </w:rPr>
        <w:t>y</w:t>
      </w:r>
      <w:r>
        <w:rPr>
          <w:color w:val="231F20"/>
          <w:spacing w:val="-25"/>
          <w:w w:val="105"/>
          <w:sz w:val="21"/>
        </w:rPr>
        <w:t> </w:t>
      </w:r>
      <w:r>
        <w:rPr>
          <w:color w:val="231F20"/>
          <w:w w:val="105"/>
          <w:sz w:val="21"/>
        </w:rPr>
        <w:t>las</w:t>
      </w:r>
      <w:r>
        <w:rPr>
          <w:color w:val="231F20"/>
          <w:spacing w:val="-25"/>
          <w:w w:val="105"/>
          <w:sz w:val="21"/>
        </w:rPr>
        <w:t> </w:t>
      </w:r>
      <w:r>
        <w:rPr>
          <w:color w:val="231F20"/>
          <w:w w:val="105"/>
          <w:sz w:val="21"/>
        </w:rPr>
        <w:t>redes</w:t>
      </w:r>
      <w:r>
        <w:rPr>
          <w:color w:val="231F20"/>
          <w:spacing w:val="-25"/>
          <w:w w:val="105"/>
          <w:sz w:val="21"/>
        </w:rPr>
        <w:t> </w:t>
      </w:r>
      <w:r>
        <w:rPr>
          <w:color w:val="231F20"/>
          <w:w w:val="105"/>
          <w:sz w:val="21"/>
        </w:rPr>
        <w:t>de conocimiento”,</w:t>
      </w:r>
      <w:r>
        <w:rPr>
          <w:color w:val="231F20"/>
          <w:spacing w:val="-19"/>
          <w:w w:val="105"/>
          <w:sz w:val="21"/>
        </w:rPr>
        <w:t> </w:t>
      </w:r>
      <w:r>
        <w:rPr>
          <w:color w:val="231F20"/>
          <w:w w:val="105"/>
          <w:sz w:val="21"/>
        </w:rPr>
        <w:t>en</w:t>
      </w:r>
      <w:r>
        <w:rPr>
          <w:color w:val="231F20"/>
          <w:spacing w:val="-14"/>
          <w:w w:val="105"/>
          <w:sz w:val="21"/>
        </w:rPr>
        <w:t> </w:t>
      </w:r>
      <w:r>
        <w:rPr>
          <w:color w:val="231F20"/>
          <w:w w:val="105"/>
          <w:sz w:val="21"/>
        </w:rPr>
        <w:t>M.</w:t>
      </w:r>
      <w:r>
        <w:rPr>
          <w:color w:val="231F20"/>
          <w:spacing w:val="-19"/>
          <w:w w:val="105"/>
          <w:sz w:val="21"/>
        </w:rPr>
        <w:t> </w:t>
      </w:r>
      <w:r>
        <w:rPr>
          <w:color w:val="231F20"/>
          <w:w w:val="105"/>
          <w:sz w:val="21"/>
        </w:rPr>
        <w:t>Luna</w:t>
      </w:r>
      <w:r>
        <w:rPr>
          <w:color w:val="231F20"/>
          <w:spacing w:val="-14"/>
          <w:w w:val="105"/>
          <w:sz w:val="21"/>
        </w:rPr>
        <w:t> </w:t>
      </w:r>
      <w:r>
        <w:rPr>
          <w:color w:val="231F20"/>
          <w:w w:val="105"/>
          <w:sz w:val="21"/>
        </w:rPr>
        <w:t>(coord.).</w:t>
      </w:r>
      <w:r>
        <w:rPr>
          <w:color w:val="231F20"/>
          <w:spacing w:val="-19"/>
          <w:w w:val="105"/>
          <w:sz w:val="21"/>
        </w:rPr>
        <w:t> </w:t>
      </w:r>
      <w:r>
        <w:rPr>
          <w:i/>
          <w:color w:val="231F20"/>
          <w:w w:val="105"/>
          <w:sz w:val="21"/>
        </w:rPr>
        <w:t>Itinerarios</w:t>
      </w:r>
      <w:r>
        <w:rPr>
          <w:i/>
          <w:color w:val="231F20"/>
          <w:spacing w:val="-15"/>
          <w:w w:val="105"/>
          <w:sz w:val="21"/>
        </w:rPr>
        <w:t> </w:t>
      </w:r>
      <w:r>
        <w:rPr>
          <w:i/>
          <w:color w:val="231F20"/>
          <w:w w:val="105"/>
          <w:sz w:val="21"/>
        </w:rPr>
        <w:t>del</w:t>
      </w:r>
      <w:r>
        <w:rPr>
          <w:i/>
          <w:color w:val="231F20"/>
          <w:spacing w:val="-15"/>
          <w:w w:val="105"/>
          <w:sz w:val="21"/>
        </w:rPr>
        <w:t> </w:t>
      </w:r>
      <w:r>
        <w:rPr>
          <w:i/>
          <w:color w:val="231F20"/>
          <w:w w:val="105"/>
          <w:sz w:val="21"/>
        </w:rPr>
        <w:t>conocimiento; </w:t>
      </w:r>
      <w:r>
        <w:rPr>
          <w:i/>
          <w:color w:val="231F20"/>
          <w:w w:val="105"/>
          <w:sz w:val="21"/>
        </w:rPr>
        <w:t>formas,</w:t>
      </w:r>
      <w:r>
        <w:rPr>
          <w:i/>
          <w:color w:val="231F20"/>
          <w:spacing w:val="-25"/>
          <w:w w:val="105"/>
          <w:sz w:val="21"/>
        </w:rPr>
        <w:t> </w:t>
      </w:r>
      <w:r>
        <w:rPr>
          <w:i/>
          <w:color w:val="231F20"/>
          <w:w w:val="105"/>
          <w:sz w:val="21"/>
        </w:rPr>
        <w:t>dinámicas</w:t>
      </w:r>
      <w:r>
        <w:rPr>
          <w:i/>
          <w:color w:val="231F20"/>
          <w:spacing w:val="-20"/>
          <w:w w:val="105"/>
          <w:sz w:val="21"/>
        </w:rPr>
        <w:t> </w:t>
      </w:r>
      <w:r>
        <w:rPr>
          <w:i/>
          <w:color w:val="231F20"/>
          <w:w w:val="105"/>
          <w:sz w:val="21"/>
        </w:rPr>
        <w:t>y</w:t>
      </w:r>
      <w:r>
        <w:rPr>
          <w:i/>
          <w:color w:val="231F20"/>
          <w:spacing w:val="-20"/>
          <w:w w:val="105"/>
          <w:sz w:val="21"/>
        </w:rPr>
        <w:t> </w:t>
      </w:r>
      <w:r>
        <w:rPr>
          <w:i/>
          <w:color w:val="231F20"/>
          <w:w w:val="105"/>
          <w:sz w:val="21"/>
        </w:rPr>
        <w:t>contenido.</w:t>
      </w:r>
      <w:r>
        <w:rPr>
          <w:i/>
          <w:color w:val="231F20"/>
          <w:spacing w:val="-25"/>
          <w:w w:val="105"/>
          <w:sz w:val="21"/>
        </w:rPr>
        <w:t> </w:t>
      </w:r>
      <w:r>
        <w:rPr>
          <w:i/>
          <w:color w:val="231F20"/>
          <w:w w:val="105"/>
          <w:sz w:val="21"/>
        </w:rPr>
        <w:t>Un</w:t>
      </w:r>
      <w:r>
        <w:rPr>
          <w:i/>
          <w:color w:val="231F20"/>
          <w:spacing w:val="-20"/>
          <w:w w:val="105"/>
          <w:sz w:val="21"/>
        </w:rPr>
        <w:t> </w:t>
      </w:r>
      <w:r>
        <w:rPr>
          <w:i/>
          <w:color w:val="231F20"/>
          <w:w w:val="105"/>
          <w:sz w:val="21"/>
        </w:rPr>
        <w:t>enfoque</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redes</w:t>
      </w:r>
      <w:r>
        <w:rPr>
          <w:color w:val="231F20"/>
          <w:w w:val="105"/>
          <w:sz w:val="21"/>
        </w:rPr>
        <w:t>.</w:t>
      </w:r>
      <w:r>
        <w:rPr>
          <w:color w:val="231F20"/>
          <w:spacing w:val="-28"/>
          <w:w w:val="105"/>
          <w:sz w:val="21"/>
        </w:rPr>
        <w:t> </w:t>
      </w:r>
      <w:r>
        <w:rPr>
          <w:color w:val="231F20"/>
          <w:w w:val="105"/>
          <w:sz w:val="21"/>
        </w:rPr>
        <w:t>Anthropos/ UNAM,</w:t>
      </w:r>
      <w:r>
        <w:rPr>
          <w:color w:val="231F20"/>
          <w:spacing w:val="-41"/>
          <w:w w:val="105"/>
          <w:sz w:val="21"/>
        </w:rPr>
        <w:t> </w:t>
      </w:r>
      <w:r>
        <w:rPr>
          <w:color w:val="231F20"/>
          <w:w w:val="105"/>
          <w:sz w:val="21"/>
        </w:rPr>
        <w:t>España,</w:t>
      </w:r>
      <w:r>
        <w:rPr>
          <w:color w:val="231F20"/>
          <w:spacing w:val="-41"/>
          <w:w w:val="105"/>
          <w:sz w:val="21"/>
        </w:rPr>
        <w:t> </w:t>
      </w:r>
      <w:r>
        <w:rPr>
          <w:color w:val="231F20"/>
          <w:w w:val="105"/>
          <w:sz w:val="21"/>
        </w:rPr>
        <w:t>pp.</w:t>
      </w:r>
      <w:r>
        <w:rPr>
          <w:color w:val="231F20"/>
          <w:spacing w:val="-41"/>
          <w:w w:val="105"/>
          <w:sz w:val="21"/>
        </w:rPr>
        <w:t> </w:t>
      </w:r>
      <w:r>
        <w:rPr>
          <w:color w:val="231F20"/>
          <w:w w:val="105"/>
          <w:sz w:val="21"/>
        </w:rPr>
        <w:t>51-78.</w:t>
      </w:r>
    </w:p>
    <w:p>
      <w:pPr>
        <w:pStyle w:val="BodyText"/>
        <w:spacing w:line="259" w:lineRule="auto"/>
        <w:ind w:left="854" w:right="115" w:hanging="738"/>
        <w:jc w:val="both"/>
        <w:rPr>
          <w:i/>
        </w:rPr>
      </w:pPr>
      <w:r>
        <w:rPr>
          <w:color w:val="231F20"/>
        </w:rPr>
        <w:t>–––––––</w:t>
      </w:r>
      <w:r>
        <w:rPr>
          <w:color w:val="231F20"/>
          <w:spacing w:val="-10"/>
        </w:rPr>
        <w:t> </w:t>
      </w:r>
      <w:r>
        <w:rPr>
          <w:color w:val="231F20"/>
        </w:rPr>
        <w:t>y</w:t>
      </w:r>
      <w:r>
        <w:rPr>
          <w:color w:val="231F20"/>
          <w:spacing w:val="-13"/>
        </w:rPr>
        <w:t> </w:t>
      </w:r>
      <w:r>
        <w:rPr>
          <w:color w:val="231F20"/>
        </w:rPr>
        <w:t>J.</w:t>
      </w:r>
      <w:r>
        <w:rPr>
          <w:color w:val="231F20"/>
          <w:spacing w:val="-18"/>
        </w:rPr>
        <w:t> </w:t>
      </w:r>
      <w:r>
        <w:rPr>
          <w:color w:val="231F20"/>
        </w:rPr>
        <w:t>Velasco</w:t>
      </w:r>
      <w:r>
        <w:rPr>
          <w:color w:val="231F20"/>
          <w:spacing w:val="-10"/>
        </w:rPr>
        <w:t> </w:t>
      </w:r>
      <w:r>
        <w:rPr>
          <w:color w:val="231F20"/>
        </w:rPr>
        <w:t>(2003).</w:t>
      </w:r>
      <w:r>
        <w:rPr>
          <w:color w:val="231F20"/>
          <w:spacing w:val="-15"/>
        </w:rPr>
        <w:t> </w:t>
      </w:r>
      <w:r>
        <w:rPr>
          <w:color w:val="231F20"/>
        </w:rPr>
        <w:t>“El</w:t>
      </w:r>
      <w:r>
        <w:rPr>
          <w:color w:val="231F20"/>
          <w:spacing w:val="-10"/>
        </w:rPr>
        <w:t> </w:t>
      </w:r>
      <w:r>
        <w:rPr>
          <w:color w:val="231F20"/>
        </w:rPr>
        <w:t>vínculo</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institucio- nes académicas: la función de traducción y el perfil de los traduc- </w:t>
      </w:r>
      <w:r>
        <w:rPr>
          <w:color w:val="231F20"/>
          <w:spacing w:val="-5"/>
        </w:rPr>
        <w:t>tores”, </w:t>
      </w:r>
      <w:r>
        <w:rPr>
          <w:color w:val="231F20"/>
        </w:rPr>
        <w:t>en M. Luna (coord.). </w:t>
      </w:r>
      <w:r>
        <w:rPr>
          <w:i/>
          <w:color w:val="231F20"/>
        </w:rPr>
        <w:t>Itinerarios del conocimiento;    </w:t>
      </w:r>
      <w:r>
        <w:rPr>
          <w:i/>
          <w:color w:val="231F20"/>
          <w:spacing w:val="9"/>
        </w:rPr>
        <w:t> </w:t>
      </w:r>
      <w:r>
        <w:rPr>
          <w:i/>
          <w:color w:val="231F20"/>
        </w:rPr>
        <w:t>formas,</w:t>
      </w:r>
    </w:p>
    <w:p>
      <w:pPr>
        <w:spacing w:after="0" w:line="259" w:lineRule="auto"/>
        <w:jc w:val="both"/>
        <w:sectPr>
          <w:type w:val="continuous"/>
          <w:pgSz w:w="9640" w:h="13890"/>
          <w:pgMar w:top="1300" w:bottom="280" w:left="1300" w:right="1180"/>
        </w:sectPr>
      </w:pPr>
    </w:p>
    <w:p>
      <w:pPr>
        <w:spacing w:line="259" w:lineRule="auto" w:before="120"/>
        <w:ind w:left="840" w:right="16" w:firstLine="0"/>
        <w:jc w:val="left"/>
        <w:rPr>
          <w:sz w:val="21"/>
        </w:rPr>
      </w:pPr>
      <w:r>
        <w:rPr>
          <w:i/>
          <w:color w:val="231F20"/>
          <w:w w:val="105"/>
          <w:sz w:val="21"/>
        </w:rPr>
        <w:t>dinámicas y contenido. Un enfoque de redes</w:t>
      </w:r>
      <w:r>
        <w:rPr>
          <w:color w:val="231F20"/>
          <w:w w:val="105"/>
          <w:sz w:val="21"/>
        </w:rPr>
        <w:t>. Anthropos/UNAM, </w:t>
      </w:r>
      <w:r>
        <w:rPr>
          <w:color w:val="231F20"/>
          <w:sz w:val="21"/>
        </w:rPr>
        <w:t>España, pp. 229-258.</w:t>
      </w:r>
    </w:p>
    <w:p>
      <w:pPr>
        <w:spacing w:line="259" w:lineRule="auto" w:before="0"/>
        <w:ind w:left="840" w:right="110" w:hanging="738"/>
        <w:jc w:val="both"/>
        <w:rPr>
          <w:sz w:val="21"/>
        </w:rPr>
      </w:pPr>
      <w:r>
        <w:rPr>
          <w:color w:val="231F20"/>
          <w:sz w:val="21"/>
        </w:rPr>
        <w:t>–––––––</w:t>
      </w:r>
      <w:r>
        <w:rPr>
          <w:color w:val="231F20"/>
          <w:spacing w:val="-13"/>
          <w:sz w:val="21"/>
        </w:rPr>
        <w:t> </w:t>
      </w:r>
      <w:r>
        <w:rPr>
          <w:color w:val="231F20"/>
          <w:sz w:val="21"/>
        </w:rPr>
        <w:t>y</w:t>
      </w:r>
      <w:r>
        <w:rPr>
          <w:color w:val="231F20"/>
          <w:spacing w:val="-15"/>
          <w:sz w:val="21"/>
        </w:rPr>
        <w:t> </w:t>
      </w:r>
      <w:r>
        <w:rPr>
          <w:color w:val="231F20"/>
          <w:sz w:val="21"/>
        </w:rPr>
        <w:t>J.</w:t>
      </w:r>
      <w:r>
        <w:rPr>
          <w:color w:val="231F20"/>
          <w:spacing w:val="-22"/>
          <w:sz w:val="21"/>
        </w:rPr>
        <w:t> </w:t>
      </w:r>
      <w:r>
        <w:rPr>
          <w:color w:val="231F20"/>
          <w:sz w:val="21"/>
        </w:rPr>
        <w:t>Velasco</w:t>
      </w:r>
      <w:r>
        <w:rPr>
          <w:color w:val="231F20"/>
          <w:spacing w:val="-13"/>
          <w:sz w:val="21"/>
        </w:rPr>
        <w:t> </w:t>
      </w:r>
      <w:r>
        <w:rPr>
          <w:color w:val="231F20"/>
          <w:sz w:val="21"/>
        </w:rPr>
        <w:t>(2006).</w:t>
      </w:r>
      <w:r>
        <w:rPr>
          <w:color w:val="231F20"/>
          <w:spacing w:val="-19"/>
          <w:sz w:val="21"/>
        </w:rPr>
        <w:t> </w:t>
      </w:r>
      <w:r>
        <w:rPr>
          <w:color w:val="231F20"/>
          <w:sz w:val="21"/>
        </w:rPr>
        <w:t>“Redes</w:t>
      </w:r>
      <w:r>
        <w:rPr>
          <w:color w:val="231F20"/>
          <w:spacing w:val="-13"/>
          <w:sz w:val="21"/>
        </w:rPr>
        <w:t> </w:t>
      </w:r>
      <w:r>
        <w:rPr>
          <w:color w:val="231F20"/>
          <w:sz w:val="21"/>
        </w:rPr>
        <w:t>de</w:t>
      </w:r>
      <w:r>
        <w:rPr>
          <w:color w:val="231F20"/>
          <w:spacing w:val="-13"/>
          <w:sz w:val="21"/>
        </w:rPr>
        <w:t> </w:t>
      </w:r>
      <w:r>
        <w:rPr>
          <w:color w:val="231F20"/>
          <w:sz w:val="21"/>
        </w:rPr>
        <w:t>conocimiento:</w:t>
      </w:r>
      <w:r>
        <w:rPr>
          <w:color w:val="231F20"/>
          <w:spacing w:val="-13"/>
          <w:sz w:val="21"/>
        </w:rPr>
        <w:t> </w:t>
      </w:r>
      <w:r>
        <w:rPr>
          <w:color w:val="231F20"/>
          <w:sz w:val="21"/>
        </w:rPr>
        <w:t>principios</w:t>
      </w:r>
      <w:r>
        <w:rPr>
          <w:color w:val="231F20"/>
          <w:spacing w:val="-13"/>
          <w:sz w:val="21"/>
        </w:rPr>
        <w:t> </w:t>
      </w:r>
      <w:r>
        <w:rPr>
          <w:color w:val="231F20"/>
          <w:sz w:val="21"/>
        </w:rPr>
        <w:t>de</w:t>
      </w:r>
      <w:r>
        <w:rPr>
          <w:color w:val="231F20"/>
          <w:spacing w:val="-13"/>
          <w:sz w:val="21"/>
        </w:rPr>
        <w:t> </w:t>
      </w:r>
      <w:r>
        <w:rPr>
          <w:color w:val="231F20"/>
          <w:sz w:val="21"/>
        </w:rPr>
        <w:t>coordi- nación y mecanismos de </w:t>
      </w:r>
      <w:r>
        <w:rPr>
          <w:color w:val="231F20"/>
          <w:spacing w:val="-3"/>
          <w:sz w:val="21"/>
        </w:rPr>
        <w:t>integración”, </w:t>
      </w:r>
      <w:r>
        <w:rPr>
          <w:color w:val="231F20"/>
          <w:sz w:val="21"/>
        </w:rPr>
        <w:t>en M. Albornoz y C. Alfaraz (eds.). </w:t>
      </w:r>
      <w:r>
        <w:rPr>
          <w:i/>
          <w:color w:val="231F20"/>
          <w:sz w:val="21"/>
        </w:rPr>
        <w:t>Redes de conocimiento: construcción, dinámica y gestión</w:t>
      </w:r>
      <w:r>
        <w:rPr>
          <w:color w:val="231F20"/>
          <w:sz w:val="21"/>
        </w:rPr>
        <w:t>. RICYT/UNESCO, Argentina, pp.</w:t>
      </w:r>
      <w:r>
        <w:rPr>
          <w:color w:val="231F20"/>
          <w:spacing w:val="-29"/>
          <w:sz w:val="21"/>
        </w:rPr>
        <w:t> </w:t>
      </w:r>
      <w:r>
        <w:rPr>
          <w:color w:val="231F20"/>
          <w:sz w:val="21"/>
        </w:rPr>
        <w:t>13-36.</w:t>
      </w:r>
    </w:p>
    <w:p>
      <w:pPr>
        <w:spacing w:line="247" w:lineRule="auto" w:before="0"/>
        <w:ind w:left="840" w:right="115" w:hanging="737"/>
        <w:jc w:val="both"/>
        <w:rPr>
          <w:sz w:val="22"/>
        </w:rPr>
      </w:pPr>
      <w:r>
        <w:rPr>
          <w:color w:val="231F20"/>
          <w:w w:val="105"/>
          <w:sz w:val="22"/>
        </w:rPr>
        <w:t>Linares</w:t>
      </w:r>
      <w:r>
        <w:rPr>
          <w:color w:val="231F20"/>
          <w:spacing w:val="-42"/>
          <w:w w:val="105"/>
          <w:sz w:val="22"/>
        </w:rPr>
        <w:t> </w:t>
      </w:r>
      <w:r>
        <w:rPr>
          <w:color w:val="231F20"/>
          <w:w w:val="105"/>
          <w:sz w:val="22"/>
        </w:rPr>
        <w:t>(2008).</w:t>
      </w:r>
      <w:r>
        <w:rPr>
          <w:color w:val="231F20"/>
          <w:spacing w:val="-45"/>
          <w:w w:val="105"/>
          <w:sz w:val="22"/>
        </w:rPr>
        <w:t> </w:t>
      </w:r>
      <w:r>
        <w:rPr>
          <w:color w:val="231F20"/>
          <w:w w:val="105"/>
          <w:sz w:val="22"/>
        </w:rPr>
        <w:t>“Análisis</w:t>
      </w:r>
      <w:r>
        <w:rPr>
          <w:color w:val="231F20"/>
          <w:spacing w:val="-42"/>
          <w:w w:val="105"/>
          <w:sz w:val="22"/>
        </w:rPr>
        <w:t> </w:t>
      </w:r>
      <w:r>
        <w:rPr>
          <w:color w:val="231F20"/>
          <w:w w:val="105"/>
          <w:sz w:val="22"/>
        </w:rPr>
        <w:t>de</w:t>
      </w:r>
      <w:r>
        <w:rPr>
          <w:color w:val="231F20"/>
          <w:spacing w:val="-42"/>
          <w:w w:val="105"/>
          <w:sz w:val="22"/>
        </w:rPr>
        <w:t> </w:t>
      </w:r>
      <w:r>
        <w:rPr>
          <w:color w:val="231F20"/>
          <w:w w:val="105"/>
          <w:sz w:val="22"/>
        </w:rPr>
        <w:t>Redes</w:t>
      </w:r>
      <w:r>
        <w:rPr>
          <w:color w:val="231F20"/>
          <w:spacing w:val="-42"/>
          <w:w w:val="105"/>
          <w:sz w:val="22"/>
        </w:rPr>
        <w:t> </w:t>
      </w:r>
      <w:r>
        <w:rPr>
          <w:color w:val="231F20"/>
          <w:w w:val="105"/>
          <w:sz w:val="22"/>
        </w:rPr>
        <w:t>Sociales</w:t>
      </w:r>
      <w:r>
        <w:rPr>
          <w:color w:val="231F20"/>
          <w:spacing w:val="-42"/>
          <w:w w:val="105"/>
          <w:sz w:val="22"/>
        </w:rPr>
        <w:t> </w:t>
      </w:r>
      <w:r>
        <w:rPr>
          <w:color w:val="231F20"/>
          <w:w w:val="105"/>
          <w:sz w:val="22"/>
        </w:rPr>
        <w:t>(ARS):</w:t>
      </w:r>
      <w:r>
        <w:rPr>
          <w:color w:val="231F20"/>
          <w:spacing w:val="-42"/>
          <w:w w:val="105"/>
          <w:sz w:val="22"/>
        </w:rPr>
        <w:t> </w:t>
      </w:r>
      <w:r>
        <w:rPr>
          <w:color w:val="231F20"/>
          <w:w w:val="105"/>
          <w:sz w:val="22"/>
        </w:rPr>
        <w:t>Conceptos</w:t>
      </w:r>
      <w:r>
        <w:rPr>
          <w:color w:val="231F20"/>
          <w:spacing w:val="-42"/>
          <w:w w:val="105"/>
          <w:sz w:val="22"/>
        </w:rPr>
        <w:t> </w:t>
      </w:r>
      <w:r>
        <w:rPr>
          <w:color w:val="231F20"/>
          <w:w w:val="105"/>
          <w:sz w:val="22"/>
        </w:rPr>
        <w:t>básicos y</w:t>
      </w:r>
      <w:r>
        <w:rPr>
          <w:color w:val="231F20"/>
          <w:spacing w:val="-30"/>
          <w:w w:val="105"/>
          <w:sz w:val="22"/>
        </w:rPr>
        <w:t> </w:t>
      </w:r>
      <w:r>
        <w:rPr>
          <w:color w:val="231F20"/>
          <w:w w:val="105"/>
          <w:sz w:val="22"/>
        </w:rPr>
        <w:t>aplicación</w:t>
      </w:r>
      <w:r>
        <w:rPr>
          <w:color w:val="231F20"/>
          <w:spacing w:val="-30"/>
          <w:w w:val="105"/>
          <w:sz w:val="22"/>
        </w:rPr>
        <w:t> </w:t>
      </w:r>
      <w:r>
        <w:rPr>
          <w:color w:val="231F20"/>
          <w:w w:val="105"/>
          <w:sz w:val="22"/>
        </w:rPr>
        <w:t>al</w:t>
      </w:r>
      <w:r>
        <w:rPr>
          <w:color w:val="231F20"/>
          <w:spacing w:val="-30"/>
          <w:w w:val="105"/>
          <w:sz w:val="22"/>
        </w:rPr>
        <w:t> </w:t>
      </w:r>
      <w:r>
        <w:rPr>
          <w:color w:val="231F20"/>
          <w:w w:val="105"/>
          <w:sz w:val="22"/>
        </w:rPr>
        <w:t>estudio</w:t>
      </w:r>
      <w:r>
        <w:rPr>
          <w:color w:val="231F20"/>
          <w:spacing w:val="-30"/>
          <w:w w:val="105"/>
          <w:sz w:val="22"/>
        </w:rPr>
        <w:t> </w:t>
      </w:r>
      <w:r>
        <w:rPr>
          <w:color w:val="231F20"/>
          <w:w w:val="105"/>
          <w:sz w:val="22"/>
        </w:rPr>
        <w:t>de</w:t>
      </w:r>
      <w:r>
        <w:rPr>
          <w:color w:val="231F20"/>
          <w:spacing w:val="-30"/>
          <w:w w:val="105"/>
          <w:sz w:val="22"/>
        </w:rPr>
        <w:t> </w:t>
      </w:r>
      <w:r>
        <w:rPr>
          <w:color w:val="231F20"/>
          <w:w w:val="105"/>
          <w:sz w:val="22"/>
        </w:rPr>
        <w:t>las</w:t>
      </w:r>
      <w:r>
        <w:rPr>
          <w:color w:val="231F20"/>
          <w:spacing w:val="-30"/>
          <w:w w:val="105"/>
          <w:sz w:val="22"/>
        </w:rPr>
        <w:t> </w:t>
      </w:r>
      <w:r>
        <w:rPr>
          <w:color w:val="231F20"/>
          <w:w w:val="105"/>
          <w:sz w:val="22"/>
        </w:rPr>
        <w:t>organizaciones”.</w:t>
      </w:r>
      <w:r>
        <w:rPr>
          <w:color w:val="231F20"/>
          <w:spacing w:val="-34"/>
          <w:w w:val="105"/>
          <w:sz w:val="22"/>
        </w:rPr>
        <w:t> </w:t>
      </w:r>
      <w:r>
        <w:rPr>
          <w:i/>
          <w:color w:val="231F20"/>
          <w:w w:val="105"/>
          <w:sz w:val="22"/>
        </w:rPr>
        <w:t>Universidad</w:t>
      </w:r>
      <w:r>
        <w:rPr>
          <w:i/>
          <w:color w:val="231F20"/>
          <w:spacing w:val="-30"/>
          <w:w w:val="105"/>
          <w:sz w:val="22"/>
        </w:rPr>
        <w:t> </w:t>
      </w:r>
      <w:r>
        <w:rPr>
          <w:i/>
          <w:color w:val="231F20"/>
          <w:w w:val="105"/>
          <w:sz w:val="22"/>
        </w:rPr>
        <w:t>Na- </w:t>
      </w:r>
      <w:r>
        <w:rPr>
          <w:i/>
          <w:color w:val="231F20"/>
          <w:w w:val="105"/>
          <w:sz w:val="22"/>
        </w:rPr>
        <w:t>cional de Cuyo, Argentina</w:t>
      </w:r>
      <w:r>
        <w:rPr>
          <w:color w:val="231F20"/>
          <w:w w:val="105"/>
          <w:sz w:val="22"/>
        </w:rPr>
        <w:t>, Disponible en: </w:t>
      </w:r>
      <w:r>
        <w:rPr>
          <w:color w:val="231F20"/>
          <w:w w:val="105"/>
          <w:sz w:val="21"/>
        </w:rPr>
        <w:t>http://www.ecovir- tual.uncu.edu.ar/investigación/2008/files </w:t>
      </w:r>
      <w:r>
        <w:rPr>
          <w:color w:val="231F20"/>
          <w:w w:val="105"/>
          <w:sz w:val="22"/>
        </w:rPr>
        <w:t>Consultado el 28 de abril de</w:t>
      </w:r>
      <w:r>
        <w:rPr>
          <w:color w:val="231F20"/>
          <w:spacing w:val="-11"/>
          <w:w w:val="105"/>
          <w:sz w:val="22"/>
        </w:rPr>
        <w:t> </w:t>
      </w:r>
      <w:r>
        <w:rPr>
          <w:color w:val="231F20"/>
          <w:w w:val="105"/>
          <w:sz w:val="22"/>
        </w:rPr>
        <w:t>2014.</w:t>
      </w:r>
    </w:p>
    <w:p>
      <w:pPr>
        <w:spacing w:line="259" w:lineRule="auto" w:before="9"/>
        <w:ind w:left="841" w:right="108" w:hanging="738"/>
        <w:jc w:val="both"/>
        <w:rPr>
          <w:sz w:val="21"/>
        </w:rPr>
      </w:pPr>
      <w:r>
        <w:rPr>
          <w:color w:val="231F20"/>
          <w:sz w:val="21"/>
        </w:rPr>
        <w:t>López, B. y Solís </w:t>
      </w:r>
      <w:r>
        <w:rPr>
          <w:color w:val="231F20"/>
          <w:spacing w:val="-16"/>
          <w:sz w:val="21"/>
        </w:rPr>
        <w:t>P. </w:t>
      </w:r>
      <w:r>
        <w:rPr>
          <w:color w:val="231F20"/>
          <w:sz w:val="21"/>
        </w:rPr>
        <w:t>(2004). “Diseño y Arquitectura de Redes Formales de </w:t>
      </w:r>
      <w:r>
        <w:rPr>
          <w:color w:val="231F20"/>
          <w:spacing w:val="-3"/>
          <w:sz w:val="21"/>
        </w:rPr>
        <w:t>Conocimiento”, </w:t>
      </w:r>
      <w:r>
        <w:rPr>
          <w:color w:val="231F20"/>
          <w:sz w:val="21"/>
        </w:rPr>
        <w:t>en: </w:t>
      </w:r>
      <w:r>
        <w:rPr>
          <w:i/>
          <w:color w:val="231F20"/>
          <w:sz w:val="21"/>
        </w:rPr>
        <w:t>Administración y Organizaciones</w:t>
      </w:r>
      <w:r>
        <w:rPr>
          <w:color w:val="231F20"/>
          <w:sz w:val="21"/>
        </w:rPr>
        <w:t>. </w:t>
      </w:r>
      <w:r>
        <w:rPr>
          <w:color w:val="231F20"/>
          <w:spacing w:val="-3"/>
          <w:sz w:val="21"/>
        </w:rPr>
        <w:t>Vol. </w:t>
      </w:r>
      <w:r>
        <w:rPr>
          <w:color w:val="231F20"/>
          <w:sz w:val="21"/>
        </w:rPr>
        <w:t>12,  Núm. 6, pp.</w:t>
      </w:r>
      <w:r>
        <w:rPr>
          <w:color w:val="231F20"/>
          <w:spacing w:val="17"/>
          <w:sz w:val="21"/>
        </w:rPr>
        <w:t> </w:t>
      </w:r>
      <w:r>
        <w:rPr>
          <w:color w:val="231F20"/>
          <w:sz w:val="21"/>
        </w:rPr>
        <w:t>9-23.</w:t>
      </w:r>
    </w:p>
    <w:p>
      <w:pPr>
        <w:spacing w:line="259" w:lineRule="auto" w:before="0"/>
        <w:ind w:left="841" w:right="108" w:hanging="738"/>
        <w:jc w:val="both"/>
        <w:rPr>
          <w:sz w:val="21"/>
        </w:rPr>
      </w:pPr>
      <w:r>
        <w:rPr>
          <w:i/>
          <w:color w:val="231F20"/>
          <w:sz w:val="21"/>
        </w:rPr>
        <w:t>Sanz,</w:t>
      </w:r>
      <w:r>
        <w:rPr>
          <w:i/>
          <w:color w:val="231F20"/>
          <w:spacing w:val="-14"/>
          <w:sz w:val="21"/>
        </w:rPr>
        <w:t> </w:t>
      </w:r>
      <w:r>
        <w:rPr>
          <w:i/>
          <w:color w:val="231F20"/>
          <w:sz w:val="21"/>
        </w:rPr>
        <w:t>L.</w:t>
      </w:r>
      <w:r>
        <w:rPr>
          <w:i/>
          <w:color w:val="231F20"/>
          <w:spacing w:val="-14"/>
          <w:sz w:val="21"/>
        </w:rPr>
        <w:t> </w:t>
      </w:r>
      <w:r>
        <w:rPr>
          <w:i/>
          <w:color w:val="231F20"/>
          <w:sz w:val="21"/>
        </w:rPr>
        <w:t>(2003).</w:t>
      </w:r>
      <w:r>
        <w:rPr>
          <w:i/>
          <w:color w:val="231F20"/>
          <w:spacing w:val="-14"/>
          <w:sz w:val="21"/>
        </w:rPr>
        <w:t> </w:t>
      </w:r>
      <w:r>
        <w:rPr>
          <w:i/>
          <w:color w:val="231F20"/>
          <w:sz w:val="21"/>
        </w:rPr>
        <w:t>“</w:t>
      </w:r>
      <w:r>
        <w:rPr>
          <w:color w:val="231F20"/>
          <w:sz w:val="21"/>
        </w:rPr>
        <w:t>Análisis</w:t>
      </w:r>
      <w:r>
        <w:rPr>
          <w:color w:val="231F20"/>
          <w:spacing w:val="-7"/>
          <w:sz w:val="21"/>
        </w:rPr>
        <w:t> </w:t>
      </w:r>
      <w:r>
        <w:rPr>
          <w:color w:val="231F20"/>
          <w:sz w:val="21"/>
        </w:rPr>
        <w:t>de</w:t>
      </w:r>
      <w:r>
        <w:rPr>
          <w:color w:val="231F20"/>
          <w:spacing w:val="-7"/>
          <w:sz w:val="21"/>
        </w:rPr>
        <w:t> </w:t>
      </w:r>
      <w:r>
        <w:rPr>
          <w:color w:val="231F20"/>
          <w:sz w:val="21"/>
        </w:rPr>
        <w:t>redes</w:t>
      </w:r>
      <w:r>
        <w:rPr>
          <w:color w:val="231F20"/>
          <w:spacing w:val="-7"/>
          <w:sz w:val="21"/>
        </w:rPr>
        <w:t> </w:t>
      </w:r>
      <w:r>
        <w:rPr>
          <w:color w:val="231F20"/>
          <w:sz w:val="21"/>
        </w:rPr>
        <w:t>sociales:</w:t>
      </w:r>
      <w:r>
        <w:rPr>
          <w:color w:val="231F20"/>
          <w:spacing w:val="-7"/>
          <w:sz w:val="21"/>
        </w:rPr>
        <w:t> </w:t>
      </w:r>
      <w:r>
        <w:rPr>
          <w:color w:val="231F20"/>
          <w:sz w:val="21"/>
        </w:rPr>
        <w:t>o</w:t>
      </w:r>
      <w:r>
        <w:rPr>
          <w:color w:val="231F20"/>
          <w:spacing w:val="-7"/>
          <w:sz w:val="21"/>
        </w:rPr>
        <w:t> </w:t>
      </w:r>
      <w:r>
        <w:rPr>
          <w:color w:val="231F20"/>
          <w:sz w:val="21"/>
        </w:rPr>
        <w:t>cómo</w:t>
      </w:r>
      <w:r>
        <w:rPr>
          <w:color w:val="231F20"/>
          <w:spacing w:val="-7"/>
          <w:sz w:val="21"/>
        </w:rPr>
        <w:t> </w:t>
      </w:r>
      <w:r>
        <w:rPr>
          <w:color w:val="231F20"/>
          <w:sz w:val="21"/>
        </w:rPr>
        <w:t>representar</w:t>
      </w:r>
      <w:r>
        <w:rPr>
          <w:color w:val="231F20"/>
          <w:spacing w:val="-7"/>
          <w:sz w:val="21"/>
        </w:rPr>
        <w:t> </w:t>
      </w:r>
      <w:r>
        <w:rPr>
          <w:color w:val="231F20"/>
          <w:sz w:val="21"/>
        </w:rPr>
        <w:t>las</w:t>
      </w:r>
      <w:r>
        <w:rPr>
          <w:color w:val="231F20"/>
          <w:spacing w:val="-7"/>
          <w:sz w:val="21"/>
        </w:rPr>
        <w:t> </w:t>
      </w:r>
      <w:r>
        <w:rPr>
          <w:color w:val="231F20"/>
          <w:sz w:val="21"/>
        </w:rPr>
        <w:t>estruc- turas sociales subyacentes” en: </w:t>
      </w:r>
      <w:r>
        <w:rPr>
          <w:i/>
          <w:color w:val="231F20"/>
          <w:sz w:val="21"/>
        </w:rPr>
        <w:t>Apuntes de Ciencia y Tecnología</w:t>
      </w:r>
      <w:r>
        <w:rPr>
          <w:color w:val="231F20"/>
          <w:sz w:val="21"/>
        </w:rPr>
        <w:t>. Núm.7, pp.</w:t>
      </w:r>
      <w:r>
        <w:rPr>
          <w:color w:val="231F20"/>
          <w:spacing w:val="35"/>
          <w:sz w:val="21"/>
        </w:rPr>
        <w:t> </w:t>
      </w:r>
      <w:r>
        <w:rPr>
          <w:color w:val="231F20"/>
          <w:sz w:val="21"/>
        </w:rPr>
        <w:t>21-29.</w:t>
      </w:r>
    </w:p>
    <w:p>
      <w:pPr>
        <w:pStyle w:val="BodyText"/>
        <w:spacing w:line="259" w:lineRule="auto"/>
        <w:ind w:left="841" w:right="115" w:hanging="738"/>
        <w:jc w:val="both"/>
      </w:pPr>
      <w:r>
        <w:rPr>
          <w:color w:val="231F20"/>
          <w:w w:val="105"/>
        </w:rPr>
        <w:t>Quatman</w:t>
      </w:r>
      <w:r>
        <w:rPr>
          <w:color w:val="231F20"/>
          <w:spacing w:val="-33"/>
          <w:w w:val="105"/>
        </w:rPr>
        <w:t> </w:t>
      </w:r>
      <w:r>
        <w:rPr>
          <w:color w:val="231F20"/>
          <w:w w:val="105"/>
        </w:rPr>
        <w:t>C.</w:t>
      </w:r>
      <w:r>
        <w:rPr>
          <w:color w:val="231F20"/>
          <w:spacing w:val="-37"/>
          <w:w w:val="105"/>
        </w:rPr>
        <w:t> </w:t>
      </w:r>
      <w:r>
        <w:rPr>
          <w:color w:val="231F20"/>
          <w:w w:val="105"/>
        </w:rPr>
        <w:t>y</w:t>
      </w:r>
      <w:r>
        <w:rPr>
          <w:color w:val="231F20"/>
          <w:spacing w:val="-33"/>
          <w:w w:val="105"/>
        </w:rPr>
        <w:t> </w:t>
      </w:r>
      <w:r>
        <w:rPr>
          <w:color w:val="231F20"/>
          <w:w w:val="105"/>
        </w:rPr>
        <w:t>Chelladurai</w:t>
      </w:r>
      <w:r>
        <w:rPr>
          <w:color w:val="231F20"/>
          <w:spacing w:val="-33"/>
          <w:w w:val="105"/>
        </w:rPr>
        <w:t> </w:t>
      </w:r>
      <w:r>
        <w:rPr>
          <w:color w:val="231F20"/>
          <w:spacing w:val="-16"/>
          <w:w w:val="105"/>
        </w:rPr>
        <w:t>P.</w:t>
      </w:r>
      <w:r>
        <w:rPr>
          <w:color w:val="231F20"/>
          <w:spacing w:val="-37"/>
          <w:w w:val="105"/>
        </w:rPr>
        <w:t> </w:t>
      </w:r>
      <w:r>
        <w:rPr>
          <w:color w:val="231F20"/>
          <w:w w:val="105"/>
        </w:rPr>
        <w:t>(2008).</w:t>
      </w:r>
      <w:r>
        <w:rPr>
          <w:color w:val="231F20"/>
          <w:spacing w:val="-37"/>
          <w:w w:val="105"/>
        </w:rPr>
        <w:t> </w:t>
      </w:r>
      <w:r>
        <w:rPr>
          <w:color w:val="231F20"/>
          <w:w w:val="105"/>
        </w:rPr>
        <w:t>“Social</w:t>
      </w:r>
      <w:r>
        <w:rPr>
          <w:color w:val="231F20"/>
          <w:spacing w:val="-33"/>
          <w:w w:val="105"/>
        </w:rPr>
        <w:t> </w:t>
      </w:r>
      <w:r>
        <w:rPr>
          <w:color w:val="231F20"/>
          <w:w w:val="105"/>
        </w:rPr>
        <w:t>Network</w:t>
      </w:r>
      <w:r>
        <w:rPr>
          <w:color w:val="231F20"/>
          <w:spacing w:val="-36"/>
          <w:w w:val="105"/>
        </w:rPr>
        <w:t> </w:t>
      </w:r>
      <w:r>
        <w:rPr>
          <w:color w:val="231F20"/>
          <w:w w:val="105"/>
        </w:rPr>
        <w:t>Theory</w:t>
      </w:r>
      <w:r>
        <w:rPr>
          <w:color w:val="231F20"/>
          <w:spacing w:val="-33"/>
          <w:w w:val="105"/>
        </w:rPr>
        <w:t> </w:t>
      </w:r>
      <w:r>
        <w:rPr>
          <w:color w:val="231F20"/>
          <w:w w:val="105"/>
        </w:rPr>
        <w:t>and</w:t>
      </w:r>
      <w:r>
        <w:rPr>
          <w:color w:val="231F20"/>
          <w:spacing w:val="-36"/>
          <w:w w:val="105"/>
        </w:rPr>
        <w:t> </w:t>
      </w:r>
      <w:r>
        <w:rPr>
          <w:color w:val="231F20"/>
          <w:w w:val="105"/>
        </w:rPr>
        <w:t>Analysis: A</w:t>
      </w:r>
      <w:r>
        <w:rPr>
          <w:color w:val="231F20"/>
          <w:spacing w:val="-21"/>
          <w:w w:val="105"/>
        </w:rPr>
        <w:t> </w:t>
      </w:r>
      <w:r>
        <w:rPr>
          <w:color w:val="231F20"/>
          <w:w w:val="105"/>
        </w:rPr>
        <w:t>Complementary</w:t>
      </w:r>
      <w:r>
        <w:rPr>
          <w:color w:val="231F20"/>
          <w:spacing w:val="-18"/>
          <w:w w:val="105"/>
        </w:rPr>
        <w:t> </w:t>
      </w:r>
      <w:r>
        <w:rPr>
          <w:color w:val="231F20"/>
          <w:w w:val="105"/>
        </w:rPr>
        <w:t>Lens</w:t>
      </w:r>
      <w:r>
        <w:rPr>
          <w:color w:val="231F20"/>
          <w:spacing w:val="-19"/>
          <w:w w:val="105"/>
        </w:rPr>
        <w:t> </w:t>
      </w:r>
      <w:r>
        <w:rPr>
          <w:color w:val="231F20"/>
          <w:w w:val="105"/>
        </w:rPr>
        <w:t>for</w:t>
      </w:r>
      <w:r>
        <w:rPr>
          <w:color w:val="231F20"/>
          <w:spacing w:val="-18"/>
          <w:w w:val="105"/>
        </w:rPr>
        <w:t> </w:t>
      </w:r>
      <w:r>
        <w:rPr>
          <w:color w:val="231F20"/>
          <w:w w:val="105"/>
        </w:rPr>
        <w:t>Inquiry”</w:t>
      </w:r>
      <w:r>
        <w:rPr>
          <w:color w:val="231F20"/>
          <w:spacing w:val="-19"/>
          <w:w w:val="105"/>
        </w:rPr>
        <w:t> </w:t>
      </w:r>
      <w:r>
        <w:rPr>
          <w:color w:val="231F20"/>
          <w:w w:val="105"/>
        </w:rPr>
        <w:t>en:</w:t>
      </w:r>
      <w:r>
        <w:rPr>
          <w:color w:val="231F20"/>
          <w:spacing w:val="-18"/>
          <w:w w:val="105"/>
        </w:rPr>
        <w:t> </w:t>
      </w:r>
      <w:r>
        <w:rPr>
          <w:i/>
          <w:color w:val="231F20"/>
          <w:w w:val="105"/>
        </w:rPr>
        <w:t>Journal</w:t>
      </w:r>
      <w:r>
        <w:rPr>
          <w:i/>
          <w:color w:val="231F20"/>
          <w:spacing w:val="-19"/>
          <w:w w:val="105"/>
        </w:rPr>
        <w:t> </w:t>
      </w:r>
      <w:r>
        <w:rPr>
          <w:i/>
          <w:color w:val="231F20"/>
          <w:w w:val="105"/>
        </w:rPr>
        <w:t>of</w:t>
      </w:r>
      <w:r>
        <w:rPr>
          <w:i/>
          <w:color w:val="231F20"/>
          <w:spacing w:val="-15"/>
          <w:w w:val="105"/>
        </w:rPr>
        <w:t> </w:t>
      </w:r>
      <w:r>
        <w:rPr>
          <w:i/>
          <w:color w:val="231F20"/>
          <w:w w:val="105"/>
        </w:rPr>
        <w:t>Sport</w:t>
      </w:r>
      <w:r>
        <w:rPr>
          <w:i/>
          <w:color w:val="231F20"/>
          <w:spacing w:val="-19"/>
          <w:w w:val="105"/>
        </w:rPr>
        <w:t> </w:t>
      </w:r>
      <w:r>
        <w:rPr>
          <w:i/>
          <w:color w:val="231F20"/>
          <w:w w:val="105"/>
        </w:rPr>
        <w:t>Manage- </w:t>
      </w:r>
      <w:r>
        <w:rPr>
          <w:i/>
          <w:color w:val="231F20"/>
          <w:w w:val="105"/>
        </w:rPr>
        <w:t>ment.</w:t>
      </w:r>
      <w:r>
        <w:rPr>
          <w:i/>
          <w:color w:val="231F20"/>
          <w:spacing w:val="-22"/>
          <w:w w:val="105"/>
        </w:rPr>
        <w:t> </w:t>
      </w:r>
      <w:r>
        <w:rPr>
          <w:color w:val="231F20"/>
          <w:spacing w:val="-3"/>
          <w:w w:val="105"/>
        </w:rPr>
        <w:t>Vol.</w:t>
      </w:r>
      <w:r>
        <w:rPr>
          <w:color w:val="231F20"/>
          <w:spacing w:val="-25"/>
          <w:w w:val="105"/>
        </w:rPr>
        <w:t> </w:t>
      </w:r>
      <w:r>
        <w:rPr>
          <w:color w:val="231F20"/>
          <w:w w:val="105"/>
        </w:rPr>
        <w:t>22,</w:t>
      </w:r>
      <w:r>
        <w:rPr>
          <w:color w:val="231F20"/>
          <w:spacing w:val="-25"/>
          <w:w w:val="105"/>
        </w:rPr>
        <w:t> </w:t>
      </w:r>
      <w:r>
        <w:rPr>
          <w:color w:val="231F20"/>
          <w:w w:val="105"/>
        </w:rPr>
        <w:t>pp.</w:t>
      </w:r>
      <w:r>
        <w:rPr>
          <w:color w:val="231F20"/>
          <w:spacing w:val="-25"/>
          <w:w w:val="105"/>
        </w:rPr>
        <w:t> </w:t>
      </w:r>
      <w:r>
        <w:rPr>
          <w:color w:val="231F20"/>
          <w:w w:val="105"/>
        </w:rPr>
        <w:t>338-360.</w:t>
      </w:r>
    </w:p>
    <w:p>
      <w:pPr>
        <w:spacing w:line="259" w:lineRule="auto" w:before="0"/>
        <w:ind w:left="841" w:right="108" w:hanging="738"/>
        <w:jc w:val="both"/>
        <w:rPr>
          <w:sz w:val="21"/>
        </w:rPr>
      </w:pPr>
      <w:r>
        <w:rPr>
          <w:color w:val="231F20"/>
          <w:w w:val="105"/>
          <w:sz w:val="21"/>
        </w:rPr>
        <w:t>Quiroga,</w:t>
      </w:r>
      <w:r>
        <w:rPr>
          <w:color w:val="231F20"/>
          <w:spacing w:val="-42"/>
          <w:w w:val="105"/>
          <w:sz w:val="21"/>
        </w:rPr>
        <w:t> </w:t>
      </w:r>
      <w:r>
        <w:rPr>
          <w:color w:val="231F20"/>
          <w:w w:val="105"/>
          <w:sz w:val="21"/>
        </w:rPr>
        <w:t>A.</w:t>
      </w:r>
      <w:r>
        <w:rPr>
          <w:color w:val="231F20"/>
          <w:spacing w:val="-40"/>
          <w:w w:val="105"/>
          <w:sz w:val="21"/>
        </w:rPr>
        <w:t> </w:t>
      </w:r>
      <w:r>
        <w:rPr>
          <w:color w:val="231F20"/>
          <w:w w:val="105"/>
          <w:sz w:val="21"/>
        </w:rPr>
        <w:t>(2003).</w:t>
      </w:r>
      <w:r>
        <w:rPr>
          <w:color w:val="231F20"/>
          <w:spacing w:val="-40"/>
          <w:w w:val="105"/>
          <w:sz w:val="21"/>
        </w:rPr>
        <w:t> </w:t>
      </w:r>
      <w:r>
        <w:rPr>
          <w:color w:val="231F20"/>
          <w:w w:val="105"/>
          <w:sz w:val="21"/>
        </w:rPr>
        <w:t>“Introducción</w:t>
      </w:r>
      <w:r>
        <w:rPr>
          <w:color w:val="231F20"/>
          <w:spacing w:val="-36"/>
          <w:w w:val="105"/>
          <w:sz w:val="21"/>
        </w:rPr>
        <w:t> </w:t>
      </w:r>
      <w:r>
        <w:rPr>
          <w:color w:val="231F20"/>
          <w:w w:val="105"/>
          <w:sz w:val="21"/>
        </w:rPr>
        <w:t>al</w:t>
      </w:r>
      <w:r>
        <w:rPr>
          <w:color w:val="231F20"/>
          <w:spacing w:val="-36"/>
          <w:w w:val="105"/>
          <w:sz w:val="21"/>
        </w:rPr>
        <w:t> </w:t>
      </w:r>
      <w:r>
        <w:rPr>
          <w:color w:val="231F20"/>
          <w:w w:val="105"/>
          <w:sz w:val="21"/>
        </w:rPr>
        <w:t>análisis</w:t>
      </w:r>
      <w:r>
        <w:rPr>
          <w:color w:val="231F20"/>
          <w:spacing w:val="-36"/>
          <w:w w:val="105"/>
          <w:sz w:val="21"/>
        </w:rPr>
        <w:t> </w:t>
      </w:r>
      <w:r>
        <w:rPr>
          <w:color w:val="231F20"/>
          <w:w w:val="105"/>
          <w:sz w:val="21"/>
        </w:rPr>
        <w:t>de</w:t>
      </w:r>
      <w:r>
        <w:rPr>
          <w:color w:val="231F20"/>
          <w:spacing w:val="-36"/>
          <w:w w:val="105"/>
          <w:sz w:val="21"/>
        </w:rPr>
        <w:t> </w:t>
      </w:r>
      <w:r>
        <w:rPr>
          <w:color w:val="231F20"/>
          <w:w w:val="105"/>
          <w:sz w:val="21"/>
        </w:rPr>
        <w:t>datos</w:t>
      </w:r>
      <w:r>
        <w:rPr>
          <w:color w:val="231F20"/>
          <w:spacing w:val="-36"/>
          <w:w w:val="105"/>
          <w:sz w:val="21"/>
        </w:rPr>
        <w:t> </w:t>
      </w:r>
      <w:r>
        <w:rPr>
          <w:color w:val="231F20"/>
          <w:w w:val="105"/>
          <w:sz w:val="21"/>
        </w:rPr>
        <w:t>reticulares.</w:t>
      </w:r>
      <w:r>
        <w:rPr>
          <w:color w:val="231F20"/>
          <w:spacing w:val="-40"/>
          <w:w w:val="105"/>
          <w:sz w:val="21"/>
        </w:rPr>
        <w:t> </w:t>
      </w:r>
      <w:r>
        <w:rPr>
          <w:color w:val="231F20"/>
          <w:w w:val="105"/>
          <w:sz w:val="21"/>
        </w:rPr>
        <w:t>Practicas con</w:t>
      </w:r>
      <w:r>
        <w:rPr>
          <w:color w:val="231F20"/>
          <w:spacing w:val="-35"/>
          <w:w w:val="105"/>
          <w:sz w:val="21"/>
        </w:rPr>
        <w:t> </w:t>
      </w:r>
      <w:r>
        <w:rPr>
          <w:color w:val="231F20"/>
          <w:w w:val="105"/>
          <w:sz w:val="21"/>
        </w:rPr>
        <w:t>UCINET</w:t>
      </w:r>
      <w:r>
        <w:rPr>
          <w:color w:val="231F20"/>
          <w:spacing w:val="-37"/>
          <w:w w:val="105"/>
          <w:sz w:val="21"/>
        </w:rPr>
        <w:t> </w:t>
      </w:r>
      <w:r>
        <w:rPr>
          <w:color w:val="231F20"/>
          <w:w w:val="105"/>
          <w:sz w:val="21"/>
        </w:rPr>
        <w:t>y</w:t>
      </w:r>
      <w:r>
        <w:rPr>
          <w:color w:val="231F20"/>
          <w:spacing w:val="-35"/>
          <w:w w:val="105"/>
          <w:sz w:val="21"/>
        </w:rPr>
        <w:t> </w:t>
      </w:r>
      <w:r>
        <w:rPr>
          <w:color w:val="231F20"/>
          <w:w w:val="105"/>
          <w:sz w:val="21"/>
        </w:rPr>
        <w:t>NeDraw1”</w:t>
      </w:r>
      <w:r>
        <w:rPr>
          <w:color w:val="231F20"/>
          <w:spacing w:val="-35"/>
          <w:w w:val="105"/>
          <w:sz w:val="21"/>
        </w:rPr>
        <w:t> </w:t>
      </w:r>
      <w:r>
        <w:rPr>
          <w:color w:val="231F20"/>
          <w:w w:val="105"/>
          <w:sz w:val="21"/>
        </w:rPr>
        <w:t>en:</w:t>
      </w:r>
      <w:r>
        <w:rPr>
          <w:color w:val="231F20"/>
          <w:spacing w:val="-34"/>
          <w:w w:val="105"/>
          <w:sz w:val="21"/>
        </w:rPr>
        <w:t> </w:t>
      </w:r>
      <w:r>
        <w:rPr>
          <w:i/>
          <w:color w:val="231F20"/>
          <w:w w:val="105"/>
          <w:sz w:val="21"/>
        </w:rPr>
        <w:t>Departamento</w:t>
      </w:r>
      <w:r>
        <w:rPr>
          <w:i/>
          <w:color w:val="231F20"/>
          <w:spacing w:val="-34"/>
          <w:w w:val="105"/>
          <w:sz w:val="21"/>
        </w:rPr>
        <w:t> </w:t>
      </w:r>
      <w:r>
        <w:rPr>
          <w:i/>
          <w:color w:val="231F20"/>
          <w:w w:val="105"/>
          <w:sz w:val="21"/>
        </w:rPr>
        <w:t>de</w:t>
      </w:r>
      <w:r>
        <w:rPr>
          <w:i/>
          <w:color w:val="231F20"/>
          <w:spacing w:val="-34"/>
          <w:w w:val="105"/>
          <w:sz w:val="21"/>
        </w:rPr>
        <w:t> </w:t>
      </w:r>
      <w:r>
        <w:rPr>
          <w:i/>
          <w:color w:val="231F20"/>
          <w:w w:val="105"/>
          <w:sz w:val="21"/>
        </w:rPr>
        <w:t>Ciencias</w:t>
      </w:r>
      <w:r>
        <w:rPr>
          <w:i/>
          <w:color w:val="231F20"/>
          <w:spacing w:val="-34"/>
          <w:w w:val="105"/>
          <w:sz w:val="21"/>
        </w:rPr>
        <w:t> </w:t>
      </w:r>
      <w:r>
        <w:rPr>
          <w:i/>
          <w:color w:val="231F20"/>
          <w:w w:val="105"/>
          <w:sz w:val="21"/>
        </w:rPr>
        <w:t>Políticas, </w:t>
      </w:r>
      <w:r>
        <w:rPr>
          <w:i/>
          <w:color w:val="231F20"/>
          <w:w w:val="105"/>
          <w:sz w:val="21"/>
        </w:rPr>
        <w:t>Universidad </w:t>
      </w:r>
      <w:r>
        <w:rPr>
          <w:i/>
          <w:color w:val="231F20"/>
          <w:spacing w:val="-3"/>
          <w:w w:val="105"/>
          <w:sz w:val="21"/>
        </w:rPr>
        <w:t>Pompeu Fabra</w:t>
      </w:r>
      <w:r>
        <w:rPr>
          <w:color w:val="231F20"/>
          <w:spacing w:val="-3"/>
          <w:w w:val="105"/>
          <w:sz w:val="21"/>
        </w:rPr>
        <w:t>, </w:t>
      </w:r>
      <w:r>
        <w:rPr>
          <w:color w:val="231F20"/>
          <w:w w:val="105"/>
          <w:sz w:val="21"/>
        </w:rPr>
        <w:t>Disponible en: </w:t>
      </w:r>
      <w:hyperlink r:id="rId77">
        <w:r>
          <w:rPr>
            <w:color w:val="231F20"/>
            <w:w w:val="105"/>
            <w:sz w:val="21"/>
          </w:rPr>
          <w:t>http://revista-redes.</w:t>
        </w:r>
      </w:hyperlink>
      <w:r>
        <w:rPr>
          <w:color w:val="231F20"/>
          <w:w w:val="105"/>
          <w:sz w:val="21"/>
        </w:rPr>
        <w:t> rediris.es/webredes/talleres/redes.htm Consultado el 15 de oc- tubre de</w:t>
      </w:r>
      <w:r>
        <w:rPr>
          <w:color w:val="231F20"/>
          <w:spacing w:val="-8"/>
          <w:w w:val="105"/>
          <w:sz w:val="21"/>
        </w:rPr>
        <w:t> </w:t>
      </w:r>
      <w:r>
        <w:rPr>
          <w:color w:val="231F20"/>
          <w:w w:val="105"/>
          <w:sz w:val="21"/>
        </w:rPr>
        <w:t>2012.</w:t>
      </w:r>
    </w:p>
    <w:p>
      <w:pPr>
        <w:spacing w:line="259" w:lineRule="auto" w:before="0"/>
        <w:ind w:left="841" w:right="115" w:hanging="738"/>
        <w:jc w:val="both"/>
        <w:rPr>
          <w:sz w:val="21"/>
        </w:rPr>
      </w:pPr>
      <w:r>
        <w:rPr>
          <w:color w:val="231F20"/>
          <w:w w:val="105"/>
          <w:sz w:val="21"/>
        </w:rPr>
        <w:t>Rendón,</w:t>
      </w:r>
      <w:r>
        <w:rPr>
          <w:color w:val="231F20"/>
          <w:spacing w:val="-28"/>
          <w:w w:val="105"/>
          <w:sz w:val="21"/>
        </w:rPr>
        <w:t> </w:t>
      </w:r>
      <w:r>
        <w:rPr>
          <w:color w:val="231F20"/>
          <w:w w:val="105"/>
          <w:sz w:val="21"/>
        </w:rPr>
        <w:t>R.,</w:t>
      </w:r>
      <w:r>
        <w:rPr>
          <w:color w:val="231F20"/>
          <w:spacing w:val="-30"/>
          <w:w w:val="105"/>
          <w:sz w:val="21"/>
        </w:rPr>
        <w:t> </w:t>
      </w:r>
      <w:r>
        <w:rPr>
          <w:color w:val="231F20"/>
          <w:w w:val="105"/>
          <w:sz w:val="21"/>
        </w:rPr>
        <w:t>Aguilar</w:t>
      </w:r>
      <w:r>
        <w:rPr>
          <w:color w:val="231F20"/>
          <w:spacing w:val="-26"/>
          <w:w w:val="105"/>
          <w:sz w:val="21"/>
        </w:rPr>
        <w:t> </w:t>
      </w:r>
      <w:r>
        <w:rPr>
          <w:color w:val="231F20"/>
          <w:w w:val="105"/>
          <w:sz w:val="21"/>
        </w:rPr>
        <w:t>J.,</w:t>
      </w:r>
      <w:r>
        <w:rPr>
          <w:color w:val="231F20"/>
          <w:spacing w:val="-28"/>
          <w:w w:val="105"/>
          <w:sz w:val="21"/>
        </w:rPr>
        <w:t> </w:t>
      </w:r>
      <w:r>
        <w:rPr>
          <w:color w:val="231F20"/>
          <w:w w:val="105"/>
          <w:sz w:val="21"/>
        </w:rPr>
        <w:t>Muñoz</w:t>
      </w:r>
      <w:r>
        <w:rPr>
          <w:color w:val="231F20"/>
          <w:spacing w:val="-24"/>
          <w:w w:val="105"/>
          <w:sz w:val="21"/>
        </w:rPr>
        <w:t> </w:t>
      </w:r>
      <w:r>
        <w:rPr>
          <w:color w:val="231F20"/>
          <w:w w:val="105"/>
          <w:sz w:val="21"/>
        </w:rPr>
        <w:t>R.</w:t>
      </w:r>
      <w:r>
        <w:rPr>
          <w:color w:val="231F20"/>
          <w:spacing w:val="-28"/>
          <w:w w:val="105"/>
          <w:sz w:val="21"/>
        </w:rPr>
        <w:t> </w:t>
      </w:r>
      <w:r>
        <w:rPr>
          <w:color w:val="231F20"/>
          <w:w w:val="105"/>
          <w:sz w:val="21"/>
        </w:rPr>
        <w:t>y</w:t>
      </w:r>
      <w:r>
        <w:rPr>
          <w:color w:val="231F20"/>
          <w:spacing w:val="-27"/>
          <w:w w:val="105"/>
          <w:sz w:val="21"/>
        </w:rPr>
        <w:t> </w:t>
      </w:r>
      <w:r>
        <w:rPr>
          <w:color w:val="231F20"/>
          <w:w w:val="105"/>
          <w:sz w:val="21"/>
        </w:rPr>
        <w:t>Altamirano</w:t>
      </w:r>
      <w:r>
        <w:rPr>
          <w:color w:val="231F20"/>
          <w:spacing w:val="-24"/>
          <w:w w:val="105"/>
          <w:sz w:val="21"/>
        </w:rPr>
        <w:t> </w:t>
      </w:r>
      <w:r>
        <w:rPr>
          <w:color w:val="231F20"/>
          <w:w w:val="105"/>
          <w:sz w:val="21"/>
        </w:rPr>
        <w:t>R.</w:t>
      </w:r>
      <w:r>
        <w:rPr>
          <w:color w:val="231F20"/>
          <w:spacing w:val="-28"/>
          <w:w w:val="105"/>
          <w:sz w:val="21"/>
        </w:rPr>
        <w:t> </w:t>
      </w:r>
      <w:r>
        <w:rPr>
          <w:color w:val="231F20"/>
          <w:w w:val="105"/>
          <w:sz w:val="21"/>
        </w:rPr>
        <w:t>(2007).</w:t>
      </w:r>
      <w:r>
        <w:rPr>
          <w:color w:val="231F20"/>
          <w:spacing w:val="-28"/>
          <w:w w:val="105"/>
          <w:sz w:val="21"/>
        </w:rPr>
        <w:t> </w:t>
      </w:r>
      <w:r>
        <w:rPr>
          <w:i/>
          <w:color w:val="231F20"/>
          <w:w w:val="105"/>
          <w:sz w:val="21"/>
        </w:rPr>
        <w:t>Identificación</w:t>
      </w:r>
      <w:r>
        <w:rPr>
          <w:i/>
          <w:color w:val="231F20"/>
          <w:spacing w:val="-24"/>
          <w:w w:val="105"/>
          <w:sz w:val="21"/>
        </w:rPr>
        <w:t> </w:t>
      </w:r>
      <w:r>
        <w:rPr>
          <w:i/>
          <w:color w:val="231F20"/>
          <w:w w:val="105"/>
          <w:sz w:val="21"/>
        </w:rPr>
        <w:t>de </w:t>
      </w:r>
      <w:r>
        <w:rPr>
          <w:i/>
          <w:color w:val="231F20"/>
          <w:w w:val="105"/>
          <w:sz w:val="21"/>
        </w:rPr>
        <w:t>actores clave para la gestión de la innovación: el uso de redes sociales</w:t>
      </w:r>
      <w:r>
        <w:rPr>
          <w:color w:val="231F20"/>
          <w:w w:val="105"/>
          <w:sz w:val="21"/>
        </w:rPr>
        <w:t>.</w:t>
      </w:r>
      <w:r>
        <w:rPr>
          <w:color w:val="231F20"/>
          <w:spacing w:val="-29"/>
          <w:w w:val="105"/>
          <w:sz w:val="21"/>
        </w:rPr>
        <w:t> </w:t>
      </w:r>
      <w:r>
        <w:rPr>
          <w:color w:val="231F20"/>
          <w:w w:val="105"/>
          <w:sz w:val="21"/>
        </w:rPr>
        <w:t>Universidad</w:t>
      </w:r>
      <w:r>
        <w:rPr>
          <w:color w:val="231F20"/>
          <w:spacing w:val="-27"/>
          <w:w w:val="105"/>
          <w:sz w:val="21"/>
        </w:rPr>
        <w:t> </w:t>
      </w:r>
      <w:r>
        <w:rPr>
          <w:color w:val="231F20"/>
          <w:w w:val="105"/>
          <w:sz w:val="21"/>
        </w:rPr>
        <w:t>Autónoma</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Chapingo,</w:t>
      </w:r>
      <w:r>
        <w:rPr>
          <w:color w:val="231F20"/>
          <w:spacing w:val="-29"/>
          <w:w w:val="105"/>
          <w:sz w:val="21"/>
        </w:rPr>
        <w:t> </w:t>
      </w:r>
      <w:r>
        <w:rPr>
          <w:color w:val="231F20"/>
          <w:w w:val="105"/>
          <w:sz w:val="21"/>
        </w:rPr>
        <w:t>México.</w:t>
      </w:r>
    </w:p>
    <w:p>
      <w:pPr>
        <w:spacing w:line="259" w:lineRule="auto" w:before="0"/>
        <w:ind w:left="841" w:right="115" w:hanging="738"/>
        <w:jc w:val="both"/>
        <w:rPr>
          <w:sz w:val="21"/>
        </w:rPr>
      </w:pPr>
      <w:r>
        <w:rPr>
          <w:color w:val="231F20"/>
          <w:sz w:val="21"/>
        </w:rPr>
        <w:t>Requena, F. (1989). “El concepto de red social” en: </w:t>
      </w:r>
      <w:r>
        <w:rPr>
          <w:i/>
          <w:color w:val="231F20"/>
          <w:sz w:val="21"/>
        </w:rPr>
        <w:t>Revista española de </w:t>
      </w:r>
      <w:r>
        <w:rPr>
          <w:i/>
          <w:color w:val="231F20"/>
          <w:sz w:val="21"/>
        </w:rPr>
        <w:t>investigaciones sociológicas</w:t>
      </w:r>
      <w:r>
        <w:rPr>
          <w:color w:val="231F20"/>
          <w:sz w:val="21"/>
        </w:rPr>
        <w:t>. Núm. 48, pp.  137-152.</w:t>
      </w:r>
    </w:p>
    <w:p>
      <w:pPr>
        <w:pStyle w:val="BodyText"/>
        <w:spacing w:line="259" w:lineRule="auto"/>
        <w:ind w:left="841" w:right="115" w:hanging="738"/>
        <w:jc w:val="both"/>
      </w:pPr>
      <w:r>
        <w:rPr>
          <w:color w:val="231F20"/>
          <w:w w:val="105"/>
        </w:rPr>
        <w:t>Rodríguez,</w:t>
      </w:r>
      <w:r>
        <w:rPr>
          <w:color w:val="231F20"/>
          <w:spacing w:val="-13"/>
          <w:w w:val="105"/>
        </w:rPr>
        <w:t> </w:t>
      </w:r>
      <w:r>
        <w:rPr>
          <w:color w:val="231F20"/>
          <w:w w:val="105"/>
        </w:rPr>
        <w:t>J.</w:t>
      </w:r>
      <w:r>
        <w:rPr>
          <w:color w:val="231F20"/>
          <w:spacing w:val="-11"/>
          <w:w w:val="105"/>
        </w:rPr>
        <w:t> </w:t>
      </w:r>
      <w:r>
        <w:rPr>
          <w:color w:val="231F20"/>
          <w:w w:val="105"/>
        </w:rPr>
        <w:t>y</w:t>
      </w:r>
      <w:r>
        <w:rPr>
          <w:color w:val="231F20"/>
          <w:spacing w:val="-6"/>
          <w:w w:val="105"/>
        </w:rPr>
        <w:t> </w:t>
      </w:r>
      <w:r>
        <w:rPr>
          <w:color w:val="231F20"/>
          <w:w w:val="105"/>
        </w:rPr>
        <w:t>Mérida</w:t>
      </w:r>
      <w:r>
        <w:rPr>
          <w:color w:val="231F20"/>
          <w:spacing w:val="-6"/>
          <w:w w:val="105"/>
        </w:rPr>
        <w:t> </w:t>
      </w:r>
      <w:r>
        <w:rPr>
          <w:color w:val="231F20"/>
          <w:spacing w:val="-11"/>
          <w:w w:val="105"/>
        </w:rPr>
        <w:t>F. </w:t>
      </w:r>
      <w:r>
        <w:rPr>
          <w:color w:val="231F20"/>
          <w:w w:val="105"/>
        </w:rPr>
        <w:t>(2009).</w:t>
      </w:r>
      <w:r>
        <w:rPr>
          <w:color w:val="231F20"/>
          <w:spacing w:val="-11"/>
          <w:w w:val="105"/>
        </w:rPr>
        <w:t> </w:t>
      </w:r>
      <w:r>
        <w:rPr>
          <w:color w:val="231F20"/>
          <w:w w:val="105"/>
        </w:rPr>
        <w:t>“Ucinet</w:t>
      </w:r>
      <w:r>
        <w:rPr>
          <w:color w:val="231F20"/>
          <w:spacing w:val="-6"/>
          <w:w w:val="105"/>
        </w:rPr>
        <w:t> </w:t>
      </w:r>
      <w:r>
        <w:rPr>
          <w:color w:val="231F20"/>
          <w:w w:val="105"/>
        </w:rPr>
        <w:t>6:</w:t>
      </w:r>
      <w:r>
        <w:rPr>
          <w:color w:val="231F20"/>
          <w:spacing w:val="-6"/>
          <w:w w:val="105"/>
        </w:rPr>
        <w:t> </w:t>
      </w:r>
      <w:r>
        <w:rPr>
          <w:color w:val="231F20"/>
          <w:w w:val="105"/>
        </w:rPr>
        <w:t>Guía</w:t>
      </w:r>
      <w:r>
        <w:rPr>
          <w:color w:val="231F20"/>
          <w:spacing w:val="-6"/>
          <w:w w:val="105"/>
        </w:rPr>
        <w:t> </w:t>
      </w:r>
      <w:r>
        <w:rPr>
          <w:color w:val="231F20"/>
          <w:w w:val="105"/>
        </w:rPr>
        <w:t>práctica</w:t>
      </w:r>
      <w:r>
        <w:rPr>
          <w:color w:val="231F20"/>
          <w:spacing w:val="-6"/>
          <w:w w:val="105"/>
        </w:rPr>
        <w:t> </w:t>
      </w:r>
      <w:r>
        <w:rPr>
          <w:color w:val="231F20"/>
          <w:w w:val="105"/>
        </w:rPr>
        <w:t>de</w:t>
      </w:r>
      <w:r>
        <w:rPr>
          <w:color w:val="231F20"/>
          <w:spacing w:val="-6"/>
          <w:w w:val="105"/>
        </w:rPr>
        <w:t> </w:t>
      </w:r>
      <w:r>
        <w:rPr>
          <w:color w:val="231F20"/>
          <w:w w:val="105"/>
        </w:rPr>
        <w:t>Redes</w:t>
      </w:r>
      <w:r>
        <w:rPr>
          <w:color w:val="231F20"/>
          <w:spacing w:val="-6"/>
          <w:w w:val="105"/>
        </w:rPr>
        <w:t> </w:t>
      </w:r>
      <w:r>
        <w:rPr>
          <w:color w:val="231F20"/>
          <w:w w:val="105"/>
        </w:rPr>
        <w:t>So- ciales”</w:t>
      </w:r>
      <w:r>
        <w:rPr>
          <w:color w:val="231F20"/>
          <w:spacing w:val="-21"/>
          <w:w w:val="105"/>
        </w:rPr>
        <w:t> </w:t>
      </w:r>
      <w:r>
        <w:rPr>
          <w:color w:val="231F20"/>
          <w:w w:val="105"/>
        </w:rPr>
        <w:t>en:</w:t>
      </w:r>
      <w:r>
        <w:rPr>
          <w:color w:val="231F20"/>
          <w:spacing w:val="-21"/>
          <w:w w:val="105"/>
        </w:rPr>
        <w:t> </w:t>
      </w:r>
      <w:r>
        <w:rPr>
          <w:i/>
          <w:color w:val="231F20"/>
          <w:w w:val="105"/>
        </w:rPr>
        <w:t>Universitat</w:t>
      </w:r>
      <w:r>
        <w:rPr>
          <w:i/>
          <w:color w:val="231F20"/>
          <w:spacing w:val="-21"/>
          <w:w w:val="105"/>
        </w:rPr>
        <w:t> </w:t>
      </w:r>
      <w:r>
        <w:rPr>
          <w:i/>
          <w:color w:val="231F20"/>
          <w:w w:val="105"/>
        </w:rPr>
        <w:t>da</w:t>
      </w:r>
      <w:r>
        <w:rPr>
          <w:i/>
          <w:color w:val="231F20"/>
          <w:spacing w:val="-21"/>
          <w:w w:val="105"/>
        </w:rPr>
        <w:t> </w:t>
      </w:r>
      <w:r>
        <w:rPr>
          <w:i/>
          <w:color w:val="231F20"/>
          <w:w w:val="105"/>
        </w:rPr>
        <w:t>Barcelona</w:t>
      </w:r>
      <w:r>
        <w:rPr>
          <w:color w:val="231F20"/>
          <w:w w:val="105"/>
        </w:rPr>
        <w:t>.</w:t>
      </w:r>
      <w:r>
        <w:rPr>
          <w:color w:val="231F20"/>
          <w:spacing w:val="-26"/>
          <w:w w:val="105"/>
        </w:rPr>
        <w:t> </w:t>
      </w:r>
      <w:r>
        <w:rPr>
          <w:color w:val="231F20"/>
          <w:w w:val="105"/>
        </w:rPr>
        <w:t>Disponible</w:t>
      </w:r>
      <w:r>
        <w:rPr>
          <w:color w:val="231F20"/>
          <w:spacing w:val="-21"/>
          <w:w w:val="105"/>
        </w:rPr>
        <w:t> </w:t>
      </w:r>
      <w:r>
        <w:rPr>
          <w:color w:val="231F20"/>
          <w:w w:val="105"/>
        </w:rPr>
        <w:t>en:</w:t>
      </w:r>
      <w:r>
        <w:rPr>
          <w:color w:val="231F20"/>
          <w:spacing w:val="-21"/>
          <w:w w:val="105"/>
        </w:rPr>
        <w:t> </w:t>
      </w:r>
      <w:hyperlink r:id="rId78">
        <w:r>
          <w:rPr>
            <w:color w:val="231F20"/>
            <w:w w:val="105"/>
          </w:rPr>
          <w:t>www.ub.edu/</w:t>
        </w:r>
      </w:hyperlink>
      <w:r>
        <w:rPr>
          <w:color w:val="231F20"/>
          <w:w w:val="105"/>
        </w:rPr>
        <w:t> epp/redes/guía.DOC</w:t>
      </w:r>
      <w:r>
        <w:rPr>
          <w:color w:val="231F20"/>
          <w:spacing w:val="-9"/>
          <w:w w:val="105"/>
        </w:rPr>
        <w:t> </w:t>
      </w:r>
      <w:r>
        <w:rPr>
          <w:color w:val="231F20"/>
          <w:w w:val="105"/>
        </w:rPr>
        <w:t>Consultado</w:t>
      </w:r>
      <w:r>
        <w:rPr>
          <w:color w:val="231F20"/>
          <w:spacing w:val="-9"/>
          <w:w w:val="105"/>
        </w:rPr>
        <w:t> </w:t>
      </w:r>
      <w:r>
        <w:rPr>
          <w:color w:val="231F20"/>
          <w:w w:val="105"/>
        </w:rPr>
        <w:t>el</w:t>
      </w:r>
      <w:r>
        <w:rPr>
          <w:color w:val="231F20"/>
          <w:spacing w:val="-9"/>
          <w:w w:val="105"/>
        </w:rPr>
        <w:t> </w:t>
      </w:r>
      <w:r>
        <w:rPr>
          <w:color w:val="231F20"/>
          <w:w w:val="105"/>
        </w:rPr>
        <w:t>24</w:t>
      </w:r>
      <w:r>
        <w:rPr>
          <w:color w:val="231F20"/>
          <w:spacing w:val="-9"/>
          <w:w w:val="105"/>
        </w:rPr>
        <w:t> </w:t>
      </w:r>
      <w:r>
        <w:rPr>
          <w:color w:val="231F20"/>
          <w:w w:val="105"/>
        </w:rPr>
        <w:t>de</w:t>
      </w:r>
      <w:r>
        <w:rPr>
          <w:color w:val="231F20"/>
          <w:spacing w:val="-9"/>
          <w:w w:val="105"/>
        </w:rPr>
        <w:t> </w:t>
      </w:r>
      <w:r>
        <w:rPr>
          <w:color w:val="231F20"/>
          <w:w w:val="105"/>
        </w:rPr>
        <w:t>marzo</w:t>
      </w:r>
      <w:r>
        <w:rPr>
          <w:color w:val="231F20"/>
          <w:spacing w:val="-9"/>
          <w:w w:val="105"/>
        </w:rPr>
        <w:t> </w:t>
      </w:r>
      <w:r>
        <w:rPr>
          <w:color w:val="231F20"/>
          <w:w w:val="105"/>
        </w:rPr>
        <w:t>de</w:t>
      </w:r>
      <w:r>
        <w:rPr>
          <w:color w:val="231F20"/>
          <w:spacing w:val="-9"/>
          <w:w w:val="105"/>
        </w:rPr>
        <w:t> </w:t>
      </w:r>
      <w:r>
        <w:rPr>
          <w:color w:val="231F20"/>
          <w:w w:val="105"/>
        </w:rPr>
        <w:t>2014.</w:t>
      </w:r>
    </w:p>
    <w:p>
      <w:pPr>
        <w:spacing w:line="259" w:lineRule="auto" w:before="0"/>
        <w:ind w:left="841" w:right="115" w:hanging="738"/>
        <w:jc w:val="both"/>
        <w:rPr>
          <w:sz w:val="21"/>
        </w:rPr>
      </w:pPr>
      <w:r>
        <w:rPr>
          <w:color w:val="231F20"/>
          <w:w w:val="105"/>
          <w:sz w:val="21"/>
        </w:rPr>
        <w:t>Velázquez,</w:t>
      </w:r>
      <w:r>
        <w:rPr>
          <w:color w:val="231F20"/>
          <w:spacing w:val="-23"/>
          <w:w w:val="105"/>
          <w:sz w:val="21"/>
        </w:rPr>
        <w:t> </w:t>
      </w:r>
      <w:r>
        <w:rPr>
          <w:color w:val="231F20"/>
          <w:spacing w:val="-6"/>
          <w:w w:val="105"/>
          <w:sz w:val="21"/>
        </w:rPr>
        <w:t>O.</w:t>
      </w:r>
      <w:r>
        <w:rPr>
          <w:color w:val="231F20"/>
          <w:spacing w:val="-23"/>
          <w:w w:val="105"/>
          <w:sz w:val="21"/>
        </w:rPr>
        <w:t> </w:t>
      </w:r>
      <w:r>
        <w:rPr>
          <w:color w:val="231F20"/>
          <w:w w:val="105"/>
          <w:sz w:val="21"/>
        </w:rPr>
        <w:t>y</w:t>
      </w:r>
      <w:r>
        <w:rPr>
          <w:color w:val="231F20"/>
          <w:spacing w:val="-21"/>
          <w:w w:val="105"/>
          <w:sz w:val="21"/>
        </w:rPr>
        <w:t> </w:t>
      </w:r>
      <w:r>
        <w:rPr>
          <w:color w:val="231F20"/>
          <w:w w:val="105"/>
          <w:sz w:val="21"/>
        </w:rPr>
        <w:t>Aguilar,</w:t>
      </w:r>
      <w:r>
        <w:rPr>
          <w:color w:val="231F20"/>
          <w:spacing w:val="-23"/>
          <w:w w:val="105"/>
          <w:sz w:val="21"/>
        </w:rPr>
        <w:t> </w:t>
      </w:r>
      <w:r>
        <w:rPr>
          <w:color w:val="231F20"/>
          <w:w w:val="105"/>
          <w:sz w:val="21"/>
        </w:rPr>
        <w:t>G.</w:t>
      </w:r>
      <w:r>
        <w:rPr>
          <w:color w:val="231F20"/>
          <w:spacing w:val="-23"/>
          <w:w w:val="105"/>
          <w:sz w:val="21"/>
        </w:rPr>
        <w:t> </w:t>
      </w:r>
      <w:r>
        <w:rPr>
          <w:color w:val="231F20"/>
          <w:w w:val="105"/>
          <w:sz w:val="21"/>
        </w:rPr>
        <w:t>(2005).</w:t>
      </w:r>
      <w:r>
        <w:rPr>
          <w:color w:val="231F20"/>
          <w:spacing w:val="-19"/>
          <w:w w:val="105"/>
          <w:sz w:val="21"/>
        </w:rPr>
        <w:t> </w:t>
      </w:r>
      <w:r>
        <w:rPr>
          <w:i/>
          <w:color w:val="231F20"/>
          <w:w w:val="105"/>
          <w:sz w:val="21"/>
        </w:rPr>
        <w:t>Manual</w:t>
      </w:r>
      <w:r>
        <w:rPr>
          <w:i/>
          <w:color w:val="231F20"/>
          <w:spacing w:val="-19"/>
          <w:w w:val="105"/>
          <w:sz w:val="21"/>
        </w:rPr>
        <w:t> </w:t>
      </w:r>
      <w:r>
        <w:rPr>
          <w:i/>
          <w:color w:val="231F20"/>
          <w:w w:val="105"/>
          <w:sz w:val="21"/>
        </w:rPr>
        <w:t>introductorio</w:t>
      </w:r>
      <w:r>
        <w:rPr>
          <w:i/>
          <w:color w:val="231F20"/>
          <w:spacing w:val="-19"/>
          <w:w w:val="105"/>
          <w:sz w:val="21"/>
        </w:rPr>
        <w:t> </w:t>
      </w:r>
      <w:r>
        <w:rPr>
          <w:i/>
          <w:color w:val="231F20"/>
          <w:w w:val="105"/>
          <w:sz w:val="21"/>
        </w:rPr>
        <w:t>al</w:t>
      </w:r>
      <w:r>
        <w:rPr>
          <w:i/>
          <w:color w:val="231F20"/>
          <w:spacing w:val="-19"/>
          <w:w w:val="105"/>
          <w:sz w:val="21"/>
        </w:rPr>
        <w:t> </w:t>
      </w:r>
      <w:r>
        <w:rPr>
          <w:i/>
          <w:color w:val="231F20"/>
          <w:w w:val="105"/>
          <w:sz w:val="21"/>
        </w:rPr>
        <w:t>análisis</w:t>
      </w:r>
      <w:r>
        <w:rPr>
          <w:i/>
          <w:color w:val="231F20"/>
          <w:spacing w:val="-19"/>
          <w:w w:val="105"/>
          <w:sz w:val="21"/>
        </w:rPr>
        <w:t> </w:t>
      </w:r>
      <w:r>
        <w:rPr>
          <w:i/>
          <w:color w:val="231F20"/>
          <w:w w:val="105"/>
          <w:sz w:val="21"/>
        </w:rPr>
        <w:t>de</w:t>
      </w:r>
      <w:r>
        <w:rPr>
          <w:i/>
          <w:color w:val="231F20"/>
          <w:spacing w:val="-19"/>
          <w:w w:val="105"/>
          <w:sz w:val="21"/>
        </w:rPr>
        <w:t> </w:t>
      </w:r>
      <w:r>
        <w:rPr>
          <w:i/>
          <w:color w:val="231F20"/>
          <w:w w:val="105"/>
          <w:sz w:val="21"/>
        </w:rPr>
        <w:t>re- </w:t>
      </w:r>
      <w:r>
        <w:rPr>
          <w:i/>
          <w:color w:val="231F20"/>
          <w:w w:val="105"/>
          <w:sz w:val="21"/>
        </w:rPr>
        <w:t>des</w:t>
      </w:r>
      <w:r>
        <w:rPr>
          <w:i/>
          <w:color w:val="231F20"/>
          <w:spacing w:val="-15"/>
          <w:w w:val="105"/>
          <w:sz w:val="21"/>
        </w:rPr>
        <w:t> </w:t>
      </w:r>
      <w:r>
        <w:rPr>
          <w:i/>
          <w:color w:val="231F20"/>
          <w:w w:val="105"/>
          <w:sz w:val="21"/>
        </w:rPr>
        <w:t>sociales.</w:t>
      </w:r>
      <w:r>
        <w:rPr>
          <w:i/>
          <w:color w:val="231F20"/>
          <w:spacing w:val="-20"/>
          <w:w w:val="105"/>
          <w:sz w:val="21"/>
        </w:rPr>
        <w:t> </w:t>
      </w:r>
      <w:r>
        <w:rPr>
          <w:i/>
          <w:color w:val="231F20"/>
          <w:w w:val="105"/>
          <w:sz w:val="21"/>
        </w:rPr>
        <w:t>Medidas</w:t>
      </w:r>
      <w:r>
        <w:rPr>
          <w:i/>
          <w:color w:val="231F20"/>
          <w:spacing w:val="-15"/>
          <w:w w:val="105"/>
          <w:sz w:val="21"/>
        </w:rPr>
        <w:t> </w:t>
      </w:r>
      <w:r>
        <w:rPr>
          <w:i/>
          <w:color w:val="231F20"/>
          <w:w w:val="105"/>
          <w:sz w:val="21"/>
        </w:rPr>
        <w:t>de</w:t>
      </w:r>
      <w:r>
        <w:rPr>
          <w:i/>
          <w:color w:val="231F20"/>
          <w:spacing w:val="-15"/>
          <w:w w:val="105"/>
          <w:sz w:val="21"/>
        </w:rPr>
        <w:t> </w:t>
      </w:r>
      <w:r>
        <w:rPr>
          <w:i/>
          <w:color w:val="231F20"/>
          <w:w w:val="105"/>
          <w:sz w:val="21"/>
        </w:rPr>
        <w:t>centralidad</w:t>
      </w:r>
      <w:r>
        <w:rPr>
          <w:color w:val="231F20"/>
          <w:w w:val="105"/>
          <w:sz w:val="21"/>
        </w:rPr>
        <w:t>.</w:t>
      </w:r>
      <w:r>
        <w:rPr>
          <w:color w:val="231F20"/>
          <w:spacing w:val="-20"/>
          <w:w w:val="105"/>
          <w:sz w:val="21"/>
        </w:rPr>
        <w:t> </w:t>
      </w:r>
      <w:r>
        <w:rPr>
          <w:color w:val="231F20"/>
          <w:w w:val="105"/>
          <w:sz w:val="21"/>
        </w:rPr>
        <w:t>Disponible</w:t>
      </w:r>
      <w:r>
        <w:rPr>
          <w:color w:val="231F20"/>
          <w:spacing w:val="-15"/>
          <w:w w:val="105"/>
          <w:sz w:val="21"/>
        </w:rPr>
        <w:t> </w:t>
      </w:r>
      <w:r>
        <w:rPr>
          <w:color w:val="231F20"/>
          <w:w w:val="105"/>
          <w:sz w:val="21"/>
        </w:rPr>
        <w:t>en:</w:t>
      </w:r>
      <w:r>
        <w:rPr>
          <w:color w:val="231F20"/>
          <w:spacing w:val="-15"/>
          <w:w w:val="105"/>
          <w:sz w:val="21"/>
        </w:rPr>
        <w:t> </w:t>
      </w:r>
      <w:hyperlink r:id="rId79">
        <w:r>
          <w:rPr>
            <w:color w:val="231F20"/>
            <w:w w:val="105"/>
            <w:sz w:val="21"/>
          </w:rPr>
          <w:t>http://revis-</w:t>
        </w:r>
      </w:hyperlink>
      <w:r>
        <w:rPr>
          <w:color w:val="231F20"/>
          <w:w w:val="105"/>
          <w:sz w:val="21"/>
        </w:rPr>
        <w:t> </w:t>
      </w:r>
      <w:r>
        <w:rPr>
          <w:color w:val="231F20"/>
          <w:sz w:val="21"/>
        </w:rPr>
        <w:t>ta-redes.rediris.es/webredes/talleres/Manual_ARS.pdf Consulta- </w:t>
      </w:r>
      <w:r>
        <w:rPr>
          <w:color w:val="231F20"/>
          <w:w w:val="105"/>
          <w:sz w:val="21"/>
        </w:rPr>
        <w:t>do el 23 de abril de</w:t>
      </w:r>
      <w:r>
        <w:rPr>
          <w:color w:val="231F20"/>
          <w:spacing w:val="-20"/>
          <w:w w:val="105"/>
          <w:sz w:val="21"/>
        </w:rPr>
        <w:t> </w:t>
      </w:r>
      <w:r>
        <w:rPr>
          <w:color w:val="231F20"/>
          <w:w w:val="105"/>
          <w:sz w:val="21"/>
        </w:rPr>
        <w:t>2014.</w:t>
      </w:r>
    </w:p>
    <w:p>
      <w:pPr>
        <w:pStyle w:val="BodyText"/>
        <w:spacing w:line="259" w:lineRule="auto"/>
        <w:ind w:left="841" w:right="115" w:hanging="738"/>
        <w:jc w:val="both"/>
      </w:pPr>
      <w:r>
        <w:rPr>
          <w:color w:val="231F20"/>
          <w:w w:val="105"/>
        </w:rPr>
        <w:t>Vilaseca,</w:t>
      </w:r>
      <w:r>
        <w:rPr>
          <w:color w:val="231F20"/>
          <w:spacing w:val="-18"/>
          <w:w w:val="105"/>
        </w:rPr>
        <w:t> </w:t>
      </w:r>
      <w:r>
        <w:rPr>
          <w:color w:val="231F20"/>
          <w:w w:val="105"/>
        </w:rPr>
        <w:t>J.,</w:t>
      </w:r>
      <w:r>
        <w:rPr>
          <w:color w:val="231F20"/>
          <w:spacing w:val="-20"/>
          <w:w w:val="105"/>
        </w:rPr>
        <w:t> </w:t>
      </w:r>
      <w:r>
        <w:rPr>
          <w:color w:val="231F20"/>
          <w:spacing w:val="-4"/>
          <w:w w:val="105"/>
        </w:rPr>
        <w:t>Torrent</w:t>
      </w:r>
      <w:r>
        <w:rPr>
          <w:color w:val="231F20"/>
          <w:spacing w:val="-13"/>
          <w:w w:val="105"/>
        </w:rPr>
        <w:t> </w:t>
      </w:r>
      <w:r>
        <w:rPr>
          <w:color w:val="231F20"/>
          <w:w w:val="105"/>
        </w:rPr>
        <w:t>J.</w:t>
      </w:r>
      <w:r>
        <w:rPr>
          <w:color w:val="231F20"/>
          <w:spacing w:val="-16"/>
          <w:w w:val="105"/>
        </w:rPr>
        <w:t> </w:t>
      </w:r>
      <w:r>
        <w:rPr>
          <w:color w:val="231F20"/>
          <w:w w:val="105"/>
        </w:rPr>
        <w:t>y</w:t>
      </w:r>
      <w:r>
        <w:rPr>
          <w:color w:val="231F20"/>
          <w:spacing w:val="-12"/>
          <w:w w:val="105"/>
        </w:rPr>
        <w:t> </w:t>
      </w:r>
      <w:r>
        <w:rPr>
          <w:color w:val="231F20"/>
          <w:w w:val="105"/>
        </w:rPr>
        <w:t>Díaz</w:t>
      </w:r>
      <w:r>
        <w:rPr>
          <w:color w:val="231F20"/>
          <w:spacing w:val="-14"/>
          <w:w w:val="105"/>
        </w:rPr>
        <w:t> </w:t>
      </w:r>
      <w:r>
        <w:rPr>
          <w:color w:val="231F20"/>
          <w:w w:val="105"/>
        </w:rPr>
        <w:t>A.</w:t>
      </w:r>
      <w:r>
        <w:rPr>
          <w:color w:val="231F20"/>
          <w:spacing w:val="-16"/>
          <w:w w:val="105"/>
        </w:rPr>
        <w:t> </w:t>
      </w:r>
      <w:r>
        <w:rPr>
          <w:color w:val="231F20"/>
          <w:w w:val="105"/>
        </w:rPr>
        <w:t>(2002).</w:t>
      </w:r>
      <w:r>
        <w:rPr>
          <w:color w:val="231F20"/>
          <w:spacing w:val="-16"/>
          <w:w w:val="105"/>
        </w:rPr>
        <w:t> </w:t>
      </w:r>
      <w:r>
        <w:rPr>
          <w:color w:val="231F20"/>
          <w:w w:val="105"/>
        </w:rPr>
        <w:t>“La</w:t>
      </w:r>
      <w:r>
        <w:rPr>
          <w:color w:val="231F20"/>
          <w:spacing w:val="-12"/>
          <w:w w:val="105"/>
        </w:rPr>
        <w:t> </w:t>
      </w:r>
      <w:r>
        <w:rPr>
          <w:color w:val="231F20"/>
          <w:w w:val="105"/>
        </w:rPr>
        <w:t>economía</w:t>
      </w:r>
      <w:r>
        <w:rPr>
          <w:color w:val="231F20"/>
          <w:spacing w:val="-12"/>
          <w:w w:val="105"/>
        </w:rPr>
        <w:t> </w:t>
      </w:r>
      <w:r>
        <w:rPr>
          <w:color w:val="231F20"/>
          <w:w w:val="105"/>
        </w:rPr>
        <w:t>del</w:t>
      </w:r>
      <w:r>
        <w:rPr>
          <w:color w:val="231F20"/>
          <w:spacing w:val="-12"/>
          <w:w w:val="105"/>
        </w:rPr>
        <w:t> </w:t>
      </w:r>
      <w:r>
        <w:rPr>
          <w:color w:val="231F20"/>
          <w:w w:val="105"/>
        </w:rPr>
        <w:t>conocimiento: paradigma tecnológico y cambio estructural” en: </w:t>
      </w:r>
      <w:r>
        <w:rPr>
          <w:i/>
          <w:color w:val="231F20"/>
          <w:w w:val="105"/>
        </w:rPr>
        <w:t>OUC, Working </w:t>
      </w:r>
      <w:r>
        <w:rPr>
          <w:i/>
          <w:color w:val="231F20"/>
          <w:spacing w:val="-3"/>
          <w:w w:val="105"/>
        </w:rPr>
        <w:t>Paper</w:t>
      </w:r>
      <w:r>
        <w:rPr>
          <w:color w:val="231F20"/>
          <w:spacing w:val="-3"/>
          <w:w w:val="105"/>
        </w:rPr>
        <w:t>. </w:t>
      </w:r>
      <w:r>
        <w:rPr>
          <w:color w:val="231F20"/>
          <w:w w:val="105"/>
        </w:rPr>
        <w:t>Disponible en: </w:t>
      </w:r>
      <w:hyperlink r:id="rId80">
        <w:r>
          <w:rPr>
            <w:color w:val="231F20"/>
            <w:w w:val="105"/>
          </w:rPr>
          <w:t>http://www.uoc.edu/in3/dt/20007/index.</w:t>
        </w:r>
      </w:hyperlink>
      <w:r>
        <w:rPr>
          <w:color w:val="231F20"/>
          <w:w w:val="105"/>
        </w:rPr>
        <w:t> html</w:t>
      </w:r>
      <w:r>
        <w:rPr>
          <w:color w:val="231F20"/>
          <w:spacing w:val="-9"/>
          <w:w w:val="105"/>
        </w:rPr>
        <w:t> </w:t>
      </w:r>
      <w:r>
        <w:rPr>
          <w:color w:val="231F20"/>
          <w:w w:val="105"/>
        </w:rPr>
        <w:t>Consultado</w:t>
      </w:r>
      <w:r>
        <w:rPr>
          <w:color w:val="231F20"/>
          <w:spacing w:val="-9"/>
          <w:w w:val="105"/>
        </w:rPr>
        <w:t> </w:t>
      </w:r>
      <w:r>
        <w:rPr>
          <w:color w:val="231F20"/>
          <w:w w:val="105"/>
        </w:rPr>
        <w:t>el</w:t>
      </w:r>
      <w:r>
        <w:rPr>
          <w:color w:val="231F20"/>
          <w:spacing w:val="-9"/>
          <w:w w:val="105"/>
        </w:rPr>
        <w:t> </w:t>
      </w:r>
      <w:r>
        <w:rPr>
          <w:color w:val="231F20"/>
          <w:w w:val="105"/>
        </w:rPr>
        <w:t>3</w:t>
      </w:r>
      <w:r>
        <w:rPr>
          <w:color w:val="231F20"/>
          <w:spacing w:val="-9"/>
          <w:w w:val="105"/>
        </w:rPr>
        <w:t> </w:t>
      </w:r>
      <w:r>
        <w:rPr>
          <w:color w:val="231F20"/>
          <w:w w:val="105"/>
        </w:rPr>
        <w:t>de</w:t>
      </w:r>
      <w:r>
        <w:rPr>
          <w:color w:val="231F20"/>
          <w:spacing w:val="-9"/>
          <w:w w:val="105"/>
        </w:rPr>
        <w:t> </w:t>
      </w:r>
      <w:r>
        <w:rPr>
          <w:color w:val="231F20"/>
          <w:w w:val="105"/>
        </w:rPr>
        <w:t>mayo</w:t>
      </w:r>
      <w:r>
        <w:rPr>
          <w:color w:val="231F20"/>
          <w:spacing w:val="-9"/>
          <w:w w:val="105"/>
        </w:rPr>
        <w:t> </w:t>
      </w:r>
      <w:r>
        <w:rPr>
          <w:color w:val="231F20"/>
          <w:w w:val="105"/>
        </w:rPr>
        <w:t>de</w:t>
      </w:r>
      <w:r>
        <w:rPr>
          <w:color w:val="231F20"/>
          <w:spacing w:val="-9"/>
          <w:w w:val="105"/>
        </w:rPr>
        <w:t> </w:t>
      </w:r>
      <w:r>
        <w:rPr>
          <w:color w:val="231F20"/>
          <w:w w:val="105"/>
        </w:rPr>
        <w:t>2014.</w:t>
      </w:r>
    </w:p>
    <w:p>
      <w:pPr>
        <w:pStyle w:val="BodyText"/>
        <w:rPr>
          <w:sz w:val="20"/>
        </w:rPr>
      </w:pPr>
    </w:p>
    <w:p>
      <w:pPr>
        <w:pStyle w:val="BodyText"/>
        <w:rPr>
          <w:sz w:val="20"/>
        </w:rPr>
      </w:pPr>
    </w:p>
    <w:p>
      <w:pPr>
        <w:pStyle w:val="BodyText"/>
        <w:rPr>
          <w:sz w:val="20"/>
        </w:rPr>
      </w:pPr>
    </w:p>
    <w:p>
      <w:pPr>
        <w:pStyle w:val="BodyText"/>
        <w:spacing w:before="8"/>
        <w:rPr>
          <w:sz w:val="27"/>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258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134</w:t>
        <w:tab/>
      </w:r>
      <w:r>
        <w:rPr>
          <w:rFonts w:ascii="Calibri" w:hAnsi="Calibri"/>
          <w:color w:val="6D6E71"/>
          <w:w w:val="105"/>
          <w:sz w:val="15"/>
        </w:rPr>
        <w:t>Rosa</w:t>
      </w:r>
      <w:r>
        <w:rPr>
          <w:rFonts w:ascii="Calibri" w:hAnsi="Calibri"/>
          <w:color w:val="6D6E71"/>
          <w:spacing w:val="-12"/>
          <w:w w:val="105"/>
          <w:sz w:val="15"/>
        </w:rPr>
        <w:t> </w:t>
      </w:r>
      <w:r>
        <w:rPr>
          <w:rFonts w:ascii="Calibri" w:hAnsi="Calibri"/>
          <w:color w:val="6D6E71"/>
          <w:w w:val="105"/>
          <w:sz w:val="15"/>
        </w:rPr>
        <w:t>Azalea</w:t>
      </w:r>
      <w:r>
        <w:rPr>
          <w:rFonts w:ascii="Calibri" w:hAnsi="Calibri"/>
          <w:color w:val="6D6E71"/>
          <w:spacing w:val="-12"/>
          <w:w w:val="105"/>
          <w:sz w:val="15"/>
        </w:rPr>
        <w:t> </w:t>
      </w:r>
      <w:r>
        <w:rPr>
          <w:rFonts w:ascii="Calibri" w:hAnsi="Calibri"/>
          <w:color w:val="6D6E71"/>
          <w:w w:val="105"/>
          <w:sz w:val="15"/>
        </w:rPr>
        <w:t>Canales</w:t>
      </w:r>
      <w:r>
        <w:rPr>
          <w:rFonts w:ascii="Calibri" w:hAnsi="Calibri"/>
          <w:color w:val="6D6E71"/>
          <w:spacing w:val="-12"/>
          <w:w w:val="105"/>
          <w:sz w:val="15"/>
        </w:rPr>
        <w:t> </w:t>
      </w:r>
      <w:r>
        <w:rPr>
          <w:rFonts w:ascii="Calibri" w:hAnsi="Calibri"/>
          <w:color w:val="6D6E71"/>
          <w:w w:val="105"/>
          <w:sz w:val="15"/>
        </w:rPr>
        <w:t>García,</w:t>
      </w:r>
      <w:r>
        <w:rPr>
          <w:rFonts w:ascii="Calibri" w:hAnsi="Calibri"/>
          <w:color w:val="6D6E71"/>
          <w:spacing w:val="-12"/>
          <w:w w:val="105"/>
          <w:sz w:val="15"/>
        </w:rPr>
        <w:t> </w:t>
      </w:r>
      <w:r>
        <w:rPr>
          <w:rFonts w:ascii="Calibri" w:hAnsi="Calibri"/>
          <w:color w:val="6D6E71"/>
          <w:w w:val="105"/>
          <w:sz w:val="15"/>
        </w:rPr>
        <w:t>Juan</w:t>
      </w:r>
      <w:r>
        <w:rPr>
          <w:rFonts w:ascii="Calibri" w:hAnsi="Calibri"/>
          <w:color w:val="6D6E71"/>
          <w:spacing w:val="-12"/>
          <w:w w:val="105"/>
          <w:sz w:val="15"/>
        </w:rPr>
        <w:t> </w:t>
      </w:r>
      <w:r>
        <w:rPr>
          <w:rFonts w:ascii="Calibri" w:hAnsi="Calibri"/>
          <w:color w:val="6D6E71"/>
          <w:w w:val="105"/>
          <w:sz w:val="15"/>
        </w:rPr>
        <w:t>Andrés</w:t>
      </w:r>
      <w:r>
        <w:rPr>
          <w:rFonts w:ascii="Calibri" w:hAnsi="Calibri"/>
          <w:color w:val="6D6E71"/>
          <w:spacing w:val="-12"/>
          <w:w w:val="105"/>
          <w:sz w:val="15"/>
        </w:rPr>
        <w:t> </w:t>
      </w:r>
      <w:r>
        <w:rPr>
          <w:rFonts w:ascii="Calibri" w:hAnsi="Calibri"/>
          <w:color w:val="6D6E71"/>
          <w:w w:val="105"/>
          <w:sz w:val="15"/>
        </w:rPr>
        <w:t>Godínez</w:t>
      </w:r>
      <w:r>
        <w:rPr>
          <w:rFonts w:ascii="Calibri" w:hAnsi="Calibri"/>
          <w:color w:val="6D6E71"/>
          <w:spacing w:val="-12"/>
          <w:w w:val="105"/>
          <w:sz w:val="15"/>
        </w:rPr>
        <w:t> </w:t>
      </w:r>
      <w:r>
        <w:rPr>
          <w:rFonts w:ascii="Calibri" w:hAnsi="Calibri"/>
          <w:color w:val="6D6E71"/>
          <w:w w:val="105"/>
          <w:sz w:val="15"/>
        </w:rPr>
        <w:t>Enciso</w:t>
      </w:r>
      <w:r>
        <w:rPr>
          <w:rFonts w:ascii="Calibri" w:hAnsi="Calibri"/>
          <w:color w:val="6D6E71"/>
          <w:spacing w:val="-14"/>
          <w:w w:val="105"/>
          <w:sz w:val="15"/>
        </w:rPr>
        <w:t> </w:t>
      </w:r>
      <w:r>
        <w:rPr>
          <w:rFonts w:ascii="Calibri" w:hAnsi="Calibri"/>
          <w:color w:val="6D6E71"/>
          <w:w w:val="105"/>
          <w:sz w:val="15"/>
        </w:rPr>
        <w:t>y</w:t>
      </w:r>
      <w:r>
        <w:rPr>
          <w:rFonts w:ascii="Calibri" w:hAnsi="Calibri"/>
          <w:color w:val="6D6E71"/>
          <w:spacing w:val="-12"/>
          <w:w w:val="105"/>
          <w:sz w:val="15"/>
        </w:rPr>
        <w:t> </w:t>
      </w:r>
      <w:r>
        <w:rPr>
          <w:rFonts w:ascii="Calibri" w:hAnsi="Calibri"/>
          <w:color w:val="6D6E71"/>
          <w:w w:val="105"/>
          <w:sz w:val="15"/>
        </w:rPr>
        <w:t>Reyna</w:t>
      </w:r>
      <w:r>
        <w:rPr>
          <w:rFonts w:ascii="Calibri" w:hAnsi="Calibri"/>
          <w:color w:val="6D6E71"/>
          <w:spacing w:val="-15"/>
          <w:w w:val="105"/>
          <w:sz w:val="15"/>
        </w:rPr>
        <w:t> </w:t>
      </w:r>
      <w:r>
        <w:rPr>
          <w:rFonts w:ascii="Calibri" w:hAnsi="Calibri"/>
          <w:color w:val="6D6E71"/>
          <w:w w:val="105"/>
          <w:sz w:val="15"/>
        </w:rPr>
        <w:t>Vergara</w:t>
      </w:r>
      <w:r>
        <w:rPr>
          <w:rFonts w:ascii="Calibri" w:hAnsi="Calibri"/>
          <w:color w:val="6D6E71"/>
          <w:spacing w:val="-12"/>
          <w:w w:val="105"/>
          <w:sz w:val="15"/>
        </w:rPr>
        <w:t> </w:t>
      </w:r>
      <w:r>
        <w:rPr>
          <w:rFonts w:ascii="Calibri" w:hAnsi="Calibri"/>
          <w:color w:val="6D6E71"/>
          <w:w w:val="105"/>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80" w:lineRule="exact" w:before="61"/>
        <w:ind w:left="2941" w:right="-12" w:hanging="285"/>
        <w:jc w:val="left"/>
        <w:rPr>
          <w:rFonts w:ascii="Lucida Sans Unicode" w:hAnsi="Lucida Sans Unicode"/>
          <w:sz w:val="14"/>
        </w:rPr>
      </w:pPr>
      <w:r>
        <w:rPr/>
        <w:pict>
          <v:line style="position:absolute;mso-position-horizontal-relative:page;mso-position-vertical-relative:paragraph;z-index:5368" from="384.061005pt,-25.331028pt" to="384.061005pt,9.534822pt" stroked="true" strokeweight=".3pt" strokecolor="#231f20">
            <w10:wrap type="none"/>
          </v:line>
        </w:pict>
      </w:r>
      <w:r>
        <w:rPr>
          <w:rFonts w:ascii="Lucida Sans Unicode" w:hAnsi="Lucida Sans Unicode"/>
          <w:color w:val="6D6E71"/>
          <w:w w:val="105"/>
          <w:sz w:val="14"/>
        </w:rPr>
        <w:t>V.</w:t>
      </w:r>
      <w:r>
        <w:rPr>
          <w:rFonts w:ascii="Lucida Sans Unicode" w:hAnsi="Lucida Sans Unicode"/>
          <w:color w:val="6D6E71"/>
          <w:spacing w:val="-23"/>
          <w:w w:val="105"/>
          <w:sz w:val="14"/>
        </w:rPr>
        <w:t> </w:t>
      </w:r>
      <w:r>
        <w:rPr>
          <w:rFonts w:ascii="Lucida Sans Unicode" w:hAnsi="Lucida Sans Unicode"/>
          <w:color w:val="6D6E71"/>
          <w:w w:val="105"/>
          <w:sz w:val="14"/>
        </w:rPr>
        <w:t>Redes</w:t>
      </w:r>
      <w:r>
        <w:rPr>
          <w:rFonts w:ascii="Lucida Sans Unicode" w:hAnsi="Lucida Sans Unicode"/>
          <w:color w:val="6D6E71"/>
          <w:spacing w:val="-23"/>
          <w:w w:val="105"/>
          <w:sz w:val="14"/>
        </w:rPr>
        <w:t> </w:t>
      </w:r>
      <w:r>
        <w:rPr>
          <w:rFonts w:ascii="Lucida Sans Unicode" w:hAnsi="Lucida Sans Unicode"/>
          <w:color w:val="6D6E71"/>
          <w:w w:val="105"/>
          <w:sz w:val="14"/>
        </w:rPr>
        <w:t>y</w:t>
      </w:r>
      <w:r>
        <w:rPr>
          <w:rFonts w:ascii="Lucida Sans Unicode" w:hAnsi="Lucida Sans Unicode"/>
          <w:color w:val="6D6E71"/>
          <w:spacing w:val="-23"/>
          <w:w w:val="105"/>
          <w:sz w:val="14"/>
        </w:rPr>
        <w:t> </w:t>
      </w:r>
      <w:r>
        <w:rPr>
          <w:rFonts w:ascii="Lucida Sans Unicode" w:hAnsi="Lucida Sans Unicode"/>
          <w:color w:val="6D6E71"/>
          <w:w w:val="105"/>
          <w:sz w:val="14"/>
        </w:rPr>
        <w:t>conocimiento</w:t>
      </w:r>
      <w:r>
        <w:rPr>
          <w:rFonts w:ascii="Lucida Sans Unicode" w:hAnsi="Lucida Sans Unicode"/>
          <w:color w:val="6D6E71"/>
          <w:spacing w:val="-23"/>
          <w:w w:val="105"/>
          <w:sz w:val="14"/>
        </w:rPr>
        <w:t> </w:t>
      </w:r>
      <w:r>
        <w:rPr>
          <w:rFonts w:ascii="Lucida Sans Unicode" w:hAnsi="Lucida Sans Unicode"/>
          <w:color w:val="6D6E71"/>
          <w:w w:val="105"/>
          <w:sz w:val="14"/>
        </w:rPr>
        <w:t>en</w:t>
      </w:r>
      <w:r>
        <w:rPr>
          <w:rFonts w:ascii="Lucida Sans Unicode" w:hAnsi="Lucida Sans Unicode"/>
          <w:color w:val="6D6E71"/>
          <w:spacing w:val="-23"/>
          <w:w w:val="105"/>
          <w:sz w:val="14"/>
        </w:rPr>
        <w:t> </w:t>
      </w:r>
      <w:r>
        <w:rPr>
          <w:rFonts w:ascii="Lucida Sans Unicode" w:hAnsi="Lucida Sans Unicode"/>
          <w:color w:val="6D6E71"/>
          <w:w w:val="105"/>
          <w:sz w:val="14"/>
        </w:rPr>
        <w:t>el</w:t>
      </w:r>
      <w:r>
        <w:rPr>
          <w:rFonts w:ascii="Lucida Sans Unicode" w:hAnsi="Lucida Sans Unicode"/>
          <w:color w:val="6D6E71"/>
          <w:spacing w:val="-23"/>
          <w:w w:val="105"/>
          <w:sz w:val="14"/>
        </w:rPr>
        <w:t> </w:t>
      </w:r>
      <w:r>
        <w:rPr>
          <w:rFonts w:ascii="Lucida Sans Unicode" w:hAnsi="Lucida Sans Unicode"/>
          <w:color w:val="6D6E71"/>
          <w:w w:val="105"/>
          <w:sz w:val="14"/>
        </w:rPr>
        <w:t>maRco</w:t>
      </w:r>
      <w:r>
        <w:rPr>
          <w:rFonts w:ascii="Lucida Sans Unicode" w:hAnsi="Lucida Sans Unicode"/>
          <w:color w:val="6D6E71"/>
          <w:spacing w:val="-23"/>
          <w:w w:val="105"/>
          <w:sz w:val="14"/>
        </w:rPr>
        <w:t> </w:t>
      </w:r>
      <w:r>
        <w:rPr>
          <w:rFonts w:ascii="Lucida Sans Unicode" w:hAnsi="Lucida Sans Unicode"/>
          <w:color w:val="6D6E71"/>
          <w:w w:val="105"/>
          <w:sz w:val="14"/>
        </w:rPr>
        <w:t>de</w:t>
      </w:r>
      <w:r>
        <w:rPr>
          <w:rFonts w:ascii="Lucida Sans Unicode" w:hAnsi="Lucida Sans Unicode"/>
          <w:color w:val="6D6E71"/>
          <w:spacing w:val="-23"/>
          <w:w w:val="105"/>
          <w:sz w:val="14"/>
        </w:rPr>
        <w:t> </w:t>
      </w:r>
      <w:r>
        <w:rPr>
          <w:rFonts w:ascii="Lucida Sans Unicode" w:hAnsi="Lucida Sans Unicode"/>
          <w:color w:val="6D6E71"/>
          <w:w w:val="115"/>
          <w:sz w:val="14"/>
        </w:rPr>
        <w:t>la</w:t>
      </w:r>
      <w:r>
        <w:rPr>
          <w:rFonts w:ascii="Lucida Sans Unicode" w:hAnsi="Lucida Sans Unicode"/>
          <w:color w:val="6D6E71"/>
          <w:spacing w:val="-27"/>
          <w:w w:val="115"/>
          <w:sz w:val="14"/>
        </w:rPr>
        <w:t> </w:t>
      </w:r>
      <w:r>
        <w:rPr>
          <w:rFonts w:ascii="Lucida Sans Unicode" w:hAnsi="Lucida Sans Unicode"/>
          <w:color w:val="6D6E71"/>
          <w:w w:val="105"/>
          <w:sz w:val="14"/>
        </w:rPr>
        <w:t>economía del</w:t>
      </w:r>
      <w:r>
        <w:rPr>
          <w:rFonts w:ascii="Lucida Sans Unicode" w:hAnsi="Lucida Sans Unicode"/>
          <w:color w:val="6D6E71"/>
          <w:spacing w:val="-22"/>
          <w:w w:val="105"/>
          <w:sz w:val="14"/>
        </w:rPr>
        <w:t> </w:t>
      </w:r>
      <w:r>
        <w:rPr>
          <w:rFonts w:ascii="Lucida Sans Unicode" w:hAnsi="Lucida Sans Unicode"/>
          <w:color w:val="6D6E71"/>
          <w:w w:val="105"/>
          <w:sz w:val="14"/>
        </w:rPr>
        <w:t>conocimiento:</w:t>
      </w:r>
      <w:r>
        <w:rPr>
          <w:rFonts w:ascii="Lucida Sans Unicode" w:hAnsi="Lucida Sans Unicode"/>
          <w:color w:val="6D6E71"/>
          <w:spacing w:val="-22"/>
          <w:w w:val="105"/>
          <w:sz w:val="14"/>
        </w:rPr>
        <w:t> </w:t>
      </w:r>
      <w:r>
        <w:rPr>
          <w:rFonts w:ascii="Lucida Sans Unicode" w:hAnsi="Lucida Sans Unicode"/>
          <w:color w:val="6D6E71"/>
          <w:w w:val="105"/>
          <w:sz w:val="14"/>
        </w:rPr>
        <w:t>una</w:t>
      </w:r>
      <w:r>
        <w:rPr>
          <w:rFonts w:ascii="Lucida Sans Unicode" w:hAnsi="Lucida Sans Unicode"/>
          <w:color w:val="6D6E71"/>
          <w:spacing w:val="-22"/>
          <w:w w:val="105"/>
          <w:sz w:val="14"/>
        </w:rPr>
        <w:t> </w:t>
      </w:r>
      <w:r>
        <w:rPr>
          <w:rFonts w:ascii="Lucida Sans Unicode" w:hAnsi="Lucida Sans Unicode"/>
          <w:color w:val="6D6E71"/>
          <w:w w:val="105"/>
          <w:sz w:val="14"/>
        </w:rPr>
        <w:t>pRopuesta</w:t>
      </w:r>
      <w:r>
        <w:rPr>
          <w:rFonts w:ascii="Lucida Sans Unicode" w:hAnsi="Lucida Sans Unicode"/>
          <w:color w:val="6D6E71"/>
          <w:spacing w:val="-22"/>
          <w:w w:val="105"/>
          <w:sz w:val="14"/>
        </w:rPr>
        <w:t> </w:t>
      </w:r>
      <w:r>
        <w:rPr>
          <w:rFonts w:ascii="Lucida Sans Unicode" w:hAnsi="Lucida Sans Unicode"/>
          <w:color w:val="6D6E71"/>
          <w:w w:val="105"/>
          <w:sz w:val="14"/>
        </w:rPr>
        <w:t>metodológica</w:t>
      </w:r>
    </w:p>
    <w:p>
      <w:pPr>
        <w:spacing w:before="59"/>
        <w:ind w:left="338" w:right="0" w:firstLine="0"/>
        <w:jc w:val="left"/>
        <w:rPr>
          <w:sz w:val="20"/>
        </w:rPr>
      </w:pPr>
      <w:r>
        <w:rPr/>
        <w:br w:type="column"/>
      </w:r>
      <w:r>
        <w:rPr>
          <w:color w:val="414042"/>
          <w:sz w:val="20"/>
        </w:rPr>
        <w:t>135</w:t>
      </w:r>
    </w:p>
    <w:p>
      <w:pPr>
        <w:spacing w:after="0"/>
        <w:jc w:val="left"/>
        <w:rPr>
          <w:sz w:val="20"/>
        </w:rPr>
        <w:sectPr>
          <w:type w:val="continuous"/>
          <w:pgSz w:w="9640" w:h="13890"/>
          <w:pgMar w:top="1300" w:bottom="280" w:left="1300" w:right="1200"/>
          <w:cols w:num="2" w:equalWidth="0">
            <w:col w:w="6261" w:space="40"/>
            <w:col w:w="839"/>
          </w:cols>
        </w:sectPr>
      </w:pPr>
    </w:p>
    <w:p>
      <w:pPr>
        <w:pStyle w:val="BodyText"/>
        <w:rPr>
          <w:sz w:val="20"/>
        </w:rPr>
      </w:pPr>
    </w:p>
    <w:p>
      <w:pPr>
        <w:pStyle w:val="BodyText"/>
        <w:spacing w:before="8"/>
        <w:rPr>
          <w:sz w:val="18"/>
        </w:rPr>
      </w:pPr>
    </w:p>
    <w:p>
      <w:pPr>
        <w:pStyle w:val="BodyText"/>
        <w:spacing w:before="57"/>
        <w:ind w:left="117" w:right="17"/>
      </w:pPr>
      <w:r>
        <w:rPr>
          <w:color w:val="231F20"/>
        </w:rPr>
        <w:t>Yoguel G., Borello J., Delfini M., Erbes A., Kataishi R., Robert V. y Roiter</w:t>
      </w:r>
    </w:p>
    <w:p>
      <w:pPr>
        <w:pStyle w:val="ListParagraph"/>
        <w:numPr>
          <w:ilvl w:val="1"/>
          <w:numId w:val="37"/>
        </w:numPr>
        <w:tabs>
          <w:tab w:pos="1089" w:val="left" w:leader="none"/>
        </w:tabs>
        <w:spacing w:line="259" w:lineRule="auto" w:before="18" w:after="0"/>
        <w:ind w:left="854" w:right="101" w:firstLine="0"/>
        <w:jc w:val="left"/>
        <w:rPr>
          <w:color w:val="231F20"/>
          <w:sz w:val="21"/>
        </w:rPr>
      </w:pPr>
      <w:r>
        <w:rPr>
          <w:color w:val="231F20"/>
          <w:w w:val="105"/>
          <w:sz w:val="21"/>
        </w:rPr>
        <w:t>(2009).</w:t>
      </w:r>
      <w:r>
        <w:rPr>
          <w:color w:val="231F20"/>
          <w:spacing w:val="-14"/>
          <w:w w:val="105"/>
          <w:sz w:val="21"/>
        </w:rPr>
        <w:t> </w:t>
      </w:r>
      <w:r>
        <w:rPr>
          <w:color w:val="231F20"/>
          <w:w w:val="105"/>
          <w:sz w:val="21"/>
        </w:rPr>
        <w:t>“</w:t>
      </w:r>
      <w:r>
        <w:rPr>
          <w:i/>
          <w:color w:val="231F20"/>
          <w:w w:val="105"/>
          <w:sz w:val="21"/>
        </w:rPr>
        <w:t>Redes</w:t>
      </w:r>
      <w:r>
        <w:rPr>
          <w:i/>
          <w:color w:val="231F20"/>
          <w:spacing w:val="-10"/>
          <w:w w:val="105"/>
          <w:sz w:val="21"/>
        </w:rPr>
        <w:t> </w:t>
      </w:r>
      <w:r>
        <w:rPr>
          <w:i/>
          <w:color w:val="231F20"/>
          <w:w w:val="105"/>
          <w:sz w:val="21"/>
        </w:rPr>
        <w:t>de</w:t>
      </w:r>
      <w:r>
        <w:rPr>
          <w:i/>
          <w:color w:val="231F20"/>
          <w:spacing w:val="-10"/>
          <w:w w:val="105"/>
          <w:sz w:val="21"/>
        </w:rPr>
        <w:t> </w:t>
      </w:r>
      <w:r>
        <w:rPr>
          <w:i/>
          <w:color w:val="231F20"/>
          <w:w w:val="105"/>
          <w:sz w:val="21"/>
        </w:rPr>
        <w:t>conocimiento</w:t>
      </w:r>
      <w:r>
        <w:rPr>
          <w:i/>
          <w:color w:val="231F20"/>
          <w:spacing w:val="-10"/>
          <w:w w:val="105"/>
          <w:sz w:val="21"/>
        </w:rPr>
        <w:t> </w:t>
      </w:r>
      <w:r>
        <w:rPr>
          <w:i/>
          <w:color w:val="231F20"/>
          <w:w w:val="105"/>
          <w:sz w:val="21"/>
        </w:rPr>
        <w:t>en</w:t>
      </w:r>
      <w:r>
        <w:rPr>
          <w:i/>
          <w:color w:val="231F20"/>
          <w:spacing w:val="-10"/>
          <w:w w:val="105"/>
          <w:sz w:val="21"/>
        </w:rPr>
        <w:t> </w:t>
      </w:r>
      <w:r>
        <w:rPr>
          <w:i/>
          <w:color w:val="231F20"/>
          <w:w w:val="105"/>
          <w:sz w:val="21"/>
        </w:rPr>
        <w:t>las</w:t>
      </w:r>
      <w:r>
        <w:rPr>
          <w:i/>
          <w:color w:val="231F20"/>
          <w:spacing w:val="-10"/>
          <w:w w:val="105"/>
          <w:sz w:val="21"/>
        </w:rPr>
        <w:t> </w:t>
      </w:r>
      <w:r>
        <w:rPr>
          <w:i/>
          <w:color w:val="231F20"/>
          <w:w w:val="105"/>
          <w:sz w:val="21"/>
        </w:rPr>
        <w:t>tramas</w:t>
      </w:r>
      <w:r>
        <w:rPr>
          <w:i/>
          <w:color w:val="231F20"/>
          <w:spacing w:val="-10"/>
          <w:w w:val="105"/>
          <w:sz w:val="21"/>
        </w:rPr>
        <w:t> </w:t>
      </w:r>
      <w:r>
        <w:rPr>
          <w:i/>
          <w:color w:val="231F20"/>
          <w:w w:val="105"/>
          <w:sz w:val="21"/>
        </w:rPr>
        <w:t>productivas</w:t>
      </w:r>
      <w:r>
        <w:rPr>
          <w:i/>
          <w:color w:val="231F20"/>
          <w:spacing w:val="-10"/>
          <w:w w:val="105"/>
          <w:sz w:val="21"/>
        </w:rPr>
        <w:t> </w:t>
      </w:r>
      <w:r>
        <w:rPr>
          <w:i/>
          <w:color w:val="231F20"/>
          <w:w w:val="105"/>
          <w:sz w:val="21"/>
        </w:rPr>
        <w:t>de </w:t>
      </w:r>
      <w:r>
        <w:rPr>
          <w:i/>
          <w:color w:val="231F20"/>
          <w:spacing w:val="-3"/>
          <w:sz w:val="21"/>
        </w:rPr>
        <w:t>Argentina</w:t>
      </w:r>
      <w:r>
        <w:rPr>
          <w:color w:val="231F20"/>
          <w:spacing w:val="-3"/>
          <w:sz w:val="21"/>
        </w:rPr>
        <w:t>”. FLACSO,</w:t>
      </w:r>
      <w:r>
        <w:rPr>
          <w:color w:val="231F20"/>
          <w:spacing w:val="39"/>
          <w:sz w:val="21"/>
        </w:rPr>
        <w:t> </w:t>
      </w:r>
      <w:r>
        <w:rPr>
          <w:color w:val="231F20"/>
          <w:sz w:val="21"/>
        </w:rPr>
        <w:t>México</w:t>
      </w:r>
    </w:p>
    <w:p>
      <w:pPr>
        <w:spacing w:after="0" w:line="259" w:lineRule="auto"/>
        <w:jc w:val="left"/>
        <w:rPr>
          <w:sz w:val="21"/>
        </w:rPr>
        <w:sectPr>
          <w:type w:val="continuous"/>
          <w:pgSz w:w="9640" w:h="13890"/>
          <w:pgMar w:top="1300" w:bottom="280" w:left="1300" w:right="12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2919">
            <wp:simplePos x="0" y="0"/>
            <wp:positionH relativeFrom="page">
              <wp:posOffset>7200</wp:posOffset>
            </wp:positionH>
            <wp:positionV relativeFrom="page">
              <wp:posOffset>0</wp:posOffset>
            </wp:positionV>
            <wp:extent cx="6112802" cy="8819997"/>
            <wp:effectExtent l="0" t="0" r="0" b="0"/>
            <wp:wrapNone/>
            <wp:docPr id="27" name="image11.png" descr=""/>
            <wp:cNvGraphicFramePr>
              <a:graphicFrameLocks noChangeAspect="1"/>
            </wp:cNvGraphicFramePr>
            <a:graphic>
              <a:graphicData uri="http://schemas.openxmlformats.org/drawingml/2006/picture">
                <pic:pic>
                  <pic:nvPicPr>
                    <pic:cNvPr id="28"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8"/>
        </w:rPr>
      </w:pPr>
    </w:p>
    <w:p>
      <w:pPr>
        <w:pStyle w:val="Heading1"/>
        <w:numPr>
          <w:ilvl w:val="1"/>
          <w:numId w:val="37"/>
        </w:numPr>
        <w:tabs>
          <w:tab w:pos="1282" w:val="left" w:leader="none"/>
        </w:tabs>
        <w:spacing w:line="288" w:lineRule="exact" w:before="38" w:after="0"/>
        <w:ind w:left="592" w:right="3064" w:firstLine="363"/>
        <w:jc w:val="right"/>
        <w:rPr>
          <w:color w:val="FFFFFF"/>
        </w:rPr>
      </w:pPr>
      <w:r>
        <w:rPr>
          <w:color w:val="FFFFFF"/>
          <w:w w:val="110"/>
        </w:rPr>
        <w:t>ANÁLISIS DEL</w:t>
      </w:r>
      <w:r>
        <w:rPr>
          <w:color w:val="FFFFFF"/>
          <w:spacing w:val="-8"/>
          <w:w w:val="110"/>
        </w:rPr>
        <w:t> </w:t>
      </w:r>
      <w:r>
        <w:rPr>
          <w:color w:val="FFFFFF"/>
          <w:w w:val="110"/>
        </w:rPr>
        <w:t>EFECTO</w:t>
      </w:r>
      <w:r>
        <w:rPr>
          <w:color w:val="FFFFFF"/>
          <w:spacing w:val="-4"/>
          <w:w w:val="110"/>
        </w:rPr>
        <w:t> </w:t>
      </w:r>
      <w:r>
        <w:rPr>
          <w:color w:val="FFFFFF"/>
          <w:w w:val="110"/>
        </w:rPr>
        <w:t>DE</w:t>
      </w:r>
      <w:r>
        <w:rPr>
          <w:color w:val="FFFFFF"/>
          <w:w w:val="108"/>
        </w:rPr>
        <w:t> </w:t>
      </w:r>
      <w:r>
        <w:rPr>
          <w:color w:val="FFFFFF"/>
          <w:w w:val="110"/>
        </w:rPr>
        <w:t>LA</w:t>
      </w:r>
      <w:r>
        <w:rPr>
          <w:color w:val="FFFFFF"/>
          <w:spacing w:val="-25"/>
          <w:w w:val="110"/>
        </w:rPr>
        <w:t> </w:t>
      </w:r>
      <w:r>
        <w:rPr>
          <w:color w:val="FFFFFF"/>
          <w:w w:val="110"/>
        </w:rPr>
        <w:t>FORMACIÓN</w:t>
      </w:r>
      <w:r>
        <w:rPr>
          <w:color w:val="FFFFFF"/>
          <w:spacing w:val="-25"/>
          <w:w w:val="110"/>
        </w:rPr>
        <w:t> </w:t>
      </w:r>
      <w:r>
        <w:rPr>
          <w:color w:val="FFFFFF"/>
          <w:w w:val="110"/>
        </w:rPr>
        <w:t>DE</w:t>
      </w:r>
      <w:r>
        <w:rPr>
          <w:color w:val="FFFFFF"/>
          <w:spacing w:val="-25"/>
          <w:w w:val="110"/>
        </w:rPr>
        <w:t> </w:t>
      </w:r>
      <w:r>
        <w:rPr>
          <w:color w:val="FFFFFF"/>
          <w:w w:val="110"/>
        </w:rPr>
        <w:t>ALIANZAS</w:t>
      </w:r>
      <w:r>
        <w:rPr>
          <w:color w:val="FFFFFF"/>
          <w:w w:val="110"/>
        </w:rPr>
        <w:t> </w:t>
      </w:r>
      <w:r>
        <w:rPr>
          <w:color w:val="FFFFFF"/>
          <w:w w:val="110"/>
        </w:rPr>
        <w:t>ESTRATÉftICAS</w:t>
      </w:r>
      <w:r>
        <w:rPr>
          <w:color w:val="FFFFFF"/>
          <w:spacing w:val="-21"/>
          <w:w w:val="110"/>
        </w:rPr>
        <w:t> </w:t>
      </w:r>
      <w:r>
        <w:rPr>
          <w:color w:val="FFFFFF"/>
          <w:w w:val="110"/>
        </w:rPr>
        <w:t>EN</w:t>
      </w:r>
      <w:r>
        <w:rPr>
          <w:color w:val="FFFFFF"/>
          <w:spacing w:val="-21"/>
          <w:w w:val="110"/>
        </w:rPr>
        <w:t> </w:t>
      </w:r>
      <w:r>
        <w:rPr>
          <w:color w:val="FFFFFF"/>
          <w:w w:val="110"/>
        </w:rPr>
        <w:t>LA</w:t>
      </w:r>
      <w:r>
        <w:rPr>
          <w:color w:val="FFFFFF"/>
          <w:w w:val="108"/>
        </w:rPr>
        <w:t> </w:t>
      </w:r>
      <w:r>
        <w:rPr>
          <w:color w:val="FFFFFF"/>
          <w:w w:val="105"/>
        </w:rPr>
        <w:t>RENTABILIDAD</w:t>
      </w:r>
      <w:r>
        <w:rPr>
          <w:color w:val="FFFFFF"/>
          <w:spacing w:val="1"/>
          <w:w w:val="105"/>
        </w:rPr>
        <w:t> </w:t>
      </w:r>
      <w:r>
        <w:rPr>
          <w:color w:val="FFFFFF"/>
          <w:w w:val="105"/>
        </w:rPr>
        <w:t>EMPRESARIAL.</w:t>
      </w:r>
      <w:r>
        <w:rPr>
          <w:color w:val="FFFFFF"/>
          <w:w w:val="108"/>
        </w:rPr>
        <w:t> </w:t>
      </w:r>
      <w:r>
        <w:rPr>
          <w:color w:val="FFFFFF"/>
          <w:w w:val="110"/>
        </w:rPr>
        <w:t>CASO DE LAS</w:t>
      </w:r>
      <w:r>
        <w:rPr>
          <w:color w:val="FFFFFF"/>
          <w:spacing w:val="-28"/>
          <w:w w:val="110"/>
        </w:rPr>
        <w:t> </w:t>
      </w:r>
      <w:r>
        <w:rPr>
          <w:i/>
          <w:color w:val="FFFFFF"/>
          <w:w w:val="110"/>
        </w:rPr>
        <w:t>JOINT</w:t>
      </w:r>
      <w:r>
        <w:rPr>
          <w:i/>
          <w:color w:val="FFFFFF"/>
          <w:spacing w:val="-10"/>
          <w:w w:val="110"/>
        </w:rPr>
        <w:t> </w:t>
      </w:r>
      <w:r>
        <w:rPr>
          <w:i/>
          <w:color w:val="FFFFFF"/>
          <w:w w:val="110"/>
        </w:rPr>
        <w:t>VENTURES</w:t>
      </w:r>
      <w:r>
        <w:rPr>
          <w:i/>
          <w:color w:val="FFFFFF"/>
          <w:w w:val="108"/>
        </w:rPr>
        <w:t> </w:t>
      </w:r>
      <w:r>
        <w:rPr>
          <w:color w:val="FFFFFF"/>
          <w:w w:val="110"/>
        </w:rPr>
        <w:t>DE</w:t>
      </w:r>
      <w:r>
        <w:rPr>
          <w:color w:val="FFFFFF"/>
          <w:spacing w:val="-27"/>
          <w:w w:val="110"/>
        </w:rPr>
        <w:t> </w:t>
      </w:r>
      <w:r>
        <w:rPr>
          <w:color w:val="FFFFFF"/>
          <w:w w:val="110"/>
        </w:rPr>
        <w:t>MANUFACTURA</w:t>
      </w:r>
      <w:r>
        <w:rPr>
          <w:color w:val="FFFFFF"/>
          <w:spacing w:val="-27"/>
          <w:w w:val="110"/>
        </w:rPr>
        <w:t> </w:t>
      </w:r>
      <w:r>
        <w:rPr>
          <w:color w:val="FFFFFF"/>
          <w:w w:val="110"/>
        </w:rPr>
        <w:t>VERSUS</w:t>
      </w:r>
      <w:r>
        <w:rPr>
          <w:color w:val="FFFFFF"/>
          <w:spacing w:val="-27"/>
          <w:w w:val="110"/>
        </w:rPr>
        <w:t> </w:t>
      </w:r>
      <w:r>
        <w:rPr>
          <w:color w:val="FFFFFF"/>
          <w:w w:val="110"/>
        </w:rPr>
        <w:t>LAS</w:t>
      </w:r>
    </w:p>
    <w:p>
      <w:pPr>
        <w:spacing w:before="2"/>
        <w:ind w:left="0" w:right="3064" w:firstLine="0"/>
        <w:jc w:val="right"/>
        <w:rPr>
          <w:rFonts w:ascii="Calibri"/>
          <w:sz w:val="24"/>
        </w:rPr>
      </w:pPr>
      <w:r>
        <w:rPr>
          <w:rFonts w:ascii="Calibri"/>
          <w:color w:val="FFFFFF"/>
          <w:w w:val="105"/>
          <w:sz w:val="24"/>
        </w:rPr>
        <w:t>DE MERCADOTECNIA</w:t>
      </w:r>
    </w:p>
    <w:p>
      <w:pPr>
        <w:pStyle w:val="Heading3"/>
        <w:spacing w:before="132"/>
        <w:ind w:right="177"/>
      </w:pPr>
      <w:r>
        <w:rPr>
          <w:color w:val="FFFFFF"/>
          <w:w w:val="105"/>
        </w:rPr>
        <w:t>Daniel Arturo Cernas Ortiz Rosa María Nava Rogel</w:t>
      </w:r>
    </w:p>
    <w:p>
      <w:pPr>
        <w:spacing w:before="1"/>
        <w:ind w:left="3931" w:right="0" w:firstLine="0"/>
        <w:jc w:val="left"/>
        <w:rPr>
          <w:rFonts w:ascii="Calibri" w:hAnsi="Calibri"/>
          <w:sz w:val="22"/>
        </w:rPr>
      </w:pPr>
      <w:r>
        <w:rPr>
          <w:rFonts w:ascii="Calibri" w:hAnsi="Calibri"/>
          <w:color w:val="FFFFFF"/>
          <w:w w:val="105"/>
          <w:sz w:val="22"/>
        </w:rPr>
        <w:t>Miguel Octavio Caballero Santín</w:t>
      </w:r>
    </w:p>
    <w:p>
      <w:pPr>
        <w:spacing w:after="0"/>
        <w:jc w:val="left"/>
        <w:rPr>
          <w:rFonts w:ascii="Calibri" w:hAnsi="Calibri"/>
          <w:sz w:val="22"/>
        </w:rPr>
        <w:sectPr>
          <w:pgSz w:w="9640" w:h="13890"/>
          <w:pgMar w:top="1300" w:bottom="280" w:left="1340" w:right="13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p>
      <w:pPr>
        <w:spacing w:before="55"/>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21"/>
        <w:jc w:val="both"/>
      </w:pPr>
      <w:r>
        <w:rPr/>
        <w:pict>
          <v:shape style="position:absolute;margin-left:82.667099pt;margin-top:13.282686pt;width:31.2pt;height:51pt;mso-position-horizontal-relative:page;mso-position-vertical-relative:paragraph;z-index:541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rPr>
        <w:t>as alianzas estratégicas son un modo de colaboración interor- ganizacional con el potencial de ayudar a las empresas a lo- grar, o a sostener, una ventaja competitiva. Sin embargo, sus beneficios dependen del tipo trato que se acuerda y del área funcional en la que se quiera colaborar. En este documento se</w:t>
      </w:r>
    </w:p>
    <w:p>
      <w:pPr>
        <w:pStyle w:val="BodyText"/>
        <w:spacing w:line="259" w:lineRule="auto"/>
        <w:ind w:left="117" w:right="115"/>
        <w:jc w:val="both"/>
      </w:pPr>
      <w:r>
        <w:rPr>
          <w:color w:val="231F20"/>
          <w:w w:val="105"/>
        </w:rPr>
        <w:t>aborda</w:t>
      </w:r>
      <w:r>
        <w:rPr>
          <w:color w:val="231F20"/>
          <w:spacing w:val="-12"/>
          <w:w w:val="105"/>
        </w:rPr>
        <w:t> </w:t>
      </w:r>
      <w:r>
        <w:rPr>
          <w:color w:val="231F20"/>
          <w:w w:val="105"/>
        </w:rPr>
        <w:t>el</w:t>
      </w:r>
      <w:r>
        <w:rPr>
          <w:color w:val="231F20"/>
          <w:spacing w:val="-12"/>
          <w:w w:val="105"/>
        </w:rPr>
        <w:t> </w:t>
      </w:r>
      <w:r>
        <w:rPr>
          <w:color w:val="231F20"/>
          <w:w w:val="105"/>
        </w:rPr>
        <w:t>efecto</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formación</w:t>
      </w:r>
      <w:r>
        <w:rPr>
          <w:color w:val="231F20"/>
          <w:spacing w:val="-12"/>
          <w:w w:val="105"/>
        </w:rPr>
        <w:t> </w:t>
      </w:r>
      <w:r>
        <w:rPr>
          <w:color w:val="231F20"/>
          <w:w w:val="105"/>
        </w:rPr>
        <w:t>de</w:t>
      </w:r>
      <w:r>
        <w:rPr>
          <w:color w:val="231F20"/>
          <w:spacing w:val="-12"/>
          <w:w w:val="105"/>
        </w:rPr>
        <w:t> </w:t>
      </w:r>
      <w:r>
        <w:rPr>
          <w:color w:val="231F20"/>
          <w:w w:val="105"/>
        </w:rPr>
        <w:t>un</w:t>
      </w:r>
      <w:r>
        <w:rPr>
          <w:color w:val="231F20"/>
          <w:spacing w:val="-12"/>
          <w:w w:val="105"/>
        </w:rPr>
        <w:t> </w:t>
      </w:r>
      <w:r>
        <w:rPr>
          <w:color w:val="231F20"/>
          <w:w w:val="105"/>
        </w:rPr>
        <w:t>tipo</w:t>
      </w:r>
      <w:r>
        <w:rPr>
          <w:color w:val="231F20"/>
          <w:spacing w:val="-12"/>
          <w:w w:val="105"/>
        </w:rPr>
        <w:t> </w:t>
      </w:r>
      <w:r>
        <w:rPr>
          <w:color w:val="231F20"/>
          <w:w w:val="105"/>
        </w:rPr>
        <w:t>especial</w:t>
      </w:r>
      <w:r>
        <w:rPr>
          <w:color w:val="231F20"/>
          <w:spacing w:val="-12"/>
          <w:w w:val="105"/>
        </w:rPr>
        <w:t> </w:t>
      </w:r>
      <w:r>
        <w:rPr>
          <w:color w:val="231F20"/>
          <w:w w:val="105"/>
        </w:rPr>
        <w:t>de</w:t>
      </w:r>
      <w:r>
        <w:rPr>
          <w:color w:val="231F20"/>
          <w:spacing w:val="-12"/>
          <w:w w:val="105"/>
        </w:rPr>
        <w:t> </w:t>
      </w:r>
      <w:r>
        <w:rPr>
          <w:color w:val="231F20"/>
          <w:w w:val="105"/>
        </w:rPr>
        <w:t>alianza</w:t>
      </w:r>
      <w:r>
        <w:rPr>
          <w:color w:val="231F20"/>
          <w:spacing w:val="-12"/>
          <w:w w:val="105"/>
        </w:rPr>
        <w:t> </w:t>
      </w:r>
      <w:r>
        <w:rPr>
          <w:color w:val="231F20"/>
          <w:w w:val="105"/>
        </w:rPr>
        <w:t>estraté- gica:</w:t>
      </w:r>
      <w:r>
        <w:rPr>
          <w:color w:val="231F20"/>
          <w:spacing w:val="-9"/>
          <w:w w:val="105"/>
        </w:rPr>
        <w:t> </w:t>
      </w:r>
      <w:r>
        <w:rPr>
          <w:i/>
          <w:color w:val="231F20"/>
          <w:w w:val="105"/>
        </w:rPr>
        <w:t>joint</w:t>
      </w:r>
      <w:r>
        <w:rPr>
          <w:i/>
          <w:color w:val="231F20"/>
          <w:spacing w:val="-9"/>
          <w:w w:val="105"/>
        </w:rPr>
        <w:t> </w:t>
      </w:r>
      <w:r>
        <w:rPr>
          <w:i/>
          <w:color w:val="231F20"/>
          <w:w w:val="105"/>
        </w:rPr>
        <w:t>venture</w:t>
      </w:r>
      <w:r>
        <w:rPr>
          <w:color w:val="231F20"/>
          <w:w w:val="105"/>
        </w:rPr>
        <w:t>s,</w:t>
      </w:r>
      <w:r>
        <w:rPr>
          <w:color w:val="231F20"/>
          <w:spacing w:val="-14"/>
          <w:w w:val="105"/>
        </w:rPr>
        <w:t> </w:t>
      </w:r>
      <w:r>
        <w:rPr>
          <w:color w:val="231F20"/>
          <w:w w:val="105"/>
        </w:rPr>
        <w:t>tiene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desempeño</w:t>
      </w:r>
      <w:r>
        <w:rPr>
          <w:color w:val="231F20"/>
          <w:spacing w:val="-9"/>
          <w:w w:val="105"/>
        </w:rPr>
        <w:t> </w:t>
      </w:r>
      <w:r>
        <w:rPr>
          <w:color w:val="231F20"/>
          <w:w w:val="105"/>
        </w:rPr>
        <w:t>financiero</w:t>
      </w:r>
      <w:r>
        <w:rPr>
          <w:color w:val="231F20"/>
          <w:spacing w:val="-9"/>
          <w:w w:val="105"/>
        </w:rPr>
        <w:t> </w:t>
      </w:r>
      <w:r>
        <w:rPr>
          <w:color w:val="231F20"/>
          <w:w w:val="105"/>
        </w:rPr>
        <w:t>(retorno</w:t>
      </w:r>
      <w:r>
        <w:rPr>
          <w:color w:val="231F20"/>
          <w:spacing w:val="-9"/>
          <w:w w:val="105"/>
        </w:rPr>
        <w:t> </w:t>
      </w:r>
      <w:r>
        <w:rPr>
          <w:color w:val="231F20"/>
          <w:w w:val="105"/>
        </w:rPr>
        <w:t>sobre</w:t>
      </w:r>
      <w:r>
        <w:rPr>
          <w:color w:val="231F20"/>
          <w:spacing w:val="-9"/>
          <w:w w:val="105"/>
        </w:rPr>
        <w:t> </w:t>
      </w:r>
      <w:r>
        <w:rPr>
          <w:color w:val="231F20"/>
          <w:w w:val="105"/>
        </w:rPr>
        <w:t>los activos:</w:t>
      </w:r>
      <w:r>
        <w:rPr>
          <w:color w:val="231F20"/>
          <w:spacing w:val="-42"/>
          <w:w w:val="105"/>
        </w:rPr>
        <w:t> </w:t>
      </w:r>
      <w:r>
        <w:rPr>
          <w:color w:val="231F20"/>
          <w:w w:val="105"/>
        </w:rPr>
        <w:t>ROA)</w:t>
      </w:r>
      <w:r>
        <w:rPr>
          <w:color w:val="231F20"/>
          <w:spacing w:val="-42"/>
          <w:w w:val="105"/>
        </w:rPr>
        <w:t> </w:t>
      </w:r>
      <w:r>
        <w:rPr>
          <w:color w:val="231F20"/>
          <w:w w:val="105"/>
        </w:rPr>
        <w:t>de</w:t>
      </w:r>
      <w:r>
        <w:rPr>
          <w:color w:val="231F20"/>
          <w:spacing w:val="-42"/>
          <w:w w:val="105"/>
        </w:rPr>
        <w:t> </w:t>
      </w:r>
      <w:r>
        <w:rPr>
          <w:color w:val="231F20"/>
          <w:w w:val="105"/>
        </w:rPr>
        <w:t>una</w:t>
      </w:r>
      <w:r>
        <w:rPr>
          <w:color w:val="231F20"/>
          <w:spacing w:val="-42"/>
          <w:w w:val="105"/>
        </w:rPr>
        <w:t> </w:t>
      </w:r>
      <w:r>
        <w:rPr>
          <w:color w:val="231F20"/>
          <w:w w:val="105"/>
        </w:rPr>
        <w:t>muestra</w:t>
      </w:r>
      <w:r>
        <w:rPr>
          <w:color w:val="231F20"/>
          <w:spacing w:val="-42"/>
          <w:w w:val="105"/>
        </w:rPr>
        <w:t> </w:t>
      </w:r>
      <w:r>
        <w:rPr>
          <w:color w:val="231F20"/>
          <w:w w:val="105"/>
        </w:rPr>
        <w:t>de</w:t>
      </w:r>
      <w:r>
        <w:rPr>
          <w:color w:val="231F20"/>
          <w:spacing w:val="-42"/>
          <w:w w:val="105"/>
        </w:rPr>
        <w:t> </w:t>
      </w:r>
      <w:r>
        <w:rPr>
          <w:color w:val="231F20"/>
          <w:w w:val="105"/>
        </w:rPr>
        <w:t>empresas</w:t>
      </w:r>
      <w:r>
        <w:rPr>
          <w:color w:val="231F20"/>
          <w:spacing w:val="-42"/>
          <w:w w:val="105"/>
        </w:rPr>
        <w:t> </w:t>
      </w:r>
      <w:r>
        <w:rPr>
          <w:color w:val="231F20"/>
          <w:w w:val="105"/>
        </w:rPr>
        <w:t>estadounidenses.</w:t>
      </w:r>
      <w:r>
        <w:rPr>
          <w:color w:val="231F20"/>
          <w:spacing w:val="-44"/>
          <w:w w:val="105"/>
        </w:rPr>
        <w:t> </w:t>
      </w:r>
      <w:r>
        <w:rPr>
          <w:color w:val="231F20"/>
          <w:w w:val="105"/>
        </w:rPr>
        <w:t>Los</w:t>
      </w:r>
      <w:r>
        <w:rPr>
          <w:color w:val="231F20"/>
          <w:spacing w:val="-42"/>
          <w:w w:val="105"/>
        </w:rPr>
        <w:t> </w:t>
      </w:r>
      <w:r>
        <w:rPr>
          <w:color w:val="231F20"/>
          <w:w w:val="105"/>
        </w:rPr>
        <w:t>resulta- dos</w:t>
      </w:r>
      <w:r>
        <w:rPr>
          <w:color w:val="231F20"/>
          <w:spacing w:val="-29"/>
          <w:w w:val="105"/>
        </w:rPr>
        <w:t> </w:t>
      </w:r>
      <w:r>
        <w:rPr>
          <w:color w:val="231F20"/>
          <w:w w:val="105"/>
        </w:rPr>
        <w:t>de</w:t>
      </w:r>
      <w:r>
        <w:rPr>
          <w:color w:val="231F20"/>
          <w:spacing w:val="-29"/>
          <w:w w:val="105"/>
        </w:rPr>
        <w:t> </w:t>
      </w:r>
      <w:r>
        <w:rPr>
          <w:color w:val="231F20"/>
          <w:w w:val="105"/>
        </w:rPr>
        <w:t>un</w:t>
      </w:r>
      <w:r>
        <w:rPr>
          <w:color w:val="231F20"/>
          <w:spacing w:val="-29"/>
          <w:w w:val="105"/>
        </w:rPr>
        <w:t> </w:t>
      </w:r>
      <w:r>
        <w:rPr>
          <w:color w:val="231F20"/>
          <w:w w:val="105"/>
        </w:rPr>
        <w:t>análisis</w:t>
      </w:r>
      <w:r>
        <w:rPr>
          <w:color w:val="231F20"/>
          <w:spacing w:val="-29"/>
          <w:w w:val="105"/>
        </w:rPr>
        <w:t> </w:t>
      </w:r>
      <w:r>
        <w:rPr>
          <w:color w:val="231F20"/>
          <w:w w:val="105"/>
        </w:rPr>
        <w:t>de</w:t>
      </w:r>
      <w:r>
        <w:rPr>
          <w:color w:val="231F20"/>
          <w:spacing w:val="-29"/>
          <w:w w:val="105"/>
        </w:rPr>
        <w:t> </w:t>
      </w:r>
      <w:r>
        <w:rPr>
          <w:color w:val="231F20"/>
          <w:w w:val="105"/>
        </w:rPr>
        <w:t>varianza</w:t>
      </w:r>
      <w:r>
        <w:rPr>
          <w:color w:val="231F20"/>
          <w:spacing w:val="-29"/>
          <w:w w:val="105"/>
        </w:rPr>
        <w:t> </w:t>
      </w:r>
      <w:r>
        <w:rPr>
          <w:color w:val="231F20"/>
          <w:w w:val="105"/>
        </w:rPr>
        <w:t>(ANOVA)</w:t>
      </w:r>
      <w:r>
        <w:rPr>
          <w:color w:val="231F20"/>
          <w:spacing w:val="-29"/>
          <w:w w:val="105"/>
        </w:rPr>
        <w:t> </w:t>
      </w:r>
      <w:r>
        <w:rPr>
          <w:color w:val="231F20"/>
          <w:w w:val="105"/>
        </w:rPr>
        <w:t>indican</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ROA</w:t>
      </w:r>
      <w:r>
        <w:rPr>
          <w:color w:val="231F20"/>
          <w:spacing w:val="-32"/>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entida- des</w:t>
      </w:r>
      <w:r>
        <w:rPr>
          <w:color w:val="231F20"/>
          <w:spacing w:val="-11"/>
          <w:w w:val="105"/>
        </w:rPr>
        <w:t> </w:t>
      </w:r>
      <w:r>
        <w:rPr>
          <w:color w:val="231F20"/>
          <w:w w:val="105"/>
        </w:rPr>
        <w:t>consideradas</w:t>
      </w:r>
      <w:r>
        <w:rPr>
          <w:color w:val="231F20"/>
          <w:spacing w:val="-11"/>
          <w:w w:val="105"/>
        </w:rPr>
        <w:t> </w:t>
      </w:r>
      <w:r>
        <w:rPr>
          <w:color w:val="231F20"/>
          <w:w w:val="105"/>
        </w:rPr>
        <w:t>cambió</w:t>
      </w:r>
      <w:r>
        <w:rPr>
          <w:color w:val="231F20"/>
          <w:spacing w:val="-11"/>
          <w:w w:val="105"/>
        </w:rPr>
        <w:t> </w:t>
      </w:r>
      <w:r>
        <w:rPr>
          <w:color w:val="231F20"/>
          <w:w w:val="105"/>
        </w:rPr>
        <w:t>después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formación</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i/>
          <w:color w:val="231F20"/>
          <w:w w:val="105"/>
        </w:rPr>
        <w:t>joint</w:t>
      </w:r>
      <w:r>
        <w:rPr>
          <w:i/>
          <w:color w:val="231F20"/>
          <w:spacing w:val="-11"/>
          <w:w w:val="105"/>
        </w:rPr>
        <w:t> </w:t>
      </w:r>
      <w:r>
        <w:rPr>
          <w:i/>
          <w:color w:val="231F20"/>
          <w:w w:val="105"/>
        </w:rPr>
        <w:t>venture</w:t>
      </w:r>
      <w:r>
        <w:rPr>
          <w:color w:val="231F20"/>
          <w:w w:val="105"/>
        </w:rPr>
        <w:t>. Este cambio fue sólo marginalmente distinto entre aquellas empresas que</w:t>
      </w:r>
      <w:r>
        <w:rPr>
          <w:color w:val="231F20"/>
          <w:spacing w:val="-9"/>
          <w:w w:val="105"/>
        </w:rPr>
        <w:t> </w:t>
      </w:r>
      <w:r>
        <w:rPr>
          <w:color w:val="231F20"/>
          <w:w w:val="105"/>
        </w:rPr>
        <w:t>decidieron</w:t>
      </w:r>
      <w:r>
        <w:rPr>
          <w:color w:val="231F20"/>
          <w:spacing w:val="-9"/>
          <w:w w:val="105"/>
        </w:rPr>
        <w:t> </w:t>
      </w:r>
      <w:r>
        <w:rPr>
          <w:color w:val="231F20"/>
          <w:w w:val="105"/>
        </w:rPr>
        <w:t>colaborar</w:t>
      </w:r>
      <w:r>
        <w:rPr>
          <w:color w:val="231F20"/>
          <w:spacing w:val="-9"/>
          <w:w w:val="105"/>
        </w:rPr>
        <w:t> </w:t>
      </w:r>
      <w:r>
        <w:rPr>
          <w:color w:val="231F20"/>
          <w:w w:val="105"/>
        </w:rPr>
        <w:t>en</w:t>
      </w:r>
      <w:r>
        <w:rPr>
          <w:color w:val="231F20"/>
          <w:spacing w:val="-9"/>
          <w:w w:val="105"/>
        </w:rPr>
        <w:t> </w:t>
      </w:r>
      <w:r>
        <w:rPr>
          <w:color w:val="231F20"/>
          <w:w w:val="105"/>
        </w:rPr>
        <w:t>mercadotecnia</w:t>
      </w:r>
      <w:r>
        <w:rPr>
          <w:color w:val="231F20"/>
          <w:spacing w:val="-9"/>
          <w:w w:val="105"/>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que</w:t>
      </w:r>
      <w:r>
        <w:rPr>
          <w:color w:val="231F20"/>
          <w:spacing w:val="-9"/>
          <w:w w:val="105"/>
        </w:rPr>
        <w:t> </w:t>
      </w:r>
      <w:r>
        <w:rPr>
          <w:color w:val="231F20"/>
          <w:w w:val="105"/>
        </w:rPr>
        <w:t>lo</w:t>
      </w:r>
      <w:r>
        <w:rPr>
          <w:color w:val="231F20"/>
          <w:spacing w:val="-9"/>
          <w:w w:val="105"/>
        </w:rPr>
        <w:t> </w:t>
      </w:r>
      <w:r>
        <w:rPr>
          <w:color w:val="231F20"/>
          <w:w w:val="105"/>
        </w:rPr>
        <w:t>hicieron</w:t>
      </w:r>
      <w:r>
        <w:rPr>
          <w:color w:val="231F20"/>
          <w:spacing w:val="-9"/>
          <w:w w:val="105"/>
        </w:rPr>
        <w:t> </w:t>
      </w:r>
      <w:r>
        <w:rPr>
          <w:color w:val="231F20"/>
          <w:w w:val="105"/>
        </w:rPr>
        <w:t>en</w:t>
      </w:r>
      <w:r>
        <w:rPr>
          <w:color w:val="231F20"/>
          <w:spacing w:val="-9"/>
          <w:w w:val="105"/>
        </w:rPr>
        <w:t> </w:t>
      </w:r>
      <w:r>
        <w:rPr>
          <w:color w:val="231F20"/>
          <w:w w:val="105"/>
        </w:rPr>
        <w:t>ma- nufactura.</w:t>
      </w:r>
      <w:r>
        <w:rPr>
          <w:color w:val="231F20"/>
          <w:spacing w:val="-30"/>
          <w:w w:val="105"/>
        </w:rPr>
        <w:t> </w:t>
      </w:r>
      <w:r>
        <w:rPr>
          <w:color w:val="231F20"/>
          <w:w w:val="105"/>
        </w:rPr>
        <w:t>En</w:t>
      </w:r>
      <w:r>
        <w:rPr>
          <w:color w:val="231F20"/>
          <w:spacing w:val="-26"/>
          <w:w w:val="105"/>
        </w:rPr>
        <w:t> </w:t>
      </w:r>
      <w:r>
        <w:rPr>
          <w:color w:val="231F20"/>
          <w:w w:val="105"/>
        </w:rPr>
        <w:t>este</w:t>
      </w:r>
      <w:r>
        <w:rPr>
          <w:color w:val="231F20"/>
          <w:spacing w:val="-26"/>
          <w:w w:val="105"/>
        </w:rPr>
        <w:t> </w:t>
      </w:r>
      <w:r>
        <w:rPr>
          <w:color w:val="231F20"/>
          <w:w w:val="105"/>
        </w:rPr>
        <w:t>capítulo</w:t>
      </w:r>
      <w:r>
        <w:rPr>
          <w:color w:val="231F20"/>
          <w:spacing w:val="-26"/>
          <w:w w:val="105"/>
        </w:rPr>
        <w:t> </w:t>
      </w:r>
      <w:r>
        <w:rPr>
          <w:color w:val="231F20"/>
          <w:w w:val="105"/>
        </w:rPr>
        <w:t>se</w:t>
      </w:r>
      <w:r>
        <w:rPr>
          <w:color w:val="231F20"/>
          <w:spacing w:val="-26"/>
          <w:w w:val="105"/>
        </w:rPr>
        <w:t> </w:t>
      </w:r>
      <w:r>
        <w:rPr>
          <w:color w:val="231F20"/>
          <w:w w:val="105"/>
        </w:rPr>
        <w:t>concluye</w:t>
      </w:r>
      <w:r>
        <w:rPr>
          <w:color w:val="231F20"/>
          <w:spacing w:val="-26"/>
          <w:w w:val="105"/>
        </w:rPr>
        <w:t> </w:t>
      </w:r>
      <w:r>
        <w:rPr>
          <w:color w:val="231F20"/>
          <w:w w:val="105"/>
        </w:rPr>
        <w:t>con</w:t>
      </w:r>
      <w:r>
        <w:rPr>
          <w:color w:val="231F20"/>
          <w:spacing w:val="-26"/>
          <w:w w:val="105"/>
        </w:rPr>
        <w:t> </w:t>
      </w:r>
      <w:r>
        <w:rPr>
          <w:color w:val="231F20"/>
          <w:w w:val="105"/>
        </w:rPr>
        <w:t>una</w:t>
      </w:r>
      <w:r>
        <w:rPr>
          <w:color w:val="231F20"/>
          <w:spacing w:val="-26"/>
          <w:w w:val="105"/>
        </w:rPr>
        <w:t> </w:t>
      </w:r>
      <w:r>
        <w:rPr>
          <w:color w:val="231F20"/>
          <w:w w:val="105"/>
        </w:rPr>
        <w:t>reflexión</w:t>
      </w:r>
      <w:r>
        <w:rPr>
          <w:color w:val="231F20"/>
          <w:spacing w:val="-26"/>
          <w:w w:val="105"/>
        </w:rPr>
        <w:t> </w:t>
      </w:r>
      <w:r>
        <w:rPr>
          <w:color w:val="231F20"/>
          <w:w w:val="105"/>
        </w:rPr>
        <w:t>sobre</w:t>
      </w:r>
      <w:r>
        <w:rPr>
          <w:color w:val="231F20"/>
          <w:spacing w:val="-26"/>
          <w:w w:val="105"/>
        </w:rPr>
        <w:t> </w:t>
      </w:r>
      <w:r>
        <w:rPr>
          <w:color w:val="231F20"/>
          <w:w w:val="105"/>
        </w:rPr>
        <w:t>la</w:t>
      </w:r>
      <w:r>
        <w:rPr>
          <w:color w:val="231F20"/>
          <w:spacing w:val="-26"/>
          <w:w w:val="105"/>
        </w:rPr>
        <w:t> </w:t>
      </w:r>
      <w:r>
        <w:rPr>
          <w:color w:val="231F20"/>
          <w:w w:val="105"/>
        </w:rPr>
        <w:t>investi- gación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tema</w:t>
      </w:r>
      <w:r>
        <w:rPr>
          <w:color w:val="231F20"/>
          <w:spacing w:val="-20"/>
          <w:w w:val="105"/>
        </w:rPr>
        <w:t> </w:t>
      </w:r>
      <w:r>
        <w:rPr>
          <w:color w:val="231F20"/>
          <w:w w:val="105"/>
        </w:rPr>
        <w:t>en</w:t>
      </w:r>
      <w:r>
        <w:rPr>
          <w:color w:val="231F20"/>
          <w:spacing w:val="-20"/>
          <w:w w:val="105"/>
        </w:rPr>
        <w:t> </w:t>
      </w:r>
      <w:r>
        <w:rPr>
          <w:color w:val="231F20"/>
          <w:w w:val="105"/>
        </w:rPr>
        <w:t>México.</w:t>
      </w:r>
      <w:r>
        <w:rPr>
          <w:color w:val="231F20"/>
          <w:spacing w:val="-26"/>
          <w:w w:val="105"/>
        </w:rPr>
        <w:t> </w:t>
      </w:r>
      <w:r>
        <w:rPr>
          <w:color w:val="231F20"/>
          <w:w w:val="105"/>
        </w:rPr>
        <w:t>En</w:t>
      </w:r>
      <w:r>
        <w:rPr>
          <w:color w:val="231F20"/>
          <w:spacing w:val="-20"/>
          <w:w w:val="105"/>
        </w:rPr>
        <w:t> </w:t>
      </w:r>
      <w:r>
        <w:rPr>
          <w:color w:val="231F20"/>
          <w:w w:val="105"/>
        </w:rPr>
        <w:t>general,</w:t>
      </w:r>
      <w:r>
        <w:rPr>
          <w:color w:val="231F20"/>
          <w:spacing w:val="-25"/>
          <w:w w:val="105"/>
        </w:rPr>
        <w:t> </w:t>
      </w:r>
      <w:r>
        <w:rPr>
          <w:color w:val="231F20"/>
          <w:w w:val="105"/>
        </w:rPr>
        <w:t>se</w:t>
      </w:r>
      <w:r>
        <w:rPr>
          <w:color w:val="231F20"/>
          <w:spacing w:val="-20"/>
          <w:w w:val="105"/>
        </w:rPr>
        <w:t> </w:t>
      </w:r>
      <w:r>
        <w:rPr>
          <w:color w:val="231F20"/>
          <w:w w:val="105"/>
        </w:rPr>
        <w:t>discuten</w:t>
      </w:r>
      <w:r>
        <w:rPr>
          <w:color w:val="231F20"/>
          <w:spacing w:val="-20"/>
          <w:w w:val="105"/>
        </w:rPr>
        <w:t> </w:t>
      </w:r>
      <w:r>
        <w:rPr>
          <w:color w:val="231F20"/>
          <w:w w:val="105"/>
        </w:rPr>
        <w:t>algunas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limi- taciones más evidentes que en este país obstaculizan la investigación sobre</w:t>
      </w:r>
      <w:r>
        <w:rPr>
          <w:color w:val="231F20"/>
          <w:spacing w:val="-10"/>
          <w:w w:val="105"/>
        </w:rPr>
        <w:t> </w:t>
      </w:r>
      <w:r>
        <w:rPr>
          <w:color w:val="231F20"/>
          <w:w w:val="105"/>
        </w:rPr>
        <w:t>alianzas</w:t>
      </w:r>
      <w:r>
        <w:rPr>
          <w:color w:val="231F20"/>
          <w:spacing w:val="-10"/>
          <w:w w:val="105"/>
        </w:rPr>
        <w:t> </w:t>
      </w:r>
      <w:r>
        <w:rPr>
          <w:color w:val="231F20"/>
          <w:w w:val="105"/>
        </w:rPr>
        <w:t>y</w:t>
      </w:r>
      <w:r>
        <w:rPr>
          <w:color w:val="231F20"/>
          <w:spacing w:val="-10"/>
          <w:w w:val="105"/>
        </w:rPr>
        <w:t> </w:t>
      </w:r>
      <w:r>
        <w:rPr>
          <w:i/>
          <w:color w:val="231F20"/>
          <w:w w:val="105"/>
        </w:rPr>
        <w:t>joint</w:t>
      </w:r>
      <w:r>
        <w:rPr>
          <w:i/>
          <w:color w:val="231F20"/>
          <w:spacing w:val="-10"/>
          <w:w w:val="105"/>
        </w:rPr>
        <w:t> </w:t>
      </w:r>
      <w:r>
        <w:rPr>
          <w:i/>
          <w:color w:val="231F20"/>
          <w:w w:val="105"/>
        </w:rPr>
        <w:t>venture</w:t>
      </w:r>
      <w:r>
        <w:rPr>
          <w:color w:val="231F20"/>
          <w:w w:val="105"/>
        </w:rPr>
        <w:t>s</w:t>
      </w:r>
      <w:r>
        <w:rPr>
          <w:color w:val="231F20"/>
          <w:spacing w:val="-10"/>
          <w:w w:val="105"/>
        </w:rPr>
        <w:t> </w:t>
      </w:r>
      <w:r>
        <w:rPr>
          <w:color w:val="231F20"/>
          <w:w w:val="105"/>
        </w:rPr>
        <w:t>en</w:t>
      </w:r>
      <w:r>
        <w:rPr>
          <w:color w:val="231F20"/>
          <w:spacing w:val="-10"/>
          <w:w w:val="105"/>
        </w:rPr>
        <w:t> </w:t>
      </w:r>
      <w:r>
        <w:rPr>
          <w:color w:val="231F20"/>
          <w:w w:val="105"/>
        </w:rPr>
        <w:t>congruencia</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estándares</w:t>
      </w:r>
      <w:r>
        <w:rPr>
          <w:color w:val="231F20"/>
          <w:spacing w:val="-10"/>
          <w:w w:val="105"/>
        </w:rPr>
        <w:t> </w:t>
      </w:r>
      <w:r>
        <w:rPr>
          <w:color w:val="231F20"/>
          <w:w w:val="105"/>
        </w:rPr>
        <w:t>mun- diales.</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1"/>
        <w:jc w:val="both"/>
      </w:pPr>
      <w:r>
        <w:rPr>
          <w:color w:val="231F20"/>
          <w:w w:val="105"/>
        </w:rPr>
        <w:t>Una </w:t>
      </w:r>
      <w:r>
        <w:rPr>
          <w:i/>
          <w:color w:val="231F20"/>
          <w:w w:val="105"/>
        </w:rPr>
        <w:t>joint venture </w:t>
      </w:r>
      <w:r>
        <w:rPr>
          <w:color w:val="231F20"/>
          <w:w w:val="105"/>
        </w:rPr>
        <w:t>(aventura conjunta) es un tipo de alianza estratégica que</w:t>
      </w:r>
      <w:r>
        <w:rPr>
          <w:color w:val="231F20"/>
          <w:spacing w:val="-9"/>
          <w:w w:val="105"/>
        </w:rPr>
        <w:t> </w:t>
      </w:r>
      <w:r>
        <w:rPr>
          <w:color w:val="231F20"/>
          <w:w w:val="105"/>
        </w:rPr>
        <w:t>consiste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conjunción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de</w:t>
      </w:r>
      <w:r>
        <w:rPr>
          <w:color w:val="231F20"/>
          <w:spacing w:val="-9"/>
          <w:w w:val="105"/>
        </w:rPr>
        <w:t> </w:t>
      </w:r>
      <w:r>
        <w:rPr>
          <w:color w:val="231F20"/>
          <w:w w:val="105"/>
        </w:rPr>
        <w:t>dos</w:t>
      </w:r>
      <w:r>
        <w:rPr>
          <w:color w:val="231F20"/>
          <w:spacing w:val="-9"/>
          <w:w w:val="105"/>
        </w:rPr>
        <w:t> </w:t>
      </w:r>
      <w:r>
        <w:rPr>
          <w:color w:val="231F20"/>
          <w:w w:val="105"/>
        </w:rPr>
        <w:t>(o</w:t>
      </w:r>
      <w:r>
        <w:rPr>
          <w:color w:val="231F20"/>
          <w:spacing w:val="-9"/>
          <w:w w:val="105"/>
        </w:rPr>
        <w:t> </w:t>
      </w:r>
      <w:r>
        <w:rPr>
          <w:color w:val="231F20"/>
          <w:w w:val="105"/>
        </w:rPr>
        <w:t>más)</w:t>
      </w:r>
      <w:r>
        <w:rPr>
          <w:color w:val="231F20"/>
          <w:spacing w:val="-9"/>
          <w:w w:val="105"/>
        </w:rPr>
        <w:t> </w:t>
      </w:r>
      <w:r>
        <w:rPr>
          <w:color w:val="231F20"/>
          <w:w w:val="105"/>
        </w:rPr>
        <w:t>empresas para</w:t>
      </w:r>
      <w:r>
        <w:rPr>
          <w:color w:val="231F20"/>
          <w:spacing w:val="-25"/>
          <w:w w:val="105"/>
        </w:rPr>
        <w:t> </w:t>
      </w:r>
      <w:r>
        <w:rPr>
          <w:color w:val="231F20"/>
          <w:w w:val="105"/>
        </w:rPr>
        <w:t>la</w:t>
      </w:r>
      <w:r>
        <w:rPr>
          <w:color w:val="231F20"/>
          <w:spacing w:val="-25"/>
          <w:w w:val="105"/>
        </w:rPr>
        <w:t> </w:t>
      </w:r>
      <w:r>
        <w:rPr>
          <w:color w:val="231F20"/>
          <w:w w:val="105"/>
        </w:rPr>
        <w:t>formación</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w w:val="105"/>
        </w:rPr>
        <w:t>tercera</w:t>
      </w:r>
      <w:r>
        <w:rPr>
          <w:color w:val="231F20"/>
          <w:spacing w:val="-25"/>
          <w:w w:val="105"/>
        </w:rPr>
        <w:t> </w:t>
      </w:r>
      <w:r>
        <w:rPr>
          <w:color w:val="231F20"/>
          <w:w w:val="105"/>
        </w:rPr>
        <w:t>(Kogut,</w:t>
      </w:r>
      <w:r>
        <w:rPr>
          <w:color w:val="231F20"/>
          <w:spacing w:val="-30"/>
          <w:w w:val="105"/>
        </w:rPr>
        <w:t> </w:t>
      </w:r>
      <w:r>
        <w:rPr>
          <w:color w:val="231F20"/>
          <w:w w:val="105"/>
        </w:rPr>
        <w:t>1988).</w:t>
      </w:r>
      <w:r>
        <w:rPr>
          <w:color w:val="231F20"/>
          <w:spacing w:val="-30"/>
          <w:w w:val="105"/>
        </w:rPr>
        <w:t> </w:t>
      </w:r>
      <w:r>
        <w:rPr>
          <w:color w:val="231F20"/>
          <w:w w:val="105"/>
        </w:rPr>
        <w:t>Entre</w:t>
      </w:r>
      <w:r>
        <w:rPr>
          <w:color w:val="231F20"/>
          <w:spacing w:val="-25"/>
          <w:w w:val="105"/>
        </w:rPr>
        <w:t> </w:t>
      </w:r>
      <w:r>
        <w:rPr>
          <w:color w:val="231F20"/>
          <w:w w:val="105"/>
        </w:rPr>
        <w:t>las</w:t>
      </w:r>
      <w:r>
        <w:rPr>
          <w:color w:val="231F20"/>
          <w:spacing w:val="-25"/>
          <w:w w:val="105"/>
        </w:rPr>
        <w:t> </w:t>
      </w:r>
      <w:r>
        <w:rPr>
          <w:color w:val="231F20"/>
          <w:w w:val="105"/>
        </w:rPr>
        <w:t>grandes</w:t>
      </w:r>
      <w:r>
        <w:rPr>
          <w:color w:val="231F20"/>
          <w:spacing w:val="-25"/>
          <w:w w:val="105"/>
        </w:rPr>
        <w:t> </w:t>
      </w:r>
      <w:r>
        <w:rPr>
          <w:color w:val="231F20"/>
          <w:w w:val="105"/>
        </w:rPr>
        <w:t>empre- sas</w:t>
      </w:r>
      <w:r>
        <w:rPr>
          <w:color w:val="231F20"/>
          <w:spacing w:val="-15"/>
          <w:w w:val="105"/>
        </w:rPr>
        <w:t> </w:t>
      </w:r>
      <w:r>
        <w:rPr>
          <w:color w:val="231F20"/>
          <w:w w:val="105"/>
        </w:rPr>
        <w:t>que</w:t>
      </w:r>
      <w:r>
        <w:rPr>
          <w:color w:val="231F20"/>
          <w:spacing w:val="-15"/>
          <w:w w:val="105"/>
        </w:rPr>
        <w:t> </w:t>
      </w:r>
      <w:r>
        <w:rPr>
          <w:color w:val="231F20"/>
          <w:w w:val="105"/>
        </w:rPr>
        <w:t>cotizan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mercado</w:t>
      </w:r>
      <w:r>
        <w:rPr>
          <w:color w:val="231F20"/>
          <w:spacing w:val="-15"/>
          <w:w w:val="105"/>
        </w:rPr>
        <w:t> </w:t>
      </w:r>
      <w:r>
        <w:rPr>
          <w:color w:val="231F20"/>
          <w:w w:val="105"/>
        </w:rPr>
        <w:t>de</w:t>
      </w:r>
      <w:r>
        <w:rPr>
          <w:color w:val="231F20"/>
          <w:spacing w:val="-15"/>
          <w:w w:val="105"/>
        </w:rPr>
        <w:t> </w:t>
      </w:r>
      <w:r>
        <w:rPr>
          <w:color w:val="231F20"/>
          <w:w w:val="105"/>
        </w:rPr>
        <w:t>valores,</w:t>
      </w:r>
      <w:r>
        <w:rPr>
          <w:color w:val="231F20"/>
          <w:spacing w:val="-19"/>
          <w:w w:val="105"/>
        </w:rPr>
        <w:t> </w:t>
      </w:r>
      <w:r>
        <w:rPr>
          <w:color w:val="231F20"/>
          <w:w w:val="105"/>
        </w:rPr>
        <w:t>las</w:t>
      </w:r>
      <w:r>
        <w:rPr>
          <w:color w:val="231F20"/>
          <w:spacing w:val="-15"/>
          <w:w w:val="105"/>
        </w:rPr>
        <w:t> </w:t>
      </w:r>
      <w:r>
        <w:rPr>
          <w:i/>
          <w:color w:val="231F20"/>
          <w:w w:val="105"/>
        </w:rPr>
        <w:t>joint</w:t>
      </w:r>
      <w:r>
        <w:rPr>
          <w:i/>
          <w:color w:val="231F20"/>
          <w:spacing w:val="-15"/>
          <w:w w:val="105"/>
        </w:rPr>
        <w:t> </w:t>
      </w:r>
      <w:r>
        <w:rPr>
          <w:i/>
          <w:color w:val="231F20"/>
          <w:w w:val="105"/>
        </w:rPr>
        <w:t>venture</w:t>
      </w:r>
      <w:r>
        <w:rPr>
          <w:color w:val="231F20"/>
          <w:w w:val="105"/>
        </w:rPr>
        <w:t>s</w:t>
      </w:r>
      <w:r>
        <w:rPr>
          <w:color w:val="231F20"/>
          <w:spacing w:val="-15"/>
          <w:w w:val="105"/>
        </w:rPr>
        <w:t> </w:t>
      </w:r>
      <w:r>
        <w:rPr>
          <w:color w:val="231F20"/>
          <w:w w:val="105"/>
        </w:rPr>
        <w:t>son</w:t>
      </w:r>
      <w:r>
        <w:rPr>
          <w:color w:val="231F20"/>
          <w:spacing w:val="-15"/>
          <w:w w:val="105"/>
        </w:rPr>
        <w:t> </w:t>
      </w:r>
      <w:r>
        <w:rPr>
          <w:color w:val="231F20"/>
          <w:w w:val="105"/>
        </w:rPr>
        <w:t>ubicuas</w:t>
      </w:r>
    </w:p>
    <w:p>
      <w:pPr>
        <w:spacing w:after="0" w:line="259" w:lineRule="auto"/>
        <w:jc w:val="both"/>
        <w:sectPr>
          <w:pgSz w:w="9640" w:h="13890"/>
          <w:pgMar w:top="1300" w:bottom="280" w:left="1300" w:right="1180"/>
        </w:sectPr>
      </w:pPr>
    </w:p>
    <w:p>
      <w:pPr>
        <w:pStyle w:val="BodyText"/>
        <w:spacing w:line="259" w:lineRule="auto" w:before="120"/>
        <w:ind w:left="103" w:right="110"/>
        <w:jc w:val="both"/>
      </w:pPr>
      <w:r>
        <w:rPr>
          <w:color w:val="231F20"/>
          <w:w w:val="105"/>
        </w:rPr>
        <w:t>aunque</w:t>
      </w:r>
      <w:r>
        <w:rPr>
          <w:color w:val="231F20"/>
          <w:spacing w:val="-11"/>
          <w:w w:val="105"/>
        </w:rPr>
        <w:t> </w:t>
      </w:r>
      <w:r>
        <w:rPr>
          <w:color w:val="231F20"/>
          <w:w w:val="105"/>
        </w:rPr>
        <w:t>siempre</w:t>
      </w:r>
      <w:r>
        <w:rPr>
          <w:color w:val="231F20"/>
          <w:spacing w:val="-11"/>
          <w:w w:val="105"/>
        </w:rPr>
        <w:t> </w:t>
      </w:r>
      <w:r>
        <w:rPr>
          <w:color w:val="231F20"/>
          <w:w w:val="105"/>
        </w:rPr>
        <w:t>representan</w:t>
      </w:r>
      <w:r>
        <w:rPr>
          <w:color w:val="231F20"/>
          <w:spacing w:val="-11"/>
          <w:w w:val="105"/>
        </w:rPr>
        <w:t> </w:t>
      </w:r>
      <w:r>
        <w:rPr>
          <w:color w:val="231F20"/>
          <w:w w:val="105"/>
        </w:rPr>
        <w:t>un</w:t>
      </w:r>
      <w:r>
        <w:rPr>
          <w:color w:val="231F20"/>
          <w:spacing w:val="-11"/>
          <w:w w:val="105"/>
        </w:rPr>
        <w:t> </w:t>
      </w:r>
      <w:r>
        <w:rPr>
          <w:color w:val="231F20"/>
          <w:w w:val="105"/>
        </w:rPr>
        <w:t>reto</w:t>
      </w:r>
      <w:r>
        <w:rPr>
          <w:color w:val="231F20"/>
          <w:spacing w:val="-11"/>
          <w:w w:val="105"/>
        </w:rPr>
        <w:t> </w:t>
      </w:r>
      <w:r>
        <w:rPr>
          <w:color w:val="231F20"/>
          <w:w w:val="105"/>
        </w:rPr>
        <w:t>para</w:t>
      </w:r>
      <w:r>
        <w:rPr>
          <w:color w:val="231F20"/>
          <w:spacing w:val="-11"/>
          <w:w w:val="105"/>
        </w:rPr>
        <w:t> </w:t>
      </w:r>
      <w:r>
        <w:rPr>
          <w:color w:val="231F20"/>
          <w:w w:val="105"/>
        </w:rPr>
        <w:t>sus</w:t>
      </w:r>
      <w:r>
        <w:rPr>
          <w:color w:val="231F20"/>
          <w:spacing w:val="-11"/>
          <w:w w:val="105"/>
        </w:rPr>
        <w:t> </w:t>
      </w:r>
      <w:r>
        <w:rPr>
          <w:color w:val="231F20"/>
          <w:w w:val="105"/>
        </w:rPr>
        <w:t>administradores</w:t>
      </w:r>
      <w:r>
        <w:rPr>
          <w:color w:val="231F20"/>
          <w:spacing w:val="-11"/>
          <w:w w:val="105"/>
        </w:rPr>
        <w:t> </w:t>
      </w:r>
      <w:r>
        <w:rPr>
          <w:color w:val="231F20"/>
          <w:w w:val="105"/>
        </w:rPr>
        <w:t>debido</w:t>
      </w:r>
      <w:r>
        <w:rPr>
          <w:color w:val="231F20"/>
          <w:spacing w:val="-11"/>
          <w:w w:val="105"/>
        </w:rPr>
        <w:t> </w:t>
      </w:r>
      <w:r>
        <w:rPr>
          <w:color w:val="231F20"/>
          <w:w w:val="105"/>
        </w:rPr>
        <w:t>a su</w:t>
      </w:r>
      <w:r>
        <w:rPr>
          <w:color w:val="231F20"/>
          <w:spacing w:val="-25"/>
          <w:w w:val="105"/>
        </w:rPr>
        <w:t> </w:t>
      </w:r>
      <w:r>
        <w:rPr>
          <w:color w:val="231F20"/>
          <w:w w:val="105"/>
        </w:rPr>
        <w:t>alta</w:t>
      </w:r>
      <w:r>
        <w:rPr>
          <w:color w:val="231F20"/>
          <w:spacing w:val="-25"/>
          <w:w w:val="105"/>
        </w:rPr>
        <w:t> </w:t>
      </w:r>
      <w:r>
        <w:rPr>
          <w:color w:val="231F20"/>
          <w:w w:val="105"/>
        </w:rPr>
        <w:t>probabilidad</w:t>
      </w:r>
      <w:r>
        <w:rPr>
          <w:color w:val="231F20"/>
          <w:spacing w:val="-25"/>
          <w:w w:val="105"/>
        </w:rPr>
        <w:t> </w:t>
      </w:r>
      <w:r>
        <w:rPr>
          <w:color w:val="231F20"/>
          <w:w w:val="105"/>
        </w:rPr>
        <w:t>de</w:t>
      </w:r>
      <w:r>
        <w:rPr>
          <w:color w:val="231F20"/>
          <w:spacing w:val="-25"/>
          <w:w w:val="105"/>
        </w:rPr>
        <w:t> </w:t>
      </w:r>
      <w:r>
        <w:rPr>
          <w:color w:val="231F20"/>
          <w:w w:val="105"/>
        </w:rPr>
        <w:t>fracaso</w:t>
      </w:r>
      <w:r>
        <w:rPr>
          <w:color w:val="231F20"/>
          <w:spacing w:val="-25"/>
          <w:w w:val="105"/>
        </w:rPr>
        <w:t> </w:t>
      </w:r>
      <w:r>
        <w:rPr>
          <w:color w:val="231F20"/>
          <w:w w:val="105"/>
        </w:rPr>
        <w:t>(Beamish</w:t>
      </w:r>
      <w:r>
        <w:rPr>
          <w:color w:val="231F20"/>
          <w:spacing w:val="-25"/>
          <w:w w:val="105"/>
        </w:rPr>
        <w:t> </w:t>
      </w:r>
      <w:r>
        <w:rPr>
          <w:color w:val="231F20"/>
          <w:w w:val="105"/>
        </w:rPr>
        <w:t>y</w:t>
      </w:r>
      <w:r>
        <w:rPr>
          <w:color w:val="231F20"/>
          <w:spacing w:val="-25"/>
          <w:w w:val="105"/>
        </w:rPr>
        <w:t> </w:t>
      </w:r>
      <w:r>
        <w:rPr>
          <w:color w:val="231F20"/>
          <w:w w:val="105"/>
        </w:rPr>
        <w:t>Lupton,</w:t>
      </w:r>
      <w:r>
        <w:rPr>
          <w:color w:val="231F20"/>
          <w:spacing w:val="-29"/>
          <w:w w:val="105"/>
        </w:rPr>
        <w:t> </w:t>
      </w:r>
      <w:r>
        <w:rPr>
          <w:color w:val="231F20"/>
          <w:w w:val="105"/>
        </w:rPr>
        <w:t>2009).</w:t>
      </w:r>
      <w:r>
        <w:rPr>
          <w:color w:val="231F20"/>
          <w:spacing w:val="-29"/>
          <w:w w:val="105"/>
        </w:rPr>
        <w:t> </w:t>
      </w:r>
      <w:r>
        <w:rPr>
          <w:color w:val="231F20"/>
          <w:w w:val="105"/>
        </w:rPr>
        <w:t>De</w:t>
      </w:r>
      <w:r>
        <w:rPr>
          <w:color w:val="231F20"/>
          <w:spacing w:val="-25"/>
          <w:w w:val="105"/>
        </w:rPr>
        <w:t> </w:t>
      </w:r>
      <w:r>
        <w:rPr>
          <w:color w:val="231F20"/>
          <w:w w:val="105"/>
        </w:rPr>
        <w:t>hecho,</w:t>
      </w:r>
      <w:r>
        <w:rPr>
          <w:color w:val="231F20"/>
          <w:spacing w:val="-29"/>
          <w:w w:val="105"/>
        </w:rPr>
        <w:t> </w:t>
      </w:r>
      <w:r>
        <w:rPr>
          <w:color w:val="231F20"/>
          <w:w w:val="105"/>
        </w:rPr>
        <w:t>este tipo</w:t>
      </w:r>
      <w:r>
        <w:rPr>
          <w:color w:val="231F20"/>
          <w:spacing w:val="-11"/>
          <w:w w:val="105"/>
        </w:rPr>
        <w:t> </w:t>
      </w:r>
      <w:r>
        <w:rPr>
          <w:color w:val="231F20"/>
          <w:w w:val="105"/>
        </w:rPr>
        <w:t>de</w:t>
      </w:r>
      <w:r>
        <w:rPr>
          <w:color w:val="231F20"/>
          <w:spacing w:val="-11"/>
          <w:w w:val="105"/>
        </w:rPr>
        <w:t> </w:t>
      </w:r>
      <w:r>
        <w:rPr>
          <w:color w:val="231F20"/>
          <w:w w:val="105"/>
        </w:rPr>
        <w:t>alianza</w:t>
      </w:r>
      <w:r>
        <w:rPr>
          <w:color w:val="231F20"/>
          <w:spacing w:val="-11"/>
          <w:w w:val="105"/>
        </w:rPr>
        <w:t> </w:t>
      </w:r>
      <w:r>
        <w:rPr>
          <w:color w:val="231F20"/>
          <w:w w:val="105"/>
        </w:rPr>
        <w:t>es</w:t>
      </w:r>
      <w:r>
        <w:rPr>
          <w:color w:val="231F20"/>
          <w:spacing w:val="-11"/>
          <w:w w:val="105"/>
        </w:rPr>
        <w:t> </w:t>
      </w:r>
      <w:r>
        <w:rPr>
          <w:color w:val="231F20"/>
          <w:w w:val="105"/>
        </w:rPr>
        <w:t>vigilado</w:t>
      </w:r>
      <w:r>
        <w:rPr>
          <w:color w:val="231F20"/>
          <w:spacing w:val="-11"/>
          <w:w w:val="105"/>
        </w:rPr>
        <w:t> </w:t>
      </w:r>
      <w:r>
        <w:rPr>
          <w:color w:val="231F20"/>
          <w:w w:val="105"/>
        </w:rPr>
        <w:t>de</w:t>
      </w:r>
      <w:r>
        <w:rPr>
          <w:color w:val="231F20"/>
          <w:spacing w:val="-11"/>
          <w:w w:val="105"/>
        </w:rPr>
        <w:t> </w:t>
      </w:r>
      <w:r>
        <w:rPr>
          <w:color w:val="231F20"/>
          <w:w w:val="105"/>
        </w:rPr>
        <w:t>cerca</w:t>
      </w:r>
      <w:r>
        <w:rPr>
          <w:color w:val="231F20"/>
          <w:spacing w:val="-11"/>
          <w:w w:val="105"/>
        </w:rPr>
        <w:t> </w:t>
      </w:r>
      <w:r>
        <w:rPr>
          <w:color w:val="231F20"/>
          <w:w w:val="105"/>
        </w:rPr>
        <w:t>por</w:t>
      </w:r>
      <w:r>
        <w:rPr>
          <w:color w:val="231F20"/>
          <w:spacing w:val="-11"/>
          <w:w w:val="105"/>
        </w:rPr>
        <w:t> </w:t>
      </w:r>
      <w:r>
        <w:rPr>
          <w:color w:val="231F20"/>
          <w:w w:val="105"/>
        </w:rPr>
        <w:t>analistas</w:t>
      </w:r>
      <w:r>
        <w:rPr>
          <w:color w:val="231F20"/>
          <w:spacing w:val="-11"/>
          <w:w w:val="105"/>
        </w:rPr>
        <w:t> </w:t>
      </w:r>
      <w:r>
        <w:rPr>
          <w:color w:val="231F20"/>
          <w:w w:val="105"/>
        </w:rPr>
        <w:t>e</w:t>
      </w:r>
      <w:r>
        <w:rPr>
          <w:color w:val="231F20"/>
          <w:spacing w:val="-11"/>
          <w:w w:val="105"/>
        </w:rPr>
        <w:t> </w:t>
      </w:r>
      <w:r>
        <w:rPr>
          <w:color w:val="231F20"/>
          <w:w w:val="105"/>
        </w:rPr>
        <w:t>inversionistas</w:t>
      </w:r>
      <w:r>
        <w:rPr>
          <w:color w:val="231F20"/>
          <w:spacing w:val="-11"/>
          <w:w w:val="105"/>
        </w:rPr>
        <w:t> </w:t>
      </w:r>
      <w:r>
        <w:rPr>
          <w:color w:val="231F20"/>
          <w:w w:val="105"/>
        </w:rPr>
        <w:t>ya</w:t>
      </w:r>
      <w:r>
        <w:rPr>
          <w:color w:val="231F20"/>
          <w:spacing w:val="-11"/>
          <w:w w:val="105"/>
        </w:rPr>
        <w:t> </w:t>
      </w:r>
      <w:r>
        <w:rPr>
          <w:color w:val="231F20"/>
          <w:w w:val="105"/>
        </w:rPr>
        <w:t>que su</w:t>
      </w:r>
      <w:r>
        <w:rPr>
          <w:color w:val="231F20"/>
          <w:spacing w:val="-9"/>
          <w:w w:val="105"/>
        </w:rPr>
        <w:t> </w:t>
      </w:r>
      <w:r>
        <w:rPr>
          <w:color w:val="231F20"/>
          <w:w w:val="105"/>
        </w:rPr>
        <w:t>impacto</w:t>
      </w:r>
      <w:r>
        <w:rPr>
          <w:color w:val="231F20"/>
          <w:spacing w:val="-9"/>
          <w:w w:val="105"/>
        </w:rPr>
        <w:t> </w:t>
      </w:r>
      <w:r>
        <w:rPr>
          <w:color w:val="231F20"/>
          <w:w w:val="105"/>
        </w:rPr>
        <w:t>potencial</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flujos</w:t>
      </w:r>
      <w:r>
        <w:rPr>
          <w:color w:val="231F20"/>
          <w:spacing w:val="-9"/>
          <w:w w:val="105"/>
        </w:rPr>
        <w:t> </w:t>
      </w:r>
      <w:r>
        <w:rPr>
          <w:color w:val="231F20"/>
          <w:w w:val="105"/>
        </w:rPr>
        <w:t>de</w:t>
      </w:r>
      <w:r>
        <w:rPr>
          <w:color w:val="231F20"/>
          <w:spacing w:val="-9"/>
          <w:w w:val="105"/>
        </w:rPr>
        <w:t> </w:t>
      </w:r>
      <w:r>
        <w:rPr>
          <w:color w:val="231F20"/>
          <w:w w:val="105"/>
        </w:rPr>
        <w:t>efectivo</w:t>
      </w:r>
      <w:r>
        <w:rPr>
          <w:color w:val="231F20"/>
          <w:spacing w:val="-9"/>
          <w:w w:val="105"/>
        </w:rPr>
        <w:t> </w:t>
      </w:r>
      <w:r>
        <w:rPr>
          <w:color w:val="231F20"/>
          <w:w w:val="105"/>
        </w:rPr>
        <w:t>futuros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organizacio- nes</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forman</w:t>
      </w:r>
      <w:r>
        <w:rPr>
          <w:color w:val="231F20"/>
          <w:spacing w:val="-5"/>
          <w:w w:val="105"/>
        </w:rPr>
        <w:t> </w:t>
      </w:r>
      <w:r>
        <w:rPr>
          <w:color w:val="231F20"/>
          <w:w w:val="105"/>
        </w:rPr>
        <w:t>se</w:t>
      </w:r>
      <w:r>
        <w:rPr>
          <w:color w:val="231F20"/>
          <w:spacing w:val="-5"/>
          <w:w w:val="105"/>
        </w:rPr>
        <w:t> </w:t>
      </w:r>
      <w:r>
        <w:rPr>
          <w:color w:val="231F20"/>
          <w:w w:val="105"/>
        </w:rPr>
        <w:t>toma</w:t>
      </w:r>
      <w:r>
        <w:rPr>
          <w:color w:val="231F20"/>
          <w:spacing w:val="-5"/>
          <w:w w:val="105"/>
        </w:rPr>
        <w:t> </w:t>
      </w:r>
      <w:r>
        <w:rPr>
          <w:color w:val="231F20"/>
          <w:w w:val="105"/>
        </w:rPr>
        <w:t>en</w:t>
      </w:r>
      <w:r>
        <w:rPr>
          <w:color w:val="231F20"/>
          <w:spacing w:val="-5"/>
          <w:w w:val="105"/>
        </w:rPr>
        <w:t> </w:t>
      </w:r>
      <w:r>
        <w:rPr>
          <w:color w:val="231F20"/>
          <w:w w:val="105"/>
        </w:rPr>
        <w:t>cuenta</w:t>
      </w:r>
      <w:r>
        <w:rPr>
          <w:color w:val="231F20"/>
          <w:spacing w:val="-5"/>
          <w:w w:val="105"/>
        </w:rPr>
        <w:t> </w:t>
      </w:r>
      <w:r>
        <w:rPr>
          <w:color w:val="231F20"/>
          <w:w w:val="105"/>
        </w:rPr>
        <w:t>para</w:t>
      </w:r>
      <w:r>
        <w:rPr>
          <w:color w:val="231F20"/>
          <w:spacing w:val="-5"/>
          <w:w w:val="105"/>
        </w:rPr>
        <w:t> </w:t>
      </w:r>
      <w:r>
        <w:rPr>
          <w:color w:val="231F20"/>
          <w:w w:val="105"/>
        </w:rPr>
        <w:t>ajustar</w:t>
      </w:r>
      <w:r>
        <w:rPr>
          <w:color w:val="231F20"/>
          <w:spacing w:val="-5"/>
          <w:w w:val="105"/>
        </w:rPr>
        <w:t> </w:t>
      </w:r>
      <w:r>
        <w:rPr>
          <w:color w:val="231F20"/>
          <w:w w:val="105"/>
        </w:rPr>
        <w:t>el</w:t>
      </w:r>
      <w:r>
        <w:rPr>
          <w:color w:val="231F20"/>
          <w:spacing w:val="-5"/>
          <w:w w:val="105"/>
        </w:rPr>
        <w:t> </w:t>
      </w:r>
      <w:r>
        <w:rPr>
          <w:color w:val="231F20"/>
          <w:w w:val="105"/>
        </w:rPr>
        <w:t>valor</w:t>
      </w:r>
      <w:r>
        <w:rPr>
          <w:color w:val="231F20"/>
          <w:spacing w:val="-5"/>
          <w:w w:val="105"/>
        </w:rPr>
        <w:t> </w:t>
      </w:r>
      <w:r>
        <w:rPr>
          <w:color w:val="231F20"/>
          <w:w w:val="105"/>
        </w:rPr>
        <w:t>presente</w:t>
      </w:r>
      <w:r>
        <w:rPr>
          <w:color w:val="231F20"/>
          <w:spacing w:val="-5"/>
          <w:w w:val="105"/>
        </w:rPr>
        <w:t> </w:t>
      </w:r>
      <w:r>
        <w:rPr>
          <w:color w:val="231F20"/>
          <w:w w:val="105"/>
        </w:rPr>
        <w:t>de sus acciones </w:t>
      </w:r>
      <w:r>
        <w:rPr>
          <w:color w:val="231F20"/>
          <w:spacing w:val="-4"/>
          <w:w w:val="105"/>
        </w:rPr>
        <w:t>y, </w:t>
      </w:r>
      <w:r>
        <w:rPr>
          <w:color w:val="231F20"/>
          <w:w w:val="105"/>
        </w:rPr>
        <w:t>por lo tanto, su valor de mercado (Cernas Ortiz y</w:t>
      </w:r>
      <w:r>
        <w:rPr>
          <w:color w:val="231F20"/>
          <w:spacing w:val="-42"/>
          <w:w w:val="105"/>
        </w:rPr>
        <w:t> </w:t>
      </w:r>
      <w:r>
        <w:rPr>
          <w:color w:val="231F20"/>
          <w:w w:val="105"/>
        </w:rPr>
        <w:t>Miles, 2014;</w:t>
      </w:r>
      <w:r>
        <w:rPr>
          <w:color w:val="231F20"/>
          <w:spacing w:val="-32"/>
          <w:w w:val="105"/>
        </w:rPr>
        <w:t> </w:t>
      </w:r>
      <w:r>
        <w:rPr>
          <w:color w:val="231F20"/>
          <w:spacing w:val="-3"/>
          <w:w w:val="105"/>
        </w:rPr>
        <w:t>Koh</w:t>
      </w:r>
      <w:r>
        <w:rPr>
          <w:color w:val="231F20"/>
          <w:spacing w:val="-32"/>
          <w:w w:val="105"/>
        </w:rPr>
        <w:t> </w:t>
      </w:r>
      <w:r>
        <w:rPr>
          <w:color w:val="231F20"/>
          <w:w w:val="105"/>
        </w:rPr>
        <w:t>y</w:t>
      </w:r>
      <w:r>
        <w:rPr>
          <w:color w:val="231F20"/>
          <w:spacing w:val="-35"/>
          <w:w w:val="105"/>
        </w:rPr>
        <w:t> </w:t>
      </w:r>
      <w:r>
        <w:rPr>
          <w:color w:val="231F20"/>
          <w:w w:val="105"/>
        </w:rPr>
        <w:t>Venkatraman,</w:t>
      </w:r>
      <w:r>
        <w:rPr>
          <w:color w:val="231F20"/>
          <w:spacing w:val="-36"/>
          <w:w w:val="105"/>
        </w:rPr>
        <w:t> </w:t>
      </w:r>
      <w:r>
        <w:rPr>
          <w:color w:val="231F20"/>
          <w:w w:val="105"/>
        </w:rPr>
        <w:t>1991;</w:t>
      </w:r>
      <w:r>
        <w:rPr>
          <w:color w:val="231F20"/>
          <w:spacing w:val="-32"/>
          <w:w w:val="105"/>
        </w:rPr>
        <w:t> </w:t>
      </w:r>
      <w:r>
        <w:rPr>
          <w:color w:val="231F20"/>
          <w:w w:val="105"/>
        </w:rPr>
        <w:t>McConnel</w:t>
      </w:r>
      <w:r>
        <w:rPr>
          <w:color w:val="231F20"/>
          <w:spacing w:val="-32"/>
          <w:w w:val="105"/>
        </w:rPr>
        <w:t> </w:t>
      </w:r>
      <w:r>
        <w:rPr>
          <w:color w:val="231F20"/>
          <w:w w:val="105"/>
        </w:rPr>
        <w:t>y</w:t>
      </w:r>
      <w:r>
        <w:rPr>
          <w:color w:val="231F20"/>
          <w:spacing w:val="-32"/>
          <w:w w:val="105"/>
        </w:rPr>
        <w:t> </w:t>
      </w:r>
      <w:r>
        <w:rPr>
          <w:color w:val="231F20"/>
          <w:w w:val="105"/>
        </w:rPr>
        <w:t>Nantel,</w:t>
      </w:r>
      <w:r>
        <w:rPr>
          <w:color w:val="231F20"/>
          <w:spacing w:val="-36"/>
          <w:w w:val="105"/>
        </w:rPr>
        <w:t> </w:t>
      </w:r>
      <w:r>
        <w:rPr>
          <w:color w:val="231F20"/>
          <w:w w:val="105"/>
        </w:rPr>
        <w:t>1985;</w:t>
      </w:r>
      <w:r>
        <w:rPr>
          <w:color w:val="231F20"/>
          <w:spacing w:val="-32"/>
          <w:w w:val="105"/>
        </w:rPr>
        <w:t> </w:t>
      </w:r>
      <w:r>
        <w:rPr>
          <w:color w:val="231F20"/>
          <w:w w:val="105"/>
        </w:rPr>
        <w:t>Swaminathan y</w:t>
      </w:r>
      <w:r>
        <w:rPr>
          <w:color w:val="231F20"/>
          <w:spacing w:val="-25"/>
          <w:w w:val="105"/>
        </w:rPr>
        <w:t> </w:t>
      </w:r>
      <w:r>
        <w:rPr>
          <w:color w:val="231F20"/>
          <w:w w:val="105"/>
        </w:rPr>
        <w:t>Moorman,</w:t>
      </w:r>
      <w:r>
        <w:rPr>
          <w:color w:val="231F20"/>
          <w:spacing w:val="-30"/>
          <w:w w:val="105"/>
        </w:rPr>
        <w:t> </w:t>
      </w:r>
      <w:r>
        <w:rPr>
          <w:color w:val="231F20"/>
          <w:w w:val="105"/>
        </w:rPr>
        <w:t>2009).</w:t>
      </w:r>
    </w:p>
    <w:p>
      <w:pPr>
        <w:pStyle w:val="BodyText"/>
        <w:spacing w:line="259" w:lineRule="auto"/>
        <w:ind w:left="103" w:right="108" w:firstLine="567"/>
        <w:jc w:val="both"/>
      </w:pPr>
      <w:r>
        <w:rPr>
          <w:color w:val="231F20"/>
        </w:rPr>
        <w:t>Las alianzas empresariales en general, y las </w:t>
      </w:r>
      <w:r>
        <w:rPr>
          <w:i/>
          <w:color w:val="231F20"/>
        </w:rPr>
        <w:t>joint venture</w:t>
      </w:r>
      <w:r>
        <w:rPr>
          <w:color w:val="231F20"/>
        </w:rPr>
        <w:t>s en par- ticular, son frecuentes en el mundo de los negocios de los países desa- rrollados. En América Latina también se observan con frecuencia. Quizá, las empresas de la región optan por unir sus fuerzas para competir con empresas extranjeras en el mundo globalizado. Parafraseando al afama- do SunTzu, en su obra El Arte de la Guerra (2008): aquella empresa que no se alía con otras tiene una posición débil y, por lo tanto, un problema grave. La empresa Mundo Dulce® es un ejemplo de </w:t>
      </w:r>
      <w:r>
        <w:rPr>
          <w:i/>
          <w:color w:val="231F20"/>
        </w:rPr>
        <w:t>joint venture </w:t>
      </w:r>
      <w:r>
        <w:rPr>
          <w:color w:val="231F20"/>
        </w:rPr>
        <w:t>latinoa- mericana formada por el grupo mexicano Bimbo® y el grupo argentino Arcor®. Mundo Dulce se formó en 2007 para manufacturar más de 150 productos en catorce líneas de producción, siendo así la tercera planta más grande de productos de confitería en México y una de las más gran- des de América Latina (Grupo Bimbo,  2007).</w:t>
      </w:r>
    </w:p>
    <w:p>
      <w:pPr>
        <w:pStyle w:val="BodyText"/>
        <w:spacing w:line="259" w:lineRule="auto"/>
        <w:ind w:left="103" w:right="114" w:firstLine="567"/>
        <w:jc w:val="both"/>
      </w:pPr>
      <w:r>
        <w:rPr>
          <w:color w:val="231F20"/>
          <w:w w:val="105"/>
        </w:rPr>
        <w:t>Al margen de su popularidad, las </w:t>
      </w:r>
      <w:r>
        <w:rPr>
          <w:i/>
          <w:color w:val="231F20"/>
          <w:w w:val="105"/>
        </w:rPr>
        <w:t>joint venture</w:t>
      </w:r>
      <w:r>
        <w:rPr>
          <w:color w:val="231F20"/>
          <w:w w:val="105"/>
        </w:rPr>
        <w:t>s son instrumentos para</w:t>
      </w:r>
      <w:r>
        <w:rPr>
          <w:color w:val="231F20"/>
          <w:spacing w:val="-14"/>
          <w:w w:val="105"/>
        </w:rPr>
        <w:t> </w:t>
      </w:r>
      <w:r>
        <w:rPr>
          <w:color w:val="231F20"/>
          <w:w w:val="105"/>
        </w:rPr>
        <w:t>la</w:t>
      </w:r>
      <w:r>
        <w:rPr>
          <w:color w:val="231F20"/>
          <w:spacing w:val="-14"/>
          <w:w w:val="105"/>
        </w:rPr>
        <w:t> </w:t>
      </w:r>
      <w:r>
        <w:rPr>
          <w:color w:val="231F20"/>
          <w:w w:val="105"/>
        </w:rPr>
        <w:t>creación</w:t>
      </w:r>
      <w:r>
        <w:rPr>
          <w:color w:val="231F20"/>
          <w:spacing w:val="-14"/>
          <w:w w:val="105"/>
        </w:rPr>
        <w:t> </w:t>
      </w:r>
      <w:r>
        <w:rPr>
          <w:color w:val="231F20"/>
          <w:w w:val="105"/>
        </w:rPr>
        <w:t>de</w:t>
      </w:r>
      <w:r>
        <w:rPr>
          <w:color w:val="231F20"/>
          <w:spacing w:val="-14"/>
          <w:w w:val="105"/>
        </w:rPr>
        <w:t> </w:t>
      </w:r>
      <w:r>
        <w:rPr>
          <w:color w:val="231F20"/>
          <w:w w:val="105"/>
        </w:rPr>
        <w:t>valor</w:t>
      </w:r>
      <w:r>
        <w:rPr>
          <w:color w:val="231F20"/>
          <w:spacing w:val="-14"/>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habilitan</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empresas</w:t>
      </w:r>
      <w:r>
        <w:rPr>
          <w:color w:val="231F20"/>
          <w:spacing w:val="-14"/>
          <w:w w:val="105"/>
        </w:rPr>
        <w:t> </w:t>
      </w:r>
      <w:r>
        <w:rPr>
          <w:color w:val="231F20"/>
          <w:w w:val="105"/>
        </w:rPr>
        <w:t>participantes</w:t>
      </w:r>
      <w:r>
        <w:rPr>
          <w:color w:val="231F20"/>
          <w:spacing w:val="-14"/>
          <w:w w:val="105"/>
        </w:rPr>
        <w:t> </w:t>
      </w:r>
      <w:r>
        <w:rPr>
          <w:color w:val="231F20"/>
          <w:w w:val="105"/>
        </w:rPr>
        <w:t>a combinar</w:t>
      </w:r>
      <w:r>
        <w:rPr>
          <w:color w:val="231F20"/>
          <w:spacing w:val="-14"/>
          <w:w w:val="105"/>
        </w:rPr>
        <w:t> </w:t>
      </w:r>
      <w:r>
        <w:rPr>
          <w:color w:val="231F20"/>
          <w:w w:val="105"/>
        </w:rPr>
        <w:t>sus</w:t>
      </w:r>
      <w:r>
        <w:rPr>
          <w:color w:val="231F20"/>
          <w:spacing w:val="-14"/>
          <w:w w:val="105"/>
        </w:rPr>
        <w:t> </w:t>
      </w:r>
      <w:r>
        <w:rPr>
          <w:color w:val="231F20"/>
          <w:w w:val="105"/>
        </w:rPr>
        <w:t>recursos</w:t>
      </w:r>
      <w:r>
        <w:rPr>
          <w:color w:val="231F20"/>
          <w:spacing w:val="-14"/>
          <w:w w:val="105"/>
        </w:rPr>
        <w:t> </w:t>
      </w:r>
      <w:r>
        <w:rPr>
          <w:color w:val="231F20"/>
          <w:w w:val="105"/>
        </w:rPr>
        <w:t>y</w:t>
      </w:r>
      <w:r>
        <w:rPr>
          <w:color w:val="231F20"/>
          <w:spacing w:val="-14"/>
          <w:w w:val="105"/>
        </w:rPr>
        <w:t> </w:t>
      </w:r>
      <w:r>
        <w:rPr>
          <w:color w:val="231F20"/>
          <w:w w:val="105"/>
        </w:rPr>
        <w:t>a</w:t>
      </w:r>
      <w:r>
        <w:rPr>
          <w:color w:val="231F20"/>
          <w:spacing w:val="-14"/>
          <w:w w:val="105"/>
        </w:rPr>
        <w:t> </w:t>
      </w:r>
      <w:r>
        <w:rPr>
          <w:color w:val="231F20"/>
          <w:w w:val="105"/>
        </w:rPr>
        <w:t>explotarlos</w:t>
      </w:r>
      <w:r>
        <w:rPr>
          <w:color w:val="231F20"/>
          <w:spacing w:val="-14"/>
          <w:w w:val="105"/>
        </w:rPr>
        <w:t> </w:t>
      </w:r>
      <w:r>
        <w:rPr>
          <w:color w:val="231F20"/>
          <w:w w:val="105"/>
        </w:rPr>
        <w:t>más</w:t>
      </w:r>
      <w:r>
        <w:rPr>
          <w:color w:val="231F20"/>
          <w:spacing w:val="-14"/>
          <w:w w:val="105"/>
        </w:rPr>
        <w:t> </w:t>
      </w:r>
      <w:r>
        <w:rPr>
          <w:color w:val="231F20"/>
          <w:w w:val="105"/>
        </w:rPr>
        <w:t>ampliamente</w:t>
      </w:r>
      <w:r>
        <w:rPr>
          <w:color w:val="231F20"/>
          <w:spacing w:val="-14"/>
          <w:w w:val="105"/>
        </w:rPr>
        <w:t> </w:t>
      </w:r>
      <w:r>
        <w:rPr>
          <w:color w:val="231F20"/>
          <w:w w:val="105"/>
        </w:rPr>
        <w:t>que</w:t>
      </w:r>
      <w:r>
        <w:rPr>
          <w:color w:val="231F20"/>
          <w:spacing w:val="-14"/>
          <w:w w:val="105"/>
        </w:rPr>
        <w:t> </w:t>
      </w:r>
      <w:r>
        <w:rPr>
          <w:color w:val="231F20"/>
          <w:w w:val="105"/>
        </w:rPr>
        <w:t>si</w:t>
      </w:r>
      <w:r>
        <w:rPr>
          <w:color w:val="231F20"/>
          <w:spacing w:val="-14"/>
          <w:w w:val="105"/>
        </w:rPr>
        <w:t> </w:t>
      </w:r>
      <w:r>
        <w:rPr>
          <w:color w:val="231F20"/>
          <w:w w:val="105"/>
        </w:rPr>
        <w:t>los</w:t>
      </w:r>
      <w:r>
        <w:rPr>
          <w:color w:val="231F20"/>
          <w:spacing w:val="-14"/>
          <w:w w:val="105"/>
        </w:rPr>
        <w:t> </w:t>
      </w:r>
      <w:r>
        <w:rPr>
          <w:color w:val="231F20"/>
          <w:w w:val="105"/>
        </w:rPr>
        <w:t>man- tuvieran separados fuera de la colaboración (Beamish y Lupton, 2009; Fernández</w:t>
      </w:r>
      <w:r>
        <w:rPr>
          <w:color w:val="231F20"/>
          <w:spacing w:val="-31"/>
          <w:w w:val="105"/>
        </w:rPr>
        <w:t> </w:t>
      </w:r>
      <w:r>
        <w:rPr>
          <w:color w:val="231F20"/>
          <w:w w:val="105"/>
        </w:rPr>
        <w:t>Alles</w:t>
      </w:r>
      <w:r>
        <w:rPr>
          <w:color w:val="231F20"/>
          <w:spacing w:val="-28"/>
          <w:w w:val="105"/>
        </w:rPr>
        <w:t> </w:t>
      </w:r>
      <w:r>
        <w:rPr>
          <w:color w:val="231F20"/>
          <w:w w:val="105"/>
        </w:rPr>
        <w:t>y</w:t>
      </w:r>
      <w:r>
        <w:rPr>
          <w:color w:val="231F20"/>
          <w:spacing w:val="-28"/>
          <w:w w:val="105"/>
        </w:rPr>
        <w:t> </w:t>
      </w:r>
      <w:r>
        <w:rPr>
          <w:color w:val="231F20"/>
          <w:w w:val="105"/>
        </w:rPr>
        <w:t>Camelo</w:t>
      </w:r>
      <w:r>
        <w:rPr>
          <w:color w:val="231F20"/>
          <w:spacing w:val="-28"/>
          <w:w w:val="105"/>
        </w:rPr>
        <w:t> </w:t>
      </w:r>
      <w:r>
        <w:rPr>
          <w:color w:val="231F20"/>
          <w:w w:val="105"/>
        </w:rPr>
        <w:t>Ordáz,</w:t>
      </w:r>
      <w:r>
        <w:rPr>
          <w:color w:val="231F20"/>
          <w:spacing w:val="-33"/>
          <w:w w:val="105"/>
        </w:rPr>
        <w:t> </w:t>
      </w:r>
      <w:r>
        <w:rPr>
          <w:color w:val="231F20"/>
          <w:w w:val="105"/>
        </w:rPr>
        <w:t>2014).</w:t>
      </w:r>
      <w:r>
        <w:rPr>
          <w:color w:val="231F20"/>
          <w:spacing w:val="-33"/>
          <w:w w:val="105"/>
        </w:rPr>
        <w:t> </w:t>
      </w:r>
      <w:r>
        <w:rPr>
          <w:color w:val="231F20"/>
          <w:w w:val="105"/>
        </w:rPr>
        <w:t>Sin</w:t>
      </w:r>
      <w:r>
        <w:rPr>
          <w:color w:val="231F20"/>
          <w:spacing w:val="-28"/>
          <w:w w:val="105"/>
        </w:rPr>
        <w:t> </w:t>
      </w:r>
      <w:r>
        <w:rPr>
          <w:color w:val="231F20"/>
          <w:w w:val="105"/>
        </w:rPr>
        <w:t>embargo,</w:t>
      </w:r>
      <w:r>
        <w:rPr>
          <w:color w:val="231F20"/>
          <w:spacing w:val="-33"/>
          <w:w w:val="105"/>
        </w:rPr>
        <w:t> </w:t>
      </w:r>
      <w:r>
        <w:rPr>
          <w:color w:val="231F20"/>
          <w:w w:val="105"/>
        </w:rPr>
        <w:t>los</w:t>
      </w:r>
      <w:r>
        <w:rPr>
          <w:color w:val="231F20"/>
          <w:spacing w:val="-28"/>
          <w:w w:val="105"/>
        </w:rPr>
        <w:t> </w:t>
      </w:r>
      <w:r>
        <w:rPr>
          <w:color w:val="231F20"/>
          <w:w w:val="105"/>
        </w:rPr>
        <w:t>posibles</w:t>
      </w:r>
      <w:r>
        <w:rPr>
          <w:color w:val="231F20"/>
          <w:spacing w:val="-28"/>
          <w:w w:val="105"/>
        </w:rPr>
        <w:t> </w:t>
      </w:r>
      <w:r>
        <w:rPr>
          <w:color w:val="231F20"/>
          <w:w w:val="105"/>
        </w:rPr>
        <w:t>bene- ficios</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tipo</w:t>
      </w:r>
      <w:r>
        <w:rPr>
          <w:color w:val="231F20"/>
          <w:spacing w:val="-16"/>
          <w:w w:val="105"/>
        </w:rPr>
        <w:t> </w:t>
      </w:r>
      <w:r>
        <w:rPr>
          <w:color w:val="231F20"/>
          <w:w w:val="105"/>
        </w:rPr>
        <w:t>de</w:t>
      </w:r>
      <w:r>
        <w:rPr>
          <w:color w:val="231F20"/>
          <w:spacing w:val="-16"/>
          <w:w w:val="105"/>
        </w:rPr>
        <w:t> </w:t>
      </w:r>
      <w:r>
        <w:rPr>
          <w:color w:val="231F20"/>
          <w:w w:val="105"/>
        </w:rPr>
        <w:t>alianza</w:t>
      </w:r>
      <w:r>
        <w:rPr>
          <w:color w:val="231F20"/>
          <w:spacing w:val="-16"/>
          <w:w w:val="105"/>
        </w:rPr>
        <w:t> </w:t>
      </w:r>
      <w:r>
        <w:rPr>
          <w:color w:val="231F20"/>
          <w:w w:val="105"/>
        </w:rPr>
        <w:t>difieren</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potencial</w:t>
      </w:r>
      <w:r>
        <w:rPr>
          <w:color w:val="231F20"/>
          <w:spacing w:val="-16"/>
          <w:w w:val="105"/>
        </w:rPr>
        <w:t> </w:t>
      </w:r>
      <w:r>
        <w:rPr>
          <w:color w:val="231F20"/>
          <w:w w:val="105"/>
        </w:rPr>
        <w:t>para</w:t>
      </w:r>
      <w:r>
        <w:rPr>
          <w:color w:val="231F20"/>
          <w:spacing w:val="-16"/>
          <w:w w:val="105"/>
        </w:rPr>
        <w:t> </w:t>
      </w:r>
      <w:r>
        <w:rPr>
          <w:color w:val="231F20"/>
          <w:w w:val="105"/>
        </w:rPr>
        <w:t>para</w:t>
      </w:r>
      <w:r>
        <w:rPr>
          <w:color w:val="231F20"/>
          <w:spacing w:val="-16"/>
          <w:w w:val="105"/>
        </w:rPr>
        <w:t> </w:t>
      </w:r>
      <w:r>
        <w:rPr>
          <w:color w:val="231F20"/>
          <w:w w:val="105"/>
        </w:rPr>
        <w:t>aumentar (o</w:t>
      </w:r>
      <w:r>
        <w:rPr>
          <w:color w:val="231F20"/>
          <w:spacing w:val="-8"/>
          <w:w w:val="105"/>
        </w:rPr>
        <w:t> </w:t>
      </w:r>
      <w:r>
        <w:rPr>
          <w:color w:val="231F20"/>
          <w:w w:val="105"/>
        </w:rPr>
        <w:t>disminuir)</w:t>
      </w:r>
      <w:r>
        <w:rPr>
          <w:color w:val="231F20"/>
          <w:spacing w:val="-8"/>
          <w:w w:val="105"/>
        </w:rPr>
        <w:t> </w:t>
      </w:r>
      <w:r>
        <w:rPr>
          <w:color w:val="231F20"/>
          <w:w w:val="105"/>
        </w:rPr>
        <w:t>el</w:t>
      </w:r>
      <w:r>
        <w:rPr>
          <w:color w:val="231F20"/>
          <w:spacing w:val="-8"/>
          <w:w w:val="105"/>
        </w:rPr>
        <w:t> </w:t>
      </w:r>
      <w:r>
        <w:rPr>
          <w:color w:val="231F20"/>
          <w:w w:val="105"/>
        </w:rPr>
        <w:t>valor</w:t>
      </w:r>
      <w:r>
        <w:rPr>
          <w:color w:val="231F20"/>
          <w:spacing w:val="-8"/>
          <w:w w:val="105"/>
        </w:rPr>
        <w:t> </w:t>
      </w:r>
      <w:r>
        <w:rPr>
          <w:color w:val="231F20"/>
          <w:w w:val="105"/>
        </w:rPr>
        <w:t>empresarial</w:t>
      </w:r>
      <w:r>
        <w:rPr>
          <w:color w:val="231F20"/>
          <w:spacing w:val="-8"/>
          <w:w w:val="105"/>
        </w:rPr>
        <w:t> </w:t>
      </w:r>
      <w:r>
        <w:rPr>
          <w:color w:val="231F20"/>
          <w:w w:val="105"/>
        </w:rPr>
        <w:t>dependiendo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específi- cos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compartan</w:t>
      </w:r>
      <w:r>
        <w:rPr>
          <w:color w:val="231F20"/>
          <w:spacing w:val="-19"/>
          <w:w w:val="105"/>
        </w:rPr>
        <w:t> </w:t>
      </w:r>
      <w:r>
        <w:rPr>
          <w:color w:val="231F20"/>
          <w:w w:val="105"/>
        </w:rPr>
        <w:t>en</w:t>
      </w:r>
      <w:r>
        <w:rPr>
          <w:color w:val="231F20"/>
          <w:spacing w:val="-19"/>
          <w:w w:val="105"/>
        </w:rPr>
        <w:t> </w:t>
      </w:r>
      <w:r>
        <w:rPr>
          <w:color w:val="231F20"/>
          <w:w w:val="105"/>
        </w:rPr>
        <w:t>ella.</w:t>
      </w:r>
    </w:p>
    <w:p>
      <w:pPr>
        <w:pStyle w:val="BodyText"/>
        <w:spacing w:line="259" w:lineRule="auto"/>
        <w:ind w:left="104" w:right="108" w:firstLine="566"/>
        <w:jc w:val="both"/>
      </w:pPr>
      <w:r>
        <w:rPr>
          <w:color w:val="231F20"/>
          <w:w w:val="105"/>
        </w:rPr>
        <w:t>Está documentado que </w:t>
      </w:r>
      <w:r>
        <w:rPr>
          <w:i/>
          <w:color w:val="231F20"/>
          <w:w w:val="105"/>
        </w:rPr>
        <w:t>joint venture</w:t>
      </w:r>
      <w:r>
        <w:rPr>
          <w:color w:val="231F20"/>
          <w:w w:val="105"/>
        </w:rPr>
        <w:t>s de diferentes tipos afectan de forma distinta los indicadores clave del desempeño empresarial. La adquisición</w:t>
      </w:r>
      <w:r>
        <w:rPr>
          <w:color w:val="231F20"/>
          <w:spacing w:val="-22"/>
          <w:w w:val="105"/>
        </w:rPr>
        <w:t> </w:t>
      </w:r>
      <w:r>
        <w:rPr>
          <w:color w:val="231F20"/>
          <w:w w:val="105"/>
        </w:rPr>
        <w:t>de</w:t>
      </w:r>
      <w:r>
        <w:rPr>
          <w:color w:val="231F20"/>
          <w:spacing w:val="-22"/>
          <w:w w:val="105"/>
        </w:rPr>
        <w:t> </w:t>
      </w:r>
      <w:r>
        <w:rPr>
          <w:color w:val="231F20"/>
          <w:w w:val="105"/>
        </w:rPr>
        <w:t>nuevos</w:t>
      </w:r>
      <w:r>
        <w:rPr>
          <w:color w:val="231F20"/>
          <w:spacing w:val="-22"/>
          <w:w w:val="105"/>
        </w:rPr>
        <w:t> </w:t>
      </w:r>
      <w:r>
        <w:rPr>
          <w:color w:val="231F20"/>
          <w:w w:val="105"/>
        </w:rPr>
        <w:t>conocimientos</w:t>
      </w:r>
      <w:r>
        <w:rPr>
          <w:color w:val="231F20"/>
          <w:spacing w:val="-22"/>
          <w:w w:val="105"/>
        </w:rPr>
        <w:t> </w:t>
      </w:r>
      <w:r>
        <w:rPr>
          <w:color w:val="231F20"/>
          <w:w w:val="105"/>
        </w:rPr>
        <w:t>útiles</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empresas</w:t>
      </w:r>
      <w:r>
        <w:rPr>
          <w:color w:val="231F20"/>
          <w:spacing w:val="-22"/>
          <w:w w:val="105"/>
        </w:rPr>
        <w:t> </w:t>
      </w:r>
      <w:r>
        <w:rPr>
          <w:color w:val="231F20"/>
          <w:w w:val="105"/>
        </w:rPr>
        <w:t>involucradas en</w:t>
      </w:r>
      <w:r>
        <w:rPr>
          <w:color w:val="231F20"/>
          <w:spacing w:val="-10"/>
          <w:w w:val="105"/>
        </w:rPr>
        <w:t> </w:t>
      </w:r>
      <w:r>
        <w:rPr>
          <w:color w:val="231F20"/>
          <w:w w:val="105"/>
        </w:rPr>
        <w:t>la</w:t>
      </w:r>
      <w:r>
        <w:rPr>
          <w:color w:val="231F20"/>
          <w:spacing w:val="-10"/>
          <w:w w:val="105"/>
        </w:rPr>
        <w:t> </w:t>
      </w:r>
      <w:r>
        <w:rPr>
          <w:color w:val="231F20"/>
          <w:w w:val="105"/>
        </w:rPr>
        <w:t>alianza,</w:t>
      </w:r>
      <w:r>
        <w:rPr>
          <w:color w:val="231F20"/>
          <w:spacing w:val="-15"/>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reacción</w:t>
      </w:r>
      <w:r>
        <w:rPr>
          <w:color w:val="231F20"/>
          <w:spacing w:val="-10"/>
          <w:w w:val="105"/>
        </w:rPr>
        <w:t> </w:t>
      </w:r>
      <w:r>
        <w:rPr>
          <w:color w:val="231F20"/>
          <w:w w:val="105"/>
        </w:rPr>
        <w:t>del</w:t>
      </w:r>
      <w:r>
        <w:rPr>
          <w:color w:val="231F20"/>
          <w:spacing w:val="-10"/>
          <w:w w:val="105"/>
        </w:rPr>
        <w:t> </w:t>
      </w:r>
      <w:r>
        <w:rPr>
          <w:color w:val="231F20"/>
          <w:w w:val="105"/>
        </w:rPr>
        <w:t>mercado</w:t>
      </w:r>
      <w:r>
        <w:rPr>
          <w:color w:val="231F20"/>
          <w:spacing w:val="-10"/>
          <w:w w:val="105"/>
        </w:rPr>
        <w:t> </w:t>
      </w:r>
      <w:r>
        <w:rPr>
          <w:color w:val="231F20"/>
          <w:w w:val="105"/>
        </w:rPr>
        <w:t>de</w:t>
      </w:r>
      <w:r>
        <w:rPr>
          <w:color w:val="231F20"/>
          <w:spacing w:val="-10"/>
          <w:w w:val="105"/>
        </w:rPr>
        <w:t> </w:t>
      </w:r>
      <w:r>
        <w:rPr>
          <w:color w:val="231F20"/>
          <w:w w:val="105"/>
        </w:rPr>
        <w:t>valores</w:t>
      </w:r>
      <w:r>
        <w:rPr>
          <w:color w:val="231F20"/>
          <w:spacing w:val="-10"/>
          <w:w w:val="105"/>
        </w:rPr>
        <w:t> </w:t>
      </w:r>
      <w:r>
        <w:rPr>
          <w:color w:val="231F20"/>
          <w:w w:val="105"/>
        </w:rPr>
        <w:t>a</w:t>
      </w:r>
      <w:r>
        <w:rPr>
          <w:color w:val="231F20"/>
          <w:spacing w:val="-10"/>
          <w:w w:val="105"/>
        </w:rPr>
        <w:t> </w:t>
      </w:r>
      <w:r>
        <w:rPr>
          <w:color w:val="231F20"/>
          <w:w w:val="105"/>
        </w:rPr>
        <w:t>su</w:t>
      </w:r>
      <w:r>
        <w:rPr>
          <w:color w:val="231F20"/>
          <w:spacing w:val="-10"/>
          <w:w w:val="105"/>
        </w:rPr>
        <w:t> </w:t>
      </w:r>
      <w:r>
        <w:rPr>
          <w:color w:val="231F20"/>
          <w:w w:val="105"/>
        </w:rPr>
        <w:t>anuncio están</w:t>
      </w:r>
      <w:r>
        <w:rPr>
          <w:color w:val="231F20"/>
          <w:spacing w:val="-36"/>
          <w:w w:val="105"/>
        </w:rPr>
        <w:t> </w:t>
      </w:r>
      <w:r>
        <w:rPr>
          <w:color w:val="231F20"/>
          <w:w w:val="105"/>
        </w:rPr>
        <w:t>entre</w:t>
      </w:r>
      <w:r>
        <w:rPr>
          <w:color w:val="231F20"/>
          <w:spacing w:val="-36"/>
          <w:w w:val="105"/>
        </w:rPr>
        <w:t> </w:t>
      </w:r>
      <w:r>
        <w:rPr>
          <w:color w:val="231F20"/>
          <w:w w:val="105"/>
        </w:rPr>
        <w:t>tales</w:t>
      </w:r>
      <w:r>
        <w:rPr>
          <w:color w:val="231F20"/>
          <w:spacing w:val="-36"/>
          <w:w w:val="105"/>
        </w:rPr>
        <w:t> </w:t>
      </w:r>
      <w:r>
        <w:rPr>
          <w:color w:val="231F20"/>
          <w:w w:val="105"/>
        </w:rPr>
        <w:t>métricas</w:t>
      </w:r>
      <w:r>
        <w:rPr>
          <w:color w:val="231F20"/>
          <w:spacing w:val="-36"/>
          <w:w w:val="105"/>
        </w:rPr>
        <w:t> </w:t>
      </w:r>
      <w:r>
        <w:rPr>
          <w:color w:val="231F20"/>
          <w:w w:val="105"/>
        </w:rPr>
        <w:t>de</w:t>
      </w:r>
      <w:r>
        <w:rPr>
          <w:color w:val="231F20"/>
          <w:spacing w:val="-36"/>
          <w:w w:val="105"/>
        </w:rPr>
        <w:t> </w:t>
      </w:r>
      <w:r>
        <w:rPr>
          <w:color w:val="231F20"/>
          <w:w w:val="105"/>
        </w:rPr>
        <w:t>desempeño</w:t>
      </w:r>
      <w:r>
        <w:rPr>
          <w:color w:val="231F20"/>
          <w:spacing w:val="-36"/>
          <w:w w:val="105"/>
        </w:rPr>
        <w:t> </w:t>
      </w:r>
      <w:r>
        <w:rPr>
          <w:color w:val="231F20"/>
          <w:w w:val="105"/>
        </w:rPr>
        <w:t>(Ribeiro</w:t>
      </w:r>
      <w:r>
        <w:rPr>
          <w:color w:val="231F20"/>
          <w:spacing w:val="-36"/>
          <w:w w:val="105"/>
        </w:rPr>
        <w:t> </w:t>
      </w:r>
      <w:r>
        <w:rPr>
          <w:color w:val="231F20"/>
          <w:w w:val="105"/>
        </w:rPr>
        <w:t>Soriano,</w:t>
      </w:r>
      <w:r>
        <w:rPr>
          <w:color w:val="231F20"/>
          <w:spacing w:val="-39"/>
          <w:w w:val="105"/>
        </w:rPr>
        <w:t> </w:t>
      </w:r>
      <w:r>
        <w:rPr>
          <w:color w:val="231F20"/>
          <w:w w:val="105"/>
        </w:rPr>
        <w:t>Benavides</w:t>
      </w:r>
      <w:r>
        <w:rPr>
          <w:color w:val="231F20"/>
          <w:spacing w:val="-36"/>
          <w:w w:val="105"/>
        </w:rPr>
        <w:t> </w:t>
      </w:r>
      <w:r>
        <w:rPr>
          <w:color w:val="231F20"/>
          <w:w w:val="105"/>
        </w:rPr>
        <w:t>Es- pinoza</w:t>
      </w:r>
      <w:r>
        <w:rPr>
          <w:color w:val="231F20"/>
          <w:spacing w:val="-19"/>
          <w:w w:val="105"/>
        </w:rPr>
        <w:t> </w:t>
      </w:r>
      <w:r>
        <w:rPr>
          <w:color w:val="231F20"/>
          <w:w w:val="105"/>
        </w:rPr>
        <w:t>y</w:t>
      </w:r>
      <w:r>
        <w:rPr>
          <w:color w:val="231F20"/>
          <w:spacing w:val="-19"/>
          <w:w w:val="105"/>
        </w:rPr>
        <w:t> </w:t>
      </w:r>
      <w:r>
        <w:rPr>
          <w:color w:val="231F20"/>
          <w:w w:val="105"/>
        </w:rPr>
        <w:t>Mohedano</w:t>
      </w:r>
      <w:r>
        <w:rPr>
          <w:color w:val="231F20"/>
          <w:spacing w:val="-19"/>
          <w:w w:val="105"/>
        </w:rPr>
        <w:t> </w:t>
      </w:r>
      <w:r>
        <w:rPr>
          <w:color w:val="231F20"/>
          <w:w w:val="105"/>
        </w:rPr>
        <w:t>Suanes,</w:t>
      </w:r>
      <w:r>
        <w:rPr>
          <w:color w:val="231F20"/>
          <w:spacing w:val="-23"/>
          <w:w w:val="105"/>
        </w:rPr>
        <w:t> </w:t>
      </w:r>
      <w:r>
        <w:rPr>
          <w:color w:val="231F20"/>
          <w:w w:val="105"/>
        </w:rPr>
        <w:t>2013).</w:t>
      </w:r>
      <w:r>
        <w:rPr>
          <w:color w:val="231F20"/>
          <w:spacing w:val="-26"/>
          <w:w w:val="105"/>
        </w:rPr>
        <w:t> </w:t>
      </w:r>
      <w:r>
        <w:rPr>
          <w:color w:val="231F20"/>
          <w:w w:val="105"/>
        </w:rPr>
        <w:t>Al</w:t>
      </w:r>
      <w:r>
        <w:rPr>
          <w:color w:val="231F20"/>
          <w:spacing w:val="-19"/>
          <w:w w:val="105"/>
        </w:rPr>
        <w:t> </w:t>
      </w:r>
      <w:r>
        <w:rPr>
          <w:color w:val="231F20"/>
          <w:w w:val="105"/>
        </w:rPr>
        <w:t>día</w:t>
      </w:r>
      <w:r>
        <w:rPr>
          <w:color w:val="231F20"/>
          <w:spacing w:val="-19"/>
          <w:w w:val="105"/>
        </w:rPr>
        <w:t> </w:t>
      </w:r>
      <w:r>
        <w:rPr>
          <w:color w:val="231F20"/>
          <w:w w:val="105"/>
        </w:rPr>
        <w:t>de</w:t>
      </w:r>
      <w:r>
        <w:rPr>
          <w:color w:val="231F20"/>
          <w:spacing w:val="-19"/>
          <w:w w:val="105"/>
        </w:rPr>
        <w:t> </w:t>
      </w:r>
      <w:r>
        <w:rPr>
          <w:color w:val="231F20"/>
          <w:w w:val="105"/>
        </w:rPr>
        <w:t>hoy,</w:t>
      </w:r>
      <w:r>
        <w:rPr>
          <w:color w:val="231F20"/>
          <w:spacing w:val="-23"/>
          <w:w w:val="105"/>
        </w:rPr>
        <w:t> </w:t>
      </w:r>
      <w:r>
        <w:rPr>
          <w:color w:val="231F20"/>
          <w:w w:val="105"/>
        </w:rPr>
        <w:t>la</w:t>
      </w:r>
      <w:r>
        <w:rPr>
          <w:color w:val="231F20"/>
          <w:spacing w:val="-19"/>
          <w:w w:val="105"/>
        </w:rPr>
        <w:t> </w:t>
      </w:r>
      <w:r>
        <w:rPr>
          <w:color w:val="231F20"/>
          <w:w w:val="105"/>
        </w:rPr>
        <w:t>investigación</w:t>
      </w:r>
      <w:r>
        <w:rPr>
          <w:color w:val="231F20"/>
          <w:spacing w:val="-19"/>
          <w:w w:val="105"/>
        </w:rPr>
        <w:t> </w:t>
      </w:r>
      <w:r>
        <w:rPr>
          <w:color w:val="231F20"/>
          <w:w w:val="105"/>
        </w:rPr>
        <w:t>en</w:t>
      </w:r>
      <w:r>
        <w:rPr>
          <w:color w:val="231F20"/>
          <w:spacing w:val="-19"/>
          <w:w w:val="105"/>
        </w:rPr>
        <w:t> </w:t>
      </w:r>
      <w:r>
        <w:rPr>
          <w:color w:val="231F20"/>
          <w:w w:val="105"/>
        </w:rPr>
        <w:t>ad- ministración</w:t>
      </w:r>
      <w:r>
        <w:rPr>
          <w:color w:val="231F20"/>
          <w:spacing w:val="-38"/>
          <w:w w:val="105"/>
        </w:rPr>
        <w:t> </w:t>
      </w:r>
      <w:r>
        <w:rPr>
          <w:color w:val="231F20"/>
          <w:w w:val="105"/>
        </w:rPr>
        <w:t>estratégica</w:t>
      </w:r>
      <w:r>
        <w:rPr>
          <w:color w:val="231F20"/>
          <w:spacing w:val="-38"/>
          <w:w w:val="105"/>
        </w:rPr>
        <w:t> </w:t>
      </w:r>
      <w:r>
        <w:rPr>
          <w:color w:val="231F20"/>
          <w:w w:val="105"/>
        </w:rPr>
        <w:t>indica</w:t>
      </w:r>
      <w:r>
        <w:rPr>
          <w:color w:val="231F20"/>
          <w:spacing w:val="-38"/>
          <w:w w:val="105"/>
        </w:rPr>
        <w:t> </w:t>
      </w:r>
      <w:r>
        <w:rPr>
          <w:color w:val="231F20"/>
          <w:w w:val="105"/>
        </w:rPr>
        <w:t>que</w:t>
      </w:r>
      <w:r>
        <w:rPr>
          <w:color w:val="231F20"/>
          <w:spacing w:val="-38"/>
          <w:w w:val="105"/>
        </w:rPr>
        <w:t> </w:t>
      </w:r>
      <w:r>
        <w:rPr>
          <w:color w:val="231F20"/>
          <w:w w:val="105"/>
        </w:rPr>
        <w:t>las</w:t>
      </w:r>
      <w:r>
        <w:rPr>
          <w:color w:val="231F20"/>
          <w:spacing w:val="-38"/>
          <w:w w:val="105"/>
        </w:rPr>
        <w:t> </w:t>
      </w:r>
      <w:r>
        <w:rPr>
          <w:color w:val="231F20"/>
          <w:w w:val="105"/>
        </w:rPr>
        <w:t>alianzas</w:t>
      </w:r>
      <w:r>
        <w:rPr>
          <w:color w:val="231F20"/>
          <w:spacing w:val="-38"/>
          <w:w w:val="105"/>
        </w:rPr>
        <w:t> </w:t>
      </w:r>
      <w:r>
        <w:rPr>
          <w:color w:val="231F20"/>
          <w:w w:val="105"/>
        </w:rPr>
        <w:t>de</w:t>
      </w:r>
      <w:r>
        <w:rPr>
          <w:color w:val="231F20"/>
          <w:spacing w:val="-38"/>
          <w:w w:val="105"/>
        </w:rPr>
        <w:t> </w:t>
      </w:r>
      <w:r>
        <w:rPr>
          <w:color w:val="231F20"/>
          <w:w w:val="105"/>
        </w:rPr>
        <w:t>escala,</w:t>
      </w:r>
      <w:r>
        <w:rPr>
          <w:color w:val="231F20"/>
          <w:spacing w:val="-41"/>
          <w:w w:val="105"/>
        </w:rPr>
        <w:t> </w:t>
      </w:r>
      <w:r>
        <w:rPr>
          <w:color w:val="231F20"/>
          <w:w w:val="105"/>
        </w:rPr>
        <w:t>las</w:t>
      </w:r>
      <w:r>
        <w:rPr>
          <w:color w:val="231F20"/>
          <w:spacing w:val="-38"/>
          <w:w w:val="105"/>
        </w:rPr>
        <w:t> </w:t>
      </w:r>
      <w:r>
        <w:rPr>
          <w:color w:val="231F20"/>
          <w:w w:val="105"/>
        </w:rPr>
        <w:t>horizontales y las integradoras producen efectos menos positivos que las</w:t>
      </w:r>
      <w:r>
        <w:rPr>
          <w:color w:val="231F20"/>
          <w:spacing w:val="-40"/>
          <w:w w:val="105"/>
        </w:rPr>
        <w:t> </w:t>
      </w:r>
      <w:r>
        <w:rPr>
          <w:color w:val="231F20"/>
          <w:w w:val="105"/>
        </w:rPr>
        <w:t>verticales, las</w:t>
      </w:r>
      <w:r>
        <w:rPr>
          <w:color w:val="231F20"/>
          <w:spacing w:val="-37"/>
          <w:w w:val="105"/>
        </w:rPr>
        <w:t> </w:t>
      </w:r>
      <w:r>
        <w:rPr>
          <w:color w:val="231F20"/>
          <w:w w:val="105"/>
        </w:rPr>
        <w:t>secuenciales</w:t>
      </w:r>
      <w:r>
        <w:rPr>
          <w:color w:val="231F20"/>
          <w:spacing w:val="-37"/>
          <w:w w:val="105"/>
        </w:rPr>
        <w:t> </w:t>
      </w:r>
      <w:r>
        <w:rPr>
          <w:color w:val="231F20"/>
          <w:w w:val="105"/>
        </w:rPr>
        <w:t>y</w:t>
      </w:r>
      <w:r>
        <w:rPr>
          <w:color w:val="231F20"/>
          <w:spacing w:val="-37"/>
          <w:w w:val="105"/>
        </w:rPr>
        <w:t> </w:t>
      </w:r>
      <w:r>
        <w:rPr>
          <w:color w:val="231F20"/>
          <w:w w:val="105"/>
        </w:rPr>
        <w:t>las</w:t>
      </w:r>
      <w:r>
        <w:rPr>
          <w:color w:val="231F20"/>
          <w:spacing w:val="-37"/>
          <w:w w:val="105"/>
        </w:rPr>
        <w:t> </w:t>
      </w:r>
      <w:r>
        <w:rPr>
          <w:color w:val="231F20"/>
          <w:w w:val="105"/>
        </w:rPr>
        <w:t>de</w:t>
      </w:r>
      <w:r>
        <w:rPr>
          <w:color w:val="231F20"/>
          <w:spacing w:val="-37"/>
          <w:w w:val="105"/>
        </w:rPr>
        <w:t> </w:t>
      </w:r>
      <w:r>
        <w:rPr>
          <w:color w:val="231F20"/>
          <w:w w:val="105"/>
        </w:rPr>
        <w:t>vínculo</w:t>
      </w:r>
      <w:r>
        <w:rPr>
          <w:color w:val="231F20"/>
          <w:spacing w:val="-37"/>
          <w:w w:val="105"/>
        </w:rPr>
        <w:t> </w:t>
      </w:r>
      <w:r>
        <w:rPr>
          <w:color w:val="231F20"/>
          <w:w w:val="105"/>
        </w:rPr>
        <w:t>(c.f.,</w:t>
      </w:r>
      <w:r>
        <w:rPr>
          <w:color w:val="231F20"/>
          <w:spacing w:val="-40"/>
          <w:w w:val="105"/>
        </w:rPr>
        <w:t> </w:t>
      </w:r>
      <w:r>
        <w:rPr>
          <w:color w:val="231F20"/>
          <w:w w:val="105"/>
        </w:rPr>
        <w:t>Dussauge,</w:t>
      </w:r>
      <w:r>
        <w:rPr>
          <w:color w:val="231F20"/>
          <w:spacing w:val="-40"/>
          <w:w w:val="105"/>
        </w:rPr>
        <w:t> </w:t>
      </w:r>
      <w:r>
        <w:rPr>
          <w:color w:val="231F20"/>
          <w:w w:val="105"/>
        </w:rPr>
        <w:t>Garrette</w:t>
      </w:r>
      <w:r>
        <w:rPr>
          <w:color w:val="231F20"/>
          <w:spacing w:val="-37"/>
          <w:w w:val="105"/>
        </w:rPr>
        <w:t> </w:t>
      </w:r>
      <w:r>
        <w:rPr>
          <w:color w:val="231F20"/>
          <w:w w:val="105"/>
        </w:rPr>
        <w:t>y</w:t>
      </w:r>
      <w:r>
        <w:rPr>
          <w:color w:val="231F20"/>
          <w:spacing w:val="-37"/>
          <w:w w:val="105"/>
        </w:rPr>
        <w:t> </w:t>
      </w:r>
      <w:r>
        <w:rPr>
          <w:color w:val="231F20"/>
          <w:w w:val="105"/>
        </w:rPr>
        <w:t>Mitchell,</w:t>
      </w:r>
      <w:r>
        <w:rPr>
          <w:color w:val="231F20"/>
          <w:spacing w:val="-40"/>
          <w:w w:val="105"/>
        </w:rPr>
        <w:t> </w:t>
      </w:r>
      <w:r>
        <w:rPr>
          <w:color w:val="231F20"/>
          <w:w w:val="105"/>
        </w:rPr>
        <w:t>2000; Johnson</w:t>
      </w:r>
      <w:r>
        <w:rPr>
          <w:color w:val="231F20"/>
          <w:spacing w:val="-13"/>
          <w:w w:val="105"/>
        </w:rPr>
        <w:t> </w:t>
      </w:r>
      <w:r>
        <w:rPr>
          <w:color w:val="231F20"/>
          <w:w w:val="105"/>
        </w:rPr>
        <w:t>y</w:t>
      </w:r>
      <w:r>
        <w:rPr>
          <w:color w:val="231F20"/>
          <w:spacing w:val="-13"/>
          <w:w w:val="105"/>
        </w:rPr>
        <w:t> </w:t>
      </w:r>
      <w:r>
        <w:rPr>
          <w:color w:val="231F20"/>
          <w:w w:val="105"/>
        </w:rPr>
        <w:t>Houston,</w:t>
      </w:r>
      <w:r>
        <w:rPr>
          <w:color w:val="231F20"/>
          <w:spacing w:val="-17"/>
          <w:w w:val="105"/>
        </w:rPr>
        <w:t> </w:t>
      </w:r>
      <w:r>
        <w:rPr>
          <w:color w:val="231F20"/>
          <w:w w:val="105"/>
        </w:rPr>
        <w:t>2000;</w:t>
      </w:r>
      <w:r>
        <w:rPr>
          <w:color w:val="231F20"/>
          <w:spacing w:val="-13"/>
          <w:w w:val="105"/>
        </w:rPr>
        <w:t> </w:t>
      </w:r>
      <w:r>
        <w:rPr>
          <w:color w:val="231F20"/>
          <w:spacing w:val="-4"/>
          <w:w w:val="105"/>
        </w:rPr>
        <w:t>Park</w:t>
      </w:r>
      <w:r>
        <w:rPr>
          <w:color w:val="231F20"/>
          <w:spacing w:val="-13"/>
          <w:w w:val="105"/>
        </w:rPr>
        <w:t> </w:t>
      </w:r>
      <w:r>
        <w:rPr>
          <w:color w:val="231F20"/>
          <w:w w:val="105"/>
        </w:rPr>
        <w:t>y</w:t>
      </w:r>
      <w:r>
        <w:rPr>
          <w:color w:val="231F20"/>
          <w:spacing w:val="-13"/>
          <w:w w:val="105"/>
        </w:rPr>
        <w:t> </w:t>
      </w:r>
      <w:r>
        <w:rPr>
          <w:color w:val="231F20"/>
          <w:w w:val="105"/>
        </w:rPr>
        <w:t>Russo,</w:t>
      </w:r>
      <w:r>
        <w:rPr>
          <w:color w:val="231F20"/>
          <w:spacing w:val="-17"/>
          <w:w w:val="105"/>
        </w:rPr>
        <w:t> </w:t>
      </w:r>
      <w:r>
        <w:rPr>
          <w:color w:val="231F20"/>
          <w:w w:val="105"/>
        </w:rPr>
        <w:t>1996).</w:t>
      </w:r>
      <w:r>
        <w:rPr>
          <w:color w:val="231F20"/>
          <w:spacing w:val="-17"/>
          <w:w w:val="105"/>
        </w:rPr>
        <w:t> </w:t>
      </w:r>
      <w:r>
        <w:rPr>
          <w:color w:val="231F20"/>
          <w:w w:val="105"/>
        </w:rPr>
        <w:t>Detrás</w:t>
      </w:r>
      <w:r>
        <w:rPr>
          <w:color w:val="231F20"/>
          <w:spacing w:val="-13"/>
          <w:w w:val="105"/>
        </w:rPr>
        <w:t> </w:t>
      </w:r>
      <w:r>
        <w:rPr>
          <w:color w:val="231F20"/>
          <w:w w:val="105"/>
        </w:rPr>
        <w:t>de</w:t>
      </w:r>
      <w:r>
        <w:rPr>
          <w:color w:val="231F20"/>
          <w:spacing w:val="-13"/>
          <w:w w:val="105"/>
        </w:rPr>
        <w:t> </w:t>
      </w:r>
      <w:r>
        <w:rPr>
          <w:color w:val="231F20"/>
          <w:w w:val="105"/>
        </w:rPr>
        <w:t>estos</w:t>
      </w:r>
      <w:r>
        <w:rPr>
          <w:color w:val="231F20"/>
          <w:spacing w:val="-13"/>
          <w:w w:val="105"/>
        </w:rPr>
        <w:t> </w:t>
      </w:r>
      <w:r>
        <w:rPr>
          <w:color w:val="231F20"/>
          <w:w w:val="105"/>
        </w:rPr>
        <w:t>resulta- dos,</w:t>
      </w:r>
      <w:r>
        <w:rPr>
          <w:color w:val="231F20"/>
          <w:spacing w:val="-19"/>
          <w:w w:val="105"/>
        </w:rPr>
        <w:t> </w:t>
      </w:r>
      <w:r>
        <w:rPr>
          <w:color w:val="231F20"/>
          <w:w w:val="105"/>
        </w:rPr>
        <w:t>un</w:t>
      </w:r>
      <w:r>
        <w:rPr>
          <w:color w:val="231F20"/>
          <w:spacing w:val="-12"/>
          <w:w w:val="105"/>
        </w:rPr>
        <w:t> </w:t>
      </w:r>
      <w:r>
        <w:rPr>
          <w:color w:val="231F20"/>
          <w:w w:val="105"/>
        </w:rPr>
        <w:t>argumento</w:t>
      </w:r>
      <w:r>
        <w:rPr>
          <w:color w:val="231F20"/>
          <w:spacing w:val="-12"/>
          <w:w w:val="105"/>
        </w:rPr>
        <w:t> </w:t>
      </w:r>
      <w:r>
        <w:rPr>
          <w:color w:val="231F20"/>
          <w:w w:val="105"/>
        </w:rPr>
        <w:t>común</w:t>
      </w:r>
      <w:r>
        <w:rPr>
          <w:color w:val="231F20"/>
          <w:spacing w:val="-12"/>
          <w:w w:val="105"/>
        </w:rPr>
        <w:t> </w:t>
      </w:r>
      <w:r>
        <w:rPr>
          <w:color w:val="231F20"/>
          <w:w w:val="105"/>
        </w:rPr>
        <w:t>indica</w:t>
      </w:r>
      <w:r>
        <w:rPr>
          <w:color w:val="231F20"/>
          <w:spacing w:val="-12"/>
          <w:w w:val="105"/>
        </w:rPr>
        <w:t> </w:t>
      </w:r>
      <w:r>
        <w:rPr>
          <w:color w:val="231F20"/>
          <w:w w:val="105"/>
        </w:rPr>
        <w:t>que</w:t>
      </w:r>
      <w:r>
        <w:rPr>
          <w:color w:val="231F20"/>
          <w:spacing w:val="-12"/>
          <w:w w:val="105"/>
        </w:rPr>
        <w:t> </w:t>
      </w:r>
      <w:r>
        <w:rPr>
          <w:color w:val="231F20"/>
          <w:w w:val="105"/>
        </w:rPr>
        <w:t>mientras</w:t>
      </w:r>
      <w:r>
        <w:rPr>
          <w:color w:val="231F20"/>
          <w:spacing w:val="-12"/>
          <w:w w:val="105"/>
        </w:rPr>
        <w:t> </w:t>
      </w:r>
      <w:r>
        <w:rPr>
          <w:color w:val="231F20"/>
          <w:w w:val="105"/>
        </w:rPr>
        <w:t>el</w:t>
      </w:r>
      <w:r>
        <w:rPr>
          <w:color w:val="231F20"/>
          <w:spacing w:val="-12"/>
          <w:w w:val="105"/>
        </w:rPr>
        <w:t> </w:t>
      </w:r>
      <w:r>
        <w:rPr>
          <w:color w:val="231F20"/>
          <w:w w:val="105"/>
        </w:rPr>
        <w:t>primer</w:t>
      </w:r>
      <w:r>
        <w:rPr>
          <w:color w:val="231F20"/>
          <w:spacing w:val="-12"/>
          <w:w w:val="105"/>
        </w:rPr>
        <w:t> </w:t>
      </w:r>
      <w:r>
        <w:rPr>
          <w:color w:val="231F20"/>
          <w:w w:val="105"/>
        </w:rPr>
        <w:t>tipo</w:t>
      </w:r>
      <w:r>
        <w:rPr>
          <w:color w:val="231F20"/>
          <w:spacing w:val="-12"/>
          <w:w w:val="105"/>
        </w:rPr>
        <w:t> </w:t>
      </w:r>
      <w:r>
        <w:rPr>
          <w:color w:val="231F20"/>
          <w:w w:val="105"/>
        </w:rPr>
        <w:t>de</w:t>
      </w:r>
      <w:r>
        <w:rPr>
          <w:color w:val="231F20"/>
          <w:spacing w:val="-12"/>
          <w:w w:val="105"/>
        </w:rPr>
        <w:t> </w:t>
      </w:r>
      <w:r>
        <w:rPr>
          <w:color w:val="231F20"/>
          <w:w w:val="105"/>
        </w:rPr>
        <w:t>alianzas permite</w:t>
      </w:r>
      <w:r>
        <w:rPr>
          <w:color w:val="231F20"/>
          <w:spacing w:val="-8"/>
          <w:w w:val="105"/>
        </w:rPr>
        <w:t> </w:t>
      </w:r>
      <w:r>
        <w:rPr>
          <w:color w:val="231F20"/>
          <w:w w:val="105"/>
        </w:rPr>
        <w:t>la</w:t>
      </w:r>
      <w:r>
        <w:rPr>
          <w:color w:val="231F20"/>
          <w:spacing w:val="-8"/>
          <w:w w:val="105"/>
        </w:rPr>
        <w:t> </w:t>
      </w:r>
      <w:r>
        <w:rPr>
          <w:color w:val="231F20"/>
          <w:w w:val="105"/>
        </w:rPr>
        <w:t>explotación</w:t>
      </w:r>
      <w:r>
        <w:rPr>
          <w:color w:val="231F20"/>
          <w:spacing w:val="-8"/>
          <w:w w:val="105"/>
        </w:rPr>
        <w:t> </w:t>
      </w:r>
      <w:r>
        <w:rPr>
          <w:color w:val="231F20"/>
          <w:w w:val="105"/>
        </w:rPr>
        <w:t>de</w:t>
      </w:r>
      <w:r>
        <w:rPr>
          <w:color w:val="231F20"/>
          <w:spacing w:val="-8"/>
          <w:w w:val="105"/>
        </w:rPr>
        <w:t> </w:t>
      </w:r>
      <w:r>
        <w:rPr>
          <w:color w:val="231F20"/>
          <w:w w:val="105"/>
        </w:rPr>
        <w:t>sinergias</w:t>
      </w:r>
      <w:r>
        <w:rPr>
          <w:color w:val="231F20"/>
          <w:spacing w:val="-8"/>
          <w:w w:val="105"/>
        </w:rPr>
        <w:t> </w:t>
      </w:r>
      <w:r>
        <w:rPr>
          <w:color w:val="231F20"/>
          <w:w w:val="105"/>
        </w:rPr>
        <w:t>de</w:t>
      </w:r>
      <w:r>
        <w:rPr>
          <w:color w:val="231F20"/>
          <w:spacing w:val="-8"/>
          <w:w w:val="105"/>
        </w:rPr>
        <w:t> </w:t>
      </w:r>
      <w:r>
        <w:rPr>
          <w:color w:val="231F20"/>
          <w:w w:val="105"/>
        </w:rPr>
        <w:t>costo</w:t>
      </w:r>
      <w:r>
        <w:rPr>
          <w:color w:val="231F20"/>
          <w:spacing w:val="-8"/>
          <w:w w:val="105"/>
        </w:rPr>
        <w:t> </w:t>
      </w:r>
      <w:r>
        <w:rPr>
          <w:color w:val="231F20"/>
          <w:w w:val="105"/>
        </w:rPr>
        <w:t>basadas</w:t>
      </w:r>
      <w:r>
        <w:rPr>
          <w:color w:val="231F20"/>
          <w:spacing w:val="-8"/>
          <w:w w:val="105"/>
        </w:rPr>
        <w:t> </w:t>
      </w:r>
      <w:r>
        <w:rPr>
          <w:color w:val="231F20"/>
          <w:w w:val="105"/>
        </w:rPr>
        <w:t>en</w:t>
      </w:r>
      <w:r>
        <w:rPr>
          <w:color w:val="231F20"/>
          <w:spacing w:val="-8"/>
          <w:w w:val="105"/>
        </w:rPr>
        <w:t> </w:t>
      </w:r>
      <w:r>
        <w:rPr>
          <w:color w:val="231F20"/>
          <w:w w:val="105"/>
        </w:rPr>
        <w:t>economías</w:t>
      </w:r>
      <w:r>
        <w:rPr>
          <w:color w:val="231F20"/>
          <w:spacing w:val="-8"/>
          <w:w w:val="105"/>
        </w:rPr>
        <w:t> </w:t>
      </w:r>
      <w:r>
        <w:rPr>
          <w:color w:val="231F20"/>
          <w:w w:val="105"/>
        </w:rPr>
        <w:t>del alcance,</w:t>
      </w:r>
      <w:r>
        <w:rPr>
          <w:color w:val="231F20"/>
          <w:spacing w:val="-27"/>
          <w:w w:val="105"/>
        </w:rPr>
        <w:t> </w:t>
      </w:r>
      <w:r>
        <w:rPr>
          <w:color w:val="231F20"/>
          <w:w w:val="105"/>
        </w:rPr>
        <w:t>la</w:t>
      </w:r>
      <w:r>
        <w:rPr>
          <w:color w:val="231F20"/>
          <w:spacing w:val="-22"/>
          <w:w w:val="105"/>
        </w:rPr>
        <w:t> </w:t>
      </w:r>
      <w:r>
        <w:rPr>
          <w:color w:val="231F20"/>
          <w:w w:val="105"/>
        </w:rPr>
        <w:t>segunda</w:t>
      </w:r>
      <w:r>
        <w:rPr>
          <w:color w:val="231F20"/>
          <w:spacing w:val="-22"/>
          <w:w w:val="105"/>
        </w:rPr>
        <w:t> </w:t>
      </w:r>
      <w:r>
        <w:rPr>
          <w:color w:val="231F20"/>
          <w:w w:val="105"/>
        </w:rPr>
        <w:t>categoría</w:t>
      </w:r>
      <w:r>
        <w:rPr>
          <w:color w:val="231F20"/>
          <w:spacing w:val="-22"/>
          <w:w w:val="105"/>
        </w:rPr>
        <w:t> </w:t>
      </w:r>
      <w:r>
        <w:rPr>
          <w:color w:val="231F20"/>
          <w:w w:val="105"/>
        </w:rPr>
        <w:t>permite</w:t>
      </w:r>
      <w:r>
        <w:rPr>
          <w:color w:val="231F20"/>
          <w:spacing w:val="-22"/>
          <w:w w:val="105"/>
        </w:rPr>
        <w:t> </w:t>
      </w:r>
      <w:r>
        <w:rPr>
          <w:color w:val="231F20"/>
          <w:w w:val="105"/>
        </w:rPr>
        <w:t>cosechar</w:t>
      </w:r>
      <w:r>
        <w:rPr>
          <w:color w:val="231F20"/>
          <w:spacing w:val="-22"/>
          <w:w w:val="105"/>
        </w:rPr>
        <w:t> </w:t>
      </w:r>
      <w:r>
        <w:rPr>
          <w:color w:val="231F20"/>
          <w:w w:val="105"/>
        </w:rPr>
        <w:t>sinergias</w:t>
      </w:r>
      <w:r>
        <w:rPr>
          <w:color w:val="231F20"/>
          <w:spacing w:val="-22"/>
          <w:w w:val="105"/>
        </w:rPr>
        <w:t> </w:t>
      </w:r>
      <w:r>
        <w:rPr>
          <w:color w:val="231F20"/>
          <w:w w:val="105"/>
        </w:rPr>
        <w:t>de</w:t>
      </w:r>
      <w:r>
        <w:rPr>
          <w:color w:val="231F20"/>
          <w:spacing w:val="-22"/>
          <w:w w:val="105"/>
        </w:rPr>
        <w:t> </w:t>
      </w:r>
      <w:r>
        <w:rPr>
          <w:color w:val="231F20"/>
          <w:w w:val="105"/>
        </w:rPr>
        <w:t>ingreso</w:t>
      </w:r>
      <w:r>
        <w:rPr>
          <w:color w:val="231F20"/>
          <w:spacing w:val="-22"/>
          <w:w w:val="105"/>
        </w:rPr>
        <w:t> </w:t>
      </w:r>
      <w:r>
        <w:rPr>
          <w:color w:val="231F20"/>
          <w:w w:val="105"/>
        </w:rPr>
        <w:t>de-</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248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140</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pStyle w:val="ListParagraph"/>
        <w:numPr>
          <w:ilvl w:val="0"/>
          <w:numId w:val="37"/>
        </w:numPr>
        <w:tabs>
          <w:tab w:pos="691" w:val="left" w:leader="none"/>
        </w:tabs>
        <w:spacing w:line="180" w:lineRule="exact" w:before="61" w:after="0"/>
        <w:ind w:left="236" w:right="0" w:firstLine="268"/>
        <w:jc w:val="left"/>
        <w:rPr>
          <w:rFonts w:ascii="Lucida Sans Unicode" w:hAnsi="Lucida Sans Unicode"/>
          <w:color w:val="6D6E71"/>
          <w:sz w:val="14"/>
        </w:rPr>
      </w:pPr>
      <w:r>
        <w:rPr/>
        <w:pict>
          <v:line style="position:absolute;mso-position-horizontal-relative:page;mso-position-vertical-relative:paragraph;z-index:5464" from="384.061005pt,-25.331028pt" to="384.061005pt,9.534822pt" stroked="true" strokeweight=".3pt" strokecolor="#231f20">
            <w10:wrap type="none"/>
          </v:line>
        </w:pic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141</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rivadas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expansión</w:t>
      </w:r>
      <w:r>
        <w:rPr>
          <w:color w:val="231F20"/>
          <w:spacing w:val="-9"/>
          <w:w w:val="105"/>
        </w:rPr>
        <w:t> </w:t>
      </w:r>
      <w:r>
        <w:rPr>
          <w:color w:val="231F20"/>
          <w:w w:val="105"/>
        </w:rPr>
        <w:t>de</w:t>
      </w:r>
      <w:r>
        <w:rPr>
          <w:color w:val="231F20"/>
          <w:spacing w:val="-9"/>
          <w:w w:val="105"/>
        </w:rPr>
        <w:t> </w:t>
      </w:r>
      <w:r>
        <w:rPr>
          <w:color w:val="231F20"/>
          <w:w w:val="105"/>
        </w:rPr>
        <w:t>mercado,</w:t>
      </w:r>
      <w:r>
        <w:rPr>
          <w:color w:val="231F20"/>
          <w:spacing w:val="-14"/>
          <w:w w:val="105"/>
        </w:rPr>
        <w:t> </w:t>
      </w:r>
      <w:r>
        <w:rPr>
          <w:color w:val="231F20"/>
          <w:w w:val="105"/>
        </w:rPr>
        <w:t>o</w:t>
      </w:r>
      <w:r>
        <w:rPr>
          <w:color w:val="231F20"/>
          <w:spacing w:val="-9"/>
          <w:w w:val="105"/>
        </w:rPr>
        <w:t> </w:t>
      </w:r>
      <w:r>
        <w:rPr>
          <w:color w:val="231F20"/>
          <w:w w:val="105"/>
        </w:rPr>
        <w:t>incluso</w:t>
      </w:r>
      <w:r>
        <w:rPr>
          <w:color w:val="231F20"/>
          <w:spacing w:val="-9"/>
          <w:w w:val="105"/>
        </w:rPr>
        <w:t> </w:t>
      </w:r>
      <w:r>
        <w:rPr>
          <w:color w:val="231F20"/>
          <w:w w:val="105"/>
        </w:rPr>
        <w:t>de</w:t>
      </w:r>
      <w:r>
        <w:rPr>
          <w:color w:val="231F20"/>
          <w:spacing w:val="-9"/>
          <w:w w:val="105"/>
        </w:rPr>
        <w:t> </w:t>
      </w:r>
      <w:r>
        <w:rPr>
          <w:color w:val="231F20"/>
          <w:w w:val="105"/>
        </w:rPr>
        <w:t>acciones</w:t>
      </w:r>
      <w:r>
        <w:rPr>
          <w:color w:val="231F20"/>
          <w:spacing w:val="-9"/>
          <w:w w:val="105"/>
        </w:rPr>
        <w:t> </w:t>
      </w:r>
      <w:r>
        <w:rPr>
          <w:color w:val="231F20"/>
          <w:w w:val="105"/>
        </w:rPr>
        <w:t>de</w:t>
      </w:r>
      <w:r>
        <w:rPr>
          <w:color w:val="231F20"/>
          <w:spacing w:val="-9"/>
          <w:w w:val="105"/>
        </w:rPr>
        <w:t> </w:t>
      </w:r>
      <w:r>
        <w:rPr>
          <w:color w:val="231F20"/>
          <w:w w:val="105"/>
        </w:rPr>
        <w:t>colusión. Es</w:t>
      </w:r>
      <w:r>
        <w:rPr>
          <w:color w:val="231F20"/>
          <w:spacing w:val="-32"/>
          <w:w w:val="105"/>
        </w:rPr>
        <w:t> </w:t>
      </w:r>
      <w:r>
        <w:rPr>
          <w:color w:val="231F20"/>
          <w:w w:val="105"/>
        </w:rPr>
        <w:t>interesante</w:t>
      </w:r>
      <w:r>
        <w:rPr>
          <w:color w:val="231F20"/>
          <w:spacing w:val="-32"/>
          <w:w w:val="105"/>
        </w:rPr>
        <w:t> </w:t>
      </w:r>
      <w:r>
        <w:rPr>
          <w:color w:val="231F20"/>
          <w:w w:val="105"/>
        </w:rPr>
        <w:t>que</w:t>
      </w:r>
      <w:r>
        <w:rPr>
          <w:color w:val="231F20"/>
          <w:spacing w:val="-32"/>
          <w:w w:val="105"/>
        </w:rPr>
        <w:t> </w:t>
      </w:r>
      <w:r>
        <w:rPr>
          <w:color w:val="231F20"/>
          <w:w w:val="105"/>
        </w:rPr>
        <w:t>desde</w:t>
      </w:r>
      <w:r>
        <w:rPr>
          <w:color w:val="231F20"/>
          <w:spacing w:val="-32"/>
          <w:w w:val="105"/>
        </w:rPr>
        <w:t> </w:t>
      </w:r>
      <w:r>
        <w:rPr>
          <w:color w:val="231F20"/>
          <w:w w:val="105"/>
        </w:rPr>
        <w:t>los</w:t>
      </w:r>
      <w:r>
        <w:rPr>
          <w:color w:val="231F20"/>
          <w:spacing w:val="-32"/>
          <w:w w:val="105"/>
        </w:rPr>
        <w:t> </w:t>
      </w:r>
      <w:r>
        <w:rPr>
          <w:color w:val="231F20"/>
          <w:w w:val="105"/>
        </w:rPr>
        <w:t>años</w:t>
      </w:r>
      <w:r>
        <w:rPr>
          <w:color w:val="231F20"/>
          <w:spacing w:val="-32"/>
          <w:w w:val="105"/>
        </w:rPr>
        <w:t> </w:t>
      </w:r>
      <w:r>
        <w:rPr>
          <w:color w:val="231F20"/>
          <w:w w:val="105"/>
        </w:rPr>
        <w:t>80s</w:t>
      </w:r>
      <w:r>
        <w:rPr>
          <w:color w:val="231F20"/>
          <w:spacing w:val="-32"/>
          <w:w w:val="105"/>
        </w:rPr>
        <w:t> </w:t>
      </w:r>
      <w:r>
        <w:rPr>
          <w:color w:val="231F20"/>
          <w:w w:val="105"/>
        </w:rPr>
        <w:t>se</w:t>
      </w:r>
      <w:r>
        <w:rPr>
          <w:color w:val="231F20"/>
          <w:spacing w:val="-32"/>
          <w:w w:val="105"/>
        </w:rPr>
        <w:t> </w:t>
      </w:r>
      <w:r>
        <w:rPr>
          <w:color w:val="231F20"/>
          <w:w w:val="105"/>
        </w:rPr>
        <w:t>tiene</w:t>
      </w:r>
      <w:r>
        <w:rPr>
          <w:color w:val="231F20"/>
          <w:spacing w:val="-32"/>
          <w:w w:val="105"/>
        </w:rPr>
        <w:t> </w:t>
      </w:r>
      <w:r>
        <w:rPr>
          <w:color w:val="231F20"/>
          <w:w w:val="105"/>
        </w:rPr>
        <w:t>evidencia</w:t>
      </w:r>
      <w:r>
        <w:rPr>
          <w:color w:val="231F20"/>
          <w:spacing w:val="-32"/>
          <w:w w:val="105"/>
        </w:rPr>
        <w:t> </w:t>
      </w:r>
      <w:r>
        <w:rPr>
          <w:color w:val="231F20"/>
          <w:w w:val="105"/>
        </w:rPr>
        <w:t>de</w:t>
      </w:r>
      <w:r>
        <w:rPr>
          <w:color w:val="231F20"/>
          <w:spacing w:val="-32"/>
          <w:w w:val="105"/>
        </w:rPr>
        <w:t> </w:t>
      </w:r>
      <w:r>
        <w:rPr>
          <w:color w:val="231F20"/>
          <w:w w:val="105"/>
        </w:rPr>
        <w:t>que</w:t>
      </w:r>
      <w:r>
        <w:rPr>
          <w:color w:val="231F20"/>
          <w:spacing w:val="-32"/>
          <w:w w:val="105"/>
        </w:rPr>
        <w:t> </w:t>
      </w:r>
      <w:r>
        <w:rPr>
          <w:color w:val="231F20"/>
          <w:w w:val="105"/>
        </w:rPr>
        <w:t>las</w:t>
      </w:r>
      <w:r>
        <w:rPr>
          <w:color w:val="231F20"/>
          <w:spacing w:val="-32"/>
          <w:w w:val="105"/>
        </w:rPr>
        <w:t> </w:t>
      </w:r>
      <w:r>
        <w:rPr>
          <w:color w:val="231F20"/>
          <w:w w:val="105"/>
        </w:rPr>
        <w:t>siner- gias</w:t>
      </w:r>
      <w:r>
        <w:rPr>
          <w:color w:val="231F20"/>
          <w:spacing w:val="-10"/>
          <w:w w:val="105"/>
        </w:rPr>
        <w:t> </w:t>
      </w:r>
      <w:r>
        <w:rPr>
          <w:color w:val="231F20"/>
          <w:w w:val="105"/>
        </w:rPr>
        <w:t>de</w:t>
      </w:r>
      <w:r>
        <w:rPr>
          <w:color w:val="231F20"/>
          <w:spacing w:val="-10"/>
          <w:w w:val="105"/>
        </w:rPr>
        <w:t> </w:t>
      </w:r>
      <w:r>
        <w:rPr>
          <w:color w:val="231F20"/>
          <w:w w:val="105"/>
        </w:rPr>
        <w:t>ingreso</w:t>
      </w:r>
      <w:r>
        <w:rPr>
          <w:color w:val="231F20"/>
          <w:spacing w:val="-10"/>
          <w:w w:val="105"/>
        </w:rPr>
        <w:t> </w:t>
      </w:r>
      <w:r>
        <w:rPr>
          <w:color w:val="231F20"/>
          <w:w w:val="105"/>
        </w:rPr>
        <w:t>producen</w:t>
      </w:r>
      <w:r>
        <w:rPr>
          <w:color w:val="231F20"/>
          <w:spacing w:val="-10"/>
          <w:w w:val="105"/>
        </w:rPr>
        <w:t> </w:t>
      </w:r>
      <w:r>
        <w:rPr>
          <w:color w:val="231F20"/>
          <w:w w:val="105"/>
        </w:rPr>
        <w:t>más</w:t>
      </w:r>
      <w:r>
        <w:rPr>
          <w:color w:val="231F20"/>
          <w:spacing w:val="-10"/>
          <w:w w:val="105"/>
        </w:rPr>
        <w:t> </w:t>
      </w:r>
      <w:r>
        <w:rPr>
          <w:color w:val="231F20"/>
          <w:w w:val="105"/>
        </w:rPr>
        <w:t>valor</w:t>
      </w:r>
      <w:r>
        <w:rPr>
          <w:color w:val="231F20"/>
          <w:spacing w:val="-10"/>
          <w:w w:val="105"/>
        </w:rPr>
        <w:t> </w:t>
      </w:r>
      <w:r>
        <w:rPr>
          <w:color w:val="231F20"/>
          <w:w w:val="105"/>
        </w:rPr>
        <w:t>para</w:t>
      </w:r>
      <w:r>
        <w:rPr>
          <w:color w:val="231F20"/>
          <w:spacing w:val="-10"/>
          <w:w w:val="105"/>
        </w:rPr>
        <w:t> </w:t>
      </w:r>
      <w:r>
        <w:rPr>
          <w:color w:val="231F20"/>
          <w:w w:val="105"/>
        </w:rPr>
        <w:t>las</w:t>
      </w:r>
      <w:r>
        <w:rPr>
          <w:color w:val="231F20"/>
          <w:spacing w:val="-10"/>
          <w:w w:val="105"/>
        </w:rPr>
        <w:t> </w:t>
      </w:r>
      <w:r>
        <w:rPr>
          <w:color w:val="231F20"/>
          <w:w w:val="105"/>
        </w:rPr>
        <w:t>empresas</w:t>
      </w:r>
      <w:r>
        <w:rPr>
          <w:color w:val="231F20"/>
          <w:spacing w:val="-10"/>
          <w:w w:val="105"/>
        </w:rPr>
        <w:t> </w:t>
      </w:r>
      <w:r>
        <w:rPr>
          <w:color w:val="231F20"/>
          <w:w w:val="105"/>
        </w:rPr>
        <w:t>que</w:t>
      </w:r>
      <w:r>
        <w:rPr>
          <w:color w:val="231F20"/>
          <w:spacing w:val="-10"/>
          <w:w w:val="105"/>
        </w:rPr>
        <w:t> </w:t>
      </w:r>
      <w:r>
        <w:rPr>
          <w:color w:val="231F20"/>
          <w:w w:val="105"/>
        </w:rPr>
        <w:t>las</w:t>
      </w:r>
      <w:r>
        <w:rPr>
          <w:color w:val="231F20"/>
          <w:spacing w:val="-10"/>
          <w:w w:val="105"/>
        </w:rPr>
        <w:t> </w:t>
      </w:r>
      <w:r>
        <w:rPr>
          <w:color w:val="231F20"/>
          <w:w w:val="105"/>
        </w:rPr>
        <w:t>de</w:t>
      </w:r>
      <w:r>
        <w:rPr>
          <w:color w:val="231F20"/>
          <w:spacing w:val="-10"/>
          <w:w w:val="105"/>
        </w:rPr>
        <w:t> </w:t>
      </w:r>
      <w:r>
        <w:rPr>
          <w:color w:val="231F20"/>
          <w:w w:val="105"/>
        </w:rPr>
        <w:t>costo </w:t>
      </w:r>
      <w:r>
        <w:rPr>
          <w:color w:val="231F20"/>
        </w:rPr>
        <w:t>(Chatterjee,</w:t>
      </w:r>
      <w:r>
        <w:rPr>
          <w:color w:val="231F20"/>
          <w:spacing w:val="18"/>
        </w:rPr>
        <w:t> </w:t>
      </w:r>
      <w:r>
        <w:rPr>
          <w:color w:val="231F20"/>
        </w:rPr>
        <w:t>1986).</w:t>
      </w:r>
    </w:p>
    <w:p>
      <w:pPr>
        <w:pStyle w:val="BodyText"/>
        <w:spacing w:line="259" w:lineRule="auto"/>
        <w:ind w:left="117" w:right="115" w:firstLine="567"/>
        <w:jc w:val="both"/>
      </w:pPr>
      <w:r>
        <w:rPr>
          <w:color w:val="231F20"/>
          <w:w w:val="105"/>
        </w:rPr>
        <w:t>Aunque estudios anteriores brindan evidencia de los posibles</w:t>
      </w:r>
      <w:r>
        <w:rPr>
          <w:color w:val="231F20"/>
          <w:spacing w:val="-31"/>
          <w:w w:val="105"/>
        </w:rPr>
        <w:t> </w:t>
      </w:r>
      <w:r>
        <w:rPr>
          <w:color w:val="231F20"/>
          <w:w w:val="105"/>
        </w:rPr>
        <w:t>be- neficios</w:t>
      </w:r>
      <w:r>
        <w:rPr>
          <w:color w:val="231F20"/>
          <w:spacing w:val="-15"/>
          <w:w w:val="105"/>
        </w:rPr>
        <w:t> </w:t>
      </w:r>
      <w:r>
        <w:rPr>
          <w:color w:val="231F20"/>
          <w:w w:val="105"/>
        </w:rPr>
        <w:t>de</w:t>
      </w:r>
      <w:r>
        <w:rPr>
          <w:color w:val="231F20"/>
          <w:spacing w:val="-15"/>
          <w:w w:val="105"/>
        </w:rPr>
        <w:t> </w:t>
      </w:r>
      <w:r>
        <w:rPr>
          <w:color w:val="231F20"/>
          <w:w w:val="105"/>
        </w:rPr>
        <w:t>distintos</w:t>
      </w:r>
      <w:r>
        <w:rPr>
          <w:color w:val="231F20"/>
          <w:spacing w:val="-15"/>
          <w:w w:val="105"/>
        </w:rPr>
        <w:t> </w:t>
      </w:r>
      <w:r>
        <w:rPr>
          <w:color w:val="231F20"/>
          <w:w w:val="105"/>
        </w:rPr>
        <w:t>tipos</w:t>
      </w:r>
      <w:r>
        <w:rPr>
          <w:color w:val="231F20"/>
          <w:spacing w:val="-15"/>
          <w:w w:val="105"/>
        </w:rPr>
        <w:t> </w:t>
      </w:r>
      <w:r>
        <w:rPr>
          <w:color w:val="231F20"/>
          <w:w w:val="105"/>
        </w:rPr>
        <w:t>de</w:t>
      </w:r>
      <w:r>
        <w:rPr>
          <w:color w:val="231F20"/>
          <w:spacing w:val="-15"/>
          <w:w w:val="105"/>
        </w:rPr>
        <w:t> </w:t>
      </w:r>
      <w:r>
        <w:rPr>
          <w:color w:val="231F20"/>
          <w:w w:val="105"/>
        </w:rPr>
        <w:t>alianzas,</w:t>
      </w:r>
      <w:r>
        <w:rPr>
          <w:color w:val="231F20"/>
          <w:spacing w:val="-21"/>
          <w:w w:val="105"/>
        </w:rPr>
        <w:t> </w:t>
      </w:r>
      <w:r>
        <w:rPr>
          <w:color w:val="231F20"/>
          <w:w w:val="105"/>
        </w:rPr>
        <w:t>existe</w:t>
      </w:r>
      <w:r>
        <w:rPr>
          <w:color w:val="231F20"/>
          <w:spacing w:val="-15"/>
          <w:w w:val="105"/>
        </w:rPr>
        <w:t> </w:t>
      </w:r>
      <w:r>
        <w:rPr>
          <w:color w:val="231F20"/>
          <w:w w:val="105"/>
        </w:rPr>
        <w:t>poca</w:t>
      </w:r>
      <w:r>
        <w:rPr>
          <w:color w:val="231F20"/>
          <w:spacing w:val="-15"/>
          <w:w w:val="105"/>
        </w:rPr>
        <w:t> </w:t>
      </w:r>
      <w:r>
        <w:rPr>
          <w:color w:val="231F20"/>
          <w:w w:val="105"/>
        </w:rPr>
        <w:t>evidencia</w:t>
      </w:r>
      <w:r>
        <w:rPr>
          <w:color w:val="231F20"/>
          <w:spacing w:val="-15"/>
          <w:w w:val="105"/>
        </w:rPr>
        <w:t> </w:t>
      </w:r>
      <w:r>
        <w:rPr>
          <w:color w:val="231F20"/>
          <w:w w:val="105"/>
        </w:rPr>
        <w:t>con</w:t>
      </w:r>
      <w:r>
        <w:rPr>
          <w:color w:val="231F20"/>
          <w:spacing w:val="-15"/>
          <w:w w:val="105"/>
        </w:rPr>
        <w:t> </w:t>
      </w:r>
      <w:r>
        <w:rPr>
          <w:color w:val="231F20"/>
          <w:w w:val="105"/>
        </w:rPr>
        <w:t>respec- to al impacto que la formación de alianzas enfocadas en manufactura o en mercadotecnia tienen en indicadores financieros de tipo contable como el retorno sobre los activos: ROA. Después de todo, la colabora- ción</w:t>
      </w:r>
      <w:r>
        <w:rPr>
          <w:color w:val="231F20"/>
          <w:spacing w:val="-32"/>
          <w:w w:val="105"/>
        </w:rPr>
        <w:t> </w:t>
      </w:r>
      <w:r>
        <w:rPr>
          <w:color w:val="231F20"/>
          <w:w w:val="105"/>
        </w:rPr>
        <w:t>interempresarial</w:t>
      </w:r>
      <w:r>
        <w:rPr>
          <w:color w:val="231F20"/>
          <w:spacing w:val="-32"/>
          <w:w w:val="105"/>
        </w:rPr>
        <w:t> </w:t>
      </w:r>
      <w:r>
        <w:rPr>
          <w:color w:val="231F20"/>
          <w:w w:val="105"/>
        </w:rPr>
        <w:t>en</w:t>
      </w:r>
      <w:r>
        <w:rPr>
          <w:color w:val="231F20"/>
          <w:spacing w:val="-32"/>
          <w:w w:val="105"/>
        </w:rPr>
        <w:t> </w:t>
      </w:r>
      <w:r>
        <w:rPr>
          <w:color w:val="231F20"/>
          <w:w w:val="105"/>
        </w:rPr>
        <w:t>manufactura</w:t>
      </w:r>
      <w:r>
        <w:rPr>
          <w:color w:val="231F20"/>
          <w:spacing w:val="-32"/>
          <w:w w:val="105"/>
        </w:rPr>
        <w:t> </w:t>
      </w:r>
      <w:r>
        <w:rPr>
          <w:color w:val="231F20"/>
          <w:w w:val="105"/>
        </w:rPr>
        <w:t>involucra</w:t>
      </w:r>
      <w:r>
        <w:rPr>
          <w:color w:val="231F20"/>
          <w:spacing w:val="-32"/>
          <w:w w:val="105"/>
        </w:rPr>
        <w:t> </w:t>
      </w:r>
      <w:r>
        <w:rPr>
          <w:color w:val="231F20"/>
          <w:w w:val="105"/>
        </w:rPr>
        <w:t>diferentes</w:t>
      </w:r>
      <w:r>
        <w:rPr>
          <w:color w:val="231F20"/>
          <w:spacing w:val="-32"/>
          <w:w w:val="105"/>
        </w:rPr>
        <w:t> </w:t>
      </w:r>
      <w:r>
        <w:rPr>
          <w:color w:val="231F20"/>
          <w:w w:val="105"/>
        </w:rPr>
        <w:t>recursos</w:t>
      </w:r>
      <w:r>
        <w:rPr>
          <w:color w:val="231F20"/>
          <w:spacing w:val="-32"/>
          <w:w w:val="105"/>
        </w:rPr>
        <w:t> </w:t>
      </w:r>
      <w:r>
        <w:rPr>
          <w:color w:val="231F20"/>
          <w:w w:val="105"/>
        </w:rPr>
        <w:t>de</w:t>
      </w:r>
      <w:r>
        <w:rPr>
          <w:color w:val="231F20"/>
          <w:spacing w:val="-32"/>
          <w:w w:val="105"/>
        </w:rPr>
        <w:t> </w:t>
      </w:r>
      <w:r>
        <w:rPr>
          <w:color w:val="231F20"/>
          <w:w w:val="105"/>
        </w:rPr>
        <w:t>las empresas participantes que la colaboración en mercadotecnia. Puesto que</w:t>
      </w:r>
      <w:r>
        <w:rPr>
          <w:color w:val="231F20"/>
          <w:spacing w:val="-24"/>
          <w:w w:val="105"/>
        </w:rPr>
        <w:t> </w:t>
      </w:r>
      <w:r>
        <w:rPr>
          <w:color w:val="231F20"/>
          <w:w w:val="105"/>
        </w:rPr>
        <w:t>distintos</w:t>
      </w:r>
      <w:r>
        <w:rPr>
          <w:color w:val="231F20"/>
          <w:spacing w:val="-24"/>
          <w:w w:val="105"/>
        </w:rPr>
        <w:t> </w:t>
      </w:r>
      <w:r>
        <w:rPr>
          <w:color w:val="231F20"/>
          <w:w w:val="105"/>
        </w:rPr>
        <w:t>recursos</w:t>
      </w:r>
      <w:r>
        <w:rPr>
          <w:color w:val="231F20"/>
          <w:spacing w:val="-24"/>
          <w:w w:val="105"/>
        </w:rPr>
        <w:t> </w:t>
      </w:r>
      <w:r>
        <w:rPr>
          <w:color w:val="231F20"/>
          <w:w w:val="105"/>
        </w:rPr>
        <w:t>producen</w:t>
      </w:r>
      <w:r>
        <w:rPr>
          <w:color w:val="231F20"/>
          <w:spacing w:val="-24"/>
          <w:w w:val="105"/>
        </w:rPr>
        <w:t> </w:t>
      </w:r>
      <w:r>
        <w:rPr>
          <w:color w:val="231F20"/>
          <w:w w:val="105"/>
        </w:rPr>
        <w:t>diferentes</w:t>
      </w:r>
      <w:r>
        <w:rPr>
          <w:color w:val="231F20"/>
          <w:spacing w:val="-24"/>
          <w:w w:val="105"/>
        </w:rPr>
        <w:t> </w:t>
      </w:r>
      <w:r>
        <w:rPr>
          <w:color w:val="231F20"/>
          <w:w w:val="105"/>
        </w:rPr>
        <w:t>beneficios</w:t>
      </w:r>
      <w:r>
        <w:rPr>
          <w:color w:val="231F20"/>
          <w:spacing w:val="-24"/>
          <w:w w:val="105"/>
        </w:rPr>
        <w:t> </w:t>
      </w:r>
      <w:r>
        <w:rPr>
          <w:color w:val="231F20"/>
          <w:w w:val="105"/>
        </w:rPr>
        <w:t>(Capron</w:t>
      </w:r>
      <w:r>
        <w:rPr>
          <w:color w:val="231F20"/>
          <w:spacing w:val="-24"/>
          <w:w w:val="105"/>
        </w:rPr>
        <w:t> </w:t>
      </w:r>
      <w:r>
        <w:rPr>
          <w:color w:val="231F20"/>
          <w:w w:val="105"/>
        </w:rPr>
        <w:t>y</w:t>
      </w:r>
      <w:r>
        <w:rPr>
          <w:color w:val="231F20"/>
          <w:spacing w:val="-24"/>
          <w:w w:val="105"/>
        </w:rPr>
        <w:t> </w:t>
      </w:r>
      <w:r>
        <w:rPr>
          <w:color w:val="231F20"/>
          <w:w w:val="105"/>
        </w:rPr>
        <w:t>Hulland, 1999),</w:t>
      </w:r>
      <w:r>
        <w:rPr>
          <w:color w:val="231F20"/>
          <w:spacing w:val="-11"/>
          <w:w w:val="105"/>
        </w:rPr>
        <w:t> </w:t>
      </w:r>
      <w:r>
        <w:rPr>
          <w:color w:val="231F20"/>
          <w:w w:val="105"/>
        </w:rPr>
        <w:t>es</w:t>
      </w:r>
      <w:r>
        <w:rPr>
          <w:color w:val="231F20"/>
          <w:spacing w:val="-6"/>
          <w:w w:val="105"/>
        </w:rPr>
        <w:t> </w:t>
      </w:r>
      <w:r>
        <w:rPr>
          <w:color w:val="231F20"/>
          <w:w w:val="105"/>
        </w:rPr>
        <w:t>de</w:t>
      </w:r>
      <w:r>
        <w:rPr>
          <w:color w:val="231F20"/>
          <w:spacing w:val="-6"/>
          <w:w w:val="105"/>
        </w:rPr>
        <w:t> </w:t>
      </w:r>
      <w:r>
        <w:rPr>
          <w:color w:val="231F20"/>
          <w:w w:val="105"/>
        </w:rPr>
        <w:t>esperarse</w:t>
      </w:r>
      <w:r>
        <w:rPr>
          <w:color w:val="231F20"/>
          <w:spacing w:val="-6"/>
          <w:w w:val="105"/>
        </w:rPr>
        <w:t> </w:t>
      </w:r>
      <w:r>
        <w:rPr>
          <w:color w:val="231F20"/>
          <w:w w:val="105"/>
        </w:rPr>
        <w:t>que</w:t>
      </w:r>
      <w:r>
        <w:rPr>
          <w:color w:val="231F20"/>
          <w:spacing w:val="-6"/>
          <w:w w:val="105"/>
        </w:rPr>
        <w:t> </w:t>
      </w:r>
      <w:r>
        <w:rPr>
          <w:color w:val="231F20"/>
          <w:w w:val="105"/>
        </w:rPr>
        <w:t>ambos</w:t>
      </w:r>
      <w:r>
        <w:rPr>
          <w:color w:val="231F20"/>
          <w:spacing w:val="-6"/>
          <w:w w:val="105"/>
        </w:rPr>
        <w:t> </w:t>
      </w:r>
      <w:r>
        <w:rPr>
          <w:color w:val="231F20"/>
          <w:w w:val="105"/>
        </w:rPr>
        <w:t>tipos</w:t>
      </w:r>
      <w:r>
        <w:rPr>
          <w:color w:val="231F20"/>
          <w:spacing w:val="-6"/>
          <w:w w:val="105"/>
        </w:rPr>
        <w:t> </w:t>
      </w:r>
      <w:r>
        <w:rPr>
          <w:color w:val="231F20"/>
          <w:w w:val="105"/>
        </w:rPr>
        <w:t>de</w:t>
      </w:r>
      <w:r>
        <w:rPr>
          <w:color w:val="231F20"/>
          <w:spacing w:val="-6"/>
          <w:w w:val="105"/>
        </w:rPr>
        <w:t> </w:t>
      </w:r>
      <w:r>
        <w:rPr>
          <w:color w:val="231F20"/>
          <w:w w:val="105"/>
        </w:rPr>
        <w:t>alianzas</w:t>
      </w:r>
      <w:r>
        <w:rPr>
          <w:color w:val="231F20"/>
          <w:spacing w:val="-6"/>
          <w:w w:val="105"/>
        </w:rPr>
        <w:t> </w:t>
      </w:r>
      <w:r>
        <w:rPr>
          <w:color w:val="231F20"/>
          <w:w w:val="105"/>
        </w:rPr>
        <w:t>difieran</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valor que producen para las organizaciones que las forman. Notablemente, aunque es altamente probable que los beneficios producidos por alian- zas</w:t>
      </w:r>
      <w:r>
        <w:rPr>
          <w:color w:val="231F20"/>
          <w:spacing w:val="-11"/>
          <w:w w:val="105"/>
        </w:rPr>
        <w:t> </w:t>
      </w:r>
      <w:r>
        <w:rPr>
          <w:color w:val="231F20"/>
          <w:w w:val="105"/>
        </w:rPr>
        <w:t>de</w:t>
      </w:r>
      <w:r>
        <w:rPr>
          <w:color w:val="231F20"/>
          <w:spacing w:val="-11"/>
          <w:w w:val="105"/>
        </w:rPr>
        <w:t> </w:t>
      </w:r>
      <w:r>
        <w:rPr>
          <w:color w:val="231F20"/>
          <w:w w:val="105"/>
        </w:rPr>
        <w:t>diferentes</w:t>
      </w:r>
      <w:r>
        <w:rPr>
          <w:color w:val="231F20"/>
          <w:spacing w:val="-11"/>
          <w:w w:val="105"/>
        </w:rPr>
        <w:t> </w:t>
      </w:r>
      <w:r>
        <w:rPr>
          <w:color w:val="231F20"/>
          <w:w w:val="105"/>
        </w:rPr>
        <w:t>modalidades</w:t>
      </w:r>
      <w:r>
        <w:rPr>
          <w:color w:val="231F20"/>
          <w:spacing w:val="-11"/>
          <w:w w:val="105"/>
        </w:rPr>
        <w:t> </w:t>
      </w:r>
      <w:r>
        <w:rPr>
          <w:color w:val="231F20"/>
          <w:w w:val="105"/>
        </w:rPr>
        <w:t>se</w:t>
      </w:r>
      <w:r>
        <w:rPr>
          <w:color w:val="231F20"/>
          <w:spacing w:val="-11"/>
          <w:w w:val="105"/>
        </w:rPr>
        <w:t> </w:t>
      </w:r>
      <w:r>
        <w:rPr>
          <w:color w:val="231F20"/>
          <w:w w:val="105"/>
        </w:rPr>
        <w:t>vean</w:t>
      </w:r>
      <w:r>
        <w:rPr>
          <w:color w:val="231F20"/>
          <w:spacing w:val="-11"/>
          <w:w w:val="105"/>
        </w:rPr>
        <w:t> </w:t>
      </w:r>
      <w:r>
        <w:rPr>
          <w:color w:val="231F20"/>
          <w:w w:val="105"/>
        </w:rPr>
        <w:t>reflejadas</w:t>
      </w:r>
      <w:r>
        <w:rPr>
          <w:color w:val="231F20"/>
          <w:spacing w:val="-11"/>
          <w:w w:val="105"/>
        </w:rPr>
        <w:t> </w:t>
      </w:r>
      <w:r>
        <w:rPr>
          <w:color w:val="231F20"/>
          <w:w w:val="105"/>
        </w:rPr>
        <w:t>en</w:t>
      </w:r>
      <w:r>
        <w:rPr>
          <w:color w:val="231F20"/>
          <w:spacing w:val="-11"/>
          <w:w w:val="105"/>
        </w:rPr>
        <w:t> </w:t>
      </w:r>
      <w:r>
        <w:rPr>
          <w:color w:val="231F20"/>
          <w:w w:val="105"/>
        </w:rPr>
        <w:t>indicadores</w:t>
      </w:r>
      <w:r>
        <w:rPr>
          <w:color w:val="231F20"/>
          <w:spacing w:val="-11"/>
          <w:w w:val="105"/>
        </w:rPr>
        <w:t> </w:t>
      </w:r>
      <w:r>
        <w:rPr>
          <w:color w:val="231F20"/>
          <w:w w:val="105"/>
        </w:rPr>
        <w:t>conta- bles</w:t>
      </w:r>
      <w:r>
        <w:rPr>
          <w:color w:val="231F20"/>
          <w:spacing w:val="-11"/>
          <w:w w:val="105"/>
        </w:rPr>
        <w:t> </w:t>
      </w:r>
      <w:r>
        <w:rPr>
          <w:color w:val="231F20"/>
          <w:w w:val="105"/>
        </w:rPr>
        <w:t>de</w:t>
      </w:r>
      <w:r>
        <w:rPr>
          <w:color w:val="231F20"/>
          <w:spacing w:val="-11"/>
          <w:w w:val="105"/>
        </w:rPr>
        <w:t> </w:t>
      </w:r>
      <w:r>
        <w:rPr>
          <w:color w:val="231F20"/>
          <w:w w:val="105"/>
        </w:rPr>
        <w:t>rentabilidad</w:t>
      </w:r>
      <w:r>
        <w:rPr>
          <w:color w:val="231F20"/>
          <w:spacing w:val="-11"/>
          <w:w w:val="105"/>
        </w:rPr>
        <w:t> </w:t>
      </w:r>
      <w:r>
        <w:rPr>
          <w:color w:val="231F20"/>
          <w:w w:val="105"/>
        </w:rPr>
        <w:t>(p.</w:t>
      </w:r>
      <w:r>
        <w:rPr>
          <w:color w:val="231F20"/>
          <w:spacing w:val="-17"/>
          <w:w w:val="105"/>
        </w:rPr>
        <w:t> </w:t>
      </w:r>
      <w:r>
        <w:rPr>
          <w:color w:val="231F20"/>
          <w:w w:val="105"/>
        </w:rPr>
        <w:t>ej.</w:t>
      </w:r>
      <w:r>
        <w:rPr>
          <w:color w:val="231F20"/>
          <w:spacing w:val="-17"/>
          <w:w w:val="105"/>
        </w:rPr>
        <w:t> </w:t>
      </w:r>
      <w:r>
        <w:rPr>
          <w:color w:val="231F20"/>
          <w:w w:val="105"/>
        </w:rPr>
        <w:t>ROA),</w:t>
      </w:r>
      <w:r>
        <w:rPr>
          <w:color w:val="231F20"/>
          <w:spacing w:val="-17"/>
          <w:w w:val="105"/>
        </w:rPr>
        <w:t> </w:t>
      </w:r>
      <w:r>
        <w:rPr>
          <w:color w:val="231F20"/>
          <w:w w:val="105"/>
        </w:rPr>
        <w:t>tal</w:t>
      </w:r>
      <w:r>
        <w:rPr>
          <w:color w:val="231F20"/>
          <w:spacing w:val="-11"/>
          <w:w w:val="105"/>
        </w:rPr>
        <w:t> </w:t>
      </w:r>
      <w:r>
        <w:rPr>
          <w:color w:val="231F20"/>
          <w:w w:val="105"/>
        </w:rPr>
        <w:t>efecto</w:t>
      </w:r>
      <w:r>
        <w:rPr>
          <w:color w:val="231F20"/>
          <w:spacing w:val="-11"/>
          <w:w w:val="105"/>
        </w:rPr>
        <w:t> </w:t>
      </w:r>
      <w:r>
        <w:rPr>
          <w:color w:val="231F20"/>
          <w:w w:val="105"/>
        </w:rPr>
        <w:t>podría</w:t>
      </w:r>
      <w:r>
        <w:rPr>
          <w:color w:val="231F20"/>
          <w:spacing w:val="-11"/>
          <w:w w:val="105"/>
        </w:rPr>
        <w:t> </w:t>
      </w:r>
      <w:r>
        <w:rPr>
          <w:color w:val="231F20"/>
          <w:w w:val="105"/>
        </w:rPr>
        <w:t>tomar</w:t>
      </w:r>
      <w:r>
        <w:rPr>
          <w:color w:val="231F20"/>
          <w:spacing w:val="-11"/>
          <w:w w:val="105"/>
        </w:rPr>
        <w:t> </w:t>
      </w:r>
      <w:r>
        <w:rPr>
          <w:color w:val="231F20"/>
          <w:w w:val="105"/>
        </w:rPr>
        <w:t>tiempo</w:t>
      </w:r>
      <w:r>
        <w:rPr>
          <w:color w:val="231F20"/>
          <w:spacing w:val="-11"/>
          <w:w w:val="105"/>
        </w:rPr>
        <w:t> </w:t>
      </w:r>
      <w:r>
        <w:rPr>
          <w:color w:val="231F20"/>
          <w:w w:val="105"/>
        </w:rPr>
        <w:t>para</w:t>
      </w:r>
      <w:r>
        <w:rPr>
          <w:color w:val="231F20"/>
          <w:spacing w:val="-11"/>
          <w:w w:val="105"/>
        </w:rPr>
        <w:t> </w:t>
      </w:r>
      <w:r>
        <w:rPr>
          <w:color w:val="231F20"/>
          <w:w w:val="105"/>
        </w:rPr>
        <w:t>ser visible,</w:t>
      </w:r>
      <w:r>
        <w:rPr>
          <w:color w:val="231F20"/>
          <w:spacing w:val="-16"/>
          <w:w w:val="105"/>
        </w:rPr>
        <w:t> </w:t>
      </w:r>
      <w:r>
        <w:rPr>
          <w:color w:val="231F20"/>
          <w:w w:val="105"/>
        </w:rPr>
        <w:t>pues</w:t>
      </w:r>
      <w:r>
        <w:rPr>
          <w:color w:val="231F20"/>
          <w:spacing w:val="-12"/>
          <w:w w:val="105"/>
        </w:rPr>
        <w:t> </w:t>
      </w:r>
      <w:r>
        <w:rPr>
          <w:color w:val="231F20"/>
          <w:w w:val="105"/>
        </w:rPr>
        <w:t>las</w:t>
      </w:r>
      <w:r>
        <w:rPr>
          <w:color w:val="231F20"/>
          <w:spacing w:val="-12"/>
          <w:w w:val="105"/>
        </w:rPr>
        <w:t> </w:t>
      </w:r>
      <w:r>
        <w:rPr>
          <w:color w:val="231F20"/>
          <w:w w:val="105"/>
        </w:rPr>
        <w:t>ganancias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alianzas</w:t>
      </w:r>
      <w:r>
        <w:rPr>
          <w:color w:val="231F20"/>
          <w:spacing w:val="-12"/>
          <w:w w:val="105"/>
        </w:rPr>
        <w:t> </w:t>
      </w:r>
      <w:r>
        <w:rPr>
          <w:color w:val="231F20"/>
          <w:w w:val="105"/>
        </w:rPr>
        <w:t>no</w:t>
      </w:r>
      <w:r>
        <w:rPr>
          <w:color w:val="231F20"/>
          <w:spacing w:val="-12"/>
          <w:w w:val="105"/>
        </w:rPr>
        <w:t> </w:t>
      </w:r>
      <w:r>
        <w:rPr>
          <w:color w:val="231F20"/>
          <w:w w:val="105"/>
        </w:rPr>
        <w:t>son</w:t>
      </w:r>
      <w:r>
        <w:rPr>
          <w:color w:val="231F20"/>
          <w:spacing w:val="-12"/>
          <w:w w:val="105"/>
        </w:rPr>
        <w:t> </w:t>
      </w:r>
      <w:r>
        <w:rPr>
          <w:color w:val="231F20"/>
          <w:w w:val="105"/>
        </w:rPr>
        <w:t>instantáneas.</w:t>
      </w:r>
      <w:r>
        <w:rPr>
          <w:color w:val="231F20"/>
          <w:spacing w:val="-16"/>
          <w:w w:val="105"/>
        </w:rPr>
        <w:t> </w:t>
      </w:r>
      <w:r>
        <w:rPr>
          <w:color w:val="231F20"/>
          <w:w w:val="105"/>
        </w:rPr>
        <w:t>En</w:t>
      </w:r>
      <w:r>
        <w:rPr>
          <w:color w:val="231F20"/>
          <w:spacing w:val="-12"/>
          <w:w w:val="105"/>
        </w:rPr>
        <w:t> </w:t>
      </w:r>
      <w:r>
        <w:rPr>
          <w:color w:val="231F20"/>
          <w:w w:val="105"/>
        </w:rPr>
        <w:t>este contexto,</w:t>
      </w:r>
      <w:r>
        <w:rPr>
          <w:color w:val="231F20"/>
          <w:spacing w:val="-10"/>
          <w:w w:val="105"/>
        </w:rPr>
        <w:t> </w:t>
      </w:r>
      <w:r>
        <w:rPr>
          <w:color w:val="231F20"/>
          <w:w w:val="105"/>
        </w:rPr>
        <w:t>mientras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reconoce</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métricas</w:t>
      </w:r>
      <w:r>
        <w:rPr>
          <w:color w:val="231F20"/>
          <w:spacing w:val="-5"/>
          <w:w w:val="105"/>
        </w:rPr>
        <w:t> </w:t>
      </w:r>
      <w:r>
        <w:rPr>
          <w:color w:val="231F20"/>
          <w:w w:val="105"/>
        </w:rPr>
        <w:t>contables</w:t>
      </w:r>
      <w:r>
        <w:rPr>
          <w:color w:val="231F20"/>
          <w:spacing w:val="-5"/>
          <w:w w:val="105"/>
        </w:rPr>
        <w:t> </w:t>
      </w:r>
      <w:r>
        <w:rPr>
          <w:color w:val="231F20"/>
          <w:w w:val="105"/>
        </w:rPr>
        <w:t>de</w:t>
      </w:r>
      <w:r>
        <w:rPr>
          <w:color w:val="231F20"/>
          <w:spacing w:val="-5"/>
          <w:w w:val="105"/>
        </w:rPr>
        <w:t> </w:t>
      </w:r>
      <w:r>
        <w:rPr>
          <w:color w:val="231F20"/>
          <w:w w:val="105"/>
        </w:rPr>
        <w:t>des- empeño</w:t>
      </w:r>
      <w:r>
        <w:rPr>
          <w:color w:val="231F20"/>
          <w:spacing w:val="-19"/>
          <w:w w:val="105"/>
        </w:rPr>
        <w:t> </w:t>
      </w:r>
      <w:r>
        <w:rPr>
          <w:color w:val="231F20"/>
          <w:w w:val="105"/>
        </w:rPr>
        <w:t>pueden</w:t>
      </w:r>
      <w:r>
        <w:rPr>
          <w:color w:val="231F20"/>
          <w:spacing w:val="-19"/>
          <w:w w:val="105"/>
        </w:rPr>
        <w:t> </w:t>
      </w:r>
      <w:r>
        <w:rPr>
          <w:color w:val="231F20"/>
          <w:w w:val="105"/>
        </w:rPr>
        <w:t>ser</w:t>
      </w:r>
      <w:r>
        <w:rPr>
          <w:color w:val="231F20"/>
          <w:spacing w:val="-19"/>
          <w:w w:val="105"/>
        </w:rPr>
        <w:t> </w:t>
      </w:r>
      <w:r>
        <w:rPr>
          <w:color w:val="231F20"/>
          <w:w w:val="105"/>
        </w:rPr>
        <w:t>contaminadas</w:t>
      </w:r>
      <w:r>
        <w:rPr>
          <w:color w:val="231F20"/>
          <w:spacing w:val="-19"/>
          <w:w w:val="105"/>
        </w:rPr>
        <w:t> </w:t>
      </w:r>
      <w:r>
        <w:rPr>
          <w:color w:val="231F20"/>
          <w:w w:val="105"/>
        </w:rPr>
        <w:t>por</w:t>
      </w:r>
      <w:r>
        <w:rPr>
          <w:color w:val="231F20"/>
          <w:spacing w:val="-19"/>
          <w:w w:val="105"/>
        </w:rPr>
        <w:t> </w:t>
      </w:r>
      <w:r>
        <w:rPr>
          <w:color w:val="231F20"/>
          <w:w w:val="105"/>
        </w:rPr>
        <w:t>varios</w:t>
      </w:r>
      <w:r>
        <w:rPr>
          <w:color w:val="231F20"/>
          <w:spacing w:val="-19"/>
          <w:w w:val="105"/>
        </w:rPr>
        <w:t> </w:t>
      </w:r>
      <w:r>
        <w:rPr>
          <w:color w:val="231F20"/>
          <w:w w:val="105"/>
        </w:rPr>
        <w:t>factores</w:t>
      </w:r>
      <w:r>
        <w:rPr>
          <w:color w:val="231F20"/>
          <w:spacing w:val="-19"/>
          <w:w w:val="105"/>
        </w:rPr>
        <w:t> </w:t>
      </w:r>
      <w:r>
        <w:rPr>
          <w:color w:val="231F20"/>
          <w:w w:val="105"/>
        </w:rPr>
        <w:t>como</w:t>
      </w:r>
      <w:r>
        <w:rPr>
          <w:color w:val="231F20"/>
          <w:spacing w:val="-19"/>
          <w:w w:val="105"/>
        </w:rPr>
        <w:t> </w:t>
      </w:r>
      <w:r>
        <w:rPr>
          <w:color w:val="231F20"/>
          <w:w w:val="105"/>
        </w:rPr>
        <w:t>las</w:t>
      </w:r>
      <w:r>
        <w:rPr>
          <w:color w:val="231F20"/>
          <w:spacing w:val="-19"/>
          <w:w w:val="105"/>
        </w:rPr>
        <w:t> </w:t>
      </w:r>
      <w:r>
        <w:rPr>
          <w:color w:val="231F20"/>
          <w:w w:val="105"/>
        </w:rPr>
        <w:t>políticas de</w:t>
      </w:r>
      <w:r>
        <w:rPr>
          <w:color w:val="231F20"/>
          <w:spacing w:val="-18"/>
          <w:w w:val="105"/>
        </w:rPr>
        <w:t> </w:t>
      </w:r>
      <w:r>
        <w:rPr>
          <w:color w:val="231F20"/>
          <w:w w:val="105"/>
        </w:rPr>
        <w:t>reporte</w:t>
      </w:r>
      <w:r>
        <w:rPr>
          <w:color w:val="231F20"/>
          <w:spacing w:val="-18"/>
          <w:w w:val="105"/>
        </w:rPr>
        <w:t> </w:t>
      </w:r>
      <w:r>
        <w:rPr>
          <w:color w:val="231F20"/>
          <w:w w:val="105"/>
        </w:rPr>
        <w:t>financiero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22"/>
          <w:w w:val="105"/>
        </w:rPr>
        <w:t> </w:t>
      </w:r>
      <w:r>
        <w:rPr>
          <w:color w:val="231F20"/>
          <w:w w:val="105"/>
        </w:rPr>
        <w:t>adversidades</w:t>
      </w:r>
      <w:r>
        <w:rPr>
          <w:color w:val="231F20"/>
          <w:spacing w:val="-18"/>
          <w:w w:val="105"/>
        </w:rPr>
        <w:t> </w:t>
      </w:r>
      <w:r>
        <w:rPr>
          <w:color w:val="231F20"/>
          <w:w w:val="105"/>
        </w:rPr>
        <w:t>macroeconómicas, entre</w:t>
      </w:r>
      <w:r>
        <w:rPr>
          <w:color w:val="231F20"/>
          <w:spacing w:val="-27"/>
          <w:w w:val="105"/>
        </w:rPr>
        <w:t> </w:t>
      </w:r>
      <w:r>
        <w:rPr>
          <w:color w:val="231F20"/>
          <w:w w:val="105"/>
        </w:rPr>
        <w:t>otros,</w:t>
      </w:r>
      <w:r>
        <w:rPr>
          <w:color w:val="231F20"/>
          <w:spacing w:val="-32"/>
          <w:w w:val="105"/>
        </w:rPr>
        <w:t> </w:t>
      </w:r>
      <w:r>
        <w:rPr>
          <w:color w:val="231F20"/>
          <w:w w:val="105"/>
        </w:rPr>
        <w:t>investigaciones</w:t>
      </w:r>
      <w:r>
        <w:rPr>
          <w:color w:val="231F20"/>
          <w:spacing w:val="-27"/>
          <w:w w:val="105"/>
        </w:rPr>
        <w:t> </w:t>
      </w:r>
      <w:r>
        <w:rPr>
          <w:color w:val="231F20"/>
          <w:w w:val="105"/>
        </w:rPr>
        <w:t>anteriores</w:t>
      </w:r>
      <w:r>
        <w:rPr>
          <w:color w:val="231F20"/>
          <w:spacing w:val="-27"/>
          <w:w w:val="105"/>
        </w:rPr>
        <w:t> </w:t>
      </w:r>
      <w:r>
        <w:rPr>
          <w:color w:val="231F20"/>
          <w:w w:val="105"/>
        </w:rPr>
        <w:t>sugieren</w:t>
      </w:r>
      <w:r>
        <w:rPr>
          <w:color w:val="231F20"/>
          <w:spacing w:val="-27"/>
          <w:w w:val="105"/>
        </w:rPr>
        <w:t> </w:t>
      </w:r>
      <w:r>
        <w:rPr>
          <w:color w:val="231F20"/>
          <w:w w:val="105"/>
        </w:rPr>
        <w:t>que</w:t>
      </w:r>
      <w:r>
        <w:rPr>
          <w:color w:val="231F20"/>
          <w:spacing w:val="-27"/>
          <w:w w:val="105"/>
        </w:rPr>
        <w:t> </w:t>
      </w:r>
      <w:r>
        <w:rPr>
          <w:color w:val="231F20"/>
          <w:w w:val="105"/>
        </w:rPr>
        <w:t>aún</w:t>
      </w:r>
      <w:r>
        <w:rPr>
          <w:color w:val="231F20"/>
          <w:spacing w:val="-27"/>
          <w:w w:val="105"/>
        </w:rPr>
        <w:t> </w:t>
      </w:r>
      <w:r>
        <w:rPr>
          <w:color w:val="231F20"/>
          <w:w w:val="105"/>
        </w:rPr>
        <w:t>reflejan</w:t>
      </w:r>
      <w:r>
        <w:rPr>
          <w:color w:val="231F20"/>
          <w:spacing w:val="-27"/>
          <w:w w:val="105"/>
        </w:rPr>
        <w:t> </w:t>
      </w:r>
      <w:r>
        <w:rPr>
          <w:color w:val="231F20"/>
          <w:w w:val="105"/>
        </w:rPr>
        <w:t>los</w:t>
      </w:r>
      <w:r>
        <w:rPr>
          <w:color w:val="231F20"/>
          <w:spacing w:val="-27"/>
          <w:w w:val="105"/>
        </w:rPr>
        <w:t> </w:t>
      </w:r>
      <w:r>
        <w:rPr>
          <w:color w:val="231F20"/>
          <w:w w:val="105"/>
        </w:rPr>
        <w:t>posi- bles</w:t>
      </w:r>
      <w:r>
        <w:rPr>
          <w:color w:val="231F20"/>
          <w:spacing w:val="-14"/>
          <w:w w:val="105"/>
        </w:rPr>
        <w:t> </w:t>
      </w:r>
      <w:r>
        <w:rPr>
          <w:color w:val="231F20"/>
          <w:w w:val="105"/>
        </w:rPr>
        <w:t>beneficios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acciones</w:t>
      </w:r>
      <w:r>
        <w:rPr>
          <w:color w:val="231F20"/>
          <w:spacing w:val="-14"/>
          <w:w w:val="105"/>
        </w:rPr>
        <w:t> </w:t>
      </w:r>
      <w:r>
        <w:rPr>
          <w:color w:val="231F20"/>
          <w:w w:val="105"/>
        </w:rPr>
        <w:t>estratégicas</w:t>
      </w:r>
      <w:r>
        <w:rPr>
          <w:color w:val="231F20"/>
          <w:spacing w:val="-14"/>
          <w:w w:val="105"/>
        </w:rPr>
        <w:t> </w:t>
      </w:r>
      <w:r>
        <w:rPr>
          <w:color w:val="231F20"/>
          <w:w w:val="105"/>
        </w:rPr>
        <w:t>(p.</w:t>
      </w:r>
      <w:r>
        <w:rPr>
          <w:color w:val="231F20"/>
          <w:spacing w:val="-19"/>
          <w:w w:val="105"/>
        </w:rPr>
        <w:t> </w:t>
      </w:r>
      <w:r>
        <w:rPr>
          <w:color w:val="231F20"/>
          <w:w w:val="105"/>
        </w:rPr>
        <w:t>ej.</w:t>
      </w:r>
      <w:r>
        <w:rPr>
          <w:color w:val="231F20"/>
          <w:spacing w:val="-19"/>
          <w:w w:val="105"/>
        </w:rPr>
        <w:t> </w:t>
      </w:r>
      <w:r>
        <w:rPr>
          <w:color w:val="231F20"/>
          <w:w w:val="105"/>
        </w:rPr>
        <w:t>la</w:t>
      </w:r>
      <w:r>
        <w:rPr>
          <w:color w:val="231F20"/>
          <w:spacing w:val="-14"/>
          <w:w w:val="105"/>
        </w:rPr>
        <w:t> </w:t>
      </w:r>
      <w:r>
        <w:rPr>
          <w:color w:val="231F20"/>
          <w:w w:val="105"/>
        </w:rPr>
        <w:t>formación</w:t>
      </w:r>
      <w:r>
        <w:rPr>
          <w:color w:val="231F20"/>
          <w:spacing w:val="-14"/>
          <w:w w:val="105"/>
        </w:rPr>
        <w:t> </w:t>
      </w:r>
      <w:r>
        <w:rPr>
          <w:color w:val="231F20"/>
          <w:w w:val="105"/>
        </w:rPr>
        <w:t>de</w:t>
      </w:r>
      <w:r>
        <w:rPr>
          <w:color w:val="231F20"/>
          <w:spacing w:val="-14"/>
          <w:w w:val="105"/>
        </w:rPr>
        <w:t> </w:t>
      </w:r>
      <w:r>
        <w:rPr>
          <w:color w:val="231F20"/>
          <w:w w:val="105"/>
        </w:rPr>
        <w:t>alian- zas)</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materializan</w:t>
      </w:r>
      <w:r>
        <w:rPr>
          <w:color w:val="231F20"/>
          <w:spacing w:val="-24"/>
          <w:w w:val="105"/>
        </w:rPr>
        <w:t> </w:t>
      </w:r>
      <w:r>
        <w:rPr>
          <w:color w:val="231F20"/>
          <w:w w:val="105"/>
        </w:rPr>
        <w:t>a</w:t>
      </w:r>
      <w:r>
        <w:rPr>
          <w:color w:val="231F20"/>
          <w:spacing w:val="-24"/>
          <w:w w:val="105"/>
        </w:rPr>
        <w:t> </w:t>
      </w:r>
      <w:r>
        <w:rPr>
          <w:color w:val="231F20"/>
          <w:w w:val="105"/>
        </w:rPr>
        <w:t>través</w:t>
      </w:r>
      <w:r>
        <w:rPr>
          <w:color w:val="231F20"/>
          <w:spacing w:val="-24"/>
          <w:w w:val="105"/>
        </w:rPr>
        <w:t> </w:t>
      </w:r>
      <w:r>
        <w:rPr>
          <w:color w:val="231F20"/>
          <w:w w:val="105"/>
        </w:rPr>
        <w:t>del</w:t>
      </w:r>
      <w:r>
        <w:rPr>
          <w:color w:val="231F20"/>
          <w:spacing w:val="-24"/>
          <w:w w:val="105"/>
        </w:rPr>
        <w:t> </w:t>
      </w:r>
      <w:r>
        <w:rPr>
          <w:color w:val="231F20"/>
          <w:w w:val="105"/>
        </w:rPr>
        <w:t>tiempo</w:t>
      </w:r>
      <w:r>
        <w:rPr>
          <w:color w:val="231F20"/>
          <w:spacing w:val="-24"/>
          <w:w w:val="105"/>
        </w:rPr>
        <w:t> </w:t>
      </w:r>
      <w:r>
        <w:rPr>
          <w:color w:val="231F20"/>
          <w:w w:val="105"/>
        </w:rPr>
        <w:t>(Zollo</w:t>
      </w:r>
      <w:r>
        <w:rPr>
          <w:color w:val="231F20"/>
          <w:spacing w:val="-24"/>
          <w:w w:val="105"/>
        </w:rPr>
        <w:t> </w:t>
      </w:r>
      <w:r>
        <w:rPr>
          <w:color w:val="231F20"/>
          <w:w w:val="105"/>
        </w:rPr>
        <w:t>y</w:t>
      </w:r>
      <w:r>
        <w:rPr>
          <w:color w:val="231F20"/>
          <w:spacing w:val="-24"/>
          <w:w w:val="105"/>
        </w:rPr>
        <w:t> </w:t>
      </w:r>
      <w:r>
        <w:rPr>
          <w:color w:val="231F20"/>
          <w:w w:val="105"/>
        </w:rPr>
        <w:t>Meier,</w:t>
      </w:r>
      <w:r>
        <w:rPr>
          <w:color w:val="231F20"/>
          <w:spacing w:val="-29"/>
          <w:w w:val="105"/>
        </w:rPr>
        <w:t> </w:t>
      </w:r>
      <w:r>
        <w:rPr>
          <w:color w:val="231F20"/>
          <w:w w:val="105"/>
        </w:rPr>
        <w:t>2008).</w:t>
      </w:r>
    </w:p>
    <w:p>
      <w:pPr>
        <w:pStyle w:val="BodyText"/>
        <w:spacing w:line="259" w:lineRule="auto"/>
        <w:ind w:left="117" w:right="115" w:firstLine="567"/>
        <w:jc w:val="both"/>
      </w:pPr>
      <w:r>
        <w:rPr>
          <w:color w:val="231F20"/>
          <w:w w:val="105"/>
        </w:rPr>
        <w:t>Con</w:t>
      </w:r>
      <w:r>
        <w:rPr>
          <w:color w:val="231F20"/>
          <w:spacing w:val="-15"/>
          <w:w w:val="105"/>
        </w:rPr>
        <w:t> </w:t>
      </w:r>
      <w:r>
        <w:rPr>
          <w:color w:val="231F20"/>
          <w:w w:val="105"/>
        </w:rPr>
        <w:t>motivo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brecha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conocimiento</w:t>
      </w:r>
      <w:r>
        <w:rPr>
          <w:color w:val="231F20"/>
          <w:spacing w:val="-15"/>
          <w:w w:val="105"/>
        </w:rPr>
        <w:t> </w:t>
      </w:r>
      <w:r>
        <w:rPr>
          <w:color w:val="231F20"/>
          <w:w w:val="105"/>
        </w:rPr>
        <w:t>sobre</w:t>
      </w:r>
      <w:r>
        <w:rPr>
          <w:color w:val="231F20"/>
          <w:spacing w:val="-15"/>
          <w:w w:val="105"/>
        </w:rPr>
        <w:t> </w:t>
      </w:r>
      <w:r>
        <w:rPr>
          <w:color w:val="231F20"/>
          <w:w w:val="105"/>
        </w:rPr>
        <w:t>alianzas</w:t>
      </w:r>
      <w:r>
        <w:rPr>
          <w:color w:val="231F20"/>
          <w:spacing w:val="-15"/>
          <w:w w:val="105"/>
        </w:rPr>
        <w:t> </w:t>
      </w:r>
      <w:r>
        <w:rPr>
          <w:color w:val="231F20"/>
          <w:w w:val="105"/>
        </w:rPr>
        <w:t>descri- ta</w:t>
      </w:r>
      <w:r>
        <w:rPr>
          <w:color w:val="231F20"/>
          <w:spacing w:val="-5"/>
          <w:w w:val="105"/>
        </w:rPr>
        <w:t> </w:t>
      </w:r>
      <w:r>
        <w:rPr>
          <w:color w:val="231F20"/>
          <w:w w:val="105"/>
        </w:rPr>
        <w:t>anteriormente,</w:t>
      </w:r>
      <w:r>
        <w:rPr>
          <w:color w:val="231F20"/>
          <w:spacing w:val="-10"/>
          <w:w w:val="105"/>
        </w:rPr>
        <w:t> </w:t>
      </w:r>
      <w:r>
        <w:rPr>
          <w:color w:val="231F20"/>
          <w:w w:val="105"/>
        </w:rPr>
        <w:t>la</w:t>
      </w:r>
      <w:r>
        <w:rPr>
          <w:color w:val="231F20"/>
          <w:spacing w:val="-5"/>
          <w:w w:val="105"/>
        </w:rPr>
        <w:t> </w:t>
      </w:r>
      <w:r>
        <w:rPr>
          <w:color w:val="231F20"/>
          <w:w w:val="105"/>
        </w:rPr>
        <w:t>atención</w:t>
      </w:r>
      <w:r>
        <w:rPr>
          <w:color w:val="231F20"/>
          <w:spacing w:val="-5"/>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estudio</w:t>
      </w:r>
      <w:r>
        <w:rPr>
          <w:color w:val="231F20"/>
          <w:spacing w:val="-5"/>
          <w:w w:val="105"/>
        </w:rPr>
        <w:t> </w:t>
      </w:r>
      <w:r>
        <w:rPr>
          <w:color w:val="231F20"/>
          <w:w w:val="105"/>
        </w:rPr>
        <w:t>se</w:t>
      </w:r>
      <w:r>
        <w:rPr>
          <w:color w:val="231F20"/>
          <w:spacing w:val="-5"/>
          <w:w w:val="105"/>
        </w:rPr>
        <w:t> </w:t>
      </w:r>
      <w:r>
        <w:rPr>
          <w:color w:val="231F20"/>
          <w:w w:val="105"/>
        </w:rPr>
        <w:t>enfoca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siguientes preguntas de investigación ¿En qué forma difiere el efecto que las</w:t>
      </w:r>
      <w:r>
        <w:rPr>
          <w:color w:val="231F20"/>
          <w:spacing w:val="-27"/>
          <w:w w:val="105"/>
        </w:rPr>
        <w:t> </w:t>
      </w:r>
      <w:r>
        <w:rPr>
          <w:i/>
          <w:color w:val="231F20"/>
          <w:w w:val="105"/>
        </w:rPr>
        <w:t>joint </w:t>
      </w:r>
      <w:r>
        <w:rPr>
          <w:i/>
          <w:color w:val="231F20"/>
          <w:w w:val="105"/>
        </w:rPr>
        <w:t>venture</w:t>
      </w:r>
      <w:r>
        <w:rPr>
          <w:color w:val="231F20"/>
          <w:w w:val="105"/>
        </w:rPr>
        <w:t>s de manufactura y el de las de mercadotecnia tienen sobre el desempeño</w:t>
      </w:r>
      <w:r>
        <w:rPr>
          <w:color w:val="231F20"/>
          <w:spacing w:val="-12"/>
          <w:w w:val="105"/>
        </w:rPr>
        <w:t> </w:t>
      </w:r>
      <w:r>
        <w:rPr>
          <w:color w:val="231F20"/>
          <w:w w:val="105"/>
        </w:rPr>
        <w:t>contable</w:t>
      </w:r>
      <w:r>
        <w:rPr>
          <w:color w:val="231F20"/>
          <w:spacing w:val="-12"/>
          <w:w w:val="105"/>
        </w:rPr>
        <w:t> </w:t>
      </w:r>
      <w:r>
        <w:rPr>
          <w:color w:val="231F20"/>
          <w:w w:val="105"/>
        </w:rPr>
        <w:t>(ROA)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empresasque</w:t>
      </w:r>
      <w:r>
        <w:rPr>
          <w:color w:val="231F20"/>
          <w:spacing w:val="-12"/>
          <w:w w:val="105"/>
        </w:rPr>
        <w:t> </w:t>
      </w:r>
      <w:r>
        <w:rPr>
          <w:color w:val="231F20"/>
          <w:w w:val="105"/>
        </w:rPr>
        <w:t>las</w:t>
      </w:r>
      <w:r>
        <w:rPr>
          <w:color w:val="231F20"/>
          <w:spacing w:val="-12"/>
          <w:w w:val="105"/>
        </w:rPr>
        <w:t> </w:t>
      </w:r>
      <w:r>
        <w:rPr>
          <w:color w:val="231F20"/>
          <w:w w:val="105"/>
        </w:rPr>
        <w:t>forman?</w:t>
      </w:r>
      <w:r>
        <w:rPr>
          <w:color w:val="231F20"/>
          <w:spacing w:val="-12"/>
          <w:w w:val="105"/>
        </w:rPr>
        <w:t> </w:t>
      </w:r>
      <w:r>
        <w:rPr>
          <w:color w:val="231F20"/>
          <w:w w:val="105"/>
        </w:rPr>
        <w:t>¿Qué</w:t>
      </w:r>
      <w:r>
        <w:rPr>
          <w:color w:val="231F20"/>
          <w:spacing w:val="-12"/>
          <w:w w:val="105"/>
        </w:rPr>
        <w:t> </w:t>
      </w:r>
      <w:r>
        <w:rPr>
          <w:color w:val="231F20"/>
          <w:w w:val="105"/>
        </w:rPr>
        <w:t>tipo de</w:t>
      </w:r>
      <w:r>
        <w:rPr>
          <w:color w:val="231F20"/>
          <w:spacing w:val="-6"/>
          <w:w w:val="105"/>
        </w:rPr>
        <w:t> </w:t>
      </w:r>
      <w:r>
        <w:rPr>
          <w:i/>
          <w:color w:val="231F20"/>
          <w:w w:val="105"/>
        </w:rPr>
        <w:t>joint</w:t>
      </w:r>
      <w:r>
        <w:rPr>
          <w:i/>
          <w:color w:val="231F20"/>
          <w:spacing w:val="-6"/>
          <w:w w:val="105"/>
        </w:rPr>
        <w:t> </w:t>
      </w:r>
      <w:r>
        <w:rPr>
          <w:i/>
          <w:color w:val="231F20"/>
          <w:w w:val="105"/>
        </w:rPr>
        <w:t>venture</w:t>
      </w:r>
      <w:r>
        <w:rPr>
          <w:color w:val="231F20"/>
          <w:w w:val="105"/>
        </w:rPr>
        <w:t>s</w:t>
      </w:r>
      <w:r>
        <w:rPr>
          <w:color w:val="231F20"/>
          <w:spacing w:val="-5"/>
          <w:w w:val="105"/>
        </w:rPr>
        <w:t> </w:t>
      </w:r>
      <w:r>
        <w:rPr>
          <w:color w:val="231F20"/>
          <w:w w:val="105"/>
        </w:rPr>
        <w:t>benefician</w:t>
      </w:r>
      <w:r>
        <w:rPr>
          <w:color w:val="231F20"/>
          <w:spacing w:val="-5"/>
          <w:w w:val="105"/>
        </w:rPr>
        <w:t> </w:t>
      </w:r>
      <w:r>
        <w:rPr>
          <w:color w:val="231F20"/>
          <w:w w:val="105"/>
        </w:rPr>
        <w:t>más</w:t>
      </w:r>
      <w:r>
        <w:rPr>
          <w:color w:val="231F20"/>
          <w:spacing w:val="-5"/>
          <w:w w:val="105"/>
        </w:rPr>
        <w:t> </w:t>
      </w:r>
      <w:r>
        <w:rPr>
          <w:color w:val="231F20"/>
          <w:w w:val="105"/>
        </w:rPr>
        <w:t>a</w:t>
      </w:r>
      <w:r>
        <w:rPr>
          <w:color w:val="231F20"/>
          <w:spacing w:val="-5"/>
          <w:w w:val="105"/>
        </w:rPr>
        <w:t> </w:t>
      </w:r>
      <w:r>
        <w:rPr>
          <w:color w:val="231F20"/>
          <w:w w:val="105"/>
        </w:rPr>
        <w:t>las</w:t>
      </w:r>
      <w:r>
        <w:rPr>
          <w:color w:val="231F20"/>
          <w:spacing w:val="-5"/>
          <w:w w:val="105"/>
        </w:rPr>
        <w:t> </w:t>
      </w:r>
      <w:r>
        <w:rPr>
          <w:color w:val="231F20"/>
          <w:w w:val="105"/>
        </w:rPr>
        <w:t>empresas?</w:t>
      </w:r>
      <w:r>
        <w:rPr>
          <w:color w:val="231F20"/>
          <w:spacing w:val="-5"/>
          <w:w w:val="105"/>
        </w:rPr>
        <w:t> </w:t>
      </w:r>
      <w:r>
        <w:rPr>
          <w:color w:val="231F20"/>
          <w:w w:val="105"/>
        </w:rPr>
        <w:t>Sobre</w:t>
      </w:r>
      <w:r>
        <w:rPr>
          <w:color w:val="231F20"/>
          <w:spacing w:val="-5"/>
          <w:w w:val="105"/>
        </w:rPr>
        <w:t> </w:t>
      </w:r>
      <w:r>
        <w:rPr>
          <w:color w:val="231F20"/>
          <w:w w:val="105"/>
        </w:rPr>
        <w:t>los</w:t>
      </w:r>
      <w:r>
        <w:rPr>
          <w:color w:val="231F20"/>
          <w:spacing w:val="-5"/>
          <w:w w:val="105"/>
        </w:rPr>
        <w:t> </w:t>
      </w:r>
      <w:r>
        <w:rPr>
          <w:color w:val="231F20"/>
          <w:w w:val="105"/>
        </w:rPr>
        <w:t>postulados de</w:t>
      </w:r>
      <w:r>
        <w:rPr>
          <w:color w:val="231F20"/>
          <w:spacing w:val="-6"/>
          <w:w w:val="105"/>
        </w:rPr>
        <w:t> </w:t>
      </w: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de</w:t>
      </w:r>
      <w:r>
        <w:rPr>
          <w:color w:val="231F20"/>
          <w:spacing w:val="-6"/>
          <w:w w:val="105"/>
        </w:rPr>
        <w:t> </w:t>
      </w:r>
      <w:r>
        <w:rPr>
          <w:color w:val="231F20"/>
          <w:w w:val="105"/>
        </w:rPr>
        <w:t>recursos</w:t>
      </w:r>
      <w:r>
        <w:rPr>
          <w:color w:val="231F20"/>
          <w:spacing w:val="-6"/>
          <w:w w:val="105"/>
        </w:rPr>
        <w:t> </w:t>
      </w:r>
      <w:r>
        <w:rPr>
          <w:color w:val="231F20"/>
          <w:w w:val="105"/>
        </w:rPr>
        <w:t>y</w:t>
      </w:r>
      <w:r>
        <w:rPr>
          <w:color w:val="231F20"/>
          <w:spacing w:val="-6"/>
          <w:w w:val="105"/>
        </w:rPr>
        <w:t> </w:t>
      </w:r>
      <w:r>
        <w:rPr>
          <w:color w:val="231F20"/>
          <w:w w:val="105"/>
        </w:rPr>
        <w:t>capacidades</w:t>
      </w:r>
      <w:r>
        <w:rPr>
          <w:color w:val="231F20"/>
          <w:spacing w:val="-6"/>
          <w:w w:val="105"/>
        </w:rPr>
        <w:t> </w:t>
      </w:r>
      <w:r>
        <w:rPr>
          <w:color w:val="231F20"/>
          <w:w w:val="105"/>
        </w:rPr>
        <w:t>estratégicos</w:t>
      </w:r>
      <w:r>
        <w:rPr>
          <w:color w:val="231F20"/>
          <w:spacing w:val="-6"/>
          <w:w w:val="105"/>
        </w:rPr>
        <w:t> </w:t>
      </w:r>
      <w:r>
        <w:rPr>
          <w:color w:val="231F20"/>
          <w:w w:val="105"/>
        </w:rPr>
        <w:t>(Barney,</w:t>
      </w:r>
      <w:r>
        <w:rPr>
          <w:color w:val="231F20"/>
          <w:spacing w:val="-11"/>
          <w:w w:val="105"/>
        </w:rPr>
        <w:t> </w:t>
      </w:r>
      <w:r>
        <w:rPr>
          <w:color w:val="231F20"/>
          <w:w w:val="105"/>
        </w:rPr>
        <w:t>Ketchen</w:t>
      </w:r>
      <w:r>
        <w:rPr>
          <w:color w:val="231F20"/>
          <w:spacing w:val="-6"/>
          <w:w w:val="105"/>
        </w:rPr>
        <w:t> </w:t>
      </w:r>
      <w:r>
        <w:rPr>
          <w:color w:val="231F20"/>
          <w:w w:val="105"/>
        </w:rPr>
        <w:t>y Wright, 2011), se construye un argumento que auxilia en la deducción de</w:t>
      </w:r>
      <w:r>
        <w:rPr>
          <w:color w:val="231F20"/>
          <w:spacing w:val="-26"/>
          <w:w w:val="105"/>
        </w:rPr>
        <w:t> </w:t>
      </w:r>
      <w:r>
        <w:rPr>
          <w:color w:val="231F20"/>
          <w:w w:val="105"/>
        </w:rPr>
        <w:t>una</w:t>
      </w:r>
      <w:r>
        <w:rPr>
          <w:color w:val="231F20"/>
          <w:spacing w:val="-26"/>
          <w:w w:val="105"/>
        </w:rPr>
        <w:t> </w:t>
      </w:r>
      <w:r>
        <w:rPr>
          <w:color w:val="231F20"/>
          <w:w w:val="105"/>
        </w:rPr>
        <w:t>respuesta</w:t>
      </w:r>
      <w:r>
        <w:rPr>
          <w:color w:val="231F20"/>
          <w:spacing w:val="-26"/>
          <w:w w:val="105"/>
        </w:rPr>
        <w:t> </w:t>
      </w:r>
      <w:r>
        <w:rPr>
          <w:color w:val="231F20"/>
          <w:w w:val="105"/>
        </w:rPr>
        <w:t>a</w:t>
      </w:r>
      <w:r>
        <w:rPr>
          <w:color w:val="231F20"/>
          <w:spacing w:val="-26"/>
          <w:w w:val="105"/>
        </w:rPr>
        <w:t> </w:t>
      </w:r>
      <w:r>
        <w:rPr>
          <w:color w:val="231F20"/>
          <w:w w:val="105"/>
        </w:rPr>
        <w:t>estas</w:t>
      </w:r>
      <w:r>
        <w:rPr>
          <w:color w:val="231F20"/>
          <w:spacing w:val="-26"/>
          <w:w w:val="105"/>
        </w:rPr>
        <w:t> </w:t>
      </w:r>
      <w:r>
        <w:rPr>
          <w:color w:val="231F20"/>
          <w:w w:val="105"/>
        </w:rPr>
        <w:t>interrogantes.</w:t>
      </w:r>
      <w:r>
        <w:rPr>
          <w:color w:val="231F20"/>
          <w:spacing w:val="-30"/>
          <w:w w:val="105"/>
        </w:rPr>
        <w:t> </w:t>
      </w:r>
      <w:r>
        <w:rPr>
          <w:color w:val="231F20"/>
          <w:w w:val="105"/>
        </w:rPr>
        <w:t>Los</w:t>
      </w:r>
      <w:r>
        <w:rPr>
          <w:color w:val="231F20"/>
          <w:spacing w:val="-26"/>
          <w:w w:val="105"/>
        </w:rPr>
        <w:t> </w:t>
      </w:r>
      <w:r>
        <w:rPr>
          <w:color w:val="231F20"/>
          <w:w w:val="105"/>
        </w:rPr>
        <w:t>hallazgos</w:t>
      </w:r>
      <w:r>
        <w:rPr>
          <w:color w:val="231F20"/>
          <w:spacing w:val="-26"/>
          <w:w w:val="105"/>
        </w:rPr>
        <w:t> </w:t>
      </w:r>
      <w:r>
        <w:rPr>
          <w:color w:val="231F20"/>
          <w:w w:val="105"/>
        </w:rPr>
        <w:t>mostrados</w:t>
      </w:r>
      <w:r>
        <w:rPr>
          <w:color w:val="231F20"/>
          <w:spacing w:val="-26"/>
          <w:w w:val="105"/>
        </w:rPr>
        <w:t> </w:t>
      </w:r>
      <w:r>
        <w:rPr>
          <w:color w:val="231F20"/>
          <w:w w:val="105"/>
        </w:rPr>
        <w:t>en</w:t>
      </w:r>
      <w:r>
        <w:rPr>
          <w:color w:val="231F20"/>
          <w:spacing w:val="-26"/>
          <w:w w:val="105"/>
        </w:rPr>
        <w:t> </w:t>
      </w:r>
      <w:r>
        <w:rPr>
          <w:color w:val="231F20"/>
          <w:w w:val="105"/>
        </w:rPr>
        <w:t>este documento,</w:t>
      </w:r>
      <w:r>
        <w:rPr>
          <w:color w:val="231F20"/>
          <w:spacing w:val="-19"/>
          <w:w w:val="105"/>
        </w:rPr>
        <w:t> </w:t>
      </w:r>
      <w:r>
        <w:rPr>
          <w:color w:val="231F20"/>
          <w:w w:val="105"/>
        </w:rPr>
        <w:t>en</w:t>
      </w:r>
      <w:r>
        <w:rPr>
          <w:color w:val="231F20"/>
          <w:spacing w:val="-13"/>
          <w:w w:val="105"/>
        </w:rPr>
        <w:t> </w:t>
      </w:r>
      <w:r>
        <w:rPr>
          <w:color w:val="231F20"/>
          <w:w w:val="105"/>
        </w:rPr>
        <w:t>suma,</w:t>
      </w:r>
      <w:r>
        <w:rPr>
          <w:color w:val="231F20"/>
          <w:spacing w:val="-19"/>
          <w:w w:val="105"/>
        </w:rPr>
        <w:t> </w:t>
      </w:r>
      <w:r>
        <w:rPr>
          <w:color w:val="231F20"/>
          <w:w w:val="105"/>
        </w:rPr>
        <w:t>concuerdan</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cuerpo</w:t>
      </w:r>
      <w:r>
        <w:rPr>
          <w:color w:val="231F20"/>
          <w:spacing w:val="-13"/>
          <w:w w:val="105"/>
        </w:rPr>
        <w:t> </w:t>
      </w:r>
      <w:r>
        <w:rPr>
          <w:color w:val="231F20"/>
          <w:w w:val="105"/>
        </w:rPr>
        <w:t>actual</w:t>
      </w:r>
      <w:r>
        <w:rPr>
          <w:color w:val="231F20"/>
          <w:spacing w:val="-13"/>
          <w:w w:val="105"/>
        </w:rPr>
        <w:t> </w:t>
      </w:r>
      <w:r>
        <w:rPr>
          <w:color w:val="231F20"/>
          <w:w w:val="105"/>
        </w:rPr>
        <w:t>de</w:t>
      </w:r>
      <w:r>
        <w:rPr>
          <w:color w:val="231F20"/>
          <w:spacing w:val="-13"/>
          <w:w w:val="105"/>
        </w:rPr>
        <w:t> </w:t>
      </w:r>
      <w:r>
        <w:rPr>
          <w:color w:val="231F20"/>
          <w:w w:val="105"/>
        </w:rPr>
        <w:t>conocimiento sobre</w:t>
      </w:r>
      <w:r>
        <w:rPr>
          <w:color w:val="231F20"/>
          <w:spacing w:val="-18"/>
          <w:w w:val="105"/>
        </w:rPr>
        <w:t> </w:t>
      </w:r>
      <w:r>
        <w:rPr>
          <w:color w:val="231F20"/>
          <w:w w:val="105"/>
        </w:rPr>
        <w:t>el</w:t>
      </w:r>
      <w:r>
        <w:rPr>
          <w:color w:val="231F20"/>
          <w:spacing w:val="-18"/>
          <w:w w:val="105"/>
        </w:rPr>
        <w:t> </w:t>
      </w:r>
      <w:r>
        <w:rPr>
          <w:color w:val="231F20"/>
          <w:w w:val="105"/>
        </w:rPr>
        <w:t>tema</w:t>
      </w:r>
      <w:r>
        <w:rPr>
          <w:color w:val="231F20"/>
          <w:spacing w:val="-18"/>
          <w:w w:val="105"/>
        </w:rPr>
        <w:t> </w:t>
      </w:r>
      <w:r>
        <w:rPr>
          <w:color w:val="231F20"/>
          <w:w w:val="105"/>
        </w:rPr>
        <w:t>pues</w:t>
      </w:r>
      <w:r>
        <w:rPr>
          <w:color w:val="231F20"/>
          <w:spacing w:val="-18"/>
          <w:w w:val="105"/>
        </w:rPr>
        <w:t> </w:t>
      </w:r>
      <w:r>
        <w:rPr>
          <w:color w:val="231F20"/>
          <w:w w:val="105"/>
        </w:rPr>
        <w:t>son</w:t>
      </w:r>
      <w:r>
        <w:rPr>
          <w:color w:val="231F20"/>
          <w:spacing w:val="-18"/>
          <w:w w:val="105"/>
        </w:rPr>
        <w:t> </w:t>
      </w:r>
      <w:r>
        <w:rPr>
          <w:color w:val="231F20"/>
          <w:w w:val="105"/>
        </w:rPr>
        <w:t>evidencia</w:t>
      </w:r>
      <w:r>
        <w:rPr>
          <w:color w:val="231F20"/>
          <w:spacing w:val="-18"/>
          <w:w w:val="105"/>
        </w:rPr>
        <w:t> </w:t>
      </w:r>
      <w:r>
        <w:rPr>
          <w:color w:val="231F20"/>
          <w:w w:val="105"/>
        </w:rPr>
        <w:t>de</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ROA</w:t>
      </w:r>
      <w:r>
        <w:rPr>
          <w:color w:val="231F20"/>
          <w:spacing w:val="-20"/>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difiere significativamente</w:t>
      </w:r>
      <w:r>
        <w:rPr>
          <w:color w:val="231F20"/>
          <w:spacing w:val="-13"/>
          <w:w w:val="105"/>
        </w:rPr>
        <w:t> </w:t>
      </w:r>
      <w:r>
        <w:rPr>
          <w:color w:val="231F20"/>
          <w:w w:val="105"/>
        </w:rPr>
        <w:t>antes</w:t>
      </w:r>
      <w:r>
        <w:rPr>
          <w:color w:val="231F20"/>
          <w:spacing w:val="-13"/>
          <w:w w:val="105"/>
        </w:rPr>
        <w:t> </w:t>
      </w:r>
      <w:r>
        <w:rPr>
          <w:color w:val="231F20"/>
          <w:w w:val="105"/>
        </w:rPr>
        <w:t>y</w:t>
      </w:r>
      <w:r>
        <w:rPr>
          <w:color w:val="231F20"/>
          <w:spacing w:val="-13"/>
          <w:w w:val="105"/>
        </w:rPr>
        <w:t> </w:t>
      </w:r>
      <w:r>
        <w:rPr>
          <w:color w:val="231F20"/>
          <w:w w:val="105"/>
        </w:rPr>
        <w:t>después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formación</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i/>
          <w:color w:val="231F20"/>
          <w:w w:val="105"/>
        </w:rPr>
        <w:t>joint</w:t>
      </w:r>
      <w:r>
        <w:rPr>
          <w:i/>
          <w:color w:val="231F20"/>
          <w:spacing w:val="-13"/>
          <w:w w:val="105"/>
        </w:rPr>
        <w:t> </w:t>
      </w:r>
      <w:r>
        <w:rPr>
          <w:i/>
          <w:color w:val="231F20"/>
          <w:w w:val="105"/>
        </w:rPr>
        <w:t>venture</w:t>
      </w:r>
      <w:r>
        <w:rPr>
          <w:color w:val="231F20"/>
          <w:w w:val="105"/>
        </w:rPr>
        <w:t>. Sin</w:t>
      </w:r>
      <w:r>
        <w:rPr>
          <w:color w:val="231F20"/>
          <w:spacing w:val="-7"/>
          <w:w w:val="105"/>
        </w:rPr>
        <w:t> </w:t>
      </w:r>
      <w:r>
        <w:rPr>
          <w:color w:val="231F20"/>
          <w:w w:val="105"/>
        </w:rPr>
        <w:t>embargo,</w:t>
      </w:r>
      <w:r>
        <w:rPr>
          <w:color w:val="231F20"/>
          <w:spacing w:val="-13"/>
          <w:w w:val="105"/>
        </w:rPr>
        <w:t> </w:t>
      </w:r>
      <w:r>
        <w:rPr>
          <w:color w:val="231F20"/>
          <w:w w:val="105"/>
        </w:rPr>
        <w:t>y</w:t>
      </w:r>
      <w:r>
        <w:rPr>
          <w:color w:val="231F20"/>
          <w:spacing w:val="-7"/>
          <w:w w:val="105"/>
        </w:rPr>
        <w:t> </w:t>
      </w:r>
      <w:r>
        <w:rPr>
          <w:color w:val="231F20"/>
          <w:w w:val="105"/>
        </w:rPr>
        <w:t>expandiendo</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actual</w:t>
      </w:r>
      <w:r>
        <w:rPr>
          <w:color w:val="231F20"/>
          <w:spacing w:val="-7"/>
          <w:w w:val="105"/>
        </w:rPr>
        <w:t> </w:t>
      </w:r>
      <w:r>
        <w:rPr>
          <w:color w:val="231F20"/>
          <w:w w:val="105"/>
        </w:rPr>
        <w:t>sobre</w:t>
      </w:r>
      <w:r>
        <w:rPr>
          <w:color w:val="231F20"/>
          <w:spacing w:val="-7"/>
          <w:w w:val="105"/>
        </w:rPr>
        <w:t> </w:t>
      </w:r>
      <w:r>
        <w:rPr>
          <w:color w:val="231F20"/>
          <w:w w:val="105"/>
        </w:rPr>
        <w:t>la</w:t>
      </w:r>
      <w:r>
        <w:rPr>
          <w:color w:val="231F20"/>
          <w:spacing w:val="-7"/>
          <w:w w:val="105"/>
        </w:rPr>
        <w:t> </w:t>
      </w:r>
      <w:r>
        <w:rPr>
          <w:color w:val="231F20"/>
          <w:w w:val="105"/>
        </w:rPr>
        <w:t>materia,</w:t>
      </w:r>
      <w:r>
        <w:rPr>
          <w:color w:val="231F20"/>
          <w:spacing w:val="-13"/>
          <w:w w:val="105"/>
        </w:rPr>
        <w:t> </w:t>
      </w:r>
      <w:r>
        <w:rPr>
          <w:color w:val="231F20"/>
          <w:w w:val="105"/>
        </w:rPr>
        <w:t>la evidencia</w:t>
      </w:r>
      <w:r>
        <w:rPr>
          <w:color w:val="231F20"/>
          <w:spacing w:val="-26"/>
          <w:w w:val="105"/>
        </w:rPr>
        <w:t> </w:t>
      </w:r>
      <w:r>
        <w:rPr>
          <w:color w:val="231F20"/>
          <w:w w:val="105"/>
        </w:rPr>
        <w:t>obtenida</w:t>
      </w:r>
      <w:r>
        <w:rPr>
          <w:color w:val="231F20"/>
          <w:spacing w:val="-26"/>
          <w:w w:val="105"/>
        </w:rPr>
        <w:t> </w:t>
      </w:r>
      <w:r>
        <w:rPr>
          <w:color w:val="231F20"/>
          <w:w w:val="105"/>
        </w:rPr>
        <w:t>de</w:t>
      </w:r>
      <w:r>
        <w:rPr>
          <w:color w:val="231F20"/>
          <w:spacing w:val="-26"/>
          <w:w w:val="105"/>
        </w:rPr>
        <w:t> </w:t>
      </w:r>
      <w:r>
        <w:rPr>
          <w:color w:val="231F20"/>
          <w:w w:val="105"/>
        </w:rPr>
        <w:t>que</w:t>
      </w:r>
      <w:r>
        <w:rPr>
          <w:color w:val="231F20"/>
          <w:spacing w:val="-26"/>
          <w:w w:val="105"/>
        </w:rPr>
        <w:t> </w:t>
      </w:r>
      <w:r>
        <w:rPr>
          <w:color w:val="231F20"/>
          <w:w w:val="105"/>
        </w:rPr>
        <w:t>las</w:t>
      </w:r>
      <w:r>
        <w:rPr>
          <w:color w:val="231F20"/>
          <w:spacing w:val="-26"/>
          <w:w w:val="105"/>
        </w:rPr>
        <w:t> </w:t>
      </w:r>
      <w:r>
        <w:rPr>
          <w:color w:val="231F20"/>
          <w:w w:val="105"/>
        </w:rPr>
        <w:t>alianzas</w:t>
      </w:r>
      <w:r>
        <w:rPr>
          <w:color w:val="231F20"/>
          <w:spacing w:val="-26"/>
          <w:w w:val="105"/>
        </w:rPr>
        <w:t> </w:t>
      </w:r>
      <w:r>
        <w:rPr>
          <w:color w:val="231F20"/>
          <w:w w:val="105"/>
        </w:rPr>
        <w:t>de</w:t>
      </w:r>
      <w:r>
        <w:rPr>
          <w:color w:val="231F20"/>
          <w:spacing w:val="-26"/>
          <w:w w:val="105"/>
        </w:rPr>
        <w:t> </w:t>
      </w:r>
      <w:r>
        <w:rPr>
          <w:color w:val="231F20"/>
          <w:w w:val="105"/>
        </w:rPr>
        <w:t>manufactura</w:t>
      </w:r>
      <w:r>
        <w:rPr>
          <w:color w:val="231F20"/>
          <w:spacing w:val="-26"/>
          <w:w w:val="105"/>
        </w:rPr>
        <w:t> </w:t>
      </w:r>
      <w:r>
        <w:rPr>
          <w:color w:val="231F20"/>
          <w:w w:val="105"/>
        </w:rPr>
        <w:t>y</w:t>
      </w:r>
      <w:r>
        <w:rPr>
          <w:color w:val="231F20"/>
          <w:spacing w:val="-26"/>
          <w:w w:val="105"/>
        </w:rPr>
        <w:t> </w:t>
      </w:r>
      <w:r>
        <w:rPr>
          <w:color w:val="231F20"/>
          <w:w w:val="105"/>
        </w:rPr>
        <w:t>las</w:t>
      </w:r>
      <w:r>
        <w:rPr>
          <w:color w:val="231F20"/>
          <w:spacing w:val="-26"/>
          <w:w w:val="105"/>
        </w:rPr>
        <w:t> </w:t>
      </w:r>
      <w:r>
        <w:rPr>
          <w:color w:val="231F20"/>
          <w:w w:val="105"/>
        </w:rPr>
        <w:t>de</w:t>
      </w:r>
      <w:r>
        <w:rPr>
          <w:color w:val="231F20"/>
          <w:spacing w:val="-26"/>
          <w:w w:val="105"/>
        </w:rPr>
        <w:t> </w:t>
      </w:r>
      <w:r>
        <w:rPr>
          <w:color w:val="231F20"/>
          <w:w w:val="105"/>
        </w:rPr>
        <w:t>mercado- tecnia</w:t>
      </w:r>
      <w:r>
        <w:rPr>
          <w:color w:val="231F20"/>
          <w:spacing w:val="-14"/>
          <w:w w:val="105"/>
        </w:rPr>
        <w:t> </w:t>
      </w:r>
      <w:r>
        <w:rPr>
          <w:color w:val="231F20"/>
          <w:w w:val="105"/>
        </w:rPr>
        <w:t>producen</w:t>
      </w:r>
      <w:r>
        <w:rPr>
          <w:color w:val="231F20"/>
          <w:spacing w:val="-14"/>
          <w:w w:val="105"/>
        </w:rPr>
        <w:t> </w:t>
      </w:r>
      <w:r>
        <w:rPr>
          <w:color w:val="231F20"/>
          <w:w w:val="105"/>
        </w:rPr>
        <w:t>un</w:t>
      </w:r>
      <w:r>
        <w:rPr>
          <w:color w:val="231F20"/>
          <w:spacing w:val="-14"/>
          <w:w w:val="105"/>
        </w:rPr>
        <w:t> </w:t>
      </w:r>
      <w:r>
        <w:rPr>
          <w:color w:val="231F20"/>
          <w:w w:val="105"/>
        </w:rPr>
        <w:t>efecto</w:t>
      </w:r>
      <w:r>
        <w:rPr>
          <w:color w:val="231F20"/>
          <w:spacing w:val="-14"/>
          <w:w w:val="105"/>
        </w:rPr>
        <w:t> </w:t>
      </w:r>
      <w:r>
        <w:rPr>
          <w:color w:val="231F20"/>
          <w:w w:val="105"/>
        </w:rPr>
        <w:t>diferente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indicador</w:t>
      </w:r>
      <w:r>
        <w:rPr>
          <w:color w:val="231F20"/>
          <w:spacing w:val="-14"/>
          <w:w w:val="105"/>
        </w:rPr>
        <w:t> </w:t>
      </w:r>
      <w:r>
        <w:rPr>
          <w:color w:val="231F20"/>
          <w:w w:val="105"/>
        </w:rPr>
        <w:t>contable</w:t>
      </w:r>
      <w:r>
        <w:rPr>
          <w:color w:val="231F20"/>
          <w:spacing w:val="-14"/>
          <w:w w:val="105"/>
        </w:rPr>
        <w:t> </w:t>
      </w:r>
      <w:r>
        <w:rPr>
          <w:color w:val="231F20"/>
          <w:w w:val="105"/>
        </w:rPr>
        <w:t>en</w:t>
      </w:r>
      <w:r>
        <w:rPr>
          <w:color w:val="231F20"/>
          <w:spacing w:val="-14"/>
          <w:w w:val="105"/>
        </w:rPr>
        <w:t> </w:t>
      </w:r>
      <w:r>
        <w:rPr>
          <w:color w:val="231F20"/>
          <w:w w:val="105"/>
        </w:rPr>
        <w:t>mención es</w:t>
      </w:r>
      <w:r>
        <w:rPr>
          <w:color w:val="231F20"/>
          <w:spacing w:val="-25"/>
          <w:w w:val="105"/>
        </w:rPr>
        <w:t> </w:t>
      </w:r>
      <w:r>
        <w:rPr>
          <w:color w:val="231F20"/>
          <w:w w:val="105"/>
        </w:rPr>
        <w:t>sólo</w:t>
      </w:r>
      <w:r>
        <w:rPr>
          <w:color w:val="231F20"/>
          <w:spacing w:val="-25"/>
          <w:w w:val="105"/>
        </w:rPr>
        <w:t> </w:t>
      </w:r>
      <w:r>
        <w:rPr>
          <w:color w:val="231F20"/>
          <w:w w:val="105"/>
        </w:rPr>
        <w:t>marginal.</w:t>
      </w:r>
    </w:p>
    <w:p>
      <w:pPr>
        <w:pStyle w:val="BodyText"/>
        <w:spacing w:line="259" w:lineRule="auto"/>
        <w:ind w:left="117" w:right="121" w:firstLine="567"/>
        <w:jc w:val="both"/>
      </w:pPr>
      <w:r>
        <w:rPr>
          <w:color w:val="231F20"/>
          <w:w w:val="105"/>
        </w:rPr>
        <w:t>El resto de este documento se organiza de la siguiente forma.</w:t>
      </w:r>
      <w:r>
        <w:rPr>
          <w:color w:val="231F20"/>
          <w:spacing w:val="-38"/>
          <w:w w:val="105"/>
        </w:rPr>
        <w:t> </w:t>
      </w:r>
      <w:r>
        <w:rPr>
          <w:color w:val="231F20"/>
          <w:w w:val="105"/>
        </w:rPr>
        <w:t>En la</w:t>
      </w:r>
      <w:r>
        <w:rPr>
          <w:color w:val="231F20"/>
          <w:spacing w:val="-10"/>
          <w:w w:val="105"/>
        </w:rPr>
        <w:t> </w:t>
      </w:r>
      <w:r>
        <w:rPr>
          <w:color w:val="231F20"/>
          <w:w w:val="105"/>
        </w:rPr>
        <w:t>sección</w:t>
      </w:r>
      <w:r>
        <w:rPr>
          <w:color w:val="231F20"/>
          <w:spacing w:val="-10"/>
          <w:w w:val="105"/>
        </w:rPr>
        <w:t> </w:t>
      </w:r>
      <w:r>
        <w:rPr>
          <w:color w:val="231F20"/>
          <w:w w:val="105"/>
        </w:rPr>
        <w:t>contigua</w:t>
      </w:r>
      <w:r>
        <w:rPr>
          <w:color w:val="231F20"/>
          <w:spacing w:val="-10"/>
          <w:w w:val="105"/>
        </w:rPr>
        <w:t> </w:t>
      </w:r>
      <w:r>
        <w:rPr>
          <w:color w:val="231F20"/>
          <w:w w:val="105"/>
        </w:rPr>
        <w:t>se</w:t>
      </w:r>
      <w:r>
        <w:rPr>
          <w:color w:val="231F20"/>
          <w:spacing w:val="-10"/>
          <w:w w:val="105"/>
        </w:rPr>
        <w:t> </w:t>
      </w:r>
      <w:r>
        <w:rPr>
          <w:color w:val="231F20"/>
          <w:w w:val="105"/>
        </w:rPr>
        <w:t>presenta</w:t>
      </w:r>
      <w:r>
        <w:rPr>
          <w:color w:val="231F20"/>
          <w:spacing w:val="-10"/>
          <w:w w:val="105"/>
        </w:rPr>
        <w:t> </w:t>
      </w:r>
      <w:r>
        <w:rPr>
          <w:color w:val="231F20"/>
          <w:w w:val="105"/>
        </w:rPr>
        <w:t>un</w:t>
      </w:r>
      <w:r>
        <w:rPr>
          <w:color w:val="231F20"/>
          <w:spacing w:val="-10"/>
          <w:w w:val="105"/>
        </w:rPr>
        <w:t> </w:t>
      </w:r>
      <w:r>
        <w:rPr>
          <w:color w:val="231F20"/>
          <w:w w:val="105"/>
        </w:rPr>
        <w:t>argumento</w:t>
      </w:r>
      <w:r>
        <w:rPr>
          <w:color w:val="231F20"/>
          <w:spacing w:val="-10"/>
          <w:w w:val="105"/>
        </w:rPr>
        <w:t> </w:t>
      </w:r>
      <w:r>
        <w:rPr>
          <w:color w:val="231F20"/>
          <w:w w:val="105"/>
        </w:rPr>
        <w:t>derivado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que</w:t>
      </w:r>
    </w:p>
    <w:p>
      <w:pPr>
        <w:spacing w:after="0" w:line="259" w:lineRule="auto"/>
        <w:jc w:val="both"/>
        <w:sectPr>
          <w:type w:val="continuous"/>
          <w:pgSz w:w="9640" w:h="13890"/>
          <w:pgMar w:top="1300" w:bottom="280" w:left="1300" w:right="1180"/>
        </w:sectPr>
      </w:pPr>
    </w:p>
    <w:p>
      <w:pPr>
        <w:pStyle w:val="BodyText"/>
        <w:spacing w:line="259" w:lineRule="auto" w:before="120"/>
        <w:ind w:left="103" w:right="115"/>
        <w:jc w:val="both"/>
      </w:pPr>
      <w:r>
        <w:rPr>
          <w:color w:val="231F20"/>
          <w:w w:val="105"/>
        </w:rPr>
        <w:t>promueve</w:t>
      </w:r>
      <w:r>
        <w:rPr>
          <w:color w:val="231F20"/>
          <w:spacing w:val="-13"/>
          <w:w w:val="105"/>
        </w:rPr>
        <w:t> </w:t>
      </w:r>
      <w:r>
        <w:rPr>
          <w:color w:val="231F20"/>
          <w:w w:val="105"/>
        </w:rPr>
        <w:t>las</w:t>
      </w:r>
      <w:r>
        <w:rPr>
          <w:color w:val="231F20"/>
          <w:spacing w:val="-13"/>
          <w:w w:val="105"/>
        </w:rPr>
        <w:t> </w:t>
      </w:r>
      <w:r>
        <w:rPr>
          <w:color w:val="231F20"/>
          <w:w w:val="105"/>
        </w:rPr>
        <w:t>hipótesis</w:t>
      </w:r>
      <w:r>
        <w:rPr>
          <w:color w:val="231F20"/>
          <w:spacing w:val="-13"/>
          <w:w w:val="105"/>
        </w:rPr>
        <w:t> </w:t>
      </w:r>
      <w:r>
        <w:rPr>
          <w:color w:val="231F20"/>
          <w:w w:val="105"/>
        </w:rPr>
        <w:t>del</w:t>
      </w:r>
      <w:r>
        <w:rPr>
          <w:color w:val="231F20"/>
          <w:spacing w:val="-13"/>
          <w:w w:val="105"/>
        </w:rPr>
        <w:t> </w:t>
      </w:r>
      <w:r>
        <w:rPr>
          <w:color w:val="231F20"/>
          <w:w w:val="105"/>
        </w:rPr>
        <w:t>estudio.</w:t>
      </w:r>
      <w:r>
        <w:rPr>
          <w:color w:val="231F20"/>
          <w:spacing w:val="-23"/>
          <w:w w:val="105"/>
        </w:rPr>
        <w:t> </w:t>
      </w:r>
      <w:r>
        <w:rPr>
          <w:color w:val="231F20"/>
          <w:w w:val="105"/>
        </w:rPr>
        <w:t>A</w:t>
      </w:r>
      <w:r>
        <w:rPr>
          <w:color w:val="231F20"/>
          <w:spacing w:val="-17"/>
          <w:w w:val="105"/>
        </w:rPr>
        <w:t> </w:t>
      </w:r>
      <w:r>
        <w:rPr>
          <w:color w:val="231F20"/>
          <w:w w:val="105"/>
        </w:rPr>
        <w:t>continuación,</w:t>
      </w:r>
      <w:r>
        <w:rPr>
          <w:color w:val="231F20"/>
          <w:spacing w:val="-19"/>
          <w:w w:val="105"/>
        </w:rPr>
        <w:t> </w:t>
      </w:r>
      <w:r>
        <w:rPr>
          <w:color w:val="231F20"/>
          <w:w w:val="105"/>
        </w:rPr>
        <w:t>se</w:t>
      </w:r>
      <w:r>
        <w:rPr>
          <w:color w:val="231F20"/>
          <w:spacing w:val="-13"/>
          <w:w w:val="105"/>
        </w:rPr>
        <w:t> </w:t>
      </w:r>
      <w:r>
        <w:rPr>
          <w:color w:val="231F20"/>
          <w:w w:val="105"/>
        </w:rPr>
        <w:t>describe</w:t>
      </w:r>
      <w:r>
        <w:rPr>
          <w:color w:val="231F20"/>
          <w:spacing w:val="-13"/>
          <w:w w:val="105"/>
        </w:rPr>
        <w:t> </w:t>
      </w:r>
      <w:r>
        <w:rPr>
          <w:color w:val="231F20"/>
          <w:w w:val="105"/>
        </w:rPr>
        <w:t>el</w:t>
      </w:r>
      <w:r>
        <w:rPr>
          <w:color w:val="231F20"/>
          <w:spacing w:val="-13"/>
          <w:w w:val="105"/>
        </w:rPr>
        <w:t> </w:t>
      </w:r>
      <w:r>
        <w:rPr>
          <w:color w:val="231F20"/>
          <w:w w:val="105"/>
        </w:rPr>
        <w:t>méto- do de investigación empleado para probar las hipótesis y se muestran los</w:t>
      </w:r>
      <w:r>
        <w:rPr>
          <w:color w:val="231F20"/>
          <w:spacing w:val="-11"/>
          <w:w w:val="105"/>
        </w:rPr>
        <w:t> </w:t>
      </w:r>
      <w:r>
        <w:rPr>
          <w:color w:val="231F20"/>
          <w:w w:val="105"/>
        </w:rPr>
        <w:t>resultados</w:t>
      </w:r>
      <w:r>
        <w:rPr>
          <w:color w:val="231F20"/>
          <w:spacing w:val="-11"/>
          <w:w w:val="105"/>
        </w:rPr>
        <w:t> </w:t>
      </w:r>
      <w:r>
        <w:rPr>
          <w:color w:val="231F20"/>
          <w:w w:val="105"/>
        </w:rPr>
        <w:t>del</w:t>
      </w:r>
      <w:r>
        <w:rPr>
          <w:color w:val="231F20"/>
          <w:spacing w:val="-11"/>
          <w:w w:val="105"/>
        </w:rPr>
        <w:t> </w:t>
      </w:r>
      <w:r>
        <w:rPr>
          <w:color w:val="231F20"/>
          <w:w w:val="105"/>
        </w:rPr>
        <w:t>análisis</w:t>
      </w:r>
      <w:r>
        <w:rPr>
          <w:color w:val="231F20"/>
          <w:spacing w:val="-11"/>
          <w:w w:val="105"/>
        </w:rPr>
        <w:t> </w:t>
      </w:r>
      <w:r>
        <w:rPr>
          <w:color w:val="231F20"/>
          <w:w w:val="105"/>
        </w:rPr>
        <w:t>empírico.</w:t>
      </w:r>
      <w:r>
        <w:rPr>
          <w:color w:val="231F20"/>
          <w:spacing w:val="-16"/>
          <w:w w:val="105"/>
        </w:rPr>
        <w:t> </w:t>
      </w:r>
      <w:r>
        <w:rPr>
          <w:color w:val="231F20"/>
          <w:w w:val="105"/>
        </w:rPr>
        <w:t>Se</w:t>
      </w:r>
      <w:r>
        <w:rPr>
          <w:color w:val="231F20"/>
          <w:spacing w:val="-11"/>
          <w:w w:val="105"/>
        </w:rPr>
        <w:t> </w:t>
      </w:r>
      <w:r>
        <w:rPr>
          <w:color w:val="231F20"/>
          <w:w w:val="105"/>
        </w:rPr>
        <w:t>finaliza</w:t>
      </w:r>
      <w:r>
        <w:rPr>
          <w:color w:val="231F20"/>
          <w:spacing w:val="-11"/>
          <w:w w:val="105"/>
        </w:rPr>
        <w:t> </w:t>
      </w:r>
      <w:r>
        <w:rPr>
          <w:color w:val="231F20"/>
          <w:w w:val="105"/>
        </w:rPr>
        <w:t>con</w:t>
      </w:r>
      <w:r>
        <w:rPr>
          <w:color w:val="231F20"/>
          <w:spacing w:val="-11"/>
          <w:w w:val="105"/>
        </w:rPr>
        <w:t> </w:t>
      </w:r>
      <w:r>
        <w:rPr>
          <w:color w:val="231F20"/>
          <w:w w:val="105"/>
        </w:rPr>
        <w:t>una</w:t>
      </w:r>
      <w:r>
        <w:rPr>
          <w:color w:val="231F20"/>
          <w:spacing w:val="-11"/>
          <w:w w:val="105"/>
        </w:rPr>
        <w:t> </w:t>
      </w:r>
      <w:r>
        <w:rPr>
          <w:color w:val="231F20"/>
          <w:w w:val="105"/>
        </w:rPr>
        <w:t>discusión</w:t>
      </w:r>
      <w:r>
        <w:rPr>
          <w:color w:val="231F20"/>
          <w:spacing w:val="-11"/>
          <w:w w:val="105"/>
        </w:rPr>
        <w:t> </w:t>
      </w:r>
      <w:r>
        <w:rPr>
          <w:color w:val="231F20"/>
          <w:w w:val="105"/>
        </w:rPr>
        <w:t>de</w:t>
      </w:r>
      <w:r>
        <w:rPr>
          <w:color w:val="231F20"/>
          <w:spacing w:val="-11"/>
          <w:w w:val="105"/>
        </w:rPr>
        <w:t> </w:t>
      </w:r>
      <w:r>
        <w:rPr>
          <w:color w:val="231F20"/>
          <w:w w:val="105"/>
        </w:rPr>
        <w:t>los resultados</w:t>
      </w:r>
      <w:r>
        <w:rPr>
          <w:color w:val="231F20"/>
          <w:spacing w:val="-26"/>
          <w:w w:val="105"/>
        </w:rPr>
        <w:t> </w:t>
      </w:r>
      <w:r>
        <w:rPr>
          <w:color w:val="231F20"/>
          <w:w w:val="105"/>
        </w:rPr>
        <w:t>y</w:t>
      </w:r>
      <w:r>
        <w:rPr>
          <w:color w:val="231F20"/>
          <w:spacing w:val="-26"/>
          <w:w w:val="105"/>
        </w:rPr>
        <w:t> </w:t>
      </w:r>
      <w:r>
        <w:rPr>
          <w:color w:val="231F20"/>
          <w:w w:val="105"/>
        </w:rPr>
        <w:t>las</w:t>
      </w:r>
      <w:r>
        <w:rPr>
          <w:color w:val="231F20"/>
          <w:spacing w:val="-26"/>
          <w:w w:val="105"/>
        </w:rPr>
        <w:t> </w:t>
      </w:r>
      <w:r>
        <w:rPr>
          <w:color w:val="231F20"/>
          <w:w w:val="105"/>
        </w:rPr>
        <w:t>implicaciones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investigación;</w:t>
      </w:r>
      <w:r>
        <w:rPr>
          <w:color w:val="231F20"/>
          <w:spacing w:val="-26"/>
          <w:w w:val="105"/>
        </w:rPr>
        <w:t> </w:t>
      </w:r>
      <w:r>
        <w:rPr>
          <w:color w:val="231F20"/>
          <w:w w:val="105"/>
        </w:rPr>
        <w:t>así</w:t>
      </w:r>
      <w:r>
        <w:rPr>
          <w:color w:val="231F20"/>
          <w:spacing w:val="-26"/>
          <w:w w:val="105"/>
        </w:rPr>
        <w:t> </w:t>
      </w:r>
      <w:r>
        <w:rPr>
          <w:color w:val="231F20"/>
          <w:w w:val="105"/>
        </w:rPr>
        <w:t>como</w:t>
      </w:r>
      <w:r>
        <w:rPr>
          <w:color w:val="231F20"/>
          <w:spacing w:val="-26"/>
          <w:w w:val="105"/>
        </w:rPr>
        <w:t> </w:t>
      </w:r>
      <w:r>
        <w:rPr>
          <w:color w:val="231F20"/>
          <w:w w:val="105"/>
        </w:rPr>
        <w:t>con</w:t>
      </w:r>
      <w:r>
        <w:rPr>
          <w:color w:val="231F20"/>
          <w:spacing w:val="-26"/>
          <w:w w:val="105"/>
        </w:rPr>
        <w:t> </w:t>
      </w:r>
      <w:r>
        <w:rPr>
          <w:color w:val="231F20"/>
          <w:w w:val="105"/>
        </w:rPr>
        <w:t>un</w:t>
      </w:r>
      <w:r>
        <w:rPr>
          <w:color w:val="231F20"/>
          <w:spacing w:val="-26"/>
          <w:w w:val="105"/>
        </w:rPr>
        <w:t> </w:t>
      </w:r>
      <w:r>
        <w:rPr>
          <w:color w:val="231F20"/>
          <w:w w:val="105"/>
        </w:rPr>
        <w:t>par</w:t>
      </w:r>
      <w:r>
        <w:rPr>
          <w:color w:val="231F20"/>
          <w:spacing w:val="-26"/>
          <w:w w:val="105"/>
        </w:rPr>
        <w:t> </w:t>
      </w:r>
      <w:r>
        <w:rPr>
          <w:color w:val="231F20"/>
          <w:w w:val="105"/>
        </w:rPr>
        <w:t>de reflexiones</w:t>
      </w:r>
      <w:r>
        <w:rPr>
          <w:color w:val="231F20"/>
          <w:spacing w:val="-28"/>
          <w:w w:val="105"/>
        </w:rPr>
        <w:t> </w:t>
      </w:r>
      <w:r>
        <w:rPr>
          <w:color w:val="231F20"/>
          <w:w w:val="105"/>
        </w:rPr>
        <w:t>sobre</w:t>
      </w:r>
      <w:r>
        <w:rPr>
          <w:color w:val="231F20"/>
          <w:spacing w:val="-28"/>
          <w:w w:val="105"/>
        </w:rPr>
        <w:t> </w:t>
      </w:r>
      <w:r>
        <w:rPr>
          <w:color w:val="231F20"/>
          <w:w w:val="105"/>
        </w:rPr>
        <w:t>la</w:t>
      </w:r>
      <w:r>
        <w:rPr>
          <w:color w:val="231F20"/>
          <w:spacing w:val="-28"/>
          <w:w w:val="105"/>
        </w:rPr>
        <w:t> </w:t>
      </w:r>
      <w:r>
        <w:rPr>
          <w:color w:val="231F20"/>
          <w:w w:val="105"/>
        </w:rPr>
        <w:t>investigación</w:t>
      </w:r>
      <w:r>
        <w:rPr>
          <w:color w:val="231F20"/>
          <w:spacing w:val="-28"/>
          <w:w w:val="105"/>
        </w:rPr>
        <w:t> </w:t>
      </w:r>
      <w:r>
        <w:rPr>
          <w:color w:val="231F20"/>
          <w:w w:val="105"/>
        </w:rPr>
        <w:t>en</w:t>
      </w:r>
      <w:r>
        <w:rPr>
          <w:color w:val="231F20"/>
          <w:spacing w:val="-28"/>
          <w:w w:val="105"/>
        </w:rPr>
        <w:t> </w:t>
      </w:r>
      <w:r>
        <w:rPr>
          <w:color w:val="231F20"/>
          <w:w w:val="105"/>
        </w:rPr>
        <w:t>alianzas</w:t>
      </w:r>
      <w:r>
        <w:rPr>
          <w:color w:val="231F20"/>
          <w:spacing w:val="-28"/>
          <w:w w:val="105"/>
        </w:rPr>
        <w:t> </w:t>
      </w:r>
      <w:r>
        <w:rPr>
          <w:color w:val="231F20"/>
          <w:w w:val="105"/>
        </w:rPr>
        <w:t>en</w:t>
      </w:r>
      <w:r>
        <w:rPr>
          <w:color w:val="231F20"/>
          <w:spacing w:val="-28"/>
          <w:w w:val="105"/>
        </w:rPr>
        <w:t> </w:t>
      </w:r>
      <w:r>
        <w:rPr>
          <w:color w:val="231F20"/>
          <w:w w:val="105"/>
        </w:rPr>
        <w:t>México.</w:t>
      </w:r>
    </w:p>
    <w:p>
      <w:pPr>
        <w:pStyle w:val="BodyText"/>
        <w:rPr>
          <w:sz w:val="20"/>
        </w:rPr>
      </w:pPr>
    </w:p>
    <w:p>
      <w:pPr>
        <w:pStyle w:val="BodyText"/>
        <w:spacing w:before="7"/>
        <w:rPr>
          <w:sz w:val="18"/>
        </w:rPr>
      </w:pPr>
    </w:p>
    <w:p>
      <w:pPr>
        <w:pStyle w:val="Heading2"/>
        <w:ind w:left="103"/>
      </w:pPr>
      <w:r>
        <w:rPr>
          <w:color w:val="231F20"/>
          <w:w w:val="95"/>
        </w:rPr>
        <w:t>Antecedentes e hipótesis</w:t>
      </w:r>
    </w:p>
    <w:p>
      <w:pPr>
        <w:pStyle w:val="BodyText"/>
        <w:rPr>
          <w:b/>
          <w:sz w:val="22"/>
        </w:rPr>
      </w:pPr>
    </w:p>
    <w:p>
      <w:pPr>
        <w:pStyle w:val="BodyText"/>
        <w:spacing w:line="259" w:lineRule="auto" w:before="160"/>
        <w:ind w:left="103" w:right="111"/>
        <w:jc w:val="both"/>
      </w:pPr>
      <w:r>
        <w:rPr>
          <w:color w:val="231F20"/>
          <w:spacing w:val="-9"/>
          <w:w w:val="105"/>
        </w:rPr>
        <w:t>Tal</w:t>
      </w:r>
      <w:r>
        <w:rPr>
          <w:color w:val="231F20"/>
          <w:spacing w:val="-14"/>
          <w:w w:val="105"/>
        </w:rPr>
        <w:t> </w:t>
      </w:r>
      <w:r>
        <w:rPr>
          <w:color w:val="231F20"/>
          <w:w w:val="105"/>
        </w:rPr>
        <w:t>y</w:t>
      </w:r>
      <w:r>
        <w:rPr>
          <w:color w:val="231F20"/>
          <w:spacing w:val="-14"/>
          <w:w w:val="105"/>
        </w:rPr>
        <w:t> </w:t>
      </w:r>
      <w:r>
        <w:rPr>
          <w:color w:val="231F20"/>
          <w:spacing w:val="-3"/>
          <w:w w:val="105"/>
        </w:rPr>
        <w:t>como</w:t>
      </w:r>
      <w:r>
        <w:rPr>
          <w:color w:val="231F20"/>
          <w:spacing w:val="-14"/>
          <w:w w:val="105"/>
        </w:rPr>
        <w:t> </w:t>
      </w:r>
      <w:r>
        <w:rPr>
          <w:color w:val="231F20"/>
          <w:w w:val="105"/>
        </w:rPr>
        <w:t>se</w:t>
      </w:r>
      <w:r>
        <w:rPr>
          <w:color w:val="231F20"/>
          <w:spacing w:val="-14"/>
          <w:w w:val="105"/>
        </w:rPr>
        <w:t> </w:t>
      </w:r>
      <w:r>
        <w:rPr>
          <w:color w:val="231F20"/>
          <w:w w:val="105"/>
        </w:rPr>
        <w:t>ha</w:t>
      </w:r>
      <w:r>
        <w:rPr>
          <w:color w:val="231F20"/>
          <w:spacing w:val="-14"/>
          <w:w w:val="105"/>
        </w:rPr>
        <w:t> </w:t>
      </w:r>
      <w:r>
        <w:rPr>
          <w:color w:val="231F20"/>
          <w:spacing w:val="-3"/>
          <w:w w:val="105"/>
        </w:rPr>
        <w:t>aplicado</w:t>
      </w:r>
      <w:r>
        <w:rPr>
          <w:color w:val="231F20"/>
          <w:spacing w:val="-14"/>
          <w:w w:val="105"/>
        </w:rPr>
        <w:t> </w:t>
      </w:r>
      <w:r>
        <w:rPr>
          <w:color w:val="231F20"/>
          <w:w w:val="105"/>
        </w:rPr>
        <w:t>al</w:t>
      </w:r>
      <w:r>
        <w:rPr>
          <w:color w:val="231F20"/>
          <w:spacing w:val="-14"/>
          <w:w w:val="105"/>
        </w:rPr>
        <w:t> </w:t>
      </w:r>
      <w:r>
        <w:rPr>
          <w:color w:val="231F20"/>
          <w:spacing w:val="-3"/>
          <w:w w:val="105"/>
        </w:rPr>
        <w:t>fenómeno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formación</w:t>
      </w:r>
      <w:r>
        <w:rPr>
          <w:color w:val="231F20"/>
          <w:spacing w:val="-14"/>
          <w:w w:val="105"/>
        </w:rPr>
        <w:t> </w:t>
      </w:r>
      <w:r>
        <w:rPr>
          <w:color w:val="231F20"/>
          <w:w w:val="105"/>
        </w:rPr>
        <w:t>de</w:t>
      </w:r>
      <w:r>
        <w:rPr>
          <w:color w:val="231F20"/>
          <w:spacing w:val="-14"/>
          <w:w w:val="105"/>
        </w:rPr>
        <w:t> </w:t>
      </w:r>
      <w:r>
        <w:rPr>
          <w:color w:val="231F20"/>
          <w:spacing w:val="-3"/>
          <w:w w:val="105"/>
        </w:rPr>
        <w:t>alianzas</w:t>
      </w:r>
      <w:r>
        <w:rPr>
          <w:color w:val="231F20"/>
          <w:spacing w:val="-14"/>
          <w:w w:val="105"/>
        </w:rPr>
        <w:t> </w:t>
      </w:r>
      <w:r>
        <w:rPr>
          <w:color w:val="231F20"/>
          <w:w w:val="105"/>
        </w:rPr>
        <w:t>y</w:t>
      </w:r>
      <w:r>
        <w:rPr>
          <w:color w:val="231F20"/>
          <w:spacing w:val="-14"/>
          <w:w w:val="105"/>
        </w:rPr>
        <w:t> </w:t>
      </w:r>
      <w:r>
        <w:rPr>
          <w:i/>
          <w:color w:val="231F20"/>
          <w:spacing w:val="-3"/>
          <w:w w:val="105"/>
        </w:rPr>
        <w:t>joint </w:t>
      </w:r>
      <w:r>
        <w:rPr>
          <w:i/>
          <w:color w:val="231F20"/>
          <w:spacing w:val="-3"/>
          <w:w w:val="105"/>
        </w:rPr>
        <w:t>venture</w:t>
      </w:r>
      <w:r>
        <w:rPr>
          <w:color w:val="231F20"/>
          <w:spacing w:val="-3"/>
          <w:w w:val="105"/>
        </w:rPr>
        <w:t>s,</w:t>
      </w:r>
      <w:r>
        <w:rPr>
          <w:color w:val="231F20"/>
          <w:spacing w:val="-40"/>
          <w:w w:val="105"/>
        </w:rPr>
        <w:t> </w:t>
      </w:r>
      <w:r>
        <w:rPr>
          <w:color w:val="231F20"/>
          <w:w w:val="105"/>
        </w:rPr>
        <w:t>la</w:t>
      </w:r>
      <w:r>
        <w:rPr>
          <w:color w:val="231F20"/>
          <w:spacing w:val="-36"/>
          <w:w w:val="105"/>
        </w:rPr>
        <w:t> </w:t>
      </w:r>
      <w:r>
        <w:rPr>
          <w:color w:val="231F20"/>
          <w:spacing w:val="-3"/>
          <w:w w:val="105"/>
        </w:rPr>
        <w:t>teoría</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spacing w:val="-3"/>
          <w:w w:val="105"/>
        </w:rPr>
        <w:t>recursos</w:t>
      </w:r>
      <w:r>
        <w:rPr>
          <w:color w:val="231F20"/>
          <w:spacing w:val="-36"/>
          <w:w w:val="105"/>
        </w:rPr>
        <w:t> </w:t>
      </w:r>
      <w:r>
        <w:rPr>
          <w:color w:val="231F20"/>
          <w:w w:val="105"/>
        </w:rPr>
        <w:t>y</w:t>
      </w:r>
      <w:r>
        <w:rPr>
          <w:color w:val="231F20"/>
          <w:spacing w:val="-36"/>
          <w:w w:val="105"/>
        </w:rPr>
        <w:t> </w:t>
      </w:r>
      <w:r>
        <w:rPr>
          <w:color w:val="231F20"/>
          <w:spacing w:val="-3"/>
          <w:w w:val="105"/>
        </w:rPr>
        <w:t>capacidades</w:t>
      </w:r>
      <w:r>
        <w:rPr>
          <w:color w:val="231F20"/>
          <w:spacing w:val="-36"/>
          <w:w w:val="105"/>
        </w:rPr>
        <w:t> </w:t>
      </w:r>
      <w:r>
        <w:rPr>
          <w:color w:val="231F20"/>
          <w:spacing w:val="-4"/>
          <w:w w:val="105"/>
        </w:rPr>
        <w:t>estratégicos</w:t>
      </w:r>
      <w:r>
        <w:rPr>
          <w:color w:val="231F20"/>
          <w:spacing w:val="-36"/>
          <w:w w:val="105"/>
        </w:rPr>
        <w:t> </w:t>
      </w:r>
      <w:r>
        <w:rPr>
          <w:color w:val="231F20"/>
          <w:spacing w:val="-3"/>
          <w:w w:val="105"/>
        </w:rPr>
        <w:t>indica</w:t>
      </w:r>
      <w:r>
        <w:rPr>
          <w:color w:val="231F20"/>
          <w:spacing w:val="-36"/>
          <w:w w:val="105"/>
        </w:rPr>
        <w:t> </w:t>
      </w:r>
      <w:r>
        <w:rPr>
          <w:color w:val="231F20"/>
          <w:w w:val="105"/>
        </w:rPr>
        <w:t>que</w:t>
      </w:r>
      <w:r>
        <w:rPr>
          <w:color w:val="231F20"/>
          <w:spacing w:val="-36"/>
          <w:w w:val="105"/>
        </w:rPr>
        <w:t> </w:t>
      </w:r>
      <w:r>
        <w:rPr>
          <w:color w:val="231F20"/>
          <w:spacing w:val="-3"/>
          <w:w w:val="105"/>
        </w:rPr>
        <w:t>las empresas pueden obtener diferentes beneficios </w:t>
      </w:r>
      <w:r>
        <w:rPr>
          <w:color w:val="231F20"/>
          <w:w w:val="105"/>
        </w:rPr>
        <w:t>de su </w:t>
      </w:r>
      <w:r>
        <w:rPr>
          <w:color w:val="231F20"/>
          <w:spacing w:val="-3"/>
          <w:w w:val="105"/>
        </w:rPr>
        <w:t>colaboración con otras</w:t>
      </w:r>
      <w:r>
        <w:rPr>
          <w:color w:val="231F20"/>
          <w:spacing w:val="-8"/>
          <w:w w:val="105"/>
        </w:rPr>
        <w:t> </w:t>
      </w:r>
      <w:r>
        <w:rPr>
          <w:color w:val="231F20"/>
          <w:spacing w:val="-3"/>
          <w:w w:val="105"/>
        </w:rPr>
        <w:t>entidades.</w:t>
      </w:r>
      <w:r>
        <w:rPr>
          <w:color w:val="231F20"/>
          <w:spacing w:val="-13"/>
          <w:w w:val="105"/>
        </w:rPr>
        <w:t> </w:t>
      </w:r>
      <w:r>
        <w:rPr>
          <w:color w:val="231F20"/>
          <w:spacing w:val="-3"/>
          <w:w w:val="105"/>
        </w:rPr>
        <w:t>Cuando</w:t>
      </w:r>
      <w:r>
        <w:rPr>
          <w:color w:val="231F20"/>
          <w:spacing w:val="-8"/>
          <w:w w:val="105"/>
        </w:rPr>
        <w:t> </w:t>
      </w:r>
      <w:r>
        <w:rPr>
          <w:color w:val="231F20"/>
          <w:w w:val="105"/>
        </w:rPr>
        <w:t>dos</w:t>
      </w:r>
      <w:r>
        <w:rPr>
          <w:color w:val="231F20"/>
          <w:spacing w:val="-8"/>
          <w:w w:val="105"/>
        </w:rPr>
        <w:t> </w:t>
      </w:r>
      <w:r>
        <w:rPr>
          <w:color w:val="231F20"/>
          <w:spacing w:val="-3"/>
          <w:w w:val="105"/>
        </w:rPr>
        <w:t>empresas</w:t>
      </w:r>
      <w:r>
        <w:rPr>
          <w:color w:val="231F20"/>
          <w:spacing w:val="-8"/>
          <w:w w:val="105"/>
        </w:rPr>
        <w:t> </w:t>
      </w:r>
      <w:r>
        <w:rPr>
          <w:color w:val="231F20"/>
          <w:spacing w:val="-3"/>
          <w:w w:val="105"/>
        </w:rPr>
        <w:t>combinan</w:t>
      </w:r>
      <w:r>
        <w:rPr>
          <w:color w:val="231F20"/>
          <w:spacing w:val="-8"/>
          <w:w w:val="105"/>
        </w:rPr>
        <w:t> </w:t>
      </w:r>
      <w:r>
        <w:rPr>
          <w:color w:val="231F20"/>
          <w:spacing w:val="-3"/>
          <w:w w:val="105"/>
        </w:rPr>
        <w:t>recursos</w:t>
      </w:r>
      <w:r>
        <w:rPr>
          <w:color w:val="231F20"/>
          <w:spacing w:val="-8"/>
          <w:w w:val="105"/>
        </w:rPr>
        <w:t> </w:t>
      </w:r>
      <w:r>
        <w:rPr>
          <w:color w:val="231F20"/>
          <w:w w:val="105"/>
        </w:rPr>
        <w:t>que</w:t>
      </w:r>
      <w:r>
        <w:rPr>
          <w:color w:val="231F20"/>
          <w:spacing w:val="-8"/>
          <w:w w:val="105"/>
        </w:rPr>
        <w:t> </w:t>
      </w:r>
      <w:r>
        <w:rPr>
          <w:color w:val="231F20"/>
          <w:w w:val="105"/>
        </w:rPr>
        <w:t>son</w:t>
      </w:r>
      <w:r>
        <w:rPr>
          <w:color w:val="231F20"/>
          <w:spacing w:val="-8"/>
          <w:w w:val="105"/>
        </w:rPr>
        <w:t> </w:t>
      </w:r>
      <w:r>
        <w:rPr>
          <w:color w:val="231F20"/>
          <w:spacing w:val="-3"/>
          <w:w w:val="105"/>
        </w:rPr>
        <w:t>muy similares</w:t>
      </w:r>
      <w:r>
        <w:rPr>
          <w:color w:val="231F20"/>
          <w:spacing w:val="-30"/>
          <w:w w:val="105"/>
        </w:rPr>
        <w:t> </w:t>
      </w:r>
      <w:r>
        <w:rPr>
          <w:color w:val="231F20"/>
          <w:w w:val="105"/>
        </w:rPr>
        <w:t>(o</w:t>
      </w:r>
      <w:r>
        <w:rPr>
          <w:color w:val="231F20"/>
          <w:spacing w:val="-30"/>
          <w:w w:val="105"/>
        </w:rPr>
        <w:t> </w:t>
      </w:r>
      <w:r>
        <w:rPr>
          <w:color w:val="231F20"/>
          <w:spacing w:val="-3"/>
          <w:w w:val="105"/>
        </w:rPr>
        <w:t>incluso</w:t>
      </w:r>
      <w:r>
        <w:rPr>
          <w:color w:val="231F20"/>
          <w:spacing w:val="-30"/>
          <w:w w:val="105"/>
        </w:rPr>
        <w:t> </w:t>
      </w:r>
      <w:r>
        <w:rPr>
          <w:color w:val="231F20"/>
          <w:spacing w:val="-3"/>
          <w:w w:val="105"/>
        </w:rPr>
        <w:t>iguales</w:t>
      </w:r>
      <w:r>
        <w:rPr>
          <w:color w:val="231F20"/>
          <w:spacing w:val="-30"/>
          <w:w w:val="105"/>
        </w:rPr>
        <w:t> </w:t>
      </w:r>
      <w:r>
        <w:rPr>
          <w:color w:val="231F20"/>
          <w:spacing w:val="-3"/>
          <w:w w:val="105"/>
        </w:rPr>
        <w:t>como</w:t>
      </w:r>
      <w:r>
        <w:rPr>
          <w:color w:val="231F20"/>
          <w:spacing w:val="-30"/>
          <w:w w:val="105"/>
        </w:rPr>
        <w:t> </w:t>
      </w:r>
      <w:r>
        <w:rPr>
          <w:color w:val="231F20"/>
          <w:spacing w:val="-3"/>
          <w:w w:val="105"/>
        </w:rPr>
        <w:t>cierta</w:t>
      </w:r>
      <w:r>
        <w:rPr>
          <w:color w:val="231F20"/>
          <w:spacing w:val="-30"/>
          <w:w w:val="105"/>
        </w:rPr>
        <w:t> </w:t>
      </w:r>
      <w:r>
        <w:rPr>
          <w:color w:val="231F20"/>
          <w:spacing w:val="-3"/>
          <w:w w:val="105"/>
        </w:rPr>
        <w:t>maquinaria</w:t>
      </w:r>
      <w:r>
        <w:rPr>
          <w:color w:val="231F20"/>
          <w:spacing w:val="-30"/>
          <w:w w:val="105"/>
        </w:rPr>
        <w:t> </w:t>
      </w:r>
      <w:r>
        <w:rPr>
          <w:color w:val="231F20"/>
          <w:w w:val="105"/>
        </w:rPr>
        <w:t>y</w:t>
      </w:r>
      <w:r>
        <w:rPr>
          <w:color w:val="231F20"/>
          <w:spacing w:val="-30"/>
          <w:w w:val="105"/>
        </w:rPr>
        <w:t> </w:t>
      </w:r>
      <w:r>
        <w:rPr>
          <w:color w:val="231F20"/>
          <w:spacing w:val="-3"/>
          <w:w w:val="105"/>
        </w:rPr>
        <w:t>equipo),</w:t>
      </w:r>
      <w:r>
        <w:rPr>
          <w:color w:val="231F20"/>
          <w:spacing w:val="-35"/>
          <w:w w:val="105"/>
        </w:rPr>
        <w:t> </w:t>
      </w:r>
      <w:r>
        <w:rPr>
          <w:color w:val="231F20"/>
          <w:spacing w:val="-3"/>
          <w:w w:val="105"/>
        </w:rPr>
        <w:t>básicamente </w:t>
      </w:r>
      <w:r>
        <w:rPr>
          <w:color w:val="231F20"/>
          <w:w w:val="105"/>
        </w:rPr>
        <w:t>los</w:t>
      </w:r>
      <w:r>
        <w:rPr>
          <w:color w:val="231F20"/>
          <w:spacing w:val="-14"/>
          <w:w w:val="105"/>
        </w:rPr>
        <w:t> </w:t>
      </w:r>
      <w:r>
        <w:rPr>
          <w:color w:val="231F20"/>
          <w:spacing w:val="-3"/>
          <w:w w:val="105"/>
        </w:rPr>
        <w:t>comparten</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spacing w:val="-3"/>
          <w:w w:val="105"/>
        </w:rPr>
        <w:t>finalidad</w:t>
      </w:r>
      <w:r>
        <w:rPr>
          <w:color w:val="231F20"/>
          <w:spacing w:val="-14"/>
          <w:w w:val="105"/>
        </w:rPr>
        <w:t> </w:t>
      </w:r>
      <w:r>
        <w:rPr>
          <w:color w:val="231F20"/>
          <w:w w:val="105"/>
        </w:rPr>
        <w:t>de</w:t>
      </w:r>
      <w:r>
        <w:rPr>
          <w:color w:val="231F20"/>
          <w:spacing w:val="-14"/>
          <w:w w:val="105"/>
        </w:rPr>
        <w:t> </w:t>
      </w:r>
      <w:r>
        <w:rPr>
          <w:color w:val="231F20"/>
          <w:spacing w:val="-3"/>
          <w:w w:val="105"/>
        </w:rPr>
        <w:t>explotar</w:t>
      </w:r>
      <w:r>
        <w:rPr>
          <w:color w:val="231F20"/>
          <w:spacing w:val="-14"/>
          <w:w w:val="105"/>
        </w:rPr>
        <w:t> </w:t>
      </w:r>
      <w:r>
        <w:rPr>
          <w:color w:val="231F20"/>
          <w:spacing w:val="-3"/>
          <w:w w:val="105"/>
        </w:rPr>
        <w:t>economías</w:t>
      </w:r>
      <w:r>
        <w:rPr>
          <w:color w:val="231F20"/>
          <w:spacing w:val="-14"/>
          <w:w w:val="105"/>
        </w:rPr>
        <w:t> </w:t>
      </w:r>
      <w:r>
        <w:rPr>
          <w:color w:val="231F20"/>
          <w:w w:val="105"/>
        </w:rPr>
        <w:t>de</w:t>
      </w:r>
      <w:r>
        <w:rPr>
          <w:color w:val="231F20"/>
          <w:spacing w:val="-14"/>
          <w:w w:val="105"/>
        </w:rPr>
        <w:t> </w:t>
      </w:r>
      <w:r>
        <w:rPr>
          <w:color w:val="231F20"/>
          <w:spacing w:val="-3"/>
          <w:w w:val="105"/>
        </w:rPr>
        <w:t>alcance,</w:t>
      </w:r>
      <w:r>
        <w:rPr>
          <w:color w:val="231F20"/>
          <w:spacing w:val="-19"/>
          <w:w w:val="105"/>
        </w:rPr>
        <w:t> </w:t>
      </w:r>
      <w:r>
        <w:rPr>
          <w:color w:val="231F20"/>
          <w:w w:val="105"/>
        </w:rPr>
        <w:t>e</w:t>
      </w:r>
      <w:r>
        <w:rPr>
          <w:color w:val="231F20"/>
          <w:spacing w:val="-14"/>
          <w:w w:val="105"/>
        </w:rPr>
        <w:t> </w:t>
      </w:r>
      <w:r>
        <w:rPr>
          <w:color w:val="231F20"/>
          <w:spacing w:val="-3"/>
          <w:w w:val="105"/>
        </w:rPr>
        <w:t>inclu- </w:t>
      </w:r>
      <w:r>
        <w:rPr>
          <w:color w:val="231F20"/>
          <w:w w:val="105"/>
        </w:rPr>
        <w:t>so de </w:t>
      </w:r>
      <w:r>
        <w:rPr>
          <w:color w:val="231F20"/>
          <w:spacing w:val="-3"/>
          <w:w w:val="105"/>
        </w:rPr>
        <w:t>escala, </w:t>
      </w:r>
      <w:r>
        <w:rPr>
          <w:color w:val="231F20"/>
          <w:w w:val="105"/>
        </w:rPr>
        <w:t>que </w:t>
      </w:r>
      <w:r>
        <w:rPr>
          <w:color w:val="231F20"/>
          <w:spacing w:val="-3"/>
          <w:w w:val="105"/>
        </w:rPr>
        <w:t>reducen </w:t>
      </w:r>
      <w:r>
        <w:rPr>
          <w:color w:val="231F20"/>
          <w:w w:val="105"/>
        </w:rPr>
        <w:t>su </w:t>
      </w:r>
      <w:r>
        <w:rPr>
          <w:color w:val="231F20"/>
          <w:spacing w:val="-3"/>
          <w:w w:val="105"/>
        </w:rPr>
        <w:t>costo unitario </w:t>
      </w:r>
      <w:r>
        <w:rPr>
          <w:color w:val="231F20"/>
          <w:w w:val="105"/>
        </w:rPr>
        <w:t>de </w:t>
      </w:r>
      <w:r>
        <w:rPr>
          <w:color w:val="231F20"/>
          <w:spacing w:val="-3"/>
          <w:w w:val="105"/>
        </w:rPr>
        <w:t>producción </w:t>
      </w:r>
      <w:r>
        <w:rPr>
          <w:color w:val="231F20"/>
          <w:spacing w:val="-4"/>
          <w:w w:val="105"/>
        </w:rPr>
        <w:t>(Gary, </w:t>
      </w:r>
      <w:r>
        <w:rPr>
          <w:color w:val="231F20"/>
          <w:spacing w:val="-3"/>
          <w:w w:val="105"/>
        </w:rPr>
        <w:t>2005). </w:t>
      </w:r>
      <w:r>
        <w:rPr>
          <w:color w:val="231F20"/>
          <w:w w:val="105"/>
        </w:rPr>
        <w:t>Las </w:t>
      </w:r>
      <w:r>
        <w:rPr>
          <w:color w:val="231F20"/>
          <w:spacing w:val="-3"/>
          <w:w w:val="105"/>
        </w:rPr>
        <w:t>empresas también podrían combinar algunos recursos mutuamente interdependientes </w:t>
      </w:r>
      <w:r>
        <w:rPr>
          <w:color w:val="231F20"/>
          <w:w w:val="105"/>
        </w:rPr>
        <w:t>y </w:t>
      </w:r>
      <w:r>
        <w:rPr>
          <w:color w:val="231F20"/>
          <w:spacing w:val="-3"/>
          <w:w w:val="105"/>
        </w:rPr>
        <w:t>explotar complementariedades valiosas </w:t>
      </w:r>
      <w:r>
        <w:rPr>
          <w:color w:val="231F20"/>
          <w:w w:val="105"/>
        </w:rPr>
        <w:t>que </w:t>
      </w:r>
      <w:r>
        <w:rPr>
          <w:color w:val="231F20"/>
          <w:spacing w:val="-3"/>
          <w:w w:val="105"/>
        </w:rPr>
        <w:t>pueden aumentar</w:t>
      </w:r>
      <w:r>
        <w:rPr>
          <w:color w:val="231F20"/>
          <w:spacing w:val="-19"/>
          <w:w w:val="105"/>
        </w:rPr>
        <w:t> </w:t>
      </w:r>
      <w:r>
        <w:rPr>
          <w:color w:val="231F20"/>
          <w:w w:val="105"/>
        </w:rPr>
        <w:t>su</w:t>
      </w:r>
      <w:r>
        <w:rPr>
          <w:color w:val="231F20"/>
          <w:spacing w:val="-19"/>
          <w:w w:val="105"/>
        </w:rPr>
        <w:t> </w:t>
      </w:r>
      <w:r>
        <w:rPr>
          <w:color w:val="231F20"/>
          <w:spacing w:val="-3"/>
          <w:w w:val="105"/>
        </w:rPr>
        <w:t>alcance</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3"/>
          <w:w w:val="105"/>
        </w:rPr>
        <w:t>mercado</w:t>
      </w:r>
      <w:r>
        <w:rPr>
          <w:color w:val="231F20"/>
          <w:spacing w:val="-19"/>
          <w:w w:val="105"/>
        </w:rPr>
        <w:t> </w:t>
      </w:r>
      <w:r>
        <w:rPr>
          <w:color w:val="231F20"/>
          <w:spacing w:val="-5"/>
          <w:w w:val="105"/>
        </w:rPr>
        <w:t>y,</w:t>
      </w:r>
      <w:r>
        <w:rPr>
          <w:color w:val="231F20"/>
          <w:spacing w:val="-24"/>
          <w:w w:val="105"/>
        </w:rPr>
        <w:t> </w:t>
      </w:r>
      <w:r>
        <w:rPr>
          <w:color w:val="231F20"/>
          <w:spacing w:val="-3"/>
          <w:w w:val="105"/>
        </w:rPr>
        <w:t>como</w:t>
      </w:r>
      <w:r>
        <w:rPr>
          <w:color w:val="231F20"/>
          <w:spacing w:val="-19"/>
          <w:w w:val="105"/>
        </w:rPr>
        <w:t> </w:t>
      </w:r>
      <w:r>
        <w:rPr>
          <w:color w:val="231F20"/>
          <w:spacing w:val="-3"/>
          <w:w w:val="105"/>
        </w:rPr>
        <w:t>consecuencia,</w:t>
      </w:r>
      <w:r>
        <w:rPr>
          <w:color w:val="231F20"/>
          <w:spacing w:val="-24"/>
          <w:w w:val="105"/>
        </w:rPr>
        <w:t> </w:t>
      </w:r>
      <w:r>
        <w:rPr>
          <w:color w:val="231F20"/>
          <w:w w:val="105"/>
        </w:rPr>
        <w:t>su</w:t>
      </w:r>
      <w:r>
        <w:rPr>
          <w:color w:val="231F20"/>
          <w:spacing w:val="-19"/>
          <w:w w:val="105"/>
        </w:rPr>
        <w:t> </w:t>
      </w:r>
      <w:r>
        <w:rPr>
          <w:color w:val="231F20"/>
          <w:spacing w:val="-3"/>
          <w:w w:val="105"/>
        </w:rPr>
        <w:t>base</w:t>
      </w:r>
      <w:r>
        <w:rPr>
          <w:color w:val="231F20"/>
          <w:spacing w:val="-19"/>
          <w:w w:val="105"/>
        </w:rPr>
        <w:t> </w:t>
      </w:r>
      <w:r>
        <w:rPr>
          <w:color w:val="231F20"/>
          <w:w w:val="105"/>
        </w:rPr>
        <w:t>de</w:t>
      </w:r>
      <w:r>
        <w:rPr>
          <w:color w:val="231F20"/>
          <w:spacing w:val="-19"/>
          <w:w w:val="105"/>
        </w:rPr>
        <w:t> </w:t>
      </w:r>
      <w:r>
        <w:rPr>
          <w:color w:val="231F20"/>
          <w:w w:val="105"/>
        </w:rPr>
        <w:t>in- </w:t>
      </w:r>
      <w:r>
        <w:rPr>
          <w:color w:val="231F20"/>
          <w:spacing w:val="-3"/>
          <w:w w:val="105"/>
        </w:rPr>
        <w:t>gresos</w:t>
      </w:r>
      <w:r>
        <w:rPr>
          <w:color w:val="231F20"/>
          <w:spacing w:val="-28"/>
          <w:w w:val="105"/>
        </w:rPr>
        <w:t> </w:t>
      </w:r>
      <w:r>
        <w:rPr>
          <w:color w:val="231F20"/>
          <w:spacing w:val="-5"/>
          <w:w w:val="105"/>
        </w:rPr>
        <w:t>(Tanriverdi</w:t>
      </w:r>
      <w:r>
        <w:rPr>
          <w:color w:val="231F20"/>
          <w:spacing w:val="-28"/>
          <w:w w:val="105"/>
        </w:rPr>
        <w:t> </w:t>
      </w:r>
      <w:r>
        <w:rPr>
          <w:color w:val="231F20"/>
          <w:w w:val="105"/>
        </w:rPr>
        <w:t>y</w:t>
      </w:r>
      <w:r>
        <w:rPr>
          <w:color w:val="231F20"/>
          <w:spacing w:val="-30"/>
          <w:w w:val="105"/>
        </w:rPr>
        <w:t> </w:t>
      </w:r>
      <w:r>
        <w:rPr>
          <w:color w:val="231F20"/>
          <w:spacing w:val="-4"/>
          <w:w w:val="105"/>
        </w:rPr>
        <w:t>Venkatraman,</w:t>
      </w:r>
      <w:r>
        <w:rPr>
          <w:color w:val="231F20"/>
          <w:spacing w:val="-31"/>
          <w:w w:val="105"/>
        </w:rPr>
        <w:t> </w:t>
      </w:r>
      <w:r>
        <w:rPr>
          <w:color w:val="231F20"/>
          <w:spacing w:val="-3"/>
          <w:w w:val="105"/>
        </w:rPr>
        <w:t>2005).</w:t>
      </w:r>
      <w:r>
        <w:rPr>
          <w:color w:val="231F20"/>
          <w:spacing w:val="-31"/>
          <w:w w:val="105"/>
        </w:rPr>
        <w:t> </w:t>
      </w:r>
      <w:r>
        <w:rPr>
          <w:color w:val="231F20"/>
          <w:w w:val="105"/>
        </w:rPr>
        <w:t>En</w:t>
      </w:r>
      <w:r>
        <w:rPr>
          <w:color w:val="231F20"/>
          <w:spacing w:val="-28"/>
          <w:w w:val="105"/>
        </w:rPr>
        <w:t> </w:t>
      </w:r>
      <w:r>
        <w:rPr>
          <w:color w:val="231F20"/>
          <w:spacing w:val="-3"/>
          <w:w w:val="105"/>
        </w:rPr>
        <w:t>ambos</w:t>
      </w:r>
      <w:r>
        <w:rPr>
          <w:color w:val="231F20"/>
          <w:spacing w:val="-28"/>
          <w:w w:val="105"/>
        </w:rPr>
        <w:t> </w:t>
      </w:r>
      <w:r>
        <w:rPr>
          <w:color w:val="231F20"/>
          <w:spacing w:val="-3"/>
          <w:w w:val="105"/>
        </w:rPr>
        <w:t>casos,</w:t>
      </w:r>
      <w:r>
        <w:rPr>
          <w:color w:val="231F20"/>
          <w:spacing w:val="-31"/>
          <w:w w:val="105"/>
        </w:rPr>
        <w:t> </w:t>
      </w:r>
      <w:r>
        <w:rPr>
          <w:color w:val="231F20"/>
          <w:w w:val="105"/>
        </w:rPr>
        <w:t>la</w:t>
      </w:r>
      <w:r>
        <w:rPr>
          <w:color w:val="231F20"/>
          <w:spacing w:val="-28"/>
          <w:w w:val="105"/>
        </w:rPr>
        <w:t> </w:t>
      </w:r>
      <w:r>
        <w:rPr>
          <w:color w:val="231F20"/>
          <w:spacing w:val="-3"/>
          <w:w w:val="105"/>
        </w:rPr>
        <w:t>combinación </w:t>
      </w:r>
      <w:r>
        <w:rPr>
          <w:color w:val="231F20"/>
          <w:w w:val="105"/>
        </w:rPr>
        <w:t>de</w:t>
      </w:r>
      <w:r>
        <w:rPr>
          <w:color w:val="231F20"/>
          <w:spacing w:val="-17"/>
          <w:w w:val="105"/>
        </w:rPr>
        <w:t> </w:t>
      </w:r>
      <w:r>
        <w:rPr>
          <w:color w:val="231F20"/>
          <w:spacing w:val="-3"/>
          <w:w w:val="105"/>
        </w:rPr>
        <w:t>recursos</w:t>
      </w:r>
      <w:r>
        <w:rPr>
          <w:color w:val="231F20"/>
          <w:spacing w:val="-17"/>
          <w:w w:val="105"/>
        </w:rPr>
        <w:t> </w:t>
      </w:r>
      <w:r>
        <w:rPr>
          <w:color w:val="231F20"/>
          <w:w w:val="105"/>
        </w:rPr>
        <w:t>vía</w:t>
      </w:r>
      <w:r>
        <w:rPr>
          <w:color w:val="231F20"/>
          <w:spacing w:val="-17"/>
          <w:w w:val="105"/>
        </w:rPr>
        <w:t> </w:t>
      </w:r>
      <w:r>
        <w:rPr>
          <w:color w:val="231F20"/>
          <w:w w:val="105"/>
        </w:rPr>
        <w:t>la</w:t>
      </w:r>
      <w:r>
        <w:rPr>
          <w:color w:val="231F20"/>
          <w:spacing w:val="-17"/>
          <w:w w:val="105"/>
        </w:rPr>
        <w:t> </w:t>
      </w:r>
      <w:r>
        <w:rPr>
          <w:i/>
          <w:color w:val="231F20"/>
          <w:spacing w:val="-3"/>
          <w:w w:val="105"/>
        </w:rPr>
        <w:t>joint</w:t>
      </w:r>
      <w:r>
        <w:rPr>
          <w:i/>
          <w:color w:val="231F20"/>
          <w:spacing w:val="-17"/>
          <w:w w:val="105"/>
        </w:rPr>
        <w:t> </w:t>
      </w:r>
      <w:r>
        <w:rPr>
          <w:i/>
          <w:color w:val="231F20"/>
          <w:spacing w:val="-3"/>
          <w:w w:val="105"/>
        </w:rPr>
        <w:t>venture</w:t>
      </w:r>
      <w:r>
        <w:rPr>
          <w:i/>
          <w:color w:val="231F20"/>
          <w:spacing w:val="-17"/>
          <w:w w:val="105"/>
        </w:rPr>
        <w:t> </w:t>
      </w:r>
      <w:r>
        <w:rPr>
          <w:color w:val="231F20"/>
          <w:spacing w:val="-3"/>
          <w:w w:val="105"/>
        </w:rPr>
        <w:t>puede</w:t>
      </w:r>
      <w:r>
        <w:rPr>
          <w:color w:val="231F20"/>
          <w:spacing w:val="-17"/>
          <w:w w:val="105"/>
        </w:rPr>
        <w:t> </w:t>
      </w:r>
      <w:r>
        <w:rPr>
          <w:color w:val="231F20"/>
          <w:spacing w:val="-3"/>
          <w:w w:val="105"/>
        </w:rPr>
        <w:t>resultar</w:t>
      </w:r>
      <w:r>
        <w:rPr>
          <w:color w:val="231F20"/>
          <w:spacing w:val="-17"/>
          <w:w w:val="105"/>
        </w:rPr>
        <w:t> </w:t>
      </w:r>
      <w:r>
        <w:rPr>
          <w:color w:val="231F20"/>
          <w:spacing w:val="-3"/>
          <w:w w:val="105"/>
        </w:rPr>
        <w:t>valiosa,</w:t>
      </w:r>
      <w:r>
        <w:rPr>
          <w:color w:val="231F20"/>
          <w:spacing w:val="-23"/>
          <w:w w:val="105"/>
        </w:rPr>
        <w:t> </w:t>
      </w:r>
      <w:r>
        <w:rPr>
          <w:color w:val="231F20"/>
          <w:spacing w:val="-4"/>
          <w:w w:val="105"/>
        </w:rPr>
        <w:t>rara,</w:t>
      </w:r>
      <w:r>
        <w:rPr>
          <w:color w:val="231F20"/>
          <w:spacing w:val="-23"/>
          <w:w w:val="105"/>
        </w:rPr>
        <w:t> </w:t>
      </w:r>
      <w:r>
        <w:rPr>
          <w:color w:val="231F20"/>
          <w:spacing w:val="-3"/>
          <w:w w:val="105"/>
        </w:rPr>
        <w:t>difícil</w:t>
      </w:r>
      <w:r>
        <w:rPr>
          <w:color w:val="231F20"/>
          <w:spacing w:val="-17"/>
          <w:w w:val="105"/>
        </w:rPr>
        <w:t> </w:t>
      </w:r>
      <w:r>
        <w:rPr>
          <w:color w:val="231F20"/>
          <w:w w:val="105"/>
        </w:rPr>
        <w:t>de</w:t>
      </w:r>
      <w:r>
        <w:rPr>
          <w:color w:val="231F20"/>
          <w:spacing w:val="-17"/>
          <w:w w:val="105"/>
        </w:rPr>
        <w:t> </w:t>
      </w:r>
      <w:r>
        <w:rPr>
          <w:color w:val="231F20"/>
          <w:spacing w:val="-3"/>
          <w:w w:val="105"/>
        </w:rPr>
        <w:t>imitar </w:t>
      </w:r>
      <w:r>
        <w:rPr>
          <w:color w:val="231F20"/>
          <w:w w:val="105"/>
        </w:rPr>
        <w:t>y</w:t>
      </w:r>
      <w:r>
        <w:rPr>
          <w:color w:val="231F20"/>
          <w:spacing w:val="-19"/>
          <w:w w:val="105"/>
        </w:rPr>
        <w:t> </w:t>
      </w:r>
      <w:r>
        <w:rPr>
          <w:color w:val="231F20"/>
          <w:spacing w:val="-3"/>
          <w:w w:val="105"/>
        </w:rPr>
        <w:t>substituir</w:t>
      </w:r>
      <w:r>
        <w:rPr>
          <w:color w:val="231F20"/>
          <w:spacing w:val="-19"/>
          <w:w w:val="105"/>
        </w:rPr>
        <w:t> </w:t>
      </w:r>
      <w:r>
        <w:rPr>
          <w:color w:val="231F20"/>
          <w:spacing w:val="-3"/>
          <w:w w:val="105"/>
        </w:rPr>
        <w:t>siendo</w:t>
      </w:r>
      <w:r>
        <w:rPr>
          <w:color w:val="231F20"/>
          <w:spacing w:val="-19"/>
          <w:w w:val="105"/>
        </w:rPr>
        <w:t> </w:t>
      </w:r>
      <w:r>
        <w:rPr>
          <w:color w:val="231F20"/>
          <w:spacing w:val="-3"/>
          <w:w w:val="105"/>
        </w:rPr>
        <w:t>entonces</w:t>
      </w:r>
      <w:r>
        <w:rPr>
          <w:color w:val="231F20"/>
          <w:spacing w:val="-19"/>
          <w:w w:val="105"/>
        </w:rPr>
        <w:t> </w:t>
      </w:r>
      <w:r>
        <w:rPr>
          <w:color w:val="231F20"/>
          <w:w w:val="105"/>
        </w:rPr>
        <w:t>una</w:t>
      </w:r>
      <w:r>
        <w:rPr>
          <w:color w:val="231F20"/>
          <w:spacing w:val="-19"/>
          <w:w w:val="105"/>
        </w:rPr>
        <w:t> </w:t>
      </w:r>
      <w:r>
        <w:rPr>
          <w:color w:val="231F20"/>
          <w:spacing w:val="-3"/>
          <w:w w:val="105"/>
        </w:rPr>
        <w:t>fuente</w:t>
      </w:r>
      <w:r>
        <w:rPr>
          <w:color w:val="231F20"/>
          <w:spacing w:val="-19"/>
          <w:w w:val="105"/>
        </w:rPr>
        <w:t> </w:t>
      </w:r>
      <w:r>
        <w:rPr>
          <w:color w:val="231F20"/>
          <w:w w:val="105"/>
        </w:rPr>
        <w:t>de</w:t>
      </w:r>
      <w:r>
        <w:rPr>
          <w:color w:val="231F20"/>
          <w:spacing w:val="-19"/>
          <w:w w:val="105"/>
        </w:rPr>
        <w:t> </w:t>
      </w:r>
      <w:r>
        <w:rPr>
          <w:color w:val="231F20"/>
          <w:spacing w:val="-3"/>
          <w:w w:val="105"/>
        </w:rPr>
        <w:t>beneficios</w:t>
      </w:r>
      <w:r>
        <w:rPr>
          <w:color w:val="231F20"/>
          <w:spacing w:val="-19"/>
          <w:w w:val="105"/>
        </w:rPr>
        <w:t> </w:t>
      </w:r>
      <w:r>
        <w:rPr>
          <w:color w:val="231F20"/>
          <w:spacing w:val="-4"/>
          <w:w w:val="105"/>
        </w:rPr>
        <w:t>relativamente</w:t>
      </w:r>
      <w:r>
        <w:rPr>
          <w:color w:val="231F20"/>
          <w:spacing w:val="-19"/>
          <w:w w:val="105"/>
        </w:rPr>
        <w:t> </w:t>
      </w:r>
      <w:r>
        <w:rPr>
          <w:color w:val="231F20"/>
          <w:spacing w:val="-3"/>
          <w:w w:val="105"/>
        </w:rPr>
        <w:t>soste- nible</w:t>
      </w:r>
      <w:r>
        <w:rPr>
          <w:color w:val="231F20"/>
          <w:spacing w:val="-22"/>
          <w:w w:val="105"/>
        </w:rPr>
        <w:t> </w:t>
      </w:r>
      <w:r>
        <w:rPr>
          <w:color w:val="231F20"/>
          <w:spacing w:val="-3"/>
          <w:w w:val="105"/>
        </w:rPr>
        <w:t>para</w:t>
      </w:r>
      <w:r>
        <w:rPr>
          <w:color w:val="231F20"/>
          <w:spacing w:val="-22"/>
          <w:w w:val="105"/>
        </w:rPr>
        <w:t> </w:t>
      </w:r>
      <w:r>
        <w:rPr>
          <w:color w:val="231F20"/>
          <w:w w:val="105"/>
        </w:rPr>
        <w:t>las</w:t>
      </w:r>
      <w:r>
        <w:rPr>
          <w:color w:val="231F20"/>
          <w:spacing w:val="-22"/>
          <w:w w:val="105"/>
        </w:rPr>
        <w:t> </w:t>
      </w:r>
      <w:r>
        <w:rPr>
          <w:color w:val="231F20"/>
          <w:spacing w:val="-3"/>
          <w:w w:val="105"/>
        </w:rPr>
        <w:t>entidades</w:t>
      </w:r>
      <w:r>
        <w:rPr>
          <w:color w:val="231F20"/>
          <w:spacing w:val="-22"/>
          <w:w w:val="105"/>
        </w:rPr>
        <w:t> </w:t>
      </w:r>
      <w:r>
        <w:rPr>
          <w:color w:val="231F20"/>
          <w:spacing w:val="-3"/>
          <w:w w:val="105"/>
        </w:rPr>
        <w:t>participantes</w:t>
      </w:r>
      <w:r>
        <w:rPr>
          <w:color w:val="231F20"/>
          <w:spacing w:val="-22"/>
          <w:w w:val="105"/>
        </w:rPr>
        <w:t> </w:t>
      </w:r>
      <w:r>
        <w:rPr>
          <w:color w:val="231F20"/>
          <w:spacing w:val="-4"/>
          <w:w w:val="105"/>
        </w:rPr>
        <w:t>(Capron</w:t>
      </w:r>
      <w:r>
        <w:rPr>
          <w:color w:val="231F20"/>
          <w:spacing w:val="-22"/>
          <w:w w:val="105"/>
        </w:rPr>
        <w:t> </w:t>
      </w:r>
      <w:r>
        <w:rPr>
          <w:color w:val="231F20"/>
          <w:w w:val="105"/>
        </w:rPr>
        <w:t>y</w:t>
      </w:r>
      <w:r>
        <w:rPr>
          <w:color w:val="231F20"/>
          <w:spacing w:val="-22"/>
          <w:w w:val="105"/>
        </w:rPr>
        <w:t> </w:t>
      </w:r>
      <w:r>
        <w:rPr>
          <w:color w:val="231F20"/>
          <w:spacing w:val="-3"/>
          <w:w w:val="105"/>
        </w:rPr>
        <w:t>Hulland,</w:t>
      </w:r>
      <w:r>
        <w:rPr>
          <w:color w:val="231F20"/>
          <w:spacing w:val="-27"/>
          <w:w w:val="105"/>
        </w:rPr>
        <w:t> </w:t>
      </w:r>
      <w:r>
        <w:rPr>
          <w:color w:val="231F20"/>
          <w:spacing w:val="-3"/>
          <w:w w:val="105"/>
        </w:rPr>
        <w:t>1999).</w:t>
      </w:r>
    </w:p>
    <w:p>
      <w:pPr>
        <w:pStyle w:val="BodyText"/>
        <w:spacing w:line="259" w:lineRule="auto"/>
        <w:ind w:left="103" w:right="109" w:firstLine="567"/>
        <w:jc w:val="both"/>
      </w:pPr>
      <w:r>
        <w:rPr>
          <w:color w:val="231F20"/>
          <w:w w:val="105"/>
        </w:rPr>
        <w:t>Sin embargo, existen razones para creer que tales beneficios</w:t>
      </w:r>
      <w:r>
        <w:rPr>
          <w:color w:val="231F20"/>
          <w:spacing w:val="-29"/>
          <w:w w:val="105"/>
        </w:rPr>
        <w:t> </w:t>
      </w:r>
      <w:r>
        <w:rPr>
          <w:color w:val="231F20"/>
          <w:w w:val="105"/>
        </w:rPr>
        <w:t>po- drían</w:t>
      </w:r>
      <w:r>
        <w:rPr>
          <w:color w:val="231F20"/>
          <w:spacing w:val="-11"/>
          <w:w w:val="105"/>
        </w:rPr>
        <w:t> </w:t>
      </w:r>
      <w:r>
        <w:rPr>
          <w:color w:val="231F20"/>
          <w:w w:val="105"/>
        </w:rPr>
        <w:t>ser</w:t>
      </w:r>
      <w:r>
        <w:rPr>
          <w:color w:val="231F20"/>
          <w:spacing w:val="-11"/>
          <w:w w:val="105"/>
        </w:rPr>
        <w:t> </w:t>
      </w:r>
      <w:r>
        <w:rPr>
          <w:color w:val="231F20"/>
          <w:w w:val="105"/>
        </w:rPr>
        <w:t>diferentes</w:t>
      </w:r>
      <w:r>
        <w:rPr>
          <w:color w:val="231F20"/>
          <w:spacing w:val="-11"/>
          <w:w w:val="105"/>
        </w:rPr>
        <w:t> </w:t>
      </w:r>
      <w:r>
        <w:rPr>
          <w:color w:val="231F20"/>
          <w:w w:val="105"/>
        </w:rPr>
        <w:t>dependiendo</w:t>
      </w:r>
      <w:r>
        <w:rPr>
          <w:color w:val="231F20"/>
          <w:spacing w:val="-11"/>
          <w:w w:val="105"/>
        </w:rPr>
        <w:t> </w:t>
      </w:r>
      <w:r>
        <w:rPr>
          <w:color w:val="231F20"/>
          <w:w w:val="105"/>
        </w:rPr>
        <w:t>de</w:t>
      </w:r>
      <w:r>
        <w:rPr>
          <w:color w:val="231F20"/>
          <w:spacing w:val="-11"/>
          <w:w w:val="105"/>
        </w:rPr>
        <w:t> </w:t>
      </w:r>
      <w:r>
        <w:rPr>
          <w:color w:val="231F20"/>
          <w:w w:val="105"/>
        </w:rPr>
        <w:t>si</w:t>
      </w:r>
      <w:r>
        <w:rPr>
          <w:color w:val="231F20"/>
          <w:spacing w:val="-11"/>
          <w:w w:val="105"/>
        </w:rPr>
        <w:t> </w:t>
      </w:r>
      <w:r>
        <w:rPr>
          <w:color w:val="231F20"/>
          <w:w w:val="105"/>
        </w:rPr>
        <w:t>las</w:t>
      </w:r>
      <w:r>
        <w:rPr>
          <w:color w:val="231F20"/>
          <w:spacing w:val="-11"/>
          <w:w w:val="105"/>
        </w:rPr>
        <w:t> </w:t>
      </w:r>
      <w:r>
        <w:rPr>
          <w:color w:val="231F20"/>
          <w:w w:val="105"/>
        </w:rPr>
        <w:t>empresas</w:t>
      </w:r>
      <w:r>
        <w:rPr>
          <w:color w:val="231F20"/>
          <w:spacing w:val="-11"/>
          <w:w w:val="105"/>
        </w:rPr>
        <w:t> </w:t>
      </w:r>
      <w:r>
        <w:rPr>
          <w:color w:val="231F20"/>
          <w:w w:val="105"/>
        </w:rPr>
        <w:t>forman</w:t>
      </w:r>
      <w:r>
        <w:rPr>
          <w:color w:val="231F20"/>
          <w:spacing w:val="-11"/>
          <w:w w:val="105"/>
        </w:rPr>
        <w:t> </w:t>
      </w:r>
      <w:r>
        <w:rPr>
          <w:i/>
          <w:color w:val="231F20"/>
          <w:w w:val="105"/>
        </w:rPr>
        <w:t>joint</w:t>
      </w:r>
      <w:r>
        <w:rPr>
          <w:i/>
          <w:color w:val="231F20"/>
          <w:spacing w:val="-11"/>
          <w:w w:val="105"/>
        </w:rPr>
        <w:t> </w:t>
      </w:r>
      <w:r>
        <w:rPr>
          <w:i/>
          <w:color w:val="231F20"/>
          <w:w w:val="105"/>
        </w:rPr>
        <w:t>ventu- </w:t>
      </w:r>
      <w:r>
        <w:rPr>
          <w:i/>
          <w:color w:val="231F20"/>
          <w:w w:val="105"/>
        </w:rPr>
        <w:t>re</w:t>
      </w:r>
      <w:r>
        <w:rPr>
          <w:color w:val="231F20"/>
          <w:w w:val="105"/>
        </w:rPr>
        <w:t>s</w:t>
      </w:r>
      <w:r>
        <w:rPr>
          <w:color w:val="231F20"/>
          <w:spacing w:val="-33"/>
          <w:w w:val="105"/>
        </w:rPr>
        <w:t> </w:t>
      </w:r>
      <w:r>
        <w:rPr>
          <w:color w:val="231F20"/>
          <w:w w:val="105"/>
        </w:rPr>
        <w:t>de</w:t>
      </w:r>
      <w:r>
        <w:rPr>
          <w:color w:val="231F20"/>
          <w:spacing w:val="-33"/>
          <w:w w:val="105"/>
        </w:rPr>
        <w:t> </w:t>
      </w:r>
      <w:r>
        <w:rPr>
          <w:color w:val="231F20"/>
          <w:w w:val="105"/>
        </w:rPr>
        <w:t>manufactura</w:t>
      </w:r>
      <w:r>
        <w:rPr>
          <w:color w:val="231F20"/>
          <w:spacing w:val="-33"/>
          <w:w w:val="105"/>
        </w:rPr>
        <w:t> </w:t>
      </w:r>
      <w:r>
        <w:rPr>
          <w:color w:val="231F20"/>
          <w:w w:val="105"/>
        </w:rPr>
        <w:t>o</w:t>
      </w:r>
      <w:r>
        <w:rPr>
          <w:color w:val="231F20"/>
          <w:spacing w:val="-33"/>
          <w:w w:val="105"/>
        </w:rPr>
        <w:t> </w:t>
      </w:r>
      <w:r>
        <w:rPr>
          <w:color w:val="231F20"/>
          <w:w w:val="105"/>
        </w:rPr>
        <w:t>de</w:t>
      </w:r>
      <w:r>
        <w:rPr>
          <w:color w:val="231F20"/>
          <w:spacing w:val="-33"/>
          <w:w w:val="105"/>
        </w:rPr>
        <w:t> </w:t>
      </w:r>
      <w:r>
        <w:rPr>
          <w:color w:val="231F20"/>
          <w:w w:val="105"/>
        </w:rPr>
        <w:t>mercadotecnia.</w:t>
      </w:r>
      <w:r>
        <w:rPr>
          <w:color w:val="231F20"/>
          <w:spacing w:val="-37"/>
          <w:w w:val="105"/>
        </w:rPr>
        <w:t> </w:t>
      </w:r>
      <w:r>
        <w:rPr>
          <w:color w:val="231F20"/>
          <w:w w:val="105"/>
        </w:rPr>
        <w:t>Entre</w:t>
      </w:r>
      <w:r>
        <w:rPr>
          <w:color w:val="231F20"/>
          <w:spacing w:val="-33"/>
          <w:w w:val="105"/>
        </w:rPr>
        <w:t> </w:t>
      </w:r>
      <w:r>
        <w:rPr>
          <w:color w:val="231F20"/>
          <w:w w:val="105"/>
        </w:rPr>
        <w:t>algunos</w:t>
      </w:r>
      <w:r>
        <w:rPr>
          <w:color w:val="231F20"/>
          <w:spacing w:val="-33"/>
          <w:w w:val="105"/>
        </w:rPr>
        <w:t> </w:t>
      </w:r>
      <w:r>
        <w:rPr>
          <w:color w:val="231F20"/>
          <w:w w:val="105"/>
        </w:rPr>
        <w:t>otros</w:t>
      </w:r>
      <w:r>
        <w:rPr>
          <w:color w:val="231F20"/>
          <w:spacing w:val="-33"/>
          <w:w w:val="105"/>
        </w:rPr>
        <w:t> </w:t>
      </w:r>
      <w:r>
        <w:rPr>
          <w:color w:val="231F20"/>
          <w:w w:val="105"/>
        </w:rPr>
        <w:t>propósitos</w:t>
      </w:r>
      <w:r>
        <w:rPr>
          <w:color w:val="231F20"/>
          <w:w w:val="105"/>
          <w:position w:val="7"/>
          <w:sz w:val="12"/>
        </w:rPr>
        <w:t>11</w:t>
      </w:r>
      <w:r>
        <w:rPr>
          <w:color w:val="231F20"/>
          <w:w w:val="105"/>
        </w:rPr>
        <w:t>, las</w:t>
      </w:r>
      <w:r>
        <w:rPr>
          <w:color w:val="231F20"/>
          <w:spacing w:val="-26"/>
          <w:w w:val="105"/>
        </w:rPr>
        <w:t> </w:t>
      </w:r>
      <w:r>
        <w:rPr>
          <w:color w:val="231F20"/>
          <w:w w:val="105"/>
        </w:rPr>
        <w:t>empresas</w:t>
      </w:r>
      <w:r>
        <w:rPr>
          <w:color w:val="231F20"/>
          <w:spacing w:val="-26"/>
          <w:w w:val="105"/>
        </w:rPr>
        <w:t> </w:t>
      </w:r>
      <w:r>
        <w:rPr>
          <w:color w:val="231F20"/>
          <w:w w:val="105"/>
        </w:rPr>
        <w:t>forman</w:t>
      </w:r>
      <w:r>
        <w:rPr>
          <w:color w:val="231F20"/>
          <w:spacing w:val="-26"/>
          <w:w w:val="105"/>
        </w:rPr>
        <w:t> </w:t>
      </w:r>
      <w:r>
        <w:rPr>
          <w:color w:val="231F20"/>
          <w:w w:val="105"/>
        </w:rPr>
        <w:t>una</w:t>
      </w:r>
      <w:r>
        <w:rPr>
          <w:color w:val="231F20"/>
          <w:spacing w:val="-26"/>
          <w:w w:val="105"/>
        </w:rPr>
        <w:t> </w:t>
      </w:r>
      <w:r>
        <w:rPr>
          <w:i/>
          <w:color w:val="231F20"/>
          <w:w w:val="105"/>
        </w:rPr>
        <w:t>joint</w:t>
      </w:r>
      <w:r>
        <w:rPr>
          <w:i/>
          <w:color w:val="231F20"/>
          <w:spacing w:val="-26"/>
          <w:w w:val="105"/>
        </w:rPr>
        <w:t> </w:t>
      </w:r>
      <w:r>
        <w:rPr>
          <w:i/>
          <w:color w:val="231F20"/>
          <w:w w:val="105"/>
        </w:rPr>
        <w:t>venture</w:t>
      </w:r>
      <w:r>
        <w:rPr>
          <w:i/>
          <w:color w:val="231F20"/>
          <w:spacing w:val="-26"/>
          <w:w w:val="105"/>
        </w:rPr>
        <w:t> </w:t>
      </w:r>
      <w:r>
        <w:rPr>
          <w:color w:val="231F20"/>
          <w:w w:val="105"/>
        </w:rPr>
        <w:t>para</w:t>
      </w:r>
      <w:r>
        <w:rPr>
          <w:color w:val="231F20"/>
          <w:spacing w:val="-26"/>
          <w:w w:val="105"/>
        </w:rPr>
        <w:t> </w:t>
      </w:r>
      <w:r>
        <w:rPr>
          <w:color w:val="231F20"/>
          <w:w w:val="105"/>
        </w:rPr>
        <w:t>manufacturar</w:t>
      </w:r>
      <w:r>
        <w:rPr>
          <w:color w:val="231F20"/>
          <w:spacing w:val="-26"/>
          <w:w w:val="105"/>
        </w:rPr>
        <w:t> </w:t>
      </w:r>
      <w:r>
        <w:rPr>
          <w:color w:val="231F20"/>
          <w:w w:val="105"/>
        </w:rPr>
        <w:t>conjuntamente un producto determinado. Las organizaciones también forman</w:t>
      </w:r>
      <w:r>
        <w:rPr>
          <w:color w:val="231F20"/>
          <w:spacing w:val="-23"/>
          <w:w w:val="105"/>
        </w:rPr>
        <w:t> </w:t>
      </w:r>
      <w:r>
        <w:rPr>
          <w:color w:val="231F20"/>
          <w:w w:val="105"/>
        </w:rPr>
        <w:t>alianzas para</w:t>
      </w:r>
      <w:r>
        <w:rPr>
          <w:color w:val="231F20"/>
          <w:spacing w:val="-20"/>
          <w:w w:val="105"/>
        </w:rPr>
        <w:t> </w:t>
      </w:r>
      <w:r>
        <w:rPr>
          <w:color w:val="231F20"/>
          <w:w w:val="105"/>
        </w:rPr>
        <w:t>comercializar</w:t>
      </w:r>
      <w:r>
        <w:rPr>
          <w:color w:val="231F20"/>
          <w:spacing w:val="-20"/>
          <w:w w:val="105"/>
        </w:rPr>
        <w:t> </w:t>
      </w:r>
      <w:r>
        <w:rPr>
          <w:color w:val="231F20"/>
          <w:w w:val="105"/>
        </w:rPr>
        <w:t>o</w:t>
      </w:r>
      <w:r>
        <w:rPr>
          <w:color w:val="231F20"/>
          <w:spacing w:val="-20"/>
          <w:w w:val="105"/>
        </w:rPr>
        <w:t> </w:t>
      </w:r>
      <w:r>
        <w:rPr>
          <w:color w:val="231F20"/>
          <w:w w:val="105"/>
        </w:rPr>
        <w:t>mercadear</w:t>
      </w:r>
      <w:r>
        <w:rPr>
          <w:color w:val="231F20"/>
          <w:spacing w:val="-20"/>
          <w:w w:val="105"/>
        </w:rPr>
        <w:t> </w:t>
      </w:r>
      <w:r>
        <w:rPr>
          <w:color w:val="231F20"/>
          <w:w w:val="105"/>
        </w:rPr>
        <w:t>un</w:t>
      </w:r>
      <w:r>
        <w:rPr>
          <w:color w:val="231F20"/>
          <w:spacing w:val="-20"/>
          <w:w w:val="105"/>
        </w:rPr>
        <w:t> </w:t>
      </w:r>
      <w:r>
        <w:rPr>
          <w:color w:val="231F20"/>
          <w:w w:val="105"/>
        </w:rPr>
        <w:t>bien.</w:t>
      </w:r>
      <w:r>
        <w:rPr>
          <w:color w:val="231F20"/>
          <w:spacing w:val="-26"/>
          <w:w w:val="105"/>
        </w:rPr>
        <w:t> </w:t>
      </w:r>
      <w:r>
        <w:rPr>
          <w:color w:val="231F20"/>
          <w:w w:val="105"/>
        </w:rPr>
        <w:t>Cuando</w:t>
      </w:r>
      <w:r>
        <w:rPr>
          <w:color w:val="231F20"/>
          <w:spacing w:val="-20"/>
          <w:w w:val="105"/>
        </w:rPr>
        <w:t> </w:t>
      </w:r>
      <w:r>
        <w:rPr>
          <w:color w:val="231F20"/>
          <w:w w:val="105"/>
        </w:rPr>
        <w:t>el</w:t>
      </w:r>
      <w:r>
        <w:rPr>
          <w:color w:val="231F20"/>
          <w:spacing w:val="-20"/>
          <w:w w:val="105"/>
        </w:rPr>
        <w:t> </w:t>
      </w:r>
      <w:r>
        <w:rPr>
          <w:color w:val="231F20"/>
          <w:w w:val="105"/>
        </w:rPr>
        <w:t>foco</w:t>
      </w:r>
      <w:r>
        <w:rPr>
          <w:color w:val="231F20"/>
          <w:spacing w:val="-20"/>
          <w:w w:val="105"/>
        </w:rPr>
        <w:t> </w:t>
      </w:r>
      <w:r>
        <w:rPr>
          <w:color w:val="231F20"/>
          <w:w w:val="105"/>
        </w:rPr>
        <w:t>de</w:t>
      </w:r>
      <w:r>
        <w:rPr>
          <w:color w:val="231F20"/>
          <w:spacing w:val="-20"/>
          <w:w w:val="105"/>
        </w:rPr>
        <w:t> </w:t>
      </w:r>
      <w:r>
        <w:rPr>
          <w:color w:val="231F20"/>
          <w:w w:val="105"/>
        </w:rPr>
        <w:t>colaboración es el primer caso, el área funcional de la </w:t>
      </w:r>
      <w:r>
        <w:rPr>
          <w:i/>
          <w:color w:val="231F20"/>
          <w:w w:val="105"/>
        </w:rPr>
        <w:t>joint venture </w:t>
      </w:r>
      <w:r>
        <w:rPr>
          <w:color w:val="231F20"/>
          <w:w w:val="105"/>
        </w:rPr>
        <w:t>es manufactura; cuando</w:t>
      </w:r>
      <w:r>
        <w:rPr>
          <w:color w:val="231F20"/>
          <w:spacing w:val="-17"/>
          <w:w w:val="105"/>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segundo</w:t>
      </w:r>
      <w:r>
        <w:rPr>
          <w:color w:val="231F20"/>
          <w:spacing w:val="-17"/>
          <w:w w:val="105"/>
        </w:rPr>
        <w:t> </w:t>
      </w:r>
      <w:r>
        <w:rPr>
          <w:color w:val="231F20"/>
          <w:w w:val="105"/>
        </w:rPr>
        <w:t>tal</w:t>
      </w:r>
      <w:r>
        <w:rPr>
          <w:color w:val="231F20"/>
          <w:spacing w:val="-17"/>
          <w:w w:val="105"/>
        </w:rPr>
        <w:t> </w:t>
      </w:r>
      <w:r>
        <w:rPr>
          <w:color w:val="231F20"/>
          <w:w w:val="105"/>
        </w:rPr>
        <w:t>área</w:t>
      </w:r>
      <w:r>
        <w:rPr>
          <w:color w:val="231F20"/>
          <w:spacing w:val="-17"/>
          <w:w w:val="105"/>
        </w:rPr>
        <w:t> </w:t>
      </w:r>
      <w:r>
        <w:rPr>
          <w:color w:val="231F20"/>
          <w:w w:val="105"/>
        </w:rPr>
        <w:t>es</w:t>
      </w:r>
      <w:r>
        <w:rPr>
          <w:color w:val="231F20"/>
          <w:spacing w:val="-17"/>
          <w:w w:val="105"/>
        </w:rPr>
        <w:t> </w:t>
      </w:r>
      <w:r>
        <w:rPr>
          <w:color w:val="231F20"/>
          <w:w w:val="105"/>
        </w:rPr>
        <w:t>mercadotecnia.</w:t>
      </w:r>
      <w:r>
        <w:rPr>
          <w:color w:val="231F20"/>
          <w:spacing w:val="-23"/>
          <w:w w:val="105"/>
        </w:rPr>
        <w:t> </w:t>
      </w:r>
      <w:r>
        <w:rPr>
          <w:color w:val="231F20"/>
          <w:spacing w:val="-6"/>
          <w:w w:val="105"/>
        </w:rPr>
        <w:t>Por</w:t>
      </w:r>
      <w:r>
        <w:rPr>
          <w:color w:val="231F20"/>
          <w:spacing w:val="-17"/>
          <w:w w:val="105"/>
        </w:rPr>
        <w:t> </w:t>
      </w:r>
      <w:r>
        <w:rPr>
          <w:color w:val="231F20"/>
          <w:w w:val="105"/>
        </w:rPr>
        <w:t>un</w:t>
      </w:r>
      <w:r>
        <w:rPr>
          <w:color w:val="231F20"/>
          <w:spacing w:val="-17"/>
          <w:w w:val="105"/>
        </w:rPr>
        <w:t> </w:t>
      </w:r>
      <w:r>
        <w:rPr>
          <w:color w:val="231F20"/>
          <w:w w:val="105"/>
        </w:rPr>
        <w:t>lado,</w:t>
      </w:r>
      <w:r>
        <w:rPr>
          <w:color w:val="231F20"/>
          <w:spacing w:val="-23"/>
          <w:w w:val="105"/>
        </w:rPr>
        <w:t> </w:t>
      </w:r>
      <w:r>
        <w:rPr>
          <w:color w:val="231F20"/>
          <w:w w:val="105"/>
        </w:rPr>
        <w:t>la</w:t>
      </w:r>
      <w:r>
        <w:rPr>
          <w:color w:val="231F20"/>
          <w:spacing w:val="-17"/>
          <w:w w:val="105"/>
        </w:rPr>
        <w:t> </w:t>
      </w:r>
      <w:r>
        <w:rPr>
          <w:color w:val="231F20"/>
          <w:w w:val="105"/>
        </w:rPr>
        <w:t>ya</w:t>
      </w:r>
      <w:r>
        <w:rPr>
          <w:color w:val="231F20"/>
          <w:spacing w:val="-17"/>
          <w:w w:val="105"/>
        </w:rPr>
        <w:t> </w:t>
      </w:r>
      <w:r>
        <w:rPr>
          <w:color w:val="231F20"/>
          <w:w w:val="105"/>
        </w:rPr>
        <w:t>men- cionada</w:t>
      </w:r>
      <w:r>
        <w:rPr>
          <w:color w:val="231F20"/>
          <w:spacing w:val="-16"/>
          <w:w w:val="105"/>
        </w:rPr>
        <w:t> </w:t>
      </w:r>
      <w:r>
        <w:rPr>
          <w:color w:val="231F20"/>
          <w:w w:val="105"/>
        </w:rPr>
        <w:t>empresa</w:t>
      </w:r>
      <w:r>
        <w:rPr>
          <w:color w:val="231F20"/>
          <w:spacing w:val="-16"/>
          <w:w w:val="105"/>
        </w:rPr>
        <w:t> </w:t>
      </w:r>
      <w:r>
        <w:rPr>
          <w:color w:val="231F20"/>
          <w:w w:val="105"/>
        </w:rPr>
        <w:t>Mundo</w:t>
      </w:r>
      <w:r>
        <w:rPr>
          <w:color w:val="231F20"/>
          <w:spacing w:val="-16"/>
          <w:w w:val="105"/>
        </w:rPr>
        <w:t> </w:t>
      </w:r>
      <w:r>
        <w:rPr>
          <w:color w:val="231F20"/>
          <w:w w:val="105"/>
        </w:rPr>
        <w:t>Dulce®,</w:t>
      </w:r>
      <w:r>
        <w:rPr>
          <w:color w:val="231F20"/>
          <w:spacing w:val="-22"/>
          <w:w w:val="105"/>
        </w:rPr>
        <w:t> </w:t>
      </w:r>
      <w:r>
        <w:rPr>
          <w:color w:val="231F20"/>
          <w:w w:val="105"/>
        </w:rPr>
        <w:t>es</w:t>
      </w:r>
      <w:r>
        <w:rPr>
          <w:color w:val="231F20"/>
          <w:spacing w:val="-16"/>
          <w:w w:val="105"/>
        </w:rPr>
        <w:t> </w:t>
      </w:r>
      <w:r>
        <w:rPr>
          <w:color w:val="231F20"/>
          <w:w w:val="105"/>
        </w:rPr>
        <w:t>un</w:t>
      </w:r>
      <w:r>
        <w:rPr>
          <w:color w:val="231F20"/>
          <w:spacing w:val="-16"/>
          <w:w w:val="105"/>
        </w:rPr>
        <w:t> </w:t>
      </w:r>
      <w:r>
        <w:rPr>
          <w:color w:val="231F20"/>
          <w:w w:val="105"/>
        </w:rPr>
        <w:t>ejemplo</w:t>
      </w:r>
      <w:r>
        <w:rPr>
          <w:color w:val="231F20"/>
          <w:spacing w:val="-16"/>
          <w:w w:val="105"/>
        </w:rPr>
        <w:t> </w:t>
      </w:r>
      <w:r>
        <w:rPr>
          <w:color w:val="231F20"/>
          <w:w w:val="105"/>
        </w:rPr>
        <w:t>de</w:t>
      </w:r>
      <w:r>
        <w:rPr>
          <w:color w:val="231F20"/>
          <w:spacing w:val="-16"/>
          <w:w w:val="105"/>
        </w:rPr>
        <w:t> </w:t>
      </w:r>
      <w:r>
        <w:rPr>
          <w:color w:val="231F20"/>
          <w:w w:val="105"/>
        </w:rPr>
        <w:t>colaboración</w:t>
      </w:r>
      <w:r>
        <w:rPr>
          <w:color w:val="231F20"/>
          <w:spacing w:val="-16"/>
          <w:w w:val="105"/>
        </w:rPr>
        <w:t> </w:t>
      </w:r>
      <w:r>
        <w:rPr>
          <w:color w:val="231F20"/>
          <w:w w:val="105"/>
        </w:rPr>
        <w:t>en</w:t>
      </w:r>
      <w:r>
        <w:rPr>
          <w:color w:val="231F20"/>
          <w:spacing w:val="-16"/>
          <w:w w:val="105"/>
        </w:rPr>
        <w:t> </w:t>
      </w:r>
      <w:r>
        <w:rPr>
          <w:color w:val="231F20"/>
          <w:w w:val="105"/>
        </w:rPr>
        <w:t>ma- nufactura.</w:t>
      </w:r>
      <w:r>
        <w:rPr>
          <w:color w:val="231F20"/>
          <w:spacing w:val="-36"/>
          <w:w w:val="105"/>
        </w:rPr>
        <w:t> </w:t>
      </w:r>
      <w:r>
        <w:rPr>
          <w:color w:val="231F20"/>
          <w:spacing w:val="-6"/>
          <w:w w:val="105"/>
        </w:rPr>
        <w:t>Por</w:t>
      </w:r>
      <w:r>
        <w:rPr>
          <w:color w:val="231F20"/>
          <w:spacing w:val="-32"/>
          <w:w w:val="105"/>
        </w:rPr>
        <w:t> </w:t>
      </w:r>
      <w:r>
        <w:rPr>
          <w:color w:val="231F20"/>
          <w:w w:val="105"/>
        </w:rPr>
        <w:t>otro,</w:t>
      </w:r>
      <w:r>
        <w:rPr>
          <w:color w:val="231F20"/>
          <w:spacing w:val="-36"/>
          <w:w w:val="105"/>
        </w:rPr>
        <w:t> </w:t>
      </w:r>
      <w:r>
        <w:rPr>
          <w:color w:val="231F20"/>
          <w:w w:val="105"/>
        </w:rPr>
        <w:t>en</w:t>
      </w:r>
      <w:r>
        <w:rPr>
          <w:color w:val="231F20"/>
          <w:spacing w:val="-32"/>
          <w:w w:val="105"/>
        </w:rPr>
        <w:t> </w:t>
      </w:r>
      <w:r>
        <w:rPr>
          <w:color w:val="231F20"/>
          <w:w w:val="105"/>
        </w:rPr>
        <w:t>1998</w:t>
      </w:r>
      <w:r>
        <w:rPr>
          <w:color w:val="231F20"/>
          <w:spacing w:val="-36"/>
          <w:w w:val="105"/>
        </w:rPr>
        <w:t> </w:t>
      </w:r>
      <w:r>
        <w:rPr>
          <w:color w:val="231F20"/>
          <w:spacing w:val="-3"/>
          <w:w w:val="105"/>
        </w:rPr>
        <w:t>Teléfonos</w:t>
      </w:r>
      <w:r>
        <w:rPr>
          <w:color w:val="231F20"/>
          <w:spacing w:val="-32"/>
          <w:w w:val="105"/>
        </w:rPr>
        <w:t> </w:t>
      </w:r>
      <w:r>
        <w:rPr>
          <w:color w:val="231F20"/>
          <w:w w:val="105"/>
        </w:rPr>
        <w:t>de</w:t>
      </w:r>
      <w:r>
        <w:rPr>
          <w:color w:val="231F20"/>
          <w:spacing w:val="-32"/>
          <w:w w:val="105"/>
        </w:rPr>
        <w:t> </w:t>
      </w:r>
      <w:r>
        <w:rPr>
          <w:color w:val="231F20"/>
          <w:w w:val="105"/>
        </w:rPr>
        <w:t>México</w:t>
      </w:r>
      <w:r>
        <w:rPr>
          <w:color w:val="231F20"/>
          <w:spacing w:val="-32"/>
          <w:w w:val="105"/>
        </w:rPr>
        <w:t> </w:t>
      </w:r>
      <w:r>
        <w:rPr>
          <w:color w:val="231F20"/>
          <w:spacing w:val="-3"/>
          <w:w w:val="105"/>
        </w:rPr>
        <w:t>(Telmex®)</w:t>
      </w:r>
      <w:r>
        <w:rPr>
          <w:color w:val="231F20"/>
          <w:spacing w:val="-32"/>
          <w:w w:val="105"/>
        </w:rPr>
        <w:t> </w:t>
      </w:r>
      <w:r>
        <w:rPr>
          <w:color w:val="231F20"/>
          <w:w w:val="105"/>
        </w:rPr>
        <w:t>y</w:t>
      </w:r>
      <w:r>
        <w:rPr>
          <w:color w:val="231F20"/>
          <w:spacing w:val="-32"/>
          <w:w w:val="105"/>
        </w:rPr>
        <w:t> </w:t>
      </w:r>
      <w:r>
        <w:rPr>
          <w:color w:val="231F20"/>
          <w:w w:val="105"/>
        </w:rPr>
        <w:t>la</w:t>
      </w:r>
      <w:r>
        <w:rPr>
          <w:color w:val="231F20"/>
          <w:spacing w:val="-32"/>
          <w:w w:val="105"/>
        </w:rPr>
        <w:t> </w:t>
      </w:r>
      <w:r>
        <w:rPr>
          <w:color w:val="231F20"/>
          <w:w w:val="105"/>
        </w:rPr>
        <w:t>telefónica estadounidense</w:t>
      </w:r>
      <w:r>
        <w:rPr>
          <w:color w:val="231F20"/>
          <w:spacing w:val="-33"/>
          <w:w w:val="105"/>
        </w:rPr>
        <w:t> </w:t>
      </w:r>
      <w:r>
        <w:rPr>
          <w:color w:val="231F20"/>
          <w:w w:val="105"/>
        </w:rPr>
        <w:t>Sprint®</w:t>
      </w:r>
      <w:r>
        <w:rPr>
          <w:color w:val="231F20"/>
          <w:spacing w:val="-33"/>
          <w:w w:val="105"/>
        </w:rPr>
        <w:t> </w:t>
      </w:r>
      <w:r>
        <w:rPr>
          <w:color w:val="231F20"/>
          <w:w w:val="105"/>
        </w:rPr>
        <w:t>formaron</w:t>
      </w:r>
      <w:r>
        <w:rPr>
          <w:color w:val="231F20"/>
          <w:spacing w:val="-33"/>
          <w:w w:val="105"/>
        </w:rPr>
        <w:t> </w:t>
      </w:r>
      <w:r>
        <w:rPr>
          <w:color w:val="231F20"/>
          <w:w w:val="105"/>
        </w:rPr>
        <w:t>una</w:t>
      </w:r>
      <w:r>
        <w:rPr>
          <w:color w:val="231F20"/>
          <w:spacing w:val="-33"/>
          <w:w w:val="105"/>
        </w:rPr>
        <w:t> </w:t>
      </w:r>
      <w:r>
        <w:rPr>
          <w:i/>
          <w:color w:val="231F20"/>
          <w:w w:val="105"/>
        </w:rPr>
        <w:t>joint</w:t>
      </w:r>
      <w:r>
        <w:rPr>
          <w:i/>
          <w:color w:val="231F20"/>
          <w:spacing w:val="-33"/>
          <w:w w:val="105"/>
        </w:rPr>
        <w:t> </w:t>
      </w:r>
      <w:r>
        <w:rPr>
          <w:i/>
          <w:color w:val="231F20"/>
          <w:w w:val="105"/>
        </w:rPr>
        <w:t>venture</w:t>
      </w:r>
      <w:r>
        <w:rPr>
          <w:i/>
          <w:color w:val="231F20"/>
          <w:spacing w:val="-33"/>
          <w:w w:val="105"/>
        </w:rPr>
        <w:t> </w:t>
      </w:r>
      <w:r>
        <w:rPr>
          <w:color w:val="231F20"/>
          <w:w w:val="105"/>
        </w:rPr>
        <w:t>para</w:t>
      </w:r>
      <w:r>
        <w:rPr>
          <w:color w:val="231F20"/>
          <w:spacing w:val="-33"/>
          <w:w w:val="105"/>
        </w:rPr>
        <w:t> </w:t>
      </w:r>
      <w:r>
        <w:rPr>
          <w:color w:val="231F20"/>
          <w:w w:val="105"/>
        </w:rPr>
        <w:t>mercadear</w:t>
      </w:r>
      <w:r>
        <w:rPr>
          <w:color w:val="231F20"/>
          <w:spacing w:val="-33"/>
          <w:w w:val="105"/>
        </w:rPr>
        <w:t> </w:t>
      </w:r>
      <w:r>
        <w:rPr>
          <w:color w:val="231F20"/>
          <w:w w:val="105"/>
        </w:rPr>
        <w:t>el</w:t>
      </w:r>
      <w:r>
        <w:rPr>
          <w:color w:val="231F20"/>
          <w:spacing w:val="-33"/>
          <w:w w:val="105"/>
        </w:rPr>
        <w:t> </w:t>
      </w:r>
      <w:r>
        <w:rPr>
          <w:color w:val="231F20"/>
          <w:w w:val="105"/>
        </w:rPr>
        <w:t>ac- ceso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primera</w:t>
      </w:r>
      <w:r>
        <w:rPr>
          <w:color w:val="231F20"/>
          <w:spacing w:val="-17"/>
          <w:w w:val="105"/>
        </w:rPr>
        <w:t> </w:t>
      </w:r>
      <w:r>
        <w:rPr>
          <w:color w:val="231F20"/>
          <w:w w:val="105"/>
        </w:rPr>
        <w:t>en</w:t>
      </w:r>
      <w:r>
        <w:rPr>
          <w:color w:val="231F20"/>
          <w:spacing w:val="-17"/>
          <w:w w:val="105"/>
        </w:rPr>
        <w:t> </w:t>
      </w:r>
      <w:r>
        <w:rPr>
          <w:color w:val="231F20"/>
          <w:w w:val="105"/>
        </w:rPr>
        <w:t>EE.UU</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segunda</w:t>
      </w:r>
      <w:r>
        <w:rPr>
          <w:color w:val="231F20"/>
          <w:spacing w:val="-17"/>
          <w:w w:val="105"/>
        </w:rPr>
        <w:t> </w:t>
      </w:r>
      <w:r>
        <w:rPr>
          <w:color w:val="231F20"/>
          <w:w w:val="105"/>
        </w:rPr>
        <w:t>en</w:t>
      </w:r>
      <w:r>
        <w:rPr>
          <w:color w:val="231F20"/>
          <w:spacing w:val="-17"/>
          <w:w w:val="105"/>
        </w:rPr>
        <w:t> </w:t>
      </w:r>
      <w:r>
        <w:rPr>
          <w:color w:val="231F20"/>
          <w:w w:val="105"/>
        </w:rPr>
        <w:t>México</w:t>
      </w:r>
      <w:r>
        <w:rPr>
          <w:color w:val="231F20"/>
          <w:spacing w:val="-17"/>
          <w:w w:val="105"/>
        </w:rPr>
        <w:t> </w:t>
      </w:r>
      <w:r>
        <w:rPr>
          <w:color w:val="231F20"/>
          <w:w w:val="105"/>
        </w:rPr>
        <w:t>que</w:t>
      </w:r>
      <w:r>
        <w:rPr>
          <w:color w:val="231F20"/>
          <w:spacing w:val="-17"/>
          <w:w w:val="105"/>
        </w:rPr>
        <w:t> </w:t>
      </w:r>
      <w:r>
        <w:rPr>
          <w:color w:val="231F20"/>
          <w:w w:val="105"/>
        </w:rPr>
        <w:t>prometía ser</w:t>
      </w:r>
      <w:r>
        <w:rPr>
          <w:color w:val="231F20"/>
          <w:spacing w:val="-40"/>
          <w:w w:val="105"/>
        </w:rPr>
        <w:t> </w:t>
      </w:r>
      <w:r>
        <w:rPr>
          <w:color w:val="231F20"/>
          <w:w w:val="105"/>
        </w:rPr>
        <w:t>muy</w:t>
      </w:r>
      <w:r>
        <w:rPr>
          <w:color w:val="231F20"/>
          <w:spacing w:val="-40"/>
          <w:w w:val="105"/>
        </w:rPr>
        <w:t> </w:t>
      </w:r>
      <w:r>
        <w:rPr>
          <w:color w:val="231F20"/>
          <w:w w:val="105"/>
        </w:rPr>
        <w:t>exitosa</w:t>
      </w:r>
      <w:r>
        <w:rPr>
          <w:color w:val="231F20"/>
          <w:w w:val="105"/>
          <w:position w:val="7"/>
          <w:sz w:val="12"/>
        </w:rPr>
        <w:t>22</w:t>
      </w:r>
      <w:r>
        <w:rPr>
          <w:color w:val="231F20"/>
          <w:spacing w:val="-14"/>
          <w:w w:val="105"/>
          <w:position w:val="7"/>
          <w:sz w:val="12"/>
        </w:rPr>
        <w:t> </w:t>
      </w:r>
      <w:r>
        <w:rPr>
          <w:color w:val="231F20"/>
          <w:w w:val="105"/>
        </w:rPr>
        <w:t>(Wellenious,</w:t>
      </w:r>
      <w:r>
        <w:rPr>
          <w:color w:val="231F20"/>
          <w:spacing w:val="-43"/>
          <w:w w:val="105"/>
        </w:rPr>
        <w:t> </w:t>
      </w:r>
      <w:r>
        <w:rPr>
          <w:color w:val="231F20"/>
          <w:w w:val="105"/>
        </w:rPr>
        <w:t>Galarza</w:t>
      </w:r>
      <w:r>
        <w:rPr>
          <w:color w:val="231F20"/>
          <w:spacing w:val="-40"/>
          <w:w w:val="105"/>
        </w:rPr>
        <w:t> </w:t>
      </w:r>
      <w:r>
        <w:rPr>
          <w:color w:val="231F20"/>
          <w:w w:val="105"/>
        </w:rPr>
        <w:t>y</w:t>
      </w:r>
      <w:r>
        <w:rPr>
          <w:color w:val="231F20"/>
          <w:spacing w:val="-40"/>
          <w:w w:val="105"/>
        </w:rPr>
        <w:t> </w:t>
      </w:r>
      <w:r>
        <w:rPr>
          <w:color w:val="231F20"/>
          <w:w w:val="105"/>
        </w:rPr>
        <w:t>Guemazi,</w:t>
      </w:r>
      <w:r>
        <w:rPr>
          <w:color w:val="231F20"/>
          <w:spacing w:val="-43"/>
          <w:w w:val="105"/>
        </w:rPr>
        <w:t> </w:t>
      </w:r>
      <w:r>
        <w:rPr>
          <w:color w:val="231F20"/>
          <w:w w:val="105"/>
        </w:rPr>
        <w:t>2005).</w:t>
      </w:r>
    </w:p>
    <w:p>
      <w:pPr>
        <w:pStyle w:val="BodyText"/>
        <w:spacing w:before="7"/>
        <w:rPr>
          <w:sz w:val="19"/>
        </w:rPr>
      </w:pPr>
      <w:r>
        <w:rPr/>
        <w:pict>
          <v:line style="position:absolute;mso-position-horizontal-relative:page;mso-position-vertical-relative:paragraph;z-index:5488;mso-wrap-distance-left:0;mso-wrap-distance-right:0" from="65.196899pt,13.382661pt" to="178.582899pt,13.382661pt" stroked="true" strokeweight=".25pt" strokecolor="#231f20">
            <w10:wrap type="topAndBottom"/>
          </v:line>
        </w:pict>
      </w:r>
    </w:p>
    <w:p>
      <w:pPr>
        <w:spacing w:line="192" w:lineRule="exact" w:before="7"/>
        <w:ind w:left="103" w:right="115" w:hanging="1"/>
        <w:jc w:val="both"/>
        <w:rPr>
          <w:rFonts w:ascii="Calibri" w:hAnsi="Calibri"/>
          <w:sz w:val="16"/>
        </w:rPr>
      </w:pPr>
      <w:r>
        <w:rPr>
          <w:rFonts w:ascii="Calibri" w:hAnsi="Calibri"/>
          <w:color w:val="414042"/>
          <w:position w:val="5"/>
          <w:sz w:val="9"/>
        </w:rPr>
        <w:t>1   </w:t>
      </w:r>
      <w:r>
        <w:rPr>
          <w:rFonts w:ascii="Calibri" w:hAnsi="Calibri"/>
          <w:color w:val="414042"/>
          <w:sz w:val="16"/>
        </w:rPr>
        <w:t>Por ejemplo, el de investigación y desarrollo (IyD) que se ha observado en industrias de alto valor como la farmacéutica y la  electrónica.</w:t>
      </w:r>
    </w:p>
    <w:p>
      <w:pPr>
        <w:spacing w:line="192" w:lineRule="exact" w:before="0"/>
        <w:ind w:left="103" w:right="115" w:firstLine="0"/>
        <w:jc w:val="both"/>
        <w:rPr>
          <w:rFonts w:ascii="Calibri" w:hAnsi="Calibri"/>
          <w:sz w:val="16"/>
        </w:rPr>
      </w:pPr>
      <w:r>
        <w:rPr>
          <w:rFonts w:ascii="Calibri" w:hAnsi="Calibri"/>
          <w:color w:val="414042"/>
          <w:w w:val="105"/>
          <w:position w:val="5"/>
          <w:sz w:val="9"/>
        </w:rPr>
        <w:t>2</w:t>
      </w:r>
      <w:r>
        <w:rPr>
          <w:rFonts w:ascii="Calibri" w:hAnsi="Calibri"/>
          <w:color w:val="414042"/>
          <w:spacing w:val="12"/>
          <w:w w:val="105"/>
          <w:position w:val="5"/>
          <w:sz w:val="9"/>
        </w:rPr>
        <w:t> </w:t>
      </w:r>
      <w:r>
        <w:rPr>
          <w:rFonts w:ascii="Calibri" w:hAnsi="Calibri"/>
          <w:color w:val="414042"/>
          <w:w w:val="105"/>
          <w:sz w:val="16"/>
        </w:rPr>
        <w:t>Este</w:t>
      </w:r>
      <w:r>
        <w:rPr>
          <w:rFonts w:ascii="Calibri" w:hAnsi="Calibri"/>
          <w:color w:val="414042"/>
          <w:spacing w:val="-6"/>
          <w:w w:val="105"/>
          <w:sz w:val="16"/>
        </w:rPr>
        <w:t> </w:t>
      </w:r>
      <w:r>
        <w:rPr>
          <w:rFonts w:ascii="Calibri" w:hAnsi="Calibri"/>
          <w:color w:val="414042"/>
          <w:w w:val="105"/>
          <w:sz w:val="16"/>
        </w:rPr>
        <w:t>trato</w:t>
      </w:r>
      <w:r>
        <w:rPr>
          <w:rFonts w:ascii="Calibri" w:hAnsi="Calibri"/>
          <w:color w:val="414042"/>
          <w:spacing w:val="-6"/>
          <w:w w:val="105"/>
          <w:sz w:val="16"/>
        </w:rPr>
        <w:t> </w:t>
      </w:r>
      <w:r>
        <w:rPr>
          <w:rFonts w:ascii="Calibri" w:hAnsi="Calibri"/>
          <w:color w:val="414042"/>
          <w:w w:val="105"/>
          <w:sz w:val="16"/>
        </w:rPr>
        <w:t>fue</w:t>
      </w:r>
      <w:r>
        <w:rPr>
          <w:rFonts w:ascii="Calibri" w:hAnsi="Calibri"/>
          <w:color w:val="414042"/>
          <w:spacing w:val="-6"/>
          <w:w w:val="105"/>
          <w:sz w:val="16"/>
        </w:rPr>
        <w:t> </w:t>
      </w:r>
      <w:r>
        <w:rPr>
          <w:rFonts w:ascii="Calibri" w:hAnsi="Calibri"/>
          <w:color w:val="414042"/>
          <w:w w:val="105"/>
          <w:sz w:val="16"/>
        </w:rPr>
        <w:t>tristemente</w:t>
      </w:r>
      <w:r>
        <w:rPr>
          <w:rFonts w:ascii="Calibri" w:hAnsi="Calibri"/>
          <w:color w:val="414042"/>
          <w:spacing w:val="-6"/>
          <w:w w:val="105"/>
          <w:sz w:val="16"/>
        </w:rPr>
        <w:t> </w:t>
      </w:r>
      <w:r>
        <w:rPr>
          <w:rFonts w:ascii="Calibri" w:hAnsi="Calibri"/>
          <w:color w:val="414042"/>
          <w:w w:val="105"/>
          <w:sz w:val="16"/>
        </w:rPr>
        <w:t>célebre</w:t>
      </w:r>
      <w:r>
        <w:rPr>
          <w:rFonts w:ascii="Calibri" w:hAnsi="Calibri"/>
          <w:color w:val="414042"/>
          <w:spacing w:val="-6"/>
          <w:w w:val="105"/>
          <w:sz w:val="16"/>
        </w:rPr>
        <w:t> </w:t>
      </w:r>
      <w:r>
        <w:rPr>
          <w:rFonts w:ascii="Calibri" w:hAnsi="Calibri"/>
          <w:color w:val="414042"/>
          <w:w w:val="105"/>
          <w:sz w:val="16"/>
        </w:rPr>
        <w:t>pues</w:t>
      </w:r>
      <w:r>
        <w:rPr>
          <w:rFonts w:ascii="Calibri" w:hAnsi="Calibri"/>
          <w:color w:val="414042"/>
          <w:spacing w:val="-6"/>
          <w:w w:val="105"/>
          <w:sz w:val="16"/>
        </w:rPr>
        <w:t> </w:t>
      </w:r>
      <w:r>
        <w:rPr>
          <w:rFonts w:ascii="Calibri" w:hAnsi="Calibri"/>
          <w:color w:val="414042"/>
          <w:w w:val="105"/>
          <w:sz w:val="16"/>
        </w:rPr>
        <w:t>condujo</w:t>
      </w:r>
      <w:r>
        <w:rPr>
          <w:rFonts w:ascii="Calibri" w:hAnsi="Calibri"/>
          <w:color w:val="414042"/>
          <w:spacing w:val="-6"/>
          <w:w w:val="105"/>
          <w:sz w:val="16"/>
        </w:rPr>
        <w:t> </w:t>
      </w:r>
      <w:r>
        <w:rPr>
          <w:rFonts w:ascii="Calibri" w:hAnsi="Calibri"/>
          <w:color w:val="414042"/>
          <w:w w:val="105"/>
          <w:sz w:val="16"/>
        </w:rPr>
        <w:t>a</w:t>
      </w:r>
      <w:r>
        <w:rPr>
          <w:rFonts w:ascii="Calibri" w:hAnsi="Calibri"/>
          <w:color w:val="414042"/>
          <w:spacing w:val="-6"/>
          <w:w w:val="105"/>
          <w:sz w:val="16"/>
        </w:rPr>
        <w:t> </w:t>
      </w:r>
      <w:r>
        <w:rPr>
          <w:rFonts w:ascii="Calibri" w:hAnsi="Calibri"/>
          <w:color w:val="414042"/>
          <w:w w:val="105"/>
          <w:sz w:val="16"/>
        </w:rPr>
        <w:t>un</w:t>
      </w:r>
      <w:r>
        <w:rPr>
          <w:rFonts w:ascii="Calibri" w:hAnsi="Calibri"/>
          <w:color w:val="414042"/>
          <w:spacing w:val="-6"/>
          <w:w w:val="105"/>
          <w:sz w:val="16"/>
        </w:rPr>
        <w:t> </w:t>
      </w:r>
      <w:r>
        <w:rPr>
          <w:rFonts w:ascii="Calibri" w:hAnsi="Calibri"/>
          <w:color w:val="414042"/>
          <w:w w:val="105"/>
          <w:sz w:val="16"/>
        </w:rPr>
        <w:t>grave</w:t>
      </w:r>
      <w:r>
        <w:rPr>
          <w:rFonts w:ascii="Calibri" w:hAnsi="Calibri"/>
          <w:color w:val="414042"/>
          <w:spacing w:val="-6"/>
          <w:w w:val="105"/>
          <w:sz w:val="16"/>
        </w:rPr>
        <w:t> </w:t>
      </w:r>
      <w:r>
        <w:rPr>
          <w:rFonts w:ascii="Calibri" w:hAnsi="Calibri"/>
          <w:color w:val="414042"/>
          <w:w w:val="105"/>
          <w:sz w:val="16"/>
        </w:rPr>
        <w:t>conflicto</w:t>
      </w:r>
      <w:r>
        <w:rPr>
          <w:rFonts w:ascii="Calibri" w:hAnsi="Calibri"/>
          <w:color w:val="414042"/>
          <w:spacing w:val="-6"/>
          <w:w w:val="105"/>
          <w:sz w:val="16"/>
        </w:rPr>
        <w:t> </w:t>
      </w:r>
      <w:r>
        <w:rPr>
          <w:rFonts w:ascii="Calibri" w:hAnsi="Calibri"/>
          <w:color w:val="414042"/>
          <w:w w:val="105"/>
          <w:sz w:val="16"/>
        </w:rPr>
        <w:t>internacional</w:t>
      </w:r>
      <w:r>
        <w:rPr>
          <w:rFonts w:ascii="Calibri" w:hAnsi="Calibri"/>
          <w:color w:val="414042"/>
          <w:spacing w:val="-6"/>
          <w:w w:val="105"/>
          <w:sz w:val="16"/>
        </w:rPr>
        <w:t> </w:t>
      </w:r>
      <w:r>
        <w:rPr>
          <w:rFonts w:ascii="Calibri" w:hAnsi="Calibri"/>
          <w:color w:val="414042"/>
          <w:w w:val="105"/>
          <w:sz w:val="16"/>
        </w:rPr>
        <w:t>en</w:t>
      </w:r>
      <w:r>
        <w:rPr>
          <w:rFonts w:ascii="Calibri" w:hAnsi="Calibri"/>
          <w:color w:val="414042"/>
          <w:spacing w:val="-6"/>
          <w:w w:val="105"/>
          <w:sz w:val="16"/>
        </w:rPr>
        <w:t> </w:t>
      </w:r>
      <w:r>
        <w:rPr>
          <w:rFonts w:ascii="Calibri" w:hAnsi="Calibri"/>
          <w:color w:val="414042"/>
          <w:w w:val="105"/>
          <w:sz w:val="16"/>
        </w:rPr>
        <w:t>el</w:t>
      </w:r>
      <w:r>
        <w:rPr>
          <w:rFonts w:ascii="Calibri" w:hAnsi="Calibri"/>
          <w:color w:val="414042"/>
          <w:spacing w:val="-6"/>
          <w:w w:val="105"/>
          <w:sz w:val="16"/>
        </w:rPr>
        <w:t> </w:t>
      </w:r>
      <w:r>
        <w:rPr>
          <w:rFonts w:ascii="Calibri" w:hAnsi="Calibri"/>
          <w:color w:val="414042"/>
          <w:w w:val="105"/>
          <w:sz w:val="16"/>
        </w:rPr>
        <w:t>año</w:t>
      </w:r>
      <w:r>
        <w:rPr>
          <w:rFonts w:ascii="Calibri" w:hAnsi="Calibri"/>
          <w:color w:val="414042"/>
          <w:spacing w:val="-6"/>
          <w:w w:val="105"/>
          <w:sz w:val="16"/>
        </w:rPr>
        <w:t> </w:t>
      </w:r>
      <w:r>
        <w:rPr>
          <w:rFonts w:ascii="Calibri" w:hAnsi="Calibri"/>
          <w:color w:val="414042"/>
          <w:w w:val="105"/>
          <w:sz w:val="16"/>
        </w:rPr>
        <w:t>2002</w:t>
      </w:r>
      <w:r>
        <w:rPr>
          <w:rFonts w:ascii="Calibri" w:hAnsi="Calibri"/>
          <w:color w:val="414042"/>
          <w:spacing w:val="-6"/>
          <w:w w:val="105"/>
          <w:sz w:val="16"/>
        </w:rPr>
        <w:t> </w:t>
      </w:r>
      <w:r>
        <w:rPr>
          <w:rFonts w:ascii="Calibri" w:hAnsi="Calibri"/>
          <w:color w:val="414042"/>
          <w:w w:val="105"/>
          <w:sz w:val="16"/>
        </w:rPr>
        <w:t>en el</w:t>
      </w:r>
      <w:r>
        <w:rPr>
          <w:rFonts w:ascii="Calibri" w:hAnsi="Calibri"/>
          <w:color w:val="414042"/>
          <w:spacing w:val="-13"/>
          <w:w w:val="105"/>
          <w:sz w:val="16"/>
        </w:rPr>
        <w:t> </w:t>
      </w:r>
      <w:r>
        <w:rPr>
          <w:rFonts w:ascii="Calibri" w:hAnsi="Calibri"/>
          <w:color w:val="414042"/>
          <w:w w:val="105"/>
          <w:sz w:val="16"/>
        </w:rPr>
        <w:t>que</w:t>
      </w:r>
      <w:r>
        <w:rPr>
          <w:rFonts w:ascii="Calibri" w:hAnsi="Calibri"/>
          <w:color w:val="414042"/>
          <w:spacing w:val="-13"/>
          <w:w w:val="105"/>
          <w:sz w:val="16"/>
        </w:rPr>
        <w:t> </w:t>
      </w:r>
      <w:r>
        <w:rPr>
          <w:rFonts w:ascii="Calibri" w:hAnsi="Calibri"/>
          <w:color w:val="414042"/>
          <w:w w:val="105"/>
          <w:sz w:val="16"/>
        </w:rPr>
        <w:t>Estados</w:t>
      </w:r>
      <w:r>
        <w:rPr>
          <w:rFonts w:ascii="Calibri" w:hAnsi="Calibri"/>
          <w:color w:val="414042"/>
          <w:spacing w:val="-13"/>
          <w:w w:val="105"/>
          <w:sz w:val="16"/>
        </w:rPr>
        <w:t> </w:t>
      </w:r>
      <w:r>
        <w:rPr>
          <w:rFonts w:ascii="Calibri" w:hAnsi="Calibri"/>
          <w:color w:val="414042"/>
          <w:w w:val="105"/>
          <w:sz w:val="16"/>
        </w:rPr>
        <w:t>Unidos</w:t>
      </w:r>
      <w:r>
        <w:rPr>
          <w:rFonts w:ascii="Calibri" w:hAnsi="Calibri"/>
          <w:color w:val="414042"/>
          <w:spacing w:val="-13"/>
          <w:w w:val="105"/>
          <w:sz w:val="16"/>
        </w:rPr>
        <w:t> </w:t>
      </w:r>
      <w:r>
        <w:rPr>
          <w:rFonts w:ascii="Calibri" w:hAnsi="Calibri"/>
          <w:color w:val="414042"/>
          <w:w w:val="105"/>
          <w:sz w:val="16"/>
        </w:rPr>
        <w:t>demandó</w:t>
      </w:r>
      <w:r>
        <w:rPr>
          <w:rFonts w:ascii="Calibri" w:hAnsi="Calibri"/>
          <w:color w:val="414042"/>
          <w:spacing w:val="-13"/>
          <w:w w:val="105"/>
          <w:sz w:val="16"/>
        </w:rPr>
        <w:t> </w:t>
      </w:r>
      <w:r>
        <w:rPr>
          <w:rFonts w:ascii="Calibri" w:hAnsi="Calibri"/>
          <w:color w:val="414042"/>
          <w:w w:val="105"/>
          <w:sz w:val="16"/>
        </w:rPr>
        <w:t>a</w:t>
      </w:r>
      <w:r>
        <w:rPr>
          <w:rFonts w:ascii="Calibri" w:hAnsi="Calibri"/>
          <w:color w:val="414042"/>
          <w:spacing w:val="-13"/>
          <w:w w:val="105"/>
          <w:sz w:val="16"/>
        </w:rPr>
        <w:t> </w:t>
      </w:r>
      <w:r>
        <w:rPr>
          <w:rFonts w:ascii="Calibri" w:hAnsi="Calibri"/>
          <w:color w:val="414042"/>
          <w:w w:val="105"/>
          <w:sz w:val="16"/>
        </w:rPr>
        <w:t>México</w:t>
      </w:r>
      <w:r>
        <w:rPr>
          <w:rFonts w:ascii="Calibri" w:hAnsi="Calibri"/>
          <w:color w:val="414042"/>
          <w:spacing w:val="-13"/>
          <w:w w:val="105"/>
          <w:sz w:val="16"/>
        </w:rPr>
        <w:t> </w:t>
      </w:r>
      <w:r>
        <w:rPr>
          <w:rFonts w:ascii="Calibri" w:hAnsi="Calibri"/>
          <w:color w:val="414042"/>
          <w:w w:val="105"/>
          <w:sz w:val="16"/>
        </w:rPr>
        <w:t>ante</w:t>
      </w:r>
      <w:r>
        <w:rPr>
          <w:rFonts w:ascii="Calibri" w:hAnsi="Calibri"/>
          <w:color w:val="414042"/>
          <w:spacing w:val="-13"/>
          <w:w w:val="105"/>
          <w:sz w:val="16"/>
        </w:rPr>
        <w:t> </w:t>
      </w:r>
      <w:r>
        <w:rPr>
          <w:rFonts w:ascii="Calibri" w:hAnsi="Calibri"/>
          <w:color w:val="414042"/>
          <w:w w:val="105"/>
          <w:sz w:val="16"/>
        </w:rPr>
        <w:t>la</w:t>
      </w:r>
      <w:r>
        <w:rPr>
          <w:rFonts w:ascii="Calibri" w:hAnsi="Calibri"/>
          <w:color w:val="414042"/>
          <w:spacing w:val="-13"/>
          <w:w w:val="105"/>
          <w:sz w:val="16"/>
        </w:rPr>
        <w:t> </w:t>
      </w:r>
      <w:r>
        <w:rPr>
          <w:rFonts w:ascii="Calibri" w:hAnsi="Calibri"/>
          <w:color w:val="414042"/>
          <w:w w:val="105"/>
          <w:sz w:val="16"/>
        </w:rPr>
        <w:t>Organización</w:t>
      </w:r>
      <w:r>
        <w:rPr>
          <w:rFonts w:ascii="Calibri" w:hAnsi="Calibri"/>
          <w:color w:val="414042"/>
          <w:spacing w:val="-13"/>
          <w:w w:val="105"/>
          <w:sz w:val="16"/>
        </w:rPr>
        <w:t> </w:t>
      </w:r>
      <w:r>
        <w:rPr>
          <w:rFonts w:ascii="Calibri" w:hAnsi="Calibri"/>
          <w:color w:val="414042"/>
          <w:w w:val="105"/>
          <w:sz w:val="16"/>
        </w:rPr>
        <w:t>Mundial</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Comercio</w:t>
      </w:r>
      <w:r>
        <w:rPr>
          <w:rFonts w:ascii="Calibri" w:hAnsi="Calibri"/>
          <w:color w:val="414042"/>
          <w:spacing w:val="-13"/>
          <w:w w:val="105"/>
          <w:sz w:val="16"/>
        </w:rPr>
        <w:t> </w:t>
      </w:r>
      <w:r>
        <w:rPr>
          <w:rFonts w:ascii="Calibri" w:hAnsi="Calibri"/>
          <w:color w:val="414042"/>
          <w:w w:val="105"/>
          <w:sz w:val="16"/>
        </w:rPr>
        <w:t>(OMC).</w:t>
      </w:r>
      <w:r>
        <w:rPr>
          <w:rFonts w:ascii="Calibri" w:hAnsi="Calibri"/>
          <w:color w:val="414042"/>
          <w:spacing w:val="-13"/>
          <w:w w:val="105"/>
          <w:sz w:val="16"/>
        </w:rPr>
        <w:t> </w:t>
      </w:r>
      <w:r>
        <w:rPr>
          <w:rFonts w:ascii="Calibri" w:hAnsi="Calibri"/>
          <w:color w:val="414042"/>
          <w:w w:val="105"/>
          <w:sz w:val="16"/>
        </w:rPr>
        <w:t>El</w:t>
      </w:r>
      <w:r>
        <w:rPr>
          <w:rFonts w:ascii="Calibri" w:hAnsi="Calibri"/>
          <w:color w:val="414042"/>
          <w:spacing w:val="-13"/>
          <w:w w:val="105"/>
          <w:sz w:val="16"/>
        </w:rPr>
        <w:t> </w:t>
      </w:r>
      <w:r>
        <w:rPr>
          <w:rFonts w:ascii="Calibri" w:hAnsi="Calibri"/>
          <w:color w:val="414042"/>
          <w:w w:val="105"/>
          <w:sz w:val="16"/>
        </w:rPr>
        <w:t>conflicto se</w:t>
      </w:r>
      <w:r>
        <w:rPr>
          <w:rFonts w:ascii="Calibri" w:hAnsi="Calibri"/>
          <w:color w:val="414042"/>
          <w:spacing w:val="-15"/>
          <w:w w:val="105"/>
          <w:sz w:val="16"/>
        </w:rPr>
        <w:t> </w:t>
      </w:r>
      <w:r>
        <w:rPr>
          <w:rFonts w:ascii="Calibri" w:hAnsi="Calibri"/>
          <w:color w:val="414042"/>
          <w:w w:val="105"/>
          <w:sz w:val="16"/>
        </w:rPr>
        <w:t>centró</w:t>
      </w:r>
      <w:r>
        <w:rPr>
          <w:rFonts w:ascii="Calibri" w:hAnsi="Calibri"/>
          <w:color w:val="414042"/>
          <w:spacing w:val="-15"/>
          <w:w w:val="105"/>
          <w:sz w:val="16"/>
        </w:rPr>
        <w:t> </w:t>
      </w:r>
      <w:r>
        <w:rPr>
          <w:rFonts w:ascii="Calibri" w:hAnsi="Calibri"/>
          <w:color w:val="414042"/>
          <w:w w:val="105"/>
          <w:sz w:val="16"/>
        </w:rPr>
        <w:t>en</w:t>
      </w:r>
      <w:r>
        <w:rPr>
          <w:rFonts w:ascii="Calibri" w:hAnsi="Calibri"/>
          <w:color w:val="414042"/>
          <w:spacing w:val="-15"/>
          <w:w w:val="105"/>
          <w:sz w:val="16"/>
        </w:rPr>
        <w:t> </w:t>
      </w:r>
      <w:r>
        <w:rPr>
          <w:rFonts w:ascii="Calibri" w:hAnsi="Calibri"/>
          <w:color w:val="414042"/>
          <w:w w:val="105"/>
          <w:sz w:val="16"/>
        </w:rPr>
        <w:t>que</w:t>
      </w:r>
      <w:r>
        <w:rPr>
          <w:rFonts w:ascii="Calibri" w:hAnsi="Calibri"/>
          <w:color w:val="414042"/>
          <w:spacing w:val="-15"/>
          <w:w w:val="105"/>
          <w:sz w:val="16"/>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alianza</w:t>
      </w:r>
      <w:r>
        <w:rPr>
          <w:rFonts w:ascii="Calibri" w:hAnsi="Calibri"/>
          <w:color w:val="414042"/>
          <w:spacing w:val="-15"/>
          <w:w w:val="105"/>
          <w:sz w:val="16"/>
        </w:rPr>
        <w:t> </w:t>
      </w:r>
      <w:r>
        <w:rPr>
          <w:rFonts w:ascii="Calibri" w:hAnsi="Calibri"/>
          <w:color w:val="414042"/>
          <w:w w:val="105"/>
          <w:sz w:val="16"/>
        </w:rPr>
        <w:t>en</w:t>
      </w:r>
      <w:r>
        <w:rPr>
          <w:rFonts w:ascii="Calibri" w:hAnsi="Calibri"/>
          <w:color w:val="414042"/>
          <w:spacing w:val="-15"/>
          <w:w w:val="105"/>
          <w:sz w:val="16"/>
        </w:rPr>
        <w:t> </w:t>
      </w:r>
      <w:r>
        <w:rPr>
          <w:rFonts w:ascii="Calibri" w:hAnsi="Calibri"/>
          <w:color w:val="414042"/>
          <w:w w:val="105"/>
          <w:sz w:val="16"/>
        </w:rPr>
        <w:t>realidad</w:t>
      </w:r>
      <w:r>
        <w:rPr>
          <w:rFonts w:ascii="Calibri" w:hAnsi="Calibri"/>
          <w:color w:val="414042"/>
          <w:spacing w:val="-15"/>
          <w:w w:val="105"/>
          <w:sz w:val="16"/>
        </w:rPr>
        <w:t> </w:t>
      </w:r>
      <w:r>
        <w:rPr>
          <w:rFonts w:ascii="Calibri" w:hAnsi="Calibri"/>
          <w:color w:val="414042"/>
          <w:w w:val="105"/>
          <w:sz w:val="16"/>
        </w:rPr>
        <w:t>era</w:t>
      </w:r>
      <w:r>
        <w:rPr>
          <w:rFonts w:ascii="Calibri" w:hAnsi="Calibri"/>
          <w:color w:val="414042"/>
          <w:spacing w:val="-15"/>
          <w:w w:val="105"/>
          <w:sz w:val="16"/>
        </w:rPr>
        <w:t> </w:t>
      </w:r>
      <w:r>
        <w:rPr>
          <w:rFonts w:ascii="Calibri" w:hAnsi="Calibri"/>
          <w:color w:val="414042"/>
          <w:w w:val="105"/>
          <w:sz w:val="16"/>
        </w:rPr>
        <w:t>una</w:t>
      </w:r>
      <w:r>
        <w:rPr>
          <w:rFonts w:ascii="Calibri" w:hAnsi="Calibri"/>
          <w:color w:val="414042"/>
          <w:spacing w:val="-15"/>
          <w:w w:val="105"/>
          <w:sz w:val="16"/>
        </w:rPr>
        <w:t> </w:t>
      </w:r>
      <w:r>
        <w:rPr>
          <w:rFonts w:ascii="Calibri" w:hAnsi="Calibri"/>
          <w:color w:val="414042"/>
          <w:w w:val="105"/>
          <w:sz w:val="16"/>
        </w:rPr>
        <w:t>colusión</w:t>
      </w:r>
      <w:r>
        <w:rPr>
          <w:rFonts w:ascii="Calibri" w:hAnsi="Calibri"/>
          <w:color w:val="414042"/>
          <w:spacing w:val="-15"/>
          <w:w w:val="105"/>
          <w:sz w:val="16"/>
        </w:rPr>
        <w:t> </w:t>
      </w:r>
      <w:r>
        <w:rPr>
          <w:rFonts w:ascii="Calibri" w:hAnsi="Calibri"/>
          <w:color w:val="414042"/>
          <w:w w:val="105"/>
          <w:sz w:val="16"/>
        </w:rPr>
        <w:t>entre</w:t>
      </w:r>
      <w:r>
        <w:rPr>
          <w:rFonts w:ascii="Calibri" w:hAnsi="Calibri"/>
          <w:color w:val="414042"/>
          <w:spacing w:val="-15"/>
          <w:w w:val="105"/>
          <w:sz w:val="16"/>
        </w:rPr>
        <w:t> </w:t>
      </w:r>
      <w:r>
        <w:rPr>
          <w:rFonts w:ascii="Calibri" w:hAnsi="Calibri"/>
          <w:color w:val="414042"/>
          <w:w w:val="105"/>
          <w:sz w:val="16"/>
        </w:rPr>
        <w:t>las</w:t>
      </w:r>
      <w:r>
        <w:rPr>
          <w:rFonts w:ascii="Calibri" w:hAnsi="Calibri"/>
          <w:color w:val="414042"/>
          <w:spacing w:val="-15"/>
          <w:w w:val="105"/>
          <w:sz w:val="16"/>
        </w:rPr>
        <w:t> </w:t>
      </w:r>
      <w:r>
        <w:rPr>
          <w:rFonts w:ascii="Calibri" w:hAnsi="Calibri"/>
          <w:color w:val="414042"/>
          <w:w w:val="105"/>
          <w:sz w:val="16"/>
        </w:rPr>
        <w:t>dos</w:t>
      </w:r>
      <w:r>
        <w:rPr>
          <w:rFonts w:ascii="Calibri" w:hAnsi="Calibri"/>
          <w:color w:val="414042"/>
          <w:spacing w:val="-15"/>
          <w:w w:val="105"/>
          <w:sz w:val="16"/>
        </w:rPr>
        <w:t> </w:t>
      </w:r>
      <w:r>
        <w:rPr>
          <w:rFonts w:ascii="Calibri" w:hAnsi="Calibri"/>
          <w:color w:val="414042"/>
          <w:w w:val="105"/>
          <w:sz w:val="16"/>
        </w:rPr>
        <w:t>empresas</w:t>
      </w:r>
      <w:r>
        <w:rPr>
          <w:rFonts w:ascii="Calibri" w:hAnsi="Calibri"/>
          <w:color w:val="414042"/>
          <w:spacing w:val="-15"/>
          <w:w w:val="105"/>
          <w:sz w:val="16"/>
        </w:rPr>
        <w:t> </w:t>
      </w:r>
      <w:r>
        <w:rPr>
          <w:rFonts w:ascii="Calibri" w:hAnsi="Calibri"/>
          <w:color w:val="414042"/>
          <w:w w:val="105"/>
          <w:sz w:val="16"/>
        </w:rPr>
        <w:t>que,</w:t>
      </w:r>
      <w:r>
        <w:rPr>
          <w:rFonts w:ascii="Calibri" w:hAnsi="Calibri"/>
          <w:color w:val="414042"/>
          <w:spacing w:val="-15"/>
          <w:w w:val="105"/>
          <w:sz w:val="16"/>
        </w:rPr>
        <w:t> </w:t>
      </w:r>
      <w:r>
        <w:rPr>
          <w:rFonts w:ascii="Calibri" w:hAnsi="Calibri"/>
          <w:color w:val="414042"/>
          <w:w w:val="105"/>
          <w:sz w:val="16"/>
        </w:rPr>
        <w:t>mediante</w:t>
      </w:r>
      <w:r>
        <w:rPr>
          <w:rFonts w:ascii="Calibri" w:hAnsi="Calibri"/>
          <w:color w:val="414042"/>
          <w:spacing w:val="-15"/>
          <w:w w:val="105"/>
          <w:sz w:val="16"/>
        </w:rPr>
        <w:t> </w:t>
      </w:r>
      <w:r>
        <w:rPr>
          <w:rFonts w:ascii="Calibri" w:hAnsi="Calibri"/>
          <w:color w:val="414042"/>
          <w:w w:val="105"/>
          <w:sz w:val="16"/>
        </w:rPr>
        <w:t>manipular a</w:t>
      </w:r>
      <w:r>
        <w:rPr>
          <w:rFonts w:ascii="Calibri" w:hAnsi="Calibri"/>
          <w:color w:val="414042"/>
          <w:spacing w:val="-10"/>
          <w:w w:val="105"/>
          <w:sz w:val="16"/>
        </w:rPr>
        <w:t> </w:t>
      </w:r>
      <w:r>
        <w:rPr>
          <w:rFonts w:ascii="Calibri" w:hAnsi="Calibri"/>
          <w:color w:val="414042"/>
          <w:w w:val="105"/>
          <w:sz w:val="16"/>
        </w:rPr>
        <w:t>otras</w:t>
      </w:r>
      <w:r>
        <w:rPr>
          <w:rFonts w:ascii="Calibri" w:hAnsi="Calibri"/>
          <w:color w:val="414042"/>
          <w:spacing w:val="-10"/>
          <w:w w:val="105"/>
          <w:sz w:val="16"/>
        </w:rPr>
        <w:t> </w:t>
      </w:r>
      <w:r>
        <w:rPr>
          <w:rFonts w:ascii="Calibri" w:hAnsi="Calibri"/>
          <w:color w:val="414042"/>
          <w:w w:val="105"/>
          <w:sz w:val="16"/>
        </w:rPr>
        <w:t>más</w:t>
      </w:r>
      <w:r>
        <w:rPr>
          <w:rFonts w:ascii="Calibri" w:hAnsi="Calibri"/>
          <w:color w:val="414042"/>
          <w:spacing w:val="-10"/>
          <w:w w:val="105"/>
          <w:sz w:val="16"/>
        </w:rPr>
        <w:t> </w:t>
      </w:r>
      <w:r>
        <w:rPr>
          <w:rFonts w:ascii="Calibri" w:hAnsi="Calibri"/>
          <w:color w:val="414042"/>
          <w:w w:val="105"/>
          <w:sz w:val="16"/>
        </w:rPr>
        <w:t>chicas,</w:t>
      </w:r>
      <w:r>
        <w:rPr>
          <w:rFonts w:ascii="Calibri" w:hAnsi="Calibri"/>
          <w:color w:val="414042"/>
          <w:spacing w:val="-10"/>
          <w:w w:val="105"/>
          <w:sz w:val="16"/>
        </w:rPr>
        <w:t> </w:t>
      </w:r>
      <w:r>
        <w:rPr>
          <w:rFonts w:ascii="Calibri" w:hAnsi="Calibri"/>
          <w:color w:val="414042"/>
          <w:w w:val="105"/>
          <w:sz w:val="16"/>
        </w:rPr>
        <w:t>terminó</w:t>
      </w:r>
      <w:r>
        <w:rPr>
          <w:rFonts w:ascii="Calibri" w:hAnsi="Calibri"/>
          <w:color w:val="414042"/>
          <w:spacing w:val="-10"/>
          <w:w w:val="105"/>
          <w:sz w:val="16"/>
        </w:rPr>
        <w:t> </w:t>
      </w:r>
      <w:r>
        <w:rPr>
          <w:rFonts w:ascii="Calibri" w:hAnsi="Calibri"/>
          <w:color w:val="414042"/>
          <w:w w:val="105"/>
          <w:sz w:val="16"/>
        </w:rPr>
        <w:t>funcionando</w:t>
      </w:r>
      <w:r>
        <w:rPr>
          <w:rFonts w:ascii="Calibri" w:hAnsi="Calibri"/>
          <w:color w:val="414042"/>
          <w:spacing w:val="-10"/>
          <w:w w:val="105"/>
          <w:sz w:val="16"/>
        </w:rPr>
        <w:t> </w:t>
      </w:r>
      <w:r>
        <w:rPr>
          <w:rFonts w:ascii="Calibri" w:hAnsi="Calibri"/>
          <w:color w:val="414042"/>
          <w:w w:val="105"/>
          <w:sz w:val="16"/>
        </w:rPr>
        <w:t>como</w:t>
      </w:r>
      <w:r>
        <w:rPr>
          <w:rFonts w:ascii="Calibri" w:hAnsi="Calibri"/>
          <w:color w:val="414042"/>
          <w:spacing w:val="-10"/>
          <w:w w:val="105"/>
          <w:sz w:val="16"/>
        </w:rPr>
        <w:t> </w:t>
      </w:r>
      <w:r>
        <w:rPr>
          <w:rFonts w:ascii="Calibri" w:hAnsi="Calibri"/>
          <w:color w:val="414042"/>
          <w:w w:val="105"/>
          <w:sz w:val="16"/>
        </w:rPr>
        <w:t>un</w:t>
      </w:r>
      <w:r>
        <w:rPr>
          <w:rFonts w:ascii="Calibri" w:hAnsi="Calibri"/>
          <w:color w:val="414042"/>
          <w:spacing w:val="-10"/>
          <w:w w:val="105"/>
          <w:sz w:val="16"/>
        </w:rPr>
        <w:t> </w:t>
      </w:r>
      <w:r>
        <w:rPr>
          <w:rFonts w:ascii="Calibri" w:hAnsi="Calibri"/>
          <w:color w:val="414042"/>
          <w:w w:val="105"/>
          <w:sz w:val="16"/>
        </w:rPr>
        <w:t>cártel</w:t>
      </w:r>
      <w:r>
        <w:rPr>
          <w:rFonts w:ascii="Calibri" w:hAnsi="Calibri"/>
          <w:color w:val="414042"/>
          <w:spacing w:val="-10"/>
          <w:w w:val="105"/>
          <w:sz w:val="16"/>
        </w:rPr>
        <w:t> </w:t>
      </w:r>
      <w:r>
        <w:rPr>
          <w:rFonts w:ascii="Calibri" w:hAnsi="Calibri"/>
          <w:color w:val="414042"/>
          <w:w w:val="105"/>
          <w:sz w:val="16"/>
        </w:rPr>
        <w:t>que</w:t>
      </w:r>
      <w:r>
        <w:rPr>
          <w:rFonts w:ascii="Calibri" w:hAnsi="Calibri"/>
          <w:color w:val="414042"/>
          <w:spacing w:val="-10"/>
          <w:w w:val="105"/>
          <w:sz w:val="16"/>
        </w:rPr>
        <w:t> </w:t>
      </w:r>
      <w:r>
        <w:rPr>
          <w:rFonts w:ascii="Calibri" w:hAnsi="Calibri"/>
          <w:color w:val="414042"/>
          <w:w w:val="105"/>
          <w:sz w:val="16"/>
        </w:rPr>
        <w:t>elevaba</w:t>
      </w:r>
      <w:r>
        <w:rPr>
          <w:rFonts w:ascii="Calibri" w:hAnsi="Calibri"/>
          <w:color w:val="414042"/>
          <w:spacing w:val="-10"/>
          <w:w w:val="105"/>
          <w:sz w:val="16"/>
        </w:rPr>
        <w:t> </w:t>
      </w:r>
      <w:r>
        <w:rPr>
          <w:rFonts w:ascii="Calibri" w:hAnsi="Calibri"/>
          <w:color w:val="414042"/>
          <w:w w:val="105"/>
          <w:sz w:val="16"/>
        </w:rPr>
        <w:t>tarifas</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interconexión</w:t>
      </w:r>
      <w:r>
        <w:rPr>
          <w:rFonts w:ascii="Calibri" w:hAnsi="Calibri"/>
          <w:color w:val="414042"/>
          <w:spacing w:val="-11"/>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precios, y</w:t>
      </w:r>
      <w:r>
        <w:rPr>
          <w:rFonts w:ascii="Calibri" w:hAnsi="Calibri"/>
          <w:color w:val="414042"/>
          <w:spacing w:val="-2"/>
          <w:w w:val="105"/>
          <w:sz w:val="16"/>
        </w:rPr>
        <w:t> </w:t>
      </w:r>
      <w:r>
        <w:rPr>
          <w:rFonts w:ascii="Calibri" w:hAnsi="Calibri"/>
          <w:color w:val="414042"/>
          <w:w w:val="105"/>
          <w:sz w:val="16"/>
        </w:rPr>
        <w:t>que</w:t>
      </w:r>
      <w:r>
        <w:rPr>
          <w:rFonts w:ascii="Calibri" w:hAnsi="Calibri"/>
          <w:color w:val="414042"/>
          <w:spacing w:val="-2"/>
          <w:w w:val="105"/>
          <w:sz w:val="16"/>
        </w:rPr>
        <w:t> </w:t>
      </w:r>
      <w:r>
        <w:rPr>
          <w:rFonts w:ascii="Calibri" w:hAnsi="Calibri"/>
          <w:color w:val="414042"/>
          <w:w w:val="105"/>
          <w:sz w:val="16"/>
        </w:rPr>
        <w:t>por</w:t>
      </w:r>
      <w:r>
        <w:rPr>
          <w:rFonts w:ascii="Calibri" w:hAnsi="Calibri"/>
          <w:color w:val="414042"/>
          <w:spacing w:val="-2"/>
          <w:w w:val="105"/>
          <w:sz w:val="16"/>
        </w:rPr>
        <w:t> </w:t>
      </w:r>
      <w:r>
        <w:rPr>
          <w:rFonts w:ascii="Calibri" w:hAnsi="Calibri"/>
          <w:color w:val="414042"/>
          <w:w w:val="105"/>
          <w:sz w:val="16"/>
        </w:rPr>
        <w:t>lo</w:t>
      </w:r>
      <w:r>
        <w:rPr>
          <w:rFonts w:ascii="Calibri" w:hAnsi="Calibri"/>
          <w:color w:val="414042"/>
          <w:spacing w:val="-2"/>
          <w:w w:val="105"/>
          <w:sz w:val="16"/>
        </w:rPr>
        <w:t> </w:t>
      </w:r>
      <w:r>
        <w:rPr>
          <w:rFonts w:ascii="Calibri" w:hAnsi="Calibri"/>
          <w:color w:val="414042"/>
          <w:w w:val="105"/>
          <w:sz w:val="16"/>
        </w:rPr>
        <w:t>tanto</w:t>
      </w:r>
      <w:r>
        <w:rPr>
          <w:rFonts w:ascii="Calibri" w:hAnsi="Calibri"/>
          <w:color w:val="414042"/>
          <w:spacing w:val="-2"/>
          <w:w w:val="105"/>
          <w:sz w:val="16"/>
        </w:rPr>
        <w:t> </w:t>
      </w:r>
      <w:r>
        <w:rPr>
          <w:rFonts w:ascii="Calibri" w:hAnsi="Calibri"/>
          <w:color w:val="414042"/>
          <w:w w:val="105"/>
          <w:sz w:val="16"/>
        </w:rPr>
        <w:t>dañaba</w:t>
      </w:r>
      <w:r>
        <w:rPr>
          <w:rFonts w:ascii="Calibri" w:hAnsi="Calibri"/>
          <w:color w:val="414042"/>
          <w:spacing w:val="-2"/>
          <w:w w:val="105"/>
          <w:sz w:val="16"/>
        </w:rPr>
        <w:t> </w:t>
      </w:r>
      <w:r>
        <w:rPr>
          <w:rFonts w:ascii="Calibri" w:hAnsi="Calibri"/>
          <w:color w:val="414042"/>
          <w:w w:val="105"/>
          <w:sz w:val="16"/>
        </w:rPr>
        <w:t>el</w:t>
      </w:r>
      <w:r>
        <w:rPr>
          <w:rFonts w:ascii="Calibri" w:hAnsi="Calibri"/>
          <w:color w:val="414042"/>
          <w:spacing w:val="-2"/>
          <w:w w:val="105"/>
          <w:sz w:val="16"/>
        </w:rPr>
        <w:t> </w:t>
      </w:r>
      <w:r>
        <w:rPr>
          <w:rFonts w:ascii="Calibri" w:hAnsi="Calibri"/>
          <w:color w:val="414042"/>
          <w:w w:val="105"/>
          <w:sz w:val="16"/>
        </w:rPr>
        <w:t>bienestar</w:t>
      </w:r>
      <w:r>
        <w:rPr>
          <w:rFonts w:ascii="Calibri" w:hAnsi="Calibri"/>
          <w:color w:val="414042"/>
          <w:spacing w:val="-2"/>
          <w:w w:val="105"/>
          <w:sz w:val="16"/>
        </w:rPr>
        <w:t> </w:t>
      </w:r>
      <w:r>
        <w:rPr>
          <w:rFonts w:ascii="Calibri" w:hAnsi="Calibri"/>
          <w:color w:val="414042"/>
          <w:w w:val="105"/>
          <w:sz w:val="16"/>
        </w:rPr>
        <w:t>de</w:t>
      </w:r>
      <w:r>
        <w:rPr>
          <w:rFonts w:ascii="Calibri" w:hAnsi="Calibri"/>
          <w:color w:val="414042"/>
          <w:spacing w:val="-2"/>
          <w:w w:val="105"/>
          <w:sz w:val="16"/>
        </w:rPr>
        <w:t> </w:t>
      </w:r>
      <w:r>
        <w:rPr>
          <w:rFonts w:ascii="Calibri" w:hAnsi="Calibri"/>
          <w:color w:val="414042"/>
          <w:w w:val="105"/>
          <w:sz w:val="16"/>
        </w:rPr>
        <w:t>la</w:t>
      </w:r>
      <w:r>
        <w:rPr>
          <w:rFonts w:ascii="Calibri" w:hAnsi="Calibri"/>
          <w:color w:val="414042"/>
          <w:spacing w:val="-2"/>
          <w:w w:val="105"/>
          <w:sz w:val="16"/>
        </w:rPr>
        <w:t> </w:t>
      </w:r>
      <w:r>
        <w:rPr>
          <w:rFonts w:ascii="Calibri" w:hAnsi="Calibri"/>
          <w:color w:val="414042"/>
          <w:w w:val="105"/>
          <w:sz w:val="16"/>
        </w:rPr>
        <w:t>sociedad.</w:t>
      </w:r>
      <w:r>
        <w:rPr>
          <w:rFonts w:ascii="Calibri" w:hAnsi="Calibri"/>
          <w:color w:val="414042"/>
          <w:spacing w:val="-2"/>
          <w:w w:val="105"/>
          <w:sz w:val="16"/>
        </w:rPr>
        <w:t> </w:t>
      </w:r>
      <w:r>
        <w:rPr>
          <w:rFonts w:ascii="Calibri" w:hAnsi="Calibri"/>
          <w:color w:val="414042"/>
          <w:w w:val="105"/>
          <w:sz w:val="16"/>
        </w:rPr>
        <w:t>En</w:t>
      </w:r>
      <w:r>
        <w:rPr>
          <w:rFonts w:ascii="Calibri" w:hAnsi="Calibri"/>
          <w:color w:val="414042"/>
          <w:spacing w:val="-2"/>
          <w:w w:val="105"/>
          <w:sz w:val="16"/>
        </w:rPr>
        <w:t> </w:t>
      </w:r>
      <w:r>
        <w:rPr>
          <w:rFonts w:ascii="Calibri" w:hAnsi="Calibri"/>
          <w:color w:val="414042"/>
          <w:w w:val="105"/>
          <w:sz w:val="16"/>
        </w:rPr>
        <w:t>última</w:t>
      </w:r>
      <w:r>
        <w:rPr>
          <w:rFonts w:ascii="Calibri" w:hAnsi="Calibri"/>
          <w:color w:val="414042"/>
          <w:spacing w:val="-2"/>
          <w:w w:val="105"/>
          <w:sz w:val="16"/>
        </w:rPr>
        <w:t> </w:t>
      </w:r>
      <w:r>
        <w:rPr>
          <w:rFonts w:ascii="Calibri" w:hAnsi="Calibri"/>
          <w:color w:val="414042"/>
          <w:w w:val="105"/>
          <w:sz w:val="16"/>
        </w:rPr>
        <w:t>instancia,</w:t>
      </w:r>
      <w:r>
        <w:rPr>
          <w:rFonts w:ascii="Calibri" w:hAnsi="Calibri"/>
          <w:color w:val="414042"/>
          <w:spacing w:val="-2"/>
          <w:w w:val="105"/>
          <w:sz w:val="16"/>
        </w:rPr>
        <w:t> </w:t>
      </w:r>
      <w:r>
        <w:rPr>
          <w:rFonts w:ascii="Calibri" w:hAnsi="Calibri"/>
          <w:color w:val="414042"/>
          <w:w w:val="105"/>
          <w:sz w:val="16"/>
        </w:rPr>
        <w:t>el</w:t>
      </w:r>
      <w:r>
        <w:rPr>
          <w:rFonts w:ascii="Calibri" w:hAnsi="Calibri"/>
          <w:color w:val="414042"/>
          <w:spacing w:val="-2"/>
          <w:w w:val="105"/>
          <w:sz w:val="16"/>
        </w:rPr>
        <w:t> </w:t>
      </w:r>
      <w:r>
        <w:rPr>
          <w:rFonts w:ascii="Calibri" w:hAnsi="Calibri"/>
          <w:color w:val="414042"/>
          <w:w w:val="105"/>
          <w:sz w:val="16"/>
        </w:rPr>
        <w:t>conflicto</w:t>
      </w:r>
      <w:r>
        <w:rPr>
          <w:rFonts w:ascii="Calibri" w:hAnsi="Calibri"/>
          <w:color w:val="414042"/>
          <w:spacing w:val="-2"/>
          <w:w w:val="105"/>
          <w:sz w:val="16"/>
        </w:rPr>
        <w:t> </w:t>
      </w:r>
      <w:r>
        <w:rPr>
          <w:rFonts w:ascii="Calibri" w:hAnsi="Calibri"/>
          <w:color w:val="414042"/>
          <w:w w:val="105"/>
          <w:sz w:val="16"/>
        </w:rPr>
        <w:t>terminó</w:t>
      </w:r>
      <w:r>
        <w:rPr>
          <w:rFonts w:ascii="Calibri" w:hAnsi="Calibri"/>
          <w:color w:val="414042"/>
          <w:spacing w:val="-2"/>
          <w:w w:val="105"/>
          <w:sz w:val="16"/>
        </w:rPr>
        <w:t> </w:t>
      </w:r>
      <w:r>
        <w:rPr>
          <w:rFonts w:ascii="Calibri" w:hAnsi="Calibri"/>
          <w:color w:val="414042"/>
          <w:w w:val="105"/>
          <w:sz w:val="16"/>
        </w:rPr>
        <w:t>benefi-</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241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142</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560"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143</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El área funcional de la colaboración es importante de considerar pues determina el tipo de recursos que las empresas comprometen a ella. Mientras que las organizaciones disponen de recursos tales como ma- quinaria y equipo, tecnologías, capacidad de planta, conocimiento de manufactura y procesos productivos para las alianzas de manufactura (Walters,</w:t>
      </w:r>
      <w:r>
        <w:rPr>
          <w:color w:val="231F20"/>
          <w:spacing w:val="-9"/>
          <w:w w:val="105"/>
        </w:rPr>
        <w:t> </w:t>
      </w:r>
      <w:r>
        <w:rPr>
          <w:color w:val="231F20"/>
          <w:spacing w:val="-3"/>
          <w:w w:val="105"/>
        </w:rPr>
        <w:t>Peters</w:t>
      </w:r>
      <w:r>
        <w:rPr>
          <w:color w:val="231F20"/>
          <w:spacing w:val="-5"/>
          <w:w w:val="105"/>
        </w:rPr>
        <w:t> </w:t>
      </w:r>
      <w:r>
        <w:rPr>
          <w:color w:val="231F20"/>
          <w:w w:val="105"/>
        </w:rPr>
        <w:t>y</w:t>
      </w:r>
      <w:r>
        <w:rPr>
          <w:color w:val="231F20"/>
          <w:spacing w:val="-5"/>
          <w:w w:val="105"/>
        </w:rPr>
        <w:t> </w:t>
      </w:r>
      <w:r>
        <w:rPr>
          <w:color w:val="231F20"/>
          <w:w w:val="105"/>
        </w:rPr>
        <w:t>Dess,</w:t>
      </w:r>
      <w:r>
        <w:rPr>
          <w:color w:val="231F20"/>
          <w:spacing w:val="-9"/>
          <w:w w:val="105"/>
        </w:rPr>
        <w:t> </w:t>
      </w:r>
      <w:r>
        <w:rPr>
          <w:color w:val="231F20"/>
          <w:w w:val="105"/>
        </w:rPr>
        <w:t>1994),</w:t>
      </w:r>
      <w:r>
        <w:rPr>
          <w:color w:val="231F20"/>
          <w:spacing w:val="-9"/>
          <w:w w:val="105"/>
        </w:rPr>
        <w:t> </w:t>
      </w:r>
      <w:r>
        <w:rPr>
          <w:color w:val="231F20"/>
          <w:w w:val="105"/>
        </w:rPr>
        <w:t>comprometen</w:t>
      </w:r>
      <w:r>
        <w:rPr>
          <w:color w:val="231F20"/>
          <w:spacing w:val="-5"/>
          <w:w w:val="105"/>
        </w:rPr>
        <w:t> </w:t>
      </w:r>
      <w:r>
        <w:rPr>
          <w:color w:val="231F20"/>
          <w:w w:val="105"/>
        </w:rPr>
        <w:t>marcas,</w:t>
      </w:r>
      <w:r>
        <w:rPr>
          <w:color w:val="231F20"/>
          <w:spacing w:val="-9"/>
          <w:w w:val="105"/>
        </w:rPr>
        <w:t> </w:t>
      </w:r>
      <w:r>
        <w:rPr>
          <w:color w:val="231F20"/>
          <w:w w:val="105"/>
        </w:rPr>
        <w:t>conocimiento</w:t>
      </w:r>
      <w:r>
        <w:rPr>
          <w:color w:val="231F20"/>
          <w:spacing w:val="-5"/>
          <w:w w:val="105"/>
        </w:rPr>
        <w:t> </w:t>
      </w:r>
      <w:r>
        <w:rPr>
          <w:color w:val="231F20"/>
          <w:w w:val="105"/>
        </w:rPr>
        <w:t>de mercados,</w:t>
      </w:r>
      <w:r>
        <w:rPr>
          <w:color w:val="231F20"/>
          <w:spacing w:val="-24"/>
          <w:w w:val="105"/>
        </w:rPr>
        <w:t> </w:t>
      </w:r>
      <w:r>
        <w:rPr>
          <w:color w:val="231F20"/>
          <w:w w:val="105"/>
        </w:rPr>
        <w:t>fuerza</w:t>
      </w:r>
      <w:r>
        <w:rPr>
          <w:color w:val="231F20"/>
          <w:spacing w:val="-18"/>
          <w:w w:val="105"/>
        </w:rPr>
        <w:t> </w:t>
      </w:r>
      <w:r>
        <w:rPr>
          <w:color w:val="231F20"/>
          <w:w w:val="105"/>
        </w:rPr>
        <w:t>de</w:t>
      </w:r>
      <w:r>
        <w:rPr>
          <w:color w:val="231F20"/>
          <w:spacing w:val="-18"/>
          <w:w w:val="105"/>
        </w:rPr>
        <w:t> </w:t>
      </w:r>
      <w:r>
        <w:rPr>
          <w:color w:val="231F20"/>
          <w:w w:val="105"/>
        </w:rPr>
        <w:t>ventas</w:t>
      </w:r>
      <w:r>
        <w:rPr>
          <w:color w:val="231F20"/>
          <w:spacing w:val="-18"/>
          <w:w w:val="105"/>
        </w:rPr>
        <w:t> </w:t>
      </w:r>
      <w:r>
        <w:rPr>
          <w:color w:val="231F20"/>
          <w:w w:val="105"/>
        </w:rPr>
        <w:t>y</w:t>
      </w:r>
      <w:r>
        <w:rPr>
          <w:color w:val="231F20"/>
          <w:spacing w:val="-18"/>
          <w:w w:val="105"/>
        </w:rPr>
        <w:t> </w:t>
      </w:r>
      <w:r>
        <w:rPr>
          <w:color w:val="231F20"/>
          <w:w w:val="105"/>
        </w:rPr>
        <w:t>pericia</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manejo</w:t>
      </w:r>
      <w:r>
        <w:rPr>
          <w:color w:val="231F20"/>
          <w:spacing w:val="-18"/>
          <w:w w:val="105"/>
        </w:rPr>
        <w:t> </w:t>
      </w:r>
      <w:r>
        <w:rPr>
          <w:color w:val="231F20"/>
          <w:w w:val="105"/>
        </w:rPr>
        <w:t>del</w:t>
      </w:r>
      <w:r>
        <w:rPr>
          <w:color w:val="231F20"/>
          <w:spacing w:val="-18"/>
          <w:w w:val="105"/>
        </w:rPr>
        <w:t> </w:t>
      </w:r>
      <w:r>
        <w:rPr>
          <w:color w:val="231F20"/>
          <w:w w:val="105"/>
        </w:rPr>
        <w:t>mercadeo</w:t>
      </w:r>
      <w:r>
        <w:rPr>
          <w:color w:val="231F20"/>
          <w:spacing w:val="-18"/>
          <w:w w:val="105"/>
        </w:rPr>
        <w:t> </w:t>
      </w:r>
      <w:r>
        <w:rPr>
          <w:color w:val="231F20"/>
          <w:w w:val="105"/>
        </w:rPr>
        <w:t>cuando forman</w:t>
      </w:r>
      <w:r>
        <w:rPr>
          <w:color w:val="231F20"/>
          <w:spacing w:val="-30"/>
          <w:w w:val="105"/>
        </w:rPr>
        <w:t> </w:t>
      </w:r>
      <w:r>
        <w:rPr>
          <w:i/>
          <w:color w:val="231F20"/>
          <w:w w:val="105"/>
        </w:rPr>
        <w:t>joint</w:t>
      </w:r>
      <w:r>
        <w:rPr>
          <w:i/>
          <w:color w:val="231F20"/>
          <w:spacing w:val="-29"/>
          <w:w w:val="105"/>
        </w:rPr>
        <w:t> </w:t>
      </w:r>
      <w:r>
        <w:rPr>
          <w:i/>
          <w:color w:val="231F20"/>
          <w:w w:val="105"/>
        </w:rPr>
        <w:t>venture</w:t>
      </w:r>
      <w:r>
        <w:rPr>
          <w:color w:val="231F20"/>
          <w:w w:val="105"/>
        </w:rPr>
        <w:t>s</w:t>
      </w:r>
      <w:r>
        <w:rPr>
          <w:color w:val="231F20"/>
          <w:spacing w:val="-29"/>
          <w:w w:val="105"/>
        </w:rPr>
        <w:t> </w:t>
      </w:r>
      <w:r>
        <w:rPr>
          <w:color w:val="231F20"/>
          <w:w w:val="105"/>
        </w:rPr>
        <w:t>de</w:t>
      </w:r>
      <w:r>
        <w:rPr>
          <w:color w:val="231F20"/>
          <w:spacing w:val="-29"/>
          <w:w w:val="105"/>
        </w:rPr>
        <w:t> </w:t>
      </w:r>
      <w:r>
        <w:rPr>
          <w:color w:val="231F20"/>
          <w:w w:val="105"/>
        </w:rPr>
        <w:t>mercadotecnia</w:t>
      </w:r>
      <w:r>
        <w:rPr>
          <w:color w:val="231F20"/>
          <w:spacing w:val="-29"/>
          <w:w w:val="105"/>
        </w:rPr>
        <w:t> </w:t>
      </w:r>
      <w:r>
        <w:rPr>
          <w:color w:val="231F20"/>
          <w:w w:val="105"/>
        </w:rPr>
        <w:t>(Capron</w:t>
      </w:r>
      <w:r>
        <w:rPr>
          <w:color w:val="231F20"/>
          <w:spacing w:val="-29"/>
          <w:w w:val="105"/>
        </w:rPr>
        <w:t> </w:t>
      </w:r>
      <w:r>
        <w:rPr>
          <w:color w:val="231F20"/>
          <w:w w:val="105"/>
        </w:rPr>
        <w:t>y</w:t>
      </w:r>
      <w:r>
        <w:rPr>
          <w:color w:val="231F20"/>
          <w:spacing w:val="-29"/>
          <w:w w:val="105"/>
        </w:rPr>
        <w:t> </w:t>
      </w:r>
      <w:r>
        <w:rPr>
          <w:color w:val="231F20"/>
          <w:w w:val="105"/>
        </w:rPr>
        <w:t>Hulland,</w:t>
      </w:r>
      <w:r>
        <w:rPr>
          <w:color w:val="231F20"/>
          <w:spacing w:val="-34"/>
          <w:w w:val="105"/>
        </w:rPr>
        <w:t> </w:t>
      </w:r>
      <w:r>
        <w:rPr>
          <w:color w:val="231F20"/>
          <w:w w:val="105"/>
        </w:rPr>
        <w:t>1999;</w:t>
      </w:r>
      <w:r>
        <w:rPr>
          <w:color w:val="231F20"/>
          <w:spacing w:val="-29"/>
          <w:w w:val="105"/>
        </w:rPr>
        <w:t> </w:t>
      </w:r>
      <w:r>
        <w:rPr>
          <w:color w:val="231F20"/>
          <w:w w:val="105"/>
        </w:rPr>
        <w:t>Swami- nathan</w:t>
      </w:r>
      <w:r>
        <w:rPr>
          <w:color w:val="231F20"/>
          <w:spacing w:val="-26"/>
          <w:w w:val="105"/>
        </w:rPr>
        <w:t> </w:t>
      </w:r>
      <w:r>
        <w:rPr>
          <w:color w:val="231F20"/>
          <w:w w:val="105"/>
        </w:rPr>
        <w:t>y</w:t>
      </w:r>
      <w:r>
        <w:rPr>
          <w:color w:val="231F20"/>
          <w:spacing w:val="-26"/>
          <w:w w:val="105"/>
        </w:rPr>
        <w:t> </w:t>
      </w:r>
      <w:r>
        <w:rPr>
          <w:color w:val="231F20"/>
          <w:w w:val="105"/>
        </w:rPr>
        <w:t>Moorman,</w:t>
      </w:r>
      <w:r>
        <w:rPr>
          <w:color w:val="231F20"/>
          <w:spacing w:val="-31"/>
          <w:w w:val="105"/>
        </w:rPr>
        <w:t> </w:t>
      </w:r>
      <w:r>
        <w:rPr>
          <w:color w:val="231F20"/>
          <w:w w:val="105"/>
        </w:rPr>
        <w:t>2009).</w:t>
      </w:r>
    </w:p>
    <w:p>
      <w:pPr>
        <w:pStyle w:val="BodyText"/>
        <w:spacing w:line="259" w:lineRule="auto"/>
        <w:ind w:left="117" w:right="115" w:firstLine="567"/>
        <w:jc w:val="both"/>
      </w:pPr>
      <w:r>
        <w:rPr>
          <w:color w:val="231F20"/>
          <w:w w:val="105"/>
        </w:rPr>
        <w:t>Con la manufactura como principal objetivo, se pueden formar alianzas</w:t>
      </w:r>
      <w:r>
        <w:rPr>
          <w:color w:val="231F20"/>
          <w:spacing w:val="-26"/>
          <w:w w:val="105"/>
        </w:rPr>
        <w:t> </w:t>
      </w:r>
      <w:r>
        <w:rPr>
          <w:color w:val="231F20"/>
          <w:w w:val="105"/>
        </w:rPr>
        <w:t>para</w:t>
      </w:r>
      <w:r>
        <w:rPr>
          <w:color w:val="231F20"/>
          <w:spacing w:val="-26"/>
          <w:w w:val="105"/>
        </w:rPr>
        <w:t> </w:t>
      </w:r>
      <w:r>
        <w:rPr>
          <w:color w:val="231F20"/>
          <w:w w:val="105"/>
        </w:rPr>
        <w:t>compartir</w:t>
      </w:r>
      <w:r>
        <w:rPr>
          <w:color w:val="231F20"/>
          <w:spacing w:val="-26"/>
          <w:w w:val="105"/>
        </w:rPr>
        <w:t> </w:t>
      </w:r>
      <w:r>
        <w:rPr>
          <w:color w:val="231F20"/>
          <w:w w:val="105"/>
        </w:rPr>
        <w:t>un</w:t>
      </w:r>
      <w:r>
        <w:rPr>
          <w:color w:val="231F20"/>
          <w:spacing w:val="-26"/>
          <w:w w:val="105"/>
        </w:rPr>
        <w:t> </w:t>
      </w:r>
      <w:r>
        <w:rPr>
          <w:color w:val="231F20"/>
          <w:w w:val="105"/>
        </w:rPr>
        <w:t>recurso</w:t>
      </w:r>
      <w:r>
        <w:rPr>
          <w:color w:val="231F20"/>
          <w:spacing w:val="-26"/>
          <w:w w:val="105"/>
        </w:rPr>
        <w:t> </w:t>
      </w:r>
      <w:r>
        <w:rPr>
          <w:color w:val="231F20"/>
          <w:w w:val="105"/>
        </w:rPr>
        <w:t>(p.</w:t>
      </w:r>
      <w:r>
        <w:rPr>
          <w:color w:val="231F20"/>
          <w:spacing w:val="-31"/>
          <w:w w:val="105"/>
        </w:rPr>
        <w:t> </w:t>
      </w:r>
      <w:r>
        <w:rPr>
          <w:color w:val="231F20"/>
          <w:w w:val="105"/>
        </w:rPr>
        <w:t>ej.</w:t>
      </w:r>
      <w:r>
        <w:rPr>
          <w:color w:val="231F20"/>
          <w:spacing w:val="-31"/>
          <w:w w:val="105"/>
        </w:rPr>
        <w:t> </w:t>
      </w:r>
      <w:r>
        <w:rPr>
          <w:color w:val="231F20"/>
          <w:w w:val="105"/>
        </w:rPr>
        <w:t>capacidad</w:t>
      </w:r>
      <w:r>
        <w:rPr>
          <w:color w:val="231F20"/>
          <w:spacing w:val="-26"/>
          <w:w w:val="105"/>
        </w:rPr>
        <w:t> </w:t>
      </w:r>
      <w:r>
        <w:rPr>
          <w:color w:val="231F20"/>
          <w:w w:val="105"/>
        </w:rPr>
        <w:t>de</w:t>
      </w:r>
      <w:r>
        <w:rPr>
          <w:color w:val="231F20"/>
          <w:spacing w:val="-26"/>
          <w:w w:val="105"/>
        </w:rPr>
        <w:t> </w:t>
      </w:r>
      <w:r>
        <w:rPr>
          <w:color w:val="231F20"/>
          <w:w w:val="105"/>
        </w:rPr>
        <w:t>planta</w:t>
      </w:r>
      <w:r>
        <w:rPr>
          <w:color w:val="231F20"/>
          <w:spacing w:val="-26"/>
          <w:w w:val="105"/>
        </w:rPr>
        <w:t> </w:t>
      </w:r>
      <w:r>
        <w:rPr>
          <w:color w:val="231F20"/>
          <w:w w:val="105"/>
        </w:rPr>
        <w:t>o</w:t>
      </w:r>
      <w:r>
        <w:rPr>
          <w:color w:val="231F20"/>
          <w:spacing w:val="-26"/>
          <w:w w:val="105"/>
        </w:rPr>
        <w:t> </w:t>
      </w:r>
      <w:r>
        <w:rPr>
          <w:color w:val="231F20"/>
          <w:w w:val="105"/>
        </w:rPr>
        <w:t>maquina- ria)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tenga</w:t>
      </w:r>
      <w:r>
        <w:rPr>
          <w:color w:val="231F20"/>
          <w:spacing w:val="-18"/>
          <w:w w:val="105"/>
        </w:rPr>
        <w:t> </w:t>
      </w:r>
      <w:r>
        <w:rPr>
          <w:color w:val="231F20"/>
          <w:w w:val="105"/>
        </w:rPr>
        <w:t>de</w:t>
      </w:r>
      <w:r>
        <w:rPr>
          <w:color w:val="231F20"/>
          <w:spacing w:val="-18"/>
          <w:w w:val="105"/>
        </w:rPr>
        <w:t> </w:t>
      </w:r>
      <w:r>
        <w:rPr>
          <w:color w:val="231F20"/>
          <w:w w:val="105"/>
        </w:rPr>
        <w:t>sobra</w:t>
      </w:r>
      <w:r>
        <w:rPr>
          <w:color w:val="231F20"/>
          <w:spacing w:val="-18"/>
          <w:w w:val="105"/>
        </w:rPr>
        <w:t> </w:t>
      </w:r>
      <w:r>
        <w:rPr>
          <w:color w:val="231F20"/>
          <w:w w:val="105"/>
        </w:rPr>
        <w:t>(o</w:t>
      </w:r>
      <w:r>
        <w:rPr>
          <w:color w:val="231F20"/>
          <w:spacing w:val="-18"/>
          <w:w w:val="105"/>
        </w:rPr>
        <w:t> </w:t>
      </w:r>
      <w:r>
        <w:rPr>
          <w:color w:val="231F20"/>
          <w:w w:val="105"/>
        </w:rPr>
        <w:t>en</w:t>
      </w:r>
      <w:r>
        <w:rPr>
          <w:color w:val="231F20"/>
          <w:spacing w:val="-18"/>
          <w:w w:val="105"/>
        </w:rPr>
        <w:t> </w:t>
      </w:r>
      <w:r>
        <w:rPr>
          <w:color w:val="231F20"/>
          <w:w w:val="105"/>
        </w:rPr>
        <w:t>holgura).</w:t>
      </w:r>
      <w:r>
        <w:rPr>
          <w:color w:val="231F20"/>
          <w:spacing w:val="-24"/>
          <w:w w:val="105"/>
        </w:rPr>
        <w:t> </w:t>
      </w:r>
      <w:r>
        <w:rPr>
          <w:color w:val="231F20"/>
          <w:w w:val="105"/>
        </w:rPr>
        <w:t>La</w:t>
      </w:r>
      <w:r>
        <w:rPr>
          <w:color w:val="231F20"/>
          <w:spacing w:val="-18"/>
          <w:w w:val="105"/>
        </w:rPr>
        <w:t> </w:t>
      </w:r>
      <w:r>
        <w:rPr>
          <w:color w:val="231F20"/>
          <w:w w:val="105"/>
        </w:rPr>
        <w:t>compartición</w:t>
      </w:r>
      <w:r>
        <w:rPr>
          <w:color w:val="231F20"/>
          <w:spacing w:val="-18"/>
          <w:w w:val="105"/>
        </w:rPr>
        <w:t> </w:t>
      </w:r>
      <w:r>
        <w:rPr>
          <w:color w:val="231F20"/>
          <w:w w:val="105"/>
        </w:rPr>
        <w:t>del</w:t>
      </w:r>
      <w:r>
        <w:rPr>
          <w:color w:val="231F20"/>
          <w:spacing w:val="-18"/>
          <w:w w:val="105"/>
        </w:rPr>
        <w:t> </w:t>
      </w:r>
      <w:r>
        <w:rPr>
          <w:color w:val="231F20"/>
          <w:w w:val="105"/>
        </w:rPr>
        <w:t>recurso</w:t>
      </w:r>
      <w:r>
        <w:rPr>
          <w:color w:val="231F20"/>
          <w:spacing w:val="-18"/>
          <w:w w:val="105"/>
        </w:rPr>
        <w:t> </w:t>
      </w:r>
      <w:r>
        <w:rPr>
          <w:color w:val="231F20"/>
          <w:w w:val="105"/>
        </w:rPr>
        <w:t>en común</w:t>
      </w:r>
      <w:r>
        <w:rPr>
          <w:color w:val="231F20"/>
          <w:spacing w:val="-17"/>
          <w:w w:val="105"/>
        </w:rPr>
        <w:t> </w:t>
      </w:r>
      <w:r>
        <w:rPr>
          <w:color w:val="231F20"/>
          <w:w w:val="105"/>
        </w:rPr>
        <w:t>hace</w:t>
      </w:r>
      <w:r>
        <w:rPr>
          <w:color w:val="231F20"/>
          <w:spacing w:val="-17"/>
          <w:w w:val="105"/>
        </w:rPr>
        <w:t> </w:t>
      </w:r>
      <w:r>
        <w:rPr>
          <w:color w:val="231F20"/>
          <w:w w:val="105"/>
        </w:rPr>
        <w:t>que</w:t>
      </w:r>
      <w:r>
        <w:rPr>
          <w:color w:val="231F20"/>
          <w:spacing w:val="-17"/>
          <w:w w:val="105"/>
        </w:rPr>
        <w:t> </w:t>
      </w:r>
      <w:r>
        <w:rPr>
          <w:color w:val="231F20"/>
          <w:w w:val="105"/>
        </w:rPr>
        <w:t>las</w:t>
      </w:r>
      <w:r>
        <w:rPr>
          <w:color w:val="231F20"/>
          <w:spacing w:val="-17"/>
          <w:w w:val="105"/>
        </w:rPr>
        <w:t> </w:t>
      </w:r>
      <w:r>
        <w:rPr>
          <w:color w:val="231F20"/>
          <w:w w:val="105"/>
        </w:rPr>
        <w:t>empresas</w:t>
      </w:r>
      <w:r>
        <w:rPr>
          <w:color w:val="231F20"/>
          <w:spacing w:val="-17"/>
          <w:w w:val="105"/>
        </w:rPr>
        <w:t> </w:t>
      </w:r>
      <w:r>
        <w:rPr>
          <w:color w:val="231F20"/>
          <w:w w:val="105"/>
        </w:rPr>
        <w:t>aumenten</w:t>
      </w:r>
      <w:r>
        <w:rPr>
          <w:color w:val="231F20"/>
          <w:spacing w:val="-17"/>
          <w:w w:val="105"/>
        </w:rPr>
        <w:t> </w:t>
      </w:r>
      <w:r>
        <w:rPr>
          <w:color w:val="231F20"/>
          <w:w w:val="105"/>
        </w:rPr>
        <w:t>su</w:t>
      </w:r>
      <w:r>
        <w:rPr>
          <w:color w:val="231F20"/>
          <w:spacing w:val="-17"/>
          <w:w w:val="105"/>
        </w:rPr>
        <w:t> </w:t>
      </w:r>
      <w:r>
        <w:rPr>
          <w:color w:val="231F20"/>
          <w:w w:val="105"/>
        </w:rPr>
        <w:t>capacidad</w:t>
      </w:r>
      <w:r>
        <w:rPr>
          <w:color w:val="231F20"/>
          <w:spacing w:val="-17"/>
          <w:w w:val="105"/>
        </w:rPr>
        <w:t> </w:t>
      </w:r>
      <w:r>
        <w:rPr>
          <w:color w:val="231F20"/>
          <w:w w:val="105"/>
        </w:rPr>
        <w:t>de</w:t>
      </w:r>
      <w:r>
        <w:rPr>
          <w:color w:val="231F20"/>
          <w:spacing w:val="-17"/>
          <w:w w:val="105"/>
        </w:rPr>
        <w:t> </w:t>
      </w:r>
      <w:r>
        <w:rPr>
          <w:color w:val="231F20"/>
          <w:w w:val="105"/>
        </w:rPr>
        <w:t>producción,</w:t>
      </w:r>
      <w:r>
        <w:rPr>
          <w:color w:val="231F20"/>
          <w:spacing w:val="-22"/>
          <w:w w:val="105"/>
        </w:rPr>
        <w:t> </w:t>
      </w:r>
      <w:r>
        <w:rPr>
          <w:color w:val="231F20"/>
          <w:w w:val="105"/>
        </w:rPr>
        <w:t>y este</w:t>
      </w:r>
      <w:r>
        <w:rPr>
          <w:color w:val="231F20"/>
          <w:spacing w:val="-16"/>
          <w:w w:val="105"/>
        </w:rPr>
        <w:t> </w:t>
      </w:r>
      <w:r>
        <w:rPr>
          <w:color w:val="231F20"/>
          <w:w w:val="105"/>
        </w:rPr>
        <w:t>incremento</w:t>
      </w:r>
      <w:r>
        <w:rPr>
          <w:color w:val="231F20"/>
          <w:spacing w:val="-16"/>
          <w:w w:val="105"/>
        </w:rPr>
        <w:t> </w:t>
      </w:r>
      <w:r>
        <w:rPr>
          <w:color w:val="231F20"/>
          <w:w w:val="105"/>
        </w:rPr>
        <w:t>generalmente</w:t>
      </w:r>
      <w:r>
        <w:rPr>
          <w:color w:val="231F20"/>
          <w:spacing w:val="-16"/>
          <w:w w:val="105"/>
        </w:rPr>
        <w:t> </w:t>
      </w:r>
      <w:r>
        <w:rPr>
          <w:color w:val="231F20"/>
          <w:w w:val="105"/>
        </w:rPr>
        <w:t>produce</w:t>
      </w:r>
      <w:r>
        <w:rPr>
          <w:color w:val="231F20"/>
          <w:spacing w:val="-16"/>
          <w:w w:val="105"/>
        </w:rPr>
        <w:t> </w:t>
      </w:r>
      <w:r>
        <w:rPr>
          <w:color w:val="231F20"/>
          <w:w w:val="105"/>
        </w:rPr>
        <w:t>una</w:t>
      </w:r>
      <w:r>
        <w:rPr>
          <w:color w:val="231F20"/>
          <w:spacing w:val="-16"/>
          <w:w w:val="105"/>
        </w:rPr>
        <w:t> </w:t>
      </w:r>
      <w:r>
        <w:rPr>
          <w:color w:val="231F20"/>
          <w:w w:val="105"/>
        </w:rPr>
        <w:t>disminución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costo</w:t>
      </w:r>
      <w:r>
        <w:rPr>
          <w:color w:val="231F20"/>
          <w:spacing w:val="-16"/>
          <w:w w:val="105"/>
        </w:rPr>
        <w:t> </w:t>
      </w:r>
      <w:r>
        <w:rPr>
          <w:color w:val="231F20"/>
          <w:w w:val="105"/>
        </w:rPr>
        <w:t>uni- tario</w:t>
      </w:r>
      <w:r>
        <w:rPr>
          <w:color w:val="231F20"/>
          <w:spacing w:val="-30"/>
          <w:w w:val="105"/>
        </w:rPr>
        <w:t> </w:t>
      </w:r>
      <w:r>
        <w:rPr>
          <w:color w:val="231F20"/>
          <w:w w:val="105"/>
        </w:rPr>
        <w:t>al</w:t>
      </w:r>
      <w:r>
        <w:rPr>
          <w:color w:val="231F20"/>
          <w:spacing w:val="-30"/>
          <w:w w:val="105"/>
        </w:rPr>
        <w:t> </w:t>
      </w:r>
      <w:r>
        <w:rPr>
          <w:color w:val="231F20"/>
          <w:w w:val="105"/>
        </w:rPr>
        <w:t>prorratearse</w:t>
      </w:r>
      <w:r>
        <w:rPr>
          <w:color w:val="231F20"/>
          <w:spacing w:val="-30"/>
          <w:w w:val="105"/>
        </w:rPr>
        <w:t> </w:t>
      </w:r>
      <w:r>
        <w:rPr>
          <w:color w:val="231F20"/>
          <w:w w:val="105"/>
        </w:rPr>
        <w:t>el</w:t>
      </w:r>
      <w:r>
        <w:rPr>
          <w:color w:val="231F20"/>
          <w:spacing w:val="-30"/>
          <w:w w:val="105"/>
        </w:rPr>
        <w:t> </w:t>
      </w:r>
      <w:r>
        <w:rPr>
          <w:color w:val="231F20"/>
          <w:w w:val="105"/>
        </w:rPr>
        <w:t>costo</w:t>
      </w:r>
      <w:r>
        <w:rPr>
          <w:color w:val="231F20"/>
          <w:spacing w:val="-30"/>
          <w:w w:val="105"/>
        </w:rPr>
        <w:t> </w:t>
      </w:r>
      <w:r>
        <w:rPr>
          <w:color w:val="231F20"/>
          <w:w w:val="105"/>
        </w:rPr>
        <w:t>fijo</w:t>
      </w:r>
      <w:r>
        <w:rPr>
          <w:color w:val="231F20"/>
          <w:spacing w:val="-30"/>
          <w:w w:val="105"/>
        </w:rPr>
        <w:t> </w:t>
      </w:r>
      <w:r>
        <w:rPr>
          <w:color w:val="231F20"/>
          <w:w w:val="105"/>
        </w:rPr>
        <w:t>(Gary,</w:t>
      </w:r>
      <w:r>
        <w:rPr>
          <w:color w:val="231F20"/>
          <w:spacing w:val="-34"/>
          <w:w w:val="105"/>
        </w:rPr>
        <w:t> </w:t>
      </w:r>
      <w:r>
        <w:rPr>
          <w:color w:val="231F20"/>
          <w:w w:val="105"/>
        </w:rPr>
        <w:t>2005).</w:t>
      </w:r>
      <w:r>
        <w:rPr>
          <w:color w:val="231F20"/>
          <w:spacing w:val="-34"/>
          <w:w w:val="105"/>
        </w:rPr>
        <w:t> </w:t>
      </w:r>
      <w:r>
        <w:rPr>
          <w:color w:val="231F20"/>
          <w:w w:val="105"/>
        </w:rPr>
        <w:t>Las</w:t>
      </w:r>
      <w:r>
        <w:rPr>
          <w:color w:val="231F20"/>
          <w:spacing w:val="-30"/>
          <w:w w:val="105"/>
        </w:rPr>
        <w:t> </w:t>
      </w:r>
      <w:r>
        <w:rPr>
          <w:color w:val="231F20"/>
          <w:w w:val="105"/>
        </w:rPr>
        <w:t>empresas</w:t>
      </w:r>
      <w:r>
        <w:rPr>
          <w:color w:val="231F20"/>
          <w:spacing w:val="-30"/>
          <w:w w:val="105"/>
        </w:rPr>
        <w:t> </w:t>
      </w:r>
      <w:r>
        <w:rPr>
          <w:color w:val="231F20"/>
          <w:w w:val="105"/>
        </w:rPr>
        <w:t>también</w:t>
      </w:r>
      <w:r>
        <w:rPr>
          <w:color w:val="231F20"/>
          <w:spacing w:val="-30"/>
          <w:w w:val="105"/>
        </w:rPr>
        <w:t> </w:t>
      </w:r>
      <w:r>
        <w:rPr>
          <w:color w:val="231F20"/>
          <w:w w:val="105"/>
        </w:rPr>
        <w:t>pue- den</w:t>
      </w:r>
      <w:r>
        <w:rPr>
          <w:color w:val="231F20"/>
          <w:spacing w:val="-24"/>
          <w:w w:val="105"/>
        </w:rPr>
        <w:t> </w:t>
      </w:r>
      <w:r>
        <w:rPr>
          <w:color w:val="231F20"/>
          <w:w w:val="105"/>
        </w:rPr>
        <w:t>sincronizar</w:t>
      </w:r>
      <w:r>
        <w:rPr>
          <w:color w:val="231F20"/>
          <w:spacing w:val="-24"/>
          <w:w w:val="105"/>
        </w:rPr>
        <w:t> </w:t>
      </w:r>
      <w:r>
        <w:rPr>
          <w:color w:val="231F20"/>
          <w:w w:val="105"/>
        </w:rPr>
        <w:t>sus</w:t>
      </w:r>
      <w:r>
        <w:rPr>
          <w:color w:val="231F20"/>
          <w:spacing w:val="-24"/>
          <w:w w:val="105"/>
        </w:rPr>
        <w:t> </w:t>
      </w:r>
      <w:r>
        <w:rPr>
          <w:color w:val="231F20"/>
          <w:w w:val="105"/>
        </w:rPr>
        <w:t>líneas</w:t>
      </w:r>
      <w:r>
        <w:rPr>
          <w:color w:val="231F20"/>
          <w:spacing w:val="-24"/>
          <w:w w:val="105"/>
        </w:rPr>
        <w:t> </w:t>
      </w:r>
      <w:r>
        <w:rPr>
          <w:color w:val="231F20"/>
          <w:w w:val="105"/>
        </w:rPr>
        <w:t>de</w:t>
      </w:r>
      <w:r>
        <w:rPr>
          <w:color w:val="231F20"/>
          <w:spacing w:val="-24"/>
          <w:w w:val="105"/>
        </w:rPr>
        <w:t> </w:t>
      </w:r>
      <w:r>
        <w:rPr>
          <w:color w:val="231F20"/>
          <w:w w:val="105"/>
        </w:rPr>
        <w:t>producción</w:t>
      </w:r>
      <w:r>
        <w:rPr>
          <w:color w:val="231F20"/>
          <w:spacing w:val="-24"/>
          <w:w w:val="105"/>
        </w:rPr>
        <w:t> </w:t>
      </w:r>
      <w:r>
        <w:rPr>
          <w:color w:val="231F20"/>
          <w:w w:val="105"/>
        </w:rPr>
        <w:t>e</w:t>
      </w:r>
      <w:r>
        <w:rPr>
          <w:color w:val="231F20"/>
          <w:spacing w:val="-24"/>
          <w:w w:val="105"/>
        </w:rPr>
        <w:t> </w:t>
      </w:r>
      <w:r>
        <w:rPr>
          <w:color w:val="231F20"/>
          <w:w w:val="105"/>
        </w:rPr>
        <w:t>instalaciones</w:t>
      </w:r>
      <w:r>
        <w:rPr>
          <w:color w:val="231F20"/>
          <w:spacing w:val="-24"/>
          <w:w w:val="105"/>
        </w:rPr>
        <w:t> </w:t>
      </w:r>
      <w:r>
        <w:rPr>
          <w:color w:val="231F20"/>
          <w:w w:val="105"/>
        </w:rPr>
        <w:t>de</w:t>
      </w:r>
      <w:r>
        <w:rPr>
          <w:color w:val="231F20"/>
          <w:spacing w:val="-24"/>
          <w:w w:val="105"/>
        </w:rPr>
        <w:t> </w:t>
      </w:r>
      <w:r>
        <w:rPr>
          <w:color w:val="231F20"/>
          <w:w w:val="105"/>
        </w:rPr>
        <w:t>tal</w:t>
      </w:r>
      <w:r>
        <w:rPr>
          <w:color w:val="231F20"/>
          <w:spacing w:val="-24"/>
          <w:w w:val="105"/>
        </w:rPr>
        <w:t> </w:t>
      </w:r>
      <w:r>
        <w:rPr>
          <w:color w:val="231F20"/>
          <w:w w:val="105"/>
        </w:rPr>
        <w:t>forma</w:t>
      </w:r>
      <w:r>
        <w:rPr>
          <w:color w:val="231F20"/>
          <w:spacing w:val="-24"/>
          <w:w w:val="105"/>
        </w:rPr>
        <w:t> </w:t>
      </w:r>
      <w:r>
        <w:rPr>
          <w:color w:val="231F20"/>
          <w:w w:val="105"/>
        </w:rPr>
        <w:t>que el</w:t>
      </w:r>
      <w:r>
        <w:rPr>
          <w:color w:val="231F20"/>
          <w:spacing w:val="-17"/>
          <w:w w:val="105"/>
        </w:rPr>
        <w:t> </w:t>
      </w:r>
      <w:r>
        <w:rPr>
          <w:color w:val="231F20"/>
          <w:w w:val="105"/>
        </w:rPr>
        <w:t>costo</w:t>
      </w:r>
      <w:r>
        <w:rPr>
          <w:color w:val="231F20"/>
          <w:spacing w:val="-17"/>
          <w:w w:val="105"/>
        </w:rPr>
        <w:t> </w:t>
      </w:r>
      <w:r>
        <w:rPr>
          <w:color w:val="231F20"/>
          <w:w w:val="105"/>
        </w:rPr>
        <w:t>de</w:t>
      </w:r>
      <w:r>
        <w:rPr>
          <w:color w:val="231F20"/>
          <w:spacing w:val="-17"/>
          <w:w w:val="105"/>
        </w:rPr>
        <w:t> </w:t>
      </w:r>
      <w:r>
        <w:rPr>
          <w:color w:val="231F20"/>
          <w:w w:val="105"/>
        </w:rPr>
        <w:t>manufacturar</w:t>
      </w:r>
      <w:r>
        <w:rPr>
          <w:color w:val="231F20"/>
          <w:spacing w:val="-17"/>
          <w:w w:val="105"/>
        </w:rPr>
        <w:t> </w:t>
      </w:r>
      <w:r>
        <w:rPr>
          <w:color w:val="231F20"/>
          <w:w w:val="105"/>
        </w:rPr>
        <w:t>dos</w:t>
      </w:r>
      <w:r>
        <w:rPr>
          <w:color w:val="231F20"/>
          <w:spacing w:val="-17"/>
          <w:w w:val="105"/>
        </w:rPr>
        <w:t> </w:t>
      </w:r>
      <w:r>
        <w:rPr>
          <w:color w:val="231F20"/>
          <w:w w:val="105"/>
        </w:rPr>
        <w:t>o</w:t>
      </w:r>
      <w:r>
        <w:rPr>
          <w:color w:val="231F20"/>
          <w:spacing w:val="-17"/>
          <w:w w:val="105"/>
        </w:rPr>
        <w:t> </w:t>
      </w:r>
      <w:r>
        <w:rPr>
          <w:color w:val="231F20"/>
          <w:w w:val="105"/>
        </w:rPr>
        <w:t>más</w:t>
      </w:r>
      <w:r>
        <w:rPr>
          <w:color w:val="231F20"/>
          <w:spacing w:val="-17"/>
          <w:w w:val="105"/>
        </w:rPr>
        <w:t> </w:t>
      </w:r>
      <w:r>
        <w:rPr>
          <w:color w:val="231F20"/>
          <w:w w:val="105"/>
        </w:rPr>
        <w:t>productos</w:t>
      </w:r>
      <w:r>
        <w:rPr>
          <w:color w:val="231F20"/>
          <w:spacing w:val="-17"/>
          <w:w w:val="105"/>
        </w:rPr>
        <w:t> </w:t>
      </w:r>
      <w:r>
        <w:rPr>
          <w:color w:val="231F20"/>
          <w:w w:val="105"/>
        </w:rPr>
        <w:t>en</w:t>
      </w:r>
      <w:r>
        <w:rPr>
          <w:color w:val="231F20"/>
          <w:spacing w:val="-17"/>
          <w:w w:val="105"/>
        </w:rPr>
        <w:t> </w:t>
      </w:r>
      <w:r>
        <w:rPr>
          <w:color w:val="231F20"/>
          <w:w w:val="105"/>
        </w:rPr>
        <w:t>conjunto</w:t>
      </w:r>
      <w:r>
        <w:rPr>
          <w:color w:val="231F20"/>
          <w:spacing w:val="-17"/>
          <w:w w:val="105"/>
        </w:rPr>
        <w:t> </w:t>
      </w:r>
      <w:r>
        <w:rPr>
          <w:color w:val="231F20"/>
          <w:w w:val="105"/>
        </w:rPr>
        <w:t>sea</w:t>
      </w:r>
      <w:r>
        <w:rPr>
          <w:color w:val="231F20"/>
          <w:spacing w:val="-17"/>
          <w:w w:val="105"/>
        </w:rPr>
        <w:t> </w:t>
      </w:r>
      <w:r>
        <w:rPr>
          <w:color w:val="231F20"/>
          <w:w w:val="105"/>
        </w:rPr>
        <w:t>más</w:t>
      </w:r>
      <w:r>
        <w:rPr>
          <w:color w:val="231F20"/>
          <w:spacing w:val="-17"/>
          <w:w w:val="105"/>
        </w:rPr>
        <w:t> </w:t>
      </w:r>
      <w:r>
        <w:rPr>
          <w:color w:val="231F20"/>
          <w:w w:val="105"/>
        </w:rPr>
        <w:t>bajo que</w:t>
      </w:r>
      <w:r>
        <w:rPr>
          <w:color w:val="231F20"/>
          <w:spacing w:val="-6"/>
          <w:w w:val="105"/>
        </w:rPr>
        <w:t> </w:t>
      </w:r>
      <w:r>
        <w:rPr>
          <w:color w:val="231F20"/>
          <w:w w:val="105"/>
        </w:rPr>
        <w:t>el</w:t>
      </w:r>
      <w:r>
        <w:rPr>
          <w:color w:val="231F20"/>
          <w:spacing w:val="-6"/>
          <w:w w:val="105"/>
        </w:rPr>
        <w:t> </w:t>
      </w:r>
      <w:r>
        <w:rPr>
          <w:color w:val="231F20"/>
          <w:w w:val="105"/>
        </w:rPr>
        <w:t>costo</w:t>
      </w:r>
      <w:r>
        <w:rPr>
          <w:color w:val="231F20"/>
          <w:spacing w:val="-6"/>
          <w:w w:val="105"/>
        </w:rPr>
        <w:t> </w:t>
      </w:r>
      <w:r>
        <w:rPr>
          <w:color w:val="231F20"/>
          <w:w w:val="105"/>
        </w:rPr>
        <w:t>de</w:t>
      </w:r>
      <w:r>
        <w:rPr>
          <w:color w:val="231F20"/>
          <w:spacing w:val="-6"/>
          <w:w w:val="105"/>
        </w:rPr>
        <w:t> </w:t>
      </w:r>
      <w:r>
        <w:rPr>
          <w:color w:val="231F20"/>
          <w:w w:val="105"/>
        </w:rPr>
        <w:t>producirlos</w:t>
      </w:r>
      <w:r>
        <w:rPr>
          <w:color w:val="231F20"/>
          <w:spacing w:val="-6"/>
          <w:w w:val="105"/>
        </w:rPr>
        <w:t> </w:t>
      </w:r>
      <w:r>
        <w:rPr>
          <w:color w:val="231F20"/>
          <w:w w:val="105"/>
        </w:rPr>
        <w:t>individualmente</w:t>
      </w:r>
      <w:r>
        <w:rPr>
          <w:color w:val="231F20"/>
          <w:spacing w:val="-6"/>
          <w:w w:val="105"/>
        </w:rPr>
        <w:t> </w:t>
      </w:r>
      <w:r>
        <w:rPr>
          <w:color w:val="231F20"/>
          <w:w w:val="105"/>
        </w:rPr>
        <w:t>(Helfat</w:t>
      </w:r>
      <w:r>
        <w:rPr>
          <w:color w:val="231F20"/>
          <w:spacing w:val="-6"/>
          <w:w w:val="105"/>
        </w:rPr>
        <w:t> </w:t>
      </w:r>
      <w:r>
        <w:rPr>
          <w:color w:val="231F20"/>
          <w:w w:val="105"/>
        </w:rPr>
        <w:t>y</w:t>
      </w:r>
      <w:r>
        <w:rPr>
          <w:color w:val="231F20"/>
          <w:spacing w:val="-6"/>
          <w:w w:val="105"/>
        </w:rPr>
        <w:t> </w:t>
      </w:r>
      <w:r>
        <w:rPr>
          <w:color w:val="231F20"/>
          <w:w w:val="105"/>
        </w:rPr>
        <w:t>Eisenhardt,</w:t>
      </w:r>
      <w:r>
        <w:rPr>
          <w:color w:val="231F20"/>
          <w:spacing w:val="-12"/>
          <w:w w:val="105"/>
        </w:rPr>
        <w:t> </w:t>
      </w:r>
      <w:r>
        <w:rPr>
          <w:color w:val="231F20"/>
          <w:w w:val="105"/>
        </w:rPr>
        <w:t>2004). En</w:t>
      </w:r>
      <w:r>
        <w:rPr>
          <w:color w:val="231F20"/>
          <w:spacing w:val="-25"/>
          <w:w w:val="105"/>
        </w:rPr>
        <w:t> </w:t>
      </w:r>
      <w:r>
        <w:rPr>
          <w:color w:val="231F20"/>
          <w:w w:val="105"/>
        </w:rPr>
        <w:t>esencia,</w:t>
      </w:r>
      <w:r>
        <w:rPr>
          <w:color w:val="231F20"/>
          <w:spacing w:val="-29"/>
          <w:w w:val="105"/>
        </w:rPr>
        <w:t> </w:t>
      </w:r>
      <w:r>
        <w:rPr>
          <w:color w:val="231F20"/>
          <w:w w:val="105"/>
        </w:rPr>
        <w:t>las</w:t>
      </w:r>
      <w:r>
        <w:rPr>
          <w:color w:val="231F20"/>
          <w:spacing w:val="-25"/>
          <w:w w:val="105"/>
        </w:rPr>
        <w:t> </w:t>
      </w:r>
      <w:r>
        <w:rPr>
          <w:color w:val="231F20"/>
          <w:w w:val="105"/>
        </w:rPr>
        <w:t>organizaciones</w:t>
      </w:r>
      <w:r>
        <w:rPr>
          <w:color w:val="231F20"/>
          <w:spacing w:val="-25"/>
          <w:w w:val="105"/>
        </w:rPr>
        <w:t> </w:t>
      </w:r>
      <w:r>
        <w:rPr>
          <w:color w:val="231F20"/>
          <w:w w:val="105"/>
        </w:rPr>
        <w:t>forman</w:t>
      </w:r>
      <w:r>
        <w:rPr>
          <w:color w:val="231F20"/>
          <w:spacing w:val="-25"/>
          <w:w w:val="105"/>
        </w:rPr>
        <w:t> </w:t>
      </w:r>
      <w:r>
        <w:rPr>
          <w:color w:val="231F20"/>
          <w:w w:val="105"/>
        </w:rPr>
        <w:t>alianzas</w:t>
      </w:r>
      <w:r>
        <w:rPr>
          <w:color w:val="231F20"/>
          <w:spacing w:val="-25"/>
          <w:w w:val="105"/>
        </w:rPr>
        <w:t> </w:t>
      </w:r>
      <w:r>
        <w:rPr>
          <w:color w:val="231F20"/>
          <w:w w:val="105"/>
        </w:rPr>
        <w:t>para</w:t>
      </w:r>
      <w:r>
        <w:rPr>
          <w:color w:val="231F20"/>
          <w:spacing w:val="-25"/>
          <w:w w:val="105"/>
        </w:rPr>
        <w:t> </w:t>
      </w:r>
      <w:r>
        <w:rPr>
          <w:color w:val="231F20"/>
          <w:w w:val="105"/>
        </w:rPr>
        <w:t>generar</w:t>
      </w:r>
      <w:r>
        <w:rPr>
          <w:color w:val="231F20"/>
          <w:spacing w:val="-25"/>
          <w:w w:val="105"/>
        </w:rPr>
        <w:t> </w:t>
      </w:r>
      <w:r>
        <w:rPr>
          <w:color w:val="231F20"/>
          <w:w w:val="105"/>
        </w:rPr>
        <w:t>economías de alcance y/o de escala que puedan ayudarles a mejorar su posición competitiva</w:t>
      </w:r>
      <w:r>
        <w:rPr>
          <w:color w:val="231F20"/>
          <w:spacing w:val="-29"/>
          <w:w w:val="105"/>
        </w:rPr>
        <w:t> </w:t>
      </w:r>
      <w:r>
        <w:rPr>
          <w:i/>
          <w:color w:val="231F20"/>
          <w:w w:val="105"/>
        </w:rPr>
        <w:t>vis</w:t>
      </w:r>
      <w:r>
        <w:rPr>
          <w:i/>
          <w:color w:val="231F20"/>
          <w:spacing w:val="-29"/>
          <w:w w:val="105"/>
        </w:rPr>
        <w:t> </w:t>
      </w:r>
      <w:r>
        <w:rPr>
          <w:i/>
          <w:color w:val="231F20"/>
          <w:w w:val="105"/>
        </w:rPr>
        <w:t>a</w:t>
      </w:r>
      <w:r>
        <w:rPr>
          <w:i/>
          <w:color w:val="231F20"/>
          <w:spacing w:val="-29"/>
          <w:w w:val="105"/>
        </w:rPr>
        <w:t> </w:t>
      </w:r>
      <w:r>
        <w:rPr>
          <w:i/>
          <w:color w:val="231F20"/>
          <w:w w:val="105"/>
        </w:rPr>
        <w:t>vis</w:t>
      </w:r>
      <w:r>
        <w:rPr>
          <w:i/>
          <w:color w:val="231F20"/>
          <w:spacing w:val="-29"/>
          <w:w w:val="105"/>
        </w:rPr>
        <w:t> </w:t>
      </w:r>
      <w:r>
        <w:rPr>
          <w:color w:val="231F20"/>
          <w:w w:val="105"/>
        </w:rPr>
        <w:t>sus</w:t>
      </w:r>
      <w:r>
        <w:rPr>
          <w:color w:val="231F20"/>
          <w:spacing w:val="-29"/>
          <w:w w:val="105"/>
        </w:rPr>
        <w:t> </w:t>
      </w:r>
      <w:r>
        <w:rPr>
          <w:color w:val="231F20"/>
          <w:w w:val="105"/>
        </w:rPr>
        <w:t>competidores</w:t>
      </w:r>
      <w:r>
        <w:rPr>
          <w:color w:val="231F20"/>
          <w:spacing w:val="-29"/>
          <w:w w:val="105"/>
        </w:rPr>
        <w:t> </w:t>
      </w:r>
      <w:r>
        <w:rPr>
          <w:color w:val="231F20"/>
          <w:w w:val="105"/>
        </w:rPr>
        <w:t>cuyos</w:t>
      </w:r>
      <w:r>
        <w:rPr>
          <w:color w:val="231F20"/>
          <w:spacing w:val="-29"/>
          <w:w w:val="105"/>
        </w:rPr>
        <w:t> </w:t>
      </w:r>
      <w:r>
        <w:rPr>
          <w:color w:val="231F20"/>
          <w:w w:val="105"/>
        </w:rPr>
        <w:t>costos</w:t>
      </w:r>
      <w:r>
        <w:rPr>
          <w:color w:val="231F20"/>
          <w:spacing w:val="-29"/>
          <w:w w:val="105"/>
        </w:rPr>
        <w:t> </w:t>
      </w:r>
      <w:r>
        <w:rPr>
          <w:color w:val="231F20"/>
          <w:w w:val="105"/>
        </w:rPr>
        <w:t>sean</w:t>
      </w:r>
      <w:r>
        <w:rPr>
          <w:color w:val="231F20"/>
          <w:spacing w:val="-29"/>
          <w:w w:val="105"/>
        </w:rPr>
        <w:t> </w:t>
      </w:r>
      <w:r>
        <w:rPr>
          <w:color w:val="231F20"/>
          <w:w w:val="105"/>
        </w:rPr>
        <w:t>más</w:t>
      </w:r>
      <w:r>
        <w:rPr>
          <w:color w:val="231F20"/>
          <w:spacing w:val="-29"/>
          <w:w w:val="105"/>
        </w:rPr>
        <w:t> </w:t>
      </w:r>
      <w:r>
        <w:rPr>
          <w:color w:val="231F20"/>
          <w:w w:val="105"/>
        </w:rPr>
        <w:t>altos.</w:t>
      </w:r>
    </w:p>
    <w:p>
      <w:pPr>
        <w:pStyle w:val="BodyText"/>
        <w:spacing w:line="259" w:lineRule="auto"/>
        <w:ind w:left="117" w:right="115" w:firstLine="567"/>
        <w:jc w:val="both"/>
      </w:pPr>
      <w:r>
        <w:rPr>
          <w:color w:val="231F20"/>
          <w:w w:val="105"/>
        </w:rPr>
        <w:t>Aunque</w:t>
      </w:r>
      <w:r>
        <w:rPr>
          <w:color w:val="231F20"/>
          <w:spacing w:val="-25"/>
          <w:w w:val="105"/>
        </w:rPr>
        <w:t> </w:t>
      </w:r>
      <w:r>
        <w:rPr>
          <w:color w:val="231F20"/>
          <w:w w:val="105"/>
        </w:rPr>
        <w:t>las</w:t>
      </w:r>
      <w:r>
        <w:rPr>
          <w:color w:val="231F20"/>
          <w:spacing w:val="-25"/>
          <w:w w:val="105"/>
        </w:rPr>
        <w:t> </w:t>
      </w:r>
      <w:r>
        <w:rPr>
          <w:color w:val="231F20"/>
          <w:w w:val="105"/>
        </w:rPr>
        <w:t>alianzas</w:t>
      </w:r>
      <w:r>
        <w:rPr>
          <w:color w:val="231F20"/>
          <w:spacing w:val="-25"/>
          <w:w w:val="105"/>
        </w:rPr>
        <w:t> </w:t>
      </w:r>
      <w:r>
        <w:rPr>
          <w:color w:val="231F20"/>
          <w:w w:val="105"/>
        </w:rPr>
        <w:t>de</w:t>
      </w:r>
      <w:r>
        <w:rPr>
          <w:color w:val="231F20"/>
          <w:spacing w:val="-25"/>
          <w:w w:val="105"/>
        </w:rPr>
        <w:t> </w:t>
      </w:r>
      <w:r>
        <w:rPr>
          <w:color w:val="231F20"/>
          <w:w w:val="105"/>
        </w:rPr>
        <w:t>manufactura</w:t>
      </w:r>
      <w:r>
        <w:rPr>
          <w:color w:val="231F20"/>
          <w:spacing w:val="-25"/>
          <w:w w:val="105"/>
        </w:rPr>
        <w:t> </w:t>
      </w:r>
      <w:r>
        <w:rPr>
          <w:color w:val="231F20"/>
          <w:w w:val="105"/>
        </w:rPr>
        <w:t>resultan</w:t>
      </w:r>
      <w:r>
        <w:rPr>
          <w:color w:val="231F20"/>
          <w:spacing w:val="-25"/>
          <w:w w:val="105"/>
        </w:rPr>
        <w:t> </w:t>
      </w:r>
      <w:r>
        <w:rPr>
          <w:color w:val="231F20"/>
          <w:w w:val="105"/>
        </w:rPr>
        <w:t>atractivas</w:t>
      </w:r>
      <w:r>
        <w:rPr>
          <w:color w:val="231F20"/>
          <w:spacing w:val="-25"/>
          <w:w w:val="105"/>
        </w:rPr>
        <w:t> </w:t>
      </w:r>
      <w:r>
        <w:rPr>
          <w:color w:val="231F20"/>
          <w:w w:val="105"/>
        </w:rPr>
        <w:t>para</w:t>
      </w:r>
      <w:r>
        <w:rPr>
          <w:color w:val="231F20"/>
          <w:spacing w:val="-25"/>
          <w:w w:val="105"/>
        </w:rPr>
        <w:t> </w:t>
      </w:r>
      <w:r>
        <w:rPr>
          <w:color w:val="231F20"/>
          <w:w w:val="105"/>
        </w:rPr>
        <w:t>lograr sinergias</w:t>
      </w:r>
      <w:r>
        <w:rPr>
          <w:color w:val="231F20"/>
          <w:spacing w:val="-23"/>
          <w:w w:val="105"/>
        </w:rPr>
        <w:t> </w:t>
      </w:r>
      <w:r>
        <w:rPr>
          <w:color w:val="231F20"/>
          <w:w w:val="105"/>
        </w:rPr>
        <w:t>de</w:t>
      </w:r>
      <w:r>
        <w:rPr>
          <w:color w:val="231F20"/>
          <w:spacing w:val="-23"/>
          <w:w w:val="105"/>
        </w:rPr>
        <w:t> </w:t>
      </w:r>
      <w:r>
        <w:rPr>
          <w:color w:val="231F20"/>
          <w:w w:val="105"/>
        </w:rPr>
        <w:t>costo,</w:t>
      </w:r>
      <w:r>
        <w:rPr>
          <w:color w:val="231F20"/>
          <w:spacing w:val="-28"/>
          <w:w w:val="105"/>
        </w:rPr>
        <w:t> </w:t>
      </w:r>
      <w:r>
        <w:rPr>
          <w:color w:val="231F20"/>
          <w:w w:val="105"/>
        </w:rPr>
        <w:t>también</w:t>
      </w:r>
      <w:r>
        <w:rPr>
          <w:color w:val="231F20"/>
          <w:spacing w:val="-23"/>
          <w:w w:val="105"/>
        </w:rPr>
        <w:t> </w:t>
      </w:r>
      <w:r>
        <w:rPr>
          <w:color w:val="231F20"/>
          <w:w w:val="105"/>
        </w:rPr>
        <w:t>son</w:t>
      </w:r>
      <w:r>
        <w:rPr>
          <w:color w:val="231F20"/>
          <w:spacing w:val="-23"/>
          <w:w w:val="105"/>
        </w:rPr>
        <w:t> </w:t>
      </w:r>
      <w:r>
        <w:rPr>
          <w:color w:val="231F20"/>
          <w:w w:val="105"/>
        </w:rPr>
        <w:t>un</w:t>
      </w:r>
      <w:r>
        <w:rPr>
          <w:color w:val="231F20"/>
          <w:spacing w:val="-23"/>
          <w:w w:val="105"/>
        </w:rPr>
        <w:t> </w:t>
      </w:r>
      <w:r>
        <w:rPr>
          <w:color w:val="231F20"/>
          <w:w w:val="105"/>
        </w:rPr>
        <w:t>reto</w:t>
      </w:r>
      <w:r>
        <w:rPr>
          <w:color w:val="231F20"/>
          <w:spacing w:val="-23"/>
          <w:w w:val="105"/>
        </w:rPr>
        <w:t> </w:t>
      </w:r>
      <w:r>
        <w:rPr>
          <w:color w:val="231F20"/>
          <w:w w:val="105"/>
        </w:rPr>
        <w:t>administrativo</w:t>
      </w:r>
      <w:r>
        <w:rPr>
          <w:color w:val="231F20"/>
          <w:spacing w:val="-23"/>
          <w:w w:val="105"/>
        </w:rPr>
        <w:t> </w:t>
      </w:r>
      <w:r>
        <w:rPr>
          <w:color w:val="231F20"/>
          <w:w w:val="105"/>
        </w:rPr>
        <w:t>dadas</w:t>
      </w:r>
      <w:r>
        <w:rPr>
          <w:color w:val="231F20"/>
          <w:spacing w:val="-23"/>
          <w:w w:val="105"/>
        </w:rPr>
        <w:t> </w:t>
      </w:r>
      <w:r>
        <w:rPr>
          <w:color w:val="231F20"/>
          <w:w w:val="105"/>
        </w:rPr>
        <w:t>las</w:t>
      </w:r>
      <w:r>
        <w:rPr>
          <w:color w:val="231F20"/>
          <w:spacing w:val="-23"/>
          <w:w w:val="105"/>
        </w:rPr>
        <w:t> </w:t>
      </w:r>
      <w:r>
        <w:rPr>
          <w:color w:val="231F20"/>
          <w:w w:val="105"/>
        </w:rPr>
        <w:t>posibles complejidades interorganizacionales que podrían arruinar la colabora- ción.</w:t>
      </w:r>
      <w:r>
        <w:rPr>
          <w:color w:val="231F20"/>
          <w:spacing w:val="-27"/>
          <w:w w:val="105"/>
        </w:rPr>
        <w:t> </w:t>
      </w:r>
      <w:r>
        <w:rPr>
          <w:color w:val="231F20"/>
          <w:spacing w:val="-4"/>
          <w:w w:val="105"/>
        </w:rPr>
        <w:t>Para</w:t>
      </w:r>
      <w:r>
        <w:rPr>
          <w:color w:val="231F20"/>
          <w:spacing w:val="-23"/>
          <w:w w:val="105"/>
        </w:rPr>
        <w:t> </w:t>
      </w:r>
      <w:r>
        <w:rPr>
          <w:color w:val="231F20"/>
          <w:w w:val="105"/>
        </w:rPr>
        <w:t>que</w:t>
      </w:r>
      <w:r>
        <w:rPr>
          <w:color w:val="231F20"/>
          <w:spacing w:val="-23"/>
          <w:w w:val="105"/>
        </w:rPr>
        <w:t> </w:t>
      </w:r>
      <w:r>
        <w:rPr>
          <w:color w:val="231F20"/>
          <w:w w:val="105"/>
        </w:rPr>
        <w:t>dos</w:t>
      </w:r>
      <w:r>
        <w:rPr>
          <w:color w:val="231F20"/>
          <w:spacing w:val="-23"/>
          <w:w w:val="105"/>
        </w:rPr>
        <w:t> </w:t>
      </w:r>
      <w:r>
        <w:rPr>
          <w:color w:val="231F20"/>
          <w:w w:val="105"/>
        </w:rPr>
        <w:t>empresas</w:t>
      </w:r>
      <w:r>
        <w:rPr>
          <w:color w:val="231F20"/>
          <w:spacing w:val="-23"/>
          <w:w w:val="105"/>
        </w:rPr>
        <w:t> </w:t>
      </w:r>
      <w:r>
        <w:rPr>
          <w:color w:val="231F20"/>
          <w:w w:val="105"/>
        </w:rPr>
        <w:t>sean</w:t>
      </w:r>
      <w:r>
        <w:rPr>
          <w:color w:val="231F20"/>
          <w:spacing w:val="-23"/>
          <w:w w:val="105"/>
        </w:rPr>
        <w:t> </w:t>
      </w:r>
      <w:r>
        <w:rPr>
          <w:color w:val="231F20"/>
          <w:w w:val="105"/>
        </w:rPr>
        <w:t>capaces</w:t>
      </w:r>
      <w:r>
        <w:rPr>
          <w:color w:val="231F20"/>
          <w:spacing w:val="-23"/>
          <w:w w:val="105"/>
        </w:rPr>
        <w:t> </w:t>
      </w:r>
      <w:r>
        <w:rPr>
          <w:color w:val="231F20"/>
          <w:w w:val="105"/>
        </w:rPr>
        <w:t>de</w:t>
      </w:r>
      <w:r>
        <w:rPr>
          <w:color w:val="231F20"/>
          <w:spacing w:val="-23"/>
          <w:w w:val="105"/>
        </w:rPr>
        <w:t> </w:t>
      </w:r>
      <w:r>
        <w:rPr>
          <w:color w:val="231F20"/>
          <w:w w:val="105"/>
        </w:rPr>
        <w:t>compartir</w:t>
      </w:r>
      <w:r>
        <w:rPr>
          <w:color w:val="231F20"/>
          <w:spacing w:val="-23"/>
          <w:w w:val="105"/>
        </w:rPr>
        <w:t> </w:t>
      </w:r>
      <w:r>
        <w:rPr>
          <w:color w:val="231F20"/>
          <w:w w:val="105"/>
        </w:rPr>
        <w:t>recursos</w:t>
      </w:r>
      <w:r>
        <w:rPr>
          <w:color w:val="231F20"/>
          <w:spacing w:val="-23"/>
          <w:w w:val="105"/>
        </w:rPr>
        <w:t> </w:t>
      </w:r>
      <w:r>
        <w:rPr>
          <w:color w:val="231F20"/>
          <w:w w:val="105"/>
        </w:rPr>
        <w:t>deben poseer activos, capacidades y conocimientos similares </w:t>
      </w:r>
      <w:r>
        <w:rPr>
          <w:color w:val="231F20"/>
          <w:spacing w:val="-3"/>
          <w:w w:val="105"/>
        </w:rPr>
        <w:t>(Teece, </w:t>
      </w:r>
      <w:r>
        <w:rPr>
          <w:color w:val="231F20"/>
          <w:w w:val="105"/>
        </w:rPr>
        <w:t>1980). En condiciones de alta similitud, no obstante, también es muy</w:t>
      </w:r>
      <w:r>
        <w:rPr>
          <w:color w:val="231F20"/>
          <w:spacing w:val="-36"/>
          <w:w w:val="105"/>
        </w:rPr>
        <w:t> </w:t>
      </w:r>
      <w:r>
        <w:rPr>
          <w:color w:val="231F20"/>
          <w:w w:val="105"/>
        </w:rPr>
        <w:t>probable que</w:t>
      </w:r>
      <w:r>
        <w:rPr>
          <w:color w:val="231F20"/>
          <w:spacing w:val="-20"/>
          <w:w w:val="105"/>
        </w:rPr>
        <w:t> </w:t>
      </w:r>
      <w:r>
        <w:rPr>
          <w:color w:val="231F20"/>
          <w:w w:val="105"/>
        </w:rPr>
        <w:t>las</w:t>
      </w:r>
      <w:r>
        <w:rPr>
          <w:color w:val="231F20"/>
          <w:spacing w:val="-20"/>
          <w:w w:val="105"/>
        </w:rPr>
        <w:t> </w:t>
      </w:r>
      <w:r>
        <w:rPr>
          <w:color w:val="231F20"/>
          <w:w w:val="105"/>
        </w:rPr>
        <w:t>entidades</w:t>
      </w:r>
      <w:r>
        <w:rPr>
          <w:color w:val="231F20"/>
          <w:spacing w:val="-20"/>
          <w:w w:val="105"/>
        </w:rPr>
        <w:t> </w:t>
      </w:r>
      <w:r>
        <w:rPr>
          <w:color w:val="231F20"/>
          <w:w w:val="105"/>
        </w:rPr>
        <w:t>colaboradoras</w:t>
      </w:r>
      <w:r>
        <w:rPr>
          <w:color w:val="231F20"/>
          <w:spacing w:val="-20"/>
          <w:w w:val="105"/>
        </w:rPr>
        <w:t> </w:t>
      </w:r>
      <w:r>
        <w:rPr>
          <w:color w:val="231F20"/>
          <w:w w:val="105"/>
        </w:rPr>
        <w:t>compartan</w:t>
      </w:r>
      <w:r>
        <w:rPr>
          <w:color w:val="231F20"/>
          <w:spacing w:val="-20"/>
          <w:w w:val="105"/>
        </w:rPr>
        <w:t> </w:t>
      </w:r>
      <w:r>
        <w:rPr>
          <w:color w:val="231F20"/>
          <w:w w:val="105"/>
        </w:rPr>
        <w:t>los</w:t>
      </w:r>
      <w:r>
        <w:rPr>
          <w:color w:val="231F20"/>
          <w:spacing w:val="-20"/>
          <w:w w:val="105"/>
        </w:rPr>
        <w:t> </w:t>
      </w:r>
      <w:r>
        <w:rPr>
          <w:color w:val="231F20"/>
          <w:w w:val="105"/>
        </w:rPr>
        <w:t>mismos</w:t>
      </w:r>
      <w:r>
        <w:rPr>
          <w:color w:val="231F20"/>
          <w:spacing w:val="-20"/>
          <w:w w:val="105"/>
        </w:rPr>
        <w:t> </w:t>
      </w:r>
      <w:r>
        <w:rPr>
          <w:color w:val="231F20"/>
          <w:w w:val="105"/>
        </w:rPr>
        <w:t>mercados</w:t>
      </w:r>
      <w:r>
        <w:rPr>
          <w:color w:val="231F20"/>
          <w:spacing w:val="-20"/>
          <w:w w:val="105"/>
        </w:rPr>
        <w:t> </w:t>
      </w:r>
      <w:r>
        <w:rPr>
          <w:color w:val="231F20"/>
          <w:spacing w:val="-4"/>
          <w:w w:val="105"/>
        </w:rPr>
        <w:t>y,</w:t>
      </w:r>
      <w:r>
        <w:rPr>
          <w:color w:val="231F20"/>
          <w:spacing w:val="-25"/>
          <w:w w:val="105"/>
        </w:rPr>
        <w:t> </w:t>
      </w:r>
      <w:r>
        <w:rPr>
          <w:color w:val="231F20"/>
          <w:w w:val="105"/>
        </w:rPr>
        <w:t>por lo tanto, que sean competidores cercanos (Chen, 1996). Las</w:t>
      </w:r>
      <w:r>
        <w:rPr>
          <w:color w:val="231F20"/>
          <w:spacing w:val="-34"/>
          <w:w w:val="105"/>
        </w:rPr>
        <w:t> </w:t>
      </w:r>
      <w:r>
        <w:rPr>
          <w:color w:val="231F20"/>
          <w:w w:val="105"/>
        </w:rPr>
        <w:t>empresas que</w:t>
      </w:r>
      <w:r>
        <w:rPr>
          <w:color w:val="231F20"/>
          <w:spacing w:val="-21"/>
          <w:w w:val="105"/>
        </w:rPr>
        <w:t> </w:t>
      </w:r>
      <w:r>
        <w:rPr>
          <w:color w:val="231F20"/>
          <w:w w:val="105"/>
        </w:rPr>
        <w:t>forman</w:t>
      </w:r>
      <w:r>
        <w:rPr>
          <w:color w:val="231F20"/>
          <w:spacing w:val="-21"/>
          <w:w w:val="105"/>
        </w:rPr>
        <w:t> </w:t>
      </w:r>
      <w:r>
        <w:rPr>
          <w:color w:val="231F20"/>
          <w:w w:val="105"/>
        </w:rPr>
        <w:t>una</w:t>
      </w:r>
      <w:r>
        <w:rPr>
          <w:color w:val="231F20"/>
          <w:spacing w:val="-21"/>
          <w:w w:val="105"/>
        </w:rPr>
        <w:t> </w:t>
      </w:r>
      <w:r>
        <w:rPr>
          <w:i/>
          <w:color w:val="231F20"/>
          <w:w w:val="105"/>
        </w:rPr>
        <w:t>joint</w:t>
      </w:r>
      <w:r>
        <w:rPr>
          <w:i/>
          <w:color w:val="231F20"/>
          <w:spacing w:val="-21"/>
          <w:w w:val="105"/>
        </w:rPr>
        <w:t> </w:t>
      </w:r>
      <w:r>
        <w:rPr>
          <w:i/>
          <w:color w:val="231F20"/>
          <w:w w:val="105"/>
        </w:rPr>
        <w:t>venture</w:t>
      </w:r>
      <w:r>
        <w:rPr>
          <w:i/>
          <w:color w:val="231F20"/>
          <w:spacing w:val="-21"/>
          <w:w w:val="105"/>
        </w:rPr>
        <w:t> </w:t>
      </w:r>
      <w:r>
        <w:rPr>
          <w:color w:val="231F20"/>
          <w:w w:val="105"/>
        </w:rPr>
        <w:t>de</w:t>
      </w:r>
      <w:r>
        <w:rPr>
          <w:color w:val="231F20"/>
          <w:spacing w:val="-21"/>
          <w:w w:val="105"/>
        </w:rPr>
        <w:t> </w:t>
      </w:r>
      <w:r>
        <w:rPr>
          <w:color w:val="231F20"/>
          <w:w w:val="105"/>
        </w:rPr>
        <w:t>manufactura,</w:t>
      </w:r>
      <w:r>
        <w:rPr>
          <w:color w:val="231F20"/>
          <w:spacing w:val="-26"/>
          <w:w w:val="105"/>
        </w:rPr>
        <w:t> </w:t>
      </w:r>
      <w:r>
        <w:rPr>
          <w:color w:val="231F20"/>
          <w:w w:val="105"/>
        </w:rPr>
        <w:t>como</w:t>
      </w:r>
      <w:r>
        <w:rPr>
          <w:color w:val="231F20"/>
          <w:spacing w:val="-21"/>
          <w:w w:val="105"/>
        </w:rPr>
        <w:t> </w:t>
      </w:r>
      <w:r>
        <w:rPr>
          <w:color w:val="231F20"/>
          <w:w w:val="105"/>
        </w:rPr>
        <w:t>consecuencia</w:t>
      </w:r>
      <w:r>
        <w:rPr>
          <w:color w:val="231F20"/>
          <w:spacing w:val="-21"/>
          <w:w w:val="105"/>
        </w:rPr>
        <w:t> </w:t>
      </w:r>
      <w:r>
        <w:rPr>
          <w:color w:val="231F20"/>
          <w:w w:val="105"/>
        </w:rPr>
        <w:t>de</w:t>
      </w:r>
      <w:r>
        <w:rPr>
          <w:color w:val="231F20"/>
          <w:spacing w:val="-21"/>
          <w:w w:val="105"/>
        </w:rPr>
        <w:t> </w:t>
      </w:r>
      <w:r>
        <w:rPr>
          <w:color w:val="231F20"/>
          <w:w w:val="105"/>
        </w:rPr>
        <w:t>los recursos</w:t>
      </w:r>
      <w:r>
        <w:rPr>
          <w:color w:val="231F20"/>
          <w:spacing w:val="-8"/>
          <w:w w:val="105"/>
        </w:rPr>
        <w:t> </w:t>
      </w:r>
      <w:r>
        <w:rPr>
          <w:color w:val="231F20"/>
          <w:w w:val="105"/>
        </w:rPr>
        <w:t>involucrados,</w:t>
      </w:r>
      <w:r>
        <w:rPr>
          <w:color w:val="231F20"/>
          <w:spacing w:val="-12"/>
          <w:w w:val="105"/>
        </w:rPr>
        <w:t> </w:t>
      </w:r>
      <w:r>
        <w:rPr>
          <w:color w:val="231F20"/>
          <w:w w:val="105"/>
        </w:rPr>
        <w:t>encaran</w:t>
      </w:r>
      <w:r>
        <w:rPr>
          <w:color w:val="231F20"/>
          <w:spacing w:val="-8"/>
          <w:w w:val="105"/>
        </w:rPr>
        <w:t> </w:t>
      </w:r>
      <w:r>
        <w:rPr>
          <w:color w:val="231F20"/>
          <w:w w:val="105"/>
        </w:rPr>
        <w:t>el</w:t>
      </w:r>
      <w:r>
        <w:rPr>
          <w:color w:val="231F20"/>
          <w:spacing w:val="-8"/>
          <w:w w:val="105"/>
        </w:rPr>
        <w:t> </w:t>
      </w:r>
      <w:r>
        <w:rPr>
          <w:color w:val="231F20"/>
          <w:w w:val="105"/>
        </w:rPr>
        <w:t>desafío</w:t>
      </w:r>
      <w:r>
        <w:rPr>
          <w:color w:val="231F20"/>
          <w:spacing w:val="-8"/>
          <w:w w:val="105"/>
        </w:rPr>
        <w:t> </w:t>
      </w:r>
      <w:r>
        <w:rPr>
          <w:color w:val="231F20"/>
          <w:w w:val="105"/>
        </w:rPr>
        <w:t>de</w:t>
      </w:r>
      <w:r>
        <w:rPr>
          <w:color w:val="231F20"/>
          <w:spacing w:val="-8"/>
          <w:w w:val="105"/>
        </w:rPr>
        <w:t> </w:t>
      </w:r>
      <w:r>
        <w:rPr>
          <w:color w:val="231F20"/>
          <w:w w:val="105"/>
        </w:rPr>
        <w:t>manejar</w:t>
      </w:r>
      <w:r>
        <w:rPr>
          <w:color w:val="231F20"/>
          <w:spacing w:val="-8"/>
          <w:w w:val="105"/>
        </w:rPr>
        <w:t> </w:t>
      </w:r>
      <w:r>
        <w:rPr>
          <w:color w:val="231F20"/>
          <w:w w:val="105"/>
        </w:rPr>
        <w:t>una</w:t>
      </w:r>
      <w:r>
        <w:rPr>
          <w:color w:val="231F20"/>
          <w:spacing w:val="-8"/>
          <w:w w:val="105"/>
        </w:rPr>
        <w:t> </w:t>
      </w:r>
      <w:r>
        <w:rPr>
          <w:color w:val="231F20"/>
          <w:w w:val="105"/>
        </w:rPr>
        <w:t>relación</w:t>
      </w:r>
      <w:r>
        <w:rPr>
          <w:color w:val="231F20"/>
          <w:spacing w:val="-8"/>
          <w:w w:val="105"/>
        </w:rPr>
        <w:t> </w:t>
      </w:r>
      <w:r>
        <w:rPr>
          <w:color w:val="231F20"/>
          <w:w w:val="105"/>
        </w:rPr>
        <w:t>muy estrecha con un competidor que puede resultar muy incómodo. En sí misma,</w:t>
      </w:r>
      <w:r>
        <w:rPr>
          <w:color w:val="231F20"/>
          <w:spacing w:val="-25"/>
          <w:w w:val="105"/>
        </w:rPr>
        <w:t> </w:t>
      </w:r>
      <w:r>
        <w:rPr>
          <w:color w:val="231F20"/>
          <w:w w:val="105"/>
        </w:rPr>
        <w:t>la</w:t>
      </w:r>
      <w:r>
        <w:rPr>
          <w:color w:val="231F20"/>
          <w:spacing w:val="-19"/>
          <w:w w:val="105"/>
        </w:rPr>
        <w:t> </w:t>
      </w:r>
      <w:r>
        <w:rPr>
          <w:color w:val="231F20"/>
          <w:w w:val="105"/>
        </w:rPr>
        <w:t>relación</w:t>
      </w:r>
      <w:r>
        <w:rPr>
          <w:color w:val="231F20"/>
          <w:spacing w:val="-19"/>
          <w:w w:val="105"/>
        </w:rPr>
        <w:t> </w:t>
      </w:r>
      <w:r>
        <w:rPr>
          <w:color w:val="231F20"/>
          <w:w w:val="105"/>
        </w:rPr>
        <w:t>involucra</w:t>
      </w:r>
      <w:r>
        <w:rPr>
          <w:color w:val="231F20"/>
          <w:spacing w:val="-19"/>
          <w:w w:val="105"/>
        </w:rPr>
        <w:t> </w:t>
      </w:r>
      <w:r>
        <w:rPr>
          <w:color w:val="231F20"/>
          <w:w w:val="105"/>
        </w:rPr>
        <w:t>la</w:t>
      </w:r>
      <w:r>
        <w:rPr>
          <w:color w:val="231F20"/>
          <w:spacing w:val="-19"/>
          <w:w w:val="105"/>
        </w:rPr>
        <w:t> </w:t>
      </w:r>
      <w:r>
        <w:rPr>
          <w:color w:val="231F20"/>
          <w:w w:val="105"/>
        </w:rPr>
        <w:t>toma</w:t>
      </w:r>
      <w:r>
        <w:rPr>
          <w:color w:val="231F20"/>
          <w:spacing w:val="-19"/>
          <w:w w:val="105"/>
        </w:rPr>
        <w:t> </w:t>
      </w:r>
      <w:r>
        <w:rPr>
          <w:color w:val="231F20"/>
          <w:w w:val="105"/>
        </w:rPr>
        <w:t>conjunta</w:t>
      </w:r>
      <w:r>
        <w:rPr>
          <w:color w:val="231F20"/>
          <w:spacing w:val="-19"/>
          <w:w w:val="105"/>
        </w:rPr>
        <w:t> </w:t>
      </w:r>
      <w:r>
        <w:rPr>
          <w:color w:val="231F20"/>
          <w:w w:val="105"/>
        </w:rPr>
        <w:t>de</w:t>
      </w:r>
      <w:r>
        <w:rPr>
          <w:color w:val="231F20"/>
          <w:spacing w:val="-19"/>
          <w:w w:val="105"/>
        </w:rPr>
        <w:t> </w:t>
      </w:r>
      <w:r>
        <w:rPr>
          <w:color w:val="231F20"/>
          <w:w w:val="105"/>
        </w:rPr>
        <w:t>decisiones</w:t>
      </w:r>
      <w:r>
        <w:rPr>
          <w:color w:val="231F20"/>
          <w:spacing w:val="-19"/>
          <w:w w:val="105"/>
        </w:rPr>
        <w:t> </w:t>
      </w:r>
      <w:r>
        <w:rPr>
          <w:color w:val="231F20"/>
          <w:w w:val="105"/>
        </w:rPr>
        <w:t>en</w:t>
      </w:r>
      <w:r>
        <w:rPr>
          <w:color w:val="231F20"/>
          <w:spacing w:val="-19"/>
          <w:w w:val="105"/>
        </w:rPr>
        <w:t> </w:t>
      </w:r>
      <w:r>
        <w:rPr>
          <w:color w:val="231F20"/>
          <w:w w:val="105"/>
        </w:rPr>
        <w:t>importan- tes</w:t>
      </w:r>
      <w:r>
        <w:rPr>
          <w:color w:val="231F20"/>
          <w:spacing w:val="-13"/>
          <w:w w:val="105"/>
        </w:rPr>
        <w:t> </w:t>
      </w:r>
      <w:r>
        <w:rPr>
          <w:color w:val="231F20"/>
          <w:w w:val="105"/>
        </w:rPr>
        <w:t>asuntos</w:t>
      </w:r>
      <w:r>
        <w:rPr>
          <w:color w:val="231F20"/>
          <w:spacing w:val="-13"/>
          <w:w w:val="105"/>
        </w:rPr>
        <w:t> </w:t>
      </w:r>
      <w:r>
        <w:rPr>
          <w:color w:val="231F20"/>
          <w:w w:val="105"/>
        </w:rPr>
        <w:t>operacionales</w:t>
      </w:r>
      <w:r>
        <w:rPr>
          <w:color w:val="231F20"/>
          <w:spacing w:val="-13"/>
          <w:w w:val="105"/>
        </w:rPr>
        <w:t> </w:t>
      </w:r>
      <w:r>
        <w:rPr>
          <w:color w:val="231F20"/>
          <w:w w:val="105"/>
        </w:rPr>
        <w:t>y</w:t>
      </w:r>
      <w:r>
        <w:rPr>
          <w:color w:val="231F20"/>
          <w:spacing w:val="-13"/>
          <w:w w:val="105"/>
        </w:rPr>
        <w:t> </w:t>
      </w:r>
      <w:r>
        <w:rPr>
          <w:color w:val="231F20"/>
          <w:w w:val="105"/>
        </w:rPr>
        <w:t>administrativos</w:t>
      </w:r>
      <w:r>
        <w:rPr>
          <w:color w:val="231F20"/>
          <w:spacing w:val="-13"/>
          <w:w w:val="105"/>
        </w:rPr>
        <w:t> </w:t>
      </w:r>
      <w:r>
        <w:rPr>
          <w:color w:val="231F20"/>
          <w:w w:val="105"/>
        </w:rPr>
        <w:t>tales</w:t>
      </w:r>
      <w:r>
        <w:rPr>
          <w:color w:val="231F20"/>
          <w:spacing w:val="-13"/>
          <w:w w:val="105"/>
        </w:rPr>
        <w:t> </w:t>
      </w:r>
      <w:r>
        <w:rPr>
          <w:color w:val="231F20"/>
          <w:w w:val="105"/>
        </w:rPr>
        <w:t>como</w:t>
      </w:r>
      <w:r>
        <w:rPr>
          <w:color w:val="231F20"/>
          <w:spacing w:val="-13"/>
          <w:w w:val="105"/>
        </w:rPr>
        <w:t> </w:t>
      </w:r>
      <w:r>
        <w:rPr>
          <w:color w:val="231F20"/>
          <w:w w:val="105"/>
        </w:rPr>
        <w:t>los</w:t>
      </w:r>
      <w:r>
        <w:rPr>
          <w:color w:val="231F20"/>
          <w:spacing w:val="-13"/>
          <w:w w:val="105"/>
        </w:rPr>
        <w:t> </w:t>
      </w:r>
      <w:r>
        <w:rPr>
          <w:color w:val="231F20"/>
          <w:w w:val="105"/>
        </w:rPr>
        <w:t>programas</w:t>
      </w:r>
      <w:r>
        <w:rPr>
          <w:color w:val="231F20"/>
          <w:spacing w:val="-13"/>
          <w:w w:val="105"/>
        </w:rPr>
        <w:t> </w:t>
      </w:r>
      <w:r>
        <w:rPr>
          <w:color w:val="231F20"/>
          <w:w w:val="105"/>
        </w:rPr>
        <w:t>y procesos</w:t>
      </w:r>
      <w:r>
        <w:rPr>
          <w:color w:val="231F20"/>
          <w:spacing w:val="-15"/>
          <w:w w:val="105"/>
        </w:rPr>
        <w:t> </w:t>
      </w:r>
      <w:r>
        <w:rPr>
          <w:color w:val="231F20"/>
          <w:w w:val="105"/>
        </w:rPr>
        <w:t>de</w:t>
      </w:r>
      <w:r>
        <w:rPr>
          <w:color w:val="231F20"/>
          <w:spacing w:val="-15"/>
          <w:w w:val="105"/>
        </w:rPr>
        <w:t> </w:t>
      </w:r>
      <w:r>
        <w:rPr>
          <w:color w:val="231F20"/>
          <w:w w:val="105"/>
        </w:rPr>
        <w:t>producción.</w:t>
      </w:r>
      <w:r>
        <w:rPr>
          <w:color w:val="231F20"/>
          <w:spacing w:val="-20"/>
          <w:w w:val="105"/>
        </w:rPr>
        <w:t> </w:t>
      </w:r>
      <w:r>
        <w:rPr>
          <w:color w:val="231F20"/>
          <w:w w:val="105"/>
        </w:rPr>
        <w:t>Puesto</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representantes</w:t>
      </w:r>
      <w:r>
        <w:rPr>
          <w:color w:val="231F20"/>
          <w:spacing w:val="-15"/>
          <w:w w:val="105"/>
        </w:rPr>
        <w:t> </w:t>
      </w:r>
      <w:r>
        <w:rPr>
          <w:color w:val="231F20"/>
          <w:w w:val="105"/>
        </w:rPr>
        <w:t>de</w:t>
      </w:r>
      <w:r>
        <w:rPr>
          <w:color w:val="231F20"/>
          <w:spacing w:val="-15"/>
          <w:w w:val="105"/>
        </w:rPr>
        <w:t> </w:t>
      </w:r>
      <w:r>
        <w:rPr>
          <w:color w:val="231F20"/>
          <w:w w:val="105"/>
        </w:rPr>
        <w:t>cada</w:t>
      </w:r>
      <w:r>
        <w:rPr>
          <w:color w:val="231F20"/>
          <w:spacing w:val="-15"/>
          <w:w w:val="105"/>
        </w:rPr>
        <w:t> </w:t>
      </w:r>
      <w:r>
        <w:rPr>
          <w:color w:val="231F20"/>
          <w:w w:val="105"/>
        </w:rPr>
        <w:t>organi- zación</w:t>
      </w:r>
      <w:r>
        <w:rPr>
          <w:color w:val="231F20"/>
          <w:spacing w:val="-9"/>
          <w:w w:val="105"/>
        </w:rPr>
        <w:t> </w:t>
      </w:r>
      <w:r>
        <w:rPr>
          <w:color w:val="231F20"/>
          <w:w w:val="105"/>
        </w:rPr>
        <w:t>colaboradora</w:t>
      </w:r>
      <w:r>
        <w:rPr>
          <w:color w:val="231F20"/>
          <w:spacing w:val="-9"/>
          <w:w w:val="105"/>
        </w:rPr>
        <w:t> </w:t>
      </w:r>
      <w:r>
        <w:rPr>
          <w:color w:val="231F20"/>
          <w:w w:val="105"/>
        </w:rPr>
        <w:t>tratarán</w:t>
      </w:r>
      <w:r>
        <w:rPr>
          <w:color w:val="231F20"/>
          <w:spacing w:val="-9"/>
          <w:w w:val="105"/>
        </w:rPr>
        <w:t> </w:t>
      </w:r>
      <w:r>
        <w:rPr>
          <w:color w:val="231F20"/>
          <w:w w:val="105"/>
        </w:rPr>
        <w:t>de</w:t>
      </w:r>
      <w:r>
        <w:rPr>
          <w:color w:val="231F20"/>
          <w:spacing w:val="-9"/>
          <w:w w:val="105"/>
        </w:rPr>
        <w:t> </w:t>
      </w:r>
      <w:r>
        <w:rPr>
          <w:color w:val="231F20"/>
          <w:w w:val="105"/>
        </w:rPr>
        <w:t>mantener</w:t>
      </w:r>
      <w:r>
        <w:rPr>
          <w:color w:val="231F20"/>
          <w:spacing w:val="-9"/>
          <w:w w:val="105"/>
        </w:rPr>
        <w:t> </w:t>
      </w:r>
      <w:r>
        <w:rPr>
          <w:color w:val="231F20"/>
          <w:w w:val="105"/>
        </w:rPr>
        <w:t>consistencia</w:t>
      </w:r>
      <w:r>
        <w:rPr>
          <w:color w:val="231F20"/>
          <w:spacing w:val="-9"/>
          <w:w w:val="105"/>
        </w:rPr>
        <w:t> </w:t>
      </w:r>
      <w:r>
        <w:rPr>
          <w:color w:val="231F20"/>
          <w:w w:val="105"/>
        </w:rPr>
        <w:t>entre</w:t>
      </w:r>
      <w:r>
        <w:rPr>
          <w:color w:val="231F20"/>
          <w:spacing w:val="-9"/>
          <w:w w:val="105"/>
        </w:rPr>
        <w:t> </w:t>
      </w:r>
      <w:r>
        <w:rPr>
          <w:color w:val="231F20"/>
          <w:w w:val="105"/>
        </w:rPr>
        <w:t>las</w:t>
      </w:r>
      <w:r>
        <w:rPr>
          <w:color w:val="231F20"/>
          <w:spacing w:val="-9"/>
          <w:w w:val="105"/>
        </w:rPr>
        <w:t> </w:t>
      </w:r>
      <w:r>
        <w:rPr>
          <w:color w:val="231F20"/>
          <w:w w:val="105"/>
        </w:rPr>
        <w:t>opera- ciones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i/>
          <w:color w:val="231F20"/>
          <w:w w:val="105"/>
        </w:rPr>
        <w:t>joint</w:t>
      </w:r>
      <w:r>
        <w:rPr>
          <w:i/>
          <w:color w:val="231F20"/>
          <w:spacing w:val="-7"/>
          <w:w w:val="105"/>
        </w:rPr>
        <w:t> </w:t>
      </w:r>
      <w:r>
        <w:rPr>
          <w:i/>
          <w:color w:val="231F20"/>
          <w:w w:val="105"/>
        </w:rPr>
        <w:t>venture</w:t>
      </w:r>
      <w:r>
        <w:rPr>
          <w:i/>
          <w:color w:val="231F20"/>
          <w:spacing w:val="-7"/>
          <w:w w:val="105"/>
        </w:rPr>
        <w:t> </w:t>
      </w:r>
      <w:r>
        <w:rPr>
          <w:color w:val="231F20"/>
          <w:w w:val="105"/>
        </w:rPr>
        <w:t>y</w:t>
      </w:r>
      <w:r>
        <w:rPr>
          <w:color w:val="231F20"/>
          <w:spacing w:val="-7"/>
          <w:w w:val="105"/>
        </w:rPr>
        <w:t> </w:t>
      </w:r>
      <w:r>
        <w:rPr>
          <w:color w:val="231F20"/>
          <w:w w:val="105"/>
        </w:rPr>
        <w:t>aquéllas</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respectivas</w:t>
      </w:r>
      <w:r>
        <w:rPr>
          <w:color w:val="231F20"/>
          <w:spacing w:val="-7"/>
          <w:w w:val="105"/>
        </w:rPr>
        <w:t> </w:t>
      </w:r>
      <w:r>
        <w:rPr>
          <w:color w:val="231F20"/>
          <w:w w:val="105"/>
        </w:rPr>
        <w:t>organizaciones, los</w:t>
      </w:r>
      <w:r>
        <w:rPr>
          <w:color w:val="231F20"/>
          <w:spacing w:val="-23"/>
          <w:w w:val="105"/>
        </w:rPr>
        <w:t> </w:t>
      </w:r>
      <w:r>
        <w:rPr>
          <w:color w:val="231F20"/>
          <w:w w:val="105"/>
        </w:rPr>
        <w:t>compañeros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alianza</w:t>
      </w:r>
      <w:r>
        <w:rPr>
          <w:color w:val="231F20"/>
          <w:spacing w:val="-23"/>
          <w:w w:val="105"/>
        </w:rPr>
        <w:t> </w:t>
      </w:r>
      <w:r>
        <w:rPr>
          <w:color w:val="231F20"/>
          <w:w w:val="105"/>
        </w:rPr>
        <w:t>están</w:t>
      </w:r>
      <w:r>
        <w:rPr>
          <w:color w:val="231F20"/>
          <w:spacing w:val="-23"/>
          <w:w w:val="105"/>
        </w:rPr>
        <w:t> </w:t>
      </w:r>
      <w:r>
        <w:rPr>
          <w:color w:val="231F20"/>
          <w:w w:val="105"/>
        </w:rPr>
        <w:t>casi</w:t>
      </w:r>
      <w:r>
        <w:rPr>
          <w:color w:val="231F20"/>
          <w:spacing w:val="-23"/>
          <w:w w:val="105"/>
        </w:rPr>
        <w:t> </w:t>
      </w:r>
      <w:r>
        <w:rPr>
          <w:color w:val="231F20"/>
          <w:w w:val="105"/>
        </w:rPr>
        <w:t>predestinados</w:t>
      </w:r>
      <w:r>
        <w:rPr>
          <w:color w:val="231F20"/>
          <w:spacing w:val="-23"/>
          <w:w w:val="105"/>
        </w:rPr>
        <w:t> </w:t>
      </w:r>
      <w:r>
        <w:rPr>
          <w:color w:val="231F20"/>
          <w:w w:val="105"/>
        </w:rPr>
        <w:t>al</w:t>
      </w:r>
      <w:r>
        <w:rPr>
          <w:color w:val="231F20"/>
          <w:spacing w:val="-23"/>
          <w:w w:val="105"/>
        </w:rPr>
        <w:t> </w:t>
      </w:r>
      <w:r>
        <w:rPr>
          <w:color w:val="231F20"/>
          <w:w w:val="105"/>
        </w:rPr>
        <w:t>desacuerdo</w:t>
      </w:r>
      <w:r>
        <w:rPr>
          <w:color w:val="231F20"/>
          <w:spacing w:val="-23"/>
          <w:w w:val="105"/>
        </w:rPr>
        <w:t> </w:t>
      </w:r>
      <w:r>
        <w:rPr>
          <w:color w:val="231F20"/>
          <w:w w:val="105"/>
        </w:rPr>
        <w:t>y</w:t>
      </w:r>
      <w:r>
        <w:rPr>
          <w:color w:val="231F20"/>
          <w:spacing w:val="-23"/>
          <w:w w:val="105"/>
        </w:rPr>
        <w:t> </w:t>
      </w:r>
      <w:r>
        <w:rPr>
          <w:color w:val="231F20"/>
          <w:w w:val="105"/>
        </w:rPr>
        <w:t>a</w:t>
      </w:r>
    </w:p>
    <w:p>
      <w:pPr>
        <w:pStyle w:val="BodyText"/>
        <w:rPr>
          <w:sz w:val="14"/>
        </w:rPr>
      </w:pPr>
      <w:r>
        <w:rPr/>
        <w:pict>
          <v:line style="position:absolute;mso-position-horizontal-relative:page;mso-position-vertical-relative:paragraph;z-index:5536;mso-wrap-distance-left:0;mso-wrap-distance-right:0" from="70.866096pt,10.129368pt" to="184.252096pt,10.129368pt" stroked="true" strokeweight=".25pt" strokecolor="#231f20">
            <w10:wrap type="topAndBottom"/>
          </v:line>
        </w:pict>
      </w:r>
    </w:p>
    <w:p>
      <w:pPr>
        <w:spacing w:line="192" w:lineRule="exact" w:before="7"/>
        <w:ind w:left="117" w:right="121" w:firstLine="0"/>
        <w:jc w:val="both"/>
        <w:rPr>
          <w:rFonts w:ascii="Calibri" w:hAnsi="Calibri"/>
          <w:sz w:val="16"/>
        </w:rPr>
      </w:pPr>
      <w:r>
        <w:rPr>
          <w:rFonts w:ascii="Calibri" w:hAnsi="Calibri"/>
          <w:color w:val="414042"/>
          <w:w w:val="105"/>
          <w:sz w:val="16"/>
        </w:rPr>
        <w:t>ciando más a empresas estadunidenses como A&amp;T® que estaban detrás de la demanda que a</w:t>
      </w:r>
      <w:r>
        <w:rPr>
          <w:rFonts w:ascii="Calibri" w:hAnsi="Calibri"/>
          <w:color w:val="414042"/>
          <w:spacing w:val="-19"/>
          <w:w w:val="105"/>
          <w:sz w:val="16"/>
        </w:rPr>
        <w:t> </w:t>
      </w:r>
      <w:r>
        <w:rPr>
          <w:rFonts w:ascii="Calibri" w:hAnsi="Calibri"/>
          <w:color w:val="414042"/>
          <w:w w:val="105"/>
          <w:sz w:val="16"/>
        </w:rPr>
        <w:t>México, que</w:t>
      </w:r>
      <w:r>
        <w:rPr>
          <w:rFonts w:ascii="Calibri" w:hAnsi="Calibri"/>
          <w:color w:val="414042"/>
          <w:spacing w:val="-18"/>
          <w:w w:val="105"/>
          <w:sz w:val="16"/>
        </w:rPr>
        <w:t> </w:t>
      </w:r>
      <w:r>
        <w:rPr>
          <w:rFonts w:ascii="Calibri" w:hAnsi="Calibri"/>
          <w:color w:val="414042"/>
          <w:w w:val="105"/>
          <w:sz w:val="16"/>
        </w:rPr>
        <w:t>básicamente</w:t>
      </w:r>
      <w:r>
        <w:rPr>
          <w:rFonts w:ascii="Calibri" w:hAnsi="Calibri"/>
          <w:color w:val="414042"/>
          <w:spacing w:val="-18"/>
          <w:w w:val="105"/>
          <w:sz w:val="16"/>
        </w:rPr>
        <w:t> </w:t>
      </w:r>
      <w:r>
        <w:rPr>
          <w:rFonts w:ascii="Calibri" w:hAnsi="Calibri"/>
          <w:color w:val="414042"/>
          <w:w w:val="105"/>
          <w:sz w:val="16"/>
        </w:rPr>
        <w:t>defendía</w:t>
      </w:r>
      <w:r>
        <w:rPr>
          <w:rFonts w:ascii="Calibri" w:hAnsi="Calibri"/>
          <w:color w:val="414042"/>
          <w:spacing w:val="-18"/>
          <w:w w:val="105"/>
          <w:sz w:val="16"/>
        </w:rPr>
        <w:t> </w:t>
      </w:r>
      <w:r>
        <w:rPr>
          <w:rFonts w:ascii="Calibri" w:hAnsi="Calibri"/>
          <w:color w:val="414042"/>
          <w:w w:val="105"/>
          <w:sz w:val="16"/>
        </w:rPr>
        <w:t>los</w:t>
      </w:r>
      <w:r>
        <w:rPr>
          <w:rFonts w:ascii="Calibri" w:hAnsi="Calibri"/>
          <w:color w:val="414042"/>
          <w:spacing w:val="-18"/>
          <w:w w:val="105"/>
          <w:sz w:val="16"/>
        </w:rPr>
        <w:t> </w:t>
      </w:r>
      <w:r>
        <w:rPr>
          <w:rFonts w:ascii="Calibri" w:hAnsi="Calibri"/>
          <w:color w:val="414042"/>
          <w:w w:val="105"/>
          <w:sz w:val="16"/>
        </w:rPr>
        <w:t>intereses</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20"/>
          <w:w w:val="105"/>
          <w:sz w:val="16"/>
        </w:rPr>
        <w:t> </w:t>
      </w:r>
      <w:r>
        <w:rPr>
          <w:rFonts w:ascii="Calibri" w:hAnsi="Calibri"/>
          <w:color w:val="414042"/>
          <w:w w:val="105"/>
          <w:sz w:val="16"/>
        </w:rPr>
        <w:t>Telmex®</w:t>
      </w:r>
      <w:r>
        <w:rPr>
          <w:rFonts w:ascii="Calibri" w:hAnsi="Calibri"/>
          <w:color w:val="414042"/>
          <w:spacing w:val="-18"/>
          <w:w w:val="105"/>
          <w:sz w:val="16"/>
        </w:rPr>
        <w:t> </w:t>
      </w:r>
      <w:r>
        <w:rPr>
          <w:rFonts w:ascii="Calibri" w:hAnsi="Calibri"/>
          <w:color w:val="414042"/>
          <w:w w:val="105"/>
          <w:sz w:val="16"/>
        </w:rPr>
        <w:t>(Wellenious,</w:t>
      </w:r>
      <w:r>
        <w:rPr>
          <w:rFonts w:ascii="Calibri" w:hAnsi="Calibri"/>
          <w:color w:val="414042"/>
          <w:spacing w:val="-18"/>
          <w:w w:val="105"/>
          <w:sz w:val="16"/>
        </w:rPr>
        <w:t> </w:t>
      </w:r>
      <w:r>
        <w:rPr>
          <w:rFonts w:ascii="Calibri" w:hAnsi="Calibri"/>
          <w:color w:val="414042"/>
          <w:w w:val="105"/>
          <w:sz w:val="16"/>
        </w:rPr>
        <w:t>Galarza</w:t>
      </w:r>
      <w:r>
        <w:rPr>
          <w:rFonts w:ascii="Calibri" w:hAnsi="Calibri"/>
          <w:color w:val="414042"/>
          <w:spacing w:val="-19"/>
          <w:w w:val="105"/>
          <w:sz w:val="16"/>
        </w:rPr>
        <w:t> </w:t>
      </w:r>
      <w:r>
        <w:rPr>
          <w:rFonts w:ascii="Calibri" w:hAnsi="Calibri"/>
          <w:color w:val="414042"/>
          <w:w w:val="105"/>
          <w:sz w:val="16"/>
        </w:rPr>
        <w:t>yGuemazi,</w:t>
      </w:r>
      <w:r>
        <w:rPr>
          <w:rFonts w:ascii="Calibri" w:hAnsi="Calibri"/>
          <w:color w:val="414042"/>
          <w:spacing w:val="-18"/>
          <w:w w:val="105"/>
          <w:sz w:val="16"/>
        </w:rPr>
        <w:t> </w:t>
      </w:r>
      <w:r>
        <w:rPr>
          <w:rFonts w:ascii="Calibri" w:hAnsi="Calibri"/>
          <w:color w:val="414042"/>
          <w:w w:val="105"/>
          <w:sz w:val="16"/>
        </w:rPr>
        <w:t>2005).</w:t>
      </w:r>
      <w:r>
        <w:rPr>
          <w:rFonts w:ascii="Calibri" w:hAnsi="Calibri"/>
          <w:color w:val="414042"/>
          <w:spacing w:val="-18"/>
          <w:w w:val="105"/>
          <w:sz w:val="16"/>
        </w:rPr>
        <w:t> </w:t>
      </w:r>
      <w:r>
        <w:rPr>
          <w:rFonts w:ascii="Calibri" w:hAnsi="Calibri"/>
          <w:color w:val="414042"/>
          <w:w w:val="105"/>
          <w:sz w:val="16"/>
        </w:rPr>
        <w:t>No</w:t>
      </w:r>
      <w:r>
        <w:rPr>
          <w:rFonts w:ascii="Calibri" w:hAnsi="Calibri"/>
          <w:color w:val="414042"/>
          <w:spacing w:val="-18"/>
          <w:w w:val="105"/>
          <w:sz w:val="16"/>
        </w:rPr>
        <w:t> </w:t>
      </w:r>
      <w:r>
        <w:rPr>
          <w:rFonts w:ascii="Calibri" w:hAnsi="Calibri"/>
          <w:color w:val="414042"/>
          <w:w w:val="105"/>
          <w:sz w:val="16"/>
        </w:rPr>
        <w:t>obstante, la</w:t>
      </w:r>
      <w:r>
        <w:rPr>
          <w:rFonts w:ascii="Calibri" w:hAnsi="Calibri"/>
          <w:color w:val="414042"/>
          <w:spacing w:val="-4"/>
          <w:w w:val="105"/>
          <w:sz w:val="16"/>
        </w:rPr>
        <w:t> </w:t>
      </w:r>
      <w:r>
        <w:rPr>
          <w:rFonts w:ascii="Calibri" w:hAnsi="Calibri"/>
          <w:color w:val="414042"/>
          <w:w w:val="105"/>
          <w:sz w:val="16"/>
        </w:rPr>
        <w:t>resolución</w:t>
      </w:r>
      <w:r>
        <w:rPr>
          <w:rFonts w:ascii="Calibri" w:hAnsi="Calibri"/>
          <w:color w:val="414042"/>
          <w:spacing w:val="-4"/>
          <w:w w:val="105"/>
          <w:sz w:val="16"/>
        </w:rPr>
        <w:t> </w:t>
      </w:r>
      <w:r>
        <w:rPr>
          <w:rFonts w:ascii="Calibri" w:hAnsi="Calibri"/>
          <w:color w:val="414042"/>
          <w:w w:val="105"/>
          <w:sz w:val="16"/>
        </w:rPr>
        <w:t>de</w:t>
      </w:r>
      <w:r>
        <w:rPr>
          <w:rFonts w:ascii="Calibri" w:hAnsi="Calibri"/>
          <w:color w:val="414042"/>
          <w:spacing w:val="-4"/>
          <w:w w:val="105"/>
          <w:sz w:val="16"/>
        </w:rPr>
        <w:t> </w:t>
      </w:r>
      <w:r>
        <w:rPr>
          <w:rFonts w:ascii="Calibri" w:hAnsi="Calibri"/>
          <w:color w:val="414042"/>
          <w:w w:val="105"/>
          <w:sz w:val="16"/>
        </w:rPr>
        <w:t>la</w:t>
      </w:r>
      <w:r>
        <w:rPr>
          <w:rFonts w:ascii="Calibri" w:hAnsi="Calibri"/>
          <w:color w:val="414042"/>
          <w:spacing w:val="-4"/>
          <w:w w:val="105"/>
          <w:sz w:val="16"/>
        </w:rPr>
        <w:t> </w:t>
      </w:r>
      <w:r>
        <w:rPr>
          <w:rFonts w:ascii="Calibri" w:hAnsi="Calibri"/>
          <w:color w:val="414042"/>
          <w:w w:val="105"/>
          <w:sz w:val="16"/>
        </w:rPr>
        <w:t>OMC</w:t>
      </w:r>
      <w:r>
        <w:rPr>
          <w:rFonts w:ascii="Calibri" w:hAnsi="Calibri"/>
          <w:color w:val="414042"/>
          <w:spacing w:val="-4"/>
          <w:w w:val="105"/>
          <w:sz w:val="16"/>
        </w:rPr>
        <w:t> </w:t>
      </w:r>
      <w:r>
        <w:rPr>
          <w:rFonts w:ascii="Calibri" w:hAnsi="Calibri"/>
          <w:color w:val="414042"/>
          <w:w w:val="105"/>
          <w:sz w:val="16"/>
        </w:rPr>
        <w:t>fue</w:t>
      </w:r>
      <w:r>
        <w:rPr>
          <w:rFonts w:ascii="Calibri" w:hAnsi="Calibri"/>
          <w:color w:val="414042"/>
          <w:spacing w:val="-4"/>
          <w:w w:val="105"/>
          <w:sz w:val="16"/>
        </w:rPr>
        <w:t> </w:t>
      </w:r>
      <w:r>
        <w:rPr>
          <w:rFonts w:ascii="Calibri" w:hAnsi="Calibri"/>
          <w:color w:val="414042"/>
          <w:w w:val="105"/>
          <w:sz w:val="16"/>
        </w:rPr>
        <w:t>altamente</w:t>
      </w:r>
      <w:r>
        <w:rPr>
          <w:rFonts w:ascii="Calibri" w:hAnsi="Calibri"/>
          <w:color w:val="414042"/>
          <w:spacing w:val="-4"/>
          <w:w w:val="105"/>
          <w:sz w:val="16"/>
        </w:rPr>
        <w:t> </w:t>
      </w:r>
      <w:r>
        <w:rPr>
          <w:rFonts w:ascii="Calibri" w:hAnsi="Calibri"/>
          <w:color w:val="414042"/>
          <w:w w:val="105"/>
          <w:sz w:val="16"/>
        </w:rPr>
        <w:t>controversial</w:t>
      </w:r>
      <w:r>
        <w:rPr>
          <w:rFonts w:ascii="Calibri" w:hAnsi="Calibri"/>
          <w:color w:val="414042"/>
          <w:spacing w:val="-4"/>
          <w:w w:val="105"/>
          <w:sz w:val="16"/>
        </w:rPr>
        <w:t> </w:t>
      </w:r>
      <w:r>
        <w:rPr>
          <w:rFonts w:ascii="Calibri" w:hAnsi="Calibri"/>
          <w:color w:val="414042"/>
          <w:w w:val="105"/>
          <w:sz w:val="16"/>
        </w:rPr>
        <w:t>debido</w:t>
      </w:r>
      <w:r>
        <w:rPr>
          <w:rFonts w:ascii="Calibri" w:hAnsi="Calibri"/>
          <w:color w:val="414042"/>
          <w:spacing w:val="-4"/>
          <w:w w:val="105"/>
          <w:sz w:val="16"/>
        </w:rPr>
        <w:t> </w:t>
      </w:r>
      <w:r>
        <w:rPr>
          <w:rFonts w:ascii="Calibri" w:hAnsi="Calibri"/>
          <w:color w:val="414042"/>
          <w:w w:val="105"/>
          <w:sz w:val="16"/>
        </w:rPr>
        <w:t>a</w:t>
      </w:r>
      <w:r>
        <w:rPr>
          <w:rFonts w:ascii="Calibri" w:hAnsi="Calibri"/>
          <w:color w:val="414042"/>
          <w:spacing w:val="-4"/>
          <w:w w:val="105"/>
          <w:sz w:val="16"/>
        </w:rPr>
        <w:t> </w:t>
      </w:r>
      <w:r>
        <w:rPr>
          <w:rFonts w:ascii="Calibri" w:hAnsi="Calibri"/>
          <w:color w:val="414042"/>
          <w:w w:val="105"/>
          <w:sz w:val="16"/>
        </w:rPr>
        <w:t>que</w:t>
      </w:r>
      <w:r>
        <w:rPr>
          <w:rFonts w:ascii="Calibri" w:hAnsi="Calibri"/>
          <w:color w:val="414042"/>
          <w:spacing w:val="-4"/>
          <w:w w:val="105"/>
          <w:sz w:val="16"/>
        </w:rPr>
        <w:t> </w:t>
      </w:r>
      <w:r>
        <w:rPr>
          <w:rFonts w:ascii="Calibri" w:hAnsi="Calibri"/>
          <w:color w:val="414042"/>
          <w:w w:val="105"/>
          <w:sz w:val="16"/>
        </w:rPr>
        <w:t>nunca</w:t>
      </w:r>
      <w:r>
        <w:rPr>
          <w:rFonts w:ascii="Calibri" w:hAnsi="Calibri"/>
          <w:color w:val="414042"/>
          <w:spacing w:val="-4"/>
          <w:w w:val="105"/>
          <w:sz w:val="16"/>
        </w:rPr>
        <w:t> </w:t>
      </w:r>
      <w:r>
        <w:rPr>
          <w:rFonts w:ascii="Calibri" w:hAnsi="Calibri"/>
          <w:color w:val="414042"/>
          <w:w w:val="105"/>
          <w:sz w:val="16"/>
        </w:rPr>
        <w:t>quedó</w:t>
      </w:r>
      <w:r>
        <w:rPr>
          <w:rFonts w:ascii="Calibri" w:hAnsi="Calibri"/>
          <w:color w:val="414042"/>
          <w:spacing w:val="-4"/>
          <w:w w:val="105"/>
          <w:sz w:val="16"/>
        </w:rPr>
        <w:t> </w:t>
      </w:r>
      <w:r>
        <w:rPr>
          <w:rFonts w:ascii="Calibri" w:hAnsi="Calibri"/>
          <w:color w:val="414042"/>
          <w:w w:val="105"/>
          <w:sz w:val="16"/>
        </w:rPr>
        <w:t>claro</w:t>
      </w:r>
      <w:r>
        <w:rPr>
          <w:rFonts w:ascii="Calibri" w:hAnsi="Calibri"/>
          <w:color w:val="414042"/>
          <w:spacing w:val="-4"/>
          <w:w w:val="105"/>
          <w:sz w:val="16"/>
        </w:rPr>
        <w:t> </w:t>
      </w:r>
      <w:r>
        <w:rPr>
          <w:rFonts w:ascii="Calibri" w:hAnsi="Calibri"/>
          <w:color w:val="414042"/>
          <w:w w:val="105"/>
          <w:sz w:val="16"/>
        </w:rPr>
        <w:t>si</w:t>
      </w:r>
      <w:r>
        <w:rPr>
          <w:rFonts w:ascii="Calibri" w:hAnsi="Calibri"/>
          <w:color w:val="414042"/>
          <w:spacing w:val="-4"/>
          <w:w w:val="105"/>
          <w:sz w:val="16"/>
        </w:rPr>
        <w:t> </w:t>
      </w:r>
      <w:r>
        <w:rPr>
          <w:rFonts w:ascii="Calibri" w:hAnsi="Calibri"/>
          <w:color w:val="414042"/>
          <w:w w:val="105"/>
          <w:sz w:val="16"/>
        </w:rPr>
        <w:t>el</w:t>
      </w:r>
      <w:r>
        <w:rPr>
          <w:rFonts w:ascii="Calibri" w:hAnsi="Calibri"/>
          <w:color w:val="414042"/>
          <w:spacing w:val="-4"/>
          <w:w w:val="105"/>
          <w:sz w:val="16"/>
        </w:rPr>
        <w:t> </w:t>
      </w:r>
      <w:r>
        <w:rPr>
          <w:rFonts w:ascii="Calibri" w:hAnsi="Calibri"/>
          <w:color w:val="414042"/>
          <w:w w:val="105"/>
          <w:sz w:val="16"/>
        </w:rPr>
        <w:t>mencionado cártel estaba justificado debido a la condición menos desarrollada de la industria telefónica mexicana frente</w:t>
      </w:r>
      <w:r>
        <w:rPr>
          <w:rFonts w:ascii="Calibri" w:hAnsi="Calibri"/>
          <w:color w:val="414042"/>
          <w:spacing w:val="-18"/>
          <w:w w:val="105"/>
          <w:sz w:val="16"/>
        </w:rPr>
        <w:t> </w:t>
      </w:r>
      <w:r>
        <w:rPr>
          <w:rFonts w:ascii="Calibri" w:hAnsi="Calibri"/>
          <w:color w:val="414042"/>
          <w:w w:val="105"/>
          <w:sz w:val="16"/>
        </w:rPr>
        <w:t>a</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estadounidense</w:t>
      </w:r>
      <w:r>
        <w:rPr>
          <w:rFonts w:ascii="Calibri" w:hAnsi="Calibri"/>
          <w:color w:val="414042"/>
          <w:spacing w:val="-18"/>
          <w:w w:val="105"/>
          <w:sz w:val="16"/>
        </w:rPr>
        <w:t> </w:t>
      </w:r>
      <w:r>
        <w:rPr>
          <w:rFonts w:ascii="Calibri" w:hAnsi="Calibri"/>
          <w:color w:val="414042"/>
          <w:w w:val="105"/>
          <w:sz w:val="16"/>
        </w:rPr>
        <w:t>(Mardsen,</w:t>
      </w:r>
      <w:r>
        <w:rPr>
          <w:rFonts w:ascii="Calibri" w:hAnsi="Calibri"/>
          <w:color w:val="414042"/>
          <w:spacing w:val="-18"/>
          <w:w w:val="105"/>
          <w:sz w:val="16"/>
        </w:rPr>
        <w:t> </w:t>
      </w:r>
      <w:r>
        <w:rPr>
          <w:rFonts w:ascii="Calibri" w:hAnsi="Calibri"/>
          <w:color w:val="414042"/>
          <w:w w:val="105"/>
          <w:sz w:val="16"/>
        </w:rPr>
        <w:t>2004).</w:t>
      </w:r>
    </w:p>
    <w:p>
      <w:pPr>
        <w:spacing w:after="0" w:line="192" w:lineRule="exact"/>
        <w:jc w:val="both"/>
        <w:rPr>
          <w:rFonts w:ascii="Calibri" w:hAnsi="Calibri"/>
          <w:sz w:val="16"/>
        </w:rPr>
        <w:sectPr>
          <w:type w:val="continuous"/>
          <w:pgSz w:w="9640" w:h="13890"/>
          <w:pgMar w:top="1300" w:bottom="280" w:left="1300" w:right="1180"/>
        </w:sectPr>
      </w:pPr>
    </w:p>
    <w:p>
      <w:pPr>
        <w:pStyle w:val="BodyText"/>
        <w:spacing w:line="259" w:lineRule="auto" w:before="49"/>
        <w:ind w:left="103" w:right="114"/>
        <w:jc w:val="both"/>
      </w:pPr>
      <w:r>
        <w:rPr>
          <w:color w:val="231F20"/>
          <w:w w:val="105"/>
        </w:rPr>
        <w:t>los</w:t>
      </w:r>
      <w:r>
        <w:rPr>
          <w:color w:val="231F20"/>
          <w:spacing w:val="-41"/>
          <w:w w:val="105"/>
        </w:rPr>
        <w:t> </w:t>
      </w:r>
      <w:r>
        <w:rPr>
          <w:color w:val="231F20"/>
          <w:w w:val="105"/>
        </w:rPr>
        <w:t>enfrentamientos</w:t>
      </w:r>
      <w:r>
        <w:rPr>
          <w:color w:val="231F20"/>
          <w:spacing w:val="-41"/>
          <w:w w:val="105"/>
        </w:rPr>
        <w:t> </w:t>
      </w:r>
      <w:r>
        <w:rPr>
          <w:color w:val="231F20"/>
          <w:w w:val="105"/>
        </w:rPr>
        <w:t>ocasionales</w:t>
      </w:r>
      <w:r>
        <w:rPr>
          <w:color w:val="231F20"/>
          <w:spacing w:val="-41"/>
          <w:w w:val="105"/>
        </w:rPr>
        <w:t> </w:t>
      </w:r>
      <w:r>
        <w:rPr>
          <w:color w:val="231F20"/>
          <w:spacing w:val="-3"/>
          <w:w w:val="105"/>
        </w:rPr>
        <w:t>(Park</w:t>
      </w:r>
      <w:r>
        <w:rPr>
          <w:color w:val="231F20"/>
          <w:spacing w:val="-41"/>
          <w:w w:val="105"/>
        </w:rPr>
        <w:t> </w:t>
      </w:r>
      <w:r>
        <w:rPr>
          <w:color w:val="231F20"/>
          <w:w w:val="105"/>
        </w:rPr>
        <w:t>y</w:t>
      </w:r>
      <w:r>
        <w:rPr>
          <w:color w:val="231F20"/>
          <w:spacing w:val="-41"/>
          <w:w w:val="105"/>
        </w:rPr>
        <w:t> </w:t>
      </w:r>
      <w:r>
        <w:rPr>
          <w:color w:val="231F20"/>
          <w:w w:val="105"/>
        </w:rPr>
        <w:t>Russo,</w:t>
      </w:r>
      <w:r>
        <w:rPr>
          <w:color w:val="231F20"/>
          <w:spacing w:val="-44"/>
          <w:w w:val="105"/>
        </w:rPr>
        <w:t> </w:t>
      </w:r>
      <w:r>
        <w:rPr>
          <w:color w:val="231F20"/>
          <w:w w:val="105"/>
        </w:rPr>
        <w:t>1996).</w:t>
      </w:r>
      <w:r>
        <w:rPr>
          <w:color w:val="231F20"/>
          <w:spacing w:val="-44"/>
          <w:w w:val="105"/>
        </w:rPr>
        <w:t> </w:t>
      </w:r>
      <w:r>
        <w:rPr>
          <w:color w:val="231F20"/>
          <w:w w:val="105"/>
        </w:rPr>
        <w:t>Notoriamente,</w:t>
      </w:r>
      <w:r>
        <w:rPr>
          <w:color w:val="231F20"/>
          <w:spacing w:val="-44"/>
          <w:w w:val="105"/>
        </w:rPr>
        <w:t> </w:t>
      </w:r>
      <w:r>
        <w:rPr>
          <w:color w:val="231F20"/>
          <w:w w:val="105"/>
        </w:rPr>
        <w:t>este tipo de problemas puede fomentar una variedad de comportamientos no</w:t>
      </w:r>
      <w:r>
        <w:rPr>
          <w:color w:val="231F20"/>
          <w:spacing w:val="-17"/>
          <w:w w:val="105"/>
        </w:rPr>
        <w:t> </w:t>
      </w:r>
      <w:r>
        <w:rPr>
          <w:color w:val="231F20"/>
          <w:w w:val="105"/>
        </w:rPr>
        <w:t>cooperativos</w:t>
      </w:r>
      <w:r>
        <w:rPr>
          <w:color w:val="231F20"/>
          <w:spacing w:val="-17"/>
          <w:w w:val="105"/>
        </w:rPr>
        <w:t> </w:t>
      </w:r>
      <w:r>
        <w:rPr>
          <w:color w:val="231F20"/>
          <w:spacing w:val="-3"/>
          <w:w w:val="105"/>
        </w:rPr>
        <w:t>(Kumar,</w:t>
      </w:r>
      <w:r>
        <w:rPr>
          <w:color w:val="231F20"/>
          <w:spacing w:val="-23"/>
          <w:w w:val="105"/>
        </w:rPr>
        <w:t> </w:t>
      </w:r>
      <w:r>
        <w:rPr>
          <w:color w:val="231F20"/>
          <w:w w:val="105"/>
        </w:rPr>
        <w:t>2010),</w:t>
      </w:r>
      <w:r>
        <w:rPr>
          <w:color w:val="231F20"/>
          <w:spacing w:val="-23"/>
          <w:w w:val="105"/>
        </w:rPr>
        <w:t> </w:t>
      </w:r>
      <w:r>
        <w:rPr>
          <w:color w:val="231F20"/>
          <w:w w:val="105"/>
        </w:rPr>
        <w:t>y</w:t>
      </w:r>
      <w:r>
        <w:rPr>
          <w:color w:val="231F20"/>
          <w:spacing w:val="-17"/>
          <w:w w:val="105"/>
        </w:rPr>
        <w:t> </w:t>
      </w:r>
      <w:r>
        <w:rPr>
          <w:color w:val="231F20"/>
          <w:w w:val="105"/>
        </w:rPr>
        <w:t>éstos</w:t>
      </w:r>
      <w:r>
        <w:rPr>
          <w:color w:val="231F20"/>
          <w:spacing w:val="-17"/>
          <w:w w:val="105"/>
        </w:rPr>
        <w:t> </w:t>
      </w:r>
      <w:r>
        <w:rPr>
          <w:color w:val="231F20"/>
          <w:w w:val="105"/>
        </w:rPr>
        <w:t>no</w:t>
      </w:r>
      <w:r>
        <w:rPr>
          <w:color w:val="231F20"/>
          <w:spacing w:val="-17"/>
          <w:w w:val="105"/>
        </w:rPr>
        <w:t> </w:t>
      </w:r>
      <w:r>
        <w:rPr>
          <w:color w:val="231F20"/>
          <w:w w:val="105"/>
        </w:rPr>
        <w:t>sólo</w:t>
      </w:r>
      <w:r>
        <w:rPr>
          <w:color w:val="231F20"/>
          <w:spacing w:val="-17"/>
          <w:w w:val="105"/>
        </w:rPr>
        <w:t> </w:t>
      </w:r>
      <w:r>
        <w:rPr>
          <w:color w:val="231F20"/>
          <w:w w:val="105"/>
        </w:rPr>
        <w:t>podrían</w:t>
      </w:r>
      <w:r>
        <w:rPr>
          <w:color w:val="231F20"/>
          <w:spacing w:val="-17"/>
          <w:w w:val="105"/>
        </w:rPr>
        <w:t> </w:t>
      </w:r>
      <w:r>
        <w:rPr>
          <w:color w:val="231F20"/>
          <w:w w:val="105"/>
        </w:rPr>
        <w:t>arruinar</w:t>
      </w:r>
      <w:r>
        <w:rPr>
          <w:color w:val="231F20"/>
          <w:spacing w:val="-17"/>
          <w:w w:val="105"/>
        </w:rPr>
        <w:t> </w:t>
      </w:r>
      <w:r>
        <w:rPr>
          <w:color w:val="231F20"/>
          <w:w w:val="105"/>
        </w:rPr>
        <w:t>las</w:t>
      </w:r>
      <w:r>
        <w:rPr>
          <w:color w:val="231F20"/>
          <w:spacing w:val="-17"/>
          <w:w w:val="105"/>
        </w:rPr>
        <w:t> </w:t>
      </w:r>
      <w:r>
        <w:rPr>
          <w:color w:val="231F20"/>
          <w:w w:val="105"/>
        </w:rPr>
        <w:t>posi- bles</w:t>
      </w:r>
      <w:r>
        <w:rPr>
          <w:color w:val="231F20"/>
          <w:spacing w:val="-32"/>
          <w:w w:val="105"/>
        </w:rPr>
        <w:t> </w:t>
      </w:r>
      <w:r>
        <w:rPr>
          <w:color w:val="231F20"/>
          <w:w w:val="105"/>
        </w:rPr>
        <w:t>sinergias,</w:t>
      </w:r>
      <w:r>
        <w:rPr>
          <w:color w:val="231F20"/>
          <w:spacing w:val="-36"/>
          <w:w w:val="105"/>
        </w:rPr>
        <w:t> </w:t>
      </w:r>
      <w:r>
        <w:rPr>
          <w:color w:val="231F20"/>
          <w:w w:val="105"/>
        </w:rPr>
        <w:t>sino</w:t>
      </w:r>
      <w:r>
        <w:rPr>
          <w:color w:val="231F20"/>
          <w:spacing w:val="-32"/>
          <w:w w:val="105"/>
        </w:rPr>
        <w:t> </w:t>
      </w:r>
      <w:r>
        <w:rPr>
          <w:color w:val="231F20"/>
          <w:w w:val="105"/>
        </w:rPr>
        <w:t>también</w:t>
      </w:r>
      <w:r>
        <w:rPr>
          <w:color w:val="231F20"/>
          <w:spacing w:val="-32"/>
          <w:w w:val="105"/>
        </w:rPr>
        <w:t> </w:t>
      </w:r>
      <w:r>
        <w:rPr>
          <w:color w:val="231F20"/>
          <w:w w:val="105"/>
        </w:rPr>
        <w:t>elevar</w:t>
      </w:r>
      <w:r>
        <w:rPr>
          <w:color w:val="231F20"/>
          <w:spacing w:val="-32"/>
          <w:w w:val="105"/>
        </w:rPr>
        <w:t> </w:t>
      </w:r>
      <w:r>
        <w:rPr>
          <w:color w:val="231F20"/>
          <w:w w:val="105"/>
        </w:rPr>
        <w:t>los</w:t>
      </w:r>
      <w:r>
        <w:rPr>
          <w:color w:val="231F20"/>
          <w:spacing w:val="-32"/>
          <w:w w:val="105"/>
        </w:rPr>
        <w:t> </w:t>
      </w:r>
      <w:r>
        <w:rPr>
          <w:color w:val="231F20"/>
          <w:w w:val="105"/>
        </w:rPr>
        <w:t>costos</w:t>
      </w:r>
      <w:r>
        <w:rPr>
          <w:color w:val="231F20"/>
          <w:spacing w:val="-32"/>
          <w:w w:val="105"/>
        </w:rPr>
        <w:t> </w:t>
      </w:r>
      <w:r>
        <w:rPr>
          <w:color w:val="231F20"/>
          <w:w w:val="105"/>
        </w:rPr>
        <w:t>administrativos</w:t>
      </w:r>
      <w:r>
        <w:rPr>
          <w:color w:val="231F20"/>
          <w:spacing w:val="-32"/>
          <w:w w:val="105"/>
        </w:rPr>
        <w:t> </w:t>
      </w:r>
      <w:r>
        <w:rPr>
          <w:color w:val="231F20"/>
          <w:w w:val="105"/>
        </w:rPr>
        <w:t>y</w:t>
      </w:r>
      <w:r>
        <w:rPr>
          <w:color w:val="231F20"/>
          <w:spacing w:val="-32"/>
          <w:w w:val="105"/>
        </w:rPr>
        <w:t> </w:t>
      </w:r>
      <w:r>
        <w:rPr>
          <w:color w:val="231F20"/>
          <w:w w:val="105"/>
        </w:rPr>
        <w:t>operativos de</w:t>
      </w:r>
      <w:r>
        <w:rPr>
          <w:color w:val="231F20"/>
          <w:spacing w:val="-12"/>
          <w:w w:val="105"/>
        </w:rPr>
        <w:t> </w:t>
      </w:r>
      <w:r>
        <w:rPr>
          <w:color w:val="231F20"/>
          <w:w w:val="105"/>
        </w:rPr>
        <w:t>la</w:t>
      </w:r>
      <w:r>
        <w:rPr>
          <w:color w:val="231F20"/>
          <w:spacing w:val="-12"/>
          <w:w w:val="105"/>
        </w:rPr>
        <w:t> </w:t>
      </w:r>
      <w:r>
        <w:rPr>
          <w:i/>
          <w:color w:val="231F20"/>
          <w:w w:val="105"/>
        </w:rPr>
        <w:t>joint</w:t>
      </w:r>
      <w:r>
        <w:rPr>
          <w:i/>
          <w:color w:val="231F20"/>
          <w:spacing w:val="-12"/>
          <w:w w:val="105"/>
        </w:rPr>
        <w:t> </w:t>
      </w:r>
      <w:r>
        <w:rPr>
          <w:i/>
          <w:color w:val="231F20"/>
          <w:w w:val="105"/>
        </w:rPr>
        <w:t>venture</w:t>
      </w:r>
      <w:r>
        <w:rPr>
          <w:i/>
          <w:color w:val="231F20"/>
          <w:spacing w:val="-12"/>
          <w:w w:val="105"/>
        </w:rPr>
        <w:t> </w:t>
      </w:r>
      <w:r>
        <w:rPr>
          <w:color w:val="231F20"/>
          <w:w w:val="105"/>
        </w:rPr>
        <w:t>más</w:t>
      </w:r>
      <w:r>
        <w:rPr>
          <w:color w:val="231F20"/>
          <w:spacing w:val="-12"/>
          <w:w w:val="105"/>
        </w:rPr>
        <w:t> </w:t>
      </w:r>
      <w:r>
        <w:rPr>
          <w:color w:val="231F20"/>
          <w:w w:val="105"/>
        </w:rPr>
        <w:t>allá</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beneficios</w:t>
      </w:r>
      <w:r>
        <w:rPr>
          <w:color w:val="231F20"/>
          <w:spacing w:val="-12"/>
          <w:w w:val="105"/>
        </w:rPr>
        <w:t> </w:t>
      </w:r>
      <w:r>
        <w:rPr>
          <w:color w:val="231F20"/>
          <w:w w:val="105"/>
        </w:rPr>
        <w:t>que</w:t>
      </w:r>
      <w:r>
        <w:rPr>
          <w:color w:val="231F20"/>
          <w:spacing w:val="-12"/>
          <w:w w:val="105"/>
        </w:rPr>
        <w:t> </w:t>
      </w:r>
      <w:r>
        <w:rPr>
          <w:color w:val="231F20"/>
          <w:w w:val="105"/>
        </w:rPr>
        <w:t>pueda</w:t>
      </w:r>
      <w:r>
        <w:rPr>
          <w:color w:val="231F20"/>
          <w:spacing w:val="-12"/>
          <w:w w:val="105"/>
        </w:rPr>
        <w:t> </w:t>
      </w:r>
      <w:r>
        <w:rPr>
          <w:color w:val="231F20"/>
          <w:w w:val="105"/>
        </w:rPr>
        <w:t>producir.</w:t>
      </w:r>
    </w:p>
    <w:p>
      <w:pPr>
        <w:pStyle w:val="BodyText"/>
        <w:spacing w:line="259" w:lineRule="auto"/>
        <w:ind w:left="103" w:right="114" w:firstLine="567"/>
        <w:jc w:val="both"/>
      </w:pPr>
      <w:r>
        <w:rPr>
          <w:color w:val="231F20"/>
          <w:spacing w:val="-8"/>
          <w:w w:val="105"/>
        </w:rPr>
        <w:t>Tal</w:t>
      </w:r>
      <w:r>
        <w:rPr>
          <w:color w:val="231F20"/>
          <w:spacing w:val="-21"/>
          <w:w w:val="105"/>
        </w:rPr>
        <w:t> </w:t>
      </w:r>
      <w:r>
        <w:rPr>
          <w:color w:val="231F20"/>
          <w:w w:val="105"/>
        </w:rPr>
        <w:t>y</w:t>
      </w:r>
      <w:r>
        <w:rPr>
          <w:color w:val="231F20"/>
          <w:spacing w:val="-21"/>
          <w:w w:val="105"/>
        </w:rPr>
        <w:t> </w:t>
      </w:r>
      <w:r>
        <w:rPr>
          <w:color w:val="231F20"/>
          <w:w w:val="105"/>
        </w:rPr>
        <w:t>como</w:t>
      </w:r>
      <w:r>
        <w:rPr>
          <w:color w:val="231F20"/>
          <w:spacing w:val="-21"/>
          <w:w w:val="105"/>
        </w:rPr>
        <w:t> </w:t>
      </w:r>
      <w:r>
        <w:rPr>
          <w:color w:val="231F20"/>
          <w:w w:val="105"/>
        </w:rPr>
        <w:t>lo</w:t>
      </w:r>
      <w:r>
        <w:rPr>
          <w:color w:val="231F20"/>
          <w:spacing w:val="-21"/>
          <w:w w:val="105"/>
        </w:rPr>
        <w:t> </w:t>
      </w:r>
      <w:r>
        <w:rPr>
          <w:color w:val="231F20"/>
          <w:w w:val="105"/>
        </w:rPr>
        <w:t>es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caso</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contextos</w:t>
      </w:r>
      <w:r>
        <w:rPr>
          <w:color w:val="231F20"/>
          <w:spacing w:val="-21"/>
          <w:w w:val="105"/>
        </w:rPr>
        <w:t> </w:t>
      </w:r>
      <w:r>
        <w:rPr>
          <w:color w:val="231F20"/>
          <w:w w:val="105"/>
        </w:rPr>
        <w:t>de</w:t>
      </w:r>
      <w:r>
        <w:rPr>
          <w:color w:val="231F20"/>
          <w:spacing w:val="-21"/>
          <w:w w:val="105"/>
        </w:rPr>
        <w:t> </w:t>
      </w:r>
      <w:r>
        <w:rPr>
          <w:color w:val="231F20"/>
          <w:spacing w:val="-2"/>
          <w:w w:val="105"/>
        </w:rPr>
        <w:t>manufactura,</w:t>
      </w:r>
      <w:r>
        <w:rPr>
          <w:color w:val="231F20"/>
          <w:spacing w:val="-26"/>
          <w:w w:val="105"/>
        </w:rPr>
        <w:t> </w:t>
      </w:r>
      <w:r>
        <w:rPr>
          <w:color w:val="231F20"/>
          <w:w w:val="105"/>
        </w:rPr>
        <w:t>dos</w:t>
      </w:r>
      <w:r>
        <w:rPr>
          <w:color w:val="231F20"/>
          <w:spacing w:val="-21"/>
          <w:w w:val="105"/>
        </w:rPr>
        <w:t> </w:t>
      </w:r>
      <w:r>
        <w:rPr>
          <w:color w:val="231F20"/>
          <w:w w:val="105"/>
        </w:rPr>
        <w:t>(o más)</w:t>
      </w:r>
      <w:r>
        <w:rPr>
          <w:color w:val="231F20"/>
          <w:spacing w:val="-10"/>
          <w:w w:val="105"/>
        </w:rPr>
        <w:t> </w:t>
      </w:r>
      <w:r>
        <w:rPr>
          <w:color w:val="231F20"/>
          <w:spacing w:val="-3"/>
          <w:w w:val="105"/>
        </w:rPr>
        <w:t>empresas</w:t>
      </w:r>
      <w:r>
        <w:rPr>
          <w:color w:val="231F20"/>
          <w:spacing w:val="-10"/>
          <w:w w:val="105"/>
        </w:rPr>
        <w:t> </w:t>
      </w:r>
      <w:r>
        <w:rPr>
          <w:color w:val="231F20"/>
          <w:w w:val="105"/>
        </w:rPr>
        <w:t>pueden</w:t>
      </w:r>
      <w:r>
        <w:rPr>
          <w:color w:val="231F20"/>
          <w:spacing w:val="-10"/>
          <w:w w:val="105"/>
        </w:rPr>
        <w:t> </w:t>
      </w:r>
      <w:r>
        <w:rPr>
          <w:color w:val="231F20"/>
          <w:w w:val="105"/>
        </w:rPr>
        <w:t>formar</w:t>
      </w:r>
      <w:r>
        <w:rPr>
          <w:color w:val="231F20"/>
          <w:spacing w:val="-10"/>
          <w:w w:val="105"/>
        </w:rPr>
        <w:t> </w:t>
      </w:r>
      <w:r>
        <w:rPr>
          <w:color w:val="231F20"/>
          <w:w w:val="105"/>
        </w:rPr>
        <w:t>una</w:t>
      </w:r>
      <w:r>
        <w:rPr>
          <w:color w:val="231F20"/>
          <w:spacing w:val="-10"/>
          <w:w w:val="105"/>
        </w:rPr>
        <w:t> </w:t>
      </w:r>
      <w:r>
        <w:rPr>
          <w:i/>
          <w:color w:val="231F20"/>
          <w:w w:val="105"/>
        </w:rPr>
        <w:t>joint</w:t>
      </w:r>
      <w:r>
        <w:rPr>
          <w:i/>
          <w:color w:val="231F20"/>
          <w:spacing w:val="-10"/>
          <w:w w:val="105"/>
        </w:rPr>
        <w:t> </w:t>
      </w:r>
      <w:r>
        <w:rPr>
          <w:i/>
          <w:color w:val="231F20"/>
          <w:w w:val="105"/>
        </w:rPr>
        <w:t>venture</w:t>
      </w:r>
      <w:r>
        <w:rPr>
          <w:i/>
          <w:color w:val="231F20"/>
          <w:spacing w:val="-10"/>
          <w:w w:val="105"/>
        </w:rPr>
        <w:t> </w:t>
      </w:r>
      <w:r>
        <w:rPr>
          <w:color w:val="231F20"/>
          <w:w w:val="105"/>
        </w:rPr>
        <w:t>de</w:t>
      </w:r>
      <w:r>
        <w:rPr>
          <w:color w:val="231F20"/>
          <w:spacing w:val="-10"/>
          <w:w w:val="105"/>
        </w:rPr>
        <w:t> </w:t>
      </w:r>
      <w:r>
        <w:rPr>
          <w:color w:val="231F20"/>
          <w:spacing w:val="-3"/>
          <w:w w:val="105"/>
        </w:rPr>
        <w:t>mercadotecnia</w:t>
      </w:r>
      <w:r>
        <w:rPr>
          <w:color w:val="231F20"/>
          <w:spacing w:val="-10"/>
          <w:w w:val="105"/>
        </w:rPr>
        <w:t> </w:t>
      </w:r>
      <w:r>
        <w:rPr>
          <w:color w:val="231F20"/>
          <w:w w:val="105"/>
        </w:rPr>
        <w:t>para compartir</w:t>
      </w:r>
      <w:r>
        <w:rPr>
          <w:color w:val="231F20"/>
          <w:spacing w:val="-14"/>
          <w:w w:val="105"/>
        </w:rPr>
        <w:t> </w:t>
      </w:r>
      <w:r>
        <w:rPr>
          <w:color w:val="231F20"/>
          <w:spacing w:val="-3"/>
          <w:w w:val="105"/>
        </w:rPr>
        <w:t>recursos.</w:t>
      </w:r>
      <w:r>
        <w:rPr>
          <w:color w:val="231F20"/>
          <w:spacing w:val="-19"/>
          <w:w w:val="105"/>
        </w:rPr>
        <w:t> </w:t>
      </w:r>
      <w:r>
        <w:rPr>
          <w:color w:val="231F20"/>
          <w:w w:val="105"/>
        </w:rPr>
        <w:t>Sin</w:t>
      </w:r>
      <w:r>
        <w:rPr>
          <w:color w:val="231F20"/>
          <w:spacing w:val="-14"/>
          <w:w w:val="105"/>
        </w:rPr>
        <w:t> </w:t>
      </w:r>
      <w:r>
        <w:rPr>
          <w:color w:val="231F20"/>
          <w:spacing w:val="-3"/>
          <w:w w:val="105"/>
        </w:rPr>
        <w:t>embargo,</w:t>
      </w:r>
      <w:r>
        <w:rPr>
          <w:color w:val="231F20"/>
          <w:spacing w:val="-19"/>
          <w:w w:val="105"/>
        </w:rPr>
        <w:t> </w:t>
      </w:r>
      <w:r>
        <w:rPr>
          <w:color w:val="231F20"/>
          <w:w w:val="105"/>
        </w:rPr>
        <w:t>en</w:t>
      </w:r>
      <w:r>
        <w:rPr>
          <w:color w:val="231F20"/>
          <w:spacing w:val="-14"/>
          <w:w w:val="105"/>
        </w:rPr>
        <w:t> </w:t>
      </w:r>
      <w:r>
        <w:rPr>
          <w:color w:val="231F20"/>
          <w:w w:val="105"/>
        </w:rPr>
        <w:t>este</w:t>
      </w:r>
      <w:r>
        <w:rPr>
          <w:color w:val="231F20"/>
          <w:spacing w:val="-14"/>
          <w:w w:val="105"/>
        </w:rPr>
        <w:t> </w:t>
      </w:r>
      <w:r>
        <w:rPr>
          <w:color w:val="231F20"/>
          <w:w w:val="105"/>
        </w:rPr>
        <w:t>caso</w:t>
      </w:r>
      <w:r>
        <w:rPr>
          <w:color w:val="231F20"/>
          <w:spacing w:val="-14"/>
          <w:w w:val="105"/>
        </w:rPr>
        <w:t> </w:t>
      </w:r>
      <w:r>
        <w:rPr>
          <w:color w:val="231F20"/>
          <w:w w:val="105"/>
        </w:rPr>
        <w:t>los</w:t>
      </w:r>
      <w:r>
        <w:rPr>
          <w:color w:val="231F20"/>
          <w:spacing w:val="-14"/>
          <w:w w:val="105"/>
        </w:rPr>
        <w:t> </w:t>
      </w:r>
      <w:r>
        <w:rPr>
          <w:color w:val="231F20"/>
          <w:spacing w:val="-3"/>
          <w:w w:val="105"/>
        </w:rPr>
        <w:t>recursos</w:t>
      </w:r>
      <w:r>
        <w:rPr>
          <w:color w:val="231F20"/>
          <w:spacing w:val="-14"/>
          <w:w w:val="105"/>
        </w:rPr>
        <w:t> </w:t>
      </w:r>
      <w:r>
        <w:rPr>
          <w:color w:val="231F20"/>
          <w:spacing w:val="-3"/>
          <w:w w:val="105"/>
        </w:rPr>
        <w:t>involucrados </w:t>
      </w:r>
      <w:r>
        <w:rPr>
          <w:color w:val="231F20"/>
          <w:w w:val="105"/>
        </w:rPr>
        <w:t>como</w:t>
      </w:r>
      <w:r>
        <w:rPr>
          <w:color w:val="231F20"/>
          <w:spacing w:val="-11"/>
          <w:w w:val="105"/>
        </w:rPr>
        <w:t> </w:t>
      </w:r>
      <w:r>
        <w:rPr>
          <w:color w:val="231F20"/>
          <w:w w:val="105"/>
        </w:rPr>
        <w:t>el</w:t>
      </w:r>
      <w:r>
        <w:rPr>
          <w:color w:val="231F20"/>
          <w:spacing w:val="-11"/>
          <w:w w:val="105"/>
        </w:rPr>
        <w:t> </w:t>
      </w:r>
      <w:r>
        <w:rPr>
          <w:color w:val="231F20"/>
          <w:w w:val="105"/>
        </w:rPr>
        <w:t>capital</w:t>
      </w:r>
      <w:r>
        <w:rPr>
          <w:color w:val="231F20"/>
          <w:spacing w:val="-11"/>
          <w:w w:val="105"/>
        </w:rPr>
        <w:t> </w:t>
      </w:r>
      <w:r>
        <w:rPr>
          <w:color w:val="231F20"/>
          <w:w w:val="105"/>
        </w:rPr>
        <w:t>de</w:t>
      </w:r>
      <w:r>
        <w:rPr>
          <w:color w:val="231F20"/>
          <w:spacing w:val="-11"/>
          <w:w w:val="105"/>
        </w:rPr>
        <w:t> </w:t>
      </w:r>
      <w:r>
        <w:rPr>
          <w:color w:val="231F20"/>
          <w:spacing w:val="-3"/>
          <w:w w:val="105"/>
        </w:rPr>
        <w:t>marca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fuerza</w:t>
      </w:r>
      <w:r>
        <w:rPr>
          <w:color w:val="231F20"/>
          <w:spacing w:val="-11"/>
          <w:w w:val="105"/>
        </w:rPr>
        <w:t> </w:t>
      </w:r>
      <w:r>
        <w:rPr>
          <w:color w:val="231F20"/>
          <w:w w:val="105"/>
        </w:rPr>
        <w:t>de</w:t>
      </w:r>
      <w:r>
        <w:rPr>
          <w:color w:val="231F20"/>
          <w:spacing w:val="-11"/>
          <w:w w:val="105"/>
        </w:rPr>
        <w:t> </w:t>
      </w:r>
      <w:r>
        <w:rPr>
          <w:color w:val="231F20"/>
          <w:w w:val="105"/>
        </w:rPr>
        <w:t>ventas</w:t>
      </w:r>
      <w:r>
        <w:rPr>
          <w:color w:val="231F20"/>
          <w:spacing w:val="-11"/>
          <w:w w:val="105"/>
        </w:rPr>
        <w:t> </w:t>
      </w:r>
      <w:r>
        <w:rPr>
          <w:color w:val="231F20"/>
          <w:w w:val="105"/>
        </w:rPr>
        <w:t>pueden</w:t>
      </w:r>
      <w:r>
        <w:rPr>
          <w:color w:val="231F20"/>
          <w:spacing w:val="-11"/>
          <w:w w:val="105"/>
        </w:rPr>
        <w:t> </w:t>
      </w:r>
      <w:r>
        <w:rPr>
          <w:color w:val="231F20"/>
          <w:w w:val="105"/>
        </w:rPr>
        <w:t>ayudar</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em- </w:t>
      </w:r>
      <w:r>
        <w:rPr>
          <w:color w:val="231F20"/>
          <w:spacing w:val="-3"/>
          <w:w w:val="105"/>
        </w:rPr>
        <w:t>presas </w:t>
      </w:r>
      <w:r>
        <w:rPr>
          <w:color w:val="231F20"/>
          <w:w w:val="105"/>
        </w:rPr>
        <w:t>a mejorar su base de </w:t>
      </w:r>
      <w:r>
        <w:rPr>
          <w:color w:val="231F20"/>
          <w:spacing w:val="-3"/>
          <w:w w:val="105"/>
        </w:rPr>
        <w:t>ingresos </w:t>
      </w:r>
      <w:r>
        <w:rPr>
          <w:color w:val="231F20"/>
          <w:w w:val="105"/>
        </w:rPr>
        <w:t>en lugar de </w:t>
      </w:r>
      <w:r>
        <w:rPr>
          <w:color w:val="231F20"/>
          <w:spacing w:val="-3"/>
          <w:w w:val="105"/>
        </w:rPr>
        <w:t>reducir </w:t>
      </w:r>
      <w:r>
        <w:rPr>
          <w:color w:val="231F20"/>
          <w:w w:val="105"/>
        </w:rPr>
        <w:t>su costo total </w:t>
      </w:r>
      <w:r>
        <w:rPr>
          <w:color w:val="231F20"/>
          <w:spacing w:val="-3"/>
          <w:w w:val="105"/>
        </w:rPr>
        <w:t>(Capron</w:t>
      </w:r>
      <w:r>
        <w:rPr>
          <w:color w:val="231F20"/>
          <w:spacing w:val="-18"/>
          <w:w w:val="105"/>
        </w:rPr>
        <w:t> </w:t>
      </w:r>
      <w:r>
        <w:rPr>
          <w:color w:val="231F20"/>
          <w:w w:val="105"/>
        </w:rPr>
        <w:t>y</w:t>
      </w:r>
      <w:r>
        <w:rPr>
          <w:color w:val="231F20"/>
          <w:spacing w:val="-18"/>
          <w:w w:val="105"/>
        </w:rPr>
        <w:t> </w:t>
      </w:r>
      <w:r>
        <w:rPr>
          <w:color w:val="231F20"/>
          <w:w w:val="105"/>
        </w:rPr>
        <w:t>Hulland,</w:t>
      </w:r>
      <w:r>
        <w:rPr>
          <w:color w:val="231F20"/>
          <w:spacing w:val="-23"/>
          <w:w w:val="105"/>
        </w:rPr>
        <w:t> </w:t>
      </w:r>
      <w:r>
        <w:rPr>
          <w:color w:val="231F20"/>
          <w:w w:val="105"/>
        </w:rPr>
        <w:t>1999).</w:t>
      </w:r>
      <w:r>
        <w:rPr>
          <w:color w:val="231F20"/>
          <w:spacing w:val="-26"/>
          <w:w w:val="105"/>
        </w:rPr>
        <w:t> </w:t>
      </w:r>
      <w:r>
        <w:rPr>
          <w:color w:val="231F20"/>
          <w:w w:val="105"/>
        </w:rPr>
        <w:t>Adicionalmente,</w:t>
      </w:r>
      <w:r>
        <w:rPr>
          <w:color w:val="231F20"/>
          <w:spacing w:val="-23"/>
          <w:w w:val="105"/>
        </w:rPr>
        <w:t> </w:t>
      </w:r>
      <w:r>
        <w:rPr>
          <w:color w:val="231F20"/>
          <w:w w:val="105"/>
        </w:rPr>
        <w:t>la</w:t>
      </w:r>
      <w:r>
        <w:rPr>
          <w:color w:val="231F20"/>
          <w:spacing w:val="-18"/>
          <w:w w:val="105"/>
        </w:rPr>
        <w:t> </w:t>
      </w:r>
      <w:r>
        <w:rPr>
          <w:color w:val="231F20"/>
          <w:spacing w:val="-3"/>
          <w:w w:val="105"/>
        </w:rPr>
        <w:t>relación</w:t>
      </w:r>
      <w:r>
        <w:rPr>
          <w:color w:val="231F20"/>
          <w:spacing w:val="-18"/>
          <w:w w:val="105"/>
        </w:rPr>
        <w:t> </w:t>
      </w:r>
      <w:r>
        <w:rPr>
          <w:color w:val="231F20"/>
          <w:w w:val="105"/>
        </w:rPr>
        <w:t>con</w:t>
      </w:r>
      <w:r>
        <w:rPr>
          <w:color w:val="231F20"/>
          <w:spacing w:val="-18"/>
          <w:w w:val="105"/>
        </w:rPr>
        <w:t> </w:t>
      </w:r>
      <w:r>
        <w:rPr>
          <w:color w:val="231F20"/>
          <w:w w:val="105"/>
        </w:rPr>
        <w:t>un</w:t>
      </w:r>
      <w:r>
        <w:rPr>
          <w:color w:val="231F20"/>
          <w:spacing w:val="-18"/>
          <w:w w:val="105"/>
        </w:rPr>
        <w:t> </w:t>
      </w:r>
      <w:r>
        <w:rPr>
          <w:color w:val="231F20"/>
          <w:w w:val="105"/>
        </w:rPr>
        <w:t>competidor </w:t>
      </w:r>
      <w:r>
        <w:rPr>
          <w:color w:val="231F20"/>
          <w:spacing w:val="-3"/>
          <w:w w:val="105"/>
        </w:rPr>
        <w:t>cercano</w:t>
      </w:r>
      <w:r>
        <w:rPr>
          <w:color w:val="231F20"/>
          <w:spacing w:val="-24"/>
          <w:w w:val="105"/>
        </w:rPr>
        <w:t> </w:t>
      </w:r>
      <w:r>
        <w:rPr>
          <w:color w:val="231F20"/>
          <w:w w:val="105"/>
        </w:rPr>
        <w:t>en</w:t>
      </w:r>
      <w:r>
        <w:rPr>
          <w:color w:val="231F20"/>
          <w:spacing w:val="-24"/>
          <w:w w:val="105"/>
        </w:rPr>
        <w:t> </w:t>
      </w:r>
      <w:r>
        <w:rPr>
          <w:color w:val="231F20"/>
          <w:w w:val="105"/>
        </w:rPr>
        <w:t>un</w:t>
      </w:r>
      <w:r>
        <w:rPr>
          <w:color w:val="231F20"/>
          <w:spacing w:val="-24"/>
          <w:w w:val="105"/>
        </w:rPr>
        <w:t> </w:t>
      </w:r>
      <w:r>
        <w:rPr>
          <w:color w:val="231F20"/>
          <w:w w:val="105"/>
        </w:rPr>
        <w:t>contexto</w:t>
      </w:r>
      <w:r>
        <w:rPr>
          <w:color w:val="231F20"/>
          <w:spacing w:val="-24"/>
          <w:w w:val="105"/>
        </w:rPr>
        <w:t> </w:t>
      </w:r>
      <w:r>
        <w:rPr>
          <w:color w:val="231F20"/>
          <w:w w:val="105"/>
        </w:rPr>
        <w:t>de</w:t>
      </w:r>
      <w:r>
        <w:rPr>
          <w:color w:val="231F20"/>
          <w:spacing w:val="-24"/>
          <w:w w:val="105"/>
        </w:rPr>
        <w:t> </w:t>
      </w:r>
      <w:r>
        <w:rPr>
          <w:color w:val="231F20"/>
          <w:spacing w:val="-3"/>
          <w:w w:val="105"/>
        </w:rPr>
        <w:t>mercadotecnia</w:t>
      </w:r>
      <w:r>
        <w:rPr>
          <w:color w:val="231F20"/>
          <w:spacing w:val="-24"/>
          <w:w w:val="105"/>
        </w:rPr>
        <w:t> </w:t>
      </w:r>
      <w:r>
        <w:rPr>
          <w:color w:val="231F20"/>
          <w:w w:val="105"/>
        </w:rPr>
        <w:t>podría</w:t>
      </w:r>
      <w:r>
        <w:rPr>
          <w:color w:val="231F20"/>
          <w:spacing w:val="-24"/>
          <w:w w:val="105"/>
        </w:rPr>
        <w:t> </w:t>
      </w:r>
      <w:r>
        <w:rPr>
          <w:color w:val="231F20"/>
          <w:w w:val="105"/>
        </w:rPr>
        <w:t>no</w:t>
      </w:r>
      <w:r>
        <w:rPr>
          <w:color w:val="231F20"/>
          <w:spacing w:val="-24"/>
          <w:w w:val="105"/>
        </w:rPr>
        <w:t> </w:t>
      </w:r>
      <w:r>
        <w:rPr>
          <w:color w:val="231F20"/>
          <w:w w:val="105"/>
        </w:rPr>
        <w:t>tener</w:t>
      </w:r>
      <w:r>
        <w:rPr>
          <w:color w:val="231F20"/>
          <w:spacing w:val="-24"/>
          <w:w w:val="105"/>
        </w:rPr>
        <w:t> </w:t>
      </w:r>
      <w:r>
        <w:rPr>
          <w:color w:val="231F20"/>
          <w:w w:val="105"/>
        </w:rPr>
        <w:t>una</w:t>
      </w:r>
      <w:r>
        <w:rPr>
          <w:color w:val="231F20"/>
          <w:spacing w:val="-24"/>
          <w:w w:val="105"/>
        </w:rPr>
        <w:t> </w:t>
      </w:r>
      <w:r>
        <w:rPr>
          <w:color w:val="231F20"/>
          <w:w w:val="105"/>
        </w:rPr>
        <w:t>alta</w:t>
      </w:r>
      <w:r>
        <w:rPr>
          <w:color w:val="231F20"/>
          <w:spacing w:val="-24"/>
          <w:w w:val="105"/>
        </w:rPr>
        <w:t> </w:t>
      </w:r>
      <w:r>
        <w:rPr>
          <w:color w:val="231F20"/>
          <w:spacing w:val="-3"/>
          <w:w w:val="105"/>
        </w:rPr>
        <w:t>proba- </w:t>
      </w:r>
      <w:r>
        <w:rPr>
          <w:color w:val="231F20"/>
          <w:w w:val="105"/>
        </w:rPr>
        <w:t>bilidad de exhibir el tipo de </w:t>
      </w:r>
      <w:r>
        <w:rPr>
          <w:color w:val="231F20"/>
          <w:spacing w:val="-3"/>
          <w:w w:val="105"/>
        </w:rPr>
        <w:t>problemas </w:t>
      </w:r>
      <w:r>
        <w:rPr>
          <w:color w:val="231F20"/>
          <w:w w:val="105"/>
        </w:rPr>
        <w:t>de rivalidad </w:t>
      </w:r>
      <w:r>
        <w:rPr>
          <w:color w:val="231F20"/>
          <w:spacing w:val="-3"/>
          <w:w w:val="105"/>
        </w:rPr>
        <w:t>interempresarial </w:t>
      </w:r>
      <w:r>
        <w:rPr>
          <w:color w:val="231F20"/>
          <w:spacing w:val="-2"/>
          <w:w w:val="105"/>
        </w:rPr>
        <w:t>que </w:t>
      </w:r>
      <w:r>
        <w:rPr>
          <w:color w:val="231F20"/>
          <w:spacing w:val="-3"/>
          <w:w w:val="105"/>
        </w:rPr>
        <w:t>erosionan </w:t>
      </w:r>
      <w:r>
        <w:rPr>
          <w:color w:val="231F20"/>
          <w:w w:val="105"/>
        </w:rPr>
        <w:t>los beneficios de las </w:t>
      </w:r>
      <w:r>
        <w:rPr>
          <w:color w:val="231F20"/>
          <w:spacing w:val="-3"/>
          <w:w w:val="105"/>
        </w:rPr>
        <w:t>sinergias </w:t>
      </w:r>
      <w:r>
        <w:rPr>
          <w:color w:val="231F20"/>
          <w:w w:val="105"/>
        </w:rPr>
        <w:t>en las colaboraciones de ma- </w:t>
      </w:r>
      <w:r>
        <w:rPr>
          <w:color w:val="231F20"/>
          <w:spacing w:val="-2"/>
          <w:w w:val="105"/>
        </w:rPr>
        <w:t>nufactura.</w:t>
      </w:r>
      <w:r>
        <w:rPr>
          <w:color w:val="231F20"/>
          <w:spacing w:val="-24"/>
          <w:w w:val="105"/>
        </w:rPr>
        <w:t> </w:t>
      </w:r>
      <w:r>
        <w:rPr>
          <w:color w:val="231F20"/>
          <w:spacing w:val="-7"/>
          <w:w w:val="105"/>
        </w:rPr>
        <w:t>Por</w:t>
      </w:r>
      <w:r>
        <w:rPr>
          <w:color w:val="231F20"/>
          <w:spacing w:val="-20"/>
          <w:w w:val="105"/>
        </w:rPr>
        <w:t> </w:t>
      </w:r>
      <w:r>
        <w:rPr>
          <w:color w:val="231F20"/>
          <w:w w:val="105"/>
        </w:rPr>
        <w:t>ejemplo,</w:t>
      </w:r>
      <w:r>
        <w:rPr>
          <w:color w:val="231F20"/>
          <w:spacing w:val="-24"/>
          <w:w w:val="105"/>
        </w:rPr>
        <w:t> </w:t>
      </w:r>
      <w:r>
        <w:rPr>
          <w:color w:val="231F20"/>
          <w:w w:val="105"/>
        </w:rPr>
        <w:t>las</w:t>
      </w:r>
      <w:r>
        <w:rPr>
          <w:color w:val="231F20"/>
          <w:spacing w:val="-20"/>
          <w:w w:val="105"/>
        </w:rPr>
        <w:t> </w:t>
      </w:r>
      <w:r>
        <w:rPr>
          <w:color w:val="231F20"/>
          <w:spacing w:val="-3"/>
          <w:w w:val="105"/>
        </w:rPr>
        <w:t>empresas</w:t>
      </w:r>
      <w:r>
        <w:rPr>
          <w:color w:val="231F20"/>
          <w:spacing w:val="-20"/>
          <w:w w:val="105"/>
        </w:rPr>
        <w:t> </w:t>
      </w:r>
      <w:r>
        <w:rPr>
          <w:color w:val="231F20"/>
          <w:w w:val="105"/>
        </w:rPr>
        <w:t>se</w:t>
      </w:r>
      <w:r>
        <w:rPr>
          <w:color w:val="231F20"/>
          <w:spacing w:val="-20"/>
          <w:w w:val="105"/>
        </w:rPr>
        <w:t> </w:t>
      </w:r>
      <w:r>
        <w:rPr>
          <w:color w:val="231F20"/>
          <w:w w:val="105"/>
        </w:rPr>
        <w:t>pueden</w:t>
      </w:r>
      <w:r>
        <w:rPr>
          <w:color w:val="231F20"/>
          <w:spacing w:val="-20"/>
          <w:w w:val="105"/>
        </w:rPr>
        <w:t> </w:t>
      </w:r>
      <w:r>
        <w:rPr>
          <w:color w:val="231F20"/>
          <w:w w:val="105"/>
        </w:rPr>
        <w:t>beneficiar</w:t>
      </w:r>
      <w:r>
        <w:rPr>
          <w:color w:val="231F20"/>
          <w:spacing w:val="-20"/>
          <w:w w:val="105"/>
        </w:rPr>
        <w:t> </w:t>
      </w:r>
      <w:r>
        <w:rPr>
          <w:color w:val="231F20"/>
          <w:w w:val="105"/>
        </w:rPr>
        <w:t>de</w:t>
      </w:r>
      <w:r>
        <w:rPr>
          <w:color w:val="231F20"/>
          <w:spacing w:val="-20"/>
          <w:w w:val="105"/>
        </w:rPr>
        <w:t> </w:t>
      </w:r>
      <w:r>
        <w:rPr>
          <w:color w:val="231F20"/>
          <w:w w:val="105"/>
        </w:rPr>
        <w:t>ganancias monopólicas</w:t>
      </w:r>
      <w:r>
        <w:rPr>
          <w:color w:val="231F20"/>
          <w:spacing w:val="-7"/>
          <w:w w:val="105"/>
        </w:rPr>
        <w:t> </w:t>
      </w:r>
      <w:r>
        <w:rPr>
          <w:color w:val="231F20"/>
          <w:w w:val="105"/>
        </w:rPr>
        <w:t>cuando</w:t>
      </w:r>
      <w:r>
        <w:rPr>
          <w:color w:val="231F20"/>
          <w:spacing w:val="-7"/>
          <w:w w:val="105"/>
        </w:rPr>
        <w:t> </w:t>
      </w:r>
      <w:r>
        <w:rPr>
          <w:color w:val="231F20"/>
          <w:w w:val="105"/>
        </w:rPr>
        <w:t>se</w:t>
      </w:r>
      <w:r>
        <w:rPr>
          <w:color w:val="231F20"/>
          <w:spacing w:val="-7"/>
          <w:w w:val="105"/>
        </w:rPr>
        <w:t> </w:t>
      </w:r>
      <w:r>
        <w:rPr>
          <w:color w:val="231F20"/>
          <w:w w:val="105"/>
        </w:rPr>
        <w:t>alían</w:t>
      </w:r>
      <w:r>
        <w:rPr>
          <w:color w:val="231F20"/>
          <w:spacing w:val="-7"/>
          <w:w w:val="105"/>
        </w:rPr>
        <w:t> </w:t>
      </w:r>
      <w:r>
        <w:rPr>
          <w:color w:val="231F20"/>
          <w:w w:val="105"/>
        </w:rPr>
        <w:t>para</w:t>
      </w:r>
      <w:r>
        <w:rPr>
          <w:color w:val="231F20"/>
          <w:spacing w:val="-7"/>
          <w:w w:val="105"/>
        </w:rPr>
        <w:t> </w:t>
      </w:r>
      <w:r>
        <w:rPr>
          <w:color w:val="231F20"/>
          <w:spacing w:val="-3"/>
          <w:w w:val="105"/>
        </w:rPr>
        <w:t>mercadear</w:t>
      </w:r>
      <w:r>
        <w:rPr>
          <w:color w:val="231F20"/>
          <w:spacing w:val="-7"/>
          <w:w w:val="105"/>
        </w:rPr>
        <w:t> </w:t>
      </w:r>
      <w:r>
        <w:rPr>
          <w:color w:val="231F20"/>
          <w:w w:val="105"/>
        </w:rPr>
        <w:t>algún</w:t>
      </w:r>
      <w:r>
        <w:rPr>
          <w:color w:val="231F20"/>
          <w:spacing w:val="-7"/>
          <w:w w:val="105"/>
        </w:rPr>
        <w:t> </w:t>
      </w:r>
      <w:r>
        <w:rPr>
          <w:color w:val="231F20"/>
          <w:spacing w:val="-3"/>
          <w:w w:val="105"/>
        </w:rPr>
        <w:t>producto</w:t>
      </w:r>
      <w:r>
        <w:rPr>
          <w:color w:val="231F20"/>
          <w:spacing w:val="-7"/>
          <w:w w:val="105"/>
        </w:rPr>
        <w:t> </w:t>
      </w:r>
      <w:r>
        <w:rPr>
          <w:color w:val="231F20"/>
          <w:w w:val="105"/>
        </w:rPr>
        <w:t>o</w:t>
      </w:r>
      <w:r>
        <w:rPr>
          <w:color w:val="231F20"/>
          <w:spacing w:val="-7"/>
          <w:w w:val="105"/>
        </w:rPr>
        <w:t> </w:t>
      </w:r>
      <w:r>
        <w:rPr>
          <w:color w:val="231F20"/>
          <w:w w:val="105"/>
        </w:rPr>
        <w:t>servicio </w:t>
      </w:r>
      <w:r>
        <w:rPr>
          <w:color w:val="231F20"/>
          <w:spacing w:val="-5"/>
          <w:w w:val="105"/>
        </w:rPr>
        <w:t>y,</w:t>
      </w:r>
      <w:r>
        <w:rPr>
          <w:color w:val="231F20"/>
          <w:spacing w:val="-16"/>
          <w:w w:val="105"/>
        </w:rPr>
        <w:t> </w:t>
      </w:r>
      <w:r>
        <w:rPr>
          <w:color w:val="231F20"/>
          <w:w w:val="105"/>
        </w:rPr>
        <w:t>con</w:t>
      </w:r>
      <w:r>
        <w:rPr>
          <w:color w:val="231F20"/>
          <w:spacing w:val="-11"/>
          <w:w w:val="105"/>
        </w:rPr>
        <w:t> </w:t>
      </w:r>
      <w:r>
        <w:rPr>
          <w:color w:val="231F20"/>
          <w:w w:val="105"/>
        </w:rPr>
        <w:t>motivo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alianza,</w:t>
      </w:r>
      <w:r>
        <w:rPr>
          <w:color w:val="231F20"/>
          <w:spacing w:val="-16"/>
          <w:w w:val="105"/>
        </w:rPr>
        <w:t> </w:t>
      </w:r>
      <w:r>
        <w:rPr>
          <w:color w:val="231F20"/>
          <w:w w:val="105"/>
        </w:rPr>
        <w:t>extienden</w:t>
      </w:r>
      <w:r>
        <w:rPr>
          <w:color w:val="231F20"/>
          <w:spacing w:val="-11"/>
          <w:w w:val="105"/>
        </w:rPr>
        <w:t> </w:t>
      </w:r>
      <w:r>
        <w:rPr>
          <w:color w:val="231F20"/>
          <w:spacing w:val="-3"/>
          <w:w w:val="105"/>
        </w:rPr>
        <w:t>marcas</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fuerte</w:t>
      </w:r>
      <w:r>
        <w:rPr>
          <w:color w:val="231F20"/>
          <w:spacing w:val="-11"/>
          <w:w w:val="105"/>
        </w:rPr>
        <w:t> </w:t>
      </w:r>
      <w:r>
        <w:rPr>
          <w:color w:val="231F20"/>
          <w:w w:val="105"/>
        </w:rPr>
        <w:t>capital</w:t>
      </w:r>
      <w:r>
        <w:rPr>
          <w:color w:val="231F20"/>
          <w:spacing w:val="-11"/>
          <w:w w:val="105"/>
        </w:rPr>
        <w:t> </w:t>
      </w:r>
      <w:r>
        <w:rPr>
          <w:color w:val="231F20"/>
          <w:w w:val="105"/>
        </w:rPr>
        <w:t>a</w:t>
      </w:r>
      <w:r>
        <w:rPr>
          <w:color w:val="231F20"/>
          <w:spacing w:val="-11"/>
          <w:w w:val="105"/>
        </w:rPr>
        <w:t> </w:t>
      </w:r>
      <w:r>
        <w:rPr>
          <w:color w:val="231F20"/>
          <w:w w:val="105"/>
        </w:rPr>
        <w:t>va- rios</w:t>
      </w:r>
      <w:r>
        <w:rPr>
          <w:color w:val="231F20"/>
          <w:spacing w:val="-27"/>
          <w:w w:val="105"/>
        </w:rPr>
        <w:t> </w:t>
      </w:r>
      <w:r>
        <w:rPr>
          <w:color w:val="231F20"/>
          <w:w w:val="105"/>
        </w:rPr>
        <w:t>de</w:t>
      </w:r>
      <w:r>
        <w:rPr>
          <w:color w:val="231F20"/>
          <w:spacing w:val="-27"/>
          <w:w w:val="105"/>
        </w:rPr>
        <w:t> </w:t>
      </w:r>
      <w:r>
        <w:rPr>
          <w:color w:val="231F20"/>
          <w:w w:val="105"/>
        </w:rPr>
        <w:t>sus</w:t>
      </w:r>
      <w:r>
        <w:rPr>
          <w:color w:val="231F20"/>
          <w:spacing w:val="-27"/>
          <w:w w:val="105"/>
        </w:rPr>
        <w:t> </w:t>
      </w:r>
      <w:r>
        <w:rPr>
          <w:color w:val="231F20"/>
          <w:spacing w:val="-3"/>
          <w:w w:val="105"/>
        </w:rPr>
        <w:t>productos</w:t>
      </w:r>
      <w:r>
        <w:rPr>
          <w:color w:val="231F20"/>
          <w:spacing w:val="-27"/>
          <w:w w:val="105"/>
        </w:rPr>
        <w:t> </w:t>
      </w:r>
      <w:r>
        <w:rPr>
          <w:color w:val="231F20"/>
          <w:w w:val="105"/>
        </w:rPr>
        <w:t>o</w:t>
      </w:r>
      <w:r>
        <w:rPr>
          <w:color w:val="231F20"/>
          <w:spacing w:val="-27"/>
          <w:w w:val="105"/>
        </w:rPr>
        <w:t> </w:t>
      </w:r>
      <w:r>
        <w:rPr>
          <w:color w:val="231F20"/>
          <w:w w:val="105"/>
        </w:rPr>
        <w:t>servicios.</w:t>
      </w:r>
      <w:r>
        <w:rPr>
          <w:color w:val="231F20"/>
          <w:spacing w:val="-32"/>
          <w:w w:val="105"/>
        </w:rPr>
        <w:t> </w:t>
      </w:r>
      <w:r>
        <w:rPr>
          <w:color w:val="231F20"/>
          <w:w w:val="105"/>
        </w:rPr>
        <w:t>Después</w:t>
      </w:r>
      <w:r>
        <w:rPr>
          <w:color w:val="231F20"/>
          <w:spacing w:val="-27"/>
          <w:w w:val="105"/>
        </w:rPr>
        <w:t> </w:t>
      </w:r>
      <w:r>
        <w:rPr>
          <w:color w:val="231F20"/>
          <w:w w:val="105"/>
        </w:rPr>
        <w:t>de</w:t>
      </w:r>
      <w:r>
        <w:rPr>
          <w:color w:val="231F20"/>
          <w:spacing w:val="-27"/>
          <w:w w:val="105"/>
        </w:rPr>
        <w:t> </w:t>
      </w:r>
      <w:r>
        <w:rPr>
          <w:color w:val="231F20"/>
          <w:w w:val="105"/>
        </w:rPr>
        <w:t>todo,</w:t>
      </w:r>
      <w:r>
        <w:rPr>
          <w:color w:val="231F20"/>
          <w:spacing w:val="-32"/>
          <w:w w:val="105"/>
        </w:rPr>
        <w:t> </w:t>
      </w:r>
      <w:r>
        <w:rPr>
          <w:color w:val="231F20"/>
          <w:spacing w:val="-3"/>
          <w:w w:val="105"/>
        </w:rPr>
        <w:t>marcas</w:t>
      </w:r>
      <w:r>
        <w:rPr>
          <w:color w:val="231F20"/>
          <w:spacing w:val="-27"/>
          <w:w w:val="105"/>
        </w:rPr>
        <w:t> </w:t>
      </w:r>
      <w:r>
        <w:rPr>
          <w:color w:val="231F20"/>
          <w:w w:val="105"/>
        </w:rPr>
        <w:t>de</w:t>
      </w:r>
      <w:r>
        <w:rPr>
          <w:color w:val="231F20"/>
          <w:spacing w:val="-27"/>
          <w:w w:val="105"/>
        </w:rPr>
        <w:t> </w:t>
      </w:r>
      <w:r>
        <w:rPr>
          <w:color w:val="231F20"/>
          <w:w w:val="105"/>
        </w:rPr>
        <w:t>alto</w:t>
      </w:r>
      <w:r>
        <w:rPr>
          <w:color w:val="231F20"/>
          <w:spacing w:val="-27"/>
          <w:w w:val="105"/>
        </w:rPr>
        <w:t> </w:t>
      </w:r>
      <w:r>
        <w:rPr>
          <w:color w:val="231F20"/>
          <w:w w:val="105"/>
        </w:rPr>
        <w:t>capital </w:t>
      </w:r>
      <w:r>
        <w:rPr>
          <w:color w:val="231F20"/>
          <w:spacing w:val="-3"/>
          <w:w w:val="105"/>
        </w:rPr>
        <w:t>adquieren</w:t>
      </w:r>
      <w:r>
        <w:rPr>
          <w:color w:val="231F20"/>
          <w:spacing w:val="-24"/>
          <w:w w:val="105"/>
        </w:rPr>
        <w:t> </w:t>
      </w:r>
      <w:r>
        <w:rPr>
          <w:color w:val="231F20"/>
          <w:w w:val="105"/>
        </w:rPr>
        <w:t>un</w:t>
      </w:r>
      <w:r>
        <w:rPr>
          <w:color w:val="231F20"/>
          <w:spacing w:val="-24"/>
          <w:w w:val="105"/>
        </w:rPr>
        <w:t> </w:t>
      </w:r>
      <w:r>
        <w:rPr>
          <w:color w:val="231F20"/>
          <w:spacing w:val="-2"/>
          <w:w w:val="105"/>
        </w:rPr>
        <w:t>considerable</w:t>
      </w:r>
      <w:r>
        <w:rPr>
          <w:color w:val="231F20"/>
          <w:spacing w:val="-24"/>
          <w:w w:val="105"/>
        </w:rPr>
        <w:t> </w:t>
      </w:r>
      <w:r>
        <w:rPr>
          <w:color w:val="231F20"/>
          <w:w w:val="105"/>
        </w:rPr>
        <w:t>valor</w:t>
      </w:r>
      <w:r>
        <w:rPr>
          <w:color w:val="231F20"/>
          <w:spacing w:val="-24"/>
          <w:w w:val="105"/>
        </w:rPr>
        <w:t> </w:t>
      </w:r>
      <w:r>
        <w:rPr>
          <w:color w:val="231F20"/>
          <w:w w:val="105"/>
        </w:rPr>
        <w:t>cuando</w:t>
      </w:r>
      <w:r>
        <w:rPr>
          <w:color w:val="231F20"/>
          <w:spacing w:val="-24"/>
          <w:w w:val="105"/>
        </w:rPr>
        <w:t> </w:t>
      </w:r>
      <w:r>
        <w:rPr>
          <w:color w:val="231F20"/>
          <w:w w:val="105"/>
        </w:rPr>
        <w:t>se</w:t>
      </w:r>
      <w:r>
        <w:rPr>
          <w:color w:val="231F20"/>
          <w:spacing w:val="-24"/>
          <w:w w:val="105"/>
        </w:rPr>
        <w:t> </w:t>
      </w:r>
      <w:r>
        <w:rPr>
          <w:color w:val="231F20"/>
          <w:w w:val="105"/>
        </w:rPr>
        <w:t>extienden</w:t>
      </w:r>
      <w:r>
        <w:rPr>
          <w:color w:val="231F20"/>
          <w:spacing w:val="-24"/>
          <w:w w:val="105"/>
        </w:rPr>
        <w:t> </w:t>
      </w:r>
      <w:r>
        <w:rPr>
          <w:color w:val="231F20"/>
          <w:w w:val="105"/>
        </w:rPr>
        <w:t>a</w:t>
      </w:r>
      <w:r>
        <w:rPr>
          <w:color w:val="231F20"/>
          <w:spacing w:val="-24"/>
          <w:w w:val="105"/>
        </w:rPr>
        <w:t> </w:t>
      </w:r>
      <w:r>
        <w:rPr>
          <w:color w:val="231F20"/>
          <w:w w:val="105"/>
        </w:rPr>
        <w:t>nuevas</w:t>
      </w:r>
      <w:r>
        <w:rPr>
          <w:color w:val="231F20"/>
          <w:spacing w:val="-24"/>
          <w:w w:val="105"/>
        </w:rPr>
        <w:t> </w:t>
      </w:r>
      <w:r>
        <w:rPr>
          <w:color w:val="231F20"/>
          <w:w w:val="105"/>
        </w:rPr>
        <w:t>variantes o</w:t>
      </w:r>
      <w:r>
        <w:rPr>
          <w:color w:val="231F20"/>
          <w:spacing w:val="-12"/>
          <w:w w:val="105"/>
        </w:rPr>
        <w:t> </w:t>
      </w:r>
      <w:r>
        <w:rPr>
          <w:color w:val="231F20"/>
          <w:w w:val="105"/>
        </w:rPr>
        <w:t>categorías</w:t>
      </w:r>
      <w:r>
        <w:rPr>
          <w:color w:val="231F20"/>
          <w:spacing w:val="-12"/>
          <w:w w:val="105"/>
        </w:rPr>
        <w:t> </w:t>
      </w:r>
      <w:r>
        <w:rPr>
          <w:color w:val="231F20"/>
          <w:w w:val="105"/>
        </w:rPr>
        <w:t>de</w:t>
      </w:r>
      <w:r>
        <w:rPr>
          <w:color w:val="231F20"/>
          <w:spacing w:val="-12"/>
          <w:w w:val="105"/>
        </w:rPr>
        <w:t> </w:t>
      </w:r>
      <w:r>
        <w:rPr>
          <w:color w:val="231F20"/>
          <w:spacing w:val="-3"/>
          <w:w w:val="105"/>
        </w:rPr>
        <w:t>productos</w:t>
      </w:r>
      <w:r>
        <w:rPr>
          <w:color w:val="231F20"/>
          <w:spacing w:val="-12"/>
          <w:w w:val="105"/>
        </w:rPr>
        <w:t> </w:t>
      </w:r>
      <w:r>
        <w:rPr>
          <w:color w:val="231F20"/>
          <w:w w:val="105"/>
        </w:rPr>
        <w:t>(Dacin</w:t>
      </w:r>
      <w:r>
        <w:rPr>
          <w:color w:val="231F20"/>
          <w:spacing w:val="-12"/>
          <w:w w:val="105"/>
        </w:rPr>
        <w:t> </w:t>
      </w:r>
      <w:r>
        <w:rPr>
          <w:color w:val="231F20"/>
          <w:w w:val="105"/>
        </w:rPr>
        <w:t>y</w:t>
      </w:r>
      <w:r>
        <w:rPr>
          <w:color w:val="231F20"/>
          <w:spacing w:val="-12"/>
          <w:w w:val="105"/>
        </w:rPr>
        <w:t> </w:t>
      </w:r>
      <w:r>
        <w:rPr>
          <w:color w:val="231F20"/>
          <w:w w:val="105"/>
        </w:rPr>
        <w:t>Smith,</w:t>
      </w:r>
      <w:r>
        <w:rPr>
          <w:color w:val="231F20"/>
          <w:spacing w:val="-17"/>
          <w:w w:val="105"/>
        </w:rPr>
        <w:t> </w:t>
      </w:r>
      <w:r>
        <w:rPr>
          <w:color w:val="231F20"/>
          <w:w w:val="105"/>
        </w:rPr>
        <w:t>1994).</w:t>
      </w:r>
      <w:r>
        <w:rPr>
          <w:color w:val="231F20"/>
          <w:spacing w:val="-21"/>
          <w:w w:val="105"/>
        </w:rPr>
        <w:t> </w:t>
      </w:r>
      <w:r>
        <w:rPr>
          <w:color w:val="231F20"/>
          <w:w w:val="105"/>
        </w:rPr>
        <w:t>Además,</w:t>
      </w:r>
      <w:r>
        <w:rPr>
          <w:color w:val="231F20"/>
          <w:spacing w:val="-17"/>
          <w:w w:val="105"/>
        </w:rPr>
        <w:t> </w:t>
      </w:r>
      <w:r>
        <w:rPr>
          <w:color w:val="231F20"/>
          <w:w w:val="105"/>
        </w:rPr>
        <w:t>debido</w:t>
      </w:r>
      <w:r>
        <w:rPr>
          <w:color w:val="231F20"/>
          <w:spacing w:val="-12"/>
          <w:w w:val="105"/>
        </w:rPr>
        <w:t> </w:t>
      </w:r>
      <w:r>
        <w:rPr>
          <w:color w:val="231F20"/>
          <w:w w:val="105"/>
        </w:rPr>
        <w:t>a</w:t>
      </w:r>
      <w:r>
        <w:rPr>
          <w:color w:val="231F20"/>
          <w:spacing w:val="-12"/>
          <w:w w:val="105"/>
        </w:rPr>
        <w:t> </w:t>
      </w:r>
      <w:r>
        <w:rPr>
          <w:color w:val="231F20"/>
          <w:spacing w:val="-2"/>
          <w:w w:val="105"/>
        </w:rPr>
        <w:t>que </w:t>
      </w:r>
      <w:r>
        <w:rPr>
          <w:color w:val="231F20"/>
          <w:w w:val="105"/>
        </w:rPr>
        <w:t>las</w:t>
      </w:r>
      <w:r>
        <w:rPr>
          <w:color w:val="231F20"/>
          <w:spacing w:val="-32"/>
          <w:w w:val="105"/>
        </w:rPr>
        <w:t> </w:t>
      </w:r>
      <w:r>
        <w:rPr>
          <w:color w:val="231F20"/>
          <w:w w:val="105"/>
        </w:rPr>
        <w:t>extensiones</w:t>
      </w:r>
      <w:r>
        <w:rPr>
          <w:color w:val="231F20"/>
          <w:spacing w:val="-32"/>
          <w:w w:val="105"/>
        </w:rPr>
        <w:t> </w:t>
      </w:r>
      <w:r>
        <w:rPr>
          <w:color w:val="231F20"/>
          <w:w w:val="105"/>
        </w:rPr>
        <w:t>de</w:t>
      </w:r>
      <w:r>
        <w:rPr>
          <w:color w:val="231F20"/>
          <w:spacing w:val="-32"/>
          <w:w w:val="105"/>
        </w:rPr>
        <w:t> </w:t>
      </w:r>
      <w:r>
        <w:rPr>
          <w:color w:val="231F20"/>
          <w:spacing w:val="-3"/>
          <w:w w:val="105"/>
        </w:rPr>
        <w:t>marca</w:t>
      </w:r>
      <w:r>
        <w:rPr>
          <w:color w:val="231F20"/>
          <w:spacing w:val="-32"/>
          <w:w w:val="105"/>
        </w:rPr>
        <w:t> </w:t>
      </w:r>
      <w:r>
        <w:rPr>
          <w:color w:val="231F20"/>
          <w:w w:val="105"/>
        </w:rPr>
        <w:t>no</w:t>
      </w:r>
      <w:r>
        <w:rPr>
          <w:color w:val="231F20"/>
          <w:spacing w:val="-32"/>
          <w:w w:val="105"/>
        </w:rPr>
        <w:t> </w:t>
      </w:r>
      <w:r>
        <w:rPr>
          <w:color w:val="231F20"/>
          <w:spacing w:val="-3"/>
          <w:w w:val="105"/>
        </w:rPr>
        <w:t>requieren</w:t>
      </w:r>
      <w:r>
        <w:rPr>
          <w:color w:val="231F20"/>
          <w:spacing w:val="-32"/>
          <w:w w:val="105"/>
        </w:rPr>
        <w:t> </w:t>
      </w:r>
      <w:r>
        <w:rPr>
          <w:color w:val="231F20"/>
          <w:w w:val="105"/>
        </w:rPr>
        <w:t>de</w:t>
      </w:r>
      <w:r>
        <w:rPr>
          <w:color w:val="231F20"/>
          <w:spacing w:val="-32"/>
          <w:w w:val="105"/>
        </w:rPr>
        <w:t> </w:t>
      </w:r>
      <w:r>
        <w:rPr>
          <w:color w:val="231F20"/>
          <w:w w:val="105"/>
        </w:rPr>
        <w:t>un</w:t>
      </w:r>
      <w:r>
        <w:rPr>
          <w:color w:val="231F20"/>
          <w:spacing w:val="-32"/>
          <w:w w:val="105"/>
        </w:rPr>
        <w:t> </w:t>
      </w:r>
      <w:r>
        <w:rPr>
          <w:color w:val="231F20"/>
          <w:w w:val="105"/>
        </w:rPr>
        <w:t>contacto</w:t>
      </w:r>
      <w:r>
        <w:rPr>
          <w:color w:val="231F20"/>
          <w:spacing w:val="-32"/>
          <w:w w:val="105"/>
        </w:rPr>
        <w:t> </w:t>
      </w:r>
      <w:r>
        <w:rPr>
          <w:color w:val="231F20"/>
          <w:spacing w:val="-3"/>
          <w:w w:val="105"/>
        </w:rPr>
        <w:t>cercano</w:t>
      </w:r>
      <w:r>
        <w:rPr>
          <w:color w:val="231F20"/>
          <w:spacing w:val="-32"/>
          <w:w w:val="105"/>
        </w:rPr>
        <w:t> </w:t>
      </w:r>
      <w:r>
        <w:rPr>
          <w:color w:val="231F20"/>
          <w:w w:val="105"/>
        </w:rPr>
        <w:t>en</w:t>
      </w:r>
      <w:r>
        <w:rPr>
          <w:color w:val="231F20"/>
          <w:spacing w:val="-32"/>
          <w:w w:val="105"/>
        </w:rPr>
        <w:t> </w:t>
      </w:r>
      <w:r>
        <w:rPr>
          <w:color w:val="231F20"/>
          <w:w w:val="105"/>
        </w:rPr>
        <w:t>asuntos </w:t>
      </w:r>
      <w:r>
        <w:rPr>
          <w:color w:val="231F20"/>
          <w:spacing w:val="-3"/>
          <w:w w:val="105"/>
        </w:rPr>
        <w:t>operativos</w:t>
      </w:r>
      <w:r>
        <w:rPr>
          <w:color w:val="231F20"/>
          <w:spacing w:val="-14"/>
          <w:w w:val="105"/>
        </w:rPr>
        <w:t> </w:t>
      </w:r>
      <w:r>
        <w:rPr>
          <w:color w:val="231F20"/>
          <w:w w:val="105"/>
        </w:rPr>
        <w:t>y/o</w:t>
      </w:r>
      <w:r>
        <w:rPr>
          <w:color w:val="231F20"/>
          <w:spacing w:val="-14"/>
          <w:w w:val="105"/>
        </w:rPr>
        <w:t> </w:t>
      </w:r>
      <w:r>
        <w:rPr>
          <w:color w:val="231F20"/>
          <w:spacing w:val="-3"/>
          <w:w w:val="105"/>
        </w:rPr>
        <w:t>administrativos,</w:t>
      </w:r>
      <w:r>
        <w:rPr>
          <w:color w:val="231F20"/>
          <w:spacing w:val="-19"/>
          <w:w w:val="105"/>
        </w:rPr>
        <w:t> </w:t>
      </w:r>
      <w:r>
        <w:rPr>
          <w:color w:val="231F20"/>
          <w:w w:val="105"/>
        </w:rPr>
        <w:t>las</w:t>
      </w:r>
      <w:r>
        <w:rPr>
          <w:color w:val="231F20"/>
          <w:spacing w:val="-14"/>
          <w:w w:val="105"/>
        </w:rPr>
        <w:t> </w:t>
      </w:r>
      <w:r>
        <w:rPr>
          <w:color w:val="231F20"/>
          <w:spacing w:val="-3"/>
          <w:w w:val="105"/>
        </w:rPr>
        <w:t>empresas</w:t>
      </w:r>
      <w:r>
        <w:rPr>
          <w:color w:val="231F20"/>
          <w:spacing w:val="-14"/>
          <w:w w:val="105"/>
        </w:rPr>
        <w:t> </w:t>
      </w:r>
      <w:r>
        <w:rPr>
          <w:color w:val="231F20"/>
          <w:w w:val="105"/>
        </w:rPr>
        <w:t>aliadas</w:t>
      </w:r>
      <w:r>
        <w:rPr>
          <w:color w:val="231F20"/>
          <w:spacing w:val="-14"/>
          <w:w w:val="105"/>
        </w:rPr>
        <w:t> </w:t>
      </w:r>
      <w:r>
        <w:rPr>
          <w:color w:val="231F20"/>
          <w:w w:val="105"/>
        </w:rPr>
        <w:t>tienen</w:t>
      </w:r>
      <w:r>
        <w:rPr>
          <w:color w:val="231F20"/>
          <w:spacing w:val="-14"/>
          <w:w w:val="105"/>
        </w:rPr>
        <w:t> </w:t>
      </w:r>
      <w:r>
        <w:rPr>
          <w:color w:val="231F20"/>
          <w:w w:val="105"/>
        </w:rPr>
        <w:t>pocas</w:t>
      </w:r>
      <w:r>
        <w:rPr>
          <w:color w:val="231F20"/>
          <w:spacing w:val="-14"/>
          <w:w w:val="105"/>
        </w:rPr>
        <w:t> </w:t>
      </w:r>
      <w:r>
        <w:rPr>
          <w:color w:val="231F20"/>
          <w:spacing w:val="-3"/>
          <w:w w:val="105"/>
        </w:rPr>
        <w:t>proba- </w:t>
      </w:r>
      <w:r>
        <w:rPr>
          <w:color w:val="231F20"/>
          <w:w w:val="105"/>
        </w:rPr>
        <w:t>bilidades</w:t>
      </w:r>
      <w:r>
        <w:rPr>
          <w:color w:val="231F20"/>
          <w:spacing w:val="-6"/>
          <w:w w:val="105"/>
        </w:rPr>
        <w:t> </w:t>
      </w:r>
      <w:r>
        <w:rPr>
          <w:color w:val="231F20"/>
          <w:w w:val="105"/>
        </w:rPr>
        <w:t>de</w:t>
      </w:r>
      <w:r>
        <w:rPr>
          <w:color w:val="231F20"/>
          <w:spacing w:val="-6"/>
          <w:w w:val="105"/>
        </w:rPr>
        <w:t> </w:t>
      </w:r>
      <w:r>
        <w:rPr>
          <w:color w:val="231F20"/>
          <w:w w:val="105"/>
        </w:rPr>
        <w:t>enfrascarse</w:t>
      </w:r>
      <w:r>
        <w:rPr>
          <w:color w:val="231F20"/>
          <w:spacing w:val="-6"/>
          <w:w w:val="105"/>
        </w:rPr>
        <w:t> </w:t>
      </w:r>
      <w:r>
        <w:rPr>
          <w:color w:val="231F20"/>
          <w:w w:val="105"/>
        </w:rPr>
        <w:t>en</w:t>
      </w:r>
      <w:r>
        <w:rPr>
          <w:color w:val="231F20"/>
          <w:spacing w:val="-6"/>
          <w:w w:val="105"/>
        </w:rPr>
        <w:t> </w:t>
      </w:r>
      <w:r>
        <w:rPr>
          <w:color w:val="231F20"/>
          <w:w w:val="105"/>
        </w:rPr>
        <w:t>luchas</w:t>
      </w:r>
      <w:r>
        <w:rPr>
          <w:color w:val="231F20"/>
          <w:spacing w:val="-6"/>
          <w:w w:val="105"/>
        </w:rPr>
        <w:t> </w:t>
      </w:r>
      <w:r>
        <w:rPr>
          <w:color w:val="231F20"/>
          <w:w w:val="105"/>
        </w:rPr>
        <w:t>de</w:t>
      </w:r>
      <w:r>
        <w:rPr>
          <w:color w:val="231F20"/>
          <w:spacing w:val="-6"/>
          <w:w w:val="105"/>
        </w:rPr>
        <w:t> </w:t>
      </w:r>
      <w:r>
        <w:rPr>
          <w:color w:val="231F20"/>
          <w:w w:val="105"/>
        </w:rPr>
        <w:t>poder</w:t>
      </w:r>
      <w:r>
        <w:rPr>
          <w:color w:val="231F20"/>
          <w:spacing w:val="-6"/>
          <w:w w:val="105"/>
        </w:rPr>
        <w:t> </w:t>
      </w:r>
      <w:r>
        <w:rPr>
          <w:color w:val="231F20"/>
          <w:w w:val="105"/>
        </w:rPr>
        <w:t>y</w:t>
      </w:r>
      <w:r>
        <w:rPr>
          <w:color w:val="231F20"/>
          <w:spacing w:val="-6"/>
          <w:w w:val="105"/>
        </w:rPr>
        <w:t> </w:t>
      </w:r>
      <w:r>
        <w:rPr>
          <w:color w:val="231F20"/>
          <w:w w:val="105"/>
        </w:rPr>
        <w:t>otras</w:t>
      </w:r>
      <w:r>
        <w:rPr>
          <w:color w:val="231F20"/>
          <w:spacing w:val="-6"/>
          <w:w w:val="105"/>
        </w:rPr>
        <w:t> </w:t>
      </w:r>
      <w:r>
        <w:rPr>
          <w:color w:val="231F20"/>
          <w:w w:val="105"/>
        </w:rPr>
        <w:t>formas</w:t>
      </w:r>
      <w:r>
        <w:rPr>
          <w:color w:val="231F20"/>
          <w:spacing w:val="-6"/>
          <w:w w:val="105"/>
        </w:rPr>
        <w:t> </w:t>
      </w:r>
      <w:r>
        <w:rPr>
          <w:color w:val="231F20"/>
          <w:w w:val="105"/>
        </w:rPr>
        <w:t>de</w:t>
      </w:r>
      <w:r>
        <w:rPr>
          <w:color w:val="231F20"/>
          <w:spacing w:val="-6"/>
          <w:w w:val="105"/>
        </w:rPr>
        <w:t> </w:t>
      </w:r>
      <w:r>
        <w:rPr>
          <w:color w:val="231F20"/>
          <w:spacing w:val="-3"/>
          <w:w w:val="105"/>
        </w:rPr>
        <w:t>compor- </w:t>
      </w:r>
      <w:r>
        <w:rPr>
          <w:color w:val="231F20"/>
          <w:w w:val="105"/>
        </w:rPr>
        <w:t>tamiento no </w:t>
      </w:r>
      <w:r>
        <w:rPr>
          <w:color w:val="231F20"/>
          <w:spacing w:val="-3"/>
          <w:w w:val="105"/>
        </w:rPr>
        <w:t>cooperativo </w:t>
      </w:r>
      <w:r>
        <w:rPr>
          <w:color w:val="231F20"/>
          <w:spacing w:val="-2"/>
          <w:w w:val="105"/>
        </w:rPr>
        <w:t>(p. </w:t>
      </w:r>
      <w:r>
        <w:rPr>
          <w:color w:val="231F20"/>
          <w:w w:val="105"/>
        </w:rPr>
        <w:t>ej. espiarse uno al </w:t>
      </w:r>
      <w:r>
        <w:rPr>
          <w:color w:val="231F20"/>
          <w:spacing w:val="-3"/>
          <w:w w:val="105"/>
        </w:rPr>
        <w:t>otro) </w:t>
      </w:r>
      <w:r>
        <w:rPr>
          <w:color w:val="231F20"/>
          <w:w w:val="105"/>
        </w:rPr>
        <w:t>que podrían </w:t>
      </w:r>
      <w:r>
        <w:rPr>
          <w:color w:val="231F20"/>
          <w:spacing w:val="-2"/>
          <w:w w:val="105"/>
        </w:rPr>
        <w:t>elevar </w:t>
      </w:r>
      <w:r>
        <w:rPr>
          <w:color w:val="231F20"/>
          <w:w w:val="105"/>
        </w:rPr>
        <w:t>el</w:t>
      </w:r>
      <w:r>
        <w:rPr>
          <w:color w:val="231F20"/>
          <w:spacing w:val="-28"/>
          <w:w w:val="105"/>
        </w:rPr>
        <w:t> </w:t>
      </w:r>
      <w:r>
        <w:rPr>
          <w:color w:val="231F20"/>
          <w:w w:val="105"/>
        </w:rPr>
        <w:t>costo</w:t>
      </w:r>
      <w:r>
        <w:rPr>
          <w:color w:val="231F20"/>
          <w:spacing w:val="-28"/>
          <w:w w:val="105"/>
        </w:rPr>
        <w:t> </w:t>
      </w:r>
      <w:r>
        <w:rPr>
          <w:color w:val="231F20"/>
          <w:w w:val="105"/>
        </w:rPr>
        <w:t>de</w:t>
      </w:r>
      <w:r>
        <w:rPr>
          <w:color w:val="231F20"/>
          <w:spacing w:val="-28"/>
          <w:w w:val="105"/>
        </w:rPr>
        <w:t> </w:t>
      </w:r>
      <w:r>
        <w:rPr>
          <w:color w:val="231F20"/>
          <w:w w:val="105"/>
        </w:rPr>
        <w:t>mantener</w:t>
      </w:r>
      <w:r>
        <w:rPr>
          <w:color w:val="231F20"/>
          <w:spacing w:val="-28"/>
          <w:w w:val="105"/>
        </w:rPr>
        <w:t> </w:t>
      </w:r>
      <w:r>
        <w:rPr>
          <w:color w:val="231F20"/>
          <w:w w:val="105"/>
        </w:rPr>
        <w:t>la</w:t>
      </w:r>
      <w:r>
        <w:rPr>
          <w:color w:val="231F20"/>
          <w:spacing w:val="-28"/>
          <w:w w:val="105"/>
        </w:rPr>
        <w:t> </w:t>
      </w:r>
      <w:r>
        <w:rPr>
          <w:color w:val="231F20"/>
          <w:w w:val="105"/>
        </w:rPr>
        <w:t>alianza</w:t>
      </w:r>
      <w:r>
        <w:rPr>
          <w:color w:val="231F20"/>
          <w:spacing w:val="-28"/>
          <w:w w:val="105"/>
        </w:rPr>
        <w:t> </w:t>
      </w:r>
      <w:r>
        <w:rPr>
          <w:color w:val="231F20"/>
          <w:w w:val="105"/>
        </w:rPr>
        <w:t>por</w:t>
      </w:r>
      <w:r>
        <w:rPr>
          <w:color w:val="231F20"/>
          <w:spacing w:val="-28"/>
          <w:w w:val="105"/>
        </w:rPr>
        <w:t> </w:t>
      </w:r>
      <w:r>
        <w:rPr>
          <w:color w:val="231F20"/>
          <w:w w:val="105"/>
        </w:rPr>
        <w:t>arriba</w:t>
      </w:r>
      <w:r>
        <w:rPr>
          <w:color w:val="231F20"/>
          <w:spacing w:val="-28"/>
          <w:w w:val="105"/>
        </w:rPr>
        <w:t> </w:t>
      </w:r>
      <w:r>
        <w:rPr>
          <w:color w:val="231F20"/>
          <w:w w:val="105"/>
        </w:rPr>
        <w:t>de</w:t>
      </w:r>
      <w:r>
        <w:rPr>
          <w:color w:val="231F20"/>
          <w:spacing w:val="-28"/>
          <w:w w:val="105"/>
        </w:rPr>
        <w:t> </w:t>
      </w:r>
      <w:r>
        <w:rPr>
          <w:color w:val="231F20"/>
          <w:w w:val="105"/>
        </w:rPr>
        <w:t>sus</w:t>
      </w:r>
      <w:r>
        <w:rPr>
          <w:color w:val="231F20"/>
          <w:spacing w:val="-28"/>
          <w:w w:val="105"/>
        </w:rPr>
        <w:t> </w:t>
      </w:r>
      <w:r>
        <w:rPr>
          <w:color w:val="231F20"/>
          <w:w w:val="105"/>
        </w:rPr>
        <w:t>potenciales</w:t>
      </w:r>
      <w:r>
        <w:rPr>
          <w:color w:val="231F20"/>
          <w:spacing w:val="-28"/>
          <w:w w:val="105"/>
        </w:rPr>
        <w:t> </w:t>
      </w:r>
      <w:r>
        <w:rPr>
          <w:color w:val="231F20"/>
          <w:w w:val="105"/>
        </w:rPr>
        <w:t>beneficios.</w:t>
      </w:r>
    </w:p>
    <w:p>
      <w:pPr>
        <w:pStyle w:val="BodyText"/>
        <w:spacing w:line="259" w:lineRule="auto"/>
        <w:ind w:left="103" w:right="115" w:firstLine="567"/>
        <w:jc w:val="both"/>
      </w:pPr>
      <w:r>
        <w:rPr>
          <w:color w:val="231F20"/>
          <w:w w:val="105"/>
        </w:rPr>
        <w:t>Una</w:t>
      </w:r>
      <w:r>
        <w:rPr>
          <w:color w:val="231F20"/>
          <w:spacing w:val="-38"/>
          <w:w w:val="105"/>
        </w:rPr>
        <w:t> </w:t>
      </w:r>
      <w:r>
        <w:rPr>
          <w:color w:val="231F20"/>
          <w:w w:val="105"/>
        </w:rPr>
        <w:t>síntesis</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argumentos</w:t>
      </w:r>
      <w:r>
        <w:rPr>
          <w:color w:val="231F20"/>
          <w:spacing w:val="-38"/>
          <w:w w:val="105"/>
        </w:rPr>
        <w:t> </w:t>
      </w:r>
      <w:r>
        <w:rPr>
          <w:color w:val="231F20"/>
          <w:w w:val="105"/>
        </w:rPr>
        <w:t>precedentes,</w:t>
      </w:r>
      <w:r>
        <w:rPr>
          <w:color w:val="231F20"/>
          <w:spacing w:val="-42"/>
          <w:w w:val="105"/>
        </w:rPr>
        <w:t> </w:t>
      </w:r>
      <w:r>
        <w:rPr>
          <w:color w:val="231F20"/>
          <w:w w:val="105"/>
        </w:rPr>
        <w:t>yuxtapuesta</w:t>
      </w:r>
      <w:r>
        <w:rPr>
          <w:color w:val="231F20"/>
          <w:spacing w:val="-38"/>
          <w:w w:val="105"/>
        </w:rPr>
        <w:t> </w:t>
      </w:r>
      <w:r>
        <w:rPr>
          <w:color w:val="231F20"/>
          <w:w w:val="105"/>
        </w:rPr>
        <w:t>con</w:t>
      </w:r>
      <w:r>
        <w:rPr>
          <w:color w:val="231F20"/>
          <w:spacing w:val="-38"/>
          <w:w w:val="105"/>
        </w:rPr>
        <w:t> </w:t>
      </w:r>
      <w:r>
        <w:rPr>
          <w:color w:val="231F20"/>
          <w:w w:val="105"/>
        </w:rPr>
        <w:t>la</w:t>
      </w:r>
      <w:r>
        <w:rPr>
          <w:color w:val="231F20"/>
          <w:spacing w:val="-38"/>
          <w:w w:val="105"/>
        </w:rPr>
        <w:t> </w:t>
      </w:r>
      <w:r>
        <w:rPr>
          <w:color w:val="231F20"/>
          <w:w w:val="105"/>
        </w:rPr>
        <w:t>su- posición</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beneficios</w:t>
      </w:r>
      <w:r>
        <w:rPr>
          <w:color w:val="231F20"/>
          <w:spacing w:val="-13"/>
          <w:w w:val="105"/>
        </w:rPr>
        <w:t> </w:t>
      </w:r>
      <w:r>
        <w:rPr>
          <w:color w:val="231F20"/>
          <w:w w:val="105"/>
        </w:rPr>
        <w:t>o</w:t>
      </w:r>
      <w:r>
        <w:rPr>
          <w:color w:val="231F20"/>
          <w:spacing w:val="-13"/>
          <w:w w:val="105"/>
        </w:rPr>
        <w:t> </w:t>
      </w:r>
      <w:r>
        <w:rPr>
          <w:color w:val="231F20"/>
          <w:w w:val="105"/>
        </w:rPr>
        <w:t>costos</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alianza</w:t>
      </w:r>
      <w:r>
        <w:rPr>
          <w:color w:val="231F20"/>
          <w:spacing w:val="-13"/>
          <w:w w:val="105"/>
        </w:rPr>
        <w:t> </w:t>
      </w:r>
      <w:r>
        <w:rPr>
          <w:color w:val="231F20"/>
          <w:w w:val="105"/>
        </w:rPr>
        <w:t>tarde</w:t>
      </w:r>
      <w:r>
        <w:rPr>
          <w:color w:val="231F20"/>
          <w:spacing w:val="-13"/>
          <w:w w:val="105"/>
        </w:rPr>
        <w:t> </w:t>
      </w:r>
      <w:r>
        <w:rPr>
          <w:color w:val="231F20"/>
          <w:w w:val="105"/>
        </w:rPr>
        <w:t>o</w:t>
      </w:r>
      <w:r>
        <w:rPr>
          <w:color w:val="231F20"/>
          <w:spacing w:val="-13"/>
          <w:w w:val="105"/>
        </w:rPr>
        <w:t> </w:t>
      </w:r>
      <w:r>
        <w:rPr>
          <w:color w:val="231F20"/>
          <w:w w:val="105"/>
        </w:rPr>
        <w:t>temprano se</w:t>
      </w:r>
      <w:r>
        <w:rPr>
          <w:color w:val="231F20"/>
          <w:spacing w:val="-18"/>
          <w:w w:val="105"/>
        </w:rPr>
        <w:t> </w:t>
      </w:r>
      <w:r>
        <w:rPr>
          <w:color w:val="231F20"/>
          <w:w w:val="105"/>
        </w:rPr>
        <w:t>reflejan</w:t>
      </w:r>
      <w:r>
        <w:rPr>
          <w:color w:val="231F20"/>
          <w:spacing w:val="-18"/>
          <w:w w:val="105"/>
        </w:rPr>
        <w:t> </w:t>
      </w:r>
      <w:r>
        <w:rPr>
          <w:color w:val="231F20"/>
          <w:w w:val="105"/>
        </w:rPr>
        <w:t>en</w:t>
      </w:r>
      <w:r>
        <w:rPr>
          <w:color w:val="231F20"/>
          <w:spacing w:val="-18"/>
          <w:w w:val="105"/>
        </w:rPr>
        <w:t> </w:t>
      </w:r>
      <w:r>
        <w:rPr>
          <w:color w:val="231F20"/>
          <w:w w:val="105"/>
        </w:rPr>
        <w:t>indicadores</w:t>
      </w:r>
      <w:r>
        <w:rPr>
          <w:color w:val="231F20"/>
          <w:spacing w:val="-18"/>
          <w:w w:val="105"/>
        </w:rPr>
        <w:t> </w:t>
      </w:r>
      <w:r>
        <w:rPr>
          <w:color w:val="231F20"/>
          <w:w w:val="105"/>
        </w:rPr>
        <w:t>contables</w:t>
      </w:r>
      <w:r>
        <w:rPr>
          <w:color w:val="231F20"/>
          <w:spacing w:val="-18"/>
          <w:w w:val="105"/>
        </w:rPr>
        <w:t> </w:t>
      </w:r>
      <w:r>
        <w:rPr>
          <w:color w:val="231F20"/>
          <w:w w:val="105"/>
        </w:rPr>
        <w:t>de</w:t>
      </w:r>
      <w:r>
        <w:rPr>
          <w:color w:val="231F20"/>
          <w:spacing w:val="-18"/>
          <w:w w:val="105"/>
        </w:rPr>
        <w:t> </w:t>
      </w:r>
      <w:r>
        <w:rPr>
          <w:color w:val="231F20"/>
          <w:w w:val="105"/>
        </w:rPr>
        <w:t>rentabilidad</w:t>
      </w:r>
      <w:r>
        <w:rPr>
          <w:color w:val="231F20"/>
          <w:spacing w:val="-18"/>
          <w:w w:val="105"/>
        </w:rPr>
        <w:t> </w:t>
      </w:r>
      <w:r>
        <w:rPr>
          <w:color w:val="231F20"/>
          <w:w w:val="105"/>
        </w:rPr>
        <w:t>empresarial</w:t>
      </w:r>
      <w:r>
        <w:rPr>
          <w:color w:val="231F20"/>
          <w:spacing w:val="-18"/>
          <w:w w:val="105"/>
        </w:rPr>
        <w:t> </w:t>
      </w:r>
      <w:r>
        <w:rPr>
          <w:color w:val="231F20"/>
          <w:w w:val="105"/>
        </w:rPr>
        <w:t>como</w:t>
      </w:r>
      <w:r>
        <w:rPr>
          <w:color w:val="231F20"/>
          <w:spacing w:val="-18"/>
          <w:w w:val="105"/>
        </w:rPr>
        <w:t> </w:t>
      </w:r>
      <w:r>
        <w:rPr>
          <w:color w:val="231F20"/>
          <w:w w:val="105"/>
        </w:rPr>
        <w:t>el ROA,</w:t>
      </w:r>
      <w:r>
        <w:rPr>
          <w:color w:val="231F20"/>
          <w:spacing w:val="-38"/>
          <w:w w:val="105"/>
        </w:rPr>
        <w:t> </w:t>
      </w:r>
      <w:r>
        <w:rPr>
          <w:color w:val="231F20"/>
          <w:w w:val="105"/>
        </w:rPr>
        <w:t>sugiere</w:t>
      </w:r>
      <w:r>
        <w:rPr>
          <w:color w:val="231F20"/>
          <w:spacing w:val="-34"/>
          <w:w w:val="105"/>
        </w:rPr>
        <w:t> </w:t>
      </w:r>
      <w:r>
        <w:rPr>
          <w:color w:val="231F20"/>
          <w:w w:val="105"/>
        </w:rPr>
        <w:t>las</w:t>
      </w:r>
      <w:r>
        <w:rPr>
          <w:color w:val="231F20"/>
          <w:spacing w:val="-34"/>
          <w:w w:val="105"/>
        </w:rPr>
        <w:t> </w:t>
      </w:r>
      <w:r>
        <w:rPr>
          <w:color w:val="231F20"/>
          <w:w w:val="105"/>
        </w:rPr>
        <w:t>siguientes</w:t>
      </w:r>
      <w:r>
        <w:rPr>
          <w:color w:val="231F20"/>
          <w:spacing w:val="-34"/>
          <w:w w:val="105"/>
        </w:rPr>
        <w:t> </w:t>
      </w:r>
      <w:r>
        <w:rPr>
          <w:color w:val="231F20"/>
          <w:w w:val="105"/>
        </w:rPr>
        <w:t>hipótesis:</w:t>
      </w:r>
    </w:p>
    <w:p>
      <w:pPr>
        <w:pStyle w:val="BodyText"/>
        <w:spacing w:line="259" w:lineRule="auto"/>
        <w:ind w:left="103" w:right="115" w:firstLine="567"/>
        <w:jc w:val="both"/>
      </w:pPr>
      <w:r>
        <w:rPr>
          <w:color w:val="231F20"/>
          <w:w w:val="105"/>
        </w:rPr>
        <w:t>Hipótesis</w:t>
      </w:r>
      <w:r>
        <w:rPr>
          <w:color w:val="231F20"/>
          <w:spacing w:val="-15"/>
          <w:w w:val="105"/>
        </w:rPr>
        <w:t> </w:t>
      </w:r>
      <w:r>
        <w:rPr>
          <w:color w:val="231F20"/>
          <w:w w:val="105"/>
        </w:rPr>
        <w:t>1.</w:t>
      </w:r>
      <w:r>
        <w:rPr>
          <w:color w:val="231F20"/>
          <w:spacing w:val="-19"/>
          <w:w w:val="105"/>
        </w:rPr>
        <w:t> </w:t>
      </w:r>
      <w:r>
        <w:rPr>
          <w:color w:val="231F20"/>
          <w:w w:val="105"/>
        </w:rPr>
        <w:t>El</w:t>
      </w:r>
      <w:r>
        <w:rPr>
          <w:color w:val="231F20"/>
          <w:spacing w:val="-15"/>
          <w:w w:val="105"/>
        </w:rPr>
        <w:t> </w:t>
      </w:r>
      <w:r>
        <w:rPr>
          <w:color w:val="231F20"/>
          <w:w w:val="105"/>
        </w:rPr>
        <w:t>ROA</w:t>
      </w:r>
      <w:r>
        <w:rPr>
          <w:color w:val="231F20"/>
          <w:spacing w:val="-18"/>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empresas</w:t>
      </w:r>
      <w:r>
        <w:rPr>
          <w:color w:val="231F20"/>
          <w:spacing w:val="-15"/>
          <w:w w:val="105"/>
        </w:rPr>
        <w:t> </w:t>
      </w:r>
      <w:r>
        <w:rPr>
          <w:color w:val="231F20"/>
          <w:w w:val="105"/>
        </w:rPr>
        <w:t>difiere</w:t>
      </w:r>
      <w:r>
        <w:rPr>
          <w:color w:val="231F20"/>
          <w:spacing w:val="-15"/>
          <w:w w:val="105"/>
        </w:rPr>
        <w:t> </w:t>
      </w:r>
      <w:r>
        <w:rPr>
          <w:color w:val="231F20"/>
          <w:w w:val="105"/>
        </w:rPr>
        <w:t>significativamente</w:t>
      </w:r>
      <w:r>
        <w:rPr>
          <w:color w:val="231F20"/>
          <w:spacing w:val="-15"/>
          <w:w w:val="105"/>
        </w:rPr>
        <w:t> </w:t>
      </w:r>
      <w:r>
        <w:rPr>
          <w:color w:val="231F20"/>
          <w:w w:val="105"/>
        </w:rPr>
        <w:t>an- tes y después de la formación de una </w:t>
      </w:r>
      <w:r>
        <w:rPr>
          <w:i/>
          <w:color w:val="231F20"/>
          <w:w w:val="105"/>
        </w:rPr>
        <w:t>joint venture </w:t>
      </w:r>
      <w:r>
        <w:rPr>
          <w:color w:val="231F20"/>
          <w:w w:val="105"/>
        </w:rPr>
        <w:t>de mercadotecnia</w:t>
      </w:r>
      <w:r>
        <w:rPr>
          <w:color w:val="231F20"/>
          <w:spacing w:val="-19"/>
          <w:w w:val="105"/>
        </w:rPr>
        <w:t> </w:t>
      </w:r>
      <w:r>
        <w:rPr>
          <w:color w:val="231F20"/>
          <w:w w:val="105"/>
        </w:rPr>
        <w:t>o de</w:t>
      </w:r>
      <w:r>
        <w:rPr>
          <w:color w:val="231F20"/>
          <w:spacing w:val="-32"/>
          <w:w w:val="105"/>
        </w:rPr>
        <w:t> </w:t>
      </w:r>
      <w:r>
        <w:rPr>
          <w:color w:val="231F20"/>
          <w:w w:val="105"/>
        </w:rPr>
        <w:t>manufactura</w:t>
      </w:r>
    </w:p>
    <w:p>
      <w:pPr>
        <w:pStyle w:val="BodyText"/>
        <w:spacing w:line="259" w:lineRule="auto"/>
        <w:ind w:left="104" w:right="111" w:firstLine="566"/>
        <w:jc w:val="both"/>
      </w:pPr>
      <w:r>
        <w:rPr>
          <w:color w:val="231F20"/>
          <w:w w:val="105"/>
        </w:rPr>
        <w:t>Hipótesis</w:t>
      </w:r>
      <w:r>
        <w:rPr>
          <w:color w:val="231F20"/>
          <w:spacing w:val="-12"/>
          <w:w w:val="105"/>
        </w:rPr>
        <w:t> </w:t>
      </w:r>
      <w:r>
        <w:rPr>
          <w:color w:val="231F20"/>
          <w:w w:val="105"/>
        </w:rPr>
        <w:t>2.</w:t>
      </w:r>
      <w:r>
        <w:rPr>
          <w:color w:val="231F20"/>
          <w:spacing w:val="-17"/>
          <w:w w:val="105"/>
        </w:rPr>
        <w:t> </w:t>
      </w:r>
      <w:r>
        <w:rPr>
          <w:color w:val="231F20"/>
          <w:w w:val="105"/>
        </w:rPr>
        <w:t>Después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formación</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i/>
          <w:color w:val="231F20"/>
          <w:w w:val="105"/>
        </w:rPr>
        <w:t>joint</w:t>
      </w:r>
      <w:r>
        <w:rPr>
          <w:i/>
          <w:color w:val="231F20"/>
          <w:spacing w:val="-12"/>
          <w:w w:val="105"/>
        </w:rPr>
        <w:t> </w:t>
      </w:r>
      <w:r>
        <w:rPr>
          <w:i/>
          <w:color w:val="231F20"/>
          <w:w w:val="105"/>
        </w:rPr>
        <w:t>venture</w:t>
      </w:r>
      <w:r>
        <w:rPr>
          <w:color w:val="231F20"/>
          <w:w w:val="105"/>
        </w:rPr>
        <w:t>,</w:t>
      </w:r>
      <w:r>
        <w:rPr>
          <w:color w:val="231F20"/>
          <w:spacing w:val="-17"/>
          <w:w w:val="105"/>
        </w:rPr>
        <w:t> </w:t>
      </w:r>
      <w:r>
        <w:rPr>
          <w:color w:val="231F20"/>
          <w:w w:val="105"/>
        </w:rPr>
        <w:t>el</w:t>
      </w:r>
      <w:r>
        <w:rPr>
          <w:color w:val="231F20"/>
          <w:spacing w:val="-12"/>
          <w:w w:val="105"/>
        </w:rPr>
        <w:t> </w:t>
      </w:r>
      <w:r>
        <w:rPr>
          <w:color w:val="231F20"/>
          <w:w w:val="105"/>
        </w:rPr>
        <w:t>ROA de</w:t>
      </w:r>
      <w:r>
        <w:rPr>
          <w:color w:val="231F20"/>
          <w:spacing w:val="-11"/>
          <w:w w:val="105"/>
        </w:rPr>
        <w:t> </w:t>
      </w:r>
      <w:r>
        <w:rPr>
          <w:color w:val="231F20"/>
          <w:w w:val="105"/>
        </w:rPr>
        <w:t>las</w:t>
      </w:r>
      <w:r>
        <w:rPr>
          <w:color w:val="231F20"/>
          <w:spacing w:val="-11"/>
          <w:w w:val="105"/>
        </w:rPr>
        <w:t> </w:t>
      </w:r>
      <w:r>
        <w:rPr>
          <w:color w:val="231F20"/>
          <w:w w:val="105"/>
        </w:rPr>
        <w:t>empresas</w:t>
      </w:r>
      <w:r>
        <w:rPr>
          <w:color w:val="231F20"/>
          <w:spacing w:val="-11"/>
          <w:w w:val="105"/>
        </w:rPr>
        <w:t> </w:t>
      </w:r>
      <w:r>
        <w:rPr>
          <w:color w:val="231F20"/>
          <w:w w:val="105"/>
        </w:rPr>
        <w:t>que</w:t>
      </w:r>
      <w:r>
        <w:rPr>
          <w:color w:val="231F20"/>
          <w:spacing w:val="-11"/>
          <w:w w:val="105"/>
        </w:rPr>
        <w:t> </w:t>
      </w:r>
      <w:r>
        <w:rPr>
          <w:color w:val="231F20"/>
          <w:w w:val="105"/>
        </w:rPr>
        <w:t>colaboran</w:t>
      </w:r>
      <w:r>
        <w:rPr>
          <w:color w:val="231F20"/>
          <w:spacing w:val="-11"/>
          <w:w w:val="105"/>
        </w:rPr>
        <w:t> </w:t>
      </w:r>
      <w:r>
        <w:rPr>
          <w:color w:val="231F20"/>
          <w:w w:val="105"/>
        </w:rPr>
        <w:t>en</w:t>
      </w:r>
      <w:r>
        <w:rPr>
          <w:color w:val="231F20"/>
          <w:spacing w:val="-11"/>
          <w:w w:val="105"/>
        </w:rPr>
        <w:t> </w:t>
      </w:r>
      <w:r>
        <w:rPr>
          <w:color w:val="231F20"/>
          <w:w w:val="105"/>
        </w:rPr>
        <w:t>mercadotecnia</w:t>
      </w:r>
      <w:r>
        <w:rPr>
          <w:color w:val="231F20"/>
          <w:spacing w:val="-11"/>
          <w:w w:val="105"/>
        </w:rPr>
        <w:t> </w:t>
      </w:r>
      <w:r>
        <w:rPr>
          <w:color w:val="231F20"/>
          <w:w w:val="105"/>
        </w:rPr>
        <w:t>es</w:t>
      </w:r>
      <w:r>
        <w:rPr>
          <w:color w:val="231F20"/>
          <w:spacing w:val="-11"/>
          <w:w w:val="105"/>
        </w:rPr>
        <w:t> </w:t>
      </w:r>
      <w:r>
        <w:rPr>
          <w:color w:val="231F20"/>
          <w:w w:val="105"/>
        </w:rPr>
        <w:t>significativamente más</w:t>
      </w:r>
      <w:r>
        <w:rPr>
          <w:color w:val="231F20"/>
          <w:spacing w:val="-16"/>
          <w:w w:val="105"/>
        </w:rPr>
        <w:t> </w:t>
      </w:r>
      <w:r>
        <w:rPr>
          <w:color w:val="231F20"/>
          <w:w w:val="105"/>
        </w:rPr>
        <w:t>alto</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de</w:t>
      </w:r>
      <w:r>
        <w:rPr>
          <w:color w:val="231F20"/>
          <w:spacing w:val="-16"/>
          <w:w w:val="105"/>
        </w:rPr>
        <w:t> </w:t>
      </w:r>
      <w:r>
        <w:rPr>
          <w:color w:val="231F20"/>
          <w:w w:val="105"/>
        </w:rPr>
        <w:t>aquéllas</w:t>
      </w:r>
      <w:r>
        <w:rPr>
          <w:color w:val="231F20"/>
          <w:spacing w:val="-16"/>
          <w:w w:val="105"/>
        </w:rPr>
        <w:t> </w:t>
      </w:r>
      <w:r>
        <w:rPr>
          <w:color w:val="231F20"/>
          <w:w w:val="105"/>
        </w:rPr>
        <w:t>que</w:t>
      </w:r>
      <w:r>
        <w:rPr>
          <w:color w:val="231F20"/>
          <w:spacing w:val="-16"/>
          <w:w w:val="105"/>
        </w:rPr>
        <w:t> </w:t>
      </w:r>
      <w:r>
        <w:rPr>
          <w:color w:val="231F20"/>
          <w:w w:val="105"/>
        </w:rPr>
        <w:t>lo</w:t>
      </w:r>
      <w:r>
        <w:rPr>
          <w:color w:val="231F20"/>
          <w:spacing w:val="-16"/>
          <w:w w:val="105"/>
        </w:rPr>
        <w:t> </w:t>
      </w:r>
      <w:r>
        <w:rPr>
          <w:color w:val="231F20"/>
          <w:w w:val="105"/>
        </w:rPr>
        <w:t>hacen</w:t>
      </w:r>
      <w:r>
        <w:rPr>
          <w:color w:val="231F20"/>
          <w:spacing w:val="-16"/>
          <w:w w:val="105"/>
        </w:rPr>
        <w:t> </w:t>
      </w:r>
      <w:r>
        <w:rPr>
          <w:color w:val="231F20"/>
          <w:w w:val="105"/>
        </w:rPr>
        <w:t>en</w:t>
      </w:r>
      <w:r>
        <w:rPr>
          <w:color w:val="231F20"/>
          <w:spacing w:val="-16"/>
          <w:w w:val="105"/>
        </w:rPr>
        <w:t> </w:t>
      </w:r>
      <w:r>
        <w:rPr>
          <w:color w:val="231F20"/>
          <w:w w:val="105"/>
        </w:rPr>
        <w:t>manufactura</w:t>
      </w:r>
    </w:p>
    <w:p>
      <w:pPr>
        <w:pStyle w:val="BodyText"/>
        <w:rPr>
          <w:sz w:val="20"/>
        </w:rPr>
      </w:pPr>
    </w:p>
    <w:p>
      <w:pPr>
        <w:pStyle w:val="BodyText"/>
        <w:spacing w:before="7"/>
        <w:rPr>
          <w:sz w:val="18"/>
        </w:rPr>
      </w:pPr>
    </w:p>
    <w:p>
      <w:pPr>
        <w:pStyle w:val="Heading2"/>
        <w:ind w:left="103"/>
      </w:pPr>
      <w:r>
        <w:rPr>
          <w:color w:val="231F20"/>
        </w:rPr>
        <w:t>Método de investigación</w:t>
      </w:r>
    </w:p>
    <w:p>
      <w:pPr>
        <w:pStyle w:val="BodyText"/>
        <w:rPr>
          <w:b/>
          <w:sz w:val="22"/>
        </w:rPr>
      </w:pPr>
    </w:p>
    <w:p>
      <w:pPr>
        <w:pStyle w:val="BodyText"/>
        <w:spacing w:before="2"/>
        <w:rPr>
          <w:b/>
          <w:sz w:val="18"/>
        </w:rPr>
      </w:pPr>
    </w:p>
    <w:p>
      <w:pPr>
        <w:spacing w:before="0"/>
        <w:ind w:left="103" w:right="0" w:firstLine="0"/>
        <w:jc w:val="both"/>
        <w:rPr>
          <w:i/>
          <w:sz w:val="21"/>
        </w:rPr>
      </w:pPr>
      <w:r>
        <w:rPr>
          <w:i/>
          <w:color w:val="231F20"/>
          <w:sz w:val="21"/>
        </w:rPr>
        <w:t>Datos y muestra</w:t>
      </w:r>
    </w:p>
    <w:p>
      <w:pPr>
        <w:pStyle w:val="BodyText"/>
        <w:spacing w:before="4"/>
        <w:rPr>
          <w:i/>
          <w:sz w:val="16"/>
        </w:rPr>
      </w:pPr>
    </w:p>
    <w:p>
      <w:pPr>
        <w:pStyle w:val="BodyText"/>
        <w:spacing w:line="259" w:lineRule="auto"/>
        <w:ind w:left="103" w:right="115"/>
        <w:jc w:val="both"/>
      </w:pPr>
      <w:r>
        <w:rPr>
          <w:color w:val="231F20"/>
        </w:rPr>
        <w:t>En este estudio se utilizó una muestra de datos secundarios (archivados) extraída de la base de datos SDC© Platinum. Esta fuente es un  producto</w:t>
      </w:r>
    </w:p>
    <w:p>
      <w:pPr>
        <w:pStyle w:val="BodyText"/>
        <w:rPr>
          <w:sz w:val="20"/>
        </w:rPr>
      </w:pPr>
    </w:p>
    <w:p>
      <w:pPr>
        <w:pStyle w:val="BodyText"/>
        <w:spacing w:before="1"/>
        <w:rPr>
          <w:sz w:val="26"/>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234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144</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608"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145</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rPr>
          <w:sz w:val="20"/>
        </w:rPr>
      </w:pPr>
    </w:p>
    <w:p>
      <w:pPr>
        <w:pStyle w:val="BodyText"/>
        <w:spacing w:line="259" w:lineRule="auto"/>
        <w:ind w:left="117" w:right="114"/>
        <w:jc w:val="both"/>
      </w:pPr>
      <w:r>
        <w:rPr>
          <w:color w:val="231F20"/>
          <w:w w:val="105"/>
        </w:rPr>
        <w:t>de la afamada firma Thompson Routers© y contiene información</w:t>
      </w:r>
      <w:r>
        <w:rPr>
          <w:color w:val="231F20"/>
          <w:spacing w:val="-14"/>
          <w:w w:val="105"/>
        </w:rPr>
        <w:t> </w:t>
      </w:r>
      <w:r>
        <w:rPr>
          <w:color w:val="231F20"/>
          <w:w w:val="105"/>
        </w:rPr>
        <w:t>sobre las</w:t>
      </w:r>
      <w:r>
        <w:rPr>
          <w:color w:val="231F20"/>
          <w:spacing w:val="-22"/>
          <w:w w:val="105"/>
        </w:rPr>
        <w:t> </w:t>
      </w:r>
      <w:r>
        <w:rPr>
          <w:color w:val="231F20"/>
          <w:w w:val="105"/>
        </w:rPr>
        <w:t>alianzas</w:t>
      </w:r>
      <w:r>
        <w:rPr>
          <w:color w:val="231F20"/>
          <w:spacing w:val="-22"/>
          <w:w w:val="105"/>
        </w:rPr>
        <w:t> </w:t>
      </w:r>
      <w:r>
        <w:rPr>
          <w:color w:val="231F20"/>
          <w:w w:val="105"/>
        </w:rPr>
        <w:t>y</w:t>
      </w:r>
      <w:r>
        <w:rPr>
          <w:color w:val="231F20"/>
          <w:spacing w:val="-22"/>
          <w:w w:val="105"/>
        </w:rPr>
        <w:t> </w:t>
      </w:r>
      <w:r>
        <w:rPr>
          <w:i/>
          <w:color w:val="231F20"/>
          <w:w w:val="105"/>
        </w:rPr>
        <w:t>joint</w:t>
      </w:r>
      <w:r>
        <w:rPr>
          <w:i/>
          <w:color w:val="231F20"/>
          <w:spacing w:val="-22"/>
          <w:w w:val="105"/>
        </w:rPr>
        <w:t> </w:t>
      </w:r>
      <w:r>
        <w:rPr>
          <w:i/>
          <w:color w:val="231F20"/>
          <w:w w:val="105"/>
        </w:rPr>
        <w:t>venture</w:t>
      </w:r>
      <w:r>
        <w:rPr>
          <w:color w:val="231F20"/>
          <w:w w:val="105"/>
        </w:rPr>
        <w:t>s</w:t>
      </w:r>
      <w:r>
        <w:rPr>
          <w:color w:val="231F20"/>
          <w:spacing w:val="-22"/>
          <w:w w:val="105"/>
        </w:rPr>
        <w:t> </w:t>
      </w:r>
      <w:r>
        <w:rPr>
          <w:color w:val="231F20"/>
          <w:w w:val="105"/>
        </w:rPr>
        <w:t>llevadas</w:t>
      </w:r>
      <w:r>
        <w:rPr>
          <w:color w:val="231F20"/>
          <w:spacing w:val="-22"/>
          <w:w w:val="105"/>
        </w:rPr>
        <w:t> </w:t>
      </w:r>
      <w:r>
        <w:rPr>
          <w:color w:val="231F20"/>
          <w:w w:val="105"/>
        </w:rPr>
        <w:t>a</w:t>
      </w:r>
      <w:r>
        <w:rPr>
          <w:color w:val="231F20"/>
          <w:spacing w:val="-22"/>
          <w:w w:val="105"/>
        </w:rPr>
        <w:t> </w:t>
      </w:r>
      <w:r>
        <w:rPr>
          <w:color w:val="231F20"/>
          <w:w w:val="105"/>
        </w:rPr>
        <w:t>cabo</w:t>
      </w:r>
      <w:r>
        <w:rPr>
          <w:color w:val="231F20"/>
          <w:spacing w:val="-22"/>
          <w:w w:val="105"/>
        </w:rPr>
        <w:t> </w:t>
      </w:r>
      <w:r>
        <w:rPr>
          <w:color w:val="231F20"/>
          <w:w w:val="105"/>
        </w:rPr>
        <w:t>por</w:t>
      </w:r>
      <w:r>
        <w:rPr>
          <w:color w:val="231F20"/>
          <w:spacing w:val="-22"/>
          <w:w w:val="105"/>
        </w:rPr>
        <w:t> </w:t>
      </w:r>
      <w:r>
        <w:rPr>
          <w:color w:val="231F20"/>
          <w:w w:val="105"/>
        </w:rPr>
        <w:t>muchas</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empresas más importantes en el mundo. </w:t>
      </w:r>
      <w:r>
        <w:rPr>
          <w:color w:val="231F20"/>
          <w:spacing w:val="-6"/>
          <w:w w:val="105"/>
        </w:rPr>
        <w:t>Por </w:t>
      </w:r>
      <w:r>
        <w:rPr>
          <w:color w:val="231F20"/>
          <w:w w:val="105"/>
        </w:rPr>
        <w:t>motivos de disponibilidad de datos, sólo</w:t>
      </w:r>
      <w:r>
        <w:rPr>
          <w:color w:val="231F20"/>
          <w:spacing w:val="-34"/>
          <w:w w:val="105"/>
        </w:rPr>
        <w:t> </w:t>
      </w:r>
      <w:r>
        <w:rPr>
          <w:color w:val="231F20"/>
          <w:w w:val="105"/>
        </w:rPr>
        <w:t>aquéllas</w:t>
      </w:r>
      <w:r>
        <w:rPr>
          <w:color w:val="231F20"/>
          <w:spacing w:val="-34"/>
          <w:w w:val="105"/>
        </w:rPr>
        <w:t> </w:t>
      </w:r>
      <w:r>
        <w:rPr>
          <w:color w:val="231F20"/>
          <w:w w:val="105"/>
        </w:rPr>
        <w:t>empresas</w:t>
      </w:r>
      <w:r>
        <w:rPr>
          <w:color w:val="231F20"/>
          <w:spacing w:val="-34"/>
          <w:w w:val="105"/>
        </w:rPr>
        <w:t> </w:t>
      </w:r>
      <w:r>
        <w:rPr>
          <w:color w:val="231F20"/>
          <w:w w:val="105"/>
        </w:rPr>
        <w:t>que</w:t>
      </w:r>
      <w:r>
        <w:rPr>
          <w:color w:val="231F20"/>
          <w:spacing w:val="-34"/>
          <w:w w:val="105"/>
        </w:rPr>
        <w:t> </w:t>
      </w:r>
      <w:r>
        <w:rPr>
          <w:color w:val="231F20"/>
          <w:w w:val="105"/>
        </w:rPr>
        <w:t>cotizan</w:t>
      </w:r>
      <w:r>
        <w:rPr>
          <w:color w:val="231F20"/>
          <w:spacing w:val="-34"/>
          <w:w w:val="105"/>
        </w:rPr>
        <w:t> </w:t>
      </w:r>
      <w:r>
        <w:rPr>
          <w:color w:val="231F20"/>
          <w:w w:val="105"/>
        </w:rPr>
        <w:t>en</w:t>
      </w:r>
      <w:r>
        <w:rPr>
          <w:color w:val="231F20"/>
          <w:spacing w:val="-34"/>
          <w:w w:val="105"/>
        </w:rPr>
        <w:t> </w:t>
      </w:r>
      <w:r>
        <w:rPr>
          <w:color w:val="231F20"/>
          <w:w w:val="105"/>
        </w:rPr>
        <w:t>un</w:t>
      </w:r>
      <w:r>
        <w:rPr>
          <w:color w:val="231F20"/>
          <w:spacing w:val="-34"/>
          <w:w w:val="105"/>
        </w:rPr>
        <w:t> </w:t>
      </w:r>
      <w:r>
        <w:rPr>
          <w:color w:val="231F20"/>
          <w:w w:val="105"/>
        </w:rPr>
        <w:t>mercado</w:t>
      </w:r>
      <w:r>
        <w:rPr>
          <w:color w:val="231F20"/>
          <w:spacing w:val="-34"/>
          <w:w w:val="105"/>
        </w:rPr>
        <w:t> </w:t>
      </w:r>
      <w:r>
        <w:rPr>
          <w:color w:val="231F20"/>
          <w:w w:val="105"/>
        </w:rPr>
        <w:t>de</w:t>
      </w:r>
      <w:r>
        <w:rPr>
          <w:color w:val="231F20"/>
          <w:spacing w:val="-34"/>
          <w:w w:val="105"/>
        </w:rPr>
        <w:t> </w:t>
      </w:r>
      <w:r>
        <w:rPr>
          <w:color w:val="231F20"/>
          <w:w w:val="105"/>
        </w:rPr>
        <w:t>valores</w:t>
      </w:r>
      <w:r>
        <w:rPr>
          <w:color w:val="231F20"/>
          <w:spacing w:val="-34"/>
          <w:w w:val="105"/>
        </w:rPr>
        <w:t> </w:t>
      </w:r>
      <w:r>
        <w:rPr>
          <w:color w:val="231F20"/>
          <w:w w:val="105"/>
        </w:rPr>
        <w:t>en</w:t>
      </w:r>
      <w:r>
        <w:rPr>
          <w:color w:val="231F20"/>
          <w:spacing w:val="-34"/>
          <w:w w:val="105"/>
        </w:rPr>
        <w:t> </w:t>
      </w:r>
      <w:r>
        <w:rPr>
          <w:color w:val="231F20"/>
          <w:w w:val="105"/>
        </w:rPr>
        <w:t>Estados Unidos</w:t>
      </w:r>
      <w:r>
        <w:rPr>
          <w:color w:val="231F20"/>
          <w:spacing w:val="-13"/>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anunciaron</w:t>
      </w:r>
      <w:r>
        <w:rPr>
          <w:color w:val="231F20"/>
          <w:spacing w:val="-13"/>
          <w:w w:val="105"/>
        </w:rPr>
        <w:t> </w:t>
      </w:r>
      <w:r>
        <w:rPr>
          <w:color w:val="231F20"/>
          <w:w w:val="105"/>
        </w:rPr>
        <w:t>una</w:t>
      </w:r>
      <w:r>
        <w:rPr>
          <w:color w:val="231F20"/>
          <w:spacing w:val="-13"/>
          <w:w w:val="105"/>
        </w:rPr>
        <w:t> </w:t>
      </w:r>
      <w:r>
        <w:rPr>
          <w:color w:val="231F20"/>
          <w:w w:val="105"/>
        </w:rPr>
        <w:t>o</w:t>
      </w:r>
      <w:r>
        <w:rPr>
          <w:color w:val="231F20"/>
          <w:spacing w:val="-13"/>
          <w:w w:val="105"/>
        </w:rPr>
        <w:t> </w:t>
      </w:r>
      <w:r>
        <w:rPr>
          <w:color w:val="231F20"/>
          <w:w w:val="105"/>
        </w:rPr>
        <w:t>más</w:t>
      </w:r>
      <w:r>
        <w:rPr>
          <w:color w:val="231F20"/>
          <w:spacing w:val="-13"/>
          <w:w w:val="105"/>
        </w:rPr>
        <w:t> </w:t>
      </w:r>
      <w:r>
        <w:rPr>
          <w:i/>
          <w:color w:val="231F20"/>
          <w:w w:val="105"/>
        </w:rPr>
        <w:t>joint</w:t>
      </w:r>
      <w:r>
        <w:rPr>
          <w:i/>
          <w:color w:val="231F20"/>
          <w:spacing w:val="-13"/>
          <w:w w:val="105"/>
        </w:rPr>
        <w:t> </w:t>
      </w:r>
      <w:r>
        <w:rPr>
          <w:i/>
          <w:color w:val="231F20"/>
          <w:w w:val="105"/>
        </w:rPr>
        <w:t>venture</w:t>
      </w:r>
      <w:r>
        <w:rPr>
          <w:color w:val="231F20"/>
          <w:w w:val="105"/>
        </w:rPr>
        <w:t>s</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años</w:t>
      </w:r>
      <w:r>
        <w:rPr>
          <w:color w:val="231F20"/>
          <w:spacing w:val="-13"/>
          <w:w w:val="105"/>
        </w:rPr>
        <w:t> </w:t>
      </w:r>
      <w:r>
        <w:rPr>
          <w:color w:val="231F20"/>
          <w:w w:val="105"/>
        </w:rPr>
        <w:t>2000</w:t>
      </w:r>
      <w:r>
        <w:rPr>
          <w:color w:val="231F20"/>
          <w:spacing w:val="-13"/>
          <w:w w:val="105"/>
        </w:rPr>
        <w:t> </w:t>
      </w:r>
      <w:r>
        <w:rPr>
          <w:color w:val="231F20"/>
          <w:w w:val="105"/>
        </w:rPr>
        <w:t>y 2003 fueron tomadas en consideración. Este filtro permitió obtener</w:t>
      </w:r>
      <w:r>
        <w:rPr>
          <w:color w:val="231F20"/>
          <w:spacing w:val="-27"/>
          <w:w w:val="105"/>
        </w:rPr>
        <w:t> </w:t>
      </w:r>
      <w:r>
        <w:rPr>
          <w:color w:val="231F20"/>
          <w:w w:val="105"/>
        </w:rPr>
        <w:t>una muestra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que</w:t>
      </w:r>
      <w:r>
        <w:rPr>
          <w:color w:val="231F20"/>
          <w:spacing w:val="-21"/>
          <w:w w:val="105"/>
        </w:rPr>
        <w:t> </w:t>
      </w:r>
      <w:r>
        <w:rPr>
          <w:color w:val="231F20"/>
          <w:w w:val="105"/>
        </w:rPr>
        <w:t>fuese</w:t>
      </w:r>
      <w:r>
        <w:rPr>
          <w:color w:val="231F20"/>
          <w:spacing w:val="-21"/>
          <w:w w:val="105"/>
        </w:rPr>
        <w:t> </w:t>
      </w:r>
      <w:r>
        <w:rPr>
          <w:color w:val="231F20"/>
          <w:w w:val="105"/>
        </w:rPr>
        <w:t>posible</w:t>
      </w:r>
      <w:r>
        <w:rPr>
          <w:color w:val="231F20"/>
          <w:spacing w:val="-21"/>
          <w:w w:val="105"/>
        </w:rPr>
        <w:t> </w:t>
      </w:r>
      <w:r>
        <w:rPr>
          <w:color w:val="231F20"/>
          <w:w w:val="105"/>
        </w:rPr>
        <w:t>conseguir</w:t>
      </w:r>
      <w:r>
        <w:rPr>
          <w:color w:val="231F20"/>
          <w:spacing w:val="-21"/>
          <w:w w:val="105"/>
        </w:rPr>
        <w:t> </w:t>
      </w:r>
      <w:r>
        <w:rPr>
          <w:color w:val="231F20"/>
          <w:w w:val="105"/>
        </w:rPr>
        <w:t>información</w:t>
      </w:r>
      <w:r>
        <w:rPr>
          <w:color w:val="231F20"/>
          <w:spacing w:val="-21"/>
          <w:w w:val="105"/>
        </w:rPr>
        <w:t> </w:t>
      </w:r>
      <w:r>
        <w:rPr>
          <w:color w:val="231F20"/>
          <w:w w:val="105"/>
        </w:rPr>
        <w:t>contable</w:t>
      </w:r>
      <w:r>
        <w:rPr>
          <w:color w:val="231F20"/>
          <w:spacing w:val="-21"/>
          <w:w w:val="105"/>
        </w:rPr>
        <w:t> </w:t>
      </w:r>
      <w:r>
        <w:rPr>
          <w:color w:val="231F20"/>
          <w:w w:val="105"/>
        </w:rPr>
        <w:t>extraída directamente</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estados</w:t>
      </w:r>
      <w:r>
        <w:rPr>
          <w:color w:val="231F20"/>
          <w:spacing w:val="-23"/>
          <w:w w:val="105"/>
        </w:rPr>
        <w:t> </w:t>
      </w:r>
      <w:r>
        <w:rPr>
          <w:color w:val="231F20"/>
          <w:w w:val="105"/>
        </w:rPr>
        <w:t>financieros</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organizaciones</w:t>
      </w:r>
      <w:r>
        <w:rPr>
          <w:color w:val="231F20"/>
          <w:spacing w:val="-23"/>
          <w:w w:val="105"/>
        </w:rPr>
        <w:t> </w:t>
      </w:r>
      <w:r>
        <w:rPr>
          <w:color w:val="231F20"/>
          <w:w w:val="105"/>
        </w:rPr>
        <w:t>involucra- das. La información contable se obtuvo de la base de datos </w:t>
      </w:r>
      <w:r>
        <w:rPr>
          <w:i/>
          <w:color w:val="231F20"/>
          <w:w w:val="105"/>
        </w:rPr>
        <w:t>Standard</w:t>
      </w:r>
      <w:r>
        <w:rPr>
          <w:i/>
          <w:color w:val="231F20"/>
          <w:spacing w:val="-41"/>
          <w:w w:val="105"/>
        </w:rPr>
        <w:t> </w:t>
      </w:r>
      <w:r>
        <w:rPr>
          <w:i/>
          <w:color w:val="231F20"/>
          <w:w w:val="105"/>
        </w:rPr>
        <w:t>y </w:t>
      </w:r>
      <w:r>
        <w:rPr>
          <w:i/>
          <w:color w:val="231F20"/>
          <w:spacing w:val="-3"/>
          <w:w w:val="105"/>
        </w:rPr>
        <w:t>Poor´s</w:t>
      </w:r>
      <w:r>
        <w:rPr>
          <w:i/>
          <w:color w:val="231F20"/>
          <w:spacing w:val="-39"/>
          <w:w w:val="105"/>
        </w:rPr>
        <w:t> </w:t>
      </w:r>
      <w:r>
        <w:rPr>
          <w:i/>
          <w:color w:val="231F20"/>
          <w:w w:val="105"/>
        </w:rPr>
        <w:t>Compustat</w:t>
      </w:r>
      <w:r>
        <w:rPr>
          <w:color w:val="231F20"/>
          <w:w w:val="105"/>
        </w:rPr>
        <w:t>®.</w:t>
      </w:r>
      <w:r>
        <w:rPr>
          <w:color w:val="231F20"/>
          <w:spacing w:val="-42"/>
          <w:w w:val="105"/>
        </w:rPr>
        <w:t> </w:t>
      </w:r>
      <w:r>
        <w:rPr>
          <w:color w:val="231F20"/>
          <w:spacing w:val="-4"/>
          <w:w w:val="105"/>
        </w:rPr>
        <w:t>Para</w:t>
      </w:r>
      <w:r>
        <w:rPr>
          <w:color w:val="231F20"/>
          <w:spacing w:val="-39"/>
          <w:w w:val="105"/>
        </w:rPr>
        <w:t> </w:t>
      </w:r>
      <w:r>
        <w:rPr>
          <w:color w:val="231F20"/>
          <w:w w:val="105"/>
        </w:rPr>
        <w:t>evitar</w:t>
      </w:r>
      <w:r>
        <w:rPr>
          <w:color w:val="231F20"/>
          <w:spacing w:val="-39"/>
          <w:w w:val="105"/>
        </w:rPr>
        <w:t> </w:t>
      </w:r>
      <w:r>
        <w:rPr>
          <w:color w:val="231F20"/>
          <w:w w:val="105"/>
        </w:rPr>
        <w:t>una</w:t>
      </w:r>
      <w:r>
        <w:rPr>
          <w:color w:val="231F20"/>
          <w:spacing w:val="-39"/>
          <w:w w:val="105"/>
        </w:rPr>
        <w:t> </w:t>
      </w:r>
      <w:r>
        <w:rPr>
          <w:color w:val="231F20"/>
          <w:w w:val="105"/>
        </w:rPr>
        <w:t>complejidad</w:t>
      </w:r>
      <w:r>
        <w:rPr>
          <w:color w:val="231F20"/>
          <w:spacing w:val="-39"/>
          <w:w w:val="105"/>
        </w:rPr>
        <w:t> </w:t>
      </w:r>
      <w:r>
        <w:rPr>
          <w:color w:val="231F20"/>
          <w:w w:val="105"/>
        </w:rPr>
        <w:t>excesiva</w:t>
      </w:r>
      <w:r>
        <w:rPr>
          <w:color w:val="231F20"/>
          <w:spacing w:val="-39"/>
          <w:w w:val="105"/>
        </w:rPr>
        <w:t> </w:t>
      </w:r>
      <w:r>
        <w:rPr>
          <w:color w:val="231F20"/>
          <w:w w:val="105"/>
        </w:rPr>
        <w:t>en</w:t>
      </w:r>
      <w:r>
        <w:rPr>
          <w:color w:val="231F20"/>
          <w:spacing w:val="-39"/>
          <w:w w:val="105"/>
        </w:rPr>
        <w:t> </w:t>
      </w:r>
      <w:r>
        <w:rPr>
          <w:color w:val="231F20"/>
          <w:w w:val="105"/>
        </w:rPr>
        <w:t>el</w:t>
      </w:r>
      <w:r>
        <w:rPr>
          <w:color w:val="231F20"/>
          <w:spacing w:val="-39"/>
          <w:w w:val="105"/>
        </w:rPr>
        <w:t> </w:t>
      </w:r>
      <w:r>
        <w:rPr>
          <w:color w:val="231F20"/>
          <w:w w:val="105"/>
        </w:rPr>
        <w:t>análisis,</w:t>
      </w:r>
      <w:r>
        <w:rPr>
          <w:color w:val="231F20"/>
          <w:spacing w:val="-42"/>
          <w:w w:val="105"/>
        </w:rPr>
        <w:t> </w:t>
      </w:r>
      <w:r>
        <w:rPr>
          <w:color w:val="231F20"/>
          <w:w w:val="105"/>
        </w:rPr>
        <w:t>la muestra</w:t>
      </w:r>
      <w:r>
        <w:rPr>
          <w:color w:val="231F20"/>
          <w:spacing w:val="-27"/>
          <w:w w:val="105"/>
        </w:rPr>
        <w:t> </w:t>
      </w:r>
      <w:r>
        <w:rPr>
          <w:color w:val="231F20"/>
          <w:w w:val="105"/>
        </w:rPr>
        <w:t>se</w:t>
      </w:r>
      <w:r>
        <w:rPr>
          <w:color w:val="231F20"/>
          <w:spacing w:val="-27"/>
          <w:w w:val="105"/>
        </w:rPr>
        <w:t> </w:t>
      </w:r>
      <w:r>
        <w:rPr>
          <w:color w:val="231F20"/>
          <w:w w:val="105"/>
        </w:rPr>
        <w:t>restringió</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w w:val="105"/>
        </w:rPr>
        <w:t>alianzas</w:t>
      </w:r>
      <w:r>
        <w:rPr>
          <w:color w:val="231F20"/>
          <w:spacing w:val="-27"/>
          <w:w w:val="105"/>
        </w:rPr>
        <w:t> </w:t>
      </w:r>
      <w:r>
        <w:rPr>
          <w:color w:val="231F20"/>
          <w:w w:val="105"/>
        </w:rPr>
        <w:t>formadas</w:t>
      </w:r>
      <w:r>
        <w:rPr>
          <w:color w:val="231F20"/>
          <w:spacing w:val="-27"/>
          <w:w w:val="105"/>
        </w:rPr>
        <w:t> </w:t>
      </w:r>
      <w:r>
        <w:rPr>
          <w:color w:val="231F20"/>
          <w:w w:val="105"/>
        </w:rPr>
        <w:t>por</w:t>
      </w:r>
      <w:r>
        <w:rPr>
          <w:color w:val="231F20"/>
          <w:spacing w:val="-27"/>
          <w:w w:val="105"/>
        </w:rPr>
        <w:t> </w:t>
      </w:r>
      <w:r>
        <w:rPr>
          <w:color w:val="231F20"/>
          <w:w w:val="105"/>
        </w:rPr>
        <w:t>sólo</w:t>
      </w:r>
      <w:r>
        <w:rPr>
          <w:color w:val="231F20"/>
          <w:spacing w:val="-27"/>
          <w:w w:val="105"/>
        </w:rPr>
        <w:t> </w:t>
      </w:r>
      <w:r>
        <w:rPr>
          <w:color w:val="231F20"/>
          <w:w w:val="105"/>
        </w:rPr>
        <w:t>dos</w:t>
      </w:r>
      <w:r>
        <w:rPr>
          <w:color w:val="231F20"/>
          <w:spacing w:val="-27"/>
          <w:w w:val="105"/>
        </w:rPr>
        <w:t> </w:t>
      </w:r>
      <w:r>
        <w:rPr>
          <w:color w:val="231F20"/>
          <w:w w:val="105"/>
        </w:rPr>
        <w:t>empresas.</w:t>
      </w:r>
    </w:p>
    <w:p>
      <w:pPr>
        <w:pStyle w:val="BodyText"/>
        <w:spacing w:line="259" w:lineRule="auto"/>
        <w:ind w:left="117" w:right="115" w:firstLine="567"/>
        <w:jc w:val="both"/>
      </w:pPr>
      <w:r>
        <w:rPr>
          <w:color w:val="231F20"/>
        </w:rPr>
        <w:t>SDC Platinum contiene datos sobre 6476 </w:t>
      </w:r>
      <w:r>
        <w:rPr>
          <w:i/>
          <w:color w:val="231F20"/>
        </w:rPr>
        <w:t>joint venture</w:t>
      </w:r>
      <w:r>
        <w:rPr>
          <w:color w:val="231F20"/>
        </w:rPr>
        <w:t>s formadas entre dos organizaciones. En 1383 de estos casos, al menos una de las empresas participantes reportó información contable públicamente dis- ponible de acuerdo con lo reportado en Compustat. Con posterioridad      a la eliminación de los casos en que ninguna de las organizaciones en la alianza competía principalmente en el sector manufacturero, y estaba ba- sada en Estados Unidos, sólo 334 restaron en la muestra. Después de re- visar</w:t>
      </w:r>
      <w:r>
        <w:rPr>
          <w:color w:val="231F20"/>
          <w:spacing w:val="-8"/>
        </w:rPr>
        <w:t> </w:t>
      </w:r>
      <w:r>
        <w:rPr>
          <w:color w:val="231F20"/>
        </w:rPr>
        <w:t>el</w:t>
      </w:r>
      <w:r>
        <w:rPr>
          <w:color w:val="231F20"/>
          <w:spacing w:val="-8"/>
        </w:rPr>
        <w:t> </w:t>
      </w:r>
      <w:r>
        <w:rPr>
          <w:color w:val="231F20"/>
        </w:rPr>
        <w:t>área</w:t>
      </w:r>
      <w:r>
        <w:rPr>
          <w:color w:val="231F20"/>
          <w:spacing w:val="-8"/>
        </w:rPr>
        <w:t> </w:t>
      </w:r>
      <w:r>
        <w:rPr>
          <w:color w:val="231F20"/>
        </w:rPr>
        <w:t>funcional</w:t>
      </w:r>
      <w:r>
        <w:rPr>
          <w:color w:val="231F20"/>
          <w:spacing w:val="-8"/>
        </w:rPr>
        <w:t> </w:t>
      </w:r>
      <w:r>
        <w:rPr>
          <w:color w:val="231F20"/>
        </w:rPr>
        <w:t>de</w:t>
      </w:r>
      <w:r>
        <w:rPr>
          <w:color w:val="231F20"/>
          <w:spacing w:val="-8"/>
        </w:rPr>
        <w:t> </w:t>
      </w:r>
      <w:r>
        <w:rPr>
          <w:color w:val="231F20"/>
        </w:rPr>
        <w:t>la</w:t>
      </w:r>
      <w:r>
        <w:rPr>
          <w:color w:val="231F20"/>
          <w:spacing w:val="-8"/>
        </w:rPr>
        <w:t> </w:t>
      </w:r>
      <w:r>
        <w:rPr>
          <w:i/>
          <w:color w:val="231F20"/>
        </w:rPr>
        <w:t>joint</w:t>
      </w:r>
      <w:r>
        <w:rPr>
          <w:i/>
          <w:color w:val="231F20"/>
          <w:spacing w:val="-8"/>
        </w:rPr>
        <w:t> </w:t>
      </w:r>
      <w:r>
        <w:rPr>
          <w:i/>
          <w:color w:val="231F20"/>
        </w:rPr>
        <w:t>venture</w:t>
      </w:r>
      <w:r>
        <w:rPr>
          <w:i/>
          <w:color w:val="231F20"/>
          <w:spacing w:val="-8"/>
        </w:rPr>
        <w:t> </w:t>
      </w:r>
      <w:r>
        <w:rPr>
          <w:color w:val="231F20"/>
        </w:rPr>
        <w:t>en</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de</w:t>
      </w:r>
      <w:r>
        <w:rPr>
          <w:color w:val="231F20"/>
          <w:spacing w:val="-8"/>
        </w:rPr>
        <w:t> </w:t>
      </w:r>
      <w:r>
        <w:rPr>
          <w:color w:val="231F20"/>
        </w:rPr>
        <w:t>datos</w:t>
      </w:r>
      <w:r>
        <w:rPr>
          <w:color w:val="231F20"/>
          <w:spacing w:val="-8"/>
        </w:rPr>
        <w:t> </w:t>
      </w:r>
      <w:r>
        <w:rPr>
          <w:color w:val="231F20"/>
        </w:rPr>
        <w:t>Lexis-Nexis®, y la eliminación de observaciones atípicas extremas, la muestra final so- bre la que se llevaron a cabo los análisis que se describen en una sección posterior contenía un total de 196 </w:t>
      </w:r>
      <w:r>
        <w:rPr>
          <w:i/>
          <w:color w:val="231F20"/>
        </w:rPr>
        <w:t>joint venture</w:t>
      </w:r>
      <w:r>
        <w:rPr>
          <w:color w:val="231F20"/>
        </w:rPr>
        <w:t>s. En total, 127 compañías diferentes llevaron a cabo estas alianzas durante los años considerados. Se debe tomar en cuenta que algunas de estas empresas formaron más de una </w:t>
      </w:r>
      <w:r>
        <w:rPr>
          <w:i/>
          <w:color w:val="231F20"/>
        </w:rPr>
        <w:t>joint venture </w:t>
      </w:r>
      <w:r>
        <w:rPr>
          <w:color w:val="231F20"/>
        </w:rPr>
        <w:t>en los mismos años. </w:t>
      </w:r>
      <w:r>
        <w:rPr>
          <w:color w:val="231F20"/>
          <w:spacing w:val="-5"/>
        </w:rPr>
        <w:t>Todas </w:t>
      </w:r>
      <w:r>
        <w:rPr>
          <w:color w:val="231F20"/>
        </w:rPr>
        <w:t>las organizaciones antes descritas son, clasificándolas por tamaño, </w:t>
      </w:r>
      <w:r>
        <w:rPr>
          <w:color w:val="231F20"/>
          <w:spacing w:val="11"/>
        </w:rPr>
        <w:t> </w:t>
      </w:r>
      <w:r>
        <w:rPr>
          <w:color w:val="231F20"/>
        </w:rPr>
        <w:t>grandes.</w:t>
      </w:r>
    </w:p>
    <w:p>
      <w:pPr>
        <w:pStyle w:val="BodyText"/>
        <w:spacing w:line="259" w:lineRule="auto"/>
        <w:ind w:left="117" w:right="115" w:firstLine="567"/>
        <w:jc w:val="both"/>
      </w:pPr>
      <w:r>
        <w:rPr>
          <w:color w:val="231F20"/>
          <w:w w:val="105"/>
        </w:rPr>
        <w:t>En</w:t>
      </w:r>
      <w:r>
        <w:rPr>
          <w:color w:val="231F20"/>
          <w:spacing w:val="-12"/>
          <w:w w:val="105"/>
        </w:rPr>
        <w:t> </w:t>
      </w:r>
      <w:r>
        <w:rPr>
          <w:color w:val="231F20"/>
          <w:w w:val="105"/>
        </w:rPr>
        <w:t>la</w:t>
      </w:r>
      <w:r>
        <w:rPr>
          <w:color w:val="231F20"/>
          <w:spacing w:val="-16"/>
          <w:w w:val="105"/>
        </w:rPr>
        <w:t> </w:t>
      </w:r>
      <w:r>
        <w:rPr>
          <w:color w:val="231F20"/>
          <w:spacing w:val="-5"/>
          <w:w w:val="105"/>
        </w:rPr>
        <w:t>Tabla</w:t>
      </w:r>
      <w:r>
        <w:rPr>
          <w:color w:val="231F20"/>
          <w:spacing w:val="-12"/>
          <w:w w:val="105"/>
        </w:rPr>
        <w:t> </w:t>
      </w:r>
      <w:r>
        <w:rPr>
          <w:color w:val="231F20"/>
          <w:w w:val="105"/>
        </w:rPr>
        <w:t>1</w:t>
      </w:r>
      <w:r>
        <w:rPr>
          <w:color w:val="231F20"/>
          <w:spacing w:val="-12"/>
          <w:w w:val="105"/>
        </w:rPr>
        <w:t> </w:t>
      </w:r>
      <w:r>
        <w:rPr>
          <w:color w:val="231F20"/>
          <w:w w:val="105"/>
        </w:rPr>
        <w:t>se</w:t>
      </w:r>
      <w:r>
        <w:rPr>
          <w:color w:val="231F20"/>
          <w:spacing w:val="-12"/>
          <w:w w:val="105"/>
        </w:rPr>
        <w:t> </w:t>
      </w:r>
      <w:r>
        <w:rPr>
          <w:color w:val="231F20"/>
          <w:w w:val="105"/>
        </w:rPr>
        <w:t>pueden</w:t>
      </w:r>
      <w:r>
        <w:rPr>
          <w:color w:val="231F20"/>
          <w:spacing w:val="-12"/>
          <w:w w:val="105"/>
        </w:rPr>
        <w:t> </w:t>
      </w:r>
      <w:r>
        <w:rPr>
          <w:color w:val="231F20"/>
          <w:w w:val="105"/>
        </w:rPr>
        <w:t>observar</w:t>
      </w:r>
      <w:r>
        <w:rPr>
          <w:color w:val="231F20"/>
          <w:spacing w:val="-12"/>
          <w:w w:val="105"/>
        </w:rPr>
        <w:t> </w:t>
      </w:r>
      <w:r>
        <w:rPr>
          <w:color w:val="231F20"/>
          <w:w w:val="105"/>
        </w:rPr>
        <w:t>algunos</w:t>
      </w:r>
      <w:r>
        <w:rPr>
          <w:color w:val="231F20"/>
          <w:spacing w:val="-12"/>
          <w:w w:val="105"/>
        </w:rPr>
        <w:t> </w:t>
      </w:r>
      <w:r>
        <w:rPr>
          <w:color w:val="231F20"/>
          <w:w w:val="105"/>
        </w:rPr>
        <w:t>detalles</w:t>
      </w:r>
      <w:r>
        <w:rPr>
          <w:color w:val="231F20"/>
          <w:spacing w:val="-12"/>
          <w:w w:val="105"/>
        </w:rPr>
        <w:t> </w:t>
      </w:r>
      <w:r>
        <w:rPr>
          <w:color w:val="231F20"/>
          <w:w w:val="105"/>
        </w:rPr>
        <w:t>importantes</w:t>
      </w:r>
      <w:r>
        <w:rPr>
          <w:color w:val="231F20"/>
          <w:spacing w:val="-12"/>
          <w:w w:val="105"/>
        </w:rPr>
        <w:t> </w:t>
      </w:r>
      <w:r>
        <w:rPr>
          <w:color w:val="231F20"/>
          <w:w w:val="105"/>
        </w:rPr>
        <w:t>de la muestra empleada en este trabajo. Como se observa, el conjunto de alianzas no estuvo distribuido de manera uniforme durante los años in- cluidos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análisis.</w:t>
      </w:r>
      <w:r>
        <w:rPr>
          <w:color w:val="231F20"/>
          <w:spacing w:val="-27"/>
          <w:w w:val="105"/>
        </w:rPr>
        <w:t> </w:t>
      </w:r>
      <w:r>
        <w:rPr>
          <w:color w:val="231F20"/>
          <w:w w:val="105"/>
        </w:rPr>
        <w:t>La</w:t>
      </w:r>
      <w:r>
        <w:rPr>
          <w:color w:val="231F20"/>
          <w:spacing w:val="-22"/>
          <w:w w:val="105"/>
        </w:rPr>
        <w:t> </w:t>
      </w:r>
      <w:r>
        <w:rPr>
          <w:color w:val="231F20"/>
          <w:w w:val="105"/>
        </w:rPr>
        <w:t>actividad</w:t>
      </w:r>
      <w:r>
        <w:rPr>
          <w:color w:val="231F20"/>
          <w:spacing w:val="-22"/>
          <w:w w:val="105"/>
        </w:rPr>
        <w:t> </w:t>
      </w:r>
      <w:r>
        <w:rPr>
          <w:color w:val="231F20"/>
          <w:w w:val="105"/>
        </w:rPr>
        <w:t>de</w:t>
      </w:r>
      <w:r>
        <w:rPr>
          <w:color w:val="231F20"/>
          <w:spacing w:val="-22"/>
          <w:w w:val="105"/>
        </w:rPr>
        <w:t> </w:t>
      </w:r>
      <w:r>
        <w:rPr>
          <w:color w:val="231F20"/>
          <w:w w:val="105"/>
        </w:rPr>
        <w:t>formación</w:t>
      </w:r>
      <w:r>
        <w:rPr>
          <w:color w:val="231F20"/>
          <w:spacing w:val="-22"/>
          <w:w w:val="105"/>
        </w:rPr>
        <w:t> </w:t>
      </w:r>
      <w:r>
        <w:rPr>
          <w:color w:val="231F20"/>
          <w:w w:val="105"/>
        </w:rPr>
        <w:t>de</w:t>
      </w:r>
      <w:r>
        <w:rPr>
          <w:color w:val="231F20"/>
          <w:spacing w:val="-22"/>
          <w:w w:val="105"/>
        </w:rPr>
        <w:t> </w:t>
      </w:r>
      <w:r>
        <w:rPr>
          <w:i/>
          <w:color w:val="231F20"/>
          <w:w w:val="105"/>
        </w:rPr>
        <w:t>joint</w:t>
      </w:r>
      <w:r>
        <w:rPr>
          <w:i/>
          <w:color w:val="231F20"/>
          <w:spacing w:val="-22"/>
          <w:w w:val="105"/>
        </w:rPr>
        <w:t> </w:t>
      </w:r>
      <w:r>
        <w:rPr>
          <w:i/>
          <w:color w:val="231F20"/>
          <w:w w:val="105"/>
        </w:rPr>
        <w:t>venture</w:t>
      </w:r>
      <w:r>
        <w:rPr>
          <w:color w:val="231F20"/>
          <w:w w:val="105"/>
        </w:rPr>
        <w:t>s</w:t>
      </w:r>
      <w:r>
        <w:rPr>
          <w:color w:val="231F20"/>
          <w:spacing w:val="-22"/>
          <w:w w:val="105"/>
        </w:rPr>
        <w:t> </w:t>
      </w:r>
      <w:r>
        <w:rPr>
          <w:color w:val="231F20"/>
          <w:w w:val="105"/>
        </w:rPr>
        <w:t>fue</w:t>
      </w:r>
      <w:r>
        <w:rPr>
          <w:color w:val="231F20"/>
          <w:spacing w:val="-22"/>
          <w:w w:val="105"/>
        </w:rPr>
        <w:t> </w:t>
      </w:r>
      <w:r>
        <w:rPr>
          <w:color w:val="231F20"/>
          <w:w w:val="105"/>
        </w:rPr>
        <w:t>más alta</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w w:val="105"/>
        </w:rPr>
        <w:t>2000,</w:t>
      </w:r>
      <w:r>
        <w:rPr>
          <w:color w:val="231F20"/>
          <w:spacing w:val="-18"/>
          <w:w w:val="105"/>
        </w:rPr>
        <w:t> </w:t>
      </w:r>
      <w:r>
        <w:rPr>
          <w:color w:val="231F20"/>
          <w:w w:val="105"/>
        </w:rPr>
        <w:t>seguida</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caída</w:t>
      </w:r>
      <w:r>
        <w:rPr>
          <w:color w:val="231F20"/>
          <w:spacing w:val="-12"/>
          <w:w w:val="105"/>
        </w:rPr>
        <w:t> </w:t>
      </w:r>
      <w:r>
        <w:rPr>
          <w:color w:val="231F20"/>
          <w:w w:val="105"/>
        </w:rPr>
        <w:t>progresiva</w:t>
      </w:r>
      <w:r>
        <w:rPr>
          <w:color w:val="231F20"/>
          <w:spacing w:val="-12"/>
          <w:w w:val="105"/>
        </w:rPr>
        <w:t> </w:t>
      </w:r>
      <w:r>
        <w:rPr>
          <w:color w:val="231F20"/>
          <w:w w:val="105"/>
        </w:rPr>
        <w:t>hasta</w:t>
      </w:r>
      <w:r>
        <w:rPr>
          <w:color w:val="231F20"/>
          <w:spacing w:val="-12"/>
          <w:w w:val="105"/>
        </w:rPr>
        <w:t> </w:t>
      </w:r>
      <w:r>
        <w:rPr>
          <w:color w:val="231F20"/>
          <w:w w:val="105"/>
        </w:rPr>
        <w:t>el</w:t>
      </w:r>
      <w:r>
        <w:rPr>
          <w:color w:val="231F20"/>
          <w:spacing w:val="-12"/>
          <w:w w:val="105"/>
        </w:rPr>
        <w:t> </w:t>
      </w:r>
      <w:r>
        <w:rPr>
          <w:color w:val="231F20"/>
          <w:w w:val="105"/>
        </w:rPr>
        <w:t>año</w:t>
      </w:r>
      <w:r>
        <w:rPr>
          <w:color w:val="231F20"/>
          <w:spacing w:val="-12"/>
          <w:w w:val="105"/>
        </w:rPr>
        <w:t> </w:t>
      </w:r>
      <w:r>
        <w:rPr>
          <w:color w:val="231F20"/>
          <w:w w:val="105"/>
        </w:rPr>
        <w:t>2003. Esta</w:t>
      </w:r>
      <w:r>
        <w:rPr>
          <w:color w:val="231F20"/>
          <w:spacing w:val="-14"/>
          <w:w w:val="105"/>
        </w:rPr>
        <w:t> </w:t>
      </w:r>
      <w:r>
        <w:rPr>
          <w:color w:val="231F20"/>
          <w:w w:val="105"/>
        </w:rPr>
        <w:t>tendencia</w:t>
      </w:r>
      <w:r>
        <w:rPr>
          <w:color w:val="231F20"/>
          <w:spacing w:val="-14"/>
          <w:w w:val="105"/>
        </w:rPr>
        <w:t> </w:t>
      </w:r>
      <w:r>
        <w:rPr>
          <w:color w:val="231F20"/>
          <w:w w:val="105"/>
        </w:rPr>
        <w:t>es</w:t>
      </w:r>
      <w:r>
        <w:rPr>
          <w:color w:val="231F20"/>
          <w:spacing w:val="-14"/>
          <w:w w:val="105"/>
        </w:rPr>
        <w:t> </w:t>
      </w:r>
      <w:r>
        <w:rPr>
          <w:color w:val="231F20"/>
          <w:w w:val="105"/>
        </w:rPr>
        <w:t>consistente</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declive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economía</w:t>
      </w:r>
      <w:r>
        <w:rPr>
          <w:color w:val="231F20"/>
          <w:spacing w:val="-14"/>
          <w:w w:val="105"/>
        </w:rPr>
        <w:t> </w:t>
      </w:r>
      <w:r>
        <w:rPr>
          <w:color w:val="231F20"/>
          <w:w w:val="105"/>
        </w:rPr>
        <w:t>de</w:t>
      </w:r>
      <w:r>
        <w:rPr>
          <w:color w:val="231F20"/>
          <w:spacing w:val="-14"/>
          <w:w w:val="105"/>
        </w:rPr>
        <w:t> </w:t>
      </w:r>
      <w:r>
        <w:rPr>
          <w:color w:val="231F20"/>
          <w:w w:val="105"/>
        </w:rPr>
        <w:t>Estados Unidos</w:t>
      </w:r>
      <w:r>
        <w:rPr>
          <w:color w:val="231F20"/>
          <w:spacing w:val="-14"/>
          <w:w w:val="105"/>
        </w:rPr>
        <w:t> </w:t>
      </w:r>
      <w:r>
        <w:rPr>
          <w:color w:val="231F20"/>
          <w:w w:val="105"/>
        </w:rPr>
        <w:t>durante</w:t>
      </w:r>
      <w:r>
        <w:rPr>
          <w:color w:val="231F20"/>
          <w:spacing w:val="-14"/>
          <w:w w:val="105"/>
        </w:rPr>
        <w:t> </w:t>
      </w:r>
      <w:r>
        <w:rPr>
          <w:color w:val="231F20"/>
          <w:w w:val="105"/>
        </w:rPr>
        <w:t>los</w:t>
      </w:r>
      <w:r>
        <w:rPr>
          <w:color w:val="231F20"/>
          <w:spacing w:val="-14"/>
          <w:w w:val="105"/>
        </w:rPr>
        <w:t> </w:t>
      </w:r>
      <w:r>
        <w:rPr>
          <w:color w:val="231F20"/>
          <w:w w:val="105"/>
        </w:rPr>
        <w:t>años</w:t>
      </w:r>
      <w:r>
        <w:rPr>
          <w:color w:val="231F20"/>
          <w:spacing w:val="-14"/>
          <w:w w:val="105"/>
        </w:rPr>
        <w:t> </w:t>
      </w:r>
      <w:r>
        <w:rPr>
          <w:color w:val="231F20"/>
          <w:w w:val="105"/>
        </w:rPr>
        <w:t>considerados</w:t>
      </w:r>
      <w:r>
        <w:rPr>
          <w:color w:val="231F20"/>
          <w:spacing w:val="-14"/>
          <w:w w:val="105"/>
        </w:rPr>
        <w:t> </w:t>
      </w:r>
      <w:r>
        <w:rPr>
          <w:color w:val="231F20"/>
          <w:w w:val="105"/>
        </w:rPr>
        <w:t>y</w:t>
      </w:r>
      <w:r>
        <w:rPr>
          <w:color w:val="231F20"/>
          <w:spacing w:val="-14"/>
          <w:w w:val="105"/>
        </w:rPr>
        <w:t> </w:t>
      </w:r>
      <w:r>
        <w:rPr>
          <w:color w:val="231F20"/>
          <w:w w:val="105"/>
        </w:rPr>
        <w:t>es</w:t>
      </w:r>
      <w:r>
        <w:rPr>
          <w:color w:val="231F20"/>
          <w:spacing w:val="-14"/>
          <w:w w:val="105"/>
        </w:rPr>
        <w:t> </w:t>
      </w:r>
      <w:r>
        <w:rPr>
          <w:color w:val="231F20"/>
          <w:w w:val="105"/>
        </w:rPr>
        <w:t>también</w:t>
      </w:r>
      <w:r>
        <w:rPr>
          <w:color w:val="231F20"/>
          <w:spacing w:val="-14"/>
          <w:w w:val="105"/>
        </w:rPr>
        <w:t> </w:t>
      </w:r>
      <w:r>
        <w:rPr>
          <w:color w:val="231F20"/>
          <w:w w:val="105"/>
        </w:rPr>
        <w:t>muy</w:t>
      </w:r>
      <w:r>
        <w:rPr>
          <w:color w:val="231F20"/>
          <w:spacing w:val="-14"/>
          <w:w w:val="105"/>
        </w:rPr>
        <w:t> </w:t>
      </w:r>
      <w:r>
        <w:rPr>
          <w:color w:val="231F20"/>
          <w:w w:val="105"/>
        </w:rPr>
        <w:t>similar</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dis- tribución</w:t>
      </w:r>
      <w:r>
        <w:rPr>
          <w:color w:val="231F20"/>
          <w:spacing w:val="-7"/>
          <w:w w:val="105"/>
        </w:rPr>
        <w:t> </w:t>
      </w:r>
      <w:r>
        <w:rPr>
          <w:color w:val="231F20"/>
          <w:w w:val="105"/>
        </w:rPr>
        <w:t>del</w:t>
      </w:r>
      <w:r>
        <w:rPr>
          <w:color w:val="231F20"/>
          <w:spacing w:val="-7"/>
          <w:w w:val="105"/>
        </w:rPr>
        <w:t> </w:t>
      </w:r>
      <w:r>
        <w:rPr>
          <w:color w:val="231F20"/>
          <w:w w:val="105"/>
        </w:rPr>
        <w:t>conjunto</w:t>
      </w:r>
      <w:r>
        <w:rPr>
          <w:color w:val="231F20"/>
          <w:spacing w:val="-7"/>
          <w:w w:val="105"/>
        </w:rPr>
        <w:t> </w:t>
      </w:r>
      <w:r>
        <w:rPr>
          <w:color w:val="231F20"/>
          <w:w w:val="105"/>
        </w:rPr>
        <w:t>de</w:t>
      </w:r>
      <w:r>
        <w:rPr>
          <w:color w:val="231F20"/>
          <w:spacing w:val="-7"/>
          <w:w w:val="105"/>
        </w:rPr>
        <w:t> </w:t>
      </w:r>
      <w:r>
        <w:rPr>
          <w:color w:val="231F20"/>
          <w:w w:val="105"/>
        </w:rPr>
        <w:t>6476</w:t>
      </w:r>
      <w:r>
        <w:rPr>
          <w:color w:val="231F20"/>
          <w:spacing w:val="-7"/>
          <w:w w:val="105"/>
        </w:rPr>
        <w:t> </w:t>
      </w:r>
      <w:r>
        <w:rPr>
          <w:color w:val="231F20"/>
          <w:w w:val="105"/>
        </w:rPr>
        <w:t>alianzas</w:t>
      </w:r>
      <w:r>
        <w:rPr>
          <w:color w:val="231F20"/>
          <w:spacing w:val="-7"/>
          <w:w w:val="105"/>
        </w:rPr>
        <w:t> </w:t>
      </w:r>
      <w:r>
        <w:rPr>
          <w:color w:val="231F20"/>
          <w:w w:val="105"/>
        </w:rPr>
        <w:t>que</w:t>
      </w:r>
      <w:r>
        <w:rPr>
          <w:color w:val="231F20"/>
          <w:spacing w:val="-7"/>
          <w:w w:val="105"/>
        </w:rPr>
        <w:t> </w:t>
      </w:r>
      <w:r>
        <w:rPr>
          <w:color w:val="231F20"/>
          <w:w w:val="105"/>
        </w:rPr>
        <w:t>originalmente</w:t>
      </w:r>
      <w:r>
        <w:rPr>
          <w:color w:val="231F20"/>
          <w:spacing w:val="-7"/>
          <w:w w:val="105"/>
        </w:rPr>
        <w:t> </w:t>
      </w:r>
      <w:r>
        <w:rPr>
          <w:color w:val="231F20"/>
          <w:w w:val="105"/>
        </w:rPr>
        <w:t>se</w:t>
      </w:r>
      <w:r>
        <w:rPr>
          <w:color w:val="231F20"/>
          <w:spacing w:val="-7"/>
          <w:w w:val="105"/>
        </w:rPr>
        <w:t> </w:t>
      </w:r>
      <w:r>
        <w:rPr>
          <w:color w:val="231F20"/>
          <w:w w:val="105"/>
        </w:rPr>
        <w:t>extrajeron de SDC Platinum. En este sentido, tal parece que el criterio de</w:t>
      </w:r>
      <w:r>
        <w:rPr>
          <w:color w:val="231F20"/>
          <w:spacing w:val="-42"/>
          <w:w w:val="105"/>
        </w:rPr>
        <w:t> </w:t>
      </w:r>
      <w:r>
        <w:rPr>
          <w:color w:val="231F20"/>
          <w:w w:val="105"/>
        </w:rPr>
        <w:t>elimina- ción</w:t>
      </w:r>
      <w:r>
        <w:rPr>
          <w:color w:val="231F20"/>
          <w:spacing w:val="-21"/>
          <w:w w:val="105"/>
        </w:rPr>
        <w:t> </w:t>
      </w:r>
      <w:r>
        <w:rPr>
          <w:color w:val="231F20"/>
          <w:w w:val="105"/>
        </w:rPr>
        <w:t>de</w:t>
      </w:r>
      <w:r>
        <w:rPr>
          <w:color w:val="231F20"/>
          <w:spacing w:val="-21"/>
          <w:w w:val="105"/>
        </w:rPr>
        <w:t> </w:t>
      </w:r>
      <w:r>
        <w:rPr>
          <w:color w:val="231F20"/>
          <w:w w:val="105"/>
        </w:rPr>
        <w:t>casos</w:t>
      </w:r>
      <w:r>
        <w:rPr>
          <w:color w:val="231F20"/>
          <w:spacing w:val="-21"/>
          <w:w w:val="105"/>
        </w:rPr>
        <w:t> </w:t>
      </w:r>
      <w:r>
        <w:rPr>
          <w:color w:val="231F20"/>
          <w:w w:val="105"/>
        </w:rPr>
        <w:t>descrito</w:t>
      </w:r>
      <w:r>
        <w:rPr>
          <w:color w:val="231F20"/>
          <w:spacing w:val="-21"/>
          <w:w w:val="105"/>
        </w:rPr>
        <w:t> </w:t>
      </w:r>
      <w:r>
        <w:rPr>
          <w:color w:val="231F20"/>
          <w:w w:val="105"/>
        </w:rPr>
        <w:t>anteriormente</w:t>
      </w:r>
      <w:r>
        <w:rPr>
          <w:color w:val="231F20"/>
          <w:spacing w:val="-21"/>
          <w:w w:val="105"/>
        </w:rPr>
        <w:t> </w:t>
      </w:r>
      <w:r>
        <w:rPr>
          <w:color w:val="231F20"/>
          <w:w w:val="105"/>
        </w:rPr>
        <w:t>no</w:t>
      </w:r>
      <w:r>
        <w:rPr>
          <w:color w:val="231F20"/>
          <w:spacing w:val="-21"/>
          <w:w w:val="105"/>
        </w:rPr>
        <w:t> </w:t>
      </w:r>
      <w:r>
        <w:rPr>
          <w:color w:val="231F20"/>
          <w:w w:val="105"/>
        </w:rPr>
        <w:t>sesgó</w:t>
      </w:r>
      <w:r>
        <w:rPr>
          <w:color w:val="231F20"/>
          <w:spacing w:val="-21"/>
          <w:w w:val="105"/>
        </w:rPr>
        <w:t> </w:t>
      </w:r>
      <w:r>
        <w:rPr>
          <w:color w:val="231F20"/>
          <w:w w:val="105"/>
        </w:rPr>
        <w:t>en</w:t>
      </w:r>
      <w:r>
        <w:rPr>
          <w:color w:val="231F20"/>
          <w:spacing w:val="-21"/>
          <w:w w:val="105"/>
        </w:rPr>
        <w:t> </w:t>
      </w:r>
      <w:r>
        <w:rPr>
          <w:color w:val="231F20"/>
          <w:w w:val="105"/>
        </w:rPr>
        <w:t>una</w:t>
      </w:r>
      <w:r>
        <w:rPr>
          <w:color w:val="231F20"/>
          <w:spacing w:val="-21"/>
          <w:w w:val="105"/>
        </w:rPr>
        <w:t> </w:t>
      </w:r>
      <w:r>
        <w:rPr>
          <w:color w:val="231F20"/>
          <w:w w:val="105"/>
        </w:rPr>
        <w:t>forma</w:t>
      </w:r>
      <w:r>
        <w:rPr>
          <w:color w:val="231F20"/>
          <w:spacing w:val="-21"/>
          <w:w w:val="105"/>
        </w:rPr>
        <w:t> </w:t>
      </w:r>
      <w:r>
        <w:rPr>
          <w:color w:val="231F20"/>
          <w:w w:val="105"/>
        </w:rPr>
        <w:t>significativa la</w:t>
      </w:r>
      <w:r>
        <w:rPr>
          <w:color w:val="231F20"/>
          <w:spacing w:val="-10"/>
          <w:w w:val="105"/>
        </w:rPr>
        <w:t> </w:t>
      </w:r>
      <w:r>
        <w:rPr>
          <w:color w:val="231F20"/>
          <w:w w:val="105"/>
        </w:rPr>
        <w:t>muestra</w:t>
      </w:r>
      <w:r>
        <w:rPr>
          <w:color w:val="231F20"/>
          <w:spacing w:val="-10"/>
          <w:w w:val="105"/>
        </w:rPr>
        <w:t> </w:t>
      </w:r>
      <w:r>
        <w:rPr>
          <w:color w:val="231F20"/>
          <w:w w:val="105"/>
        </w:rPr>
        <w:t>que</w:t>
      </w:r>
      <w:r>
        <w:rPr>
          <w:color w:val="231F20"/>
          <w:spacing w:val="-10"/>
          <w:w w:val="105"/>
        </w:rPr>
        <w:t> </w:t>
      </w:r>
      <w:r>
        <w:rPr>
          <w:color w:val="231F20"/>
          <w:w w:val="105"/>
        </w:rPr>
        <w:t>finalmente</w:t>
      </w:r>
      <w:r>
        <w:rPr>
          <w:color w:val="231F20"/>
          <w:spacing w:val="-10"/>
          <w:w w:val="105"/>
        </w:rPr>
        <w:t> </w:t>
      </w:r>
      <w:r>
        <w:rPr>
          <w:color w:val="231F20"/>
          <w:w w:val="105"/>
        </w:rPr>
        <w:t>se</w:t>
      </w:r>
      <w:r>
        <w:rPr>
          <w:color w:val="231F20"/>
          <w:spacing w:val="-10"/>
          <w:w w:val="105"/>
        </w:rPr>
        <w:t> </w:t>
      </w:r>
      <w:r>
        <w:rPr>
          <w:color w:val="231F20"/>
          <w:w w:val="105"/>
        </w:rPr>
        <w:t>consideró</w:t>
      </w:r>
      <w:r>
        <w:rPr>
          <w:color w:val="231F20"/>
          <w:spacing w:val="-10"/>
          <w:w w:val="105"/>
        </w:rPr>
        <w:t> </w:t>
      </w:r>
      <w:r>
        <w:rPr>
          <w:color w:val="231F20"/>
          <w:w w:val="105"/>
        </w:rPr>
        <w:t>para</w:t>
      </w:r>
      <w:r>
        <w:rPr>
          <w:color w:val="231F20"/>
          <w:spacing w:val="-10"/>
          <w:w w:val="105"/>
        </w:rPr>
        <w:t> </w:t>
      </w:r>
      <w:r>
        <w:rPr>
          <w:color w:val="231F20"/>
          <w:w w:val="105"/>
        </w:rPr>
        <w:t>los</w:t>
      </w:r>
      <w:r>
        <w:rPr>
          <w:color w:val="231F20"/>
          <w:spacing w:val="-10"/>
          <w:w w:val="105"/>
        </w:rPr>
        <w:t> </w:t>
      </w:r>
      <w:r>
        <w:rPr>
          <w:color w:val="231F20"/>
          <w:w w:val="105"/>
        </w:rPr>
        <w:t>análisis</w:t>
      </w:r>
      <w:r>
        <w:rPr>
          <w:color w:val="231F20"/>
          <w:spacing w:val="-10"/>
          <w:w w:val="105"/>
        </w:rPr>
        <w:t> </w:t>
      </w:r>
      <w:r>
        <w:rPr>
          <w:color w:val="231F20"/>
          <w:w w:val="105"/>
        </w:rPr>
        <w:t>pertinentes.</w:t>
      </w:r>
      <w:r>
        <w:rPr>
          <w:color w:val="231F20"/>
          <w:spacing w:val="-14"/>
          <w:w w:val="105"/>
        </w:rPr>
        <w:t> </w:t>
      </w:r>
      <w:r>
        <w:rPr>
          <w:color w:val="231F20"/>
          <w:w w:val="105"/>
        </w:rPr>
        <w:t>La </w:t>
      </w:r>
      <w:r>
        <w:rPr>
          <w:color w:val="231F20"/>
          <w:spacing w:val="-5"/>
          <w:w w:val="105"/>
        </w:rPr>
        <w:t>Tabla</w:t>
      </w:r>
      <w:r>
        <w:rPr>
          <w:color w:val="231F20"/>
          <w:spacing w:val="-22"/>
          <w:w w:val="105"/>
        </w:rPr>
        <w:t> </w:t>
      </w:r>
      <w:r>
        <w:rPr>
          <w:color w:val="231F20"/>
          <w:w w:val="105"/>
        </w:rPr>
        <w:t>1</w:t>
      </w:r>
      <w:r>
        <w:rPr>
          <w:color w:val="231F20"/>
          <w:spacing w:val="-22"/>
          <w:w w:val="105"/>
        </w:rPr>
        <w:t> </w:t>
      </w:r>
      <w:r>
        <w:rPr>
          <w:color w:val="231F20"/>
          <w:w w:val="105"/>
        </w:rPr>
        <w:t>también</w:t>
      </w:r>
      <w:r>
        <w:rPr>
          <w:color w:val="231F20"/>
          <w:spacing w:val="-22"/>
          <w:w w:val="105"/>
        </w:rPr>
        <w:t> </w:t>
      </w:r>
      <w:r>
        <w:rPr>
          <w:color w:val="231F20"/>
          <w:w w:val="105"/>
        </w:rPr>
        <w:t>indica</w:t>
      </w:r>
      <w:r>
        <w:rPr>
          <w:color w:val="231F20"/>
          <w:spacing w:val="-22"/>
          <w:w w:val="105"/>
        </w:rPr>
        <w:t> </w:t>
      </w:r>
      <w:r>
        <w:rPr>
          <w:color w:val="231F20"/>
          <w:w w:val="105"/>
        </w:rPr>
        <w:t>que,</w:t>
      </w:r>
      <w:r>
        <w:rPr>
          <w:color w:val="231F20"/>
          <w:spacing w:val="-27"/>
          <w:w w:val="105"/>
        </w:rPr>
        <w:t> </w:t>
      </w:r>
      <w:r>
        <w:rPr>
          <w:color w:val="231F20"/>
          <w:w w:val="105"/>
        </w:rPr>
        <w:t>excepto</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año</w:t>
      </w:r>
      <w:r>
        <w:rPr>
          <w:color w:val="231F20"/>
          <w:spacing w:val="-22"/>
          <w:w w:val="105"/>
        </w:rPr>
        <w:t> </w:t>
      </w:r>
      <w:r>
        <w:rPr>
          <w:color w:val="231F20"/>
          <w:w w:val="105"/>
        </w:rPr>
        <w:t>2002,</w:t>
      </w:r>
      <w:r>
        <w:rPr>
          <w:color w:val="231F20"/>
          <w:spacing w:val="-27"/>
          <w:w w:val="105"/>
        </w:rPr>
        <w:t> </w:t>
      </w:r>
      <w:r>
        <w:rPr>
          <w:color w:val="231F20"/>
          <w:w w:val="105"/>
        </w:rPr>
        <w:t>las</w:t>
      </w:r>
      <w:r>
        <w:rPr>
          <w:color w:val="231F20"/>
          <w:spacing w:val="-22"/>
          <w:w w:val="105"/>
        </w:rPr>
        <w:t> </w:t>
      </w:r>
      <w:r>
        <w:rPr>
          <w:i/>
          <w:color w:val="231F20"/>
          <w:w w:val="105"/>
        </w:rPr>
        <w:t>joint</w:t>
      </w:r>
      <w:r>
        <w:rPr>
          <w:i/>
          <w:color w:val="231F20"/>
          <w:spacing w:val="-22"/>
          <w:w w:val="105"/>
        </w:rPr>
        <w:t> </w:t>
      </w:r>
      <w:r>
        <w:rPr>
          <w:i/>
          <w:color w:val="231F20"/>
          <w:w w:val="105"/>
        </w:rPr>
        <w:t>venture</w:t>
      </w:r>
      <w:r>
        <w:rPr>
          <w:color w:val="231F20"/>
          <w:w w:val="105"/>
        </w:rPr>
        <w:t>s</w:t>
      </w:r>
      <w:r>
        <w:rPr>
          <w:color w:val="231F20"/>
          <w:spacing w:val="-22"/>
          <w:w w:val="105"/>
        </w:rPr>
        <w:t> </w:t>
      </w:r>
      <w:r>
        <w:rPr>
          <w:color w:val="231F20"/>
          <w:w w:val="105"/>
        </w:rPr>
        <w:t>de manufactura</w:t>
      </w:r>
      <w:r>
        <w:rPr>
          <w:color w:val="231F20"/>
          <w:spacing w:val="-21"/>
          <w:w w:val="105"/>
        </w:rPr>
        <w:t> </w:t>
      </w:r>
      <w:r>
        <w:rPr>
          <w:color w:val="231F20"/>
          <w:w w:val="105"/>
        </w:rPr>
        <w:t>representan</w:t>
      </w:r>
      <w:r>
        <w:rPr>
          <w:color w:val="231F20"/>
          <w:spacing w:val="-21"/>
          <w:w w:val="105"/>
        </w:rPr>
        <w:t> </w:t>
      </w:r>
      <w:r>
        <w:rPr>
          <w:color w:val="231F20"/>
          <w:w w:val="105"/>
        </w:rPr>
        <w:t>la</w:t>
      </w:r>
      <w:r>
        <w:rPr>
          <w:color w:val="231F20"/>
          <w:spacing w:val="-21"/>
          <w:w w:val="105"/>
        </w:rPr>
        <w:t> </w:t>
      </w:r>
      <w:r>
        <w:rPr>
          <w:color w:val="231F20"/>
          <w:w w:val="105"/>
        </w:rPr>
        <w:t>mayoría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observaciones</w:t>
      </w:r>
      <w:r>
        <w:rPr>
          <w:color w:val="231F20"/>
          <w:spacing w:val="-21"/>
          <w:w w:val="105"/>
        </w:rPr>
        <w:t> </w:t>
      </w:r>
      <w:r>
        <w:rPr>
          <w:color w:val="231F20"/>
          <w:w w:val="105"/>
        </w:rPr>
        <w:t>consideradas para</w:t>
      </w:r>
      <w:r>
        <w:rPr>
          <w:color w:val="231F20"/>
          <w:spacing w:val="-24"/>
          <w:w w:val="105"/>
        </w:rPr>
        <w:t> </w:t>
      </w:r>
      <w:r>
        <w:rPr>
          <w:color w:val="231F20"/>
          <w:w w:val="105"/>
        </w:rPr>
        <w:t>el</w:t>
      </w:r>
      <w:r>
        <w:rPr>
          <w:color w:val="231F20"/>
          <w:spacing w:val="-24"/>
          <w:w w:val="105"/>
        </w:rPr>
        <w:t> </w:t>
      </w:r>
      <w:r>
        <w:rPr>
          <w:color w:val="231F20"/>
          <w:w w:val="105"/>
        </w:rPr>
        <w:t>análisis</w:t>
      </w:r>
      <w:r>
        <w:rPr>
          <w:color w:val="231F20"/>
          <w:spacing w:val="-24"/>
          <w:w w:val="105"/>
        </w:rPr>
        <w:t> </w:t>
      </w:r>
      <w:r>
        <w:rPr>
          <w:color w:val="231F20"/>
          <w:w w:val="105"/>
        </w:rPr>
        <w:t>a</w:t>
      </w:r>
      <w:r>
        <w:rPr>
          <w:color w:val="231F20"/>
          <w:spacing w:val="-24"/>
          <w:w w:val="105"/>
        </w:rPr>
        <w:t> </w:t>
      </w:r>
      <w:r>
        <w:rPr>
          <w:color w:val="231F20"/>
          <w:w w:val="105"/>
        </w:rPr>
        <w:t>través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periodos</w:t>
      </w:r>
      <w:r>
        <w:rPr>
          <w:color w:val="231F20"/>
          <w:spacing w:val="-24"/>
          <w:w w:val="105"/>
        </w:rPr>
        <w:t> </w:t>
      </w:r>
      <w:r>
        <w:rPr>
          <w:color w:val="231F20"/>
          <w:w w:val="105"/>
        </w:rPr>
        <w:t>anuales</w:t>
      </w:r>
      <w:r>
        <w:rPr>
          <w:color w:val="231F20"/>
          <w:spacing w:val="-24"/>
          <w:w w:val="105"/>
        </w:rPr>
        <w:t> </w:t>
      </w:r>
      <w:r>
        <w:rPr>
          <w:color w:val="231F20"/>
          <w:w w:val="105"/>
        </w:rPr>
        <w:t>en</w:t>
      </w:r>
      <w:r>
        <w:rPr>
          <w:color w:val="231F20"/>
          <w:spacing w:val="-24"/>
          <w:w w:val="105"/>
        </w:rPr>
        <w:t> </w:t>
      </w:r>
      <w:r>
        <w:rPr>
          <w:color w:val="231F20"/>
          <w:w w:val="105"/>
        </w:rPr>
        <w:t>cuestión.</w:t>
      </w:r>
      <w:r>
        <w:rPr>
          <w:color w:val="231F20"/>
          <w:spacing w:val="-28"/>
          <w:w w:val="105"/>
        </w:rPr>
        <w:t> </w:t>
      </w:r>
      <w:r>
        <w:rPr>
          <w:color w:val="231F20"/>
          <w:w w:val="105"/>
        </w:rPr>
        <w:t>Es</w:t>
      </w:r>
      <w:r>
        <w:rPr>
          <w:color w:val="231F20"/>
          <w:spacing w:val="-24"/>
          <w:w w:val="105"/>
        </w:rPr>
        <w:t> </w:t>
      </w:r>
      <w:r>
        <w:rPr>
          <w:color w:val="231F20"/>
          <w:w w:val="105"/>
        </w:rPr>
        <w:t>de</w:t>
      </w:r>
      <w:r>
        <w:rPr>
          <w:color w:val="231F20"/>
          <w:spacing w:val="-24"/>
          <w:w w:val="105"/>
        </w:rPr>
        <w:t> </w:t>
      </w:r>
      <w:r>
        <w:rPr>
          <w:color w:val="231F20"/>
          <w:w w:val="105"/>
        </w:rPr>
        <w:t>notar- se</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todos</w:t>
      </w:r>
      <w:r>
        <w:rPr>
          <w:color w:val="231F20"/>
          <w:spacing w:val="-7"/>
          <w:w w:val="105"/>
        </w:rPr>
        <w:t> </w:t>
      </w:r>
      <w:r>
        <w:rPr>
          <w:color w:val="231F20"/>
          <w:w w:val="105"/>
        </w:rPr>
        <w:t>los</w:t>
      </w:r>
      <w:r>
        <w:rPr>
          <w:color w:val="231F20"/>
          <w:spacing w:val="-7"/>
          <w:w w:val="105"/>
        </w:rPr>
        <w:t> </w:t>
      </w:r>
      <w:r>
        <w:rPr>
          <w:color w:val="231F20"/>
          <w:w w:val="105"/>
        </w:rPr>
        <w:t>años</w:t>
      </w:r>
      <w:r>
        <w:rPr>
          <w:color w:val="231F20"/>
          <w:spacing w:val="-7"/>
          <w:w w:val="105"/>
        </w:rPr>
        <w:t> </w:t>
      </w:r>
      <w:r>
        <w:rPr>
          <w:color w:val="231F20"/>
          <w:w w:val="105"/>
        </w:rPr>
        <w:t>el</w:t>
      </w:r>
      <w:r>
        <w:rPr>
          <w:color w:val="231F20"/>
          <w:spacing w:val="-7"/>
          <w:w w:val="105"/>
        </w:rPr>
        <w:t> </w:t>
      </w:r>
      <w:r>
        <w:rPr>
          <w:color w:val="231F20"/>
          <w:w w:val="105"/>
        </w:rPr>
        <w:t>número</w:t>
      </w:r>
      <w:r>
        <w:rPr>
          <w:color w:val="231F20"/>
          <w:spacing w:val="-7"/>
          <w:w w:val="105"/>
        </w:rPr>
        <w:t> </w:t>
      </w:r>
      <w:r>
        <w:rPr>
          <w:color w:val="231F20"/>
          <w:w w:val="105"/>
        </w:rPr>
        <w:t>de</w:t>
      </w:r>
      <w:r>
        <w:rPr>
          <w:color w:val="231F20"/>
          <w:spacing w:val="-7"/>
          <w:w w:val="105"/>
        </w:rPr>
        <w:t> </w:t>
      </w:r>
      <w:r>
        <w:rPr>
          <w:i/>
          <w:color w:val="231F20"/>
          <w:w w:val="105"/>
        </w:rPr>
        <w:t>joint</w:t>
      </w:r>
      <w:r>
        <w:rPr>
          <w:i/>
          <w:color w:val="231F20"/>
          <w:spacing w:val="-7"/>
          <w:w w:val="105"/>
        </w:rPr>
        <w:t> </w:t>
      </w:r>
      <w:r>
        <w:rPr>
          <w:i/>
          <w:color w:val="231F20"/>
          <w:w w:val="105"/>
        </w:rPr>
        <w:t>venture</w:t>
      </w:r>
      <w:r>
        <w:rPr>
          <w:color w:val="231F20"/>
          <w:w w:val="105"/>
        </w:rPr>
        <w:t>s</w:t>
      </w:r>
      <w:r>
        <w:rPr>
          <w:color w:val="231F20"/>
          <w:spacing w:val="-7"/>
          <w:w w:val="105"/>
        </w:rPr>
        <w:t> </w:t>
      </w:r>
      <w:r>
        <w:rPr>
          <w:color w:val="231F20"/>
          <w:w w:val="105"/>
        </w:rPr>
        <w:t>de</w:t>
      </w:r>
      <w:r>
        <w:rPr>
          <w:color w:val="231F20"/>
          <w:spacing w:val="-7"/>
          <w:w w:val="105"/>
        </w:rPr>
        <w:t> </w:t>
      </w:r>
      <w:r>
        <w:rPr>
          <w:color w:val="231F20"/>
          <w:w w:val="105"/>
        </w:rPr>
        <w:t>mercadotecnia y</w:t>
      </w:r>
      <w:r>
        <w:rPr>
          <w:color w:val="231F20"/>
          <w:spacing w:val="-16"/>
          <w:w w:val="105"/>
        </w:rPr>
        <w:t> </w:t>
      </w:r>
      <w:r>
        <w:rPr>
          <w:color w:val="231F20"/>
          <w:w w:val="105"/>
        </w:rPr>
        <w:t>de</w:t>
      </w:r>
      <w:r>
        <w:rPr>
          <w:color w:val="231F20"/>
          <w:spacing w:val="-16"/>
          <w:w w:val="105"/>
        </w:rPr>
        <w:t> </w:t>
      </w:r>
      <w:r>
        <w:rPr>
          <w:color w:val="231F20"/>
          <w:w w:val="105"/>
        </w:rPr>
        <w:t>manufactura</w:t>
      </w:r>
      <w:r>
        <w:rPr>
          <w:color w:val="231F20"/>
          <w:spacing w:val="-16"/>
          <w:w w:val="105"/>
        </w:rPr>
        <w:t> </w:t>
      </w:r>
      <w:r>
        <w:rPr>
          <w:color w:val="231F20"/>
          <w:w w:val="105"/>
        </w:rPr>
        <w:t>fue</w:t>
      </w:r>
      <w:r>
        <w:rPr>
          <w:color w:val="231F20"/>
          <w:spacing w:val="-16"/>
          <w:w w:val="105"/>
        </w:rPr>
        <w:t> </w:t>
      </w:r>
      <w:r>
        <w:rPr>
          <w:color w:val="231F20"/>
          <w:w w:val="105"/>
        </w:rPr>
        <w:t>similar.</w:t>
      </w:r>
      <w:r>
        <w:rPr>
          <w:color w:val="231F20"/>
          <w:spacing w:val="-21"/>
          <w:w w:val="105"/>
        </w:rPr>
        <w:t> </w:t>
      </w:r>
      <w:r>
        <w:rPr>
          <w:color w:val="231F20"/>
          <w:spacing w:val="-4"/>
          <w:w w:val="105"/>
        </w:rPr>
        <w:t>Para</w:t>
      </w:r>
      <w:r>
        <w:rPr>
          <w:color w:val="231F20"/>
          <w:spacing w:val="-16"/>
          <w:w w:val="105"/>
        </w:rPr>
        <w:t> </w:t>
      </w:r>
      <w:r>
        <w:rPr>
          <w:color w:val="231F20"/>
          <w:w w:val="105"/>
        </w:rPr>
        <w:t>mejor</w:t>
      </w:r>
      <w:r>
        <w:rPr>
          <w:color w:val="231F20"/>
          <w:spacing w:val="-16"/>
          <w:w w:val="105"/>
        </w:rPr>
        <w:t> </w:t>
      </w:r>
      <w:r>
        <w:rPr>
          <w:color w:val="231F20"/>
          <w:w w:val="105"/>
        </w:rPr>
        <w:t>comprensión,</w:t>
      </w:r>
      <w:r>
        <w:rPr>
          <w:color w:val="231F20"/>
          <w:spacing w:val="-21"/>
          <w:w w:val="105"/>
        </w:rPr>
        <w:t> </w:t>
      </w:r>
      <w:r>
        <w:rPr>
          <w:color w:val="231F20"/>
          <w:w w:val="105"/>
        </w:rPr>
        <w:t>la</w:t>
      </w:r>
      <w:r>
        <w:rPr>
          <w:color w:val="231F20"/>
          <w:spacing w:val="-16"/>
          <w:w w:val="105"/>
        </w:rPr>
        <w:t> </w:t>
      </w:r>
      <w:r>
        <w:rPr>
          <w:color w:val="231F20"/>
          <w:w w:val="105"/>
        </w:rPr>
        <w:t>Figura</w:t>
      </w:r>
      <w:r>
        <w:rPr>
          <w:color w:val="231F20"/>
          <w:spacing w:val="-16"/>
          <w:w w:val="105"/>
        </w:rPr>
        <w:t> </w:t>
      </w:r>
      <w:r>
        <w:rPr>
          <w:color w:val="231F20"/>
          <w:w w:val="105"/>
        </w:rPr>
        <w:t>1</w:t>
      </w:r>
      <w:r>
        <w:rPr>
          <w:color w:val="231F20"/>
          <w:spacing w:val="-16"/>
          <w:w w:val="105"/>
        </w:rPr>
        <w:t> </w:t>
      </w:r>
      <w:r>
        <w:rPr>
          <w:color w:val="231F20"/>
          <w:w w:val="105"/>
        </w:rPr>
        <w:t>ilustra este</w:t>
      </w:r>
      <w:r>
        <w:rPr>
          <w:color w:val="231F20"/>
          <w:spacing w:val="-19"/>
          <w:w w:val="105"/>
        </w:rPr>
        <w:t> </w:t>
      </w:r>
      <w:r>
        <w:rPr>
          <w:color w:val="231F20"/>
          <w:w w:val="105"/>
        </w:rPr>
        <w:t>mismo</w:t>
      </w:r>
      <w:r>
        <w:rPr>
          <w:color w:val="231F20"/>
          <w:spacing w:val="-19"/>
          <w:w w:val="105"/>
        </w:rPr>
        <w:t> </w:t>
      </w:r>
      <w:r>
        <w:rPr>
          <w:color w:val="231F20"/>
          <w:w w:val="105"/>
        </w:rPr>
        <w:t>escenario</w:t>
      </w:r>
      <w:r>
        <w:rPr>
          <w:color w:val="231F20"/>
          <w:spacing w:val="-19"/>
          <w:w w:val="105"/>
        </w:rPr>
        <w:t> </w:t>
      </w:r>
      <w:r>
        <w:rPr>
          <w:color w:val="231F20"/>
          <w:w w:val="105"/>
        </w:rPr>
        <w:t>pero</w:t>
      </w:r>
      <w:r>
        <w:rPr>
          <w:color w:val="231F20"/>
          <w:spacing w:val="-19"/>
          <w:w w:val="105"/>
        </w:rPr>
        <w:t> </w:t>
      </w:r>
      <w:r>
        <w:rPr>
          <w:color w:val="231F20"/>
          <w:w w:val="105"/>
        </w:rPr>
        <w:t>en</w:t>
      </w:r>
      <w:r>
        <w:rPr>
          <w:color w:val="231F20"/>
          <w:spacing w:val="-19"/>
          <w:w w:val="105"/>
        </w:rPr>
        <w:t> </w:t>
      </w:r>
      <w:r>
        <w:rPr>
          <w:color w:val="231F20"/>
          <w:w w:val="105"/>
        </w:rPr>
        <w:t>forma</w:t>
      </w:r>
      <w:r>
        <w:rPr>
          <w:color w:val="231F20"/>
          <w:spacing w:val="-19"/>
          <w:w w:val="105"/>
        </w:rPr>
        <w:t> </w:t>
      </w:r>
      <w:r>
        <w:rPr>
          <w:color w:val="231F20"/>
          <w:w w:val="105"/>
        </w:rPr>
        <w:t>gráfica.</w:t>
      </w:r>
    </w:p>
    <w:p>
      <w:pPr>
        <w:spacing w:after="0" w:line="259" w:lineRule="auto"/>
        <w:jc w:val="both"/>
        <w:sectPr>
          <w:type w:val="continuous"/>
          <w:pgSz w:w="9640" w:h="13890"/>
          <w:pgMar w:top="1300" w:bottom="280" w:left="1300" w:right="1180"/>
        </w:sectPr>
      </w:pPr>
    </w:p>
    <w:p>
      <w:pPr>
        <w:spacing w:before="118"/>
        <w:ind w:left="1001" w:right="17" w:firstLine="0"/>
        <w:jc w:val="left"/>
        <w:rPr>
          <w:sz w:val="18"/>
        </w:rPr>
      </w:pPr>
      <w:r>
        <w:rPr>
          <w:color w:val="231F20"/>
          <w:w w:val="105"/>
          <w:sz w:val="18"/>
        </w:rPr>
        <w:t>Tabla 1. Número de </w:t>
      </w:r>
      <w:r>
        <w:rPr>
          <w:i/>
          <w:color w:val="231F20"/>
          <w:w w:val="105"/>
          <w:sz w:val="18"/>
        </w:rPr>
        <w:t>joint ventures </w:t>
      </w:r>
      <w:r>
        <w:rPr>
          <w:color w:val="231F20"/>
          <w:w w:val="105"/>
          <w:sz w:val="18"/>
        </w:rPr>
        <w:t>por año (por área funcional)</w:t>
      </w:r>
    </w:p>
    <w:p>
      <w:pPr>
        <w:pStyle w:val="BodyText"/>
        <w:spacing w:before="5"/>
        <w:rPr>
          <w:sz w:val="13"/>
        </w:rPr>
      </w:pPr>
    </w:p>
    <w:tbl>
      <w:tblPr>
        <w:tblW w:w="0" w:type="auto"/>
        <w:jc w:val="left"/>
        <w:tblInd w:w="90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02"/>
        <w:gridCol w:w="850"/>
        <w:gridCol w:w="850"/>
        <w:gridCol w:w="850"/>
        <w:gridCol w:w="850"/>
      </w:tblGrid>
      <w:tr>
        <w:trPr>
          <w:trHeight w:val="340" w:hRule="exact"/>
        </w:trPr>
        <w:tc>
          <w:tcPr>
            <w:tcW w:w="1902" w:type="dxa"/>
            <w:vMerge w:val="restart"/>
          </w:tcPr>
          <w:p>
            <w:pPr>
              <w:pStyle w:val="TableParagraph"/>
              <w:spacing w:line="249" w:lineRule="auto" w:before="88"/>
              <w:ind w:left="434" w:hanging="300"/>
              <w:rPr>
                <w:sz w:val="18"/>
              </w:rPr>
            </w:pPr>
            <w:r>
              <w:rPr>
                <w:color w:val="231F20"/>
                <w:w w:val="105"/>
                <w:sz w:val="18"/>
              </w:rPr>
              <w:t>Área funcional de la joint venture</w:t>
            </w:r>
          </w:p>
        </w:tc>
        <w:tc>
          <w:tcPr>
            <w:tcW w:w="3402" w:type="dxa"/>
            <w:gridSpan w:val="4"/>
          </w:tcPr>
          <w:p>
            <w:pPr>
              <w:pStyle w:val="TableParagraph"/>
              <w:spacing w:before="88"/>
              <w:ind w:left="1509" w:right="1510"/>
              <w:jc w:val="center"/>
              <w:rPr>
                <w:sz w:val="18"/>
              </w:rPr>
            </w:pPr>
            <w:r>
              <w:rPr>
                <w:color w:val="231F20"/>
                <w:w w:val="105"/>
                <w:sz w:val="18"/>
              </w:rPr>
              <w:t>Año</w:t>
            </w:r>
          </w:p>
        </w:tc>
      </w:tr>
      <w:tr>
        <w:trPr>
          <w:trHeight w:val="340" w:hRule="exact"/>
        </w:trPr>
        <w:tc>
          <w:tcPr>
            <w:tcW w:w="1902" w:type="dxa"/>
            <w:vMerge/>
          </w:tcPr>
          <w:p>
            <w:pPr/>
          </w:p>
        </w:tc>
        <w:tc>
          <w:tcPr>
            <w:tcW w:w="850" w:type="dxa"/>
          </w:tcPr>
          <w:p>
            <w:pPr>
              <w:pStyle w:val="TableParagraph"/>
              <w:spacing w:before="88"/>
              <w:ind w:left="191" w:right="192"/>
              <w:jc w:val="center"/>
              <w:rPr>
                <w:sz w:val="18"/>
              </w:rPr>
            </w:pPr>
            <w:r>
              <w:rPr>
                <w:color w:val="231F20"/>
                <w:w w:val="105"/>
                <w:sz w:val="18"/>
              </w:rPr>
              <w:t>2000</w:t>
            </w:r>
          </w:p>
        </w:tc>
        <w:tc>
          <w:tcPr>
            <w:tcW w:w="850" w:type="dxa"/>
          </w:tcPr>
          <w:p>
            <w:pPr>
              <w:pStyle w:val="TableParagraph"/>
              <w:spacing w:before="88"/>
              <w:ind w:left="191" w:right="192"/>
              <w:jc w:val="center"/>
              <w:rPr>
                <w:sz w:val="18"/>
              </w:rPr>
            </w:pPr>
            <w:r>
              <w:rPr>
                <w:color w:val="231F20"/>
                <w:w w:val="105"/>
                <w:sz w:val="18"/>
              </w:rPr>
              <w:t>2001</w:t>
            </w:r>
          </w:p>
        </w:tc>
        <w:tc>
          <w:tcPr>
            <w:tcW w:w="850" w:type="dxa"/>
          </w:tcPr>
          <w:p>
            <w:pPr>
              <w:pStyle w:val="TableParagraph"/>
              <w:spacing w:before="88"/>
              <w:ind w:left="191" w:right="192"/>
              <w:jc w:val="center"/>
              <w:rPr>
                <w:sz w:val="18"/>
              </w:rPr>
            </w:pPr>
            <w:r>
              <w:rPr>
                <w:color w:val="231F20"/>
                <w:w w:val="105"/>
                <w:sz w:val="18"/>
              </w:rPr>
              <w:t>2002</w:t>
            </w:r>
          </w:p>
        </w:tc>
        <w:tc>
          <w:tcPr>
            <w:tcW w:w="850" w:type="dxa"/>
          </w:tcPr>
          <w:p>
            <w:pPr>
              <w:pStyle w:val="TableParagraph"/>
              <w:spacing w:before="88"/>
              <w:ind w:left="191" w:right="192"/>
              <w:jc w:val="center"/>
              <w:rPr>
                <w:sz w:val="18"/>
              </w:rPr>
            </w:pPr>
            <w:r>
              <w:rPr>
                <w:color w:val="231F20"/>
                <w:w w:val="105"/>
                <w:sz w:val="18"/>
              </w:rPr>
              <w:t>2003</w:t>
            </w:r>
          </w:p>
        </w:tc>
      </w:tr>
      <w:tr>
        <w:trPr>
          <w:trHeight w:val="340" w:hRule="exact"/>
        </w:trPr>
        <w:tc>
          <w:tcPr>
            <w:tcW w:w="1902" w:type="dxa"/>
          </w:tcPr>
          <w:p>
            <w:pPr>
              <w:pStyle w:val="TableParagraph"/>
              <w:spacing w:before="88"/>
              <w:ind w:left="77"/>
              <w:rPr>
                <w:sz w:val="18"/>
              </w:rPr>
            </w:pPr>
            <w:r>
              <w:rPr>
                <w:color w:val="231F20"/>
                <w:w w:val="105"/>
                <w:sz w:val="18"/>
              </w:rPr>
              <w:t>Manufactura</w:t>
            </w:r>
          </w:p>
        </w:tc>
        <w:tc>
          <w:tcPr>
            <w:tcW w:w="850" w:type="dxa"/>
          </w:tcPr>
          <w:p>
            <w:pPr>
              <w:pStyle w:val="TableParagraph"/>
              <w:spacing w:before="88"/>
              <w:ind w:left="191" w:right="192"/>
              <w:jc w:val="center"/>
              <w:rPr>
                <w:sz w:val="18"/>
              </w:rPr>
            </w:pPr>
            <w:r>
              <w:rPr>
                <w:color w:val="231F20"/>
                <w:w w:val="105"/>
                <w:sz w:val="18"/>
              </w:rPr>
              <w:t>46</w:t>
            </w:r>
          </w:p>
        </w:tc>
        <w:tc>
          <w:tcPr>
            <w:tcW w:w="850" w:type="dxa"/>
          </w:tcPr>
          <w:p>
            <w:pPr>
              <w:pStyle w:val="TableParagraph"/>
              <w:spacing w:before="88"/>
              <w:ind w:left="191" w:right="192"/>
              <w:jc w:val="center"/>
              <w:rPr>
                <w:sz w:val="18"/>
              </w:rPr>
            </w:pPr>
            <w:r>
              <w:rPr>
                <w:color w:val="231F20"/>
                <w:w w:val="105"/>
                <w:sz w:val="18"/>
              </w:rPr>
              <w:t>38</w:t>
            </w:r>
          </w:p>
        </w:tc>
        <w:tc>
          <w:tcPr>
            <w:tcW w:w="850" w:type="dxa"/>
          </w:tcPr>
          <w:p>
            <w:pPr>
              <w:pStyle w:val="TableParagraph"/>
              <w:spacing w:before="88"/>
              <w:ind w:left="191" w:right="192"/>
              <w:jc w:val="center"/>
              <w:rPr>
                <w:sz w:val="18"/>
              </w:rPr>
            </w:pPr>
            <w:r>
              <w:rPr>
                <w:color w:val="231F20"/>
                <w:w w:val="105"/>
                <w:sz w:val="18"/>
              </w:rPr>
              <w:t>11</w:t>
            </w:r>
          </w:p>
        </w:tc>
        <w:tc>
          <w:tcPr>
            <w:tcW w:w="850" w:type="dxa"/>
          </w:tcPr>
          <w:p>
            <w:pPr>
              <w:pStyle w:val="TableParagraph"/>
              <w:spacing w:before="88"/>
              <w:ind w:left="191" w:right="191"/>
              <w:jc w:val="center"/>
              <w:rPr>
                <w:sz w:val="18"/>
              </w:rPr>
            </w:pPr>
            <w:r>
              <w:rPr>
                <w:color w:val="231F20"/>
                <w:w w:val="105"/>
                <w:sz w:val="18"/>
              </w:rPr>
              <w:t>14</w:t>
            </w:r>
          </w:p>
        </w:tc>
      </w:tr>
      <w:tr>
        <w:trPr>
          <w:trHeight w:val="340" w:hRule="exact"/>
        </w:trPr>
        <w:tc>
          <w:tcPr>
            <w:tcW w:w="1902" w:type="dxa"/>
          </w:tcPr>
          <w:p>
            <w:pPr>
              <w:pStyle w:val="TableParagraph"/>
              <w:spacing w:before="88"/>
              <w:ind w:left="76"/>
              <w:rPr>
                <w:sz w:val="18"/>
              </w:rPr>
            </w:pPr>
            <w:r>
              <w:rPr>
                <w:color w:val="231F20"/>
                <w:w w:val="105"/>
                <w:sz w:val="18"/>
              </w:rPr>
              <w:t>Mercadotecnia</w:t>
            </w:r>
          </w:p>
        </w:tc>
        <w:tc>
          <w:tcPr>
            <w:tcW w:w="850" w:type="dxa"/>
          </w:tcPr>
          <w:p>
            <w:pPr>
              <w:pStyle w:val="TableParagraph"/>
              <w:spacing w:before="88"/>
              <w:ind w:left="191" w:right="192"/>
              <w:jc w:val="center"/>
              <w:rPr>
                <w:sz w:val="18"/>
              </w:rPr>
            </w:pPr>
            <w:r>
              <w:rPr>
                <w:color w:val="231F20"/>
                <w:w w:val="105"/>
                <w:sz w:val="18"/>
              </w:rPr>
              <w:t>37</w:t>
            </w:r>
          </w:p>
        </w:tc>
        <w:tc>
          <w:tcPr>
            <w:tcW w:w="850" w:type="dxa"/>
          </w:tcPr>
          <w:p>
            <w:pPr>
              <w:pStyle w:val="TableParagraph"/>
              <w:spacing w:before="88"/>
              <w:ind w:left="191" w:right="191"/>
              <w:jc w:val="center"/>
              <w:rPr>
                <w:sz w:val="18"/>
              </w:rPr>
            </w:pPr>
            <w:r>
              <w:rPr>
                <w:color w:val="231F20"/>
                <w:w w:val="105"/>
                <w:sz w:val="18"/>
              </w:rPr>
              <w:t>30</w:t>
            </w:r>
          </w:p>
        </w:tc>
        <w:tc>
          <w:tcPr>
            <w:tcW w:w="850" w:type="dxa"/>
          </w:tcPr>
          <w:p>
            <w:pPr>
              <w:pStyle w:val="TableParagraph"/>
              <w:spacing w:before="88"/>
              <w:ind w:left="191" w:right="191"/>
              <w:jc w:val="center"/>
              <w:rPr>
                <w:sz w:val="18"/>
              </w:rPr>
            </w:pPr>
            <w:r>
              <w:rPr>
                <w:color w:val="231F20"/>
                <w:w w:val="105"/>
                <w:sz w:val="18"/>
              </w:rPr>
              <w:t>13</w:t>
            </w:r>
          </w:p>
        </w:tc>
        <w:tc>
          <w:tcPr>
            <w:tcW w:w="850" w:type="dxa"/>
          </w:tcPr>
          <w:p>
            <w:pPr>
              <w:pStyle w:val="TableParagraph"/>
              <w:spacing w:before="88"/>
              <w:ind w:right="1"/>
              <w:jc w:val="center"/>
              <w:rPr>
                <w:sz w:val="18"/>
              </w:rPr>
            </w:pPr>
            <w:r>
              <w:rPr>
                <w:color w:val="231F20"/>
                <w:w w:val="104"/>
                <w:sz w:val="18"/>
              </w:rPr>
              <w:t>7</w:t>
            </w:r>
          </w:p>
        </w:tc>
      </w:tr>
      <w:tr>
        <w:trPr>
          <w:trHeight w:val="340" w:hRule="exact"/>
        </w:trPr>
        <w:tc>
          <w:tcPr>
            <w:tcW w:w="1902" w:type="dxa"/>
          </w:tcPr>
          <w:p>
            <w:pPr>
              <w:pStyle w:val="TableParagraph"/>
              <w:spacing w:before="88"/>
              <w:ind w:left="76"/>
              <w:rPr>
                <w:sz w:val="18"/>
              </w:rPr>
            </w:pPr>
            <w:r>
              <w:rPr>
                <w:color w:val="231F20"/>
                <w:w w:val="105"/>
                <w:sz w:val="18"/>
              </w:rPr>
              <w:t>Total</w:t>
            </w:r>
          </w:p>
        </w:tc>
        <w:tc>
          <w:tcPr>
            <w:tcW w:w="850" w:type="dxa"/>
          </w:tcPr>
          <w:p>
            <w:pPr>
              <w:pStyle w:val="TableParagraph"/>
              <w:spacing w:before="88"/>
              <w:ind w:left="191" w:right="191"/>
              <w:jc w:val="center"/>
              <w:rPr>
                <w:sz w:val="18"/>
              </w:rPr>
            </w:pPr>
            <w:r>
              <w:rPr>
                <w:color w:val="231F20"/>
                <w:w w:val="105"/>
                <w:sz w:val="18"/>
              </w:rPr>
              <w:t>83</w:t>
            </w:r>
          </w:p>
        </w:tc>
        <w:tc>
          <w:tcPr>
            <w:tcW w:w="850" w:type="dxa"/>
          </w:tcPr>
          <w:p>
            <w:pPr>
              <w:pStyle w:val="TableParagraph"/>
              <w:spacing w:before="88"/>
              <w:ind w:left="191" w:right="191"/>
              <w:jc w:val="center"/>
              <w:rPr>
                <w:sz w:val="18"/>
              </w:rPr>
            </w:pPr>
            <w:r>
              <w:rPr>
                <w:color w:val="231F20"/>
                <w:w w:val="105"/>
                <w:sz w:val="18"/>
              </w:rPr>
              <w:t>68</w:t>
            </w:r>
          </w:p>
        </w:tc>
        <w:tc>
          <w:tcPr>
            <w:tcW w:w="850" w:type="dxa"/>
          </w:tcPr>
          <w:p>
            <w:pPr>
              <w:pStyle w:val="TableParagraph"/>
              <w:spacing w:before="88"/>
              <w:ind w:left="191" w:right="191"/>
              <w:jc w:val="center"/>
              <w:rPr>
                <w:sz w:val="18"/>
              </w:rPr>
            </w:pPr>
            <w:r>
              <w:rPr>
                <w:color w:val="231F20"/>
                <w:w w:val="105"/>
                <w:sz w:val="18"/>
              </w:rPr>
              <w:t>24</w:t>
            </w:r>
          </w:p>
        </w:tc>
        <w:tc>
          <w:tcPr>
            <w:tcW w:w="850" w:type="dxa"/>
          </w:tcPr>
          <w:p>
            <w:pPr>
              <w:pStyle w:val="TableParagraph"/>
              <w:spacing w:before="88"/>
              <w:ind w:left="191" w:right="191"/>
              <w:jc w:val="center"/>
              <w:rPr>
                <w:sz w:val="18"/>
              </w:rPr>
            </w:pPr>
            <w:r>
              <w:rPr>
                <w:color w:val="231F20"/>
                <w:w w:val="105"/>
                <w:sz w:val="18"/>
              </w:rPr>
              <w:t>21</w:t>
            </w:r>
          </w:p>
        </w:tc>
      </w:tr>
    </w:tbl>
    <w:p>
      <w:pPr>
        <w:spacing w:before="18"/>
        <w:ind w:left="103" w:right="0" w:firstLine="0"/>
        <w:jc w:val="both"/>
        <w:rPr>
          <w:sz w:val="16"/>
        </w:rPr>
      </w:pPr>
      <w:r>
        <w:rPr>
          <w:color w:val="231F20"/>
          <w:w w:val="105"/>
          <w:sz w:val="16"/>
        </w:rPr>
        <w:t>Fuente: Elaboración propia con datos de SDC Platinum</w:t>
      </w:r>
    </w:p>
    <w:p>
      <w:pPr>
        <w:pStyle w:val="BodyText"/>
        <w:spacing w:before="8"/>
        <w:rPr>
          <w:sz w:val="23"/>
        </w:rPr>
      </w:pPr>
    </w:p>
    <w:p>
      <w:pPr>
        <w:spacing w:before="0"/>
        <w:ind w:left="122" w:right="0" w:firstLine="0"/>
        <w:jc w:val="both"/>
        <w:rPr>
          <w:sz w:val="18"/>
        </w:rPr>
      </w:pPr>
      <w:r>
        <w:rPr>
          <w:color w:val="231F20"/>
          <w:spacing w:val="-3"/>
          <w:w w:val="105"/>
          <w:sz w:val="18"/>
        </w:rPr>
        <w:t>Figura</w:t>
      </w:r>
      <w:r>
        <w:rPr>
          <w:color w:val="231F20"/>
          <w:spacing w:val="-19"/>
          <w:w w:val="105"/>
          <w:sz w:val="18"/>
        </w:rPr>
        <w:t> </w:t>
      </w:r>
      <w:r>
        <w:rPr>
          <w:color w:val="231F20"/>
          <w:w w:val="105"/>
          <w:sz w:val="18"/>
        </w:rPr>
        <w:t>1.</w:t>
      </w:r>
      <w:r>
        <w:rPr>
          <w:color w:val="231F20"/>
          <w:spacing w:val="-23"/>
          <w:w w:val="105"/>
          <w:sz w:val="18"/>
        </w:rPr>
        <w:t> </w:t>
      </w:r>
      <w:r>
        <w:rPr>
          <w:color w:val="231F20"/>
          <w:spacing w:val="-3"/>
          <w:w w:val="105"/>
          <w:sz w:val="18"/>
        </w:rPr>
        <w:t>Representación</w:t>
      </w:r>
      <w:r>
        <w:rPr>
          <w:color w:val="231F20"/>
          <w:spacing w:val="-19"/>
          <w:w w:val="105"/>
          <w:sz w:val="18"/>
        </w:rPr>
        <w:t> </w:t>
      </w:r>
      <w:r>
        <w:rPr>
          <w:color w:val="231F20"/>
          <w:w w:val="105"/>
          <w:sz w:val="18"/>
        </w:rPr>
        <w:t>gráfica</w:t>
      </w:r>
      <w:r>
        <w:rPr>
          <w:color w:val="231F20"/>
          <w:spacing w:val="-19"/>
          <w:w w:val="105"/>
          <w:sz w:val="18"/>
        </w:rPr>
        <w:t> </w:t>
      </w:r>
      <w:r>
        <w:rPr>
          <w:color w:val="231F20"/>
          <w:w w:val="105"/>
          <w:sz w:val="18"/>
        </w:rPr>
        <w:t>del</w:t>
      </w:r>
      <w:r>
        <w:rPr>
          <w:color w:val="231F20"/>
          <w:spacing w:val="-19"/>
          <w:w w:val="105"/>
          <w:sz w:val="18"/>
        </w:rPr>
        <w:t> </w:t>
      </w:r>
      <w:r>
        <w:rPr>
          <w:color w:val="231F20"/>
          <w:spacing w:val="-3"/>
          <w:w w:val="105"/>
          <w:sz w:val="18"/>
        </w:rPr>
        <w:t>número</w:t>
      </w:r>
      <w:r>
        <w:rPr>
          <w:color w:val="231F20"/>
          <w:spacing w:val="-19"/>
          <w:w w:val="105"/>
          <w:sz w:val="18"/>
        </w:rPr>
        <w:t> </w:t>
      </w:r>
      <w:r>
        <w:rPr>
          <w:color w:val="231F20"/>
          <w:w w:val="105"/>
          <w:sz w:val="18"/>
        </w:rPr>
        <w:t>de</w:t>
      </w:r>
      <w:r>
        <w:rPr>
          <w:color w:val="231F20"/>
          <w:spacing w:val="-19"/>
          <w:w w:val="105"/>
          <w:sz w:val="18"/>
        </w:rPr>
        <w:t> </w:t>
      </w:r>
      <w:r>
        <w:rPr>
          <w:i/>
          <w:color w:val="231F20"/>
          <w:w w:val="105"/>
          <w:sz w:val="18"/>
        </w:rPr>
        <w:t>joint</w:t>
      </w:r>
      <w:r>
        <w:rPr>
          <w:i/>
          <w:color w:val="231F20"/>
          <w:spacing w:val="-19"/>
          <w:w w:val="105"/>
          <w:sz w:val="18"/>
        </w:rPr>
        <w:t> </w:t>
      </w:r>
      <w:r>
        <w:rPr>
          <w:i/>
          <w:color w:val="231F20"/>
          <w:w w:val="105"/>
          <w:sz w:val="18"/>
        </w:rPr>
        <w:t>ventures</w:t>
      </w:r>
      <w:r>
        <w:rPr>
          <w:i/>
          <w:color w:val="231F20"/>
          <w:spacing w:val="-19"/>
          <w:w w:val="105"/>
          <w:sz w:val="18"/>
        </w:rPr>
        <w:t> </w:t>
      </w:r>
      <w:r>
        <w:rPr>
          <w:color w:val="231F20"/>
          <w:w w:val="105"/>
          <w:sz w:val="18"/>
        </w:rPr>
        <w:t>en</w:t>
      </w:r>
      <w:r>
        <w:rPr>
          <w:color w:val="231F20"/>
          <w:spacing w:val="-19"/>
          <w:w w:val="105"/>
          <w:sz w:val="18"/>
        </w:rPr>
        <w:t> </w:t>
      </w:r>
      <w:r>
        <w:rPr>
          <w:color w:val="231F20"/>
          <w:w w:val="105"/>
          <w:sz w:val="18"/>
        </w:rPr>
        <w:t>la</w:t>
      </w:r>
      <w:r>
        <w:rPr>
          <w:color w:val="231F20"/>
          <w:spacing w:val="-19"/>
          <w:w w:val="105"/>
          <w:sz w:val="18"/>
        </w:rPr>
        <w:t> </w:t>
      </w:r>
      <w:r>
        <w:rPr>
          <w:color w:val="231F20"/>
          <w:spacing w:val="-3"/>
          <w:w w:val="105"/>
          <w:sz w:val="18"/>
        </w:rPr>
        <w:t>muestra</w:t>
      </w:r>
      <w:r>
        <w:rPr>
          <w:color w:val="231F20"/>
          <w:spacing w:val="-19"/>
          <w:w w:val="105"/>
          <w:sz w:val="18"/>
        </w:rPr>
        <w:t> </w:t>
      </w:r>
      <w:r>
        <w:rPr>
          <w:color w:val="231F20"/>
          <w:w w:val="105"/>
          <w:sz w:val="18"/>
        </w:rPr>
        <w:t>(por</w:t>
      </w:r>
      <w:r>
        <w:rPr>
          <w:color w:val="231F20"/>
          <w:spacing w:val="-19"/>
          <w:w w:val="105"/>
          <w:sz w:val="18"/>
        </w:rPr>
        <w:t> </w:t>
      </w:r>
      <w:r>
        <w:rPr>
          <w:color w:val="231F20"/>
          <w:w w:val="105"/>
          <w:sz w:val="18"/>
        </w:rPr>
        <w:t>año)</w:t>
      </w:r>
    </w:p>
    <w:p>
      <w:pPr>
        <w:pStyle w:val="BodyText"/>
        <w:spacing w:before="2"/>
        <w:rPr>
          <w:sz w:val="22"/>
        </w:rPr>
      </w:pPr>
    </w:p>
    <w:p>
      <w:pPr>
        <w:spacing w:line="180" w:lineRule="exact" w:before="0"/>
        <w:ind w:left="273" w:right="6041" w:firstLine="0"/>
        <w:jc w:val="center"/>
        <w:rPr>
          <w:rFonts w:ascii="Palatino Linotype" w:hAnsi="Palatino Linotype"/>
          <w:sz w:val="15"/>
        </w:rPr>
      </w:pPr>
      <w:r>
        <w:rPr/>
        <w:drawing>
          <wp:anchor distT="0" distB="0" distL="0" distR="0" allowOverlap="1" layoutInCell="1" locked="0" behindDoc="0" simplePos="0" relativeHeight="5656">
            <wp:simplePos x="0" y="0"/>
            <wp:positionH relativeFrom="page">
              <wp:posOffset>1616685</wp:posOffset>
            </wp:positionH>
            <wp:positionV relativeFrom="paragraph">
              <wp:posOffset>-66474</wp:posOffset>
            </wp:positionV>
            <wp:extent cx="3531314" cy="2620799"/>
            <wp:effectExtent l="0" t="0" r="0" b="0"/>
            <wp:wrapNone/>
            <wp:docPr id="29" name="image59.png" descr=""/>
            <wp:cNvGraphicFramePr>
              <a:graphicFrameLocks noChangeAspect="1"/>
            </wp:cNvGraphicFramePr>
            <a:graphic>
              <a:graphicData uri="http://schemas.openxmlformats.org/drawingml/2006/picture">
                <pic:pic>
                  <pic:nvPicPr>
                    <pic:cNvPr id="30" name="image59.png"/>
                    <pic:cNvPicPr/>
                  </pic:nvPicPr>
                  <pic:blipFill>
                    <a:blip r:embed="rId81" cstate="print"/>
                    <a:stretch>
                      <a:fillRect/>
                    </a:stretch>
                  </pic:blipFill>
                  <pic:spPr>
                    <a:xfrm>
                      <a:off x="0" y="0"/>
                      <a:ext cx="3531314" cy="2620799"/>
                    </a:xfrm>
                    <a:prstGeom prst="rect">
                      <a:avLst/>
                    </a:prstGeom>
                  </pic:spPr>
                </pic:pic>
              </a:graphicData>
            </a:graphic>
          </wp:anchor>
        </w:drawing>
      </w:r>
      <w:r>
        <w:rPr>
          <w:rFonts w:ascii="Palatino Linotype" w:hAnsi="Palatino Linotype"/>
          <w:color w:val="231F20"/>
          <w:w w:val="95"/>
          <w:sz w:val="15"/>
        </w:rPr>
        <w:t>Número de </w:t>
      </w:r>
      <w:r>
        <w:rPr>
          <w:rFonts w:ascii="Palatino Linotype" w:hAnsi="Palatino Linotype"/>
          <w:color w:val="231F20"/>
          <w:w w:val="90"/>
          <w:sz w:val="15"/>
        </w:rPr>
        <w:t>joint ventures </w:t>
      </w:r>
      <w:r>
        <w:rPr>
          <w:rFonts w:ascii="Palatino Linotype" w:hAnsi="Palatino Linotype"/>
          <w:color w:val="231F20"/>
          <w:sz w:val="15"/>
        </w:rPr>
        <w:t>formadas</w:t>
      </w: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rPr>
          <w:rFonts w:ascii="Palatino Linotype"/>
          <w:sz w:val="14"/>
        </w:rPr>
      </w:pPr>
    </w:p>
    <w:p>
      <w:pPr>
        <w:pStyle w:val="BodyText"/>
        <w:spacing w:before="6"/>
        <w:rPr>
          <w:rFonts w:ascii="Palatino Linotype"/>
          <w:sz w:val="13"/>
        </w:rPr>
      </w:pPr>
    </w:p>
    <w:p>
      <w:pPr>
        <w:spacing w:before="0"/>
        <w:ind w:left="103" w:right="0" w:firstLine="0"/>
        <w:jc w:val="both"/>
        <w:rPr>
          <w:sz w:val="16"/>
        </w:rPr>
      </w:pPr>
      <w:r>
        <w:rPr>
          <w:color w:val="231F20"/>
          <w:w w:val="105"/>
          <w:sz w:val="16"/>
        </w:rPr>
        <w:t>Fuente: Elaboración propia con datos de SDC Platinum</w:t>
      </w:r>
    </w:p>
    <w:p>
      <w:pPr>
        <w:pStyle w:val="BodyText"/>
        <w:rPr>
          <w:sz w:val="16"/>
        </w:rPr>
      </w:pPr>
    </w:p>
    <w:p>
      <w:pPr>
        <w:pStyle w:val="BodyText"/>
        <w:spacing w:before="2"/>
        <w:rPr>
          <w:sz w:val="23"/>
        </w:rPr>
      </w:pPr>
    </w:p>
    <w:p>
      <w:pPr>
        <w:spacing w:before="0"/>
        <w:ind w:left="103" w:right="0" w:firstLine="0"/>
        <w:jc w:val="both"/>
        <w:rPr>
          <w:i/>
          <w:sz w:val="21"/>
        </w:rPr>
      </w:pPr>
      <w:r>
        <w:rPr>
          <w:i/>
          <w:color w:val="231F20"/>
          <w:w w:val="105"/>
          <w:sz w:val="21"/>
        </w:rPr>
        <w:t>Operacionalización de variables</w:t>
      </w:r>
    </w:p>
    <w:p>
      <w:pPr>
        <w:pStyle w:val="BodyText"/>
        <w:spacing w:before="4"/>
        <w:rPr>
          <w:i/>
          <w:sz w:val="16"/>
        </w:rPr>
      </w:pPr>
    </w:p>
    <w:p>
      <w:pPr>
        <w:pStyle w:val="BodyText"/>
        <w:spacing w:line="259" w:lineRule="auto"/>
        <w:ind w:left="103" w:right="111"/>
        <w:jc w:val="both"/>
      </w:pPr>
      <w:r>
        <w:rPr>
          <w:i/>
          <w:color w:val="231F20"/>
          <w:w w:val="105"/>
        </w:rPr>
        <w:t>Variable</w:t>
      </w:r>
      <w:r>
        <w:rPr>
          <w:i/>
          <w:color w:val="231F20"/>
          <w:spacing w:val="-22"/>
          <w:w w:val="105"/>
        </w:rPr>
        <w:t> </w:t>
      </w:r>
      <w:r>
        <w:rPr>
          <w:i/>
          <w:color w:val="231F20"/>
          <w:w w:val="105"/>
        </w:rPr>
        <w:t>dependiente:</w:t>
      </w:r>
      <w:r>
        <w:rPr>
          <w:i/>
          <w:color w:val="231F20"/>
          <w:spacing w:val="-22"/>
          <w:w w:val="105"/>
        </w:rPr>
        <w:t> </w:t>
      </w:r>
      <w:r>
        <w:rPr>
          <w:i/>
          <w:color w:val="231F20"/>
          <w:w w:val="105"/>
        </w:rPr>
        <w:t>Retorno</w:t>
      </w:r>
      <w:r>
        <w:rPr>
          <w:i/>
          <w:color w:val="231F20"/>
          <w:spacing w:val="-22"/>
          <w:w w:val="105"/>
        </w:rPr>
        <w:t> </w:t>
      </w:r>
      <w:r>
        <w:rPr>
          <w:i/>
          <w:color w:val="231F20"/>
          <w:w w:val="105"/>
        </w:rPr>
        <w:t>sobre</w:t>
      </w:r>
      <w:r>
        <w:rPr>
          <w:i/>
          <w:color w:val="231F20"/>
          <w:spacing w:val="-22"/>
          <w:w w:val="105"/>
        </w:rPr>
        <w:t> </w:t>
      </w:r>
      <w:r>
        <w:rPr>
          <w:i/>
          <w:color w:val="231F20"/>
          <w:w w:val="105"/>
        </w:rPr>
        <w:t>los</w:t>
      </w:r>
      <w:r>
        <w:rPr>
          <w:i/>
          <w:color w:val="231F20"/>
          <w:spacing w:val="-22"/>
          <w:w w:val="105"/>
        </w:rPr>
        <w:t> </w:t>
      </w:r>
      <w:r>
        <w:rPr>
          <w:i/>
          <w:color w:val="231F20"/>
          <w:w w:val="105"/>
        </w:rPr>
        <w:t>activos</w:t>
      </w:r>
      <w:r>
        <w:rPr>
          <w:i/>
          <w:color w:val="231F20"/>
          <w:spacing w:val="-22"/>
          <w:w w:val="105"/>
        </w:rPr>
        <w:t> </w:t>
      </w:r>
      <w:r>
        <w:rPr>
          <w:i/>
          <w:color w:val="231F20"/>
          <w:w w:val="105"/>
        </w:rPr>
        <w:t>(ROA</w:t>
      </w:r>
      <w:r>
        <w:rPr>
          <w:i/>
          <w:color w:val="231F20"/>
          <w:spacing w:val="-25"/>
          <w:w w:val="105"/>
        </w:rPr>
        <w:t> </w:t>
      </w:r>
      <w:r>
        <w:rPr>
          <w:i/>
          <w:color w:val="231F20"/>
          <w:w w:val="105"/>
        </w:rPr>
        <w:t>o</w:t>
      </w:r>
      <w:r>
        <w:rPr>
          <w:i/>
          <w:color w:val="231F20"/>
          <w:spacing w:val="-22"/>
          <w:w w:val="105"/>
        </w:rPr>
        <w:t> </w:t>
      </w:r>
      <w:r>
        <w:rPr>
          <w:i/>
          <w:color w:val="231F20"/>
          <w:w w:val="105"/>
        </w:rPr>
        <w:t>return</w:t>
      </w:r>
      <w:r>
        <w:rPr>
          <w:i/>
          <w:color w:val="231F20"/>
          <w:spacing w:val="-22"/>
          <w:w w:val="105"/>
        </w:rPr>
        <w:t> </w:t>
      </w:r>
      <w:r>
        <w:rPr>
          <w:i/>
          <w:color w:val="231F20"/>
          <w:w w:val="105"/>
        </w:rPr>
        <w:t>on</w:t>
      </w:r>
      <w:r>
        <w:rPr>
          <w:i/>
          <w:color w:val="231F20"/>
          <w:spacing w:val="-22"/>
          <w:w w:val="105"/>
        </w:rPr>
        <w:t> </w:t>
      </w:r>
      <w:r>
        <w:rPr>
          <w:i/>
          <w:color w:val="231F20"/>
          <w:w w:val="105"/>
        </w:rPr>
        <w:t>assets </w:t>
      </w:r>
      <w:r>
        <w:rPr>
          <w:i/>
          <w:color w:val="231F20"/>
          <w:w w:val="105"/>
        </w:rPr>
        <w:t>por</w:t>
      </w:r>
      <w:r>
        <w:rPr>
          <w:i/>
          <w:color w:val="231F20"/>
          <w:spacing w:val="-13"/>
          <w:w w:val="105"/>
        </w:rPr>
        <w:t> </w:t>
      </w:r>
      <w:r>
        <w:rPr>
          <w:i/>
          <w:color w:val="231F20"/>
          <w:w w:val="105"/>
        </w:rPr>
        <w:t>su</w:t>
      </w:r>
      <w:r>
        <w:rPr>
          <w:i/>
          <w:color w:val="231F20"/>
          <w:spacing w:val="-13"/>
          <w:w w:val="105"/>
        </w:rPr>
        <w:t> </w:t>
      </w:r>
      <w:r>
        <w:rPr>
          <w:i/>
          <w:color w:val="231F20"/>
          <w:w w:val="105"/>
        </w:rPr>
        <w:t>acrónimo</w:t>
      </w:r>
      <w:r>
        <w:rPr>
          <w:i/>
          <w:color w:val="231F20"/>
          <w:spacing w:val="-13"/>
          <w:w w:val="105"/>
        </w:rPr>
        <w:t> </w:t>
      </w:r>
      <w:r>
        <w:rPr>
          <w:i/>
          <w:color w:val="231F20"/>
          <w:w w:val="105"/>
        </w:rPr>
        <w:t>en</w:t>
      </w:r>
      <w:r>
        <w:rPr>
          <w:i/>
          <w:color w:val="231F20"/>
          <w:spacing w:val="-13"/>
          <w:w w:val="105"/>
        </w:rPr>
        <w:t> </w:t>
      </w:r>
      <w:r>
        <w:rPr>
          <w:i/>
          <w:color w:val="231F20"/>
          <w:w w:val="105"/>
        </w:rPr>
        <w:t>inglés)</w:t>
      </w:r>
      <w:r>
        <w:rPr>
          <w:color w:val="231F20"/>
          <w:w w:val="105"/>
        </w:rPr>
        <w:t>.</w:t>
      </w:r>
      <w:r>
        <w:rPr>
          <w:color w:val="231F20"/>
          <w:spacing w:val="-17"/>
          <w:w w:val="105"/>
        </w:rPr>
        <w:t> </w:t>
      </w:r>
      <w:r>
        <w:rPr>
          <w:color w:val="231F20"/>
          <w:w w:val="105"/>
        </w:rPr>
        <w:t>Esta</w:t>
      </w:r>
      <w:r>
        <w:rPr>
          <w:color w:val="231F20"/>
          <w:spacing w:val="-13"/>
          <w:w w:val="105"/>
        </w:rPr>
        <w:t> </w:t>
      </w:r>
      <w:r>
        <w:rPr>
          <w:color w:val="231F20"/>
          <w:w w:val="105"/>
        </w:rPr>
        <w:t>variable</w:t>
      </w:r>
      <w:r>
        <w:rPr>
          <w:color w:val="231F20"/>
          <w:spacing w:val="-13"/>
          <w:w w:val="105"/>
        </w:rPr>
        <w:t> </w:t>
      </w:r>
      <w:r>
        <w:rPr>
          <w:color w:val="231F20"/>
          <w:w w:val="105"/>
        </w:rPr>
        <w:t>se</w:t>
      </w:r>
      <w:r>
        <w:rPr>
          <w:color w:val="231F20"/>
          <w:spacing w:val="-13"/>
          <w:w w:val="105"/>
        </w:rPr>
        <w:t> </w:t>
      </w:r>
      <w:r>
        <w:rPr>
          <w:color w:val="231F20"/>
          <w:w w:val="105"/>
        </w:rPr>
        <w:t>midió</w:t>
      </w:r>
      <w:r>
        <w:rPr>
          <w:color w:val="231F20"/>
          <w:spacing w:val="-13"/>
          <w:w w:val="105"/>
        </w:rPr>
        <w:t> </w:t>
      </w:r>
      <w:r>
        <w:rPr>
          <w:color w:val="231F20"/>
          <w:w w:val="105"/>
        </w:rPr>
        <w:t>para</w:t>
      </w:r>
      <w:r>
        <w:rPr>
          <w:color w:val="231F20"/>
          <w:spacing w:val="-13"/>
          <w:w w:val="105"/>
        </w:rPr>
        <w:t> </w:t>
      </w:r>
      <w:r>
        <w:rPr>
          <w:color w:val="231F20"/>
          <w:w w:val="105"/>
        </w:rPr>
        <w:t>las</w:t>
      </w:r>
      <w:r>
        <w:rPr>
          <w:color w:val="231F20"/>
          <w:spacing w:val="-13"/>
          <w:w w:val="105"/>
        </w:rPr>
        <w:t> </w:t>
      </w:r>
      <w:r>
        <w:rPr>
          <w:color w:val="231F20"/>
          <w:w w:val="105"/>
        </w:rPr>
        <w:t>empresas</w:t>
      </w:r>
      <w:r>
        <w:rPr>
          <w:color w:val="231F20"/>
          <w:spacing w:val="-13"/>
          <w:w w:val="105"/>
        </w:rPr>
        <w:t> </w:t>
      </w:r>
      <w:r>
        <w:rPr>
          <w:color w:val="231F20"/>
          <w:w w:val="105"/>
        </w:rPr>
        <w:t>in- cluidas en la muestra durante diez años antes del anuncio de la</w:t>
      </w:r>
      <w:r>
        <w:rPr>
          <w:color w:val="231F20"/>
          <w:spacing w:val="-14"/>
          <w:w w:val="105"/>
        </w:rPr>
        <w:t> </w:t>
      </w:r>
      <w:r>
        <w:rPr>
          <w:color w:val="231F20"/>
          <w:w w:val="105"/>
        </w:rPr>
        <w:t>forma- ción</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i/>
          <w:color w:val="231F20"/>
          <w:w w:val="105"/>
        </w:rPr>
        <w:t>joint</w:t>
      </w:r>
      <w:r>
        <w:rPr>
          <w:i/>
          <w:color w:val="231F20"/>
          <w:spacing w:val="-19"/>
          <w:w w:val="105"/>
        </w:rPr>
        <w:t> </w:t>
      </w:r>
      <w:r>
        <w:rPr>
          <w:i/>
          <w:color w:val="231F20"/>
          <w:w w:val="105"/>
        </w:rPr>
        <w:t>venture</w:t>
      </w:r>
      <w:r>
        <w:rPr>
          <w:i/>
          <w:color w:val="231F20"/>
          <w:spacing w:val="-19"/>
          <w:w w:val="105"/>
        </w:rPr>
        <w:t> </w:t>
      </w:r>
      <w:r>
        <w:rPr>
          <w:color w:val="231F20"/>
          <w:w w:val="105"/>
        </w:rPr>
        <w:t>en</w:t>
      </w:r>
      <w:r>
        <w:rPr>
          <w:color w:val="231F20"/>
          <w:spacing w:val="-19"/>
          <w:w w:val="105"/>
        </w:rPr>
        <w:t> </w:t>
      </w:r>
      <w:r>
        <w:rPr>
          <w:color w:val="231F20"/>
          <w:w w:val="105"/>
        </w:rPr>
        <w:t>particular</w:t>
      </w:r>
      <w:r>
        <w:rPr>
          <w:color w:val="231F20"/>
          <w:spacing w:val="-19"/>
          <w:w w:val="105"/>
        </w:rPr>
        <w:t> </w:t>
      </w:r>
      <w:r>
        <w:rPr>
          <w:color w:val="231F20"/>
          <w:w w:val="105"/>
        </w:rPr>
        <w:t>y</w:t>
      </w:r>
      <w:r>
        <w:rPr>
          <w:color w:val="231F20"/>
          <w:spacing w:val="-19"/>
          <w:w w:val="105"/>
        </w:rPr>
        <w:t> </w:t>
      </w:r>
      <w:r>
        <w:rPr>
          <w:color w:val="231F20"/>
          <w:w w:val="105"/>
        </w:rPr>
        <w:t>durante</w:t>
      </w:r>
      <w:r>
        <w:rPr>
          <w:color w:val="231F20"/>
          <w:spacing w:val="-19"/>
          <w:w w:val="105"/>
        </w:rPr>
        <w:t> </w:t>
      </w:r>
      <w:r>
        <w:rPr>
          <w:color w:val="231F20"/>
          <w:w w:val="105"/>
        </w:rPr>
        <w:t>los</w:t>
      </w:r>
      <w:r>
        <w:rPr>
          <w:color w:val="231F20"/>
          <w:spacing w:val="-19"/>
          <w:w w:val="105"/>
        </w:rPr>
        <w:t> </w:t>
      </w:r>
      <w:r>
        <w:rPr>
          <w:color w:val="231F20"/>
          <w:w w:val="105"/>
        </w:rPr>
        <w:t>diez</w:t>
      </w:r>
      <w:r>
        <w:rPr>
          <w:color w:val="231F20"/>
          <w:spacing w:val="-19"/>
          <w:w w:val="105"/>
        </w:rPr>
        <w:t> </w:t>
      </w:r>
      <w:r>
        <w:rPr>
          <w:color w:val="231F20"/>
          <w:w w:val="105"/>
        </w:rPr>
        <w:t>años</w:t>
      </w:r>
      <w:r>
        <w:rPr>
          <w:color w:val="231F20"/>
          <w:spacing w:val="-19"/>
          <w:w w:val="105"/>
        </w:rPr>
        <w:t> </w:t>
      </w:r>
      <w:r>
        <w:rPr>
          <w:color w:val="231F20"/>
          <w:w w:val="105"/>
        </w:rPr>
        <w:t>inmediatos posteriores</w:t>
      </w:r>
      <w:r>
        <w:rPr>
          <w:color w:val="231F20"/>
          <w:spacing w:val="-22"/>
          <w:w w:val="105"/>
        </w:rPr>
        <w:t> </w:t>
      </w:r>
      <w:r>
        <w:rPr>
          <w:color w:val="231F20"/>
          <w:w w:val="105"/>
        </w:rPr>
        <w:t>a</w:t>
      </w:r>
      <w:r>
        <w:rPr>
          <w:color w:val="231F20"/>
          <w:spacing w:val="-22"/>
          <w:w w:val="105"/>
        </w:rPr>
        <w:t> </w:t>
      </w:r>
      <w:r>
        <w:rPr>
          <w:color w:val="231F20"/>
          <w:w w:val="105"/>
        </w:rPr>
        <w:t>este</w:t>
      </w:r>
      <w:r>
        <w:rPr>
          <w:color w:val="231F20"/>
          <w:spacing w:val="-22"/>
          <w:w w:val="105"/>
        </w:rPr>
        <w:t> </w:t>
      </w:r>
      <w:r>
        <w:rPr>
          <w:color w:val="231F20"/>
          <w:w w:val="105"/>
        </w:rPr>
        <w:t>evento.</w:t>
      </w:r>
      <w:r>
        <w:rPr>
          <w:color w:val="231F20"/>
          <w:spacing w:val="-28"/>
          <w:w w:val="105"/>
        </w:rPr>
        <w:t> </w:t>
      </w:r>
      <w:r>
        <w:rPr>
          <w:color w:val="231F20"/>
          <w:w w:val="105"/>
        </w:rPr>
        <w:t>En</w:t>
      </w:r>
      <w:r>
        <w:rPr>
          <w:color w:val="231F20"/>
          <w:spacing w:val="-22"/>
          <w:w w:val="105"/>
        </w:rPr>
        <w:t> </w:t>
      </w:r>
      <w:r>
        <w:rPr>
          <w:color w:val="231F20"/>
          <w:w w:val="105"/>
        </w:rPr>
        <w:t>este</w:t>
      </w:r>
      <w:r>
        <w:rPr>
          <w:color w:val="231F20"/>
          <w:spacing w:val="-22"/>
          <w:w w:val="105"/>
        </w:rPr>
        <w:t> </w:t>
      </w:r>
      <w:r>
        <w:rPr>
          <w:color w:val="231F20"/>
          <w:w w:val="105"/>
        </w:rPr>
        <w:t>intervalo</w:t>
      </w:r>
      <w:r>
        <w:rPr>
          <w:color w:val="231F20"/>
          <w:spacing w:val="-22"/>
          <w:w w:val="105"/>
        </w:rPr>
        <w:t> </w:t>
      </w:r>
      <w:r>
        <w:rPr>
          <w:color w:val="231F20"/>
          <w:w w:val="105"/>
        </w:rPr>
        <w:t>de</w:t>
      </w:r>
      <w:r>
        <w:rPr>
          <w:color w:val="231F20"/>
          <w:spacing w:val="-22"/>
          <w:w w:val="105"/>
        </w:rPr>
        <w:t> </w:t>
      </w:r>
      <w:r>
        <w:rPr>
          <w:color w:val="231F20"/>
          <w:w w:val="105"/>
        </w:rPr>
        <w:t>observación</w:t>
      </w:r>
      <w:r>
        <w:rPr>
          <w:color w:val="231F20"/>
          <w:spacing w:val="-22"/>
          <w:w w:val="105"/>
        </w:rPr>
        <w:t> </w:t>
      </w:r>
      <w:r>
        <w:rPr>
          <w:color w:val="231F20"/>
          <w:w w:val="105"/>
        </w:rPr>
        <w:t>de</w:t>
      </w:r>
      <w:r>
        <w:rPr>
          <w:color w:val="231F20"/>
          <w:spacing w:val="-22"/>
          <w:w w:val="105"/>
        </w:rPr>
        <w:t> </w:t>
      </w:r>
      <w:r>
        <w:rPr>
          <w:color w:val="231F20"/>
          <w:w w:val="105"/>
        </w:rPr>
        <w:t>20</w:t>
      </w:r>
      <w:r>
        <w:rPr>
          <w:color w:val="231F20"/>
          <w:spacing w:val="-22"/>
          <w:w w:val="105"/>
        </w:rPr>
        <w:t> </w:t>
      </w:r>
      <w:r>
        <w:rPr>
          <w:color w:val="231F20"/>
          <w:w w:val="105"/>
        </w:rPr>
        <w:t>años</w:t>
      </w:r>
      <w:r>
        <w:rPr>
          <w:color w:val="231F20"/>
          <w:spacing w:val="-22"/>
          <w:w w:val="105"/>
        </w:rPr>
        <w:t> </w:t>
      </w:r>
      <w:r>
        <w:rPr>
          <w:color w:val="231F20"/>
          <w:w w:val="105"/>
        </w:rPr>
        <w:t>el año</w:t>
      </w:r>
      <w:r>
        <w:rPr>
          <w:color w:val="231F20"/>
          <w:spacing w:val="-23"/>
          <w:w w:val="105"/>
        </w:rPr>
        <w:t> </w:t>
      </w:r>
      <w:r>
        <w:rPr>
          <w:color w:val="231F20"/>
          <w:w w:val="105"/>
        </w:rPr>
        <w:t>del</w:t>
      </w:r>
      <w:r>
        <w:rPr>
          <w:color w:val="231F20"/>
          <w:spacing w:val="-23"/>
          <w:w w:val="105"/>
        </w:rPr>
        <w:t> </w:t>
      </w:r>
      <w:r>
        <w:rPr>
          <w:color w:val="231F20"/>
          <w:w w:val="105"/>
        </w:rPr>
        <w:t>anuncio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i/>
          <w:color w:val="231F20"/>
          <w:w w:val="105"/>
        </w:rPr>
        <w:t>joint</w:t>
      </w:r>
      <w:r>
        <w:rPr>
          <w:i/>
          <w:color w:val="231F20"/>
          <w:spacing w:val="-23"/>
          <w:w w:val="105"/>
        </w:rPr>
        <w:t> </w:t>
      </w:r>
      <w:r>
        <w:rPr>
          <w:i/>
          <w:color w:val="231F20"/>
          <w:w w:val="105"/>
        </w:rPr>
        <w:t>venture</w:t>
      </w:r>
      <w:r>
        <w:rPr>
          <w:i/>
          <w:color w:val="231F20"/>
          <w:spacing w:val="-23"/>
          <w:w w:val="105"/>
        </w:rPr>
        <w:t> </w:t>
      </w:r>
      <w:r>
        <w:rPr>
          <w:color w:val="231F20"/>
          <w:w w:val="105"/>
        </w:rPr>
        <w:t>es</w:t>
      </w:r>
      <w:r>
        <w:rPr>
          <w:color w:val="231F20"/>
          <w:spacing w:val="-23"/>
          <w:w w:val="105"/>
        </w:rPr>
        <w:t> </w:t>
      </w:r>
      <w:r>
        <w:rPr>
          <w:color w:val="231F20"/>
          <w:w w:val="105"/>
        </w:rPr>
        <w:t>el</w:t>
      </w:r>
      <w:r>
        <w:rPr>
          <w:color w:val="231F20"/>
          <w:spacing w:val="-23"/>
          <w:w w:val="105"/>
        </w:rPr>
        <w:t> </w:t>
      </w:r>
      <w:r>
        <w:rPr>
          <w:color w:val="231F20"/>
          <w:w w:val="105"/>
        </w:rPr>
        <w:t>punto</w:t>
      </w:r>
      <w:r>
        <w:rPr>
          <w:color w:val="231F20"/>
          <w:spacing w:val="-23"/>
          <w:w w:val="105"/>
        </w:rPr>
        <w:t> </w:t>
      </w:r>
      <w:r>
        <w:rPr>
          <w:color w:val="231F20"/>
          <w:w w:val="105"/>
        </w:rPr>
        <w:t>cero.</w:t>
      </w:r>
      <w:r>
        <w:rPr>
          <w:color w:val="231F20"/>
          <w:spacing w:val="-29"/>
          <w:w w:val="105"/>
        </w:rPr>
        <w:t> </w:t>
      </w:r>
      <w:r>
        <w:rPr>
          <w:color w:val="231F20"/>
          <w:w w:val="105"/>
        </w:rPr>
        <w:t>Éste</w:t>
      </w:r>
      <w:r>
        <w:rPr>
          <w:color w:val="231F20"/>
          <w:spacing w:val="-23"/>
          <w:w w:val="105"/>
        </w:rPr>
        <w:t> </w:t>
      </w:r>
      <w:r>
        <w:rPr>
          <w:color w:val="231F20"/>
          <w:w w:val="105"/>
        </w:rPr>
        <w:t>se</w:t>
      </w:r>
      <w:r>
        <w:rPr>
          <w:color w:val="231F20"/>
          <w:spacing w:val="-23"/>
          <w:w w:val="105"/>
        </w:rPr>
        <w:t> </w:t>
      </w:r>
      <w:r>
        <w:rPr>
          <w:color w:val="231F20"/>
          <w:w w:val="105"/>
        </w:rPr>
        <w:t>eliminó</w:t>
      </w:r>
      <w:r>
        <w:rPr>
          <w:color w:val="231F20"/>
          <w:spacing w:val="-23"/>
          <w:w w:val="105"/>
        </w:rPr>
        <w:t> </w:t>
      </w:r>
      <w:r>
        <w:rPr>
          <w:color w:val="231F20"/>
          <w:w w:val="105"/>
        </w:rPr>
        <w:t>de</w:t>
      </w:r>
      <w:r>
        <w:rPr>
          <w:color w:val="231F20"/>
          <w:spacing w:val="-23"/>
          <w:w w:val="105"/>
        </w:rPr>
        <w:t> </w:t>
      </w:r>
      <w:r>
        <w:rPr>
          <w:color w:val="231F20"/>
          <w:w w:val="105"/>
        </w:rPr>
        <w:t>los análisis</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finalidad</w:t>
      </w:r>
      <w:r>
        <w:rPr>
          <w:color w:val="231F20"/>
          <w:spacing w:val="-23"/>
          <w:w w:val="105"/>
        </w:rPr>
        <w:t> </w:t>
      </w:r>
      <w:r>
        <w:rPr>
          <w:color w:val="231F20"/>
          <w:w w:val="105"/>
        </w:rPr>
        <w:t>de</w:t>
      </w:r>
      <w:r>
        <w:rPr>
          <w:color w:val="231F20"/>
          <w:spacing w:val="-23"/>
          <w:w w:val="105"/>
        </w:rPr>
        <w:t> </w:t>
      </w:r>
      <w:r>
        <w:rPr>
          <w:color w:val="231F20"/>
          <w:w w:val="105"/>
        </w:rPr>
        <w:t>tener</w:t>
      </w:r>
      <w:r>
        <w:rPr>
          <w:color w:val="231F20"/>
          <w:spacing w:val="-23"/>
          <w:w w:val="105"/>
        </w:rPr>
        <w:t> </w:t>
      </w:r>
      <w:r>
        <w:rPr>
          <w:color w:val="231F20"/>
          <w:w w:val="105"/>
        </w:rPr>
        <w:t>una</w:t>
      </w:r>
      <w:r>
        <w:rPr>
          <w:color w:val="231F20"/>
          <w:spacing w:val="-23"/>
          <w:w w:val="105"/>
        </w:rPr>
        <w:t> </w:t>
      </w:r>
      <w:r>
        <w:rPr>
          <w:color w:val="231F20"/>
          <w:w w:val="105"/>
        </w:rPr>
        <w:t>línea</w:t>
      </w:r>
      <w:r>
        <w:rPr>
          <w:color w:val="231F20"/>
          <w:spacing w:val="-23"/>
          <w:w w:val="105"/>
        </w:rPr>
        <w:t> </w:t>
      </w:r>
      <w:r>
        <w:rPr>
          <w:color w:val="231F20"/>
          <w:w w:val="105"/>
        </w:rPr>
        <w:t>de</w:t>
      </w:r>
      <w:r>
        <w:rPr>
          <w:color w:val="231F20"/>
          <w:spacing w:val="-23"/>
          <w:w w:val="105"/>
        </w:rPr>
        <w:t> </w:t>
      </w:r>
      <w:r>
        <w:rPr>
          <w:color w:val="231F20"/>
          <w:w w:val="105"/>
        </w:rPr>
        <w:t>demarcación</w:t>
      </w:r>
      <w:r>
        <w:rPr>
          <w:color w:val="231F20"/>
          <w:spacing w:val="-23"/>
          <w:w w:val="105"/>
        </w:rPr>
        <w:t> </w:t>
      </w:r>
      <w:r>
        <w:rPr>
          <w:color w:val="231F20"/>
          <w:w w:val="105"/>
        </w:rPr>
        <w:t>clara</w:t>
      </w:r>
      <w:r>
        <w:rPr>
          <w:color w:val="231F20"/>
          <w:spacing w:val="-23"/>
          <w:w w:val="105"/>
        </w:rPr>
        <w:t> </w:t>
      </w:r>
      <w:r>
        <w:rPr>
          <w:color w:val="231F20"/>
          <w:w w:val="105"/>
        </w:rPr>
        <w:t>entre</w:t>
      </w:r>
      <w:r>
        <w:rPr>
          <w:color w:val="231F20"/>
          <w:spacing w:val="-23"/>
          <w:w w:val="105"/>
        </w:rPr>
        <w:t> </w:t>
      </w:r>
      <w:r>
        <w:rPr>
          <w:color w:val="231F20"/>
          <w:w w:val="105"/>
        </w:rPr>
        <w:t>los resultados</w:t>
      </w:r>
      <w:r>
        <w:rPr>
          <w:color w:val="231F20"/>
          <w:spacing w:val="-16"/>
          <w:w w:val="105"/>
        </w:rPr>
        <w:t> </w:t>
      </w:r>
      <w:r>
        <w:rPr>
          <w:color w:val="231F20"/>
          <w:w w:val="105"/>
        </w:rPr>
        <w:t>antes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formación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alianza</w:t>
      </w:r>
      <w:r>
        <w:rPr>
          <w:color w:val="231F20"/>
          <w:spacing w:val="-16"/>
          <w:w w:val="105"/>
        </w:rPr>
        <w:t> </w:t>
      </w:r>
      <w:r>
        <w:rPr>
          <w:color w:val="231F20"/>
          <w:w w:val="105"/>
        </w:rPr>
        <w:t>y</w:t>
      </w:r>
      <w:r>
        <w:rPr>
          <w:color w:val="231F20"/>
          <w:spacing w:val="-16"/>
          <w:w w:val="105"/>
        </w:rPr>
        <w:t> </w:t>
      </w:r>
      <w:r>
        <w:rPr>
          <w:color w:val="231F20"/>
          <w:w w:val="105"/>
        </w:rPr>
        <w:t>después</w:t>
      </w:r>
      <w:r>
        <w:rPr>
          <w:color w:val="231F20"/>
          <w:spacing w:val="-16"/>
          <w:w w:val="105"/>
        </w:rPr>
        <w:t> </w:t>
      </w:r>
      <w:r>
        <w:rPr>
          <w:color w:val="231F20"/>
          <w:w w:val="105"/>
        </w:rPr>
        <w:t>de</w:t>
      </w:r>
      <w:r>
        <w:rPr>
          <w:color w:val="231F20"/>
          <w:spacing w:val="-16"/>
          <w:w w:val="105"/>
        </w:rPr>
        <w:t> </w:t>
      </w:r>
      <w:r>
        <w:rPr>
          <w:color w:val="231F20"/>
          <w:w w:val="105"/>
        </w:rPr>
        <w:t>ella.</w:t>
      </w:r>
      <w:r>
        <w:rPr>
          <w:color w:val="231F20"/>
          <w:spacing w:val="-20"/>
          <w:w w:val="105"/>
        </w:rPr>
        <w:t> </w:t>
      </w:r>
      <w:r>
        <w:rPr>
          <w:color w:val="231F20"/>
          <w:w w:val="105"/>
        </w:rPr>
        <w:t>El</w:t>
      </w:r>
      <w:r>
        <w:rPr>
          <w:color w:val="231F20"/>
          <w:spacing w:val="-16"/>
          <w:w w:val="105"/>
        </w:rPr>
        <w:t> </w:t>
      </w:r>
      <w:r>
        <w:rPr>
          <w:color w:val="231F20"/>
          <w:w w:val="105"/>
        </w:rPr>
        <w:t>ROA se</w:t>
      </w:r>
      <w:r>
        <w:rPr>
          <w:color w:val="231F20"/>
          <w:spacing w:val="-20"/>
          <w:w w:val="105"/>
        </w:rPr>
        <w:t> </w:t>
      </w:r>
      <w:r>
        <w:rPr>
          <w:color w:val="231F20"/>
          <w:w w:val="105"/>
        </w:rPr>
        <w:t>midió</w:t>
      </w:r>
      <w:r>
        <w:rPr>
          <w:color w:val="231F20"/>
          <w:spacing w:val="-20"/>
          <w:w w:val="105"/>
        </w:rPr>
        <w:t> </w:t>
      </w:r>
      <w:r>
        <w:rPr>
          <w:color w:val="231F20"/>
          <w:w w:val="105"/>
        </w:rPr>
        <w:t>como</w:t>
      </w:r>
      <w:r>
        <w:rPr>
          <w:color w:val="231F20"/>
          <w:spacing w:val="-20"/>
          <w:w w:val="105"/>
        </w:rPr>
        <w:t> </w:t>
      </w:r>
      <w:r>
        <w:rPr>
          <w:color w:val="231F20"/>
          <w:w w:val="105"/>
        </w:rPr>
        <w:t>el</w:t>
      </w:r>
      <w:r>
        <w:rPr>
          <w:color w:val="231F20"/>
          <w:spacing w:val="-20"/>
          <w:w w:val="105"/>
        </w:rPr>
        <w:t> </w:t>
      </w:r>
      <w:r>
        <w:rPr>
          <w:color w:val="231F20"/>
          <w:w w:val="105"/>
        </w:rPr>
        <w:t>ingreso</w:t>
      </w:r>
      <w:r>
        <w:rPr>
          <w:color w:val="231F20"/>
          <w:spacing w:val="-20"/>
          <w:w w:val="105"/>
        </w:rPr>
        <w:t> </w:t>
      </w:r>
      <w:r>
        <w:rPr>
          <w:color w:val="231F20"/>
          <w:w w:val="105"/>
        </w:rPr>
        <w:t>neto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empresas</w:t>
      </w:r>
      <w:r>
        <w:rPr>
          <w:color w:val="231F20"/>
          <w:spacing w:val="-20"/>
          <w:w w:val="105"/>
        </w:rPr>
        <w:t> </w:t>
      </w:r>
      <w:r>
        <w:rPr>
          <w:color w:val="231F20"/>
          <w:w w:val="105"/>
        </w:rPr>
        <w:t>en</w:t>
      </w:r>
      <w:r>
        <w:rPr>
          <w:color w:val="231F20"/>
          <w:spacing w:val="-20"/>
          <w:w w:val="105"/>
        </w:rPr>
        <w:t> </w:t>
      </w:r>
      <w:r>
        <w:rPr>
          <w:color w:val="231F20"/>
          <w:w w:val="105"/>
        </w:rPr>
        <w:t>cada</w:t>
      </w:r>
      <w:r>
        <w:rPr>
          <w:color w:val="231F20"/>
          <w:spacing w:val="-20"/>
          <w:w w:val="105"/>
        </w:rPr>
        <w:t> </w:t>
      </w:r>
      <w:r>
        <w:rPr>
          <w:color w:val="231F20"/>
          <w:w w:val="105"/>
        </w:rPr>
        <w:t>uno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veinte años</w:t>
      </w:r>
      <w:r>
        <w:rPr>
          <w:color w:val="231F20"/>
          <w:spacing w:val="-19"/>
          <w:w w:val="105"/>
        </w:rPr>
        <w:t> </w:t>
      </w:r>
      <w:r>
        <w:rPr>
          <w:color w:val="231F20"/>
          <w:w w:val="105"/>
        </w:rPr>
        <w:t>de</w:t>
      </w:r>
      <w:r>
        <w:rPr>
          <w:color w:val="231F20"/>
          <w:spacing w:val="-19"/>
          <w:w w:val="105"/>
        </w:rPr>
        <w:t> </w:t>
      </w:r>
      <w:r>
        <w:rPr>
          <w:color w:val="231F20"/>
          <w:w w:val="105"/>
        </w:rPr>
        <w:t>observación</w:t>
      </w:r>
      <w:r>
        <w:rPr>
          <w:color w:val="231F20"/>
          <w:spacing w:val="-19"/>
          <w:w w:val="105"/>
        </w:rPr>
        <w:t> </w:t>
      </w:r>
      <w:r>
        <w:rPr>
          <w:color w:val="231F20"/>
          <w:w w:val="105"/>
        </w:rPr>
        <w:t>dividido</w:t>
      </w:r>
      <w:r>
        <w:rPr>
          <w:color w:val="231F20"/>
          <w:spacing w:val="-19"/>
          <w:w w:val="105"/>
        </w:rPr>
        <w:t> </w:t>
      </w:r>
      <w:r>
        <w:rPr>
          <w:color w:val="231F20"/>
          <w:w w:val="105"/>
        </w:rPr>
        <w:t>sobre</w:t>
      </w:r>
      <w:r>
        <w:rPr>
          <w:color w:val="231F20"/>
          <w:spacing w:val="-19"/>
          <w:w w:val="105"/>
        </w:rPr>
        <w:t> </w:t>
      </w:r>
      <w:r>
        <w:rPr>
          <w:color w:val="231F20"/>
          <w:w w:val="105"/>
        </w:rPr>
        <w:t>sus</w:t>
      </w:r>
      <w:r>
        <w:rPr>
          <w:color w:val="231F20"/>
          <w:spacing w:val="-19"/>
          <w:w w:val="105"/>
        </w:rPr>
        <w:t> </w:t>
      </w:r>
      <w:r>
        <w:rPr>
          <w:color w:val="231F20"/>
          <w:w w:val="105"/>
        </w:rPr>
        <w:t>activos</w:t>
      </w:r>
      <w:r>
        <w:rPr>
          <w:color w:val="231F20"/>
          <w:spacing w:val="-19"/>
          <w:w w:val="105"/>
        </w:rPr>
        <w:t> </w:t>
      </w:r>
      <w:r>
        <w:rPr>
          <w:color w:val="231F20"/>
          <w:w w:val="105"/>
        </w:rPr>
        <w:t>totales.</w:t>
      </w:r>
    </w:p>
    <w:p>
      <w:pPr>
        <w:pStyle w:val="BodyText"/>
        <w:rPr>
          <w:sz w:val="20"/>
        </w:rPr>
      </w:pPr>
    </w:p>
    <w:p>
      <w:pPr>
        <w:pStyle w:val="BodyText"/>
        <w:rPr>
          <w:sz w:val="20"/>
        </w:rPr>
      </w:pPr>
    </w:p>
    <w:p>
      <w:pPr>
        <w:pStyle w:val="BodyText"/>
        <w:rPr>
          <w:sz w:val="20"/>
        </w:rPr>
      </w:pPr>
    </w:p>
    <w:p>
      <w:pPr>
        <w:pStyle w:val="BodyText"/>
        <w:spacing w:before="5"/>
        <w:rPr>
          <w:sz w:val="16"/>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229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146</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704"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147</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8"/>
        <w:rPr>
          <w:sz w:val="18"/>
        </w:rPr>
      </w:pPr>
    </w:p>
    <w:p>
      <w:pPr>
        <w:pStyle w:val="BodyText"/>
        <w:spacing w:line="259" w:lineRule="auto" w:before="57"/>
        <w:ind w:left="117" w:right="120"/>
        <w:jc w:val="both"/>
      </w:pPr>
      <w:r>
        <w:rPr>
          <w:i/>
          <w:color w:val="231F20"/>
          <w:w w:val="105"/>
        </w:rPr>
        <w:t>Variables</w:t>
      </w:r>
      <w:r>
        <w:rPr>
          <w:i/>
          <w:color w:val="231F20"/>
          <w:spacing w:val="-9"/>
          <w:w w:val="105"/>
        </w:rPr>
        <w:t> </w:t>
      </w:r>
      <w:r>
        <w:rPr>
          <w:i/>
          <w:color w:val="231F20"/>
          <w:w w:val="105"/>
        </w:rPr>
        <w:t>independientes:</w:t>
      </w:r>
      <w:r>
        <w:rPr>
          <w:i/>
          <w:color w:val="231F20"/>
          <w:spacing w:val="-11"/>
          <w:w w:val="105"/>
        </w:rPr>
        <w:t> </w:t>
      </w:r>
      <w:r>
        <w:rPr>
          <w:i/>
          <w:color w:val="231F20"/>
          <w:w w:val="105"/>
        </w:rPr>
        <w:t>Área</w:t>
      </w:r>
      <w:r>
        <w:rPr>
          <w:i/>
          <w:color w:val="231F20"/>
          <w:spacing w:val="-9"/>
          <w:w w:val="105"/>
        </w:rPr>
        <w:t> </w:t>
      </w:r>
      <w:r>
        <w:rPr>
          <w:i/>
          <w:color w:val="231F20"/>
          <w:w w:val="105"/>
        </w:rPr>
        <w:t>funcional</w:t>
      </w:r>
      <w:r>
        <w:rPr>
          <w:i/>
          <w:color w:val="231F20"/>
          <w:spacing w:val="-9"/>
          <w:w w:val="105"/>
        </w:rPr>
        <w:t> </w:t>
      </w:r>
      <w:r>
        <w:rPr>
          <w:i/>
          <w:color w:val="231F20"/>
          <w:w w:val="105"/>
        </w:rPr>
        <w:t>de</w:t>
      </w:r>
      <w:r>
        <w:rPr>
          <w:i/>
          <w:color w:val="231F20"/>
          <w:spacing w:val="-9"/>
          <w:w w:val="105"/>
        </w:rPr>
        <w:t> </w:t>
      </w:r>
      <w:r>
        <w:rPr>
          <w:i/>
          <w:color w:val="231F20"/>
          <w:w w:val="105"/>
        </w:rPr>
        <w:t>la</w:t>
      </w:r>
      <w:r>
        <w:rPr>
          <w:i/>
          <w:color w:val="231F20"/>
          <w:spacing w:val="-9"/>
          <w:w w:val="105"/>
        </w:rPr>
        <w:t> </w:t>
      </w:r>
      <w:r>
        <w:rPr>
          <w:i/>
          <w:color w:val="231F20"/>
          <w:w w:val="105"/>
        </w:rPr>
        <w:t>joint</w:t>
      </w:r>
      <w:r>
        <w:rPr>
          <w:i/>
          <w:color w:val="231F20"/>
          <w:spacing w:val="-9"/>
          <w:w w:val="105"/>
        </w:rPr>
        <w:t> </w:t>
      </w:r>
      <w:r>
        <w:rPr>
          <w:i/>
          <w:color w:val="231F20"/>
          <w:w w:val="105"/>
        </w:rPr>
        <w:t>venture.</w:t>
      </w:r>
      <w:r>
        <w:rPr>
          <w:i/>
          <w:color w:val="231F20"/>
          <w:spacing w:val="-9"/>
          <w:w w:val="105"/>
        </w:rPr>
        <w:t> </w:t>
      </w:r>
      <w:r>
        <w:rPr>
          <w:color w:val="231F20"/>
          <w:w w:val="105"/>
        </w:rPr>
        <w:t>Este</w:t>
      </w:r>
      <w:r>
        <w:rPr>
          <w:color w:val="231F20"/>
          <w:spacing w:val="-9"/>
          <w:w w:val="105"/>
        </w:rPr>
        <w:t> </w:t>
      </w:r>
      <w:r>
        <w:rPr>
          <w:color w:val="231F20"/>
          <w:w w:val="105"/>
        </w:rPr>
        <w:t>factor se</w:t>
      </w:r>
      <w:r>
        <w:rPr>
          <w:color w:val="231F20"/>
          <w:spacing w:val="-7"/>
          <w:w w:val="105"/>
        </w:rPr>
        <w:t> </w:t>
      </w:r>
      <w:r>
        <w:rPr>
          <w:color w:val="231F20"/>
          <w:w w:val="105"/>
        </w:rPr>
        <w:t>midió</w:t>
      </w:r>
      <w:r>
        <w:rPr>
          <w:color w:val="231F20"/>
          <w:spacing w:val="-7"/>
          <w:w w:val="105"/>
        </w:rPr>
        <w:t> </w:t>
      </w:r>
      <w:r>
        <w:rPr>
          <w:color w:val="231F20"/>
          <w:w w:val="105"/>
        </w:rPr>
        <w:t>por</w:t>
      </w:r>
      <w:r>
        <w:rPr>
          <w:color w:val="231F20"/>
          <w:spacing w:val="-7"/>
          <w:w w:val="105"/>
        </w:rPr>
        <w:t> </w:t>
      </w:r>
      <w:r>
        <w:rPr>
          <w:color w:val="231F20"/>
          <w:w w:val="105"/>
        </w:rPr>
        <w:t>medio</w:t>
      </w:r>
      <w:r>
        <w:rPr>
          <w:color w:val="231F20"/>
          <w:spacing w:val="-7"/>
          <w:w w:val="105"/>
        </w:rPr>
        <w:t> </w:t>
      </w:r>
      <w:r>
        <w:rPr>
          <w:color w:val="231F20"/>
          <w:w w:val="105"/>
        </w:rPr>
        <w:t>de</w:t>
      </w:r>
      <w:r>
        <w:rPr>
          <w:color w:val="231F20"/>
          <w:spacing w:val="-7"/>
          <w:w w:val="105"/>
        </w:rPr>
        <w:t> </w:t>
      </w:r>
      <w:r>
        <w:rPr>
          <w:color w:val="231F20"/>
          <w:w w:val="105"/>
        </w:rPr>
        <w:t>una</w:t>
      </w:r>
      <w:r>
        <w:rPr>
          <w:color w:val="231F20"/>
          <w:spacing w:val="-7"/>
          <w:w w:val="105"/>
        </w:rPr>
        <w:t> </w:t>
      </w:r>
      <w:r>
        <w:rPr>
          <w:color w:val="231F20"/>
          <w:w w:val="105"/>
        </w:rPr>
        <w:t>variable</w:t>
      </w:r>
      <w:r>
        <w:rPr>
          <w:color w:val="231F20"/>
          <w:spacing w:val="-7"/>
          <w:w w:val="105"/>
        </w:rPr>
        <w:t> </w:t>
      </w:r>
      <w:r>
        <w:rPr>
          <w:color w:val="231F20"/>
          <w:w w:val="105"/>
        </w:rPr>
        <w:t>categórica</w:t>
      </w:r>
      <w:r>
        <w:rPr>
          <w:color w:val="231F20"/>
          <w:spacing w:val="-7"/>
          <w:w w:val="105"/>
        </w:rPr>
        <w:t> </w:t>
      </w:r>
      <w:r>
        <w:rPr>
          <w:color w:val="231F20"/>
          <w:w w:val="105"/>
        </w:rPr>
        <w:t>que</w:t>
      </w:r>
      <w:r>
        <w:rPr>
          <w:color w:val="231F20"/>
          <w:spacing w:val="-7"/>
          <w:w w:val="105"/>
        </w:rPr>
        <w:t> </w:t>
      </w:r>
      <w:r>
        <w:rPr>
          <w:color w:val="231F20"/>
          <w:w w:val="105"/>
        </w:rPr>
        <w:t>tomó</w:t>
      </w:r>
      <w:r>
        <w:rPr>
          <w:color w:val="231F20"/>
          <w:spacing w:val="-7"/>
          <w:w w:val="105"/>
        </w:rPr>
        <w:t> </w:t>
      </w:r>
      <w:r>
        <w:rPr>
          <w:color w:val="231F20"/>
          <w:w w:val="105"/>
        </w:rPr>
        <w:t>el</w:t>
      </w:r>
      <w:r>
        <w:rPr>
          <w:color w:val="231F20"/>
          <w:spacing w:val="-7"/>
          <w:w w:val="105"/>
        </w:rPr>
        <w:t> </w:t>
      </w:r>
      <w:r>
        <w:rPr>
          <w:color w:val="231F20"/>
          <w:w w:val="105"/>
        </w:rPr>
        <w:t>valor</w:t>
      </w:r>
      <w:r>
        <w:rPr>
          <w:color w:val="231F20"/>
          <w:spacing w:val="-7"/>
          <w:w w:val="105"/>
        </w:rPr>
        <w:t> </w:t>
      </w:r>
      <w:r>
        <w:rPr>
          <w:color w:val="231F20"/>
          <w:w w:val="105"/>
        </w:rPr>
        <w:t>de</w:t>
      </w:r>
      <w:r>
        <w:rPr>
          <w:color w:val="231F20"/>
          <w:spacing w:val="-7"/>
          <w:w w:val="105"/>
        </w:rPr>
        <w:t> </w:t>
      </w:r>
      <w:r>
        <w:rPr>
          <w:color w:val="231F20"/>
          <w:w w:val="105"/>
        </w:rPr>
        <w:t>uno si el área funcional de una </w:t>
      </w:r>
      <w:r>
        <w:rPr>
          <w:i/>
          <w:color w:val="231F20"/>
          <w:w w:val="105"/>
        </w:rPr>
        <w:t>joint venture </w:t>
      </w:r>
      <w:r>
        <w:rPr>
          <w:color w:val="231F20"/>
          <w:w w:val="105"/>
        </w:rPr>
        <w:t>en particular era manufactura</w:t>
      </w:r>
      <w:r>
        <w:rPr>
          <w:color w:val="231F20"/>
          <w:spacing w:val="-39"/>
          <w:w w:val="105"/>
        </w:rPr>
        <w:t> </w:t>
      </w:r>
      <w:r>
        <w:rPr>
          <w:color w:val="231F20"/>
          <w:w w:val="105"/>
        </w:rPr>
        <w:t>y de</w:t>
      </w:r>
      <w:r>
        <w:rPr>
          <w:color w:val="231F20"/>
          <w:spacing w:val="-15"/>
          <w:w w:val="105"/>
        </w:rPr>
        <w:t> </w:t>
      </w:r>
      <w:r>
        <w:rPr>
          <w:color w:val="231F20"/>
          <w:w w:val="105"/>
        </w:rPr>
        <w:t>cero</w:t>
      </w:r>
      <w:r>
        <w:rPr>
          <w:color w:val="231F20"/>
          <w:spacing w:val="-15"/>
          <w:w w:val="105"/>
        </w:rPr>
        <w:t> </w:t>
      </w:r>
      <w:r>
        <w:rPr>
          <w:color w:val="231F20"/>
          <w:w w:val="105"/>
        </w:rPr>
        <w:t>si</w:t>
      </w:r>
      <w:r>
        <w:rPr>
          <w:color w:val="231F20"/>
          <w:spacing w:val="-15"/>
          <w:w w:val="105"/>
        </w:rPr>
        <w:t> </w:t>
      </w:r>
      <w:r>
        <w:rPr>
          <w:color w:val="231F20"/>
          <w:w w:val="105"/>
        </w:rPr>
        <w:t>era</w:t>
      </w:r>
      <w:r>
        <w:rPr>
          <w:color w:val="231F20"/>
          <w:spacing w:val="-15"/>
          <w:w w:val="105"/>
        </w:rPr>
        <w:t> </w:t>
      </w:r>
      <w:r>
        <w:rPr>
          <w:color w:val="231F20"/>
          <w:w w:val="105"/>
        </w:rPr>
        <w:t>mercadotecnia.</w:t>
      </w:r>
      <w:r>
        <w:rPr>
          <w:color w:val="231F20"/>
          <w:spacing w:val="-20"/>
          <w:w w:val="105"/>
        </w:rPr>
        <w:t> </w:t>
      </w:r>
      <w:r>
        <w:rPr>
          <w:i/>
          <w:color w:val="231F20"/>
          <w:w w:val="105"/>
        </w:rPr>
        <w:t>Tipo</w:t>
      </w:r>
      <w:r>
        <w:rPr>
          <w:i/>
          <w:color w:val="231F20"/>
          <w:spacing w:val="-15"/>
          <w:w w:val="105"/>
        </w:rPr>
        <w:t> </w:t>
      </w:r>
      <w:r>
        <w:rPr>
          <w:i/>
          <w:color w:val="231F20"/>
          <w:w w:val="105"/>
        </w:rPr>
        <w:t>de</w:t>
      </w:r>
      <w:r>
        <w:rPr>
          <w:i/>
          <w:color w:val="231F20"/>
          <w:spacing w:val="-15"/>
          <w:w w:val="105"/>
        </w:rPr>
        <w:t> </w:t>
      </w:r>
      <w:r>
        <w:rPr>
          <w:i/>
          <w:color w:val="231F20"/>
          <w:w w:val="105"/>
        </w:rPr>
        <w:t>periodo</w:t>
      </w:r>
      <w:r>
        <w:rPr>
          <w:color w:val="231F20"/>
          <w:w w:val="105"/>
        </w:rPr>
        <w:t>.</w:t>
      </w:r>
      <w:r>
        <w:rPr>
          <w:color w:val="231F20"/>
          <w:spacing w:val="-20"/>
          <w:w w:val="105"/>
        </w:rPr>
        <w:t> </w:t>
      </w:r>
      <w:r>
        <w:rPr>
          <w:color w:val="231F20"/>
          <w:w w:val="105"/>
        </w:rPr>
        <w:t>Esta</w:t>
      </w:r>
      <w:r>
        <w:rPr>
          <w:color w:val="231F20"/>
          <w:spacing w:val="-15"/>
          <w:w w:val="105"/>
        </w:rPr>
        <w:t> </w:t>
      </w:r>
      <w:r>
        <w:rPr>
          <w:color w:val="231F20"/>
          <w:w w:val="105"/>
        </w:rPr>
        <w:t>variable</w:t>
      </w:r>
      <w:r>
        <w:rPr>
          <w:color w:val="231F20"/>
          <w:spacing w:val="-15"/>
          <w:w w:val="105"/>
        </w:rPr>
        <w:t> </w:t>
      </w:r>
      <w:r>
        <w:rPr>
          <w:color w:val="231F20"/>
          <w:w w:val="105"/>
        </w:rPr>
        <w:t>se</w:t>
      </w:r>
      <w:r>
        <w:rPr>
          <w:color w:val="231F20"/>
          <w:spacing w:val="-15"/>
          <w:w w:val="105"/>
        </w:rPr>
        <w:t> </w:t>
      </w:r>
      <w:r>
        <w:rPr>
          <w:color w:val="231F20"/>
          <w:w w:val="105"/>
        </w:rPr>
        <w:t>creó</w:t>
      </w:r>
      <w:r>
        <w:rPr>
          <w:color w:val="231F20"/>
          <w:spacing w:val="-15"/>
          <w:w w:val="105"/>
        </w:rPr>
        <w:t> </w:t>
      </w:r>
      <w:r>
        <w:rPr>
          <w:color w:val="231F20"/>
          <w:w w:val="105"/>
        </w:rPr>
        <w:t>con la</w:t>
      </w:r>
      <w:r>
        <w:rPr>
          <w:color w:val="231F20"/>
          <w:spacing w:val="-11"/>
          <w:w w:val="105"/>
        </w:rPr>
        <w:t> </w:t>
      </w:r>
      <w:r>
        <w:rPr>
          <w:color w:val="231F20"/>
          <w:w w:val="105"/>
        </w:rPr>
        <w:t>finalidad</w:t>
      </w:r>
      <w:r>
        <w:rPr>
          <w:color w:val="231F20"/>
          <w:spacing w:val="-11"/>
          <w:w w:val="105"/>
        </w:rPr>
        <w:t> </w:t>
      </w:r>
      <w:r>
        <w:rPr>
          <w:color w:val="231F20"/>
          <w:w w:val="105"/>
        </w:rPr>
        <w:t>de</w:t>
      </w:r>
      <w:r>
        <w:rPr>
          <w:color w:val="231F20"/>
          <w:spacing w:val="-11"/>
          <w:w w:val="105"/>
        </w:rPr>
        <w:t> </w:t>
      </w:r>
      <w:r>
        <w:rPr>
          <w:color w:val="231F20"/>
          <w:w w:val="105"/>
        </w:rPr>
        <w:t>clasificar</w:t>
      </w:r>
      <w:r>
        <w:rPr>
          <w:color w:val="231F20"/>
          <w:spacing w:val="-11"/>
          <w:w w:val="105"/>
        </w:rPr>
        <w:t> </w:t>
      </w:r>
      <w:r>
        <w:rPr>
          <w:color w:val="231F20"/>
          <w:w w:val="105"/>
        </w:rPr>
        <w:t>si</w:t>
      </w:r>
      <w:r>
        <w:rPr>
          <w:color w:val="231F20"/>
          <w:spacing w:val="-11"/>
          <w:w w:val="105"/>
        </w:rPr>
        <w:t> </w:t>
      </w:r>
      <w:r>
        <w:rPr>
          <w:color w:val="231F20"/>
          <w:w w:val="105"/>
        </w:rPr>
        <w:t>el</w:t>
      </w:r>
      <w:r>
        <w:rPr>
          <w:color w:val="231F20"/>
          <w:spacing w:val="-11"/>
          <w:w w:val="105"/>
        </w:rPr>
        <w:t> </w:t>
      </w:r>
      <w:r>
        <w:rPr>
          <w:color w:val="231F20"/>
          <w:w w:val="105"/>
        </w:rPr>
        <w:t>ROA</w:t>
      </w:r>
      <w:r>
        <w:rPr>
          <w:color w:val="231F20"/>
          <w:spacing w:val="-15"/>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diversos</w:t>
      </w:r>
      <w:r>
        <w:rPr>
          <w:color w:val="231F20"/>
          <w:spacing w:val="-11"/>
          <w:w w:val="105"/>
        </w:rPr>
        <w:t> </w:t>
      </w:r>
      <w:r>
        <w:rPr>
          <w:color w:val="231F20"/>
          <w:w w:val="105"/>
        </w:rPr>
        <w:t>años</w:t>
      </w:r>
      <w:r>
        <w:rPr>
          <w:color w:val="231F20"/>
          <w:spacing w:val="-11"/>
          <w:w w:val="105"/>
        </w:rPr>
        <w:t> </w:t>
      </w:r>
      <w:r>
        <w:rPr>
          <w:color w:val="231F20"/>
          <w:w w:val="105"/>
        </w:rPr>
        <w:t>pertenecía</w:t>
      </w:r>
      <w:r>
        <w:rPr>
          <w:color w:val="231F20"/>
          <w:spacing w:val="-11"/>
          <w:w w:val="105"/>
        </w:rPr>
        <w:t> </w:t>
      </w:r>
      <w:r>
        <w:rPr>
          <w:color w:val="231F20"/>
          <w:w w:val="105"/>
        </w:rPr>
        <w:t>al</w:t>
      </w:r>
      <w:r>
        <w:rPr>
          <w:color w:val="231F20"/>
          <w:spacing w:val="-11"/>
          <w:w w:val="105"/>
        </w:rPr>
        <w:t> </w:t>
      </w:r>
      <w:r>
        <w:rPr>
          <w:color w:val="231F20"/>
          <w:w w:val="105"/>
        </w:rPr>
        <w:t>pe- riodo antes de la formación y anunció de una </w:t>
      </w:r>
      <w:r>
        <w:rPr>
          <w:i/>
          <w:color w:val="231F20"/>
          <w:w w:val="105"/>
        </w:rPr>
        <w:t>joint venture</w:t>
      </w:r>
      <w:r>
        <w:rPr>
          <w:color w:val="231F20"/>
          <w:w w:val="105"/>
        </w:rPr>
        <w:t>, o al</w:t>
      </w:r>
      <w:r>
        <w:rPr>
          <w:color w:val="231F20"/>
          <w:spacing w:val="-24"/>
          <w:w w:val="105"/>
        </w:rPr>
        <w:t> </w:t>
      </w:r>
      <w:r>
        <w:rPr>
          <w:color w:val="231F20"/>
          <w:w w:val="105"/>
        </w:rPr>
        <w:t>periodo después del evento. Esta variable tomó el valor de uno si una</w:t>
      </w:r>
      <w:r>
        <w:rPr>
          <w:color w:val="231F20"/>
          <w:spacing w:val="-29"/>
          <w:w w:val="105"/>
        </w:rPr>
        <w:t> </w:t>
      </w:r>
      <w:r>
        <w:rPr>
          <w:color w:val="231F20"/>
          <w:w w:val="105"/>
        </w:rPr>
        <w:t>observa- ción de ROA en particular correspondía al periodo antes del año cero</w:t>
      </w:r>
      <w:r>
        <w:rPr>
          <w:color w:val="231F20"/>
          <w:spacing w:val="-38"/>
          <w:w w:val="105"/>
        </w:rPr>
        <w:t> </w:t>
      </w:r>
      <w:r>
        <w:rPr>
          <w:color w:val="231F20"/>
          <w:w w:val="105"/>
        </w:rPr>
        <w:t>y dos</w:t>
      </w:r>
      <w:r>
        <w:rPr>
          <w:color w:val="231F20"/>
          <w:spacing w:val="-11"/>
          <w:w w:val="105"/>
        </w:rPr>
        <w:t> </w:t>
      </w:r>
      <w:r>
        <w:rPr>
          <w:color w:val="231F20"/>
          <w:w w:val="105"/>
        </w:rPr>
        <w:t>si</w:t>
      </w:r>
      <w:r>
        <w:rPr>
          <w:color w:val="231F20"/>
          <w:spacing w:val="-11"/>
          <w:w w:val="105"/>
        </w:rPr>
        <w:t> </w:t>
      </w:r>
      <w:r>
        <w:rPr>
          <w:color w:val="231F20"/>
          <w:w w:val="105"/>
        </w:rPr>
        <w:t>correspondía</w:t>
      </w:r>
      <w:r>
        <w:rPr>
          <w:color w:val="231F20"/>
          <w:spacing w:val="-11"/>
          <w:w w:val="105"/>
        </w:rPr>
        <w:t> </w:t>
      </w:r>
      <w:r>
        <w:rPr>
          <w:color w:val="231F20"/>
          <w:w w:val="105"/>
        </w:rPr>
        <w:t>al</w:t>
      </w:r>
      <w:r>
        <w:rPr>
          <w:color w:val="231F20"/>
          <w:spacing w:val="-11"/>
          <w:w w:val="105"/>
        </w:rPr>
        <w:t> </w:t>
      </w:r>
      <w:r>
        <w:rPr>
          <w:color w:val="231F20"/>
          <w:w w:val="105"/>
        </w:rPr>
        <w:t>periodo</w:t>
      </w:r>
      <w:r>
        <w:rPr>
          <w:color w:val="231F20"/>
          <w:spacing w:val="-11"/>
          <w:w w:val="105"/>
        </w:rPr>
        <w:t> </w:t>
      </w:r>
      <w:r>
        <w:rPr>
          <w:color w:val="231F20"/>
          <w:w w:val="105"/>
        </w:rPr>
        <w:t>después</w:t>
      </w:r>
      <w:r>
        <w:rPr>
          <w:color w:val="231F20"/>
          <w:spacing w:val="-11"/>
          <w:w w:val="105"/>
        </w:rPr>
        <w:t> </w:t>
      </w:r>
      <w:r>
        <w:rPr>
          <w:color w:val="231F20"/>
          <w:w w:val="105"/>
        </w:rPr>
        <w:t>de</w:t>
      </w:r>
      <w:r>
        <w:rPr>
          <w:color w:val="231F20"/>
          <w:spacing w:val="-11"/>
          <w:w w:val="105"/>
        </w:rPr>
        <w:t> </w:t>
      </w:r>
      <w:r>
        <w:rPr>
          <w:color w:val="231F20"/>
          <w:w w:val="105"/>
        </w:rPr>
        <w:t>él.</w:t>
      </w:r>
    </w:p>
    <w:p>
      <w:pPr>
        <w:pStyle w:val="BodyText"/>
        <w:spacing w:line="259" w:lineRule="auto"/>
        <w:ind w:left="117" w:right="116" w:firstLine="567"/>
        <w:jc w:val="both"/>
      </w:pPr>
      <w:r>
        <w:rPr>
          <w:color w:val="231F20"/>
          <w:w w:val="105"/>
        </w:rPr>
        <w:t>Adicionalmente,</w:t>
      </w:r>
      <w:r>
        <w:rPr>
          <w:color w:val="231F20"/>
          <w:spacing w:val="-21"/>
          <w:w w:val="105"/>
        </w:rPr>
        <w:t> </w:t>
      </w:r>
      <w:r>
        <w:rPr>
          <w:color w:val="231F20"/>
          <w:w w:val="105"/>
        </w:rPr>
        <w:t>se</w:t>
      </w:r>
      <w:r>
        <w:rPr>
          <w:color w:val="231F20"/>
          <w:spacing w:val="-16"/>
          <w:w w:val="105"/>
        </w:rPr>
        <w:t> </w:t>
      </w:r>
      <w:r>
        <w:rPr>
          <w:color w:val="231F20"/>
          <w:w w:val="105"/>
        </w:rPr>
        <w:t>incluyó</w:t>
      </w:r>
      <w:r>
        <w:rPr>
          <w:color w:val="231F20"/>
          <w:spacing w:val="-16"/>
          <w:w w:val="105"/>
        </w:rPr>
        <w:t> </w:t>
      </w:r>
      <w:r>
        <w:rPr>
          <w:color w:val="231F20"/>
          <w:w w:val="105"/>
        </w:rPr>
        <w:t>una</w:t>
      </w:r>
      <w:r>
        <w:rPr>
          <w:color w:val="231F20"/>
          <w:spacing w:val="-16"/>
          <w:w w:val="105"/>
        </w:rPr>
        <w:t> </w:t>
      </w:r>
      <w:r>
        <w:rPr>
          <w:color w:val="231F20"/>
          <w:w w:val="105"/>
        </w:rPr>
        <w:t>variable</w:t>
      </w:r>
      <w:r>
        <w:rPr>
          <w:color w:val="231F20"/>
          <w:spacing w:val="-16"/>
          <w:w w:val="105"/>
        </w:rPr>
        <w:t> </w:t>
      </w:r>
      <w:r>
        <w:rPr>
          <w:color w:val="231F20"/>
          <w:w w:val="105"/>
        </w:rPr>
        <w:t>categórica</w:t>
      </w:r>
      <w:r>
        <w:rPr>
          <w:color w:val="231F20"/>
          <w:spacing w:val="-16"/>
          <w:w w:val="105"/>
        </w:rPr>
        <w:t> </w:t>
      </w:r>
      <w:r>
        <w:rPr>
          <w:color w:val="231F20"/>
          <w:w w:val="105"/>
        </w:rPr>
        <w:t>que</w:t>
      </w:r>
      <w:r>
        <w:rPr>
          <w:color w:val="231F20"/>
          <w:spacing w:val="-16"/>
          <w:w w:val="105"/>
        </w:rPr>
        <w:t> </w:t>
      </w:r>
      <w:r>
        <w:rPr>
          <w:color w:val="231F20"/>
          <w:w w:val="105"/>
        </w:rPr>
        <w:t>tomó</w:t>
      </w:r>
      <w:r>
        <w:rPr>
          <w:color w:val="231F20"/>
          <w:spacing w:val="-16"/>
          <w:w w:val="105"/>
        </w:rPr>
        <w:t> </w:t>
      </w:r>
      <w:r>
        <w:rPr>
          <w:color w:val="231F20"/>
          <w:w w:val="105"/>
        </w:rPr>
        <w:t>valo- res</w:t>
      </w:r>
      <w:r>
        <w:rPr>
          <w:color w:val="231F20"/>
          <w:spacing w:val="-11"/>
          <w:w w:val="105"/>
        </w:rPr>
        <w:t> </w:t>
      </w:r>
      <w:r>
        <w:rPr>
          <w:color w:val="231F20"/>
          <w:w w:val="105"/>
        </w:rPr>
        <w:t>entre</w:t>
      </w:r>
      <w:r>
        <w:rPr>
          <w:color w:val="231F20"/>
          <w:spacing w:val="-11"/>
          <w:w w:val="105"/>
        </w:rPr>
        <w:t> </w:t>
      </w:r>
      <w:r>
        <w:rPr>
          <w:color w:val="231F20"/>
          <w:w w:val="105"/>
        </w:rPr>
        <w:t>cero</w:t>
      </w:r>
      <w:r>
        <w:rPr>
          <w:color w:val="231F20"/>
          <w:spacing w:val="-11"/>
          <w:w w:val="105"/>
        </w:rPr>
        <w:t> </w:t>
      </w:r>
      <w:r>
        <w:rPr>
          <w:color w:val="231F20"/>
          <w:w w:val="105"/>
        </w:rPr>
        <w:t>y</w:t>
      </w:r>
      <w:r>
        <w:rPr>
          <w:color w:val="231F20"/>
          <w:spacing w:val="-11"/>
          <w:w w:val="105"/>
        </w:rPr>
        <w:t> </w:t>
      </w:r>
      <w:r>
        <w:rPr>
          <w:color w:val="231F20"/>
          <w:w w:val="105"/>
        </w:rPr>
        <w:t>uno</w:t>
      </w:r>
      <w:r>
        <w:rPr>
          <w:color w:val="231F20"/>
          <w:spacing w:val="-11"/>
          <w:w w:val="105"/>
        </w:rPr>
        <w:t> </w:t>
      </w:r>
      <w:r>
        <w:rPr>
          <w:color w:val="231F20"/>
          <w:w w:val="105"/>
        </w:rPr>
        <w:t>para</w:t>
      </w:r>
      <w:r>
        <w:rPr>
          <w:color w:val="231F20"/>
          <w:spacing w:val="-11"/>
          <w:w w:val="105"/>
        </w:rPr>
        <w:t> </w:t>
      </w:r>
      <w:r>
        <w:rPr>
          <w:color w:val="231F20"/>
          <w:w w:val="105"/>
        </w:rPr>
        <w:t>tomar</w:t>
      </w:r>
      <w:r>
        <w:rPr>
          <w:color w:val="231F20"/>
          <w:spacing w:val="-11"/>
          <w:w w:val="105"/>
        </w:rPr>
        <w:t> </w:t>
      </w:r>
      <w:r>
        <w:rPr>
          <w:color w:val="231F20"/>
          <w:w w:val="105"/>
        </w:rPr>
        <w:t>en</w:t>
      </w:r>
      <w:r>
        <w:rPr>
          <w:color w:val="231F20"/>
          <w:spacing w:val="-11"/>
          <w:w w:val="105"/>
        </w:rPr>
        <w:t> </w:t>
      </w:r>
      <w:r>
        <w:rPr>
          <w:color w:val="231F20"/>
          <w:w w:val="105"/>
        </w:rPr>
        <w:t>cuenta</w:t>
      </w:r>
      <w:r>
        <w:rPr>
          <w:color w:val="231F20"/>
          <w:spacing w:val="-11"/>
          <w:w w:val="105"/>
        </w:rPr>
        <w:t> </w:t>
      </w:r>
      <w:r>
        <w:rPr>
          <w:color w:val="231F20"/>
          <w:w w:val="105"/>
        </w:rPr>
        <w:t>las</w:t>
      </w:r>
      <w:r>
        <w:rPr>
          <w:color w:val="231F20"/>
          <w:spacing w:val="-11"/>
          <w:w w:val="105"/>
        </w:rPr>
        <w:t> </w:t>
      </w:r>
      <w:r>
        <w:rPr>
          <w:color w:val="231F20"/>
          <w:w w:val="105"/>
        </w:rPr>
        <w:t>posibles</w:t>
      </w:r>
      <w:r>
        <w:rPr>
          <w:color w:val="231F20"/>
          <w:spacing w:val="-11"/>
          <w:w w:val="105"/>
        </w:rPr>
        <w:t> </w:t>
      </w:r>
      <w:r>
        <w:rPr>
          <w:color w:val="231F20"/>
          <w:w w:val="105"/>
        </w:rPr>
        <w:t>variaciones</w:t>
      </w:r>
      <w:r>
        <w:rPr>
          <w:color w:val="231F20"/>
          <w:spacing w:val="-11"/>
          <w:w w:val="105"/>
        </w:rPr>
        <w:t> </w:t>
      </w:r>
      <w:r>
        <w:rPr>
          <w:color w:val="231F20"/>
          <w:w w:val="105"/>
        </w:rPr>
        <w:t>en</w:t>
      </w:r>
      <w:r>
        <w:rPr>
          <w:color w:val="231F20"/>
          <w:spacing w:val="-11"/>
          <w:w w:val="105"/>
        </w:rPr>
        <w:t> </w:t>
      </w:r>
      <w:r>
        <w:rPr>
          <w:color w:val="231F20"/>
          <w:w w:val="105"/>
        </w:rPr>
        <w:t>el ROA</w:t>
      </w:r>
      <w:r>
        <w:rPr>
          <w:color w:val="231F20"/>
          <w:spacing w:val="-32"/>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empresas</w:t>
      </w:r>
      <w:r>
        <w:rPr>
          <w:color w:val="231F20"/>
          <w:spacing w:val="-29"/>
          <w:w w:val="105"/>
        </w:rPr>
        <w:t> </w:t>
      </w:r>
      <w:r>
        <w:rPr>
          <w:color w:val="231F20"/>
          <w:w w:val="105"/>
        </w:rPr>
        <w:t>bajo</w:t>
      </w:r>
      <w:r>
        <w:rPr>
          <w:color w:val="231F20"/>
          <w:spacing w:val="-29"/>
          <w:w w:val="105"/>
        </w:rPr>
        <w:t> </w:t>
      </w:r>
      <w:r>
        <w:rPr>
          <w:color w:val="231F20"/>
          <w:w w:val="105"/>
        </w:rPr>
        <w:t>análisis</w:t>
      </w:r>
      <w:r>
        <w:rPr>
          <w:color w:val="231F20"/>
          <w:spacing w:val="-29"/>
          <w:w w:val="105"/>
        </w:rPr>
        <w:t> </w:t>
      </w:r>
      <w:r>
        <w:rPr>
          <w:color w:val="231F20"/>
          <w:w w:val="105"/>
        </w:rPr>
        <w:t>que</w:t>
      </w:r>
      <w:r>
        <w:rPr>
          <w:color w:val="231F20"/>
          <w:spacing w:val="-29"/>
          <w:w w:val="105"/>
        </w:rPr>
        <w:t> </w:t>
      </w:r>
      <w:r>
        <w:rPr>
          <w:color w:val="231F20"/>
          <w:w w:val="105"/>
        </w:rPr>
        <w:t>se</w:t>
      </w:r>
      <w:r>
        <w:rPr>
          <w:color w:val="231F20"/>
          <w:spacing w:val="-29"/>
          <w:w w:val="105"/>
        </w:rPr>
        <w:t> </w:t>
      </w:r>
      <w:r>
        <w:rPr>
          <w:color w:val="231F20"/>
          <w:w w:val="105"/>
        </w:rPr>
        <w:t>pudieron</w:t>
      </w:r>
      <w:r>
        <w:rPr>
          <w:color w:val="231F20"/>
          <w:spacing w:val="-29"/>
          <w:w w:val="105"/>
        </w:rPr>
        <w:t> </w:t>
      </w:r>
      <w:r>
        <w:rPr>
          <w:color w:val="231F20"/>
          <w:w w:val="105"/>
        </w:rPr>
        <w:t>deber</w:t>
      </w:r>
      <w:r>
        <w:rPr>
          <w:color w:val="231F20"/>
          <w:spacing w:val="-29"/>
          <w:w w:val="105"/>
        </w:rPr>
        <w:t> </w:t>
      </w:r>
      <w:r>
        <w:rPr>
          <w:color w:val="231F20"/>
          <w:w w:val="105"/>
        </w:rPr>
        <w:t>a</w:t>
      </w:r>
      <w:r>
        <w:rPr>
          <w:color w:val="231F20"/>
          <w:spacing w:val="-29"/>
          <w:w w:val="105"/>
        </w:rPr>
        <w:t> </w:t>
      </w:r>
      <w:r>
        <w:rPr>
          <w:color w:val="231F20"/>
          <w:w w:val="105"/>
        </w:rPr>
        <w:t>fluctuaciones macroeconómicas</w:t>
      </w:r>
      <w:r>
        <w:rPr>
          <w:color w:val="231F20"/>
          <w:spacing w:val="-35"/>
          <w:w w:val="105"/>
        </w:rPr>
        <w:t> </w:t>
      </w:r>
      <w:r>
        <w:rPr>
          <w:color w:val="231F20"/>
          <w:w w:val="105"/>
        </w:rPr>
        <w:t>asociadas</w:t>
      </w:r>
      <w:r>
        <w:rPr>
          <w:color w:val="231F20"/>
          <w:spacing w:val="-35"/>
          <w:w w:val="105"/>
        </w:rPr>
        <w:t> </w:t>
      </w:r>
      <w:r>
        <w:rPr>
          <w:color w:val="231F20"/>
          <w:w w:val="105"/>
        </w:rPr>
        <w:t>a</w:t>
      </w:r>
      <w:r>
        <w:rPr>
          <w:color w:val="231F20"/>
          <w:spacing w:val="-35"/>
          <w:w w:val="105"/>
        </w:rPr>
        <w:t> </w:t>
      </w:r>
      <w:r>
        <w:rPr>
          <w:color w:val="231F20"/>
          <w:w w:val="105"/>
        </w:rPr>
        <w:t>cada</w:t>
      </w:r>
      <w:r>
        <w:rPr>
          <w:color w:val="231F20"/>
          <w:spacing w:val="-35"/>
          <w:w w:val="105"/>
        </w:rPr>
        <w:t> </w:t>
      </w:r>
      <w:r>
        <w:rPr>
          <w:color w:val="231F20"/>
          <w:w w:val="105"/>
        </w:rPr>
        <w:t>año</w:t>
      </w:r>
      <w:r>
        <w:rPr>
          <w:color w:val="231F20"/>
          <w:spacing w:val="-35"/>
          <w:w w:val="105"/>
        </w:rPr>
        <w:t> </w:t>
      </w:r>
      <w:r>
        <w:rPr>
          <w:color w:val="231F20"/>
          <w:w w:val="105"/>
        </w:rPr>
        <w:t>considerado</w:t>
      </w:r>
      <w:r>
        <w:rPr>
          <w:color w:val="231F20"/>
          <w:spacing w:val="-35"/>
          <w:w w:val="105"/>
        </w:rPr>
        <w:t> </w:t>
      </w:r>
      <w:r>
        <w:rPr>
          <w:color w:val="231F20"/>
          <w:w w:val="105"/>
        </w:rPr>
        <w:t>en</w:t>
      </w:r>
      <w:r>
        <w:rPr>
          <w:color w:val="231F20"/>
          <w:spacing w:val="-35"/>
          <w:w w:val="105"/>
        </w:rPr>
        <w:t> </w:t>
      </w:r>
      <w:r>
        <w:rPr>
          <w:color w:val="231F20"/>
          <w:w w:val="105"/>
        </w:rPr>
        <w:t>la</w:t>
      </w:r>
      <w:r>
        <w:rPr>
          <w:color w:val="231F20"/>
          <w:spacing w:val="-35"/>
          <w:w w:val="105"/>
        </w:rPr>
        <w:t> </w:t>
      </w:r>
      <w:r>
        <w:rPr>
          <w:color w:val="231F20"/>
          <w:w w:val="105"/>
        </w:rPr>
        <w:t>investigación. El</w:t>
      </w:r>
      <w:r>
        <w:rPr>
          <w:color w:val="231F20"/>
          <w:spacing w:val="-11"/>
          <w:w w:val="105"/>
        </w:rPr>
        <w:t> </w:t>
      </w:r>
      <w:r>
        <w:rPr>
          <w:color w:val="231F20"/>
          <w:w w:val="105"/>
        </w:rPr>
        <w:t>año</w:t>
      </w:r>
      <w:r>
        <w:rPr>
          <w:color w:val="231F20"/>
          <w:spacing w:val="-11"/>
          <w:w w:val="105"/>
        </w:rPr>
        <w:t> </w:t>
      </w:r>
      <w:r>
        <w:rPr>
          <w:color w:val="231F20"/>
          <w:w w:val="105"/>
        </w:rPr>
        <w:t>2000</w:t>
      </w:r>
      <w:r>
        <w:rPr>
          <w:color w:val="231F20"/>
          <w:spacing w:val="-11"/>
          <w:w w:val="105"/>
        </w:rPr>
        <w:t> </w:t>
      </w:r>
      <w:r>
        <w:rPr>
          <w:color w:val="231F20"/>
          <w:w w:val="105"/>
        </w:rPr>
        <w:t>tomó</w:t>
      </w:r>
      <w:r>
        <w:rPr>
          <w:color w:val="231F20"/>
          <w:spacing w:val="-11"/>
          <w:w w:val="105"/>
        </w:rPr>
        <w:t> </w:t>
      </w:r>
      <w:r>
        <w:rPr>
          <w:color w:val="231F20"/>
          <w:w w:val="105"/>
        </w:rPr>
        <w:t>el</w:t>
      </w:r>
      <w:r>
        <w:rPr>
          <w:color w:val="231F20"/>
          <w:spacing w:val="-11"/>
          <w:w w:val="105"/>
        </w:rPr>
        <w:t> </w:t>
      </w:r>
      <w:r>
        <w:rPr>
          <w:color w:val="231F20"/>
          <w:w w:val="105"/>
        </w:rPr>
        <w:t>valor</w:t>
      </w:r>
      <w:r>
        <w:rPr>
          <w:color w:val="231F20"/>
          <w:spacing w:val="-11"/>
          <w:w w:val="105"/>
        </w:rPr>
        <w:t> </w:t>
      </w:r>
      <w:r>
        <w:rPr>
          <w:color w:val="231F20"/>
          <w:w w:val="105"/>
        </w:rPr>
        <w:t>de</w:t>
      </w:r>
      <w:r>
        <w:rPr>
          <w:color w:val="231F20"/>
          <w:spacing w:val="-11"/>
          <w:w w:val="105"/>
        </w:rPr>
        <w:t> </w:t>
      </w:r>
      <w:r>
        <w:rPr>
          <w:color w:val="231F20"/>
          <w:w w:val="105"/>
        </w:rPr>
        <w:t>uno</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año</w:t>
      </w:r>
      <w:r>
        <w:rPr>
          <w:color w:val="231F20"/>
          <w:spacing w:val="-11"/>
          <w:w w:val="105"/>
        </w:rPr>
        <w:t> </w:t>
      </w:r>
      <w:r>
        <w:rPr>
          <w:color w:val="231F20"/>
          <w:w w:val="105"/>
        </w:rPr>
        <w:t>2003</w:t>
      </w:r>
      <w:r>
        <w:rPr>
          <w:color w:val="231F20"/>
          <w:spacing w:val="-11"/>
          <w:w w:val="105"/>
        </w:rPr>
        <w:t> </w:t>
      </w:r>
      <w:r>
        <w:rPr>
          <w:color w:val="231F20"/>
          <w:w w:val="105"/>
        </w:rPr>
        <w:t>el</w:t>
      </w:r>
      <w:r>
        <w:rPr>
          <w:color w:val="231F20"/>
          <w:spacing w:val="-11"/>
          <w:w w:val="105"/>
        </w:rPr>
        <w:t> </w:t>
      </w:r>
      <w:r>
        <w:rPr>
          <w:color w:val="231F20"/>
          <w:w w:val="105"/>
        </w:rPr>
        <w:t>de</w:t>
      </w:r>
      <w:r>
        <w:rPr>
          <w:color w:val="231F20"/>
          <w:spacing w:val="-11"/>
          <w:w w:val="105"/>
        </w:rPr>
        <w:t> </w:t>
      </w:r>
      <w:r>
        <w:rPr>
          <w:color w:val="231F20"/>
          <w:w w:val="105"/>
        </w:rPr>
        <w:t>cuatro.</w:t>
      </w:r>
    </w:p>
    <w:p>
      <w:pPr>
        <w:spacing w:before="162"/>
        <w:ind w:left="117" w:right="0" w:firstLine="0"/>
        <w:jc w:val="both"/>
        <w:rPr>
          <w:i/>
          <w:sz w:val="21"/>
        </w:rPr>
      </w:pPr>
      <w:r>
        <w:rPr>
          <w:i/>
          <w:color w:val="231F20"/>
          <w:sz w:val="21"/>
        </w:rPr>
        <w:t>Análisis y resultados</w:t>
      </w:r>
    </w:p>
    <w:p>
      <w:pPr>
        <w:pStyle w:val="BodyText"/>
        <w:spacing w:before="4"/>
        <w:rPr>
          <w:i/>
          <w:sz w:val="16"/>
        </w:rPr>
      </w:pPr>
    </w:p>
    <w:p>
      <w:pPr>
        <w:pStyle w:val="BodyText"/>
        <w:spacing w:line="259" w:lineRule="auto"/>
        <w:ind w:left="117" w:right="115"/>
        <w:jc w:val="both"/>
      </w:pPr>
      <w:r>
        <w:rPr>
          <w:color w:val="231F20"/>
          <w:w w:val="105"/>
        </w:rPr>
        <w:t>La</w:t>
      </w:r>
      <w:r>
        <w:rPr>
          <w:color w:val="231F20"/>
          <w:spacing w:val="-39"/>
          <w:w w:val="105"/>
        </w:rPr>
        <w:t> </w:t>
      </w:r>
      <w:r>
        <w:rPr>
          <w:color w:val="231F20"/>
          <w:spacing w:val="-5"/>
          <w:w w:val="105"/>
        </w:rPr>
        <w:t>Tabla</w:t>
      </w:r>
      <w:r>
        <w:rPr>
          <w:color w:val="231F20"/>
          <w:spacing w:val="-36"/>
          <w:w w:val="105"/>
        </w:rPr>
        <w:t> </w:t>
      </w:r>
      <w:r>
        <w:rPr>
          <w:color w:val="231F20"/>
          <w:w w:val="105"/>
        </w:rPr>
        <w:t>2</w:t>
      </w:r>
      <w:r>
        <w:rPr>
          <w:color w:val="231F20"/>
          <w:spacing w:val="-36"/>
          <w:w w:val="105"/>
        </w:rPr>
        <w:t> </w:t>
      </w:r>
      <w:r>
        <w:rPr>
          <w:color w:val="231F20"/>
          <w:w w:val="105"/>
        </w:rPr>
        <w:t>muestra</w:t>
      </w:r>
      <w:r>
        <w:rPr>
          <w:color w:val="231F20"/>
          <w:spacing w:val="-36"/>
          <w:w w:val="105"/>
        </w:rPr>
        <w:t> </w:t>
      </w:r>
      <w:r>
        <w:rPr>
          <w:color w:val="231F20"/>
          <w:w w:val="105"/>
        </w:rPr>
        <w:t>correlaciones</w:t>
      </w:r>
      <w:r>
        <w:rPr>
          <w:color w:val="231F20"/>
          <w:spacing w:val="-36"/>
          <w:w w:val="105"/>
        </w:rPr>
        <w:t> </w:t>
      </w:r>
      <w:r>
        <w:rPr>
          <w:color w:val="231F20"/>
          <w:w w:val="105"/>
        </w:rPr>
        <w:t>biseriales</w:t>
      </w:r>
      <w:r>
        <w:rPr>
          <w:color w:val="231F20"/>
          <w:spacing w:val="-36"/>
          <w:w w:val="105"/>
        </w:rPr>
        <w:t> </w:t>
      </w:r>
      <w:r>
        <w:rPr>
          <w:color w:val="231F20"/>
          <w:w w:val="105"/>
        </w:rPr>
        <w:t>entre</w:t>
      </w:r>
      <w:r>
        <w:rPr>
          <w:color w:val="231F20"/>
          <w:spacing w:val="-36"/>
          <w:w w:val="105"/>
        </w:rPr>
        <w:t> </w:t>
      </w:r>
      <w:r>
        <w:rPr>
          <w:color w:val="231F20"/>
          <w:w w:val="105"/>
        </w:rPr>
        <w:t>las</w:t>
      </w:r>
      <w:r>
        <w:rPr>
          <w:color w:val="231F20"/>
          <w:spacing w:val="-36"/>
          <w:w w:val="105"/>
        </w:rPr>
        <w:t> </w:t>
      </w:r>
      <w:r>
        <w:rPr>
          <w:color w:val="231F20"/>
          <w:w w:val="105"/>
        </w:rPr>
        <w:t>variables</w:t>
      </w:r>
      <w:r>
        <w:rPr>
          <w:color w:val="231F20"/>
          <w:spacing w:val="-36"/>
          <w:w w:val="105"/>
        </w:rPr>
        <w:t> </w:t>
      </w:r>
      <w:r>
        <w:rPr>
          <w:color w:val="231F20"/>
          <w:w w:val="105"/>
        </w:rPr>
        <w:t>del</w:t>
      </w:r>
      <w:r>
        <w:rPr>
          <w:color w:val="231F20"/>
          <w:spacing w:val="-36"/>
          <w:w w:val="105"/>
        </w:rPr>
        <w:t> </w:t>
      </w:r>
      <w:r>
        <w:rPr>
          <w:color w:val="231F20"/>
          <w:w w:val="105"/>
        </w:rPr>
        <w:t>estudio. Preliminarmente,</w:t>
      </w:r>
      <w:r>
        <w:rPr>
          <w:color w:val="231F20"/>
          <w:spacing w:val="-23"/>
          <w:w w:val="105"/>
        </w:rPr>
        <w:t> </w:t>
      </w:r>
      <w:r>
        <w:rPr>
          <w:color w:val="231F20"/>
          <w:w w:val="105"/>
        </w:rPr>
        <w:t>se</w:t>
      </w:r>
      <w:r>
        <w:rPr>
          <w:color w:val="231F20"/>
          <w:spacing w:val="-18"/>
          <w:w w:val="105"/>
        </w:rPr>
        <w:t> </w:t>
      </w:r>
      <w:r>
        <w:rPr>
          <w:color w:val="231F20"/>
          <w:w w:val="105"/>
        </w:rPr>
        <w:t>observa</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ROA</w:t>
      </w:r>
      <w:r>
        <w:rPr>
          <w:color w:val="231F20"/>
          <w:spacing w:val="-21"/>
          <w:w w:val="105"/>
        </w:rPr>
        <w:t> </w:t>
      </w:r>
      <w:r>
        <w:rPr>
          <w:color w:val="231F20"/>
          <w:w w:val="105"/>
        </w:rPr>
        <w:t>promedio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que formaron</w:t>
      </w:r>
      <w:r>
        <w:rPr>
          <w:color w:val="231F20"/>
          <w:spacing w:val="-22"/>
          <w:w w:val="105"/>
        </w:rPr>
        <w:t> </w:t>
      </w:r>
      <w:r>
        <w:rPr>
          <w:color w:val="231F20"/>
          <w:w w:val="105"/>
        </w:rPr>
        <w:t>alianzas</w:t>
      </w:r>
      <w:r>
        <w:rPr>
          <w:color w:val="231F20"/>
          <w:spacing w:val="-22"/>
          <w:w w:val="105"/>
        </w:rPr>
        <w:t> </w:t>
      </w:r>
      <w:r>
        <w:rPr>
          <w:color w:val="231F20"/>
          <w:w w:val="105"/>
        </w:rPr>
        <w:t>de</w:t>
      </w:r>
      <w:r>
        <w:rPr>
          <w:color w:val="231F20"/>
          <w:spacing w:val="-21"/>
          <w:w w:val="105"/>
        </w:rPr>
        <w:t> </w:t>
      </w:r>
      <w:r>
        <w:rPr>
          <w:color w:val="231F20"/>
          <w:w w:val="105"/>
        </w:rPr>
        <w:t>manufactura</w:t>
      </w:r>
      <w:r>
        <w:rPr>
          <w:color w:val="231F20"/>
          <w:spacing w:val="-21"/>
          <w:w w:val="105"/>
        </w:rPr>
        <w:t> </w:t>
      </w:r>
      <w:r>
        <w:rPr>
          <w:color w:val="231F20"/>
          <w:w w:val="105"/>
        </w:rPr>
        <w:t>era</w:t>
      </w:r>
      <w:r>
        <w:rPr>
          <w:color w:val="231F20"/>
          <w:spacing w:val="-21"/>
          <w:w w:val="105"/>
        </w:rPr>
        <w:t> </w:t>
      </w:r>
      <w:r>
        <w:rPr>
          <w:color w:val="231F20"/>
          <w:w w:val="105"/>
        </w:rPr>
        <w:t>menor</w:t>
      </w:r>
      <w:r>
        <w:rPr>
          <w:color w:val="231F20"/>
          <w:spacing w:val="-22"/>
          <w:w w:val="105"/>
        </w:rPr>
        <w:t> </w:t>
      </w:r>
      <w:r>
        <w:rPr>
          <w:color w:val="231F20"/>
          <w:w w:val="105"/>
        </w:rPr>
        <w:t>al</w:t>
      </w:r>
      <w:r>
        <w:rPr>
          <w:color w:val="231F20"/>
          <w:spacing w:val="-21"/>
          <w:w w:val="105"/>
        </w:rPr>
        <w:t> </w:t>
      </w:r>
      <w:r>
        <w:rPr>
          <w:color w:val="231F20"/>
          <w:w w:val="105"/>
        </w:rPr>
        <w:t>de</w:t>
      </w:r>
      <w:r>
        <w:rPr>
          <w:color w:val="231F20"/>
          <w:spacing w:val="-22"/>
          <w:w w:val="105"/>
        </w:rPr>
        <w:t> </w:t>
      </w:r>
      <w:r>
        <w:rPr>
          <w:color w:val="231F20"/>
          <w:w w:val="105"/>
        </w:rPr>
        <w:t>las</w:t>
      </w:r>
      <w:r>
        <w:rPr>
          <w:color w:val="231F20"/>
          <w:spacing w:val="-21"/>
          <w:w w:val="105"/>
        </w:rPr>
        <w:t> </w:t>
      </w:r>
      <w:r>
        <w:rPr>
          <w:color w:val="231F20"/>
          <w:w w:val="105"/>
        </w:rPr>
        <w:t>empresas</w:t>
      </w:r>
      <w:r>
        <w:rPr>
          <w:color w:val="231F20"/>
          <w:spacing w:val="-21"/>
          <w:w w:val="105"/>
        </w:rPr>
        <w:t> </w:t>
      </w:r>
      <w:r>
        <w:rPr>
          <w:color w:val="231F20"/>
          <w:w w:val="105"/>
        </w:rPr>
        <w:t>que</w:t>
      </w:r>
      <w:r>
        <w:rPr>
          <w:color w:val="231F20"/>
          <w:spacing w:val="-21"/>
          <w:w w:val="105"/>
        </w:rPr>
        <w:t> </w:t>
      </w:r>
      <w:r>
        <w:rPr>
          <w:color w:val="231F20"/>
          <w:w w:val="105"/>
        </w:rPr>
        <w:t>for- maron</w:t>
      </w:r>
      <w:r>
        <w:rPr>
          <w:color w:val="231F20"/>
          <w:spacing w:val="-16"/>
          <w:w w:val="105"/>
        </w:rPr>
        <w:t> </w:t>
      </w:r>
      <w:r>
        <w:rPr>
          <w:color w:val="231F20"/>
          <w:w w:val="105"/>
        </w:rPr>
        <w:t>tratos</w:t>
      </w:r>
      <w:r>
        <w:rPr>
          <w:color w:val="231F20"/>
          <w:spacing w:val="-16"/>
          <w:w w:val="105"/>
        </w:rPr>
        <w:t> </w:t>
      </w:r>
      <w:r>
        <w:rPr>
          <w:color w:val="231F20"/>
          <w:w w:val="105"/>
        </w:rPr>
        <w:t>de</w:t>
      </w:r>
      <w:r>
        <w:rPr>
          <w:color w:val="231F20"/>
          <w:spacing w:val="-16"/>
          <w:w w:val="105"/>
        </w:rPr>
        <w:t> </w:t>
      </w:r>
      <w:r>
        <w:rPr>
          <w:color w:val="231F20"/>
          <w:w w:val="105"/>
        </w:rPr>
        <w:t>mercadotecnia.</w:t>
      </w:r>
      <w:r>
        <w:rPr>
          <w:color w:val="231F20"/>
          <w:spacing w:val="-21"/>
          <w:w w:val="105"/>
        </w:rPr>
        <w:t> </w:t>
      </w:r>
      <w:r>
        <w:rPr>
          <w:color w:val="231F20"/>
          <w:w w:val="105"/>
        </w:rPr>
        <w:t>La</w:t>
      </w:r>
      <w:r>
        <w:rPr>
          <w:color w:val="231F20"/>
          <w:spacing w:val="-16"/>
          <w:w w:val="105"/>
        </w:rPr>
        <w:t> </w:t>
      </w:r>
      <w:r>
        <w:rPr>
          <w:color w:val="231F20"/>
          <w:w w:val="105"/>
        </w:rPr>
        <w:t>diferencia</w:t>
      </w:r>
      <w:r>
        <w:rPr>
          <w:color w:val="231F20"/>
          <w:spacing w:val="-16"/>
          <w:w w:val="105"/>
        </w:rPr>
        <w:t> </w:t>
      </w:r>
      <w:r>
        <w:rPr>
          <w:color w:val="231F20"/>
          <w:w w:val="105"/>
        </w:rPr>
        <w:t>es</w:t>
      </w:r>
      <w:r>
        <w:rPr>
          <w:color w:val="231F20"/>
          <w:spacing w:val="-16"/>
          <w:w w:val="105"/>
        </w:rPr>
        <w:t> </w:t>
      </w:r>
      <w:r>
        <w:rPr>
          <w:color w:val="231F20"/>
          <w:w w:val="105"/>
        </w:rPr>
        <w:t>estadísticamente</w:t>
      </w:r>
      <w:r>
        <w:rPr>
          <w:color w:val="231F20"/>
          <w:spacing w:val="-16"/>
          <w:w w:val="105"/>
        </w:rPr>
        <w:t> </w:t>
      </w:r>
      <w:r>
        <w:rPr>
          <w:color w:val="231F20"/>
          <w:w w:val="105"/>
        </w:rPr>
        <w:t>signi- ficativa.</w:t>
      </w:r>
      <w:r>
        <w:rPr>
          <w:color w:val="231F20"/>
          <w:spacing w:val="-26"/>
          <w:w w:val="105"/>
        </w:rPr>
        <w:t> </w:t>
      </w:r>
      <w:r>
        <w:rPr>
          <w:color w:val="231F20"/>
          <w:w w:val="105"/>
        </w:rPr>
        <w:t>La</w:t>
      </w:r>
      <w:r>
        <w:rPr>
          <w:color w:val="231F20"/>
          <w:spacing w:val="-25"/>
          <w:w w:val="105"/>
        </w:rPr>
        <w:t> </w:t>
      </w:r>
      <w:r>
        <w:rPr>
          <w:color w:val="231F20"/>
          <w:spacing w:val="-5"/>
          <w:w w:val="105"/>
        </w:rPr>
        <w:t>Tabla</w:t>
      </w:r>
      <w:r>
        <w:rPr>
          <w:color w:val="231F20"/>
          <w:spacing w:val="-21"/>
          <w:w w:val="105"/>
        </w:rPr>
        <w:t> </w:t>
      </w:r>
      <w:r>
        <w:rPr>
          <w:color w:val="231F20"/>
          <w:w w:val="105"/>
        </w:rPr>
        <w:t>2</w:t>
      </w:r>
      <w:r>
        <w:rPr>
          <w:color w:val="231F20"/>
          <w:spacing w:val="-21"/>
          <w:w w:val="105"/>
        </w:rPr>
        <w:t> </w:t>
      </w:r>
      <w:r>
        <w:rPr>
          <w:color w:val="231F20"/>
          <w:w w:val="105"/>
        </w:rPr>
        <w:t>indica</w:t>
      </w:r>
      <w:r>
        <w:rPr>
          <w:color w:val="231F20"/>
          <w:spacing w:val="-21"/>
          <w:w w:val="105"/>
        </w:rPr>
        <w:t> </w:t>
      </w:r>
      <w:r>
        <w:rPr>
          <w:color w:val="231F20"/>
          <w:w w:val="105"/>
        </w:rPr>
        <w:t>también</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ROA</w:t>
      </w:r>
      <w:r>
        <w:rPr>
          <w:color w:val="231F20"/>
          <w:spacing w:val="-24"/>
          <w:w w:val="105"/>
        </w:rPr>
        <w:t> </w:t>
      </w:r>
      <w:r>
        <w:rPr>
          <w:color w:val="231F20"/>
          <w:w w:val="105"/>
        </w:rPr>
        <w:t>promedio</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empresas incluidas en la muestra difirió significativamente (aunque</w:t>
      </w:r>
      <w:r>
        <w:rPr>
          <w:color w:val="231F20"/>
          <w:spacing w:val="-22"/>
          <w:w w:val="105"/>
        </w:rPr>
        <w:t> </w:t>
      </w:r>
      <w:r>
        <w:rPr>
          <w:color w:val="231F20"/>
          <w:w w:val="105"/>
        </w:rPr>
        <w:t>marginalmen- te) antes y después de la formación de una </w:t>
      </w:r>
      <w:r>
        <w:rPr>
          <w:i/>
          <w:color w:val="231F20"/>
          <w:w w:val="105"/>
        </w:rPr>
        <w:t>joint venture </w:t>
      </w:r>
      <w:r>
        <w:rPr>
          <w:color w:val="231F20"/>
          <w:w w:val="105"/>
        </w:rPr>
        <w:t>en particular. Que en esta misma tabla se observe una correlación negativa entre el ROA</w:t>
      </w:r>
      <w:r>
        <w:rPr>
          <w:color w:val="231F20"/>
          <w:spacing w:val="-14"/>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variable</w:t>
      </w:r>
      <w:r>
        <w:rPr>
          <w:color w:val="231F20"/>
          <w:spacing w:val="-10"/>
          <w:w w:val="105"/>
        </w:rPr>
        <w:t> </w:t>
      </w:r>
      <w:r>
        <w:rPr>
          <w:color w:val="231F20"/>
          <w:w w:val="105"/>
        </w:rPr>
        <w:t>años,</w:t>
      </w:r>
      <w:r>
        <w:rPr>
          <w:color w:val="231F20"/>
          <w:spacing w:val="-16"/>
          <w:w w:val="105"/>
        </w:rPr>
        <w:t> </w:t>
      </w:r>
      <w:r>
        <w:rPr>
          <w:color w:val="231F20"/>
          <w:w w:val="105"/>
        </w:rPr>
        <w:t>sugiere</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rentabilidad</w:t>
      </w:r>
      <w:r>
        <w:rPr>
          <w:color w:val="231F20"/>
          <w:spacing w:val="-10"/>
          <w:w w:val="105"/>
        </w:rPr>
        <w:t> </w:t>
      </w:r>
      <w:r>
        <w:rPr>
          <w:color w:val="231F20"/>
          <w:w w:val="105"/>
        </w:rPr>
        <w:t>promedio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em- presas</w:t>
      </w:r>
      <w:r>
        <w:rPr>
          <w:color w:val="231F20"/>
          <w:spacing w:val="-23"/>
          <w:w w:val="105"/>
        </w:rPr>
        <w:t> </w:t>
      </w:r>
      <w:r>
        <w:rPr>
          <w:color w:val="231F20"/>
          <w:w w:val="105"/>
        </w:rPr>
        <w:t>disminuyó</w:t>
      </w:r>
      <w:r>
        <w:rPr>
          <w:color w:val="231F20"/>
          <w:spacing w:val="-23"/>
          <w:w w:val="105"/>
        </w:rPr>
        <w:t> </w:t>
      </w:r>
      <w:r>
        <w:rPr>
          <w:color w:val="231F20"/>
          <w:w w:val="105"/>
        </w:rPr>
        <w:t>progresivamente</w:t>
      </w:r>
      <w:r>
        <w:rPr>
          <w:color w:val="231F20"/>
          <w:spacing w:val="-23"/>
          <w:w w:val="105"/>
        </w:rPr>
        <w:t> </w:t>
      </w:r>
      <w:r>
        <w:rPr>
          <w:color w:val="231F20"/>
          <w:w w:val="105"/>
        </w:rPr>
        <w:t>del</w:t>
      </w:r>
      <w:r>
        <w:rPr>
          <w:color w:val="231F20"/>
          <w:spacing w:val="-23"/>
          <w:w w:val="105"/>
        </w:rPr>
        <w:t> </w:t>
      </w:r>
      <w:r>
        <w:rPr>
          <w:color w:val="231F20"/>
          <w:w w:val="105"/>
        </w:rPr>
        <w:t>año</w:t>
      </w:r>
      <w:r>
        <w:rPr>
          <w:color w:val="231F20"/>
          <w:spacing w:val="-23"/>
          <w:w w:val="105"/>
        </w:rPr>
        <w:t> </w:t>
      </w:r>
      <w:r>
        <w:rPr>
          <w:color w:val="231F20"/>
          <w:w w:val="105"/>
        </w:rPr>
        <w:t>2000</w:t>
      </w:r>
      <w:r>
        <w:rPr>
          <w:color w:val="231F20"/>
          <w:spacing w:val="-23"/>
          <w:w w:val="105"/>
        </w:rPr>
        <w:t> </w:t>
      </w:r>
      <w:r>
        <w:rPr>
          <w:color w:val="231F20"/>
          <w:w w:val="105"/>
        </w:rPr>
        <w:t>al</w:t>
      </w:r>
      <w:r>
        <w:rPr>
          <w:color w:val="231F20"/>
          <w:spacing w:val="-23"/>
          <w:w w:val="105"/>
        </w:rPr>
        <w:t> </w:t>
      </w:r>
      <w:r>
        <w:rPr>
          <w:color w:val="231F20"/>
          <w:w w:val="105"/>
        </w:rPr>
        <w:t>2003.</w:t>
      </w:r>
      <w:r>
        <w:rPr>
          <w:color w:val="231F20"/>
          <w:spacing w:val="-28"/>
          <w:w w:val="105"/>
        </w:rPr>
        <w:t> </w:t>
      </w:r>
      <w:r>
        <w:rPr>
          <w:color w:val="231F20"/>
          <w:w w:val="105"/>
        </w:rPr>
        <w:t>Esta</w:t>
      </w:r>
      <w:r>
        <w:rPr>
          <w:color w:val="231F20"/>
          <w:spacing w:val="-23"/>
          <w:w w:val="105"/>
        </w:rPr>
        <w:t> </w:t>
      </w:r>
      <w:r>
        <w:rPr>
          <w:color w:val="231F20"/>
          <w:w w:val="105"/>
        </w:rPr>
        <w:t>diferencia de aproximadamente el seis por ciento es altamente significativa pero no</w:t>
      </w:r>
      <w:r>
        <w:rPr>
          <w:color w:val="231F20"/>
          <w:spacing w:val="-17"/>
          <w:w w:val="105"/>
        </w:rPr>
        <w:t> </w:t>
      </w:r>
      <w:r>
        <w:rPr>
          <w:color w:val="231F20"/>
          <w:w w:val="105"/>
        </w:rPr>
        <w:t>sorpresiva</w:t>
      </w:r>
      <w:r>
        <w:rPr>
          <w:color w:val="231F20"/>
          <w:spacing w:val="-17"/>
          <w:w w:val="105"/>
        </w:rPr>
        <w:t> </w:t>
      </w:r>
      <w:r>
        <w:rPr>
          <w:color w:val="231F20"/>
          <w:w w:val="105"/>
        </w:rPr>
        <w:t>puesto</w:t>
      </w:r>
      <w:r>
        <w:rPr>
          <w:color w:val="231F20"/>
          <w:spacing w:val="-17"/>
          <w:w w:val="105"/>
        </w:rPr>
        <w:t> </w:t>
      </w:r>
      <w:r>
        <w:rPr>
          <w:color w:val="231F20"/>
          <w:w w:val="105"/>
        </w:rPr>
        <w:t>que,</w:t>
      </w:r>
      <w:r>
        <w:rPr>
          <w:color w:val="231F20"/>
          <w:spacing w:val="-23"/>
          <w:w w:val="105"/>
        </w:rPr>
        <w:t> </w:t>
      </w:r>
      <w:r>
        <w:rPr>
          <w:color w:val="231F20"/>
          <w:w w:val="105"/>
        </w:rPr>
        <w:t>como</w:t>
      </w:r>
      <w:r>
        <w:rPr>
          <w:color w:val="231F20"/>
          <w:spacing w:val="-17"/>
          <w:w w:val="105"/>
        </w:rPr>
        <w:t> </w:t>
      </w:r>
      <w:r>
        <w:rPr>
          <w:color w:val="231F20"/>
          <w:w w:val="105"/>
        </w:rPr>
        <w:t>se</w:t>
      </w:r>
      <w:r>
        <w:rPr>
          <w:color w:val="231F20"/>
          <w:spacing w:val="-17"/>
          <w:w w:val="105"/>
        </w:rPr>
        <w:t> </w:t>
      </w:r>
      <w:r>
        <w:rPr>
          <w:color w:val="231F20"/>
          <w:w w:val="105"/>
        </w:rPr>
        <w:t>mencionó,</w:t>
      </w:r>
      <w:r>
        <w:rPr>
          <w:color w:val="231F20"/>
          <w:spacing w:val="-23"/>
          <w:w w:val="105"/>
        </w:rPr>
        <w:t> </w:t>
      </w:r>
      <w:r>
        <w:rPr>
          <w:color w:val="231F20"/>
          <w:w w:val="105"/>
        </w:rPr>
        <w:t>durante</w:t>
      </w:r>
      <w:r>
        <w:rPr>
          <w:color w:val="231F20"/>
          <w:spacing w:val="-17"/>
          <w:w w:val="105"/>
        </w:rPr>
        <w:t> </w:t>
      </w:r>
      <w:r>
        <w:rPr>
          <w:color w:val="231F20"/>
          <w:w w:val="105"/>
        </w:rPr>
        <w:t>esos</w:t>
      </w:r>
      <w:r>
        <w:rPr>
          <w:color w:val="231F20"/>
          <w:spacing w:val="-17"/>
          <w:w w:val="105"/>
        </w:rPr>
        <w:t> </w:t>
      </w:r>
      <w:r>
        <w:rPr>
          <w:color w:val="231F20"/>
          <w:w w:val="105"/>
        </w:rPr>
        <w:t>años</w:t>
      </w:r>
      <w:r>
        <w:rPr>
          <w:color w:val="231F20"/>
          <w:spacing w:val="-17"/>
          <w:w w:val="105"/>
        </w:rPr>
        <w:t> </w:t>
      </w:r>
      <w:r>
        <w:rPr>
          <w:color w:val="231F20"/>
          <w:w w:val="105"/>
        </w:rPr>
        <w:t>la</w:t>
      </w:r>
      <w:r>
        <w:rPr>
          <w:color w:val="231F20"/>
          <w:spacing w:val="-17"/>
          <w:w w:val="105"/>
        </w:rPr>
        <w:t> </w:t>
      </w:r>
      <w:r>
        <w:rPr>
          <w:color w:val="231F20"/>
          <w:w w:val="105"/>
        </w:rPr>
        <w:t>eco- nomía</w:t>
      </w:r>
      <w:r>
        <w:rPr>
          <w:color w:val="231F20"/>
          <w:spacing w:val="-5"/>
          <w:w w:val="105"/>
        </w:rPr>
        <w:t> </w:t>
      </w:r>
      <w:r>
        <w:rPr>
          <w:color w:val="231F20"/>
          <w:w w:val="105"/>
        </w:rPr>
        <w:t>estadounidense</w:t>
      </w:r>
      <w:r>
        <w:rPr>
          <w:color w:val="231F20"/>
          <w:spacing w:val="-5"/>
          <w:w w:val="105"/>
        </w:rPr>
        <w:t> </w:t>
      </w:r>
      <w:r>
        <w:rPr>
          <w:color w:val="231F20"/>
          <w:w w:val="105"/>
        </w:rPr>
        <w:t>sufrió</w:t>
      </w:r>
      <w:r>
        <w:rPr>
          <w:color w:val="231F20"/>
          <w:spacing w:val="-5"/>
          <w:w w:val="105"/>
        </w:rPr>
        <w:t> </w:t>
      </w:r>
      <w:r>
        <w:rPr>
          <w:color w:val="231F20"/>
          <w:w w:val="105"/>
        </w:rPr>
        <w:t>un</w:t>
      </w:r>
      <w:r>
        <w:rPr>
          <w:color w:val="231F20"/>
          <w:spacing w:val="-5"/>
          <w:w w:val="105"/>
        </w:rPr>
        <w:t> </w:t>
      </w:r>
      <w:r>
        <w:rPr>
          <w:color w:val="231F20"/>
          <w:w w:val="105"/>
        </w:rPr>
        <w:t>declive</w:t>
      </w:r>
      <w:r>
        <w:rPr>
          <w:color w:val="231F20"/>
          <w:spacing w:val="-5"/>
          <w:w w:val="105"/>
        </w:rPr>
        <w:t> </w:t>
      </w:r>
      <w:r>
        <w:rPr>
          <w:color w:val="231F20"/>
          <w:w w:val="105"/>
        </w:rPr>
        <w:t>que</w:t>
      </w:r>
      <w:r>
        <w:rPr>
          <w:color w:val="231F20"/>
          <w:spacing w:val="-5"/>
          <w:w w:val="105"/>
        </w:rPr>
        <w:t> </w:t>
      </w:r>
      <w:r>
        <w:rPr>
          <w:color w:val="231F20"/>
          <w:w w:val="105"/>
        </w:rPr>
        <w:t>al</w:t>
      </w:r>
      <w:r>
        <w:rPr>
          <w:color w:val="231F20"/>
          <w:spacing w:val="-5"/>
          <w:w w:val="105"/>
        </w:rPr>
        <w:t> </w:t>
      </w:r>
      <w:r>
        <w:rPr>
          <w:color w:val="231F20"/>
          <w:w w:val="105"/>
        </w:rPr>
        <w:t>parecer</w:t>
      </w:r>
      <w:r>
        <w:rPr>
          <w:color w:val="231F20"/>
          <w:spacing w:val="-5"/>
          <w:w w:val="105"/>
        </w:rPr>
        <w:t> </w:t>
      </w:r>
      <w:r>
        <w:rPr>
          <w:color w:val="231F20"/>
          <w:w w:val="105"/>
        </w:rPr>
        <w:t>se</w:t>
      </w:r>
      <w:r>
        <w:rPr>
          <w:color w:val="231F20"/>
          <w:spacing w:val="-5"/>
          <w:w w:val="105"/>
        </w:rPr>
        <w:t> </w:t>
      </w:r>
      <w:r>
        <w:rPr>
          <w:color w:val="231F20"/>
          <w:w w:val="105"/>
        </w:rPr>
        <w:t>reflejó</w:t>
      </w:r>
      <w:r>
        <w:rPr>
          <w:color w:val="231F20"/>
          <w:spacing w:val="-5"/>
          <w:w w:val="105"/>
        </w:rPr>
        <w:t> </w:t>
      </w:r>
      <w:r>
        <w:rPr>
          <w:color w:val="231F20"/>
          <w:w w:val="105"/>
        </w:rPr>
        <w:t>en</w:t>
      </w:r>
      <w:r>
        <w:rPr>
          <w:color w:val="231F20"/>
          <w:spacing w:val="-5"/>
          <w:w w:val="105"/>
        </w:rPr>
        <w:t> </w:t>
      </w:r>
      <w:r>
        <w:rPr>
          <w:color w:val="231F20"/>
          <w:w w:val="105"/>
        </w:rPr>
        <w:t>los resultados</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empresas.</w:t>
      </w:r>
    </w:p>
    <w:p>
      <w:pPr>
        <w:pStyle w:val="BodyText"/>
        <w:spacing w:before="2"/>
      </w:pPr>
    </w:p>
    <w:p>
      <w:pPr>
        <w:spacing w:before="1"/>
        <w:ind w:left="1229" w:right="114" w:firstLine="0"/>
        <w:jc w:val="left"/>
        <w:rPr>
          <w:sz w:val="18"/>
        </w:rPr>
      </w:pPr>
      <w:r>
        <w:rPr/>
        <w:drawing>
          <wp:anchor distT="0" distB="0" distL="0" distR="0" allowOverlap="1" layoutInCell="1" locked="0" behindDoc="0" simplePos="0" relativeHeight="5680">
            <wp:simplePos x="0" y="0"/>
            <wp:positionH relativeFrom="page">
              <wp:posOffset>918006</wp:posOffset>
            </wp:positionH>
            <wp:positionV relativeFrom="paragraph">
              <wp:posOffset>210327</wp:posOffset>
            </wp:positionV>
            <wp:extent cx="4320726" cy="900112"/>
            <wp:effectExtent l="0" t="0" r="0" b="0"/>
            <wp:wrapTopAndBottom/>
            <wp:docPr id="31" name="image60.png" descr=""/>
            <wp:cNvGraphicFramePr>
              <a:graphicFrameLocks noChangeAspect="1"/>
            </wp:cNvGraphicFramePr>
            <a:graphic>
              <a:graphicData uri="http://schemas.openxmlformats.org/drawingml/2006/picture">
                <pic:pic>
                  <pic:nvPicPr>
                    <pic:cNvPr id="32" name="image60.png"/>
                    <pic:cNvPicPr/>
                  </pic:nvPicPr>
                  <pic:blipFill>
                    <a:blip r:embed="rId82" cstate="print"/>
                    <a:stretch>
                      <a:fillRect/>
                    </a:stretch>
                  </pic:blipFill>
                  <pic:spPr>
                    <a:xfrm>
                      <a:off x="0" y="0"/>
                      <a:ext cx="4320726" cy="900112"/>
                    </a:xfrm>
                    <a:prstGeom prst="rect">
                      <a:avLst/>
                    </a:prstGeom>
                  </pic:spPr>
                </pic:pic>
              </a:graphicData>
            </a:graphic>
          </wp:anchor>
        </w:drawing>
      </w:r>
      <w:r>
        <w:rPr>
          <w:color w:val="231F20"/>
          <w:w w:val="105"/>
          <w:sz w:val="18"/>
        </w:rPr>
        <w:t>Tabla 2. Estadística descriptiva y correlaciones bivariadas</w:t>
      </w:r>
    </w:p>
    <w:p>
      <w:pPr>
        <w:spacing w:before="87"/>
        <w:ind w:left="117"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17" w:right="121"/>
        <w:jc w:val="both"/>
      </w:pPr>
      <w:r>
        <w:rPr>
          <w:color w:val="231F20"/>
          <w:spacing w:val="-4"/>
          <w:w w:val="105"/>
        </w:rPr>
        <w:t>Para</w:t>
      </w:r>
      <w:r>
        <w:rPr>
          <w:color w:val="231F20"/>
          <w:spacing w:val="-19"/>
          <w:w w:val="105"/>
        </w:rPr>
        <w:t> </w:t>
      </w:r>
      <w:r>
        <w:rPr>
          <w:color w:val="231F20"/>
          <w:w w:val="105"/>
        </w:rPr>
        <w:t>probar</w:t>
      </w:r>
      <w:r>
        <w:rPr>
          <w:color w:val="231F20"/>
          <w:spacing w:val="-19"/>
          <w:w w:val="105"/>
        </w:rPr>
        <w:t> </w:t>
      </w:r>
      <w:r>
        <w:rPr>
          <w:color w:val="231F20"/>
          <w:w w:val="105"/>
        </w:rPr>
        <w:t>formalmente</w:t>
      </w:r>
      <w:r>
        <w:rPr>
          <w:color w:val="231F20"/>
          <w:spacing w:val="-19"/>
          <w:w w:val="105"/>
        </w:rPr>
        <w:t> </w:t>
      </w:r>
      <w:r>
        <w:rPr>
          <w:color w:val="231F20"/>
          <w:w w:val="105"/>
        </w:rPr>
        <w:t>las</w:t>
      </w:r>
      <w:r>
        <w:rPr>
          <w:color w:val="231F20"/>
          <w:spacing w:val="-19"/>
          <w:w w:val="105"/>
        </w:rPr>
        <w:t> </w:t>
      </w:r>
      <w:r>
        <w:rPr>
          <w:color w:val="231F20"/>
          <w:w w:val="105"/>
        </w:rPr>
        <w:t>hipótesis</w:t>
      </w:r>
      <w:r>
        <w:rPr>
          <w:color w:val="231F20"/>
          <w:spacing w:val="-19"/>
          <w:w w:val="105"/>
        </w:rPr>
        <w:t> </w:t>
      </w:r>
      <w:r>
        <w:rPr>
          <w:color w:val="231F20"/>
          <w:w w:val="105"/>
        </w:rPr>
        <w:t>planteadas</w:t>
      </w:r>
      <w:r>
        <w:rPr>
          <w:color w:val="231F20"/>
          <w:spacing w:val="-19"/>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documento</w:t>
      </w:r>
      <w:r>
        <w:rPr>
          <w:color w:val="231F20"/>
          <w:spacing w:val="-19"/>
          <w:w w:val="105"/>
        </w:rPr>
        <w:t> </w:t>
      </w:r>
      <w:r>
        <w:rPr>
          <w:color w:val="231F20"/>
          <w:w w:val="105"/>
        </w:rPr>
        <w:t>se llevó</w:t>
      </w:r>
      <w:r>
        <w:rPr>
          <w:color w:val="231F20"/>
          <w:spacing w:val="-29"/>
          <w:w w:val="105"/>
        </w:rPr>
        <w:t> </w:t>
      </w:r>
      <w:r>
        <w:rPr>
          <w:color w:val="231F20"/>
          <w:w w:val="105"/>
        </w:rPr>
        <w:t>a</w:t>
      </w:r>
      <w:r>
        <w:rPr>
          <w:color w:val="231F20"/>
          <w:spacing w:val="-29"/>
          <w:w w:val="105"/>
        </w:rPr>
        <w:t> </w:t>
      </w:r>
      <w:r>
        <w:rPr>
          <w:color w:val="231F20"/>
          <w:w w:val="105"/>
        </w:rPr>
        <w:t>cabo</w:t>
      </w:r>
      <w:r>
        <w:rPr>
          <w:color w:val="231F20"/>
          <w:spacing w:val="-29"/>
          <w:w w:val="105"/>
        </w:rPr>
        <w:t> </w:t>
      </w:r>
      <w:r>
        <w:rPr>
          <w:color w:val="231F20"/>
          <w:w w:val="105"/>
        </w:rPr>
        <w:t>un</w:t>
      </w:r>
      <w:r>
        <w:rPr>
          <w:color w:val="231F20"/>
          <w:spacing w:val="-29"/>
          <w:w w:val="105"/>
        </w:rPr>
        <w:t> </w:t>
      </w:r>
      <w:r>
        <w:rPr>
          <w:color w:val="231F20"/>
          <w:w w:val="105"/>
        </w:rPr>
        <w:t>análisis</w:t>
      </w:r>
      <w:r>
        <w:rPr>
          <w:color w:val="231F20"/>
          <w:spacing w:val="-29"/>
          <w:w w:val="105"/>
        </w:rPr>
        <w:t> </w:t>
      </w:r>
      <w:r>
        <w:rPr>
          <w:color w:val="231F20"/>
          <w:w w:val="105"/>
        </w:rPr>
        <w:t>de</w:t>
      </w:r>
      <w:r>
        <w:rPr>
          <w:color w:val="231F20"/>
          <w:spacing w:val="-29"/>
          <w:w w:val="105"/>
        </w:rPr>
        <w:t> </w:t>
      </w:r>
      <w:r>
        <w:rPr>
          <w:color w:val="231F20"/>
          <w:w w:val="105"/>
        </w:rPr>
        <w:t>varianza</w:t>
      </w:r>
      <w:r>
        <w:rPr>
          <w:color w:val="231F20"/>
          <w:spacing w:val="-29"/>
          <w:w w:val="105"/>
        </w:rPr>
        <w:t> </w:t>
      </w:r>
      <w:r>
        <w:rPr>
          <w:color w:val="231F20"/>
          <w:w w:val="105"/>
        </w:rPr>
        <w:t>(ANOVA).</w:t>
      </w:r>
      <w:r>
        <w:rPr>
          <w:color w:val="231F20"/>
          <w:spacing w:val="-33"/>
          <w:w w:val="105"/>
        </w:rPr>
        <w:t> </w:t>
      </w:r>
      <w:r>
        <w:rPr>
          <w:color w:val="231F20"/>
          <w:w w:val="105"/>
        </w:rPr>
        <w:t>La</w:t>
      </w:r>
      <w:r>
        <w:rPr>
          <w:color w:val="231F20"/>
          <w:spacing w:val="-29"/>
          <w:w w:val="105"/>
        </w:rPr>
        <w:t> </w:t>
      </w:r>
      <w:r>
        <w:rPr>
          <w:color w:val="231F20"/>
          <w:w w:val="105"/>
        </w:rPr>
        <w:t>Hipótesis</w:t>
      </w:r>
      <w:r>
        <w:rPr>
          <w:color w:val="231F20"/>
          <w:spacing w:val="-29"/>
          <w:w w:val="105"/>
        </w:rPr>
        <w:t> </w:t>
      </w:r>
      <w:r>
        <w:rPr>
          <w:color w:val="231F20"/>
          <w:w w:val="105"/>
        </w:rPr>
        <w:t>1</w:t>
      </w:r>
      <w:r>
        <w:rPr>
          <w:color w:val="231F20"/>
          <w:spacing w:val="-29"/>
          <w:w w:val="105"/>
        </w:rPr>
        <w:t> </w:t>
      </w:r>
      <w:r>
        <w:rPr>
          <w:color w:val="231F20"/>
          <w:w w:val="105"/>
        </w:rPr>
        <w:t>indica</w:t>
      </w:r>
      <w:r>
        <w:rPr>
          <w:color w:val="231F20"/>
          <w:spacing w:val="-29"/>
          <w:w w:val="105"/>
        </w:rPr>
        <w:t> </w:t>
      </w:r>
      <w:r>
        <w:rPr>
          <w:color w:val="231F20"/>
          <w:w w:val="105"/>
        </w:rPr>
        <w:t>que</w:t>
      </w:r>
      <w:r>
        <w:rPr>
          <w:color w:val="231F20"/>
          <w:spacing w:val="-29"/>
          <w:w w:val="105"/>
        </w:rPr>
        <w:t> </w:t>
      </w:r>
      <w:r>
        <w:rPr>
          <w:color w:val="231F20"/>
          <w:w w:val="105"/>
        </w:rPr>
        <w:t>el</w:t>
      </w:r>
    </w:p>
    <w:p>
      <w:pPr>
        <w:spacing w:after="0" w:line="259" w:lineRule="auto"/>
        <w:jc w:val="both"/>
        <w:sectPr>
          <w:type w:val="continuous"/>
          <w:pgSz w:w="9640" w:h="13890"/>
          <w:pgMar w:top="1300" w:bottom="280" w:left="1300" w:right="1180"/>
        </w:sectPr>
      </w:pPr>
    </w:p>
    <w:p>
      <w:pPr>
        <w:pStyle w:val="BodyText"/>
        <w:spacing w:line="259" w:lineRule="auto" w:before="64"/>
        <w:ind w:left="103" w:right="115"/>
        <w:jc w:val="both"/>
      </w:pPr>
      <w:r>
        <w:rPr>
          <w:color w:val="231F20"/>
          <w:w w:val="105"/>
        </w:rPr>
        <w:t>ROA</w:t>
      </w:r>
      <w:r>
        <w:rPr>
          <w:color w:val="231F20"/>
          <w:spacing w:val="-22"/>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empresas</w:t>
      </w:r>
      <w:r>
        <w:rPr>
          <w:color w:val="231F20"/>
          <w:spacing w:val="-19"/>
          <w:w w:val="105"/>
        </w:rPr>
        <w:t> </w:t>
      </w:r>
      <w:r>
        <w:rPr>
          <w:color w:val="231F20"/>
          <w:w w:val="105"/>
        </w:rPr>
        <w:t>varía</w:t>
      </w:r>
      <w:r>
        <w:rPr>
          <w:color w:val="231F20"/>
          <w:spacing w:val="-19"/>
          <w:w w:val="105"/>
        </w:rPr>
        <w:t> </w:t>
      </w:r>
      <w:r>
        <w:rPr>
          <w:color w:val="231F20"/>
          <w:w w:val="105"/>
        </w:rPr>
        <w:t>significativamente</w:t>
      </w:r>
      <w:r>
        <w:rPr>
          <w:color w:val="231F20"/>
          <w:spacing w:val="-19"/>
          <w:w w:val="105"/>
        </w:rPr>
        <w:t> </w:t>
      </w:r>
      <w:r>
        <w:rPr>
          <w:color w:val="231F20"/>
          <w:w w:val="105"/>
        </w:rPr>
        <w:t>antes</w:t>
      </w:r>
      <w:r>
        <w:rPr>
          <w:color w:val="231F20"/>
          <w:spacing w:val="-19"/>
          <w:w w:val="105"/>
        </w:rPr>
        <w:t> </w:t>
      </w:r>
      <w:r>
        <w:rPr>
          <w:color w:val="231F20"/>
          <w:w w:val="105"/>
        </w:rPr>
        <w:t>y</w:t>
      </w:r>
      <w:r>
        <w:rPr>
          <w:color w:val="231F20"/>
          <w:spacing w:val="-19"/>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for- mación</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i/>
          <w:color w:val="231F20"/>
          <w:w w:val="105"/>
        </w:rPr>
        <w:t>joint</w:t>
      </w:r>
      <w:r>
        <w:rPr>
          <w:i/>
          <w:color w:val="231F20"/>
          <w:spacing w:val="-10"/>
          <w:w w:val="105"/>
        </w:rPr>
        <w:t> </w:t>
      </w:r>
      <w:r>
        <w:rPr>
          <w:i/>
          <w:color w:val="231F20"/>
          <w:w w:val="105"/>
        </w:rPr>
        <w:t>venture</w:t>
      </w:r>
      <w:r>
        <w:rPr>
          <w:i/>
          <w:color w:val="231F20"/>
          <w:spacing w:val="-10"/>
          <w:w w:val="105"/>
        </w:rPr>
        <w:t> </w:t>
      </w:r>
      <w:r>
        <w:rPr>
          <w:color w:val="231F20"/>
          <w:w w:val="105"/>
        </w:rPr>
        <w:t>de</w:t>
      </w:r>
      <w:r>
        <w:rPr>
          <w:color w:val="231F20"/>
          <w:spacing w:val="-10"/>
          <w:w w:val="105"/>
        </w:rPr>
        <w:t> </w:t>
      </w:r>
      <w:r>
        <w:rPr>
          <w:color w:val="231F20"/>
          <w:w w:val="105"/>
        </w:rPr>
        <w:t>manufactura</w:t>
      </w:r>
      <w:r>
        <w:rPr>
          <w:color w:val="231F20"/>
          <w:spacing w:val="-10"/>
          <w:w w:val="105"/>
        </w:rPr>
        <w:t> </w:t>
      </w:r>
      <w:r>
        <w:rPr>
          <w:color w:val="231F20"/>
          <w:w w:val="105"/>
        </w:rPr>
        <w:t>o</w:t>
      </w:r>
      <w:r>
        <w:rPr>
          <w:color w:val="231F20"/>
          <w:spacing w:val="-10"/>
          <w:w w:val="105"/>
        </w:rPr>
        <w:t> </w:t>
      </w:r>
      <w:r>
        <w:rPr>
          <w:color w:val="231F20"/>
          <w:w w:val="105"/>
        </w:rPr>
        <w:t>de</w:t>
      </w:r>
      <w:r>
        <w:rPr>
          <w:color w:val="231F20"/>
          <w:spacing w:val="-10"/>
          <w:w w:val="105"/>
        </w:rPr>
        <w:t> </w:t>
      </w:r>
      <w:r>
        <w:rPr>
          <w:color w:val="231F20"/>
          <w:w w:val="105"/>
        </w:rPr>
        <w:t>mercadotecnia.</w:t>
      </w:r>
      <w:r>
        <w:rPr>
          <w:color w:val="231F20"/>
          <w:spacing w:val="-16"/>
          <w:w w:val="105"/>
        </w:rPr>
        <w:t> </w:t>
      </w:r>
      <w:r>
        <w:rPr>
          <w:color w:val="231F20"/>
          <w:w w:val="105"/>
        </w:rPr>
        <w:t>Como se</w:t>
      </w:r>
      <w:r>
        <w:rPr>
          <w:color w:val="231F20"/>
          <w:spacing w:val="-15"/>
          <w:w w:val="105"/>
        </w:rPr>
        <w:t> </w:t>
      </w:r>
      <w:r>
        <w:rPr>
          <w:color w:val="231F20"/>
          <w:w w:val="105"/>
        </w:rPr>
        <w:t>observa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20"/>
          <w:w w:val="105"/>
        </w:rPr>
        <w:t> </w:t>
      </w:r>
      <w:r>
        <w:rPr>
          <w:color w:val="231F20"/>
          <w:spacing w:val="-5"/>
          <w:w w:val="105"/>
        </w:rPr>
        <w:t>Tabla</w:t>
      </w:r>
      <w:r>
        <w:rPr>
          <w:color w:val="231F20"/>
          <w:spacing w:val="-15"/>
          <w:w w:val="105"/>
        </w:rPr>
        <w:t> </w:t>
      </w:r>
      <w:r>
        <w:rPr>
          <w:color w:val="231F20"/>
          <w:w w:val="105"/>
        </w:rPr>
        <w:t>3,</w:t>
      </w:r>
      <w:r>
        <w:rPr>
          <w:color w:val="231F20"/>
          <w:spacing w:val="-20"/>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comparación</w:t>
      </w:r>
      <w:r>
        <w:rPr>
          <w:color w:val="231F20"/>
          <w:spacing w:val="-15"/>
          <w:w w:val="105"/>
        </w:rPr>
        <w:t> </w:t>
      </w:r>
      <w:r>
        <w:rPr>
          <w:color w:val="231F20"/>
          <w:w w:val="105"/>
        </w:rPr>
        <w:t>de</w:t>
      </w:r>
      <w:r>
        <w:rPr>
          <w:color w:val="231F20"/>
          <w:spacing w:val="-15"/>
          <w:w w:val="105"/>
        </w:rPr>
        <w:t> </w:t>
      </w:r>
      <w:r>
        <w:rPr>
          <w:color w:val="231F20"/>
          <w:w w:val="105"/>
        </w:rPr>
        <w:t>periodos,</w:t>
      </w:r>
      <w:r>
        <w:rPr>
          <w:color w:val="231F20"/>
          <w:spacing w:val="-20"/>
          <w:w w:val="105"/>
        </w:rPr>
        <w:t> </w:t>
      </w:r>
      <w:r>
        <w:rPr>
          <w:color w:val="231F20"/>
          <w:w w:val="105"/>
        </w:rPr>
        <w:t>el</w:t>
      </w:r>
      <w:r>
        <w:rPr>
          <w:color w:val="231F20"/>
          <w:spacing w:val="-15"/>
          <w:w w:val="105"/>
        </w:rPr>
        <w:t> </w:t>
      </w:r>
      <w:r>
        <w:rPr>
          <w:color w:val="231F20"/>
          <w:w w:val="105"/>
        </w:rPr>
        <w:t>ROA</w:t>
      </w:r>
      <w:r>
        <w:rPr>
          <w:color w:val="231F20"/>
          <w:spacing w:val="-19"/>
          <w:w w:val="105"/>
        </w:rPr>
        <w:t> </w:t>
      </w:r>
      <w:r>
        <w:rPr>
          <w:color w:val="231F20"/>
          <w:w w:val="105"/>
        </w:rPr>
        <w:t>prome- dio de las empresas fue más alto antes de la formación de las</w:t>
      </w:r>
      <w:r>
        <w:rPr>
          <w:color w:val="231F20"/>
          <w:spacing w:val="-18"/>
          <w:w w:val="105"/>
        </w:rPr>
        <w:t> </w:t>
      </w:r>
      <w:r>
        <w:rPr>
          <w:color w:val="231F20"/>
          <w:w w:val="105"/>
        </w:rPr>
        <w:t>alianzas que</w:t>
      </w:r>
      <w:r>
        <w:rPr>
          <w:color w:val="231F20"/>
          <w:spacing w:val="-21"/>
          <w:w w:val="105"/>
        </w:rPr>
        <w:t> </w:t>
      </w:r>
      <w:r>
        <w:rPr>
          <w:color w:val="231F20"/>
          <w:w w:val="105"/>
        </w:rPr>
        <w:t>después.</w:t>
      </w:r>
      <w:r>
        <w:rPr>
          <w:color w:val="231F20"/>
          <w:spacing w:val="-26"/>
          <w:w w:val="105"/>
        </w:rPr>
        <w:t> </w:t>
      </w:r>
      <w:r>
        <w:rPr>
          <w:color w:val="231F20"/>
          <w:spacing w:val="-5"/>
          <w:w w:val="105"/>
        </w:rPr>
        <w:t>Pero,</w:t>
      </w:r>
      <w:r>
        <w:rPr>
          <w:color w:val="231F20"/>
          <w:spacing w:val="-26"/>
          <w:w w:val="105"/>
        </w:rPr>
        <w:t> </w:t>
      </w:r>
      <w:r>
        <w:rPr>
          <w:color w:val="231F20"/>
          <w:w w:val="105"/>
        </w:rPr>
        <w:t>dado</w:t>
      </w:r>
      <w:r>
        <w:rPr>
          <w:color w:val="231F20"/>
          <w:spacing w:val="-21"/>
          <w:w w:val="105"/>
        </w:rPr>
        <w:t> </w:t>
      </w:r>
      <w:r>
        <w:rPr>
          <w:color w:val="231F20"/>
          <w:w w:val="105"/>
        </w:rPr>
        <w:t>que</w:t>
      </w:r>
      <w:r>
        <w:rPr>
          <w:color w:val="231F20"/>
          <w:spacing w:val="-21"/>
          <w:w w:val="105"/>
        </w:rPr>
        <w:t> </w:t>
      </w:r>
      <w:r>
        <w:rPr>
          <w:color w:val="231F20"/>
          <w:w w:val="105"/>
        </w:rPr>
        <w:t>esta</w:t>
      </w:r>
      <w:r>
        <w:rPr>
          <w:color w:val="231F20"/>
          <w:spacing w:val="-21"/>
          <w:w w:val="105"/>
        </w:rPr>
        <w:t> </w:t>
      </w:r>
      <w:r>
        <w:rPr>
          <w:color w:val="231F20"/>
          <w:w w:val="105"/>
        </w:rPr>
        <w:t>diferencia</w:t>
      </w:r>
      <w:r>
        <w:rPr>
          <w:color w:val="231F20"/>
          <w:spacing w:val="-21"/>
          <w:w w:val="105"/>
        </w:rPr>
        <w:t> </w:t>
      </w:r>
      <w:r>
        <w:rPr>
          <w:color w:val="231F20"/>
          <w:w w:val="105"/>
        </w:rPr>
        <w:t>es</w:t>
      </w:r>
      <w:r>
        <w:rPr>
          <w:color w:val="231F20"/>
          <w:spacing w:val="-21"/>
          <w:w w:val="105"/>
        </w:rPr>
        <w:t> </w:t>
      </w:r>
      <w:r>
        <w:rPr>
          <w:color w:val="231F20"/>
          <w:w w:val="105"/>
        </w:rPr>
        <w:t>marginalmente</w:t>
      </w:r>
      <w:r>
        <w:rPr>
          <w:color w:val="231F20"/>
          <w:spacing w:val="-21"/>
          <w:w w:val="105"/>
        </w:rPr>
        <w:t> </w:t>
      </w:r>
      <w:r>
        <w:rPr>
          <w:color w:val="231F20"/>
          <w:w w:val="105"/>
        </w:rPr>
        <w:t>significa- tiva,</w:t>
      </w:r>
      <w:r>
        <w:rPr>
          <w:color w:val="231F20"/>
          <w:spacing w:val="-25"/>
          <w:w w:val="105"/>
        </w:rPr>
        <w:t> </w:t>
      </w:r>
      <w:r>
        <w:rPr>
          <w:color w:val="231F20"/>
          <w:w w:val="105"/>
        </w:rPr>
        <w:t>sólo</w:t>
      </w:r>
      <w:r>
        <w:rPr>
          <w:color w:val="231F20"/>
          <w:spacing w:val="-19"/>
          <w:w w:val="105"/>
        </w:rPr>
        <w:t> </w:t>
      </w:r>
      <w:r>
        <w:rPr>
          <w:color w:val="231F20"/>
          <w:w w:val="105"/>
        </w:rPr>
        <w:t>representa</w:t>
      </w:r>
      <w:r>
        <w:rPr>
          <w:color w:val="231F20"/>
          <w:spacing w:val="-19"/>
          <w:w w:val="105"/>
        </w:rPr>
        <w:t> </w:t>
      </w:r>
      <w:r>
        <w:rPr>
          <w:color w:val="231F20"/>
          <w:w w:val="105"/>
        </w:rPr>
        <w:t>un</w:t>
      </w:r>
      <w:r>
        <w:rPr>
          <w:color w:val="231F20"/>
          <w:spacing w:val="-19"/>
          <w:w w:val="105"/>
        </w:rPr>
        <w:t> </w:t>
      </w:r>
      <w:r>
        <w:rPr>
          <w:color w:val="231F20"/>
          <w:w w:val="105"/>
        </w:rPr>
        <w:t>soporte</w:t>
      </w:r>
      <w:r>
        <w:rPr>
          <w:color w:val="231F20"/>
          <w:spacing w:val="-19"/>
          <w:w w:val="105"/>
        </w:rPr>
        <w:t> </w:t>
      </w:r>
      <w:r>
        <w:rPr>
          <w:color w:val="231F20"/>
          <w:w w:val="105"/>
        </w:rPr>
        <w:t>parcial</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Hipótesis</w:t>
      </w:r>
      <w:r>
        <w:rPr>
          <w:color w:val="231F20"/>
          <w:spacing w:val="-19"/>
          <w:w w:val="105"/>
        </w:rPr>
        <w:t> </w:t>
      </w:r>
      <w:r>
        <w:rPr>
          <w:color w:val="231F20"/>
          <w:w w:val="105"/>
        </w:rPr>
        <w:t>1.</w:t>
      </w:r>
    </w:p>
    <w:p>
      <w:pPr>
        <w:pStyle w:val="BodyText"/>
        <w:spacing w:line="259" w:lineRule="auto"/>
        <w:ind w:left="103" w:right="114" w:firstLine="567"/>
        <w:jc w:val="both"/>
      </w:pPr>
      <w:r>
        <w:rPr>
          <w:color w:val="231F20"/>
          <w:w w:val="105"/>
        </w:rPr>
        <w:t>En</w:t>
      </w:r>
      <w:r>
        <w:rPr>
          <w:color w:val="231F20"/>
          <w:spacing w:val="-30"/>
          <w:w w:val="105"/>
        </w:rPr>
        <w:t> </w:t>
      </w:r>
      <w:r>
        <w:rPr>
          <w:color w:val="231F20"/>
          <w:w w:val="105"/>
        </w:rPr>
        <w:t>concordancia</w:t>
      </w:r>
      <w:r>
        <w:rPr>
          <w:color w:val="231F20"/>
          <w:spacing w:val="-30"/>
          <w:w w:val="105"/>
        </w:rPr>
        <w:t> </w:t>
      </w:r>
      <w:r>
        <w:rPr>
          <w:color w:val="231F20"/>
          <w:w w:val="105"/>
        </w:rPr>
        <w:t>con</w:t>
      </w:r>
      <w:r>
        <w:rPr>
          <w:color w:val="231F20"/>
          <w:spacing w:val="-30"/>
          <w:w w:val="105"/>
        </w:rPr>
        <w:t> </w:t>
      </w:r>
      <w:r>
        <w:rPr>
          <w:color w:val="231F20"/>
          <w:w w:val="105"/>
        </w:rPr>
        <w:t>el</w:t>
      </w:r>
      <w:r>
        <w:rPr>
          <w:color w:val="231F20"/>
          <w:spacing w:val="-30"/>
          <w:w w:val="105"/>
        </w:rPr>
        <w:t> </w:t>
      </w:r>
      <w:r>
        <w:rPr>
          <w:color w:val="231F20"/>
          <w:w w:val="105"/>
        </w:rPr>
        <w:t>análisis</w:t>
      </w:r>
      <w:r>
        <w:rPr>
          <w:color w:val="231F20"/>
          <w:spacing w:val="-30"/>
          <w:w w:val="105"/>
        </w:rPr>
        <w:t> </w:t>
      </w:r>
      <w:r>
        <w:rPr>
          <w:color w:val="231F20"/>
          <w:w w:val="105"/>
        </w:rPr>
        <w:t>de</w:t>
      </w:r>
      <w:r>
        <w:rPr>
          <w:color w:val="231F20"/>
          <w:spacing w:val="-30"/>
          <w:w w:val="105"/>
        </w:rPr>
        <w:t> </w:t>
      </w:r>
      <w:r>
        <w:rPr>
          <w:color w:val="231F20"/>
          <w:w w:val="105"/>
        </w:rPr>
        <w:t>correlación</w:t>
      </w:r>
      <w:r>
        <w:rPr>
          <w:color w:val="231F20"/>
          <w:spacing w:val="-30"/>
          <w:w w:val="105"/>
        </w:rPr>
        <w:t> </w:t>
      </w:r>
      <w:r>
        <w:rPr>
          <w:color w:val="231F20"/>
          <w:w w:val="105"/>
        </w:rPr>
        <w:t>presentado</w:t>
      </w:r>
      <w:r>
        <w:rPr>
          <w:color w:val="231F20"/>
          <w:spacing w:val="-30"/>
          <w:w w:val="105"/>
        </w:rPr>
        <w:t> </w:t>
      </w:r>
      <w:r>
        <w:rPr>
          <w:color w:val="231F20"/>
          <w:w w:val="105"/>
        </w:rPr>
        <w:t>anterior- mente,</w:t>
      </w:r>
      <w:r>
        <w:rPr>
          <w:color w:val="231F20"/>
          <w:spacing w:val="-10"/>
          <w:w w:val="105"/>
        </w:rPr>
        <w:t> </w:t>
      </w:r>
      <w:r>
        <w:rPr>
          <w:color w:val="231F20"/>
          <w:w w:val="105"/>
        </w:rPr>
        <w:t>la</w:t>
      </w:r>
      <w:r>
        <w:rPr>
          <w:color w:val="231F20"/>
          <w:spacing w:val="-9"/>
          <w:w w:val="105"/>
        </w:rPr>
        <w:t> </w:t>
      </w:r>
      <w:r>
        <w:rPr>
          <w:color w:val="231F20"/>
          <w:spacing w:val="-5"/>
          <w:w w:val="105"/>
        </w:rPr>
        <w:t>Tabla</w:t>
      </w:r>
      <w:r>
        <w:rPr>
          <w:color w:val="231F20"/>
          <w:spacing w:val="-4"/>
          <w:w w:val="105"/>
        </w:rPr>
        <w:t> </w:t>
      </w:r>
      <w:r>
        <w:rPr>
          <w:color w:val="231F20"/>
          <w:w w:val="105"/>
        </w:rPr>
        <w:t>3</w:t>
      </w:r>
      <w:r>
        <w:rPr>
          <w:color w:val="231F20"/>
          <w:spacing w:val="-4"/>
          <w:w w:val="105"/>
        </w:rPr>
        <w:t> </w:t>
      </w:r>
      <w:r>
        <w:rPr>
          <w:color w:val="231F20"/>
          <w:w w:val="105"/>
        </w:rPr>
        <w:t>también</w:t>
      </w:r>
      <w:r>
        <w:rPr>
          <w:color w:val="231F20"/>
          <w:spacing w:val="-4"/>
          <w:w w:val="105"/>
        </w:rPr>
        <w:t> </w:t>
      </w:r>
      <w:r>
        <w:rPr>
          <w:color w:val="231F20"/>
          <w:w w:val="105"/>
        </w:rPr>
        <w:t>muestra</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ROA</w:t>
      </w:r>
      <w:r>
        <w:rPr>
          <w:color w:val="231F20"/>
          <w:spacing w:val="-8"/>
          <w:w w:val="105"/>
        </w:rPr>
        <w:t> </w:t>
      </w:r>
      <w:r>
        <w:rPr>
          <w:color w:val="231F20"/>
          <w:w w:val="105"/>
        </w:rPr>
        <w:t>promedio</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empre- sas</w:t>
      </w:r>
      <w:r>
        <w:rPr>
          <w:color w:val="231F20"/>
          <w:spacing w:val="-9"/>
          <w:w w:val="105"/>
        </w:rPr>
        <w:t> </w:t>
      </w:r>
      <w:r>
        <w:rPr>
          <w:color w:val="231F20"/>
          <w:w w:val="105"/>
        </w:rPr>
        <w:t>varió</w:t>
      </w:r>
      <w:r>
        <w:rPr>
          <w:color w:val="231F20"/>
          <w:spacing w:val="-9"/>
          <w:w w:val="105"/>
        </w:rPr>
        <w:t> </w:t>
      </w:r>
      <w:r>
        <w:rPr>
          <w:color w:val="231F20"/>
          <w:w w:val="105"/>
        </w:rPr>
        <w:t>significativamente</w:t>
      </w:r>
      <w:r>
        <w:rPr>
          <w:color w:val="231F20"/>
          <w:spacing w:val="-9"/>
          <w:w w:val="105"/>
        </w:rPr>
        <w:t> </w:t>
      </w:r>
      <w:r>
        <w:rPr>
          <w:color w:val="231F20"/>
          <w:w w:val="105"/>
        </w:rPr>
        <w:t>durante</w:t>
      </w:r>
      <w:r>
        <w:rPr>
          <w:color w:val="231F20"/>
          <w:spacing w:val="-9"/>
          <w:w w:val="105"/>
        </w:rPr>
        <w:t> </w:t>
      </w:r>
      <w:r>
        <w:rPr>
          <w:color w:val="231F20"/>
          <w:w w:val="105"/>
        </w:rPr>
        <w:t>los</w:t>
      </w:r>
      <w:r>
        <w:rPr>
          <w:color w:val="231F20"/>
          <w:spacing w:val="-9"/>
          <w:w w:val="105"/>
        </w:rPr>
        <w:t> </w:t>
      </w:r>
      <w:r>
        <w:rPr>
          <w:color w:val="231F20"/>
          <w:w w:val="105"/>
        </w:rPr>
        <w:t>años</w:t>
      </w:r>
      <w:r>
        <w:rPr>
          <w:color w:val="231F20"/>
          <w:spacing w:val="-9"/>
          <w:w w:val="105"/>
        </w:rPr>
        <w:t> </w:t>
      </w:r>
      <w:r>
        <w:rPr>
          <w:color w:val="231F20"/>
          <w:w w:val="105"/>
        </w:rPr>
        <w:t>de</w:t>
      </w:r>
      <w:r>
        <w:rPr>
          <w:color w:val="231F20"/>
          <w:spacing w:val="-9"/>
          <w:w w:val="105"/>
        </w:rPr>
        <w:t> </w:t>
      </w:r>
      <w:r>
        <w:rPr>
          <w:color w:val="231F20"/>
          <w:w w:val="105"/>
        </w:rPr>
        <w:t>observación.</w:t>
      </w:r>
      <w:r>
        <w:rPr>
          <w:color w:val="231F20"/>
          <w:spacing w:val="-13"/>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año 2000</w:t>
      </w:r>
      <w:r>
        <w:rPr>
          <w:color w:val="231F20"/>
          <w:spacing w:val="-8"/>
          <w:w w:val="105"/>
        </w:rPr>
        <w:t> </w:t>
      </w:r>
      <w:r>
        <w:rPr>
          <w:color w:val="231F20"/>
          <w:w w:val="105"/>
        </w:rPr>
        <w:t>y</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2002</w:t>
      </w:r>
      <w:r>
        <w:rPr>
          <w:color w:val="231F20"/>
          <w:spacing w:val="-8"/>
          <w:w w:val="105"/>
        </w:rPr>
        <w:t> </w:t>
      </w:r>
      <w:r>
        <w:rPr>
          <w:color w:val="231F20"/>
          <w:w w:val="105"/>
        </w:rPr>
        <w:t>el</w:t>
      </w:r>
      <w:r>
        <w:rPr>
          <w:color w:val="231F20"/>
          <w:spacing w:val="-8"/>
          <w:w w:val="105"/>
        </w:rPr>
        <w:t> </w:t>
      </w:r>
      <w:r>
        <w:rPr>
          <w:color w:val="231F20"/>
          <w:w w:val="105"/>
        </w:rPr>
        <w:t>ROA</w:t>
      </w:r>
      <w:r>
        <w:rPr>
          <w:color w:val="231F20"/>
          <w:spacing w:val="-11"/>
          <w:w w:val="105"/>
        </w:rPr>
        <w:t> </w:t>
      </w:r>
      <w:r>
        <w:rPr>
          <w:color w:val="231F20"/>
          <w:w w:val="105"/>
        </w:rPr>
        <w:t>fue</w:t>
      </w:r>
      <w:r>
        <w:rPr>
          <w:color w:val="231F20"/>
          <w:spacing w:val="-8"/>
          <w:w w:val="105"/>
        </w:rPr>
        <w:t> </w:t>
      </w:r>
      <w:r>
        <w:rPr>
          <w:color w:val="231F20"/>
          <w:w w:val="105"/>
        </w:rPr>
        <w:t>superior</w:t>
      </w:r>
      <w:r>
        <w:rPr>
          <w:color w:val="231F20"/>
          <w:spacing w:val="-8"/>
          <w:w w:val="105"/>
        </w:rPr>
        <w:t> </w:t>
      </w:r>
      <w:r>
        <w:rPr>
          <w:color w:val="231F20"/>
          <w:w w:val="105"/>
        </w:rPr>
        <w:t>que</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años</w:t>
      </w:r>
      <w:r>
        <w:rPr>
          <w:color w:val="231F20"/>
          <w:spacing w:val="-8"/>
          <w:w w:val="105"/>
        </w:rPr>
        <w:t> </w:t>
      </w:r>
      <w:r>
        <w:rPr>
          <w:color w:val="231F20"/>
          <w:w w:val="105"/>
        </w:rPr>
        <w:t>2001</w:t>
      </w:r>
      <w:r>
        <w:rPr>
          <w:color w:val="231F20"/>
          <w:spacing w:val="-8"/>
          <w:w w:val="105"/>
        </w:rPr>
        <w:t> </w:t>
      </w:r>
      <w:r>
        <w:rPr>
          <w:color w:val="231F20"/>
          <w:w w:val="105"/>
        </w:rPr>
        <w:t>y</w:t>
      </w:r>
      <w:r>
        <w:rPr>
          <w:color w:val="231F20"/>
          <w:spacing w:val="-8"/>
          <w:w w:val="105"/>
        </w:rPr>
        <w:t> </w:t>
      </w:r>
      <w:r>
        <w:rPr>
          <w:color w:val="231F20"/>
          <w:w w:val="105"/>
        </w:rPr>
        <w:t>2003.</w:t>
      </w:r>
      <w:r>
        <w:rPr>
          <w:color w:val="231F20"/>
          <w:spacing w:val="-14"/>
          <w:w w:val="105"/>
        </w:rPr>
        <w:t> </w:t>
      </w:r>
      <w:r>
        <w:rPr>
          <w:color w:val="231F20"/>
          <w:w w:val="105"/>
        </w:rPr>
        <w:t>En este</w:t>
      </w:r>
      <w:r>
        <w:rPr>
          <w:color w:val="231F20"/>
          <w:spacing w:val="-21"/>
          <w:w w:val="105"/>
        </w:rPr>
        <w:t> </w:t>
      </w:r>
      <w:r>
        <w:rPr>
          <w:color w:val="231F20"/>
          <w:w w:val="105"/>
        </w:rPr>
        <w:t>último</w:t>
      </w:r>
      <w:r>
        <w:rPr>
          <w:color w:val="231F20"/>
          <w:spacing w:val="-21"/>
          <w:w w:val="105"/>
        </w:rPr>
        <w:t> </w:t>
      </w:r>
      <w:r>
        <w:rPr>
          <w:color w:val="231F20"/>
          <w:w w:val="105"/>
        </w:rPr>
        <w:t>periodo</w:t>
      </w:r>
      <w:r>
        <w:rPr>
          <w:color w:val="231F20"/>
          <w:spacing w:val="-21"/>
          <w:w w:val="105"/>
        </w:rPr>
        <w:t> </w:t>
      </w:r>
      <w:r>
        <w:rPr>
          <w:color w:val="231F20"/>
          <w:w w:val="105"/>
        </w:rPr>
        <w:t>las</w:t>
      </w:r>
      <w:r>
        <w:rPr>
          <w:color w:val="231F20"/>
          <w:spacing w:val="-21"/>
          <w:w w:val="105"/>
        </w:rPr>
        <w:t> </w:t>
      </w:r>
      <w:r>
        <w:rPr>
          <w:color w:val="231F20"/>
          <w:w w:val="105"/>
        </w:rPr>
        <w:t>empresas,</w:t>
      </w:r>
      <w:r>
        <w:rPr>
          <w:color w:val="231F20"/>
          <w:spacing w:val="-27"/>
          <w:w w:val="105"/>
        </w:rPr>
        <w:t> </w:t>
      </w:r>
      <w:r>
        <w:rPr>
          <w:color w:val="231F20"/>
          <w:w w:val="105"/>
        </w:rPr>
        <w:t>al</w:t>
      </w:r>
      <w:r>
        <w:rPr>
          <w:color w:val="231F20"/>
          <w:spacing w:val="-21"/>
          <w:w w:val="105"/>
        </w:rPr>
        <w:t> </w:t>
      </w:r>
      <w:r>
        <w:rPr>
          <w:color w:val="231F20"/>
          <w:w w:val="105"/>
        </w:rPr>
        <w:t>parecer,</w:t>
      </w:r>
      <w:r>
        <w:rPr>
          <w:color w:val="231F20"/>
          <w:spacing w:val="-27"/>
          <w:w w:val="105"/>
        </w:rPr>
        <w:t> </w:t>
      </w:r>
      <w:r>
        <w:rPr>
          <w:color w:val="231F20"/>
          <w:w w:val="105"/>
        </w:rPr>
        <w:t>sufrieron</w:t>
      </w:r>
      <w:r>
        <w:rPr>
          <w:color w:val="231F20"/>
          <w:spacing w:val="-21"/>
          <w:w w:val="105"/>
        </w:rPr>
        <w:t> </w:t>
      </w:r>
      <w:r>
        <w:rPr>
          <w:color w:val="231F20"/>
          <w:w w:val="105"/>
        </w:rPr>
        <w:t>más</w:t>
      </w:r>
      <w:r>
        <w:rPr>
          <w:color w:val="231F20"/>
          <w:spacing w:val="-21"/>
          <w:w w:val="105"/>
        </w:rPr>
        <w:t> </w:t>
      </w:r>
      <w:r>
        <w:rPr>
          <w:color w:val="231F20"/>
          <w:w w:val="105"/>
        </w:rPr>
        <w:t>pérdidas</w:t>
      </w:r>
      <w:r>
        <w:rPr>
          <w:color w:val="231F20"/>
          <w:spacing w:val="-21"/>
          <w:w w:val="105"/>
        </w:rPr>
        <w:t> </w:t>
      </w:r>
      <w:r>
        <w:rPr>
          <w:color w:val="231F20"/>
          <w:w w:val="105"/>
        </w:rPr>
        <w:t>que ganancias. Ciertamente, es posible que el hecho de que el ROA de</w:t>
      </w:r>
      <w:r>
        <w:rPr>
          <w:color w:val="231F20"/>
          <w:spacing w:val="-12"/>
          <w:w w:val="105"/>
        </w:rPr>
        <w:t> </w:t>
      </w:r>
      <w:r>
        <w:rPr>
          <w:color w:val="231F20"/>
          <w:w w:val="105"/>
        </w:rPr>
        <w:t>las empresas examinadas sea menor después de la formación de las </w:t>
      </w:r>
      <w:r>
        <w:rPr>
          <w:i/>
          <w:color w:val="231F20"/>
          <w:w w:val="105"/>
        </w:rPr>
        <w:t>joint </w:t>
      </w:r>
      <w:r>
        <w:rPr>
          <w:i/>
          <w:color w:val="231F20"/>
          <w:w w:val="105"/>
        </w:rPr>
        <w:t>venture</w:t>
      </w:r>
      <w:r>
        <w:rPr>
          <w:color w:val="231F20"/>
          <w:w w:val="105"/>
        </w:rPr>
        <w:t>s</w:t>
      </w:r>
      <w:r>
        <w:rPr>
          <w:color w:val="231F20"/>
          <w:spacing w:val="-11"/>
          <w:w w:val="105"/>
        </w:rPr>
        <w:t> </w:t>
      </w:r>
      <w:r>
        <w:rPr>
          <w:color w:val="231F20"/>
          <w:w w:val="105"/>
        </w:rPr>
        <w:t>esté</w:t>
      </w:r>
      <w:r>
        <w:rPr>
          <w:color w:val="231F20"/>
          <w:spacing w:val="-11"/>
          <w:w w:val="105"/>
        </w:rPr>
        <w:t> </w:t>
      </w:r>
      <w:r>
        <w:rPr>
          <w:color w:val="231F20"/>
          <w:w w:val="105"/>
        </w:rPr>
        <w:t>influenciado</w:t>
      </w:r>
      <w:r>
        <w:rPr>
          <w:color w:val="231F20"/>
          <w:spacing w:val="-11"/>
          <w:w w:val="105"/>
        </w:rPr>
        <w:t> </w:t>
      </w:r>
      <w:r>
        <w:rPr>
          <w:color w:val="231F20"/>
          <w:w w:val="105"/>
        </w:rPr>
        <w:t>por</w:t>
      </w:r>
      <w:r>
        <w:rPr>
          <w:color w:val="231F20"/>
          <w:spacing w:val="-11"/>
          <w:w w:val="105"/>
        </w:rPr>
        <w:t> </w:t>
      </w:r>
      <w:r>
        <w:rPr>
          <w:color w:val="231F20"/>
          <w:w w:val="105"/>
        </w:rPr>
        <w:t>factores</w:t>
      </w:r>
      <w:r>
        <w:rPr>
          <w:color w:val="231F20"/>
          <w:spacing w:val="-11"/>
          <w:w w:val="105"/>
        </w:rPr>
        <w:t> </w:t>
      </w:r>
      <w:r>
        <w:rPr>
          <w:color w:val="231F20"/>
          <w:w w:val="105"/>
        </w:rPr>
        <w:t>macroeconómicos</w:t>
      </w:r>
      <w:r>
        <w:rPr>
          <w:color w:val="231F20"/>
          <w:spacing w:val="-11"/>
          <w:w w:val="105"/>
        </w:rPr>
        <w:t> </w:t>
      </w:r>
      <w:r>
        <w:rPr>
          <w:color w:val="231F20"/>
          <w:w w:val="105"/>
        </w:rPr>
        <w:t>ocurridos</w:t>
      </w:r>
      <w:r>
        <w:rPr>
          <w:color w:val="231F20"/>
          <w:spacing w:val="-11"/>
          <w:w w:val="105"/>
        </w:rPr>
        <w:t> </w:t>
      </w:r>
      <w:r>
        <w:rPr>
          <w:color w:val="231F20"/>
          <w:w w:val="105"/>
        </w:rPr>
        <w:t>du- rante los años bajo análisis, y que pueden alterar el desempeño de las empresas.</w:t>
      </w:r>
      <w:r>
        <w:rPr>
          <w:color w:val="231F20"/>
          <w:spacing w:val="-31"/>
          <w:w w:val="105"/>
        </w:rPr>
        <w:t> </w:t>
      </w:r>
      <w:r>
        <w:rPr>
          <w:color w:val="231F20"/>
          <w:spacing w:val="-3"/>
          <w:w w:val="105"/>
        </w:rPr>
        <w:t>Tomando</w:t>
      </w:r>
      <w:r>
        <w:rPr>
          <w:color w:val="231F20"/>
          <w:spacing w:val="-22"/>
          <w:w w:val="105"/>
        </w:rPr>
        <w:t> </w:t>
      </w:r>
      <w:r>
        <w:rPr>
          <w:color w:val="231F20"/>
          <w:w w:val="105"/>
        </w:rPr>
        <w:t>en</w:t>
      </w:r>
      <w:r>
        <w:rPr>
          <w:color w:val="231F20"/>
          <w:spacing w:val="-22"/>
          <w:w w:val="105"/>
        </w:rPr>
        <w:t> </w:t>
      </w:r>
      <w:r>
        <w:rPr>
          <w:color w:val="231F20"/>
          <w:w w:val="105"/>
        </w:rPr>
        <w:t>cuenta</w:t>
      </w:r>
      <w:r>
        <w:rPr>
          <w:color w:val="231F20"/>
          <w:spacing w:val="-22"/>
          <w:w w:val="105"/>
        </w:rPr>
        <w:t> </w:t>
      </w:r>
      <w:r>
        <w:rPr>
          <w:color w:val="231F20"/>
          <w:w w:val="105"/>
        </w:rPr>
        <w:t>esta</w:t>
      </w:r>
      <w:r>
        <w:rPr>
          <w:color w:val="231F20"/>
          <w:spacing w:val="-22"/>
          <w:w w:val="105"/>
        </w:rPr>
        <w:t> </w:t>
      </w:r>
      <w:r>
        <w:rPr>
          <w:color w:val="231F20"/>
          <w:w w:val="105"/>
        </w:rPr>
        <w:t>posibilidad,</w:t>
      </w:r>
      <w:r>
        <w:rPr>
          <w:color w:val="231F20"/>
          <w:spacing w:val="-27"/>
          <w:w w:val="105"/>
        </w:rPr>
        <w:t> </w:t>
      </w:r>
      <w:r>
        <w:rPr>
          <w:color w:val="231F20"/>
          <w:w w:val="105"/>
        </w:rPr>
        <w:t>los</w:t>
      </w:r>
      <w:r>
        <w:rPr>
          <w:color w:val="231F20"/>
          <w:spacing w:val="-22"/>
          <w:w w:val="105"/>
        </w:rPr>
        <w:t> </w:t>
      </w:r>
      <w:r>
        <w:rPr>
          <w:color w:val="231F20"/>
          <w:w w:val="105"/>
        </w:rPr>
        <w:t>cambios</w:t>
      </w:r>
      <w:r>
        <w:rPr>
          <w:color w:val="231F20"/>
          <w:spacing w:val="-22"/>
          <w:w w:val="105"/>
        </w:rPr>
        <w:t> </w:t>
      </w:r>
      <w:r>
        <w:rPr>
          <w:color w:val="231F20"/>
          <w:w w:val="105"/>
        </w:rPr>
        <w:t>observados en</w:t>
      </w:r>
      <w:r>
        <w:rPr>
          <w:color w:val="231F20"/>
          <w:spacing w:val="-20"/>
          <w:w w:val="105"/>
        </w:rPr>
        <w:t> </w:t>
      </w:r>
      <w:r>
        <w:rPr>
          <w:color w:val="231F20"/>
          <w:w w:val="105"/>
        </w:rPr>
        <w:t>el</w:t>
      </w:r>
      <w:r>
        <w:rPr>
          <w:color w:val="231F20"/>
          <w:spacing w:val="-20"/>
          <w:w w:val="105"/>
        </w:rPr>
        <w:t> </w:t>
      </w:r>
      <w:r>
        <w:rPr>
          <w:color w:val="231F20"/>
          <w:w w:val="105"/>
        </w:rPr>
        <w:t>ROA</w:t>
      </w:r>
      <w:r>
        <w:rPr>
          <w:color w:val="231F20"/>
          <w:spacing w:val="-23"/>
          <w:w w:val="105"/>
        </w:rPr>
        <w:t> </w:t>
      </w:r>
      <w:r>
        <w:rPr>
          <w:color w:val="231F20"/>
          <w:w w:val="105"/>
        </w:rPr>
        <w:t>podrían</w:t>
      </w:r>
      <w:r>
        <w:rPr>
          <w:color w:val="231F20"/>
          <w:spacing w:val="-20"/>
          <w:w w:val="105"/>
        </w:rPr>
        <w:t> </w:t>
      </w:r>
      <w:r>
        <w:rPr>
          <w:color w:val="231F20"/>
          <w:w w:val="105"/>
        </w:rPr>
        <w:t>deberse</w:t>
      </w:r>
      <w:r>
        <w:rPr>
          <w:color w:val="231F20"/>
          <w:spacing w:val="-20"/>
          <w:w w:val="105"/>
        </w:rPr>
        <w:t> </w:t>
      </w:r>
      <w:r>
        <w:rPr>
          <w:color w:val="231F20"/>
          <w:w w:val="105"/>
        </w:rPr>
        <w:t>más</w:t>
      </w:r>
      <w:r>
        <w:rPr>
          <w:color w:val="231F20"/>
          <w:spacing w:val="-20"/>
          <w:w w:val="105"/>
        </w:rPr>
        <w:t> </w:t>
      </w:r>
      <w:r>
        <w:rPr>
          <w:color w:val="231F20"/>
          <w:w w:val="105"/>
        </w:rPr>
        <w:t>a</w:t>
      </w:r>
      <w:r>
        <w:rPr>
          <w:color w:val="231F20"/>
          <w:spacing w:val="-20"/>
          <w:w w:val="105"/>
        </w:rPr>
        <w:t> </w:t>
      </w:r>
      <w:r>
        <w:rPr>
          <w:color w:val="231F20"/>
          <w:w w:val="105"/>
        </w:rPr>
        <w:t>factores</w:t>
      </w:r>
      <w:r>
        <w:rPr>
          <w:color w:val="231F20"/>
          <w:spacing w:val="-20"/>
          <w:w w:val="105"/>
        </w:rPr>
        <w:t> </w:t>
      </w:r>
      <w:r>
        <w:rPr>
          <w:color w:val="231F20"/>
          <w:w w:val="105"/>
        </w:rPr>
        <w:t>económicos</w:t>
      </w:r>
      <w:r>
        <w:rPr>
          <w:color w:val="231F20"/>
          <w:spacing w:val="-20"/>
          <w:w w:val="105"/>
        </w:rPr>
        <w:t> </w:t>
      </w:r>
      <w:r>
        <w:rPr>
          <w:color w:val="231F20"/>
          <w:w w:val="105"/>
        </w:rPr>
        <w:t>no</w:t>
      </w:r>
      <w:r>
        <w:rPr>
          <w:color w:val="231F20"/>
          <w:spacing w:val="-20"/>
          <w:w w:val="105"/>
        </w:rPr>
        <w:t> </w:t>
      </w:r>
      <w:r>
        <w:rPr>
          <w:color w:val="231F20"/>
          <w:w w:val="105"/>
        </w:rPr>
        <w:t>considerados en</w:t>
      </w:r>
      <w:r>
        <w:rPr>
          <w:color w:val="231F20"/>
          <w:spacing w:val="-17"/>
          <w:w w:val="105"/>
        </w:rPr>
        <w:t> </w:t>
      </w:r>
      <w:r>
        <w:rPr>
          <w:color w:val="231F20"/>
          <w:w w:val="105"/>
        </w:rPr>
        <w:t>el</w:t>
      </w:r>
      <w:r>
        <w:rPr>
          <w:color w:val="231F20"/>
          <w:spacing w:val="-17"/>
          <w:w w:val="105"/>
        </w:rPr>
        <w:t> </w:t>
      </w:r>
      <w:r>
        <w:rPr>
          <w:color w:val="231F20"/>
          <w:w w:val="105"/>
        </w:rPr>
        <w:t>análisis</w:t>
      </w:r>
      <w:r>
        <w:rPr>
          <w:color w:val="231F20"/>
          <w:spacing w:val="-17"/>
          <w:w w:val="105"/>
        </w:rPr>
        <w:t> </w:t>
      </w:r>
      <w:r>
        <w:rPr>
          <w:color w:val="231F20"/>
          <w:w w:val="105"/>
        </w:rPr>
        <w:t>que</w:t>
      </w:r>
      <w:r>
        <w:rPr>
          <w:color w:val="231F20"/>
          <w:spacing w:val="-17"/>
          <w:w w:val="105"/>
        </w:rPr>
        <w:t> </w:t>
      </w:r>
      <w:r>
        <w:rPr>
          <w:color w:val="231F20"/>
          <w:w w:val="105"/>
        </w:rPr>
        <w:t>al</w:t>
      </w:r>
      <w:r>
        <w:rPr>
          <w:color w:val="231F20"/>
          <w:spacing w:val="-17"/>
          <w:w w:val="105"/>
        </w:rPr>
        <w:t> </w:t>
      </w:r>
      <w:r>
        <w:rPr>
          <w:color w:val="231F20"/>
          <w:w w:val="105"/>
        </w:rPr>
        <w:t>efecto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formación</w:t>
      </w:r>
      <w:r>
        <w:rPr>
          <w:color w:val="231F20"/>
          <w:spacing w:val="-17"/>
          <w:w w:val="105"/>
        </w:rPr>
        <w:t> </w:t>
      </w:r>
      <w:r>
        <w:rPr>
          <w:color w:val="231F20"/>
          <w:w w:val="105"/>
        </w:rPr>
        <w:t>de</w:t>
      </w:r>
      <w:r>
        <w:rPr>
          <w:color w:val="231F20"/>
          <w:spacing w:val="-17"/>
          <w:w w:val="105"/>
        </w:rPr>
        <w:t> </w:t>
      </w:r>
      <w:r>
        <w:rPr>
          <w:color w:val="231F20"/>
          <w:w w:val="105"/>
        </w:rPr>
        <w:t>una</w:t>
      </w:r>
      <w:r>
        <w:rPr>
          <w:color w:val="231F20"/>
          <w:spacing w:val="-17"/>
          <w:w w:val="105"/>
        </w:rPr>
        <w:t> </w:t>
      </w:r>
      <w:r>
        <w:rPr>
          <w:i/>
          <w:color w:val="231F20"/>
          <w:w w:val="105"/>
        </w:rPr>
        <w:t>joint</w:t>
      </w:r>
      <w:r>
        <w:rPr>
          <w:i/>
          <w:color w:val="231F20"/>
          <w:spacing w:val="-17"/>
          <w:w w:val="105"/>
        </w:rPr>
        <w:t> </w:t>
      </w:r>
      <w:r>
        <w:rPr>
          <w:i/>
          <w:color w:val="231F20"/>
          <w:w w:val="105"/>
        </w:rPr>
        <w:t>venture</w:t>
      </w:r>
      <w:r>
        <w:rPr>
          <w:color w:val="231F20"/>
          <w:w w:val="105"/>
        </w:rPr>
        <w:t>.</w:t>
      </w:r>
      <w:r>
        <w:rPr>
          <w:color w:val="231F20"/>
          <w:spacing w:val="-22"/>
          <w:w w:val="105"/>
        </w:rPr>
        <w:t> </w:t>
      </w:r>
      <w:r>
        <w:rPr>
          <w:color w:val="231F20"/>
          <w:w w:val="105"/>
        </w:rPr>
        <w:t>Desafor- tunadamente,</w:t>
      </w:r>
      <w:r>
        <w:rPr>
          <w:color w:val="231F20"/>
          <w:spacing w:val="-27"/>
          <w:w w:val="105"/>
        </w:rPr>
        <w:t> </w:t>
      </w:r>
      <w:r>
        <w:rPr>
          <w:color w:val="231F20"/>
          <w:w w:val="105"/>
        </w:rPr>
        <w:t>el</w:t>
      </w:r>
      <w:r>
        <w:rPr>
          <w:color w:val="231F20"/>
          <w:spacing w:val="-21"/>
          <w:w w:val="105"/>
        </w:rPr>
        <w:t> </w:t>
      </w:r>
      <w:r>
        <w:rPr>
          <w:color w:val="231F20"/>
          <w:w w:val="105"/>
        </w:rPr>
        <w:t>diseño</w:t>
      </w:r>
      <w:r>
        <w:rPr>
          <w:color w:val="231F20"/>
          <w:spacing w:val="-21"/>
          <w:w w:val="105"/>
        </w:rPr>
        <w:t> </w:t>
      </w:r>
      <w:r>
        <w:rPr>
          <w:color w:val="231F20"/>
          <w:w w:val="105"/>
        </w:rPr>
        <w:t>de</w:t>
      </w:r>
      <w:r>
        <w:rPr>
          <w:color w:val="231F20"/>
          <w:spacing w:val="-21"/>
          <w:w w:val="105"/>
        </w:rPr>
        <w:t> </w:t>
      </w:r>
      <w:r>
        <w:rPr>
          <w:color w:val="231F20"/>
          <w:w w:val="105"/>
        </w:rPr>
        <w:t>investigación</w:t>
      </w:r>
      <w:r>
        <w:rPr>
          <w:color w:val="231F20"/>
          <w:spacing w:val="-21"/>
          <w:w w:val="105"/>
        </w:rPr>
        <w:t> </w:t>
      </w:r>
      <w:r>
        <w:rPr>
          <w:color w:val="231F20"/>
          <w:w w:val="105"/>
        </w:rPr>
        <w:t>utilizado</w:t>
      </w:r>
      <w:r>
        <w:rPr>
          <w:color w:val="231F20"/>
          <w:spacing w:val="-21"/>
          <w:w w:val="105"/>
        </w:rPr>
        <w:t> </w:t>
      </w:r>
      <w:r>
        <w:rPr>
          <w:color w:val="231F20"/>
          <w:w w:val="105"/>
        </w:rPr>
        <w:t>en</w:t>
      </w:r>
      <w:r>
        <w:rPr>
          <w:color w:val="231F20"/>
          <w:spacing w:val="-21"/>
          <w:w w:val="105"/>
        </w:rPr>
        <w:t> </w:t>
      </w:r>
      <w:r>
        <w:rPr>
          <w:color w:val="231F20"/>
          <w:w w:val="105"/>
        </w:rPr>
        <w:t>este</w:t>
      </w:r>
      <w:r>
        <w:rPr>
          <w:color w:val="231F20"/>
          <w:spacing w:val="-21"/>
          <w:w w:val="105"/>
        </w:rPr>
        <w:t> </w:t>
      </w:r>
      <w:r>
        <w:rPr>
          <w:color w:val="231F20"/>
          <w:w w:val="105"/>
        </w:rPr>
        <w:t>estudio</w:t>
      </w:r>
      <w:r>
        <w:rPr>
          <w:color w:val="231F20"/>
          <w:spacing w:val="-21"/>
          <w:w w:val="105"/>
        </w:rPr>
        <w:t> </w:t>
      </w:r>
      <w:r>
        <w:rPr>
          <w:color w:val="231F20"/>
          <w:w w:val="105"/>
        </w:rPr>
        <w:t>no</w:t>
      </w:r>
      <w:r>
        <w:rPr>
          <w:color w:val="231F20"/>
          <w:spacing w:val="-21"/>
          <w:w w:val="105"/>
        </w:rPr>
        <w:t> </w:t>
      </w:r>
      <w:r>
        <w:rPr>
          <w:color w:val="231F20"/>
          <w:w w:val="105"/>
        </w:rPr>
        <w:t>per- mite neutralizar esta posibilidad </w:t>
      </w:r>
      <w:r>
        <w:rPr>
          <w:color w:val="231F20"/>
          <w:spacing w:val="-4"/>
          <w:w w:val="105"/>
        </w:rPr>
        <w:t>y, </w:t>
      </w:r>
      <w:r>
        <w:rPr>
          <w:color w:val="231F20"/>
          <w:w w:val="105"/>
        </w:rPr>
        <w:t>por lo tanto, el mencionado soporte marginal</w:t>
      </w:r>
      <w:r>
        <w:rPr>
          <w:color w:val="231F20"/>
          <w:spacing w:val="-16"/>
          <w:w w:val="105"/>
        </w:rPr>
        <w:t> </w:t>
      </w:r>
      <w:r>
        <w:rPr>
          <w:color w:val="231F20"/>
          <w:w w:val="105"/>
        </w:rPr>
        <w:t>para</w:t>
      </w:r>
      <w:r>
        <w:rPr>
          <w:color w:val="231F20"/>
          <w:spacing w:val="-16"/>
          <w:w w:val="105"/>
        </w:rPr>
        <w:t> </w:t>
      </w:r>
      <w:r>
        <w:rPr>
          <w:color w:val="231F20"/>
          <w:w w:val="105"/>
        </w:rPr>
        <w:t>la</w:t>
      </w:r>
      <w:r>
        <w:rPr>
          <w:color w:val="231F20"/>
          <w:spacing w:val="-16"/>
          <w:w w:val="105"/>
        </w:rPr>
        <w:t> </w:t>
      </w:r>
      <w:r>
        <w:rPr>
          <w:color w:val="231F20"/>
          <w:w w:val="105"/>
        </w:rPr>
        <w:t>Hipótesis</w:t>
      </w:r>
      <w:r>
        <w:rPr>
          <w:color w:val="231F20"/>
          <w:spacing w:val="-16"/>
          <w:w w:val="105"/>
        </w:rPr>
        <w:t> </w:t>
      </w:r>
      <w:r>
        <w:rPr>
          <w:color w:val="231F20"/>
          <w:w w:val="105"/>
        </w:rPr>
        <w:t>1</w:t>
      </w:r>
      <w:r>
        <w:rPr>
          <w:color w:val="231F20"/>
          <w:spacing w:val="-16"/>
          <w:w w:val="105"/>
        </w:rPr>
        <w:t> </w:t>
      </w:r>
      <w:r>
        <w:rPr>
          <w:color w:val="231F20"/>
          <w:w w:val="105"/>
        </w:rPr>
        <w:t>debe</w:t>
      </w:r>
      <w:r>
        <w:rPr>
          <w:color w:val="231F20"/>
          <w:spacing w:val="-16"/>
          <w:w w:val="105"/>
        </w:rPr>
        <w:t> </w:t>
      </w:r>
      <w:r>
        <w:rPr>
          <w:color w:val="231F20"/>
          <w:w w:val="105"/>
        </w:rPr>
        <w:t>considerarse</w:t>
      </w:r>
      <w:r>
        <w:rPr>
          <w:color w:val="231F20"/>
          <w:spacing w:val="-16"/>
          <w:w w:val="105"/>
        </w:rPr>
        <w:t> </w:t>
      </w:r>
      <w:r>
        <w:rPr>
          <w:color w:val="231F20"/>
          <w:w w:val="105"/>
        </w:rPr>
        <w:t>con</w:t>
      </w:r>
      <w:r>
        <w:rPr>
          <w:color w:val="231F20"/>
          <w:spacing w:val="-16"/>
          <w:w w:val="105"/>
        </w:rPr>
        <w:t> </w:t>
      </w:r>
      <w:r>
        <w:rPr>
          <w:color w:val="231F20"/>
          <w:w w:val="105"/>
        </w:rPr>
        <w:t>cuidado.</w:t>
      </w:r>
    </w:p>
    <w:p>
      <w:pPr>
        <w:pStyle w:val="BodyText"/>
        <w:spacing w:before="2"/>
      </w:pPr>
    </w:p>
    <w:p>
      <w:pPr>
        <w:spacing w:before="1"/>
        <w:ind w:left="235" w:right="17" w:firstLine="0"/>
        <w:jc w:val="left"/>
        <w:rPr>
          <w:i/>
          <w:sz w:val="18"/>
        </w:rPr>
      </w:pPr>
      <w:r>
        <w:rPr/>
        <w:drawing>
          <wp:anchor distT="0" distB="0" distL="0" distR="0" allowOverlap="1" layoutInCell="1" locked="0" behindDoc="0" simplePos="0" relativeHeight="5728">
            <wp:simplePos x="0" y="0"/>
            <wp:positionH relativeFrom="page">
              <wp:posOffset>1078649</wp:posOffset>
            </wp:positionH>
            <wp:positionV relativeFrom="paragraph">
              <wp:posOffset>210332</wp:posOffset>
            </wp:positionV>
            <wp:extent cx="3823655" cy="1189577"/>
            <wp:effectExtent l="0" t="0" r="0" b="0"/>
            <wp:wrapTopAndBottom/>
            <wp:docPr id="33" name="image61.png" descr=""/>
            <wp:cNvGraphicFramePr>
              <a:graphicFrameLocks noChangeAspect="1"/>
            </wp:cNvGraphicFramePr>
            <a:graphic>
              <a:graphicData uri="http://schemas.openxmlformats.org/drawingml/2006/picture">
                <pic:pic>
                  <pic:nvPicPr>
                    <pic:cNvPr id="34" name="image61.png"/>
                    <pic:cNvPicPr/>
                  </pic:nvPicPr>
                  <pic:blipFill>
                    <a:blip r:embed="rId83" cstate="print"/>
                    <a:stretch>
                      <a:fillRect/>
                    </a:stretch>
                  </pic:blipFill>
                  <pic:spPr>
                    <a:xfrm>
                      <a:off x="0" y="0"/>
                      <a:ext cx="3823655" cy="1189577"/>
                    </a:xfrm>
                    <a:prstGeom prst="rect">
                      <a:avLst/>
                    </a:prstGeom>
                  </pic:spPr>
                </pic:pic>
              </a:graphicData>
            </a:graphic>
          </wp:anchor>
        </w:drawing>
      </w:r>
      <w:r>
        <w:rPr>
          <w:color w:val="231F20"/>
          <w:w w:val="105"/>
          <w:sz w:val="18"/>
        </w:rPr>
        <w:t>Tabla 3. Diferencias medias en ROA con motivo de la formación de </w:t>
      </w:r>
      <w:r>
        <w:rPr>
          <w:i/>
          <w:color w:val="231F20"/>
          <w:w w:val="105"/>
          <w:sz w:val="18"/>
        </w:rPr>
        <w:t>joint ventures</w:t>
      </w:r>
    </w:p>
    <w:p>
      <w:pPr>
        <w:spacing w:before="133"/>
        <w:ind w:left="103"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03" w:right="109"/>
        <w:jc w:val="both"/>
      </w:pPr>
      <w:r>
        <w:rPr>
          <w:color w:val="231F20"/>
          <w:w w:val="105"/>
        </w:rPr>
        <w:t>La</w:t>
      </w:r>
      <w:r>
        <w:rPr>
          <w:color w:val="231F20"/>
          <w:spacing w:val="-23"/>
          <w:w w:val="105"/>
        </w:rPr>
        <w:t> </w:t>
      </w:r>
      <w:r>
        <w:rPr>
          <w:color w:val="231F20"/>
          <w:w w:val="105"/>
        </w:rPr>
        <w:t>Hipótesis</w:t>
      </w:r>
      <w:r>
        <w:rPr>
          <w:color w:val="231F20"/>
          <w:spacing w:val="-23"/>
          <w:w w:val="105"/>
        </w:rPr>
        <w:t> </w:t>
      </w:r>
      <w:r>
        <w:rPr>
          <w:color w:val="231F20"/>
          <w:w w:val="105"/>
        </w:rPr>
        <w:t>2</w:t>
      </w:r>
      <w:r>
        <w:rPr>
          <w:color w:val="231F20"/>
          <w:spacing w:val="-23"/>
          <w:w w:val="105"/>
        </w:rPr>
        <w:t> </w:t>
      </w:r>
      <w:r>
        <w:rPr>
          <w:color w:val="231F20"/>
          <w:w w:val="105"/>
        </w:rPr>
        <w:t>plantea</w:t>
      </w:r>
      <w:r>
        <w:rPr>
          <w:color w:val="231F20"/>
          <w:spacing w:val="-23"/>
          <w:w w:val="105"/>
        </w:rPr>
        <w:t> </w:t>
      </w:r>
      <w:r>
        <w:rPr>
          <w:color w:val="231F20"/>
          <w:w w:val="105"/>
        </w:rPr>
        <w:t>que,</w:t>
      </w:r>
      <w:r>
        <w:rPr>
          <w:color w:val="231F20"/>
          <w:spacing w:val="-29"/>
          <w:w w:val="105"/>
        </w:rPr>
        <w:t> </w:t>
      </w:r>
      <w:r>
        <w:rPr>
          <w:color w:val="231F20"/>
          <w:w w:val="105"/>
        </w:rPr>
        <w:t>después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formación</w:t>
      </w:r>
      <w:r>
        <w:rPr>
          <w:color w:val="231F20"/>
          <w:spacing w:val="-23"/>
          <w:w w:val="105"/>
        </w:rPr>
        <w:t> </w:t>
      </w:r>
      <w:r>
        <w:rPr>
          <w:color w:val="231F20"/>
          <w:w w:val="105"/>
        </w:rPr>
        <w:t>de</w:t>
      </w:r>
      <w:r>
        <w:rPr>
          <w:color w:val="231F20"/>
          <w:spacing w:val="-23"/>
          <w:w w:val="105"/>
        </w:rPr>
        <w:t> </w:t>
      </w:r>
      <w:r>
        <w:rPr>
          <w:color w:val="231F20"/>
          <w:w w:val="105"/>
        </w:rPr>
        <w:t>una</w:t>
      </w:r>
      <w:r>
        <w:rPr>
          <w:color w:val="231F20"/>
          <w:spacing w:val="-23"/>
          <w:w w:val="105"/>
        </w:rPr>
        <w:t> </w:t>
      </w:r>
      <w:r>
        <w:rPr>
          <w:i/>
          <w:color w:val="231F20"/>
          <w:w w:val="105"/>
        </w:rPr>
        <w:t>joint</w:t>
      </w:r>
      <w:r>
        <w:rPr>
          <w:i/>
          <w:color w:val="231F20"/>
          <w:spacing w:val="-23"/>
          <w:w w:val="105"/>
        </w:rPr>
        <w:t> </w:t>
      </w:r>
      <w:r>
        <w:rPr>
          <w:i/>
          <w:color w:val="231F20"/>
          <w:w w:val="105"/>
        </w:rPr>
        <w:t>venture</w:t>
      </w:r>
      <w:r>
        <w:rPr>
          <w:color w:val="231F20"/>
          <w:w w:val="105"/>
        </w:rPr>
        <w:t>, el ROA de las empresas que colaboraron en mercadotecnia podría ser superior</w:t>
      </w:r>
      <w:r>
        <w:rPr>
          <w:color w:val="231F20"/>
          <w:spacing w:val="-17"/>
          <w:w w:val="105"/>
        </w:rPr>
        <w:t> </w:t>
      </w:r>
      <w:r>
        <w:rPr>
          <w:color w:val="231F20"/>
          <w:w w:val="105"/>
        </w:rPr>
        <w:t>al</w:t>
      </w:r>
      <w:r>
        <w:rPr>
          <w:color w:val="231F20"/>
          <w:spacing w:val="-17"/>
          <w:w w:val="105"/>
        </w:rPr>
        <w:t> </w:t>
      </w:r>
      <w:r>
        <w:rPr>
          <w:color w:val="231F20"/>
          <w:w w:val="105"/>
        </w:rPr>
        <w:t>de</w:t>
      </w:r>
      <w:r>
        <w:rPr>
          <w:color w:val="231F20"/>
          <w:spacing w:val="-17"/>
          <w:w w:val="105"/>
        </w:rPr>
        <w:t> </w:t>
      </w:r>
      <w:r>
        <w:rPr>
          <w:color w:val="231F20"/>
          <w:w w:val="105"/>
        </w:rPr>
        <w:t>aquéllas</w:t>
      </w:r>
      <w:r>
        <w:rPr>
          <w:color w:val="231F20"/>
          <w:spacing w:val="-17"/>
          <w:w w:val="105"/>
        </w:rPr>
        <w:t> </w:t>
      </w:r>
      <w:r>
        <w:rPr>
          <w:color w:val="231F20"/>
          <w:w w:val="105"/>
        </w:rPr>
        <w:t>que</w:t>
      </w:r>
      <w:r>
        <w:rPr>
          <w:color w:val="231F20"/>
          <w:spacing w:val="-17"/>
          <w:w w:val="105"/>
        </w:rPr>
        <w:t> </w:t>
      </w:r>
      <w:r>
        <w:rPr>
          <w:color w:val="231F20"/>
          <w:w w:val="105"/>
        </w:rPr>
        <w:t>lo</w:t>
      </w:r>
      <w:r>
        <w:rPr>
          <w:color w:val="231F20"/>
          <w:spacing w:val="-17"/>
          <w:w w:val="105"/>
        </w:rPr>
        <w:t> </w:t>
      </w:r>
      <w:r>
        <w:rPr>
          <w:color w:val="231F20"/>
          <w:w w:val="105"/>
        </w:rPr>
        <w:t>hicieron</w:t>
      </w:r>
      <w:r>
        <w:rPr>
          <w:color w:val="231F20"/>
          <w:spacing w:val="-17"/>
          <w:w w:val="105"/>
        </w:rPr>
        <w:t> </w:t>
      </w:r>
      <w:r>
        <w:rPr>
          <w:color w:val="231F20"/>
          <w:w w:val="105"/>
        </w:rPr>
        <w:t>en</w:t>
      </w:r>
      <w:r>
        <w:rPr>
          <w:color w:val="231F20"/>
          <w:spacing w:val="-17"/>
          <w:w w:val="105"/>
        </w:rPr>
        <w:t> </w:t>
      </w:r>
      <w:r>
        <w:rPr>
          <w:color w:val="231F20"/>
          <w:w w:val="105"/>
        </w:rPr>
        <w:t>manufactura.</w:t>
      </w:r>
      <w:r>
        <w:rPr>
          <w:color w:val="231F20"/>
          <w:spacing w:val="-22"/>
          <w:w w:val="105"/>
        </w:rPr>
        <w:t> </w:t>
      </w:r>
      <w:r>
        <w:rPr>
          <w:color w:val="231F20"/>
          <w:w w:val="105"/>
        </w:rPr>
        <w:t>La</w:t>
      </w:r>
      <w:r>
        <w:rPr>
          <w:color w:val="231F20"/>
          <w:spacing w:val="-21"/>
          <w:w w:val="105"/>
        </w:rPr>
        <w:t> </w:t>
      </w:r>
      <w:r>
        <w:rPr>
          <w:color w:val="231F20"/>
          <w:spacing w:val="-5"/>
          <w:w w:val="105"/>
        </w:rPr>
        <w:t>Tabla</w:t>
      </w:r>
      <w:r>
        <w:rPr>
          <w:color w:val="231F20"/>
          <w:spacing w:val="-17"/>
          <w:w w:val="105"/>
        </w:rPr>
        <w:t> </w:t>
      </w:r>
      <w:r>
        <w:rPr>
          <w:color w:val="231F20"/>
          <w:w w:val="105"/>
        </w:rPr>
        <w:t>4</w:t>
      </w:r>
      <w:r>
        <w:rPr>
          <w:color w:val="231F20"/>
          <w:spacing w:val="-17"/>
          <w:w w:val="105"/>
        </w:rPr>
        <w:t> </w:t>
      </w:r>
      <w:r>
        <w:rPr>
          <w:color w:val="231F20"/>
          <w:w w:val="105"/>
        </w:rPr>
        <w:t>mues- tra</w:t>
      </w:r>
      <w:r>
        <w:rPr>
          <w:color w:val="231F20"/>
          <w:spacing w:val="-27"/>
          <w:w w:val="105"/>
        </w:rPr>
        <w:t> </w:t>
      </w:r>
      <w:r>
        <w:rPr>
          <w:color w:val="231F20"/>
          <w:w w:val="105"/>
        </w:rPr>
        <w:t>los</w:t>
      </w:r>
      <w:r>
        <w:rPr>
          <w:color w:val="231F20"/>
          <w:spacing w:val="-27"/>
          <w:w w:val="105"/>
        </w:rPr>
        <w:t> </w:t>
      </w:r>
      <w:r>
        <w:rPr>
          <w:color w:val="231F20"/>
          <w:w w:val="105"/>
        </w:rPr>
        <w:t>resultados</w:t>
      </w:r>
      <w:r>
        <w:rPr>
          <w:color w:val="231F20"/>
          <w:spacing w:val="-27"/>
          <w:w w:val="105"/>
        </w:rPr>
        <w:t> </w:t>
      </w:r>
      <w:r>
        <w:rPr>
          <w:color w:val="231F20"/>
          <w:w w:val="105"/>
        </w:rPr>
        <w:t>de</w:t>
      </w:r>
      <w:r>
        <w:rPr>
          <w:color w:val="231F20"/>
          <w:spacing w:val="-27"/>
          <w:w w:val="105"/>
        </w:rPr>
        <w:t> </w:t>
      </w:r>
      <w:r>
        <w:rPr>
          <w:color w:val="231F20"/>
          <w:w w:val="105"/>
        </w:rPr>
        <w:t>un</w:t>
      </w:r>
      <w:r>
        <w:rPr>
          <w:color w:val="231F20"/>
          <w:spacing w:val="-27"/>
          <w:w w:val="105"/>
        </w:rPr>
        <w:t> </w:t>
      </w:r>
      <w:r>
        <w:rPr>
          <w:color w:val="231F20"/>
          <w:w w:val="105"/>
        </w:rPr>
        <w:t>análisis</w:t>
      </w:r>
      <w:r>
        <w:rPr>
          <w:color w:val="231F20"/>
          <w:spacing w:val="-27"/>
          <w:w w:val="105"/>
        </w:rPr>
        <w:t> </w:t>
      </w:r>
      <w:r>
        <w:rPr>
          <w:color w:val="231F20"/>
          <w:w w:val="105"/>
        </w:rPr>
        <w:t>de</w:t>
      </w:r>
      <w:r>
        <w:rPr>
          <w:color w:val="231F20"/>
          <w:spacing w:val="-27"/>
          <w:w w:val="105"/>
        </w:rPr>
        <w:t> </w:t>
      </w:r>
      <w:r>
        <w:rPr>
          <w:color w:val="231F20"/>
          <w:w w:val="105"/>
        </w:rPr>
        <w:t>varianza</w:t>
      </w:r>
      <w:r>
        <w:rPr>
          <w:color w:val="231F20"/>
          <w:spacing w:val="-27"/>
          <w:w w:val="105"/>
        </w:rPr>
        <w:t> </w:t>
      </w:r>
      <w:r>
        <w:rPr>
          <w:color w:val="231F20"/>
          <w:w w:val="105"/>
        </w:rPr>
        <w:t>(ANOVA)</w:t>
      </w:r>
      <w:r>
        <w:rPr>
          <w:color w:val="231F20"/>
          <w:spacing w:val="-27"/>
          <w:w w:val="105"/>
        </w:rPr>
        <w:t> </w:t>
      </w:r>
      <w:r>
        <w:rPr>
          <w:color w:val="231F20"/>
          <w:w w:val="105"/>
        </w:rPr>
        <w:t>a</w:t>
      </w:r>
      <w:r>
        <w:rPr>
          <w:color w:val="231F20"/>
          <w:spacing w:val="-27"/>
          <w:w w:val="105"/>
        </w:rPr>
        <w:t> </w:t>
      </w:r>
      <w:r>
        <w:rPr>
          <w:color w:val="231F20"/>
          <w:w w:val="105"/>
        </w:rPr>
        <w:t>una</w:t>
      </w:r>
      <w:r>
        <w:rPr>
          <w:color w:val="231F20"/>
          <w:spacing w:val="-27"/>
          <w:w w:val="105"/>
        </w:rPr>
        <w:t> </w:t>
      </w:r>
      <w:r>
        <w:rPr>
          <w:color w:val="231F20"/>
          <w:w w:val="105"/>
        </w:rPr>
        <w:t>sola</w:t>
      </w:r>
      <w:r>
        <w:rPr>
          <w:color w:val="231F20"/>
          <w:spacing w:val="-27"/>
          <w:w w:val="105"/>
        </w:rPr>
        <w:t> </w:t>
      </w:r>
      <w:r>
        <w:rPr>
          <w:color w:val="231F20"/>
          <w:w w:val="105"/>
        </w:rPr>
        <w:t>vía.</w:t>
      </w:r>
      <w:r>
        <w:rPr>
          <w:color w:val="231F20"/>
          <w:spacing w:val="-31"/>
          <w:w w:val="105"/>
        </w:rPr>
        <w:t> </w:t>
      </w:r>
      <w:r>
        <w:rPr>
          <w:color w:val="231F20"/>
          <w:w w:val="105"/>
        </w:rPr>
        <w:t>Esta tabla</w:t>
      </w:r>
      <w:r>
        <w:rPr>
          <w:color w:val="231F20"/>
          <w:spacing w:val="-7"/>
          <w:w w:val="105"/>
        </w:rPr>
        <w:t> </w:t>
      </w:r>
      <w:r>
        <w:rPr>
          <w:color w:val="231F20"/>
          <w:w w:val="105"/>
        </w:rPr>
        <w:t>indica</w:t>
      </w:r>
      <w:r>
        <w:rPr>
          <w:color w:val="231F20"/>
          <w:spacing w:val="-7"/>
          <w:w w:val="105"/>
        </w:rPr>
        <w:t> </w:t>
      </w:r>
      <w:r>
        <w:rPr>
          <w:color w:val="231F20"/>
          <w:w w:val="105"/>
        </w:rPr>
        <w:t>que,</w:t>
      </w:r>
      <w:r>
        <w:rPr>
          <w:color w:val="231F20"/>
          <w:spacing w:val="-13"/>
          <w:w w:val="105"/>
        </w:rPr>
        <w:t> </w:t>
      </w:r>
      <w:r>
        <w:rPr>
          <w:color w:val="231F20"/>
          <w:w w:val="105"/>
        </w:rPr>
        <w:t>tal</w:t>
      </w:r>
      <w:r>
        <w:rPr>
          <w:color w:val="231F20"/>
          <w:spacing w:val="-7"/>
          <w:w w:val="105"/>
        </w:rPr>
        <w:t> </w:t>
      </w:r>
      <w:r>
        <w:rPr>
          <w:color w:val="231F20"/>
          <w:w w:val="105"/>
        </w:rPr>
        <w:t>y</w:t>
      </w:r>
      <w:r>
        <w:rPr>
          <w:color w:val="231F20"/>
          <w:spacing w:val="-7"/>
          <w:w w:val="105"/>
        </w:rPr>
        <w:t> </w:t>
      </w:r>
      <w:r>
        <w:rPr>
          <w:color w:val="231F20"/>
          <w:w w:val="105"/>
        </w:rPr>
        <w:t>como</w:t>
      </w:r>
      <w:r>
        <w:rPr>
          <w:color w:val="231F20"/>
          <w:spacing w:val="-7"/>
          <w:w w:val="105"/>
        </w:rPr>
        <w:t> </w:t>
      </w:r>
      <w:r>
        <w:rPr>
          <w:color w:val="231F20"/>
          <w:w w:val="105"/>
        </w:rPr>
        <w:t>lo</w:t>
      </w:r>
      <w:r>
        <w:rPr>
          <w:color w:val="231F20"/>
          <w:spacing w:val="-7"/>
          <w:w w:val="105"/>
        </w:rPr>
        <w:t> </w:t>
      </w:r>
      <w:r>
        <w:rPr>
          <w:color w:val="231F20"/>
          <w:w w:val="105"/>
        </w:rPr>
        <w:t>postula</w:t>
      </w:r>
      <w:r>
        <w:rPr>
          <w:color w:val="231F20"/>
          <w:spacing w:val="-7"/>
          <w:w w:val="105"/>
        </w:rPr>
        <w:t> </w:t>
      </w:r>
      <w:r>
        <w:rPr>
          <w:color w:val="231F20"/>
          <w:w w:val="105"/>
        </w:rPr>
        <w:t>la</w:t>
      </w:r>
      <w:r>
        <w:rPr>
          <w:color w:val="231F20"/>
          <w:spacing w:val="-7"/>
          <w:w w:val="105"/>
        </w:rPr>
        <w:t> </w:t>
      </w:r>
      <w:r>
        <w:rPr>
          <w:color w:val="231F20"/>
          <w:w w:val="105"/>
        </w:rPr>
        <w:t>hipótesis</w:t>
      </w:r>
      <w:r>
        <w:rPr>
          <w:color w:val="231F20"/>
          <w:spacing w:val="-7"/>
          <w:w w:val="105"/>
        </w:rPr>
        <w:t> </w:t>
      </w:r>
      <w:r>
        <w:rPr>
          <w:color w:val="231F20"/>
          <w:w w:val="105"/>
        </w:rPr>
        <w:t>en</w:t>
      </w:r>
      <w:r>
        <w:rPr>
          <w:color w:val="231F20"/>
          <w:spacing w:val="-7"/>
          <w:w w:val="105"/>
        </w:rPr>
        <w:t> </w:t>
      </w:r>
      <w:r>
        <w:rPr>
          <w:color w:val="231F20"/>
          <w:w w:val="105"/>
        </w:rPr>
        <w:t>mención,</w:t>
      </w:r>
      <w:r>
        <w:rPr>
          <w:color w:val="231F20"/>
          <w:spacing w:val="-13"/>
          <w:w w:val="105"/>
        </w:rPr>
        <w:t> </w:t>
      </w:r>
      <w:r>
        <w:rPr>
          <w:color w:val="231F20"/>
          <w:w w:val="105"/>
        </w:rPr>
        <w:t>después de</w:t>
      </w:r>
      <w:r>
        <w:rPr>
          <w:color w:val="231F20"/>
          <w:spacing w:val="-18"/>
          <w:w w:val="105"/>
        </w:rPr>
        <w:t> </w:t>
      </w:r>
      <w:r>
        <w:rPr>
          <w:color w:val="231F20"/>
          <w:w w:val="105"/>
        </w:rPr>
        <w:t>la</w:t>
      </w:r>
      <w:r>
        <w:rPr>
          <w:color w:val="231F20"/>
          <w:spacing w:val="-18"/>
          <w:w w:val="105"/>
        </w:rPr>
        <w:t> </w:t>
      </w:r>
      <w:r>
        <w:rPr>
          <w:color w:val="231F20"/>
          <w:w w:val="105"/>
        </w:rPr>
        <w:t>formación</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i/>
          <w:color w:val="231F20"/>
          <w:w w:val="105"/>
        </w:rPr>
        <w:t>joint</w:t>
      </w:r>
      <w:r>
        <w:rPr>
          <w:i/>
          <w:color w:val="231F20"/>
          <w:spacing w:val="-18"/>
          <w:w w:val="105"/>
        </w:rPr>
        <w:t> </w:t>
      </w:r>
      <w:r>
        <w:rPr>
          <w:i/>
          <w:color w:val="231F20"/>
          <w:w w:val="105"/>
        </w:rPr>
        <w:t>venture</w:t>
      </w:r>
      <w:r>
        <w:rPr>
          <w:color w:val="231F20"/>
          <w:w w:val="105"/>
        </w:rPr>
        <w:t>,</w:t>
      </w:r>
      <w:r>
        <w:rPr>
          <w:color w:val="231F20"/>
          <w:spacing w:val="-23"/>
          <w:w w:val="105"/>
        </w:rPr>
        <w:t> </w:t>
      </w:r>
      <w:r>
        <w:rPr>
          <w:color w:val="231F20"/>
          <w:w w:val="105"/>
        </w:rPr>
        <w:t>el</w:t>
      </w:r>
      <w:r>
        <w:rPr>
          <w:color w:val="231F20"/>
          <w:spacing w:val="-18"/>
          <w:w w:val="105"/>
        </w:rPr>
        <w:t> </w:t>
      </w:r>
      <w:r>
        <w:rPr>
          <w:color w:val="231F20"/>
          <w:w w:val="105"/>
        </w:rPr>
        <w:t>ROA</w:t>
      </w:r>
      <w:r>
        <w:rPr>
          <w:color w:val="231F20"/>
          <w:spacing w:val="-21"/>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que</w:t>
      </w:r>
      <w:r>
        <w:rPr>
          <w:color w:val="231F20"/>
          <w:spacing w:val="-18"/>
          <w:w w:val="105"/>
        </w:rPr>
        <w:t> </w:t>
      </w:r>
      <w:r>
        <w:rPr>
          <w:color w:val="231F20"/>
          <w:w w:val="105"/>
        </w:rPr>
        <w:t>forma- ron</w:t>
      </w:r>
      <w:r>
        <w:rPr>
          <w:color w:val="231F20"/>
          <w:spacing w:val="-15"/>
          <w:w w:val="105"/>
        </w:rPr>
        <w:t> </w:t>
      </w:r>
      <w:r>
        <w:rPr>
          <w:color w:val="231F20"/>
          <w:w w:val="105"/>
        </w:rPr>
        <w:t>tratos</w:t>
      </w:r>
      <w:r>
        <w:rPr>
          <w:color w:val="231F20"/>
          <w:spacing w:val="-15"/>
          <w:w w:val="105"/>
        </w:rPr>
        <w:t> </w:t>
      </w:r>
      <w:r>
        <w:rPr>
          <w:color w:val="231F20"/>
          <w:w w:val="105"/>
        </w:rPr>
        <w:t>de</w:t>
      </w:r>
      <w:r>
        <w:rPr>
          <w:color w:val="231F20"/>
          <w:spacing w:val="-15"/>
          <w:w w:val="105"/>
        </w:rPr>
        <w:t> </w:t>
      </w:r>
      <w:r>
        <w:rPr>
          <w:color w:val="231F20"/>
          <w:w w:val="105"/>
        </w:rPr>
        <w:t>mercadotecnia</w:t>
      </w:r>
      <w:r>
        <w:rPr>
          <w:color w:val="231F20"/>
          <w:spacing w:val="-15"/>
          <w:w w:val="105"/>
        </w:rPr>
        <w:t> </w:t>
      </w:r>
      <w:r>
        <w:rPr>
          <w:color w:val="231F20"/>
          <w:w w:val="105"/>
        </w:rPr>
        <w:t>fue</w:t>
      </w:r>
      <w:r>
        <w:rPr>
          <w:color w:val="231F20"/>
          <w:spacing w:val="-15"/>
          <w:w w:val="105"/>
        </w:rPr>
        <w:t> </w:t>
      </w:r>
      <w:r>
        <w:rPr>
          <w:color w:val="231F20"/>
          <w:w w:val="105"/>
        </w:rPr>
        <w:t>superior</w:t>
      </w:r>
      <w:r>
        <w:rPr>
          <w:color w:val="231F20"/>
          <w:spacing w:val="-15"/>
          <w:w w:val="105"/>
        </w:rPr>
        <w:t> </w:t>
      </w:r>
      <w:r>
        <w:rPr>
          <w:color w:val="231F20"/>
          <w:w w:val="105"/>
        </w:rPr>
        <w:t>al</w:t>
      </w:r>
      <w:r>
        <w:rPr>
          <w:color w:val="231F20"/>
          <w:spacing w:val="-15"/>
          <w:w w:val="105"/>
        </w:rPr>
        <w:t> </w:t>
      </w:r>
      <w:r>
        <w:rPr>
          <w:color w:val="231F20"/>
          <w:w w:val="105"/>
        </w:rPr>
        <w:t>de</w:t>
      </w:r>
      <w:r>
        <w:rPr>
          <w:color w:val="231F20"/>
          <w:spacing w:val="-15"/>
          <w:w w:val="105"/>
        </w:rPr>
        <w:t> </w:t>
      </w:r>
      <w:r>
        <w:rPr>
          <w:color w:val="231F20"/>
          <w:w w:val="105"/>
        </w:rPr>
        <w:t>aquellas</w:t>
      </w:r>
      <w:r>
        <w:rPr>
          <w:color w:val="231F20"/>
          <w:spacing w:val="-15"/>
          <w:w w:val="105"/>
        </w:rPr>
        <w:t> </w:t>
      </w:r>
      <w:r>
        <w:rPr>
          <w:color w:val="231F20"/>
          <w:w w:val="105"/>
        </w:rPr>
        <w:t>que</w:t>
      </w:r>
      <w:r>
        <w:rPr>
          <w:color w:val="231F20"/>
          <w:spacing w:val="-15"/>
          <w:w w:val="105"/>
        </w:rPr>
        <w:t> </w:t>
      </w:r>
      <w:r>
        <w:rPr>
          <w:color w:val="231F20"/>
          <w:w w:val="105"/>
        </w:rPr>
        <w:t>colaboraron en</w:t>
      </w:r>
      <w:r>
        <w:rPr>
          <w:color w:val="231F20"/>
          <w:spacing w:val="-17"/>
          <w:w w:val="105"/>
        </w:rPr>
        <w:t> </w:t>
      </w:r>
      <w:r>
        <w:rPr>
          <w:color w:val="231F20"/>
          <w:w w:val="105"/>
        </w:rPr>
        <w:t>manufactura</w:t>
      </w:r>
      <w:r>
        <w:rPr>
          <w:color w:val="231F20"/>
          <w:spacing w:val="-17"/>
          <w:w w:val="105"/>
        </w:rPr>
        <w:t> </w:t>
      </w:r>
      <w:r>
        <w:rPr>
          <w:color w:val="231F20"/>
          <w:w w:val="105"/>
        </w:rPr>
        <w:t>(3%</w:t>
      </w:r>
      <w:r>
        <w:rPr>
          <w:color w:val="231F20"/>
          <w:spacing w:val="-17"/>
          <w:w w:val="105"/>
        </w:rPr>
        <w:t> </w:t>
      </w:r>
      <w:r>
        <w:rPr>
          <w:color w:val="231F20"/>
          <w:w w:val="105"/>
        </w:rPr>
        <w:t>versus</w:t>
      </w:r>
      <w:r>
        <w:rPr>
          <w:color w:val="231F20"/>
          <w:spacing w:val="-17"/>
          <w:w w:val="105"/>
        </w:rPr>
        <w:t> </w:t>
      </w:r>
      <w:r>
        <w:rPr>
          <w:color w:val="231F20"/>
          <w:w w:val="105"/>
        </w:rPr>
        <w:t>1%</w:t>
      </w:r>
      <w:r>
        <w:rPr>
          <w:color w:val="231F20"/>
          <w:spacing w:val="-17"/>
          <w:w w:val="105"/>
        </w:rPr>
        <w:t> </w:t>
      </w:r>
      <w:r>
        <w:rPr>
          <w:color w:val="231F20"/>
          <w:w w:val="105"/>
        </w:rPr>
        <w:t>aproximadamente).</w:t>
      </w:r>
      <w:r>
        <w:rPr>
          <w:color w:val="231F20"/>
          <w:spacing w:val="-21"/>
          <w:w w:val="105"/>
        </w:rPr>
        <w:t> </w:t>
      </w:r>
      <w:r>
        <w:rPr>
          <w:color w:val="231F20"/>
          <w:w w:val="105"/>
        </w:rPr>
        <w:t>No</w:t>
      </w:r>
      <w:r>
        <w:rPr>
          <w:color w:val="231F20"/>
          <w:spacing w:val="-17"/>
          <w:w w:val="105"/>
        </w:rPr>
        <w:t> </w:t>
      </w:r>
      <w:r>
        <w:rPr>
          <w:color w:val="231F20"/>
          <w:w w:val="105"/>
        </w:rPr>
        <w:t>obstante,</w:t>
      </w:r>
      <w:r>
        <w:rPr>
          <w:color w:val="231F20"/>
          <w:spacing w:val="-21"/>
          <w:w w:val="105"/>
        </w:rPr>
        <w:t> </w:t>
      </w:r>
      <w:r>
        <w:rPr>
          <w:color w:val="231F20"/>
          <w:w w:val="105"/>
        </w:rPr>
        <w:t>la</w:t>
      </w:r>
      <w:r>
        <w:rPr>
          <w:color w:val="231F20"/>
          <w:spacing w:val="-17"/>
          <w:w w:val="105"/>
        </w:rPr>
        <w:t> </w:t>
      </w:r>
      <w:r>
        <w:rPr>
          <w:color w:val="231F20"/>
          <w:w w:val="105"/>
        </w:rPr>
        <w:t>dife- rencia es marginalmente significativa </w:t>
      </w:r>
      <w:r>
        <w:rPr>
          <w:color w:val="231F20"/>
          <w:spacing w:val="-4"/>
          <w:w w:val="105"/>
        </w:rPr>
        <w:t>y, </w:t>
      </w:r>
      <w:r>
        <w:rPr>
          <w:color w:val="231F20"/>
          <w:w w:val="105"/>
        </w:rPr>
        <w:t>por lo tanto, representa sólo</w:t>
      </w:r>
      <w:r>
        <w:rPr>
          <w:color w:val="231F20"/>
          <w:spacing w:val="-37"/>
          <w:w w:val="105"/>
        </w:rPr>
        <w:t> </w:t>
      </w:r>
      <w:r>
        <w:rPr>
          <w:color w:val="231F20"/>
          <w:w w:val="105"/>
        </w:rPr>
        <w:t>un soporte</w:t>
      </w:r>
      <w:r>
        <w:rPr>
          <w:color w:val="231F20"/>
          <w:spacing w:val="-18"/>
          <w:w w:val="105"/>
        </w:rPr>
        <w:t> </w:t>
      </w:r>
      <w:r>
        <w:rPr>
          <w:color w:val="231F20"/>
          <w:w w:val="105"/>
        </w:rPr>
        <w:t>parcial</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Hipótesis</w:t>
      </w:r>
      <w:r>
        <w:rPr>
          <w:color w:val="231F20"/>
          <w:spacing w:val="-18"/>
          <w:w w:val="105"/>
        </w:rPr>
        <w:t> </w:t>
      </w:r>
      <w:r>
        <w:rPr>
          <w:color w:val="231F20"/>
          <w:w w:val="105"/>
        </w:rPr>
        <w:t>2.</w:t>
      </w:r>
    </w:p>
    <w:p>
      <w:pPr>
        <w:pStyle w:val="BodyText"/>
        <w:rPr>
          <w:sz w:val="20"/>
        </w:rPr>
      </w:pPr>
    </w:p>
    <w:p>
      <w:pPr>
        <w:pStyle w:val="BodyText"/>
        <w:rPr>
          <w:sz w:val="20"/>
        </w:rPr>
      </w:pPr>
    </w:p>
    <w:p>
      <w:pPr>
        <w:tabs>
          <w:tab w:pos="1317" w:val="left" w:leader="none"/>
        </w:tabs>
        <w:spacing w:before="193"/>
        <w:ind w:left="212" w:right="17" w:firstLine="0"/>
        <w:jc w:val="left"/>
        <w:rPr>
          <w:rFonts w:ascii="Calibri" w:hAnsi="Calibri"/>
          <w:sz w:val="15"/>
        </w:rPr>
      </w:pPr>
      <w:r>
        <w:rPr/>
        <w:pict>
          <v:group style="position:absolute;margin-left:101.817299pt;margin-top:-10.649887pt;width:17.850pt;height:56.5pt;mso-position-horizontal-relative:page;mso-position-vertical-relative:paragraph;z-index:-242176" coordorigin="2036,-213" coordsize="357,1130">
            <v:line style="position:absolute" from="2211,197" to="2211,913" stroked="true" strokeweight=".3pt" strokecolor="#231f20"/>
            <v:shape style="position:absolute;left:2036;top:-39;width:356;height:609" type="#_x0000_t75" stroked="false">
              <v:imagedata r:id="rId18" o:title=""/>
            </v:shape>
            <v:shape style="position:absolute;left:2036;top:-213;width:356;height:783" type="#_x0000_t75" stroked="false">
              <v:imagedata r:id="rId19" o:title=""/>
            </v:shape>
            <w10:wrap type="none"/>
          </v:group>
        </w:pict>
      </w:r>
      <w:r>
        <w:rPr>
          <w:color w:val="414042"/>
          <w:w w:val="105"/>
          <w:position w:val="-5"/>
          <w:sz w:val="20"/>
        </w:rPr>
        <w:t>148</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800"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149</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La</w:t>
      </w:r>
      <w:r>
        <w:rPr>
          <w:color w:val="231F20"/>
          <w:spacing w:val="-13"/>
          <w:w w:val="105"/>
        </w:rPr>
        <w:t> </w:t>
      </w:r>
      <w:r>
        <w:rPr>
          <w:color w:val="231F20"/>
          <w:spacing w:val="-5"/>
          <w:w w:val="105"/>
        </w:rPr>
        <w:t>Tabla</w:t>
      </w:r>
      <w:r>
        <w:rPr>
          <w:color w:val="231F20"/>
          <w:spacing w:val="-9"/>
          <w:w w:val="105"/>
        </w:rPr>
        <w:t> </w:t>
      </w:r>
      <w:r>
        <w:rPr>
          <w:color w:val="231F20"/>
          <w:w w:val="105"/>
        </w:rPr>
        <w:t>4</w:t>
      </w:r>
      <w:r>
        <w:rPr>
          <w:color w:val="231F20"/>
          <w:spacing w:val="-9"/>
          <w:w w:val="105"/>
        </w:rPr>
        <w:t> </w:t>
      </w:r>
      <w:r>
        <w:rPr>
          <w:color w:val="231F20"/>
          <w:w w:val="105"/>
        </w:rPr>
        <w:t>también</w:t>
      </w:r>
      <w:r>
        <w:rPr>
          <w:color w:val="231F20"/>
          <w:spacing w:val="-9"/>
          <w:w w:val="105"/>
        </w:rPr>
        <w:t> </w:t>
      </w:r>
      <w:r>
        <w:rPr>
          <w:color w:val="231F20"/>
          <w:w w:val="105"/>
        </w:rPr>
        <w:t>muestra</w:t>
      </w:r>
      <w:r>
        <w:rPr>
          <w:color w:val="231F20"/>
          <w:spacing w:val="-9"/>
          <w:w w:val="105"/>
        </w:rPr>
        <w:t> </w:t>
      </w:r>
      <w:r>
        <w:rPr>
          <w:color w:val="231F20"/>
          <w:w w:val="105"/>
        </w:rPr>
        <w:t>el</w:t>
      </w:r>
      <w:r>
        <w:rPr>
          <w:color w:val="231F20"/>
          <w:spacing w:val="-9"/>
          <w:w w:val="105"/>
        </w:rPr>
        <w:t> </w:t>
      </w:r>
      <w:r>
        <w:rPr>
          <w:color w:val="231F20"/>
          <w:w w:val="105"/>
        </w:rPr>
        <w:t>resultado</w:t>
      </w:r>
      <w:r>
        <w:rPr>
          <w:color w:val="231F20"/>
          <w:spacing w:val="-9"/>
          <w:w w:val="105"/>
        </w:rPr>
        <w:t> </w:t>
      </w:r>
      <w:r>
        <w:rPr>
          <w:color w:val="231F20"/>
          <w:w w:val="105"/>
        </w:rPr>
        <w:t>del</w:t>
      </w:r>
      <w:r>
        <w:rPr>
          <w:color w:val="231F20"/>
          <w:spacing w:val="-9"/>
          <w:w w:val="105"/>
        </w:rPr>
        <w:t> </w:t>
      </w:r>
      <w:r>
        <w:rPr>
          <w:color w:val="231F20"/>
          <w:w w:val="105"/>
        </w:rPr>
        <w:t>análisis</w:t>
      </w:r>
      <w:r>
        <w:rPr>
          <w:color w:val="231F20"/>
          <w:spacing w:val="-9"/>
          <w:w w:val="105"/>
        </w:rPr>
        <w:t> </w:t>
      </w:r>
      <w:r>
        <w:rPr>
          <w:color w:val="231F20"/>
          <w:w w:val="105"/>
        </w:rPr>
        <w:t>de</w:t>
      </w:r>
      <w:r>
        <w:rPr>
          <w:color w:val="231F20"/>
          <w:spacing w:val="-9"/>
          <w:w w:val="105"/>
        </w:rPr>
        <w:t> </w:t>
      </w:r>
      <w:r>
        <w:rPr>
          <w:color w:val="231F20"/>
          <w:w w:val="105"/>
        </w:rPr>
        <w:t>varianza</w:t>
      </w:r>
      <w:r>
        <w:rPr>
          <w:color w:val="231F20"/>
          <w:spacing w:val="-9"/>
          <w:w w:val="105"/>
        </w:rPr>
        <w:t> </w:t>
      </w:r>
      <w:r>
        <w:rPr>
          <w:color w:val="231F20"/>
          <w:w w:val="105"/>
        </w:rPr>
        <w:t>para</w:t>
      </w:r>
      <w:r>
        <w:rPr>
          <w:color w:val="231F20"/>
          <w:spacing w:val="-9"/>
          <w:w w:val="105"/>
        </w:rPr>
        <w:t> </w:t>
      </w:r>
      <w:r>
        <w:rPr>
          <w:color w:val="231F20"/>
          <w:w w:val="105"/>
        </w:rPr>
        <w:t>el periodo</w:t>
      </w:r>
      <w:r>
        <w:rPr>
          <w:color w:val="231F20"/>
          <w:spacing w:val="-14"/>
          <w:w w:val="105"/>
        </w:rPr>
        <w:t> </w:t>
      </w:r>
      <w:r>
        <w:rPr>
          <w:color w:val="231F20"/>
          <w:w w:val="105"/>
        </w:rPr>
        <w:t>antes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formación</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i/>
          <w:color w:val="231F20"/>
          <w:w w:val="105"/>
        </w:rPr>
        <w:t>joint</w:t>
      </w:r>
      <w:r>
        <w:rPr>
          <w:i/>
          <w:color w:val="231F20"/>
          <w:spacing w:val="-14"/>
          <w:w w:val="105"/>
        </w:rPr>
        <w:t> </w:t>
      </w:r>
      <w:r>
        <w:rPr>
          <w:i/>
          <w:color w:val="231F20"/>
          <w:w w:val="105"/>
        </w:rPr>
        <w:t>venture</w:t>
      </w:r>
      <w:r>
        <w:rPr>
          <w:color w:val="231F20"/>
          <w:w w:val="105"/>
        </w:rPr>
        <w:t>s.</w:t>
      </w:r>
      <w:r>
        <w:rPr>
          <w:color w:val="231F20"/>
          <w:spacing w:val="-19"/>
          <w:w w:val="105"/>
        </w:rPr>
        <w:t> </w:t>
      </w:r>
      <w:r>
        <w:rPr>
          <w:color w:val="231F20"/>
          <w:w w:val="105"/>
        </w:rPr>
        <w:t>Es</w:t>
      </w:r>
      <w:r>
        <w:rPr>
          <w:color w:val="231F20"/>
          <w:spacing w:val="-14"/>
          <w:w w:val="105"/>
        </w:rPr>
        <w:t> </w:t>
      </w:r>
      <w:r>
        <w:rPr>
          <w:color w:val="231F20"/>
          <w:w w:val="105"/>
        </w:rPr>
        <w:t>de</w:t>
      </w:r>
      <w:r>
        <w:rPr>
          <w:color w:val="231F20"/>
          <w:spacing w:val="-14"/>
          <w:w w:val="105"/>
        </w:rPr>
        <w:t> </w:t>
      </w:r>
      <w:r>
        <w:rPr>
          <w:color w:val="231F20"/>
          <w:w w:val="105"/>
        </w:rPr>
        <w:t>notar</w:t>
      </w:r>
      <w:r>
        <w:rPr>
          <w:color w:val="231F20"/>
          <w:spacing w:val="-14"/>
          <w:w w:val="105"/>
        </w:rPr>
        <w:t> </w:t>
      </w:r>
      <w:r>
        <w:rPr>
          <w:color w:val="231F20"/>
          <w:w w:val="105"/>
        </w:rPr>
        <w:t>que,</w:t>
      </w:r>
      <w:r>
        <w:rPr>
          <w:color w:val="231F20"/>
          <w:spacing w:val="-19"/>
          <w:w w:val="105"/>
        </w:rPr>
        <w:t> </w:t>
      </w:r>
      <w:r>
        <w:rPr>
          <w:color w:val="231F20"/>
          <w:w w:val="105"/>
        </w:rPr>
        <w:t>aún en este periodo, el ROA de las empresas que posteriormente</w:t>
      </w:r>
      <w:r>
        <w:rPr>
          <w:color w:val="231F20"/>
          <w:spacing w:val="-27"/>
          <w:w w:val="105"/>
        </w:rPr>
        <w:t> </w:t>
      </w:r>
      <w:r>
        <w:rPr>
          <w:color w:val="231F20"/>
          <w:w w:val="105"/>
        </w:rPr>
        <w:t>formaron alianzas</w:t>
      </w:r>
      <w:r>
        <w:rPr>
          <w:color w:val="231F20"/>
          <w:spacing w:val="-8"/>
          <w:w w:val="105"/>
        </w:rPr>
        <w:t> </w:t>
      </w:r>
      <w:r>
        <w:rPr>
          <w:color w:val="231F20"/>
          <w:w w:val="105"/>
        </w:rPr>
        <w:t>de</w:t>
      </w:r>
      <w:r>
        <w:rPr>
          <w:color w:val="231F20"/>
          <w:spacing w:val="-8"/>
          <w:w w:val="105"/>
        </w:rPr>
        <w:t> </w:t>
      </w:r>
      <w:r>
        <w:rPr>
          <w:color w:val="231F20"/>
          <w:w w:val="105"/>
        </w:rPr>
        <w:t>manufactura</w:t>
      </w:r>
      <w:r>
        <w:rPr>
          <w:color w:val="231F20"/>
          <w:spacing w:val="-8"/>
          <w:w w:val="105"/>
        </w:rPr>
        <w:t> </w:t>
      </w:r>
      <w:r>
        <w:rPr>
          <w:color w:val="231F20"/>
          <w:w w:val="105"/>
        </w:rPr>
        <w:t>y</w:t>
      </w:r>
      <w:r>
        <w:rPr>
          <w:color w:val="231F20"/>
          <w:spacing w:val="-8"/>
          <w:w w:val="105"/>
        </w:rPr>
        <w:t> </w:t>
      </w:r>
      <w:r>
        <w:rPr>
          <w:color w:val="231F20"/>
          <w:w w:val="105"/>
        </w:rPr>
        <w:t>mercadotecnia</w:t>
      </w:r>
      <w:r>
        <w:rPr>
          <w:color w:val="231F20"/>
          <w:spacing w:val="-8"/>
          <w:w w:val="105"/>
        </w:rPr>
        <w:t> </w:t>
      </w:r>
      <w:r>
        <w:rPr>
          <w:color w:val="231F20"/>
          <w:w w:val="105"/>
        </w:rPr>
        <w:t>ya</w:t>
      </w:r>
      <w:r>
        <w:rPr>
          <w:color w:val="231F20"/>
          <w:spacing w:val="-8"/>
          <w:w w:val="105"/>
        </w:rPr>
        <w:t> </w:t>
      </w:r>
      <w:r>
        <w:rPr>
          <w:color w:val="231F20"/>
          <w:w w:val="105"/>
        </w:rPr>
        <w:t>difería</w:t>
      </w:r>
      <w:r>
        <w:rPr>
          <w:color w:val="231F20"/>
          <w:spacing w:val="-8"/>
          <w:w w:val="105"/>
        </w:rPr>
        <w:t> </w:t>
      </w:r>
      <w:r>
        <w:rPr>
          <w:color w:val="231F20"/>
          <w:w w:val="105"/>
        </w:rPr>
        <w:t>siendo</w:t>
      </w:r>
      <w:r>
        <w:rPr>
          <w:color w:val="231F20"/>
          <w:spacing w:val="-8"/>
          <w:w w:val="105"/>
        </w:rPr>
        <w:t> </w:t>
      </w:r>
      <w:r>
        <w:rPr>
          <w:color w:val="231F20"/>
          <w:w w:val="105"/>
        </w:rPr>
        <w:t>menor</w:t>
      </w:r>
      <w:r>
        <w:rPr>
          <w:color w:val="231F20"/>
          <w:spacing w:val="-8"/>
          <w:w w:val="105"/>
        </w:rPr>
        <w:t> </w:t>
      </w:r>
      <w:r>
        <w:rPr>
          <w:color w:val="231F20"/>
          <w:w w:val="105"/>
        </w:rPr>
        <w:t>el</w:t>
      </w:r>
      <w:r>
        <w:rPr>
          <w:color w:val="231F20"/>
          <w:spacing w:val="-8"/>
          <w:w w:val="105"/>
        </w:rPr>
        <w:t> </w:t>
      </w:r>
      <w:r>
        <w:rPr>
          <w:color w:val="231F20"/>
          <w:w w:val="105"/>
        </w:rPr>
        <w:t>de las</w:t>
      </w:r>
      <w:r>
        <w:rPr>
          <w:color w:val="231F20"/>
          <w:spacing w:val="-12"/>
          <w:w w:val="105"/>
        </w:rPr>
        <w:t> </w:t>
      </w:r>
      <w:r>
        <w:rPr>
          <w:color w:val="231F20"/>
          <w:w w:val="105"/>
        </w:rPr>
        <w:t>primeras</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segundas</w:t>
      </w:r>
      <w:r>
        <w:rPr>
          <w:color w:val="231F20"/>
          <w:spacing w:val="-12"/>
          <w:w w:val="105"/>
        </w:rPr>
        <w:t> </w:t>
      </w:r>
      <w:r>
        <w:rPr>
          <w:color w:val="231F20"/>
          <w:w w:val="105"/>
        </w:rPr>
        <w:t>(2%</w:t>
      </w:r>
      <w:r>
        <w:rPr>
          <w:color w:val="231F20"/>
          <w:spacing w:val="-12"/>
          <w:w w:val="105"/>
        </w:rPr>
        <w:t> </w:t>
      </w:r>
      <w:r>
        <w:rPr>
          <w:color w:val="231F20"/>
          <w:w w:val="105"/>
        </w:rPr>
        <w:t>versus</w:t>
      </w:r>
      <w:r>
        <w:rPr>
          <w:color w:val="231F20"/>
          <w:spacing w:val="-12"/>
          <w:w w:val="105"/>
        </w:rPr>
        <w:t> </w:t>
      </w:r>
      <w:r>
        <w:rPr>
          <w:color w:val="231F20"/>
          <w:w w:val="105"/>
        </w:rPr>
        <w:t>4%</w:t>
      </w:r>
      <w:r>
        <w:rPr>
          <w:color w:val="231F20"/>
          <w:spacing w:val="-12"/>
          <w:w w:val="105"/>
        </w:rPr>
        <w:t> </w:t>
      </w:r>
      <w:r>
        <w:rPr>
          <w:color w:val="231F20"/>
          <w:w w:val="105"/>
        </w:rPr>
        <w:t>aproximadamente). Y</w:t>
      </w:r>
      <w:r>
        <w:rPr>
          <w:color w:val="231F20"/>
          <w:spacing w:val="-23"/>
          <w:w w:val="105"/>
        </w:rPr>
        <w:t> </w:t>
      </w:r>
      <w:r>
        <w:rPr>
          <w:color w:val="231F20"/>
          <w:w w:val="105"/>
        </w:rPr>
        <w:t>aunque</w:t>
      </w:r>
      <w:r>
        <w:rPr>
          <w:color w:val="231F20"/>
          <w:spacing w:val="-19"/>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caso</w:t>
      </w:r>
      <w:r>
        <w:rPr>
          <w:color w:val="231F20"/>
          <w:spacing w:val="-19"/>
          <w:w w:val="105"/>
        </w:rPr>
        <w:t> </w:t>
      </w:r>
      <w:r>
        <w:rPr>
          <w:color w:val="231F20"/>
          <w:w w:val="105"/>
        </w:rPr>
        <w:t>la</w:t>
      </w:r>
      <w:r>
        <w:rPr>
          <w:color w:val="231F20"/>
          <w:spacing w:val="-19"/>
          <w:w w:val="105"/>
        </w:rPr>
        <w:t> </w:t>
      </w:r>
      <w:r>
        <w:rPr>
          <w:color w:val="231F20"/>
          <w:w w:val="105"/>
        </w:rPr>
        <w:t>diferencia</w:t>
      </w:r>
      <w:r>
        <w:rPr>
          <w:color w:val="231F20"/>
          <w:spacing w:val="-19"/>
          <w:w w:val="105"/>
        </w:rPr>
        <w:t> </w:t>
      </w:r>
      <w:r>
        <w:rPr>
          <w:color w:val="231F20"/>
          <w:w w:val="105"/>
        </w:rPr>
        <w:t>también</w:t>
      </w:r>
      <w:r>
        <w:rPr>
          <w:color w:val="231F20"/>
          <w:spacing w:val="-19"/>
          <w:w w:val="105"/>
        </w:rPr>
        <w:t> </w:t>
      </w:r>
      <w:r>
        <w:rPr>
          <w:color w:val="231F20"/>
          <w:w w:val="105"/>
        </w:rPr>
        <w:t>es</w:t>
      </w:r>
      <w:r>
        <w:rPr>
          <w:color w:val="231F20"/>
          <w:spacing w:val="-19"/>
          <w:w w:val="105"/>
        </w:rPr>
        <w:t> </w:t>
      </w:r>
      <w:r>
        <w:rPr>
          <w:color w:val="231F20"/>
          <w:w w:val="105"/>
        </w:rPr>
        <w:t>marginalmente</w:t>
      </w:r>
      <w:r>
        <w:rPr>
          <w:color w:val="231F20"/>
          <w:spacing w:val="-19"/>
          <w:w w:val="105"/>
        </w:rPr>
        <w:t> </w:t>
      </w:r>
      <w:r>
        <w:rPr>
          <w:color w:val="231F20"/>
          <w:w w:val="105"/>
        </w:rPr>
        <w:t>significa- tiva, indica que el mismo patrón de desempeño entre las empresas se mantuvo después de la formación de las alianzas. Sin embargo, dado que</w:t>
      </w:r>
      <w:r>
        <w:rPr>
          <w:color w:val="231F20"/>
          <w:spacing w:val="-26"/>
          <w:w w:val="105"/>
        </w:rPr>
        <w:t> </w:t>
      </w:r>
      <w:r>
        <w:rPr>
          <w:color w:val="231F20"/>
          <w:w w:val="105"/>
        </w:rPr>
        <w:t>la</w:t>
      </w:r>
      <w:r>
        <w:rPr>
          <w:color w:val="231F20"/>
          <w:spacing w:val="-26"/>
          <w:w w:val="105"/>
        </w:rPr>
        <w:t> </w:t>
      </w:r>
      <w:r>
        <w:rPr>
          <w:color w:val="231F20"/>
          <w:w w:val="105"/>
        </w:rPr>
        <w:t>diferencias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ROA</w:t>
      </w:r>
      <w:r>
        <w:rPr>
          <w:color w:val="231F20"/>
          <w:spacing w:val="-28"/>
          <w:w w:val="105"/>
        </w:rPr>
        <w:t> </w:t>
      </w:r>
      <w:r>
        <w:rPr>
          <w:color w:val="231F20"/>
          <w:w w:val="105"/>
        </w:rPr>
        <w:t>entre</w:t>
      </w:r>
      <w:r>
        <w:rPr>
          <w:color w:val="231F20"/>
          <w:spacing w:val="-26"/>
          <w:w w:val="105"/>
        </w:rPr>
        <w:t> </w:t>
      </w:r>
      <w:r>
        <w:rPr>
          <w:color w:val="231F20"/>
          <w:w w:val="105"/>
        </w:rPr>
        <w:t>las</w:t>
      </w:r>
      <w:r>
        <w:rPr>
          <w:color w:val="231F20"/>
          <w:spacing w:val="-26"/>
          <w:w w:val="105"/>
        </w:rPr>
        <w:t> </w:t>
      </w:r>
      <w:r>
        <w:rPr>
          <w:color w:val="231F20"/>
          <w:w w:val="105"/>
        </w:rPr>
        <w:t>empresas</w:t>
      </w:r>
      <w:r>
        <w:rPr>
          <w:color w:val="231F20"/>
          <w:spacing w:val="-26"/>
          <w:w w:val="105"/>
        </w:rPr>
        <w:t> </w:t>
      </w:r>
      <w:r>
        <w:rPr>
          <w:color w:val="231F20"/>
          <w:w w:val="105"/>
        </w:rPr>
        <w:t>que</w:t>
      </w:r>
      <w:r>
        <w:rPr>
          <w:color w:val="231F20"/>
          <w:spacing w:val="-26"/>
          <w:w w:val="105"/>
        </w:rPr>
        <w:t> </w:t>
      </w:r>
      <w:r>
        <w:rPr>
          <w:color w:val="231F20"/>
          <w:w w:val="105"/>
        </w:rPr>
        <w:t>colaboraron</w:t>
      </w:r>
      <w:r>
        <w:rPr>
          <w:color w:val="231F20"/>
          <w:spacing w:val="-26"/>
          <w:w w:val="105"/>
        </w:rPr>
        <w:t> </w:t>
      </w:r>
      <w:r>
        <w:rPr>
          <w:color w:val="231F20"/>
          <w:w w:val="105"/>
        </w:rPr>
        <w:t>en</w:t>
      </w:r>
      <w:r>
        <w:rPr>
          <w:color w:val="231F20"/>
          <w:spacing w:val="-26"/>
          <w:w w:val="105"/>
        </w:rPr>
        <w:t> </w:t>
      </w:r>
      <w:r>
        <w:rPr>
          <w:color w:val="231F20"/>
          <w:w w:val="105"/>
        </w:rPr>
        <w:t>mer- cadotecnia y las que lo hicieron en manufactura fue mayor después de la</w:t>
      </w:r>
      <w:r>
        <w:rPr>
          <w:color w:val="231F20"/>
          <w:spacing w:val="-11"/>
          <w:w w:val="105"/>
        </w:rPr>
        <w:t> </w:t>
      </w:r>
      <w:r>
        <w:rPr>
          <w:color w:val="231F20"/>
          <w:w w:val="105"/>
        </w:rPr>
        <w:t>formación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i/>
          <w:color w:val="231F20"/>
          <w:w w:val="105"/>
        </w:rPr>
        <w:t>joint</w:t>
      </w:r>
      <w:r>
        <w:rPr>
          <w:i/>
          <w:color w:val="231F20"/>
          <w:spacing w:val="-11"/>
          <w:w w:val="105"/>
        </w:rPr>
        <w:t> </w:t>
      </w:r>
      <w:r>
        <w:rPr>
          <w:i/>
          <w:color w:val="231F20"/>
          <w:w w:val="105"/>
        </w:rPr>
        <w:t>venture</w:t>
      </w:r>
      <w:r>
        <w:rPr>
          <w:color w:val="231F20"/>
          <w:w w:val="105"/>
        </w:rPr>
        <w:t>s</w:t>
      </w:r>
      <w:r>
        <w:rPr>
          <w:color w:val="231F20"/>
          <w:spacing w:val="-11"/>
          <w:w w:val="105"/>
        </w:rPr>
        <w:t> </w:t>
      </w:r>
      <w:r>
        <w:rPr>
          <w:color w:val="231F20"/>
          <w:w w:val="105"/>
        </w:rPr>
        <w:t>(2%</w:t>
      </w:r>
      <w:r>
        <w:rPr>
          <w:color w:val="231F20"/>
          <w:spacing w:val="-11"/>
          <w:w w:val="105"/>
        </w:rPr>
        <w:t> </w:t>
      </w:r>
      <w:r>
        <w:rPr>
          <w:color w:val="231F20"/>
          <w:w w:val="105"/>
        </w:rPr>
        <w:t>versus</w:t>
      </w:r>
      <w:r>
        <w:rPr>
          <w:color w:val="231F20"/>
          <w:spacing w:val="-11"/>
          <w:w w:val="105"/>
        </w:rPr>
        <w:t> </w:t>
      </w:r>
      <w:r>
        <w:rPr>
          <w:color w:val="231F20"/>
          <w:w w:val="105"/>
        </w:rPr>
        <w:t>1%</w:t>
      </w:r>
      <w:r>
        <w:rPr>
          <w:color w:val="231F20"/>
          <w:spacing w:val="-11"/>
          <w:w w:val="105"/>
        </w:rPr>
        <w:t> </w:t>
      </w:r>
      <w:r>
        <w:rPr>
          <w:color w:val="231F20"/>
          <w:w w:val="105"/>
        </w:rPr>
        <w:t>aproximadamente),</w:t>
      </w:r>
      <w:r>
        <w:rPr>
          <w:color w:val="231F20"/>
          <w:spacing w:val="-16"/>
          <w:w w:val="105"/>
        </w:rPr>
        <w:t> </w:t>
      </w:r>
      <w:r>
        <w:rPr>
          <w:color w:val="231F20"/>
          <w:w w:val="105"/>
        </w:rPr>
        <w:t>tal parece</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tratos</w:t>
      </w:r>
      <w:r>
        <w:rPr>
          <w:color w:val="231F20"/>
          <w:spacing w:val="-13"/>
          <w:w w:val="105"/>
        </w:rPr>
        <w:t> </w:t>
      </w:r>
      <w:r>
        <w:rPr>
          <w:color w:val="231F20"/>
          <w:w w:val="105"/>
        </w:rPr>
        <w:t>de</w:t>
      </w:r>
      <w:r>
        <w:rPr>
          <w:color w:val="231F20"/>
          <w:spacing w:val="-13"/>
          <w:w w:val="105"/>
        </w:rPr>
        <w:t> </w:t>
      </w:r>
      <w:r>
        <w:rPr>
          <w:color w:val="231F20"/>
          <w:w w:val="105"/>
        </w:rPr>
        <w:t>colaboración</w:t>
      </w:r>
      <w:r>
        <w:rPr>
          <w:color w:val="231F20"/>
          <w:spacing w:val="-13"/>
          <w:w w:val="105"/>
        </w:rPr>
        <w:t> </w:t>
      </w:r>
      <w:r>
        <w:rPr>
          <w:color w:val="231F20"/>
          <w:w w:val="105"/>
        </w:rPr>
        <w:t>en</w:t>
      </w:r>
      <w:r>
        <w:rPr>
          <w:color w:val="231F20"/>
          <w:spacing w:val="-13"/>
          <w:w w:val="105"/>
        </w:rPr>
        <w:t> </w:t>
      </w:r>
      <w:r>
        <w:rPr>
          <w:color w:val="231F20"/>
          <w:w w:val="105"/>
        </w:rPr>
        <w:t>diferentes</w:t>
      </w:r>
      <w:r>
        <w:rPr>
          <w:color w:val="231F20"/>
          <w:spacing w:val="-13"/>
          <w:w w:val="105"/>
        </w:rPr>
        <w:t> </w:t>
      </w:r>
      <w:r>
        <w:rPr>
          <w:color w:val="231F20"/>
          <w:w w:val="105"/>
        </w:rPr>
        <w:t>áreas</w:t>
      </w:r>
      <w:r>
        <w:rPr>
          <w:color w:val="231F20"/>
          <w:spacing w:val="-13"/>
          <w:w w:val="105"/>
        </w:rPr>
        <w:t> </w:t>
      </w:r>
      <w:r>
        <w:rPr>
          <w:color w:val="231F20"/>
          <w:w w:val="105"/>
        </w:rPr>
        <w:t>funcionales</w:t>
      </w:r>
      <w:r>
        <w:rPr>
          <w:color w:val="231F20"/>
          <w:spacing w:val="-13"/>
          <w:w w:val="105"/>
        </w:rPr>
        <w:t> </w:t>
      </w:r>
      <w:r>
        <w:rPr>
          <w:color w:val="231F20"/>
          <w:w w:val="105"/>
        </w:rPr>
        <w:t>sí afectaron diferentemente el desempeño de las empresas que las</w:t>
      </w:r>
      <w:r>
        <w:rPr>
          <w:color w:val="231F20"/>
          <w:spacing w:val="-25"/>
          <w:w w:val="105"/>
        </w:rPr>
        <w:t> </w:t>
      </w:r>
      <w:r>
        <w:rPr>
          <w:color w:val="231F20"/>
          <w:w w:val="105"/>
        </w:rPr>
        <w:t>lleva- ron a cabo. Aunque la evidencia no es contundente, la colaboración</w:t>
      </w:r>
      <w:r>
        <w:rPr>
          <w:color w:val="231F20"/>
          <w:spacing w:val="-33"/>
          <w:w w:val="105"/>
        </w:rPr>
        <w:t> </w:t>
      </w:r>
      <w:r>
        <w:rPr>
          <w:color w:val="231F20"/>
          <w:w w:val="105"/>
        </w:rPr>
        <w:t>en diferentes áreas funcionales abrió más la brecha de desempeño entre empresas</w:t>
      </w:r>
      <w:r>
        <w:rPr>
          <w:color w:val="231F20"/>
          <w:spacing w:val="-19"/>
          <w:w w:val="105"/>
        </w:rPr>
        <w:t> </w:t>
      </w:r>
      <w:r>
        <w:rPr>
          <w:color w:val="231F20"/>
          <w:w w:val="105"/>
        </w:rPr>
        <w:t>que</w:t>
      </w:r>
      <w:r>
        <w:rPr>
          <w:color w:val="231F20"/>
          <w:spacing w:val="-19"/>
          <w:w w:val="105"/>
        </w:rPr>
        <w:t> </w:t>
      </w:r>
      <w:r>
        <w:rPr>
          <w:color w:val="231F20"/>
          <w:w w:val="105"/>
        </w:rPr>
        <w:t>ya</w:t>
      </w:r>
      <w:r>
        <w:rPr>
          <w:color w:val="231F20"/>
          <w:spacing w:val="-19"/>
          <w:w w:val="105"/>
        </w:rPr>
        <w:t> </w:t>
      </w:r>
      <w:r>
        <w:rPr>
          <w:color w:val="231F20"/>
          <w:w w:val="105"/>
        </w:rPr>
        <w:t>diferían</w:t>
      </w:r>
      <w:r>
        <w:rPr>
          <w:color w:val="231F20"/>
          <w:spacing w:val="-19"/>
          <w:w w:val="105"/>
        </w:rPr>
        <w:t> </w:t>
      </w:r>
      <w:r>
        <w:rPr>
          <w:color w:val="231F20"/>
          <w:w w:val="105"/>
        </w:rPr>
        <w:t>de</w:t>
      </w:r>
      <w:r>
        <w:rPr>
          <w:color w:val="231F20"/>
          <w:spacing w:val="-19"/>
          <w:w w:val="105"/>
        </w:rPr>
        <w:t> </w:t>
      </w:r>
      <w:r>
        <w:rPr>
          <w:color w:val="231F20"/>
          <w:w w:val="105"/>
        </w:rPr>
        <w:t>por</w:t>
      </w:r>
      <w:r>
        <w:rPr>
          <w:color w:val="231F20"/>
          <w:spacing w:val="-19"/>
          <w:w w:val="105"/>
        </w:rPr>
        <w:t> </w:t>
      </w:r>
      <w:r>
        <w:rPr>
          <w:color w:val="231F20"/>
          <w:w w:val="105"/>
        </w:rPr>
        <w:t>sí.</w:t>
      </w:r>
    </w:p>
    <w:p>
      <w:pPr>
        <w:pStyle w:val="BodyText"/>
        <w:spacing w:before="2"/>
      </w:pPr>
    </w:p>
    <w:p>
      <w:pPr>
        <w:spacing w:before="0"/>
        <w:ind w:left="669" w:right="114" w:firstLine="0"/>
        <w:jc w:val="left"/>
        <w:rPr>
          <w:i/>
          <w:sz w:val="18"/>
        </w:rPr>
      </w:pPr>
      <w:r>
        <w:rPr/>
        <w:drawing>
          <wp:anchor distT="0" distB="0" distL="0" distR="0" allowOverlap="1" layoutInCell="1" locked="0" behindDoc="0" simplePos="0" relativeHeight="5776">
            <wp:simplePos x="0" y="0"/>
            <wp:positionH relativeFrom="page">
              <wp:posOffset>900000</wp:posOffset>
            </wp:positionH>
            <wp:positionV relativeFrom="paragraph">
              <wp:posOffset>209692</wp:posOffset>
            </wp:positionV>
            <wp:extent cx="4421414" cy="969168"/>
            <wp:effectExtent l="0" t="0" r="0" b="0"/>
            <wp:wrapTopAndBottom/>
            <wp:docPr id="35" name="image62.png" descr=""/>
            <wp:cNvGraphicFramePr>
              <a:graphicFrameLocks noChangeAspect="1"/>
            </wp:cNvGraphicFramePr>
            <a:graphic>
              <a:graphicData uri="http://schemas.openxmlformats.org/drawingml/2006/picture">
                <pic:pic>
                  <pic:nvPicPr>
                    <pic:cNvPr id="36" name="image62.png"/>
                    <pic:cNvPicPr/>
                  </pic:nvPicPr>
                  <pic:blipFill>
                    <a:blip r:embed="rId84" cstate="print"/>
                    <a:stretch>
                      <a:fillRect/>
                    </a:stretch>
                  </pic:blipFill>
                  <pic:spPr>
                    <a:xfrm>
                      <a:off x="0" y="0"/>
                      <a:ext cx="4421414" cy="969168"/>
                    </a:xfrm>
                    <a:prstGeom prst="rect">
                      <a:avLst/>
                    </a:prstGeom>
                  </pic:spPr>
                </pic:pic>
              </a:graphicData>
            </a:graphic>
          </wp:anchor>
        </w:drawing>
      </w:r>
      <w:r>
        <w:rPr>
          <w:color w:val="231F20"/>
          <w:w w:val="105"/>
          <w:sz w:val="18"/>
        </w:rPr>
        <w:t>Tabla 4. Diferencias en ROA por tipo de periodo y tipo de </w:t>
      </w:r>
      <w:r>
        <w:rPr>
          <w:i/>
          <w:color w:val="231F20"/>
          <w:w w:val="105"/>
          <w:sz w:val="18"/>
        </w:rPr>
        <w:t>joint venture</w:t>
      </w:r>
    </w:p>
    <w:p>
      <w:pPr>
        <w:spacing w:before="59"/>
        <w:ind w:left="117"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17" w:right="121"/>
        <w:jc w:val="both"/>
      </w:pPr>
      <w:r>
        <w:rPr>
          <w:color w:val="231F20"/>
          <w:w w:val="105"/>
        </w:rPr>
        <w:t>La</w:t>
      </w:r>
      <w:r>
        <w:rPr>
          <w:color w:val="231F20"/>
          <w:spacing w:val="-17"/>
          <w:w w:val="105"/>
        </w:rPr>
        <w:t> </w:t>
      </w:r>
      <w:r>
        <w:rPr>
          <w:color w:val="231F20"/>
          <w:w w:val="105"/>
        </w:rPr>
        <w:t>Figura</w:t>
      </w:r>
      <w:r>
        <w:rPr>
          <w:color w:val="231F20"/>
          <w:spacing w:val="-17"/>
          <w:w w:val="105"/>
        </w:rPr>
        <w:t> </w:t>
      </w:r>
      <w:r>
        <w:rPr>
          <w:color w:val="231F20"/>
          <w:w w:val="105"/>
        </w:rPr>
        <w:t>2</w:t>
      </w:r>
      <w:r>
        <w:rPr>
          <w:color w:val="231F20"/>
          <w:spacing w:val="-17"/>
          <w:w w:val="105"/>
        </w:rPr>
        <w:t> </w:t>
      </w:r>
      <w:r>
        <w:rPr>
          <w:color w:val="231F20"/>
          <w:w w:val="105"/>
        </w:rPr>
        <w:t>ilustra</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forma</w:t>
      </w:r>
      <w:r>
        <w:rPr>
          <w:color w:val="231F20"/>
          <w:spacing w:val="-17"/>
          <w:w w:val="105"/>
        </w:rPr>
        <w:t> </w:t>
      </w:r>
      <w:r>
        <w:rPr>
          <w:color w:val="231F20"/>
          <w:w w:val="105"/>
        </w:rPr>
        <w:t>gráfica</w:t>
      </w:r>
      <w:r>
        <w:rPr>
          <w:color w:val="231F20"/>
          <w:spacing w:val="-17"/>
          <w:w w:val="105"/>
        </w:rPr>
        <w:t> </w:t>
      </w:r>
      <w:r>
        <w:rPr>
          <w:color w:val="231F20"/>
          <w:w w:val="105"/>
        </w:rPr>
        <w:t>los</w:t>
      </w:r>
      <w:r>
        <w:rPr>
          <w:color w:val="231F20"/>
          <w:spacing w:val="-17"/>
          <w:w w:val="105"/>
        </w:rPr>
        <w:t> </w:t>
      </w:r>
      <w:r>
        <w:rPr>
          <w:color w:val="231F20"/>
          <w:w w:val="105"/>
        </w:rPr>
        <w:t>resultados</w:t>
      </w:r>
      <w:r>
        <w:rPr>
          <w:color w:val="231F20"/>
          <w:spacing w:val="-17"/>
          <w:w w:val="105"/>
        </w:rPr>
        <w:t> </w:t>
      </w:r>
      <w:r>
        <w:rPr>
          <w:color w:val="231F20"/>
          <w:w w:val="105"/>
        </w:rPr>
        <w:t>descritos</w:t>
      </w:r>
      <w:r>
        <w:rPr>
          <w:color w:val="231F20"/>
          <w:spacing w:val="-17"/>
          <w:w w:val="105"/>
        </w:rPr>
        <w:t> </w:t>
      </w:r>
      <w:r>
        <w:rPr>
          <w:color w:val="231F20"/>
          <w:w w:val="105"/>
        </w:rPr>
        <w:t>anterior- mente.</w:t>
      </w:r>
      <w:r>
        <w:rPr>
          <w:color w:val="231F20"/>
          <w:spacing w:val="-38"/>
          <w:w w:val="105"/>
        </w:rPr>
        <w:t> </w:t>
      </w:r>
      <w:r>
        <w:rPr>
          <w:color w:val="231F20"/>
          <w:w w:val="105"/>
        </w:rPr>
        <w:t>Como</w:t>
      </w:r>
      <w:r>
        <w:rPr>
          <w:color w:val="231F20"/>
          <w:spacing w:val="-34"/>
          <w:w w:val="105"/>
        </w:rPr>
        <w:t> </w:t>
      </w:r>
      <w:r>
        <w:rPr>
          <w:color w:val="231F20"/>
          <w:w w:val="105"/>
        </w:rPr>
        <w:t>se</w:t>
      </w:r>
      <w:r>
        <w:rPr>
          <w:color w:val="231F20"/>
          <w:spacing w:val="-34"/>
          <w:w w:val="105"/>
        </w:rPr>
        <w:t> </w:t>
      </w:r>
      <w:r>
        <w:rPr>
          <w:color w:val="231F20"/>
          <w:w w:val="105"/>
        </w:rPr>
        <w:t>observa,</w:t>
      </w:r>
      <w:r>
        <w:rPr>
          <w:color w:val="231F20"/>
          <w:spacing w:val="-38"/>
          <w:w w:val="105"/>
        </w:rPr>
        <w:t> </w:t>
      </w:r>
      <w:r>
        <w:rPr>
          <w:color w:val="231F20"/>
          <w:w w:val="105"/>
        </w:rPr>
        <w:t>el</w:t>
      </w:r>
      <w:r>
        <w:rPr>
          <w:color w:val="231F20"/>
          <w:spacing w:val="-34"/>
          <w:w w:val="105"/>
        </w:rPr>
        <w:t> </w:t>
      </w:r>
      <w:r>
        <w:rPr>
          <w:color w:val="231F20"/>
          <w:w w:val="105"/>
        </w:rPr>
        <w:t>ROA</w:t>
      </w:r>
      <w:r>
        <w:rPr>
          <w:color w:val="231F20"/>
          <w:spacing w:val="-36"/>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empresas</w:t>
      </w:r>
      <w:r>
        <w:rPr>
          <w:color w:val="231F20"/>
          <w:spacing w:val="-34"/>
          <w:w w:val="105"/>
        </w:rPr>
        <w:t> </w:t>
      </w:r>
      <w:r>
        <w:rPr>
          <w:color w:val="231F20"/>
          <w:w w:val="105"/>
        </w:rPr>
        <w:t>en</w:t>
      </w:r>
      <w:r>
        <w:rPr>
          <w:color w:val="231F20"/>
          <w:spacing w:val="-34"/>
          <w:w w:val="105"/>
        </w:rPr>
        <w:t> </w:t>
      </w:r>
      <w:r>
        <w:rPr>
          <w:color w:val="231F20"/>
          <w:w w:val="105"/>
        </w:rPr>
        <w:t>la</w:t>
      </w:r>
      <w:r>
        <w:rPr>
          <w:color w:val="231F20"/>
          <w:spacing w:val="-34"/>
          <w:w w:val="105"/>
        </w:rPr>
        <w:t> </w:t>
      </w:r>
      <w:r>
        <w:rPr>
          <w:color w:val="231F20"/>
          <w:w w:val="105"/>
        </w:rPr>
        <w:t>muestra</w:t>
      </w:r>
      <w:r>
        <w:rPr>
          <w:color w:val="231F20"/>
          <w:spacing w:val="-34"/>
          <w:w w:val="105"/>
        </w:rPr>
        <w:t> </w:t>
      </w:r>
      <w:r>
        <w:rPr>
          <w:color w:val="231F20"/>
          <w:w w:val="105"/>
        </w:rPr>
        <w:t>sufre</w:t>
      </w:r>
      <w:r>
        <w:rPr>
          <w:color w:val="231F20"/>
          <w:spacing w:val="-34"/>
          <w:w w:val="105"/>
        </w:rPr>
        <w:t> </w:t>
      </w:r>
      <w:r>
        <w:rPr>
          <w:color w:val="231F20"/>
          <w:w w:val="105"/>
        </w:rPr>
        <w:t>una caída</w:t>
      </w:r>
      <w:r>
        <w:rPr>
          <w:color w:val="231F20"/>
          <w:spacing w:val="-18"/>
          <w:w w:val="105"/>
        </w:rPr>
        <w:t> </w:t>
      </w:r>
      <w:r>
        <w:rPr>
          <w:color w:val="231F20"/>
          <w:w w:val="105"/>
        </w:rPr>
        <w:t>después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formación</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i/>
          <w:color w:val="231F20"/>
          <w:w w:val="105"/>
        </w:rPr>
        <w:t>joint</w:t>
      </w:r>
      <w:r>
        <w:rPr>
          <w:i/>
          <w:color w:val="231F20"/>
          <w:spacing w:val="-18"/>
          <w:w w:val="105"/>
        </w:rPr>
        <w:t> </w:t>
      </w:r>
      <w:r>
        <w:rPr>
          <w:i/>
          <w:color w:val="231F20"/>
          <w:w w:val="105"/>
        </w:rPr>
        <w:t>venture</w:t>
      </w:r>
      <w:r>
        <w:rPr>
          <w:color w:val="231F20"/>
          <w:w w:val="105"/>
        </w:rPr>
        <w:t>s.</w:t>
      </w:r>
      <w:r>
        <w:rPr>
          <w:color w:val="231F20"/>
          <w:spacing w:val="-23"/>
          <w:w w:val="105"/>
        </w:rPr>
        <w:t> </w:t>
      </w:r>
      <w:r>
        <w:rPr>
          <w:color w:val="231F20"/>
          <w:w w:val="105"/>
        </w:rPr>
        <w:t>Como</w:t>
      </w:r>
      <w:r>
        <w:rPr>
          <w:color w:val="231F20"/>
          <w:spacing w:val="-18"/>
          <w:w w:val="105"/>
        </w:rPr>
        <w:t> </w:t>
      </w:r>
      <w:r>
        <w:rPr>
          <w:color w:val="231F20"/>
          <w:w w:val="105"/>
        </w:rPr>
        <w:t>ya</w:t>
      </w:r>
      <w:r>
        <w:rPr>
          <w:color w:val="231F20"/>
          <w:spacing w:val="-18"/>
          <w:w w:val="105"/>
        </w:rPr>
        <w:t> </w:t>
      </w:r>
      <w:r>
        <w:rPr>
          <w:color w:val="231F20"/>
          <w:w w:val="105"/>
        </w:rPr>
        <w:t>se</w:t>
      </w:r>
      <w:r>
        <w:rPr>
          <w:color w:val="231F20"/>
          <w:spacing w:val="-18"/>
          <w:w w:val="105"/>
        </w:rPr>
        <w:t> </w:t>
      </w:r>
      <w:r>
        <w:rPr>
          <w:color w:val="231F20"/>
          <w:w w:val="105"/>
        </w:rPr>
        <w:t>comen- tó,</w:t>
      </w:r>
      <w:r>
        <w:rPr>
          <w:color w:val="231F20"/>
          <w:spacing w:val="-13"/>
          <w:w w:val="105"/>
        </w:rPr>
        <w:t> </w:t>
      </w:r>
      <w:r>
        <w:rPr>
          <w:color w:val="231F20"/>
          <w:w w:val="105"/>
        </w:rPr>
        <w:t>el</w:t>
      </w:r>
      <w:r>
        <w:rPr>
          <w:color w:val="231F20"/>
          <w:spacing w:val="-7"/>
          <w:w w:val="105"/>
        </w:rPr>
        <w:t> </w:t>
      </w:r>
      <w:r>
        <w:rPr>
          <w:color w:val="231F20"/>
          <w:w w:val="105"/>
        </w:rPr>
        <w:t>desempeño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empresas</w:t>
      </w:r>
      <w:r>
        <w:rPr>
          <w:color w:val="231F20"/>
          <w:spacing w:val="-7"/>
          <w:w w:val="105"/>
        </w:rPr>
        <w:t> </w:t>
      </w:r>
      <w:r>
        <w:rPr>
          <w:color w:val="231F20"/>
          <w:w w:val="105"/>
        </w:rPr>
        <w:t>que</w:t>
      </w:r>
      <w:r>
        <w:rPr>
          <w:color w:val="231F20"/>
          <w:spacing w:val="-7"/>
          <w:w w:val="105"/>
        </w:rPr>
        <w:t> </w:t>
      </w:r>
      <w:r>
        <w:rPr>
          <w:color w:val="231F20"/>
          <w:w w:val="105"/>
        </w:rPr>
        <w:t>formalizaron</w:t>
      </w:r>
      <w:r>
        <w:rPr>
          <w:color w:val="231F20"/>
          <w:spacing w:val="-7"/>
          <w:w w:val="105"/>
        </w:rPr>
        <w:t> </w:t>
      </w:r>
      <w:r>
        <w:rPr>
          <w:color w:val="231F20"/>
          <w:w w:val="105"/>
        </w:rPr>
        <w:t>tratos</w:t>
      </w:r>
      <w:r>
        <w:rPr>
          <w:color w:val="231F20"/>
          <w:spacing w:val="-7"/>
          <w:w w:val="105"/>
        </w:rPr>
        <w:t> </w:t>
      </w:r>
      <w:r>
        <w:rPr>
          <w:color w:val="231F20"/>
          <w:w w:val="105"/>
        </w:rPr>
        <w:t>de</w:t>
      </w:r>
      <w:r>
        <w:rPr>
          <w:color w:val="231F20"/>
          <w:spacing w:val="-7"/>
          <w:w w:val="105"/>
        </w:rPr>
        <w:t> </w:t>
      </w:r>
      <w:r>
        <w:rPr>
          <w:color w:val="231F20"/>
          <w:w w:val="105"/>
        </w:rPr>
        <w:t>mercado- tecnia se muestra siempre superior al de aquéllas que lo hicieron para manufactura.</w:t>
      </w:r>
      <w:r>
        <w:rPr>
          <w:color w:val="231F20"/>
          <w:spacing w:val="-11"/>
          <w:w w:val="105"/>
        </w:rPr>
        <w:t> </w:t>
      </w:r>
      <w:r>
        <w:rPr>
          <w:color w:val="231F20"/>
          <w:w w:val="105"/>
        </w:rPr>
        <w:t>Sin</w:t>
      </w:r>
      <w:r>
        <w:rPr>
          <w:color w:val="231F20"/>
          <w:spacing w:val="-5"/>
          <w:w w:val="105"/>
        </w:rPr>
        <w:t> </w:t>
      </w:r>
      <w:r>
        <w:rPr>
          <w:color w:val="231F20"/>
          <w:w w:val="105"/>
        </w:rPr>
        <w:t>embargo,</w:t>
      </w:r>
      <w:r>
        <w:rPr>
          <w:color w:val="231F20"/>
          <w:spacing w:val="-11"/>
          <w:w w:val="105"/>
        </w:rPr>
        <w:t> </w:t>
      </w:r>
      <w:r>
        <w:rPr>
          <w:color w:val="231F20"/>
          <w:w w:val="105"/>
        </w:rPr>
        <w:t>el</w:t>
      </w:r>
      <w:r>
        <w:rPr>
          <w:color w:val="231F20"/>
          <w:spacing w:val="-5"/>
          <w:w w:val="105"/>
        </w:rPr>
        <w:t> </w:t>
      </w:r>
      <w:r>
        <w:rPr>
          <w:color w:val="231F20"/>
          <w:w w:val="105"/>
        </w:rPr>
        <w:t>cambio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indicador</w:t>
      </w:r>
      <w:r>
        <w:rPr>
          <w:color w:val="231F20"/>
          <w:spacing w:val="-5"/>
          <w:w w:val="105"/>
        </w:rPr>
        <w:t> </w:t>
      </w:r>
      <w:r>
        <w:rPr>
          <w:color w:val="231F20"/>
          <w:w w:val="105"/>
        </w:rPr>
        <w:t>contable</w:t>
      </w:r>
      <w:r>
        <w:rPr>
          <w:color w:val="231F20"/>
          <w:spacing w:val="-5"/>
          <w:w w:val="105"/>
        </w:rPr>
        <w:t> </w:t>
      </w:r>
      <w:r>
        <w:rPr>
          <w:color w:val="231F20"/>
          <w:w w:val="105"/>
        </w:rPr>
        <w:t>entre</w:t>
      </w:r>
      <w:r>
        <w:rPr>
          <w:color w:val="231F20"/>
          <w:spacing w:val="-5"/>
          <w:w w:val="105"/>
        </w:rPr>
        <w:t> </w:t>
      </w:r>
      <w:r>
        <w:rPr>
          <w:color w:val="231F20"/>
          <w:w w:val="105"/>
        </w:rPr>
        <w:t>los periodos</w:t>
      </w:r>
      <w:r>
        <w:rPr>
          <w:color w:val="231F20"/>
          <w:spacing w:val="-9"/>
          <w:w w:val="105"/>
        </w:rPr>
        <w:t> </w:t>
      </w:r>
      <w:r>
        <w:rPr>
          <w:color w:val="231F20"/>
          <w:w w:val="105"/>
        </w:rPr>
        <w:t>antes</w:t>
      </w:r>
      <w:r>
        <w:rPr>
          <w:color w:val="231F20"/>
          <w:spacing w:val="-9"/>
          <w:w w:val="105"/>
        </w:rPr>
        <w:t> </w:t>
      </w:r>
      <w:r>
        <w:rPr>
          <w:color w:val="231F20"/>
          <w:w w:val="105"/>
        </w:rPr>
        <w:t>y</w:t>
      </w:r>
      <w:r>
        <w:rPr>
          <w:color w:val="231F20"/>
          <w:spacing w:val="-9"/>
          <w:w w:val="105"/>
        </w:rPr>
        <w:t> </w:t>
      </w:r>
      <w:r>
        <w:rPr>
          <w:color w:val="231F20"/>
          <w:w w:val="105"/>
        </w:rPr>
        <w:t>después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formación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i/>
          <w:color w:val="231F20"/>
          <w:w w:val="105"/>
        </w:rPr>
        <w:t>joint</w:t>
      </w:r>
      <w:r>
        <w:rPr>
          <w:i/>
          <w:color w:val="231F20"/>
          <w:spacing w:val="-9"/>
          <w:w w:val="105"/>
        </w:rPr>
        <w:t> </w:t>
      </w:r>
      <w:r>
        <w:rPr>
          <w:i/>
          <w:color w:val="231F20"/>
          <w:w w:val="105"/>
        </w:rPr>
        <w:t>venture</w:t>
      </w:r>
      <w:r>
        <w:rPr>
          <w:i/>
          <w:color w:val="231F20"/>
          <w:spacing w:val="-9"/>
          <w:w w:val="105"/>
        </w:rPr>
        <w:t> </w:t>
      </w:r>
      <w:r>
        <w:rPr>
          <w:color w:val="231F20"/>
          <w:w w:val="105"/>
        </w:rPr>
        <w:t>es</w:t>
      </w:r>
      <w:r>
        <w:rPr>
          <w:color w:val="231F20"/>
          <w:spacing w:val="-9"/>
          <w:w w:val="105"/>
        </w:rPr>
        <w:t> </w:t>
      </w:r>
      <w:r>
        <w:rPr>
          <w:color w:val="231F20"/>
          <w:w w:val="105"/>
        </w:rPr>
        <w:t>un</w:t>
      </w:r>
      <w:r>
        <w:rPr>
          <w:color w:val="231F20"/>
          <w:spacing w:val="-9"/>
          <w:w w:val="105"/>
        </w:rPr>
        <w:t> </w:t>
      </w:r>
      <w:r>
        <w:rPr>
          <w:color w:val="231F20"/>
          <w:w w:val="105"/>
        </w:rPr>
        <w:t>poco más</w:t>
      </w:r>
      <w:r>
        <w:rPr>
          <w:color w:val="231F20"/>
          <w:spacing w:val="-16"/>
          <w:w w:val="105"/>
        </w:rPr>
        <w:t> </w:t>
      </w:r>
      <w:r>
        <w:rPr>
          <w:color w:val="231F20"/>
          <w:w w:val="105"/>
        </w:rPr>
        <w:t>pronunciado</w:t>
      </w:r>
      <w:r>
        <w:rPr>
          <w:color w:val="231F20"/>
          <w:spacing w:val="-16"/>
          <w:w w:val="105"/>
        </w:rPr>
        <w:t> </w:t>
      </w:r>
      <w:r>
        <w:rPr>
          <w:color w:val="231F20"/>
          <w:w w:val="105"/>
        </w:rPr>
        <w:t>para</w:t>
      </w:r>
      <w:r>
        <w:rPr>
          <w:color w:val="231F20"/>
          <w:spacing w:val="-16"/>
          <w:w w:val="105"/>
        </w:rPr>
        <w:t> </w:t>
      </w:r>
      <w:r>
        <w:rPr>
          <w:color w:val="231F20"/>
          <w:w w:val="105"/>
        </w:rPr>
        <w:t>las</w:t>
      </w:r>
      <w:r>
        <w:rPr>
          <w:color w:val="231F20"/>
          <w:spacing w:val="-16"/>
          <w:w w:val="105"/>
        </w:rPr>
        <w:t> </w:t>
      </w:r>
      <w:r>
        <w:rPr>
          <w:color w:val="231F20"/>
          <w:w w:val="105"/>
        </w:rPr>
        <w:t>empresas</w:t>
      </w:r>
      <w:r>
        <w:rPr>
          <w:color w:val="231F20"/>
          <w:spacing w:val="-16"/>
          <w:w w:val="105"/>
        </w:rPr>
        <w:t> </w:t>
      </w:r>
      <w:r>
        <w:rPr>
          <w:color w:val="231F20"/>
          <w:w w:val="105"/>
        </w:rPr>
        <w:t>que</w:t>
      </w:r>
      <w:r>
        <w:rPr>
          <w:color w:val="231F20"/>
          <w:spacing w:val="-16"/>
          <w:w w:val="105"/>
        </w:rPr>
        <w:t> </w:t>
      </w:r>
      <w:r>
        <w:rPr>
          <w:color w:val="231F20"/>
          <w:w w:val="105"/>
        </w:rPr>
        <w:t>decidieron</w:t>
      </w:r>
      <w:r>
        <w:rPr>
          <w:color w:val="231F20"/>
          <w:spacing w:val="-16"/>
          <w:w w:val="105"/>
        </w:rPr>
        <w:t> </w:t>
      </w:r>
      <w:r>
        <w:rPr>
          <w:color w:val="231F20"/>
          <w:w w:val="105"/>
        </w:rPr>
        <w:t>colaborar</w:t>
      </w:r>
      <w:r>
        <w:rPr>
          <w:color w:val="231F20"/>
          <w:spacing w:val="-16"/>
          <w:w w:val="105"/>
        </w:rPr>
        <w:t> </w:t>
      </w:r>
      <w:r>
        <w:rPr>
          <w:color w:val="231F20"/>
          <w:w w:val="105"/>
        </w:rPr>
        <w:t>en</w:t>
      </w:r>
      <w:r>
        <w:rPr>
          <w:color w:val="231F20"/>
          <w:spacing w:val="-16"/>
          <w:w w:val="105"/>
        </w:rPr>
        <w:t> </w:t>
      </w:r>
      <w:r>
        <w:rPr>
          <w:color w:val="231F20"/>
          <w:w w:val="105"/>
        </w:rPr>
        <w:t>manu- factura</w:t>
      </w:r>
      <w:r>
        <w:rPr>
          <w:color w:val="231F20"/>
          <w:spacing w:val="-16"/>
          <w:w w:val="105"/>
        </w:rPr>
        <w:t> </w:t>
      </w:r>
      <w:r>
        <w:rPr>
          <w:color w:val="231F20"/>
          <w:w w:val="105"/>
        </w:rPr>
        <w:t>que</w:t>
      </w:r>
      <w:r>
        <w:rPr>
          <w:color w:val="231F20"/>
          <w:spacing w:val="-16"/>
          <w:w w:val="105"/>
        </w:rPr>
        <w:t> </w:t>
      </w:r>
      <w:r>
        <w:rPr>
          <w:color w:val="231F20"/>
          <w:w w:val="105"/>
        </w:rPr>
        <w:t>para</w:t>
      </w:r>
      <w:r>
        <w:rPr>
          <w:color w:val="231F20"/>
          <w:spacing w:val="-16"/>
          <w:w w:val="105"/>
        </w:rPr>
        <w:t> </w:t>
      </w:r>
      <w:r>
        <w:rPr>
          <w:color w:val="231F20"/>
          <w:w w:val="105"/>
        </w:rPr>
        <w:t>aquéllas</w:t>
      </w:r>
      <w:r>
        <w:rPr>
          <w:color w:val="231F20"/>
          <w:spacing w:val="-16"/>
          <w:w w:val="105"/>
        </w:rPr>
        <w:t> </w:t>
      </w:r>
      <w:r>
        <w:rPr>
          <w:color w:val="231F20"/>
          <w:w w:val="105"/>
        </w:rPr>
        <w:t>que</w:t>
      </w:r>
      <w:r>
        <w:rPr>
          <w:color w:val="231F20"/>
          <w:spacing w:val="-16"/>
          <w:w w:val="105"/>
        </w:rPr>
        <w:t> </w:t>
      </w:r>
      <w:r>
        <w:rPr>
          <w:color w:val="231F20"/>
          <w:w w:val="105"/>
        </w:rPr>
        <w:t>lo</w:t>
      </w:r>
      <w:r>
        <w:rPr>
          <w:color w:val="231F20"/>
          <w:spacing w:val="-16"/>
          <w:w w:val="105"/>
        </w:rPr>
        <w:t> </w:t>
      </w:r>
      <w:r>
        <w:rPr>
          <w:color w:val="231F20"/>
          <w:w w:val="105"/>
        </w:rPr>
        <w:t>hicieron</w:t>
      </w:r>
      <w:r>
        <w:rPr>
          <w:color w:val="231F20"/>
          <w:spacing w:val="-16"/>
          <w:w w:val="105"/>
        </w:rPr>
        <w:t> </w:t>
      </w:r>
      <w:r>
        <w:rPr>
          <w:color w:val="231F20"/>
          <w:w w:val="105"/>
        </w:rPr>
        <w:t>en</w:t>
      </w:r>
      <w:r>
        <w:rPr>
          <w:color w:val="231F20"/>
          <w:spacing w:val="-16"/>
          <w:w w:val="105"/>
        </w:rPr>
        <w:t> </w:t>
      </w:r>
      <w:r>
        <w:rPr>
          <w:color w:val="231F20"/>
          <w:w w:val="105"/>
        </w:rPr>
        <w:t>mercadotecnia.</w:t>
      </w:r>
      <w:r>
        <w:rPr>
          <w:color w:val="231F20"/>
          <w:spacing w:val="-21"/>
          <w:w w:val="105"/>
        </w:rPr>
        <w:t> </w:t>
      </w:r>
      <w:r>
        <w:rPr>
          <w:color w:val="231F20"/>
          <w:w w:val="105"/>
        </w:rPr>
        <w:t>La</w:t>
      </w:r>
      <w:r>
        <w:rPr>
          <w:color w:val="231F20"/>
          <w:spacing w:val="-16"/>
          <w:w w:val="105"/>
        </w:rPr>
        <w:t> </w:t>
      </w:r>
      <w:r>
        <w:rPr>
          <w:color w:val="231F20"/>
          <w:w w:val="105"/>
        </w:rPr>
        <w:t>figura</w:t>
      </w:r>
      <w:r>
        <w:rPr>
          <w:color w:val="231F20"/>
          <w:spacing w:val="-16"/>
          <w:w w:val="105"/>
        </w:rPr>
        <w:t> </w:t>
      </w:r>
      <w:r>
        <w:rPr>
          <w:color w:val="231F20"/>
          <w:w w:val="105"/>
        </w:rPr>
        <w:t>en cuestión</w:t>
      </w:r>
      <w:r>
        <w:rPr>
          <w:color w:val="231F20"/>
          <w:spacing w:val="-32"/>
          <w:w w:val="105"/>
        </w:rPr>
        <w:t> </w:t>
      </w:r>
      <w:r>
        <w:rPr>
          <w:color w:val="231F20"/>
          <w:w w:val="105"/>
        </w:rPr>
        <w:t>ilustra</w:t>
      </w:r>
      <w:r>
        <w:rPr>
          <w:color w:val="231F20"/>
          <w:spacing w:val="-32"/>
          <w:w w:val="105"/>
        </w:rPr>
        <w:t> </w:t>
      </w:r>
      <w:r>
        <w:rPr>
          <w:color w:val="231F20"/>
          <w:w w:val="105"/>
        </w:rPr>
        <w:t>una</w:t>
      </w:r>
      <w:r>
        <w:rPr>
          <w:color w:val="231F20"/>
          <w:spacing w:val="-32"/>
          <w:w w:val="105"/>
        </w:rPr>
        <w:t> </w:t>
      </w:r>
      <w:r>
        <w:rPr>
          <w:color w:val="231F20"/>
          <w:w w:val="105"/>
        </w:rPr>
        <w:t>clásica</w:t>
      </w:r>
      <w:r>
        <w:rPr>
          <w:color w:val="231F20"/>
          <w:spacing w:val="-32"/>
          <w:w w:val="105"/>
        </w:rPr>
        <w:t> </w:t>
      </w:r>
      <w:r>
        <w:rPr>
          <w:color w:val="231F20"/>
          <w:w w:val="105"/>
        </w:rPr>
        <w:t>interacción</w:t>
      </w:r>
      <w:r>
        <w:rPr>
          <w:color w:val="231F20"/>
          <w:spacing w:val="-32"/>
          <w:w w:val="105"/>
        </w:rPr>
        <w:t> </w:t>
      </w:r>
      <w:r>
        <w:rPr>
          <w:color w:val="231F20"/>
          <w:w w:val="105"/>
        </w:rPr>
        <w:t>ordinal</w:t>
      </w:r>
      <w:r>
        <w:rPr>
          <w:color w:val="231F20"/>
          <w:spacing w:val="-32"/>
          <w:w w:val="105"/>
        </w:rPr>
        <w:t> </w:t>
      </w:r>
      <w:r>
        <w:rPr>
          <w:color w:val="231F20"/>
          <w:w w:val="105"/>
        </w:rPr>
        <w:t>(las</w:t>
      </w:r>
      <w:r>
        <w:rPr>
          <w:color w:val="231F20"/>
          <w:spacing w:val="-32"/>
          <w:w w:val="105"/>
        </w:rPr>
        <w:t> </w:t>
      </w:r>
      <w:r>
        <w:rPr>
          <w:color w:val="231F20"/>
          <w:w w:val="105"/>
        </w:rPr>
        <w:t>líneas</w:t>
      </w:r>
      <w:r>
        <w:rPr>
          <w:color w:val="231F20"/>
          <w:spacing w:val="-32"/>
          <w:w w:val="105"/>
        </w:rPr>
        <w:t> </w:t>
      </w:r>
      <w:r>
        <w:rPr>
          <w:color w:val="231F20"/>
          <w:w w:val="105"/>
        </w:rPr>
        <w:t>no</w:t>
      </w:r>
      <w:r>
        <w:rPr>
          <w:color w:val="231F20"/>
          <w:spacing w:val="-32"/>
          <w:w w:val="105"/>
        </w:rPr>
        <w:t> </w:t>
      </w:r>
      <w:r>
        <w:rPr>
          <w:color w:val="231F20"/>
          <w:w w:val="105"/>
        </w:rPr>
        <w:t>son</w:t>
      </w:r>
      <w:r>
        <w:rPr>
          <w:color w:val="231F20"/>
          <w:spacing w:val="-32"/>
          <w:w w:val="105"/>
        </w:rPr>
        <w:t> </w:t>
      </w:r>
      <w:r>
        <w:rPr>
          <w:color w:val="231F20"/>
          <w:w w:val="105"/>
        </w:rPr>
        <w:t>paralelas pero</w:t>
      </w:r>
      <w:r>
        <w:rPr>
          <w:color w:val="231F20"/>
          <w:spacing w:val="-12"/>
          <w:w w:val="105"/>
        </w:rPr>
        <w:t> </w:t>
      </w:r>
      <w:r>
        <w:rPr>
          <w:color w:val="231F20"/>
          <w:w w:val="105"/>
        </w:rPr>
        <w:t>tampoco</w:t>
      </w:r>
      <w:r>
        <w:rPr>
          <w:color w:val="231F20"/>
          <w:spacing w:val="-12"/>
          <w:w w:val="105"/>
        </w:rPr>
        <w:t> </w:t>
      </w:r>
      <w:r>
        <w:rPr>
          <w:color w:val="231F20"/>
          <w:w w:val="105"/>
        </w:rPr>
        <w:t>se</w:t>
      </w:r>
      <w:r>
        <w:rPr>
          <w:color w:val="231F20"/>
          <w:spacing w:val="-12"/>
          <w:w w:val="105"/>
        </w:rPr>
        <w:t> </w:t>
      </w:r>
      <w:r>
        <w:rPr>
          <w:color w:val="231F20"/>
          <w:w w:val="105"/>
        </w:rPr>
        <w:t>cruzan)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cual</w:t>
      </w:r>
      <w:r>
        <w:rPr>
          <w:color w:val="231F20"/>
          <w:spacing w:val="-12"/>
          <w:w w:val="105"/>
        </w:rPr>
        <w:t> </w:t>
      </w:r>
      <w:r>
        <w:rPr>
          <w:color w:val="231F20"/>
          <w:w w:val="105"/>
        </w:rPr>
        <w:t>es</w:t>
      </w:r>
      <w:r>
        <w:rPr>
          <w:color w:val="231F20"/>
          <w:spacing w:val="-12"/>
          <w:w w:val="105"/>
        </w:rPr>
        <w:t> </w:t>
      </w:r>
      <w:r>
        <w:rPr>
          <w:color w:val="231F20"/>
          <w:w w:val="105"/>
        </w:rPr>
        <w:t>visible</w:t>
      </w:r>
      <w:r>
        <w:rPr>
          <w:color w:val="231F20"/>
          <w:spacing w:val="-12"/>
          <w:w w:val="105"/>
        </w:rPr>
        <w:t> </w:t>
      </w:r>
      <w:r>
        <w:rPr>
          <w:color w:val="231F20"/>
          <w:w w:val="105"/>
        </w:rPr>
        <w:t>que</w:t>
      </w:r>
      <w:r>
        <w:rPr>
          <w:color w:val="231F20"/>
          <w:spacing w:val="-12"/>
          <w:w w:val="105"/>
        </w:rPr>
        <w:t> </w:t>
      </w:r>
      <w:r>
        <w:rPr>
          <w:color w:val="231F20"/>
          <w:w w:val="105"/>
        </w:rPr>
        <w:t>un</w:t>
      </w:r>
      <w:r>
        <w:rPr>
          <w:color w:val="231F20"/>
          <w:spacing w:val="-12"/>
          <w:w w:val="105"/>
        </w:rPr>
        <w:t> </w:t>
      </w:r>
      <w:r>
        <w:rPr>
          <w:color w:val="231F20"/>
          <w:w w:val="105"/>
        </w:rPr>
        <w:t>tratamiento</w:t>
      </w:r>
      <w:r>
        <w:rPr>
          <w:color w:val="231F20"/>
          <w:spacing w:val="-12"/>
          <w:w w:val="105"/>
        </w:rPr>
        <w:t> </w:t>
      </w:r>
      <w:r>
        <w:rPr>
          <w:color w:val="231F20"/>
          <w:w w:val="105"/>
        </w:rPr>
        <w:t>(la</w:t>
      </w:r>
      <w:r>
        <w:rPr>
          <w:color w:val="231F20"/>
          <w:spacing w:val="-12"/>
          <w:w w:val="105"/>
        </w:rPr>
        <w:t> </w:t>
      </w:r>
      <w:r>
        <w:rPr>
          <w:color w:val="231F20"/>
          <w:w w:val="105"/>
        </w:rPr>
        <w:t>fun- ción</w:t>
      </w:r>
      <w:r>
        <w:rPr>
          <w:color w:val="231F20"/>
          <w:spacing w:val="-11"/>
          <w:w w:val="105"/>
        </w:rPr>
        <w:t> </w:t>
      </w:r>
      <w:r>
        <w:rPr>
          <w:color w:val="231F20"/>
          <w:w w:val="105"/>
        </w:rPr>
        <w:t>de</w:t>
      </w:r>
      <w:r>
        <w:rPr>
          <w:color w:val="231F20"/>
          <w:spacing w:val="-11"/>
          <w:w w:val="105"/>
        </w:rPr>
        <w:t> </w:t>
      </w:r>
      <w:r>
        <w:rPr>
          <w:color w:val="231F20"/>
          <w:w w:val="105"/>
        </w:rPr>
        <w:t>manufactura)</w:t>
      </w:r>
      <w:r>
        <w:rPr>
          <w:color w:val="231F20"/>
          <w:spacing w:val="-11"/>
          <w:w w:val="105"/>
        </w:rPr>
        <w:t> </w:t>
      </w:r>
      <w:r>
        <w:rPr>
          <w:color w:val="231F20"/>
          <w:w w:val="105"/>
        </w:rPr>
        <w:t>tiene</w:t>
      </w:r>
      <w:r>
        <w:rPr>
          <w:color w:val="231F20"/>
          <w:spacing w:val="-11"/>
          <w:w w:val="105"/>
        </w:rPr>
        <w:t> </w:t>
      </w:r>
      <w:r>
        <w:rPr>
          <w:color w:val="231F20"/>
          <w:w w:val="105"/>
        </w:rPr>
        <w:t>un</w:t>
      </w:r>
      <w:r>
        <w:rPr>
          <w:color w:val="231F20"/>
          <w:spacing w:val="-11"/>
          <w:w w:val="105"/>
        </w:rPr>
        <w:t> </w:t>
      </w:r>
      <w:r>
        <w:rPr>
          <w:color w:val="231F20"/>
          <w:w w:val="105"/>
        </w:rPr>
        <w:t>efecto</w:t>
      </w:r>
      <w:r>
        <w:rPr>
          <w:color w:val="231F20"/>
          <w:spacing w:val="-11"/>
          <w:w w:val="105"/>
        </w:rPr>
        <w:t> </w:t>
      </w:r>
      <w:r>
        <w:rPr>
          <w:color w:val="231F20"/>
          <w:w w:val="105"/>
        </w:rPr>
        <w:t>más</w:t>
      </w:r>
      <w:r>
        <w:rPr>
          <w:color w:val="231F20"/>
          <w:spacing w:val="-11"/>
          <w:w w:val="105"/>
        </w:rPr>
        <w:t> </w:t>
      </w:r>
      <w:r>
        <w:rPr>
          <w:color w:val="231F20"/>
          <w:w w:val="105"/>
        </w:rPr>
        <w:t>intenso,</w:t>
      </w:r>
      <w:r>
        <w:rPr>
          <w:color w:val="231F20"/>
          <w:spacing w:val="-17"/>
          <w:w w:val="105"/>
        </w:rPr>
        <w:t> </w:t>
      </w:r>
      <w:r>
        <w:rPr>
          <w:color w:val="231F20"/>
          <w:w w:val="105"/>
        </w:rPr>
        <w:t>aunque</w:t>
      </w:r>
      <w:r>
        <w:rPr>
          <w:color w:val="231F20"/>
          <w:spacing w:val="-11"/>
          <w:w w:val="105"/>
        </w:rPr>
        <w:t> </w:t>
      </w:r>
      <w:r>
        <w:rPr>
          <w:color w:val="231F20"/>
          <w:w w:val="105"/>
        </w:rPr>
        <w:t>al</w:t>
      </w:r>
      <w:r>
        <w:rPr>
          <w:color w:val="231F20"/>
          <w:spacing w:val="-11"/>
          <w:w w:val="105"/>
        </w:rPr>
        <w:t> </w:t>
      </w:r>
      <w:r>
        <w:rPr>
          <w:color w:val="231F20"/>
          <w:w w:val="105"/>
        </w:rPr>
        <w:t>parecer</w:t>
      </w:r>
      <w:r>
        <w:rPr>
          <w:color w:val="231F20"/>
          <w:spacing w:val="-11"/>
          <w:w w:val="105"/>
        </w:rPr>
        <w:t> </w:t>
      </w:r>
      <w:r>
        <w:rPr>
          <w:color w:val="231F20"/>
          <w:w w:val="105"/>
        </w:rPr>
        <w:t>no positivo,</w:t>
      </w:r>
      <w:r>
        <w:rPr>
          <w:color w:val="231F20"/>
          <w:spacing w:val="-31"/>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desempeño</w:t>
      </w:r>
      <w:r>
        <w:rPr>
          <w:color w:val="231F20"/>
          <w:spacing w:val="-25"/>
          <w:w w:val="105"/>
        </w:rPr>
        <w:t> </w:t>
      </w:r>
      <w:r>
        <w:rPr>
          <w:color w:val="231F20"/>
          <w:w w:val="105"/>
        </w:rPr>
        <w:t>financiero</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empresas</w:t>
      </w:r>
      <w:r>
        <w:rPr>
          <w:color w:val="231F20"/>
          <w:spacing w:val="-25"/>
          <w:w w:val="105"/>
        </w:rPr>
        <w:t> </w:t>
      </w:r>
      <w:r>
        <w:rPr>
          <w:color w:val="231F20"/>
          <w:w w:val="105"/>
        </w:rPr>
        <w:t>después</w:t>
      </w:r>
      <w:r>
        <w:rPr>
          <w:color w:val="231F20"/>
          <w:spacing w:val="-25"/>
          <w:w w:val="105"/>
        </w:rPr>
        <w:t> </w:t>
      </w:r>
      <w:r>
        <w:rPr>
          <w:color w:val="231F20"/>
          <w:w w:val="105"/>
        </w:rPr>
        <w:t>de</w:t>
      </w:r>
      <w:r>
        <w:rPr>
          <w:color w:val="231F20"/>
          <w:spacing w:val="-25"/>
          <w:w w:val="105"/>
        </w:rPr>
        <w:t> </w:t>
      </w:r>
      <w:r>
        <w:rPr>
          <w:color w:val="231F20"/>
          <w:w w:val="105"/>
        </w:rPr>
        <w:t>aliarse con otra. Si la interacción hubiese sido disordinal, entonces significaría que</w:t>
      </w:r>
      <w:r>
        <w:rPr>
          <w:color w:val="231F20"/>
          <w:spacing w:val="-10"/>
          <w:w w:val="105"/>
        </w:rPr>
        <w:t> </w:t>
      </w:r>
      <w:r>
        <w:rPr>
          <w:color w:val="231F20"/>
          <w:w w:val="105"/>
        </w:rPr>
        <w:t>la</w:t>
      </w:r>
      <w:r>
        <w:rPr>
          <w:color w:val="231F20"/>
          <w:spacing w:val="-10"/>
          <w:w w:val="105"/>
        </w:rPr>
        <w:t> </w:t>
      </w:r>
      <w:r>
        <w:rPr>
          <w:color w:val="231F20"/>
          <w:w w:val="105"/>
        </w:rPr>
        <w:t>formación</w:t>
      </w:r>
      <w:r>
        <w:rPr>
          <w:color w:val="231F20"/>
          <w:spacing w:val="-10"/>
          <w:w w:val="105"/>
        </w:rPr>
        <w:t> </w:t>
      </w:r>
      <w:r>
        <w:rPr>
          <w:color w:val="231F20"/>
          <w:w w:val="105"/>
        </w:rPr>
        <w:t>de</w:t>
      </w:r>
      <w:r>
        <w:rPr>
          <w:color w:val="231F20"/>
          <w:spacing w:val="-10"/>
          <w:w w:val="105"/>
        </w:rPr>
        <w:t> </w:t>
      </w:r>
      <w:r>
        <w:rPr>
          <w:i/>
          <w:color w:val="231F20"/>
          <w:w w:val="105"/>
        </w:rPr>
        <w:t>joint</w:t>
      </w:r>
      <w:r>
        <w:rPr>
          <w:i/>
          <w:color w:val="231F20"/>
          <w:spacing w:val="-10"/>
          <w:w w:val="105"/>
        </w:rPr>
        <w:t> </w:t>
      </w:r>
      <w:r>
        <w:rPr>
          <w:i/>
          <w:color w:val="231F20"/>
          <w:w w:val="105"/>
        </w:rPr>
        <w:t>venture</w:t>
      </w:r>
      <w:r>
        <w:rPr>
          <w:color w:val="231F20"/>
          <w:w w:val="105"/>
        </w:rPr>
        <w:t>s</w:t>
      </w:r>
      <w:r>
        <w:rPr>
          <w:color w:val="231F20"/>
          <w:spacing w:val="-10"/>
          <w:w w:val="105"/>
        </w:rPr>
        <w:t> </w:t>
      </w:r>
      <w:r>
        <w:rPr>
          <w:color w:val="231F20"/>
          <w:w w:val="105"/>
        </w:rPr>
        <w:t>tiene</w:t>
      </w:r>
      <w:r>
        <w:rPr>
          <w:color w:val="231F20"/>
          <w:spacing w:val="-10"/>
          <w:w w:val="105"/>
        </w:rPr>
        <w:t> </w:t>
      </w:r>
      <w:r>
        <w:rPr>
          <w:color w:val="231F20"/>
          <w:w w:val="105"/>
        </w:rPr>
        <w:t>un</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efecto</w:t>
      </w:r>
      <w:r>
        <w:rPr>
          <w:color w:val="231F20"/>
          <w:spacing w:val="-10"/>
          <w:w w:val="105"/>
        </w:rPr>
        <w:t> </w:t>
      </w:r>
      <w:r>
        <w:rPr>
          <w:color w:val="231F20"/>
          <w:w w:val="105"/>
        </w:rPr>
        <w:t>(p.</w:t>
      </w:r>
      <w:r>
        <w:rPr>
          <w:color w:val="231F20"/>
          <w:spacing w:val="-16"/>
          <w:w w:val="105"/>
        </w:rPr>
        <w:t> </w:t>
      </w:r>
      <w:r>
        <w:rPr>
          <w:color w:val="231F20"/>
          <w:w w:val="105"/>
        </w:rPr>
        <w:t>ej.</w:t>
      </w:r>
      <w:r>
        <w:rPr>
          <w:color w:val="231F20"/>
          <w:spacing w:val="-16"/>
          <w:w w:val="105"/>
        </w:rPr>
        <w:t> </w:t>
      </w:r>
      <w:r>
        <w:rPr>
          <w:color w:val="231F20"/>
          <w:w w:val="105"/>
        </w:rPr>
        <w:t>positivo) en</w:t>
      </w:r>
      <w:r>
        <w:rPr>
          <w:color w:val="231F20"/>
          <w:spacing w:val="-2"/>
          <w:w w:val="105"/>
        </w:rPr>
        <w:t> </w:t>
      </w:r>
      <w:r>
        <w:rPr>
          <w:color w:val="231F20"/>
          <w:w w:val="105"/>
        </w:rPr>
        <w:t>una</w:t>
      </w:r>
      <w:r>
        <w:rPr>
          <w:color w:val="231F20"/>
          <w:spacing w:val="-2"/>
          <w:w w:val="105"/>
        </w:rPr>
        <w:t> </w:t>
      </w:r>
      <w:r>
        <w:rPr>
          <w:color w:val="231F20"/>
          <w:w w:val="105"/>
        </w:rPr>
        <w:t>condición</w:t>
      </w:r>
      <w:r>
        <w:rPr>
          <w:color w:val="231F20"/>
          <w:spacing w:val="-2"/>
          <w:w w:val="105"/>
        </w:rPr>
        <w:t> </w:t>
      </w:r>
      <w:r>
        <w:rPr>
          <w:color w:val="231F20"/>
          <w:w w:val="105"/>
        </w:rPr>
        <w:t>(p.</w:t>
      </w:r>
      <w:r>
        <w:rPr>
          <w:color w:val="231F20"/>
          <w:spacing w:val="-8"/>
          <w:w w:val="105"/>
        </w:rPr>
        <w:t> </w:t>
      </w:r>
      <w:r>
        <w:rPr>
          <w:color w:val="231F20"/>
          <w:w w:val="105"/>
        </w:rPr>
        <w:t>ej.</w:t>
      </w:r>
      <w:r>
        <w:rPr>
          <w:color w:val="231F20"/>
          <w:spacing w:val="-8"/>
          <w:w w:val="105"/>
        </w:rPr>
        <w:t> </w:t>
      </w:r>
      <w:r>
        <w:rPr>
          <w:color w:val="231F20"/>
          <w:w w:val="105"/>
        </w:rPr>
        <w:t>manufactura)</w:t>
      </w:r>
      <w:r>
        <w:rPr>
          <w:color w:val="231F20"/>
          <w:spacing w:val="-2"/>
          <w:w w:val="105"/>
        </w:rPr>
        <w:t> </w:t>
      </w:r>
      <w:r>
        <w:rPr>
          <w:color w:val="231F20"/>
          <w:w w:val="105"/>
        </w:rPr>
        <w:t>y</w:t>
      </w:r>
      <w:r>
        <w:rPr>
          <w:color w:val="231F20"/>
          <w:spacing w:val="-2"/>
          <w:w w:val="105"/>
        </w:rPr>
        <w:t> </w:t>
      </w:r>
      <w:r>
        <w:rPr>
          <w:color w:val="231F20"/>
          <w:w w:val="105"/>
        </w:rPr>
        <w:t>otro</w:t>
      </w:r>
      <w:r>
        <w:rPr>
          <w:color w:val="231F20"/>
          <w:spacing w:val="-2"/>
          <w:w w:val="105"/>
        </w:rPr>
        <w:t> </w:t>
      </w:r>
      <w:r>
        <w:rPr>
          <w:color w:val="231F20"/>
          <w:w w:val="105"/>
        </w:rPr>
        <w:t>(p.</w:t>
      </w:r>
      <w:r>
        <w:rPr>
          <w:color w:val="231F20"/>
          <w:spacing w:val="-8"/>
          <w:w w:val="105"/>
        </w:rPr>
        <w:t> </w:t>
      </w:r>
      <w:r>
        <w:rPr>
          <w:color w:val="231F20"/>
          <w:w w:val="105"/>
        </w:rPr>
        <w:t>ej.</w:t>
      </w:r>
      <w:r>
        <w:rPr>
          <w:color w:val="231F20"/>
          <w:spacing w:val="-8"/>
          <w:w w:val="105"/>
        </w:rPr>
        <w:t> </w:t>
      </w:r>
      <w:r>
        <w:rPr>
          <w:color w:val="231F20"/>
          <w:w w:val="105"/>
        </w:rPr>
        <w:t>negativo)</w:t>
      </w:r>
      <w:r>
        <w:rPr>
          <w:color w:val="231F20"/>
          <w:spacing w:val="-2"/>
          <w:w w:val="105"/>
        </w:rPr>
        <w:t> </w:t>
      </w:r>
      <w:r>
        <w:rPr>
          <w:color w:val="231F20"/>
          <w:w w:val="105"/>
        </w:rPr>
        <w:t>en</w:t>
      </w:r>
      <w:r>
        <w:rPr>
          <w:color w:val="231F20"/>
          <w:spacing w:val="-2"/>
          <w:w w:val="105"/>
        </w:rPr>
        <w:t> </w:t>
      </w:r>
      <w:r>
        <w:rPr>
          <w:color w:val="231F20"/>
          <w:w w:val="105"/>
        </w:rPr>
        <w:t>otra</w:t>
      </w:r>
      <w:r>
        <w:rPr>
          <w:color w:val="231F20"/>
          <w:spacing w:val="-2"/>
          <w:w w:val="105"/>
        </w:rPr>
        <w:t> </w:t>
      </w:r>
      <w:r>
        <w:rPr>
          <w:color w:val="231F20"/>
          <w:w w:val="105"/>
        </w:rPr>
        <w:t>cir-</w:t>
      </w:r>
    </w:p>
    <w:p>
      <w:pPr>
        <w:spacing w:after="0" w:line="259" w:lineRule="auto"/>
        <w:jc w:val="both"/>
        <w:sectPr>
          <w:type w:val="continuous"/>
          <w:pgSz w:w="9640" w:h="13890"/>
          <w:pgMar w:top="1300" w:bottom="280" w:left="1300" w:right="1180"/>
        </w:sectPr>
      </w:pPr>
    </w:p>
    <w:p>
      <w:pPr>
        <w:pStyle w:val="BodyText"/>
        <w:spacing w:line="259" w:lineRule="auto" w:before="120"/>
        <w:ind w:left="103" w:right="109"/>
        <w:jc w:val="both"/>
      </w:pPr>
      <w:r>
        <w:rPr>
          <w:color w:val="231F20"/>
          <w:w w:val="105"/>
        </w:rPr>
        <w:t>cunstancia</w:t>
      </w:r>
      <w:r>
        <w:rPr>
          <w:color w:val="231F20"/>
          <w:spacing w:val="-32"/>
          <w:w w:val="105"/>
        </w:rPr>
        <w:t> </w:t>
      </w:r>
      <w:r>
        <w:rPr>
          <w:color w:val="231F20"/>
          <w:w w:val="105"/>
        </w:rPr>
        <w:t>(p.</w:t>
      </w:r>
      <w:r>
        <w:rPr>
          <w:color w:val="231F20"/>
          <w:spacing w:val="-37"/>
          <w:w w:val="105"/>
        </w:rPr>
        <w:t> </w:t>
      </w:r>
      <w:r>
        <w:rPr>
          <w:color w:val="231F20"/>
          <w:w w:val="105"/>
        </w:rPr>
        <w:t>ej.</w:t>
      </w:r>
      <w:r>
        <w:rPr>
          <w:color w:val="231F20"/>
          <w:spacing w:val="-37"/>
          <w:w w:val="105"/>
        </w:rPr>
        <w:t> </w:t>
      </w:r>
      <w:r>
        <w:rPr>
          <w:color w:val="231F20"/>
          <w:w w:val="105"/>
        </w:rPr>
        <w:t>mercadotecnia).</w:t>
      </w:r>
      <w:r>
        <w:rPr>
          <w:color w:val="231F20"/>
          <w:spacing w:val="-37"/>
          <w:w w:val="105"/>
        </w:rPr>
        <w:t> </w:t>
      </w:r>
      <w:r>
        <w:rPr>
          <w:color w:val="231F20"/>
          <w:w w:val="105"/>
        </w:rPr>
        <w:t>Dado</w:t>
      </w:r>
      <w:r>
        <w:rPr>
          <w:color w:val="231F20"/>
          <w:spacing w:val="-32"/>
          <w:w w:val="105"/>
        </w:rPr>
        <w:t> </w:t>
      </w:r>
      <w:r>
        <w:rPr>
          <w:color w:val="231F20"/>
          <w:w w:val="105"/>
        </w:rPr>
        <w:t>que</w:t>
      </w:r>
      <w:r>
        <w:rPr>
          <w:color w:val="231F20"/>
          <w:spacing w:val="-32"/>
          <w:w w:val="105"/>
        </w:rPr>
        <w:t> </w:t>
      </w:r>
      <w:r>
        <w:rPr>
          <w:color w:val="231F20"/>
          <w:w w:val="105"/>
        </w:rPr>
        <w:t>no</w:t>
      </w:r>
      <w:r>
        <w:rPr>
          <w:color w:val="231F20"/>
          <w:spacing w:val="-32"/>
          <w:w w:val="105"/>
        </w:rPr>
        <w:t> </w:t>
      </w:r>
      <w:r>
        <w:rPr>
          <w:color w:val="231F20"/>
          <w:w w:val="105"/>
        </w:rPr>
        <w:t>es</w:t>
      </w:r>
      <w:r>
        <w:rPr>
          <w:color w:val="231F20"/>
          <w:spacing w:val="-32"/>
          <w:w w:val="105"/>
        </w:rPr>
        <w:t> </w:t>
      </w:r>
      <w:r>
        <w:rPr>
          <w:color w:val="231F20"/>
          <w:w w:val="105"/>
        </w:rPr>
        <w:t>así,</w:t>
      </w:r>
      <w:r>
        <w:rPr>
          <w:color w:val="231F20"/>
          <w:spacing w:val="-37"/>
          <w:w w:val="105"/>
        </w:rPr>
        <w:t> </w:t>
      </w:r>
      <w:r>
        <w:rPr>
          <w:color w:val="231F20"/>
          <w:w w:val="105"/>
        </w:rPr>
        <w:t>la</w:t>
      </w:r>
      <w:r>
        <w:rPr>
          <w:color w:val="231F20"/>
          <w:spacing w:val="-32"/>
          <w:w w:val="105"/>
        </w:rPr>
        <w:t> </w:t>
      </w:r>
      <w:r>
        <w:rPr>
          <w:color w:val="231F20"/>
          <w:w w:val="105"/>
        </w:rPr>
        <w:t>Figura</w:t>
      </w:r>
      <w:r>
        <w:rPr>
          <w:color w:val="231F20"/>
          <w:spacing w:val="-32"/>
          <w:w w:val="105"/>
        </w:rPr>
        <w:t> </w:t>
      </w:r>
      <w:r>
        <w:rPr>
          <w:color w:val="231F20"/>
          <w:w w:val="105"/>
        </w:rPr>
        <w:t>2</w:t>
      </w:r>
      <w:r>
        <w:rPr>
          <w:color w:val="231F20"/>
          <w:spacing w:val="-32"/>
          <w:w w:val="105"/>
        </w:rPr>
        <w:t> </w:t>
      </w:r>
      <w:r>
        <w:rPr>
          <w:color w:val="231F20"/>
          <w:w w:val="105"/>
        </w:rPr>
        <w:t>refuerza la</w:t>
      </w:r>
      <w:r>
        <w:rPr>
          <w:color w:val="231F20"/>
          <w:spacing w:val="-9"/>
          <w:w w:val="105"/>
        </w:rPr>
        <w:t> </w:t>
      </w:r>
      <w:r>
        <w:rPr>
          <w:color w:val="231F20"/>
          <w:w w:val="105"/>
        </w:rPr>
        <w:t>observación</w:t>
      </w:r>
      <w:r>
        <w:rPr>
          <w:color w:val="231F20"/>
          <w:spacing w:val="-9"/>
          <w:w w:val="105"/>
        </w:rPr>
        <w:t> </w:t>
      </w:r>
      <w:r>
        <w:rPr>
          <w:color w:val="231F20"/>
          <w:w w:val="105"/>
        </w:rPr>
        <w:t>hecha</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formación</w:t>
      </w:r>
      <w:r>
        <w:rPr>
          <w:color w:val="231F20"/>
          <w:spacing w:val="-9"/>
          <w:w w:val="105"/>
        </w:rPr>
        <w:t> </w:t>
      </w:r>
      <w:r>
        <w:rPr>
          <w:color w:val="231F20"/>
          <w:w w:val="105"/>
        </w:rPr>
        <w:t>de</w:t>
      </w:r>
      <w:r>
        <w:rPr>
          <w:color w:val="231F20"/>
          <w:spacing w:val="-9"/>
          <w:w w:val="105"/>
        </w:rPr>
        <w:t> </w:t>
      </w:r>
      <w:r>
        <w:rPr>
          <w:i/>
          <w:color w:val="231F20"/>
          <w:w w:val="105"/>
        </w:rPr>
        <w:t>joint</w:t>
      </w:r>
      <w:r>
        <w:rPr>
          <w:i/>
          <w:color w:val="231F20"/>
          <w:spacing w:val="-9"/>
          <w:w w:val="105"/>
        </w:rPr>
        <w:t> </w:t>
      </w:r>
      <w:r>
        <w:rPr>
          <w:i/>
          <w:color w:val="231F20"/>
          <w:w w:val="105"/>
        </w:rPr>
        <w:t>venture</w:t>
      </w:r>
      <w:r>
        <w:rPr>
          <w:color w:val="231F20"/>
          <w:w w:val="105"/>
        </w:rPr>
        <w:t>s</w:t>
      </w:r>
      <w:r>
        <w:rPr>
          <w:color w:val="231F20"/>
          <w:spacing w:val="-9"/>
          <w:w w:val="105"/>
        </w:rPr>
        <w:t> </w:t>
      </w:r>
      <w:r>
        <w:rPr>
          <w:color w:val="231F20"/>
          <w:w w:val="105"/>
        </w:rPr>
        <w:t>tiene</w:t>
      </w:r>
      <w:r>
        <w:rPr>
          <w:color w:val="231F20"/>
          <w:spacing w:val="-9"/>
          <w:w w:val="105"/>
        </w:rPr>
        <w:t> </w:t>
      </w:r>
      <w:r>
        <w:rPr>
          <w:color w:val="231F20"/>
          <w:w w:val="105"/>
        </w:rPr>
        <w:t>el</w:t>
      </w:r>
      <w:r>
        <w:rPr>
          <w:color w:val="231F20"/>
          <w:spacing w:val="-9"/>
          <w:w w:val="105"/>
        </w:rPr>
        <w:t> </w:t>
      </w:r>
      <w:r>
        <w:rPr>
          <w:color w:val="231F20"/>
          <w:w w:val="105"/>
        </w:rPr>
        <w:t>mis- mo</w:t>
      </w:r>
      <w:r>
        <w:rPr>
          <w:color w:val="231F20"/>
          <w:spacing w:val="-8"/>
          <w:w w:val="105"/>
        </w:rPr>
        <w:t> </w:t>
      </w:r>
      <w:r>
        <w:rPr>
          <w:color w:val="231F20"/>
          <w:w w:val="105"/>
        </w:rPr>
        <w:t>tipo</w:t>
      </w:r>
      <w:r>
        <w:rPr>
          <w:color w:val="231F20"/>
          <w:spacing w:val="-8"/>
          <w:w w:val="105"/>
        </w:rPr>
        <w:t> </w:t>
      </w:r>
      <w:r>
        <w:rPr>
          <w:color w:val="231F20"/>
          <w:w w:val="105"/>
        </w:rPr>
        <w:t>efecto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ROA</w:t>
      </w:r>
      <w:r>
        <w:rPr>
          <w:color w:val="231F20"/>
          <w:spacing w:val="-10"/>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dos</w:t>
      </w:r>
      <w:r>
        <w:rPr>
          <w:color w:val="231F20"/>
          <w:spacing w:val="-8"/>
          <w:w w:val="105"/>
        </w:rPr>
        <w:t> </w:t>
      </w:r>
      <w:r>
        <w:rPr>
          <w:color w:val="231F20"/>
          <w:w w:val="105"/>
        </w:rPr>
        <w:t>áreas</w:t>
      </w:r>
      <w:r>
        <w:rPr>
          <w:color w:val="231F20"/>
          <w:spacing w:val="-8"/>
          <w:w w:val="105"/>
        </w:rPr>
        <w:t> </w:t>
      </w:r>
      <w:r>
        <w:rPr>
          <w:color w:val="231F20"/>
          <w:w w:val="105"/>
        </w:rPr>
        <w:t>funcionales</w:t>
      </w:r>
      <w:r>
        <w:rPr>
          <w:color w:val="231F20"/>
          <w:spacing w:val="-8"/>
          <w:w w:val="105"/>
        </w:rPr>
        <w:t> </w:t>
      </w:r>
      <w:r>
        <w:rPr>
          <w:color w:val="231F20"/>
          <w:w w:val="105"/>
        </w:rPr>
        <w:t>consideradas</w:t>
      </w:r>
      <w:r>
        <w:rPr>
          <w:color w:val="231F20"/>
          <w:spacing w:val="-8"/>
          <w:w w:val="105"/>
        </w:rPr>
        <w:t> </w:t>
      </w:r>
      <w:r>
        <w:rPr>
          <w:color w:val="231F20"/>
          <w:w w:val="105"/>
        </w:rPr>
        <w:t>en este</w:t>
      </w:r>
      <w:r>
        <w:rPr>
          <w:color w:val="231F20"/>
          <w:spacing w:val="-25"/>
          <w:w w:val="105"/>
        </w:rPr>
        <w:t> </w:t>
      </w:r>
      <w:r>
        <w:rPr>
          <w:color w:val="231F20"/>
          <w:w w:val="105"/>
        </w:rPr>
        <w:t>estudio;</w:t>
      </w:r>
      <w:r>
        <w:rPr>
          <w:color w:val="231F20"/>
          <w:spacing w:val="-25"/>
          <w:w w:val="105"/>
        </w:rPr>
        <w:t> </w:t>
      </w:r>
      <w:r>
        <w:rPr>
          <w:color w:val="231F20"/>
          <w:w w:val="105"/>
        </w:rPr>
        <w:t>aunque</w:t>
      </w:r>
      <w:r>
        <w:rPr>
          <w:color w:val="231F20"/>
          <w:spacing w:val="-25"/>
          <w:w w:val="105"/>
        </w:rPr>
        <w:t> </w:t>
      </w:r>
      <w:r>
        <w:rPr>
          <w:color w:val="231F20"/>
          <w:w w:val="105"/>
        </w:rPr>
        <w:t>tal</w:t>
      </w:r>
      <w:r>
        <w:rPr>
          <w:color w:val="231F20"/>
          <w:spacing w:val="-25"/>
          <w:w w:val="105"/>
        </w:rPr>
        <w:t> </w:t>
      </w:r>
      <w:r>
        <w:rPr>
          <w:color w:val="231F20"/>
          <w:w w:val="105"/>
        </w:rPr>
        <w:t>parece</w:t>
      </w:r>
      <w:r>
        <w:rPr>
          <w:color w:val="231F20"/>
          <w:spacing w:val="-25"/>
          <w:w w:val="105"/>
        </w:rPr>
        <w:t> </w:t>
      </w:r>
      <w:r>
        <w:rPr>
          <w:color w:val="231F20"/>
          <w:w w:val="105"/>
        </w:rPr>
        <w:t>que</w:t>
      </w:r>
      <w:r>
        <w:rPr>
          <w:color w:val="231F20"/>
          <w:spacing w:val="-25"/>
          <w:w w:val="105"/>
        </w:rPr>
        <w:t> </w:t>
      </w:r>
      <w:r>
        <w:rPr>
          <w:color w:val="231F20"/>
          <w:w w:val="105"/>
        </w:rPr>
        <w:t>es</w:t>
      </w:r>
      <w:r>
        <w:rPr>
          <w:color w:val="231F20"/>
          <w:spacing w:val="-25"/>
          <w:w w:val="105"/>
        </w:rPr>
        <w:t> </w:t>
      </w:r>
      <w:r>
        <w:rPr>
          <w:color w:val="231F20"/>
          <w:w w:val="105"/>
        </w:rPr>
        <w:t>más</w:t>
      </w:r>
      <w:r>
        <w:rPr>
          <w:color w:val="231F20"/>
          <w:spacing w:val="-25"/>
          <w:w w:val="105"/>
        </w:rPr>
        <w:t> </w:t>
      </w:r>
      <w:r>
        <w:rPr>
          <w:color w:val="231F20"/>
          <w:w w:val="105"/>
        </w:rPr>
        <w:t>intenso</w:t>
      </w:r>
      <w:r>
        <w:rPr>
          <w:color w:val="231F20"/>
          <w:spacing w:val="-25"/>
          <w:w w:val="105"/>
        </w:rPr>
        <w:t> </w:t>
      </w:r>
      <w:r>
        <w:rPr>
          <w:color w:val="231F20"/>
          <w:w w:val="105"/>
        </w:rPr>
        <w:t>en</w:t>
      </w:r>
      <w:r>
        <w:rPr>
          <w:color w:val="231F20"/>
          <w:spacing w:val="-25"/>
          <w:w w:val="105"/>
        </w:rPr>
        <w:t> </w:t>
      </w:r>
      <w:r>
        <w:rPr>
          <w:color w:val="231F20"/>
          <w:w w:val="105"/>
        </w:rPr>
        <w:t>una</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otra.</w:t>
      </w:r>
    </w:p>
    <w:p>
      <w:pPr>
        <w:pStyle w:val="BodyText"/>
        <w:rPr>
          <w:sz w:val="20"/>
        </w:rPr>
      </w:pPr>
    </w:p>
    <w:p>
      <w:pPr>
        <w:pStyle w:val="BodyText"/>
      </w:pPr>
    </w:p>
    <w:p>
      <w:pPr>
        <w:spacing w:line="249" w:lineRule="auto" w:before="0"/>
        <w:ind w:left="1120" w:right="1131" w:firstLine="0"/>
        <w:jc w:val="center"/>
        <w:rPr>
          <w:i/>
          <w:sz w:val="18"/>
        </w:rPr>
      </w:pPr>
      <w:r>
        <w:rPr/>
        <w:drawing>
          <wp:anchor distT="0" distB="0" distL="0" distR="0" allowOverlap="1" layoutInCell="1" locked="0" behindDoc="0" simplePos="0" relativeHeight="5824">
            <wp:simplePos x="0" y="0"/>
            <wp:positionH relativeFrom="page">
              <wp:posOffset>1238402</wp:posOffset>
            </wp:positionH>
            <wp:positionV relativeFrom="paragraph">
              <wp:posOffset>346926</wp:posOffset>
            </wp:positionV>
            <wp:extent cx="3513065" cy="2279142"/>
            <wp:effectExtent l="0" t="0" r="0" b="0"/>
            <wp:wrapTopAndBottom/>
            <wp:docPr id="37" name="image63.png" descr=""/>
            <wp:cNvGraphicFramePr>
              <a:graphicFrameLocks noChangeAspect="1"/>
            </wp:cNvGraphicFramePr>
            <a:graphic>
              <a:graphicData uri="http://schemas.openxmlformats.org/drawingml/2006/picture">
                <pic:pic>
                  <pic:nvPicPr>
                    <pic:cNvPr id="38" name="image63.png"/>
                    <pic:cNvPicPr/>
                  </pic:nvPicPr>
                  <pic:blipFill>
                    <a:blip r:embed="rId85" cstate="print"/>
                    <a:stretch>
                      <a:fillRect/>
                    </a:stretch>
                  </pic:blipFill>
                  <pic:spPr>
                    <a:xfrm>
                      <a:off x="0" y="0"/>
                      <a:ext cx="3513065" cy="2279142"/>
                    </a:xfrm>
                    <a:prstGeom prst="rect">
                      <a:avLst/>
                    </a:prstGeom>
                  </pic:spPr>
                </pic:pic>
              </a:graphicData>
            </a:graphic>
          </wp:anchor>
        </w:drawing>
      </w:r>
      <w:r>
        <w:rPr>
          <w:color w:val="231F20"/>
          <w:w w:val="105"/>
          <w:sz w:val="18"/>
        </w:rPr>
        <w:t>Figura2.</w:t>
      </w:r>
      <w:r>
        <w:rPr>
          <w:color w:val="231F20"/>
          <w:spacing w:val="-17"/>
          <w:w w:val="105"/>
          <w:sz w:val="18"/>
        </w:rPr>
        <w:t> </w:t>
      </w:r>
      <w:r>
        <w:rPr>
          <w:color w:val="231F20"/>
          <w:w w:val="105"/>
          <w:sz w:val="18"/>
        </w:rPr>
        <w:t>Cambios</w:t>
      </w:r>
      <w:r>
        <w:rPr>
          <w:color w:val="231F20"/>
          <w:spacing w:val="-12"/>
          <w:w w:val="105"/>
          <w:sz w:val="18"/>
        </w:rPr>
        <w:t> </w:t>
      </w:r>
      <w:r>
        <w:rPr>
          <w:color w:val="231F20"/>
          <w:w w:val="105"/>
          <w:sz w:val="18"/>
        </w:rPr>
        <w:t>en</w:t>
      </w:r>
      <w:r>
        <w:rPr>
          <w:color w:val="231F20"/>
          <w:spacing w:val="-12"/>
          <w:w w:val="105"/>
          <w:sz w:val="18"/>
        </w:rPr>
        <w:t> </w:t>
      </w:r>
      <w:r>
        <w:rPr>
          <w:color w:val="231F20"/>
          <w:w w:val="105"/>
          <w:sz w:val="18"/>
        </w:rPr>
        <w:t>el</w:t>
      </w:r>
      <w:r>
        <w:rPr>
          <w:color w:val="231F20"/>
          <w:spacing w:val="-12"/>
          <w:w w:val="105"/>
          <w:sz w:val="18"/>
        </w:rPr>
        <w:t> </w:t>
      </w:r>
      <w:r>
        <w:rPr>
          <w:color w:val="231F20"/>
          <w:w w:val="105"/>
          <w:sz w:val="18"/>
        </w:rPr>
        <w:t>ROA</w:t>
      </w:r>
      <w:r>
        <w:rPr>
          <w:color w:val="231F20"/>
          <w:spacing w:val="-15"/>
          <w:w w:val="105"/>
          <w:sz w:val="18"/>
        </w:rPr>
        <w:t> </w:t>
      </w:r>
      <w:r>
        <w:rPr>
          <w:color w:val="231F20"/>
          <w:w w:val="105"/>
          <w:sz w:val="18"/>
        </w:rPr>
        <w:t>influenciados</w:t>
      </w:r>
      <w:r>
        <w:rPr>
          <w:color w:val="231F20"/>
          <w:spacing w:val="-12"/>
          <w:w w:val="105"/>
          <w:sz w:val="18"/>
        </w:rPr>
        <w:t> </w:t>
      </w:r>
      <w:r>
        <w:rPr>
          <w:color w:val="231F20"/>
          <w:w w:val="105"/>
          <w:sz w:val="18"/>
        </w:rPr>
        <w:t>por</w:t>
      </w:r>
      <w:r>
        <w:rPr>
          <w:color w:val="231F20"/>
          <w:spacing w:val="-12"/>
          <w:w w:val="105"/>
          <w:sz w:val="18"/>
        </w:rPr>
        <w:t> </w:t>
      </w:r>
      <w:r>
        <w:rPr>
          <w:color w:val="231F20"/>
          <w:w w:val="105"/>
          <w:sz w:val="18"/>
        </w:rPr>
        <w:t>la</w:t>
      </w:r>
      <w:r>
        <w:rPr>
          <w:color w:val="231F20"/>
          <w:spacing w:val="-12"/>
          <w:w w:val="105"/>
          <w:sz w:val="18"/>
        </w:rPr>
        <w:t> </w:t>
      </w:r>
      <w:r>
        <w:rPr>
          <w:color w:val="231F20"/>
          <w:w w:val="105"/>
          <w:sz w:val="18"/>
        </w:rPr>
        <w:t>formación de </w:t>
      </w:r>
      <w:r>
        <w:rPr>
          <w:i/>
          <w:color w:val="231F20"/>
          <w:w w:val="105"/>
          <w:sz w:val="18"/>
        </w:rPr>
        <w:t>joint</w:t>
      </w:r>
      <w:r>
        <w:rPr>
          <w:i/>
          <w:color w:val="231F20"/>
          <w:spacing w:val="-18"/>
          <w:w w:val="105"/>
          <w:sz w:val="18"/>
        </w:rPr>
        <w:t> </w:t>
      </w:r>
      <w:r>
        <w:rPr>
          <w:i/>
          <w:color w:val="231F20"/>
          <w:w w:val="105"/>
          <w:sz w:val="18"/>
        </w:rPr>
        <w:t>ventures</w:t>
      </w:r>
    </w:p>
    <w:p>
      <w:pPr>
        <w:spacing w:before="40"/>
        <w:ind w:left="103"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03" w:right="109"/>
        <w:jc w:val="both"/>
      </w:pPr>
      <w:r>
        <w:rPr>
          <w:color w:val="231F20"/>
          <w:w w:val="105"/>
        </w:rPr>
        <w:t>Antes de discutir los resultados anteriores vale la pena notar un</w:t>
      </w:r>
      <w:r>
        <w:rPr>
          <w:color w:val="231F20"/>
          <w:spacing w:val="-27"/>
          <w:w w:val="105"/>
        </w:rPr>
        <w:t> </w:t>
      </w:r>
      <w:r>
        <w:rPr>
          <w:color w:val="231F20"/>
          <w:w w:val="105"/>
        </w:rPr>
        <w:t>asunto más.</w:t>
      </w:r>
      <w:r>
        <w:rPr>
          <w:color w:val="231F20"/>
          <w:spacing w:val="-25"/>
          <w:w w:val="105"/>
        </w:rPr>
        <w:t> </w:t>
      </w:r>
      <w:r>
        <w:rPr>
          <w:color w:val="231F20"/>
          <w:w w:val="105"/>
        </w:rPr>
        <w:t>Del</w:t>
      </w:r>
      <w:r>
        <w:rPr>
          <w:color w:val="231F20"/>
          <w:spacing w:val="-20"/>
          <w:w w:val="105"/>
        </w:rPr>
        <w:t> </w:t>
      </w:r>
      <w:r>
        <w:rPr>
          <w:color w:val="231F20"/>
          <w:w w:val="105"/>
        </w:rPr>
        <w:t>conjunto</w:t>
      </w:r>
      <w:r>
        <w:rPr>
          <w:color w:val="231F20"/>
          <w:spacing w:val="-20"/>
          <w:w w:val="105"/>
        </w:rPr>
        <w:t> </w:t>
      </w:r>
      <w:r>
        <w:rPr>
          <w:color w:val="231F20"/>
          <w:w w:val="105"/>
        </w:rPr>
        <w:t>de</w:t>
      </w:r>
      <w:r>
        <w:rPr>
          <w:color w:val="231F20"/>
          <w:spacing w:val="-20"/>
          <w:w w:val="105"/>
        </w:rPr>
        <w:t> </w:t>
      </w:r>
      <w:r>
        <w:rPr>
          <w:color w:val="231F20"/>
          <w:w w:val="105"/>
        </w:rPr>
        <w:t>cifras</w:t>
      </w:r>
      <w:r>
        <w:rPr>
          <w:color w:val="231F20"/>
          <w:spacing w:val="-20"/>
          <w:w w:val="105"/>
        </w:rPr>
        <w:t> </w:t>
      </w:r>
      <w:r>
        <w:rPr>
          <w:color w:val="231F20"/>
          <w:w w:val="105"/>
        </w:rPr>
        <w:t>presentadas</w:t>
      </w:r>
      <w:r>
        <w:rPr>
          <w:color w:val="231F20"/>
          <w:spacing w:val="-20"/>
          <w:w w:val="105"/>
        </w:rPr>
        <w:t> </w:t>
      </w:r>
      <w:r>
        <w:rPr>
          <w:color w:val="231F20"/>
          <w:w w:val="105"/>
        </w:rPr>
        <w:t>es</w:t>
      </w:r>
      <w:r>
        <w:rPr>
          <w:color w:val="231F20"/>
          <w:spacing w:val="-20"/>
          <w:w w:val="105"/>
        </w:rPr>
        <w:t> </w:t>
      </w:r>
      <w:r>
        <w:rPr>
          <w:color w:val="231F20"/>
          <w:w w:val="105"/>
        </w:rPr>
        <w:t>posible</w:t>
      </w:r>
      <w:r>
        <w:rPr>
          <w:color w:val="231F20"/>
          <w:spacing w:val="-20"/>
          <w:w w:val="105"/>
        </w:rPr>
        <w:t> </w:t>
      </w:r>
      <w:r>
        <w:rPr>
          <w:color w:val="231F20"/>
          <w:w w:val="105"/>
        </w:rPr>
        <w:t>deducir</w:t>
      </w:r>
      <w:r>
        <w:rPr>
          <w:color w:val="231F20"/>
          <w:spacing w:val="-20"/>
          <w:w w:val="105"/>
        </w:rPr>
        <w:t> </w:t>
      </w:r>
      <w:r>
        <w:rPr>
          <w:color w:val="231F20"/>
          <w:w w:val="105"/>
        </w:rPr>
        <w:t>que</w:t>
      </w:r>
      <w:r>
        <w:rPr>
          <w:color w:val="231F20"/>
          <w:spacing w:val="-20"/>
          <w:w w:val="105"/>
        </w:rPr>
        <w:t> </w:t>
      </w:r>
      <w:r>
        <w:rPr>
          <w:color w:val="231F20"/>
          <w:w w:val="105"/>
        </w:rPr>
        <w:t>si</w:t>
      </w:r>
      <w:r>
        <w:rPr>
          <w:color w:val="231F20"/>
          <w:spacing w:val="-20"/>
          <w:w w:val="105"/>
        </w:rPr>
        <w:t> </w:t>
      </w:r>
      <w:r>
        <w:rPr>
          <w:color w:val="231F20"/>
          <w:w w:val="105"/>
        </w:rPr>
        <w:t>es</w:t>
      </w:r>
      <w:r>
        <w:rPr>
          <w:color w:val="231F20"/>
          <w:spacing w:val="-20"/>
          <w:w w:val="105"/>
        </w:rPr>
        <w:t> </w:t>
      </w:r>
      <w:r>
        <w:rPr>
          <w:color w:val="231F20"/>
          <w:w w:val="105"/>
        </w:rPr>
        <w:t>que una serie de factores macroeconómicos hubieran impactado negativa- mente el ROA, independientemente de la formación de </w:t>
      </w:r>
      <w:r>
        <w:rPr>
          <w:i/>
          <w:color w:val="231F20"/>
          <w:w w:val="105"/>
        </w:rPr>
        <w:t>joint venture</w:t>
      </w:r>
      <w:r>
        <w:rPr>
          <w:color w:val="231F20"/>
          <w:w w:val="105"/>
        </w:rPr>
        <w:t>s, las</w:t>
      </w:r>
      <w:r>
        <w:rPr>
          <w:color w:val="231F20"/>
          <w:spacing w:val="-19"/>
          <w:w w:val="105"/>
        </w:rPr>
        <w:t> </w:t>
      </w:r>
      <w:r>
        <w:rPr>
          <w:color w:val="231F20"/>
          <w:w w:val="105"/>
        </w:rPr>
        <w:t>empresas</w:t>
      </w:r>
      <w:r>
        <w:rPr>
          <w:color w:val="231F20"/>
          <w:spacing w:val="-19"/>
          <w:w w:val="105"/>
        </w:rPr>
        <w:t> </w:t>
      </w:r>
      <w:r>
        <w:rPr>
          <w:color w:val="231F20"/>
          <w:w w:val="105"/>
        </w:rPr>
        <w:t>de</w:t>
      </w:r>
      <w:r>
        <w:rPr>
          <w:color w:val="231F20"/>
          <w:spacing w:val="-19"/>
          <w:w w:val="105"/>
        </w:rPr>
        <w:t> </w:t>
      </w:r>
      <w:r>
        <w:rPr>
          <w:color w:val="231F20"/>
          <w:w w:val="105"/>
        </w:rPr>
        <w:t>hecho</w:t>
      </w:r>
      <w:r>
        <w:rPr>
          <w:color w:val="231F20"/>
          <w:spacing w:val="-19"/>
          <w:w w:val="105"/>
        </w:rPr>
        <w:t> </w:t>
      </w:r>
      <w:r>
        <w:rPr>
          <w:color w:val="231F20"/>
          <w:w w:val="105"/>
        </w:rPr>
        <w:t>pudieron</w:t>
      </w:r>
      <w:r>
        <w:rPr>
          <w:color w:val="231F20"/>
          <w:spacing w:val="-19"/>
          <w:w w:val="105"/>
        </w:rPr>
        <w:t> </w:t>
      </w:r>
      <w:r>
        <w:rPr>
          <w:color w:val="231F20"/>
          <w:w w:val="105"/>
        </w:rPr>
        <w:t>haber</w:t>
      </w:r>
      <w:r>
        <w:rPr>
          <w:color w:val="231F20"/>
          <w:spacing w:val="-19"/>
          <w:w w:val="105"/>
        </w:rPr>
        <w:t> </w:t>
      </w:r>
      <w:r>
        <w:rPr>
          <w:color w:val="231F20"/>
          <w:w w:val="105"/>
        </w:rPr>
        <w:t>reaccionado</w:t>
      </w:r>
      <w:r>
        <w:rPr>
          <w:color w:val="231F20"/>
          <w:spacing w:val="-19"/>
          <w:w w:val="105"/>
        </w:rPr>
        <w:t> </w:t>
      </w:r>
      <w:r>
        <w:rPr>
          <w:color w:val="231F20"/>
          <w:w w:val="105"/>
        </w:rPr>
        <w:t>a</w:t>
      </w:r>
      <w:r>
        <w:rPr>
          <w:color w:val="231F20"/>
          <w:spacing w:val="-19"/>
          <w:w w:val="105"/>
        </w:rPr>
        <w:t> </w:t>
      </w:r>
      <w:r>
        <w:rPr>
          <w:color w:val="231F20"/>
          <w:w w:val="105"/>
        </w:rPr>
        <w:t>este</w:t>
      </w:r>
      <w:r>
        <w:rPr>
          <w:color w:val="231F20"/>
          <w:spacing w:val="-19"/>
          <w:w w:val="105"/>
        </w:rPr>
        <w:t> </w:t>
      </w:r>
      <w:r>
        <w:rPr>
          <w:color w:val="231F20"/>
          <w:w w:val="105"/>
        </w:rPr>
        <w:t>ambiente</w:t>
      </w:r>
      <w:r>
        <w:rPr>
          <w:color w:val="231F20"/>
          <w:spacing w:val="-19"/>
          <w:w w:val="105"/>
        </w:rPr>
        <w:t> </w:t>
      </w:r>
      <w:r>
        <w:rPr>
          <w:color w:val="231F20"/>
          <w:w w:val="105"/>
        </w:rPr>
        <w:t>ad- verso</w:t>
      </w:r>
      <w:r>
        <w:rPr>
          <w:color w:val="231F20"/>
          <w:spacing w:val="-36"/>
          <w:w w:val="105"/>
        </w:rPr>
        <w:t> </w:t>
      </w:r>
      <w:r>
        <w:rPr>
          <w:color w:val="231F20"/>
          <w:w w:val="105"/>
        </w:rPr>
        <w:t>mediante</w:t>
      </w:r>
      <w:r>
        <w:rPr>
          <w:color w:val="231F20"/>
          <w:spacing w:val="-36"/>
          <w:w w:val="105"/>
        </w:rPr>
        <w:t> </w:t>
      </w:r>
      <w:r>
        <w:rPr>
          <w:color w:val="231F20"/>
          <w:w w:val="105"/>
        </w:rPr>
        <w:t>acciones</w:t>
      </w:r>
      <w:r>
        <w:rPr>
          <w:color w:val="231F20"/>
          <w:spacing w:val="-36"/>
          <w:w w:val="105"/>
        </w:rPr>
        <w:t> </w:t>
      </w:r>
      <w:r>
        <w:rPr>
          <w:color w:val="231F20"/>
          <w:w w:val="105"/>
        </w:rPr>
        <w:t>estratégicas</w:t>
      </w:r>
      <w:r>
        <w:rPr>
          <w:color w:val="231F20"/>
          <w:spacing w:val="-36"/>
          <w:w w:val="105"/>
        </w:rPr>
        <w:t> </w:t>
      </w:r>
      <w:r>
        <w:rPr>
          <w:color w:val="231F20"/>
          <w:w w:val="105"/>
        </w:rPr>
        <w:t>(p.</w:t>
      </w:r>
      <w:r>
        <w:rPr>
          <w:color w:val="231F20"/>
          <w:spacing w:val="-39"/>
          <w:w w:val="105"/>
        </w:rPr>
        <w:t> </w:t>
      </w:r>
      <w:r>
        <w:rPr>
          <w:color w:val="231F20"/>
          <w:w w:val="105"/>
        </w:rPr>
        <w:t>ej.</w:t>
      </w:r>
      <w:r>
        <w:rPr>
          <w:color w:val="231F20"/>
          <w:spacing w:val="-39"/>
          <w:w w:val="105"/>
        </w:rPr>
        <w:t> </w:t>
      </w:r>
      <w:r>
        <w:rPr>
          <w:color w:val="231F20"/>
          <w:w w:val="105"/>
        </w:rPr>
        <w:t>las</w:t>
      </w:r>
      <w:r>
        <w:rPr>
          <w:color w:val="231F20"/>
          <w:spacing w:val="-36"/>
          <w:w w:val="105"/>
        </w:rPr>
        <w:t> </w:t>
      </w:r>
      <w:r>
        <w:rPr>
          <w:color w:val="231F20"/>
          <w:w w:val="105"/>
        </w:rPr>
        <w:t>alianzas).</w:t>
      </w:r>
      <w:r>
        <w:rPr>
          <w:color w:val="231F20"/>
          <w:spacing w:val="-39"/>
          <w:w w:val="105"/>
        </w:rPr>
        <w:t> </w:t>
      </w:r>
      <w:r>
        <w:rPr>
          <w:color w:val="231F20"/>
          <w:w w:val="105"/>
        </w:rPr>
        <w:t>Estos</w:t>
      </w:r>
      <w:r>
        <w:rPr>
          <w:color w:val="231F20"/>
          <w:spacing w:val="-36"/>
          <w:w w:val="105"/>
        </w:rPr>
        <w:t> </w:t>
      </w:r>
      <w:r>
        <w:rPr>
          <w:color w:val="231F20"/>
          <w:w w:val="105"/>
        </w:rPr>
        <w:t>cursos</w:t>
      </w:r>
      <w:r>
        <w:rPr>
          <w:color w:val="231F20"/>
          <w:spacing w:val="-36"/>
          <w:w w:val="105"/>
        </w:rPr>
        <w:t> </w:t>
      </w:r>
      <w:r>
        <w:rPr>
          <w:color w:val="231F20"/>
          <w:w w:val="105"/>
        </w:rPr>
        <w:t>de acción</w:t>
      </w:r>
      <w:r>
        <w:rPr>
          <w:color w:val="231F20"/>
          <w:spacing w:val="-9"/>
          <w:w w:val="105"/>
        </w:rPr>
        <w:t> </w:t>
      </w:r>
      <w:r>
        <w:rPr>
          <w:color w:val="231F20"/>
          <w:w w:val="105"/>
        </w:rPr>
        <w:t>pudieron</w:t>
      </w:r>
      <w:r>
        <w:rPr>
          <w:color w:val="231F20"/>
          <w:spacing w:val="-9"/>
          <w:w w:val="105"/>
        </w:rPr>
        <w:t> </w:t>
      </w:r>
      <w:r>
        <w:rPr>
          <w:color w:val="231F20"/>
          <w:w w:val="105"/>
        </w:rPr>
        <w:t>ayudarles</w:t>
      </w:r>
      <w:r>
        <w:rPr>
          <w:color w:val="231F20"/>
          <w:spacing w:val="-9"/>
          <w:w w:val="105"/>
        </w:rPr>
        <w:t> </w:t>
      </w:r>
      <w:r>
        <w:rPr>
          <w:color w:val="231F20"/>
          <w:w w:val="105"/>
        </w:rPr>
        <w:t>a</w:t>
      </w:r>
      <w:r>
        <w:rPr>
          <w:color w:val="231F20"/>
          <w:spacing w:val="-9"/>
          <w:w w:val="105"/>
        </w:rPr>
        <w:t> </w:t>
      </w:r>
      <w:r>
        <w:rPr>
          <w:color w:val="231F20"/>
          <w:w w:val="105"/>
        </w:rPr>
        <w:t>remontar,</w:t>
      </w:r>
      <w:r>
        <w:rPr>
          <w:color w:val="231F20"/>
          <w:spacing w:val="-15"/>
          <w:w w:val="105"/>
        </w:rPr>
        <w:t> </w:t>
      </w:r>
      <w:r>
        <w:rPr>
          <w:color w:val="231F20"/>
          <w:w w:val="105"/>
        </w:rPr>
        <w:t>o</w:t>
      </w:r>
      <w:r>
        <w:rPr>
          <w:color w:val="231F20"/>
          <w:spacing w:val="-9"/>
          <w:w w:val="105"/>
        </w:rPr>
        <w:t> </w:t>
      </w:r>
      <w:r>
        <w:rPr>
          <w:color w:val="231F20"/>
          <w:w w:val="105"/>
        </w:rPr>
        <w:t>al</w:t>
      </w:r>
      <w:r>
        <w:rPr>
          <w:color w:val="231F20"/>
          <w:spacing w:val="-9"/>
          <w:w w:val="105"/>
        </w:rPr>
        <w:t> </w:t>
      </w:r>
      <w:r>
        <w:rPr>
          <w:color w:val="231F20"/>
          <w:w w:val="105"/>
        </w:rPr>
        <w:t>menos</w:t>
      </w:r>
      <w:r>
        <w:rPr>
          <w:color w:val="231F20"/>
          <w:spacing w:val="-9"/>
          <w:w w:val="105"/>
        </w:rPr>
        <w:t> </w:t>
      </w:r>
      <w:r>
        <w:rPr>
          <w:color w:val="231F20"/>
          <w:w w:val="105"/>
        </w:rPr>
        <w:t>a</w:t>
      </w:r>
      <w:r>
        <w:rPr>
          <w:color w:val="231F20"/>
          <w:spacing w:val="-9"/>
          <w:w w:val="105"/>
        </w:rPr>
        <w:t> </w:t>
      </w:r>
      <w:r>
        <w:rPr>
          <w:color w:val="231F20"/>
          <w:w w:val="105"/>
        </w:rPr>
        <w:t>suavizar,</w:t>
      </w:r>
      <w:r>
        <w:rPr>
          <w:color w:val="231F20"/>
          <w:spacing w:val="-15"/>
          <w:w w:val="105"/>
        </w:rPr>
        <w:t> </w:t>
      </w:r>
      <w:r>
        <w:rPr>
          <w:color w:val="231F20"/>
          <w:w w:val="105"/>
        </w:rPr>
        <w:t>el</w:t>
      </w:r>
      <w:r>
        <w:rPr>
          <w:color w:val="231F20"/>
          <w:spacing w:val="-9"/>
          <w:w w:val="105"/>
        </w:rPr>
        <w:t> </w:t>
      </w:r>
      <w:r>
        <w:rPr>
          <w:color w:val="231F20"/>
          <w:w w:val="105"/>
        </w:rPr>
        <w:t>posible impacto</w:t>
      </w:r>
      <w:r>
        <w:rPr>
          <w:color w:val="231F20"/>
          <w:spacing w:val="-11"/>
          <w:w w:val="105"/>
        </w:rPr>
        <w:t> </w:t>
      </w:r>
      <w:r>
        <w:rPr>
          <w:color w:val="231F20"/>
          <w:w w:val="105"/>
        </w:rPr>
        <w:t>negativo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macroeconomía</w:t>
      </w:r>
      <w:r>
        <w:rPr>
          <w:color w:val="231F20"/>
          <w:spacing w:val="-11"/>
          <w:w w:val="105"/>
        </w:rPr>
        <w:t> </w:t>
      </w:r>
      <w:r>
        <w:rPr>
          <w:color w:val="231F20"/>
          <w:w w:val="105"/>
        </w:rPr>
        <w:t>en</w:t>
      </w:r>
      <w:r>
        <w:rPr>
          <w:color w:val="231F20"/>
          <w:spacing w:val="-11"/>
          <w:w w:val="105"/>
        </w:rPr>
        <w:t> </w:t>
      </w:r>
      <w:r>
        <w:rPr>
          <w:color w:val="231F20"/>
          <w:w w:val="105"/>
        </w:rPr>
        <w:t>sus</w:t>
      </w:r>
      <w:r>
        <w:rPr>
          <w:color w:val="231F20"/>
          <w:spacing w:val="-11"/>
          <w:w w:val="105"/>
        </w:rPr>
        <w:t> </w:t>
      </w:r>
      <w:r>
        <w:rPr>
          <w:color w:val="231F20"/>
          <w:w w:val="105"/>
        </w:rPr>
        <w:t>finanzas.</w:t>
      </w:r>
      <w:r>
        <w:rPr>
          <w:color w:val="231F20"/>
          <w:spacing w:val="-16"/>
          <w:w w:val="105"/>
        </w:rPr>
        <w:t> </w:t>
      </w:r>
      <w:r>
        <w:rPr>
          <w:color w:val="231F20"/>
          <w:w w:val="105"/>
        </w:rPr>
        <w:t>Si</w:t>
      </w:r>
      <w:r>
        <w:rPr>
          <w:color w:val="231F20"/>
          <w:spacing w:val="-11"/>
          <w:w w:val="105"/>
        </w:rPr>
        <w:t> </w:t>
      </w:r>
      <w:r>
        <w:rPr>
          <w:color w:val="231F20"/>
          <w:w w:val="105"/>
        </w:rPr>
        <w:t>éste</w:t>
      </w:r>
      <w:r>
        <w:rPr>
          <w:color w:val="231F20"/>
          <w:spacing w:val="-11"/>
          <w:w w:val="105"/>
        </w:rPr>
        <w:t> </w:t>
      </w:r>
      <w:r>
        <w:rPr>
          <w:color w:val="231F20"/>
          <w:w w:val="105"/>
        </w:rPr>
        <w:t>fuera</w:t>
      </w:r>
      <w:r>
        <w:rPr>
          <w:color w:val="231F20"/>
          <w:spacing w:val="-11"/>
          <w:w w:val="105"/>
        </w:rPr>
        <w:t> </w:t>
      </w:r>
      <w:r>
        <w:rPr>
          <w:color w:val="231F20"/>
          <w:w w:val="105"/>
        </w:rPr>
        <w:t>el caso,</w:t>
      </w:r>
      <w:r>
        <w:rPr>
          <w:color w:val="231F20"/>
          <w:spacing w:val="-27"/>
          <w:w w:val="105"/>
        </w:rPr>
        <w:t> </w:t>
      </w:r>
      <w:r>
        <w:rPr>
          <w:color w:val="231F20"/>
          <w:w w:val="105"/>
        </w:rPr>
        <w:t>la</w:t>
      </w:r>
      <w:r>
        <w:rPr>
          <w:color w:val="231F20"/>
          <w:spacing w:val="-22"/>
          <w:w w:val="105"/>
        </w:rPr>
        <w:t> </w:t>
      </w:r>
      <w:r>
        <w:rPr>
          <w:color w:val="231F20"/>
          <w:w w:val="105"/>
        </w:rPr>
        <w:t>Figura</w:t>
      </w:r>
      <w:r>
        <w:rPr>
          <w:color w:val="231F20"/>
          <w:spacing w:val="-22"/>
          <w:w w:val="105"/>
        </w:rPr>
        <w:t> </w:t>
      </w:r>
      <w:r>
        <w:rPr>
          <w:color w:val="231F20"/>
          <w:w w:val="105"/>
        </w:rPr>
        <w:t>2</w:t>
      </w:r>
      <w:r>
        <w:rPr>
          <w:color w:val="231F20"/>
          <w:spacing w:val="-22"/>
          <w:w w:val="105"/>
        </w:rPr>
        <w:t> </w:t>
      </w:r>
      <w:r>
        <w:rPr>
          <w:color w:val="231F20"/>
          <w:w w:val="105"/>
        </w:rPr>
        <w:t>sugiere</w:t>
      </w:r>
      <w:r>
        <w:rPr>
          <w:color w:val="231F20"/>
          <w:spacing w:val="-22"/>
          <w:w w:val="105"/>
        </w:rPr>
        <w:t> </w:t>
      </w:r>
      <w:r>
        <w:rPr>
          <w:color w:val="231F20"/>
          <w:w w:val="105"/>
        </w:rPr>
        <w:t>que</w:t>
      </w:r>
      <w:r>
        <w:rPr>
          <w:color w:val="231F20"/>
          <w:spacing w:val="-22"/>
          <w:w w:val="105"/>
        </w:rPr>
        <w:t> </w:t>
      </w:r>
      <w:r>
        <w:rPr>
          <w:color w:val="231F20"/>
          <w:w w:val="105"/>
        </w:rPr>
        <w:t>tal</w:t>
      </w:r>
      <w:r>
        <w:rPr>
          <w:color w:val="231F20"/>
          <w:spacing w:val="-22"/>
          <w:w w:val="105"/>
        </w:rPr>
        <w:t> </w:t>
      </w:r>
      <w:r>
        <w:rPr>
          <w:color w:val="231F20"/>
          <w:w w:val="105"/>
        </w:rPr>
        <w:t>parece</w:t>
      </w:r>
      <w:r>
        <w:rPr>
          <w:color w:val="231F20"/>
          <w:spacing w:val="-22"/>
          <w:w w:val="105"/>
        </w:rPr>
        <w:t> </w:t>
      </w:r>
      <w:r>
        <w:rPr>
          <w:color w:val="231F20"/>
          <w:w w:val="105"/>
        </w:rPr>
        <w:t>que</w:t>
      </w:r>
      <w:r>
        <w:rPr>
          <w:color w:val="231F20"/>
          <w:spacing w:val="-22"/>
          <w:w w:val="105"/>
        </w:rPr>
        <w:t> </w:t>
      </w:r>
      <w:r>
        <w:rPr>
          <w:color w:val="231F20"/>
          <w:w w:val="105"/>
        </w:rPr>
        <w:t>formar</w:t>
      </w:r>
      <w:r>
        <w:rPr>
          <w:color w:val="231F20"/>
          <w:spacing w:val="-22"/>
          <w:w w:val="105"/>
        </w:rPr>
        <w:t> </w:t>
      </w:r>
      <w:r>
        <w:rPr>
          <w:color w:val="231F20"/>
          <w:w w:val="105"/>
        </w:rPr>
        <w:t>alianzas</w:t>
      </w:r>
      <w:r>
        <w:rPr>
          <w:color w:val="231F20"/>
          <w:spacing w:val="-22"/>
          <w:w w:val="105"/>
        </w:rPr>
        <w:t> </w:t>
      </w:r>
      <w:r>
        <w:rPr>
          <w:color w:val="231F20"/>
          <w:w w:val="105"/>
        </w:rPr>
        <w:t>de</w:t>
      </w:r>
      <w:r>
        <w:rPr>
          <w:color w:val="231F20"/>
          <w:spacing w:val="-22"/>
          <w:w w:val="105"/>
        </w:rPr>
        <w:t> </w:t>
      </w:r>
      <w:r>
        <w:rPr>
          <w:color w:val="231F20"/>
          <w:w w:val="105"/>
        </w:rPr>
        <w:t>mercado- tecnia fuese más benéfico que concertar tratos para manufacturar bie- nes.</w:t>
      </w:r>
      <w:r>
        <w:rPr>
          <w:color w:val="231F20"/>
          <w:spacing w:val="-21"/>
          <w:w w:val="105"/>
        </w:rPr>
        <w:t> </w:t>
      </w:r>
      <w:r>
        <w:rPr>
          <w:color w:val="231F20"/>
          <w:w w:val="105"/>
        </w:rPr>
        <w:t>La</w:t>
      </w:r>
      <w:r>
        <w:rPr>
          <w:color w:val="231F20"/>
          <w:spacing w:val="-16"/>
          <w:w w:val="105"/>
        </w:rPr>
        <w:t> </w:t>
      </w:r>
      <w:r>
        <w:rPr>
          <w:color w:val="231F20"/>
          <w:w w:val="105"/>
        </w:rPr>
        <w:t>teoría</w:t>
      </w:r>
      <w:r>
        <w:rPr>
          <w:color w:val="231F20"/>
          <w:spacing w:val="-16"/>
          <w:w w:val="105"/>
        </w:rPr>
        <w:t> </w:t>
      </w:r>
      <w:r>
        <w:rPr>
          <w:color w:val="231F20"/>
          <w:w w:val="105"/>
        </w:rPr>
        <w:t>de</w:t>
      </w:r>
      <w:r>
        <w:rPr>
          <w:color w:val="231F20"/>
          <w:spacing w:val="-16"/>
          <w:w w:val="105"/>
        </w:rPr>
        <w:t> </w:t>
      </w:r>
      <w:r>
        <w:rPr>
          <w:color w:val="231F20"/>
          <w:w w:val="105"/>
        </w:rPr>
        <w:t>contingencias</w:t>
      </w:r>
      <w:r>
        <w:rPr>
          <w:color w:val="231F20"/>
          <w:spacing w:val="-16"/>
          <w:w w:val="105"/>
        </w:rPr>
        <w:t> </w:t>
      </w:r>
      <w:r>
        <w:rPr>
          <w:color w:val="231F20"/>
          <w:w w:val="105"/>
        </w:rPr>
        <w:t>y</w:t>
      </w:r>
      <w:r>
        <w:rPr>
          <w:color w:val="231F20"/>
          <w:spacing w:val="-16"/>
          <w:w w:val="105"/>
        </w:rPr>
        <w:t> </w:t>
      </w:r>
      <w:r>
        <w:rPr>
          <w:color w:val="231F20"/>
          <w:w w:val="105"/>
        </w:rPr>
        <w:t>la</w:t>
      </w:r>
      <w:r>
        <w:rPr>
          <w:color w:val="231F20"/>
          <w:spacing w:val="-16"/>
          <w:w w:val="105"/>
        </w:rPr>
        <w:t> </w:t>
      </w:r>
      <w:r>
        <w:rPr>
          <w:color w:val="231F20"/>
          <w:w w:val="105"/>
        </w:rPr>
        <w:t>teoría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diversificación</w:t>
      </w:r>
      <w:r>
        <w:rPr>
          <w:color w:val="231F20"/>
          <w:spacing w:val="-16"/>
          <w:w w:val="105"/>
        </w:rPr>
        <w:t> </w:t>
      </w:r>
      <w:r>
        <w:rPr>
          <w:color w:val="231F20"/>
          <w:w w:val="105"/>
        </w:rPr>
        <w:t>defensiva soportarían</w:t>
      </w:r>
      <w:r>
        <w:rPr>
          <w:color w:val="231F20"/>
          <w:spacing w:val="-29"/>
          <w:w w:val="105"/>
        </w:rPr>
        <w:t> </w:t>
      </w:r>
      <w:r>
        <w:rPr>
          <w:color w:val="231F20"/>
          <w:w w:val="105"/>
        </w:rPr>
        <w:t>este</w:t>
      </w:r>
      <w:r>
        <w:rPr>
          <w:color w:val="231F20"/>
          <w:spacing w:val="-29"/>
          <w:w w:val="105"/>
        </w:rPr>
        <w:t> </w:t>
      </w:r>
      <w:r>
        <w:rPr>
          <w:color w:val="231F20"/>
          <w:w w:val="105"/>
        </w:rPr>
        <w:t>argumento.</w:t>
      </w:r>
    </w:p>
    <w:p>
      <w:pPr>
        <w:pStyle w:val="BodyText"/>
        <w:rPr>
          <w:sz w:val="20"/>
        </w:rPr>
      </w:pPr>
    </w:p>
    <w:p>
      <w:pPr>
        <w:pStyle w:val="BodyText"/>
        <w:spacing w:before="7"/>
        <w:rPr>
          <w:sz w:val="18"/>
        </w:rPr>
      </w:pPr>
    </w:p>
    <w:p>
      <w:pPr>
        <w:pStyle w:val="Heading2"/>
        <w:ind w:left="103"/>
      </w:pPr>
      <w:r>
        <w:rPr>
          <w:color w:val="231F20"/>
          <w:w w:val="95"/>
        </w:rPr>
        <w:t>Discusión y aportaciones</w:t>
      </w:r>
    </w:p>
    <w:p>
      <w:pPr>
        <w:pStyle w:val="BodyText"/>
        <w:rPr>
          <w:b/>
          <w:sz w:val="22"/>
        </w:rPr>
      </w:pPr>
    </w:p>
    <w:p>
      <w:pPr>
        <w:pStyle w:val="BodyText"/>
        <w:spacing w:line="259" w:lineRule="auto" w:before="160"/>
        <w:ind w:left="103" w:right="114"/>
        <w:jc w:val="both"/>
      </w:pPr>
      <w:r>
        <w:rPr>
          <w:color w:val="231F20"/>
          <w:w w:val="105"/>
        </w:rPr>
        <w:t>Las</w:t>
      </w:r>
      <w:r>
        <w:rPr>
          <w:color w:val="231F20"/>
          <w:spacing w:val="-11"/>
          <w:w w:val="105"/>
        </w:rPr>
        <w:t> </w:t>
      </w:r>
      <w:r>
        <w:rPr>
          <w:i/>
          <w:color w:val="231F20"/>
          <w:w w:val="105"/>
        </w:rPr>
        <w:t>joint</w:t>
      </w:r>
      <w:r>
        <w:rPr>
          <w:i/>
          <w:color w:val="231F20"/>
          <w:spacing w:val="-11"/>
          <w:w w:val="105"/>
        </w:rPr>
        <w:t> </w:t>
      </w:r>
      <w:r>
        <w:rPr>
          <w:i/>
          <w:color w:val="231F20"/>
          <w:w w:val="105"/>
        </w:rPr>
        <w:t>venture</w:t>
      </w:r>
      <w:r>
        <w:rPr>
          <w:color w:val="231F20"/>
          <w:w w:val="105"/>
        </w:rPr>
        <w:t>s</w:t>
      </w:r>
      <w:r>
        <w:rPr>
          <w:color w:val="231F20"/>
          <w:spacing w:val="-11"/>
          <w:w w:val="105"/>
        </w:rPr>
        <w:t> </w:t>
      </w:r>
      <w:r>
        <w:rPr>
          <w:color w:val="231F20"/>
          <w:w w:val="105"/>
        </w:rPr>
        <w:t>son</w:t>
      </w:r>
      <w:r>
        <w:rPr>
          <w:color w:val="231F20"/>
          <w:spacing w:val="-11"/>
          <w:w w:val="105"/>
        </w:rPr>
        <w:t> </w:t>
      </w:r>
      <w:r>
        <w:rPr>
          <w:color w:val="231F20"/>
          <w:w w:val="105"/>
        </w:rPr>
        <w:t>herramientas</w:t>
      </w:r>
      <w:r>
        <w:rPr>
          <w:color w:val="231F20"/>
          <w:spacing w:val="-11"/>
          <w:w w:val="105"/>
        </w:rPr>
        <w:t> </w:t>
      </w:r>
      <w:r>
        <w:rPr>
          <w:color w:val="231F20"/>
          <w:w w:val="105"/>
        </w:rPr>
        <w:t>importantes</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w w:val="105"/>
        </w:rPr>
        <w:t>empresas</w:t>
      </w:r>
      <w:r>
        <w:rPr>
          <w:color w:val="231F20"/>
          <w:spacing w:val="-11"/>
          <w:w w:val="105"/>
        </w:rPr>
        <w:t> </w:t>
      </w:r>
      <w:r>
        <w:rPr>
          <w:color w:val="231F20"/>
          <w:w w:val="105"/>
        </w:rPr>
        <w:t>pue- den utilizar para mejorar o nivelar su desempeño. Esta modalidad  </w:t>
      </w:r>
      <w:r>
        <w:rPr>
          <w:color w:val="231F20"/>
          <w:spacing w:val="60"/>
          <w:w w:val="105"/>
        </w:rPr>
        <w:t> </w:t>
      </w:r>
      <w:r>
        <w:rPr>
          <w:color w:val="231F20"/>
          <w:w w:val="105"/>
        </w:rPr>
        <w:t>de</w:t>
      </w:r>
    </w:p>
    <w:p>
      <w:pPr>
        <w:pStyle w:val="BodyText"/>
        <w:rPr>
          <w:sz w:val="20"/>
        </w:rPr>
      </w:pPr>
    </w:p>
    <w:p>
      <w:pPr>
        <w:pStyle w:val="BodyText"/>
        <w:rPr>
          <w:sz w:val="20"/>
        </w:rPr>
      </w:pPr>
    </w:p>
    <w:p>
      <w:pPr>
        <w:pStyle w:val="BodyText"/>
        <w:spacing w:before="3"/>
        <w:rPr>
          <w:sz w:val="23"/>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208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150</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872"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151</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3"/>
        <w:rPr>
          <w:sz w:val="16"/>
        </w:rPr>
      </w:pPr>
    </w:p>
    <w:p>
      <w:pPr>
        <w:pStyle w:val="BodyText"/>
        <w:spacing w:line="259" w:lineRule="auto" w:before="57"/>
        <w:ind w:left="117" w:right="121"/>
        <w:jc w:val="both"/>
      </w:pPr>
      <w:r>
        <w:rPr>
          <w:color w:val="231F20"/>
          <w:w w:val="105"/>
        </w:rPr>
        <w:t>alianzas</w:t>
      </w:r>
      <w:r>
        <w:rPr>
          <w:color w:val="231F20"/>
          <w:spacing w:val="-22"/>
          <w:w w:val="105"/>
        </w:rPr>
        <w:t> </w:t>
      </w:r>
      <w:r>
        <w:rPr>
          <w:color w:val="231F20"/>
          <w:w w:val="105"/>
        </w:rPr>
        <w:t>estratégicas</w:t>
      </w:r>
      <w:r>
        <w:rPr>
          <w:color w:val="231F20"/>
          <w:spacing w:val="-22"/>
          <w:w w:val="105"/>
        </w:rPr>
        <w:t> </w:t>
      </w:r>
      <w:r>
        <w:rPr>
          <w:color w:val="231F20"/>
          <w:w w:val="105"/>
        </w:rPr>
        <w:t>permite</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entidades</w:t>
      </w:r>
      <w:r>
        <w:rPr>
          <w:color w:val="231F20"/>
          <w:spacing w:val="-22"/>
          <w:w w:val="105"/>
        </w:rPr>
        <w:t> </w:t>
      </w:r>
      <w:r>
        <w:rPr>
          <w:color w:val="231F20"/>
          <w:w w:val="105"/>
        </w:rPr>
        <w:t>participantes</w:t>
      </w:r>
      <w:r>
        <w:rPr>
          <w:color w:val="231F20"/>
          <w:spacing w:val="-22"/>
          <w:w w:val="105"/>
        </w:rPr>
        <w:t> </w:t>
      </w:r>
      <w:r>
        <w:rPr>
          <w:color w:val="231F20"/>
          <w:w w:val="105"/>
        </w:rPr>
        <w:t>combinar</w:t>
      </w:r>
      <w:r>
        <w:rPr>
          <w:color w:val="231F20"/>
          <w:spacing w:val="-22"/>
          <w:w w:val="105"/>
        </w:rPr>
        <w:t> </w:t>
      </w:r>
      <w:r>
        <w:rPr>
          <w:color w:val="231F20"/>
          <w:w w:val="105"/>
        </w:rPr>
        <w:t>sus recursos</w:t>
      </w:r>
      <w:r>
        <w:rPr>
          <w:color w:val="231F20"/>
          <w:spacing w:val="-6"/>
          <w:w w:val="105"/>
        </w:rPr>
        <w:t> </w:t>
      </w:r>
      <w:r>
        <w:rPr>
          <w:color w:val="231F20"/>
          <w:w w:val="105"/>
        </w:rPr>
        <w:t>en</w:t>
      </w:r>
      <w:r>
        <w:rPr>
          <w:color w:val="231F20"/>
          <w:spacing w:val="-6"/>
          <w:w w:val="105"/>
        </w:rPr>
        <w:t> </w:t>
      </w:r>
      <w:r>
        <w:rPr>
          <w:color w:val="231F20"/>
          <w:w w:val="105"/>
        </w:rPr>
        <w:t>múltiples</w:t>
      </w:r>
      <w:r>
        <w:rPr>
          <w:color w:val="231F20"/>
          <w:spacing w:val="-6"/>
          <w:w w:val="105"/>
        </w:rPr>
        <w:t> </w:t>
      </w:r>
      <w:r>
        <w:rPr>
          <w:color w:val="231F20"/>
          <w:w w:val="105"/>
        </w:rPr>
        <w:t>formas</w:t>
      </w:r>
      <w:r>
        <w:rPr>
          <w:color w:val="231F20"/>
          <w:spacing w:val="-6"/>
          <w:w w:val="105"/>
        </w:rPr>
        <w:t> </w:t>
      </w:r>
      <w:r>
        <w:rPr>
          <w:color w:val="231F20"/>
          <w:w w:val="105"/>
        </w:rPr>
        <w:t>y</w:t>
      </w:r>
      <w:r>
        <w:rPr>
          <w:color w:val="231F20"/>
          <w:spacing w:val="-6"/>
          <w:w w:val="105"/>
        </w:rPr>
        <w:t> </w:t>
      </w:r>
      <w:r>
        <w:rPr>
          <w:color w:val="231F20"/>
          <w:w w:val="105"/>
        </w:rPr>
        <w:t>rentabilizar</w:t>
      </w:r>
      <w:r>
        <w:rPr>
          <w:color w:val="231F20"/>
          <w:spacing w:val="-6"/>
          <w:w w:val="105"/>
        </w:rPr>
        <w:t> </w:t>
      </w:r>
      <w:r>
        <w:rPr>
          <w:color w:val="231F20"/>
          <w:w w:val="105"/>
        </w:rPr>
        <w:t>de</w:t>
      </w:r>
      <w:r>
        <w:rPr>
          <w:color w:val="231F20"/>
          <w:spacing w:val="-6"/>
          <w:w w:val="105"/>
        </w:rPr>
        <w:t> </w:t>
      </w:r>
      <w:r>
        <w:rPr>
          <w:color w:val="231F20"/>
          <w:w w:val="105"/>
        </w:rPr>
        <w:t>ellas.</w:t>
      </w:r>
      <w:r>
        <w:rPr>
          <w:color w:val="231F20"/>
          <w:spacing w:val="-11"/>
          <w:w w:val="105"/>
        </w:rPr>
        <w:t> </w:t>
      </w:r>
      <w:r>
        <w:rPr>
          <w:color w:val="231F20"/>
          <w:w w:val="105"/>
        </w:rPr>
        <w:t>Sin</w:t>
      </w:r>
      <w:r>
        <w:rPr>
          <w:color w:val="231F20"/>
          <w:spacing w:val="-6"/>
          <w:w w:val="105"/>
        </w:rPr>
        <w:t> </w:t>
      </w:r>
      <w:r>
        <w:rPr>
          <w:color w:val="231F20"/>
          <w:w w:val="105"/>
        </w:rPr>
        <w:t>embargo,</w:t>
      </w:r>
      <w:r>
        <w:rPr>
          <w:color w:val="231F20"/>
          <w:spacing w:val="-11"/>
          <w:w w:val="105"/>
        </w:rPr>
        <w:t> </w:t>
      </w:r>
      <w:r>
        <w:rPr>
          <w:color w:val="231F20"/>
          <w:w w:val="105"/>
        </w:rPr>
        <w:t>se</w:t>
      </w:r>
      <w:r>
        <w:rPr>
          <w:color w:val="231F20"/>
          <w:spacing w:val="-6"/>
          <w:w w:val="105"/>
        </w:rPr>
        <w:t> </w:t>
      </w:r>
      <w:r>
        <w:rPr>
          <w:color w:val="231F20"/>
          <w:w w:val="105"/>
        </w:rPr>
        <w:t>ha documentado que los beneficios de costo o de ingreso que se pueden cosechar</w:t>
      </w:r>
      <w:r>
        <w:rPr>
          <w:color w:val="231F20"/>
          <w:spacing w:val="-19"/>
          <w:w w:val="105"/>
        </w:rPr>
        <w:t> </w:t>
      </w:r>
      <w:r>
        <w:rPr>
          <w:color w:val="231F20"/>
          <w:w w:val="105"/>
        </w:rPr>
        <w:t>varían</w:t>
      </w:r>
      <w:r>
        <w:rPr>
          <w:color w:val="231F20"/>
          <w:spacing w:val="-19"/>
          <w:w w:val="105"/>
        </w:rPr>
        <w:t> </w:t>
      </w:r>
      <w:r>
        <w:rPr>
          <w:color w:val="231F20"/>
          <w:w w:val="105"/>
        </w:rPr>
        <w:t>de</w:t>
      </w:r>
      <w:r>
        <w:rPr>
          <w:color w:val="231F20"/>
          <w:spacing w:val="-19"/>
          <w:w w:val="105"/>
        </w:rPr>
        <w:t> </w:t>
      </w:r>
      <w:r>
        <w:rPr>
          <w:color w:val="231F20"/>
          <w:w w:val="105"/>
        </w:rPr>
        <w:t>acuerdo</w:t>
      </w:r>
      <w:r>
        <w:rPr>
          <w:color w:val="231F20"/>
          <w:spacing w:val="-19"/>
          <w:w w:val="105"/>
        </w:rPr>
        <w:t> </w:t>
      </w:r>
      <w:r>
        <w:rPr>
          <w:color w:val="231F20"/>
          <w:w w:val="105"/>
        </w:rPr>
        <w:t>al</w:t>
      </w:r>
      <w:r>
        <w:rPr>
          <w:color w:val="231F20"/>
          <w:spacing w:val="-19"/>
          <w:w w:val="105"/>
        </w:rPr>
        <w:t> </w:t>
      </w:r>
      <w:r>
        <w:rPr>
          <w:color w:val="231F20"/>
          <w:w w:val="105"/>
        </w:rPr>
        <w:t>tipo</w:t>
      </w:r>
      <w:r>
        <w:rPr>
          <w:color w:val="231F20"/>
          <w:spacing w:val="-19"/>
          <w:w w:val="105"/>
        </w:rPr>
        <w:t> </w:t>
      </w:r>
      <w:r>
        <w:rPr>
          <w:color w:val="231F20"/>
          <w:w w:val="105"/>
        </w:rPr>
        <w:t>de</w:t>
      </w:r>
      <w:r>
        <w:rPr>
          <w:color w:val="231F20"/>
          <w:spacing w:val="-19"/>
          <w:w w:val="105"/>
        </w:rPr>
        <w:t> </w:t>
      </w:r>
      <w:r>
        <w:rPr>
          <w:color w:val="231F20"/>
          <w:w w:val="105"/>
        </w:rPr>
        <w:t>alianza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forma.</w:t>
      </w:r>
      <w:r>
        <w:rPr>
          <w:color w:val="231F20"/>
          <w:spacing w:val="-24"/>
          <w:w w:val="105"/>
        </w:rPr>
        <w:t> </w:t>
      </w:r>
      <w:r>
        <w:rPr>
          <w:color w:val="231F20"/>
          <w:w w:val="105"/>
        </w:rPr>
        <w:t>En</w:t>
      </w:r>
      <w:r>
        <w:rPr>
          <w:color w:val="231F20"/>
          <w:spacing w:val="-19"/>
          <w:w w:val="105"/>
        </w:rPr>
        <w:t> </w:t>
      </w:r>
      <w:r>
        <w:rPr>
          <w:color w:val="231F20"/>
          <w:w w:val="105"/>
        </w:rPr>
        <w:t>este</w:t>
      </w:r>
      <w:r>
        <w:rPr>
          <w:color w:val="231F20"/>
          <w:spacing w:val="-19"/>
          <w:w w:val="105"/>
        </w:rPr>
        <w:t> </w:t>
      </w:r>
      <w:r>
        <w:rPr>
          <w:color w:val="231F20"/>
          <w:w w:val="105"/>
        </w:rPr>
        <w:t>con- texto,</w:t>
      </w:r>
      <w:r>
        <w:rPr>
          <w:color w:val="231F20"/>
          <w:spacing w:val="-12"/>
          <w:w w:val="105"/>
        </w:rPr>
        <w:t> </w:t>
      </w:r>
      <w:r>
        <w:rPr>
          <w:color w:val="231F20"/>
          <w:w w:val="105"/>
        </w:rPr>
        <w:t>el</w:t>
      </w:r>
      <w:r>
        <w:rPr>
          <w:color w:val="231F20"/>
          <w:spacing w:val="-6"/>
          <w:w w:val="105"/>
        </w:rPr>
        <w:t> </w:t>
      </w:r>
      <w:r>
        <w:rPr>
          <w:color w:val="231F20"/>
          <w:w w:val="105"/>
        </w:rPr>
        <w:t>objetivo</w:t>
      </w:r>
      <w:r>
        <w:rPr>
          <w:color w:val="231F20"/>
          <w:spacing w:val="-6"/>
          <w:w w:val="105"/>
        </w:rPr>
        <w:t> </w:t>
      </w:r>
      <w:r>
        <w:rPr>
          <w:color w:val="231F20"/>
          <w:w w:val="105"/>
        </w:rPr>
        <w:t>del</w:t>
      </w:r>
      <w:r>
        <w:rPr>
          <w:color w:val="231F20"/>
          <w:spacing w:val="-6"/>
          <w:w w:val="105"/>
        </w:rPr>
        <w:t> </w:t>
      </w:r>
      <w:r>
        <w:rPr>
          <w:color w:val="231F20"/>
          <w:w w:val="105"/>
        </w:rPr>
        <w:t>presente</w:t>
      </w:r>
      <w:r>
        <w:rPr>
          <w:color w:val="231F20"/>
          <w:spacing w:val="-6"/>
          <w:w w:val="105"/>
        </w:rPr>
        <w:t> </w:t>
      </w:r>
      <w:r>
        <w:rPr>
          <w:color w:val="231F20"/>
          <w:w w:val="105"/>
        </w:rPr>
        <w:t>estudio</w:t>
      </w:r>
      <w:r>
        <w:rPr>
          <w:color w:val="231F20"/>
          <w:spacing w:val="-6"/>
          <w:w w:val="105"/>
        </w:rPr>
        <w:t> </w:t>
      </w:r>
      <w:r>
        <w:rPr>
          <w:color w:val="231F20"/>
          <w:w w:val="105"/>
        </w:rPr>
        <w:t>fue</w:t>
      </w:r>
      <w:r>
        <w:rPr>
          <w:color w:val="231F20"/>
          <w:spacing w:val="-6"/>
          <w:w w:val="105"/>
        </w:rPr>
        <w:t> </w:t>
      </w:r>
      <w:r>
        <w:rPr>
          <w:color w:val="231F20"/>
          <w:w w:val="105"/>
        </w:rPr>
        <w:t>contribuir</w:t>
      </w:r>
      <w:r>
        <w:rPr>
          <w:color w:val="231F20"/>
          <w:spacing w:val="-6"/>
          <w:w w:val="105"/>
        </w:rPr>
        <w:t> </w:t>
      </w:r>
      <w:r>
        <w:rPr>
          <w:color w:val="231F20"/>
          <w:w w:val="105"/>
        </w:rPr>
        <w:t>al</w:t>
      </w:r>
      <w:r>
        <w:rPr>
          <w:color w:val="231F20"/>
          <w:spacing w:val="-6"/>
          <w:w w:val="105"/>
        </w:rPr>
        <w:t> </w:t>
      </w:r>
      <w:r>
        <w:rPr>
          <w:color w:val="231F20"/>
          <w:w w:val="105"/>
        </w:rPr>
        <w:t>entendimiento</w:t>
      </w:r>
      <w:r>
        <w:rPr>
          <w:color w:val="231F20"/>
          <w:spacing w:val="-6"/>
          <w:w w:val="105"/>
        </w:rPr>
        <w:t> </w:t>
      </w:r>
      <w:r>
        <w:rPr>
          <w:color w:val="231F20"/>
          <w:w w:val="105"/>
        </w:rPr>
        <w:t>de este fenómeno mediante un examen de las diferencias en un</w:t>
      </w:r>
      <w:r>
        <w:rPr>
          <w:color w:val="231F20"/>
          <w:spacing w:val="-18"/>
          <w:w w:val="105"/>
        </w:rPr>
        <w:t> </w:t>
      </w:r>
      <w:r>
        <w:rPr>
          <w:color w:val="231F20"/>
          <w:w w:val="105"/>
        </w:rPr>
        <w:t>indicador contable</w:t>
      </w:r>
      <w:r>
        <w:rPr>
          <w:color w:val="231F20"/>
          <w:spacing w:val="-15"/>
          <w:w w:val="105"/>
        </w:rPr>
        <w:t> </w:t>
      </w:r>
      <w:r>
        <w:rPr>
          <w:color w:val="231F20"/>
          <w:w w:val="105"/>
        </w:rPr>
        <w:t>de</w:t>
      </w:r>
      <w:r>
        <w:rPr>
          <w:color w:val="231F20"/>
          <w:spacing w:val="-15"/>
          <w:w w:val="105"/>
        </w:rPr>
        <w:t> </w:t>
      </w:r>
      <w:r>
        <w:rPr>
          <w:color w:val="231F20"/>
          <w:w w:val="105"/>
        </w:rPr>
        <w:t>rentabilidad</w:t>
      </w:r>
      <w:r>
        <w:rPr>
          <w:color w:val="231F20"/>
          <w:spacing w:val="-15"/>
          <w:w w:val="105"/>
        </w:rPr>
        <w:t> </w:t>
      </w:r>
      <w:r>
        <w:rPr>
          <w:color w:val="231F20"/>
          <w:w w:val="105"/>
        </w:rPr>
        <w:t>(ROA)</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muestra</w:t>
      </w:r>
      <w:r>
        <w:rPr>
          <w:color w:val="231F20"/>
          <w:spacing w:val="-15"/>
          <w:w w:val="105"/>
        </w:rPr>
        <w:t> </w:t>
      </w:r>
      <w:r>
        <w:rPr>
          <w:color w:val="231F20"/>
          <w:w w:val="105"/>
        </w:rPr>
        <w:t>de</w:t>
      </w:r>
      <w:r>
        <w:rPr>
          <w:color w:val="231F20"/>
          <w:spacing w:val="-15"/>
          <w:w w:val="105"/>
        </w:rPr>
        <w:t> </w:t>
      </w:r>
      <w:r>
        <w:rPr>
          <w:color w:val="231F20"/>
          <w:w w:val="105"/>
        </w:rPr>
        <w:t>empresas</w:t>
      </w:r>
      <w:r>
        <w:rPr>
          <w:color w:val="231F20"/>
          <w:spacing w:val="-15"/>
          <w:w w:val="105"/>
        </w:rPr>
        <w:t> </w:t>
      </w:r>
      <w:r>
        <w:rPr>
          <w:color w:val="231F20"/>
          <w:w w:val="105"/>
        </w:rPr>
        <w:t>estadouni- denses</w:t>
      </w:r>
      <w:r>
        <w:rPr>
          <w:color w:val="231F20"/>
          <w:spacing w:val="-22"/>
          <w:w w:val="105"/>
        </w:rPr>
        <w:t> </w:t>
      </w:r>
      <w:r>
        <w:rPr>
          <w:color w:val="231F20"/>
          <w:w w:val="105"/>
        </w:rPr>
        <w:t>que</w:t>
      </w:r>
      <w:r>
        <w:rPr>
          <w:color w:val="231F20"/>
          <w:spacing w:val="-22"/>
          <w:w w:val="105"/>
        </w:rPr>
        <w:t> </w:t>
      </w:r>
      <w:r>
        <w:rPr>
          <w:color w:val="231F20"/>
          <w:w w:val="105"/>
        </w:rPr>
        <w:t>llevaron</w:t>
      </w:r>
      <w:r>
        <w:rPr>
          <w:color w:val="231F20"/>
          <w:spacing w:val="-22"/>
          <w:w w:val="105"/>
        </w:rPr>
        <w:t> </w:t>
      </w:r>
      <w:r>
        <w:rPr>
          <w:color w:val="231F20"/>
          <w:w w:val="105"/>
        </w:rPr>
        <w:t>a</w:t>
      </w:r>
      <w:r>
        <w:rPr>
          <w:color w:val="231F20"/>
          <w:spacing w:val="-22"/>
          <w:w w:val="105"/>
        </w:rPr>
        <w:t> </w:t>
      </w:r>
      <w:r>
        <w:rPr>
          <w:color w:val="231F20"/>
          <w:w w:val="105"/>
        </w:rPr>
        <w:t>cabo</w:t>
      </w:r>
      <w:r>
        <w:rPr>
          <w:color w:val="231F20"/>
          <w:spacing w:val="-22"/>
          <w:w w:val="105"/>
        </w:rPr>
        <w:t> </w:t>
      </w:r>
      <w:r>
        <w:rPr>
          <w:i/>
          <w:color w:val="231F20"/>
          <w:w w:val="105"/>
        </w:rPr>
        <w:t>joint</w:t>
      </w:r>
      <w:r>
        <w:rPr>
          <w:i/>
          <w:color w:val="231F20"/>
          <w:spacing w:val="-22"/>
          <w:w w:val="105"/>
        </w:rPr>
        <w:t> </w:t>
      </w:r>
      <w:r>
        <w:rPr>
          <w:i/>
          <w:color w:val="231F20"/>
          <w:w w:val="105"/>
        </w:rPr>
        <w:t>venture</w:t>
      </w:r>
      <w:r>
        <w:rPr>
          <w:color w:val="231F20"/>
          <w:w w:val="105"/>
        </w:rPr>
        <w:t>s</w:t>
      </w:r>
      <w:r>
        <w:rPr>
          <w:color w:val="231F20"/>
          <w:spacing w:val="-22"/>
          <w:w w:val="105"/>
        </w:rPr>
        <w:t> </w:t>
      </w:r>
      <w:r>
        <w:rPr>
          <w:color w:val="231F20"/>
          <w:w w:val="105"/>
        </w:rPr>
        <w:t>de</w:t>
      </w:r>
      <w:r>
        <w:rPr>
          <w:color w:val="231F20"/>
          <w:spacing w:val="-22"/>
          <w:w w:val="105"/>
        </w:rPr>
        <w:t> </w:t>
      </w:r>
      <w:r>
        <w:rPr>
          <w:color w:val="231F20"/>
          <w:w w:val="105"/>
        </w:rPr>
        <w:t>manufactura</w:t>
      </w:r>
      <w:r>
        <w:rPr>
          <w:color w:val="231F20"/>
          <w:spacing w:val="-22"/>
          <w:w w:val="105"/>
        </w:rPr>
        <w:t> </w:t>
      </w:r>
      <w:r>
        <w:rPr>
          <w:color w:val="231F20"/>
          <w:w w:val="105"/>
        </w:rPr>
        <w:t>o</w:t>
      </w:r>
      <w:r>
        <w:rPr>
          <w:color w:val="231F20"/>
          <w:spacing w:val="-22"/>
          <w:w w:val="105"/>
        </w:rPr>
        <w:t> </w:t>
      </w:r>
      <w:r>
        <w:rPr>
          <w:color w:val="231F20"/>
          <w:w w:val="105"/>
        </w:rPr>
        <w:t>de</w:t>
      </w:r>
      <w:r>
        <w:rPr>
          <w:color w:val="231F20"/>
          <w:spacing w:val="-22"/>
          <w:w w:val="105"/>
        </w:rPr>
        <w:t> </w:t>
      </w:r>
      <w:r>
        <w:rPr>
          <w:color w:val="231F20"/>
          <w:w w:val="105"/>
        </w:rPr>
        <w:t>mercado- tecnia</w:t>
      </w:r>
      <w:r>
        <w:rPr>
          <w:color w:val="231F20"/>
          <w:spacing w:val="-11"/>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periodo</w:t>
      </w:r>
      <w:r>
        <w:rPr>
          <w:color w:val="231F20"/>
          <w:spacing w:val="-11"/>
          <w:w w:val="105"/>
        </w:rPr>
        <w:t> </w:t>
      </w:r>
      <w:r>
        <w:rPr>
          <w:color w:val="231F20"/>
          <w:w w:val="105"/>
        </w:rPr>
        <w:t>de</w:t>
      </w:r>
      <w:r>
        <w:rPr>
          <w:color w:val="231F20"/>
          <w:spacing w:val="-11"/>
          <w:w w:val="105"/>
        </w:rPr>
        <w:t> </w:t>
      </w:r>
      <w:r>
        <w:rPr>
          <w:color w:val="231F20"/>
          <w:w w:val="105"/>
        </w:rPr>
        <w:t>cuatro</w:t>
      </w:r>
      <w:r>
        <w:rPr>
          <w:color w:val="231F20"/>
          <w:spacing w:val="-11"/>
          <w:w w:val="105"/>
        </w:rPr>
        <w:t> </w:t>
      </w:r>
      <w:r>
        <w:rPr>
          <w:color w:val="231F20"/>
          <w:w w:val="105"/>
        </w:rPr>
        <w:t>años.</w:t>
      </w:r>
    </w:p>
    <w:p>
      <w:pPr>
        <w:pStyle w:val="BodyText"/>
        <w:spacing w:line="259" w:lineRule="auto"/>
        <w:ind w:left="117" w:right="116" w:firstLine="567"/>
        <w:jc w:val="both"/>
      </w:pPr>
      <w:r>
        <w:rPr>
          <w:color w:val="231F20"/>
          <w:w w:val="105"/>
        </w:rPr>
        <w:t>Investigaciones</w:t>
      </w:r>
      <w:r>
        <w:rPr>
          <w:color w:val="231F20"/>
          <w:spacing w:val="-18"/>
          <w:w w:val="105"/>
        </w:rPr>
        <w:t> </w:t>
      </w:r>
      <w:r>
        <w:rPr>
          <w:color w:val="231F20"/>
          <w:w w:val="105"/>
        </w:rPr>
        <w:t>anteriores</w:t>
      </w:r>
      <w:r>
        <w:rPr>
          <w:color w:val="231F20"/>
          <w:spacing w:val="-18"/>
          <w:w w:val="105"/>
        </w:rPr>
        <w:t> </w:t>
      </w:r>
      <w:r>
        <w:rPr>
          <w:color w:val="231F20"/>
          <w:w w:val="105"/>
        </w:rPr>
        <w:t>sugieren</w:t>
      </w:r>
      <w:r>
        <w:rPr>
          <w:color w:val="231F20"/>
          <w:spacing w:val="-18"/>
          <w:w w:val="105"/>
        </w:rPr>
        <w:t> </w:t>
      </w:r>
      <w:r>
        <w:rPr>
          <w:color w:val="231F20"/>
          <w:w w:val="105"/>
        </w:rPr>
        <w:t>que</w:t>
      </w:r>
      <w:r>
        <w:rPr>
          <w:color w:val="231F20"/>
          <w:spacing w:val="-18"/>
          <w:w w:val="105"/>
        </w:rPr>
        <w:t> </w:t>
      </w:r>
      <w:r>
        <w:rPr>
          <w:color w:val="231F20"/>
          <w:w w:val="105"/>
        </w:rPr>
        <w:t>alianzas</w:t>
      </w:r>
      <w:r>
        <w:rPr>
          <w:color w:val="231F20"/>
          <w:spacing w:val="-18"/>
          <w:w w:val="105"/>
        </w:rPr>
        <w:t> </w:t>
      </w:r>
      <w:r>
        <w:rPr>
          <w:color w:val="231F20"/>
          <w:w w:val="105"/>
        </w:rPr>
        <w:t>de</w:t>
      </w:r>
      <w:r>
        <w:rPr>
          <w:color w:val="231F20"/>
          <w:spacing w:val="-18"/>
          <w:w w:val="105"/>
        </w:rPr>
        <w:t> </w:t>
      </w:r>
      <w:r>
        <w:rPr>
          <w:color w:val="231F20"/>
          <w:w w:val="105"/>
        </w:rPr>
        <w:t>distintos</w:t>
      </w:r>
      <w:r>
        <w:rPr>
          <w:color w:val="231F20"/>
          <w:spacing w:val="-18"/>
          <w:w w:val="105"/>
        </w:rPr>
        <w:t> </w:t>
      </w:r>
      <w:r>
        <w:rPr>
          <w:color w:val="231F20"/>
          <w:w w:val="105"/>
        </w:rPr>
        <w:t>tipos involucran</w:t>
      </w:r>
      <w:r>
        <w:rPr>
          <w:color w:val="231F20"/>
          <w:spacing w:val="-10"/>
          <w:w w:val="105"/>
        </w:rPr>
        <w:t> </w:t>
      </w:r>
      <w:r>
        <w:rPr>
          <w:color w:val="231F20"/>
          <w:w w:val="105"/>
        </w:rPr>
        <w:t>recursos</w:t>
      </w:r>
      <w:r>
        <w:rPr>
          <w:color w:val="231F20"/>
          <w:spacing w:val="-10"/>
          <w:w w:val="105"/>
        </w:rPr>
        <w:t> </w:t>
      </w:r>
      <w:r>
        <w:rPr>
          <w:color w:val="231F20"/>
          <w:w w:val="105"/>
        </w:rPr>
        <w:t>de</w:t>
      </w:r>
      <w:r>
        <w:rPr>
          <w:color w:val="231F20"/>
          <w:spacing w:val="-10"/>
          <w:w w:val="105"/>
        </w:rPr>
        <w:t> </w:t>
      </w:r>
      <w:r>
        <w:rPr>
          <w:color w:val="231F20"/>
          <w:w w:val="105"/>
        </w:rPr>
        <w:t>naturaleza</w:t>
      </w:r>
      <w:r>
        <w:rPr>
          <w:color w:val="231F20"/>
          <w:spacing w:val="-10"/>
          <w:w w:val="105"/>
        </w:rPr>
        <w:t> </w:t>
      </w:r>
      <w:r>
        <w:rPr>
          <w:color w:val="231F20"/>
          <w:w w:val="105"/>
        </w:rPr>
        <w:t>diferente.</w:t>
      </w:r>
      <w:r>
        <w:rPr>
          <w:color w:val="231F20"/>
          <w:spacing w:val="-15"/>
          <w:w w:val="105"/>
        </w:rPr>
        <w:t> </w:t>
      </w:r>
      <w:r>
        <w:rPr>
          <w:color w:val="231F20"/>
          <w:spacing w:val="-6"/>
          <w:w w:val="105"/>
        </w:rPr>
        <w:t>Por</w:t>
      </w:r>
      <w:r>
        <w:rPr>
          <w:color w:val="231F20"/>
          <w:spacing w:val="-10"/>
          <w:w w:val="105"/>
        </w:rPr>
        <w:t> </w:t>
      </w:r>
      <w:r>
        <w:rPr>
          <w:color w:val="231F20"/>
          <w:w w:val="105"/>
        </w:rPr>
        <w:t>lo</w:t>
      </w:r>
      <w:r>
        <w:rPr>
          <w:color w:val="231F20"/>
          <w:spacing w:val="-10"/>
          <w:w w:val="105"/>
        </w:rPr>
        <w:t> </w:t>
      </w:r>
      <w:r>
        <w:rPr>
          <w:color w:val="231F20"/>
          <w:w w:val="105"/>
        </w:rPr>
        <w:t>tanto,</w:t>
      </w:r>
      <w:r>
        <w:rPr>
          <w:color w:val="231F20"/>
          <w:spacing w:val="-15"/>
          <w:w w:val="105"/>
        </w:rPr>
        <w:t> </w:t>
      </w:r>
      <w:r>
        <w:rPr>
          <w:color w:val="231F20"/>
          <w:w w:val="105"/>
        </w:rPr>
        <w:t>resulta</w:t>
      </w:r>
      <w:r>
        <w:rPr>
          <w:color w:val="231F20"/>
          <w:spacing w:val="-10"/>
          <w:w w:val="105"/>
        </w:rPr>
        <w:t> </w:t>
      </w:r>
      <w:r>
        <w:rPr>
          <w:color w:val="231F20"/>
          <w:w w:val="105"/>
        </w:rPr>
        <w:t>posible que los beneficios que se pueden obtener de las relaciones con otras empresas varíen dependiendo del tipo de tratos mediante los cuales se formaliza la colaboración. Aunque de forma parcial, en este estudio se encontró evidencia a favor de este punto de vista. Particularmente, mientras</w:t>
      </w:r>
      <w:r>
        <w:rPr>
          <w:color w:val="231F20"/>
          <w:spacing w:val="-18"/>
          <w:w w:val="105"/>
        </w:rPr>
        <w:t> </w:t>
      </w:r>
      <w:r>
        <w:rPr>
          <w:color w:val="231F20"/>
          <w:w w:val="105"/>
        </w:rPr>
        <w:t>que,</w:t>
      </w:r>
      <w:r>
        <w:rPr>
          <w:color w:val="231F20"/>
          <w:spacing w:val="-24"/>
          <w:w w:val="105"/>
        </w:rPr>
        <w:t> </w:t>
      </w:r>
      <w:r>
        <w:rPr>
          <w:color w:val="231F20"/>
          <w:w w:val="105"/>
        </w:rPr>
        <w:t>al</w:t>
      </w:r>
      <w:r>
        <w:rPr>
          <w:color w:val="231F20"/>
          <w:spacing w:val="-18"/>
          <w:w w:val="105"/>
        </w:rPr>
        <w:t> </w:t>
      </w:r>
      <w:r>
        <w:rPr>
          <w:color w:val="231F20"/>
          <w:w w:val="105"/>
        </w:rPr>
        <w:t>parecer,</w:t>
      </w:r>
      <w:r>
        <w:rPr>
          <w:color w:val="231F20"/>
          <w:spacing w:val="-24"/>
          <w:w w:val="105"/>
        </w:rPr>
        <w:t> </w:t>
      </w:r>
      <w:r>
        <w:rPr>
          <w:color w:val="231F20"/>
          <w:w w:val="105"/>
        </w:rPr>
        <w:t>el</w:t>
      </w:r>
      <w:r>
        <w:rPr>
          <w:color w:val="231F20"/>
          <w:spacing w:val="-18"/>
          <w:w w:val="105"/>
        </w:rPr>
        <w:t> </w:t>
      </w:r>
      <w:r>
        <w:rPr>
          <w:color w:val="231F20"/>
          <w:w w:val="105"/>
        </w:rPr>
        <w:t>desempeño</w:t>
      </w:r>
      <w:r>
        <w:rPr>
          <w:color w:val="231F20"/>
          <w:spacing w:val="-18"/>
          <w:w w:val="105"/>
        </w:rPr>
        <w:t> </w:t>
      </w:r>
      <w:r>
        <w:rPr>
          <w:color w:val="231F20"/>
          <w:w w:val="105"/>
        </w:rPr>
        <w:t>financiero</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en</w:t>
      </w:r>
      <w:r>
        <w:rPr>
          <w:color w:val="231F20"/>
          <w:spacing w:val="-18"/>
          <w:w w:val="105"/>
        </w:rPr>
        <w:t> </w:t>
      </w:r>
      <w:r>
        <w:rPr>
          <w:color w:val="231F20"/>
          <w:w w:val="105"/>
        </w:rPr>
        <w:t>la muestra</w:t>
      </w:r>
      <w:r>
        <w:rPr>
          <w:color w:val="231F20"/>
          <w:spacing w:val="-19"/>
          <w:w w:val="105"/>
        </w:rPr>
        <w:t> </w:t>
      </w:r>
      <w:r>
        <w:rPr>
          <w:color w:val="231F20"/>
          <w:w w:val="105"/>
        </w:rPr>
        <w:t>cambió</w:t>
      </w:r>
      <w:r>
        <w:rPr>
          <w:color w:val="231F20"/>
          <w:spacing w:val="-19"/>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formación</w:t>
      </w:r>
      <w:r>
        <w:rPr>
          <w:color w:val="231F20"/>
          <w:spacing w:val="-19"/>
          <w:w w:val="105"/>
        </w:rPr>
        <w:t> </w:t>
      </w:r>
      <w:r>
        <w:rPr>
          <w:color w:val="231F20"/>
          <w:w w:val="105"/>
        </w:rPr>
        <w:t>de</w:t>
      </w:r>
      <w:r>
        <w:rPr>
          <w:color w:val="231F20"/>
          <w:spacing w:val="-19"/>
          <w:w w:val="105"/>
        </w:rPr>
        <w:t> </w:t>
      </w:r>
      <w:r>
        <w:rPr>
          <w:color w:val="231F20"/>
          <w:w w:val="105"/>
        </w:rPr>
        <w:t>una</w:t>
      </w:r>
      <w:r>
        <w:rPr>
          <w:color w:val="231F20"/>
          <w:spacing w:val="-19"/>
          <w:w w:val="105"/>
        </w:rPr>
        <w:t> </w:t>
      </w:r>
      <w:r>
        <w:rPr>
          <w:i/>
          <w:color w:val="231F20"/>
          <w:w w:val="105"/>
        </w:rPr>
        <w:t>joint</w:t>
      </w:r>
      <w:r>
        <w:rPr>
          <w:i/>
          <w:color w:val="231F20"/>
          <w:spacing w:val="-19"/>
          <w:w w:val="105"/>
        </w:rPr>
        <w:t> </w:t>
      </w:r>
      <w:r>
        <w:rPr>
          <w:i/>
          <w:color w:val="231F20"/>
          <w:w w:val="105"/>
        </w:rPr>
        <w:t>venture</w:t>
      </w:r>
      <w:r>
        <w:rPr>
          <w:color w:val="231F20"/>
          <w:w w:val="105"/>
        </w:rPr>
        <w:t>,</w:t>
      </w:r>
      <w:r>
        <w:rPr>
          <w:color w:val="231F20"/>
          <w:spacing w:val="-25"/>
          <w:w w:val="105"/>
        </w:rPr>
        <w:t> </w:t>
      </w:r>
      <w:r>
        <w:rPr>
          <w:color w:val="231F20"/>
          <w:w w:val="105"/>
        </w:rPr>
        <w:t>este</w:t>
      </w:r>
      <w:r>
        <w:rPr>
          <w:color w:val="231F20"/>
          <w:spacing w:val="-19"/>
          <w:w w:val="105"/>
        </w:rPr>
        <w:t> </w:t>
      </w:r>
      <w:r>
        <w:rPr>
          <w:color w:val="231F20"/>
          <w:w w:val="105"/>
        </w:rPr>
        <w:t>efec- to</w:t>
      </w:r>
      <w:r>
        <w:rPr>
          <w:color w:val="231F20"/>
          <w:spacing w:val="-6"/>
          <w:w w:val="105"/>
        </w:rPr>
        <w:t> </w:t>
      </w:r>
      <w:r>
        <w:rPr>
          <w:color w:val="231F20"/>
          <w:w w:val="105"/>
        </w:rPr>
        <w:t>parece</w:t>
      </w:r>
      <w:r>
        <w:rPr>
          <w:color w:val="231F20"/>
          <w:spacing w:val="-6"/>
          <w:w w:val="105"/>
        </w:rPr>
        <w:t> </w:t>
      </w:r>
      <w:r>
        <w:rPr>
          <w:color w:val="231F20"/>
          <w:w w:val="105"/>
        </w:rPr>
        <w:t>no</w:t>
      </w:r>
      <w:r>
        <w:rPr>
          <w:color w:val="231F20"/>
          <w:spacing w:val="-6"/>
          <w:w w:val="105"/>
        </w:rPr>
        <w:t> </w:t>
      </w:r>
      <w:r>
        <w:rPr>
          <w:color w:val="231F20"/>
          <w:w w:val="105"/>
        </w:rPr>
        <w:t>haber</w:t>
      </w:r>
      <w:r>
        <w:rPr>
          <w:color w:val="231F20"/>
          <w:spacing w:val="-6"/>
          <w:w w:val="105"/>
        </w:rPr>
        <w:t> </w:t>
      </w:r>
      <w:r>
        <w:rPr>
          <w:color w:val="231F20"/>
          <w:w w:val="105"/>
        </w:rPr>
        <w:t>variado</w:t>
      </w:r>
      <w:r>
        <w:rPr>
          <w:color w:val="231F20"/>
          <w:spacing w:val="-6"/>
          <w:w w:val="105"/>
        </w:rPr>
        <w:t> </w:t>
      </w:r>
      <w:r>
        <w:rPr>
          <w:color w:val="231F20"/>
          <w:w w:val="105"/>
        </w:rPr>
        <w:t>de</w:t>
      </w:r>
      <w:r>
        <w:rPr>
          <w:color w:val="231F20"/>
          <w:spacing w:val="-6"/>
          <w:w w:val="105"/>
        </w:rPr>
        <w:t> </w:t>
      </w:r>
      <w:r>
        <w:rPr>
          <w:color w:val="231F20"/>
          <w:w w:val="105"/>
        </w:rPr>
        <w:t>forma</w:t>
      </w:r>
      <w:r>
        <w:rPr>
          <w:color w:val="231F20"/>
          <w:spacing w:val="-6"/>
          <w:w w:val="105"/>
        </w:rPr>
        <w:t> </w:t>
      </w:r>
      <w:r>
        <w:rPr>
          <w:color w:val="231F20"/>
          <w:w w:val="105"/>
        </w:rPr>
        <w:t>significativa</w:t>
      </w:r>
      <w:r>
        <w:rPr>
          <w:color w:val="231F20"/>
          <w:spacing w:val="-6"/>
          <w:w w:val="105"/>
        </w:rPr>
        <w:t> </w:t>
      </w:r>
      <w:r>
        <w:rPr>
          <w:color w:val="231F20"/>
          <w:w w:val="105"/>
        </w:rPr>
        <w:t>entre</w:t>
      </w:r>
      <w:r>
        <w:rPr>
          <w:color w:val="231F20"/>
          <w:spacing w:val="-6"/>
          <w:w w:val="105"/>
        </w:rPr>
        <w:t> </w:t>
      </w:r>
      <w:r>
        <w:rPr>
          <w:color w:val="231F20"/>
          <w:w w:val="105"/>
        </w:rPr>
        <w:t>aquellas</w:t>
      </w:r>
      <w:r>
        <w:rPr>
          <w:color w:val="231F20"/>
          <w:spacing w:val="-6"/>
          <w:w w:val="105"/>
        </w:rPr>
        <w:t> </w:t>
      </w:r>
      <w:r>
        <w:rPr>
          <w:color w:val="231F20"/>
          <w:w w:val="105"/>
        </w:rPr>
        <w:t>organi- zaciones que se aliaron con otras con el propósito de manufactura y el de</w:t>
      </w:r>
      <w:r>
        <w:rPr>
          <w:color w:val="231F20"/>
          <w:spacing w:val="-15"/>
          <w:w w:val="105"/>
        </w:rPr>
        <w:t> </w:t>
      </w:r>
      <w:r>
        <w:rPr>
          <w:color w:val="231F20"/>
          <w:w w:val="105"/>
        </w:rPr>
        <w:t>aquéllas</w:t>
      </w:r>
      <w:r>
        <w:rPr>
          <w:color w:val="231F20"/>
          <w:spacing w:val="-15"/>
          <w:w w:val="105"/>
        </w:rPr>
        <w:t> </w:t>
      </w:r>
      <w:r>
        <w:rPr>
          <w:color w:val="231F20"/>
          <w:w w:val="105"/>
        </w:rPr>
        <w:t>que</w:t>
      </w:r>
      <w:r>
        <w:rPr>
          <w:color w:val="231F20"/>
          <w:spacing w:val="-15"/>
          <w:w w:val="105"/>
        </w:rPr>
        <w:t> </w:t>
      </w:r>
      <w:r>
        <w:rPr>
          <w:color w:val="231F20"/>
          <w:w w:val="105"/>
        </w:rPr>
        <w:t>lo</w:t>
      </w:r>
      <w:r>
        <w:rPr>
          <w:color w:val="231F20"/>
          <w:spacing w:val="-15"/>
          <w:w w:val="105"/>
        </w:rPr>
        <w:t> </w:t>
      </w:r>
      <w:r>
        <w:rPr>
          <w:color w:val="231F20"/>
          <w:w w:val="105"/>
        </w:rPr>
        <w:t>hicieron</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de</w:t>
      </w:r>
      <w:r>
        <w:rPr>
          <w:color w:val="231F20"/>
          <w:spacing w:val="-15"/>
          <w:w w:val="105"/>
        </w:rPr>
        <w:t> </w:t>
      </w:r>
      <w:r>
        <w:rPr>
          <w:color w:val="231F20"/>
          <w:w w:val="105"/>
        </w:rPr>
        <w:t>mercadotecnia.</w:t>
      </w:r>
      <w:r>
        <w:rPr>
          <w:color w:val="231F20"/>
          <w:spacing w:val="-21"/>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desempeño de</w:t>
      </w:r>
      <w:r>
        <w:rPr>
          <w:color w:val="231F20"/>
          <w:spacing w:val="-21"/>
          <w:w w:val="105"/>
        </w:rPr>
        <w:t> </w:t>
      </w:r>
      <w:r>
        <w:rPr>
          <w:color w:val="231F20"/>
          <w:w w:val="105"/>
        </w:rPr>
        <w:t>las</w:t>
      </w:r>
      <w:r>
        <w:rPr>
          <w:color w:val="231F20"/>
          <w:spacing w:val="-21"/>
          <w:w w:val="105"/>
        </w:rPr>
        <w:t> </w:t>
      </w:r>
      <w:r>
        <w:rPr>
          <w:color w:val="231F20"/>
          <w:w w:val="105"/>
        </w:rPr>
        <w:t>empresas</w:t>
      </w:r>
      <w:r>
        <w:rPr>
          <w:color w:val="231F20"/>
          <w:spacing w:val="-21"/>
          <w:w w:val="105"/>
        </w:rPr>
        <w:t> </w:t>
      </w:r>
      <w:r>
        <w:rPr>
          <w:color w:val="231F20"/>
          <w:w w:val="105"/>
        </w:rPr>
        <w:t>cambie</w:t>
      </w:r>
      <w:r>
        <w:rPr>
          <w:color w:val="231F20"/>
          <w:spacing w:val="-21"/>
          <w:w w:val="105"/>
        </w:rPr>
        <w:t> </w:t>
      </w:r>
      <w:r>
        <w:rPr>
          <w:color w:val="231F20"/>
          <w:w w:val="105"/>
        </w:rPr>
        <w:t>después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formación</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i/>
          <w:color w:val="231F20"/>
          <w:w w:val="105"/>
        </w:rPr>
        <w:t>joint</w:t>
      </w:r>
      <w:r>
        <w:rPr>
          <w:i/>
          <w:color w:val="231F20"/>
          <w:spacing w:val="-21"/>
          <w:w w:val="105"/>
        </w:rPr>
        <w:t> </w:t>
      </w:r>
      <w:r>
        <w:rPr>
          <w:i/>
          <w:color w:val="231F20"/>
          <w:w w:val="105"/>
        </w:rPr>
        <w:t>venture</w:t>
      </w:r>
      <w:r>
        <w:rPr>
          <w:i/>
          <w:color w:val="231F20"/>
          <w:spacing w:val="-21"/>
          <w:w w:val="105"/>
        </w:rPr>
        <w:t> </w:t>
      </w:r>
      <w:r>
        <w:rPr>
          <w:color w:val="231F20"/>
          <w:w w:val="105"/>
        </w:rPr>
        <w:t>no es</w:t>
      </w:r>
      <w:r>
        <w:rPr>
          <w:color w:val="231F20"/>
          <w:spacing w:val="-24"/>
          <w:w w:val="105"/>
        </w:rPr>
        <w:t> </w:t>
      </w:r>
      <w:r>
        <w:rPr>
          <w:color w:val="231F20"/>
          <w:w w:val="105"/>
        </w:rPr>
        <w:t>algo</w:t>
      </w:r>
      <w:r>
        <w:rPr>
          <w:color w:val="231F20"/>
          <w:spacing w:val="-24"/>
          <w:w w:val="105"/>
        </w:rPr>
        <w:t> </w:t>
      </w:r>
      <w:r>
        <w:rPr>
          <w:color w:val="231F20"/>
          <w:w w:val="105"/>
        </w:rPr>
        <w:t>nuevo,</w:t>
      </w:r>
      <w:r>
        <w:rPr>
          <w:color w:val="231F20"/>
          <w:spacing w:val="-29"/>
          <w:w w:val="105"/>
        </w:rPr>
        <w:t> </w:t>
      </w:r>
      <w:r>
        <w:rPr>
          <w:color w:val="231F20"/>
          <w:w w:val="105"/>
        </w:rPr>
        <w:t>pues</w:t>
      </w:r>
      <w:r>
        <w:rPr>
          <w:color w:val="231F20"/>
          <w:spacing w:val="-24"/>
          <w:w w:val="105"/>
        </w:rPr>
        <w:t> </w:t>
      </w:r>
      <w:r>
        <w:rPr>
          <w:color w:val="231F20"/>
          <w:w w:val="105"/>
        </w:rPr>
        <w:t>múltiples</w:t>
      </w:r>
      <w:r>
        <w:rPr>
          <w:color w:val="231F20"/>
          <w:spacing w:val="-24"/>
          <w:w w:val="105"/>
        </w:rPr>
        <w:t> </w:t>
      </w:r>
      <w:r>
        <w:rPr>
          <w:color w:val="231F20"/>
          <w:w w:val="105"/>
        </w:rPr>
        <w:t>investigaciones</w:t>
      </w:r>
      <w:r>
        <w:rPr>
          <w:color w:val="231F20"/>
          <w:spacing w:val="-24"/>
          <w:w w:val="105"/>
        </w:rPr>
        <w:t> </w:t>
      </w:r>
      <w:r>
        <w:rPr>
          <w:color w:val="231F20"/>
          <w:w w:val="105"/>
        </w:rPr>
        <w:t>han</w:t>
      </w:r>
      <w:r>
        <w:rPr>
          <w:color w:val="231F20"/>
          <w:spacing w:val="-24"/>
          <w:w w:val="105"/>
        </w:rPr>
        <w:t> </w:t>
      </w:r>
      <w:r>
        <w:rPr>
          <w:color w:val="231F20"/>
          <w:w w:val="105"/>
        </w:rPr>
        <w:t>reportado</w:t>
      </w:r>
      <w:r>
        <w:rPr>
          <w:color w:val="231F20"/>
          <w:spacing w:val="-24"/>
          <w:w w:val="105"/>
        </w:rPr>
        <w:t> </w:t>
      </w:r>
      <w:r>
        <w:rPr>
          <w:color w:val="231F20"/>
          <w:w w:val="105"/>
        </w:rPr>
        <w:t>tal</w:t>
      </w:r>
      <w:r>
        <w:rPr>
          <w:color w:val="231F20"/>
          <w:spacing w:val="-24"/>
          <w:w w:val="105"/>
        </w:rPr>
        <w:t> </w:t>
      </w:r>
      <w:r>
        <w:rPr>
          <w:color w:val="231F20"/>
          <w:w w:val="105"/>
        </w:rPr>
        <w:t>situación utilizando tanto medidas contables de rentabilidad como percepciones de</w:t>
      </w:r>
      <w:r>
        <w:rPr>
          <w:color w:val="231F20"/>
          <w:spacing w:val="-7"/>
          <w:w w:val="105"/>
        </w:rPr>
        <w:t> </w:t>
      </w:r>
      <w:r>
        <w:rPr>
          <w:color w:val="231F20"/>
          <w:w w:val="105"/>
        </w:rPr>
        <w:t>flujos</w:t>
      </w:r>
      <w:r>
        <w:rPr>
          <w:color w:val="231F20"/>
          <w:spacing w:val="-7"/>
          <w:w w:val="105"/>
        </w:rPr>
        <w:t> </w:t>
      </w:r>
      <w:r>
        <w:rPr>
          <w:color w:val="231F20"/>
          <w:w w:val="105"/>
        </w:rPr>
        <w:t>futuros</w:t>
      </w:r>
      <w:r>
        <w:rPr>
          <w:color w:val="231F20"/>
          <w:spacing w:val="-7"/>
          <w:w w:val="105"/>
        </w:rPr>
        <w:t> </w:t>
      </w:r>
      <w:r>
        <w:rPr>
          <w:color w:val="231F20"/>
          <w:w w:val="105"/>
        </w:rPr>
        <w:t>por</w:t>
      </w:r>
      <w:r>
        <w:rPr>
          <w:color w:val="231F20"/>
          <w:spacing w:val="-7"/>
          <w:w w:val="105"/>
        </w:rPr>
        <w:t> </w:t>
      </w:r>
      <w:r>
        <w:rPr>
          <w:color w:val="231F20"/>
          <w:w w:val="105"/>
        </w:rPr>
        <w:t>parte</w:t>
      </w:r>
      <w:r>
        <w:rPr>
          <w:color w:val="231F20"/>
          <w:spacing w:val="-7"/>
          <w:w w:val="105"/>
        </w:rPr>
        <w:t> </w:t>
      </w:r>
      <w:r>
        <w:rPr>
          <w:color w:val="231F20"/>
          <w:w w:val="105"/>
        </w:rPr>
        <w:t>del</w:t>
      </w:r>
      <w:r>
        <w:rPr>
          <w:color w:val="231F20"/>
          <w:spacing w:val="-7"/>
          <w:w w:val="105"/>
        </w:rPr>
        <w:t> </w:t>
      </w:r>
      <w:r>
        <w:rPr>
          <w:color w:val="231F20"/>
          <w:w w:val="105"/>
        </w:rPr>
        <w:t>mercado</w:t>
      </w:r>
      <w:r>
        <w:rPr>
          <w:color w:val="231F20"/>
          <w:spacing w:val="-7"/>
          <w:w w:val="105"/>
        </w:rPr>
        <w:t> </w:t>
      </w:r>
      <w:r>
        <w:rPr>
          <w:color w:val="231F20"/>
          <w:w w:val="105"/>
        </w:rPr>
        <w:t>de</w:t>
      </w:r>
      <w:r>
        <w:rPr>
          <w:color w:val="231F20"/>
          <w:spacing w:val="-7"/>
          <w:w w:val="105"/>
        </w:rPr>
        <w:t> </w:t>
      </w:r>
      <w:r>
        <w:rPr>
          <w:color w:val="231F20"/>
          <w:w w:val="105"/>
        </w:rPr>
        <w:t>valores.</w:t>
      </w:r>
      <w:r>
        <w:rPr>
          <w:color w:val="231F20"/>
          <w:spacing w:val="-14"/>
          <w:w w:val="105"/>
        </w:rPr>
        <w:t> </w:t>
      </w:r>
      <w:r>
        <w:rPr>
          <w:color w:val="231F20"/>
          <w:w w:val="105"/>
        </w:rPr>
        <w:t>No</w:t>
      </w:r>
      <w:r>
        <w:rPr>
          <w:color w:val="231F20"/>
          <w:spacing w:val="-7"/>
          <w:w w:val="105"/>
        </w:rPr>
        <w:t> </w:t>
      </w:r>
      <w:r>
        <w:rPr>
          <w:color w:val="231F20"/>
          <w:w w:val="105"/>
        </w:rPr>
        <w:t>obstante,</w:t>
      </w:r>
      <w:r>
        <w:rPr>
          <w:color w:val="231F20"/>
          <w:spacing w:val="-13"/>
          <w:w w:val="105"/>
        </w:rPr>
        <w:t> </w:t>
      </w:r>
      <w:r>
        <w:rPr>
          <w:color w:val="231F20"/>
          <w:w w:val="105"/>
        </w:rPr>
        <w:t>que</w:t>
      </w:r>
      <w:r>
        <w:rPr>
          <w:color w:val="231F20"/>
          <w:spacing w:val="-7"/>
          <w:w w:val="105"/>
        </w:rPr>
        <w:t> </w:t>
      </w:r>
      <w:r>
        <w:rPr>
          <w:color w:val="231F20"/>
          <w:w w:val="105"/>
        </w:rPr>
        <w:t>los beneficios</w:t>
      </w:r>
      <w:r>
        <w:rPr>
          <w:color w:val="231F20"/>
          <w:spacing w:val="-25"/>
          <w:w w:val="105"/>
        </w:rPr>
        <w:t> </w:t>
      </w:r>
      <w:r>
        <w:rPr>
          <w:color w:val="231F20"/>
          <w:w w:val="105"/>
        </w:rPr>
        <w:t>(o</w:t>
      </w:r>
      <w:r>
        <w:rPr>
          <w:color w:val="231F20"/>
          <w:spacing w:val="-25"/>
          <w:w w:val="105"/>
        </w:rPr>
        <w:t> </w:t>
      </w:r>
      <w:r>
        <w:rPr>
          <w:color w:val="231F20"/>
          <w:w w:val="105"/>
        </w:rPr>
        <w:t>maleficios)</w:t>
      </w:r>
      <w:r>
        <w:rPr>
          <w:color w:val="231F20"/>
          <w:spacing w:val="-25"/>
          <w:w w:val="105"/>
        </w:rPr>
        <w:t> </w:t>
      </w:r>
      <w:r>
        <w:rPr>
          <w:color w:val="231F20"/>
          <w:w w:val="105"/>
        </w:rPr>
        <w:t>varíen</w:t>
      </w:r>
      <w:r>
        <w:rPr>
          <w:color w:val="231F20"/>
          <w:spacing w:val="-25"/>
          <w:w w:val="105"/>
        </w:rPr>
        <w:t> </w:t>
      </w:r>
      <w:r>
        <w:rPr>
          <w:color w:val="231F20"/>
          <w:w w:val="105"/>
        </w:rPr>
        <w:t>de</w:t>
      </w:r>
      <w:r>
        <w:rPr>
          <w:color w:val="231F20"/>
          <w:spacing w:val="-25"/>
          <w:w w:val="105"/>
        </w:rPr>
        <w:t> </w:t>
      </w:r>
      <w:r>
        <w:rPr>
          <w:color w:val="231F20"/>
          <w:w w:val="105"/>
        </w:rPr>
        <w:t>acuerdo</w:t>
      </w:r>
      <w:r>
        <w:rPr>
          <w:color w:val="231F20"/>
          <w:spacing w:val="-25"/>
          <w:w w:val="105"/>
        </w:rPr>
        <w:t> </w:t>
      </w:r>
      <w:r>
        <w:rPr>
          <w:color w:val="231F20"/>
          <w:w w:val="105"/>
        </w:rPr>
        <w:t>al</w:t>
      </w:r>
      <w:r>
        <w:rPr>
          <w:color w:val="231F20"/>
          <w:spacing w:val="-25"/>
          <w:w w:val="105"/>
        </w:rPr>
        <w:t> </w:t>
      </w:r>
      <w:r>
        <w:rPr>
          <w:color w:val="231F20"/>
          <w:w w:val="105"/>
        </w:rPr>
        <w:t>área</w:t>
      </w:r>
      <w:r>
        <w:rPr>
          <w:color w:val="231F20"/>
          <w:spacing w:val="-25"/>
          <w:w w:val="105"/>
        </w:rPr>
        <w:t> </w:t>
      </w:r>
      <w:r>
        <w:rPr>
          <w:color w:val="231F20"/>
          <w:w w:val="105"/>
        </w:rPr>
        <w:t>funcional</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alianza es</w:t>
      </w:r>
      <w:r>
        <w:rPr>
          <w:color w:val="231F20"/>
          <w:spacing w:val="-13"/>
          <w:w w:val="105"/>
        </w:rPr>
        <w:t> </w:t>
      </w:r>
      <w:r>
        <w:rPr>
          <w:color w:val="231F20"/>
          <w:w w:val="105"/>
        </w:rPr>
        <w:t>algo</w:t>
      </w:r>
      <w:r>
        <w:rPr>
          <w:color w:val="231F20"/>
          <w:spacing w:val="-13"/>
          <w:w w:val="105"/>
        </w:rPr>
        <w:t> </w:t>
      </w: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ha</w:t>
      </w:r>
      <w:r>
        <w:rPr>
          <w:color w:val="231F20"/>
          <w:spacing w:val="-13"/>
          <w:w w:val="105"/>
        </w:rPr>
        <w:t> </w:t>
      </w:r>
      <w:r>
        <w:rPr>
          <w:color w:val="231F20"/>
          <w:w w:val="105"/>
        </w:rPr>
        <w:t>quedado</w:t>
      </w:r>
      <w:r>
        <w:rPr>
          <w:color w:val="231F20"/>
          <w:spacing w:val="-13"/>
          <w:w w:val="105"/>
        </w:rPr>
        <w:t> </w:t>
      </w:r>
      <w:r>
        <w:rPr>
          <w:color w:val="231F20"/>
          <w:w w:val="105"/>
        </w:rPr>
        <w:t>claro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literatura</w:t>
      </w:r>
      <w:r>
        <w:rPr>
          <w:color w:val="231F20"/>
          <w:spacing w:val="-13"/>
          <w:w w:val="105"/>
        </w:rPr>
        <w:t> </w:t>
      </w:r>
      <w:r>
        <w:rPr>
          <w:color w:val="231F20"/>
          <w:w w:val="105"/>
        </w:rPr>
        <w:t>relevante.</w:t>
      </w:r>
    </w:p>
    <w:p>
      <w:pPr>
        <w:pStyle w:val="BodyText"/>
        <w:spacing w:line="259" w:lineRule="auto"/>
        <w:ind w:left="117" w:right="121" w:firstLine="567"/>
        <w:jc w:val="both"/>
      </w:pPr>
      <w:r>
        <w:rPr>
          <w:color w:val="231F20"/>
          <w:spacing w:val="-2"/>
          <w:w w:val="105"/>
        </w:rPr>
        <w:t>Ciertamente, </w:t>
      </w:r>
      <w:r>
        <w:rPr>
          <w:color w:val="231F20"/>
          <w:w w:val="105"/>
        </w:rPr>
        <w:t>la observación de que el </w:t>
      </w:r>
      <w:r>
        <w:rPr>
          <w:color w:val="231F20"/>
          <w:spacing w:val="-3"/>
          <w:w w:val="105"/>
        </w:rPr>
        <w:t>ROA parece decrecer </w:t>
      </w:r>
      <w:r>
        <w:rPr>
          <w:color w:val="231F20"/>
          <w:w w:val="105"/>
        </w:rPr>
        <w:t>des- pués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formación</w:t>
      </w:r>
      <w:r>
        <w:rPr>
          <w:color w:val="231F20"/>
          <w:spacing w:val="-31"/>
          <w:w w:val="105"/>
        </w:rPr>
        <w:t> </w:t>
      </w:r>
      <w:r>
        <w:rPr>
          <w:color w:val="231F20"/>
          <w:w w:val="105"/>
        </w:rPr>
        <w:t>de</w:t>
      </w:r>
      <w:r>
        <w:rPr>
          <w:color w:val="231F20"/>
          <w:spacing w:val="-31"/>
          <w:w w:val="105"/>
        </w:rPr>
        <w:t> </w:t>
      </w:r>
      <w:r>
        <w:rPr>
          <w:color w:val="231F20"/>
          <w:w w:val="105"/>
        </w:rPr>
        <w:t>una</w:t>
      </w:r>
      <w:r>
        <w:rPr>
          <w:color w:val="231F20"/>
          <w:spacing w:val="-31"/>
          <w:w w:val="105"/>
        </w:rPr>
        <w:t> </w:t>
      </w:r>
      <w:r>
        <w:rPr>
          <w:i/>
          <w:color w:val="231F20"/>
          <w:w w:val="105"/>
        </w:rPr>
        <w:t>joint</w:t>
      </w:r>
      <w:r>
        <w:rPr>
          <w:i/>
          <w:color w:val="231F20"/>
          <w:spacing w:val="-31"/>
          <w:w w:val="105"/>
        </w:rPr>
        <w:t> </w:t>
      </w:r>
      <w:r>
        <w:rPr>
          <w:i/>
          <w:color w:val="231F20"/>
          <w:w w:val="105"/>
        </w:rPr>
        <w:t>venture</w:t>
      </w:r>
      <w:r>
        <w:rPr>
          <w:color w:val="231F20"/>
          <w:w w:val="105"/>
        </w:rPr>
        <w:t>,</w:t>
      </w:r>
      <w:r>
        <w:rPr>
          <w:color w:val="231F20"/>
          <w:spacing w:val="-35"/>
          <w:w w:val="105"/>
        </w:rPr>
        <w:t> </w:t>
      </w:r>
      <w:r>
        <w:rPr>
          <w:color w:val="231F20"/>
          <w:w w:val="105"/>
        </w:rPr>
        <w:t>y</w:t>
      </w:r>
      <w:r>
        <w:rPr>
          <w:color w:val="231F20"/>
          <w:spacing w:val="-31"/>
          <w:w w:val="105"/>
        </w:rPr>
        <w:t> </w:t>
      </w:r>
      <w:r>
        <w:rPr>
          <w:color w:val="231F20"/>
          <w:w w:val="105"/>
        </w:rPr>
        <w:t>que</w:t>
      </w:r>
      <w:r>
        <w:rPr>
          <w:color w:val="231F20"/>
          <w:spacing w:val="-31"/>
          <w:w w:val="105"/>
        </w:rPr>
        <w:t> </w:t>
      </w:r>
      <w:r>
        <w:rPr>
          <w:color w:val="231F20"/>
          <w:w w:val="105"/>
        </w:rPr>
        <w:t>lo</w:t>
      </w:r>
      <w:r>
        <w:rPr>
          <w:color w:val="231F20"/>
          <w:spacing w:val="-31"/>
          <w:w w:val="105"/>
        </w:rPr>
        <w:t> </w:t>
      </w:r>
      <w:r>
        <w:rPr>
          <w:color w:val="231F20"/>
          <w:w w:val="105"/>
        </w:rPr>
        <w:t>haga</w:t>
      </w:r>
      <w:r>
        <w:rPr>
          <w:color w:val="231F20"/>
          <w:spacing w:val="-31"/>
          <w:w w:val="105"/>
        </w:rPr>
        <w:t> </w:t>
      </w:r>
      <w:r>
        <w:rPr>
          <w:color w:val="231F20"/>
          <w:w w:val="105"/>
        </w:rPr>
        <w:t>para</w:t>
      </w:r>
      <w:r>
        <w:rPr>
          <w:color w:val="231F20"/>
          <w:spacing w:val="-31"/>
          <w:w w:val="105"/>
        </w:rPr>
        <w:t> </w:t>
      </w:r>
      <w:r>
        <w:rPr>
          <w:color w:val="231F20"/>
          <w:w w:val="105"/>
        </w:rPr>
        <w:t>ambas</w:t>
      </w:r>
      <w:r>
        <w:rPr>
          <w:color w:val="231F20"/>
          <w:spacing w:val="-31"/>
          <w:w w:val="105"/>
        </w:rPr>
        <w:t> </w:t>
      </w:r>
      <w:r>
        <w:rPr>
          <w:color w:val="231F20"/>
          <w:spacing w:val="-3"/>
          <w:w w:val="105"/>
        </w:rPr>
        <w:t>áreas </w:t>
      </w:r>
      <w:r>
        <w:rPr>
          <w:color w:val="231F20"/>
          <w:w w:val="105"/>
        </w:rPr>
        <w:t>funcionales,</w:t>
      </w:r>
      <w:r>
        <w:rPr>
          <w:color w:val="231F20"/>
          <w:spacing w:val="-33"/>
          <w:w w:val="105"/>
        </w:rPr>
        <w:t> </w:t>
      </w:r>
      <w:r>
        <w:rPr>
          <w:color w:val="231F20"/>
          <w:w w:val="105"/>
        </w:rPr>
        <w:t>puede</w:t>
      </w:r>
      <w:r>
        <w:rPr>
          <w:color w:val="231F20"/>
          <w:spacing w:val="-29"/>
          <w:w w:val="105"/>
        </w:rPr>
        <w:t> </w:t>
      </w:r>
      <w:r>
        <w:rPr>
          <w:color w:val="231F20"/>
          <w:w w:val="105"/>
        </w:rPr>
        <w:t>tener</w:t>
      </w:r>
      <w:r>
        <w:rPr>
          <w:color w:val="231F20"/>
          <w:spacing w:val="-29"/>
          <w:w w:val="105"/>
        </w:rPr>
        <w:t> </w:t>
      </w:r>
      <w:r>
        <w:rPr>
          <w:color w:val="231F20"/>
          <w:w w:val="105"/>
        </w:rPr>
        <w:t>varias</w:t>
      </w:r>
      <w:r>
        <w:rPr>
          <w:color w:val="231F20"/>
          <w:spacing w:val="-29"/>
          <w:w w:val="105"/>
        </w:rPr>
        <w:t> </w:t>
      </w:r>
      <w:r>
        <w:rPr>
          <w:color w:val="231F20"/>
          <w:spacing w:val="-3"/>
          <w:w w:val="105"/>
        </w:rPr>
        <w:t>interpretaciones.</w:t>
      </w:r>
      <w:r>
        <w:rPr>
          <w:color w:val="231F20"/>
          <w:spacing w:val="-36"/>
          <w:w w:val="105"/>
        </w:rPr>
        <w:t> </w:t>
      </w:r>
      <w:r>
        <w:rPr>
          <w:color w:val="231F20"/>
          <w:w w:val="105"/>
        </w:rPr>
        <w:t>Además</w:t>
      </w:r>
      <w:r>
        <w:rPr>
          <w:color w:val="231F20"/>
          <w:spacing w:val="-29"/>
          <w:w w:val="105"/>
        </w:rPr>
        <w:t> </w:t>
      </w:r>
      <w:r>
        <w:rPr>
          <w:color w:val="231F20"/>
          <w:w w:val="105"/>
        </w:rPr>
        <w:t>de</w:t>
      </w:r>
      <w:r>
        <w:rPr>
          <w:color w:val="231F20"/>
          <w:spacing w:val="-29"/>
          <w:w w:val="105"/>
        </w:rPr>
        <w:t> </w:t>
      </w:r>
      <w:r>
        <w:rPr>
          <w:color w:val="231F20"/>
          <w:w w:val="105"/>
        </w:rPr>
        <w:t>que</w:t>
      </w:r>
      <w:r>
        <w:rPr>
          <w:color w:val="231F20"/>
          <w:spacing w:val="-29"/>
          <w:w w:val="105"/>
        </w:rPr>
        <w:t> </w:t>
      </w:r>
      <w:r>
        <w:rPr>
          <w:color w:val="231F20"/>
          <w:w w:val="105"/>
        </w:rPr>
        <w:t>es</w:t>
      </w:r>
      <w:r>
        <w:rPr>
          <w:color w:val="231F20"/>
          <w:spacing w:val="-29"/>
          <w:w w:val="105"/>
        </w:rPr>
        <w:t> </w:t>
      </w:r>
      <w:r>
        <w:rPr>
          <w:color w:val="231F20"/>
          <w:w w:val="105"/>
        </w:rPr>
        <w:t>posi- ble</w:t>
      </w:r>
      <w:r>
        <w:rPr>
          <w:color w:val="231F20"/>
          <w:spacing w:val="-11"/>
          <w:w w:val="105"/>
        </w:rPr>
        <w:t> </w:t>
      </w:r>
      <w:r>
        <w:rPr>
          <w:color w:val="231F20"/>
          <w:w w:val="105"/>
        </w:rPr>
        <w:t>que</w:t>
      </w:r>
      <w:r>
        <w:rPr>
          <w:color w:val="231F20"/>
          <w:spacing w:val="-11"/>
          <w:w w:val="105"/>
        </w:rPr>
        <w:t> </w:t>
      </w:r>
      <w:r>
        <w:rPr>
          <w:color w:val="231F20"/>
          <w:w w:val="105"/>
        </w:rPr>
        <w:t>ese</w:t>
      </w:r>
      <w:r>
        <w:rPr>
          <w:color w:val="231F20"/>
          <w:spacing w:val="-11"/>
          <w:w w:val="105"/>
        </w:rPr>
        <w:t> </w:t>
      </w:r>
      <w:r>
        <w:rPr>
          <w:color w:val="231F20"/>
          <w:w w:val="105"/>
        </w:rPr>
        <w:t>fenómeno</w:t>
      </w:r>
      <w:r>
        <w:rPr>
          <w:color w:val="231F20"/>
          <w:spacing w:val="-11"/>
          <w:w w:val="105"/>
        </w:rPr>
        <w:t> </w:t>
      </w:r>
      <w:r>
        <w:rPr>
          <w:color w:val="231F20"/>
          <w:w w:val="105"/>
        </w:rPr>
        <w:t>sea</w:t>
      </w:r>
      <w:r>
        <w:rPr>
          <w:color w:val="231F20"/>
          <w:spacing w:val="-11"/>
          <w:w w:val="105"/>
        </w:rPr>
        <w:t> </w:t>
      </w:r>
      <w:r>
        <w:rPr>
          <w:color w:val="231F20"/>
          <w:w w:val="105"/>
        </w:rPr>
        <w:t>un</w:t>
      </w:r>
      <w:r>
        <w:rPr>
          <w:color w:val="231F20"/>
          <w:spacing w:val="-11"/>
          <w:w w:val="105"/>
        </w:rPr>
        <w:t> </w:t>
      </w:r>
      <w:r>
        <w:rPr>
          <w:color w:val="231F20"/>
          <w:spacing w:val="-3"/>
          <w:w w:val="105"/>
        </w:rPr>
        <w:t>reflejo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rPr>
        <w:t>macroeconomía,</w:t>
      </w:r>
      <w:r>
        <w:rPr>
          <w:color w:val="231F20"/>
          <w:spacing w:val="-17"/>
          <w:w w:val="105"/>
        </w:rPr>
        <w:t> </w:t>
      </w:r>
      <w:r>
        <w:rPr>
          <w:color w:val="231F20"/>
          <w:w w:val="105"/>
        </w:rPr>
        <w:t>una</w:t>
      </w:r>
      <w:r>
        <w:rPr>
          <w:color w:val="231F20"/>
          <w:spacing w:val="-11"/>
          <w:w w:val="105"/>
        </w:rPr>
        <w:t> </w:t>
      </w:r>
      <w:r>
        <w:rPr>
          <w:color w:val="231F20"/>
          <w:w w:val="105"/>
        </w:rPr>
        <w:t>de</w:t>
      </w:r>
      <w:r>
        <w:rPr>
          <w:color w:val="231F20"/>
          <w:spacing w:val="-11"/>
          <w:w w:val="105"/>
        </w:rPr>
        <w:t> </w:t>
      </w:r>
      <w:r>
        <w:rPr>
          <w:color w:val="231F20"/>
          <w:w w:val="105"/>
        </w:rPr>
        <w:t>tales </w:t>
      </w:r>
      <w:r>
        <w:rPr>
          <w:color w:val="231F20"/>
          <w:spacing w:val="-3"/>
          <w:w w:val="105"/>
        </w:rPr>
        <w:t>interpretaciones</w:t>
      </w:r>
      <w:r>
        <w:rPr>
          <w:color w:val="231F20"/>
          <w:spacing w:val="-22"/>
          <w:w w:val="105"/>
        </w:rPr>
        <w:t> </w:t>
      </w:r>
      <w:r>
        <w:rPr>
          <w:color w:val="231F20"/>
          <w:w w:val="105"/>
        </w:rPr>
        <w:t>es</w:t>
      </w:r>
      <w:r>
        <w:rPr>
          <w:color w:val="231F20"/>
          <w:spacing w:val="-22"/>
          <w:w w:val="105"/>
        </w:rPr>
        <w:t> </w:t>
      </w:r>
      <w:r>
        <w:rPr>
          <w:color w:val="231F20"/>
          <w:w w:val="105"/>
        </w:rPr>
        <w:t>que</w:t>
      </w:r>
      <w:r>
        <w:rPr>
          <w:color w:val="231F20"/>
          <w:spacing w:val="-22"/>
          <w:w w:val="105"/>
        </w:rPr>
        <w:t> </w:t>
      </w:r>
      <w:r>
        <w:rPr>
          <w:color w:val="231F20"/>
          <w:w w:val="105"/>
        </w:rPr>
        <w:t>en</w:t>
      </w:r>
      <w:r>
        <w:rPr>
          <w:color w:val="231F20"/>
          <w:spacing w:val="-22"/>
          <w:w w:val="105"/>
        </w:rPr>
        <w:t> </w:t>
      </w:r>
      <w:r>
        <w:rPr>
          <w:color w:val="231F20"/>
          <w:w w:val="105"/>
        </w:rPr>
        <w:t>ambos</w:t>
      </w:r>
      <w:r>
        <w:rPr>
          <w:color w:val="231F20"/>
          <w:spacing w:val="-22"/>
          <w:w w:val="105"/>
        </w:rPr>
        <w:t> </w:t>
      </w:r>
      <w:r>
        <w:rPr>
          <w:color w:val="231F20"/>
          <w:w w:val="105"/>
        </w:rPr>
        <w:t>contextos:</w:t>
      </w:r>
      <w:r>
        <w:rPr>
          <w:color w:val="231F20"/>
          <w:spacing w:val="-22"/>
          <w:w w:val="105"/>
        </w:rPr>
        <w:t> </w:t>
      </w:r>
      <w:r>
        <w:rPr>
          <w:color w:val="231F20"/>
          <w:w w:val="105"/>
        </w:rPr>
        <w:t>manufactura</w:t>
      </w:r>
      <w:r>
        <w:rPr>
          <w:color w:val="231F20"/>
          <w:spacing w:val="-22"/>
          <w:w w:val="105"/>
        </w:rPr>
        <w:t> </w:t>
      </w:r>
      <w:r>
        <w:rPr>
          <w:color w:val="231F20"/>
          <w:w w:val="105"/>
        </w:rPr>
        <w:t>y</w:t>
      </w:r>
      <w:r>
        <w:rPr>
          <w:color w:val="231F20"/>
          <w:spacing w:val="-22"/>
          <w:w w:val="105"/>
        </w:rPr>
        <w:t> </w:t>
      </w:r>
      <w:r>
        <w:rPr>
          <w:color w:val="231F20"/>
          <w:spacing w:val="-3"/>
          <w:w w:val="105"/>
        </w:rPr>
        <w:t>mercadotec- </w:t>
      </w:r>
      <w:r>
        <w:rPr>
          <w:color w:val="231F20"/>
          <w:w w:val="105"/>
        </w:rPr>
        <w:t>nia,</w:t>
      </w:r>
      <w:r>
        <w:rPr>
          <w:color w:val="231F20"/>
          <w:spacing w:val="-24"/>
          <w:w w:val="105"/>
        </w:rPr>
        <w:t> </w:t>
      </w:r>
      <w:r>
        <w:rPr>
          <w:color w:val="231F20"/>
          <w:w w:val="105"/>
        </w:rPr>
        <w:t>las</w:t>
      </w:r>
      <w:r>
        <w:rPr>
          <w:color w:val="231F20"/>
          <w:spacing w:val="-19"/>
          <w:w w:val="105"/>
        </w:rPr>
        <w:t> </w:t>
      </w:r>
      <w:r>
        <w:rPr>
          <w:color w:val="231F20"/>
          <w:spacing w:val="-3"/>
          <w:w w:val="105"/>
        </w:rPr>
        <w:t>empresas</w:t>
      </w:r>
      <w:r>
        <w:rPr>
          <w:color w:val="231F20"/>
          <w:spacing w:val="-19"/>
          <w:w w:val="105"/>
        </w:rPr>
        <w:t> </w:t>
      </w:r>
      <w:r>
        <w:rPr>
          <w:color w:val="231F20"/>
          <w:w w:val="105"/>
        </w:rPr>
        <w:t>experimentan</w:t>
      </w:r>
      <w:r>
        <w:rPr>
          <w:color w:val="231F20"/>
          <w:spacing w:val="-19"/>
          <w:w w:val="105"/>
        </w:rPr>
        <w:t> </w:t>
      </w:r>
      <w:r>
        <w:rPr>
          <w:color w:val="231F20"/>
          <w:spacing w:val="-3"/>
          <w:w w:val="105"/>
        </w:rPr>
        <w:t>problemas</w:t>
      </w:r>
      <w:r>
        <w:rPr>
          <w:color w:val="231F20"/>
          <w:spacing w:val="-19"/>
          <w:w w:val="105"/>
        </w:rPr>
        <w:t> </w:t>
      </w:r>
      <w:r>
        <w:rPr>
          <w:color w:val="231F20"/>
          <w:w w:val="105"/>
        </w:rPr>
        <w:t>de</w:t>
      </w:r>
      <w:r>
        <w:rPr>
          <w:color w:val="231F20"/>
          <w:spacing w:val="-19"/>
          <w:w w:val="105"/>
        </w:rPr>
        <w:t> </w:t>
      </w:r>
      <w:r>
        <w:rPr>
          <w:color w:val="231F20"/>
          <w:w w:val="105"/>
        </w:rPr>
        <w:t>rivalidad</w:t>
      </w:r>
      <w:r>
        <w:rPr>
          <w:color w:val="231F20"/>
          <w:spacing w:val="-19"/>
          <w:w w:val="105"/>
        </w:rPr>
        <w:t> </w:t>
      </w:r>
      <w:r>
        <w:rPr>
          <w:color w:val="231F20"/>
          <w:spacing w:val="-3"/>
          <w:w w:val="105"/>
        </w:rPr>
        <w:t>entre</w:t>
      </w:r>
      <w:r>
        <w:rPr>
          <w:color w:val="231F20"/>
          <w:spacing w:val="-19"/>
          <w:w w:val="105"/>
        </w:rPr>
        <w:t> </w:t>
      </w:r>
      <w:r>
        <w:rPr>
          <w:color w:val="231F20"/>
          <w:w w:val="105"/>
        </w:rPr>
        <w:t>sí</w:t>
      </w:r>
      <w:r>
        <w:rPr>
          <w:color w:val="231F20"/>
          <w:spacing w:val="-19"/>
          <w:w w:val="105"/>
        </w:rPr>
        <w:t> </w:t>
      </w:r>
      <w:r>
        <w:rPr>
          <w:color w:val="231F20"/>
          <w:w w:val="105"/>
        </w:rPr>
        <w:t>que</w:t>
      </w:r>
      <w:r>
        <w:rPr>
          <w:color w:val="231F20"/>
          <w:spacing w:val="-19"/>
          <w:w w:val="105"/>
        </w:rPr>
        <w:t> </w:t>
      </w:r>
      <w:r>
        <w:rPr>
          <w:color w:val="231F20"/>
          <w:w w:val="105"/>
        </w:rPr>
        <w:t>pue- den</w:t>
      </w:r>
      <w:r>
        <w:rPr>
          <w:color w:val="231F20"/>
          <w:spacing w:val="-11"/>
          <w:w w:val="105"/>
        </w:rPr>
        <w:t> </w:t>
      </w:r>
      <w:r>
        <w:rPr>
          <w:color w:val="231F20"/>
          <w:spacing w:val="-3"/>
          <w:w w:val="105"/>
        </w:rPr>
        <w:t>estropear</w:t>
      </w:r>
      <w:r>
        <w:rPr>
          <w:color w:val="231F20"/>
          <w:spacing w:val="-11"/>
          <w:w w:val="105"/>
        </w:rPr>
        <w:t> </w:t>
      </w:r>
      <w:r>
        <w:rPr>
          <w:color w:val="231F20"/>
          <w:w w:val="105"/>
        </w:rPr>
        <w:t>las</w:t>
      </w:r>
      <w:r>
        <w:rPr>
          <w:color w:val="231F20"/>
          <w:spacing w:val="-10"/>
          <w:w w:val="105"/>
        </w:rPr>
        <w:t> </w:t>
      </w:r>
      <w:r>
        <w:rPr>
          <w:color w:val="231F20"/>
          <w:w w:val="105"/>
        </w:rPr>
        <w:t>posibles</w:t>
      </w:r>
      <w:r>
        <w:rPr>
          <w:color w:val="231F20"/>
          <w:spacing w:val="-11"/>
          <w:w w:val="105"/>
        </w:rPr>
        <w:t> </w:t>
      </w:r>
      <w:r>
        <w:rPr>
          <w:color w:val="231F20"/>
          <w:spacing w:val="-3"/>
          <w:w w:val="105"/>
        </w:rPr>
        <w:t>sinergias.</w:t>
      </w:r>
      <w:r>
        <w:rPr>
          <w:color w:val="231F20"/>
          <w:spacing w:val="-15"/>
          <w:w w:val="105"/>
        </w:rPr>
        <w:t> </w:t>
      </w:r>
      <w:r>
        <w:rPr>
          <w:color w:val="231F20"/>
          <w:w w:val="105"/>
        </w:rPr>
        <w:t>En</w:t>
      </w:r>
      <w:r>
        <w:rPr>
          <w:color w:val="231F20"/>
          <w:spacing w:val="-10"/>
          <w:w w:val="105"/>
        </w:rPr>
        <w:t> </w:t>
      </w:r>
      <w:r>
        <w:rPr>
          <w:color w:val="231F20"/>
          <w:w w:val="105"/>
        </w:rPr>
        <w:t>estas</w:t>
      </w:r>
      <w:r>
        <w:rPr>
          <w:color w:val="231F20"/>
          <w:spacing w:val="-10"/>
          <w:w w:val="105"/>
        </w:rPr>
        <w:t> </w:t>
      </w:r>
      <w:r>
        <w:rPr>
          <w:color w:val="231F20"/>
          <w:w w:val="105"/>
        </w:rPr>
        <w:t>desafortunadas</w:t>
      </w:r>
      <w:r>
        <w:rPr>
          <w:color w:val="231F20"/>
          <w:spacing w:val="-10"/>
          <w:w w:val="105"/>
        </w:rPr>
        <w:t> </w:t>
      </w:r>
      <w:r>
        <w:rPr>
          <w:color w:val="231F20"/>
          <w:w w:val="105"/>
        </w:rPr>
        <w:t>condicio- nes,</w:t>
      </w:r>
      <w:r>
        <w:rPr>
          <w:color w:val="231F20"/>
          <w:spacing w:val="-20"/>
          <w:w w:val="105"/>
        </w:rPr>
        <w:t> </w:t>
      </w:r>
      <w:r>
        <w:rPr>
          <w:color w:val="231F20"/>
          <w:w w:val="105"/>
        </w:rPr>
        <w:t>sería</w:t>
      </w:r>
      <w:r>
        <w:rPr>
          <w:color w:val="231F20"/>
          <w:spacing w:val="-15"/>
          <w:w w:val="105"/>
        </w:rPr>
        <w:t> </w:t>
      </w:r>
      <w:r>
        <w:rPr>
          <w:color w:val="231F20"/>
          <w:spacing w:val="-2"/>
          <w:w w:val="105"/>
        </w:rPr>
        <w:t>razonable</w:t>
      </w:r>
      <w:r>
        <w:rPr>
          <w:color w:val="231F20"/>
          <w:spacing w:val="-15"/>
          <w:w w:val="105"/>
        </w:rPr>
        <w:t> </w:t>
      </w:r>
      <w:r>
        <w:rPr>
          <w:color w:val="231F20"/>
          <w:w w:val="105"/>
        </w:rPr>
        <w:t>esperar</w:t>
      </w:r>
      <w:r>
        <w:rPr>
          <w:color w:val="231F20"/>
          <w:spacing w:val="-15"/>
          <w:w w:val="105"/>
        </w:rPr>
        <w:t> </w:t>
      </w:r>
      <w:r>
        <w:rPr>
          <w:color w:val="231F20"/>
          <w:w w:val="105"/>
        </w:rPr>
        <w:t>un</w:t>
      </w:r>
      <w:r>
        <w:rPr>
          <w:color w:val="231F20"/>
          <w:spacing w:val="-15"/>
          <w:w w:val="105"/>
        </w:rPr>
        <w:t> </w:t>
      </w:r>
      <w:r>
        <w:rPr>
          <w:color w:val="231F20"/>
          <w:spacing w:val="-3"/>
          <w:w w:val="105"/>
        </w:rPr>
        <w:t>decremento</w:t>
      </w:r>
      <w:r>
        <w:rPr>
          <w:color w:val="231F20"/>
          <w:spacing w:val="-15"/>
          <w:w w:val="105"/>
        </w:rPr>
        <w:t> </w:t>
      </w:r>
      <w:r>
        <w:rPr>
          <w:color w:val="231F20"/>
          <w:w w:val="105"/>
        </w:rPr>
        <w:t>(en</w:t>
      </w:r>
      <w:r>
        <w:rPr>
          <w:color w:val="231F20"/>
          <w:spacing w:val="-15"/>
          <w:w w:val="105"/>
        </w:rPr>
        <w:t> </w:t>
      </w:r>
      <w:r>
        <w:rPr>
          <w:color w:val="231F20"/>
          <w:w w:val="105"/>
        </w:rPr>
        <w:t>lugar</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spacing w:val="-3"/>
          <w:w w:val="105"/>
        </w:rPr>
        <w:t>incremento)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desempeño</w:t>
      </w:r>
      <w:r>
        <w:rPr>
          <w:color w:val="231F20"/>
          <w:spacing w:val="-22"/>
          <w:w w:val="105"/>
        </w:rPr>
        <w:t> </w:t>
      </w:r>
      <w:r>
        <w:rPr>
          <w:color w:val="231F20"/>
          <w:spacing w:val="-3"/>
          <w:w w:val="105"/>
        </w:rPr>
        <w:t>financiero</w:t>
      </w:r>
      <w:r>
        <w:rPr>
          <w:color w:val="231F20"/>
          <w:spacing w:val="-22"/>
          <w:w w:val="105"/>
        </w:rPr>
        <w:t> </w:t>
      </w:r>
      <w:r>
        <w:rPr>
          <w:color w:val="231F20"/>
          <w:spacing w:val="-3"/>
          <w:w w:val="105"/>
        </w:rPr>
        <w:t>empresarial</w:t>
      </w:r>
      <w:r>
        <w:rPr>
          <w:color w:val="231F20"/>
          <w:spacing w:val="-22"/>
          <w:w w:val="105"/>
        </w:rPr>
        <w:t> </w:t>
      </w:r>
      <w:r>
        <w:rPr>
          <w:color w:val="231F20"/>
          <w:w w:val="105"/>
        </w:rPr>
        <w:t>durante</w:t>
      </w:r>
      <w:r>
        <w:rPr>
          <w:color w:val="231F20"/>
          <w:spacing w:val="-22"/>
          <w:w w:val="105"/>
        </w:rPr>
        <w:t> </w:t>
      </w:r>
      <w:r>
        <w:rPr>
          <w:color w:val="231F20"/>
          <w:w w:val="105"/>
        </w:rPr>
        <w:t>los</w:t>
      </w:r>
      <w:r>
        <w:rPr>
          <w:color w:val="231F20"/>
          <w:spacing w:val="-22"/>
          <w:w w:val="105"/>
        </w:rPr>
        <w:t> </w:t>
      </w:r>
      <w:r>
        <w:rPr>
          <w:color w:val="231F20"/>
          <w:w w:val="105"/>
        </w:rPr>
        <w:t>años</w:t>
      </w:r>
      <w:r>
        <w:rPr>
          <w:color w:val="231F20"/>
          <w:spacing w:val="-22"/>
          <w:w w:val="105"/>
        </w:rPr>
        <w:t> </w:t>
      </w:r>
      <w:r>
        <w:rPr>
          <w:color w:val="231F20"/>
          <w:w w:val="105"/>
        </w:rPr>
        <w:t>que</w:t>
      </w:r>
      <w:r>
        <w:rPr>
          <w:color w:val="231F20"/>
          <w:spacing w:val="-22"/>
          <w:w w:val="105"/>
        </w:rPr>
        <w:t> </w:t>
      </w:r>
      <w:r>
        <w:rPr>
          <w:color w:val="231F20"/>
          <w:w w:val="105"/>
        </w:rPr>
        <w:t>siguen</w:t>
      </w:r>
      <w:r>
        <w:rPr>
          <w:color w:val="231F20"/>
          <w:spacing w:val="-22"/>
          <w:w w:val="105"/>
        </w:rPr>
        <w:t> </w:t>
      </w:r>
      <w:r>
        <w:rPr>
          <w:color w:val="231F20"/>
          <w:w w:val="105"/>
        </w:rPr>
        <w:t>a</w:t>
      </w:r>
      <w:r>
        <w:rPr>
          <w:color w:val="231F20"/>
          <w:spacing w:val="-22"/>
          <w:w w:val="105"/>
        </w:rPr>
        <w:t> </w:t>
      </w:r>
      <w:r>
        <w:rPr>
          <w:color w:val="231F20"/>
          <w:w w:val="105"/>
        </w:rPr>
        <w:t>la formación</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i/>
          <w:color w:val="231F20"/>
          <w:w w:val="105"/>
        </w:rPr>
        <w:t>joint</w:t>
      </w:r>
      <w:r>
        <w:rPr>
          <w:i/>
          <w:color w:val="231F20"/>
          <w:spacing w:val="-24"/>
          <w:w w:val="105"/>
        </w:rPr>
        <w:t> </w:t>
      </w:r>
      <w:r>
        <w:rPr>
          <w:i/>
          <w:color w:val="231F20"/>
          <w:w w:val="105"/>
        </w:rPr>
        <w:t>venture</w:t>
      </w:r>
      <w:r>
        <w:rPr>
          <w:color w:val="231F20"/>
          <w:w w:val="105"/>
        </w:rPr>
        <w:t>.</w:t>
      </w:r>
      <w:r>
        <w:rPr>
          <w:color w:val="231F20"/>
          <w:spacing w:val="-31"/>
          <w:w w:val="105"/>
        </w:rPr>
        <w:t> </w:t>
      </w:r>
      <w:r>
        <w:rPr>
          <w:color w:val="231F20"/>
          <w:w w:val="105"/>
        </w:rPr>
        <w:t>A</w:t>
      </w:r>
      <w:r>
        <w:rPr>
          <w:color w:val="231F20"/>
          <w:spacing w:val="-27"/>
          <w:w w:val="105"/>
        </w:rPr>
        <w:t> </w:t>
      </w:r>
      <w:r>
        <w:rPr>
          <w:color w:val="231F20"/>
          <w:w w:val="105"/>
        </w:rPr>
        <w:t>este</w:t>
      </w:r>
      <w:r>
        <w:rPr>
          <w:color w:val="231F20"/>
          <w:spacing w:val="-24"/>
          <w:w w:val="105"/>
        </w:rPr>
        <w:t> </w:t>
      </w:r>
      <w:r>
        <w:rPr>
          <w:color w:val="231F20"/>
          <w:spacing w:val="-3"/>
          <w:w w:val="105"/>
        </w:rPr>
        <w:t>respecto</w:t>
      </w:r>
      <w:r>
        <w:rPr>
          <w:color w:val="231F20"/>
          <w:spacing w:val="-24"/>
          <w:w w:val="105"/>
        </w:rPr>
        <w:t> </w:t>
      </w:r>
      <w:r>
        <w:rPr>
          <w:color w:val="231F20"/>
          <w:w w:val="105"/>
        </w:rPr>
        <w:t>la</w:t>
      </w:r>
      <w:r>
        <w:rPr>
          <w:color w:val="231F20"/>
          <w:spacing w:val="-24"/>
          <w:w w:val="105"/>
        </w:rPr>
        <w:t> </w:t>
      </w:r>
      <w:r>
        <w:rPr>
          <w:color w:val="231F20"/>
          <w:w w:val="105"/>
        </w:rPr>
        <w:t>evidencia</w:t>
      </w:r>
      <w:r>
        <w:rPr>
          <w:color w:val="231F20"/>
          <w:spacing w:val="-24"/>
          <w:w w:val="105"/>
        </w:rPr>
        <w:t> </w:t>
      </w:r>
      <w:r>
        <w:rPr>
          <w:color w:val="231F20"/>
          <w:w w:val="105"/>
        </w:rPr>
        <w:t>es</w:t>
      </w:r>
      <w:r>
        <w:rPr>
          <w:color w:val="231F20"/>
          <w:spacing w:val="-24"/>
          <w:w w:val="105"/>
        </w:rPr>
        <w:t> </w:t>
      </w:r>
      <w:r>
        <w:rPr>
          <w:color w:val="231F20"/>
          <w:w w:val="105"/>
        </w:rPr>
        <w:t>contradic- toria,</w:t>
      </w:r>
      <w:r>
        <w:rPr>
          <w:color w:val="231F20"/>
          <w:spacing w:val="-31"/>
          <w:w w:val="105"/>
        </w:rPr>
        <w:t> </w:t>
      </w:r>
      <w:r>
        <w:rPr>
          <w:color w:val="231F20"/>
          <w:w w:val="105"/>
        </w:rPr>
        <w:t>mientras</w:t>
      </w:r>
      <w:r>
        <w:rPr>
          <w:color w:val="231F20"/>
          <w:spacing w:val="-26"/>
          <w:w w:val="105"/>
        </w:rPr>
        <w:t> </w:t>
      </w:r>
      <w:r>
        <w:rPr>
          <w:color w:val="231F20"/>
          <w:w w:val="105"/>
        </w:rPr>
        <w:t>que</w:t>
      </w:r>
      <w:r>
        <w:rPr>
          <w:color w:val="231F20"/>
          <w:spacing w:val="-26"/>
          <w:w w:val="105"/>
        </w:rPr>
        <w:t> </w:t>
      </w:r>
      <w:r>
        <w:rPr>
          <w:color w:val="231F20"/>
          <w:w w:val="105"/>
        </w:rPr>
        <w:t>algunos</w:t>
      </w:r>
      <w:r>
        <w:rPr>
          <w:color w:val="231F20"/>
          <w:spacing w:val="-26"/>
          <w:w w:val="105"/>
        </w:rPr>
        <w:t> </w:t>
      </w:r>
      <w:r>
        <w:rPr>
          <w:color w:val="231F20"/>
          <w:w w:val="105"/>
        </w:rPr>
        <w:t>estudios</w:t>
      </w:r>
      <w:r>
        <w:rPr>
          <w:color w:val="231F20"/>
          <w:spacing w:val="-26"/>
          <w:w w:val="105"/>
        </w:rPr>
        <w:t> </w:t>
      </w:r>
      <w:r>
        <w:rPr>
          <w:color w:val="231F20"/>
          <w:w w:val="105"/>
        </w:rPr>
        <w:t>indican</w:t>
      </w:r>
      <w:r>
        <w:rPr>
          <w:color w:val="231F20"/>
          <w:spacing w:val="-26"/>
          <w:w w:val="105"/>
        </w:rPr>
        <w:t> </w:t>
      </w:r>
      <w:r>
        <w:rPr>
          <w:color w:val="231F20"/>
          <w:w w:val="105"/>
        </w:rPr>
        <w:t>que</w:t>
      </w:r>
      <w:r>
        <w:rPr>
          <w:color w:val="231F20"/>
          <w:spacing w:val="-26"/>
          <w:w w:val="105"/>
        </w:rPr>
        <w:t> </w:t>
      </w:r>
      <w:r>
        <w:rPr>
          <w:color w:val="231F20"/>
          <w:w w:val="105"/>
        </w:rPr>
        <w:t>los</w:t>
      </w:r>
      <w:r>
        <w:rPr>
          <w:color w:val="231F20"/>
          <w:spacing w:val="-26"/>
          <w:w w:val="105"/>
        </w:rPr>
        <w:t> </w:t>
      </w:r>
      <w:r>
        <w:rPr>
          <w:color w:val="231F20"/>
          <w:spacing w:val="-3"/>
          <w:w w:val="105"/>
        </w:rPr>
        <w:t>tratos</w:t>
      </w:r>
      <w:r>
        <w:rPr>
          <w:color w:val="231F20"/>
          <w:spacing w:val="-26"/>
          <w:w w:val="105"/>
        </w:rPr>
        <w:t> </w:t>
      </w:r>
      <w:r>
        <w:rPr>
          <w:color w:val="231F20"/>
          <w:w w:val="105"/>
        </w:rPr>
        <w:t>de</w:t>
      </w:r>
      <w:r>
        <w:rPr>
          <w:color w:val="231F20"/>
          <w:spacing w:val="-26"/>
          <w:w w:val="105"/>
        </w:rPr>
        <w:t> </w:t>
      </w:r>
      <w:r>
        <w:rPr>
          <w:color w:val="231F20"/>
          <w:w w:val="105"/>
        </w:rPr>
        <w:t>manufactu- ra</w:t>
      </w:r>
      <w:r>
        <w:rPr>
          <w:color w:val="231F20"/>
          <w:spacing w:val="-9"/>
          <w:w w:val="105"/>
        </w:rPr>
        <w:t> </w:t>
      </w:r>
      <w:r>
        <w:rPr>
          <w:color w:val="231F20"/>
          <w:w w:val="105"/>
        </w:rPr>
        <w:t>y</w:t>
      </w:r>
      <w:r>
        <w:rPr>
          <w:color w:val="231F20"/>
          <w:spacing w:val="-9"/>
          <w:w w:val="105"/>
        </w:rPr>
        <w:t> </w:t>
      </w:r>
      <w:r>
        <w:rPr>
          <w:color w:val="231F20"/>
          <w:w w:val="105"/>
        </w:rPr>
        <w:t>los</w:t>
      </w:r>
      <w:r>
        <w:rPr>
          <w:color w:val="231F20"/>
          <w:spacing w:val="-9"/>
          <w:w w:val="105"/>
        </w:rPr>
        <w:t> </w:t>
      </w:r>
      <w:r>
        <w:rPr>
          <w:color w:val="231F20"/>
          <w:w w:val="105"/>
        </w:rPr>
        <w:t>de</w:t>
      </w:r>
      <w:r>
        <w:rPr>
          <w:color w:val="231F20"/>
          <w:spacing w:val="-9"/>
          <w:w w:val="105"/>
        </w:rPr>
        <w:t> </w:t>
      </w:r>
      <w:r>
        <w:rPr>
          <w:color w:val="231F20"/>
          <w:spacing w:val="-3"/>
          <w:w w:val="105"/>
        </w:rPr>
        <w:t>mercadotecnia</w:t>
      </w:r>
      <w:r>
        <w:rPr>
          <w:color w:val="231F20"/>
          <w:spacing w:val="-9"/>
          <w:w w:val="105"/>
        </w:rPr>
        <w:t> </w:t>
      </w:r>
      <w:r>
        <w:rPr>
          <w:color w:val="231F20"/>
          <w:w w:val="105"/>
        </w:rPr>
        <w:t>podrían</w:t>
      </w:r>
      <w:r>
        <w:rPr>
          <w:color w:val="231F20"/>
          <w:spacing w:val="-9"/>
          <w:w w:val="105"/>
        </w:rPr>
        <w:t> </w:t>
      </w:r>
      <w:r>
        <w:rPr>
          <w:color w:val="231F20"/>
          <w:w w:val="105"/>
        </w:rPr>
        <w:t>no</w:t>
      </w:r>
      <w:r>
        <w:rPr>
          <w:color w:val="231F20"/>
          <w:spacing w:val="-9"/>
          <w:w w:val="105"/>
        </w:rPr>
        <w:t> </w:t>
      </w:r>
      <w:r>
        <w:rPr>
          <w:color w:val="231F20"/>
          <w:w w:val="105"/>
        </w:rPr>
        <w:t>beneficiar</w:t>
      </w:r>
      <w:r>
        <w:rPr>
          <w:color w:val="231F20"/>
          <w:spacing w:val="-9"/>
          <w:w w:val="105"/>
        </w:rPr>
        <w:t> </w:t>
      </w:r>
      <w:r>
        <w:rPr>
          <w:color w:val="231F20"/>
          <w:w w:val="105"/>
        </w:rPr>
        <w:t>significativamente</w:t>
      </w:r>
      <w:r>
        <w:rPr>
          <w:color w:val="231F20"/>
          <w:spacing w:val="-9"/>
          <w:w w:val="105"/>
        </w:rPr>
        <w:t> </w:t>
      </w:r>
      <w:r>
        <w:rPr>
          <w:color w:val="231F20"/>
          <w:w w:val="105"/>
        </w:rPr>
        <w:t>a</w:t>
      </w:r>
      <w:r>
        <w:rPr>
          <w:color w:val="231F20"/>
          <w:spacing w:val="-9"/>
          <w:w w:val="105"/>
        </w:rPr>
        <w:t> </w:t>
      </w:r>
      <w:r>
        <w:rPr>
          <w:color w:val="231F20"/>
          <w:spacing w:val="-2"/>
          <w:w w:val="105"/>
        </w:rPr>
        <w:t>las </w:t>
      </w:r>
      <w:r>
        <w:rPr>
          <w:color w:val="231F20"/>
          <w:spacing w:val="-3"/>
          <w:w w:val="105"/>
        </w:rPr>
        <w:t>empresas</w:t>
      </w:r>
      <w:r>
        <w:rPr>
          <w:color w:val="231F20"/>
          <w:spacing w:val="-13"/>
          <w:w w:val="105"/>
        </w:rPr>
        <w:t> </w:t>
      </w:r>
      <w:r>
        <w:rPr>
          <w:color w:val="231F20"/>
          <w:w w:val="105"/>
        </w:rPr>
        <w:t>(Anand</w:t>
      </w:r>
      <w:r>
        <w:rPr>
          <w:color w:val="231F20"/>
          <w:spacing w:val="-13"/>
          <w:w w:val="105"/>
        </w:rPr>
        <w:t> </w:t>
      </w:r>
      <w:r>
        <w:rPr>
          <w:color w:val="231F20"/>
          <w:w w:val="105"/>
        </w:rPr>
        <w:t>y</w:t>
      </w:r>
      <w:r>
        <w:rPr>
          <w:color w:val="231F20"/>
          <w:spacing w:val="-13"/>
          <w:w w:val="105"/>
        </w:rPr>
        <w:t> </w:t>
      </w:r>
      <w:r>
        <w:rPr>
          <w:color w:val="231F20"/>
          <w:w w:val="105"/>
        </w:rPr>
        <w:t>Khana,</w:t>
      </w:r>
      <w:r>
        <w:rPr>
          <w:color w:val="231F20"/>
          <w:spacing w:val="-17"/>
          <w:w w:val="105"/>
        </w:rPr>
        <w:t> </w:t>
      </w:r>
      <w:r>
        <w:rPr>
          <w:color w:val="231F20"/>
          <w:w w:val="105"/>
        </w:rPr>
        <w:t>2000),</w:t>
      </w:r>
      <w:r>
        <w:rPr>
          <w:color w:val="231F20"/>
          <w:spacing w:val="-17"/>
          <w:w w:val="105"/>
        </w:rPr>
        <w:t> </w:t>
      </w:r>
      <w:r>
        <w:rPr>
          <w:color w:val="231F20"/>
          <w:spacing w:val="-3"/>
          <w:w w:val="105"/>
        </w:rPr>
        <w:t>otros</w:t>
      </w:r>
      <w:r>
        <w:rPr>
          <w:color w:val="231F20"/>
          <w:spacing w:val="-13"/>
          <w:w w:val="105"/>
        </w:rPr>
        <w:t> </w:t>
      </w:r>
      <w:r>
        <w:rPr>
          <w:color w:val="231F20"/>
          <w:spacing w:val="-3"/>
          <w:w w:val="105"/>
        </w:rPr>
        <w:t>sugieren</w:t>
      </w:r>
      <w:r>
        <w:rPr>
          <w:color w:val="231F20"/>
          <w:spacing w:val="-13"/>
          <w:w w:val="105"/>
        </w:rPr>
        <w:t> </w:t>
      </w:r>
      <w:r>
        <w:rPr>
          <w:color w:val="231F20"/>
          <w:w w:val="105"/>
        </w:rPr>
        <w:t>lo</w:t>
      </w:r>
      <w:r>
        <w:rPr>
          <w:color w:val="231F20"/>
          <w:spacing w:val="-13"/>
          <w:w w:val="105"/>
        </w:rPr>
        <w:t> </w:t>
      </w:r>
      <w:r>
        <w:rPr>
          <w:color w:val="231F20"/>
          <w:spacing w:val="-2"/>
          <w:w w:val="105"/>
        </w:rPr>
        <w:t>contrario</w:t>
      </w:r>
      <w:r>
        <w:rPr>
          <w:color w:val="231F20"/>
          <w:spacing w:val="-13"/>
          <w:w w:val="105"/>
        </w:rPr>
        <w:t> </w:t>
      </w:r>
      <w:r>
        <w:rPr>
          <w:color w:val="231F20"/>
          <w:w w:val="105"/>
        </w:rPr>
        <w:t>(Swamina- than</w:t>
      </w:r>
      <w:r>
        <w:rPr>
          <w:color w:val="231F20"/>
          <w:spacing w:val="-28"/>
          <w:w w:val="105"/>
        </w:rPr>
        <w:t> </w:t>
      </w:r>
      <w:r>
        <w:rPr>
          <w:color w:val="231F20"/>
          <w:w w:val="105"/>
        </w:rPr>
        <w:t>y</w:t>
      </w:r>
      <w:r>
        <w:rPr>
          <w:color w:val="231F20"/>
          <w:spacing w:val="-28"/>
          <w:w w:val="105"/>
        </w:rPr>
        <w:t> </w:t>
      </w:r>
      <w:r>
        <w:rPr>
          <w:color w:val="231F20"/>
          <w:w w:val="105"/>
        </w:rPr>
        <w:t>Moorman,</w:t>
      </w:r>
      <w:r>
        <w:rPr>
          <w:color w:val="231F20"/>
          <w:spacing w:val="-33"/>
          <w:w w:val="105"/>
        </w:rPr>
        <w:t> </w:t>
      </w:r>
      <w:r>
        <w:rPr>
          <w:color w:val="231F20"/>
          <w:w w:val="105"/>
        </w:rPr>
        <w:t>2009).</w:t>
      </w:r>
      <w:r>
        <w:rPr>
          <w:color w:val="231F20"/>
          <w:spacing w:val="-33"/>
          <w:w w:val="105"/>
        </w:rPr>
        <w:t> </w:t>
      </w:r>
      <w:r>
        <w:rPr>
          <w:color w:val="231F20"/>
          <w:w w:val="105"/>
        </w:rPr>
        <w:t>Curiosamente,</w:t>
      </w:r>
      <w:r>
        <w:rPr>
          <w:color w:val="231F20"/>
          <w:spacing w:val="-33"/>
          <w:w w:val="105"/>
        </w:rPr>
        <w:t> </w:t>
      </w:r>
      <w:r>
        <w:rPr>
          <w:color w:val="231F20"/>
          <w:w w:val="105"/>
        </w:rPr>
        <w:t>aunque</w:t>
      </w:r>
      <w:r>
        <w:rPr>
          <w:color w:val="231F20"/>
          <w:spacing w:val="-28"/>
          <w:w w:val="105"/>
        </w:rPr>
        <w:t> </w:t>
      </w:r>
      <w:r>
        <w:rPr>
          <w:color w:val="231F20"/>
          <w:w w:val="105"/>
        </w:rPr>
        <w:t>los</w:t>
      </w:r>
      <w:r>
        <w:rPr>
          <w:color w:val="231F20"/>
          <w:spacing w:val="-28"/>
          <w:w w:val="105"/>
        </w:rPr>
        <w:t> </w:t>
      </w:r>
      <w:r>
        <w:rPr>
          <w:color w:val="231F20"/>
          <w:spacing w:val="-3"/>
          <w:w w:val="105"/>
        </w:rPr>
        <w:t>resultados</w:t>
      </w:r>
      <w:r>
        <w:rPr>
          <w:color w:val="231F20"/>
          <w:spacing w:val="-28"/>
          <w:w w:val="105"/>
        </w:rPr>
        <w:t> </w:t>
      </w:r>
      <w:r>
        <w:rPr>
          <w:color w:val="231F20"/>
          <w:w w:val="105"/>
        </w:rPr>
        <w:t>de</w:t>
      </w:r>
      <w:r>
        <w:rPr>
          <w:color w:val="231F20"/>
          <w:spacing w:val="-28"/>
          <w:w w:val="105"/>
        </w:rPr>
        <w:t> </w:t>
      </w:r>
      <w:r>
        <w:rPr>
          <w:color w:val="231F20"/>
          <w:w w:val="105"/>
        </w:rPr>
        <w:t>este</w:t>
      </w:r>
      <w:r>
        <w:rPr>
          <w:color w:val="231F20"/>
          <w:spacing w:val="-28"/>
          <w:w w:val="105"/>
        </w:rPr>
        <w:t> </w:t>
      </w:r>
      <w:r>
        <w:rPr>
          <w:color w:val="231F20"/>
          <w:w w:val="105"/>
        </w:rPr>
        <w:t>es- tudio</w:t>
      </w:r>
      <w:r>
        <w:rPr>
          <w:color w:val="231F20"/>
          <w:spacing w:val="-31"/>
          <w:w w:val="105"/>
        </w:rPr>
        <w:t> </w:t>
      </w:r>
      <w:r>
        <w:rPr>
          <w:color w:val="231F20"/>
          <w:w w:val="105"/>
        </w:rPr>
        <w:t>son</w:t>
      </w:r>
      <w:r>
        <w:rPr>
          <w:color w:val="231F20"/>
          <w:spacing w:val="-31"/>
          <w:w w:val="105"/>
        </w:rPr>
        <w:t> </w:t>
      </w:r>
      <w:r>
        <w:rPr>
          <w:color w:val="231F20"/>
          <w:spacing w:val="-3"/>
          <w:w w:val="105"/>
        </w:rPr>
        <w:t>sugerentes,</w:t>
      </w:r>
      <w:r>
        <w:rPr>
          <w:color w:val="231F20"/>
          <w:spacing w:val="-35"/>
          <w:w w:val="105"/>
        </w:rPr>
        <w:t> </w:t>
      </w:r>
      <w:r>
        <w:rPr>
          <w:color w:val="231F20"/>
          <w:w w:val="105"/>
        </w:rPr>
        <w:t>ni</w:t>
      </w:r>
      <w:r>
        <w:rPr>
          <w:color w:val="231F20"/>
          <w:spacing w:val="-31"/>
          <w:w w:val="105"/>
        </w:rPr>
        <w:t> </w:t>
      </w:r>
      <w:r>
        <w:rPr>
          <w:color w:val="231F20"/>
          <w:w w:val="105"/>
        </w:rPr>
        <w:t>clarifican</w:t>
      </w:r>
      <w:r>
        <w:rPr>
          <w:color w:val="231F20"/>
          <w:spacing w:val="-31"/>
          <w:w w:val="105"/>
        </w:rPr>
        <w:t> </w:t>
      </w:r>
      <w:r>
        <w:rPr>
          <w:color w:val="231F20"/>
          <w:w w:val="105"/>
        </w:rPr>
        <w:t>el</w:t>
      </w:r>
      <w:r>
        <w:rPr>
          <w:color w:val="231F20"/>
          <w:spacing w:val="-31"/>
          <w:w w:val="105"/>
        </w:rPr>
        <w:t> </w:t>
      </w:r>
      <w:r>
        <w:rPr>
          <w:color w:val="231F20"/>
          <w:w w:val="105"/>
        </w:rPr>
        <w:t>potencial</w:t>
      </w:r>
      <w:r>
        <w:rPr>
          <w:color w:val="231F20"/>
          <w:spacing w:val="-31"/>
          <w:w w:val="105"/>
        </w:rPr>
        <w:t> </w:t>
      </w:r>
      <w:r>
        <w:rPr>
          <w:color w:val="231F20"/>
          <w:w w:val="105"/>
        </w:rPr>
        <w:t>que</w:t>
      </w:r>
      <w:r>
        <w:rPr>
          <w:color w:val="231F20"/>
          <w:spacing w:val="-31"/>
          <w:w w:val="105"/>
        </w:rPr>
        <w:t> </w:t>
      </w:r>
      <w:r>
        <w:rPr>
          <w:color w:val="231F20"/>
          <w:w w:val="105"/>
        </w:rPr>
        <w:t>las</w:t>
      </w:r>
      <w:r>
        <w:rPr>
          <w:color w:val="231F20"/>
          <w:spacing w:val="-31"/>
          <w:w w:val="105"/>
        </w:rPr>
        <w:t> </w:t>
      </w:r>
      <w:r>
        <w:rPr>
          <w:i/>
          <w:color w:val="231F20"/>
          <w:w w:val="105"/>
        </w:rPr>
        <w:t>joint</w:t>
      </w:r>
      <w:r>
        <w:rPr>
          <w:i/>
          <w:color w:val="231F20"/>
          <w:spacing w:val="-31"/>
          <w:w w:val="105"/>
        </w:rPr>
        <w:t> </w:t>
      </w:r>
      <w:r>
        <w:rPr>
          <w:i/>
          <w:color w:val="231F20"/>
          <w:w w:val="105"/>
        </w:rPr>
        <w:t>venture</w:t>
      </w:r>
      <w:r>
        <w:rPr>
          <w:color w:val="231F20"/>
          <w:w w:val="105"/>
        </w:rPr>
        <w:t>s</w:t>
      </w:r>
      <w:r>
        <w:rPr>
          <w:color w:val="231F20"/>
          <w:spacing w:val="-31"/>
          <w:w w:val="105"/>
        </w:rPr>
        <w:t> </w:t>
      </w:r>
      <w:r>
        <w:rPr>
          <w:color w:val="231F20"/>
          <w:spacing w:val="-2"/>
          <w:w w:val="105"/>
        </w:rPr>
        <w:t>tienen </w:t>
      </w:r>
      <w:r>
        <w:rPr>
          <w:color w:val="231F20"/>
          <w:w w:val="105"/>
        </w:rPr>
        <w:t>para</w:t>
      </w:r>
      <w:r>
        <w:rPr>
          <w:color w:val="231F20"/>
          <w:spacing w:val="-31"/>
          <w:w w:val="105"/>
        </w:rPr>
        <w:t> </w:t>
      </w:r>
      <w:r>
        <w:rPr>
          <w:color w:val="231F20"/>
          <w:spacing w:val="-3"/>
          <w:w w:val="105"/>
        </w:rPr>
        <w:t>crear</w:t>
      </w:r>
      <w:r>
        <w:rPr>
          <w:color w:val="231F20"/>
          <w:spacing w:val="-31"/>
          <w:w w:val="105"/>
        </w:rPr>
        <w:t> </w:t>
      </w:r>
      <w:r>
        <w:rPr>
          <w:color w:val="231F20"/>
          <w:w w:val="105"/>
        </w:rPr>
        <w:t>valor</w:t>
      </w:r>
      <w:r>
        <w:rPr>
          <w:color w:val="231F20"/>
          <w:spacing w:val="-31"/>
          <w:w w:val="105"/>
        </w:rPr>
        <w:t> </w:t>
      </w:r>
      <w:r>
        <w:rPr>
          <w:color w:val="231F20"/>
          <w:w w:val="105"/>
        </w:rPr>
        <w:t>ni</w:t>
      </w:r>
      <w:r>
        <w:rPr>
          <w:color w:val="231F20"/>
          <w:spacing w:val="-31"/>
          <w:w w:val="105"/>
        </w:rPr>
        <w:t> </w:t>
      </w:r>
      <w:r>
        <w:rPr>
          <w:color w:val="231F20"/>
          <w:w w:val="105"/>
        </w:rPr>
        <w:t>tampoco</w:t>
      </w:r>
      <w:r>
        <w:rPr>
          <w:color w:val="231F20"/>
          <w:spacing w:val="-31"/>
          <w:w w:val="105"/>
        </w:rPr>
        <w:t> </w:t>
      </w:r>
      <w:r>
        <w:rPr>
          <w:color w:val="231F20"/>
          <w:w w:val="105"/>
        </w:rPr>
        <w:t>constituyen</w:t>
      </w:r>
      <w:r>
        <w:rPr>
          <w:color w:val="231F20"/>
          <w:spacing w:val="-31"/>
          <w:w w:val="105"/>
        </w:rPr>
        <w:t> </w:t>
      </w:r>
      <w:r>
        <w:rPr>
          <w:color w:val="231F20"/>
          <w:w w:val="105"/>
        </w:rPr>
        <w:t>evidencia</w:t>
      </w:r>
      <w:r>
        <w:rPr>
          <w:color w:val="231F20"/>
          <w:spacing w:val="-31"/>
          <w:w w:val="105"/>
        </w:rPr>
        <w:t> </w:t>
      </w:r>
      <w:r>
        <w:rPr>
          <w:color w:val="231F20"/>
          <w:w w:val="105"/>
        </w:rPr>
        <w:t>contundente</w:t>
      </w:r>
      <w:r>
        <w:rPr>
          <w:color w:val="231F20"/>
          <w:spacing w:val="-31"/>
          <w:w w:val="105"/>
        </w:rPr>
        <w:t> </w:t>
      </w:r>
      <w:r>
        <w:rPr>
          <w:color w:val="231F20"/>
          <w:w w:val="105"/>
        </w:rPr>
        <w:t>de</w:t>
      </w:r>
      <w:r>
        <w:rPr>
          <w:color w:val="231F20"/>
          <w:spacing w:val="-31"/>
          <w:w w:val="105"/>
        </w:rPr>
        <w:t> </w:t>
      </w:r>
      <w:r>
        <w:rPr>
          <w:color w:val="231F20"/>
          <w:w w:val="105"/>
        </w:rPr>
        <w:t>que</w:t>
      </w:r>
      <w:r>
        <w:rPr>
          <w:color w:val="231F20"/>
          <w:spacing w:val="-31"/>
          <w:w w:val="105"/>
        </w:rPr>
        <w:t> </w:t>
      </w:r>
      <w:r>
        <w:rPr>
          <w:color w:val="231F20"/>
          <w:spacing w:val="-2"/>
          <w:w w:val="105"/>
        </w:rPr>
        <w:t>las </w:t>
      </w:r>
      <w:r>
        <w:rPr>
          <w:color w:val="231F20"/>
          <w:w w:val="105"/>
        </w:rPr>
        <w:t>alianzas</w:t>
      </w:r>
      <w:r>
        <w:rPr>
          <w:color w:val="231F20"/>
          <w:spacing w:val="-32"/>
          <w:w w:val="105"/>
        </w:rPr>
        <w:t> </w:t>
      </w:r>
      <w:r>
        <w:rPr>
          <w:color w:val="231F20"/>
          <w:w w:val="105"/>
        </w:rPr>
        <w:t>de</w:t>
      </w:r>
      <w:r>
        <w:rPr>
          <w:color w:val="231F20"/>
          <w:spacing w:val="-32"/>
          <w:w w:val="105"/>
        </w:rPr>
        <w:t> </w:t>
      </w:r>
      <w:r>
        <w:rPr>
          <w:color w:val="231F20"/>
          <w:spacing w:val="-3"/>
          <w:w w:val="105"/>
        </w:rPr>
        <w:t>mercadotecnia</w:t>
      </w:r>
      <w:r>
        <w:rPr>
          <w:color w:val="231F20"/>
          <w:spacing w:val="-32"/>
          <w:w w:val="105"/>
        </w:rPr>
        <w:t> </w:t>
      </w:r>
      <w:r>
        <w:rPr>
          <w:color w:val="231F20"/>
          <w:w w:val="105"/>
        </w:rPr>
        <w:t>sean</w:t>
      </w:r>
      <w:r>
        <w:rPr>
          <w:color w:val="231F20"/>
          <w:spacing w:val="-32"/>
          <w:w w:val="105"/>
        </w:rPr>
        <w:t> </w:t>
      </w:r>
      <w:r>
        <w:rPr>
          <w:color w:val="231F20"/>
          <w:spacing w:val="-3"/>
          <w:w w:val="105"/>
        </w:rPr>
        <w:t>superiores</w:t>
      </w:r>
      <w:r>
        <w:rPr>
          <w:color w:val="231F20"/>
          <w:spacing w:val="-32"/>
          <w:w w:val="105"/>
        </w:rPr>
        <w:t> </w:t>
      </w:r>
      <w:r>
        <w:rPr>
          <w:color w:val="231F20"/>
          <w:w w:val="105"/>
        </w:rPr>
        <w:t>a</w:t>
      </w:r>
      <w:r>
        <w:rPr>
          <w:color w:val="231F20"/>
          <w:spacing w:val="-32"/>
          <w:w w:val="105"/>
        </w:rPr>
        <w:t> </w:t>
      </w:r>
      <w:r>
        <w:rPr>
          <w:color w:val="231F20"/>
          <w:w w:val="105"/>
        </w:rPr>
        <w:t>las</w:t>
      </w:r>
      <w:r>
        <w:rPr>
          <w:color w:val="231F20"/>
          <w:spacing w:val="-32"/>
          <w:w w:val="105"/>
        </w:rPr>
        <w:t> </w:t>
      </w:r>
      <w:r>
        <w:rPr>
          <w:color w:val="231F20"/>
          <w:w w:val="105"/>
        </w:rPr>
        <w:t>de</w:t>
      </w:r>
      <w:r>
        <w:rPr>
          <w:color w:val="231F20"/>
          <w:spacing w:val="-32"/>
          <w:w w:val="105"/>
        </w:rPr>
        <w:t> </w:t>
      </w:r>
      <w:r>
        <w:rPr>
          <w:color w:val="231F20"/>
          <w:spacing w:val="-3"/>
          <w:w w:val="105"/>
        </w:rPr>
        <w:t>manufactura.</w:t>
      </w:r>
    </w:p>
    <w:p>
      <w:pPr>
        <w:spacing w:after="0" w:line="259" w:lineRule="auto"/>
        <w:jc w:val="both"/>
        <w:sectPr>
          <w:type w:val="continuous"/>
          <w:pgSz w:w="9640" w:h="13890"/>
          <w:pgMar w:top="1300" w:bottom="280" w:left="1300" w:right="1180"/>
        </w:sectPr>
      </w:pPr>
    </w:p>
    <w:p>
      <w:pPr>
        <w:pStyle w:val="BodyText"/>
        <w:spacing w:line="259" w:lineRule="auto" w:before="64"/>
        <w:ind w:left="103" w:right="114"/>
        <w:jc w:val="both"/>
      </w:pPr>
      <w:r>
        <w:rPr>
          <w:color w:val="231F20"/>
          <w:spacing w:val="-6"/>
          <w:w w:val="105"/>
        </w:rPr>
        <w:t>Por </w:t>
      </w:r>
      <w:r>
        <w:rPr>
          <w:color w:val="231F20"/>
          <w:w w:val="105"/>
        </w:rPr>
        <w:t>supuesto que lo presentado en este documento exhibe varios de- talles teóricos y metodológicos que limitan el poder explicativo de los resultados. </w:t>
      </w:r>
      <w:r>
        <w:rPr>
          <w:color w:val="231F20"/>
          <w:spacing w:val="-3"/>
          <w:w w:val="105"/>
        </w:rPr>
        <w:t>Primero </w:t>
      </w:r>
      <w:r>
        <w:rPr>
          <w:color w:val="231F20"/>
          <w:w w:val="105"/>
        </w:rPr>
        <w:t>que nada, aun cuando el argumento que respalda las hipótesis presentadas tiene cierta lógica, éste requiere de una ma- yor elaboración teórica con miras a explicar las posibles diferencias en el desempeño de las empresas que optan por alianzas con enfoque</w:t>
      </w:r>
      <w:r>
        <w:rPr>
          <w:color w:val="231F20"/>
          <w:spacing w:val="-29"/>
          <w:w w:val="105"/>
        </w:rPr>
        <w:t> </w:t>
      </w:r>
      <w:r>
        <w:rPr>
          <w:color w:val="231F20"/>
          <w:w w:val="105"/>
        </w:rPr>
        <w:t>en diferentes</w:t>
      </w:r>
      <w:r>
        <w:rPr>
          <w:color w:val="231F20"/>
          <w:spacing w:val="-13"/>
          <w:w w:val="105"/>
        </w:rPr>
        <w:t> </w:t>
      </w:r>
      <w:r>
        <w:rPr>
          <w:color w:val="231F20"/>
          <w:w w:val="105"/>
        </w:rPr>
        <w:t>áreas</w:t>
      </w:r>
      <w:r>
        <w:rPr>
          <w:color w:val="231F20"/>
          <w:spacing w:val="-13"/>
          <w:w w:val="105"/>
        </w:rPr>
        <w:t> </w:t>
      </w:r>
      <w:r>
        <w:rPr>
          <w:color w:val="231F20"/>
          <w:w w:val="105"/>
        </w:rPr>
        <w:t>funcionales.</w:t>
      </w:r>
      <w:r>
        <w:rPr>
          <w:color w:val="231F20"/>
          <w:spacing w:val="-18"/>
          <w:w w:val="105"/>
        </w:rPr>
        <w:t> </w:t>
      </w:r>
      <w:r>
        <w:rPr>
          <w:color w:val="231F20"/>
          <w:w w:val="105"/>
        </w:rPr>
        <w:t>En</w:t>
      </w:r>
      <w:r>
        <w:rPr>
          <w:color w:val="231F20"/>
          <w:spacing w:val="-13"/>
          <w:w w:val="105"/>
        </w:rPr>
        <w:t> </w:t>
      </w:r>
      <w:r>
        <w:rPr>
          <w:color w:val="231F20"/>
          <w:w w:val="105"/>
        </w:rPr>
        <w:t>segundo</w:t>
      </w:r>
      <w:r>
        <w:rPr>
          <w:color w:val="231F20"/>
          <w:spacing w:val="-13"/>
          <w:w w:val="105"/>
        </w:rPr>
        <w:t> </w:t>
      </w:r>
      <w:r>
        <w:rPr>
          <w:color w:val="231F20"/>
          <w:w w:val="105"/>
        </w:rPr>
        <w:t>lugar,</w:t>
      </w:r>
      <w:r>
        <w:rPr>
          <w:color w:val="231F20"/>
          <w:spacing w:val="-18"/>
          <w:w w:val="105"/>
        </w:rPr>
        <w:t> </w:t>
      </w:r>
      <w:r>
        <w:rPr>
          <w:color w:val="231F20"/>
          <w:w w:val="105"/>
        </w:rPr>
        <w:t>el</w:t>
      </w:r>
      <w:r>
        <w:rPr>
          <w:color w:val="231F20"/>
          <w:spacing w:val="-13"/>
          <w:w w:val="105"/>
        </w:rPr>
        <w:t> </w:t>
      </w:r>
      <w:r>
        <w:rPr>
          <w:color w:val="231F20"/>
          <w:w w:val="105"/>
        </w:rPr>
        <w:t>análisis</w:t>
      </w:r>
      <w:r>
        <w:rPr>
          <w:color w:val="231F20"/>
          <w:spacing w:val="-13"/>
          <w:w w:val="105"/>
        </w:rPr>
        <w:t> </w:t>
      </w:r>
      <w:r>
        <w:rPr>
          <w:color w:val="231F20"/>
          <w:w w:val="105"/>
        </w:rPr>
        <w:t>empírico</w:t>
      </w:r>
      <w:r>
        <w:rPr>
          <w:color w:val="231F20"/>
          <w:spacing w:val="-13"/>
          <w:w w:val="105"/>
        </w:rPr>
        <w:t> </w:t>
      </w:r>
      <w:r>
        <w:rPr>
          <w:color w:val="231F20"/>
          <w:w w:val="105"/>
        </w:rPr>
        <w:t>que se llevó a cabo sufre de especificación incompleta de modelación y de varias</w:t>
      </w:r>
      <w:r>
        <w:rPr>
          <w:color w:val="231F20"/>
          <w:spacing w:val="-26"/>
          <w:w w:val="105"/>
        </w:rPr>
        <w:t> </w:t>
      </w:r>
      <w:r>
        <w:rPr>
          <w:color w:val="231F20"/>
          <w:w w:val="105"/>
        </w:rPr>
        <w:t>restricciones</w:t>
      </w:r>
      <w:r>
        <w:rPr>
          <w:color w:val="231F20"/>
          <w:spacing w:val="-26"/>
          <w:w w:val="105"/>
        </w:rPr>
        <w:t> </w:t>
      </w:r>
      <w:r>
        <w:rPr>
          <w:color w:val="231F20"/>
          <w:w w:val="105"/>
        </w:rPr>
        <w:t>de</w:t>
      </w:r>
      <w:r>
        <w:rPr>
          <w:color w:val="231F20"/>
          <w:spacing w:val="-26"/>
          <w:w w:val="105"/>
        </w:rPr>
        <w:t> </w:t>
      </w:r>
      <w:r>
        <w:rPr>
          <w:color w:val="231F20"/>
          <w:w w:val="105"/>
        </w:rPr>
        <w:t>datos.</w:t>
      </w:r>
      <w:r>
        <w:rPr>
          <w:color w:val="231F20"/>
          <w:spacing w:val="-31"/>
          <w:w w:val="105"/>
        </w:rPr>
        <w:t> </w:t>
      </w:r>
      <w:r>
        <w:rPr>
          <w:color w:val="231F20"/>
          <w:w w:val="105"/>
        </w:rPr>
        <w:t>Entre</w:t>
      </w:r>
      <w:r>
        <w:rPr>
          <w:color w:val="231F20"/>
          <w:spacing w:val="-26"/>
          <w:w w:val="105"/>
        </w:rPr>
        <w:t> </w:t>
      </w:r>
      <w:r>
        <w:rPr>
          <w:color w:val="231F20"/>
          <w:w w:val="105"/>
        </w:rPr>
        <w:t>otros,</w:t>
      </w:r>
      <w:r>
        <w:rPr>
          <w:color w:val="231F20"/>
          <w:spacing w:val="-31"/>
          <w:w w:val="105"/>
        </w:rPr>
        <w:t> </w:t>
      </w:r>
      <w:r>
        <w:rPr>
          <w:color w:val="231F20"/>
          <w:w w:val="105"/>
        </w:rPr>
        <w:t>hay</w:t>
      </w:r>
      <w:r>
        <w:rPr>
          <w:color w:val="231F20"/>
          <w:spacing w:val="-26"/>
          <w:w w:val="105"/>
        </w:rPr>
        <w:t> </w:t>
      </w:r>
      <w:r>
        <w:rPr>
          <w:color w:val="231F20"/>
          <w:w w:val="105"/>
        </w:rPr>
        <w:t>que</w:t>
      </w:r>
      <w:r>
        <w:rPr>
          <w:color w:val="231F20"/>
          <w:spacing w:val="-26"/>
          <w:w w:val="105"/>
        </w:rPr>
        <w:t> </w:t>
      </w:r>
      <w:r>
        <w:rPr>
          <w:color w:val="231F20"/>
          <w:w w:val="105"/>
        </w:rPr>
        <w:t>notar</w:t>
      </w:r>
      <w:r>
        <w:rPr>
          <w:color w:val="231F20"/>
          <w:spacing w:val="-26"/>
          <w:w w:val="105"/>
        </w:rPr>
        <w:t> </w:t>
      </w:r>
      <w:r>
        <w:rPr>
          <w:color w:val="231F20"/>
          <w:w w:val="105"/>
        </w:rPr>
        <w:t>que</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análisis no se incluyó controles importantes (p. ej. grado de relación industrial entre compañeros de alianza) que bien podrían explicar los resultados que</w:t>
      </w:r>
      <w:r>
        <w:rPr>
          <w:color w:val="231F20"/>
          <w:spacing w:val="-29"/>
          <w:w w:val="105"/>
        </w:rPr>
        <w:t> </w:t>
      </w:r>
      <w:r>
        <w:rPr>
          <w:color w:val="231F20"/>
          <w:w w:val="105"/>
        </w:rPr>
        <w:t>aquí</w:t>
      </w:r>
      <w:r>
        <w:rPr>
          <w:color w:val="231F20"/>
          <w:spacing w:val="-29"/>
          <w:w w:val="105"/>
        </w:rPr>
        <w:t> </w:t>
      </w:r>
      <w:r>
        <w:rPr>
          <w:color w:val="231F20"/>
          <w:w w:val="105"/>
        </w:rPr>
        <w:t>se</w:t>
      </w:r>
      <w:r>
        <w:rPr>
          <w:color w:val="231F20"/>
          <w:spacing w:val="-29"/>
          <w:w w:val="105"/>
        </w:rPr>
        <w:t> </w:t>
      </w:r>
      <w:r>
        <w:rPr>
          <w:color w:val="231F20"/>
          <w:w w:val="105"/>
        </w:rPr>
        <w:t>documentan</w:t>
      </w:r>
      <w:r>
        <w:rPr>
          <w:color w:val="231F20"/>
          <w:spacing w:val="-29"/>
          <w:w w:val="105"/>
        </w:rPr>
        <w:t> </w:t>
      </w:r>
      <w:r>
        <w:rPr>
          <w:color w:val="231F20"/>
          <w:w w:val="105"/>
        </w:rPr>
        <w:t>–tornándolos</w:t>
      </w:r>
      <w:r>
        <w:rPr>
          <w:color w:val="231F20"/>
          <w:spacing w:val="-29"/>
          <w:w w:val="105"/>
        </w:rPr>
        <w:t> </w:t>
      </w:r>
      <w:r>
        <w:rPr>
          <w:color w:val="231F20"/>
          <w:w w:val="105"/>
        </w:rPr>
        <w:t>espurios.</w:t>
      </w:r>
      <w:r>
        <w:rPr>
          <w:color w:val="231F20"/>
          <w:spacing w:val="-36"/>
          <w:w w:val="105"/>
        </w:rPr>
        <w:t> </w:t>
      </w:r>
      <w:r>
        <w:rPr>
          <w:color w:val="231F20"/>
          <w:w w:val="105"/>
        </w:rPr>
        <w:t>Además,</w:t>
      </w:r>
      <w:r>
        <w:rPr>
          <w:color w:val="231F20"/>
          <w:spacing w:val="-33"/>
          <w:w w:val="105"/>
        </w:rPr>
        <w:t> </w:t>
      </w:r>
      <w:r>
        <w:rPr>
          <w:color w:val="231F20"/>
          <w:w w:val="105"/>
        </w:rPr>
        <w:t>la</w:t>
      </w:r>
      <w:r>
        <w:rPr>
          <w:color w:val="231F20"/>
          <w:spacing w:val="-29"/>
          <w:w w:val="105"/>
        </w:rPr>
        <w:t> </w:t>
      </w:r>
      <w:r>
        <w:rPr>
          <w:color w:val="231F20"/>
          <w:w w:val="105"/>
        </w:rPr>
        <w:t>muestra</w:t>
      </w:r>
      <w:r>
        <w:rPr>
          <w:color w:val="231F20"/>
          <w:spacing w:val="-29"/>
          <w:w w:val="105"/>
        </w:rPr>
        <w:t> </w:t>
      </w:r>
      <w:r>
        <w:rPr>
          <w:color w:val="231F20"/>
          <w:w w:val="105"/>
        </w:rPr>
        <w:t>em- pleada</w:t>
      </w:r>
      <w:r>
        <w:rPr>
          <w:color w:val="231F20"/>
          <w:spacing w:val="-31"/>
          <w:w w:val="105"/>
        </w:rPr>
        <w:t> </w:t>
      </w:r>
      <w:r>
        <w:rPr>
          <w:color w:val="231F20"/>
          <w:w w:val="105"/>
        </w:rPr>
        <w:t>es</w:t>
      </w:r>
      <w:r>
        <w:rPr>
          <w:color w:val="231F20"/>
          <w:spacing w:val="-31"/>
          <w:w w:val="105"/>
        </w:rPr>
        <w:t> </w:t>
      </w:r>
      <w:r>
        <w:rPr>
          <w:color w:val="231F20"/>
          <w:w w:val="105"/>
        </w:rPr>
        <w:t>pequeña</w:t>
      </w:r>
      <w:r>
        <w:rPr>
          <w:color w:val="231F20"/>
          <w:spacing w:val="-31"/>
          <w:w w:val="105"/>
        </w:rPr>
        <w:t> </w:t>
      </w:r>
      <w:r>
        <w:rPr>
          <w:color w:val="231F20"/>
          <w:w w:val="105"/>
        </w:rPr>
        <w:t>y</w:t>
      </w:r>
      <w:r>
        <w:rPr>
          <w:color w:val="231F20"/>
          <w:spacing w:val="-31"/>
          <w:w w:val="105"/>
        </w:rPr>
        <w:t> </w:t>
      </w:r>
      <w:r>
        <w:rPr>
          <w:color w:val="231F20"/>
          <w:w w:val="105"/>
        </w:rPr>
        <w:t>heterogénea</w:t>
      </w:r>
      <w:r>
        <w:rPr>
          <w:color w:val="231F20"/>
          <w:spacing w:val="-31"/>
          <w:w w:val="105"/>
        </w:rPr>
        <w:t> </w:t>
      </w:r>
      <w:r>
        <w:rPr>
          <w:color w:val="231F20"/>
          <w:w w:val="105"/>
        </w:rPr>
        <w:t>mezclando</w:t>
      </w:r>
      <w:r>
        <w:rPr>
          <w:color w:val="231F20"/>
          <w:spacing w:val="-31"/>
          <w:w w:val="105"/>
        </w:rPr>
        <w:t> </w:t>
      </w:r>
      <w:r>
        <w:rPr>
          <w:color w:val="231F20"/>
          <w:w w:val="105"/>
        </w:rPr>
        <w:t>alianzas</w:t>
      </w:r>
      <w:r>
        <w:rPr>
          <w:color w:val="231F20"/>
          <w:spacing w:val="-31"/>
          <w:w w:val="105"/>
        </w:rPr>
        <w:t> </w:t>
      </w:r>
      <w:r>
        <w:rPr>
          <w:color w:val="231F20"/>
          <w:w w:val="105"/>
        </w:rPr>
        <w:t>domésticas</w:t>
      </w:r>
      <w:r>
        <w:rPr>
          <w:color w:val="231F20"/>
          <w:spacing w:val="-31"/>
          <w:w w:val="105"/>
        </w:rPr>
        <w:t> </w:t>
      </w:r>
      <w:r>
        <w:rPr>
          <w:color w:val="231F20"/>
          <w:w w:val="105"/>
        </w:rPr>
        <w:t>(entre dos</w:t>
      </w:r>
      <w:r>
        <w:rPr>
          <w:color w:val="231F20"/>
          <w:spacing w:val="-8"/>
          <w:w w:val="105"/>
        </w:rPr>
        <w:t> </w:t>
      </w:r>
      <w:r>
        <w:rPr>
          <w:color w:val="231F20"/>
          <w:w w:val="105"/>
        </w:rPr>
        <w:t>empresas</w:t>
      </w:r>
      <w:r>
        <w:rPr>
          <w:color w:val="231F20"/>
          <w:spacing w:val="-8"/>
          <w:w w:val="105"/>
        </w:rPr>
        <w:t> </w:t>
      </w:r>
      <w:r>
        <w:rPr>
          <w:color w:val="231F20"/>
          <w:w w:val="105"/>
        </w:rPr>
        <w:t>estadunidenses)</w:t>
      </w:r>
      <w:r>
        <w:rPr>
          <w:color w:val="231F20"/>
          <w:spacing w:val="-8"/>
          <w:w w:val="105"/>
        </w:rPr>
        <w:t> </w:t>
      </w:r>
      <w:r>
        <w:rPr>
          <w:color w:val="231F20"/>
          <w:w w:val="105"/>
        </w:rPr>
        <w:t>e</w:t>
      </w:r>
      <w:r>
        <w:rPr>
          <w:color w:val="231F20"/>
          <w:spacing w:val="-8"/>
          <w:w w:val="105"/>
        </w:rPr>
        <w:t> </w:t>
      </w:r>
      <w:r>
        <w:rPr>
          <w:color w:val="231F20"/>
          <w:w w:val="105"/>
        </w:rPr>
        <w:t>internacionales</w:t>
      </w:r>
      <w:r>
        <w:rPr>
          <w:color w:val="231F20"/>
          <w:spacing w:val="-7"/>
          <w:w w:val="105"/>
        </w:rPr>
        <w:t> </w:t>
      </w:r>
      <w:r>
        <w:rPr>
          <w:color w:val="231F20"/>
          <w:w w:val="105"/>
        </w:rPr>
        <w:t>(una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empresas no es de esta nacionalidad). Esto último es un problema debido a que el</w:t>
      </w:r>
      <w:r>
        <w:rPr>
          <w:color w:val="231F20"/>
          <w:spacing w:val="-15"/>
          <w:w w:val="105"/>
        </w:rPr>
        <w:t> </w:t>
      </w:r>
      <w:r>
        <w:rPr>
          <w:color w:val="231F20"/>
          <w:w w:val="105"/>
        </w:rPr>
        <w:t>análisis</w:t>
      </w:r>
      <w:r>
        <w:rPr>
          <w:color w:val="231F20"/>
          <w:spacing w:val="-15"/>
          <w:w w:val="105"/>
        </w:rPr>
        <w:t> </w:t>
      </w:r>
      <w:r>
        <w:rPr>
          <w:color w:val="231F20"/>
          <w:w w:val="105"/>
        </w:rPr>
        <w:t>estadístico</w:t>
      </w:r>
      <w:r>
        <w:rPr>
          <w:color w:val="231F20"/>
          <w:spacing w:val="-15"/>
          <w:w w:val="105"/>
        </w:rPr>
        <w:t> </w:t>
      </w:r>
      <w:r>
        <w:rPr>
          <w:color w:val="231F20"/>
          <w:w w:val="105"/>
        </w:rPr>
        <w:t>podría</w:t>
      </w:r>
      <w:r>
        <w:rPr>
          <w:color w:val="231F20"/>
          <w:spacing w:val="-15"/>
          <w:w w:val="105"/>
        </w:rPr>
        <w:t> </w:t>
      </w:r>
      <w:r>
        <w:rPr>
          <w:color w:val="231F20"/>
          <w:w w:val="105"/>
        </w:rPr>
        <w:t>no</w:t>
      </w:r>
      <w:r>
        <w:rPr>
          <w:color w:val="231F20"/>
          <w:spacing w:val="-15"/>
          <w:w w:val="105"/>
        </w:rPr>
        <w:t> </w:t>
      </w:r>
      <w:r>
        <w:rPr>
          <w:color w:val="231F20"/>
          <w:w w:val="105"/>
        </w:rPr>
        <w:t>tener</w:t>
      </w:r>
      <w:r>
        <w:rPr>
          <w:color w:val="231F20"/>
          <w:spacing w:val="-15"/>
          <w:w w:val="105"/>
        </w:rPr>
        <w:t> </w:t>
      </w:r>
      <w:r>
        <w:rPr>
          <w:color w:val="231F20"/>
          <w:w w:val="105"/>
        </w:rPr>
        <w:t>el</w:t>
      </w:r>
      <w:r>
        <w:rPr>
          <w:color w:val="231F20"/>
          <w:spacing w:val="-15"/>
          <w:w w:val="105"/>
        </w:rPr>
        <w:t> </w:t>
      </w:r>
      <w:r>
        <w:rPr>
          <w:color w:val="231F20"/>
          <w:w w:val="105"/>
        </w:rPr>
        <w:t>suficiente</w:t>
      </w:r>
      <w:r>
        <w:rPr>
          <w:color w:val="231F20"/>
          <w:spacing w:val="-15"/>
          <w:w w:val="105"/>
        </w:rPr>
        <w:t> </w:t>
      </w:r>
      <w:r>
        <w:rPr>
          <w:color w:val="231F20"/>
          <w:w w:val="105"/>
        </w:rPr>
        <w:t>poder</w:t>
      </w:r>
      <w:r>
        <w:rPr>
          <w:color w:val="231F20"/>
          <w:spacing w:val="-15"/>
          <w:w w:val="105"/>
        </w:rPr>
        <w:t> </w:t>
      </w:r>
      <w:r>
        <w:rPr>
          <w:color w:val="231F20"/>
          <w:w w:val="105"/>
        </w:rPr>
        <w:t>para</w:t>
      </w:r>
      <w:r>
        <w:rPr>
          <w:color w:val="231F20"/>
          <w:spacing w:val="-15"/>
          <w:w w:val="105"/>
        </w:rPr>
        <w:t> </w:t>
      </w:r>
      <w:r>
        <w:rPr>
          <w:color w:val="231F20"/>
          <w:w w:val="105"/>
        </w:rPr>
        <w:t>revelar</w:t>
      </w:r>
      <w:r>
        <w:rPr>
          <w:color w:val="231F20"/>
          <w:spacing w:val="-15"/>
          <w:w w:val="105"/>
        </w:rPr>
        <w:t> </w:t>
      </w:r>
      <w:r>
        <w:rPr>
          <w:color w:val="231F20"/>
          <w:w w:val="105"/>
        </w:rPr>
        <w:t>las relaciones</w:t>
      </w:r>
      <w:r>
        <w:rPr>
          <w:color w:val="231F20"/>
          <w:spacing w:val="-13"/>
          <w:w w:val="105"/>
        </w:rPr>
        <w:t> </w:t>
      </w:r>
      <w:r>
        <w:rPr>
          <w:color w:val="231F20"/>
          <w:w w:val="105"/>
        </w:rPr>
        <w:t>de</w:t>
      </w:r>
      <w:r>
        <w:rPr>
          <w:color w:val="231F20"/>
          <w:spacing w:val="-13"/>
          <w:w w:val="105"/>
        </w:rPr>
        <w:t> </w:t>
      </w:r>
      <w:r>
        <w:rPr>
          <w:color w:val="231F20"/>
          <w:w w:val="105"/>
        </w:rPr>
        <w:t>interés;</w:t>
      </w:r>
      <w:r>
        <w:rPr>
          <w:color w:val="231F20"/>
          <w:spacing w:val="-13"/>
          <w:w w:val="105"/>
        </w:rPr>
        <w:t> </w:t>
      </w:r>
      <w:r>
        <w:rPr>
          <w:color w:val="231F20"/>
          <w:w w:val="105"/>
        </w:rPr>
        <w:t>también</w:t>
      </w:r>
      <w:r>
        <w:rPr>
          <w:color w:val="231F20"/>
          <w:spacing w:val="-13"/>
          <w:w w:val="105"/>
        </w:rPr>
        <w:t> </w:t>
      </w:r>
      <w:r>
        <w:rPr>
          <w:color w:val="231F20"/>
          <w:w w:val="105"/>
        </w:rPr>
        <w:t>existe</w:t>
      </w:r>
      <w:r>
        <w:rPr>
          <w:color w:val="231F20"/>
          <w:spacing w:val="-13"/>
          <w:w w:val="105"/>
        </w:rPr>
        <w:t> </w:t>
      </w:r>
      <w:r>
        <w:rPr>
          <w:color w:val="231F20"/>
          <w:w w:val="105"/>
        </w:rPr>
        <w:t>duda</w:t>
      </w:r>
      <w:r>
        <w:rPr>
          <w:color w:val="231F20"/>
          <w:spacing w:val="-13"/>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comparación</w:t>
      </w:r>
      <w:r>
        <w:rPr>
          <w:color w:val="231F20"/>
          <w:spacing w:val="-13"/>
          <w:w w:val="105"/>
        </w:rPr>
        <w:t> </w:t>
      </w:r>
      <w:r>
        <w:rPr>
          <w:color w:val="231F20"/>
          <w:w w:val="105"/>
        </w:rPr>
        <w:t>directa entre</w:t>
      </w:r>
      <w:r>
        <w:rPr>
          <w:color w:val="231F20"/>
          <w:spacing w:val="-17"/>
          <w:w w:val="105"/>
        </w:rPr>
        <w:t> </w:t>
      </w:r>
      <w:r>
        <w:rPr>
          <w:i/>
          <w:color w:val="231F20"/>
          <w:w w:val="105"/>
        </w:rPr>
        <w:t>joint</w:t>
      </w:r>
      <w:r>
        <w:rPr>
          <w:i/>
          <w:color w:val="231F20"/>
          <w:spacing w:val="-17"/>
          <w:w w:val="105"/>
        </w:rPr>
        <w:t> </w:t>
      </w:r>
      <w:r>
        <w:rPr>
          <w:i/>
          <w:color w:val="231F20"/>
          <w:w w:val="105"/>
        </w:rPr>
        <w:t>venture</w:t>
      </w:r>
      <w:r>
        <w:rPr>
          <w:color w:val="231F20"/>
          <w:w w:val="105"/>
        </w:rPr>
        <w:t>s</w:t>
      </w:r>
      <w:r>
        <w:rPr>
          <w:color w:val="231F20"/>
          <w:spacing w:val="-17"/>
          <w:w w:val="105"/>
        </w:rPr>
        <w:t> </w:t>
      </w:r>
      <w:r>
        <w:rPr>
          <w:color w:val="231F20"/>
          <w:w w:val="105"/>
        </w:rPr>
        <w:t>de</w:t>
      </w:r>
      <w:r>
        <w:rPr>
          <w:color w:val="231F20"/>
          <w:spacing w:val="-17"/>
          <w:w w:val="105"/>
        </w:rPr>
        <w:t> </w:t>
      </w:r>
      <w:r>
        <w:rPr>
          <w:color w:val="231F20"/>
          <w:w w:val="105"/>
        </w:rPr>
        <w:t>diversos</w:t>
      </w:r>
      <w:r>
        <w:rPr>
          <w:color w:val="231F20"/>
          <w:spacing w:val="-17"/>
          <w:w w:val="105"/>
        </w:rPr>
        <w:t> </w:t>
      </w:r>
      <w:r>
        <w:rPr>
          <w:color w:val="231F20"/>
          <w:w w:val="105"/>
        </w:rPr>
        <w:t>tipos.</w:t>
      </w:r>
    </w:p>
    <w:p>
      <w:pPr>
        <w:pStyle w:val="BodyText"/>
        <w:spacing w:line="259" w:lineRule="auto"/>
        <w:ind w:left="103" w:right="109" w:firstLine="567"/>
        <w:jc w:val="both"/>
      </w:pPr>
      <w:r>
        <w:rPr>
          <w:color w:val="231F20"/>
          <w:w w:val="105"/>
        </w:rPr>
        <w:t>Al</w:t>
      </w:r>
      <w:r>
        <w:rPr>
          <w:color w:val="231F20"/>
          <w:spacing w:val="-25"/>
          <w:w w:val="105"/>
        </w:rPr>
        <w:t> </w:t>
      </w:r>
      <w:r>
        <w:rPr>
          <w:color w:val="231F20"/>
          <w:w w:val="105"/>
        </w:rPr>
        <w:t>final,</w:t>
      </w:r>
      <w:r>
        <w:rPr>
          <w:color w:val="231F20"/>
          <w:spacing w:val="-30"/>
          <w:w w:val="105"/>
        </w:rPr>
        <w:t> </w:t>
      </w:r>
      <w:r>
        <w:rPr>
          <w:color w:val="231F20"/>
          <w:w w:val="105"/>
        </w:rPr>
        <w:t>y</w:t>
      </w:r>
      <w:r>
        <w:rPr>
          <w:color w:val="231F20"/>
          <w:spacing w:val="-25"/>
          <w:w w:val="105"/>
        </w:rPr>
        <w:t> </w:t>
      </w:r>
      <w:r>
        <w:rPr>
          <w:color w:val="231F20"/>
          <w:w w:val="105"/>
        </w:rPr>
        <w:t>a</w:t>
      </w:r>
      <w:r>
        <w:rPr>
          <w:color w:val="231F20"/>
          <w:spacing w:val="-24"/>
          <w:w w:val="105"/>
        </w:rPr>
        <w:t> </w:t>
      </w:r>
      <w:r>
        <w:rPr>
          <w:color w:val="231F20"/>
          <w:w w:val="105"/>
        </w:rPr>
        <w:t>pesar</w:t>
      </w:r>
      <w:r>
        <w:rPr>
          <w:color w:val="231F20"/>
          <w:spacing w:val="-25"/>
          <w:w w:val="105"/>
        </w:rPr>
        <w:t> </w:t>
      </w:r>
      <w:r>
        <w:rPr>
          <w:color w:val="231F20"/>
          <w:w w:val="105"/>
        </w:rPr>
        <w:t>de</w:t>
      </w:r>
      <w:r>
        <w:rPr>
          <w:color w:val="231F20"/>
          <w:spacing w:val="-25"/>
          <w:w w:val="105"/>
        </w:rPr>
        <w:t> </w:t>
      </w:r>
      <w:r>
        <w:rPr>
          <w:color w:val="231F20"/>
          <w:w w:val="105"/>
        </w:rPr>
        <w:t>sus</w:t>
      </w:r>
      <w:r>
        <w:rPr>
          <w:color w:val="231F20"/>
          <w:spacing w:val="-25"/>
          <w:w w:val="105"/>
        </w:rPr>
        <w:t> </w:t>
      </w:r>
      <w:r>
        <w:rPr>
          <w:color w:val="231F20"/>
          <w:w w:val="105"/>
        </w:rPr>
        <w:t>limitaciones,</w:t>
      </w:r>
      <w:r>
        <w:rPr>
          <w:color w:val="231F20"/>
          <w:spacing w:val="-30"/>
          <w:w w:val="105"/>
        </w:rPr>
        <w:t> </w:t>
      </w:r>
      <w:r>
        <w:rPr>
          <w:color w:val="231F20"/>
          <w:w w:val="105"/>
        </w:rPr>
        <w:t>lo</w:t>
      </w:r>
      <w:r>
        <w:rPr>
          <w:color w:val="231F20"/>
          <w:spacing w:val="-25"/>
          <w:w w:val="105"/>
        </w:rPr>
        <w:t> </w:t>
      </w:r>
      <w:r>
        <w:rPr>
          <w:color w:val="231F20"/>
          <w:w w:val="105"/>
        </w:rPr>
        <w:t>aquí</w:t>
      </w:r>
      <w:r>
        <w:rPr>
          <w:color w:val="231F20"/>
          <w:spacing w:val="-25"/>
          <w:w w:val="105"/>
        </w:rPr>
        <w:t> </w:t>
      </w:r>
      <w:r>
        <w:rPr>
          <w:color w:val="231F20"/>
          <w:w w:val="105"/>
        </w:rPr>
        <w:t>documentado</w:t>
      </w:r>
      <w:r>
        <w:rPr>
          <w:color w:val="231F20"/>
          <w:spacing w:val="-25"/>
          <w:w w:val="105"/>
        </w:rPr>
        <w:t> </w:t>
      </w:r>
      <w:r>
        <w:rPr>
          <w:color w:val="231F20"/>
          <w:w w:val="105"/>
        </w:rPr>
        <w:t>ayuda</w:t>
      </w:r>
      <w:r>
        <w:rPr>
          <w:color w:val="231F20"/>
          <w:spacing w:val="-25"/>
          <w:w w:val="105"/>
        </w:rPr>
        <w:t> </w:t>
      </w:r>
      <w:r>
        <w:rPr>
          <w:color w:val="231F20"/>
          <w:w w:val="105"/>
        </w:rPr>
        <w:t>a entender</w:t>
      </w:r>
      <w:r>
        <w:rPr>
          <w:color w:val="231F20"/>
          <w:spacing w:val="-27"/>
          <w:w w:val="105"/>
        </w:rPr>
        <w:t> </w:t>
      </w:r>
      <w:r>
        <w:rPr>
          <w:color w:val="231F20"/>
          <w:w w:val="105"/>
        </w:rPr>
        <w:t>mejor</w:t>
      </w:r>
      <w:r>
        <w:rPr>
          <w:color w:val="231F20"/>
          <w:spacing w:val="-27"/>
          <w:w w:val="105"/>
        </w:rPr>
        <w:t> </w:t>
      </w:r>
      <w:r>
        <w:rPr>
          <w:color w:val="231F20"/>
          <w:w w:val="105"/>
        </w:rPr>
        <w:t>las</w:t>
      </w:r>
      <w:r>
        <w:rPr>
          <w:color w:val="231F20"/>
          <w:spacing w:val="-27"/>
          <w:w w:val="105"/>
        </w:rPr>
        <w:t> </w:t>
      </w:r>
      <w:r>
        <w:rPr>
          <w:color w:val="231F20"/>
          <w:w w:val="105"/>
        </w:rPr>
        <w:t>implicaciones</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formación</w:t>
      </w:r>
      <w:r>
        <w:rPr>
          <w:color w:val="231F20"/>
          <w:spacing w:val="-27"/>
          <w:w w:val="105"/>
        </w:rPr>
        <w:t> </w:t>
      </w:r>
      <w:r>
        <w:rPr>
          <w:color w:val="231F20"/>
          <w:w w:val="105"/>
        </w:rPr>
        <w:t>de</w:t>
      </w:r>
      <w:r>
        <w:rPr>
          <w:color w:val="231F20"/>
          <w:spacing w:val="-27"/>
          <w:w w:val="105"/>
        </w:rPr>
        <w:t> </w:t>
      </w:r>
      <w:r>
        <w:rPr>
          <w:color w:val="231F20"/>
          <w:w w:val="105"/>
        </w:rPr>
        <w:t>alianzas</w:t>
      </w:r>
      <w:r>
        <w:rPr>
          <w:color w:val="231F20"/>
          <w:spacing w:val="-27"/>
          <w:w w:val="105"/>
        </w:rPr>
        <w:t> </w:t>
      </w:r>
      <w:r>
        <w:rPr>
          <w:color w:val="231F20"/>
          <w:w w:val="105"/>
        </w:rPr>
        <w:t>y</w:t>
      </w:r>
      <w:r>
        <w:rPr>
          <w:color w:val="231F20"/>
          <w:spacing w:val="-27"/>
          <w:w w:val="105"/>
        </w:rPr>
        <w:t> </w:t>
      </w:r>
      <w:r>
        <w:rPr>
          <w:i/>
          <w:color w:val="231F20"/>
          <w:w w:val="105"/>
        </w:rPr>
        <w:t>joint</w:t>
      </w:r>
      <w:r>
        <w:rPr>
          <w:i/>
          <w:color w:val="231F20"/>
          <w:spacing w:val="-27"/>
          <w:w w:val="105"/>
        </w:rPr>
        <w:t> </w:t>
      </w:r>
      <w:r>
        <w:rPr>
          <w:i/>
          <w:color w:val="231F20"/>
          <w:w w:val="105"/>
        </w:rPr>
        <w:t>ven- </w:t>
      </w:r>
      <w:r>
        <w:rPr>
          <w:i/>
          <w:color w:val="231F20"/>
          <w:w w:val="105"/>
        </w:rPr>
        <w:t>ture</w:t>
      </w:r>
      <w:r>
        <w:rPr>
          <w:color w:val="231F20"/>
          <w:w w:val="105"/>
        </w:rPr>
        <w:t>s puede tener en el desempeño financiero (expresado como ROA) de</w:t>
      </w:r>
      <w:r>
        <w:rPr>
          <w:color w:val="231F20"/>
          <w:spacing w:val="-21"/>
          <w:w w:val="105"/>
        </w:rPr>
        <w:t> </w:t>
      </w:r>
      <w:r>
        <w:rPr>
          <w:color w:val="231F20"/>
          <w:w w:val="105"/>
        </w:rPr>
        <w:t>las</w:t>
      </w:r>
      <w:r>
        <w:rPr>
          <w:color w:val="231F20"/>
          <w:spacing w:val="-21"/>
          <w:w w:val="105"/>
        </w:rPr>
        <w:t> </w:t>
      </w:r>
      <w:r>
        <w:rPr>
          <w:color w:val="231F20"/>
          <w:w w:val="105"/>
        </w:rPr>
        <w:t>empresas.</w:t>
      </w:r>
      <w:r>
        <w:rPr>
          <w:color w:val="231F20"/>
          <w:spacing w:val="-26"/>
          <w:w w:val="105"/>
        </w:rPr>
        <w:t> </w:t>
      </w:r>
      <w:r>
        <w:rPr>
          <w:color w:val="231F20"/>
          <w:w w:val="105"/>
        </w:rPr>
        <w:t>En</w:t>
      </w:r>
      <w:r>
        <w:rPr>
          <w:color w:val="231F20"/>
          <w:spacing w:val="-21"/>
          <w:w w:val="105"/>
        </w:rPr>
        <w:t> </w:t>
      </w:r>
      <w:r>
        <w:rPr>
          <w:color w:val="231F20"/>
          <w:w w:val="105"/>
        </w:rPr>
        <w:t>general,</w:t>
      </w:r>
      <w:r>
        <w:rPr>
          <w:color w:val="231F20"/>
          <w:spacing w:val="-26"/>
          <w:w w:val="105"/>
        </w:rPr>
        <w:t> </w:t>
      </w:r>
      <w:r>
        <w:rPr>
          <w:color w:val="231F20"/>
          <w:w w:val="105"/>
        </w:rPr>
        <w:t>la</w:t>
      </w:r>
      <w:r>
        <w:rPr>
          <w:color w:val="231F20"/>
          <w:spacing w:val="-21"/>
          <w:w w:val="105"/>
        </w:rPr>
        <w:t> </w:t>
      </w:r>
      <w:r>
        <w:rPr>
          <w:color w:val="231F20"/>
          <w:w w:val="105"/>
        </w:rPr>
        <w:t>evidencia</w:t>
      </w:r>
      <w:r>
        <w:rPr>
          <w:color w:val="231F20"/>
          <w:spacing w:val="-21"/>
          <w:w w:val="105"/>
        </w:rPr>
        <w:t> </w:t>
      </w:r>
      <w:r>
        <w:rPr>
          <w:color w:val="231F20"/>
          <w:w w:val="105"/>
        </w:rPr>
        <w:t>indica</w:t>
      </w:r>
      <w:r>
        <w:rPr>
          <w:color w:val="231F20"/>
          <w:spacing w:val="-21"/>
          <w:w w:val="105"/>
        </w:rPr>
        <w:t> </w:t>
      </w:r>
      <w:r>
        <w:rPr>
          <w:color w:val="231F20"/>
          <w:w w:val="105"/>
        </w:rPr>
        <w:t>que</w:t>
      </w:r>
      <w:r>
        <w:rPr>
          <w:color w:val="231F20"/>
          <w:spacing w:val="-21"/>
          <w:w w:val="105"/>
        </w:rPr>
        <w:t> </w:t>
      </w:r>
      <w:r>
        <w:rPr>
          <w:color w:val="231F20"/>
          <w:w w:val="105"/>
        </w:rPr>
        <w:t>tal</w:t>
      </w:r>
      <w:r>
        <w:rPr>
          <w:color w:val="231F20"/>
          <w:spacing w:val="-21"/>
          <w:w w:val="105"/>
        </w:rPr>
        <w:t> </w:t>
      </w:r>
      <w:r>
        <w:rPr>
          <w:color w:val="231F20"/>
          <w:w w:val="105"/>
        </w:rPr>
        <w:t>métrica</w:t>
      </w:r>
      <w:r>
        <w:rPr>
          <w:color w:val="231F20"/>
          <w:spacing w:val="-21"/>
          <w:w w:val="105"/>
        </w:rPr>
        <w:t> </w:t>
      </w:r>
      <w:r>
        <w:rPr>
          <w:color w:val="231F20"/>
          <w:w w:val="105"/>
        </w:rPr>
        <w:t>varía</w:t>
      </w:r>
      <w:r>
        <w:rPr>
          <w:color w:val="231F20"/>
          <w:spacing w:val="-21"/>
          <w:w w:val="105"/>
        </w:rPr>
        <w:t> </w:t>
      </w:r>
      <w:r>
        <w:rPr>
          <w:color w:val="231F20"/>
          <w:w w:val="105"/>
        </w:rPr>
        <w:t>an- tes</w:t>
      </w:r>
      <w:r>
        <w:rPr>
          <w:color w:val="231F20"/>
          <w:spacing w:val="-18"/>
          <w:w w:val="105"/>
        </w:rPr>
        <w:t> </w:t>
      </w:r>
      <w:r>
        <w:rPr>
          <w:color w:val="231F20"/>
          <w:w w:val="105"/>
        </w:rPr>
        <w:t>y</w:t>
      </w:r>
      <w:r>
        <w:rPr>
          <w:color w:val="231F20"/>
          <w:spacing w:val="-18"/>
          <w:w w:val="105"/>
        </w:rPr>
        <w:t> </w:t>
      </w:r>
      <w:r>
        <w:rPr>
          <w:color w:val="231F20"/>
          <w:w w:val="105"/>
        </w:rPr>
        <w:t>después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formación</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i/>
          <w:color w:val="231F20"/>
          <w:w w:val="105"/>
        </w:rPr>
        <w:t>joint</w:t>
      </w:r>
      <w:r>
        <w:rPr>
          <w:i/>
          <w:color w:val="231F20"/>
          <w:spacing w:val="-18"/>
          <w:w w:val="105"/>
        </w:rPr>
        <w:t> </w:t>
      </w:r>
      <w:r>
        <w:rPr>
          <w:i/>
          <w:color w:val="231F20"/>
          <w:w w:val="105"/>
        </w:rPr>
        <w:t>venture</w:t>
      </w:r>
      <w:r>
        <w:rPr>
          <w:color w:val="231F20"/>
          <w:w w:val="105"/>
        </w:rPr>
        <w:t>.</w:t>
      </w:r>
      <w:r>
        <w:rPr>
          <w:color w:val="231F20"/>
          <w:spacing w:val="-26"/>
          <w:w w:val="105"/>
        </w:rPr>
        <w:t> </w:t>
      </w:r>
      <w:r>
        <w:rPr>
          <w:color w:val="231F20"/>
          <w:w w:val="105"/>
        </w:rPr>
        <w:t>Asimismo,</w:t>
      </w:r>
      <w:r>
        <w:rPr>
          <w:color w:val="231F20"/>
          <w:spacing w:val="-23"/>
          <w:w w:val="105"/>
        </w:rPr>
        <w:t> </w:t>
      </w:r>
      <w:r>
        <w:rPr>
          <w:color w:val="231F20"/>
          <w:w w:val="105"/>
        </w:rPr>
        <w:t>tal</w:t>
      </w:r>
      <w:r>
        <w:rPr>
          <w:color w:val="231F20"/>
          <w:spacing w:val="-18"/>
          <w:w w:val="105"/>
        </w:rPr>
        <w:t> </w:t>
      </w:r>
      <w:r>
        <w:rPr>
          <w:color w:val="231F20"/>
          <w:w w:val="105"/>
        </w:rPr>
        <w:t>cambio podría</w:t>
      </w:r>
      <w:r>
        <w:rPr>
          <w:color w:val="231F20"/>
          <w:spacing w:val="-20"/>
          <w:w w:val="105"/>
        </w:rPr>
        <w:t> </w:t>
      </w:r>
      <w:r>
        <w:rPr>
          <w:color w:val="231F20"/>
          <w:w w:val="105"/>
        </w:rPr>
        <w:t>modificarse</w:t>
      </w:r>
      <w:r>
        <w:rPr>
          <w:color w:val="231F20"/>
          <w:spacing w:val="-20"/>
          <w:w w:val="105"/>
        </w:rPr>
        <w:t> </w:t>
      </w:r>
      <w:r>
        <w:rPr>
          <w:color w:val="231F20"/>
          <w:w w:val="105"/>
        </w:rPr>
        <w:t>de</w:t>
      </w:r>
      <w:r>
        <w:rPr>
          <w:color w:val="231F20"/>
          <w:spacing w:val="-20"/>
          <w:w w:val="105"/>
        </w:rPr>
        <w:t> </w:t>
      </w:r>
      <w:r>
        <w:rPr>
          <w:color w:val="231F20"/>
          <w:w w:val="105"/>
        </w:rPr>
        <w:t>acuerdo</w:t>
      </w:r>
      <w:r>
        <w:rPr>
          <w:color w:val="231F20"/>
          <w:spacing w:val="-20"/>
          <w:w w:val="105"/>
        </w:rPr>
        <w:t> </w:t>
      </w:r>
      <w:r>
        <w:rPr>
          <w:color w:val="231F20"/>
          <w:w w:val="105"/>
        </w:rPr>
        <w:t>al</w:t>
      </w:r>
      <w:r>
        <w:rPr>
          <w:color w:val="231F20"/>
          <w:spacing w:val="-20"/>
          <w:w w:val="105"/>
        </w:rPr>
        <w:t> </w:t>
      </w:r>
      <w:r>
        <w:rPr>
          <w:color w:val="231F20"/>
          <w:w w:val="105"/>
        </w:rPr>
        <w:t>área</w:t>
      </w:r>
      <w:r>
        <w:rPr>
          <w:color w:val="231F20"/>
          <w:spacing w:val="-20"/>
          <w:w w:val="105"/>
        </w:rPr>
        <w:t> </w:t>
      </w:r>
      <w:r>
        <w:rPr>
          <w:color w:val="231F20"/>
          <w:w w:val="105"/>
        </w:rPr>
        <w:t>funcional</w:t>
      </w:r>
      <w:r>
        <w:rPr>
          <w:color w:val="231F20"/>
          <w:spacing w:val="-20"/>
          <w:w w:val="105"/>
        </w:rPr>
        <w:t> </w:t>
      </w:r>
      <w:r>
        <w:rPr>
          <w:color w:val="231F20"/>
          <w:w w:val="105"/>
        </w:rPr>
        <w:t>en</w:t>
      </w:r>
      <w:r>
        <w:rPr>
          <w:color w:val="231F20"/>
          <w:spacing w:val="-20"/>
          <w:w w:val="105"/>
        </w:rPr>
        <w:t> </w:t>
      </w:r>
      <w:r>
        <w:rPr>
          <w:color w:val="231F20"/>
          <w:w w:val="105"/>
        </w:rPr>
        <w:t>que</w:t>
      </w:r>
      <w:r>
        <w:rPr>
          <w:color w:val="231F20"/>
          <w:spacing w:val="-20"/>
          <w:w w:val="105"/>
        </w:rPr>
        <w:t> </w:t>
      </w:r>
      <w:r>
        <w:rPr>
          <w:color w:val="231F20"/>
          <w:w w:val="105"/>
        </w:rPr>
        <w:t>las</w:t>
      </w:r>
      <w:r>
        <w:rPr>
          <w:color w:val="231F20"/>
          <w:spacing w:val="-20"/>
          <w:w w:val="105"/>
        </w:rPr>
        <w:t> </w:t>
      </w:r>
      <w:r>
        <w:rPr>
          <w:color w:val="231F20"/>
          <w:w w:val="105"/>
        </w:rPr>
        <w:t>empresas</w:t>
      </w:r>
      <w:r>
        <w:rPr>
          <w:color w:val="231F20"/>
          <w:spacing w:val="-20"/>
          <w:w w:val="105"/>
        </w:rPr>
        <w:t> </w:t>
      </w:r>
      <w:r>
        <w:rPr>
          <w:color w:val="231F20"/>
          <w:w w:val="105"/>
        </w:rPr>
        <w:t>es- tén</w:t>
      </w:r>
      <w:r>
        <w:rPr>
          <w:color w:val="231F20"/>
          <w:spacing w:val="-30"/>
          <w:w w:val="105"/>
        </w:rPr>
        <w:t> </w:t>
      </w:r>
      <w:r>
        <w:rPr>
          <w:color w:val="231F20"/>
          <w:w w:val="105"/>
        </w:rPr>
        <w:t>interesadas</w:t>
      </w:r>
      <w:r>
        <w:rPr>
          <w:color w:val="231F20"/>
          <w:spacing w:val="-30"/>
          <w:w w:val="105"/>
        </w:rPr>
        <w:t> </w:t>
      </w:r>
      <w:r>
        <w:rPr>
          <w:color w:val="231F20"/>
          <w:w w:val="105"/>
        </w:rPr>
        <w:t>en</w:t>
      </w:r>
      <w:r>
        <w:rPr>
          <w:color w:val="231F20"/>
          <w:spacing w:val="-30"/>
          <w:w w:val="105"/>
        </w:rPr>
        <w:t> </w:t>
      </w:r>
      <w:r>
        <w:rPr>
          <w:color w:val="231F20"/>
          <w:w w:val="105"/>
        </w:rPr>
        <w:t>colaborar</w:t>
      </w:r>
      <w:r>
        <w:rPr>
          <w:color w:val="231F20"/>
          <w:spacing w:val="-30"/>
          <w:w w:val="105"/>
        </w:rPr>
        <w:t> </w:t>
      </w:r>
      <w:r>
        <w:rPr>
          <w:color w:val="231F20"/>
          <w:w w:val="105"/>
        </w:rPr>
        <w:t>a</w:t>
      </w:r>
      <w:r>
        <w:rPr>
          <w:color w:val="231F20"/>
          <w:spacing w:val="-30"/>
          <w:w w:val="105"/>
        </w:rPr>
        <w:t> </w:t>
      </w:r>
      <w:r>
        <w:rPr>
          <w:color w:val="231F20"/>
          <w:w w:val="105"/>
        </w:rPr>
        <w:t>través</w:t>
      </w:r>
      <w:r>
        <w:rPr>
          <w:color w:val="231F20"/>
          <w:spacing w:val="-30"/>
          <w:w w:val="105"/>
        </w:rPr>
        <w:t> </w:t>
      </w:r>
      <w:r>
        <w:rPr>
          <w:color w:val="231F20"/>
          <w:w w:val="105"/>
        </w:rPr>
        <w:t>de</w:t>
      </w:r>
      <w:r>
        <w:rPr>
          <w:color w:val="231F20"/>
          <w:spacing w:val="-30"/>
          <w:w w:val="105"/>
        </w:rPr>
        <w:t> </w:t>
      </w:r>
      <w:r>
        <w:rPr>
          <w:color w:val="231F20"/>
          <w:w w:val="105"/>
        </w:rPr>
        <w:t>un</w:t>
      </w:r>
      <w:r>
        <w:rPr>
          <w:color w:val="231F20"/>
          <w:spacing w:val="-30"/>
          <w:w w:val="105"/>
        </w:rPr>
        <w:t> </w:t>
      </w:r>
      <w:r>
        <w:rPr>
          <w:color w:val="231F20"/>
          <w:w w:val="105"/>
        </w:rPr>
        <w:t>trato</w:t>
      </w:r>
      <w:r>
        <w:rPr>
          <w:color w:val="231F20"/>
          <w:spacing w:val="-30"/>
          <w:w w:val="105"/>
        </w:rPr>
        <w:t> </w:t>
      </w:r>
      <w:r>
        <w:rPr>
          <w:color w:val="231F20"/>
          <w:w w:val="105"/>
        </w:rPr>
        <w:t>de</w:t>
      </w:r>
      <w:r>
        <w:rPr>
          <w:color w:val="231F20"/>
          <w:spacing w:val="-30"/>
          <w:w w:val="105"/>
        </w:rPr>
        <w:t> </w:t>
      </w:r>
      <w:r>
        <w:rPr>
          <w:color w:val="231F20"/>
          <w:w w:val="105"/>
        </w:rPr>
        <w:t>esta</w:t>
      </w:r>
      <w:r>
        <w:rPr>
          <w:color w:val="231F20"/>
          <w:spacing w:val="-30"/>
          <w:w w:val="105"/>
        </w:rPr>
        <w:t> </w:t>
      </w:r>
      <w:r>
        <w:rPr>
          <w:color w:val="231F20"/>
          <w:w w:val="105"/>
        </w:rPr>
        <w:t>naturaleza.</w:t>
      </w:r>
      <w:r>
        <w:rPr>
          <w:color w:val="231F20"/>
          <w:spacing w:val="-34"/>
          <w:w w:val="105"/>
        </w:rPr>
        <w:t> </w:t>
      </w:r>
      <w:r>
        <w:rPr>
          <w:color w:val="231F20"/>
          <w:w w:val="105"/>
        </w:rPr>
        <w:t>Si</w:t>
      </w:r>
      <w:r>
        <w:rPr>
          <w:color w:val="231F20"/>
          <w:spacing w:val="-30"/>
          <w:w w:val="105"/>
        </w:rPr>
        <w:t> </w:t>
      </w:r>
      <w:r>
        <w:rPr>
          <w:color w:val="231F20"/>
          <w:w w:val="105"/>
        </w:rPr>
        <w:t>los hallazgos</w:t>
      </w:r>
      <w:r>
        <w:rPr>
          <w:color w:val="231F20"/>
          <w:spacing w:val="-6"/>
          <w:w w:val="105"/>
        </w:rPr>
        <w:t> </w:t>
      </w:r>
      <w:r>
        <w:rPr>
          <w:color w:val="231F20"/>
          <w:w w:val="105"/>
        </w:rPr>
        <w:t>aquí</w:t>
      </w:r>
      <w:r>
        <w:rPr>
          <w:color w:val="231F20"/>
          <w:spacing w:val="-6"/>
          <w:w w:val="105"/>
        </w:rPr>
        <w:t> </w:t>
      </w:r>
      <w:r>
        <w:rPr>
          <w:color w:val="231F20"/>
          <w:w w:val="105"/>
        </w:rPr>
        <w:t>presentados</w:t>
      </w:r>
      <w:r>
        <w:rPr>
          <w:color w:val="231F20"/>
          <w:spacing w:val="-6"/>
          <w:w w:val="105"/>
        </w:rPr>
        <w:t> </w:t>
      </w:r>
      <w:r>
        <w:rPr>
          <w:color w:val="231F20"/>
          <w:w w:val="105"/>
        </w:rPr>
        <w:t>se</w:t>
      </w:r>
      <w:r>
        <w:rPr>
          <w:color w:val="231F20"/>
          <w:spacing w:val="-6"/>
          <w:w w:val="105"/>
        </w:rPr>
        <w:t> </w:t>
      </w:r>
      <w:r>
        <w:rPr>
          <w:color w:val="231F20"/>
          <w:w w:val="105"/>
        </w:rPr>
        <w:t>mantienen</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luz</w:t>
      </w:r>
      <w:r>
        <w:rPr>
          <w:color w:val="231F20"/>
          <w:spacing w:val="-6"/>
          <w:w w:val="105"/>
        </w:rPr>
        <w:t> </w:t>
      </w:r>
      <w:r>
        <w:rPr>
          <w:color w:val="231F20"/>
          <w:w w:val="105"/>
        </w:rPr>
        <w:t>de</w:t>
      </w:r>
      <w:r>
        <w:rPr>
          <w:color w:val="231F20"/>
          <w:spacing w:val="-6"/>
          <w:w w:val="105"/>
        </w:rPr>
        <w:t> </w:t>
      </w:r>
      <w:r>
        <w:rPr>
          <w:color w:val="231F20"/>
          <w:w w:val="105"/>
        </w:rPr>
        <w:t>otros</w:t>
      </w:r>
      <w:r>
        <w:rPr>
          <w:color w:val="231F20"/>
          <w:spacing w:val="-6"/>
          <w:w w:val="105"/>
        </w:rPr>
        <w:t> </w:t>
      </w:r>
      <w:r>
        <w:rPr>
          <w:color w:val="231F20"/>
          <w:w w:val="105"/>
        </w:rPr>
        <w:t>análisis</w:t>
      </w:r>
      <w:r>
        <w:rPr>
          <w:color w:val="231F20"/>
          <w:spacing w:val="-6"/>
          <w:w w:val="105"/>
        </w:rPr>
        <w:t> </w:t>
      </w:r>
      <w:r>
        <w:rPr>
          <w:color w:val="231F20"/>
          <w:w w:val="105"/>
        </w:rPr>
        <w:t>más críticos y/o bajo la lupa de un argumento teórico más refinado y un di- seño</w:t>
      </w:r>
      <w:r>
        <w:rPr>
          <w:color w:val="231F20"/>
          <w:spacing w:val="-19"/>
          <w:w w:val="105"/>
        </w:rPr>
        <w:t> </w:t>
      </w:r>
      <w:r>
        <w:rPr>
          <w:color w:val="231F20"/>
          <w:w w:val="105"/>
        </w:rPr>
        <w:t>de</w:t>
      </w:r>
      <w:r>
        <w:rPr>
          <w:color w:val="231F20"/>
          <w:spacing w:val="-19"/>
          <w:w w:val="105"/>
        </w:rPr>
        <w:t> </w:t>
      </w:r>
      <w:r>
        <w:rPr>
          <w:color w:val="231F20"/>
          <w:w w:val="105"/>
        </w:rPr>
        <w:t>investigación</w:t>
      </w:r>
      <w:r>
        <w:rPr>
          <w:color w:val="231F20"/>
          <w:spacing w:val="-19"/>
          <w:w w:val="105"/>
        </w:rPr>
        <w:t> </w:t>
      </w:r>
      <w:r>
        <w:rPr>
          <w:color w:val="231F20"/>
          <w:w w:val="105"/>
        </w:rPr>
        <w:t>con</w:t>
      </w:r>
      <w:r>
        <w:rPr>
          <w:color w:val="231F20"/>
          <w:spacing w:val="-19"/>
          <w:w w:val="105"/>
        </w:rPr>
        <w:t> </w:t>
      </w:r>
      <w:r>
        <w:rPr>
          <w:color w:val="231F20"/>
          <w:w w:val="105"/>
        </w:rPr>
        <w:t>mayor</w:t>
      </w:r>
      <w:r>
        <w:rPr>
          <w:color w:val="231F20"/>
          <w:spacing w:val="-19"/>
          <w:w w:val="105"/>
        </w:rPr>
        <w:t> </w:t>
      </w:r>
      <w:r>
        <w:rPr>
          <w:color w:val="231F20"/>
          <w:w w:val="105"/>
        </w:rPr>
        <w:t>validez</w:t>
      </w:r>
      <w:r>
        <w:rPr>
          <w:color w:val="231F20"/>
          <w:spacing w:val="-19"/>
          <w:w w:val="105"/>
        </w:rPr>
        <w:t> </w:t>
      </w:r>
      <w:r>
        <w:rPr>
          <w:color w:val="231F20"/>
          <w:w w:val="105"/>
        </w:rPr>
        <w:t>interna,</w:t>
      </w:r>
      <w:r>
        <w:rPr>
          <w:color w:val="231F20"/>
          <w:spacing w:val="-24"/>
          <w:w w:val="105"/>
        </w:rPr>
        <w:t> </w:t>
      </w:r>
      <w:r>
        <w:rPr>
          <w:color w:val="231F20"/>
          <w:w w:val="105"/>
        </w:rPr>
        <w:t>es</w:t>
      </w:r>
      <w:r>
        <w:rPr>
          <w:color w:val="231F20"/>
          <w:spacing w:val="-19"/>
          <w:w w:val="105"/>
        </w:rPr>
        <w:t> </w:t>
      </w:r>
      <w:r>
        <w:rPr>
          <w:color w:val="231F20"/>
          <w:w w:val="105"/>
        </w:rPr>
        <w:t>una</w:t>
      </w:r>
      <w:r>
        <w:rPr>
          <w:color w:val="231F20"/>
          <w:spacing w:val="-19"/>
          <w:w w:val="105"/>
        </w:rPr>
        <w:t> </w:t>
      </w:r>
      <w:r>
        <w:rPr>
          <w:color w:val="231F20"/>
          <w:w w:val="105"/>
        </w:rPr>
        <w:t>empresa</w:t>
      </w:r>
      <w:r>
        <w:rPr>
          <w:color w:val="231F20"/>
          <w:spacing w:val="-19"/>
          <w:w w:val="105"/>
        </w:rPr>
        <w:t> </w:t>
      </w:r>
      <w:r>
        <w:rPr>
          <w:color w:val="231F20"/>
          <w:w w:val="105"/>
        </w:rPr>
        <w:t>que</w:t>
      </w:r>
      <w:r>
        <w:rPr>
          <w:color w:val="231F20"/>
          <w:spacing w:val="-19"/>
          <w:w w:val="105"/>
        </w:rPr>
        <w:t> </w:t>
      </w:r>
      <w:r>
        <w:rPr>
          <w:color w:val="231F20"/>
          <w:w w:val="105"/>
        </w:rPr>
        <w:t>se debería</w:t>
      </w:r>
      <w:r>
        <w:rPr>
          <w:color w:val="231F20"/>
          <w:spacing w:val="-15"/>
          <w:w w:val="105"/>
        </w:rPr>
        <w:t> </w:t>
      </w:r>
      <w:r>
        <w:rPr>
          <w:color w:val="231F20"/>
          <w:w w:val="105"/>
        </w:rPr>
        <w:t>llevar</w:t>
      </w:r>
      <w:r>
        <w:rPr>
          <w:color w:val="231F20"/>
          <w:spacing w:val="-15"/>
          <w:w w:val="105"/>
        </w:rPr>
        <w:t> </w:t>
      </w:r>
      <w:r>
        <w:rPr>
          <w:color w:val="231F20"/>
          <w:w w:val="105"/>
        </w:rPr>
        <w:t>a</w:t>
      </w:r>
      <w:r>
        <w:rPr>
          <w:color w:val="231F20"/>
          <w:spacing w:val="-15"/>
          <w:w w:val="105"/>
        </w:rPr>
        <w:t> </w:t>
      </w:r>
      <w:r>
        <w:rPr>
          <w:color w:val="231F20"/>
          <w:w w:val="105"/>
        </w:rPr>
        <w:t>cabo</w:t>
      </w:r>
      <w:r>
        <w:rPr>
          <w:color w:val="231F20"/>
          <w:spacing w:val="-15"/>
          <w:w w:val="105"/>
        </w:rPr>
        <w:t> </w:t>
      </w:r>
      <w:r>
        <w:rPr>
          <w:color w:val="231F20"/>
          <w:w w:val="105"/>
        </w:rPr>
        <w:t>en</w:t>
      </w:r>
      <w:r>
        <w:rPr>
          <w:color w:val="231F20"/>
          <w:spacing w:val="-15"/>
          <w:w w:val="105"/>
        </w:rPr>
        <w:t> </w:t>
      </w:r>
      <w:r>
        <w:rPr>
          <w:color w:val="231F20"/>
          <w:w w:val="105"/>
        </w:rPr>
        <w:t>estudios</w:t>
      </w:r>
      <w:r>
        <w:rPr>
          <w:color w:val="231F20"/>
          <w:spacing w:val="-15"/>
          <w:w w:val="105"/>
        </w:rPr>
        <w:t> </w:t>
      </w:r>
      <w:r>
        <w:rPr>
          <w:color w:val="231F20"/>
          <w:w w:val="105"/>
        </w:rPr>
        <w:t>futuros.</w:t>
      </w:r>
      <w:r>
        <w:rPr>
          <w:color w:val="231F20"/>
          <w:spacing w:val="-21"/>
          <w:w w:val="105"/>
        </w:rPr>
        <w:t> </w:t>
      </w:r>
      <w:r>
        <w:rPr>
          <w:color w:val="231F20"/>
          <w:w w:val="105"/>
        </w:rPr>
        <w:t>Esto,</w:t>
      </w:r>
      <w:r>
        <w:rPr>
          <w:color w:val="231F20"/>
          <w:spacing w:val="-21"/>
          <w:w w:val="105"/>
        </w:rPr>
        <w:t> </w:t>
      </w:r>
      <w:r>
        <w:rPr>
          <w:color w:val="231F20"/>
          <w:w w:val="105"/>
        </w:rPr>
        <w:t>por</w:t>
      </w:r>
      <w:r>
        <w:rPr>
          <w:color w:val="231F20"/>
          <w:spacing w:val="-15"/>
          <w:w w:val="105"/>
        </w:rPr>
        <w:t> </w:t>
      </w:r>
      <w:r>
        <w:rPr>
          <w:color w:val="231F20"/>
          <w:w w:val="105"/>
        </w:rPr>
        <w:t>supuesto,</w:t>
      </w:r>
      <w:r>
        <w:rPr>
          <w:color w:val="231F20"/>
          <w:spacing w:val="-21"/>
          <w:w w:val="105"/>
        </w:rPr>
        <w:t> </w:t>
      </w:r>
      <w:r>
        <w:rPr>
          <w:color w:val="231F20"/>
          <w:w w:val="105"/>
        </w:rPr>
        <w:t>en</w:t>
      </w:r>
      <w:r>
        <w:rPr>
          <w:color w:val="231F20"/>
          <w:spacing w:val="-15"/>
          <w:w w:val="105"/>
        </w:rPr>
        <w:t> </w:t>
      </w:r>
      <w:r>
        <w:rPr>
          <w:color w:val="231F20"/>
          <w:w w:val="105"/>
        </w:rPr>
        <w:t>aras</w:t>
      </w:r>
      <w:r>
        <w:rPr>
          <w:color w:val="231F20"/>
          <w:spacing w:val="-15"/>
          <w:w w:val="105"/>
        </w:rPr>
        <w:t> </w:t>
      </w:r>
      <w:r>
        <w:rPr>
          <w:color w:val="231F20"/>
          <w:w w:val="105"/>
        </w:rPr>
        <w:t>de expandir el conocimiento de las fascinantes dinámicas involucradas en la</w:t>
      </w:r>
      <w:r>
        <w:rPr>
          <w:color w:val="231F20"/>
          <w:spacing w:val="-22"/>
          <w:w w:val="105"/>
        </w:rPr>
        <w:t> </w:t>
      </w:r>
      <w:r>
        <w:rPr>
          <w:color w:val="231F20"/>
          <w:w w:val="105"/>
        </w:rPr>
        <w:t>formación</w:t>
      </w:r>
      <w:r>
        <w:rPr>
          <w:color w:val="231F20"/>
          <w:spacing w:val="-22"/>
          <w:w w:val="105"/>
        </w:rPr>
        <w:t> </w:t>
      </w:r>
      <w:r>
        <w:rPr>
          <w:color w:val="231F20"/>
          <w:w w:val="105"/>
        </w:rPr>
        <w:t>y</w:t>
      </w:r>
      <w:r>
        <w:rPr>
          <w:color w:val="231F20"/>
          <w:spacing w:val="-22"/>
          <w:w w:val="105"/>
        </w:rPr>
        <w:t> </w:t>
      </w:r>
      <w:r>
        <w:rPr>
          <w:color w:val="231F20"/>
          <w:w w:val="105"/>
        </w:rPr>
        <w:t>administración</w:t>
      </w:r>
      <w:r>
        <w:rPr>
          <w:color w:val="231F20"/>
          <w:spacing w:val="-22"/>
          <w:w w:val="105"/>
        </w:rPr>
        <w:t> </w:t>
      </w:r>
      <w:r>
        <w:rPr>
          <w:color w:val="231F20"/>
          <w:w w:val="105"/>
        </w:rPr>
        <w:t>de</w:t>
      </w:r>
      <w:r>
        <w:rPr>
          <w:color w:val="231F20"/>
          <w:spacing w:val="-22"/>
          <w:w w:val="105"/>
        </w:rPr>
        <w:t> </w:t>
      </w:r>
      <w:r>
        <w:rPr>
          <w:color w:val="231F20"/>
          <w:w w:val="105"/>
        </w:rPr>
        <w:t>alianzas</w:t>
      </w:r>
      <w:r>
        <w:rPr>
          <w:color w:val="231F20"/>
          <w:spacing w:val="-22"/>
          <w:w w:val="105"/>
        </w:rPr>
        <w:t> </w:t>
      </w:r>
      <w:r>
        <w:rPr>
          <w:color w:val="231F20"/>
          <w:w w:val="105"/>
        </w:rPr>
        <w:t>y</w:t>
      </w:r>
      <w:r>
        <w:rPr>
          <w:color w:val="231F20"/>
          <w:spacing w:val="-22"/>
          <w:w w:val="105"/>
        </w:rPr>
        <w:t> </w:t>
      </w:r>
      <w:r>
        <w:rPr>
          <w:i/>
          <w:color w:val="231F20"/>
          <w:w w:val="105"/>
        </w:rPr>
        <w:t>joint</w:t>
      </w:r>
      <w:r>
        <w:rPr>
          <w:i/>
          <w:color w:val="231F20"/>
          <w:spacing w:val="-22"/>
          <w:w w:val="105"/>
        </w:rPr>
        <w:t> </w:t>
      </w:r>
      <w:r>
        <w:rPr>
          <w:i/>
          <w:color w:val="231F20"/>
          <w:w w:val="105"/>
        </w:rPr>
        <w:t>venture</w:t>
      </w:r>
      <w:r>
        <w:rPr>
          <w:color w:val="231F20"/>
          <w:w w:val="105"/>
        </w:rPr>
        <w:t>s.</w:t>
      </w:r>
      <w:r>
        <w:rPr>
          <w:color w:val="231F20"/>
          <w:spacing w:val="-27"/>
          <w:w w:val="105"/>
        </w:rPr>
        <w:t> </w:t>
      </w:r>
      <w:r>
        <w:rPr>
          <w:color w:val="231F20"/>
          <w:w w:val="105"/>
        </w:rPr>
        <w:t>Como</w:t>
      </w:r>
      <w:r>
        <w:rPr>
          <w:color w:val="231F20"/>
          <w:spacing w:val="-22"/>
          <w:w w:val="105"/>
        </w:rPr>
        <w:t> </w:t>
      </w:r>
      <w:r>
        <w:rPr>
          <w:color w:val="231F20"/>
          <w:w w:val="105"/>
        </w:rPr>
        <w:t>autores, es</w:t>
      </w:r>
      <w:r>
        <w:rPr>
          <w:color w:val="231F20"/>
          <w:spacing w:val="-18"/>
          <w:w w:val="105"/>
        </w:rPr>
        <w:t> </w:t>
      </w:r>
      <w:r>
        <w:rPr>
          <w:color w:val="231F20"/>
          <w:w w:val="105"/>
        </w:rPr>
        <w:t>nuestro</w:t>
      </w:r>
      <w:r>
        <w:rPr>
          <w:color w:val="231F20"/>
          <w:spacing w:val="-18"/>
          <w:w w:val="105"/>
        </w:rPr>
        <w:t> </w:t>
      </w:r>
      <w:r>
        <w:rPr>
          <w:color w:val="231F20"/>
          <w:w w:val="105"/>
        </w:rPr>
        <w:t>deseo</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presente</w:t>
      </w:r>
      <w:r>
        <w:rPr>
          <w:color w:val="231F20"/>
          <w:spacing w:val="-18"/>
          <w:w w:val="105"/>
        </w:rPr>
        <w:t> </w:t>
      </w:r>
      <w:r>
        <w:rPr>
          <w:color w:val="231F20"/>
          <w:w w:val="105"/>
        </w:rPr>
        <w:t>estudio</w:t>
      </w:r>
      <w:r>
        <w:rPr>
          <w:color w:val="231F20"/>
          <w:spacing w:val="-18"/>
          <w:w w:val="105"/>
        </w:rPr>
        <w:t> </w:t>
      </w:r>
      <w:r>
        <w:rPr>
          <w:color w:val="231F20"/>
          <w:w w:val="105"/>
        </w:rPr>
        <w:t>sea</w:t>
      </w:r>
      <w:r>
        <w:rPr>
          <w:color w:val="231F20"/>
          <w:spacing w:val="-18"/>
          <w:w w:val="105"/>
        </w:rPr>
        <w:t> </w:t>
      </w:r>
      <w:r>
        <w:rPr>
          <w:color w:val="231F20"/>
          <w:w w:val="105"/>
        </w:rPr>
        <w:t>un</w:t>
      </w:r>
      <w:r>
        <w:rPr>
          <w:color w:val="231F20"/>
          <w:spacing w:val="-18"/>
          <w:w w:val="105"/>
        </w:rPr>
        <w:t> </w:t>
      </w:r>
      <w:r>
        <w:rPr>
          <w:color w:val="231F20"/>
          <w:w w:val="105"/>
        </w:rPr>
        <w:t>paso</w:t>
      </w:r>
      <w:r>
        <w:rPr>
          <w:color w:val="231F20"/>
          <w:spacing w:val="-18"/>
          <w:w w:val="105"/>
        </w:rPr>
        <w:t> </w:t>
      </w:r>
      <w:r>
        <w:rPr>
          <w:color w:val="231F20"/>
          <w:w w:val="105"/>
        </w:rPr>
        <w:t>en</w:t>
      </w:r>
      <w:r>
        <w:rPr>
          <w:color w:val="231F20"/>
          <w:spacing w:val="-18"/>
          <w:w w:val="105"/>
        </w:rPr>
        <w:t> </w:t>
      </w:r>
      <w:r>
        <w:rPr>
          <w:color w:val="231F20"/>
          <w:w w:val="105"/>
        </w:rPr>
        <w:t>esta</w:t>
      </w:r>
      <w:r>
        <w:rPr>
          <w:color w:val="231F20"/>
          <w:spacing w:val="-18"/>
          <w:w w:val="105"/>
        </w:rPr>
        <w:t> </w:t>
      </w:r>
      <w:r>
        <w:rPr>
          <w:color w:val="231F20"/>
          <w:w w:val="105"/>
        </w:rPr>
        <w:t>dirección.</w:t>
      </w:r>
    </w:p>
    <w:p>
      <w:pPr>
        <w:pStyle w:val="BodyText"/>
        <w:rPr>
          <w:sz w:val="20"/>
        </w:rPr>
      </w:pPr>
    </w:p>
    <w:p>
      <w:pPr>
        <w:pStyle w:val="BodyText"/>
        <w:spacing w:before="7"/>
        <w:rPr>
          <w:sz w:val="18"/>
        </w:rPr>
      </w:pPr>
    </w:p>
    <w:p>
      <w:pPr>
        <w:pStyle w:val="Heading2"/>
        <w:spacing w:line="247" w:lineRule="auto"/>
        <w:ind w:left="103" w:right="202"/>
        <w:jc w:val="left"/>
      </w:pPr>
      <w:r>
        <w:rPr>
          <w:color w:val="231F20"/>
          <w:w w:val="95"/>
        </w:rPr>
        <w:t>Reflexiones finales sobre la investigación en alianzas estratégicas </w:t>
      </w:r>
      <w:r>
        <w:rPr>
          <w:color w:val="231F20"/>
        </w:rPr>
        <w:t>en México</w:t>
      </w:r>
    </w:p>
    <w:p>
      <w:pPr>
        <w:pStyle w:val="BodyText"/>
        <w:rPr>
          <w:b/>
          <w:sz w:val="22"/>
        </w:rPr>
      </w:pPr>
    </w:p>
    <w:p>
      <w:pPr>
        <w:pStyle w:val="BodyText"/>
        <w:spacing w:line="259" w:lineRule="auto" w:before="153"/>
        <w:ind w:left="103" w:right="115"/>
        <w:jc w:val="both"/>
      </w:pPr>
      <w:r>
        <w:rPr>
          <w:color w:val="231F20"/>
          <w:w w:val="105"/>
        </w:rPr>
        <w:t>Como</w:t>
      </w:r>
      <w:r>
        <w:rPr>
          <w:color w:val="231F20"/>
          <w:spacing w:val="-19"/>
          <w:w w:val="105"/>
        </w:rPr>
        <w:t> </w:t>
      </w:r>
      <w:r>
        <w:rPr>
          <w:color w:val="231F20"/>
          <w:w w:val="105"/>
        </w:rPr>
        <w:t>se</w:t>
      </w:r>
      <w:r>
        <w:rPr>
          <w:color w:val="231F20"/>
          <w:spacing w:val="-19"/>
          <w:w w:val="105"/>
        </w:rPr>
        <w:t> </w:t>
      </w:r>
      <w:r>
        <w:rPr>
          <w:color w:val="231F20"/>
          <w:w w:val="105"/>
        </w:rPr>
        <w:t>ha</w:t>
      </w:r>
      <w:r>
        <w:rPr>
          <w:color w:val="231F20"/>
          <w:spacing w:val="-19"/>
          <w:w w:val="105"/>
        </w:rPr>
        <w:t> </w:t>
      </w:r>
      <w:r>
        <w:rPr>
          <w:color w:val="231F20"/>
          <w:w w:val="105"/>
        </w:rPr>
        <w:t>descrito,</w:t>
      </w:r>
      <w:r>
        <w:rPr>
          <w:color w:val="231F20"/>
          <w:spacing w:val="-24"/>
          <w:w w:val="105"/>
        </w:rPr>
        <w:t> </w:t>
      </w:r>
      <w:r>
        <w:rPr>
          <w:color w:val="231F20"/>
          <w:w w:val="105"/>
        </w:rPr>
        <w:t>las</w:t>
      </w:r>
      <w:r>
        <w:rPr>
          <w:color w:val="231F20"/>
          <w:spacing w:val="-19"/>
          <w:w w:val="105"/>
        </w:rPr>
        <w:t> </w:t>
      </w:r>
      <w:r>
        <w:rPr>
          <w:color w:val="231F20"/>
          <w:w w:val="105"/>
        </w:rPr>
        <w:t>alianzas</w:t>
      </w:r>
      <w:r>
        <w:rPr>
          <w:color w:val="231F20"/>
          <w:spacing w:val="-19"/>
          <w:w w:val="105"/>
        </w:rPr>
        <w:t> </w:t>
      </w:r>
      <w:r>
        <w:rPr>
          <w:color w:val="231F20"/>
          <w:w w:val="105"/>
        </w:rPr>
        <w:t>estratégicas,</w:t>
      </w:r>
      <w:r>
        <w:rPr>
          <w:color w:val="231F20"/>
          <w:spacing w:val="-24"/>
          <w:w w:val="105"/>
        </w:rPr>
        <w:t> </w:t>
      </w:r>
      <w:r>
        <w:rPr>
          <w:color w:val="231F20"/>
          <w:w w:val="105"/>
        </w:rPr>
        <w:t>y</w:t>
      </w:r>
      <w:r>
        <w:rPr>
          <w:color w:val="231F20"/>
          <w:spacing w:val="-19"/>
          <w:w w:val="105"/>
        </w:rPr>
        <w:t> </w:t>
      </w:r>
      <w:r>
        <w:rPr>
          <w:color w:val="231F20"/>
          <w:w w:val="105"/>
        </w:rPr>
        <w:t>concretamente</w:t>
      </w:r>
      <w:r>
        <w:rPr>
          <w:color w:val="231F20"/>
          <w:spacing w:val="-19"/>
          <w:w w:val="105"/>
        </w:rPr>
        <w:t> </w:t>
      </w:r>
      <w:r>
        <w:rPr>
          <w:color w:val="231F20"/>
          <w:w w:val="105"/>
        </w:rPr>
        <w:t>las</w:t>
      </w:r>
      <w:r>
        <w:rPr>
          <w:color w:val="231F20"/>
          <w:spacing w:val="-19"/>
          <w:w w:val="105"/>
        </w:rPr>
        <w:t> </w:t>
      </w:r>
      <w:r>
        <w:rPr>
          <w:i/>
          <w:color w:val="231F20"/>
          <w:w w:val="105"/>
        </w:rPr>
        <w:t>joint </w:t>
      </w:r>
      <w:r>
        <w:rPr>
          <w:i/>
          <w:color w:val="231F20"/>
          <w:w w:val="105"/>
        </w:rPr>
        <w:t>venture</w:t>
      </w:r>
      <w:r>
        <w:rPr>
          <w:color w:val="231F20"/>
          <w:w w:val="105"/>
        </w:rPr>
        <w:t>s,</w:t>
      </w:r>
      <w:r>
        <w:rPr>
          <w:color w:val="231F20"/>
          <w:spacing w:val="-17"/>
          <w:w w:val="105"/>
        </w:rPr>
        <w:t> </w:t>
      </w:r>
      <w:r>
        <w:rPr>
          <w:color w:val="231F20"/>
          <w:w w:val="105"/>
        </w:rPr>
        <w:t>son</w:t>
      </w:r>
      <w:r>
        <w:rPr>
          <w:color w:val="231F20"/>
          <w:spacing w:val="-12"/>
          <w:w w:val="105"/>
        </w:rPr>
        <w:t> </w:t>
      </w:r>
      <w:r>
        <w:rPr>
          <w:color w:val="231F20"/>
          <w:w w:val="105"/>
        </w:rPr>
        <w:t>vehículos</w:t>
      </w:r>
      <w:r>
        <w:rPr>
          <w:color w:val="231F20"/>
          <w:spacing w:val="-12"/>
          <w:w w:val="105"/>
        </w:rPr>
        <w:t> </w:t>
      </w:r>
      <w:r>
        <w:rPr>
          <w:color w:val="231F20"/>
          <w:w w:val="105"/>
        </w:rPr>
        <w:t>de</w:t>
      </w:r>
      <w:r>
        <w:rPr>
          <w:color w:val="231F20"/>
          <w:spacing w:val="-12"/>
          <w:w w:val="105"/>
        </w:rPr>
        <w:t> </w:t>
      </w:r>
      <w:r>
        <w:rPr>
          <w:color w:val="231F20"/>
          <w:w w:val="105"/>
        </w:rPr>
        <w:t>acción</w:t>
      </w:r>
      <w:r>
        <w:rPr>
          <w:color w:val="231F20"/>
          <w:spacing w:val="-12"/>
          <w:w w:val="105"/>
        </w:rPr>
        <w:t> </w:t>
      </w:r>
      <w:r>
        <w:rPr>
          <w:color w:val="231F20"/>
          <w:w w:val="105"/>
        </w:rPr>
        <w:t>estratégica</w:t>
      </w:r>
      <w:r>
        <w:rPr>
          <w:color w:val="231F20"/>
          <w:spacing w:val="-12"/>
          <w:w w:val="105"/>
        </w:rPr>
        <w:t> </w:t>
      </w:r>
      <w:r>
        <w:rPr>
          <w:color w:val="231F20"/>
          <w:w w:val="105"/>
        </w:rPr>
        <w:t>que</w:t>
      </w:r>
      <w:r>
        <w:rPr>
          <w:color w:val="231F20"/>
          <w:spacing w:val="-12"/>
          <w:w w:val="105"/>
        </w:rPr>
        <w:t> </w:t>
      </w:r>
      <w:r>
        <w:rPr>
          <w:color w:val="231F20"/>
          <w:w w:val="105"/>
        </w:rPr>
        <w:t>tienen</w:t>
      </w:r>
      <w:r>
        <w:rPr>
          <w:color w:val="231F20"/>
          <w:spacing w:val="-12"/>
          <w:w w:val="105"/>
        </w:rPr>
        <w:t> </w:t>
      </w:r>
      <w:r>
        <w:rPr>
          <w:color w:val="231F20"/>
          <w:w w:val="105"/>
        </w:rPr>
        <w:t>el</w:t>
      </w:r>
      <w:r>
        <w:rPr>
          <w:color w:val="231F20"/>
          <w:spacing w:val="-12"/>
          <w:w w:val="105"/>
        </w:rPr>
        <w:t> </w:t>
      </w:r>
      <w:r>
        <w:rPr>
          <w:color w:val="231F20"/>
          <w:w w:val="105"/>
        </w:rPr>
        <w:t>potencial</w:t>
      </w:r>
      <w:r>
        <w:rPr>
          <w:color w:val="231F20"/>
          <w:spacing w:val="-12"/>
          <w:w w:val="105"/>
        </w:rPr>
        <w:t> </w:t>
      </w:r>
      <w:r>
        <w:rPr>
          <w:color w:val="231F20"/>
          <w:w w:val="105"/>
        </w:rPr>
        <w:t>de ayudar a las organizaciones modernas a desarrollar y/o sostener una ventaja</w:t>
      </w:r>
      <w:r>
        <w:rPr>
          <w:color w:val="231F20"/>
          <w:spacing w:val="-11"/>
          <w:w w:val="105"/>
        </w:rPr>
        <w:t> </w:t>
      </w:r>
      <w:r>
        <w:rPr>
          <w:color w:val="231F20"/>
          <w:w w:val="105"/>
        </w:rPr>
        <w:t>competitiva.</w:t>
      </w:r>
      <w:r>
        <w:rPr>
          <w:color w:val="231F20"/>
          <w:spacing w:val="-17"/>
          <w:w w:val="105"/>
        </w:rPr>
        <w:t> </w:t>
      </w:r>
      <w:r>
        <w:rPr>
          <w:color w:val="231F20"/>
          <w:w w:val="105"/>
        </w:rPr>
        <w:t>Más</w:t>
      </w:r>
      <w:r>
        <w:rPr>
          <w:color w:val="231F20"/>
          <w:spacing w:val="-11"/>
          <w:w w:val="105"/>
        </w:rPr>
        <w:t> </w:t>
      </w:r>
      <w:r>
        <w:rPr>
          <w:color w:val="231F20"/>
          <w:w w:val="105"/>
        </w:rPr>
        <w:t>aún,</w:t>
      </w:r>
      <w:r>
        <w:rPr>
          <w:color w:val="231F20"/>
          <w:spacing w:val="-17"/>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contexto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globalización</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los múltiples tratados de libre comercio que México ha celebrado con </w:t>
      </w:r>
      <w:r>
        <w:rPr>
          <w:color w:val="231F20"/>
          <w:spacing w:val="7"/>
          <w:w w:val="105"/>
        </w:rPr>
        <w:t> </w:t>
      </w:r>
      <w:r>
        <w:rPr>
          <w:color w:val="231F20"/>
          <w:w w:val="105"/>
        </w:rPr>
        <w:t>una</w:t>
      </w:r>
    </w:p>
    <w:p>
      <w:pPr>
        <w:pStyle w:val="BodyText"/>
        <w:rPr>
          <w:sz w:val="20"/>
        </w:rPr>
      </w:pPr>
    </w:p>
    <w:p>
      <w:pPr>
        <w:pStyle w:val="BodyText"/>
        <w:rPr>
          <w:sz w:val="20"/>
        </w:rPr>
      </w:pPr>
    </w:p>
    <w:p>
      <w:pPr>
        <w:pStyle w:val="BodyText"/>
        <w:spacing w:before="10"/>
        <w:rPr>
          <w:sz w:val="23"/>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203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152</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920"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153</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spacing w:before="8"/>
        <w:rPr>
          <w:sz w:val="18"/>
        </w:rPr>
      </w:pPr>
    </w:p>
    <w:p>
      <w:pPr>
        <w:pStyle w:val="BodyText"/>
        <w:spacing w:line="259" w:lineRule="auto" w:before="57"/>
        <w:ind w:left="117" w:right="121"/>
        <w:jc w:val="both"/>
      </w:pPr>
      <w:r>
        <w:rPr>
          <w:color w:val="231F20"/>
          <w:w w:val="105"/>
        </w:rPr>
        <w:t>variedad de países, tales vehículos cobran una gran importancia para afrontar</w:t>
      </w:r>
      <w:r>
        <w:rPr>
          <w:color w:val="231F20"/>
          <w:spacing w:val="-7"/>
          <w:w w:val="105"/>
        </w:rPr>
        <w:t> </w:t>
      </w:r>
      <w:r>
        <w:rPr>
          <w:color w:val="231F20"/>
          <w:w w:val="105"/>
        </w:rPr>
        <w:t>la</w:t>
      </w:r>
      <w:r>
        <w:rPr>
          <w:color w:val="231F20"/>
          <w:spacing w:val="-7"/>
          <w:w w:val="105"/>
        </w:rPr>
        <w:t> </w:t>
      </w:r>
      <w:r>
        <w:rPr>
          <w:color w:val="231F20"/>
          <w:w w:val="105"/>
        </w:rPr>
        <w:t>fuerte</w:t>
      </w:r>
      <w:r>
        <w:rPr>
          <w:color w:val="231F20"/>
          <w:spacing w:val="-7"/>
          <w:w w:val="105"/>
        </w:rPr>
        <w:t> </w:t>
      </w:r>
      <w:r>
        <w:rPr>
          <w:color w:val="231F20"/>
          <w:w w:val="105"/>
        </w:rPr>
        <w:t>competencia</w:t>
      </w:r>
      <w:r>
        <w:rPr>
          <w:color w:val="231F20"/>
          <w:spacing w:val="-7"/>
          <w:w w:val="105"/>
        </w:rPr>
        <w:t> </w:t>
      </w:r>
      <w:r>
        <w:rPr>
          <w:color w:val="231F20"/>
          <w:w w:val="105"/>
        </w:rPr>
        <w:t>internacional</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experimenta</w:t>
      </w:r>
      <w:r>
        <w:rPr>
          <w:color w:val="231F20"/>
          <w:spacing w:val="-7"/>
          <w:w w:val="105"/>
        </w:rPr>
        <w:t> </w:t>
      </w:r>
      <w:r>
        <w:rPr>
          <w:color w:val="231F20"/>
          <w:w w:val="105"/>
        </w:rPr>
        <w:t>en</w:t>
      </w:r>
      <w:r>
        <w:rPr>
          <w:color w:val="231F20"/>
          <w:spacing w:val="-7"/>
          <w:w w:val="105"/>
        </w:rPr>
        <w:t> </w:t>
      </w:r>
      <w:r>
        <w:rPr>
          <w:color w:val="231F20"/>
          <w:w w:val="105"/>
        </w:rPr>
        <w:t>una gran cantidad de</w:t>
      </w:r>
      <w:r>
        <w:rPr>
          <w:color w:val="231F20"/>
          <w:spacing w:val="-43"/>
          <w:w w:val="105"/>
        </w:rPr>
        <w:t> </w:t>
      </w:r>
      <w:r>
        <w:rPr>
          <w:color w:val="231F20"/>
          <w:w w:val="105"/>
        </w:rPr>
        <w:t>industrias.</w:t>
      </w:r>
    </w:p>
    <w:p>
      <w:pPr>
        <w:pStyle w:val="BodyText"/>
        <w:spacing w:line="259" w:lineRule="auto"/>
        <w:ind w:left="117" w:right="121" w:firstLine="567"/>
        <w:jc w:val="both"/>
      </w:pP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contexto</w:t>
      </w:r>
      <w:r>
        <w:rPr>
          <w:color w:val="231F20"/>
          <w:spacing w:val="-5"/>
          <w:w w:val="105"/>
        </w:rPr>
        <w:t> </w:t>
      </w:r>
      <w:r>
        <w:rPr>
          <w:color w:val="231F20"/>
          <w:spacing w:val="-3"/>
          <w:w w:val="105"/>
        </w:rPr>
        <w:t>anterior,</w:t>
      </w:r>
      <w:r>
        <w:rPr>
          <w:color w:val="231F20"/>
          <w:spacing w:val="-10"/>
          <w:w w:val="105"/>
        </w:rPr>
        <w:t> </w:t>
      </w:r>
      <w:r>
        <w:rPr>
          <w:color w:val="231F20"/>
          <w:w w:val="105"/>
        </w:rPr>
        <w:t>es</w:t>
      </w:r>
      <w:r>
        <w:rPr>
          <w:color w:val="231F20"/>
          <w:spacing w:val="-5"/>
          <w:w w:val="105"/>
        </w:rPr>
        <w:t> </w:t>
      </w:r>
      <w:r>
        <w:rPr>
          <w:color w:val="231F20"/>
          <w:w w:val="105"/>
        </w:rPr>
        <w:t>bien</w:t>
      </w:r>
      <w:r>
        <w:rPr>
          <w:color w:val="231F20"/>
          <w:spacing w:val="-5"/>
          <w:w w:val="105"/>
        </w:rPr>
        <w:t> </w:t>
      </w:r>
      <w:r>
        <w:rPr>
          <w:color w:val="231F20"/>
          <w:w w:val="105"/>
        </w:rPr>
        <w:t>sabido</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grandes</w:t>
      </w:r>
      <w:r>
        <w:rPr>
          <w:color w:val="231F20"/>
          <w:spacing w:val="-5"/>
          <w:w w:val="105"/>
        </w:rPr>
        <w:t> </w:t>
      </w:r>
      <w:r>
        <w:rPr>
          <w:color w:val="231F20"/>
          <w:spacing w:val="-3"/>
          <w:w w:val="105"/>
        </w:rPr>
        <w:t>empresas </w:t>
      </w:r>
      <w:r>
        <w:rPr>
          <w:color w:val="231F20"/>
          <w:w w:val="105"/>
        </w:rPr>
        <w:t>mexicanas</w:t>
      </w:r>
      <w:r>
        <w:rPr>
          <w:color w:val="231F20"/>
          <w:spacing w:val="-26"/>
          <w:w w:val="105"/>
        </w:rPr>
        <w:t> </w:t>
      </w:r>
      <w:r>
        <w:rPr>
          <w:color w:val="231F20"/>
          <w:w w:val="105"/>
        </w:rPr>
        <w:t>como</w:t>
      </w:r>
      <w:r>
        <w:rPr>
          <w:color w:val="231F20"/>
          <w:spacing w:val="-26"/>
          <w:w w:val="105"/>
        </w:rPr>
        <w:t> </w:t>
      </w:r>
      <w:r>
        <w:rPr>
          <w:color w:val="231F20"/>
          <w:w w:val="105"/>
        </w:rPr>
        <w:t>Bimbo®,</w:t>
      </w:r>
      <w:r>
        <w:rPr>
          <w:color w:val="231F20"/>
          <w:spacing w:val="-32"/>
          <w:w w:val="105"/>
        </w:rPr>
        <w:t> </w:t>
      </w:r>
      <w:r>
        <w:rPr>
          <w:color w:val="231F20"/>
          <w:spacing w:val="-5"/>
          <w:w w:val="105"/>
        </w:rPr>
        <w:t>Telmex®</w:t>
      </w:r>
      <w:r>
        <w:rPr>
          <w:color w:val="231F20"/>
          <w:spacing w:val="-26"/>
          <w:w w:val="105"/>
        </w:rPr>
        <w:t> </w:t>
      </w:r>
      <w:r>
        <w:rPr>
          <w:color w:val="231F20"/>
          <w:w w:val="105"/>
        </w:rPr>
        <w:t>y</w:t>
      </w:r>
      <w:r>
        <w:rPr>
          <w:color w:val="231F20"/>
          <w:spacing w:val="-26"/>
          <w:w w:val="105"/>
        </w:rPr>
        <w:t> </w:t>
      </w:r>
      <w:r>
        <w:rPr>
          <w:color w:val="231F20"/>
          <w:w w:val="105"/>
        </w:rPr>
        <w:t>muchas</w:t>
      </w:r>
      <w:r>
        <w:rPr>
          <w:color w:val="231F20"/>
          <w:spacing w:val="-26"/>
          <w:w w:val="105"/>
        </w:rPr>
        <w:t> </w:t>
      </w:r>
      <w:r>
        <w:rPr>
          <w:color w:val="231F20"/>
          <w:w w:val="105"/>
        </w:rPr>
        <w:t>otras</w:t>
      </w:r>
      <w:r>
        <w:rPr>
          <w:color w:val="231F20"/>
          <w:spacing w:val="-26"/>
          <w:w w:val="105"/>
        </w:rPr>
        <w:t> </w:t>
      </w:r>
      <w:r>
        <w:rPr>
          <w:color w:val="231F20"/>
          <w:w w:val="105"/>
        </w:rPr>
        <w:t>han</w:t>
      </w:r>
      <w:r>
        <w:rPr>
          <w:color w:val="231F20"/>
          <w:spacing w:val="-26"/>
          <w:w w:val="105"/>
        </w:rPr>
        <w:t> </w:t>
      </w:r>
      <w:r>
        <w:rPr>
          <w:color w:val="231F20"/>
          <w:w w:val="105"/>
        </w:rPr>
        <w:t>sido</w:t>
      </w:r>
      <w:r>
        <w:rPr>
          <w:color w:val="231F20"/>
          <w:spacing w:val="-26"/>
          <w:w w:val="105"/>
        </w:rPr>
        <w:t> </w:t>
      </w:r>
      <w:r>
        <w:rPr>
          <w:color w:val="231F20"/>
          <w:w w:val="105"/>
        </w:rPr>
        <w:t>muy</w:t>
      </w:r>
      <w:r>
        <w:rPr>
          <w:color w:val="231F20"/>
          <w:spacing w:val="-26"/>
          <w:w w:val="105"/>
        </w:rPr>
        <w:t> </w:t>
      </w:r>
      <w:r>
        <w:rPr>
          <w:color w:val="231F20"/>
          <w:w w:val="105"/>
        </w:rPr>
        <w:t>activas en</w:t>
      </w:r>
      <w:r>
        <w:rPr>
          <w:color w:val="231F20"/>
          <w:spacing w:val="-23"/>
          <w:w w:val="105"/>
        </w:rPr>
        <w:t> </w:t>
      </w:r>
      <w:r>
        <w:rPr>
          <w:color w:val="231F20"/>
          <w:w w:val="105"/>
        </w:rPr>
        <w:t>la</w:t>
      </w:r>
      <w:r>
        <w:rPr>
          <w:color w:val="231F20"/>
          <w:spacing w:val="-23"/>
          <w:w w:val="105"/>
        </w:rPr>
        <w:t> </w:t>
      </w:r>
      <w:r>
        <w:rPr>
          <w:color w:val="231F20"/>
          <w:w w:val="105"/>
        </w:rPr>
        <w:t>formación</w:t>
      </w:r>
      <w:r>
        <w:rPr>
          <w:color w:val="231F20"/>
          <w:spacing w:val="-23"/>
          <w:w w:val="105"/>
        </w:rPr>
        <w:t> </w:t>
      </w:r>
      <w:r>
        <w:rPr>
          <w:color w:val="231F20"/>
          <w:w w:val="105"/>
        </w:rPr>
        <w:t>de</w:t>
      </w:r>
      <w:r>
        <w:rPr>
          <w:color w:val="231F20"/>
          <w:spacing w:val="-23"/>
          <w:w w:val="105"/>
        </w:rPr>
        <w:t> </w:t>
      </w:r>
      <w:r>
        <w:rPr>
          <w:color w:val="231F20"/>
          <w:w w:val="105"/>
        </w:rPr>
        <w:t>alianzas</w:t>
      </w:r>
      <w:r>
        <w:rPr>
          <w:color w:val="231F20"/>
          <w:spacing w:val="-23"/>
          <w:w w:val="105"/>
        </w:rPr>
        <w:t> </w:t>
      </w:r>
      <w:r>
        <w:rPr>
          <w:color w:val="231F20"/>
          <w:w w:val="105"/>
        </w:rPr>
        <w:t>y</w:t>
      </w:r>
      <w:r>
        <w:rPr>
          <w:color w:val="231F20"/>
          <w:spacing w:val="-23"/>
          <w:w w:val="105"/>
        </w:rPr>
        <w:t> </w:t>
      </w:r>
      <w:r>
        <w:rPr>
          <w:i/>
          <w:color w:val="231F20"/>
          <w:w w:val="105"/>
        </w:rPr>
        <w:t>joint</w:t>
      </w:r>
      <w:r>
        <w:rPr>
          <w:i/>
          <w:color w:val="231F20"/>
          <w:spacing w:val="-23"/>
          <w:w w:val="105"/>
        </w:rPr>
        <w:t> </w:t>
      </w:r>
      <w:r>
        <w:rPr>
          <w:i/>
          <w:color w:val="231F20"/>
          <w:w w:val="105"/>
        </w:rPr>
        <w:t>venture</w:t>
      </w:r>
      <w:r>
        <w:rPr>
          <w:color w:val="231F20"/>
          <w:w w:val="105"/>
        </w:rPr>
        <w:t>s.</w:t>
      </w:r>
      <w:r>
        <w:rPr>
          <w:color w:val="231F20"/>
          <w:spacing w:val="-27"/>
          <w:w w:val="105"/>
        </w:rPr>
        <w:t> </w:t>
      </w:r>
      <w:r>
        <w:rPr>
          <w:color w:val="231F20"/>
          <w:w w:val="105"/>
        </w:rPr>
        <w:t>No</w:t>
      </w:r>
      <w:r>
        <w:rPr>
          <w:color w:val="231F20"/>
          <w:spacing w:val="-23"/>
          <w:w w:val="105"/>
        </w:rPr>
        <w:t> </w:t>
      </w:r>
      <w:r>
        <w:rPr>
          <w:color w:val="231F20"/>
          <w:w w:val="105"/>
        </w:rPr>
        <w:t>obstante,</w:t>
      </w:r>
      <w:r>
        <w:rPr>
          <w:color w:val="231F20"/>
          <w:spacing w:val="-27"/>
          <w:w w:val="105"/>
        </w:rPr>
        <w:t> </w:t>
      </w:r>
      <w:r>
        <w:rPr>
          <w:color w:val="231F20"/>
          <w:w w:val="105"/>
        </w:rPr>
        <w:t>se</w:t>
      </w:r>
      <w:r>
        <w:rPr>
          <w:color w:val="231F20"/>
          <w:spacing w:val="-23"/>
          <w:w w:val="105"/>
        </w:rPr>
        <w:t> </w:t>
      </w:r>
      <w:r>
        <w:rPr>
          <w:color w:val="231F20"/>
          <w:w w:val="105"/>
        </w:rPr>
        <w:t>sabe</w:t>
      </w:r>
      <w:r>
        <w:rPr>
          <w:color w:val="231F20"/>
          <w:spacing w:val="-23"/>
          <w:w w:val="105"/>
        </w:rPr>
        <w:t> </w:t>
      </w:r>
      <w:r>
        <w:rPr>
          <w:color w:val="231F20"/>
          <w:w w:val="105"/>
        </w:rPr>
        <w:t>menos al</w:t>
      </w:r>
      <w:r>
        <w:rPr>
          <w:color w:val="231F20"/>
          <w:spacing w:val="-29"/>
          <w:w w:val="105"/>
        </w:rPr>
        <w:t> </w:t>
      </w:r>
      <w:r>
        <w:rPr>
          <w:color w:val="231F20"/>
          <w:spacing w:val="-3"/>
          <w:w w:val="105"/>
        </w:rPr>
        <w:t>respecto</w:t>
      </w:r>
      <w:r>
        <w:rPr>
          <w:color w:val="231F20"/>
          <w:spacing w:val="-29"/>
          <w:w w:val="105"/>
        </w:rPr>
        <w:t> </w:t>
      </w:r>
      <w:r>
        <w:rPr>
          <w:color w:val="231F20"/>
          <w:w w:val="105"/>
        </w:rPr>
        <w:t>del</w:t>
      </w:r>
      <w:r>
        <w:rPr>
          <w:color w:val="231F20"/>
          <w:spacing w:val="-29"/>
          <w:w w:val="105"/>
        </w:rPr>
        <w:t> </w:t>
      </w:r>
      <w:r>
        <w:rPr>
          <w:color w:val="231F20"/>
          <w:w w:val="105"/>
        </w:rPr>
        <w:t>fenómeno</w:t>
      </w:r>
      <w:r>
        <w:rPr>
          <w:color w:val="231F20"/>
          <w:spacing w:val="-29"/>
          <w:w w:val="105"/>
        </w:rPr>
        <w:t> </w:t>
      </w:r>
      <w:r>
        <w:rPr>
          <w:color w:val="231F20"/>
          <w:w w:val="105"/>
        </w:rPr>
        <w:t>en</w:t>
      </w:r>
      <w:r>
        <w:rPr>
          <w:color w:val="231F20"/>
          <w:spacing w:val="-29"/>
          <w:w w:val="105"/>
        </w:rPr>
        <w:t> </w:t>
      </w:r>
      <w:r>
        <w:rPr>
          <w:color w:val="231F20"/>
          <w:w w:val="105"/>
        </w:rPr>
        <w:t>cuestión</w:t>
      </w:r>
      <w:r>
        <w:rPr>
          <w:color w:val="231F20"/>
          <w:spacing w:val="-29"/>
          <w:w w:val="105"/>
        </w:rPr>
        <w:t> </w:t>
      </w:r>
      <w:r>
        <w:rPr>
          <w:color w:val="231F20"/>
          <w:spacing w:val="-3"/>
          <w:w w:val="105"/>
        </w:rPr>
        <w:t>entre</w:t>
      </w:r>
      <w:r>
        <w:rPr>
          <w:color w:val="231F20"/>
          <w:spacing w:val="-29"/>
          <w:w w:val="105"/>
        </w:rPr>
        <w:t> </w:t>
      </w:r>
      <w:r>
        <w:rPr>
          <w:color w:val="231F20"/>
          <w:w w:val="105"/>
        </w:rPr>
        <w:t>las</w:t>
      </w:r>
      <w:r>
        <w:rPr>
          <w:color w:val="231F20"/>
          <w:spacing w:val="-29"/>
          <w:w w:val="105"/>
        </w:rPr>
        <w:t> </w:t>
      </w:r>
      <w:r>
        <w:rPr>
          <w:color w:val="231F20"/>
          <w:w w:val="105"/>
        </w:rPr>
        <w:t>pequeñas</w:t>
      </w:r>
      <w:r>
        <w:rPr>
          <w:color w:val="231F20"/>
          <w:spacing w:val="-29"/>
          <w:w w:val="105"/>
        </w:rPr>
        <w:t> </w:t>
      </w:r>
      <w:r>
        <w:rPr>
          <w:color w:val="231F20"/>
          <w:w w:val="105"/>
        </w:rPr>
        <w:t>y</w:t>
      </w:r>
      <w:r>
        <w:rPr>
          <w:color w:val="231F20"/>
          <w:spacing w:val="-29"/>
          <w:w w:val="105"/>
        </w:rPr>
        <w:t> </w:t>
      </w:r>
      <w:r>
        <w:rPr>
          <w:color w:val="231F20"/>
          <w:w w:val="105"/>
        </w:rPr>
        <w:t>medianas</w:t>
      </w:r>
      <w:r>
        <w:rPr>
          <w:color w:val="231F20"/>
          <w:spacing w:val="-29"/>
          <w:w w:val="105"/>
        </w:rPr>
        <w:t> </w:t>
      </w:r>
      <w:r>
        <w:rPr>
          <w:color w:val="231F20"/>
          <w:w w:val="105"/>
        </w:rPr>
        <w:t>em- </w:t>
      </w:r>
      <w:r>
        <w:rPr>
          <w:color w:val="231F20"/>
          <w:spacing w:val="-3"/>
          <w:w w:val="105"/>
        </w:rPr>
        <w:t>presas</w:t>
      </w:r>
      <w:r>
        <w:rPr>
          <w:color w:val="231F20"/>
          <w:spacing w:val="-17"/>
          <w:w w:val="105"/>
        </w:rPr>
        <w:t> </w:t>
      </w:r>
      <w:r>
        <w:rPr>
          <w:color w:val="231F20"/>
          <w:w w:val="105"/>
        </w:rPr>
        <w:t>nacionales</w:t>
      </w:r>
      <w:r>
        <w:rPr>
          <w:color w:val="231F20"/>
          <w:spacing w:val="-17"/>
          <w:w w:val="105"/>
        </w:rPr>
        <w:t> </w:t>
      </w:r>
      <w:r>
        <w:rPr>
          <w:color w:val="231F20"/>
          <w:w w:val="105"/>
        </w:rPr>
        <w:t>que,</w:t>
      </w:r>
      <w:r>
        <w:rPr>
          <w:color w:val="231F20"/>
          <w:spacing w:val="-22"/>
          <w:w w:val="105"/>
        </w:rPr>
        <w:t> </w:t>
      </w:r>
      <w:r>
        <w:rPr>
          <w:color w:val="231F20"/>
          <w:w w:val="105"/>
        </w:rPr>
        <w:t>no</w:t>
      </w:r>
      <w:r>
        <w:rPr>
          <w:color w:val="231F20"/>
          <w:spacing w:val="-17"/>
          <w:w w:val="105"/>
        </w:rPr>
        <w:t> </w:t>
      </w:r>
      <w:r>
        <w:rPr>
          <w:color w:val="231F20"/>
          <w:w w:val="105"/>
        </w:rPr>
        <w:t>hay</w:t>
      </w:r>
      <w:r>
        <w:rPr>
          <w:color w:val="231F20"/>
          <w:spacing w:val="-17"/>
          <w:w w:val="105"/>
        </w:rPr>
        <w:t> </w:t>
      </w:r>
      <w:r>
        <w:rPr>
          <w:color w:val="231F20"/>
          <w:w w:val="105"/>
        </w:rPr>
        <w:t>que</w:t>
      </w:r>
      <w:r>
        <w:rPr>
          <w:color w:val="231F20"/>
          <w:spacing w:val="-17"/>
          <w:w w:val="105"/>
        </w:rPr>
        <w:t> </w:t>
      </w:r>
      <w:r>
        <w:rPr>
          <w:color w:val="231F20"/>
          <w:spacing w:val="-3"/>
          <w:w w:val="105"/>
        </w:rPr>
        <w:t>olvidar,</w:t>
      </w:r>
      <w:r>
        <w:rPr>
          <w:color w:val="231F20"/>
          <w:spacing w:val="-22"/>
          <w:w w:val="105"/>
        </w:rPr>
        <w:t> </w:t>
      </w:r>
      <w:r>
        <w:rPr>
          <w:color w:val="231F20"/>
          <w:spacing w:val="-3"/>
          <w:w w:val="105"/>
        </w:rPr>
        <w:t>representan</w:t>
      </w:r>
      <w:r>
        <w:rPr>
          <w:color w:val="231F20"/>
          <w:spacing w:val="-17"/>
          <w:w w:val="105"/>
        </w:rPr>
        <w:t> </w:t>
      </w:r>
      <w:r>
        <w:rPr>
          <w:color w:val="231F20"/>
          <w:w w:val="105"/>
        </w:rPr>
        <w:t>una</w:t>
      </w:r>
      <w:r>
        <w:rPr>
          <w:color w:val="231F20"/>
          <w:spacing w:val="-17"/>
          <w:w w:val="105"/>
        </w:rPr>
        <w:t> </w:t>
      </w:r>
      <w:r>
        <w:rPr>
          <w:color w:val="231F20"/>
          <w:w w:val="105"/>
        </w:rPr>
        <w:t>gran</w:t>
      </w:r>
      <w:r>
        <w:rPr>
          <w:color w:val="231F20"/>
          <w:spacing w:val="-17"/>
          <w:w w:val="105"/>
        </w:rPr>
        <w:t> </w:t>
      </w:r>
      <w:r>
        <w:rPr>
          <w:color w:val="231F20"/>
          <w:spacing w:val="-3"/>
          <w:w w:val="105"/>
        </w:rPr>
        <w:t>porción </w:t>
      </w:r>
      <w:r>
        <w:rPr>
          <w:color w:val="231F20"/>
          <w:w w:val="105"/>
        </w:rPr>
        <w:t>del</w:t>
      </w:r>
      <w:r>
        <w:rPr>
          <w:color w:val="231F20"/>
          <w:spacing w:val="-30"/>
          <w:w w:val="105"/>
        </w:rPr>
        <w:t> </w:t>
      </w:r>
      <w:r>
        <w:rPr>
          <w:color w:val="231F20"/>
          <w:w w:val="105"/>
        </w:rPr>
        <w:t>PIB</w:t>
      </w:r>
      <w:r>
        <w:rPr>
          <w:color w:val="231F20"/>
          <w:spacing w:val="-30"/>
          <w:w w:val="105"/>
        </w:rPr>
        <w:t> </w:t>
      </w:r>
      <w:r>
        <w:rPr>
          <w:color w:val="231F20"/>
          <w:w w:val="105"/>
        </w:rPr>
        <w:t>nacional.</w:t>
      </w:r>
      <w:r>
        <w:rPr>
          <w:color w:val="231F20"/>
          <w:spacing w:val="-38"/>
          <w:w w:val="105"/>
        </w:rPr>
        <w:t> </w:t>
      </w:r>
      <w:r>
        <w:rPr>
          <w:color w:val="231F20"/>
          <w:w w:val="105"/>
        </w:rPr>
        <w:t>Al</w:t>
      </w:r>
      <w:r>
        <w:rPr>
          <w:color w:val="231F20"/>
          <w:spacing w:val="-30"/>
          <w:w w:val="105"/>
        </w:rPr>
        <w:t> </w:t>
      </w:r>
      <w:r>
        <w:rPr>
          <w:color w:val="231F20"/>
          <w:spacing w:val="-3"/>
          <w:w w:val="105"/>
        </w:rPr>
        <w:t>margen</w:t>
      </w:r>
      <w:r>
        <w:rPr>
          <w:color w:val="231F20"/>
          <w:spacing w:val="-30"/>
          <w:w w:val="105"/>
        </w:rPr>
        <w:t> </w:t>
      </w:r>
      <w:r>
        <w:rPr>
          <w:color w:val="231F20"/>
          <w:w w:val="105"/>
        </w:rPr>
        <w:t>de</w:t>
      </w:r>
      <w:r>
        <w:rPr>
          <w:color w:val="231F20"/>
          <w:spacing w:val="-30"/>
          <w:w w:val="105"/>
        </w:rPr>
        <w:t> </w:t>
      </w:r>
      <w:r>
        <w:rPr>
          <w:color w:val="231F20"/>
          <w:w w:val="105"/>
        </w:rPr>
        <w:t>conocer</w:t>
      </w:r>
      <w:r>
        <w:rPr>
          <w:color w:val="231F20"/>
          <w:spacing w:val="-30"/>
          <w:w w:val="105"/>
        </w:rPr>
        <w:t> </w:t>
      </w:r>
      <w:r>
        <w:rPr>
          <w:color w:val="231F20"/>
          <w:w w:val="105"/>
        </w:rPr>
        <w:t>el</w:t>
      </w:r>
      <w:r>
        <w:rPr>
          <w:color w:val="231F20"/>
          <w:spacing w:val="-30"/>
          <w:w w:val="105"/>
        </w:rPr>
        <w:t> </w:t>
      </w:r>
      <w:r>
        <w:rPr>
          <w:color w:val="231F20"/>
          <w:w w:val="105"/>
        </w:rPr>
        <w:t>vigor</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actividad</w:t>
      </w:r>
      <w:r>
        <w:rPr>
          <w:color w:val="231F20"/>
          <w:spacing w:val="-30"/>
          <w:w w:val="105"/>
        </w:rPr>
        <w:t> </w:t>
      </w:r>
      <w:r>
        <w:rPr>
          <w:color w:val="231F20"/>
          <w:w w:val="105"/>
        </w:rPr>
        <w:t>de</w:t>
      </w:r>
      <w:r>
        <w:rPr>
          <w:color w:val="231F20"/>
          <w:spacing w:val="-30"/>
          <w:w w:val="105"/>
        </w:rPr>
        <w:t> </w:t>
      </w:r>
      <w:r>
        <w:rPr>
          <w:color w:val="231F20"/>
          <w:w w:val="105"/>
        </w:rPr>
        <w:t>alianzas en</w:t>
      </w:r>
      <w:r>
        <w:rPr>
          <w:color w:val="231F20"/>
          <w:spacing w:val="-34"/>
          <w:w w:val="105"/>
        </w:rPr>
        <w:t> </w:t>
      </w:r>
      <w:r>
        <w:rPr>
          <w:color w:val="231F20"/>
          <w:spacing w:val="-3"/>
          <w:w w:val="105"/>
        </w:rPr>
        <w:t>diferentes</w:t>
      </w:r>
      <w:r>
        <w:rPr>
          <w:color w:val="231F20"/>
          <w:spacing w:val="-34"/>
          <w:w w:val="105"/>
        </w:rPr>
        <w:t> </w:t>
      </w:r>
      <w:r>
        <w:rPr>
          <w:color w:val="231F20"/>
          <w:w w:val="105"/>
        </w:rPr>
        <w:t>tipos</w:t>
      </w:r>
      <w:r>
        <w:rPr>
          <w:color w:val="231F20"/>
          <w:spacing w:val="-34"/>
          <w:w w:val="105"/>
        </w:rPr>
        <w:t> </w:t>
      </w:r>
      <w:r>
        <w:rPr>
          <w:color w:val="231F20"/>
          <w:w w:val="105"/>
        </w:rPr>
        <w:t>de</w:t>
      </w:r>
      <w:r>
        <w:rPr>
          <w:color w:val="231F20"/>
          <w:spacing w:val="-34"/>
          <w:w w:val="105"/>
        </w:rPr>
        <w:t> </w:t>
      </w:r>
      <w:r>
        <w:rPr>
          <w:color w:val="231F20"/>
          <w:spacing w:val="-3"/>
          <w:w w:val="105"/>
        </w:rPr>
        <w:t>empresas,</w:t>
      </w:r>
      <w:r>
        <w:rPr>
          <w:color w:val="231F20"/>
          <w:spacing w:val="-39"/>
          <w:w w:val="105"/>
        </w:rPr>
        <w:t> </w:t>
      </w:r>
      <w:r>
        <w:rPr>
          <w:color w:val="231F20"/>
          <w:w w:val="105"/>
        </w:rPr>
        <w:t>la</w:t>
      </w:r>
      <w:r>
        <w:rPr>
          <w:color w:val="231F20"/>
          <w:spacing w:val="-34"/>
          <w:w w:val="105"/>
        </w:rPr>
        <w:t> </w:t>
      </w:r>
      <w:r>
        <w:rPr>
          <w:color w:val="231F20"/>
          <w:w w:val="105"/>
        </w:rPr>
        <w:t>investigación</w:t>
      </w:r>
      <w:r>
        <w:rPr>
          <w:color w:val="231F20"/>
          <w:spacing w:val="-34"/>
          <w:w w:val="105"/>
        </w:rPr>
        <w:t> </w:t>
      </w:r>
      <w:r>
        <w:rPr>
          <w:color w:val="231F20"/>
          <w:spacing w:val="-3"/>
          <w:w w:val="105"/>
        </w:rPr>
        <w:t>sobre</w:t>
      </w:r>
      <w:r>
        <w:rPr>
          <w:color w:val="231F20"/>
          <w:spacing w:val="-34"/>
          <w:w w:val="105"/>
        </w:rPr>
        <w:t> </w:t>
      </w:r>
      <w:r>
        <w:rPr>
          <w:color w:val="231F20"/>
          <w:w w:val="105"/>
        </w:rPr>
        <w:t>alianzas</w:t>
      </w:r>
      <w:r>
        <w:rPr>
          <w:color w:val="231F20"/>
          <w:spacing w:val="-34"/>
          <w:w w:val="105"/>
        </w:rPr>
        <w:t> </w:t>
      </w:r>
      <w:r>
        <w:rPr>
          <w:color w:val="231F20"/>
          <w:w w:val="105"/>
        </w:rPr>
        <w:t>en</w:t>
      </w:r>
      <w:r>
        <w:rPr>
          <w:color w:val="231F20"/>
          <w:spacing w:val="-34"/>
          <w:w w:val="105"/>
        </w:rPr>
        <w:t> </w:t>
      </w:r>
      <w:r>
        <w:rPr>
          <w:color w:val="231F20"/>
          <w:spacing w:val="-3"/>
          <w:w w:val="105"/>
        </w:rPr>
        <w:t>México </w:t>
      </w:r>
      <w:r>
        <w:rPr>
          <w:color w:val="231F20"/>
          <w:w w:val="105"/>
        </w:rPr>
        <w:t>es</w:t>
      </w:r>
      <w:r>
        <w:rPr>
          <w:color w:val="231F20"/>
          <w:spacing w:val="-7"/>
          <w:w w:val="105"/>
        </w:rPr>
        <w:t> </w:t>
      </w:r>
      <w:r>
        <w:rPr>
          <w:color w:val="231F20"/>
          <w:w w:val="105"/>
        </w:rPr>
        <w:t>pequeña</w:t>
      </w:r>
      <w:r>
        <w:rPr>
          <w:color w:val="231F20"/>
          <w:spacing w:val="-7"/>
          <w:w w:val="105"/>
        </w:rPr>
        <w:t> </w:t>
      </w:r>
      <w:r>
        <w:rPr>
          <w:color w:val="231F20"/>
          <w:w w:val="105"/>
        </w:rPr>
        <w:t>en</w:t>
      </w:r>
      <w:r>
        <w:rPr>
          <w:color w:val="231F20"/>
          <w:spacing w:val="-7"/>
          <w:w w:val="105"/>
        </w:rPr>
        <w:t> </w:t>
      </w:r>
      <w:r>
        <w:rPr>
          <w:color w:val="231F20"/>
          <w:w w:val="105"/>
        </w:rPr>
        <w:t>comparación</w:t>
      </w:r>
      <w:r>
        <w:rPr>
          <w:color w:val="231F20"/>
          <w:spacing w:val="-7"/>
          <w:w w:val="105"/>
        </w:rPr>
        <w:t> </w:t>
      </w:r>
      <w:r>
        <w:rPr>
          <w:color w:val="231F20"/>
          <w:w w:val="105"/>
        </w:rPr>
        <w:t>con</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hace</w:t>
      </w:r>
      <w:r>
        <w:rPr>
          <w:color w:val="231F20"/>
          <w:spacing w:val="-7"/>
          <w:w w:val="105"/>
        </w:rPr>
        <w:t> </w:t>
      </w:r>
      <w:r>
        <w:rPr>
          <w:color w:val="231F20"/>
          <w:w w:val="105"/>
        </w:rPr>
        <w:t>en</w:t>
      </w:r>
      <w:r>
        <w:rPr>
          <w:color w:val="231F20"/>
          <w:spacing w:val="-7"/>
          <w:w w:val="105"/>
        </w:rPr>
        <w:t> </w:t>
      </w:r>
      <w:r>
        <w:rPr>
          <w:color w:val="231F20"/>
          <w:spacing w:val="-3"/>
          <w:w w:val="105"/>
        </w:rPr>
        <w:t>otros</w:t>
      </w:r>
      <w:r>
        <w:rPr>
          <w:color w:val="231F20"/>
          <w:spacing w:val="-7"/>
          <w:w w:val="105"/>
        </w:rPr>
        <w:t> </w:t>
      </w:r>
      <w:r>
        <w:rPr>
          <w:color w:val="231F20"/>
          <w:w w:val="105"/>
        </w:rPr>
        <w:t>países</w:t>
      </w:r>
      <w:r>
        <w:rPr>
          <w:color w:val="231F20"/>
          <w:spacing w:val="-7"/>
          <w:w w:val="105"/>
        </w:rPr>
        <w:t> </w:t>
      </w:r>
      <w:r>
        <w:rPr>
          <w:color w:val="231F20"/>
          <w:spacing w:val="-3"/>
          <w:w w:val="105"/>
        </w:rPr>
        <w:t>–sobre </w:t>
      </w:r>
      <w:r>
        <w:rPr>
          <w:color w:val="231F20"/>
          <w:w w:val="105"/>
        </w:rPr>
        <w:t>todo</w:t>
      </w:r>
      <w:r>
        <w:rPr>
          <w:color w:val="231F20"/>
          <w:spacing w:val="-21"/>
          <w:w w:val="105"/>
        </w:rPr>
        <w:t> </w:t>
      </w:r>
      <w:r>
        <w:rPr>
          <w:color w:val="231F20"/>
          <w:w w:val="105"/>
        </w:rPr>
        <w:t>los</w:t>
      </w:r>
      <w:r>
        <w:rPr>
          <w:color w:val="231F20"/>
          <w:spacing w:val="-21"/>
          <w:w w:val="105"/>
        </w:rPr>
        <w:t> </w:t>
      </w:r>
      <w:r>
        <w:rPr>
          <w:color w:val="231F20"/>
          <w:spacing w:val="-3"/>
          <w:w w:val="105"/>
        </w:rPr>
        <w:t>desarrollados.</w:t>
      </w:r>
      <w:r>
        <w:rPr>
          <w:color w:val="231F20"/>
          <w:spacing w:val="-25"/>
          <w:w w:val="105"/>
        </w:rPr>
        <w:t> </w:t>
      </w:r>
      <w:r>
        <w:rPr>
          <w:color w:val="231F20"/>
          <w:w w:val="105"/>
        </w:rPr>
        <w:t>Mientras</w:t>
      </w:r>
      <w:r>
        <w:rPr>
          <w:color w:val="231F20"/>
          <w:spacing w:val="-21"/>
          <w:w w:val="105"/>
        </w:rPr>
        <w:t> </w:t>
      </w:r>
      <w:r>
        <w:rPr>
          <w:color w:val="231F20"/>
          <w:w w:val="105"/>
        </w:rPr>
        <w:t>que</w:t>
      </w:r>
      <w:r>
        <w:rPr>
          <w:color w:val="231F20"/>
          <w:spacing w:val="-21"/>
          <w:w w:val="105"/>
        </w:rPr>
        <w:t> </w:t>
      </w:r>
      <w:r>
        <w:rPr>
          <w:color w:val="231F20"/>
          <w:w w:val="105"/>
        </w:rPr>
        <w:t>existen</w:t>
      </w:r>
      <w:r>
        <w:rPr>
          <w:color w:val="231F20"/>
          <w:spacing w:val="-21"/>
          <w:w w:val="105"/>
        </w:rPr>
        <w:t> </w:t>
      </w:r>
      <w:r>
        <w:rPr>
          <w:color w:val="231F20"/>
          <w:w w:val="105"/>
        </w:rPr>
        <w:t>varias</w:t>
      </w:r>
      <w:r>
        <w:rPr>
          <w:color w:val="231F20"/>
          <w:spacing w:val="-21"/>
          <w:w w:val="105"/>
        </w:rPr>
        <w:t> </w:t>
      </w:r>
      <w:r>
        <w:rPr>
          <w:color w:val="231F20"/>
          <w:w w:val="105"/>
        </w:rPr>
        <w:t>razones</w:t>
      </w:r>
      <w:r>
        <w:rPr>
          <w:color w:val="231F20"/>
          <w:spacing w:val="-21"/>
          <w:w w:val="105"/>
        </w:rPr>
        <w:t> </w:t>
      </w:r>
      <w:r>
        <w:rPr>
          <w:color w:val="231F20"/>
          <w:w w:val="105"/>
        </w:rPr>
        <w:t>para</w:t>
      </w:r>
      <w:r>
        <w:rPr>
          <w:color w:val="231F20"/>
          <w:spacing w:val="-21"/>
          <w:w w:val="105"/>
        </w:rPr>
        <w:t> </w:t>
      </w:r>
      <w:r>
        <w:rPr>
          <w:color w:val="231F20"/>
          <w:spacing w:val="-3"/>
          <w:w w:val="105"/>
        </w:rPr>
        <w:t>explicar </w:t>
      </w:r>
      <w:r>
        <w:rPr>
          <w:color w:val="231F20"/>
          <w:w w:val="105"/>
        </w:rPr>
        <w:t>este</w:t>
      </w:r>
      <w:r>
        <w:rPr>
          <w:color w:val="231F20"/>
          <w:spacing w:val="-7"/>
          <w:w w:val="105"/>
        </w:rPr>
        <w:t> </w:t>
      </w:r>
      <w:r>
        <w:rPr>
          <w:color w:val="231F20"/>
          <w:spacing w:val="-3"/>
          <w:w w:val="105"/>
        </w:rPr>
        <w:t>diferencial,</w:t>
      </w:r>
      <w:r>
        <w:rPr>
          <w:color w:val="231F20"/>
          <w:spacing w:val="-12"/>
          <w:w w:val="105"/>
        </w:rPr>
        <w:t> </w:t>
      </w:r>
      <w:r>
        <w:rPr>
          <w:color w:val="231F20"/>
          <w:w w:val="105"/>
        </w:rPr>
        <w:t>el</w:t>
      </w:r>
      <w:r>
        <w:rPr>
          <w:color w:val="231F20"/>
          <w:spacing w:val="-7"/>
          <w:w w:val="105"/>
        </w:rPr>
        <w:t> </w:t>
      </w:r>
      <w:r>
        <w:rPr>
          <w:color w:val="231F20"/>
          <w:w w:val="105"/>
        </w:rPr>
        <w:t>acceso</w:t>
      </w:r>
      <w:r>
        <w:rPr>
          <w:color w:val="231F20"/>
          <w:spacing w:val="-7"/>
          <w:w w:val="105"/>
        </w:rPr>
        <w:t> </w:t>
      </w:r>
      <w:r>
        <w:rPr>
          <w:color w:val="231F20"/>
          <w:w w:val="105"/>
        </w:rPr>
        <w:t>a</w:t>
      </w:r>
      <w:r>
        <w:rPr>
          <w:color w:val="231F20"/>
          <w:spacing w:val="-7"/>
          <w:w w:val="105"/>
        </w:rPr>
        <w:t> </w:t>
      </w:r>
      <w:r>
        <w:rPr>
          <w:color w:val="231F20"/>
          <w:w w:val="105"/>
        </w:rPr>
        <w:t>datos</w:t>
      </w:r>
      <w:r>
        <w:rPr>
          <w:color w:val="231F20"/>
          <w:spacing w:val="-7"/>
          <w:w w:val="105"/>
        </w:rPr>
        <w:t> </w:t>
      </w:r>
      <w:r>
        <w:rPr>
          <w:color w:val="231F20"/>
          <w:w w:val="105"/>
        </w:rPr>
        <w:t>confiables</w:t>
      </w:r>
      <w:r>
        <w:rPr>
          <w:color w:val="231F20"/>
          <w:spacing w:val="-7"/>
          <w:w w:val="105"/>
        </w:rPr>
        <w:t> </w:t>
      </w:r>
      <w:r>
        <w:rPr>
          <w:color w:val="231F20"/>
          <w:w w:val="105"/>
        </w:rPr>
        <w:t>que</w:t>
      </w:r>
      <w:r>
        <w:rPr>
          <w:color w:val="231F20"/>
          <w:spacing w:val="-7"/>
          <w:w w:val="105"/>
        </w:rPr>
        <w:t> </w:t>
      </w:r>
      <w:r>
        <w:rPr>
          <w:color w:val="231F20"/>
          <w:w w:val="105"/>
        </w:rPr>
        <w:t>apoyen</w:t>
      </w:r>
      <w:r>
        <w:rPr>
          <w:color w:val="231F20"/>
          <w:spacing w:val="-7"/>
          <w:w w:val="105"/>
        </w:rPr>
        <w:t> </w:t>
      </w:r>
      <w:r>
        <w:rPr>
          <w:color w:val="231F20"/>
          <w:w w:val="105"/>
        </w:rPr>
        <w:t>la</w:t>
      </w:r>
      <w:r>
        <w:rPr>
          <w:color w:val="231F20"/>
          <w:spacing w:val="-7"/>
          <w:w w:val="105"/>
        </w:rPr>
        <w:t> </w:t>
      </w:r>
      <w:r>
        <w:rPr>
          <w:color w:val="231F20"/>
          <w:w w:val="105"/>
        </w:rPr>
        <w:t>labor</w:t>
      </w:r>
      <w:r>
        <w:rPr>
          <w:color w:val="231F20"/>
          <w:spacing w:val="-7"/>
          <w:w w:val="105"/>
        </w:rPr>
        <w:t> </w:t>
      </w:r>
      <w:r>
        <w:rPr>
          <w:color w:val="231F20"/>
          <w:w w:val="105"/>
        </w:rPr>
        <w:t>de</w:t>
      </w:r>
      <w:r>
        <w:rPr>
          <w:color w:val="231F20"/>
          <w:spacing w:val="-7"/>
          <w:w w:val="105"/>
        </w:rPr>
        <w:t> </w:t>
      </w:r>
      <w:r>
        <w:rPr>
          <w:color w:val="231F20"/>
          <w:w w:val="105"/>
        </w:rPr>
        <w:t>in- vestigación</w:t>
      </w:r>
      <w:r>
        <w:rPr>
          <w:color w:val="231F20"/>
          <w:spacing w:val="-29"/>
          <w:w w:val="105"/>
        </w:rPr>
        <w:t> </w:t>
      </w:r>
      <w:r>
        <w:rPr>
          <w:color w:val="231F20"/>
          <w:w w:val="105"/>
        </w:rPr>
        <w:t>científica</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tema</w:t>
      </w:r>
      <w:r>
        <w:rPr>
          <w:color w:val="231F20"/>
          <w:spacing w:val="-29"/>
          <w:w w:val="105"/>
        </w:rPr>
        <w:t> </w:t>
      </w:r>
      <w:r>
        <w:rPr>
          <w:color w:val="231F20"/>
          <w:w w:val="105"/>
        </w:rPr>
        <w:t>es</w:t>
      </w:r>
      <w:r>
        <w:rPr>
          <w:color w:val="231F20"/>
          <w:spacing w:val="-29"/>
          <w:w w:val="105"/>
        </w:rPr>
        <w:t> </w:t>
      </w:r>
      <w:r>
        <w:rPr>
          <w:color w:val="231F20"/>
          <w:w w:val="105"/>
        </w:rPr>
        <w:t>especialmente</w:t>
      </w:r>
      <w:r>
        <w:rPr>
          <w:color w:val="231F20"/>
          <w:spacing w:val="-29"/>
          <w:w w:val="105"/>
        </w:rPr>
        <w:t> </w:t>
      </w:r>
      <w:r>
        <w:rPr>
          <w:color w:val="231F20"/>
          <w:spacing w:val="-3"/>
          <w:w w:val="105"/>
        </w:rPr>
        <w:t>problemático.</w:t>
      </w:r>
    </w:p>
    <w:p>
      <w:pPr>
        <w:pStyle w:val="BodyText"/>
        <w:spacing w:line="259" w:lineRule="auto"/>
        <w:ind w:left="117" w:right="115" w:firstLine="567"/>
        <w:jc w:val="both"/>
      </w:pPr>
      <w:r>
        <w:rPr>
          <w:color w:val="231F20"/>
          <w:w w:val="105"/>
        </w:rPr>
        <w:t>La</w:t>
      </w:r>
      <w:r>
        <w:rPr>
          <w:color w:val="231F20"/>
          <w:spacing w:val="-21"/>
          <w:w w:val="105"/>
        </w:rPr>
        <w:t> </w:t>
      </w:r>
      <w:r>
        <w:rPr>
          <w:color w:val="231F20"/>
          <w:w w:val="105"/>
        </w:rPr>
        <w:t>investigación</w:t>
      </w:r>
      <w:r>
        <w:rPr>
          <w:color w:val="231F20"/>
          <w:spacing w:val="-21"/>
          <w:w w:val="105"/>
        </w:rPr>
        <w:t> </w:t>
      </w:r>
      <w:r>
        <w:rPr>
          <w:color w:val="231F20"/>
          <w:w w:val="105"/>
        </w:rPr>
        <w:t>en</w:t>
      </w:r>
      <w:r>
        <w:rPr>
          <w:color w:val="231F20"/>
          <w:spacing w:val="-22"/>
          <w:w w:val="105"/>
        </w:rPr>
        <w:t> </w:t>
      </w:r>
      <w:r>
        <w:rPr>
          <w:color w:val="231F20"/>
          <w:w w:val="105"/>
        </w:rPr>
        <w:t>alianzas</w:t>
      </w:r>
      <w:r>
        <w:rPr>
          <w:color w:val="231F20"/>
          <w:spacing w:val="-22"/>
          <w:w w:val="105"/>
        </w:rPr>
        <w:t> </w:t>
      </w:r>
      <w:r>
        <w:rPr>
          <w:color w:val="231F20"/>
          <w:w w:val="105"/>
        </w:rPr>
        <w:t>y</w:t>
      </w:r>
      <w:r>
        <w:rPr>
          <w:color w:val="231F20"/>
          <w:spacing w:val="-21"/>
          <w:w w:val="105"/>
        </w:rPr>
        <w:t> </w:t>
      </w:r>
      <w:r>
        <w:rPr>
          <w:color w:val="231F20"/>
          <w:w w:val="105"/>
        </w:rPr>
        <w:t>otras</w:t>
      </w:r>
      <w:r>
        <w:rPr>
          <w:color w:val="231F20"/>
          <w:spacing w:val="-21"/>
          <w:w w:val="105"/>
        </w:rPr>
        <w:t> </w:t>
      </w:r>
      <w:r>
        <w:rPr>
          <w:color w:val="231F20"/>
          <w:w w:val="105"/>
        </w:rPr>
        <w:t>acciones</w:t>
      </w:r>
      <w:r>
        <w:rPr>
          <w:color w:val="231F20"/>
          <w:spacing w:val="-21"/>
          <w:w w:val="105"/>
        </w:rPr>
        <w:t> </w:t>
      </w:r>
      <w:r>
        <w:rPr>
          <w:color w:val="231F20"/>
          <w:w w:val="105"/>
        </w:rPr>
        <w:t>estratégicas,</w:t>
      </w:r>
      <w:r>
        <w:rPr>
          <w:color w:val="231F20"/>
          <w:spacing w:val="-25"/>
          <w:w w:val="105"/>
        </w:rPr>
        <w:t> </w:t>
      </w:r>
      <w:r>
        <w:rPr>
          <w:color w:val="231F20"/>
          <w:w w:val="105"/>
        </w:rPr>
        <w:t>común- mente,</w:t>
      </w:r>
      <w:r>
        <w:rPr>
          <w:color w:val="231F20"/>
          <w:spacing w:val="-11"/>
          <w:w w:val="105"/>
        </w:rPr>
        <w:t> </w:t>
      </w:r>
      <w:r>
        <w:rPr>
          <w:color w:val="231F20"/>
          <w:w w:val="105"/>
        </w:rPr>
        <w:t>necesita</w:t>
      </w:r>
      <w:r>
        <w:rPr>
          <w:color w:val="231F20"/>
          <w:spacing w:val="-6"/>
          <w:w w:val="105"/>
        </w:rPr>
        <w:t> </w:t>
      </w:r>
      <w:r>
        <w:rPr>
          <w:color w:val="231F20"/>
          <w:w w:val="105"/>
        </w:rPr>
        <w:t>una</w:t>
      </w:r>
      <w:r>
        <w:rPr>
          <w:color w:val="231F20"/>
          <w:spacing w:val="-6"/>
          <w:w w:val="105"/>
        </w:rPr>
        <w:t> </w:t>
      </w:r>
      <w:r>
        <w:rPr>
          <w:color w:val="231F20"/>
          <w:w w:val="105"/>
        </w:rPr>
        <w:t>gran</w:t>
      </w:r>
      <w:r>
        <w:rPr>
          <w:color w:val="231F20"/>
          <w:spacing w:val="-6"/>
          <w:w w:val="105"/>
        </w:rPr>
        <w:t> </w:t>
      </w:r>
      <w:r>
        <w:rPr>
          <w:color w:val="231F20"/>
          <w:w w:val="105"/>
        </w:rPr>
        <w:t>cantidad</w:t>
      </w:r>
      <w:r>
        <w:rPr>
          <w:color w:val="231F20"/>
          <w:spacing w:val="-6"/>
          <w:w w:val="105"/>
        </w:rPr>
        <w:t> </w:t>
      </w:r>
      <w:r>
        <w:rPr>
          <w:color w:val="231F20"/>
          <w:w w:val="105"/>
        </w:rPr>
        <w:t>de</w:t>
      </w:r>
      <w:r>
        <w:rPr>
          <w:color w:val="231F20"/>
          <w:spacing w:val="-6"/>
          <w:w w:val="105"/>
        </w:rPr>
        <w:t> </w:t>
      </w:r>
      <w:r>
        <w:rPr>
          <w:color w:val="231F20"/>
          <w:w w:val="105"/>
        </w:rPr>
        <w:t>datos.</w:t>
      </w:r>
      <w:r>
        <w:rPr>
          <w:color w:val="231F20"/>
          <w:spacing w:val="-11"/>
          <w:w w:val="105"/>
        </w:rPr>
        <w:t> </w:t>
      </w:r>
      <w:r>
        <w:rPr>
          <w:color w:val="231F20"/>
          <w:w w:val="105"/>
        </w:rPr>
        <w:t>En</w:t>
      </w:r>
      <w:r>
        <w:rPr>
          <w:color w:val="231F20"/>
          <w:spacing w:val="-6"/>
          <w:w w:val="105"/>
        </w:rPr>
        <w:t> </w:t>
      </w:r>
      <w:r>
        <w:rPr>
          <w:color w:val="231F20"/>
          <w:w w:val="105"/>
        </w:rPr>
        <w:t>administración</w:t>
      </w:r>
      <w:r>
        <w:rPr>
          <w:color w:val="231F20"/>
          <w:spacing w:val="-6"/>
          <w:w w:val="105"/>
        </w:rPr>
        <w:t> </w:t>
      </w:r>
      <w:r>
        <w:rPr>
          <w:color w:val="231F20"/>
          <w:w w:val="105"/>
        </w:rPr>
        <w:t>estraté- gica,</w:t>
      </w:r>
      <w:r>
        <w:rPr>
          <w:color w:val="231F20"/>
          <w:spacing w:val="-15"/>
          <w:w w:val="105"/>
        </w:rPr>
        <w:t> </w:t>
      </w:r>
      <w:r>
        <w:rPr>
          <w:color w:val="231F20"/>
          <w:w w:val="105"/>
        </w:rPr>
        <w:t>durante</w:t>
      </w:r>
      <w:r>
        <w:rPr>
          <w:color w:val="231F20"/>
          <w:spacing w:val="-10"/>
          <w:w w:val="105"/>
        </w:rPr>
        <w:t> </w:t>
      </w:r>
      <w:r>
        <w:rPr>
          <w:color w:val="231F20"/>
          <w:w w:val="105"/>
        </w:rPr>
        <w:t>los</w:t>
      </w:r>
      <w:r>
        <w:rPr>
          <w:color w:val="231F20"/>
          <w:spacing w:val="-10"/>
          <w:w w:val="105"/>
        </w:rPr>
        <w:t> </w:t>
      </w:r>
      <w:r>
        <w:rPr>
          <w:color w:val="231F20"/>
          <w:w w:val="105"/>
        </w:rPr>
        <w:t>años</w:t>
      </w:r>
      <w:r>
        <w:rPr>
          <w:color w:val="231F20"/>
          <w:spacing w:val="-10"/>
          <w:w w:val="105"/>
        </w:rPr>
        <w:t> </w:t>
      </w:r>
      <w:r>
        <w:rPr>
          <w:color w:val="231F20"/>
          <w:w w:val="105"/>
        </w:rPr>
        <w:t>60s</w:t>
      </w:r>
      <w:r>
        <w:rPr>
          <w:color w:val="231F20"/>
          <w:spacing w:val="-10"/>
          <w:w w:val="105"/>
        </w:rPr>
        <w:t> </w:t>
      </w:r>
      <w:r>
        <w:rPr>
          <w:color w:val="231F20"/>
          <w:w w:val="105"/>
        </w:rPr>
        <w:t>e</w:t>
      </w:r>
      <w:r>
        <w:rPr>
          <w:color w:val="231F20"/>
          <w:spacing w:val="-10"/>
          <w:w w:val="105"/>
        </w:rPr>
        <w:t> </w:t>
      </w:r>
      <w:r>
        <w:rPr>
          <w:color w:val="231F20"/>
          <w:w w:val="105"/>
        </w:rPr>
        <w:t>inicios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70s</w:t>
      </w:r>
      <w:r>
        <w:rPr>
          <w:color w:val="231F20"/>
          <w:spacing w:val="-10"/>
          <w:w w:val="105"/>
        </w:rPr>
        <w:t> </w:t>
      </w:r>
      <w:r>
        <w:rPr>
          <w:color w:val="231F20"/>
          <w:w w:val="105"/>
        </w:rPr>
        <w:t>el</w:t>
      </w:r>
      <w:r>
        <w:rPr>
          <w:color w:val="231F20"/>
          <w:spacing w:val="-10"/>
          <w:w w:val="105"/>
        </w:rPr>
        <w:t> </w:t>
      </w:r>
      <w:r>
        <w:rPr>
          <w:color w:val="231F20"/>
          <w:w w:val="105"/>
        </w:rPr>
        <w:t>estudio</w:t>
      </w:r>
      <w:r>
        <w:rPr>
          <w:color w:val="231F20"/>
          <w:spacing w:val="-10"/>
          <w:w w:val="105"/>
        </w:rPr>
        <w:t> </w:t>
      </w:r>
      <w:r>
        <w:rPr>
          <w:color w:val="231F20"/>
          <w:w w:val="105"/>
        </w:rPr>
        <w:t>de</w:t>
      </w:r>
      <w:r>
        <w:rPr>
          <w:color w:val="231F20"/>
          <w:spacing w:val="-10"/>
          <w:w w:val="105"/>
        </w:rPr>
        <w:t> </w:t>
      </w:r>
      <w:r>
        <w:rPr>
          <w:color w:val="231F20"/>
          <w:w w:val="105"/>
        </w:rPr>
        <w:t>casos</w:t>
      </w:r>
      <w:r>
        <w:rPr>
          <w:color w:val="231F20"/>
          <w:spacing w:val="-10"/>
          <w:w w:val="105"/>
        </w:rPr>
        <w:t> </w:t>
      </w:r>
      <w:r>
        <w:rPr>
          <w:color w:val="231F20"/>
          <w:w w:val="105"/>
        </w:rPr>
        <w:t>fue</w:t>
      </w:r>
      <w:r>
        <w:rPr>
          <w:color w:val="231F20"/>
          <w:spacing w:val="-10"/>
          <w:w w:val="105"/>
        </w:rPr>
        <w:t> </w:t>
      </w:r>
      <w:r>
        <w:rPr>
          <w:color w:val="231F20"/>
          <w:w w:val="105"/>
        </w:rPr>
        <w:t>el método</w:t>
      </w:r>
      <w:r>
        <w:rPr>
          <w:color w:val="231F20"/>
          <w:spacing w:val="-17"/>
          <w:w w:val="105"/>
        </w:rPr>
        <w:t> </w:t>
      </w:r>
      <w:r>
        <w:rPr>
          <w:color w:val="231F20"/>
          <w:w w:val="105"/>
        </w:rPr>
        <w:t>de</w:t>
      </w:r>
      <w:r>
        <w:rPr>
          <w:color w:val="231F20"/>
          <w:spacing w:val="-17"/>
          <w:w w:val="105"/>
        </w:rPr>
        <w:t> </w:t>
      </w:r>
      <w:r>
        <w:rPr>
          <w:color w:val="231F20"/>
          <w:w w:val="105"/>
        </w:rPr>
        <w:t>investigación</w:t>
      </w:r>
      <w:r>
        <w:rPr>
          <w:color w:val="231F20"/>
          <w:spacing w:val="-17"/>
          <w:w w:val="105"/>
        </w:rPr>
        <w:t> </w:t>
      </w:r>
      <w:r>
        <w:rPr>
          <w:color w:val="231F20"/>
          <w:w w:val="105"/>
        </w:rPr>
        <w:t>más</w:t>
      </w:r>
      <w:r>
        <w:rPr>
          <w:color w:val="231F20"/>
          <w:spacing w:val="-17"/>
          <w:w w:val="105"/>
        </w:rPr>
        <w:t> </w:t>
      </w:r>
      <w:r>
        <w:rPr>
          <w:color w:val="231F20"/>
          <w:w w:val="105"/>
        </w:rPr>
        <w:t>utilizado</w:t>
      </w:r>
      <w:r>
        <w:rPr>
          <w:color w:val="231F20"/>
          <w:spacing w:val="-17"/>
          <w:w w:val="105"/>
        </w:rPr>
        <w:t> </w:t>
      </w:r>
      <w:r>
        <w:rPr>
          <w:color w:val="231F20"/>
          <w:w w:val="105"/>
        </w:rPr>
        <w:t>(Hitt,</w:t>
      </w:r>
      <w:r>
        <w:rPr>
          <w:color w:val="231F20"/>
          <w:spacing w:val="-23"/>
          <w:w w:val="105"/>
        </w:rPr>
        <w:t> </w:t>
      </w:r>
      <w:r>
        <w:rPr>
          <w:color w:val="231F20"/>
          <w:w w:val="105"/>
        </w:rPr>
        <w:t>Gimeno</w:t>
      </w:r>
      <w:r>
        <w:rPr>
          <w:color w:val="231F20"/>
          <w:spacing w:val="-17"/>
          <w:w w:val="105"/>
        </w:rPr>
        <w:t> </w:t>
      </w:r>
      <w:r>
        <w:rPr>
          <w:color w:val="231F20"/>
          <w:w w:val="105"/>
        </w:rPr>
        <w:t>y</w:t>
      </w:r>
      <w:r>
        <w:rPr>
          <w:color w:val="231F20"/>
          <w:spacing w:val="-17"/>
          <w:w w:val="105"/>
        </w:rPr>
        <w:t> </w:t>
      </w:r>
      <w:r>
        <w:rPr>
          <w:color w:val="231F20"/>
          <w:w w:val="105"/>
        </w:rPr>
        <w:t>Hoskisson,</w:t>
      </w:r>
      <w:r>
        <w:rPr>
          <w:color w:val="231F20"/>
          <w:spacing w:val="-23"/>
          <w:w w:val="105"/>
        </w:rPr>
        <w:t> </w:t>
      </w:r>
      <w:r>
        <w:rPr>
          <w:color w:val="231F20"/>
          <w:w w:val="105"/>
        </w:rPr>
        <w:t>1998). Alrededor del mundo, se documentó una gran cantidad de anécdotas empresariales que informaban sobre alianzas formadas por diversos propósitos</w:t>
      </w:r>
      <w:r>
        <w:rPr>
          <w:color w:val="231F20"/>
          <w:spacing w:val="-6"/>
          <w:w w:val="105"/>
        </w:rPr>
        <w:t> </w:t>
      </w:r>
      <w:r>
        <w:rPr>
          <w:color w:val="231F20"/>
          <w:w w:val="105"/>
        </w:rPr>
        <w:t>y</w:t>
      </w:r>
      <w:r>
        <w:rPr>
          <w:color w:val="231F20"/>
          <w:spacing w:val="-6"/>
          <w:w w:val="105"/>
        </w:rPr>
        <w:t> </w:t>
      </w:r>
      <w:r>
        <w:rPr>
          <w:color w:val="231F20"/>
          <w:w w:val="105"/>
        </w:rPr>
        <w:t>con</w:t>
      </w:r>
      <w:r>
        <w:rPr>
          <w:color w:val="231F20"/>
          <w:spacing w:val="-6"/>
          <w:w w:val="105"/>
        </w:rPr>
        <w:t> </w:t>
      </w:r>
      <w:r>
        <w:rPr>
          <w:color w:val="231F20"/>
          <w:w w:val="105"/>
        </w:rPr>
        <w:t>diversos</w:t>
      </w:r>
      <w:r>
        <w:rPr>
          <w:color w:val="231F20"/>
          <w:spacing w:val="-6"/>
          <w:w w:val="105"/>
        </w:rPr>
        <w:t> </w:t>
      </w:r>
      <w:r>
        <w:rPr>
          <w:color w:val="231F20"/>
          <w:w w:val="105"/>
        </w:rPr>
        <w:t>resultados.</w:t>
      </w:r>
      <w:r>
        <w:rPr>
          <w:color w:val="231F20"/>
          <w:spacing w:val="-13"/>
          <w:w w:val="105"/>
        </w:rPr>
        <w:t> </w:t>
      </w:r>
      <w:r>
        <w:rPr>
          <w:color w:val="231F20"/>
          <w:w w:val="105"/>
        </w:rPr>
        <w:t>No</w:t>
      </w:r>
      <w:r>
        <w:rPr>
          <w:color w:val="231F20"/>
          <w:spacing w:val="-6"/>
          <w:w w:val="105"/>
        </w:rPr>
        <w:t> </w:t>
      </w:r>
      <w:r>
        <w:rPr>
          <w:color w:val="231F20"/>
          <w:w w:val="105"/>
        </w:rPr>
        <w:t>obstante,</w:t>
      </w:r>
      <w:r>
        <w:rPr>
          <w:color w:val="231F20"/>
          <w:spacing w:val="-13"/>
          <w:w w:val="105"/>
        </w:rPr>
        <w:t> </w:t>
      </w:r>
      <w:r>
        <w:rPr>
          <w:color w:val="231F20"/>
          <w:w w:val="105"/>
        </w:rPr>
        <w:t>desde</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campo de estudio en mención adquirió un mayor rigor científico, en parte me- diante el desarrollo de teorías propias (p. ej. la Perspectiva o teoría de los</w:t>
      </w:r>
      <w:r>
        <w:rPr>
          <w:color w:val="231F20"/>
          <w:spacing w:val="-23"/>
          <w:w w:val="105"/>
        </w:rPr>
        <w:t> </w:t>
      </w:r>
      <w:r>
        <w:rPr>
          <w:color w:val="231F20"/>
          <w:w w:val="105"/>
        </w:rPr>
        <w:t>recursos</w:t>
      </w:r>
      <w:r>
        <w:rPr>
          <w:color w:val="231F20"/>
          <w:spacing w:val="-23"/>
          <w:w w:val="105"/>
        </w:rPr>
        <w:t> </w:t>
      </w:r>
      <w:r>
        <w:rPr>
          <w:color w:val="231F20"/>
          <w:w w:val="105"/>
        </w:rPr>
        <w:t>y</w:t>
      </w:r>
      <w:r>
        <w:rPr>
          <w:color w:val="231F20"/>
          <w:spacing w:val="-23"/>
          <w:w w:val="105"/>
        </w:rPr>
        <w:t> </w:t>
      </w:r>
      <w:r>
        <w:rPr>
          <w:color w:val="231F20"/>
          <w:w w:val="105"/>
        </w:rPr>
        <w:t>capacidades</w:t>
      </w:r>
      <w:r>
        <w:rPr>
          <w:color w:val="231F20"/>
          <w:spacing w:val="-23"/>
          <w:w w:val="105"/>
        </w:rPr>
        <w:t> </w:t>
      </w:r>
      <w:r>
        <w:rPr>
          <w:color w:val="231F20"/>
          <w:w w:val="105"/>
        </w:rPr>
        <w:t>estratégicos</w:t>
      </w:r>
      <w:r>
        <w:rPr>
          <w:color w:val="231F20"/>
          <w:spacing w:val="-23"/>
          <w:w w:val="105"/>
        </w:rPr>
        <w:t> </w:t>
      </w:r>
      <w:r>
        <w:rPr>
          <w:color w:val="231F20"/>
          <w:w w:val="105"/>
        </w:rPr>
        <w:t>o</w:t>
      </w:r>
      <w:r>
        <w:rPr>
          <w:color w:val="231F20"/>
          <w:spacing w:val="-23"/>
          <w:w w:val="105"/>
        </w:rPr>
        <w:t> </w:t>
      </w:r>
      <w:r>
        <w:rPr>
          <w:color w:val="231F20"/>
          <w:w w:val="105"/>
        </w:rPr>
        <w:t>Resource</w:t>
      </w:r>
      <w:r>
        <w:rPr>
          <w:color w:val="231F20"/>
          <w:spacing w:val="-23"/>
          <w:w w:val="105"/>
        </w:rPr>
        <w:t> </w:t>
      </w:r>
      <w:r>
        <w:rPr>
          <w:color w:val="231F20"/>
          <w:w w:val="105"/>
        </w:rPr>
        <w:t>based</w:t>
      </w:r>
      <w:r>
        <w:rPr>
          <w:color w:val="231F20"/>
          <w:spacing w:val="-23"/>
          <w:w w:val="105"/>
        </w:rPr>
        <w:t> </w:t>
      </w:r>
      <w:r>
        <w:rPr>
          <w:color w:val="231F20"/>
          <w:w w:val="105"/>
        </w:rPr>
        <w:t>view:</w:t>
      </w:r>
      <w:r>
        <w:rPr>
          <w:color w:val="231F20"/>
          <w:spacing w:val="-23"/>
          <w:w w:val="105"/>
        </w:rPr>
        <w:t> </w:t>
      </w:r>
      <w:r>
        <w:rPr>
          <w:color w:val="231F20"/>
          <w:w w:val="105"/>
        </w:rPr>
        <w:t>RBV</w:t>
      </w:r>
      <w:r>
        <w:rPr>
          <w:color w:val="231F20"/>
          <w:spacing w:val="-26"/>
          <w:w w:val="105"/>
        </w:rPr>
        <w:t> </w:t>
      </w:r>
      <w:r>
        <w:rPr>
          <w:color w:val="231F20"/>
          <w:w w:val="105"/>
        </w:rPr>
        <w:t>en inglés)</w:t>
      </w:r>
      <w:r>
        <w:rPr>
          <w:color w:val="231F20"/>
          <w:spacing w:val="-5"/>
          <w:w w:val="105"/>
        </w:rPr>
        <w:t> </w:t>
      </w:r>
      <w:r>
        <w:rPr>
          <w:color w:val="231F20"/>
          <w:w w:val="105"/>
        </w:rPr>
        <w:t>o</w:t>
      </w:r>
      <w:r>
        <w:rPr>
          <w:color w:val="231F20"/>
          <w:spacing w:val="-5"/>
          <w:w w:val="105"/>
        </w:rPr>
        <w:t> </w:t>
      </w:r>
      <w:r>
        <w:rPr>
          <w:color w:val="231F20"/>
          <w:w w:val="105"/>
        </w:rPr>
        <w:t>la</w:t>
      </w:r>
      <w:r>
        <w:rPr>
          <w:color w:val="231F20"/>
          <w:spacing w:val="-5"/>
          <w:w w:val="105"/>
        </w:rPr>
        <w:t> </w:t>
      </w:r>
      <w:r>
        <w:rPr>
          <w:color w:val="231F20"/>
          <w:w w:val="105"/>
        </w:rPr>
        <w:t>adaptación</w:t>
      </w:r>
      <w:r>
        <w:rPr>
          <w:color w:val="231F20"/>
          <w:spacing w:val="-5"/>
          <w:w w:val="105"/>
        </w:rPr>
        <w:t> </w:t>
      </w:r>
      <w:r>
        <w:rPr>
          <w:color w:val="231F20"/>
          <w:w w:val="105"/>
        </w:rPr>
        <w:t>de</w:t>
      </w:r>
      <w:r>
        <w:rPr>
          <w:color w:val="231F20"/>
          <w:spacing w:val="-5"/>
          <w:w w:val="105"/>
        </w:rPr>
        <w:t> </w:t>
      </w:r>
      <w:r>
        <w:rPr>
          <w:color w:val="231F20"/>
          <w:w w:val="105"/>
        </w:rPr>
        <w:t>otras</w:t>
      </w:r>
      <w:r>
        <w:rPr>
          <w:color w:val="231F20"/>
          <w:spacing w:val="-5"/>
          <w:w w:val="105"/>
        </w:rPr>
        <w:t> </w:t>
      </w:r>
      <w:r>
        <w:rPr>
          <w:color w:val="231F20"/>
          <w:w w:val="105"/>
        </w:rPr>
        <w:t>de</w:t>
      </w:r>
      <w:r>
        <w:rPr>
          <w:color w:val="231F20"/>
          <w:spacing w:val="-5"/>
          <w:w w:val="105"/>
        </w:rPr>
        <w:t> </w:t>
      </w:r>
      <w:r>
        <w:rPr>
          <w:color w:val="231F20"/>
          <w:w w:val="105"/>
        </w:rPr>
        <w:t>naturaleza</w:t>
      </w:r>
      <w:r>
        <w:rPr>
          <w:color w:val="231F20"/>
          <w:spacing w:val="-5"/>
          <w:w w:val="105"/>
        </w:rPr>
        <w:t> </w:t>
      </w:r>
      <w:r>
        <w:rPr>
          <w:color w:val="231F20"/>
          <w:w w:val="105"/>
        </w:rPr>
        <w:t>microeconómica</w:t>
      </w:r>
      <w:r>
        <w:rPr>
          <w:color w:val="231F20"/>
          <w:spacing w:val="-5"/>
          <w:w w:val="105"/>
        </w:rPr>
        <w:t> </w:t>
      </w:r>
      <w:r>
        <w:rPr>
          <w:color w:val="231F20"/>
          <w:w w:val="105"/>
        </w:rPr>
        <w:t>(p.</w:t>
      </w:r>
      <w:r>
        <w:rPr>
          <w:color w:val="231F20"/>
          <w:spacing w:val="-11"/>
          <w:w w:val="105"/>
        </w:rPr>
        <w:t> </w:t>
      </w:r>
      <w:r>
        <w:rPr>
          <w:color w:val="231F20"/>
          <w:w w:val="105"/>
        </w:rPr>
        <w:t>ej.</w:t>
      </w:r>
      <w:r>
        <w:rPr>
          <w:color w:val="231F20"/>
          <w:spacing w:val="-11"/>
          <w:w w:val="105"/>
        </w:rPr>
        <w:t> </w:t>
      </w:r>
      <w:r>
        <w:rPr>
          <w:color w:val="231F20"/>
          <w:w w:val="105"/>
        </w:rPr>
        <w:t>la teoría de agentes y principales y la teoría de la economía de los</w:t>
      </w:r>
      <w:r>
        <w:rPr>
          <w:color w:val="231F20"/>
          <w:spacing w:val="-42"/>
          <w:w w:val="105"/>
        </w:rPr>
        <w:t> </w:t>
      </w:r>
      <w:r>
        <w:rPr>
          <w:color w:val="231F20"/>
          <w:w w:val="105"/>
        </w:rPr>
        <w:t>costos de</w:t>
      </w:r>
      <w:r>
        <w:rPr>
          <w:color w:val="231F20"/>
          <w:spacing w:val="-21"/>
          <w:w w:val="105"/>
        </w:rPr>
        <w:t> </w:t>
      </w:r>
      <w:r>
        <w:rPr>
          <w:color w:val="231F20"/>
          <w:w w:val="105"/>
        </w:rPr>
        <w:t>transacción),</w:t>
      </w:r>
      <w:r>
        <w:rPr>
          <w:color w:val="231F20"/>
          <w:spacing w:val="-25"/>
          <w:w w:val="105"/>
        </w:rPr>
        <w:t> </w:t>
      </w:r>
      <w:r>
        <w:rPr>
          <w:color w:val="231F20"/>
          <w:w w:val="105"/>
        </w:rPr>
        <w:t>los</w:t>
      </w:r>
      <w:r>
        <w:rPr>
          <w:color w:val="231F20"/>
          <w:spacing w:val="-21"/>
          <w:w w:val="105"/>
        </w:rPr>
        <w:t> </w:t>
      </w:r>
      <w:r>
        <w:rPr>
          <w:color w:val="231F20"/>
          <w:w w:val="105"/>
        </w:rPr>
        <w:t>métodos</w:t>
      </w:r>
      <w:r>
        <w:rPr>
          <w:color w:val="231F20"/>
          <w:spacing w:val="-21"/>
          <w:w w:val="105"/>
        </w:rPr>
        <w:t> </w:t>
      </w:r>
      <w:r>
        <w:rPr>
          <w:color w:val="231F20"/>
          <w:w w:val="105"/>
        </w:rPr>
        <w:t>de</w:t>
      </w:r>
      <w:r>
        <w:rPr>
          <w:color w:val="231F20"/>
          <w:spacing w:val="-21"/>
          <w:w w:val="105"/>
        </w:rPr>
        <w:t> </w:t>
      </w:r>
      <w:r>
        <w:rPr>
          <w:color w:val="231F20"/>
          <w:w w:val="105"/>
        </w:rPr>
        <w:t>investigación</w:t>
      </w:r>
      <w:r>
        <w:rPr>
          <w:color w:val="231F20"/>
          <w:spacing w:val="-21"/>
          <w:w w:val="105"/>
        </w:rPr>
        <w:t> </w:t>
      </w:r>
      <w:r>
        <w:rPr>
          <w:color w:val="231F20"/>
          <w:w w:val="105"/>
        </w:rPr>
        <w:t>se</w:t>
      </w:r>
      <w:r>
        <w:rPr>
          <w:color w:val="231F20"/>
          <w:spacing w:val="-21"/>
          <w:w w:val="105"/>
        </w:rPr>
        <w:t> </w:t>
      </w:r>
      <w:r>
        <w:rPr>
          <w:color w:val="231F20"/>
          <w:w w:val="105"/>
        </w:rPr>
        <w:t>han</w:t>
      </w:r>
      <w:r>
        <w:rPr>
          <w:color w:val="231F20"/>
          <w:spacing w:val="-21"/>
          <w:w w:val="105"/>
        </w:rPr>
        <w:t> </w:t>
      </w:r>
      <w:r>
        <w:rPr>
          <w:color w:val="231F20"/>
          <w:w w:val="105"/>
        </w:rPr>
        <w:t>vuelto</w:t>
      </w:r>
      <w:r>
        <w:rPr>
          <w:color w:val="231F20"/>
          <w:spacing w:val="-21"/>
          <w:w w:val="105"/>
        </w:rPr>
        <w:t> </w:t>
      </w:r>
      <w:r>
        <w:rPr>
          <w:color w:val="231F20"/>
          <w:w w:val="105"/>
        </w:rPr>
        <w:t>más</w:t>
      </w:r>
      <w:r>
        <w:rPr>
          <w:color w:val="231F20"/>
          <w:spacing w:val="-21"/>
          <w:w w:val="105"/>
        </w:rPr>
        <w:t> </w:t>
      </w:r>
      <w:r>
        <w:rPr>
          <w:color w:val="231F20"/>
          <w:w w:val="105"/>
        </w:rPr>
        <w:t>deman- dantes.</w:t>
      </w:r>
      <w:r>
        <w:rPr>
          <w:color w:val="231F20"/>
          <w:spacing w:val="-23"/>
          <w:w w:val="105"/>
        </w:rPr>
        <w:t> </w:t>
      </w:r>
      <w:r>
        <w:rPr>
          <w:color w:val="231F20"/>
          <w:w w:val="105"/>
        </w:rPr>
        <w:t>En</w:t>
      </w:r>
      <w:r>
        <w:rPr>
          <w:color w:val="231F20"/>
          <w:spacing w:val="-18"/>
          <w:w w:val="105"/>
        </w:rPr>
        <w:t> </w:t>
      </w:r>
      <w:r>
        <w:rPr>
          <w:color w:val="231F20"/>
          <w:w w:val="105"/>
        </w:rPr>
        <w:t>particular,</w:t>
      </w:r>
      <w:r>
        <w:rPr>
          <w:color w:val="231F20"/>
          <w:spacing w:val="-23"/>
          <w:w w:val="105"/>
        </w:rPr>
        <w:t> </w:t>
      </w:r>
      <w:r>
        <w:rPr>
          <w:color w:val="231F20"/>
          <w:w w:val="105"/>
        </w:rPr>
        <w:t>desde</w:t>
      </w:r>
      <w:r>
        <w:rPr>
          <w:color w:val="231F20"/>
          <w:spacing w:val="-18"/>
          <w:w w:val="105"/>
        </w:rPr>
        <w:t> </w:t>
      </w:r>
      <w:r>
        <w:rPr>
          <w:color w:val="231F20"/>
          <w:w w:val="105"/>
        </w:rPr>
        <w:t>finales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años</w:t>
      </w:r>
      <w:r>
        <w:rPr>
          <w:color w:val="231F20"/>
          <w:spacing w:val="-18"/>
          <w:w w:val="105"/>
        </w:rPr>
        <w:t> </w:t>
      </w:r>
      <w:r>
        <w:rPr>
          <w:color w:val="231F20"/>
          <w:w w:val="105"/>
        </w:rPr>
        <w:t>70s</w:t>
      </w:r>
      <w:r>
        <w:rPr>
          <w:color w:val="231F20"/>
          <w:spacing w:val="-18"/>
          <w:w w:val="105"/>
        </w:rPr>
        <w:t> </w:t>
      </w:r>
      <w:r>
        <w:rPr>
          <w:color w:val="231F20"/>
          <w:w w:val="105"/>
        </w:rPr>
        <w:t>y</w:t>
      </w:r>
      <w:r>
        <w:rPr>
          <w:color w:val="231F20"/>
          <w:spacing w:val="-18"/>
          <w:w w:val="105"/>
        </w:rPr>
        <w:t> </w:t>
      </w:r>
      <w:r>
        <w:rPr>
          <w:color w:val="231F20"/>
          <w:w w:val="105"/>
        </w:rPr>
        <w:t>en</w:t>
      </w:r>
      <w:r>
        <w:rPr>
          <w:color w:val="231F20"/>
          <w:spacing w:val="-18"/>
          <w:w w:val="105"/>
        </w:rPr>
        <w:t> </w:t>
      </w:r>
      <w:r>
        <w:rPr>
          <w:color w:val="231F20"/>
          <w:w w:val="105"/>
        </w:rPr>
        <w:t>particular</w:t>
      </w:r>
      <w:r>
        <w:rPr>
          <w:color w:val="231F20"/>
          <w:spacing w:val="-18"/>
          <w:w w:val="105"/>
        </w:rPr>
        <w:t> </w:t>
      </w:r>
      <w:r>
        <w:rPr>
          <w:color w:val="231F20"/>
          <w:w w:val="105"/>
        </w:rPr>
        <w:t>en</w:t>
      </w:r>
      <w:r>
        <w:rPr>
          <w:color w:val="231F20"/>
          <w:spacing w:val="-18"/>
          <w:w w:val="105"/>
        </w:rPr>
        <w:t> </w:t>
      </w:r>
      <w:r>
        <w:rPr>
          <w:color w:val="231F20"/>
          <w:w w:val="105"/>
        </w:rPr>
        <w:t>los 80s,</w:t>
      </w:r>
      <w:r>
        <w:rPr>
          <w:color w:val="231F20"/>
          <w:spacing w:val="-38"/>
          <w:w w:val="105"/>
        </w:rPr>
        <w:t> </w:t>
      </w:r>
      <w:r>
        <w:rPr>
          <w:color w:val="231F20"/>
          <w:w w:val="105"/>
        </w:rPr>
        <w:t>con</w:t>
      </w:r>
      <w:r>
        <w:rPr>
          <w:color w:val="231F20"/>
          <w:spacing w:val="-34"/>
          <w:w w:val="105"/>
        </w:rPr>
        <w:t> </w:t>
      </w:r>
      <w:r>
        <w:rPr>
          <w:color w:val="231F20"/>
          <w:w w:val="105"/>
        </w:rPr>
        <w:t>proyectos</w:t>
      </w:r>
      <w:r>
        <w:rPr>
          <w:color w:val="231F20"/>
          <w:spacing w:val="-34"/>
          <w:w w:val="105"/>
        </w:rPr>
        <w:t> </w:t>
      </w:r>
      <w:r>
        <w:rPr>
          <w:color w:val="231F20"/>
          <w:w w:val="105"/>
        </w:rPr>
        <w:t>de</w:t>
      </w:r>
      <w:r>
        <w:rPr>
          <w:color w:val="231F20"/>
          <w:spacing w:val="-34"/>
          <w:w w:val="105"/>
        </w:rPr>
        <w:t> </w:t>
      </w:r>
      <w:r>
        <w:rPr>
          <w:color w:val="231F20"/>
          <w:w w:val="105"/>
        </w:rPr>
        <w:t>investigación</w:t>
      </w:r>
      <w:r>
        <w:rPr>
          <w:color w:val="231F20"/>
          <w:spacing w:val="-34"/>
          <w:w w:val="105"/>
        </w:rPr>
        <w:t> </w:t>
      </w:r>
      <w:r>
        <w:rPr>
          <w:color w:val="231F20"/>
          <w:w w:val="105"/>
        </w:rPr>
        <w:t>como</w:t>
      </w:r>
      <w:r>
        <w:rPr>
          <w:color w:val="231F20"/>
          <w:spacing w:val="-34"/>
          <w:w w:val="105"/>
        </w:rPr>
        <w:t> </w:t>
      </w:r>
      <w:r>
        <w:rPr>
          <w:color w:val="231F20"/>
          <w:w w:val="105"/>
        </w:rPr>
        <w:t>el</w:t>
      </w:r>
      <w:r>
        <w:rPr>
          <w:color w:val="231F20"/>
          <w:spacing w:val="-34"/>
          <w:w w:val="105"/>
        </w:rPr>
        <w:t> </w:t>
      </w:r>
      <w:r>
        <w:rPr>
          <w:color w:val="231F20"/>
          <w:w w:val="105"/>
        </w:rPr>
        <w:t>PIMS</w:t>
      </w:r>
      <w:r>
        <w:rPr>
          <w:color w:val="231F20"/>
          <w:spacing w:val="-34"/>
          <w:w w:val="105"/>
        </w:rPr>
        <w:t> </w:t>
      </w:r>
      <w:r>
        <w:rPr>
          <w:color w:val="231F20"/>
          <w:w w:val="105"/>
        </w:rPr>
        <w:t>(</w:t>
      </w:r>
      <w:r>
        <w:rPr>
          <w:i/>
          <w:color w:val="231F20"/>
          <w:w w:val="105"/>
        </w:rPr>
        <w:t>Profit</w:t>
      </w:r>
      <w:r>
        <w:rPr>
          <w:i/>
          <w:color w:val="231F20"/>
          <w:spacing w:val="-34"/>
          <w:w w:val="105"/>
        </w:rPr>
        <w:t> </w:t>
      </w:r>
      <w:r>
        <w:rPr>
          <w:i/>
          <w:color w:val="231F20"/>
          <w:w w:val="105"/>
        </w:rPr>
        <w:t>Impact</w:t>
      </w:r>
      <w:r>
        <w:rPr>
          <w:i/>
          <w:color w:val="231F20"/>
          <w:spacing w:val="-34"/>
          <w:w w:val="105"/>
        </w:rPr>
        <w:t> </w:t>
      </w:r>
      <w:r>
        <w:rPr>
          <w:i/>
          <w:color w:val="231F20"/>
          <w:w w:val="105"/>
        </w:rPr>
        <w:t>of</w:t>
      </w:r>
      <w:r>
        <w:rPr>
          <w:i/>
          <w:color w:val="231F20"/>
          <w:spacing w:val="-30"/>
          <w:w w:val="105"/>
        </w:rPr>
        <w:t> </w:t>
      </w:r>
      <w:r>
        <w:rPr>
          <w:i/>
          <w:color w:val="231F20"/>
          <w:w w:val="105"/>
        </w:rPr>
        <w:t>Market </w:t>
      </w:r>
      <w:r>
        <w:rPr>
          <w:i/>
          <w:color w:val="231F20"/>
          <w:w w:val="105"/>
        </w:rPr>
        <w:t>Strategy</w:t>
      </w:r>
      <w:r>
        <w:rPr>
          <w:color w:val="231F20"/>
          <w:w w:val="105"/>
        </w:rPr>
        <w:t>) y con la adopción del enfoque económico de la Organización industrial abanderado por Michael </w:t>
      </w:r>
      <w:r>
        <w:rPr>
          <w:color w:val="231F20"/>
          <w:spacing w:val="-5"/>
          <w:w w:val="105"/>
        </w:rPr>
        <w:t>Porter, </w:t>
      </w:r>
      <w:r>
        <w:rPr>
          <w:color w:val="231F20"/>
          <w:w w:val="105"/>
        </w:rPr>
        <w:t>la investigación en el campo ha</w:t>
      </w:r>
      <w:r>
        <w:rPr>
          <w:color w:val="231F20"/>
          <w:spacing w:val="-22"/>
          <w:w w:val="105"/>
        </w:rPr>
        <w:t> </w:t>
      </w:r>
      <w:r>
        <w:rPr>
          <w:color w:val="231F20"/>
          <w:w w:val="105"/>
        </w:rPr>
        <w:t>hecho</w:t>
      </w:r>
      <w:r>
        <w:rPr>
          <w:color w:val="231F20"/>
          <w:spacing w:val="-22"/>
          <w:w w:val="105"/>
        </w:rPr>
        <w:t> </w:t>
      </w:r>
      <w:r>
        <w:rPr>
          <w:color w:val="231F20"/>
          <w:w w:val="105"/>
        </w:rPr>
        <w:t>énfasis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análisis</w:t>
      </w:r>
      <w:r>
        <w:rPr>
          <w:color w:val="231F20"/>
          <w:spacing w:val="-22"/>
          <w:w w:val="105"/>
        </w:rPr>
        <w:t> </w:t>
      </w:r>
      <w:r>
        <w:rPr>
          <w:color w:val="231F20"/>
          <w:w w:val="105"/>
        </w:rPr>
        <w:t>de</w:t>
      </w:r>
      <w:r>
        <w:rPr>
          <w:color w:val="231F20"/>
          <w:spacing w:val="-22"/>
          <w:w w:val="105"/>
        </w:rPr>
        <w:t> </w:t>
      </w:r>
      <w:r>
        <w:rPr>
          <w:color w:val="231F20"/>
          <w:w w:val="105"/>
        </w:rPr>
        <w:t>grandes</w:t>
      </w:r>
      <w:r>
        <w:rPr>
          <w:color w:val="231F20"/>
          <w:spacing w:val="-22"/>
          <w:w w:val="105"/>
        </w:rPr>
        <w:t> </w:t>
      </w:r>
      <w:r>
        <w:rPr>
          <w:color w:val="231F20"/>
          <w:w w:val="105"/>
        </w:rPr>
        <w:t>bases</w:t>
      </w:r>
      <w:r>
        <w:rPr>
          <w:color w:val="231F20"/>
          <w:spacing w:val="-22"/>
          <w:w w:val="105"/>
        </w:rPr>
        <w:t> </w:t>
      </w:r>
      <w:r>
        <w:rPr>
          <w:color w:val="231F20"/>
          <w:w w:val="105"/>
        </w:rPr>
        <w:t>de</w:t>
      </w:r>
      <w:r>
        <w:rPr>
          <w:color w:val="231F20"/>
          <w:spacing w:val="-22"/>
          <w:w w:val="105"/>
        </w:rPr>
        <w:t> </w:t>
      </w:r>
      <w:r>
        <w:rPr>
          <w:color w:val="231F20"/>
          <w:w w:val="105"/>
        </w:rPr>
        <w:t>datos</w:t>
      </w:r>
      <w:r>
        <w:rPr>
          <w:color w:val="231F20"/>
          <w:spacing w:val="-22"/>
          <w:w w:val="105"/>
        </w:rPr>
        <w:t> </w:t>
      </w:r>
      <w:r>
        <w:rPr>
          <w:color w:val="231F20"/>
          <w:w w:val="105"/>
        </w:rPr>
        <w:t>que</w:t>
      </w:r>
      <w:r>
        <w:rPr>
          <w:color w:val="231F20"/>
          <w:spacing w:val="-22"/>
          <w:w w:val="105"/>
        </w:rPr>
        <w:t> </w:t>
      </w:r>
      <w:r>
        <w:rPr>
          <w:color w:val="231F20"/>
          <w:w w:val="105"/>
        </w:rPr>
        <w:t>contienen información detallada sobre aspectos financieros y de mercado de las empresas</w:t>
      </w:r>
      <w:r>
        <w:rPr>
          <w:color w:val="231F20"/>
          <w:spacing w:val="-7"/>
          <w:w w:val="105"/>
        </w:rPr>
        <w:t> </w:t>
      </w:r>
      <w:r>
        <w:rPr>
          <w:color w:val="231F20"/>
          <w:w w:val="105"/>
        </w:rPr>
        <w:t>estudiadas</w:t>
      </w:r>
      <w:r>
        <w:rPr>
          <w:color w:val="231F20"/>
          <w:spacing w:val="-7"/>
          <w:w w:val="105"/>
        </w:rPr>
        <w:t> </w:t>
      </w:r>
      <w:r>
        <w:rPr>
          <w:color w:val="231F20"/>
          <w:w w:val="105"/>
        </w:rPr>
        <w:t>(Hitt</w:t>
      </w:r>
      <w:r>
        <w:rPr>
          <w:color w:val="231F20"/>
          <w:spacing w:val="-7"/>
          <w:w w:val="105"/>
        </w:rPr>
        <w:t> </w:t>
      </w:r>
      <w:r>
        <w:rPr>
          <w:i/>
          <w:color w:val="231F20"/>
          <w:w w:val="105"/>
        </w:rPr>
        <w:t>et</w:t>
      </w:r>
      <w:r>
        <w:rPr>
          <w:i/>
          <w:color w:val="231F20"/>
          <w:spacing w:val="-7"/>
          <w:w w:val="105"/>
        </w:rPr>
        <w:t> </w:t>
      </w:r>
      <w:r>
        <w:rPr>
          <w:i/>
          <w:color w:val="231F20"/>
          <w:w w:val="105"/>
        </w:rPr>
        <w:t>al</w:t>
      </w:r>
      <w:r>
        <w:rPr>
          <w:color w:val="231F20"/>
          <w:w w:val="105"/>
        </w:rPr>
        <w:t>.,</w:t>
      </w:r>
      <w:r>
        <w:rPr>
          <w:color w:val="231F20"/>
          <w:spacing w:val="-13"/>
          <w:w w:val="105"/>
        </w:rPr>
        <w:t> </w:t>
      </w:r>
      <w:r>
        <w:rPr>
          <w:color w:val="231F20"/>
          <w:w w:val="105"/>
        </w:rPr>
        <w:t>1998).</w:t>
      </w:r>
      <w:r>
        <w:rPr>
          <w:color w:val="231F20"/>
          <w:spacing w:val="-13"/>
          <w:w w:val="105"/>
        </w:rPr>
        <w:t> </w:t>
      </w:r>
      <w:r>
        <w:rPr>
          <w:color w:val="231F20"/>
          <w:w w:val="105"/>
        </w:rPr>
        <w:t>El</w:t>
      </w:r>
      <w:r>
        <w:rPr>
          <w:color w:val="231F20"/>
          <w:spacing w:val="-7"/>
          <w:w w:val="105"/>
        </w:rPr>
        <w:t> </w:t>
      </w:r>
      <w:r>
        <w:rPr>
          <w:color w:val="231F20"/>
          <w:w w:val="105"/>
        </w:rPr>
        <w:t>incremento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cantidad</w:t>
      </w:r>
      <w:r>
        <w:rPr>
          <w:color w:val="231F20"/>
          <w:spacing w:val="-7"/>
          <w:w w:val="105"/>
        </w:rPr>
        <w:t> </w:t>
      </w:r>
      <w:r>
        <w:rPr>
          <w:color w:val="231F20"/>
          <w:w w:val="105"/>
        </w:rPr>
        <w:t>de datos</w:t>
      </w:r>
      <w:r>
        <w:rPr>
          <w:color w:val="231F20"/>
          <w:spacing w:val="-12"/>
          <w:w w:val="105"/>
        </w:rPr>
        <w:t> </w:t>
      </w:r>
      <w:r>
        <w:rPr>
          <w:color w:val="231F20"/>
          <w:w w:val="105"/>
        </w:rPr>
        <w:t>disponibles</w:t>
      </w:r>
      <w:r>
        <w:rPr>
          <w:color w:val="231F20"/>
          <w:spacing w:val="-12"/>
          <w:w w:val="105"/>
        </w:rPr>
        <w:t> </w:t>
      </w:r>
      <w:r>
        <w:rPr>
          <w:color w:val="231F20"/>
          <w:w w:val="105"/>
        </w:rPr>
        <w:t>ha</w:t>
      </w:r>
      <w:r>
        <w:rPr>
          <w:color w:val="231F20"/>
          <w:spacing w:val="-12"/>
          <w:w w:val="105"/>
        </w:rPr>
        <w:t> </w:t>
      </w:r>
      <w:r>
        <w:rPr>
          <w:color w:val="231F20"/>
          <w:w w:val="105"/>
        </w:rPr>
        <w:t>permitido</w:t>
      </w:r>
      <w:r>
        <w:rPr>
          <w:color w:val="231F20"/>
          <w:spacing w:val="-12"/>
          <w:w w:val="105"/>
        </w:rPr>
        <w:t> </w:t>
      </w:r>
      <w:r>
        <w:rPr>
          <w:color w:val="231F20"/>
          <w:w w:val="105"/>
        </w:rPr>
        <w:t>la</w:t>
      </w:r>
      <w:r>
        <w:rPr>
          <w:color w:val="231F20"/>
          <w:spacing w:val="-12"/>
          <w:w w:val="105"/>
        </w:rPr>
        <w:t> </w:t>
      </w:r>
      <w:r>
        <w:rPr>
          <w:color w:val="231F20"/>
          <w:w w:val="105"/>
        </w:rPr>
        <w:t>utilización</w:t>
      </w:r>
      <w:r>
        <w:rPr>
          <w:color w:val="231F20"/>
          <w:spacing w:val="-12"/>
          <w:w w:val="105"/>
        </w:rPr>
        <w:t> </w:t>
      </w:r>
      <w:r>
        <w:rPr>
          <w:color w:val="231F20"/>
          <w:w w:val="105"/>
        </w:rPr>
        <w:t>de</w:t>
      </w:r>
      <w:r>
        <w:rPr>
          <w:color w:val="231F20"/>
          <w:spacing w:val="-12"/>
          <w:w w:val="105"/>
        </w:rPr>
        <w:t> </w:t>
      </w:r>
      <w:r>
        <w:rPr>
          <w:color w:val="231F20"/>
          <w:w w:val="105"/>
        </w:rPr>
        <w:t>diseños</w:t>
      </w:r>
      <w:r>
        <w:rPr>
          <w:color w:val="231F20"/>
          <w:spacing w:val="-12"/>
          <w:w w:val="105"/>
        </w:rPr>
        <w:t> </w:t>
      </w:r>
      <w:r>
        <w:rPr>
          <w:color w:val="231F20"/>
          <w:w w:val="105"/>
        </w:rPr>
        <w:t>de</w:t>
      </w:r>
      <w:r>
        <w:rPr>
          <w:color w:val="231F20"/>
          <w:spacing w:val="-12"/>
          <w:w w:val="105"/>
        </w:rPr>
        <w:t> </w:t>
      </w:r>
      <w:r>
        <w:rPr>
          <w:color w:val="231F20"/>
          <w:w w:val="105"/>
        </w:rPr>
        <w:t>investigación y</w:t>
      </w:r>
      <w:r>
        <w:rPr>
          <w:color w:val="231F20"/>
          <w:spacing w:val="-30"/>
          <w:w w:val="105"/>
        </w:rPr>
        <w:t> </w:t>
      </w:r>
      <w:r>
        <w:rPr>
          <w:color w:val="231F20"/>
          <w:w w:val="105"/>
        </w:rPr>
        <w:t>de</w:t>
      </w:r>
      <w:r>
        <w:rPr>
          <w:color w:val="231F20"/>
          <w:spacing w:val="-30"/>
          <w:w w:val="105"/>
        </w:rPr>
        <w:t> </w:t>
      </w:r>
      <w:r>
        <w:rPr>
          <w:color w:val="231F20"/>
          <w:w w:val="105"/>
        </w:rPr>
        <w:t>técnicas</w:t>
      </w:r>
      <w:r>
        <w:rPr>
          <w:color w:val="231F20"/>
          <w:spacing w:val="-30"/>
          <w:w w:val="105"/>
        </w:rPr>
        <w:t> </w:t>
      </w:r>
      <w:r>
        <w:rPr>
          <w:color w:val="231F20"/>
          <w:w w:val="105"/>
        </w:rPr>
        <w:t>estadísticas</w:t>
      </w:r>
      <w:r>
        <w:rPr>
          <w:color w:val="231F20"/>
          <w:spacing w:val="-30"/>
          <w:w w:val="105"/>
        </w:rPr>
        <w:t> </w:t>
      </w:r>
      <w:r>
        <w:rPr>
          <w:color w:val="231F20"/>
          <w:w w:val="105"/>
        </w:rPr>
        <w:t>sofisticadas</w:t>
      </w:r>
      <w:r>
        <w:rPr>
          <w:color w:val="231F20"/>
          <w:spacing w:val="-30"/>
          <w:w w:val="105"/>
        </w:rPr>
        <w:t> </w:t>
      </w:r>
      <w:r>
        <w:rPr>
          <w:color w:val="231F20"/>
          <w:w w:val="105"/>
        </w:rPr>
        <w:t>que,</w:t>
      </w:r>
      <w:r>
        <w:rPr>
          <w:color w:val="231F20"/>
          <w:spacing w:val="-35"/>
          <w:w w:val="105"/>
        </w:rPr>
        <w:t> </w:t>
      </w:r>
      <w:r>
        <w:rPr>
          <w:color w:val="231F20"/>
          <w:w w:val="105"/>
        </w:rPr>
        <w:t>junto</w:t>
      </w:r>
      <w:r>
        <w:rPr>
          <w:color w:val="231F20"/>
          <w:spacing w:val="-30"/>
          <w:w w:val="105"/>
        </w:rPr>
        <w:t> </w:t>
      </w:r>
      <w:r>
        <w:rPr>
          <w:color w:val="231F20"/>
          <w:w w:val="105"/>
        </w:rPr>
        <w:t>con</w:t>
      </w:r>
      <w:r>
        <w:rPr>
          <w:color w:val="231F20"/>
          <w:spacing w:val="-30"/>
          <w:w w:val="105"/>
        </w:rPr>
        <w:t> </w:t>
      </w:r>
      <w:r>
        <w:rPr>
          <w:color w:val="231F20"/>
          <w:w w:val="105"/>
        </w:rPr>
        <w:t>el</w:t>
      </w:r>
      <w:r>
        <w:rPr>
          <w:color w:val="231F20"/>
          <w:spacing w:val="-30"/>
          <w:w w:val="105"/>
        </w:rPr>
        <w:t> </w:t>
      </w:r>
      <w:r>
        <w:rPr>
          <w:color w:val="231F20"/>
          <w:w w:val="105"/>
        </w:rPr>
        <w:t>desarrollo</w:t>
      </w:r>
      <w:r>
        <w:rPr>
          <w:color w:val="231F20"/>
          <w:spacing w:val="-30"/>
          <w:w w:val="105"/>
        </w:rPr>
        <w:t> </w:t>
      </w:r>
      <w:r>
        <w:rPr>
          <w:color w:val="231F20"/>
          <w:w w:val="105"/>
        </w:rPr>
        <w:t>teórico, han</w:t>
      </w:r>
      <w:r>
        <w:rPr>
          <w:color w:val="231F20"/>
          <w:spacing w:val="-18"/>
          <w:w w:val="105"/>
        </w:rPr>
        <w:t> </w:t>
      </w:r>
      <w:r>
        <w:rPr>
          <w:color w:val="231F20"/>
          <w:w w:val="105"/>
        </w:rPr>
        <w:t>permitido</w:t>
      </w:r>
      <w:r>
        <w:rPr>
          <w:color w:val="231F20"/>
          <w:spacing w:val="-18"/>
          <w:w w:val="105"/>
        </w:rPr>
        <w:t> </w:t>
      </w:r>
      <w:r>
        <w:rPr>
          <w:color w:val="231F20"/>
          <w:w w:val="105"/>
        </w:rPr>
        <w:t>un</w:t>
      </w:r>
      <w:r>
        <w:rPr>
          <w:color w:val="231F20"/>
          <w:spacing w:val="-18"/>
          <w:w w:val="105"/>
        </w:rPr>
        <w:t> </w:t>
      </w:r>
      <w:r>
        <w:rPr>
          <w:color w:val="231F20"/>
          <w:w w:val="105"/>
        </w:rPr>
        <w:t>avance</w:t>
      </w:r>
      <w:r>
        <w:rPr>
          <w:color w:val="231F20"/>
          <w:spacing w:val="-18"/>
          <w:w w:val="105"/>
        </w:rPr>
        <w:t> </w:t>
      </w:r>
      <w:r>
        <w:rPr>
          <w:color w:val="231F20"/>
          <w:w w:val="105"/>
        </w:rPr>
        <w:t>muy</w:t>
      </w:r>
      <w:r>
        <w:rPr>
          <w:color w:val="231F20"/>
          <w:spacing w:val="-18"/>
          <w:w w:val="105"/>
        </w:rPr>
        <w:t> </w:t>
      </w:r>
      <w:r>
        <w:rPr>
          <w:color w:val="231F20"/>
          <w:w w:val="105"/>
        </w:rPr>
        <w:t>considerable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investigación</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cono- cimiento</w:t>
      </w:r>
      <w:r>
        <w:rPr>
          <w:color w:val="231F20"/>
          <w:spacing w:val="-9"/>
          <w:w w:val="105"/>
        </w:rPr>
        <w:t> </w:t>
      </w:r>
      <w:r>
        <w:rPr>
          <w:color w:val="231F20"/>
          <w:w w:val="105"/>
        </w:rPr>
        <w:t>sobre</w:t>
      </w:r>
      <w:r>
        <w:rPr>
          <w:color w:val="231F20"/>
          <w:spacing w:val="-9"/>
          <w:w w:val="105"/>
        </w:rPr>
        <w:t> </w:t>
      </w:r>
      <w:r>
        <w:rPr>
          <w:color w:val="231F20"/>
          <w:w w:val="105"/>
        </w:rPr>
        <w:t>acciones</w:t>
      </w:r>
      <w:r>
        <w:rPr>
          <w:color w:val="231F20"/>
          <w:spacing w:val="-9"/>
          <w:w w:val="105"/>
        </w:rPr>
        <w:t> </w:t>
      </w:r>
      <w:r>
        <w:rPr>
          <w:color w:val="231F20"/>
          <w:w w:val="105"/>
        </w:rPr>
        <w:t>estratégicas</w:t>
      </w:r>
      <w:r>
        <w:rPr>
          <w:color w:val="231F20"/>
          <w:spacing w:val="-9"/>
          <w:w w:val="105"/>
        </w:rPr>
        <w:t> </w:t>
      </w:r>
      <w:r>
        <w:rPr>
          <w:color w:val="231F20"/>
          <w:w w:val="105"/>
        </w:rPr>
        <w:t>empresariales</w:t>
      </w:r>
      <w:r>
        <w:rPr>
          <w:color w:val="231F20"/>
          <w:spacing w:val="-9"/>
          <w:w w:val="105"/>
        </w:rPr>
        <w:t> </w:t>
      </w:r>
      <w:r>
        <w:rPr>
          <w:color w:val="231F20"/>
          <w:w w:val="105"/>
        </w:rPr>
        <w:t>durante</w:t>
      </w:r>
      <w:r>
        <w:rPr>
          <w:color w:val="231F20"/>
          <w:spacing w:val="-9"/>
          <w:w w:val="105"/>
        </w:rPr>
        <w:t> </w:t>
      </w:r>
      <w:r>
        <w:rPr>
          <w:color w:val="231F20"/>
          <w:w w:val="105"/>
        </w:rPr>
        <w:t>las</w:t>
      </w:r>
      <w:r>
        <w:rPr>
          <w:color w:val="231F20"/>
          <w:spacing w:val="-9"/>
          <w:w w:val="105"/>
        </w:rPr>
        <w:t> </w:t>
      </w:r>
      <w:r>
        <w:rPr>
          <w:color w:val="231F20"/>
          <w:w w:val="105"/>
        </w:rPr>
        <w:t>últimas dos</w:t>
      </w:r>
      <w:r>
        <w:rPr>
          <w:color w:val="231F20"/>
          <w:spacing w:val="-40"/>
          <w:w w:val="105"/>
        </w:rPr>
        <w:t> </w:t>
      </w:r>
      <w:r>
        <w:rPr>
          <w:color w:val="231F20"/>
          <w:w w:val="105"/>
        </w:rPr>
        <w:t>décadas.</w:t>
      </w:r>
    </w:p>
    <w:p>
      <w:pPr>
        <w:pStyle w:val="BodyText"/>
        <w:spacing w:line="259" w:lineRule="auto"/>
        <w:ind w:left="117" w:right="121" w:firstLine="567"/>
        <w:jc w:val="both"/>
      </w:pPr>
      <w:r>
        <w:rPr>
          <w:color w:val="231F20"/>
        </w:rPr>
        <w:t>En México es difícil encontrar información suficiente para abordar las acciones estratégicas empresariales en una manera consistente con</w:t>
      </w:r>
      <w:r>
        <w:rPr>
          <w:color w:val="231F20"/>
          <w:spacing w:val="-23"/>
        </w:rPr>
        <w:t> </w:t>
      </w:r>
      <w:r>
        <w:rPr>
          <w:color w:val="231F20"/>
        </w:rPr>
        <w:t>el avance de la investigación en el área. En primer lugar, existe poca   </w:t>
      </w:r>
      <w:r>
        <w:rPr>
          <w:color w:val="231F20"/>
          <w:spacing w:val="10"/>
        </w:rPr>
        <w:t> </w:t>
      </w:r>
      <w:r>
        <w:rPr>
          <w:color w:val="231F20"/>
        </w:rPr>
        <w:t>infor-</w:t>
      </w:r>
    </w:p>
    <w:p>
      <w:pPr>
        <w:spacing w:after="0" w:line="259" w:lineRule="auto"/>
        <w:jc w:val="both"/>
        <w:sectPr>
          <w:type w:val="continuous"/>
          <w:pgSz w:w="9640" w:h="13890"/>
          <w:pgMar w:top="1300" w:bottom="280" w:left="1300" w:right="1180"/>
        </w:sectPr>
      </w:pPr>
    </w:p>
    <w:p>
      <w:pPr>
        <w:pStyle w:val="BodyText"/>
        <w:spacing w:line="259" w:lineRule="auto" w:before="120"/>
        <w:ind w:left="103" w:right="109"/>
        <w:jc w:val="both"/>
      </w:pPr>
      <w:r>
        <w:rPr>
          <w:color w:val="231F20"/>
          <w:w w:val="105"/>
        </w:rPr>
        <w:t>mación</w:t>
      </w:r>
      <w:r>
        <w:rPr>
          <w:color w:val="231F20"/>
          <w:spacing w:val="-22"/>
          <w:w w:val="105"/>
        </w:rPr>
        <w:t> </w:t>
      </w:r>
      <w:r>
        <w:rPr>
          <w:color w:val="231F20"/>
          <w:w w:val="105"/>
        </w:rPr>
        <w:t>sobre</w:t>
      </w:r>
      <w:r>
        <w:rPr>
          <w:color w:val="231F20"/>
          <w:spacing w:val="-22"/>
          <w:w w:val="105"/>
        </w:rPr>
        <w:t> </w:t>
      </w:r>
      <w:r>
        <w:rPr>
          <w:color w:val="231F20"/>
          <w:w w:val="105"/>
        </w:rPr>
        <w:t>las</w:t>
      </w:r>
      <w:r>
        <w:rPr>
          <w:color w:val="231F20"/>
          <w:spacing w:val="-22"/>
          <w:w w:val="105"/>
        </w:rPr>
        <w:t> </w:t>
      </w:r>
      <w:r>
        <w:rPr>
          <w:color w:val="231F20"/>
          <w:w w:val="105"/>
        </w:rPr>
        <w:t>acciones</w:t>
      </w:r>
      <w:r>
        <w:rPr>
          <w:color w:val="231F20"/>
          <w:spacing w:val="-22"/>
          <w:w w:val="105"/>
        </w:rPr>
        <w:t> </w:t>
      </w:r>
      <w:r>
        <w:rPr>
          <w:color w:val="231F20"/>
          <w:w w:val="105"/>
        </w:rPr>
        <w:t>estratégicas,</w:t>
      </w:r>
      <w:r>
        <w:rPr>
          <w:color w:val="231F20"/>
          <w:spacing w:val="-26"/>
          <w:w w:val="105"/>
        </w:rPr>
        <w:t> </w:t>
      </w:r>
      <w:r>
        <w:rPr>
          <w:color w:val="231F20"/>
          <w:w w:val="105"/>
        </w:rPr>
        <w:t>concretamente</w:t>
      </w:r>
      <w:r>
        <w:rPr>
          <w:color w:val="231F20"/>
          <w:spacing w:val="-22"/>
          <w:w w:val="105"/>
        </w:rPr>
        <w:t> </w:t>
      </w:r>
      <w:r>
        <w:rPr>
          <w:color w:val="231F20"/>
          <w:w w:val="105"/>
        </w:rPr>
        <w:t>las</w:t>
      </w:r>
      <w:r>
        <w:rPr>
          <w:color w:val="231F20"/>
          <w:spacing w:val="-22"/>
          <w:w w:val="105"/>
        </w:rPr>
        <w:t> </w:t>
      </w:r>
      <w:r>
        <w:rPr>
          <w:color w:val="231F20"/>
          <w:w w:val="105"/>
        </w:rPr>
        <w:t>alianzas,</w:t>
      </w:r>
      <w:r>
        <w:rPr>
          <w:color w:val="231F20"/>
          <w:spacing w:val="-26"/>
          <w:w w:val="105"/>
        </w:rPr>
        <w:t> </w:t>
      </w:r>
      <w:r>
        <w:rPr>
          <w:color w:val="231F20"/>
          <w:w w:val="105"/>
        </w:rPr>
        <w:t>for- madas</w:t>
      </w:r>
      <w:r>
        <w:rPr>
          <w:color w:val="231F20"/>
          <w:spacing w:val="-40"/>
          <w:w w:val="105"/>
        </w:rPr>
        <w:t> </w:t>
      </w:r>
      <w:r>
        <w:rPr>
          <w:color w:val="231F20"/>
          <w:w w:val="105"/>
        </w:rPr>
        <w:t>por</w:t>
      </w:r>
      <w:r>
        <w:rPr>
          <w:color w:val="231F20"/>
          <w:spacing w:val="-40"/>
          <w:w w:val="105"/>
        </w:rPr>
        <w:t> </w:t>
      </w:r>
      <w:r>
        <w:rPr>
          <w:color w:val="231F20"/>
          <w:w w:val="105"/>
        </w:rPr>
        <w:t>las</w:t>
      </w:r>
      <w:r>
        <w:rPr>
          <w:color w:val="231F20"/>
          <w:spacing w:val="-40"/>
          <w:w w:val="105"/>
        </w:rPr>
        <w:t> </w:t>
      </w:r>
      <w:r>
        <w:rPr>
          <w:color w:val="231F20"/>
          <w:w w:val="105"/>
        </w:rPr>
        <w:t>grandes</w:t>
      </w:r>
      <w:r>
        <w:rPr>
          <w:color w:val="231F20"/>
          <w:spacing w:val="-40"/>
          <w:w w:val="105"/>
        </w:rPr>
        <w:t> </w:t>
      </w:r>
      <w:r>
        <w:rPr>
          <w:color w:val="231F20"/>
          <w:w w:val="105"/>
        </w:rPr>
        <w:t>empresas</w:t>
      </w:r>
      <w:r>
        <w:rPr>
          <w:color w:val="231F20"/>
          <w:spacing w:val="-40"/>
          <w:w w:val="105"/>
        </w:rPr>
        <w:t> </w:t>
      </w:r>
      <w:r>
        <w:rPr>
          <w:color w:val="231F20"/>
          <w:w w:val="105"/>
        </w:rPr>
        <w:t>mexicanas.</w:t>
      </w:r>
      <w:r>
        <w:rPr>
          <w:color w:val="231F20"/>
          <w:spacing w:val="-44"/>
          <w:w w:val="105"/>
        </w:rPr>
        <w:t> </w:t>
      </w:r>
      <w:r>
        <w:rPr>
          <w:color w:val="231F20"/>
          <w:w w:val="105"/>
        </w:rPr>
        <w:t>Internacionalmente,</w:t>
      </w:r>
      <w:r>
        <w:rPr>
          <w:color w:val="231F20"/>
          <w:spacing w:val="-44"/>
          <w:w w:val="105"/>
        </w:rPr>
        <w:t> </w:t>
      </w:r>
      <w:r>
        <w:rPr>
          <w:color w:val="231F20"/>
          <w:w w:val="105"/>
        </w:rPr>
        <w:t>existen bases</w:t>
      </w:r>
      <w:r>
        <w:rPr>
          <w:color w:val="231F20"/>
          <w:spacing w:val="-23"/>
          <w:w w:val="105"/>
        </w:rPr>
        <w:t> </w:t>
      </w:r>
      <w:r>
        <w:rPr>
          <w:color w:val="231F20"/>
          <w:w w:val="105"/>
        </w:rPr>
        <w:t>de</w:t>
      </w:r>
      <w:r>
        <w:rPr>
          <w:color w:val="231F20"/>
          <w:spacing w:val="-23"/>
          <w:w w:val="105"/>
        </w:rPr>
        <w:t> </w:t>
      </w:r>
      <w:r>
        <w:rPr>
          <w:color w:val="231F20"/>
          <w:w w:val="105"/>
        </w:rPr>
        <w:t>datos</w:t>
      </w:r>
      <w:r>
        <w:rPr>
          <w:color w:val="231F20"/>
          <w:spacing w:val="-23"/>
          <w:w w:val="105"/>
        </w:rPr>
        <w:t> </w:t>
      </w:r>
      <w:r>
        <w:rPr>
          <w:color w:val="231F20"/>
          <w:w w:val="105"/>
        </w:rPr>
        <w:t>como</w:t>
      </w:r>
      <w:r>
        <w:rPr>
          <w:color w:val="231F20"/>
          <w:spacing w:val="-23"/>
          <w:w w:val="105"/>
        </w:rPr>
        <w:t> </w:t>
      </w:r>
      <w:r>
        <w:rPr>
          <w:color w:val="231F20"/>
          <w:w w:val="105"/>
        </w:rPr>
        <w:t>SDC</w:t>
      </w:r>
      <w:r>
        <w:rPr>
          <w:color w:val="231F20"/>
          <w:spacing w:val="-23"/>
          <w:w w:val="105"/>
        </w:rPr>
        <w:t> </w:t>
      </w:r>
      <w:r>
        <w:rPr>
          <w:color w:val="231F20"/>
          <w:w w:val="105"/>
        </w:rPr>
        <w:t>Platinum©</w:t>
      </w:r>
      <w:r>
        <w:rPr>
          <w:color w:val="231F20"/>
          <w:spacing w:val="-23"/>
          <w:w w:val="105"/>
        </w:rPr>
        <w:t> </w:t>
      </w:r>
      <w:r>
        <w:rPr>
          <w:color w:val="231F20"/>
          <w:w w:val="105"/>
        </w:rPr>
        <w:t>de</w:t>
      </w:r>
      <w:r>
        <w:rPr>
          <w:color w:val="231F20"/>
          <w:spacing w:val="-26"/>
          <w:w w:val="105"/>
        </w:rPr>
        <w:t> </w:t>
      </w:r>
      <w:r>
        <w:rPr>
          <w:color w:val="231F20"/>
          <w:w w:val="105"/>
        </w:rPr>
        <w:t>Thompson</w:t>
      </w:r>
      <w:r>
        <w:rPr>
          <w:color w:val="231F20"/>
          <w:spacing w:val="-23"/>
          <w:w w:val="105"/>
        </w:rPr>
        <w:t> </w:t>
      </w:r>
      <w:r>
        <w:rPr>
          <w:color w:val="231F20"/>
          <w:w w:val="105"/>
        </w:rPr>
        <w:t>Routers©,</w:t>
      </w:r>
      <w:r>
        <w:rPr>
          <w:color w:val="231F20"/>
          <w:spacing w:val="-28"/>
          <w:w w:val="105"/>
        </w:rPr>
        <w:t> </w:t>
      </w:r>
      <w:r>
        <w:rPr>
          <w:color w:val="231F20"/>
          <w:w w:val="105"/>
        </w:rPr>
        <w:t>Compus- tat®</w:t>
      </w:r>
      <w:r>
        <w:rPr>
          <w:color w:val="231F20"/>
          <w:spacing w:val="-29"/>
          <w:w w:val="105"/>
        </w:rPr>
        <w:t> </w:t>
      </w:r>
      <w:r>
        <w:rPr>
          <w:color w:val="231F20"/>
          <w:w w:val="105"/>
        </w:rPr>
        <w:t>de</w:t>
      </w:r>
      <w:r>
        <w:rPr>
          <w:color w:val="231F20"/>
          <w:spacing w:val="-29"/>
          <w:w w:val="105"/>
        </w:rPr>
        <w:t> </w:t>
      </w:r>
      <w:r>
        <w:rPr>
          <w:color w:val="231F20"/>
          <w:w w:val="105"/>
        </w:rPr>
        <w:t>Standard</w:t>
      </w:r>
      <w:r>
        <w:rPr>
          <w:color w:val="231F20"/>
          <w:spacing w:val="-29"/>
          <w:w w:val="105"/>
        </w:rPr>
        <w:t> </w:t>
      </w:r>
      <w:r>
        <w:rPr>
          <w:color w:val="231F20"/>
          <w:w w:val="105"/>
        </w:rPr>
        <w:t>y</w:t>
      </w:r>
      <w:r>
        <w:rPr>
          <w:color w:val="231F20"/>
          <w:spacing w:val="-29"/>
          <w:w w:val="105"/>
        </w:rPr>
        <w:t> </w:t>
      </w:r>
      <w:r>
        <w:rPr>
          <w:color w:val="231F20"/>
          <w:spacing w:val="-3"/>
          <w:w w:val="105"/>
        </w:rPr>
        <w:t>Poor´s,</w:t>
      </w:r>
      <w:r>
        <w:rPr>
          <w:color w:val="231F20"/>
          <w:spacing w:val="-33"/>
          <w:w w:val="105"/>
        </w:rPr>
        <w:t> </w:t>
      </w:r>
      <w:r>
        <w:rPr>
          <w:color w:val="231F20"/>
          <w:w w:val="105"/>
        </w:rPr>
        <w:t>o</w:t>
      </w:r>
      <w:r>
        <w:rPr>
          <w:color w:val="231F20"/>
          <w:spacing w:val="-29"/>
          <w:w w:val="105"/>
        </w:rPr>
        <w:t> </w:t>
      </w:r>
      <w:r>
        <w:rPr>
          <w:color w:val="231F20"/>
          <w:w w:val="105"/>
        </w:rPr>
        <w:t>Hoovers®</w:t>
      </w:r>
      <w:r>
        <w:rPr>
          <w:color w:val="231F20"/>
          <w:spacing w:val="-29"/>
          <w:w w:val="105"/>
        </w:rPr>
        <w:t> </w:t>
      </w:r>
      <w:r>
        <w:rPr>
          <w:color w:val="231F20"/>
          <w:w w:val="105"/>
        </w:rPr>
        <w:t>de</w:t>
      </w:r>
      <w:r>
        <w:rPr>
          <w:color w:val="231F20"/>
          <w:spacing w:val="-29"/>
          <w:w w:val="105"/>
        </w:rPr>
        <w:t> </w:t>
      </w:r>
      <w:r>
        <w:rPr>
          <w:color w:val="231F20"/>
          <w:w w:val="105"/>
        </w:rPr>
        <w:t>Dun´s</w:t>
      </w:r>
      <w:r>
        <w:rPr>
          <w:color w:val="231F20"/>
          <w:spacing w:val="-29"/>
          <w:w w:val="105"/>
        </w:rPr>
        <w:t> </w:t>
      </w:r>
      <w:r>
        <w:rPr>
          <w:color w:val="231F20"/>
          <w:w w:val="105"/>
        </w:rPr>
        <w:t>y</w:t>
      </w:r>
      <w:r>
        <w:rPr>
          <w:color w:val="231F20"/>
          <w:spacing w:val="-29"/>
          <w:w w:val="105"/>
        </w:rPr>
        <w:t> </w:t>
      </w:r>
      <w:r>
        <w:rPr>
          <w:color w:val="231F20"/>
          <w:w w:val="105"/>
        </w:rPr>
        <w:t>Bradstreet®</w:t>
      </w:r>
      <w:r>
        <w:rPr>
          <w:color w:val="231F20"/>
          <w:spacing w:val="-29"/>
          <w:w w:val="105"/>
        </w:rPr>
        <w:t> </w:t>
      </w:r>
      <w:r>
        <w:rPr>
          <w:color w:val="231F20"/>
          <w:w w:val="105"/>
        </w:rPr>
        <w:t>que</w:t>
      </w:r>
      <w:r>
        <w:rPr>
          <w:color w:val="231F20"/>
          <w:spacing w:val="-29"/>
          <w:w w:val="105"/>
        </w:rPr>
        <w:t> </w:t>
      </w:r>
      <w:r>
        <w:rPr>
          <w:color w:val="231F20"/>
          <w:w w:val="105"/>
        </w:rPr>
        <w:t>se</w:t>
      </w:r>
      <w:r>
        <w:rPr>
          <w:color w:val="231F20"/>
          <w:spacing w:val="-29"/>
          <w:w w:val="105"/>
        </w:rPr>
        <w:t> </w:t>
      </w:r>
      <w:r>
        <w:rPr>
          <w:color w:val="231F20"/>
          <w:w w:val="105"/>
        </w:rPr>
        <w:t>de- dican</w:t>
      </w:r>
      <w:r>
        <w:rPr>
          <w:color w:val="231F20"/>
          <w:spacing w:val="-8"/>
          <w:w w:val="105"/>
        </w:rPr>
        <w:t> </w:t>
      </w:r>
      <w:r>
        <w:rPr>
          <w:color w:val="231F20"/>
          <w:w w:val="105"/>
        </w:rPr>
        <w:t>a</w:t>
      </w:r>
      <w:r>
        <w:rPr>
          <w:color w:val="231F20"/>
          <w:spacing w:val="-8"/>
          <w:w w:val="105"/>
        </w:rPr>
        <w:t> </w:t>
      </w:r>
      <w:r>
        <w:rPr>
          <w:color w:val="231F20"/>
          <w:w w:val="105"/>
        </w:rPr>
        <w:t>recopilar</w:t>
      </w:r>
      <w:r>
        <w:rPr>
          <w:color w:val="231F20"/>
          <w:spacing w:val="-8"/>
          <w:w w:val="105"/>
        </w:rPr>
        <w:t> </w:t>
      </w:r>
      <w:r>
        <w:rPr>
          <w:color w:val="231F20"/>
          <w:w w:val="105"/>
        </w:rPr>
        <w:t>información</w:t>
      </w:r>
      <w:r>
        <w:rPr>
          <w:color w:val="231F20"/>
          <w:spacing w:val="-8"/>
          <w:w w:val="105"/>
        </w:rPr>
        <w:t> </w:t>
      </w:r>
      <w:r>
        <w:rPr>
          <w:color w:val="231F20"/>
          <w:w w:val="105"/>
        </w:rPr>
        <w:t>a</w:t>
      </w:r>
      <w:r>
        <w:rPr>
          <w:color w:val="231F20"/>
          <w:spacing w:val="-8"/>
          <w:w w:val="105"/>
        </w:rPr>
        <w:t> </w:t>
      </w:r>
      <w:r>
        <w:rPr>
          <w:color w:val="231F20"/>
          <w:w w:val="105"/>
        </w:rPr>
        <w:t>gran</w:t>
      </w:r>
      <w:r>
        <w:rPr>
          <w:color w:val="231F20"/>
          <w:spacing w:val="-8"/>
          <w:w w:val="105"/>
        </w:rPr>
        <w:t> </w:t>
      </w:r>
      <w:r>
        <w:rPr>
          <w:color w:val="231F20"/>
          <w:w w:val="105"/>
        </w:rPr>
        <w:t>escala.</w:t>
      </w:r>
      <w:r>
        <w:rPr>
          <w:color w:val="231F20"/>
          <w:spacing w:val="-13"/>
          <w:w w:val="105"/>
        </w:rPr>
        <w:t> </w:t>
      </w:r>
      <w:r>
        <w:rPr>
          <w:color w:val="231F20"/>
          <w:w w:val="105"/>
        </w:rPr>
        <w:t>En</w:t>
      </w:r>
      <w:r>
        <w:rPr>
          <w:color w:val="231F20"/>
          <w:spacing w:val="-8"/>
          <w:w w:val="105"/>
        </w:rPr>
        <w:t> </w:t>
      </w:r>
      <w:r>
        <w:rPr>
          <w:color w:val="231F20"/>
          <w:w w:val="105"/>
        </w:rPr>
        <w:t>este</w:t>
      </w:r>
      <w:r>
        <w:rPr>
          <w:color w:val="231F20"/>
          <w:spacing w:val="-8"/>
          <w:w w:val="105"/>
        </w:rPr>
        <w:t> </w:t>
      </w:r>
      <w:r>
        <w:rPr>
          <w:color w:val="231F20"/>
          <w:w w:val="105"/>
        </w:rPr>
        <w:t>tipo</w:t>
      </w:r>
      <w:r>
        <w:rPr>
          <w:color w:val="231F20"/>
          <w:spacing w:val="-8"/>
          <w:w w:val="105"/>
        </w:rPr>
        <w:t> </w:t>
      </w:r>
      <w:r>
        <w:rPr>
          <w:color w:val="231F20"/>
          <w:w w:val="105"/>
        </w:rPr>
        <w:t>de</w:t>
      </w:r>
      <w:r>
        <w:rPr>
          <w:color w:val="231F20"/>
          <w:spacing w:val="-8"/>
          <w:w w:val="105"/>
        </w:rPr>
        <w:t> </w:t>
      </w:r>
      <w:r>
        <w:rPr>
          <w:color w:val="231F20"/>
          <w:w w:val="105"/>
        </w:rPr>
        <w:t>repositorios de</w:t>
      </w:r>
      <w:r>
        <w:rPr>
          <w:color w:val="231F20"/>
          <w:spacing w:val="-25"/>
          <w:w w:val="105"/>
        </w:rPr>
        <w:t> </w:t>
      </w:r>
      <w:r>
        <w:rPr>
          <w:color w:val="231F20"/>
          <w:w w:val="105"/>
        </w:rPr>
        <w:t>información</w:t>
      </w:r>
      <w:r>
        <w:rPr>
          <w:color w:val="231F20"/>
          <w:spacing w:val="-25"/>
          <w:w w:val="105"/>
        </w:rPr>
        <w:t> </w:t>
      </w:r>
      <w:r>
        <w:rPr>
          <w:color w:val="231F20"/>
          <w:w w:val="105"/>
        </w:rPr>
        <w:t>es</w:t>
      </w:r>
      <w:r>
        <w:rPr>
          <w:color w:val="231F20"/>
          <w:spacing w:val="-25"/>
          <w:w w:val="105"/>
        </w:rPr>
        <w:t> </w:t>
      </w:r>
      <w:r>
        <w:rPr>
          <w:color w:val="231F20"/>
          <w:w w:val="105"/>
        </w:rPr>
        <w:t>difícil</w:t>
      </w:r>
      <w:r>
        <w:rPr>
          <w:color w:val="231F20"/>
          <w:spacing w:val="-25"/>
          <w:w w:val="105"/>
        </w:rPr>
        <w:t> </w:t>
      </w:r>
      <w:r>
        <w:rPr>
          <w:color w:val="231F20"/>
          <w:w w:val="105"/>
        </w:rPr>
        <w:t>encontrar</w:t>
      </w:r>
      <w:r>
        <w:rPr>
          <w:color w:val="231F20"/>
          <w:spacing w:val="-25"/>
          <w:w w:val="105"/>
        </w:rPr>
        <w:t> </w:t>
      </w:r>
      <w:r>
        <w:rPr>
          <w:color w:val="231F20"/>
          <w:w w:val="105"/>
        </w:rPr>
        <w:t>información</w:t>
      </w:r>
      <w:r>
        <w:rPr>
          <w:color w:val="231F20"/>
          <w:spacing w:val="-25"/>
          <w:w w:val="105"/>
        </w:rPr>
        <w:t> </w:t>
      </w:r>
      <w:r>
        <w:rPr>
          <w:color w:val="231F20"/>
          <w:w w:val="105"/>
        </w:rPr>
        <w:t>sobre</w:t>
      </w:r>
      <w:r>
        <w:rPr>
          <w:color w:val="231F20"/>
          <w:spacing w:val="-25"/>
          <w:w w:val="105"/>
        </w:rPr>
        <w:t> </w:t>
      </w:r>
      <w:r>
        <w:rPr>
          <w:color w:val="231F20"/>
          <w:w w:val="105"/>
        </w:rPr>
        <w:t>alianzas</w:t>
      </w:r>
      <w:r>
        <w:rPr>
          <w:color w:val="231F20"/>
          <w:spacing w:val="-25"/>
          <w:w w:val="105"/>
        </w:rPr>
        <w:t> </w:t>
      </w:r>
      <w:r>
        <w:rPr>
          <w:color w:val="231F20"/>
          <w:w w:val="105"/>
        </w:rPr>
        <w:t>hechas</w:t>
      </w:r>
      <w:r>
        <w:rPr>
          <w:color w:val="231F20"/>
          <w:spacing w:val="-25"/>
          <w:w w:val="105"/>
        </w:rPr>
        <w:t> </w:t>
      </w:r>
      <w:r>
        <w:rPr>
          <w:color w:val="231F20"/>
          <w:w w:val="105"/>
        </w:rPr>
        <w:t>por empresas</w:t>
      </w:r>
      <w:r>
        <w:rPr>
          <w:color w:val="231F20"/>
          <w:spacing w:val="-4"/>
          <w:w w:val="105"/>
        </w:rPr>
        <w:t> </w:t>
      </w:r>
      <w:r>
        <w:rPr>
          <w:color w:val="231F20"/>
          <w:w w:val="105"/>
        </w:rPr>
        <w:t>mexicanas,</w:t>
      </w:r>
      <w:r>
        <w:rPr>
          <w:color w:val="231F20"/>
          <w:spacing w:val="-9"/>
          <w:w w:val="105"/>
        </w:rPr>
        <w:t> </w:t>
      </w:r>
      <w:r>
        <w:rPr>
          <w:color w:val="231F20"/>
          <w:w w:val="105"/>
        </w:rPr>
        <w:t>a</w:t>
      </w:r>
      <w:r>
        <w:rPr>
          <w:color w:val="231F20"/>
          <w:spacing w:val="-4"/>
          <w:w w:val="105"/>
        </w:rPr>
        <w:t> </w:t>
      </w:r>
      <w:r>
        <w:rPr>
          <w:color w:val="231F20"/>
          <w:w w:val="105"/>
        </w:rPr>
        <w:t>no</w:t>
      </w:r>
      <w:r>
        <w:rPr>
          <w:color w:val="231F20"/>
          <w:spacing w:val="-4"/>
          <w:w w:val="105"/>
        </w:rPr>
        <w:t> </w:t>
      </w:r>
      <w:r>
        <w:rPr>
          <w:color w:val="231F20"/>
          <w:w w:val="105"/>
        </w:rPr>
        <w:t>ser</w:t>
      </w:r>
      <w:r>
        <w:rPr>
          <w:color w:val="231F20"/>
          <w:spacing w:val="-4"/>
          <w:w w:val="105"/>
        </w:rPr>
        <w:t> </w:t>
      </w:r>
      <w:r>
        <w:rPr>
          <w:color w:val="231F20"/>
          <w:w w:val="105"/>
        </w:rPr>
        <w:t>que</w:t>
      </w:r>
      <w:r>
        <w:rPr>
          <w:color w:val="231F20"/>
          <w:spacing w:val="-4"/>
          <w:w w:val="105"/>
        </w:rPr>
        <w:t> </w:t>
      </w:r>
      <w:r>
        <w:rPr>
          <w:color w:val="231F20"/>
          <w:w w:val="105"/>
        </w:rPr>
        <w:t>los</w:t>
      </w:r>
      <w:r>
        <w:rPr>
          <w:color w:val="231F20"/>
          <w:spacing w:val="-4"/>
          <w:w w:val="105"/>
        </w:rPr>
        <w:t> </w:t>
      </w:r>
      <w:r>
        <w:rPr>
          <w:color w:val="231F20"/>
          <w:w w:val="105"/>
        </w:rPr>
        <w:t>tratos</w:t>
      </w:r>
      <w:r>
        <w:rPr>
          <w:color w:val="231F20"/>
          <w:spacing w:val="-4"/>
          <w:w w:val="105"/>
        </w:rPr>
        <w:t> </w:t>
      </w:r>
      <w:r>
        <w:rPr>
          <w:color w:val="231F20"/>
          <w:w w:val="105"/>
        </w:rPr>
        <w:t>hayan</w:t>
      </w:r>
      <w:r>
        <w:rPr>
          <w:color w:val="231F20"/>
          <w:spacing w:val="-4"/>
          <w:w w:val="105"/>
        </w:rPr>
        <w:t> </w:t>
      </w:r>
      <w:r>
        <w:rPr>
          <w:color w:val="231F20"/>
          <w:w w:val="105"/>
        </w:rPr>
        <w:t>sido</w:t>
      </w:r>
      <w:r>
        <w:rPr>
          <w:color w:val="231F20"/>
          <w:spacing w:val="-4"/>
          <w:w w:val="105"/>
        </w:rPr>
        <w:t> </w:t>
      </w:r>
      <w:r>
        <w:rPr>
          <w:color w:val="231F20"/>
          <w:w w:val="105"/>
        </w:rPr>
        <w:t>con</w:t>
      </w:r>
      <w:r>
        <w:rPr>
          <w:color w:val="231F20"/>
          <w:spacing w:val="-4"/>
          <w:w w:val="105"/>
        </w:rPr>
        <w:t> </w:t>
      </w:r>
      <w:r>
        <w:rPr>
          <w:color w:val="231F20"/>
          <w:w w:val="105"/>
        </w:rPr>
        <w:t>empresas extranjeras,</w:t>
      </w:r>
      <w:r>
        <w:rPr>
          <w:color w:val="231F20"/>
          <w:spacing w:val="-11"/>
          <w:w w:val="105"/>
        </w:rPr>
        <w:t> </w:t>
      </w:r>
      <w:r>
        <w:rPr>
          <w:color w:val="231F20"/>
          <w:w w:val="105"/>
        </w:rPr>
        <w:t>sobre</w:t>
      </w:r>
      <w:r>
        <w:rPr>
          <w:color w:val="231F20"/>
          <w:spacing w:val="-6"/>
          <w:w w:val="105"/>
        </w:rPr>
        <w:t> </w:t>
      </w:r>
      <w:r>
        <w:rPr>
          <w:color w:val="231F20"/>
          <w:w w:val="105"/>
        </w:rPr>
        <w:t>todo</w:t>
      </w:r>
      <w:r>
        <w:rPr>
          <w:color w:val="231F20"/>
          <w:spacing w:val="-6"/>
          <w:w w:val="105"/>
        </w:rPr>
        <w:t> </w:t>
      </w:r>
      <w:r>
        <w:rPr>
          <w:color w:val="231F20"/>
          <w:w w:val="105"/>
        </w:rPr>
        <w:t>estadounidenses.</w:t>
      </w:r>
      <w:r>
        <w:rPr>
          <w:color w:val="231F20"/>
          <w:spacing w:val="-15"/>
          <w:w w:val="105"/>
        </w:rPr>
        <w:t> </w:t>
      </w:r>
      <w:r>
        <w:rPr>
          <w:color w:val="231F20"/>
          <w:w w:val="105"/>
        </w:rPr>
        <w:t>Además</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tener</w:t>
      </w:r>
      <w:r>
        <w:rPr>
          <w:color w:val="231F20"/>
          <w:spacing w:val="-6"/>
          <w:w w:val="105"/>
        </w:rPr>
        <w:t> </w:t>
      </w:r>
      <w:r>
        <w:rPr>
          <w:color w:val="231F20"/>
          <w:w w:val="105"/>
        </w:rPr>
        <w:t>acceso a</w:t>
      </w:r>
      <w:r>
        <w:rPr>
          <w:color w:val="231F20"/>
          <w:spacing w:val="-12"/>
          <w:w w:val="105"/>
        </w:rPr>
        <w:t> </w:t>
      </w:r>
      <w:r>
        <w:rPr>
          <w:color w:val="231F20"/>
          <w:w w:val="105"/>
        </w:rPr>
        <w:t>tales</w:t>
      </w:r>
      <w:r>
        <w:rPr>
          <w:color w:val="231F20"/>
          <w:spacing w:val="-12"/>
          <w:w w:val="105"/>
        </w:rPr>
        <w:t> </w:t>
      </w:r>
      <w:r>
        <w:rPr>
          <w:color w:val="231F20"/>
          <w:w w:val="105"/>
        </w:rPr>
        <w:t>fuentes</w:t>
      </w:r>
      <w:r>
        <w:rPr>
          <w:color w:val="231F20"/>
          <w:spacing w:val="-12"/>
          <w:w w:val="105"/>
        </w:rPr>
        <w:t> </w:t>
      </w:r>
      <w:r>
        <w:rPr>
          <w:color w:val="231F20"/>
          <w:w w:val="105"/>
        </w:rPr>
        <w:t>de</w:t>
      </w:r>
      <w:r>
        <w:rPr>
          <w:color w:val="231F20"/>
          <w:spacing w:val="-12"/>
          <w:w w:val="105"/>
        </w:rPr>
        <w:t> </w:t>
      </w:r>
      <w:r>
        <w:rPr>
          <w:color w:val="231F20"/>
          <w:w w:val="105"/>
        </w:rPr>
        <w:t>información</w:t>
      </w:r>
      <w:r>
        <w:rPr>
          <w:color w:val="231F20"/>
          <w:spacing w:val="-12"/>
          <w:w w:val="105"/>
        </w:rPr>
        <w:t> </w:t>
      </w:r>
      <w:r>
        <w:rPr>
          <w:color w:val="231F20"/>
          <w:w w:val="105"/>
        </w:rPr>
        <w:t>es</w:t>
      </w:r>
      <w:r>
        <w:rPr>
          <w:color w:val="231F20"/>
          <w:spacing w:val="-12"/>
          <w:w w:val="105"/>
        </w:rPr>
        <w:t> </w:t>
      </w:r>
      <w:r>
        <w:rPr>
          <w:color w:val="231F20"/>
          <w:w w:val="105"/>
        </w:rPr>
        <w:t>muy</w:t>
      </w:r>
      <w:r>
        <w:rPr>
          <w:color w:val="231F20"/>
          <w:spacing w:val="-12"/>
          <w:w w:val="105"/>
        </w:rPr>
        <w:t> </w:t>
      </w:r>
      <w:r>
        <w:rPr>
          <w:color w:val="231F20"/>
          <w:w w:val="105"/>
        </w:rPr>
        <w:t>caro,</w:t>
      </w:r>
      <w:r>
        <w:rPr>
          <w:color w:val="231F20"/>
          <w:spacing w:val="-18"/>
          <w:w w:val="105"/>
        </w:rPr>
        <w:t> </w:t>
      </w:r>
      <w:r>
        <w:rPr>
          <w:color w:val="231F20"/>
          <w:w w:val="105"/>
        </w:rPr>
        <w:t>y</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2"/>
          <w:w w:val="105"/>
        </w:rPr>
        <w:t> </w:t>
      </w:r>
      <w:r>
        <w:rPr>
          <w:color w:val="231F20"/>
          <w:w w:val="105"/>
        </w:rPr>
        <w:t>raro</w:t>
      </w:r>
      <w:r>
        <w:rPr>
          <w:color w:val="231F20"/>
          <w:spacing w:val="-12"/>
          <w:w w:val="105"/>
        </w:rPr>
        <w:t> </w:t>
      </w:r>
      <w:r>
        <w:rPr>
          <w:color w:val="231F20"/>
          <w:w w:val="105"/>
        </w:rPr>
        <w:t>de</w:t>
      </w:r>
      <w:r>
        <w:rPr>
          <w:color w:val="231F20"/>
          <w:spacing w:val="-12"/>
          <w:w w:val="105"/>
        </w:rPr>
        <w:t> </w:t>
      </w:r>
      <w:r>
        <w:rPr>
          <w:color w:val="231F20"/>
          <w:w w:val="105"/>
        </w:rPr>
        <w:t>conse- </w:t>
      </w:r>
      <w:r>
        <w:rPr>
          <w:color w:val="231F20"/>
          <w:spacing w:val="-3"/>
          <w:w w:val="105"/>
        </w:rPr>
        <w:t>guir,</w:t>
      </w:r>
      <w:r>
        <w:rPr>
          <w:color w:val="231F20"/>
          <w:spacing w:val="-23"/>
          <w:w w:val="105"/>
        </w:rPr>
        <w:t> </w:t>
      </w:r>
      <w:r>
        <w:rPr>
          <w:color w:val="231F20"/>
          <w:w w:val="105"/>
        </w:rPr>
        <w:t>analizar</w:t>
      </w:r>
      <w:r>
        <w:rPr>
          <w:color w:val="231F20"/>
          <w:spacing w:val="-18"/>
          <w:w w:val="105"/>
        </w:rPr>
        <w:t> </w:t>
      </w:r>
      <w:r>
        <w:rPr>
          <w:color w:val="231F20"/>
          <w:w w:val="105"/>
        </w:rPr>
        <w:t>ese</w:t>
      </w:r>
      <w:r>
        <w:rPr>
          <w:color w:val="231F20"/>
          <w:spacing w:val="-18"/>
          <w:w w:val="105"/>
        </w:rPr>
        <w:t> </w:t>
      </w:r>
      <w:r>
        <w:rPr>
          <w:color w:val="231F20"/>
          <w:w w:val="105"/>
        </w:rPr>
        <w:t>tipo</w:t>
      </w:r>
      <w:r>
        <w:rPr>
          <w:color w:val="231F20"/>
          <w:spacing w:val="-18"/>
          <w:w w:val="105"/>
        </w:rPr>
        <w:t> </w:t>
      </w:r>
      <w:r>
        <w:rPr>
          <w:color w:val="231F20"/>
          <w:w w:val="105"/>
        </w:rPr>
        <w:t>de</w:t>
      </w:r>
      <w:r>
        <w:rPr>
          <w:color w:val="231F20"/>
          <w:spacing w:val="-18"/>
          <w:w w:val="105"/>
        </w:rPr>
        <w:t> </w:t>
      </w:r>
      <w:r>
        <w:rPr>
          <w:color w:val="231F20"/>
          <w:w w:val="105"/>
        </w:rPr>
        <w:t>datos</w:t>
      </w:r>
      <w:r>
        <w:rPr>
          <w:color w:val="231F20"/>
          <w:spacing w:val="-18"/>
          <w:w w:val="105"/>
        </w:rPr>
        <w:t> </w:t>
      </w:r>
      <w:r>
        <w:rPr>
          <w:color w:val="231F20"/>
          <w:w w:val="105"/>
        </w:rPr>
        <w:t>induce</w:t>
      </w:r>
      <w:r>
        <w:rPr>
          <w:color w:val="231F20"/>
          <w:spacing w:val="-18"/>
          <w:w w:val="105"/>
        </w:rPr>
        <w:t> </w:t>
      </w:r>
      <w:r>
        <w:rPr>
          <w:color w:val="231F20"/>
          <w:w w:val="105"/>
        </w:rPr>
        <w:t>un</w:t>
      </w:r>
      <w:r>
        <w:rPr>
          <w:color w:val="231F20"/>
          <w:spacing w:val="-18"/>
          <w:w w:val="105"/>
        </w:rPr>
        <w:t> </w:t>
      </w:r>
      <w:r>
        <w:rPr>
          <w:color w:val="231F20"/>
          <w:w w:val="105"/>
        </w:rPr>
        <w:t>sesgo</w:t>
      </w:r>
      <w:r>
        <w:rPr>
          <w:color w:val="231F20"/>
          <w:spacing w:val="-18"/>
          <w:w w:val="105"/>
        </w:rPr>
        <w:t> </w:t>
      </w:r>
      <w:r>
        <w:rPr>
          <w:color w:val="231F20"/>
          <w:w w:val="105"/>
        </w:rPr>
        <w:t>de</w:t>
      </w:r>
      <w:r>
        <w:rPr>
          <w:color w:val="231F20"/>
          <w:spacing w:val="-18"/>
          <w:w w:val="105"/>
        </w:rPr>
        <w:t> </w:t>
      </w:r>
      <w:r>
        <w:rPr>
          <w:color w:val="231F20"/>
          <w:w w:val="105"/>
        </w:rPr>
        <w:t>selección</w:t>
      </w:r>
      <w:r>
        <w:rPr>
          <w:color w:val="231F20"/>
          <w:spacing w:val="-18"/>
          <w:w w:val="105"/>
        </w:rPr>
        <w:t> </w:t>
      </w:r>
      <w:r>
        <w:rPr>
          <w:color w:val="231F20"/>
          <w:w w:val="105"/>
        </w:rPr>
        <w:t>pues</w:t>
      </w:r>
      <w:r>
        <w:rPr>
          <w:color w:val="231F20"/>
          <w:spacing w:val="-18"/>
          <w:w w:val="105"/>
        </w:rPr>
        <w:t> </w:t>
      </w:r>
      <w:r>
        <w:rPr>
          <w:color w:val="231F20"/>
          <w:w w:val="105"/>
        </w:rPr>
        <w:t>se</w:t>
      </w:r>
      <w:r>
        <w:rPr>
          <w:color w:val="231F20"/>
          <w:spacing w:val="-18"/>
          <w:w w:val="105"/>
        </w:rPr>
        <w:t> </w:t>
      </w:r>
      <w:r>
        <w:rPr>
          <w:color w:val="231F20"/>
          <w:w w:val="105"/>
        </w:rPr>
        <w:t>es- tudiaría</w:t>
      </w:r>
      <w:r>
        <w:rPr>
          <w:color w:val="231F20"/>
          <w:spacing w:val="-20"/>
          <w:w w:val="105"/>
        </w:rPr>
        <w:t> </w:t>
      </w:r>
      <w:r>
        <w:rPr>
          <w:color w:val="231F20"/>
          <w:w w:val="105"/>
        </w:rPr>
        <w:t>sólo</w:t>
      </w:r>
      <w:r>
        <w:rPr>
          <w:color w:val="231F20"/>
          <w:spacing w:val="-20"/>
          <w:w w:val="105"/>
        </w:rPr>
        <w:t> </w:t>
      </w:r>
      <w:r>
        <w:rPr>
          <w:color w:val="231F20"/>
          <w:w w:val="105"/>
        </w:rPr>
        <w:t>a</w:t>
      </w:r>
      <w:r>
        <w:rPr>
          <w:color w:val="231F20"/>
          <w:spacing w:val="-20"/>
          <w:w w:val="105"/>
        </w:rPr>
        <w:t> </w:t>
      </w:r>
      <w:r>
        <w:rPr>
          <w:color w:val="231F20"/>
          <w:w w:val="105"/>
        </w:rPr>
        <w:t>un</w:t>
      </w:r>
      <w:r>
        <w:rPr>
          <w:color w:val="231F20"/>
          <w:spacing w:val="-20"/>
          <w:w w:val="105"/>
        </w:rPr>
        <w:t> </w:t>
      </w:r>
      <w:r>
        <w:rPr>
          <w:color w:val="231F20"/>
          <w:w w:val="105"/>
        </w:rPr>
        <w:t>tipo</w:t>
      </w:r>
      <w:r>
        <w:rPr>
          <w:color w:val="231F20"/>
          <w:spacing w:val="-20"/>
          <w:w w:val="105"/>
        </w:rPr>
        <w:t> </w:t>
      </w:r>
      <w:r>
        <w:rPr>
          <w:color w:val="231F20"/>
          <w:w w:val="105"/>
        </w:rPr>
        <w:t>de</w:t>
      </w:r>
      <w:r>
        <w:rPr>
          <w:color w:val="231F20"/>
          <w:spacing w:val="-20"/>
          <w:w w:val="105"/>
        </w:rPr>
        <w:t> </w:t>
      </w:r>
      <w:r>
        <w:rPr>
          <w:color w:val="231F20"/>
          <w:w w:val="105"/>
        </w:rPr>
        <w:t>empresas</w:t>
      </w:r>
      <w:r>
        <w:rPr>
          <w:color w:val="231F20"/>
          <w:spacing w:val="-20"/>
          <w:w w:val="105"/>
        </w:rPr>
        <w:t> </w:t>
      </w:r>
      <w:r>
        <w:rPr>
          <w:color w:val="231F20"/>
          <w:w w:val="105"/>
        </w:rPr>
        <w:t>(muy</w:t>
      </w:r>
      <w:r>
        <w:rPr>
          <w:color w:val="231F20"/>
          <w:spacing w:val="-20"/>
          <w:w w:val="105"/>
        </w:rPr>
        <w:t> </w:t>
      </w:r>
      <w:r>
        <w:rPr>
          <w:color w:val="231F20"/>
          <w:w w:val="105"/>
        </w:rPr>
        <w:t>grandes</w:t>
      </w:r>
      <w:r>
        <w:rPr>
          <w:color w:val="231F20"/>
          <w:spacing w:val="-20"/>
          <w:w w:val="105"/>
        </w:rPr>
        <w:t> </w:t>
      </w:r>
      <w:r>
        <w:rPr>
          <w:color w:val="231F20"/>
          <w:w w:val="105"/>
        </w:rPr>
        <w:t>con</w:t>
      </w:r>
      <w:r>
        <w:rPr>
          <w:color w:val="231F20"/>
          <w:spacing w:val="-20"/>
          <w:w w:val="105"/>
        </w:rPr>
        <w:t> </w:t>
      </w:r>
      <w:r>
        <w:rPr>
          <w:color w:val="231F20"/>
          <w:w w:val="105"/>
        </w:rPr>
        <w:t>aliados</w:t>
      </w:r>
      <w:r>
        <w:rPr>
          <w:color w:val="231F20"/>
          <w:spacing w:val="-20"/>
          <w:w w:val="105"/>
        </w:rPr>
        <w:t> </w:t>
      </w:r>
      <w:r>
        <w:rPr>
          <w:color w:val="231F20"/>
          <w:w w:val="105"/>
        </w:rPr>
        <w:t>internacio- nales),</w:t>
      </w:r>
      <w:r>
        <w:rPr>
          <w:color w:val="231F20"/>
          <w:spacing w:val="-35"/>
          <w:w w:val="105"/>
        </w:rPr>
        <w:t> </w:t>
      </w:r>
      <w:r>
        <w:rPr>
          <w:color w:val="231F20"/>
          <w:w w:val="105"/>
        </w:rPr>
        <w:t>que</w:t>
      </w:r>
      <w:r>
        <w:rPr>
          <w:color w:val="231F20"/>
          <w:spacing w:val="-30"/>
          <w:w w:val="105"/>
        </w:rPr>
        <w:t> </w:t>
      </w:r>
      <w:r>
        <w:rPr>
          <w:color w:val="231F20"/>
          <w:w w:val="105"/>
        </w:rPr>
        <w:t>no</w:t>
      </w:r>
      <w:r>
        <w:rPr>
          <w:color w:val="231F20"/>
          <w:spacing w:val="-30"/>
          <w:w w:val="105"/>
        </w:rPr>
        <w:t> </w:t>
      </w:r>
      <w:r>
        <w:rPr>
          <w:color w:val="231F20"/>
          <w:w w:val="105"/>
        </w:rPr>
        <w:t>necesariamente</w:t>
      </w:r>
      <w:r>
        <w:rPr>
          <w:color w:val="231F20"/>
          <w:spacing w:val="-30"/>
          <w:w w:val="105"/>
        </w:rPr>
        <w:t> </w:t>
      </w:r>
      <w:r>
        <w:rPr>
          <w:color w:val="231F20"/>
          <w:w w:val="105"/>
        </w:rPr>
        <w:t>es</w:t>
      </w:r>
      <w:r>
        <w:rPr>
          <w:color w:val="231F20"/>
          <w:spacing w:val="-30"/>
          <w:w w:val="105"/>
        </w:rPr>
        <w:t> </w:t>
      </w:r>
      <w:r>
        <w:rPr>
          <w:color w:val="231F20"/>
          <w:w w:val="105"/>
        </w:rPr>
        <w:t>representativo</w:t>
      </w:r>
      <w:r>
        <w:rPr>
          <w:color w:val="231F20"/>
          <w:spacing w:val="-30"/>
          <w:w w:val="105"/>
        </w:rPr>
        <w:t> </w:t>
      </w:r>
      <w:r>
        <w:rPr>
          <w:color w:val="231F20"/>
          <w:w w:val="105"/>
        </w:rPr>
        <w:t>del</w:t>
      </w:r>
      <w:r>
        <w:rPr>
          <w:color w:val="231F20"/>
          <w:spacing w:val="-30"/>
          <w:w w:val="105"/>
        </w:rPr>
        <w:t> </w:t>
      </w:r>
      <w:r>
        <w:rPr>
          <w:color w:val="231F20"/>
          <w:w w:val="105"/>
        </w:rPr>
        <w:t>entorno</w:t>
      </w:r>
      <w:r>
        <w:rPr>
          <w:color w:val="231F20"/>
          <w:spacing w:val="-30"/>
          <w:w w:val="105"/>
        </w:rPr>
        <w:t> </w:t>
      </w:r>
      <w:r>
        <w:rPr>
          <w:color w:val="231F20"/>
          <w:w w:val="105"/>
        </w:rPr>
        <w:t>empresarial mexicano.</w:t>
      </w:r>
      <w:r>
        <w:rPr>
          <w:color w:val="231F20"/>
          <w:spacing w:val="-32"/>
          <w:w w:val="105"/>
        </w:rPr>
        <w:t> </w:t>
      </w:r>
      <w:r>
        <w:rPr>
          <w:color w:val="231F20"/>
          <w:w w:val="105"/>
        </w:rPr>
        <w:t>La</w:t>
      </w:r>
      <w:r>
        <w:rPr>
          <w:color w:val="231F20"/>
          <w:spacing w:val="-29"/>
          <w:w w:val="105"/>
        </w:rPr>
        <w:t> </w:t>
      </w:r>
      <w:r>
        <w:rPr>
          <w:color w:val="231F20"/>
          <w:w w:val="105"/>
        </w:rPr>
        <w:t>situación</w:t>
      </w:r>
      <w:r>
        <w:rPr>
          <w:color w:val="231F20"/>
          <w:spacing w:val="-29"/>
          <w:w w:val="105"/>
        </w:rPr>
        <w:t> </w:t>
      </w:r>
      <w:r>
        <w:rPr>
          <w:color w:val="231F20"/>
          <w:w w:val="105"/>
        </w:rPr>
        <w:t>es</w:t>
      </w:r>
      <w:r>
        <w:rPr>
          <w:color w:val="231F20"/>
          <w:spacing w:val="-29"/>
          <w:w w:val="105"/>
        </w:rPr>
        <w:t> </w:t>
      </w:r>
      <w:r>
        <w:rPr>
          <w:color w:val="231F20"/>
          <w:w w:val="105"/>
        </w:rPr>
        <w:t>más</w:t>
      </w:r>
      <w:r>
        <w:rPr>
          <w:color w:val="231F20"/>
          <w:spacing w:val="-29"/>
          <w:w w:val="105"/>
        </w:rPr>
        <w:t> </w:t>
      </w:r>
      <w:r>
        <w:rPr>
          <w:color w:val="231F20"/>
          <w:w w:val="105"/>
        </w:rPr>
        <w:t>complicada</w:t>
      </w:r>
      <w:r>
        <w:rPr>
          <w:color w:val="231F20"/>
          <w:spacing w:val="-29"/>
          <w:w w:val="105"/>
        </w:rPr>
        <w:t> </w:t>
      </w:r>
      <w:r>
        <w:rPr>
          <w:color w:val="231F20"/>
          <w:w w:val="105"/>
        </w:rPr>
        <w:t>si</w:t>
      </w:r>
      <w:r>
        <w:rPr>
          <w:color w:val="231F20"/>
          <w:spacing w:val="-29"/>
          <w:w w:val="105"/>
        </w:rPr>
        <w:t> </w:t>
      </w:r>
      <w:r>
        <w:rPr>
          <w:color w:val="231F20"/>
          <w:w w:val="105"/>
        </w:rPr>
        <w:t>se</w:t>
      </w:r>
      <w:r>
        <w:rPr>
          <w:color w:val="231F20"/>
          <w:spacing w:val="-29"/>
          <w:w w:val="105"/>
        </w:rPr>
        <w:t> </w:t>
      </w:r>
      <w:r>
        <w:rPr>
          <w:color w:val="231F20"/>
          <w:w w:val="105"/>
        </w:rPr>
        <w:t>trata</w:t>
      </w:r>
      <w:r>
        <w:rPr>
          <w:color w:val="231F20"/>
          <w:spacing w:val="-29"/>
          <w:w w:val="105"/>
        </w:rPr>
        <w:t> </w:t>
      </w:r>
      <w:r>
        <w:rPr>
          <w:color w:val="231F20"/>
          <w:w w:val="105"/>
        </w:rPr>
        <w:t>de</w:t>
      </w:r>
      <w:r>
        <w:rPr>
          <w:color w:val="231F20"/>
          <w:spacing w:val="-29"/>
          <w:w w:val="105"/>
        </w:rPr>
        <w:t> </w:t>
      </w:r>
      <w:r>
        <w:rPr>
          <w:color w:val="231F20"/>
          <w:w w:val="105"/>
        </w:rPr>
        <w:t>estudiar</w:t>
      </w:r>
      <w:r>
        <w:rPr>
          <w:color w:val="231F20"/>
          <w:spacing w:val="-29"/>
          <w:w w:val="105"/>
        </w:rPr>
        <w:t> </w:t>
      </w:r>
      <w:r>
        <w:rPr>
          <w:color w:val="231F20"/>
          <w:w w:val="105"/>
        </w:rPr>
        <w:t>alianzas hechas</w:t>
      </w:r>
      <w:r>
        <w:rPr>
          <w:color w:val="231F20"/>
          <w:spacing w:val="-28"/>
          <w:w w:val="105"/>
        </w:rPr>
        <w:t> </w:t>
      </w:r>
      <w:r>
        <w:rPr>
          <w:color w:val="231F20"/>
          <w:w w:val="105"/>
        </w:rPr>
        <w:t>por</w:t>
      </w:r>
      <w:r>
        <w:rPr>
          <w:color w:val="231F20"/>
          <w:spacing w:val="-28"/>
          <w:w w:val="105"/>
        </w:rPr>
        <w:t> </w:t>
      </w:r>
      <w:r>
        <w:rPr>
          <w:color w:val="231F20"/>
          <w:w w:val="105"/>
        </w:rPr>
        <w:t>empresas</w:t>
      </w:r>
      <w:r>
        <w:rPr>
          <w:color w:val="231F20"/>
          <w:spacing w:val="-28"/>
          <w:w w:val="105"/>
        </w:rPr>
        <w:t> </w:t>
      </w:r>
      <w:r>
        <w:rPr>
          <w:color w:val="231F20"/>
          <w:w w:val="105"/>
        </w:rPr>
        <w:t>pequeñas</w:t>
      </w:r>
      <w:r>
        <w:rPr>
          <w:color w:val="231F20"/>
          <w:spacing w:val="-28"/>
          <w:w w:val="105"/>
        </w:rPr>
        <w:t> </w:t>
      </w:r>
      <w:r>
        <w:rPr>
          <w:color w:val="231F20"/>
          <w:w w:val="105"/>
        </w:rPr>
        <w:t>y</w:t>
      </w:r>
      <w:r>
        <w:rPr>
          <w:color w:val="231F20"/>
          <w:spacing w:val="-28"/>
          <w:w w:val="105"/>
        </w:rPr>
        <w:t> </w:t>
      </w:r>
      <w:r>
        <w:rPr>
          <w:color w:val="231F20"/>
          <w:w w:val="105"/>
        </w:rPr>
        <w:t>medianas</w:t>
      </w:r>
      <w:r>
        <w:rPr>
          <w:color w:val="231F20"/>
          <w:spacing w:val="-28"/>
          <w:w w:val="105"/>
        </w:rPr>
        <w:t> </w:t>
      </w:r>
      <w:r>
        <w:rPr>
          <w:color w:val="231F20"/>
          <w:w w:val="105"/>
        </w:rPr>
        <w:t>debido</w:t>
      </w:r>
      <w:r>
        <w:rPr>
          <w:color w:val="231F20"/>
          <w:spacing w:val="-28"/>
          <w:w w:val="105"/>
        </w:rPr>
        <w:t> </w:t>
      </w:r>
      <w:r>
        <w:rPr>
          <w:color w:val="231F20"/>
          <w:w w:val="105"/>
        </w:rPr>
        <w:t>a</w:t>
      </w:r>
      <w:r>
        <w:rPr>
          <w:color w:val="231F20"/>
          <w:spacing w:val="-28"/>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este</w:t>
      </w:r>
      <w:r>
        <w:rPr>
          <w:color w:val="231F20"/>
          <w:spacing w:val="-28"/>
          <w:w w:val="105"/>
        </w:rPr>
        <w:t> </w:t>
      </w:r>
      <w:r>
        <w:rPr>
          <w:color w:val="231F20"/>
          <w:w w:val="105"/>
        </w:rPr>
        <w:t>país</w:t>
      </w:r>
      <w:r>
        <w:rPr>
          <w:color w:val="231F20"/>
          <w:spacing w:val="-28"/>
          <w:w w:val="105"/>
        </w:rPr>
        <w:t> </w:t>
      </w:r>
      <w:r>
        <w:rPr>
          <w:color w:val="231F20"/>
          <w:w w:val="105"/>
        </w:rPr>
        <w:t>no se</w:t>
      </w:r>
      <w:r>
        <w:rPr>
          <w:color w:val="231F20"/>
          <w:spacing w:val="-12"/>
          <w:w w:val="105"/>
        </w:rPr>
        <w:t> </w:t>
      </w:r>
      <w:r>
        <w:rPr>
          <w:color w:val="231F20"/>
          <w:w w:val="105"/>
        </w:rPr>
        <w:t>cuenta</w:t>
      </w:r>
      <w:r>
        <w:rPr>
          <w:color w:val="231F20"/>
          <w:spacing w:val="-12"/>
          <w:w w:val="105"/>
        </w:rPr>
        <w:t> </w:t>
      </w:r>
      <w:r>
        <w:rPr>
          <w:color w:val="231F20"/>
          <w:w w:val="105"/>
        </w:rPr>
        <w:t>con</w:t>
      </w:r>
      <w:r>
        <w:rPr>
          <w:color w:val="231F20"/>
          <w:spacing w:val="-12"/>
          <w:w w:val="105"/>
        </w:rPr>
        <w:t> </w:t>
      </w:r>
      <w:r>
        <w:rPr>
          <w:color w:val="231F20"/>
          <w:w w:val="105"/>
        </w:rPr>
        <w:t>censos</w:t>
      </w:r>
      <w:r>
        <w:rPr>
          <w:color w:val="231F20"/>
          <w:spacing w:val="-12"/>
          <w:w w:val="105"/>
        </w:rPr>
        <w:t> </w:t>
      </w:r>
      <w:r>
        <w:rPr>
          <w:color w:val="231F20"/>
          <w:w w:val="105"/>
        </w:rPr>
        <w:t>empresariales</w:t>
      </w:r>
      <w:r>
        <w:rPr>
          <w:color w:val="231F20"/>
          <w:spacing w:val="-12"/>
          <w:w w:val="105"/>
        </w:rPr>
        <w:t> </w:t>
      </w:r>
      <w:r>
        <w:rPr>
          <w:color w:val="231F20"/>
          <w:w w:val="105"/>
        </w:rPr>
        <w:t>serios</w:t>
      </w:r>
      <w:r>
        <w:rPr>
          <w:color w:val="231F20"/>
          <w:spacing w:val="-12"/>
          <w:w w:val="105"/>
        </w:rPr>
        <w:t> </w:t>
      </w:r>
      <w:r>
        <w:rPr>
          <w:color w:val="231F20"/>
          <w:w w:val="105"/>
        </w:rPr>
        <w:t>que</w:t>
      </w:r>
      <w:r>
        <w:rPr>
          <w:color w:val="231F20"/>
          <w:spacing w:val="-12"/>
          <w:w w:val="105"/>
        </w:rPr>
        <w:t> </w:t>
      </w:r>
      <w:r>
        <w:rPr>
          <w:color w:val="231F20"/>
          <w:w w:val="105"/>
        </w:rPr>
        <w:t>concentren</w:t>
      </w:r>
      <w:r>
        <w:rPr>
          <w:color w:val="231F20"/>
          <w:spacing w:val="-12"/>
          <w:w w:val="105"/>
        </w:rPr>
        <w:t> </w:t>
      </w:r>
      <w:r>
        <w:rPr>
          <w:color w:val="231F20"/>
          <w:w w:val="105"/>
        </w:rPr>
        <w:t>información relevante</w:t>
      </w:r>
      <w:r>
        <w:rPr>
          <w:color w:val="231F20"/>
          <w:spacing w:val="-22"/>
          <w:w w:val="105"/>
        </w:rPr>
        <w:t> </w:t>
      </w:r>
      <w:r>
        <w:rPr>
          <w:color w:val="231F20"/>
          <w:w w:val="105"/>
        </w:rPr>
        <w:t>y</w:t>
      </w:r>
      <w:r>
        <w:rPr>
          <w:color w:val="231F20"/>
          <w:spacing w:val="-22"/>
          <w:w w:val="105"/>
        </w:rPr>
        <w:t> </w:t>
      </w:r>
      <w:r>
        <w:rPr>
          <w:color w:val="231F20"/>
          <w:w w:val="105"/>
        </w:rPr>
        <w:t>suficiente.</w:t>
      </w:r>
      <w:r>
        <w:rPr>
          <w:color w:val="231F20"/>
          <w:spacing w:val="-26"/>
          <w:w w:val="105"/>
        </w:rPr>
        <w:t> </w:t>
      </w:r>
      <w:r>
        <w:rPr>
          <w:color w:val="231F20"/>
          <w:spacing w:val="-6"/>
          <w:w w:val="105"/>
        </w:rPr>
        <w:t>Por</w:t>
      </w:r>
      <w:r>
        <w:rPr>
          <w:color w:val="231F20"/>
          <w:spacing w:val="-22"/>
          <w:w w:val="105"/>
        </w:rPr>
        <w:t> </w:t>
      </w:r>
      <w:r>
        <w:rPr>
          <w:color w:val="231F20"/>
          <w:w w:val="105"/>
        </w:rPr>
        <w:t>si</w:t>
      </w:r>
      <w:r>
        <w:rPr>
          <w:color w:val="231F20"/>
          <w:spacing w:val="-22"/>
          <w:w w:val="105"/>
        </w:rPr>
        <w:t> </w:t>
      </w:r>
      <w:r>
        <w:rPr>
          <w:color w:val="231F20"/>
          <w:w w:val="105"/>
        </w:rPr>
        <w:t>fuera</w:t>
      </w:r>
      <w:r>
        <w:rPr>
          <w:color w:val="231F20"/>
          <w:spacing w:val="-22"/>
          <w:w w:val="105"/>
        </w:rPr>
        <w:t> </w:t>
      </w:r>
      <w:r>
        <w:rPr>
          <w:color w:val="231F20"/>
          <w:w w:val="105"/>
        </w:rPr>
        <w:t>poco,</w:t>
      </w:r>
      <w:r>
        <w:rPr>
          <w:color w:val="231F20"/>
          <w:spacing w:val="-26"/>
          <w:w w:val="105"/>
        </w:rPr>
        <w:t> </w:t>
      </w:r>
      <w:r>
        <w:rPr>
          <w:color w:val="231F20"/>
          <w:w w:val="105"/>
        </w:rPr>
        <w:t>la</w:t>
      </w:r>
      <w:r>
        <w:rPr>
          <w:color w:val="231F20"/>
          <w:spacing w:val="-22"/>
          <w:w w:val="105"/>
        </w:rPr>
        <w:t> </w:t>
      </w:r>
      <w:r>
        <w:rPr>
          <w:color w:val="231F20"/>
          <w:w w:val="105"/>
        </w:rPr>
        <w:t>gran</w:t>
      </w:r>
      <w:r>
        <w:rPr>
          <w:color w:val="231F20"/>
          <w:spacing w:val="-22"/>
          <w:w w:val="105"/>
        </w:rPr>
        <w:t> </w:t>
      </w:r>
      <w:r>
        <w:rPr>
          <w:color w:val="231F20"/>
          <w:w w:val="105"/>
        </w:rPr>
        <w:t>mayoría</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pequeñas empresas raramente llevan una contabilidad formal que permita la ob- tención de datos financieros confiables y muy raramente existen datos de</w:t>
      </w:r>
      <w:r>
        <w:rPr>
          <w:color w:val="231F20"/>
          <w:spacing w:val="-19"/>
          <w:w w:val="105"/>
        </w:rPr>
        <w:t> </w:t>
      </w:r>
      <w:r>
        <w:rPr>
          <w:color w:val="231F20"/>
          <w:w w:val="105"/>
        </w:rPr>
        <w:t>mercado</w:t>
      </w:r>
      <w:r>
        <w:rPr>
          <w:color w:val="231F20"/>
          <w:spacing w:val="-19"/>
          <w:w w:val="105"/>
        </w:rPr>
        <w:t> </w:t>
      </w:r>
      <w:r>
        <w:rPr>
          <w:color w:val="231F20"/>
          <w:w w:val="105"/>
        </w:rPr>
        <w:t>que</w:t>
      </w:r>
      <w:r>
        <w:rPr>
          <w:color w:val="231F20"/>
          <w:spacing w:val="-19"/>
          <w:w w:val="105"/>
        </w:rPr>
        <w:t> </w:t>
      </w:r>
      <w:r>
        <w:rPr>
          <w:color w:val="231F20"/>
          <w:w w:val="105"/>
        </w:rPr>
        <w:t>permitan</w:t>
      </w:r>
      <w:r>
        <w:rPr>
          <w:color w:val="231F20"/>
          <w:spacing w:val="-19"/>
          <w:w w:val="105"/>
        </w:rPr>
        <w:t> </w:t>
      </w:r>
      <w:r>
        <w:rPr>
          <w:color w:val="231F20"/>
          <w:w w:val="105"/>
        </w:rPr>
        <w:t>el</w:t>
      </w:r>
      <w:r>
        <w:rPr>
          <w:color w:val="231F20"/>
          <w:spacing w:val="-19"/>
          <w:w w:val="105"/>
        </w:rPr>
        <w:t> </w:t>
      </w:r>
      <w:r>
        <w:rPr>
          <w:color w:val="231F20"/>
          <w:w w:val="105"/>
        </w:rPr>
        <w:t>cálculo</w:t>
      </w:r>
      <w:r>
        <w:rPr>
          <w:color w:val="231F20"/>
          <w:spacing w:val="-19"/>
          <w:w w:val="105"/>
        </w:rPr>
        <w:t> </w:t>
      </w:r>
      <w:r>
        <w:rPr>
          <w:color w:val="231F20"/>
          <w:w w:val="105"/>
        </w:rPr>
        <w:t>de</w:t>
      </w:r>
      <w:r>
        <w:rPr>
          <w:color w:val="231F20"/>
          <w:spacing w:val="-19"/>
          <w:w w:val="105"/>
        </w:rPr>
        <w:t> </w:t>
      </w:r>
      <w:r>
        <w:rPr>
          <w:color w:val="231F20"/>
          <w:w w:val="105"/>
        </w:rPr>
        <w:t>variables</w:t>
      </w:r>
      <w:r>
        <w:rPr>
          <w:color w:val="231F20"/>
          <w:spacing w:val="-19"/>
          <w:w w:val="105"/>
        </w:rPr>
        <w:t> </w:t>
      </w:r>
      <w:r>
        <w:rPr>
          <w:color w:val="231F20"/>
          <w:w w:val="105"/>
        </w:rPr>
        <w:t>clave</w:t>
      </w:r>
      <w:r>
        <w:rPr>
          <w:color w:val="231F20"/>
          <w:spacing w:val="-19"/>
          <w:w w:val="105"/>
        </w:rPr>
        <w:t> </w:t>
      </w:r>
      <w:r>
        <w:rPr>
          <w:color w:val="231F20"/>
          <w:w w:val="105"/>
        </w:rPr>
        <w:t>como</w:t>
      </w:r>
      <w:r>
        <w:rPr>
          <w:color w:val="231F20"/>
          <w:spacing w:val="-19"/>
          <w:w w:val="105"/>
        </w:rPr>
        <w:t> </w:t>
      </w:r>
      <w:r>
        <w:rPr>
          <w:color w:val="231F20"/>
          <w:w w:val="105"/>
        </w:rPr>
        <w:t>la</w:t>
      </w:r>
      <w:r>
        <w:rPr>
          <w:color w:val="231F20"/>
          <w:spacing w:val="-19"/>
          <w:w w:val="105"/>
        </w:rPr>
        <w:t> </w:t>
      </w:r>
      <w:r>
        <w:rPr>
          <w:color w:val="231F20"/>
          <w:w w:val="105"/>
        </w:rPr>
        <w:t>participa- ción</w:t>
      </w:r>
      <w:r>
        <w:rPr>
          <w:color w:val="231F20"/>
          <w:spacing w:val="-11"/>
          <w:w w:val="105"/>
        </w:rPr>
        <w:t> </w:t>
      </w:r>
      <w:r>
        <w:rPr>
          <w:color w:val="231F20"/>
          <w:w w:val="105"/>
        </w:rPr>
        <w:t>de</w:t>
      </w:r>
      <w:r>
        <w:rPr>
          <w:color w:val="231F20"/>
          <w:spacing w:val="-11"/>
          <w:w w:val="105"/>
        </w:rPr>
        <w:t> </w:t>
      </w:r>
      <w:r>
        <w:rPr>
          <w:color w:val="231F20"/>
          <w:w w:val="105"/>
        </w:rPr>
        <w:t>mercado,</w:t>
      </w:r>
      <w:r>
        <w:rPr>
          <w:color w:val="231F20"/>
          <w:spacing w:val="-17"/>
          <w:w w:val="105"/>
        </w:rPr>
        <w:t> </w:t>
      </w:r>
      <w:r>
        <w:rPr>
          <w:color w:val="231F20"/>
          <w:w w:val="105"/>
        </w:rPr>
        <w:t>barreras</w:t>
      </w:r>
      <w:r>
        <w:rPr>
          <w:color w:val="231F20"/>
          <w:spacing w:val="-11"/>
          <w:w w:val="105"/>
        </w:rPr>
        <w:t> </w:t>
      </w:r>
      <w:r>
        <w:rPr>
          <w:color w:val="231F20"/>
          <w:w w:val="105"/>
        </w:rPr>
        <w:t>de</w:t>
      </w:r>
      <w:r>
        <w:rPr>
          <w:color w:val="231F20"/>
          <w:spacing w:val="-11"/>
          <w:w w:val="105"/>
        </w:rPr>
        <w:t> </w:t>
      </w:r>
      <w:r>
        <w:rPr>
          <w:color w:val="231F20"/>
          <w:w w:val="105"/>
        </w:rPr>
        <w:t>entrada,</w:t>
      </w:r>
      <w:r>
        <w:rPr>
          <w:color w:val="231F20"/>
          <w:spacing w:val="-17"/>
          <w:w w:val="105"/>
        </w:rPr>
        <w:t> </w:t>
      </w:r>
      <w:r>
        <w:rPr>
          <w:color w:val="231F20"/>
          <w:w w:val="105"/>
        </w:rPr>
        <w:t>etc.</w:t>
      </w:r>
      <w:r>
        <w:rPr>
          <w:color w:val="231F20"/>
          <w:spacing w:val="-17"/>
          <w:w w:val="105"/>
        </w:rPr>
        <w:t> </w:t>
      </w:r>
      <w:r>
        <w:rPr>
          <w:color w:val="231F20"/>
          <w:w w:val="105"/>
        </w:rPr>
        <w:t>Si,</w:t>
      </w:r>
      <w:r>
        <w:rPr>
          <w:color w:val="231F20"/>
          <w:spacing w:val="-17"/>
          <w:w w:val="105"/>
        </w:rPr>
        <w:t> </w:t>
      </w:r>
      <w:r>
        <w:rPr>
          <w:color w:val="231F20"/>
          <w:w w:val="105"/>
        </w:rPr>
        <w:t>como</w:t>
      </w:r>
      <w:r>
        <w:rPr>
          <w:color w:val="231F20"/>
          <w:spacing w:val="-11"/>
          <w:w w:val="105"/>
        </w:rPr>
        <w:t> </w:t>
      </w:r>
      <w:r>
        <w:rPr>
          <w:color w:val="231F20"/>
          <w:w w:val="105"/>
        </w:rPr>
        <w:t>se</w:t>
      </w:r>
      <w:r>
        <w:rPr>
          <w:color w:val="231F20"/>
          <w:spacing w:val="-11"/>
          <w:w w:val="105"/>
        </w:rPr>
        <w:t> </w:t>
      </w:r>
      <w:r>
        <w:rPr>
          <w:color w:val="231F20"/>
          <w:w w:val="105"/>
        </w:rPr>
        <w:t>menciona</w:t>
      </w:r>
      <w:r>
        <w:rPr>
          <w:color w:val="231F20"/>
          <w:spacing w:val="-11"/>
          <w:w w:val="105"/>
        </w:rPr>
        <w:t> </w:t>
      </w:r>
      <w:r>
        <w:rPr>
          <w:color w:val="231F20"/>
          <w:w w:val="105"/>
        </w:rPr>
        <w:t>antes, se</w:t>
      </w:r>
      <w:r>
        <w:rPr>
          <w:color w:val="231F20"/>
          <w:spacing w:val="-19"/>
          <w:w w:val="105"/>
        </w:rPr>
        <w:t> </w:t>
      </w:r>
      <w:r>
        <w:rPr>
          <w:color w:val="231F20"/>
          <w:w w:val="105"/>
        </w:rPr>
        <w:t>toma</w:t>
      </w:r>
      <w:r>
        <w:rPr>
          <w:color w:val="231F20"/>
          <w:spacing w:val="-19"/>
          <w:w w:val="105"/>
        </w:rPr>
        <w:t> </w:t>
      </w:r>
      <w:r>
        <w:rPr>
          <w:color w:val="231F20"/>
          <w:w w:val="105"/>
        </w:rPr>
        <w:t>en</w:t>
      </w:r>
      <w:r>
        <w:rPr>
          <w:color w:val="231F20"/>
          <w:spacing w:val="-19"/>
          <w:w w:val="105"/>
        </w:rPr>
        <w:t> </w:t>
      </w:r>
      <w:r>
        <w:rPr>
          <w:color w:val="231F20"/>
          <w:w w:val="105"/>
        </w:rPr>
        <w:t>cuenta</w:t>
      </w:r>
      <w:r>
        <w:rPr>
          <w:color w:val="231F20"/>
          <w:spacing w:val="-19"/>
          <w:w w:val="105"/>
        </w:rPr>
        <w:t> </w:t>
      </w:r>
      <w:r>
        <w:rPr>
          <w:color w:val="231F20"/>
          <w:w w:val="105"/>
        </w:rPr>
        <w:t>que</w:t>
      </w:r>
      <w:r>
        <w:rPr>
          <w:color w:val="231F20"/>
          <w:spacing w:val="-19"/>
          <w:w w:val="105"/>
        </w:rPr>
        <w:t> </w:t>
      </w:r>
      <w:r>
        <w:rPr>
          <w:color w:val="231F20"/>
          <w:w w:val="105"/>
        </w:rPr>
        <w:t>las</w:t>
      </w:r>
      <w:r>
        <w:rPr>
          <w:color w:val="231F20"/>
          <w:spacing w:val="-19"/>
          <w:w w:val="105"/>
        </w:rPr>
        <w:t> </w:t>
      </w:r>
      <w:r>
        <w:rPr>
          <w:color w:val="231F20"/>
          <w:w w:val="105"/>
        </w:rPr>
        <w:t>pequeñas</w:t>
      </w:r>
      <w:r>
        <w:rPr>
          <w:color w:val="231F20"/>
          <w:spacing w:val="-19"/>
          <w:w w:val="105"/>
        </w:rPr>
        <w:t> </w:t>
      </w:r>
      <w:r>
        <w:rPr>
          <w:color w:val="231F20"/>
          <w:w w:val="105"/>
        </w:rPr>
        <w:t>y</w:t>
      </w:r>
      <w:r>
        <w:rPr>
          <w:color w:val="231F20"/>
          <w:spacing w:val="-19"/>
          <w:w w:val="105"/>
        </w:rPr>
        <w:t> </w:t>
      </w:r>
      <w:r>
        <w:rPr>
          <w:color w:val="231F20"/>
          <w:w w:val="105"/>
        </w:rPr>
        <w:t>medianas</w:t>
      </w:r>
      <w:r>
        <w:rPr>
          <w:color w:val="231F20"/>
          <w:spacing w:val="-19"/>
          <w:w w:val="105"/>
        </w:rPr>
        <w:t> </w:t>
      </w:r>
      <w:r>
        <w:rPr>
          <w:color w:val="231F20"/>
          <w:w w:val="105"/>
        </w:rPr>
        <w:t>empresas</w:t>
      </w:r>
      <w:r>
        <w:rPr>
          <w:color w:val="231F20"/>
          <w:spacing w:val="-19"/>
          <w:w w:val="105"/>
        </w:rPr>
        <w:t> </w:t>
      </w:r>
      <w:r>
        <w:rPr>
          <w:color w:val="231F20"/>
          <w:w w:val="105"/>
        </w:rPr>
        <w:t>son</w:t>
      </w:r>
      <w:r>
        <w:rPr>
          <w:color w:val="231F20"/>
          <w:spacing w:val="-19"/>
          <w:w w:val="105"/>
        </w:rPr>
        <w:t> </w:t>
      </w:r>
      <w:r>
        <w:rPr>
          <w:color w:val="231F20"/>
          <w:w w:val="105"/>
        </w:rPr>
        <w:t>un</w:t>
      </w:r>
      <w:r>
        <w:rPr>
          <w:color w:val="231F20"/>
          <w:spacing w:val="-19"/>
          <w:w w:val="105"/>
        </w:rPr>
        <w:t> </w:t>
      </w:r>
      <w:r>
        <w:rPr>
          <w:color w:val="231F20"/>
          <w:w w:val="105"/>
        </w:rPr>
        <w:t>rubro importante de la actividad económica en México, entonces es posible imaginar</w:t>
      </w:r>
      <w:r>
        <w:rPr>
          <w:color w:val="231F20"/>
          <w:spacing w:val="-6"/>
          <w:w w:val="105"/>
        </w:rPr>
        <w:t> </w:t>
      </w:r>
      <w:r>
        <w:rPr>
          <w:color w:val="231F20"/>
          <w:w w:val="105"/>
        </w:rPr>
        <w:t>que</w:t>
      </w:r>
      <w:r>
        <w:rPr>
          <w:color w:val="231F20"/>
          <w:spacing w:val="-6"/>
          <w:w w:val="105"/>
        </w:rPr>
        <w:t> </w:t>
      </w:r>
      <w:r>
        <w:rPr>
          <w:color w:val="231F20"/>
          <w:w w:val="105"/>
        </w:rPr>
        <w:t>nuestro</w:t>
      </w:r>
      <w:r>
        <w:rPr>
          <w:color w:val="231F20"/>
          <w:spacing w:val="-6"/>
          <w:w w:val="105"/>
        </w:rPr>
        <w:t> </w:t>
      </w:r>
      <w:r>
        <w:rPr>
          <w:color w:val="231F20"/>
          <w:w w:val="105"/>
        </w:rPr>
        <w:t>entendimiento</w:t>
      </w:r>
      <w:r>
        <w:rPr>
          <w:color w:val="231F20"/>
          <w:spacing w:val="-6"/>
          <w:w w:val="105"/>
        </w:rPr>
        <w:t> </w:t>
      </w:r>
      <w:r>
        <w:rPr>
          <w:color w:val="231F20"/>
          <w:w w:val="105"/>
        </w:rPr>
        <w:t>sobre</w:t>
      </w:r>
      <w:r>
        <w:rPr>
          <w:color w:val="231F20"/>
          <w:spacing w:val="-6"/>
          <w:w w:val="105"/>
        </w:rPr>
        <w:t> </w:t>
      </w:r>
      <w:r>
        <w:rPr>
          <w:color w:val="231F20"/>
          <w:w w:val="105"/>
        </w:rPr>
        <w:t>las</w:t>
      </w:r>
      <w:r>
        <w:rPr>
          <w:color w:val="231F20"/>
          <w:spacing w:val="-6"/>
          <w:w w:val="105"/>
        </w:rPr>
        <w:t> </w:t>
      </w:r>
      <w:r>
        <w:rPr>
          <w:color w:val="231F20"/>
          <w:w w:val="105"/>
        </w:rPr>
        <w:t>acciones</w:t>
      </w:r>
      <w:r>
        <w:rPr>
          <w:color w:val="231F20"/>
          <w:spacing w:val="-6"/>
          <w:w w:val="105"/>
        </w:rPr>
        <w:t> </w:t>
      </w:r>
      <w:r>
        <w:rPr>
          <w:color w:val="231F20"/>
          <w:w w:val="105"/>
        </w:rPr>
        <w:t>estratégicas</w:t>
      </w:r>
      <w:r>
        <w:rPr>
          <w:color w:val="231F20"/>
          <w:spacing w:val="-6"/>
          <w:w w:val="105"/>
        </w:rPr>
        <w:t> </w:t>
      </w:r>
      <w:r>
        <w:rPr>
          <w:color w:val="231F20"/>
          <w:w w:val="105"/>
        </w:rPr>
        <w:t>de las</w:t>
      </w:r>
      <w:r>
        <w:rPr>
          <w:color w:val="231F20"/>
          <w:spacing w:val="-35"/>
          <w:w w:val="105"/>
        </w:rPr>
        <w:t> </w:t>
      </w:r>
      <w:r>
        <w:rPr>
          <w:color w:val="231F20"/>
          <w:w w:val="105"/>
        </w:rPr>
        <w:t>empresas</w:t>
      </w:r>
      <w:r>
        <w:rPr>
          <w:color w:val="231F20"/>
          <w:spacing w:val="-35"/>
          <w:w w:val="105"/>
        </w:rPr>
        <w:t> </w:t>
      </w:r>
      <w:r>
        <w:rPr>
          <w:color w:val="231F20"/>
          <w:w w:val="105"/>
        </w:rPr>
        <w:t>nacionales</w:t>
      </w:r>
      <w:r>
        <w:rPr>
          <w:color w:val="231F20"/>
          <w:spacing w:val="-35"/>
          <w:w w:val="105"/>
        </w:rPr>
        <w:t> </w:t>
      </w:r>
      <w:r>
        <w:rPr>
          <w:color w:val="231F20"/>
          <w:w w:val="105"/>
        </w:rPr>
        <w:t>es</w:t>
      </w:r>
      <w:r>
        <w:rPr>
          <w:color w:val="231F20"/>
          <w:spacing w:val="-35"/>
          <w:w w:val="105"/>
        </w:rPr>
        <w:t> </w:t>
      </w:r>
      <w:r>
        <w:rPr>
          <w:color w:val="231F20"/>
          <w:w w:val="105"/>
        </w:rPr>
        <w:t>limitado.</w:t>
      </w:r>
    </w:p>
    <w:p>
      <w:pPr>
        <w:pStyle w:val="BodyText"/>
        <w:spacing w:line="259" w:lineRule="auto"/>
        <w:ind w:left="103" w:right="114" w:firstLine="567"/>
        <w:jc w:val="both"/>
      </w:pPr>
      <w:r>
        <w:rPr>
          <w:color w:val="231F20"/>
          <w:w w:val="105"/>
        </w:rPr>
        <w:t>Ciertamente, sería posible utilizar diseños de investigación alter- nativos</w:t>
      </w:r>
      <w:r>
        <w:rPr>
          <w:color w:val="231F20"/>
          <w:spacing w:val="-18"/>
          <w:w w:val="105"/>
        </w:rPr>
        <w:t> </w:t>
      </w:r>
      <w:r>
        <w:rPr>
          <w:color w:val="231F20"/>
          <w:w w:val="105"/>
        </w:rPr>
        <w:t>que</w:t>
      </w:r>
      <w:r>
        <w:rPr>
          <w:color w:val="231F20"/>
          <w:spacing w:val="-18"/>
          <w:w w:val="105"/>
        </w:rPr>
        <w:t> </w:t>
      </w:r>
      <w:r>
        <w:rPr>
          <w:color w:val="231F20"/>
          <w:w w:val="105"/>
        </w:rPr>
        <w:t>permitieran</w:t>
      </w:r>
      <w:r>
        <w:rPr>
          <w:color w:val="231F20"/>
          <w:spacing w:val="-18"/>
          <w:w w:val="105"/>
        </w:rPr>
        <w:t> </w:t>
      </w:r>
      <w:r>
        <w:rPr>
          <w:color w:val="231F20"/>
          <w:w w:val="105"/>
        </w:rPr>
        <w:t>ayudar</w:t>
      </w:r>
      <w:r>
        <w:rPr>
          <w:color w:val="231F20"/>
          <w:spacing w:val="-18"/>
          <w:w w:val="105"/>
        </w:rPr>
        <w:t> </w:t>
      </w:r>
      <w:r>
        <w:rPr>
          <w:color w:val="231F20"/>
          <w:w w:val="105"/>
        </w:rPr>
        <w:t>a</w:t>
      </w:r>
      <w:r>
        <w:rPr>
          <w:color w:val="231F20"/>
          <w:spacing w:val="-18"/>
          <w:w w:val="105"/>
        </w:rPr>
        <w:t> </w:t>
      </w:r>
      <w:r>
        <w:rPr>
          <w:color w:val="231F20"/>
          <w:w w:val="105"/>
        </w:rPr>
        <w:t>superar</w:t>
      </w:r>
      <w:r>
        <w:rPr>
          <w:color w:val="231F20"/>
          <w:spacing w:val="-18"/>
          <w:w w:val="105"/>
        </w:rPr>
        <w:t> </w:t>
      </w:r>
      <w:r>
        <w:rPr>
          <w:color w:val="231F20"/>
          <w:w w:val="105"/>
        </w:rPr>
        <w:t>las</w:t>
      </w:r>
      <w:r>
        <w:rPr>
          <w:color w:val="231F20"/>
          <w:spacing w:val="-18"/>
          <w:w w:val="105"/>
        </w:rPr>
        <w:t> </w:t>
      </w:r>
      <w:r>
        <w:rPr>
          <w:color w:val="231F20"/>
          <w:w w:val="105"/>
        </w:rPr>
        <w:t>limitaciones</w:t>
      </w:r>
      <w:r>
        <w:rPr>
          <w:color w:val="231F20"/>
          <w:spacing w:val="-18"/>
          <w:w w:val="105"/>
        </w:rPr>
        <w:t> </w:t>
      </w:r>
      <w:r>
        <w:rPr>
          <w:color w:val="231F20"/>
          <w:w w:val="105"/>
        </w:rPr>
        <w:t>de</w:t>
      </w:r>
      <w:r>
        <w:rPr>
          <w:color w:val="231F20"/>
          <w:spacing w:val="-18"/>
          <w:w w:val="105"/>
        </w:rPr>
        <w:t> </w:t>
      </w:r>
      <w:r>
        <w:rPr>
          <w:color w:val="231F20"/>
          <w:w w:val="105"/>
        </w:rPr>
        <w:t>datos</w:t>
      </w:r>
      <w:r>
        <w:rPr>
          <w:color w:val="231F20"/>
          <w:spacing w:val="-18"/>
          <w:w w:val="105"/>
        </w:rPr>
        <w:t> </w:t>
      </w:r>
      <w:r>
        <w:rPr>
          <w:color w:val="231F20"/>
          <w:w w:val="105"/>
        </w:rPr>
        <w:t>antes descritas.</w:t>
      </w:r>
      <w:r>
        <w:rPr>
          <w:color w:val="231F20"/>
          <w:spacing w:val="-18"/>
          <w:w w:val="105"/>
        </w:rPr>
        <w:t> </w:t>
      </w:r>
      <w:r>
        <w:rPr>
          <w:color w:val="231F20"/>
          <w:w w:val="105"/>
        </w:rPr>
        <w:t>Una</w:t>
      </w:r>
      <w:r>
        <w:rPr>
          <w:color w:val="231F20"/>
          <w:spacing w:val="-13"/>
          <w:w w:val="105"/>
        </w:rPr>
        <w:t> </w:t>
      </w:r>
      <w:r>
        <w:rPr>
          <w:color w:val="231F20"/>
          <w:w w:val="105"/>
        </w:rPr>
        <w:t>alternativa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utilización</w:t>
      </w:r>
      <w:r>
        <w:rPr>
          <w:color w:val="231F20"/>
          <w:spacing w:val="-13"/>
          <w:w w:val="105"/>
        </w:rPr>
        <w:t> </w:t>
      </w:r>
      <w:r>
        <w:rPr>
          <w:color w:val="231F20"/>
          <w:w w:val="105"/>
        </w:rPr>
        <w:t>de</w:t>
      </w:r>
      <w:r>
        <w:rPr>
          <w:color w:val="231F20"/>
          <w:spacing w:val="-13"/>
          <w:w w:val="105"/>
        </w:rPr>
        <w:t> </w:t>
      </w:r>
      <w:r>
        <w:rPr>
          <w:color w:val="231F20"/>
          <w:w w:val="105"/>
        </w:rPr>
        <w:t>datos</w:t>
      </w:r>
      <w:r>
        <w:rPr>
          <w:color w:val="231F20"/>
          <w:spacing w:val="-13"/>
          <w:w w:val="105"/>
        </w:rPr>
        <w:t> </w:t>
      </w:r>
      <w:r>
        <w:rPr>
          <w:color w:val="231F20"/>
          <w:w w:val="105"/>
        </w:rPr>
        <w:t>archivados</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infor- mación</w:t>
      </w:r>
      <w:r>
        <w:rPr>
          <w:color w:val="231F20"/>
          <w:spacing w:val="-25"/>
          <w:w w:val="105"/>
        </w:rPr>
        <w:t> </w:t>
      </w:r>
      <w:r>
        <w:rPr>
          <w:color w:val="231F20"/>
          <w:w w:val="105"/>
        </w:rPr>
        <w:t>primaria</w:t>
      </w:r>
      <w:r>
        <w:rPr>
          <w:color w:val="231F20"/>
          <w:spacing w:val="-25"/>
          <w:w w:val="105"/>
        </w:rPr>
        <w:t> </w:t>
      </w:r>
      <w:r>
        <w:rPr>
          <w:color w:val="231F20"/>
          <w:w w:val="105"/>
        </w:rPr>
        <w:t>obtenida</w:t>
      </w:r>
      <w:r>
        <w:rPr>
          <w:color w:val="231F20"/>
          <w:spacing w:val="-25"/>
          <w:w w:val="105"/>
        </w:rPr>
        <w:t> </w:t>
      </w:r>
      <w:r>
        <w:rPr>
          <w:color w:val="231F20"/>
          <w:w w:val="105"/>
        </w:rPr>
        <w:t>vía</w:t>
      </w:r>
      <w:r>
        <w:rPr>
          <w:color w:val="231F20"/>
          <w:spacing w:val="-25"/>
          <w:w w:val="105"/>
        </w:rPr>
        <w:t> </w:t>
      </w:r>
      <w:r>
        <w:rPr>
          <w:color w:val="231F20"/>
          <w:w w:val="105"/>
        </w:rPr>
        <w:t>encuestas</w:t>
      </w:r>
      <w:r>
        <w:rPr>
          <w:color w:val="231F20"/>
          <w:spacing w:val="-25"/>
          <w:w w:val="105"/>
        </w:rPr>
        <w:t> </w:t>
      </w:r>
      <w:r>
        <w:rPr>
          <w:color w:val="231F20"/>
          <w:w w:val="105"/>
        </w:rPr>
        <w:t>o</w:t>
      </w:r>
      <w:r>
        <w:rPr>
          <w:color w:val="231F20"/>
          <w:spacing w:val="-25"/>
          <w:w w:val="105"/>
        </w:rPr>
        <w:t> </w:t>
      </w:r>
      <w:r>
        <w:rPr>
          <w:color w:val="231F20"/>
          <w:w w:val="105"/>
        </w:rPr>
        <w:t>estudios</w:t>
      </w:r>
      <w:r>
        <w:rPr>
          <w:color w:val="231F20"/>
          <w:spacing w:val="-25"/>
          <w:w w:val="105"/>
        </w:rPr>
        <w:t> </w:t>
      </w:r>
      <w:r>
        <w:rPr>
          <w:color w:val="231F20"/>
          <w:w w:val="105"/>
        </w:rPr>
        <w:t>cualitativos</w:t>
      </w:r>
      <w:r>
        <w:rPr>
          <w:color w:val="231F20"/>
          <w:spacing w:val="-25"/>
          <w:w w:val="105"/>
        </w:rPr>
        <w:t> </w:t>
      </w:r>
      <w:r>
        <w:rPr>
          <w:color w:val="231F20"/>
          <w:w w:val="105"/>
        </w:rPr>
        <w:t>(incluidos los</w:t>
      </w:r>
      <w:r>
        <w:rPr>
          <w:color w:val="231F20"/>
          <w:spacing w:val="-32"/>
          <w:w w:val="105"/>
        </w:rPr>
        <w:t> </w:t>
      </w:r>
      <w:r>
        <w:rPr>
          <w:color w:val="231F20"/>
          <w:w w:val="105"/>
        </w:rPr>
        <w:t>estudios</w:t>
      </w:r>
      <w:r>
        <w:rPr>
          <w:color w:val="231F20"/>
          <w:spacing w:val="-32"/>
          <w:w w:val="105"/>
        </w:rPr>
        <w:t> </w:t>
      </w:r>
      <w:r>
        <w:rPr>
          <w:color w:val="231F20"/>
          <w:w w:val="105"/>
        </w:rPr>
        <w:t>de</w:t>
      </w:r>
      <w:r>
        <w:rPr>
          <w:color w:val="231F20"/>
          <w:spacing w:val="-32"/>
          <w:w w:val="105"/>
        </w:rPr>
        <w:t> </w:t>
      </w:r>
      <w:r>
        <w:rPr>
          <w:color w:val="231F20"/>
          <w:w w:val="105"/>
        </w:rPr>
        <w:t>caso).</w:t>
      </w:r>
      <w:r>
        <w:rPr>
          <w:color w:val="231F20"/>
          <w:spacing w:val="-35"/>
          <w:w w:val="105"/>
        </w:rPr>
        <w:t> </w:t>
      </w:r>
      <w:r>
        <w:rPr>
          <w:color w:val="231F20"/>
          <w:w w:val="105"/>
        </w:rPr>
        <w:t>En</w:t>
      </w:r>
      <w:r>
        <w:rPr>
          <w:color w:val="231F20"/>
          <w:spacing w:val="-32"/>
          <w:w w:val="105"/>
        </w:rPr>
        <w:t> </w:t>
      </w:r>
      <w:r>
        <w:rPr>
          <w:color w:val="231F20"/>
          <w:w w:val="105"/>
        </w:rPr>
        <w:t>Estados</w:t>
      </w:r>
      <w:r>
        <w:rPr>
          <w:color w:val="231F20"/>
          <w:spacing w:val="-32"/>
          <w:w w:val="105"/>
        </w:rPr>
        <w:t> </w:t>
      </w:r>
      <w:r>
        <w:rPr>
          <w:color w:val="231F20"/>
          <w:w w:val="105"/>
        </w:rPr>
        <w:t>Unidos</w:t>
      </w:r>
      <w:r>
        <w:rPr>
          <w:color w:val="231F20"/>
          <w:spacing w:val="-32"/>
          <w:w w:val="105"/>
        </w:rPr>
        <w:t> </w:t>
      </w:r>
      <w:r>
        <w:rPr>
          <w:color w:val="231F20"/>
          <w:w w:val="105"/>
        </w:rPr>
        <w:t>es</w:t>
      </w:r>
      <w:r>
        <w:rPr>
          <w:color w:val="231F20"/>
          <w:spacing w:val="-32"/>
          <w:w w:val="105"/>
        </w:rPr>
        <w:t> </w:t>
      </w:r>
      <w:r>
        <w:rPr>
          <w:color w:val="231F20"/>
          <w:w w:val="105"/>
        </w:rPr>
        <w:t>común</w:t>
      </w:r>
      <w:r>
        <w:rPr>
          <w:color w:val="231F20"/>
          <w:spacing w:val="-32"/>
          <w:w w:val="105"/>
        </w:rPr>
        <w:t> </w:t>
      </w:r>
      <w:r>
        <w:rPr>
          <w:color w:val="231F20"/>
          <w:w w:val="105"/>
        </w:rPr>
        <w:t>que</w:t>
      </w:r>
      <w:r>
        <w:rPr>
          <w:color w:val="231F20"/>
          <w:spacing w:val="-32"/>
          <w:w w:val="105"/>
        </w:rPr>
        <w:t> </w:t>
      </w:r>
      <w:r>
        <w:rPr>
          <w:color w:val="231F20"/>
          <w:w w:val="105"/>
        </w:rPr>
        <w:t>se</w:t>
      </w:r>
      <w:r>
        <w:rPr>
          <w:color w:val="231F20"/>
          <w:spacing w:val="-32"/>
          <w:w w:val="105"/>
        </w:rPr>
        <w:t> </w:t>
      </w:r>
      <w:r>
        <w:rPr>
          <w:color w:val="231F20"/>
          <w:w w:val="105"/>
        </w:rPr>
        <w:t>realicen</w:t>
      </w:r>
      <w:r>
        <w:rPr>
          <w:color w:val="231F20"/>
          <w:spacing w:val="-32"/>
          <w:w w:val="105"/>
        </w:rPr>
        <w:t> </w:t>
      </w:r>
      <w:r>
        <w:rPr>
          <w:color w:val="231F20"/>
          <w:w w:val="105"/>
        </w:rPr>
        <w:t>inves- tigaciones</w:t>
      </w:r>
      <w:r>
        <w:rPr>
          <w:color w:val="231F20"/>
          <w:spacing w:val="-33"/>
          <w:w w:val="105"/>
        </w:rPr>
        <w:t> </w:t>
      </w:r>
      <w:r>
        <w:rPr>
          <w:color w:val="231F20"/>
          <w:w w:val="105"/>
        </w:rPr>
        <w:t>con</w:t>
      </w:r>
      <w:r>
        <w:rPr>
          <w:color w:val="231F20"/>
          <w:spacing w:val="-33"/>
          <w:w w:val="105"/>
        </w:rPr>
        <w:t> </w:t>
      </w:r>
      <w:r>
        <w:rPr>
          <w:color w:val="231F20"/>
          <w:w w:val="105"/>
        </w:rPr>
        <w:t>encuestas</w:t>
      </w:r>
      <w:r>
        <w:rPr>
          <w:color w:val="231F20"/>
          <w:spacing w:val="-33"/>
          <w:w w:val="105"/>
        </w:rPr>
        <w:t> </w:t>
      </w:r>
      <w:r>
        <w:rPr>
          <w:color w:val="231F20"/>
          <w:w w:val="105"/>
        </w:rPr>
        <w:t>a</w:t>
      </w:r>
      <w:r>
        <w:rPr>
          <w:color w:val="231F20"/>
          <w:spacing w:val="-33"/>
          <w:w w:val="105"/>
        </w:rPr>
        <w:t> </w:t>
      </w:r>
      <w:r>
        <w:rPr>
          <w:color w:val="231F20"/>
          <w:w w:val="105"/>
        </w:rPr>
        <w:t>gran</w:t>
      </w:r>
      <w:r>
        <w:rPr>
          <w:color w:val="231F20"/>
          <w:spacing w:val="-33"/>
          <w:w w:val="105"/>
        </w:rPr>
        <w:t> </w:t>
      </w:r>
      <w:r>
        <w:rPr>
          <w:color w:val="231F20"/>
          <w:w w:val="105"/>
        </w:rPr>
        <w:t>escala</w:t>
      </w:r>
      <w:r>
        <w:rPr>
          <w:color w:val="231F20"/>
          <w:spacing w:val="-33"/>
          <w:w w:val="105"/>
        </w:rPr>
        <w:t> </w:t>
      </w:r>
      <w:r>
        <w:rPr>
          <w:color w:val="231F20"/>
          <w:w w:val="105"/>
        </w:rPr>
        <w:t>a</w:t>
      </w:r>
      <w:r>
        <w:rPr>
          <w:color w:val="231F20"/>
          <w:spacing w:val="-33"/>
          <w:w w:val="105"/>
        </w:rPr>
        <w:t> </w:t>
      </w:r>
      <w:r>
        <w:rPr>
          <w:color w:val="231F20"/>
          <w:w w:val="105"/>
        </w:rPr>
        <w:t>las</w:t>
      </w:r>
      <w:r>
        <w:rPr>
          <w:color w:val="231F20"/>
          <w:spacing w:val="-33"/>
          <w:w w:val="105"/>
        </w:rPr>
        <w:t> </w:t>
      </w:r>
      <w:r>
        <w:rPr>
          <w:color w:val="231F20"/>
          <w:w w:val="105"/>
        </w:rPr>
        <w:t>que</w:t>
      </w:r>
      <w:r>
        <w:rPr>
          <w:color w:val="231F20"/>
          <w:spacing w:val="-33"/>
          <w:w w:val="105"/>
        </w:rPr>
        <w:t> </w:t>
      </w:r>
      <w:r>
        <w:rPr>
          <w:color w:val="231F20"/>
          <w:w w:val="105"/>
        </w:rPr>
        <w:t>los</w:t>
      </w:r>
      <w:r>
        <w:rPr>
          <w:color w:val="231F20"/>
          <w:spacing w:val="-33"/>
          <w:w w:val="105"/>
        </w:rPr>
        <w:t> </w:t>
      </w:r>
      <w:r>
        <w:rPr>
          <w:color w:val="231F20"/>
          <w:w w:val="105"/>
        </w:rPr>
        <w:t>involucrados</w:t>
      </w:r>
      <w:r>
        <w:rPr>
          <w:color w:val="231F20"/>
          <w:spacing w:val="-33"/>
          <w:w w:val="105"/>
        </w:rPr>
        <w:t> </w:t>
      </w:r>
      <w:r>
        <w:rPr>
          <w:color w:val="231F20"/>
          <w:w w:val="105"/>
        </w:rPr>
        <w:t>respon- den</w:t>
      </w:r>
      <w:r>
        <w:rPr>
          <w:color w:val="231F20"/>
          <w:spacing w:val="-16"/>
          <w:w w:val="105"/>
        </w:rPr>
        <w:t> </w:t>
      </w:r>
      <w:r>
        <w:rPr>
          <w:color w:val="231F20"/>
          <w:w w:val="105"/>
        </w:rPr>
        <w:t>vía</w:t>
      </w:r>
      <w:r>
        <w:rPr>
          <w:color w:val="231F20"/>
          <w:spacing w:val="-16"/>
          <w:w w:val="105"/>
        </w:rPr>
        <w:t> </w:t>
      </w:r>
      <w:r>
        <w:rPr>
          <w:color w:val="231F20"/>
          <w:w w:val="105"/>
        </w:rPr>
        <w:t>correo</w:t>
      </w:r>
      <w:r>
        <w:rPr>
          <w:color w:val="231F20"/>
          <w:spacing w:val="-16"/>
          <w:w w:val="105"/>
        </w:rPr>
        <w:t> </w:t>
      </w:r>
      <w:r>
        <w:rPr>
          <w:color w:val="231F20"/>
          <w:w w:val="105"/>
        </w:rPr>
        <w:t>postal</w:t>
      </w:r>
      <w:r>
        <w:rPr>
          <w:color w:val="231F20"/>
          <w:spacing w:val="-16"/>
          <w:w w:val="105"/>
        </w:rPr>
        <w:t> </w:t>
      </w:r>
      <w:r>
        <w:rPr>
          <w:color w:val="231F20"/>
          <w:w w:val="105"/>
        </w:rPr>
        <w:t>–o</w:t>
      </w:r>
      <w:r>
        <w:rPr>
          <w:color w:val="231F20"/>
          <w:spacing w:val="-16"/>
          <w:w w:val="105"/>
        </w:rPr>
        <w:t> </w:t>
      </w:r>
      <w:r>
        <w:rPr>
          <w:color w:val="231F20"/>
          <w:w w:val="105"/>
        </w:rPr>
        <w:t>electrónico.</w:t>
      </w:r>
      <w:r>
        <w:rPr>
          <w:color w:val="231F20"/>
          <w:spacing w:val="-22"/>
          <w:w w:val="105"/>
        </w:rPr>
        <w:t> </w:t>
      </w:r>
      <w:r>
        <w:rPr>
          <w:color w:val="231F20"/>
          <w:w w:val="105"/>
        </w:rPr>
        <w:t>En</w:t>
      </w:r>
      <w:r>
        <w:rPr>
          <w:color w:val="231F20"/>
          <w:spacing w:val="-16"/>
          <w:w w:val="105"/>
        </w:rPr>
        <w:t> </w:t>
      </w:r>
      <w:r>
        <w:rPr>
          <w:color w:val="231F20"/>
          <w:w w:val="105"/>
        </w:rPr>
        <w:t>México,</w:t>
      </w:r>
      <w:r>
        <w:rPr>
          <w:color w:val="231F20"/>
          <w:spacing w:val="-22"/>
          <w:w w:val="105"/>
        </w:rPr>
        <w:t> </w:t>
      </w:r>
      <w:r>
        <w:rPr>
          <w:color w:val="231F20"/>
          <w:w w:val="105"/>
        </w:rPr>
        <w:t>este</w:t>
      </w:r>
      <w:r>
        <w:rPr>
          <w:color w:val="231F20"/>
          <w:spacing w:val="-16"/>
          <w:w w:val="105"/>
        </w:rPr>
        <w:t> </w:t>
      </w:r>
      <w:r>
        <w:rPr>
          <w:color w:val="231F20"/>
          <w:w w:val="105"/>
        </w:rPr>
        <w:t>tipo</w:t>
      </w:r>
      <w:r>
        <w:rPr>
          <w:color w:val="231F20"/>
          <w:spacing w:val="-16"/>
          <w:w w:val="105"/>
        </w:rPr>
        <w:t> </w:t>
      </w:r>
      <w:r>
        <w:rPr>
          <w:color w:val="231F20"/>
          <w:w w:val="105"/>
        </w:rPr>
        <w:t>de</w:t>
      </w:r>
      <w:r>
        <w:rPr>
          <w:color w:val="231F20"/>
          <w:spacing w:val="-16"/>
          <w:w w:val="105"/>
        </w:rPr>
        <w:t> </w:t>
      </w:r>
      <w:r>
        <w:rPr>
          <w:color w:val="231F20"/>
          <w:w w:val="105"/>
        </w:rPr>
        <w:t>alternativas es más complicado pues la gente no tenemos mucho la costumbre de responder a cuestionarios por correo postal (esta probabilidad es aún menor</w:t>
      </w:r>
      <w:r>
        <w:rPr>
          <w:color w:val="231F20"/>
          <w:spacing w:val="-9"/>
          <w:w w:val="105"/>
        </w:rPr>
        <w:t> </w:t>
      </w:r>
      <w:r>
        <w:rPr>
          <w:color w:val="231F20"/>
          <w:w w:val="105"/>
        </w:rPr>
        <w:t>entre</w:t>
      </w:r>
      <w:r>
        <w:rPr>
          <w:color w:val="231F20"/>
          <w:spacing w:val="-9"/>
          <w:w w:val="105"/>
        </w:rPr>
        <w:t> </w:t>
      </w:r>
      <w:r>
        <w:rPr>
          <w:color w:val="231F20"/>
          <w:w w:val="105"/>
        </w:rPr>
        <w:t>los</w:t>
      </w:r>
      <w:r>
        <w:rPr>
          <w:color w:val="231F20"/>
          <w:spacing w:val="-9"/>
          <w:w w:val="105"/>
        </w:rPr>
        <w:t> </w:t>
      </w:r>
      <w:r>
        <w:rPr>
          <w:color w:val="231F20"/>
          <w:w w:val="105"/>
        </w:rPr>
        <w:t>ejecutivos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empresas),</w:t>
      </w:r>
      <w:r>
        <w:rPr>
          <w:color w:val="231F20"/>
          <w:spacing w:val="-14"/>
          <w:w w:val="105"/>
        </w:rPr>
        <w:t> </w:t>
      </w:r>
      <w:r>
        <w:rPr>
          <w:color w:val="231F20"/>
          <w:w w:val="105"/>
        </w:rPr>
        <w:t>además</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servicio es más caro, más complicado y menos confiable que el de los</w:t>
      </w:r>
      <w:r>
        <w:rPr>
          <w:color w:val="231F20"/>
          <w:spacing w:val="-16"/>
          <w:w w:val="105"/>
        </w:rPr>
        <w:t> </w:t>
      </w:r>
      <w:r>
        <w:rPr>
          <w:color w:val="231F20"/>
          <w:w w:val="105"/>
        </w:rPr>
        <w:t>Estados Unidos o el de los países europeos. Cuando se llevan a cabo estudios internacionales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involucra</w:t>
      </w:r>
      <w:r>
        <w:rPr>
          <w:color w:val="231F20"/>
          <w:spacing w:val="-8"/>
          <w:w w:val="105"/>
        </w:rPr>
        <w:t> </w:t>
      </w:r>
      <w:r>
        <w:rPr>
          <w:color w:val="231F20"/>
          <w:w w:val="105"/>
        </w:rPr>
        <w:t>a</w:t>
      </w:r>
      <w:r>
        <w:rPr>
          <w:color w:val="231F20"/>
          <w:spacing w:val="-8"/>
          <w:w w:val="105"/>
        </w:rPr>
        <w:t> </w:t>
      </w:r>
      <w:r>
        <w:rPr>
          <w:color w:val="231F20"/>
          <w:w w:val="105"/>
        </w:rPr>
        <w:t>empresas</w:t>
      </w:r>
      <w:r>
        <w:rPr>
          <w:color w:val="231F20"/>
          <w:spacing w:val="-8"/>
          <w:w w:val="105"/>
        </w:rPr>
        <w:t> </w:t>
      </w:r>
      <w:r>
        <w:rPr>
          <w:color w:val="231F20"/>
          <w:w w:val="105"/>
        </w:rPr>
        <w:t>mexicanas,</w:t>
      </w:r>
      <w:r>
        <w:rPr>
          <w:color w:val="231F20"/>
          <w:spacing w:val="-13"/>
          <w:w w:val="105"/>
        </w:rPr>
        <w:t> </w:t>
      </w:r>
      <w:r>
        <w:rPr>
          <w:color w:val="231F20"/>
          <w:w w:val="105"/>
        </w:rPr>
        <w:t>mientras que</w:t>
      </w:r>
      <w:r>
        <w:rPr>
          <w:color w:val="231F20"/>
          <w:spacing w:val="-17"/>
          <w:w w:val="105"/>
        </w:rPr>
        <w:t> </w:t>
      </w:r>
      <w:r>
        <w:rPr>
          <w:color w:val="231F20"/>
          <w:w w:val="105"/>
        </w:rPr>
        <w:t>en</w:t>
      </w:r>
      <w:r>
        <w:rPr>
          <w:color w:val="231F20"/>
          <w:spacing w:val="-17"/>
          <w:w w:val="105"/>
        </w:rPr>
        <w:t> </w:t>
      </w:r>
      <w:r>
        <w:rPr>
          <w:color w:val="231F20"/>
          <w:w w:val="105"/>
        </w:rPr>
        <w:t>otros</w:t>
      </w:r>
      <w:r>
        <w:rPr>
          <w:color w:val="231F20"/>
          <w:spacing w:val="-17"/>
          <w:w w:val="105"/>
        </w:rPr>
        <w:t> </w:t>
      </w:r>
      <w:r>
        <w:rPr>
          <w:color w:val="231F20"/>
          <w:w w:val="105"/>
        </w:rPr>
        <w:t>países</w:t>
      </w:r>
      <w:r>
        <w:rPr>
          <w:color w:val="231F20"/>
          <w:spacing w:val="-17"/>
          <w:w w:val="105"/>
        </w:rPr>
        <w:t> </w:t>
      </w:r>
      <w:r>
        <w:rPr>
          <w:color w:val="231F20"/>
          <w:w w:val="105"/>
        </w:rPr>
        <w:t>la</w:t>
      </w:r>
      <w:r>
        <w:rPr>
          <w:color w:val="231F20"/>
          <w:spacing w:val="-17"/>
          <w:w w:val="105"/>
        </w:rPr>
        <w:t> </w:t>
      </w:r>
      <w:r>
        <w:rPr>
          <w:color w:val="231F20"/>
          <w:w w:val="105"/>
        </w:rPr>
        <w:t>encuesta</w:t>
      </w:r>
      <w:r>
        <w:rPr>
          <w:color w:val="231F20"/>
          <w:spacing w:val="-17"/>
          <w:w w:val="105"/>
        </w:rPr>
        <w:t> </w:t>
      </w:r>
      <w:r>
        <w:rPr>
          <w:color w:val="231F20"/>
          <w:w w:val="105"/>
        </w:rPr>
        <w:t>se</w:t>
      </w:r>
      <w:r>
        <w:rPr>
          <w:color w:val="231F20"/>
          <w:spacing w:val="-17"/>
          <w:w w:val="105"/>
        </w:rPr>
        <w:t> </w:t>
      </w:r>
      <w:r>
        <w:rPr>
          <w:color w:val="231F20"/>
          <w:w w:val="105"/>
        </w:rPr>
        <w:t>hace</w:t>
      </w:r>
      <w:r>
        <w:rPr>
          <w:color w:val="231F20"/>
          <w:spacing w:val="-17"/>
          <w:w w:val="105"/>
        </w:rPr>
        <w:t> </w:t>
      </w:r>
      <w:r>
        <w:rPr>
          <w:color w:val="231F20"/>
          <w:w w:val="105"/>
        </w:rPr>
        <w:t>por</w:t>
      </w:r>
      <w:r>
        <w:rPr>
          <w:color w:val="231F20"/>
          <w:spacing w:val="-17"/>
          <w:w w:val="105"/>
        </w:rPr>
        <w:t> </w:t>
      </w:r>
      <w:r>
        <w:rPr>
          <w:color w:val="231F20"/>
          <w:w w:val="105"/>
        </w:rPr>
        <w:t>correo,</w:t>
      </w:r>
      <w:r>
        <w:rPr>
          <w:color w:val="231F20"/>
          <w:spacing w:val="-22"/>
          <w:w w:val="105"/>
        </w:rPr>
        <w:t> </w:t>
      </w:r>
      <w:r>
        <w:rPr>
          <w:color w:val="231F20"/>
          <w:w w:val="105"/>
        </w:rPr>
        <w:t>en</w:t>
      </w:r>
      <w:r>
        <w:rPr>
          <w:color w:val="231F20"/>
          <w:spacing w:val="-17"/>
          <w:w w:val="105"/>
        </w:rPr>
        <w:t> </w:t>
      </w:r>
      <w:r>
        <w:rPr>
          <w:color w:val="231F20"/>
          <w:w w:val="105"/>
        </w:rPr>
        <w:t>México</w:t>
      </w:r>
      <w:r>
        <w:rPr>
          <w:color w:val="231F20"/>
          <w:spacing w:val="-17"/>
          <w:w w:val="105"/>
        </w:rPr>
        <w:t> </w:t>
      </w:r>
      <w:r>
        <w:rPr>
          <w:color w:val="231F20"/>
          <w:w w:val="105"/>
        </w:rPr>
        <w:t>se</w:t>
      </w:r>
      <w:r>
        <w:rPr>
          <w:color w:val="231F20"/>
          <w:spacing w:val="-17"/>
          <w:w w:val="105"/>
        </w:rPr>
        <w:t> </w:t>
      </w:r>
      <w:r>
        <w:rPr>
          <w:color w:val="231F20"/>
          <w:w w:val="105"/>
        </w:rPr>
        <w:t>deben tomar</w:t>
      </w:r>
      <w:r>
        <w:rPr>
          <w:color w:val="231F20"/>
          <w:spacing w:val="-41"/>
          <w:w w:val="105"/>
        </w:rPr>
        <w:t> </w:t>
      </w:r>
      <w:r>
        <w:rPr>
          <w:color w:val="231F20"/>
          <w:w w:val="105"/>
        </w:rPr>
        <w:t>otras</w:t>
      </w:r>
      <w:r>
        <w:rPr>
          <w:color w:val="231F20"/>
          <w:spacing w:val="-41"/>
          <w:w w:val="105"/>
        </w:rPr>
        <w:t> </w:t>
      </w:r>
      <w:r>
        <w:rPr>
          <w:color w:val="231F20"/>
          <w:w w:val="105"/>
        </w:rPr>
        <w:t>acciones</w:t>
      </w:r>
      <w:r>
        <w:rPr>
          <w:color w:val="231F20"/>
          <w:spacing w:val="-41"/>
          <w:w w:val="105"/>
        </w:rPr>
        <w:t> </w:t>
      </w:r>
      <w:r>
        <w:rPr>
          <w:color w:val="231F20"/>
          <w:w w:val="105"/>
        </w:rPr>
        <w:t>para</w:t>
      </w:r>
      <w:r>
        <w:rPr>
          <w:color w:val="231F20"/>
          <w:spacing w:val="-41"/>
          <w:w w:val="105"/>
        </w:rPr>
        <w:t> </w:t>
      </w:r>
      <w:r>
        <w:rPr>
          <w:color w:val="231F20"/>
          <w:w w:val="105"/>
        </w:rPr>
        <w:t>asegurar</w:t>
      </w:r>
      <w:r>
        <w:rPr>
          <w:color w:val="231F20"/>
          <w:spacing w:val="-41"/>
          <w:w w:val="105"/>
        </w:rPr>
        <w:t> </w:t>
      </w:r>
      <w:r>
        <w:rPr>
          <w:color w:val="231F20"/>
          <w:w w:val="105"/>
        </w:rPr>
        <w:t>una</w:t>
      </w:r>
      <w:r>
        <w:rPr>
          <w:color w:val="231F20"/>
          <w:spacing w:val="-41"/>
          <w:w w:val="105"/>
        </w:rPr>
        <w:t> </w:t>
      </w:r>
      <w:r>
        <w:rPr>
          <w:color w:val="231F20"/>
          <w:w w:val="105"/>
        </w:rPr>
        <w:t>tasa</w:t>
      </w:r>
      <w:r>
        <w:rPr>
          <w:color w:val="231F20"/>
          <w:spacing w:val="-41"/>
          <w:w w:val="105"/>
        </w:rPr>
        <w:t> </w:t>
      </w:r>
      <w:r>
        <w:rPr>
          <w:color w:val="231F20"/>
          <w:w w:val="105"/>
        </w:rPr>
        <w:t>de</w:t>
      </w:r>
      <w:r>
        <w:rPr>
          <w:color w:val="231F20"/>
          <w:spacing w:val="-41"/>
          <w:w w:val="105"/>
        </w:rPr>
        <w:t> </w:t>
      </w:r>
      <w:r>
        <w:rPr>
          <w:color w:val="231F20"/>
          <w:w w:val="105"/>
        </w:rPr>
        <w:t>respuesta</w:t>
      </w:r>
      <w:r>
        <w:rPr>
          <w:color w:val="231F20"/>
          <w:spacing w:val="-41"/>
          <w:w w:val="105"/>
        </w:rPr>
        <w:t> </w:t>
      </w:r>
      <w:r>
        <w:rPr>
          <w:color w:val="231F20"/>
          <w:w w:val="105"/>
        </w:rPr>
        <w:t>razonable</w:t>
      </w:r>
      <w:r>
        <w:rPr>
          <w:color w:val="231F20"/>
          <w:spacing w:val="-41"/>
          <w:w w:val="105"/>
        </w:rPr>
        <w:t> </w:t>
      </w:r>
      <w:r>
        <w:rPr>
          <w:color w:val="231F20"/>
          <w:w w:val="105"/>
        </w:rPr>
        <w:t>(véa- se</w:t>
      </w:r>
      <w:r>
        <w:rPr>
          <w:color w:val="231F20"/>
          <w:spacing w:val="-22"/>
          <w:w w:val="105"/>
        </w:rPr>
        <w:t> </w:t>
      </w:r>
      <w:r>
        <w:rPr>
          <w:color w:val="231F20"/>
          <w:w w:val="105"/>
        </w:rPr>
        <w:t>como</w:t>
      </w:r>
      <w:r>
        <w:rPr>
          <w:color w:val="231F20"/>
          <w:spacing w:val="-22"/>
          <w:w w:val="105"/>
        </w:rPr>
        <w:t> </w:t>
      </w:r>
      <w:r>
        <w:rPr>
          <w:color w:val="231F20"/>
          <w:w w:val="105"/>
        </w:rPr>
        <w:t>buen</w:t>
      </w:r>
      <w:r>
        <w:rPr>
          <w:color w:val="231F20"/>
          <w:spacing w:val="-22"/>
          <w:w w:val="105"/>
        </w:rPr>
        <w:t> </w:t>
      </w:r>
      <w:r>
        <w:rPr>
          <w:color w:val="231F20"/>
          <w:w w:val="105"/>
        </w:rPr>
        <w:t>ejemplo</w:t>
      </w:r>
      <w:r>
        <w:rPr>
          <w:color w:val="231F20"/>
          <w:spacing w:val="-22"/>
          <w:w w:val="105"/>
        </w:rPr>
        <w:t> </w:t>
      </w:r>
      <w:r>
        <w:rPr>
          <w:color w:val="231F20"/>
          <w:w w:val="105"/>
        </w:rPr>
        <w:t>a</w:t>
      </w:r>
      <w:r>
        <w:rPr>
          <w:color w:val="231F20"/>
          <w:spacing w:val="-22"/>
          <w:w w:val="105"/>
        </w:rPr>
        <w:t> </w:t>
      </w:r>
      <w:r>
        <w:rPr>
          <w:color w:val="231F20"/>
          <w:w w:val="105"/>
        </w:rPr>
        <w:t>Hitt,</w:t>
      </w:r>
      <w:r>
        <w:rPr>
          <w:color w:val="231F20"/>
          <w:spacing w:val="-27"/>
          <w:w w:val="105"/>
        </w:rPr>
        <w:t> </w:t>
      </w:r>
      <w:r>
        <w:rPr>
          <w:color w:val="231F20"/>
          <w:w w:val="105"/>
        </w:rPr>
        <w:t>Dacin,</w:t>
      </w:r>
      <w:r>
        <w:rPr>
          <w:color w:val="231F20"/>
          <w:spacing w:val="-27"/>
          <w:w w:val="105"/>
        </w:rPr>
        <w:t> </w:t>
      </w:r>
      <w:r>
        <w:rPr>
          <w:color w:val="231F20"/>
          <w:w w:val="105"/>
        </w:rPr>
        <w:t>Levitas,</w:t>
      </w:r>
      <w:r>
        <w:rPr>
          <w:color w:val="231F20"/>
          <w:spacing w:val="-30"/>
          <w:w w:val="105"/>
        </w:rPr>
        <w:t> </w:t>
      </w:r>
      <w:r>
        <w:rPr>
          <w:color w:val="231F20"/>
          <w:w w:val="105"/>
        </w:rPr>
        <w:t>Arregle</w:t>
      </w:r>
      <w:r>
        <w:rPr>
          <w:color w:val="231F20"/>
          <w:spacing w:val="-22"/>
          <w:w w:val="105"/>
        </w:rPr>
        <w:t> </w:t>
      </w:r>
      <w:r>
        <w:rPr>
          <w:color w:val="231F20"/>
          <w:w w:val="105"/>
        </w:rPr>
        <w:t>y</w:t>
      </w:r>
      <w:r>
        <w:rPr>
          <w:color w:val="231F20"/>
          <w:spacing w:val="-22"/>
          <w:w w:val="105"/>
        </w:rPr>
        <w:t> </w:t>
      </w:r>
      <w:r>
        <w:rPr>
          <w:color w:val="231F20"/>
          <w:w w:val="105"/>
        </w:rPr>
        <w:t>Borza,</w:t>
      </w:r>
      <w:r>
        <w:rPr>
          <w:color w:val="231F20"/>
          <w:spacing w:val="-27"/>
          <w:w w:val="105"/>
        </w:rPr>
        <w:t> </w:t>
      </w:r>
      <w:r>
        <w:rPr>
          <w:color w:val="231F20"/>
          <w:w w:val="105"/>
        </w:rPr>
        <w:t>2000).</w:t>
      </w:r>
    </w:p>
    <w:p>
      <w:pPr>
        <w:pStyle w:val="BodyText"/>
        <w:spacing w:line="259" w:lineRule="auto"/>
        <w:ind w:left="103" w:right="115" w:firstLine="567"/>
        <w:jc w:val="both"/>
      </w:pPr>
      <w:r>
        <w:rPr>
          <w:color w:val="231F20"/>
          <w:w w:val="105"/>
        </w:rPr>
        <w:t>Una</w:t>
      </w:r>
      <w:r>
        <w:rPr>
          <w:color w:val="231F20"/>
          <w:spacing w:val="-7"/>
          <w:w w:val="105"/>
        </w:rPr>
        <w:t> </w:t>
      </w:r>
      <w:r>
        <w:rPr>
          <w:color w:val="231F20"/>
          <w:w w:val="105"/>
        </w:rPr>
        <w:t>alternativa</w:t>
      </w:r>
      <w:r>
        <w:rPr>
          <w:color w:val="231F20"/>
          <w:spacing w:val="-7"/>
          <w:w w:val="105"/>
        </w:rPr>
        <w:t> </w:t>
      </w:r>
      <w:r>
        <w:rPr>
          <w:color w:val="231F20"/>
          <w:w w:val="105"/>
        </w:rPr>
        <w:t>aún</w:t>
      </w:r>
      <w:r>
        <w:rPr>
          <w:color w:val="231F20"/>
          <w:spacing w:val="-7"/>
          <w:w w:val="105"/>
        </w:rPr>
        <w:t> </w:t>
      </w:r>
      <w:r>
        <w:rPr>
          <w:color w:val="231F20"/>
          <w:w w:val="105"/>
        </w:rPr>
        <w:t>plausible</w:t>
      </w:r>
      <w:r>
        <w:rPr>
          <w:color w:val="231F20"/>
          <w:spacing w:val="-7"/>
          <w:w w:val="105"/>
        </w:rPr>
        <w:t> </w:t>
      </w:r>
      <w:r>
        <w:rPr>
          <w:color w:val="231F20"/>
          <w:w w:val="105"/>
        </w:rPr>
        <w:t>para</w:t>
      </w:r>
      <w:r>
        <w:rPr>
          <w:color w:val="231F20"/>
          <w:spacing w:val="-7"/>
          <w:w w:val="105"/>
        </w:rPr>
        <w:t> </w:t>
      </w:r>
      <w:r>
        <w:rPr>
          <w:color w:val="231F20"/>
          <w:w w:val="105"/>
        </w:rPr>
        <w:t>avanzar</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sobre el</w:t>
      </w:r>
      <w:r>
        <w:rPr>
          <w:color w:val="231F20"/>
          <w:spacing w:val="-6"/>
          <w:w w:val="105"/>
        </w:rPr>
        <w:t> </w:t>
      </w:r>
      <w:r>
        <w:rPr>
          <w:color w:val="231F20"/>
          <w:w w:val="105"/>
        </w:rPr>
        <w:t>área</w:t>
      </w:r>
      <w:r>
        <w:rPr>
          <w:color w:val="231F20"/>
          <w:spacing w:val="-6"/>
          <w:w w:val="105"/>
        </w:rPr>
        <w:t> </w:t>
      </w:r>
      <w:r>
        <w:rPr>
          <w:color w:val="231F20"/>
          <w:w w:val="105"/>
        </w:rPr>
        <w:t>son</w:t>
      </w:r>
      <w:r>
        <w:rPr>
          <w:color w:val="231F20"/>
          <w:spacing w:val="-6"/>
          <w:w w:val="105"/>
        </w:rPr>
        <w:t> </w:t>
      </w:r>
      <w:r>
        <w:rPr>
          <w:color w:val="231F20"/>
          <w:w w:val="105"/>
        </w:rPr>
        <w:t>los</w:t>
      </w:r>
      <w:r>
        <w:rPr>
          <w:color w:val="231F20"/>
          <w:spacing w:val="-6"/>
          <w:w w:val="105"/>
        </w:rPr>
        <w:t> </w:t>
      </w:r>
      <w:r>
        <w:rPr>
          <w:color w:val="231F20"/>
          <w:w w:val="105"/>
        </w:rPr>
        <w:t>estudios</w:t>
      </w:r>
      <w:r>
        <w:rPr>
          <w:color w:val="231F20"/>
          <w:spacing w:val="-6"/>
          <w:w w:val="105"/>
        </w:rPr>
        <w:t> </w:t>
      </w:r>
      <w:r>
        <w:rPr>
          <w:color w:val="231F20"/>
          <w:w w:val="105"/>
        </w:rPr>
        <w:t>de</w:t>
      </w:r>
      <w:r>
        <w:rPr>
          <w:color w:val="231F20"/>
          <w:spacing w:val="-6"/>
          <w:w w:val="105"/>
        </w:rPr>
        <w:t> </w:t>
      </w:r>
      <w:r>
        <w:rPr>
          <w:color w:val="231F20"/>
          <w:w w:val="105"/>
        </w:rPr>
        <w:t>caso</w:t>
      </w:r>
      <w:r>
        <w:rPr>
          <w:color w:val="231F20"/>
          <w:spacing w:val="-6"/>
          <w:w w:val="105"/>
        </w:rPr>
        <w:t> </w:t>
      </w:r>
      <w:r>
        <w:rPr>
          <w:color w:val="231F20"/>
          <w:w w:val="105"/>
        </w:rPr>
        <w:t>o</w:t>
      </w:r>
      <w:r>
        <w:rPr>
          <w:color w:val="231F20"/>
          <w:spacing w:val="-6"/>
          <w:w w:val="105"/>
        </w:rPr>
        <w:t> </w:t>
      </w:r>
      <w:r>
        <w:rPr>
          <w:color w:val="231F20"/>
          <w:w w:val="105"/>
        </w:rPr>
        <w:t>los</w:t>
      </w:r>
      <w:r>
        <w:rPr>
          <w:color w:val="231F20"/>
          <w:spacing w:val="-6"/>
          <w:w w:val="105"/>
        </w:rPr>
        <w:t> </w:t>
      </w:r>
      <w:r>
        <w:rPr>
          <w:color w:val="231F20"/>
          <w:w w:val="105"/>
        </w:rPr>
        <w:t>estudios</w:t>
      </w:r>
      <w:r>
        <w:rPr>
          <w:color w:val="231F20"/>
          <w:spacing w:val="-6"/>
          <w:w w:val="105"/>
        </w:rPr>
        <w:t> </w:t>
      </w:r>
      <w:r>
        <w:rPr>
          <w:color w:val="231F20"/>
          <w:w w:val="105"/>
        </w:rPr>
        <w:t>cualitativos</w:t>
      </w:r>
      <w:r>
        <w:rPr>
          <w:color w:val="231F20"/>
          <w:spacing w:val="-6"/>
          <w:w w:val="105"/>
        </w:rPr>
        <w:t> </w:t>
      </w:r>
      <w:r>
        <w:rPr>
          <w:color w:val="231F20"/>
          <w:w w:val="105"/>
        </w:rPr>
        <w:t>vía</w:t>
      </w:r>
      <w:r>
        <w:rPr>
          <w:color w:val="231F20"/>
          <w:spacing w:val="-6"/>
          <w:w w:val="105"/>
        </w:rPr>
        <w:t> </w:t>
      </w:r>
      <w:r>
        <w:rPr>
          <w:color w:val="231F20"/>
          <w:w w:val="105"/>
        </w:rPr>
        <w:t>entrevis-</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98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154</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80" w:lineRule="exact" w:before="61"/>
        <w:ind w:left="236" w:right="-4" w:firstLine="267"/>
        <w:jc w:val="left"/>
        <w:rPr>
          <w:rFonts w:ascii="Lucida Sans Unicode" w:hAnsi="Lucida Sans Unicode"/>
          <w:sz w:val="14"/>
        </w:rPr>
      </w:pPr>
      <w:r>
        <w:rPr/>
        <w:pict>
          <v:line style="position:absolute;mso-position-horizontal-relative:page;mso-position-vertical-relative:paragraph;z-index:5968" from="384.061005pt,-25.331028pt" to="384.061005pt,9.534822pt" stroked="true" strokeweight=".3pt" strokecolor="#231f20">
            <w10:wrap type="none"/>
          </v:line>
        </w:pict>
      </w:r>
      <w:r>
        <w:rPr>
          <w:rFonts w:ascii="Lucida Sans Unicode" w:hAnsi="Lucida Sans Unicode"/>
          <w:color w:val="6D6E71"/>
          <w:w w:val="83"/>
          <w:sz w:val="14"/>
        </w:rPr>
        <w:t>VI.</w:t>
      </w:r>
      <w:r>
        <w:rPr>
          <w:rFonts w:ascii="Lucida Sans Unicode" w:hAnsi="Lucida Sans Unicode"/>
          <w:color w:val="6D6E71"/>
          <w:spacing w:val="-6"/>
          <w:sz w:val="14"/>
        </w:rPr>
        <w:t> </w: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155</w:t>
      </w:r>
    </w:p>
    <w:p>
      <w:pPr>
        <w:spacing w:after="0"/>
        <w:jc w:val="left"/>
        <w:rPr>
          <w:sz w:val="20"/>
        </w:rPr>
        <w:sectPr>
          <w:type w:val="continuous"/>
          <w:pgSz w:w="9640" w:h="13890"/>
          <w:pgMar w:top="1300" w:bottom="280" w:left="1300" w:right="1200"/>
          <w:cols w:num="2" w:equalWidth="0">
            <w:col w:w="6261" w:space="141"/>
            <w:col w:w="738"/>
          </w:cols>
        </w:sectPr>
      </w:pPr>
    </w:p>
    <w:p>
      <w:pPr>
        <w:pStyle w:val="BodyText"/>
        <w:rPr>
          <w:sz w:val="20"/>
        </w:rPr>
      </w:pPr>
    </w:p>
    <w:p>
      <w:pPr>
        <w:pStyle w:val="BodyText"/>
        <w:spacing w:before="8"/>
        <w:rPr>
          <w:sz w:val="18"/>
        </w:rPr>
      </w:pPr>
    </w:p>
    <w:p>
      <w:pPr>
        <w:pStyle w:val="BodyText"/>
        <w:spacing w:line="259" w:lineRule="auto" w:before="57"/>
        <w:ind w:left="117" w:right="101"/>
        <w:jc w:val="both"/>
      </w:pPr>
      <w:r>
        <w:rPr>
          <w:color w:val="231F20"/>
          <w:w w:val="105"/>
        </w:rPr>
        <w:t>tas,</w:t>
      </w:r>
      <w:r>
        <w:rPr>
          <w:color w:val="231F20"/>
          <w:spacing w:val="-9"/>
          <w:w w:val="105"/>
        </w:rPr>
        <w:t> </w:t>
      </w:r>
      <w:r>
        <w:rPr>
          <w:color w:val="231F20"/>
          <w:w w:val="105"/>
        </w:rPr>
        <w:t>grupos</w:t>
      </w:r>
      <w:r>
        <w:rPr>
          <w:color w:val="231F20"/>
          <w:spacing w:val="-3"/>
          <w:w w:val="105"/>
        </w:rPr>
        <w:t> </w:t>
      </w:r>
      <w:r>
        <w:rPr>
          <w:color w:val="231F20"/>
          <w:w w:val="105"/>
        </w:rPr>
        <w:t>de</w:t>
      </w:r>
      <w:r>
        <w:rPr>
          <w:color w:val="231F20"/>
          <w:spacing w:val="-3"/>
          <w:w w:val="105"/>
        </w:rPr>
        <w:t> </w:t>
      </w:r>
      <w:r>
        <w:rPr>
          <w:color w:val="231F20"/>
          <w:w w:val="105"/>
        </w:rPr>
        <w:t>enfoque,</w:t>
      </w:r>
      <w:r>
        <w:rPr>
          <w:color w:val="231F20"/>
          <w:spacing w:val="-9"/>
          <w:w w:val="105"/>
        </w:rPr>
        <w:t> </w:t>
      </w:r>
      <w:r>
        <w:rPr>
          <w:color w:val="231F20"/>
          <w:w w:val="105"/>
        </w:rPr>
        <w:t>etc.</w:t>
      </w:r>
      <w:r>
        <w:rPr>
          <w:color w:val="231F20"/>
          <w:spacing w:val="-9"/>
          <w:w w:val="105"/>
        </w:rPr>
        <w:t> </w:t>
      </w:r>
      <w:r>
        <w:rPr>
          <w:color w:val="231F20"/>
          <w:w w:val="105"/>
        </w:rPr>
        <w:t>Sin</w:t>
      </w:r>
      <w:r>
        <w:rPr>
          <w:color w:val="231F20"/>
          <w:spacing w:val="-3"/>
          <w:w w:val="105"/>
        </w:rPr>
        <w:t> </w:t>
      </w:r>
      <w:r>
        <w:rPr>
          <w:color w:val="231F20"/>
          <w:w w:val="105"/>
        </w:rPr>
        <w:t>embargo,</w:t>
      </w:r>
      <w:r>
        <w:rPr>
          <w:color w:val="231F20"/>
          <w:spacing w:val="-9"/>
          <w:w w:val="105"/>
        </w:rPr>
        <w:t> </w:t>
      </w:r>
      <w:r>
        <w:rPr>
          <w:color w:val="231F20"/>
          <w:w w:val="105"/>
        </w:rPr>
        <w:t>el</w:t>
      </w:r>
      <w:r>
        <w:rPr>
          <w:color w:val="231F20"/>
          <w:spacing w:val="-3"/>
          <w:w w:val="105"/>
        </w:rPr>
        <w:t> </w:t>
      </w:r>
      <w:r>
        <w:rPr>
          <w:color w:val="231F20"/>
          <w:w w:val="105"/>
        </w:rPr>
        <w:t>empleo</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estudios</w:t>
      </w:r>
      <w:r>
        <w:rPr>
          <w:color w:val="231F20"/>
          <w:spacing w:val="-3"/>
          <w:w w:val="105"/>
        </w:rPr>
        <w:t> </w:t>
      </w:r>
      <w:r>
        <w:rPr>
          <w:color w:val="231F20"/>
          <w:w w:val="105"/>
        </w:rPr>
        <w:t>de caso</w:t>
      </w:r>
      <w:r>
        <w:rPr>
          <w:color w:val="231F20"/>
          <w:spacing w:val="-21"/>
          <w:w w:val="105"/>
        </w:rPr>
        <w:t> </w:t>
      </w:r>
      <w:r>
        <w:rPr>
          <w:color w:val="231F20"/>
          <w:w w:val="105"/>
        </w:rPr>
        <w:t>nos</w:t>
      </w:r>
      <w:r>
        <w:rPr>
          <w:color w:val="231F20"/>
          <w:spacing w:val="-21"/>
          <w:w w:val="105"/>
        </w:rPr>
        <w:t> </w:t>
      </w:r>
      <w:r>
        <w:rPr>
          <w:color w:val="231F20"/>
          <w:w w:val="105"/>
        </w:rPr>
        <w:t>lleva</w:t>
      </w:r>
      <w:r>
        <w:rPr>
          <w:color w:val="231F20"/>
          <w:spacing w:val="-21"/>
          <w:w w:val="105"/>
        </w:rPr>
        <w:t> </w:t>
      </w:r>
      <w:r>
        <w:rPr>
          <w:color w:val="231F20"/>
          <w:w w:val="105"/>
        </w:rPr>
        <w:t>de</w:t>
      </w:r>
      <w:r>
        <w:rPr>
          <w:color w:val="231F20"/>
          <w:spacing w:val="-21"/>
          <w:w w:val="105"/>
        </w:rPr>
        <w:t> </w:t>
      </w:r>
      <w:r>
        <w:rPr>
          <w:color w:val="231F20"/>
          <w:w w:val="105"/>
        </w:rPr>
        <w:t>regreso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línea</w:t>
      </w:r>
      <w:r>
        <w:rPr>
          <w:color w:val="231F20"/>
          <w:spacing w:val="-21"/>
          <w:w w:val="105"/>
        </w:rPr>
        <w:t> </w:t>
      </w:r>
      <w:r>
        <w:rPr>
          <w:color w:val="231F20"/>
          <w:w w:val="105"/>
        </w:rPr>
        <w:t>del</w:t>
      </w:r>
      <w:r>
        <w:rPr>
          <w:color w:val="231F20"/>
          <w:spacing w:val="-21"/>
          <w:w w:val="105"/>
        </w:rPr>
        <w:t> </w:t>
      </w:r>
      <w:r>
        <w:rPr>
          <w:color w:val="231F20"/>
          <w:w w:val="105"/>
        </w:rPr>
        <w:t>tiempo</w:t>
      </w:r>
      <w:r>
        <w:rPr>
          <w:color w:val="231F20"/>
          <w:spacing w:val="-21"/>
          <w:w w:val="105"/>
        </w:rPr>
        <w:t> </w:t>
      </w:r>
      <w:r>
        <w:rPr>
          <w:color w:val="231F20"/>
          <w:w w:val="105"/>
        </w:rPr>
        <w:t>a</w:t>
      </w:r>
      <w:r>
        <w:rPr>
          <w:color w:val="231F20"/>
          <w:spacing w:val="-21"/>
          <w:w w:val="105"/>
        </w:rPr>
        <w:t> </w:t>
      </w:r>
      <w:r>
        <w:rPr>
          <w:color w:val="231F20"/>
          <w:w w:val="105"/>
        </w:rPr>
        <w:t>documentar</w:t>
      </w:r>
      <w:r>
        <w:rPr>
          <w:color w:val="231F20"/>
          <w:spacing w:val="-21"/>
          <w:w w:val="105"/>
        </w:rPr>
        <w:t> </w:t>
      </w:r>
      <w:r>
        <w:rPr>
          <w:color w:val="231F20"/>
          <w:w w:val="105"/>
        </w:rPr>
        <w:t>anécdotas empresariales</w:t>
      </w:r>
      <w:r>
        <w:rPr>
          <w:color w:val="231F20"/>
          <w:spacing w:val="-20"/>
          <w:w w:val="105"/>
        </w:rPr>
        <w:t> </w:t>
      </w:r>
      <w:r>
        <w:rPr>
          <w:color w:val="231F20"/>
          <w:w w:val="105"/>
        </w:rPr>
        <w:t>que</w:t>
      </w:r>
      <w:r>
        <w:rPr>
          <w:color w:val="231F20"/>
          <w:spacing w:val="-20"/>
          <w:w w:val="105"/>
        </w:rPr>
        <w:t> </w:t>
      </w:r>
      <w:r>
        <w:rPr>
          <w:color w:val="231F20"/>
          <w:w w:val="105"/>
        </w:rPr>
        <w:t>difícilmente</w:t>
      </w:r>
      <w:r>
        <w:rPr>
          <w:color w:val="231F20"/>
          <w:spacing w:val="-20"/>
          <w:w w:val="105"/>
        </w:rPr>
        <w:t> </w:t>
      </w:r>
      <w:r>
        <w:rPr>
          <w:color w:val="231F20"/>
          <w:w w:val="105"/>
        </w:rPr>
        <w:t>adicionarán</w:t>
      </w:r>
      <w:r>
        <w:rPr>
          <w:color w:val="231F20"/>
          <w:spacing w:val="-20"/>
          <w:w w:val="105"/>
        </w:rPr>
        <w:t> </w:t>
      </w:r>
      <w:r>
        <w:rPr>
          <w:color w:val="231F20"/>
          <w:w w:val="105"/>
        </w:rPr>
        <w:t>algo</w:t>
      </w:r>
      <w:r>
        <w:rPr>
          <w:color w:val="231F20"/>
          <w:spacing w:val="-20"/>
          <w:w w:val="105"/>
        </w:rPr>
        <w:t> </w:t>
      </w:r>
      <w:r>
        <w:rPr>
          <w:color w:val="231F20"/>
          <w:w w:val="105"/>
        </w:rPr>
        <w:t>nuevo</w:t>
      </w:r>
      <w:r>
        <w:rPr>
          <w:color w:val="231F20"/>
          <w:spacing w:val="-20"/>
          <w:w w:val="105"/>
        </w:rPr>
        <w:t> </w:t>
      </w:r>
      <w:r>
        <w:rPr>
          <w:color w:val="231F20"/>
          <w:w w:val="105"/>
        </w:rPr>
        <w:t>a</w:t>
      </w:r>
      <w:r>
        <w:rPr>
          <w:color w:val="231F20"/>
          <w:spacing w:val="-20"/>
          <w:w w:val="105"/>
        </w:rPr>
        <w:t> </w:t>
      </w:r>
      <w:r>
        <w:rPr>
          <w:color w:val="231F20"/>
          <w:w w:val="105"/>
        </w:rPr>
        <w:t>lo</w:t>
      </w:r>
      <w:r>
        <w:rPr>
          <w:color w:val="231F20"/>
          <w:spacing w:val="-20"/>
          <w:w w:val="105"/>
        </w:rPr>
        <w:t> </w:t>
      </w:r>
      <w:r>
        <w:rPr>
          <w:color w:val="231F20"/>
          <w:w w:val="105"/>
        </w:rPr>
        <w:t>ya</w:t>
      </w:r>
      <w:r>
        <w:rPr>
          <w:color w:val="231F20"/>
          <w:spacing w:val="-20"/>
          <w:w w:val="105"/>
        </w:rPr>
        <w:t> </w:t>
      </w:r>
      <w:r>
        <w:rPr>
          <w:color w:val="231F20"/>
          <w:w w:val="105"/>
        </w:rPr>
        <w:t>documen- tado décadas atrás en otros contextos. </w:t>
      </w:r>
      <w:r>
        <w:rPr>
          <w:color w:val="231F20"/>
          <w:spacing w:val="-6"/>
          <w:w w:val="105"/>
        </w:rPr>
        <w:t>Por </w:t>
      </w:r>
      <w:r>
        <w:rPr>
          <w:color w:val="231F20"/>
          <w:w w:val="105"/>
        </w:rPr>
        <w:t>otro lado, los estudios cua- litativos a profundidad son difíciles de justificar a no ser que se tengan razones</w:t>
      </w:r>
      <w:r>
        <w:rPr>
          <w:color w:val="231F20"/>
          <w:spacing w:val="-37"/>
          <w:w w:val="105"/>
        </w:rPr>
        <w:t> </w:t>
      </w:r>
      <w:r>
        <w:rPr>
          <w:color w:val="231F20"/>
          <w:w w:val="105"/>
        </w:rPr>
        <w:t>teóricas</w:t>
      </w:r>
      <w:r>
        <w:rPr>
          <w:color w:val="231F20"/>
          <w:spacing w:val="-37"/>
          <w:w w:val="105"/>
        </w:rPr>
        <w:t> </w:t>
      </w:r>
      <w:r>
        <w:rPr>
          <w:color w:val="231F20"/>
          <w:w w:val="105"/>
        </w:rPr>
        <w:t>sólidas</w:t>
      </w:r>
      <w:r>
        <w:rPr>
          <w:color w:val="231F20"/>
          <w:spacing w:val="-37"/>
          <w:w w:val="105"/>
        </w:rPr>
        <w:t> </w:t>
      </w:r>
      <w:r>
        <w:rPr>
          <w:color w:val="231F20"/>
          <w:w w:val="105"/>
        </w:rPr>
        <w:t>para</w:t>
      </w:r>
      <w:r>
        <w:rPr>
          <w:color w:val="231F20"/>
          <w:spacing w:val="-37"/>
          <w:w w:val="105"/>
        </w:rPr>
        <w:t> </w:t>
      </w:r>
      <w:r>
        <w:rPr>
          <w:color w:val="231F20"/>
          <w:w w:val="105"/>
        </w:rPr>
        <w:t>tratar</w:t>
      </w:r>
      <w:r>
        <w:rPr>
          <w:color w:val="231F20"/>
          <w:spacing w:val="-37"/>
          <w:w w:val="105"/>
        </w:rPr>
        <w:t> </w:t>
      </w:r>
      <w:r>
        <w:rPr>
          <w:color w:val="231F20"/>
          <w:w w:val="105"/>
        </w:rPr>
        <w:t>de</w:t>
      </w:r>
      <w:r>
        <w:rPr>
          <w:color w:val="231F20"/>
          <w:spacing w:val="-37"/>
          <w:w w:val="105"/>
        </w:rPr>
        <w:t> </w:t>
      </w:r>
      <w:r>
        <w:rPr>
          <w:color w:val="231F20"/>
          <w:w w:val="105"/>
        </w:rPr>
        <w:t>construir</w:t>
      </w:r>
      <w:r>
        <w:rPr>
          <w:color w:val="231F20"/>
          <w:spacing w:val="-37"/>
          <w:w w:val="105"/>
        </w:rPr>
        <w:t> </w:t>
      </w:r>
      <w:r>
        <w:rPr>
          <w:color w:val="231F20"/>
          <w:w w:val="105"/>
        </w:rPr>
        <w:t>nuevas</w:t>
      </w:r>
      <w:r>
        <w:rPr>
          <w:color w:val="231F20"/>
          <w:spacing w:val="-37"/>
          <w:w w:val="105"/>
        </w:rPr>
        <w:t> </w:t>
      </w:r>
      <w:r>
        <w:rPr>
          <w:color w:val="231F20"/>
          <w:w w:val="105"/>
        </w:rPr>
        <w:t>explicaciones</w:t>
      </w:r>
      <w:r>
        <w:rPr>
          <w:color w:val="231F20"/>
          <w:spacing w:val="-37"/>
          <w:w w:val="105"/>
        </w:rPr>
        <w:t> </w:t>
      </w:r>
      <w:r>
        <w:rPr>
          <w:color w:val="231F20"/>
          <w:w w:val="105"/>
        </w:rPr>
        <w:t>que compitan</w:t>
      </w:r>
      <w:r>
        <w:rPr>
          <w:color w:val="231F20"/>
          <w:spacing w:val="-28"/>
          <w:w w:val="105"/>
        </w:rPr>
        <w:t> </w:t>
      </w:r>
      <w:r>
        <w:rPr>
          <w:color w:val="231F20"/>
          <w:w w:val="105"/>
        </w:rPr>
        <w:t>con</w:t>
      </w:r>
      <w:r>
        <w:rPr>
          <w:color w:val="231F20"/>
          <w:spacing w:val="-28"/>
          <w:w w:val="105"/>
        </w:rPr>
        <w:t> </w:t>
      </w:r>
      <w:r>
        <w:rPr>
          <w:color w:val="231F20"/>
          <w:w w:val="105"/>
        </w:rPr>
        <w:t>las</w:t>
      </w:r>
      <w:r>
        <w:rPr>
          <w:color w:val="231F20"/>
          <w:spacing w:val="-28"/>
          <w:w w:val="105"/>
        </w:rPr>
        <w:t> </w:t>
      </w:r>
      <w:r>
        <w:rPr>
          <w:color w:val="231F20"/>
          <w:w w:val="105"/>
        </w:rPr>
        <w:t>existentes,</w:t>
      </w:r>
      <w:r>
        <w:rPr>
          <w:color w:val="231F20"/>
          <w:spacing w:val="-34"/>
          <w:w w:val="105"/>
        </w:rPr>
        <w:t> </w:t>
      </w:r>
      <w:r>
        <w:rPr>
          <w:color w:val="231F20"/>
          <w:w w:val="105"/>
        </w:rPr>
        <w:t>o</w:t>
      </w:r>
      <w:r>
        <w:rPr>
          <w:color w:val="231F20"/>
          <w:spacing w:val="-28"/>
          <w:w w:val="105"/>
        </w:rPr>
        <w:t> </w:t>
      </w:r>
      <w:r>
        <w:rPr>
          <w:color w:val="231F20"/>
          <w:w w:val="105"/>
        </w:rPr>
        <w:t>bien</w:t>
      </w:r>
      <w:r>
        <w:rPr>
          <w:color w:val="231F20"/>
          <w:spacing w:val="-28"/>
          <w:w w:val="105"/>
        </w:rPr>
        <w:t> </w:t>
      </w:r>
      <w:r>
        <w:rPr>
          <w:color w:val="231F20"/>
          <w:w w:val="105"/>
        </w:rPr>
        <w:t>las</w:t>
      </w:r>
      <w:r>
        <w:rPr>
          <w:color w:val="231F20"/>
          <w:spacing w:val="-28"/>
          <w:w w:val="105"/>
        </w:rPr>
        <w:t> </w:t>
      </w:r>
      <w:r>
        <w:rPr>
          <w:color w:val="231F20"/>
          <w:w w:val="105"/>
        </w:rPr>
        <w:t>integren</w:t>
      </w:r>
      <w:r>
        <w:rPr>
          <w:color w:val="231F20"/>
          <w:spacing w:val="-28"/>
          <w:w w:val="105"/>
        </w:rPr>
        <w:t> </w:t>
      </w:r>
      <w:r>
        <w:rPr>
          <w:color w:val="231F20"/>
          <w:w w:val="105"/>
        </w:rPr>
        <w:t>o</w:t>
      </w:r>
      <w:r>
        <w:rPr>
          <w:color w:val="231F20"/>
          <w:spacing w:val="-28"/>
          <w:w w:val="105"/>
        </w:rPr>
        <w:t> </w:t>
      </w:r>
      <w:r>
        <w:rPr>
          <w:color w:val="231F20"/>
          <w:w w:val="105"/>
        </w:rPr>
        <w:t>las</w:t>
      </w:r>
      <w:r>
        <w:rPr>
          <w:color w:val="231F20"/>
          <w:spacing w:val="-28"/>
          <w:w w:val="105"/>
        </w:rPr>
        <w:t> </w:t>
      </w:r>
      <w:r>
        <w:rPr>
          <w:color w:val="231F20"/>
          <w:w w:val="105"/>
        </w:rPr>
        <w:t>complementen.</w:t>
      </w:r>
      <w:r>
        <w:rPr>
          <w:color w:val="231F20"/>
          <w:spacing w:val="-34"/>
          <w:w w:val="105"/>
        </w:rPr>
        <w:t> </w:t>
      </w:r>
      <w:r>
        <w:rPr>
          <w:color w:val="231F20"/>
          <w:w w:val="105"/>
        </w:rPr>
        <w:t>Esta labor</w:t>
      </w:r>
      <w:r>
        <w:rPr>
          <w:color w:val="231F20"/>
          <w:spacing w:val="-18"/>
          <w:w w:val="105"/>
        </w:rPr>
        <w:t> </w:t>
      </w:r>
      <w:r>
        <w:rPr>
          <w:color w:val="231F20"/>
          <w:w w:val="105"/>
        </w:rPr>
        <w:t>es,</w:t>
      </w:r>
      <w:r>
        <w:rPr>
          <w:color w:val="231F20"/>
          <w:spacing w:val="-24"/>
          <w:w w:val="105"/>
        </w:rPr>
        <w:t> </w:t>
      </w:r>
      <w:r>
        <w:rPr>
          <w:color w:val="231F20"/>
          <w:w w:val="105"/>
        </w:rPr>
        <w:t>sin</w:t>
      </w:r>
      <w:r>
        <w:rPr>
          <w:color w:val="231F20"/>
          <w:spacing w:val="-18"/>
          <w:w w:val="105"/>
        </w:rPr>
        <w:t> </w:t>
      </w:r>
      <w:r>
        <w:rPr>
          <w:color w:val="231F20"/>
          <w:w w:val="105"/>
        </w:rPr>
        <w:t>embargo,</w:t>
      </w:r>
      <w:r>
        <w:rPr>
          <w:color w:val="231F20"/>
          <w:spacing w:val="-24"/>
          <w:w w:val="105"/>
        </w:rPr>
        <w:t> </w:t>
      </w:r>
      <w:r>
        <w:rPr>
          <w:color w:val="231F20"/>
          <w:w w:val="105"/>
        </w:rPr>
        <w:t>para</w:t>
      </w:r>
      <w:r>
        <w:rPr>
          <w:color w:val="231F20"/>
          <w:spacing w:val="-18"/>
          <w:w w:val="105"/>
        </w:rPr>
        <w:t> </w:t>
      </w:r>
      <w:r>
        <w:rPr>
          <w:color w:val="231F20"/>
          <w:w w:val="105"/>
        </w:rPr>
        <w:t>nada</w:t>
      </w:r>
      <w:r>
        <w:rPr>
          <w:color w:val="231F20"/>
          <w:spacing w:val="-18"/>
          <w:w w:val="105"/>
        </w:rPr>
        <w:t> </w:t>
      </w:r>
      <w:r>
        <w:rPr>
          <w:color w:val="231F20"/>
          <w:w w:val="105"/>
        </w:rPr>
        <w:t>trivial.</w:t>
      </w:r>
    </w:p>
    <w:p>
      <w:pPr>
        <w:pStyle w:val="BodyText"/>
        <w:spacing w:line="259" w:lineRule="auto"/>
        <w:ind w:left="117" w:right="101" w:firstLine="567"/>
        <w:jc w:val="both"/>
      </w:pPr>
      <w:r>
        <w:rPr>
          <w:color w:val="231F20"/>
          <w:w w:val="105"/>
        </w:rPr>
        <w:t>En</w:t>
      </w:r>
      <w:r>
        <w:rPr>
          <w:color w:val="231F20"/>
          <w:spacing w:val="-25"/>
          <w:w w:val="105"/>
        </w:rPr>
        <w:t> </w:t>
      </w:r>
      <w:r>
        <w:rPr>
          <w:color w:val="231F20"/>
          <w:w w:val="105"/>
        </w:rPr>
        <w:t>suma,</w:t>
      </w:r>
      <w:r>
        <w:rPr>
          <w:color w:val="231F20"/>
          <w:spacing w:val="-29"/>
          <w:w w:val="105"/>
        </w:rPr>
        <w:t> </w:t>
      </w:r>
      <w:r>
        <w:rPr>
          <w:color w:val="231F20"/>
          <w:w w:val="105"/>
        </w:rPr>
        <w:t>lo</w:t>
      </w:r>
      <w:r>
        <w:rPr>
          <w:color w:val="231F20"/>
          <w:spacing w:val="-25"/>
          <w:w w:val="105"/>
        </w:rPr>
        <w:t> </w:t>
      </w:r>
      <w:r>
        <w:rPr>
          <w:color w:val="231F20"/>
          <w:w w:val="105"/>
        </w:rPr>
        <w:t>comentado</w:t>
      </w:r>
      <w:r>
        <w:rPr>
          <w:color w:val="231F20"/>
          <w:spacing w:val="-25"/>
          <w:w w:val="105"/>
        </w:rPr>
        <w:t> </w:t>
      </w:r>
      <w:r>
        <w:rPr>
          <w:color w:val="231F20"/>
          <w:w w:val="105"/>
        </w:rPr>
        <w:t>en</w:t>
      </w:r>
      <w:r>
        <w:rPr>
          <w:color w:val="231F20"/>
          <w:spacing w:val="-25"/>
          <w:w w:val="105"/>
        </w:rPr>
        <w:t> </w:t>
      </w:r>
      <w:r>
        <w:rPr>
          <w:color w:val="231F20"/>
          <w:w w:val="105"/>
        </w:rPr>
        <w:t>este</w:t>
      </w:r>
      <w:r>
        <w:rPr>
          <w:color w:val="231F20"/>
          <w:spacing w:val="-25"/>
          <w:w w:val="105"/>
        </w:rPr>
        <w:t> </w:t>
      </w:r>
      <w:r>
        <w:rPr>
          <w:color w:val="231F20"/>
          <w:w w:val="105"/>
        </w:rPr>
        <w:t>apartado</w:t>
      </w:r>
      <w:r>
        <w:rPr>
          <w:color w:val="231F20"/>
          <w:spacing w:val="-25"/>
          <w:w w:val="105"/>
        </w:rPr>
        <w:t> </w:t>
      </w:r>
      <w:r>
        <w:rPr>
          <w:color w:val="231F20"/>
          <w:w w:val="105"/>
        </w:rPr>
        <w:t>son</w:t>
      </w:r>
      <w:r>
        <w:rPr>
          <w:color w:val="231F20"/>
          <w:spacing w:val="-25"/>
          <w:w w:val="105"/>
        </w:rPr>
        <w:t> </w:t>
      </w:r>
      <w:r>
        <w:rPr>
          <w:color w:val="231F20"/>
          <w:w w:val="105"/>
        </w:rPr>
        <w:t>sólo</w:t>
      </w:r>
      <w:r>
        <w:rPr>
          <w:color w:val="231F20"/>
          <w:spacing w:val="-25"/>
          <w:w w:val="105"/>
        </w:rPr>
        <w:t> </w:t>
      </w:r>
      <w:r>
        <w:rPr>
          <w:color w:val="231F20"/>
          <w:w w:val="105"/>
        </w:rPr>
        <w:t>algunas</w:t>
      </w:r>
      <w:r>
        <w:rPr>
          <w:color w:val="231F20"/>
          <w:spacing w:val="-25"/>
          <w:w w:val="105"/>
        </w:rPr>
        <w:t> </w:t>
      </w:r>
      <w:r>
        <w:rPr>
          <w:color w:val="231F20"/>
          <w:w w:val="105"/>
        </w:rPr>
        <w:t>reflexio- nes</w:t>
      </w:r>
      <w:r>
        <w:rPr>
          <w:color w:val="231F20"/>
          <w:spacing w:val="-25"/>
          <w:w w:val="105"/>
        </w:rPr>
        <w:t> </w:t>
      </w:r>
      <w:r>
        <w:rPr>
          <w:color w:val="231F20"/>
          <w:w w:val="105"/>
        </w:rPr>
        <w:t>con</w:t>
      </w:r>
      <w:r>
        <w:rPr>
          <w:color w:val="231F20"/>
          <w:spacing w:val="-25"/>
          <w:w w:val="105"/>
        </w:rPr>
        <w:t> </w:t>
      </w:r>
      <w:r>
        <w:rPr>
          <w:color w:val="231F20"/>
          <w:w w:val="105"/>
        </w:rPr>
        <w:t>base</w:t>
      </w:r>
      <w:r>
        <w:rPr>
          <w:color w:val="231F20"/>
          <w:spacing w:val="-25"/>
          <w:w w:val="105"/>
        </w:rPr>
        <w:t> </w:t>
      </w:r>
      <w:r>
        <w:rPr>
          <w:color w:val="231F20"/>
          <w:w w:val="105"/>
        </w:rPr>
        <w:t>en</w:t>
      </w:r>
      <w:r>
        <w:rPr>
          <w:color w:val="231F20"/>
          <w:spacing w:val="-25"/>
          <w:w w:val="105"/>
        </w:rPr>
        <w:t> </w:t>
      </w:r>
      <w:r>
        <w:rPr>
          <w:color w:val="231F20"/>
          <w:w w:val="105"/>
        </w:rPr>
        <w:t>las</w:t>
      </w:r>
      <w:r>
        <w:rPr>
          <w:color w:val="231F20"/>
          <w:spacing w:val="-25"/>
          <w:w w:val="105"/>
        </w:rPr>
        <w:t> </w:t>
      </w:r>
      <w:r>
        <w:rPr>
          <w:color w:val="231F20"/>
          <w:w w:val="105"/>
        </w:rPr>
        <w:t>experiencias</w:t>
      </w:r>
      <w:r>
        <w:rPr>
          <w:color w:val="231F20"/>
          <w:spacing w:val="-25"/>
          <w:w w:val="105"/>
        </w:rPr>
        <w:t> </w:t>
      </w:r>
      <w:r>
        <w:rPr>
          <w:color w:val="231F20"/>
          <w:w w:val="105"/>
        </w:rPr>
        <w:t>personales</w:t>
      </w:r>
      <w:r>
        <w:rPr>
          <w:color w:val="231F20"/>
          <w:spacing w:val="-25"/>
          <w:w w:val="105"/>
        </w:rPr>
        <w:t> </w:t>
      </w:r>
      <w:r>
        <w:rPr>
          <w:color w:val="231F20"/>
          <w:w w:val="105"/>
        </w:rPr>
        <w:t>de</w:t>
      </w:r>
      <w:r>
        <w:rPr>
          <w:color w:val="231F20"/>
          <w:spacing w:val="-25"/>
          <w:w w:val="105"/>
        </w:rPr>
        <w:t> </w:t>
      </w:r>
      <w:r>
        <w:rPr>
          <w:color w:val="231F20"/>
          <w:w w:val="105"/>
        </w:rPr>
        <w:t>investigación.</w:t>
      </w:r>
      <w:r>
        <w:rPr>
          <w:color w:val="231F20"/>
          <w:spacing w:val="-30"/>
          <w:w w:val="105"/>
        </w:rPr>
        <w:t> </w:t>
      </w:r>
      <w:r>
        <w:rPr>
          <w:color w:val="231F20"/>
          <w:w w:val="105"/>
        </w:rPr>
        <w:t>En</w:t>
      </w:r>
      <w:r>
        <w:rPr>
          <w:color w:val="231F20"/>
          <w:spacing w:val="-25"/>
          <w:w w:val="105"/>
        </w:rPr>
        <w:t> </w:t>
      </w:r>
      <w:r>
        <w:rPr>
          <w:color w:val="231F20"/>
          <w:w w:val="105"/>
        </w:rPr>
        <w:t>verdad deseamos</w:t>
      </w:r>
      <w:r>
        <w:rPr>
          <w:color w:val="231F20"/>
          <w:spacing w:val="-27"/>
          <w:w w:val="105"/>
        </w:rPr>
        <w:t> </w:t>
      </w:r>
      <w:r>
        <w:rPr>
          <w:color w:val="231F20"/>
          <w:w w:val="105"/>
        </w:rPr>
        <w:t>haber</w:t>
      </w:r>
      <w:r>
        <w:rPr>
          <w:color w:val="231F20"/>
          <w:spacing w:val="-27"/>
          <w:w w:val="105"/>
        </w:rPr>
        <w:t> </w:t>
      </w:r>
      <w:r>
        <w:rPr>
          <w:color w:val="231F20"/>
          <w:w w:val="105"/>
        </w:rPr>
        <w:t>sido</w:t>
      </w:r>
      <w:r>
        <w:rPr>
          <w:color w:val="231F20"/>
          <w:spacing w:val="-27"/>
          <w:w w:val="105"/>
        </w:rPr>
        <w:t> </w:t>
      </w:r>
      <w:r>
        <w:rPr>
          <w:color w:val="231F20"/>
          <w:w w:val="105"/>
        </w:rPr>
        <w:t>fatalistas</w:t>
      </w:r>
      <w:r>
        <w:rPr>
          <w:color w:val="231F20"/>
          <w:spacing w:val="-27"/>
          <w:w w:val="105"/>
        </w:rPr>
        <w:t> </w:t>
      </w:r>
      <w:r>
        <w:rPr>
          <w:color w:val="231F20"/>
          <w:w w:val="105"/>
        </w:rPr>
        <w:t>y</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situación</w:t>
      </w:r>
      <w:r>
        <w:rPr>
          <w:color w:val="231F20"/>
          <w:spacing w:val="-27"/>
          <w:w w:val="105"/>
        </w:rPr>
        <w:t> </w:t>
      </w:r>
      <w:r>
        <w:rPr>
          <w:color w:val="231F20"/>
          <w:w w:val="105"/>
        </w:rPr>
        <w:t>real</w:t>
      </w:r>
      <w:r>
        <w:rPr>
          <w:color w:val="231F20"/>
          <w:spacing w:val="-27"/>
          <w:w w:val="105"/>
        </w:rPr>
        <w:t> </w:t>
      </w:r>
      <w:r>
        <w:rPr>
          <w:color w:val="231F20"/>
          <w:w w:val="105"/>
        </w:rPr>
        <w:t>sea</w:t>
      </w:r>
      <w:r>
        <w:rPr>
          <w:color w:val="231F20"/>
          <w:spacing w:val="-27"/>
          <w:w w:val="105"/>
        </w:rPr>
        <w:t> </w:t>
      </w:r>
      <w:r>
        <w:rPr>
          <w:color w:val="231F20"/>
          <w:w w:val="105"/>
        </w:rPr>
        <w:t>más</w:t>
      </w:r>
      <w:r>
        <w:rPr>
          <w:color w:val="231F20"/>
          <w:spacing w:val="-27"/>
          <w:w w:val="105"/>
        </w:rPr>
        <w:t> </w:t>
      </w:r>
      <w:r>
        <w:rPr>
          <w:color w:val="231F20"/>
          <w:w w:val="105"/>
        </w:rPr>
        <w:t>munificen- te. Si no fuese así, entonces esperamos que pronto pueda mejorar</w:t>
      </w:r>
      <w:r>
        <w:rPr>
          <w:color w:val="231F20"/>
          <w:spacing w:val="-42"/>
          <w:w w:val="105"/>
        </w:rPr>
        <w:t> </w:t>
      </w:r>
      <w:r>
        <w:rPr>
          <w:color w:val="231F20"/>
          <w:w w:val="105"/>
        </w:rPr>
        <w:t>con miras</w:t>
      </w:r>
      <w:r>
        <w:rPr>
          <w:color w:val="231F20"/>
          <w:spacing w:val="-16"/>
          <w:w w:val="105"/>
        </w:rPr>
        <w:t> </w:t>
      </w:r>
      <w:r>
        <w:rPr>
          <w:color w:val="231F20"/>
          <w:w w:val="105"/>
        </w:rPr>
        <w:t>contribuir</w:t>
      </w:r>
      <w:r>
        <w:rPr>
          <w:color w:val="231F20"/>
          <w:spacing w:val="-16"/>
          <w:w w:val="105"/>
        </w:rPr>
        <w:t> </w:t>
      </w:r>
      <w:r>
        <w:rPr>
          <w:color w:val="231F20"/>
          <w:w w:val="105"/>
        </w:rPr>
        <w:t>significativamente</w:t>
      </w:r>
      <w:r>
        <w:rPr>
          <w:color w:val="231F20"/>
          <w:spacing w:val="-16"/>
          <w:w w:val="105"/>
        </w:rPr>
        <w:t> </w:t>
      </w:r>
      <w:r>
        <w:rPr>
          <w:color w:val="231F20"/>
          <w:w w:val="105"/>
        </w:rPr>
        <w:t>al</w:t>
      </w:r>
      <w:r>
        <w:rPr>
          <w:color w:val="231F20"/>
          <w:spacing w:val="-16"/>
          <w:w w:val="105"/>
        </w:rPr>
        <w:t> </w:t>
      </w:r>
      <w:r>
        <w:rPr>
          <w:color w:val="231F20"/>
          <w:w w:val="105"/>
        </w:rPr>
        <w:t>conocimiento</w:t>
      </w:r>
      <w:r>
        <w:rPr>
          <w:color w:val="231F20"/>
          <w:spacing w:val="-16"/>
          <w:w w:val="105"/>
        </w:rPr>
        <w:t> </w:t>
      </w:r>
      <w:r>
        <w:rPr>
          <w:color w:val="231F20"/>
          <w:w w:val="105"/>
        </w:rPr>
        <w:t>sobre</w:t>
      </w:r>
      <w:r>
        <w:rPr>
          <w:color w:val="231F20"/>
          <w:spacing w:val="-16"/>
          <w:w w:val="105"/>
        </w:rPr>
        <w:t> </w:t>
      </w:r>
      <w:r>
        <w:rPr>
          <w:color w:val="231F20"/>
          <w:w w:val="105"/>
        </w:rPr>
        <w:t>el</w:t>
      </w:r>
      <w:r>
        <w:rPr>
          <w:color w:val="231F20"/>
          <w:spacing w:val="-16"/>
          <w:w w:val="105"/>
        </w:rPr>
        <w:t> </w:t>
      </w:r>
      <w:r>
        <w:rPr>
          <w:color w:val="231F20"/>
          <w:w w:val="105"/>
        </w:rPr>
        <w:t>área.</w:t>
      </w:r>
    </w:p>
    <w:p>
      <w:pPr>
        <w:spacing w:after="0" w:line="259" w:lineRule="auto"/>
        <w:jc w:val="both"/>
        <w:sectPr>
          <w:type w:val="continuous"/>
          <w:pgSz w:w="9640" w:h="13890"/>
          <w:pgMar w:top="1300" w:bottom="280" w:left="1300" w:right="1200"/>
        </w:sectPr>
      </w:pPr>
    </w:p>
    <w:p>
      <w:pPr>
        <w:pStyle w:val="BodyText"/>
        <w:spacing w:before="9"/>
      </w:pPr>
    </w:p>
    <w:p>
      <w:pPr>
        <w:pStyle w:val="Heading2"/>
        <w:spacing w:before="55"/>
        <w:ind w:left="107" w:right="224"/>
        <w:jc w:val="left"/>
      </w:pPr>
      <w:r>
        <w:rPr>
          <w:color w:val="231F20"/>
        </w:rPr>
        <w:t>Referencias</w:t>
      </w:r>
    </w:p>
    <w:p>
      <w:pPr>
        <w:pStyle w:val="BodyText"/>
        <w:rPr>
          <w:b/>
          <w:sz w:val="22"/>
        </w:rPr>
      </w:pPr>
    </w:p>
    <w:p>
      <w:pPr>
        <w:spacing w:line="259" w:lineRule="auto" w:before="160"/>
        <w:ind w:left="844" w:right="129" w:hanging="738"/>
        <w:jc w:val="both"/>
        <w:rPr>
          <w:sz w:val="21"/>
        </w:rPr>
      </w:pPr>
      <w:r>
        <w:rPr>
          <w:color w:val="231F20"/>
          <w:sz w:val="21"/>
        </w:rPr>
        <w:t>Anand, B. y Khana, T. (2000). Do firms learn to create value? The case of alliances.</w:t>
      </w:r>
      <w:r>
        <w:rPr>
          <w:i/>
          <w:color w:val="231F20"/>
          <w:sz w:val="21"/>
        </w:rPr>
        <w:t>Strategic Management Journal</w:t>
      </w:r>
      <w:r>
        <w:rPr>
          <w:color w:val="231F20"/>
          <w:sz w:val="21"/>
        </w:rPr>
        <w:t>, 21:  295-315.</w:t>
      </w:r>
    </w:p>
    <w:p>
      <w:pPr>
        <w:pStyle w:val="BodyText"/>
        <w:spacing w:line="259" w:lineRule="auto"/>
        <w:ind w:left="844" w:right="117" w:hanging="738"/>
        <w:jc w:val="both"/>
      </w:pPr>
      <w:r>
        <w:rPr>
          <w:color w:val="231F20"/>
          <w:w w:val="105"/>
        </w:rPr>
        <w:t>Barney, J., Ketchen, D. y Wright, M. (2011). The future of resource based-theory: Revitalizationor decline? </w:t>
      </w:r>
      <w:r>
        <w:rPr>
          <w:i/>
          <w:color w:val="231F20"/>
          <w:w w:val="105"/>
        </w:rPr>
        <w:t>Journal of Management</w:t>
      </w:r>
      <w:r>
        <w:rPr>
          <w:color w:val="231F20"/>
          <w:w w:val="105"/>
        </w:rPr>
        <w:t>, 37 (5): 1299-1315.</w:t>
      </w:r>
    </w:p>
    <w:p>
      <w:pPr>
        <w:spacing w:line="259" w:lineRule="auto" w:before="0"/>
        <w:ind w:left="844" w:right="129" w:hanging="738"/>
        <w:jc w:val="both"/>
        <w:rPr>
          <w:sz w:val="21"/>
        </w:rPr>
      </w:pPr>
      <w:r>
        <w:rPr>
          <w:color w:val="231F20"/>
          <w:w w:val="105"/>
          <w:sz w:val="21"/>
        </w:rPr>
        <w:t>Beamish,</w:t>
      </w:r>
      <w:r>
        <w:rPr>
          <w:color w:val="231F20"/>
          <w:spacing w:val="-26"/>
          <w:w w:val="105"/>
          <w:sz w:val="21"/>
        </w:rPr>
        <w:t> </w:t>
      </w:r>
      <w:r>
        <w:rPr>
          <w:color w:val="231F20"/>
          <w:spacing w:val="-16"/>
          <w:w w:val="105"/>
          <w:sz w:val="21"/>
        </w:rPr>
        <w:t>P.</w:t>
      </w:r>
      <w:r>
        <w:rPr>
          <w:color w:val="231F20"/>
          <w:spacing w:val="-26"/>
          <w:w w:val="105"/>
          <w:sz w:val="21"/>
        </w:rPr>
        <w:t> </w:t>
      </w:r>
      <w:r>
        <w:rPr>
          <w:color w:val="231F20"/>
          <w:w w:val="105"/>
          <w:sz w:val="21"/>
        </w:rPr>
        <w:t>y</w:t>
      </w:r>
      <w:r>
        <w:rPr>
          <w:color w:val="231F20"/>
          <w:spacing w:val="-22"/>
          <w:w w:val="105"/>
          <w:sz w:val="21"/>
        </w:rPr>
        <w:t> </w:t>
      </w:r>
      <w:r>
        <w:rPr>
          <w:color w:val="231F20"/>
          <w:w w:val="105"/>
          <w:sz w:val="21"/>
        </w:rPr>
        <w:t>Lupton,</w:t>
      </w:r>
      <w:r>
        <w:rPr>
          <w:color w:val="231F20"/>
          <w:spacing w:val="-26"/>
          <w:w w:val="105"/>
          <w:sz w:val="21"/>
        </w:rPr>
        <w:t> </w:t>
      </w:r>
      <w:r>
        <w:rPr>
          <w:color w:val="231F20"/>
          <w:w w:val="105"/>
          <w:sz w:val="21"/>
        </w:rPr>
        <w:t>N.</w:t>
      </w:r>
      <w:r>
        <w:rPr>
          <w:color w:val="231F20"/>
          <w:spacing w:val="-26"/>
          <w:w w:val="105"/>
          <w:sz w:val="21"/>
        </w:rPr>
        <w:t> </w:t>
      </w:r>
      <w:r>
        <w:rPr>
          <w:color w:val="231F20"/>
          <w:w w:val="105"/>
          <w:sz w:val="21"/>
        </w:rPr>
        <w:t>(2009).Managing</w:t>
      </w:r>
      <w:r>
        <w:rPr>
          <w:color w:val="231F20"/>
          <w:spacing w:val="-22"/>
          <w:w w:val="105"/>
          <w:sz w:val="21"/>
        </w:rPr>
        <w:t> </w:t>
      </w:r>
      <w:r>
        <w:rPr>
          <w:i/>
          <w:color w:val="231F20"/>
          <w:w w:val="105"/>
          <w:sz w:val="21"/>
        </w:rPr>
        <w:t>joint</w:t>
      </w:r>
      <w:r>
        <w:rPr>
          <w:i/>
          <w:color w:val="231F20"/>
          <w:spacing w:val="-22"/>
          <w:w w:val="105"/>
          <w:sz w:val="21"/>
        </w:rPr>
        <w:t> </w:t>
      </w:r>
      <w:r>
        <w:rPr>
          <w:i/>
          <w:color w:val="231F20"/>
          <w:w w:val="105"/>
          <w:sz w:val="21"/>
        </w:rPr>
        <w:t>venture</w:t>
      </w:r>
      <w:r>
        <w:rPr>
          <w:color w:val="231F20"/>
          <w:w w:val="105"/>
          <w:sz w:val="21"/>
        </w:rPr>
        <w:t>s.</w:t>
      </w:r>
      <w:r>
        <w:rPr>
          <w:color w:val="231F20"/>
          <w:spacing w:val="-26"/>
          <w:w w:val="105"/>
          <w:sz w:val="21"/>
        </w:rPr>
        <w:t> </w:t>
      </w:r>
      <w:r>
        <w:rPr>
          <w:i/>
          <w:color w:val="231F20"/>
          <w:w w:val="105"/>
          <w:sz w:val="21"/>
        </w:rPr>
        <w:t>The</w:t>
      </w:r>
      <w:r>
        <w:rPr>
          <w:i/>
          <w:color w:val="231F20"/>
          <w:spacing w:val="-24"/>
          <w:w w:val="105"/>
          <w:sz w:val="21"/>
        </w:rPr>
        <w:t> </w:t>
      </w:r>
      <w:r>
        <w:rPr>
          <w:i/>
          <w:color w:val="231F20"/>
          <w:w w:val="105"/>
          <w:sz w:val="21"/>
        </w:rPr>
        <w:t>Academy</w:t>
      </w:r>
      <w:r>
        <w:rPr>
          <w:i/>
          <w:color w:val="231F20"/>
          <w:spacing w:val="-22"/>
          <w:w w:val="105"/>
          <w:sz w:val="21"/>
        </w:rPr>
        <w:t> </w:t>
      </w:r>
      <w:r>
        <w:rPr>
          <w:i/>
          <w:color w:val="231F20"/>
          <w:w w:val="105"/>
          <w:sz w:val="21"/>
        </w:rPr>
        <w:t>of </w:t>
      </w:r>
      <w:r>
        <w:rPr>
          <w:i/>
          <w:color w:val="231F20"/>
          <w:sz w:val="21"/>
        </w:rPr>
        <w:t>Management Perspectives</w:t>
      </w:r>
      <w:r>
        <w:rPr>
          <w:color w:val="231F20"/>
          <w:sz w:val="21"/>
        </w:rPr>
        <w:t>, 23 (2):</w:t>
      </w:r>
      <w:r>
        <w:rPr>
          <w:color w:val="231F20"/>
          <w:spacing w:val="2"/>
          <w:sz w:val="21"/>
        </w:rPr>
        <w:t> </w:t>
      </w:r>
      <w:r>
        <w:rPr>
          <w:color w:val="231F20"/>
          <w:sz w:val="21"/>
        </w:rPr>
        <w:t>75-94.</w:t>
      </w:r>
    </w:p>
    <w:p>
      <w:pPr>
        <w:pStyle w:val="BodyText"/>
        <w:spacing w:line="259" w:lineRule="auto"/>
        <w:ind w:left="844" w:right="117" w:hanging="738"/>
        <w:jc w:val="both"/>
      </w:pPr>
      <w:r>
        <w:rPr>
          <w:color w:val="231F20"/>
          <w:w w:val="105"/>
        </w:rPr>
        <w:t>Capron,</w:t>
      </w:r>
      <w:r>
        <w:rPr>
          <w:color w:val="231F20"/>
          <w:spacing w:val="-31"/>
          <w:w w:val="105"/>
        </w:rPr>
        <w:t> </w:t>
      </w:r>
      <w:r>
        <w:rPr>
          <w:color w:val="231F20"/>
          <w:w w:val="105"/>
        </w:rPr>
        <w:t>L.</w:t>
      </w:r>
      <w:r>
        <w:rPr>
          <w:color w:val="231F20"/>
          <w:spacing w:val="-31"/>
          <w:w w:val="105"/>
        </w:rPr>
        <w:t> </w:t>
      </w:r>
      <w:r>
        <w:rPr>
          <w:color w:val="231F20"/>
          <w:w w:val="105"/>
        </w:rPr>
        <w:t>y</w:t>
      </w:r>
      <w:r>
        <w:rPr>
          <w:color w:val="231F20"/>
          <w:spacing w:val="-26"/>
          <w:w w:val="105"/>
        </w:rPr>
        <w:t> </w:t>
      </w:r>
      <w:r>
        <w:rPr>
          <w:color w:val="231F20"/>
          <w:w w:val="105"/>
        </w:rPr>
        <w:t>Hulland,</w:t>
      </w:r>
      <w:r>
        <w:rPr>
          <w:color w:val="231F20"/>
          <w:spacing w:val="-32"/>
          <w:w w:val="105"/>
        </w:rPr>
        <w:t> </w:t>
      </w:r>
      <w:r>
        <w:rPr>
          <w:color w:val="231F20"/>
          <w:w w:val="105"/>
        </w:rPr>
        <w:t>J.</w:t>
      </w:r>
      <w:r>
        <w:rPr>
          <w:color w:val="231F20"/>
          <w:spacing w:val="-31"/>
          <w:w w:val="105"/>
        </w:rPr>
        <w:t> </w:t>
      </w:r>
      <w:r>
        <w:rPr>
          <w:color w:val="231F20"/>
          <w:w w:val="105"/>
        </w:rPr>
        <w:t>(1999).</w:t>
      </w:r>
      <w:r>
        <w:rPr>
          <w:color w:val="231F20"/>
          <w:spacing w:val="-31"/>
          <w:w w:val="105"/>
        </w:rPr>
        <w:t> </w:t>
      </w:r>
      <w:r>
        <w:rPr>
          <w:color w:val="231F20"/>
          <w:w w:val="105"/>
        </w:rPr>
        <w:t>Redeployment</w:t>
      </w:r>
      <w:r>
        <w:rPr>
          <w:color w:val="231F20"/>
          <w:spacing w:val="-26"/>
          <w:w w:val="105"/>
        </w:rPr>
        <w:t> </w:t>
      </w:r>
      <w:r>
        <w:rPr>
          <w:color w:val="231F20"/>
          <w:w w:val="105"/>
        </w:rPr>
        <w:t>of</w:t>
      </w:r>
      <w:r>
        <w:rPr>
          <w:color w:val="231F20"/>
          <w:spacing w:val="-23"/>
          <w:w w:val="105"/>
        </w:rPr>
        <w:t> </w:t>
      </w:r>
      <w:r>
        <w:rPr>
          <w:color w:val="231F20"/>
          <w:w w:val="105"/>
        </w:rPr>
        <w:t>brands,</w:t>
      </w:r>
      <w:r>
        <w:rPr>
          <w:color w:val="231F20"/>
          <w:spacing w:val="-31"/>
          <w:w w:val="105"/>
        </w:rPr>
        <w:t> </w:t>
      </w:r>
      <w:r>
        <w:rPr>
          <w:color w:val="231F20"/>
          <w:w w:val="105"/>
        </w:rPr>
        <w:t>sales</w:t>
      </w:r>
      <w:r>
        <w:rPr>
          <w:color w:val="231F20"/>
          <w:spacing w:val="-26"/>
          <w:w w:val="105"/>
        </w:rPr>
        <w:t> </w:t>
      </w:r>
      <w:r>
        <w:rPr>
          <w:color w:val="231F20"/>
          <w:w w:val="105"/>
        </w:rPr>
        <w:t>forces,</w:t>
      </w:r>
      <w:r>
        <w:rPr>
          <w:color w:val="231F20"/>
          <w:spacing w:val="-31"/>
          <w:w w:val="105"/>
        </w:rPr>
        <w:t> </w:t>
      </w:r>
      <w:r>
        <w:rPr>
          <w:color w:val="231F20"/>
          <w:w w:val="105"/>
        </w:rPr>
        <w:t>and general</w:t>
      </w:r>
      <w:r>
        <w:rPr>
          <w:color w:val="231F20"/>
          <w:spacing w:val="-10"/>
          <w:w w:val="105"/>
        </w:rPr>
        <w:t> </w:t>
      </w:r>
      <w:r>
        <w:rPr>
          <w:color w:val="231F20"/>
          <w:w w:val="105"/>
        </w:rPr>
        <w:t>marketingmanagement</w:t>
      </w:r>
      <w:r>
        <w:rPr>
          <w:color w:val="231F20"/>
          <w:spacing w:val="-10"/>
          <w:w w:val="105"/>
        </w:rPr>
        <w:t> </w:t>
      </w:r>
      <w:r>
        <w:rPr>
          <w:color w:val="231F20"/>
          <w:w w:val="105"/>
        </w:rPr>
        <w:t>expertise</w:t>
      </w:r>
      <w:r>
        <w:rPr>
          <w:color w:val="231F20"/>
          <w:spacing w:val="-10"/>
          <w:w w:val="105"/>
        </w:rPr>
        <w:t> </w:t>
      </w:r>
      <w:r>
        <w:rPr>
          <w:color w:val="231F20"/>
          <w:w w:val="105"/>
        </w:rPr>
        <w:t>following</w:t>
      </w:r>
      <w:r>
        <w:rPr>
          <w:color w:val="231F20"/>
          <w:spacing w:val="-10"/>
          <w:w w:val="105"/>
        </w:rPr>
        <w:t> </w:t>
      </w:r>
      <w:r>
        <w:rPr>
          <w:color w:val="231F20"/>
          <w:w w:val="105"/>
        </w:rPr>
        <w:t>horizontal</w:t>
      </w:r>
      <w:r>
        <w:rPr>
          <w:color w:val="231F20"/>
          <w:spacing w:val="-10"/>
          <w:w w:val="105"/>
        </w:rPr>
        <w:t> </w:t>
      </w:r>
      <w:r>
        <w:rPr>
          <w:color w:val="231F20"/>
          <w:w w:val="105"/>
        </w:rPr>
        <w:t>ac- quisitions:</w:t>
      </w:r>
      <w:r>
        <w:rPr>
          <w:color w:val="231F20"/>
          <w:spacing w:val="-34"/>
          <w:w w:val="105"/>
        </w:rPr>
        <w:t> </w:t>
      </w:r>
      <w:r>
        <w:rPr>
          <w:color w:val="231F20"/>
          <w:w w:val="105"/>
        </w:rPr>
        <w:t>A</w:t>
      </w:r>
      <w:r>
        <w:rPr>
          <w:color w:val="231F20"/>
          <w:spacing w:val="-34"/>
          <w:w w:val="105"/>
        </w:rPr>
        <w:t> </w:t>
      </w:r>
      <w:r>
        <w:rPr>
          <w:color w:val="231F20"/>
          <w:w w:val="105"/>
        </w:rPr>
        <w:t>resource-based</w:t>
      </w:r>
      <w:r>
        <w:rPr>
          <w:color w:val="231F20"/>
          <w:spacing w:val="-31"/>
          <w:w w:val="105"/>
        </w:rPr>
        <w:t> </w:t>
      </w:r>
      <w:r>
        <w:rPr>
          <w:color w:val="231F20"/>
          <w:w w:val="105"/>
        </w:rPr>
        <w:t>view.</w:t>
      </w:r>
      <w:r>
        <w:rPr>
          <w:color w:val="231F20"/>
          <w:spacing w:val="-35"/>
          <w:w w:val="105"/>
        </w:rPr>
        <w:t> </w:t>
      </w:r>
      <w:r>
        <w:rPr>
          <w:i/>
          <w:color w:val="231F20"/>
          <w:w w:val="105"/>
        </w:rPr>
        <w:t>Journal</w:t>
      </w:r>
      <w:r>
        <w:rPr>
          <w:i/>
          <w:color w:val="231F20"/>
          <w:spacing w:val="-31"/>
          <w:w w:val="105"/>
        </w:rPr>
        <w:t> </w:t>
      </w:r>
      <w:r>
        <w:rPr>
          <w:i/>
          <w:color w:val="231F20"/>
          <w:w w:val="105"/>
        </w:rPr>
        <w:t>of</w:t>
      </w:r>
      <w:r>
        <w:rPr>
          <w:i/>
          <w:color w:val="231F20"/>
          <w:spacing w:val="-27"/>
          <w:w w:val="105"/>
        </w:rPr>
        <w:t> </w:t>
      </w:r>
      <w:r>
        <w:rPr>
          <w:i/>
          <w:color w:val="231F20"/>
          <w:w w:val="105"/>
        </w:rPr>
        <w:t>Marketing</w:t>
      </w:r>
      <w:r>
        <w:rPr>
          <w:color w:val="231F20"/>
          <w:w w:val="105"/>
        </w:rPr>
        <w:t>,</w:t>
      </w:r>
      <w:r>
        <w:rPr>
          <w:color w:val="231F20"/>
          <w:spacing w:val="-35"/>
          <w:w w:val="105"/>
        </w:rPr>
        <w:t> </w:t>
      </w:r>
      <w:r>
        <w:rPr>
          <w:color w:val="231F20"/>
          <w:w w:val="105"/>
        </w:rPr>
        <w:t>63:</w:t>
      </w:r>
      <w:r>
        <w:rPr>
          <w:color w:val="231F20"/>
          <w:spacing w:val="-31"/>
          <w:w w:val="105"/>
        </w:rPr>
        <w:t> </w:t>
      </w:r>
      <w:r>
        <w:rPr>
          <w:color w:val="231F20"/>
          <w:w w:val="105"/>
        </w:rPr>
        <w:t>41-54.</w:t>
      </w:r>
    </w:p>
    <w:p>
      <w:pPr>
        <w:pStyle w:val="BodyText"/>
        <w:spacing w:line="259" w:lineRule="auto"/>
        <w:ind w:left="844" w:right="124" w:hanging="738"/>
        <w:jc w:val="both"/>
      </w:pPr>
      <w:r>
        <w:rPr>
          <w:color w:val="231F20"/>
          <w:w w:val="105"/>
        </w:rPr>
        <w:t>Cernas</w:t>
      </w:r>
      <w:r>
        <w:rPr>
          <w:color w:val="231F20"/>
          <w:spacing w:val="-8"/>
          <w:w w:val="105"/>
        </w:rPr>
        <w:t> </w:t>
      </w:r>
      <w:r>
        <w:rPr>
          <w:color w:val="231F20"/>
          <w:w w:val="105"/>
        </w:rPr>
        <w:t>Ortiz,</w:t>
      </w:r>
      <w:r>
        <w:rPr>
          <w:color w:val="231F20"/>
          <w:spacing w:val="-13"/>
          <w:w w:val="105"/>
        </w:rPr>
        <w:t> </w:t>
      </w:r>
      <w:r>
        <w:rPr>
          <w:color w:val="231F20"/>
          <w:spacing w:val="-6"/>
          <w:w w:val="105"/>
        </w:rPr>
        <w:t>D.</w:t>
      </w:r>
      <w:r>
        <w:rPr>
          <w:color w:val="231F20"/>
          <w:spacing w:val="-13"/>
          <w:w w:val="105"/>
        </w:rPr>
        <w:t> </w:t>
      </w:r>
      <w:r>
        <w:rPr>
          <w:color w:val="231F20"/>
          <w:w w:val="105"/>
        </w:rPr>
        <w:t>y</w:t>
      </w:r>
      <w:r>
        <w:rPr>
          <w:color w:val="231F20"/>
          <w:spacing w:val="-8"/>
          <w:w w:val="105"/>
        </w:rPr>
        <w:t> </w:t>
      </w:r>
      <w:r>
        <w:rPr>
          <w:color w:val="231F20"/>
          <w:w w:val="105"/>
        </w:rPr>
        <w:t>Miles,</w:t>
      </w:r>
      <w:r>
        <w:rPr>
          <w:color w:val="231F20"/>
          <w:spacing w:val="-13"/>
          <w:w w:val="105"/>
        </w:rPr>
        <w:t> </w:t>
      </w:r>
      <w:r>
        <w:rPr>
          <w:color w:val="231F20"/>
          <w:w w:val="105"/>
        </w:rPr>
        <w:t>G.</w:t>
      </w:r>
      <w:r>
        <w:rPr>
          <w:color w:val="231F20"/>
          <w:spacing w:val="-13"/>
          <w:w w:val="105"/>
        </w:rPr>
        <w:t> </w:t>
      </w:r>
      <w:r>
        <w:rPr>
          <w:color w:val="231F20"/>
          <w:spacing w:val="-3"/>
          <w:w w:val="105"/>
        </w:rPr>
        <w:t>(2014).The</w:t>
      </w:r>
      <w:r>
        <w:rPr>
          <w:color w:val="231F20"/>
          <w:spacing w:val="-8"/>
          <w:w w:val="105"/>
        </w:rPr>
        <w:t> </w:t>
      </w:r>
      <w:r>
        <w:rPr>
          <w:color w:val="231F20"/>
          <w:w w:val="105"/>
        </w:rPr>
        <w:t>effect</w:t>
      </w:r>
      <w:r>
        <w:rPr>
          <w:color w:val="231F20"/>
          <w:spacing w:val="-8"/>
          <w:w w:val="105"/>
        </w:rPr>
        <w:t> </w:t>
      </w:r>
      <w:r>
        <w:rPr>
          <w:color w:val="231F20"/>
          <w:w w:val="105"/>
        </w:rPr>
        <w:t>of</w:t>
      </w:r>
      <w:r>
        <w:rPr>
          <w:color w:val="231F20"/>
          <w:spacing w:val="-4"/>
          <w:w w:val="105"/>
        </w:rPr>
        <w:t> </w:t>
      </w:r>
      <w:r>
        <w:rPr>
          <w:color w:val="231F20"/>
          <w:w w:val="105"/>
        </w:rPr>
        <w:t>inter-partner</w:t>
      </w:r>
      <w:r>
        <w:rPr>
          <w:color w:val="231F20"/>
          <w:spacing w:val="-8"/>
          <w:w w:val="105"/>
        </w:rPr>
        <w:t> </w:t>
      </w:r>
      <w:r>
        <w:rPr>
          <w:color w:val="231F20"/>
          <w:w w:val="105"/>
        </w:rPr>
        <w:t>relatedness on stock market reactions to </w:t>
      </w:r>
      <w:r>
        <w:rPr>
          <w:i/>
          <w:color w:val="231F20"/>
          <w:w w:val="105"/>
        </w:rPr>
        <w:t>joint venture</w:t>
      </w:r>
      <w:r>
        <w:rPr>
          <w:color w:val="231F20"/>
          <w:w w:val="105"/>
        </w:rPr>
        <w:t>s announcements: Dif- ferences</w:t>
      </w:r>
      <w:r>
        <w:rPr>
          <w:color w:val="231F20"/>
          <w:spacing w:val="-11"/>
          <w:w w:val="105"/>
        </w:rPr>
        <w:t> </w:t>
      </w:r>
      <w:r>
        <w:rPr>
          <w:color w:val="231F20"/>
          <w:w w:val="105"/>
        </w:rPr>
        <w:t>between</w:t>
      </w:r>
      <w:r>
        <w:rPr>
          <w:color w:val="231F20"/>
          <w:spacing w:val="-11"/>
          <w:w w:val="105"/>
        </w:rPr>
        <w:t> </w:t>
      </w:r>
      <w:r>
        <w:rPr>
          <w:color w:val="231F20"/>
          <w:w w:val="105"/>
        </w:rPr>
        <w:t>manufacturing</w:t>
      </w:r>
      <w:r>
        <w:rPr>
          <w:color w:val="231F20"/>
          <w:spacing w:val="-11"/>
          <w:w w:val="105"/>
        </w:rPr>
        <w:t> </w:t>
      </w:r>
      <w:r>
        <w:rPr>
          <w:color w:val="231F20"/>
          <w:w w:val="105"/>
        </w:rPr>
        <w:t>and</w:t>
      </w:r>
      <w:r>
        <w:rPr>
          <w:color w:val="231F20"/>
          <w:spacing w:val="-11"/>
          <w:w w:val="105"/>
        </w:rPr>
        <w:t> </w:t>
      </w:r>
      <w:r>
        <w:rPr>
          <w:color w:val="231F20"/>
          <w:w w:val="105"/>
        </w:rPr>
        <w:t>marketing</w:t>
      </w:r>
      <w:r>
        <w:rPr>
          <w:color w:val="231F20"/>
          <w:spacing w:val="-11"/>
          <w:w w:val="105"/>
        </w:rPr>
        <w:t> </w:t>
      </w:r>
      <w:r>
        <w:rPr>
          <w:color w:val="231F20"/>
          <w:w w:val="105"/>
        </w:rPr>
        <w:t>deals.</w:t>
      </w:r>
      <w:r>
        <w:rPr>
          <w:color w:val="231F20"/>
          <w:spacing w:val="-16"/>
          <w:w w:val="105"/>
        </w:rPr>
        <w:t> </w:t>
      </w:r>
      <w:r>
        <w:rPr>
          <w:i/>
          <w:color w:val="231F20"/>
          <w:w w:val="105"/>
        </w:rPr>
        <w:t>Journal</w:t>
      </w:r>
      <w:r>
        <w:rPr>
          <w:i/>
          <w:color w:val="231F20"/>
          <w:spacing w:val="-11"/>
          <w:w w:val="105"/>
        </w:rPr>
        <w:t> </w:t>
      </w:r>
      <w:r>
        <w:rPr>
          <w:i/>
          <w:color w:val="231F20"/>
          <w:w w:val="105"/>
        </w:rPr>
        <w:t>of </w:t>
      </w:r>
      <w:r>
        <w:rPr>
          <w:i/>
          <w:color w:val="231F20"/>
        </w:rPr>
        <w:t>Business Strategies</w:t>
      </w:r>
      <w:r>
        <w:rPr>
          <w:color w:val="231F20"/>
        </w:rPr>
        <w:t>, 31(2):</w:t>
      </w:r>
      <w:r>
        <w:rPr>
          <w:color w:val="231F20"/>
          <w:spacing w:val="-34"/>
        </w:rPr>
        <w:t> </w:t>
      </w:r>
      <w:r>
        <w:rPr>
          <w:color w:val="231F20"/>
        </w:rPr>
        <w:t>312-335.</w:t>
      </w:r>
    </w:p>
    <w:p>
      <w:pPr>
        <w:pStyle w:val="BodyText"/>
        <w:spacing w:line="259" w:lineRule="auto"/>
        <w:ind w:left="844" w:right="124" w:hanging="738"/>
        <w:jc w:val="both"/>
      </w:pPr>
      <w:r>
        <w:rPr>
          <w:color w:val="231F20"/>
          <w:w w:val="105"/>
        </w:rPr>
        <w:t>Chatterjee,</w:t>
      </w:r>
      <w:r>
        <w:rPr>
          <w:color w:val="231F20"/>
          <w:spacing w:val="-10"/>
          <w:w w:val="105"/>
        </w:rPr>
        <w:t> </w:t>
      </w:r>
      <w:r>
        <w:rPr>
          <w:color w:val="231F20"/>
          <w:w w:val="105"/>
        </w:rPr>
        <w:t>S.</w:t>
      </w:r>
      <w:r>
        <w:rPr>
          <w:color w:val="231F20"/>
          <w:spacing w:val="-10"/>
          <w:w w:val="105"/>
        </w:rPr>
        <w:t> </w:t>
      </w:r>
      <w:r>
        <w:rPr>
          <w:color w:val="231F20"/>
          <w:w w:val="105"/>
        </w:rPr>
        <w:t>(1986).</w:t>
      </w:r>
      <w:r>
        <w:rPr>
          <w:color w:val="231F20"/>
          <w:spacing w:val="-14"/>
          <w:w w:val="105"/>
        </w:rPr>
        <w:t> </w:t>
      </w:r>
      <w:r>
        <w:rPr>
          <w:color w:val="231F20"/>
          <w:spacing w:val="-5"/>
          <w:w w:val="105"/>
        </w:rPr>
        <w:t>Types</w:t>
      </w:r>
      <w:r>
        <w:rPr>
          <w:color w:val="231F20"/>
          <w:spacing w:val="-4"/>
          <w:w w:val="105"/>
        </w:rPr>
        <w:t> </w:t>
      </w:r>
      <w:r>
        <w:rPr>
          <w:color w:val="231F20"/>
          <w:w w:val="105"/>
        </w:rPr>
        <w:t>of synergy</w:t>
      </w:r>
      <w:r>
        <w:rPr>
          <w:color w:val="231F20"/>
          <w:spacing w:val="-4"/>
          <w:w w:val="105"/>
        </w:rPr>
        <w:t> </w:t>
      </w:r>
      <w:r>
        <w:rPr>
          <w:color w:val="231F20"/>
          <w:w w:val="105"/>
        </w:rPr>
        <w:t>and</w:t>
      </w:r>
      <w:r>
        <w:rPr>
          <w:color w:val="231F20"/>
          <w:spacing w:val="-4"/>
          <w:w w:val="105"/>
        </w:rPr>
        <w:t> </w:t>
      </w:r>
      <w:r>
        <w:rPr>
          <w:color w:val="231F20"/>
          <w:w w:val="105"/>
        </w:rPr>
        <w:t>economic</w:t>
      </w:r>
      <w:r>
        <w:rPr>
          <w:color w:val="231F20"/>
          <w:spacing w:val="-4"/>
          <w:w w:val="105"/>
        </w:rPr>
        <w:t> </w:t>
      </w:r>
      <w:r>
        <w:rPr>
          <w:color w:val="231F20"/>
          <w:w w:val="105"/>
        </w:rPr>
        <w:t>value:</w:t>
      </w:r>
      <w:r>
        <w:rPr>
          <w:color w:val="231F20"/>
          <w:spacing w:val="-8"/>
          <w:w w:val="105"/>
        </w:rPr>
        <w:t> </w:t>
      </w:r>
      <w:r>
        <w:rPr>
          <w:color w:val="231F20"/>
          <w:w w:val="105"/>
        </w:rPr>
        <w:t>The</w:t>
      </w:r>
      <w:r>
        <w:rPr>
          <w:color w:val="231F20"/>
          <w:spacing w:val="-4"/>
          <w:w w:val="105"/>
        </w:rPr>
        <w:t> </w:t>
      </w:r>
      <w:r>
        <w:rPr>
          <w:color w:val="231F20"/>
          <w:w w:val="105"/>
        </w:rPr>
        <w:t>impact of acquisitions onmerging and rival firms. </w:t>
      </w:r>
      <w:r>
        <w:rPr>
          <w:i/>
          <w:color w:val="231F20"/>
          <w:w w:val="105"/>
        </w:rPr>
        <w:t>Strategic</w:t>
      </w:r>
      <w:r>
        <w:rPr>
          <w:i/>
          <w:color w:val="231F20"/>
          <w:spacing w:val="-11"/>
          <w:w w:val="105"/>
        </w:rPr>
        <w:t> </w:t>
      </w:r>
      <w:r>
        <w:rPr>
          <w:i/>
          <w:color w:val="231F20"/>
          <w:w w:val="105"/>
        </w:rPr>
        <w:t>Management </w:t>
      </w:r>
      <w:r>
        <w:rPr>
          <w:i/>
          <w:color w:val="231F20"/>
          <w:w w:val="105"/>
        </w:rPr>
        <w:t>Journal</w:t>
      </w:r>
      <w:r>
        <w:rPr>
          <w:color w:val="231F20"/>
          <w:w w:val="105"/>
        </w:rPr>
        <w:t>,</w:t>
      </w:r>
      <w:r>
        <w:rPr>
          <w:color w:val="231F20"/>
          <w:spacing w:val="-35"/>
          <w:w w:val="105"/>
        </w:rPr>
        <w:t> </w:t>
      </w:r>
      <w:r>
        <w:rPr>
          <w:color w:val="231F20"/>
          <w:w w:val="105"/>
        </w:rPr>
        <w:t>7:</w:t>
      </w:r>
      <w:r>
        <w:rPr>
          <w:color w:val="231F20"/>
          <w:spacing w:val="-31"/>
          <w:w w:val="105"/>
        </w:rPr>
        <w:t> </w:t>
      </w:r>
      <w:r>
        <w:rPr>
          <w:color w:val="231F20"/>
          <w:w w:val="105"/>
        </w:rPr>
        <w:t>119-139.</w:t>
      </w:r>
    </w:p>
    <w:p>
      <w:pPr>
        <w:pStyle w:val="BodyText"/>
        <w:spacing w:line="259" w:lineRule="auto"/>
        <w:ind w:left="844" w:right="124" w:hanging="738"/>
        <w:jc w:val="both"/>
      </w:pPr>
      <w:r>
        <w:rPr>
          <w:color w:val="231F20"/>
          <w:spacing w:val="-3"/>
          <w:w w:val="105"/>
        </w:rPr>
        <w:t>Chen,</w:t>
      </w:r>
      <w:r>
        <w:rPr>
          <w:color w:val="231F20"/>
          <w:spacing w:val="-39"/>
          <w:w w:val="105"/>
        </w:rPr>
        <w:t> </w:t>
      </w:r>
      <w:r>
        <w:rPr>
          <w:color w:val="231F20"/>
          <w:w w:val="105"/>
        </w:rPr>
        <w:t>M.</w:t>
      </w:r>
      <w:r>
        <w:rPr>
          <w:color w:val="231F20"/>
          <w:spacing w:val="-39"/>
          <w:w w:val="105"/>
        </w:rPr>
        <w:t> </w:t>
      </w:r>
      <w:r>
        <w:rPr>
          <w:color w:val="231F20"/>
          <w:spacing w:val="-3"/>
          <w:w w:val="105"/>
        </w:rPr>
        <w:t>(1996).</w:t>
      </w:r>
      <w:r>
        <w:rPr>
          <w:color w:val="231F20"/>
          <w:spacing w:val="-39"/>
          <w:w w:val="105"/>
        </w:rPr>
        <w:t> </w:t>
      </w:r>
      <w:r>
        <w:rPr>
          <w:color w:val="231F20"/>
          <w:spacing w:val="-3"/>
          <w:w w:val="105"/>
        </w:rPr>
        <w:t>Competitor</w:t>
      </w:r>
      <w:r>
        <w:rPr>
          <w:color w:val="231F20"/>
          <w:spacing w:val="-33"/>
          <w:w w:val="105"/>
        </w:rPr>
        <w:t> </w:t>
      </w:r>
      <w:r>
        <w:rPr>
          <w:color w:val="231F20"/>
          <w:spacing w:val="-3"/>
          <w:w w:val="105"/>
        </w:rPr>
        <w:t>analysis</w:t>
      </w:r>
      <w:r>
        <w:rPr>
          <w:color w:val="231F20"/>
          <w:spacing w:val="-33"/>
          <w:w w:val="105"/>
        </w:rPr>
        <w:t> </w:t>
      </w:r>
      <w:r>
        <w:rPr>
          <w:color w:val="231F20"/>
          <w:w w:val="105"/>
        </w:rPr>
        <w:t>and</w:t>
      </w:r>
      <w:r>
        <w:rPr>
          <w:color w:val="231F20"/>
          <w:spacing w:val="-33"/>
          <w:w w:val="105"/>
        </w:rPr>
        <w:t> </w:t>
      </w:r>
      <w:r>
        <w:rPr>
          <w:color w:val="231F20"/>
          <w:spacing w:val="-3"/>
          <w:w w:val="105"/>
        </w:rPr>
        <w:t>inter-firm</w:t>
      </w:r>
      <w:r>
        <w:rPr>
          <w:color w:val="231F20"/>
          <w:spacing w:val="-33"/>
          <w:w w:val="105"/>
        </w:rPr>
        <w:t> </w:t>
      </w:r>
      <w:r>
        <w:rPr>
          <w:color w:val="231F20"/>
          <w:spacing w:val="-3"/>
          <w:w w:val="105"/>
        </w:rPr>
        <w:t>rivalry:</w:t>
      </w:r>
      <w:r>
        <w:rPr>
          <w:color w:val="231F20"/>
          <w:spacing w:val="-37"/>
          <w:w w:val="105"/>
        </w:rPr>
        <w:t> </w:t>
      </w:r>
      <w:r>
        <w:rPr>
          <w:color w:val="231F20"/>
          <w:spacing w:val="-7"/>
          <w:w w:val="105"/>
        </w:rPr>
        <w:t>Toward</w:t>
      </w:r>
      <w:r>
        <w:rPr>
          <w:color w:val="231F20"/>
          <w:spacing w:val="-33"/>
          <w:w w:val="105"/>
        </w:rPr>
        <w:t> </w:t>
      </w:r>
      <w:r>
        <w:rPr>
          <w:color w:val="231F20"/>
          <w:w w:val="105"/>
        </w:rPr>
        <w:t>a</w:t>
      </w:r>
      <w:r>
        <w:rPr>
          <w:color w:val="231F20"/>
          <w:spacing w:val="-33"/>
          <w:w w:val="105"/>
        </w:rPr>
        <w:t> </w:t>
      </w:r>
      <w:r>
        <w:rPr>
          <w:color w:val="231F20"/>
          <w:spacing w:val="-3"/>
          <w:w w:val="105"/>
        </w:rPr>
        <w:t>theoret- ical</w:t>
      </w:r>
      <w:r>
        <w:rPr>
          <w:color w:val="231F20"/>
          <w:spacing w:val="-28"/>
          <w:w w:val="105"/>
        </w:rPr>
        <w:t> </w:t>
      </w:r>
      <w:r>
        <w:rPr>
          <w:color w:val="231F20"/>
          <w:spacing w:val="-4"/>
          <w:w w:val="105"/>
        </w:rPr>
        <w:t>integration.</w:t>
      </w:r>
      <w:r>
        <w:rPr>
          <w:color w:val="231F20"/>
          <w:spacing w:val="-33"/>
          <w:w w:val="105"/>
        </w:rPr>
        <w:t> </w:t>
      </w:r>
      <w:r>
        <w:rPr>
          <w:i/>
          <w:color w:val="231F20"/>
          <w:spacing w:val="-3"/>
          <w:w w:val="105"/>
        </w:rPr>
        <w:t>Academy</w:t>
      </w:r>
      <w:r>
        <w:rPr>
          <w:i/>
          <w:color w:val="231F20"/>
          <w:spacing w:val="-28"/>
          <w:w w:val="105"/>
        </w:rPr>
        <w:t> </w:t>
      </w:r>
      <w:r>
        <w:rPr>
          <w:i/>
          <w:color w:val="231F20"/>
          <w:w w:val="105"/>
        </w:rPr>
        <w:t>of</w:t>
      </w:r>
      <w:r>
        <w:rPr>
          <w:i/>
          <w:color w:val="231F20"/>
          <w:spacing w:val="-24"/>
          <w:w w:val="105"/>
        </w:rPr>
        <w:t> </w:t>
      </w:r>
      <w:r>
        <w:rPr>
          <w:i/>
          <w:color w:val="231F20"/>
          <w:spacing w:val="-3"/>
          <w:w w:val="105"/>
        </w:rPr>
        <w:t>Management</w:t>
      </w:r>
      <w:r>
        <w:rPr>
          <w:i/>
          <w:color w:val="231F20"/>
          <w:spacing w:val="-28"/>
          <w:w w:val="105"/>
        </w:rPr>
        <w:t> </w:t>
      </w:r>
      <w:r>
        <w:rPr>
          <w:i/>
          <w:color w:val="231F20"/>
          <w:spacing w:val="-3"/>
          <w:w w:val="105"/>
        </w:rPr>
        <w:t>Review</w:t>
      </w:r>
      <w:r>
        <w:rPr>
          <w:color w:val="231F20"/>
          <w:spacing w:val="-3"/>
          <w:w w:val="105"/>
        </w:rPr>
        <w:t>,</w:t>
      </w:r>
      <w:r>
        <w:rPr>
          <w:color w:val="231F20"/>
          <w:spacing w:val="-33"/>
          <w:w w:val="105"/>
        </w:rPr>
        <w:t> </w:t>
      </w:r>
      <w:r>
        <w:rPr>
          <w:color w:val="231F20"/>
          <w:w w:val="105"/>
        </w:rPr>
        <w:t>21</w:t>
      </w:r>
      <w:r>
        <w:rPr>
          <w:color w:val="231F20"/>
          <w:spacing w:val="-28"/>
          <w:w w:val="105"/>
        </w:rPr>
        <w:t> </w:t>
      </w:r>
      <w:r>
        <w:rPr>
          <w:color w:val="231F20"/>
          <w:spacing w:val="-3"/>
          <w:w w:val="105"/>
        </w:rPr>
        <w:t>(1):</w:t>
      </w:r>
      <w:r>
        <w:rPr>
          <w:color w:val="231F20"/>
          <w:spacing w:val="-28"/>
          <w:w w:val="105"/>
        </w:rPr>
        <w:t> </w:t>
      </w:r>
      <w:r>
        <w:rPr>
          <w:color w:val="231F20"/>
          <w:spacing w:val="-3"/>
          <w:w w:val="105"/>
        </w:rPr>
        <w:t>100-134.</w:t>
      </w:r>
    </w:p>
    <w:p>
      <w:pPr>
        <w:pStyle w:val="BodyText"/>
        <w:spacing w:line="259" w:lineRule="auto"/>
        <w:ind w:left="844" w:right="124" w:hanging="738"/>
        <w:jc w:val="both"/>
      </w:pPr>
      <w:r>
        <w:rPr>
          <w:color w:val="231F20"/>
          <w:w w:val="105"/>
        </w:rPr>
        <w:t>Dacin,</w:t>
      </w:r>
      <w:r>
        <w:rPr>
          <w:color w:val="231F20"/>
          <w:spacing w:val="-27"/>
          <w:w w:val="105"/>
        </w:rPr>
        <w:t> </w:t>
      </w:r>
      <w:r>
        <w:rPr>
          <w:color w:val="231F20"/>
          <w:spacing w:val="-16"/>
          <w:w w:val="105"/>
        </w:rPr>
        <w:t>P.</w:t>
      </w:r>
      <w:r>
        <w:rPr>
          <w:color w:val="231F20"/>
          <w:spacing w:val="-27"/>
          <w:w w:val="105"/>
        </w:rPr>
        <w:t> </w:t>
      </w:r>
      <w:r>
        <w:rPr>
          <w:color w:val="231F20"/>
          <w:w w:val="105"/>
        </w:rPr>
        <w:t>y</w:t>
      </w:r>
      <w:r>
        <w:rPr>
          <w:color w:val="231F20"/>
          <w:spacing w:val="-22"/>
          <w:w w:val="105"/>
        </w:rPr>
        <w:t> </w:t>
      </w:r>
      <w:r>
        <w:rPr>
          <w:color w:val="231F20"/>
          <w:w w:val="105"/>
        </w:rPr>
        <w:t>Smith,</w:t>
      </w:r>
      <w:r>
        <w:rPr>
          <w:color w:val="231F20"/>
          <w:spacing w:val="-27"/>
          <w:w w:val="105"/>
        </w:rPr>
        <w:t> </w:t>
      </w:r>
      <w:r>
        <w:rPr>
          <w:color w:val="231F20"/>
          <w:spacing w:val="-6"/>
          <w:w w:val="105"/>
        </w:rPr>
        <w:t>D.</w:t>
      </w:r>
      <w:r>
        <w:rPr>
          <w:color w:val="231F20"/>
          <w:spacing w:val="-27"/>
          <w:w w:val="105"/>
        </w:rPr>
        <w:t> </w:t>
      </w:r>
      <w:r>
        <w:rPr>
          <w:color w:val="231F20"/>
          <w:w w:val="105"/>
        </w:rPr>
        <w:t>(1994).</w:t>
      </w:r>
      <w:r>
        <w:rPr>
          <w:color w:val="231F20"/>
          <w:spacing w:val="-31"/>
          <w:w w:val="105"/>
        </w:rPr>
        <w:t> </w:t>
      </w:r>
      <w:r>
        <w:rPr>
          <w:color w:val="231F20"/>
          <w:w w:val="105"/>
        </w:rPr>
        <w:t>The</w:t>
      </w:r>
      <w:r>
        <w:rPr>
          <w:color w:val="231F20"/>
          <w:spacing w:val="-22"/>
          <w:w w:val="105"/>
        </w:rPr>
        <w:t> </w:t>
      </w:r>
      <w:r>
        <w:rPr>
          <w:color w:val="231F20"/>
          <w:w w:val="105"/>
        </w:rPr>
        <w:t>effect</w:t>
      </w:r>
      <w:r>
        <w:rPr>
          <w:color w:val="231F20"/>
          <w:spacing w:val="-22"/>
          <w:w w:val="105"/>
        </w:rPr>
        <w:t> </w:t>
      </w:r>
      <w:r>
        <w:rPr>
          <w:color w:val="231F20"/>
          <w:w w:val="105"/>
        </w:rPr>
        <w:t>of</w:t>
      </w:r>
      <w:r>
        <w:rPr>
          <w:color w:val="231F20"/>
          <w:spacing w:val="-19"/>
          <w:w w:val="105"/>
        </w:rPr>
        <w:t> </w:t>
      </w:r>
      <w:r>
        <w:rPr>
          <w:color w:val="231F20"/>
          <w:w w:val="105"/>
        </w:rPr>
        <w:t>brand</w:t>
      </w:r>
      <w:r>
        <w:rPr>
          <w:color w:val="231F20"/>
          <w:spacing w:val="-22"/>
          <w:w w:val="105"/>
        </w:rPr>
        <w:t> </w:t>
      </w:r>
      <w:r>
        <w:rPr>
          <w:color w:val="231F20"/>
          <w:w w:val="105"/>
        </w:rPr>
        <w:t>portfolio</w:t>
      </w:r>
      <w:r>
        <w:rPr>
          <w:color w:val="231F20"/>
          <w:spacing w:val="-22"/>
          <w:w w:val="105"/>
        </w:rPr>
        <w:t> </w:t>
      </w:r>
      <w:r>
        <w:rPr>
          <w:color w:val="231F20"/>
          <w:w w:val="105"/>
        </w:rPr>
        <w:t>characteristics</w:t>
      </w:r>
      <w:r>
        <w:rPr>
          <w:color w:val="231F20"/>
          <w:spacing w:val="-22"/>
          <w:w w:val="105"/>
        </w:rPr>
        <w:t> </w:t>
      </w:r>
      <w:r>
        <w:rPr>
          <w:color w:val="231F20"/>
          <w:w w:val="105"/>
        </w:rPr>
        <w:t>on consumerevaluations of brand extensions. </w:t>
      </w:r>
      <w:r>
        <w:rPr>
          <w:i/>
          <w:color w:val="231F20"/>
          <w:w w:val="105"/>
        </w:rPr>
        <w:t>Journal of Marketing </w:t>
      </w:r>
      <w:r>
        <w:rPr>
          <w:i/>
          <w:color w:val="231F20"/>
        </w:rPr>
        <w:t>Research</w:t>
      </w:r>
      <w:r>
        <w:rPr>
          <w:color w:val="231F20"/>
        </w:rPr>
        <w:t>, 31:</w:t>
      </w:r>
      <w:r>
        <w:rPr>
          <w:color w:val="231F20"/>
          <w:spacing w:val="-24"/>
        </w:rPr>
        <w:t> </w:t>
      </w:r>
      <w:r>
        <w:rPr>
          <w:color w:val="231F20"/>
        </w:rPr>
        <w:t>229-242.</w:t>
      </w:r>
    </w:p>
    <w:p>
      <w:pPr>
        <w:pStyle w:val="BodyText"/>
        <w:spacing w:line="259" w:lineRule="auto"/>
        <w:ind w:left="844" w:right="125" w:hanging="738"/>
        <w:jc w:val="both"/>
      </w:pPr>
      <w:r>
        <w:rPr>
          <w:color w:val="231F20"/>
          <w:w w:val="105"/>
        </w:rPr>
        <w:t>Dussauge,</w:t>
      </w:r>
      <w:r>
        <w:rPr>
          <w:color w:val="231F20"/>
          <w:spacing w:val="-20"/>
          <w:w w:val="105"/>
        </w:rPr>
        <w:t> </w:t>
      </w:r>
      <w:r>
        <w:rPr>
          <w:color w:val="231F20"/>
          <w:spacing w:val="-11"/>
          <w:w w:val="105"/>
        </w:rPr>
        <w:t>P.,</w:t>
      </w:r>
      <w:r>
        <w:rPr>
          <w:color w:val="231F20"/>
          <w:spacing w:val="-20"/>
          <w:w w:val="105"/>
        </w:rPr>
        <w:t> </w:t>
      </w:r>
      <w:r>
        <w:rPr>
          <w:color w:val="231F20"/>
          <w:w w:val="105"/>
        </w:rPr>
        <w:t>Garrette,</w:t>
      </w:r>
      <w:r>
        <w:rPr>
          <w:color w:val="231F20"/>
          <w:spacing w:val="-20"/>
          <w:w w:val="105"/>
        </w:rPr>
        <w:t> </w:t>
      </w:r>
      <w:r>
        <w:rPr>
          <w:color w:val="231F20"/>
          <w:w w:val="105"/>
        </w:rPr>
        <w:t>B.,</w:t>
      </w:r>
      <w:r>
        <w:rPr>
          <w:color w:val="231F20"/>
          <w:spacing w:val="-20"/>
          <w:w w:val="105"/>
        </w:rPr>
        <w:t> </w:t>
      </w:r>
      <w:r>
        <w:rPr>
          <w:color w:val="231F20"/>
          <w:w w:val="105"/>
        </w:rPr>
        <w:t>y</w:t>
      </w:r>
      <w:r>
        <w:rPr>
          <w:color w:val="231F20"/>
          <w:spacing w:val="-16"/>
          <w:w w:val="105"/>
        </w:rPr>
        <w:t> </w:t>
      </w:r>
      <w:r>
        <w:rPr>
          <w:color w:val="231F20"/>
          <w:w w:val="105"/>
        </w:rPr>
        <w:t>Mitchel,</w:t>
      </w:r>
      <w:r>
        <w:rPr>
          <w:color w:val="231F20"/>
          <w:spacing w:val="-21"/>
          <w:w w:val="105"/>
        </w:rPr>
        <w:t> </w:t>
      </w:r>
      <w:r>
        <w:rPr>
          <w:color w:val="231F20"/>
          <w:spacing w:val="-7"/>
          <w:w w:val="105"/>
        </w:rPr>
        <w:t>W.</w:t>
      </w:r>
      <w:r>
        <w:rPr>
          <w:color w:val="231F20"/>
          <w:spacing w:val="-20"/>
          <w:w w:val="105"/>
        </w:rPr>
        <w:t> </w:t>
      </w:r>
      <w:r>
        <w:rPr>
          <w:color w:val="231F20"/>
          <w:w w:val="105"/>
        </w:rPr>
        <w:t>(2000).</w:t>
      </w:r>
      <w:r>
        <w:rPr>
          <w:color w:val="231F20"/>
          <w:spacing w:val="-20"/>
          <w:w w:val="105"/>
        </w:rPr>
        <w:t> </w:t>
      </w:r>
      <w:r>
        <w:rPr>
          <w:color w:val="231F20"/>
          <w:w w:val="105"/>
        </w:rPr>
        <w:t>Learning</w:t>
      </w:r>
      <w:r>
        <w:rPr>
          <w:color w:val="231F20"/>
          <w:spacing w:val="-16"/>
          <w:w w:val="105"/>
        </w:rPr>
        <w:t> </w:t>
      </w:r>
      <w:r>
        <w:rPr>
          <w:color w:val="231F20"/>
          <w:w w:val="105"/>
        </w:rPr>
        <w:t>from</w:t>
      </w:r>
      <w:r>
        <w:rPr>
          <w:color w:val="231F20"/>
          <w:spacing w:val="-16"/>
          <w:w w:val="105"/>
        </w:rPr>
        <w:t> </w:t>
      </w:r>
      <w:r>
        <w:rPr>
          <w:color w:val="231F20"/>
          <w:w w:val="105"/>
        </w:rPr>
        <w:t>competing partners:</w:t>
      </w:r>
      <w:r>
        <w:rPr>
          <w:color w:val="231F20"/>
          <w:spacing w:val="-24"/>
          <w:w w:val="105"/>
        </w:rPr>
        <w:t> </w:t>
      </w:r>
      <w:r>
        <w:rPr>
          <w:color w:val="231F20"/>
          <w:w w:val="105"/>
        </w:rPr>
        <w:t>Outcomesand</w:t>
      </w:r>
      <w:r>
        <w:rPr>
          <w:color w:val="231F20"/>
          <w:spacing w:val="-24"/>
          <w:w w:val="105"/>
        </w:rPr>
        <w:t> </w:t>
      </w:r>
      <w:r>
        <w:rPr>
          <w:color w:val="231F20"/>
          <w:w w:val="105"/>
        </w:rPr>
        <w:t>durations</w:t>
      </w:r>
      <w:r>
        <w:rPr>
          <w:color w:val="231F20"/>
          <w:spacing w:val="-24"/>
          <w:w w:val="105"/>
        </w:rPr>
        <w:t> </w:t>
      </w:r>
      <w:r>
        <w:rPr>
          <w:color w:val="231F20"/>
          <w:w w:val="105"/>
        </w:rPr>
        <w:t>of</w:t>
      </w:r>
      <w:r>
        <w:rPr>
          <w:color w:val="231F20"/>
          <w:spacing w:val="-20"/>
          <w:w w:val="105"/>
        </w:rPr>
        <w:t> </w:t>
      </w:r>
      <w:r>
        <w:rPr>
          <w:color w:val="231F20"/>
          <w:w w:val="105"/>
        </w:rPr>
        <w:t>scale</w:t>
      </w:r>
      <w:r>
        <w:rPr>
          <w:color w:val="231F20"/>
          <w:spacing w:val="-24"/>
          <w:w w:val="105"/>
        </w:rPr>
        <w:t> </w:t>
      </w:r>
      <w:r>
        <w:rPr>
          <w:color w:val="231F20"/>
          <w:w w:val="105"/>
        </w:rPr>
        <w:t>and</w:t>
      </w:r>
      <w:r>
        <w:rPr>
          <w:color w:val="231F20"/>
          <w:spacing w:val="-24"/>
          <w:w w:val="105"/>
        </w:rPr>
        <w:t> </w:t>
      </w:r>
      <w:r>
        <w:rPr>
          <w:color w:val="231F20"/>
          <w:w w:val="105"/>
        </w:rPr>
        <w:t>link</w:t>
      </w:r>
      <w:r>
        <w:rPr>
          <w:color w:val="231F20"/>
          <w:spacing w:val="-24"/>
          <w:w w:val="105"/>
        </w:rPr>
        <w:t> </w:t>
      </w:r>
      <w:r>
        <w:rPr>
          <w:color w:val="231F20"/>
          <w:w w:val="105"/>
        </w:rPr>
        <w:t>alliances</w:t>
      </w:r>
      <w:r>
        <w:rPr>
          <w:color w:val="231F20"/>
          <w:spacing w:val="-24"/>
          <w:w w:val="105"/>
        </w:rPr>
        <w:t> </w:t>
      </w:r>
      <w:r>
        <w:rPr>
          <w:color w:val="231F20"/>
          <w:w w:val="105"/>
        </w:rPr>
        <w:t>in</w:t>
      </w:r>
      <w:r>
        <w:rPr>
          <w:color w:val="231F20"/>
          <w:spacing w:val="-24"/>
          <w:w w:val="105"/>
        </w:rPr>
        <w:t> </w:t>
      </w:r>
      <w:r>
        <w:rPr>
          <w:color w:val="231F20"/>
          <w:w w:val="105"/>
        </w:rPr>
        <w:t>Eu- rope,</w:t>
      </w:r>
      <w:r>
        <w:rPr>
          <w:color w:val="231F20"/>
          <w:spacing w:val="-25"/>
          <w:w w:val="105"/>
        </w:rPr>
        <w:t> </w:t>
      </w:r>
      <w:r>
        <w:rPr>
          <w:color w:val="231F20"/>
          <w:w w:val="105"/>
        </w:rPr>
        <w:t>North</w:t>
      </w:r>
      <w:r>
        <w:rPr>
          <w:color w:val="231F20"/>
          <w:spacing w:val="-23"/>
          <w:w w:val="105"/>
        </w:rPr>
        <w:t> </w:t>
      </w:r>
      <w:r>
        <w:rPr>
          <w:color w:val="231F20"/>
          <w:w w:val="105"/>
        </w:rPr>
        <w:t>America,</w:t>
      </w:r>
      <w:r>
        <w:rPr>
          <w:color w:val="231F20"/>
          <w:spacing w:val="-25"/>
          <w:w w:val="105"/>
        </w:rPr>
        <w:t> </w:t>
      </w:r>
      <w:r>
        <w:rPr>
          <w:color w:val="231F20"/>
          <w:w w:val="105"/>
        </w:rPr>
        <w:t>and</w:t>
      </w:r>
      <w:r>
        <w:rPr>
          <w:color w:val="231F20"/>
          <w:spacing w:val="-23"/>
          <w:w w:val="105"/>
        </w:rPr>
        <w:t> </w:t>
      </w:r>
      <w:r>
        <w:rPr>
          <w:color w:val="231F20"/>
          <w:w w:val="105"/>
        </w:rPr>
        <w:t>Asia.</w:t>
      </w:r>
      <w:r>
        <w:rPr>
          <w:color w:val="231F20"/>
          <w:spacing w:val="-25"/>
          <w:w w:val="105"/>
        </w:rPr>
        <w:t> </w:t>
      </w:r>
      <w:r>
        <w:rPr>
          <w:i/>
          <w:color w:val="231F20"/>
          <w:w w:val="105"/>
        </w:rPr>
        <w:t>Strategic</w:t>
      </w:r>
      <w:r>
        <w:rPr>
          <w:i/>
          <w:color w:val="231F20"/>
          <w:spacing w:val="-20"/>
          <w:w w:val="105"/>
        </w:rPr>
        <w:t> </w:t>
      </w:r>
      <w:r>
        <w:rPr>
          <w:i/>
          <w:color w:val="231F20"/>
          <w:w w:val="105"/>
        </w:rPr>
        <w:t>Management</w:t>
      </w:r>
      <w:r>
        <w:rPr>
          <w:i/>
          <w:color w:val="231F20"/>
          <w:spacing w:val="-22"/>
          <w:w w:val="105"/>
        </w:rPr>
        <w:t> </w:t>
      </w:r>
      <w:r>
        <w:rPr>
          <w:i/>
          <w:color w:val="231F20"/>
          <w:w w:val="105"/>
        </w:rPr>
        <w:t>Journal</w:t>
      </w:r>
      <w:r>
        <w:rPr>
          <w:color w:val="231F20"/>
          <w:w w:val="105"/>
        </w:rPr>
        <w:t>,</w:t>
      </w:r>
      <w:r>
        <w:rPr>
          <w:color w:val="231F20"/>
          <w:spacing w:val="-25"/>
          <w:w w:val="105"/>
        </w:rPr>
        <w:t> </w:t>
      </w:r>
      <w:r>
        <w:rPr>
          <w:color w:val="231F20"/>
          <w:w w:val="105"/>
        </w:rPr>
        <w:t>21 </w:t>
      </w:r>
      <w:r>
        <w:rPr>
          <w:color w:val="231F20"/>
        </w:rPr>
        <w:t>(2):</w:t>
      </w:r>
      <w:r>
        <w:rPr>
          <w:color w:val="231F20"/>
          <w:spacing w:val="8"/>
        </w:rPr>
        <w:t> </w:t>
      </w:r>
      <w:r>
        <w:rPr>
          <w:color w:val="231F20"/>
        </w:rPr>
        <w:t>99-126.</w:t>
      </w:r>
    </w:p>
    <w:p>
      <w:pPr>
        <w:spacing w:line="259" w:lineRule="auto" w:before="0"/>
        <w:ind w:left="844" w:right="123" w:hanging="738"/>
        <w:jc w:val="both"/>
        <w:rPr>
          <w:sz w:val="21"/>
        </w:rPr>
      </w:pPr>
      <w:r>
        <w:rPr>
          <w:color w:val="231F20"/>
          <w:sz w:val="21"/>
        </w:rPr>
        <w:t>Fernández Alles, M. y Camelo Ordaz, C. (2014). La gestión de los equipos de dirección de las </w:t>
      </w:r>
      <w:r>
        <w:rPr>
          <w:i/>
          <w:color w:val="231F20"/>
          <w:sz w:val="21"/>
        </w:rPr>
        <w:t>joint venture</w:t>
      </w:r>
      <w:r>
        <w:rPr>
          <w:color w:val="231F20"/>
          <w:sz w:val="21"/>
        </w:rPr>
        <w:t>s desde un enfoque de recursos humanos. </w:t>
      </w:r>
      <w:r>
        <w:rPr>
          <w:i/>
          <w:color w:val="231F20"/>
          <w:sz w:val="21"/>
        </w:rPr>
        <w:t>Universia Business Review</w:t>
      </w:r>
      <w:r>
        <w:rPr>
          <w:color w:val="231F20"/>
          <w:sz w:val="21"/>
        </w:rPr>
        <w:t>, 41: 40-50</w:t>
      </w:r>
    </w:p>
    <w:p>
      <w:pPr>
        <w:pStyle w:val="BodyText"/>
        <w:spacing w:line="259" w:lineRule="auto"/>
        <w:ind w:left="844" w:right="119" w:hanging="738"/>
        <w:jc w:val="both"/>
      </w:pPr>
      <w:r>
        <w:rPr>
          <w:color w:val="231F20"/>
          <w:spacing w:val="-4"/>
          <w:w w:val="105"/>
        </w:rPr>
        <w:t>Gary,</w:t>
      </w:r>
      <w:r>
        <w:rPr>
          <w:color w:val="231F20"/>
          <w:spacing w:val="-24"/>
          <w:w w:val="105"/>
        </w:rPr>
        <w:t> </w:t>
      </w:r>
      <w:r>
        <w:rPr>
          <w:color w:val="231F20"/>
          <w:w w:val="105"/>
        </w:rPr>
        <w:t>M.</w:t>
      </w:r>
      <w:r>
        <w:rPr>
          <w:color w:val="231F20"/>
          <w:spacing w:val="-24"/>
          <w:w w:val="105"/>
        </w:rPr>
        <w:t> </w:t>
      </w:r>
      <w:r>
        <w:rPr>
          <w:color w:val="231F20"/>
          <w:spacing w:val="-3"/>
          <w:w w:val="105"/>
        </w:rPr>
        <w:t>(2005).</w:t>
      </w:r>
      <w:r>
        <w:rPr>
          <w:color w:val="231F20"/>
          <w:spacing w:val="-24"/>
          <w:w w:val="105"/>
        </w:rPr>
        <w:t> </w:t>
      </w:r>
      <w:r>
        <w:rPr>
          <w:color w:val="231F20"/>
          <w:spacing w:val="-3"/>
          <w:w w:val="105"/>
        </w:rPr>
        <w:t>Implementation</w:t>
      </w:r>
      <w:r>
        <w:rPr>
          <w:color w:val="231F20"/>
          <w:spacing w:val="-19"/>
          <w:w w:val="105"/>
        </w:rPr>
        <w:t> </w:t>
      </w:r>
      <w:r>
        <w:rPr>
          <w:color w:val="231F20"/>
          <w:spacing w:val="-4"/>
          <w:w w:val="105"/>
        </w:rPr>
        <w:t>strategy</w:t>
      </w:r>
      <w:r>
        <w:rPr>
          <w:color w:val="231F20"/>
          <w:spacing w:val="-19"/>
          <w:w w:val="105"/>
        </w:rPr>
        <w:t> </w:t>
      </w:r>
      <w:r>
        <w:rPr>
          <w:color w:val="231F20"/>
          <w:w w:val="105"/>
        </w:rPr>
        <w:t>and</w:t>
      </w:r>
      <w:r>
        <w:rPr>
          <w:color w:val="231F20"/>
          <w:spacing w:val="-19"/>
          <w:w w:val="105"/>
        </w:rPr>
        <w:t> </w:t>
      </w:r>
      <w:r>
        <w:rPr>
          <w:color w:val="231F20"/>
          <w:spacing w:val="-3"/>
          <w:w w:val="105"/>
        </w:rPr>
        <w:t>performance</w:t>
      </w:r>
      <w:r>
        <w:rPr>
          <w:color w:val="231F20"/>
          <w:spacing w:val="-19"/>
          <w:w w:val="105"/>
        </w:rPr>
        <w:t> </w:t>
      </w:r>
      <w:r>
        <w:rPr>
          <w:color w:val="231F20"/>
          <w:spacing w:val="-3"/>
          <w:w w:val="105"/>
        </w:rPr>
        <w:t>outcomes</w:t>
      </w:r>
      <w:r>
        <w:rPr>
          <w:color w:val="231F20"/>
          <w:spacing w:val="-19"/>
          <w:w w:val="105"/>
        </w:rPr>
        <w:t> </w:t>
      </w:r>
      <w:r>
        <w:rPr>
          <w:color w:val="231F20"/>
          <w:w w:val="105"/>
        </w:rPr>
        <w:t>in</w:t>
      </w:r>
      <w:r>
        <w:rPr>
          <w:color w:val="231F20"/>
          <w:spacing w:val="-19"/>
          <w:w w:val="105"/>
        </w:rPr>
        <w:t> </w:t>
      </w:r>
      <w:r>
        <w:rPr>
          <w:color w:val="231F20"/>
          <w:spacing w:val="-3"/>
          <w:w w:val="105"/>
        </w:rPr>
        <w:t>re- lated</w:t>
      </w:r>
      <w:r>
        <w:rPr>
          <w:color w:val="231F20"/>
          <w:spacing w:val="-40"/>
          <w:w w:val="105"/>
        </w:rPr>
        <w:t> </w:t>
      </w:r>
      <w:r>
        <w:rPr>
          <w:color w:val="231F20"/>
          <w:spacing w:val="-3"/>
          <w:w w:val="105"/>
        </w:rPr>
        <w:t>diversification.</w:t>
      </w:r>
      <w:r>
        <w:rPr>
          <w:color w:val="231F20"/>
          <w:spacing w:val="-43"/>
          <w:w w:val="105"/>
        </w:rPr>
        <w:t> </w:t>
      </w:r>
      <w:r>
        <w:rPr>
          <w:i/>
          <w:color w:val="231F20"/>
          <w:spacing w:val="-4"/>
          <w:w w:val="105"/>
        </w:rPr>
        <w:t>Strategic</w:t>
      </w:r>
      <w:r>
        <w:rPr>
          <w:i/>
          <w:color w:val="231F20"/>
          <w:spacing w:val="-40"/>
          <w:w w:val="105"/>
        </w:rPr>
        <w:t> </w:t>
      </w:r>
      <w:r>
        <w:rPr>
          <w:i/>
          <w:color w:val="231F20"/>
          <w:spacing w:val="-3"/>
          <w:w w:val="105"/>
        </w:rPr>
        <w:t>Management</w:t>
      </w:r>
      <w:r>
        <w:rPr>
          <w:i/>
          <w:color w:val="231F20"/>
          <w:spacing w:val="-41"/>
          <w:w w:val="105"/>
        </w:rPr>
        <w:t> </w:t>
      </w:r>
      <w:r>
        <w:rPr>
          <w:i/>
          <w:color w:val="231F20"/>
          <w:spacing w:val="-3"/>
          <w:w w:val="105"/>
        </w:rPr>
        <w:t>Journal</w:t>
      </w:r>
      <w:r>
        <w:rPr>
          <w:color w:val="231F20"/>
          <w:spacing w:val="-3"/>
          <w:w w:val="105"/>
        </w:rPr>
        <w:t>,</w:t>
      </w:r>
      <w:r>
        <w:rPr>
          <w:color w:val="231F20"/>
          <w:spacing w:val="-43"/>
          <w:w w:val="105"/>
        </w:rPr>
        <w:t> </w:t>
      </w:r>
      <w:r>
        <w:rPr>
          <w:color w:val="231F20"/>
          <w:w w:val="105"/>
        </w:rPr>
        <w:t>26</w:t>
      </w:r>
      <w:r>
        <w:rPr>
          <w:color w:val="231F20"/>
          <w:spacing w:val="-40"/>
          <w:w w:val="105"/>
        </w:rPr>
        <w:t> </w:t>
      </w:r>
      <w:r>
        <w:rPr>
          <w:color w:val="231F20"/>
          <w:spacing w:val="-3"/>
          <w:w w:val="105"/>
        </w:rPr>
        <w:t>(7):</w:t>
      </w:r>
      <w:r>
        <w:rPr>
          <w:color w:val="231F20"/>
          <w:spacing w:val="-40"/>
          <w:w w:val="105"/>
        </w:rPr>
        <w:t> </w:t>
      </w:r>
      <w:r>
        <w:rPr>
          <w:color w:val="231F20"/>
          <w:spacing w:val="-3"/>
          <w:w w:val="105"/>
        </w:rPr>
        <w:t>643-664.</w:t>
      </w:r>
    </w:p>
    <w:p>
      <w:pPr>
        <w:pStyle w:val="BodyText"/>
        <w:spacing w:line="259" w:lineRule="auto"/>
        <w:ind w:left="844" w:right="123" w:hanging="738"/>
        <w:jc w:val="both"/>
      </w:pPr>
      <w:r>
        <w:rPr>
          <w:color w:val="231F20"/>
          <w:w w:val="105"/>
        </w:rPr>
        <w:t>Grupo Bimbo. (2007). Mundo Dulce, una idea de México y Argentina para América. </w:t>
      </w:r>
      <w:r>
        <w:rPr>
          <w:i/>
          <w:color w:val="231F20"/>
          <w:w w:val="105"/>
        </w:rPr>
        <w:t>Comunicados</w:t>
      </w:r>
      <w:r>
        <w:rPr>
          <w:color w:val="231F20"/>
          <w:w w:val="105"/>
        </w:rPr>
        <w:t>.</w:t>
      </w:r>
      <w:r>
        <w:rPr>
          <w:color w:val="231F20"/>
          <w:spacing w:val="-36"/>
          <w:w w:val="105"/>
        </w:rPr>
        <w:t> </w:t>
      </w:r>
      <w:hyperlink r:id="rId86">
        <w:r>
          <w:rPr>
            <w:color w:val="231F20"/>
            <w:w w:val="105"/>
          </w:rPr>
          <w:t>http://www.grupobimbo.com/es/sa-</w:t>
        </w:r>
      </w:hyperlink>
      <w:r>
        <w:rPr>
          <w:color w:val="231F20"/>
          <w:w w:val="105"/>
        </w:rPr>
        <w:t> la-de-prensa/comunicados-de-prensa/20071/septiembre4/mun- do-dulce.html.</w:t>
      </w:r>
      <w:r>
        <w:rPr>
          <w:color w:val="231F20"/>
          <w:spacing w:val="-14"/>
          <w:w w:val="105"/>
        </w:rPr>
        <w:t> </w:t>
      </w:r>
      <w:r>
        <w:rPr>
          <w:color w:val="231F20"/>
          <w:w w:val="105"/>
        </w:rPr>
        <w:t>Septiembre.</w:t>
      </w:r>
    </w:p>
    <w:p>
      <w:pPr>
        <w:pStyle w:val="BodyText"/>
        <w:spacing w:line="259" w:lineRule="auto"/>
        <w:ind w:left="844" w:right="124" w:hanging="737"/>
        <w:jc w:val="both"/>
      </w:pPr>
      <w:r>
        <w:rPr>
          <w:color w:val="231F20"/>
          <w:w w:val="105"/>
        </w:rPr>
        <w:t>Helfat,</w:t>
      </w:r>
      <w:r>
        <w:rPr>
          <w:color w:val="231F20"/>
          <w:spacing w:val="-43"/>
          <w:w w:val="105"/>
        </w:rPr>
        <w:t> </w:t>
      </w:r>
      <w:r>
        <w:rPr>
          <w:color w:val="231F20"/>
          <w:w w:val="105"/>
        </w:rPr>
        <w:t>C.</w:t>
      </w:r>
      <w:r>
        <w:rPr>
          <w:color w:val="231F20"/>
          <w:spacing w:val="-43"/>
          <w:w w:val="105"/>
        </w:rPr>
        <w:t> </w:t>
      </w:r>
      <w:r>
        <w:rPr>
          <w:color w:val="231F20"/>
          <w:w w:val="105"/>
        </w:rPr>
        <w:t>E.,</w:t>
      </w:r>
      <w:r>
        <w:rPr>
          <w:color w:val="231F20"/>
          <w:spacing w:val="-43"/>
          <w:w w:val="105"/>
        </w:rPr>
        <w:t> </w:t>
      </w:r>
      <w:r>
        <w:rPr>
          <w:color w:val="231F20"/>
          <w:w w:val="105"/>
        </w:rPr>
        <w:t>y</w:t>
      </w:r>
      <w:r>
        <w:rPr>
          <w:color w:val="231F20"/>
          <w:spacing w:val="-40"/>
          <w:w w:val="105"/>
        </w:rPr>
        <w:t> </w:t>
      </w:r>
      <w:r>
        <w:rPr>
          <w:color w:val="231F20"/>
          <w:w w:val="105"/>
        </w:rPr>
        <w:t>Eisenhardt,</w:t>
      </w:r>
      <w:r>
        <w:rPr>
          <w:color w:val="231F20"/>
          <w:spacing w:val="-43"/>
          <w:w w:val="105"/>
        </w:rPr>
        <w:t> </w:t>
      </w:r>
      <w:r>
        <w:rPr>
          <w:color w:val="231F20"/>
          <w:w w:val="105"/>
        </w:rPr>
        <w:t>K.</w:t>
      </w:r>
      <w:r>
        <w:rPr>
          <w:color w:val="231F20"/>
          <w:spacing w:val="-43"/>
          <w:w w:val="105"/>
        </w:rPr>
        <w:t> </w:t>
      </w:r>
      <w:r>
        <w:rPr>
          <w:color w:val="231F20"/>
          <w:w w:val="105"/>
        </w:rPr>
        <w:t>(2004).Inter-temporal</w:t>
      </w:r>
      <w:r>
        <w:rPr>
          <w:color w:val="231F20"/>
          <w:spacing w:val="-40"/>
          <w:w w:val="105"/>
        </w:rPr>
        <w:t> </w:t>
      </w:r>
      <w:r>
        <w:rPr>
          <w:color w:val="231F20"/>
          <w:w w:val="105"/>
        </w:rPr>
        <w:t>economies</w:t>
      </w:r>
      <w:r>
        <w:rPr>
          <w:color w:val="231F20"/>
          <w:spacing w:val="-40"/>
          <w:w w:val="105"/>
        </w:rPr>
        <w:t> </w:t>
      </w:r>
      <w:r>
        <w:rPr>
          <w:color w:val="231F20"/>
          <w:w w:val="105"/>
        </w:rPr>
        <w:t>of</w:t>
      </w:r>
      <w:r>
        <w:rPr>
          <w:color w:val="231F20"/>
          <w:spacing w:val="-38"/>
          <w:w w:val="105"/>
        </w:rPr>
        <w:t> </w:t>
      </w:r>
      <w:r>
        <w:rPr>
          <w:color w:val="231F20"/>
          <w:w w:val="105"/>
        </w:rPr>
        <w:t>scope,</w:t>
      </w:r>
      <w:r>
        <w:rPr>
          <w:color w:val="231F20"/>
          <w:spacing w:val="-43"/>
          <w:w w:val="105"/>
        </w:rPr>
        <w:t> </w:t>
      </w:r>
      <w:r>
        <w:rPr>
          <w:color w:val="231F20"/>
          <w:w w:val="105"/>
        </w:rPr>
        <w:t>or- ganizational</w:t>
      </w:r>
      <w:r>
        <w:rPr>
          <w:color w:val="231F20"/>
          <w:spacing w:val="-12"/>
          <w:w w:val="105"/>
        </w:rPr>
        <w:t> </w:t>
      </w:r>
      <w:r>
        <w:rPr>
          <w:color w:val="231F20"/>
          <w:w w:val="105"/>
        </w:rPr>
        <w:t>modularity,</w:t>
      </w:r>
      <w:r>
        <w:rPr>
          <w:color w:val="231F20"/>
          <w:spacing w:val="-17"/>
          <w:w w:val="105"/>
        </w:rPr>
        <w:t> </w:t>
      </w:r>
      <w:r>
        <w:rPr>
          <w:color w:val="231F20"/>
          <w:w w:val="105"/>
        </w:rPr>
        <w:t>and</w:t>
      </w:r>
      <w:r>
        <w:rPr>
          <w:color w:val="231F20"/>
          <w:spacing w:val="-12"/>
          <w:w w:val="105"/>
        </w:rPr>
        <w:t> </w:t>
      </w:r>
      <w:r>
        <w:rPr>
          <w:color w:val="231F20"/>
          <w:w w:val="105"/>
        </w:rPr>
        <w:t>the</w:t>
      </w:r>
      <w:r>
        <w:rPr>
          <w:color w:val="231F20"/>
          <w:spacing w:val="-12"/>
          <w:w w:val="105"/>
        </w:rPr>
        <w:t> </w:t>
      </w:r>
      <w:r>
        <w:rPr>
          <w:color w:val="231F20"/>
          <w:w w:val="105"/>
        </w:rPr>
        <w:t>dynamics</w:t>
      </w:r>
      <w:r>
        <w:rPr>
          <w:color w:val="231F20"/>
          <w:spacing w:val="-12"/>
          <w:w w:val="105"/>
        </w:rPr>
        <w:t> </w:t>
      </w:r>
      <w:r>
        <w:rPr>
          <w:color w:val="231F20"/>
          <w:w w:val="105"/>
        </w:rPr>
        <w:t>of</w:t>
      </w:r>
      <w:r>
        <w:rPr>
          <w:color w:val="231F20"/>
          <w:spacing w:val="-8"/>
          <w:w w:val="105"/>
        </w:rPr>
        <w:t> </w:t>
      </w:r>
      <w:r>
        <w:rPr>
          <w:color w:val="231F20"/>
          <w:w w:val="105"/>
        </w:rPr>
        <w:t>diversification.</w:t>
      </w:r>
      <w:r>
        <w:rPr>
          <w:color w:val="231F20"/>
          <w:spacing w:val="-17"/>
          <w:w w:val="105"/>
        </w:rPr>
        <w:t> </w:t>
      </w:r>
      <w:r>
        <w:rPr>
          <w:i/>
          <w:color w:val="231F20"/>
          <w:w w:val="105"/>
        </w:rPr>
        <w:t>Stra- </w:t>
      </w:r>
      <w:r>
        <w:rPr>
          <w:i/>
          <w:color w:val="231F20"/>
          <w:w w:val="105"/>
        </w:rPr>
        <w:t>tegic</w:t>
      </w:r>
      <w:r>
        <w:rPr>
          <w:i/>
          <w:color w:val="231F20"/>
          <w:spacing w:val="-25"/>
          <w:w w:val="105"/>
        </w:rPr>
        <w:t> </w:t>
      </w:r>
      <w:r>
        <w:rPr>
          <w:i/>
          <w:color w:val="231F20"/>
          <w:w w:val="105"/>
        </w:rPr>
        <w:t>Management</w:t>
      </w:r>
      <w:r>
        <w:rPr>
          <w:i/>
          <w:color w:val="231F20"/>
          <w:spacing w:val="-27"/>
          <w:w w:val="105"/>
        </w:rPr>
        <w:t> </w:t>
      </w:r>
      <w:r>
        <w:rPr>
          <w:i/>
          <w:color w:val="231F20"/>
          <w:w w:val="105"/>
        </w:rPr>
        <w:t>Journal</w:t>
      </w:r>
      <w:r>
        <w:rPr>
          <w:color w:val="231F20"/>
          <w:w w:val="105"/>
        </w:rPr>
        <w:t>,</w:t>
      </w:r>
      <w:r>
        <w:rPr>
          <w:color w:val="231F20"/>
          <w:spacing w:val="-30"/>
          <w:w w:val="105"/>
        </w:rPr>
        <w:t> </w:t>
      </w:r>
      <w:r>
        <w:rPr>
          <w:color w:val="231F20"/>
          <w:w w:val="105"/>
        </w:rPr>
        <w:t>25</w:t>
      </w:r>
      <w:r>
        <w:rPr>
          <w:color w:val="231F20"/>
          <w:spacing w:val="-25"/>
          <w:w w:val="105"/>
        </w:rPr>
        <w:t> </w:t>
      </w:r>
      <w:r>
        <w:rPr>
          <w:color w:val="231F20"/>
          <w:w w:val="105"/>
        </w:rPr>
        <w:t>(13):</w:t>
      </w:r>
      <w:r>
        <w:rPr>
          <w:color w:val="231F20"/>
          <w:spacing w:val="-25"/>
          <w:w w:val="105"/>
        </w:rPr>
        <w:t> </w:t>
      </w:r>
      <w:r>
        <w:rPr>
          <w:color w:val="231F20"/>
          <w:w w:val="105"/>
        </w:rPr>
        <w:t>1217-1232.</w:t>
      </w:r>
    </w:p>
    <w:p>
      <w:pPr>
        <w:pStyle w:val="BodyText"/>
        <w:rPr>
          <w:sz w:val="20"/>
        </w:rPr>
      </w:pPr>
    </w:p>
    <w:p>
      <w:pPr>
        <w:pStyle w:val="BodyText"/>
        <w:rPr>
          <w:sz w:val="20"/>
        </w:rPr>
      </w:pPr>
    </w:p>
    <w:p>
      <w:pPr>
        <w:pStyle w:val="BodyText"/>
        <w:rPr>
          <w:sz w:val="20"/>
        </w:rPr>
      </w:pPr>
    </w:p>
    <w:p>
      <w:pPr>
        <w:pStyle w:val="BodyText"/>
        <w:spacing w:before="7"/>
      </w:pPr>
    </w:p>
    <w:p>
      <w:pPr>
        <w:tabs>
          <w:tab w:pos="1377" w:val="left" w:leader="none"/>
        </w:tabs>
        <w:spacing w:before="70"/>
        <w:ind w:left="272" w:right="224" w:firstLine="0"/>
        <w:jc w:val="left"/>
        <w:rPr>
          <w:rFonts w:ascii="Calibri" w:hAnsi="Calibri"/>
          <w:sz w:val="15"/>
        </w:rPr>
      </w:pPr>
      <w:r>
        <w:rPr/>
        <w:pict>
          <v:group style="position:absolute;margin-left:101.817299pt;margin-top:-16.799887pt;width:17.850pt;height:56.5pt;mso-position-horizontal-relative:page;mso-position-vertical-relative:paragraph;z-index:-24193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156</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140" w:right="126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pStyle w:val="ListParagraph"/>
        <w:numPr>
          <w:ilvl w:val="0"/>
          <w:numId w:val="48"/>
        </w:numPr>
        <w:tabs>
          <w:tab w:pos="691" w:val="left" w:leader="none"/>
        </w:tabs>
        <w:spacing w:line="180" w:lineRule="exact" w:before="61" w:after="0"/>
        <w:ind w:left="236" w:right="0" w:firstLine="268"/>
        <w:jc w:val="left"/>
        <w:rPr>
          <w:rFonts w:ascii="Lucida Sans Unicode" w:hAnsi="Lucida Sans Unicode"/>
          <w:color w:val="6D6E71"/>
          <w:sz w:val="14"/>
        </w:rPr>
      </w:pPr>
      <w:r>
        <w:rPr/>
        <w:pict>
          <v:line style="position:absolute;mso-position-horizontal-relative:page;mso-position-vertical-relative:paragraph;z-index:6016" from="384.061005pt,-25.331028pt" to="384.061005pt,9.534822pt" stroked="true" strokeweight=".3pt" strokecolor="#231f20">
            <w10:wrap type="none"/>
          </v:line>
        </w:pict>
      </w:r>
      <w:r>
        <w:rPr>
          <w:rFonts w:ascii="Lucida Sans Unicode" w:hAnsi="Lucida Sans Unicode"/>
          <w:color w:val="6D6E71"/>
          <w:w w:val="110"/>
          <w:sz w:val="14"/>
        </w:rPr>
        <w:t>Anál</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w w:val="78"/>
          <w:sz w:val="14"/>
        </w:rPr>
        <w:t>I</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3"/>
          <w:sz w:val="14"/>
        </w:rPr>
        <w:t>del</w:t>
      </w:r>
      <w:r>
        <w:rPr>
          <w:rFonts w:ascii="Lucida Sans Unicode" w:hAnsi="Lucida Sans Unicode"/>
          <w:color w:val="6D6E71"/>
          <w:spacing w:val="-6"/>
          <w:sz w:val="14"/>
        </w:rPr>
        <w:t> </w:t>
      </w:r>
      <w:r>
        <w:rPr>
          <w:rFonts w:ascii="Lucida Sans Unicode" w:hAnsi="Lucida Sans Unicode"/>
          <w:color w:val="6D6E71"/>
          <w:w w:val="112"/>
          <w:sz w:val="14"/>
        </w:rPr>
        <w:t>efec</w:t>
      </w:r>
      <w:r>
        <w:rPr>
          <w:rFonts w:ascii="Lucida Sans Unicode" w:hAnsi="Lucida Sans Unicode"/>
          <w:color w:val="6D6E71"/>
          <w:spacing w:val="-2"/>
          <w:w w:val="112"/>
          <w:sz w:val="14"/>
        </w:rPr>
        <w:t>t</w:t>
      </w:r>
      <w:r>
        <w:rPr>
          <w:rFonts w:ascii="Lucida Sans Unicode" w:hAnsi="Lucida Sans Unicode"/>
          <w:color w:val="6D6E71"/>
          <w:w w:val="109"/>
          <w:sz w:val="14"/>
        </w:rPr>
        <w:t>o</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spacing w:val="-2"/>
          <w:w w:val="140"/>
          <w:sz w:val="14"/>
        </w:rPr>
        <w:t>f</w:t>
      </w:r>
      <w:r>
        <w:rPr>
          <w:rFonts w:ascii="Lucida Sans Unicode" w:hAnsi="Lucida Sans Unicode"/>
          <w:color w:val="6D6E71"/>
          <w:w w:val="103"/>
          <w:sz w:val="14"/>
        </w:rPr>
        <w:t>orm</w:t>
      </w:r>
      <w:r>
        <w:rPr>
          <w:rFonts w:ascii="Lucida Sans Unicode" w:hAnsi="Lucida Sans Unicode"/>
          <w:color w:val="6D6E71"/>
          <w:spacing w:val="-3"/>
          <w:w w:val="87"/>
          <w:sz w:val="14"/>
        </w:rPr>
        <w:t>A</w:t>
      </w:r>
      <w:r>
        <w:rPr>
          <w:rFonts w:ascii="Lucida Sans Unicode" w:hAnsi="Lucida Sans Unicode"/>
          <w:color w:val="6D6E71"/>
          <w:w w:val="109"/>
          <w:sz w:val="14"/>
        </w:rPr>
        <w:t>c</w:t>
      </w:r>
      <w:r>
        <w:rPr>
          <w:rFonts w:ascii="Lucida Sans Unicode" w:hAnsi="Lucida Sans Unicode"/>
          <w:color w:val="6D6E71"/>
          <w:w w:val="78"/>
          <w:sz w:val="14"/>
        </w:rPr>
        <w:t>I</w:t>
      </w:r>
      <w:r>
        <w:rPr>
          <w:rFonts w:ascii="Lucida Sans Unicode" w:hAnsi="Lucida Sans Unicode"/>
          <w:color w:val="6D6E71"/>
          <w:w w:val="107"/>
          <w:sz w:val="14"/>
        </w:rPr>
        <w:t>ón</w:t>
      </w:r>
      <w:r>
        <w:rPr>
          <w:rFonts w:ascii="Lucida Sans Unicode" w:hAnsi="Lucida Sans Unicode"/>
          <w:color w:val="6D6E71"/>
          <w:spacing w:val="-6"/>
          <w:sz w:val="14"/>
        </w:rPr>
        <w:t> </w:t>
      </w:r>
      <w:r>
        <w:rPr>
          <w:rFonts w:ascii="Lucida Sans Unicode" w:hAnsi="Lucida Sans Unicode"/>
          <w:color w:val="6D6E71"/>
          <w:w w:val="99"/>
          <w:sz w:val="14"/>
        </w:rPr>
        <w:t>de</w:t>
      </w:r>
      <w:r>
        <w:rPr>
          <w:rFonts w:ascii="Lucida Sans Unicode" w:hAnsi="Lucida Sans Unicode"/>
          <w:color w:val="6D6E71"/>
          <w:spacing w:val="-6"/>
          <w:sz w:val="14"/>
        </w:rPr>
        <w:t> </w:t>
      </w:r>
      <w:r>
        <w:rPr>
          <w:rFonts w:ascii="Lucida Sans Unicode" w:hAnsi="Lucida Sans Unicode"/>
          <w:color w:val="6D6E71"/>
          <w:w w:val="87"/>
          <w:sz w:val="14"/>
        </w:rPr>
        <w:t>A</w:t>
      </w:r>
      <w:r>
        <w:rPr>
          <w:rFonts w:ascii="Lucida Sans Unicode" w:hAnsi="Lucida Sans Unicode"/>
          <w:color w:val="6D6E71"/>
          <w:w w:val="174"/>
          <w:sz w:val="14"/>
        </w:rPr>
        <w:t>l</w:t>
      </w:r>
      <w:r>
        <w:rPr>
          <w:rFonts w:ascii="Lucida Sans Unicode" w:hAnsi="Lucida Sans Unicode"/>
          <w:color w:val="6D6E71"/>
          <w:w w:val="85"/>
          <w:sz w:val="14"/>
        </w:rPr>
        <w:t>IA</w:t>
      </w:r>
      <w:r>
        <w:rPr>
          <w:rFonts w:ascii="Lucida Sans Unicode" w:hAnsi="Lucida Sans Unicode"/>
          <w:color w:val="6D6E71"/>
          <w:w w:val="100"/>
          <w:sz w:val="14"/>
        </w:rPr>
        <w:t>nz</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16"/>
          <w:sz w:val="14"/>
        </w:rPr>
        <w:t>estr</w:t>
      </w:r>
      <w:r>
        <w:rPr>
          <w:rFonts w:ascii="Lucida Sans Unicode" w:hAnsi="Lucida Sans Unicode"/>
          <w:color w:val="6D6E71"/>
          <w:spacing w:val="-9"/>
          <w:w w:val="87"/>
          <w:sz w:val="14"/>
        </w:rPr>
        <w:t>A</w:t>
      </w:r>
      <w:r>
        <w:rPr>
          <w:rFonts w:ascii="Lucida Sans Unicode" w:hAnsi="Lucida Sans Unicode"/>
          <w:color w:val="6D6E71"/>
          <w:w w:val="111"/>
          <w:sz w:val="14"/>
        </w:rPr>
        <w:t>t</w:t>
      </w:r>
      <w:r>
        <w:rPr>
          <w:rFonts w:ascii="Lucida Sans Unicode" w:hAnsi="Lucida Sans Unicode"/>
          <w:color w:val="6D6E71"/>
          <w:spacing w:val="-2"/>
          <w:w w:val="111"/>
          <w:sz w:val="14"/>
        </w:rPr>
        <w:t>é</w:t>
      </w:r>
      <w:r>
        <w:rPr>
          <w:rFonts w:ascii="Lucida Sans Unicode" w:hAnsi="Lucida Sans Unicode"/>
          <w:color w:val="6D6E71"/>
          <w:w w:val="101"/>
          <w:sz w:val="14"/>
        </w:rPr>
        <w:t>g</w:t>
      </w:r>
      <w:r>
        <w:rPr>
          <w:rFonts w:ascii="Lucida Sans Unicode" w:hAnsi="Lucida Sans Unicode"/>
          <w:color w:val="6D6E71"/>
          <w:w w:val="78"/>
          <w:sz w:val="14"/>
        </w:rPr>
        <w:t>I</w:t>
      </w:r>
      <w:r>
        <w:rPr>
          <w:rFonts w:ascii="Lucida Sans Unicode" w:hAnsi="Lucida Sans Unicode"/>
          <w:color w:val="6D6E71"/>
          <w:w w:val="109"/>
          <w:sz w:val="14"/>
        </w:rPr>
        <w:t>c</w:t>
      </w:r>
      <w:r>
        <w:rPr>
          <w:rFonts w:ascii="Lucida Sans Unicode" w:hAnsi="Lucida Sans Unicode"/>
          <w:color w:val="6D6E71"/>
          <w:w w:val="87"/>
          <w:sz w:val="14"/>
        </w:rPr>
        <w:t>A</w:t>
      </w:r>
      <w:r>
        <w:rPr>
          <w:rFonts w:ascii="Lucida Sans Unicode" w:hAnsi="Lucida Sans Unicode"/>
          <w:color w:val="6D6E71"/>
          <w:w w:val="102"/>
          <w:sz w:val="14"/>
        </w:rPr>
        <w:t>s</w:t>
      </w:r>
      <w:r>
        <w:rPr>
          <w:rFonts w:ascii="Lucida Sans Unicode" w:hAnsi="Lucida Sans Unicode"/>
          <w:color w:val="6D6E71"/>
          <w:spacing w:val="-6"/>
          <w:sz w:val="14"/>
        </w:rPr>
        <w:t> </w:t>
      </w:r>
      <w:r>
        <w:rPr>
          <w:rFonts w:ascii="Lucida Sans Unicode" w:hAnsi="Lucida Sans Unicode"/>
          <w:color w:val="6D6E71"/>
          <w:w w:val="101"/>
          <w:sz w:val="14"/>
        </w:rPr>
        <w:t>en</w:t>
      </w:r>
      <w:r>
        <w:rPr>
          <w:rFonts w:ascii="Lucida Sans Unicode" w:hAnsi="Lucida Sans Unicode"/>
          <w:color w:val="6D6E71"/>
          <w:spacing w:val="-6"/>
          <w:sz w:val="14"/>
        </w:rPr>
        <w:t> </w:t>
      </w:r>
      <w:r>
        <w:rPr>
          <w:rFonts w:ascii="Lucida Sans Unicode" w:hAnsi="Lucida Sans Unicode"/>
          <w:color w:val="6D6E71"/>
          <w:spacing w:val="1"/>
          <w:w w:val="174"/>
          <w:sz w:val="14"/>
        </w:rPr>
        <w:t>l</w:t>
      </w:r>
      <w:r>
        <w:rPr>
          <w:rFonts w:ascii="Lucida Sans Unicode" w:hAnsi="Lucida Sans Unicode"/>
          <w:color w:val="6D6E71"/>
          <w:w w:val="87"/>
          <w:sz w:val="14"/>
        </w:rPr>
        <w:t>A</w:t>
      </w:r>
      <w:r>
        <w:rPr>
          <w:rFonts w:ascii="Lucida Sans Unicode" w:hAnsi="Lucida Sans Unicode"/>
          <w:color w:val="6D6E71"/>
          <w:spacing w:val="-6"/>
          <w:sz w:val="14"/>
        </w:rPr>
        <w:t> </w:t>
      </w:r>
      <w:r>
        <w:rPr>
          <w:rFonts w:ascii="Lucida Sans Unicode" w:hAnsi="Lucida Sans Unicode"/>
          <w:color w:val="6D6E71"/>
          <w:w w:val="116"/>
          <w:sz w:val="14"/>
        </w:rPr>
        <w:t>ren</w:t>
      </w:r>
      <w:r>
        <w:rPr>
          <w:rFonts w:ascii="Lucida Sans Unicode" w:hAnsi="Lucida Sans Unicode"/>
          <w:color w:val="6D6E71"/>
          <w:spacing w:val="-9"/>
          <w:w w:val="116"/>
          <w:sz w:val="14"/>
        </w:rPr>
        <w:t>t</w:t>
      </w:r>
      <w:r>
        <w:rPr>
          <w:rFonts w:ascii="Lucida Sans Unicode" w:hAnsi="Lucida Sans Unicode"/>
          <w:color w:val="6D6E71"/>
          <w:w w:val="87"/>
          <w:sz w:val="14"/>
        </w:rPr>
        <w:t>A</w:t>
      </w:r>
      <w:r>
        <w:rPr>
          <w:rFonts w:ascii="Lucida Sans Unicode" w:hAnsi="Lucida Sans Unicode"/>
          <w:color w:val="6D6E71"/>
          <w:w w:val="96"/>
          <w:sz w:val="14"/>
        </w:rPr>
        <w:t>b</w:t>
      </w:r>
      <w:r>
        <w:rPr>
          <w:rFonts w:ascii="Lucida Sans Unicode" w:hAnsi="Lucida Sans Unicode"/>
          <w:color w:val="6D6E71"/>
          <w:w w:val="78"/>
          <w:sz w:val="14"/>
        </w:rPr>
        <w:t>I</w:t>
      </w:r>
      <w:r>
        <w:rPr>
          <w:rFonts w:ascii="Lucida Sans Unicode" w:hAnsi="Lucida Sans Unicode"/>
          <w:color w:val="6D6E71"/>
          <w:w w:val="174"/>
          <w:sz w:val="14"/>
        </w:rPr>
        <w:t>l</w:t>
      </w:r>
      <w:r>
        <w:rPr>
          <w:rFonts w:ascii="Lucida Sans Unicode" w:hAnsi="Lucida Sans Unicode"/>
          <w:color w:val="6D6E71"/>
          <w:w w:val="78"/>
          <w:sz w:val="14"/>
        </w:rPr>
        <w:t>I</w:t>
      </w:r>
      <w:r>
        <w:rPr>
          <w:rFonts w:ascii="Lucida Sans Unicode" w:hAnsi="Lucida Sans Unicode"/>
          <w:color w:val="6D6E71"/>
          <w:spacing w:val="-4"/>
          <w:w w:val="101"/>
          <w:sz w:val="14"/>
        </w:rPr>
        <w:t>d</w:t>
      </w:r>
      <w:r>
        <w:rPr>
          <w:rFonts w:ascii="Lucida Sans Unicode" w:hAnsi="Lucida Sans Unicode"/>
          <w:color w:val="6D6E71"/>
          <w:w w:val="87"/>
          <w:sz w:val="14"/>
        </w:rPr>
        <w:t>A</w:t>
      </w:r>
      <w:r>
        <w:rPr>
          <w:rFonts w:ascii="Lucida Sans Unicode" w:hAnsi="Lucida Sans Unicode"/>
          <w:color w:val="6D6E71"/>
          <w:w w:val="101"/>
          <w:sz w:val="14"/>
        </w:rPr>
        <w:t>d </w:t>
      </w:r>
      <w:r>
        <w:rPr>
          <w:rFonts w:ascii="Lucida Sans Unicode" w:hAnsi="Lucida Sans Unicode"/>
          <w:color w:val="6D6E71"/>
          <w:w w:val="105"/>
          <w:sz w:val="14"/>
        </w:rPr>
        <w:t>empresArIAl.</w:t>
      </w:r>
      <w:r>
        <w:rPr>
          <w:rFonts w:ascii="Lucida Sans Unicode" w:hAnsi="Lucida Sans Unicode"/>
          <w:color w:val="6D6E71"/>
          <w:spacing w:val="-11"/>
          <w:w w:val="105"/>
          <w:sz w:val="14"/>
        </w:rPr>
        <w:t> </w:t>
      </w:r>
      <w:r>
        <w:rPr>
          <w:rFonts w:ascii="Lucida Sans Unicode" w:hAnsi="Lucida Sans Unicode"/>
          <w:color w:val="6D6E71"/>
          <w:w w:val="105"/>
          <w:sz w:val="14"/>
        </w:rPr>
        <w:t>cAso</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i/>
          <w:color w:val="6D6E71"/>
          <w:w w:val="105"/>
          <w:sz w:val="14"/>
        </w:rPr>
        <w:t>joInt</w:t>
      </w:r>
      <w:r>
        <w:rPr>
          <w:i/>
          <w:color w:val="6D6E71"/>
          <w:spacing w:val="-5"/>
          <w:w w:val="105"/>
          <w:sz w:val="14"/>
        </w:rPr>
        <w:t> </w:t>
      </w:r>
      <w:r>
        <w:rPr>
          <w:i/>
          <w:color w:val="6D6E71"/>
          <w:w w:val="105"/>
          <w:sz w:val="14"/>
        </w:rPr>
        <w:t>Ventures</w:t>
      </w:r>
      <w:r>
        <w:rPr>
          <w:i/>
          <w:color w:val="6D6E71"/>
          <w:spacing w:val="-5"/>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mAnufActurA</w:t>
      </w:r>
      <w:r>
        <w:rPr>
          <w:rFonts w:ascii="Lucida Sans Unicode" w:hAnsi="Lucida Sans Unicode"/>
          <w:color w:val="6D6E71"/>
          <w:spacing w:val="-11"/>
          <w:w w:val="105"/>
          <w:sz w:val="14"/>
        </w:rPr>
        <w:t> </w:t>
      </w:r>
      <w:r>
        <w:rPr>
          <w:rFonts w:ascii="Lucida Sans Unicode" w:hAnsi="Lucida Sans Unicode"/>
          <w:color w:val="6D6E71"/>
          <w:w w:val="105"/>
          <w:sz w:val="14"/>
        </w:rPr>
        <w:t>Versus</w:t>
      </w:r>
      <w:r>
        <w:rPr>
          <w:rFonts w:ascii="Lucida Sans Unicode" w:hAnsi="Lucida Sans Unicode"/>
          <w:color w:val="6D6E71"/>
          <w:spacing w:val="-11"/>
          <w:w w:val="105"/>
          <w:sz w:val="14"/>
        </w:rPr>
        <w:t> </w:t>
      </w:r>
      <w:r>
        <w:rPr>
          <w:rFonts w:ascii="Lucida Sans Unicode" w:hAnsi="Lucida Sans Unicode"/>
          <w:color w:val="6D6E71"/>
          <w:w w:val="105"/>
          <w:sz w:val="14"/>
        </w:rPr>
        <w:t>lAs</w:t>
      </w:r>
      <w:r>
        <w:rPr>
          <w:rFonts w:ascii="Lucida Sans Unicode" w:hAnsi="Lucida Sans Unicode"/>
          <w:color w:val="6D6E71"/>
          <w:spacing w:val="-11"/>
          <w:w w:val="105"/>
          <w:sz w:val="14"/>
        </w:rPr>
        <w:t> </w:t>
      </w:r>
      <w:r>
        <w:rPr>
          <w:rFonts w:ascii="Lucida Sans Unicode" w:hAnsi="Lucida Sans Unicode"/>
          <w:color w:val="6D6E71"/>
          <w:w w:val="105"/>
          <w:sz w:val="14"/>
        </w:rPr>
        <w:t>de</w:t>
      </w:r>
      <w:r>
        <w:rPr>
          <w:rFonts w:ascii="Lucida Sans Unicode" w:hAnsi="Lucida Sans Unicode"/>
          <w:color w:val="6D6E71"/>
          <w:spacing w:val="-11"/>
          <w:w w:val="105"/>
          <w:sz w:val="14"/>
        </w:rPr>
        <w:t> </w:t>
      </w:r>
      <w:r>
        <w:rPr>
          <w:rFonts w:ascii="Lucida Sans Unicode" w:hAnsi="Lucida Sans Unicode"/>
          <w:color w:val="6D6E71"/>
          <w:w w:val="105"/>
          <w:sz w:val="14"/>
        </w:rPr>
        <w:t>mercAdotecnIA</w:t>
      </w:r>
    </w:p>
    <w:p>
      <w:pPr>
        <w:spacing w:before="59"/>
        <w:ind w:left="236" w:right="0" w:firstLine="0"/>
        <w:jc w:val="left"/>
        <w:rPr>
          <w:sz w:val="20"/>
        </w:rPr>
      </w:pPr>
      <w:r>
        <w:rPr/>
        <w:br w:type="column"/>
      </w:r>
      <w:r>
        <w:rPr>
          <w:color w:val="414042"/>
          <w:sz w:val="20"/>
        </w:rPr>
        <w:t>157</w:t>
      </w:r>
    </w:p>
    <w:p>
      <w:pPr>
        <w:spacing w:after="0"/>
        <w:jc w:val="left"/>
        <w:rPr>
          <w:sz w:val="20"/>
        </w:rPr>
        <w:sectPr>
          <w:type w:val="continuous"/>
          <w:pgSz w:w="9640" w:h="13890"/>
          <w:pgMar w:top="1300" w:bottom="280" w:left="1300" w:right="1180"/>
          <w:cols w:num="2" w:equalWidth="0">
            <w:col w:w="6261" w:space="141"/>
            <w:col w:w="758"/>
          </w:cols>
        </w:sectPr>
      </w:pPr>
    </w:p>
    <w:p>
      <w:pPr>
        <w:pStyle w:val="BodyText"/>
        <w:rPr>
          <w:sz w:val="20"/>
        </w:rPr>
      </w:pPr>
    </w:p>
    <w:p>
      <w:pPr>
        <w:pStyle w:val="BodyText"/>
        <w:rPr>
          <w:sz w:val="20"/>
        </w:rPr>
      </w:pPr>
    </w:p>
    <w:p>
      <w:pPr>
        <w:pStyle w:val="BodyText"/>
        <w:spacing w:before="8"/>
        <w:rPr>
          <w:sz w:val="19"/>
        </w:rPr>
      </w:pPr>
    </w:p>
    <w:p>
      <w:pPr>
        <w:pStyle w:val="BodyText"/>
        <w:spacing w:line="259" w:lineRule="auto"/>
        <w:ind w:left="854" w:right="121" w:hanging="738"/>
        <w:jc w:val="both"/>
      </w:pPr>
      <w:r>
        <w:rPr>
          <w:color w:val="231F20"/>
        </w:rPr>
        <w:t>Hitt,</w:t>
      </w:r>
      <w:r>
        <w:rPr>
          <w:color w:val="231F20"/>
          <w:spacing w:val="-22"/>
        </w:rPr>
        <w:t> </w:t>
      </w:r>
      <w:r>
        <w:rPr>
          <w:color w:val="231F20"/>
        </w:rPr>
        <w:t>M.,</w:t>
      </w:r>
      <w:r>
        <w:rPr>
          <w:color w:val="231F20"/>
          <w:spacing w:val="-22"/>
        </w:rPr>
        <w:t> </w:t>
      </w:r>
      <w:r>
        <w:rPr>
          <w:color w:val="231F20"/>
        </w:rPr>
        <w:t>Dacin,</w:t>
      </w:r>
      <w:r>
        <w:rPr>
          <w:color w:val="231F20"/>
          <w:spacing w:val="-28"/>
        </w:rPr>
        <w:t> </w:t>
      </w:r>
      <w:r>
        <w:rPr>
          <w:color w:val="231F20"/>
          <w:spacing w:val="-6"/>
        </w:rPr>
        <w:t>T.,</w:t>
      </w:r>
      <w:r>
        <w:rPr>
          <w:color w:val="231F20"/>
          <w:spacing w:val="-22"/>
        </w:rPr>
        <w:t> </w:t>
      </w:r>
      <w:r>
        <w:rPr>
          <w:color w:val="231F20"/>
        </w:rPr>
        <w:t>Levitas,</w:t>
      </w:r>
      <w:r>
        <w:rPr>
          <w:color w:val="231F20"/>
          <w:spacing w:val="-22"/>
        </w:rPr>
        <w:t> </w:t>
      </w:r>
      <w:r>
        <w:rPr>
          <w:color w:val="231F20"/>
        </w:rPr>
        <w:t>E.,</w:t>
      </w:r>
      <w:r>
        <w:rPr>
          <w:color w:val="231F20"/>
          <w:spacing w:val="-27"/>
        </w:rPr>
        <w:t> </w:t>
      </w:r>
      <w:r>
        <w:rPr>
          <w:color w:val="231F20"/>
        </w:rPr>
        <w:t>Arregle,</w:t>
      </w:r>
      <w:r>
        <w:rPr>
          <w:color w:val="231F20"/>
          <w:spacing w:val="-26"/>
        </w:rPr>
        <w:t> </w:t>
      </w:r>
      <w:r>
        <w:rPr>
          <w:color w:val="231F20"/>
        </w:rPr>
        <w:t>J.</w:t>
      </w:r>
      <w:r>
        <w:rPr>
          <w:color w:val="231F20"/>
          <w:spacing w:val="-22"/>
        </w:rPr>
        <w:t> </w:t>
      </w:r>
      <w:r>
        <w:rPr>
          <w:color w:val="231F20"/>
        </w:rPr>
        <w:t>y</w:t>
      </w:r>
      <w:r>
        <w:rPr>
          <w:color w:val="231F20"/>
          <w:spacing w:val="-16"/>
        </w:rPr>
        <w:t> </w:t>
      </w:r>
      <w:r>
        <w:rPr>
          <w:color w:val="231F20"/>
        </w:rPr>
        <w:t>Borza,</w:t>
      </w:r>
      <w:r>
        <w:rPr>
          <w:color w:val="231F20"/>
          <w:spacing w:val="-27"/>
        </w:rPr>
        <w:t> </w:t>
      </w:r>
      <w:r>
        <w:rPr>
          <w:color w:val="231F20"/>
        </w:rPr>
        <w:t>A.</w:t>
      </w:r>
      <w:r>
        <w:rPr>
          <w:color w:val="231F20"/>
          <w:spacing w:val="-22"/>
        </w:rPr>
        <w:t> </w:t>
      </w:r>
      <w:r>
        <w:rPr>
          <w:color w:val="231F20"/>
        </w:rPr>
        <w:t>(2000).</w:t>
      </w:r>
      <w:r>
        <w:rPr>
          <w:color w:val="231F20"/>
          <w:spacing w:val="-22"/>
        </w:rPr>
        <w:t> </w:t>
      </w:r>
      <w:r>
        <w:rPr>
          <w:color w:val="231F20"/>
          <w:spacing w:val="-3"/>
        </w:rPr>
        <w:t>Partner</w:t>
      </w:r>
      <w:r>
        <w:rPr>
          <w:color w:val="231F20"/>
          <w:spacing w:val="-16"/>
        </w:rPr>
        <w:t> </w:t>
      </w:r>
      <w:r>
        <w:rPr>
          <w:color w:val="231F20"/>
        </w:rPr>
        <w:t>selection in emerging and developed market contexts:  Resource-based  and organizational learning perspectives. </w:t>
      </w:r>
      <w:r>
        <w:rPr>
          <w:i/>
          <w:color w:val="231F20"/>
        </w:rPr>
        <w:t>Academy of Manage- </w:t>
      </w:r>
      <w:r>
        <w:rPr>
          <w:i/>
          <w:color w:val="231F20"/>
        </w:rPr>
        <w:t>ment Journal</w:t>
      </w:r>
      <w:r>
        <w:rPr>
          <w:color w:val="231F20"/>
        </w:rPr>
        <w:t>, 43 (3):</w:t>
      </w:r>
      <w:r>
        <w:rPr>
          <w:color w:val="231F20"/>
          <w:spacing w:val="30"/>
        </w:rPr>
        <w:t> </w:t>
      </w:r>
      <w:r>
        <w:rPr>
          <w:color w:val="231F20"/>
        </w:rPr>
        <w:t>449-467.</w:t>
      </w:r>
    </w:p>
    <w:p>
      <w:pPr>
        <w:spacing w:line="259" w:lineRule="auto" w:before="0"/>
        <w:ind w:left="854" w:right="121" w:hanging="738"/>
        <w:jc w:val="both"/>
        <w:rPr>
          <w:sz w:val="21"/>
        </w:rPr>
      </w:pPr>
      <w:r>
        <w:rPr>
          <w:color w:val="231F20"/>
          <w:w w:val="105"/>
          <w:sz w:val="21"/>
        </w:rPr>
        <w:t>Hitt,</w:t>
      </w:r>
      <w:r>
        <w:rPr>
          <w:color w:val="231F20"/>
          <w:spacing w:val="-14"/>
          <w:w w:val="105"/>
          <w:sz w:val="21"/>
        </w:rPr>
        <w:t> </w:t>
      </w:r>
      <w:r>
        <w:rPr>
          <w:color w:val="231F20"/>
          <w:w w:val="105"/>
          <w:sz w:val="21"/>
        </w:rPr>
        <w:t>M.,</w:t>
      </w:r>
      <w:r>
        <w:rPr>
          <w:color w:val="231F20"/>
          <w:spacing w:val="-14"/>
          <w:w w:val="105"/>
          <w:sz w:val="21"/>
        </w:rPr>
        <w:t> </w:t>
      </w:r>
      <w:r>
        <w:rPr>
          <w:color w:val="231F20"/>
          <w:w w:val="105"/>
          <w:sz w:val="21"/>
        </w:rPr>
        <w:t>Gimeno,</w:t>
      </w:r>
      <w:r>
        <w:rPr>
          <w:color w:val="231F20"/>
          <w:spacing w:val="-16"/>
          <w:w w:val="105"/>
          <w:sz w:val="21"/>
        </w:rPr>
        <w:t> </w:t>
      </w:r>
      <w:r>
        <w:rPr>
          <w:color w:val="231F20"/>
          <w:w w:val="105"/>
          <w:sz w:val="21"/>
        </w:rPr>
        <w:t>X.</w:t>
      </w:r>
      <w:r>
        <w:rPr>
          <w:color w:val="231F20"/>
          <w:spacing w:val="-14"/>
          <w:w w:val="105"/>
          <w:sz w:val="21"/>
        </w:rPr>
        <w:t> </w:t>
      </w:r>
      <w:r>
        <w:rPr>
          <w:color w:val="231F20"/>
          <w:w w:val="105"/>
          <w:sz w:val="21"/>
        </w:rPr>
        <w:t>y</w:t>
      </w:r>
      <w:r>
        <w:rPr>
          <w:color w:val="231F20"/>
          <w:spacing w:val="-10"/>
          <w:w w:val="105"/>
          <w:sz w:val="21"/>
        </w:rPr>
        <w:t> </w:t>
      </w:r>
      <w:r>
        <w:rPr>
          <w:color w:val="231F20"/>
          <w:w w:val="105"/>
          <w:sz w:val="21"/>
        </w:rPr>
        <w:t>Hoskisson,</w:t>
      </w:r>
      <w:r>
        <w:rPr>
          <w:color w:val="231F20"/>
          <w:spacing w:val="-14"/>
          <w:w w:val="105"/>
          <w:sz w:val="21"/>
        </w:rPr>
        <w:t> </w:t>
      </w:r>
      <w:r>
        <w:rPr>
          <w:color w:val="231F20"/>
          <w:w w:val="105"/>
          <w:sz w:val="21"/>
        </w:rPr>
        <w:t>R.</w:t>
      </w:r>
      <w:r>
        <w:rPr>
          <w:color w:val="231F20"/>
          <w:spacing w:val="-14"/>
          <w:w w:val="105"/>
          <w:sz w:val="21"/>
        </w:rPr>
        <w:t> </w:t>
      </w:r>
      <w:r>
        <w:rPr>
          <w:color w:val="231F20"/>
          <w:w w:val="105"/>
          <w:sz w:val="21"/>
        </w:rPr>
        <w:t>(1998).</w:t>
      </w:r>
      <w:r>
        <w:rPr>
          <w:color w:val="231F20"/>
          <w:spacing w:val="-14"/>
          <w:w w:val="105"/>
          <w:sz w:val="21"/>
        </w:rPr>
        <w:t> </w:t>
      </w:r>
      <w:r>
        <w:rPr>
          <w:color w:val="231F20"/>
          <w:w w:val="105"/>
          <w:sz w:val="21"/>
        </w:rPr>
        <w:t>Current</w:t>
      </w:r>
      <w:r>
        <w:rPr>
          <w:color w:val="231F20"/>
          <w:spacing w:val="-10"/>
          <w:w w:val="105"/>
          <w:sz w:val="21"/>
        </w:rPr>
        <w:t> </w:t>
      </w:r>
      <w:r>
        <w:rPr>
          <w:color w:val="231F20"/>
          <w:w w:val="105"/>
          <w:sz w:val="21"/>
        </w:rPr>
        <w:t>and</w:t>
      </w:r>
      <w:r>
        <w:rPr>
          <w:color w:val="231F20"/>
          <w:spacing w:val="-10"/>
          <w:w w:val="105"/>
          <w:sz w:val="21"/>
        </w:rPr>
        <w:t> </w:t>
      </w:r>
      <w:r>
        <w:rPr>
          <w:color w:val="231F20"/>
          <w:w w:val="105"/>
          <w:sz w:val="21"/>
        </w:rPr>
        <w:t>future</w:t>
      </w:r>
      <w:r>
        <w:rPr>
          <w:color w:val="231F20"/>
          <w:spacing w:val="-10"/>
          <w:w w:val="105"/>
          <w:sz w:val="21"/>
        </w:rPr>
        <w:t> </w:t>
      </w:r>
      <w:r>
        <w:rPr>
          <w:color w:val="231F20"/>
          <w:w w:val="105"/>
          <w:sz w:val="21"/>
        </w:rPr>
        <w:t>research methods in strategic management. </w:t>
      </w:r>
      <w:r>
        <w:rPr>
          <w:i/>
          <w:color w:val="231F20"/>
          <w:w w:val="105"/>
          <w:sz w:val="21"/>
        </w:rPr>
        <w:t>Organizational Research </w:t>
      </w:r>
      <w:r>
        <w:rPr>
          <w:i/>
          <w:color w:val="231F20"/>
          <w:w w:val="105"/>
          <w:sz w:val="21"/>
        </w:rPr>
        <w:t>Methods</w:t>
      </w:r>
      <w:r>
        <w:rPr>
          <w:color w:val="231F20"/>
          <w:w w:val="105"/>
          <w:sz w:val="21"/>
        </w:rPr>
        <w:t>,</w:t>
      </w:r>
      <w:r>
        <w:rPr>
          <w:color w:val="231F20"/>
          <w:spacing w:val="-31"/>
          <w:w w:val="105"/>
          <w:sz w:val="21"/>
        </w:rPr>
        <w:t> </w:t>
      </w:r>
      <w:r>
        <w:rPr>
          <w:color w:val="231F20"/>
          <w:w w:val="105"/>
          <w:sz w:val="21"/>
        </w:rPr>
        <w:t>1</w:t>
      </w:r>
      <w:r>
        <w:rPr>
          <w:color w:val="231F20"/>
          <w:spacing w:val="-26"/>
          <w:w w:val="105"/>
          <w:sz w:val="21"/>
        </w:rPr>
        <w:t> </w:t>
      </w:r>
      <w:r>
        <w:rPr>
          <w:color w:val="231F20"/>
          <w:w w:val="105"/>
          <w:sz w:val="21"/>
        </w:rPr>
        <w:t>(6):</w:t>
      </w:r>
      <w:r>
        <w:rPr>
          <w:color w:val="231F20"/>
          <w:spacing w:val="-26"/>
          <w:w w:val="105"/>
          <w:sz w:val="21"/>
        </w:rPr>
        <w:t> </w:t>
      </w:r>
      <w:r>
        <w:rPr>
          <w:color w:val="231F20"/>
          <w:w w:val="105"/>
          <w:sz w:val="21"/>
        </w:rPr>
        <w:t>6-44.</w:t>
      </w:r>
    </w:p>
    <w:p>
      <w:pPr>
        <w:spacing w:line="259" w:lineRule="auto" w:before="0"/>
        <w:ind w:left="854" w:right="121" w:hanging="738"/>
        <w:jc w:val="both"/>
        <w:rPr>
          <w:sz w:val="21"/>
        </w:rPr>
      </w:pPr>
      <w:r>
        <w:rPr>
          <w:color w:val="231F20"/>
          <w:w w:val="105"/>
          <w:sz w:val="21"/>
        </w:rPr>
        <w:t>Johnson, S., y Houston, M. (2000). A reexamination of the motives</w:t>
      </w:r>
      <w:r>
        <w:rPr>
          <w:color w:val="231F20"/>
          <w:spacing w:val="-13"/>
          <w:w w:val="105"/>
          <w:sz w:val="21"/>
        </w:rPr>
        <w:t> </w:t>
      </w:r>
      <w:r>
        <w:rPr>
          <w:color w:val="231F20"/>
          <w:w w:val="105"/>
          <w:sz w:val="21"/>
        </w:rPr>
        <w:t>and gains</w:t>
      </w:r>
      <w:r>
        <w:rPr>
          <w:color w:val="231F20"/>
          <w:spacing w:val="-26"/>
          <w:w w:val="105"/>
          <w:sz w:val="21"/>
        </w:rPr>
        <w:t> </w:t>
      </w:r>
      <w:r>
        <w:rPr>
          <w:color w:val="231F20"/>
          <w:w w:val="105"/>
          <w:sz w:val="21"/>
        </w:rPr>
        <w:t>in</w:t>
      </w:r>
      <w:r>
        <w:rPr>
          <w:color w:val="231F20"/>
          <w:spacing w:val="-26"/>
          <w:w w:val="105"/>
          <w:sz w:val="21"/>
        </w:rPr>
        <w:t> </w:t>
      </w:r>
      <w:r>
        <w:rPr>
          <w:i/>
          <w:color w:val="231F20"/>
          <w:w w:val="105"/>
          <w:sz w:val="21"/>
        </w:rPr>
        <w:t>joint</w:t>
      </w:r>
      <w:r>
        <w:rPr>
          <w:i/>
          <w:color w:val="231F20"/>
          <w:spacing w:val="-26"/>
          <w:w w:val="105"/>
          <w:sz w:val="21"/>
        </w:rPr>
        <w:t> </w:t>
      </w:r>
      <w:r>
        <w:rPr>
          <w:i/>
          <w:color w:val="231F20"/>
          <w:w w:val="105"/>
          <w:sz w:val="21"/>
        </w:rPr>
        <w:t>venture</w:t>
      </w:r>
      <w:r>
        <w:rPr>
          <w:color w:val="231F20"/>
          <w:w w:val="105"/>
          <w:sz w:val="21"/>
        </w:rPr>
        <w:t>s.</w:t>
      </w:r>
      <w:r>
        <w:rPr>
          <w:color w:val="231F20"/>
          <w:spacing w:val="-31"/>
          <w:w w:val="105"/>
          <w:sz w:val="21"/>
        </w:rPr>
        <w:t> </w:t>
      </w:r>
      <w:r>
        <w:rPr>
          <w:i/>
          <w:color w:val="231F20"/>
          <w:w w:val="105"/>
          <w:sz w:val="21"/>
        </w:rPr>
        <w:t>Journal</w:t>
      </w:r>
      <w:r>
        <w:rPr>
          <w:i/>
          <w:color w:val="231F20"/>
          <w:spacing w:val="-26"/>
          <w:w w:val="105"/>
          <w:sz w:val="21"/>
        </w:rPr>
        <w:t> </w:t>
      </w:r>
      <w:r>
        <w:rPr>
          <w:i/>
          <w:color w:val="231F20"/>
          <w:w w:val="105"/>
          <w:sz w:val="21"/>
        </w:rPr>
        <w:t>of</w:t>
      </w:r>
      <w:r>
        <w:rPr>
          <w:i/>
          <w:color w:val="231F20"/>
          <w:spacing w:val="-23"/>
          <w:w w:val="105"/>
          <w:sz w:val="21"/>
        </w:rPr>
        <w:t> </w:t>
      </w:r>
      <w:r>
        <w:rPr>
          <w:i/>
          <w:color w:val="231F20"/>
          <w:w w:val="105"/>
          <w:sz w:val="21"/>
        </w:rPr>
        <w:t>Financial</w:t>
      </w:r>
      <w:r>
        <w:rPr>
          <w:i/>
          <w:color w:val="231F20"/>
          <w:spacing w:val="-26"/>
          <w:w w:val="105"/>
          <w:sz w:val="21"/>
        </w:rPr>
        <w:t> </w:t>
      </w:r>
      <w:r>
        <w:rPr>
          <w:i/>
          <w:color w:val="231F20"/>
          <w:w w:val="105"/>
          <w:sz w:val="21"/>
        </w:rPr>
        <w:t>and</w:t>
      </w:r>
      <w:r>
        <w:rPr>
          <w:i/>
          <w:color w:val="231F20"/>
          <w:spacing w:val="-26"/>
          <w:w w:val="105"/>
          <w:sz w:val="21"/>
        </w:rPr>
        <w:t> </w:t>
      </w:r>
      <w:r>
        <w:rPr>
          <w:i/>
          <w:color w:val="231F20"/>
          <w:w w:val="105"/>
          <w:sz w:val="21"/>
        </w:rPr>
        <w:t>Quantitative</w:t>
      </w:r>
      <w:r>
        <w:rPr>
          <w:i/>
          <w:color w:val="231F20"/>
          <w:spacing w:val="-28"/>
          <w:w w:val="105"/>
          <w:sz w:val="21"/>
        </w:rPr>
        <w:t> </w:t>
      </w:r>
      <w:r>
        <w:rPr>
          <w:i/>
          <w:color w:val="231F20"/>
          <w:w w:val="105"/>
          <w:sz w:val="21"/>
        </w:rPr>
        <w:t>Anal- </w:t>
      </w:r>
      <w:r>
        <w:rPr>
          <w:i/>
          <w:color w:val="231F20"/>
          <w:w w:val="105"/>
          <w:sz w:val="21"/>
        </w:rPr>
        <w:t>ysis</w:t>
      </w:r>
      <w:r>
        <w:rPr>
          <w:color w:val="231F20"/>
          <w:w w:val="105"/>
          <w:sz w:val="21"/>
        </w:rPr>
        <w:t>,</w:t>
      </w:r>
      <w:r>
        <w:rPr>
          <w:color w:val="231F20"/>
          <w:spacing w:val="-42"/>
          <w:w w:val="105"/>
          <w:sz w:val="21"/>
        </w:rPr>
        <w:t> </w:t>
      </w:r>
      <w:r>
        <w:rPr>
          <w:color w:val="231F20"/>
          <w:w w:val="105"/>
          <w:sz w:val="21"/>
        </w:rPr>
        <w:t>35</w:t>
      </w:r>
      <w:r>
        <w:rPr>
          <w:color w:val="231F20"/>
          <w:spacing w:val="-39"/>
          <w:w w:val="105"/>
          <w:sz w:val="21"/>
        </w:rPr>
        <w:t> </w:t>
      </w:r>
      <w:r>
        <w:rPr>
          <w:color w:val="231F20"/>
          <w:w w:val="105"/>
          <w:sz w:val="21"/>
        </w:rPr>
        <w:t>(1):</w:t>
      </w:r>
      <w:r>
        <w:rPr>
          <w:color w:val="231F20"/>
          <w:spacing w:val="-39"/>
          <w:w w:val="105"/>
          <w:sz w:val="21"/>
        </w:rPr>
        <w:t> </w:t>
      </w:r>
      <w:r>
        <w:rPr>
          <w:color w:val="231F20"/>
          <w:w w:val="105"/>
          <w:sz w:val="21"/>
        </w:rPr>
        <w:t>67-85.</w:t>
      </w:r>
    </w:p>
    <w:p>
      <w:pPr>
        <w:pStyle w:val="BodyText"/>
        <w:spacing w:line="241" w:lineRule="exact"/>
        <w:ind w:left="117"/>
      </w:pPr>
      <w:r>
        <w:rPr>
          <w:color w:val="231F20"/>
          <w:w w:val="105"/>
        </w:rPr>
        <w:t>Kogut,</w:t>
      </w:r>
      <w:r>
        <w:rPr>
          <w:color w:val="231F20"/>
          <w:spacing w:val="-19"/>
          <w:w w:val="105"/>
        </w:rPr>
        <w:t> </w:t>
      </w:r>
      <w:r>
        <w:rPr>
          <w:color w:val="231F20"/>
          <w:w w:val="105"/>
        </w:rPr>
        <w:t>B.</w:t>
      </w:r>
      <w:r>
        <w:rPr>
          <w:color w:val="231F20"/>
          <w:spacing w:val="-19"/>
          <w:w w:val="105"/>
        </w:rPr>
        <w:t> </w:t>
      </w:r>
      <w:r>
        <w:rPr>
          <w:color w:val="231F20"/>
          <w:w w:val="105"/>
        </w:rPr>
        <w:t>(1988).</w:t>
      </w:r>
      <w:r>
        <w:rPr>
          <w:color w:val="231F20"/>
          <w:spacing w:val="-19"/>
          <w:w w:val="105"/>
        </w:rPr>
        <w:t> </w:t>
      </w:r>
      <w:r>
        <w:rPr>
          <w:i/>
          <w:color w:val="231F20"/>
          <w:w w:val="105"/>
        </w:rPr>
        <w:t>Joint</w:t>
      </w:r>
      <w:r>
        <w:rPr>
          <w:i/>
          <w:color w:val="231F20"/>
          <w:spacing w:val="-15"/>
          <w:w w:val="105"/>
        </w:rPr>
        <w:t> </w:t>
      </w:r>
      <w:r>
        <w:rPr>
          <w:i/>
          <w:color w:val="231F20"/>
          <w:w w:val="105"/>
        </w:rPr>
        <w:t>venture</w:t>
      </w:r>
      <w:r>
        <w:rPr>
          <w:color w:val="231F20"/>
          <w:w w:val="105"/>
        </w:rPr>
        <w:t>s:</w:t>
      </w:r>
      <w:r>
        <w:rPr>
          <w:color w:val="231F20"/>
          <w:spacing w:val="-18"/>
          <w:w w:val="105"/>
        </w:rPr>
        <w:t> </w:t>
      </w:r>
      <w:r>
        <w:rPr>
          <w:color w:val="231F20"/>
          <w:w w:val="105"/>
        </w:rPr>
        <w:t>Theoretical</w:t>
      </w:r>
      <w:r>
        <w:rPr>
          <w:color w:val="231F20"/>
          <w:spacing w:val="-15"/>
          <w:w w:val="105"/>
        </w:rPr>
        <w:t> </w:t>
      </w:r>
      <w:r>
        <w:rPr>
          <w:color w:val="231F20"/>
          <w:w w:val="105"/>
        </w:rPr>
        <w:t>and</w:t>
      </w:r>
      <w:r>
        <w:rPr>
          <w:color w:val="231F20"/>
          <w:spacing w:val="-15"/>
          <w:w w:val="105"/>
        </w:rPr>
        <w:t> </w:t>
      </w:r>
      <w:r>
        <w:rPr>
          <w:color w:val="231F20"/>
          <w:w w:val="105"/>
        </w:rPr>
        <w:t>empirical</w:t>
      </w:r>
      <w:r>
        <w:rPr>
          <w:color w:val="231F20"/>
          <w:spacing w:val="-15"/>
          <w:w w:val="105"/>
        </w:rPr>
        <w:t> </w:t>
      </w:r>
      <w:r>
        <w:rPr>
          <w:color w:val="231F20"/>
          <w:w w:val="105"/>
        </w:rPr>
        <w:t>perspectives.</w:t>
      </w:r>
    </w:p>
    <w:p>
      <w:pPr>
        <w:spacing w:before="18"/>
        <w:ind w:left="854" w:right="114" w:firstLine="0"/>
        <w:jc w:val="left"/>
        <w:rPr>
          <w:sz w:val="21"/>
        </w:rPr>
      </w:pPr>
      <w:r>
        <w:rPr>
          <w:i/>
          <w:color w:val="231F20"/>
          <w:sz w:val="21"/>
        </w:rPr>
        <w:t>Strategic Management Journal</w:t>
      </w:r>
      <w:r>
        <w:rPr>
          <w:color w:val="231F20"/>
          <w:sz w:val="21"/>
        </w:rPr>
        <w:t>, 9 (4): 319-335.</w:t>
      </w:r>
    </w:p>
    <w:p>
      <w:pPr>
        <w:spacing w:line="259" w:lineRule="auto" w:before="18"/>
        <w:ind w:left="854" w:right="121" w:hanging="738"/>
        <w:jc w:val="both"/>
        <w:rPr>
          <w:sz w:val="21"/>
        </w:rPr>
      </w:pPr>
      <w:r>
        <w:rPr>
          <w:color w:val="231F20"/>
          <w:sz w:val="21"/>
        </w:rPr>
        <w:t>Koh,</w:t>
      </w:r>
      <w:r>
        <w:rPr>
          <w:color w:val="231F20"/>
          <w:spacing w:val="-14"/>
          <w:sz w:val="21"/>
        </w:rPr>
        <w:t> </w:t>
      </w:r>
      <w:r>
        <w:rPr>
          <w:color w:val="231F20"/>
          <w:sz w:val="21"/>
        </w:rPr>
        <w:t>J.,</w:t>
      </w:r>
      <w:r>
        <w:rPr>
          <w:color w:val="231F20"/>
          <w:spacing w:val="-11"/>
          <w:sz w:val="21"/>
        </w:rPr>
        <w:t> </w:t>
      </w:r>
      <w:r>
        <w:rPr>
          <w:color w:val="231F20"/>
          <w:sz w:val="21"/>
        </w:rPr>
        <w:t>y</w:t>
      </w:r>
      <w:r>
        <w:rPr>
          <w:color w:val="231F20"/>
          <w:spacing w:val="-8"/>
          <w:sz w:val="21"/>
        </w:rPr>
        <w:t> </w:t>
      </w:r>
      <w:r>
        <w:rPr>
          <w:color w:val="231F20"/>
          <w:sz w:val="21"/>
        </w:rPr>
        <w:t>Venkatraman,</w:t>
      </w:r>
      <w:r>
        <w:rPr>
          <w:color w:val="231F20"/>
          <w:spacing w:val="-11"/>
          <w:sz w:val="21"/>
        </w:rPr>
        <w:t> </w:t>
      </w:r>
      <w:r>
        <w:rPr>
          <w:color w:val="231F20"/>
          <w:sz w:val="21"/>
        </w:rPr>
        <w:t>N.</w:t>
      </w:r>
      <w:r>
        <w:rPr>
          <w:color w:val="231F20"/>
          <w:spacing w:val="-11"/>
          <w:sz w:val="21"/>
        </w:rPr>
        <w:t> </w:t>
      </w:r>
      <w:r>
        <w:rPr>
          <w:color w:val="231F20"/>
          <w:sz w:val="21"/>
        </w:rPr>
        <w:t>(1991).</w:t>
      </w:r>
      <w:r>
        <w:rPr>
          <w:color w:val="231F20"/>
          <w:spacing w:val="-11"/>
          <w:sz w:val="21"/>
        </w:rPr>
        <w:t> </w:t>
      </w:r>
      <w:r>
        <w:rPr>
          <w:i/>
          <w:color w:val="231F20"/>
          <w:sz w:val="21"/>
        </w:rPr>
        <w:t>Joint</w:t>
      </w:r>
      <w:r>
        <w:rPr>
          <w:i/>
          <w:color w:val="231F20"/>
          <w:spacing w:val="-3"/>
          <w:sz w:val="21"/>
        </w:rPr>
        <w:t> </w:t>
      </w:r>
      <w:r>
        <w:rPr>
          <w:i/>
          <w:color w:val="231F20"/>
          <w:sz w:val="21"/>
        </w:rPr>
        <w:t>venture</w:t>
      </w:r>
      <w:r>
        <w:rPr>
          <w:i/>
          <w:color w:val="231F20"/>
          <w:spacing w:val="-3"/>
          <w:sz w:val="21"/>
        </w:rPr>
        <w:t> </w:t>
      </w:r>
      <w:r>
        <w:rPr>
          <w:color w:val="231F20"/>
          <w:sz w:val="21"/>
        </w:rPr>
        <w:t>formations</w:t>
      </w:r>
      <w:r>
        <w:rPr>
          <w:color w:val="231F20"/>
          <w:spacing w:val="-3"/>
          <w:sz w:val="21"/>
        </w:rPr>
        <w:t> </w:t>
      </w:r>
      <w:r>
        <w:rPr>
          <w:color w:val="231F20"/>
          <w:sz w:val="21"/>
        </w:rPr>
        <w:t>and</w:t>
      </w:r>
      <w:r>
        <w:rPr>
          <w:color w:val="231F20"/>
          <w:spacing w:val="-3"/>
          <w:sz w:val="21"/>
        </w:rPr>
        <w:t> </w:t>
      </w:r>
      <w:r>
        <w:rPr>
          <w:color w:val="231F20"/>
          <w:sz w:val="21"/>
        </w:rPr>
        <w:t>stock</w:t>
      </w:r>
      <w:r>
        <w:rPr>
          <w:color w:val="231F20"/>
          <w:spacing w:val="-3"/>
          <w:sz w:val="21"/>
        </w:rPr>
        <w:t> </w:t>
      </w:r>
      <w:r>
        <w:rPr>
          <w:color w:val="231F20"/>
          <w:sz w:val="21"/>
        </w:rPr>
        <w:t>mar- ket reactions: An assessment in the information technology sec- </w:t>
      </w:r>
      <w:r>
        <w:rPr>
          <w:color w:val="231F20"/>
          <w:spacing w:val="-3"/>
          <w:sz w:val="21"/>
        </w:rPr>
        <w:t>tor. </w:t>
      </w:r>
      <w:r>
        <w:rPr>
          <w:i/>
          <w:color w:val="231F20"/>
          <w:sz w:val="21"/>
        </w:rPr>
        <w:t>Academy of Management Journal</w:t>
      </w:r>
      <w:r>
        <w:rPr>
          <w:color w:val="231F20"/>
          <w:sz w:val="21"/>
        </w:rPr>
        <w:t>, 34(4), </w:t>
      </w:r>
      <w:r>
        <w:rPr>
          <w:color w:val="231F20"/>
          <w:spacing w:val="26"/>
          <w:sz w:val="21"/>
        </w:rPr>
        <w:t> </w:t>
      </w:r>
      <w:r>
        <w:rPr>
          <w:color w:val="231F20"/>
          <w:sz w:val="21"/>
        </w:rPr>
        <w:t>869-892.</w:t>
      </w:r>
    </w:p>
    <w:p>
      <w:pPr>
        <w:spacing w:line="259" w:lineRule="auto" w:before="0"/>
        <w:ind w:left="854" w:right="121" w:hanging="738"/>
        <w:jc w:val="both"/>
        <w:rPr>
          <w:sz w:val="21"/>
        </w:rPr>
      </w:pPr>
      <w:r>
        <w:rPr>
          <w:color w:val="231F20"/>
          <w:spacing w:val="-3"/>
          <w:w w:val="105"/>
          <w:sz w:val="21"/>
        </w:rPr>
        <w:t>Kumar,</w:t>
      </w:r>
      <w:r>
        <w:rPr>
          <w:color w:val="231F20"/>
          <w:spacing w:val="-43"/>
          <w:w w:val="105"/>
          <w:sz w:val="21"/>
        </w:rPr>
        <w:t> </w:t>
      </w:r>
      <w:r>
        <w:rPr>
          <w:color w:val="231F20"/>
          <w:w w:val="105"/>
          <w:sz w:val="21"/>
        </w:rPr>
        <w:t>S.</w:t>
      </w:r>
      <w:r>
        <w:rPr>
          <w:color w:val="231F20"/>
          <w:spacing w:val="-43"/>
          <w:w w:val="105"/>
          <w:sz w:val="21"/>
        </w:rPr>
        <w:t> </w:t>
      </w:r>
      <w:r>
        <w:rPr>
          <w:color w:val="231F20"/>
          <w:w w:val="105"/>
          <w:sz w:val="21"/>
        </w:rPr>
        <w:t>M.</w:t>
      </w:r>
      <w:r>
        <w:rPr>
          <w:color w:val="231F20"/>
          <w:spacing w:val="-44"/>
          <w:w w:val="105"/>
          <w:sz w:val="21"/>
        </w:rPr>
        <w:t> </w:t>
      </w:r>
      <w:r>
        <w:rPr>
          <w:color w:val="231F20"/>
          <w:spacing w:val="-9"/>
          <w:w w:val="105"/>
          <w:sz w:val="21"/>
        </w:rPr>
        <w:t>V.</w:t>
      </w:r>
      <w:r>
        <w:rPr>
          <w:color w:val="231F20"/>
          <w:spacing w:val="-43"/>
          <w:w w:val="105"/>
          <w:sz w:val="21"/>
        </w:rPr>
        <w:t> </w:t>
      </w:r>
      <w:r>
        <w:rPr>
          <w:color w:val="231F20"/>
          <w:w w:val="105"/>
          <w:sz w:val="21"/>
        </w:rPr>
        <w:t>(2010).</w:t>
      </w:r>
      <w:r>
        <w:rPr>
          <w:color w:val="231F20"/>
          <w:spacing w:val="-45"/>
          <w:w w:val="105"/>
          <w:sz w:val="21"/>
        </w:rPr>
        <w:t> </w:t>
      </w:r>
      <w:r>
        <w:rPr>
          <w:color w:val="231F20"/>
          <w:w w:val="105"/>
          <w:sz w:val="21"/>
        </w:rPr>
        <w:t>Are</w:t>
      </w:r>
      <w:r>
        <w:rPr>
          <w:color w:val="231F20"/>
          <w:spacing w:val="-39"/>
          <w:w w:val="105"/>
          <w:sz w:val="21"/>
        </w:rPr>
        <w:t> </w:t>
      </w:r>
      <w:r>
        <w:rPr>
          <w:i/>
          <w:color w:val="231F20"/>
          <w:w w:val="105"/>
          <w:sz w:val="21"/>
        </w:rPr>
        <w:t>joint</w:t>
      </w:r>
      <w:r>
        <w:rPr>
          <w:i/>
          <w:color w:val="231F20"/>
          <w:spacing w:val="-40"/>
          <w:w w:val="105"/>
          <w:sz w:val="21"/>
        </w:rPr>
        <w:t> </w:t>
      </w:r>
      <w:r>
        <w:rPr>
          <w:i/>
          <w:color w:val="231F20"/>
          <w:w w:val="105"/>
          <w:sz w:val="21"/>
        </w:rPr>
        <w:t>venture</w:t>
      </w:r>
      <w:r>
        <w:rPr>
          <w:color w:val="231F20"/>
          <w:w w:val="105"/>
          <w:sz w:val="21"/>
        </w:rPr>
        <w:t>s</w:t>
      </w:r>
      <w:r>
        <w:rPr>
          <w:color w:val="231F20"/>
          <w:spacing w:val="-39"/>
          <w:w w:val="105"/>
          <w:sz w:val="21"/>
        </w:rPr>
        <w:t> </w:t>
      </w:r>
      <w:r>
        <w:rPr>
          <w:color w:val="231F20"/>
          <w:w w:val="105"/>
          <w:sz w:val="21"/>
        </w:rPr>
        <w:t>positive</w:t>
      </w:r>
      <w:r>
        <w:rPr>
          <w:color w:val="231F20"/>
          <w:spacing w:val="-39"/>
          <w:w w:val="105"/>
          <w:sz w:val="21"/>
        </w:rPr>
        <w:t> </w:t>
      </w:r>
      <w:r>
        <w:rPr>
          <w:color w:val="231F20"/>
          <w:w w:val="105"/>
          <w:sz w:val="21"/>
        </w:rPr>
        <w:t>sum</w:t>
      </w:r>
      <w:r>
        <w:rPr>
          <w:color w:val="231F20"/>
          <w:spacing w:val="-39"/>
          <w:w w:val="105"/>
          <w:sz w:val="21"/>
        </w:rPr>
        <w:t> </w:t>
      </w:r>
      <w:r>
        <w:rPr>
          <w:color w:val="231F20"/>
          <w:w w:val="105"/>
          <w:sz w:val="21"/>
        </w:rPr>
        <w:t>games?</w:t>
      </w:r>
      <w:r>
        <w:rPr>
          <w:color w:val="231F20"/>
          <w:spacing w:val="-42"/>
          <w:w w:val="105"/>
          <w:sz w:val="21"/>
        </w:rPr>
        <w:t> </w:t>
      </w:r>
      <w:r>
        <w:rPr>
          <w:color w:val="231F20"/>
          <w:w w:val="105"/>
          <w:sz w:val="21"/>
        </w:rPr>
        <w:t>The</w:t>
      </w:r>
      <w:r>
        <w:rPr>
          <w:color w:val="231F20"/>
          <w:spacing w:val="-39"/>
          <w:w w:val="105"/>
          <w:sz w:val="21"/>
        </w:rPr>
        <w:t> </w:t>
      </w:r>
      <w:r>
        <w:rPr>
          <w:color w:val="231F20"/>
          <w:w w:val="105"/>
          <w:sz w:val="21"/>
        </w:rPr>
        <w:t>relative effects of cooperative and noncooperative behavior. </w:t>
      </w:r>
      <w:r>
        <w:rPr>
          <w:i/>
          <w:color w:val="231F20"/>
          <w:w w:val="105"/>
          <w:sz w:val="21"/>
        </w:rPr>
        <w:t>Strategic </w:t>
      </w:r>
      <w:r>
        <w:rPr>
          <w:i/>
          <w:color w:val="231F20"/>
          <w:w w:val="105"/>
          <w:sz w:val="21"/>
        </w:rPr>
        <w:t>Management</w:t>
      </w:r>
      <w:r>
        <w:rPr>
          <w:i/>
          <w:color w:val="231F20"/>
          <w:spacing w:val="-31"/>
          <w:w w:val="105"/>
          <w:sz w:val="21"/>
        </w:rPr>
        <w:t> </w:t>
      </w:r>
      <w:r>
        <w:rPr>
          <w:i/>
          <w:color w:val="231F20"/>
          <w:w w:val="105"/>
          <w:sz w:val="21"/>
        </w:rPr>
        <w:t>Journal</w:t>
      </w:r>
      <w:r>
        <w:rPr>
          <w:color w:val="231F20"/>
          <w:w w:val="105"/>
          <w:sz w:val="21"/>
        </w:rPr>
        <w:t>,</w:t>
      </w:r>
      <w:r>
        <w:rPr>
          <w:color w:val="231F20"/>
          <w:spacing w:val="-34"/>
          <w:w w:val="105"/>
          <w:sz w:val="21"/>
        </w:rPr>
        <w:t> </w:t>
      </w:r>
      <w:r>
        <w:rPr>
          <w:color w:val="231F20"/>
          <w:w w:val="105"/>
          <w:sz w:val="21"/>
        </w:rPr>
        <w:t>32:</w:t>
      </w:r>
      <w:r>
        <w:rPr>
          <w:color w:val="231F20"/>
          <w:spacing w:val="-29"/>
          <w:w w:val="105"/>
          <w:sz w:val="21"/>
        </w:rPr>
        <w:t> </w:t>
      </w:r>
      <w:r>
        <w:rPr>
          <w:color w:val="231F20"/>
          <w:w w:val="105"/>
          <w:sz w:val="21"/>
        </w:rPr>
        <w:t>32-54.</w:t>
      </w:r>
    </w:p>
    <w:p>
      <w:pPr>
        <w:spacing w:line="259" w:lineRule="auto" w:before="0"/>
        <w:ind w:left="854" w:right="121" w:hanging="738"/>
        <w:jc w:val="both"/>
        <w:rPr>
          <w:sz w:val="21"/>
        </w:rPr>
      </w:pPr>
      <w:r>
        <w:rPr>
          <w:color w:val="231F20"/>
          <w:w w:val="105"/>
          <w:sz w:val="21"/>
        </w:rPr>
        <w:t>Marsden, </w:t>
      </w:r>
      <w:r>
        <w:rPr>
          <w:color w:val="231F20"/>
          <w:spacing w:val="-16"/>
          <w:w w:val="105"/>
          <w:sz w:val="21"/>
        </w:rPr>
        <w:t>P. </w:t>
      </w:r>
      <w:r>
        <w:rPr>
          <w:color w:val="231F20"/>
          <w:w w:val="105"/>
          <w:sz w:val="21"/>
        </w:rPr>
        <w:t>(2004). </w:t>
      </w:r>
      <w:r>
        <w:rPr>
          <w:color w:val="231F20"/>
          <w:spacing w:val="-3"/>
          <w:w w:val="105"/>
          <w:sz w:val="21"/>
        </w:rPr>
        <w:t>WTO </w:t>
      </w:r>
      <w:r>
        <w:rPr>
          <w:color w:val="231F20"/>
          <w:w w:val="105"/>
          <w:sz w:val="21"/>
        </w:rPr>
        <w:t>decides its first competition case, with disap- pointing results. </w:t>
      </w:r>
      <w:r>
        <w:rPr>
          <w:i/>
          <w:color w:val="231F20"/>
          <w:w w:val="105"/>
          <w:sz w:val="21"/>
        </w:rPr>
        <w:t>Competition and Law Insight, Antitrust Law</w:t>
      </w:r>
      <w:r>
        <w:rPr>
          <w:i/>
          <w:color w:val="231F20"/>
          <w:spacing w:val="-42"/>
          <w:w w:val="105"/>
          <w:sz w:val="21"/>
        </w:rPr>
        <w:t> </w:t>
      </w:r>
      <w:r>
        <w:rPr>
          <w:i/>
          <w:color w:val="231F20"/>
          <w:w w:val="105"/>
          <w:sz w:val="21"/>
        </w:rPr>
        <w:t>and </w:t>
      </w:r>
      <w:r>
        <w:rPr>
          <w:i/>
          <w:color w:val="231F20"/>
          <w:spacing w:val="-3"/>
          <w:w w:val="105"/>
          <w:sz w:val="21"/>
        </w:rPr>
        <w:t>Policy</w:t>
      </w:r>
      <w:r>
        <w:rPr>
          <w:i/>
          <w:color w:val="231F20"/>
          <w:spacing w:val="-27"/>
          <w:w w:val="105"/>
          <w:sz w:val="21"/>
        </w:rPr>
        <w:t> </w:t>
      </w:r>
      <w:r>
        <w:rPr>
          <w:i/>
          <w:color w:val="231F20"/>
          <w:w w:val="105"/>
          <w:sz w:val="21"/>
        </w:rPr>
        <w:t>in</w:t>
      </w:r>
      <w:r>
        <w:rPr>
          <w:i/>
          <w:color w:val="231F20"/>
          <w:spacing w:val="-27"/>
          <w:w w:val="105"/>
          <w:sz w:val="21"/>
        </w:rPr>
        <w:t> </w:t>
      </w:r>
      <w:r>
        <w:rPr>
          <w:i/>
          <w:color w:val="231F20"/>
          <w:w w:val="105"/>
          <w:sz w:val="21"/>
        </w:rPr>
        <w:t>Global</w:t>
      </w:r>
      <w:r>
        <w:rPr>
          <w:i/>
          <w:color w:val="231F20"/>
          <w:spacing w:val="-27"/>
          <w:w w:val="105"/>
          <w:sz w:val="21"/>
        </w:rPr>
        <w:t> </w:t>
      </w:r>
      <w:r>
        <w:rPr>
          <w:i/>
          <w:color w:val="231F20"/>
          <w:w w:val="105"/>
          <w:sz w:val="21"/>
        </w:rPr>
        <w:t>Market</w:t>
      </w:r>
      <w:r>
        <w:rPr>
          <w:color w:val="231F20"/>
          <w:w w:val="105"/>
          <w:sz w:val="21"/>
        </w:rPr>
        <w:t>.</w:t>
      </w:r>
    </w:p>
    <w:p>
      <w:pPr>
        <w:spacing w:line="259" w:lineRule="auto" w:before="0"/>
        <w:ind w:left="854" w:right="115" w:hanging="738"/>
        <w:jc w:val="both"/>
        <w:rPr>
          <w:sz w:val="21"/>
        </w:rPr>
      </w:pPr>
      <w:r>
        <w:rPr>
          <w:color w:val="231F20"/>
          <w:w w:val="105"/>
          <w:sz w:val="21"/>
        </w:rPr>
        <w:t>McConnell,</w:t>
      </w:r>
      <w:r>
        <w:rPr>
          <w:color w:val="231F20"/>
          <w:spacing w:val="-27"/>
          <w:w w:val="105"/>
          <w:sz w:val="21"/>
        </w:rPr>
        <w:t> </w:t>
      </w:r>
      <w:r>
        <w:rPr>
          <w:color w:val="231F20"/>
          <w:w w:val="105"/>
          <w:sz w:val="21"/>
        </w:rPr>
        <w:t>J.,</w:t>
      </w:r>
      <w:r>
        <w:rPr>
          <w:color w:val="231F20"/>
          <w:spacing w:val="-24"/>
          <w:w w:val="105"/>
          <w:sz w:val="21"/>
        </w:rPr>
        <w:t> </w:t>
      </w:r>
      <w:r>
        <w:rPr>
          <w:color w:val="231F20"/>
          <w:w w:val="105"/>
          <w:sz w:val="21"/>
        </w:rPr>
        <w:t>y</w:t>
      </w:r>
      <w:r>
        <w:rPr>
          <w:color w:val="231F20"/>
          <w:spacing w:val="-19"/>
          <w:w w:val="105"/>
          <w:sz w:val="21"/>
        </w:rPr>
        <w:t> </w:t>
      </w:r>
      <w:r>
        <w:rPr>
          <w:color w:val="231F20"/>
          <w:w w:val="105"/>
          <w:sz w:val="21"/>
        </w:rPr>
        <w:t>Nantell,</w:t>
      </w:r>
      <w:r>
        <w:rPr>
          <w:color w:val="231F20"/>
          <w:spacing w:val="-28"/>
          <w:w w:val="105"/>
          <w:sz w:val="21"/>
        </w:rPr>
        <w:t> </w:t>
      </w:r>
      <w:r>
        <w:rPr>
          <w:color w:val="231F20"/>
          <w:spacing w:val="-9"/>
          <w:w w:val="105"/>
          <w:sz w:val="21"/>
        </w:rPr>
        <w:t>T.</w:t>
      </w:r>
      <w:r>
        <w:rPr>
          <w:color w:val="231F20"/>
          <w:spacing w:val="-24"/>
          <w:w w:val="105"/>
          <w:sz w:val="21"/>
        </w:rPr>
        <w:t> </w:t>
      </w:r>
      <w:r>
        <w:rPr>
          <w:color w:val="231F20"/>
          <w:w w:val="105"/>
          <w:sz w:val="21"/>
        </w:rPr>
        <w:t>(1985).</w:t>
      </w:r>
      <w:r>
        <w:rPr>
          <w:color w:val="231F20"/>
          <w:spacing w:val="-24"/>
          <w:w w:val="105"/>
          <w:sz w:val="21"/>
        </w:rPr>
        <w:t> </w:t>
      </w:r>
      <w:r>
        <w:rPr>
          <w:color w:val="231F20"/>
          <w:w w:val="105"/>
          <w:sz w:val="21"/>
        </w:rPr>
        <w:t>Corporate</w:t>
      </w:r>
      <w:r>
        <w:rPr>
          <w:color w:val="231F20"/>
          <w:spacing w:val="-19"/>
          <w:w w:val="105"/>
          <w:sz w:val="21"/>
        </w:rPr>
        <w:t> </w:t>
      </w:r>
      <w:r>
        <w:rPr>
          <w:color w:val="231F20"/>
          <w:w w:val="105"/>
          <w:sz w:val="21"/>
        </w:rPr>
        <w:t>combinations</w:t>
      </w:r>
      <w:r>
        <w:rPr>
          <w:color w:val="231F20"/>
          <w:spacing w:val="-19"/>
          <w:w w:val="105"/>
          <w:sz w:val="21"/>
        </w:rPr>
        <w:t> </w:t>
      </w:r>
      <w:r>
        <w:rPr>
          <w:color w:val="231F20"/>
          <w:w w:val="105"/>
          <w:sz w:val="21"/>
        </w:rPr>
        <w:t>and</w:t>
      </w:r>
      <w:r>
        <w:rPr>
          <w:color w:val="231F20"/>
          <w:spacing w:val="-19"/>
          <w:w w:val="105"/>
          <w:sz w:val="21"/>
        </w:rPr>
        <w:t> </w:t>
      </w:r>
      <w:r>
        <w:rPr>
          <w:color w:val="231F20"/>
          <w:w w:val="105"/>
          <w:sz w:val="21"/>
        </w:rPr>
        <w:t>common stock</w:t>
      </w:r>
      <w:r>
        <w:rPr>
          <w:color w:val="231F20"/>
          <w:spacing w:val="-9"/>
          <w:w w:val="105"/>
          <w:sz w:val="21"/>
        </w:rPr>
        <w:t> </w:t>
      </w:r>
      <w:r>
        <w:rPr>
          <w:color w:val="231F20"/>
          <w:w w:val="105"/>
          <w:sz w:val="21"/>
        </w:rPr>
        <w:t>returns:</w:t>
      </w:r>
      <w:r>
        <w:rPr>
          <w:color w:val="231F20"/>
          <w:spacing w:val="-13"/>
          <w:w w:val="105"/>
          <w:sz w:val="21"/>
        </w:rPr>
        <w:t> </w:t>
      </w:r>
      <w:r>
        <w:rPr>
          <w:color w:val="231F20"/>
          <w:w w:val="105"/>
          <w:sz w:val="21"/>
        </w:rPr>
        <w:t>The</w:t>
      </w:r>
      <w:r>
        <w:rPr>
          <w:color w:val="231F20"/>
          <w:spacing w:val="-9"/>
          <w:w w:val="105"/>
          <w:sz w:val="21"/>
        </w:rPr>
        <w:t> </w:t>
      </w:r>
      <w:r>
        <w:rPr>
          <w:color w:val="231F20"/>
          <w:w w:val="105"/>
          <w:sz w:val="21"/>
        </w:rPr>
        <w:t>case</w:t>
      </w:r>
      <w:r>
        <w:rPr>
          <w:color w:val="231F20"/>
          <w:spacing w:val="-9"/>
          <w:w w:val="105"/>
          <w:sz w:val="21"/>
        </w:rPr>
        <w:t> </w:t>
      </w:r>
      <w:r>
        <w:rPr>
          <w:color w:val="231F20"/>
          <w:w w:val="105"/>
          <w:sz w:val="21"/>
        </w:rPr>
        <w:t>of</w:t>
      </w:r>
      <w:r>
        <w:rPr>
          <w:color w:val="231F20"/>
          <w:spacing w:val="-6"/>
          <w:w w:val="105"/>
          <w:sz w:val="21"/>
        </w:rPr>
        <w:t> </w:t>
      </w:r>
      <w:r>
        <w:rPr>
          <w:i/>
          <w:color w:val="231F20"/>
          <w:w w:val="105"/>
          <w:sz w:val="21"/>
        </w:rPr>
        <w:t>joint</w:t>
      </w:r>
      <w:r>
        <w:rPr>
          <w:i/>
          <w:color w:val="231F20"/>
          <w:spacing w:val="-9"/>
          <w:w w:val="105"/>
          <w:sz w:val="21"/>
        </w:rPr>
        <w:t> </w:t>
      </w:r>
      <w:r>
        <w:rPr>
          <w:i/>
          <w:color w:val="231F20"/>
          <w:w w:val="105"/>
          <w:sz w:val="21"/>
        </w:rPr>
        <w:t>venture</w:t>
      </w:r>
      <w:r>
        <w:rPr>
          <w:color w:val="231F20"/>
          <w:w w:val="105"/>
          <w:sz w:val="21"/>
        </w:rPr>
        <w:t>s.</w:t>
      </w:r>
      <w:r>
        <w:rPr>
          <w:color w:val="231F20"/>
          <w:spacing w:val="-14"/>
          <w:w w:val="105"/>
          <w:sz w:val="21"/>
        </w:rPr>
        <w:t> </w:t>
      </w:r>
      <w:r>
        <w:rPr>
          <w:i/>
          <w:color w:val="231F20"/>
          <w:w w:val="105"/>
          <w:sz w:val="21"/>
        </w:rPr>
        <w:t>Journal</w:t>
      </w:r>
      <w:r>
        <w:rPr>
          <w:i/>
          <w:color w:val="231F20"/>
          <w:spacing w:val="-9"/>
          <w:w w:val="105"/>
          <w:sz w:val="21"/>
        </w:rPr>
        <w:t> </w:t>
      </w:r>
      <w:r>
        <w:rPr>
          <w:i/>
          <w:color w:val="231F20"/>
          <w:w w:val="105"/>
          <w:sz w:val="21"/>
        </w:rPr>
        <w:t>of</w:t>
      </w:r>
      <w:r>
        <w:rPr>
          <w:i/>
          <w:color w:val="231F20"/>
          <w:spacing w:val="-6"/>
          <w:w w:val="105"/>
          <w:sz w:val="21"/>
        </w:rPr>
        <w:t> </w:t>
      </w:r>
      <w:r>
        <w:rPr>
          <w:i/>
          <w:color w:val="231F20"/>
          <w:w w:val="105"/>
          <w:sz w:val="21"/>
        </w:rPr>
        <w:t>Finance</w:t>
      </w:r>
      <w:r>
        <w:rPr>
          <w:color w:val="231F20"/>
          <w:w w:val="105"/>
          <w:sz w:val="21"/>
        </w:rPr>
        <w:t>,</w:t>
      </w:r>
      <w:r>
        <w:rPr>
          <w:color w:val="231F20"/>
          <w:spacing w:val="-14"/>
          <w:w w:val="105"/>
          <w:sz w:val="21"/>
        </w:rPr>
        <w:t> </w:t>
      </w:r>
      <w:r>
        <w:rPr>
          <w:color w:val="231F20"/>
          <w:w w:val="105"/>
          <w:sz w:val="21"/>
        </w:rPr>
        <w:t>40, 519-536.</w:t>
      </w:r>
    </w:p>
    <w:p>
      <w:pPr>
        <w:spacing w:line="259" w:lineRule="auto" w:before="0"/>
        <w:ind w:left="854" w:right="121" w:hanging="738"/>
        <w:jc w:val="both"/>
        <w:rPr>
          <w:sz w:val="21"/>
        </w:rPr>
      </w:pPr>
      <w:r>
        <w:rPr>
          <w:color w:val="231F20"/>
          <w:spacing w:val="-3"/>
          <w:sz w:val="21"/>
        </w:rPr>
        <w:t>Park, </w:t>
      </w:r>
      <w:r>
        <w:rPr>
          <w:color w:val="231F20"/>
          <w:sz w:val="21"/>
        </w:rPr>
        <w:t>S. H., y Russo, M. (1996).When competition eclipses cooperation: An event historyanalysis of </w:t>
      </w:r>
      <w:r>
        <w:rPr>
          <w:i/>
          <w:color w:val="231F20"/>
          <w:sz w:val="21"/>
        </w:rPr>
        <w:t>joint venture </w:t>
      </w:r>
      <w:r>
        <w:rPr>
          <w:color w:val="231F20"/>
          <w:sz w:val="21"/>
        </w:rPr>
        <w:t>failure. </w:t>
      </w:r>
      <w:r>
        <w:rPr>
          <w:i/>
          <w:color w:val="231F20"/>
          <w:sz w:val="21"/>
        </w:rPr>
        <w:t>Management Sci- </w:t>
      </w:r>
      <w:r>
        <w:rPr>
          <w:i/>
          <w:color w:val="231F20"/>
          <w:sz w:val="21"/>
        </w:rPr>
        <w:t>ence</w:t>
      </w:r>
      <w:r>
        <w:rPr>
          <w:color w:val="231F20"/>
          <w:sz w:val="21"/>
        </w:rPr>
        <w:t>, 42 (6):</w:t>
      </w:r>
      <w:r>
        <w:rPr>
          <w:color w:val="231F20"/>
          <w:spacing w:val="9"/>
          <w:sz w:val="21"/>
        </w:rPr>
        <w:t> </w:t>
      </w:r>
      <w:r>
        <w:rPr>
          <w:color w:val="231F20"/>
          <w:sz w:val="21"/>
        </w:rPr>
        <w:t>875-890.</w:t>
      </w:r>
    </w:p>
    <w:p>
      <w:pPr>
        <w:pStyle w:val="BodyText"/>
        <w:spacing w:line="259" w:lineRule="auto"/>
        <w:ind w:left="854" w:right="115" w:hanging="738"/>
        <w:jc w:val="both"/>
      </w:pPr>
      <w:r>
        <w:rPr>
          <w:color w:val="231F20"/>
          <w:w w:val="105"/>
        </w:rPr>
        <w:t>Ribeiro Soriano, </w:t>
      </w:r>
      <w:r>
        <w:rPr>
          <w:color w:val="231F20"/>
          <w:spacing w:val="-4"/>
          <w:w w:val="105"/>
        </w:rPr>
        <w:t>D., </w:t>
      </w:r>
      <w:r>
        <w:rPr>
          <w:color w:val="231F20"/>
          <w:w w:val="105"/>
        </w:rPr>
        <w:t>Benavides Espinoza, M. y MohedanoSuanes, A. (2013).</w:t>
      </w:r>
      <w:r>
        <w:rPr>
          <w:color w:val="231F20"/>
          <w:spacing w:val="-17"/>
          <w:w w:val="105"/>
        </w:rPr>
        <w:t> </w:t>
      </w:r>
      <w:r>
        <w:rPr>
          <w:color w:val="231F20"/>
          <w:w w:val="105"/>
        </w:rPr>
        <w:t>Cooperative</w:t>
      </w:r>
      <w:r>
        <w:rPr>
          <w:color w:val="231F20"/>
          <w:spacing w:val="-10"/>
          <w:w w:val="105"/>
        </w:rPr>
        <w:t> </w:t>
      </w:r>
      <w:r>
        <w:rPr>
          <w:color w:val="231F20"/>
          <w:w w:val="105"/>
        </w:rPr>
        <w:t>learning</w:t>
      </w:r>
      <w:r>
        <w:rPr>
          <w:color w:val="231F20"/>
          <w:spacing w:val="-10"/>
          <w:w w:val="105"/>
        </w:rPr>
        <w:t> </w:t>
      </w:r>
      <w:r>
        <w:rPr>
          <w:color w:val="231F20"/>
          <w:w w:val="105"/>
        </w:rPr>
        <w:t>and</w:t>
      </w:r>
      <w:r>
        <w:rPr>
          <w:color w:val="231F20"/>
          <w:spacing w:val="-10"/>
          <w:w w:val="105"/>
        </w:rPr>
        <w:t> </w:t>
      </w:r>
      <w:r>
        <w:rPr>
          <w:color w:val="231F20"/>
          <w:w w:val="105"/>
        </w:rPr>
        <w:t>learning</w:t>
      </w:r>
      <w:r>
        <w:rPr>
          <w:color w:val="231F20"/>
          <w:spacing w:val="-10"/>
          <w:w w:val="105"/>
        </w:rPr>
        <w:t> </w:t>
      </w:r>
      <w:r>
        <w:rPr>
          <w:color w:val="231F20"/>
          <w:w w:val="105"/>
        </w:rPr>
        <w:t>of</w:t>
      </w:r>
      <w:r>
        <w:rPr>
          <w:color w:val="231F20"/>
          <w:spacing w:val="-4"/>
          <w:w w:val="105"/>
        </w:rPr>
        <w:t> </w:t>
      </w:r>
      <w:r>
        <w:rPr>
          <w:color w:val="231F20"/>
          <w:w w:val="105"/>
        </w:rPr>
        <w:t>knowledge</w:t>
      </w:r>
      <w:r>
        <w:rPr>
          <w:color w:val="231F20"/>
          <w:spacing w:val="-10"/>
          <w:w w:val="105"/>
        </w:rPr>
        <w:t> </w:t>
      </w:r>
      <w:r>
        <w:rPr>
          <w:color w:val="231F20"/>
          <w:w w:val="105"/>
        </w:rPr>
        <w:t>through a</w:t>
      </w:r>
      <w:r>
        <w:rPr>
          <w:color w:val="231F20"/>
          <w:spacing w:val="-17"/>
          <w:w w:val="105"/>
        </w:rPr>
        <w:t> </w:t>
      </w:r>
      <w:r>
        <w:rPr>
          <w:i/>
          <w:color w:val="231F20"/>
          <w:w w:val="105"/>
        </w:rPr>
        <w:t>joint</w:t>
      </w:r>
      <w:r>
        <w:rPr>
          <w:i/>
          <w:color w:val="231F20"/>
          <w:spacing w:val="-17"/>
          <w:w w:val="105"/>
        </w:rPr>
        <w:t> </w:t>
      </w:r>
      <w:r>
        <w:rPr>
          <w:i/>
          <w:color w:val="231F20"/>
          <w:w w:val="105"/>
        </w:rPr>
        <w:t>venture</w:t>
      </w:r>
      <w:r>
        <w:rPr>
          <w:color w:val="231F20"/>
          <w:w w:val="105"/>
        </w:rPr>
        <w:t>:</w:t>
      </w:r>
      <w:r>
        <w:rPr>
          <w:color w:val="231F20"/>
          <w:spacing w:val="-21"/>
          <w:w w:val="105"/>
        </w:rPr>
        <w:t> </w:t>
      </w:r>
      <w:r>
        <w:rPr>
          <w:color w:val="231F20"/>
          <w:w w:val="105"/>
        </w:rPr>
        <w:t>A</w:t>
      </w:r>
      <w:r>
        <w:rPr>
          <w:color w:val="231F20"/>
          <w:spacing w:val="-21"/>
          <w:w w:val="105"/>
        </w:rPr>
        <w:t> </w:t>
      </w:r>
      <w:r>
        <w:rPr>
          <w:color w:val="231F20"/>
          <w:w w:val="105"/>
        </w:rPr>
        <w:t>study</w:t>
      </w:r>
      <w:r>
        <w:rPr>
          <w:color w:val="231F20"/>
          <w:spacing w:val="-17"/>
          <w:w w:val="105"/>
        </w:rPr>
        <w:t> </w:t>
      </w:r>
      <w:r>
        <w:rPr>
          <w:color w:val="231F20"/>
          <w:w w:val="105"/>
        </w:rPr>
        <w:t>from</w:t>
      </w:r>
      <w:r>
        <w:rPr>
          <w:color w:val="231F20"/>
          <w:spacing w:val="-17"/>
          <w:w w:val="105"/>
        </w:rPr>
        <w:t> </w:t>
      </w:r>
      <w:r>
        <w:rPr>
          <w:color w:val="231F20"/>
          <w:w w:val="105"/>
        </w:rPr>
        <w:t>the</w:t>
      </w:r>
      <w:r>
        <w:rPr>
          <w:color w:val="231F20"/>
          <w:spacing w:val="-17"/>
          <w:w w:val="105"/>
        </w:rPr>
        <w:t> </w:t>
      </w:r>
      <w:r>
        <w:rPr>
          <w:color w:val="231F20"/>
          <w:w w:val="105"/>
        </w:rPr>
        <w:t>entrepreneurial</w:t>
      </w:r>
      <w:r>
        <w:rPr>
          <w:color w:val="231F20"/>
          <w:spacing w:val="-17"/>
          <w:w w:val="105"/>
        </w:rPr>
        <w:t> </w:t>
      </w:r>
      <w:r>
        <w:rPr>
          <w:color w:val="231F20"/>
          <w:w w:val="105"/>
        </w:rPr>
        <w:t>firm</w:t>
      </w:r>
      <w:r>
        <w:rPr>
          <w:color w:val="231F20"/>
          <w:spacing w:val="-17"/>
          <w:w w:val="105"/>
        </w:rPr>
        <w:t> </w:t>
      </w:r>
      <w:r>
        <w:rPr>
          <w:color w:val="231F20"/>
          <w:w w:val="105"/>
        </w:rPr>
        <w:t>perspective. </w:t>
      </w:r>
      <w:r>
        <w:rPr>
          <w:i/>
          <w:color w:val="231F20"/>
          <w:w w:val="105"/>
        </w:rPr>
        <w:t>Revista</w:t>
      </w:r>
      <w:r>
        <w:rPr>
          <w:i/>
          <w:color w:val="231F20"/>
          <w:spacing w:val="-36"/>
          <w:w w:val="105"/>
        </w:rPr>
        <w:t> </w:t>
      </w:r>
      <w:r>
        <w:rPr>
          <w:i/>
          <w:color w:val="231F20"/>
          <w:w w:val="105"/>
        </w:rPr>
        <w:t>de</w:t>
      </w:r>
      <w:r>
        <w:rPr>
          <w:i/>
          <w:color w:val="231F20"/>
          <w:spacing w:val="-36"/>
          <w:w w:val="105"/>
        </w:rPr>
        <w:t> </w:t>
      </w:r>
      <w:r>
        <w:rPr>
          <w:i/>
          <w:color w:val="231F20"/>
          <w:w w:val="105"/>
        </w:rPr>
        <w:t>Economía</w:t>
      </w:r>
      <w:r>
        <w:rPr>
          <w:i/>
          <w:color w:val="231F20"/>
          <w:spacing w:val="-36"/>
          <w:w w:val="105"/>
        </w:rPr>
        <w:t> </w:t>
      </w:r>
      <w:r>
        <w:rPr>
          <w:i/>
          <w:color w:val="231F20"/>
          <w:w w:val="105"/>
        </w:rPr>
        <w:t>Mundial</w:t>
      </w:r>
      <w:r>
        <w:rPr>
          <w:color w:val="231F20"/>
          <w:w w:val="105"/>
        </w:rPr>
        <w:t>,</w:t>
      </w:r>
      <w:r>
        <w:rPr>
          <w:color w:val="231F20"/>
          <w:spacing w:val="-40"/>
          <w:w w:val="105"/>
        </w:rPr>
        <w:t> </w:t>
      </w:r>
      <w:r>
        <w:rPr>
          <w:color w:val="231F20"/>
          <w:w w:val="105"/>
        </w:rPr>
        <w:t>35:</w:t>
      </w:r>
      <w:r>
        <w:rPr>
          <w:color w:val="231F20"/>
          <w:spacing w:val="-36"/>
          <w:w w:val="105"/>
        </w:rPr>
        <w:t> </w:t>
      </w:r>
      <w:r>
        <w:rPr>
          <w:color w:val="231F20"/>
          <w:w w:val="105"/>
        </w:rPr>
        <w:t>67-86.</w:t>
      </w:r>
    </w:p>
    <w:p>
      <w:pPr>
        <w:pStyle w:val="BodyText"/>
        <w:spacing w:line="259" w:lineRule="auto"/>
        <w:ind w:left="854" w:right="115" w:hanging="738"/>
        <w:jc w:val="both"/>
      </w:pPr>
      <w:r>
        <w:rPr>
          <w:color w:val="231F20"/>
          <w:w w:val="105"/>
        </w:rPr>
        <w:t>Swaminathan,</w:t>
      </w:r>
      <w:r>
        <w:rPr>
          <w:color w:val="231F20"/>
          <w:spacing w:val="-51"/>
          <w:w w:val="105"/>
        </w:rPr>
        <w:t> </w:t>
      </w:r>
      <w:r>
        <w:rPr>
          <w:color w:val="231F20"/>
          <w:spacing w:val="-9"/>
          <w:w w:val="105"/>
        </w:rPr>
        <w:t>V.</w:t>
      </w:r>
      <w:r>
        <w:rPr>
          <w:color w:val="231F20"/>
          <w:spacing w:val="-50"/>
          <w:w w:val="105"/>
        </w:rPr>
        <w:t> </w:t>
      </w:r>
      <w:r>
        <w:rPr>
          <w:color w:val="231F20"/>
          <w:w w:val="105"/>
        </w:rPr>
        <w:t>y</w:t>
      </w:r>
      <w:r>
        <w:rPr>
          <w:color w:val="231F20"/>
          <w:spacing w:val="-47"/>
          <w:w w:val="105"/>
        </w:rPr>
        <w:t> </w:t>
      </w:r>
      <w:r>
        <w:rPr>
          <w:color w:val="231F20"/>
          <w:w w:val="105"/>
        </w:rPr>
        <w:t>Moorman,</w:t>
      </w:r>
      <w:r>
        <w:rPr>
          <w:color w:val="231F20"/>
          <w:spacing w:val="-50"/>
          <w:w w:val="105"/>
        </w:rPr>
        <w:t> </w:t>
      </w:r>
      <w:r>
        <w:rPr>
          <w:color w:val="231F20"/>
          <w:w w:val="105"/>
        </w:rPr>
        <w:t>C.</w:t>
      </w:r>
      <w:r>
        <w:rPr>
          <w:color w:val="231F20"/>
          <w:spacing w:val="-50"/>
          <w:w w:val="105"/>
        </w:rPr>
        <w:t> </w:t>
      </w:r>
      <w:r>
        <w:rPr>
          <w:color w:val="231F20"/>
          <w:w w:val="105"/>
        </w:rPr>
        <w:t>(2009).</w:t>
      </w:r>
      <w:r>
        <w:rPr>
          <w:color w:val="231F20"/>
          <w:spacing w:val="-50"/>
          <w:w w:val="105"/>
        </w:rPr>
        <w:t> </w:t>
      </w:r>
      <w:r>
        <w:rPr>
          <w:color w:val="231F20"/>
          <w:w w:val="105"/>
        </w:rPr>
        <w:t>Marketing</w:t>
      </w:r>
      <w:r>
        <w:rPr>
          <w:color w:val="231F20"/>
          <w:spacing w:val="-47"/>
          <w:w w:val="105"/>
        </w:rPr>
        <w:t> </w:t>
      </w:r>
      <w:r>
        <w:rPr>
          <w:color w:val="231F20"/>
          <w:w w:val="105"/>
        </w:rPr>
        <w:t>alliances,</w:t>
      </w:r>
      <w:r>
        <w:rPr>
          <w:color w:val="231F20"/>
          <w:spacing w:val="-50"/>
          <w:w w:val="105"/>
        </w:rPr>
        <w:t> </w:t>
      </w:r>
      <w:r>
        <w:rPr>
          <w:color w:val="231F20"/>
          <w:w w:val="105"/>
        </w:rPr>
        <w:t>firm</w:t>
      </w:r>
      <w:r>
        <w:rPr>
          <w:color w:val="231F20"/>
          <w:spacing w:val="-47"/>
          <w:w w:val="105"/>
        </w:rPr>
        <w:t> </w:t>
      </w:r>
      <w:r>
        <w:rPr>
          <w:color w:val="231F20"/>
          <w:w w:val="105"/>
        </w:rPr>
        <w:t>networks, and</w:t>
      </w:r>
      <w:r>
        <w:rPr>
          <w:color w:val="231F20"/>
          <w:spacing w:val="-20"/>
          <w:w w:val="105"/>
        </w:rPr>
        <w:t> </w:t>
      </w:r>
      <w:r>
        <w:rPr>
          <w:color w:val="231F20"/>
          <w:w w:val="105"/>
        </w:rPr>
        <w:t>firm</w:t>
      </w:r>
      <w:r>
        <w:rPr>
          <w:color w:val="231F20"/>
          <w:spacing w:val="-20"/>
          <w:w w:val="105"/>
        </w:rPr>
        <w:t> </w:t>
      </w:r>
      <w:r>
        <w:rPr>
          <w:color w:val="231F20"/>
          <w:w w:val="105"/>
        </w:rPr>
        <w:t>valuecreation.</w:t>
      </w:r>
      <w:r>
        <w:rPr>
          <w:color w:val="231F20"/>
          <w:spacing w:val="-26"/>
          <w:w w:val="105"/>
        </w:rPr>
        <w:t> </w:t>
      </w:r>
      <w:r>
        <w:rPr>
          <w:i/>
          <w:color w:val="231F20"/>
          <w:w w:val="105"/>
        </w:rPr>
        <w:t>Journal</w:t>
      </w:r>
      <w:r>
        <w:rPr>
          <w:i/>
          <w:color w:val="231F20"/>
          <w:spacing w:val="-20"/>
          <w:w w:val="105"/>
        </w:rPr>
        <w:t> </w:t>
      </w:r>
      <w:r>
        <w:rPr>
          <w:i/>
          <w:color w:val="231F20"/>
          <w:w w:val="105"/>
        </w:rPr>
        <w:t>of</w:t>
      </w:r>
      <w:r>
        <w:rPr>
          <w:i/>
          <w:color w:val="231F20"/>
          <w:spacing w:val="-16"/>
          <w:w w:val="105"/>
        </w:rPr>
        <w:t> </w:t>
      </w:r>
      <w:r>
        <w:rPr>
          <w:i/>
          <w:color w:val="231F20"/>
          <w:w w:val="105"/>
        </w:rPr>
        <w:t>Marketing</w:t>
      </w:r>
      <w:r>
        <w:rPr>
          <w:color w:val="231F20"/>
          <w:w w:val="105"/>
        </w:rPr>
        <w:t>,</w:t>
      </w:r>
      <w:r>
        <w:rPr>
          <w:color w:val="231F20"/>
          <w:spacing w:val="-26"/>
          <w:w w:val="105"/>
        </w:rPr>
        <w:t> </w:t>
      </w:r>
      <w:r>
        <w:rPr>
          <w:color w:val="231F20"/>
          <w:w w:val="105"/>
        </w:rPr>
        <w:t>73:</w:t>
      </w:r>
      <w:r>
        <w:rPr>
          <w:color w:val="231F20"/>
          <w:spacing w:val="-20"/>
          <w:w w:val="105"/>
        </w:rPr>
        <w:t> </w:t>
      </w:r>
      <w:r>
        <w:rPr>
          <w:color w:val="231F20"/>
          <w:w w:val="105"/>
        </w:rPr>
        <w:t>52-69.</w:t>
      </w:r>
    </w:p>
    <w:p>
      <w:pPr>
        <w:pStyle w:val="BodyText"/>
        <w:spacing w:line="259" w:lineRule="auto"/>
        <w:ind w:left="854" w:right="121" w:hanging="738"/>
        <w:jc w:val="both"/>
      </w:pPr>
      <w:r>
        <w:rPr>
          <w:color w:val="231F20"/>
          <w:spacing w:val="-3"/>
          <w:w w:val="105"/>
        </w:rPr>
        <w:t>Tanriverdi,</w:t>
      </w:r>
      <w:r>
        <w:rPr>
          <w:color w:val="231F20"/>
          <w:spacing w:val="-22"/>
          <w:w w:val="105"/>
        </w:rPr>
        <w:t> </w:t>
      </w:r>
      <w:r>
        <w:rPr>
          <w:color w:val="231F20"/>
          <w:w w:val="105"/>
        </w:rPr>
        <w:t>H.</w:t>
      </w:r>
      <w:r>
        <w:rPr>
          <w:color w:val="231F20"/>
          <w:spacing w:val="-22"/>
          <w:w w:val="105"/>
        </w:rPr>
        <w:t> </w:t>
      </w:r>
      <w:r>
        <w:rPr>
          <w:color w:val="231F20"/>
          <w:w w:val="105"/>
        </w:rPr>
        <w:t>y</w:t>
      </w:r>
      <w:r>
        <w:rPr>
          <w:color w:val="231F20"/>
          <w:spacing w:val="-20"/>
          <w:w w:val="105"/>
        </w:rPr>
        <w:t> </w:t>
      </w:r>
      <w:r>
        <w:rPr>
          <w:color w:val="231F20"/>
          <w:w w:val="105"/>
        </w:rPr>
        <w:t>Venkatraman,</w:t>
      </w:r>
      <w:r>
        <w:rPr>
          <w:color w:val="231F20"/>
          <w:spacing w:val="-22"/>
          <w:w w:val="105"/>
        </w:rPr>
        <w:t> </w:t>
      </w:r>
      <w:r>
        <w:rPr>
          <w:color w:val="231F20"/>
          <w:w w:val="105"/>
        </w:rPr>
        <w:t>N.</w:t>
      </w:r>
      <w:r>
        <w:rPr>
          <w:color w:val="231F20"/>
          <w:spacing w:val="-22"/>
          <w:w w:val="105"/>
        </w:rPr>
        <w:t> </w:t>
      </w:r>
      <w:r>
        <w:rPr>
          <w:color w:val="231F20"/>
          <w:w w:val="105"/>
        </w:rPr>
        <w:t>(2005).</w:t>
      </w:r>
      <w:r>
        <w:rPr>
          <w:color w:val="231F20"/>
          <w:spacing w:val="-22"/>
          <w:w w:val="105"/>
        </w:rPr>
        <w:t> </w:t>
      </w:r>
      <w:r>
        <w:rPr>
          <w:color w:val="231F20"/>
          <w:w w:val="105"/>
        </w:rPr>
        <w:t>Knowledge</w:t>
      </w:r>
      <w:r>
        <w:rPr>
          <w:color w:val="231F20"/>
          <w:spacing w:val="-18"/>
          <w:w w:val="105"/>
        </w:rPr>
        <w:t> </w:t>
      </w:r>
      <w:r>
        <w:rPr>
          <w:color w:val="231F20"/>
          <w:w w:val="105"/>
        </w:rPr>
        <w:t>relatedness</w:t>
      </w:r>
      <w:r>
        <w:rPr>
          <w:color w:val="231F20"/>
          <w:spacing w:val="-18"/>
          <w:w w:val="105"/>
        </w:rPr>
        <w:t> </w:t>
      </w:r>
      <w:r>
        <w:rPr>
          <w:color w:val="231F20"/>
          <w:w w:val="105"/>
        </w:rPr>
        <w:t>and</w:t>
      </w:r>
      <w:r>
        <w:rPr>
          <w:color w:val="231F20"/>
          <w:spacing w:val="-18"/>
          <w:w w:val="105"/>
        </w:rPr>
        <w:t> </w:t>
      </w:r>
      <w:r>
        <w:rPr>
          <w:color w:val="231F20"/>
          <w:w w:val="105"/>
        </w:rPr>
        <w:t>the performance</w:t>
      </w:r>
      <w:r>
        <w:rPr>
          <w:color w:val="231F20"/>
          <w:spacing w:val="-16"/>
          <w:w w:val="105"/>
        </w:rPr>
        <w:t> </w:t>
      </w:r>
      <w:r>
        <w:rPr>
          <w:color w:val="231F20"/>
          <w:w w:val="105"/>
        </w:rPr>
        <w:t>ofmultibusiness</w:t>
      </w:r>
      <w:r>
        <w:rPr>
          <w:color w:val="231F20"/>
          <w:spacing w:val="-16"/>
          <w:w w:val="105"/>
        </w:rPr>
        <w:t> </w:t>
      </w:r>
      <w:r>
        <w:rPr>
          <w:color w:val="231F20"/>
          <w:w w:val="105"/>
        </w:rPr>
        <w:t>firms.</w:t>
      </w:r>
      <w:r>
        <w:rPr>
          <w:color w:val="231F20"/>
          <w:spacing w:val="-21"/>
          <w:w w:val="105"/>
        </w:rPr>
        <w:t> </w:t>
      </w:r>
      <w:r>
        <w:rPr>
          <w:i/>
          <w:color w:val="231F20"/>
          <w:w w:val="105"/>
        </w:rPr>
        <w:t>Strategic</w:t>
      </w:r>
      <w:r>
        <w:rPr>
          <w:i/>
          <w:color w:val="231F20"/>
          <w:spacing w:val="-16"/>
          <w:w w:val="105"/>
        </w:rPr>
        <w:t> </w:t>
      </w:r>
      <w:r>
        <w:rPr>
          <w:i/>
          <w:color w:val="231F20"/>
          <w:w w:val="105"/>
        </w:rPr>
        <w:t>Management</w:t>
      </w:r>
      <w:r>
        <w:rPr>
          <w:i/>
          <w:color w:val="231F20"/>
          <w:spacing w:val="-18"/>
          <w:w w:val="105"/>
        </w:rPr>
        <w:t> </w:t>
      </w:r>
      <w:r>
        <w:rPr>
          <w:i/>
          <w:color w:val="231F20"/>
          <w:w w:val="105"/>
        </w:rPr>
        <w:t>Jour- </w:t>
      </w:r>
      <w:r>
        <w:rPr>
          <w:i/>
          <w:color w:val="231F20"/>
          <w:w w:val="105"/>
        </w:rPr>
        <w:t>na</w:t>
      </w:r>
      <w:r>
        <w:rPr>
          <w:color w:val="231F20"/>
          <w:w w:val="105"/>
        </w:rPr>
        <w:t>l,</w:t>
      </w:r>
      <w:r>
        <w:rPr>
          <w:color w:val="231F20"/>
          <w:spacing w:val="-31"/>
          <w:w w:val="105"/>
        </w:rPr>
        <w:t> </w:t>
      </w:r>
      <w:r>
        <w:rPr>
          <w:color w:val="231F20"/>
          <w:w w:val="105"/>
        </w:rPr>
        <w:t>26:</w:t>
      </w:r>
      <w:r>
        <w:rPr>
          <w:color w:val="231F20"/>
          <w:spacing w:val="-26"/>
          <w:w w:val="105"/>
        </w:rPr>
        <w:t> </w:t>
      </w:r>
      <w:r>
        <w:rPr>
          <w:color w:val="231F20"/>
          <w:w w:val="105"/>
        </w:rPr>
        <w:t>97-119.</w:t>
      </w:r>
    </w:p>
    <w:p>
      <w:pPr>
        <w:pStyle w:val="BodyText"/>
        <w:spacing w:line="241" w:lineRule="exact"/>
        <w:ind w:left="117"/>
      </w:pPr>
      <w:r>
        <w:rPr>
          <w:color w:val="231F20"/>
          <w:w w:val="105"/>
        </w:rPr>
        <w:t>Teece, D. (1980). Economies of scope and the scope of the enterprise.</w:t>
      </w:r>
    </w:p>
    <w:p>
      <w:pPr>
        <w:spacing w:before="18"/>
        <w:ind w:left="854" w:right="114" w:firstLine="0"/>
        <w:jc w:val="left"/>
        <w:rPr>
          <w:sz w:val="21"/>
        </w:rPr>
      </w:pPr>
      <w:r>
        <w:rPr>
          <w:i/>
          <w:color w:val="231F20"/>
          <w:w w:val="105"/>
          <w:sz w:val="21"/>
        </w:rPr>
        <w:t>Journal of Economic Behavior and Organization</w:t>
      </w:r>
      <w:r>
        <w:rPr>
          <w:color w:val="231F20"/>
          <w:w w:val="105"/>
          <w:sz w:val="21"/>
        </w:rPr>
        <w:t>, 1: 223-247.</w:t>
      </w:r>
    </w:p>
    <w:p>
      <w:pPr>
        <w:spacing w:before="18"/>
        <w:ind w:left="117" w:right="114" w:firstLine="0"/>
        <w:jc w:val="left"/>
        <w:rPr>
          <w:sz w:val="21"/>
        </w:rPr>
      </w:pPr>
      <w:r>
        <w:rPr>
          <w:color w:val="231F20"/>
          <w:sz w:val="21"/>
        </w:rPr>
        <w:t>Tzu, S. (2008). </w:t>
      </w:r>
      <w:r>
        <w:rPr>
          <w:i/>
          <w:color w:val="231F20"/>
          <w:sz w:val="21"/>
        </w:rPr>
        <w:t>El Arte de la Guerra</w:t>
      </w:r>
      <w:r>
        <w:rPr>
          <w:color w:val="231F20"/>
          <w:sz w:val="21"/>
        </w:rPr>
        <w:t>. Barcelona: Bresca.</w:t>
      </w:r>
    </w:p>
    <w:p>
      <w:pPr>
        <w:spacing w:line="259" w:lineRule="auto" w:before="18"/>
        <w:ind w:left="854" w:right="121" w:hanging="738"/>
        <w:jc w:val="both"/>
        <w:rPr>
          <w:sz w:val="21"/>
        </w:rPr>
      </w:pPr>
      <w:r>
        <w:rPr>
          <w:color w:val="231F20"/>
          <w:w w:val="105"/>
          <w:sz w:val="21"/>
        </w:rPr>
        <w:t>Walters,</w:t>
      </w:r>
      <w:r>
        <w:rPr>
          <w:color w:val="231F20"/>
          <w:spacing w:val="-29"/>
          <w:w w:val="105"/>
          <w:sz w:val="21"/>
        </w:rPr>
        <w:t> </w:t>
      </w:r>
      <w:r>
        <w:rPr>
          <w:color w:val="231F20"/>
          <w:w w:val="105"/>
          <w:sz w:val="21"/>
        </w:rPr>
        <w:t>B.,</w:t>
      </w:r>
      <w:r>
        <w:rPr>
          <w:color w:val="231F20"/>
          <w:spacing w:val="-29"/>
          <w:w w:val="105"/>
          <w:sz w:val="21"/>
        </w:rPr>
        <w:t> </w:t>
      </w:r>
      <w:r>
        <w:rPr>
          <w:color w:val="231F20"/>
          <w:spacing w:val="-3"/>
          <w:w w:val="105"/>
          <w:sz w:val="21"/>
        </w:rPr>
        <w:t>Peters,</w:t>
      </w:r>
      <w:r>
        <w:rPr>
          <w:color w:val="231F20"/>
          <w:spacing w:val="-29"/>
          <w:w w:val="105"/>
          <w:sz w:val="21"/>
        </w:rPr>
        <w:t> </w:t>
      </w:r>
      <w:r>
        <w:rPr>
          <w:color w:val="231F20"/>
          <w:w w:val="105"/>
          <w:sz w:val="21"/>
        </w:rPr>
        <w:t>S.</w:t>
      </w:r>
      <w:r>
        <w:rPr>
          <w:color w:val="231F20"/>
          <w:spacing w:val="-29"/>
          <w:w w:val="105"/>
          <w:sz w:val="21"/>
        </w:rPr>
        <w:t> </w:t>
      </w:r>
      <w:r>
        <w:rPr>
          <w:color w:val="231F20"/>
          <w:w w:val="105"/>
          <w:sz w:val="21"/>
        </w:rPr>
        <w:t>y</w:t>
      </w:r>
      <w:r>
        <w:rPr>
          <w:color w:val="231F20"/>
          <w:spacing w:val="-25"/>
          <w:w w:val="105"/>
          <w:sz w:val="21"/>
        </w:rPr>
        <w:t> </w:t>
      </w:r>
      <w:r>
        <w:rPr>
          <w:color w:val="231F20"/>
          <w:w w:val="105"/>
          <w:sz w:val="21"/>
        </w:rPr>
        <w:t>Dess,</w:t>
      </w:r>
      <w:r>
        <w:rPr>
          <w:color w:val="231F20"/>
          <w:spacing w:val="-29"/>
          <w:w w:val="105"/>
          <w:sz w:val="21"/>
        </w:rPr>
        <w:t> </w:t>
      </w:r>
      <w:r>
        <w:rPr>
          <w:color w:val="231F20"/>
          <w:w w:val="105"/>
          <w:sz w:val="21"/>
        </w:rPr>
        <w:t>G.</w:t>
      </w:r>
      <w:r>
        <w:rPr>
          <w:color w:val="231F20"/>
          <w:spacing w:val="-29"/>
          <w:w w:val="105"/>
          <w:sz w:val="21"/>
        </w:rPr>
        <w:t> </w:t>
      </w:r>
      <w:r>
        <w:rPr>
          <w:color w:val="231F20"/>
          <w:w w:val="105"/>
          <w:sz w:val="21"/>
        </w:rPr>
        <w:t>(1994).</w:t>
      </w:r>
      <w:r>
        <w:rPr>
          <w:color w:val="231F20"/>
          <w:spacing w:val="-29"/>
          <w:w w:val="105"/>
          <w:sz w:val="21"/>
        </w:rPr>
        <w:t> </w:t>
      </w:r>
      <w:r>
        <w:rPr>
          <w:color w:val="231F20"/>
          <w:w w:val="105"/>
          <w:sz w:val="21"/>
        </w:rPr>
        <w:t>Strategic</w:t>
      </w:r>
      <w:r>
        <w:rPr>
          <w:color w:val="231F20"/>
          <w:spacing w:val="-25"/>
          <w:w w:val="105"/>
          <w:sz w:val="21"/>
        </w:rPr>
        <w:t> </w:t>
      </w:r>
      <w:r>
        <w:rPr>
          <w:color w:val="231F20"/>
          <w:w w:val="105"/>
          <w:sz w:val="21"/>
        </w:rPr>
        <w:t>alliances</w:t>
      </w:r>
      <w:r>
        <w:rPr>
          <w:color w:val="231F20"/>
          <w:spacing w:val="-25"/>
          <w:w w:val="105"/>
          <w:sz w:val="21"/>
        </w:rPr>
        <w:t> </w:t>
      </w:r>
      <w:r>
        <w:rPr>
          <w:color w:val="231F20"/>
          <w:w w:val="105"/>
          <w:sz w:val="21"/>
        </w:rPr>
        <w:t>and</w:t>
      </w:r>
      <w:r>
        <w:rPr>
          <w:color w:val="231F20"/>
          <w:spacing w:val="-25"/>
          <w:w w:val="105"/>
          <w:sz w:val="21"/>
        </w:rPr>
        <w:t> </w:t>
      </w:r>
      <w:r>
        <w:rPr>
          <w:i/>
          <w:color w:val="231F20"/>
          <w:w w:val="105"/>
          <w:sz w:val="21"/>
        </w:rPr>
        <w:t>joint</w:t>
      </w:r>
      <w:r>
        <w:rPr>
          <w:i/>
          <w:color w:val="231F20"/>
          <w:spacing w:val="-25"/>
          <w:w w:val="105"/>
          <w:sz w:val="21"/>
        </w:rPr>
        <w:t> </w:t>
      </w:r>
      <w:r>
        <w:rPr>
          <w:i/>
          <w:color w:val="231F20"/>
          <w:w w:val="105"/>
          <w:sz w:val="21"/>
        </w:rPr>
        <w:t>ven- </w:t>
      </w:r>
      <w:r>
        <w:rPr>
          <w:i/>
          <w:color w:val="231F20"/>
          <w:w w:val="105"/>
          <w:sz w:val="21"/>
        </w:rPr>
        <w:t>ture</w:t>
      </w:r>
      <w:r>
        <w:rPr>
          <w:color w:val="231F20"/>
          <w:w w:val="105"/>
          <w:sz w:val="21"/>
        </w:rPr>
        <w:t>s:</w:t>
      </w:r>
      <w:r>
        <w:rPr>
          <w:color w:val="231F20"/>
          <w:spacing w:val="-39"/>
          <w:w w:val="105"/>
          <w:sz w:val="21"/>
        </w:rPr>
        <w:t> </w:t>
      </w:r>
      <w:r>
        <w:rPr>
          <w:color w:val="231F20"/>
          <w:w w:val="105"/>
          <w:sz w:val="21"/>
        </w:rPr>
        <w:t>Making</w:t>
      </w:r>
      <w:r>
        <w:rPr>
          <w:color w:val="231F20"/>
          <w:spacing w:val="-39"/>
          <w:w w:val="105"/>
          <w:sz w:val="21"/>
        </w:rPr>
        <w:t> </w:t>
      </w:r>
      <w:r>
        <w:rPr>
          <w:color w:val="231F20"/>
          <w:w w:val="105"/>
          <w:sz w:val="21"/>
        </w:rPr>
        <w:t>themwork.</w:t>
      </w:r>
      <w:r>
        <w:rPr>
          <w:color w:val="231F20"/>
          <w:spacing w:val="-42"/>
          <w:w w:val="105"/>
          <w:sz w:val="21"/>
        </w:rPr>
        <w:t> </w:t>
      </w:r>
      <w:r>
        <w:rPr>
          <w:i/>
          <w:color w:val="231F20"/>
          <w:w w:val="105"/>
          <w:sz w:val="21"/>
        </w:rPr>
        <w:t>Business</w:t>
      </w:r>
      <w:r>
        <w:rPr>
          <w:i/>
          <w:color w:val="231F20"/>
          <w:spacing w:val="-39"/>
          <w:w w:val="105"/>
          <w:sz w:val="21"/>
        </w:rPr>
        <w:t> </w:t>
      </w:r>
      <w:r>
        <w:rPr>
          <w:i/>
          <w:color w:val="231F20"/>
          <w:w w:val="105"/>
          <w:sz w:val="21"/>
        </w:rPr>
        <w:t>Horizons</w:t>
      </w:r>
      <w:r>
        <w:rPr>
          <w:color w:val="231F20"/>
          <w:w w:val="105"/>
          <w:sz w:val="21"/>
        </w:rPr>
        <w:t>,</w:t>
      </w:r>
      <w:r>
        <w:rPr>
          <w:color w:val="231F20"/>
          <w:spacing w:val="-43"/>
          <w:w w:val="105"/>
          <w:sz w:val="21"/>
        </w:rPr>
        <w:t> </w:t>
      </w:r>
      <w:r>
        <w:rPr>
          <w:color w:val="231F20"/>
          <w:w w:val="105"/>
          <w:sz w:val="21"/>
        </w:rPr>
        <w:t>July-August:</w:t>
      </w:r>
      <w:r>
        <w:rPr>
          <w:color w:val="231F20"/>
          <w:spacing w:val="-39"/>
          <w:w w:val="105"/>
          <w:sz w:val="21"/>
        </w:rPr>
        <w:t> </w:t>
      </w:r>
      <w:r>
        <w:rPr>
          <w:color w:val="231F20"/>
          <w:w w:val="105"/>
          <w:sz w:val="21"/>
        </w:rPr>
        <w:t>5-10.</w:t>
      </w:r>
    </w:p>
    <w:p>
      <w:pPr>
        <w:spacing w:after="0" w:line="259" w:lineRule="auto"/>
        <w:jc w:val="both"/>
        <w:rPr>
          <w:sz w:val="21"/>
        </w:rPr>
        <w:sectPr>
          <w:type w:val="continuous"/>
          <w:pgSz w:w="9640" w:h="13890"/>
          <w:pgMar w:top="1300" w:bottom="280" w:left="1300" w:right="1180"/>
        </w:sectPr>
      </w:pPr>
    </w:p>
    <w:p>
      <w:pPr>
        <w:spacing w:line="259" w:lineRule="auto" w:before="120"/>
        <w:ind w:left="841" w:right="115" w:hanging="738"/>
        <w:jc w:val="both"/>
        <w:rPr>
          <w:sz w:val="21"/>
        </w:rPr>
      </w:pPr>
      <w:r>
        <w:rPr>
          <w:color w:val="231F20"/>
          <w:sz w:val="21"/>
        </w:rPr>
        <w:t>Wellenius, B., Galarza, J., y Guemazi, B. (2005).Telecommunications and the WTO: The case of Mexico. </w:t>
      </w:r>
      <w:r>
        <w:rPr>
          <w:i/>
          <w:color w:val="231F20"/>
          <w:sz w:val="21"/>
        </w:rPr>
        <w:t>World Bank Policy Research Work- </w:t>
      </w:r>
      <w:r>
        <w:rPr>
          <w:i/>
          <w:color w:val="231F20"/>
          <w:sz w:val="21"/>
        </w:rPr>
        <w:t>ing Paper 3759</w:t>
      </w:r>
      <w:r>
        <w:rPr>
          <w:color w:val="231F20"/>
          <w:sz w:val="21"/>
        </w:rPr>
        <w:t>.</w:t>
      </w:r>
    </w:p>
    <w:p>
      <w:pPr>
        <w:spacing w:line="259" w:lineRule="auto" w:before="0"/>
        <w:ind w:left="840" w:right="120" w:hanging="737"/>
        <w:jc w:val="both"/>
        <w:rPr>
          <w:sz w:val="21"/>
        </w:rPr>
      </w:pPr>
      <w:r>
        <w:rPr>
          <w:color w:val="231F20"/>
          <w:sz w:val="21"/>
        </w:rPr>
        <w:t>Zollo, M. y Meier, D. (2008). What is MyA performance? </w:t>
      </w:r>
      <w:r>
        <w:rPr>
          <w:i/>
          <w:color w:val="231F20"/>
          <w:sz w:val="21"/>
        </w:rPr>
        <w:t>The Academy of </w:t>
      </w:r>
      <w:r>
        <w:rPr>
          <w:i/>
          <w:color w:val="231F20"/>
          <w:sz w:val="21"/>
        </w:rPr>
        <w:t>Management Perspectives</w:t>
      </w:r>
      <w:r>
        <w:rPr>
          <w:color w:val="231F20"/>
          <w:sz w:val="21"/>
        </w:rPr>
        <w:t>, 22 (3): 55-77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88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158</w:t>
        <w:tab/>
      </w:r>
      <w:r>
        <w:rPr>
          <w:rFonts w:ascii="Calibri" w:hAnsi="Calibri"/>
          <w:color w:val="6D6E71"/>
          <w:w w:val="105"/>
          <w:sz w:val="15"/>
        </w:rPr>
        <w:t>Daniel</w:t>
      </w:r>
      <w:r>
        <w:rPr>
          <w:rFonts w:ascii="Calibri" w:hAnsi="Calibri"/>
          <w:color w:val="6D6E71"/>
          <w:spacing w:val="-9"/>
          <w:w w:val="105"/>
          <w:sz w:val="15"/>
        </w:rPr>
        <w:t> </w:t>
      </w:r>
      <w:r>
        <w:rPr>
          <w:rFonts w:ascii="Calibri" w:hAnsi="Calibri"/>
          <w:color w:val="6D6E71"/>
          <w:w w:val="105"/>
          <w:sz w:val="15"/>
        </w:rPr>
        <w:t>Arturo</w:t>
      </w:r>
      <w:r>
        <w:rPr>
          <w:rFonts w:ascii="Calibri" w:hAnsi="Calibri"/>
          <w:color w:val="6D6E71"/>
          <w:spacing w:val="-9"/>
          <w:w w:val="105"/>
          <w:sz w:val="15"/>
        </w:rPr>
        <w:t> </w:t>
      </w:r>
      <w:r>
        <w:rPr>
          <w:rFonts w:ascii="Calibri" w:hAnsi="Calibri"/>
          <w:color w:val="6D6E71"/>
          <w:w w:val="105"/>
          <w:sz w:val="15"/>
        </w:rPr>
        <w:t>Cernas</w:t>
      </w:r>
      <w:r>
        <w:rPr>
          <w:rFonts w:ascii="Calibri" w:hAnsi="Calibri"/>
          <w:color w:val="6D6E71"/>
          <w:spacing w:val="-9"/>
          <w:w w:val="105"/>
          <w:sz w:val="15"/>
        </w:rPr>
        <w:t> </w:t>
      </w:r>
      <w:r>
        <w:rPr>
          <w:rFonts w:ascii="Calibri" w:hAnsi="Calibri"/>
          <w:color w:val="6D6E71"/>
          <w:w w:val="105"/>
          <w:sz w:val="15"/>
        </w:rPr>
        <w:t>Ortiz,</w:t>
      </w:r>
      <w:r>
        <w:rPr>
          <w:rFonts w:ascii="Calibri" w:hAnsi="Calibri"/>
          <w:color w:val="6D6E71"/>
          <w:spacing w:val="-9"/>
          <w:w w:val="105"/>
          <w:sz w:val="15"/>
        </w:rPr>
        <w:t> </w:t>
      </w:r>
      <w:r>
        <w:rPr>
          <w:rFonts w:ascii="Calibri" w:hAnsi="Calibri"/>
          <w:color w:val="6D6E71"/>
          <w:w w:val="105"/>
          <w:sz w:val="15"/>
        </w:rPr>
        <w:t>Rosa</w:t>
      </w:r>
      <w:r>
        <w:rPr>
          <w:rFonts w:ascii="Calibri" w:hAnsi="Calibri"/>
          <w:color w:val="6D6E71"/>
          <w:spacing w:val="-9"/>
          <w:w w:val="105"/>
          <w:sz w:val="15"/>
        </w:rPr>
        <w:t> </w:t>
      </w:r>
      <w:r>
        <w:rPr>
          <w:rFonts w:ascii="Calibri" w:hAnsi="Calibri"/>
          <w:color w:val="6D6E71"/>
          <w:w w:val="105"/>
          <w:sz w:val="15"/>
        </w:rPr>
        <w:t>María</w:t>
      </w:r>
      <w:r>
        <w:rPr>
          <w:rFonts w:ascii="Calibri" w:hAnsi="Calibri"/>
          <w:color w:val="6D6E71"/>
          <w:spacing w:val="-9"/>
          <w:w w:val="105"/>
          <w:sz w:val="15"/>
        </w:rPr>
        <w:t> </w:t>
      </w:r>
      <w:r>
        <w:rPr>
          <w:rFonts w:ascii="Calibri" w:hAnsi="Calibri"/>
          <w:color w:val="6D6E71"/>
          <w:w w:val="105"/>
          <w:sz w:val="15"/>
        </w:rPr>
        <w:t>Nava</w:t>
      </w:r>
      <w:r>
        <w:rPr>
          <w:rFonts w:ascii="Calibri" w:hAnsi="Calibri"/>
          <w:color w:val="6D6E71"/>
          <w:spacing w:val="-9"/>
          <w:w w:val="105"/>
          <w:sz w:val="15"/>
        </w:rPr>
        <w:t> </w:t>
      </w:r>
      <w:r>
        <w:rPr>
          <w:rFonts w:ascii="Calibri" w:hAnsi="Calibri"/>
          <w:color w:val="6D6E71"/>
          <w:w w:val="105"/>
          <w:sz w:val="15"/>
        </w:rPr>
        <w:t>Rogel</w:t>
      </w:r>
      <w:r>
        <w:rPr>
          <w:rFonts w:ascii="Calibri" w:hAnsi="Calibri"/>
          <w:color w:val="6D6E71"/>
          <w:spacing w:val="-11"/>
          <w:w w:val="105"/>
          <w:sz w:val="15"/>
        </w:rPr>
        <w:t> </w:t>
      </w:r>
      <w:r>
        <w:rPr>
          <w:rFonts w:ascii="Calibri" w:hAnsi="Calibri"/>
          <w:color w:val="6D6E71"/>
          <w:w w:val="105"/>
          <w:sz w:val="15"/>
        </w:rPr>
        <w:t>y</w:t>
      </w:r>
      <w:r>
        <w:rPr>
          <w:rFonts w:ascii="Calibri" w:hAnsi="Calibri"/>
          <w:color w:val="6D6E71"/>
          <w:spacing w:val="-9"/>
          <w:w w:val="105"/>
          <w:sz w:val="15"/>
        </w:rPr>
        <w:t> </w:t>
      </w:r>
      <w:r>
        <w:rPr>
          <w:rFonts w:ascii="Calibri" w:hAnsi="Calibri"/>
          <w:color w:val="6D6E71"/>
          <w:w w:val="105"/>
          <w:sz w:val="15"/>
        </w:rPr>
        <w:t>Miguel</w:t>
      </w:r>
      <w:r>
        <w:rPr>
          <w:rFonts w:ascii="Calibri" w:hAnsi="Calibri"/>
          <w:color w:val="6D6E71"/>
          <w:spacing w:val="-9"/>
          <w:w w:val="105"/>
          <w:sz w:val="15"/>
        </w:rPr>
        <w:t> </w:t>
      </w:r>
      <w:r>
        <w:rPr>
          <w:rFonts w:ascii="Calibri" w:hAnsi="Calibri"/>
          <w:color w:val="6D6E71"/>
          <w:w w:val="105"/>
          <w:sz w:val="15"/>
        </w:rPr>
        <w:t>Octavio</w:t>
      </w:r>
      <w:r>
        <w:rPr>
          <w:rFonts w:ascii="Calibri" w:hAnsi="Calibri"/>
          <w:color w:val="6D6E71"/>
          <w:spacing w:val="-9"/>
          <w:w w:val="105"/>
          <w:sz w:val="15"/>
        </w:rPr>
        <w:t> </w:t>
      </w:r>
      <w:r>
        <w:rPr>
          <w:rFonts w:ascii="Calibri" w:hAnsi="Calibri"/>
          <w:color w:val="6D6E71"/>
          <w:w w:val="105"/>
          <w:sz w:val="15"/>
        </w:rPr>
        <w:t>Caballero</w:t>
      </w:r>
      <w:r>
        <w:rPr>
          <w:rFonts w:ascii="Calibri" w:hAnsi="Calibri"/>
          <w:color w:val="6D6E71"/>
          <w:spacing w:val="-9"/>
          <w:w w:val="105"/>
          <w:sz w:val="15"/>
        </w:rPr>
        <w:t> </w:t>
      </w:r>
      <w:r>
        <w:rPr>
          <w:rFonts w:ascii="Calibri" w:hAnsi="Calibri"/>
          <w:color w:val="6D6E71"/>
          <w:w w:val="105"/>
          <w:sz w:val="15"/>
        </w:rPr>
        <w:t>Santín</w:t>
      </w:r>
    </w:p>
    <w:p>
      <w:pPr>
        <w:spacing w:after="0"/>
        <w:jc w:val="left"/>
        <w:rPr>
          <w:rFonts w:ascii="Calibri" w:hAnsi="Calibri"/>
          <w:sz w:val="15"/>
        </w:rPr>
        <w:sectPr>
          <w:pgSz w:w="9640" w:h="13890"/>
          <w:pgMar w:top="1300" w:bottom="0" w:left="1200" w:right="1300"/>
        </w:sectPr>
      </w:pPr>
    </w:p>
    <w:p>
      <w:pPr>
        <w:pStyle w:val="BodyText"/>
        <w:rPr>
          <w:rFonts w:ascii="Calibri"/>
          <w:sz w:val="20"/>
        </w:rPr>
      </w:pPr>
      <w:r>
        <w:rPr/>
        <w:drawing>
          <wp:anchor distT="0" distB="0" distL="0" distR="0" allowOverlap="1" layoutInCell="1" locked="0" behindDoc="1" simplePos="0" relativeHeight="268193591">
            <wp:simplePos x="0" y="0"/>
            <wp:positionH relativeFrom="page">
              <wp:posOffset>7200</wp:posOffset>
            </wp:positionH>
            <wp:positionV relativeFrom="page">
              <wp:posOffset>0</wp:posOffset>
            </wp:positionV>
            <wp:extent cx="6112802" cy="8819997"/>
            <wp:effectExtent l="0" t="0" r="0" b="0"/>
            <wp:wrapNone/>
            <wp:docPr id="39" name="image11.png" descr=""/>
            <wp:cNvGraphicFramePr>
              <a:graphicFrameLocks noChangeAspect="1"/>
            </wp:cNvGraphicFramePr>
            <a:graphic>
              <a:graphicData uri="http://schemas.openxmlformats.org/drawingml/2006/picture">
                <pic:pic>
                  <pic:nvPicPr>
                    <pic:cNvPr id="40"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1"/>
        <w:numPr>
          <w:ilvl w:val="0"/>
          <w:numId w:val="48"/>
        </w:numPr>
        <w:tabs>
          <w:tab w:pos="1419" w:val="left" w:leader="none"/>
        </w:tabs>
        <w:spacing w:line="288" w:lineRule="exact" w:before="195" w:after="0"/>
        <w:ind w:left="878" w:right="3024" w:firstLine="155"/>
        <w:jc w:val="left"/>
        <w:rPr>
          <w:color w:val="FFFFFF"/>
        </w:rPr>
      </w:pPr>
      <w:r>
        <w:rPr>
          <w:color w:val="FFFFFF"/>
          <w:w w:val="110"/>
        </w:rPr>
        <w:t>MERCADO</w:t>
      </w:r>
      <w:r>
        <w:rPr>
          <w:color w:val="FFFFFF"/>
          <w:spacing w:val="-36"/>
          <w:w w:val="110"/>
        </w:rPr>
        <w:t> </w:t>
      </w:r>
      <w:r>
        <w:rPr>
          <w:color w:val="FFFFFF"/>
          <w:w w:val="110"/>
        </w:rPr>
        <w:t>DE</w:t>
      </w:r>
      <w:r>
        <w:rPr>
          <w:color w:val="FFFFFF"/>
          <w:spacing w:val="-36"/>
          <w:w w:val="110"/>
        </w:rPr>
        <w:t> </w:t>
      </w:r>
      <w:r>
        <w:rPr>
          <w:color w:val="FFFFFF"/>
          <w:w w:val="110"/>
        </w:rPr>
        <w:t>TRABAJO. TEORÍA NEOCLÁSICA Y DE</w:t>
      </w:r>
      <w:r>
        <w:rPr>
          <w:color w:val="FFFFFF"/>
          <w:spacing w:val="-30"/>
          <w:w w:val="110"/>
        </w:rPr>
        <w:t> </w:t>
      </w:r>
      <w:r>
        <w:rPr>
          <w:color w:val="FFFFFF"/>
          <w:w w:val="110"/>
        </w:rPr>
        <w:t>LA</w:t>
      </w:r>
    </w:p>
    <w:p>
      <w:pPr>
        <w:spacing w:before="2"/>
        <w:ind w:left="2261" w:right="2382" w:firstLine="0"/>
        <w:jc w:val="left"/>
        <w:rPr>
          <w:rFonts w:ascii="Calibri" w:hAnsi="Calibri"/>
          <w:sz w:val="24"/>
        </w:rPr>
      </w:pPr>
      <w:r>
        <w:rPr>
          <w:rFonts w:ascii="Calibri" w:hAnsi="Calibri"/>
          <w:color w:val="FFFFFF"/>
          <w:w w:val="105"/>
          <w:sz w:val="24"/>
        </w:rPr>
        <w:t>SEftMENTACIÓN</w:t>
      </w:r>
    </w:p>
    <w:p>
      <w:pPr>
        <w:pStyle w:val="BodyText"/>
        <w:spacing w:before="6"/>
        <w:rPr>
          <w:rFonts w:ascii="Calibri"/>
          <w:sz w:val="19"/>
        </w:rPr>
      </w:pPr>
    </w:p>
    <w:p>
      <w:pPr>
        <w:pStyle w:val="Heading3"/>
        <w:spacing w:line="266" w:lineRule="exact"/>
      </w:pPr>
      <w:r>
        <w:rPr>
          <w:color w:val="FFFFFF"/>
          <w:w w:val="105"/>
        </w:rPr>
        <w:t>Lisy Rubio Hernández</w:t>
      </w:r>
    </w:p>
    <w:p>
      <w:pPr>
        <w:spacing w:line="266" w:lineRule="exact" w:before="0"/>
        <w:ind w:left="3931" w:right="0" w:firstLine="0"/>
        <w:jc w:val="left"/>
        <w:rPr>
          <w:rFonts w:ascii="Calibri" w:hAnsi="Calibri"/>
          <w:sz w:val="22"/>
        </w:rPr>
      </w:pPr>
      <w:r>
        <w:rPr>
          <w:rFonts w:ascii="Calibri" w:hAnsi="Calibri"/>
          <w:color w:val="FFFFFF"/>
          <w:w w:val="105"/>
          <w:sz w:val="22"/>
        </w:rPr>
        <w:t>María del Carmen Salgado Vega</w:t>
      </w:r>
    </w:p>
    <w:p>
      <w:pPr>
        <w:spacing w:after="0" w:line="266" w:lineRule="exact"/>
        <w:jc w:val="left"/>
        <w:rPr>
          <w:rFonts w:ascii="Calibri" w:hAnsi="Calibri"/>
          <w:sz w:val="22"/>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20"/>
        </w:rPr>
      </w:pPr>
    </w:p>
    <w:p>
      <w:pPr>
        <w:spacing w:line="249" w:lineRule="auto" w:before="63"/>
        <w:ind w:left="3182" w:right="106" w:hanging="291"/>
        <w:jc w:val="left"/>
        <w:rPr>
          <w:i/>
          <w:sz w:val="18"/>
        </w:rPr>
      </w:pPr>
      <w:r>
        <w:rPr>
          <w:i/>
          <w:color w:val="231F20"/>
          <w:w w:val="105"/>
          <w:sz w:val="18"/>
        </w:rPr>
        <w:t>La</w:t>
      </w:r>
      <w:r>
        <w:rPr>
          <w:i/>
          <w:color w:val="231F20"/>
          <w:spacing w:val="-12"/>
          <w:w w:val="105"/>
          <w:sz w:val="18"/>
        </w:rPr>
        <w:t> </w:t>
      </w:r>
      <w:r>
        <w:rPr>
          <w:i/>
          <w:color w:val="231F20"/>
          <w:w w:val="105"/>
          <w:sz w:val="18"/>
        </w:rPr>
        <w:t>división</w:t>
      </w:r>
      <w:r>
        <w:rPr>
          <w:i/>
          <w:color w:val="231F20"/>
          <w:spacing w:val="-12"/>
          <w:w w:val="105"/>
          <w:sz w:val="18"/>
        </w:rPr>
        <w:t> </w:t>
      </w:r>
      <w:r>
        <w:rPr>
          <w:i/>
          <w:color w:val="231F20"/>
          <w:w w:val="105"/>
          <w:sz w:val="18"/>
        </w:rPr>
        <w:t>del</w:t>
      </w:r>
      <w:r>
        <w:rPr>
          <w:i/>
          <w:color w:val="231F20"/>
          <w:spacing w:val="-12"/>
          <w:w w:val="105"/>
          <w:sz w:val="18"/>
        </w:rPr>
        <w:t> </w:t>
      </w:r>
      <w:r>
        <w:rPr>
          <w:i/>
          <w:color w:val="231F20"/>
          <w:w w:val="105"/>
          <w:sz w:val="18"/>
        </w:rPr>
        <w:t>trabajo</w:t>
      </w:r>
      <w:r>
        <w:rPr>
          <w:i/>
          <w:color w:val="231F20"/>
          <w:spacing w:val="-12"/>
          <w:w w:val="105"/>
          <w:sz w:val="18"/>
        </w:rPr>
        <w:t> </w:t>
      </w:r>
      <w:r>
        <w:rPr>
          <w:i/>
          <w:color w:val="231F20"/>
          <w:w w:val="105"/>
          <w:sz w:val="18"/>
        </w:rPr>
        <w:t>está</w:t>
      </w:r>
      <w:r>
        <w:rPr>
          <w:i/>
          <w:color w:val="231F20"/>
          <w:spacing w:val="-12"/>
          <w:w w:val="105"/>
          <w:sz w:val="18"/>
        </w:rPr>
        <w:t> </w:t>
      </w:r>
      <w:r>
        <w:rPr>
          <w:i/>
          <w:color w:val="231F20"/>
          <w:w w:val="105"/>
          <w:sz w:val="18"/>
        </w:rPr>
        <w:t>limitada</w:t>
      </w:r>
      <w:r>
        <w:rPr>
          <w:i/>
          <w:color w:val="231F20"/>
          <w:spacing w:val="-12"/>
          <w:w w:val="105"/>
          <w:sz w:val="18"/>
        </w:rPr>
        <w:t> </w:t>
      </w:r>
      <w:r>
        <w:rPr>
          <w:i/>
          <w:color w:val="231F20"/>
          <w:w w:val="105"/>
          <w:sz w:val="18"/>
        </w:rPr>
        <w:t>por</w:t>
      </w:r>
      <w:r>
        <w:rPr>
          <w:i/>
          <w:color w:val="231F20"/>
          <w:spacing w:val="-12"/>
          <w:w w:val="105"/>
          <w:sz w:val="18"/>
        </w:rPr>
        <w:t> </w:t>
      </w:r>
      <w:r>
        <w:rPr>
          <w:i/>
          <w:color w:val="231F20"/>
          <w:w w:val="105"/>
          <w:sz w:val="18"/>
        </w:rPr>
        <w:t>la</w:t>
      </w:r>
      <w:r>
        <w:rPr>
          <w:i/>
          <w:color w:val="231F20"/>
          <w:spacing w:val="-12"/>
          <w:w w:val="105"/>
          <w:sz w:val="18"/>
        </w:rPr>
        <w:t> </w:t>
      </w:r>
      <w:r>
        <w:rPr>
          <w:i/>
          <w:color w:val="231F20"/>
          <w:w w:val="105"/>
          <w:sz w:val="18"/>
        </w:rPr>
        <w:t>amplitud </w:t>
      </w:r>
      <w:r>
        <w:rPr>
          <w:i/>
          <w:color w:val="231F20"/>
          <w:w w:val="105"/>
          <w:sz w:val="18"/>
        </w:rPr>
        <w:t>con</w:t>
      </w:r>
      <w:r>
        <w:rPr>
          <w:i/>
          <w:color w:val="231F20"/>
          <w:spacing w:val="-21"/>
          <w:w w:val="105"/>
          <w:sz w:val="18"/>
        </w:rPr>
        <w:t> </w:t>
      </w:r>
      <w:r>
        <w:rPr>
          <w:i/>
          <w:color w:val="231F20"/>
          <w:w w:val="105"/>
          <w:sz w:val="18"/>
        </w:rPr>
        <w:t>que</w:t>
      </w:r>
      <w:r>
        <w:rPr>
          <w:i/>
          <w:color w:val="231F20"/>
          <w:spacing w:val="-21"/>
          <w:w w:val="105"/>
          <w:sz w:val="18"/>
        </w:rPr>
        <w:t> </w:t>
      </w:r>
      <w:r>
        <w:rPr>
          <w:i/>
          <w:color w:val="231F20"/>
          <w:w w:val="105"/>
          <w:sz w:val="18"/>
        </w:rPr>
        <w:t>se</w:t>
      </w:r>
      <w:r>
        <w:rPr>
          <w:i/>
          <w:color w:val="231F20"/>
          <w:spacing w:val="-21"/>
          <w:w w:val="105"/>
          <w:sz w:val="18"/>
        </w:rPr>
        <w:t> </w:t>
      </w:r>
      <w:r>
        <w:rPr>
          <w:i/>
          <w:color w:val="231F20"/>
          <w:w w:val="105"/>
          <w:sz w:val="18"/>
        </w:rPr>
        <w:t>practica</w:t>
      </w:r>
      <w:r>
        <w:rPr>
          <w:i/>
          <w:color w:val="231F20"/>
          <w:spacing w:val="-21"/>
          <w:w w:val="105"/>
          <w:sz w:val="18"/>
        </w:rPr>
        <w:t> </w:t>
      </w:r>
      <w:r>
        <w:rPr>
          <w:i/>
          <w:color w:val="231F20"/>
          <w:w w:val="105"/>
          <w:sz w:val="18"/>
        </w:rPr>
        <w:t>el</w:t>
      </w:r>
      <w:r>
        <w:rPr>
          <w:i/>
          <w:color w:val="231F20"/>
          <w:spacing w:val="-21"/>
          <w:w w:val="105"/>
          <w:sz w:val="18"/>
        </w:rPr>
        <w:t> </w:t>
      </w:r>
      <w:r>
        <w:rPr>
          <w:i/>
          <w:color w:val="231F20"/>
          <w:w w:val="105"/>
          <w:sz w:val="18"/>
        </w:rPr>
        <w:t>cambio</w:t>
      </w:r>
      <w:r>
        <w:rPr>
          <w:i/>
          <w:color w:val="231F20"/>
          <w:spacing w:val="-21"/>
          <w:w w:val="105"/>
          <w:sz w:val="18"/>
        </w:rPr>
        <w:t> </w:t>
      </w:r>
      <w:r>
        <w:rPr>
          <w:i/>
          <w:color w:val="231F20"/>
          <w:w w:val="105"/>
          <w:sz w:val="18"/>
        </w:rPr>
        <w:t>(Smith,</w:t>
      </w:r>
      <w:r>
        <w:rPr>
          <w:i/>
          <w:color w:val="231F20"/>
          <w:spacing w:val="-25"/>
          <w:w w:val="105"/>
          <w:sz w:val="18"/>
        </w:rPr>
        <w:t> </w:t>
      </w:r>
      <w:r>
        <w:rPr>
          <w:i/>
          <w:color w:val="231F20"/>
          <w:w w:val="105"/>
          <w:sz w:val="18"/>
        </w:rPr>
        <w:t>1958:20).</w:t>
      </w:r>
    </w:p>
    <w:p>
      <w:pPr>
        <w:spacing w:before="1"/>
        <w:ind w:left="1128" w:right="0" w:firstLine="0"/>
        <w:jc w:val="left"/>
        <w:rPr>
          <w:i/>
          <w:sz w:val="18"/>
        </w:rPr>
      </w:pPr>
      <w:r>
        <w:rPr>
          <w:i/>
          <w:color w:val="231F20"/>
          <w:w w:val="105"/>
          <w:sz w:val="18"/>
        </w:rPr>
        <w:t>Una</w:t>
      </w:r>
      <w:r>
        <w:rPr>
          <w:i/>
          <w:color w:val="231F20"/>
          <w:spacing w:val="-15"/>
          <w:w w:val="105"/>
          <w:sz w:val="18"/>
        </w:rPr>
        <w:t> </w:t>
      </w:r>
      <w:r>
        <w:rPr>
          <w:i/>
          <w:color w:val="231F20"/>
          <w:w w:val="105"/>
          <w:sz w:val="18"/>
        </w:rPr>
        <w:t>vez</w:t>
      </w:r>
      <w:r>
        <w:rPr>
          <w:i/>
          <w:color w:val="231F20"/>
          <w:spacing w:val="-15"/>
          <w:w w:val="105"/>
          <w:sz w:val="18"/>
        </w:rPr>
        <w:t> </w:t>
      </w:r>
      <w:r>
        <w:rPr>
          <w:i/>
          <w:color w:val="231F20"/>
          <w:w w:val="105"/>
          <w:sz w:val="18"/>
        </w:rPr>
        <w:t>implantada</w:t>
      </w:r>
      <w:r>
        <w:rPr>
          <w:i/>
          <w:color w:val="231F20"/>
          <w:spacing w:val="-15"/>
          <w:w w:val="105"/>
          <w:sz w:val="18"/>
        </w:rPr>
        <w:t> </w:t>
      </w:r>
      <w:r>
        <w:rPr>
          <w:i/>
          <w:color w:val="231F20"/>
          <w:w w:val="105"/>
          <w:sz w:val="18"/>
        </w:rPr>
        <w:t>la</w:t>
      </w:r>
      <w:r>
        <w:rPr>
          <w:i/>
          <w:color w:val="231F20"/>
          <w:spacing w:val="-15"/>
          <w:w w:val="105"/>
          <w:sz w:val="18"/>
        </w:rPr>
        <w:t> </w:t>
      </w:r>
      <w:r>
        <w:rPr>
          <w:i/>
          <w:color w:val="231F20"/>
          <w:w w:val="105"/>
          <w:sz w:val="18"/>
        </w:rPr>
        <w:t>división</w:t>
      </w:r>
      <w:r>
        <w:rPr>
          <w:i/>
          <w:color w:val="231F20"/>
          <w:spacing w:val="-15"/>
          <w:w w:val="105"/>
          <w:sz w:val="18"/>
        </w:rPr>
        <w:t> </w:t>
      </w:r>
      <w:r>
        <w:rPr>
          <w:i/>
          <w:color w:val="231F20"/>
          <w:w w:val="105"/>
          <w:sz w:val="18"/>
        </w:rPr>
        <w:t>del</w:t>
      </w:r>
      <w:r>
        <w:rPr>
          <w:i/>
          <w:color w:val="231F20"/>
          <w:spacing w:val="-15"/>
          <w:w w:val="105"/>
          <w:sz w:val="18"/>
        </w:rPr>
        <w:t> </w:t>
      </w:r>
      <w:r>
        <w:rPr>
          <w:i/>
          <w:color w:val="231F20"/>
          <w:w w:val="105"/>
          <w:sz w:val="18"/>
        </w:rPr>
        <w:t>trabajo,</w:t>
      </w:r>
      <w:r>
        <w:rPr>
          <w:i/>
          <w:color w:val="231F20"/>
          <w:spacing w:val="-20"/>
          <w:w w:val="105"/>
          <w:sz w:val="18"/>
        </w:rPr>
        <w:t> </w:t>
      </w:r>
      <w:r>
        <w:rPr>
          <w:i/>
          <w:color w:val="231F20"/>
          <w:w w:val="105"/>
          <w:sz w:val="18"/>
        </w:rPr>
        <w:t>el</w:t>
      </w:r>
      <w:r>
        <w:rPr>
          <w:i/>
          <w:color w:val="231F20"/>
          <w:spacing w:val="-15"/>
          <w:w w:val="105"/>
          <w:sz w:val="18"/>
        </w:rPr>
        <w:t> </w:t>
      </w:r>
      <w:r>
        <w:rPr>
          <w:i/>
          <w:color w:val="231F20"/>
          <w:w w:val="105"/>
          <w:sz w:val="18"/>
        </w:rPr>
        <w:t>hombre</w:t>
      </w:r>
      <w:r>
        <w:rPr>
          <w:i/>
          <w:color w:val="231F20"/>
          <w:spacing w:val="-15"/>
          <w:w w:val="105"/>
          <w:sz w:val="18"/>
        </w:rPr>
        <w:t> </w:t>
      </w:r>
      <w:r>
        <w:rPr>
          <w:i/>
          <w:color w:val="231F20"/>
          <w:w w:val="105"/>
          <w:sz w:val="18"/>
        </w:rPr>
        <w:t>vive</w:t>
      </w:r>
      <w:r>
        <w:rPr>
          <w:i/>
          <w:color w:val="231F20"/>
          <w:spacing w:val="-15"/>
          <w:w w:val="105"/>
          <w:sz w:val="18"/>
        </w:rPr>
        <w:t> </w:t>
      </w:r>
      <w:r>
        <w:rPr>
          <w:i/>
          <w:color w:val="231F20"/>
          <w:w w:val="105"/>
          <w:sz w:val="18"/>
        </w:rPr>
        <w:t>en</w:t>
      </w:r>
      <w:r>
        <w:rPr>
          <w:i/>
          <w:color w:val="231F20"/>
          <w:spacing w:val="-15"/>
          <w:w w:val="105"/>
          <w:sz w:val="18"/>
        </w:rPr>
        <w:t> </w:t>
      </w:r>
      <w:r>
        <w:rPr>
          <w:i/>
          <w:color w:val="231F20"/>
          <w:w w:val="105"/>
          <w:sz w:val="18"/>
        </w:rPr>
        <w:t>régimen</w:t>
      </w:r>
      <w:r>
        <w:rPr>
          <w:i/>
          <w:color w:val="231F20"/>
          <w:spacing w:val="-15"/>
          <w:w w:val="105"/>
          <w:sz w:val="18"/>
        </w:rPr>
        <w:t> </w:t>
      </w:r>
      <w:r>
        <w:rPr>
          <w:i/>
          <w:color w:val="231F20"/>
          <w:w w:val="105"/>
          <w:sz w:val="18"/>
        </w:rPr>
        <w:t>de</w:t>
      </w:r>
    </w:p>
    <w:p>
      <w:pPr>
        <w:spacing w:before="9"/>
        <w:ind w:left="4634" w:right="0" w:firstLine="0"/>
        <w:jc w:val="left"/>
        <w:rPr>
          <w:i/>
          <w:sz w:val="18"/>
        </w:rPr>
      </w:pPr>
      <w:r>
        <w:rPr>
          <w:i/>
          <w:color w:val="231F20"/>
          <w:sz w:val="18"/>
        </w:rPr>
        <w:t>intercambio  (Smith, 1958:24).</w:t>
      </w:r>
    </w:p>
    <w:p>
      <w:pPr>
        <w:pStyle w:val="BodyText"/>
        <w:rPr>
          <w:i/>
          <w:sz w:val="20"/>
        </w:rPr>
      </w:pPr>
    </w:p>
    <w:p>
      <w:pPr>
        <w:pStyle w:val="BodyText"/>
        <w:rPr>
          <w:i/>
          <w:sz w:val="20"/>
        </w:rPr>
      </w:pPr>
    </w:p>
    <w:p>
      <w:pPr>
        <w:pStyle w:val="BodyText"/>
        <w:rPr>
          <w:i/>
          <w:sz w:val="20"/>
        </w:rPr>
      </w:pPr>
    </w:p>
    <w:p>
      <w:pPr>
        <w:pStyle w:val="BodyText"/>
        <w:spacing w:before="10"/>
        <w:rPr>
          <w:i/>
          <w:sz w:val="16"/>
        </w:rPr>
      </w:pPr>
    </w:p>
    <w:p>
      <w:pPr>
        <w:spacing w:before="55"/>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21"/>
        <w:jc w:val="both"/>
      </w:pPr>
      <w:r>
        <w:rPr/>
        <w:pict>
          <v:shape style="position:absolute;margin-left:82.218903pt;margin-top:6.030497pt;width:31.2pt;height:51pt;mso-position-horizontal-relative:page;mso-position-vertical-relative:paragraph;z-index:-24184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8"/>
          <w:w w:val="105"/>
        </w:rPr>
        <w:t> </w:t>
      </w:r>
      <w:r>
        <w:rPr>
          <w:color w:val="231F20"/>
          <w:w w:val="105"/>
        </w:rPr>
        <w:t>presente</w:t>
      </w:r>
      <w:r>
        <w:rPr>
          <w:color w:val="231F20"/>
          <w:spacing w:val="-8"/>
          <w:w w:val="105"/>
        </w:rPr>
        <w:t> </w:t>
      </w:r>
      <w:r>
        <w:rPr>
          <w:color w:val="231F20"/>
          <w:w w:val="105"/>
        </w:rPr>
        <w:t>capítulo</w:t>
      </w:r>
      <w:r>
        <w:rPr>
          <w:color w:val="231F20"/>
          <w:spacing w:val="-8"/>
          <w:w w:val="105"/>
        </w:rPr>
        <w:t> </w:t>
      </w:r>
      <w:r>
        <w:rPr>
          <w:color w:val="231F20"/>
          <w:w w:val="105"/>
        </w:rPr>
        <w:t>es</w:t>
      </w:r>
      <w:r>
        <w:rPr>
          <w:color w:val="231F20"/>
          <w:spacing w:val="-8"/>
          <w:w w:val="105"/>
        </w:rPr>
        <w:t> </w:t>
      </w:r>
      <w:r>
        <w:rPr>
          <w:color w:val="231F20"/>
          <w:w w:val="105"/>
        </w:rPr>
        <w:t>una</w:t>
      </w:r>
      <w:r>
        <w:rPr>
          <w:color w:val="231F20"/>
          <w:spacing w:val="-8"/>
          <w:w w:val="105"/>
        </w:rPr>
        <w:t> </w:t>
      </w:r>
      <w:r>
        <w:rPr>
          <w:color w:val="231F20"/>
          <w:w w:val="105"/>
        </w:rPr>
        <w:t>revisión</w:t>
      </w:r>
      <w:r>
        <w:rPr>
          <w:color w:val="231F20"/>
          <w:spacing w:val="-8"/>
          <w:w w:val="105"/>
        </w:rPr>
        <w:t> </w:t>
      </w:r>
      <w:r>
        <w:rPr>
          <w:color w:val="231F20"/>
          <w:w w:val="105"/>
        </w:rPr>
        <w:t>teórica</w:t>
      </w:r>
      <w:r>
        <w:rPr>
          <w:color w:val="231F20"/>
          <w:spacing w:val="-8"/>
          <w:w w:val="105"/>
        </w:rPr>
        <w:t> </w:t>
      </w:r>
      <w:r>
        <w:rPr>
          <w:color w:val="231F20"/>
          <w:w w:val="105"/>
        </w:rPr>
        <w:t>desde</w:t>
      </w:r>
      <w:r>
        <w:rPr>
          <w:color w:val="231F20"/>
          <w:spacing w:val="-8"/>
          <w:w w:val="105"/>
        </w:rPr>
        <w:t> </w:t>
      </w:r>
      <w:r>
        <w:rPr>
          <w:color w:val="231F20"/>
          <w:w w:val="105"/>
        </w:rPr>
        <w:t>la</w:t>
      </w:r>
      <w:r>
        <w:rPr>
          <w:color w:val="231F20"/>
          <w:spacing w:val="-8"/>
          <w:w w:val="105"/>
        </w:rPr>
        <w:t> </w:t>
      </w:r>
      <w:r>
        <w:rPr>
          <w:color w:val="231F20"/>
          <w:w w:val="105"/>
        </w:rPr>
        <w:t>óptica</w:t>
      </w:r>
      <w:r>
        <w:rPr>
          <w:color w:val="231F20"/>
          <w:spacing w:val="-8"/>
          <w:w w:val="105"/>
        </w:rPr>
        <w:t> </w:t>
      </w:r>
      <w:r>
        <w:rPr>
          <w:color w:val="231F20"/>
          <w:w w:val="105"/>
        </w:rPr>
        <w:t>de las</w:t>
      </w:r>
      <w:r>
        <w:rPr>
          <w:color w:val="231F20"/>
          <w:spacing w:val="-9"/>
          <w:w w:val="105"/>
        </w:rPr>
        <w:t> </w:t>
      </w:r>
      <w:r>
        <w:rPr>
          <w:color w:val="231F20"/>
          <w:w w:val="105"/>
        </w:rPr>
        <w:t>ciencias</w:t>
      </w:r>
      <w:r>
        <w:rPr>
          <w:color w:val="231F20"/>
          <w:spacing w:val="-9"/>
          <w:w w:val="105"/>
        </w:rPr>
        <w:t> </w:t>
      </w:r>
      <w:r>
        <w:rPr>
          <w:color w:val="231F20"/>
          <w:w w:val="105"/>
        </w:rPr>
        <w:t>económico-administrativas,</w:t>
      </w:r>
      <w:r>
        <w:rPr>
          <w:color w:val="231F20"/>
          <w:spacing w:val="-14"/>
          <w:w w:val="105"/>
        </w:rPr>
        <w:t> </w:t>
      </w:r>
      <w:r>
        <w:rPr>
          <w:color w:val="231F20"/>
          <w:w w:val="105"/>
        </w:rPr>
        <w:t>de</w:t>
      </w:r>
      <w:r>
        <w:rPr>
          <w:color w:val="231F20"/>
          <w:spacing w:val="-9"/>
          <w:w w:val="105"/>
        </w:rPr>
        <w:t> </w:t>
      </w:r>
      <w:r>
        <w:rPr>
          <w:color w:val="231F20"/>
          <w:w w:val="105"/>
        </w:rPr>
        <w:t>tres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princi- pales</w:t>
      </w:r>
      <w:r>
        <w:rPr>
          <w:color w:val="231F20"/>
          <w:spacing w:val="-27"/>
          <w:w w:val="105"/>
        </w:rPr>
        <w:t> </w:t>
      </w:r>
      <w:r>
        <w:rPr>
          <w:color w:val="231F20"/>
          <w:w w:val="105"/>
        </w:rPr>
        <w:t>teorías</w:t>
      </w:r>
      <w:r>
        <w:rPr>
          <w:color w:val="231F20"/>
          <w:spacing w:val="-27"/>
          <w:w w:val="105"/>
        </w:rPr>
        <w:t> </w:t>
      </w:r>
      <w:r>
        <w:rPr>
          <w:color w:val="231F20"/>
          <w:w w:val="105"/>
        </w:rPr>
        <w:t>del</w:t>
      </w:r>
      <w:r>
        <w:rPr>
          <w:color w:val="231F20"/>
          <w:spacing w:val="-27"/>
          <w:w w:val="105"/>
        </w:rPr>
        <w:t> </w:t>
      </w:r>
      <w:r>
        <w:rPr>
          <w:color w:val="231F20"/>
          <w:w w:val="105"/>
        </w:rPr>
        <w:t>mercado</w:t>
      </w:r>
      <w:r>
        <w:rPr>
          <w:color w:val="231F20"/>
          <w:spacing w:val="-27"/>
          <w:w w:val="105"/>
        </w:rPr>
        <w:t> </w:t>
      </w:r>
      <w:r>
        <w:rPr>
          <w:color w:val="231F20"/>
          <w:w w:val="105"/>
        </w:rPr>
        <w:t>de</w:t>
      </w:r>
      <w:r>
        <w:rPr>
          <w:color w:val="231F20"/>
          <w:spacing w:val="-27"/>
          <w:w w:val="105"/>
        </w:rPr>
        <w:t> </w:t>
      </w:r>
      <w:r>
        <w:rPr>
          <w:color w:val="231F20"/>
          <w:w w:val="105"/>
        </w:rPr>
        <w:t>trabajo:</w:t>
      </w:r>
      <w:r>
        <w:rPr>
          <w:color w:val="231F20"/>
          <w:spacing w:val="-27"/>
          <w:w w:val="105"/>
        </w:rPr>
        <w:t> </w:t>
      </w:r>
      <w:r>
        <w:rPr>
          <w:color w:val="231F20"/>
          <w:w w:val="105"/>
        </w:rPr>
        <w:t>neoclásica,</w:t>
      </w:r>
      <w:r>
        <w:rPr>
          <w:color w:val="231F20"/>
          <w:spacing w:val="-32"/>
          <w:w w:val="105"/>
        </w:rPr>
        <w:t> </w:t>
      </w:r>
      <w:r>
        <w:rPr>
          <w:color w:val="231F20"/>
          <w:w w:val="105"/>
        </w:rPr>
        <w:t>instituciona- lista</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segmentación.</w:t>
      </w:r>
    </w:p>
    <w:p>
      <w:pPr>
        <w:pStyle w:val="BodyText"/>
        <w:spacing w:line="259" w:lineRule="auto"/>
        <w:ind w:left="117" w:right="120" w:firstLine="567"/>
        <w:jc w:val="both"/>
      </w:pPr>
      <w:r>
        <w:rPr>
          <w:color w:val="231F20"/>
          <w:w w:val="105"/>
        </w:rPr>
        <w:t>Se</w:t>
      </w:r>
      <w:r>
        <w:rPr>
          <w:color w:val="231F20"/>
          <w:spacing w:val="-24"/>
          <w:w w:val="105"/>
        </w:rPr>
        <w:t> </w:t>
      </w:r>
      <w:r>
        <w:rPr>
          <w:color w:val="231F20"/>
          <w:spacing w:val="-3"/>
          <w:w w:val="105"/>
        </w:rPr>
        <w:t>infiere</w:t>
      </w:r>
      <w:r>
        <w:rPr>
          <w:color w:val="231F20"/>
          <w:spacing w:val="-24"/>
          <w:w w:val="105"/>
        </w:rPr>
        <w:t> </w:t>
      </w:r>
      <w:r>
        <w:rPr>
          <w:color w:val="231F20"/>
          <w:w w:val="105"/>
        </w:rPr>
        <w:t>que</w:t>
      </w:r>
      <w:r>
        <w:rPr>
          <w:color w:val="231F20"/>
          <w:spacing w:val="-24"/>
          <w:w w:val="105"/>
        </w:rPr>
        <w:t> </w:t>
      </w:r>
      <w:r>
        <w:rPr>
          <w:color w:val="231F20"/>
          <w:w w:val="105"/>
        </w:rPr>
        <w:t>la</w:t>
      </w:r>
      <w:r>
        <w:rPr>
          <w:color w:val="231F20"/>
          <w:spacing w:val="-24"/>
          <w:w w:val="105"/>
        </w:rPr>
        <w:t> </w:t>
      </w:r>
      <w:r>
        <w:rPr>
          <w:color w:val="231F20"/>
          <w:w w:val="105"/>
        </w:rPr>
        <w:t>teoría</w:t>
      </w:r>
      <w:r>
        <w:rPr>
          <w:color w:val="231F20"/>
          <w:spacing w:val="-24"/>
          <w:w w:val="105"/>
        </w:rPr>
        <w:t> </w:t>
      </w:r>
      <w:r>
        <w:rPr>
          <w:color w:val="231F20"/>
          <w:w w:val="105"/>
        </w:rPr>
        <w:t>neoclásica</w:t>
      </w:r>
      <w:r>
        <w:rPr>
          <w:color w:val="231F20"/>
          <w:spacing w:val="-24"/>
          <w:w w:val="105"/>
        </w:rPr>
        <w:t> </w:t>
      </w:r>
      <w:r>
        <w:rPr>
          <w:color w:val="231F20"/>
          <w:w w:val="105"/>
        </w:rPr>
        <w:t>del</w:t>
      </w:r>
      <w:r>
        <w:rPr>
          <w:color w:val="231F20"/>
          <w:spacing w:val="-24"/>
          <w:w w:val="105"/>
        </w:rPr>
        <w:t> </w:t>
      </w:r>
      <w:r>
        <w:rPr>
          <w:color w:val="231F20"/>
          <w:spacing w:val="-3"/>
          <w:w w:val="105"/>
        </w:rPr>
        <w:t>mercado</w:t>
      </w:r>
      <w:r>
        <w:rPr>
          <w:color w:val="231F20"/>
          <w:spacing w:val="-24"/>
          <w:w w:val="105"/>
        </w:rPr>
        <w:t> </w:t>
      </w:r>
      <w:r>
        <w:rPr>
          <w:color w:val="231F20"/>
          <w:w w:val="105"/>
        </w:rPr>
        <w:t>de</w:t>
      </w:r>
      <w:r>
        <w:rPr>
          <w:color w:val="231F20"/>
          <w:spacing w:val="-24"/>
          <w:w w:val="105"/>
        </w:rPr>
        <w:t> </w:t>
      </w:r>
      <w:r>
        <w:rPr>
          <w:color w:val="231F20"/>
          <w:w w:val="105"/>
        </w:rPr>
        <w:t>trabajo</w:t>
      </w:r>
      <w:r>
        <w:rPr>
          <w:color w:val="231F20"/>
          <w:spacing w:val="-24"/>
          <w:w w:val="105"/>
        </w:rPr>
        <w:t> </w:t>
      </w:r>
      <w:r>
        <w:rPr>
          <w:color w:val="231F20"/>
          <w:w w:val="105"/>
        </w:rPr>
        <w:t>y</w:t>
      </w:r>
      <w:r>
        <w:rPr>
          <w:color w:val="231F20"/>
          <w:spacing w:val="-24"/>
          <w:w w:val="105"/>
        </w:rPr>
        <w:t> </w:t>
      </w:r>
      <w:r>
        <w:rPr>
          <w:color w:val="231F20"/>
          <w:w w:val="105"/>
        </w:rPr>
        <w:t>las</w:t>
      </w:r>
      <w:r>
        <w:rPr>
          <w:color w:val="231F20"/>
          <w:spacing w:val="-24"/>
          <w:w w:val="105"/>
        </w:rPr>
        <w:t> </w:t>
      </w:r>
      <w:r>
        <w:rPr>
          <w:color w:val="231F20"/>
          <w:w w:val="105"/>
        </w:rPr>
        <w:t>cua- </w:t>
      </w:r>
      <w:r>
        <w:rPr>
          <w:color w:val="231F20"/>
          <w:spacing w:val="-3"/>
          <w:w w:val="105"/>
        </w:rPr>
        <w:t>tro</w:t>
      </w:r>
      <w:r>
        <w:rPr>
          <w:color w:val="231F20"/>
          <w:spacing w:val="-23"/>
          <w:w w:val="105"/>
        </w:rPr>
        <w:t> </w:t>
      </w:r>
      <w:r>
        <w:rPr>
          <w:color w:val="231F20"/>
          <w:spacing w:val="-2"/>
          <w:w w:val="105"/>
        </w:rPr>
        <w:t>generaciones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segmentación</w:t>
      </w:r>
      <w:r>
        <w:rPr>
          <w:color w:val="231F20"/>
          <w:spacing w:val="-23"/>
          <w:w w:val="105"/>
        </w:rPr>
        <w:t> </w:t>
      </w:r>
      <w:r>
        <w:rPr>
          <w:color w:val="231F20"/>
          <w:w w:val="105"/>
        </w:rPr>
        <w:t>han</w:t>
      </w:r>
      <w:r>
        <w:rPr>
          <w:color w:val="231F20"/>
          <w:spacing w:val="-23"/>
          <w:w w:val="105"/>
        </w:rPr>
        <w:t> </w:t>
      </w:r>
      <w:r>
        <w:rPr>
          <w:color w:val="231F20"/>
          <w:w w:val="105"/>
        </w:rPr>
        <w:t>aportado</w:t>
      </w:r>
      <w:r>
        <w:rPr>
          <w:color w:val="231F20"/>
          <w:spacing w:val="-23"/>
          <w:w w:val="105"/>
        </w:rPr>
        <w:t> </w:t>
      </w:r>
      <w:r>
        <w:rPr>
          <w:color w:val="231F20"/>
          <w:w w:val="105"/>
        </w:rPr>
        <w:t>y</w:t>
      </w:r>
      <w:r>
        <w:rPr>
          <w:color w:val="231F20"/>
          <w:spacing w:val="-23"/>
          <w:w w:val="105"/>
        </w:rPr>
        <w:t> </w:t>
      </w:r>
      <w:r>
        <w:rPr>
          <w:color w:val="231F20"/>
          <w:w w:val="105"/>
        </w:rPr>
        <w:t>añadido a</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institucionalista,</w:t>
      </w:r>
      <w:r>
        <w:rPr>
          <w:color w:val="231F20"/>
          <w:spacing w:val="-11"/>
          <w:w w:val="105"/>
        </w:rPr>
        <w:t> </w:t>
      </w:r>
      <w:r>
        <w:rPr>
          <w:color w:val="231F20"/>
          <w:w w:val="105"/>
        </w:rPr>
        <w:t>incluida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primera</w:t>
      </w:r>
      <w:r>
        <w:rPr>
          <w:color w:val="231F20"/>
          <w:spacing w:val="-5"/>
          <w:w w:val="105"/>
        </w:rPr>
        <w:t> </w:t>
      </w:r>
      <w:r>
        <w:rPr>
          <w:color w:val="231F20"/>
          <w:w w:val="105"/>
        </w:rPr>
        <w:t>generación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seg- mentación; sin </w:t>
      </w:r>
      <w:r>
        <w:rPr>
          <w:color w:val="231F20"/>
          <w:spacing w:val="-3"/>
          <w:w w:val="105"/>
        </w:rPr>
        <w:t>embargo, </w:t>
      </w:r>
      <w:r>
        <w:rPr>
          <w:color w:val="231F20"/>
          <w:w w:val="105"/>
        </w:rPr>
        <w:t>por su </w:t>
      </w:r>
      <w:r>
        <w:rPr>
          <w:color w:val="231F20"/>
          <w:spacing w:val="-3"/>
          <w:w w:val="105"/>
        </w:rPr>
        <w:t>relevancia </w:t>
      </w:r>
      <w:r>
        <w:rPr>
          <w:color w:val="231F20"/>
          <w:w w:val="105"/>
        </w:rPr>
        <w:t>e impacto se </w:t>
      </w:r>
      <w:r>
        <w:rPr>
          <w:color w:val="231F20"/>
          <w:spacing w:val="-2"/>
          <w:w w:val="105"/>
        </w:rPr>
        <w:t>considera por </w:t>
      </w:r>
      <w:r>
        <w:rPr>
          <w:color w:val="231F20"/>
          <w:spacing w:val="-3"/>
          <w:w w:val="105"/>
        </w:rPr>
        <w:t>separado.</w:t>
      </w:r>
      <w:r>
        <w:rPr>
          <w:color w:val="231F20"/>
          <w:spacing w:val="-38"/>
          <w:w w:val="105"/>
        </w:rPr>
        <w:t> </w:t>
      </w:r>
      <w:r>
        <w:rPr>
          <w:color w:val="231F20"/>
          <w:w w:val="105"/>
        </w:rPr>
        <w:t>No</w:t>
      </w:r>
      <w:r>
        <w:rPr>
          <w:color w:val="231F20"/>
          <w:spacing w:val="-33"/>
          <w:w w:val="105"/>
        </w:rPr>
        <w:t> </w:t>
      </w:r>
      <w:r>
        <w:rPr>
          <w:color w:val="231F20"/>
          <w:w w:val="105"/>
        </w:rPr>
        <w:t>son</w:t>
      </w:r>
      <w:r>
        <w:rPr>
          <w:color w:val="231F20"/>
          <w:spacing w:val="-33"/>
          <w:w w:val="105"/>
        </w:rPr>
        <w:t> </w:t>
      </w:r>
      <w:r>
        <w:rPr>
          <w:color w:val="231F20"/>
          <w:w w:val="105"/>
        </w:rPr>
        <w:t>teorías</w:t>
      </w:r>
      <w:r>
        <w:rPr>
          <w:color w:val="231F20"/>
          <w:spacing w:val="-33"/>
          <w:w w:val="105"/>
        </w:rPr>
        <w:t> </w:t>
      </w:r>
      <w:r>
        <w:rPr>
          <w:color w:val="231F20"/>
          <w:w w:val="105"/>
        </w:rPr>
        <w:t>distantes</w:t>
      </w:r>
      <w:r>
        <w:rPr>
          <w:color w:val="231F20"/>
          <w:spacing w:val="-33"/>
          <w:w w:val="105"/>
        </w:rPr>
        <w:t> </w:t>
      </w:r>
      <w:r>
        <w:rPr>
          <w:color w:val="231F20"/>
          <w:w w:val="105"/>
        </w:rPr>
        <w:t>una</w:t>
      </w:r>
      <w:r>
        <w:rPr>
          <w:color w:val="231F20"/>
          <w:spacing w:val="-33"/>
          <w:w w:val="105"/>
        </w:rPr>
        <w:t> </w:t>
      </w:r>
      <w:r>
        <w:rPr>
          <w:color w:val="231F20"/>
          <w:w w:val="105"/>
        </w:rPr>
        <w:t>de</w:t>
      </w:r>
      <w:r>
        <w:rPr>
          <w:color w:val="231F20"/>
          <w:spacing w:val="-33"/>
          <w:w w:val="105"/>
        </w:rPr>
        <w:t> </w:t>
      </w:r>
      <w:r>
        <w:rPr>
          <w:color w:val="231F20"/>
          <w:w w:val="105"/>
        </w:rPr>
        <w:t>otra</w:t>
      </w:r>
      <w:r>
        <w:rPr>
          <w:color w:val="231F20"/>
          <w:spacing w:val="-33"/>
          <w:w w:val="105"/>
        </w:rPr>
        <w:t> </w:t>
      </w:r>
      <w:r>
        <w:rPr>
          <w:color w:val="231F20"/>
          <w:w w:val="105"/>
        </w:rPr>
        <w:t>ya</w:t>
      </w:r>
      <w:r>
        <w:rPr>
          <w:color w:val="231F20"/>
          <w:spacing w:val="-33"/>
          <w:w w:val="105"/>
        </w:rPr>
        <w:t> </w:t>
      </w:r>
      <w:r>
        <w:rPr>
          <w:color w:val="231F20"/>
          <w:w w:val="105"/>
        </w:rPr>
        <w:t>que</w:t>
      </w:r>
      <w:r>
        <w:rPr>
          <w:color w:val="231F20"/>
          <w:spacing w:val="-33"/>
          <w:w w:val="105"/>
        </w:rPr>
        <w:t> </w:t>
      </w:r>
      <w:r>
        <w:rPr>
          <w:color w:val="231F20"/>
          <w:w w:val="105"/>
        </w:rPr>
        <w:t>comparten</w:t>
      </w:r>
      <w:r>
        <w:rPr>
          <w:color w:val="231F20"/>
          <w:spacing w:val="-33"/>
          <w:w w:val="105"/>
        </w:rPr>
        <w:t> </w:t>
      </w:r>
      <w:r>
        <w:rPr>
          <w:color w:val="231F20"/>
          <w:w w:val="105"/>
        </w:rPr>
        <w:t>caracte- rísticas</w:t>
      </w:r>
      <w:r>
        <w:rPr>
          <w:color w:val="231F20"/>
          <w:spacing w:val="-27"/>
          <w:w w:val="105"/>
        </w:rPr>
        <w:t> </w:t>
      </w:r>
      <w:r>
        <w:rPr>
          <w:color w:val="231F20"/>
          <w:spacing w:val="-3"/>
          <w:w w:val="105"/>
        </w:rPr>
        <w:t>entre</w:t>
      </w:r>
      <w:r>
        <w:rPr>
          <w:color w:val="231F20"/>
          <w:spacing w:val="-27"/>
          <w:w w:val="105"/>
        </w:rPr>
        <w:t> </w:t>
      </w:r>
      <w:r>
        <w:rPr>
          <w:color w:val="231F20"/>
          <w:w w:val="105"/>
        </w:rPr>
        <w:t>ellas,</w:t>
      </w:r>
      <w:r>
        <w:rPr>
          <w:color w:val="231F20"/>
          <w:spacing w:val="-31"/>
          <w:w w:val="105"/>
        </w:rPr>
        <w:t> </w:t>
      </w:r>
      <w:r>
        <w:rPr>
          <w:color w:val="231F20"/>
          <w:w w:val="105"/>
        </w:rPr>
        <w:t>existen</w:t>
      </w:r>
      <w:r>
        <w:rPr>
          <w:color w:val="231F20"/>
          <w:spacing w:val="-27"/>
          <w:w w:val="105"/>
        </w:rPr>
        <w:t> </w:t>
      </w:r>
      <w:r>
        <w:rPr>
          <w:color w:val="231F20"/>
          <w:spacing w:val="-3"/>
          <w:w w:val="105"/>
        </w:rPr>
        <w:t>convergencias</w:t>
      </w:r>
      <w:r>
        <w:rPr>
          <w:color w:val="231F20"/>
          <w:spacing w:val="-27"/>
          <w:w w:val="105"/>
        </w:rPr>
        <w:t> </w:t>
      </w:r>
      <w:r>
        <w:rPr>
          <w:color w:val="231F20"/>
          <w:spacing w:val="-3"/>
          <w:w w:val="105"/>
        </w:rPr>
        <w:t>entre</w:t>
      </w:r>
      <w:r>
        <w:rPr>
          <w:color w:val="231F20"/>
          <w:spacing w:val="-27"/>
          <w:w w:val="105"/>
        </w:rPr>
        <w:t> </w:t>
      </w:r>
      <w:r>
        <w:rPr>
          <w:color w:val="231F20"/>
          <w:w w:val="105"/>
        </w:rPr>
        <w:t>la</w:t>
      </w:r>
      <w:r>
        <w:rPr>
          <w:color w:val="231F20"/>
          <w:spacing w:val="-27"/>
          <w:w w:val="105"/>
        </w:rPr>
        <w:t> </w:t>
      </w:r>
      <w:r>
        <w:rPr>
          <w:color w:val="231F20"/>
          <w:w w:val="105"/>
        </w:rPr>
        <w:t>perspectiva</w:t>
      </w:r>
      <w:r>
        <w:rPr>
          <w:color w:val="231F20"/>
          <w:spacing w:val="-27"/>
          <w:w w:val="105"/>
        </w:rPr>
        <w:t> </w:t>
      </w:r>
      <w:r>
        <w:rPr>
          <w:color w:val="231F20"/>
          <w:w w:val="105"/>
        </w:rPr>
        <w:t>neoclásica y</w:t>
      </w:r>
      <w:r>
        <w:rPr>
          <w:color w:val="231F20"/>
          <w:spacing w:val="-21"/>
          <w:w w:val="105"/>
        </w:rPr>
        <w:t> </w:t>
      </w:r>
      <w:r>
        <w:rPr>
          <w:color w:val="231F20"/>
          <w:w w:val="105"/>
        </w:rPr>
        <w:t>la</w:t>
      </w:r>
      <w:r>
        <w:rPr>
          <w:color w:val="231F20"/>
          <w:spacing w:val="-21"/>
          <w:w w:val="105"/>
        </w:rPr>
        <w:t> </w:t>
      </w:r>
      <w:r>
        <w:rPr>
          <w:color w:val="231F20"/>
          <w:w w:val="105"/>
        </w:rPr>
        <w:t>segmentista.</w:t>
      </w:r>
      <w:r>
        <w:rPr>
          <w:color w:val="231F20"/>
          <w:spacing w:val="-26"/>
          <w:w w:val="105"/>
        </w:rPr>
        <w:t> </w:t>
      </w:r>
      <w:r>
        <w:rPr>
          <w:color w:val="231F20"/>
          <w:w w:val="105"/>
        </w:rPr>
        <w:t>La</w:t>
      </w:r>
      <w:r>
        <w:rPr>
          <w:color w:val="231F20"/>
          <w:spacing w:val="-21"/>
          <w:w w:val="105"/>
        </w:rPr>
        <w:t> </w:t>
      </w:r>
      <w:r>
        <w:rPr>
          <w:color w:val="231F20"/>
          <w:w w:val="105"/>
        </w:rPr>
        <w:t>principal,</w:t>
      </w:r>
      <w:r>
        <w:rPr>
          <w:color w:val="231F20"/>
          <w:spacing w:val="-26"/>
          <w:w w:val="105"/>
        </w:rPr>
        <w:t> </w:t>
      </w:r>
      <w:r>
        <w:rPr>
          <w:color w:val="231F20"/>
          <w:w w:val="105"/>
        </w:rPr>
        <w:t>de</w:t>
      </w:r>
      <w:r>
        <w:rPr>
          <w:color w:val="231F20"/>
          <w:spacing w:val="-21"/>
          <w:w w:val="105"/>
        </w:rPr>
        <w:t> </w:t>
      </w:r>
      <w:r>
        <w:rPr>
          <w:color w:val="231F20"/>
          <w:spacing w:val="-3"/>
          <w:w w:val="105"/>
        </w:rPr>
        <w:t>acuerdo</w:t>
      </w:r>
      <w:r>
        <w:rPr>
          <w:color w:val="231F20"/>
          <w:spacing w:val="-21"/>
          <w:w w:val="105"/>
        </w:rPr>
        <w:t> </w:t>
      </w:r>
      <w:r>
        <w:rPr>
          <w:color w:val="231F20"/>
          <w:w w:val="105"/>
        </w:rPr>
        <w:t>con</w:t>
      </w:r>
      <w:r>
        <w:rPr>
          <w:color w:val="231F20"/>
          <w:spacing w:val="-21"/>
          <w:w w:val="105"/>
        </w:rPr>
        <w:t> </w:t>
      </w:r>
      <w:r>
        <w:rPr>
          <w:color w:val="231F20"/>
          <w:w w:val="105"/>
        </w:rPr>
        <w:t>este</w:t>
      </w:r>
      <w:r>
        <w:rPr>
          <w:color w:val="231F20"/>
          <w:spacing w:val="-21"/>
          <w:w w:val="105"/>
        </w:rPr>
        <w:t> </w:t>
      </w:r>
      <w:r>
        <w:rPr>
          <w:color w:val="231F20"/>
          <w:spacing w:val="-3"/>
          <w:w w:val="105"/>
        </w:rPr>
        <w:t>trabajo,</w:t>
      </w:r>
      <w:r>
        <w:rPr>
          <w:color w:val="231F20"/>
          <w:spacing w:val="-26"/>
          <w:w w:val="105"/>
        </w:rPr>
        <w:t> </w:t>
      </w:r>
      <w:r>
        <w:rPr>
          <w:color w:val="231F20"/>
          <w:w w:val="105"/>
        </w:rPr>
        <w:t>es</w:t>
      </w:r>
      <w:r>
        <w:rPr>
          <w:color w:val="231F20"/>
          <w:spacing w:val="-21"/>
          <w:w w:val="105"/>
        </w:rPr>
        <w:t> </w:t>
      </w:r>
      <w:r>
        <w:rPr>
          <w:color w:val="231F20"/>
          <w:w w:val="105"/>
        </w:rPr>
        <w:t>la</w:t>
      </w:r>
      <w:r>
        <w:rPr>
          <w:color w:val="231F20"/>
          <w:spacing w:val="-21"/>
          <w:w w:val="105"/>
        </w:rPr>
        <w:t> </w:t>
      </w:r>
      <w:r>
        <w:rPr>
          <w:color w:val="231F20"/>
          <w:w w:val="105"/>
        </w:rPr>
        <w:t>conside- </w:t>
      </w:r>
      <w:r>
        <w:rPr>
          <w:color w:val="231F20"/>
          <w:spacing w:val="-2"/>
          <w:w w:val="105"/>
        </w:rPr>
        <w:t>ración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eficiencia</w:t>
      </w:r>
      <w:r>
        <w:rPr>
          <w:color w:val="231F20"/>
          <w:spacing w:val="-12"/>
          <w:w w:val="105"/>
        </w:rPr>
        <w:t> </w:t>
      </w:r>
      <w:r>
        <w:rPr>
          <w:color w:val="231F20"/>
          <w:w w:val="105"/>
        </w:rPr>
        <w:t>económica,</w:t>
      </w:r>
      <w:r>
        <w:rPr>
          <w:color w:val="231F20"/>
          <w:spacing w:val="-17"/>
          <w:w w:val="105"/>
        </w:rPr>
        <w:t> </w:t>
      </w:r>
      <w:r>
        <w:rPr>
          <w:color w:val="231F20"/>
          <w:w w:val="105"/>
        </w:rPr>
        <w:t>donde</w:t>
      </w:r>
      <w:r>
        <w:rPr>
          <w:color w:val="231F20"/>
          <w:spacing w:val="-12"/>
          <w:w w:val="105"/>
        </w:rPr>
        <w:t> </w:t>
      </w:r>
      <w:r>
        <w:rPr>
          <w:color w:val="231F20"/>
          <w:w w:val="105"/>
        </w:rPr>
        <w:t>para</w:t>
      </w:r>
      <w:r>
        <w:rPr>
          <w:color w:val="231F20"/>
          <w:spacing w:val="-12"/>
          <w:w w:val="105"/>
        </w:rPr>
        <w:t> </w:t>
      </w:r>
      <w:r>
        <w:rPr>
          <w:color w:val="231F20"/>
          <w:w w:val="105"/>
        </w:rPr>
        <w:t>los</w:t>
      </w:r>
      <w:r>
        <w:rPr>
          <w:color w:val="231F20"/>
          <w:spacing w:val="-12"/>
          <w:w w:val="105"/>
        </w:rPr>
        <w:t> </w:t>
      </w:r>
      <w:r>
        <w:rPr>
          <w:color w:val="231F20"/>
          <w:w w:val="105"/>
        </w:rPr>
        <w:t>neoclásicos</w:t>
      </w:r>
      <w:r>
        <w:rPr>
          <w:color w:val="231F20"/>
          <w:spacing w:val="-12"/>
          <w:w w:val="105"/>
        </w:rPr>
        <w:t> </w:t>
      </w:r>
      <w:r>
        <w:rPr>
          <w:color w:val="231F20"/>
          <w:w w:val="105"/>
        </w:rPr>
        <w:t>se</w:t>
      </w:r>
      <w:r>
        <w:rPr>
          <w:color w:val="231F20"/>
          <w:spacing w:val="-12"/>
          <w:w w:val="105"/>
        </w:rPr>
        <w:t> </w:t>
      </w:r>
      <w:r>
        <w:rPr>
          <w:color w:val="231F20"/>
          <w:w w:val="105"/>
        </w:rPr>
        <w:t>puede explicar</w:t>
      </w:r>
      <w:r>
        <w:rPr>
          <w:color w:val="231F20"/>
          <w:spacing w:val="-25"/>
          <w:w w:val="105"/>
        </w:rPr>
        <w:t> </w:t>
      </w:r>
      <w:r>
        <w:rPr>
          <w:color w:val="231F20"/>
          <w:w w:val="105"/>
        </w:rPr>
        <w:t>únicamente</w:t>
      </w:r>
      <w:r>
        <w:rPr>
          <w:color w:val="231F20"/>
          <w:spacing w:val="-25"/>
          <w:w w:val="105"/>
        </w:rPr>
        <w:t> </w:t>
      </w:r>
      <w:r>
        <w:rPr>
          <w:color w:val="231F20"/>
          <w:w w:val="105"/>
        </w:rPr>
        <w:t>con</w:t>
      </w:r>
      <w:r>
        <w:rPr>
          <w:color w:val="231F20"/>
          <w:spacing w:val="-25"/>
          <w:w w:val="105"/>
        </w:rPr>
        <w:t> </w:t>
      </w:r>
      <w:r>
        <w:rPr>
          <w:color w:val="231F20"/>
          <w:spacing w:val="-3"/>
          <w:w w:val="105"/>
        </w:rPr>
        <w:t>factores</w:t>
      </w:r>
      <w:r>
        <w:rPr>
          <w:color w:val="231F20"/>
          <w:spacing w:val="-25"/>
          <w:w w:val="105"/>
        </w:rPr>
        <w:t> </w:t>
      </w:r>
      <w:r>
        <w:rPr>
          <w:color w:val="231F20"/>
          <w:w w:val="105"/>
        </w:rPr>
        <w:t>económicos</w:t>
      </w:r>
      <w:r>
        <w:rPr>
          <w:color w:val="231F20"/>
          <w:spacing w:val="-25"/>
          <w:w w:val="105"/>
        </w:rPr>
        <w:t> </w:t>
      </w:r>
      <w:r>
        <w:rPr>
          <w:color w:val="231F20"/>
          <w:w w:val="105"/>
        </w:rPr>
        <w:t>y</w:t>
      </w:r>
      <w:r>
        <w:rPr>
          <w:color w:val="231F20"/>
          <w:spacing w:val="-25"/>
          <w:w w:val="105"/>
        </w:rPr>
        <w:t> </w:t>
      </w:r>
      <w:r>
        <w:rPr>
          <w:color w:val="231F20"/>
          <w:w w:val="105"/>
        </w:rPr>
        <w:t>para</w:t>
      </w:r>
      <w:r>
        <w:rPr>
          <w:color w:val="231F20"/>
          <w:spacing w:val="-25"/>
          <w:w w:val="105"/>
        </w:rPr>
        <w:t> </w:t>
      </w:r>
      <w:r>
        <w:rPr>
          <w:color w:val="231F20"/>
          <w:w w:val="105"/>
        </w:rPr>
        <w:t>los</w:t>
      </w:r>
      <w:r>
        <w:rPr>
          <w:color w:val="231F20"/>
          <w:spacing w:val="-25"/>
          <w:w w:val="105"/>
        </w:rPr>
        <w:t> </w:t>
      </w:r>
      <w:r>
        <w:rPr>
          <w:color w:val="231F20"/>
          <w:w w:val="105"/>
        </w:rPr>
        <w:t>segmentistas</w:t>
      </w:r>
      <w:r>
        <w:rPr>
          <w:color w:val="231F20"/>
          <w:spacing w:val="-25"/>
          <w:w w:val="105"/>
        </w:rPr>
        <w:t> </w:t>
      </w:r>
      <w:r>
        <w:rPr>
          <w:color w:val="231F20"/>
          <w:w w:val="105"/>
        </w:rPr>
        <w:t>se deben</w:t>
      </w:r>
      <w:r>
        <w:rPr>
          <w:color w:val="231F20"/>
          <w:spacing w:val="-16"/>
          <w:w w:val="105"/>
        </w:rPr>
        <w:t> </w:t>
      </w:r>
      <w:r>
        <w:rPr>
          <w:color w:val="231F20"/>
          <w:spacing w:val="-2"/>
          <w:w w:val="105"/>
        </w:rPr>
        <w:t>considerar</w:t>
      </w:r>
      <w:r>
        <w:rPr>
          <w:color w:val="231F20"/>
          <w:spacing w:val="-16"/>
          <w:w w:val="105"/>
        </w:rPr>
        <w:t> </w:t>
      </w:r>
      <w:r>
        <w:rPr>
          <w:color w:val="231F20"/>
          <w:w w:val="105"/>
        </w:rPr>
        <w:t>también</w:t>
      </w:r>
      <w:r>
        <w:rPr>
          <w:color w:val="231F20"/>
          <w:spacing w:val="-16"/>
          <w:w w:val="105"/>
        </w:rPr>
        <w:t> </w:t>
      </w:r>
      <w:r>
        <w:rPr>
          <w:color w:val="231F20"/>
          <w:w w:val="105"/>
        </w:rPr>
        <w:t>los</w:t>
      </w:r>
      <w:r>
        <w:rPr>
          <w:color w:val="231F20"/>
          <w:spacing w:val="-16"/>
          <w:w w:val="105"/>
        </w:rPr>
        <w:t> </w:t>
      </w:r>
      <w:r>
        <w:rPr>
          <w:color w:val="231F20"/>
          <w:spacing w:val="-3"/>
          <w:w w:val="105"/>
        </w:rPr>
        <w:t>factores</w:t>
      </w:r>
      <w:r>
        <w:rPr>
          <w:color w:val="231F20"/>
          <w:spacing w:val="-16"/>
          <w:w w:val="105"/>
        </w:rPr>
        <w:t> </w:t>
      </w:r>
      <w:r>
        <w:rPr>
          <w:color w:val="231F20"/>
          <w:spacing w:val="-3"/>
          <w:w w:val="105"/>
        </w:rPr>
        <w:t>burocráticos</w:t>
      </w:r>
      <w:r>
        <w:rPr>
          <w:color w:val="231F20"/>
          <w:spacing w:val="-16"/>
          <w:w w:val="105"/>
        </w:rPr>
        <w:t> </w:t>
      </w:r>
      <w:r>
        <w:rPr>
          <w:color w:val="231F20"/>
          <w:w w:val="105"/>
        </w:rPr>
        <w:t>que</w:t>
      </w:r>
      <w:r>
        <w:rPr>
          <w:color w:val="231F20"/>
          <w:spacing w:val="-16"/>
          <w:w w:val="105"/>
        </w:rPr>
        <w:t> </w:t>
      </w:r>
      <w:r>
        <w:rPr>
          <w:color w:val="231F20"/>
          <w:spacing w:val="-2"/>
          <w:w w:val="105"/>
        </w:rPr>
        <w:t>intervienen.</w:t>
      </w:r>
    </w:p>
    <w:p>
      <w:pPr>
        <w:pStyle w:val="BodyText"/>
        <w:rPr>
          <w:sz w:val="20"/>
        </w:rPr>
      </w:pPr>
    </w:p>
    <w:p>
      <w:pPr>
        <w:pStyle w:val="BodyText"/>
        <w:spacing w:before="7"/>
        <w:rPr>
          <w:sz w:val="18"/>
        </w:rPr>
      </w:pPr>
    </w:p>
    <w:p>
      <w:pPr>
        <w:pStyle w:val="Heading2"/>
        <w:ind w:right="114"/>
        <w:jc w:val="left"/>
      </w:pPr>
      <w:r>
        <w:rPr>
          <w:color w:val="231F20"/>
        </w:rPr>
        <w:t>Introducción</w:t>
      </w:r>
    </w:p>
    <w:p>
      <w:pPr>
        <w:pStyle w:val="BodyText"/>
        <w:rPr>
          <w:b/>
          <w:sz w:val="22"/>
        </w:rPr>
      </w:pPr>
    </w:p>
    <w:p>
      <w:pPr>
        <w:pStyle w:val="BodyText"/>
        <w:spacing w:line="259" w:lineRule="auto" w:before="160"/>
        <w:ind w:left="117" w:right="114"/>
      </w:pPr>
      <w:r>
        <w:rPr>
          <w:color w:val="231F20"/>
        </w:rPr>
        <w:t>Las teorías del mercado de trabajo nacen en el siglo XVIII a medida que las transacciones de intercambios comerciales se transforman y se   vuel-</w:t>
      </w:r>
    </w:p>
    <w:p>
      <w:pPr>
        <w:spacing w:after="0" w:line="259" w:lineRule="auto"/>
        <w:sectPr>
          <w:pgSz w:w="9640" w:h="13890"/>
          <w:pgMar w:top="1300" w:bottom="280" w:left="1300" w:right="1180"/>
        </w:sectPr>
      </w:pPr>
    </w:p>
    <w:p>
      <w:pPr>
        <w:pStyle w:val="BodyText"/>
        <w:spacing w:line="259" w:lineRule="auto" w:before="92"/>
        <w:ind w:left="103" w:right="114"/>
        <w:jc w:val="both"/>
      </w:pPr>
      <w:r>
        <w:rPr>
          <w:color w:val="231F20"/>
          <w:w w:val="105"/>
        </w:rPr>
        <w:t>ven más complejas (mercantilismo). </w:t>
      </w:r>
      <w:r>
        <w:rPr>
          <w:color w:val="231F20"/>
          <w:spacing w:val="-6"/>
          <w:w w:val="105"/>
        </w:rPr>
        <w:t>Por </w:t>
      </w:r>
      <w:r>
        <w:rPr>
          <w:color w:val="231F20"/>
          <w:w w:val="105"/>
        </w:rPr>
        <w:t>lo tanto, los procesos produc- tivos también cambian, la producción deja de ser artesanal y se torna mecanizada</w:t>
      </w:r>
      <w:r>
        <w:rPr>
          <w:color w:val="231F20"/>
          <w:spacing w:val="-12"/>
          <w:w w:val="105"/>
        </w:rPr>
        <w:t> </w:t>
      </w:r>
      <w:r>
        <w:rPr>
          <w:color w:val="231F20"/>
          <w:w w:val="105"/>
        </w:rPr>
        <w:t>o</w:t>
      </w:r>
      <w:r>
        <w:rPr>
          <w:color w:val="231F20"/>
          <w:spacing w:val="-12"/>
          <w:w w:val="105"/>
        </w:rPr>
        <w:t> </w:t>
      </w:r>
      <w:r>
        <w:rPr>
          <w:color w:val="231F20"/>
          <w:w w:val="105"/>
        </w:rPr>
        <w:t>industrializada</w:t>
      </w:r>
      <w:r>
        <w:rPr>
          <w:color w:val="231F20"/>
          <w:spacing w:val="-12"/>
          <w:w w:val="105"/>
        </w:rPr>
        <w:t> </w:t>
      </w:r>
      <w:r>
        <w:rPr>
          <w:color w:val="231F20"/>
          <w:w w:val="105"/>
        </w:rPr>
        <w:t>(uso</w:t>
      </w:r>
      <w:r>
        <w:rPr>
          <w:color w:val="231F20"/>
          <w:spacing w:val="-12"/>
          <w:w w:val="105"/>
        </w:rPr>
        <w:t> </w:t>
      </w:r>
      <w:r>
        <w:rPr>
          <w:color w:val="231F20"/>
          <w:w w:val="105"/>
        </w:rPr>
        <w:t>de</w:t>
      </w:r>
      <w:r>
        <w:rPr>
          <w:color w:val="231F20"/>
          <w:spacing w:val="-12"/>
          <w:w w:val="105"/>
        </w:rPr>
        <w:t> </w:t>
      </w:r>
      <w:r>
        <w:rPr>
          <w:color w:val="231F20"/>
          <w:w w:val="105"/>
        </w:rPr>
        <w:t>máquinas</w:t>
      </w:r>
      <w:r>
        <w:rPr>
          <w:color w:val="231F20"/>
          <w:spacing w:val="-12"/>
          <w:w w:val="105"/>
        </w:rPr>
        <w:t> </w:t>
      </w:r>
      <w:r>
        <w:rPr>
          <w:color w:val="231F20"/>
          <w:w w:val="105"/>
        </w:rPr>
        <w:t>para</w:t>
      </w:r>
      <w:r>
        <w:rPr>
          <w:color w:val="231F20"/>
          <w:spacing w:val="-12"/>
          <w:w w:val="105"/>
        </w:rPr>
        <w:t> </w:t>
      </w:r>
      <w:r>
        <w:rPr>
          <w:color w:val="231F20"/>
          <w:w w:val="105"/>
        </w:rPr>
        <w:t>fabricar),</w:t>
      </w:r>
      <w:r>
        <w:rPr>
          <w:color w:val="231F20"/>
          <w:spacing w:val="-17"/>
          <w:w w:val="105"/>
        </w:rPr>
        <w:t> </w:t>
      </w:r>
      <w:r>
        <w:rPr>
          <w:color w:val="231F20"/>
          <w:w w:val="105"/>
        </w:rPr>
        <w:t>imcorpo- rando más producción al mercado con menor costo y menor tiempo de transformación.</w:t>
      </w:r>
      <w:r>
        <w:rPr>
          <w:color w:val="231F20"/>
          <w:spacing w:val="-31"/>
          <w:w w:val="105"/>
        </w:rPr>
        <w:t> </w:t>
      </w:r>
      <w:r>
        <w:rPr>
          <w:color w:val="231F20"/>
          <w:w w:val="105"/>
        </w:rPr>
        <w:t>La</w:t>
      </w:r>
      <w:r>
        <w:rPr>
          <w:color w:val="231F20"/>
          <w:spacing w:val="-26"/>
          <w:w w:val="105"/>
        </w:rPr>
        <w:t> </w:t>
      </w:r>
      <w:r>
        <w:rPr>
          <w:color w:val="231F20"/>
          <w:w w:val="105"/>
        </w:rPr>
        <w:t>oferta</w:t>
      </w:r>
      <w:r>
        <w:rPr>
          <w:color w:val="231F20"/>
          <w:spacing w:val="-26"/>
          <w:w w:val="105"/>
        </w:rPr>
        <w:t> </w:t>
      </w:r>
      <w:r>
        <w:rPr>
          <w:color w:val="231F20"/>
          <w:w w:val="105"/>
        </w:rPr>
        <w:t>aumenta</w:t>
      </w:r>
      <w:r>
        <w:rPr>
          <w:color w:val="231F20"/>
          <w:spacing w:val="-26"/>
          <w:w w:val="105"/>
        </w:rPr>
        <w:t> </w:t>
      </w:r>
      <w:r>
        <w:rPr>
          <w:color w:val="231F20"/>
          <w:w w:val="105"/>
        </w:rPr>
        <w:t>al</w:t>
      </w:r>
      <w:r>
        <w:rPr>
          <w:color w:val="231F20"/>
          <w:spacing w:val="-26"/>
          <w:w w:val="105"/>
        </w:rPr>
        <w:t> </w:t>
      </w:r>
      <w:r>
        <w:rPr>
          <w:color w:val="231F20"/>
          <w:w w:val="105"/>
        </w:rPr>
        <w:t>tiempo</w:t>
      </w:r>
      <w:r>
        <w:rPr>
          <w:color w:val="231F20"/>
          <w:spacing w:val="-26"/>
          <w:w w:val="105"/>
        </w:rPr>
        <w:t> </w:t>
      </w:r>
      <w:r>
        <w:rPr>
          <w:color w:val="231F20"/>
          <w:w w:val="105"/>
        </w:rPr>
        <w:t>que</w:t>
      </w:r>
      <w:r>
        <w:rPr>
          <w:color w:val="231F20"/>
          <w:spacing w:val="-26"/>
          <w:w w:val="105"/>
        </w:rPr>
        <w:t> </w:t>
      </w:r>
      <w:r>
        <w:rPr>
          <w:color w:val="231F20"/>
          <w:w w:val="105"/>
        </w:rPr>
        <w:t>también</w:t>
      </w:r>
      <w:r>
        <w:rPr>
          <w:color w:val="231F20"/>
          <w:spacing w:val="-26"/>
          <w:w w:val="105"/>
        </w:rPr>
        <w:t> </w:t>
      </w:r>
      <w:r>
        <w:rPr>
          <w:color w:val="231F20"/>
          <w:w w:val="105"/>
        </w:rPr>
        <w:t>las</w:t>
      </w:r>
      <w:r>
        <w:rPr>
          <w:color w:val="231F20"/>
          <w:spacing w:val="-26"/>
          <w:w w:val="105"/>
        </w:rPr>
        <w:t> </w:t>
      </w:r>
      <w:r>
        <w:rPr>
          <w:color w:val="231F20"/>
          <w:w w:val="105"/>
        </w:rPr>
        <w:t>particulares del</w:t>
      </w:r>
      <w:r>
        <w:rPr>
          <w:color w:val="231F20"/>
          <w:spacing w:val="-16"/>
          <w:w w:val="105"/>
        </w:rPr>
        <w:t> </w:t>
      </w:r>
      <w:r>
        <w:rPr>
          <w:color w:val="231F20"/>
          <w:w w:val="105"/>
        </w:rPr>
        <w:t>trabajo</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trabajadores</w:t>
      </w:r>
      <w:r>
        <w:rPr>
          <w:color w:val="231F20"/>
          <w:spacing w:val="-16"/>
          <w:w w:val="105"/>
        </w:rPr>
        <w:t> </w:t>
      </w:r>
      <w:r>
        <w:rPr>
          <w:color w:val="231F20"/>
          <w:w w:val="105"/>
        </w:rPr>
        <w:t>cambian.</w:t>
      </w:r>
    </w:p>
    <w:p>
      <w:pPr>
        <w:pStyle w:val="BodyText"/>
        <w:spacing w:line="259" w:lineRule="auto"/>
        <w:ind w:left="103" w:right="108" w:firstLine="567"/>
        <w:jc w:val="both"/>
      </w:pPr>
      <w:r>
        <w:rPr>
          <w:color w:val="231F20"/>
          <w:w w:val="105"/>
        </w:rPr>
        <w:t>Adicionalmente,</w:t>
      </w:r>
      <w:r>
        <w:rPr>
          <w:color w:val="231F20"/>
          <w:spacing w:val="-13"/>
          <w:w w:val="105"/>
        </w:rPr>
        <w:t> </w:t>
      </w:r>
      <w:r>
        <w:rPr>
          <w:color w:val="231F20"/>
          <w:w w:val="105"/>
        </w:rPr>
        <w:t>los</w:t>
      </w:r>
      <w:r>
        <w:rPr>
          <w:color w:val="231F20"/>
          <w:spacing w:val="-7"/>
          <w:w w:val="105"/>
        </w:rPr>
        <w:t> </w:t>
      </w:r>
      <w:r>
        <w:rPr>
          <w:color w:val="231F20"/>
          <w:w w:val="105"/>
        </w:rPr>
        <w:t>compradores</w:t>
      </w:r>
      <w:r>
        <w:rPr>
          <w:color w:val="231F20"/>
          <w:spacing w:val="-7"/>
          <w:w w:val="105"/>
        </w:rPr>
        <w:t> </w:t>
      </w:r>
      <w:r>
        <w:rPr>
          <w:color w:val="231F20"/>
          <w:w w:val="105"/>
        </w:rPr>
        <w:t>se</w:t>
      </w:r>
      <w:r>
        <w:rPr>
          <w:color w:val="231F20"/>
          <w:spacing w:val="-7"/>
          <w:w w:val="105"/>
        </w:rPr>
        <w:t> </w:t>
      </w:r>
      <w:r>
        <w:rPr>
          <w:color w:val="231F20"/>
          <w:w w:val="105"/>
        </w:rPr>
        <w:t>vuelven</w:t>
      </w:r>
      <w:r>
        <w:rPr>
          <w:color w:val="231F20"/>
          <w:spacing w:val="-7"/>
          <w:w w:val="105"/>
        </w:rPr>
        <w:t> </w:t>
      </w:r>
      <w:r>
        <w:rPr>
          <w:color w:val="231F20"/>
          <w:w w:val="105"/>
        </w:rPr>
        <w:t>más</w:t>
      </w:r>
      <w:r>
        <w:rPr>
          <w:color w:val="231F20"/>
          <w:spacing w:val="-7"/>
          <w:w w:val="105"/>
        </w:rPr>
        <w:t> </w:t>
      </w:r>
      <w:r>
        <w:rPr>
          <w:color w:val="231F20"/>
          <w:w w:val="105"/>
        </w:rPr>
        <w:t>exigentes</w:t>
      </w:r>
      <w:r>
        <w:rPr>
          <w:color w:val="231F20"/>
          <w:spacing w:val="-7"/>
          <w:w w:val="105"/>
        </w:rPr>
        <w:t> </w:t>
      </w:r>
      <w:r>
        <w:rPr>
          <w:color w:val="231F20"/>
          <w:w w:val="105"/>
        </w:rPr>
        <w:t>y</w:t>
      </w:r>
      <w:r>
        <w:rPr>
          <w:color w:val="231F20"/>
          <w:spacing w:val="-7"/>
          <w:w w:val="105"/>
        </w:rPr>
        <w:t> </w:t>
      </w:r>
      <w:r>
        <w:rPr>
          <w:color w:val="231F20"/>
          <w:w w:val="105"/>
        </w:rPr>
        <w:t>de- finen</w:t>
      </w:r>
      <w:r>
        <w:rPr>
          <w:color w:val="231F20"/>
          <w:spacing w:val="-18"/>
          <w:w w:val="105"/>
        </w:rPr>
        <w:t> </w:t>
      </w:r>
      <w:r>
        <w:rPr>
          <w:color w:val="231F20"/>
          <w:w w:val="105"/>
        </w:rPr>
        <w:t>con</w:t>
      </w:r>
      <w:r>
        <w:rPr>
          <w:color w:val="231F20"/>
          <w:spacing w:val="-18"/>
          <w:w w:val="105"/>
        </w:rPr>
        <w:t> </w:t>
      </w:r>
      <w:r>
        <w:rPr>
          <w:color w:val="231F20"/>
          <w:w w:val="105"/>
        </w:rPr>
        <w:t>mayor</w:t>
      </w:r>
      <w:r>
        <w:rPr>
          <w:color w:val="231F20"/>
          <w:spacing w:val="-18"/>
          <w:w w:val="105"/>
        </w:rPr>
        <w:t> </w:t>
      </w:r>
      <w:r>
        <w:rPr>
          <w:color w:val="231F20"/>
          <w:w w:val="105"/>
        </w:rPr>
        <w:t>precisión</w:t>
      </w:r>
      <w:r>
        <w:rPr>
          <w:color w:val="231F20"/>
          <w:spacing w:val="-18"/>
          <w:w w:val="105"/>
        </w:rPr>
        <w:t> </w:t>
      </w:r>
      <w:r>
        <w:rPr>
          <w:color w:val="231F20"/>
          <w:w w:val="105"/>
        </w:rPr>
        <w:t>las</w:t>
      </w:r>
      <w:r>
        <w:rPr>
          <w:color w:val="231F20"/>
          <w:spacing w:val="-18"/>
          <w:w w:val="105"/>
        </w:rPr>
        <w:t> </w:t>
      </w:r>
      <w:r>
        <w:rPr>
          <w:color w:val="231F20"/>
          <w:w w:val="105"/>
        </w:rPr>
        <w:t>características</w:t>
      </w:r>
      <w:r>
        <w:rPr>
          <w:color w:val="231F20"/>
          <w:spacing w:val="-18"/>
          <w:w w:val="105"/>
        </w:rPr>
        <w:t> </w:t>
      </w:r>
      <w:r>
        <w:rPr>
          <w:color w:val="231F20"/>
          <w:w w:val="105"/>
        </w:rPr>
        <w:t>que</w:t>
      </w:r>
      <w:r>
        <w:rPr>
          <w:color w:val="231F20"/>
          <w:spacing w:val="-18"/>
          <w:w w:val="105"/>
        </w:rPr>
        <w:t> </w:t>
      </w:r>
      <w:r>
        <w:rPr>
          <w:color w:val="231F20"/>
          <w:w w:val="105"/>
        </w:rPr>
        <w:t>esperan</w:t>
      </w:r>
      <w:r>
        <w:rPr>
          <w:color w:val="231F20"/>
          <w:spacing w:val="-18"/>
          <w:w w:val="105"/>
        </w:rPr>
        <w:t> </w:t>
      </w:r>
      <w:r>
        <w:rPr>
          <w:color w:val="231F20"/>
          <w:w w:val="105"/>
        </w:rPr>
        <w:t>obtener</w:t>
      </w:r>
      <w:r>
        <w:rPr>
          <w:color w:val="231F20"/>
          <w:spacing w:val="-18"/>
          <w:w w:val="105"/>
        </w:rPr>
        <w:t> </w:t>
      </w:r>
      <w:r>
        <w:rPr>
          <w:color w:val="231F20"/>
          <w:w w:val="105"/>
        </w:rPr>
        <w:t>de</w:t>
      </w:r>
      <w:r>
        <w:rPr>
          <w:color w:val="231F20"/>
          <w:spacing w:val="-18"/>
          <w:w w:val="105"/>
        </w:rPr>
        <w:t> </w:t>
      </w:r>
      <w:r>
        <w:rPr>
          <w:color w:val="231F20"/>
          <w:w w:val="105"/>
        </w:rPr>
        <w:t>los productos y servicios, el precio que están dispuestos a pagar por cada uno</w:t>
      </w:r>
      <w:r>
        <w:rPr>
          <w:color w:val="231F20"/>
          <w:spacing w:val="-19"/>
          <w:w w:val="105"/>
        </w:rPr>
        <w:t> </w:t>
      </w:r>
      <w:r>
        <w:rPr>
          <w:color w:val="231F20"/>
          <w:w w:val="105"/>
        </w:rPr>
        <w:t>de</w:t>
      </w:r>
      <w:r>
        <w:rPr>
          <w:color w:val="231F20"/>
          <w:spacing w:val="-19"/>
          <w:w w:val="105"/>
        </w:rPr>
        <w:t> </w:t>
      </w:r>
      <w:r>
        <w:rPr>
          <w:color w:val="231F20"/>
          <w:w w:val="105"/>
        </w:rPr>
        <w:t>ellos,</w:t>
      </w:r>
      <w:r>
        <w:rPr>
          <w:color w:val="231F20"/>
          <w:spacing w:val="-25"/>
          <w:w w:val="105"/>
        </w:rPr>
        <w:t> </w:t>
      </w:r>
      <w:r>
        <w:rPr>
          <w:color w:val="231F20"/>
          <w:w w:val="105"/>
        </w:rPr>
        <w:t>además</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incrementan</w:t>
      </w:r>
      <w:r>
        <w:rPr>
          <w:color w:val="231F20"/>
          <w:spacing w:val="-19"/>
          <w:w w:val="105"/>
        </w:rPr>
        <w:t> </w:t>
      </w:r>
      <w:r>
        <w:rPr>
          <w:color w:val="231F20"/>
          <w:w w:val="105"/>
        </w:rPr>
        <w:t>su</w:t>
      </w:r>
      <w:r>
        <w:rPr>
          <w:color w:val="231F20"/>
          <w:spacing w:val="-19"/>
          <w:w w:val="105"/>
        </w:rPr>
        <w:t> </w:t>
      </w:r>
      <w:r>
        <w:rPr>
          <w:color w:val="231F20"/>
          <w:w w:val="105"/>
        </w:rPr>
        <w:t>poder</w:t>
      </w:r>
      <w:r>
        <w:rPr>
          <w:color w:val="231F20"/>
          <w:spacing w:val="-19"/>
          <w:w w:val="105"/>
        </w:rPr>
        <w:t> </w:t>
      </w:r>
      <w:r>
        <w:rPr>
          <w:color w:val="231F20"/>
          <w:w w:val="105"/>
        </w:rPr>
        <w:t>adquisitivo,</w:t>
      </w:r>
      <w:r>
        <w:rPr>
          <w:color w:val="231F20"/>
          <w:spacing w:val="-25"/>
          <w:w w:val="105"/>
        </w:rPr>
        <w:t> </w:t>
      </w:r>
      <w:r>
        <w:rPr>
          <w:color w:val="231F20"/>
          <w:w w:val="105"/>
        </w:rPr>
        <w:t>aumenta la</w:t>
      </w:r>
      <w:r>
        <w:rPr>
          <w:color w:val="231F20"/>
          <w:spacing w:val="-17"/>
          <w:w w:val="105"/>
        </w:rPr>
        <w:t> </w:t>
      </w:r>
      <w:r>
        <w:rPr>
          <w:color w:val="231F20"/>
          <w:w w:val="105"/>
        </w:rPr>
        <w:t>demanda</w:t>
      </w:r>
      <w:r>
        <w:rPr>
          <w:color w:val="231F20"/>
          <w:spacing w:val="-17"/>
          <w:w w:val="105"/>
        </w:rPr>
        <w:t> </w:t>
      </w:r>
      <w:r>
        <w:rPr>
          <w:color w:val="231F20"/>
          <w:w w:val="105"/>
        </w:rPr>
        <w:t>y</w:t>
      </w:r>
      <w:r>
        <w:rPr>
          <w:color w:val="231F20"/>
          <w:spacing w:val="-17"/>
          <w:w w:val="105"/>
        </w:rPr>
        <w:t> </w:t>
      </w:r>
      <w:r>
        <w:rPr>
          <w:color w:val="231F20"/>
          <w:w w:val="105"/>
        </w:rPr>
        <w:t>se</w:t>
      </w:r>
      <w:r>
        <w:rPr>
          <w:color w:val="231F20"/>
          <w:spacing w:val="-17"/>
          <w:w w:val="105"/>
        </w:rPr>
        <w:t> </w:t>
      </w:r>
      <w:r>
        <w:rPr>
          <w:color w:val="231F20"/>
          <w:w w:val="105"/>
        </w:rPr>
        <w:t>crean</w:t>
      </w:r>
      <w:r>
        <w:rPr>
          <w:color w:val="231F20"/>
          <w:spacing w:val="-17"/>
          <w:w w:val="105"/>
        </w:rPr>
        <w:t> </w:t>
      </w:r>
      <w:r>
        <w:rPr>
          <w:color w:val="231F20"/>
          <w:w w:val="105"/>
        </w:rPr>
        <w:t>nuevos</w:t>
      </w:r>
      <w:r>
        <w:rPr>
          <w:color w:val="231F20"/>
          <w:spacing w:val="-17"/>
          <w:w w:val="105"/>
        </w:rPr>
        <w:t> </w:t>
      </w:r>
      <w:r>
        <w:rPr>
          <w:color w:val="231F20"/>
          <w:w w:val="105"/>
        </w:rPr>
        <w:t>y</w:t>
      </w:r>
      <w:r>
        <w:rPr>
          <w:color w:val="231F20"/>
          <w:spacing w:val="-17"/>
          <w:w w:val="105"/>
        </w:rPr>
        <w:t> </w:t>
      </w:r>
      <w:r>
        <w:rPr>
          <w:color w:val="231F20"/>
          <w:w w:val="105"/>
        </w:rPr>
        <w:t>diferentes</w:t>
      </w:r>
      <w:r>
        <w:rPr>
          <w:color w:val="231F20"/>
          <w:spacing w:val="-17"/>
          <w:w w:val="105"/>
        </w:rPr>
        <w:t> </w:t>
      </w:r>
      <w:r>
        <w:rPr>
          <w:color w:val="231F20"/>
          <w:w w:val="105"/>
        </w:rPr>
        <w:t>mercados.</w:t>
      </w:r>
      <w:r>
        <w:rPr>
          <w:color w:val="231F20"/>
          <w:spacing w:val="-22"/>
          <w:w w:val="105"/>
        </w:rPr>
        <w:t> </w:t>
      </w:r>
      <w:r>
        <w:rPr>
          <w:color w:val="231F20"/>
          <w:w w:val="105"/>
        </w:rPr>
        <w:t>En</w:t>
      </w:r>
      <w:r>
        <w:rPr>
          <w:color w:val="231F20"/>
          <w:spacing w:val="-17"/>
          <w:w w:val="105"/>
        </w:rPr>
        <w:t> </w:t>
      </w:r>
      <w:r>
        <w:rPr>
          <w:color w:val="231F20"/>
          <w:w w:val="105"/>
        </w:rPr>
        <w:t>consecuencia, la</w:t>
      </w:r>
      <w:r>
        <w:rPr>
          <w:color w:val="231F20"/>
          <w:spacing w:val="-17"/>
          <w:w w:val="105"/>
        </w:rPr>
        <w:t> </w:t>
      </w:r>
      <w:r>
        <w:rPr>
          <w:color w:val="231F20"/>
          <w:w w:val="105"/>
        </w:rPr>
        <w:t>necesidad</w:t>
      </w:r>
      <w:r>
        <w:rPr>
          <w:color w:val="231F20"/>
          <w:spacing w:val="-17"/>
          <w:w w:val="105"/>
        </w:rPr>
        <w:t> </w:t>
      </w:r>
      <w:r>
        <w:rPr>
          <w:color w:val="231F20"/>
          <w:w w:val="105"/>
        </w:rPr>
        <w:t>de</w:t>
      </w:r>
      <w:r>
        <w:rPr>
          <w:color w:val="231F20"/>
          <w:spacing w:val="-17"/>
          <w:w w:val="105"/>
        </w:rPr>
        <w:t> </w:t>
      </w:r>
      <w:r>
        <w:rPr>
          <w:color w:val="231F20"/>
          <w:w w:val="105"/>
        </w:rPr>
        <w:t>explicar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un</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se</w:t>
      </w:r>
      <w:r>
        <w:rPr>
          <w:color w:val="231F20"/>
          <w:spacing w:val="-17"/>
          <w:w w:val="105"/>
        </w:rPr>
        <w:t> </w:t>
      </w:r>
      <w:r>
        <w:rPr>
          <w:color w:val="231F20"/>
          <w:w w:val="105"/>
        </w:rPr>
        <w:t>vuelve</w:t>
      </w:r>
      <w:r>
        <w:rPr>
          <w:color w:val="231F20"/>
          <w:spacing w:val="-17"/>
          <w:w w:val="105"/>
        </w:rPr>
        <w:t> </w:t>
      </w:r>
      <w:r>
        <w:rPr>
          <w:color w:val="231F20"/>
          <w:w w:val="105"/>
        </w:rPr>
        <w:t>cada vez más importante, dando origen a que un gran número de investiga- dores</w:t>
      </w:r>
      <w:r>
        <w:rPr>
          <w:color w:val="231F20"/>
          <w:spacing w:val="-25"/>
          <w:w w:val="105"/>
        </w:rPr>
        <w:t> </w:t>
      </w:r>
      <w:r>
        <w:rPr>
          <w:color w:val="231F20"/>
          <w:w w:val="105"/>
        </w:rPr>
        <w:t>plantearan</w:t>
      </w:r>
      <w:r>
        <w:rPr>
          <w:color w:val="231F20"/>
          <w:spacing w:val="-25"/>
          <w:w w:val="105"/>
        </w:rPr>
        <w:t> </w:t>
      </w:r>
      <w:r>
        <w:rPr>
          <w:color w:val="231F20"/>
          <w:w w:val="105"/>
        </w:rPr>
        <w:t>diferentes</w:t>
      </w:r>
      <w:r>
        <w:rPr>
          <w:color w:val="231F20"/>
          <w:spacing w:val="-25"/>
          <w:w w:val="105"/>
        </w:rPr>
        <w:t> </w:t>
      </w:r>
      <w:r>
        <w:rPr>
          <w:color w:val="231F20"/>
          <w:w w:val="105"/>
        </w:rPr>
        <w:t>supuestos</w:t>
      </w:r>
      <w:r>
        <w:rPr>
          <w:color w:val="231F20"/>
          <w:spacing w:val="-25"/>
          <w:w w:val="105"/>
        </w:rPr>
        <w:t> </w:t>
      </w:r>
      <w:r>
        <w:rPr>
          <w:color w:val="231F20"/>
          <w:w w:val="105"/>
        </w:rPr>
        <w:t>para</w:t>
      </w:r>
      <w:r>
        <w:rPr>
          <w:color w:val="231F20"/>
          <w:spacing w:val="-25"/>
          <w:w w:val="105"/>
        </w:rPr>
        <w:t> </w:t>
      </w:r>
      <w:r>
        <w:rPr>
          <w:color w:val="231F20"/>
          <w:w w:val="105"/>
        </w:rPr>
        <w:t>los</w:t>
      </w:r>
      <w:r>
        <w:rPr>
          <w:color w:val="231F20"/>
          <w:spacing w:val="-25"/>
          <w:w w:val="105"/>
        </w:rPr>
        <w:t> </w:t>
      </w:r>
      <w:r>
        <w:rPr>
          <w:color w:val="231F20"/>
          <w:w w:val="105"/>
        </w:rPr>
        <w:t>nuevos</w:t>
      </w:r>
      <w:r>
        <w:rPr>
          <w:color w:val="231F20"/>
          <w:spacing w:val="-25"/>
          <w:w w:val="105"/>
        </w:rPr>
        <w:t> </w:t>
      </w:r>
      <w:r>
        <w:rPr>
          <w:color w:val="231F20"/>
          <w:w w:val="105"/>
        </w:rPr>
        <w:t>modelos</w:t>
      </w:r>
      <w:r>
        <w:rPr>
          <w:color w:val="231F20"/>
          <w:spacing w:val="-25"/>
          <w:w w:val="105"/>
        </w:rPr>
        <w:t> </w:t>
      </w:r>
      <w:r>
        <w:rPr>
          <w:color w:val="231F20"/>
          <w:w w:val="105"/>
        </w:rPr>
        <w:t>del</w:t>
      </w:r>
      <w:r>
        <w:rPr>
          <w:color w:val="231F20"/>
          <w:spacing w:val="-25"/>
          <w:w w:val="105"/>
        </w:rPr>
        <w:t> </w:t>
      </w:r>
      <w:r>
        <w:rPr>
          <w:color w:val="231F20"/>
          <w:w w:val="105"/>
        </w:rPr>
        <w:t>mer- cado</w:t>
      </w:r>
      <w:r>
        <w:rPr>
          <w:color w:val="231F20"/>
          <w:spacing w:val="-21"/>
          <w:w w:val="105"/>
        </w:rPr>
        <w:t> </w:t>
      </w:r>
      <w:r>
        <w:rPr>
          <w:color w:val="231F20"/>
          <w:w w:val="105"/>
        </w:rPr>
        <w:t>de</w:t>
      </w:r>
      <w:r>
        <w:rPr>
          <w:color w:val="231F20"/>
          <w:spacing w:val="-21"/>
          <w:w w:val="105"/>
        </w:rPr>
        <w:t> </w:t>
      </w:r>
      <w:r>
        <w:rPr>
          <w:color w:val="231F20"/>
          <w:w w:val="105"/>
        </w:rPr>
        <w:t>trabajo,</w:t>
      </w:r>
      <w:r>
        <w:rPr>
          <w:color w:val="231F20"/>
          <w:spacing w:val="-26"/>
          <w:w w:val="105"/>
        </w:rPr>
        <w:t> </w:t>
      </w:r>
      <w:r>
        <w:rPr>
          <w:color w:val="231F20"/>
          <w:w w:val="105"/>
        </w:rPr>
        <w:t>los</w:t>
      </w:r>
      <w:r>
        <w:rPr>
          <w:color w:val="231F20"/>
          <w:spacing w:val="-21"/>
          <w:w w:val="105"/>
        </w:rPr>
        <w:t> </w:t>
      </w:r>
      <w:r>
        <w:rPr>
          <w:color w:val="231F20"/>
          <w:w w:val="105"/>
        </w:rPr>
        <w:t>cuales</w:t>
      </w:r>
      <w:r>
        <w:rPr>
          <w:color w:val="231F20"/>
          <w:spacing w:val="-21"/>
          <w:w w:val="105"/>
        </w:rPr>
        <w:t> </w:t>
      </w:r>
      <w:r>
        <w:rPr>
          <w:color w:val="231F20"/>
          <w:w w:val="105"/>
        </w:rPr>
        <w:t>posteriormente</w:t>
      </w:r>
      <w:r>
        <w:rPr>
          <w:color w:val="231F20"/>
          <w:spacing w:val="-21"/>
          <w:w w:val="105"/>
        </w:rPr>
        <w:t> </w:t>
      </w:r>
      <w:r>
        <w:rPr>
          <w:color w:val="231F20"/>
          <w:w w:val="105"/>
        </w:rPr>
        <w:t>se</w:t>
      </w:r>
      <w:r>
        <w:rPr>
          <w:color w:val="231F20"/>
          <w:spacing w:val="-21"/>
          <w:w w:val="105"/>
        </w:rPr>
        <w:t> </w:t>
      </w:r>
      <w:r>
        <w:rPr>
          <w:color w:val="231F20"/>
          <w:w w:val="105"/>
        </w:rPr>
        <w:t>convirtieron</w:t>
      </w:r>
      <w:r>
        <w:rPr>
          <w:color w:val="231F20"/>
          <w:spacing w:val="-21"/>
          <w:w w:val="105"/>
        </w:rPr>
        <w:t> </w:t>
      </w:r>
      <w:r>
        <w:rPr>
          <w:color w:val="231F20"/>
          <w:w w:val="105"/>
        </w:rPr>
        <w:t>en</w:t>
      </w:r>
      <w:r>
        <w:rPr>
          <w:color w:val="231F20"/>
          <w:spacing w:val="-21"/>
          <w:w w:val="105"/>
        </w:rPr>
        <w:t> </w:t>
      </w:r>
      <w:r>
        <w:rPr>
          <w:color w:val="231F20"/>
          <w:w w:val="105"/>
        </w:rPr>
        <w:t>teorías</w:t>
      </w:r>
      <w:r>
        <w:rPr>
          <w:color w:val="231F20"/>
          <w:spacing w:val="-21"/>
          <w:w w:val="105"/>
        </w:rPr>
        <w:t> </w:t>
      </w:r>
      <w:r>
        <w:rPr>
          <w:color w:val="231F20"/>
          <w:w w:val="105"/>
        </w:rPr>
        <w:t>que explican</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y</w:t>
      </w:r>
      <w:r>
        <w:rPr>
          <w:color w:val="231F20"/>
          <w:spacing w:val="-14"/>
          <w:w w:val="105"/>
        </w:rPr>
        <w:t> </w:t>
      </w:r>
      <w:r>
        <w:rPr>
          <w:color w:val="231F20"/>
          <w:w w:val="105"/>
        </w:rPr>
        <w:t>cómo</w:t>
      </w:r>
      <w:r>
        <w:rPr>
          <w:color w:val="231F20"/>
          <w:spacing w:val="-14"/>
          <w:w w:val="105"/>
        </w:rPr>
        <w:t> </w:t>
      </w:r>
      <w:r>
        <w:rPr>
          <w:color w:val="231F20"/>
          <w:w w:val="105"/>
        </w:rPr>
        <w:t>funciona,</w:t>
      </w:r>
      <w:r>
        <w:rPr>
          <w:color w:val="231F20"/>
          <w:spacing w:val="-20"/>
          <w:w w:val="105"/>
        </w:rPr>
        <w:t> </w:t>
      </w:r>
      <w:r>
        <w:rPr>
          <w:color w:val="231F20"/>
          <w:w w:val="105"/>
        </w:rPr>
        <w:t>tanto</w:t>
      </w:r>
      <w:r>
        <w:rPr>
          <w:color w:val="231F20"/>
          <w:spacing w:val="-14"/>
          <w:w w:val="105"/>
        </w:rPr>
        <w:t> </w:t>
      </w:r>
      <w:r>
        <w:rPr>
          <w:color w:val="231F20"/>
          <w:w w:val="105"/>
        </w:rPr>
        <w:t>interna</w:t>
      </w:r>
      <w:r>
        <w:rPr>
          <w:color w:val="231F20"/>
          <w:spacing w:val="-14"/>
          <w:w w:val="105"/>
        </w:rPr>
        <w:t> </w:t>
      </w:r>
      <w:r>
        <w:rPr>
          <w:color w:val="231F20"/>
          <w:w w:val="105"/>
        </w:rPr>
        <w:t>como</w:t>
      </w:r>
      <w:r>
        <w:rPr>
          <w:color w:val="231F20"/>
          <w:spacing w:val="-14"/>
          <w:w w:val="105"/>
        </w:rPr>
        <w:t> </w:t>
      </w:r>
      <w:r>
        <w:rPr>
          <w:color w:val="231F20"/>
          <w:w w:val="105"/>
        </w:rPr>
        <w:t>externamente.</w:t>
      </w:r>
    </w:p>
    <w:p>
      <w:pPr>
        <w:pStyle w:val="BodyText"/>
        <w:spacing w:line="259" w:lineRule="auto"/>
        <w:ind w:left="103" w:right="114" w:firstLine="567"/>
        <w:jc w:val="both"/>
      </w:pPr>
      <w:r>
        <w:rPr>
          <w:color w:val="231F20"/>
          <w:w w:val="105"/>
        </w:rPr>
        <w:t>La</w:t>
      </w:r>
      <w:r>
        <w:rPr>
          <w:color w:val="231F20"/>
          <w:spacing w:val="-27"/>
          <w:w w:val="105"/>
        </w:rPr>
        <w:t> </w:t>
      </w:r>
      <w:r>
        <w:rPr>
          <w:color w:val="231F20"/>
          <w:w w:val="105"/>
        </w:rPr>
        <w:t>motivación</w:t>
      </w:r>
      <w:r>
        <w:rPr>
          <w:color w:val="231F20"/>
          <w:spacing w:val="-27"/>
          <w:w w:val="105"/>
        </w:rPr>
        <w:t> </w:t>
      </w:r>
      <w:r>
        <w:rPr>
          <w:color w:val="231F20"/>
          <w:w w:val="105"/>
        </w:rPr>
        <w:t>para</w:t>
      </w:r>
      <w:r>
        <w:rPr>
          <w:color w:val="231F20"/>
          <w:spacing w:val="-27"/>
          <w:w w:val="105"/>
        </w:rPr>
        <w:t> </w:t>
      </w:r>
      <w:r>
        <w:rPr>
          <w:color w:val="231F20"/>
          <w:w w:val="105"/>
        </w:rPr>
        <w:t>realizar</w:t>
      </w:r>
      <w:r>
        <w:rPr>
          <w:color w:val="231F20"/>
          <w:spacing w:val="-27"/>
          <w:w w:val="105"/>
        </w:rPr>
        <w:t> </w:t>
      </w:r>
      <w:r>
        <w:rPr>
          <w:color w:val="231F20"/>
          <w:w w:val="105"/>
        </w:rPr>
        <w:t>este</w:t>
      </w:r>
      <w:r>
        <w:rPr>
          <w:color w:val="231F20"/>
          <w:spacing w:val="-27"/>
          <w:w w:val="105"/>
        </w:rPr>
        <w:t> </w:t>
      </w:r>
      <w:r>
        <w:rPr>
          <w:color w:val="231F20"/>
          <w:w w:val="105"/>
        </w:rPr>
        <w:t>trabajo</w:t>
      </w:r>
      <w:r>
        <w:rPr>
          <w:color w:val="231F20"/>
          <w:spacing w:val="-27"/>
          <w:w w:val="105"/>
        </w:rPr>
        <w:t> </w:t>
      </w:r>
      <w:r>
        <w:rPr>
          <w:color w:val="231F20"/>
          <w:w w:val="105"/>
        </w:rPr>
        <w:t>nace</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intersección</w:t>
      </w:r>
      <w:r>
        <w:rPr>
          <w:color w:val="231F20"/>
          <w:spacing w:val="-27"/>
          <w:w w:val="105"/>
        </w:rPr>
        <w:t> </w:t>
      </w:r>
      <w:r>
        <w:rPr>
          <w:color w:val="231F20"/>
          <w:w w:val="105"/>
        </w:rPr>
        <w:t>que se</w:t>
      </w:r>
      <w:r>
        <w:rPr>
          <w:color w:val="231F20"/>
          <w:spacing w:val="-15"/>
          <w:w w:val="105"/>
        </w:rPr>
        <w:t> </w:t>
      </w:r>
      <w:r>
        <w:rPr>
          <w:color w:val="231F20"/>
          <w:w w:val="105"/>
        </w:rPr>
        <w:t>forma</w:t>
      </w:r>
      <w:r>
        <w:rPr>
          <w:color w:val="231F20"/>
          <w:spacing w:val="-15"/>
          <w:w w:val="105"/>
        </w:rPr>
        <w:t> </w:t>
      </w:r>
      <w:r>
        <w:rPr>
          <w:color w:val="231F20"/>
          <w:w w:val="105"/>
        </w:rPr>
        <w:t>entre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economía</w:t>
      </w:r>
      <w:r>
        <w:rPr>
          <w:color w:val="231F20"/>
          <w:spacing w:val="-15"/>
          <w:w w:val="105"/>
        </w:rPr>
        <w:t> </w:t>
      </w:r>
      <w:r>
        <w:rPr>
          <w:color w:val="231F20"/>
          <w:w w:val="105"/>
        </w:rPr>
        <w:t>(estudios</w:t>
      </w:r>
      <w:r>
        <w:rPr>
          <w:color w:val="231F20"/>
          <w:spacing w:val="-15"/>
          <w:w w:val="105"/>
        </w:rPr>
        <w:t> </w:t>
      </w:r>
      <w:r>
        <w:rPr>
          <w:color w:val="231F20"/>
          <w:w w:val="105"/>
        </w:rPr>
        <w:t>económico-ad- ministrativos),</w:t>
      </w:r>
      <w:r>
        <w:rPr>
          <w:color w:val="231F20"/>
          <w:spacing w:val="-23"/>
          <w:w w:val="105"/>
        </w:rPr>
        <w:t> </w:t>
      </w:r>
      <w:r>
        <w:rPr>
          <w:color w:val="231F20"/>
          <w:w w:val="105"/>
        </w:rPr>
        <w:t>la</w:t>
      </w:r>
      <w:r>
        <w:rPr>
          <w:color w:val="231F20"/>
          <w:spacing w:val="-17"/>
          <w:w w:val="105"/>
        </w:rPr>
        <w:t> </w:t>
      </w:r>
      <w:r>
        <w:rPr>
          <w:color w:val="231F20"/>
          <w:w w:val="105"/>
        </w:rPr>
        <w:t>cual</w:t>
      </w:r>
      <w:r>
        <w:rPr>
          <w:color w:val="231F20"/>
          <w:spacing w:val="-17"/>
          <w:w w:val="105"/>
        </w:rPr>
        <w:t> </w:t>
      </w:r>
      <w:r>
        <w:rPr>
          <w:color w:val="231F20"/>
          <w:w w:val="105"/>
        </w:rPr>
        <w:t>permite</w:t>
      </w:r>
      <w:r>
        <w:rPr>
          <w:color w:val="231F20"/>
          <w:spacing w:val="-17"/>
          <w:w w:val="105"/>
        </w:rPr>
        <w:t> </w:t>
      </w:r>
      <w:r>
        <w:rPr>
          <w:color w:val="231F20"/>
          <w:w w:val="105"/>
        </w:rPr>
        <w:t>interpretar</w:t>
      </w:r>
      <w:r>
        <w:rPr>
          <w:color w:val="231F20"/>
          <w:spacing w:val="-17"/>
          <w:w w:val="105"/>
        </w:rPr>
        <w:t> </w:t>
      </w:r>
      <w:r>
        <w:rPr>
          <w:color w:val="231F20"/>
          <w:w w:val="105"/>
        </w:rPr>
        <w:t>al</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desde</w:t>
      </w:r>
      <w:r>
        <w:rPr>
          <w:color w:val="231F20"/>
          <w:spacing w:val="-17"/>
          <w:w w:val="105"/>
        </w:rPr>
        <w:t> </w:t>
      </w:r>
      <w:r>
        <w:rPr>
          <w:color w:val="231F20"/>
          <w:w w:val="105"/>
        </w:rPr>
        <w:t>un nuevo</w:t>
      </w:r>
      <w:r>
        <w:rPr>
          <w:color w:val="231F20"/>
          <w:spacing w:val="-5"/>
          <w:w w:val="105"/>
        </w:rPr>
        <w:t> </w:t>
      </w:r>
      <w:r>
        <w:rPr>
          <w:color w:val="231F20"/>
          <w:w w:val="105"/>
        </w:rPr>
        <w:t>ángulo.</w:t>
      </w:r>
      <w:r>
        <w:rPr>
          <w:color w:val="231F20"/>
          <w:spacing w:val="-10"/>
          <w:w w:val="105"/>
        </w:rPr>
        <w:t> </w:t>
      </w:r>
      <w:r>
        <w:rPr>
          <w:color w:val="231F20"/>
          <w:spacing w:val="-6"/>
          <w:w w:val="105"/>
        </w:rPr>
        <w:t>Por</w:t>
      </w:r>
      <w:r>
        <w:rPr>
          <w:color w:val="231F20"/>
          <w:spacing w:val="-5"/>
          <w:w w:val="105"/>
        </w:rPr>
        <w:t> </w:t>
      </w:r>
      <w:r>
        <w:rPr>
          <w:color w:val="231F20"/>
          <w:w w:val="105"/>
        </w:rPr>
        <w:t>ejemplo,</w:t>
      </w:r>
      <w:r>
        <w:rPr>
          <w:color w:val="231F20"/>
          <w:spacing w:val="-10"/>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segmentación</w:t>
      </w:r>
      <w:r>
        <w:rPr>
          <w:color w:val="231F20"/>
          <w:spacing w:val="-5"/>
          <w:w w:val="105"/>
        </w:rPr>
        <w:t> </w:t>
      </w:r>
      <w:r>
        <w:rPr>
          <w:color w:val="231F20"/>
          <w:w w:val="105"/>
        </w:rPr>
        <w:t>está incluida la teoría institucionalista que es común encontrarla en</w:t>
      </w:r>
      <w:r>
        <w:rPr>
          <w:color w:val="231F20"/>
          <w:spacing w:val="-9"/>
          <w:w w:val="105"/>
        </w:rPr>
        <w:t> </w:t>
      </w:r>
      <w:r>
        <w:rPr>
          <w:color w:val="231F20"/>
          <w:w w:val="105"/>
        </w:rPr>
        <w:t>trabajos exclusivos de la administración. O bien, tradicionalmente la economía soporta el hecho de que los neoclásicos sustentan sus supuestos en</w:t>
      </w:r>
      <w:r>
        <w:rPr>
          <w:color w:val="231F20"/>
          <w:spacing w:val="-36"/>
          <w:w w:val="105"/>
        </w:rPr>
        <w:t> </w:t>
      </w:r>
      <w:r>
        <w:rPr>
          <w:color w:val="231F20"/>
          <w:w w:val="105"/>
        </w:rPr>
        <w:t>la formación</w:t>
      </w:r>
      <w:r>
        <w:rPr>
          <w:color w:val="231F20"/>
          <w:spacing w:val="-19"/>
          <w:w w:val="105"/>
        </w:rPr>
        <w:t> </w:t>
      </w:r>
      <w:r>
        <w:rPr>
          <w:color w:val="231F20"/>
          <w:w w:val="105"/>
        </w:rPr>
        <w:t>de</w:t>
      </w:r>
      <w:r>
        <w:rPr>
          <w:color w:val="231F20"/>
          <w:spacing w:val="-19"/>
          <w:w w:val="105"/>
        </w:rPr>
        <w:t> </w:t>
      </w:r>
      <w:r>
        <w:rPr>
          <w:color w:val="231F20"/>
          <w:w w:val="105"/>
        </w:rPr>
        <w:t>capital</w:t>
      </w:r>
      <w:r>
        <w:rPr>
          <w:color w:val="231F20"/>
          <w:spacing w:val="-19"/>
          <w:w w:val="105"/>
        </w:rPr>
        <w:t> </w:t>
      </w:r>
      <w:r>
        <w:rPr>
          <w:color w:val="231F20"/>
          <w:w w:val="105"/>
        </w:rPr>
        <w:t>humano</w:t>
      </w:r>
      <w:r>
        <w:rPr>
          <w:color w:val="231F20"/>
          <w:spacing w:val="-19"/>
          <w:w w:val="105"/>
        </w:rPr>
        <w:t> </w:t>
      </w:r>
      <w:r>
        <w:rPr>
          <w:color w:val="231F20"/>
          <w:w w:val="105"/>
        </w:rPr>
        <w:t>(Mincer,</w:t>
      </w:r>
      <w:r>
        <w:rPr>
          <w:color w:val="231F20"/>
          <w:spacing w:val="-24"/>
          <w:w w:val="105"/>
        </w:rPr>
        <w:t> </w:t>
      </w:r>
      <w:r>
        <w:rPr>
          <w:color w:val="231F20"/>
          <w:w w:val="105"/>
        </w:rPr>
        <w:t>1958).</w:t>
      </w:r>
    </w:p>
    <w:p>
      <w:pPr>
        <w:pStyle w:val="BodyText"/>
        <w:spacing w:line="259" w:lineRule="auto"/>
        <w:ind w:left="103" w:right="114" w:firstLine="567"/>
        <w:jc w:val="both"/>
      </w:pPr>
      <w:r>
        <w:rPr>
          <w:color w:val="231F20"/>
          <w:w w:val="105"/>
        </w:rPr>
        <w:t>De aquí la oportunidad de presentar la relación que guardan los enfoques</w:t>
      </w:r>
      <w:r>
        <w:rPr>
          <w:color w:val="231F20"/>
          <w:spacing w:val="-15"/>
          <w:w w:val="105"/>
        </w:rPr>
        <w:t> </w:t>
      </w:r>
      <w:r>
        <w:rPr>
          <w:color w:val="231F20"/>
          <w:w w:val="105"/>
        </w:rPr>
        <w:t>combinados</w:t>
      </w:r>
      <w:r>
        <w:rPr>
          <w:color w:val="231F20"/>
          <w:spacing w:val="-15"/>
          <w:w w:val="105"/>
        </w:rPr>
        <w:t> </w:t>
      </w:r>
      <w:r>
        <w:rPr>
          <w:color w:val="231F20"/>
          <w:w w:val="105"/>
        </w:rPr>
        <w:t>de</w:t>
      </w:r>
      <w:r>
        <w:rPr>
          <w:color w:val="231F20"/>
          <w:spacing w:val="-15"/>
          <w:w w:val="105"/>
        </w:rPr>
        <w:t> </w:t>
      </w:r>
      <w:r>
        <w:rPr>
          <w:color w:val="231F20"/>
          <w:w w:val="105"/>
        </w:rPr>
        <w:t>mercado</w:t>
      </w:r>
      <w:r>
        <w:rPr>
          <w:color w:val="231F20"/>
          <w:spacing w:val="-15"/>
          <w:w w:val="105"/>
        </w:rPr>
        <w:t> </w:t>
      </w:r>
      <w:r>
        <w:rPr>
          <w:color w:val="231F20"/>
          <w:w w:val="105"/>
        </w:rPr>
        <w:t>de</w:t>
      </w:r>
      <w:r>
        <w:rPr>
          <w:color w:val="231F20"/>
          <w:spacing w:val="-15"/>
          <w:w w:val="105"/>
        </w:rPr>
        <w:t> </w:t>
      </w:r>
      <w:r>
        <w:rPr>
          <w:color w:val="231F20"/>
          <w:w w:val="105"/>
        </w:rPr>
        <w:t>trabajo</w:t>
      </w:r>
      <w:r>
        <w:rPr>
          <w:color w:val="231F20"/>
          <w:spacing w:val="-15"/>
          <w:w w:val="105"/>
        </w:rPr>
        <w:t> </w:t>
      </w:r>
      <w:r>
        <w:rPr>
          <w:color w:val="231F20"/>
          <w:w w:val="105"/>
        </w:rPr>
        <w:t>neoclásico</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segmenta- ción, mostrando la conjunción que existe entre los planteamientos</w:t>
      </w:r>
      <w:r>
        <w:rPr>
          <w:color w:val="231F20"/>
          <w:spacing w:val="-26"/>
          <w:w w:val="105"/>
        </w:rPr>
        <w:t> </w:t>
      </w:r>
      <w:r>
        <w:rPr>
          <w:color w:val="231F20"/>
          <w:w w:val="105"/>
        </w:rPr>
        <w:t>eco- nómico-administrativos,</w:t>
      </w:r>
      <w:r>
        <w:rPr>
          <w:color w:val="231F20"/>
          <w:spacing w:val="-24"/>
          <w:w w:val="105"/>
        </w:rPr>
        <w:t> </w:t>
      </w:r>
      <w:r>
        <w:rPr>
          <w:color w:val="231F20"/>
          <w:w w:val="105"/>
        </w:rPr>
        <w:t>los</w:t>
      </w:r>
      <w:r>
        <w:rPr>
          <w:color w:val="231F20"/>
          <w:spacing w:val="-20"/>
          <w:w w:val="105"/>
        </w:rPr>
        <w:t> </w:t>
      </w:r>
      <w:r>
        <w:rPr>
          <w:color w:val="231F20"/>
          <w:w w:val="105"/>
        </w:rPr>
        <w:t>cuales</w:t>
      </w:r>
      <w:r>
        <w:rPr>
          <w:color w:val="231F20"/>
          <w:spacing w:val="-20"/>
          <w:w w:val="105"/>
        </w:rPr>
        <w:t> </w:t>
      </w:r>
      <w:r>
        <w:rPr>
          <w:color w:val="231F20"/>
          <w:w w:val="105"/>
        </w:rPr>
        <w:t>se</w:t>
      </w:r>
      <w:r>
        <w:rPr>
          <w:color w:val="231F20"/>
          <w:spacing w:val="-20"/>
          <w:w w:val="105"/>
        </w:rPr>
        <w:t> </w:t>
      </w:r>
      <w:r>
        <w:rPr>
          <w:color w:val="231F20"/>
          <w:w w:val="105"/>
        </w:rPr>
        <w:t>sustentan,</w:t>
      </w:r>
      <w:r>
        <w:rPr>
          <w:color w:val="231F20"/>
          <w:spacing w:val="-24"/>
          <w:w w:val="105"/>
        </w:rPr>
        <w:t> </w:t>
      </w:r>
      <w:r>
        <w:rPr>
          <w:color w:val="231F20"/>
          <w:w w:val="105"/>
        </w:rPr>
        <w:t>según</w:t>
      </w:r>
      <w:r>
        <w:rPr>
          <w:color w:val="231F20"/>
          <w:spacing w:val="-20"/>
          <w:w w:val="105"/>
        </w:rPr>
        <w:t> </w:t>
      </w:r>
      <w:r>
        <w:rPr>
          <w:color w:val="231F20"/>
          <w:w w:val="105"/>
        </w:rPr>
        <w:t>Cernas</w:t>
      </w:r>
      <w:r>
        <w:rPr>
          <w:color w:val="231F20"/>
          <w:spacing w:val="-20"/>
          <w:w w:val="105"/>
        </w:rPr>
        <w:t> </w:t>
      </w:r>
      <w:r>
        <w:rPr>
          <w:color w:val="231F20"/>
          <w:w w:val="105"/>
        </w:rPr>
        <w:t>y</w:t>
      </w:r>
      <w:r>
        <w:rPr>
          <w:color w:val="231F20"/>
          <w:spacing w:val="-20"/>
          <w:w w:val="105"/>
        </w:rPr>
        <w:t> </w:t>
      </w:r>
      <w:r>
        <w:rPr>
          <w:color w:val="231F20"/>
          <w:w w:val="105"/>
        </w:rPr>
        <w:t>Merca- do</w:t>
      </w:r>
      <w:r>
        <w:rPr>
          <w:color w:val="231F20"/>
          <w:spacing w:val="-17"/>
          <w:w w:val="105"/>
        </w:rPr>
        <w:t> </w:t>
      </w:r>
      <w:r>
        <w:rPr>
          <w:color w:val="231F20"/>
          <w:w w:val="105"/>
        </w:rPr>
        <w:t>(2013),</w:t>
      </w:r>
      <w:r>
        <w:rPr>
          <w:color w:val="231F20"/>
          <w:spacing w:val="-22"/>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si</w:t>
      </w:r>
      <w:r>
        <w:rPr>
          <w:color w:val="231F20"/>
          <w:spacing w:val="-17"/>
          <w:w w:val="105"/>
        </w:rPr>
        <w:t> </w:t>
      </w:r>
      <w:r>
        <w:rPr>
          <w:color w:val="231F20"/>
          <w:w w:val="105"/>
        </w:rPr>
        <w:t>bien</w:t>
      </w:r>
      <w:r>
        <w:rPr>
          <w:color w:val="231F20"/>
          <w:spacing w:val="-17"/>
          <w:w w:val="105"/>
        </w:rPr>
        <w:t> </w:t>
      </w:r>
      <w:r>
        <w:rPr>
          <w:color w:val="231F20"/>
          <w:w w:val="105"/>
        </w:rPr>
        <w:t>estos</w:t>
      </w:r>
      <w:r>
        <w:rPr>
          <w:color w:val="231F20"/>
          <w:spacing w:val="-17"/>
          <w:w w:val="105"/>
        </w:rPr>
        <w:t> </w:t>
      </w:r>
      <w:r>
        <w:rPr>
          <w:color w:val="231F20"/>
          <w:w w:val="105"/>
        </w:rPr>
        <w:t>estudios</w:t>
      </w:r>
      <w:r>
        <w:rPr>
          <w:color w:val="231F20"/>
          <w:spacing w:val="-17"/>
          <w:w w:val="105"/>
        </w:rPr>
        <w:t> </w:t>
      </w:r>
      <w:r>
        <w:rPr>
          <w:color w:val="231F20"/>
          <w:w w:val="105"/>
        </w:rPr>
        <w:t>tienen</w:t>
      </w:r>
      <w:r>
        <w:rPr>
          <w:color w:val="231F20"/>
          <w:spacing w:val="-17"/>
          <w:w w:val="105"/>
        </w:rPr>
        <w:t> </w:t>
      </w:r>
      <w:r>
        <w:rPr>
          <w:color w:val="231F20"/>
          <w:w w:val="105"/>
        </w:rPr>
        <w:t>raíces</w:t>
      </w:r>
      <w:r>
        <w:rPr>
          <w:color w:val="231F20"/>
          <w:spacing w:val="-17"/>
          <w:w w:val="105"/>
        </w:rPr>
        <w:t> </w:t>
      </w:r>
      <w:r>
        <w:rPr>
          <w:color w:val="231F20"/>
          <w:w w:val="105"/>
        </w:rPr>
        <w:t>teóricas</w:t>
      </w:r>
      <w:r>
        <w:rPr>
          <w:color w:val="231F20"/>
          <w:spacing w:val="-17"/>
          <w:w w:val="105"/>
        </w:rPr>
        <w:t> </w:t>
      </w:r>
      <w:r>
        <w:rPr>
          <w:color w:val="231F20"/>
          <w:w w:val="105"/>
        </w:rPr>
        <w:t>sólidas</w:t>
      </w:r>
      <w:r>
        <w:rPr>
          <w:color w:val="231F20"/>
          <w:spacing w:val="-17"/>
          <w:w w:val="105"/>
        </w:rPr>
        <w:t> </w:t>
      </w:r>
      <w:r>
        <w:rPr>
          <w:color w:val="231F20"/>
          <w:w w:val="105"/>
        </w:rPr>
        <w:t>en ambas</w:t>
      </w:r>
      <w:r>
        <w:rPr>
          <w:color w:val="231F20"/>
          <w:spacing w:val="-13"/>
          <w:w w:val="105"/>
        </w:rPr>
        <w:t> </w:t>
      </w:r>
      <w:r>
        <w:rPr>
          <w:color w:val="231F20"/>
          <w:w w:val="105"/>
        </w:rPr>
        <w:t>disciplinas</w:t>
      </w:r>
      <w:r>
        <w:rPr>
          <w:color w:val="231F20"/>
          <w:spacing w:val="-13"/>
          <w:w w:val="105"/>
        </w:rPr>
        <w:t> </w:t>
      </w:r>
      <w:r>
        <w:rPr>
          <w:color w:val="231F20"/>
          <w:w w:val="105"/>
        </w:rPr>
        <w:t>su</w:t>
      </w:r>
      <w:r>
        <w:rPr>
          <w:color w:val="231F20"/>
          <w:spacing w:val="-13"/>
          <w:w w:val="105"/>
        </w:rPr>
        <w:t> </w:t>
      </w:r>
      <w:r>
        <w:rPr>
          <w:color w:val="231F20"/>
          <w:w w:val="105"/>
        </w:rPr>
        <w:t>principal</w:t>
      </w:r>
      <w:r>
        <w:rPr>
          <w:color w:val="231F20"/>
          <w:spacing w:val="-13"/>
          <w:w w:val="105"/>
        </w:rPr>
        <w:t> </w:t>
      </w:r>
      <w:r>
        <w:rPr>
          <w:color w:val="231F20"/>
          <w:w w:val="105"/>
        </w:rPr>
        <w:t>virtud</w:t>
      </w:r>
      <w:r>
        <w:rPr>
          <w:color w:val="231F20"/>
          <w:spacing w:val="-13"/>
          <w:w w:val="105"/>
        </w:rPr>
        <w:t> </w:t>
      </w:r>
      <w:r>
        <w:rPr>
          <w:color w:val="231F20"/>
          <w:w w:val="105"/>
        </w:rPr>
        <w:t>radica</w:t>
      </w:r>
      <w:r>
        <w:rPr>
          <w:color w:val="231F20"/>
          <w:spacing w:val="-13"/>
          <w:w w:val="105"/>
        </w:rPr>
        <w:t> </w:t>
      </w:r>
      <w:r>
        <w:rPr>
          <w:color w:val="231F20"/>
          <w:w w:val="105"/>
        </w:rPr>
        <w:t>en</w:t>
      </w:r>
      <w:r>
        <w:rPr>
          <w:color w:val="231F20"/>
          <w:spacing w:val="-13"/>
          <w:w w:val="105"/>
        </w:rPr>
        <w:t> </w:t>
      </w:r>
      <w:r>
        <w:rPr>
          <w:color w:val="231F20"/>
          <w:w w:val="105"/>
        </w:rPr>
        <w:t>poder</w:t>
      </w:r>
      <w:r>
        <w:rPr>
          <w:color w:val="231F20"/>
          <w:spacing w:val="-13"/>
          <w:w w:val="105"/>
        </w:rPr>
        <w:t> </w:t>
      </w:r>
      <w:r>
        <w:rPr>
          <w:color w:val="231F20"/>
          <w:w w:val="105"/>
        </w:rPr>
        <w:t>abordar</w:t>
      </w:r>
      <w:r>
        <w:rPr>
          <w:color w:val="231F20"/>
          <w:spacing w:val="-13"/>
          <w:w w:val="105"/>
        </w:rPr>
        <w:t> </w:t>
      </w:r>
      <w:r>
        <w:rPr>
          <w:color w:val="231F20"/>
          <w:w w:val="105"/>
        </w:rPr>
        <w:t>problemas que son eludidos tanto por la economía como por la administración en forma separada. </w:t>
      </w:r>
      <w:r>
        <w:rPr>
          <w:color w:val="231F20"/>
          <w:spacing w:val="-6"/>
          <w:w w:val="105"/>
        </w:rPr>
        <w:t>Por </w:t>
      </w:r>
      <w:r>
        <w:rPr>
          <w:color w:val="231F20"/>
          <w:w w:val="105"/>
        </w:rPr>
        <w:t>ello, los estudios económico-administrativos han brindado</w:t>
      </w:r>
      <w:r>
        <w:rPr>
          <w:color w:val="231F20"/>
          <w:spacing w:val="-16"/>
          <w:w w:val="105"/>
        </w:rPr>
        <w:t> </w:t>
      </w:r>
      <w:r>
        <w:rPr>
          <w:color w:val="231F20"/>
          <w:w w:val="105"/>
        </w:rPr>
        <w:t>luz</w:t>
      </w:r>
      <w:r>
        <w:rPr>
          <w:color w:val="231F20"/>
          <w:spacing w:val="-16"/>
          <w:w w:val="105"/>
        </w:rPr>
        <w:t> </w:t>
      </w:r>
      <w:r>
        <w:rPr>
          <w:color w:val="231F20"/>
          <w:w w:val="105"/>
        </w:rPr>
        <w:t>sobre</w:t>
      </w:r>
      <w:r>
        <w:rPr>
          <w:color w:val="231F20"/>
          <w:spacing w:val="-16"/>
          <w:w w:val="105"/>
        </w:rPr>
        <w:t> </w:t>
      </w:r>
      <w:r>
        <w:rPr>
          <w:color w:val="231F20"/>
          <w:w w:val="105"/>
        </w:rPr>
        <w:t>una</w:t>
      </w:r>
      <w:r>
        <w:rPr>
          <w:color w:val="231F20"/>
          <w:spacing w:val="-16"/>
          <w:w w:val="105"/>
        </w:rPr>
        <w:t> </w:t>
      </w:r>
      <w:r>
        <w:rPr>
          <w:color w:val="231F20"/>
          <w:w w:val="105"/>
        </w:rPr>
        <w:t>cantidad</w:t>
      </w:r>
      <w:r>
        <w:rPr>
          <w:color w:val="231F20"/>
          <w:spacing w:val="-16"/>
          <w:w w:val="105"/>
        </w:rPr>
        <w:t> </w:t>
      </w:r>
      <w:r>
        <w:rPr>
          <w:color w:val="231F20"/>
          <w:w w:val="105"/>
        </w:rPr>
        <w:t>importante</w:t>
      </w:r>
      <w:r>
        <w:rPr>
          <w:color w:val="231F20"/>
          <w:spacing w:val="-16"/>
          <w:w w:val="105"/>
        </w:rPr>
        <w:t> </w:t>
      </w:r>
      <w:r>
        <w:rPr>
          <w:color w:val="231F20"/>
          <w:w w:val="105"/>
        </w:rPr>
        <w:t>de</w:t>
      </w:r>
      <w:r>
        <w:rPr>
          <w:color w:val="231F20"/>
          <w:spacing w:val="-16"/>
          <w:w w:val="105"/>
        </w:rPr>
        <w:t> </w:t>
      </w:r>
      <w:r>
        <w:rPr>
          <w:color w:val="231F20"/>
          <w:w w:val="105"/>
        </w:rPr>
        <w:t>fenómenos,</w:t>
      </w:r>
      <w:r>
        <w:rPr>
          <w:color w:val="231F20"/>
          <w:spacing w:val="-23"/>
          <w:w w:val="105"/>
        </w:rPr>
        <w:t> </w:t>
      </w:r>
      <w:r>
        <w:rPr>
          <w:color w:val="231F20"/>
          <w:w w:val="105"/>
        </w:rPr>
        <w:t>aunque</w:t>
      </w:r>
      <w:r>
        <w:rPr>
          <w:color w:val="231F20"/>
          <w:spacing w:val="-16"/>
          <w:w w:val="105"/>
        </w:rPr>
        <w:t> </w:t>
      </w:r>
      <w:r>
        <w:rPr>
          <w:color w:val="231F20"/>
          <w:w w:val="105"/>
        </w:rPr>
        <w:t>tam- bién</w:t>
      </w:r>
      <w:r>
        <w:rPr>
          <w:color w:val="231F20"/>
          <w:spacing w:val="-21"/>
          <w:w w:val="105"/>
        </w:rPr>
        <w:t> </w:t>
      </w:r>
      <w:r>
        <w:rPr>
          <w:color w:val="231F20"/>
          <w:w w:val="105"/>
        </w:rPr>
        <w:t>han</w:t>
      </w:r>
      <w:r>
        <w:rPr>
          <w:color w:val="231F20"/>
          <w:spacing w:val="-21"/>
          <w:w w:val="105"/>
        </w:rPr>
        <w:t> </w:t>
      </w:r>
      <w:r>
        <w:rPr>
          <w:color w:val="231F20"/>
          <w:w w:val="105"/>
        </w:rPr>
        <w:t>sido</w:t>
      </w:r>
      <w:r>
        <w:rPr>
          <w:color w:val="231F20"/>
          <w:spacing w:val="-21"/>
          <w:w w:val="105"/>
        </w:rPr>
        <w:t> </w:t>
      </w:r>
      <w:r>
        <w:rPr>
          <w:color w:val="231F20"/>
          <w:w w:val="105"/>
        </w:rPr>
        <w:t>duramente</w:t>
      </w:r>
      <w:r>
        <w:rPr>
          <w:color w:val="231F20"/>
          <w:spacing w:val="-21"/>
          <w:w w:val="105"/>
        </w:rPr>
        <w:t> </w:t>
      </w:r>
      <w:r>
        <w:rPr>
          <w:color w:val="231F20"/>
          <w:w w:val="105"/>
        </w:rPr>
        <w:t>criticados</w:t>
      </w:r>
      <w:r>
        <w:rPr>
          <w:color w:val="231F20"/>
          <w:spacing w:val="-21"/>
          <w:w w:val="105"/>
        </w:rPr>
        <w:t> </w:t>
      </w:r>
      <w:r>
        <w:rPr>
          <w:color w:val="231F20"/>
          <w:w w:val="105"/>
        </w:rPr>
        <w:t>porque,</w:t>
      </w:r>
      <w:r>
        <w:rPr>
          <w:color w:val="231F20"/>
          <w:spacing w:val="-26"/>
          <w:w w:val="105"/>
        </w:rPr>
        <w:t> </w:t>
      </w:r>
      <w:r>
        <w:rPr>
          <w:color w:val="231F20"/>
          <w:w w:val="105"/>
        </w:rPr>
        <w:t>en</w:t>
      </w:r>
      <w:r>
        <w:rPr>
          <w:color w:val="231F20"/>
          <w:spacing w:val="-21"/>
          <w:w w:val="105"/>
        </w:rPr>
        <w:t> </w:t>
      </w:r>
      <w:r>
        <w:rPr>
          <w:color w:val="231F20"/>
          <w:w w:val="105"/>
        </w:rPr>
        <w:t>ocasiones,</w:t>
      </w:r>
      <w:r>
        <w:rPr>
          <w:color w:val="231F20"/>
          <w:spacing w:val="-26"/>
          <w:w w:val="105"/>
        </w:rPr>
        <w:t> </w:t>
      </w:r>
      <w:r>
        <w:rPr>
          <w:color w:val="231F20"/>
          <w:w w:val="105"/>
        </w:rPr>
        <w:t>llegan</w:t>
      </w:r>
      <w:r>
        <w:rPr>
          <w:color w:val="231F20"/>
          <w:spacing w:val="-21"/>
          <w:w w:val="105"/>
        </w:rPr>
        <w:t> </w:t>
      </w:r>
      <w:r>
        <w:rPr>
          <w:color w:val="231F20"/>
          <w:w w:val="105"/>
        </w:rPr>
        <w:t>a</w:t>
      </w:r>
      <w:r>
        <w:rPr>
          <w:color w:val="231F20"/>
          <w:spacing w:val="-21"/>
          <w:w w:val="105"/>
        </w:rPr>
        <w:t> </w:t>
      </w:r>
      <w:r>
        <w:rPr>
          <w:color w:val="231F20"/>
          <w:w w:val="105"/>
        </w:rPr>
        <w:t>disidir de</w:t>
      </w:r>
      <w:r>
        <w:rPr>
          <w:color w:val="231F20"/>
          <w:spacing w:val="-17"/>
          <w:w w:val="105"/>
        </w:rPr>
        <w:t> </w:t>
      </w:r>
      <w:r>
        <w:rPr>
          <w:color w:val="231F20"/>
          <w:w w:val="105"/>
        </w:rPr>
        <w:t>las</w:t>
      </w:r>
      <w:r>
        <w:rPr>
          <w:color w:val="231F20"/>
          <w:spacing w:val="-17"/>
          <w:w w:val="105"/>
        </w:rPr>
        <w:t> </w:t>
      </w:r>
      <w:r>
        <w:rPr>
          <w:color w:val="231F20"/>
          <w:w w:val="105"/>
        </w:rPr>
        <w:t>ciencias</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que</w:t>
      </w:r>
      <w:r>
        <w:rPr>
          <w:color w:val="231F20"/>
          <w:spacing w:val="-17"/>
          <w:w w:val="105"/>
        </w:rPr>
        <w:t> </w:t>
      </w:r>
      <w:r>
        <w:rPr>
          <w:color w:val="231F20"/>
          <w:w w:val="105"/>
        </w:rPr>
        <w:t>tuvieron</w:t>
      </w:r>
      <w:r>
        <w:rPr>
          <w:color w:val="231F20"/>
          <w:spacing w:val="-17"/>
          <w:w w:val="105"/>
        </w:rPr>
        <w:t> </w:t>
      </w:r>
      <w:r>
        <w:rPr>
          <w:color w:val="231F20"/>
          <w:w w:val="105"/>
        </w:rPr>
        <w:t>origen.</w:t>
      </w:r>
    </w:p>
    <w:p>
      <w:pPr>
        <w:pStyle w:val="BodyText"/>
        <w:spacing w:line="259" w:lineRule="auto"/>
        <w:ind w:left="103" w:right="115" w:firstLine="567"/>
        <w:jc w:val="both"/>
      </w:pPr>
      <w:r>
        <w:rPr>
          <w:color w:val="231F20"/>
          <w:w w:val="105"/>
        </w:rPr>
        <w:t>En este contexto, el presente capítulo tiene como objetivo definir y analizar desde una perspectiva económico-administrativa tres de las principales</w:t>
      </w:r>
      <w:r>
        <w:rPr>
          <w:color w:val="231F20"/>
          <w:spacing w:val="-24"/>
          <w:w w:val="105"/>
        </w:rPr>
        <w:t> </w:t>
      </w:r>
      <w:r>
        <w:rPr>
          <w:color w:val="231F20"/>
          <w:w w:val="105"/>
        </w:rPr>
        <w:t>teorías</w:t>
      </w:r>
      <w:r>
        <w:rPr>
          <w:color w:val="231F20"/>
          <w:spacing w:val="-24"/>
          <w:w w:val="105"/>
        </w:rPr>
        <w:t> </w:t>
      </w:r>
      <w:r>
        <w:rPr>
          <w:color w:val="231F20"/>
          <w:w w:val="105"/>
        </w:rPr>
        <w:t>que</w:t>
      </w:r>
      <w:r>
        <w:rPr>
          <w:color w:val="231F20"/>
          <w:spacing w:val="-24"/>
          <w:w w:val="105"/>
        </w:rPr>
        <w:t> </w:t>
      </w:r>
      <w:r>
        <w:rPr>
          <w:color w:val="231F20"/>
          <w:w w:val="105"/>
        </w:rPr>
        <w:t>explican</w:t>
      </w:r>
      <w:r>
        <w:rPr>
          <w:color w:val="231F20"/>
          <w:spacing w:val="-24"/>
          <w:w w:val="105"/>
        </w:rPr>
        <w:t> </w:t>
      </w:r>
      <w:r>
        <w:rPr>
          <w:color w:val="231F20"/>
          <w:w w:val="105"/>
        </w:rPr>
        <w:t>al</w:t>
      </w:r>
      <w:r>
        <w:rPr>
          <w:color w:val="231F20"/>
          <w:spacing w:val="-24"/>
          <w:w w:val="105"/>
        </w:rPr>
        <w:t> </w:t>
      </w:r>
      <w:r>
        <w:rPr>
          <w:color w:val="231F20"/>
          <w:w w:val="105"/>
        </w:rPr>
        <w:t>mercado</w:t>
      </w:r>
      <w:r>
        <w:rPr>
          <w:color w:val="231F20"/>
          <w:spacing w:val="-24"/>
          <w:w w:val="105"/>
        </w:rPr>
        <w:t> </w:t>
      </w:r>
      <w:r>
        <w:rPr>
          <w:color w:val="231F20"/>
          <w:w w:val="105"/>
        </w:rPr>
        <w:t>de</w:t>
      </w:r>
      <w:r>
        <w:rPr>
          <w:color w:val="231F20"/>
          <w:spacing w:val="-24"/>
          <w:w w:val="105"/>
        </w:rPr>
        <w:t> </w:t>
      </w:r>
      <w:r>
        <w:rPr>
          <w:color w:val="231F20"/>
          <w:w w:val="105"/>
        </w:rPr>
        <w:t>trabajo:</w:t>
      </w:r>
      <w:r>
        <w:rPr>
          <w:color w:val="231F20"/>
          <w:spacing w:val="-24"/>
          <w:w w:val="105"/>
        </w:rPr>
        <w:t> </w:t>
      </w:r>
      <w:r>
        <w:rPr>
          <w:color w:val="231F20"/>
          <w:w w:val="105"/>
        </w:rPr>
        <w:t>la</w:t>
      </w:r>
      <w:r>
        <w:rPr>
          <w:color w:val="231F20"/>
          <w:spacing w:val="-24"/>
          <w:w w:val="105"/>
        </w:rPr>
        <w:t> </w:t>
      </w:r>
      <w:r>
        <w:rPr>
          <w:color w:val="231F20"/>
          <w:w w:val="105"/>
        </w:rPr>
        <w:t>teoría</w:t>
      </w:r>
      <w:r>
        <w:rPr>
          <w:color w:val="231F20"/>
          <w:spacing w:val="-24"/>
          <w:w w:val="105"/>
        </w:rPr>
        <w:t> </w:t>
      </w:r>
      <w:r>
        <w:rPr>
          <w:color w:val="231F20"/>
          <w:w w:val="105"/>
        </w:rPr>
        <w:t>neoclási- ca,</w:t>
      </w:r>
      <w:r>
        <w:rPr>
          <w:color w:val="231F20"/>
          <w:spacing w:val="-26"/>
          <w:w w:val="105"/>
        </w:rPr>
        <w:t> </w:t>
      </w:r>
      <w:r>
        <w:rPr>
          <w:color w:val="231F20"/>
          <w:w w:val="105"/>
        </w:rPr>
        <w:t>la</w:t>
      </w:r>
      <w:r>
        <w:rPr>
          <w:color w:val="231F20"/>
          <w:spacing w:val="-21"/>
          <w:w w:val="105"/>
        </w:rPr>
        <w:t> </w:t>
      </w:r>
      <w:r>
        <w:rPr>
          <w:color w:val="231F20"/>
          <w:w w:val="105"/>
        </w:rPr>
        <w:t>teoría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segmentación</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teoría</w:t>
      </w:r>
      <w:r>
        <w:rPr>
          <w:color w:val="231F20"/>
          <w:spacing w:val="-21"/>
          <w:w w:val="105"/>
        </w:rPr>
        <w:t> </w:t>
      </w:r>
      <w:r>
        <w:rPr>
          <w:color w:val="231F20"/>
          <w:w w:val="105"/>
        </w:rPr>
        <w:t>institucionalista.</w:t>
      </w:r>
    </w:p>
    <w:p>
      <w:pPr>
        <w:pStyle w:val="BodyText"/>
        <w:spacing w:line="259" w:lineRule="auto"/>
        <w:ind w:left="103" w:right="115" w:firstLine="567"/>
        <w:jc w:val="both"/>
      </w:pPr>
      <w:r>
        <w:rPr>
          <w:color w:val="231F20"/>
          <w:w w:val="105"/>
        </w:rPr>
        <w:t>La</w:t>
      </w:r>
      <w:r>
        <w:rPr>
          <w:color w:val="231F20"/>
          <w:spacing w:val="-17"/>
          <w:w w:val="105"/>
        </w:rPr>
        <w:t> </w:t>
      </w:r>
      <w:r>
        <w:rPr>
          <w:color w:val="231F20"/>
          <w:w w:val="105"/>
        </w:rPr>
        <w:t>teoría</w:t>
      </w:r>
      <w:r>
        <w:rPr>
          <w:color w:val="231F20"/>
          <w:spacing w:val="-17"/>
          <w:w w:val="105"/>
        </w:rPr>
        <w:t> </w:t>
      </w:r>
      <w:r>
        <w:rPr>
          <w:color w:val="231F20"/>
          <w:w w:val="105"/>
        </w:rPr>
        <w:t>neoclásica</w:t>
      </w:r>
      <w:r>
        <w:rPr>
          <w:color w:val="231F20"/>
          <w:spacing w:val="-17"/>
          <w:w w:val="105"/>
        </w:rPr>
        <w:t> </w:t>
      </w:r>
      <w:r>
        <w:rPr>
          <w:color w:val="231F20"/>
          <w:w w:val="105"/>
        </w:rPr>
        <w:t>del</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tiene</w:t>
      </w:r>
      <w:r>
        <w:rPr>
          <w:color w:val="231F20"/>
          <w:spacing w:val="-17"/>
          <w:w w:val="105"/>
        </w:rPr>
        <w:t> </w:t>
      </w:r>
      <w:r>
        <w:rPr>
          <w:color w:val="231F20"/>
          <w:w w:val="105"/>
        </w:rPr>
        <w:t>como</w:t>
      </w:r>
      <w:r>
        <w:rPr>
          <w:color w:val="231F20"/>
          <w:spacing w:val="-17"/>
          <w:w w:val="105"/>
        </w:rPr>
        <w:t> </w:t>
      </w:r>
      <w:r>
        <w:rPr>
          <w:color w:val="231F20"/>
          <w:w w:val="105"/>
        </w:rPr>
        <w:t>supuestos principales</w:t>
      </w:r>
      <w:r>
        <w:rPr>
          <w:color w:val="231F20"/>
          <w:spacing w:val="-13"/>
          <w:w w:val="105"/>
        </w:rPr>
        <w:t> </w:t>
      </w:r>
      <w:r>
        <w:rPr>
          <w:color w:val="231F20"/>
          <w:w w:val="105"/>
        </w:rPr>
        <w:t>considerar</w:t>
      </w:r>
      <w:r>
        <w:rPr>
          <w:color w:val="231F20"/>
          <w:spacing w:val="-13"/>
          <w:w w:val="105"/>
        </w:rPr>
        <w:t> </w:t>
      </w:r>
      <w:r>
        <w:rPr>
          <w:color w:val="231F20"/>
          <w:w w:val="105"/>
        </w:rPr>
        <w:t>al</w:t>
      </w:r>
      <w:r>
        <w:rPr>
          <w:color w:val="231F20"/>
          <w:spacing w:val="-13"/>
          <w:w w:val="105"/>
        </w:rPr>
        <w:t> </w:t>
      </w:r>
      <w:r>
        <w:rPr>
          <w:color w:val="231F20"/>
          <w:w w:val="105"/>
        </w:rPr>
        <w:t>mercado</w:t>
      </w:r>
      <w:r>
        <w:rPr>
          <w:color w:val="231F20"/>
          <w:spacing w:val="-13"/>
          <w:w w:val="105"/>
        </w:rPr>
        <w:t> </w:t>
      </w:r>
      <w:r>
        <w:rPr>
          <w:color w:val="231F20"/>
          <w:w w:val="105"/>
        </w:rPr>
        <w:t>de</w:t>
      </w:r>
      <w:r>
        <w:rPr>
          <w:color w:val="231F20"/>
          <w:spacing w:val="-13"/>
          <w:w w:val="105"/>
        </w:rPr>
        <w:t> </w:t>
      </w:r>
      <w:r>
        <w:rPr>
          <w:color w:val="231F20"/>
          <w:w w:val="105"/>
        </w:rPr>
        <w:t>trabajo</w:t>
      </w:r>
      <w:r>
        <w:rPr>
          <w:color w:val="231F20"/>
          <w:spacing w:val="-13"/>
          <w:w w:val="105"/>
        </w:rPr>
        <w:t> </w:t>
      </w:r>
      <w:r>
        <w:rPr>
          <w:color w:val="231F20"/>
          <w:w w:val="105"/>
        </w:rPr>
        <w:t>como</w:t>
      </w:r>
      <w:r>
        <w:rPr>
          <w:color w:val="231F20"/>
          <w:spacing w:val="-13"/>
          <w:w w:val="105"/>
        </w:rPr>
        <w:t> </w:t>
      </w:r>
      <w:r>
        <w:rPr>
          <w:color w:val="231F20"/>
          <w:w w:val="105"/>
        </w:rPr>
        <w:t>a</w:t>
      </w:r>
      <w:r>
        <w:rPr>
          <w:color w:val="231F20"/>
          <w:spacing w:val="-13"/>
          <w:w w:val="105"/>
        </w:rPr>
        <w:t> </w:t>
      </w:r>
      <w:r>
        <w:rPr>
          <w:color w:val="231F20"/>
          <w:w w:val="105"/>
        </w:rPr>
        <w:t>cualquier</w:t>
      </w:r>
      <w:r>
        <w:rPr>
          <w:color w:val="231F20"/>
          <w:spacing w:val="-13"/>
          <w:w w:val="105"/>
        </w:rPr>
        <w:t> </w:t>
      </w:r>
      <w:r>
        <w:rPr>
          <w:color w:val="231F20"/>
          <w:w w:val="105"/>
        </w:rPr>
        <w:t>otro</w:t>
      </w:r>
      <w:r>
        <w:rPr>
          <w:color w:val="231F20"/>
          <w:spacing w:val="-13"/>
          <w:w w:val="105"/>
        </w:rPr>
        <w:t> </w:t>
      </w:r>
      <w:r>
        <w:rPr>
          <w:color w:val="231F20"/>
          <w:w w:val="105"/>
        </w:rPr>
        <w:t>mer- cado</w:t>
      </w:r>
      <w:r>
        <w:rPr>
          <w:color w:val="231F20"/>
          <w:spacing w:val="-7"/>
          <w:w w:val="105"/>
        </w:rPr>
        <w:t> </w:t>
      </w:r>
      <w:r>
        <w:rPr>
          <w:color w:val="231F20"/>
          <w:w w:val="105"/>
        </w:rPr>
        <w:t>de</w:t>
      </w:r>
      <w:r>
        <w:rPr>
          <w:color w:val="231F20"/>
          <w:spacing w:val="-7"/>
          <w:w w:val="105"/>
        </w:rPr>
        <w:t> </w:t>
      </w:r>
      <w:r>
        <w:rPr>
          <w:color w:val="231F20"/>
          <w:w w:val="105"/>
        </w:rPr>
        <w:t>bienes,</w:t>
      </w:r>
      <w:r>
        <w:rPr>
          <w:color w:val="231F20"/>
          <w:spacing w:val="-13"/>
          <w:w w:val="105"/>
        </w:rPr>
        <w:t> </w:t>
      </w:r>
      <w:r>
        <w:rPr>
          <w:color w:val="231F20"/>
          <w:w w:val="105"/>
        </w:rPr>
        <w:t>la</w:t>
      </w:r>
      <w:r>
        <w:rPr>
          <w:color w:val="231F20"/>
          <w:spacing w:val="-7"/>
          <w:w w:val="105"/>
        </w:rPr>
        <w:t> </w:t>
      </w:r>
      <w:r>
        <w:rPr>
          <w:color w:val="231F20"/>
          <w:w w:val="105"/>
        </w:rPr>
        <w:t>ley</w:t>
      </w:r>
      <w:r>
        <w:rPr>
          <w:color w:val="231F20"/>
          <w:spacing w:val="-7"/>
          <w:w w:val="105"/>
        </w:rPr>
        <w:t> </w:t>
      </w:r>
      <w:r>
        <w:rPr>
          <w:color w:val="231F20"/>
          <w:w w:val="105"/>
        </w:rPr>
        <w:t>de</w:t>
      </w:r>
      <w:r>
        <w:rPr>
          <w:color w:val="231F20"/>
          <w:spacing w:val="-7"/>
          <w:w w:val="105"/>
        </w:rPr>
        <w:t> </w:t>
      </w:r>
      <w:r>
        <w:rPr>
          <w:color w:val="231F20"/>
          <w:w w:val="105"/>
        </w:rPr>
        <w:t>oferta</w:t>
      </w:r>
      <w:r>
        <w:rPr>
          <w:color w:val="231F20"/>
          <w:spacing w:val="-7"/>
          <w:w w:val="105"/>
        </w:rPr>
        <w:t> </w:t>
      </w:r>
      <w:r>
        <w:rPr>
          <w:color w:val="231F20"/>
          <w:w w:val="105"/>
        </w:rPr>
        <w:t>y</w:t>
      </w:r>
      <w:r>
        <w:rPr>
          <w:color w:val="231F20"/>
          <w:spacing w:val="-7"/>
          <w:w w:val="105"/>
        </w:rPr>
        <w:t> </w:t>
      </w:r>
      <w:r>
        <w:rPr>
          <w:color w:val="231F20"/>
          <w:w w:val="105"/>
        </w:rPr>
        <w:t>demanda</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existencia</w:t>
      </w:r>
      <w:r>
        <w:rPr>
          <w:color w:val="231F20"/>
          <w:spacing w:val="-7"/>
          <w:w w:val="105"/>
        </w:rPr>
        <w:t> </w:t>
      </w:r>
      <w:r>
        <w:rPr>
          <w:color w:val="231F20"/>
          <w:w w:val="105"/>
        </w:rPr>
        <w:t>de</w:t>
      </w:r>
      <w:r>
        <w:rPr>
          <w:color w:val="231F20"/>
          <w:spacing w:val="-7"/>
          <w:w w:val="105"/>
        </w:rPr>
        <w:t> </w:t>
      </w:r>
      <w:r>
        <w:rPr>
          <w:color w:val="231F20"/>
          <w:w w:val="105"/>
        </w:rPr>
        <w:t>mercados internos</w:t>
      </w:r>
      <w:r>
        <w:rPr>
          <w:color w:val="231F20"/>
          <w:spacing w:val="-36"/>
          <w:w w:val="105"/>
        </w:rPr>
        <w:t> </w:t>
      </w:r>
      <w:r>
        <w:rPr>
          <w:color w:val="231F20"/>
          <w:w w:val="105"/>
        </w:rPr>
        <w:t>y</w:t>
      </w:r>
      <w:r>
        <w:rPr>
          <w:color w:val="231F20"/>
          <w:spacing w:val="-36"/>
          <w:w w:val="105"/>
        </w:rPr>
        <w:t> </w:t>
      </w:r>
      <w:r>
        <w:rPr>
          <w:color w:val="231F20"/>
          <w:w w:val="105"/>
        </w:rPr>
        <w:t>externos</w:t>
      </w:r>
      <w:r>
        <w:rPr>
          <w:color w:val="231F20"/>
          <w:spacing w:val="-36"/>
          <w:w w:val="105"/>
        </w:rPr>
        <w:t> </w:t>
      </w:r>
      <w:r>
        <w:rPr>
          <w:color w:val="231F20"/>
          <w:spacing w:val="-3"/>
          <w:w w:val="105"/>
        </w:rPr>
        <w:t>(Peck,</w:t>
      </w:r>
      <w:r>
        <w:rPr>
          <w:color w:val="231F20"/>
          <w:spacing w:val="-40"/>
          <w:w w:val="105"/>
        </w:rPr>
        <w:t> </w:t>
      </w:r>
      <w:r>
        <w:rPr>
          <w:color w:val="231F20"/>
          <w:w w:val="105"/>
        </w:rPr>
        <w:t>1996).</w:t>
      </w:r>
    </w:p>
    <w:p>
      <w:pPr>
        <w:pStyle w:val="BodyText"/>
        <w:rPr>
          <w:sz w:val="20"/>
        </w:rPr>
      </w:pPr>
    </w:p>
    <w:p>
      <w:pPr>
        <w:pStyle w:val="BodyText"/>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81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162</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792"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163</w:t>
      </w:r>
    </w:p>
    <w:p>
      <w:pPr>
        <w:pStyle w:val="BodyText"/>
        <w:rPr>
          <w:sz w:val="20"/>
        </w:rPr>
      </w:pPr>
    </w:p>
    <w:p>
      <w:pPr>
        <w:pStyle w:val="BodyText"/>
        <w:rPr>
          <w:sz w:val="20"/>
        </w:rPr>
      </w:pPr>
    </w:p>
    <w:p>
      <w:pPr>
        <w:pStyle w:val="BodyText"/>
        <w:spacing w:line="259" w:lineRule="auto" w:before="176"/>
        <w:ind w:left="77" w:right="115"/>
        <w:jc w:val="right"/>
      </w:pPr>
      <w:r>
        <w:rPr>
          <w:color w:val="231F20"/>
          <w:w w:val="105"/>
        </w:rPr>
        <w:t>La</w:t>
      </w:r>
      <w:r>
        <w:rPr>
          <w:color w:val="231F20"/>
          <w:spacing w:val="-13"/>
          <w:w w:val="105"/>
        </w:rPr>
        <w:t> </w:t>
      </w:r>
      <w:r>
        <w:rPr>
          <w:color w:val="231F20"/>
          <w:w w:val="105"/>
        </w:rPr>
        <w:t>teoría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segmentación</w:t>
      </w:r>
      <w:r>
        <w:rPr>
          <w:color w:val="231F20"/>
          <w:spacing w:val="-13"/>
          <w:w w:val="105"/>
        </w:rPr>
        <w:t> </w:t>
      </w:r>
      <w:r>
        <w:rPr>
          <w:color w:val="231F20"/>
          <w:w w:val="105"/>
        </w:rPr>
        <w:t>cuenta</w:t>
      </w:r>
      <w:r>
        <w:rPr>
          <w:color w:val="231F20"/>
          <w:spacing w:val="-13"/>
          <w:w w:val="105"/>
        </w:rPr>
        <w:t> </w:t>
      </w:r>
      <w:r>
        <w:rPr>
          <w:color w:val="231F20"/>
          <w:w w:val="105"/>
        </w:rPr>
        <w:t>con</w:t>
      </w:r>
      <w:r>
        <w:rPr>
          <w:color w:val="231F20"/>
          <w:spacing w:val="-13"/>
          <w:w w:val="105"/>
        </w:rPr>
        <w:t> </w:t>
      </w:r>
      <w:r>
        <w:rPr>
          <w:color w:val="231F20"/>
          <w:spacing w:val="-3"/>
          <w:w w:val="105"/>
        </w:rPr>
        <w:t>cuatro</w:t>
      </w:r>
      <w:r>
        <w:rPr>
          <w:color w:val="231F20"/>
          <w:spacing w:val="-13"/>
          <w:w w:val="105"/>
        </w:rPr>
        <w:t> </w:t>
      </w:r>
      <w:r>
        <w:rPr>
          <w:color w:val="231F20"/>
          <w:spacing w:val="-2"/>
          <w:w w:val="105"/>
        </w:rPr>
        <w:t>generaciones.</w:t>
      </w:r>
      <w:r>
        <w:rPr>
          <w:color w:val="231F20"/>
          <w:spacing w:val="-17"/>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pri-</w:t>
      </w:r>
      <w:r>
        <w:rPr>
          <w:color w:val="231F20"/>
          <w:w w:val="96"/>
        </w:rPr>
        <w:t> </w:t>
      </w:r>
      <w:r>
        <w:rPr>
          <w:color w:val="231F20"/>
          <w:w w:val="105"/>
        </w:rPr>
        <w:t>mera,</w:t>
      </w:r>
      <w:r>
        <w:rPr>
          <w:color w:val="231F20"/>
          <w:spacing w:val="-32"/>
          <w:w w:val="105"/>
        </w:rPr>
        <w:t> </w:t>
      </w:r>
      <w:r>
        <w:rPr>
          <w:color w:val="231F20"/>
          <w:w w:val="105"/>
        </w:rPr>
        <w:t>también</w:t>
      </w:r>
      <w:r>
        <w:rPr>
          <w:color w:val="231F20"/>
          <w:spacing w:val="-29"/>
          <w:w w:val="105"/>
        </w:rPr>
        <w:t> </w:t>
      </w:r>
      <w:r>
        <w:rPr>
          <w:color w:val="231F20"/>
          <w:w w:val="105"/>
        </w:rPr>
        <w:t>conocida</w:t>
      </w:r>
      <w:r>
        <w:rPr>
          <w:color w:val="231F20"/>
          <w:spacing w:val="-29"/>
          <w:w w:val="105"/>
        </w:rPr>
        <w:t> </w:t>
      </w:r>
      <w:r>
        <w:rPr>
          <w:color w:val="231F20"/>
          <w:w w:val="105"/>
        </w:rPr>
        <w:t>como</w:t>
      </w:r>
      <w:r>
        <w:rPr>
          <w:color w:val="231F20"/>
          <w:spacing w:val="-29"/>
          <w:w w:val="105"/>
        </w:rPr>
        <w:t> </w:t>
      </w:r>
      <w:r>
        <w:rPr>
          <w:color w:val="231F20"/>
          <w:w w:val="105"/>
        </w:rPr>
        <w:t>institucionalista</w:t>
      </w:r>
      <w:r>
        <w:rPr>
          <w:color w:val="231F20"/>
          <w:spacing w:val="-29"/>
          <w:w w:val="105"/>
        </w:rPr>
        <w:t> </w:t>
      </w:r>
      <w:r>
        <w:rPr>
          <w:color w:val="231F20"/>
          <w:w w:val="105"/>
        </w:rPr>
        <w:t>y</w:t>
      </w:r>
      <w:r>
        <w:rPr>
          <w:color w:val="231F20"/>
          <w:spacing w:val="-29"/>
          <w:w w:val="105"/>
        </w:rPr>
        <w:t> </w:t>
      </w:r>
      <w:r>
        <w:rPr>
          <w:color w:val="231F20"/>
          <w:w w:val="105"/>
        </w:rPr>
        <w:t>basada</w:t>
      </w:r>
      <w:r>
        <w:rPr>
          <w:color w:val="231F20"/>
          <w:spacing w:val="-29"/>
          <w:w w:val="105"/>
        </w:rPr>
        <w:t> </w:t>
      </w:r>
      <w:r>
        <w:rPr>
          <w:color w:val="231F20"/>
          <w:w w:val="105"/>
        </w:rPr>
        <w:t>en</w:t>
      </w:r>
      <w:r>
        <w:rPr>
          <w:color w:val="231F20"/>
          <w:spacing w:val="-29"/>
          <w:w w:val="105"/>
        </w:rPr>
        <w:t> </w:t>
      </w:r>
      <w:r>
        <w:rPr>
          <w:color w:val="231F20"/>
          <w:w w:val="105"/>
        </w:rPr>
        <w:t>los</w:t>
      </w:r>
      <w:r>
        <w:rPr>
          <w:color w:val="231F20"/>
          <w:spacing w:val="-29"/>
          <w:w w:val="105"/>
        </w:rPr>
        <w:t> </w:t>
      </w:r>
      <w:r>
        <w:rPr>
          <w:color w:val="231F20"/>
          <w:spacing w:val="-3"/>
          <w:w w:val="105"/>
        </w:rPr>
        <w:t>mercados</w:t>
      </w:r>
      <w:r>
        <w:rPr>
          <w:color w:val="231F20"/>
          <w:spacing w:val="-2"/>
          <w:w w:val="102"/>
        </w:rPr>
        <w:t> </w:t>
      </w:r>
      <w:r>
        <w:rPr>
          <w:color w:val="231F20"/>
          <w:w w:val="105"/>
        </w:rPr>
        <w:t>duales</w:t>
      </w:r>
      <w:r>
        <w:rPr>
          <w:color w:val="231F20"/>
          <w:spacing w:val="-21"/>
          <w:w w:val="105"/>
        </w:rPr>
        <w:t> </w:t>
      </w:r>
      <w:r>
        <w:rPr>
          <w:color w:val="231F20"/>
          <w:spacing w:val="-3"/>
          <w:w w:val="105"/>
        </w:rPr>
        <w:t>propuestos</w:t>
      </w:r>
      <w:r>
        <w:rPr>
          <w:color w:val="231F20"/>
          <w:spacing w:val="-21"/>
          <w:w w:val="105"/>
        </w:rPr>
        <w:t> </w:t>
      </w:r>
      <w:r>
        <w:rPr>
          <w:color w:val="231F20"/>
          <w:w w:val="105"/>
        </w:rPr>
        <w:t>por</w:t>
      </w:r>
      <w:r>
        <w:rPr>
          <w:color w:val="231F20"/>
          <w:spacing w:val="-21"/>
          <w:w w:val="105"/>
        </w:rPr>
        <w:t> </w:t>
      </w:r>
      <w:r>
        <w:rPr>
          <w:color w:val="231F20"/>
          <w:w w:val="105"/>
        </w:rPr>
        <w:t>Doeringer</w:t>
      </w:r>
      <w:r>
        <w:rPr>
          <w:color w:val="231F20"/>
          <w:spacing w:val="-21"/>
          <w:w w:val="105"/>
        </w:rPr>
        <w:t> </w:t>
      </w:r>
      <w:r>
        <w:rPr>
          <w:color w:val="231F20"/>
          <w:w w:val="105"/>
        </w:rPr>
        <w:t>y</w:t>
      </w:r>
      <w:r>
        <w:rPr>
          <w:color w:val="231F20"/>
          <w:spacing w:val="-21"/>
          <w:w w:val="105"/>
        </w:rPr>
        <w:t> </w:t>
      </w:r>
      <w:r>
        <w:rPr>
          <w:color w:val="231F20"/>
          <w:spacing w:val="-4"/>
          <w:w w:val="105"/>
        </w:rPr>
        <w:t>Piore</w:t>
      </w:r>
      <w:r>
        <w:rPr>
          <w:color w:val="231F20"/>
          <w:spacing w:val="-21"/>
          <w:w w:val="105"/>
        </w:rPr>
        <w:t> </w:t>
      </w:r>
      <w:r>
        <w:rPr>
          <w:color w:val="231F20"/>
          <w:w w:val="105"/>
        </w:rPr>
        <w:t>(1971),</w:t>
      </w:r>
      <w:r>
        <w:rPr>
          <w:color w:val="231F20"/>
          <w:spacing w:val="-27"/>
          <w:w w:val="105"/>
        </w:rPr>
        <w:t> </w:t>
      </w:r>
      <w:r>
        <w:rPr>
          <w:color w:val="231F20"/>
          <w:w w:val="105"/>
        </w:rPr>
        <w:t>existen</w:t>
      </w:r>
      <w:r>
        <w:rPr>
          <w:color w:val="231F20"/>
          <w:spacing w:val="-21"/>
          <w:w w:val="105"/>
        </w:rPr>
        <w:t> </w:t>
      </w:r>
      <w:r>
        <w:rPr>
          <w:color w:val="231F20"/>
          <w:w w:val="105"/>
        </w:rPr>
        <w:t>dos</w:t>
      </w:r>
      <w:r>
        <w:rPr>
          <w:color w:val="231F20"/>
          <w:spacing w:val="-21"/>
          <w:w w:val="105"/>
        </w:rPr>
        <w:t> </w:t>
      </w:r>
      <w:r>
        <w:rPr>
          <w:color w:val="231F20"/>
          <w:spacing w:val="-3"/>
          <w:w w:val="105"/>
        </w:rPr>
        <w:t>sectores:</w:t>
      </w:r>
      <w:r>
        <w:rPr>
          <w:color w:val="231F20"/>
          <w:spacing w:val="-21"/>
          <w:w w:val="105"/>
        </w:rPr>
        <w:t> </w:t>
      </w:r>
      <w:r>
        <w:rPr>
          <w:color w:val="231F20"/>
          <w:w w:val="105"/>
        </w:rPr>
        <w:t>en</w:t>
      </w:r>
      <w:r>
        <w:rPr>
          <w:color w:val="231F20"/>
          <w:spacing w:val="-2"/>
          <w:w w:val="103"/>
        </w:rPr>
        <w:t> </w:t>
      </w:r>
      <w:r>
        <w:rPr>
          <w:color w:val="231F20"/>
          <w:w w:val="105"/>
        </w:rPr>
        <w:t>el</w:t>
      </w:r>
      <w:r>
        <w:rPr>
          <w:color w:val="231F20"/>
          <w:spacing w:val="-25"/>
          <w:w w:val="105"/>
        </w:rPr>
        <w:t> </w:t>
      </w:r>
      <w:r>
        <w:rPr>
          <w:color w:val="231F20"/>
          <w:w w:val="105"/>
        </w:rPr>
        <w:t>sector</w:t>
      </w:r>
      <w:r>
        <w:rPr>
          <w:color w:val="231F20"/>
          <w:spacing w:val="-25"/>
          <w:w w:val="105"/>
        </w:rPr>
        <w:t> </w:t>
      </w:r>
      <w:r>
        <w:rPr>
          <w:color w:val="231F20"/>
          <w:w w:val="105"/>
        </w:rPr>
        <w:t>primario</w:t>
      </w:r>
      <w:r>
        <w:rPr>
          <w:color w:val="231F20"/>
          <w:spacing w:val="-25"/>
          <w:w w:val="105"/>
        </w:rPr>
        <w:t> </w:t>
      </w:r>
      <w:r>
        <w:rPr>
          <w:color w:val="231F20"/>
          <w:w w:val="105"/>
        </w:rPr>
        <w:t>se</w:t>
      </w:r>
      <w:r>
        <w:rPr>
          <w:color w:val="231F20"/>
          <w:spacing w:val="-25"/>
          <w:w w:val="105"/>
        </w:rPr>
        <w:t> </w:t>
      </w:r>
      <w:r>
        <w:rPr>
          <w:color w:val="231F20"/>
          <w:spacing w:val="-3"/>
          <w:w w:val="105"/>
        </w:rPr>
        <w:t>ofrecen</w:t>
      </w:r>
      <w:r>
        <w:rPr>
          <w:color w:val="231F20"/>
          <w:spacing w:val="-25"/>
          <w:w w:val="105"/>
        </w:rPr>
        <w:t> </w:t>
      </w:r>
      <w:r>
        <w:rPr>
          <w:color w:val="231F20"/>
          <w:w w:val="105"/>
        </w:rPr>
        <w:t>puestos</w:t>
      </w:r>
      <w:r>
        <w:rPr>
          <w:color w:val="231F20"/>
          <w:spacing w:val="-25"/>
          <w:w w:val="105"/>
        </w:rPr>
        <w:t> </w:t>
      </w:r>
      <w:r>
        <w:rPr>
          <w:color w:val="231F20"/>
          <w:w w:val="105"/>
        </w:rPr>
        <w:t>de</w:t>
      </w:r>
      <w:r>
        <w:rPr>
          <w:color w:val="231F20"/>
          <w:spacing w:val="-25"/>
          <w:w w:val="105"/>
        </w:rPr>
        <w:t> </w:t>
      </w:r>
      <w:r>
        <w:rPr>
          <w:color w:val="231F20"/>
          <w:w w:val="105"/>
        </w:rPr>
        <w:t>trabajo</w:t>
      </w:r>
      <w:r>
        <w:rPr>
          <w:color w:val="231F20"/>
          <w:spacing w:val="-25"/>
          <w:w w:val="105"/>
        </w:rPr>
        <w:t> </w:t>
      </w:r>
      <w:r>
        <w:rPr>
          <w:color w:val="231F20"/>
          <w:w w:val="105"/>
        </w:rPr>
        <w:t>con</w:t>
      </w:r>
      <w:r>
        <w:rPr>
          <w:color w:val="231F20"/>
          <w:spacing w:val="-25"/>
          <w:w w:val="105"/>
        </w:rPr>
        <w:t> </w:t>
      </w:r>
      <w:r>
        <w:rPr>
          <w:color w:val="231F20"/>
          <w:w w:val="105"/>
        </w:rPr>
        <w:t>salarios</w:t>
      </w:r>
      <w:r>
        <w:rPr>
          <w:color w:val="231F20"/>
          <w:spacing w:val="-25"/>
          <w:w w:val="105"/>
        </w:rPr>
        <w:t> </w:t>
      </w:r>
      <w:r>
        <w:rPr>
          <w:color w:val="231F20"/>
          <w:spacing w:val="-3"/>
          <w:w w:val="105"/>
        </w:rPr>
        <w:t>relativamen-</w:t>
      </w:r>
      <w:r>
        <w:rPr>
          <w:color w:val="231F20"/>
          <w:w w:val="96"/>
        </w:rPr>
        <w:t> </w:t>
      </w:r>
      <w:r>
        <w:rPr>
          <w:color w:val="231F20"/>
          <w:w w:val="105"/>
        </w:rPr>
        <w:t>te</w:t>
      </w:r>
      <w:r>
        <w:rPr>
          <w:color w:val="231F20"/>
          <w:spacing w:val="-21"/>
          <w:w w:val="105"/>
        </w:rPr>
        <w:t> </w:t>
      </w:r>
      <w:r>
        <w:rPr>
          <w:color w:val="231F20"/>
          <w:w w:val="105"/>
        </w:rPr>
        <w:t>elevados,</w:t>
      </w:r>
      <w:r>
        <w:rPr>
          <w:color w:val="231F20"/>
          <w:spacing w:val="-26"/>
          <w:w w:val="105"/>
        </w:rPr>
        <w:t> </w:t>
      </w:r>
      <w:r>
        <w:rPr>
          <w:color w:val="231F20"/>
          <w:w w:val="105"/>
        </w:rPr>
        <w:t>buenas</w:t>
      </w:r>
      <w:r>
        <w:rPr>
          <w:color w:val="231F20"/>
          <w:spacing w:val="-21"/>
          <w:w w:val="105"/>
        </w:rPr>
        <w:t> </w:t>
      </w:r>
      <w:r>
        <w:rPr>
          <w:color w:val="231F20"/>
          <w:w w:val="105"/>
        </w:rPr>
        <w:t>condiciones</w:t>
      </w:r>
      <w:r>
        <w:rPr>
          <w:color w:val="231F20"/>
          <w:spacing w:val="-21"/>
          <w:w w:val="105"/>
        </w:rPr>
        <w:t> </w:t>
      </w:r>
      <w:r>
        <w:rPr>
          <w:color w:val="231F20"/>
          <w:w w:val="105"/>
        </w:rPr>
        <w:t>de</w:t>
      </w:r>
      <w:r>
        <w:rPr>
          <w:color w:val="231F20"/>
          <w:spacing w:val="-21"/>
          <w:w w:val="105"/>
        </w:rPr>
        <w:t> </w:t>
      </w:r>
      <w:r>
        <w:rPr>
          <w:color w:val="231F20"/>
          <w:spacing w:val="-3"/>
          <w:w w:val="105"/>
        </w:rPr>
        <w:t>trabajo,</w:t>
      </w:r>
      <w:r>
        <w:rPr>
          <w:color w:val="231F20"/>
          <w:spacing w:val="-26"/>
          <w:w w:val="105"/>
        </w:rPr>
        <w:t> </w:t>
      </w:r>
      <w:r>
        <w:rPr>
          <w:color w:val="231F20"/>
          <w:w w:val="105"/>
        </w:rPr>
        <w:t>posibilidades</w:t>
      </w:r>
      <w:r>
        <w:rPr>
          <w:color w:val="231F20"/>
          <w:spacing w:val="-21"/>
          <w:w w:val="105"/>
        </w:rPr>
        <w:t> </w:t>
      </w:r>
      <w:r>
        <w:rPr>
          <w:color w:val="231F20"/>
          <w:w w:val="105"/>
        </w:rPr>
        <w:t>de</w:t>
      </w:r>
      <w:r>
        <w:rPr>
          <w:color w:val="231F20"/>
          <w:spacing w:val="-21"/>
          <w:w w:val="105"/>
        </w:rPr>
        <w:t> </w:t>
      </w:r>
      <w:r>
        <w:rPr>
          <w:color w:val="231F20"/>
          <w:spacing w:val="-3"/>
          <w:w w:val="105"/>
        </w:rPr>
        <w:t>promoción,</w:t>
      </w:r>
      <w:r>
        <w:rPr>
          <w:color w:val="231F20"/>
          <w:spacing w:val="-2"/>
          <w:w w:val="106"/>
        </w:rPr>
        <w:t> </w:t>
      </w:r>
      <w:r>
        <w:rPr>
          <w:color w:val="231F20"/>
          <w:w w:val="105"/>
        </w:rPr>
        <w:t>equidad, </w:t>
      </w:r>
      <w:r>
        <w:rPr>
          <w:color w:val="231F20"/>
          <w:spacing w:val="-3"/>
          <w:w w:val="105"/>
        </w:rPr>
        <w:t>procedimientos administrativos </w:t>
      </w:r>
      <w:r>
        <w:rPr>
          <w:color w:val="231F20"/>
          <w:w w:val="105"/>
        </w:rPr>
        <w:t>establecidos y</w:t>
      </w:r>
      <w:r>
        <w:rPr>
          <w:color w:val="231F20"/>
          <w:spacing w:val="52"/>
          <w:w w:val="105"/>
        </w:rPr>
        <w:t> </w:t>
      </w:r>
      <w:r>
        <w:rPr>
          <w:color w:val="231F20"/>
          <w:w w:val="105"/>
        </w:rPr>
        <w:t>estabilidad</w:t>
      </w:r>
      <w:r>
        <w:rPr>
          <w:color w:val="231F20"/>
          <w:spacing w:val="22"/>
          <w:w w:val="105"/>
        </w:rPr>
        <w:t> </w:t>
      </w:r>
      <w:r>
        <w:rPr>
          <w:color w:val="231F20"/>
          <w:w w:val="105"/>
        </w:rPr>
        <w:t>de</w:t>
      </w:r>
      <w:r>
        <w:rPr>
          <w:color w:val="231F20"/>
          <w:spacing w:val="-2"/>
          <w:w w:val="108"/>
        </w:rPr>
        <w:t> </w:t>
      </w:r>
      <w:r>
        <w:rPr>
          <w:color w:val="231F20"/>
          <w:w w:val="105"/>
        </w:rPr>
        <w:t>empleo.</w:t>
      </w:r>
      <w:r>
        <w:rPr>
          <w:color w:val="231F20"/>
          <w:spacing w:val="-37"/>
          <w:w w:val="105"/>
        </w:rPr>
        <w:t> </w:t>
      </w:r>
      <w:r>
        <w:rPr>
          <w:color w:val="231F20"/>
          <w:w w:val="105"/>
        </w:rPr>
        <w:t>En</w:t>
      </w:r>
      <w:r>
        <w:rPr>
          <w:color w:val="231F20"/>
          <w:spacing w:val="-33"/>
          <w:w w:val="105"/>
        </w:rPr>
        <w:t> </w:t>
      </w:r>
      <w:r>
        <w:rPr>
          <w:color w:val="231F20"/>
          <w:w w:val="105"/>
        </w:rPr>
        <w:t>el</w:t>
      </w:r>
      <w:r>
        <w:rPr>
          <w:color w:val="231F20"/>
          <w:spacing w:val="-33"/>
          <w:w w:val="105"/>
        </w:rPr>
        <w:t> </w:t>
      </w:r>
      <w:r>
        <w:rPr>
          <w:color w:val="231F20"/>
          <w:w w:val="105"/>
        </w:rPr>
        <w:t>sector</w:t>
      </w:r>
      <w:r>
        <w:rPr>
          <w:color w:val="231F20"/>
          <w:spacing w:val="-33"/>
          <w:w w:val="105"/>
        </w:rPr>
        <w:t> </w:t>
      </w:r>
      <w:r>
        <w:rPr>
          <w:color w:val="231F20"/>
          <w:w w:val="105"/>
        </w:rPr>
        <w:t>secundario</w:t>
      </w:r>
      <w:r>
        <w:rPr>
          <w:color w:val="231F20"/>
          <w:spacing w:val="-33"/>
          <w:w w:val="105"/>
        </w:rPr>
        <w:t> </w:t>
      </w:r>
      <w:r>
        <w:rPr>
          <w:color w:val="231F20"/>
          <w:w w:val="105"/>
        </w:rPr>
        <w:t>los</w:t>
      </w:r>
      <w:r>
        <w:rPr>
          <w:color w:val="231F20"/>
          <w:spacing w:val="-33"/>
          <w:w w:val="105"/>
        </w:rPr>
        <w:t> </w:t>
      </w:r>
      <w:r>
        <w:rPr>
          <w:color w:val="231F20"/>
          <w:w w:val="105"/>
        </w:rPr>
        <w:t>puestos</w:t>
      </w:r>
      <w:r>
        <w:rPr>
          <w:color w:val="231F20"/>
          <w:spacing w:val="-33"/>
          <w:w w:val="105"/>
        </w:rPr>
        <w:t> </w:t>
      </w:r>
      <w:r>
        <w:rPr>
          <w:color w:val="231F20"/>
          <w:w w:val="105"/>
        </w:rPr>
        <w:t>tienden</w:t>
      </w:r>
      <w:r>
        <w:rPr>
          <w:color w:val="231F20"/>
          <w:spacing w:val="-33"/>
          <w:w w:val="105"/>
        </w:rPr>
        <w:t> </w:t>
      </w:r>
      <w:r>
        <w:rPr>
          <w:color w:val="231F20"/>
          <w:w w:val="105"/>
        </w:rPr>
        <w:t>a</w:t>
      </w:r>
      <w:r>
        <w:rPr>
          <w:color w:val="231F20"/>
          <w:spacing w:val="-33"/>
          <w:w w:val="105"/>
        </w:rPr>
        <w:t> </w:t>
      </w:r>
      <w:r>
        <w:rPr>
          <w:color w:val="231F20"/>
          <w:w w:val="105"/>
        </w:rPr>
        <w:t>estar</w:t>
      </w:r>
      <w:r>
        <w:rPr>
          <w:color w:val="231F20"/>
          <w:spacing w:val="-33"/>
          <w:w w:val="105"/>
        </w:rPr>
        <w:t> </w:t>
      </w:r>
      <w:r>
        <w:rPr>
          <w:color w:val="231F20"/>
          <w:w w:val="105"/>
        </w:rPr>
        <w:t>mal</w:t>
      </w:r>
      <w:r>
        <w:rPr>
          <w:color w:val="231F20"/>
          <w:spacing w:val="-33"/>
          <w:w w:val="105"/>
        </w:rPr>
        <w:t> </w:t>
      </w:r>
      <w:r>
        <w:rPr>
          <w:color w:val="231F20"/>
          <w:w w:val="105"/>
        </w:rPr>
        <w:t>pagados,</w:t>
      </w:r>
      <w:r>
        <w:rPr>
          <w:color w:val="231F20"/>
          <w:spacing w:val="-2"/>
          <w:w w:val="104"/>
        </w:rPr>
        <w:t> </w:t>
      </w:r>
      <w:r>
        <w:rPr>
          <w:color w:val="231F20"/>
          <w:w w:val="105"/>
        </w:rPr>
        <w:t>a tener </w:t>
      </w:r>
      <w:r>
        <w:rPr>
          <w:color w:val="231F20"/>
          <w:spacing w:val="-3"/>
          <w:w w:val="105"/>
        </w:rPr>
        <w:t>peores </w:t>
      </w:r>
      <w:r>
        <w:rPr>
          <w:color w:val="231F20"/>
          <w:w w:val="105"/>
        </w:rPr>
        <w:t>condiciones de trabajo y pocas posibilidades</w:t>
      </w:r>
      <w:r>
        <w:rPr>
          <w:color w:val="231F20"/>
          <w:spacing w:val="-10"/>
          <w:w w:val="105"/>
        </w:rPr>
        <w:t> </w:t>
      </w:r>
      <w:r>
        <w:rPr>
          <w:color w:val="231F20"/>
          <w:w w:val="105"/>
        </w:rPr>
        <w:t>de</w:t>
      </w:r>
      <w:r>
        <w:rPr>
          <w:color w:val="231F20"/>
          <w:spacing w:val="-2"/>
          <w:w w:val="105"/>
        </w:rPr>
        <w:t> </w:t>
      </w:r>
      <w:r>
        <w:rPr>
          <w:color w:val="231F20"/>
          <w:spacing w:val="-3"/>
          <w:w w:val="105"/>
        </w:rPr>
        <w:t>promo-</w:t>
      </w:r>
      <w:r>
        <w:rPr>
          <w:color w:val="231F20"/>
          <w:w w:val="96"/>
        </w:rPr>
        <w:t> </w:t>
      </w:r>
      <w:r>
        <w:rPr>
          <w:color w:val="231F20"/>
          <w:w w:val="105"/>
        </w:rPr>
        <w:t>ción;</w:t>
      </w:r>
      <w:r>
        <w:rPr>
          <w:color w:val="231F20"/>
          <w:spacing w:val="-24"/>
          <w:w w:val="105"/>
        </w:rPr>
        <w:t> </w:t>
      </w:r>
      <w:r>
        <w:rPr>
          <w:color w:val="231F20"/>
          <w:w w:val="105"/>
        </w:rPr>
        <w:t>tienden</w:t>
      </w:r>
      <w:r>
        <w:rPr>
          <w:color w:val="231F20"/>
          <w:spacing w:val="-24"/>
          <w:w w:val="105"/>
        </w:rPr>
        <w:t> </w:t>
      </w:r>
      <w:r>
        <w:rPr>
          <w:color w:val="231F20"/>
          <w:w w:val="105"/>
        </w:rPr>
        <w:t>a</w:t>
      </w:r>
      <w:r>
        <w:rPr>
          <w:color w:val="231F20"/>
          <w:spacing w:val="-24"/>
          <w:w w:val="105"/>
        </w:rPr>
        <w:t> </w:t>
      </w:r>
      <w:r>
        <w:rPr>
          <w:color w:val="231F20"/>
          <w:w w:val="105"/>
        </w:rPr>
        <w:t>una</w:t>
      </w:r>
      <w:r>
        <w:rPr>
          <w:color w:val="231F20"/>
          <w:spacing w:val="-24"/>
          <w:w w:val="105"/>
        </w:rPr>
        <w:t> </w:t>
      </w:r>
      <w:r>
        <w:rPr>
          <w:color w:val="231F20"/>
          <w:spacing w:val="-3"/>
          <w:w w:val="105"/>
        </w:rPr>
        <w:t>relación</w:t>
      </w:r>
      <w:r>
        <w:rPr>
          <w:color w:val="231F20"/>
          <w:spacing w:val="-24"/>
          <w:w w:val="105"/>
        </w:rPr>
        <w:t> </w:t>
      </w:r>
      <w:r>
        <w:rPr>
          <w:color w:val="231F20"/>
          <w:w w:val="105"/>
        </w:rPr>
        <w:t>personalizada</w:t>
      </w:r>
      <w:r>
        <w:rPr>
          <w:color w:val="231F20"/>
          <w:spacing w:val="-24"/>
          <w:w w:val="105"/>
        </w:rPr>
        <w:t> </w:t>
      </w:r>
      <w:r>
        <w:rPr>
          <w:color w:val="231F20"/>
          <w:spacing w:val="-3"/>
          <w:w w:val="105"/>
        </w:rPr>
        <w:t>entre</w:t>
      </w:r>
      <w:r>
        <w:rPr>
          <w:color w:val="231F20"/>
          <w:spacing w:val="-24"/>
          <w:w w:val="105"/>
        </w:rPr>
        <w:t> </w:t>
      </w:r>
      <w:r>
        <w:rPr>
          <w:color w:val="231F20"/>
          <w:w w:val="105"/>
        </w:rPr>
        <w:t>los</w:t>
      </w:r>
      <w:r>
        <w:rPr>
          <w:color w:val="231F20"/>
          <w:spacing w:val="-24"/>
          <w:w w:val="105"/>
        </w:rPr>
        <w:t> </w:t>
      </w:r>
      <w:r>
        <w:rPr>
          <w:color w:val="231F20"/>
          <w:spacing w:val="-3"/>
          <w:w w:val="105"/>
        </w:rPr>
        <w:t>trabajadores</w:t>
      </w:r>
      <w:r>
        <w:rPr>
          <w:color w:val="231F20"/>
          <w:spacing w:val="-24"/>
          <w:w w:val="105"/>
        </w:rPr>
        <w:t> </w:t>
      </w:r>
      <w:r>
        <w:rPr>
          <w:color w:val="231F20"/>
          <w:w w:val="105"/>
        </w:rPr>
        <w:t>y</w:t>
      </w:r>
      <w:r>
        <w:rPr>
          <w:color w:val="231F20"/>
          <w:spacing w:val="-24"/>
          <w:w w:val="105"/>
        </w:rPr>
        <w:t> </w:t>
      </w:r>
      <w:r>
        <w:rPr>
          <w:color w:val="231F20"/>
          <w:w w:val="105"/>
        </w:rPr>
        <w:t>los</w:t>
      </w:r>
      <w:r>
        <w:rPr>
          <w:color w:val="231F20"/>
          <w:spacing w:val="-24"/>
          <w:w w:val="105"/>
        </w:rPr>
        <w:t> </w:t>
      </w:r>
      <w:r>
        <w:rPr>
          <w:color w:val="231F20"/>
          <w:w w:val="105"/>
        </w:rPr>
        <w:t>su-</w:t>
      </w:r>
      <w:r>
        <w:rPr>
          <w:color w:val="231F20"/>
          <w:w w:val="96"/>
        </w:rPr>
        <w:t> </w:t>
      </w:r>
      <w:r>
        <w:rPr>
          <w:color w:val="231F20"/>
          <w:spacing w:val="-3"/>
          <w:w w:val="105"/>
        </w:rPr>
        <w:t>pervisores</w:t>
      </w:r>
      <w:r>
        <w:rPr>
          <w:color w:val="231F20"/>
          <w:spacing w:val="-23"/>
          <w:w w:val="105"/>
        </w:rPr>
        <w:t> </w:t>
      </w:r>
      <w:r>
        <w:rPr>
          <w:color w:val="231F20"/>
          <w:w w:val="105"/>
        </w:rPr>
        <w:t>lo</w:t>
      </w:r>
      <w:r>
        <w:rPr>
          <w:color w:val="231F20"/>
          <w:spacing w:val="-23"/>
          <w:w w:val="105"/>
        </w:rPr>
        <w:t> </w:t>
      </w:r>
      <w:r>
        <w:rPr>
          <w:color w:val="231F20"/>
          <w:w w:val="105"/>
        </w:rPr>
        <w:t>que</w:t>
      </w:r>
      <w:r>
        <w:rPr>
          <w:color w:val="231F20"/>
          <w:spacing w:val="-23"/>
          <w:w w:val="105"/>
        </w:rPr>
        <w:t> </w:t>
      </w:r>
      <w:r>
        <w:rPr>
          <w:color w:val="231F20"/>
          <w:w w:val="105"/>
        </w:rPr>
        <w:t>puede</w:t>
      </w:r>
      <w:r>
        <w:rPr>
          <w:color w:val="231F20"/>
          <w:spacing w:val="-23"/>
          <w:w w:val="105"/>
        </w:rPr>
        <w:t> </w:t>
      </w:r>
      <w:r>
        <w:rPr>
          <w:color w:val="231F20"/>
          <w:w w:val="105"/>
        </w:rPr>
        <w:t>ocasionar</w:t>
      </w:r>
      <w:r>
        <w:rPr>
          <w:color w:val="231F20"/>
          <w:spacing w:val="-23"/>
          <w:w w:val="105"/>
        </w:rPr>
        <w:t> </w:t>
      </w:r>
      <w:r>
        <w:rPr>
          <w:color w:val="231F20"/>
          <w:w w:val="105"/>
        </w:rPr>
        <w:t>favoritismo</w:t>
      </w:r>
      <w:r>
        <w:rPr>
          <w:color w:val="231F20"/>
          <w:spacing w:val="-23"/>
          <w:w w:val="105"/>
        </w:rPr>
        <w:t> </w:t>
      </w:r>
      <w:r>
        <w:rPr>
          <w:color w:val="231F20"/>
          <w:w w:val="105"/>
        </w:rPr>
        <w:t>y</w:t>
      </w:r>
      <w:r>
        <w:rPr>
          <w:color w:val="231F20"/>
          <w:spacing w:val="-23"/>
          <w:w w:val="105"/>
        </w:rPr>
        <w:t> </w:t>
      </w:r>
      <w:r>
        <w:rPr>
          <w:color w:val="231F20"/>
          <w:w w:val="105"/>
        </w:rPr>
        <w:t>como</w:t>
      </w:r>
      <w:r>
        <w:rPr>
          <w:color w:val="231F20"/>
          <w:spacing w:val="-23"/>
          <w:w w:val="105"/>
        </w:rPr>
        <w:t> </w:t>
      </w:r>
      <w:r>
        <w:rPr>
          <w:color w:val="231F20"/>
          <w:w w:val="105"/>
        </w:rPr>
        <w:t>consecuencia</w:t>
      </w:r>
      <w:r>
        <w:rPr>
          <w:color w:val="231F20"/>
          <w:spacing w:val="-23"/>
          <w:w w:val="105"/>
        </w:rPr>
        <w:t> </w:t>
      </w:r>
      <w:r>
        <w:rPr>
          <w:color w:val="231F20"/>
          <w:spacing w:val="-2"/>
          <w:w w:val="105"/>
        </w:rPr>
        <w:t>una</w:t>
      </w:r>
      <w:r>
        <w:rPr>
          <w:color w:val="231F20"/>
          <w:spacing w:val="-2"/>
          <w:w w:val="101"/>
        </w:rPr>
        <w:t> </w:t>
      </w:r>
      <w:r>
        <w:rPr>
          <w:color w:val="231F20"/>
          <w:w w:val="105"/>
        </w:rPr>
        <w:t>disciplina</w:t>
      </w:r>
      <w:r>
        <w:rPr>
          <w:color w:val="231F20"/>
          <w:spacing w:val="-26"/>
          <w:w w:val="105"/>
        </w:rPr>
        <w:t> </w:t>
      </w:r>
      <w:r>
        <w:rPr>
          <w:color w:val="231F20"/>
          <w:w w:val="105"/>
        </w:rPr>
        <w:t>laboral</w:t>
      </w:r>
      <w:r>
        <w:rPr>
          <w:color w:val="231F20"/>
          <w:spacing w:val="-26"/>
          <w:w w:val="105"/>
        </w:rPr>
        <w:t> </w:t>
      </w:r>
      <w:r>
        <w:rPr>
          <w:color w:val="231F20"/>
          <w:w w:val="105"/>
        </w:rPr>
        <w:t>dura</w:t>
      </w:r>
      <w:r>
        <w:rPr>
          <w:color w:val="231F20"/>
          <w:spacing w:val="-26"/>
          <w:w w:val="105"/>
        </w:rPr>
        <w:t> </w:t>
      </w:r>
      <w:r>
        <w:rPr>
          <w:color w:val="231F20"/>
          <w:w w:val="105"/>
        </w:rPr>
        <w:t>y</w:t>
      </w:r>
      <w:r>
        <w:rPr>
          <w:color w:val="231F20"/>
          <w:spacing w:val="-26"/>
          <w:w w:val="105"/>
        </w:rPr>
        <w:t> </w:t>
      </w:r>
      <w:r>
        <w:rPr>
          <w:color w:val="231F20"/>
          <w:w w:val="105"/>
        </w:rPr>
        <w:t>caprichosa,</w:t>
      </w:r>
      <w:r>
        <w:rPr>
          <w:color w:val="231F20"/>
          <w:spacing w:val="-31"/>
          <w:w w:val="105"/>
        </w:rPr>
        <w:t> </w:t>
      </w:r>
      <w:r>
        <w:rPr>
          <w:color w:val="231F20"/>
          <w:w w:val="105"/>
        </w:rPr>
        <w:t>además</w:t>
      </w:r>
      <w:r>
        <w:rPr>
          <w:color w:val="231F20"/>
          <w:spacing w:val="-26"/>
          <w:w w:val="105"/>
        </w:rPr>
        <w:t> </w:t>
      </w:r>
      <w:r>
        <w:rPr>
          <w:color w:val="231F20"/>
          <w:w w:val="105"/>
        </w:rPr>
        <w:t>de</w:t>
      </w:r>
      <w:r>
        <w:rPr>
          <w:color w:val="231F20"/>
          <w:spacing w:val="-26"/>
          <w:w w:val="105"/>
        </w:rPr>
        <w:t> </w:t>
      </w:r>
      <w:r>
        <w:rPr>
          <w:color w:val="231F20"/>
          <w:w w:val="105"/>
        </w:rPr>
        <w:t>inestabilidad</w:t>
      </w:r>
      <w:r>
        <w:rPr>
          <w:color w:val="231F20"/>
          <w:spacing w:val="-26"/>
          <w:w w:val="105"/>
        </w:rPr>
        <w:t> </w:t>
      </w:r>
      <w:r>
        <w:rPr>
          <w:color w:val="231F20"/>
          <w:w w:val="105"/>
        </w:rPr>
        <w:t>de</w:t>
      </w:r>
      <w:r>
        <w:rPr>
          <w:color w:val="231F20"/>
          <w:spacing w:val="-26"/>
          <w:w w:val="105"/>
        </w:rPr>
        <w:t> </w:t>
      </w:r>
      <w:r>
        <w:rPr>
          <w:color w:val="231F20"/>
          <w:w w:val="105"/>
        </w:rPr>
        <w:t>empleo.</w:t>
      </w:r>
      <w:r>
        <w:rPr>
          <w:color w:val="231F20"/>
          <w:w w:val="93"/>
        </w:rPr>
        <w:t> </w:t>
      </w:r>
      <w:r>
        <w:rPr>
          <w:color w:val="231F20"/>
          <w:w w:val="105"/>
        </w:rPr>
        <w:t>A</w:t>
      </w:r>
      <w:r>
        <w:rPr>
          <w:color w:val="231F20"/>
          <w:spacing w:val="-19"/>
          <w:w w:val="105"/>
        </w:rPr>
        <w:t> </w:t>
      </w:r>
      <w:r>
        <w:rPr>
          <w:color w:val="231F20"/>
          <w:w w:val="105"/>
        </w:rPr>
        <w:t>la</w:t>
      </w:r>
      <w:r>
        <w:rPr>
          <w:color w:val="231F20"/>
          <w:spacing w:val="-15"/>
          <w:w w:val="105"/>
        </w:rPr>
        <w:t> </w:t>
      </w:r>
      <w:r>
        <w:rPr>
          <w:color w:val="231F20"/>
          <w:spacing w:val="-3"/>
          <w:w w:val="105"/>
        </w:rPr>
        <w:t>segunda</w:t>
      </w:r>
      <w:r>
        <w:rPr>
          <w:color w:val="231F20"/>
          <w:spacing w:val="-15"/>
          <w:w w:val="105"/>
        </w:rPr>
        <w:t> </w:t>
      </w:r>
      <w:r>
        <w:rPr>
          <w:color w:val="231F20"/>
          <w:spacing w:val="-3"/>
          <w:w w:val="105"/>
        </w:rPr>
        <w:t>generación</w:t>
      </w:r>
      <w:r>
        <w:rPr>
          <w:color w:val="231F20"/>
          <w:spacing w:val="-15"/>
          <w:w w:val="105"/>
        </w:rPr>
        <w:t> </w:t>
      </w:r>
      <w:r>
        <w:rPr>
          <w:color w:val="231F20"/>
          <w:spacing w:val="-3"/>
          <w:w w:val="105"/>
        </w:rPr>
        <w:t>basada</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spacing w:val="-3"/>
          <w:w w:val="105"/>
        </w:rPr>
        <w:t>principios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primera</w:t>
      </w:r>
      <w:r>
        <w:rPr>
          <w:color w:val="231F20"/>
          <w:spacing w:val="-15"/>
          <w:w w:val="105"/>
        </w:rPr>
        <w:t> </w:t>
      </w:r>
      <w:r>
        <w:rPr>
          <w:color w:val="231F20"/>
          <w:w w:val="105"/>
        </w:rPr>
        <w:t>ge-</w:t>
      </w:r>
      <w:r>
        <w:rPr>
          <w:color w:val="231F20"/>
          <w:w w:val="96"/>
        </w:rPr>
        <w:t> </w:t>
      </w:r>
      <w:r>
        <w:rPr>
          <w:color w:val="231F20"/>
          <w:spacing w:val="-3"/>
          <w:w w:val="105"/>
        </w:rPr>
        <w:t>neración,</w:t>
      </w:r>
      <w:r>
        <w:rPr>
          <w:color w:val="231F20"/>
          <w:spacing w:val="-23"/>
          <w:w w:val="105"/>
        </w:rPr>
        <w:t> </w:t>
      </w:r>
      <w:r>
        <w:rPr>
          <w:color w:val="231F20"/>
          <w:w w:val="105"/>
        </w:rPr>
        <w:t>se</w:t>
      </w:r>
      <w:r>
        <w:rPr>
          <w:color w:val="231F20"/>
          <w:spacing w:val="-16"/>
          <w:w w:val="105"/>
        </w:rPr>
        <w:t> </w:t>
      </w:r>
      <w:r>
        <w:rPr>
          <w:color w:val="231F20"/>
          <w:w w:val="105"/>
        </w:rPr>
        <w:t>le</w:t>
      </w:r>
      <w:r>
        <w:rPr>
          <w:color w:val="231F20"/>
          <w:spacing w:val="-16"/>
          <w:w w:val="105"/>
        </w:rPr>
        <w:t> </w:t>
      </w:r>
      <w:r>
        <w:rPr>
          <w:color w:val="231F20"/>
          <w:spacing w:val="-3"/>
          <w:w w:val="105"/>
        </w:rPr>
        <w:t>llamada</w:t>
      </w:r>
      <w:r>
        <w:rPr>
          <w:color w:val="231F20"/>
          <w:spacing w:val="-16"/>
          <w:w w:val="105"/>
        </w:rPr>
        <w:t> </w:t>
      </w:r>
      <w:r>
        <w:rPr>
          <w:color w:val="231F20"/>
          <w:spacing w:val="-3"/>
          <w:w w:val="105"/>
        </w:rPr>
        <w:t>radical</w:t>
      </w:r>
      <w:r>
        <w:rPr>
          <w:color w:val="231F20"/>
          <w:spacing w:val="-16"/>
          <w:w w:val="105"/>
        </w:rPr>
        <w:t> </w:t>
      </w:r>
      <w:r>
        <w:rPr>
          <w:color w:val="231F20"/>
          <w:spacing w:val="-3"/>
          <w:w w:val="105"/>
        </w:rPr>
        <w:t>porque</w:t>
      </w:r>
      <w:r>
        <w:rPr>
          <w:color w:val="231F20"/>
          <w:spacing w:val="-16"/>
          <w:w w:val="105"/>
        </w:rPr>
        <w:t> </w:t>
      </w:r>
      <w:r>
        <w:rPr>
          <w:color w:val="231F20"/>
          <w:spacing w:val="-3"/>
          <w:w w:val="105"/>
        </w:rPr>
        <w:t>propone</w:t>
      </w:r>
      <w:r>
        <w:rPr>
          <w:color w:val="231F20"/>
          <w:spacing w:val="-16"/>
          <w:w w:val="105"/>
        </w:rPr>
        <w:t> </w:t>
      </w:r>
      <w:r>
        <w:rPr>
          <w:color w:val="231F20"/>
          <w:w w:val="105"/>
        </w:rPr>
        <w:t>una</w:t>
      </w:r>
      <w:r>
        <w:rPr>
          <w:color w:val="231F20"/>
          <w:spacing w:val="-16"/>
          <w:w w:val="105"/>
        </w:rPr>
        <w:t> </w:t>
      </w:r>
      <w:r>
        <w:rPr>
          <w:color w:val="231F20"/>
          <w:spacing w:val="-3"/>
          <w:w w:val="105"/>
        </w:rPr>
        <w:t>división</w:t>
      </w:r>
      <w:r>
        <w:rPr>
          <w:color w:val="231F20"/>
          <w:spacing w:val="-16"/>
          <w:w w:val="105"/>
        </w:rPr>
        <w:t> </w:t>
      </w:r>
      <w:r>
        <w:rPr>
          <w:color w:val="231F20"/>
          <w:w w:val="105"/>
        </w:rPr>
        <w:t>más</w:t>
      </w:r>
      <w:r>
        <w:rPr>
          <w:color w:val="231F20"/>
          <w:spacing w:val="-16"/>
          <w:w w:val="105"/>
        </w:rPr>
        <w:t> </w:t>
      </w:r>
      <w:r>
        <w:rPr>
          <w:color w:val="231F20"/>
          <w:spacing w:val="-3"/>
          <w:w w:val="105"/>
        </w:rPr>
        <w:t>específi-</w:t>
      </w:r>
      <w:r>
        <w:rPr>
          <w:color w:val="231F20"/>
          <w:w w:val="96"/>
        </w:rPr>
        <w:t> </w:t>
      </w:r>
      <w:r>
        <w:rPr>
          <w:color w:val="231F20"/>
          <w:w w:val="105"/>
        </w:rPr>
        <w:t>ca:</w:t>
      </w:r>
      <w:r>
        <w:rPr>
          <w:color w:val="231F20"/>
          <w:spacing w:val="-24"/>
          <w:w w:val="105"/>
        </w:rPr>
        <w:t> </w:t>
      </w:r>
      <w:r>
        <w:rPr>
          <w:color w:val="231F20"/>
          <w:w w:val="105"/>
        </w:rPr>
        <w:t>el</w:t>
      </w:r>
      <w:r>
        <w:rPr>
          <w:color w:val="231F20"/>
          <w:spacing w:val="-24"/>
          <w:w w:val="105"/>
        </w:rPr>
        <w:t> </w:t>
      </w:r>
      <w:r>
        <w:rPr>
          <w:color w:val="231F20"/>
          <w:spacing w:val="-3"/>
          <w:w w:val="105"/>
        </w:rPr>
        <w:t>sector</w:t>
      </w:r>
      <w:r>
        <w:rPr>
          <w:color w:val="231F20"/>
          <w:spacing w:val="-24"/>
          <w:w w:val="105"/>
        </w:rPr>
        <w:t> </w:t>
      </w:r>
      <w:r>
        <w:rPr>
          <w:color w:val="231F20"/>
          <w:spacing w:val="-3"/>
          <w:w w:val="105"/>
        </w:rPr>
        <w:t>primario</w:t>
      </w:r>
      <w:r>
        <w:rPr>
          <w:color w:val="231F20"/>
          <w:spacing w:val="-24"/>
          <w:w w:val="105"/>
        </w:rPr>
        <w:t> </w:t>
      </w:r>
      <w:r>
        <w:rPr>
          <w:color w:val="231F20"/>
          <w:spacing w:val="-3"/>
          <w:w w:val="105"/>
        </w:rPr>
        <w:t>está</w:t>
      </w:r>
      <w:r>
        <w:rPr>
          <w:color w:val="231F20"/>
          <w:spacing w:val="-24"/>
          <w:w w:val="105"/>
        </w:rPr>
        <w:t> </w:t>
      </w:r>
      <w:r>
        <w:rPr>
          <w:color w:val="231F20"/>
          <w:spacing w:val="-3"/>
          <w:w w:val="105"/>
        </w:rPr>
        <w:t>conformado</w:t>
      </w:r>
      <w:r>
        <w:rPr>
          <w:color w:val="231F20"/>
          <w:spacing w:val="-24"/>
          <w:w w:val="105"/>
        </w:rPr>
        <w:t> </w:t>
      </w:r>
      <w:r>
        <w:rPr>
          <w:color w:val="231F20"/>
          <w:w w:val="105"/>
        </w:rPr>
        <w:t>por</w:t>
      </w:r>
      <w:r>
        <w:rPr>
          <w:color w:val="231F20"/>
          <w:spacing w:val="-24"/>
          <w:w w:val="105"/>
        </w:rPr>
        <w:t> </w:t>
      </w:r>
      <w:r>
        <w:rPr>
          <w:color w:val="231F20"/>
          <w:w w:val="105"/>
        </w:rPr>
        <w:t>los</w:t>
      </w:r>
      <w:r>
        <w:rPr>
          <w:color w:val="231F20"/>
          <w:spacing w:val="-24"/>
          <w:w w:val="105"/>
        </w:rPr>
        <w:t> </w:t>
      </w:r>
      <w:r>
        <w:rPr>
          <w:color w:val="231F20"/>
          <w:spacing w:val="-3"/>
          <w:w w:val="105"/>
        </w:rPr>
        <w:t>empleos</w:t>
      </w:r>
      <w:r>
        <w:rPr>
          <w:color w:val="231F20"/>
          <w:spacing w:val="-24"/>
          <w:w w:val="105"/>
        </w:rPr>
        <w:t> </w:t>
      </w:r>
      <w:r>
        <w:rPr>
          <w:color w:val="231F20"/>
          <w:spacing w:val="-3"/>
          <w:w w:val="105"/>
        </w:rPr>
        <w:t>subordinados</w:t>
      </w:r>
      <w:r>
        <w:rPr>
          <w:color w:val="231F20"/>
          <w:spacing w:val="-24"/>
          <w:w w:val="105"/>
        </w:rPr>
        <w:t> </w:t>
      </w:r>
      <w:r>
        <w:rPr>
          <w:color w:val="231F20"/>
          <w:w w:val="105"/>
        </w:rPr>
        <w:t>y</w:t>
      </w:r>
      <w:r>
        <w:rPr>
          <w:color w:val="231F20"/>
          <w:spacing w:val="-24"/>
          <w:w w:val="105"/>
        </w:rPr>
        <w:t> </w:t>
      </w:r>
      <w:r>
        <w:rPr>
          <w:color w:val="231F20"/>
          <w:spacing w:val="-3"/>
          <w:w w:val="105"/>
        </w:rPr>
        <w:t>los</w:t>
      </w:r>
      <w:r>
        <w:rPr>
          <w:color w:val="231F20"/>
          <w:spacing w:val="-3"/>
          <w:w w:val="102"/>
        </w:rPr>
        <w:t> </w:t>
      </w:r>
      <w:r>
        <w:rPr>
          <w:color w:val="231F20"/>
          <w:spacing w:val="-3"/>
          <w:w w:val="105"/>
        </w:rPr>
        <w:t>empleos</w:t>
      </w:r>
      <w:r>
        <w:rPr>
          <w:color w:val="231F20"/>
          <w:spacing w:val="-14"/>
          <w:w w:val="105"/>
        </w:rPr>
        <w:t> </w:t>
      </w:r>
      <w:r>
        <w:rPr>
          <w:color w:val="231F20"/>
          <w:spacing w:val="-3"/>
          <w:w w:val="105"/>
        </w:rPr>
        <w:t>independientes</w:t>
      </w:r>
      <w:r>
        <w:rPr>
          <w:color w:val="231F20"/>
          <w:spacing w:val="-14"/>
          <w:w w:val="105"/>
        </w:rPr>
        <w:t> </w:t>
      </w:r>
      <w:r>
        <w:rPr>
          <w:color w:val="231F20"/>
          <w:spacing w:val="-3"/>
          <w:w w:val="105"/>
        </w:rPr>
        <w:t>adicionando</w:t>
      </w:r>
      <w:r>
        <w:rPr>
          <w:color w:val="231F20"/>
          <w:spacing w:val="-14"/>
          <w:w w:val="105"/>
        </w:rPr>
        <w:t> </w:t>
      </w:r>
      <w:r>
        <w:rPr>
          <w:color w:val="231F20"/>
          <w:w w:val="105"/>
        </w:rPr>
        <w:t>la</w:t>
      </w:r>
      <w:r>
        <w:rPr>
          <w:color w:val="231F20"/>
          <w:spacing w:val="-14"/>
          <w:w w:val="105"/>
        </w:rPr>
        <w:t> </w:t>
      </w:r>
      <w:r>
        <w:rPr>
          <w:color w:val="231F20"/>
          <w:spacing w:val="-3"/>
          <w:w w:val="105"/>
        </w:rPr>
        <w:t>segmentación</w:t>
      </w:r>
      <w:r>
        <w:rPr>
          <w:color w:val="231F20"/>
          <w:spacing w:val="-14"/>
          <w:w w:val="105"/>
        </w:rPr>
        <w:t> </w:t>
      </w:r>
      <w:r>
        <w:rPr>
          <w:color w:val="231F20"/>
          <w:w w:val="105"/>
        </w:rPr>
        <w:t>por</w:t>
      </w:r>
      <w:r>
        <w:rPr>
          <w:color w:val="231F20"/>
          <w:spacing w:val="-14"/>
          <w:w w:val="105"/>
        </w:rPr>
        <w:t> </w:t>
      </w:r>
      <w:r>
        <w:rPr>
          <w:color w:val="231F20"/>
          <w:spacing w:val="-3"/>
          <w:w w:val="105"/>
        </w:rPr>
        <w:t>raza</w:t>
      </w:r>
      <w:r>
        <w:rPr>
          <w:color w:val="231F20"/>
          <w:spacing w:val="-14"/>
          <w:w w:val="105"/>
        </w:rPr>
        <w:t> </w:t>
      </w:r>
      <w:r>
        <w:rPr>
          <w:color w:val="231F20"/>
          <w:w w:val="105"/>
        </w:rPr>
        <w:t>y</w:t>
      </w:r>
      <w:r>
        <w:rPr>
          <w:color w:val="231F20"/>
          <w:spacing w:val="-14"/>
          <w:w w:val="105"/>
        </w:rPr>
        <w:t> </w:t>
      </w:r>
      <w:r>
        <w:rPr>
          <w:color w:val="231F20"/>
          <w:spacing w:val="-4"/>
          <w:w w:val="105"/>
        </w:rPr>
        <w:t>género.</w:t>
      </w:r>
    </w:p>
    <w:p>
      <w:pPr>
        <w:pStyle w:val="BodyText"/>
        <w:spacing w:line="259" w:lineRule="auto"/>
        <w:ind w:left="117" w:right="121" w:firstLine="567"/>
        <w:jc w:val="both"/>
      </w:pPr>
      <w:r>
        <w:rPr>
          <w:color w:val="231F20"/>
          <w:w w:val="105"/>
        </w:rPr>
        <w:t>La tercera generación, conocida como multicausal debido a que no</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factor</w:t>
      </w:r>
      <w:r>
        <w:rPr>
          <w:color w:val="231F20"/>
          <w:spacing w:val="-11"/>
          <w:w w:val="105"/>
        </w:rPr>
        <w:t> </w:t>
      </w:r>
      <w:r>
        <w:rPr>
          <w:color w:val="231F20"/>
          <w:w w:val="105"/>
        </w:rPr>
        <w:t>único</w:t>
      </w:r>
      <w:r>
        <w:rPr>
          <w:color w:val="231F20"/>
          <w:spacing w:val="-11"/>
          <w:w w:val="105"/>
        </w:rPr>
        <w:t> </w:t>
      </w:r>
      <w:r>
        <w:rPr>
          <w:color w:val="231F20"/>
          <w:w w:val="105"/>
        </w:rPr>
        <w:t>el</w:t>
      </w:r>
      <w:r>
        <w:rPr>
          <w:color w:val="231F20"/>
          <w:spacing w:val="-11"/>
          <w:w w:val="105"/>
        </w:rPr>
        <w:t> </w:t>
      </w:r>
      <w:r>
        <w:rPr>
          <w:color w:val="231F20"/>
          <w:w w:val="105"/>
        </w:rPr>
        <w:t>que</w:t>
      </w:r>
      <w:r>
        <w:rPr>
          <w:color w:val="231F20"/>
          <w:spacing w:val="-11"/>
          <w:w w:val="105"/>
        </w:rPr>
        <w:t> </w:t>
      </w:r>
      <w:r>
        <w:rPr>
          <w:color w:val="231F20"/>
          <w:w w:val="105"/>
        </w:rPr>
        <w:t>explica</w:t>
      </w:r>
      <w:r>
        <w:rPr>
          <w:color w:val="231F20"/>
          <w:spacing w:val="-11"/>
          <w:w w:val="105"/>
        </w:rPr>
        <w:t> </w:t>
      </w:r>
      <w:r>
        <w:rPr>
          <w:color w:val="231F20"/>
          <w:w w:val="105"/>
        </w:rPr>
        <w:t>la</w:t>
      </w:r>
      <w:r>
        <w:rPr>
          <w:color w:val="231F20"/>
          <w:spacing w:val="-11"/>
          <w:w w:val="105"/>
        </w:rPr>
        <w:t> </w:t>
      </w:r>
      <w:r>
        <w:rPr>
          <w:color w:val="231F20"/>
          <w:w w:val="105"/>
        </w:rPr>
        <w:t>segmentación</w:t>
      </w:r>
      <w:r>
        <w:rPr>
          <w:color w:val="231F20"/>
          <w:spacing w:val="-11"/>
          <w:w w:val="105"/>
        </w:rPr>
        <w:t> </w:t>
      </w:r>
      <w:r>
        <w:rPr>
          <w:color w:val="231F20"/>
          <w:w w:val="105"/>
        </w:rPr>
        <w:t>de</w:t>
      </w:r>
      <w:r>
        <w:rPr>
          <w:color w:val="231F20"/>
          <w:spacing w:val="-11"/>
          <w:w w:val="105"/>
        </w:rPr>
        <w:t> </w:t>
      </w:r>
      <w:r>
        <w:rPr>
          <w:color w:val="231F20"/>
          <w:w w:val="105"/>
        </w:rPr>
        <w:t>mercado</w:t>
      </w:r>
      <w:r>
        <w:rPr>
          <w:color w:val="231F20"/>
          <w:spacing w:val="-11"/>
          <w:w w:val="105"/>
        </w:rPr>
        <w:t> </w:t>
      </w:r>
      <w:r>
        <w:rPr>
          <w:color w:val="231F20"/>
          <w:w w:val="105"/>
        </w:rPr>
        <w:t>de</w:t>
      </w:r>
      <w:r>
        <w:rPr>
          <w:color w:val="231F20"/>
          <w:spacing w:val="-11"/>
          <w:w w:val="105"/>
        </w:rPr>
        <w:t> </w:t>
      </w:r>
      <w:r>
        <w:rPr>
          <w:color w:val="231F20"/>
          <w:w w:val="105"/>
        </w:rPr>
        <w:t>tra- bajo, puede estar en función de una industria fraccionada, los</w:t>
      </w:r>
      <w:r>
        <w:rPr>
          <w:color w:val="231F20"/>
          <w:spacing w:val="-28"/>
          <w:w w:val="105"/>
        </w:rPr>
        <w:t> </w:t>
      </w:r>
      <w:r>
        <w:rPr>
          <w:color w:val="231F20"/>
          <w:w w:val="105"/>
        </w:rPr>
        <w:t>imperati- vos</w:t>
      </w:r>
      <w:r>
        <w:rPr>
          <w:color w:val="231F20"/>
          <w:spacing w:val="-18"/>
          <w:w w:val="105"/>
        </w:rPr>
        <w:t> </w:t>
      </w:r>
      <w:r>
        <w:rPr>
          <w:color w:val="231F20"/>
          <w:w w:val="105"/>
        </w:rPr>
        <w:t>de</w:t>
      </w:r>
      <w:r>
        <w:rPr>
          <w:color w:val="231F20"/>
          <w:spacing w:val="-18"/>
          <w:w w:val="105"/>
        </w:rPr>
        <w:t> </w:t>
      </w:r>
      <w:r>
        <w:rPr>
          <w:color w:val="231F20"/>
          <w:w w:val="105"/>
        </w:rPr>
        <w:t>control</w:t>
      </w:r>
      <w:r>
        <w:rPr>
          <w:color w:val="231F20"/>
          <w:spacing w:val="-18"/>
          <w:w w:val="105"/>
        </w:rPr>
        <w:t> </w:t>
      </w:r>
      <w:r>
        <w:rPr>
          <w:color w:val="231F20"/>
          <w:w w:val="105"/>
        </w:rPr>
        <w:t>del</w:t>
      </w:r>
      <w:r>
        <w:rPr>
          <w:color w:val="231F20"/>
          <w:spacing w:val="-18"/>
          <w:w w:val="105"/>
        </w:rPr>
        <w:t> </w:t>
      </w:r>
      <w:r>
        <w:rPr>
          <w:color w:val="231F20"/>
          <w:w w:val="105"/>
        </w:rPr>
        <w:t>trabajo,</w:t>
      </w:r>
      <w:r>
        <w:rPr>
          <w:color w:val="231F20"/>
          <w:spacing w:val="-23"/>
          <w:w w:val="105"/>
        </w:rPr>
        <w:t> </w:t>
      </w:r>
      <w:r>
        <w:rPr>
          <w:color w:val="231F20"/>
          <w:w w:val="105"/>
        </w:rPr>
        <w:t>las</w:t>
      </w:r>
      <w:r>
        <w:rPr>
          <w:color w:val="231F20"/>
          <w:spacing w:val="-18"/>
          <w:w w:val="105"/>
        </w:rPr>
        <w:t> </w:t>
      </w:r>
      <w:r>
        <w:rPr>
          <w:color w:val="231F20"/>
          <w:w w:val="105"/>
        </w:rPr>
        <w:t>luchas</w:t>
      </w:r>
      <w:r>
        <w:rPr>
          <w:color w:val="231F20"/>
          <w:spacing w:val="-18"/>
          <w:w w:val="105"/>
        </w:rPr>
        <w:t> </w:t>
      </w:r>
      <w:r>
        <w:rPr>
          <w:color w:val="231F20"/>
          <w:w w:val="105"/>
        </w:rPr>
        <w:t>laborales,</w:t>
      </w:r>
      <w:r>
        <w:rPr>
          <w:color w:val="231F20"/>
          <w:spacing w:val="-23"/>
          <w:w w:val="105"/>
        </w:rPr>
        <w:t> </w:t>
      </w:r>
      <w:r>
        <w:rPr>
          <w:color w:val="231F20"/>
          <w:w w:val="105"/>
        </w:rPr>
        <w:t>las</w:t>
      </w:r>
      <w:r>
        <w:rPr>
          <w:color w:val="231F20"/>
          <w:spacing w:val="-18"/>
          <w:w w:val="105"/>
        </w:rPr>
        <w:t> </w:t>
      </w:r>
      <w:r>
        <w:rPr>
          <w:color w:val="231F20"/>
          <w:w w:val="105"/>
        </w:rPr>
        <w:t>condiciones</w:t>
      </w:r>
      <w:r>
        <w:rPr>
          <w:color w:val="231F20"/>
          <w:spacing w:val="-18"/>
          <w:w w:val="105"/>
        </w:rPr>
        <w:t> </w:t>
      </w:r>
      <w:r>
        <w:rPr>
          <w:color w:val="231F20"/>
          <w:w w:val="105"/>
        </w:rPr>
        <w:t>variables del mercado de productos o el desarrollo tecnológico</w:t>
      </w:r>
      <w:r>
        <w:rPr>
          <w:color w:val="231F20"/>
          <w:spacing w:val="1"/>
          <w:w w:val="105"/>
        </w:rPr>
        <w:t> </w:t>
      </w:r>
      <w:r>
        <w:rPr>
          <w:color w:val="231F20"/>
          <w:w w:val="105"/>
        </w:rPr>
        <w:t>divergente.</w:t>
      </w:r>
    </w:p>
    <w:p>
      <w:pPr>
        <w:pStyle w:val="BodyText"/>
        <w:spacing w:line="259" w:lineRule="auto"/>
        <w:ind w:left="117" w:right="121" w:firstLine="567"/>
        <w:jc w:val="both"/>
      </w:pPr>
      <w:r>
        <w:rPr>
          <w:color w:val="231F20"/>
          <w:w w:val="105"/>
        </w:rPr>
        <w:t>La</w:t>
      </w:r>
      <w:r>
        <w:rPr>
          <w:color w:val="231F20"/>
          <w:spacing w:val="-24"/>
          <w:w w:val="105"/>
        </w:rPr>
        <w:t> </w:t>
      </w:r>
      <w:r>
        <w:rPr>
          <w:color w:val="231F20"/>
          <w:w w:val="105"/>
        </w:rPr>
        <w:t>cuarta</w:t>
      </w:r>
      <w:r>
        <w:rPr>
          <w:color w:val="231F20"/>
          <w:spacing w:val="-24"/>
          <w:w w:val="105"/>
        </w:rPr>
        <w:t> </w:t>
      </w:r>
      <w:r>
        <w:rPr>
          <w:color w:val="231F20"/>
          <w:w w:val="105"/>
        </w:rPr>
        <w:t>generación,</w:t>
      </w:r>
      <w:r>
        <w:rPr>
          <w:color w:val="231F20"/>
          <w:spacing w:val="-28"/>
          <w:w w:val="105"/>
        </w:rPr>
        <w:t> </w:t>
      </w:r>
      <w:r>
        <w:rPr>
          <w:color w:val="231F20"/>
          <w:w w:val="105"/>
        </w:rPr>
        <w:t>considerada</w:t>
      </w:r>
      <w:r>
        <w:rPr>
          <w:color w:val="231F20"/>
          <w:spacing w:val="-24"/>
          <w:w w:val="105"/>
        </w:rPr>
        <w:t> </w:t>
      </w:r>
      <w:r>
        <w:rPr>
          <w:color w:val="231F20"/>
          <w:w w:val="105"/>
        </w:rPr>
        <w:t>la</w:t>
      </w:r>
      <w:r>
        <w:rPr>
          <w:color w:val="231F20"/>
          <w:spacing w:val="-24"/>
          <w:w w:val="105"/>
        </w:rPr>
        <w:t> </w:t>
      </w:r>
      <w:r>
        <w:rPr>
          <w:color w:val="231F20"/>
          <w:w w:val="105"/>
        </w:rPr>
        <w:t>teoría</w:t>
      </w:r>
      <w:r>
        <w:rPr>
          <w:color w:val="231F20"/>
          <w:spacing w:val="-24"/>
          <w:w w:val="105"/>
        </w:rPr>
        <w:t> </w:t>
      </w:r>
      <w:r>
        <w:rPr>
          <w:color w:val="231F20"/>
          <w:w w:val="105"/>
        </w:rPr>
        <w:t>más</w:t>
      </w:r>
      <w:r>
        <w:rPr>
          <w:color w:val="231F20"/>
          <w:spacing w:val="-24"/>
          <w:w w:val="105"/>
        </w:rPr>
        <w:t> </w:t>
      </w:r>
      <w:r>
        <w:rPr>
          <w:color w:val="231F20"/>
          <w:w w:val="105"/>
        </w:rPr>
        <w:t>reciente</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cual los segmentos se forman en función de las multihabilidades que la</w:t>
      </w:r>
      <w:r>
        <w:rPr>
          <w:color w:val="231F20"/>
          <w:spacing w:val="-42"/>
          <w:w w:val="105"/>
        </w:rPr>
        <w:t> </w:t>
      </w:r>
      <w:r>
        <w:rPr>
          <w:color w:val="231F20"/>
          <w:w w:val="105"/>
        </w:rPr>
        <w:t>per- sona requiere para desempeñar su trabajo </w:t>
      </w:r>
      <w:r>
        <w:rPr>
          <w:color w:val="231F20"/>
          <w:spacing w:val="-3"/>
          <w:w w:val="105"/>
        </w:rPr>
        <w:t>(Peck, </w:t>
      </w:r>
      <w:r>
        <w:rPr>
          <w:color w:val="231F20"/>
          <w:w w:val="105"/>
        </w:rPr>
        <w:t>1996), promueve el autocontrol, la mejora continua y la flexibilización del trabajo (Womak</w:t>
      </w:r>
      <w:r>
        <w:rPr>
          <w:color w:val="231F20"/>
          <w:spacing w:val="-13"/>
          <w:w w:val="105"/>
        </w:rPr>
        <w:t> </w:t>
      </w:r>
      <w:r>
        <w:rPr>
          <w:color w:val="231F20"/>
          <w:w w:val="105"/>
        </w:rPr>
        <w:t>y </w:t>
      </w:r>
      <w:r>
        <w:rPr>
          <w:color w:val="231F20"/>
        </w:rPr>
        <w:t>Jones,</w:t>
      </w:r>
      <w:r>
        <w:rPr>
          <w:color w:val="231F20"/>
          <w:spacing w:val="-1"/>
        </w:rPr>
        <w:t> </w:t>
      </w:r>
      <w:r>
        <w:rPr>
          <w:color w:val="231F20"/>
        </w:rPr>
        <w:t>2003).</w:t>
      </w:r>
    </w:p>
    <w:p>
      <w:pPr>
        <w:pStyle w:val="BodyText"/>
        <w:spacing w:line="259" w:lineRule="auto"/>
        <w:ind w:left="117" w:right="121" w:firstLine="567"/>
        <w:jc w:val="both"/>
      </w:pPr>
      <w:r>
        <w:rPr>
          <w:color w:val="231F20"/>
          <w:w w:val="105"/>
        </w:rPr>
        <w:t>El</w:t>
      </w:r>
      <w:r>
        <w:rPr>
          <w:color w:val="231F20"/>
          <w:spacing w:val="-23"/>
          <w:w w:val="105"/>
        </w:rPr>
        <w:t> </w:t>
      </w:r>
      <w:r>
        <w:rPr>
          <w:color w:val="231F20"/>
          <w:w w:val="105"/>
        </w:rPr>
        <w:t>capítulo</w:t>
      </w:r>
      <w:r>
        <w:rPr>
          <w:color w:val="231F20"/>
          <w:spacing w:val="-23"/>
          <w:w w:val="105"/>
        </w:rPr>
        <w:t> </w:t>
      </w:r>
      <w:r>
        <w:rPr>
          <w:color w:val="231F20"/>
          <w:w w:val="105"/>
        </w:rPr>
        <w:t>está</w:t>
      </w:r>
      <w:r>
        <w:rPr>
          <w:color w:val="231F20"/>
          <w:spacing w:val="-23"/>
          <w:w w:val="105"/>
        </w:rPr>
        <w:t> </w:t>
      </w:r>
      <w:r>
        <w:rPr>
          <w:color w:val="231F20"/>
          <w:w w:val="105"/>
        </w:rPr>
        <w:t>compuesto</w:t>
      </w:r>
      <w:r>
        <w:rPr>
          <w:color w:val="231F20"/>
          <w:spacing w:val="-23"/>
          <w:w w:val="105"/>
        </w:rPr>
        <w:t> </w:t>
      </w:r>
      <w:r>
        <w:rPr>
          <w:color w:val="231F20"/>
          <w:w w:val="105"/>
        </w:rPr>
        <w:t>por</w:t>
      </w:r>
      <w:r>
        <w:rPr>
          <w:color w:val="231F20"/>
          <w:spacing w:val="-23"/>
          <w:w w:val="105"/>
        </w:rPr>
        <w:t> </w:t>
      </w:r>
      <w:r>
        <w:rPr>
          <w:color w:val="231F20"/>
          <w:w w:val="105"/>
        </w:rPr>
        <w:t>cuatro</w:t>
      </w:r>
      <w:r>
        <w:rPr>
          <w:color w:val="231F20"/>
          <w:spacing w:val="-23"/>
          <w:w w:val="105"/>
        </w:rPr>
        <w:t> </w:t>
      </w:r>
      <w:r>
        <w:rPr>
          <w:color w:val="231F20"/>
          <w:w w:val="105"/>
        </w:rPr>
        <w:t>apartados:</w:t>
      </w:r>
      <w:r>
        <w:rPr>
          <w:color w:val="231F20"/>
          <w:spacing w:val="-23"/>
          <w:w w:val="105"/>
        </w:rPr>
        <w:t> </w:t>
      </w:r>
      <w:r>
        <w:rPr>
          <w:color w:val="231F20"/>
          <w:w w:val="105"/>
        </w:rPr>
        <w:t>el</w:t>
      </w:r>
      <w:r>
        <w:rPr>
          <w:color w:val="231F20"/>
          <w:spacing w:val="-23"/>
          <w:w w:val="105"/>
        </w:rPr>
        <w:t> </w:t>
      </w:r>
      <w:r>
        <w:rPr>
          <w:color w:val="231F20"/>
          <w:w w:val="105"/>
        </w:rPr>
        <w:t>primero</w:t>
      </w:r>
      <w:r>
        <w:rPr>
          <w:color w:val="231F20"/>
          <w:spacing w:val="-23"/>
          <w:w w:val="105"/>
        </w:rPr>
        <w:t> </w:t>
      </w:r>
      <w:r>
        <w:rPr>
          <w:color w:val="231F20"/>
          <w:w w:val="105"/>
        </w:rPr>
        <w:t>es</w:t>
      </w:r>
      <w:r>
        <w:rPr>
          <w:color w:val="231F20"/>
          <w:spacing w:val="-23"/>
          <w:w w:val="105"/>
        </w:rPr>
        <w:t> </w:t>
      </w:r>
      <w:r>
        <w:rPr>
          <w:color w:val="231F20"/>
          <w:w w:val="105"/>
        </w:rPr>
        <w:t>una introducción al concepto de mercado de trabajo. La segunda sección está integrada por la teoría neoclásica. En la tercera se revisa la teoría de la segmentación, incluyendo la teoría institucionalista que es donde se</w:t>
      </w:r>
      <w:r>
        <w:rPr>
          <w:color w:val="231F20"/>
          <w:spacing w:val="-29"/>
          <w:w w:val="105"/>
        </w:rPr>
        <w:t> </w:t>
      </w:r>
      <w:r>
        <w:rPr>
          <w:color w:val="231F20"/>
          <w:w w:val="105"/>
        </w:rPr>
        <w:t>interceptan</w:t>
      </w:r>
      <w:r>
        <w:rPr>
          <w:color w:val="231F20"/>
          <w:spacing w:val="-29"/>
          <w:w w:val="105"/>
        </w:rPr>
        <w:t> </w:t>
      </w:r>
      <w:r>
        <w:rPr>
          <w:color w:val="231F20"/>
          <w:w w:val="105"/>
        </w:rPr>
        <w:t>los</w:t>
      </w:r>
      <w:r>
        <w:rPr>
          <w:color w:val="231F20"/>
          <w:spacing w:val="-29"/>
          <w:w w:val="105"/>
        </w:rPr>
        <w:t> </w:t>
      </w:r>
      <w:r>
        <w:rPr>
          <w:color w:val="231F20"/>
          <w:w w:val="105"/>
        </w:rPr>
        <w:t>enfoques</w:t>
      </w:r>
      <w:r>
        <w:rPr>
          <w:color w:val="231F20"/>
          <w:spacing w:val="-29"/>
          <w:w w:val="105"/>
        </w:rPr>
        <w:t> </w:t>
      </w:r>
      <w:r>
        <w:rPr>
          <w:color w:val="231F20"/>
          <w:w w:val="105"/>
        </w:rPr>
        <w:t>administrativos</w:t>
      </w:r>
      <w:r>
        <w:rPr>
          <w:color w:val="231F20"/>
          <w:spacing w:val="-29"/>
          <w:w w:val="105"/>
        </w:rPr>
        <w:t> </w:t>
      </w:r>
      <w:r>
        <w:rPr>
          <w:color w:val="231F20"/>
          <w:w w:val="105"/>
        </w:rPr>
        <w:t>y</w:t>
      </w:r>
      <w:r>
        <w:rPr>
          <w:color w:val="231F20"/>
          <w:spacing w:val="-29"/>
          <w:w w:val="105"/>
        </w:rPr>
        <w:t> </w:t>
      </w:r>
      <w:r>
        <w:rPr>
          <w:color w:val="231F20"/>
          <w:w w:val="105"/>
        </w:rPr>
        <w:t>económicos.</w:t>
      </w:r>
      <w:r>
        <w:rPr>
          <w:color w:val="231F20"/>
          <w:spacing w:val="-33"/>
          <w:w w:val="105"/>
        </w:rPr>
        <w:t> </w:t>
      </w:r>
      <w:r>
        <w:rPr>
          <w:color w:val="231F20"/>
          <w:w w:val="105"/>
        </w:rPr>
        <w:t>Finalmente</w:t>
      </w:r>
      <w:r>
        <w:rPr>
          <w:color w:val="231F20"/>
          <w:spacing w:val="-29"/>
          <w:w w:val="105"/>
        </w:rPr>
        <w:t> </w:t>
      </w:r>
      <w:r>
        <w:rPr>
          <w:color w:val="231F20"/>
          <w:w w:val="105"/>
        </w:rPr>
        <w:t>se destacan</w:t>
      </w:r>
      <w:r>
        <w:rPr>
          <w:color w:val="231F20"/>
          <w:spacing w:val="-32"/>
          <w:w w:val="105"/>
        </w:rPr>
        <w:t> </w:t>
      </w:r>
      <w:r>
        <w:rPr>
          <w:color w:val="231F20"/>
          <w:w w:val="105"/>
        </w:rPr>
        <w:t>las</w:t>
      </w:r>
      <w:r>
        <w:rPr>
          <w:color w:val="231F20"/>
          <w:spacing w:val="-32"/>
          <w:w w:val="105"/>
        </w:rPr>
        <w:t> </w:t>
      </w:r>
      <w:r>
        <w:rPr>
          <w:color w:val="231F20"/>
          <w:w w:val="105"/>
        </w:rPr>
        <w:t>aportaciones</w:t>
      </w:r>
      <w:r>
        <w:rPr>
          <w:color w:val="231F20"/>
          <w:spacing w:val="-32"/>
          <w:w w:val="105"/>
        </w:rPr>
        <w:t> </w:t>
      </w:r>
      <w:r>
        <w:rPr>
          <w:color w:val="231F20"/>
          <w:w w:val="105"/>
        </w:rPr>
        <w:t>al</w:t>
      </w:r>
      <w:r>
        <w:rPr>
          <w:color w:val="231F20"/>
          <w:spacing w:val="-32"/>
          <w:w w:val="105"/>
        </w:rPr>
        <w:t> </w:t>
      </w:r>
      <w:r>
        <w:rPr>
          <w:color w:val="231F20"/>
          <w:w w:val="105"/>
        </w:rPr>
        <w:t>conocimiento</w:t>
      </w:r>
      <w:r>
        <w:rPr>
          <w:color w:val="231F20"/>
          <w:spacing w:val="-32"/>
          <w:w w:val="105"/>
        </w:rPr>
        <w:t> </w:t>
      </w:r>
      <w:r>
        <w:rPr>
          <w:color w:val="231F20"/>
          <w:w w:val="105"/>
        </w:rPr>
        <w:t>al</w:t>
      </w:r>
      <w:r>
        <w:rPr>
          <w:color w:val="231F20"/>
          <w:spacing w:val="-32"/>
          <w:w w:val="105"/>
        </w:rPr>
        <w:t> </w:t>
      </w:r>
      <w:r>
        <w:rPr>
          <w:color w:val="231F20"/>
          <w:w w:val="105"/>
        </w:rPr>
        <w:t>realizar</w:t>
      </w:r>
      <w:r>
        <w:rPr>
          <w:color w:val="231F20"/>
          <w:spacing w:val="-32"/>
          <w:w w:val="105"/>
        </w:rPr>
        <w:t> </w:t>
      </w:r>
      <w:r>
        <w:rPr>
          <w:color w:val="231F20"/>
          <w:w w:val="105"/>
        </w:rPr>
        <w:t>esta</w:t>
      </w:r>
      <w:r>
        <w:rPr>
          <w:color w:val="231F20"/>
          <w:spacing w:val="-32"/>
          <w:w w:val="105"/>
        </w:rPr>
        <w:t> </w:t>
      </w:r>
      <w:r>
        <w:rPr>
          <w:color w:val="231F20"/>
          <w:w w:val="105"/>
        </w:rPr>
        <w:t>revisión</w:t>
      </w:r>
      <w:r>
        <w:rPr>
          <w:color w:val="231F20"/>
          <w:spacing w:val="-32"/>
          <w:w w:val="105"/>
        </w:rPr>
        <w:t> </w:t>
      </w:r>
      <w:r>
        <w:rPr>
          <w:color w:val="231F20"/>
          <w:w w:val="105"/>
        </w:rPr>
        <w:t>teórica sobre el mercado de</w:t>
      </w:r>
      <w:r>
        <w:rPr>
          <w:color w:val="231F20"/>
          <w:spacing w:val="-38"/>
          <w:w w:val="105"/>
        </w:rPr>
        <w:t> </w:t>
      </w:r>
      <w:r>
        <w:rPr>
          <w:color w:val="231F20"/>
          <w:w w:val="105"/>
        </w:rPr>
        <w:t>trabajo.</w:t>
      </w:r>
    </w:p>
    <w:p>
      <w:pPr>
        <w:pStyle w:val="BodyText"/>
        <w:rPr>
          <w:sz w:val="20"/>
        </w:rPr>
      </w:pPr>
    </w:p>
    <w:p>
      <w:pPr>
        <w:pStyle w:val="BodyText"/>
        <w:spacing w:before="7"/>
        <w:rPr>
          <w:sz w:val="18"/>
        </w:rPr>
      </w:pPr>
    </w:p>
    <w:p>
      <w:pPr>
        <w:pStyle w:val="Heading2"/>
      </w:pPr>
      <w:r>
        <w:rPr>
          <w:color w:val="231F20"/>
        </w:rPr>
        <w:t>Mercado de trabajo</w:t>
      </w:r>
    </w:p>
    <w:p>
      <w:pPr>
        <w:pStyle w:val="BodyText"/>
        <w:rPr>
          <w:b/>
          <w:sz w:val="22"/>
        </w:rPr>
      </w:pPr>
    </w:p>
    <w:p>
      <w:pPr>
        <w:pStyle w:val="BodyText"/>
        <w:spacing w:line="259" w:lineRule="auto" w:before="160"/>
        <w:ind w:left="117" w:right="115"/>
        <w:jc w:val="both"/>
      </w:pPr>
      <w:r>
        <w:rPr>
          <w:color w:val="231F20"/>
          <w:w w:val="105"/>
        </w:rPr>
        <w:t>Algunos autores e investigadores afirman que no existe una definición clara</w:t>
      </w:r>
      <w:r>
        <w:rPr>
          <w:color w:val="231F20"/>
          <w:spacing w:val="-11"/>
          <w:w w:val="105"/>
        </w:rPr>
        <w:t> </w:t>
      </w:r>
      <w:r>
        <w:rPr>
          <w:color w:val="231F20"/>
          <w:w w:val="105"/>
        </w:rPr>
        <w:t>y</w:t>
      </w:r>
      <w:r>
        <w:rPr>
          <w:color w:val="231F20"/>
          <w:spacing w:val="-11"/>
          <w:w w:val="105"/>
        </w:rPr>
        <w:t> </w:t>
      </w:r>
      <w:r>
        <w:rPr>
          <w:color w:val="231F20"/>
          <w:w w:val="105"/>
        </w:rPr>
        <w:t>coherente</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mercado,</w:t>
      </w:r>
      <w:r>
        <w:rPr>
          <w:color w:val="231F20"/>
          <w:spacing w:val="-18"/>
          <w:w w:val="105"/>
        </w:rPr>
        <w:t> </w:t>
      </w:r>
      <w:r>
        <w:rPr>
          <w:color w:val="231F20"/>
          <w:w w:val="105"/>
        </w:rPr>
        <w:t>debido</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diferentes</w:t>
      </w:r>
      <w:r>
        <w:rPr>
          <w:color w:val="231F20"/>
          <w:spacing w:val="-11"/>
          <w:w w:val="105"/>
        </w:rPr>
        <w:t> </w:t>
      </w:r>
      <w:r>
        <w:rPr>
          <w:color w:val="231F20"/>
          <w:w w:val="105"/>
        </w:rPr>
        <w:t>acep- ciones</w:t>
      </w:r>
      <w:r>
        <w:rPr>
          <w:color w:val="231F20"/>
          <w:spacing w:val="-16"/>
          <w:w w:val="105"/>
        </w:rPr>
        <w:t> </w:t>
      </w:r>
      <w:r>
        <w:rPr>
          <w:color w:val="231F20"/>
          <w:w w:val="105"/>
        </w:rPr>
        <w:t>propuestas</w:t>
      </w:r>
      <w:r>
        <w:rPr>
          <w:color w:val="231F20"/>
          <w:spacing w:val="-16"/>
          <w:w w:val="105"/>
        </w:rPr>
        <w:t> </w:t>
      </w:r>
      <w:r>
        <w:rPr>
          <w:color w:val="231F20"/>
          <w:w w:val="105"/>
        </w:rPr>
        <w:t>desde</w:t>
      </w:r>
      <w:r>
        <w:rPr>
          <w:color w:val="231F20"/>
          <w:spacing w:val="-16"/>
          <w:w w:val="105"/>
        </w:rPr>
        <w:t> </w:t>
      </w:r>
      <w:r>
        <w:rPr>
          <w:color w:val="231F20"/>
          <w:w w:val="105"/>
        </w:rPr>
        <w:t>los</w:t>
      </w:r>
      <w:r>
        <w:rPr>
          <w:color w:val="231F20"/>
          <w:spacing w:val="-16"/>
          <w:w w:val="105"/>
        </w:rPr>
        <w:t> </w:t>
      </w:r>
      <w:r>
        <w:rPr>
          <w:color w:val="231F20"/>
          <w:w w:val="105"/>
        </w:rPr>
        <w:t>diversos</w:t>
      </w:r>
      <w:r>
        <w:rPr>
          <w:color w:val="231F20"/>
          <w:spacing w:val="-16"/>
          <w:w w:val="105"/>
        </w:rPr>
        <w:t> </w:t>
      </w:r>
      <w:r>
        <w:rPr>
          <w:color w:val="231F20"/>
          <w:w w:val="105"/>
        </w:rPr>
        <w:t>enfoques</w:t>
      </w:r>
      <w:r>
        <w:rPr>
          <w:color w:val="231F20"/>
          <w:spacing w:val="-16"/>
          <w:w w:val="105"/>
        </w:rPr>
        <w:t> </w:t>
      </w:r>
      <w:r>
        <w:rPr>
          <w:color w:val="231F20"/>
          <w:w w:val="105"/>
        </w:rPr>
        <w:t>de</w:t>
      </w:r>
      <w:r>
        <w:rPr>
          <w:color w:val="231F20"/>
          <w:spacing w:val="-16"/>
          <w:w w:val="105"/>
        </w:rPr>
        <w:t> </w:t>
      </w:r>
      <w:r>
        <w:rPr>
          <w:color w:val="231F20"/>
          <w:w w:val="105"/>
        </w:rPr>
        <w:t>estudio</w:t>
      </w:r>
      <w:r>
        <w:rPr>
          <w:color w:val="231F20"/>
          <w:spacing w:val="-16"/>
          <w:w w:val="105"/>
        </w:rPr>
        <w:t> </w:t>
      </w:r>
      <w:r>
        <w:rPr>
          <w:color w:val="231F20"/>
          <w:w w:val="105"/>
        </w:rPr>
        <w:t>(Díaz,</w:t>
      </w:r>
      <w:r>
        <w:rPr>
          <w:color w:val="231F20"/>
          <w:spacing w:val="-20"/>
          <w:w w:val="105"/>
        </w:rPr>
        <w:t> </w:t>
      </w:r>
      <w:r>
        <w:rPr>
          <w:color w:val="231F20"/>
          <w:w w:val="105"/>
        </w:rPr>
        <w:t>1999). Intuitivamente</w:t>
      </w:r>
      <w:r>
        <w:rPr>
          <w:color w:val="231F20"/>
          <w:spacing w:val="-20"/>
          <w:w w:val="105"/>
        </w:rPr>
        <w:t> </w:t>
      </w:r>
      <w:r>
        <w:rPr>
          <w:color w:val="231F20"/>
          <w:w w:val="105"/>
        </w:rPr>
        <w:t>todos</w:t>
      </w:r>
      <w:r>
        <w:rPr>
          <w:color w:val="231F20"/>
          <w:spacing w:val="-20"/>
          <w:w w:val="105"/>
        </w:rPr>
        <w:t> </w:t>
      </w:r>
      <w:r>
        <w:rPr>
          <w:color w:val="231F20"/>
          <w:w w:val="105"/>
        </w:rPr>
        <w:t>tenemos</w:t>
      </w:r>
      <w:r>
        <w:rPr>
          <w:color w:val="231F20"/>
          <w:spacing w:val="-20"/>
          <w:w w:val="105"/>
        </w:rPr>
        <w:t> </w:t>
      </w:r>
      <w:r>
        <w:rPr>
          <w:color w:val="231F20"/>
          <w:w w:val="105"/>
        </w:rPr>
        <w:t>un</w:t>
      </w:r>
      <w:r>
        <w:rPr>
          <w:color w:val="231F20"/>
          <w:spacing w:val="-20"/>
          <w:w w:val="105"/>
        </w:rPr>
        <w:t> </w:t>
      </w:r>
      <w:r>
        <w:rPr>
          <w:color w:val="231F20"/>
          <w:w w:val="105"/>
        </w:rPr>
        <w:t>concepto</w:t>
      </w:r>
      <w:r>
        <w:rPr>
          <w:color w:val="231F20"/>
          <w:spacing w:val="-20"/>
          <w:w w:val="105"/>
        </w:rPr>
        <w:t> </w:t>
      </w:r>
      <w:r>
        <w:rPr>
          <w:color w:val="231F20"/>
          <w:w w:val="105"/>
        </w:rPr>
        <w:t>de</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es</w:t>
      </w:r>
      <w:r>
        <w:rPr>
          <w:color w:val="231F20"/>
          <w:spacing w:val="-20"/>
          <w:w w:val="105"/>
        </w:rPr>
        <w:t> </w:t>
      </w:r>
      <w:r>
        <w:rPr>
          <w:color w:val="231F20"/>
          <w:w w:val="105"/>
        </w:rPr>
        <w:t>un</w:t>
      </w:r>
      <w:r>
        <w:rPr>
          <w:color w:val="231F20"/>
          <w:spacing w:val="-20"/>
          <w:w w:val="105"/>
        </w:rPr>
        <w:t> </w:t>
      </w:r>
      <w:r>
        <w:rPr>
          <w:color w:val="231F20"/>
          <w:w w:val="105"/>
        </w:rPr>
        <w:t>mercado.</w:t>
      </w:r>
      <w:r>
        <w:rPr>
          <w:color w:val="231F20"/>
          <w:spacing w:val="-30"/>
          <w:w w:val="105"/>
        </w:rPr>
        <w:t> </w:t>
      </w:r>
      <w:r>
        <w:rPr>
          <w:color w:val="231F20"/>
          <w:spacing w:val="-6"/>
          <w:w w:val="105"/>
        </w:rPr>
        <w:t>Tra- </w:t>
      </w:r>
      <w:r>
        <w:rPr>
          <w:color w:val="231F20"/>
          <w:w w:val="105"/>
        </w:rPr>
        <w:t>dicionalmente</w:t>
      </w:r>
      <w:r>
        <w:rPr>
          <w:color w:val="231F20"/>
          <w:spacing w:val="-8"/>
          <w:w w:val="105"/>
        </w:rPr>
        <w:t> </w:t>
      </w:r>
      <w:r>
        <w:rPr>
          <w:color w:val="231F20"/>
          <w:w w:val="105"/>
        </w:rPr>
        <w:t>se</w:t>
      </w:r>
      <w:r>
        <w:rPr>
          <w:color w:val="231F20"/>
          <w:spacing w:val="-8"/>
          <w:w w:val="105"/>
        </w:rPr>
        <w:t> </w:t>
      </w:r>
      <w:r>
        <w:rPr>
          <w:color w:val="231F20"/>
          <w:w w:val="105"/>
        </w:rPr>
        <w:t>piensa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grupo</w:t>
      </w:r>
      <w:r>
        <w:rPr>
          <w:color w:val="231F20"/>
          <w:spacing w:val="-8"/>
          <w:w w:val="105"/>
        </w:rPr>
        <w:t> </w:t>
      </w:r>
      <w:r>
        <w:rPr>
          <w:color w:val="231F20"/>
          <w:w w:val="105"/>
        </w:rPr>
        <w:t>de</w:t>
      </w:r>
      <w:r>
        <w:rPr>
          <w:color w:val="231F20"/>
          <w:spacing w:val="-8"/>
          <w:w w:val="105"/>
        </w:rPr>
        <w:t> </w:t>
      </w:r>
      <w:r>
        <w:rPr>
          <w:color w:val="231F20"/>
          <w:w w:val="105"/>
        </w:rPr>
        <w:t>compradores</w:t>
      </w:r>
      <w:r>
        <w:rPr>
          <w:color w:val="231F20"/>
          <w:spacing w:val="-8"/>
          <w:w w:val="105"/>
        </w:rPr>
        <w:t> </w:t>
      </w:r>
      <w:r>
        <w:rPr>
          <w:color w:val="231F20"/>
          <w:w w:val="105"/>
        </w:rPr>
        <w:t>y</w:t>
      </w:r>
      <w:r>
        <w:rPr>
          <w:color w:val="231F20"/>
          <w:spacing w:val="-8"/>
          <w:w w:val="105"/>
        </w:rPr>
        <w:t> </w:t>
      </w:r>
      <w:r>
        <w:rPr>
          <w:color w:val="231F20"/>
          <w:w w:val="105"/>
        </w:rPr>
        <w:t>vendedores</w:t>
      </w:r>
      <w:r>
        <w:rPr>
          <w:color w:val="231F20"/>
          <w:spacing w:val="-8"/>
          <w:w w:val="105"/>
        </w:rPr>
        <w:t> </w:t>
      </w:r>
      <w:r>
        <w:rPr>
          <w:color w:val="231F20"/>
          <w:w w:val="105"/>
        </w:rPr>
        <w:t>con la</w:t>
      </w:r>
      <w:r>
        <w:rPr>
          <w:color w:val="231F20"/>
          <w:spacing w:val="-20"/>
          <w:w w:val="105"/>
        </w:rPr>
        <w:t> </w:t>
      </w:r>
      <w:r>
        <w:rPr>
          <w:color w:val="231F20"/>
          <w:w w:val="105"/>
        </w:rPr>
        <w:t>capacidad</w:t>
      </w:r>
      <w:r>
        <w:rPr>
          <w:color w:val="231F20"/>
          <w:spacing w:val="-20"/>
          <w:w w:val="105"/>
        </w:rPr>
        <w:t> </w:t>
      </w:r>
      <w:r>
        <w:rPr>
          <w:color w:val="231F20"/>
          <w:w w:val="105"/>
        </w:rPr>
        <w:t>para</w:t>
      </w:r>
      <w:r>
        <w:rPr>
          <w:color w:val="231F20"/>
          <w:spacing w:val="-20"/>
          <w:w w:val="105"/>
        </w:rPr>
        <w:t> </w:t>
      </w:r>
      <w:r>
        <w:rPr>
          <w:color w:val="231F20"/>
          <w:w w:val="105"/>
        </w:rPr>
        <w:t>comerciar</w:t>
      </w:r>
      <w:r>
        <w:rPr>
          <w:color w:val="231F20"/>
          <w:spacing w:val="-20"/>
          <w:w w:val="105"/>
        </w:rPr>
        <w:t> </w:t>
      </w:r>
      <w:r>
        <w:rPr>
          <w:color w:val="231F20"/>
          <w:w w:val="105"/>
        </w:rPr>
        <w:t>entre</w:t>
      </w:r>
      <w:r>
        <w:rPr>
          <w:color w:val="231F20"/>
          <w:spacing w:val="-20"/>
          <w:w w:val="105"/>
        </w:rPr>
        <w:t> </w:t>
      </w:r>
      <w:r>
        <w:rPr>
          <w:color w:val="231F20"/>
          <w:w w:val="105"/>
        </w:rPr>
        <w:t>ellos.</w:t>
      </w:r>
      <w:r>
        <w:rPr>
          <w:color w:val="231F20"/>
          <w:spacing w:val="-26"/>
          <w:w w:val="105"/>
        </w:rPr>
        <w:t> </w:t>
      </w:r>
      <w:r>
        <w:rPr>
          <w:color w:val="231F20"/>
          <w:w w:val="105"/>
        </w:rPr>
        <w:t>En</w:t>
      </w:r>
      <w:r>
        <w:rPr>
          <w:color w:val="231F20"/>
          <w:spacing w:val="-20"/>
          <w:w w:val="105"/>
        </w:rPr>
        <w:t> </w:t>
      </w:r>
      <w:r>
        <w:rPr>
          <w:color w:val="231F20"/>
          <w:w w:val="105"/>
        </w:rPr>
        <w:t>un</w:t>
      </w:r>
      <w:r>
        <w:rPr>
          <w:color w:val="231F20"/>
          <w:spacing w:val="-20"/>
          <w:w w:val="105"/>
        </w:rPr>
        <w:t> </w:t>
      </w:r>
      <w:r>
        <w:rPr>
          <w:color w:val="231F20"/>
          <w:w w:val="105"/>
        </w:rPr>
        <w:t>sentido</w:t>
      </w:r>
      <w:r>
        <w:rPr>
          <w:color w:val="231F20"/>
          <w:spacing w:val="-20"/>
          <w:w w:val="105"/>
        </w:rPr>
        <w:t> </w:t>
      </w:r>
      <w:r>
        <w:rPr>
          <w:color w:val="231F20"/>
          <w:w w:val="105"/>
        </w:rPr>
        <w:t>formal,</w:t>
      </w:r>
      <w:r>
        <w:rPr>
          <w:color w:val="231F20"/>
          <w:spacing w:val="-26"/>
          <w:w w:val="105"/>
        </w:rPr>
        <w:t> </w:t>
      </w:r>
      <w:r>
        <w:rPr>
          <w:color w:val="231F20"/>
          <w:w w:val="105"/>
        </w:rPr>
        <w:t>“mercado”</w:t>
      </w:r>
    </w:p>
    <w:p>
      <w:pPr>
        <w:spacing w:after="0" w:line="259" w:lineRule="auto"/>
        <w:jc w:val="both"/>
        <w:sectPr>
          <w:pgSz w:w="9640" w:h="13890"/>
          <w:pgMar w:top="0" w:bottom="280" w:left="1300" w:right="1180"/>
        </w:sectPr>
      </w:pPr>
    </w:p>
    <w:p>
      <w:pPr>
        <w:pStyle w:val="BodyText"/>
        <w:spacing w:line="259" w:lineRule="auto" w:before="120"/>
        <w:ind w:left="103" w:right="114"/>
        <w:jc w:val="both"/>
      </w:pPr>
      <w:r>
        <w:rPr>
          <w:color w:val="231F20"/>
          <w:w w:val="105"/>
        </w:rPr>
        <w:t>es cualquier institución, mecanismo o sistema que pone en contacto a compradores y vendedores, facilita la formación de precios y la</w:t>
      </w:r>
      <w:r>
        <w:rPr>
          <w:color w:val="231F20"/>
          <w:spacing w:val="-37"/>
          <w:w w:val="105"/>
        </w:rPr>
        <w:t> </w:t>
      </w:r>
      <w:r>
        <w:rPr>
          <w:color w:val="231F20"/>
          <w:w w:val="105"/>
        </w:rPr>
        <w:t>realiza- ción de intercambios (Díaz, 1999). Es un conjunto de mecanismos</w:t>
      </w:r>
      <w:r>
        <w:rPr>
          <w:color w:val="231F20"/>
          <w:spacing w:val="-15"/>
          <w:w w:val="105"/>
        </w:rPr>
        <w:t> </w:t>
      </w:r>
      <w:r>
        <w:rPr>
          <w:color w:val="231F20"/>
          <w:w w:val="105"/>
        </w:rPr>
        <w:t>me- diante</w:t>
      </w:r>
      <w:r>
        <w:rPr>
          <w:color w:val="231F20"/>
          <w:spacing w:val="-20"/>
          <w:w w:val="105"/>
        </w:rPr>
        <w:t> </w:t>
      </w:r>
      <w:r>
        <w:rPr>
          <w:color w:val="231F20"/>
          <w:w w:val="105"/>
        </w:rPr>
        <w:t>los</w:t>
      </w:r>
      <w:r>
        <w:rPr>
          <w:color w:val="231F20"/>
          <w:spacing w:val="-20"/>
          <w:w w:val="105"/>
        </w:rPr>
        <w:t> </w:t>
      </w:r>
      <w:r>
        <w:rPr>
          <w:color w:val="231F20"/>
          <w:w w:val="105"/>
        </w:rPr>
        <w:t>cuales</w:t>
      </w:r>
      <w:r>
        <w:rPr>
          <w:color w:val="231F20"/>
          <w:spacing w:val="-20"/>
          <w:w w:val="105"/>
        </w:rPr>
        <w:t> </w:t>
      </w:r>
      <w:r>
        <w:rPr>
          <w:color w:val="231F20"/>
          <w:w w:val="105"/>
        </w:rPr>
        <w:t>los</w:t>
      </w:r>
      <w:r>
        <w:rPr>
          <w:color w:val="231F20"/>
          <w:spacing w:val="-20"/>
          <w:w w:val="105"/>
        </w:rPr>
        <w:t> </w:t>
      </w:r>
      <w:r>
        <w:rPr>
          <w:color w:val="231F20"/>
          <w:w w:val="105"/>
        </w:rPr>
        <w:t>compradores</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vendedores</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bien</w:t>
      </w:r>
      <w:r>
        <w:rPr>
          <w:color w:val="231F20"/>
          <w:spacing w:val="-20"/>
          <w:w w:val="105"/>
        </w:rPr>
        <w:t> </w:t>
      </w:r>
      <w:r>
        <w:rPr>
          <w:color w:val="231F20"/>
          <w:w w:val="105"/>
        </w:rPr>
        <w:t>o</w:t>
      </w:r>
      <w:r>
        <w:rPr>
          <w:color w:val="231F20"/>
          <w:spacing w:val="-20"/>
          <w:w w:val="105"/>
        </w:rPr>
        <w:t> </w:t>
      </w:r>
      <w:r>
        <w:rPr>
          <w:color w:val="231F20"/>
          <w:w w:val="105"/>
        </w:rPr>
        <w:t>servicio entran</w:t>
      </w:r>
      <w:r>
        <w:rPr>
          <w:color w:val="231F20"/>
          <w:spacing w:val="-26"/>
          <w:w w:val="105"/>
        </w:rPr>
        <w:t> </w:t>
      </w:r>
      <w:r>
        <w:rPr>
          <w:color w:val="231F20"/>
          <w:w w:val="105"/>
        </w:rPr>
        <w:t>en</w:t>
      </w:r>
      <w:r>
        <w:rPr>
          <w:color w:val="231F20"/>
          <w:spacing w:val="-26"/>
          <w:w w:val="105"/>
        </w:rPr>
        <w:t> </w:t>
      </w:r>
      <w:r>
        <w:rPr>
          <w:color w:val="231F20"/>
          <w:w w:val="105"/>
        </w:rPr>
        <w:t>contacto</w:t>
      </w:r>
      <w:r>
        <w:rPr>
          <w:color w:val="231F20"/>
          <w:spacing w:val="-26"/>
          <w:w w:val="105"/>
        </w:rPr>
        <w:t> </w:t>
      </w:r>
      <w:r>
        <w:rPr>
          <w:color w:val="231F20"/>
          <w:w w:val="105"/>
        </w:rPr>
        <w:t>para</w:t>
      </w:r>
      <w:r>
        <w:rPr>
          <w:color w:val="231F20"/>
          <w:spacing w:val="-26"/>
          <w:w w:val="105"/>
        </w:rPr>
        <w:t> </w:t>
      </w:r>
      <w:r>
        <w:rPr>
          <w:color w:val="231F20"/>
          <w:w w:val="105"/>
        </w:rPr>
        <w:t>comerciarlo</w:t>
      </w:r>
      <w:r>
        <w:rPr>
          <w:color w:val="231F20"/>
          <w:spacing w:val="-26"/>
          <w:w w:val="105"/>
        </w:rPr>
        <w:t> </w:t>
      </w:r>
      <w:r>
        <w:rPr>
          <w:color w:val="231F20"/>
          <w:w w:val="105"/>
        </w:rPr>
        <w:t>(Dornbusch</w:t>
      </w:r>
      <w:r>
        <w:rPr>
          <w:color w:val="231F20"/>
          <w:spacing w:val="-26"/>
          <w:w w:val="105"/>
        </w:rPr>
        <w:t> </w:t>
      </w:r>
      <w:r>
        <w:rPr>
          <w:color w:val="231F20"/>
          <w:w w:val="105"/>
        </w:rPr>
        <w:t>y</w:t>
      </w:r>
      <w:r>
        <w:rPr>
          <w:color w:val="231F20"/>
          <w:spacing w:val="-26"/>
          <w:w w:val="105"/>
        </w:rPr>
        <w:t> </w:t>
      </w:r>
      <w:r>
        <w:rPr>
          <w:color w:val="231F20"/>
          <w:w w:val="105"/>
        </w:rPr>
        <w:t>Fischer,</w:t>
      </w:r>
      <w:r>
        <w:rPr>
          <w:color w:val="231F20"/>
          <w:spacing w:val="-30"/>
          <w:w w:val="105"/>
        </w:rPr>
        <w:t> </w:t>
      </w:r>
      <w:r>
        <w:rPr>
          <w:color w:val="231F20"/>
          <w:w w:val="105"/>
        </w:rPr>
        <w:t>1985).</w:t>
      </w:r>
    </w:p>
    <w:p>
      <w:pPr>
        <w:pStyle w:val="BodyText"/>
        <w:spacing w:line="259" w:lineRule="auto"/>
        <w:ind w:left="103" w:right="109" w:firstLine="567"/>
        <w:jc w:val="both"/>
      </w:pPr>
      <w:r>
        <w:rPr>
          <w:color w:val="231F20"/>
          <w:w w:val="105"/>
        </w:rPr>
        <w:t>Al existir diversos tipos de “mercado” (los de bienes, los de ser- vicios, los de bonos y los financieros) no puede ser considerado como organismo único (Araneda, 1980). Esta división o clasificación está en función</w:t>
      </w:r>
      <w:r>
        <w:rPr>
          <w:color w:val="231F20"/>
          <w:spacing w:val="-34"/>
          <w:w w:val="105"/>
        </w:rPr>
        <w:t> </w:t>
      </w:r>
      <w:r>
        <w:rPr>
          <w:color w:val="231F20"/>
          <w:w w:val="105"/>
        </w:rPr>
        <w:t>de</w:t>
      </w:r>
      <w:r>
        <w:rPr>
          <w:color w:val="231F20"/>
          <w:spacing w:val="-34"/>
          <w:w w:val="105"/>
        </w:rPr>
        <w:t> </w:t>
      </w:r>
      <w:r>
        <w:rPr>
          <w:color w:val="231F20"/>
          <w:w w:val="105"/>
        </w:rPr>
        <w:t>rasgos</w:t>
      </w:r>
      <w:r>
        <w:rPr>
          <w:color w:val="231F20"/>
          <w:spacing w:val="-34"/>
          <w:w w:val="105"/>
        </w:rPr>
        <w:t> </w:t>
      </w:r>
      <w:r>
        <w:rPr>
          <w:color w:val="231F20"/>
          <w:w w:val="105"/>
        </w:rPr>
        <w:t>diferenciales;</w:t>
      </w:r>
      <w:r>
        <w:rPr>
          <w:color w:val="231F20"/>
          <w:spacing w:val="-34"/>
          <w:w w:val="105"/>
        </w:rPr>
        <w:t> </w:t>
      </w:r>
      <w:r>
        <w:rPr>
          <w:color w:val="231F20"/>
          <w:w w:val="105"/>
        </w:rPr>
        <w:t>algunas</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principales</w:t>
      </w:r>
      <w:r>
        <w:rPr>
          <w:color w:val="231F20"/>
          <w:spacing w:val="-34"/>
          <w:w w:val="105"/>
        </w:rPr>
        <w:t> </w:t>
      </w:r>
      <w:r>
        <w:rPr>
          <w:color w:val="231F20"/>
          <w:w w:val="105"/>
        </w:rPr>
        <w:t>características que</w:t>
      </w:r>
      <w:r>
        <w:rPr>
          <w:color w:val="231F20"/>
          <w:spacing w:val="-10"/>
          <w:w w:val="105"/>
        </w:rPr>
        <w:t> </w:t>
      </w:r>
      <w:r>
        <w:rPr>
          <w:color w:val="231F20"/>
          <w:w w:val="105"/>
        </w:rPr>
        <w:t>se</w:t>
      </w:r>
      <w:r>
        <w:rPr>
          <w:color w:val="231F20"/>
          <w:spacing w:val="-10"/>
          <w:w w:val="105"/>
        </w:rPr>
        <w:t> </w:t>
      </w:r>
      <w:r>
        <w:rPr>
          <w:color w:val="231F20"/>
          <w:w w:val="105"/>
        </w:rPr>
        <w:t>consideran</w:t>
      </w:r>
      <w:r>
        <w:rPr>
          <w:color w:val="231F20"/>
          <w:spacing w:val="-10"/>
          <w:w w:val="105"/>
        </w:rPr>
        <w:t> </w:t>
      </w:r>
      <w:r>
        <w:rPr>
          <w:color w:val="231F20"/>
          <w:w w:val="105"/>
        </w:rPr>
        <w:t>para</w:t>
      </w:r>
      <w:r>
        <w:rPr>
          <w:color w:val="231F20"/>
          <w:spacing w:val="-10"/>
          <w:w w:val="105"/>
        </w:rPr>
        <w:t> </w:t>
      </w:r>
      <w:r>
        <w:rPr>
          <w:color w:val="231F20"/>
          <w:w w:val="105"/>
        </w:rPr>
        <w:t>clasificar</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mercados</w:t>
      </w:r>
      <w:r>
        <w:rPr>
          <w:color w:val="231F20"/>
          <w:spacing w:val="-10"/>
          <w:w w:val="105"/>
        </w:rPr>
        <w:t> </w:t>
      </w:r>
      <w:r>
        <w:rPr>
          <w:color w:val="231F20"/>
          <w:w w:val="105"/>
        </w:rPr>
        <w:t>son:</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demanda, nivel</w:t>
      </w:r>
      <w:r>
        <w:rPr>
          <w:color w:val="231F20"/>
          <w:spacing w:val="-20"/>
          <w:w w:val="105"/>
        </w:rPr>
        <w:t> </w:t>
      </w:r>
      <w:r>
        <w:rPr>
          <w:color w:val="231F20"/>
          <w:w w:val="105"/>
        </w:rPr>
        <w:t>de</w:t>
      </w:r>
      <w:r>
        <w:rPr>
          <w:color w:val="231F20"/>
          <w:spacing w:val="-20"/>
          <w:w w:val="105"/>
        </w:rPr>
        <w:t> </w:t>
      </w:r>
      <w:r>
        <w:rPr>
          <w:color w:val="231F20"/>
          <w:w w:val="105"/>
        </w:rPr>
        <w:t>competencia,</w:t>
      </w:r>
      <w:r>
        <w:rPr>
          <w:color w:val="231F20"/>
          <w:spacing w:val="-26"/>
          <w:w w:val="105"/>
        </w:rPr>
        <w:t> </w:t>
      </w:r>
      <w:r>
        <w:rPr>
          <w:color w:val="231F20"/>
          <w:w w:val="105"/>
        </w:rPr>
        <w:t>ámbito</w:t>
      </w:r>
      <w:r>
        <w:rPr>
          <w:color w:val="231F20"/>
          <w:spacing w:val="-20"/>
          <w:w w:val="105"/>
        </w:rPr>
        <w:t> </w:t>
      </w:r>
      <w:r>
        <w:rPr>
          <w:color w:val="231F20"/>
          <w:w w:val="105"/>
        </w:rPr>
        <w:t>geográfico-espacial,</w:t>
      </w:r>
      <w:r>
        <w:rPr>
          <w:color w:val="231F20"/>
          <w:spacing w:val="-26"/>
          <w:w w:val="105"/>
        </w:rPr>
        <w:t> </w:t>
      </w:r>
      <w:r>
        <w:rPr>
          <w:color w:val="231F20"/>
          <w:w w:val="105"/>
        </w:rPr>
        <w:t>naturaleza</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pro- ductos,</w:t>
      </w:r>
      <w:r>
        <w:rPr>
          <w:color w:val="231F20"/>
          <w:spacing w:val="-17"/>
          <w:w w:val="105"/>
        </w:rPr>
        <w:t> </w:t>
      </w:r>
      <w:r>
        <w:rPr>
          <w:color w:val="231F20"/>
          <w:w w:val="105"/>
        </w:rPr>
        <w:t>beneficios</w:t>
      </w:r>
      <w:r>
        <w:rPr>
          <w:color w:val="231F20"/>
          <w:spacing w:val="-12"/>
          <w:w w:val="105"/>
        </w:rPr>
        <w:t> </w:t>
      </w:r>
      <w:r>
        <w:rPr>
          <w:color w:val="231F20"/>
          <w:w w:val="105"/>
        </w:rPr>
        <w:t>buscados,</w:t>
      </w:r>
      <w:r>
        <w:rPr>
          <w:color w:val="231F20"/>
          <w:spacing w:val="-17"/>
          <w:w w:val="105"/>
        </w:rPr>
        <w:t> </w:t>
      </w:r>
      <w:r>
        <w:rPr>
          <w:color w:val="231F20"/>
          <w:w w:val="105"/>
        </w:rPr>
        <w:t>características</w:t>
      </w:r>
      <w:r>
        <w:rPr>
          <w:color w:val="231F20"/>
          <w:spacing w:val="-12"/>
          <w:w w:val="105"/>
        </w:rPr>
        <w:t> </w:t>
      </w:r>
      <w:r>
        <w:rPr>
          <w:color w:val="231F20"/>
          <w:w w:val="105"/>
        </w:rPr>
        <w:t>del</w:t>
      </w:r>
      <w:r>
        <w:rPr>
          <w:color w:val="231F20"/>
          <w:spacing w:val="-12"/>
          <w:w w:val="105"/>
        </w:rPr>
        <w:t> </w:t>
      </w:r>
      <w:r>
        <w:rPr>
          <w:color w:val="231F20"/>
          <w:w w:val="105"/>
        </w:rPr>
        <w:t>consumidor,</w:t>
      </w:r>
      <w:r>
        <w:rPr>
          <w:color w:val="231F20"/>
          <w:spacing w:val="-17"/>
          <w:w w:val="105"/>
        </w:rPr>
        <w:t> </w:t>
      </w:r>
      <w:r>
        <w:rPr>
          <w:color w:val="231F20"/>
          <w:w w:val="105"/>
        </w:rPr>
        <w:t>intensidad de</w:t>
      </w:r>
      <w:r>
        <w:rPr>
          <w:color w:val="231F20"/>
          <w:spacing w:val="-17"/>
          <w:w w:val="105"/>
        </w:rPr>
        <w:t> </w:t>
      </w:r>
      <w:r>
        <w:rPr>
          <w:color w:val="231F20"/>
          <w:w w:val="105"/>
        </w:rPr>
        <w:t>la</w:t>
      </w:r>
      <w:r>
        <w:rPr>
          <w:color w:val="231F20"/>
          <w:spacing w:val="-17"/>
          <w:w w:val="105"/>
        </w:rPr>
        <w:t> </w:t>
      </w:r>
      <w:r>
        <w:rPr>
          <w:color w:val="231F20"/>
          <w:w w:val="105"/>
        </w:rPr>
        <w:t>demanda</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oferta,</w:t>
      </w:r>
      <w:r>
        <w:rPr>
          <w:color w:val="231F20"/>
          <w:spacing w:val="-23"/>
          <w:w w:val="105"/>
        </w:rPr>
        <w:t> </w:t>
      </w:r>
      <w:r>
        <w:rPr>
          <w:color w:val="231F20"/>
          <w:w w:val="105"/>
        </w:rPr>
        <w:t>ámbito</w:t>
      </w:r>
      <w:r>
        <w:rPr>
          <w:color w:val="231F20"/>
          <w:spacing w:val="-17"/>
          <w:w w:val="105"/>
        </w:rPr>
        <w:t> </w:t>
      </w:r>
      <w:r>
        <w:rPr>
          <w:color w:val="231F20"/>
          <w:w w:val="105"/>
        </w:rPr>
        <w:t>temporal,</w:t>
      </w:r>
      <w:r>
        <w:rPr>
          <w:color w:val="231F20"/>
          <w:spacing w:val="-23"/>
          <w:w w:val="105"/>
        </w:rPr>
        <w:t> </w:t>
      </w:r>
      <w:r>
        <w:rPr>
          <w:color w:val="231F20"/>
          <w:w w:val="105"/>
        </w:rPr>
        <w:t>entre</w:t>
      </w:r>
      <w:r>
        <w:rPr>
          <w:color w:val="231F20"/>
          <w:spacing w:val="-17"/>
          <w:w w:val="105"/>
        </w:rPr>
        <w:t> </w:t>
      </w:r>
      <w:r>
        <w:rPr>
          <w:color w:val="231F20"/>
          <w:w w:val="105"/>
        </w:rPr>
        <w:t>otros</w:t>
      </w:r>
      <w:r>
        <w:rPr>
          <w:color w:val="231F20"/>
          <w:spacing w:val="-17"/>
          <w:w w:val="105"/>
        </w:rPr>
        <w:t> </w:t>
      </w:r>
      <w:r>
        <w:rPr>
          <w:color w:val="231F20"/>
          <w:w w:val="105"/>
        </w:rPr>
        <w:t>(Díaz,</w:t>
      </w:r>
      <w:r>
        <w:rPr>
          <w:color w:val="231F20"/>
          <w:spacing w:val="-23"/>
          <w:w w:val="105"/>
        </w:rPr>
        <w:t> </w:t>
      </w:r>
      <w:r>
        <w:rPr>
          <w:color w:val="231F20"/>
          <w:w w:val="105"/>
        </w:rPr>
        <w:t>1999).</w:t>
      </w:r>
    </w:p>
    <w:p>
      <w:pPr>
        <w:pStyle w:val="BodyText"/>
        <w:rPr>
          <w:sz w:val="20"/>
        </w:rPr>
      </w:pPr>
    </w:p>
    <w:p>
      <w:pPr>
        <w:pStyle w:val="BodyText"/>
        <w:spacing w:before="7"/>
        <w:rPr>
          <w:sz w:val="18"/>
        </w:rPr>
      </w:pPr>
    </w:p>
    <w:p>
      <w:pPr>
        <w:pStyle w:val="Heading2"/>
        <w:ind w:left="103"/>
      </w:pPr>
      <w:r>
        <w:rPr>
          <w:color w:val="231F20"/>
        </w:rPr>
        <w:t>Teoría neoclásica del mercado de trabajo</w:t>
      </w:r>
    </w:p>
    <w:p>
      <w:pPr>
        <w:pStyle w:val="BodyText"/>
        <w:rPr>
          <w:b/>
          <w:sz w:val="22"/>
        </w:rPr>
      </w:pPr>
    </w:p>
    <w:p>
      <w:pPr>
        <w:pStyle w:val="BodyText"/>
        <w:spacing w:line="259" w:lineRule="auto" w:before="160"/>
        <w:ind w:left="103" w:right="114"/>
        <w:jc w:val="both"/>
      </w:pPr>
      <w:r>
        <w:rPr>
          <w:color w:val="231F20"/>
          <w:w w:val="105"/>
        </w:rPr>
        <w:t>La teoría neoclásica del mercado de trabajo, como otras escuelas del pensamiento económico surge de los supuestos teóricos que le prece- den</w:t>
      </w:r>
      <w:r>
        <w:rPr>
          <w:color w:val="231F20"/>
          <w:spacing w:val="-7"/>
          <w:w w:val="105"/>
        </w:rPr>
        <w:t> </w:t>
      </w:r>
      <w:r>
        <w:rPr>
          <w:color w:val="231F20"/>
          <w:spacing w:val="-4"/>
          <w:w w:val="105"/>
        </w:rPr>
        <w:t>y,</w:t>
      </w:r>
      <w:r>
        <w:rPr>
          <w:color w:val="231F20"/>
          <w:spacing w:val="-14"/>
          <w:w w:val="105"/>
        </w:rPr>
        <w:t> </w:t>
      </w:r>
      <w:r>
        <w:rPr>
          <w:color w:val="231F20"/>
          <w:w w:val="105"/>
        </w:rPr>
        <w:t>a</w:t>
      </w:r>
      <w:r>
        <w:rPr>
          <w:color w:val="231F20"/>
          <w:spacing w:val="-7"/>
          <w:w w:val="105"/>
        </w:rPr>
        <w:t> </w:t>
      </w:r>
      <w:r>
        <w:rPr>
          <w:color w:val="231F20"/>
          <w:w w:val="105"/>
        </w:rPr>
        <w:t>partir</w:t>
      </w:r>
      <w:r>
        <w:rPr>
          <w:color w:val="231F20"/>
          <w:spacing w:val="-7"/>
          <w:w w:val="105"/>
        </w:rPr>
        <w:t> </w:t>
      </w:r>
      <w:r>
        <w:rPr>
          <w:color w:val="231F20"/>
          <w:w w:val="105"/>
        </w:rPr>
        <w:t>de</w:t>
      </w:r>
      <w:r>
        <w:rPr>
          <w:color w:val="231F20"/>
          <w:spacing w:val="-7"/>
          <w:w w:val="105"/>
        </w:rPr>
        <w:t> </w:t>
      </w:r>
      <w:r>
        <w:rPr>
          <w:color w:val="231F20"/>
          <w:w w:val="105"/>
        </w:rPr>
        <w:t>ahí,</w:t>
      </w:r>
      <w:r>
        <w:rPr>
          <w:color w:val="231F20"/>
          <w:spacing w:val="-14"/>
          <w:w w:val="105"/>
        </w:rPr>
        <w:t> </w:t>
      </w:r>
      <w:r>
        <w:rPr>
          <w:color w:val="231F20"/>
          <w:w w:val="105"/>
        </w:rPr>
        <w:t>desarrolla</w:t>
      </w:r>
      <w:r>
        <w:rPr>
          <w:color w:val="231F20"/>
          <w:spacing w:val="-7"/>
          <w:w w:val="105"/>
        </w:rPr>
        <w:t> </w:t>
      </w:r>
      <w:r>
        <w:rPr>
          <w:color w:val="231F20"/>
          <w:w w:val="105"/>
        </w:rPr>
        <w:t>los</w:t>
      </w:r>
      <w:r>
        <w:rPr>
          <w:color w:val="231F20"/>
          <w:spacing w:val="-7"/>
          <w:w w:val="105"/>
        </w:rPr>
        <w:t> </w:t>
      </w:r>
      <w:r>
        <w:rPr>
          <w:color w:val="231F20"/>
          <w:w w:val="105"/>
        </w:rPr>
        <w:t>propios,</w:t>
      </w:r>
      <w:r>
        <w:rPr>
          <w:color w:val="231F20"/>
          <w:spacing w:val="-14"/>
          <w:w w:val="105"/>
        </w:rPr>
        <w:t> </w:t>
      </w:r>
      <w:r>
        <w:rPr>
          <w:color w:val="231F20"/>
          <w:w w:val="105"/>
        </w:rPr>
        <w:t>retomando</w:t>
      </w:r>
      <w:r>
        <w:rPr>
          <w:color w:val="231F20"/>
          <w:spacing w:val="-7"/>
          <w:w w:val="105"/>
        </w:rPr>
        <w:t> </w:t>
      </w:r>
      <w:r>
        <w:rPr>
          <w:color w:val="231F20"/>
          <w:w w:val="105"/>
        </w:rPr>
        <w:t>conceptos</w:t>
      </w:r>
      <w:r>
        <w:rPr>
          <w:color w:val="231F20"/>
          <w:spacing w:val="-7"/>
          <w:w w:val="105"/>
        </w:rPr>
        <w:t> </w:t>
      </w:r>
      <w:r>
        <w:rPr>
          <w:color w:val="231F20"/>
          <w:w w:val="105"/>
        </w:rPr>
        <w:t>de</w:t>
      </w:r>
      <w:r>
        <w:rPr>
          <w:color w:val="231F20"/>
          <w:spacing w:val="-7"/>
          <w:w w:val="105"/>
        </w:rPr>
        <w:t> </w:t>
      </w:r>
      <w:r>
        <w:rPr>
          <w:color w:val="231F20"/>
          <w:w w:val="105"/>
        </w:rPr>
        <w:t>la escuela clásica, pero rechazando uno fundamental: la ley del valor del trabajo, la cual señala que el valor depende de la cantidad de trabajo incorporado</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producción</w:t>
      </w:r>
      <w:r>
        <w:rPr>
          <w:color w:val="231F20"/>
          <w:spacing w:val="-8"/>
          <w:w w:val="105"/>
        </w:rPr>
        <w:t> </w:t>
      </w:r>
      <w:r>
        <w:rPr>
          <w:color w:val="231F20"/>
          <w:w w:val="105"/>
        </w:rPr>
        <w:t>(Ruiz,</w:t>
      </w:r>
      <w:r>
        <w:rPr>
          <w:color w:val="231F20"/>
          <w:spacing w:val="-14"/>
          <w:w w:val="105"/>
        </w:rPr>
        <w:t> </w:t>
      </w:r>
      <w:r>
        <w:rPr>
          <w:color w:val="231F20"/>
          <w:w w:val="105"/>
        </w:rPr>
        <w:t>2011),</w:t>
      </w:r>
      <w:r>
        <w:rPr>
          <w:color w:val="231F20"/>
          <w:spacing w:val="-14"/>
          <w:w w:val="105"/>
        </w:rPr>
        <w:t> </w:t>
      </w:r>
      <w:r>
        <w:rPr>
          <w:color w:val="231F20"/>
          <w:w w:val="105"/>
        </w:rPr>
        <w:t>y</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lugar</w:t>
      </w:r>
      <w:r>
        <w:rPr>
          <w:color w:val="231F20"/>
          <w:spacing w:val="-8"/>
          <w:w w:val="105"/>
        </w:rPr>
        <w:t> </w:t>
      </w:r>
      <w:r>
        <w:rPr>
          <w:color w:val="231F20"/>
          <w:w w:val="105"/>
        </w:rPr>
        <w:t>desarrolla</w:t>
      </w:r>
      <w:r>
        <w:rPr>
          <w:color w:val="231F20"/>
          <w:spacing w:val="-8"/>
          <w:w w:val="105"/>
        </w:rPr>
        <w:t> </w:t>
      </w:r>
      <w:r>
        <w:rPr>
          <w:color w:val="231F20"/>
          <w:w w:val="105"/>
        </w:rPr>
        <w:t>la</w:t>
      </w:r>
      <w:r>
        <w:rPr>
          <w:color w:val="231F20"/>
          <w:spacing w:val="-8"/>
          <w:w w:val="105"/>
        </w:rPr>
        <w:t> </w:t>
      </w:r>
      <w:r>
        <w:rPr>
          <w:color w:val="231F20"/>
          <w:w w:val="105"/>
        </w:rPr>
        <w:t>de- nominada</w:t>
      </w:r>
      <w:r>
        <w:rPr>
          <w:color w:val="231F20"/>
          <w:spacing w:val="-18"/>
          <w:w w:val="105"/>
        </w:rPr>
        <w:t> </w:t>
      </w:r>
      <w:r>
        <w:rPr>
          <w:color w:val="231F20"/>
          <w:w w:val="105"/>
        </w:rPr>
        <w:t>teoría</w:t>
      </w:r>
      <w:r>
        <w:rPr>
          <w:color w:val="231F20"/>
          <w:spacing w:val="-18"/>
          <w:w w:val="105"/>
        </w:rPr>
        <w:t> </w:t>
      </w:r>
      <w:r>
        <w:rPr>
          <w:color w:val="231F20"/>
          <w:w w:val="105"/>
        </w:rPr>
        <w:t>subjetiva</w:t>
      </w:r>
      <w:r>
        <w:rPr>
          <w:color w:val="231F20"/>
          <w:spacing w:val="-18"/>
          <w:w w:val="105"/>
        </w:rPr>
        <w:t> </w:t>
      </w:r>
      <w:r>
        <w:rPr>
          <w:color w:val="231F20"/>
          <w:w w:val="105"/>
        </w:rPr>
        <w:t>del</w:t>
      </w:r>
      <w:r>
        <w:rPr>
          <w:color w:val="231F20"/>
          <w:spacing w:val="-18"/>
          <w:w w:val="105"/>
        </w:rPr>
        <w:t> </w:t>
      </w:r>
      <w:r>
        <w:rPr>
          <w:color w:val="231F20"/>
          <w:w w:val="105"/>
        </w:rPr>
        <w:t>valor.</w:t>
      </w:r>
    </w:p>
    <w:p>
      <w:pPr>
        <w:pStyle w:val="BodyText"/>
        <w:spacing w:line="259" w:lineRule="auto"/>
        <w:ind w:left="103" w:right="108" w:firstLine="567"/>
        <w:jc w:val="both"/>
      </w:pPr>
      <w:r>
        <w:rPr>
          <w:color w:val="231F20"/>
          <w:w w:val="105"/>
        </w:rPr>
        <w:t>La</w:t>
      </w:r>
      <w:r>
        <w:rPr>
          <w:color w:val="231F20"/>
          <w:spacing w:val="-24"/>
          <w:w w:val="105"/>
        </w:rPr>
        <w:t> </w:t>
      </w:r>
      <w:r>
        <w:rPr>
          <w:color w:val="231F20"/>
          <w:w w:val="105"/>
        </w:rPr>
        <w:t>perspectiva</w:t>
      </w:r>
      <w:r>
        <w:rPr>
          <w:color w:val="231F20"/>
          <w:spacing w:val="-24"/>
          <w:w w:val="105"/>
        </w:rPr>
        <w:t> </w:t>
      </w:r>
      <w:r>
        <w:rPr>
          <w:color w:val="231F20"/>
          <w:w w:val="105"/>
        </w:rPr>
        <w:t>económica</w:t>
      </w:r>
      <w:r>
        <w:rPr>
          <w:color w:val="231F20"/>
          <w:spacing w:val="-24"/>
          <w:w w:val="105"/>
        </w:rPr>
        <w:t> </w:t>
      </w:r>
      <w:r>
        <w:rPr>
          <w:color w:val="231F20"/>
          <w:w w:val="105"/>
        </w:rPr>
        <w:t>neoclásica</w:t>
      </w:r>
      <w:r>
        <w:rPr>
          <w:color w:val="231F20"/>
          <w:spacing w:val="-24"/>
          <w:w w:val="105"/>
        </w:rPr>
        <w:t> </w:t>
      </w:r>
      <w:r>
        <w:rPr>
          <w:color w:val="231F20"/>
          <w:w w:val="105"/>
        </w:rPr>
        <w:t>considera</w:t>
      </w:r>
      <w:r>
        <w:rPr>
          <w:color w:val="231F20"/>
          <w:spacing w:val="-24"/>
          <w:w w:val="105"/>
        </w:rPr>
        <w:t> </w:t>
      </w:r>
      <w:r>
        <w:rPr>
          <w:color w:val="231F20"/>
          <w:w w:val="105"/>
        </w:rPr>
        <w:t>al</w:t>
      </w:r>
      <w:r>
        <w:rPr>
          <w:color w:val="231F20"/>
          <w:spacing w:val="-24"/>
          <w:w w:val="105"/>
        </w:rPr>
        <w:t> </w:t>
      </w:r>
      <w:r>
        <w:rPr>
          <w:color w:val="231F20"/>
          <w:w w:val="105"/>
        </w:rPr>
        <w:t>mercado</w:t>
      </w:r>
      <w:r>
        <w:rPr>
          <w:color w:val="231F20"/>
          <w:spacing w:val="-24"/>
          <w:w w:val="105"/>
        </w:rPr>
        <w:t> </w:t>
      </w:r>
      <w:r>
        <w:rPr>
          <w:color w:val="231F20"/>
          <w:w w:val="105"/>
        </w:rPr>
        <w:t>de</w:t>
      </w:r>
      <w:r>
        <w:rPr>
          <w:color w:val="231F20"/>
          <w:spacing w:val="-24"/>
          <w:w w:val="105"/>
        </w:rPr>
        <w:t> </w:t>
      </w:r>
      <w:r>
        <w:rPr>
          <w:color w:val="231F20"/>
          <w:w w:val="105"/>
        </w:rPr>
        <w:t>tra- bajo como a cualquier otro mercado de bienes, donde el trabajador no resulta</w:t>
      </w:r>
      <w:r>
        <w:rPr>
          <w:color w:val="231F20"/>
          <w:spacing w:val="-8"/>
          <w:w w:val="105"/>
        </w:rPr>
        <w:t> </w:t>
      </w:r>
      <w:r>
        <w:rPr>
          <w:color w:val="231F20"/>
          <w:w w:val="105"/>
        </w:rPr>
        <w:t>afectado</w:t>
      </w:r>
      <w:r>
        <w:rPr>
          <w:color w:val="231F20"/>
          <w:spacing w:val="-8"/>
          <w:w w:val="105"/>
        </w:rPr>
        <w:t> </w:t>
      </w:r>
      <w:r>
        <w:rPr>
          <w:color w:val="231F20"/>
          <w:w w:val="105"/>
        </w:rPr>
        <w:t>por</w:t>
      </w:r>
      <w:r>
        <w:rPr>
          <w:color w:val="231F20"/>
          <w:spacing w:val="-8"/>
          <w:w w:val="105"/>
        </w:rPr>
        <w:t> </w:t>
      </w:r>
      <w:r>
        <w:rPr>
          <w:color w:val="231F20"/>
          <w:w w:val="105"/>
        </w:rPr>
        <w:t>aspectos</w:t>
      </w:r>
      <w:r>
        <w:rPr>
          <w:color w:val="231F20"/>
          <w:spacing w:val="-8"/>
          <w:w w:val="105"/>
        </w:rPr>
        <w:t> </w:t>
      </w:r>
      <w:r>
        <w:rPr>
          <w:color w:val="231F20"/>
          <w:w w:val="105"/>
        </w:rPr>
        <w:t>de</w:t>
      </w:r>
      <w:r>
        <w:rPr>
          <w:color w:val="231F20"/>
          <w:spacing w:val="-8"/>
          <w:w w:val="105"/>
        </w:rPr>
        <w:t> </w:t>
      </w:r>
      <w:r>
        <w:rPr>
          <w:color w:val="231F20"/>
          <w:w w:val="105"/>
        </w:rPr>
        <w:t>tipo</w:t>
      </w:r>
      <w:r>
        <w:rPr>
          <w:color w:val="231F20"/>
          <w:spacing w:val="-8"/>
          <w:w w:val="105"/>
        </w:rPr>
        <w:t> </w:t>
      </w:r>
      <w:r>
        <w:rPr>
          <w:color w:val="231F20"/>
          <w:w w:val="105"/>
        </w:rPr>
        <w:t>social,</w:t>
      </w:r>
      <w:r>
        <w:rPr>
          <w:color w:val="231F20"/>
          <w:spacing w:val="-15"/>
          <w:w w:val="105"/>
        </w:rPr>
        <w:t> </w:t>
      </w:r>
      <w:r>
        <w:rPr>
          <w:color w:val="231F20"/>
          <w:w w:val="105"/>
        </w:rPr>
        <w:t>de</w:t>
      </w:r>
      <w:r>
        <w:rPr>
          <w:color w:val="231F20"/>
          <w:spacing w:val="-8"/>
          <w:w w:val="105"/>
        </w:rPr>
        <w:t> </w:t>
      </w:r>
      <w:r>
        <w:rPr>
          <w:color w:val="231F20"/>
          <w:w w:val="105"/>
        </w:rPr>
        <w:t>espacio,</w:t>
      </w:r>
      <w:r>
        <w:rPr>
          <w:color w:val="231F20"/>
          <w:spacing w:val="-15"/>
          <w:w w:val="105"/>
        </w:rPr>
        <w:t> </w:t>
      </w:r>
      <w:r>
        <w:rPr>
          <w:color w:val="231F20"/>
          <w:w w:val="105"/>
        </w:rPr>
        <w:t>de</w:t>
      </w:r>
      <w:r>
        <w:rPr>
          <w:color w:val="231F20"/>
          <w:spacing w:val="-8"/>
          <w:w w:val="105"/>
        </w:rPr>
        <w:t> </w:t>
      </w:r>
      <w:r>
        <w:rPr>
          <w:color w:val="231F20"/>
          <w:w w:val="105"/>
        </w:rPr>
        <w:t>tiempo</w:t>
      </w:r>
      <w:r>
        <w:rPr>
          <w:color w:val="231F20"/>
          <w:spacing w:val="-8"/>
          <w:w w:val="105"/>
        </w:rPr>
        <w:t> </w:t>
      </w:r>
      <w:r>
        <w:rPr>
          <w:color w:val="231F20"/>
          <w:w w:val="105"/>
        </w:rPr>
        <w:t>o</w:t>
      </w:r>
      <w:r>
        <w:rPr>
          <w:color w:val="231F20"/>
          <w:spacing w:val="-8"/>
          <w:w w:val="105"/>
        </w:rPr>
        <w:t> </w:t>
      </w:r>
      <w:r>
        <w:rPr>
          <w:color w:val="231F20"/>
          <w:w w:val="105"/>
        </w:rPr>
        <w:t>de cualquier</w:t>
      </w:r>
      <w:r>
        <w:rPr>
          <w:color w:val="231F20"/>
          <w:spacing w:val="-33"/>
          <w:w w:val="105"/>
        </w:rPr>
        <w:t> </w:t>
      </w:r>
      <w:r>
        <w:rPr>
          <w:color w:val="231F20"/>
          <w:w w:val="105"/>
        </w:rPr>
        <w:t>otro</w:t>
      </w:r>
      <w:r>
        <w:rPr>
          <w:color w:val="231F20"/>
          <w:spacing w:val="-33"/>
          <w:w w:val="105"/>
        </w:rPr>
        <w:t> </w:t>
      </w:r>
      <w:r>
        <w:rPr>
          <w:color w:val="231F20"/>
          <w:w w:val="105"/>
        </w:rPr>
        <w:t>recurso</w:t>
      </w:r>
      <w:r>
        <w:rPr>
          <w:color w:val="231F20"/>
          <w:spacing w:val="-33"/>
          <w:w w:val="105"/>
        </w:rPr>
        <w:t> </w:t>
      </w:r>
      <w:r>
        <w:rPr>
          <w:color w:val="231F20"/>
          <w:w w:val="105"/>
        </w:rPr>
        <w:t>(son</w:t>
      </w:r>
      <w:r>
        <w:rPr>
          <w:color w:val="231F20"/>
          <w:spacing w:val="-33"/>
          <w:w w:val="105"/>
        </w:rPr>
        <w:t> </w:t>
      </w:r>
      <w:r>
        <w:rPr>
          <w:color w:val="231F20"/>
          <w:w w:val="105"/>
        </w:rPr>
        <w:t>inagotables)</w:t>
      </w:r>
      <w:r>
        <w:rPr>
          <w:color w:val="231F20"/>
          <w:spacing w:val="-33"/>
          <w:w w:val="105"/>
        </w:rPr>
        <w:t> </w:t>
      </w:r>
      <w:r>
        <w:rPr>
          <w:color w:val="231F20"/>
          <w:w w:val="105"/>
        </w:rPr>
        <w:t>(Solow,</w:t>
      </w:r>
      <w:r>
        <w:rPr>
          <w:color w:val="231F20"/>
          <w:spacing w:val="-37"/>
          <w:w w:val="105"/>
        </w:rPr>
        <w:t> </w:t>
      </w:r>
      <w:r>
        <w:rPr>
          <w:color w:val="231F20"/>
          <w:w w:val="105"/>
        </w:rPr>
        <w:t>1992).</w:t>
      </w:r>
      <w:r>
        <w:rPr>
          <w:color w:val="231F20"/>
          <w:spacing w:val="-37"/>
          <w:w w:val="105"/>
        </w:rPr>
        <w:t> </w:t>
      </w:r>
      <w:r>
        <w:rPr>
          <w:color w:val="231F20"/>
          <w:w w:val="105"/>
        </w:rPr>
        <w:t>La</w:t>
      </w:r>
      <w:r>
        <w:rPr>
          <w:color w:val="231F20"/>
          <w:spacing w:val="-33"/>
          <w:w w:val="105"/>
        </w:rPr>
        <w:t> </w:t>
      </w:r>
      <w:r>
        <w:rPr>
          <w:color w:val="231F20"/>
          <w:w w:val="105"/>
        </w:rPr>
        <w:t>LEy</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oferta y demanda es tomada como base para ajustar el empleo y</w:t>
      </w:r>
      <w:r>
        <w:rPr>
          <w:color w:val="231F20"/>
          <w:spacing w:val="-19"/>
          <w:w w:val="105"/>
        </w:rPr>
        <w:t> </w:t>
      </w:r>
      <w:r>
        <w:rPr>
          <w:color w:val="231F20"/>
          <w:w w:val="105"/>
        </w:rPr>
        <w:t>desempleo, así</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tasa</w:t>
      </w:r>
      <w:r>
        <w:rPr>
          <w:color w:val="231F20"/>
          <w:spacing w:val="-18"/>
          <w:w w:val="105"/>
        </w:rPr>
        <w:t> </w:t>
      </w:r>
      <w:r>
        <w:rPr>
          <w:color w:val="231F20"/>
          <w:w w:val="105"/>
        </w:rPr>
        <w:t>salarial.</w:t>
      </w:r>
      <w:r>
        <w:rPr>
          <w:color w:val="231F20"/>
          <w:spacing w:val="-23"/>
          <w:w w:val="105"/>
        </w:rPr>
        <w:t> </w:t>
      </w:r>
      <w:r>
        <w:rPr>
          <w:color w:val="231F20"/>
          <w:w w:val="105"/>
        </w:rPr>
        <w:t>Los</w:t>
      </w:r>
      <w:r>
        <w:rPr>
          <w:color w:val="231F20"/>
          <w:spacing w:val="-18"/>
          <w:w w:val="105"/>
        </w:rPr>
        <w:t> </w:t>
      </w:r>
      <w:r>
        <w:rPr>
          <w:color w:val="231F20"/>
          <w:w w:val="105"/>
        </w:rPr>
        <w:t>neoclásicos</w:t>
      </w:r>
      <w:r>
        <w:rPr>
          <w:color w:val="231F20"/>
          <w:spacing w:val="-18"/>
          <w:w w:val="105"/>
        </w:rPr>
        <w:t> </w:t>
      </w:r>
      <w:r>
        <w:rPr>
          <w:color w:val="231F20"/>
          <w:w w:val="105"/>
        </w:rPr>
        <w:t>basan</w:t>
      </w:r>
      <w:r>
        <w:rPr>
          <w:color w:val="231F20"/>
          <w:spacing w:val="-18"/>
          <w:w w:val="105"/>
        </w:rPr>
        <w:t> </w:t>
      </w:r>
      <w:r>
        <w:rPr>
          <w:color w:val="231F20"/>
          <w:w w:val="105"/>
        </w:rPr>
        <w:t>su</w:t>
      </w:r>
      <w:r>
        <w:rPr>
          <w:color w:val="231F20"/>
          <w:spacing w:val="-18"/>
          <w:w w:val="105"/>
        </w:rPr>
        <w:t> </w:t>
      </w:r>
      <w:r>
        <w:rPr>
          <w:color w:val="231F20"/>
          <w:w w:val="105"/>
        </w:rPr>
        <w:t>modelo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análisis microeconómico</w:t>
      </w:r>
      <w:r>
        <w:rPr>
          <w:color w:val="231F20"/>
          <w:spacing w:val="-17"/>
          <w:w w:val="105"/>
        </w:rPr>
        <w:t> </w:t>
      </w:r>
      <w:r>
        <w:rPr>
          <w:color w:val="231F20"/>
          <w:w w:val="105"/>
        </w:rPr>
        <w:t>y</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libre</w:t>
      </w:r>
      <w:r>
        <w:rPr>
          <w:color w:val="231F20"/>
          <w:spacing w:val="-17"/>
          <w:w w:val="105"/>
        </w:rPr>
        <w:t> </w:t>
      </w:r>
      <w:r>
        <w:rPr>
          <w:color w:val="231F20"/>
          <w:w w:val="105"/>
        </w:rPr>
        <w:t>competencia</w:t>
      </w:r>
      <w:r>
        <w:rPr>
          <w:color w:val="231F20"/>
          <w:spacing w:val="-17"/>
          <w:w w:val="105"/>
        </w:rPr>
        <w:t> </w:t>
      </w:r>
      <w:r>
        <w:rPr>
          <w:color w:val="231F20"/>
          <w:w w:val="105"/>
        </w:rPr>
        <w:t>o</w:t>
      </w:r>
      <w:r>
        <w:rPr>
          <w:color w:val="231F20"/>
          <w:spacing w:val="-17"/>
          <w:w w:val="105"/>
        </w:rPr>
        <w:t> </w:t>
      </w:r>
      <w:r>
        <w:rPr>
          <w:color w:val="231F20"/>
          <w:w w:val="105"/>
        </w:rPr>
        <w:t>competencia</w:t>
      </w:r>
      <w:r>
        <w:rPr>
          <w:color w:val="231F20"/>
          <w:spacing w:val="-17"/>
          <w:w w:val="105"/>
        </w:rPr>
        <w:t> </w:t>
      </w:r>
      <w:r>
        <w:rPr>
          <w:color w:val="231F20"/>
          <w:w w:val="105"/>
        </w:rPr>
        <w:t>perfecta.</w:t>
      </w:r>
      <w:r>
        <w:rPr>
          <w:color w:val="231F20"/>
          <w:spacing w:val="-24"/>
          <w:w w:val="105"/>
        </w:rPr>
        <w:t> </w:t>
      </w:r>
      <w:r>
        <w:rPr>
          <w:color w:val="231F20"/>
          <w:w w:val="105"/>
        </w:rPr>
        <w:t>En</w:t>
      </w:r>
      <w:r>
        <w:rPr>
          <w:color w:val="231F20"/>
          <w:spacing w:val="-17"/>
          <w:w w:val="105"/>
        </w:rPr>
        <w:t> </w:t>
      </w:r>
      <w:r>
        <w:rPr>
          <w:color w:val="231F20"/>
          <w:w w:val="105"/>
        </w:rPr>
        <w:t>el análisis</w:t>
      </w:r>
      <w:r>
        <w:rPr>
          <w:color w:val="231F20"/>
          <w:spacing w:val="-20"/>
          <w:w w:val="105"/>
        </w:rPr>
        <w:t> </w:t>
      </w:r>
      <w:r>
        <w:rPr>
          <w:color w:val="231F20"/>
          <w:w w:val="105"/>
        </w:rPr>
        <w:t>del</w:t>
      </w:r>
      <w:r>
        <w:rPr>
          <w:color w:val="231F20"/>
          <w:spacing w:val="-20"/>
          <w:w w:val="105"/>
        </w:rPr>
        <w:t> </w:t>
      </w:r>
      <w:r>
        <w:rPr>
          <w:color w:val="231F20"/>
          <w:w w:val="105"/>
        </w:rPr>
        <w:t>mercado</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desde</w:t>
      </w:r>
      <w:r>
        <w:rPr>
          <w:color w:val="231F20"/>
          <w:spacing w:val="-20"/>
          <w:w w:val="105"/>
        </w:rPr>
        <w:t> </w:t>
      </w:r>
      <w:r>
        <w:rPr>
          <w:color w:val="231F20"/>
          <w:w w:val="105"/>
        </w:rPr>
        <w:t>la</w:t>
      </w:r>
      <w:r>
        <w:rPr>
          <w:color w:val="231F20"/>
          <w:spacing w:val="-20"/>
          <w:w w:val="105"/>
        </w:rPr>
        <w:t> </w:t>
      </w:r>
      <w:r>
        <w:rPr>
          <w:color w:val="231F20"/>
          <w:w w:val="105"/>
        </w:rPr>
        <w:t>perspectiva</w:t>
      </w:r>
      <w:r>
        <w:rPr>
          <w:color w:val="231F20"/>
          <w:spacing w:val="-20"/>
          <w:w w:val="105"/>
        </w:rPr>
        <w:t> </w:t>
      </w:r>
      <w:r>
        <w:rPr>
          <w:color w:val="231F20"/>
          <w:w w:val="105"/>
        </w:rPr>
        <w:t>neoclásica,</w:t>
      </w:r>
      <w:r>
        <w:rPr>
          <w:color w:val="231F20"/>
          <w:spacing w:val="-25"/>
          <w:w w:val="105"/>
        </w:rPr>
        <w:t> </w:t>
      </w:r>
      <w:r>
        <w:rPr>
          <w:color w:val="231F20"/>
          <w:w w:val="105"/>
        </w:rPr>
        <w:t>conver- gen las teorías clásicas del mercado de trabajo, el modelo keynesiano, el equilibrio general de Walras y el equilibrio parcial de Marshall</w:t>
      </w:r>
      <w:r>
        <w:rPr>
          <w:color w:val="231F20"/>
          <w:spacing w:val="-22"/>
          <w:w w:val="105"/>
        </w:rPr>
        <w:t> </w:t>
      </w:r>
      <w:r>
        <w:rPr>
          <w:color w:val="231F20"/>
          <w:w w:val="105"/>
        </w:rPr>
        <w:t>(Roca, 2009),</w:t>
      </w:r>
      <w:r>
        <w:rPr>
          <w:color w:val="231F20"/>
          <w:spacing w:val="-33"/>
          <w:w w:val="105"/>
        </w:rPr>
        <w:t> </w:t>
      </w:r>
      <w:r>
        <w:rPr>
          <w:color w:val="231F20"/>
          <w:w w:val="105"/>
        </w:rPr>
        <w:t>aunque</w:t>
      </w:r>
      <w:r>
        <w:rPr>
          <w:color w:val="231F20"/>
          <w:spacing w:val="-28"/>
          <w:w w:val="105"/>
        </w:rPr>
        <w:t> </w:t>
      </w:r>
      <w:r>
        <w:rPr>
          <w:color w:val="231F20"/>
          <w:w w:val="105"/>
        </w:rPr>
        <w:t>lo</w:t>
      </w:r>
      <w:r>
        <w:rPr>
          <w:color w:val="231F20"/>
          <w:spacing w:val="-28"/>
          <w:w w:val="105"/>
        </w:rPr>
        <w:t> </w:t>
      </w:r>
      <w:r>
        <w:rPr>
          <w:color w:val="231F20"/>
          <w:w w:val="105"/>
        </w:rPr>
        <w:t>que</w:t>
      </w:r>
      <w:r>
        <w:rPr>
          <w:color w:val="231F20"/>
          <w:spacing w:val="-28"/>
          <w:w w:val="105"/>
        </w:rPr>
        <w:t> </w:t>
      </w:r>
      <w:r>
        <w:rPr>
          <w:color w:val="231F20"/>
          <w:w w:val="105"/>
        </w:rPr>
        <w:t>ha</w:t>
      </w:r>
      <w:r>
        <w:rPr>
          <w:color w:val="231F20"/>
          <w:spacing w:val="-28"/>
          <w:w w:val="105"/>
        </w:rPr>
        <w:t> </w:t>
      </w:r>
      <w:r>
        <w:rPr>
          <w:color w:val="231F20"/>
          <w:w w:val="105"/>
        </w:rPr>
        <w:t>distinguido</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w w:val="105"/>
        </w:rPr>
        <w:t>neoclásicos</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clásicos</w:t>
      </w:r>
      <w:r>
        <w:rPr>
          <w:color w:val="231F20"/>
          <w:spacing w:val="-28"/>
          <w:w w:val="105"/>
        </w:rPr>
        <w:t> </w:t>
      </w:r>
      <w:r>
        <w:rPr>
          <w:color w:val="231F20"/>
          <w:w w:val="105"/>
        </w:rPr>
        <w:t>es</w:t>
      </w:r>
      <w:r>
        <w:rPr>
          <w:color w:val="231F20"/>
          <w:spacing w:val="-28"/>
          <w:w w:val="105"/>
        </w:rPr>
        <w:t> </w:t>
      </w:r>
      <w:r>
        <w:rPr>
          <w:color w:val="231F20"/>
          <w:w w:val="105"/>
        </w:rPr>
        <w:t>el uso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matemáticas</w:t>
      </w:r>
      <w:r>
        <w:rPr>
          <w:color w:val="231F20"/>
          <w:spacing w:val="-19"/>
          <w:w w:val="105"/>
        </w:rPr>
        <w:t> </w:t>
      </w:r>
      <w:r>
        <w:rPr>
          <w:color w:val="231F20"/>
          <w:w w:val="105"/>
        </w:rPr>
        <w:t>aplicadas</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economía.</w:t>
      </w:r>
      <w:r>
        <w:rPr>
          <w:color w:val="231F20"/>
          <w:spacing w:val="-28"/>
          <w:w w:val="105"/>
        </w:rPr>
        <w:t> </w:t>
      </w:r>
      <w:r>
        <w:rPr>
          <w:color w:val="231F20"/>
          <w:spacing w:val="-7"/>
          <w:w w:val="105"/>
        </w:rPr>
        <w:t>Tal</w:t>
      </w:r>
      <w:r>
        <w:rPr>
          <w:color w:val="231F20"/>
          <w:spacing w:val="-19"/>
          <w:w w:val="105"/>
        </w:rPr>
        <w:t> </w:t>
      </w:r>
      <w:r>
        <w:rPr>
          <w:color w:val="231F20"/>
          <w:w w:val="105"/>
        </w:rPr>
        <w:t>distinción</w:t>
      </w:r>
      <w:r>
        <w:rPr>
          <w:color w:val="231F20"/>
          <w:spacing w:val="-19"/>
          <w:w w:val="105"/>
        </w:rPr>
        <w:t> </w:t>
      </w:r>
      <w:r>
        <w:rPr>
          <w:color w:val="231F20"/>
          <w:w w:val="105"/>
        </w:rPr>
        <w:t>da</w:t>
      </w:r>
      <w:r>
        <w:rPr>
          <w:color w:val="231F20"/>
          <w:spacing w:val="-19"/>
          <w:w w:val="105"/>
        </w:rPr>
        <w:t> </w:t>
      </w:r>
      <w:r>
        <w:rPr>
          <w:color w:val="231F20"/>
          <w:w w:val="105"/>
        </w:rPr>
        <w:t>origen a</w:t>
      </w:r>
      <w:r>
        <w:rPr>
          <w:color w:val="231F20"/>
          <w:spacing w:val="-18"/>
          <w:w w:val="105"/>
        </w:rPr>
        <w:t> </w:t>
      </w:r>
      <w:r>
        <w:rPr>
          <w:color w:val="231F20"/>
          <w:w w:val="105"/>
        </w:rPr>
        <w:t>los</w:t>
      </w:r>
      <w:r>
        <w:rPr>
          <w:color w:val="231F20"/>
          <w:spacing w:val="-18"/>
          <w:w w:val="105"/>
        </w:rPr>
        <w:t> </w:t>
      </w:r>
      <w:r>
        <w:rPr>
          <w:color w:val="231F20"/>
          <w:w w:val="105"/>
        </w:rPr>
        <w:t>supuestos</w:t>
      </w:r>
      <w:r>
        <w:rPr>
          <w:color w:val="231F20"/>
          <w:spacing w:val="-18"/>
          <w:w w:val="105"/>
        </w:rPr>
        <w:t> </w:t>
      </w:r>
      <w:r>
        <w:rPr>
          <w:color w:val="231F20"/>
          <w:w w:val="105"/>
        </w:rPr>
        <w:t>que</w:t>
      </w:r>
      <w:r>
        <w:rPr>
          <w:color w:val="231F20"/>
          <w:spacing w:val="-18"/>
          <w:w w:val="105"/>
        </w:rPr>
        <w:t> </w:t>
      </w:r>
      <w:r>
        <w:rPr>
          <w:color w:val="231F20"/>
          <w:w w:val="105"/>
        </w:rPr>
        <w:t>soporta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teoría</w:t>
      </w:r>
      <w:r>
        <w:rPr>
          <w:color w:val="231F20"/>
          <w:spacing w:val="-18"/>
          <w:w w:val="105"/>
        </w:rPr>
        <w:t> </w:t>
      </w:r>
      <w:r>
        <w:rPr>
          <w:color w:val="231F20"/>
          <w:w w:val="105"/>
        </w:rPr>
        <w:t>neoclásica</w:t>
      </w:r>
      <w:r>
        <w:rPr>
          <w:color w:val="231F20"/>
          <w:spacing w:val="-18"/>
          <w:w w:val="105"/>
        </w:rPr>
        <w:t> </w:t>
      </w:r>
      <w:r>
        <w:rPr>
          <w:color w:val="231F20"/>
          <w:w w:val="105"/>
        </w:rPr>
        <w:t>del</w:t>
      </w:r>
      <w:r>
        <w:rPr>
          <w:color w:val="231F20"/>
          <w:spacing w:val="-18"/>
          <w:w w:val="105"/>
        </w:rPr>
        <w:t> </w:t>
      </w:r>
      <w:r>
        <w:rPr>
          <w:color w:val="231F20"/>
          <w:w w:val="105"/>
        </w:rPr>
        <w:t>mercado</w:t>
      </w:r>
      <w:r>
        <w:rPr>
          <w:color w:val="231F20"/>
          <w:spacing w:val="-18"/>
          <w:w w:val="105"/>
        </w:rPr>
        <w:t> </w:t>
      </w:r>
      <w:r>
        <w:rPr>
          <w:color w:val="231F20"/>
          <w:w w:val="105"/>
        </w:rPr>
        <w:t>de</w:t>
      </w:r>
      <w:r>
        <w:rPr>
          <w:color w:val="231F20"/>
          <w:spacing w:val="-18"/>
          <w:w w:val="105"/>
        </w:rPr>
        <w:t> </w:t>
      </w:r>
      <w:r>
        <w:rPr>
          <w:color w:val="231F20"/>
          <w:w w:val="105"/>
        </w:rPr>
        <w:t>traba- jo,</w:t>
      </w:r>
      <w:r>
        <w:rPr>
          <w:color w:val="231F20"/>
          <w:spacing w:val="-28"/>
          <w:w w:val="105"/>
        </w:rPr>
        <w:t> </w:t>
      </w:r>
      <w:r>
        <w:rPr>
          <w:color w:val="231F20"/>
          <w:w w:val="105"/>
        </w:rPr>
        <w:t>los</w:t>
      </w:r>
      <w:r>
        <w:rPr>
          <w:color w:val="231F20"/>
          <w:spacing w:val="-22"/>
          <w:w w:val="105"/>
        </w:rPr>
        <w:t> </w:t>
      </w:r>
      <w:r>
        <w:rPr>
          <w:color w:val="231F20"/>
          <w:w w:val="105"/>
        </w:rPr>
        <w:t>cuales</w:t>
      </w:r>
      <w:r>
        <w:rPr>
          <w:color w:val="231F20"/>
          <w:spacing w:val="-22"/>
          <w:w w:val="105"/>
        </w:rPr>
        <w:t> </w:t>
      </w:r>
      <w:r>
        <w:rPr>
          <w:color w:val="231F20"/>
          <w:w w:val="105"/>
        </w:rPr>
        <w:t>se</w:t>
      </w:r>
      <w:r>
        <w:rPr>
          <w:color w:val="231F20"/>
          <w:spacing w:val="-22"/>
          <w:w w:val="105"/>
        </w:rPr>
        <w:t> </w:t>
      </w:r>
      <w:r>
        <w:rPr>
          <w:color w:val="231F20"/>
          <w:w w:val="105"/>
        </w:rPr>
        <w:t>describen</w:t>
      </w:r>
      <w:r>
        <w:rPr>
          <w:color w:val="231F20"/>
          <w:spacing w:val="-22"/>
          <w:w w:val="105"/>
        </w:rPr>
        <w:t> </w:t>
      </w:r>
      <w:r>
        <w:rPr>
          <w:color w:val="231F20"/>
          <w:w w:val="105"/>
        </w:rPr>
        <w:t>a</w:t>
      </w:r>
      <w:r>
        <w:rPr>
          <w:color w:val="231F20"/>
          <w:spacing w:val="-22"/>
          <w:w w:val="105"/>
        </w:rPr>
        <w:t> </w:t>
      </w:r>
      <w:r>
        <w:rPr>
          <w:color w:val="231F20"/>
          <w:w w:val="105"/>
        </w:rPr>
        <w:t>continuación.</w:t>
      </w:r>
    </w:p>
    <w:p>
      <w:pPr>
        <w:spacing w:before="162"/>
        <w:ind w:left="103" w:right="0" w:firstLine="0"/>
        <w:jc w:val="both"/>
        <w:rPr>
          <w:i/>
          <w:sz w:val="21"/>
        </w:rPr>
      </w:pPr>
      <w:r>
        <w:rPr>
          <w:i/>
          <w:color w:val="231F20"/>
          <w:w w:val="105"/>
          <w:sz w:val="21"/>
        </w:rPr>
        <w:t>Supuestos de la teoría neoclásica del mercado de trabajo</w:t>
      </w:r>
    </w:p>
    <w:p>
      <w:pPr>
        <w:pStyle w:val="BodyText"/>
        <w:spacing w:before="4"/>
        <w:rPr>
          <w:i/>
          <w:sz w:val="16"/>
        </w:rPr>
      </w:pPr>
    </w:p>
    <w:p>
      <w:pPr>
        <w:pStyle w:val="BodyText"/>
        <w:spacing w:line="259" w:lineRule="auto"/>
        <w:ind w:left="103" w:right="115"/>
        <w:jc w:val="both"/>
      </w:pPr>
      <w:r>
        <w:rPr>
          <w:color w:val="231F20"/>
        </w:rPr>
        <w:t>La teoría neoclásica del mercado de trabajo se basa en tres supuestos (Roca, 2009):</w:t>
      </w:r>
    </w:p>
    <w:p>
      <w:pPr>
        <w:pStyle w:val="BodyText"/>
        <w:rPr>
          <w:sz w:val="20"/>
        </w:rPr>
      </w:pPr>
    </w:p>
    <w:p>
      <w:pPr>
        <w:pStyle w:val="BodyText"/>
        <w:rPr>
          <w:sz w:val="20"/>
        </w:rPr>
      </w:pPr>
    </w:p>
    <w:p>
      <w:pPr>
        <w:pStyle w:val="BodyText"/>
        <w:spacing w:before="9"/>
        <w:rPr>
          <w:sz w:val="18"/>
        </w:rPr>
      </w:pPr>
    </w:p>
    <w:p>
      <w:pPr>
        <w:tabs>
          <w:tab w:pos="1317" w:val="left" w:leader="none"/>
        </w:tabs>
        <w:spacing w:before="1"/>
        <w:ind w:left="212" w:right="17" w:firstLine="0"/>
        <w:jc w:val="left"/>
        <w:rPr>
          <w:rFonts w:ascii="Calibri" w:hAnsi="Calibri"/>
          <w:sz w:val="15"/>
        </w:rPr>
      </w:pPr>
      <w:r>
        <w:rPr/>
        <w:pict>
          <v:group style="position:absolute;margin-left:101.817299pt;margin-top:-20.249887pt;width:17.850pt;height:56.5pt;mso-position-horizontal-relative:page;mso-position-vertical-relative:paragraph;z-index:-241768" coordorigin="2036,-405" coordsize="357,1130">
            <v:line style="position:absolute" from="2211,5" to="2211,721" stroked="true" strokeweight=".3pt" strokecolor="#231f20"/>
            <v:shape style="position:absolute;left:2036;top:-231;width:356;height:609" type="#_x0000_t75" stroked="false">
              <v:imagedata r:id="rId18" o:title=""/>
            </v:shape>
            <v:shape style="position:absolute;left:2036;top:-405;width:356;height:783" type="#_x0000_t75" stroked="false">
              <v:imagedata r:id="rId19" o:title=""/>
            </v:shape>
            <w10:wrap type="none"/>
          </v:group>
        </w:pict>
      </w:r>
      <w:r>
        <w:rPr>
          <w:color w:val="414042"/>
          <w:position w:val="-5"/>
          <w:sz w:val="20"/>
        </w:rPr>
        <w:t>164</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744"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165</w:t>
      </w:r>
    </w:p>
    <w:p>
      <w:pPr>
        <w:pStyle w:val="BodyText"/>
        <w:rPr>
          <w:sz w:val="20"/>
        </w:rPr>
      </w:pPr>
    </w:p>
    <w:p>
      <w:pPr>
        <w:pStyle w:val="BodyText"/>
        <w:rPr>
          <w:sz w:val="20"/>
        </w:rPr>
      </w:pPr>
    </w:p>
    <w:p>
      <w:pPr>
        <w:pStyle w:val="ListParagraph"/>
        <w:numPr>
          <w:ilvl w:val="0"/>
          <w:numId w:val="49"/>
        </w:numPr>
        <w:tabs>
          <w:tab w:pos="1327" w:val="left" w:leader="none"/>
          <w:tab w:pos="1328" w:val="left" w:leader="none"/>
        </w:tabs>
        <w:spacing w:line="240" w:lineRule="auto" w:before="176" w:after="0"/>
        <w:ind w:left="1327" w:right="0" w:hanging="360"/>
        <w:jc w:val="left"/>
        <w:rPr>
          <w:sz w:val="21"/>
        </w:rPr>
      </w:pPr>
      <w:r>
        <w:rPr>
          <w:color w:val="231F20"/>
          <w:w w:val="105"/>
          <w:sz w:val="21"/>
        </w:rPr>
        <w:t>Racionalidad</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los</w:t>
      </w:r>
      <w:r>
        <w:rPr>
          <w:color w:val="231F20"/>
          <w:spacing w:val="-24"/>
          <w:w w:val="105"/>
          <w:sz w:val="21"/>
        </w:rPr>
        <w:t> </w:t>
      </w:r>
      <w:r>
        <w:rPr>
          <w:color w:val="231F20"/>
          <w:w w:val="105"/>
          <w:sz w:val="21"/>
        </w:rPr>
        <w:t>agentes</w:t>
      </w:r>
      <w:r>
        <w:rPr>
          <w:color w:val="231F20"/>
          <w:spacing w:val="-24"/>
          <w:w w:val="105"/>
          <w:sz w:val="21"/>
        </w:rPr>
        <w:t> </w:t>
      </w:r>
      <w:r>
        <w:rPr>
          <w:color w:val="231F20"/>
          <w:w w:val="105"/>
          <w:sz w:val="21"/>
        </w:rPr>
        <w:t>económicos:</w:t>
      </w:r>
    </w:p>
    <w:p>
      <w:pPr>
        <w:pStyle w:val="BodyText"/>
        <w:spacing w:before="4"/>
        <w:rPr>
          <w:sz w:val="16"/>
        </w:rPr>
      </w:pPr>
    </w:p>
    <w:p>
      <w:pPr>
        <w:pStyle w:val="ListParagraph"/>
        <w:numPr>
          <w:ilvl w:val="1"/>
          <w:numId w:val="49"/>
        </w:numPr>
        <w:tabs>
          <w:tab w:pos="1704" w:val="left" w:leader="none"/>
          <w:tab w:pos="1705" w:val="left" w:leader="none"/>
        </w:tabs>
        <w:spacing w:line="240" w:lineRule="auto" w:before="0" w:after="0"/>
        <w:ind w:left="1704" w:right="0" w:hanging="360"/>
        <w:jc w:val="left"/>
        <w:rPr>
          <w:sz w:val="21"/>
        </w:rPr>
      </w:pPr>
      <w:r>
        <w:rPr>
          <w:color w:val="231F20"/>
          <w:sz w:val="21"/>
        </w:rPr>
        <w:t>Los consumidores maximizan su bienestar </w:t>
      </w:r>
      <w:r>
        <w:rPr>
          <w:color w:val="231F20"/>
          <w:spacing w:val="27"/>
          <w:sz w:val="21"/>
        </w:rPr>
        <w:t> </w:t>
      </w:r>
      <w:r>
        <w:rPr>
          <w:color w:val="231F20"/>
          <w:sz w:val="21"/>
        </w:rPr>
        <w:t>(utilidad).</w:t>
      </w:r>
    </w:p>
    <w:p>
      <w:pPr>
        <w:pStyle w:val="BodyText"/>
        <w:spacing w:before="4"/>
        <w:rPr>
          <w:sz w:val="16"/>
        </w:rPr>
      </w:pPr>
    </w:p>
    <w:p>
      <w:pPr>
        <w:pStyle w:val="ListParagraph"/>
        <w:numPr>
          <w:ilvl w:val="1"/>
          <w:numId w:val="49"/>
        </w:numPr>
        <w:tabs>
          <w:tab w:pos="1704" w:val="left" w:leader="none"/>
          <w:tab w:pos="1705" w:val="left" w:leader="none"/>
        </w:tabs>
        <w:spacing w:line="240" w:lineRule="auto" w:before="0" w:after="0"/>
        <w:ind w:left="1704" w:right="0" w:hanging="360"/>
        <w:jc w:val="left"/>
        <w:rPr>
          <w:sz w:val="21"/>
        </w:rPr>
      </w:pPr>
      <w:r>
        <w:rPr>
          <w:color w:val="231F20"/>
          <w:w w:val="105"/>
          <w:sz w:val="21"/>
        </w:rPr>
        <w:t>Los</w:t>
      </w:r>
      <w:r>
        <w:rPr>
          <w:color w:val="231F20"/>
          <w:spacing w:val="-32"/>
          <w:w w:val="105"/>
          <w:sz w:val="21"/>
        </w:rPr>
        <w:t> </w:t>
      </w:r>
      <w:r>
        <w:rPr>
          <w:color w:val="231F20"/>
          <w:w w:val="105"/>
          <w:sz w:val="21"/>
        </w:rPr>
        <w:t>productores</w:t>
      </w:r>
      <w:r>
        <w:rPr>
          <w:color w:val="231F20"/>
          <w:spacing w:val="-32"/>
          <w:w w:val="105"/>
          <w:sz w:val="21"/>
        </w:rPr>
        <w:t> </w:t>
      </w:r>
      <w:r>
        <w:rPr>
          <w:color w:val="231F20"/>
          <w:w w:val="105"/>
          <w:sz w:val="21"/>
        </w:rPr>
        <w:t>maximizan</w:t>
      </w:r>
      <w:r>
        <w:rPr>
          <w:color w:val="231F20"/>
          <w:spacing w:val="-32"/>
          <w:w w:val="105"/>
          <w:sz w:val="21"/>
        </w:rPr>
        <w:t> </w:t>
      </w:r>
      <w:r>
        <w:rPr>
          <w:color w:val="231F20"/>
          <w:w w:val="105"/>
          <w:sz w:val="21"/>
        </w:rPr>
        <w:t>beneficios.</w:t>
      </w:r>
    </w:p>
    <w:p>
      <w:pPr>
        <w:pStyle w:val="BodyText"/>
        <w:spacing w:before="4"/>
        <w:rPr>
          <w:sz w:val="16"/>
        </w:rPr>
      </w:pPr>
    </w:p>
    <w:p>
      <w:pPr>
        <w:pStyle w:val="ListParagraph"/>
        <w:numPr>
          <w:ilvl w:val="0"/>
          <w:numId w:val="49"/>
        </w:numPr>
        <w:tabs>
          <w:tab w:pos="1327" w:val="left" w:leader="none"/>
          <w:tab w:pos="1328" w:val="left" w:leader="none"/>
        </w:tabs>
        <w:spacing w:line="259" w:lineRule="auto" w:before="0" w:after="0"/>
        <w:ind w:left="1327" w:right="121" w:hanging="360"/>
        <w:jc w:val="left"/>
        <w:rPr>
          <w:sz w:val="21"/>
        </w:rPr>
      </w:pPr>
      <w:r>
        <w:rPr>
          <w:color w:val="231F20"/>
          <w:w w:val="105"/>
          <w:sz w:val="21"/>
        </w:rPr>
        <w:t>Mercados competitivos. Ningún agente económico, por sí solo,</w:t>
      </w:r>
      <w:r>
        <w:rPr>
          <w:color w:val="231F20"/>
          <w:spacing w:val="-21"/>
          <w:w w:val="105"/>
          <w:sz w:val="21"/>
        </w:rPr>
        <w:t> </w:t>
      </w:r>
      <w:r>
        <w:rPr>
          <w:color w:val="231F20"/>
          <w:w w:val="105"/>
          <w:sz w:val="21"/>
        </w:rPr>
        <w:t>puede</w:t>
      </w:r>
      <w:r>
        <w:rPr>
          <w:color w:val="231F20"/>
          <w:spacing w:val="-15"/>
          <w:w w:val="105"/>
          <w:sz w:val="21"/>
        </w:rPr>
        <w:t> </w:t>
      </w:r>
      <w:r>
        <w:rPr>
          <w:color w:val="231F20"/>
          <w:w w:val="105"/>
          <w:sz w:val="21"/>
        </w:rPr>
        <w:t>manejar</w:t>
      </w:r>
      <w:r>
        <w:rPr>
          <w:color w:val="231F20"/>
          <w:spacing w:val="-15"/>
          <w:w w:val="105"/>
          <w:sz w:val="21"/>
        </w:rPr>
        <w:t> </w:t>
      </w:r>
      <w:r>
        <w:rPr>
          <w:color w:val="231F20"/>
          <w:w w:val="105"/>
          <w:sz w:val="21"/>
        </w:rPr>
        <w:t>el</w:t>
      </w:r>
      <w:r>
        <w:rPr>
          <w:color w:val="231F20"/>
          <w:spacing w:val="-15"/>
          <w:w w:val="105"/>
          <w:sz w:val="21"/>
        </w:rPr>
        <w:t> </w:t>
      </w:r>
      <w:r>
        <w:rPr>
          <w:color w:val="231F20"/>
          <w:w w:val="105"/>
          <w:sz w:val="21"/>
        </w:rPr>
        <w:t>precio</w:t>
      </w:r>
      <w:r>
        <w:rPr>
          <w:color w:val="231F20"/>
          <w:spacing w:val="-15"/>
          <w:w w:val="105"/>
          <w:sz w:val="21"/>
        </w:rPr>
        <w:t> </w:t>
      </w:r>
      <w:r>
        <w:rPr>
          <w:color w:val="231F20"/>
          <w:w w:val="105"/>
          <w:sz w:val="21"/>
        </w:rPr>
        <w:t>del</w:t>
      </w:r>
      <w:r>
        <w:rPr>
          <w:color w:val="231F20"/>
          <w:spacing w:val="-15"/>
          <w:w w:val="105"/>
          <w:sz w:val="21"/>
        </w:rPr>
        <w:t> </w:t>
      </w:r>
      <w:r>
        <w:rPr>
          <w:color w:val="231F20"/>
          <w:w w:val="105"/>
          <w:sz w:val="21"/>
        </w:rPr>
        <w:t>mercado</w:t>
      </w:r>
      <w:r>
        <w:rPr>
          <w:color w:val="231F20"/>
          <w:spacing w:val="-15"/>
          <w:w w:val="105"/>
          <w:sz w:val="21"/>
        </w:rPr>
        <w:t> </w:t>
      </w:r>
      <w:r>
        <w:rPr>
          <w:color w:val="231F20"/>
          <w:w w:val="105"/>
          <w:sz w:val="21"/>
        </w:rPr>
        <w:t>(salario).</w:t>
      </w:r>
    </w:p>
    <w:p>
      <w:pPr>
        <w:pStyle w:val="ListParagraph"/>
        <w:numPr>
          <w:ilvl w:val="0"/>
          <w:numId w:val="49"/>
        </w:numPr>
        <w:tabs>
          <w:tab w:pos="1327" w:val="left" w:leader="none"/>
          <w:tab w:pos="1328" w:val="left" w:leader="none"/>
        </w:tabs>
        <w:spacing w:line="240" w:lineRule="auto" w:before="170" w:after="0"/>
        <w:ind w:left="1327" w:right="0" w:hanging="360"/>
        <w:jc w:val="left"/>
        <w:rPr>
          <w:sz w:val="21"/>
        </w:rPr>
      </w:pPr>
      <w:r>
        <w:rPr>
          <w:color w:val="231F20"/>
          <w:spacing w:val="-3"/>
          <w:w w:val="105"/>
          <w:sz w:val="21"/>
        </w:rPr>
        <w:t>Precios</w:t>
      </w:r>
      <w:r>
        <w:rPr>
          <w:color w:val="231F20"/>
          <w:spacing w:val="-25"/>
          <w:w w:val="105"/>
          <w:sz w:val="21"/>
        </w:rPr>
        <w:t> </w:t>
      </w:r>
      <w:r>
        <w:rPr>
          <w:color w:val="231F20"/>
          <w:w w:val="105"/>
          <w:sz w:val="21"/>
        </w:rPr>
        <w:t>y</w:t>
      </w:r>
      <w:r>
        <w:rPr>
          <w:color w:val="231F20"/>
          <w:spacing w:val="-25"/>
          <w:w w:val="105"/>
          <w:sz w:val="21"/>
        </w:rPr>
        <w:t> </w:t>
      </w:r>
      <w:r>
        <w:rPr>
          <w:color w:val="231F20"/>
          <w:w w:val="105"/>
          <w:sz w:val="21"/>
        </w:rPr>
        <w:t>salarios</w:t>
      </w:r>
      <w:r>
        <w:rPr>
          <w:color w:val="231F20"/>
          <w:spacing w:val="-25"/>
          <w:w w:val="105"/>
          <w:sz w:val="21"/>
        </w:rPr>
        <w:t> </w:t>
      </w:r>
      <w:r>
        <w:rPr>
          <w:color w:val="231F20"/>
          <w:w w:val="105"/>
          <w:sz w:val="21"/>
        </w:rPr>
        <w:t>flexibles</w:t>
      </w:r>
      <w:r>
        <w:rPr>
          <w:color w:val="231F20"/>
          <w:spacing w:val="-25"/>
          <w:w w:val="105"/>
          <w:sz w:val="21"/>
        </w:rPr>
        <w:t> </w:t>
      </w:r>
      <w:r>
        <w:rPr>
          <w:color w:val="231F20"/>
          <w:w w:val="105"/>
          <w:sz w:val="21"/>
        </w:rPr>
        <w:t>implica</w:t>
      </w:r>
      <w:r>
        <w:rPr>
          <w:color w:val="231F20"/>
          <w:spacing w:val="-25"/>
          <w:w w:val="105"/>
          <w:sz w:val="21"/>
        </w:rPr>
        <w:t> </w:t>
      </w:r>
      <w:r>
        <w:rPr>
          <w:color w:val="231F20"/>
          <w:w w:val="105"/>
          <w:sz w:val="21"/>
        </w:rPr>
        <w:t>competencia</w:t>
      </w:r>
      <w:r>
        <w:rPr>
          <w:color w:val="231F20"/>
          <w:spacing w:val="-25"/>
          <w:w w:val="105"/>
          <w:sz w:val="21"/>
        </w:rPr>
        <w:t> </w:t>
      </w:r>
      <w:r>
        <w:rPr>
          <w:color w:val="231F20"/>
          <w:w w:val="105"/>
          <w:sz w:val="21"/>
        </w:rPr>
        <w:t>perfecta.</w:t>
      </w:r>
    </w:p>
    <w:p>
      <w:pPr>
        <w:pStyle w:val="BodyText"/>
        <w:rPr>
          <w:sz w:val="20"/>
        </w:rPr>
      </w:pPr>
    </w:p>
    <w:p>
      <w:pPr>
        <w:pStyle w:val="BodyText"/>
        <w:rPr>
          <w:sz w:val="19"/>
        </w:rPr>
      </w:pPr>
    </w:p>
    <w:p>
      <w:pPr>
        <w:pStyle w:val="BodyText"/>
        <w:spacing w:line="259" w:lineRule="auto"/>
        <w:ind w:left="117" w:right="115"/>
        <w:jc w:val="both"/>
      </w:pPr>
      <w:r>
        <w:rPr>
          <w:color w:val="231F20"/>
          <w:w w:val="105"/>
        </w:rPr>
        <w:t>En el marco de esta teoría, los individuos al momento de decidir si tra- bajarán</w:t>
      </w:r>
      <w:r>
        <w:rPr>
          <w:color w:val="231F20"/>
          <w:spacing w:val="-9"/>
          <w:w w:val="105"/>
        </w:rPr>
        <w:t> </w:t>
      </w:r>
      <w:r>
        <w:rPr>
          <w:color w:val="231F20"/>
          <w:w w:val="105"/>
        </w:rPr>
        <w:t>o</w:t>
      </w:r>
      <w:r>
        <w:rPr>
          <w:color w:val="231F20"/>
          <w:spacing w:val="-9"/>
          <w:w w:val="105"/>
        </w:rPr>
        <w:t> </w:t>
      </w:r>
      <w:r>
        <w:rPr>
          <w:color w:val="231F20"/>
          <w:w w:val="105"/>
        </w:rPr>
        <w:t>permanecerán</w:t>
      </w:r>
      <w:r>
        <w:rPr>
          <w:color w:val="231F20"/>
          <w:spacing w:val="-9"/>
          <w:w w:val="105"/>
        </w:rPr>
        <w:t> </w:t>
      </w:r>
      <w:r>
        <w:rPr>
          <w:color w:val="231F20"/>
          <w:w w:val="105"/>
        </w:rPr>
        <w:t>en</w:t>
      </w:r>
      <w:r>
        <w:rPr>
          <w:color w:val="231F20"/>
          <w:spacing w:val="-9"/>
          <w:w w:val="105"/>
        </w:rPr>
        <w:t> </w:t>
      </w:r>
      <w:r>
        <w:rPr>
          <w:color w:val="231F20"/>
          <w:w w:val="105"/>
        </w:rPr>
        <w:t>ocio,</w:t>
      </w:r>
      <w:r>
        <w:rPr>
          <w:color w:val="231F20"/>
          <w:spacing w:val="-15"/>
          <w:w w:val="105"/>
        </w:rPr>
        <w:t> </w:t>
      </w:r>
      <w:r>
        <w:rPr>
          <w:color w:val="231F20"/>
          <w:w w:val="105"/>
        </w:rPr>
        <w:t>toman</w:t>
      </w:r>
      <w:r>
        <w:rPr>
          <w:color w:val="231F20"/>
          <w:spacing w:val="-9"/>
          <w:w w:val="105"/>
        </w:rPr>
        <w:t> </w:t>
      </w:r>
      <w:r>
        <w:rPr>
          <w:color w:val="231F20"/>
          <w:w w:val="105"/>
        </w:rPr>
        <w:t>en</w:t>
      </w:r>
      <w:r>
        <w:rPr>
          <w:color w:val="231F20"/>
          <w:spacing w:val="-9"/>
          <w:w w:val="105"/>
        </w:rPr>
        <w:t> </w:t>
      </w:r>
      <w:r>
        <w:rPr>
          <w:color w:val="231F20"/>
          <w:w w:val="105"/>
        </w:rPr>
        <w:t>consideración</w:t>
      </w:r>
      <w:r>
        <w:rPr>
          <w:color w:val="231F20"/>
          <w:spacing w:val="-9"/>
          <w:w w:val="105"/>
        </w:rPr>
        <w:t> </w:t>
      </w:r>
      <w:r>
        <w:rPr>
          <w:color w:val="231F20"/>
          <w:w w:val="105"/>
        </w:rPr>
        <w:t>las</w:t>
      </w:r>
      <w:r>
        <w:rPr>
          <w:color w:val="231F20"/>
          <w:spacing w:val="-9"/>
          <w:w w:val="105"/>
        </w:rPr>
        <w:t> </w:t>
      </w:r>
      <w:r>
        <w:rPr>
          <w:color w:val="231F20"/>
          <w:w w:val="105"/>
        </w:rPr>
        <w:t>restriccio- nes</w:t>
      </w:r>
      <w:r>
        <w:rPr>
          <w:color w:val="231F20"/>
          <w:spacing w:val="-28"/>
          <w:w w:val="105"/>
        </w:rPr>
        <w:t> </w:t>
      </w:r>
      <w:r>
        <w:rPr>
          <w:color w:val="231F20"/>
          <w:w w:val="105"/>
        </w:rPr>
        <w:t>tecnológicas</w:t>
      </w:r>
      <w:r>
        <w:rPr>
          <w:color w:val="231F20"/>
          <w:spacing w:val="-28"/>
          <w:w w:val="105"/>
        </w:rPr>
        <w:t> </w:t>
      </w:r>
      <w:r>
        <w:rPr>
          <w:color w:val="231F20"/>
          <w:w w:val="105"/>
        </w:rPr>
        <w:t>y</w:t>
      </w:r>
      <w:r>
        <w:rPr>
          <w:color w:val="231F20"/>
          <w:spacing w:val="-28"/>
          <w:w w:val="105"/>
        </w:rPr>
        <w:t> </w:t>
      </w:r>
      <w:r>
        <w:rPr>
          <w:color w:val="231F20"/>
          <w:w w:val="105"/>
        </w:rPr>
        <w:t>presupuestarias</w:t>
      </w:r>
      <w:r>
        <w:rPr>
          <w:color w:val="231F20"/>
          <w:spacing w:val="-28"/>
          <w:w w:val="105"/>
        </w:rPr>
        <w:t> </w:t>
      </w:r>
      <w:r>
        <w:rPr>
          <w:color w:val="231F20"/>
          <w:w w:val="105"/>
        </w:rPr>
        <w:t>por</w:t>
      </w:r>
      <w:r>
        <w:rPr>
          <w:color w:val="231F20"/>
          <w:spacing w:val="-28"/>
          <w:w w:val="105"/>
        </w:rPr>
        <w:t> </w:t>
      </w:r>
      <w:r>
        <w:rPr>
          <w:color w:val="231F20"/>
          <w:w w:val="105"/>
        </w:rPr>
        <w:t>encima</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restricciones</w:t>
      </w:r>
      <w:r>
        <w:rPr>
          <w:color w:val="231F20"/>
          <w:spacing w:val="-28"/>
          <w:w w:val="105"/>
        </w:rPr>
        <w:t> </w:t>
      </w:r>
      <w:r>
        <w:rPr>
          <w:color w:val="231F20"/>
          <w:w w:val="105"/>
        </w:rPr>
        <w:t>de</w:t>
      </w:r>
      <w:r>
        <w:rPr>
          <w:color w:val="231F20"/>
          <w:spacing w:val="-28"/>
          <w:w w:val="105"/>
        </w:rPr>
        <w:t> </w:t>
      </w:r>
      <w:r>
        <w:rPr>
          <w:color w:val="231F20"/>
          <w:w w:val="105"/>
        </w:rPr>
        <w:t>las normas</w:t>
      </w:r>
      <w:r>
        <w:rPr>
          <w:color w:val="231F20"/>
          <w:spacing w:val="-30"/>
          <w:w w:val="105"/>
        </w:rPr>
        <w:t> </w:t>
      </w:r>
      <w:r>
        <w:rPr>
          <w:color w:val="231F20"/>
          <w:w w:val="105"/>
        </w:rPr>
        <w:t>sociales.</w:t>
      </w:r>
      <w:r>
        <w:rPr>
          <w:color w:val="231F20"/>
          <w:spacing w:val="-34"/>
          <w:w w:val="105"/>
        </w:rPr>
        <w:t> </w:t>
      </w:r>
      <w:r>
        <w:rPr>
          <w:color w:val="231F20"/>
          <w:w w:val="105"/>
        </w:rPr>
        <w:t>Se</w:t>
      </w:r>
      <w:r>
        <w:rPr>
          <w:color w:val="231F20"/>
          <w:spacing w:val="-30"/>
          <w:w w:val="105"/>
        </w:rPr>
        <w:t> </w:t>
      </w:r>
      <w:r>
        <w:rPr>
          <w:color w:val="231F20"/>
          <w:w w:val="105"/>
        </w:rPr>
        <w:t>incluyen</w:t>
      </w:r>
      <w:r>
        <w:rPr>
          <w:color w:val="231F20"/>
          <w:spacing w:val="-30"/>
          <w:w w:val="105"/>
        </w:rPr>
        <w:t> </w:t>
      </w:r>
      <w:r>
        <w:rPr>
          <w:color w:val="231F20"/>
          <w:w w:val="105"/>
        </w:rPr>
        <w:t>las</w:t>
      </w:r>
      <w:r>
        <w:rPr>
          <w:color w:val="231F20"/>
          <w:spacing w:val="-30"/>
          <w:w w:val="105"/>
        </w:rPr>
        <w:t> </w:t>
      </w:r>
      <w:r>
        <w:rPr>
          <w:color w:val="231F20"/>
          <w:w w:val="105"/>
        </w:rPr>
        <w:t>restricciones</w:t>
      </w:r>
      <w:r>
        <w:rPr>
          <w:color w:val="231F20"/>
          <w:spacing w:val="-30"/>
          <w:w w:val="105"/>
        </w:rPr>
        <w:t> </w:t>
      </w:r>
      <w:r>
        <w:rPr>
          <w:color w:val="231F20"/>
          <w:w w:val="105"/>
        </w:rPr>
        <w:t>relacionadas</w:t>
      </w:r>
      <w:r>
        <w:rPr>
          <w:color w:val="231F20"/>
          <w:spacing w:val="-30"/>
          <w:w w:val="105"/>
        </w:rPr>
        <w:t> </w:t>
      </w:r>
      <w:r>
        <w:rPr>
          <w:color w:val="231F20"/>
          <w:w w:val="105"/>
        </w:rPr>
        <w:t>con</w:t>
      </w:r>
      <w:r>
        <w:rPr>
          <w:color w:val="231F20"/>
          <w:spacing w:val="-30"/>
          <w:w w:val="105"/>
        </w:rPr>
        <w:t> </w:t>
      </w:r>
      <w:r>
        <w:rPr>
          <w:color w:val="231F20"/>
          <w:w w:val="105"/>
        </w:rPr>
        <w:t>la</w:t>
      </w:r>
      <w:r>
        <w:rPr>
          <w:color w:val="231F20"/>
          <w:spacing w:val="-30"/>
          <w:w w:val="105"/>
        </w:rPr>
        <w:t> </w:t>
      </w:r>
      <w:r>
        <w:rPr>
          <w:color w:val="231F20"/>
          <w:w w:val="105"/>
        </w:rPr>
        <w:t>justicia (lo</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percibe</w:t>
      </w:r>
      <w:r>
        <w:rPr>
          <w:color w:val="231F20"/>
          <w:spacing w:val="-12"/>
          <w:w w:val="105"/>
        </w:rPr>
        <w:t> </w:t>
      </w:r>
      <w:r>
        <w:rPr>
          <w:color w:val="231F20"/>
          <w:w w:val="105"/>
        </w:rPr>
        <w:t>como</w:t>
      </w:r>
      <w:r>
        <w:rPr>
          <w:color w:val="231F20"/>
          <w:spacing w:val="-12"/>
          <w:w w:val="105"/>
        </w:rPr>
        <w:t> </w:t>
      </w:r>
      <w:r>
        <w:rPr>
          <w:color w:val="231F20"/>
          <w:w w:val="105"/>
        </w:rPr>
        <w:t>justo),</w:t>
      </w:r>
      <w:r>
        <w:rPr>
          <w:color w:val="231F20"/>
          <w:spacing w:val="-17"/>
          <w:w w:val="105"/>
        </w:rPr>
        <w:t> </w:t>
      </w:r>
      <w:r>
        <w:rPr>
          <w:color w:val="231F20"/>
          <w:w w:val="105"/>
        </w:rPr>
        <w:t>aun</w:t>
      </w:r>
      <w:r>
        <w:rPr>
          <w:color w:val="231F20"/>
          <w:spacing w:val="-12"/>
          <w:w w:val="105"/>
        </w:rPr>
        <w:t> </w:t>
      </w:r>
      <w:r>
        <w:rPr>
          <w:color w:val="231F20"/>
          <w:w w:val="105"/>
        </w:rPr>
        <w:t>cuando</w:t>
      </w:r>
      <w:r>
        <w:rPr>
          <w:color w:val="231F20"/>
          <w:spacing w:val="-12"/>
          <w:w w:val="105"/>
        </w:rPr>
        <w:t> </w:t>
      </w:r>
      <w:r>
        <w:rPr>
          <w:color w:val="231F20"/>
          <w:w w:val="105"/>
        </w:rPr>
        <w:t>es</w:t>
      </w:r>
      <w:r>
        <w:rPr>
          <w:color w:val="231F20"/>
          <w:spacing w:val="-12"/>
          <w:w w:val="105"/>
        </w:rPr>
        <w:t> </w:t>
      </w:r>
      <w:r>
        <w:rPr>
          <w:color w:val="231F20"/>
          <w:w w:val="105"/>
        </w:rPr>
        <w:t>un</w:t>
      </w:r>
      <w:r>
        <w:rPr>
          <w:color w:val="231F20"/>
          <w:spacing w:val="-12"/>
          <w:w w:val="105"/>
        </w:rPr>
        <w:t> </w:t>
      </w:r>
      <w:r>
        <w:rPr>
          <w:color w:val="231F20"/>
          <w:w w:val="105"/>
        </w:rPr>
        <w:t>elemento</w:t>
      </w:r>
      <w:r>
        <w:rPr>
          <w:color w:val="231F20"/>
          <w:spacing w:val="-12"/>
          <w:w w:val="105"/>
        </w:rPr>
        <w:t> </w:t>
      </w:r>
      <w:r>
        <w:rPr>
          <w:color w:val="231F20"/>
          <w:w w:val="105"/>
        </w:rPr>
        <w:t>im- portante</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funcionamiento</w:t>
      </w:r>
      <w:r>
        <w:rPr>
          <w:color w:val="231F20"/>
          <w:spacing w:val="-13"/>
          <w:w w:val="105"/>
        </w:rPr>
        <w:t> </w:t>
      </w:r>
      <w:r>
        <w:rPr>
          <w:color w:val="231F20"/>
          <w:w w:val="105"/>
        </w:rPr>
        <w:t>real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mercados</w:t>
      </w:r>
      <w:r>
        <w:rPr>
          <w:color w:val="231F20"/>
          <w:spacing w:val="-13"/>
          <w:w w:val="105"/>
        </w:rPr>
        <w:t> </w:t>
      </w:r>
      <w:r>
        <w:rPr>
          <w:color w:val="231F20"/>
          <w:w w:val="105"/>
        </w:rPr>
        <w:t>de</w:t>
      </w:r>
      <w:r>
        <w:rPr>
          <w:color w:val="231F20"/>
          <w:spacing w:val="-13"/>
          <w:w w:val="105"/>
        </w:rPr>
        <w:t> </w:t>
      </w:r>
      <w:r>
        <w:rPr>
          <w:color w:val="231F20"/>
          <w:w w:val="105"/>
        </w:rPr>
        <w:t>trabajo</w:t>
      </w:r>
      <w:r>
        <w:rPr>
          <w:color w:val="231F20"/>
          <w:spacing w:val="-13"/>
          <w:w w:val="105"/>
        </w:rPr>
        <w:t> </w:t>
      </w:r>
      <w:r>
        <w:rPr>
          <w:color w:val="231F20"/>
          <w:w w:val="105"/>
        </w:rPr>
        <w:t>(Solow, 1992). Además, para tener acceso a un salario (obtener un ingreso), el empleado debe renunciar a realizar otras actividades (costo de oportu- nidad), y querrá trabajar únicamente cuando por su trabajo obtenga un ingreso que por lo menos cubra el costo de oportunidad. La crítica a la teoría neoclásica es que el salario no puede tener un doble papel de costo</w:t>
      </w:r>
      <w:r>
        <w:rPr>
          <w:color w:val="231F20"/>
          <w:spacing w:val="-6"/>
          <w:w w:val="105"/>
        </w:rPr>
        <w:t> </w:t>
      </w:r>
      <w:r>
        <w:rPr>
          <w:color w:val="231F20"/>
          <w:w w:val="105"/>
        </w:rPr>
        <w:t>simple</w:t>
      </w:r>
      <w:r>
        <w:rPr>
          <w:color w:val="231F20"/>
          <w:spacing w:val="-6"/>
          <w:w w:val="105"/>
        </w:rPr>
        <w:t> </w:t>
      </w:r>
      <w:r>
        <w:rPr>
          <w:color w:val="231F20"/>
          <w:w w:val="105"/>
        </w:rPr>
        <w:t>y</w:t>
      </w:r>
      <w:r>
        <w:rPr>
          <w:color w:val="231F20"/>
          <w:spacing w:val="-6"/>
          <w:w w:val="105"/>
        </w:rPr>
        <w:t> </w:t>
      </w:r>
      <w:r>
        <w:rPr>
          <w:color w:val="231F20"/>
          <w:w w:val="105"/>
        </w:rPr>
        <w:t>al</w:t>
      </w:r>
      <w:r>
        <w:rPr>
          <w:color w:val="231F20"/>
          <w:spacing w:val="-6"/>
          <w:w w:val="105"/>
        </w:rPr>
        <w:t> </w:t>
      </w:r>
      <w:r>
        <w:rPr>
          <w:color w:val="231F20"/>
          <w:w w:val="105"/>
        </w:rPr>
        <w:t>mismo</w:t>
      </w:r>
      <w:r>
        <w:rPr>
          <w:color w:val="231F20"/>
          <w:spacing w:val="-6"/>
          <w:w w:val="105"/>
        </w:rPr>
        <w:t> </w:t>
      </w:r>
      <w:r>
        <w:rPr>
          <w:color w:val="231F20"/>
          <w:w w:val="105"/>
        </w:rPr>
        <w:t>tiempo</w:t>
      </w:r>
      <w:r>
        <w:rPr>
          <w:color w:val="231F20"/>
          <w:spacing w:val="-6"/>
          <w:w w:val="105"/>
        </w:rPr>
        <w:t> </w:t>
      </w:r>
      <w:r>
        <w:rPr>
          <w:color w:val="231F20"/>
          <w:w w:val="105"/>
        </w:rPr>
        <w:t>ser</w:t>
      </w:r>
      <w:r>
        <w:rPr>
          <w:color w:val="231F20"/>
          <w:spacing w:val="-6"/>
          <w:w w:val="105"/>
        </w:rPr>
        <w:t> </w:t>
      </w:r>
      <w:r>
        <w:rPr>
          <w:color w:val="231F20"/>
          <w:w w:val="105"/>
        </w:rPr>
        <w:t>considerado</w:t>
      </w:r>
      <w:r>
        <w:rPr>
          <w:color w:val="231F20"/>
          <w:spacing w:val="-6"/>
          <w:w w:val="105"/>
        </w:rPr>
        <w:t> </w:t>
      </w:r>
      <w:r>
        <w:rPr>
          <w:color w:val="231F20"/>
          <w:w w:val="105"/>
        </w:rPr>
        <w:t>como</w:t>
      </w:r>
      <w:r>
        <w:rPr>
          <w:color w:val="231F20"/>
          <w:spacing w:val="-6"/>
          <w:w w:val="105"/>
        </w:rPr>
        <w:t> </w:t>
      </w:r>
      <w:r>
        <w:rPr>
          <w:color w:val="231F20"/>
          <w:w w:val="105"/>
        </w:rPr>
        <w:t>un</w:t>
      </w:r>
      <w:r>
        <w:rPr>
          <w:color w:val="231F20"/>
          <w:spacing w:val="-6"/>
          <w:w w:val="105"/>
        </w:rPr>
        <w:t> </w:t>
      </w:r>
      <w:r>
        <w:rPr>
          <w:color w:val="231F20"/>
          <w:w w:val="105"/>
        </w:rPr>
        <w:t>factor</w:t>
      </w:r>
      <w:r>
        <w:rPr>
          <w:color w:val="231F20"/>
          <w:spacing w:val="-6"/>
          <w:w w:val="105"/>
        </w:rPr>
        <w:t> </w:t>
      </w:r>
      <w:r>
        <w:rPr>
          <w:color w:val="231F20"/>
          <w:w w:val="105"/>
        </w:rPr>
        <w:t>de</w:t>
      </w:r>
      <w:r>
        <w:rPr>
          <w:color w:val="231F20"/>
          <w:spacing w:val="-6"/>
          <w:w w:val="105"/>
        </w:rPr>
        <w:t> </w:t>
      </w:r>
      <w:r>
        <w:rPr>
          <w:color w:val="231F20"/>
          <w:w w:val="105"/>
        </w:rPr>
        <w:t>pro- ducción</w:t>
      </w:r>
      <w:r>
        <w:rPr>
          <w:color w:val="231F20"/>
          <w:spacing w:val="-38"/>
          <w:w w:val="105"/>
        </w:rPr>
        <w:t> </w:t>
      </w:r>
      <w:r>
        <w:rPr>
          <w:color w:val="231F20"/>
          <w:w w:val="105"/>
        </w:rPr>
        <w:t>(Solow,</w:t>
      </w:r>
      <w:r>
        <w:rPr>
          <w:color w:val="231F20"/>
          <w:spacing w:val="-41"/>
          <w:w w:val="105"/>
        </w:rPr>
        <w:t> </w:t>
      </w:r>
      <w:r>
        <w:rPr>
          <w:color w:val="231F20"/>
          <w:w w:val="105"/>
        </w:rPr>
        <w:t>1992).</w:t>
      </w:r>
    </w:p>
    <w:p>
      <w:pPr>
        <w:pStyle w:val="BodyText"/>
        <w:spacing w:line="259" w:lineRule="auto"/>
        <w:ind w:left="117" w:right="121" w:firstLine="567"/>
        <w:jc w:val="right"/>
      </w:pPr>
      <w:r>
        <w:rPr>
          <w:color w:val="231F20"/>
          <w:w w:val="105"/>
        </w:rPr>
        <w:t>Bajo la perspectiva neoclásica, la economía debe lograr</w:t>
      </w:r>
      <w:r>
        <w:rPr>
          <w:color w:val="231F20"/>
          <w:spacing w:val="2"/>
          <w:w w:val="105"/>
        </w:rPr>
        <w:t> </w:t>
      </w:r>
      <w:r>
        <w:rPr>
          <w:color w:val="231F20"/>
          <w:w w:val="105"/>
        </w:rPr>
        <w:t>el pleno</w:t>
      </w:r>
      <w:r>
        <w:rPr>
          <w:color w:val="231F20"/>
          <w:spacing w:val="-2"/>
          <w:w w:val="108"/>
        </w:rPr>
        <w:t> </w:t>
      </w:r>
      <w:r>
        <w:rPr>
          <w:color w:val="231F20"/>
          <w:w w:val="105"/>
        </w:rPr>
        <w:t>empleo por sí misma. </w:t>
      </w:r>
      <w:r>
        <w:rPr>
          <w:color w:val="231F20"/>
          <w:spacing w:val="-5"/>
          <w:w w:val="105"/>
        </w:rPr>
        <w:t>Para </w:t>
      </w:r>
      <w:r>
        <w:rPr>
          <w:color w:val="231F20"/>
          <w:w w:val="105"/>
        </w:rPr>
        <w:t>lograr este equilibrio, se obliga a que</w:t>
      </w:r>
      <w:r>
        <w:rPr>
          <w:color w:val="231F20"/>
          <w:spacing w:val="53"/>
          <w:w w:val="105"/>
        </w:rPr>
        <w:t> </w:t>
      </w:r>
      <w:r>
        <w:rPr>
          <w:color w:val="231F20"/>
          <w:w w:val="105"/>
        </w:rPr>
        <w:t>en</w:t>
      </w:r>
      <w:r>
        <w:rPr>
          <w:color w:val="231F20"/>
          <w:spacing w:val="4"/>
          <w:w w:val="105"/>
        </w:rPr>
        <w:t> </w:t>
      </w:r>
      <w:r>
        <w:rPr>
          <w:color w:val="231F20"/>
          <w:w w:val="105"/>
        </w:rPr>
        <w:t>el</w:t>
      </w:r>
      <w:r>
        <w:rPr>
          <w:color w:val="231F20"/>
          <w:spacing w:val="-2"/>
          <w:w w:val="105"/>
        </w:rPr>
        <w:t> </w:t>
      </w:r>
      <w:r>
        <w:rPr>
          <w:color w:val="231F20"/>
          <w:spacing w:val="-3"/>
          <w:w w:val="105"/>
        </w:rPr>
        <w:t>mercado</w:t>
      </w:r>
      <w:r>
        <w:rPr>
          <w:color w:val="231F20"/>
          <w:spacing w:val="-18"/>
          <w:w w:val="105"/>
        </w:rPr>
        <w:t> </w:t>
      </w:r>
      <w:r>
        <w:rPr>
          <w:color w:val="231F20"/>
          <w:w w:val="105"/>
        </w:rPr>
        <w:t>de</w:t>
      </w:r>
      <w:r>
        <w:rPr>
          <w:color w:val="231F20"/>
          <w:spacing w:val="-18"/>
          <w:w w:val="105"/>
        </w:rPr>
        <w:t> </w:t>
      </w:r>
      <w:r>
        <w:rPr>
          <w:color w:val="231F20"/>
          <w:w w:val="105"/>
        </w:rPr>
        <w:t>trabajo</w:t>
      </w:r>
      <w:r>
        <w:rPr>
          <w:color w:val="231F20"/>
          <w:spacing w:val="-18"/>
          <w:w w:val="105"/>
        </w:rPr>
        <w:t> </w:t>
      </w:r>
      <w:r>
        <w:rPr>
          <w:color w:val="231F20"/>
          <w:w w:val="105"/>
        </w:rPr>
        <w:t>existan</w:t>
      </w:r>
      <w:r>
        <w:rPr>
          <w:color w:val="231F20"/>
          <w:spacing w:val="-18"/>
          <w:w w:val="105"/>
        </w:rPr>
        <w:t> </w:t>
      </w:r>
      <w:r>
        <w:rPr>
          <w:color w:val="231F20"/>
          <w:w w:val="105"/>
        </w:rPr>
        <w:t>mecanismos</w:t>
      </w:r>
      <w:r>
        <w:rPr>
          <w:color w:val="231F20"/>
          <w:spacing w:val="-18"/>
          <w:w w:val="105"/>
        </w:rPr>
        <w:t> </w:t>
      </w:r>
      <w:r>
        <w:rPr>
          <w:color w:val="231F20"/>
          <w:w w:val="105"/>
        </w:rPr>
        <w:t>que</w:t>
      </w:r>
      <w:r>
        <w:rPr>
          <w:color w:val="231F20"/>
          <w:spacing w:val="-18"/>
          <w:w w:val="105"/>
        </w:rPr>
        <w:t> </w:t>
      </w:r>
      <w:r>
        <w:rPr>
          <w:color w:val="231F20"/>
          <w:spacing w:val="-3"/>
          <w:w w:val="105"/>
        </w:rPr>
        <w:t>regulen</w:t>
      </w:r>
      <w:r>
        <w:rPr>
          <w:color w:val="231F20"/>
          <w:spacing w:val="-18"/>
          <w:w w:val="105"/>
        </w:rPr>
        <w:t> </w:t>
      </w:r>
      <w:r>
        <w:rPr>
          <w:color w:val="231F20"/>
          <w:w w:val="105"/>
        </w:rPr>
        <w:t>las</w:t>
      </w:r>
      <w:r>
        <w:rPr>
          <w:color w:val="231F20"/>
          <w:spacing w:val="-18"/>
          <w:w w:val="105"/>
        </w:rPr>
        <w:t> </w:t>
      </w:r>
      <w:r>
        <w:rPr>
          <w:color w:val="231F20"/>
          <w:w w:val="105"/>
        </w:rPr>
        <w:t>condiciones</w:t>
      </w:r>
      <w:r>
        <w:rPr>
          <w:color w:val="231F20"/>
          <w:spacing w:val="-18"/>
          <w:w w:val="105"/>
        </w:rPr>
        <w:t> </w:t>
      </w:r>
      <w:r>
        <w:rPr>
          <w:color w:val="231F20"/>
          <w:w w:val="105"/>
        </w:rPr>
        <w:t>de</w:t>
      </w:r>
      <w:r>
        <w:rPr>
          <w:color w:val="231F20"/>
          <w:spacing w:val="-2"/>
          <w:w w:val="108"/>
        </w:rPr>
        <w:t> </w:t>
      </w:r>
      <w:r>
        <w:rPr>
          <w:color w:val="231F20"/>
          <w:w w:val="105"/>
        </w:rPr>
        <w:t>empleo</w:t>
      </w:r>
      <w:r>
        <w:rPr>
          <w:color w:val="231F20"/>
          <w:spacing w:val="-27"/>
          <w:w w:val="105"/>
        </w:rPr>
        <w:t> </w:t>
      </w:r>
      <w:r>
        <w:rPr>
          <w:color w:val="231F20"/>
          <w:w w:val="105"/>
        </w:rPr>
        <w:t>y</w:t>
      </w:r>
      <w:r>
        <w:rPr>
          <w:color w:val="231F20"/>
          <w:spacing w:val="-27"/>
          <w:w w:val="105"/>
        </w:rPr>
        <w:t> </w:t>
      </w:r>
      <w:r>
        <w:rPr>
          <w:color w:val="231F20"/>
          <w:w w:val="105"/>
        </w:rPr>
        <w:t>salario.</w:t>
      </w:r>
      <w:r>
        <w:rPr>
          <w:color w:val="231F20"/>
          <w:spacing w:val="-31"/>
          <w:w w:val="105"/>
        </w:rPr>
        <w:t> </w:t>
      </w:r>
      <w:r>
        <w:rPr>
          <w:color w:val="231F20"/>
          <w:w w:val="105"/>
        </w:rPr>
        <w:t>Según</w:t>
      </w:r>
      <w:r>
        <w:rPr>
          <w:color w:val="231F20"/>
          <w:spacing w:val="-27"/>
          <w:w w:val="105"/>
        </w:rPr>
        <w:t> </w:t>
      </w:r>
      <w:r>
        <w:rPr>
          <w:color w:val="231F20"/>
          <w:spacing w:val="-6"/>
          <w:w w:val="105"/>
        </w:rPr>
        <w:t>Peck</w:t>
      </w:r>
      <w:r>
        <w:rPr>
          <w:color w:val="231F20"/>
          <w:spacing w:val="-27"/>
          <w:w w:val="105"/>
        </w:rPr>
        <w:t> </w:t>
      </w:r>
      <w:r>
        <w:rPr>
          <w:color w:val="231F20"/>
          <w:w w:val="105"/>
        </w:rPr>
        <w:t>(1996)</w:t>
      </w:r>
      <w:r>
        <w:rPr>
          <w:color w:val="231F20"/>
          <w:spacing w:val="-27"/>
          <w:w w:val="105"/>
        </w:rPr>
        <w:t> </w:t>
      </w:r>
      <w:r>
        <w:rPr>
          <w:color w:val="231F20"/>
          <w:w w:val="105"/>
        </w:rPr>
        <w:t>el</w:t>
      </w:r>
      <w:r>
        <w:rPr>
          <w:color w:val="231F20"/>
          <w:spacing w:val="-27"/>
          <w:w w:val="105"/>
        </w:rPr>
        <w:t> </w:t>
      </w:r>
      <w:r>
        <w:rPr>
          <w:color w:val="231F20"/>
          <w:spacing w:val="-3"/>
          <w:w w:val="105"/>
        </w:rPr>
        <w:t>mercado</w:t>
      </w:r>
      <w:r>
        <w:rPr>
          <w:color w:val="231F20"/>
          <w:spacing w:val="-27"/>
          <w:w w:val="105"/>
        </w:rPr>
        <w:t> </w:t>
      </w:r>
      <w:r>
        <w:rPr>
          <w:color w:val="231F20"/>
          <w:w w:val="105"/>
        </w:rPr>
        <w:t>de</w:t>
      </w:r>
      <w:r>
        <w:rPr>
          <w:color w:val="231F20"/>
          <w:spacing w:val="-27"/>
          <w:w w:val="105"/>
        </w:rPr>
        <w:t> </w:t>
      </w:r>
      <w:r>
        <w:rPr>
          <w:color w:val="231F20"/>
          <w:w w:val="105"/>
        </w:rPr>
        <w:t>trabajo</w:t>
      </w:r>
      <w:r>
        <w:rPr>
          <w:color w:val="231F20"/>
          <w:spacing w:val="-27"/>
          <w:w w:val="105"/>
        </w:rPr>
        <w:t> </w:t>
      </w:r>
      <w:r>
        <w:rPr>
          <w:color w:val="231F20"/>
          <w:w w:val="105"/>
        </w:rPr>
        <w:t>neoclásico</w:t>
      </w:r>
      <w:r>
        <w:rPr>
          <w:color w:val="231F20"/>
          <w:spacing w:val="-27"/>
          <w:w w:val="105"/>
        </w:rPr>
        <w:t> </w:t>
      </w:r>
      <w:r>
        <w:rPr>
          <w:color w:val="231F20"/>
          <w:w w:val="105"/>
        </w:rPr>
        <w:t>es</w:t>
      </w:r>
      <w:r>
        <w:rPr>
          <w:color w:val="231F20"/>
          <w:spacing w:val="-2"/>
          <w:w w:val="96"/>
        </w:rPr>
        <w:t> </w:t>
      </w:r>
      <w:r>
        <w:rPr>
          <w:color w:val="231F20"/>
          <w:w w:val="105"/>
        </w:rPr>
        <w:t>un</w:t>
      </w:r>
      <w:r>
        <w:rPr>
          <w:color w:val="231F20"/>
          <w:spacing w:val="-37"/>
          <w:w w:val="105"/>
        </w:rPr>
        <w:t> </w:t>
      </w:r>
      <w:r>
        <w:rPr>
          <w:color w:val="231F20"/>
          <w:w w:val="105"/>
        </w:rPr>
        <w:t>espacio</w:t>
      </w:r>
      <w:r>
        <w:rPr>
          <w:color w:val="231F20"/>
          <w:spacing w:val="-37"/>
          <w:w w:val="105"/>
        </w:rPr>
        <w:t> </w:t>
      </w:r>
      <w:r>
        <w:rPr>
          <w:color w:val="231F20"/>
          <w:w w:val="105"/>
        </w:rPr>
        <w:t>social</w:t>
      </w:r>
      <w:r>
        <w:rPr>
          <w:color w:val="231F20"/>
          <w:spacing w:val="-37"/>
          <w:w w:val="105"/>
        </w:rPr>
        <w:t> </w:t>
      </w:r>
      <w:r>
        <w:rPr>
          <w:color w:val="231F20"/>
          <w:w w:val="105"/>
        </w:rPr>
        <w:t>en</w:t>
      </w:r>
      <w:r>
        <w:rPr>
          <w:color w:val="231F20"/>
          <w:spacing w:val="-37"/>
          <w:w w:val="105"/>
        </w:rPr>
        <w:t> </w:t>
      </w:r>
      <w:r>
        <w:rPr>
          <w:color w:val="231F20"/>
          <w:w w:val="105"/>
        </w:rPr>
        <w:t>el</w:t>
      </w:r>
      <w:r>
        <w:rPr>
          <w:color w:val="231F20"/>
          <w:spacing w:val="-37"/>
          <w:w w:val="105"/>
        </w:rPr>
        <w:t> </w:t>
      </w:r>
      <w:r>
        <w:rPr>
          <w:color w:val="231F20"/>
          <w:w w:val="105"/>
        </w:rPr>
        <w:t>cual</w:t>
      </w:r>
      <w:r>
        <w:rPr>
          <w:color w:val="231F20"/>
          <w:spacing w:val="-37"/>
          <w:w w:val="105"/>
        </w:rPr>
        <w:t> </w:t>
      </w:r>
      <w:r>
        <w:rPr>
          <w:color w:val="231F20"/>
          <w:w w:val="105"/>
        </w:rPr>
        <w:t>las</w:t>
      </w:r>
      <w:r>
        <w:rPr>
          <w:color w:val="231F20"/>
          <w:spacing w:val="-37"/>
          <w:w w:val="105"/>
        </w:rPr>
        <w:t> </w:t>
      </w:r>
      <w:r>
        <w:rPr>
          <w:color w:val="231F20"/>
          <w:w w:val="105"/>
        </w:rPr>
        <w:t>acciones</w:t>
      </w:r>
      <w:r>
        <w:rPr>
          <w:color w:val="231F20"/>
          <w:spacing w:val="-37"/>
          <w:w w:val="105"/>
        </w:rPr>
        <w:t> </w:t>
      </w:r>
      <w:r>
        <w:rPr>
          <w:color w:val="231F20"/>
          <w:w w:val="105"/>
        </w:rPr>
        <w:t>de</w:t>
      </w:r>
      <w:r>
        <w:rPr>
          <w:color w:val="231F20"/>
          <w:spacing w:val="-37"/>
          <w:w w:val="105"/>
        </w:rPr>
        <w:t> </w:t>
      </w:r>
      <w:r>
        <w:rPr>
          <w:color w:val="231F20"/>
          <w:w w:val="105"/>
        </w:rPr>
        <w:t>todos</w:t>
      </w:r>
      <w:r>
        <w:rPr>
          <w:color w:val="231F20"/>
          <w:spacing w:val="-37"/>
          <w:w w:val="105"/>
        </w:rPr>
        <w:t> </w:t>
      </w:r>
      <w:r>
        <w:rPr>
          <w:color w:val="231F20"/>
          <w:w w:val="105"/>
        </w:rPr>
        <w:t>los</w:t>
      </w:r>
      <w:r>
        <w:rPr>
          <w:color w:val="231F20"/>
          <w:spacing w:val="-37"/>
          <w:w w:val="105"/>
        </w:rPr>
        <w:t> </w:t>
      </w:r>
      <w:r>
        <w:rPr>
          <w:color w:val="231F20"/>
          <w:spacing w:val="-3"/>
          <w:w w:val="105"/>
        </w:rPr>
        <w:t>actores</w:t>
      </w:r>
      <w:r>
        <w:rPr>
          <w:color w:val="231F20"/>
          <w:spacing w:val="-37"/>
          <w:w w:val="105"/>
        </w:rPr>
        <w:t> </w:t>
      </w:r>
      <w:r>
        <w:rPr>
          <w:color w:val="231F20"/>
          <w:w w:val="105"/>
        </w:rPr>
        <w:t>son</w:t>
      </w:r>
      <w:r>
        <w:rPr>
          <w:color w:val="231F20"/>
          <w:spacing w:val="-37"/>
          <w:w w:val="105"/>
        </w:rPr>
        <w:t> </w:t>
      </w:r>
      <w:r>
        <w:rPr>
          <w:color w:val="231F20"/>
          <w:w w:val="105"/>
        </w:rPr>
        <w:t>goberna-</w:t>
      </w:r>
      <w:r>
        <w:rPr>
          <w:color w:val="231F20"/>
          <w:w w:val="96"/>
        </w:rPr>
        <w:t> </w:t>
      </w:r>
      <w:r>
        <w:rPr>
          <w:color w:val="231F20"/>
          <w:w w:val="105"/>
        </w:rPr>
        <w:t>das</w:t>
      </w:r>
      <w:r>
        <w:rPr>
          <w:color w:val="231F20"/>
          <w:spacing w:val="-8"/>
          <w:w w:val="105"/>
        </w:rPr>
        <w:t> </w:t>
      </w:r>
      <w:r>
        <w:rPr>
          <w:color w:val="231F20"/>
          <w:w w:val="105"/>
        </w:rPr>
        <w:t>por</w:t>
      </w:r>
      <w:r>
        <w:rPr>
          <w:color w:val="231F20"/>
          <w:spacing w:val="-8"/>
          <w:w w:val="105"/>
        </w:rPr>
        <w:t> </w:t>
      </w:r>
      <w:r>
        <w:rPr>
          <w:color w:val="231F20"/>
          <w:spacing w:val="-3"/>
          <w:w w:val="105"/>
        </w:rPr>
        <w:t>reglas</w:t>
      </w:r>
      <w:r>
        <w:rPr>
          <w:color w:val="231F20"/>
          <w:spacing w:val="-8"/>
          <w:w w:val="105"/>
        </w:rPr>
        <w:t> </w:t>
      </w:r>
      <w:r>
        <w:rPr>
          <w:color w:val="231F20"/>
          <w:w w:val="105"/>
        </w:rPr>
        <w:t>de</w:t>
      </w:r>
      <w:r>
        <w:rPr>
          <w:color w:val="231F20"/>
          <w:spacing w:val="-8"/>
          <w:w w:val="105"/>
        </w:rPr>
        <w:t> </w:t>
      </w:r>
      <w:r>
        <w:rPr>
          <w:color w:val="231F20"/>
          <w:w w:val="105"/>
        </w:rPr>
        <w:t>competitividad</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optimización</w:t>
      </w:r>
      <w:r>
        <w:rPr>
          <w:color w:val="231F20"/>
          <w:spacing w:val="-8"/>
          <w:w w:val="105"/>
        </w:rPr>
        <w:t> </w:t>
      </w:r>
      <w:r>
        <w:rPr>
          <w:color w:val="231F20"/>
          <w:w w:val="105"/>
        </w:rPr>
        <w:t>del</w:t>
      </w:r>
      <w:r>
        <w:rPr>
          <w:color w:val="231F20"/>
          <w:spacing w:val="-8"/>
          <w:w w:val="105"/>
        </w:rPr>
        <w:t> </w:t>
      </w:r>
      <w:r>
        <w:rPr>
          <w:color w:val="231F20"/>
          <w:spacing w:val="-3"/>
          <w:w w:val="105"/>
        </w:rPr>
        <w:t>comportamiento.</w:t>
      </w:r>
      <w:r>
        <w:rPr>
          <w:color w:val="231F20"/>
          <w:w w:val="93"/>
        </w:rPr>
        <w:t> </w:t>
      </w:r>
      <w:r>
        <w:rPr>
          <w:color w:val="231F20"/>
          <w:w w:val="105"/>
        </w:rPr>
        <w:t>Sin</w:t>
      </w:r>
      <w:r>
        <w:rPr>
          <w:color w:val="231F20"/>
          <w:spacing w:val="-31"/>
          <w:w w:val="105"/>
        </w:rPr>
        <w:t> </w:t>
      </w:r>
      <w:r>
        <w:rPr>
          <w:color w:val="231F20"/>
          <w:spacing w:val="-3"/>
          <w:w w:val="105"/>
        </w:rPr>
        <w:t>embargo,</w:t>
      </w:r>
      <w:r>
        <w:rPr>
          <w:color w:val="231F20"/>
          <w:spacing w:val="-36"/>
          <w:w w:val="105"/>
        </w:rPr>
        <w:t> </w:t>
      </w:r>
      <w:r>
        <w:rPr>
          <w:color w:val="231F20"/>
          <w:w w:val="105"/>
        </w:rPr>
        <w:t>la</w:t>
      </w:r>
      <w:r>
        <w:rPr>
          <w:color w:val="231F20"/>
          <w:spacing w:val="-31"/>
          <w:w w:val="105"/>
        </w:rPr>
        <w:t> </w:t>
      </w:r>
      <w:r>
        <w:rPr>
          <w:color w:val="231F20"/>
          <w:w w:val="105"/>
        </w:rPr>
        <w:t>perspectiva</w:t>
      </w:r>
      <w:r>
        <w:rPr>
          <w:color w:val="231F20"/>
          <w:spacing w:val="-31"/>
          <w:w w:val="105"/>
        </w:rPr>
        <w:t> </w:t>
      </w:r>
      <w:r>
        <w:rPr>
          <w:color w:val="231F20"/>
          <w:w w:val="105"/>
        </w:rPr>
        <w:t>neoclásica</w:t>
      </w:r>
      <w:r>
        <w:rPr>
          <w:color w:val="231F20"/>
          <w:spacing w:val="-31"/>
          <w:w w:val="105"/>
        </w:rPr>
        <w:t> </w:t>
      </w:r>
      <w:r>
        <w:rPr>
          <w:color w:val="231F20"/>
          <w:w w:val="105"/>
        </w:rPr>
        <w:t>no</w:t>
      </w:r>
      <w:r>
        <w:rPr>
          <w:color w:val="231F20"/>
          <w:spacing w:val="-31"/>
          <w:w w:val="105"/>
        </w:rPr>
        <w:t> </w:t>
      </w:r>
      <w:r>
        <w:rPr>
          <w:color w:val="231F20"/>
          <w:w w:val="105"/>
        </w:rPr>
        <w:t>es</w:t>
      </w:r>
      <w:r>
        <w:rPr>
          <w:color w:val="231F20"/>
          <w:spacing w:val="-31"/>
          <w:w w:val="105"/>
        </w:rPr>
        <w:t> </w:t>
      </w:r>
      <w:r>
        <w:rPr>
          <w:color w:val="231F20"/>
          <w:w w:val="105"/>
        </w:rPr>
        <w:t>la</w:t>
      </w:r>
      <w:r>
        <w:rPr>
          <w:color w:val="231F20"/>
          <w:spacing w:val="-31"/>
          <w:w w:val="105"/>
        </w:rPr>
        <w:t> </w:t>
      </w:r>
      <w:r>
        <w:rPr>
          <w:color w:val="231F20"/>
          <w:w w:val="105"/>
        </w:rPr>
        <w:t>única</w:t>
      </w:r>
      <w:r>
        <w:rPr>
          <w:color w:val="231F20"/>
          <w:spacing w:val="-31"/>
          <w:w w:val="105"/>
        </w:rPr>
        <w:t> </w:t>
      </w:r>
      <w:r>
        <w:rPr>
          <w:color w:val="231F20"/>
          <w:w w:val="105"/>
        </w:rPr>
        <w:t>que</w:t>
      </w:r>
      <w:r>
        <w:rPr>
          <w:color w:val="231F20"/>
          <w:spacing w:val="-31"/>
          <w:w w:val="105"/>
        </w:rPr>
        <w:t> </w:t>
      </w:r>
      <w:r>
        <w:rPr>
          <w:color w:val="231F20"/>
          <w:w w:val="105"/>
        </w:rPr>
        <w:t>explica</w:t>
      </w:r>
      <w:r>
        <w:rPr>
          <w:color w:val="231F20"/>
          <w:spacing w:val="-31"/>
          <w:w w:val="105"/>
        </w:rPr>
        <w:t> </w:t>
      </w:r>
      <w:r>
        <w:rPr>
          <w:color w:val="231F20"/>
          <w:w w:val="105"/>
        </w:rPr>
        <w:t>el</w:t>
      </w:r>
      <w:r>
        <w:rPr>
          <w:color w:val="231F20"/>
          <w:spacing w:val="-2"/>
          <w:w w:val="105"/>
        </w:rPr>
        <w:t> </w:t>
      </w:r>
      <w:r>
        <w:rPr>
          <w:color w:val="231F20"/>
          <w:w w:val="105"/>
        </w:rPr>
        <w:t>comportamiento</w:t>
      </w:r>
      <w:r>
        <w:rPr>
          <w:color w:val="231F20"/>
          <w:spacing w:val="-22"/>
          <w:w w:val="105"/>
        </w:rPr>
        <w:t> </w:t>
      </w:r>
      <w:r>
        <w:rPr>
          <w:color w:val="231F20"/>
          <w:spacing w:val="-3"/>
          <w:w w:val="105"/>
        </w:rPr>
        <w:t>entre</w:t>
      </w:r>
      <w:r>
        <w:rPr>
          <w:color w:val="231F20"/>
          <w:spacing w:val="-22"/>
          <w:w w:val="105"/>
        </w:rPr>
        <w:t> </w:t>
      </w:r>
      <w:r>
        <w:rPr>
          <w:color w:val="231F20"/>
          <w:w w:val="105"/>
        </w:rPr>
        <w:t>oferta</w:t>
      </w:r>
      <w:r>
        <w:rPr>
          <w:color w:val="231F20"/>
          <w:spacing w:val="-22"/>
          <w:w w:val="105"/>
        </w:rPr>
        <w:t> </w:t>
      </w:r>
      <w:r>
        <w:rPr>
          <w:color w:val="231F20"/>
          <w:w w:val="105"/>
        </w:rPr>
        <w:t>y</w:t>
      </w:r>
      <w:r>
        <w:rPr>
          <w:color w:val="231F20"/>
          <w:spacing w:val="-22"/>
          <w:w w:val="105"/>
        </w:rPr>
        <w:t> </w:t>
      </w:r>
      <w:r>
        <w:rPr>
          <w:color w:val="231F20"/>
          <w:w w:val="105"/>
        </w:rPr>
        <w:t>demanda</w:t>
      </w:r>
      <w:r>
        <w:rPr>
          <w:color w:val="231F20"/>
          <w:spacing w:val="-22"/>
          <w:w w:val="105"/>
        </w:rPr>
        <w:t> </w:t>
      </w:r>
      <w:r>
        <w:rPr>
          <w:color w:val="231F20"/>
          <w:w w:val="105"/>
        </w:rPr>
        <w:t>de</w:t>
      </w:r>
      <w:r>
        <w:rPr>
          <w:color w:val="231F20"/>
          <w:spacing w:val="-22"/>
          <w:w w:val="105"/>
        </w:rPr>
        <w:t> </w:t>
      </w:r>
      <w:r>
        <w:rPr>
          <w:color w:val="231F20"/>
          <w:spacing w:val="-3"/>
          <w:w w:val="105"/>
        </w:rPr>
        <w:t>trabajo.</w:t>
      </w:r>
      <w:r>
        <w:rPr>
          <w:color w:val="231F20"/>
          <w:spacing w:val="-26"/>
          <w:w w:val="105"/>
        </w:rPr>
        <w:t> </w:t>
      </w:r>
      <w:r>
        <w:rPr>
          <w:color w:val="231F20"/>
          <w:w w:val="105"/>
        </w:rPr>
        <w:t>Investigaciones</w:t>
      </w:r>
      <w:r>
        <w:rPr>
          <w:color w:val="231F20"/>
          <w:spacing w:val="-22"/>
          <w:w w:val="105"/>
        </w:rPr>
        <w:t> </w:t>
      </w:r>
      <w:r>
        <w:rPr>
          <w:color w:val="231F20"/>
          <w:spacing w:val="-2"/>
          <w:w w:val="105"/>
        </w:rPr>
        <w:t>más</w:t>
      </w:r>
      <w:r>
        <w:rPr>
          <w:color w:val="231F20"/>
          <w:spacing w:val="-2"/>
          <w:w w:val="98"/>
        </w:rPr>
        <w:t> </w:t>
      </w:r>
      <w:r>
        <w:rPr>
          <w:color w:val="231F20"/>
          <w:spacing w:val="-3"/>
          <w:w w:val="105"/>
        </w:rPr>
        <w:t>recientes </w:t>
      </w:r>
      <w:r>
        <w:rPr>
          <w:color w:val="231F20"/>
          <w:w w:val="105"/>
        </w:rPr>
        <w:t>con este enfoque, </w:t>
      </w:r>
      <w:r>
        <w:rPr>
          <w:color w:val="231F20"/>
          <w:spacing w:val="-3"/>
          <w:w w:val="105"/>
        </w:rPr>
        <w:t>presentan </w:t>
      </w:r>
      <w:r>
        <w:rPr>
          <w:color w:val="231F20"/>
          <w:w w:val="105"/>
        </w:rPr>
        <w:t>el concepto </w:t>
      </w:r>
      <w:r>
        <w:rPr>
          <w:color w:val="231F20"/>
          <w:spacing w:val="-3"/>
          <w:w w:val="105"/>
        </w:rPr>
        <w:t>mercado</w:t>
      </w:r>
      <w:r>
        <w:rPr>
          <w:color w:val="231F20"/>
          <w:spacing w:val="3"/>
          <w:w w:val="105"/>
        </w:rPr>
        <w:t> </w:t>
      </w:r>
      <w:r>
        <w:rPr>
          <w:color w:val="231F20"/>
          <w:w w:val="105"/>
        </w:rPr>
        <w:t>de</w:t>
      </w:r>
      <w:r>
        <w:rPr>
          <w:color w:val="231F20"/>
          <w:spacing w:val="7"/>
          <w:w w:val="105"/>
        </w:rPr>
        <w:t> </w:t>
      </w:r>
      <w:r>
        <w:rPr>
          <w:color w:val="231F20"/>
          <w:spacing w:val="-3"/>
          <w:w w:val="105"/>
        </w:rPr>
        <w:t>trabajo</w:t>
      </w:r>
      <w:r>
        <w:rPr>
          <w:color w:val="231F20"/>
          <w:spacing w:val="-2"/>
          <w:w w:val="104"/>
        </w:rPr>
        <w:t> </w:t>
      </w:r>
      <w:r>
        <w:rPr>
          <w:color w:val="231F20"/>
          <w:w w:val="105"/>
        </w:rPr>
        <w:t>como</w:t>
      </w:r>
      <w:r>
        <w:rPr>
          <w:color w:val="231F20"/>
          <w:spacing w:val="-21"/>
          <w:w w:val="105"/>
        </w:rPr>
        <w:t> </w:t>
      </w:r>
      <w:r>
        <w:rPr>
          <w:color w:val="231F20"/>
          <w:w w:val="105"/>
        </w:rPr>
        <w:t>un</w:t>
      </w:r>
      <w:r>
        <w:rPr>
          <w:color w:val="231F20"/>
          <w:spacing w:val="-21"/>
          <w:w w:val="105"/>
        </w:rPr>
        <w:t> </w:t>
      </w:r>
      <w:r>
        <w:rPr>
          <w:color w:val="231F20"/>
          <w:w w:val="105"/>
        </w:rPr>
        <w:t>espacio</w:t>
      </w:r>
      <w:r>
        <w:rPr>
          <w:color w:val="231F20"/>
          <w:spacing w:val="-21"/>
          <w:w w:val="105"/>
        </w:rPr>
        <w:t> </w:t>
      </w:r>
      <w:r>
        <w:rPr>
          <w:color w:val="231F20"/>
          <w:w w:val="105"/>
        </w:rPr>
        <w:t>de</w:t>
      </w:r>
      <w:r>
        <w:rPr>
          <w:color w:val="231F20"/>
          <w:spacing w:val="-21"/>
          <w:w w:val="105"/>
        </w:rPr>
        <w:t> </w:t>
      </w:r>
      <w:r>
        <w:rPr>
          <w:color w:val="231F20"/>
          <w:spacing w:val="-3"/>
          <w:w w:val="105"/>
        </w:rPr>
        <w:t>intercambio,</w:t>
      </w:r>
      <w:r>
        <w:rPr>
          <w:color w:val="231F20"/>
          <w:spacing w:val="-26"/>
          <w:w w:val="105"/>
        </w:rPr>
        <w:t> </w:t>
      </w:r>
      <w:r>
        <w:rPr>
          <w:color w:val="231F20"/>
          <w:w w:val="105"/>
        </w:rPr>
        <w:t>de</w:t>
      </w:r>
      <w:r>
        <w:rPr>
          <w:color w:val="231F20"/>
          <w:spacing w:val="-21"/>
          <w:w w:val="105"/>
        </w:rPr>
        <w:t> </w:t>
      </w:r>
      <w:r>
        <w:rPr>
          <w:color w:val="231F20"/>
          <w:spacing w:val="-2"/>
          <w:w w:val="105"/>
        </w:rPr>
        <w:t>manera</w:t>
      </w:r>
      <w:r>
        <w:rPr>
          <w:color w:val="231F20"/>
          <w:spacing w:val="-21"/>
          <w:w w:val="105"/>
        </w:rPr>
        <w:t> </w:t>
      </w:r>
      <w:r>
        <w:rPr>
          <w:color w:val="231F20"/>
          <w:w w:val="105"/>
        </w:rPr>
        <w:t>que</w:t>
      </w:r>
      <w:r>
        <w:rPr>
          <w:color w:val="231F20"/>
          <w:spacing w:val="-21"/>
          <w:w w:val="105"/>
        </w:rPr>
        <w:t> </w:t>
      </w:r>
      <w:r>
        <w:rPr>
          <w:color w:val="231F20"/>
          <w:w w:val="105"/>
        </w:rPr>
        <w:t>las</w:t>
      </w:r>
      <w:r>
        <w:rPr>
          <w:color w:val="231F20"/>
          <w:spacing w:val="-21"/>
          <w:w w:val="105"/>
        </w:rPr>
        <w:t> </w:t>
      </w:r>
      <w:r>
        <w:rPr>
          <w:color w:val="231F20"/>
          <w:w w:val="105"/>
        </w:rPr>
        <w:t>posibilidades</w:t>
      </w:r>
      <w:r>
        <w:rPr>
          <w:color w:val="231F20"/>
          <w:spacing w:val="-21"/>
          <w:w w:val="105"/>
        </w:rPr>
        <w:t> </w:t>
      </w:r>
      <w:r>
        <w:rPr>
          <w:color w:val="231F20"/>
          <w:w w:val="105"/>
        </w:rPr>
        <w:t>de</w:t>
      </w:r>
      <w:r>
        <w:rPr>
          <w:color w:val="231F20"/>
          <w:spacing w:val="-21"/>
          <w:w w:val="105"/>
        </w:rPr>
        <w:t> </w:t>
      </w:r>
      <w:r>
        <w:rPr>
          <w:color w:val="231F20"/>
          <w:w w:val="105"/>
        </w:rPr>
        <w:t>ob-</w:t>
      </w:r>
      <w:r>
        <w:rPr>
          <w:color w:val="231F20"/>
          <w:w w:val="96"/>
        </w:rPr>
        <w:t> </w:t>
      </w:r>
      <w:r>
        <w:rPr>
          <w:color w:val="231F20"/>
          <w:w w:val="105"/>
        </w:rPr>
        <w:t>tener</w:t>
      </w:r>
      <w:r>
        <w:rPr>
          <w:color w:val="231F20"/>
          <w:spacing w:val="-23"/>
          <w:w w:val="105"/>
        </w:rPr>
        <w:t> </w:t>
      </w:r>
      <w:r>
        <w:rPr>
          <w:color w:val="231F20"/>
          <w:w w:val="105"/>
        </w:rPr>
        <w:t>un</w:t>
      </w:r>
      <w:r>
        <w:rPr>
          <w:color w:val="231F20"/>
          <w:spacing w:val="-23"/>
          <w:w w:val="105"/>
        </w:rPr>
        <w:t> </w:t>
      </w:r>
      <w:r>
        <w:rPr>
          <w:color w:val="231F20"/>
          <w:w w:val="105"/>
        </w:rPr>
        <w:t>buen</w:t>
      </w:r>
      <w:r>
        <w:rPr>
          <w:color w:val="231F20"/>
          <w:spacing w:val="-23"/>
          <w:w w:val="105"/>
        </w:rPr>
        <w:t> </w:t>
      </w:r>
      <w:r>
        <w:rPr>
          <w:color w:val="231F20"/>
          <w:w w:val="105"/>
        </w:rPr>
        <w:t>trabajo</w:t>
      </w:r>
      <w:r>
        <w:rPr>
          <w:color w:val="231F20"/>
          <w:spacing w:val="-23"/>
          <w:w w:val="105"/>
        </w:rPr>
        <w:t> </w:t>
      </w:r>
      <w:r>
        <w:rPr>
          <w:color w:val="231F20"/>
          <w:w w:val="105"/>
        </w:rPr>
        <w:t>dependen</w:t>
      </w:r>
      <w:r>
        <w:rPr>
          <w:color w:val="231F20"/>
          <w:spacing w:val="-23"/>
          <w:w w:val="105"/>
        </w:rPr>
        <w:t> </w:t>
      </w:r>
      <w:r>
        <w:rPr>
          <w:color w:val="231F20"/>
          <w:w w:val="105"/>
        </w:rPr>
        <w:t>del</w:t>
      </w:r>
      <w:r>
        <w:rPr>
          <w:color w:val="231F20"/>
          <w:spacing w:val="-23"/>
          <w:w w:val="105"/>
        </w:rPr>
        <w:t> </w:t>
      </w:r>
      <w:r>
        <w:rPr>
          <w:color w:val="231F20"/>
          <w:w w:val="105"/>
        </w:rPr>
        <w:t>ajuste</w:t>
      </w:r>
      <w:r>
        <w:rPr>
          <w:color w:val="231F20"/>
          <w:spacing w:val="-23"/>
          <w:w w:val="105"/>
        </w:rPr>
        <w:t> </w:t>
      </w:r>
      <w:r>
        <w:rPr>
          <w:color w:val="231F20"/>
          <w:spacing w:val="-3"/>
          <w:w w:val="105"/>
        </w:rPr>
        <w:t>entre</w:t>
      </w:r>
      <w:r>
        <w:rPr>
          <w:color w:val="231F20"/>
          <w:spacing w:val="-23"/>
          <w:w w:val="105"/>
        </w:rPr>
        <w:t> </w:t>
      </w:r>
      <w:r>
        <w:rPr>
          <w:color w:val="231F20"/>
          <w:w w:val="105"/>
        </w:rPr>
        <w:t>oferta</w:t>
      </w:r>
      <w:r>
        <w:rPr>
          <w:color w:val="231F20"/>
          <w:spacing w:val="-23"/>
          <w:w w:val="105"/>
        </w:rPr>
        <w:t> </w:t>
      </w:r>
      <w:r>
        <w:rPr>
          <w:color w:val="231F20"/>
          <w:w w:val="105"/>
        </w:rPr>
        <w:t>de</w:t>
      </w:r>
      <w:r>
        <w:rPr>
          <w:color w:val="231F20"/>
          <w:spacing w:val="-23"/>
          <w:w w:val="105"/>
        </w:rPr>
        <w:t> </w:t>
      </w:r>
      <w:r>
        <w:rPr>
          <w:color w:val="231F20"/>
          <w:spacing w:val="-3"/>
          <w:w w:val="105"/>
        </w:rPr>
        <w:t>desempleados</w:t>
      </w:r>
      <w:r>
        <w:rPr>
          <w:color w:val="231F20"/>
          <w:spacing w:val="-2"/>
          <w:w w:val="102"/>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demanda</w:t>
      </w:r>
      <w:r>
        <w:rPr>
          <w:color w:val="231F20"/>
          <w:spacing w:val="-28"/>
          <w:w w:val="105"/>
        </w:rPr>
        <w:t> </w:t>
      </w:r>
      <w:r>
        <w:rPr>
          <w:color w:val="231F20"/>
          <w:w w:val="105"/>
        </w:rPr>
        <w:t>por</w:t>
      </w:r>
      <w:r>
        <w:rPr>
          <w:color w:val="231F20"/>
          <w:spacing w:val="-28"/>
          <w:w w:val="105"/>
        </w:rPr>
        <w:t> </w:t>
      </w:r>
      <w:r>
        <w:rPr>
          <w:color w:val="231F20"/>
          <w:w w:val="105"/>
        </w:rPr>
        <w:t>parte</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spacing w:val="-3"/>
          <w:w w:val="105"/>
        </w:rPr>
        <w:t>empleadores</w:t>
      </w:r>
      <w:r>
        <w:rPr>
          <w:color w:val="231F20"/>
          <w:spacing w:val="-28"/>
          <w:w w:val="105"/>
        </w:rPr>
        <w:t> </w:t>
      </w:r>
      <w:r>
        <w:rPr>
          <w:color w:val="231F20"/>
          <w:w w:val="105"/>
        </w:rPr>
        <w:t>(Rodríguez,</w:t>
      </w:r>
      <w:r>
        <w:rPr>
          <w:color w:val="231F20"/>
          <w:spacing w:val="-33"/>
          <w:w w:val="105"/>
        </w:rPr>
        <w:t> </w:t>
      </w:r>
      <w:r>
        <w:rPr>
          <w:color w:val="231F20"/>
          <w:w w:val="105"/>
        </w:rPr>
        <w:t>González,</w:t>
      </w:r>
      <w:r>
        <w:rPr>
          <w:color w:val="231F20"/>
          <w:spacing w:val="-33"/>
          <w:w w:val="105"/>
        </w:rPr>
        <w:t> </w:t>
      </w:r>
      <w:r>
        <w:rPr>
          <w:color w:val="231F20"/>
          <w:spacing w:val="-3"/>
          <w:w w:val="105"/>
        </w:rPr>
        <w:t>Figue-</w:t>
      </w:r>
    </w:p>
    <w:p>
      <w:pPr>
        <w:pStyle w:val="BodyText"/>
        <w:spacing w:line="241" w:lineRule="exact"/>
        <w:ind w:left="117"/>
        <w:jc w:val="both"/>
      </w:pPr>
      <w:r>
        <w:rPr>
          <w:color w:val="231F20"/>
        </w:rPr>
        <w:t>ra y Rodríguez, 2009), en donde los elementos a considerar son:</w:t>
      </w:r>
    </w:p>
    <w:p>
      <w:pPr>
        <w:pStyle w:val="BodyText"/>
        <w:spacing w:before="2"/>
        <w:rPr>
          <w:sz w:val="24"/>
        </w:rPr>
      </w:pPr>
    </w:p>
    <w:p>
      <w:pPr>
        <w:pStyle w:val="ListParagraph"/>
        <w:numPr>
          <w:ilvl w:val="0"/>
          <w:numId w:val="50"/>
        </w:numPr>
        <w:tabs>
          <w:tab w:pos="1328" w:val="left" w:leader="none"/>
        </w:tabs>
        <w:spacing w:line="259" w:lineRule="auto" w:before="0" w:after="0"/>
        <w:ind w:left="1327" w:right="121" w:hanging="360"/>
        <w:jc w:val="both"/>
        <w:rPr>
          <w:sz w:val="21"/>
        </w:rPr>
      </w:pPr>
      <w:r>
        <w:rPr>
          <w:color w:val="231F20"/>
          <w:w w:val="105"/>
          <w:sz w:val="21"/>
        </w:rPr>
        <w:t>Las</w:t>
      </w:r>
      <w:r>
        <w:rPr>
          <w:color w:val="231F20"/>
          <w:spacing w:val="-7"/>
          <w:w w:val="105"/>
          <w:sz w:val="21"/>
        </w:rPr>
        <w:t> </w:t>
      </w:r>
      <w:r>
        <w:rPr>
          <w:color w:val="231F20"/>
          <w:w w:val="105"/>
          <w:sz w:val="21"/>
        </w:rPr>
        <w:t>características</w:t>
      </w:r>
      <w:r>
        <w:rPr>
          <w:color w:val="231F20"/>
          <w:spacing w:val="-7"/>
          <w:w w:val="105"/>
          <w:sz w:val="21"/>
        </w:rPr>
        <w:t> </w:t>
      </w:r>
      <w:r>
        <w:rPr>
          <w:color w:val="231F20"/>
          <w:w w:val="105"/>
          <w:sz w:val="21"/>
        </w:rPr>
        <w:t>y</w:t>
      </w:r>
      <w:r>
        <w:rPr>
          <w:color w:val="231F20"/>
          <w:spacing w:val="-7"/>
          <w:w w:val="105"/>
          <w:sz w:val="21"/>
        </w:rPr>
        <w:t> </w:t>
      </w:r>
      <w:r>
        <w:rPr>
          <w:color w:val="231F20"/>
          <w:w w:val="105"/>
          <w:sz w:val="21"/>
        </w:rPr>
        <w:t>tendencias</w:t>
      </w:r>
      <w:r>
        <w:rPr>
          <w:color w:val="231F20"/>
          <w:spacing w:val="-7"/>
          <w:w w:val="105"/>
          <w:sz w:val="21"/>
        </w:rPr>
        <w:t> </w:t>
      </w:r>
      <w:r>
        <w:rPr>
          <w:color w:val="231F20"/>
          <w:w w:val="105"/>
          <w:sz w:val="21"/>
        </w:rPr>
        <w:t>de</w:t>
      </w:r>
      <w:r>
        <w:rPr>
          <w:color w:val="231F20"/>
          <w:spacing w:val="-7"/>
          <w:w w:val="105"/>
          <w:sz w:val="21"/>
        </w:rPr>
        <w:t> </w:t>
      </w:r>
      <w:r>
        <w:rPr>
          <w:color w:val="231F20"/>
          <w:w w:val="105"/>
          <w:sz w:val="21"/>
        </w:rPr>
        <w:t>la</w:t>
      </w:r>
      <w:r>
        <w:rPr>
          <w:color w:val="231F20"/>
          <w:spacing w:val="-7"/>
          <w:w w:val="105"/>
          <w:sz w:val="21"/>
        </w:rPr>
        <w:t> </w:t>
      </w:r>
      <w:r>
        <w:rPr>
          <w:color w:val="231F20"/>
          <w:w w:val="105"/>
          <w:sz w:val="21"/>
        </w:rPr>
        <w:t>demanda</w:t>
      </w:r>
      <w:r>
        <w:rPr>
          <w:color w:val="231F20"/>
          <w:spacing w:val="-7"/>
          <w:w w:val="105"/>
          <w:sz w:val="21"/>
        </w:rPr>
        <w:t> </w:t>
      </w:r>
      <w:r>
        <w:rPr>
          <w:color w:val="231F20"/>
          <w:w w:val="105"/>
          <w:sz w:val="21"/>
        </w:rPr>
        <w:t>de</w:t>
      </w:r>
      <w:r>
        <w:rPr>
          <w:color w:val="231F20"/>
          <w:spacing w:val="-7"/>
          <w:w w:val="105"/>
          <w:sz w:val="21"/>
        </w:rPr>
        <w:t> </w:t>
      </w:r>
      <w:r>
        <w:rPr>
          <w:color w:val="231F20"/>
          <w:w w:val="105"/>
          <w:sz w:val="21"/>
        </w:rPr>
        <w:t>trabajo: </w:t>
      </w:r>
      <w:r>
        <w:rPr>
          <w:i/>
          <w:color w:val="231F20"/>
          <w:w w:val="105"/>
          <w:sz w:val="21"/>
        </w:rPr>
        <w:t>output</w:t>
      </w:r>
      <w:r>
        <w:rPr>
          <w:i/>
          <w:color w:val="231F20"/>
          <w:spacing w:val="-22"/>
          <w:w w:val="105"/>
          <w:sz w:val="21"/>
        </w:rPr>
        <w:t> </w:t>
      </w:r>
      <w:r>
        <w:rPr>
          <w:color w:val="231F20"/>
          <w:w w:val="105"/>
          <w:sz w:val="21"/>
        </w:rPr>
        <w:t>educativo</w:t>
      </w:r>
      <w:r>
        <w:rPr>
          <w:color w:val="231F20"/>
          <w:spacing w:val="-22"/>
          <w:w w:val="105"/>
          <w:sz w:val="21"/>
        </w:rPr>
        <w:t> </w:t>
      </w:r>
      <w:r>
        <w:rPr>
          <w:color w:val="231F20"/>
          <w:w w:val="105"/>
          <w:sz w:val="21"/>
        </w:rPr>
        <w:t>(recién</w:t>
      </w:r>
      <w:r>
        <w:rPr>
          <w:color w:val="231F20"/>
          <w:spacing w:val="-22"/>
          <w:w w:val="105"/>
          <w:sz w:val="21"/>
        </w:rPr>
        <w:t> </w:t>
      </w:r>
      <w:r>
        <w:rPr>
          <w:color w:val="231F20"/>
          <w:w w:val="105"/>
          <w:sz w:val="21"/>
        </w:rPr>
        <w:t>graduados</w:t>
      </w:r>
      <w:r>
        <w:rPr>
          <w:color w:val="231F20"/>
          <w:spacing w:val="-22"/>
          <w:w w:val="105"/>
          <w:sz w:val="21"/>
        </w:rPr>
        <w:t> </w:t>
      </w:r>
      <w:r>
        <w:rPr>
          <w:color w:val="231F20"/>
          <w:w w:val="105"/>
          <w:sz w:val="21"/>
        </w:rPr>
        <w:t>o</w:t>
      </w:r>
      <w:r>
        <w:rPr>
          <w:color w:val="231F20"/>
          <w:spacing w:val="-22"/>
          <w:w w:val="105"/>
          <w:sz w:val="21"/>
        </w:rPr>
        <w:t> </w:t>
      </w:r>
      <w:r>
        <w:rPr>
          <w:color w:val="231F20"/>
          <w:w w:val="105"/>
          <w:sz w:val="21"/>
        </w:rPr>
        <w:t>graduados</w:t>
      </w:r>
      <w:r>
        <w:rPr>
          <w:color w:val="231F20"/>
          <w:spacing w:val="-22"/>
          <w:w w:val="105"/>
          <w:sz w:val="21"/>
        </w:rPr>
        <w:t> </w:t>
      </w:r>
      <w:r>
        <w:rPr>
          <w:color w:val="231F20"/>
          <w:w w:val="105"/>
          <w:sz w:val="21"/>
        </w:rPr>
        <w:t>noveles)</w:t>
      </w:r>
      <w:r>
        <w:rPr>
          <w:color w:val="231F20"/>
          <w:spacing w:val="19"/>
          <w:w w:val="105"/>
          <w:sz w:val="21"/>
        </w:rPr>
        <w:t> </w:t>
      </w:r>
      <w:r>
        <w:rPr>
          <w:color w:val="231F20"/>
          <w:w w:val="105"/>
          <w:sz w:val="21"/>
        </w:rPr>
        <w:t>y </w:t>
      </w:r>
      <w:r>
        <w:rPr>
          <w:i/>
          <w:color w:val="231F20"/>
          <w:w w:val="105"/>
          <w:sz w:val="21"/>
        </w:rPr>
        <w:t>output</w:t>
      </w:r>
      <w:r>
        <w:rPr>
          <w:i/>
          <w:color w:val="231F20"/>
          <w:spacing w:val="-21"/>
          <w:w w:val="105"/>
          <w:sz w:val="21"/>
        </w:rPr>
        <w:t> </w:t>
      </w:r>
      <w:r>
        <w:rPr>
          <w:color w:val="231F20"/>
          <w:w w:val="105"/>
          <w:sz w:val="21"/>
        </w:rPr>
        <w:t>laboral</w:t>
      </w:r>
      <w:r>
        <w:rPr>
          <w:color w:val="231F20"/>
          <w:spacing w:val="-21"/>
          <w:w w:val="105"/>
          <w:sz w:val="21"/>
        </w:rPr>
        <w:t> </w:t>
      </w:r>
      <w:r>
        <w:rPr>
          <w:color w:val="231F20"/>
          <w:w w:val="105"/>
          <w:sz w:val="21"/>
        </w:rPr>
        <w:t>(profesionales</w:t>
      </w:r>
      <w:r>
        <w:rPr>
          <w:color w:val="231F20"/>
          <w:spacing w:val="-21"/>
          <w:w w:val="105"/>
          <w:sz w:val="21"/>
        </w:rPr>
        <w:t> </w:t>
      </w:r>
      <w:r>
        <w:rPr>
          <w:color w:val="231F20"/>
          <w:w w:val="105"/>
          <w:sz w:val="21"/>
        </w:rPr>
        <w:t>con</w:t>
      </w:r>
      <w:r>
        <w:rPr>
          <w:color w:val="231F20"/>
          <w:spacing w:val="-21"/>
          <w:w w:val="105"/>
          <w:sz w:val="21"/>
        </w:rPr>
        <w:t> </w:t>
      </w:r>
      <w:r>
        <w:rPr>
          <w:color w:val="231F20"/>
          <w:w w:val="105"/>
          <w:sz w:val="21"/>
        </w:rPr>
        <w:t>experiencia).</w:t>
      </w:r>
    </w:p>
    <w:p>
      <w:pPr>
        <w:pStyle w:val="ListParagraph"/>
        <w:numPr>
          <w:ilvl w:val="0"/>
          <w:numId w:val="50"/>
        </w:numPr>
        <w:tabs>
          <w:tab w:pos="1328" w:val="left" w:leader="none"/>
        </w:tabs>
        <w:spacing w:line="240" w:lineRule="auto" w:before="170" w:after="0"/>
        <w:ind w:left="1327" w:right="0" w:hanging="360"/>
        <w:jc w:val="left"/>
        <w:rPr>
          <w:sz w:val="21"/>
        </w:rPr>
      </w:pPr>
      <w:r>
        <w:rPr>
          <w:color w:val="231F20"/>
          <w:w w:val="105"/>
          <w:sz w:val="21"/>
        </w:rPr>
        <w:t>La</w:t>
      </w:r>
      <w:r>
        <w:rPr>
          <w:color w:val="231F20"/>
          <w:spacing w:val="-20"/>
          <w:w w:val="105"/>
          <w:sz w:val="21"/>
        </w:rPr>
        <w:t> </w:t>
      </w:r>
      <w:r>
        <w:rPr>
          <w:color w:val="231F20"/>
          <w:w w:val="105"/>
          <w:sz w:val="21"/>
        </w:rPr>
        <w:t>estructura</w:t>
      </w:r>
      <w:r>
        <w:rPr>
          <w:color w:val="231F20"/>
          <w:spacing w:val="-20"/>
          <w:w w:val="105"/>
          <w:sz w:val="21"/>
        </w:rPr>
        <w:t> </w:t>
      </w:r>
      <w:r>
        <w:rPr>
          <w:color w:val="231F20"/>
          <w:w w:val="105"/>
          <w:sz w:val="21"/>
        </w:rPr>
        <w:t>y</w:t>
      </w:r>
      <w:r>
        <w:rPr>
          <w:color w:val="231F20"/>
          <w:spacing w:val="-20"/>
          <w:w w:val="105"/>
          <w:sz w:val="21"/>
        </w:rPr>
        <w:t> </w:t>
      </w:r>
      <w:r>
        <w:rPr>
          <w:color w:val="231F20"/>
          <w:w w:val="105"/>
          <w:sz w:val="21"/>
        </w:rPr>
        <w:t>tendencias</w:t>
      </w:r>
      <w:r>
        <w:rPr>
          <w:color w:val="231F20"/>
          <w:spacing w:val="-20"/>
          <w:w w:val="105"/>
          <w:sz w:val="21"/>
        </w:rPr>
        <w:t> </w:t>
      </w:r>
      <w:r>
        <w:rPr>
          <w:color w:val="231F20"/>
          <w:w w:val="105"/>
          <w:sz w:val="21"/>
        </w:rPr>
        <w:t>del</w:t>
      </w:r>
      <w:r>
        <w:rPr>
          <w:color w:val="231F20"/>
          <w:spacing w:val="-20"/>
          <w:w w:val="105"/>
          <w:sz w:val="21"/>
        </w:rPr>
        <w:t> </w:t>
      </w:r>
      <w:r>
        <w:rPr>
          <w:color w:val="231F20"/>
          <w:w w:val="105"/>
          <w:sz w:val="21"/>
        </w:rPr>
        <w:t>contexto</w:t>
      </w:r>
      <w:r>
        <w:rPr>
          <w:color w:val="231F20"/>
          <w:spacing w:val="-20"/>
          <w:w w:val="105"/>
          <w:sz w:val="21"/>
        </w:rPr>
        <w:t> </w:t>
      </w:r>
      <w:r>
        <w:rPr>
          <w:color w:val="231F20"/>
          <w:w w:val="105"/>
          <w:sz w:val="21"/>
        </w:rPr>
        <w:t>laboral.</w:t>
      </w:r>
    </w:p>
    <w:p>
      <w:pPr>
        <w:spacing w:after="0" w:line="240" w:lineRule="auto"/>
        <w:jc w:val="left"/>
        <w:rPr>
          <w:sz w:val="21"/>
        </w:rPr>
        <w:sectPr>
          <w:pgSz w:w="9640" w:h="13890"/>
          <w:pgMar w:top="0" w:bottom="280" w:left="1300" w:right="1180"/>
        </w:sectPr>
      </w:pPr>
    </w:p>
    <w:p>
      <w:pPr>
        <w:pStyle w:val="BodyText"/>
        <w:spacing w:line="259" w:lineRule="auto" w:before="120"/>
        <w:ind w:left="103" w:right="109"/>
        <w:jc w:val="both"/>
      </w:pPr>
      <w:r>
        <w:rPr>
          <w:color w:val="231F20"/>
          <w:w w:val="105"/>
        </w:rPr>
        <w:t>El</w:t>
      </w:r>
      <w:r>
        <w:rPr>
          <w:color w:val="231F20"/>
          <w:spacing w:val="-10"/>
          <w:w w:val="105"/>
        </w:rPr>
        <w:t> </w:t>
      </w:r>
      <w:r>
        <w:rPr>
          <w:color w:val="231F20"/>
          <w:w w:val="105"/>
        </w:rPr>
        <w:t>mercado</w:t>
      </w:r>
      <w:r>
        <w:rPr>
          <w:color w:val="231F20"/>
          <w:spacing w:val="-10"/>
          <w:w w:val="105"/>
        </w:rPr>
        <w:t> </w:t>
      </w:r>
      <w:r>
        <w:rPr>
          <w:color w:val="231F20"/>
          <w:w w:val="105"/>
        </w:rPr>
        <w:t>de</w:t>
      </w:r>
      <w:r>
        <w:rPr>
          <w:color w:val="231F20"/>
          <w:spacing w:val="-10"/>
          <w:w w:val="105"/>
        </w:rPr>
        <w:t> </w:t>
      </w:r>
      <w:r>
        <w:rPr>
          <w:color w:val="231F20"/>
          <w:w w:val="105"/>
        </w:rPr>
        <w:t>trabajo</w:t>
      </w:r>
      <w:r>
        <w:rPr>
          <w:color w:val="231F20"/>
          <w:spacing w:val="-10"/>
          <w:w w:val="105"/>
        </w:rPr>
        <w:t> </w:t>
      </w:r>
      <w:r>
        <w:rPr>
          <w:color w:val="231F20"/>
          <w:w w:val="105"/>
        </w:rPr>
        <w:t>es</w:t>
      </w:r>
      <w:r>
        <w:rPr>
          <w:color w:val="231F20"/>
          <w:spacing w:val="-10"/>
          <w:w w:val="105"/>
        </w:rPr>
        <w:t> </w:t>
      </w:r>
      <w:r>
        <w:rPr>
          <w:color w:val="231F20"/>
          <w:w w:val="105"/>
        </w:rPr>
        <w:t>sinónimo</w:t>
      </w:r>
      <w:r>
        <w:rPr>
          <w:color w:val="231F20"/>
          <w:spacing w:val="-10"/>
          <w:w w:val="105"/>
        </w:rPr>
        <w:t> </w:t>
      </w:r>
      <w:r>
        <w:rPr>
          <w:color w:val="231F20"/>
          <w:w w:val="105"/>
        </w:rPr>
        <w:t>de</w:t>
      </w:r>
      <w:r>
        <w:rPr>
          <w:color w:val="231F20"/>
          <w:spacing w:val="-10"/>
          <w:w w:val="105"/>
        </w:rPr>
        <w:t> </w:t>
      </w:r>
      <w:r>
        <w:rPr>
          <w:color w:val="231F20"/>
          <w:w w:val="105"/>
        </w:rPr>
        <w:t>mercado</w:t>
      </w:r>
      <w:r>
        <w:rPr>
          <w:color w:val="231F20"/>
          <w:spacing w:val="-10"/>
          <w:w w:val="105"/>
        </w:rPr>
        <w:t> </w:t>
      </w:r>
      <w:r>
        <w:rPr>
          <w:color w:val="231F20"/>
          <w:w w:val="105"/>
        </w:rPr>
        <w:t>perfecto,</w:t>
      </w:r>
      <w:r>
        <w:rPr>
          <w:color w:val="231F20"/>
          <w:spacing w:val="-15"/>
          <w:w w:val="105"/>
        </w:rPr>
        <w:t> </w:t>
      </w:r>
      <w:r>
        <w:rPr>
          <w:color w:val="231F20"/>
          <w:w w:val="105"/>
        </w:rPr>
        <w:t>el</w:t>
      </w:r>
      <w:r>
        <w:rPr>
          <w:color w:val="231F20"/>
          <w:spacing w:val="-10"/>
          <w:w w:val="105"/>
        </w:rPr>
        <w:t> </w:t>
      </w:r>
      <w:r>
        <w:rPr>
          <w:color w:val="231F20"/>
          <w:w w:val="105"/>
        </w:rPr>
        <w:t>cual</w:t>
      </w:r>
      <w:r>
        <w:rPr>
          <w:color w:val="231F20"/>
          <w:spacing w:val="-10"/>
          <w:w w:val="105"/>
        </w:rPr>
        <w:t> </w:t>
      </w:r>
      <w:r>
        <w:rPr>
          <w:color w:val="231F20"/>
          <w:w w:val="105"/>
        </w:rPr>
        <w:t>se</w:t>
      </w:r>
      <w:r>
        <w:rPr>
          <w:color w:val="231F20"/>
          <w:spacing w:val="-10"/>
          <w:w w:val="105"/>
        </w:rPr>
        <w:t> </w:t>
      </w:r>
      <w:r>
        <w:rPr>
          <w:color w:val="231F20"/>
          <w:w w:val="105"/>
        </w:rPr>
        <w:t>con- sidera</w:t>
      </w:r>
      <w:r>
        <w:rPr>
          <w:color w:val="231F20"/>
          <w:spacing w:val="-10"/>
          <w:w w:val="105"/>
        </w:rPr>
        <w:t> </w:t>
      </w:r>
      <w:r>
        <w:rPr>
          <w:color w:val="231F20"/>
          <w:w w:val="105"/>
        </w:rPr>
        <w:t>más</w:t>
      </w:r>
      <w:r>
        <w:rPr>
          <w:color w:val="231F20"/>
          <w:spacing w:val="-10"/>
          <w:w w:val="105"/>
        </w:rPr>
        <w:t> </w:t>
      </w:r>
      <w:r>
        <w:rPr>
          <w:color w:val="231F20"/>
          <w:w w:val="105"/>
        </w:rPr>
        <w:t>flexible,</w:t>
      </w:r>
      <w:r>
        <w:rPr>
          <w:color w:val="231F20"/>
          <w:spacing w:val="-17"/>
          <w:w w:val="105"/>
        </w:rPr>
        <w:t> </w:t>
      </w:r>
      <w:r>
        <w:rPr>
          <w:color w:val="231F20"/>
          <w:w w:val="105"/>
        </w:rPr>
        <w:t>más</w:t>
      </w:r>
      <w:r>
        <w:rPr>
          <w:color w:val="231F20"/>
          <w:spacing w:val="-10"/>
          <w:w w:val="105"/>
        </w:rPr>
        <w:t> </w:t>
      </w:r>
      <w:r>
        <w:rPr>
          <w:color w:val="231F20"/>
          <w:w w:val="105"/>
        </w:rPr>
        <w:t>eficiente</w:t>
      </w:r>
      <w:r>
        <w:rPr>
          <w:color w:val="231F20"/>
          <w:spacing w:val="-10"/>
          <w:w w:val="105"/>
        </w:rPr>
        <w:t> </w:t>
      </w:r>
      <w:r>
        <w:rPr>
          <w:color w:val="231F20"/>
          <w:w w:val="105"/>
        </w:rPr>
        <w:t>y</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modelo</w:t>
      </w:r>
      <w:r>
        <w:rPr>
          <w:color w:val="231F20"/>
          <w:spacing w:val="-10"/>
          <w:w w:val="105"/>
        </w:rPr>
        <w:t> </w:t>
      </w:r>
      <w:r>
        <w:rPr>
          <w:color w:val="231F20"/>
          <w:w w:val="105"/>
        </w:rPr>
        <w:t>ideal</w:t>
      </w:r>
      <w:r>
        <w:rPr>
          <w:color w:val="231F20"/>
          <w:spacing w:val="-10"/>
          <w:w w:val="105"/>
        </w:rPr>
        <w:t> </w:t>
      </w:r>
      <w:r>
        <w:rPr>
          <w:color w:val="231F20"/>
          <w:w w:val="105"/>
        </w:rPr>
        <w:t>de</w:t>
      </w:r>
      <w:r>
        <w:rPr>
          <w:color w:val="231F20"/>
          <w:spacing w:val="-10"/>
          <w:w w:val="105"/>
        </w:rPr>
        <w:t> </w:t>
      </w:r>
      <w:r>
        <w:rPr>
          <w:color w:val="231F20"/>
          <w:w w:val="105"/>
        </w:rPr>
        <w:t>mercado</w:t>
      </w:r>
      <w:r>
        <w:rPr>
          <w:color w:val="231F20"/>
          <w:spacing w:val="-10"/>
          <w:w w:val="105"/>
        </w:rPr>
        <w:t> </w:t>
      </w:r>
      <w:r>
        <w:rPr>
          <w:color w:val="231F20"/>
          <w:w w:val="105"/>
        </w:rPr>
        <w:t>libre no</w:t>
      </w:r>
      <w:r>
        <w:rPr>
          <w:color w:val="231F20"/>
          <w:spacing w:val="-20"/>
          <w:w w:val="105"/>
        </w:rPr>
        <w:t> </w:t>
      </w:r>
      <w:r>
        <w:rPr>
          <w:color w:val="231F20"/>
          <w:w w:val="105"/>
        </w:rPr>
        <w:t>regulado</w:t>
      </w:r>
      <w:r>
        <w:rPr>
          <w:color w:val="231F20"/>
          <w:spacing w:val="-20"/>
          <w:w w:val="105"/>
        </w:rPr>
        <w:t> </w:t>
      </w:r>
      <w:r>
        <w:rPr>
          <w:color w:val="231F20"/>
          <w:w w:val="105"/>
        </w:rPr>
        <w:t>(Zeytinoglu,</w:t>
      </w:r>
      <w:r>
        <w:rPr>
          <w:color w:val="231F20"/>
          <w:spacing w:val="-26"/>
          <w:w w:val="105"/>
        </w:rPr>
        <w:t> </w:t>
      </w:r>
      <w:r>
        <w:rPr>
          <w:color w:val="231F20"/>
          <w:w w:val="105"/>
        </w:rPr>
        <w:t>1999).</w:t>
      </w:r>
      <w:r>
        <w:rPr>
          <w:color w:val="231F20"/>
          <w:spacing w:val="17"/>
          <w:w w:val="105"/>
        </w:rPr>
        <w:t> </w:t>
      </w:r>
      <w:r>
        <w:rPr>
          <w:color w:val="231F20"/>
          <w:w w:val="105"/>
        </w:rPr>
        <w:t>Una</w:t>
      </w:r>
      <w:r>
        <w:rPr>
          <w:color w:val="231F20"/>
          <w:spacing w:val="-20"/>
          <w:w w:val="105"/>
        </w:rPr>
        <w:t> </w:t>
      </w:r>
      <w:r>
        <w:rPr>
          <w:color w:val="231F20"/>
          <w:w w:val="105"/>
        </w:rPr>
        <w:t>tradición</w:t>
      </w:r>
      <w:r>
        <w:rPr>
          <w:color w:val="231F20"/>
          <w:spacing w:val="-20"/>
          <w:w w:val="105"/>
        </w:rPr>
        <w:t> </w:t>
      </w:r>
      <w:r>
        <w:rPr>
          <w:color w:val="231F20"/>
          <w:w w:val="105"/>
        </w:rPr>
        <w:t>[…]</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economía</w:t>
      </w:r>
      <w:r>
        <w:rPr>
          <w:color w:val="231F20"/>
          <w:spacing w:val="-20"/>
          <w:w w:val="105"/>
        </w:rPr>
        <w:t> </w:t>
      </w:r>
      <w:r>
        <w:rPr>
          <w:color w:val="231F20"/>
          <w:w w:val="105"/>
        </w:rPr>
        <w:t>[…]</w:t>
      </w:r>
      <w:r>
        <w:rPr>
          <w:color w:val="231F20"/>
          <w:spacing w:val="-20"/>
          <w:w w:val="105"/>
        </w:rPr>
        <w:t> </w:t>
      </w:r>
      <w:r>
        <w:rPr>
          <w:color w:val="231F20"/>
          <w:w w:val="105"/>
        </w:rPr>
        <w:t>es que</w:t>
      </w:r>
      <w:r>
        <w:rPr>
          <w:color w:val="231F20"/>
          <w:spacing w:val="-19"/>
          <w:w w:val="105"/>
        </w:rPr>
        <w:t> </w:t>
      </w:r>
      <w:r>
        <w:rPr>
          <w:color w:val="231F20"/>
          <w:w w:val="105"/>
        </w:rPr>
        <w:t>el</w:t>
      </w:r>
      <w:r>
        <w:rPr>
          <w:color w:val="231F20"/>
          <w:spacing w:val="-19"/>
          <w:w w:val="105"/>
        </w:rPr>
        <w:t> </w:t>
      </w:r>
      <w:r>
        <w:rPr>
          <w:color w:val="231F20"/>
          <w:w w:val="105"/>
        </w:rPr>
        <w:t>mercado</w:t>
      </w:r>
      <w:r>
        <w:rPr>
          <w:color w:val="231F20"/>
          <w:spacing w:val="-19"/>
          <w:w w:val="105"/>
        </w:rPr>
        <w:t> </w:t>
      </w:r>
      <w:r>
        <w:rPr>
          <w:color w:val="231F20"/>
          <w:w w:val="105"/>
        </w:rPr>
        <w:t>de</w:t>
      </w:r>
      <w:r>
        <w:rPr>
          <w:color w:val="231F20"/>
          <w:spacing w:val="-19"/>
          <w:w w:val="105"/>
        </w:rPr>
        <w:t> </w:t>
      </w:r>
      <w:r>
        <w:rPr>
          <w:color w:val="231F20"/>
          <w:w w:val="105"/>
        </w:rPr>
        <w:t>trabajo</w:t>
      </w:r>
      <w:r>
        <w:rPr>
          <w:color w:val="231F20"/>
          <w:spacing w:val="-19"/>
          <w:w w:val="105"/>
        </w:rPr>
        <w:t> </w:t>
      </w:r>
      <w:r>
        <w:rPr>
          <w:color w:val="231F20"/>
          <w:w w:val="105"/>
        </w:rPr>
        <w:t>es</w:t>
      </w:r>
      <w:r>
        <w:rPr>
          <w:color w:val="231F20"/>
          <w:spacing w:val="-19"/>
          <w:w w:val="105"/>
        </w:rPr>
        <w:t> </w:t>
      </w:r>
      <w:r>
        <w:rPr>
          <w:color w:val="231F20"/>
          <w:w w:val="105"/>
        </w:rPr>
        <w:t>exactamente</w:t>
      </w:r>
      <w:r>
        <w:rPr>
          <w:color w:val="231F20"/>
          <w:spacing w:val="-19"/>
          <w:w w:val="105"/>
        </w:rPr>
        <w:t> </w:t>
      </w:r>
      <w:r>
        <w:rPr>
          <w:color w:val="231F20"/>
          <w:w w:val="105"/>
        </w:rPr>
        <w:t>igual</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otros</w:t>
      </w:r>
      <w:r>
        <w:rPr>
          <w:color w:val="231F20"/>
          <w:spacing w:val="-19"/>
          <w:w w:val="105"/>
        </w:rPr>
        <w:t> </w:t>
      </w:r>
      <w:r>
        <w:rPr>
          <w:color w:val="231F20"/>
          <w:w w:val="105"/>
        </w:rPr>
        <w:t>mercados. Debe</w:t>
      </w:r>
      <w:r>
        <w:rPr>
          <w:color w:val="231F20"/>
          <w:spacing w:val="-14"/>
          <w:w w:val="105"/>
        </w:rPr>
        <w:t> </w:t>
      </w:r>
      <w:r>
        <w:rPr>
          <w:color w:val="231F20"/>
          <w:w w:val="105"/>
        </w:rPr>
        <w:t>[…]</w:t>
      </w:r>
      <w:r>
        <w:rPr>
          <w:color w:val="231F20"/>
          <w:spacing w:val="-14"/>
          <w:w w:val="105"/>
        </w:rPr>
        <w:t> </w:t>
      </w:r>
      <w:r>
        <w:rPr>
          <w:color w:val="231F20"/>
          <w:w w:val="105"/>
        </w:rPr>
        <w:t>analizarse</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misma</w:t>
      </w:r>
      <w:r>
        <w:rPr>
          <w:color w:val="231F20"/>
          <w:spacing w:val="-14"/>
          <w:w w:val="105"/>
        </w:rPr>
        <w:t> </w:t>
      </w:r>
      <w:r>
        <w:rPr>
          <w:color w:val="231F20"/>
          <w:w w:val="105"/>
        </w:rPr>
        <w:t>forma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analizaría</w:t>
      </w:r>
      <w:r>
        <w:rPr>
          <w:color w:val="231F20"/>
          <w:spacing w:val="-14"/>
          <w:w w:val="105"/>
        </w:rPr>
        <w:t> </w:t>
      </w:r>
      <w:r>
        <w:rPr>
          <w:color w:val="231F20"/>
          <w:w w:val="105"/>
        </w:rPr>
        <w:t>el</w:t>
      </w:r>
      <w:r>
        <w:rPr>
          <w:color w:val="231F20"/>
          <w:spacing w:val="-14"/>
          <w:w w:val="105"/>
        </w:rPr>
        <w:t> </w:t>
      </w:r>
      <w:r>
        <w:rPr>
          <w:color w:val="231F20"/>
          <w:w w:val="105"/>
        </w:rPr>
        <w:t>mercado</w:t>
      </w:r>
      <w:r>
        <w:rPr>
          <w:color w:val="231F20"/>
          <w:spacing w:val="-14"/>
          <w:w w:val="105"/>
        </w:rPr>
        <w:t> </w:t>
      </w:r>
      <w:r>
        <w:rPr>
          <w:color w:val="231F20"/>
          <w:w w:val="105"/>
        </w:rPr>
        <w:t>de un</w:t>
      </w:r>
      <w:r>
        <w:rPr>
          <w:color w:val="231F20"/>
          <w:spacing w:val="-10"/>
          <w:w w:val="105"/>
        </w:rPr>
        <w:t> </w:t>
      </w:r>
      <w:r>
        <w:rPr>
          <w:color w:val="231F20"/>
          <w:w w:val="105"/>
        </w:rPr>
        <w:t>bien</w:t>
      </w:r>
      <w:r>
        <w:rPr>
          <w:color w:val="231F20"/>
          <w:spacing w:val="-10"/>
          <w:w w:val="105"/>
        </w:rPr>
        <w:t> </w:t>
      </w:r>
      <w:r>
        <w:rPr>
          <w:color w:val="231F20"/>
          <w:w w:val="105"/>
        </w:rPr>
        <w:t>perecedero,</w:t>
      </w:r>
      <w:r>
        <w:rPr>
          <w:color w:val="231F20"/>
          <w:spacing w:val="-15"/>
          <w:w w:val="105"/>
        </w:rPr>
        <w:t> </w:t>
      </w:r>
      <w:r>
        <w:rPr>
          <w:color w:val="231F20"/>
          <w:w w:val="105"/>
        </w:rPr>
        <w:t>utilizando</w:t>
      </w:r>
      <w:r>
        <w:rPr>
          <w:color w:val="231F20"/>
          <w:spacing w:val="-10"/>
          <w:w w:val="105"/>
        </w:rPr>
        <w:t> </w:t>
      </w:r>
      <w:r>
        <w:rPr>
          <w:color w:val="231F20"/>
          <w:w w:val="105"/>
        </w:rPr>
        <w:t>el</w:t>
      </w:r>
      <w:r>
        <w:rPr>
          <w:color w:val="231F20"/>
          <w:spacing w:val="-10"/>
          <w:w w:val="105"/>
        </w:rPr>
        <w:t> </w:t>
      </w:r>
      <w:r>
        <w:rPr>
          <w:color w:val="231F20"/>
          <w:w w:val="105"/>
        </w:rPr>
        <w:t>sistema</w:t>
      </w:r>
      <w:r>
        <w:rPr>
          <w:color w:val="231F20"/>
          <w:spacing w:val="-10"/>
          <w:w w:val="105"/>
        </w:rPr>
        <w:t> </w:t>
      </w:r>
      <w:r>
        <w:rPr>
          <w:color w:val="231F20"/>
          <w:w w:val="105"/>
        </w:rPr>
        <w:t>tradicional</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oferta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de- manda. El sentido común […] parece que da por sabido que el trabajo como</w:t>
      </w:r>
      <w:r>
        <w:rPr>
          <w:color w:val="231F20"/>
          <w:spacing w:val="-7"/>
          <w:w w:val="105"/>
        </w:rPr>
        <w:t> </w:t>
      </w:r>
      <w:r>
        <w:rPr>
          <w:color w:val="231F20"/>
          <w:w w:val="105"/>
        </w:rPr>
        <w:t>bien</w:t>
      </w:r>
      <w:r>
        <w:rPr>
          <w:color w:val="231F20"/>
          <w:spacing w:val="-7"/>
          <w:w w:val="105"/>
        </w:rPr>
        <w:t> </w:t>
      </w:r>
      <w:r>
        <w:rPr>
          <w:color w:val="231F20"/>
          <w:w w:val="105"/>
        </w:rPr>
        <w:t>económico</w:t>
      </w:r>
      <w:r>
        <w:rPr>
          <w:color w:val="231F20"/>
          <w:spacing w:val="-7"/>
          <w:w w:val="105"/>
        </w:rPr>
        <w:t> </w:t>
      </w:r>
      <w:r>
        <w:rPr>
          <w:color w:val="231F20"/>
          <w:w w:val="105"/>
        </w:rPr>
        <w:t>tiene</w:t>
      </w:r>
      <w:r>
        <w:rPr>
          <w:color w:val="231F20"/>
          <w:spacing w:val="-7"/>
          <w:w w:val="105"/>
        </w:rPr>
        <w:t> </w:t>
      </w:r>
      <w:r>
        <w:rPr>
          <w:color w:val="231F20"/>
          <w:w w:val="105"/>
        </w:rPr>
        <w:t>algo</w:t>
      </w:r>
      <w:r>
        <w:rPr>
          <w:color w:val="231F20"/>
          <w:spacing w:val="-7"/>
          <w:w w:val="105"/>
        </w:rPr>
        <w:t> </w:t>
      </w:r>
      <w:r>
        <w:rPr>
          <w:color w:val="231F20"/>
          <w:w w:val="105"/>
        </w:rPr>
        <w:t>especial</w:t>
      </w:r>
      <w:r>
        <w:rPr>
          <w:color w:val="231F20"/>
          <w:spacing w:val="-7"/>
          <w:w w:val="105"/>
        </w:rPr>
        <w:t> </w:t>
      </w:r>
      <w:r>
        <w:rPr>
          <w:color w:val="231F20"/>
          <w:w w:val="105"/>
        </w:rPr>
        <w:t>y</w:t>
      </w:r>
      <w:r>
        <w:rPr>
          <w:color w:val="231F20"/>
          <w:spacing w:val="-7"/>
          <w:w w:val="105"/>
        </w:rPr>
        <w:t> </w:t>
      </w:r>
      <w:r>
        <w:rPr>
          <w:color w:val="231F20"/>
          <w:w w:val="105"/>
        </w:rPr>
        <w:t>por</w:t>
      </w:r>
      <w:r>
        <w:rPr>
          <w:color w:val="231F20"/>
          <w:spacing w:val="-7"/>
          <w:w w:val="105"/>
        </w:rPr>
        <w:t> </w:t>
      </w:r>
      <w:r>
        <w:rPr>
          <w:color w:val="231F20"/>
          <w:w w:val="105"/>
        </w:rPr>
        <w:t>tanto</w:t>
      </w:r>
      <w:r>
        <w:rPr>
          <w:color w:val="231F20"/>
          <w:spacing w:val="-7"/>
          <w:w w:val="105"/>
        </w:rPr>
        <w:t> </w:t>
      </w:r>
      <w:r>
        <w:rPr>
          <w:color w:val="231F20"/>
          <w:w w:val="105"/>
        </w:rPr>
        <w:t>también</w:t>
      </w:r>
      <w:r>
        <w:rPr>
          <w:color w:val="231F20"/>
          <w:spacing w:val="-7"/>
          <w:w w:val="105"/>
        </w:rPr>
        <w:t> </w:t>
      </w:r>
      <w:r>
        <w:rPr>
          <w:color w:val="231F20"/>
          <w:w w:val="105"/>
        </w:rPr>
        <w:t>lo</w:t>
      </w:r>
      <w:r>
        <w:rPr>
          <w:color w:val="231F20"/>
          <w:spacing w:val="-7"/>
          <w:w w:val="105"/>
        </w:rPr>
        <w:t> </w:t>
      </w:r>
      <w:r>
        <w:rPr>
          <w:color w:val="231F20"/>
          <w:w w:val="105"/>
        </w:rPr>
        <w:t>tiene</w:t>
      </w:r>
      <w:r>
        <w:rPr>
          <w:color w:val="231F20"/>
          <w:spacing w:val="-7"/>
          <w:w w:val="105"/>
        </w:rPr>
        <w:t> </w:t>
      </w:r>
      <w:r>
        <w:rPr>
          <w:color w:val="231F20"/>
          <w:w w:val="105"/>
        </w:rPr>
        <w:t>el mercado</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(Solow,</w:t>
      </w:r>
      <w:r>
        <w:rPr>
          <w:color w:val="231F20"/>
          <w:spacing w:val="-25"/>
          <w:w w:val="105"/>
        </w:rPr>
        <w:t> </w:t>
      </w:r>
      <w:r>
        <w:rPr>
          <w:color w:val="231F20"/>
          <w:w w:val="105"/>
        </w:rPr>
        <w:t>1992,</w:t>
      </w:r>
      <w:r>
        <w:rPr>
          <w:color w:val="231F20"/>
          <w:spacing w:val="-25"/>
          <w:w w:val="105"/>
        </w:rPr>
        <w:t> </w:t>
      </w:r>
      <w:r>
        <w:rPr>
          <w:color w:val="231F20"/>
          <w:w w:val="105"/>
        </w:rPr>
        <w:t>p.</w:t>
      </w:r>
      <w:r>
        <w:rPr>
          <w:color w:val="231F20"/>
          <w:spacing w:val="-25"/>
          <w:w w:val="105"/>
        </w:rPr>
        <w:t> </w:t>
      </w:r>
      <w:r>
        <w:rPr>
          <w:color w:val="231F20"/>
          <w:w w:val="105"/>
        </w:rPr>
        <w:t>23).</w:t>
      </w:r>
    </w:p>
    <w:p>
      <w:pPr>
        <w:pStyle w:val="BodyText"/>
        <w:spacing w:line="259" w:lineRule="auto"/>
        <w:ind w:left="103" w:right="114" w:firstLine="567"/>
        <w:jc w:val="both"/>
      </w:pPr>
      <w:r>
        <w:rPr>
          <w:color w:val="231F20"/>
          <w:w w:val="105"/>
        </w:rPr>
        <w:t>El</w:t>
      </w:r>
      <w:r>
        <w:rPr>
          <w:color w:val="231F20"/>
          <w:spacing w:val="-11"/>
          <w:w w:val="105"/>
        </w:rPr>
        <w:t> </w:t>
      </w:r>
      <w:r>
        <w:rPr>
          <w:color w:val="231F20"/>
          <w:w w:val="105"/>
        </w:rPr>
        <w:t>salario</w:t>
      </w:r>
      <w:r>
        <w:rPr>
          <w:color w:val="231F20"/>
          <w:spacing w:val="-11"/>
          <w:w w:val="105"/>
        </w:rPr>
        <w:t> </w:t>
      </w:r>
      <w:r>
        <w:rPr>
          <w:color w:val="231F20"/>
          <w:w w:val="105"/>
        </w:rPr>
        <w:t>representa</w:t>
      </w:r>
      <w:r>
        <w:rPr>
          <w:color w:val="231F20"/>
          <w:spacing w:val="-11"/>
          <w:w w:val="105"/>
        </w:rPr>
        <w:t> </w:t>
      </w:r>
      <w:r>
        <w:rPr>
          <w:color w:val="231F20"/>
          <w:w w:val="105"/>
        </w:rPr>
        <w:t>el</w:t>
      </w:r>
      <w:r>
        <w:rPr>
          <w:color w:val="231F20"/>
          <w:spacing w:val="-11"/>
          <w:w w:val="105"/>
        </w:rPr>
        <w:t> </w:t>
      </w:r>
      <w:r>
        <w:rPr>
          <w:color w:val="231F20"/>
          <w:w w:val="105"/>
        </w:rPr>
        <w:t>precio</w:t>
      </w:r>
      <w:r>
        <w:rPr>
          <w:color w:val="231F20"/>
          <w:spacing w:val="-11"/>
          <w:w w:val="105"/>
        </w:rPr>
        <w:t> </w:t>
      </w:r>
      <w:r>
        <w:rPr>
          <w:color w:val="231F20"/>
          <w:w w:val="105"/>
        </w:rPr>
        <w:t>del</w:t>
      </w:r>
      <w:r>
        <w:rPr>
          <w:color w:val="231F20"/>
          <w:spacing w:val="-11"/>
          <w:w w:val="105"/>
        </w:rPr>
        <w:t> </w:t>
      </w:r>
      <w:r>
        <w:rPr>
          <w:color w:val="231F20"/>
          <w:w w:val="105"/>
        </w:rPr>
        <w:t>trabajo.</w:t>
      </w:r>
      <w:r>
        <w:rPr>
          <w:color w:val="231F20"/>
          <w:spacing w:val="34"/>
          <w:w w:val="105"/>
        </w:rPr>
        <w:t> </w:t>
      </w:r>
      <w:r>
        <w:rPr>
          <w:color w:val="231F20"/>
          <w:w w:val="105"/>
        </w:rPr>
        <w:t>Dicho</w:t>
      </w:r>
      <w:r>
        <w:rPr>
          <w:color w:val="231F20"/>
          <w:spacing w:val="-11"/>
          <w:w w:val="105"/>
        </w:rPr>
        <w:t> </w:t>
      </w:r>
      <w:r>
        <w:rPr>
          <w:color w:val="231F20"/>
          <w:w w:val="105"/>
        </w:rPr>
        <w:t>de</w:t>
      </w:r>
      <w:r>
        <w:rPr>
          <w:color w:val="231F20"/>
          <w:spacing w:val="-11"/>
          <w:w w:val="105"/>
        </w:rPr>
        <w:t> </w:t>
      </w:r>
      <w:r>
        <w:rPr>
          <w:color w:val="231F20"/>
          <w:w w:val="105"/>
        </w:rPr>
        <w:t>otra</w:t>
      </w:r>
      <w:r>
        <w:rPr>
          <w:color w:val="231F20"/>
          <w:spacing w:val="-11"/>
          <w:w w:val="105"/>
        </w:rPr>
        <w:t> </w:t>
      </w:r>
      <w:r>
        <w:rPr>
          <w:color w:val="231F20"/>
          <w:w w:val="105"/>
        </w:rPr>
        <w:t>forma,</w:t>
      </w:r>
      <w:r>
        <w:rPr>
          <w:color w:val="231F20"/>
          <w:spacing w:val="-17"/>
          <w:w w:val="105"/>
        </w:rPr>
        <w:t> </w:t>
      </w:r>
      <w:r>
        <w:rPr>
          <w:color w:val="231F20"/>
          <w:w w:val="105"/>
        </w:rPr>
        <w:t>es el</w:t>
      </w:r>
      <w:r>
        <w:rPr>
          <w:color w:val="231F20"/>
          <w:spacing w:val="-12"/>
          <w:w w:val="105"/>
        </w:rPr>
        <w:t> </w:t>
      </w:r>
      <w:r>
        <w:rPr>
          <w:color w:val="231F20"/>
          <w:w w:val="105"/>
        </w:rPr>
        <w:t>pago</w:t>
      </w:r>
      <w:r>
        <w:rPr>
          <w:color w:val="231F20"/>
          <w:spacing w:val="-12"/>
          <w:w w:val="105"/>
        </w:rPr>
        <w:t> </w:t>
      </w:r>
      <w:r>
        <w:rPr>
          <w:color w:val="231F20"/>
          <w:w w:val="105"/>
        </w:rPr>
        <w:t>por</w:t>
      </w:r>
      <w:r>
        <w:rPr>
          <w:color w:val="231F20"/>
          <w:spacing w:val="-12"/>
          <w:w w:val="105"/>
        </w:rPr>
        <w:t> </w:t>
      </w:r>
      <w:r>
        <w:rPr>
          <w:color w:val="231F20"/>
          <w:w w:val="105"/>
        </w:rPr>
        <w:t>poner</w:t>
      </w:r>
      <w:r>
        <w:rPr>
          <w:color w:val="231F20"/>
          <w:spacing w:val="-12"/>
          <w:w w:val="105"/>
        </w:rPr>
        <w:t> </w:t>
      </w:r>
      <w:r>
        <w:rPr>
          <w:color w:val="231F20"/>
          <w:w w:val="105"/>
        </w:rPr>
        <w:t>horas</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color w:val="231F20"/>
          <w:w w:val="105"/>
        </w:rPr>
        <w:t>para</w:t>
      </w:r>
      <w:r>
        <w:rPr>
          <w:color w:val="231F20"/>
          <w:spacing w:val="-12"/>
          <w:w w:val="105"/>
        </w:rPr>
        <w:t> </w:t>
      </w:r>
      <w:r>
        <w:rPr>
          <w:color w:val="231F20"/>
          <w:w w:val="105"/>
        </w:rPr>
        <w:t>formar</w:t>
      </w:r>
      <w:r>
        <w:rPr>
          <w:color w:val="231F20"/>
          <w:spacing w:val="-12"/>
          <w:w w:val="105"/>
        </w:rPr>
        <w:t> </w:t>
      </w:r>
      <w:r>
        <w:rPr>
          <w:color w:val="231F20"/>
          <w:w w:val="105"/>
        </w:rPr>
        <w:t>un</w:t>
      </w:r>
      <w:r>
        <w:rPr>
          <w:color w:val="231F20"/>
          <w:spacing w:val="-12"/>
          <w:w w:val="105"/>
        </w:rPr>
        <w:t> </w:t>
      </w:r>
      <w:r>
        <w:rPr>
          <w:color w:val="231F20"/>
          <w:w w:val="105"/>
        </w:rPr>
        <w:t>bien</w:t>
      </w:r>
      <w:r>
        <w:rPr>
          <w:color w:val="231F20"/>
          <w:spacing w:val="-12"/>
          <w:w w:val="105"/>
        </w:rPr>
        <w:t> </w:t>
      </w:r>
      <w:r>
        <w:rPr>
          <w:color w:val="231F20"/>
          <w:w w:val="105"/>
        </w:rPr>
        <w:t>o</w:t>
      </w:r>
      <w:r>
        <w:rPr>
          <w:color w:val="231F20"/>
          <w:spacing w:val="-12"/>
          <w:w w:val="105"/>
        </w:rPr>
        <w:t> </w:t>
      </w:r>
      <w:r>
        <w:rPr>
          <w:color w:val="231F20"/>
          <w:w w:val="105"/>
        </w:rPr>
        <w:t>servicio,</w:t>
      </w:r>
      <w:r>
        <w:rPr>
          <w:color w:val="231F20"/>
          <w:spacing w:val="-18"/>
          <w:w w:val="105"/>
        </w:rPr>
        <w:t> </w:t>
      </w:r>
      <w:r>
        <w:rPr>
          <w:color w:val="231F20"/>
          <w:w w:val="105"/>
        </w:rPr>
        <w:t>y</w:t>
      </w:r>
      <w:r>
        <w:rPr>
          <w:color w:val="231F20"/>
          <w:spacing w:val="-12"/>
          <w:w w:val="105"/>
        </w:rPr>
        <w:t> </w:t>
      </w:r>
      <w:r>
        <w:rPr>
          <w:color w:val="231F20"/>
          <w:w w:val="105"/>
        </w:rPr>
        <w:t>éste es generado por las decisiones tomadas en conjunto entre</w:t>
      </w:r>
      <w:r>
        <w:rPr>
          <w:color w:val="231F20"/>
          <w:spacing w:val="-29"/>
          <w:w w:val="105"/>
        </w:rPr>
        <w:t> </w:t>
      </w:r>
      <w:r>
        <w:rPr>
          <w:color w:val="231F20"/>
          <w:w w:val="105"/>
        </w:rPr>
        <w:t>vendedores (empleados)</w:t>
      </w:r>
      <w:r>
        <w:rPr>
          <w:color w:val="231F20"/>
          <w:spacing w:val="-13"/>
          <w:w w:val="105"/>
        </w:rPr>
        <w:t> </w:t>
      </w:r>
      <w:r>
        <w:rPr>
          <w:color w:val="231F20"/>
          <w:w w:val="105"/>
        </w:rPr>
        <w:t>y</w:t>
      </w:r>
      <w:r>
        <w:rPr>
          <w:color w:val="231F20"/>
          <w:spacing w:val="-13"/>
          <w:w w:val="105"/>
        </w:rPr>
        <w:t> </w:t>
      </w:r>
      <w:r>
        <w:rPr>
          <w:color w:val="231F20"/>
          <w:w w:val="105"/>
        </w:rPr>
        <w:t>compradores</w:t>
      </w:r>
      <w:r>
        <w:rPr>
          <w:color w:val="231F20"/>
          <w:spacing w:val="-13"/>
          <w:w w:val="105"/>
        </w:rPr>
        <w:t> </w:t>
      </w:r>
      <w:r>
        <w:rPr>
          <w:color w:val="231F20"/>
          <w:w w:val="105"/>
        </w:rPr>
        <w:t>(empleadores)</w:t>
      </w:r>
      <w:r>
        <w:rPr>
          <w:color w:val="231F20"/>
          <w:spacing w:val="-13"/>
          <w:w w:val="105"/>
        </w:rPr>
        <w:t> </w:t>
      </w:r>
      <w:r>
        <w:rPr>
          <w:color w:val="231F20"/>
          <w:w w:val="105"/>
        </w:rPr>
        <w:t>(Roca,</w:t>
      </w:r>
      <w:r>
        <w:rPr>
          <w:color w:val="231F20"/>
          <w:spacing w:val="-18"/>
          <w:w w:val="105"/>
        </w:rPr>
        <w:t> </w:t>
      </w:r>
      <w:r>
        <w:rPr>
          <w:color w:val="231F20"/>
          <w:w w:val="105"/>
        </w:rPr>
        <w:t>2009),</w:t>
      </w:r>
      <w:r>
        <w:rPr>
          <w:color w:val="231F20"/>
          <w:spacing w:val="-18"/>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lleva</w:t>
      </w:r>
      <w:r>
        <w:rPr>
          <w:color w:val="231F20"/>
          <w:spacing w:val="-13"/>
          <w:w w:val="105"/>
        </w:rPr>
        <w:t> </w:t>
      </w:r>
      <w:r>
        <w:rPr>
          <w:color w:val="231F20"/>
          <w:w w:val="105"/>
        </w:rPr>
        <w:t>al equilibrio entre oferta y</w:t>
      </w:r>
      <w:r>
        <w:rPr>
          <w:color w:val="231F20"/>
          <w:spacing w:val="-14"/>
          <w:w w:val="105"/>
        </w:rPr>
        <w:t> </w:t>
      </w:r>
      <w:r>
        <w:rPr>
          <w:color w:val="231F20"/>
          <w:w w:val="105"/>
        </w:rPr>
        <w:t>demanda.</w:t>
      </w:r>
    </w:p>
    <w:p>
      <w:pPr>
        <w:spacing w:line="249" w:lineRule="auto" w:before="162"/>
        <w:ind w:left="103" w:right="159" w:firstLine="0"/>
        <w:jc w:val="both"/>
        <w:rPr>
          <w:i/>
          <w:sz w:val="21"/>
        </w:rPr>
      </w:pPr>
      <w:r>
        <w:rPr>
          <w:i/>
          <w:color w:val="231F20"/>
          <w:w w:val="105"/>
          <w:sz w:val="21"/>
        </w:rPr>
        <w:t>Supuestos</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la</w:t>
      </w:r>
      <w:r>
        <w:rPr>
          <w:i/>
          <w:color w:val="231F20"/>
          <w:spacing w:val="-20"/>
          <w:w w:val="105"/>
          <w:sz w:val="21"/>
        </w:rPr>
        <w:t> </w:t>
      </w:r>
      <w:r>
        <w:rPr>
          <w:i/>
          <w:color w:val="231F20"/>
          <w:w w:val="105"/>
          <w:sz w:val="21"/>
        </w:rPr>
        <w:t>ley</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oferta</w:t>
      </w:r>
      <w:r>
        <w:rPr>
          <w:i/>
          <w:color w:val="231F20"/>
          <w:spacing w:val="-20"/>
          <w:w w:val="105"/>
          <w:sz w:val="21"/>
        </w:rPr>
        <w:t> </w:t>
      </w:r>
      <w:r>
        <w:rPr>
          <w:i/>
          <w:color w:val="231F20"/>
          <w:w w:val="105"/>
          <w:sz w:val="21"/>
        </w:rPr>
        <w:t>y</w:t>
      </w:r>
      <w:r>
        <w:rPr>
          <w:i/>
          <w:color w:val="231F20"/>
          <w:spacing w:val="-20"/>
          <w:w w:val="105"/>
          <w:sz w:val="21"/>
        </w:rPr>
        <w:t> </w:t>
      </w:r>
      <w:r>
        <w:rPr>
          <w:i/>
          <w:color w:val="231F20"/>
          <w:w w:val="105"/>
          <w:sz w:val="21"/>
        </w:rPr>
        <w:t>demanda</w:t>
      </w:r>
      <w:r>
        <w:rPr>
          <w:i/>
          <w:color w:val="231F20"/>
          <w:spacing w:val="-20"/>
          <w:w w:val="105"/>
          <w:sz w:val="21"/>
        </w:rPr>
        <w:t> </w:t>
      </w:r>
      <w:r>
        <w:rPr>
          <w:i/>
          <w:color w:val="231F20"/>
          <w:w w:val="105"/>
          <w:sz w:val="21"/>
        </w:rPr>
        <w:t>(teoría</w:t>
      </w:r>
      <w:r>
        <w:rPr>
          <w:i/>
          <w:color w:val="231F20"/>
          <w:spacing w:val="-20"/>
          <w:w w:val="105"/>
          <w:sz w:val="21"/>
        </w:rPr>
        <w:t> </w:t>
      </w:r>
      <w:r>
        <w:rPr>
          <w:i/>
          <w:color w:val="231F20"/>
          <w:w w:val="105"/>
          <w:sz w:val="21"/>
        </w:rPr>
        <w:t>neoclásica</w:t>
      </w:r>
      <w:r>
        <w:rPr>
          <w:i/>
          <w:color w:val="231F20"/>
          <w:spacing w:val="-20"/>
          <w:w w:val="105"/>
          <w:sz w:val="21"/>
        </w:rPr>
        <w:t> </w:t>
      </w:r>
      <w:r>
        <w:rPr>
          <w:i/>
          <w:color w:val="231F20"/>
          <w:w w:val="105"/>
          <w:sz w:val="21"/>
        </w:rPr>
        <w:t>del</w:t>
      </w:r>
      <w:r>
        <w:rPr>
          <w:i/>
          <w:color w:val="231F20"/>
          <w:spacing w:val="-20"/>
          <w:w w:val="105"/>
          <w:sz w:val="21"/>
        </w:rPr>
        <w:t> </w:t>
      </w:r>
      <w:r>
        <w:rPr>
          <w:i/>
          <w:color w:val="231F20"/>
          <w:w w:val="105"/>
          <w:sz w:val="21"/>
        </w:rPr>
        <w:t>mercado </w:t>
      </w:r>
      <w:r>
        <w:rPr>
          <w:i/>
          <w:color w:val="231F20"/>
          <w:w w:val="105"/>
          <w:sz w:val="21"/>
        </w:rPr>
        <w:t>de</w:t>
      </w:r>
      <w:r>
        <w:rPr>
          <w:i/>
          <w:color w:val="231F20"/>
          <w:spacing w:val="-10"/>
          <w:w w:val="105"/>
          <w:sz w:val="21"/>
        </w:rPr>
        <w:t> </w:t>
      </w:r>
      <w:r>
        <w:rPr>
          <w:i/>
          <w:color w:val="231F20"/>
          <w:w w:val="105"/>
          <w:sz w:val="21"/>
        </w:rPr>
        <w:t>trabajo)</w:t>
      </w:r>
    </w:p>
    <w:p>
      <w:pPr>
        <w:pStyle w:val="BodyText"/>
        <w:spacing w:line="259" w:lineRule="auto" w:before="179"/>
        <w:ind w:left="103" w:right="115"/>
        <w:jc w:val="both"/>
      </w:pPr>
      <w:r>
        <w:rPr>
          <w:color w:val="231F20"/>
        </w:rPr>
        <w:t>Los supuestos de la oferta en la teoría neoclásica del mercado de trabajo son (Roca, 2009):</w:t>
      </w:r>
    </w:p>
    <w:p>
      <w:pPr>
        <w:pStyle w:val="BodyText"/>
        <w:spacing w:before="7"/>
        <w:rPr>
          <w:sz w:val="22"/>
        </w:rPr>
      </w:pPr>
    </w:p>
    <w:p>
      <w:pPr>
        <w:pStyle w:val="ListParagraph"/>
        <w:numPr>
          <w:ilvl w:val="0"/>
          <w:numId w:val="49"/>
        </w:numPr>
        <w:tabs>
          <w:tab w:pos="1315" w:val="left" w:leader="none"/>
        </w:tabs>
        <w:spacing w:line="259" w:lineRule="auto" w:before="0" w:after="0"/>
        <w:ind w:left="1314" w:right="109" w:hanging="360"/>
        <w:jc w:val="both"/>
        <w:rPr>
          <w:sz w:val="21"/>
        </w:rPr>
      </w:pPr>
      <w:r>
        <w:rPr>
          <w:color w:val="231F20"/>
          <w:w w:val="105"/>
          <w:sz w:val="21"/>
        </w:rPr>
        <w:t>La</w:t>
      </w:r>
      <w:r>
        <w:rPr>
          <w:color w:val="231F20"/>
          <w:spacing w:val="-8"/>
          <w:w w:val="105"/>
          <w:sz w:val="21"/>
        </w:rPr>
        <w:t> </w:t>
      </w:r>
      <w:r>
        <w:rPr>
          <w:color w:val="231F20"/>
          <w:w w:val="105"/>
          <w:sz w:val="21"/>
        </w:rPr>
        <w:t>decisión</w:t>
      </w:r>
      <w:r>
        <w:rPr>
          <w:color w:val="231F20"/>
          <w:spacing w:val="-8"/>
          <w:w w:val="105"/>
          <w:sz w:val="21"/>
        </w:rPr>
        <w:t> </w:t>
      </w:r>
      <w:r>
        <w:rPr>
          <w:color w:val="231F20"/>
          <w:w w:val="105"/>
          <w:sz w:val="21"/>
        </w:rPr>
        <w:t>de</w:t>
      </w:r>
      <w:r>
        <w:rPr>
          <w:color w:val="231F20"/>
          <w:spacing w:val="-8"/>
          <w:w w:val="105"/>
          <w:sz w:val="21"/>
        </w:rPr>
        <w:t> </w:t>
      </w:r>
      <w:r>
        <w:rPr>
          <w:color w:val="231F20"/>
          <w:w w:val="105"/>
          <w:sz w:val="21"/>
        </w:rPr>
        <w:t>ofrecer</w:t>
      </w:r>
      <w:r>
        <w:rPr>
          <w:color w:val="231F20"/>
          <w:spacing w:val="-8"/>
          <w:w w:val="105"/>
          <w:sz w:val="21"/>
        </w:rPr>
        <w:t> </w:t>
      </w:r>
      <w:r>
        <w:rPr>
          <w:color w:val="231F20"/>
          <w:w w:val="105"/>
          <w:sz w:val="21"/>
        </w:rPr>
        <w:t>trabajo</w:t>
      </w:r>
      <w:r>
        <w:rPr>
          <w:color w:val="231F20"/>
          <w:spacing w:val="-8"/>
          <w:w w:val="105"/>
          <w:sz w:val="21"/>
        </w:rPr>
        <w:t> </w:t>
      </w:r>
      <w:r>
        <w:rPr>
          <w:color w:val="231F20"/>
          <w:w w:val="105"/>
          <w:sz w:val="21"/>
        </w:rPr>
        <w:t>se</w:t>
      </w:r>
      <w:r>
        <w:rPr>
          <w:color w:val="231F20"/>
          <w:spacing w:val="-8"/>
          <w:w w:val="105"/>
          <w:sz w:val="21"/>
        </w:rPr>
        <w:t> </w:t>
      </w:r>
      <w:r>
        <w:rPr>
          <w:color w:val="231F20"/>
          <w:w w:val="105"/>
          <w:sz w:val="21"/>
        </w:rPr>
        <w:t>encuentra</w:t>
      </w:r>
      <w:r>
        <w:rPr>
          <w:color w:val="231F20"/>
          <w:spacing w:val="-8"/>
          <w:w w:val="105"/>
          <w:sz w:val="21"/>
        </w:rPr>
        <w:t> </w:t>
      </w:r>
      <w:r>
        <w:rPr>
          <w:color w:val="231F20"/>
          <w:w w:val="105"/>
          <w:sz w:val="21"/>
        </w:rPr>
        <w:t>dentro</w:t>
      </w:r>
      <w:r>
        <w:rPr>
          <w:color w:val="231F20"/>
          <w:spacing w:val="-8"/>
          <w:w w:val="105"/>
          <w:sz w:val="21"/>
        </w:rPr>
        <w:t> </w:t>
      </w:r>
      <w:r>
        <w:rPr>
          <w:color w:val="231F20"/>
          <w:w w:val="105"/>
          <w:sz w:val="21"/>
        </w:rPr>
        <w:t>del</w:t>
      </w:r>
      <w:r>
        <w:rPr>
          <w:color w:val="231F20"/>
          <w:spacing w:val="-8"/>
          <w:w w:val="105"/>
          <w:sz w:val="21"/>
        </w:rPr>
        <w:t> </w:t>
      </w:r>
      <w:r>
        <w:rPr>
          <w:color w:val="231F20"/>
          <w:w w:val="105"/>
          <w:sz w:val="21"/>
        </w:rPr>
        <w:t>con- texto de la teoría de la elección del consumidor. A su vez, parte</w:t>
      </w:r>
      <w:r>
        <w:rPr>
          <w:color w:val="231F20"/>
          <w:spacing w:val="-16"/>
          <w:w w:val="105"/>
          <w:sz w:val="21"/>
        </w:rPr>
        <w:t> </w:t>
      </w:r>
      <w:r>
        <w:rPr>
          <w:color w:val="231F20"/>
          <w:w w:val="105"/>
          <w:sz w:val="21"/>
        </w:rPr>
        <w:t>del</w:t>
      </w:r>
      <w:r>
        <w:rPr>
          <w:color w:val="231F20"/>
          <w:spacing w:val="-16"/>
          <w:w w:val="105"/>
          <w:sz w:val="21"/>
        </w:rPr>
        <w:t> </w:t>
      </w:r>
      <w:r>
        <w:rPr>
          <w:color w:val="231F20"/>
          <w:w w:val="105"/>
          <w:sz w:val="21"/>
        </w:rPr>
        <w:t>supuesto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que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elección</w:t>
      </w:r>
      <w:r>
        <w:rPr>
          <w:color w:val="231F20"/>
          <w:spacing w:val="-16"/>
          <w:w w:val="105"/>
          <w:sz w:val="21"/>
        </w:rPr>
        <w:t> </w:t>
      </w:r>
      <w:r>
        <w:rPr>
          <w:color w:val="231F20"/>
          <w:w w:val="105"/>
          <w:sz w:val="21"/>
        </w:rPr>
        <w:t>entre</w:t>
      </w:r>
      <w:r>
        <w:rPr>
          <w:color w:val="231F20"/>
          <w:spacing w:val="-16"/>
          <w:w w:val="105"/>
          <w:sz w:val="21"/>
        </w:rPr>
        <w:t> </w:t>
      </w:r>
      <w:r>
        <w:rPr>
          <w:color w:val="231F20"/>
          <w:w w:val="105"/>
          <w:sz w:val="21"/>
        </w:rPr>
        <w:t>trabajar</w:t>
      </w:r>
      <w:r>
        <w:rPr>
          <w:color w:val="231F20"/>
          <w:spacing w:val="-16"/>
          <w:w w:val="105"/>
          <w:sz w:val="21"/>
        </w:rPr>
        <w:t> </w:t>
      </w:r>
      <w:r>
        <w:rPr>
          <w:color w:val="231F20"/>
          <w:w w:val="105"/>
          <w:sz w:val="21"/>
        </w:rPr>
        <w:t>o</w:t>
      </w:r>
      <w:r>
        <w:rPr>
          <w:color w:val="231F20"/>
          <w:spacing w:val="-16"/>
          <w:w w:val="105"/>
          <w:sz w:val="21"/>
        </w:rPr>
        <w:t> </w:t>
      </w:r>
      <w:r>
        <w:rPr>
          <w:color w:val="231F20"/>
          <w:w w:val="105"/>
          <w:sz w:val="21"/>
        </w:rPr>
        <w:t>no,</w:t>
      </w:r>
      <w:r>
        <w:rPr>
          <w:color w:val="231F20"/>
          <w:spacing w:val="-21"/>
          <w:w w:val="105"/>
          <w:sz w:val="21"/>
        </w:rPr>
        <w:t> </w:t>
      </w:r>
      <w:r>
        <w:rPr>
          <w:color w:val="231F20"/>
          <w:w w:val="105"/>
          <w:sz w:val="21"/>
        </w:rPr>
        <w:t>es una</w:t>
      </w:r>
      <w:r>
        <w:rPr>
          <w:color w:val="231F20"/>
          <w:spacing w:val="-10"/>
          <w:w w:val="105"/>
          <w:sz w:val="21"/>
        </w:rPr>
        <w:t> </w:t>
      </w:r>
      <w:r>
        <w:rPr>
          <w:color w:val="231F20"/>
          <w:w w:val="105"/>
          <w:sz w:val="21"/>
        </w:rPr>
        <w:t>elección</w:t>
      </w:r>
      <w:r>
        <w:rPr>
          <w:color w:val="231F20"/>
          <w:spacing w:val="-10"/>
          <w:w w:val="105"/>
          <w:sz w:val="21"/>
        </w:rPr>
        <w:t> </w:t>
      </w:r>
      <w:r>
        <w:rPr>
          <w:color w:val="231F20"/>
          <w:w w:val="105"/>
          <w:sz w:val="21"/>
        </w:rPr>
        <w:t>entre</w:t>
      </w:r>
      <w:r>
        <w:rPr>
          <w:color w:val="231F20"/>
          <w:spacing w:val="-10"/>
          <w:w w:val="105"/>
          <w:sz w:val="21"/>
        </w:rPr>
        <w:t> </w:t>
      </w:r>
      <w:r>
        <w:rPr>
          <w:color w:val="231F20"/>
          <w:w w:val="105"/>
          <w:sz w:val="21"/>
        </w:rPr>
        <w:t>el</w:t>
      </w:r>
      <w:r>
        <w:rPr>
          <w:color w:val="231F20"/>
          <w:spacing w:val="-10"/>
          <w:w w:val="105"/>
          <w:sz w:val="21"/>
        </w:rPr>
        <w:t> </w:t>
      </w:r>
      <w:r>
        <w:rPr>
          <w:color w:val="231F20"/>
          <w:w w:val="105"/>
          <w:sz w:val="21"/>
        </w:rPr>
        <w:t>ocio</w:t>
      </w:r>
      <w:r>
        <w:rPr>
          <w:color w:val="231F20"/>
          <w:spacing w:val="-10"/>
          <w:w w:val="105"/>
          <w:sz w:val="21"/>
        </w:rPr>
        <w:t> </w:t>
      </w:r>
      <w:r>
        <w:rPr>
          <w:color w:val="231F20"/>
          <w:w w:val="105"/>
          <w:sz w:val="21"/>
        </w:rPr>
        <w:t>(no</w:t>
      </w:r>
      <w:r>
        <w:rPr>
          <w:color w:val="231F20"/>
          <w:spacing w:val="-10"/>
          <w:w w:val="105"/>
          <w:sz w:val="21"/>
        </w:rPr>
        <w:t> </w:t>
      </w:r>
      <w:r>
        <w:rPr>
          <w:color w:val="231F20"/>
          <w:w w:val="105"/>
          <w:sz w:val="21"/>
        </w:rPr>
        <w:t>trabajar)</w:t>
      </w:r>
      <w:r>
        <w:rPr>
          <w:color w:val="231F20"/>
          <w:spacing w:val="-10"/>
          <w:w w:val="105"/>
          <w:sz w:val="21"/>
        </w:rPr>
        <w:t> </w:t>
      </w:r>
      <w:r>
        <w:rPr>
          <w:color w:val="231F20"/>
          <w:w w:val="105"/>
          <w:sz w:val="21"/>
        </w:rPr>
        <w:t>y</w:t>
      </w:r>
      <w:r>
        <w:rPr>
          <w:color w:val="231F20"/>
          <w:spacing w:val="-10"/>
          <w:w w:val="105"/>
          <w:sz w:val="21"/>
        </w:rPr>
        <w:t> </w:t>
      </w:r>
      <w:r>
        <w:rPr>
          <w:color w:val="231F20"/>
          <w:w w:val="105"/>
          <w:sz w:val="21"/>
        </w:rPr>
        <w:t>la</w:t>
      </w:r>
      <w:r>
        <w:rPr>
          <w:color w:val="231F20"/>
          <w:spacing w:val="-10"/>
          <w:w w:val="105"/>
          <w:sz w:val="21"/>
        </w:rPr>
        <w:t> </w:t>
      </w:r>
      <w:r>
        <w:rPr>
          <w:color w:val="231F20"/>
          <w:w w:val="105"/>
          <w:sz w:val="21"/>
        </w:rPr>
        <w:t>renta</w:t>
      </w:r>
      <w:r>
        <w:rPr>
          <w:color w:val="231F20"/>
          <w:spacing w:val="-10"/>
          <w:w w:val="105"/>
          <w:sz w:val="21"/>
        </w:rPr>
        <w:t> </w:t>
      </w:r>
      <w:r>
        <w:rPr>
          <w:color w:val="231F20"/>
          <w:w w:val="105"/>
          <w:sz w:val="21"/>
        </w:rPr>
        <w:t>que</w:t>
      </w:r>
      <w:r>
        <w:rPr>
          <w:color w:val="231F20"/>
          <w:spacing w:val="-10"/>
          <w:w w:val="105"/>
          <w:sz w:val="21"/>
        </w:rPr>
        <w:t> </w:t>
      </w:r>
      <w:r>
        <w:rPr>
          <w:color w:val="231F20"/>
          <w:w w:val="105"/>
          <w:sz w:val="21"/>
        </w:rPr>
        <w:t>consi- gue al</w:t>
      </w:r>
      <w:r>
        <w:rPr>
          <w:color w:val="231F20"/>
          <w:spacing w:val="-46"/>
          <w:w w:val="105"/>
          <w:sz w:val="21"/>
        </w:rPr>
        <w:t> </w:t>
      </w:r>
      <w:r>
        <w:rPr>
          <w:color w:val="231F20"/>
          <w:w w:val="105"/>
          <w:sz w:val="21"/>
        </w:rPr>
        <w:t>trabajar.</w:t>
      </w:r>
    </w:p>
    <w:p>
      <w:pPr>
        <w:pStyle w:val="ListParagraph"/>
        <w:numPr>
          <w:ilvl w:val="0"/>
          <w:numId w:val="49"/>
        </w:numPr>
        <w:tabs>
          <w:tab w:pos="1314" w:val="left" w:leader="none"/>
          <w:tab w:pos="1315" w:val="left" w:leader="none"/>
        </w:tabs>
        <w:spacing w:line="240" w:lineRule="auto" w:before="170" w:after="0"/>
        <w:ind w:left="1314" w:right="0" w:hanging="360"/>
        <w:jc w:val="left"/>
        <w:rPr>
          <w:sz w:val="21"/>
        </w:rPr>
      </w:pPr>
      <w:r>
        <w:rPr>
          <w:color w:val="231F20"/>
          <w:sz w:val="21"/>
        </w:rPr>
        <w:t>El trabajo es un medio para obtener un fin </w:t>
      </w:r>
      <w:r>
        <w:rPr>
          <w:color w:val="231F20"/>
          <w:spacing w:val="49"/>
          <w:sz w:val="21"/>
        </w:rPr>
        <w:t> </w:t>
      </w:r>
      <w:r>
        <w:rPr>
          <w:color w:val="231F20"/>
          <w:sz w:val="21"/>
        </w:rPr>
        <w:t>(renta).</w:t>
      </w:r>
    </w:p>
    <w:p>
      <w:pPr>
        <w:pStyle w:val="BodyText"/>
        <w:rPr>
          <w:sz w:val="20"/>
        </w:rPr>
      </w:pPr>
    </w:p>
    <w:p>
      <w:pPr>
        <w:pStyle w:val="BodyText"/>
        <w:rPr>
          <w:sz w:val="19"/>
        </w:rPr>
      </w:pPr>
    </w:p>
    <w:p>
      <w:pPr>
        <w:pStyle w:val="BodyText"/>
        <w:spacing w:line="259" w:lineRule="auto"/>
        <w:ind w:left="103" w:right="115"/>
        <w:jc w:val="both"/>
      </w:pPr>
      <w:r>
        <w:rPr>
          <w:color w:val="231F20"/>
        </w:rPr>
        <w:t>Los supuestos de la demanda en la teoría neoclásica del mercado de trabajo son (Roca, 2009):</w:t>
      </w:r>
    </w:p>
    <w:p>
      <w:pPr>
        <w:pStyle w:val="BodyText"/>
        <w:spacing w:before="6"/>
        <w:rPr>
          <w:sz w:val="22"/>
        </w:rPr>
      </w:pPr>
    </w:p>
    <w:p>
      <w:pPr>
        <w:pStyle w:val="ListParagraph"/>
        <w:numPr>
          <w:ilvl w:val="0"/>
          <w:numId w:val="49"/>
        </w:numPr>
        <w:tabs>
          <w:tab w:pos="1315" w:val="left" w:leader="none"/>
        </w:tabs>
        <w:spacing w:line="259" w:lineRule="auto" w:before="1" w:after="0"/>
        <w:ind w:left="1314" w:right="114" w:hanging="360"/>
        <w:jc w:val="both"/>
        <w:rPr>
          <w:sz w:val="21"/>
        </w:rPr>
      </w:pPr>
      <w:r>
        <w:rPr>
          <w:color w:val="231F20"/>
          <w:w w:val="105"/>
          <w:sz w:val="21"/>
        </w:rPr>
        <w:t>La demanda es un factor de producción, es decir, una de- manda derivada del</w:t>
      </w:r>
      <w:r>
        <w:rPr>
          <w:color w:val="231F20"/>
          <w:spacing w:val="-6"/>
          <w:w w:val="105"/>
          <w:sz w:val="21"/>
        </w:rPr>
        <w:t> </w:t>
      </w:r>
      <w:r>
        <w:rPr>
          <w:color w:val="231F20"/>
          <w:w w:val="105"/>
          <w:sz w:val="21"/>
        </w:rPr>
        <w:t>producto.</w:t>
      </w:r>
    </w:p>
    <w:p>
      <w:pPr>
        <w:pStyle w:val="ListParagraph"/>
        <w:numPr>
          <w:ilvl w:val="0"/>
          <w:numId w:val="49"/>
        </w:numPr>
        <w:tabs>
          <w:tab w:pos="1315" w:val="left" w:leader="none"/>
        </w:tabs>
        <w:spacing w:line="259" w:lineRule="auto" w:before="170" w:after="0"/>
        <w:ind w:left="1314" w:right="115" w:hanging="360"/>
        <w:jc w:val="both"/>
        <w:rPr>
          <w:sz w:val="21"/>
        </w:rPr>
      </w:pPr>
      <w:r>
        <w:rPr>
          <w:color w:val="231F20"/>
          <w:w w:val="105"/>
          <w:sz w:val="21"/>
        </w:rPr>
        <w:t>Principio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maximización</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los</w:t>
      </w:r>
      <w:r>
        <w:rPr>
          <w:color w:val="231F20"/>
          <w:spacing w:val="-16"/>
          <w:w w:val="105"/>
          <w:sz w:val="21"/>
        </w:rPr>
        <w:t> </w:t>
      </w:r>
      <w:r>
        <w:rPr>
          <w:color w:val="231F20"/>
          <w:w w:val="105"/>
          <w:sz w:val="21"/>
        </w:rPr>
        <w:t>beneficios</w:t>
      </w:r>
      <w:r>
        <w:rPr>
          <w:color w:val="231F20"/>
          <w:spacing w:val="-16"/>
          <w:w w:val="105"/>
          <w:sz w:val="21"/>
        </w:rPr>
        <w:t> </w:t>
      </w:r>
      <w:r>
        <w:rPr>
          <w:color w:val="231F20"/>
          <w:w w:val="105"/>
          <w:sz w:val="21"/>
        </w:rPr>
        <w:t>por</w:t>
      </w:r>
      <w:r>
        <w:rPr>
          <w:color w:val="231F20"/>
          <w:spacing w:val="-16"/>
          <w:w w:val="105"/>
          <w:sz w:val="21"/>
        </w:rPr>
        <w:t> </w:t>
      </w:r>
      <w:r>
        <w:rPr>
          <w:color w:val="231F20"/>
          <w:w w:val="105"/>
          <w:sz w:val="21"/>
        </w:rPr>
        <w:t>parte</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los empleadores.</w:t>
      </w:r>
    </w:p>
    <w:p>
      <w:pPr>
        <w:pStyle w:val="ListParagraph"/>
        <w:numPr>
          <w:ilvl w:val="0"/>
          <w:numId w:val="49"/>
        </w:numPr>
        <w:tabs>
          <w:tab w:pos="1314" w:val="left" w:leader="none"/>
          <w:tab w:pos="1315" w:val="left" w:leader="none"/>
        </w:tabs>
        <w:spacing w:line="240" w:lineRule="auto" w:before="170" w:after="0"/>
        <w:ind w:left="1314" w:right="0" w:hanging="360"/>
        <w:jc w:val="left"/>
        <w:rPr>
          <w:sz w:val="21"/>
        </w:rPr>
      </w:pPr>
      <w:r>
        <w:rPr>
          <w:color w:val="231F20"/>
          <w:w w:val="105"/>
          <w:sz w:val="21"/>
        </w:rPr>
        <w:t>Competencia</w:t>
      </w:r>
      <w:r>
        <w:rPr>
          <w:color w:val="231F20"/>
          <w:spacing w:val="-23"/>
          <w:w w:val="105"/>
          <w:sz w:val="21"/>
        </w:rPr>
        <w:t> </w:t>
      </w:r>
      <w:r>
        <w:rPr>
          <w:color w:val="231F20"/>
          <w:w w:val="105"/>
          <w:sz w:val="21"/>
        </w:rPr>
        <w:t>perfecta.</w:t>
      </w:r>
    </w:p>
    <w:p>
      <w:pPr>
        <w:pStyle w:val="BodyText"/>
        <w:spacing w:before="4"/>
        <w:rPr>
          <w:sz w:val="16"/>
        </w:rPr>
      </w:pPr>
    </w:p>
    <w:p>
      <w:pPr>
        <w:pStyle w:val="ListParagraph"/>
        <w:numPr>
          <w:ilvl w:val="0"/>
          <w:numId w:val="49"/>
        </w:numPr>
        <w:tabs>
          <w:tab w:pos="1315" w:val="left" w:leader="none"/>
        </w:tabs>
        <w:spacing w:line="259" w:lineRule="auto" w:before="0" w:after="0"/>
        <w:ind w:left="1314" w:right="115" w:hanging="360"/>
        <w:jc w:val="both"/>
        <w:rPr>
          <w:sz w:val="21"/>
        </w:rPr>
      </w:pPr>
      <w:r>
        <w:rPr>
          <w:color w:val="231F20"/>
          <w:w w:val="105"/>
          <w:sz w:val="21"/>
        </w:rPr>
        <w:t>La</w:t>
      </w:r>
      <w:r>
        <w:rPr>
          <w:color w:val="231F20"/>
          <w:spacing w:val="-7"/>
          <w:w w:val="105"/>
          <w:sz w:val="21"/>
        </w:rPr>
        <w:t> </w:t>
      </w:r>
      <w:r>
        <w:rPr>
          <w:color w:val="231F20"/>
          <w:w w:val="105"/>
          <w:sz w:val="21"/>
        </w:rPr>
        <w:t>productividad</w:t>
      </w:r>
      <w:r>
        <w:rPr>
          <w:color w:val="231F20"/>
          <w:spacing w:val="-7"/>
          <w:w w:val="105"/>
          <w:sz w:val="21"/>
        </w:rPr>
        <w:t> </w:t>
      </w:r>
      <w:r>
        <w:rPr>
          <w:color w:val="231F20"/>
          <w:w w:val="105"/>
          <w:sz w:val="21"/>
        </w:rPr>
        <w:t>marginal</w:t>
      </w:r>
      <w:r>
        <w:rPr>
          <w:color w:val="231F20"/>
          <w:spacing w:val="-7"/>
          <w:w w:val="105"/>
          <w:sz w:val="21"/>
        </w:rPr>
        <w:t> </w:t>
      </w:r>
      <w:r>
        <w:rPr>
          <w:color w:val="231F20"/>
          <w:w w:val="105"/>
          <w:sz w:val="21"/>
        </w:rPr>
        <w:t>del</w:t>
      </w:r>
      <w:r>
        <w:rPr>
          <w:color w:val="231F20"/>
          <w:spacing w:val="-7"/>
          <w:w w:val="105"/>
          <w:sz w:val="21"/>
        </w:rPr>
        <w:t> </w:t>
      </w:r>
      <w:r>
        <w:rPr>
          <w:color w:val="231F20"/>
          <w:w w:val="105"/>
          <w:sz w:val="21"/>
        </w:rPr>
        <w:t>trabajo</w:t>
      </w:r>
      <w:r>
        <w:rPr>
          <w:color w:val="231F20"/>
          <w:spacing w:val="-7"/>
          <w:w w:val="105"/>
          <w:sz w:val="21"/>
        </w:rPr>
        <w:t> </w:t>
      </w:r>
      <w:r>
        <w:rPr>
          <w:color w:val="231F20"/>
          <w:w w:val="105"/>
          <w:sz w:val="21"/>
        </w:rPr>
        <w:t>depende</w:t>
      </w:r>
      <w:r>
        <w:rPr>
          <w:color w:val="231F20"/>
          <w:spacing w:val="-7"/>
          <w:w w:val="105"/>
          <w:sz w:val="21"/>
        </w:rPr>
        <w:t> </w:t>
      </w:r>
      <w:r>
        <w:rPr>
          <w:color w:val="231F20"/>
          <w:w w:val="105"/>
          <w:sz w:val="21"/>
        </w:rPr>
        <w:t>de</w:t>
      </w:r>
      <w:r>
        <w:rPr>
          <w:color w:val="231F20"/>
          <w:spacing w:val="-7"/>
          <w:w w:val="105"/>
          <w:sz w:val="21"/>
        </w:rPr>
        <w:t> </w:t>
      </w:r>
      <w:r>
        <w:rPr>
          <w:color w:val="231F20"/>
          <w:w w:val="105"/>
          <w:sz w:val="21"/>
        </w:rPr>
        <w:t>la</w:t>
      </w:r>
      <w:r>
        <w:rPr>
          <w:color w:val="231F20"/>
          <w:spacing w:val="-7"/>
          <w:w w:val="105"/>
          <w:sz w:val="21"/>
        </w:rPr>
        <w:t> </w:t>
      </w:r>
      <w:r>
        <w:rPr>
          <w:color w:val="231F20"/>
          <w:w w:val="105"/>
          <w:sz w:val="21"/>
        </w:rPr>
        <w:t>tecno- logía</w:t>
      </w:r>
      <w:r>
        <w:rPr>
          <w:color w:val="231F20"/>
          <w:spacing w:val="-9"/>
          <w:w w:val="105"/>
          <w:sz w:val="21"/>
        </w:rPr>
        <w:t> </w:t>
      </w:r>
      <w:r>
        <w:rPr>
          <w:color w:val="231F20"/>
          <w:w w:val="105"/>
          <w:sz w:val="21"/>
        </w:rPr>
        <w:t>y</w:t>
      </w:r>
      <w:r>
        <w:rPr>
          <w:color w:val="231F20"/>
          <w:spacing w:val="-9"/>
          <w:w w:val="105"/>
          <w:sz w:val="21"/>
        </w:rPr>
        <w:t> </w:t>
      </w:r>
      <w:r>
        <w:rPr>
          <w:color w:val="231F20"/>
          <w:w w:val="105"/>
          <w:sz w:val="21"/>
        </w:rPr>
        <w:t>de</w:t>
      </w:r>
      <w:r>
        <w:rPr>
          <w:color w:val="231F20"/>
          <w:spacing w:val="-9"/>
          <w:w w:val="105"/>
          <w:sz w:val="21"/>
        </w:rPr>
        <w:t> </w:t>
      </w:r>
      <w:r>
        <w:rPr>
          <w:color w:val="231F20"/>
          <w:w w:val="105"/>
          <w:sz w:val="21"/>
        </w:rPr>
        <w:t>la</w:t>
      </w:r>
      <w:r>
        <w:rPr>
          <w:color w:val="231F20"/>
          <w:spacing w:val="-9"/>
          <w:w w:val="105"/>
          <w:sz w:val="21"/>
        </w:rPr>
        <w:t> </w:t>
      </w:r>
      <w:r>
        <w:rPr>
          <w:color w:val="231F20"/>
          <w:w w:val="105"/>
          <w:sz w:val="21"/>
        </w:rPr>
        <w:t>técnica</w:t>
      </w:r>
      <w:r>
        <w:rPr>
          <w:color w:val="231F20"/>
          <w:spacing w:val="-9"/>
          <w:w w:val="105"/>
          <w:sz w:val="21"/>
        </w:rPr>
        <w:t> </w:t>
      </w:r>
      <w:r>
        <w:rPr>
          <w:color w:val="231F20"/>
          <w:w w:val="105"/>
          <w:sz w:val="21"/>
        </w:rPr>
        <w:t>de</w:t>
      </w:r>
      <w:r>
        <w:rPr>
          <w:color w:val="231F20"/>
          <w:spacing w:val="-9"/>
          <w:w w:val="105"/>
          <w:sz w:val="21"/>
        </w:rPr>
        <w:t> </w:t>
      </w:r>
      <w:r>
        <w:rPr>
          <w:color w:val="231F20"/>
          <w:w w:val="105"/>
          <w:sz w:val="21"/>
        </w:rPr>
        <w:t>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72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166</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672"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167</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La demanda de mano de obra en el mercado de trabajo es una</w:t>
      </w:r>
      <w:r>
        <w:rPr>
          <w:color w:val="231F20"/>
          <w:spacing w:val="-38"/>
          <w:w w:val="105"/>
        </w:rPr>
        <w:t> </w:t>
      </w:r>
      <w:r>
        <w:rPr>
          <w:color w:val="231F20"/>
          <w:w w:val="105"/>
        </w:rPr>
        <w:t>función de</w:t>
      </w:r>
      <w:r>
        <w:rPr>
          <w:color w:val="231F20"/>
          <w:spacing w:val="-9"/>
          <w:w w:val="105"/>
        </w:rPr>
        <w:t> </w:t>
      </w:r>
      <w:r>
        <w:rPr>
          <w:color w:val="231F20"/>
          <w:w w:val="105"/>
        </w:rPr>
        <w:t>la</w:t>
      </w:r>
      <w:r>
        <w:rPr>
          <w:color w:val="231F20"/>
          <w:spacing w:val="-9"/>
          <w:w w:val="105"/>
        </w:rPr>
        <w:t> </w:t>
      </w:r>
      <w:r>
        <w:rPr>
          <w:color w:val="231F20"/>
          <w:spacing w:val="-3"/>
          <w:w w:val="105"/>
        </w:rPr>
        <w:t>demanda</w:t>
      </w:r>
      <w:r>
        <w:rPr>
          <w:color w:val="231F20"/>
          <w:spacing w:val="-9"/>
          <w:w w:val="105"/>
        </w:rPr>
        <w:t> </w:t>
      </w:r>
      <w:r>
        <w:rPr>
          <w:color w:val="231F20"/>
          <w:spacing w:val="-3"/>
          <w:w w:val="105"/>
        </w:rPr>
        <w:t>efectiva</w:t>
      </w:r>
      <w:r>
        <w:rPr>
          <w:color w:val="231F20"/>
          <w:spacing w:val="-9"/>
          <w:w w:val="105"/>
        </w:rPr>
        <w:t> </w:t>
      </w:r>
      <w:r>
        <w:rPr>
          <w:color w:val="231F20"/>
          <w:w w:val="105"/>
        </w:rPr>
        <w:t>de</w:t>
      </w:r>
      <w:r>
        <w:rPr>
          <w:color w:val="231F20"/>
          <w:spacing w:val="-9"/>
          <w:w w:val="105"/>
        </w:rPr>
        <w:t> </w:t>
      </w:r>
      <w:r>
        <w:rPr>
          <w:color w:val="231F20"/>
          <w:spacing w:val="-3"/>
          <w:w w:val="105"/>
        </w:rPr>
        <w:t>bienes</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spacing w:val="-3"/>
          <w:w w:val="105"/>
        </w:rPr>
        <w:t>calificaciones</w:t>
      </w:r>
      <w:r>
        <w:rPr>
          <w:color w:val="231F20"/>
          <w:spacing w:val="-9"/>
          <w:w w:val="105"/>
        </w:rPr>
        <w:t> </w:t>
      </w:r>
      <w:r>
        <w:rPr>
          <w:color w:val="231F20"/>
          <w:spacing w:val="-3"/>
          <w:w w:val="105"/>
        </w:rPr>
        <w:t>individuales</w:t>
      </w:r>
      <w:r>
        <w:rPr>
          <w:color w:val="231F20"/>
          <w:spacing w:val="-9"/>
          <w:w w:val="105"/>
        </w:rPr>
        <w:t> </w:t>
      </w:r>
      <w:r>
        <w:rPr>
          <w:color w:val="231F20"/>
          <w:spacing w:val="-3"/>
          <w:w w:val="105"/>
        </w:rPr>
        <w:t>dis- ponibles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individuo,</w:t>
      </w:r>
      <w:r>
        <w:rPr>
          <w:color w:val="231F20"/>
          <w:spacing w:val="-20"/>
          <w:w w:val="105"/>
        </w:rPr>
        <w:t> </w:t>
      </w:r>
      <w:r>
        <w:rPr>
          <w:color w:val="231F20"/>
          <w:w w:val="105"/>
        </w:rPr>
        <w:t>con</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spacing w:val="-3"/>
          <w:w w:val="105"/>
        </w:rPr>
        <w:t>determina</w:t>
      </w:r>
      <w:r>
        <w:rPr>
          <w:color w:val="231F20"/>
          <w:spacing w:val="-13"/>
          <w:w w:val="105"/>
        </w:rPr>
        <w:t> </w:t>
      </w:r>
      <w:r>
        <w:rPr>
          <w:color w:val="231F20"/>
          <w:w w:val="105"/>
        </w:rPr>
        <w:t>el</w:t>
      </w:r>
      <w:r>
        <w:rPr>
          <w:color w:val="231F20"/>
          <w:spacing w:val="-13"/>
          <w:w w:val="105"/>
        </w:rPr>
        <w:t> </w:t>
      </w:r>
      <w:r>
        <w:rPr>
          <w:color w:val="231F20"/>
          <w:spacing w:val="-3"/>
          <w:w w:val="105"/>
        </w:rPr>
        <w:t>volumen</w:t>
      </w:r>
      <w:r>
        <w:rPr>
          <w:color w:val="231F20"/>
          <w:spacing w:val="-13"/>
          <w:w w:val="105"/>
        </w:rPr>
        <w:t> </w:t>
      </w:r>
      <w:r>
        <w:rPr>
          <w:color w:val="231F20"/>
          <w:w w:val="105"/>
        </w:rPr>
        <w:t>de</w:t>
      </w:r>
      <w:r>
        <w:rPr>
          <w:color w:val="231F20"/>
          <w:spacing w:val="-13"/>
          <w:w w:val="105"/>
        </w:rPr>
        <w:t> </w:t>
      </w:r>
      <w:r>
        <w:rPr>
          <w:color w:val="231F20"/>
          <w:spacing w:val="-3"/>
          <w:w w:val="105"/>
        </w:rPr>
        <w:t>empleo</w:t>
      </w:r>
      <w:r>
        <w:rPr>
          <w:color w:val="231F20"/>
          <w:spacing w:val="-13"/>
          <w:w w:val="105"/>
        </w:rPr>
        <w:t> </w:t>
      </w:r>
      <w:r>
        <w:rPr>
          <w:color w:val="231F20"/>
          <w:w w:val="105"/>
        </w:rPr>
        <w:t>y el</w:t>
      </w:r>
      <w:r>
        <w:rPr>
          <w:color w:val="231F20"/>
          <w:spacing w:val="-23"/>
          <w:w w:val="105"/>
        </w:rPr>
        <w:t> </w:t>
      </w:r>
      <w:r>
        <w:rPr>
          <w:color w:val="231F20"/>
          <w:spacing w:val="-3"/>
          <w:w w:val="105"/>
        </w:rPr>
        <w:t>precio</w:t>
      </w:r>
      <w:r>
        <w:rPr>
          <w:color w:val="231F20"/>
          <w:spacing w:val="-23"/>
          <w:w w:val="105"/>
        </w:rPr>
        <w:t> </w:t>
      </w:r>
      <w:r>
        <w:rPr>
          <w:color w:val="231F20"/>
          <w:w w:val="105"/>
        </w:rPr>
        <w:t>del</w:t>
      </w:r>
      <w:r>
        <w:rPr>
          <w:color w:val="231F20"/>
          <w:spacing w:val="-23"/>
          <w:w w:val="105"/>
        </w:rPr>
        <w:t> </w:t>
      </w:r>
      <w:r>
        <w:rPr>
          <w:color w:val="231F20"/>
          <w:spacing w:val="-3"/>
          <w:w w:val="105"/>
        </w:rPr>
        <w:t>trabajo</w:t>
      </w:r>
      <w:r>
        <w:rPr>
          <w:color w:val="231F20"/>
          <w:spacing w:val="-23"/>
          <w:w w:val="105"/>
        </w:rPr>
        <w:t> </w:t>
      </w:r>
      <w:r>
        <w:rPr>
          <w:color w:val="231F20"/>
          <w:spacing w:val="-3"/>
          <w:w w:val="105"/>
        </w:rPr>
        <w:t>(salario)</w:t>
      </w:r>
      <w:r>
        <w:rPr>
          <w:color w:val="231F20"/>
          <w:spacing w:val="-23"/>
          <w:w w:val="105"/>
        </w:rPr>
        <w:t> </w:t>
      </w:r>
      <w:r>
        <w:rPr>
          <w:color w:val="231F20"/>
          <w:spacing w:val="-3"/>
          <w:w w:val="105"/>
        </w:rPr>
        <w:t>derivados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demanda</w:t>
      </w:r>
      <w:r>
        <w:rPr>
          <w:color w:val="231F20"/>
          <w:spacing w:val="-23"/>
          <w:w w:val="105"/>
        </w:rPr>
        <w:t> </w:t>
      </w:r>
      <w:r>
        <w:rPr>
          <w:color w:val="231F20"/>
          <w:w w:val="105"/>
        </w:rPr>
        <w:t>del</w:t>
      </w:r>
      <w:r>
        <w:rPr>
          <w:color w:val="231F20"/>
          <w:spacing w:val="-23"/>
          <w:w w:val="105"/>
        </w:rPr>
        <w:t> </w:t>
      </w:r>
      <w:r>
        <w:rPr>
          <w:color w:val="231F20"/>
          <w:spacing w:val="-3"/>
          <w:w w:val="105"/>
        </w:rPr>
        <w:t>producto</w:t>
      </w:r>
      <w:r>
        <w:rPr>
          <w:color w:val="231F20"/>
          <w:spacing w:val="-23"/>
          <w:w w:val="105"/>
        </w:rPr>
        <w:t> </w:t>
      </w:r>
      <w:r>
        <w:rPr>
          <w:color w:val="231F20"/>
          <w:spacing w:val="-3"/>
          <w:w w:val="105"/>
        </w:rPr>
        <w:t>(Cam- pos,</w:t>
      </w:r>
      <w:r>
        <w:rPr>
          <w:color w:val="231F20"/>
          <w:spacing w:val="-26"/>
          <w:w w:val="105"/>
        </w:rPr>
        <w:t> </w:t>
      </w:r>
      <w:r>
        <w:rPr>
          <w:color w:val="231F20"/>
          <w:spacing w:val="-3"/>
          <w:w w:val="105"/>
        </w:rPr>
        <w:t>2003),</w:t>
      </w:r>
      <w:r>
        <w:rPr>
          <w:color w:val="231F20"/>
          <w:spacing w:val="-26"/>
          <w:w w:val="105"/>
        </w:rPr>
        <w:t> </w:t>
      </w:r>
      <w:r>
        <w:rPr>
          <w:color w:val="231F20"/>
          <w:w w:val="105"/>
        </w:rPr>
        <w:t>es</w:t>
      </w:r>
      <w:r>
        <w:rPr>
          <w:color w:val="231F20"/>
          <w:spacing w:val="-21"/>
          <w:w w:val="105"/>
        </w:rPr>
        <w:t> </w:t>
      </w:r>
      <w:r>
        <w:rPr>
          <w:color w:val="231F20"/>
          <w:spacing w:val="-5"/>
          <w:w w:val="105"/>
        </w:rPr>
        <w:t>decir,</w:t>
      </w:r>
      <w:r>
        <w:rPr>
          <w:color w:val="231F20"/>
          <w:spacing w:val="-26"/>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spacing w:val="-3"/>
          <w:w w:val="105"/>
        </w:rPr>
        <w:t>puestos</w:t>
      </w:r>
      <w:r>
        <w:rPr>
          <w:color w:val="231F20"/>
          <w:spacing w:val="-21"/>
          <w:w w:val="105"/>
        </w:rPr>
        <w:t> </w:t>
      </w:r>
      <w:r>
        <w:rPr>
          <w:color w:val="231F20"/>
          <w:spacing w:val="-3"/>
          <w:w w:val="105"/>
        </w:rPr>
        <w:t>disponibles.</w:t>
      </w:r>
      <w:r>
        <w:rPr>
          <w:color w:val="231F20"/>
          <w:spacing w:val="-26"/>
          <w:w w:val="105"/>
        </w:rPr>
        <w:t> </w:t>
      </w:r>
      <w:r>
        <w:rPr>
          <w:color w:val="231F20"/>
          <w:spacing w:val="-4"/>
          <w:w w:val="105"/>
        </w:rPr>
        <w:t>Empero,</w:t>
      </w:r>
      <w:r>
        <w:rPr>
          <w:color w:val="231F20"/>
          <w:spacing w:val="-26"/>
          <w:w w:val="105"/>
        </w:rPr>
        <w:t> </w:t>
      </w:r>
      <w:r>
        <w:rPr>
          <w:color w:val="231F20"/>
          <w:spacing w:val="-3"/>
          <w:w w:val="105"/>
        </w:rPr>
        <w:t>este</w:t>
      </w:r>
      <w:r>
        <w:rPr>
          <w:color w:val="231F20"/>
          <w:spacing w:val="-21"/>
          <w:w w:val="105"/>
        </w:rPr>
        <w:t> </w:t>
      </w:r>
      <w:r>
        <w:rPr>
          <w:color w:val="231F20"/>
          <w:w w:val="105"/>
        </w:rPr>
        <w:t>no</w:t>
      </w:r>
      <w:r>
        <w:rPr>
          <w:color w:val="231F20"/>
          <w:spacing w:val="-21"/>
          <w:w w:val="105"/>
        </w:rPr>
        <w:t> </w:t>
      </w:r>
      <w:r>
        <w:rPr>
          <w:color w:val="231F20"/>
          <w:w w:val="105"/>
        </w:rPr>
        <w:t>es</w:t>
      </w:r>
      <w:r>
        <w:rPr>
          <w:color w:val="231F20"/>
          <w:spacing w:val="-21"/>
          <w:w w:val="105"/>
        </w:rPr>
        <w:t> </w:t>
      </w:r>
      <w:r>
        <w:rPr>
          <w:color w:val="231F20"/>
          <w:w w:val="105"/>
        </w:rPr>
        <w:t>el</w:t>
      </w:r>
      <w:r>
        <w:rPr>
          <w:color w:val="231F20"/>
          <w:spacing w:val="-21"/>
          <w:w w:val="105"/>
        </w:rPr>
        <w:t> </w:t>
      </w:r>
      <w:r>
        <w:rPr>
          <w:color w:val="231F20"/>
          <w:spacing w:val="-3"/>
          <w:w w:val="105"/>
        </w:rPr>
        <w:t>úni- </w:t>
      </w:r>
      <w:r>
        <w:rPr>
          <w:color w:val="231F20"/>
          <w:w w:val="105"/>
        </w:rPr>
        <w:t>co </w:t>
      </w:r>
      <w:r>
        <w:rPr>
          <w:color w:val="231F20"/>
          <w:spacing w:val="-3"/>
          <w:w w:val="105"/>
        </w:rPr>
        <w:t>determinante para </w:t>
      </w:r>
      <w:r>
        <w:rPr>
          <w:color w:val="231F20"/>
          <w:w w:val="105"/>
        </w:rPr>
        <w:t>que una </w:t>
      </w:r>
      <w:r>
        <w:rPr>
          <w:color w:val="231F20"/>
          <w:spacing w:val="-3"/>
          <w:w w:val="105"/>
        </w:rPr>
        <w:t>persona acceda </w:t>
      </w:r>
      <w:r>
        <w:rPr>
          <w:color w:val="231F20"/>
          <w:w w:val="105"/>
        </w:rPr>
        <w:t>de </w:t>
      </w:r>
      <w:r>
        <w:rPr>
          <w:color w:val="231F20"/>
          <w:spacing w:val="-3"/>
          <w:w w:val="105"/>
        </w:rPr>
        <w:t>manera fácil </w:t>
      </w:r>
      <w:r>
        <w:rPr>
          <w:color w:val="231F20"/>
          <w:w w:val="105"/>
        </w:rPr>
        <w:t>y </w:t>
      </w:r>
      <w:r>
        <w:rPr>
          <w:color w:val="231F20"/>
          <w:spacing w:val="-4"/>
          <w:w w:val="105"/>
        </w:rPr>
        <w:t>rápida </w:t>
      </w:r>
      <w:r>
        <w:rPr>
          <w:color w:val="231F20"/>
          <w:w w:val="105"/>
        </w:rPr>
        <w:t>al </w:t>
      </w:r>
      <w:r>
        <w:rPr>
          <w:color w:val="231F20"/>
          <w:spacing w:val="-3"/>
          <w:w w:val="105"/>
        </w:rPr>
        <w:t>mercado </w:t>
      </w:r>
      <w:r>
        <w:rPr>
          <w:color w:val="231F20"/>
          <w:w w:val="105"/>
        </w:rPr>
        <w:t>de </w:t>
      </w:r>
      <w:r>
        <w:rPr>
          <w:color w:val="231F20"/>
          <w:spacing w:val="-4"/>
          <w:w w:val="105"/>
        </w:rPr>
        <w:t>trabajo. </w:t>
      </w:r>
      <w:r>
        <w:rPr>
          <w:color w:val="231F20"/>
          <w:w w:val="105"/>
        </w:rPr>
        <w:t>La </w:t>
      </w:r>
      <w:r>
        <w:rPr>
          <w:color w:val="231F20"/>
          <w:spacing w:val="-3"/>
          <w:w w:val="105"/>
        </w:rPr>
        <w:t>persona deberá generar capital humano para </w:t>
      </w:r>
      <w:r>
        <w:rPr>
          <w:color w:val="231F20"/>
          <w:w w:val="105"/>
        </w:rPr>
        <w:t>ser más </w:t>
      </w:r>
      <w:r>
        <w:rPr>
          <w:color w:val="231F20"/>
          <w:spacing w:val="-3"/>
          <w:w w:val="105"/>
        </w:rPr>
        <w:t>competitivo </w:t>
      </w:r>
      <w:r>
        <w:rPr>
          <w:color w:val="231F20"/>
          <w:w w:val="105"/>
        </w:rPr>
        <w:t>y ser </w:t>
      </w:r>
      <w:r>
        <w:rPr>
          <w:color w:val="231F20"/>
          <w:spacing w:val="-3"/>
          <w:w w:val="105"/>
        </w:rPr>
        <w:t>seleccionado </w:t>
      </w:r>
      <w:r>
        <w:rPr>
          <w:color w:val="231F20"/>
          <w:w w:val="105"/>
        </w:rPr>
        <w:t>por el </w:t>
      </w:r>
      <w:r>
        <w:rPr>
          <w:color w:val="231F20"/>
          <w:spacing w:val="-4"/>
          <w:w w:val="105"/>
        </w:rPr>
        <w:t>empleador, </w:t>
      </w:r>
      <w:r>
        <w:rPr>
          <w:color w:val="231F20"/>
          <w:w w:val="105"/>
        </w:rPr>
        <w:t>en </w:t>
      </w:r>
      <w:r>
        <w:rPr>
          <w:color w:val="231F20"/>
          <w:spacing w:val="-3"/>
          <w:w w:val="105"/>
        </w:rPr>
        <w:t>donde son determinantes</w:t>
      </w:r>
      <w:r>
        <w:rPr>
          <w:color w:val="231F20"/>
          <w:spacing w:val="-23"/>
          <w:w w:val="105"/>
        </w:rPr>
        <w:t> </w:t>
      </w:r>
      <w:r>
        <w:rPr>
          <w:color w:val="231F20"/>
          <w:w w:val="105"/>
        </w:rPr>
        <w:t>la</w:t>
      </w:r>
      <w:r>
        <w:rPr>
          <w:color w:val="231F20"/>
          <w:spacing w:val="-23"/>
          <w:w w:val="105"/>
        </w:rPr>
        <w:t> </w:t>
      </w:r>
      <w:r>
        <w:rPr>
          <w:color w:val="231F20"/>
          <w:spacing w:val="-3"/>
          <w:w w:val="105"/>
        </w:rPr>
        <w:t>formación</w:t>
      </w:r>
      <w:r>
        <w:rPr>
          <w:color w:val="231F20"/>
          <w:spacing w:val="-23"/>
          <w:w w:val="105"/>
        </w:rPr>
        <w:t> </w:t>
      </w:r>
      <w:r>
        <w:rPr>
          <w:color w:val="231F20"/>
          <w:spacing w:val="-3"/>
          <w:w w:val="105"/>
        </w:rPr>
        <w:t>profesional</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spacing w:val="-3"/>
          <w:w w:val="105"/>
        </w:rPr>
        <w:t>años</w:t>
      </w:r>
      <w:r>
        <w:rPr>
          <w:color w:val="231F20"/>
          <w:spacing w:val="-23"/>
          <w:w w:val="105"/>
        </w:rPr>
        <w:t> </w:t>
      </w:r>
      <w:r>
        <w:rPr>
          <w:color w:val="231F20"/>
          <w:w w:val="105"/>
        </w:rPr>
        <w:t>que</w:t>
      </w:r>
      <w:r>
        <w:rPr>
          <w:color w:val="231F20"/>
          <w:spacing w:val="-23"/>
          <w:w w:val="105"/>
        </w:rPr>
        <w:t> </w:t>
      </w:r>
      <w:r>
        <w:rPr>
          <w:color w:val="231F20"/>
          <w:spacing w:val="-3"/>
          <w:w w:val="105"/>
        </w:rPr>
        <w:t>haya</w:t>
      </w:r>
      <w:r>
        <w:rPr>
          <w:color w:val="231F20"/>
          <w:spacing w:val="-23"/>
          <w:w w:val="105"/>
        </w:rPr>
        <w:t> </w:t>
      </w:r>
      <w:r>
        <w:rPr>
          <w:color w:val="231F20"/>
          <w:spacing w:val="-3"/>
          <w:w w:val="105"/>
        </w:rPr>
        <w:t>invertido</w:t>
      </w:r>
      <w:r>
        <w:rPr>
          <w:color w:val="231F20"/>
          <w:spacing w:val="-23"/>
          <w:w w:val="105"/>
        </w:rPr>
        <w:t> </w:t>
      </w:r>
      <w:r>
        <w:rPr>
          <w:color w:val="231F20"/>
          <w:spacing w:val="-3"/>
          <w:w w:val="105"/>
        </w:rPr>
        <w:t>cada individuo</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spacing w:val="-4"/>
          <w:w w:val="105"/>
        </w:rPr>
        <w:t>preparación.</w:t>
      </w:r>
      <w:r>
        <w:rPr>
          <w:color w:val="231F20"/>
          <w:spacing w:val="-26"/>
          <w:w w:val="105"/>
        </w:rPr>
        <w:t> </w:t>
      </w:r>
      <w:r>
        <w:rPr>
          <w:color w:val="231F20"/>
          <w:w w:val="105"/>
        </w:rPr>
        <w:t>A</w:t>
      </w:r>
      <w:r>
        <w:rPr>
          <w:color w:val="231F20"/>
          <w:spacing w:val="-21"/>
          <w:w w:val="105"/>
        </w:rPr>
        <w:t> </w:t>
      </w:r>
      <w:r>
        <w:rPr>
          <w:color w:val="231F20"/>
          <w:spacing w:val="-3"/>
          <w:w w:val="105"/>
        </w:rPr>
        <w:t>continuación</w:t>
      </w:r>
      <w:r>
        <w:rPr>
          <w:color w:val="231F20"/>
          <w:spacing w:val="-17"/>
          <w:w w:val="105"/>
        </w:rPr>
        <w:t> </w:t>
      </w:r>
      <w:r>
        <w:rPr>
          <w:color w:val="231F20"/>
          <w:w w:val="105"/>
        </w:rPr>
        <w:t>se</w:t>
      </w:r>
      <w:r>
        <w:rPr>
          <w:color w:val="231F20"/>
          <w:spacing w:val="-17"/>
          <w:w w:val="105"/>
        </w:rPr>
        <w:t> </w:t>
      </w:r>
      <w:r>
        <w:rPr>
          <w:color w:val="231F20"/>
          <w:spacing w:val="-3"/>
          <w:w w:val="105"/>
        </w:rPr>
        <w:t>analiza</w:t>
      </w:r>
      <w:r>
        <w:rPr>
          <w:color w:val="231F20"/>
          <w:spacing w:val="-17"/>
          <w:w w:val="105"/>
        </w:rPr>
        <w:t> </w:t>
      </w:r>
      <w:r>
        <w:rPr>
          <w:color w:val="231F20"/>
          <w:w w:val="105"/>
        </w:rPr>
        <w:t>la</w:t>
      </w:r>
      <w:r>
        <w:rPr>
          <w:color w:val="231F20"/>
          <w:spacing w:val="-17"/>
          <w:w w:val="105"/>
        </w:rPr>
        <w:t> </w:t>
      </w:r>
      <w:r>
        <w:rPr>
          <w:color w:val="231F20"/>
          <w:spacing w:val="-3"/>
          <w:w w:val="105"/>
        </w:rPr>
        <w:t>teoría</w:t>
      </w:r>
      <w:r>
        <w:rPr>
          <w:color w:val="231F20"/>
          <w:spacing w:val="-17"/>
          <w:w w:val="105"/>
        </w:rPr>
        <w:t> </w:t>
      </w:r>
      <w:r>
        <w:rPr>
          <w:color w:val="231F20"/>
          <w:w w:val="105"/>
        </w:rPr>
        <w:t>del</w:t>
      </w:r>
      <w:r>
        <w:rPr>
          <w:color w:val="231F20"/>
          <w:spacing w:val="-17"/>
          <w:w w:val="105"/>
        </w:rPr>
        <w:t> </w:t>
      </w:r>
      <w:r>
        <w:rPr>
          <w:color w:val="231F20"/>
          <w:spacing w:val="-3"/>
          <w:w w:val="105"/>
        </w:rPr>
        <w:t>capital humano</w:t>
      </w:r>
      <w:r>
        <w:rPr>
          <w:color w:val="231F20"/>
          <w:spacing w:val="-15"/>
          <w:w w:val="105"/>
        </w:rPr>
        <w:t> </w:t>
      </w:r>
      <w:r>
        <w:rPr>
          <w:color w:val="231F20"/>
          <w:spacing w:val="-3"/>
          <w:w w:val="105"/>
        </w:rPr>
        <w:t>como</w:t>
      </w:r>
      <w:r>
        <w:rPr>
          <w:color w:val="231F20"/>
          <w:spacing w:val="-15"/>
          <w:w w:val="105"/>
        </w:rPr>
        <w:t> </w:t>
      </w:r>
      <w:r>
        <w:rPr>
          <w:color w:val="231F20"/>
          <w:spacing w:val="-3"/>
          <w:w w:val="105"/>
        </w:rPr>
        <w:t>soporte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teoría</w:t>
      </w:r>
      <w:r>
        <w:rPr>
          <w:color w:val="231F20"/>
          <w:spacing w:val="-15"/>
          <w:w w:val="105"/>
        </w:rPr>
        <w:t> </w:t>
      </w:r>
      <w:r>
        <w:rPr>
          <w:color w:val="231F20"/>
          <w:spacing w:val="-3"/>
          <w:w w:val="105"/>
        </w:rPr>
        <w:t>neoclásica</w:t>
      </w:r>
      <w:r>
        <w:rPr>
          <w:color w:val="231F20"/>
          <w:spacing w:val="-15"/>
          <w:w w:val="105"/>
        </w:rPr>
        <w:t> </w:t>
      </w:r>
      <w:r>
        <w:rPr>
          <w:color w:val="231F20"/>
          <w:w w:val="105"/>
        </w:rPr>
        <w:t>del</w:t>
      </w:r>
      <w:r>
        <w:rPr>
          <w:color w:val="231F20"/>
          <w:spacing w:val="-15"/>
          <w:w w:val="105"/>
        </w:rPr>
        <w:t> </w:t>
      </w:r>
      <w:r>
        <w:rPr>
          <w:color w:val="231F20"/>
          <w:spacing w:val="-3"/>
          <w:w w:val="105"/>
        </w:rPr>
        <w:t>mercado</w:t>
      </w:r>
      <w:r>
        <w:rPr>
          <w:color w:val="231F20"/>
          <w:spacing w:val="-15"/>
          <w:w w:val="105"/>
        </w:rPr>
        <w:t> </w:t>
      </w:r>
      <w:r>
        <w:rPr>
          <w:color w:val="231F20"/>
          <w:w w:val="105"/>
        </w:rPr>
        <w:t>de</w:t>
      </w:r>
      <w:r>
        <w:rPr>
          <w:color w:val="231F20"/>
          <w:spacing w:val="-15"/>
          <w:w w:val="105"/>
        </w:rPr>
        <w:t> </w:t>
      </w:r>
      <w:r>
        <w:rPr>
          <w:color w:val="231F20"/>
          <w:spacing w:val="-4"/>
          <w:w w:val="105"/>
        </w:rPr>
        <w:t>trabajo.</w:t>
      </w:r>
    </w:p>
    <w:p>
      <w:pPr>
        <w:spacing w:before="162"/>
        <w:ind w:left="117" w:right="0" w:firstLine="0"/>
        <w:jc w:val="both"/>
        <w:rPr>
          <w:i/>
          <w:sz w:val="21"/>
        </w:rPr>
      </w:pPr>
      <w:r>
        <w:rPr>
          <w:i/>
          <w:color w:val="231F20"/>
          <w:w w:val="105"/>
          <w:sz w:val="21"/>
        </w:rPr>
        <w:t>Teoría del capital humano</w:t>
      </w:r>
    </w:p>
    <w:p>
      <w:pPr>
        <w:pStyle w:val="BodyText"/>
        <w:spacing w:before="4"/>
        <w:rPr>
          <w:i/>
          <w:sz w:val="16"/>
        </w:rPr>
      </w:pPr>
    </w:p>
    <w:p>
      <w:pPr>
        <w:pStyle w:val="BodyText"/>
        <w:spacing w:line="259" w:lineRule="auto"/>
        <w:ind w:left="117" w:right="121"/>
        <w:jc w:val="both"/>
      </w:pPr>
      <w:r>
        <w:rPr>
          <w:color w:val="231F20"/>
        </w:rPr>
        <w:t>La teoría del capital humano, desde la perspectiva neoclásica del mer- cado de trabajo con enfoque económico, propone que los trabajadores acuden al mercado de trabajo con diferentes niveles de calificaciones, las cuales están en función, no sólo de las capacidades innatas de cada per- sona, sino también de la cantidad de tiempo que dedique cada persona  en educarse (adquirir dichas calificaciones), lo que se denomina inver- sión en capital humano </w:t>
      </w:r>
      <w:r>
        <w:rPr>
          <w:color w:val="231F20"/>
          <w:spacing w:val="-3"/>
        </w:rPr>
        <w:t>(Toharia, </w:t>
      </w:r>
      <w:r>
        <w:rPr>
          <w:color w:val="231F20"/>
          <w:spacing w:val="3"/>
        </w:rPr>
        <w:t> </w:t>
      </w:r>
      <w:r>
        <w:rPr>
          <w:color w:val="231F20"/>
        </w:rPr>
        <w:t>1983).</w:t>
      </w:r>
    </w:p>
    <w:p>
      <w:pPr>
        <w:pStyle w:val="BodyText"/>
        <w:spacing w:line="259" w:lineRule="auto"/>
        <w:ind w:left="117" w:right="115" w:firstLine="567"/>
        <w:jc w:val="both"/>
      </w:pPr>
      <w:r>
        <w:rPr>
          <w:color w:val="231F20"/>
          <w:w w:val="105"/>
        </w:rPr>
        <w:t>La</w:t>
      </w:r>
      <w:r>
        <w:rPr>
          <w:color w:val="231F20"/>
          <w:spacing w:val="-13"/>
          <w:w w:val="105"/>
        </w:rPr>
        <w:t> </w:t>
      </w:r>
      <w:r>
        <w:rPr>
          <w:color w:val="231F20"/>
          <w:w w:val="105"/>
        </w:rPr>
        <w:t>inversión</w:t>
      </w:r>
      <w:r>
        <w:rPr>
          <w:color w:val="231F20"/>
          <w:spacing w:val="-13"/>
          <w:w w:val="105"/>
        </w:rPr>
        <w:t> </w:t>
      </w:r>
      <w:r>
        <w:rPr>
          <w:color w:val="231F20"/>
          <w:w w:val="105"/>
        </w:rPr>
        <w:t>en</w:t>
      </w:r>
      <w:r>
        <w:rPr>
          <w:color w:val="231F20"/>
          <w:spacing w:val="-13"/>
          <w:w w:val="105"/>
        </w:rPr>
        <w:t> </w:t>
      </w:r>
      <w:r>
        <w:rPr>
          <w:color w:val="231F20"/>
          <w:w w:val="105"/>
        </w:rPr>
        <w:t>capital</w:t>
      </w:r>
      <w:r>
        <w:rPr>
          <w:color w:val="231F20"/>
          <w:spacing w:val="-13"/>
          <w:w w:val="105"/>
        </w:rPr>
        <w:t> </w:t>
      </w:r>
      <w:r>
        <w:rPr>
          <w:color w:val="231F20"/>
          <w:w w:val="105"/>
        </w:rPr>
        <w:t>humano</w:t>
      </w:r>
      <w:r>
        <w:rPr>
          <w:color w:val="231F20"/>
          <w:spacing w:val="-13"/>
          <w:w w:val="105"/>
        </w:rPr>
        <w:t> </w:t>
      </w:r>
      <w:r>
        <w:rPr>
          <w:color w:val="231F20"/>
          <w:w w:val="105"/>
        </w:rPr>
        <w:t>debe</w:t>
      </w:r>
      <w:r>
        <w:rPr>
          <w:color w:val="231F20"/>
          <w:spacing w:val="-13"/>
          <w:w w:val="105"/>
        </w:rPr>
        <w:t> </w:t>
      </w:r>
      <w:r>
        <w:rPr>
          <w:color w:val="231F20"/>
          <w:w w:val="105"/>
        </w:rPr>
        <w:t>afectar</w:t>
      </w:r>
      <w:r>
        <w:rPr>
          <w:color w:val="231F20"/>
          <w:spacing w:val="-13"/>
          <w:w w:val="105"/>
        </w:rPr>
        <w:t> </w:t>
      </w:r>
      <w:r>
        <w:rPr>
          <w:color w:val="231F20"/>
          <w:w w:val="105"/>
        </w:rPr>
        <w:t>y</w:t>
      </w:r>
      <w:r>
        <w:rPr>
          <w:color w:val="231F20"/>
          <w:spacing w:val="-13"/>
          <w:w w:val="105"/>
        </w:rPr>
        <w:t> </w:t>
      </w:r>
      <w:r>
        <w:rPr>
          <w:color w:val="231F20"/>
          <w:w w:val="105"/>
        </w:rPr>
        <w:t>contribuir</w:t>
      </w:r>
      <w:r>
        <w:rPr>
          <w:color w:val="231F20"/>
          <w:spacing w:val="-13"/>
          <w:w w:val="105"/>
        </w:rPr>
        <w:t> </w:t>
      </w:r>
      <w:r>
        <w:rPr>
          <w:color w:val="231F20"/>
          <w:w w:val="105"/>
        </w:rPr>
        <w:t>a</w:t>
      </w:r>
      <w:r>
        <w:rPr>
          <w:color w:val="231F20"/>
          <w:spacing w:val="-13"/>
          <w:w w:val="105"/>
        </w:rPr>
        <w:t> </w:t>
      </w:r>
      <w:r>
        <w:rPr>
          <w:color w:val="231F20"/>
          <w:w w:val="105"/>
        </w:rPr>
        <w:t>mejorar el</w:t>
      </w:r>
      <w:r>
        <w:rPr>
          <w:color w:val="231F20"/>
          <w:spacing w:val="-30"/>
          <w:w w:val="105"/>
        </w:rPr>
        <w:t> </w:t>
      </w:r>
      <w:r>
        <w:rPr>
          <w:color w:val="231F20"/>
          <w:w w:val="105"/>
        </w:rPr>
        <w:t>bienestar</w:t>
      </w:r>
      <w:r>
        <w:rPr>
          <w:color w:val="231F20"/>
          <w:spacing w:val="-30"/>
          <w:w w:val="105"/>
        </w:rPr>
        <w:t> </w:t>
      </w:r>
      <w:r>
        <w:rPr>
          <w:color w:val="231F20"/>
          <w:w w:val="105"/>
        </w:rPr>
        <w:t>presente</w:t>
      </w:r>
      <w:r>
        <w:rPr>
          <w:color w:val="231F20"/>
          <w:spacing w:val="-30"/>
          <w:w w:val="105"/>
        </w:rPr>
        <w:t> </w:t>
      </w:r>
      <w:r>
        <w:rPr>
          <w:color w:val="231F20"/>
          <w:w w:val="105"/>
        </w:rPr>
        <w:t>y</w:t>
      </w:r>
      <w:r>
        <w:rPr>
          <w:color w:val="231F20"/>
          <w:spacing w:val="-30"/>
          <w:w w:val="105"/>
        </w:rPr>
        <w:t> </w:t>
      </w:r>
      <w:r>
        <w:rPr>
          <w:color w:val="231F20"/>
          <w:w w:val="105"/>
        </w:rPr>
        <w:t>futuro.</w:t>
      </w:r>
      <w:r>
        <w:rPr>
          <w:color w:val="231F20"/>
          <w:spacing w:val="-36"/>
          <w:w w:val="105"/>
        </w:rPr>
        <w:t> </w:t>
      </w:r>
      <w:r>
        <w:rPr>
          <w:color w:val="231F20"/>
          <w:w w:val="105"/>
        </w:rPr>
        <w:t>Cada</w:t>
      </w:r>
      <w:r>
        <w:rPr>
          <w:color w:val="231F20"/>
          <w:spacing w:val="-30"/>
          <w:w w:val="105"/>
        </w:rPr>
        <w:t> </w:t>
      </w:r>
      <w:r>
        <w:rPr>
          <w:color w:val="231F20"/>
          <w:w w:val="105"/>
        </w:rPr>
        <w:t>inversión</w:t>
      </w:r>
      <w:r>
        <w:rPr>
          <w:color w:val="231F20"/>
          <w:spacing w:val="-30"/>
          <w:w w:val="105"/>
        </w:rPr>
        <w:t> </w:t>
      </w:r>
      <w:r>
        <w:rPr>
          <w:color w:val="231F20"/>
          <w:w w:val="105"/>
        </w:rPr>
        <w:t>debe</w:t>
      </w:r>
      <w:r>
        <w:rPr>
          <w:color w:val="231F20"/>
          <w:spacing w:val="-30"/>
          <w:w w:val="105"/>
        </w:rPr>
        <w:t> </w:t>
      </w:r>
      <w:r>
        <w:rPr>
          <w:color w:val="231F20"/>
          <w:w w:val="105"/>
        </w:rPr>
        <w:t>apoyar</w:t>
      </w:r>
      <w:r>
        <w:rPr>
          <w:color w:val="231F20"/>
          <w:spacing w:val="-30"/>
          <w:w w:val="105"/>
        </w:rPr>
        <w:t> </w:t>
      </w:r>
      <w:r>
        <w:rPr>
          <w:color w:val="231F20"/>
          <w:w w:val="105"/>
        </w:rPr>
        <w:t>el</w:t>
      </w:r>
      <w:r>
        <w:rPr>
          <w:color w:val="231F20"/>
          <w:spacing w:val="-30"/>
          <w:w w:val="105"/>
        </w:rPr>
        <w:t> </w:t>
      </w:r>
      <w:r>
        <w:rPr>
          <w:color w:val="231F20"/>
          <w:w w:val="105"/>
        </w:rPr>
        <w:t>crecimiento, conocimiento</w:t>
      </w:r>
      <w:r>
        <w:rPr>
          <w:color w:val="231F20"/>
          <w:spacing w:val="-7"/>
          <w:w w:val="105"/>
        </w:rPr>
        <w:t> </w:t>
      </w:r>
      <w:r>
        <w:rPr>
          <w:color w:val="231F20"/>
          <w:w w:val="105"/>
        </w:rPr>
        <w:t>y</w:t>
      </w:r>
      <w:r>
        <w:rPr>
          <w:color w:val="231F20"/>
          <w:spacing w:val="-7"/>
          <w:w w:val="105"/>
        </w:rPr>
        <w:t> </w:t>
      </w:r>
      <w:r>
        <w:rPr>
          <w:color w:val="231F20"/>
          <w:w w:val="105"/>
        </w:rPr>
        <w:t>desarrollo</w:t>
      </w:r>
      <w:r>
        <w:rPr>
          <w:color w:val="231F20"/>
          <w:spacing w:val="-7"/>
          <w:w w:val="105"/>
        </w:rPr>
        <w:t> </w:t>
      </w:r>
      <w:r>
        <w:rPr>
          <w:color w:val="231F20"/>
          <w:w w:val="105"/>
        </w:rPr>
        <w:t>de</w:t>
      </w:r>
      <w:r>
        <w:rPr>
          <w:color w:val="231F20"/>
          <w:spacing w:val="-7"/>
          <w:w w:val="105"/>
        </w:rPr>
        <w:t> </w:t>
      </w:r>
      <w:r>
        <w:rPr>
          <w:color w:val="231F20"/>
          <w:w w:val="105"/>
        </w:rPr>
        <w:t>habilidades,</w:t>
      </w:r>
      <w:r>
        <w:rPr>
          <w:color w:val="231F20"/>
          <w:spacing w:val="-12"/>
          <w:w w:val="105"/>
        </w:rPr>
        <w:t> </w:t>
      </w:r>
      <w:r>
        <w:rPr>
          <w:color w:val="231F20"/>
          <w:w w:val="105"/>
        </w:rPr>
        <w:t>pero</w:t>
      </w:r>
      <w:r>
        <w:rPr>
          <w:color w:val="231F20"/>
          <w:spacing w:val="-7"/>
          <w:w w:val="105"/>
        </w:rPr>
        <w:t> </w:t>
      </w:r>
      <w:r>
        <w:rPr>
          <w:color w:val="231F20"/>
          <w:w w:val="105"/>
        </w:rPr>
        <w:t>no</w:t>
      </w:r>
      <w:r>
        <w:rPr>
          <w:color w:val="231F20"/>
          <w:spacing w:val="-7"/>
          <w:w w:val="105"/>
        </w:rPr>
        <w:t> </w:t>
      </w:r>
      <w:r>
        <w:rPr>
          <w:color w:val="231F20"/>
          <w:w w:val="105"/>
        </w:rPr>
        <w:t>todas</w:t>
      </w:r>
      <w:r>
        <w:rPr>
          <w:color w:val="231F20"/>
          <w:spacing w:val="-7"/>
          <w:w w:val="105"/>
        </w:rPr>
        <w:t> </w:t>
      </w:r>
      <w:r>
        <w:rPr>
          <w:color w:val="231F20"/>
          <w:w w:val="105"/>
        </w:rPr>
        <w:t>las</w:t>
      </w:r>
      <w:r>
        <w:rPr>
          <w:color w:val="231F20"/>
          <w:spacing w:val="-7"/>
          <w:w w:val="105"/>
        </w:rPr>
        <w:t> </w:t>
      </w:r>
      <w:r>
        <w:rPr>
          <w:color w:val="231F20"/>
          <w:w w:val="105"/>
        </w:rPr>
        <w:t>inversiones son</w:t>
      </w:r>
      <w:r>
        <w:rPr>
          <w:color w:val="231F20"/>
          <w:spacing w:val="-19"/>
          <w:w w:val="105"/>
        </w:rPr>
        <w:t> </w:t>
      </w:r>
      <w:r>
        <w:rPr>
          <w:color w:val="231F20"/>
          <w:w w:val="105"/>
        </w:rPr>
        <w:t>iguales.</w:t>
      </w:r>
      <w:r>
        <w:rPr>
          <w:color w:val="231F20"/>
          <w:spacing w:val="-23"/>
          <w:w w:val="105"/>
        </w:rPr>
        <w:t> </w:t>
      </w:r>
      <w:r>
        <w:rPr>
          <w:color w:val="231F20"/>
          <w:w w:val="105"/>
        </w:rPr>
        <w:t>Becker</w:t>
      </w:r>
      <w:r>
        <w:rPr>
          <w:color w:val="231F20"/>
          <w:spacing w:val="-19"/>
          <w:w w:val="105"/>
        </w:rPr>
        <w:t> </w:t>
      </w:r>
      <w:r>
        <w:rPr>
          <w:color w:val="231F20"/>
          <w:w w:val="105"/>
        </w:rPr>
        <w:t>(1962)</w:t>
      </w:r>
      <w:r>
        <w:rPr>
          <w:color w:val="231F20"/>
          <w:spacing w:val="-19"/>
          <w:w w:val="105"/>
        </w:rPr>
        <w:t> </w:t>
      </w:r>
      <w:r>
        <w:rPr>
          <w:color w:val="231F20"/>
          <w:w w:val="105"/>
        </w:rPr>
        <w:t>consideró</w:t>
      </w:r>
      <w:r>
        <w:rPr>
          <w:color w:val="231F20"/>
          <w:spacing w:val="-19"/>
          <w:w w:val="105"/>
        </w:rPr>
        <w:t> </w:t>
      </w:r>
      <w:r>
        <w:rPr>
          <w:color w:val="231F20"/>
          <w:w w:val="105"/>
        </w:rPr>
        <w:t>que</w:t>
      </w:r>
      <w:r>
        <w:rPr>
          <w:color w:val="231F20"/>
          <w:spacing w:val="-19"/>
          <w:w w:val="105"/>
        </w:rPr>
        <w:t> </w:t>
      </w:r>
      <w:r>
        <w:rPr>
          <w:color w:val="231F20"/>
          <w:w w:val="105"/>
        </w:rPr>
        <w:t>algunas</w:t>
      </w:r>
      <w:r>
        <w:rPr>
          <w:color w:val="231F20"/>
          <w:spacing w:val="-19"/>
          <w:w w:val="105"/>
        </w:rPr>
        <w:t> </w:t>
      </w:r>
      <w:r>
        <w:rPr>
          <w:color w:val="231F20"/>
          <w:w w:val="105"/>
        </w:rPr>
        <w:t>actividades</w:t>
      </w:r>
      <w:r>
        <w:rPr>
          <w:color w:val="231F20"/>
          <w:spacing w:val="-19"/>
          <w:w w:val="105"/>
        </w:rPr>
        <w:t> </w:t>
      </w:r>
      <w:r>
        <w:rPr>
          <w:color w:val="231F20"/>
          <w:w w:val="105"/>
        </w:rPr>
        <w:t>afectan</w:t>
      </w:r>
      <w:r>
        <w:rPr>
          <w:color w:val="231F20"/>
          <w:spacing w:val="-19"/>
          <w:w w:val="105"/>
        </w:rPr>
        <w:t> </w:t>
      </w:r>
      <w:r>
        <w:rPr>
          <w:color w:val="231F20"/>
          <w:w w:val="105"/>
        </w:rPr>
        <w:t>el bienestar</w:t>
      </w:r>
      <w:r>
        <w:rPr>
          <w:color w:val="231F20"/>
          <w:spacing w:val="-20"/>
          <w:w w:val="105"/>
        </w:rPr>
        <w:t> </w:t>
      </w:r>
      <w:r>
        <w:rPr>
          <w:color w:val="231F20"/>
          <w:w w:val="105"/>
        </w:rPr>
        <w:t>actual</w:t>
      </w:r>
      <w:r>
        <w:rPr>
          <w:color w:val="231F20"/>
          <w:spacing w:val="-20"/>
          <w:w w:val="105"/>
        </w:rPr>
        <w:t> </w:t>
      </w:r>
      <w:r>
        <w:rPr>
          <w:color w:val="231F20"/>
          <w:w w:val="105"/>
        </w:rPr>
        <w:t>(cuidado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salud,</w:t>
      </w:r>
      <w:r>
        <w:rPr>
          <w:color w:val="231F20"/>
          <w:spacing w:val="-25"/>
          <w:w w:val="105"/>
        </w:rPr>
        <w:t> </w:t>
      </w:r>
      <w:r>
        <w:rPr>
          <w:color w:val="231F20"/>
          <w:w w:val="105"/>
        </w:rPr>
        <w:t>consumo</w:t>
      </w:r>
      <w:r>
        <w:rPr>
          <w:color w:val="231F20"/>
          <w:spacing w:val="-20"/>
          <w:w w:val="105"/>
        </w:rPr>
        <w:t> </w:t>
      </w:r>
      <w:r>
        <w:rPr>
          <w:color w:val="231F20"/>
          <w:w w:val="105"/>
        </w:rPr>
        <w:t>de</w:t>
      </w:r>
      <w:r>
        <w:rPr>
          <w:color w:val="231F20"/>
          <w:spacing w:val="-20"/>
          <w:w w:val="105"/>
        </w:rPr>
        <w:t> </w:t>
      </w:r>
      <w:r>
        <w:rPr>
          <w:color w:val="231F20"/>
          <w:w w:val="105"/>
        </w:rPr>
        <w:t>vitaminas,</w:t>
      </w:r>
      <w:r>
        <w:rPr>
          <w:color w:val="231F20"/>
          <w:spacing w:val="-25"/>
          <w:w w:val="105"/>
        </w:rPr>
        <w:t> </w:t>
      </w:r>
      <w:r>
        <w:rPr>
          <w:color w:val="231F20"/>
          <w:w w:val="105"/>
        </w:rPr>
        <w:t>ejercitarse, etc) mientras que otras afectan el bienestar futuro de la generación de capital humano (entrenamiento en el trabajo, formación, capacitación, adquisición</w:t>
      </w:r>
      <w:r>
        <w:rPr>
          <w:color w:val="231F20"/>
          <w:spacing w:val="-16"/>
          <w:w w:val="105"/>
        </w:rPr>
        <w:t> </w:t>
      </w:r>
      <w:r>
        <w:rPr>
          <w:color w:val="231F20"/>
          <w:w w:val="105"/>
        </w:rPr>
        <w:t>de</w:t>
      </w:r>
      <w:r>
        <w:rPr>
          <w:color w:val="231F20"/>
          <w:spacing w:val="-16"/>
          <w:w w:val="105"/>
        </w:rPr>
        <w:t> </w:t>
      </w:r>
      <w:r>
        <w:rPr>
          <w:color w:val="231F20"/>
          <w:w w:val="105"/>
        </w:rPr>
        <w:t>información,</w:t>
      </w:r>
      <w:r>
        <w:rPr>
          <w:color w:val="231F20"/>
          <w:spacing w:val="-21"/>
          <w:w w:val="105"/>
        </w:rPr>
        <w:t> </w:t>
      </w:r>
      <w:r>
        <w:rPr>
          <w:color w:val="231F20"/>
          <w:w w:val="105"/>
        </w:rPr>
        <w:t>etc.).</w:t>
      </w:r>
      <w:r>
        <w:rPr>
          <w:color w:val="231F20"/>
          <w:spacing w:val="20"/>
          <w:w w:val="105"/>
        </w:rPr>
        <w:t> </w:t>
      </w:r>
      <w:r>
        <w:rPr>
          <w:color w:val="231F20"/>
          <w:w w:val="105"/>
        </w:rPr>
        <w:t>Y</w:t>
      </w:r>
      <w:r>
        <w:rPr>
          <w:color w:val="231F20"/>
          <w:spacing w:val="-20"/>
          <w:w w:val="105"/>
        </w:rPr>
        <w:t> </w:t>
      </w:r>
      <w:r>
        <w:rPr>
          <w:color w:val="231F20"/>
          <w:w w:val="105"/>
        </w:rPr>
        <w:t>el</w:t>
      </w:r>
      <w:r>
        <w:rPr>
          <w:color w:val="231F20"/>
          <w:spacing w:val="-16"/>
          <w:w w:val="105"/>
        </w:rPr>
        <w:t> </w:t>
      </w:r>
      <w:r>
        <w:rPr>
          <w:color w:val="231F20"/>
          <w:w w:val="105"/>
        </w:rPr>
        <w:t>hecho</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clasifiquen</w:t>
      </w:r>
      <w:r>
        <w:rPr>
          <w:color w:val="231F20"/>
          <w:spacing w:val="-16"/>
          <w:w w:val="105"/>
        </w:rPr>
        <w:t> </w:t>
      </w:r>
      <w:r>
        <w:rPr>
          <w:color w:val="231F20"/>
          <w:w w:val="105"/>
        </w:rPr>
        <w:t>en</w:t>
      </w:r>
      <w:r>
        <w:rPr>
          <w:color w:val="231F20"/>
          <w:spacing w:val="-16"/>
          <w:w w:val="105"/>
        </w:rPr>
        <w:t> </w:t>
      </w:r>
      <w:r>
        <w:rPr>
          <w:color w:val="231F20"/>
          <w:w w:val="105"/>
        </w:rPr>
        <w:t>un grupo</w:t>
      </w:r>
      <w:r>
        <w:rPr>
          <w:color w:val="231F20"/>
          <w:spacing w:val="-20"/>
          <w:w w:val="105"/>
        </w:rPr>
        <w:t> </w:t>
      </w:r>
      <w:r>
        <w:rPr>
          <w:color w:val="231F20"/>
          <w:w w:val="105"/>
        </w:rPr>
        <w:t>u</w:t>
      </w:r>
      <w:r>
        <w:rPr>
          <w:color w:val="231F20"/>
          <w:spacing w:val="-20"/>
          <w:w w:val="105"/>
        </w:rPr>
        <w:t> </w:t>
      </w:r>
      <w:r>
        <w:rPr>
          <w:color w:val="231F20"/>
          <w:w w:val="105"/>
        </w:rPr>
        <w:t>otro</w:t>
      </w:r>
      <w:r>
        <w:rPr>
          <w:color w:val="231F20"/>
          <w:spacing w:val="-20"/>
          <w:w w:val="105"/>
        </w:rPr>
        <w:t> </w:t>
      </w:r>
      <w:r>
        <w:rPr>
          <w:color w:val="231F20"/>
          <w:w w:val="105"/>
        </w:rPr>
        <w:t>está</w:t>
      </w:r>
      <w:r>
        <w:rPr>
          <w:color w:val="231F20"/>
          <w:spacing w:val="-20"/>
          <w:w w:val="105"/>
        </w:rPr>
        <w:t> </w:t>
      </w:r>
      <w:r>
        <w:rPr>
          <w:color w:val="231F20"/>
          <w:w w:val="105"/>
        </w:rPr>
        <w:t>directamente</w:t>
      </w:r>
      <w:r>
        <w:rPr>
          <w:color w:val="231F20"/>
          <w:spacing w:val="-20"/>
          <w:w w:val="105"/>
        </w:rPr>
        <w:t> </w:t>
      </w:r>
      <w:r>
        <w:rPr>
          <w:color w:val="231F20"/>
          <w:w w:val="105"/>
        </w:rPr>
        <w:t>relacionado</w:t>
      </w:r>
      <w:r>
        <w:rPr>
          <w:color w:val="231F20"/>
          <w:spacing w:val="-20"/>
          <w:w w:val="105"/>
        </w:rPr>
        <w:t> </w:t>
      </w:r>
      <w:r>
        <w:rPr>
          <w:color w:val="231F20"/>
          <w:w w:val="105"/>
        </w:rPr>
        <w:t>con</w:t>
      </w:r>
      <w:r>
        <w:rPr>
          <w:color w:val="231F20"/>
          <w:spacing w:val="-20"/>
          <w:w w:val="105"/>
        </w:rPr>
        <w:t> </w:t>
      </w:r>
      <w:r>
        <w:rPr>
          <w:color w:val="231F20"/>
          <w:w w:val="105"/>
        </w:rPr>
        <w:t>los</w:t>
      </w:r>
      <w:r>
        <w:rPr>
          <w:color w:val="231F20"/>
          <w:spacing w:val="-20"/>
          <w:w w:val="105"/>
        </w:rPr>
        <w:t> </w:t>
      </w:r>
      <w:r>
        <w:rPr>
          <w:color w:val="231F20"/>
          <w:w w:val="105"/>
        </w:rPr>
        <w:t>efectos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tienen sobre</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consumo,</w:t>
      </w:r>
      <w:r>
        <w:rPr>
          <w:color w:val="231F20"/>
          <w:spacing w:val="-17"/>
          <w:w w:val="105"/>
        </w:rPr>
        <w:t> </w:t>
      </w:r>
      <w:r>
        <w:rPr>
          <w:color w:val="231F20"/>
          <w:w w:val="105"/>
        </w:rPr>
        <w:t>típicamente</w:t>
      </w:r>
      <w:r>
        <w:rPr>
          <w:color w:val="231F20"/>
          <w:spacing w:val="-12"/>
          <w:w w:val="105"/>
        </w:rPr>
        <w:t> </w:t>
      </w:r>
      <w:r>
        <w:rPr>
          <w:color w:val="231F20"/>
          <w:w w:val="105"/>
        </w:rPr>
        <w:t>en</w:t>
      </w:r>
      <w:r>
        <w:rPr>
          <w:color w:val="231F20"/>
          <w:spacing w:val="-12"/>
          <w:w w:val="105"/>
        </w:rPr>
        <w:t> </w:t>
      </w:r>
      <w:r>
        <w:rPr>
          <w:color w:val="231F20"/>
          <w:w w:val="105"/>
        </w:rPr>
        <w:t>función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recursos invertidos y la dimensión del</w:t>
      </w:r>
      <w:r>
        <w:rPr>
          <w:color w:val="231F20"/>
          <w:spacing w:val="-37"/>
          <w:w w:val="105"/>
        </w:rPr>
        <w:t> </w:t>
      </w:r>
      <w:r>
        <w:rPr>
          <w:color w:val="231F20"/>
          <w:w w:val="105"/>
        </w:rPr>
        <w:t>retorno.</w:t>
      </w:r>
    </w:p>
    <w:p>
      <w:pPr>
        <w:pStyle w:val="BodyText"/>
        <w:spacing w:line="259" w:lineRule="auto"/>
        <w:ind w:left="117" w:right="120" w:firstLine="567"/>
        <w:jc w:val="both"/>
      </w:pPr>
      <w:r>
        <w:rPr/>
        <w:drawing>
          <wp:anchor distT="0" distB="0" distL="0" distR="0" allowOverlap="1" layoutInCell="1" locked="0" behindDoc="0" simplePos="0" relativeHeight="6232">
            <wp:simplePos x="0" y="0"/>
            <wp:positionH relativeFrom="page">
              <wp:posOffset>2286755</wp:posOffset>
            </wp:positionH>
            <wp:positionV relativeFrom="paragraph">
              <wp:posOffset>888302</wp:posOffset>
            </wp:positionV>
            <wp:extent cx="1567906" cy="578738"/>
            <wp:effectExtent l="0" t="0" r="0" b="0"/>
            <wp:wrapTopAndBottom/>
            <wp:docPr id="41" name="image64.png" descr=""/>
            <wp:cNvGraphicFramePr>
              <a:graphicFrameLocks noChangeAspect="1"/>
            </wp:cNvGraphicFramePr>
            <a:graphic>
              <a:graphicData uri="http://schemas.openxmlformats.org/drawingml/2006/picture">
                <pic:pic>
                  <pic:nvPicPr>
                    <pic:cNvPr id="42" name="image64.png"/>
                    <pic:cNvPicPr/>
                  </pic:nvPicPr>
                  <pic:blipFill>
                    <a:blip r:embed="rId87" cstate="print"/>
                    <a:stretch>
                      <a:fillRect/>
                    </a:stretch>
                  </pic:blipFill>
                  <pic:spPr>
                    <a:xfrm>
                      <a:off x="0" y="0"/>
                      <a:ext cx="1567906" cy="578738"/>
                    </a:xfrm>
                    <a:prstGeom prst="rect">
                      <a:avLst/>
                    </a:prstGeom>
                  </pic:spPr>
                </pic:pic>
              </a:graphicData>
            </a:graphic>
          </wp:anchor>
        </w:drawing>
      </w:r>
      <w:r>
        <w:rPr>
          <w:color w:val="231F20"/>
          <w:w w:val="105"/>
        </w:rPr>
        <w:t>Jacob Mincer en 1958 propuso un modelo para evaluar si el in- cremento en la formación o capacitación de una persona (incremento de</w:t>
      </w:r>
      <w:r>
        <w:rPr>
          <w:color w:val="231F20"/>
          <w:spacing w:val="-13"/>
          <w:w w:val="105"/>
        </w:rPr>
        <w:t> </w:t>
      </w:r>
      <w:r>
        <w:rPr>
          <w:color w:val="231F20"/>
          <w:w w:val="105"/>
        </w:rPr>
        <w:t>capital</w:t>
      </w:r>
      <w:r>
        <w:rPr>
          <w:color w:val="231F20"/>
          <w:spacing w:val="-13"/>
          <w:w w:val="105"/>
        </w:rPr>
        <w:t> </w:t>
      </w:r>
      <w:r>
        <w:rPr>
          <w:color w:val="231F20"/>
          <w:w w:val="105"/>
        </w:rPr>
        <w:t>humano)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largo</w:t>
      </w:r>
      <w:r>
        <w:rPr>
          <w:color w:val="231F20"/>
          <w:spacing w:val="-13"/>
          <w:w w:val="105"/>
        </w:rPr>
        <w:t> </w:t>
      </w:r>
      <w:r>
        <w:rPr>
          <w:color w:val="231F20"/>
          <w:w w:val="105"/>
        </w:rPr>
        <w:t>plazo</w:t>
      </w:r>
      <w:r>
        <w:rPr>
          <w:color w:val="231F20"/>
          <w:spacing w:val="-13"/>
          <w:w w:val="105"/>
        </w:rPr>
        <w:t> </w:t>
      </w:r>
      <w:r>
        <w:rPr>
          <w:color w:val="231F20"/>
          <w:w w:val="105"/>
        </w:rPr>
        <w:t>representaría</w:t>
      </w:r>
      <w:r>
        <w:rPr>
          <w:color w:val="231F20"/>
          <w:spacing w:val="-13"/>
          <w:w w:val="105"/>
        </w:rPr>
        <w:t> </w:t>
      </w:r>
      <w:r>
        <w:rPr>
          <w:color w:val="231F20"/>
          <w:w w:val="105"/>
        </w:rPr>
        <w:t>mayores</w:t>
      </w:r>
      <w:r>
        <w:rPr>
          <w:color w:val="231F20"/>
          <w:spacing w:val="-13"/>
          <w:w w:val="105"/>
        </w:rPr>
        <w:t> </w:t>
      </w:r>
      <w:r>
        <w:rPr>
          <w:color w:val="231F20"/>
          <w:w w:val="105"/>
        </w:rPr>
        <w:t>ingresos.</w:t>
      </w:r>
      <w:r>
        <w:rPr>
          <w:color w:val="231F20"/>
          <w:spacing w:val="-19"/>
          <w:w w:val="105"/>
        </w:rPr>
        <w:t> </w:t>
      </w:r>
      <w:r>
        <w:rPr>
          <w:color w:val="231F20"/>
          <w:w w:val="105"/>
        </w:rPr>
        <w:t>El modelo</w:t>
      </w:r>
      <w:r>
        <w:rPr>
          <w:color w:val="231F20"/>
          <w:spacing w:val="-19"/>
          <w:w w:val="105"/>
        </w:rPr>
        <w:t> </w:t>
      </w:r>
      <w:r>
        <w:rPr>
          <w:color w:val="231F20"/>
          <w:w w:val="105"/>
        </w:rPr>
        <w:t>asume</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gastos</w:t>
      </w:r>
      <w:r>
        <w:rPr>
          <w:color w:val="231F20"/>
          <w:spacing w:val="-19"/>
          <w:w w:val="105"/>
        </w:rPr>
        <w:t> </w:t>
      </w:r>
      <w:r>
        <w:rPr>
          <w:color w:val="231F20"/>
          <w:w w:val="105"/>
        </w:rPr>
        <w:t>de</w:t>
      </w:r>
      <w:r>
        <w:rPr>
          <w:color w:val="231F20"/>
          <w:spacing w:val="-19"/>
          <w:w w:val="105"/>
        </w:rPr>
        <w:t> </w:t>
      </w:r>
      <w:r>
        <w:rPr>
          <w:color w:val="231F20"/>
          <w:w w:val="105"/>
        </w:rPr>
        <w:t>formación</w:t>
      </w:r>
      <w:r>
        <w:rPr>
          <w:color w:val="231F20"/>
          <w:spacing w:val="-20"/>
          <w:w w:val="105"/>
        </w:rPr>
        <w:t> </w:t>
      </w:r>
      <w:r>
        <w:rPr>
          <w:color w:val="231F20"/>
          <w:w w:val="105"/>
        </w:rPr>
        <w:t>son</w:t>
      </w:r>
      <w:r>
        <w:rPr>
          <w:color w:val="231F20"/>
          <w:spacing w:val="-19"/>
          <w:w w:val="105"/>
        </w:rPr>
        <w:t> </w:t>
      </w:r>
      <w:r>
        <w:rPr>
          <w:color w:val="231F20"/>
          <w:w w:val="105"/>
        </w:rPr>
        <w:t>cero</w:t>
      </w:r>
      <w:r>
        <w:rPr>
          <w:color w:val="231F20"/>
          <w:spacing w:val="-19"/>
          <w:w w:val="105"/>
        </w:rPr>
        <w:t> </w:t>
      </w:r>
      <w:r>
        <w:rPr>
          <w:color w:val="231F20"/>
          <w:w w:val="105"/>
        </w:rPr>
        <w:t>para</w:t>
      </w:r>
      <w:r>
        <w:rPr>
          <w:color w:val="231F20"/>
          <w:spacing w:val="-19"/>
          <w:w w:val="105"/>
        </w:rPr>
        <w:t> </w:t>
      </w:r>
      <w:r>
        <w:rPr>
          <w:color w:val="231F20"/>
          <w:w w:val="105"/>
        </w:rPr>
        <w:t>un</w:t>
      </w:r>
      <w:r>
        <w:rPr>
          <w:color w:val="231F20"/>
          <w:spacing w:val="-19"/>
          <w:w w:val="105"/>
        </w:rPr>
        <w:t> </w:t>
      </w:r>
      <w:r>
        <w:rPr>
          <w:color w:val="231F20"/>
          <w:w w:val="105"/>
        </w:rPr>
        <w:t>proceso</w:t>
      </w:r>
      <w:r>
        <w:rPr>
          <w:color w:val="231F20"/>
          <w:spacing w:val="-19"/>
          <w:w w:val="105"/>
        </w:rPr>
        <w:t> </w:t>
      </w:r>
      <w:r>
        <w:rPr>
          <w:color w:val="231F20"/>
          <w:w w:val="105"/>
        </w:rPr>
        <w:t>de descuento</w:t>
      </w:r>
      <w:r>
        <w:rPr>
          <w:color w:val="231F20"/>
          <w:spacing w:val="-9"/>
          <w:w w:val="105"/>
        </w:rPr>
        <w:t> </w:t>
      </w:r>
      <w:r>
        <w:rPr>
          <w:color w:val="231F20"/>
          <w:w w:val="105"/>
        </w:rPr>
        <w:t>discreto,</w:t>
      </w:r>
      <w:r>
        <w:rPr>
          <w:color w:val="231F20"/>
          <w:spacing w:val="-16"/>
          <w:w w:val="105"/>
        </w:rPr>
        <w:t> </w:t>
      </w:r>
      <w:r>
        <w:rPr>
          <w:color w:val="231F20"/>
          <w:w w:val="105"/>
        </w:rPr>
        <w:t>por</w:t>
      </w:r>
      <w:r>
        <w:rPr>
          <w:color w:val="231F20"/>
          <w:spacing w:val="-9"/>
          <w:w w:val="105"/>
        </w:rPr>
        <w:t> </w:t>
      </w:r>
      <w:r>
        <w:rPr>
          <w:color w:val="231F20"/>
          <w:w w:val="105"/>
        </w:rPr>
        <w:t>tanto</w:t>
      </w:r>
      <w:r>
        <w:rPr>
          <w:color w:val="231F20"/>
          <w:spacing w:val="-9"/>
          <w:w w:val="105"/>
        </w:rPr>
        <w:t> </w:t>
      </w:r>
      <w:r>
        <w:rPr>
          <w:color w:val="231F20"/>
          <w:w w:val="105"/>
        </w:rPr>
        <w:t>se</w:t>
      </w:r>
      <w:r>
        <w:rPr>
          <w:color w:val="231F20"/>
          <w:spacing w:val="-9"/>
          <w:w w:val="105"/>
        </w:rPr>
        <w:t> </w:t>
      </w:r>
      <w:r>
        <w:rPr>
          <w:color w:val="231F20"/>
          <w:w w:val="105"/>
        </w:rPr>
        <w:t>tiene</w:t>
      </w:r>
      <w:r>
        <w:rPr>
          <w:color w:val="231F20"/>
          <w:spacing w:val="-9"/>
          <w:w w:val="105"/>
        </w:rPr>
        <w:t> </w:t>
      </w:r>
      <w:r>
        <w:rPr>
          <w:color w:val="231F20"/>
          <w:w w:val="105"/>
        </w:rPr>
        <w:t>que:</w:t>
      </w:r>
    </w:p>
    <w:p>
      <w:pPr>
        <w:spacing w:after="0" w:line="259" w:lineRule="auto"/>
        <w:jc w:val="both"/>
        <w:sectPr>
          <w:pgSz w:w="9640" w:h="13890"/>
          <w:pgMar w:top="0" w:bottom="280" w:left="1300" w:right="1180"/>
        </w:sectPr>
      </w:pPr>
    </w:p>
    <w:p>
      <w:pPr>
        <w:pStyle w:val="BodyText"/>
        <w:spacing w:before="120"/>
        <w:ind w:left="103"/>
        <w:jc w:val="both"/>
      </w:pPr>
      <w:r>
        <w:rPr>
          <w:color w:val="231F20"/>
          <w:w w:val="105"/>
        </w:rPr>
        <w:t>Donde:</w:t>
      </w:r>
    </w:p>
    <w:p>
      <w:pPr>
        <w:pStyle w:val="BodyText"/>
        <w:spacing w:before="6"/>
        <w:rPr>
          <w:sz w:val="23"/>
        </w:rPr>
      </w:pPr>
    </w:p>
    <w:p>
      <w:pPr>
        <w:pStyle w:val="BodyText"/>
        <w:spacing w:line="249" w:lineRule="auto"/>
        <w:ind w:left="670" w:right="682"/>
        <w:jc w:val="both"/>
      </w:pPr>
      <w:r>
        <w:rPr>
          <w:color w:val="231F20"/>
          <w:w w:val="105"/>
        </w:rPr>
        <w:t>Vn</w:t>
      </w:r>
      <w:r>
        <w:rPr>
          <w:color w:val="231F20"/>
          <w:spacing w:val="-12"/>
          <w:w w:val="105"/>
        </w:rPr>
        <w:t> </w:t>
      </w:r>
      <w:r>
        <w:rPr>
          <w:color w:val="231F20"/>
          <w:w w:val="105"/>
        </w:rPr>
        <w:t>=</w:t>
      </w:r>
      <w:r>
        <w:rPr>
          <w:color w:val="231F20"/>
          <w:spacing w:val="-15"/>
          <w:w w:val="105"/>
        </w:rPr>
        <w:t> </w:t>
      </w:r>
      <w:r>
        <w:rPr>
          <w:color w:val="231F20"/>
          <w:w w:val="105"/>
        </w:rPr>
        <w:t>Valor</w:t>
      </w:r>
      <w:r>
        <w:rPr>
          <w:color w:val="231F20"/>
          <w:spacing w:val="-12"/>
          <w:w w:val="105"/>
        </w:rPr>
        <w:t> </w:t>
      </w:r>
      <w:r>
        <w:rPr>
          <w:color w:val="231F20"/>
          <w:w w:val="105"/>
        </w:rPr>
        <w:t>presente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ingresos</w:t>
      </w:r>
      <w:r>
        <w:rPr>
          <w:color w:val="231F20"/>
          <w:spacing w:val="-12"/>
          <w:w w:val="105"/>
        </w:rPr>
        <w:t> </w:t>
      </w:r>
      <w:r>
        <w:rPr>
          <w:color w:val="231F20"/>
          <w:w w:val="105"/>
        </w:rPr>
        <w:t>del</w:t>
      </w:r>
      <w:r>
        <w:rPr>
          <w:color w:val="231F20"/>
          <w:spacing w:val="-12"/>
          <w:w w:val="105"/>
        </w:rPr>
        <w:t> </w:t>
      </w:r>
      <w:r>
        <w:rPr>
          <w:color w:val="231F20"/>
          <w:w w:val="105"/>
        </w:rPr>
        <w:t>individuo</w:t>
      </w:r>
      <w:r>
        <w:rPr>
          <w:color w:val="231F20"/>
          <w:spacing w:val="-12"/>
          <w:w w:val="105"/>
        </w:rPr>
        <w:t> </w:t>
      </w:r>
      <w:r>
        <w:rPr>
          <w:color w:val="231F20"/>
          <w:w w:val="105"/>
        </w:rPr>
        <w:t>al</w:t>
      </w:r>
      <w:r>
        <w:rPr>
          <w:color w:val="231F20"/>
          <w:spacing w:val="-12"/>
          <w:w w:val="105"/>
        </w:rPr>
        <w:t> </w:t>
      </w:r>
      <w:r>
        <w:rPr>
          <w:color w:val="231F20"/>
          <w:w w:val="105"/>
        </w:rPr>
        <w:t>momen- to</w:t>
      </w:r>
      <w:r>
        <w:rPr>
          <w:color w:val="231F20"/>
          <w:spacing w:val="-13"/>
          <w:w w:val="105"/>
        </w:rPr>
        <w:t> </w:t>
      </w:r>
      <w:r>
        <w:rPr>
          <w:color w:val="231F20"/>
          <w:w w:val="105"/>
        </w:rPr>
        <w:t>de</w:t>
      </w:r>
      <w:r>
        <w:rPr>
          <w:color w:val="231F20"/>
          <w:spacing w:val="-13"/>
          <w:w w:val="105"/>
        </w:rPr>
        <w:t> </w:t>
      </w:r>
      <w:r>
        <w:rPr>
          <w:color w:val="231F20"/>
          <w:w w:val="105"/>
        </w:rPr>
        <w:t>iniciar</w:t>
      </w:r>
      <w:r>
        <w:rPr>
          <w:color w:val="231F20"/>
          <w:spacing w:val="-13"/>
          <w:w w:val="105"/>
        </w:rPr>
        <w:t> </w:t>
      </w:r>
      <w:r>
        <w:rPr>
          <w:color w:val="231F20"/>
          <w:w w:val="105"/>
        </w:rPr>
        <w:t>la</w:t>
      </w:r>
      <w:r>
        <w:rPr>
          <w:color w:val="231F20"/>
          <w:spacing w:val="-13"/>
          <w:w w:val="105"/>
        </w:rPr>
        <w:t> </w:t>
      </w:r>
      <w:r>
        <w:rPr>
          <w:color w:val="231F20"/>
          <w:w w:val="105"/>
        </w:rPr>
        <w:t>capacitación.</w:t>
      </w:r>
    </w:p>
    <w:p>
      <w:pPr>
        <w:pStyle w:val="BodyText"/>
        <w:spacing w:line="249" w:lineRule="auto" w:before="1"/>
        <w:ind w:left="670" w:right="681"/>
        <w:jc w:val="both"/>
      </w:pPr>
      <w:r>
        <w:rPr>
          <w:color w:val="231F20"/>
          <w:w w:val="105"/>
        </w:rPr>
        <w:t>An</w:t>
      </w:r>
      <w:r>
        <w:rPr>
          <w:color w:val="231F20"/>
          <w:spacing w:val="-19"/>
          <w:w w:val="105"/>
        </w:rPr>
        <w:t> </w:t>
      </w:r>
      <w:r>
        <w:rPr>
          <w:color w:val="231F20"/>
          <w:w w:val="105"/>
        </w:rPr>
        <w:t>=</w:t>
      </w:r>
      <w:r>
        <w:rPr>
          <w:color w:val="231F20"/>
          <w:spacing w:val="-19"/>
          <w:w w:val="105"/>
        </w:rPr>
        <w:t> </w:t>
      </w:r>
      <w:r>
        <w:rPr>
          <w:color w:val="231F20"/>
          <w:w w:val="105"/>
        </w:rPr>
        <w:t>Ingresos</w:t>
      </w:r>
      <w:r>
        <w:rPr>
          <w:color w:val="231F20"/>
          <w:spacing w:val="-19"/>
          <w:w w:val="105"/>
        </w:rPr>
        <w:t> </w:t>
      </w:r>
      <w:r>
        <w:rPr>
          <w:color w:val="231F20"/>
          <w:w w:val="105"/>
        </w:rPr>
        <w:t>anuales</w:t>
      </w:r>
      <w:r>
        <w:rPr>
          <w:color w:val="231F20"/>
          <w:spacing w:val="-19"/>
          <w:w w:val="105"/>
        </w:rPr>
        <w:t> </w:t>
      </w:r>
      <w:r>
        <w:rPr>
          <w:color w:val="231F20"/>
          <w:w w:val="105"/>
        </w:rPr>
        <w:t>del</w:t>
      </w:r>
      <w:r>
        <w:rPr>
          <w:color w:val="231F20"/>
          <w:spacing w:val="-19"/>
          <w:w w:val="105"/>
        </w:rPr>
        <w:t> </w:t>
      </w:r>
      <w:r>
        <w:rPr>
          <w:color w:val="231F20"/>
          <w:w w:val="105"/>
        </w:rPr>
        <w:t>individuo</w:t>
      </w:r>
      <w:r>
        <w:rPr>
          <w:color w:val="231F20"/>
          <w:spacing w:val="-19"/>
          <w:w w:val="105"/>
        </w:rPr>
        <w:t> </w:t>
      </w:r>
      <w:r>
        <w:rPr>
          <w:color w:val="231F20"/>
          <w:w w:val="105"/>
        </w:rPr>
        <w:t>con</w:t>
      </w:r>
      <w:r>
        <w:rPr>
          <w:color w:val="231F20"/>
          <w:spacing w:val="-19"/>
          <w:w w:val="105"/>
        </w:rPr>
        <w:t> </w:t>
      </w:r>
      <w:r>
        <w:rPr>
          <w:i/>
          <w:color w:val="231F20"/>
          <w:w w:val="105"/>
        </w:rPr>
        <w:t>n</w:t>
      </w:r>
      <w:r>
        <w:rPr>
          <w:i/>
          <w:color w:val="231F20"/>
          <w:spacing w:val="-19"/>
          <w:w w:val="105"/>
        </w:rPr>
        <w:t> </w:t>
      </w:r>
      <w:r>
        <w:rPr>
          <w:color w:val="231F20"/>
          <w:w w:val="105"/>
        </w:rPr>
        <w:t>años</w:t>
      </w:r>
      <w:r>
        <w:rPr>
          <w:color w:val="231F20"/>
          <w:spacing w:val="-19"/>
          <w:w w:val="105"/>
        </w:rPr>
        <w:t> </w:t>
      </w:r>
      <w:r>
        <w:rPr>
          <w:color w:val="231F20"/>
          <w:w w:val="105"/>
        </w:rPr>
        <w:t>de</w:t>
      </w:r>
      <w:r>
        <w:rPr>
          <w:color w:val="231F20"/>
          <w:spacing w:val="-19"/>
          <w:w w:val="105"/>
        </w:rPr>
        <w:t> </w:t>
      </w:r>
      <w:r>
        <w:rPr>
          <w:color w:val="231F20"/>
          <w:w w:val="105"/>
        </w:rPr>
        <w:t>formación o</w:t>
      </w:r>
      <w:r>
        <w:rPr>
          <w:color w:val="231F20"/>
          <w:spacing w:val="-29"/>
          <w:w w:val="105"/>
        </w:rPr>
        <w:t> </w:t>
      </w:r>
      <w:r>
        <w:rPr>
          <w:color w:val="231F20"/>
          <w:w w:val="105"/>
        </w:rPr>
        <w:t>capacitación.</w:t>
      </w:r>
    </w:p>
    <w:p>
      <w:pPr>
        <w:pStyle w:val="BodyText"/>
        <w:spacing w:before="1"/>
        <w:ind w:left="670"/>
        <w:jc w:val="both"/>
      </w:pPr>
      <w:r>
        <w:rPr>
          <w:color w:val="231F20"/>
          <w:w w:val="105"/>
        </w:rPr>
        <w:t>r = Tasa a la cual se descuentan los ingresos futuros.</w:t>
      </w:r>
    </w:p>
    <w:p>
      <w:pPr>
        <w:pStyle w:val="BodyText"/>
        <w:spacing w:line="268" w:lineRule="auto" w:before="10"/>
        <w:ind w:left="670" w:right="682"/>
        <w:jc w:val="both"/>
      </w:pPr>
      <w:r>
        <w:rPr>
          <w:color w:val="231F20"/>
          <w:w w:val="105"/>
        </w:rPr>
        <w:t>t = Periodo de la vida productiva más tiempo de entrena- miento para todas las personas igual al periodo de la vida productiva sin entrenamiento.</w:t>
      </w:r>
    </w:p>
    <w:p>
      <w:pPr>
        <w:pStyle w:val="BodyText"/>
        <w:spacing w:before="8"/>
      </w:pPr>
    </w:p>
    <w:p>
      <w:pPr>
        <w:pStyle w:val="BodyText"/>
        <w:spacing w:line="259" w:lineRule="auto" w:before="1"/>
        <w:ind w:left="103" w:right="109"/>
        <w:jc w:val="both"/>
      </w:pPr>
      <w:r>
        <w:rPr>
          <w:color w:val="231F20"/>
          <w:w w:val="105"/>
        </w:rPr>
        <w:t>Las conclusiones a las que llegó el autor con este modelo son (Mincer, 1958):</w:t>
      </w:r>
    </w:p>
    <w:p>
      <w:pPr>
        <w:pStyle w:val="BodyText"/>
        <w:spacing w:before="6"/>
        <w:rPr>
          <w:sz w:val="22"/>
        </w:rPr>
      </w:pPr>
    </w:p>
    <w:p>
      <w:pPr>
        <w:pStyle w:val="ListParagraph"/>
        <w:numPr>
          <w:ilvl w:val="0"/>
          <w:numId w:val="51"/>
        </w:numPr>
        <w:tabs>
          <w:tab w:pos="1315" w:val="left" w:leader="none"/>
        </w:tabs>
        <w:spacing w:line="259" w:lineRule="auto" w:before="0" w:after="0"/>
        <w:ind w:left="1314" w:right="115" w:hanging="360"/>
        <w:jc w:val="both"/>
        <w:rPr>
          <w:sz w:val="21"/>
        </w:rPr>
      </w:pPr>
      <w:r>
        <w:rPr>
          <w:color w:val="231F20"/>
          <w:sz w:val="21"/>
        </w:rPr>
        <w:t>Las personas con más capacitación acceden a ingresos anuales</w:t>
      </w:r>
      <w:r>
        <w:rPr>
          <w:color w:val="231F20"/>
          <w:spacing w:val="-3"/>
          <w:sz w:val="21"/>
        </w:rPr>
        <w:t> </w:t>
      </w:r>
      <w:r>
        <w:rPr>
          <w:color w:val="231F20"/>
          <w:sz w:val="21"/>
        </w:rPr>
        <w:t>mayores.</w:t>
      </w:r>
    </w:p>
    <w:p>
      <w:pPr>
        <w:pStyle w:val="ListParagraph"/>
        <w:numPr>
          <w:ilvl w:val="0"/>
          <w:numId w:val="51"/>
        </w:numPr>
        <w:tabs>
          <w:tab w:pos="1315" w:val="left" w:leader="none"/>
        </w:tabs>
        <w:spacing w:line="259" w:lineRule="auto" w:before="170" w:after="0"/>
        <w:ind w:left="1314" w:right="114" w:hanging="360"/>
        <w:jc w:val="both"/>
        <w:rPr>
          <w:sz w:val="21"/>
        </w:rPr>
      </w:pPr>
      <w:r>
        <w:rPr>
          <w:color w:val="231F20"/>
          <w:w w:val="105"/>
          <w:sz w:val="21"/>
        </w:rPr>
        <w:t>La</w:t>
      </w:r>
      <w:r>
        <w:rPr>
          <w:color w:val="231F20"/>
          <w:spacing w:val="-21"/>
          <w:w w:val="105"/>
          <w:sz w:val="21"/>
        </w:rPr>
        <w:t> </w:t>
      </w:r>
      <w:r>
        <w:rPr>
          <w:color w:val="231F20"/>
          <w:w w:val="105"/>
          <w:sz w:val="21"/>
        </w:rPr>
        <w:t>diferencia</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ingresos</w:t>
      </w:r>
      <w:r>
        <w:rPr>
          <w:color w:val="231F20"/>
          <w:spacing w:val="-21"/>
          <w:w w:val="105"/>
          <w:sz w:val="21"/>
        </w:rPr>
        <w:t> </w:t>
      </w:r>
      <w:r>
        <w:rPr>
          <w:color w:val="231F20"/>
          <w:w w:val="105"/>
          <w:sz w:val="21"/>
        </w:rPr>
        <w:t>entre</w:t>
      </w:r>
      <w:r>
        <w:rPr>
          <w:color w:val="231F20"/>
          <w:spacing w:val="-21"/>
          <w:w w:val="105"/>
          <w:sz w:val="21"/>
        </w:rPr>
        <w:t> </w:t>
      </w:r>
      <w:r>
        <w:rPr>
          <w:color w:val="231F20"/>
          <w:w w:val="105"/>
          <w:sz w:val="21"/>
        </w:rPr>
        <w:t>personas</w:t>
      </w:r>
      <w:r>
        <w:rPr>
          <w:color w:val="231F20"/>
          <w:spacing w:val="-21"/>
          <w:w w:val="105"/>
          <w:sz w:val="21"/>
        </w:rPr>
        <w:t> </w:t>
      </w:r>
      <w:r>
        <w:rPr>
          <w:color w:val="231F20"/>
          <w:w w:val="105"/>
          <w:sz w:val="21"/>
        </w:rPr>
        <w:t>radica</w:t>
      </w:r>
      <w:r>
        <w:rPr>
          <w:color w:val="231F20"/>
          <w:spacing w:val="-21"/>
          <w:w w:val="105"/>
          <w:sz w:val="21"/>
        </w:rPr>
        <w:t> </w:t>
      </w:r>
      <w:r>
        <w:rPr>
          <w:color w:val="231F20"/>
          <w:w w:val="105"/>
          <w:sz w:val="21"/>
        </w:rPr>
        <w:t>en</w:t>
      </w:r>
      <w:r>
        <w:rPr>
          <w:color w:val="231F20"/>
          <w:spacing w:val="-21"/>
          <w:w w:val="105"/>
          <w:sz w:val="21"/>
        </w:rPr>
        <w:t> </w:t>
      </w:r>
      <w:r>
        <w:rPr>
          <w:color w:val="231F20"/>
          <w:w w:val="105"/>
          <w:sz w:val="21"/>
        </w:rPr>
        <w:t>el</w:t>
      </w:r>
      <w:r>
        <w:rPr>
          <w:color w:val="231F20"/>
          <w:spacing w:val="-21"/>
          <w:w w:val="105"/>
          <w:sz w:val="21"/>
        </w:rPr>
        <w:t> </w:t>
      </w:r>
      <w:r>
        <w:rPr>
          <w:color w:val="231F20"/>
          <w:w w:val="105"/>
          <w:sz w:val="21"/>
        </w:rPr>
        <w:t>núme- ro de años de entrenamiento que cada una esté dispuesta a</w:t>
      </w:r>
      <w:r>
        <w:rPr>
          <w:color w:val="231F20"/>
          <w:spacing w:val="-9"/>
          <w:w w:val="105"/>
          <w:sz w:val="21"/>
        </w:rPr>
        <w:t> </w:t>
      </w:r>
      <w:r>
        <w:rPr>
          <w:color w:val="231F20"/>
          <w:w w:val="105"/>
          <w:sz w:val="21"/>
        </w:rPr>
        <w:t>invertir,</w:t>
      </w:r>
      <w:r>
        <w:rPr>
          <w:color w:val="231F20"/>
          <w:spacing w:val="-15"/>
          <w:w w:val="105"/>
          <w:sz w:val="21"/>
        </w:rPr>
        <w:t> </w:t>
      </w:r>
      <w:r>
        <w:rPr>
          <w:color w:val="231F20"/>
          <w:w w:val="105"/>
          <w:sz w:val="21"/>
        </w:rPr>
        <w:t>sacrificando</w:t>
      </w:r>
      <w:r>
        <w:rPr>
          <w:color w:val="231F20"/>
          <w:spacing w:val="-9"/>
          <w:w w:val="105"/>
          <w:sz w:val="21"/>
        </w:rPr>
        <w:t> </w:t>
      </w:r>
      <w:r>
        <w:rPr>
          <w:color w:val="231F20"/>
          <w:w w:val="105"/>
          <w:sz w:val="21"/>
        </w:rPr>
        <w:t>otras</w:t>
      </w:r>
      <w:r>
        <w:rPr>
          <w:color w:val="231F20"/>
          <w:spacing w:val="-9"/>
          <w:w w:val="105"/>
          <w:sz w:val="21"/>
        </w:rPr>
        <w:t> </w:t>
      </w:r>
      <w:r>
        <w:rPr>
          <w:color w:val="231F20"/>
          <w:w w:val="105"/>
          <w:sz w:val="21"/>
        </w:rPr>
        <w:t>actividades</w:t>
      </w:r>
      <w:r>
        <w:rPr>
          <w:color w:val="231F20"/>
          <w:spacing w:val="-9"/>
          <w:w w:val="105"/>
          <w:sz w:val="21"/>
        </w:rPr>
        <w:t> </w:t>
      </w:r>
      <w:r>
        <w:rPr>
          <w:color w:val="231F20"/>
          <w:w w:val="105"/>
          <w:sz w:val="21"/>
        </w:rPr>
        <w:t>o</w:t>
      </w:r>
      <w:r>
        <w:rPr>
          <w:color w:val="231F20"/>
          <w:spacing w:val="-9"/>
          <w:w w:val="105"/>
          <w:sz w:val="21"/>
        </w:rPr>
        <w:t> </w:t>
      </w:r>
      <w:r>
        <w:rPr>
          <w:color w:val="231F20"/>
          <w:w w:val="105"/>
          <w:sz w:val="21"/>
        </w:rPr>
        <w:t>el</w:t>
      </w:r>
      <w:r>
        <w:rPr>
          <w:color w:val="231F20"/>
          <w:spacing w:val="-9"/>
          <w:w w:val="105"/>
          <w:sz w:val="21"/>
        </w:rPr>
        <w:t> </w:t>
      </w:r>
      <w:r>
        <w:rPr>
          <w:color w:val="231F20"/>
          <w:w w:val="105"/>
          <w:sz w:val="21"/>
        </w:rPr>
        <w:t>ocio;</w:t>
      </w:r>
      <w:r>
        <w:rPr>
          <w:color w:val="231F20"/>
          <w:spacing w:val="-9"/>
          <w:w w:val="105"/>
          <w:sz w:val="21"/>
        </w:rPr>
        <w:t> </w:t>
      </w:r>
      <w:r>
        <w:rPr>
          <w:color w:val="231F20"/>
          <w:w w:val="105"/>
          <w:sz w:val="21"/>
        </w:rPr>
        <w:t>un</w:t>
      </w:r>
      <w:r>
        <w:rPr>
          <w:color w:val="231F20"/>
          <w:spacing w:val="-9"/>
          <w:w w:val="105"/>
          <w:sz w:val="21"/>
        </w:rPr>
        <w:t> </w:t>
      </w:r>
      <w:r>
        <w:rPr>
          <w:color w:val="231F20"/>
          <w:w w:val="105"/>
          <w:sz w:val="21"/>
        </w:rPr>
        <w:t>mayor número de años representa mayores sacrificios por parte del</w:t>
      </w:r>
      <w:r>
        <w:rPr>
          <w:color w:val="231F20"/>
          <w:spacing w:val="-11"/>
          <w:w w:val="105"/>
          <w:sz w:val="21"/>
        </w:rPr>
        <w:t> </w:t>
      </w:r>
      <w:r>
        <w:rPr>
          <w:color w:val="231F20"/>
          <w:w w:val="105"/>
          <w:sz w:val="21"/>
        </w:rPr>
        <w:t>individuo.</w:t>
      </w:r>
      <w:r>
        <w:rPr>
          <w:color w:val="231F20"/>
          <w:spacing w:val="-20"/>
          <w:w w:val="105"/>
          <w:sz w:val="21"/>
        </w:rPr>
        <w:t> </w:t>
      </w:r>
      <w:r>
        <w:rPr>
          <w:color w:val="231F20"/>
          <w:w w:val="105"/>
          <w:sz w:val="21"/>
        </w:rPr>
        <w:t>Y</w:t>
      </w:r>
      <w:r>
        <w:rPr>
          <w:color w:val="231F20"/>
          <w:spacing w:val="-15"/>
          <w:w w:val="105"/>
          <w:sz w:val="21"/>
        </w:rPr>
        <w:t> </w:t>
      </w:r>
      <w:r>
        <w:rPr>
          <w:color w:val="231F20"/>
          <w:w w:val="105"/>
          <w:sz w:val="21"/>
        </w:rPr>
        <w:t>entre</w:t>
      </w:r>
      <w:r>
        <w:rPr>
          <w:color w:val="231F20"/>
          <w:spacing w:val="-11"/>
          <w:w w:val="105"/>
          <w:sz w:val="21"/>
        </w:rPr>
        <w:t> </w:t>
      </w:r>
      <w:r>
        <w:rPr>
          <w:color w:val="231F20"/>
          <w:w w:val="105"/>
          <w:sz w:val="21"/>
        </w:rPr>
        <w:t>más</w:t>
      </w:r>
      <w:r>
        <w:rPr>
          <w:color w:val="231F20"/>
          <w:spacing w:val="-11"/>
          <w:w w:val="105"/>
          <w:sz w:val="21"/>
        </w:rPr>
        <w:t> </w:t>
      </w:r>
      <w:r>
        <w:rPr>
          <w:color w:val="231F20"/>
          <w:w w:val="105"/>
          <w:sz w:val="21"/>
        </w:rPr>
        <w:t>grande</w:t>
      </w:r>
      <w:r>
        <w:rPr>
          <w:color w:val="231F20"/>
          <w:spacing w:val="-11"/>
          <w:w w:val="105"/>
          <w:sz w:val="21"/>
        </w:rPr>
        <w:t> </w:t>
      </w:r>
      <w:r>
        <w:rPr>
          <w:color w:val="231F20"/>
          <w:w w:val="105"/>
          <w:sz w:val="21"/>
        </w:rPr>
        <w:t>sea</w:t>
      </w:r>
      <w:r>
        <w:rPr>
          <w:color w:val="231F20"/>
          <w:spacing w:val="-11"/>
          <w:w w:val="105"/>
          <w:sz w:val="21"/>
        </w:rPr>
        <w:t> </w:t>
      </w:r>
      <w:r>
        <w:rPr>
          <w:color w:val="231F20"/>
          <w:w w:val="105"/>
          <w:sz w:val="21"/>
        </w:rPr>
        <w:t>el</w:t>
      </w:r>
      <w:r>
        <w:rPr>
          <w:color w:val="231F20"/>
          <w:spacing w:val="-11"/>
          <w:w w:val="105"/>
          <w:sz w:val="21"/>
        </w:rPr>
        <w:t> </w:t>
      </w:r>
      <w:r>
        <w:rPr>
          <w:color w:val="231F20"/>
          <w:w w:val="105"/>
          <w:sz w:val="21"/>
        </w:rPr>
        <w:t>sacrificio</w:t>
      </w:r>
      <w:r>
        <w:rPr>
          <w:color w:val="231F20"/>
          <w:spacing w:val="-11"/>
          <w:w w:val="105"/>
          <w:sz w:val="21"/>
        </w:rPr>
        <w:t> </w:t>
      </w:r>
      <w:r>
        <w:rPr>
          <w:color w:val="231F20"/>
          <w:w w:val="105"/>
          <w:sz w:val="21"/>
        </w:rPr>
        <w:t>mayor</w:t>
      </w:r>
      <w:r>
        <w:rPr>
          <w:color w:val="231F20"/>
          <w:spacing w:val="-11"/>
          <w:w w:val="105"/>
          <w:sz w:val="21"/>
        </w:rPr>
        <w:t> </w:t>
      </w:r>
      <w:r>
        <w:rPr>
          <w:color w:val="231F20"/>
          <w:w w:val="105"/>
          <w:sz w:val="21"/>
        </w:rPr>
        <w:t>su </w:t>
      </w:r>
      <w:r>
        <w:rPr>
          <w:color w:val="231F20"/>
          <w:sz w:val="21"/>
        </w:rPr>
        <w:t>recompensa</w:t>
      </w:r>
      <w:r>
        <w:rPr>
          <w:color w:val="231F20"/>
          <w:spacing w:val="46"/>
          <w:sz w:val="21"/>
        </w:rPr>
        <w:t> </w:t>
      </w:r>
      <w:r>
        <w:rPr>
          <w:color w:val="231F20"/>
          <w:sz w:val="21"/>
        </w:rPr>
        <w:t>futura.</w:t>
      </w:r>
    </w:p>
    <w:p>
      <w:pPr>
        <w:pStyle w:val="ListParagraph"/>
        <w:numPr>
          <w:ilvl w:val="0"/>
          <w:numId w:val="51"/>
        </w:numPr>
        <w:tabs>
          <w:tab w:pos="1315" w:val="left" w:leader="none"/>
        </w:tabs>
        <w:spacing w:line="259" w:lineRule="auto" w:before="170" w:after="0"/>
        <w:ind w:left="1314" w:right="114" w:hanging="360"/>
        <w:jc w:val="both"/>
        <w:rPr>
          <w:sz w:val="21"/>
        </w:rPr>
      </w:pPr>
      <w:r>
        <w:rPr>
          <w:color w:val="231F20"/>
          <w:w w:val="105"/>
          <w:sz w:val="21"/>
        </w:rPr>
        <w:t>Existe un periodo de descuento para los gastos en los</w:t>
      </w:r>
      <w:r>
        <w:rPr>
          <w:color w:val="231F20"/>
          <w:spacing w:val="-24"/>
          <w:w w:val="105"/>
          <w:sz w:val="21"/>
        </w:rPr>
        <w:t> </w:t>
      </w:r>
      <w:r>
        <w:rPr>
          <w:color w:val="231F20"/>
          <w:w w:val="105"/>
          <w:sz w:val="21"/>
        </w:rPr>
        <w:t>que incurre</w:t>
      </w:r>
      <w:r>
        <w:rPr>
          <w:color w:val="231F20"/>
          <w:spacing w:val="-5"/>
          <w:w w:val="105"/>
          <w:sz w:val="21"/>
        </w:rPr>
        <w:t> </w:t>
      </w:r>
      <w:r>
        <w:rPr>
          <w:color w:val="231F20"/>
          <w:w w:val="105"/>
          <w:sz w:val="21"/>
        </w:rPr>
        <w:t>la</w:t>
      </w:r>
      <w:r>
        <w:rPr>
          <w:color w:val="231F20"/>
          <w:spacing w:val="-5"/>
          <w:w w:val="105"/>
          <w:sz w:val="21"/>
        </w:rPr>
        <w:t> </w:t>
      </w:r>
      <w:r>
        <w:rPr>
          <w:color w:val="231F20"/>
          <w:w w:val="105"/>
          <w:sz w:val="21"/>
        </w:rPr>
        <w:t>persona</w:t>
      </w:r>
      <w:r>
        <w:rPr>
          <w:color w:val="231F20"/>
          <w:spacing w:val="-5"/>
          <w:w w:val="105"/>
          <w:sz w:val="21"/>
        </w:rPr>
        <w:t> </w:t>
      </w:r>
      <w:r>
        <w:rPr>
          <w:color w:val="231F20"/>
          <w:w w:val="105"/>
          <w:sz w:val="21"/>
        </w:rPr>
        <w:t>(pago</w:t>
      </w:r>
      <w:r>
        <w:rPr>
          <w:color w:val="231F20"/>
          <w:spacing w:val="-5"/>
          <w:w w:val="105"/>
          <w:sz w:val="21"/>
        </w:rPr>
        <w:t> </w:t>
      </w:r>
      <w:r>
        <w:rPr>
          <w:color w:val="231F20"/>
          <w:w w:val="105"/>
          <w:sz w:val="21"/>
        </w:rPr>
        <w:t>por</w:t>
      </w:r>
      <w:r>
        <w:rPr>
          <w:color w:val="231F20"/>
          <w:spacing w:val="-5"/>
          <w:w w:val="105"/>
          <w:sz w:val="21"/>
        </w:rPr>
        <w:t> </w:t>
      </w:r>
      <w:r>
        <w:rPr>
          <w:color w:val="231F20"/>
          <w:w w:val="105"/>
          <w:sz w:val="21"/>
        </w:rPr>
        <w:t>el</w:t>
      </w:r>
      <w:r>
        <w:rPr>
          <w:color w:val="231F20"/>
          <w:spacing w:val="-5"/>
          <w:w w:val="105"/>
          <w:sz w:val="21"/>
        </w:rPr>
        <w:t> </w:t>
      </w:r>
      <w:r>
        <w:rPr>
          <w:color w:val="231F20"/>
          <w:w w:val="105"/>
          <w:sz w:val="21"/>
        </w:rPr>
        <w:t>entrenamiento),</w:t>
      </w:r>
      <w:r>
        <w:rPr>
          <w:color w:val="231F20"/>
          <w:spacing w:val="-11"/>
          <w:w w:val="105"/>
          <w:sz w:val="21"/>
        </w:rPr>
        <w:t> </w:t>
      </w:r>
      <w:r>
        <w:rPr>
          <w:color w:val="231F20"/>
          <w:w w:val="105"/>
          <w:sz w:val="21"/>
        </w:rPr>
        <w:t>en</w:t>
      </w:r>
      <w:r>
        <w:rPr>
          <w:color w:val="231F20"/>
          <w:spacing w:val="-5"/>
          <w:w w:val="105"/>
          <w:sz w:val="21"/>
        </w:rPr>
        <w:t> </w:t>
      </w:r>
      <w:r>
        <w:rPr>
          <w:color w:val="231F20"/>
          <w:w w:val="105"/>
          <w:sz w:val="21"/>
        </w:rPr>
        <w:t>los</w:t>
      </w:r>
      <w:r>
        <w:rPr>
          <w:color w:val="231F20"/>
          <w:spacing w:val="-5"/>
          <w:w w:val="105"/>
          <w:sz w:val="21"/>
        </w:rPr>
        <w:t> </w:t>
      </w:r>
      <w:r>
        <w:rPr>
          <w:color w:val="231F20"/>
          <w:w w:val="105"/>
          <w:sz w:val="21"/>
        </w:rPr>
        <w:t>cua- les la diferencia de ingresos puede no ser mayor; una vez transcurrido este periodo los ingresos se vuelven mayores conforme el tiempo</w:t>
      </w:r>
      <w:r>
        <w:rPr>
          <w:color w:val="231F20"/>
          <w:spacing w:val="-28"/>
          <w:w w:val="105"/>
          <w:sz w:val="21"/>
        </w:rPr>
        <w:t> </w:t>
      </w:r>
      <w:r>
        <w:rPr>
          <w:color w:val="231F20"/>
          <w:w w:val="105"/>
          <w:sz w:val="21"/>
        </w:rPr>
        <w:t>pasa.</w:t>
      </w:r>
    </w:p>
    <w:p>
      <w:pPr>
        <w:pStyle w:val="BodyText"/>
        <w:rPr>
          <w:sz w:val="20"/>
        </w:rPr>
      </w:pPr>
    </w:p>
    <w:p>
      <w:pPr>
        <w:pStyle w:val="BodyText"/>
        <w:spacing w:before="4"/>
        <w:rPr>
          <w:sz w:val="17"/>
        </w:rPr>
      </w:pPr>
    </w:p>
    <w:p>
      <w:pPr>
        <w:pStyle w:val="BodyText"/>
        <w:spacing w:line="259" w:lineRule="auto"/>
        <w:ind w:left="103" w:right="115"/>
        <w:jc w:val="both"/>
      </w:pPr>
      <w:r>
        <w:rPr>
          <w:color w:val="231F20"/>
          <w:w w:val="105"/>
        </w:rPr>
        <w:t>Otro</w:t>
      </w:r>
      <w:r>
        <w:rPr>
          <w:color w:val="231F20"/>
          <w:spacing w:val="-29"/>
          <w:w w:val="105"/>
        </w:rPr>
        <w:t> </w:t>
      </w:r>
      <w:r>
        <w:rPr>
          <w:color w:val="231F20"/>
          <w:w w:val="105"/>
        </w:rPr>
        <w:t>clásico,</w:t>
      </w:r>
      <w:r>
        <w:rPr>
          <w:color w:val="231F20"/>
          <w:spacing w:val="-38"/>
          <w:w w:val="105"/>
        </w:rPr>
        <w:t> </w:t>
      </w:r>
      <w:r>
        <w:rPr>
          <w:color w:val="231F20"/>
          <w:w w:val="105"/>
        </w:rPr>
        <w:t>Theodore</w:t>
      </w:r>
      <w:r>
        <w:rPr>
          <w:color w:val="231F20"/>
          <w:spacing w:val="-29"/>
          <w:w w:val="105"/>
        </w:rPr>
        <w:t> </w:t>
      </w:r>
      <w:r>
        <w:rPr>
          <w:color w:val="231F20"/>
          <w:w w:val="105"/>
        </w:rPr>
        <w:t>Schultz</w:t>
      </w:r>
      <w:r>
        <w:rPr>
          <w:color w:val="231F20"/>
          <w:spacing w:val="-29"/>
          <w:w w:val="105"/>
        </w:rPr>
        <w:t> </w:t>
      </w:r>
      <w:r>
        <w:rPr>
          <w:color w:val="231F20"/>
          <w:w w:val="105"/>
        </w:rPr>
        <w:t>(1961),</w:t>
      </w:r>
      <w:r>
        <w:rPr>
          <w:color w:val="231F20"/>
          <w:spacing w:val="-34"/>
          <w:w w:val="105"/>
        </w:rPr>
        <w:t> </w:t>
      </w:r>
      <w:r>
        <w:rPr>
          <w:color w:val="231F20"/>
          <w:w w:val="105"/>
        </w:rPr>
        <w:t>coincide</w:t>
      </w:r>
      <w:r>
        <w:rPr>
          <w:color w:val="231F20"/>
          <w:spacing w:val="-29"/>
          <w:w w:val="105"/>
        </w:rPr>
        <w:t> </w:t>
      </w:r>
      <w:r>
        <w:rPr>
          <w:color w:val="231F20"/>
          <w:w w:val="105"/>
        </w:rPr>
        <w:t>con</w:t>
      </w:r>
      <w:r>
        <w:rPr>
          <w:color w:val="231F20"/>
          <w:spacing w:val="-29"/>
          <w:w w:val="105"/>
        </w:rPr>
        <w:t> </w:t>
      </w:r>
      <w:r>
        <w:rPr>
          <w:color w:val="231F20"/>
          <w:w w:val="105"/>
        </w:rPr>
        <w:t>Mincer</w:t>
      </w:r>
      <w:r>
        <w:rPr>
          <w:color w:val="231F20"/>
          <w:spacing w:val="-29"/>
          <w:w w:val="105"/>
        </w:rPr>
        <w:t> </w:t>
      </w:r>
      <w:r>
        <w:rPr>
          <w:color w:val="231F20"/>
          <w:w w:val="105"/>
        </w:rPr>
        <w:t>y</w:t>
      </w:r>
      <w:r>
        <w:rPr>
          <w:color w:val="231F20"/>
          <w:spacing w:val="-29"/>
          <w:w w:val="105"/>
        </w:rPr>
        <w:t> </w:t>
      </w:r>
      <w:r>
        <w:rPr>
          <w:color w:val="231F20"/>
          <w:w w:val="105"/>
        </w:rPr>
        <w:t>Becker</w:t>
      </w:r>
      <w:r>
        <w:rPr>
          <w:color w:val="231F20"/>
          <w:spacing w:val="-29"/>
          <w:w w:val="105"/>
        </w:rPr>
        <w:t> </w:t>
      </w:r>
      <w:r>
        <w:rPr>
          <w:color w:val="231F20"/>
          <w:w w:val="105"/>
        </w:rPr>
        <w:t>en</w:t>
      </w:r>
      <w:r>
        <w:rPr>
          <w:color w:val="231F20"/>
          <w:spacing w:val="-29"/>
          <w:w w:val="105"/>
        </w:rPr>
        <w:t> </w:t>
      </w:r>
      <w:r>
        <w:rPr>
          <w:color w:val="231F20"/>
          <w:w w:val="105"/>
        </w:rPr>
        <w:t>el sentido</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generación</w:t>
      </w:r>
      <w:r>
        <w:rPr>
          <w:color w:val="231F20"/>
          <w:spacing w:val="-6"/>
          <w:w w:val="105"/>
        </w:rPr>
        <w:t> </w:t>
      </w:r>
      <w:r>
        <w:rPr>
          <w:color w:val="231F20"/>
          <w:w w:val="105"/>
        </w:rPr>
        <w:t>de</w:t>
      </w:r>
      <w:r>
        <w:rPr>
          <w:color w:val="231F20"/>
          <w:spacing w:val="-6"/>
          <w:w w:val="105"/>
        </w:rPr>
        <w:t> </w:t>
      </w:r>
      <w:r>
        <w:rPr>
          <w:color w:val="231F20"/>
          <w:w w:val="105"/>
        </w:rPr>
        <w:t>capital</w:t>
      </w:r>
      <w:r>
        <w:rPr>
          <w:color w:val="231F20"/>
          <w:spacing w:val="-6"/>
          <w:w w:val="105"/>
        </w:rPr>
        <w:t> </w:t>
      </w:r>
      <w:r>
        <w:rPr>
          <w:color w:val="231F20"/>
          <w:w w:val="105"/>
        </w:rPr>
        <w:t>humano</w:t>
      </w:r>
      <w:r>
        <w:rPr>
          <w:color w:val="231F20"/>
          <w:spacing w:val="-6"/>
          <w:w w:val="105"/>
        </w:rPr>
        <w:t> </w:t>
      </w:r>
      <w:r>
        <w:rPr>
          <w:color w:val="231F20"/>
          <w:w w:val="105"/>
        </w:rPr>
        <w:t>está</w:t>
      </w:r>
      <w:r>
        <w:rPr>
          <w:color w:val="231F20"/>
          <w:spacing w:val="-6"/>
          <w:w w:val="105"/>
        </w:rPr>
        <w:t> </w:t>
      </w:r>
      <w:r>
        <w:rPr>
          <w:color w:val="231F20"/>
          <w:w w:val="105"/>
        </w:rPr>
        <w:t>en</w:t>
      </w:r>
      <w:r>
        <w:rPr>
          <w:color w:val="231F20"/>
          <w:spacing w:val="-6"/>
          <w:w w:val="105"/>
        </w:rPr>
        <w:t> </w:t>
      </w:r>
      <w:r>
        <w:rPr>
          <w:color w:val="231F20"/>
          <w:w w:val="105"/>
        </w:rPr>
        <w:t>función</w:t>
      </w:r>
      <w:r>
        <w:rPr>
          <w:color w:val="231F20"/>
          <w:spacing w:val="-6"/>
          <w:w w:val="105"/>
        </w:rPr>
        <w:t> </w:t>
      </w:r>
      <w:r>
        <w:rPr>
          <w:color w:val="231F20"/>
          <w:w w:val="105"/>
        </w:rPr>
        <w:t>directa con</w:t>
      </w:r>
      <w:r>
        <w:rPr>
          <w:color w:val="231F20"/>
          <w:spacing w:val="-25"/>
          <w:w w:val="105"/>
        </w:rPr>
        <w:t> </w:t>
      </w:r>
      <w:r>
        <w:rPr>
          <w:color w:val="231F20"/>
          <w:w w:val="105"/>
        </w:rPr>
        <w:t>la</w:t>
      </w:r>
      <w:r>
        <w:rPr>
          <w:color w:val="231F20"/>
          <w:spacing w:val="-25"/>
          <w:w w:val="105"/>
        </w:rPr>
        <w:t> </w:t>
      </w:r>
      <w:r>
        <w:rPr>
          <w:color w:val="231F20"/>
          <w:w w:val="105"/>
        </w:rPr>
        <w:t>inversión</w:t>
      </w:r>
      <w:r>
        <w:rPr>
          <w:color w:val="231F20"/>
          <w:spacing w:val="-25"/>
          <w:w w:val="105"/>
        </w:rPr>
        <w:t> </w:t>
      </w:r>
      <w:r>
        <w:rPr>
          <w:color w:val="231F20"/>
          <w:w w:val="105"/>
        </w:rPr>
        <w:t>que</w:t>
      </w:r>
      <w:r>
        <w:rPr>
          <w:color w:val="231F20"/>
          <w:spacing w:val="-25"/>
          <w:w w:val="105"/>
        </w:rPr>
        <w:t> </w:t>
      </w:r>
      <w:r>
        <w:rPr>
          <w:color w:val="231F20"/>
          <w:w w:val="105"/>
        </w:rPr>
        <w:t>se</w:t>
      </w:r>
      <w:r>
        <w:rPr>
          <w:color w:val="231F20"/>
          <w:spacing w:val="-25"/>
          <w:w w:val="105"/>
        </w:rPr>
        <w:t> </w:t>
      </w:r>
      <w:r>
        <w:rPr>
          <w:color w:val="231F20"/>
          <w:w w:val="105"/>
        </w:rPr>
        <w:t>haga</w:t>
      </w:r>
      <w:r>
        <w:rPr>
          <w:color w:val="231F20"/>
          <w:spacing w:val="-25"/>
          <w:w w:val="105"/>
        </w:rPr>
        <w:t> </w:t>
      </w:r>
      <w:r>
        <w:rPr>
          <w:color w:val="231F20"/>
          <w:w w:val="105"/>
        </w:rPr>
        <w:t>en</w:t>
      </w:r>
      <w:r>
        <w:rPr>
          <w:color w:val="231F20"/>
          <w:spacing w:val="-25"/>
          <w:w w:val="105"/>
        </w:rPr>
        <w:t> </w:t>
      </w:r>
      <w:r>
        <w:rPr>
          <w:color w:val="231F20"/>
          <w:w w:val="105"/>
        </w:rPr>
        <w:t>educación,</w:t>
      </w:r>
      <w:r>
        <w:rPr>
          <w:color w:val="231F20"/>
          <w:spacing w:val="-30"/>
          <w:w w:val="105"/>
        </w:rPr>
        <w:t> </w:t>
      </w:r>
      <w:r>
        <w:rPr>
          <w:color w:val="231F20"/>
          <w:w w:val="105"/>
        </w:rPr>
        <w:t>salud</w:t>
      </w:r>
      <w:r>
        <w:rPr>
          <w:color w:val="231F20"/>
          <w:spacing w:val="-25"/>
          <w:w w:val="105"/>
        </w:rPr>
        <w:t> </w:t>
      </w:r>
      <w:r>
        <w:rPr>
          <w:color w:val="231F20"/>
          <w:w w:val="105"/>
        </w:rPr>
        <w:t>y</w:t>
      </w:r>
      <w:r>
        <w:rPr>
          <w:color w:val="231F20"/>
          <w:spacing w:val="-25"/>
          <w:w w:val="105"/>
        </w:rPr>
        <w:t> </w:t>
      </w:r>
      <w:r>
        <w:rPr>
          <w:color w:val="231F20"/>
          <w:w w:val="105"/>
        </w:rPr>
        <w:t>migración</w:t>
      </w:r>
      <w:r>
        <w:rPr>
          <w:color w:val="231F20"/>
          <w:spacing w:val="-25"/>
          <w:w w:val="105"/>
        </w:rPr>
        <w:t> </w:t>
      </w:r>
      <w:r>
        <w:rPr>
          <w:color w:val="231F20"/>
          <w:w w:val="105"/>
        </w:rPr>
        <w:t>(tanto</w:t>
      </w:r>
      <w:r>
        <w:rPr>
          <w:color w:val="231F20"/>
          <w:spacing w:val="-25"/>
          <w:w w:val="105"/>
        </w:rPr>
        <w:t> </w:t>
      </w:r>
      <w:r>
        <w:rPr>
          <w:color w:val="231F20"/>
          <w:w w:val="105"/>
        </w:rPr>
        <w:t>inter- na</w:t>
      </w:r>
      <w:r>
        <w:rPr>
          <w:color w:val="231F20"/>
          <w:spacing w:val="-21"/>
          <w:w w:val="105"/>
        </w:rPr>
        <w:t> </w:t>
      </w:r>
      <w:r>
        <w:rPr>
          <w:color w:val="231F20"/>
          <w:w w:val="105"/>
        </w:rPr>
        <w:t>como</w:t>
      </w:r>
      <w:r>
        <w:rPr>
          <w:color w:val="231F20"/>
          <w:spacing w:val="-21"/>
          <w:w w:val="105"/>
        </w:rPr>
        <w:t> </w:t>
      </w:r>
      <w:r>
        <w:rPr>
          <w:color w:val="231F20"/>
          <w:w w:val="105"/>
        </w:rPr>
        <w:t>externa</w:t>
      </w:r>
      <w:r>
        <w:rPr>
          <w:color w:val="231F20"/>
          <w:spacing w:val="-21"/>
          <w:w w:val="105"/>
        </w:rPr>
        <w:t> </w:t>
      </w:r>
      <w:r>
        <w:rPr>
          <w:color w:val="231F20"/>
          <w:w w:val="105"/>
        </w:rPr>
        <w:t>de</w:t>
      </w:r>
      <w:r>
        <w:rPr>
          <w:color w:val="231F20"/>
          <w:spacing w:val="-21"/>
          <w:w w:val="105"/>
        </w:rPr>
        <w:t> </w:t>
      </w:r>
      <w:r>
        <w:rPr>
          <w:color w:val="231F20"/>
          <w:w w:val="105"/>
        </w:rPr>
        <w:t>un</w:t>
      </w:r>
      <w:r>
        <w:rPr>
          <w:color w:val="231F20"/>
          <w:spacing w:val="-21"/>
          <w:w w:val="105"/>
        </w:rPr>
        <w:t> </w:t>
      </w:r>
      <w:r>
        <w:rPr>
          <w:color w:val="231F20"/>
          <w:w w:val="105"/>
        </w:rPr>
        <w:t>país).</w:t>
      </w:r>
    </w:p>
    <w:p>
      <w:pPr>
        <w:pStyle w:val="BodyText"/>
        <w:spacing w:line="259" w:lineRule="auto"/>
        <w:ind w:left="103" w:right="115" w:firstLine="567"/>
        <w:jc w:val="both"/>
      </w:pPr>
      <w:r>
        <w:rPr>
          <w:color w:val="231F20"/>
          <w:w w:val="105"/>
        </w:rPr>
        <w:t>Uno</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postulados</w:t>
      </w:r>
      <w:r>
        <w:rPr>
          <w:color w:val="231F20"/>
          <w:spacing w:val="-27"/>
          <w:w w:val="105"/>
        </w:rPr>
        <w:t> </w:t>
      </w:r>
      <w:r>
        <w:rPr>
          <w:color w:val="231F20"/>
          <w:w w:val="105"/>
        </w:rPr>
        <w:t>propuesto</w:t>
      </w:r>
      <w:r>
        <w:rPr>
          <w:color w:val="231F20"/>
          <w:spacing w:val="-27"/>
          <w:w w:val="105"/>
        </w:rPr>
        <w:t> </w:t>
      </w:r>
      <w:r>
        <w:rPr>
          <w:color w:val="231F20"/>
          <w:w w:val="105"/>
        </w:rPr>
        <w:t>por</w:t>
      </w:r>
      <w:r>
        <w:rPr>
          <w:color w:val="231F20"/>
          <w:spacing w:val="-27"/>
          <w:w w:val="105"/>
        </w:rPr>
        <w:t> </w:t>
      </w:r>
      <w:r>
        <w:rPr>
          <w:color w:val="231F20"/>
          <w:w w:val="105"/>
        </w:rPr>
        <w:t>Schultz</w:t>
      </w:r>
      <w:r>
        <w:rPr>
          <w:color w:val="231F20"/>
          <w:spacing w:val="-27"/>
          <w:w w:val="105"/>
        </w:rPr>
        <w:t> </w:t>
      </w:r>
      <w:r>
        <w:rPr>
          <w:color w:val="231F20"/>
          <w:w w:val="105"/>
        </w:rPr>
        <w:t>(1961)</w:t>
      </w:r>
      <w:r>
        <w:rPr>
          <w:color w:val="231F20"/>
          <w:spacing w:val="-27"/>
          <w:w w:val="105"/>
        </w:rPr>
        <w:t> </w:t>
      </w:r>
      <w:r>
        <w:rPr>
          <w:color w:val="231F20"/>
          <w:w w:val="105"/>
        </w:rPr>
        <w:t>es</w:t>
      </w:r>
      <w:r>
        <w:rPr>
          <w:color w:val="231F20"/>
          <w:spacing w:val="-27"/>
          <w:w w:val="105"/>
        </w:rPr>
        <w:t> </w:t>
      </w:r>
      <w:r>
        <w:rPr>
          <w:color w:val="231F20"/>
          <w:w w:val="105"/>
        </w:rPr>
        <w:t>que</w:t>
      </w:r>
      <w:r>
        <w:rPr>
          <w:color w:val="231F20"/>
          <w:spacing w:val="-27"/>
          <w:w w:val="105"/>
        </w:rPr>
        <w:t> </w:t>
      </w:r>
      <w:r>
        <w:rPr>
          <w:color w:val="231F20"/>
          <w:w w:val="105"/>
        </w:rPr>
        <w:t>el</w:t>
      </w:r>
      <w:r>
        <w:rPr>
          <w:color w:val="231F20"/>
          <w:spacing w:val="-27"/>
          <w:w w:val="105"/>
        </w:rPr>
        <w:t> </w:t>
      </w:r>
      <w:r>
        <w:rPr>
          <w:color w:val="231F20"/>
          <w:w w:val="105"/>
        </w:rPr>
        <w:t>creci- miento</w:t>
      </w:r>
      <w:r>
        <w:rPr>
          <w:color w:val="231F20"/>
          <w:spacing w:val="-13"/>
          <w:w w:val="105"/>
        </w:rPr>
        <w:t> </w:t>
      </w:r>
      <w:r>
        <w:rPr>
          <w:color w:val="231F20"/>
          <w:w w:val="105"/>
        </w:rPr>
        <w:t>económico</w:t>
      </w:r>
      <w:r>
        <w:rPr>
          <w:color w:val="231F20"/>
          <w:spacing w:val="-13"/>
          <w:w w:val="105"/>
        </w:rPr>
        <w:t> </w:t>
      </w:r>
      <w:r>
        <w:rPr>
          <w:color w:val="231F20"/>
          <w:w w:val="105"/>
        </w:rPr>
        <w:t>de</w:t>
      </w:r>
      <w:r>
        <w:rPr>
          <w:color w:val="231F20"/>
          <w:spacing w:val="-13"/>
          <w:w w:val="105"/>
        </w:rPr>
        <w:t> </w:t>
      </w:r>
      <w:r>
        <w:rPr>
          <w:color w:val="231F20"/>
          <w:w w:val="105"/>
        </w:rPr>
        <w:t>cualquier</w:t>
      </w:r>
      <w:r>
        <w:rPr>
          <w:color w:val="231F20"/>
          <w:spacing w:val="-13"/>
          <w:w w:val="105"/>
        </w:rPr>
        <w:t> </w:t>
      </w:r>
      <w:r>
        <w:rPr>
          <w:color w:val="231F20"/>
          <w:w w:val="105"/>
        </w:rPr>
        <w:t>nación</w:t>
      </w:r>
      <w:r>
        <w:rPr>
          <w:color w:val="231F20"/>
          <w:spacing w:val="-13"/>
          <w:w w:val="105"/>
        </w:rPr>
        <w:t> </w:t>
      </w:r>
      <w:r>
        <w:rPr>
          <w:color w:val="231F20"/>
          <w:w w:val="105"/>
        </w:rPr>
        <w:t>se</w:t>
      </w:r>
      <w:r>
        <w:rPr>
          <w:color w:val="231F20"/>
          <w:spacing w:val="-13"/>
          <w:w w:val="105"/>
        </w:rPr>
        <w:t> </w:t>
      </w:r>
      <w:r>
        <w:rPr>
          <w:color w:val="231F20"/>
          <w:w w:val="105"/>
        </w:rPr>
        <w:t>verá</w:t>
      </w:r>
      <w:r>
        <w:rPr>
          <w:color w:val="231F20"/>
          <w:spacing w:val="-13"/>
          <w:w w:val="105"/>
        </w:rPr>
        <w:t> </w:t>
      </w:r>
      <w:r>
        <w:rPr>
          <w:color w:val="231F20"/>
          <w:w w:val="105"/>
        </w:rPr>
        <w:t>incrementado</w:t>
      </w:r>
      <w:r>
        <w:rPr>
          <w:color w:val="231F20"/>
          <w:spacing w:val="-13"/>
          <w:w w:val="105"/>
        </w:rPr>
        <w:t> </w:t>
      </w:r>
      <w:r>
        <w:rPr>
          <w:color w:val="231F20"/>
          <w:w w:val="105"/>
        </w:rPr>
        <w:t>en</w:t>
      </w:r>
      <w:r>
        <w:rPr>
          <w:color w:val="231F20"/>
          <w:spacing w:val="-13"/>
          <w:w w:val="105"/>
        </w:rPr>
        <w:t> </w:t>
      </w:r>
      <w:r>
        <w:rPr>
          <w:color w:val="231F20"/>
          <w:w w:val="105"/>
        </w:rPr>
        <w:t>función de</w:t>
      </w:r>
      <w:r>
        <w:rPr>
          <w:color w:val="231F20"/>
          <w:spacing w:val="-10"/>
          <w:w w:val="105"/>
        </w:rPr>
        <w:t> </w:t>
      </w:r>
      <w:r>
        <w:rPr>
          <w:color w:val="231F20"/>
          <w:w w:val="105"/>
        </w:rPr>
        <w:t>la</w:t>
      </w:r>
      <w:r>
        <w:rPr>
          <w:color w:val="231F20"/>
          <w:spacing w:val="-10"/>
          <w:w w:val="105"/>
        </w:rPr>
        <w:t> </w:t>
      </w:r>
      <w:r>
        <w:rPr>
          <w:color w:val="231F20"/>
          <w:w w:val="105"/>
        </w:rPr>
        <w:t>inversión</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haga</w:t>
      </w:r>
      <w:r>
        <w:rPr>
          <w:color w:val="231F20"/>
          <w:spacing w:val="-10"/>
          <w:w w:val="105"/>
        </w:rPr>
        <w:t> </w:t>
      </w:r>
      <w:r>
        <w:rPr>
          <w:color w:val="231F20"/>
          <w:w w:val="105"/>
        </w:rPr>
        <w:t>en</w:t>
      </w:r>
      <w:r>
        <w:rPr>
          <w:color w:val="231F20"/>
          <w:spacing w:val="-10"/>
          <w:w w:val="105"/>
        </w:rPr>
        <w:t> </w:t>
      </w:r>
      <w:r>
        <w:rPr>
          <w:color w:val="231F20"/>
          <w:w w:val="105"/>
        </w:rPr>
        <w:t>capital</w:t>
      </w:r>
      <w:r>
        <w:rPr>
          <w:color w:val="231F20"/>
          <w:spacing w:val="-10"/>
          <w:w w:val="105"/>
        </w:rPr>
        <w:t> </w:t>
      </w:r>
      <w:r>
        <w:rPr>
          <w:color w:val="231F20"/>
          <w:w w:val="105"/>
        </w:rPr>
        <w:t>humano,</w:t>
      </w:r>
      <w:r>
        <w:rPr>
          <w:color w:val="231F20"/>
          <w:spacing w:val="-16"/>
          <w:w w:val="105"/>
        </w:rPr>
        <w:t> </w:t>
      </w:r>
      <w:r>
        <w:rPr>
          <w:color w:val="231F20"/>
          <w:w w:val="105"/>
        </w:rPr>
        <w:t>mientras</w:t>
      </w:r>
      <w:r>
        <w:rPr>
          <w:color w:val="231F20"/>
          <w:spacing w:val="-10"/>
          <w:w w:val="105"/>
        </w:rPr>
        <w:t> </w:t>
      </w:r>
      <w:r>
        <w:rPr>
          <w:color w:val="231F20"/>
          <w:w w:val="105"/>
        </w:rPr>
        <w:t>que,</w:t>
      </w:r>
      <w:r>
        <w:rPr>
          <w:color w:val="231F20"/>
          <w:spacing w:val="-16"/>
          <w:w w:val="105"/>
        </w:rPr>
        <w:t> </w:t>
      </w:r>
      <w:r>
        <w:rPr>
          <w:color w:val="231F20"/>
          <w:w w:val="105"/>
        </w:rPr>
        <w:t>cuando</w:t>
      </w:r>
      <w:r>
        <w:rPr>
          <w:color w:val="231F20"/>
          <w:spacing w:val="-10"/>
          <w:w w:val="105"/>
        </w:rPr>
        <w:t> </w:t>
      </w:r>
      <w:r>
        <w:rPr>
          <w:color w:val="231F20"/>
          <w:w w:val="105"/>
        </w:rPr>
        <w:t>el capital</w:t>
      </w:r>
      <w:r>
        <w:rPr>
          <w:color w:val="231F20"/>
          <w:spacing w:val="-19"/>
          <w:w w:val="105"/>
        </w:rPr>
        <w:t> </w:t>
      </w:r>
      <w:r>
        <w:rPr>
          <w:color w:val="231F20"/>
          <w:w w:val="105"/>
        </w:rPr>
        <w:t>humano</w:t>
      </w:r>
      <w:r>
        <w:rPr>
          <w:color w:val="231F20"/>
          <w:spacing w:val="-19"/>
          <w:w w:val="105"/>
        </w:rPr>
        <w:t> </w:t>
      </w:r>
      <w:r>
        <w:rPr>
          <w:color w:val="231F20"/>
          <w:w w:val="105"/>
        </w:rPr>
        <w:t>decrece,</w:t>
      </w:r>
      <w:r>
        <w:rPr>
          <w:color w:val="231F20"/>
          <w:spacing w:val="-24"/>
          <w:w w:val="105"/>
        </w:rPr>
        <w:t> </w:t>
      </w:r>
      <w:r>
        <w:rPr>
          <w:color w:val="231F20"/>
          <w:w w:val="105"/>
        </w:rPr>
        <w:t>es</w:t>
      </w:r>
      <w:r>
        <w:rPr>
          <w:color w:val="231F20"/>
          <w:spacing w:val="-19"/>
          <w:w w:val="105"/>
        </w:rPr>
        <w:t> </w:t>
      </w:r>
      <w:r>
        <w:rPr>
          <w:color w:val="231F20"/>
          <w:w w:val="105"/>
        </w:rPr>
        <w:t>decir,</w:t>
      </w:r>
      <w:r>
        <w:rPr>
          <w:color w:val="231F20"/>
          <w:spacing w:val="-24"/>
          <w:w w:val="105"/>
        </w:rPr>
        <w:t> </w:t>
      </w:r>
      <w:r>
        <w:rPr>
          <w:color w:val="231F20"/>
          <w:w w:val="105"/>
        </w:rPr>
        <w:t>es</w:t>
      </w:r>
      <w:r>
        <w:rPr>
          <w:color w:val="231F20"/>
          <w:spacing w:val="-19"/>
          <w:w w:val="105"/>
        </w:rPr>
        <w:t> </w:t>
      </w:r>
      <w:r>
        <w:rPr>
          <w:color w:val="231F20"/>
          <w:w w:val="105"/>
        </w:rPr>
        <w:t>precarizado</w:t>
      </w:r>
      <w:r>
        <w:rPr>
          <w:color w:val="231F20"/>
          <w:spacing w:val="-19"/>
          <w:w w:val="105"/>
        </w:rPr>
        <w:t> </w:t>
      </w:r>
      <w:r>
        <w:rPr>
          <w:color w:val="231F20"/>
          <w:w w:val="105"/>
        </w:rPr>
        <w:t>por</w:t>
      </w:r>
      <w:r>
        <w:rPr>
          <w:color w:val="231F20"/>
          <w:spacing w:val="-19"/>
          <w:w w:val="105"/>
        </w:rPr>
        <w:t> </w:t>
      </w:r>
      <w:r>
        <w:rPr>
          <w:color w:val="231F20"/>
          <w:w w:val="105"/>
        </w:rPr>
        <w:t>efectos</w:t>
      </w:r>
      <w:r>
        <w:rPr>
          <w:color w:val="231F20"/>
          <w:spacing w:val="-19"/>
          <w:w w:val="105"/>
        </w:rPr>
        <w:t> </w:t>
      </w:r>
      <w:r>
        <w:rPr>
          <w:color w:val="231F20"/>
          <w:w w:val="105"/>
        </w:rPr>
        <w:t>del</w:t>
      </w:r>
      <w:r>
        <w:rPr>
          <w:color w:val="231F20"/>
          <w:spacing w:val="-19"/>
          <w:w w:val="105"/>
        </w:rPr>
        <w:t> </w:t>
      </w:r>
      <w:r>
        <w:rPr>
          <w:color w:val="231F20"/>
          <w:w w:val="105"/>
        </w:rPr>
        <w:t>desem- pleo,</w:t>
      </w:r>
      <w:r>
        <w:rPr>
          <w:color w:val="231F20"/>
          <w:spacing w:val="-17"/>
          <w:w w:val="105"/>
        </w:rPr>
        <w:t> </w:t>
      </w:r>
      <w:r>
        <w:rPr>
          <w:color w:val="231F20"/>
          <w:w w:val="105"/>
        </w:rPr>
        <w:t>las</w:t>
      </w:r>
      <w:r>
        <w:rPr>
          <w:color w:val="231F20"/>
          <w:spacing w:val="-10"/>
          <w:w w:val="105"/>
        </w:rPr>
        <w:t> </w:t>
      </w:r>
      <w:r>
        <w:rPr>
          <w:color w:val="231F20"/>
          <w:w w:val="105"/>
        </w:rPr>
        <w:t>habilidades</w:t>
      </w:r>
      <w:r>
        <w:rPr>
          <w:color w:val="231F20"/>
          <w:spacing w:val="-10"/>
          <w:w w:val="105"/>
        </w:rPr>
        <w:t> </w:t>
      </w:r>
      <w:r>
        <w:rPr>
          <w:color w:val="231F20"/>
          <w:w w:val="105"/>
        </w:rPr>
        <w:t>que</w:t>
      </w:r>
      <w:r>
        <w:rPr>
          <w:color w:val="231F20"/>
          <w:spacing w:val="-10"/>
          <w:w w:val="105"/>
        </w:rPr>
        <w:t> </w:t>
      </w:r>
      <w:r>
        <w:rPr>
          <w:color w:val="231F20"/>
          <w:w w:val="105"/>
        </w:rPr>
        <w:t>adquirió</w:t>
      </w:r>
      <w:r>
        <w:rPr>
          <w:color w:val="231F20"/>
          <w:spacing w:val="-10"/>
          <w:w w:val="105"/>
        </w:rPr>
        <w:t> </w:t>
      </w:r>
      <w:r>
        <w:rPr>
          <w:color w:val="231F20"/>
          <w:w w:val="105"/>
        </w:rPr>
        <w:t>el</w:t>
      </w:r>
      <w:r>
        <w:rPr>
          <w:color w:val="231F20"/>
          <w:spacing w:val="-10"/>
          <w:w w:val="105"/>
        </w:rPr>
        <w:t> </w:t>
      </w:r>
      <w:r>
        <w:rPr>
          <w:color w:val="231F20"/>
          <w:w w:val="105"/>
        </w:rPr>
        <w:t>trabajador</w:t>
      </w:r>
      <w:r>
        <w:rPr>
          <w:color w:val="231F20"/>
          <w:spacing w:val="-10"/>
          <w:w w:val="105"/>
        </w:rPr>
        <w:t> </w:t>
      </w:r>
      <w:r>
        <w:rPr>
          <w:color w:val="231F20"/>
          <w:w w:val="105"/>
        </w:rPr>
        <w:t>en</w:t>
      </w:r>
      <w:r>
        <w:rPr>
          <w:color w:val="231F20"/>
          <w:spacing w:val="-10"/>
          <w:w w:val="105"/>
        </w:rPr>
        <w:t> </w:t>
      </w:r>
      <w:r>
        <w:rPr>
          <w:color w:val="231F20"/>
          <w:w w:val="105"/>
        </w:rPr>
        <w:t>un</w:t>
      </w:r>
      <w:r>
        <w:rPr>
          <w:color w:val="231F20"/>
          <w:spacing w:val="-10"/>
          <w:w w:val="105"/>
        </w:rPr>
        <w:t> </w:t>
      </w:r>
      <w:r>
        <w:rPr>
          <w:color w:val="231F20"/>
          <w:w w:val="105"/>
        </w:rPr>
        <w:t>empleo</w:t>
      </w:r>
      <w:r>
        <w:rPr>
          <w:color w:val="231F20"/>
          <w:spacing w:val="-10"/>
          <w:w w:val="105"/>
        </w:rPr>
        <w:t> </w:t>
      </w:r>
      <w:r>
        <w:rPr>
          <w:color w:val="231F20"/>
          <w:w w:val="105"/>
        </w:rPr>
        <w:t>específico ya</w:t>
      </w:r>
      <w:r>
        <w:rPr>
          <w:color w:val="231F20"/>
          <w:spacing w:val="-17"/>
          <w:w w:val="105"/>
        </w:rPr>
        <w:t> </w:t>
      </w:r>
      <w:r>
        <w:rPr>
          <w:color w:val="231F20"/>
          <w:w w:val="105"/>
        </w:rPr>
        <w:t>no</w:t>
      </w:r>
      <w:r>
        <w:rPr>
          <w:color w:val="231F20"/>
          <w:spacing w:val="-17"/>
          <w:w w:val="105"/>
        </w:rPr>
        <w:t> </w:t>
      </w:r>
      <w:r>
        <w:rPr>
          <w:color w:val="231F20"/>
          <w:w w:val="105"/>
        </w:rPr>
        <w:t>son</w:t>
      </w:r>
      <w:r>
        <w:rPr>
          <w:color w:val="231F20"/>
          <w:spacing w:val="-17"/>
          <w:w w:val="105"/>
        </w:rPr>
        <w:t> </w:t>
      </w:r>
      <w:r>
        <w:rPr>
          <w:color w:val="231F20"/>
          <w:w w:val="105"/>
        </w:rPr>
        <w:t>requeridas</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23"/>
          <w:w w:val="105"/>
        </w:rPr>
        <w:t> </w:t>
      </w:r>
      <w:r>
        <w:rPr>
          <w:color w:val="231F20"/>
          <w:w w:val="105"/>
        </w:rPr>
        <w:t>o</w:t>
      </w:r>
      <w:r>
        <w:rPr>
          <w:color w:val="231F20"/>
          <w:spacing w:val="-17"/>
          <w:w w:val="105"/>
        </w:rPr>
        <w:t> </w:t>
      </w:r>
      <w:r>
        <w:rPr>
          <w:color w:val="231F20"/>
          <w:w w:val="105"/>
        </w:rPr>
        <w:t>bien</w:t>
      </w:r>
      <w:r>
        <w:rPr>
          <w:color w:val="231F20"/>
          <w:spacing w:val="-17"/>
          <w:w w:val="105"/>
        </w:rPr>
        <w:t> </w:t>
      </w:r>
      <w:r>
        <w:rPr>
          <w:color w:val="231F20"/>
          <w:w w:val="105"/>
        </w:rPr>
        <w:t>el</w:t>
      </w:r>
      <w:r>
        <w:rPr>
          <w:color w:val="231F20"/>
          <w:spacing w:val="-17"/>
          <w:w w:val="105"/>
        </w:rPr>
        <w:t> </w:t>
      </w:r>
      <w:r>
        <w:rPr>
          <w:color w:val="231F20"/>
          <w:w w:val="105"/>
        </w:rPr>
        <w:t>conocimiento</w:t>
      </w:r>
      <w:r>
        <w:rPr>
          <w:color w:val="231F20"/>
          <w:spacing w:val="-17"/>
          <w:w w:val="105"/>
        </w:rPr>
        <w:t> </w:t>
      </w:r>
      <w:r>
        <w:rPr>
          <w:color w:val="231F20"/>
          <w:w w:val="105"/>
        </w:rPr>
        <w:t>o habilidades</w:t>
      </w:r>
      <w:r>
        <w:rPr>
          <w:color w:val="231F20"/>
          <w:spacing w:val="-17"/>
          <w:w w:val="105"/>
        </w:rPr>
        <w:t> </w:t>
      </w:r>
      <w:r>
        <w:rPr>
          <w:color w:val="231F20"/>
          <w:w w:val="105"/>
        </w:rPr>
        <w:t>del</w:t>
      </w:r>
      <w:r>
        <w:rPr>
          <w:color w:val="231F20"/>
          <w:spacing w:val="-17"/>
          <w:w w:val="105"/>
        </w:rPr>
        <w:t> </w:t>
      </w:r>
      <w:r>
        <w:rPr>
          <w:color w:val="231F20"/>
          <w:w w:val="105"/>
        </w:rPr>
        <w:t>trabajador</w:t>
      </w:r>
      <w:r>
        <w:rPr>
          <w:color w:val="231F20"/>
          <w:spacing w:val="-17"/>
          <w:w w:val="105"/>
        </w:rPr>
        <w:t> </w:t>
      </w:r>
      <w:r>
        <w:rPr>
          <w:color w:val="231F20"/>
          <w:w w:val="105"/>
        </w:rPr>
        <w:t>se</w:t>
      </w:r>
      <w:r>
        <w:rPr>
          <w:color w:val="231F20"/>
          <w:spacing w:val="-17"/>
          <w:w w:val="105"/>
        </w:rPr>
        <w:t> </w:t>
      </w:r>
      <w:r>
        <w:rPr>
          <w:color w:val="231F20"/>
          <w:w w:val="105"/>
        </w:rPr>
        <w:t>vuelven</w:t>
      </w:r>
      <w:r>
        <w:rPr>
          <w:color w:val="231F20"/>
          <w:spacing w:val="-17"/>
          <w:w w:val="105"/>
        </w:rPr>
        <w:t> </w:t>
      </w:r>
      <w:r>
        <w:rPr>
          <w:color w:val="231F20"/>
          <w:w w:val="105"/>
        </w:rPr>
        <w:t>obsoletos;</w:t>
      </w:r>
      <w:r>
        <w:rPr>
          <w:color w:val="231F20"/>
          <w:spacing w:val="-17"/>
          <w:w w:val="105"/>
        </w:rPr>
        <w:t> </w:t>
      </w:r>
      <w:r>
        <w:rPr>
          <w:color w:val="231F20"/>
          <w:w w:val="105"/>
        </w:rPr>
        <w:t>por</w:t>
      </w:r>
      <w:r>
        <w:rPr>
          <w:color w:val="231F20"/>
          <w:spacing w:val="-17"/>
          <w:w w:val="105"/>
        </w:rPr>
        <w:t> </w:t>
      </w:r>
      <w:r>
        <w:rPr>
          <w:color w:val="231F20"/>
          <w:w w:val="105"/>
        </w:rPr>
        <w:t>tanto</w:t>
      </w:r>
      <w:r>
        <w:rPr>
          <w:color w:val="231F20"/>
          <w:spacing w:val="-17"/>
          <w:w w:val="105"/>
        </w:rPr>
        <w:t> </w:t>
      </w:r>
      <w:r>
        <w:rPr>
          <w:color w:val="231F20"/>
          <w:w w:val="105"/>
        </w:rPr>
        <w:t>el</w:t>
      </w:r>
      <w:r>
        <w:rPr>
          <w:color w:val="231F20"/>
          <w:spacing w:val="-17"/>
          <w:w w:val="105"/>
        </w:rPr>
        <w:t> </w:t>
      </w:r>
      <w:r>
        <w:rPr>
          <w:color w:val="231F20"/>
          <w:w w:val="105"/>
        </w:rPr>
        <w:t>crecimiento económico</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país</w:t>
      </w:r>
      <w:r>
        <w:rPr>
          <w:color w:val="231F20"/>
          <w:spacing w:val="-14"/>
          <w:w w:val="105"/>
        </w:rPr>
        <w:t> </w:t>
      </w:r>
      <w:r>
        <w:rPr>
          <w:color w:val="231F20"/>
          <w:w w:val="105"/>
        </w:rPr>
        <w:t>se</w:t>
      </w:r>
      <w:r>
        <w:rPr>
          <w:color w:val="231F20"/>
          <w:spacing w:val="-14"/>
          <w:w w:val="105"/>
        </w:rPr>
        <w:t> </w:t>
      </w:r>
      <w:r>
        <w:rPr>
          <w:color w:val="231F20"/>
          <w:w w:val="105"/>
        </w:rPr>
        <w:t>ve</w:t>
      </w:r>
      <w:r>
        <w:rPr>
          <w:color w:val="231F20"/>
          <w:spacing w:val="-14"/>
          <w:w w:val="105"/>
        </w:rPr>
        <w:t> </w:t>
      </w:r>
      <w:r>
        <w:rPr>
          <w:color w:val="231F20"/>
          <w:w w:val="105"/>
        </w:rPr>
        <w:t>disminuido.</w:t>
      </w:r>
    </w:p>
    <w:p>
      <w:pPr>
        <w:pStyle w:val="BodyText"/>
        <w:rPr>
          <w:sz w:val="20"/>
        </w:rPr>
      </w:pPr>
    </w:p>
    <w:p>
      <w:pPr>
        <w:pStyle w:val="BodyText"/>
        <w:rPr>
          <w:sz w:val="20"/>
        </w:rPr>
      </w:pPr>
    </w:p>
    <w:p>
      <w:pPr>
        <w:pStyle w:val="BodyText"/>
        <w:spacing w:before="5"/>
        <w:rPr>
          <w:sz w:val="28"/>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64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168</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600"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169</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En suma, la generación de capital humano inicia desde la inversión en formación que implica la adquisición de conocimientos y habilidades para</w:t>
      </w:r>
      <w:r>
        <w:rPr>
          <w:color w:val="231F20"/>
          <w:spacing w:val="-5"/>
          <w:w w:val="105"/>
        </w:rPr>
        <w:t> </w:t>
      </w:r>
      <w:r>
        <w:rPr>
          <w:color w:val="231F20"/>
          <w:w w:val="105"/>
        </w:rPr>
        <w:t>el</w:t>
      </w:r>
      <w:r>
        <w:rPr>
          <w:color w:val="231F20"/>
          <w:spacing w:val="-5"/>
          <w:w w:val="105"/>
        </w:rPr>
        <w:t> </w:t>
      </w:r>
      <w:r>
        <w:rPr>
          <w:color w:val="231F20"/>
          <w:w w:val="105"/>
        </w:rPr>
        <w:t>empleo,</w:t>
      </w:r>
      <w:r>
        <w:rPr>
          <w:color w:val="231F20"/>
          <w:spacing w:val="-11"/>
          <w:w w:val="105"/>
        </w:rPr>
        <w:t> </w:t>
      </w:r>
      <w:r>
        <w:rPr>
          <w:color w:val="231F20"/>
          <w:w w:val="105"/>
        </w:rPr>
        <w:t>hasta</w:t>
      </w:r>
      <w:r>
        <w:rPr>
          <w:color w:val="231F20"/>
          <w:spacing w:val="-5"/>
          <w:w w:val="105"/>
        </w:rPr>
        <w:t> </w:t>
      </w:r>
      <w:r>
        <w:rPr>
          <w:color w:val="231F20"/>
          <w:w w:val="105"/>
        </w:rPr>
        <w:t>el</w:t>
      </w:r>
      <w:r>
        <w:rPr>
          <w:color w:val="231F20"/>
          <w:spacing w:val="-5"/>
          <w:w w:val="105"/>
        </w:rPr>
        <w:t> </w:t>
      </w:r>
      <w:r>
        <w:rPr>
          <w:color w:val="231F20"/>
          <w:w w:val="105"/>
        </w:rPr>
        <w:t>cuidado</w:t>
      </w:r>
      <w:r>
        <w:rPr>
          <w:color w:val="231F20"/>
          <w:spacing w:val="-6"/>
          <w:w w:val="105"/>
        </w:rPr>
        <w:t> </w:t>
      </w:r>
      <w:r>
        <w:rPr>
          <w:color w:val="231F20"/>
          <w:w w:val="105"/>
        </w:rPr>
        <w:t>de</w:t>
      </w:r>
      <w:r>
        <w:rPr>
          <w:color w:val="231F20"/>
          <w:spacing w:val="-5"/>
          <w:w w:val="105"/>
        </w:rPr>
        <w:t> </w:t>
      </w:r>
      <w:r>
        <w:rPr>
          <w:color w:val="231F20"/>
          <w:w w:val="105"/>
        </w:rPr>
        <w:t>la</w:t>
      </w:r>
      <w:r>
        <w:rPr>
          <w:color w:val="231F20"/>
          <w:spacing w:val="-6"/>
          <w:w w:val="105"/>
        </w:rPr>
        <w:t> </w:t>
      </w:r>
      <w:r>
        <w:rPr>
          <w:color w:val="231F20"/>
          <w:w w:val="105"/>
        </w:rPr>
        <w:t>salud</w:t>
      </w:r>
      <w:r>
        <w:rPr>
          <w:color w:val="231F20"/>
          <w:spacing w:val="-5"/>
          <w:w w:val="105"/>
        </w:rPr>
        <w:t> </w:t>
      </w:r>
      <w:r>
        <w:rPr>
          <w:color w:val="231F20"/>
          <w:w w:val="105"/>
        </w:rPr>
        <w:t>que</w:t>
      </w:r>
      <w:r>
        <w:rPr>
          <w:color w:val="231F20"/>
          <w:spacing w:val="-6"/>
          <w:w w:val="105"/>
        </w:rPr>
        <w:t> </w:t>
      </w:r>
      <w:r>
        <w:rPr>
          <w:color w:val="231F20"/>
          <w:w w:val="105"/>
        </w:rPr>
        <w:t>pueda</w:t>
      </w:r>
      <w:r>
        <w:rPr>
          <w:color w:val="231F20"/>
          <w:spacing w:val="-5"/>
          <w:w w:val="105"/>
        </w:rPr>
        <w:t> </w:t>
      </w:r>
      <w:r>
        <w:rPr>
          <w:color w:val="231F20"/>
          <w:w w:val="105"/>
        </w:rPr>
        <w:t>tener</w:t>
      </w:r>
      <w:r>
        <w:rPr>
          <w:color w:val="231F20"/>
          <w:spacing w:val="-5"/>
          <w:w w:val="105"/>
        </w:rPr>
        <w:t> </w:t>
      </w:r>
      <w:r>
        <w:rPr>
          <w:color w:val="231F20"/>
          <w:w w:val="105"/>
        </w:rPr>
        <w:t>cada</w:t>
      </w:r>
      <w:r>
        <w:rPr>
          <w:color w:val="231F20"/>
          <w:spacing w:val="-6"/>
          <w:w w:val="105"/>
        </w:rPr>
        <w:t> </w:t>
      </w:r>
      <w:r>
        <w:rPr>
          <w:color w:val="231F20"/>
          <w:w w:val="105"/>
        </w:rPr>
        <w:t>per- sona.</w:t>
      </w:r>
      <w:r>
        <w:rPr>
          <w:color w:val="231F20"/>
          <w:spacing w:val="-25"/>
          <w:w w:val="105"/>
        </w:rPr>
        <w:t> </w:t>
      </w:r>
      <w:r>
        <w:rPr>
          <w:color w:val="231F20"/>
          <w:w w:val="105"/>
        </w:rPr>
        <w:t>El</w:t>
      </w:r>
      <w:r>
        <w:rPr>
          <w:color w:val="231F20"/>
          <w:spacing w:val="-18"/>
          <w:w w:val="105"/>
        </w:rPr>
        <w:t> </w:t>
      </w:r>
      <w:r>
        <w:rPr>
          <w:color w:val="231F20"/>
          <w:w w:val="105"/>
        </w:rPr>
        <w:t>incremento</w:t>
      </w:r>
      <w:r>
        <w:rPr>
          <w:color w:val="231F20"/>
          <w:spacing w:val="-18"/>
          <w:w w:val="105"/>
        </w:rPr>
        <w:t> </w:t>
      </w:r>
      <w:r>
        <w:rPr>
          <w:color w:val="231F20"/>
          <w:w w:val="105"/>
        </w:rPr>
        <w:t>de</w:t>
      </w:r>
      <w:r>
        <w:rPr>
          <w:color w:val="231F20"/>
          <w:spacing w:val="-18"/>
          <w:w w:val="105"/>
        </w:rPr>
        <w:t> </w:t>
      </w:r>
      <w:r>
        <w:rPr>
          <w:color w:val="231F20"/>
          <w:w w:val="105"/>
        </w:rPr>
        <w:t>capital</w:t>
      </w:r>
      <w:r>
        <w:rPr>
          <w:color w:val="231F20"/>
          <w:spacing w:val="-18"/>
          <w:w w:val="105"/>
        </w:rPr>
        <w:t> </w:t>
      </w:r>
      <w:r>
        <w:rPr>
          <w:color w:val="231F20"/>
          <w:w w:val="105"/>
        </w:rPr>
        <w:t>humano</w:t>
      </w:r>
      <w:r>
        <w:rPr>
          <w:color w:val="231F20"/>
          <w:spacing w:val="-18"/>
          <w:w w:val="105"/>
        </w:rPr>
        <w:t> </w:t>
      </w:r>
      <w:r>
        <w:rPr>
          <w:color w:val="231F20"/>
          <w:w w:val="105"/>
        </w:rPr>
        <w:t>debe</w:t>
      </w:r>
      <w:r>
        <w:rPr>
          <w:color w:val="231F20"/>
          <w:spacing w:val="-18"/>
          <w:w w:val="105"/>
        </w:rPr>
        <w:t> </w:t>
      </w:r>
      <w:r>
        <w:rPr>
          <w:color w:val="231F20"/>
          <w:w w:val="105"/>
        </w:rPr>
        <w:t>contribuir</w:t>
      </w:r>
      <w:r>
        <w:rPr>
          <w:color w:val="231F20"/>
          <w:spacing w:val="-18"/>
          <w:w w:val="105"/>
        </w:rPr>
        <w:t> </w:t>
      </w:r>
      <w:r>
        <w:rPr>
          <w:color w:val="231F20"/>
          <w:w w:val="105"/>
        </w:rPr>
        <w:t>a</w:t>
      </w:r>
      <w:r>
        <w:rPr>
          <w:color w:val="231F20"/>
          <w:spacing w:val="-18"/>
          <w:w w:val="105"/>
        </w:rPr>
        <w:t> </w:t>
      </w:r>
      <w:r>
        <w:rPr>
          <w:color w:val="231F20"/>
          <w:w w:val="105"/>
        </w:rPr>
        <w:t>mejorar</w:t>
      </w:r>
      <w:r>
        <w:rPr>
          <w:color w:val="231F20"/>
          <w:spacing w:val="-18"/>
          <w:w w:val="105"/>
        </w:rPr>
        <w:t> </w:t>
      </w:r>
      <w:r>
        <w:rPr>
          <w:color w:val="231F20"/>
          <w:w w:val="105"/>
        </w:rPr>
        <w:t>el</w:t>
      </w:r>
      <w:r>
        <w:rPr>
          <w:color w:val="231F20"/>
          <w:spacing w:val="-18"/>
          <w:w w:val="105"/>
        </w:rPr>
        <w:t> </w:t>
      </w:r>
      <w:r>
        <w:rPr>
          <w:color w:val="231F20"/>
          <w:w w:val="105"/>
        </w:rPr>
        <w:t>bien- estar</w:t>
      </w:r>
      <w:r>
        <w:rPr>
          <w:color w:val="231F20"/>
          <w:spacing w:val="-22"/>
          <w:w w:val="105"/>
        </w:rPr>
        <w:t> </w:t>
      </w:r>
      <w:r>
        <w:rPr>
          <w:color w:val="231F20"/>
          <w:w w:val="105"/>
        </w:rPr>
        <w:t>y</w:t>
      </w:r>
      <w:r>
        <w:rPr>
          <w:color w:val="231F20"/>
          <w:spacing w:val="-22"/>
          <w:w w:val="105"/>
        </w:rPr>
        <w:t> </w:t>
      </w:r>
      <w:r>
        <w:rPr>
          <w:color w:val="231F20"/>
          <w:w w:val="105"/>
        </w:rPr>
        <w:t>traducirse</w:t>
      </w:r>
      <w:r>
        <w:rPr>
          <w:color w:val="231F20"/>
          <w:spacing w:val="-22"/>
          <w:w w:val="105"/>
        </w:rPr>
        <w:t> </w:t>
      </w:r>
      <w:r>
        <w:rPr>
          <w:color w:val="231F20"/>
          <w:w w:val="105"/>
        </w:rPr>
        <w:t>en</w:t>
      </w:r>
      <w:r>
        <w:rPr>
          <w:color w:val="231F20"/>
          <w:spacing w:val="-22"/>
          <w:w w:val="105"/>
        </w:rPr>
        <w:t> </w:t>
      </w:r>
      <w:r>
        <w:rPr>
          <w:color w:val="231F20"/>
          <w:w w:val="105"/>
        </w:rPr>
        <w:t>mayores</w:t>
      </w:r>
      <w:r>
        <w:rPr>
          <w:color w:val="231F20"/>
          <w:spacing w:val="-22"/>
          <w:w w:val="105"/>
        </w:rPr>
        <w:t> </w:t>
      </w:r>
      <w:r>
        <w:rPr>
          <w:color w:val="231F20"/>
          <w:w w:val="105"/>
        </w:rPr>
        <w:t>ingresos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largo</w:t>
      </w:r>
      <w:r>
        <w:rPr>
          <w:color w:val="231F20"/>
          <w:spacing w:val="-22"/>
          <w:w w:val="105"/>
        </w:rPr>
        <w:t> </w:t>
      </w:r>
      <w:r>
        <w:rPr>
          <w:color w:val="231F20"/>
          <w:w w:val="105"/>
        </w:rPr>
        <w:t>plazo.</w:t>
      </w:r>
    </w:p>
    <w:p>
      <w:pPr>
        <w:pStyle w:val="BodyText"/>
        <w:spacing w:line="259" w:lineRule="auto"/>
        <w:ind w:left="117" w:right="117" w:firstLine="567"/>
        <w:jc w:val="right"/>
      </w:pPr>
      <w:r>
        <w:rPr>
          <w:color w:val="231F20"/>
          <w:w w:val="105"/>
        </w:rPr>
        <w:t>La</w:t>
      </w:r>
      <w:r>
        <w:rPr>
          <w:color w:val="231F20"/>
          <w:spacing w:val="-21"/>
          <w:w w:val="105"/>
        </w:rPr>
        <w:t> </w:t>
      </w:r>
      <w:r>
        <w:rPr>
          <w:color w:val="231F20"/>
          <w:w w:val="105"/>
        </w:rPr>
        <w:t>teoría</w:t>
      </w:r>
      <w:r>
        <w:rPr>
          <w:color w:val="231F20"/>
          <w:spacing w:val="-21"/>
          <w:w w:val="105"/>
        </w:rPr>
        <w:t> </w:t>
      </w:r>
      <w:r>
        <w:rPr>
          <w:color w:val="231F20"/>
          <w:w w:val="105"/>
        </w:rPr>
        <w:t>neoclásica,</w:t>
      </w:r>
      <w:r>
        <w:rPr>
          <w:color w:val="231F20"/>
          <w:spacing w:val="-25"/>
          <w:w w:val="105"/>
        </w:rPr>
        <w:t> </w:t>
      </w:r>
      <w:r>
        <w:rPr>
          <w:color w:val="231F20"/>
          <w:w w:val="105"/>
        </w:rPr>
        <w:t>fuertemente</w:t>
      </w:r>
      <w:r>
        <w:rPr>
          <w:color w:val="231F20"/>
          <w:spacing w:val="-21"/>
          <w:w w:val="105"/>
        </w:rPr>
        <w:t> </w:t>
      </w:r>
      <w:r>
        <w:rPr>
          <w:color w:val="231F20"/>
          <w:w w:val="105"/>
        </w:rPr>
        <w:t>atacada</w:t>
      </w:r>
      <w:r>
        <w:rPr>
          <w:color w:val="231F20"/>
          <w:spacing w:val="-21"/>
          <w:w w:val="105"/>
        </w:rPr>
        <w:t> </w:t>
      </w:r>
      <w:r>
        <w:rPr>
          <w:color w:val="231F20"/>
          <w:w w:val="105"/>
        </w:rPr>
        <w:t>y</w:t>
      </w:r>
      <w:r>
        <w:rPr>
          <w:color w:val="231F20"/>
          <w:spacing w:val="-21"/>
          <w:w w:val="105"/>
        </w:rPr>
        <w:t> </w:t>
      </w:r>
      <w:r>
        <w:rPr>
          <w:color w:val="231F20"/>
          <w:w w:val="105"/>
        </w:rPr>
        <w:t>criticada</w:t>
      </w:r>
      <w:r>
        <w:rPr>
          <w:color w:val="231F20"/>
          <w:w w:val="105"/>
          <w:position w:val="7"/>
          <w:sz w:val="12"/>
        </w:rPr>
        <w:t>1</w:t>
      </w:r>
      <w:r>
        <w:rPr>
          <w:color w:val="231F20"/>
          <w:spacing w:val="6"/>
          <w:w w:val="105"/>
          <w:position w:val="7"/>
          <w:sz w:val="12"/>
        </w:rPr>
        <w:t> </w:t>
      </w:r>
      <w:r>
        <w:rPr>
          <w:color w:val="231F20"/>
          <w:w w:val="105"/>
        </w:rPr>
        <w:t>por</w:t>
      </w:r>
      <w:r>
        <w:rPr>
          <w:color w:val="231F20"/>
          <w:spacing w:val="-21"/>
          <w:w w:val="105"/>
        </w:rPr>
        <w:t> </w:t>
      </w:r>
      <w:r>
        <w:rPr>
          <w:color w:val="231F20"/>
          <w:spacing w:val="-3"/>
          <w:w w:val="105"/>
        </w:rPr>
        <w:t>tratar</w:t>
      </w:r>
      <w:r>
        <w:rPr>
          <w:color w:val="231F20"/>
          <w:spacing w:val="-21"/>
          <w:w w:val="105"/>
        </w:rPr>
        <w:t> </w:t>
      </w:r>
      <w:r>
        <w:rPr>
          <w:color w:val="231F20"/>
          <w:w w:val="105"/>
        </w:rPr>
        <w:t>de</w:t>
      </w:r>
      <w:r>
        <w:rPr>
          <w:color w:val="231F20"/>
          <w:spacing w:val="-2"/>
          <w:w w:val="108"/>
        </w:rPr>
        <w:t> </w:t>
      </w:r>
      <w:r>
        <w:rPr>
          <w:color w:val="231F20"/>
          <w:w w:val="105"/>
        </w:rPr>
        <w:t>explicar</w:t>
      </w:r>
      <w:r>
        <w:rPr>
          <w:color w:val="231F20"/>
          <w:spacing w:val="-8"/>
          <w:w w:val="105"/>
        </w:rPr>
        <w:t> </w:t>
      </w:r>
      <w:r>
        <w:rPr>
          <w:color w:val="231F20"/>
          <w:w w:val="105"/>
        </w:rPr>
        <w:t>al</w:t>
      </w:r>
      <w:r>
        <w:rPr>
          <w:color w:val="231F20"/>
          <w:spacing w:val="-8"/>
          <w:w w:val="105"/>
        </w:rPr>
        <w:t> </w:t>
      </w:r>
      <w:r>
        <w:rPr>
          <w:color w:val="231F20"/>
          <w:spacing w:val="-3"/>
          <w:w w:val="105"/>
        </w:rPr>
        <w:t>mercado</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como</w:t>
      </w:r>
      <w:r>
        <w:rPr>
          <w:color w:val="231F20"/>
          <w:spacing w:val="-8"/>
          <w:w w:val="105"/>
        </w:rPr>
        <w:t> </w:t>
      </w:r>
      <w:r>
        <w:rPr>
          <w:color w:val="231F20"/>
          <w:w w:val="105"/>
        </w:rPr>
        <w:t>cualquier</w:t>
      </w:r>
      <w:r>
        <w:rPr>
          <w:color w:val="231F20"/>
          <w:spacing w:val="-8"/>
          <w:w w:val="105"/>
        </w:rPr>
        <w:t> </w:t>
      </w:r>
      <w:r>
        <w:rPr>
          <w:color w:val="231F20"/>
          <w:spacing w:val="-3"/>
          <w:w w:val="105"/>
        </w:rPr>
        <w:t>otro</w:t>
      </w:r>
      <w:r>
        <w:rPr>
          <w:color w:val="231F20"/>
          <w:spacing w:val="-8"/>
          <w:w w:val="105"/>
        </w:rPr>
        <w:t> </w:t>
      </w:r>
      <w:r>
        <w:rPr>
          <w:color w:val="231F20"/>
          <w:spacing w:val="-3"/>
          <w:w w:val="105"/>
        </w:rPr>
        <w:t>mercado</w:t>
      </w:r>
      <w:r>
        <w:rPr>
          <w:color w:val="231F20"/>
          <w:spacing w:val="-8"/>
          <w:w w:val="105"/>
        </w:rPr>
        <w:t> </w:t>
      </w:r>
      <w:r>
        <w:rPr>
          <w:color w:val="231F20"/>
          <w:w w:val="105"/>
        </w:rPr>
        <w:t>de</w:t>
      </w:r>
      <w:r>
        <w:rPr>
          <w:color w:val="231F20"/>
          <w:spacing w:val="-8"/>
          <w:w w:val="105"/>
        </w:rPr>
        <w:t> </w:t>
      </w:r>
      <w:r>
        <w:rPr>
          <w:color w:val="231F20"/>
          <w:spacing w:val="-3"/>
          <w:w w:val="105"/>
        </w:rPr>
        <w:t>bienes,-</w:t>
      </w:r>
      <w:r>
        <w:rPr>
          <w:color w:val="231F20"/>
          <w:w w:val="96"/>
        </w:rPr>
        <w:t> </w:t>
      </w:r>
      <w:r>
        <w:rPr>
          <w:color w:val="231F20"/>
          <w:w w:val="105"/>
        </w:rPr>
        <w:t>destaca</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spacing w:val="-3"/>
          <w:w w:val="105"/>
        </w:rPr>
        <w:t>mercado</w:t>
      </w:r>
      <w:r>
        <w:rPr>
          <w:color w:val="231F20"/>
          <w:spacing w:val="-25"/>
          <w:w w:val="105"/>
        </w:rPr>
        <w:t> </w:t>
      </w:r>
      <w:r>
        <w:rPr>
          <w:color w:val="231F20"/>
          <w:w w:val="105"/>
        </w:rPr>
        <w:t>de</w:t>
      </w:r>
      <w:r>
        <w:rPr>
          <w:color w:val="231F20"/>
          <w:spacing w:val="-25"/>
          <w:w w:val="105"/>
        </w:rPr>
        <w:t> </w:t>
      </w:r>
      <w:r>
        <w:rPr>
          <w:color w:val="231F20"/>
          <w:w w:val="105"/>
        </w:rPr>
        <w:t>trabajo</w:t>
      </w:r>
      <w:r>
        <w:rPr>
          <w:color w:val="231F20"/>
          <w:spacing w:val="-25"/>
          <w:w w:val="105"/>
        </w:rPr>
        <w:t> </w:t>
      </w:r>
      <w:r>
        <w:rPr>
          <w:color w:val="231F20"/>
          <w:w w:val="105"/>
        </w:rPr>
        <w:t>no</w:t>
      </w:r>
      <w:r>
        <w:rPr>
          <w:color w:val="231F20"/>
          <w:spacing w:val="-25"/>
          <w:w w:val="105"/>
        </w:rPr>
        <w:t> </w:t>
      </w:r>
      <w:r>
        <w:rPr>
          <w:color w:val="231F20"/>
          <w:spacing w:val="-2"/>
          <w:w w:val="105"/>
        </w:rPr>
        <w:t>considera</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participantes</w:t>
      </w:r>
      <w:r>
        <w:rPr>
          <w:color w:val="231F20"/>
          <w:spacing w:val="-25"/>
          <w:w w:val="105"/>
        </w:rPr>
        <w:t> </w:t>
      </w:r>
      <w:r>
        <w:rPr>
          <w:color w:val="231F20"/>
          <w:w w:val="105"/>
        </w:rPr>
        <w:t>(in-</w:t>
      </w:r>
      <w:r>
        <w:rPr>
          <w:color w:val="231F20"/>
          <w:w w:val="96"/>
        </w:rPr>
        <w:t> </w:t>
      </w:r>
      <w:r>
        <w:rPr>
          <w:color w:val="231F20"/>
          <w:w w:val="105"/>
        </w:rPr>
        <w:t>ternos</w:t>
      </w:r>
      <w:r>
        <w:rPr>
          <w:color w:val="231F20"/>
          <w:spacing w:val="-29"/>
          <w:w w:val="105"/>
        </w:rPr>
        <w:t> </w:t>
      </w:r>
      <w:r>
        <w:rPr>
          <w:color w:val="231F20"/>
          <w:w w:val="105"/>
        </w:rPr>
        <w:t>y</w:t>
      </w:r>
      <w:r>
        <w:rPr>
          <w:color w:val="231F20"/>
          <w:spacing w:val="-29"/>
          <w:w w:val="105"/>
        </w:rPr>
        <w:t> </w:t>
      </w:r>
      <w:r>
        <w:rPr>
          <w:color w:val="231F20"/>
          <w:w w:val="105"/>
        </w:rPr>
        <w:t>externos)</w:t>
      </w:r>
      <w:r>
        <w:rPr>
          <w:color w:val="231F20"/>
          <w:spacing w:val="-29"/>
          <w:w w:val="105"/>
        </w:rPr>
        <w:t> </w:t>
      </w:r>
      <w:r>
        <w:rPr>
          <w:color w:val="231F20"/>
          <w:w w:val="105"/>
        </w:rPr>
        <w:t>tengan</w:t>
      </w:r>
      <w:r>
        <w:rPr>
          <w:color w:val="231F20"/>
          <w:spacing w:val="-29"/>
          <w:w w:val="105"/>
        </w:rPr>
        <w:t> </w:t>
      </w:r>
      <w:r>
        <w:rPr>
          <w:color w:val="231F20"/>
          <w:w w:val="105"/>
        </w:rPr>
        <w:t>idea</w:t>
      </w:r>
      <w:r>
        <w:rPr>
          <w:color w:val="231F20"/>
          <w:spacing w:val="-29"/>
          <w:w w:val="105"/>
        </w:rPr>
        <w:t> </w:t>
      </w:r>
      <w:r>
        <w:rPr>
          <w:color w:val="231F20"/>
          <w:w w:val="105"/>
        </w:rPr>
        <w:t>clara</w:t>
      </w:r>
      <w:r>
        <w:rPr>
          <w:color w:val="231F20"/>
          <w:spacing w:val="-29"/>
          <w:w w:val="105"/>
        </w:rPr>
        <w:t> </w:t>
      </w:r>
      <w:r>
        <w:rPr>
          <w:color w:val="231F20"/>
          <w:w w:val="105"/>
        </w:rPr>
        <w:t>de</w:t>
      </w:r>
      <w:r>
        <w:rPr>
          <w:color w:val="231F20"/>
          <w:spacing w:val="-29"/>
          <w:w w:val="105"/>
        </w:rPr>
        <w:t> </w:t>
      </w:r>
      <w:r>
        <w:rPr>
          <w:color w:val="231F20"/>
          <w:w w:val="105"/>
        </w:rPr>
        <w:t>lo</w:t>
      </w:r>
      <w:r>
        <w:rPr>
          <w:color w:val="231F20"/>
          <w:spacing w:val="-29"/>
          <w:w w:val="105"/>
        </w:rPr>
        <w:t> </w:t>
      </w:r>
      <w:r>
        <w:rPr>
          <w:color w:val="231F20"/>
          <w:w w:val="105"/>
        </w:rPr>
        <w:t>que</w:t>
      </w:r>
      <w:r>
        <w:rPr>
          <w:color w:val="231F20"/>
          <w:spacing w:val="-29"/>
          <w:w w:val="105"/>
        </w:rPr>
        <w:t> </w:t>
      </w:r>
      <w:r>
        <w:rPr>
          <w:color w:val="231F20"/>
          <w:w w:val="105"/>
        </w:rPr>
        <w:t>es</w:t>
      </w:r>
      <w:r>
        <w:rPr>
          <w:color w:val="231F20"/>
          <w:spacing w:val="-29"/>
          <w:w w:val="105"/>
        </w:rPr>
        <w:t> </w:t>
      </w:r>
      <w:r>
        <w:rPr>
          <w:color w:val="231F20"/>
          <w:w w:val="105"/>
        </w:rPr>
        <w:t>justo</w:t>
      </w:r>
      <w:r>
        <w:rPr>
          <w:color w:val="231F20"/>
          <w:spacing w:val="-29"/>
          <w:w w:val="105"/>
        </w:rPr>
        <w:t> </w:t>
      </w:r>
      <w:r>
        <w:rPr>
          <w:color w:val="231F20"/>
          <w:w w:val="105"/>
        </w:rPr>
        <w:t>e</w:t>
      </w:r>
      <w:r>
        <w:rPr>
          <w:color w:val="231F20"/>
          <w:spacing w:val="-29"/>
          <w:w w:val="105"/>
        </w:rPr>
        <w:t> </w:t>
      </w:r>
      <w:r>
        <w:rPr>
          <w:color w:val="231F20"/>
          <w:w w:val="105"/>
        </w:rPr>
        <w:t>injusto</w:t>
      </w:r>
      <w:r>
        <w:rPr>
          <w:color w:val="231F20"/>
          <w:spacing w:val="-29"/>
          <w:w w:val="105"/>
        </w:rPr>
        <w:t> </w:t>
      </w:r>
      <w:r>
        <w:rPr>
          <w:color w:val="231F20"/>
          <w:spacing w:val="-3"/>
          <w:w w:val="105"/>
        </w:rPr>
        <w:t>(restriccio-</w:t>
      </w:r>
      <w:r>
        <w:rPr>
          <w:color w:val="231F20"/>
          <w:w w:val="96"/>
        </w:rPr>
        <w:t> </w:t>
      </w:r>
      <w:r>
        <w:rPr>
          <w:color w:val="231F20"/>
          <w:w w:val="105"/>
        </w:rPr>
        <w:t>nes</w:t>
      </w:r>
      <w:r>
        <w:rPr>
          <w:color w:val="231F20"/>
          <w:spacing w:val="-38"/>
          <w:w w:val="105"/>
        </w:rPr>
        <w:t> </w:t>
      </w:r>
      <w:r>
        <w:rPr>
          <w:color w:val="231F20"/>
          <w:w w:val="105"/>
        </w:rPr>
        <w:t>de</w:t>
      </w:r>
      <w:r>
        <w:rPr>
          <w:color w:val="231F20"/>
          <w:spacing w:val="-38"/>
          <w:w w:val="105"/>
        </w:rPr>
        <w:t> </w:t>
      </w:r>
      <w:r>
        <w:rPr>
          <w:color w:val="231F20"/>
          <w:w w:val="105"/>
        </w:rPr>
        <w:t>las</w:t>
      </w:r>
      <w:r>
        <w:rPr>
          <w:color w:val="231F20"/>
          <w:spacing w:val="-38"/>
          <w:w w:val="105"/>
        </w:rPr>
        <w:t> </w:t>
      </w:r>
      <w:r>
        <w:rPr>
          <w:color w:val="231F20"/>
          <w:w w:val="105"/>
        </w:rPr>
        <w:t>normas</w:t>
      </w:r>
      <w:r>
        <w:rPr>
          <w:color w:val="231F20"/>
          <w:spacing w:val="-38"/>
          <w:w w:val="105"/>
        </w:rPr>
        <w:t> </w:t>
      </w:r>
      <w:r>
        <w:rPr>
          <w:color w:val="231F20"/>
          <w:w w:val="105"/>
        </w:rPr>
        <w:t>sociales)</w:t>
      </w:r>
      <w:r>
        <w:rPr>
          <w:color w:val="231F20"/>
          <w:spacing w:val="-38"/>
          <w:w w:val="105"/>
        </w:rPr>
        <w:t> </w:t>
      </w:r>
      <w:r>
        <w:rPr>
          <w:color w:val="231F20"/>
          <w:spacing w:val="-3"/>
          <w:w w:val="105"/>
        </w:rPr>
        <w:t>(Solow,</w:t>
      </w:r>
      <w:r>
        <w:rPr>
          <w:color w:val="231F20"/>
          <w:spacing w:val="-42"/>
          <w:w w:val="105"/>
        </w:rPr>
        <w:t> </w:t>
      </w:r>
      <w:r>
        <w:rPr>
          <w:color w:val="231F20"/>
          <w:w w:val="105"/>
        </w:rPr>
        <w:t>1992),</w:t>
      </w:r>
      <w:r>
        <w:rPr>
          <w:color w:val="231F20"/>
          <w:spacing w:val="-42"/>
          <w:w w:val="105"/>
        </w:rPr>
        <w:t> </w:t>
      </w:r>
      <w:r>
        <w:rPr>
          <w:color w:val="231F20"/>
          <w:w w:val="105"/>
        </w:rPr>
        <w:t>convirtiendo</w:t>
      </w:r>
      <w:r>
        <w:rPr>
          <w:color w:val="231F20"/>
          <w:spacing w:val="-38"/>
          <w:w w:val="105"/>
        </w:rPr>
        <w:t> </w:t>
      </w:r>
      <w:r>
        <w:rPr>
          <w:color w:val="231F20"/>
          <w:w w:val="105"/>
        </w:rPr>
        <w:t>a</w:t>
      </w:r>
      <w:r>
        <w:rPr>
          <w:color w:val="231F20"/>
          <w:spacing w:val="-38"/>
          <w:w w:val="105"/>
        </w:rPr>
        <w:t> </w:t>
      </w:r>
      <w:r>
        <w:rPr>
          <w:color w:val="231F20"/>
          <w:w w:val="105"/>
        </w:rPr>
        <w:t>los</w:t>
      </w:r>
      <w:r>
        <w:rPr>
          <w:color w:val="231F20"/>
          <w:spacing w:val="-38"/>
          <w:w w:val="105"/>
        </w:rPr>
        <w:t> </w:t>
      </w:r>
      <w:r>
        <w:rPr>
          <w:color w:val="231F20"/>
          <w:spacing w:val="-3"/>
          <w:w w:val="105"/>
        </w:rPr>
        <w:t>participantes</w:t>
      </w:r>
      <w:r>
        <w:rPr>
          <w:color w:val="231F20"/>
          <w:spacing w:val="-2"/>
          <w:w w:val="104"/>
        </w:rPr>
        <w:t> </w:t>
      </w:r>
      <w:r>
        <w:rPr>
          <w:color w:val="231F20"/>
          <w:w w:val="105"/>
        </w:rPr>
        <w:t>en</w:t>
      </w:r>
      <w:r>
        <w:rPr>
          <w:color w:val="231F20"/>
          <w:spacing w:val="-21"/>
          <w:w w:val="105"/>
        </w:rPr>
        <w:t> </w:t>
      </w:r>
      <w:r>
        <w:rPr>
          <w:color w:val="231F20"/>
          <w:w w:val="105"/>
        </w:rPr>
        <w:t>instituciones</w:t>
      </w:r>
      <w:r>
        <w:rPr>
          <w:color w:val="231F20"/>
          <w:spacing w:val="-21"/>
          <w:w w:val="105"/>
        </w:rPr>
        <w:t> </w:t>
      </w:r>
      <w:r>
        <w:rPr>
          <w:color w:val="231F20"/>
          <w:w w:val="105"/>
        </w:rPr>
        <w:t>sociales</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rigen,</w:t>
      </w:r>
      <w:r>
        <w:rPr>
          <w:color w:val="231F20"/>
          <w:spacing w:val="-26"/>
          <w:w w:val="105"/>
        </w:rPr>
        <w:t> </w:t>
      </w:r>
      <w:r>
        <w:rPr>
          <w:color w:val="231F20"/>
          <w:spacing w:val="-3"/>
          <w:w w:val="105"/>
        </w:rPr>
        <w:t>regulan</w:t>
      </w:r>
      <w:r>
        <w:rPr>
          <w:color w:val="231F20"/>
          <w:spacing w:val="-21"/>
          <w:w w:val="105"/>
        </w:rPr>
        <w:t> </w:t>
      </w:r>
      <w:r>
        <w:rPr>
          <w:color w:val="231F20"/>
          <w:w w:val="105"/>
        </w:rPr>
        <w:t>y</w:t>
      </w:r>
      <w:r>
        <w:rPr>
          <w:color w:val="231F20"/>
          <w:spacing w:val="-21"/>
          <w:w w:val="105"/>
        </w:rPr>
        <w:t> </w:t>
      </w:r>
      <w:r>
        <w:rPr>
          <w:color w:val="231F20"/>
          <w:spacing w:val="-3"/>
          <w:w w:val="105"/>
        </w:rPr>
        <w:t>presentan</w:t>
      </w:r>
      <w:r>
        <w:rPr>
          <w:color w:val="231F20"/>
          <w:spacing w:val="-21"/>
          <w:w w:val="105"/>
        </w:rPr>
        <w:t> </w:t>
      </w:r>
      <w:r>
        <w:rPr>
          <w:color w:val="231F20"/>
          <w:w w:val="105"/>
        </w:rPr>
        <w:t>de</w:t>
      </w:r>
      <w:r>
        <w:rPr>
          <w:color w:val="231F20"/>
          <w:spacing w:val="-21"/>
          <w:w w:val="105"/>
        </w:rPr>
        <w:t> </w:t>
      </w:r>
      <w:r>
        <w:rPr>
          <w:color w:val="231F20"/>
          <w:w w:val="105"/>
        </w:rPr>
        <w:t>forma</w:t>
      </w:r>
      <w:r>
        <w:rPr>
          <w:color w:val="231F20"/>
          <w:spacing w:val="-21"/>
          <w:w w:val="105"/>
        </w:rPr>
        <w:t> </w:t>
      </w:r>
      <w:r>
        <w:rPr>
          <w:color w:val="231F20"/>
          <w:w w:val="105"/>
        </w:rPr>
        <w:t>dife-</w:t>
      </w:r>
      <w:r>
        <w:rPr>
          <w:color w:val="231F20"/>
          <w:w w:val="96"/>
        </w:rPr>
        <w:t> </w:t>
      </w:r>
      <w:r>
        <w:rPr>
          <w:color w:val="231F20"/>
          <w:spacing w:val="-3"/>
          <w:w w:val="105"/>
        </w:rPr>
        <w:t>renciada,</w:t>
      </w:r>
      <w:r>
        <w:rPr>
          <w:color w:val="231F20"/>
          <w:spacing w:val="-32"/>
          <w:w w:val="105"/>
        </w:rPr>
        <w:t> </w:t>
      </w:r>
      <w:r>
        <w:rPr>
          <w:color w:val="231F20"/>
          <w:w w:val="105"/>
        </w:rPr>
        <w:t>lo</w:t>
      </w:r>
      <w:r>
        <w:rPr>
          <w:color w:val="231F20"/>
          <w:spacing w:val="-27"/>
          <w:w w:val="105"/>
        </w:rPr>
        <w:t> </w:t>
      </w:r>
      <w:r>
        <w:rPr>
          <w:color w:val="231F20"/>
          <w:w w:val="105"/>
        </w:rPr>
        <w:t>cual</w:t>
      </w:r>
      <w:r>
        <w:rPr>
          <w:color w:val="231F20"/>
          <w:spacing w:val="-27"/>
          <w:w w:val="105"/>
        </w:rPr>
        <w:t> </w:t>
      </w:r>
      <w:r>
        <w:rPr>
          <w:color w:val="231F20"/>
          <w:w w:val="105"/>
        </w:rPr>
        <w:t>no</w:t>
      </w:r>
      <w:r>
        <w:rPr>
          <w:color w:val="231F20"/>
          <w:spacing w:val="-27"/>
          <w:w w:val="105"/>
        </w:rPr>
        <w:t> </w:t>
      </w:r>
      <w:r>
        <w:rPr>
          <w:color w:val="231F20"/>
          <w:w w:val="105"/>
        </w:rPr>
        <w:t>debe</w:t>
      </w:r>
      <w:r>
        <w:rPr>
          <w:color w:val="231F20"/>
          <w:spacing w:val="-27"/>
          <w:w w:val="105"/>
        </w:rPr>
        <w:t> </w:t>
      </w:r>
      <w:r>
        <w:rPr>
          <w:color w:val="231F20"/>
          <w:w w:val="105"/>
        </w:rPr>
        <w:t>ser</w:t>
      </w:r>
      <w:r>
        <w:rPr>
          <w:color w:val="231F20"/>
          <w:spacing w:val="-27"/>
          <w:w w:val="105"/>
        </w:rPr>
        <w:t> </w:t>
      </w:r>
      <w:r>
        <w:rPr>
          <w:color w:val="231F20"/>
          <w:w w:val="105"/>
        </w:rPr>
        <w:t>analizado</w:t>
      </w:r>
      <w:r>
        <w:rPr>
          <w:color w:val="231F20"/>
          <w:spacing w:val="-27"/>
          <w:w w:val="105"/>
        </w:rPr>
        <w:t> </w:t>
      </w:r>
      <w:r>
        <w:rPr>
          <w:color w:val="231F20"/>
          <w:w w:val="105"/>
        </w:rPr>
        <w:t>como</w:t>
      </w:r>
      <w:r>
        <w:rPr>
          <w:color w:val="231F20"/>
          <w:spacing w:val="-27"/>
          <w:w w:val="105"/>
        </w:rPr>
        <w:t> </w:t>
      </w:r>
      <w:r>
        <w:rPr>
          <w:color w:val="231F20"/>
          <w:w w:val="105"/>
        </w:rPr>
        <w:t>si</w:t>
      </w:r>
      <w:r>
        <w:rPr>
          <w:color w:val="231F20"/>
          <w:spacing w:val="-27"/>
          <w:w w:val="105"/>
        </w:rPr>
        <w:t> </w:t>
      </w:r>
      <w:r>
        <w:rPr>
          <w:color w:val="231F20"/>
          <w:w w:val="105"/>
        </w:rPr>
        <w:t>fueran</w:t>
      </w:r>
      <w:r>
        <w:rPr>
          <w:color w:val="231F20"/>
          <w:spacing w:val="-27"/>
          <w:w w:val="105"/>
        </w:rPr>
        <w:t> </w:t>
      </w:r>
      <w:r>
        <w:rPr>
          <w:color w:val="231F20"/>
          <w:w w:val="105"/>
        </w:rPr>
        <w:t>bienes</w:t>
      </w:r>
      <w:r>
        <w:rPr>
          <w:color w:val="231F20"/>
          <w:spacing w:val="-27"/>
          <w:w w:val="105"/>
        </w:rPr>
        <w:t> </w:t>
      </w:r>
      <w:r>
        <w:rPr>
          <w:color w:val="231F20"/>
          <w:w w:val="105"/>
        </w:rPr>
        <w:t>o</w:t>
      </w:r>
      <w:r>
        <w:rPr>
          <w:color w:val="231F20"/>
          <w:spacing w:val="-27"/>
          <w:w w:val="105"/>
        </w:rPr>
        <w:t> </w:t>
      </w:r>
      <w:r>
        <w:rPr>
          <w:color w:val="231F20"/>
          <w:w w:val="105"/>
        </w:rPr>
        <w:t>servicios.</w:t>
      </w:r>
      <w:r>
        <w:rPr>
          <w:color w:val="231F20"/>
          <w:spacing w:val="-2"/>
          <w:w w:val="100"/>
        </w:rPr>
        <w:t> </w:t>
      </w:r>
      <w:r>
        <w:rPr>
          <w:color w:val="231F20"/>
          <w:spacing w:val="-3"/>
          <w:w w:val="105"/>
        </w:rPr>
        <w:t>Lo</w:t>
      </w:r>
      <w:r>
        <w:rPr>
          <w:color w:val="231F20"/>
          <w:spacing w:val="-20"/>
          <w:w w:val="105"/>
        </w:rPr>
        <w:t> </w:t>
      </w:r>
      <w:r>
        <w:rPr>
          <w:color w:val="231F20"/>
          <w:w w:val="105"/>
        </w:rPr>
        <w:t>anterior</w:t>
      </w:r>
      <w:r>
        <w:rPr>
          <w:color w:val="231F20"/>
          <w:spacing w:val="-20"/>
          <w:w w:val="105"/>
        </w:rPr>
        <w:t> </w:t>
      </w:r>
      <w:r>
        <w:rPr>
          <w:color w:val="231F20"/>
          <w:w w:val="105"/>
        </w:rPr>
        <w:t>da</w:t>
      </w:r>
      <w:r>
        <w:rPr>
          <w:color w:val="231F20"/>
          <w:spacing w:val="-20"/>
          <w:w w:val="105"/>
        </w:rPr>
        <w:t> </w:t>
      </w:r>
      <w:r>
        <w:rPr>
          <w:color w:val="231F20"/>
          <w:w w:val="105"/>
        </w:rPr>
        <w:t>origen</w:t>
      </w:r>
      <w:r>
        <w:rPr>
          <w:color w:val="231F20"/>
          <w:spacing w:val="-20"/>
          <w:w w:val="105"/>
        </w:rPr>
        <w:t> </w:t>
      </w:r>
      <w:r>
        <w:rPr>
          <w:color w:val="231F20"/>
          <w:w w:val="105"/>
        </w:rPr>
        <w:t>a</w:t>
      </w:r>
      <w:r>
        <w:rPr>
          <w:color w:val="231F20"/>
          <w:spacing w:val="-20"/>
          <w:w w:val="105"/>
        </w:rPr>
        <w:t> </w:t>
      </w:r>
      <w:r>
        <w:rPr>
          <w:color w:val="231F20"/>
          <w:w w:val="105"/>
        </w:rPr>
        <w:t>una</w:t>
      </w:r>
      <w:r>
        <w:rPr>
          <w:color w:val="231F20"/>
          <w:spacing w:val="-20"/>
          <w:w w:val="105"/>
        </w:rPr>
        <w:t> </w:t>
      </w:r>
      <w:r>
        <w:rPr>
          <w:color w:val="231F20"/>
          <w:w w:val="105"/>
        </w:rPr>
        <w:t>nueva</w:t>
      </w:r>
      <w:r>
        <w:rPr>
          <w:color w:val="231F20"/>
          <w:spacing w:val="-20"/>
          <w:w w:val="105"/>
        </w:rPr>
        <w:t> </w:t>
      </w:r>
      <w:r>
        <w:rPr>
          <w:color w:val="231F20"/>
          <w:w w:val="105"/>
        </w:rPr>
        <w:t>teoría:</w:t>
      </w:r>
      <w:r>
        <w:rPr>
          <w:color w:val="231F20"/>
          <w:spacing w:val="-20"/>
          <w:w w:val="105"/>
        </w:rPr>
        <w:t> </w:t>
      </w:r>
      <w:r>
        <w:rPr>
          <w:color w:val="231F20"/>
          <w:w w:val="105"/>
        </w:rPr>
        <w:t>la</w:t>
      </w:r>
      <w:r>
        <w:rPr>
          <w:color w:val="231F20"/>
          <w:spacing w:val="-20"/>
          <w:w w:val="105"/>
        </w:rPr>
        <w:t> </w:t>
      </w:r>
      <w:r>
        <w:rPr>
          <w:color w:val="231F20"/>
          <w:w w:val="105"/>
        </w:rPr>
        <w:t>segmentación</w:t>
      </w:r>
      <w:r>
        <w:rPr>
          <w:color w:val="231F20"/>
          <w:spacing w:val="-20"/>
          <w:w w:val="105"/>
        </w:rPr>
        <w:t> </w:t>
      </w:r>
      <w:r>
        <w:rPr>
          <w:color w:val="231F20"/>
          <w:w w:val="105"/>
        </w:rPr>
        <w:t>del</w:t>
      </w:r>
      <w:r>
        <w:rPr>
          <w:color w:val="231F20"/>
          <w:spacing w:val="-20"/>
          <w:w w:val="105"/>
        </w:rPr>
        <w:t> </w:t>
      </w:r>
      <w:r>
        <w:rPr>
          <w:color w:val="231F20"/>
          <w:spacing w:val="-3"/>
          <w:w w:val="105"/>
        </w:rPr>
        <w:t>mer-</w:t>
      </w:r>
    </w:p>
    <w:p>
      <w:pPr>
        <w:pStyle w:val="BodyText"/>
        <w:spacing w:line="259" w:lineRule="auto"/>
        <w:ind w:left="117" w:right="122"/>
        <w:jc w:val="both"/>
      </w:pPr>
      <w:r>
        <w:rPr>
          <w:color w:val="231F20"/>
          <w:w w:val="105"/>
        </w:rPr>
        <w:t>cado</w:t>
      </w:r>
      <w:r>
        <w:rPr>
          <w:color w:val="231F20"/>
          <w:spacing w:val="-14"/>
          <w:w w:val="105"/>
        </w:rPr>
        <w:t> </w:t>
      </w:r>
      <w:r>
        <w:rPr>
          <w:color w:val="231F20"/>
          <w:w w:val="105"/>
        </w:rPr>
        <w:t>de</w:t>
      </w:r>
      <w:r>
        <w:rPr>
          <w:color w:val="231F20"/>
          <w:spacing w:val="-14"/>
          <w:w w:val="105"/>
        </w:rPr>
        <w:t> </w:t>
      </w:r>
      <w:r>
        <w:rPr>
          <w:color w:val="231F20"/>
          <w:spacing w:val="-3"/>
          <w:w w:val="105"/>
        </w:rPr>
        <w:t>trabajo,</w:t>
      </w:r>
      <w:r>
        <w:rPr>
          <w:color w:val="231F20"/>
          <w:spacing w:val="-20"/>
          <w:w w:val="105"/>
        </w:rPr>
        <w:t> </w:t>
      </w:r>
      <w:r>
        <w:rPr>
          <w:color w:val="231F20"/>
          <w:w w:val="105"/>
        </w:rPr>
        <w:t>la</w:t>
      </w:r>
      <w:r>
        <w:rPr>
          <w:color w:val="231F20"/>
          <w:spacing w:val="-14"/>
          <w:w w:val="105"/>
        </w:rPr>
        <w:t> </w:t>
      </w:r>
      <w:r>
        <w:rPr>
          <w:color w:val="231F20"/>
          <w:w w:val="105"/>
        </w:rPr>
        <w:t>cual</w:t>
      </w:r>
      <w:r>
        <w:rPr>
          <w:color w:val="231F20"/>
          <w:spacing w:val="-14"/>
          <w:w w:val="105"/>
        </w:rPr>
        <w:t> </w:t>
      </w:r>
      <w:r>
        <w:rPr>
          <w:color w:val="231F20"/>
          <w:w w:val="105"/>
        </w:rPr>
        <w:t>nace</w:t>
      </w:r>
      <w:r>
        <w:rPr>
          <w:color w:val="231F20"/>
          <w:spacing w:val="-14"/>
          <w:w w:val="105"/>
        </w:rPr>
        <w:t> </w:t>
      </w:r>
      <w:r>
        <w:rPr>
          <w:color w:val="231F20"/>
          <w:w w:val="105"/>
        </w:rPr>
        <w:t>para</w:t>
      </w:r>
      <w:r>
        <w:rPr>
          <w:color w:val="231F20"/>
          <w:spacing w:val="-14"/>
          <w:w w:val="105"/>
        </w:rPr>
        <w:t> </w:t>
      </w:r>
      <w:r>
        <w:rPr>
          <w:color w:val="231F20"/>
          <w:w w:val="105"/>
        </w:rPr>
        <w:t>dar</w:t>
      </w:r>
      <w:r>
        <w:rPr>
          <w:color w:val="231F20"/>
          <w:spacing w:val="-14"/>
          <w:w w:val="105"/>
        </w:rPr>
        <w:t> </w:t>
      </w:r>
      <w:r>
        <w:rPr>
          <w:color w:val="231F20"/>
          <w:spacing w:val="-3"/>
          <w:w w:val="105"/>
        </w:rPr>
        <w:t>respuesta</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spacing w:val="-3"/>
          <w:w w:val="105"/>
        </w:rPr>
        <w:t>interrogantes</w:t>
      </w:r>
      <w:r>
        <w:rPr>
          <w:color w:val="231F20"/>
          <w:spacing w:val="-14"/>
          <w:w w:val="105"/>
        </w:rPr>
        <w:t> </w:t>
      </w:r>
      <w:r>
        <w:rPr>
          <w:color w:val="231F20"/>
          <w:w w:val="105"/>
        </w:rPr>
        <w:t>de</w:t>
      </w:r>
      <w:r>
        <w:rPr>
          <w:color w:val="231F20"/>
          <w:spacing w:val="-14"/>
          <w:w w:val="105"/>
        </w:rPr>
        <w:t> </w:t>
      </w:r>
      <w:r>
        <w:rPr>
          <w:color w:val="231F20"/>
          <w:w w:val="105"/>
        </w:rPr>
        <w:t>la teoría</w:t>
      </w:r>
      <w:r>
        <w:rPr>
          <w:color w:val="231F20"/>
          <w:spacing w:val="-13"/>
          <w:w w:val="105"/>
        </w:rPr>
        <w:t> </w:t>
      </w:r>
      <w:r>
        <w:rPr>
          <w:color w:val="231F20"/>
          <w:w w:val="105"/>
        </w:rPr>
        <w:t>neoclásica</w:t>
      </w:r>
      <w:r>
        <w:rPr>
          <w:color w:val="231F20"/>
          <w:spacing w:val="-13"/>
          <w:w w:val="105"/>
        </w:rPr>
        <w:t> </w:t>
      </w:r>
      <w:r>
        <w:rPr>
          <w:color w:val="231F20"/>
          <w:w w:val="105"/>
        </w:rPr>
        <w:t>del</w:t>
      </w:r>
      <w:r>
        <w:rPr>
          <w:color w:val="231F20"/>
          <w:spacing w:val="-13"/>
          <w:w w:val="105"/>
        </w:rPr>
        <w:t> </w:t>
      </w:r>
      <w:r>
        <w:rPr>
          <w:color w:val="231F20"/>
          <w:spacing w:val="-3"/>
          <w:w w:val="105"/>
        </w:rPr>
        <w:t>mercado</w:t>
      </w:r>
      <w:r>
        <w:rPr>
          <w:color w:val="231F20"/>
          <w:spacing w:val="-13"/>
          <w:w w:val="105"/>
        </w:rPr>
        <w:t> </w:t>
      </w:r>
      <w:r>
        <w:rPr>
          <w:color w:val="231F20"/>
          <w:w w:val="105"/>
        </w:rPr>
        <w:t>de</w:t>
      </w:r>
      <w:r>
        <w:rPr>
          <w:color w:val="231F20"/>
          <w:spacing w:val="-13"/>
          <w:w w:val="105"/>
        </w:rPr>
        <w:t> </w:t>
      </w:r>
      <w:r>
        <w:rPr>
          <w:color w:val="231F20"/>
          <w:spacing w:val="-3"/>
          <w:w w:val="105"/>
        </w:rPr>
        <w:t>trabajo,</w:t>
      </w:r>
      <w:r>
        <w:rPr>
          <w:color w:val="231F20"/>
          <w:spacing w:val="-18"/>
          <w:w w:val="105"/>
        </w:rPr>
        <w:t> </w:t>
      </w:r>
      <w:r>
        <w:rPr>
          <w:color w:val="231F20"/>
          <w:w w:val="105"/>
        </w:rPr>
        <w:t>principalmente</w:t>
      </w:r>
      <w:r>
        <w:rPr>
          <w:color w:val="231F20"/>
          <w:spacing w:val="-13"/>
          <w:w w:val="105"/>
        </w:rPr>
        <w:t> </w:t>
      </w:r>
      <w:r>
        <w:rPr>
          <w:color w:val="231F20"/>
          <w:w w:val="105"/>
        </w:rPr>
        <w:t>a</w:t>
      </w:r>
      <w:r>
        <w:rPr>
          <w:color w:val="231F20"/>
          <w:spacing w:val="-13"/>
          <w:w w:val="105"/>
        </w:rPr>
        <w:t> </w:t>
      </w:r>
      <w:r>
        <w:rPr>
          <w:color w:val="231F20"/>
          <w:w w:val="105"/>
        </w:rPr>
        <w:t>aquellas</w:t>
      </w:r>
      <w:r>
        <w:rPr>
          <w:color w:val="231F20"/>
          <w:spacing w:val="-13"/>
          <w:w w:val="105"/>
        </w:rPr>
        <w:t> </w:t>
      </w:r>
      <w:r>
        <w:rPr>
          <w:color w:val="231F20"/>
          <w:spacing w:val="-2"/>
          <w:w w:val="105"/>
        </w:rPr>
        <w:t>que </w:t>
      </w:r>
      <w:r>
        <w:rPr>
          <w:color w:val="231F20"/>
          <w:w w:val="105"/>
        </w:rPr>
        <w:t>se</w:t>
      </w:r>
      <w:r>
        <w:rPr>
          <w:color w:val="231F20"/>
          <w:spacing w:val="-12"/>
          <w:w w:val="105"/>
        </w:rPr>
        <w:t> </w:t>
      </w:r>
      <w:r>
        <w:rPr>
          <w:color w:val="231F20"/>
          <w:spacing w:val="-3"/>
          <w:w w:val="105"/>
        </w:rPr>
        <w:t>relacionan</w:t>
      </w:r>
      <w:r>
        <w:rPr>
          <w:color w:val="231F20"/>
          <w:spacing w:val="-12"/>
          <w:w w:val="105"/>
        </w:rPr>
        <w:t> </w:t>
      </w:r>
      <w:r>
        <w:rPr>
          <w:color w:val="231F20"/>
          <w:w w:val="105"/>
        </w:rPr>
        <w:t>con</w:t>
      </w:r>
      <w:r>
        <w:rPr>
          <w:color w:val="231F20"/>
          <w:spacing w:val="-12"/>
          <w:w w:val="105"/>
        </w:rPr>
        <w:t> </w:t>
      </w:r>
      <w:r>
        <w:rPr>
          <w:color w:val="231F20"/>
          <w:w w:val="105"/>
        </w:rPr>
        <w:t>las</w:t>
      </w:r>
      <w:r>
        <w:rPr>
          <w:color w:val="231F20"/>
          <w:spacing w:val="-12"/>
          <w:w w:val="105"/>
        </w:rPr>
        <w:t> </w:t>
      </w:r>
      <w:r>
        <w:rPr>
          <w:color w:val="231F20"/>
          <w:spacing w:val="-3"/>
          <w:w w:val="105"/>
        </w:rPr>
        <w:t>reglas</w:t>
      </w:r>
      <w:r>
        <w:rPr>
          <w:color w:val="231F20"/>
          <w:spacing w:val="-12"/>
          <w:w w:val="105"/>
        </w:rPr>
        <w:t> </w:t>
      </w:r>
      <w:r>
        <w:rPr>
          <w:color w:val="231F20"/>
          <w:w w:val="105"/>
        </w:rPr>
        <w:t>que</w:t>
      </w:r>
      <w:r>
        <w:rPr>
          <w:color w:val="231F20"/>
          <w:spacing w:val="-12"/>
          <w:w w:val="105"/>
        </w:rPr>
        <w:t> </w:t>
      </w:r>
      <w:r>
        <w:rPr>
          <w:color w:val="231F20"/>
          <w:w w:val="105"/>
        </w:rPr>
        <w:t>gobiernan</w:t>
      </w:r>
      <w:r>
        <w:rPr>
          <w:color w:val="231F20"/>
          <w:spacing w:val="-12"/>
          <w:w w:val="105"/>
        </w:rPr>
        <w:t> </w:t>
      </w:r>
      <w:r>
        <w:rPr>
          <w:color w:val="231F20"/>
          <w:w w:val="105"/>
        </w:rPr>
        <w:t>el</w:t>
      </w:r>
      <w:r>
        <w:rPr>
          <w:color w:val="231F20"/>
          <w:spacing w:val="-12"/>
          <w:w w:val="105"/>
        </w:rPr>
        <w:t> </w:t>
      </w:r>
      <w:r>
        <w:rPr>
          <w:color w:val="231F20"/>
          <w:spacing w:val="-3"/>
          <w:w w:val="105"/>
        </w:rPr>
        <w:t>mercado</w:t>
      </w:r>
      <w:r>
        <w:rPr>
          <w:color w:val="231F20"/>
          <w:spacing w:val="-12"/>
          <w:w w:val="105"/>
        </w:rPr>
        <w:t> </w:t>
      </w:r>
      <w:r>
        <w:rPr>
          <w:color w:val="231F20"/>
          <w:w w:val="105"/>
        </w:rPr>
        <w:t>y</w:t>
      </w:r>
      <w:r>
        <w:rPr>
          <w:color w:val="231F20"/>
          <w:spacing w:val="-12"/>
          <w:w w:val="105"/>
        </w:rPr>
        <w:t> </w:t>
      </w:r>
      <w:r>
        <w:rPr>
          <w:color w:val="231F20"/>
          <w:w w:val="105"/>
        </w:rPr>
        <w:t>cómo</w:t>
      </w:r>
      <w:r>
        <w:rPr>
          <w:color w:val="231F20"/>
          <w:spacing w:val="-12"/>
          <w:w w:val="105"/>
        </w:rPr>
        <w:t> </w:t>
      </w:r>
      <w:r>
        <w:rPr>
          <w:color w:val="231F20"/>
          <w:w w:val="105"/>
        </w:rPr>
        <w:t>el</w:t>
      </w:r>
      <w:r>
        <w:rPr>
          <w:color w:val="231F20"/>
          <w:spacing w:val="-12"/>
          <w:w w:val="105"/>
        </w:rPr>
        <w:t> </w:t>
      </w:r>
      <w:r>
        <w:rPr>
          <w:color w:val="231F20"/>
          <w:spacing w:val="-3"/>
          <w:w w:val="105"/>
        </w:rPr>
        <w:t>merca- </w:t>
      </w:r>
      <w:r>
        <w:rPr>
          <w:color w:val="231F20"/>
          <w:w w:val="105"/>
        </w:rPr>
        <w:t>do</w:t>
      </w:r>
      <w:r>
        <w:rPr>
          <w:color w:val="231F20"/>
          <w:spacing w:val="-32"/>
          <w:w w:val="105"/>
        </w:rPr>
        <w:t> </w:t>
      </w:r>
      <w:r>
        <w:rPr>
          <w:color w:val="231F20"/>
          <w:w w:val="105"/>
        </w:rPr>
        <w:t>de</w:t>
      </w:r>
      <w:r>
        <w:rPr>
          <w:color w:val="231F20"/>
          <w:spacing w:val="-32"/>
          <w:w w:val="105"/>
        </w:rPr>
        <w:t> </w:t>
      </w:r>
      <w:r>
        <w:rPr>
          <w:color w:val="231F20"/>
          <w:w w:val="105"/>
        </w:rPr>
        <w:t>trabajo</w:t>
      </w:r>
      <w:r>
        <w:rPr>
          <w:color w:val="231F20"/>
          <w:spacing w:val="-32"/>
          <w:w w:val="105"/>
        </w:rPr>
        <w:t> </w:t>
      </w:r>
      <w:r>
        <w:rPr>
          <w:color w:val="231F20"/>
          <w:w w:val="105"/>
        </w:rPr>
        <w:t>es</w:t>
      </w:r>
      <w:r>
        <w:rPr>
          <w:color w:val="231F20"/>
          <w:spacing w:val="-32"/>
          <w:w w:val="105"/>
        </w:rPr>
        <w:t> </w:t>
      </w:r>
      <w:r>
        <w:rPr>
          <w:color w:val="231F20"/>
          <w:spacing w:val="-3"/>
          <w:w w:val="105"/>
        </w:rPr>
        <w:t>regulado.</w:t>
      </w:r>
      <w:r>
        <w:rPr>
          <w:color w:val="231F20"/>
          <w:spacing w:val="-39"/>
          <w:w w:val="105"/>
        </w:rPr>
        <w:t> </w:t>
      </w:r>
      <w:r>
        <w:rPr>
          <w:color w:val="231F20"/>
          <w:w w:val="105"/>
        </w:rPr>
        <w:t>A</w:t>
      </w:r>
      <w:r>
        <w:rPr>
          <w:color w:val="231F20"/>
          <w:spacing w:val="-35"/>
          <w:w w:val="105"/>
        </w:rPr>
        <w:t> </w:t>
      </w:r>
      <w:r>
        <w:rPr>
          <w:color w:val="231F20"/>
          <w:w w:val="105"/>
        </w:rPr>
        <w:t>continuación</w:t>
      </w:r>
      <w:r>
        <w:rPr>
          <w:color w:val="231F20"/>
          <w:spacing w:val="-32"/>
          <w:w w:val="105"/>
        </w:rPr>
        <w:t> </w:t>
      </w:r>
      <w:r>
        <w:rPr>
          <w:color w:val="231F20"/>
          <w:w w:val="105"/>
        </w:rPr>
        <w:t>se</w:t>
      </w:r>
      <w:r>
        <w:rPr>
          <w:color w:val="231F20"/>
          <w:spacing w:val="-32"/>
          <w:w w:val="105"/>
        </w:rPr>
        <w:t> </w:t>
      </w:r>
      <w:r>
        <w:rPr>
          <w:color w:val="231F20"/>
          <w:spacing w:val="-2"/>
          <w:w w:val="105"/>
        </w:rPr>
        <w:t>centra</w:t>
      </w:r>
      <w:r>
        <w:rPr>
          <w:color w:val="231F20"/>
          <w:spacing w:val="-32"/>
          <w:w w:val="105"/>
        </w:rPr>
        <w:t> </w:t>
      </w:r>
      <w:r>
        <w:rPr>
          <w:color w:val="231F20"/>
          <w:w w:val="105"/>
        </w:rPr>
        <w:t>la</w:t>
      </w:r>
      <w:r>
        <w:rPr>
          <w:color w:val="231F20"/>
          <w:spacing w:val="-32"/>
          <w:w w:val="105"/>
        </w:rPr>
        <w:t> </w:t>
      </w:r>
      <w:r>
        <w:rPr>
          <w:color w:val="231F20"/>
          <w:w w:val="105"/>
        </w:rPr>
        <w:t>atención</w:t>
      </w:r>
      <w:r>
        <w:rPr>
          <w:color w:val="231F20"/>
          <w:spacing w:val="-32"/>
          <w:w w:val="105"/>
        </w:rPr>
        <w:t> </w:t>
      </w:r>
      <w:r>
        <w:rPr>
          <w:color w:val="231F20"/>
          <w:w w:val="105"/>
        </w:rPr>
        <w:t>en</w:t>
      </w:r>
      <w:r>
        <w:rPr>
          <w:color w:val="231F20"/>
          <w:spacing w:val="-32"/>
          <w:w w:val="105"/>
        </w:rPr>
        <w:t> </w:t>
      </w:r>
      <w:r>
        <w:rPr>
          <w:color w:val="231F20"/>
          <w:w w:val="105"/>
        </w:rPr>
        <w:t>analizar la</w:t>
      </w:r>
      <w:r>
        <w:rPr>
          <w:color w:val="231F20"/>
          <w:spacing w:val="-39"/>
          <w:w w:val="105"/>
        </w:rPr>
        <w:t> </w:t>
      </w:r>
      <w:r>
        <w:rPr>
          <w:color w:val="231F20"/>
          <w:w w:val="105"/>
        </w:rPr>
        <w:t>teoría</w:t>
      </w:r>
      <w:r>
        <w:rPr>
          <w:color w:val="231F20"/>
          <w:spacing w:val="-39"/>
          <w:w w:val="105"/>
        </w:rPr>
        <w:t> </w:t>
      </w:r>
      <w:r>
        <w:rPr>
          <w:color w:val="231F20"/>
          <w:w w:val="105"/>
        </w:rPr>
        <w:t>de</w:t>
      </w:r>
      <w:r>
        <w:rPr>
          <w:color w:val="231F20"/>
          <w:spacing w:val="-39"/>
          <w:w w:val="105"/>
        </w:rPr>
        <w:t> </w:t>
      </w:r>
      <w:r>
        <w:rPr>
          <w:color w:val="231F20"/>
          <w:w w:val="105"/>
        </w:rPr>
        <w:t>la</w:t>
      </w:r>
      <w:r>
        <w:rPr>
          <w:color w:val="231F20"/>
          <w:spacing w:val="-39"/>
          <w:w w:val="105"/>
        </w:rPr>
        <w:t> </w:t>
      </w:r>
      <w:r>
        <w:rPr>
          <w:color w:val="231F20"/>
          <w:w w:val="105"/>
        </w:rPr>
        <w:t>segmentación</w:t>
      </w:r>
      <w:r>
        <w:rPr>
          <w:color w:val="231F20"/>
          <w:spacing w:val="-39"/>
          <w:w w:val="105"/>
        </w:rPr>
        <w:t> </w:t>
      </w:r>
      <w:r>
        <w:rPr>
          <w:color w:val="231F20"/>
          <w:w w:val="105"/>
        </w:rPr>
        <w:t>destacando</w:t>
      </w:r>
      <w:r>
        <w:rPr>
          <w:color w:val="231F20"/>
          <w:spacing w:val="-39"/>
          <w:w w:val="105"/>
        </w:rPr>
        <w:t> </w:t>
      </w:r>
      <w:r>
        <w:rPr>
          <w:color w:val="231F20"/>
          <w:w w:val="105"/>
        </w:rPr>
        <w:t>sus</w:t>
      </w:r>
      <w:r>
        <w:rPr>
          <w:color w:val="231F20"/>
          <w:spacing w:val="-39"/>
          <w:w w:val="105"/>
        </w:rPr>
        <w:t> </w:t>
      </w:r>
      <w:r>
        <w:rPr>
          <w:color w:val="231F20"/>
          <w:w w:val="105"/>
        </w:rPr>
        <w:t>principales</w:t>
      </w:r>
      <w:r>
        <w:rPr>
          <w:color w:val="231F20"/>
          <w:spacing w:val="-39"/>
          <w:w w:val="105"/>
        </w:rPr>
        <w:t> </w:t>
      </w:r>
      <w:r>
        <w:rPr>
          <w:color w:val="231F20"/>
          <w:spacing w:val="-3"/>
          <w:w w:val="105"/>
        </w:rPr>
        <w:t>características.</w:t>
      </w:r>
    </w:p>
    <w:p>
      <w:pPr>
        <w:pStyle w:val="BodyText"/>
        <w:rPr>
          <w:sz w:val="20"/>
        </w:rPr>
      </w:pPr>
    </w:p>
    <w:p>
      <w:pPr>
        <w:pStyle w:val="BodyText"/>
        <w:spacing w:before="7"/>
        <w:rPr>
          <w:sz w:val="18"/>
        </w:rPr>
      </w:pPr>
    </w:p>
    <w:p>
      <w:pPr>
        <w:pStyle w:val="Heading2"/>
      </w:pPr>
      <w:r>
        <w:rPr>
          <w:color w:val="231F20"/>
        </w:rPr>
        <w:t>Teoría de la segmentación del mercado de trabajo</w:t>
      </w:r>
    </w:p>
    <w:p>
      <w:pPr>
        <w:pStyle w:val="BodyText"/>
        <w:rPr>
          <w:b/>
          <w:sz w:val="22"/>
        </w:rPr>
      </w:pPr>
    </w:p>
    <w:p>
      <w:pPr>
        <w:pStyle w:val="BodyText"/>
        <w:spacing w:line="259" w:lineRule="auto" w:before="160"/>
        <w:ind w:left="117" w:right="115"/>
        <w:jc w:val="both"/>
        <w:rPr>
          <w:sz w:val="12"/>
        </w:rPr>
      </w:pPr>
      <w:r>
        <w:rPr>
          <w:color w:val="231F20"/>
          <w:w w:val="105"/>
        </w:rPr>
        <w:t>Cuando se habla de la teoría de la segmentación, inmediatamente se identifica a la primera generación: la teoría institucionalista, que hasta hace un par de décadas era la única que explicaba la división del mer- cado laboral. Está basada en el mercado dual propuesto por</w:t>
      </w:r>
      <w:r>
        <w:rPr>
          <w:color w:val="231F20"/>
          <w:spacing w:val="-26"/>
          <w:w w:val="105"/>
        </w:rPr>
        <w:t> </w:t>
      </w:r>
      <w:r>
        <w:rPr>
          <w:color w:val="231F20"/>
          <w:w w:val="105"/>
        </w:rPr>
        <w:t>Doeringer y</w:t>
      </w:r>
      <w:r>
        <w:rPr>
          <w:color w:val="231F20"/>
          <w:spacing w:val="-8"/>
          <w:w w:val="105"/>
        </w:rPr>
        <w:t> </w:t>
      </w:r>
      <w:r>
        <w:rPr>
          <w:color w:val="231F20"/>
          <w:w w:val="105"/>
        </w:rPr>
        <w:t>Piore</w:t>
      </w:r>
      <w:r>
        <w:rPr>
          <w:color w:val="231F20"/>
          <w:spacing w:val="-8"/>
          <w:w w:val="105"/>
        </w:rPr>
        <w:t> </w:t>
      </w:r>
      <w:r>
        <w:rPr>
          <w:color w:val="231F20"/>
          <w:w w:val="105"/>
        </w:rPr>
        <w:t>(1985)</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conceptos</w:t>
      </w:r>
      <w:r>
        <w:rPr>
          <w:color w:val="231F20"/>
          <w:spacing w:val="-8"/>
          <w:w w:val="105"/>
        </w:rPr>
        <w:t> </w:t>
      </w:r>
      <w:r>
        <w:rPr>
          <w:color w:val="231F20"/>
          <w:w w:val="105"/>
        </w:rPr>
        <w:t>del</w:t>
      </w:r>
      <w:r>
        <w:rPr>
          <w:color w:val="231F20"/>
          <w:spacing w:val="-8"/>
          <w:w w:val="105"/>
        </w:rPr>
        <w:t> </w:t>
      </w:r>
      <w:r>
        <w:rPr>
          <w:color w:val="231F20"/>
          <w:w w:val="105"/>
        </w:rPr>
        <w:t>mercado</w:t>
      </w:r>
      <w:r>
        <w:rPr>
          <w:color w:val="231F20"/>
          <w:spacing w:val="-8"/>
          <w:w w:val="105"/>
        </w:rPr>
        <w:t> </w:t>
      </w:r>
      <w:r>
        <w:rPr>
          <w:color w:val="231F20"/>
          <w:w w:val="105"/>
        </w:rPr>
        <w:t>interno</w:t>
      </w:r>
      <w:r>
        <w:rPr>
          <w:color w:val="231F20"/>
          <w:spacing w:val="-8"/>
          <w:w w:val="105"/>
        </w:rPr>
        <w:t> </w:t>
      </w:r>
      <w:r>
        <w:rPr>
          <w:color w:val="231F20"/>
          <w:w w:val="105"/>
        </w:rPr>
        <w:t>de</w:t>
      </w:r>
      <w:r>
        <w:rPr>
          <w:color w:val="231F20"/>
          <w:spacing w:val="-8"/>
          <w:w w:val="105"/>
        </w:rPr>
        <w:t> </w:t>
      </w:r>
      <w:r>
        <w:rPr>
          <w:color w:val="231F20"/>
          <w:w w:val="105"/>
        </w:rPr>
        <w:t>Solow</w:t>
      </w:r>
      <w:r>
        <w:rPr>
          <w:color w:val="231F20"/>
          <w:spacing w:val="-8"/>
          <w:w w:val="105"/>
        </w:rPr>
        <w:t> </w:t>
      </w:r>
      <w:r>
        <w:rPr>
          <w:color w:val="231F20"/>
          <w:w w:val="105"/>
        </w:rPr>
        <w:t>(1992).</w:t>
      </w:r>
      <w:r>
        <w:rPr>
          <w:color w:val="231F20"/>
          <w:spacing w:val="-14"/>
          <w:w w:val="105"/>
        </w:rPr>
        <w:t> </w:t>
      </w:r>
      <w:r>
        <w:rPr>
          <w:color w:val="231F20"/>
          <w:w w:val="105"/>
        </w:rPr>
        <w:t>La primera generación de la teoría de la segmentación nace en la década de</w:t>
      </w:r>
      <w:r>
        <w:rPr>
          <w:color w:val="231F20"/>
          <w:spacing w:val="-5"/>
          <w:w w:val="105"/>
        </w:rPr>
        <w:t> </w:t>
      </w:r>
      <w:r>
        <w:rPr>
          <w:color w:val="231F20"/>
          <w:w w:val="105"/>
        </w:rPr>
        <w:t>1940</w:t>
      </w:r>
      <w:r>
        <w:rPr>
          <w:color w:val="231F20"/>
          <w:spacing w:val="-5"/>
          <w:w w:val="105"/>
        </w:rPr>
        <w:t> </w:t>
      </w:r>
      <w:r>
        <w:rPr>
          <w:color w:val="231F20"/>
          <w:w w:val="105"/>
        </w:rPr>
        <w:t>en</w:t>
      </w:r>
      <w:r>
        <w:rPr>
          <w:color w:val="231F20"/>
          <w:spacing w:val="-5"/>
          <w:w w:val="105"/>
        </w:rPr>
        <w:t> </w:t>
      </w:r>
      <w:r>
        <w:rPr>
          <w:color w:val="231F20"/>
          <w:w w:val="105"/>
        </w:rPr>
        <w:t>Estados</w:t>
      </w:r>
      <w:r>
        <w:rPr>
          <w:color w:val="231F20"/>
          <w:spacing w:val="-5"/>
          <w:w w:val="105"/>
        </w:rPr>
        <w:t> </w:t>
      </w:r>
      <w:r>
        <w:rPr>
          <w:color w:val="231F20"/>
          <w:w w:val="105"/>
        </w:rPr>
        <w:t>Unidos,</w:t>
      </w:r>
      <w:r>
        <w:rPr>
          <w:color w:val="231F20"/>
          <w:spacing w:val="-11"/>
          <w:w w:val="105"/>
        </w:rPr>
        <w:t> </w:t>
      </w:r>
      <w:r>
        <w:rPr>
          <w:color w:val="231F20"/>
          <w:w w:val="105"/>
        </w:rPr>
        <w:t>en</w:t>
      </w:r>
      <w:r>
        <w:rPr>
          <w:color w:val="231F20"/>
          <w:spacing w:val="-5"/>
          <w:w w:val="105"/>
        </w:rPr>
        <w:t> </w:t>
      </w:r>
      <w:r>
        <w:rPr>
          <w:color w:val="231F20"/>
          <w:w w:val="105"/>
        </w:rPr>
        <w:t>un</w:t>
      </w:r>
      <w:r>
        <w:rPr>
          <w:color w:val="231F20"/>
          <w:spacing w:val="-5"/>
          <w:w w:val="105"/>
        </w:rPr>
        <w:t> </w:t>
      </w:r>
      <w:r>
        <w:rPr>
          <w:color w:val="231F20"/>
          <w:w w:val="105"/>
        </w:rPr>
        <w:t>momento</w:t>
      </w:r>
      <w:r>
        <w:rPr>
          <w:color w:val="231F20"/>
          <w:spacing w:val="-5"/>
          <w:w w:val="105"/>
        </w:rPr>
        <w:t> </w:t>
      </w:r>
      <w:r>
        <w:rPr>
          <w:color w:val="231F20"/>
          <w:w w:val="105"/>
        </w:rPr>
        <w:t>histórico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sin- dicatos</w:t>
      </w:r>
      <w:r>
        <w:rPr>
          <w:color w:val="231F20"/>
          <w:spacing w:val="-10"/>
          <w:w w:val="105"/>
        </w:rPr>
        <w:t> </w:t>
      </w:r>
      <w:r>
        <w:rPr>
          <w:color w:val="231F20"/>
          <w:w w:val="105"/>
        </w:rPr>
        <w:t>estaban</w:t>
      </w:r>
      <w:r>
        <w:rPr>
          <w:color w:val="231F20"/>
          <w:spacing w:val="-10"/>
          <w:w w:val="105"/>
        </w:rPr>
        <w:t> </w:t>
      </w:r>
      <w:r>
        <w:rPr>
          <w:color w:val="231F20"/>
          <w:w w:val="105"/>
        </w:rPr>
        <w:t>creciendo</w:t>
      </w:r>
      <w:r>
        <w:rPr>
          <w:color w:val="231F20"/>
          <w:spacing w:val="-10"/>
          <w:w w:val="105"/>
        </w:rPr>
        <w:t> </w:t>
      </w:r>
      <w:r>
        <w:rPr>
          <w:color w:val="231F20"/>
          <w:w w:val="105"/>
        </w:rPr>
        <w:t>y</w:t>
      </w:r>
      <w:r>
        <w:rPr>
          <w:color w:val="231F20"/>
          <w:spacing w:val="-10"/>
          <w:w w:val="105"/>
        </w:rPr>
        <w:t> </w:t>
      </w:r>
      <w:r>
        <w:rPr>
          <w:color w:val="231F20"/>
          <w:w w:val="105"/>
        </w:rPr>
        <w:t>cobrando</w:t>
      </w:r>
      <w:r>
        <w:rPr>
          <w:color w:val="231F20"/>
          <w:spacing w:val="-10"/>
          <w:w w:val="105"/>
        </w:rPr>
        <w:t> </w:t>
      </w:r>
      <w:r>
        <w:rPr>
          <w:color w:val="231F20"/>
          <w:w w:val="105"/>
        </w:rPr>
        <w:t>fuerza,</w:t>
      </w:r>
      <w:r>
        <w:rPr>
          <w:color w:val="231F20"/>
          <w:spacing w:val="-15"/>
          <w:w w:val="105"/>
        </w:rPr>
        <w:t> </w:t>
      </w:r>
      <w:r>
        <w:rPr>
          <w:color w:val="231F20"/>
          <w:w w:val="105"/>
        </w:rPr>
        <w:t>además</w:t>
      </w:r>
      <w:r>
        <w:rPr>
          <w:color w:val="231F20"/>
          <w:spacing w:val="-10"/>
          <w:w w:val="105"/>
        </w:rPr>
        <w:t> </w:t>
      </w:r>
      <w:r>
        <w:rPr>
          <w:color w:val="231F20"/>
          <w:w w:val="105"/>
        </w:rPr>
        <w:t>de</w:t>
      </w:r>
      <w:r>
        <w:rPr>
          <w:color w:val="231F20"/>
          <w:spacing w:val="-10"/>
          <w:w w:val="105"/>
        </w:rPr>
        <w:t> </w:t>
      </w:r>
      <w:r>
        <w:rPr>
          <w:color w:val="231F20"/>
          <w:w w:val="105"/>
        </w:rPr>
        <w:t>ser</w:t>
      </w:r>
      <w:r>
        <w:rPr>
          <w:color w:val="231F20"/>
          <w:spacing w:val="-10"/>
          <w:w w:val="105"/>
        </w:rPr>
        <w:t> </w:t>
      </w:r>
      <w:r>
        <w:rPr>
          <w:color w:val="231F20"/>
          <w:w w:val="105"/>
        </w:rPr>
        <w:t>una</w:t>
      </w:r>
      <w:r>
        <w:rPr>
          <w:color w:val="231F20"/>
          <w:spacing w:val="-10"/>
          <w:w w:val="105"/>
        </w:rPr>
        <w:t> </w:t>
      </w:r>
      <w:r>
        <w:rPr>
          <w:color w:val="231F20"/>
          <w:w w:val="105"/>
        </w:rPr>
        <w:t>etapa de postguerra de la Segunda Guerra Mundial </w:t>
      </w:r>
      <w:r>
        <w:rPr>
          <w:color w:val="231F20"/>
          <w:spacing w:val="-4"/>
          <w:w w:val="105"/>
        </w:rPr>
        <w:t>y, </w:t>
      </w:r>
      <w:r>
        <w:rPr>
          <w:color w:val="231F20"/>
          <w:w w:val="105"/>
        </w:rPr>
        <w:t>como ya se mencionó, también</w:t>
      </w:r>
      <w:r>
        <w:rPr>
          <w:color w:val="231F20"/>
          <w:spacing w:val="-10"/>
          <w:w w:val="105"/>
        </w:rPr>
        <w:t> </w:t>
      </w:r>
      <w:r>
        <w:rPr>
          <w:color w:val="231F20"/>
          <w:w w:val="105"/>
        </w:rPr>
        <w:t>coincide</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aparición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mercados</w:t>
      </w:r>
      <w:r>
        <w:rPr>
          <w:color w:val="231F20"/>
          <w:spacing w:val="-10"/>
          <w:w w:val="105"/>
        </w:rPr>
        <w:t> </w:t>
      </w:r>
      <w:r>
        <w:rPr>
          <w:color w:val="231F20"/>
          <w:w w:val="105"/>
        </w:rPr>
        <w:t>internos</w:t>
      </w:r>
      <w:r>
        <w:rPr>
          <w:color w:val="231F20"/>
          <w:w w:val="105"/>
          <w:position w:val="7"/>
          <w:sz w:val="12"/>
        </w:rPr>
        <w:t>2</w:t>
      </w:r>
    </w:p>
    <w:p>
      <w:pPr>
        <w:pStyle w:val="BodyText"/>
        <w:spacing w:before="7"/>
        <w:rPr>
          <w:sz w:val="26"/>
        </w:rPr>
      </w:pPr>
      <w:r>
        <w:rPr/>
        <w:pict>
          <v:line style="position:absolute;mso-position-horizontal-relative:page;mso-position-vertical-relative:paragraph;z-index:6304;mso-wrap-distance-left:0;mso-wrap-distance-right:0" from="70.866096pt,17.38167pt" to="184.252096pt,17.38167pt" stroked="true" strokeweight=".25pt" strokecolor="#231f20">
            <w10:wrap type="topAndBottom"/>
          </v:line>
        </w:pict>
      </w:r>
    </w:p>
    <w:p>
      <w:pPr>
        <w:spacing w:line="192" w:lineRule="exact" w:before="7"/>
        <w:ind w:left="117" w:right="121" w:hanging="1"/>
        <w:jc w:val="both"/>
        <w:rPr>
          <w:rFonts w:ascii="Calibri" w:hAnsi="Calibri"/>
          <w:sz w:val="16"/>
        </w:rPr>
      </w:pPr>
      <w:r>
        <w:rPr>
          <w:rFonts w:ascii="Calibri" w:hAnsi="Calibri"/>
          <w:color w:val="414042"/>
          <w:position w:val="5"/>
          <w:sz w:val="9"/>
        </w:rPr>
        <w:t>1  </w:t>
      </w:r>
      <w:r>
        <w:rPr>
          <w:rFonts w:ascii="Calibri" w:hAnsi="Calibri"/>
          <w:color w:val="414042"/>
          <w:sz w:val="16"/>
        </w:rPr>
        <w:t>La expresión “fuertemente atacada y criticada” está fundamentada en Sollova y Baca (1999), Etxezarre- ta (2004), Fernández–Huerga (2010), Bowles y Gintis (2014). Estos autores coinciden en las limitaciones que presenta la teoría neoclásica respecto a la independencia y libertad de los individuos para elegir          el empleo y las restricciones que imponen las organizaciones; por tanto, no se debería considerar que       el comportamiento del mercado de trabajo está regido por los mismos supuestos que cualquier otro mercado de bienes. Adicionalmente el concepto de capital humano, considerado en el marco neoclásico, incluye el término “capital” lo que implica propiedad y control de los medios de producción, el cual no se cumple, dado que no es el individuo el que controla y produce el empleo sino las  </w:t>
      </w:r>
      <w:r>
        <w:rPr>
          <w:rFonts w:ascii="Calibri" w:hAnsi="Calibri"/>
          <w:color w:val="414042"/>
          <w:spacing w:val="34"/>
          <w:sz w:val="16"/>
        </w:rPr>
        <w:t> </w:t>
      </w:r>
      <w:r>
        <w:rPr>
          <w:rFonts w:ascii="Calibri" w:hAnsi="Calibri"/>
          <w:color w:val="414042"/>
          <w:sz w:val="16"/>
        </w:rPr>
        <w:t>organizaciones.</w:t>
      </w:r>
    </w:p>
    <w:p>
      <w:pPr>
        <w:spacing w:line="192" w:lineRule="exact" w:before="0"/>
        <w:ind w:left="117" w:right="121" w:firstLine="0"/>
        <w:jc w:val="both"/>
        <w:rPr>
          <w:rFonts w:ascii="Calibri" w:hAnsi="Calibri"/>
          <w:sz w:val="16"/>
        </w:rPr>
      </w:pPr>
      <w:r>
        <w:rPr>
          <w:rFonts w:ascii="Calibri" w:hAnsi="Calibri"/>
          <w:color w:val="414042"/>
          <w:w w:val="105"/>
          <w:position w:val="5"/>
          <w:sz w:val="9"/>
        </w:rPr>
        <w:t>2</w:t>
      </w:r>
      <w:r>
        <w:rPr>
          <w:rFonts w:ascii="Calibri" w:hAnsi="Calibri"/>
          <w:color w:val="414042"/>
          <w:spacing w:val="15"/>
          <w:w w:val="105"/>
          <w:position w:val="5"/>
          <w:sz w:val="9"/>
        </w:rPr>
        <w:t> </w:t>
      </w:r>
      <w:r>
        <w:rPr>
          <w:rFonts w:ascii="Calibri" w:hAnsi="Calibri"/>
          <w:color w:val="414042"/>
          <w:w w:val="105"/>
          <w:sz w:val="16"/>
        </w:rPr>
        <w:t>Un</w:t>
      </w:r>
      <w:r>
        <w:rPr>
          <w:rFonts w:ascii="Calibri" w:hAnsi="Calibri"/>
          <w:color w:val="414042"/>
          <w:spacing w:val="-18"/>
          <w:w w:val="105"/>
          <w:sz w:val="16"/>
        </w:rPr>
        <w:t> </w:t>
      </w:r>
      <w:r>
        <w:rPr>
          <w:rFonts w:ascii="Calibri" w:hAnsi="Calibri"/>
          <w:color w:val="414042"/>
          <w:w w:val="105"/>
          <w:sz w:val="16"/>
        </w:rPr>
        <w:t>mercado</w:t>
      </w:r>
      <w:r>
        <w:rPr>
          <w:rFonts w:ascii="Calibri" w:hAnsi="Calibri"/>
          <w:color w:val="414042"/>
          <w:spacing w:val="-18"/>
          <w:w w:val="105"/>
          <w:sz w:val="16"/>
        </w:rPr>
        <w:t> </w:t>
      </w:r>
      <w:r>
        <w:rPr>
          <w:rFonts w:ascii="Calibri" w:hAnsi="Calibri"/>
          <w:color w:val="414042"/>
          <w:w w:val="105"/>
          <w:sz w:val="16"/>
        </w:rPr>
        <w:t>interno</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trabajo</w:t>
      </w:r>
      <w:r>
        <w:rPr>
          <w:rFonts w:ascii="Calibri" w:hAnsi="Calibri"/>
          <w:color w:val="414042"/>
          <w:spacing w:val="-18"/>
          <w:w w:val="105"/>
          <w:sz w:val="16"/>
        </w:rPr>
        <w:t> </w:t>
      </w:r>
      <w:r>
        <w:rPr>
          <w:rFonts w:ascii="Calibri" w:hAnsi="Calibri"/>
          <w:color w:val="414042"/>
          <w:w w:val="105"/>
          <w:sz w:val="16"/>
        </w:rPr>
        <w:t>es</w:t>
      </w:r>
      <w:r>
        <w:rPr>
          <w:rFonts w:ascii="Calibri" w:hAnsi="Calibri"/>
          <w:color w:val="414042"/>
          <w:spacing w:val="-18"/>
          <w:w w:val="105"/>
          <w:sz w:val="16"/>
        </w:rPr>
        <w:t> </w:t>
      </w:r>
      <w:r>
        <w:rPr>
          <w:rFonts w:ascii="Calibri" w:hAnsi="Calibri"/>
          <w:color w:val="414042"/>
          <w:w w:val="105"/>
          <w:sz w:val="16"/>
        </w:rPr>
        <w:t>una</w:t>
      </w:r>
      <w:r>
        <w:rPr>
          <w:rFonts w:ascii="Calibri" w:hAnsi="Calibri"/>
          <w:color w:val="414042"/>
          <w:spacing w:val="-18"/>
          <w:w w:val="105"/>
          <w:sz w:val="16"/>
        </w:rPr>
        <w:t> </w:t>
      </w:r>
      <w:r>
        <w:rPr>
          <w:rFonts w:ascii="Calibri" w:hAnsi="Calibri"/>
          <w:color w:val="414042"/>
          <w:w w:val="105"/>
          <w:sz w:val="16"/>
        </w:rPr>
        <w:t>unidad</w:t>
      </w:r>
      <w:r>
        <w:rPr>
          <w:rFonts w:ascii="Calibri" w:hAnsi="Calibri"/>
          <w:color w:val="414042"/>
          <w:spacing w:val="-18"/>
          <w:w w:val="105"/>
          <w:sz w:val="16"/>
        </w:rPr>
        <w:t> </w:t>
      </w:r>
      <w:r>
        <w:rPr>
          <w:rFonts w:ascii="Calibri" w:hAnsi="Calibri"/>
          <w:color w:val="414042"/>
          <w:w w:val="105"/>
          <w:sz w:val="16"/>
        </w:rPr>
        <w:t>administrativa</w:t>
      </w:r>
      <w:r>
        <w:rPr>
          <w:rFonts w:ascii="Calibri" w:hAnsi="Calibri"/>
          <w:color w:val="414042"/>
          <w:spacing w:val="-18"/>
          <w:w w:val="105"/>
          <w:sz w:val="16"/>
        </w:rPr>
        <w:t> </w:t>
      </w:r>
      <w:r>
        <w:rPr>
          <w:rFonts w:ascii="Calibri" w:hAnsi="Calibri"/>
          <w:color w:val="414042"/>
          <w:w w:val="105"/>
          <w:sz w:val="16"/>
        </w:rPr>
        <w:t>en</w:t>
      </w:r>
      <w:r>
        <w:rPr>
          <w:rFonts w:ascii="Calibri" w:hAnsi="Calibri"/>
          <w:color w:val="414042"/>
          <w:spacing w:val="-18"/>
          <w:w w:val="105"/>
          <w:sz w:val="16"/>
        </w:rPr>
        <w:t> </w:t>
      </w:r>
      <w:r>
        <w:rPr>
          <w:rFonts w:ascii="Calibri" w:hAnsi="Calibri"/>
          <w:color w:val="414042"/>
          <w:w w:val="105"/>
          <w:sz w:val="16"/>
        </w:rPr>
        <w:t>que</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asignación</w:t>
      </w:r>
      <w:r>
        <w:rPr>
          <w:rFonts w:ascii="Calibri" w:hAnsi="Calibri"/>
          <w:color w:val="414042"/>
          <w:spacing w:val="-19"/>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el</w:t>
      </w:r>
      <w:r>
        <w:rPr>
          <w:rFonts w:ascii="Calibri" w:hAnsi="Calibri"/>
          <w:color w:val="414042"/>
          <w:spacing w:val="-18"/>
          <w:w w:val="105"/>
          <w:sz w:val="16"/>
        </w:rPr>
        <w:t> </w:t>
      </w:r>
      <w:r>
        <w:rPr>
          <w:rFonts w:ascii="Calibri" w:hAnsi="Calibri"/>
          <w:color w:val="414042"/>
          <w:w w:val="105"/>
          <w:sz w:val="16"/>
        </w:rPr>
        <w:t>precio</w:t>
      </w:r>
      <w:r>
        <w:rPr>
          <w:rFonts w:ascii="Calibri" w:hAnsi="Calibri"/>
          <w:color w:val="414042"/>
          <w:spacing w:val="-18"/>
          <w:w w:val="105"/>
          <w:sz w:val="16"/>
        </w:rPr>
        <w:t> </w:t>
      </w:r>
      <w:r>
        <w:rPr>
          <w:rFonts w:ascii="Calibri" w:hAnsi="Calibri"/>
          <w:color w:val="414042"/>
          <w:w w:val="105"/>
          <w:sz w:val="16"/>
        </w:rPr>
        <w:t>del</w:t>
      </w:r>
      <w:r>
        <w:rPr>
          <w:rFonts w:ascii="Calibri" w:hAnsi="Calibri"/>
          <w:color w:val="414042"/>
          <w:spacing w:val="-18"/>
          <w:w w:val="105"/>
          <w:sz w:val="16"/>
        </w:rPr>
        <w:t> </w:t>
      </w:r>
      <w:r>
        <w:rPr>
          <w:rFonts w:ascii="Calibri" w:hAnsi="Calibri"/>
          <w:color w:val="414042"/>
          <w:w w:val="105"/>
          <w:sz w:val="16"/>
        </w:rPr>
        <w:t>trabajo se</w:t>
      </w:r>
      <w:r>
        <w:rPr>
          <w:rFonts w:ascii="Calibri" w:hAnsi="Calibri"/>
          <w:color w:val="414042"/>
          <w:spacing w:val="-11"/>
          <w:w w:val="105"/>
          <w:sz w:val="16"/>
        </w:rPr>
        <w:t> </w:t>
      </w:r>
      <w:r>
        <w:rPr>
          <w:rFonts w:ascii="Calibri" w:hAnsi="Calibri"/>
          <w:color w:val="414042"/>
          <w:w w:val="105"/>
          <w:sz w:val="16"/>
        </w:rPr>
        <w:t>rigen</w:t>
      </w:r>
      <w:r>
        <w:rPr>
          <w:rFonts w:ascii="Calibri" w:hAnsi="Calibri"/>
          <w:color w:val="414042"/>
          <w:spacing w:val="-11"/>
          <w:w w:val="105"/>
          <w:sz w:val="16"/>
        </w:rPr>
        <w:t> </w:t>
      </w:r>
      <w:r>
        <w:rPr>
          <w:rFonts w:ascii="Calibri" w:hAnsi="Calibri"/>
          <w:color w:val="414042"/>
          <w:w w:val="105"/>
          <w:sz w:val="16"/>
        </w:rPr>
        <w:t>por</w:t>
      </w:r>
      <w:r>
        <w:rPr>
          <w:rFonts w:ascii="Calibri" w:hAnsi="Calibri"/>
          <w:color w:val="414042"/>
          <w:spacing w:val="-11"/>
          <w:w w:val="105"/>
          <w:sz w:val="16"/>
        </w:rPr>
        <w:t> </w:t>
      </w:r>
      <w:r>
        <w:rPr>
          <w:rFonts w:ascii="Calibri" w:hAnsi="Calibri"/>
          <w:color w:val="414042"/>
          <w:w w:val="105"/>
          <w:sz w:val="16"/>
        </w:rPr>
        <w:t>normas</w:t>
      </w:r>
      <w:r>
        <w:rPr>
          <w:rFonts w:ascii="Calibri" w:hAnsi="Calibri"/>
          <w:color w:val="414042"/>
          <w:spacing w:val="-12"/>
          <w:w w:val="105"/>
          <w:sz w:val="16"/>
        </w:rPr>
        <w:t> </w:t>
      </w:r>
      <w:r>
        <w:rPr>
          <w:rFonts w:ascii="Calibri" w:hAnsi="Calibri"/>
          <w:color w:val="414042"/>
          <w:w w:val="105"/>
          <w:sz w:val="16"/>
        </w:rPr>
        <w:t>y</w:t>
      </w:r>
      <w:r>
        <w:rPr>
          <w:rFonts w:ascii="Calibri" w:hAnsi="Calibri"/>
          <w:color w:val="414042"/>
          <w:spacing w:val="-11"/>
          <w:w w:val="105"/>
          <w:sz w:val="16"/>
        </w:rPr>
        <w:t> </w:t>
      </w:r>
      <w:r>
        <w:rPr>
          <w:rFonts w:ascii="Calibri" w:hAnsi="Calibri"/>
          <w:color w:val="414042"/>
          <w:w w:val="105"/>
          <w:sz w:val="16"/>
        </w:rPr>
        <w:t>procedimientos</w:t>
      </w:r>
      <w:r>
        <w:rPr>
          <w:rFonts w:ascii="Calibri" w:hAnsi="Calibri"/>
          <w:color w:val="414042"/>
          <w:spacing w:val="-11"/>
          <w:w w:val="105"/>
          <w:sz w:val="16"/>
        </w:rPr>
        <w:t> </w:t>
      </w:r>
      <w:r>
        <w:rPr>
          <w:rFonts w:ascii="Calibri" w:hAnsi="Calibri"/>
          <w:color w:val="414042"/>
          <w:w w:val="105"/>
          <w:sz w:val="16"/>
        </w:rPr>
        <w:t>administrativos</w:t>
      </w:r>
      <w:r>
        <w:rPr>
          <w:rFonts w:ascii="Calibri" w:hAnsi="Calibri"/>
          <w:color w:val="414042"/>
          <w:spacing w:val="-11"/>
          <w:w w:val="105"/>
          <w:sz w:val="16"/>
        </w:rPr>
        <w:t> </w:t>
      </w:r>
      <w:r>
        <w:rPr>
          <w:rFonts w:ascii="Calibri" w:hAnsi="Calibri"/>
          <w:color w:val="414042"/>
          <w:w w:val="105"/>
          <w:sz w:val="16"/>
        </w:rPr>
        <w:t>internos</w:t>
      </w:r>
      <w:r>
        <w:rPr>
          <w:rFonts w:ascii="Calibri" w:hAnsi="Calibri"/>
          <w:color w:val="414042"/>
          <w:spacing w:val="-11"/>
          <w:w w:val="105"/>
          <w:sz w:val="16"/>
        </w:rPr>
        <w:t> </w:t>
      </w:r>
      <w:r>
        <w:rPr>
          <w:rFonts w:ascii="Calibri" w:hAnsi="Calibri"/>
          <w:color w:val="414042"/>
          <w:w w:val="105"/>
          <w:sz w:val="16"/>
        </w:rPr>
        <w:t>(Solow,</w:t>
      </w:r>
      <w:r>
        <w:rPr>
          <w:rFonts w:ascii="Calibri" w:hAnsi="Calibri"/>
          <w:color w:val="414042"/>
          <w:spacing w:val="-11"/>
          <w:w w:val="105"/>
          <w:sz w:val="16"/>
        </w:rPr>
        <w:t> </w:t>
      </w:r>
      <w:r>
        <w:rPr>
          <w:rFonts w:ascii="Calibri" w:hAnsi="Calibri"/>
          <w:color w:val="414042"/>
          <w:w w:val="105"/>
          <w:sz w:val="16"/>
        </w:rPr>
        <w:t>1992;</w:t>
      </w:r>
      <w:r>
        <w:rPr>
          <w:rFonts w:ascii="Calibri" w:hAnsi="Calibri"/>
          <w:color w:val="414042"/>
          <w:spacing w:val="-11"/>
          <w:w w:val="105"/>
          <w:sz w:val="16"/>
        </w:rPr>
        <w:t> </w:t>
      </w:r>
      <w:r>
        <w:rPr>
          <w:rFonts w:ascii="Calibri" w:hAnsi="Calibri"/>
          <w:color w:val="414042"/>
          <w:w w:val="105"/>
          <w:sz w:val="16"/>
        </w:rPr>
        <w:t>Selva,</w:t>
      </w:r>
      <w:r>
        <w:rPr>
          <w:rFonts w:ascii="Calibri" w:hAnsi="Calibri"/>
          <w:color w:val="414042"/>
          <w:spacing w:val="-11"/>
          <w:w w:val="105"/>
          <w:sz w:val="16"/>
        </w:rPr>
        <w:t> </w:t>
      </w:r>
      <w:r>
        <w:rPr>
          <w:rFonts w:ascii="Calibri" w:hAnsi="Calibri"/>
          <w:color w:val="414042"/>
          <w:w w:val="105"/>
          <w:sz w:val="16"/>
        </w:rPr>
        <w:t>2004).</w:t>
      </w:r>
      <w:r>
        <w:rPr>
          <w:rFonts w:ascii="Calibri" w:hAnsi="Calibri"/>
          <w:color w:val="414042"/>
          <w:spacing w:val="-11"/>
          <w:w w:val="105"/>
          <w:sz w:val="16"/>
        </w:rPr>
        <w:t> </w:t>
      </w:r>
      <w:r>
        <w:rPr>
          <w:rFonts w:ascii="Calibri" w:hAnsi="Calibri"/>
          <w:color w:val="414042"/>
          <w:w w:val="105"/>
          <w:sz w:val="16"/>
        </w:rPr>
        <w:t>Se</w:t>
      </w:r>
      <w:r>
        <w:rPr>
          <w:rFonts w:ascii="Calibri" w:hAnsi="Calibri"/>
          <w:color w:val="414042"/>
          <w:spacing w:val="-11"/>
          <w:w w:val="105"/>
          <w:sz w:val="16"/>
        </w:rPr>
        <w:t> </w:t>
      </w:r>
      <w:r>
        <w:rPr>
          <w:rFonts w:ascii="Calibri" w:hAnsi="Calibri"/>
          <w:color w:val="414042"/>
          <w:w w:val="105"/>
          <w:sz w:val="16"/>
        </w:rPr>
        <w:t>caracteri- zan</w:t>
      </w:r>
      <w:r>
        <w:rPr>
          <w:rFonts w:ascii="Calibri" w:hAnsi="Calibri"/>
          <w:color w:val="414042"/>
          <w:spacing w:val="-11"/>
          <w:w w:val="105"/>
          <w:sz w:val="16"/>
        </w:rPr>
        <w:t> </w:t>
      </w:r>
      <w:r>
        <w:rPr>
          <w:rFonts w:ascii="Calibri" w:hAnsi="Calibri"/>
          <w:color w:val="414042"/>
          <w:w w:val="105"/>
          <w:sz w:val="16"/>
        </w:rPr>
        <w:t>por</w:t>
      </w:r>
      <w:r>
        <w:rPr>
          <w:rFonts w:ascii="Calibri" w:hAnsi="Calibri"/>
          <w:color w:val="414042"/>
          <w:spacing w:val="-11"/>
          <w:w w:val="105"/>
          <w:sz w:val="16"/>
        </w:rPr>
        <w:t> </w:t>
      </w:r>
      <w:r>
        <w:rPr>
          <w:rFonts w:ascii="Calibri" w:hAnsi="Calibri"/>
          <w:color w:val="414042"/>
          <w:w w:val="105"/>
          <w:sz w:val="16"/>
        </w:rPr>
        <w:t>ser</w:t>
      </w:r>
      <w:r>
        <w:rPr>
          <w:rFonts w:ascii="Calibri" w:hAnsi="Calibri"/>
          <w:color w:val="414042"/>
          <w:spacing w:val="-11"/>
          <w:w w:val="105"/>
          <w:sz w:val="16"/>
        </w:rPr>
        <w:t> </w:t>
      </w:r>
      <w:r>
        <w:rPr>
          <w:rFonts w:ascii="Calibri" w:hAnsi="Calibri"/>
          <w:color w:val="414042"/>
          <w:w w:val="105"/>
          <w:sz w:val="16"/>
        </w:rPr>
        <w:t>organizaciones</w:t>
      </w:r>
      <w:r>
        <w:rPr>
          <w:rFonts w:ascii="Calibri" w:hAnsi="Calibri"/>
          <w:color w:val="414042"/>
          <w:spacing w:val="-11"/>
          <w:w w:val="105"/>
          <w:sz w:val="16"/>
        </w:rPr>
        <w:t> </w:t>
      </w:r>
      <w:r>
        <w:rPr>
          <w:rFonts w:ascii="Calibri" w:hAnsi="Calibri"/>
          <w:color w:val="414042"/>
          <w:w w:val="105"/>
          <w:sz w:val="16"/>
        </w:rPr>
        <w:t>que</w:t>
      </w:r>
      <w:r>
        <w:rPr>
          <w:rFonts w:ascii="Calibri" w:hAnsi="Calibri"/>
          <w:color w:val="414042"/>
          <w:spacing w:val="-11"/>
          <w:w w:val="105"/>
          <w:sz w:val="16"/>
        </w:rPr>
        <w:t> </w:t>
      </w:r>
      <w:r>
        <w:rPr>
          <w:rFonts w:ascii="Calibri" w:hAnsi="Calibri"/>
          <w:color w:val="414042"/>
          <w:w w:val="105"/>
          <w:sz w:val="16"/>
        </w:rPr>
        <w:t>se</w:t>
      </w:r>
      <w:r>
        <w:rPr>
          <w:rFonts w:ascii="Calibri" w:hAnsi="Calibri"/>
          <w:color w:val="414042"/>
          <w:spacing w:val="-11"/>
          <w:w w:val="105"/>
          <w:sz w:val="16"/>
        </w:rPr>
        <w:t> </w:t>
      </w:r>
      <w:r>
        <w:rPr>
          <w:rFonts w:ascii="Calibri" w:hAnsi="Calibri"/>
          <w:color w:val="414042"/>
          <w:w w:val="105"/>
          <w:sz w:val="16"/>
        </w:rPr>
        <w:t>protegen</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competencia</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los</w:t>
      </w:r>
      <w:r>
        <w:rPr>
          <w:rFonts w:ascii="Calibri" w:hAnsi="Calibri"/>
          <w:color w:val="414042"/>
          <w:spacing w:val="-11"/>
          <w:w w:val="105"/>
          <w:sz w:val="16"/>
        </w:rPr>
        <w:t> </w:t>
      </w:r>
      <w:r>
        <w:rPr>
          <w:rFonts w:ascii="Calibri" w:hAnsi="Calibri"/>
          <w:color w:val="414042"/>
          <w:w w:val="105"/>
          <w:sz w:val="16"/>
        </w:rPr>
        <w:t>trabajadores</w:t>
      </w:r>
      <w:r>
        <w:rPr>
          <w:rFonts w:ascii="Calibri" w:hAnsi="Calibri"/>
          <w:color w:val="414042"/>
          <w:spacing w:val="-11"/>
          <w:w w:val="105"/>
          <w:sz w:val="16"/>
        </w:rPr>
        <w:t> </w:t>
      </w:r>
      <w:r>
        <w:rPr>
          <w:rFonts w:ascii="Calibri" w:hAnsi="Calibri"/>
          <w:color w:val="414042"/>
          <w:w w:val="105"/>
          <w:sz w:val="16"/>
        </w:rPr>
        <w:t>del</w:t>
      </w:r>
      <w:r>
        <w:rPr>
          <w:rFonts w:ascii="Calibri" w:hAnsi="Calibri"/>
          <w:color w:val="414042"/>
          <w:spacing w:val="-11"/>
          <w:w w:val="105"/>
          <w:sz w:val="16"/>
        </w:rPr>
        <w:t> </w:t>
      </w:r>
      <w:r>
        <w:rPr>
          <w:rFonts w:ascii="Calibri" w:hAnsi="Calibri"/>
          <w:color w:val="414042"/>
          <w:w w:val="105"/>
          <w:sz w:val="16"/>
        </w:rPr>
        <w:t>exterior</w:t>
      </w:r>
      <w:r>
        <w:rPr>
          <w:rFonts w:ascii="Calibri" w:hAnsi="Calibri"/>
          <w:color w:val="414042"/>
          <w:spacing w:val="-11"/>
          <w:w w:val="105"/>
          <w:sz w:val="16"/>
        </w:rPr>
        <w:t> </w:t>
      </w:r>
      <w:r>
        <w:rPr>
          <w:rFonts w:ascii="Calibri" w:hAnsi="Calibri"/>
          <w:color w:val="414042"/>
          <w:w w:val="105"/>
          <w:sz w:val="16"/>
        </w:rPr>
        <w:t>(Brunet</w:t>
      </w:r>
      <w:r>
        <w:rPr>
          <w:rFonts w:ascii="Calibri" w:hAnsi="Calibri"/>
          <w:color w:val="414042"/>
          <w:spacing w:val="-13"/>
          <w:w w:val="105"/>
          <w:sz w:val="16"/>
        </w:rPr>
        <w:t> </w:t>
      </w:r>
      <w:r>
        <w:rPr>
          <w:rFonts w:ascii="Calibri" w:hAnsi="Calibri"/>
          <w:color w:val="414042"/>
          <w:w w:val="105"/>
          <w:sz w:val="16"/>
        </w:rPr>
        <w:t>y </w:t>
      </w:r>
      <w:r>
        <w:rPr>
          <w:rFonts w:ascii="Calibri" w:hAnsi="Calibri"/>
          <w:color w:val="414042"/>
          <w:sz w:val="16"/>
        </w:rPr>
        <w:t>Morell,</w:t>
      </w:r>
      <w:r>
        <w:rPr>
          <w:rFonts w:ascii="Calibri" w:hAnsi="Calibri"/>
          <w:color w:val="414042"/>
          <w:spacing w:val="-8"/>
          <w:sz w:val="16"/>
        </w:rPr>
        <w:t> </w:t>
      </w:r>
      <w:r>
        <w:rPr>
          <w:rFonts w:ascii="Calibri" w:hAnsi="Calibri"/>
          <w:color w:val="414042"/>
          <w:sz w:val="16"/>
        </w:rPr>
        <w:t>1998).</w:t>
      </w:r>
    </w:p>
    <w:p>
      <w:pPr>
        <w:spacing w:after="0" w:line="192" w:lineRule="exact"/>
        <w:jc w:val="both"/>
        <w:rPr>
          <w:rFonts w:ascii="Calibri" w:hAnsi="Calibri"/>
          <w:sz w:val="16"/>
        </w:rPr>
        <w:sectPr>
          <w:pgSz w:w="9640" w:h="13890"/>
          <w:pgMar w:top="0" w:bottom="280" w:left="1300" w:right="1180"/>
        </w:sectPr>
      </w:pPr>
    </w:p>
    <w:p>
      <w:pPr>
        <w:pStyle w:val="BodyText"/>
        <w:spacing w:line="259" w:lineRule="auto" w:before="120"/>
        <w:ind w:left="104" w:right="107" w:hanging="1"/>
        <w:jc w:val="both"/>
      </w:pPr>
      <w:r>
        <w:rPr>
          <w:color w:val="231F20"/>
          <w:w w:val="105"/>
        </w:rPr>
        <w:t>y</w:t>
      </w:r>
      <w:r>
        <w:rPr>
          <w:color w:val="231F20"/>
          <w:spacing w:val="-23"/>
          <w:w w:val="105"/>
        </w:rPr>
        <w:t> </w:t>
      </w:r>
      <w:r>
        <w:rPr>
          <w:color w:val="231F20"/>
          <w:w w:val="105"/>
        </w:rPr>
        <w:t>externos</w:t>
      </w:r>
      <w:r>
        <w:rPr>
          <w:color w:val="231F20"/>
          <w:w w:val="105"/>
          <w:position w:val="7"/>
          <w:sz w:val="12"/>
        </w:rPr>
        <w:t>3</w:t>
      </w:r>
      <w:r>
        <w:rPr>
          <w:color w:val="231F20"/>
          <w:w w:val="105"/>
        </w:rPr>
        <w:t>,</w:t>
      </w:r>
      <w:r>
        <w:rPr>
          <w:color w:val="231F20"/>
          <w:spacing w:val="-28"/>
          <w:w w:val="105"/>
        </w:rPr>
        <w:t> </w:t>
      </w:r>
      <w:r>
        <w:rPr>
          <w:color w:val="231F20"/>
          <w:w w:val="105"/>
        </w:rPr>
        <w:t>marcando</w:t>
      </w:r>
      <w:r>
        <w:rPr>
          <w:color w:val="231F20"/>
          <w:spacing w:val="-23"/>
          <w:w w:val="105"/>
        </w:rPr>
        <w:t> </w:t>
      </w:r>
      <w:r>
        <w:rPr>
          <w:color w:val="231F20"/>
          <w:w w:val="105"/>
        </w:rPr>
        <w:t>la</w:t>
      </w:r>
      <w:r>
        <w:rPr>
          <w:color w:val="231F20"/>
          <w:spacing w:val="-23"/>
          <w:w w:val="105"/>
        </w:rPr>
        <w:t> </w:t>
      </w:r>
      <w:r>
        <w:rPr>
          <w:color w:val="231F20"/>
          <w:w w:val="105"/>
        </w:rPr>
        <w:t>diferenciación</w:t>
      </w:r>
      <w:r>
        <w:rPr>
          <w:color w:val="231F20"/>
          <w:spacing w:val="-23"/>
          <w:w w:val="105"/>
        </w:rPr>
        <w:t> </w:t>
      </w:r>
      <w:r>
        <w:rPr>
          <w:color w:val="231F20"/>
          <w:w w:val="105"/>
        </w:rPr>
        <w:t>entre</w:t>
      </w:r>
      <w:r>
        <w:rPr>
          <w:color w:val="231F20"/>
          <w:spacing w:val="-23"/>
          <w:w w:val="105"/>
        </w:rPr>
        <w:t> </w:t>
      </w:r>
      <w:r>
        <w:rPr>
          <w:color w:val="231F20"/>
          <w:w w:val="105"/>
        </w:rPr>
        <w:t>los</w:t>
      </w:r>
      <w:r>
        <w:rPr>
          <w:color w:val="231F20"/>
          <w:spacing w:val="-23"/>
          <w:w w:val="105"/>
        </w:rPr>
        <w:t> </w:t>
      </w:r>
      <w:r>
        <w:rPr>
          <w:color w:val="231F20"/>
          <w:w w:val="105"/>
        </w:rPr>
        <w:t>trabajadores</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en- cuentran</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mercado</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encuentran</w:t>
      </w:r>
      <w:r>
        <w:rPr>
          <w:color w:val="231F20"/>
          <w:spacing w:val="-20"/>
          <w:w w:val="105"/>
        </w:rPr>
        <w:t> </w:t>
      </w:r>
      <w:r>
        <w:rPr>
          <w:color w:val="231F20"/>
          <w:w w:val="105"/>
        </w:rPr>
        <w:t>fuera</w:t>
      </w:r>
      <w:r>
        <w:rPr>
          <w:color w:val="231F20"/>
          <w:spacing w:val="-20"/>
          <w:w w:val="105"/>
        </w:rPr>
        <w:t> </w:t>
      </w:r>
      <w:r>
        <w:rPr>
          <w:color w:val="231F20"/>
          <w:w w:val="105"/>
        </w:rPr>
        <w:t>de</w:t>
      </w:r>
      <w:r>
        <w:rPr>
          <w:color w:val="231F20"/>
          <w:spacing w:val="-20"/>
          <w:w w:val="105"/>
        </w:rPr>
        <w:t> </w:t>
      </w:r>
      <w:r>
        <w:rPr>
          <w:color w:val="231F20"/>
          <w:w w:val="105"/>
        </w:rPr>
        <w:t>éste. Esta</w:t>
      </w:r>
      <w:r>
        <w:rPr>
          <w:color w:val="231F20"/>
          <w:spacing w:val="-25"/>
          <w:w w:val="105"/>
        </w:rPr>
        <w:t> </w:t>
      </w:r>
      <w:r>
        <w:rPr>
          <w:color w:val="231F20"/>
          <w:w w:val="105"/>
        </w:rPr>
        <w:t>teoría</w:t>
      </w:r>
      <w:r>
        <w:rPr>
          <w:color w:val="231F20"/>
          <w:spacing w:val="-25"/>
          <w:w w:val="105"/>
        </w:rPr>
        <w:t> </w:t>
      </w:r>
      <w:r>
        <w:rPr>
          <w:color w:val="231F20"/>
          <w:w w:val="105"/>
        </w:rPr>
        <w:t>supone</w:t>
      </w:r>
      <w:r>
        <w:rPr>
          <w:color w:val="231F20"/>
          <w:spacing w:val="-25"/>
          <w:w w:val="105"/>
        </w:rPr>
        <w:t> </w:t>
      </w:r>
      <w:r>
        <w:rPr>
          <w:color w:val="231F20"/>
          <w:w w:val="105"/>
        </w:rPr>
        <w:t>la</w:t>
      </w:r>
      <w:r>
        <w:rPr>
          <w:color w:val="231F20"/>
          <w:spacing w:val="-25"/>
          <w:w w:val="105"/>
        </w:rPr>
        <w:t> </w:t>
      </w:r>
      <w:r>
        <w:rPr>
          <w:color w:val="231F20"/>
          <w:w w:val="105"/>
        </w:rPr>
        <w:t>existencia</w:t>
      </w:r>
      <w:r>
        <w:rPr>
          <w:color w:val="231F20"/>
          <w:spacing w:val="-25"/>
          <w:w w:val="105"/>
        </w:rPr>
        <w:t> </w:t>
      </w:r>
      <w:r>
        <w:rPr>
          <w:color w:val="231F20"/>
          <w:w w:val="105"/>
        </w:rPr>
        <w:t>de</w:t>
      </w:r>
      <w:r>
        <w:rPr>
          <w:color w:val="231F20"/>
          <w:spacing w:val="-25"/>
          <w:w w:val="105"/>
        </w:rPr>
        <w:t> </w:t>
      </w:r>
      <w:r>
        <w:rPr>
          <w:color w:val="231F20"/>
          <w:w w:val="105"/>
        </w:rPr>
        <w:t>trabajadores</w:t>
      </w:r>
      <w:r>
        <w:rPr>
          <w:color w:val="231F20"/>
          <w:spacing w:val="-25"/>
          <w:w w:val="105"/>
        </w:rPr>
        <w:t> </w:t>
      </w:r>
      <w:r>
        <w:rPr>
          <w:color w:val="231F20"/>
          <w:w w:val="105"/>
        </w:rPr>
        <w:t>internos</w:t>
      </w:r>
      <w:r>
        <w:rPr>
          <w:color w:val="231F20"/>
          <w:spacing w:val="-25"/>
          <w:w w:val="105"/>
        </w:rPr>
        <w:t> </w:t>
      </w:r>
      <w:r>
        <w:rPr>
          <w:color w:val="231F20"/>
          <w:w w:val="105"/>
        </w:rPr>
        <w:t>y</w:t>
      </w:r>
      <w:r>
        <w:rPr>
          <w:color w:val="231F20"/>
          <w:spacing w:val="-25"/>
          <w:w w:val="105"/>
        </w:rPr>
        <w:t> </w:t>
      </w:r>
      <w:r>
        <w:rPr>
          <w:color w:val="231F20"/>
          <w:w w:val="105"/>
        </w:rPr>
        <w:t>externos</w:t>
      </w:r>
      <w:r>
        <w:rPr>
          <w:color w:val="231F20"/>
          <w:spacing w:val="-25"/>
          <w:w w:val="105"/>
        </w:rPr>
        <w:t> </w:t>
      </w:r>
      <w:r>
        <w:rPr>
          <w:color w:val="231F20"/>
          <w:w w:val="105"/>
        </w:rPr>
        <w:t>en</w:t>
      </w:r>
      <w:r>
        <w:rPr>
          <w:color w:val="231F20"/>
          <w:spacing w:val="-25"/>
          <w:w w:val="105"/>
        </w:rPr>
        <w:t> </w:t>
      </w:r>
      <w:r>
        <w:rPr>
          <w:color w:val="231F20"/>
          <w:w w:val="105"/>
        </w:rPr>
        <w:t>el mercado</w:t>
      </w:r>
      <w:r>
        <w:rPr>
          <w:color w:val="231F20"/>
          <w:spacing w:val="-24"/>
          <w:w w:val="105"/>
        </w:rPr>
        <w:t> </w:t>
      </w:r>
      <w:r>
        <w:rPr>
          <w:color w:val="231F20"/>
          <w:w w:val="105"/>
        </w:rPr>
        <w:t>de</w:t>
      </w:r>
      <w:r>
        <w:rPr>
          <w:color w:val="231F20"/>
          <w:spacing w:val="-24"/>
          <w:w w:val="105"/>
        </w:rPr>
        <w:t> </w:t>
      </w:r>
      <w:r>
        <w:rPr>
          <w:color w:val="231F20"/>
          <w:w w:val="105"/>
        </w:rPr>
        <w:t>trabajo.</w:t>
      </w:r>
      <w:r>
        <w:rPr>
          <w:color w:val="231F20"/>
          <w:spacing w:val="-29"/>
          <w:w w:val="105"/>
        </w:rPr>
        <w:t> </w:t>
      </w:r>
      <w:r>
        <w:rPr>
          <w:color w:val="231F20"/>
          <w:w w:val="105"/>
        </w:rPr>
        <w:t>Los</w:t>
      </w:r>
      <w:r>
        <w:rPr>
          <w:color w:val="231F20"/>
          <w:spacing w:val="-24"/>
          <w:w w:val="105"/>
        </w:rPr>
        <w:t> </w:t>
      </w:r>
      <w:r>
        <w:rPr>
          <w:color w:val="231F20"/>
          <w:w w:val="105"/>
        </w:rPr>
        <w:t>trabajadores</w:t>
      </w:r>
      <w:r>
        <w:rPr>
          <w:color w:val="231F20"/>
          <w:spacing w:val="-24"/>
          <w:w w:val="105"/>
        </w:rPr>
        <w:t> </w:t>
      </w:r>
      <w:r>
        <w:rPr>
          <w:color w:val="231F20"/>
          <w:w w:val="105"/>
        </w:rPr>
        <w:t>internos</w:t>
      </w:r>
      <w:r>
        <w:rPr>
          <w:color w:val="231F20"/>
          <w:spacing w:val="-24"/>
          <w:w w:val="105"/>
        </w:rPr>
        <w:t> </w:t>
      </w:r>
      <w:r>
        <w:rPr>
          <w:color w:val="231F20"/>
          <w:w w:val="105"/>
        </w:rPr>
        <w:t>–los</w:t>
      </w:r>
      <w:r>
        <w:rPr>
          <w:color w:val="231F20"/>
          <w:spacing w:val="-24"/>
          <w:w w:val="105"/>
        </w:rPr>
        <w:t> </w:t>
      </w:r>
      <w:r>
        <w:rPr>
          <w:color w:val="231F20"/>
          <w:w w:val="105"/>
        </w:rPr>
        <w:t>que</w:t>
      </w:r>
      <w:r>
        <w:rPr>
          <w:color w:val="231F20"/>
          <w:spacing w:val="-24"/>
          <w:w w:val="105"/>
        </w:rPr>
        <w:t> </w:t>
      </w:r>
      <w:r>
        <w:rPr>
          <w:color w:val="231F20"/>
          <w:w w:val="105"/>
        </w:rPr>
        <w:t>ya</w:t>
      </w:r>
      <w:r>
        <w:rPr>
          <w:color w:val="231F20"/>
          <w:spacing w:val="-24"/>
          <w:w w:val="105"/>
        </w:rPr>
        <w:t> </w:t>
      </w:r>
      <w:r>
        <w:rPr>
          <w:color w:val="231F20"/>
          <w:w w:val="105"/>
        </w:rPr>
        <w:t>se</w:t>
      </w:r>
      <w:r>
        <w:rPr>
          <w:color w:val="231F20"/>
          <w:spacing w:val="-24"/>
          <w:w w:val="105"/>
        </w:rPr>
        <w:t> </w:t>
      </w:r>
      <w:r>
        <w:rPr>
          <w:color w:val="231F20"/>
          <w:w w:val="105"/>
        </w:rPr>
        <w:t>encuentran laborando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empresa</w:t>
      </w:r>
      <w:r>
        <w:rPr>
          <w:color w:val="231F20"/>
          <w:spacing w:val="-16"/>
          <w:w w:val="105"/>
        </w:rPr>
        <w:t> </w:t>
      </w:r>
      <w:r>
        <w:rPr>
          <w:color w:val="231F20"/>
          <w:w w:val="105"/>
        </w:rPr>
        <w:t>y</w:t>
      </w:r>
      <w:r>
        <w:rPr>
          <w:color w:val="231F20"/>
          <w:spacing w:val="-16"/>
          <w:w w:val="105"/>
        </w:rPr>
        <w:t> </w:t>
      </w:r>
      <w:r>
        <w:rPr>
          <w:color w:val="231F20"/>
          <w:w w:val="105"/>
        </w:rPr>
        <w:t>que</w:t>
      </w:r>
      <w:r>
        <w:rPr>
          <w:color w:val="231F20"/>
          <w:spacing w:val="-16"/>
          <w:w w:val="105"/>
        </w:rPr>
        <w:t> </w:t>
      </w:r>
      <w:r>
        <w:rPr>
          <w:color w:val="231F20"/>
          <w:w w:val="105"/>
        </w:rPr>
        <w:t>cuentan</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experiencia</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traba- jo–</w:t>
      </w:r>
      <w:r>
        <w:rPr>
          <w:color w:val="231F20"/>
          <w:spacing w:val="-38"/>
          <w:w w:val="105"/>
        </w:rPr>
        <w:t> </w:t>
      </w:r>
      <w:r>
        <w:rPr>
          <w:color w:val="231F20"/>
          <w:w w:val="105"/>
        </w:rPr>
        <w:t>son</w:t>
      </w:r>
      <w:r>
        <w:rPr>
          <w:color w:val="231F20"/>
          <w:spacing w:val="-38"/>
          <w:w w:val="105"/>
        </w:rPr>
        <w:t> </w:t>
      </w:r>
      <w:r>
        <w:rPr>
          <w:color w:val="231F20"/>
          <w:w w:val="105"/>
        </w:rPr>
        <w:t>los</w:t>
      </w:r>
      <w:r>
        <w:rPr>
          <w:color w:val="231F20"/>
          <w:spacing w:val="-38"/>
          <w:w w:val="105"/>
        </w:rPr>
        <w:t> </w:t>
      </w:r>
      <w:r>
        <w:rPr>
          <w:color w:val="231F20"/>
          <w:w w:val="105"/>
        </w:rPr>
        <w:t>encargados</w:t>
      </w:r>
      <w:r>
        <w:rPr>
          <w:color w:val="231F20"/>
          <w:spacing w:val="-38"/>
          <w:w w:val="105"/>
        </w:rPr>
        <w:t> </w:t>
      </w:r>
      <w:r>
        <w:rPr>
          <w:color w:val="231F20"/>
          <w:w w:val="105"/>
        </w:rPr>
        <w:t>de</w:t>
      </w:r>
      <w:r>
        <w:rPr>
          <w:color w:val="231F20"/>
          <w:spacing w:val="-38"/>
          <w:w w:val="105"/>
        </w:rPr>
        <w:t> </w:t>
      </w:r>
      <w:r>
        <w:rPr>
          <w:color w:val="231F20"/>
          <w:w w:val="105"/>
        </w:rPr>
        <w:t>generar</w:t>
      </w:r>
      <w:r>
        <w:rPr>
          <w:color w:val="231F20"/>
          <w:spacing w:val="-38"/>
          <w:w w:val="105"/>
        </w:rPr>
        <w:t> </w:t>
      </w:r>
      <w:r>
        <w:rPr>
          <w:color w:val="231F20"/>
          <w:w w:val="105"/>
        </w:rPr>
        <w:t>las</w:t>
      </w:r>
      <w:r>
        <w:rPr>
          <w:color w:val="231F20"/>
          <w:spacing w:val="-38"/>
          <w:w w:val="105"/>
        </w:rPr>
        <w:t> </w:t>
      </w:r>
      <w:r>
        <w:rPr>
          <w:color w:val="231F20"/>
          <w:w w:val="105"/>
        </w:rPr>
        <w:t>rentas</w:t>
      </w:r>
      <w:r>
        <w:rPr>
          <w:color w:val="231F20"/>
          <w:spacing w:val="-38"/>
          <w:w w:val="105"/>
        </w:rPr>
        <w:t> </w:t>
      </w:r>
      <w:r>
        <w:rPr>
          <w:color w:val="231F20"/>
          <w:w w:val="105"/>
        </w:rPr>
        <w:t>(ganancias)</w:t>
      </w:r>
      <w:r>
        <w:rPr>
          <w:color w:val="231F20"/>
          <w:spacing w:val="-38"/>
          <w:w w:val="105"/>
        </w:rPr>
        <w:t> </w:t>
      </w:r>
      <w:r>
        <w:rPr>
          <w:color w:val="231F20"/>
          <w:w w:val="105"/>
        </w:rPr>
        <w:t>para</w:t>
      </w:r>
      <w:r>
        <w:rPr>
          <w:color w:val="231F20"/>
          <w:spacing w:val="-38"/>
          <w:w w:val="105"/>
        </w:rPr>
        <w:t> </w:t>
      </w:r>
      <w:r>
        <w:rPr>
          <w:color w:val="231F20"/>
          <w:w w:val="105"/>
        </w:rPr>
        <w:t>la</w:t>
      </w:r>
      <w:r>
        <w:rPr>
          <w:color w:val="231F20"/>
          <w:spacing w:val="-38"/>
          <w:w w:val="105"/>
        </w:rPr>
        <w:t> </w:t>
      </w:r>
      <w:r>
        <w:rPr>
          <w:color w:val="231F20"/>
          <w:w w:val="105"/>
        </w:rPr>
        <w:t>empresa, además</w:t>
      </w:r>
      <w:r>
        <w:rPr>
          <w:color w:val="231F20"/>
          <w:spacing w:val="-25"/>
          <w:w w:val="105"/>
        </w:rPr>
        <w:t> </w:t>
      </w:r>
      <w:r>
        <w:rPr>
          <w:color w:val="231F20"/>
          <w:w w:val="105"/>
        </w:rPr>
        <w:t>de</w:t>
      </w:r>
      <w:r>
        <w:rPr>
          <w:color w:val="231F20"/>
          <w:spacing w:val="-25"/>
          <w:w w:val="105"/>
        </w:rPr>
        <w:t> </w:t>
      </w:r>
      <w:r>
        <w:rPr>
          <w:color w:val="231F20"/>
          <w:w w:val="105"/>
        </w:rPr>
        <w:t>que</w:t>
      </w:r>
      <w:r>
        <w:rPr>
          <w:color w:val="231F20"/>
          <w:spacing w:val="-25"/>
          <w:w w:val="105"/>
        </w:rPr>
        <w:t> </w:t>
      </w:r>
      <w:r>
        <w:rPr>
          <w:color w:val="231F20"/>
          <w:w w:val="105"/>
        </w:rPr>
        <w:t>son</w:t>
      </w:r>
      <w:r>
        <w:rPr>
          <w:color w:val="231F20"/>
          <w:spacing w:val="-25"/>
          <w:w w:val="105"/>
        </w:rPr>
        <w:t> </w:t>
      </w:r>
      <w:r>
        <w:rPr>
          <w:color w:val="231F20"/>
          <w:w w:val="105"/>
        </w:rPr>
        <w:t>capaces</w:t>
      </w:r>
      <w:r>
        <w:rPr>
          <w:color w:val="231F20"/>
          <w:spacing w:val="-25"/>
          <w:w w:val="105"/>
        </w:rPr>
        <w:t> </w:t>
      </w:r>
      <w:r>
        <w:rPr>
          <w:color w:val="231F20"/>
          <w:w w:val="105"/>
        </w:rPr>
        <w:t>de</w:t>
      </w:r>
      <w:r>
        <w:rPr>
          <w:color w:val="231F20"/>
          <w:spacing w:val="-25"/>
          <w:w w:val="105"/>
        </w:rPr>
        <w:t> </w:t>
      </w:r>
      <w:r>
        <w:rPr>
          <w:color w:val="231F20"/>
          <w:w w:val="105"/>
        </w:rPr>
        <w:t>lograr</w:t>
      </w:r>
      <w:r>
        <w:rPr>
          <w:color w:val="231F20"/>
          <w:spacing w:val="-25"/>
          <w:w w:val="105"/>
        </w:rPr>
        <w:t> </w:t>
      </w:r>
      <w:r>
        <w:rPr>
          <w:color w:val="231F20"/>
          <w:w w:val="105"/>
        </w:rPr>
        <w:t>que</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trabajadores</w:t>
      </w:r>
      <w:r>
        <w:rPr>
          <w:color w:val="231F20"/>
          <w:spacing w:val="-25"/>
          <w:w w:val="105"/>
        </w:rPr>
        <w:t> </w:t>
      </w:r>
      <w:r>
        <w:rPr>
          <w:color w:val="231F20"/>
          <w:w w:val="105"/>
        </w:rPr>
        <w:t>externos</w:t>
      </w:r>
      <w:r>
        <w:rPr>
          <w:color w:val="231F20"/>
          <w:spacing w:val="-25"/>
          <w:w w:val="105"/>
        </w:rPr>
        <w:t> </w:t>
      </w:r>
      <w:r>
        <w:rPr>
          <w:color w:val="231F20"/>
          <w:w w:val="105"/>
        </w:rPr>
        <w:t>no se</w:t>
      </w:r>
      <w:r>
        <w:rPr>
          <w:color w:val="231F20"/>
          <w:spacing w:val="-36"/>
          <w:w w:val="105"/>
        </w:rPr>
        <w:t> </w:t>
      </w:r>
      <w:r>
        <w:rPr>
          <w:color w:val="231F20"/>
          <w:w w:val="105"/>
        </w:rPr>
        <w:t>les</w:t>
      </w:r>
      <w:r>
        <w:rPr>
          <w:color w:val="231F20"/>
          <w:spacing w:val="-36"/>
          <w:w w:val="105"/>
        </w:rPr>
        <w:t> </w:t>
      </w:r>
      <w:r>
        <w:rPr>
          <w:color w:val="231F20"/>
          <w:w w:val="105"/>
        </w:rPr>
        <w:t>contrate</w:t>
      </w:r>
      <w:r>
        <w:rPr>
          <w:color w:val="231F20"/>
          <w:spacing w:val="-36"/>
          <w:w w:val="105"/>
        </w:rPr>
        <w:t> </w:t>
      </w:r>
      <w:r>
        <w:rPr>
          <w:color w:val="231F20"/>
          <w:w w:val="105"/>
        </w:rPr>
        <w:t>(Solow,</w:t>
      </w:r>
      <w:r>
        <w:rPr>
          <w:color w:val="231F20"/>
          <w:spacing w:val="-39"/>
          <w:w w:val="105"/>
        </w:rPr>
        <w:t> </w:t>
      </w:r>
      <w:r>
        <w:rPr>
          <w:color w:val="231F20"/>
          <w:w w:val="105"/>
        </w:rPr>
        <w:t>1992).</w:t>
      </w:r>
    </w:p>
    <w:p>
      <w:pPr>
        <w:pStyle w:val="BodyText"/>
        <w:spacing w:line="259" w:lineRule="auto"/>
        <w:ind w:left="104" w:right="114" w:firstLine="567"/>
        <w:jc w:val="both"/>
      </w:pPr>
      <w:r>
        <w:rPr>
          <w:color w:val="231F20"/>
        </w:rPr>
        <w:t>Las siguientes tres generaciones de la teoría de la segmentación formulan sus supuestos a partir de los enfoques de las teorías institucio- nalista, marxista, post-keynesiana, y parte de la teoría neo-marxista del mercado de trabajo (figura 1). En general, las cuatro generaciones sos- tienen que el mercado de trabajo es un espacio socialque no solamen-    te está dividido en sub-mercados, sino que además no se puede tratar como a cualquier otro mercado de bienes (crítica principal a la teoría neoclásica); las reglas que lo gobiernan, en cuanto a comportamiento y actores, difieren de un segmento a otro. Y así, la existencia de la segmen- tación del mercado persiste porque es funcional y facilita la operación de las instituciones capitalistas (Reich, Gordon y Edwards,</w:t>
      </w:r>
      <w:r>
        <w:rPr>
          <w:color w:val="231F20"/>
          <w:spacing w:val="22"/>
        </w:rPr>
        <w:t> </w:t>
      </w:r>
      <w:r>
        <w:rPr>
          <w:color w:val="231F20"/>
        </w:rPr>
        <w:t>1973).</w:t>
      </w:r>
    </w:p>
    <w:p>
      <w:pPr>
        <w:pStyle w:val="BodyText"/>
        <w:spacing w:before="2"/>
      </w:pPr>
    </w:p>
    <w:p>
      <w:pPr>
        <w:spacing w:before="0"/>
        <w:ind w:left="1591" w:right="17" w:firstLine="0"/>
        <w:jc w:val="left"/>
        <w:rPr>
          <w:sz w:val="18"/>
        </w:rPr>
      </w:pPr>
      <w:r>
        <w:rPr/>
        <w:drawing>
          <wp:anchor distT="0" distB="0" distL="0" distR="0" allowOverlap="1" layoutInCell="1" locked="0" behindDoc="0" simplePos="0" relativeHeight="6352">
            <wp:simplePos x="0" y="0"/>
            <wp:positionH relativeFrom="page">
              <wp:posOffset>828001</wp:posOffset>
            </wp:positionH>
            <wp:positionV relativeFrom="paragraph">
              <wp:posOffset>216002</wp:posOffset>
            </wp:positionV>
            <wp:extent cx="4466155" cy="1778127"/>
            <wp:effectExtent l="0" t="0" r="0" b="0"/>
            <wp:wrapTopAndBottom/>
            <wp:docPr id="43" name="image65.png" descr=""/>
            <wp:cNvGraphicFramePr>
              <a:graphicFrameLocks noChangeAspect="1"/>
            </wp:cNvGraphicFramePr>
            <a:graphic>
              <a:graphicData uri="http://schemas.openxmlformats.org/drawingml/2006/picture">
                <pic:pic>
                  <pic:nvPicPr>
                    <pic:cNvPr id="44" name="image65.png"/>
                    <pic:cNvPicPr/>
                  </pic:nvPicPr>
                  <pic:blipFill>
                    <a:blip r:embed="rId88" cstate="print"/>
                    <a:stretch>
                      <a:fillRect/>
                    </a:stretch>
                  </pic:blipFill>
                  <pic:spPr>
                    <a:xfrm>
                      <a:off x="0" y="0"/>
                      <a:ext cx="4466155" cy="1778127"/>
                    </a:xfrm>
                    <a:prstGeom prst="rect">
                      <a:avLst/>
                    </a:prstGeom>
                  </pic:spPr>
                </pic:pic>
              </a:graphicData>
            </a:graphic>
          </wp:anchor>
        </w:drawing>
      </w:r>
      <w:r>
        <w:rPr>
          <w:color w:val="231F20"/>
          <w:w w:val="105"/>
          <w:sz w:val="18"/>
        </w:rPr>
        <w:t>Figura 1. Segmentación del mercado de trabajo</w:t>
      </w:r>
    </w:p>
    <w:p>
      <w:pPr>
        <w:spacing w:before="50"/>
        <w:ind w:left="103" w:right="0" w:firstLine="0"/>
        <w:jc w:val="both"/>
        <w:rPr>
          <w:sz w:val="16"/>
        </w:rPr>
      </w:pPr>
      <w:r>
        <w:rPr>
          <w:color w:val="231F20"/>
          <w:w w:val="105"/>
          <w:sz w:val="16"/>
        </w:rPr>
        <w:t>Fuente: elaboración propia.</w:t>
      </w:r>
    </w:p>
    <w:p>
      <w:pPr>
        <w:pStyle w:val="BodyText"/>
        <w:rPr>
          <w:sz w:val="16"/>
        </w:rPr>
      </w:pPr>
    </w:p>
    <w:p>
      <w:pPr>
        <w:pStyle w:val="BodyText"/>
        <w:spacing w:line="259" w:lineRule="auto" w:before="105"/>
        <w:ind w:left="103" w:right="114"/>
        <w:jc w:val="both"/>
      </w:pPr>
      <w:r>
        <w:rPr>
          <w:color w:val="231F20"/>
          <w:w w:val="105"/>
        </w:rPr>
        <w:t>A continuación se analizan con más detalle las cuatro generaciones</w:t>
      </w:r>
      <w:r>
        <w:rPr>
          <w:color w:val="231F20"/>
          <w:spacing w:val="-28"/>
          <w:w w:val="105"/>
        </w:rPr>
        <w:t> </w:t>
      </w:r>
      <w:r>
        <w:rPr>
          <w:color w:val="231F20"/>
          <w:w w:val="105"/>
        </w:rPr>
        <w:t>de la teoría de la segmentación del mercado de trabajo. Las tres primeras corresponden a las teorías que le dieron origen y que explican la</w:t>
      </w:r>
      <w:r>
        <w:rPr>
          <w:color w:val="231F20"/>
          <w:spacing w:val="-38"/>
          <w:w w:val="105"/>
        </w:rPr>
        <w:t> </w:t>
      </w:r>
      <w:r>
        <w:rPr>
          <w:color w:val="231F20"/>
          <w:w w:val="105"/>
        </w:rPr>
        <w:t>teoría de</w:t>
      </w:r>
      <w:r>
        <w:rPr>
          <w:color w:val="231F20"/>
          <w:spacing w:val="-21"/>
          <w:w w:val="105"/>
        </w:rPr>
        <w:t> </w:t>
      </w:r>
      <w:r>
        <w:rPr>
          <w:color w:val="231F20"/>
          <w:w w:val="105"/>
        </w:rPr>
        <w:t>la</w:t>
      </w:r>
      <w:r>
        <w:rPr>
          <w:color w:val="231F20"/>
          <w:spacing w:val="-21"/>
          <w:w w:val="105"/>
        </w:rPr>
        <w:t> </w:t>
      </w:r>
      <w:r>
        <w:rPr>
          <w:color w:val="231F20"/>
          <w:w w:val="105"/>
        </w:rPr>
        <w:t>segmentación</w:t>
      </w:r>
      <w:r>
        <w:rPr>
          <w:color w:val="231F20"/>
          <w:spacing w:val="-21"/>
          <w:w w:val="105"/>
        </w:rPr>
        <w:t> </w:t>
      </w:r>
      <w:r>
        <w:rPr>
          <w:color w:val="231F20"/>
          <w:w w:val="105"/>
        </w:rPr>
        <w:t>desde</w:t>
      </w:r>
      <w:r>
        <w:rPr>
          <w:color w:val="231F20"/>
          <w:spacing w:val="-21"/>
          <w:w w:val="105"/>
        </w:rPr>
        <w:t> </w:t>
      </w:r>
      <w:r>
        <w:rPr>
          <w:color w:val="231F20"/>
          <w:w w:val="105"/>
        </w:rPr>
        <w:t>la</w:t>
      </w:r>
      <w:r>
        <w:rPr>
          <w:color w:val="231F20"/>
          <w:spacing w:val="-21"/>
          <w:w w:val="105"/>
        </w:rPr>
        <w:t> </w:t>
      </w:r>
      <w:r>
        <w:rPr>
          <w:color w:val="231F20"/>
          <w:w w:val="105"/>
        </w:rPr>
        <w:t>perspectiva</w:t>
      </w:r>
      <w:r>
        <w:rPr>
          <w:color w:val="231F20"/>
          <w:spacing w:val="-21"/>
          <w:w w:val="105"/>
        </w:rPr>
        <w:t> </w:t>
      </w:r>
      <w:r>
        <w:rPr>
          <w:color w:val="231F20"/>
          <w:w w:val="105"/>
        </w:rPr>
        <w:t>que</w:t>
      </w:r>
      <w:r>
        <w:rPr>
          <w:color w:val="231F20"/>
          <w:spacing w:val="-21"/>
          <w:w w:val="105"/>
        </w:rPr>
        <w:t> </w:t>
      </w:r>
      <w:r>
        <w:rPr>
          <w:color w:val="231F20"/>
          <w:w w:val="105"/>
        </w:rPr>
        <w:t>marca</w:t>
      </w:r>
      <w:r>
        <w:rPr>
          <w:color w:val="231F20"/>
          <w:spacing w:val="-21"/>
          <w:w w:val="105"/>
        </w:rPr>
        <w:t> </w:t>
      </w:r>
      <w:r>
        <w:rPr>
          <w:color w:val="231F20"/>
          <w:w w:val="105"/>
        </w:rPr>
        <w:t>la</w:t>
      </w:r>
      <w:r>
        <w:rPr>
          <w:color w:val="231F20"/>
          <w:spacing w:val="-21"/>
          <w:w w:val="105"/>
        </w:rPr>
        <w:t> </w:t>
      </w:r>
      <w:r>
        <w:rPr>
          <w:color w:val="231F20"/>
          <w:w w:val="105"/>
        </w:rPr>
        <w:t>diferencia</w:t>
      </w:r>
      <w:r>
        <w:rPr>
          <w:color w:val="231F20"/>
          <w:spacing w:val="-21"/>
          <w:w w:val="105"/>
        </w:rPr>
        <w:t> </w:t>
      </w:r>
      <w:r>
        <w:rPr>
          <w:color w:val="231F20"/>
          <w:w w:val="105"/>
        </w:rPr>
        <w:t>entre</w:t>
      </w:r>
      <w:r>
        <w:rPr>
          <w:color w:val="231F20"/>
          <w:spacing w:val="-21"/>
          <w:w w:val="105"/>
        </w:rPr>
        <w:t> </w:t>
      </w:r>
      <w:r>
        <w:rPr>
          <w:color w:val="231F20"/>
          <w:w w:val="105"/>
        </w:rPr>
        <w:t>la simple</w:t>
      </w:r>
      <w:r>
        <w:rPr>
          <w:color w:val="231F20"/>
          <w:spacing w:val="-10"/>
          <w:w w:val="105"/>
        </w:rPr>
        <w:t> </w:t>
      </w:r>
      <w:r>
        <w:rPr>
          <w:color w:val="231F20"/>
          <w:w w:val="105"/>
        </w:rPr>
        <w:t>división</w:t>
      </w:r>
      <w:r>
        <w:rPr>
          <w:color w:val="231F20"/>
          <w:spacing w:val="-10"/>
          <w:w w:val="105"/>
        </w:rPr>
        <w:t> </w:t>
      </w:r>
      <w:r>
        <w:rPr>
          <w:color w:val="231F20"/>
          <w:w w:val="105"/>
        </w:rPr>
        <w:t>(sub-mercados)</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segmentación</w:t>
      </w:r>
      <w:r>
        <w:rPr>
          <w:color w:val="231F20"/>
          <w:spacing w:val="-10"/>
          <w:w w:val="105"/>
        </w:rPr>
        <w:t> </w:t>
      </w:r>
      <w:r>
        <w:rPr>
          <w:color w:val="231F20"/>
          <w:w w:val="105"/>
        </w:rPr>
        <w:t>(sectores</w:t>
      </w:r>
      <w:r>
        <w:rPr>
          <w:color w:val="231F20"/>
          <w:spacing w:val="-10"/>
          <w:w w:val="105"/>
        </w:rPr>
        <w:t> </w:t>
      </w:r>
      <w:r>
        <w:rPr>
          <w:color w:val="231F20"/>
          <w:w w:val="105"/>
        </w:rPr>
        <w:t>bien</w:t>
      </w:r>
      <w:r>
        <w:rPr>
          <w:color w:val="231F20"/>
          <w:spacing w:val="-10"/>
          <w:w w:val="105"/>
        </w:rPr>
        <w:t> </w:t>
      </w:r>
      <w:r>
        <w:rPr>
          <w:color w:val="231F20"/>
          <w:w w:val="105"/>
        </w:rPr>
        <w:t>defini- dos</w:t>
      </w:r>
      <w:r>
        <w:rPr>
          <w:color w:val="231F20"/>
          <w:spacing w:val="-19"/>
          <w:w w:val="105"/>
        </w:rPr>
        <w:t> </w:t>
      </w:r>
      <w:r>
        <w:rPr>
          <w:color w:val="231F20"/>
          <w:w w:val="105"/>
        </w:rPr>
        <w:t>y</w:t>
      </w:r>
      <w:r>
        <w:rPr>
          <w:color w:val="231F20"/>
          <w:spacing w:val="-19"/>
          <w:w w:val="105"/>
        </w:rPr>
        <w:t> </w:t>
      </w:r>
      <w:r>
        <w:rPr>
          <w:color w:val="231F20"/>
          <w:w w:val="105"/>
        </w:rPr>
        <w:t>diferenciados).</w:t>
      </w:r>
      <w:r>
        <w:rPr>
          <w:color w:val="231F20"/>
          <w:spacing w:val="-24"/>
          <w:w w:val="105"/>
        </w:rPr>
        <w:t> </w:t>
      </w:r>
      <w:r>
        <w:rPr>
          <w:color w:val="231F20"/>
          <w:w w:val="105"/>
        </w:rPr>
        <w:t>La</w:t>
      </w:r>
      <w:r>
        <w:rPr>
          <w:color w:val="231F20"/>
          <w:spacing w:val="-19"/>
          <w:w w:val="105"/>
        </w:rPr>
        <w:t> </w:t>
      </w:r>
      <w:r>
        <w:rPr>
          <w:color w:val="231F20"/>
          <w:w w:val="105"/>
        </w:rPr>
        <w:t>cuarta</w:t>
      </w:r>
      <w:r>
        <w:rPr>
          <w:color w:val="231F20"/>
          <w:spacing w:val="-19"/>
          <w:w w:val="105"/>
        </w:rPr>
        <w:t> </w:t>
      </w:r>
      <w:r>
        <w:rPr>
          <w:color w:val="231F20"/>
          <w:w w:val="105"/>
        </w:rPr>
        <w:t>generación</w:t>
      </w:r>
      <w:r>
        <w:rPr>
          <w:color w:val="231F20"/>
          <w:spacing w:val="-19"/>
          <w:w w:val="105"/>
        </w:rPr>
        <w:t> </w:t>
      </w:r>
      <w:r>
        <w:rPr>
          <w:color w:val="231F20"/>
          <w:w w:val="105"/>
        </w:rPr>
        <w:t>es</w:t>
      </w:r>
      <w:r>
        <w:rPr>
          <w:color w:val="231F20"/>
          <w:spacing w:val="-19"/>
          <w:w w:val="105"/>
        </w:rPr>
        <w:t> </w:t>
      </w:r>
      <w:r>
        <w:rPr>
          <w:color w:val="231F20"/>
          <w:w w:val="105"/>
        </w:rPr>
        <w:t>una</w:t>
      </w:r>
      <w:r>
        <w:rPr>
          <w:color w:val="231F20"/>
          <w:spacing w:val="-19"/>
          <w:w w:val="105"/>
        </w:rPr>
        <w:t> </w:t>
      </w:r>
      <w:r>
        <w:rPr>
          <w:color w:val="231F20"/>
          <w:w w:val="105"/>
        </w:rPr>
        <w:t>aproximación</w:t>
      </w:r>
      <w:r>
        <w:rPr>
          <w:color w:val="231F20"/>
          <w:spacing w:val="-19"/>
          <w:w w:val="105"/>
        </w:rPr>
        <w:t> </w:t>
      </w:r>
      <w:r>
        <w:rPr>
          <w:color w:val="231F20"/>
          <w:w w:val="105"/>
        </w:rPr>
        <w:t>genera-</w:t>
      </w:r>
    </w:p>
    <w:p>
      <w:pPr>
        <w:pStyle w:val="BodyText"/>
        <w:spacing w:before="7"/>
        <w:rPr>
          <w:sz w:val="15"/>
        </w:rPr>
      </w:pPr>
      <w:r>
        <w:rPr/>
        <w:pict>
          <v:line style="position:absolute;mso-position-horizontal-relative:page;mso-position-vertical-relative:paragraph;z-index:6376;mso-wrap-distance-left:0;mso-wrap-distance-right:0" from="65.1968pt,11.057268pt" to="178.5828pt,11.057268pt" stroked="true" strokeweight=".25pt" strokecolor="#231f20">
            <w10:wrap type="topAndBottom"/>
          </v:line>
        </w:pict>
      </w:r>
    </w:p>
    <w:p>
      <w:pPr>
        <w:spacing w:line="194" w:lineRule="exact" w:before="8"/>
        <w:ind w:left="103" w:right="17" w:firstLine="0"/>
        <w:jc w:val="left"/>
        <w:rPr>
          <w:rFonts w:ascii="Calibri" w:hAnsi="Calibri"/>
          <w:sz w:val="16"/>
        </w:rPr>
      </w:pPr>
      <w:r>
        <w:rPr>
          <w:rFonts w:ascii="Calibri" w:hAnsi="Calibri"/>
          <w:color w:val="414042"/>
          <w:position w:val="5"/>
          <w:sz w:val="9"/>
        </w:rPr>
        <w:t>3       </w:t>
      </w:r>
      <w:r>
        <w:rPr>
          <w:rFonts w:ascii="Calibri" w:hAnsi="Calibri"/>
          <w:color w:val="414042"/>
          <w:sz w:val="16"/>
        </w:rPr>
        <w:t>El mercado de trabajo externo está compuesto por los trabajadores externos (Solow, 1992) y   funciona</w:t>
      </w:r>
    </w:p>
    <w:p>
      <w:pPr>
        <w:spacing w:line="194" w:lineRule="exact" w:before="0"/>
        <w:ind w:left="103" w:right="17" w:firstLine="0"/>
        <w:jc w:val="left"/>
        <w:rPr>
          <w:rFonts w:ascii="Calibri"/>
          <w:sz w:val="16"/>
        </w:rPr>
      </w:pPr>
      <w:r>
        <w:rPr>
          <w:rFonts w:ascii="Calibri"/>
          <w:color w:val="414042"/>
          <w:w w:val="105"/>
          <w:sz w:val="16"/>
        </w:rPr>
        <w:t>como un modelo competitivo (Selva, 2004).</w:t>
      </w:r>
    </w:p>
    <w:p>
      <w:pPr>
        <w:pStyle w:val="BodyText"/>
        <w:rPr>
          <w:rFonts w:ascii="Calibri"/>
          <w:sz w:val="20"/>
        </w:rPr>
      </w:pPr>
    </w:p>
    <w:p>
      <w:pPr>
        <w:pStyle w:val="BodyText"/>
        <w:spacing w:before="10"/>
        <w:rPr>
          <w:rFonts w:ascii="Calibri"/>
          <w:sz w:val="2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52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170</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504"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171</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da</w:t>
      </w:r>
      <w:r>
        <w:rPr>
          <w:color w:val="231F20"/>
          <w:spacing w:val="-8"/>
          <w:w w:val="105"/>
        </w:rPr>
        <w:t> </w:t>
      </w:r>
      <w:r>
        <w:rPr>
          <w:color w:val="231F20"/>
          <w:w w:val="105"/>
        </w:rPr>
        <w:t>y</w:t>
      </w:r>
      <w:r>
        <w:rPr>
          <w:color w:val="231F20"/>
          <w:spacing w:val="-8"/>
          <w:w w:val="105"/>
        </w:rPr>
        <w:t> </w:t>
      </w:r>
      <w:r>
        <w:rPr>
          <w:color w:val="231F20"/>
          <w:w w:val="105"/>
        </w:rPr>
        <w:t>propuesta</w:t>
      </w:r>
      <w:r>
        <w:rPr>
          <w:color w:val="231F20"/>
          <w:spacing w:val="-8"/>
          <w:w w:val="105"/>
        </w:rPr>
        <w:t> </w:t>
      </w:r>
      <w:r>
        <w:rPr>
          <w:color w:val="231F20"/>
          <w:w w:val="105"/>
        </w:rPr>
        <w:t>para</w:t>
      </w:r>
      <w:r>
        <w:rPr>
          <w:color w:val="231F20"/>
          <w:spacing w:val="-8"/>
          <w:w w:val="105"/>
        </w:rPr>
        <w:t> </w:t>
      </w:r>
      <w:r>
        <w:rPr>
          <w:color w:val="231F20"/>
          <w:w w:val="105"/>
        </w:rPr>
        <w:t>fines</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trabajo,</w:t>
      </w:r>
      <w:r>
        <w:rPr>
          <w:color w:val="231F20"/>
          <w:spacing w:val="-15"/>
          <w:w w:val="105"/>
        </w:rPr>
        <w:t> </w:t>
      </w:r>
      <w:r>
        <w:rPr>
          <w:color w:val="231F20"/>
          <w:w w:val="105"/>
        </w:rPr>
        <w:t>con</w:t>
      </w:r>
      <w:r>
        <w:rPr>
          <w:color w:val="231F20"/>
          <w:spacing w:val="-8"/>
          <w:w w:val="105"/>
        </w:rPr>
        <w:t> </w:t>
      </w:r>
      <w:r>
        <w:rPr>
          <w:color w:val="231F20"/>
          <w:w w:val="105"/>
        </w:rPr>
        <w:t>fundamento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investi- gación</w:t>
      </w:r>
      <w:r>
        <w:rPr>
          <w:color w:val="231F20"/>
          <w:spacing w:val="-25"/>
          <w:w w:val="105"/>
        </w:rPr>
        <w:t> </w:t>
      </w:r>
      <w:r>
        <w:rPr>
          <w:color w:val="231F20"/>
          <w:w w:val="105"/>
        </w:rPr>
        <w:t>documental</w:t>
      </w:r>
      <w:r>
        <w:rPr>
          <w:color w:val="231F20"/>
          <w:spacing w:val="-25"/>
          <w:w w:val="105"/>
        </w:rPr>
        <w:t> </w:t>
      </w:r>
      <w:r>
        <w:rPr>
          <w:color w:val="231F20"/>
          <w:w w:val="105"/>
        </w:rPr>
        <w:t>realizada.</w:t>
      </w:r>
    </w:p>
    <w:p>
      <w:pPr>
        <w:spacing w:line="249" w:lineRule="auto" w:before="162"/>
        <w:ind w:left="117" w:right="212" w:firstLine="0"/>
        <w:jc w:val="both"/>
        <w:rPr>
          <w:i/>
          <w:sz w:val="21"/>
        </w:rPr>
      </w:pPr>
      <w:r>
        <w:rPr>
          <w:i/>
          <w:color w:val="231F20"/>
          <w:sz w:val="21"/>
        </w:rPr>
        <w:t>Primera generación de la segmentación del mercado de trabajo – teoría </w:t>
      </w:r>
      <w:r>
        <w:rPr>
          <w:i/>
          <w:color w:val="231F20"/>
          <w:sz w:val="21"/>
        </w:rPr>
        <w:t>institucionalista</w:t>
      </w:r>
    </w:p>
    <w:p>
      <w:pPr>
        <w:pStyle w:val="BodyText"/>
        <w:spacing w:line="259" w:lineRule="auto" w:before="179"/>
        <w:ind w:left="117" w:right="121"/>
        <w:jc w:val="both"/>
      </w:pPr>
      <w:r>
        <w:rPr>
          <w:color w:val="231F20"/>
          <w:w w:val="105"/>
        </w:rPr>
        <w:t>El origen de la primera generación de la teoría de la segmentación se remonta a los principios económicos del trabajo del análisis </w:t>
      </w:r>
      <w:r>
        <w:rPr>
          <w:i/>
          <w:color w:val="231F20"/>
          <w:w w:val="105"/>
        </w:rPr>
        <w:t>path-brea- </w:t>
      </w:r>
      <w:r>
        <w:rPr>
          <w:i/>
          <w:color w:val="231F20"/>
          <w:w w:val="105"/>
        </w:rPr>
        <w:t>king </w:t>
      </w:r>
      <w:r>
        <w:rPr>
          <w:color w:val="231F20"/>
          <w:w w:val="105"/>
        </w:rPr>
        <w:t>propuesto por Kerr (1954), la definición de los mercados internos de Dunlop (1966) y la noción del mercado dual apor Doeringer y Piore (1971). Estos dos últimos autores tomaron la definición de mercado de trabajo</w:t>
      </w:r>
      <w:r>
        <w:rPr>
          <w:color w:val="231F20"/>
          <w:spacing w:val="-9"/>
          <w:w w:val="105"/>
        </w:rPr>
        <w:t> </w:t>
      </w:r>
      <w:r>
        <w:rPr>
          <w:color w:val="231F20"/>
          <w:w w:val="105"/>
        </w:rPr>
        <w:t>interno</w:t>
      </w:r>
      <w:r>
        <w:rPr>
          <w:color w:val="231F20"/>
          <w:spacing w:val="-9"/>
          <w:w w:val="105"/>
        </w:rPr>
        <w:t> </w:t>
      </w:r>
      <w:r>
        <w:rPr>
          <w:color w:val="231F20"/>
          <w:w w:val="105"/>
        </w:rPr>
        <w:t>como</w:t>
      </w:r>
      <w:r>
        <w:rPr>
          <w:color w:val="231F20"/>
          <w:spacing w:val="-9"/>
          <w:w w:val="105"/>
        </w:rPr>
        <w:t> </w:t>
      </w:r>
      <w:r>
        <w:rPr>
          <w:color w:val="231F20"/>
          <w:w w:val="105"/>
        </w:rPr>
        <w:t>entidad</w:t>
      </w:r>
      <w:r>
        <w:rPr>
          <w:color w:val="231F20"/>
          <w:spacing w:val="-9"/>
          <w:w w:val="105"/>
        </w:rPr>
        <w:t> </w:t>
      </w:r>
      <w:r>
        <w:rPr>
          <w:color w:val="231F20"/>
          <w:w w:val="105"/>
        </w:rPr>
        <w:t>administrativa,</w:t>
      </w:r>
      <w:r>
        <w:rPr>
          <w:color w:val="231F20"/>
          <w:spacing w:val="-16"/>
          <w:w w:val="105"/>
        </w:rPr>
        <w:t> </w:t>
      </w:r>
      <w:r>
        <w:rPr>
          <w:color w:val="231F20"/>
          <w:w w:val="105"/>
        </w:rPr>
        <w:t>en</w:t>
      </w:r>
      <w:r>
        <w:rPr>
          <w:color w:val="231F20"/>
          <w:spacing w:val="-9"/>
          <w:w w:val="105"/>
        </w:rPr>
        <w:t> </w:t>
      </w:r>
      <w:r>
        <w:rPr>
          <w:color w:val="231F20"/>
          <w:w w:val="105"/>
        </w:rPr>
        <w:t>donde</w:t>
      </w:r>
      <w:r>
        <w:rPr>
          <w:color w:val="231F20"/>
          <w:spacing w:val="-9"/>
          <w:w w:val="105"/>
        </w:rPr>
        <w:t> </w:t>
      </w:r>
      <w:r>
        <w:rPr>
          <w:color w:val="231F20"/>
          <w:w w:val="105"/>
        </w:rPr>
        <w:t>la</w:t>
      </w:r>
      <w:r>
        <w:rPr>
          <w:color w:val="231F20"/>
          <w:spacing w:val="-9"/>
          <w:w w:val="105"/>
        </w:rPr>
        <w:t> </w:t>
      </w:r>
      <w:r>
        <w:rPr>
          <w:color w:val="231F20"/>
          <w:w w:val="105"/>
        </w:rPr>
        <w:t>fijación</w:t>
      </w:r>
      <w:r>
        <w:rPr>
          <w:color w:val="231F20"/>
          <w:spacing w:val="-9"/>
          <w:w w:val="105"/>
        </w:rPr>
        <w:t> </w:t>
      </w:r>
      <w:r>
        <w:rPr>
          <w:color w:val="231F20"/>
          <w:w w:val="105"/>
        </w:rPr>
        <w:t>de</w:t>
      </w:r>
      <w:r>
        <w:rPr>
          <w:color w:val="231F20"/>
          <w:spacing w:val="-9"/>
          <w:w w:val="105"/>
        </w:rPr>
        <w:t> </w:t>
      </w:r>
      <w:r>
        <w:rPr>
          <w:color w:val="231F20"/>
          <w:w w:val="105"/>
        </w:rPr>
        <w:t>pre- cios y la prestación de trabajo obedecen a un conjunto de reglas y</w:t>
      </w:r>
      <w:r>
        <w:rPr>
          <w:color w:val="231F20"/>
          <w:spacing w:val="-19"/>
          <w:w w:val="105"/>
        </w:rPr>
        <w:t> </w:t>
      </w:r>
      <w:r>
        <w:rPr>
          <w:color w:val="231F20"/>
          <w:w w:val="105"/>
        </w:rPr>
        <w:t>pro- cedimientos</w:t>
      </w:r>
      <w:r>
        <w:rPr>
          <w:color w:val="231F20"/>
          <w:spacing w:val="-13"/>
          <w:w w:val="105"/>
        </w:rPr>
        <w:t> </w:t>
      </w:r>
      <w:r>
        <w:rPr>
          <w:color w:val="231F20"/>
          <w:w w:val="105"/>
        </w:rPr>
        <w:t>administrativos</w:t>
      </w:r>
      <w:r>
        <w:rPr>
          <w:color w:val="231F20"/>
          <w:spacing w:val="-13"/>
          <w:w w:val="105"/>
        </w:rPr>
        <w:t> </w:t>
      </w:r>
      <w:r>
        <w:rPr>
          <w:color w:val="231F20"/>
          <w:w w:val="105"/>
        </w:rPr>
        <w:t>(Marsden,</w:t>
      </w:r>
      <w:r>
        <w:rPr>
          <w:color w:val="231F20"/>
          <w:spacing w:val="-18"/>
          <w:w w:val="105"/>
        </w:rPr>
        <w:t> </w:t>
      </w:r>
      <w:r>
        <w:rPr>
          <w:color w:val="231F20"/>
          <w:w w:val="105"/>
        </w:rPr>
        <w:t>1994),</w:t>
      </w:r>
      <w:r>
        <w:rPr>
          <w:color w:val="231F20"/>
          <w:spacing w:val="-18"/>
          <w:w w:val="105"/>
        </w:rPr>
        <w:t> </w:t>
      </w:r>
      <w:r>
        <w:rPr>
          <w:color w:val="231F20"/>
          <w:w w:val="105"/>
        </w:rPr>
        <w:t>dando</w:t>
      </w:r>
      <w:r>
        <w:rPr>
          <w:color w:val="231F20"/>
          <w:spacing w:val="-13"/>
          <w:w w:val="105"/>
        </w:rPr>
        <w:t> </w:t>
      </w:r>
      <w:r>
        <w:rPr>
          <w:color w:val="231F20"/>
          <w:w w:val="105"/>
        </w:rPr>
        <w:t>origen</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primera generación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segmentación,</w:t>
      </w:r>
      <w:r>
        <w:rPr>
          <w:color w:val="231F20"/>
          <w:spacing w:val="-23"/>
          <w:w w:val="105"/>
        </w:rPr>
        <w:t> </w:t>
      </w:r>
      <w:r>
        <w:rPr>
          <w:color w:val="231F20"/>
          <w:w w:val="105"/>
        </w:rPr>
        <w:t>aun</w:t>
      </w:r>
      <w:r>
        <w:rPr>
          <w:color w:val="231F20"/>
          <w:spacing w:val="-17"/>
          <w:w w:val="105"/>
        </w:rPr>
        <w:t> </w:t>
      </w:r>
      <w:r>
        <w:rPr>
          <w:color w:val="231F20"/>
          <w:w w:val="105"/>
        </w:rPr>
        <w:t>cuando</w:t>
      </w:r>
      <w:r>
        <w:rPr>
          <w:color w:val="231F20"/>
          <w:spacing w:val="-17"/>
          <w:w w:val="105"/>
        </w:rPr>
        <w:t> </w:t>
      </w:r>
      <w:r>
        <w:rPr>
          <w:color w:val="231F20"/>
          <w:w w:val="105"/>
        </w:rPr>
        <w:t>ellos</w:t>
      </w:r>
      <w:r>
        <w:rPr>
          <w:color w:val="231F20"/>
          <w:spacing w:val="-17"/>
          <w:w w:val="105"/>
        </w:rPr>
        <w:t> </w:t>
      </w:r>
      <w:r>
        <w:rPr>
          <w:color w:val="231F20"/>
          <w:w w:val="105"/>
        </w:rPr>
        <w:t>no</w:t>
      </w:r>
      <w:r>
        <w:rPr>
          <w:color w:val="231F20"/>
          <w:spacing w:val="-17"/>
          <w:w w:val="105"/>
        </w:rPr>
        <w:t> </w:t>
      </w:r>
      <w:r>
        <w:rPr>
          <w:color w:val="231F20"/>
          <w:w w:val="105"/>
        </w:rPr>
        <w:t>la</w:t>
      </w:r>
      <w:r>
        <w:rPr>
          <w:color w:val="231F20"/>
          <w:spacing w:val="-17"/>
          <w:w w:val="105"/>
        </w:rPr>
        <w:t> </w:t>
      </w:r>
      <w:r>
        <w:rPr>
          <w:color w:val="231F20"/>
          <w:w w:val="105"/>
        </w:rPr>
        <w:t>nombraron</w:t>
      </w:r>
      <w:r>
        <w:rPr>
          <w:color w:val="231F20"/>
          <w:spacing w:val="-17"/>
          <w:w w:val="105"/>
        </w:rPr>
        <w:t> </w:t>
      </w:r>
      <w:r>
        <w:rPr>
          <w:color w:val="231F20"/>
          <w:w w:val="105"/>
        </w:rPr>
        <w:t>así.</w:t>
      </w:r>
    </w:p>
    <w:p>
      <w:pPr>
        <w:pStyle w:val="BodyText"/>
        <w:spacing w:line="259" w:lineRule="auto"/>
        <w:ind w:left="117" w:right="116" w:firstLine="567"/>
        <w:jc w:val="both"/>
      </w:pPr>
      <w:r>
        <w:rPr>
          <w:color w:val="231F20"/>
          <w:spacing w:val="-4"/>
          <w:w w:val="105"/>
        </w:rPr>
        <w:t>Para </w:t>
      </w:r>
      <w:r>
        <w:rPr>
          <w:color w:val="231F20"/>
          <w:w w:val="105"/>
        </w:rPr>
        <w:t>Kerr (1954) el mercado de trabajo se clasifica en tres tipos: los mercados competitivos sin organización sindical, los mercados de oficios</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mercados</w:t>
      </w:r>
      <w:r>
        <w:rPr>
          <w:color w:val="231F20"/>
          <w:spacing w:val="-18"/>
          <w:w w:val="105"/>
        </w:rPr>
        <w:t> </w:t>
      </w:r>
      <w:r>
        <w:rPr>
          <w:color w:val="231F20"/>
          <w:w w:val="105"/>
        </w:rPr>
        <w:t>de</w:t>
      </w:r>
      <w:r>
        <w:rPr>
          <w:color w:val="231F20"/>
          <w:spacing w:val="-18"/>
          <w:w w:val="105"/>
        </w:rPr>
        <w:t> </w:t>
      </w:r>
      <w:r>
        <w:rPr>
          <w:color w:val="231F20"/>
          <w:w w:val="105"/>
        </w:rPr>
        <w:t>empresa.</w:t>
      </w:r>
      <w:r>
        <w:rPr>
          <w:color w:val="231F20"/>
          <w:spacing w:val="-24"/>
          <w:w w:val="105"/>
        </w:rPr>
        <w:t> </w:t>
      </w:r>
      <w:r>
        <w:rPr>
          <w:color w:val="231F20"/>
          <w:w w:val="105"/>
        </w:rPr>
        <w:t>El</w:t>
      </w:r>
      <w:r>
        <w:rPr>
          <w:color w:val="231F20"/>
          <w:spacing w:val="-18"/>
          <w:w w:val="105"/>
        </w:rPr>
        <w:t> </w:t>
      </w:r>
      <w:r>
        <w:rPr>
          <w:color w:val="231F20"/>
          <w:w w:val="105"/>
        </w:rPr>
        <w:t>primero</w:t>
      </w:r>
      <w:r>
        <w:rPr>
          <w:color w:val="231F20"/>
          <w:spacing w:val="-18"/>
          <w:w w:val="105"/>
        </w:rPr>
        <w:t> </w:t>
      </w:r>
      <w:r>
        <w:rPr>
          <w:color w:val="231F20"/>
          <w:w w:val="105"/>
        </w:rPr>
        <w:t>no</w:t>
      </w:r>
      <w:r>
        <w:rPr>
          <w:color w:val="231F20"/>
          <w:spacing w:val="-18"/>
          <w:w w:val="105"/>
        </w:rPr>
        <w:t> </w:t>
      </w:r>
      <w:r>
        <w:rPr>
          <w:color w:val="231F20"/>
          <w:w w:val="105"/>
        </w:rPr>
        <w:t>requiere</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forma- ción profesional para que el trabajador ingrese al mercado de trabajo, mientras que los mercados de oficios y de empresa se rigen por reglas administrativas;</w:t>
      </w:r>
      <w:r>
        <w:rPr>
          <w:color w:val="231F20"/>
          <w:spacing w:val="-20"/>
          <w:w w:val="105"/>
        </w:rPr>
        <w:t> </w:t>
      </w:r>
      <w:r>
        <w:rPr>
          <w:color w:val="231F20"/>
          <w:w w:val="105"/>
        </w:rPr>
        <w:t>esto</w:t>
      </w:r>
      <w:r>
        <w:rPr>
          <w:color w:val="231F20"/>
          <w:spacing w:val="-20"/>
          <w:w w:val="105"/>
        </w:rPr>
        <w:t> </w:t>
      </w:r>
      <w:r>
        <w:rPr>
          <w:color w:val="231F20"/>
          <w:w w:val="105"/>
        </w:rPr>
        <w:t>es,</w:t>
      </w:r>
      <w:r>
        <w:rPr>
          <w:color w:val="231F20"/>
          <w:spacing w:val="-25"/>
          <w:w w:val="105"/>
        </w:rPr>
        <w:t> </w:t>
      </w:r>
      <w:r>
        <w:rPr>
          <w:color w:val="231F20"/>
          <w:w w:val="105"/>
        </w:rPr>
        <w:t>el</w:t>
      </w:r>
      <w:r>
        <w:rPr>
          <w:color w:val="231F20"/>
          <w:spacing w:val="-20"/>
          <w:w w:val="105"/>
        </w:rPr>
        <w:t> </w:t>
      </w:r>
      <w:r>
        <w:rPr>
          <w:color w:val="231F20"/>
          <w:w w:val="105"/>
        </w:rPr>
        <w:t>trabajador</w:t>
      </w:r>
      <w:r>
        <w:rPr>
          <w:color w:val="231F20"/>
          <w:spacing w:val="-20"/>
          <w:w w:val="105"/>
        </w:rPr>
        <w:t> </w:t>
      </w:r>
      <w:r>
        <w:rPr>
          <w:color w:val="231F20"/>
          <w:w w:val="105"/>
        </w:rPr>
        <w:t>requiere</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título</w:t>
      </w:r>
      <w:r>
        <w:rPr>
          <w:color w:val="231F20"/>
          <w:spacing w:val="-20"/>
          <w:w w:val="105"/>
        </w:rPr>
        <w:t> </w:t>
      </w:r>
      <w:r>
        <w:rPr>
          <w:color w:val="231F20"/>
          <w:w w:val="105"/>
        </w:rPr>
        <w:t>universitario</w:t>
      </w:r>
      <w:r>
        <w:rPr>
          <w:color w:val="231F20"/>
          <w:spacing w:val="-20"/>
          <w:w w:val="105"/>
        </w:rPr>
        <w:t> </w:t>
      </w:r>
      <w:r>
        <w:rPr>
          <w:color w:val="231F20"/>
          <w:w w:val="105"/>
        </w:rPr>
        <w:t>o de</w:t>
      </w:r>
      <w:r>
        <w:rPr>
          <w:color w:val="231F20"/>
          <w:spacing w:val="-17"/>
          <w:w w:val="105"/>
        </w:rPr>
        <w:t> </w:t>
      </w:r>
      <w:r>
        <w:rPr>
          <w:color w:val="231F20"/>
          <w:w w:val="105"/>
        </w:rPr>
        <w:t>una</w:t>
      </w:r>
      <w:r>
        <w:rPr>
          <w:color w:val="231F20"/>
          <w:spacing w:val="-17"/>
          <w:w w:val="105"/>
        </w:rPr>
        <w:t> </w:t>
      </w:r>
      <w:r>
        <w:rPr>
          <w:color w:val="231F20"/>
          <w:w w:val="105"/>
        </w:rPr>
        <w:t>carrera</w:t>
      </w:r>
      <w:r>
        <w:rPr>
          <w:color w:val="231F20"/>
          <w:spacing w:val="-17"/>
          <w:w w:val="105"/>
        </w:rPr>
        <w:t> </w:t>
      </w:r>
      <w:r>
        <w:rPr>
          <w:color w:val="231F20"/>
          <w:w w:val="105"/>
        </w:rPr>
        <w:t>técnica</w:t>
      </w:r>
      <w:r>
        <w:rPr>
          <w:color w:val="231F20"/>
          <w:spacing w:val="-17"/>
          <w:w w:val="105"/>
        </w:rPr>
        <w:t> </w:t>
      </w:r>
      <w:r>
        <w:rPr>
          <w:color w:val="231F20"/>
          <w:w w:val="105"/>
        </w:rPr>
        <w:t>profesional</w:t>
      </w:r>
      <w:r>
        <w:rPr>
          <w:color w:val="231F20"/>
          <w:spacing w:val="-17"/>
          <w:w w:val="105"/>
        </w:rPr>
        <w:t> </w:t>
      </w:r>
      <w:r>
        <w:rPr>
          <w:color w:val="231F20"/>
          <w:w w:val="105"/>
        </w:rPr>
        <w:t>para</w:t>
      </w:r>
      <w:r>
        <w:rPr>
          <w:color w:val="231F20"/>
          <w:spacing w:val="-17"/>
          <w:w w:val="105"/>
        </w:rPr>
        <w:t> </w:t>
      </w:r>
      <w:r>
        <w:rPr>
          <w:color w:val="231F20"/>
          <w:w w:val="105"/>
        </w:rPr>
        <w:t>poder</w:t>
      </w:r>
      <w:r>
        <w:rPr>
          <w:color w:val="231F20"/>
          <w:spacing w:val="-17"/>
          <w:w w:val="105"/>
        </w:rPr>
        <w:t> </w:t>
      </w:r>
      <w:r>
        <w:rPr>
          <w:color w:val="231F20"/>
          <w:w w:val="105"/>
        </w:rPr>
        <w:t>insertarse</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vida</w:t>
      </w:r>
      <w:r>
        <w:rPr>
          <w:color w:val="231F20"/>
          <w:spacing w:val="-17"/>
          <w:w w:val="105"/>
        </w:rPr>
        <w:t> </w:t>
      </w:r>
      <w:r>
        <w:rPr>
          <w:color w:val="231F20"/>
          <w:w w:val="105"/>
        </w:rPr>
        <w:t>laboral </w:t>
      </w:r>
      <w:r>
        <w:rPr>
          <w:color w:val="231F20"/>
        </w:rPr>
        <w:t>(Marsden,</w:t>
      </w:r>
      <w:r>
        <w:rPr>
          <w:color w:val="231F20"/>
          <w:spacing w:val="11"/>
        </w:rPr>
        <w:t> </w:t>
      </w:r>
      <w:r>
        <w:rPr>
          <w:color w:val="231F20"/>
        </w:rPr>
        <w:t>1994).</w:t>
      </w:r>
    </w:p>
    <w:p>
      <w:pPr>
        <w:pStyle w:val="BodyText"/>
        <w:spacing w:line="259" w:lineRule="auto"/>
        <w:ind w:left="117" w:right="121" w:firstLine="567"/>
        <w:jc w:val="both"/>
      </w:pP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modelo</w:t>
      </w:r>
      <w:r>
        <w:rPr>
          <w:color w:val="231F20"/>
          <w:spacing w:val="-6"/>
          <w:w w:val="105"/>
        </w:rPr>
        <w:t> </w:t>
      </w:r>
      <w:r>
        <w:rPr>
          <w:color w:val="231F20"/>
          <w:w w:val="105"/>
        </w:rPr>
        <w:t>del</w:t>
      </w:r>
      <w:r>
        <w:rPr>
          <w:color w:val="231F20"/>
          <w:spacing w:val="-6"/>
          <w:w w:val="105"/>
        </w:rPr>
        <w:t> </w:t>
      </w:r>
      <w:r>
        <w:rPr>
          <w:color w:val="231F20"/>
          <w:w w:val="105"/>
        </w:rPr>
        <w:t>mercado</w:t>
      </w:r>
      <w:r>
        <w:rPr>
          <w:color w:val="231F20"/>
          <w:spacing w:val="-6"/>
          <w:w w:val="105"/>
        </w:rPr>
        <w:t> </w:t>
      </w:r>
      <w:r>
        <w:rPr>
          <w:color w:val="231F20"/>
          <w:w w:val="105"/>
        </w:rPr>
        <w:t>dual</w:t>
      </w:r>
      <w:r>
        <w:rPr>
          <w:color w:val="231F20"/>
          <w:spacing w:val="-6"/>
          <w:w w:val="105"/>
        </w:rPr>
        <w:t> </w:t>
      </w:r>
      <w:r>
        <w:rPr>
          <w:color w:val="231F20"/>
          <w:w w:val="105"/>
        </w:rPr>
        <w:t>las</w:t>
      </w:r>
      <w:r>
        <w:rPr>
          <w:color w:val="231F20"/>
          <w:spacing w:val="-6"/>
          <w:w w:val="105"/>
        </w:rPr>
        <w:t> </w:t>
      </w:r>
      <w:r>
        <w:rPr>
          <w:color w:val="231F20"/>
          <w:w w:val="105"/>
        </w:rPr>
        <w:t>causas</w:t>
      </w:r>
      <w:r>
        <w:rPr>
          <w:color w:val="231F20"/>
          <w:spacing w:val="-6"/>
          <w:w w:val="105"/>
        </w:rPr>
        <w:t> </w:t>
      </w:r>
      <w:r>
        <w:rPr>
          <w:color w:val="231F20"/>
          <w:w w:val="105"/>
        </w:rPr>
        <w:t>del</w:t>
      </w:r>
      <w:r>
        <w:rPr>
          <w:color w:val="231F20"/>
          <w:spacing w:val="-6"/>
          <w:w w:val="105"/>
        </w:rPr>
        <w:t> </w:t>
      </w:r>
      <w:r>
        <w:rPr>
          <w:color w:val="231F20"/>
          <w:w w:val="105"/>
        </w:rPr>
        <w:t>dualismo</w:t>
      </w:r>
      <w:r>
        <w:rPr>
          <w:color w:val="231F20"/>
          <w:spacing w:val="-6"/>
          <w:w w:val="105"/>
        </w:rPr>
        <w:t> </w:t>
      </w:r>
      <w:r>
        <w:rPr>
          <w:color w:val="231F20"/>
          <w:w w:val="105"/>
        </w:rPr>
        <w:t>tienen</w:t>
      </w:r>
      <w:r>
        <w:rPr>
          <w:color w:val="231F20"/>
          <w:spacing w:val="-6"/>
          <w:w w:val="105"/>
        </w:rPr>
        <w:t> </w:t>
      </w:r>
      <w:r>
        <w:rPr>
          <w:color w:val="231F20"/>
          <w:w w:val="105"/>
        </w:rPr>
        <w:t>su origen en imperativos técnicos y en la estructura industrial. El mercado se</w:t>
      </w:r>
      <w:r>
        <w:rPr>
          <w:color w:val="231F20"/>
          <w:spacing w:val="-22"/>
          <w:w w:val="105"/>
        </w:rPr>
        <w:t> </w:t>
      </w:r>
      <w:r>
        <w:rPr>
          <w:color w:val="231F20"/>
          <w:w w:val="105"/>
        </w:rPr>
        <w:t>encuentra</w:t>
      </w:r>
      <w:r>
        <w:rPr>
          <w:color w:val="231F20"/>
          <w:spacing w:val="-22"/>
          <w:w w:val="105"/>
        </w:rPr>
        <w:t> </w:t>
      </w:r>
      <w:r>
        <w:rPr>
          <w:color w:val="231F20"/>
          <w:w w:val="105"/>
        </w:rPr>
        <w:t>segmentado</w:t>
      </w:r>
      <w:r>
        <w:rPr>
          <w:color w:val="231F20"/>
          <w:spacing w:val="-22"/>
          <w:w w:val="105"/>
        </w:rPr>
        <w:t> </w:t>
      </w:r>
      <w:r>
        <w:rPr>
          <w:color w:val="231F20"/>
          <w:w w:val="105"/>
        </w:rPr>
        <w:t>en</w:t>
      </w:r>
      <w:r>
        <w:rPr>
          <w:color w:val="231F20"/>
          <w:spacing w:val="-22"/>
          <w:w w:val="105"/>
        </w:rPr>
        <w:t> </w:t>
      </w:r>
      <w:r>
        <w:rPr>
          <w:color w:val="231F20"/>
          <w:w w:val="105"/>
        </w:rPr>
        <w:t>dos</w:t>
      </w:r>
      <w:r>
        <w:rPr>
          <w:color w:val="231F20"/>
          <w:spacing w:val="-22"/>
          <w:w w:val="105"/>
        </w:rPr>
        <w:t> </w:t>
      </w:r>
      <w:r>
        <w:rPr>
          <w:color w:val="231F20"/>
          <w:w w:val="105"/>
        </w:rPr>
        <w:t>sectores:</w:t>
      </w:r>
      <w:r>
        <w:rPr>
          <w:color w:val="231F20"/>
          <w:spacing w:val="-22"/>
          <w:w w:val="105"/>
        </w:rPr>
        <w:t> </w:t>
      </w:r>
      <w:r>
        <w:rPr>
          <w:color w:val="231F20"/>
          <w:w w:val="105"/>
        </w:rPr>
        <w:t>primario</w:t>
      </w:r>
      <w:r>
        <w:rPr>
          <w:color w:val="231F20"/>
          <w:spacing w:val="-22"/>
          <w:w w:val="105"/>
        </w:rPr>
        <w:t> </w:t>
      </w:r>
      <w:r>
        <w:rPr>
          <w:color w:val="231F20"/>
          <w:w w:val="105"/>
        </w:rPr>
        <w:t>y</w:t>
      </w:r>
      <w:r>
        <w:rPr>
          <w:color w:val="231F20"/>
          <w:spacing w:val="-22"/>
          <w:w w:val="105"/>
        </w:rPr>
        <w:t> </w:t>
      </w:r>
      <w:r>
        <w:rPr>
          <w:color w:val="231F20"/>
          <w:w w:val="105"/>
        </w:rPr>
        <w:t>secundario,</w:t>
      </w:r>
      <w:r>
        <w:rPr>
          <w:color w:val="231F20"/>
          <w:spacing w:val="-27"/>
          <w:w w:val="105"/>
        </w:rPr>
        <w:t> </w:t>
      </w:r>
      <w:r>
        <w:rPr>
          <w:color w:val="231F20"/>
          <w:w w:val="105"/>
        </w:rPr>
        <w:t>de</w:t>
      </w:r>
      <w:r>
        <w:rPr>
          <w:color w:val="231F20"/>
          <w:spacing w:val="-22"/>
          <w:w w:val="105"/>
        </w:rPr>
        <w:t> </w:t>
      </w:r>
      <w:r>
        <w:rPr>
          <w:color w:val="231F20"/>
          <w:w w:val="105"/>
        </w:rPr>
        <w:t>ahí que</w:t>
      </w:r>
      <w:r>
        <w:rPr>
          <w:color w:val="231F20"/>
          <w:spacing w:val="-10"/>
          <w:w w:val="105"/>
        </w:rPr>
        <w:t> </w:t>
      </w:r>
      <w:r>
        <w:rPr>
          <w:color w:val="231F20"/>
          <w:w w:val="105"/>
        </w:rPr>
        <w:t>se</w:t>
      </w:r>
      <w:r>
        <w:rPr>
          <w:color w:val="231F20"/>
          <w:spacing w:val="-10"/>
          <w:w w:val="105"/>
        </w:rPr>
        <w:t> </w:t>
      </w:r>
      <w:r>
        <w:rPr>
          <w:color w:val="231F20"/>
          <w:w w:val="105"/>
        </w:rPr>
        <w:t>le</w:t>
      </w:r>
      <w:r>
        <w:rPr>
          <w:color w:val="231F20"/>
          <w:spacing w:val="-10"/>
          <w:w w:val="105"/>
        </w:rPr>
        <w:t> </w:t>
      </w:r>
      <w:r>
        <w:rPr>
          <w:color w:val="231F20"/>
          <w:w w:val="105"/>
        </w:rPr>
        <w:t>denomine</w:t>
      </w:r>
      <w:r>
        <w:rPr>
          <w:color w:val="231F20"/>
          <w:spacing w:val="-10"/>
          <w:w w:val="105"/>
        </w:rPr>
        <w:t> </w:t>
      </w:r>
      <w:r>
        <w:rPr>
          <w:color w:val="231F20"/>
          <w:w w:val="105"/>
        </w:rPr>
        <w:t>mercado</w:t>
      </w:r>
      <w:r>
        <w:rPr>
          <w:color w:val="231F20"/>
          <w:spacing w:val="-10"/>
          <w:w w:val="105"/>
        </w:rPr>
        <w:t> </w:t>
      </w:r>
      <w:r>
        <w:rPr>
          <w:color w:val="231F20"/>
          <w:w w:val="105"/>
        </w:rPr>
        <w:t>dual</w:t>
      </w:r>
      <w:r>
        <w:rPr>
          <w:color w:val="231F20"/>
          <w:spacing w:val="-10"/>
          <w:w w:val="105"/>
        </w:rPr>
        <w:t> </w:t>
      </w:r>
      <w:r>
        <w:rPr>
          <w:color w:val="231F20"/>
          <w:w w:val="105"/>
        </w:rPr>
        <w:t>(Doeringer</w:t>
      </w:r>
      <w:r>
        <w:rPr>
          <w:color w:val="231F20"/>
          <w:spacing w:val="-10"/>
          <w:w w:val="105"/>
        </w:rPr>
        <w:t> </w:t>
      </w:r>
      <w:r>
        <w:rPr>
          <w:color w:val="231F20"/>
          <w:w w:val="105"/>
        </w:rPr>
        <w:t>y</w:t>
      </w:r>
      <w:r>
        <w:rPr>
          <w:color w:val="231F20"/>
          <w:spacing w:val="-10"/>
          <w:w w:val="105"/>
        </w:rPr>
        <w:t> </w:t>
      </w:r>
      <w:r>
        <w:rPr>
          <w:color w:val="231F20"/>
          <w:w w:val="105"/>
        </w:rPr>
        <w:t>Piore,</w:t>
      </w:r>
      <w:r>
        <w:rPr>
          <w:color w:val="231F20"/>
          <w:spacing w:val="-15"/>
          <w:w w:val="105"/>
        </w:rPr>
        <w:t> </w:t>
      </w:r>
      <w:r>
        <w:rPr>
          <w:color w:val="231F20"/>
          <w:w w:val="105"/>
        </w:rPr>
        <w:t>1971).</w:t>
      </w:r>
      <w:r>
        <w:rPr>
          <w:color w:val="231F20"/>
          <w:spacing w:val="-15"/>
          <w:w w:val="105"/>
        </w:rPr>
        <w:t> </w:t>
      </w:r>
      <w:r>
        <w:rPr>
          <w:color w:val="231F20"/>
          <w:w w:val="105"/>
        </w:rPr>
        <w:t>La</w:t>
      </w:r>
      <w:r>
        <w:rPr>
          <w:color w:val="231F20"/>
          <w:spacing w:val="-10"/>
          <w:w w:val="105"/>
        </w:rPr>
        <w:t> </w:t>
      </w:r>
      <w:r>
        <w:rPr>
          <w:color w:val="231F20"/>
          <w:w w:val="105"/>
        </w:rPr>
        <w:t>división o</w:t>
      </w:r>
      <w:r>
        <w:rPr>
          <w:color w:val="231F20"/>
          <w:spacing w:val="-25"/>
          <w:w w:val="105"/>
        </w:rPr>
        <w:t> </w:t>
      </w:r>
      <w:r>
        <w:rPr>
          <w:color w:val="231F20"/>
          <w:w w:val="105"/>
        </w:rPr>
        <w:t>segmentación</w:t>
      </w:r>
      <w:r>
        <w:rPr>
          <w:color w:val="231F20"/>
          <w:spacing w:val="-25"/>
          <w:w w:val="105"/>
        </w:rPr>
        <w:t> </w:t>
      </w:r>
      <w:r>
        <w:rPr>
          <w:color w:val="231F20"/>
          <w:w w:val="105"/>
        </w:rPr>
        <w:t>se</w:t>
      </w:r>
      <w:r>
        <w:rPr>
          <w:color w:val="231F20"/>
          <w:spacing w:val="-25"/>
          <w:w w:val="105"/>
        </w:rPr>
        <w:t> </w:t>
      </w:r>
      <w:r>
        <w:rPr>
          <w:color w:val="231F20"/>
          <w:w w:val="105"/>
        </w:rPr>
        <w:t>determina</w:t>
      </w:r>
      <w:r>
        <w:rPr>
          <w:color w:val="231F20"/>
          <w:spacing w:val="-25"/>
          <w:w w:val="105"/>
        </w:rPr>
        <w:t> </w:t>
      </w:r>
      <w:r>
        <w:rPr>
          <w:color w:val="231F20"/>
          <w:w w:val="105"/>
        </w:rPr>
        <w:t>principalmente</w:t>
      </w:r>
      <w:r>
        <w:rPr>
          <w:color w:val="231F20"/>
          <w:spacing w:val="-25"/>
          <w:w w:val="105"/>
        </w:rPr>
        <w:t> </w:t>
      </w:r>
      <w:r>
        <w:rPr>
          <w:color w:val="231F20"/>
          <w:w w:val="105"/>
        </w:rPr>
        <w:t>por</w:t>
      </w:r>
      <w:r>
        <w:rPr>
          <w:color w:val="231F20"/>
          <w:spacing w:val="-25"/>
          <w:w w:val="105"/>
        </w:rPr>
        <w:t> </w:t>
      </w:r>
      <w:r>
        <w:rPr>
          <w:color w:val="231F20"/>
          <w:w w:val="105"/>
        </w:rPr>
        <w:t>características</w:t>
      </w:r>
      <w:r>
        <w:rPr>
          <w:color w:val="231F20"/>
          <w:spacing w:val="-25"/>
          <w:w w:val="105"/>
        </w:rPr>
        <w:t> </w:t>
      </w:r>
      <w:r>
        <w:rPr>
          <w:color w:val="231F20"/>
          <w:w w:val="105"/>
        </w:rPr>
        <w:t>de</w:t>
      </w:r>
      <w:r>
        <w:rPr>
          <w:color w:val="231F20"/>
          <w:spacing w:val="-25"/>
          <w:w w:val="105"/>
        </w:rPr>
        <w:t> </w:t>
      </w:r>
      <w:r>
        <w:rPr>
          <w:color w:val="231F20"/>
          <w:w w:val="105"/>
        </w:rPr>
        <w:t>esta- bilidad</w:t>
      </w:r>
      <w:r>
        <w:rPr>
          <w:color w:val="231F20"/>
          <w:spacing w:val="-27"/>
          <w:w w:val="105"/>
        </w:rPr>
        <w:t> </w:t>
      </w:r>
      <w:r>
        <w:rPr>
          <w:color w:val="231F20"/>
          <w:w w:val="105"/>
        </w:rPr>
        <w:t>(Reich,</w:t>
      </w:r>
      <w:r>
        <w:rPr>
          <w:color w:val="231F20"/>
          <w:spacing w:val="-32"/>
          <w:w w:val="105"/>
        </w:rPr>
        <w:t> </w:t>
      </w:r>
      <w:r>
        <w:rPr>
          <w:color w:val="231F20"/>
          <w:w w:val="105"/>
        </w:rPr>
        <w:t>Gordon</w:t>
      </w:r>
      <w:r>
        <w:rPr>
          <w:color w:val="231F20"/>
          <w:spacing w:val="-27"/>
          <w:w w:val="105"/>
        </w:rPr>
        <w:t> </w:t>
      </w:r>
      <w:r>
        <w:rPr>
          <w:color w:val="231F20"/>
          <w:w w:val="105"/>
        </w:rPr>
        <w:t>y</w:t>
      </w:r>
      <w:r>
        <w:rPr>
          <w:color w:val="231F20"/>
          <w:spacing w:val="-27"/>
          <w:w w:val="105"/>
        </w:rPr>
        <w:t> </w:t>
      </w:r>
      <w:r>
        <w:rPr>
          <w:color w:val="231F20"/>
          <w:w w:val="105"/>
        </w:rPr>
        <w:t>Edwards,</w:t>
      </w:r>
      <w:r>
        <w:rPr>
          <w:color w:val="231F20"/>
          <w:spacing w:val="-32"/>
          <w:w w:val="105"/>
        </w:rPr>
        <w:t> </w:t>
      </w:r>
      <w:r>
        <w:rPr>
          <w:color w:val="231F20"/>
          <w:w w:val="105"/>
        </w:rPr>
        <w:t>1973).</w:t>
      </w:r>
      <w:r>
        <w:rPr>
          <w:color w:val="231F20"/>
          <w:spacing w:val="-32"/>
          <w:w w:val="105"/>
        </w:rPr>
        <w:t> </w:t>
      </w:r>
      <w:r>
        <w:rPr>
          <w:color w:val="231F20"/>
          <w:w w:val="105"/>
        </w:rPr>
        <w:t>El</w:t>
      </w:r>
      <w:r>
        <w:rPr>
          <w:color w:val="231F20"/>
          <w:spacing w:val="-27"/>
          <w:w w:val="105"/>
        </w:rPr>
        <w:t> </w:t>
      </w:r>
      <w:r>
        <w:rPr>
          <w:color w:val="231F20"/>
          <w:w w:val="105"/>
        </w:rPr>
        <w:t>sector</w:t>
      </w:r>
      <w:r>
        <w:rPr>
          <w:color w:val="231F20"/>
          <w:spacing w:val="-27"/>
          <w:w w:val="105"/>
        </w:rPr>
        <w:t> </w:t>
      </w:r>
      <w:r>
        <w:rPr>
          <w:color w:val="231F20"/>
          <w:w w:val="105"/>
        </w:rPr>
        <w:t>primario</w:t>
      </w:r>
      <w:r>
        <w:rPr>
          <w:color w:val="231F20"/>
          <w:spacing w:val="-27"/>
          <w:w w:val="105"/>
        </w:rPr>
        <w:t> </w:t>
      </w:r>
      <w:r>
        <w:rPr>
          <w:color w:val="231F20"/>
          <w:w w:val="105"/>
        </w:rPr>
        <w:t>tiene</w:t>
      </w:r>
      <w:r>
        <w:rPr>
          <w:color w:val="231F20"/>
          <w:spacing w:val="-27"/>
          <w:w w:val="105"/>
        </w:rPr>
        <w:t> </w:t>
      </w:r>
      <w:r>
        <w:rPr>
          <w:color w:val="231F20"/>
          <w:w w:val="105"/>
        </w:rPr>
        <w:t>mejores empleos, con mejores salarios y ofrece seguridad de empleo para los trabajadores,</w:t>
      </w:r>
      <w:r>
        <w:rPr>
          <w:color w:val="231F20"/>
          <w:spacing w:val="-28"/>
          <w:w w:val="105"/>
        </w:rPr>
        <w:t> </w:t>
      </w:r>
      <w:r>
        <w:rPr>
          <w:color w:val="231F20"/>
          <w:w w:val="105"/>
        </w:rPr>
        <w:t>los</w:t>
      </w:r>
      <w:r>
        <w:rPr>
          <w:color w:val="231F20"/>
          <w:spacing w:val="-24"/>
          <w:w w:val="105"/>
        </w:rPr>
        <w:t> </w:t>
      </w:r>
      <w:r>
        <w:rPr>
          <w:color w:val="231F20"/>
          <w:w w:val="105"/>
        </w:rPr>
        <w:t>cuales</w:t>
      </w:r>
      <w:r>
        <w:rPr>
          <w:color w:val="231F20"/>
          <w:spacing w:val="-24"/>
          <w:w w:val="105"/>
        </w:rPr>
        <w:t> </w:t>
      </w:r>
      <w:r>
        <w:rPr>
          <w:color w:val="231F20"/>
          <w:w w:val="105"/>
        </w:rPr>
        <w:t>pueden</w:t>
      </w:r>
      <w:r>
        <w:rPr>
          <w:color w:val="231F20"/>
          <w:spacing w:val="-24"/>
          <w:w w:val="105"/>
        </w:rPr>
        <w:t> </w:t>
      </w:r>
      <w:r>
        <w:rPr>
          <w:color w:val="231F20"/>
          <w:w w:val="105"/>
        </w:rPr>
        <w:t>esperar</w:t>
      </w:r>
      <w:r>
        <w:rPr>
          <w:color w:val="231F20"/>
          <w:spacing w:val="-24"/>
          <w:w w:val="105"/>
        </w:rPr>
        <w:t> </w:t>
      </w:r>
      <w:r>
        <w:rPr>
          <w:color w:val="231F20"/>
          <w:w w:val="105"/>
        </w:rPr>
        <w:t>crecimiento</w:t>
      </w:r>
      <w:r>
        <w:rPr>
          <w:color w:val="231F20"/>
          <w:spacing w:val="-24"/>
          <w:w w:val="105"/>
        </w:rPr>
        <w:t> </w:t>
      </w:r>
      <w:r>
        <w:rPr>
          <w:color w:val="231F20"/>
          <w:w w:val="105"/>
        </w:rPr>
        <w:t>profesional.</w:t>
      </w:r>
      <w:r>
        <w:rPr>
          <w:color w:val="231F20"/>
          <w:spacing w:val="-28"/>
          <w:w w:val="105"/>
        </w:rPr>
        <w:t> </w:t>
      </w:r>
      <w:r>
        <w:rPr>
          <w:color w:val="231F20"/>
          <w:w w:val="105"/>
        </w:rPr>
        <w:t>Las</w:t>
      </w:r>
      <w:r>
        <w:rPr>
          <w:color w:val="231F20"/>
          <w:spacing w:val="-24"/>
          <w:w w:val="105"/>
        </w:rPr>
        <w:t> </w:t>
      </w:r>
      <w:r>
        <w:rPr>
          <w:color w:val="231F20"/>
          <w:w w:val="105"/>
        </w:rPr>
        <w:t>ca- lificaciones</w:t>
      </w:r>
      <w:r>
        <w:rPr>
          <w:color w:val="231F20"/>
          <w:spacing w:val="-26"/>
          <w:w w:val="105"/>
        </w:rPr>
        <w:t> </w:t>
      </w:r>
      <w:r>
        <w:rPr>
          <w:color w:val="231F20"/>
          <w:w w:val="105"/>
        </w:rPr>
        <w:t>y</w:t>
      </w:r>
      <w:r>
        <w:rPr>
          <w:color w:val="231F20"/>
          <w:spacing w:val="-26"/>
          <w:w w:val="105"/>
        </w:rPr>
        <w:t> </w:t>
      </w:r>
      <w:r>
        <w:rPr>
          <w:color w:val="231F20"/>
          <w:w w:val="105"/>
        </w:rPr>
        <w:t>habilidades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trabajadores</w:t>
      </w:r>
      <w:r>
        <w:rPr>
          <w:color w:val="231F20"/>
          <w:spacing w:val="-26"/>
          <w:w w:val="105"/>
        </w:rPr>
        <w:t> </w:t>
      </w:r>
      <w:r>
        <w:rPr>
          <w:color w:val="231F20"/>
          <w:w w:val="105"/>
        </w:rPr>
        <w:t>son</w:t>
      </w:r>
      <w:r>
        <w:rPr>
          <w:color w:val="231F20"/>
          <w:spacing w:val="-26"/>
          <w:w w:val="105"/>
        </w:rPr>
        <w:t> </w:t>
      </w:r>
      <w:r>
        <w:rPr>
          <w:color w:val="231F20"/>
          <w:w w:val="105"/>
        </w:rPr>
        <w:t>altas</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procesos</w:t>
      </w:r>
      <w:r>
        <w:rPr>
          <w:color w:val="231F20"/>
          <w:spacing w:val="-26"/>
          <w:w w:val="105"/>
        </w:rPr>
        <w:t> </w:t>
      </w:r>
      <w:r>
        <w:rPr>
          <w:color w:val="231F20"/>
          <w:w w:val="105"/>
        </w:rPr>
        <w:t>son </w:t>
      </w:r>
      <w:r>
        <w:rPr>
          <w:color w:val="231F20"/>
        </w:rPr>
        <w:t>tecnológicamente </w:t>
      </w:r>
      <w:r>
        <w:rPr>
          <w:color w:val="231F20"/>
          <w:spacing w:val="19"/>
        </w:rPr>
        <w:t> </w:t>
      </w:r>
      <w:r>
        <w:rPr>
          <w:color w:val="231F20"/>
        </w:rPr>
        <w:t>avanzados.</w:t>
      </w:r>
    </w:p>
    <w:p>
      <w:pPr>
        <w:pStyle w:val="BodyText"/>
        <w:spacing w:line="259" w:lineRule="auto"/>
        <w:ind w:left="117" w:right="115" w:firstLine="567"/>
        <w:jc w:val="both"/>
      </w:pPr>
      <w:r>
        <w:rPr>
          <w:color w:val="231F20"/>
        </w:rPr>
        <w:t>El sector secundario, en contraste, tiene trabajos menos desea- bles, con salarios bajos y condiciones laborales en las que el desempleo está presente, es constante e involuntario; es una condición que no se encuentra en equilibrio. De acuerdo a la teoría neoclásica, para generar mayor número de empleos los salarios tenderían a bajar y con ello se en- contraría un nuevo punto de equilibrio en el mercado de trabajo. Sin em- bargo, como lo explica la teoría de los trabajadores internos y externos, los internos harán lo posible para que los externos no bajen el nivel de salario, por lo tanto, los externos no logran que esto suceda a pesar de así quererlo; como consecuencia, el desempleo involuntario no   </w:t>
      </w:r>
      <w:r>
        <w:rPr>
          <w:color w:val="231F20"/>
          <w:spacing w:val="46"/>
        </w:rPr>
        <w:t> </w:t>
      </w:r>
      <w:r>
        <w:rPr>
          <w:color w:val="231F20"/>
        </w:rPr>
        <w:t>desapa-</w:t>
      </w:r>
    </w:p>
    <w:p>
      <w:pPr>
        <w:spacing w:after="0" w:line="259" w:lineRule="auto"/>
        <w:jc w:val="both"/>
        <w:sectPr>
          <w:pgSz w:w="9640" w:h="13890"/>
          <w:pgMar w:top="0" w:bottom="280" w:left="1300" w:right="1180"/>
        </w:sectPr>
      </w:pPr>
    </w:p>
    <w:p>
      <w:pPr>
        <w:pStyle w:val="BodyText"/>
        <w:spacing w:line="259" w:lineRule="auto" w:before="78"/>
        <w:ind w:left="103" w:right="108"/>
        <w:jc w:val="both"/>
      </w:pPr>
      <w:r>
        <w:rPr>
          <w:color w:val="231F20"/>
          <w:w w:val="105"/>
        </w:rPr>
        <w:t>rece (Solow, 1992). Dicho de otra forma, para lograr el nuevo</w:t>
      </w:r>
      <w:r>
        <w:rPr>
          <w:color w:val="231F20"/>
          <w:spacing w:val="-27"/>
          <w:w w:val="105"/>
        </w:rPr>
        <w:t> </w:t>
      </w:r>
      <w:r>
        <w:rPr>
          <w:color w:val="231F20"/>
          <w:w w:val="105"/>
        </w:rPr>
        <w:t>equilibrio debería</w:t>
      </w:r>
      <w:r>
        <w:rPr>
          <w:color w:val="231F20"/>
          <w:spacing w:val="-13"/>
          <w:w w:val="105"/>
        </w:rPr>
        <w:t> </w:t>
      </w:r>
      <w:r>
        <w:rPr>
          <w:color w:val="231F20"/>
          <w:w w:val="105"/>
        </w:rPr>
        <w:t>suceder</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cantidad</w:t>
      </w:r>
      <w:r>
        <w:rPr>
          <w:color w:val="231F20"/>
          <w:spacing w:val="-13"/>
          <w:w w:val="105"/>
        </w:rPr>
        <w:t> </w:t>
      </w:r>
      <w:r>
        <w:rPr>
          <w:color w:val="231F20"/>
          <w:w w:val="105"/>
        </w:rPr>
        <w:t>demandada</w:t>
      </w:r>
      <w:r>
        <w:rPr>
          <w:color w:val="231F20"/>
          <w:spacing w:val="-13"/>
          <w:w w:val="105"/>
        </w:rPr>
        <w:t> </w:t>
      </w:r>
      <w:r>
        <w:rPr>
          <w:color w:val="231F20"/>
          <w:w w:val="105"/>
        </w:rPr>
        <w:t>aumentara</w:t>
      </w:r>
      <w:r>
        <w:rPr>
          <w:color w:val="231F20"/>
          <w:spacing w:val="-13"/>
          <w:w w:val="105"/>
        </w:rPr>
        <w:t> </w:t>
      </w:r>
      <w:r>
        <w:rPr>
          <w:color w:val="231F20"/>
          <w:w w:val="105"/>
        </w:rPr>
        <w:t>(más</w:t>
      </w:r>
      <w:r>
        <w:rPr>
          <w:color w:val="231F20"/>
          <w:spacing w:val="-13"/>
          <w:w w:val="105"/>
        </w:rPr>
        <w:t> </w:t>
      </w:r>
      <w:r>
        <w:rPr>
          <w:color w:val="231F20"/>
          <w:w w:val="105"/>
        </w:rPr>
        <w:t>empleos) y</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salarios</w:t>
      </w:r>
      <w:r>
        <w:rPr>
          <w:color w:val="231F20"/>
          <w:spacing w:val="-25"/>
          <w:w w:val="105"/>
        </w:rPr>
        <w:t> </w:t>
      </w:r>
      <w:r>
        <w:rPr>
          <w:color w:val="231F20"/>
          <w:w w:val="105"/>
        </w:rPr>
        <w:t>bajaran,</w:t>
      </w:r>
      <w:r>
        <w:rPr>
          <w:color w:val="231F20"/>
          <w:spacing w:val="-30"/>
          <w:w w:val="105"/>
        </w:rPr>
        <w:t> </w:t>
      </w:r>
      <w:r>
        <w:rPr>
          <w:color w:val="231F20"/>
          <w:w w:val="105"/>
        </w:rPr>
        <w:t>pero</w:t>
      </w:r>
      <w:r>
        <w:rPr>
          <w:color w:val="231F20"/>
          <w:spacing w:val="-25"/>
          <w:w w:val="105"/>
        </w:rPr>
        <w:t> </w:t>
      </w:r>
      <w:r>
        <w:rPr>
          <w:color w:val="231F20"/>
          <w:w w:val="105"/>
        </w:rPr>
        <w:t>como</w:t>
      </w:r>
      <w:r>
        <w:rPr>
          <w:color w:val="231F20"/>
          <w:spacing w:val="-25"/>
          <w:w w:val="105"/>
        </w:rPr>
        <w:t> </w:t>
      </w:r>
      <w:r>
        <w:rPr>
          <w:color w:val="231F20"/>
          <w:w w:val="105"/>
        </w:rPr>
        <w:t>lo</w:t>
      </w:r>
      <w:r>
        <w:rPr>
          <w:color w:val="231F20"/>
          <w:spacing w:val="-25"/>
          <w:w w:val="105"/>
        </w:rPr>
        <w:t> </w:t>
      </w:r>
      <w:r>
        <w:rPr>
          <w:color w:val="231F20"/>
          <w:w w:val="105"/>
        </w:rPr>
        <w:t>trabajadores</w:t>
      </w:r>
      <w:r>
        <w:rPr>
          <w:color w:val="231F20"/>
          <w:spacing w:val="-25"/>
          <w:w w:val="105"/>
        </w:rPr>
        <w:t> </w:t>
      </w:r>
      <w:r>
        <w:rPr>
          <w:color w:val="231F20"/>
          <w:w w:val="105"/>
        </w:rPr>
        <w:t>internos</w:t>
      </w:r>
      <w:r>
        <w:rPr>
          <w:color w:val="231F20"/>
          <w:spacing w:val="-25"/>
          <w:w w:val="105"/>
        </w:rPr>
        <w:t> </w:t>
      </w:r>
      <w:r>
        <w:rPr>
          <w:color w:val="231F20"/>
          <w:w w:val="105"/>
        </w:rPr>
        <w:t>no</w:t>
      </w:r>
      <w:r>
        <w:rPr>
          <w:color w:val="231F20"/>
          <w:spacing w:val="-25"/>
          <w:w w:val="105"/>
        </w:rPr>
        <w:t> </w:t>
      </w:r>
      <w:r>
        <w:rPr>
          <w:color w:val="231F20"/>
          <w:w w:val="105"/>
        </w:rPr>
        <w:t>aceptan que</w:t>
      </w:r>
      <w:r>
        <w:rPr>
          <w:color w:val="231F20"/>
          <w:spacing w:val="-24"/>
          <w:w w:val="105"/>
        </w:rPr>
        <w:t> </w:t>
      </w:r>
      <w:r>
        <w:rPr>
          <w:color w:val="231F20"/>
          <w:w w:val="105"/>
        </w:rPr>
        <w:t>el</w:t>
      </w:r>
      <w:r>
        <w:rPr>
          <w:color w:val="231F20"/>
          <w:spacing w:val="-24"/>
          <w:w w:val="105"/>
        </w:rPr>
        <w:t> </w:t>
      </w:r>
      <w:r>
        <w:rPr>
          <w:color w:val="231F20"/>
          <w:w w:val="105"/>
        </w:rPr>
        <w:t>salario</w:t>
      </w:r>
      <w:r>
        <w:rPr>
          <w:color w:val="231F20"/>
          <w:spacing w:val="-24"/>
          <w:w w:val="105"/>
        </w:rPr>
        <w:t> </w:t>
      </w:r>
      <w:r>
        <w:rPr>
          <w:color w:val="231F20"/>
          <w:w w:val="105"/>
        </w:rPr>
        <w:t>baje,</w:t>
      </w:r>
      <w:r>
        <w:rPr>
          <w:color w:val="231F20"/>
          <w:spacing w:val="-29"/>
          <w:w w:val="105"/>
        </w:rPr>
        <w:t> </w:t>
      </w:r>
      <w:r>
        <w:rPr>
          <w:color w:val="231F20"/>
          <w:w w:val="105"/>
        </w:rPr>
        <w:t>los</w:t>
      </w:r>
      <w:r>
        <w:rPr>
          <w:color w:val="231F20"/>
          <w:spacing w:val="-24"/>
          <w:w w:val="105"/>
        </w:rPr>
        <w:t> </w:t>
      </w:r>
      <w:r>
        <w:rPr>
          <w:color w:val="231F20"/>
          <w:w w:val="105"/>
        </w:rPr>
        <w:t>trabajadores</w:t>
      </w:r>
      <w:r>
        <w:rPr>
          <w:color w:val="231F20"/>
          <w:spacing w:val="-24"/>
          <w:w w:val="105"/>
        </w:rPr>
        <w:t> </w:t>
      </w:r>
      <w:r>
        <w:rPr>
          <w:color w:val="231F20"/>
          <w:w w:val="105"/>
        </w:rPr>
        <w:t>externos</w:t>
      </w:r>
      <w:r>
        <w:rPr>
          <w:color w:val="231F20"/>
          <w:spacing w:val="-24"/>
          <w:w w:val="105"/>
        </w:rPr>
        <w:t> </w:t>
      </w:r>
      <w:r>
        <w:rPr>
          <w:color w:val="231F20"/>
          <w:w w:val="105"/>
        </w:rPr>
        <w:t>siguen</w:t>
      </w:r>
      <w:r>
        <w:rPr>
          <w:color w:val="231F20"/>
          <w:spacing w:val="-24"/>
          <w:w w:val="105"/>
        </w:rPr>
        <w:t> </w:t>
      </w:r>
      <w:r>
        <w:rPr>
          <w:color w:val="231F20"/>
          <w:w w:val="105"/>
        </w:rPr>
        <w:t>sin</w:t>
      </w:r>
      <w:r>
        <w:rPr>
          <w:color w:val="231F20"/>
          <w:spacing w:val="-24"/>
          <w:w w:val="105"/>
        </w:rPr>
        <w:t> </w:t>
      </w:r>
      <w:r>
        <w:rPr>
          <w:color w:val="231F20"/>
          <w:w w:val="105"/>
        </w:rPr>
        <w:t>poder</w:t>
      </w:r>
      <w:r>
        <w:rPr>
          <w:color w:val="231F20"/>
          <w:spacing w:val="-24"/>
          <w:w w:val="105"/>
        </w:rPr>
        <w:t> </w:t>
      </w:r>
      <w:r>
        <w:rPr>
          <w:color w:val="231F20"/>
          <w:w w:val="105"/>
        </w:rPr>
        <w:t>insertarse, aun</w:t>
      </w:r>
      <w:r>
        <w:rPr>
          <w:color w:val="231F20"/>
          <w:spacing w:val="-17"/>
          <w:w w:val="105"/>
        </w:rPr>
        <w:t> </w:t>
      </w:r>
      <w:r>
        <w:rPr>
          <w:color w:val="231F20"/>
          <w:w w:val="105"/>
        </w:rPr>
        <w:t>cuando</w:t>
      </w:r>
      <w:r>
        <w:rPr>
          <w:color w:val="231F20"/>
          <w:spacing w:val="-17"/>
          <w:w w:val="105"/>
        </w:rPr>
        <w:t> </w:t>
      </w:r>
      <w:r>
        <w:rPr>
          <w:color w:val="231F20"/>
          <w:w w:val="105"/>
        </w:rPr>
        <w:t>están</w:t>
      </w:r>
      <w:r>
        <w:rPr>
          <w:color w:val="231F20"/>
          <w:spacing w:val="-17"/>
          <w:w w:val="105"/>
        </w:rPr>
        <w:t> </w:t>
      </w:r>
      <w:r>
        <w:rPr>
          <w:color w:val="231F20"/>
          <w:w w:val="105"/>
        </w:rPr>
        <w:t>dispuestos</w:t>
      </w:r>
      <w:r>
        <w:rPr>
          <w:color w:val="231F20"/>
          <w:spacing w:val="-17"/>
          <w:w w:val="105"/>
        </w:rPr>
        <w:t> </w:t>
      </w:r>
      <w:r>
        <w:rPr>
          <w:color w:val="231F20"/>
          <w:w w:val="105"/>
        </w:rPr>
        <w:t>a</w:t>
      </w:r>
      <w:r>
        <w:rPr>
          <w:color w:val="231F20"/>
          <w:spacing w:val="-17"/>
          <w:w w:val="105"/>
        </w:rPr>
        <w:t> </w:t>
      </w:r>
      <w:r>
        <w:rPr>
          <w:color w:val="231F20"/>
          <w:w w:val="105"/>
        </w:rPr>
        <w:t>percibir</w:t>
      </w:r>
      <w:r>
        <w:rPr>
          <w:color w:val="231F20"/>
          <w:spacing w:val="-17"/>
          <w:w w:val="105"/>
        </w:rPr>
        <w:t> </w:t>
      </w:r>
      <w:r>
        <w:rPr>
          <w:color w:val="231F20"/>
          <w:w w:val="105"/>
        </w:rPr>
        <w:t>menos</w:t>
      </w:r>
      <w:r>
        <w:rPr>
          <w:color w:val="231F20"/>
          <w:spacing w:val="-17"/>
          <w:w w:val="105"/>
        </w:rPr>
        <w:t> </w:t>
      </w:r>
      <w:r>
        <w:rPr>
          <w:color w:val="231F20"/>
          <w:w w:val="105"/>
        </w:rPr>
        <w:t>renta</w:t>
      </w:r>
      <w:r>
        <w:rPr>
          <w:color w:val="231F20"/>
          <w:spacing w:val="-17"/>
          <w:w w:val="105"/>
        </w:rPr>
        <w:t> </w:t>
      </w:r>
      <w:r>
        <w:rPr>
          <w:color w:val="231F20"/>
          <w:w w:val="105"/>
        </w:rPr>
        <w:t>por</w:t>
      </w:r>
      <w:r>
        <w:rPr>
          <w:color w:val="231F20"/>
          <w:spacing w:val="-17"/>
          <w:w w:val="105"/>
        </w:rPr>
        <w:t> </w:t>
      </w:r>
      <w:r>
        <w:rPr>
          <w:color w:val="231F20"/>
          <w:w w:val="105"/>
        </w:rPr>
        <w:t>su</w:t>
      </w:r>
      <w:r>
        <w:rPr>
          <w:color w:val="231F20"/>
          <w:spacing w:val="-17"/>
          <w:w w:val="105"/>
        </w:rPr>
        <w:t> </w:t>
      </w:r>
      <w:r>
        <w:rPr>
          <w:color w:val="231F20"/>
          <w:w w:val="105"/>
        </w:rPr>
        <w:t>trabajo.</w:t>
      </w:r>
    </w:p>
    <w:p>
      <w:pPr>
        <w:pStyle w:val="BodyText"/>
        <w:spacing w:line="259" w:lineRule="auto"/>
        <w:ind w:left="103" w:right="108" w:firstLine="567"/>
        <w:jc w:val="both"/>
      </w:pPr>
      <w:r>
        <w:rPr>
          <w:color w:val="231F20"/>
          <w:w w:val="105"/>
        </w:rPr>
        <w:t>El sector secundario también es considerado como el residuo</w:t>
      </w:r>
      <w:r>
        <w:rPr>
          <w:color w:val="231F20"/>
          <w:spacing w:val="-25"/>
          <w:w w:val="105"/>
        </w:rPr>
        <w:t> </w:t>
      </w:r>
      <w:r>
        <w:rPr>
          <w:color w:val="231F20"/>
          <w:w w:val="105"/>
        </w:rPr>
        <w:t>del sector</w:t>
      </w:r>
      <w:r>
        <w:rPr>
          <w:color w:val="231F20"/>
          <w:spacing w:val="-9"/>
          <w:w w:val="105"/>
        </w:rPr>
        <w:t> </w:t>
      </w:r>
      <w:r>
        <w:rPr>
          <w:color w:val="231F20"/>
          <w:w w:val="105"/>
        </w:rPr>
        <w:t>primario.</w:t>
      </w:r>
      <w:r>
        <w:rPr>
          <w:color w:val="231F20"/>
          <w:spacing w:val="-14"/>
          <w:w w:val="105"/>
        </w:rPr>
        <w:t> </w:t>
      </w:r>
      <w:r>
        <w:rPr>
          <w:color w:val="231F20"/>
          <w:w w:val="105"/>
        </w:rPr>
        <w:t>Existe</w:t>
      </w:r>
      <w:r>
        <w:rPr>
          <w:color w:val="231F20"/>
          <w:spacing w:val="-9"/>
          <w:w w:val="105"/>
        </w:rPr>
        <w:t> </w:t>
      </w:r>
      <w:r>
        <w:rPr>
          <w:color w:val="231F20"/>
          <w:w w:val="105"/>
        </w:rPr>
        <w:t>debido</w:t>
      </w:r>
      <w:r>
        <w:rPr>
          <w:color w:val="231F20"/>
          <w:spacing w:val="-9"/>
          <w:w w:val="105"/>
        </w:rPr>
        <w:t> </w:t>
      </w:r>
      <w:r>
        <w:rPr>
          <w:color w:val="231F20"/>
          <w:w w:val="105"/>
        </w:rPr>
        <w:t>a</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trabajos</w:t>
      </w:r>
      <w:r>
        <w:rPr>
          <w:color w:val="231F20"/>
          <w:spacing w:val="-9"/>
          <w:w w:val="105"/>
        </w:rPr>
        <w:t> </w:t>
      </w:r>
      <w:r>
        <w:rPr>
          <w:color w:val="231F20"/>
          <w:w w:val="105"/>
        </w:rPr>
        <w:t>son</w:t>
      </w:r>
      <w:r>
        <w:rPr>
          <w:color w:val="231F20"/>
          <w:spacing w:val="-9"/>
          <w:w w:val="105"/>
        </w:rPr>
        <w:t> </w:t>
      </w:r>
      <w:r>
        <w:rPr>
          <w:color w:val="231F20"/>
          <w:w w:val="105"/>
        </w:rPr>
        <w:t>racionados</w:t>
      </w:r>
      <w:r>
        <w:rPr>
          <w:color w:val="231F20"/>
          <w:spacing w:val="-9"/>
          <w:w w:val="105"/>
        </w:rPr>
        <w:t> </w:t>
      </w:r>
      <w:r>
        <w:rPr>
          <w:color w:val="231F20"/>
          <w:w w:val="105"/>
        </w:rPr>
        <w:t>–no</w:t>
      </w:r>
      <w:r>
        <w:rPr>
          <w:color w:val="231F20"/>
          <w:spacing w:val="-9"/>
          <w:w w:val="105"/>
        </w:rPr>
        <w:t> </w:t>
      </w:r>
      <w:r>
        <w:rPr>
          <w:color w:val="231F20"/>
          <w:w w:val="105"/>
        </w:rPr>
        <w:t>to- dos los que quieren un empleo en el sector primario califican para ob- tenerlo– (Dickens y Lang, 1985), y aun contando con las calificaciones necesarias no todos obtienen el empleo deseado en el sector primario, especialmente</w:t>
      </w:r>
      <w:r>
        <w:rPr>
          <w:color w:val="231F20"/>
          <w:spacing w:val="-7"/>
          <w:w w:val="105"/>
        </w:rPr>
        <w:t> </w:t>
      </w:r>
      <w:r>
        <w:rPr>
          <w:color w:val="231F20"/>
          <w:w w:val="105"/>
        </w:rPr>
        <w:t>las</w:t>
      </w:r>
      <w:r>
        <w:rPr>
          <w:color w:val="231F20"/>
          <w:spacing w:val="-7"/>
          <w:w w:val="105"/>
        </w:rPr>
        <w:t> </w:t>
      </w:r>
      <w:r>
        <w:rPr>
          <w:color w:val="231F20"/>
          <w:w w:val="105"/>
        </w:rPr>
        <w:t>minorías</w:t>
      </w:r>
      <w:r>
        <w:rPr>
          <w:color w:val="231F20"/>
          <w:spacing w:val="-7"/>
          <w:w w:val="105"/>
        </w:rPr>
        <w:t> </w:t>
      </w:r>
      <w:r>
        <w:rPr>
          <w:color w:val="231F20"/>
          <w:w w:val="105"/>
        </w:rPr>
        <w:t>o</w:t>
      </w:r>
      <w:r>
        <w:rPr>
          <w:color w:val="231F20"/>
          <w:spacing w:val="-7"/>
          <w:w w:val="105"/>
        </w:rPr>
        <w:t> </w:t>
      </w:r>
      <w:r>
        <w:rPr>
          <w:color w:val="231F20"/>
          <w:w w:val="105"/>
        </w:rPr>
        <w:t>grupos</w:t>
      </w:r>
      <w:r>
        <w:rPr>
          <w:color w:val="231F20"/>
          <w:spacing w:val="-7"/>
          <w:w w:val="105"/>
        </w:rPr>
        <w:t> </w:t>
      </w:r>
      <w:r>
        <w:rPr>
          <w:color w:val="231F20"/>
          <w:w w:val="105"/>
        </w:rPr>
        <w:t>minoritarios</w:t>
      </w:r>
      <w:r>
        <w:rPr>
          <w:color w:val="231F20"/>
          <w:spacing w:val="-7"/>
          <w:w w:val="105"/>
        </w:rPr>
        <w:t> </w:t>
      </w:r>
      <w:r>
        <w:rPr>
          <w:color w:val="231F20"/>
          <w:w w:val="105"/>
        </w:rPr>
        <w:t>como:</w:t>
      </w:r>
      <w:r>
        <w:rPr>
          <w:color w:val="231F20"/>
          <w:spacing w:val="-7"/>
          <w:w w:val="105"/>
        </w:rPr>
        <w:t> </w:t>
      </w:r>
      <w:r>
        <w:rPr>
          <w:color w:val="231F20"/>
          <w:w w:val="105"/>
        </w:rPr>
        <w:t>gente</w:t>
      </w:r>
      <w:r>
        <w:rPr>
          <w:color w:val="231F20"/>
          <w:spacing w:val="-7"/>
          <w:w w:val="105"/>
        </w:rPr>
        <w:t> </w:t>
      </w:r>
      <w:r>
        <w:rPr>
          <w:color w:val="231F20"/>
          <w:w w:val="105"/>
        </w:rPr>
        <w:t>de</w:t>
      </w:r>
      <w:r>
        <w:rPr>
          <w:color w:val="231F20"/>
          <w:spacing w:val="-7"/>
          <w:w w:val="105"/>
        </w:rPr>
        <w:t> </w:t>
      </w:r>
      <w:r>
        <w:rPr>
          <w:color w:val="231F20"/>
          <w:w w:val="105"/>
        </w:rPr>
        <w:t>color, mujeres,</w:t>
      </w:r>
      <w:r>
        <w:rPr>
          <w:color w:val="231F20"/>
          <w:spacing w:val="-36"/>
          <w:w w:val="105"/>
        </w:rPr>
        <w:t> </w:t>
      </w:r>
      <w:r>
        <w:rPr>
          <w:color w:val="231F20"/>
          <w:w w:val="105"/>
        </w:rPr>
        <w:t>jóvenes</w:t>
      </w:r>
      <w:r>
        <w:rPr>
          <w:color w:val="231F20"/>
          <w:spacing w:val="-31"/>
          <w:w w:val="105"/>
        </w:rPr>
        <w:t> </w:t>
      </w:r>
      <w:r>
        <w:rPr>
          <w:color w:val="231F20"/>
          <w:w w:val="105"/>
        </w:rPr>
        <w:t>y</w:t>
      </w:r>
      <w:r>
        <w:rPr>
          <w:color w:val="231F20"/>
          <w:spacing w:val="-31"/>
          <w:w w:val="105"/>
        </w:rPr>
        <w:t> </w:t>
      </w:r>
      <w:r>
        <w:rPr>
          <w:color w:val="231F20"/>
          <w:w w:val="105"/>
        </w:rPr>
        <w:t>viejos;</w:t>
      </w:r>
      <w:r>
        <w:rPr>
          <w:color w:val="231F20"/>
          <w:spacing w:val="-31"/>
          <w:w w:val="105"/>
        </w:rPr>
        <w:t> </w:t>
      </w:r>
      <w:r>
        <w:rPr>
          <w:color w:val="231F20"/>
          <w:w w:val="105"/>
        </w:rPr>
        <w:t>las</w:t>
      </w:r>
      <w:r>
        <w:rPr>
          <w:color w:val="231F20"/>
          <w:spacing w:val="-31"/>
          <w:w w:val="105"/>
        </w:rPr>
        <w:t> </w:t>
      </w:r>
      <w:r>
        <w:rPr>
          <w:color w:val="231F20"/>
          <w:w w:val="105"/>
        </w:rPr>
        <w:t>personas</w:t>
      </w:r>
      <w:r>
        <w:rPr>
          <w:color w:val="231F20"/>
          <w:spacing w:val="-31"/>
          <w:w w:val="105"/>
        </w:rPr>
        <w:t> </w:t>
      </w:r>
      <w:r>
        <w:rPr>
          <w:color w:val="231F20"/>
          <w:w w:val="105"/>
        </w:rPr>
        <w:t>sin</w:t>
      </w:r>
      <w:r>
        <w:rPr>
          <w:color w:val="231F20"/>
          <w:spacing w:val="-31"/>
          <w:w w:val="105"/>
        </w:rPr>
        <w:t> </w:t>
      </w:r>
      <w:r>
        <w:rPr>
          <w:color w:val="231F20"/>
          <w:w w:val="105"/>
        </w:rPr>
        <w:t>formación</w:t>
      </w:r>
      <w:r>
        <w:rPr>
          <w:color w:val="231F20"/>
          <w:spacing w:val="-31"/>
          <w:w w:val="105"/>
        </w:rPr>
        <w:t> </w:t>
      </w:r>
      <w:r>
        <w:rPr>
          <w:color w:val="231F20"/>
          <w:w w:val="105"/>
        </w:rPr>
        <w:t>padecen</w:t>
      </w:r>
      <w:r>
        <w:rPr>
          <w:color w:val="231F20"/>
          <w:spacing w:val="-31"/>
          <w:w w:val="105"/>
        </w:rPr>
        <w:t> </w:t>
      </w:r>
      <w:r>
        <w:rPr>
          <w:color w:val="231F20"/>
          <w:w w:val="105"/>
        </w:rPr>
        <w:t>la</w:t>
      </w:r>
      <w:r>
        <w:rPr>
          <w:color w:val="231F20"/>
          <w:spacing w:val="-31"/>
          <w:w w:val="105"/>
        </w:rPr>
        <w:t> </w:t>
      </w:r>
      <w:r>
        <w:rPr>
          <w:color w:val="231F20"/>
          <w:w w:val="105"/>
        </w:rPr>
        <w:t>discrimi- nación</w:t>
      </w:r>
      <w:r>
        <w:rPr>
          <w:color w:val="231F20"/>
          <w:spacing w:val="-15"/>
          <w:w w:val="105"/>
        </w:rPr>
        <w:t> </w:t>
      </w:r>
      <w:r>
        <w:rPr>
          <w:color w:val="231F20"/>
          <w:w w:val="105"/>
        </w:rPr>
        <w:t>del</w:t>
      </w:r>
      <w:r>
        <w:rPr>
          <w:color w:val="231F20"/>
          <w:spacing w:val="-15"/>
          <w:w w:val="105"/>
        </w:rPr>
        <w:t> </w:t>
      </w:r>
      <w:r>
        <w:rPr>
          <w:color w:val="231F20"/>
          <w:w w:val="105"/>
        </w:rPr>
        <w:t>sector</w:t>
      </w:r>
      <w:r>
        <w:rPr>
          <w:color w:val="231F20"/>
          <w:spacing w:val="-15"/>
          <w:w w:val="105"/>
        </w:rPr>
        <w:t> </w:t>
      </w:r>
      <w:r>
        <w:rPr>
          <w:color w:val="231F20"/>
          <w:w w:val="105"/>
        </w:rPr>
        <w:t>primario</w:t>
      </w:r>
      <w:r>
        <w:rPr>
          <w:color w:val="231F20"/>
          <w:spacing w:val="-15"/>
          <w:w w:val="105"/>
        </w:rPr>
        <w:t> </w:t>
      </w:r>
      <w:r>
        <w:rPr>
          <w:color w:val="231F20"/>
          <w:w w:val="105"/>
        </w:rPr>
        <w:t>(Doeringer</w:t>
      </w:r>
      <w:r>
        <w:rPr>
          <w:color w:val="231F20"/>
          <w:spacing w:val="-15"/>
          <w:w w:val="105"/>
        </w:rPr>
        <w:t> </w:t>
      </w:r>
      <w:r>
        <w:rPr>
          <w:color w:val="231F20"/>
          <w:w w:val="105"/>
        </w:rPr>
        <w:t>y</w:t>
      </w:r>
      <w:r>
        <w:rPr>
          <w:color w:val="231F20"/>
          <w:spacing w:val="-15"/>
          <w:w w:val="105"/>
        </w:rPr>
        <w:t> </w:t>
      </w:r>
      <w:r>
        <w:rPr>
          <w:color w:val="231F20"/>
          <w:w w:val="105"/>
        </w:rPr>
        <w:t>Piore,</w:t>
      </w:r>
      <w:r>
        <w:rPr>
          <w:color w:val="231F20"/>
          <w:spacing w:val="-22"/>
          <w:w w:val="105"/>
        </w:rPr>
        <w:t> </w:t>
      </w:r>
      <w:r>
        <w:rPr>
          <w:color w:val="231F20"/>
          <w:w w:val="105"/>
        </w:rPr>
        <w:t>1971).</w:t>
      </w:r>
    </w:p>
    <w:p>
      <w:pPr>
        <w:pStyle w:val="BodyText"/>
        <w:spacing w:line="259" w:lineRule="auto"/>
        <w:ind w:left="103" w:right="109" w:firstLine="567"/>
        <w:jc w:val="both"/>
      </w:pP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teoría</w:t>
      </w:r>
      <w:r>
        <w:rPr>
          <w:color w:val="231F20"/>
          <w:spacing w:val="-18"/>
          <w:w w:val="105"/>
        </w:rPr>
        <w:t> </w:t>
      </w:r>
      <w:r>
        <w:rPr>
          <w:color w:val="231F20"/>
          <w:w w:val="105"/>
        </w:rPr>
        <w:t>del</w:t>
      </w:r>
      <w:r>
        <w:rPr>
          <w:color w:val="231F20"/>
          <w:spacing w:val="-18"/>
          <w:w w:val="105"/>
        </w:rPr>
        <w:t> </w:t>
      </w:r>
      <w:r>
        <w:rPr>
          <w:color w:val="231F20"/>
          <w:w w:val="105"/>
        </w:rPr>
        <w:t>mercado</w:t>
      </w:r>
      <w:r>
        <w:rPr>
          <w:color w:val="231F20"/>
          <w:spacing w:val="-18"/>
          <w:w w:val="105"/>
        </w:rPr>
        <w:t> </w:t>
      </w:r>
      <w:r>
        <w:rPr>
          <w:color w:val="231F20"/>
          <w:w w:val="105"/>
        </w:rPr>
        <w:t>dual</w:t>
      </w:r>
      <w:r>
        <w:rPr>
          <w:color w:val="231F20"/>
          <w:spacing w:val="-18"/>
          <w:w w:val="105"/>
        </w:rPr>
        <w:t> </w:t>
      </w:r>
      <w:r>
        <w:rPr>
          <w:color w:val="231F20"/>
          <w:w w:val="105"/>
        </w:rPr>
        <w:t>se</w:t>
      </w:r>
      <w:r>
        <w:rPr>
          <w:color w:val="231F20"/>
          <w:spacing w:val="-18"/>
          <w:w w:val="105"/>
        </w:rPr>
        <w:t> </w:t>
      </w:r>
      <w:r>
        <w:rPr>
          <w:color w:val="231F20"/>
          <w:w w:val="105"/>
        </w:rPr>
        <w:t>presentan</w:t>
      </w:r>
      <w:r>
        <w:rPr>
          <w:color w:val="231F20"/>
          <w:spacing w:val="-18"/>
          <w:w w:val="105"/>
        </w:rPr>
        <w:t> </w:t>
      </w:r>
      <w:r>
        <w:rPr>
          <w:color w:val="231F20"/>
          <w:w w:val="105"/>
        </w:rPr>
        <w:t>y</w:t>
      </w:r>
      <w:r>
        <w:rPr>
          <w:color w:val="231F20"/>
          <w:spacing w:val="-18"/>
          <w:w w:val="105"/>
        </w:rPr>
        <w:t> </w:t>
      </w:r>
      <w:r>
        <w:rPr>
          <w:color w:val="231F20"/>
          <w:w w:val="105"/>
        </w:rPr>
        <w:t>definen</w:t>
      </w:r>
      <w:r>
        <w:rPr>
          <w:color w:val="231F20"/>
          <w:spacing w:val="-18"/>
          <w:w w:val="105"/>
        </w:rPr>
        <w:t> </w:t>
      </w:r>
      <w:r>
        <w:rPr>
          <w:color w:val="231F20"/>
          <w:w w:val="105"/>
        </w:rPr>
        <w:t>los</w:t>
      </w:r>
      <w:r>
        <w:rPr>
          <w:color w:val="231F20"/>
          <w:spacing w:val="-18"/>
          <w:w w:val="105"/>
        </w:rPr>
        <w:t> </w:t>
      </w:r>
      <w:r>
        <w:rPr>
          <w:color w:val="231F20"/>
          <w:w w:val="105"/>
        </w:rPr>
        <w:t>mercados internos</w:t>
      </w:r>
      <w:r>
        <w:rPr>
          <w:color w:val="231F20"/>
          <w:spacing w:val="-18"/>
          <w:w w:val="105"/>
        </w:rPr>
        <w:t> </w:t>
      </w:r>
      <w:r>
        <w:rPr>
          <w:color w:val="231F20"/>
          <w:w w:val="105"/>
        </w:rPr>
        <w:t>de</w:t>
      </w:r>
      <w:r>
        <w:rPr>
          <w:color w:val="231F20"/>
          <w:spacing w:val="-18"/>
          <w:w w:val="105"/>
        </w:rPr>
        <w:t> </w:t>
      </w:r>
      <w:r>
        <w:rPr>
          <w:color w:val="231F20"/>
          <w:w w:val="105"/>
        </w:rPr>
        <w:t>trabajo.</w:t>
      </w:r>
      <w:r>
        <w:rPr>
          <w:color w:val="231F20"/>
          <w:spacing w:val="-23"/>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caso</w:t>
      </w:r>
      <w:r>
        <w:rPr>
          <w:color w:val="231F20"/>
          <w:spacing w:val="-18"/>
          <w:w w:val="105"/>
        </w:rPr>
        <w:t> </w:t>
      </w:r>
      <w:r>
        <w:rPr>
          <w:color w:val="231F20"/>
          <w:w w:val="105"/>
        </w:rPr>
        <w:t>del</w:t>
      </w:r>
      <w:r>
        <w:rPr>
          <w:color w:val="231F20"/>
          <w:spacing w:val="-18"/>
          <w:w w:val="105"/>
        </w:rPr>
        <w:t> </w:t>
      </w:r>
      <w:r>
        <w:rPr>
          <w:color w:val="231F20"/>
          <w:w w:val="105"/>
        </w:rPr>
        <w:t>sector</w:t>
      </w:r>
      <w:r>
        <w:rPr>
          <w:color w:val="231F20"/>
          <w:spacing w:val="-18"/>
          <w:w w:val="105"/>
        </w:rPr>
        <w:t> </w:t>
      </w:r>
      <w:r>
        <w:rPr>
          <w:color w:val="231F20"/>
          <w:w w:val="105"/>
        </w:rPr>
        <w:t>primario</w:t>
      </w:r>
      <w:r>
        <w:rPr>
          <w:color w:val="231F20"/>
          <w:spacing w:val="-18"/>
          <w:w w:val="105"/>
        </w:rPr>
        <w:t> </w:t>
      </w:r>
      <w:r>
        <w:rPr>
          <w:color w:val="231F20"/>
          <w:w w:val="105"/>
        </w:rPr>
        <w:t>el</w:t>
      </w:r>
      <w:r>
        <w:rPr>
          <w:color w:val="231F20"/>
          <w:spacing w:val="-18"/>
          <w:w w:val="105"/>
        </w:rPr>
        <w:t> </w:t>
      </w:r>
      <w:r>
        <w:rPr>
          <w:color w:val="231F20"/>
          <w:w w:val="105"/>
        </w:rPr>
        <w:t>mercado</w:t>
      </w:r>
      <w:r>
        <w:rPr>
          <w:color w:val="231F20"/>
          <w:spacing w:val="-18"/>
          <w:w w:val="105"/>
        </w:rPr>
        <w:t> </w:t>
      </w:r>
      <w:r>
        <w:rPr>
          <w:color w:val="231F20"/>
          <w:w w:val="105"/>
        </w:rPr>
        <w:t>interno</w:t>
      </w:r>
      <w:r>
        <w:rPr>
          <w:color w:val="231F20"/>
          <w:spacing w:val="-18"/>
          <w:w w:val="105"/>
        </w:rPr>
        <w:t> </w:t>
      </w:r>
      <w:r>
        <w:rPr>
          <w:color w:val="231F20"/>
          <w:w w:val="105"/>
        </w:rPr>
        <w:t>de- fine</w:t>
      </w:r>
      <w:r>
        <w:rPr>
          <w:color w:val="231F20"/>
          <w:spacing w:val="-17"/>
          <w:w w:val="105"/>
        </w:rPr>
        <w:t> </w:t>
      </w:r>
      <w:r>
        <w:rPr>
          <w:color w:val="231F20"/>
          <w:w w:val="105"/>
        </w:rPr>
        <w:t>un</w:t>
      </w:r>
      <w:r>
        <w:rPr>
          <w:color w:val="231F20"/>
          <w:spacing w:val="-17"/>
          <w:w w:val="105"/>
        </w:rPr>
        <w:t> </w:t>
      </w:r>
      <w:r>
        <w:rPr>
          <w:color w:val="231F20"/>
          <w:w w:val="105"/>
        </w:rPr>
        <w:t>alto</w:t>
      </w:r>
      <w:r>
        <w:rPr>
          <w:color w:val="231F20"/>
          <w:spacing w:val="-17"/>
          <w:w w:val="105"/>
        </w:rPr>
        <w:t> </w:t>
      </w:r>
      <w:r>
        <w:rPr>
          <w:color w:val="231F20"/>
          <w:w w:val="105"/>
        </w:rPr>
        <w:t>grado</w:t>
      </w:r>
      <w:r>
        <w:rPr>
          <w:color w:val="231F20"/>
          <w:spacing w:val="-17"/>
          <w:w w:val="105"/>
        </w:rPr>
        <w:t> </w:t>
      </w:r>
      <w:r>
        <w:rPr>
          <w:color w:val="231F20"/>
          <w:w w:val="105"/>
        </w:rPr>
        <w:t>de</w:t>
      </w:r>
      <w:r>
        <w:rPr>
          <w:color w:val="231F20"/>
          <w:spacing w:val="-17"/>
          <w:w w:val="105"/>
        </w:rPr>
        <w:t> </w:t>
      </w:r>
      <w:r>
        <w:rPr>
          <w:color w:val="231F20"/>
          <w:w w:val="105"/>
        </w:rPr>
        <w:t>organización</w:t>
      </w:r>
      <w:r>
        <w:rPr>
          <w:color w:val="231F20"/>
          <w:spacing w:val="-17"/>
          <w:w w:val="105"/>
        </w:rPr>
        <w:t> </w:t>
      </w:r>
      <w:r>
        <w:rPr>
          <w:color w:val="231F20"/>
          <w:w w:val="105"/>
        </w:rPr>
        <w:t>derivando</w:t>
      </w:r>
      <w:r>
        <w:rPr>
          <w:color w:val="231F20"/>
          <w:spacing w:val="-17"/>
          <w:w w:val="105"/>
        </w:rPr>
        <w:t> </w:t>
      </w:r>
      <w:r>
        <w:rPr>
          <w:color w:val="231F20"/>
          <w:w w:val="105"/>
        </w:rPr>
        <w:t>en</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trabajadores</w:t>
      </w:r>
      <w:r>
        <w:rPr>
          <w:color w:val="231F20"/>
          <w:spacing w:val="-17"/>
          <w:w w:val="105"/>
        </w:rPr>
        <w:t> </w:t>
      </w:r>
      <w:r>
        <w:rPr>
          <w:color w:val="231F20"/>
          <w:w w:val="105"/>
        </w:rPr>
        <w:t>ob- tengan</w:t>
      </w:r>
      <w:r>
        <w:rPr>
          <w:color w:val="231F20"/>
          <w:spacing w:val="-16"/>
          <w:w w:val="105"/>
        </w:rPr>
        <w:t> </w:t>
      </w:r>
      <w:r>
        <w:rPr>
          <w:color w:val="231F20"/>
          <w:w w:val="105"/>
        </w:rPr>
        <w:t>puestos</w:t>
      </w:r>
      <w:r>
        <w:rPr>
          <w:color w:val="231F20"/>
          <w:spacing w:val="-16"/>
          <w:w w:val="105"/>
        </w:rPr>
        <w:t> </w:t>
      </w:r>
      <w:r>
        <w:rPr>
          <w:color w:val="231F20"/>
          <w:w w:val="105"/>
        </w:rPr>
        <w:t>de</w:t>
      </w:r>
      <w:r>
        <w:rPr>
          <w:color w:val="231F20"/>
          <w:spacing w:val="-16"/>
          <w:w w:val="105"/>
        </w:rPr>
        <w:t> </w:t>
      </w:r>
      <w:r>
        <w:rPr>
          <w:color w:val="231F20"/>
          <w:w w:val="105"/>
        </w:rPr>
        <w:t>mayor</w:t>
      </w:r>
      <w:r>
        <w:rPr>
          <w:color w:val="231F20"/>
          <w:spacing w:val="-16"/>
          <w:w w:val="105"/>
        </w:rPr>
        <w:t> </w:t>
      </w:r>
      <w:r>
        <w:rPr>
          <w:color w:val="231F20"/>
          <w:w w:val="105"/>
        </w:rPr>
        <w:t>nivel</w:t>
      </w:r>
      <w:r>
        <w:rPr>
          <w:color w:val="231F20"/>
          <w:spacing w:val="-16"/>
          <w:w w:val="105"/>
        </w:rPr>
        <w:t> </w:t>
      </w:r>
      <w:r>
        <w:rPr>
          <w:color w:val="231F20"/>
          <w:w w:val="105"/>
        </w:rPr>
        <w:t>y</w:t>
      </w:r>
      <w:r>
        <w:rPr>
          <w:color w:val="231F20"/>
          <w:spacing w:val="-16"/>
          <w:w w:val="105"/>
        </w:rPr>
        <w:t> </w:t>
      </w:r>
      <w:r>
        <w:rPr>
          <w:color w:val="231F20"/>
          <w:w w:val="105"/>
        </w:rPr>
        <w:t>mejor</w:t>
      </w:r>
      <w:r>
        <w:rPr>
          <w:color w:val="231F20"/>
          <w:spacing w:val="-16"/>
          <w:w w:val="105"/>
        </w:rPr>
        <w:t> </w:t>
      </w:r>
      <w:r>
        <w:rPr>
          <w:color w:val="231F20"/>
          <w:w w:val="105"/>
        </w:rPr>
        <w:t>remunerados.</w:t>
      </w:r>
      <w:r>
        <w:rPr>
          <w:color w:val="231F20"/>
          <w:spacing w:val="-21"/>
          <w:w w:val="105"/>
        </w:rPr>
        <w:t> </w:t>
      </w:r>
      <w:r>
        <w:rPr>
          <w:color w:val="231F20"/>
          <w:w w:val="105"/>
        </w:rPr>
        <w:t>Lo</w:t>
      </w:r>
      <w:r>
        <w:rPr>
          <w:color w:val="231F20"/>
          <w:spacing w:val="-16"/>
          <w:w w:val="105"/>
        </w:rPr>
        <w:t> </w:t>
      </w:r>
      <w:r>
        <w:rPr>
          <w:color w:val="231F20"/>
          <w:w w:val="105"/>
        </w:rPr>
        <w:t>anterior</w:t>
      </w:r>
      <w:r>
        <w:rPr>
          <w:color w:val="231F20"/>
          <w:spacing w:val="-16"/>
          <w:w w:val="105"/>
        </w:rPr>
        <w:t> </w:t>
      </w:r>
      <w:r>
        <w:rPr>
          <w:color w:val="231F20"/>
          <w:w w:val="105"/>
        </w:rPr>
        <w:t>genera que la rotación sea baja, y por ende, la permanencia es un factor que se busca estimular y conservar dentro de este tipo de organizaciones. Esta</w:t>
      </w:r>
      <w:r>
        <w:rPr>
          <w:color w:val="231F20"/>
          <w:spacing w:val="-6"/>
          <w:w w:val="105"/>
        </w:rPr>
        <w:t> </w:t>
      </w:r>
      <w:r>
        <w:rPr>
          <w:color w:val="231F20"/>
          <w:w w:val="105"/>
        </w:rPr>
        <w:t>característica</w:t>
      </w:r>
      <w:r>
        <w:rPr>
          <w:color w:val="231F20"/>
          <w:spacing w:val="-6"/>
          <w:w w:val="105"/>
        </w:rPr>
        <w:t> </w:t>
      </w:r>
      <w:r>
        <w:rPr>
          <w:color w:val="231F20"/>
          <w:w w:val="105"/>
        </w:rPr>
        <w:t>es</w:t>
      </w:r>
      <w:r>
        <w:rPr>
          <w:color w:val="231F20"/>
          <w:spacing w:val="-6"/>
          <w:w w:val="105"/>
        </w:rPr>
        <w:t> </w:t>
      </w:r>
      <w:r>
        <w:rPr>
          <w:color w:val="231F20"/>
          <w:w w:val="105"/>
        </w:rPr>
        <w:t>importante,</w:t>
      </w:r>
      <w:r>
        <w:rPr>
          <w:color w:val="231F20"/>
          <w:spacing w:val="-12"/>
          <w:w w:val="105"/>
        </w:rPr>
        <w:t> </w:t>
      </w:r>
      <w:r>
        <w:rPr>
          <w:color w:val="231F20"/>
          <w:w w:val="105"/>
        </w:rPr>
        <w:t>ya</w:t>
      </w:r>
      <w:r>
        <w:rPr>
          <w:color w:val="231F20"/>
          <w:spacing w:val="-6"/>
          <w:w w:val="105"/>
        </w:rPr>
        <w:t> </w:t>
      </w:r>
      <w:r>
        <w:rPr>
          <w:color w:val="231F20"/>
          <w:w w:val="105"/>
        </w:rPr>
        <w:t>que</w:t>
      </w:r>
      <w:r>
        <w:rPr>
          <w:color w:val="231F20"/>
          <w:spacing w:val="-6"/>
          <w:w w:val="105"/>
        </w:rPr>
        <w:t> </w:t>
      </w:r>
      <w:r>
        <w:rPr>
          <w:color w:val="231F20"/>
          <w:w w:val="105"/>
        </w:rPr>
        <w:t>permite</w:t>
      </w:r>
      <w:r>
        <w:rPr>
          <w:color w:val="231F20"/>
          <w:spacing w:val="-6"/>
          <w:w w:val="105"/>
        </w:rPr>
        <w:t> </w:t>
      </w:r>
      <w:r>
        <w:rPr>
          <w:color w:val="231F20"/>
          <w:w w:val="105"/>
        </w:rPr>
        <w:t>la</w:t>
      </w:r>
      <w:r>
        <w:rPr>
          <w:color w:val="231F20"/>
          <w:spacing w:val="-6"/>
          <w:w w:val="105"/>
        </w:rPr>
        <w:t> </w:t>
      </w:r>
      <w:r>
        <w:rPr>
          <w:color w:val="231F20"/>
          <w:w w:val="105"/>
        </w:rPr>
        <w:t>identificación</w:t>
      </w:r>
      <w:r>
        <w:rPr>
          <w:color w:val="231F20"/>
          <w:spacing w:val="-6"/>
          <w:w w:val="105"/>
        </w:rPr>
        <w:t> </w:t>
      </w:r>
      <w:r>
        <w:rPr>
          <w:color w:val="231F20"/>
          <w:w w:val="105"/>
        </w:rPr>
        <w:t>de</w:t>
      </w:r>
      <w:r>
        <w:rPr>
          <w:color w:val="231F20"/>
          <w:spacing w:val="-6"/>
          <w:w w:val="105"/>
        </w:rPr>
        <w:t> </w:t>
      </w:r>
      <w:r>
        <w:rPr>
          <w:color w:val="231F20"/>
          <w:w w:val="105"/>
        </w:rPr>
        <w:t>un mecanismo</w:t>
      </w:r>
      <w:r>
        <w:rPr>
          <w:color w:val="231F20"/>
          <w:spacing w:val="-24"/>
          <w:w w:val="105"/>
        </w:rPr>
        <w:t> </w:t>
      </w:r>
      <w:r>
        <w:rPr>
          <w:color w:val="231F20"/>
          <w:w w:val="105"/>
        </w:rPr>
        <w:t>institucional</w:t>
      </w:r>
      <w:r>
        <w:rPr>
          <w:color w:val="231F20"/>
          <w:spacing w:val="-24"/>
          <w:w w:val="105"/>
        </w:rPr>
        <w:t> </w:t>
      </w:r>
      <w:r>
        <w:rPr>
          <w:color w:val="231F20"/>
          <w:w w:val="105"/>
        </w:rPr>
        <w:t>además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presencia</w:t>
      </w:r>
      <w:r>
        <w:rPr>
          <w:color w:val="231F20"/>
          <w:spacing w:val="-24"/>
          <w:w w:val="105"/>
        </w:rPr>
        <w:t> </w:t>
      </w:r>
      <w:r>
        <w:rPr>
          <w:color w:val="231F20"/>
          <w:w w:val="105"/>
        </w:rPr>
        <w:t>de</w:t>
      </w:r>
      <w:r>
        <w:rPr>
          <w:color w:val="231F20"/>
          <w:spacing w:val="-24"/>
          <w:w w:val="105"/>
        </w:rPr>
        <w:t> </w:t>
      </w:r>
      <w:r>
        <w:rPr>
          <w:color w:val="231F20"/>
          <w:w w:val="105"/>
        </w:rPr>
        <w:t>sindicatos</w:t>
      </w:r>
      <w:r>
        <w:rPr>
          <w:color w:val="231F20"/>
          <w:spacing w:val="-24"/>
          <w:w w:val="105"/>
        </w:rPr>
        <w:t> </w:t>
      </w:r>
      <w:r>
        <w:rPr>
          <w:color w:val="231F20"/>
          <w:w w:val="105"/>
        </w:rPr>
        <w:t>para</w:t>
      </w:r>
      <w:r>
        <w:rPr>
          <w:color w:val="231F20"/>
          <w:spacing w:val="-24"/>
          <w:w w:val="105"/>
        </w:rPr>
        <w:t> </w:t>
      </w:r>
      <w:r>
        <w:rPr>
          <w:color w:val="231F20"/>
          <w:w w:val="105"/>
        </w:rPr>
        <w:t>velar por</w:t>
      </w:r>
      <w:r>
        <w:rPr>
          <w:color w:val="231F20"/>
          <w:spacing w:val="-23"/>
          <w:w w:val="105"/>
        </w:rPr>
        <w:t> </w:t>
      </w:r>
      <w:r>
        <w:rPr>
          <w:color w:val="231F20"/>
          <w:w w:val="105"/>
        </w:rPr>
        <w:t>los</w:t>
      </w:r>
      <w:r>
        <w:rPr>
          <w:color w:val="231F20"/>
          <w:spacing w:val="-23"/>
          <w:w w:val="105"/>
        </w:rPr>
        <w:t> </w:t>
      </w:r>
      <w:r>
        <w:rPr>
          <w:color w:val="231F20"/>
          <w:w w:val="105"/>
        </w:rPr>
        <w:t>intereses</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empleados.</w:t>
      </w:r>
      <w:r>
        <w:rPr>
          <w:color w:val="231F20"/>
          <w:spacing w:val="-28"/>
          <w:w w:val="105"/>
        </w:rPr>
        <w:t> </w:t>
      </w:r>
      <w:r>
        <w:rPr>
          <w:color w:val="231F20"/>
          <w:w w:val="105"/>
        </w:rPr>
        <w:t>El</w:t>
      </w:r>
      <w:r>
        <w:rPr>
          <w:color w:val="231F20"/>
          <w:spacing w:val="-23"/>
          <w:w w:val="105"/>
        </w:rPr>
        <w:t> </w:t>
      </w:r>
      <w:r>
        <w:rPr>
          <w:color w:val="231F20"/>
          <w:w w:val="105"/>
        </w:rPr>
        <w:t>dualismo</w:t>
      </w:r>
      <w:r>
        <w:rPr>
          <w:color w:val="231F20"/>
          <w:spacing w:val="-23"/>
          <w:w w:val="105"/>
        </w:rPr>
        <w:t> </w:t>
      </w:r>
      <w:r>
        <w:rPr>
          <w:color w:val="231F20"/>
          <w:w w:val="105"/>
        </w:rPr>
        <w:t>está</w:t>
      </w:r>
      <w:r>
        <w:rPr>
          <w:color w:val="231F20"/>
          <w:spacing w:val="-23"/>
          <w:w w:val="105"/>
        </w:rPr>
        <w:t> </w:t>
      </w:r>
      <w:r>
        <w:rPr>
          <w:color w:val="231F20"/>
          <w:w w:val="105"/>
        </w:rPr>
        <w:t>visto</w:t>
      </w:r>
      <w:r>
        <w:rPr>
          <w:color w:val="231F20"/>
          <w:spacing w:val="-23"/>
          <w:w w:val="105"/>
        </w:rPr>
        <w:t> </w:t>
      </w:r>
      <w:r>
        <w:rPr>
          <w:color w:val="231F20"/>
          <w:w w:val="105"/>
        </w:rPr>
        <w:t>esencialmente como</w:t>
      </w:r>
      <w:r>
        <w:rPr>
          <w:color w:val="231F20"/>
          <w:spacing w:val="-15"/>
          <w:w w:val="105"/>
        </w:rPr>
        <w:t> </w:t>
      </w:r>
      <w:r>
        <w:rPr>
          <w:color w:val="231F20"/>
          <w:w w:val="105"/>
        </w:rPr>
        <w:t>producto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requerimientos</w:t>
      </w:r>
      <w:r>
        <w:rPr>
          <w:color w:val="231F20"/>
          <w:spacing w:val="-15"/>
          <w:w w:val="105"/>
        </w:rPr>
        <w:t> </w:t>
      </w:r>
      <w:r>
        <w:rPr>
          <w:color w:val="231F20"/>
          <w:w w:val="105"/>
        </w:rPr>
        <w:t>de</w:t>
      </w:r>
      <w:r>
        <w:rPr>
          <w:color w:val="231F20"/>
          <w:spacing w:val="-15"/>
          <w:w w:val="105"/>
        </w:rPr>
        <w:t> </w:t>
      </w:r>
      <w:r>
        <w:rPr>
          <w:color w:val="231F20"/>
          <w:w w:val="105"/>
        </w:rPr>
        <w:t>habilidades</w:t>
      </w:r>
      <w:r>
        <w:rPr>
          <w:color w:val="231F20"/>
          <w:spacing w:val="-15"/>
          <w:w w:val="105"/>
        </w:rPr>
        <w:t> </w:t>
      </w:r>
      <w:r>
        <w:rPr>
          <w:color w:val="231F20"/>
          <w:w w:val="105"/>
        </w:rPr>
        <w:t>y</w:t>
      </w:r>
      <w:r>
        <w:rPr>
          <w:color w:val="231F20"/>
          <w:spacing w:val="-15"/>
          <w:w w:val="105"/>
        </w:rPr>
        <w:t> </w:t>
      </w:r>
      <w:r>
        <w:rPr>
          <w:color w:val="231F20"/>
          <w:w w:val="105"/>
        </w:rPr>
        <w:t>estabilidad</w:t>
      </w:r>
      <w:r>
        <w:rPr>
          <w:color w:val="231F20"/>
          <w:spacing w:val="-15"/>
          <w:w w:val="105"/>
        </w:rPr>
        <w:t> </w:t>
      </w:r>
      <w:r>
        <w:rPr>
          <w:color w:val="231F20"/>
          <w:w w:val="105"/>
        </w:rPr>
        <w:t>en</w:t>
      </w:r>
      <w:r>
        <w:rPr>
          <w:color w:val="231F20"/>
          <w:spacing w:val="-15"/>
          <w:w w:val="105"/>
        </w:rPr>
        <w:t> </w:t>
      </w:r>
      <w:r>
        <w:rPr>
          <w:color w:val="231F20"/>
          <w:w w:val="105"/>
        </w:rPr>
        <w:t>los diferentes</w:t>
      </w:r>
      <w:r>
        <w:rPr>
          <w:color w:val="231F20"/>
          <w:spacing w:val="-23"/>
          <w:w w:val="105"/>
        </w:rPr>
        <w:t> </w:t>
      </w:r>
      <w:r>
        <w:rPr>
          <w:color w:val="231F20"/>
          <w:w w:val="105"/>
        </w:rPr>
        <w:t>procesos</w:t>
      </w:r>
      <w:r>
        <w:rPr>
          <w:color w:val="231F20"/>
          <w:spacing w:val="-23"/>
          <w:w w:val="105"/>
        </w:rPr>
        <w:t> </w:t>
      </w:r>
      <w:r>
        <w:rPr>
          <w:color w:val="231F20"/>
          <w:w w:val="105"/>
        </w:rPr>
        <w:t>de</w:t>
      </w:r>
      <w:r>
        <w:rPr>
          <w:color w:val="231F20"/>
          <w:spacing w:val="-23"/>
          <w:w w:val="105"/>
        </w:rPr>
        <w:t> </w:t>
      </w:r>
      <w:r>
        <w:rPr>
          <w:color w:val="231F20"/>
          <w:w w:val="105"/>
        </w:rPr>
        <w:t>producción</w:t>
      </w:r>
      <w:r>
        <w:rPr>
          <w:color w:val="231F20"/>
          <w:spacing w:val="-23"/>
          <w:w w:val="105"/>
        </w:rPr>
        <w:t> </w:t>
      </w:r>
      <w:r>
        <w:rPr>
          <w:color w:val="231F20"/>
          <w:spacing w:val="-3"/>
          <w:w w:val="105"/>
        </w:rPr>
        <w:t>(Peck,</w:t>
      </w:r>
      <w:r>
        <w:rPr>
          <w:color w:val="231F20"/>
          <w:spacing w:val="-28"/>
          <w:w w:val="105"/>
        </w:rPr>
        <w:t> </w:t>
      </w:r>
      <w:r>
        <w:rPr>
          <w:color w:val="231F20"/>
          <w:w w:val="105"/>
        </w:rPr>
        <w:t>1996).</w:t>
      </w:r>
    </w:p>
    <w:p>
      <w:pPr>
        <w:pStyle w:val="BodyText"/>
        <w:spacing w:line="259" w:lineRule="auto"/>
        <w:ind w:left="103" w:right="114" w:firstLine="567"/>
        <w:jc w:val="both"/>
      </w:pPr>
      <w:r>
        <w:rPr>
          <w:color w:val="231F20"/>
        </w:rPr>
        <w:t>Las principales aportaciones del modelo del mercado dual son: primero, se enfoca en las características del empleo en lugar de los tra- bajadores, y segundo, presenta un entendimiento de los procesos insti- tucionalistas del mercado de trabajo </w:t>
      </w:r>
      <w:r>
        <w:rPr>
          <w:color w:val="231F20"/>
          <w:spacing w:val="-3"/>
        </w:rPr>
        <w:t>(Peck, </w:t>
      </w:r>
      <w:r>
        <w:rPr>
          <w:color w:val="231F20"/>
        </w:rPr>
        <w:t>1996), de ahí que se les co- nozca también como institucionalistas. La crítica más fuerte que hacen  los dualistas o institucionalistas a la teoría neoclásica se centra en que    el mercado de trabajo no debe ser considerado ni analizado como cual- quier otro mercado de bienes. Esta característica es recuperada en la si- guiente </w:t>
      </w:r>
      <w:r>
        <w:rPr>
          <w:color w:val="231F20"/>
          <w:spacing w:val="27"/>
        </w:rPr>
        <w:t> </w:t>
      </w:r>
      <w:r>
        <w:rPr>
          <w:color w:val="231F20"/>
        </w:rPr>
        <w:t>generación.</w:t>
      </w:r>
    </w:p>
    <w:p>
      <w:pPr>
        <w:pStyle w:val="BodyText"/>
        <w:spacing w:line="259" w:lineRule="auto"/>
        <w:ind w:left="103" w:right="114" w:firstLine="567"/>
        <w:jc w:val="both"/>
      </w:pP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institucional</w:t>
      </w:r>
      <w:r>
        <w:rPr>
          <w:color w:val="231F20"/>
          <w:spacing w:val="-23"/>
          <w:w w:val="105"/>
        </w:rPr>
        <w:t> </w:t>
      </w:r>
      <w:r>
        <w:rPr>
          <w:color w:val="231F20"/>
          <w:w w:val="105"/>
        </w:rPr>
        <w:t>(incluida</w:t>
      </w:r>
      <w:r>
        <w:rPr>
          <w:color w:val="231F20"/>
          <w:spacing w:val="-23"/>
          <w:w w:val="105"/>
        </w:rPr>
        <w:t> </w:t>
      </w:r>
      <w:r>
        <w:rPr>
          <w:color w:val="231F20"/>
          <w:w w:val="105"/>
        </w:rPr>
        <w:t>en</w:t>
      </w:r>
      <w:r>
        <w:rPr>
          <w:color w:val="231F20"/>
          <w:spacing w:val="-23"/>
          <w:w w:val="105"/>
        </w:rPr>
        <w:t> </w:t>
      </w:r>
      <w:r>
        <w:rPr>
          <w:color w:val="231F20"/>
          <w:w w:val="105"/>
        </w:rPr>
        <w:t>esta</w:t>
      </w:r>
      <w:r>
        <w:rPr>
          <w:color w:val="231F20"/>
          <w:spacing w:val="-23"/>
          <w:w w:val="105"/>
        </w:rPr>
        <w:t> </w:t>
      </w:r>
      <w:r>
        <w:rPr>
          <w:color w:val="231F20"/>
          <w:w w:val="105"/>
        </w:rPr>
        <w:t>generación)</w:t>
      </w:r>
      <w:r>
        <w:rPr>
          <w:color w:val="231F20"/>
          <w:spacing w:val="-23"/>
          <w:w w:val="105"/>
        </w:rPr>
        <w:t> </w:t>
      </w:r>
      <w:r>
        <w:rPr>
          <w:color w:val="231F20"/>
          <w:w w:val="105"/>
        </w:rPr>
        <w:t>examina</w:t>
      </w:r>
      <w:r>
        <w:rPr>
          <w:color w:val="231F20"/>
          <w:spacing w:val="-23"/>
          <w:w w:val="105"/>
        </w:rPr>
        <w:t> </w:t>
      </w:r>
      <w:r>
        <w:rPr>
          <w:color w:val="231F20"/>
          <w:w w:val="105"/>
        </w:rPr>
        <w:t>las</w:t>
      </w:r>
      <w:r>
        <w:rPr>
          <w:color w:val="231F20"/>
          <w:spacing w:val="-23"/>
          <w:w w:val="105"/>
        </w:rPr>
        <w:t> </w:t>
      </w:r>
      <w:r>
        <w:rPr>
          <w:color w:val="231F20"/>
          <w:w w:val="105"/>
        </w:rPr>
        <w:t>re- glas,</w:t>
      </w:r>
      <w:r>
        <w:rPr>
          <w:color w:val="231F20"/>
          <w:spacing w:val="-28"/>
          <w:w w:val="105"/>
        </w:rPr>
        <w:t> </w:t>
      </w:r>
      <w:r>
        <w:rPr>
          <w:color w:val="231F20"/>
          <w:w w:val="105"/>
        </w:rPr>
        <w:t>normas</w:t>
      </w:r>
      <w:r>
        <w:rPr>
          <w:color w:val="231F20"/>
          <w:spacing w:val="-24"/>
          <w:w w:val="105"/>
        </w:rPr>
        <w:t> </w:t>
      </w:r>
      <w:r>
        <w:rPr>
          <w:color w:val="231F20"/>
          <w:w w:val="105"/>
        </w:rPr>
        <w:t>y</w:t>
      </w:r>
      <w:r>
        <w:rPr>
          <w:color w:val="231F20"/>
          <w:spacing w:val="-24"/>
          <w:w w:val="105"/>
        </w:rPr>
        <w:t> </w:t>
      </w:r>
      <w:r>
        <w:rPr>
          <w:color w:val="231F20"/>
          <w:w w:val="105"/>
        </w:rPr>
        <w:t>creencias</w:t>
      </w:r>
      <w:r>
        <w:rPr>
          <w:color w:val="231F20"/>
          <w:spacing w:val="-24"/>
          <w:w w:val="105"/>
        </w:rPr>
        <w:t> </w:t>
      </w:r>
      <w:r>
        <w:rPr>
          <w:color w:val="231F20"/>
          <w:w w:val="105"/>
        </w:rPr>
        <w:t>que</w:t>
      </w:r>
      <w:r>
        <w:rPr>
          <w:color w:val="231F20"/>
          <w:spacing w:val="-24"/>
          <w:w w:val="105"/>
        </w:rPr>
        <w:t> </w:t>
      </w:r>
      <w:r>
        <w:rPr>
          <w:color w:val="231F20"/>
          <w:w w:val="105"/>
        </w:rPr>
        <w:t>limitan</w:t>
      </w:r>
      <w:r>
        <w:rPr>
          <w:color w:val="231F20"/>
          <w:spacing w:val="-24"/>
          <w:w w:val="105"/>
        </w:rPr>
        <w:t> </w:t>
      </w:r>
      <w:r>
        <w:rPr>
          <w:color w:val="231F20"/>
          <w:w w:val="105"/>
        </w:rPr>
        <w:t>y</w:t>
      </w:r>
      <w:r>
        <w:rPr>
          <w:color w:val="231F20"/>
          <w:spacing w:val="-24"/>
          <w:w w:val="105"/>
        </w:rPr>
        <w:t> </w:t>
      </w:r>
      <w:r>
        <w:rPr>
          <w:color w:val="231F20"/>
          <w:w w:val="105"/>
        </w:rPr>
        <w:t>suportan</w:t>
      </w:r>
      <w:r>
        <w:rPr>
          <w:color w:val="231F20"/>
          <w:spacing w:val="-24"/>
          <w:w w:val="105"/>
        </w:rPr>
        <w:t> </w:t>
      </w:r>
      <w:r>
        <w:rPr>
          <w:color w:val="231F20"/>
          <w:w w:val="105"/>
        </w:rPr>
        <w:t>a</w:t>
      </w:r>
      <w:r>
        <w:rPr>
          <w:color w:val="231F20"/>
          <w:spacing w:val="-24"/>
          <w:w w:val="105"/>
        </w:rPr>
        <w:t> </w:t>
      </w:r>
      <w:r>
        <w:rPr>
          <w:color w:val="231F20"/>
          <w:w w:val="105"/>
        </w:rPr>
        <w:t>las</w:t>
      </w:r>
      <w:r>
        <w:rPr>
          <w:color w:val="231F20"/>
          <w:spacing w:val="-24"/>
          <w:w w:val="105"/>
        </w:rPr>
        <w:t> </w:t>
      </w:r>
      <w:r>
        <w:rPr>
          <w:color w:val="231F20"/>
          <w:w w:val="105"/>
        </w:rPr>
        <w:t>estructuras</w:t>
      </w:r>
      <w:r>
        <w:rPr>
          <w:color w:val="231F20"/>
          <w:spacing w:val="-24"/>
          <w:w w:val="105"/>
        </w:rPr>
        <w:t> </w:t>
      </w:r>
      <w:r>
        <w:rPr>
          <w:color w:val="231F20"/>
          <w:w w:val="105"/>
        </w:rPr>
        <w:t>y</w:t>
      </w:r>
      <w:r>
        <w:rPr>
          <w:color w:val="231F20"/>
          <w:spacing w:val="-24"/>
          <w:w w:val="105"/>
        </w:rPr>
        <w:t> </w:t>
      </w:r>
      <w:r>
        <w:rPr>
          <w:color w:val="231F20"/>
          <w:w w:val="105"/>
        </w:rPr>
        <w:t>proce- sos</w:t>
      </w:r>
      <w:r>
        <w:rPr>
          <w:color w:val="231F20"/>
          <w:spacing w:val="-26"/>
          <w:w w:val="105"/>
        </w:rPr>
        <w:t> </w:t>
      </w:r>
      <w:r>
        <w:rPr>
          <w:color w:val="231F20"/>
          <w:w w:val="105"/>
        </w:rPr>
        <w:t>sociales,</w:t>
      </w:r>
      <w:r>
        <w:rPr>
          <w:color w:val="231F20"/>
          <w:spacing w:val="-30"/>
          <w:w w:val="105"/>
        </w:rPr>
        <w:t> </w:t>
      </w:r>
      <w:r>
        <w:rPr>
          <w:color w:val="231F20"/>
          <w:w w:val="105"/>
        </w:rPr>
        <w:t>incluidas</w:t>
      </w:r>
      <w:r>
        <w:rPr>
          <w:color w:val="231F20"/>
          <w:spacing w:val="-26"/>
          <w:w w:val="105"/>
        </w:rPr>
        <w:t> </w:t>
      </w:r>
      <w:r>
        <w:rPr>
          <w:color w:val="231F20"/>
          <w:w w:val="105"/>
        </w:rPr>
        <w:t>las</w:t>
      </w:r>
      <w:r>
        <w:rPr>
          <w:color w:val="231F20"/>
          <w:spacing w:val="-26"/>
          <w:w w:val="105"/>
        </w:rPr>
        <w:t> </w:t>
      </w:r>
      <w:r>
        <w:rPr>
          <w:color w:val="231F20"/>
          <w:w w:val="105"/>
        </w:rPr>
        <w:t>organizaciones</w:t>
      </w:r>
      <w:r>
        <w:rPr>
          <w:color w:val="231F20"/>
          <w:spacing w:val="-26"/>
          <w:w w:val="105"/>
        </w:rPr>
        <w:t> </w:t>
      </w:r>
      <w:r>
        <w:rPr>
          <w:color w:val="231F20"/>
          <w:w w:val="105"/>
        </w:rPr>
        <w:t>(Scott</w:t>
      </w:r>
      <w:r>
        <w:rPr>
          <w:color w:val="231F20"/>
          <w:spacing w:val="-26"/>
          <w:w w:val="105"/>
        </w:rPr>
        <w:t> </w:t>
      </w:r>
      <w:r>
        <w:rPr>
          <w:color w:val="231F20"/>
          <w:w w:val="105"/>
        </w:rPr>
        <w:t>y</w:t>
      </w:r>
      <w:r>
        <w:rPr>
          <w:color w:val="231F20"/>
          <w:spacing w:val="-26"/>
          <w:w w:val="105"/>
        </w:rPr>
        <w:t> </w:t>
      </w:r>
      <w:r>
        <w:rPr>
          <w:color w:val="231F20"/>
          <w:w w:val="105"/>
        </w:rPr>
        <w:t>Davis,</w:t>
      </w:r>
      <w:r>
        <w:rPr>
          <w:color w:val="231F20"/>
          <w:spacing w:val="-30"/>
          <w:w w:val="105"/>
        </w:rPr>
        <w:t> </w:t>
      </w:r>
      <w:r>
        <w:rPr>
          <w:color w:val="231F20"/>
          <w:w w:val="105"/>
        </w:rPr>
        <w:t>2007).</w:t>
      </w:r>
      <w:r>
        <w:rPr>
          <w:color w:val="231F20"/>
          <w:spacing w:val="-30"/>
          <w:w w:val="105"/>
        </w:rPr>
        <w:t> </w:t>
      </w:r>
      <w:r>
        <w:rPr>
          <w:color w:val="231F20"/>
          <w:w w:val="105"/>
        </w:rPr>
        <w:t>Los</w:t>
      </w:r>
      <w:r>
        <w:rPr>
          <w:color w:val="231F20"/>
          <w:spacing w:val="-26"/>
          <w:w w:val="105"/>
        </w:rPr>
        <w:t> </w:t>
      </w:r>
      <w:r>
        <w:rPr>
          <w:color w:val="231F20"/>
          <w:w w:val="105"/>
        </w:rPr>
        <w:t>insti- tucionalistas retan el supuesto subyacente de la teoría de</w:t>
      </w:r>
      <w:r>
        <w:rPr>
          <w:color w:val="231F20"/>
          <w:spacing w:val="-11"/>
          <w:w w:val="105"/>
        </w:rPr>
        <w:t> </w:t>
      </w:r>
      <w:r>
        <w:rPr>
          <w:color w:val="231F20"/>
          <w:w w:val="105"/>
        </w:rPr>
        <w:t>contingencia y</w:t>
      </w:r>
      <w:r>
        <w:rPr>
          <w:color w:val="231F20"/>
          <w:spacing w:val="-22"/>
          <w:w w:val="105"/>
        </w:rPr>
        <w:t> </w:t>
      </w:r>
      <w:r>
        <w:rPr>
          <w:color w:val="231F20"/>
          <w:w w:val="105"/>
        </w:rPr>
        <w:t>la</w:t>
      </w:r>
      <w:r>
        <w:rPr>
          <w:color w:val="231F20"/>
          <w:spacing w:val="-22"/>
          <w:w w:val="105"/>
        </w:rPr>
        <w:t> </w:t>
      </w:r>
      <w:r>
        <w:rPr>
          <w:color w:val="231F20"/>
          <w:w w:val="105"/>
        </w:rPr>
        <w:t>teoría</w:t>
      </w:r>
      <w:r>
        <w:rPr>
          <w:color w:val="231F20"/>
          <w:spacing w:val="-22"/>
          <w:w w:val="105"/>
        </w:rPr>
        <w:t> </w:t>
      </w:r>
      <w:r>
        <w:rPr>
          <w:color w:val="231F20"/>
          <w:w w:val="105"/>
        </w:rPr>
        <w:t>económica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costos</w:t>
      </w:r>
      <w:r>
        <w:rPr>
          <w:color w:val="231F20"/>
          <w:spacing w:val="-22"/>
          <w:w w:val="105"/>
        </w:rPr>
        <w:t> </w:t>
      </w:r>
      <w:r>
        <w:rPr>
          <w:color w:val="231F20"/>
          <w:w w:val="105"/>
        </w:rPr>
        <w:t>de</w:t>
      </w:r>
      <w:r>
        <w:rPr>
          <w:color w:val="231F20"/>
          <w:spacing w:val="-22"/>
          <w:w w:val="105"/>
        </w:rPr>
        <w:t> </w:t>
      </w:r>
      <w:r>
        <w:rPr>
          <w:color w:val="231F20"/>
          <w:w w:val="105"/>
        </w:rPr>
        <w:t>transacción.</w:t>
      </w:r>
      <w:r>
        <w:rPr>
          <w:color w:val="231F20"/>
          <w:spacing w:val="-27"/>
          <w:w w:val="105"/>
        </w:rPr>
        <w:t> </w:t>
      </w:r>
      <w:r>
        <w:rPr>
          <w:color w:val="231F20"/>
          <w:w w:val="105"/>
        </w:rPr>
        <w:t>Esto</w:t>
      </w:r>
      <w:r>
        <w:rPr>
          <w:color w:val="231F20"/>
          <w:spacing w:val="-22"/>
          <w:w w:val="105"/>
        </w:rPr>
        <w:t> </w:t>
      </w:r>
      <w:r>
        <w:rPr>
          <w:color w:val="231F20"/>
          <w:w w:val="105"/>
        </w:rPr>
        <w:t>es,</w:t>
      </w:r>
      <w:r>
        <w:rPr>
          <w:color w:val="231F20"/>
          <w:spacing w:val="-27"/>
          <w:w w:val="105"/>
        </w:rPr>
        <w:t> </w:t>
      </w:r>
      <w:r>
        <w:rPr>
          <w:color w:val="231F20"/>
          <w:w w:val="105"/>
        </w:rPr>
        <w:t>las</w:t>
      </w:r>
      <w:r>
        <w:rPr>
          <w:color w:val="231F20"/>
          <w:spacing w:val="-22"/>
          <w:w w:val="105"/>
        </w:rPr>
        <w:t> </w:t>
      </w:r>
      <w:r>
        <w:rPr>
          <w:color w:val="231F20"/>
          <w:w w:val="105"/>
        </w:rPr>
        <w:t>organiza- ciones pueden ser estructuras de inercia, difíciles de cambiar, dejan</w:t>
      </w:r>
      <w:r>
        <w:rPr>
          <w:color w:val="231F20"/>
          <w:spacing w:val="-39"/>
          <w:w w:val="105"/>
        </w:rPr>
        <w:t> </w:t>
      </w:r>
      <w:r>
        <w:rPr>
          <w:color w:val="231F20"/>
          <w:w w:val="105"/>
        </w:rPr>
        <w:t>de poner</w:t>
      </w:r>
      <w:r>
        <w:rPr>
          <w:color w:val="231F20"/>
          <w:spacing w:val="-17"/>
          <w:w w:val="105"/>
        </w:rPr>
        <w:t> </w:t>
      </w:r>
      <w:r>
        <w:rPr>
          <w:color w:val="231F20"/>
          <w:w w:val="105"/>
        </w:rPr>
        <w:t>atención</w:t>
      </w:r>
      <w:r>
        <w:rPr>
          <w:color w:val="231F20"/>
          <w:spacing w:val="-17"/>
          <w:w w:val="105"/>
        </w:rPr>
        <w:t> </w:t>
      </w:r>
      <w:r>
        <w:rPr>
          <w:color w:val="231F20"/>
          <w:w w:val="105"/>
        </w:rPr>
        <w:t>en</w:t>
      </w:r>
      <w:r>
        <w:rPr>
          <w:color w:val="231F20"/>
          <w:spacing w:val="-17"/>
          <w:w w:val="105"/>
        </w:rPr>
        <w:t> </w:t>
      </w:r>
      <w:r>
        <w:rPr>
          <w:color w:val="231F20"/>
          <w:w w:val="105"/>
        </w:rPr>
        <w:t>una</w:t>
      </w:r>
      <w:r>
        <w:rPr>
          <w:color w:val="231F20"/>
          <w:spacing w:val="-17"/>
          <w:w w:val="105"/>
        </w:rPr>
        <w:t> </w:t>
      </w:r>
      <w:r>
        <w:rPr>
          <w:color w:val="231F20"/>
          <w:w w:val="105"/>
        </w:rPr>
        <w:t>sola</w:t>
      </w:r>
      <w:r>
        <w:rPr>
          <w:color w:val="231F20"/>
          <w:spacing w:val="-17"/>
          <w:w w:val="105"/>
        </w:rPr>
        <w:t> </w:t>
      </w:r>
      <w:r>
        <w:rPr>
          <w:color w:val="231F20"/>
          <w:w w:val="105"/>
        </w:rPr>
        <w:t>empresa</w:t>
      </w:r>
      <w:r>
        <w:rPr>
          <w:color w:val="231F20"/>
          <w:spacing w:val="-17"/>
          <w:w w:val="105"/>
        </w:rPr>
        <w:t> </w:t>
      </w:r>
      <w:r>
        <w:rPr>
          <w:color w:val="231F20"/>
          <w:w w:val="105"/>
        </w:rPr>
        <w:t>y</w:t>
      </w:r>
      <w:r>
        <w:rPr>
          <w:color w:val="231F20"/>
          <w:spacing w:val="-17"/>
          <w:w w:val="105"/>
        </w:rPr>
        <w:t> </w:t>
      </w:r>
      <w:r>
        <w:rPr>
          <w:color w:val="231F20"/>
          <w:w w:val="105"/>
        </w:rPr>
        <w:t>su</w:t>
      </w:r>
      <w:r>
        <w:rPr>
          <w:color w:val="231F20"/>
          <w:spacing w:val="-17"/>
          <w:w w:val="105"/>
        </w:rPr>
        <w:t> </w:t>
      </w:r>
      <w:r>
        <w:rPr>
          <w:color w:val="231F20"/>
          <w:w w:val="105"/>
        </w:rPr>
        <w:t>entorno</w:t>
      </w:r>
      <w:r>
        <w:rPr>
          <w:color w:val="231F20"/>
          <w:spacing w:val="-17"/>
          <w:w w:val="105"/>
        </w:rPr>
        <w:t> </w:t>
      </w:r>
      <w:r>
        <w:rPr>
          <w:color w:val="231F20"/>
          <w:w w:val="105"/>
        </w:rPr>
        <w:t>inmediato</w:t>
      </w:r>
      <w:r>
        <w:rPr>
          <w:color w:val="231F20"/>
          <w:spacing w:val="-17"/>
          <w:w w:val="105"/>
        </w:rPr>
        <w:t> </w:t>
      </w:r>
      <w:r>
        <w:rPr>
          <w:color w:val="231F20"/>
          <w:w w:val="105"/>
        </w:rPr>
        <w:t>para</w:t>
      </w:r>
      <w:r>
        <w:rPr>
          <w:color w:val="231F20"/>
          <w:spacing w:val="-17"/>
          <w:w w:val="105"/>
        </w:rPr>
        <w:t> </w:t>
      </w:r>
      <w:r>
        <w:rPr>
          <w:color w:val="231F20"/>
          <w:w w:val="105"/>
        </w:rPr>
        <w:t>exami- nar</w:t>
      </w:r>
      <w:r>
        <w:rPr>
          <w:color w:val="231F20"/>
          <w:spacing w:val="-40"/>
          <w:w w:val="105"/>
        </w:rPr>
        <w:t> </w:t>
      </w:r>
      <w:r>
        <w:rPr>
          <w:color w:val="231F20"/>
          <w:w w:val="105"/>
        </w:rPr>
        <w:t>sistemas</w:t>
      </w:r>
      <w:r>
        <w:rPr>
          <w:color w:val="231F20"/>
          <w:spacing w:val="-40"/>
          <w:w w:val="105"/>
        </w:rPr>
        <w:t> </w:t>
      </w:r>
      <w:r>
        <w:rPr>
          <w:color w:val="231F20"/>
          <w:w w:val="105"/>
        </w:rPr>
        <w:t>más</w:t>
      </w:r>
      <w:r>
        <w:rPr>
          <w:color w:val="231F20"/>
          <w:spacing w:val="-40"/>
          <w:w w:val="105"/>
        </w:rPr>
        <w:t> </w:t>
      </w:r>
      <w:r>
        <w:rPr>
          <w:color w:val="231F20"/>
          <w:w w:val="105"/>
        </w:rPr>
        <w:t>amplios,</w:t>
      </w:r>
      <w:r>
        <w:rPr>
          <w:color w:val="231F20"/>
          <w:spacing w:val="-43"/>
          <w:w w:val="105"/>
        </w:rPr>
        <w:t> </w:t>
      </w:r>
      <w:r>
        <w:rPr>
          <w:color w:val="231F20"/>
          <w:w w:val="105"/>
        </w:rPr>
        <w:t>se</w:t>
      </w:r>
      <w:r>
        <w:rPr>
          <w:color w:val="231F20"/>
          <w:spacing w:val="-40"/>
          <w:w w:val="105"/>
        </w:rPr>
        <w:t> </w:t>
      </w:r>
      <w:r>
        <w:rPr>
          <w:color w:val="231F20"/>
          <w:w w:val="105"/>
        </w:rPr>
        <w:t>enfocan</w:t>
      </w:r>
      <w:r>
        <w:rPr>
          <w:color w:val="231F20"/>
          <w:spacing w:val="-40"/>
          <w:w w:val="105"/>
        </w:rPr>
        <w:t> </w:t>
      </w:r>
      <w:r>
        <w:rPr>
          <w:color w:val="231F20"/>
          <w:w w:val="105"/>
        </w:rPr>
        <w:t>en</w:t>
      </w:r>
      <w:r>
        <w:rPr>
          <w:color w:val="231F20"/>
          <w:spacing w:val="-40"/>
          <w:w w:val="105"/>
        </w:rPr>
        <w:t> </w:t>
      </w:r>
      <w:r>
        <w:rPr>
          <w:color w:val="231F20"/>
          <w:w w:val="105"/>
        </w:rPr>
        <w:t>organizaciones</w:t>
      </w:r>
      <w:r>
        <w:rPr>
          <w:color w:val="231F20"/>
          <w:spacing w:val="-40"/>
          <w:w w:val="105"/>
        </w:rPr>
        <w:t> </w:t>
      </w:r>
      <w:r>
        <w:rPr>
          <w:color w:val="231F20"/>
          <w:w w:val="105"/>
        </w:rPr>
        <w:t>similares</w:t>
      </w:r>
      <w:r>
        <w:rPr>
          <w:color w:val="231F20"/>
          <w:spacing w:val="-40"/>
          <w:w w:val="105"/>
        </w:rPr>
        <w:t> </w:t>
      </w:r>
      <w:r>
        <w:rPr>
          <w:color w:val="231F20"/>
          <w:w w:val="105"/>
        </w:rPr>
        <w:t>(pobla- ciones)</w:t>
      </w:r>
      <w:r>
        <w:rPr>
          <w:color w:val="231F20"/>
          <w:spacing w:val="-16"/>
          <w:w w:val="105"/>
        </w:rPr>
        <w:t> </w:t>
      </w:r>
      <w:r>
        <w:rPr>
          <w:color w:val="231F20"/>
          <w:w w:val="105"/>
        </w:rPr>
        <w:t>o</w:t>
      </w:r>
      <w:r>
        <w:rPr>
          <w:color w:val="231F20"/>
          <w:spacing w:val="-16"/>
          <w:w w:val="105"/>
        </w:rPr>
        <w:t> </w:t>
      </w:r>
      <w:r>
        <w:rPr>
          <w:color w:val="231F20"/>
          <w:w w:val="105"/>
        </w:rPr>
        <w:t>en</w:t>
      </w:r>
      <w:r>
        <w:rPr>
          <w:color w:val="231F20"/>
          <w:spacing w:val="-16"/>
          <w:w w:val="105"/>
        </w:rPr>
        <w:t> </w:t>
      </w:r>
      <w:r>
        <w:rPr>
          <w:color w:val="231F20"/>
          <w:w w:val="105"/>
        </w:rPr>
        <w:t>organizaciones</w:t>
      </w:r>
      <w:r>
        <w:rPr>
          <w:color w:val="231F20"/>
          <w:spacing w:val="-16"/>
          <w:w w:val="105"/>
        </w:rPr>
        <w:t> </w:t>
      </w:r>
      <w:r>
        <w:rPr>
          <w:color w:val="231F20"/>
          <w:w w:val="105"/>
        </w:rPr>
        <w:t>que</w:t>
      </w:r>
      <w:r>
        <w:rPr>
          <w:color w:val="231F20"/>
          <w:spacing w:val="-16"/>
          <w:w w:val="105"/>
        </w:rPr>
        <w:t> </w:t>
      </w:r>
      <w:r>
        <w:rPr>
          <w:color w:val="231F20"/>
          <w:w w:val="105"/>
        </w:rPr>
        <w:t>operan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mismo</w:t>
      </w:r>
      <w:r>
        <w:rPr>
          <w:color w:val="231F20"/>
          <w:spacing w:val="-16"/>
          <w:w w:val="105"/>
        </w:rPr>
        <w:t> </w:t>
      </w:r>
      <w:r>
        <w:rPr>
          <w:color w:val="231F20"/>
          <w:w w:val="105"/>
        </w:rPr>
        <w:t>dominio</w:t>
      </w:r>
      <w:r>
        <w:rPr>
          <w:color w:val="231F20"/>
          <w:spacing w:val="-16"/>
          <w:w w:val="105"/>
        </w:rPr>
        <w:t> </w:t>
      </w:r>
      <w:r>
        <w:rPr>
          <w:color w:val="231F20"/>
          <w:w w:val="105"/>
        </w:rPr>
        <w:t>(campos).</w:t>
      </w:r>
    </w:p>
    <w:p>
      <w:pPr>
        <w:pStyle w:val="BodyText"/>
        <w:rPr>
          <w:sz w:val="20"/>
        </w:rPr>
      </w:pPr>
    </w:p>
    <w:p>
      <w:pPr>
        <w:pStyle w:val="BodyText"/>
        <w:rPr>
          <w:sz w:val="20"/>
        </w:rPr>
      </w:pPr>
    </w:p>
    <w:p>
      <w:pPr>
        <w:pStyle w:val="BodyText"/>
        <w:spacing w:before="10"/>
        <w:rPr>
          <w:sz w:val="28"/>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48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172</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456"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173</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Al hablar de institucionalismo se infiere que es el estudio de las institu- ciones,</w:t>
      </w:r>
      <w:r>
        <w:rPr>
          <w:color w:val="231F20"/>
          <w:spacing w:val="-12"/>
          <w:w w:val="105"/>
        </w:rPr>
        <w:t> </w:t>
      </w:r>
      <w:r>
        <w:rPr>
          <w:color w:val="231F20"/>
          <w:w w:val="105"/>
        </w:rPr>
        <w:t>sin</w:t>
      </w:r>
      <w:r>
        <w:rPr>
          <w:color w:val="231F20"/>
          <w:spacing w:val="-6"/>
          <w:w w:val="105"/>
        </w:rPr>
        <w:t> </w:t>
      </w:r>
      <w:r>
        <w:rPr>
          <w:color w:val="231F20"/>
          <w:w w:val="105"/>
        </w:rPr>
        <w:t>embargo</w:t>
      </w:r>
      <w:r>
        <w:rPr>
          <w:color w:val="231F20"/>
          <w:spacing w:val="-6"/>
          <w:w w:val="105"/>
        </w:rPr>
        <w:t> </w:t>
      </w:r>
      <w:r>
        <w:rPr>
          <w:color w:val="231F20"/>
          <w:w w:val="105"/>
        </w:rPr>
        <w:t>desde</w:t>
      </w:r>
      <w:r>
        <w:rPr>
          <w:color w:val="231F20"/>
          <w:spacing w:val="-6"/>
          <w:w w:val="105"/>
        </w:rPr>
        <w:t> </w:t>
      </w:r>
      <w:r>
        <w:rPr>
          <w:color w:val="231F20"/>
          <w:w w:val="105"/>
        </w:rPr>
        <w:t>sus</w:t>
      </w:r>
      <w:r>
        <w:rPr>
          <w:color w:val="231F20"/>
          <w:spacing w:val="-6"/>
          <w:w w:val="105"/>
        </w:rPr>
        <w:t> </w:t>
      </w:r>
      <w:r>
        <w:rPr>
          <w:color w:val="231F20"/>
          <w:w w:val="105"/>
        </w:rPr>
        <w:t>orígenes</w:t>
      </w:r>
      <w:r>
        <w:rPr>
          <w:color w:val="231F20"/>
          <w:spacing w:val="-6"/>
          <w:w w:val="105"/>
        </w:rPr>
        <w:t> </w:t>
      </w:r>
      <w:r>
        <w:rPr>
          <w:color w:val="231F20"/>
          <w:w w:val="105"/>
        </w:rPr>
        <w:t>no</w:t>
      </w:r>
      <w:r>
        <w:rPr>
          <w:color w:val="231F20"/>
          <w:spacing w:val="-6"/>
          <w:w w:val="105"/>
        </w:rPr>
        <w:t> </w:t>
      </w:r>
      <w:r>
        <w:rPr>
          <w:color w:val="231F20"/>
          <w:w w:val="105"/>
        </w:rPr>
        <w:t>constituye</w:t>
      </w:r>
      <w:r>
        <w:rPr>
          <w:color w:val="231F20"/>
          <w:spacing w:val="-6"/>
          <w:w w:val="105"/>
        </w:rPr>
        <w:t> </w:t>
      </w:r>
      <w:r>
        <w:rPr>
          <w:color w:val="231F20"/>
          <w:w w:val="105"/>
        </w:rPr>
        <w:t>una</w:t>
      </w:r>
      <w:r>
        <w:rPr>
          <w:color w:val="231F20"/>
          <w:spacing w:val="-6"/>
          <w:w w:val="105"/>
        </w:rPr>
        <w:t> </w:t>
      </w:r>
      <w:r>
        <w:rPr>
          <w:color w:val="231F20"/>
          <w:w w:val="105"/>
        </w:rPr>
        <w:t>corriente</w:t>
      </w:r>
      <w:r>
        <w:rPr>
          <w:color w:val="231F20"/>
          <w:spacing w:val="-6"/>
          <w:w w:val="105"/>
        </w:rPr>
        <w:t> </w:t>
      </w:r>
      <w:r>
        <w:rPr>
          <w:color w:val="231F20"/>
          <w:w w:val="105"/>
        </w:rPr>
        <w:t>de pensamiento homogénea, ya que engloba una variedad de puntos de vista</w:t>
      </w:r>
      <w:r>
        <w:rPr>
          <w:color w:val="231F20"/>
          <w:spacing w:val="-42"/>
          <w:w w:val="105"/>
        </w:rPr>
        <w:t> </w:t>
      </w:r>
      <w:r>
        <w:rPr>
          <w:color w:val="231F20"/>
          <w:w w:val="105"/>
        </w:rPr>
        <w:t>(Canales</w:t>
      </w:r>
      <w:r>
        <w:rPr>
          <w:color w:val="231F20"/>
          <w:spacing w:val="-42"/>
          <w:w w:val="105"/>
        </w:rPr>
        <w:t> </w:t>
      </w:r>
      <w:r>
        <w:rPr>
          <w:color w:val="231F20"/>
          <w:w w:val="105"/>
        </w:rPr>
        <w:t>y</w:t>
      </w:r>
      <w:r>
        <w:rPr>
          <w:color w:val="231F20"/>
          <w:spacing w:val="-42"/>
          <w:w w:val="105"/>
        </w:rPr>
        <w:t> </w:t>
      </w:r>
      <w:r>
        <w:rPr>
          <w:color w:val="231F20"/>
          <w:w w:val="105"/>
        </w:rPr>
        <w:t>Mercado,</w:t>
      </w:r>
      <w:r>
        <w:rPr>
          <w:color w:val="231F20"/>
          <w:spacing w:val="-44"/>
          <w:w w:val="105"/>
        </w:rPr>
        <w:t> </w:t>
      </w:r>
      <w:r>
        <w:rPr>
          <w:color w:val="231F20"/>
          <w:w w:val="105"/>
        </w:rPr>
        <w:t>2011).</w:t>
      </w:r>
    </w:p>
    <w:p>
      <w:pPr>
        <w:pStyle w:val="BodyText"/>
        <w:spacing w:line="259" w:lineRule="auto"/>
        <w:ind w:left="117" w:right="115" w:firstLine="567"/>
        <w:jc w:val="both"/>
      </w:pPr>
      <w:r>
        <w:rPr>
          <w:color w:val="231F20"/>
        </w:rPr>
        <w:t>Después de haber tenido un rápido crecimiento y una alta crea- tividad, la teoría institucional ha entrado en una fase de desarrollo más pausado, acompañado de esfuerzos  destinados  a  la  autoevaluación  y la consolidación. Scott (1987) analiza tanto los planteamientos teóricos como el trabajo empírico para sugerir que los argumentos de la teoría institucional no deben ser opuestos a los argumentos racionales o de eficiencia (como muchos autores así lo han manifestado), sino que deben ser complementarios y contextualizarse mutuamente. Compara la teoría institucional con la adolescencia del ser humano, pues si bien la adoles- cencia está llena de torpeza y acné, también encarna energía y promesa, necesitan estímulos y críticas para canalizar sus energías en direcciones productivas y lograr su  promesa.</w:t>
      </w:r>
    </w:p>
    <w:p>
      <w:pPr>
        <w:pStyle w:val="BodyText"/>
        <w:spacing w:line="259" w:lineRule="auto"/>
        <w:ind w:left="117" w:right="115" w:firstLine="567"/>
        <w:jc w:val="both"/>
      </w:pPr>
      <w:r>
        <w:rPr>
          <w:color w:val="231F20"/>
          <w:w w:val="105"/>
        </w:rPr>
        <w:t>Canales</w:t>
      </w:r>
      <w:r>
        <w:rPr>
          <w:color w:val="231F20"/>
          <w:spacing w:val="-21"/>
          <w:w w:val="105"/>
        </w:rPr>
        <w:t> </w:t>
      </w:r>
      <w:r>
        <w:rPr>
          <w:color w:val="231F20"/>
          <w:w w:val="105"/>
        </w:rPr>
        <w:t>y</w:t>
      </w:r>
      <w:r>
        <w:rPr>
          <w:color w:val="231F20"/>
          <w:spacing w:val="-21"/>
          <w:w w:val="105"/>
        </w:rPr>
        <w:t> </w:t>
      </w:r>
      <w:r>
        <w:rPr>
          <w:color w:val="231F20"/>
          <w:w w:val="105"/>
        </w:rPr>
        <w:t>Mercado</w:t>
      </w:r>
      <w:r>
        <w:rPr>
          <w:color w:val="231F20"/>
          <w:spacing w:val="-21"/>
          <w:w w:val="105"/>
        </w:rPr>
        <w:t> </w:t>
      </w:r>
      <w:r>
        <w:rPr>
          <w:color w:val="231F20"/>
          <w:w w:val="105"/>
        </w:rPr>
        <w:t>(2011)</w:t>
      </w:r>
      <w:r>
        <w:rPr>
          <w:color w:val="231F20"/>
          <w:spacing w:val="-21"/>
          <w:w w:val="105"/>
        </w:rPr>
        <w:t> </w:t>
      </w:r>
      <w:r>
        <w:rPr>
          <w:color w:val="231F20"/>
          <w:w w:val="105"/>
        </w:rPr>
        <w:t>identifican</w:t>
      </w:r>
      <w:r>
        <w:rPr>
          <w:color w:val="231F20"/>
          <w:spacing w:val="-21"/>
          <w:w w:val="105"/>
        </w:rPr>
        <w:t> </w:t>
      </w:r>
      <w:r>
        <w:rPr>
          <w:color w:val="231F20"/>
          <w:w w:val="105"/>
        </w:rPr>
        <w:t>a</w:t>
      </w:r>
      <w:r>
        <w:rPr>
          <w:color w:val="231F20"/>
          <w:spacing w:val="-24"/>
          <w:w w:val="105"/>
        </w:rPr>
        <w:t> </w:t>
      </w:r>
      <w:r>
        <w:rPr>
          <w:color w:val="231F20"/>
          <w:w w:val="105"/>
        </w:rPr>
        <w:t>Veblen,</w:t>
      </w:r>
      <w:r>
        <w:rPr>
          <w:color w:val="231F20"/>
          <w:spacing w:val="-26"/>
          <w:w w:val="105"/>
        </w:rPr>
        <w:t> </w:t>
      </w:r>
      <w:r>
        <w:rPr>
          <w:color w:val="231F20"/>
          <w:w w:val="105"/>
        </w:rPr>
        <w:t>North</w:t>
      </w:r>
      <w:r>
        <w:rPr>
          <w:color w:val="231F20"/>
          <w:spacing w:val="-21"/>
          <w:w w:val="105"/>
        </w:rPr>
        <w:t> </w:t>
      </w:r>
      <w:r>
        <w:rPr>
          <w:color w:val="231F20"/>
          <w:w w:val="105"/>
        </w:rPr>
        <w:t>y</w:t>
      </w:r>
      <w:r>
        <w:rPr>
          <w:color w:val="231F20"/>
          <w:spacing w:val="-23"/>
          <w:w w:val="105"/>
        </w:rPr>
        <w:t> </w:t>
      </w:r>
      <w:r>
        <w:rPr>
          <w:color w:val="231F20"/>
          <w:w w:val="105"/>
        </w:rPr>
        <w:t>Williamson como los principales autores que han aportado a la teoría institucional contemporánea. Los trabajos de Veblen datan del siglo XIX, quien fue el primero en reconocer que la economía debe asumir una visión ho- lística, multidisciplinaria y dinámica, no mecanicista. La contribución</w:t>
      </w:r>
      <w:r>
        <w:rPr>
          <w:color w:val="231F20"/>
          <w:spacing w:val="-21"/>
          <w:w w:val="105"/>
        </w:rPr>
        <w:t> </w:t>
      </w:r>
      <w:r>
        <w:rPr>
          <w:color w:val="231F20"/>
          <w:w w:val="105"/>
        </w:rPr>
        <w:t>de North consistió en distinguir entre instituciones formales e informales; las</w:t>
      </w:r>
      <w:r>
        <w:rPr>
          <w:color w:val="231F20"/>
          <w:spacing w:val="-4"/>
          <w:w w:val="105"/>
        </w:rPr>
        <w:t> </w:t>
      </w:r>
      <w:r>
        <w:rPr>
          <w:color w:val="231F20"/>
          <w:w w:val="105"/>
        </w:rPr>
        <w:t>primeras</w:t>
      </w:r>
      <w:r>
        <w:rPr>
          <w:color w:val="231F20"/>
          <w:spacing w:val="-4"/>
          <w:w w:val="105"/>
        </w:rPr>
        <w:t> </w:t>
      </w:r>
      <w:r>
        <w:rPr>
          <w:color w:val="231F20"/>
          <w:w w:val="105"/>
        </w:rPr>
        <w:t>cuentan</w:t>
      </w:r>
      <w:r>
        <w:rPr>
          <w:color w:val="231F20"/>
          <w:spacing w:val="-4"/>
          <w:w w:val="105"/>
        </w:rPr>
        <w:t> </w:t>
      </w:r>
      <w:r>
        <w:rPr>
          <w:color w:val="231F20"/>
          <w:w w:val="105"/>
        </w:rPr>
        <w:t>con</w:t>
      </w:r>
      <w:r>
        <w:rPr>
          <w:color w:val="231F20"/>
          <w:spacing w:val="-4"/>
          <w:w w:val="105"/>
        </w:rPr>
        <w:t> </w:t>
      </w:r>
      <w:r>
        <w:rPr>
          <w:color w:val="231F20"/>
          <w:w w:val="105"/>
        </w:rPr>
        <w:t>reglas,</w:t>
      </w:r>
      <w:r>
        <w:rPr>
          <w:color w:val="231F20"/>
          <w:spacing w:val="-10"/>
          <w:w w:val="105"/>
        </w:rPr>
        <w:t> </w:t>
      </w:r>
      <w:r>
        <w:rPr>
          <w:color w:val="231F20"/>
          <w:w w:val="105"/>
        </w:rPr>
        <w:t>leyes</w:t>
      </w:r>
      <w:r>
        <w:rPr>
          <w:color w:val="231F20"/>
          <w:spacing w:val="-4"/>
          <w:w w:val="105"/>
        </w:rPr>
        <w:t> </w:t>
      </w:r>
      <w:r>
        <w:rPr>
          <w:color w:val="231F20"/>
          <w:w w:val="105"/>
        </w:rPr>
        <w:t>y</w:t>
      </w:r>
      <w:r>
        <w:rPr>
          <w:color w:val="231F20"/>
          <w:spacing w:val="-4"/>
          <w:w w:val="105"/>
        </w:rPr>
        <w:t> </w:t>
      </w:r>
      <w:r>
        <w:rPr>
          <w:color w:val="231F20"/>
          <w:w w:val="105"/>
        </w:rPr>
        <w:t>normas</w:t>
      </w:r>
      <w:r>
        <w:rPr>
          <w:color w:val="231F20"/>
          <w:spacing w:val="-4"/>
          <w:w w:val="105"/>
        </w:rPr>
        <w:t> </w:t>
      </w:r>
      <w:r>
        <w:rPr>
          <w:color w:val="231F20"/>
          <w:w w:val="105"/>
        </w:rPr>
        <w:t>escritas</w:t>
      </w:r>
      <w:r>
        <w:rPr>
          <w:color w:val="231F20"/>
          <w:spacing w:val="-4"/>
          <w:w w:val="105"/>
        </w:rPr>
        <w:t> </w:t>
      </w:r>
      <w:r>
        <w:rPr>
          <w:color w:val="231F20"/>
          <w:w w:val="105"/>
        </w:rPr>
        <w:t>que</w:t>
      </w:r>
      <w:r>
        <w:rPr>
          <w:color w:val="231F20"/>
          <w:spacing w:val="-4"/>
          <w:w w:val="105"/>
        </w:rPr>
        <w:t> </w:t>
      </w:r>
      <w:r>
        <w:rPr>
          <w:color w:val="231F20"/>
          <w:w w:val="105"/>
        </w:rPr>
        <w:t>regulan</w:t>
      </w:r>
      <w:r>
        <w:rPr>
          <w:color w:val="231F20"/>
          <w:spacing w:val="-4"/>
          <w:w w:val="105"/>
        </w:rPr>
        <w:t> </w:t>
      </w:r>
      <w:r>
        <w:rPr>
          <w:color w:val="231F20"/>
          <w:w w:val="105"/>
        </w:rPr>
        <w:t>a sus</w:t>
      </w:r>
      <w:r>
        <w:rPr>
          <w:color w:val="231F20"/>
          <w:spacing w:val="-14"/>
          <w:w w:val="105"/>
        </w:rPr>
        <w:t> </w:t>
      </w:r>
      <w:r>
        <w:rPr>
          <w:color w:val="231F20"/>
          <w:w w:val="105"/>
        </w:rPr>
        <w:t>integrantes,</w:t>
      </w:r>
      <w:r>
        <w:rPr>
          <w:color w:val="231F20"/>
          <w:spacing w:val="-19"/>
          <w:w w:val="105"/>
        </w:rPr>
        <w:t> </w:t>
      </w:r>
      <w:r>
        <w:rPr>
          <w:color w:val="231F20"/>
          <w:w w:val="105"/>
        </w:rPr>
        <w:t>en</w:t>
      </w:r>
      <w:r>
        <w:rPr>
          <w:color w:val="231F20"/>
          <w:spacing w:val="-14"/>
          <w:w w:val="105"/>
        </w:rPr>
        <w:t> </w:t>
      </w:r>
      <w:r>
        <w:rPr>
          <w:color w:val="231F20"/>
          <w:w w:val="105"/>
        </w:rPr>
        <w:t>tanto</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segundas</w:t>
      </w:r>
      <w:r>
        <w:rPr>
          <w:color w:val="231F20"/>
          <w:spacing w:val="-14"/>
          <w:w w:val="105"/>
        </w:rPr>
        <w:t> </w:t>
      </w:r>
      <w:r>
        <w:rPr>
          <w:color w:val="231F20"/>
          <w:w w:val="105"/>
        </w:rPr>
        <w:t>se</w:t>
      </w:r>
      <w:r>
        <w:rPr>
          <w:color w:val="231F20"/>
          <w:spacing w:val="-14"/>
          <w:w w:val="105"/>
        </w:rPr>
        <w:t> </w:t>
      </w:r>
      <w:r>
        <w:rPr>
          <w:color w:val="231F20"/>
          <w:w w:val="105"/>
        </w:rPr>
        <w:t>rigen</w:t>
      </w:r>
      <w:r>
        <w:rPr>
          <w:color w:val="231F20"/>
          <w:spacing w:val="-14"/>
          <w:w w:val="105"/>
        </w:rPr>
        <w:t> </w:t>
      </w:r>
      <w:r>
        <w:rPr>
          <w:color w:val="231F20"/>
          <w:w w:val="105"/>
        </w:rPr>
        <w:t>por</w:t>
      </w:r>
      <w:r>
        <w:rPr>
          <w:color w:val="231F20"/>
          <w:spacing w:val="-14"/>
          <w:w w:val="105"/>
        </w:rPr>
        <w:t> </w:t>
      </w:r>
      <w:r>
        <w:rPr>
          <w:color w:val="231F20"/>
          <w:w w:val="105"/>
        </w:rPr>
        <w:t>normas</w:t>
      </w:r>
      <w:r>
        <w:rPr>
          <w:color w:val="231F20"/>
          <w:spacing w:val="-14"/>
          <w:w w:val="105"/>
        </w:rPr>
        <w:t> </w:t>
      </w:r>
      <w:r>
        <w:rPr>
          <w:color w:val="231F20"/>
          <w:w w:val="105"/>
        </w:rPr>
        <w:t>de</w:t>
      </w:r>
      <w:r>
        <w:rPr>
          <w:color w:val="231F20"/>
          <w:spacing w:val="-14"/>
          <w:w w:val="105"/>
        </w:rPr>
        <w:t> </w:t>
      </w:r>
      <w:r>
        <w:rPr>
          <w:color w:val="231F20"/>
          <w:w w:val="105"/>
        </w:rPr>
        <w:t>com- portamiento, costumbres y códigos de conducta que no están escritos. Williamson introduce los conceptos de </w:t>
      </w:r>
      <w:r>
        <w:rPr>
          <w:color w:val="231F20"/>
          <w:spacing w:val="-3"/>
          <w:w w:val="105"/>
        </w:rPr>
        <w:t>“el </w:t>
      </w:r>
      <w:r>
        <w:rPr>
          <w:color w:val="231F20"/>
          <w:w w:val="105"/>
        </w:rPr>
        <w:t>mundo de la gobernación” y “la</w:t>
      </w:r>
      <w:r>
        <w:rPr>
          <w:color w:val="231F20"/>
          <w:spacing w:val="-14"/>
          <w:w w:val="105"/>
        </w:rPr>
        <w:t> </w:t>
      </w:r>
      <w:r>
        <w:rPr>
          <w:color w:val="231F20"/>
          <w:w w:val="105"/>
        </w:rPr>
        <w:t>economía</w:t>
      </w:r>
      <w:r>
        <w:rPr>
          <w:color w:val="231F20"/>
          <w:spacing w:val="-14"/>
          <w:w w:val="105"/>
        </w:rPr>
        <w:t> </w:t>
      </w:r>
      <w:r>
        <w:rPr>
          <w:color w:val="231F20"/>
          <w:w w:val="105"/>
        </w:rPr>
        <w:t>de</w:t>
      </w:r>
      <w:r>
        <w:rPr>
          <w:color w:val="231F20"/>
          <w:spacing w:val="-14"/>
          <w:w w:val="105"/>
        </w:rPr>
        <w:t> </w:t>
      </w:r>
      <w:r>
        <w:rPr>
          <w:color w:val="231F20"/>
          <w:w w:val="105"/>
        </w:rPr>
        <w:t>costos</w:t>
      </w:r>
      <w:r>
        <w:rPr>
          <w:color w:val="231F20"/>
          <w:spacing w:val="-14"/>
          <w:w w:val="105"/>
        </w:rPr>
        <w:t> </w:t>
      </w:r>
      <w:r>
        <w:rPr>
          <w:color w:val="231F20"/>
          <w:w w:val="105"/>
        </w:rPr>
        <w:t>de</w:t>
      </w:r>
      <w:r>
        <w:rPr>
          <w:color w:val="231F20"/>
          <w:spacing w:val="-14"/>
          <w:w w:val="105"/>
        </w:rPr>
        <w:t> </w:t>
      </w:r>
      <w:r>
        <w:rPr>
          <w:color w:val="231F20"/>
          <w:spacing w:val="-3"/>
          <w:w w:val="105"/>
        </w:rPr>
        <w:t>transacción”.</w:t>
      </w:r>
      <w:r>
        <w:rPr>
          <w:color w:val="231F20"/>
          <w:spacing w:val="-19"/>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autores</w:t>
      </w:r>
      <w:r>
        <w:rPr>
          <w:color w:val="231F20"/>
          <w:spacing w:val="-14"/>
          <w:w w:val="105"/>
        </w:rPr>
        <w:t> </w:t>
      </w:r>
      <w:r>
        <w:rPr>
          <w:color w:val="231F20"/>
          <w:w w:val="105"/>
        </w:rPr>
        <w:t>que</w:t>
      </w:r>
      <w:r>
        <w:rPr>
          <w:color w:val="231F20"/>
          <w:spacing w:val="-14"/>
          <w:w w:val="105"/>
        </w:rPr>
        <w:t> </w:t>
      </w:r>
      <w:r>
        <w:rPr>
          <w:color w:val="231F20"/>
          <w:w w:val="105"/>
        </w:rPr>
        <w:t>han</w:t>
      </w:r>
      <w:r>
        <w:rPr>
          <w:color w:val="231F20"/>
          <w:spacing w:val="-14"/>
          <w:w w:val="105"/>
        </w:rPr>
        <w:t> </w:t>
      </w:r>
      <w:r>
        <w:rPr>
          <w:color w:val="231F20"/>
          <w:w w:val="105"/>
        </w:rPr>
        <w:t>estudia- do</w:t>
      </w:r>
      <w:r>
        <w:rPr>
          <w:color w:val="231F20"/>
          <w:spacing w:val="-28"/>
          <w:w w:val="105"/>
        </w:rPr>
        <w:t> </w:t>
      </w:r>
      <w:r>
        <w:rPr>
          <w:color w:val="231F20"/>
          <w:w w:val="105"/>
        </w:rPr>
        <w:t>y</w:t>
      </w:r>
      <w:r>
        <w:rPr>
          <w:color w:val="231F20"/>
          <w:spacing w:val="-28"/>
          <w:w w:val="105"/>
        </w:rPr>
        <w:t> </w:t>
      </w:r>
      <w:r>
        <w:rPr>
          <w:color w:val="231F20"/>
          <w:w w:val="105"/>
        </w:rPr>
        <w:t>aportado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teoría</w:t>
      </w:r>
      <w:r>
        <w:rPr>
          <w:color w:val="231F20"/>
          <w:spacing w:val="-28"/>
          <w:w w:val="105"/>
        </w:rPr>
        <w:t> </w:t>
      </w:r>
      <w:r>
        <w:rPr>
          <w:color w:val="231F20"/>
          <w:w w:val="105"/>
        </w:rPr>
        <w:t>institucionalista,</w:t>
      </w:r>
      <w:r>
        <w:rPr>
          <w:color w:val="231F20"/>
          <w:spacing w:val="-32"/>
          <w:w w:val="105"/>
        </w:rPr>
        <w:t> </w:t>
      </w:r>
      <w:r>
        <w:rPr>
          <w:color w:val="231F20"/>
          <w:w w:val="105"/>
        </w:rPr>
        <w:t>estos</w:t>
      </w:r>
      <w:r>
        <w:rPr>
          <w:color w:val="231F20"/>
          <w:spacing w:val="-28"/>
          <w:w w:val="105"/>
        </w:rPr>
        <w:t> </w:t>
      </w:r>
      <w:r>
        <w:rPr>
          <w:color w:val="231F20"/>
          <w:w w:val="105"/>
        </w:rPr>
        <w:t>tres</w:t>
      </w:r>
      <w:r>
        <w:rPr>
          <w:color w:val="231F20"/>
          <w:spacing w:val="-28"/>
          <w:w w:val="105"/>
        </w:rPr>
        <w:t> </w:t>
      </w:r>
      <w:r>
        <w:rPr>
          <w:color w:val="231F20"/>
          <w:w w:val="105"/>
        </w:rPr>
        <w:t>son</w:t>
      </w:r>
      <w:r>
        <w:rPr>
          <w:color w:val="231F20"/>
          <w:spacing w:val="-28"/>
          <w:w w:val="105"/>
        </w:rPr>
        <w:t> </w:t>
      </w:r>
      <w:r>
        <w:rPr>
          <w:color w:val="231F20"/>
          <w:w w:val="105"/>
        </w:rPr>
        <w:t>relevantes</w:t>
      </w:r>
      <w:r>
        <w:rPr>
          <w:color w:val="231F20"/>
          <w:spacing w:val="-28"/>
          <w:w w:val="105"/>
        </w:rPr>
        <w:t> </w:t>
      </w:r>
      <w:r>
        <w:rPr>
          <w:color w:val="231F20"/>
          <w:w w:val="105"/>
        </w:rPr>
        <w:t>ya</w:t>
      </w:r>
      <w:r>
        <w:rPr>
          <w:color w:val="231F20"/>
          <w:spacing w:val="-28"/>
          <w:w w:val="105"/>
        </w:rPr>
        <w:t> </w:t>
      </w:r>
      <w:r>
        <w:rPr>
          <w:color w:val="231F20"/>
          <w:w w:val="105"/>
        </w:rPr>
        <w:t>que en sus formas de pensamiento se puede observar con más claridad la heterogeneidad del enfoque</w:t>
      </w:r>
      <w:r>
        <w:rPr>
          <w:color w:val="231F20"/>
          <w:spacing w:val="9"/>
          <w:w w:val="105"/>
        </w:rPr>
        <w:t> </w:t>
      </w:r>
      <w:r>
        <w:rPr>
          <w:color w:val="231F20"/>
          <w:w w:val="105"/>
        </w:rPr>
        <w:t>institucional.</w:t>
      </w:r>
    </w:p>
    <w:p>
      <w:pPr>
        <w:pStyle w:val="BodyText"/>
        <w:spacing w:line="259" w:lineRule="auto"/>
        <w:ind w:left="117" w:right="121" w:firstLine="567"/>
        <w:jc w:val="both"/>
      </w:pPr>
      <w:r>
        <w:rPr>
          <w:color w:val="231F20"/>
          <w:w w:val="105"/>
        </w:rPr>
        <w:t>La</w:t>
      </w:r>
      <w:r>
        <w:rPr>
          <w:color w:val="231F20"/>
          <w:spacing w:val="-30"/>
          <w:w w:val="105"/>
        </w:rPr>
        <w:t> </w:t>
      </w:r>
      <w:r>
        <w:rPr>
          <w:color w:val="231F20"/>
          <w:w w:val="105"/>
        </w:rPr>
        <w:t>segunda</w:t>
      </w:r>
      <w:r>
        <w:rPr>
          <w:color w:val="231F20"/>
          <w:spacing w:val="-30"/>
          <w:w w:val="105"/>
        </w:rPr>
        <w:t> </w:t>
      </w:r>
      <w:r>
        <w:rPr>
          <w:color w:val="231F20"/>
          <w:w w:val="105"/>
        </w:rPr>
        <w:t>generación</w:t>
      </w:r>
      <w:r>
        <w:rPr>
          <w:color w:val="231F20"/>
          <w:spacing w:val="-30"/>
          <w:w w:val="105"/>
        </w:rPr>
        <w:t> </w:t>
      </w:r>
      <w:r>
        <w:rPr>
          <w:color w:val="231F20"/>
          <w:w w:val="105"/>
        </w:rPr>
        <w:t>es</w:t>
      </w:r>
      <w:r>
        <w:rPr>
          <w:color w:val="231F20"/>
          <w:spacing w:val="-30"/>
          <w:w w:val="105"/>
        </w:rPr>
        <w:t> </w:t>
      </w:r>
      <w:r>
        <w:rPr>
          <w:color w:val="231F20"/>
          <w:w w:val="105"/>
        </w:rPr>
        <w:t>más</w:t>
      </w:r>
      <w:r>
        <w:rPr>
          <w:color w:val="231F20"/>
          <w:spacing w:val="-30"/>
          <w:w w:val="105"/>
        </w:rPr>
        <w:t> </w:t>
      </w:r>
      <w:r>
        <w:rPr>
          <w:color w:val="231F20"/>
          <w:w w:val="105"/>
        </w:rPr>
        <w:t>crítica</w:t>
      </w:r>
      <w:r>
        <w:rPr>
          <w:color w:val="231F20"/>
          <w:spacing w:val="-30"/>
          <w:w w:val="105"/>
        </w:rPr>
        <w:t> </w:t>
      </w:r>
      <w:r>
        <w:rPr>
          <w:color w:val="231F20"/>
          <w:w w:val="105"/>
        </w:rPr>
        <w:t>con</w:t>
      </w:r>
      <w:r>
        <w:rPr>
          <w:color w:val="231F20"/>
          <w:spacing w:val="-30"/>
          <w:w w:val="105"/>
        </w:rPr>
        <w:t> </w:t>
      </w:r>
      <w:r>
        <w:rPr>
          <w:color w:val="231F20"/>
          <w:w w:val="105"/>
        </w:rPr>
        <w:t>respecto</w:t>
      </w:r>
      <w:r>
        <w:rPr>
          <w:color w:val="231F20"/>
          <w:spacing w:val="-30"/>
          <w:w w:val="105"/>
        </w:rPr>
        <w:t> </w:t>
      </w:r>
      <w:r>
        <w:rPr>
          <w:color w:val="231F20"/>
          <w:w w:val="105"/>
        </w:rPr>
        <w:t>a</w:t>
      </w:r>
      <w:r>
        <w:rPr>
          <w:color w:val="231F20"/>
          <w:spacing w:val="-30"/>
          <w:w w:val="105"/>
        </w:rPr>
        <w:t> </w:t>
      </w:r>
      <w:r>
        <w:rPr>
          <w:color w:val="231F20"/>
          <w:w w:val="105"/>
        </w:rPr>
        <w:t>los</w:t>
      </w:r>
      <w:r>
        <w:rPr>
          <w:color w:val="231F20"/>
          <w:spacing w:val="-30"/>
          <w:w w:val="105"/>
        </w:rPr>
        <w:t> </w:t>
      </w:r>
      <w:r>
        <w:rPr>
          <w:color w:val="231F20"/>
          <w:w w:val="105"/>
        </w:rPr>
        <w:t>supuestos del mercado de trabajo propuesto por los neoclásicos, a pesar de no destruir</w:t>
      </w:r>
      <w:r>
        <w:rPr>
          <w:color w:val="231F20"/>
          <w:spacing w:val="-17"/>
          <w:w w:val="105"/>
        </w:rPr>
        <w:t> </w:t>
      </w:r>
      <w:r>
        <w:rPr>
          <w:color w:val="231F20"/>
          <w:w w:val="105"/>
        </w:rPr>
        <w:t>la</w:t>
      </w:r>
      <w:r>
        <w:rPr>
          <w:color w:val="231F20"/>
          <w:spacing w:val="-17"/>
          <w:w w:val="105"/>
        </w:rPr>
        <w:t> </w:t>
      </w:r>
      <w:r>
        <w:rPr>
          <w:color w:val="231F20"/>
          <w:w w:val="105"/>
        </w:rPr>
        <w:t>teoría</w:t>
      </w:r>
      <w:r>
        <w:rPr>
          <w:color w:val="231F20"/>
          <w:spacing w:val="-17"/>
          <w:w w:val="105"/>
        </w:rPr>
        <w:t> </w:t>
      </w:r>
      <w:r>
        <w:rPr>
          <w:color w:val="231F20"/>
          <w:w w:val="105"/>
        </w:rPr>
        <w:t>precedente</w:t>
      </w:r>
      <w:r>
        <w:rPr>
          <w:color w:val="231F20"/>
          <w:spacing w:val="-17"/>
          <w:w w:val="105"/>
        </w:rPr>
        <w:t> </w:t>
      </w:r>
      <w:r>
        <w:rPr>
          <w:color w:val="231F20"/>
          <w:w w:val="105"/>
        </w:rPr>
        <w:t>(primera</w:t>
      </w:r>
      <w:r>
        <w:rPr>
          <w:color w:val="231F20"/>
          <w:spacing w:val="-17"/>
          <w:w w:val="105"/>
        </w:rPr>
        <w:t> </w:t>
      </w:r>
      <w:r>
        <w:rPr>
          <w:color w:val="231F20"/>
          <w:w w:val="105"/>
        </w:rPr>
        <w:t>generación).</w:t>
      </w:r>
      <w:r>
        <w:rPr>
          <w:color w:val="231F20"/>
          <w:spacing w:val="-21"/>
          <w:w w:val="105"/>
        </w:rPr>
        <w:t> </w:t>
      </w:r>
      <w:r>
        <w:rPr>
          <w:color w:val="231F20"/>
          <w:w w:val="105"/>
        </w:rPr>
        <w:t>Formula</w:t>
      </w:r>
      <w:r>
        <w:rPr>
          <w:color w:val="231F20"/>
          <w:spacing w:val="-17"/>
          <w:w w:val="105"/>
        </w:rPr>
        <w:t> </w:t>
      </w:r>
      <w:r>
        <w:rPr>
          <w:color w:val="231F20"/>
          <w:w w:val="105"/>
        </w:rPr>
        <w:t>una</w:t>
      </w:r>
      <w:r>
        <w:rPr>
          <w:color w:val="231F20"/>
          <w:spacing w:val="-17"/>
          <w:w w:val="105"/>
        </w:rPr>
        <w:t> </w:t>
      </w:r>
      <w:r>
        <w:rPr>
          <w:color w:val="231F20"/>
          <w:w w:val="105"/>
        </w:rPr>
        <w:t>explica- ción</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forma</w:t>
      </w:r>
      <w:r>
        <w:rPr>
          <w:color w:val="231F20"/>
          <w:spacing w:val="-17"/>
          <w:w w:val="105"/>
        </w:rPr>
        <w:t> </w:t>
      </w:r>
      <w:r>
        <w:rPr>
          <w:color w:val="231F20"/>
          <w:w w:val="105"/>
        </w:rPr>
        <w:t>en</w:t>
      </w:r>
      <w:r>
        <w:rPr>
          <w:color w:val="231F20"/>
          <w:spacing w:val="-17"/>
          <w:w w:val="105"/>
        </w:rPr>
        <w:t> </w:t>
      </w:r>
      <w:r>
        <w:rPr>
          <w:color w:val="231F20"/>
          <w:w w:val="105"/>
        </w:rPr>
        <w:t>cómo</w:t>
      </w:r>
      <w:r>
        <w:rPr>
          <w:color w:val="231F20"/>
          <w:spacing w:val="-17"/>
          <w:w w:val="105"/>
        </w:rPr>
        <w:t> </w:t>
      </w:r>
      <w:r>
        <w:rPr>
          <w:color w:val="231F20"/>
          <w:w w:val="105"/>
        </w:rPr>
        <w:t>se</w:t>
      </w:r>
      <w:r>
        <w:rPr>
          <w:color w:val="231F20"/>
          <w:spacing w:val="-17"/>
          <w:w w:val="105"/>
        </w:rPr>
        <w:t> </w:t>
      </w:r>
      <w:r>
        <w:rPr>
          <w:color w:val="231F20"/>
          <w:w w:val="105"/>
        </w:rPr>
        <w:t>debe</w:t>
      </w:r>
      <w:r>
        <w:rPr>
          <w:color w:val="231F20"/>
          <w:spacing w:val="-17"/>
          <w:w w:val="105"/>
        </w:rPr>
        <w:t> </w:t>
      </w:r>
      <w:r>
        <w:rPr>
          <w:color w:val="231F20"/>
          <w:w w:val="105"/>
        </w:rPr>
        <w:t>segmentar</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en su</w:t>
      </w:r>
      <w:r>
        <w:rPr>
          <w:color w:val="231F20"/>
          <w:spacing w:val="-21"/>
          <w:w w:val="105"/>
        </w:rPr>
        <w:t> </w:t>
      </w:r>
      <w:r>
        <w:rPr>
          <w:color w:val="231F20"/>
          <w:w w:val="105"/>
        </w:rPr>
        <w:t>interior.</w:t>
      </w:r>
      <w:r>
        <w:rPr>
          <w:color w:val="231F20"/>
          <w:spacing w:val="-30"/>
          <w:w w:val="105"/>
        </w:rPr>
        <w:t> </w:t>
      </w:r>
      <w:r>
        <w:rPr>
          <w:color w:val="231F20"/>
          <w:w w:val="105"/>
        </w:rPr>
        <w:t>A</w:t>
      </w:r>
      <w:r>
        <w:rPr>
          <w:color w:val="231F20"/>
          <w:spacing w:val="-25"/>
          <w:w w:val="105"/>
        </w:rPr>
        <w:t> </w:t>
      </w:r>
      <w:r>
        <w:rPr>
          <w:color w:val="231F20"/>
          <w:w w:val="105"/>
        </w:rPr>
        <w:t>continuación</w:t>
      </w:r>
      <w:r>
        <w:rPr>
          <w:color w:val="231F20"/>
          <w:spacing w:val="-21"/>
          <w:w w:val="105"/>
        </w:rPr>
        <w:t> </w:t>
      </w:r>
      <w:r>
        <w:rPr>
          <w:color w:val="231F20"/>
          <w:w w:val="105"/>
        </w:rPr>
        <w:t>se</w:t>
      </w:r>
      <w:r>
        <w:rPr>
          <w:color w:val="231F20"/>
          <w:spacing w:val="-21"/>
          <w:w w:val="105"/>
        </w:rPr>
        <w:t> </w:t>
      </w:r>
      <w:r>
        <w:rPr>
          <w:color w:val="231F20"/>
          <w:w w:val="105"/>
        </w:rPr>
        <w:t>aborda</w:t>
      </w:r>
      <w:r>
        <w:rPr>
          <w:color w:val="231F20"/>
          <w:spacing w:val="-21"/>
          <w:w w:val="105"/>
        </w:rPr>
        <w:t> </w:t>
      </w:r>
      <w:r>
        <w:rPr>
          <w:color w:val="231F20"/>
          <w:w w:val="105"/>
        </w:rPr>
        <w:t>la</w:t>
      </w:r>
      <w:r>
        <w:rPr>
          <w:color w:val="231F20"/>
          <w:spacing w:val="-21"/>
          <w:w w:val="105"/>
        </w:rPr>
        <w:t> </w:t>
      </w:r>
      <w:r>
        <w:rPr>
          <w:color w:val="231F20"/>
          <w:w w:val="105"/>
        </w:rPr>
        <w:t>perspectiva</w:t>
      </w:r>
      <w:r>
        <w:rPr>
          <w:color w:val="231F20"/>
          <w:spacing w:val="-21"/>
          <w:w w:val="105"/>
        </w:rPr>
        <w:t> </w:t>
      </w:r>
      <w:r>
        <w:rPr>
          <w:color w:val="231F20"/>
          <w:w w:val="105"/>
        </w:rPr>
        <w:t>teórica</w:t>
      </w:r>
      <w:r>
        <w:rPr>
          <w:color w:val="231F20"/>
          <w:spacing w:val="-21"/>
          <w:w w:val="105"/>
        </w:rPr>
        <w:t> </w:t>
      </w:r>
      <w:r>
        <w:rPr>
          <w:color w:val="231F20"/>
          <w:w w:val="105"/>
        </w:rPr>
        <w:t>planteada</w:t>
      </w:r>
      <w:r>
        <w:rPr>
          <w:color w:val="231F20"/>
          <w:spacing w:val="-21"/>
          <w:w w:val="105"/>
        </w:rPr>
        <w:t> </w:t>
      </w:r>
      <w:r>
        <w:rPr>
          <w:color w:val="231F20"/>
          <w:w w:val="105"/>
        </w:rPr>
        <w:t>por los</w:t>
      </w:r>
      <w:r>
        <w:rPr>
          <w:color w:val="231F20"/>
          <w:spacing w:val="-19"/>
          <w:w w:val="105"/>
        </w:rPr>
        <w:t> </w:t>
      </w:r>
      <w:r>
        <w:rPr>
          <w:color w:val="231F20"/>
          <w:w w:val="105"/>
        </w:rPr>
        <w:t>radicales,</w:t>
      </w:r>
      <w:r>
        <w:rPr>
          <w:color w:val="231F20"/>
          <w:spacing w:val="-25"/>
          <w:w w:val="105"/>
        </w:rPr>
        <w:t> </w:t>
      </w:r>
      <w:r>
        <w:rPr>
          <w:color w:val="231F20"/>
          <w:w w:val="105"/>
        </w:rPr>
        <w:t>o</w:t>
      </w:r>
      <w:r>
        <w:rPr>
          <w:color w:val="231F20"/>
          <w:spacing w:val="-19"/>
          <w:w w:val="105"/>
        </w:rPr>
        <w:t> </w:t>
      </w:r>
      <w:r>
        <w:rPr>
          <w:color w:val="231F20"/>
          <w:w w:val="105"/>
        </w:rPr>
        <w:t>segunda</w:t>
      </w:r>
      <w:r>
        <w:rPr>
          <w:color w:val="231F20"/>
          <w:spacing w:val="-19"/>
          <w:w w:val="105"/>
        </w:rPr>
        <w:t> </w:t>
      </w:r>
      <w:r>
        <w:rPr>
          <w:color w:val="231F20"/>
          <w:w w:val="105"/>
        </w:rPr>
        <w:t>generación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segmentación.</w:t>
      </w:r>
    </w:p>
    <w:p>
      <w:pPr>
        <w:spacing w:line="249" w:lineRule="auto" w:before="162"/>
        <w:ind w:left="117" w:right="326" w:firstLine="0"/>
        <w:jc w:val="left"/>
        <w:rPr>
          <w:i/>
          <w:sz w:val="21"/>
        </w:rPr>
      </w:pPr>
      <w:r>
        <w:rPr>
          <w:i/>
          <w:color w:val="231F20"/>
          <w:sz w:val="21"/>
        </w:rPr>
        <w:t>Segunda generación de la segmentación del mercado de trabajo – </w:t>
      </w:r>
      <w:r>
        <w:rPr>
          <w:i/>
          <w:color w:val="231F20"/>
          <w:sz w:val="21"/>
        </w:rPr>
        <w:t>teoría radical</w:t>
      </w:r>
    </w:p>
    <w:p>
      <w:pPr>
        <w:pStyle w:val="BodyText"/>
        <w:spacing w:line="259" w:lineRule="auto" w:before="179"/>
        <w:ind w:left="117" w:right="116"/>
        <w:jc w:val="both"/>
      </w:pPr>
      <w:r>
        <w:rPr>
          <w:color w:val="231F20"/>
          <w:w w:val="105"/>
        </w:rPr>
        <w:t>Esta</w:t>
      </w:r>
      <w:r>
        <w:rPr>
          <w:color w:val="231F20"/>
          <w:spacing w:val="-11"/>
          <w:w w:val="105"/>
        </w:rPr>
        <w:t> </w:t>
      </w:r>
      <w:r>
        <w:rPr>
          <w:color w:val="231F20"/>
          <w:w w:val="105"/>
        </w:rPr>
        <w:t>generación</w:t>
      </w:r>
      <w:r>
        <w:rPr>
          <w:color w:val="231F20"/>
          <w:spacing w:val="-11"/>
          <w:w w:val="105"/>
        </w:rPr>
        <w:t> </w:t>
      </w:r>
      <w:r>
        <w:rPr>
          <w:color w:val="231F20"/>
          <w:w w:val="105"/>
        </w:rPr>
        <w:t>es</w:t>
      </w:r>
      <w:r>
        <w:rPr>
          <w:color w:val="231F20"/>
          <w:spacing w:val="-11"/>
          <w:w w:val="105"/>
        </w:rPr>
        <w:t> </w:t>
      </w:r>
      <w:r>
        <w:rPr>
          <w:color w:val="231F20"/>
          <w:w w:val="105"/>
        </w:rPr>
        <w:t>conocida</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teoría</w:t>
      </w:r>
      <w:r>
        <w:rPr>
          <w:color w:val="231F20"/>
          <w:spacing w:val="-11"/>
          <w:w w:val="105"/>
        </w:rPr>
        <w:t> </w:t>
      </w:r>
      <w:r>
        <w:rPr>
          <w:color w:val="231F20"/>
          <w:w w:val="105"/>
        </w:rPr>
        <w:t>radical,</w:t>
      </w:r>
      <w:r>
        <w:rPr>
          <w:color w:val="231F20"/>
          <w:spacing w:val="-16"/>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cual</w:t>
      </w:r>
      <w:r>
        <w:rPr>
          <w:color w:val="231F20"/>
          <w:spacing w:val="-11"/>
          <w:w w:val="105"/>
        </w:rPr>
        <w:t> </w:t>
      </w:r>
      <w:r>
        <w:rPr>
          <w:color w:val="231F20"/>
          <w:w w:val="105"/>
        </w:rPr>
        <w:t>las</w:t>
      </w:r>
      <w:r>
        <w:rPr>
          <w:color w:val="231F20"/>
          <w:spacing w:val="-11"/>
          <w:w w:val="105"/>
        </w:rPr>
        <w:t> </w:t>
      </w:r>
      <w:r>
        <w:rPr>
          <w:color w:val="231F20"/>
          <w:w w:val="105"/>
        </w:rPr>
        <w:t>estra- tegias de segmentación del mercado de trabajo son aspectos que res- ponden a las necesidades de control por parte del capital</w:t>
      </w:r>
      <w:r>
        <w:rPr>
          <w:color w:val="231F20"/>
          <w:spacing w:val="14"/>
          <w:w w:val="105"/>
        </w:rPr>
        <w:t> </w:t>
      </w:r>
      <w:r>
        <w:rPr>
          <w:color w:val="231F20"/>
          <w:w w:val="105"/>
        </w:rPr>
        <w:t>(empleador),</w:t>
      </w:r>
    </w:p>
    <w:p>
      <w:pPr>
        <w:spacing w:after="0" w:line="259" w:lineRule="auto"/>
        <w:jc w:val="both"/>
        <w:sectPr>
          <w:pgSz w:w="9640" w:h="13890"/>
          <w:pgMar w:top="0" w:bottom="280" w:left="1300" w:right="1180"/>
        </w:sectPr>
      </w:pPr>
    </w:p>
    <w:p>
      <w:pPr>
        <w:pStyle w:val="BodyText"/>
        <w:spacing w:line="259" w:lineRule="auto" w:before="120"/>
        <w:ind w:left="103" w:right="114"/>
        <w:jc w:val="both"/>
      </w:pPr>
      <w:r>
        <w:rPr>
          <w:color w:val="231F20"/>
          <w:w w:val="105"/>
        </w:rPr>
        <w:t>en</w:t>
      </w:r>
      <w:r>
        <w:rPr>
          <w:color w:val="231F20"/>
          <w:spacing w:val="-11"/>
          <w:w w:val="105"/>
        </w:rPr>
        <w:t> </w:t>
      </w:r>
      <w:r>
        <w:rPr>
          <w:color w:val="231F20"/>
          <w:w w:val="105"/>
        </w:rPr>
        <w:t>donde</w:t>
      </w:r>
      <w:r>
        <w:rPr>
          <w:color w:val="231F20"/>
          <w:spacing w:val="-11"/>
          <w:w w:val="105"/>
        </w:rPr>
        <w:t> </w:t>
      </w:r>
      <w:r>
        <w:rPr>
          <w:color w:val="231F20"/>
          <w:w w:val="105"/>
        </w:rPr>
        <w:t>la</w:t>
      </w:r>
      <w:r>
        <w:rPr>
          <w:color w:val="231F20"/>
          <w:spacing w:val="-11"/>
          <w:w w:val="105"/>
        </w:rPr>
        <w:t> </w:t>
      </w:r>
      <w:r>
        <w:rPr>
          <w:color w:val="231F20"/>
          <w:w w:val="105"/>
        </w:rPr>
        <w:t>división</w:t>
      </w:r>
      <w:r>
        <w:rPr>
          <w:color w:val="231F20"/>
          <w:spacing w:val="-11"/>
          <w:w w:val="105"/>
        </w:rPr>
        <w:t> </w:t>
      </w:r>
      <w:r>
        <w:rPr>
          <w:color w:val="231F20"/>
          <w:w w:val="105"/>
        </w:rPr>
        <w:t>y</w:t>
      </w:r>
      <w:r>
        <w:rPr>
          <w:color w:val="231F20"/>
          <w:spacing w:val="-11"/>
          <w:w w:val="105"/>
        </w:rPr>
        <w:t> </w:t>
      </w:r>
      <w:r>
        <w:rPr>
          <w:color w:val="231F20"/>
          <w:w w:val="105"/>
        </w:rPr>
        <w:t>reglamentación</w:t>
      </w:r>
      <w:r>
        <w:rPr>
          <w:color w:val="231F20"/>
          <w:spacing w:val="-11"/>
          <w:w w:val="105"/>
        </w:rPr>
        <w:t> </w:t>
      </w:r>
      <w:r>
        <w:rPr>
          <w:color w:val="231F20"/>
          <w:w w:val="105"/>
        </w:rPr>
        <w:t>son</w:t>
      </w:r>
      <w:r>
        <w:rPr>
          <w:color w:val="231F20"/>
          <w:spacing w:val="-11"/>
          <w:w w:val="105"/>
        </w:rPr>
        <w:t> </w:t>
      </w:r>
      <w:r>
        <w:rPr>
          <w:color w:val="231F20"/>
          <w:w w:val="105"/>
        </w:rPr>
        <w:t>establecidos</w:t>
      </w:r>
      <w:r>
        <w:rPr>
          <w:color w:val="231F20"/>
          <w:spacing w:val="-11"/>
          <w:w w:val="105"/>
        </w:rPr>
        <w:t> </w:t>
      </w:r>
      <w:r>
        <w:rPr>
          <w:color w:val="231F20"/>
          <w:w w:val="105"/>
        </w:rPr>
        <w:t>y</w:t>
      </w:r>
      <w:r>
        <w:rPr>
          <w:color w:val="231F20"/>
          <w:spacing w:val="-11"/>
          <w:w w:val="105"/>
        </w:rPr>
        <w:t> </w:t>
      </w:r>
      <w:r>
        <w:rPr>
          <w:color w:val="231F20"/>
          <w:w w:val="105"/>
        </w:rPr>
        <w:t>difundidos</w:t>
      </w:r>
      <w:r>
        <w:rPr>
          <w:color w:val="231F20"/>
          <w:spacing w:val="-11"/>
          <w:w w:val="105"/>
        </w:rPr>
        <w:t> </w:t>
      </w:r>
      <w:r>
        <w:rPr>
          <w:color w:val="231F20"/>
          <w:w w:val="105"/>
        </w:rPr>
        <w:t>por la</w:t>
      </w:r>
      <w:r>
        <w:rPr>
          <w:color w:val="231F20"/>
          <w:spacing w:val="-16"/>
          <w:w w:val="105"/>
        </w:rPr>
        <w:t> </w:t>
      </w:r>
      <w:r>
        <w:rPr>
          <w:color w:val="231F20"/>
          <w:w w:val="105"/>
        </w:rPr>
        <w:t>administración</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finalidad</w:t>
      </w:r>
      <w:r>
        <w:rPr>
          <w:color w:val="231F20"/>
          <w:spacing w:val="-16"/>
          <w:w w:val="105"/>
        </w:rPr>
        <w:t> </w:t>
      </w:r>
      <w:r>
        <w:rPr>
          <w:color w:val="231F20"/>
          <w:w w:val="105"/>
        </w:rPr>
        <w:t>de</w:t>
      </w:r>
      <w:r>
        <w:rPr>
          <w:color w:val="231F20"/>
          <w:spacing w:val="-16"/>
          <w:w w:val="105"/>
        </w:rPr>
        <w:t> </w:t>
      </w:r>
      <w:r>
        <w:rPr>
          <w:color w:val="231F20"/>
          <w:w w:val="105"/>
        </w:rPr>
        <w:t>mantener</w:t>
      </w:r>
      <w:r>
        <w:rPr>
          <w:color w:val="231F20"/>
          <w:spacing w:val="-16"/>
          <w:w w:val="105"/>
        </w:rPr>
        <w:t> </w:t>
      </w:r>
      <w:r>
        <w:rPr>
          <w:color w:val="231F20"/>
          <w:w w:val="105"/>
        </w:rPr>
        <w:t>el</w:t>
      </w:r>
      <w:r>
        <w:rPr>
          <w:color w:val="231F20"/>
          <w:spacing w:val="-16"/>
          <w:w w:val="105"/>
        </w:rPr>
        <w:t> </w:t>
      </w:r>
      <w:r>
        <w:rPr>
          <w:color w:val="231F20"/>
          <w:w w:val="105"/>
        </w:rPr>
        <w:t>control</w:t>
      </w:r>
      <w:r>
        <w:rPr>
          <w:color w:val="231F20"/>
          <w:spacing w:val="-16"/>
          <w:w w:val="105"/>
        </w:rPr>
        <w:t> </w:t>
      </w:r>
      <w:r>
        <w:rPr>
          <w:color w:val="231F20"/>
          <w:w w:val="105"/>
        </w:rPr>
        <w:t>sobre</w:t>
      </w:r>
      <w:r>
        <w:rPr>
          <w:color w:val="231F20"/>
          <w:spacing w:val="-16"/>
          <w:w w:val="105"/>
        </w:rPr>
        <w:t> </w:t>
      </w:r>
      <w:r>
        <w:rPr>
          <w:color w:val="231F20"/>
          <w:w w:val="105"/>
        </w:rPr>
        <w:t>los</w:t>
      </w:r>
      <w:r>
        <w:rPr>
          <w:color w:val="231F20"/>
          <w:spacing w:val="-16"/>
          <w:w w:val="105"/>
        </w:rPr>
        <w:t> </w:t>
      </w:r>
      <w:r>
        <w:rPr>
          <w:color w:val="231F20"/>
          <w:w w:val="105"/>
        </w:rPr>
        <w:t>proce- sos</w:t>
      </w:r>
      <w:r>
        <w:rPr>
          <w:color w:val="231F20"/>
          <w:spacing w:val="-20"/>
          <w:w w:val="105"/>
        </w:rPr>
        <w:t> </w:t>
      </w:r>
      <w:r>
        <w:rPr>
          <w:color w:val="231F20"/>
          <w:w w:val="105"/>
        </w:rPr>
        <w:t>que</w:t>
      </w:r>
      <w:r>
        <w:rPr>
          <w:color w:val="231F20"/>
          <w:spacing w:val="-20"/>
          <w:w w:val="105"/>
        </w:rPr>
        <w:t> </w:t>
      </w:r>
      <w:r>
        <w:rPr>
          <w:color w:val="231F20"/>
          <w:w w:val="105"/>
        </w:rPr>
        <w:t>requieren</w:t>
      </w:r>
      <w:r>
        <w:rPr>
          <w:color w:val="231F20"/>
          <w:spacing w:val="-20"/>
          <w:w w:val="105"/>
        </w:rPr>
        <w:t> </w:t>
      </w:r>
      <w:r>
        <w:rPr>
          <w:color w:val="231F20"/>
          <w:w w:val="105"/>
        </w:rPr>
        <w:t>poca</w:t>
      </w:r>
      <w:r>
        <w:rPr>
          <w:color w:val="231F20"/>
          <w:spacing w:val="-20"/>
          <w:w w:val="105"/>
        </w:rPr>
        <w:t> </w:t>
      </w:r>
      <w:r>
        <w:rPr>
          <w:color w:val="231F20"/>
          <w:w w:val="105"/>
        </w:rPr>
        <w:t>cualificación.</w:t>
      </w:r>
    </w:p>
    <w:p>
      <w:pPr>
        <w:pStyle w:val="BodyText"/>
        <w:spacing w:line="259" w:lineRule="auto"/>
        <w:ind w:left="103" w:right="114" w:firstLine="567"/>
        <w:jc w:val="both"/>
      </w:pPr>
      <w:r>
        <w:rPr>
          <w:color w:val="231F20"/>
          <w:w w:val="105"/>
        </w:rPr>
        <w:t>El dualismo propuesto por Doeringer y Piore (1971) es conside- rado ahora como un producto del proceso laboral y el control de estra- tegias</w:t>
      </w:r>
      <w:r>
        <w:rPr>
          <w:color w:val="231F20"/>
          <w:spacing w:val="-5"/>
          <w:w w:val="105"/>
        </w:rPr>
        <w:t> </w:t>
      </w:r>
      <w:r>
        <w:rPr>
          <w:color w:val="231F20"/>
          <w:spacing w:val="-3"/>
          <w:w w:val="105"/>
        </w:rPr>
        <w:t>(Peck,</w:t>
      </w:r>
      <w:r>
        <w:rPr>
          <w:color w:val="231F20"/>
          <w:spacing w:val="-11"/>
          <w:w w:val="105"/>
        </w:rPr>
        <w:t> </w:t>
      </w:r>
      <w:r>
        <w:rPr>
          <w:color w:val="231F20"/>
          <w:w w:val="105"/>
        </w:rPr>
        <w:t>1996).</w:t>
      </w:r>
      <w:r>
        <w:rPr>
          <w:color w:val="231F20"/>
          <w:spacing w:val="-11"/>
          <w:w w:val="105"/>
        </w:rPr>
        <w:t> </w:t>
      </w:r>
      <w:r>
        <w:rPr>
          <w:color w:val="231F20"/>
          <w:w w:val="105"/>
        </w:rPr>
        <w:t>Son</w:t>
      </w:r>
      <w:r>
        <w:rPr>
          <w:color w:val="231F20"/>
          <w:spacing w:val="-5"/>
          <w:w w:val="105"/>
        </w:rPr>
        <w:t> </w:t>
      </w:r>
      <w:r>
        <w:rPr>
          <w:color w:val="231F20"/>
          <w:w w:val="105"/>
        </w:rPr>
        <w:t>críticos</w:t>
      </w:r>
      <w:r>
        <w:rPr>
          <w:color w:val="231F20"/>
          <w:spacing w:val="-5"/>
          <w:w w:val="105"/>
        </w:rPr>
        <w:t> </w:t>
      </w:r>
      <w:r>
        <w:rPr>
          <w:color w:val="231F20"/>
          <w:w w:val="105"/>
        </w:rPr>
        <w:t>con</w:t>
      </w:r>
      <w:r>
        <w:rPr>
          <w:color w:val="231F20"/>
          <w:spacing w:val="-5"/>
          <w:w w:val="105"/>
        </w:rPr>
        <w:t> </w:t>
      </w:r>
      <w:r>
        <w:rPr>
          <w:color w:val="231F20"/>
          <w:w w:val="105"/>
        </w:rPr>
        <w:t>respecto</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neoclásica</w:t>
      </w:r>
      <w:r>
        <w:rPr>
          <w:color w:val="231F20"/>
          <w:spacing w:val="-5"/>
          <w:w w:val="105"/>
        </w:rPr>
        <w:t> </w:t>
      </w:r>
      <w:r>
        <w:rPr>
          <w:color w:val="231F20"/>
          <w:w w:val="105"/>
        </w:rPr>
        <w:t>del mercado de trabajo y manifiestan explícitamente su descontento hacia el</w:t>
      </w:r>
      <w:r>
        <w:rPr>
          <w:color w:val="231F20"/>
          <w:spacing w:val="-18"/>
          <w:w w:val="105"/>
        </w:rPr>
        <w:t> </w:t>
      </w:r>
      <w:r>
        <w:rPr>
          <w:color w:val="231F20"/>
          <w:w w:val="105"/>
        </w:rPr>
        <w:t>capitalismo</w:t>
      </w:r>
      <w:r>
        <w:rPr>
          <w:color w:val="231F20"/>
          <w:spacing w:val="-18"/>
          <w:w w:val="105"/>
        </w:rPr>
        <w:t> </w:t>
      </w:r>
      <w:r>
        <w:rPr>
          <w:color w:val="231F20"/>
          <w:w w:val="105"/>
        </w:rPr>
        <w:t>(Cain,</w:t>
      </w:r>
      <w:r>
        <w:rPr>
          <w:color w:val="231F20"/>
          <w:spacing w:val="-23"/>
          <w:w w:val="105"/>
        </w:rPr>
        <w:t> </w:t>
      </w:r>
      <w:r>
        <w:rPr>
          <w:color w:val="231F20"/>
          <w:w w:val="105"/>
        </w:rPr>
        <w:t>1975).</w:t>
      </w:r>
      <w:r>
        <w:rPr>
          <w:color w:val="231F20"/>
          <w:spacing w:val="-23"/>
          <w:w w:val="105"/>
        </w:rPr>
        <w:t> </w:t>
      </w:r>
      <w:r>
        <w:rPr>
          <w:color w:val="231F20"/>
          <w:w w:val="105"/>
        </w:rPr>
        <w:t>La</w:t>
      </w:r>
      <w:r>
        <w:rPr>
          <w:color w:val="231F20"/>
          <w:spacing w:val="-18"/>
          <w:w w:val="105"/>
        </w:rPr>
        <w:t> </w:t>
      </w:r>
      <w:r>
        <w:rPr>
          <w:color w:val="231F20"/>
          <w:w w:val="105"/>
        </w:rPr>
        <w:t>segmentación</w:t>
      </w:r>
      <w:r>
        <w:rPr>
          <w:color w:val="231F20"/>
          <w:spacing w:val="-18"/>
          <w:w w:val="105"/>
        </w:rPr>
        <w:t> </w:t>
      </w:r>
      <w:r>
        <w:rPr>
          <w:color w:val="231F20"/>
          <w:w w:val="105"/>
        </w:rPr>
        <w:t>del</w:t>
      </w:r>
      <w:r>
        <w:rPr>
          <w:color w:val="231F20"/>
          <w:spacing w:val="-18"/>
          <w:w w:val="105"/>
        </w:rPr>
        <w:t> </w:t>
      </w:r>
      <w:r>
        <w:rPr>
          <w:color w:val="231F20"/>
          <w:w w:val="105"/>
        </w:rPr>
        <w:t>mercado</w:t>
      </w:r>
      <w:r>
        <w:rPr>
          <w:color w:val="231F20"/>
          <w:spacing w:val="-18"/>
          <w:w w:val="105"/>
        </w:rPr>
        <w:t> </w:t>
      </w:r>
      <w:r>
        <w:rPr>
          <w:color w:val="231F20"/>
          <w:w w:val="105"/>
        </w:rPr>
        <w:t>de</w:t>
      </w:r>
      <w:r>
        <w:rPr>
          <w:color w:val="231F20"/>
          <w:spacing w:val="-18"/>
          <w:w w:val="105"/>
        </w:rPr>
        <w:t> </w:t>
      </w:r>
      <w:r>
        <w:rPr>
          <w:color w:val="231F20"/>
          <w:w w:val="105"/>
        </w:rPr>
        <w:t>trabajo,</w:t>
      </w:r>
      <w:r>
        <w:rPr>
          <w:color w:val="231F20"/>
          <w:spacing w:val="-23"/>
          <w:w w:val="105"/>
        </w:rPr>
        <w:t> </w:t>
      </w:r>
      <w:r>
        <w:rPr>
          <w:color w:val="231F20"/>
          <w:w w:val="105"/>
        </w:rPr>
        <w:t>en esta</w:t>
      </w:r>
      <w:r>
        <w:rPr>
          <w:color w:val="231F20"/>
          <w:spacing w:val="-7"/>
          <w:w w:val="105"/>
        </w:rPr>
        <w:t> </w:t>
      </w:r>
      <w:r>
        <w:rPr>
          <w:color w:val="231F20"/>
          <w:w w:val="105"/>
        </w:rPr>
        <w:t>generación,</w:t>
      </w:r>
      <w:r>
        <w:rPr>
          <w:color w:val="231F20"/>
          <w:spacing w:val="-13"/>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indicio</w:t>
      </w:r>
      <w:r>
        <w:rPr>
          <w:color w:val="231F20"/>
          <w:spacing w:val="-7"/>
          <w:w w:val="105"/>
        </w:rPr>
        <w:t> </w:t>
      </w:r>
      <w:r>
        <w:rPr>
          <w:color w:val="231F20"/>
          <w:w w:val="105"/>
        </w:rPr>
        <w:t>claro</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surgimiento</w:t>
      </w:r>
      <w:r>
        <w:rPr>
          <w:color w:val="231F20"/>
          <w:spacing w:val="-7"/>
          <w:w w:val="105"/>
        </w:rPr>
        <w:t> </w:t>
      </w:r>
      <w:r>
        <w:rPr>
          <w:color w:val="231F20"/>
          <w:w w:val="105"/>
        </w:rPr>
        <w:t>de</w:t>
      </w:r>
      <w:r>
        <w:rPr>
          <w:color w:val="231F20"/>
          <w:spacing w:val="-7"/>
          <w:w w:val="105"/>
        </w:rPr>
        <w:t> </w:t>
      </w:r>
      <w:r>
        <w:rPr>
          <w:color w:val="231F20"/>
          <w:w w:val="105"/>
        </w:rPr>
        <w:t>técnicas</w:t>
      </w:r>
      <w:r>
        <w:rPr>
          <w:color w:val="231F20"/>
          <w:spacing w:val="-7"/>
          <w:w w:val="105"/>
        </w:rPr>
        <w:t> </w:t>
      </w:r>
      <w:r>
        <w:rPr>
          <w:color w:val="231F20"/>
          <w:w w:val="105"/>
        </w:rPr>
        <w:t>de producción rutinarias (empleo de máquinas y herramientas), donde el trabajo requiere cada vez menos habilidades y calificaciones por parte de</w:t>
      </w:r>
      <w:r>
        <w:rPr>
          <w:color w:val="231F20"/>
          <w:spacing w:val="-22"/>
          <w:w w:val="105"/>
        </w:rPr>
        <w:t> </w:t>
      </w:r>
      <w:r>
        <w:rPr>
          <w:color w:val="231F20"/>
          <w:w w:val="105"/>
        </w:rPr>
        <w:t>los</w:t>
      </w:r>
      <w:r>
        <w:rPr>
          <w:color w:val="231F20"/>
          <w:spacing w:val="-22"/>
          <w:w w:val="105"/>
        </w:rPr>
        <w:t> </w:t>
      </w:r>
      <w:r>
        <w:rPr>
          <w:color w:val="231F20"/>
          <w:w w:val="105"/>
        </w:rPr>
        <w:t>empleados</w:t>
      </w:r>
      <w:r>
        <w:rPr>
          <w:color w:val="231F20"/>
          <w:spacing w:val="-22"/>
          <w:w w:val="105"/>
        </w:rPr>
        <w:t> </w:t>
      </w:r>
      <w:r>
        <w:rPr>
          <w:color w:val="231F20"/>
          <w:w w:val="105"/>
        </w:rPr>
        <w:t>y</w:t>
      </w:r>
      <w:r>
        <w:rPr>
          <w:color w:val="231F20"/>
          <w:spacing w:val="-22"/>
          <w:w w:val="105"/>
        </w:rPr>
        <w:t> </w:t>
      </w:r>
      <w:r>
        <w:rPr>
          <w:color w:val="231F20"/>
          <w:w w:val="105"/>
        </w:rPr>
        <w:t>es</w:t>
      </w:r>
      <w:r>
        <w:rPr>
          <w:color w:val="231F20"/>
          <w:spacing w:val="-22"/>
          <w:w w:val="105"/>
        </w:rPr>
        <w:t> </w:t>
      </w:r>
      <w:r>
        <w:rPr>
          <w:color w:val="231F20"/>
          <w:w w:val="105"/>
        </w:rPr>
        <w:t>más</w:t>
      </w:r>
      <w:r>
        <w:rPr>
          <w:color w:val="231F20"/>
          <w:spacing w:val="-22"/>
          <w:w w:val="105"/>
        </w:rPr>
        <w:t> </w:t>
      </w:r>
      <w:r>
        <w:rPr>
          <w:color w:val="231F20"/>
          <w:w w:val="105"/>
        </w:rPr>
        <w:t>homogéneo</w:t>
      </w:r>
      <w:r>
        <w:rPr>
          <w:color w:val="231F20"/>
          <w:spacing w:val="-22"/>
          <w:w w:val="105"/>
        </w:rPr>
        <w:t> </w:t>
      </w:r>
      <w:r>
        <w:rPr>
          <w:color w:val="231F20"/>
          <w:spacing w:val="-3"/>
          <w:w w:val="105"/>
        </w:rPr>
        <w:t>(Peck,</w:t>
      </w:r>
      <w:r>
        <w:rPr>
          <w:color w:val="231F20"/>
          <w:spacing w:val="-28"/>
          <w:w w:val="105"/>
        </w:rPr>
        <w:t> </w:t>
      </w:r>
      <w:r>
        <w:rPr>
          <w:color w:val="231F20"/>
          <w:w w:val="105"/>
        </w:rPr>
        <w:t>1996).</w:t>
      </w:r>
    </w:p>
    <w:p>
      <w:pPr>
        <w:pStyle w:val="BodyText"/>
        <w:spacing w:line="259" w:lineRule="auto"/>
        <w:ind w:left="103" w:right="115" w:firstLine="567"/>
        <w:jc w:val="both"/>
      </w:pPr>
      <w:r>
        <w:rPr>
          <w:color w:val="231F20"/>
          <w:spacing w:val="-6"/>
          <w:w w:val="105"/>
        </w:rPr>
        <w:t>Por </w:t>
      </w:r>
      <w:r>
        <w:rPr>
          <w:color w:val="231F20"/>
          <w:w w:val="105"/>
        </w:rPr>
        <w:t>tanto,</w:t>
      </w:r>
      <w:r>
        <w:rPr>
          <w:color w:val="231F20"/>
          <w:spacing w:val="-12"/>
          <w:w w:val="105"/>
        </w:rPr>
        <w:t> </w:t>
      </w:r>
      <w:r>
        <w:rPr>
          <w:color w:val="231F20"/>
          <w:w w:val="105"/>
        </w:rPr>
        <w:t>la</w:t>
      </w:r>
      <w:r>
        <w:rPr>
          <w:color w:val="231F20"/>
          <w:spacing w:val="-6"/>
          <w:w w:val="105"/>
        </w:rPr>
        <w:t> </w:t>
      </w:r>
      <w:r>
        <w:rPr>
          <w:color w:val="231F20"/>
          <w:w w:val="105"/>
        </w:rPr>
        <w:t>segmentación</w:t>
      </w:r>
      <w:r>
        <w:rPr>
          <w:color w:val="231F20"/>
          <w:spacing w:val="-6"/>
          <w:w w:val="105"/>
        </w:rPr>
        <w:t> </w:t>
      </w:r>
      <w:r>
        <w:rPr>
          <w:color w:val="231F20"/>
          <w:w w:val="105"/>
        </w:rPr>
        <w:t>del</w:t>
      </w:r>
      <w:r>
        <w:rPr>
          <w:color w:val="231F20"/>
          <w:spacing w:val="-6"/>
          <w:w w:val="105"/>
        </w:rPr>
        <w:t> </w:t>
      </w:r>
      <w:r>
        <w:rPr>
          <w:color w:val="231F20"/>
          <w:w w:val="105"/>
        </w:rPr>
        <w:t>trabajo</w:t>
      </w:r>
      <w:r>
        <w:rPr>
          <w:color w:val="231F20"/>
          <w:spacing w:val="-6"/>
          <w:w w:val="105"/>
        </w:rPr>
        <w:t> </w:t>
      </w:r>
      <w:r>
        <w:rPr>
          <w:color w:val="231F20"/>
          <w:w w:val="105"/>
        </w:rPr>
        <w:t>proporciona</w:t>
      </w:r>
      <w:r>
        <w:rPr>
          <w:color w:val="231F20"/>
          <w:spacing w:val="-6"/>
          <w:w w:val="105"/>
        </w:rPr>
        <w:t> </w:t>
      </w:r>
      <w:r>
        <w:rPr>
          <w:color w:val="231F20"/>
          <w:w w:val="105"/>
        </w:rPr>
        <w:t>un</w:t>
      </w:r>
      <w:r>
        <w:rPr>
          <w:color w:val="231F20"/>
          <w:spacing w:val="-6"/>
          <w:w w:val="105"/>
        </w:rPr>
        <w:t> </w:t>
      </w:r>
      <w:r>
        <w:rPr>
          <w:color w:val="231F20"/>
          <w:w w:val="105"/>
        </w:rPr>
        <w:t>medio</w:t>
      </w:r>
      <w:r>
        <w:rPr>
          <w:color w:val="231F20"/>
          <w:spacing w:val="-6"/>
          <w:w w:val="105"/>
        </w:rPr>
        <w:t> </w:t>
      </w:r>
      <w:r>
        <w:rPr>
          <w:color w:val="231F20"/>
          <w:w w:val="105"/>
        </w:rPr>
        <w:t>para que el capital (empleador) pueda enfrentar sin muchas dificultades las contradicciones</w:t>
      </w:r>
      <w:r>
        <w:rPr>
          <w:color w:val="231F20"/>
          <w:spacing w:val="-6"/>
          <w:w w:val="105"/>
        </w:rPr>
        <w:t> </w:t>
      </w:r>
      <w:r>
        <w:rPr>
          <w:color w:val="231F20"/>
          <w:w w:val="105"/>
        </w:rPr>
        <w:t>inherentes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falta</w:t>
      </w:r>
      <w:r>
        <w:rPr>
          <w:color w:val="231F20"/>
          <w:spacing w:val="-6"/>
          <w:w w:val="105"/>
        </w:rPr>
        <w:t> </w:t>
      </w:r>
      <w:r>
        <w:rPr>
          <w:color w:val="231F20"/>
          <w:w w:val="105"/>
        </w:rPr>
        <w:t>de</w:t>
      </w:r>
      <w:r>
        <w:rPr>
          <w:color w:val="231F20"/>
          <w:spacing w:val="-6"/>
          <w:w w:val="105"/>
        </w:rPr>
        <w:t> </w:t>
      </w:r>
      <w:r>
        <w:rPr>
          <w:color w:val="231F20"/>
          <w:w w:val="105"/>
        </w:rPr>
        <w:t>cualificación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fuerza</w:t>
      </w:r>
      <w:r>
        <w:rPr>
          <w:color w:val="231F20"/>
          <w:spacing w:val="-6"/>
          <w:w w:val="105"/>
        </w:rPr>
        <w:t> </w:t>
      </w:r>
      <w:r>
        <w:rPr>
          <w:color w:val="231F20"/>
          <w:w w:val="105"/>
        </w:rPr>
        <w:t>labo- ral.</w:t>
      </w:r>
      <w:r>
        <w:rPr>
          <w:color w:val="231F20"/>
          <w:spacing w:val="-26"/>
          <w:w w:val="105"/>
        </w:rPr>
        <w:t> </w:t>
      </w:r>
      <w:r>
        <w:rPr>
          <w:color w:val="231F20"/>
          <w:w w:val="105"/>
        </w:rPr>
        <w:t>Bajo</w:t>
      </w:r>
      <w:r>
        <w:rPr>
          <w:color w:val="231F20"/>
          <w:spacing w:val="-21"/>
          <w:w w:val="105"/>
        </w:rPr>
        <w:t> </w:t>
      </w:r>
      <w:r>
        <w:rPr>
          <w:color w:val="231F20"/>
          <w:w w:val="105"/>
        </w:rPr>
        <w:t>estas</w:t>
      </w:r>
      <w:r>
        <w:rPr>
          <w:color w:val="231F20"/>
          <w:spacing w:val="-21"/>
          <w:w w:val="105"/>
        </w:rPr>
        <w:t> </w:t>
      </w:r>
      <w:r>
        <w:rPr>
          <w:color w:val="231F20"/>
          <w:w w:val="105"/>
        </w:rPr>
        <w:t>condiciones</w:t>
      </w:r>
      <w:r>
        <w:rPr>
          <w:color w:val="231F20"/>
          <w:spacing w:val="-21"/>
          <w:w w:val="105"/>
        </w:rPr>
        <w:t> </w:t>
      </w:r>
      <w:r>
        <w:rPr>
          <w:color w:val="231F20"/>
          <w:w w:val="105"/>
        </w:rPr>
        <w:t>prácticamente</w:t>
      </w:r>
      <w:r>
        <w:rPr>
          <w:color w:val="231F20"/>
          <w:spacing w:val="-21"/>
          <w:w w:val="105"/>
        </w:rPr>
        <w:t> </w:t>
      </w:r>
      <w:r>
        <w:rPr>
          <w:color w:val="231F20"/>
          <w:w w:val="105"/>
        </w:rPr>
        <w:t>se</w:t>
      </w:r>
      <w:r>
        <w:rPr>
          <w:color w:val="231F20"/>
          <w:spacing w:val="-21"/>
          <w:w w:val="105"/>
        </w:rPr>
        <w:t> </w:t>
      </w:r>
      <w:r>
        <w:rPr>
          <w:color w:val="231F20"/>
          <w:w w:val="105"/>
        </w:rPr>
        <w:t>requieren</w:t>
      </w:r>
      <w:r>
        <w:rPr>
          <w:color w:val="231F20"/>
          <w:spacing w:val="-21"/>
          <w:w w:val="105"/>
        </w:rPr>
        <w:t> </w:t>
      </w:r>
      <w:r>
        <w:rPr>
          <w:color w:val="231F20"/>
          <w:w w:val="105"/>
        </w:rPr>
        <w:t>habilidades</w:t>
      </w:r>
      <w:r>
        <w:rPr>
          <w:color w:val="231F20"/>
          <w:spacing w:val="-21"/>
          <w:w w:val="105"/>
        </w:rPr>
        <w:t> </w:t>
      </w:r>
      <w:r>
        <w:rPr>
          <w:color w:val="231F20"/>
          <w:w w:val="105"/>
        </w:rPr>
        <w:t>míni- mas</w:t>
      </w:r>
      <w:r>
        <w:rPr>
          <w:color w:val="231F20"/>
          <w:spacing w:val="-13"/>
          <w:w w:val="105"/>
        </w:rPr>
        <w:t> </w:t>
      </w:r>
      <w:r>
        <w:rPr>
          <w:color w:val="231F20"/>
          <w:w w:val="105"/>
        </w:rPr>
        <w:t>para</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trabajo</w:t>
      </w:r>
      <w:r>
        <w:rPr>
          <w:color w:val="231F20"/>
          <w:spacing w:val="-13"/>
          <w:w w:val="105"/>
        </w:rPr>
        <w:t> </w:t>
      </w:r>
      <w:r>
        <w:rPr>
          <w:color w:val="231F20"/>
          <w:w w:val="105"/>
        </w:rPr>
        <w:t>sea</w:t>
      </w:r>
      <w:r>
        <w:rPr>
          <w:color w:val="231F20"/>
          <w:spacing w:val="-13"/>
          <w:w w:val="105"/>
        </w:rPr>
        <w:t> </w:t>
      </w:r>
      <w:r>
        <w:rPr>
          <w:color w:val="231F20"/>
          <w:w w:val="105"/>
        </w:rPr>
        <w:t>incorporado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procesos</w:t>
      </w:r>
      <w:r>
        <w:rPr>
          <w:color w:val="231F20"/>
          <w:spacing w:val="-13"/>
          <w:w w:val="105"/>
        </w:rPr>
        <w:t> </w:t>
      </w:r>
      <w:r>
        <w:rPr>
          <w:color w:val="231F20"/>
          <w:w w:val="105"/>
        </w:rPr>
        <w:t>de</w:t>
      </w:r>
      <w:r>
        <w:rPr>
          <w:color w:val="231F20"/>
          <w:spacing w:val="-13"/>
          <w:w w:val="105"/>
        </w:rPr>
        <w:t> </w:t>
      </w:r>
      <w:r>
        <w:rPr>
          <w:color w:val="231F20"/>
          <w:w w:val="105"/>
        </w:rPr>
        <w:t>producción.</w:t>
      </w:r>
    </w:p>
    <w:p>
      <w:pPr>
        <w:pStyle w:val="BodyText"/>
        <w:spacing w:line="259" w:lineRule="auto"/>
        <w:ind w:left="103" w:right="114" w:firstLine="567"/>
        <w:jc w:val="both"/>
      </w:pPr>
      <w:r>
        <w:rPr>
          <w:color w:val="231F20"/>
          <w:w w:val="105"/>
        </w:rPr>
        <w:t>La</w:t>
      </w:r>
      <w:r>
        <w:rPr>
          <w:color w:val="231F20"/>
          <w:spacing w:val="-19"/>
          <w:w w:val="105"/>
        </w:rPr>
        <w:t> </w:t>
      </w:r>
      <w:r>
        <w:rPr>
          <w:color w:val="231F20"/>
          <w:w w:val="105"/>
        </w:rPr>
        <w:t>teoría</w:t>
      </w:r>
      <w:r>
        <w:rPr>
          <w:color w:val="231F20"/>
          <w:spacing w:val="-19"/>
          <w:w w:val="105"/>
        </w:rPr>
        <w:t> </w:t>
      </w:r>
      <w:r>
        <w:rPr>
          <w:color w:val="231F20"/>
          <w:w w:val="105"/>
        </w:rPr>
        <w:t>radical</w:t>
      </w:r>
      <w:r>
        <w:rPr>
          <w:color w:val="231F20"/>
          <w:spacing w:val="-19"/>
          <w:w w:val="105"/>
        </w:rPr>
        <w:t> </w:t>
      </w:r>
      <w:r>
        <w:rPr>
          <w:color w:val="231F20"/>
          <w:w w:val="105"/>
        </w:rPr>
        <w:t>mantiene</w:t>
      </w:r>
      <w:r>
        <w:rPr>
          <w:color w:val="231F20"/>
          <w:spacing w:val="-19"/>
          <w:w w:val="105"/>
        </w:rPr>
        <w:t> </w:t>
      </w:r>
      <w:r>
        <w:rPr>
          <w:color w:val="231F20"/>
          <w:w w:val="105"/>
        </w:rPr>
        <w:t>el</w:t>
      </w:r>
      <w:r>
        <w:rPr>
          <w:color w:val="231F20"/>
          <w:spacing w:val="-19"/>
          <w:w w:val="105"/>
        </w:rPr>
        <w:t> </w:t>
      </w:r>
      <w:r>
        <w:rPr>
          <w:color w:val="231F20"/>
          <w:w w:val="105"/>
        </w:rPr>
        <w:t>concepto</w:t>
      </w:r>
      <w:r>
        <w:rPr>
          <w:color w:val="231F20"/>
          <w:spacing w:val="-19"/>
          <w:w w:val="105"/>
        </w:rPr>
        <w:t> </w:t>
      </w:r>
      <w:r>
        <w:rPr>
          <w:color w:val="231F20"/>
          <w:w w:val="105"/>
        </w:rPr>
        <w:t>de</w:t>
      </w:r>
      <w:r>
        <w:rPr>
          <w:color w:val="231F20"/>
          <w:spacing w:val="-19"/>
          <w:w w:val="105"/>
        </w:rPr>
        <w:t> </w:t>
      </w:r>
      <w:r>
        <w:rPr>
          <w:color w:val="231F20"/>
          <w:w w:val="105"/>
        </w:rPr>
        <w:t>trabajo</w:t>
      </w:r>
      <w:r>
        <w:rPr>
          <w:color w:val="231F20"/>
          <w:spacing w:val="-19"/>
          <w:w w:val="105"/>
        </w:rPr>
        <w:t> </w:t>
      </w:r>
      <w:r>
        <w:rPr>
          <w:color w:val="231F20"/>
          <w:w w:val="105"/>
        </w:rPr>
        <w:t>segmentado</w:t>
      </w:r>
      <w:r>
        <w:rPr>
          <w:color w:val="231F20"/>
          <w:spacing w:val="-19"/>
          <w:w w:val="105"/>
        </w:rPr>
        <w:t> </w:t>
      </w:r>
      <w:r>
        <w:rPr>
          <w:color w:val="231F20"/>
          <w:w w:val="105"/>
        </w:rPr>
        <w:t>y</w:t>
      </w:r>
      <w:r>
        <w:rPr>
          <w:color w:val="231F20"/>
          <w:spacing w:val="-19"/>
          <w:w w:val="105"/>
        </w:rPr>
        <w:t> </w:t>
      </w:r>
      <w:r>
        <w:rPr>
          <w:color w:val="231F20"/>
          <w:w w:val="105"/>
        </w:rPr>
        <w:t>de mercados internos de trabajo (desarrollados en la primera</w:t>
      </w:r>
      <w:r>
        <w:rPr>
          <w:color w:val="231F20"/>
          <w:spacing w:val="-36"/>
          <w:w w:val="105"/>
        </w:rPr>
        <w:t> </w:t>
      </w:r>
      <w:r>
        <w:rPr>
          <w:color w:val="231F20"/>
          <w:w w:val="105"/>
        </w:rPr>
        <w:t>generación); sin</w:t>
      </w:r>
      <w:r>
        <w:rPr>
          <w:color w:val="231F20"/>
          <w:spacing w:val="-11"/>
          <w:w w:val="105"/>
        </w:rPr>
        <w:t> </w:t>
      </w:r>
      <w:r>
        <w:rPr>
          <w:color w:val="231F20"/>
          <w:w w:val="105"/>
        </w:rPr>
        <w:t>embargo,</w:t>
      </w:r>
      <w:r>
        <w:rPr>
          <w:color w:val="231F20"/>
          <w:spacing w:val="-17"/>
          <w:w w:val="105"/>
        </w:rPr>
        <w:t> </w:t>
      </w:r>
      <w:r>
        <w:rPr>
          <w:color w:val="231F20"/>
          <w:w w:val="105"/>
        </w:rPr>
        <w:t>distingue</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sólo</w:t>
      </w:r>
      <w:r>
        <w:rPr>
          <w:color w:val="231F20"/>
          <w:spacing w:val="-11"/>
          <w:w w:val="105"/>
        </w:rPr>
        <w:t> </w:t>
      </w:r>
      <w:r>
        <w:rPr>
          <w:color w:val="231F20"/>
          <w:w w:val="105"/>
        </w:rPr>
        <w:t>debería</w:t>
      </w:r>
      <w:r>
        <w:rPr>
          <w:color w:val="231F20"/>
          <w:spacing w:val="-11"/>
          <w:w w:val="105"/>
        </w:rPr>
        <w:t> </w:t>
      </w:r>
      <w:r>
        <w:rPr>
          <w:color w:val="231F20"/>
          <w:w w:val="105"/>
        </w:rPr>
        <w:t>clasificarse</w:t>
      </w:r>
      <w:r>
        <w:rPr>
          <w:color w:val="231F20"/>
          <w:spacing w:val="-11"/>
          <w:w w:val="105"/>
        </w:rPr>
        <w:t> </w:t>
      </w:r>
      <w:r>
        <w:rPr>
          <w:color w:val="231F20"/>
          <w:w w:val="105"/>
        </w:rPr>
        <w:t>en</w:t>
      </w:r>
      <w:r>
        <w:rPr>
          <w:color w:val="231F20"/>
          <w:spacing w:val="-11"/>
          <w:w w:val="105"/>
        </w:rPr>
        <w:t> </w:t>
      </w:r>
      <w:r>
        <w:rPr>
          <w:color w:val="231F20"/>
          <w:w w:val="105"/>
        </w:rPr>
        <w:t>dos</w:t>
      </w:r>
      <w:r>
        <w:rPr>
          <w:color w:val="231F20"/>
          <w:spacing w:val="-11"/>
          <w:w w:val="105"/>
        </w:rPr>
        <w:t> </w:t>
      </w:r>
      <w:r>
        <w:rPr>
          <w:color w:val="231F20"/>
          <w:w w:val="105"/>
        </w:rPr>
        <w:t>segmen- tos, sino que la división comprende al sector primario (que a su vez se estratifica</w:t>
      </w:r>
      <w:r>
        <w:rPr>
          <w:color w:val="231F20"/>
          <w:spacing w:val="-25"/>
          <w:w w:val="105"/>
        </w:rPr>
        <w:t> </w:t>
      </w:r>
      <w:r>
        <w:rPr>
          <w:color w:val="231F20"/>
          <w:w w:val="105"/>
        </w:rPr>
        <w:t>en</w:t>
      </w:r>
      <w:r>
        <w:rPr>
          <w:color w:val="231F20"/>
          <w:spacing w:val="-25"/>
          <w:w w:val="105"/>
        </w:rPr>
        <w:t> </w:t>
      </w:r>
      <w:r>
        <w:rPr>
          <w:color w:val="231F20"/>
          <w:w w:val="105"/>
        </w:rPr>
        <w:t>empleos</w:t>
      </w:r>
      <w:r>
        <w:rPr>
          <w:color w:val="231F20"/>
          <w:spacing w:val="-25"/>
          <w:w w:val="105"/>
        </w:rPr>
        <w:t> </w:t>
      </w:r>
      <w:r>
        <w:rPr>
          <w:color w:val="231F20"/>
          <w:w w:val="105"/>
        </w:rPr>
        <w:t>subordinados</w:t>
      </w:r>
      <w:r>
        <w:rPr>
          <w:color w:val="231F20"/>
          <w:spacing w:val="-25"/>
          <w:w w:val="105"/>
        </w:rPr>
        <w:t> </w:t>
      </w:r>
      <w:r>
        <w:rPr>
          <w:color w:val="231F20"/>
          <w:w w:val="105"/>
        </w:rPr>
        <w:t>e</w:t>
      </w:r>
      <w:r>
        <w:rPr>
          <w:color w:val="231F20"/>
          <w:spacing w:val="-25"/>
          <w:w w:val="105"/>
        </w:rPr>
        <w:t> </w:t>
      </w:r>
      <w:r>
        <w:rPr>
          <w:color w:val="231F20"/>
          <w:w w:val="105"/>
        </w:rPr>
        <w:t>independientes)</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sector</w:t>
      </w:r>
      <w:r>
        <w:rPr>
          <w:color w:val="231F20"/>
          <w:spacing w:val="-25"/>
          <w:w w:val="105"/>
        </w:rPr>
        <w:t> </w:t>
      </w:r>
      <w:r>
        <w:rPr>
          <w:color w:val="231F20"/>
          <w:w w:val="105"/>
        </w:rPr>
        <w:t>secun- dario</w:t>
      </w:r>
      <w:r>
        <w:rPr>
          <w:color w:val="231F20"/>
          <w:spacing w:val="-15"/>
          <w:w w:val="105"/>
        </w:rPr>
        <w:t> </w:t>
      </w:r>
      <w:r>
        <w:rPr>
          <w:color w:val="231F20"/>
          <w:w w:val="105"/>
        </w:rPr>
        <w:t>(sector</w:t>
      </w:r>
      <w:r>
        <w:rPr>
          <w:color w:val="231F20"/>
          <w:spacing w:val="-15"/>
          <w:w w:val="105"/>
        </w:rPr>
        <w:t> </w:t>
      </w:r>
      <w:r>
        <w:rPr>
          <w:color w:val="231F20"/>
          <w:w w:val="105"/>
        </w:rPr>
        <w:t>por</w:t>
      </w:r>
      <w:r>
        <w:rPr>
          <w:color w:val="231F20"/>
          <w:spacing w:val="-15"/>
          <w:w w:val="105"/>
        </w:rPr>
        <w:t> </w:t>
      </w:r>
      <w:r>
        <w:rPr>
          <w:color w:val="231F20"/>
          <w:w w:val="105"/>
        </w:rPr>
        <w:t>raza</w:t>
      </w:r>
      <w:r>
        <w:rPr>
          <w:color w:val="231F20"/>
          <w:spacing w:val="-15"/>
          <w:w w:val="105"/>
        </w:rPr>
        <w:t> </w:t>
      </w:r>
      <w:r>
        <w:rPr>
          <w:color w:val="231F20"/>
          <w:w w:val="105"/>
        </w:rPr>
        <w:t>y</w:t>
      </w:r>
      <w:r>
        <w:rPr>
          <w:color w:val="231F20"/>
          <w:spacing w:val="-15"/>
          <w:w w:val="105"/>
        </w:rPr>
        <w:t> </w:t>
      </w:r>
      <w:r>
        <w:rPr>
          <w:color w:val="231F20"/>
          <w:w w:val="105"/>
        </w:rPr>
        <w:t>sector</w:t>
      </w:r>
      <w:r>
        <w:rPr>
          <w:color w:val="231F20"/>
          <w:spacing w:val="-15"/>
          <w:w w:val="105"/>
        </w:rPr>
        <w:t> </w:t>
      </w:r>
      <w:r>
        <w:rPr>
          <w:color w:val="231F20"/>
          <w:w w:val="105"/>
        </w:rPr>
        <w:t>por</w:t>
      </w:r>
      <w:r>
        <w:rPr>
          <w:color w:val="231F20"/>
          <w:spacing w:val="-15"/>
          <w:w w:val="105"/>
        </w:rPr>
        <w:t> </w:t>
      </w:r>
      <w:r>
        <w:rPr>
          <w:color w:val="231F20"/>
          <w:w w:val="105"/>
        </w:rPr>
        <w:t>género).</w:t>
      </w:r>
    </w:p>
    <w:p>
      <w:pPr>
        <w:pStyle w:val="ListParagraph"/>
        <w:numPr>
          <w:ilvl w:val="0"/>
          <w:numId w:val="52"/>
        </w:numPr>
        <w:tabs>
          <w:tab w:pos="917" w:val="left" w:leader="none"/>
        </w:tabs>
        <w:spacing w:line="259" w:lineRule="auto" w:before="0" w:after="0"/>
        <w:ind w:left="103" w:right="110" w:firstLine="567"/>
        <w:jc w:val="both"/>
        <w:rPr>
          <w:sz w:val="21"/>
        </w:rPr>
      </w:pPr>
      <w:r>
        <w:rPr>
          <w:color w:val="231F20"/>
          <w:w w:val="105"/>
          <w:sz w:val="21"/>
        </w:rPr>
        <w:t>Segmentación al interior del sector primario. En el sector pri- mario</w:t>
      </w:r>
      <w:r>
        <w:rPr>
          <w:color w:val="231F20"/>
          <w:spacing w:val="-6"/>
          <w:w w:val="105"/>
          <w:sz w:val="21"/>
        </w:rPr>
        <w:t> </w:t>
      </w:r>
      <w:r>
        <w:rPr>
          <w:color w:val="231F20"/>
          <w:w w:val="105"/>
          <w:sz w:val="21"/>
        </w:rPr>
        <w:t>se</w:t>
      </w:r>
      <w:r>
        <w:rPr>
          <w:color w:val="231F20"/>
          <w:spacing w:val="-6"/>
          <w:w w:val="105"/>
          <w:sz w:val="21"/>
        </w:rPr>
        <w:t> </w:t>
      </w:r>
      <w:r>
        <w:rPr>
          <w:color w:val="231F20"/>
          <w:w w:val="105"/>
          <w:sz w:val="21"/>
        </w:rPr>
        <w:t>encuentran</w:t>
      </w:r>
      <w:r>
        <w:rPr>
          <w:color w:val="231F20"/>
          <w:spacing w:val="-6"/>
          <w:w w:val="105"/>
          <w:sz w:val="21"/>
        </w:rPr>
        <w:t> </w:t>
      </w:r>
      <w:r>
        <w:rPr>
          <w:color w:val="231F20"/>
          <w:w w:val="105"/>
          <w:sz w:val="21"/>
        </w:rPr>
        <w:t>los</w:t>
      </w:r>
      <w:r>
        <w:rPr>
          <w:color w:val="231F20"/>
          <w:spacing w:val="-6"/>
          <w:w w:val="105"/>
          <w:sz w:val="21"/>
        </w:rPr>
        <w:t> </w:t>
      </w:r>
      <w:r>
        <w:rPr>
          <w:color w:val="231F20"/>
          <w:w w:val="105"/>
          <w:sz w:val="21"/>
        </w:rPr>
        <w:t>empleos</w:t>
      </w:r>
      <w:r>
        <w:rPr>
          <w:color w:val="231F20"/>
          <w:spacing w:val="-6"/>
          <w:w w:val="105"/>
          <w:sz w:val="21"/>
        </w:rPr>
        <w:t> </w:t>
      </w:r>
      <w:r>
        <w:rPr>
          <w:color w:val="231F20"/>
          <w:w w:val="105"/>
          <w:sz w:val="21"/>
        </w:rPr>
        <w:t>subordinados</w:t>
      </w:r>
      <w:r>
        <w:rPr>
          <w:color w:val="231F20"/>
          <w:spacing w:val="-6"/>
          <w:w w:val="105"/>
          <w:sz w:val="21"/>
        </w:rPr>
        <w:t> </w:t>
      </w:r>
      <w:r>
        <w:rPr>
          <w:color w:val="231F20"/>
          <w:w w:val="105"/>
          <w:sz w:val="21"/>
        </w:rPr>
        <w:t>y</w:t>
      </w:r>
      <w:r>
        <w:rPr>
          <w:color w:val="231F20"/>
          <w:spacing w:val="-6"/>
          <w:w w:val="105"/>
          <w:sz w:val="21"/>
        </w:rPr>
        <w:t> </w:t>
      </w:r>
      <w:r>
        <w:rPr>
          <w:color w:val="231F20"/>
          <w:w w:val="105"/>
          <w:sz w:val="21"/>
        </w:rPr>
        <w:t>los</w:t>
      </w:r>
      <w:r>
        <w:rPr>
          <w:color w:val="231F20"/>
          <w:spacing w:val="-6"/>
          <w:w w:val="105"/>
          <w:sz w:val="21"/>
        </w:rPr>
        <w:t> </w:t>
      </w:r>
      <w:r>
        <w:rPr>
          <w:color w:val="231F20"/>
          <w:w w:val="105"/>
          <w:sz w:val="21"/>
        </w:rPr>
        <w:t>empleos</w:t>
      </w:r>
      <w:r>
        <w:rPr>
          <w:color w:val="231F20"/>
          <w:spacing w:val="-6"/>
          <w:w w:val="105"/>
          <w:sz w:val="21"/>
        </w:rPr>
        <w:t> </w:t>
      </w:r>
      <w:r>
        <w:rPr>
          <w:color w:val="231F20"/>
          <w:w w:val="105"/>
          <w:sz w:val="21"/>
        </w:rPr>
        <w:t>indepen- dientes.</w:t>
      </w:r>
      <w:r>
        <w:rPr>
          <w:color w:val="231F20"/>
          <w:spacing w:val="-14"/>
          <w:w w:val="105"/>
          <w:sz w:val="21"/>
        </w:rPr>
        <w:t> </w:t>
      </w:r>
      <w:r>
        <w:rPr>
          <w:color w:val="231F20"/>
          <w:w w:val="105"/>
          <w:sz w:val="21"/>
        </w:rPr>
        <w:t>Los</w:t>
      </w:r>
      <w:r>
        <w:rPr>
          <w:color w:val="231F20"/>
          <w:spacing w:val="-9"/>
          <w:w w:val="105"/>
          <w:sz w:val="21"/>
        </w:rPr>
        <w:t> </w:t>
      </w:r>
      <w:r>
        <w:rPr>
          <w:color w:val="231F20"/>
          <w:w w:val="105"/>
          <w:sz w:val="21"/>
        </w:rPr>
        <w:t>primeros</w:t>
      </w:r>
      <w:r>
        <w:rPr>
          <w:color w:val="231F20"/>
          <w:spacing w:val="-9"/>
          <w:w w:val="105"/>
          <w:sz w:val="21"/>
        </w:rPr>
        <w:t> </w:t>
      </w:r>
      <w:r>
        <w:rPr>
          <w:color w:val="231F20"/>
          <w:w w:val="105"/>
          <w:sz w:val="21"/>
        </w:rPr>
        <w:t>son</w:t>
      </w:r>
      <w:r>
        <w:rPr>
          <w:color w:val="231F20"/>
          <w:spacing w:val="-9"/>
          <w:w w:val="105"/>
          <w:sz w:val="21"/>
        </w:rPr>
        <w:t> </w:t>
      </w:r>
      <w:r>
        <w:rPr>
          <w:color w:val="231F20"/>
          <w:w w:val="105"/>
          <w:sz w:val="21"/>
        </w:rPr>
        <w:t>rutinarios</w:t>
      </w:r>
      <w:r>
        <w:rPr>
          <w:color w:val="231F20"/>
          <w:spacing w:val="-9"/>
          <w:w w:val="105"/>
          <w:sz w:val="21"/>
        </w:rPr>
        <w:t> </w:t>
      </w:r>
      <w:r>
        <w:rPr>
          <w:color w:val="231F20"/>
          <w:w w:val="105"/>
          <w:sz w:val="21"/>
        </w:rPr>
        <w:t>y</w:t>
      </w:r>
      <w:r>
        <w:rPr>
          <w:color w:val="231F20"/>
          <w:spacing w:val="-9"/>
          <w:w w:val="105"/>
          <w:sz w:val="21"/>
        </w:rPr>
        <w:t> </w:t>
      </w:r>
      <w:r>
        <w:rPr>
          <w:color w:val="231F20"/>
          <w:w w:val="105"/>
          <w:sz w:val="21"/>
        </w:rPr>
        <w:t>promueven</w:t>
      </w:r>
      <w:r>
        <w:rPr>
          <w:color w:val="231F20"/>
          <w:spacing w:val="-9"/>
          <w:w w:val="105"/>
          <w:sz w:val="21"/>
        </w:rPr>
        <w:t> </w:t>
      </w:r>
      <w:r>
        <w:rPr>
          <w:color w:val="231F20"/>
          <w:w w:val="105"/>
          <w:sz w:val="21"/>
        </w:rPr>
        <w:t>características</w:t>
      </w:r>
      <w:r>
        <w:rPr>
          <w:color w:val="231F20"/>
          <w:spacing w:val="-9"/>
          <w:w w:val="105"/>
          <w:sz w:val="21"/>
        </w:rPr>
        <w:t> </w:t>
      </w:r>
      <w:r>
        <w:rPr>
          <w:color w:val="231F20"/>
          <w:w w:val="105"/>
          <w:sz w:val="21"/>
        </w:rPr>
        <w:t>de</w:t>
      </w:r>
      <w:r>
        <w:rPr>
          <w:color w:val="231F20"/>
          <w:spacing w:val="-9"/>
          <w:w w:val="105"/>
          <w:sz w:val="21"/>
        </w:rPr>
        <w:t> </w:t>
      </w:r>
      <w:r>
        <w:rPr>
          <w:color w:val="231F20"/>
          <w:w w:val="105"/>
          <w:sz w:val="21"/>
        </w:rPr>
        <w:t>de- pendencia, disciplina, respeto a las reglas y obediencia a la autoridad (Reich,</w:t>
      </w:r>
      <w:r>
        <w:rPr>
          <w:color w:val="231F20"/>
          <w:spacing w:val="-29"/>
          <w:w w:val="105"/>
          <w:sz w:val="21"/>
        </w:rPr>
        <w:t> </w:t>
      </w:r>
      <w:r>
        <w:rPr>
          <w:color w:val="231F20"/>
          <w:w w:val="105"/>
          <w:sz w:val="21"/>
        </w:rPr>
        <w:t>Gordon</w:t>
      </w:r>
      <w:r>
        <w:rPr>
          <w:color w:val="231F20"/>
          <w:spacing w:val="-25"/>
          <w:w w:val="105"/>
          <w:sz w:val="21"/>
        </w:rPr>
        <w:t> </w:t>
      </w:r>
      <w:r>
        <w:rPr>
          <w:color w:val="231F20"/>
          <w:w w:val="105"/>
          <w:sz w:val="21"/>
        </w:rPr>
        <w:t>y</w:t>
      </w:r>
      <w:r>
        <w:rPr>
          <w:color w:val="231F20"/>
          <w:spacing w:val="-25"/>
          <w:w w:val="105"/>
          <w:sz w:val="21"/>
        </w:rPr>
        <w:t> </w:t>
      </w:r>
      <w:r>
        <w:rPr>
          <w:color w:val="231F20"/>
          <w:w w:val="105"/>
          <w:sz w:val="21"/>
        </w:rPr>
        <w:t>Edwards,</w:t>
      </w:r>
      <w:r>
        <w:rPr>
          <w:color w:val="231F20"/>
          <w:spacing w:val="-29"/>
          <w:w w:val="105"/>
          <w:sz w:val="21"/>
        </w:rPr>
        <w:t> </w:t>
      </w:r>
      <w:r>
        <w:rPr>
          <w:color w:val="231F20"/>
          <w:w w:val="105"/>
          <w:sz w:val="21"/>
        </w:rPr>
        <w:t>1973)</w:t>
      </w:r>
      <w:r>
        <w:rPr>
          <w:color w:val="231F20"/>
          <w:spacing w:val="-25"/>
          <w:w w:val="105"/>
          <w:sz w:val="21"/>
        </w:rPr>
        <w:t> </w:t>
      </w:r>
      <w:r>
        <w:rPr>
          <w:color w:val="231F20"/>
          <w:w w:val="105"/>
          <w:sz w:val="21"/>
        </w:rPr>
        <w:t>y</w:t>
      </w:r>
      <w:r>
        <w:rPr>
          <w:color w:val="231F20"/>
          <w:spacing w:val="-25"/>
          <w:w w:val="105"/>
          <w:sz w:val="21"/>
        </w:rPr>
        <w:t> </w:t>
      </w:r>
      <w:r>
        <w:rPr>
          <w:color w:val="231F20"/>
          <w:w w:val="105"/>
          <w:sz w:val="21"/>
        </w:rPr>
        <w:t>sólo</w:t>
      </w:r>
      <w:r>
        <w:rPr>
          <w:color w:val="231F20"/>
          <w:spacing w:val="-25"/>
          <w:w w:val="105"/>
          <w:sz w:val="21"/>
        </w:rPr>
        <w:t> </w:t>
      </w:r>
      <w:r>
        <w:rPr>
          <w:color w:val="231F20"/>
          <w:w w:val="105"/>
          <w:sz w:val="21"/>
        </w:rPr>
        <w:t>existen</w:t>
      </w:r>
      <w:r>
        <w:rPr>
          <w:color w:val="231F20"/>
          <w:spacing w:val="-25"/>
          <w:w w:val="105"/>
          <w:sz w:val="21"/>
        </w:rPr>
        <w:t> </w:t>
      </w:r>
      <w:r>
        <w:rPr>
          <w:color w:val="231F20"/>
          <w:w w:val="105"/>
          <w:sz w:val="21"/>
        </w:rPr>
        <w:t>en</w:t>
      </w:r>
      <w:r>
        <w:rPr>
          <w:color w:val="231F20"/>
          <w:spacing w:val="-25"/>
          <w:w w:val="105"/>
          <w:sz w:val="21"/>
        </w:rPr>
        <w:t> </w:t>
      </w:r>
      <w:r>
        <w:rPr>
          <w:color w:val="231F20"/>
          <w:w w:val="105"/>
          <w:sz w:val="21"/>
        </w:rPr>
        <w:t>los</w:t>
      </w:r>
      <w:r>
        <w:rPr>
          <w:color w:val="231F20"/>
          <w:spacing w:val="-25"/>
          <w:w w:val="105"/>
          <w:sz w:val="21"/>
        </w:rPr>
        <w:t> </w:t>
      </w:r>
      <w:r>
        <w:rPr>
          <w:color w:val="231F20"/>
          <w:w w:val="105"/>
          <w:sz w:val="21"/>
        </w:rPr>
        <w:t>mercados</w:t>
      </w:r>
      <w:r>
        <w:rPr>
          <w:color w:val="231F20"/>
          <w:spacing w:val="-25"/>
          <w:w w:val="105"/>
          <w:sz w:val="21"/>
        </w:rPr>
        <w:t> </w:t>
      </w:r>
      <w:r>
        <w:rPr>
          <w:color w:val="231F20"/>
          <w:w w:val="105"/>
          <w:sz w:val="21"/>
        </w:rPr>
        <w:t>internos de trabajo </w:t>
      </w:r>
      <w:r>
        <w:rPr>
          <w:color w:val="231F20"/>
          <w:spacing w:val="-3"/>
          <w:w w:val="105"/>
          <w:sz w:val="21"/>
        </w:rPr>
        <w:t>(Peck, </w:t>
      </w:r>
      <w:r>
        <w:rPr>
          <w:color w:val="231F20"/>
          <w:w w:val="105"/>
          <w:sz w:val="21"/>
        </w:rPr>
        <w:t>1996). De este modo, el modelo dual de Doeringer y Piore</w:t>
      </w:r>
      <w:r>
        <w:rPr>
          <w:color w:val="231F20"/>
          <w:spacing w:val="-26"/>
          <w:w w:val="105"/>
          <w:sz w:val="21"/>
        </w:rPr>
        <w:t> </w:t>
      </w:r>
      <w:r>
        <w:rPr>
          <w:color w:val="231F20"/>
          <w:w w:val="105"/>
          <w:sz w:val="21"/>
        </w:rPr>
        <w:t>(1971)</w:t>
      </w:r>
      <w:r>
        <w:rPr>
          <w:color w:val="231F20"/>
          <w:spacing w:val="-26"/>
          <w:w w:val="105"/>
          <w:sz w:val="21"/>
        </w:rPr>
        <w:t> </w:t>
      </w:r>
      <w:r>
        <w:rPr>
          <w:color w:val="231F20"/>
          <w:w w:val="105"/>
          <w:sz w:val="21"/>
        </w:rPr>
        <w:t>cambia</w:t>
      </w:r>
      <w:r>
        <w:rPr>
          <w:color w:val="231F20"/>
          <w:spacing w:val="-26"/>
          <w:w w:val="105"/>
          <w:sz w:val="21"/>
        </w:rPr>
        <w:t> </w:t>
      </w:r>
      <w:r>
        <w:rPr>
          <w:color w:val="231F20"/>
          <w:w w:val="105"/>
          <w:sz w:val="21"/>
        </w:rPr>
        <w:t>a</w:t>
      </w:r>
      <w:r>
        <w:rPr>
          <w:color w:val="231F20"/>
          <w:spacing w:val="-26"/>
          <w:w w:val="105"/>
          <w:sz w:val="21"/>
        </w:rPr>
        <w:t> </w:t>
      </w:r>
      <w:r>
        <w:rPr>
          <w:color w:val="231F20"/>
          <w:w w:val="105"/>
          <w:sz w:val="21"/>
        </w:rPr>
        <w:t>otro</w:t>
      </w:r>
      <w:r>
        <w:rPr>
          <w:color w:val="231F20"/>
          <w:spacing w:val="-26"/>
          <w:w w:val="105"/>
          <w:sz w:val="21"/>
        </w:rPr>
        <w:t> </w:t>
      </w:r>
      <w:r>
        <w:rPr>
          <w:color w:val="231F20"/>
          <w:w w:val="105"/>
          <w:sz w:val="21"/>
        </w:rPr>
        <w:t>nivel</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análisis:</w:t>
      </w:r>
      <w:r>
        <w:rPr>
          <w:color w:val="231F20"/>
          <w:spacing w:val="-26"/>
          <w:w w:val="105"/>
          <w:sz w:val="21"/>
        </w:rPr>
        <w:t> </w:t>
      </w:r>
      <w:r>
        <w:rPr>
          <w:color w:val="231F20"/>
          <w:w w:val="105"/>
          <w:sz w:val="21"/>
        </w:rPr>
        <w:t>es</w:t>
      </w:r>
      <w:r>
        <w:rPr>
          <w:color w:val="231F20"/>
          <w:spacing w:val="-26"/>
          <w:w w:val="105"/>
          <w:sz w:val="21"/>
        </w:rPr>
        <w:t> </w:t>
      </w:r>
      <w:r>
        <w:rPr>
          <w:color w:val="231F20"/>
          <w:w w:val="105"/>
          <w:sz w:val="21"/>
        </w:rPr>
        <w:t>considerado</w:t>
      </w:r>
      <w:r>
        <w:rPr>
          <w:color w:val="231F20"/>
          <w:spacing w:val="-26"/>
          <w:w w:val="105"/>
          <w:sz w:val="21"/>
        </w:rPr>
        <w:t> </w:t>
      </w:r>
      <w:r>
        <w:rPr>
          <w:color w:val="231F20"/>
          <w:w w:val="105"/>
          <w:sz w:val="21"/>
        </w:rPr>
        <w:t>al</w:t>
      </w:r>
      <w:r>
        <w:rPr>
          <w:color w:val="231F20"/>
          <w:spacing w:val="-26"/>
          <w:w w:val="105"/>
          <w:sz w:val="21"/>
        </w:rPr>
        <w:t> </w:t>
      </w:r>
      <w:r>
        <w:rPr>
          <w:color w:val="231F20"/>
          <w:w w:val="105"/>
          <w:sz w:val="21"/>
        </w:rPr>
        <w:t>nivel</w:t>
      </w:r>
      <w:r>
        <w:rPr>
          <w:color w:val="231F20"/>
          <w:spacing w:val="-26"/>
          <w:w w:val="105"/>
          <w:sz w:val="21"/>
        </w:rPr>
        <w:t> </w:t>
      </w:r>
      <w:r>
        <w:rPr>
          <w:color w:val="231F20"/>
          <w:w w:val="105"/>
          <w:sz w:val="21"/>
        </w:rPr>
        <w:t>de</w:t>
      </w:r>
      <w:r>
        <w:rPr>
          <w:color w:val="231F20"/>
          <w:spacing w:val="-26"/>
          <w:w w:val="105"/>
          <w:sz w:val="21"/>
        </w:rPr>
        <w:t> </w:t>
      </w:r>
      <w:r>
        <w:rPr>
          <w:color w:val="231F20"/>
          <w:w w:val="105"/>
          <w:sz w:val="21"/>
        </w:rPr>
        <w:t>las relaciones institucionales que operan al interior de la producción</w:t>
      </w:r>
      <w:r>
        <w:rPr>
          <w:color w:val="231F20"/>
          <w:spacing w:val="-26"/>
          <w:w w:val="105"/>
          <w:sz w:val="21"/>
        </w:rPr>
        <w:t> </w:t>
      </w:r>
      <w:r>
        <w:rPr>
          <w:color w:val="231F20"/>
          <w:spacing w:val="-3"/>
          <w:w w:val="105"/>
          <w:sz w:val="21"/>
        </w:rPr>
        <w:t>(Peck, </w:t>
      </w:r>
      <w:r>
        <w:rPr>
          <w:color w:val="231F20"/>
          <w:w w:val="105"/>
          <w:sz w:val="21"/>
        </w:rPr>
        <w:t>1996).</w:t>
      </w:r>
      <w:r>
        <w:rPr>
          <w:color w:val="231F20"/>
          <w:spacing w:val="-32"/>
          <w:w w:val="105"/>
          <w:sz w:val="21"/>
        </w:rPr>
        <w:t> </w:t>
      </w:r>
      <w:r>
        <w:rPr>
          <w:color w:val="231F20"/>
          <w:w w:val="105"/>
          <w:sz w:val="21"/>
        </w:rPr>
        <w:t>Los</w:t>
      </w:r>
      <w:r>
        <w:rPr>
          <w:color w:val="231F20"/>
          <w:spacing w:val="-28"/>
          <w:w w:val="105"/>
          <w:sz w:val="21"/>
        </w:rPr>
        <w:t> </w:t>
      </w:r>
      <w:r>
        <w:rPr>
          <w:color w:val="231F20"/>
          <w:w w:val="105"/>
          <w:sz w:val="21"/>
        </w:rPr>
        <w:t>trabajos</w:t>
      </w:r>
      <w:r>
        <w:rPr>
          <w:color w:val="231F20"/>
          <w:spacing w:val="-28"/>
          <w:w w:val="105"/>
          <w:sz w:val="21"/>
        </w:rPr>
        <w:t> </w:t>
      </w:r>
      <w:r>
        <w:rPr>
          <w:color w:val="231F20"/>
          <w:w w:val="105"/>
          <w:sz w:val="21"/>
        </w:rPr>
        <w:t>operativos</w:t>
      </w:r>
      <w:r>
        <w:rPr>
          <w:color w:val="231F20"/>
          <w:spacing w:val="-28"/>
          <w:w w:val="105"/>
          <w:sz w:val="21"/>
        </w:rPr>
        <w:t> </w:t>
      </w:r>
      <w:r>
        <w:rPr>
          <w:color w:val="231F20"/>
          <w:w w:val="105"/>
          <w:sz w:val="21"/>
        </w:rPr>
        <w:t>y</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oficina</w:t>
      </w:r>
      <w:r>
        <w:rPr>
          <w:color w:val="231F20"/>
          <w:spacing w:val="-28"/>
          <w:w w:val="105"/>
          <w:sz w:val="21"/>
        </w:rPr>
        <w:t> </w:t>
      </w:r>
      <w:r>
        <w:rPr>
          <w:color w:val="231F20"/>
          <w:w w:val="105"/>
          <w:sz w:val="21"/>
        </w:rPr>
        <w:t>se</w:t>
      </w:r>
      <w:r>
        <w:rPr>
          <w:color w:val="231F20"/>
          <w:spacing w:val="-28"/>
          <w:w w:val="105"/>
          <w:sz w:val="21"/>
        </w:rPr>
        <w:t> </w:t>
      </w:r>
      <w:r>
        <w:rPr>
          <w:color w:val="231F20"/>
          <w:w w:val="105"/>
          <w:sz w:val="21"/>
        </w:rPr>
        <w:t>clasifican</w:t>
      </w:r>
      <w:r>
        <w:rPr>
          <w:color w:val="231F20"/>
          <w:spacing w:val="-28"/>
          <w:w w:val="105"/>
          <w:sz w:val="21"/>
        </w:rPr>
        <w:t> </w:t>
      </w:r>
      <w:r>
        <w:rPr>
          <w:color w:val="231F20"/>
          <w:w w:val="105"/>
          <w:sz w:val="21"/>
        </w:rPr>
        <w:t>en</w:t>
      </w:r>
      <w:r>
        <w:rPr>
          <w:color w:val="231F20"/>
          <w:spacing w:val="-28"/>
          <w:w w:val="105"/>
          <w:sz w:val="21"/>
        </w:rPr>
        <w:t> </w:t>
      </w:r>
      <w:r>
        <w:rPr>
          <w:color w:val="231F20"/>
          <w:w w:val="105"/>
          <w:sz w:val="21"/>
        </w:rPr>
        <w:t>este</w:t>
      </w:r>
      <w:r>
        <w:rPr>
          <w:color w:val="231F20"/>
          <w:spacing w:val="-28"/>
          <w:w w:val="105"/>
          <w:sz w:val="21"/>
        </w:rPr>
        <w:t> </w:t>
      </w:r>
      <w:r>
        <w:rPr>
          <w:color w:val="231F20"/>
          <w:w w:val="105"/>
          <w:sz w:val="21"/>
        </w:rPr>
        <w:t>segmento (Reich,</w:t>
      </w:r>
      <w:r>
        <w:rPr>
          <w:color w:val="231F20"/>
          <w:spacing w:val="-43"/>
          <w:w w:val="105"/>
          <w:sz w:val="21"/>
        </w:rPr>
        <w:t> </w:t>
      </w:r>
      <w:r>
        <w:rPr>
          <w:color w:val="231F20"/>
          <w:w w:val="105"/>
          <w:sz w:val="21"/>
        </w:rPr>
        <w:t>Gordon</w:t>
      </w:r>
      <w:r>
        <w:rPr>
          <w:color w:val="231F20"/>
          <w:spacing w:val="-40"/>
          <w:w w:val="105"/>
          <w:sz w:val="21"/>
        </w:rPr>
        <w:t> </w:t>
      </w:r>
      <w:r>
        <w:rPr>
          <w:color w:val="231F20"/>
          <w:w w:val="105"/>
          <w:sz w:val="21"/>
        </w:rPr>
        <w:t>y</w:t>
      </w:r>
      <w:r>
        <w:rPr>
          <w:color w:val="231F20"/>
          <w:spacing w:val="-40"/>
          <w:w w:val="105"/>
          <w:sz w:val="21"/>
        </w:rPr>
        <w:t> </w:t>
      </w:r>
      <w:r>
        <w:rPr>
          <w:color w:val="231F20"/>
          <w:w w:val="105"/>
          <w:sz w:val="21"/>
        </w:rPr>
        <w:t>Edwards,</w:t>
      </w:r>
      <w:r>
        <w:rPr>
          <w:color w:val="231F20"/>
          <w:spacing w:val="-43"/>
          <w:w w:val="105"/>
          <w:sz w:val="21"/>
        </w:rPr>
        <w:t> </w:t>
      </w:r>
      <w:r>
        <w:rPr>
          <w:color w:val="231F20"/>
          <w:w w:val="105"/>
          <w:sz w:val="21"/>
        </w:rPr>
        <w:t>1973).</w:t>
      </w:r>
    </w:p>
    <w:p>
      <w:pPr>
        <w:pStyle w:val="BodyText"/>
        <w:spacing w:line="259" w:lineRule="auto"/>
        <w:ind w:left="103" w:right="108" w:firstLine="567"/>
        <w:jc w:val="both"/>
      </w:pPr>
      <w:r>
        <w:rPr>
          <w:color w:val="231F20"/>
          <w:w w:val="105"/>
        </w:rPr>
        <w:t>En contraste, los empleos independientes fomentan y requieren creatividad,</w:t>
      </w:r>
      <w:r>
        <w:rPr>
          <w:color w:val="231F20"/>
          <w:spacing w:val="-26"/>
          <w:w w:val="105"/>
        </w:rPr>
        <w:t> </w:t>
      </w:r>
      <w:r>
        <w:rPr>
          <w:color w:val="231F20"/>
          <w:w w:val="105"/>
        </w:rPr>
        <w:t>resolución</w:t>
      </w:r>
      <w:r>
        <w:rPr>
          <w:color w:val="231F20"/>
          <w:spacing w:val="-20"/>
          <w:w w:val="105"/>
        </w:rPr>
        <w:t> </w:t>
      </w:r>
      <w:r>
        <w:rPr>
          <w:color w:val="231F20"/>
          <w:w w:val="105"/>
        </w:rPr>
        <w:t>de</w:t>
      </w:r>
      <w:r>
        <w:rPr>
          <w:color w:val="231F20"/>
          <w:spacing w:val="-20"/>
          <w:w w:val="105"/>
        </w:rPr>
        <w:t> </w:t>
      </w:r>
      <w:r>
        <w:rPr>
          <w:color w:val="231F20"/>
          <w:w w:val="105"/>
        </w:rPr>
        <w:t>problemas,</w:t>
      </w:r>
      <w:r>
        <w:rPr>
          <w:color w:val="231F20"/>
          <w:spacing w:val="-26"/>
          <w:w w:val="105"/>
        </w:rPr>
        <w:t> </w:t>
      </w:r>
      <w:r>
        <w:rPr>
          <w:color w:val="231F20"/>
          <w:w w:val="105"/>
        </w:rPr>
        <w:t>iniciativa</w:t>
      </w:r>
      <w:r>
        <w:rPr>
          <w:color w:val="231F20"/>
          <w:spacing w:val="-20"/>
          <w:w w:val="105"/>
        </w:rPr>
        <w:t> </w:t>
      </w:r>
      <w:r>
        <w:rPr>
          <w:color w:val="231F20"/>
          <w:w w:val="105"/>
        </w:rPr>
        <w:t>y</w:t>
      </w:r>
      <w:r>
        <w:rPr>
          <w:color w:val="231F20"/>
          <w:spacing w:val="-20"/>
          <w:w w:val="105"/>
        </w:rPr>
        <w:t> </w:t>
      </w:r>
      <w:r>
        <w:rPr>
          <w:color w:val="231F20"/>
          <w:w w:val="105"/>
        </w:rPr>
        <w:t>un</w:t>
      </w:r>
      <w:r>
        <w:rPr>
          <w:color w:val="231F20"/>
          <w:spacing w:val="-20"/>
          <w:w w:val="105"/>
        </w:rPr>
        <w:t> </w:t>
      </w:r>
      <w:r>
        <w:rPr>
          <w:color w:val="231F20"/>
          <w:w w:val="105"/>
        </w:rPr>
        <w:t>estándar</w:t>
      </w:r>
      <w:r>
        <w:rPr>
          <w:color w:val="231F20"/>
          <w:spacing w:val="-20"/>
          <w:w w:val="105"/>
        </w:rPr>
        <w:t> </w:t>
      </w:r>
      <w:r>
        <w:rPr>
          <w:color w:val="231F20"/>
          <w:w w:val="105"/>
        </w:rPr>
        <w:t>elevado</w:t>
      </w:r>
      <w:r>
        <w:rPr>
          <w:color w:val="231F20"/>
          <w:spacing w:val="-20"/>
          <w:w w:val="105"/>
        </w:rPr>
        <w:t> </w:t>
      </w:r>
      <w:r>
        <w:rPr>
          <w:color w:val="231F20"/>
          <w:w w:val="105"/>
        </w:rPr>
        <w:t>de profesionalismo</w:t>
      </w:r>
      <w:r>
        <w:rPr>
          <w:color w:val="231F20"/>
          <w:spacing w:val="-11"/>
          <w:w w:val="105"/>
        </w:rPr>
        <w:t> </w:t>
      </w:r>
      <w:r>
        <w:rPr>
          <w:color w:val="231F20"/>
          <w:w w:val="105"/>
        </w:rPr>
        <w:t>para</w:t>
      </w:r>
      <w:r>
        <w:rPr>
          <w:color w:val="231F20"/>
          <w:spacing w:val="-11"/>
          <w:w w:val="105"/>
        </w:rPr>
        <w:t> </w:t>
      </w:r>
      <w:r>
        <w:rPr>
          <w:color w:val="231F20"/>
          <w:w w:val="105"/>
        </w:rPr>
        <w:t>desempeñar</w:t>
      </w:r>
      <w:r>
        <w:rPr>
          <w:color w:val="231F20"/>
          <w:spacing w:val="-11"/>
          <w:w w:val="105"/>
        </w:rPr>
        <w:t> </w:t>
      </w:r>
      <w:r>
        <w:rPr>
          <w:color w:val="231F20"/>
          <w:w w:val="105"/>
        </w:rPr>
        <w:t>el</w:t>
      </w:r>
      <w:r>
        <w:rPr>
          <w:color w:val="231F20"/>
          <w:spacing w:val="-11"/>
          <w:w w:val="105"/>
        </w:rPr>
        <w:t> </w:t>
      </w:r>
      <w:r>
        <w:rPr>
          <w:color w:val="231F20"/>
          <w:w w:val="105"/>
        </w:rPr>
        <w:t>trabajo</w:t>
      </w:r>
      <w:r>
        <w:rPr>
          <w:color w:val="231F20"/>
          <w:spacing w:val="-11"/>
          <w:w w:val="105"/>
        </w:rPr>
        <w:t> </w:t>
      </w:r>
      <w:r>
        <w:rPr>
          <w:color w:val="231F20"/>
          <w:w w:val="105"/>
        </w:rPr>
        <w:t>(Reich,</w:t>
      </w:r>
      <w:r>
        <w:rPr>
          <w:color w:val="231F20"/>
          <w:spacing w:val="-16"/>
          <w:w w:val="105"/>
        </w:rPr>
        <w:t> </w:t>
      </w:r>
      <w:r>
        <w:rPr>
          <w:color w:val="231F20"/>
          <w:w w:val="105"/>
        </w:rPr>
        <w:t>Gordon</w:t>
      </w:r>
      <w:r>
        <w:rPr>
          <w:color w:val="231F20"/>
          <w:spacing w:val="-11"/>
          <w:w w:val="105"/>
        </w:rPr>
        <w:t> </w:t>
      </w:r>
      <w:r>
        <w:rPr>
          <w:color w:val="231F20"/>
          <w:w w:val="105"/>
        </w:rPr>
        <w:t>y</w:t>
      </w:r>
      <w:r>
        <w:rPr>
          <w:color w:val="231F20"/>
          <w:spacing w:val="-11"/>
          <w:w w:val="105"/>
        </w:rPr>
        <w:t> </w:t>
      </w:r>
      <w:r>
        <w:rPr>
          <w:color w:val="231F20"/>
          <w:w w:val="105"/>
        </w:rPr>
        <w:t>Edwards, 1973).</w:t>
      </w:r>
      <w:r>
        <w:rPr>
          <w:color w:val="231F20"/>
          <w:spacing w:val="-39"/>
          <w:w w:val="105"/>
        </w:rPr>
        <w:t> </w:t>
      </w:r>
      <w:r>
        <w:rPr>
          <w:color w:val="231F20"/>
          <w:w w:val="105"/>
        </w:rPr>
        <w:t>La</w:t>
      </w:r>
      <w:r>
        <w:rPr>
          <w:color w:val="231F20"/>
          <w:spacing w:val="-34"/>
          <w:w w:val="105"/>
        </w:rPr>
        <w:t> </w:t>
      </w:r>
      <w:r>
        <w:rPr>
          <w:color w:val="231F20"/>
          <w:w w:val="105"/>
        </w:rPr>
        <w:t>rotación</w:t>
      </w:r>
      <w:r>
        <w:rPr>
          <w:color w:val="231F20"/>
          <w:spacing w:val="-34"/>
          <w:w w:val="105"/>
        </w:rPr>
        <w:t> </w:t>
      </w:r>
      <w:r>
        <w:rPr>
          <w:color w:val="231F20"/>
          <w:w w:val="105"/>
        </w:rPr>
        <w:t>voluntaria</w:t>
      </w:r>
      <w:r>
        <w:rPr>
          <w:color w:val="231F20"/>
          <w:spacing w:val="-34"/>
          <w:w w:val="105"/>
        </w:rPr>
        <w:t> </w:t>
      </w:r>
      <w:r>
        <w:rPr>
          <w:color w:val="231F20"/>
          <w:w w:val="105"/>
        </w:rPr>
        <w:t>es</w:t>
      </w:r>
      <w:r>
        <w:rPr>
          <w:color w:val="231F20"/>
          <w:spacing w:val="-34"/>
          <w:w w:val="105"/>
        </w:rPr>
        <w:t> </w:t>
      </w:r>
      <w:r>
        <w:rPr>
          <w:color w:val="231F20"/>
          <w:w w:val="105"/>
        </w:rPr>
        <w:t>alta,</w:t>
      </w:r>
      <w:r>
        <w:rPr>
          <w:color w:val="231F20"/>
          <w:spacing w:val="-39"/>
          <w:w w:val="105"/>
        </w:rPr>
        <w:t> </w:t>
      </w:r>
      <w:r>
        <w:rPr>
          <w:color w:val="231F20"/>
          <w:w w:val="105"/>
        </w:rPr>
        <w:t>lo</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traduce</w:t>
      </w:r>
      <w:r>
        <w:rPr>
          <w:color w:val="231F20"/>
          <w:spacing w:val="-34"/>
          <w:w w:val="105"/>
        </w:rPr>
        <w:t> </w:t>
      </w:r>
      <w:r>
        <w:rPr>
          <w:color w:val="231F20"/>
          <w:w w:val="105"/>
        </w:rPr>
        <w:t>en</w:t>
      </w:r>
      <w:r>
        <w:rPr>
          <w:color w:val="231F20"/>
          <w:spacing w:val="-34"/>
          <w:w w:val="105"/>
        </w:rPr>
        <w:t> </w:t>
      </w:r>
      <w:r>
        <w:rPr>
          <w:color w:val="231F20"/>
          <w:w w:val="105"/>
        </w:rPr>
        <w:t>que</w:t>
      </w:r>
      <w:r>
        <w:rPr>
          <w:color w:val="231F20"/>
          <w:spacing w:val="-34"/>
          <w:w w:val="105"/>
        </w:rPr>
        <w:t> </w:t>
      </w:r>
      <w:r>
        <w:rPr>
          <w:color w:val="231F20"/>
          <w:w w:val="105"/>
        </w:rPr>
        <w:t>las</w:t>
      </w:r>
      <w:r>
        <w:rPr>
          <w:color w:val="231F20"/>
          <w:spacing w:val="-34"/>
          <w:w w:val="105"/>
        </w:rPr>
        <w:t> </w:t>
      </w:r>
      <w:r>
        <w:rPr>
          <w:color w:val="231F20"/>
          <w:w w:val="105"/>
        </w:rPr>
        <w:t>personas buscan</w:t>
      </w:r>
      <w:r>
        <w:rPr>
          <w:color w:val="231F20"/>
          <w:spacing w:val="-10"/>
          <w:w w:val="105"/>
        </w:rPr>
        <w:t> </w:t>
      </w:r>
      <w:r>
        <w:rPr>
          <w:color w:val="231F20"/>
          <w:w w:val="105"/>
        </w:rPr>
        <w:t>y</w:t>
      </w:r>
      <w:r>
        <w:rPr>
          <w:color w:val="231F20"/>
          <w:spacing w:val="-10"/>
          <w:w w:val="105"/>
        </w:rPr>
        <w:t> </w:t>
      </w:r>
      <w:r>
        <w:rPr>
          <w:color w:val="231F20"/>
          <w:w w:val="105"/>
        </w:rPr>
        <w:t>quieren</w:t>
      </w:r>
      <w:r>
        <w:rPr>
          <w:color w:val="231F20"/>
          <w:spacing w:val="-10"/>
          <w:w w:val="105"/>
        </w:rPr>
        <w:t> </w:t>
      </w:r>
      <w:r>
        <w:rPr>
          <w:color w:val="231F20"/>
          <w:w w:val="105"/>
        </w:rPr>
        <w:t>cambiar</w:t>
      </w:r>
      <w:r>
        <w:rPr>
          <w:color w:val="231F20"/>
          <w:spacing w:val="-10"/>
          <w:w w:val="105"/>
        </w:rPr>
        <w:t> </w:t>
      </w:r>
      <w:r>
        <w:rPr>
          <w:color w:val="231F20"/>
          <w:w w:val="105"/>
        </w:rPr>
        <w:t>de</w:t>
      </w:r>
      <w:r>
        <w:rPr>
          <w:color w:val="231F20"/>
          <w:spacing w:val="-10"/>
          <w:w w:val="105"/>
        </w:rPr>
        <w:t> </w:t>
      </w:r>
      <w:r>
        <w:rPr>
          <w:color w:val="231F20"/>
          <w:w w:val="105"/>
        </w:rPr>
        <w:t>empleo</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fin</w:t>
      </w:r>
      <w:r>
        <w:rPr>
          <w:color w:val="231F20"/>
          <w:spacing w:val="-10"/>
          <w:w w:val="105"/>
        </w:rPr>
        <w:t> </w:t>
      </w:r>
      <w:r>
        <w:rPr>
          <w:color w:val="231F20"/>
          <w:w w:val="105"/>
        </w:rPr>
        <w:t>de</w:t>
      </w:r>
      <w:r>
        <w:rPr>
          <w:color w:val="231F20"/>
          <w:spacing w:val="-10"/>
          <w:w w:val="105"/>
        </w:rPr>
        <w:t> </w:t>
      </w:r>
      <w:r>
        <w:rPr>
          <w:color w:val="231F20"/>
          <w:w w:val="105"/>
        </w:rPr>
        <w:t>mejorar</w:t>
      </w:r>
      <w:r>
        <w:rPr>
          <w:color w:val="231F20"/>
          <w:spacing w:val="-10"/>
          <w:w w:val="105"/>
        </w:rPr>
        <w:t> </w:t>
      </w:r>
      <w:r>
        <w:rPr>
          <w:color w:val="231F20"/>
          <w:w w:val="105"/>
        </w:rPr>
        <w:t>sus</w:t>
      </w:r>
      <w:r>
        <w:rPr>
          <w:color w:val="231F20"/>
          <w:spacing w:val="-10"/>
          <w:w w:val="105"/>
        </w:rPr>
        <w:t> </w:t>
      </w:r>
      <w:r>
        <w:rPr>
          <w:color w:val="231F20"/>
          <w:w w:val="105"/>
        </w:rPr>
        <w:t>ingresos. En este tipo de empleo la motivación es individual y el cumplimiento</w:t>
      </w:r>
      <w:r>
        <w:rPr>
          <w:color w:val="231F20"/>
          <w:spacing w:val="-40"/>
          <w:w w:val="105"/>
        </w:rPr>
        <w:t> </w:t>
      </w:r>
      <w:r>
        <w:rPr>
          <w:color w:val="231F20"/>
          <w:w w:val="105"/>
        </w:rPr>
        <w:t>de las</w:t>
      </w:r>
      <w:r>
        <w:rPr>
          <w:color w:val="231F20"/>
          <w:spacing w:val="-32"/>
          <w:w w:val="105"/>
        </w:rPr>
        <w:t> </w:t>
      </w:r>
      <w:r>
        <w:rPr>
          <w:color w:val="231F20"/>
          <w:w w:val="105"/>
        </w:rPr>
        <w:t>metas</w:t>
      </w:r>
      <w:r>
        <w:rPr>
          <w:color w:val="231F20"/>
          <w:spacing w:val="-32"/>
          <w:w w:val="105"/>
        </w:rPr>
        <w:t> </w:t>
      </w:r>
      <w:r>
        <w:rPr>
          <w:color w:val="231F20"/>
          <w:w w:val="105"/>
        </w:rPr>
        <w:t>es</w:t>
      </w:r>
      <w:r>
        <w:rPr>
          <w:color w:val="231F20"/>
          <w:spacing w:val="-32"/>
          <w:w w:val="105"/>
        </w:rPr>
        <w:t> </w:t>
      </w:r>
      <w:r>
        <w:rPr>
          <w:color w:val="231F20"/>
          <w:w w:val="105"/>
        </w:rPr>
        <w:t>altamente</w:t>
      </w:r>
      <w:r>
        <w:rPr>
          <w:color w:val="231F20"/>
          <w:spacing w:val="-32"/>
          <w:w w:val="105"/>
        </w:rPr>
        <w:t> </w:t>
      </w:r>
      <w:r>
        <w:rPr>
          <w:color w:val="231F20"/>
          <w:w w:val="105"/>
        </w:rPr>
        <w:t>recompensado</w:t>
      </w:r>
      <w:r>
        <w:rPr>
          <w:color w:val="231F20"/>
          <w:spacing w:val="-32"/>
          <w:w w:val="105"/>
        </w:rPr>
        <w:t> </w:t>
      </w:r>
      <w:r>
        <w:rPr>
          <w:color w:val="231F20"/>
          <w:w w:val="105"/>
        </w:rPr>
        <w:t>(Reich,</w:t>
      </w:r>
      <w:r>
        <w:rPr>
          <w:color w:val="231F20"/>
          <w:spacing w:val="-36"/>
          <w:w w:val="105"/>
        </w:rPr>
        <w:t> </w:t>
      </w:r>
      <w:r>
        <w:rPr>
          <w:color w:val="231F20"/>
          <w:w w:val="105"/>
        </w:rPr>
        <w:t>Gordon</w:t>
      </w:r>
      <w:r>
        <w:rPr>
          <w:color w:val="231F20"/>
          <w:spacing w:val="-32"/>
          <w:w w:val="105"/>
        </w:rPr>
        <w:t> </w:t>
      </w:r>
      <w:r>
        <w:rPr>
          <w:color w:val="231F20"/>
          <w:w w:val="105"/>
        </w:rPr>
        <w:t>y</w:t>
      </w:r>
      <w:r>
        <w:rPr>
          <w:color w:val="231F20"/>
          <w:spacing w:val="-32"/>
          <w:w w:val="105"/>
        </w:rPr>
        <w:t> </w:t>
      </w:r>
      <w:r>
        <w:rPr>
          <w:color w:val="231F20"/>
          <w:w w:val="105"/>
        </w:rPr>
        <w:t>Edwards,</w:t>
      </w:r>
      <w:r>
        <w:rPr>
          <w:color w:val="231F20"/>
          <w:spacing w:val="-36"/>
          <w:w w:val="105"/>
        </w:rPr>
        <w:t> </w:t>
      </w:r>
      <w:r>
        <w:rPr>
          <w:color w:val="231F20"/>
          <w:w w:val="105"/>
        </w:rPr>
        <w:t>1973).</w:t>
      </w:r>
    </w:p>
    <w:p>
      <w:pPr>
        <w:pStyle w:val="ListParagraph"/>
        <w:numPr>
          <w:ilvl w:val="0"/>
          <w:numId w:val="52"/>
        </w:numPr>
        <w:tabs>
          <w:tab w:pos="923" w:val="left" w:leader="none"/>
        </w:tabs>
        <w:spacing w:line="259" w:lineRule="auto" w:before="0" w:after="0"/>
        <w:ind w:left="103" w:right="114" w:firstLine="567"/>
        <w:jc w:val="both"/>
        <w:rPr>
          <w:sz w:val="21"/>
        </w:rPr>
      </w:pPr>
      <w:r>
        <w:rPr>
          <w:color w:val="231F20"/>
          <w:w w:val="105"/>
          <w:sz w:val="21"/>
        </w:rPr>
        <w:t>Segmentación</w:t>
      </w:r>
      <w:r>
        <w:rPr>
          <w:color w:val="231F20"/>
          <w:spacing w:val="-9"/>
          <w:w w:val="105"/>
          <w:sz w:val="21"/>
        </w:rPr>
        <w:t> </w:t>
      </w:r>
      <w:r>
        <w:rPr>
          <w:color w:val="231F20"/>
          <w:w w:val="105"/>
          <w:sz w:val="21"/>
        </w:rPr>
        <w:t>por</w:t>
      </w:r>
      <w:r>
        <w:rPr>
          <w:color w:val="231F20"/>
          <w:spacing w:val="-9"/>
          <w:w w:val="105"/>
          <w:sz w:val="21"/>
        </w:rPr>
        <w:t> </w:t>
      </w:r>
      <w:r>
        <w:rPr>
          <w:color w:val="231F20"/>
          <w:w w:val="105"/>
          <w:sz w:val="21"/>
        </w:rPr>
        <w:t>raza.</w:t>
      </w:r>
      <w:r>
        <w:rPr>
          <w:color w:val="231F20"/>
          <w:spacing w:val="-13"/>
          <w:w w:val="105"/>
          <w:sz w:val="21"/>
        </w:rPr>
        <w:t> </w:t>
      </w:r>
      <w:r>
        <w:rPr>
          <w:color w:val="231F20"/>
          <w:w w:val="105"/>
          <w:sz w:val="21"/>
        </w:rPr>
        <w:t>La</w:t>
      </w:r>
      <w:r>
        <w:rPr>
          <w:color w:val="231F20"/>
          <w:spacing w:val="-9"/>
          <w:w w:val="105"/>
          <w:sz w:val="21"/>
        </w:rPr>
        <w:t> </w:t>
      </w:r>
      <w:r>
        <w:rPr>
          <w:color w:val="231F20"/>
          <w:w w:val="105"/>
          <w:sz w:val="21"/>
        </w:rPr>
        <w:t>segmentación</w:t>
      </w:r>
      <w:r>
        <w:rPr>
          <w:color w:val="231F20"/>
          <w:spacing w:val="-9"/>
          <w:w w:val="105"/>
          <w:sz w:val="21"/>
        </w:rPr>
        <w:t> </w:t>
      </w:r>
      <w:r>
        <w:rPr>
          <w:color w:val="231F20"/>
          <w:w w:val="105"/>
          <w:sz w:val="21"/>
        </w:rPr>
        <w:t>por</w:t>
      </w:r>
      <w:r>
        <w:rPr>
          <w:color w:val="231F20"/>
          <w:spacing w:val="-9"/>
          <w:w w:val="105"/>
          <w:sz w:val="21"/>
        </w:rPr>
        <w:t> </w:t>
      </w:r>
      <w:r>
        <w:rPr>
          <w:color w:val="231F20"/>
          <w:w w:val="105"/>
          <w:sz w:val="21"/>
        </w:rPr>
        <w:t>raza</w:t>
      </w:r>
      <w:r>
        <w:rPr>
          <w:color w:val="231F20"/>
          <w:spacing w:val="-9"/>
          <w:w w:val="105"/>
          <w:sz w:val="21"/>
        </w:rPr>
        <w:t> </w:t>
      </w:r>
      <w:r>
        <w:rPr>
          <w:color w:val="231F20"/>
          <w:w w:val="105"/>
          <w:sz w:val="21"/>
        </w:rPr>
        <w:t>se</w:t>
      </w:r>
      <w:r>
        <w:rPr>
          <w:color w:val="231F20"/>
          <w:spacing w:val="-9"/>
          <w:w w:val="105"/>
          <w:sz w:val="21"/>
        </w:rPr>
        <w:t> </w:t>
      </w:r>
      <w:r>
        <w:rPr>
          <w:color w:val="231F20"/>
          <w:w w:val="105"/>
          <w:sz w:val="21"/>
        </w:rPr>
        <w:t>presenta como</w:t>
      </w:r>
      <w:r>
        <w:rPr>
          <w:color w:val="231F20"/>
          <w:spacing w:val="-7"/>
          <w:w w:val="105"/>
          <w:sz w:val="21"/>
        </w:rPr>
        <w:t> </w:t>
      </w:r>
      <w:r>
        <w:rPr>
          <w:color w:val="231F20"/>
          <w:w w:val="105"/>
          <w:sz w:val="21"/>
        </w:rPr>
        <w:t>una</w:t>
      </w:r>
      <w:r>
        <w:rPr>
          <w:color w:val="231F20"/>
          <w:spacing w:val="-7"/>
          <w:w w:val="105"/>
          <w:sz w:val="21"/>
        </w:rPr>
        <w:t> </w:t>
      </w:r>
      <w:r>
        <w:rPr>
          <w:color w:val="231F20"/>
          <w:w w:val="105"/>
          <w:sz w:val="21"/>
        </w:rPr>
        <w:t>característica</w:t>
      </w:r>
      <w:r>
        <w:rPr>
          <w:color w:val="231F20"/>
          <w:spacing w:val="-7"/>
          <w:w w:val="105"/>
          <w:sz w:val="21"/>
        </w:rPr>
        <w:t> </w:t>
      </w:r>
      <w:r>
        <w:rPr>
          <w:color w:val="231F20"/>
          <w:w w:val="105"/>
          <w:sz w:val="21"/>
        </w:rPr>
        <w:t>de</w:t>
      </w:r>
      <w:r>
        <w:rPr>
          <w:color w:val="231F20"/>
          <w:spacing w:val="-7"/>
          <w:w w:val="105"/>
          <w:sz w:val="21"/>
        </w:rPr>
        <w:t> </w:t>
      </w:r>
      <w:r>
        <w:rPr>
          <w:color w:val="231F20"/>
          <w:w w:val="105"/>
          <w:sz w:val="21"/>
        </w:rPr>
        <w:t>algunos</w:t>
      </w:r>
      <w:r>
        <w:rPr>
          <w:color w:val="231F20"/>
          <w:spacing w:val="-7"/>
          <w:w w:val="105"/>
          <w:sz w:val="21"/>
        </w:rPr>
        <w:t> </w:t>
      </w:r>
      <w:r>
        <w:rPr>
          <w:color w:val="231F20"/>
          <w:w w:val="105"/>
          <w:sz w:val="21"/>
        </w:rPr>
        <w:t>empleos,</w:t>
      </w:r>
      <w:r>
        <w:rPr>
          <w:color w:val="231F20"/>
          <w:spacing w:val="-12"/>
          <w:w w:val="105"/>
          <w:sz w:val="21"/>
        </w:rPr>
        <w:t> </w:t>
      </w:r>
      <w:r>
        <w:rPr>
          <w:color w:val="231F20"/>
          <w:w w:val="105"/>
          <w:sz w:val="21"/>
        </w:rPr>
        <w:t>los</w:t>
      </w:r>
      <w:r>
        <w:rPr>
          <w:color w:val="231F20"/>
          <w:spacing w:val="-7"/>
          <w:w w:val="105"/>
          <w:sz w:val="21"/>
        </w:rPr>
        <w:t> </w:t>
      </w:r>
      <w:r>
        <w:rPr>
          <w:color w:val="231F20"/>
          <w:w w:val="105"/>
          <w:sz w:val="21"/>
        </w:rPr>
        <w:t>cuales</w:t>
      </w:r>
      <w:r>
        <w:rPr>
          <w:color w:val="231F20"/>
          <w:spacing w:val="-7"/>
          <w:w w:val="105"/>
          <w:sz w:val="21"/>
        </w:rPr>
        <w:t> </w:t>
      </w:r>
      <w:r>
        <w:rPr>
          <w:color w:val="231F20"/>
          <w:w w:val="105"/>
          <w:sz w:val="21"/>
        </w:rPr>
        <w:t>son</w:t>
      </w:r>
      <w:r>
        <w:rPr>
          <w:color w:val="231F20"/>
          <w:spacing w:val="-7"/>
          <w:w w:val="105"/>
          <w:sz w:val="21"/>
        </w:rPr>
        <w:t> </w:t>
      </w:r>
      <w:r>
        <w:rPr>
          <w:color w:val="231F20"/>
          <w:w w:val="105"/>
          <w:sz w:val="21"/>
        </w:rPr>
        <w:t>estratifica-</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43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174</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408"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175</w:t>
      </w:r>
    </w:p>
    <w:p>
      <w:pPr>
        <w:pStyle w:val="BodyText"/>
        <w:rPr>
          <w:sz w:val="20"/>
        </w:rPr>
      </w:pPr>
    </w:p>
    <w:p>
      <w:pPr>
        <w:pStyle w:val="BodyText"/>
        <w:rPr>
          <w:sz w:val="20"/>
        </w:rPr>
      </w:pPr>
    </w:p>
    <w:p>
      <w:pPr>
        <w:pStyle w:val="BodyText"/>
        <w:spacing w:line="259" w:lineRule="auto" w:before="176"/>
        <w:ind w:left="117" w:right="101"/>
        <w:jc w:val="both"/>
      </w:pPr>
      <w:r>
        <w:rPr>
          <w:color w:val="231F20"/>
          <w:w w:val="105"/>
        </w:rPr>
        <w:t>dos, ya sea por un prejuicio, por considerar que cierta raza no debería realizarlo, o por ciertas instituciones del mercado de trabajo que</w:t>
      </w:r>
      <w:r>
        <w:rPr>
          <w:color w:val="231F20"/>
          <w:spacing w:val="-27"/>
          <w:w w:val="105"/>
        </w:rPr>
        <w:t> </w:t>
      </w:r>
      <w:r>
        <w:rPr>
          <w:color w:val="231F20"/>
          <w:w w:val="105"/>
        </w:rPr>
        <w:t>prefie- ren</w:t>
      </w:r>
      <w:r>
        <w:rPr>
          <w:color w:val="231F20"/>
          <w:spacing w:val="-15"/>
          <w:w w:val="105"/>
        </w:rPr>
        <w:t> </w:t>
      </w:r>
      <w:r>
        <w:rPr>
          <w:color w:val="231F20"/>
          <w:w w:val="105"/>
        </w:rPr>
        <w:t>contratar</w:t>
      </w:r>
      <w:r>
        <w:rPr>
          <w:color w:val="231F20"/>
          <w:spacing w:val="-15"/>
          <w:w w:val="105"/>
        </w:rPr>
        <w:t> </w:t>
      </w:r>
      <w:r>
        <w:rPr>
          <w:color w:val="231F20"/>
          <w:w w:val="105"/>
        </w:rPr>
        <w:t>a</w:t>
      </w:r>
      <w:r>
        <w:rPr>
          <w:color w:val="231F20"/>
          <w:spacing w:val="-15"/>
          <w:w w:val="105"/>
        </w:rPr>
        <w:t> </w:t>
      </w:r>
      <w:r>
        <w:rPr>
          <w:color w:val="231F20"/>
          <w:w w:val="105"/>
        </w:rPr>
        <w:t>un</w:t>
      </w:r>
      <w:r>
        <w:rPr>
          <w:color w:val="231F20"/>
          <w:spacing w:val="-15"/>
          <w:w w:val="105"/>
        </w:rPr>
        <w:t> </w:t>
      </w:r>
      <w:r>
        <w:rPr>
          <w:color w:val="231F20"/>
          <w:w w:val="105"/>
        </w:rPr>
        <w:t>grupo</w:t>
      </w:r>
      <w:r>
        <w:rPr>
          <w:color w:val="231F20"/>
          <w:spacing w:val="-15"/>
          <w:w w:val="105"/>
        </w:rPr>
        <w:t> </w:t>
      </w:r>
      <w:r>
        <w:rPr>
          <w:color w:val="231F20"/>
          <w:w w:val="105"/>
        </w:rPr>
        <w:t>racial</w:t>
      </w:r>
      <w:r>
        <w:rPr>
          <w:color w:val="231F20"/>
          <w:spacing w:val="-15"/>
          <w:w w:val="105"/>
        </w:rPr>
        <w:t> </w:t>
      </w:r>
      <w:r>
        <w:rPr>
          <w:color w:val="231F20"/>
          <w:w w:val="105"/>
        </w:rPr>
        <w:t>en</w:t>
      </w:r>
      <w:r>
        <w:rPr>
          <w:color w:val="231F20"/>
          <w:spacing w:val="-15"/>
          <w:w w:val="105"/>
        </w:rPr>
        <w:t> </w:t>
      </w:r>
      <w:r>
        <w:rPr>
          <w:color w:val="231F20"/>
          <w:w w:val="105"/>
        </w:rPr>
        <w:t>específico.</w:t>
      </w:r>
      <w:r>
        <w:rPr>
          <w:color w:val="231F20"/>
          <w:spacing w:val="-20"/>
          <w:w w:val="105"/>
        </w:rPr>
        <w:t> </w:t>
      </w:r>
      <w:r>
        <w:rPr>
          <w:color w:val="231F20"/>
          <w:w w:val="105"/>
        </w:rPr>
        <w:t>La</w:t>
      </w:r>
      <w:r>
        <w:rPr>
          <w:color w:val="231F20"/>
          <w:spacing w:val="-15"/>
          <w:w w:val="105"/>
        </w:rPr>
        <w:t> </w:t>
      </w:r>
      <w:r>
        <w:rPr>
          <w:color w:val="231F20"/>
          <w:w w:val="105"/>
        </w:rPr>
        <w:t>división</w:t>
      </w:r>
      <w:r>
        <w:rPr>
          <w:color w:val="231F20"/>
          <w:spacing w:val="-15"/>
          <w:w w:val="105"/>
        </w:rPr>
        <w:t> </w:t>
      </w:r>
      <w:r>
        <w:rPr>
          <w:color w:val="231F20"/>
          <w:w w:val="105"/>
        </w:rPr>
        <w:t>geografía</w:t>
      </w:r>
      <w:r>
        <w:rPr>
          <w:color w:val="231F20"/>
          <w:spacing w:val="-15"/>
          <w:w w:val="105"/>
        </w:rPr>
        <w:t> </w:t>
      </w:r>
      <w:r>
        <w:rPr>
          <w:color w:val="231F20"/>
          <w:w w:val="105"/>
        </w:rPr>
        <w:t>juega un papel importante en la segmentación por raza (Reich, Gordon y</w:t>
      </w:r>
      <w:r>
        <w:rPr>
          <w:color w:val="231F20"/>
          <w:spacing w:val="-13"/>
          <w:w w:val="105"/>
        </w:rPr>
        <w:t> </w:t>
      </w:r>
      <w:r>
        <w:rPr>
          <w:color w:val="231F20"/>
          <w:w w:val="105"/>
        </w:rPr>
        <w:t>Ed- </w:t>
      </w:r>
      <w:r>
        <w:rPr>
          <w:color w:val="231F20"/>
        </w:rPr>
        <w:t>wards,</w:t>
      </w:r>
      <w:r>
        <w:rPr>
          <w:color w:val="231F20"/>
          <w:spacing w:val="-1"/>
        </w:rPr>
        <w:t> </w:t>
      </w:r>
      <w:r>
        <w:rPr>
          <w:color w:val="231F20"/>
        </w:rPr>
        <w:t>1973).</w:t>
      </w:r>
    </w:p>
    <w:p>
      <w:pPr>
        <w:pStyle w:val="ListParagraph"/>
        <w:numPr>
          <w:ilvl w:val="0"/>
          <w:numId w:val="52"/>
        </w:numPr>
        <w:tabs>
          <w:tab w:pos="888" w:val="left" w:leader="none"/>
        </w:tabs>
        <w:spacing w:line="259" w:lineRule="auto" w:before="0" w:after="0"/>
        <w:ind w:left="117" w:right="101" w:firstLine="567"/>
        <w:jc w:val="both"/>
        <w:rPr>
          <w:sz w:val="21"/>
        </w:rPr>
      </w:pPr>
      <w:r>
        <w:rPr>
          <w:color w:val="231F20"/>
          <w:w w:val="105"/>
          <w:sz w:val="21"/>
        </w:rPr>
        <w:t>Segmentación</w:t>
      </w:r>
      <w:r>
        <w:rPr>
          <w:color w:val="231F20"/>
          <w:spacing w:val="-19"/>
          <w:w w:val="105"/>
          <w:sz w:val="21"/>
        </w:rPr>
        <w:t> </w:t>
      </w:r>
      <w:r>
        <w:rPr>
          <w:color w:val="231F20"/>
          <w:w w:val="105"/>
          <w:sz w:val="21"/>
        </w:rPr>
        <w:t>por</w:t>
      </w:r>
      <w:r>
        <w:rPr>
          <w:color w:val="231F20"/>
          <w:spacing w:val="-19"/>
          <w:w w:val="105"/>
          <w:sz w:val="21"/>
        </w:rPr>
        <w:t> </w:t>
      </w:r>
      <w:r>
        <w:rPr>
          <w:color w:val="231F20"/>
          <w:w w:val="105"/>
          <w:sz w:val="21"/>
        </w:rPr>
        <w:t>género.</w:t>
      </w:r>
      <w:r>
        <w:rPr>
          <w:color w:val="231F20"/>
          <w:spacing w:val="-25"/>
          <w:w w:val="105"/>
          <w:sz w:val="21"/>
        </w:rPr>
        <w:t> </w:t>
      </w:r>
      <w:r>
        <w:rPr>
          <w:color w:val="231F20"/>
          <w:w w:val="105"/>
          <w:sz w:val="21"/>
        </w:rPr>
        <w:t>La</w:t>
      </w:r>
      <w:r>
        <w:rPr>
          <w:color w:val="231F20"/>
          <w:spacing w:val="-19"/>
          <w:w w:val="105"/>
          <w:sz w:val="21"/>
        </w:rPr>
        <w:t> </w:t>
      </w:r>
      <w:r>
        <w:rPr>
          <w:color w:val="231F20"/>
          <w:w w:val="105"/>
          <w:sz w:val="21"/>
        </w:rPr>
        <w:t>segmentación</w:t>
      </w:r>
      <w:r>
        <w:rPr>
          <w:color w:val="231F20"/>
          <w:spacing w:val="-19"/>
          <w:w w:val="105"/>
          <w:sz w:val="21"/>
        </w:rPr>
        <w:t> </w:t>
      </w:r>
      <w:r>
        <w:rPr>
          <w:color w:val="231F20"/>
          <w:w w:val="105"/>
          <w:sz w:val="21"/>
        </w:rPr>
        <w:t>por</w:t>
      </w:r>
      <w:r>
        <w:rPr>
          <w:color w:val="231F20"/>
          <w:spacing w:val="-19"/>
          <w:w w:val="105"/>
          <w:sz w:val="21"/>
        </w:rPr>
        <w:t> </w:t>
      </w:r>
      <w:r>
        <w:rPr>
          <w:color w:val="231F20"/>
          <w:w w:val="105"/>
          <w:sz w:val="21"/>
        </w:rPr>
        <w:t>género</w:t>
      </w:r>
      <w:r>
        <w:rPr>
          <w:color w:val="231F20"/>
          <w:spacing w:val="-19"/>
          <w:w w:val="105"/>
          <w:sz w:val="21"/>
        </w:rPr>
        <w:t> </w:t>
      </w:r>
      <w:r>
        <w:rPr>
          <w:color w:val="231F20"/>
          <w:w w:val="105"/>
          <w:sz w:val="21"/>
        </w:rPr>
        <w:t>se</w:t>
      </w:r>
      <w:r>
        <w:rPr>
          <w:color w:val="231F20"/>
          <w:spacing w:val="-19"/>
          <w:w w:val="105"/>
          <w:sz w:val="21"/>
        </w:rPr>
        <w:t> </w:t>
      </w:r>
      <w:r>
        <w:rPr>
          <w:color w:val="231F20"/>
          <w:w w:val="105"/>
          <w:sz w:val="21"/>
        </w:rPr>
        <w:t>base en</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discriminación</w:t>
      </w:r>
      <w:r>
        <w:rPr>
          <w:color w:val="231F20"/>
          <w:spacing w:val="-24"/>
          <w:w w:val="105"/>
          <w:sz w:val="21"/>
        </w:rPr>
        <w:t> </w:t>
      </w:r>
      <w:r>
        <w:rPr>
          <w:color w:val="231F20"/>
          <w:w w:val="105"/>
          <w:sz w:val="21"/>
        </w:rPr>
        <w:t>que</w:t>
      </w:r>
      <w:r>
        <w:rPr>
          <w:color w:val="231F20"/>
          <w:spacing w:val="-24"/>
          <w:w w:val="105"/>
          <w:sz w:val="21"/>
        </w:rPr>
        <w:t> </w:t>
      </w:r>
      <w:r>
        <w:rPr>
          <w:color w:val="231F20"/>
          <w:w w:val="105"/>
          <w:sz w:val="21"/>
        </w:rPr>
        <w:t>generalmente</w:t>
      </w:r>
      <w:r>
        <w:rPr>
          <w:color w:val="231F20"/>
          <w:spacing w:val="-24"/>
          <w:w w:val="105"/>
          <w:sz w:val="21"/>
        </w:rPr>
        <w:t> </w:t>
      </w:r>
      <w:r>
        <w:rPr>
          <w:color w:val="231F20"/>
          <w:w w:val="105"/>
          <w:sz w:val="21"/>
        </w:rPr>
        <w:t>se</w:t>
      </w:r>
      <w:r>
        <w:rPr>
          <w:color w:val="231F20"/>
          <w:spacing w:val="-24"/>
          <w:w w:val="105"/>
          <w:sz w:val="21"/>
        </w:rPr>
        <w:t> </w:t>
      </w:r>
      <w:r>
        <w:rPr>
          <w:color w:val="231F20"/>
          <w:w w:val="105"/>
          <w:sz w:val="21"/>
        </w:rPr>
        <w:t>hace</w:t>
      </w:r>
      <w:r>
        <w:rPr>
          <w:color w:val="231F20"/>
          <w:spacing w:val="-24"/>
          <w:w w:val="105"/>
          <w:sz w:val="21"/>
        </w:rPr>
        <w:t> </w:t>
      </w:r>
      <w:r>
        <w:rPr>
          <w:color w:val="231F20"/>
          <w:w w:val="105"/>
          <w:sz w:val="21"/>
        </w:rPr>
        <w:t>para</w:t>
      </w:r>
      <w:r>
        <w:rPr>
          <w:color w:val="231F20"/>
          <w:spacing w:val="-24"/>
          <w:w w:val="105"/>
          <w:sz w:val="21"/>
        </w:rPr>
        <w:t> </w:t>
      </w:r>
      <w:r>
        <w:rPr>
          <w:color w:val="231F20"/>
          <w:w w:val="105"/>
          <w:sz w:val="21"/>
        </w:rPr>
        <w:t>ciertos</w:t>
      </w:r>
      <w:r>
        <w:rPr>
          <w:color w:val="231F20"/>
          <w:spacing w:val="-24"/>
          <w:w w:val="105"/>
          <w:sz w:val="21"/>
        </w:rPr>
        <w:t> </w:t>
      </w:r>
      <w:r>
        <w:rPr>
          <w:color w:val="231F20"/>
          <w:w w:val="105"/>
          <w:sz w:val="21"/>
        </w:rPr>
        <w:t>trabajos,</w:t>
      </w:r>
      <w:r>
        <w:rPr>
          <w:color w:val="231F20"/>
          <w:spacing w:val="-30"/>
          <w:w w:val="105"/>
          <w:sz w:val="21"/>
        </w:rPr>
        <w:t> </w:t>
      </w:r>
      <w:r>
        <w:rPr>
          <w:color w:val="231F20"/>
          <w:w w:val="105"/>
          <w:sz w:val="21"/>
        </w:rPr>
        <w:t>que por creencia se han designado exclusivos para un género en</w:t>
      </w:r>
      <w:r>
        <w:rPr>
          <w:color w:val="231F20"/>
          <w:spacing w:val="-13"/>
          <w:w w:val="105"/>
          <w:sz w:val="21"/>
        </w:rPr>
        <w:t> </w:t>
      </w:r>
      <w:r>
        <w:rPr>
          <w:color w:val="231F20"/>
          <w:w w:val="105"/>
          <w:sz w:val="21"/>
        </w:rPr>
        <w:t>particular (Reich,</w:t>
      </w:r>
      <w:r>
        <w:rPr>
          <w:color w:val="231F20"/>
          <w:spacing w:val="-38"/>
          <w:w w:val="105"/>
          <w:sz w:val="21"/>
        </w:rPr>
        <w:t> </w:t>
      </w:r>
      <w:r>
        <w:rPr>
          <w:color w:val="231F20"/>
          <w:w w:val="105"/>
          <w:sz w:val="21"/>
        </w:rPr>
        <w:t>Gordon</w:t>
      </w:r>
      <w:r>
        <w:rPr>
          <w:color w:val="231F20"/>
          <w:spacing w:val="-34"/>
          <w:w w:val="105"/>
          <w:sz w:val="21"/>
        </w:rPr>
        <w:t> </w:t>
      </w:r>
      <w:r>
        <w:rPr>
          <w:color w:val="231F20"/>
          <w:w w:val="105"/>
          <w:sz w:val="21"/>
        </w:rPr>
        <w:t>y</w:t>
      </w:r>
      <w:r>
        <w:rPr>
          <w:color w:val="231F20"/>
          <w:spacing w:val="-34"/>
          <w:w w:val="105"/>
          <w:sz w:val="21"/>
        </w:rPr>
        <w:t> </w:t>
      </w:r>
      <w:r>
        <w:rPr>
          <w:color w:val="231F20"/>
          <w:w w:val="105"/>
          <w:sz w:val="21"/>
        </w:rPr>
        <w:t>Edwards,</w:t>
      </w:r>
      <w:r>
        <w:rPr>
          <w:color w:val="231F20"/>
          <w:spacing w:val="-38"/>
          <w:w w:val="105"/>
          <w:sz w:val="21"/>
        </w:rPr>
        <w:t> </w:t>
      </w:r>
      <w:r>
        <w:rPr>
          <w:color w:val="231F20"/>
          <w:w w:val="105"/>
          <w:sz w:val="21"/>
        </w:rPr>
        <w:t>1973),</w:t>
      </w:r>
      <w:r>
        <w:rPr>
          <w:color w:val="231F20"/>
          <w:spacing w:val="-38"/>
          <w:w w:val="105"/>
          <w:sz w:val="21"/>
        </w:rPr>
        <w:t> </w:t>
      </w:r>
      <w:r>
        <w:rPr>
          <w:color w:val="231F20"/>
          <w:w w:val="105"/>
          <w:sz w:val="21"/>
        </w:rPr>
        <w:t>ya</w:t>
      </w:r>
      <w:r>
        <w:rPr>
          <w:color w:val="231F20"/>
          <w:spacing w:val="-34"/>
          <w:w w:val="105"/>
          <w:sz w:val="21"/>
        </w:rPr>
        <w:t> </w:t>
      </w:r>
      <w:r>
        <w:rPr>
          <w:color w:val="231F20"/>
          <w:w w:val="105"/>
          <w:sz w:val="21"/>
        </w:rPr>
        <w:t>sea</w:t>
      </w:r>
      <w:r>
        <w:rPr>
          <w:color w:val="231F20"/>
          <w:spacing w:val="-34"/>
          <w:w w:val="105"/>
          <w:sz w:val="21"/>
        </w:rPr>
        <w:t> </w:t>
      </w:r>
      <w:r>
        <w:rPr>
          <w:color w:val="231F20"/>
          <w:w w:val="105"/>
          <w:sz w:val="21"/>
        </w:rPr>
        <w:t>que</w:t>
      </w:r>
      <w:r>
        <w:rPr>
          <w:color w:val="231F20"/>
          <w:spacing w:val="-34"/>
          <w:w w:val="105"/>
          <w:sz w:val="21"/>
        </w:rPr>
        <w:t> </w:t>
      </w:r>
      <w:r>
        <w:rPr>
          <w:color w:val="231F20"/>
          <w:w w:val="105"/>
          <w:sz w:val="21"/>
        </w:rPr>
        <w:t>se</w:t>
      </w:r>
      <w:r>
        <w:rPr>
          <w:color w:val="231F20"/>
          <w:spacing w:val="-34"/>
          <w:w w:val="105"/>
          <w:sz w:val="21"/>
        </w:rPr>
        <w:t> </w:t>
      </w:r>
      <w:r>
        <w:rPr>
          <w:color w:val="231F20"/>
          <w:w w:val="105"/>
          <w:sz w:val="21"/>
        </w:rPr>
        <w:t>crea</w:t>
      </w:r>
      <w:r>
        <w:rPr>
          <w:color w:val="231F20"/>
          <w:spacing w:val="-34"/>
          <w:w w:val="105"/>
          <w:sz w:val="21"/>
        </w:rPr>
        <w:t> </w:t>
      </w:r>
      <w:r>
        <w:rPr>
          <w:color w:val="231F20"/>
          <w:w w:val="105"/>
          <w:sz w:val="21"/>
        </w:rPr>
        <w:t>que</w:t>
      </w:r>
      <w:r>
        <w:rPr>
          <w:color w:val="231F20"/>
          <w:spacing w:val="-34"/>
          <w:w w:val="105"/>
          <w:sz w:val="21"/>
        </w:rPr>
        <w:t> </w:t>
      </w:r>
      <w:r>
        <w:rPr>
          <w:color w:val="231F20"/>
          <w:w w:val="105"/>
          <w:sz w:val="21"/>
        </w:rPr>
        <w:t>solamente</w:t>
      </w:r>
      <w:r>
        <w:rPr>
          <w:color w:val="231F20"/>
          <w:spacing w:val="-34"/>
          <w:w w:val="105"/>
          <w:sz w:val="21"/>
        </w:rPr>
        <w:t> </w:t>
      </w:r>
      <w:r>
        <w:rPr>
          <w:color w:val="231F20"/>
          <w:w w:val="105"/>
          <w:sz w:val="21"/>
        </w:rPr>
        <w:t>hom- bres</w:t>
      </w:r>
      <w:r>
        <w:rPr>
          <w:color w:val="231F20"/>
          <w:spacing w:val="-5"/>
          <w:w w:val="105"/>
          <w:sz w:val="21"/>
        </w:rPr>
        <w:t> </w:t>
      </w:r>
      <w:r>
        <w:rPr>
          <w:color w:val="231F20"/>
          <w:w w:val="105"/>
          <w:sz w:val="21"/>
        </w:rPr>
        <w:t>deberían</w:t>
      </w:r>
      <w:r>
        <w:rPr>
          <w:color w:val="231F20"/>
          <w:spacing w:val="-5"/>
          <w:w w:val="105"/>
          <w:sz w:val="21"/>
        </w:rPr>
        <w:t> </w:t>
      </w:r>
      <w:r>
        <w:rPr>
          <w:color w:val="231F20"/>
          <w:w w:val="105"/>
          <w:sz w:val="21"/>
        </w:rPr>
        <w:t>realizarlos</w:t>
      </w:r>
      <w:r>
        <w:rPr>
          <w:color w:val="231F20"/>
          <w:spacing w:val="-5"/>
          <w:w w:val="105"/>
          <w:sz w:val="21"/>
        </w:rPr>
        <w:t> </w:t>
      </w:r>
      <w:r>
        <w:rPr>
          <w:color w:val="231F20"/>
          <w:w w:val="105"/>
          <w:sz w:val="21"/>
        </w:rPr>
        <w:t>o</w:t>
      </w:r>
      <w:r>
        <w:rPr>
          <w:color w:val="231F20"/>
          <w:spacing w:val="-5"/>
          <w:w w:val="105"/>
          <w:sz w:val="21"/>
        </w:rPr>
        <w:t> </w:t>
      </w:r>
      <w:r>
        <w:rPr>
          <w:color w:val="231F20"/>
          <w:w w:val="105"/>
          <w:sz w:val="21"/>
        </w:rPr>
        <w:t>por</w:t>
      </w:r>
      <w:r>
        <w:rPr>
          <w:color w:val="231F20"/>
          <w:spacing w:val="-5"/>
          <w:w w:val="105"/>
          <w:sz w:val="21"/>
        </w:rPr>
        <w:t> </w:t>
      </w:r>
      <w:r>
        <w:rPr>
          <w:color w:val="231F20"/>
          <w:w w:val="105"/>
          <w:sz w:val="21"/>
        </w:rPr>
        <w:t>el</w:t>
      </w:r>
      <w:r>
        <w:rPr>
          <w:color w:val="231F20"/>
          <w:spacing w:val="-5"/>
          <w:w w:val="105"/>
          <w:sz w:val="21"/>
        </w:rPr>
        <w:t> </w:t>
      </w:r>
      <w:r>
        <w:rPr>
          <w:color w:val="231F20"/>
          <w:w w:val="105"/>
          <w:sz w:val="21"/>
        </w:rPr>
        <w:t>contrario</w:t>
      </w:r>
      <w:r>
        <w:rPr>
          <w:color w:val="231F20"/>
          <w:spacing w:val="-5"/>
          <w:w w:val="105"/>
          <w:sz w:val="21"/>
        </w:rPr>
        <w:t> </w:t>
      </w:r>
      <w:r>
        <w:rPr>
          <w:color w:val="231F20"/>
          <w:w w:val="105"/>
          <w:sz w:val="21"/>
        </w:rPr>
        <w:t>que</w:t>
      </w:r>
      <w:r>
        <w:rPr>
          <w:color w:val="231F20"/>
          <w:spacing w:val="-5"/>
          <w:w w:val="105"/>
          <w:sz w:val="21"/>
        </w:rPr>
        <w:t> </w:t>
      </w:r>
      <w:r>
        <w:rPr>
          <w:color w:val="231F20"/>
          <w:w w:val="105"/>
          <w:sz w:val="21"/>
        </w:rPr>
        <w:t>únicamente</w:t>
      </w:r>
      <w:r>
        <w:rPr>
          <w:color w:val="231F20"/>
          <w:spacing w:val="-5"/>
          <w:w w:val="105"/>
          <w:sz w:val="21"/>
        </w:rPr>
        <w:t> </w:t>
      </w:r>
      <w:r>
        <w:rPr>
          <w:color w:val="231F20"/>
          <w:w w:val="105"/>
          <w:sz w:val="21"/>
        </w:rPr>
        <w:t>las</w:t>
      </w:r>
      <w:r>
        <w:rPr>
          <w:color w:val="231F20"/>
          <w:spacing w:val="-5"/>
          <w:w w:val="105"/>
          <w:sz w:val="21"/>
        </w:rPr>
        <w:t> </w:t>
      </w:r>
      <w:r>
        <w:rPr>
          <w:color w:val="231F20"/>
          <w:w w:val="105"/>
          <w:sz w:val="21"/>
        </w:rPr>
        <w:t>mujeres deben</w:t>
      </w:r>
      <w:r>
        <w:rPr>
          <w:color w:val="231F20"/>
          <w:spacing w:val="-18"/>
          <w:w w:val="105"/>
          <w:sz w:val="21"/>
        </w:rPr>
        <w:t> </w:t>
      </w:r>
      <w:r>
        <w:rPr>
          <w:color w:val="231F20"/>
          <w:w w:val="105"/>
          <w:sz w:val="21"/>
        </w:rPr>
        <w:t>emplearse.</w:t>
      </w:r>
    </w:p>
    <w:p>
      <w:pPr>
        <w:pStyle w:val="BodyText"/>
        <w:spacing w:line="259" w:lineRule="auto"/>
        <w:ind w:left="117" w:right="101" w:firstLine="567"/>
        <w:jc w:val="both"/>
      </w:pPr>
      <w:r>
        <w:rPr>
          <w:color w:val="231F20"/>
          <w:w w:val="105"/>
        </w:rPr>
        <w:t>En lo que respecta a los salarios, existen grandes diferencias</w:t>
      </w:r>
      <w:r>
        <w:rPr>
          <w:color w:val="231F20"/>
          <w:spacing w:val="-27"/>
          <w:w w:val="105"/>
        </w:rPr>
        <w:t> </w:t>
      </w:r>
      <w:r>
        <w:rPr>
          <w:color w:val="231F20"/>
          <w:w w:val="105"/>
        </w:rPr>
        <w:t>por género.</w:t>
      </w:r>
      <w:r>
        <w:rPr>
          <w:color w:val="231F20"/>
          <w:spacing w:val="-21"/>
          <w:w w:val="105"/>
        </w:rPr>
        <w:t> </w:t>
      </w:r>
      <w:r>
        <w:rPr>
          <w:color w:val="231F20"/>
          <w:w w:val="105"/>
        </w:rPr>
        <w:t>El</w:t>
      </w:r>
      <w:r>
        <w:rPr>
          <w:color w:val="231F20"/>
          <w:spacing w:val="-16"/>
          <w:w w:val="105"/>
        </w:rPr>
        <w:t> </w:t>
      </w:r>
      <w:r>
        <w:rPr>
          <w:color w:val="231F20"/>
          <w:w w:val="105"/>
        </w:rPr>
        <w:t>segmento</w:t>
      </w:r>
      <w:r>
        <w:rPr>
          <w:color w:val="231F20"/>
          <w:spacing w:val="-16"/>
          <w:w w:val="105"/>
        </w:rPr>
        <w:t> </w:t>
      </w:r>
      <w:r>
        <w:rPr>
          <w:color w:val="231F20"/>
          <w:w w:val="105"/>
        </w:rPr>
        <w:t>femenino</w:t>
      </w:r>
      <w:r>
        <w:rPr>
          <w:color w:val="231F20"/>
          <w:spacing w:val="-16"/>
          <w:w w:val="105"/>
        </w:rPr>
        <w:t> </w:t>
      </w:r>
      <w:r>
        <w:rPr>
          <w:color w:val="231F20"/>
          <w:w w:val="105"/>
        </w:rPr>
        <w:t>usualmente</w:t>
      </w:r>
      <w:r>
        <w:rPr>
          <w:color w:val="231F20"/>
          <w:spacing w:val="-16"/>
          <w:w w:val="105"/>
        </w:rPr>
        <w:t> </w:t>
      </w:r>
      <w:r>
        <w:rPr>
          <w:color w:val="231F20"/>
          <w:w w:val="105"/>
        </w:rPr>
        <w:t>tiene</w:t>
      </w:r>
      <w:r>
        <w:rPr>
          <w:color w:val="231F20"/>
          <w:spacing w:val="-16"/>
          <w:w w:val="105"/>
        </w:rPr>
        <w:t> </w:t>
      </w:r>
      <w:r>
        <w:rPr>
          <w:color w:val="231F20"/>
          <w:w w:val="105"/>
        </w:rPr>
        <w:t>salarios</w:t>
      </w:r>
      <w:r>
        <w:rPr>
          <w:color w:val="231F20"/>
          <w:spacing w:val="-16"/>
          <w:w w:val="105"/>
        </w:rPr>
        <w:t> </w:t>
      </w:r>
      <w:r>
        <w:rPr>
          <w:color w:val="231F20"/>
          <w:w w:val="105"/>
        </w:rPr>
        <w:t>más</w:t>
      </w:r>
      <w:r>
        <w:rPr>
          <w:color w:val="231F20"/>
          <w:spacing w:val="-16"/>
          <w:w w:val="105"/>
        </w:rPr>
        <w:t> </w:t>
      </w:r>
      <w:r>
        <w:rPr>
          <w:color w:val="231F20"/>
          <w:w w:val="105"/>
        </w:rPr>
        <w:t>bajos</w:t>
      </w:r>
      <w:r>
        <w:rPr>
          <w:color w:val="231F20"/>
          <w:spacing w:val="-16"/>
          <w:w w:val="105"/>
        </w:rPr>
        <w:t> </w:t>
      </w:r>
      <w:r>
        <w:rPr>
          <w:color w:val="231F20"/>
          <w:w w:val="105"/>
        </w:rPr>
        <w:t>que el segmento masculino (Reich, Gordon y Edwards, 1973). Los trabajos femeninos requieren y fomentan una mentalidad de servicio, con una fuerte</w:t>
      </w:r>
      <w:r>
        <w:rPr>
          <w:color w:val="231F20"/>
          <w:spacing w:val="-24"/>
          <w:w w:val="105"/>
        </w:rPr>
        <w:t> </w:t>
      </w:r>
      <w:r>
        <w:rPr>
          <w:color w:val="231F20"/>
          <w:w w:val="105"/>
        </w:rPr>
        <w:t>orientación</w:t>
      </w:r>
      <w:r>
        <w:rPr>
          <w:color w:val="231F20"/>
          <w:spacing w:val="-24"/>
          <w:w w:val="105"/>
        </w:rPr>
        <w:t> </w:t>
      </w:r>
      <w:r>
        <w:rPr>
          <w:color w:val="231F20"/>
          <w:w w:val="105"/>
        </w:rPr>
        <w:t>a</w:t>
      </w:r>
      <w:r>
        <w:rPr>
          <w:color w:val="231F20"/>
          <w:spacing w:val="-24"/>
          <w:w w:val="105"/>
        </w:rPr>
        <w:t> </w:t>
      </w:r>
      <w:r>
        <w:rPr>
          <w:color w:val="231F20"/>
          <w:w w:val="105"/>
        </w:rPr>
        <w:t>proveer</w:t>
      </w:r>
      <w:r>
        <w:rPr>
          <w:color w:val="231F20"/>
          <w:spacing w:val="-24"/>
          <w:w w:val="105"/>
        </w:rPr>
        <w:t> </w:t>
      </w:r>
      <w:r>
        <w:rPr>
          <w:color w:val="231F20"/>
          <w:w w:val="105"/>
        </w:rPr>
        <w:t>a</w:t>
      </w:r>
      <w:r>
        <w:rPr>
          <w:color w:val="231F20"/>
          <w:spacing w:val="-24"/>
          <w:w w:val="105"/>
        </w:rPr>
        <w:t> </w:t>
      </w:r>
      <w:r>
        <w:rPr>
          <w:color w:val="231F20"/>
          <w:w w:val="105"/>
        </w:rPr>
        <w:t>otros,</w:t>
      </w:r>
      <w:r>
        <w:rPr>
          <w:color w:val="231F20"/>
          <w:spacing w:val="-29"/>
          <w:w w:val="105"/>
        </w:rPr>
        <w:t> </w:t>
      </w:r>
      <w:r>
        <w:rPr>
          <w:color w:val="231F20"/>
          <w:w w:val="105"/>
        </w:rPr>
        <w:t>especialmente</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hombres,</w:t>
      </w:r>
      <w:r>
        <w:rPr>
          <w:color w:val="231F20"/>
          <w:spacing w:val="-29"/>
          <w:w w:val="105"/>
        </w:rPr>
        <w:t> </w:t>
      </w:r>
      <w:r>
        <w:rPr>
          <w:color w:val="231F20"/>
          <w:w w:val="105"/>
        </w:rPr>
        <w:t>carac- terística fomentada desde las instituciones como la familia y la escuela (Reich,</w:t>
      </w:r>
      <w:r>
        <w:rPr>
          <w:color w:val="231F20"/>
          <w:spacing w:val="-43"/>
          <w:w w:val="105"/>
        </w:rPr>
        <w:t> </w:t>
      </w:r>
      <w:r>
        <w:rPr>
          <w:color w:val="231F20"/>
          <w:w w:val="105"/>
        </w:rPr>
        <w:t>Gordon</w:t>
      </w:r>
      <w:r>
        <w:rPr>
          <w:color w:val="231F20"/>
          <w:spacing w:val="-40"/>
          <w:w w:val="105"/>
        </w:rPr>
        <w:t> </w:t>
      </w:r>
      <w:r>
        <w:rPr>
          <w:color w:val="231F20"/>
          <w:w w:val="105"/>
        </w:rPr>
        <w:t>y</w:t>
      </w:r>
      <w:r>
        <w:rPr>
          <w:color w:val="231F20"/>
          <w:spacing w:val="-40"/>
          <w:w w:val="105"/>
        </w:rPr>
        <w:t> </w:t>
      </w:r>
      <w:r>
        <w:rPr>
          <w:color w:val="231F20"/>
          <w:w w:val="105"/>
        </w:rPr>
        <w:t>Edwards,</w:t>
      </w:r>
      <w:r>
        <w:rPr>
          <w:color w:val="231F20"/>
          <w:spacing w:val="-43"/>
          <w:w w:val="105"/>
        </w:rPr>
        <w:t> </w:t>
      </w:r>
      <w:r>
        <w:rPr>
          <w:color w:val="231F20"/>
          <w:w w:val="105"/>
        </w:rPr>
        <w:t>1973).</w:t>
      </w:r>
    </w:p>
    <w:p>
      <w:pPr>
        <w:pStyle w:val="BodyText"/>
        <w:spacing w:line="259" w:lineRule="auto"/>
        <w:ind w:left="117" w:right="101" w:firstLine="567"/>
        <w:jc w:val="both"/>
      </w:pPr>
      <w:r>
        <w:rPr>
          <w:color w:val="231F20"/>
          <w:w w:val="105"/>
        </w:rPr>
        <w:t>En</w:t>
      </w:r>
      <w:r>
        <w:rPr>
          <w:color w:val="231F20"/>
          <w:spacing w:val="-16"/>
          <w:w w:val="105"/>
        </w:rPr>
        <w:t> </w:t>
      </w:r>
      <w:r>
        <w:rPr>
          <w:color w:val="231F20"/>
          <w:w w:val="105"/>
        </w:rPr>
        <w:t>resumen,</w:t>
      </w:r>
      <w:r>
        <w:rPr>
          <w:color w:val="231F20"/>
          <w:spacing w:val="-20"/>
          <w:w w:val="105"/>
        </w:rPr>
        <w:t> </w:t>
      </w:r>
      <w:r>
        <w:rPr>
          <w:color w:val="231F20"/>
          <w:w w:val="105"/>
        </w:rPr>
        <w:t>el</w:t>
      </w:r>
      <w:r>
        <w:rPr>
          <w:color w:val="231F20"/>
          <w:spacing w:val="-16"/>
          <w:w w:val="105"/>
        </w:rPr>
        <w:t> </w:t>
      </w:r>
      <w:r>
        <w:rPr>
          <w:color w:val="231F20"/>
          <w:w w:val="105"/>
        </w:rPr>
        <w:t>análisis</w:t>
      </w:r>
      <w:r>
        <w:rPr>
          <w:color w:val="231F20"/>
          <w:spacing w:val="-16"/>
          <w:w w:val="105"/>
        </w:rPr>
        <w:t> </w:t>
      </w:r>
      <w:r>
        <w:rPr>
          <w:color w:val="231F20"/>
          <w:w w:val="105"/>
        </w:rPr>
        <w:t>social</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instituciones</w:t>
      </w:r>
      <w:r>
        <w:rPr>
          <w:color w:val="231F20"/>
          <w:spacing w:val="-16"/>
          <w:w w:val="105"/>
        </w:rPr>
        <w:t> </w:t>
      </w:r>
      <w:r>
        <w:rPr>
          <w:color w:val="231F20"/>
          <w:w w:val="105"/>
        </w:rPr>
        <w:t>es</w:t>
      </w:r>
      <w:r>
        <w:rPr>
          <w:color w:val="231F20"/>
          <w:spacing w:val="-16"/>
          <w:w w:val="105"/>
        </w:rPr>
        <w:t> </w:t>
      </w:r>
      <w:r>
        <w:rPr>
          <w:color w:val="231F20"/>
          <w:w w:val="105"/>
        </w:rPr>
        <w:t>característica principal que hace que los supuestos de la segunda generación de la segmentación (conocida también como radical) tengan similitudes con los</w:t>
      </w:r>
      <w:r>
        <w:rPr>
          <w:color w:val="231F20"/>
          <w:spacing w:val="-20"/>
          <w:w w:val="105"/>
        </w:rPr>
        <w:t> </w:t>
      </w:r>
      <w:r>
        <w:rPr>
          <w:color w:val="231F20"/>
          <w:w w:val="105"/>
        </w:rPr>
        <w:t>planteamientos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primera</w:t>
      </w:r>
      <w:r>
        <w:rPr>
          <w:color w:val="231F20"/>
          <w:spacing w:val="-20"/>
          <w:w w:val="105"/>
        </w:rPr>
        <w:t> </w:t>
      </w:r>
      <w:r>
        <w:rPr>
          <w:color w:val="231F20"/>
          <w:w w:val="105"/>
        </w:rPr>
        <w:t>generación.</w:t>
      </w:r>
      <w:r>
        <w:rPr>
          <w:color w:val="231F20"/>
          <w:spacing w:val="-26"/>
          <w:w w:val="105"/>
        </w:rPr>
        <w:t> </w:t>
      </w:r>
      <w:r>
        <w:rPr>
          <w:color w:val="231F20"/>
          <w:w w:val="105"/>
        </w:rPr>
        <w:t>Empero,</w:t>
      </w:r>
      <w:r>
        <w:rPr>
          <w:color w:val="231F20"/>
          <w:spacing w:val="-26"/>
          <w:w w:val="105"/>
        </w:rPr>
        <w:t> </w:t>
      </w:r>
      <w:r>
        <w:rPr>
          <w:color w:val="231F20"/>
          <w:w w:val="105"/>
        </w:rPr>
        <w:t>se</w:t>
      </w:r>
      <w:r>
        <w:rPr>
          <w:color w:val="231F20"/>
          <w:spacing w:val="-20"/>
          <w:w w:val="105"/>
        </w:rPr>
        <w:t> </w:t>
      </w:r>
      <w:r>
        <w:rPr>
          <w:color w:val="231F20"/>
          <w:w w:val="105"/>
        </w:rPr>
        <w:t>distinguen</w:t>
      </w:r>
      <w:r>
        <w:rPr>
          <w:color w:val="231F20"/>
          <w:spacing w:val="-20"/>
          <w:w w:val="105"/>
        </w:rPr>
        <w:t> </w:t>
      </w:r>
      <w:r>
        <w:rPr>
          <w:color w:val="231F20"/>
          <w:w w:val="105"/>
        </w:rPr>
        <w:t>fun- damentalmente por ser más críticos respecto a la teoría neoclásica del mercado</w:t>
      </w:r>
      <w:r>
        <w:rPr>
          <w:color w:val="231F20"/>
          <w:spacing w:val="-23"/>
          <w:w w:val="105"/>
        </w:rPr>
        <w:t> </w:t>
      </w:r>
      <w:r>
        <w:rPr>
          <w:color w:val="231F20"/>
          <w:w w:val="105"/>
        </w:rPr>
        <w:t>de</w:t>
      </w:r>
      <w:r>
        <w:rPr>
          <w:color w:val="231F20"/>
          <w:spacing w:val="-23"/>
          <w:w w:val="105"/>
        </w:rPr>
        <w:t> </w:t>
      </w:r>
      <w:r>
        <w:rPr>
          <w:color w:val="231F20"/>
          <w:w w:val="105"/>
        </w:rPr>
        <w:t>trabajo</w:t>
      </w:r>
      <w:r>
        <w:rPr>
          <w:color w:val="231F20"/>
          <w:spacing w:val="-23"/>
          <w:w w:val="105"/>
        </w:rPr>
        <w:t> </w:t>
      </w:r>
      <w:r>
        <w:rPr>
          <w:color w:val="231F20"/>
          <w:w w:val="105"/>
        </w:rPr>
        <w:t>(Cain,</w:t>
      </w:r>
      <w:r>
        <w:rPr>
          <w:color w:val="231F20"/>
          <w:spacing w:val="-28"/>
          <w:w w:val="105"/>
        </w:rPr>
        <w:t> </w:t>
      </w:r>
      <w:r>
        <w:rPr>
          <w:color w:val="231F20"/>
          <w:w w:val="105"/>
        </w:rPr>
        <w:t>1975),</w:t>
      </w:r>
      <w:r>
        <w:rPr>
          <w:color w:val="231F20"/>
          <w:spacing w:val="-28"/>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su</w:t>
      </w:r>
      <w:r>
        <w:rPr>
          <w:color w:val="231F20"/>
          <w:spacing w:val="-23"/>
          <w:w w:val="105"/>
        </w:rPr>
        <w:t> </w:t>
      </w:r>
      <w:r>
        <w:rPr>
          <w:color w:val="231F20"/>
          <w:w w:val="105"/>
        </w:rPr>
        <w:t>explícita</w:t>
      </w:r>
      <w:r>
        <w:rPr>
          <w:color w:val="231F20"/>
          <w:spacing w:val="-23"/>
          <w:w w:val="105"/>
        </w:rPr>
        <w:t> </w:t>
      </w:r>
      <w:r>
        <w:rPr>
          <w:color w:val="231F20"/>
          <w:w w:val="105"/>
        </w:rPr>
        <w:t>crítica</w:t>
      </w:r>
      <w:r>
        <w:rPr>
          <w:color w:val="231F20"/>
          <w:spacing w:val="-23"/>
          <w:w w:val="105"/>
        </w:rPr>
        <w:t> </w:t>
      </w:r>
      <w:r>
        <w:rPr>
          <w:color w:val="231F20"/>
          <w:w w:val="105"/>
        </w:rPr>
        <w:t>al</w:t>
      </w:r>
      <w:r>
        <w:rPr>
          <w:color w:val="231F20"/>
          <w:spacing w:val="-23"/>
          <w:w w:val="105"/>
        </w:rPr>
        <w:t> </w:t>
      </w:r>
      <w:r>
        <w:rPr>
          <w:color w:val="231F20"/>
          <w:w w:val="105"/>
        </w:rPr>
        <w:t>capitalis- mo</w:t>
      </w:r>
      <w:r>
        <w:rPr>
          <w:color w:val="231F20"/>
          <w:spacing w:val="-21"/>
          <w:w w:val="105"/>
        </w:rPr>
        <w:t> </w:t>
      </w:r>
      <w:r>
        <w:rPr>
          <w:color w:val="231F20"/>
          <w:w w:val="105"/>
        </w:rPr>
        <w:t>haciendo</w:t>
      </w:r>
      <w:r>
        <w:rPr>
          <w:color w:val="231F20"/>
          <w:spacing w:val="-21"/>
          <w:w w:val="105"/>
        </w:rPr>
        <w:t> </w:t>
      </w:r>
      <w:r>
        <w:rPr>
          <w:color w:val="231F20"/>
          <w:w w:val="105"/>
        </w:rPr>
        <w:t>énfasis</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conflictos</w:t>
      </w:r>
      <w:r>
        <w:rPr>
          <w:color w:val="231F20"/>
          <w:spacing w:val="-21"/>
          <w:w w:val="105"/>
        </w:rPr>
        <w:t> </w:t>
      </w:r>
      <w:r>
        <w:rPr>
          <w:color w:val="231F20"/>
          <w:w w:val="105"/>
        </w:rPr>
        <w:t>de</w:t>
      </w:r>
      <w:r>
        <w:rPr>
          <w:color w:val="231F20"/>
          <w:spacing w:val="-21"/>
          <w:w w:val="105"/>
        </w:rPr>
        <w:t> </w:t>
      </w:r>
      <w:r>
        <w:rPr>
          <w:color w:val="231F20"/>
          <w:w w:val="105"/>
        </w:rPr>
        <w:t>clase</w:t>
      </w:r>
      <w:r>
        <w:rPr>
          <w:color w:val="231F20"/>
          <w:spacing w:val="-21"/>
          <w:w w:val="105"/>
        </w:rPr>
        <w:t> </w:t>
      </w:r>
      <w:r>
        <w:rPr>
          <w:color w:val="231F20"/>
          <w:w w:val="105"/>
        </w:rPr>
        <w:t>social,</w:t>
      </w:r>
      <w:r>
        <w:rPr>
          <w:color w:val="231F20"/>
          <w:spacing w:val="-25"/>
          <w:w w:val="105"/>
        </w:rPr>
        <w:t> </w:t>
      </w:r>
      <w:r>
        <w:rPr>
          <w:color w:val="231F20"/>
          <w:w w:val="105"/>
        </w:rPr>
        <w:t>raza,</w:t>
      </w:r>
      <w:r>
        <w:rPr>
          <w:color w:val="231F20"/>
          <w:spacing w:val="-25"/>
          <w:w w:val="105"/>
        </w:rPr>
        <w:t> </w:t>
      </w:r>
      <w:r>
        <w:rPr>
          <w:color w:val="231F20"/>
          <w:w w:val="105"/>
        </w:rPr>
        <w:t>relaciones</w:t>
      </w:r>
      <w:r>
        <w:rPr>
          <w:color w:val="231F20"/>
          <w:spacing w:val="-21"/>
          <w:w w:val="105"/>
        </w:rPr>
        <w:t> </w:t>
      </w:r>
      <w:r>
        <w:rPr>
          <w:color w:val="231F20"/>
          <w:w w:val="105"/>
        </w:rPr>
        <w:t>de poder</w:t>
      </w:r>
      <w:r>
        <w:rPr>
          <w:color w:val="231F20"/>
          <w:spacing w:val="-16"/>
          <w:w w:val="105"/>
        </w:rPr>
        <w:t> </w:t>
      </w:r>
      <w:r>
        <w:rPr>
          <w:color w:val="231F20"/>
          <w:w w:val="105"/>
        </w:rPr>
        <w:t>y</w:t>
      </w:r>
      <w:r>
        <w:rPr>
          <w:color w:val="231F20"/>
          <w:spacing w:val="-16"/>
          <w:w w:val="105"/>
        </w:rPr>
        <w:t> </w:t>
      </w:r>
      <w:r>
        <w:rPr>
          <w:color w:val="231F20"/>
          <w:w w:val="105"/>
        </w:rPr>
        <w:t>análisis</w:t>
      </w:r>
      <w:r>
        <w:rPr>
          <w:color w:val="231F20"/>
          <w:spacing w:val="-16"/>
          <w:w w:val="105"/>
        </w:rPr>
        <w:t> </w:t>
      </w:r>
      <w:r>
        <w:rPr>
          <w:color w:val="231F20"/>
          <w:w w:val="105"/>
        </w:rPr>
        <w:t>psicológico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determinantes</w:t>
      </w:r>
      <w:r>
        <w:rPr>
          <w:color w:val="231F20"/>
          <w:spacing w:val="-16"/>
          <w:w w:val="105"/>
        </w:rPr>
        <w:t> </w:t>
      </w:r>
      <w:r>
        <w:rPr>
          <w:color w:val="231F20"/>
          <w:w w:val="105"/>
        </w:rPr>
        <w:t>de</w:t>
      </w:r>
      <w:r>
        <w:rPr>
          <w:color w:val="231F20"/>
          <w:spacing w:val="-16"/>
          <w:w w:val="105"/>
        </w:rPr>
        <w:t> </w:t>
      </w:r>
      <w:r>
        <w:rPr>
          <w:color w:val="231F20"/>
          <w:w w:val="105"/>
        </w:rPr>
        <w:t>actitudes,</w:t>
      </w:r>
      <w:r>
        <w:rPr>
          <w:color w:val="231F20"/>
          <w:spacing w:val="-22"/>
          <w:w w:val="105"/>
        </w:rPr>
        <w:t> </w:t>
      </w:r>
      <w:r>
        <w:rPr>
          <w:color w:val="231F20"/>
          <w:w w:val="105"/>
        </w:rPr>
        <w:t>preferen- cias</w:t>
      </w:r>
      <w:r>
        <w:rPr>
          <w:color w:val="231F20"/>
          <w:spacing w:val="-17"/>
          <w:w w:val="105"/>
        </w:rPr>
        <w:t> </w:t>
      </w:r>
      <w:r>
        <w:rPr>
          <w:color w:val="231F20"/>
          <w:w w:val="105"/>
        </w:rPr>
        <w:t>y</w:t>
      </w:r>
      <w:r>
        <w:rPr>
          <w:color w:val="231F20"/>
          <w:spacing w:val="-17"/>
          <w:w w:val="105"/>
        </w:rPr>
        <w:t> </w:t>
      </w:r>
      <w:r>
        <w:rPr>
          <w:color w:val="231F20"/>
          <w:w w:val="105"/>
        </w:rPr>
        <w:t>motivaciones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relación</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17"/>
          <w:w w:val="105"/>
        </w:rPr>
        <w:t> </w:t>
      </w:r>
      <w:r>
        <w:rPr>
          <w:color w:val="231F20"/>
          <w:w w:val="105"/>
        </w:rPr>
        <w:t>que</w:t>
      </w:r>
      <w:r>
        <w:rPr>
          <w:color w:val="231F20"/>
          <w:spacing w:val="-17"/>
          <w:w w:val="105"/>
        </w:rPr>
        <w:t> </w:t>
      </w:r>
      <w:r>
        <w:rPr>
          <w:color w:val="231F20"/>
          <w:w w:val="105"/>
        </w:rPr>
        <w:t>existe</w:t>
      </w:r>
      <w:r>
        <w:rPr>
          <w:color w:val="231F20"/>
          <w:spacing w:val="-17"/>
          <w:w w:val="105"/>
        </w:rPr>
        <w:t> </w:t>
      </w:r>
      <w:r>
        <w:rPr>
          <w:color w:val="231F20"/>
          <w:w w:val="105"/>
        </w:rPr>
        <w:t>entre</w:t>
      </w:r>
      <w:r>
        <w:rPr>
          <w:color w:val="231F20"/>
          <w:spacing w:val="-17"/>
          <w:w w:val="105"/>
        </w:rPr>
        <w:t> </w:t>
      </w:r>
      <w:r>
        <w:rPr>
          <w:color w:val="231F20"/>
          <w:w w:val="105"/>
        </w:rPr>
        <w:t>empleados y</w:t>
      </w:r>
      <w:r>
        <w:rPr>
          <w:color w:val="231F20"/>
          <w:spacing w:val="-34"/>
          <w:w w:val="105"/>
        </w:rPr>
        <w:t> </w:t>
      </w:r>
      <w:r>
        <w:rPr>
          <w:color w:val="231F20"/>
          <w:w w:val="105"/>
        </w:rPr>
        <w:t>empleadores</w:t>
      </w:r>
      <w:r>
        <w:rPr>
          <w:color w:val="231F20"/>
          <w:spacing w:val="-34"/>
          <w:w w:val="105"/>
        </w:rPr>
        <w:t> </w:t>
      </w:r>
      <w:r>
        <w:rPr>
          <w:color w:val="231F20"/>
          <w:w w:val="105"/>
        </w:rPr>
        <w:t>(Cain,</w:t>
      </w:r>
      <w:r>
        <w:rPr>
          <w:color w:val="231F20"/>
          <w:spacing w:val="-38"/>
          <w:w w:val="105"/>
        </w:rPr>
        <w:t> </w:t>
      </w:r>
      <w:r>
        <w:rPr>
          <w:color w:val="231F20"/>
          <w:w w:val="105"/>
        </w:rPr>
        <w:t>1975).</w:t>
      </w:r>
    </w:p>
    <w:p>
      <w:pPr>
        <w:pStyle w:val="BodyText"/>
        <w:spacing w:line="259" w:lineRule="auto"/>
        <w:ind w:left="117" w:right="101" w:firstLine="567"/>
        <w:jc w:val="both"/>
      </w:pPr>
      <w:r>
        <w:rPr>
          <w:color w:val="231F20"/>
          <w:w w:val="105"/>
        </w:rPr>
        <w:t>La siguiente generación, al igual que las dos anteriores, no des- truye</w:t>
      </w:r>
      <w:r>
        <w:rPr>
          <w:color w:val="231F20"/>
          <w:spacing w:val="-8"/>
          <w:w w:val="105"/>
        </w:rPr>
        <w:t> </w:t>
      </w:r>
      <w:r>
        <w:rPr>
          <w:color w:val="231F20"/>
          <w:w w:val="105"/>
        </w:rPr>
        <w:t>la</w:t>
      </w:r>
      <w:r>
        <w:rPr>
          <w:color w:val="231F20"/>
          <w:spacing w:val="-8"/>
          <w:w w:val="105"/>
        </w:rPr>
        <w:t> </w:t>
      </w:r>
      <w:r>
        <w:rPr>
          <w:color w:val="231F20"/>
          <w:w w:val="105"/>
        </w:rPr>
        <w:t>teoría</w:t>
      </w:r>
      <w:r>
        <w:rPr>
          <w:color w:val="231F20"/>
          <w:spacing w:val="-8"/>
          <w:w w:val="105"/>
        </w:rPr>
        <w:t> </w:t>
      </w:r>
      <w:r>
        <w:rPr>
          <w:color w:val="231F20"/>
          <w:w w:val="105"/>
        </w:rPr>
        <w:t>neoclásica</w:t>
      </w:r>
      <w:r>
        <w:rPr>
          <w:color w:val="231F20"/>
          <w:spacing w:val="-8"/>
          <w:w w:val="105"/>
        </w:rPr>
        <w:t> </w:t>
      </w:r>
      <w:r>
        <w:rPr>
          <w:color w:val="231F20"/>
          <w:w w:val="105"/>
        </w:rPr>
        <w:t>del</w:t>
      </w:r>
      <w:r>
        <w:rPr>
          <w:color w:val="231F20"/>
          <w:spacing w:val="-8"/>
          <w:w w:val="105"/>
        </w:rPr>
        <w:t> </w:t>
      </w:r>
      <w:r>
        <w:rPr>
          <w:color w:val="231F20"/>
          <w:w w:val="105"/>
        </w:rPr>
        <w:t>mercado</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14"/>
          <w:w w:val="105"/>
        </w:rPr>
        <w:t> </w:t>
      </w:r>
      <w:r>
        <w:rPr>
          <w:color w:val="231F20"/>
          <w:w w:val="105"/>
        </w:rPr>
        <w:t>sino</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modifica</w:t>
      </w:r>
      <w:r>
        <w:rPr>
          <w:color w:val="231F20"/>
          <w:spacing w:val="-8"/>
          <w:w w:val="105"/>
        </w:rPr>
        <w:t> </w:t>
      </w:r>
      <w:r>
        <w:rPr>
          <w:color w:val="231F20"/>
          <w:w w:val="105"/>
        </w:rPr>
        <w:t>y transforma;</w:t>
      </w:r>
      <w:r>
        <w:rPr>
          <w:color w:val="231F20"/>
          <w:spacing w:val="-18"/>
          <w:w w:val="105"/>
        </w:rPr>
        <w:t> </w:t>
      </w:r>
      <w:r>
        <w:rPr>
          <w:color w:val="231F20"/>
          <w:w w:val="105"/>
        </w:rPr>
        <w:t>así,</w:t>
      </w:r>
      <w:r>
        <w:rPr>
          <w:color w:val="231F20"/>
          <w:spacing w:val="-23"/>
          <w:w w:val="105"/>
        </w:rPr>
        <w:t> </w:t>
      </w:r>
      <w:r>
        <w:rPr>
          <w:color w:val="231F20"/>
          <w:w w:val="105"/>
        </w:rPr>
        <w:t>la</w:t>
      </w:r>
      <w:r>
        <w:rPr>
          <w:color w:val="231F20"/>
          <w:spacing w:val="-18"/>
          <w:w w:val="105"/>
        </w:rPr>
        <w:t> </w:t>
      </w:r>
      <w:r>
        <w:rPr>
          <w:color w:val="231F20"/>
          <w:w w:val="105"/>
        </w:rPr>
        <w:t>tercera</w:t>
      </w:r>
      <w:r>
        <w:rPr>
          <w:color w:val="231F20"/>
          <w:spacing w:val="-18"/>
          <w:w w:val="105"/>
        </w:rPr>
        <w:t> </w:t>
      </w:r>
      <w:r>
        <w:rPr>
          <w:color w:val="231F20"/>
          <w:w w:val="105"/>
        </w:rPr>
        <w:t>generación</w:t>
      </w:r>
      <w:r>
        <w:rPr>
          <w:color w:val="231F20"/>
          <w:spacing w:val="-18"/>
          <w:w w:val="105"/>
        </w:rPr>
        <w:t> </w:t>
      </w:r>
      <w:r>
        <w:rPr>
          <w:color w:val="231F20"/>
          <w:w w:val="105"/>
        </w:rPr>
        <w:t>propone</w:t>
      </w:r>
      <w:r>
        <w:rPr>
          <w:color w:val="231F20"/>
          <w:spacing w:val="-18"/>
          <w:w w:val="105"/>
        </w:rPr>
        <w:t> </w:t>
      </w:r>
      <w:r>
        <w:rPr>
          <w:color w:val="231F20"/>
          <w:w w:val="105"/>
        </w:rPr>
        <w:t>que</w:t>
      </w:r>
      <w:r>
        <w:rPr>
          <w:color w:val="231F20"/>
          <w:spacing w:val="-18"/>
          <w:w w:val="105"/>
        </w:rPr>
        <w:t> </w:t>
      </w:r>
      <w:r>
        <w:rPr>
          <w:color w:val="231F20"/>
          <w:w w:val="105"/>
        </w:rPr>
        <w:t>no</w:t>
      </w:r>
      <w:r>
        <w:rPr>
          <w:color w:val="231F20"/>
          <w:spacing w:val="-18"/>
          <w:w w:val="105"/>
        </w:rPr>
        <w:t> </w:t>
      </w:r>
      <w:r>
        <w:rPr>
          <w:color w:val="231F20"/>
          <w:w w:val="105"/>
        </w:rPr>
        <w:t>es</w:t>
      </w:r>
      <w:r>
        <w:rPr>
          <w:color w:val="231F20"/>
          <w:spacing w:val="-18"/>
          <w:w w:val="105"/>
        </w:rPr>
        <w:t> </w:t>
      </w:r>
      <w:r>
        <w:rPr>
          <w:color w:val="231F20"/>
          <w:w w:val="105"/>
        </w:rPr>
        <w:t>una</w:t>
      </w:r>
      <w:r>
        <w:rPr>
          <w:color w:val="231F20"/>
          <w:spacing w:val="-18"/>
          <w:w w:val="105"/>
        </w:rPr>
        <w:t> </w:t>
      </w:r>
      <w:r>
        <w:rPr>
          <w:color w:val="231F20"/>
          <w:w w:val="105"/>
        </w:rPr>
        <w:t>sola</w:t>
      </w:r>
      <w:r>
        <w:rPr>
          <w:color w:val="231F20"/>
          <w:spacing w:val="-18"/>
          <w:w w:val="105"/>
        </w:rPr>
        <w:t> </w:t>
      </w:r>
      <w:r>
        <w:rPr>
          <w:color w:val="231F20"/>
          <w:w w:val="105"/>
        </w:rPr>
        <w:t>causa la que explica cómo se divide o segmenta el mercado de trabajo, sino que</w:t>
      </w:r>
      <w:r>
        <w:rPr>
          <w:color w:val="231F20"/>
          <w:spacing w:val="-21"/>
          <w:w w:val="105"/>
        </w:rPr>
        <w:t> </w:t>
      </w:r>
      <w:r>
        <w:rPr>
          <w:color w:val="231F20"/>
          <w:w w:val="105"/>
        </w:rPr>
        <w:t>son</w:t>
      </w:r>
      <w:r>
        <w:rPr>
          <w:color w:val="231F20"/>
          <w:spacing w:val="-21"/>
          <w:w w:val="105"/>
        </w:rPr>
        <w:t> </w:t>
      </w:r>
      <w:r>
        <w:rPr>
          <w:color w:val="231F20"/>
          <w:w w:val="105"/>
        </w:rPr>
        <w:t>un</w:t>
      </w:r>
      <w:r>
        <w:rPr>
          <w:color w:val="231F20"/>
          <w:spacing w:val="-21"/>
          <w:w w:val="105"/>
        </w:rPr>
        <w:t> </w:t>
      </w:r>
      <w:r>
        <w:rPr>
          <w:color w:val="231F20"/>
          <w:w w:val="105"/>
        </w:rPr>
        <w:t>conjunto</w:t>
      </w:r>
      <w:r>
        <w:rPr>
          <w:color w:val="231F20"/>
          <w:spacing w:val="-21"/>
          <w:w w:val="105"/>
        </w:rPr>
        <w:t> </w:t>
      </w:r>
      <w:r>
        <w:rPr>
          <w:color w:val="231F20"/>
          <w:w w:val="105"/>
        </w:rPr>
        <w:t>de</w:t>
      </w:r>
      <w:r>
        <w:rPr>
          <w:color w:val="231F20"/>
          <w:spacing w:val="-21"/>
          <w:w w:val="105"/>
        </w:rPr>
        <w:t> </w:t>
      </w:r>
      <w:r>
        <w:rPr>
          <w:color w:val="231F20"/>
          <w:w w:val="105"/>
        </w:rPr>
        <w:t>causas</w:t>
      </w:r>
      <w:r>
        <w:rPr>
          <w:color w:val="231F20"/>
          <w:spacing w:val="-21"/>
          <w:w w:val="105"/>
        </w:rPr>
        <w:t> </w:t>
      </w:r>
      <w:r>
        <w:rPr>
          <w:color w:val="231F20"/>
          <w:w w:val="105"/>
        </w:rPr>
        <w:t>las</w:t>
      </w:r>
      <w:r>
        <w:rPr>
          <w:color w:val="231F20"/>
          <w:spacing w:val="-21"/>
          <w:w w:val="105"/>
        </w:rPr>
        <w:t> </w:t>
      </w:r>
      <w:r>
        <w:rPr>
          <w:color w:val="231F20"/>
          <w:w w:val="105"/>
        </w:rPr>
        <w:t>que</w:t>
      </w:r>
      <w:r>
        <w:rPr>
          <w:color w:val="231F20"/>
          <w:spacing w:val="-21"/>
          <w:w w:val="105"/>
        </w:rPr>
        <w:t> </w:t>
      </w:r>
      <w:r>
        <w:rPr>
          <w:color w:val="231F20"/>
          <w:w w:val="105"/>
        </w:rPr>
        <w:t>determinan</w:t>
      </w:r>
      <w:r>
        <w:rPr>
          <w:color w:val="231F20"/>
          <w:spacing w:val="-21"/>
          <w:w w:val="105"/>
        </w:rPr>
        <w:t> </w:t>
      </w:r>
      <w:r>
        <w:rPr>
          <w:color w:val="231F20"/>
          <w:w w:val="105"/>
        </w:rPr>
        <w:t>estos</w:t>
      </w:r>
      <w:r>
        <w:rPr>
          <w:color w:val="231F20"/>
          <w:spacing w:val="-21"/>
          <w:w w:val="105"/>
        </w:rPr>
        <w:t> </w:t>
      </w:r>
      <w:r>
        <w:rPr>
          <w:color w:val="231F20"/>
          <w:w w:val="105"/>
        </w:rPr>
        <w:t>sectores.</w:t>
      </w:r>
    </w:p>
    <w:p>
      <w:pPr>
        <w:spacing w:line="249" w:lineRule="auto" w:before="162"/>
        <w:ind w:left="117" w:right="17" w:firstLine="0"/>
        <w:jc w:val="left"/>
        <w:rPr>
          <w:i/>
          <w:sz w:val="21"/>
        </w:rPr>
      </w:pPr>
      <w:r>
        <w:rPr>
          <w:i/>
          <w:color w:val="231F20"/>
          <w:sz w:val="21"/>
        </w:rPr>
        <w:t>Tercera generación de la segmentación del mercado de trabajo – teoría </w:t>
      </w:r>
      <w:r>
        <w:rPr>
          <w:i/>
          <w:color w:val="231F20"/>
          <w:sz w:val="21"/>
        </w:rPr>
        <w:t>multicausal</w:t>
      </w:r>
    </w:p>
    <w:p>
      <w:pPr>
        <w:pStyle w:val="BodyText"/>
        <w:spacing w:line="259" w:lineRule="auto" w:before="179"/>
        <w:ind w:left="117" w:right="101"/>
        <w:jc w:val="both"/>
      </w:pPr>
      <w:r>
        <w:rPr>
          <w:color w:val="231F20"/>
        </w:rPr>
        <w:t>Sus contribuciones más importantes se han centrado en identificar los factores que causan la segmentación y los mecanismos bajo los cuales  se manifiesta, ubicados en los contextos institucionales, económicos y sociales </w:t>
      </w:r>
      <w:r>
        <w:rPr>
          <w:color w:val="231F20"/>
          <w:spacing w:val="-3"/>
        </w:rPr>
        <w:t>(Peck,</w:t>
      </w:r>
      <w:r>
        <w:rPr>
          <w:color w:val="231F20"/>
          <w:spacing w:val="-33"/>
        </w:rPr>
        <w:t> </w:t>
      </w:r>
      <w:r>
        <w:rPr>
          <w:color w:val="231F20"/>
        </w:rPr>
        <w:t>1996).</w:t>
      </w:r>
    </w:p>
    <w:p>
      <w:pPr>
        <w:pStyle w:val="BodyText"/>
        <w:spacing w:line="259" w:lineRule="auto"/>
        <w:ind w:left="117" w:right="101" w:firstLine="567"/>
        <w:jc w:val="both"/>
      </w:pPr>
      <w:r>
        <w:rPr>
          <w:color w:val="231F20"/>
          <w:w w:val="105"/>
        </w:rPr>
        <w:t>Los planteamientos de esta teoría son fuertes en sus críticas a</w:t>
      </w:r>
      <w:r>
        <w:rPr>
          <w:color w:val="231F20"/>
          <w:spacing w:val="-17"/>
          <w:w w:val="105"/>
        </w:rPr>
        <w:t> </w:t>
      </w:r>
      <w:r>
        <w:rPr>
          <w:color w:val="231F20"/>
          <w:w w:val="105"/>
        </w:rPr>
        <w:t>la teoría</w:t>
      </w:r>
      <w:r>
        <w:rPr>
          <w:color w:val="231F20"/>
          <w:spacing w:val="-17"/>
          <w:w w:val="105"/>
        </w:rPr>
        <w:t> </w:t>
      </w:r>
      <w:r>
        <w:rPr>
          <w:color w:val="231F20"/>
          <w:w w:val="105"/>
        </w:rPr>
        <w:t>neoclásica</w:t>
      </w:r>
      <w:r>
        <w:rPr>
          <w:color w:val="231F20"/>
          <w:spacing w:val="-17"/>
          <w:w w:val="105"/>
        </w:rPr>
        <w:t> </w:t>
      </w:r>
      <w:r>
        <w:rPr>
          <w:color w:val="231F20"/>
          <w:w w:val="105"/>
        </w:rPr>
        <w:t>del</w:t>
      </w:r>
      <w:r>
        <w:rPr>
          <w:color w:val="231F20"/>
          <w:spacing w:val="-17"/>
          <w:w w:val="105"/>
        </w:rPr>
        <w:t> </w:t>
      </w:r>
      <w:r>
        <w:rPr>
          <w:color w:val="231F20"/>
          <w:w w:val="105"/>
        </w:rPr>
        <w:t>mercado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22"/>
          <w:w w:val="105"/>
        </w:rPr>
        <w:t> </w:t>
      </w:r>
      <w:r>
        <w:rPr>
          <w:color w:val="231F20"/>
          <w:w w:val="105"/>
        </w:rPr>
        <w:t>sin</w:t>
      </w:r>
      <w:r>
        <w:rPr>
          <w:color w:val="231F20"/>
          <w:spacing w:val="-17"/>
          <w:w w:val="105"/>
        </w:rPr>
        <w:t> </w:t>
      </w:r>
      <w:r>
        <w:rPr>
          <w:color w:val="231F20"/>
          <w:w w:val="105"/>
        </w:rPr>
        <w:t>llegar</w:t>
      </w:r>
      <w:r>
        <w:rPr>
          <w:color w:val="231F20"/>
          <w:spacing w:val="-17"/>
          <w:w w:val="105"/>
        </w:rPr>
        <w:t> </w:t>
      </w:r>
      <w:r>
        <w:rPr>
          <w:color w:val="231F20"/>
          <w:w w:val="105"/>
        </w:rPr>
        <w:t>a</w:t>
      </w:r>
      <w:r>
        <w:rPr>
          <w:color w:val="231F20"/>
          <w:spacing w:val="-17"/>
          <w:w w:val="105"/>
        </w:rPr>
        <w:t> </w:t>
      </w:r>
      <w:r>
        <w:rPr>
          <w:color w:val="231F20"/>
          <w:w w:val="105"/>
        </w:rPr>
        <w:t>interpretarse</w:t>
      </w:r>
      <w:r>
        <w:rPr>
          <w:color w:val="231F20"/>
          <w:spacing w:val="-17"/>
          <w:w w:val="105"/>
        </w:rPr>
        <w:t> </w:t>
      </w:r>
      <w:r>
        <w:rPr>
          <w:color w:val="231F20"/>
          <w:w w:val="105"/>
        </w:rPr>
        <w:t>como</w:t>
      </w:r>
    </w:p>
    <w:p>
      <w:pPr>
        <w:spacing w:after="0" w:line="259" w:lineRule="auto"/>
        <w:jc w:val="both"/>
        <w:sectPr>
          <w:pgSz w:w="9640" w:h="13890"/>
          <w:pgMar w:top="0" w:bottom="280" w:left="1300" w:right="1200"/>
        </w:sectPr>
      </w:pPr>
    </w:p>
    <w:p>
      <w:pPr>
        <w:pStyle w:val="BodyText"/>
        <w:spacing w:line="259" w:lineRule="auto" w:before="120"/>
        <w:ind w:left="115" w:right="115"/>
        <w:jc w:val="both"/>
      </w:pPr>
      <w:r>
        <w:rPr>
          <w:color w:val="231F20"/>
          <w:w w:val="105"/>
        </w:rPr>
        <w:t>si</w:t>
      </w:r>
      <w:r>
        <w:rPr>
          <w:color w:val="231F20"/>
          <w:spacing w:val="-30"/>
          <w:w w:val="105"/>
        </w:rPr>
        <w:t> </w:t>
      </w:r>
      <w:r>
        <w:rPr>
          <w:color w:val="231F20"/>
          <w:w w:val="105"/>
        </w:rPr>
        <w:t>existiera</w:t>
      </w:r>
      <w:r>
        <w:rPr>
          <w:color w:val="231F20"/>
          <w:spacing w:val="-30"/>
          <w:w w:val="105"/>
        </w:rPr>
        <w:t> </w:t>
      </w:r>
      <w:r>
        <w:rPr>
          <w:color w:val="231F20"/>
          <w:w w:val="105"/>
        </w:rPr>
        <w:t>una</w:t>
      </w:r>
      <w:r>
        <w:rPr>
          <w:color w:val="231F20"/>
          <w:spacing w:val="-30"/>
          <w:w w:val="105"/>
        </w:rPr>
        <w:t> </w:t>
      </w:r>
      <w:r>
        <w:rPr>
          <w:color w:val="231F20"/>
          <w:w w:val="105"/>
        </w:rPr>
        <w:t>ruptura</w:t>
      </w:r>
      <w:r>
        <w:rPr>
          <w:color w:val="231F20"/>
          <w:spacing w:val="-30"/>
          <w:w w:val="105"/>
        </w:rPr>
        <w:t> </w:t>
      </w:r>
      <w:r>
        <w:rPr>
          <w:color w:val="231F20"/>
          <w:w w:val="105"/>
        </w:rPr>
        <w:t>conceptual</w:t>
      </w:r>
      <w:r>
        <w:rPr>
          <w:color w:val="231F20"/>
          <w:spacing w:val="-30"/>
          <w:w w:val="105"/>
        </w:rPr>
        <w:t> </w:t>
      </w:r>
      <w:r>
        <w:rPr>
          <w:color w:val="231F20"/>
          <w:w w:val="105"/>
        </w:rPr>
        <w:t>con</w:t>
      </w:r>
      <w:r>
        <w:rPr>
          <w:color w:val="231F20"/>
          <w:spacing w:val="-30"/>
          <w:w w:val="105"/>
        </w:rPr>
        <w:t> </w:t>
      </w:r>
      <w:r>
        <w:rPr>
          <w:color w:val="231F20"/>
          <w:w w:val="105"/>
        </w:rPr>
        <w:t>sus</w:t>
      </w:r>
      <w:r>
        <w:rPr>
          <w:color w:val="231F20"/>
          <w:spacing w:val="-30"/>
          <w:w w:val="105"/>
        </w:rPr>
        <w:t> </w:t>
      </w:r>
      <w:r>
        <w:rPr>
          <w:color w:val="231F20"/>
          <w:w w:val="105"/>
        </w:rPr>
        <w:t>dos</w:t>
      </w:r>
      <w:r>
        <w:rPr>
          <w:color w:val="231F20"/>
          <w:spacing w:val="-30"/>
          <w:w w:val="105"/>
        </w:rPr>
        <w:t> </w:t>
      </w:r>
      <w:r>
        <w:rPr>
          <w:color w:val="231F20"/>
          <w:w w:val="105"/>
        </w:rPr>
        <w:t>antecesoras,</w:t>
      </w:r>
      <w:r>
        <w:rPr>
          <w:color w:val="231F20"/>
          <w:spacing w:val="-35"/>
          <w:w w:val="105"/>
        </w:rPr>
        <w:t> </w:t>
      </w:r>
      <w:r>
        <w:rPr>
          <w:color w:val="231F20"/>
          <w:w w:val="105"/>
        </w:rPr>
        <w:t>pues</w:t>
      </w:r>
      <w:r>
        <w:rPr>
          <w:color w:val="231F20"/>
          <w:spacing w:val="-30"/>
          <w:w w:val="105"/>
        </w:rPr>
        <w:t> </w:t>
      </w:r>
      <w:r>
        <w:rPr>
          <w:color w:val="231F20"/>
          <w:w w:val="105"/>
        </w:rPr>
        <w:t>la</w:t>
      </w:r>
      <w:r>
        <w:rPr>
          <w:color w:val="231F20"/>
          <w:spacing w:val="-30"/>
          <w:w w:val="105"/>
        </w:rPr>
        <w:t> </w:t>
      </w:r>
      <w:r>
        <w:rPr>
          <w:color w:val="231F20"/>
          <w:w w:val="105"/>
        </w:rPr>
        <w:t>terce- ra</w:t>
      </w:r>
      <w:r>
        <w:rPr>
          <w:color w:val="231F20"/>
          <w:spacing w:val="-9"/>
          <w:w w:val="105"/>
        </w:rPr>
        <w:t> </w:t>
      </w:r>
      <w:r>
        <w:rPr>
          <w:color w:val="231F20"/>
          <w:w w:val="105"/>
        </w:rPr>
        <w:t>generación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teoría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segmentación</w:t>
      </w:r>
      <w:r>
        <w:rPr>
          <w:color w:val="231F20"/>
          <w:spacing w:val="-9"/>
          <w:w w:val="105"/>
        </w:rPr>
        <w:t> </w:t>
      </w:r>
      <w:r>
        <w:rPr>
          <w:color w:val="231F20"/>
          <w:w w:val="105"/>
        </w:rPr>
        <w:t>continúa</w:t>
      </w:r>
      <w:r>
        <w:rPr>
          <w:color w:val="231F20"/>
          <w:spacing w:val="-9"/>
          <w:w w:val="105"/>
        </w:rPr>
        <w:t> </w:t>
      </w:r>
      <w:r>
        <w:rPr>
          <w:color w:val="231F20"/>
          <w:w w:val="105"/>
        </w:rPr>
        <w:t>estando</w:t>
      </w:r>
      <w:r>
        <w:rPr>
          <w:color w:val="231F20"/>
          <w:spacing w:val="-9"/>
          <w:w w:val="105"/>
        </w:rPr>
        <w:t> </w:t>
      </w:r>
      <w:r>
        <w:rPr>
          <w:color w:val="231F20"/>
          <w:w w:val="105"/>
        </w:rPr>
        <w:t>definida por</w:t>
      </w:r>
      <w:r>
        <w:rPr>
          <w:color w:val="231F20"/>
          <w:spacing w:val="-8"/>
          <w:w w:val="105"/>
        </w:rPr>
        <w:t> </w:t>
      </w:r>
      <w:r>
        <w:rPr>
          <w:color w:val="231F20"/>
          <w:w w:val="105"/>
        </w:rPr>
        <w:t>factores</w:t>
      </w:r>
      <w:r>
        <w:rPr>
          <w:color w:val="231F20"/>
          <w:spacing w:val="-8"/>
          <w:w w:val="105"/>
        </w:rPr>
        <w:t> </w:t>
      </w:r>
      <w:r>
        <w:rPr>
          <w:color w:val="231F20"/>
          <w:w w:val="105"/>
        </w:rPr>
        <w:t>como</w:t>
      </w:r>
      <w:r>
        <w:rPr>
          <w:color w:val="231F20"/>
          <w:spacing w:val="-8"/>
          <w:w w:val="105"/>
        </w:rPr>
        <w:t> </w:t>
      </w:r>
      <w:r>
        <w:rPr>
          <w:color w:val="231F20"/>
          <w:w w:val="105"/>
        </w:rPr>
        <w:t>la</w:t>
      </w:r>
      <w:r>
        <w:rPr>
          <w:color w:val="231F20"/>
          <w:spacing w:val="-8"/>
          <w:w w:val="105"/>
        </w:rPr>
        <w:t> </w:t>
      </w:r>
      <w:r>
        <w:rPr>
          <w:color w:val="231F20"/>
          <w:w w:val="105"/>
        </w:rPr>
        <w:t>incertidumbre</w:t>
      </w:r>
      <w:r>
        <w:rPr>
          <w:color w:val="231F20"/>
          <w:spacing w:val="-8"/>
          <w:w w:val="105"/>
        </w:rPr>
        <w:t> </w:t>
      </w:r>
      <w:r>
        <w:rPr>
          <w:color w:val="231F20"/>
          <w:w w:val="105"/>
        </w:rPr>
        <w:t>del</w:t>
      </w:r>
      <w:r>
        <w:rPr>
          <w:color w:val="231F20"/>
          <w:spacing w:val="-8"/>
          <w:w w:val="105"/>
        </w:rPr>
        <w:t> </w:t>
      </w:r>
      <w:r>
        <w:rPr>
          <w:color w:val="231F20"/>
          <w:w w:val="105"/>
        </w:rPr>
        <w:t>mercado</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15"/>
          <w:w w:val="105"/>
        </w:rPr>
        <w:t> </w:t>
      </w:r>
      <w:r>
        <w:rPr>
          <w:color w:val="231F20"/>
          <w:w w:val="105"/>
        </w:rPr>
        <w:t>las</w:t>
      </w:r>
      <w:r>
        <w:rPr>
          <w:color w:val="231F20"/>
          <w:spacing w:val="-8"/>
          <w:w w:val="105"/>
        </w:rPr>
        <w:t> </w:t>
      </w:r>
      <w:r>
        <w:rPr>
          <w:color w:val="231F20"/>
          <w:w w:val="105"/>
        </w:rPr>
        <w:t>condicio- nes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mercados</w:t>
      </w:r>
      <w:r>
        <w:rPr>
          <w:color w:val="231F20"/>
          <w:spacing w:val="-12"/>
          <w:w w:val="105"/>
        </w:rPr>
        <w:t> </w:t>
      </w:r>
      <w:r>
        <w:rPr>
          <w:color w:val="231F20"/>
          <w:w w:val="105"/>
        </w:rPr>
        <w:t>de</w:t>
      </w:r>
      <w:r>
        <w:rPr>
          <w:color w:val="231F20"/>
          <w:spacing w:val="-12"/>
          <w:w w:val="105"/>
        </w:rPr>
        <w:t> </w:t>
      </w:r>
      <w:r>
        <w:rPr>
          <w:color w:val="231F20"/>
          <w:w w:val="105"/>
        </w:rPr>
        <w:t>productos,</w:t>
      </w:r>
      <w:r>
        <w:rPr>
          <w:color w:val="231F20"/>
          <w:spacing w:val="-17"/>
          <w:w w:val="105"/>
        </w:rPr>
        <w:t> </w:t>
      </w:r>
      <w:r>
        <w:rPr>
          <w:color w:val="231F20"/>
          <w:w w:val="105"/>
        </w:rPr>
        <w:t>los</w:t>
      </w:r>
      <w:r>
        <w:rPr>
          <w:color w:val="231F20"/>
          <w:spacing w:val="-12"/>
          <w:w w:val="105"/>
        </w:rPr>
        <w:t> </w:t>
      </w:r>
      <w:r>
        <w:rPr>
          <w:color w:val="231F20"/>
          <w:w w:val="105"/>
        </w:rPr>
        <w:t>requerimientos</w:t>
      </w:r>
      <w:r>
        <w:rPr>
          <w:color w:val="231F20"/>
          <w:spacing w:val="-12"/>
          <w:w w:val="105"/>
        </w:rPr>
        <w:t> </w:t>
      </w:r>
      <w:r>
        <w:rPr>
          <w:color w:val="231F20"/>
          <w:w w:val="105"/>
        </w:rPr>
        <w:t>tecnológicos</w:t>
      </w:r>
      <w:r>
        <w:rPr>
          <w:color w:val="231F20"/>
          <w:spacing w:val="-12"/>
          <w:w w:val="105"/>
        </w:rPr>
        <w:t> </w:t>
      </w:r>
      <w:r>
        <w:rPr>
          <w:color w:val="231F20"/>
          <w:w w:val="105"/>
        </w:rPr>
        <w:t>y</w:t>
      </w:r>
      <w:r>
        <w:rPr>
          <w:color w:val="231F20"/>
          <w:spacing w:val="-12"/>
          <w:w w:val="105"/>
        </w:rPr>
        <w:t> </w:t>
      </w:r>
      <w:r>
        <w:rPr>
          <w:color w:val="231F20"/>
          <w:w w:val="105"/>
        </w:rPr>
        <w:t>las estrategias</w:t>
      </w:r>
      <w:r>
        <w:rPr>
          <w:color w:val="231F20"/>
          <w:spacing w:val="-17"/>
          <w:w w:val="105"/>
        </w:rPr>
        <w:t> </w:t>
      </w:r>
      <w:r>
        <w:rPr>
          <w:color w:val="231F20"/>
          <w:w w:val="105"/>
        </w:rPr>
        <w:t>de</w:t>
      </w:r>
      <w:r>
        <w:rPr>
          <w:color w:val="231F20"/>
          <w:spacing w:val="-17"/>
          <w:w w:val="105"/>
        </w:rPr>
        <w:t> </w:t>
      </w:r>
      <w:r>
        <w:rPr>
          <w:color w:val="231F20"/>
          <w:w w:val="105"/>
        </w:rPr>
        <w:t>control</w:t>
      </w:r>
      <w:r>
        <w:rPr>
          <w:color w:val="231F20"/>
          <w:spacing w:val="-17"/>
          <w:w w:val="105"/>
        </w:rPr>
        <w:t> </w:t>
      </w:r>
      <w:r>
        <w:rPr>
          <w:color w:val="231F20"/>
          <w:w w:val="105"/>
        </w:rPr>
        <w:t>del</w:t>
      </w:r>
      <w:r>
        <w:rPr>
          <w:color w:val="231F20"/>
          <w:spacing w:val="-17"/>
          <w:w w:val="105"/>
        </w:rPr>
        <w:t> </w:t>
      </w:r>
      <w:r>
        <w:rPr>
          <w:color w:val="231F20"/>
          <w:w w:val="105"/>
        </w:rPr>
        <w:t>proceso</w:t>
      </w:r>
      <w:r>
        <w:rPr>
          <w:color w:val="231F20"/>
          <w:spacing w:val="-17"/>
          <w:w w:val="105"/>
        </w:rPr>
        <w:t> </w:t>
      </w:r>
      <w:r>
        <w:rPr>
          <w:color w:val="231F20"/>
          <w:w w:val="105"/>
        </w:rPr>
        <w:t>de</w:t>
      </w:r>
      <w:r>
        <w:rPr>
          <w:color w:val="231F20"/>
          <w:spacing w:val="-17"/>
          <w:w w:val="105"/>
        </w:rPr>
        <w:t> </w:t>
      </w:r>
      <w:r>
        <w:rPr>
          <w:color w:val="231F20"/>
          <w:w w:val="105"/>
        </w:rPr>
        <w:t>trabajo,</w:t>
      </w:r>
      <w:r>
        <w:rPr>
          <w:color w:val="231F20"/>
          <w:spacing w:val="-23"/>
          <w:w w:val="105"/>
        </w:rPr>
        <w:t> </w:t>
      </w:r>
      <w:r>
        <w:rPr>
          <w:color w:val="231F20"/>
          <w:w w:val="105"/>
        </w:rPr>
        <w:t>tal</w:t>
      </w:r>
      <w:r>
        <w:rPr>
          <w:color w:val="231F20"/>
          <w:spacing w:val="-17"/>
          <w:w w:val="105"/>
        </w:rPr>
        <w:t> </w:t>
      </w:r>
      <w:r>
        <w:rPr>
          <w:color w:val="231F20"/>
          <w:w w:val="105"/>
        </w:rPr>
        <w:t>como</w:t>
      </w:r>
      <w:r>
        <w:rPr>
          <w:color w:val="231F20"/>
          <w:spacing w:val="-17"/>
          <w:w w:val="105"/>
        </w:rPr>
        <w:t> </w:t>
      </w:r>
      <w:r>
        <w:rPr>
          <w:color w:val="231F20"/>
          <w:w w:val="105"/>
        </w:rPr>
        <w:t>se</w:t>
      </w:r>
      <w:r>
        <w:rPr>
          <w:color w:val="231F20"/>
          <w:spacing w:val="-17"/>
          <w:w w:val="105"/>
        </w:rPr>
        <w:t> </w:t>
      </w:r>
      <w:r>
        <w:rPr>
          <w:color w:val="231F20"/>
          <w:w w:val="105"/>
        </w:rPr>
        <w:t>presentan</w:t>
      </w:r>
      <w:r>
        <w:rPr>
          <w:color w:val="231F20"/>
          <w:spacing w:val="-17"/>
          <w:w w:val="105"/>
        </w:rPr>
        <w:t> </w:t>
      </w:r>
      <w:r>
        <w:rPr>
          <w:color w:val="231F20"/>
          <w:w w:val="105"/>
        </w:rPr>
        <w:t>en</w:t>
      </w:r>
      <w:r>
        <w:rPr>
          <w:color w:val="231F20"/>
          <w:spacing w:val="-17"/>
          <w:w w:val="105"/>
        </w:rPr>
        <w:t> </w:t>
      </w:r>
      <w:r>
        <w:rPr>
          <w:color w:val="231F20"/>
          <w:w w:val="105"/>
        </w:rPr>
        <w:t>la primera</w:t>
      </w:r>
      <w:r>
        <w:rPr>
          <w:color w:val="231F20"/>
          <w:spacing w:val="-28"/>
          <w:w w:val="105"/>
        </w:rPr>
        <w:t> </w:t>
      </w:r>
      <w:r>
        <w:rPr>
          <w:color w:val="231F20"/>
          <w:w w:val="105"/>
        </w:rPr>
        <w:t>y</w:t>
      </w:r>
      <w:r>
        <w:rPr>
          <w:color w:val="231F20"/>
          <w:spacing w:val="-28"/>
          <w:w w:val="105"/>
        </w:rPr>
        <w:t> </w:t>
      </w:r>
      <w:r>
        <w:rPr>
          <w:color w:val="231F20"/>
          <w:w w:val="105"/>
        </w:rPr>
        <w:t>segunda</w:t>
      </w:r>
      <w:r>
        <w:rPr>
          <w:color w:val="231F20"/>
          <w:spacing w:val="-28"/>
          <w:w w:val="105"/>
        </w:rPr>
        <w:t> </w:t>
      </w:r>
      <w:r>
        <w:rPr>
          <w:color w:val="231F20"/>
          <w:w w:val="105"/>
        </w:rPr>
        <w:t>generación</w:t>
      </w:r>
      <w:r>
        <w:rPr>
          <w:color w:val="231F20"/>
          <w:spacing w:val="-28"/>
          <w:w w:val="105"/>
        </w:rPr>
        <w:t> </w:t>
      </w:r>
      <w:r>
        <w:rPr>
          <w:color w:val="231F20"/>
          <w:spacing w:val="-3"/>
          <w:w w:val="105"/>
        </w:rPr>
        <w:t>(Peck,</w:t>
      </w:r>
      <w:r>
        <w:rPr>
          <w:color w:val="231F20"/>
          <w:spacing w:val="-32"/>
          <w:w w:val="105"/>
        </w:rPr>
        <w:t> </w:t>
      </w:r>
      <w:r>
        <w:rPr>
          <w:color w:val="231F20"/>
          <w:w w:val="105"/>
        </w:rPr>
        <w:t>1996).</w:t>
      </w:r>
    </w:p>
    <w:p>
      <w:pPr>
        <w:pStyle w:val="BodyText"/>
        <w:spacing w:line="259" w:lineRule="auto"/>
        <w:ind w:left="115" w:right="115" w:firstLine="567"/>
        <w:jc w:val="both"/>
      </w:pPr>
      <w:r>
        <w:rPr>
          <w:color w:val="231F20"/>
          <w:w w:val="105"/>
        </w:rPr>
        <w:t>La</w:t>
      </w:r>
      <w:r>
        <w:rPr>
          <w:color w:val="231F20"/>
          <w:spacing w:val="-16"/>
          <w:w w:val="105"/>
        </w:rPr>
        <w:t> </w:t>
      </w:r>
      <w:r>
        <w:rPr>
          <w:color w:val="231F20"/>
          <w:w w:val="105"/>
        </w:rPr>
        <w:t>estratificación</w:t>
      </w:r>
      <w:r>
        <w:rPr>
          <w:color w:val="231F20"/>
          <w:spacing w:val="-16"/>
          <w:w w:val="105"/>
        </w:rPr>
        <w:t> </w:t>
      </w:r>
      <w:r>
        <w:rPr>
          <w:color w:val="231F20"/>
          <w:w w:val="105"/>
        </w:rPr>
        <w:t>en</w:t>
      </w:r>
      <w:r>
        <w:rPr>
          <w:color w:val="231F20"/>
          <w:spacing w:val="-16"/>
          <w:w w:val="105"/>
        </w:rPr>
        <w:t> </w:t>
      </w:r>
      <w:r>
        <w:rPr>
          <w:color w:val="231F20"/>
          <w:w w:val="105"/>
        </w:rPr>
        <w:t>esta</w:t>
      </w:r>
      <w:r>
        <w:rPr>
          <w:color w:val="231F20"/>
          <w:spacing w:val="-16"/>
          <w:w w:val="105"/>
        </w:rPr>
        <w:t> </w:t>
      </w:r>
      <w:r>
        <w:rPr>
          <w:color w:val="231F20"/>
          <w:w w:val="105"/>
        </w:rPr>
        <w:t>generación</w:t>
      </w:r>
      <w:r>
        <w:rPr>
          <w:color w:val="231F20"/>
          <w:spacing w:val="-16"/>
          <w:w w:val="105"/>
        </w:rPr>
        <w:t> </w:t>
      </w:r>
      <w:r>
        <w:rPr>
          <w:color w:val="231F20"/>
          <w:w w:val="105"/>
        </w:rPr>
        <w:t>se</w:t>
      </w:r>
      <w:r>
        <w:rPr>
          <w:color w:val="231F20"/>
          <w:spacing w:val="-16"/>
          <w:w w:val="105"/>
        </w:rPr>
        <w:t> </w:t>
      </w:r>
      <w:r>
        <w:rPr>
          <w:color w:val="231F20"/>
          <w:w w:val="105"/>
        </w:rPr>
        <w:t>presenta</w:t>
      </w:r>
      <w:r>
        <w:rPr>
          <w:color w:val="231F20"/>
          <w:spacing w:val="-16"/>
          <w:w w:val="105"/>
        </w:rPr>
        <w:t> </w:t>
      </w:r>
      <w:r>
        <w:rPr>
          <w:color w:val="231F20"/>
          <w:w w:val="105"/>
        </w:rPr>
        <w:t>por</w:t>
      </w:r>
      <w:r>
        <w:rPr>
          <w:color w:val="231F20"/>
          <w:spacing w:val="-16"/>
          <w:w w:val="105"/>
        </w:rPr>
        <w:t> </w:t>
      </w:r>
      <w:r>
        <w:rPr>
          <w:color w:val="231F20"/>
          <w:w w:val="105"/>
        </w:rPr>
        <w:t>diversas</w:t>
      </w:r>
      <w:r>
        <w:rPr>
          <w:color w:val="231F20"/>
          <w:spacing w:val="-16"/>
          <w:w w:val="105"/>
        </w:rPr>
        <w:t> </w:t>
      </w:r>
      <w:r>
        <w:rPr>
          <w:color w:val="231F20"/>
          <w:w w:val="105"/>
        </w:rPr>
        <w:t>cau- </w:t>
      </w:r>
      <w:r>
        <w:rPr>
          <w:color w:val="231F20"/>
        </w:rPr>
        <w:t>sas</w:t>
      </w:r>
      <w:r>
        <w:rPr>
          <w:color w:val="231F20"/>
          <w:spacing w:val="-24"/>
        </w:rPr>
        <w:t> </w:t>
      </w:r>
      <w:r>
        <w:rPr>
          <w:color w:val="231F20"/>
          <w:spacing w:val="-3"/>
        </w:rPr>
        <w:t>(Peck,</w:t>
      </w:r>
      <w:r>
        <w:rPr>
          <w:color w:val="231F20"/>
          <w:spacing w:val="-28"/>
        </w:rPr>
        <w:t> </w:t>
      </w:r>
      <w:r>
        <w:rPr>
          <w:color w:val="231F20"/>
        </w:rPr>
        <w:t>1996):</w:t>
      </w:r>
    </w:p>
    <w:p>
      <w:pPr>
        <w:pStyle w:val="BodyText"/>
        <w:spacing w:before="6"/>
        <w:rPr>
          <w:sz w:val="22"/>
        </w:rPr>
      </w:pPr>
    </w:p>
    <w:p>
      <w:pPr>
        <w:pStyle w:val="ListParagraph"/>
        <w:numPr>
          <w:ilvl w:val="1"/>
          <w:numId w:val="52"/>
        </w:numPr>
        <w:tabs>
          <w:tab w:pos="1325" w:val="left" w:leader="none"/>
          <w:tab w:pos="1326" w:val="left" w:leader="none"/>
        </w:tabs>
        <w:spacing w:line="240" w:lineRule="auto" w:before="1" w:after="0"/>
        <w:ind w:left="1326" w:right="0" w:hanging="360"/>
        <w:jc w:val="left"/>
        <w:rPr>
          <w:sz w:val="21"/>
        </w:rPr>
      </w:pPr>
      <w:r>
        <w:rPr>
          <w:color w:val="231F20"/>
          <w:sz w:val="21"/>
        </w:rPr>
        <w:t>Una industria</w:t>
      </w:r>
      <w:r>
        <w:rPr>
          <w:color w:val="231F20"/>
          <w:spacing w:val="50"/>
          <w:sz w:val="21"/>
        </w:rPr>
        <w:t> </w:t>
      </w:r>
      <w:r>
        <w:rPr>
          <w:color w:val="231F20"/>
          <w:sz w:val="21"/>
        </w:rPr>
        <w:t>fraccionada.</w:t>
      </w:r>
    </w:p>
    <w:p>
      <w:pPr>
        <w:pStyle w:val="BodyText"/>
        <w:spacing w:before="4"/>
        <w:rPr>
          <w:sz w:val="16"/>
        </w:rPr>
      </w:pPr>
    </w:p>
    <w:p>
      <w:pPr>
        <w:pStyle w:val="ListParagraph"/>
        <w:numPr>
          <w:ilvl w:val="1"/>
          <w:numId w:val="52"/>
        </w:numPr>
        <w:tabs>
          <w:tab w:pos="1325" w:val="left" w:leader="none"/>
          <w:tab w:pos="1326" w:val="left" w:leader="none"/>
        </w:tabs>
        <w:spacing w:line="259" w:lineRule="auto" w:before="0" w:after="0"/>
        <w:ind w:left="1326" w:right="115" w:hanging="360"/>
        <w:jc w:val="left"/>
        <w:rPr>
          <w:sz w:val="21"/>
        </w:rPr>
      </w:pPr>
      <w:r>
        <w:rPr>
          <w:color w:val="231F20"/>
          <w:w w:val="105"/>
          <w:sz w:val="21"/>
        </w:rPr>
        <w:t>Los</w:t>
      </w:r>
      <w:r>
        <w:rPr>
          <w:color w:val="231F20"/>
          <w:spacing w:val="-10"/>
          <w:w w:val="105"/>
          <w:sz w:val="21"/>
        </w:rPr>
        <w:t> </w:t>
      </w:r>
      <w:r>
        <w:rPr>
          <w:color w:val="231F20"/>
          <w:w w:val="105"/>
          <w:sz w:val="21"/>
        </w:rPr>
        <w:t>imperativos</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control</w:t>
      </w:r>
      <w:r>
        <w:rPr>
          <w:color w:val="231F20"/>
          <w:spacing w:val="-10"/>
          <w:w w:val="105"/>
          <w:sz w:val="21"/>
        </w:rPr>
        <w:t> </w:t>
      </w:r>
      <w:r>
        <w:rPr>
          <w:color w:val="231F20"/>
          <w:w w:val="105"/>
          <w:sz w:val="21"/>
        </w:rPr>
        <w:t>del</w:t>
      </w:r>
      <w:r>
        <w:rPr>
          <w:color w:val="231F20"/>
          <w:spacing w:val="-10"/>
          <w:w w:val="105"/>
          <w:sz w:val="21"/>
        </w:rPr>
        <w:t> </w:t>
      </w:r>
      <w:r>
        <w:rPr>
          <w:color w:val="231F20"/>
          <w:w w:val="105"/>
          <w:sz w:val="21"/>
        </w:rPr>
        <w:t>trabajo</w:t>
      </w:r>
      <w:r>
        <w:rPr>
          <w:color w:val="231F20"/>
          <w:spacing w:val="-10"/>
          <w:w w:val="105"/>
          <w:sz w:val="21"/>
        </w:rPr>
        <w:t> </w:t>
      </w:r>
      <w:r>
        <w:rPr>
          <w:color w:val="231F20"/>
          <w:w w:val="105"/>
          <w:sz w:val="21"/>
        </w:rPr>
        <w:t>(desde</w:t>
      </w:r>
      <w:r>
        <w:rPr>
          <w:color w:val="231F20"/>
          <w:spacing w:val="-10"/>
          <w:w w:val="105"/>
          <w:sz w:val="21"/>
        </w:rPr>
        <w:t> </w:t>
      </w:r>
      <w:r>
        <w:rPr>
          <w:color w:val="231F20"/>
          <w:w w:val="105"/>
          <w:sz w:val="21"/>
        </w:rPr>
        <w:t>el</w:t>
      </w:r>
      <w:r>
        <w:rPr>
          <w:color w:val="231F20"/>
          <w:spacing w:val="-10"/>
          <w:w w:val="105"/>
          <w:sz w:val="21"/>
        </w:rPr>
        <w:t> </w:t>
      </w:r>
      <w:r>
        <w:rPr>
          <w:color w:val="231F20"/>
          <w:w w:val="105"/>
          <w:sz w:val="21"/>
        </w:rPr>
        <w:t>mercado</w:t>
      </w:r>
      <w:r>
        <w:rPr>
          <w:color w:val="231F20"/>
          <w:spacing w:val="-10"/>
          <w:w w:val="105"/>
          <w:sz w:val="21"/>
        </w:rPr>
        <w:t> </w:t>
      </w:r>
      <w:r>
        <w:rPr>
          <w:color w:val="231F20"/>
          <w:w w:val="105"/>
          <w:sz w:val="21"/>
        </w:rPr>
        <w:t>in- terno).</w:t>
      </w:r>
    </w:p>
    <w:p>
      <w:pPr>
        <w:pStyle w:val="ListParagraph"/>
        <w:numPr>
          <w:ilvl w:val="1"/>
          <w:numId w:val="52"/>
        </w:numPr>
        <w:tabs>
          <w:tab w:pos="1325" w:val="left" w:leader="none"/>
          <w:tab w:pos="1326" w:val="left" w:leader="none"/>
        </w:tabs>
        <w:spacing w:line="240" w:lineRule="auto" w:before="170" w:after="0"/>
        <w:ind w:left="1326" w:right="0" w:hanging="360"/>
        <w:jc w:val="left"/>
        <w:rPr>
          <w:sz w:val="21"/>
        </w:rPr>
      </w:pPr>
      <w:r>
        <w:rPr>
          <w:color w:val="231F20"/>
          <w:sz w:val="21"/>
        </w:rPr>
        <w:t>Las luchas laborales</w:t>
      </w:r>
      <w:r>
        <w:rPr>
          <w:color w:val="231F20"/>
          <w:spacing w:val="4"/>
          <w:sz w:val="21"/>
        </w:rPr>
        <w:t> </w:t>
      </w:r>
      <w:r>
        <w:rPr>
          <w:color w:val="231F20"/>
          <w:sz w:val="21"/>
        </w:rPr>
        <w:t>(sindicalismo).</w:t>
      </w:r>
    </w:p>
    <w:p>
      <w:pPr>
        <w:pStyle w:val="BodyText"/>
        <w:spacing w:before="4"/>
        <w:rPr>
          <w:sz w:val="16"/>
        </w:rPr>
      </w:pPr>
    </w:p>
    <w:p>
      <w:pPr>
        <w:pStyle w:val="ListParagraph"/>
        <w:numPr>
          <w:ilvl w:val="1"/>
          <w:numId w:val="52"/>
        </w:numPr>
        <w:tabs>
          <w:tab w:pos="1325" w:val="left" w:leader="none"/>
          <w:tab w:pos="1326" w:val="left" w:leader="none"/>
        </w:tabs>
        <w:spacing w:line="240" w:lineRule="auto" w:before="0" w:after="0"/>
        <w:ind w:left="1326" w:right="0" w:hanging="360"/>
        <w:jc w:val="left"/>
        <w:rPr>
          <w:sz w:val="21"/>
        </w:rPr>
      </w:pPr>
      <w:r>
        <w:rPr>
          <w:color w:val="231F20"/>
          <w:w w:val="105"/>
          <w:sz w:val="21"/>
        </w:rPr>
        <w:t>Las</w:t>
      </w:r>
      <w:r>
        <w:rPr>
          <w:color w:val="231F20"/>
          <w:spacing w:val="-17"/>
          <w:w w:val="105"/>
          <w:sz w:val="21"/>
        </w:rPr>
        <w:t> </w:t>
      </w:r>
      <w:r>
        <w:rPr>
          <w:color w:val="231F20"/>
          <w:w w:val="105"/>
          <w:sz w:val="21"/>
        </w:rPr>
        <w:t>condiciones</w:t>
      </w:r>
      <w:r>
        <w:rPr>
          <w:color w:val="231F20"/>
          <w:spacing w:val="-17"/>
          <w:w w:val="105"/>
          <w:sz w:val="21"/>
        </w:rPr>
        <w:t> </w:t>
      </w:r>
      <w:r>
        <w:rPr>
          <w:color w:val="231F20"/>
          <w:w w:val="105"/>
          <w:sz w:val="21"/>
        </w:rPr>
        <w:t>variables</w:t>
      </w:r>
      <w:r>
        <w:rPr>
          <w:color w:val="231F20"/>
          <w:spacing w:val="-17"/>
          <w:w w:val="105"/>
          <w:sz w:val="21"/>
        </w:rPr>
        <w:t> </w:t>
      </w:r>
      <w:r>
        <w:rPr>
          <w:color w:val="231F20"/>
          <w:w w:val="105"/>
          <w:sz w:val="21"/>
        </w:rPr>
        <w:t>del</w:t>
      </w:r>
      <w:r>
        <w:rPr>
          <w:color w:val="231F20"/>
          <w:spacing w:val="-17"/>
          <w:w w:val="105"/>
          <w:sz w:val="21"/>
        </w:rPr>
        <w:t> </w:t>
      </w:r>
      <w:r>
        <w:rPr>
          <w:color w:val="231F20"/>
          <w:w w:val="105"/>
          <w:sz w:val="21"/>
        </w:rPr>
        <w:t>mercado</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productos.</w:t>
      </w:r>
    </w:p>
    <w:p>
      <w:pPr>
        <w:pStyle w:val="BodyText"/>
        <w:spacing w:before="4"/>
        <w:rPr>
          <w:sz w:val="16"/>
        </w:rPr>
      </w:pPr>
    </w:p>
    <w:p>
      <w:pPr>
        <w:pStyle w:val="ListParagraph"/>
        <w:numPr>
          <w:ilvl w:val="1"/>
          <w:numId w:val="52"/>
        </w:numPr>
        <w:tabs>
          <w:tab w:pos="1325" w:val="left" w:leader="none"/>
          <w:tab w:pos="1326" w:val="left" w:leader="none"/>
        </w:tabs>
        <w:spacing w:line="240" w:lineRule="auto" w:before="0" w:after="0"/>
        <w:ind w:left="1326" w:right="0" w:hanging="360"/>
        <w:jc w:val="left"/>
        <w:rPr>
          <w:sz w:val="21"/>
        </w:rPr>
      </w:pPr>
      <w:r>
        <w:rPr>
          <w:color w:val="231F20"/>
          <w:w w:val="105"/>
          <w:sz w:val="21"/>
        </w:rPr>
        <w:t>El desarrollo tecnológico</w:t>
      </w:r>
      <w:r>
        <w:rPr>
          <w:color w:val="231F20"/>
          <w:spacing w:val="-13"/>
          <w:w w:val="105"/>
          <w:sz w:val="21"/>
        </w:rPr>
        <w:t> </w:t>
      </w:r>
      <w:r>
        <w:rPr>
          <w:color w:val="231F20"/>
          <w:w w:val="105"/>
          <w:sz w:val="21"/>
        </w:rPr>
        <w:t>divergente.</w:t>
      </w:r>
    </w:p>
    <w:p>
      <w:pPr>
        <w:pStyle w:val="BodyText"/>
        <w:rPr>
          <w:sz w:val="20"/>
        </w:rPr>
      </w:pPr>
    </w:p>
    <w:p>
      <w:pPr>
        <w:pStyle w:val="BodyText"/>
        <w:rPr>
          <w:sz w:val="19"/>
        </w:rPr>
      </w:pPr>
    </w:p>
    <w:p>
      <w:pPr>
        <w:pStyle w:val="BodyText"/>
        <w:spacing w:line="259" w:lineRule="auto"/>
        <w:ind w:left="115" w:right="109"/>
        <w:jc w:val="both"/>
      </w:pPr>
      <w:r>
        <w:rPr>
          <w:color w:val="231F20"/>
          <w:w w:val="105"/>
        </w:rPr>
        <w:t>Además</w:t>
      </w:r>
      <w:r>
        <w:rPr>
          <w:color w:val="231F20"/>
          <w:spacing w:val="-20"/>
          <w:w w:val="105"/>
        </w:rPr>
        <w:t> </w:t>
      </w:r>
      <w:r>
        <w:rPr>
          <w:color w:val="231F20"/>
          <w:w w:val="105"/>
        </w:rPr>
        <w:t>de</w:t>
      </w:r>
      <w:r>
        <w:rPr>
          <w:color w:val="231F20"/>
          <w:spacing w:val="-20"/>
          <w:w w:val="105"/>
        </w:rPr>
        <w:t> </w:t>
      </w:r>
      <w:r>
        <w:rPr>
          <w:color w:val="231F20"/>
          <w:w w:val="105"/>
        </w:rPr>
        <w:t>estas</w:t>
      </w:r>
      <w:r>
        <w:rPr>
          <w:color w:val="231F20"/>
          <w:spacing w:val="-20"/>
          <w:w w:val="105"/>
        </w:rPr>
        <w:t> </w:t>
      </w:r>
      <w:r>
        <w:rPr>
          <w:color w:val="231F20"/>
          <w:w w:val="105"/>
        </w:rPr>
        <w:t>causas,</w:t>
      </w:r>
      <w:r>
        <w:rPr>
          <w:color w:val="231F20"/>
          <w:spacing w:val="-25"/>
          <w:w w:val="105"/>
        </w:rPr>
        <w:t> </w:t>
      </w:r>
      <w:r>
        <w:rPr>
          <w:color w:val="231F20"/>
          <w:w w:val="105"/>
        </w:rPr>
        <w:t>la</w:t>
      </w:r>
      <w:r>
        <w:rPr>
          <w:color w:val="231F20"/>
          <w:spacing w:val="-20"/>
          <w:w w:val="105"/>
        </w:rPr>
        <w:t> </w:t>
      </w:r>
      <w:r>
        <w:rPr>
          <w:color w:val="231F20"/>
          <w:w w:val="105"/>
        </w:rPr>
        <w:t>sociedad</w:t>
      </w:r>
      <w:r>
        <w:rPr>
          <w:color w:val="231F20"/>
          <w:spacing w:val="-20"/>
          <w:w w:val="105"/>
        </w:rPr>
        <w:t> </w:t>
      </w:r>
      <w:r>
        <w:rPr>
          <w:color w:val="231F20"/>
          <w:w w:val="105"/>
        </w:rPr>
        <w:t>ejerce</w:t>
      </w:r>
      <w:r>
        <w:rPr>
          <w:color w:val="231F20"/>
          <w:spacing w:val="-20"/>
          <w:w w:val="105"/>
        </w:rPr>
        <w:t> </w:t>
      </w:r>
      <w:r>
        <w:rPr>
          <w:color w:val="231F20"/>
          <w:w w:val="105"/>
        </w:rPr>
        <w:t>una</w:t>
      </w:r>
      <w:r>
        <w:rPr>
          <w:color w:val="231F20"/>
          <w:spacing w:val="-20"/>
          <w:w w:val="105"/>
        </w:rPr>
        <w:t> </w:t>
      </w:r>
      <w:r>
        <w:rPr>
          <w:color w:val="231F20"/>
          <w:w w:val="105"/>
        </w:rPr>
        <w:t>influencia</w:t>
      </w:r>
      <w:r>
        <w:rPr>
          <w:color w:val="231F20"/>
          <w:spacing w:val="-20"/>
          <w:w w:val="105"/>
        </w:rPr>
        <w:t> </w:t>
      </w:r>
      <w:r>
        <w:rPr>
          <w:color w:val="231F20"/>
          <w:w w:val="105"/>
        </w:rPr>
        <w:t>relativamente autónoma</w:t>
      </w:r>
      <w:r>
        <w:rPr>
          <w:color w:val="231F20"/>
          <w:spacing w:val="-26"/>
          <w:w w:val="105"/>
        </w:rPr>
        <w:t> </w:t>
      </w:r>
      <w:r>
        <w:rPr>
          <w:color w:val="231F20"/>
          <w:w w:val="105"/>
        </w:rPr>
        <w:t>sobre</w:t>
      </w:r>
      <w:r>
        <w:rPr>
          <w:color w:val="231F20"/>
          <w:spacing w:val="-26"/>
          <w:w w:val="105"/>
        </w:rPr>
        <w:t> </w:t>
      </w:r>
      <w:r>
        <w:rPr>
          <w:color w:val="231F20"/>
          <w:w w:val="105"/>
        </w:rPr>
        <w:t>las</w:t>
      </w:r>
      <w:r>
        <w:rPr>
          <w:color w:val="231F20"/>
          <w:spacing w:val="-26"/>
          <w:w w:val="105"/>
        </w:rPr>
        <w:t> </w:t>
      </w:r>
      <w:r>
        <w:rPr>
          <w:color w:val="231F20"/>
          <w:w w:val="105"/>
        </w:rPr>
        <w:t>formas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segmentación.</w:t>
      </w:r>
      <w:r>
        <w:rPr>
          <w:color w:val="231F20"/>
          <w:spacing w:val="-32"/>
          <w:w w:val="105"/>
        </w:rPr>
        <w:t> </w:t>
      </w:r>
      <w:r>
        <w:rPr>
          <w:color w:val="231F20"/>
          <w:w w:val="105"/>
        </w:rPr>
        <w:t>En</w:t>
      </w:r>
      <w:r>
        <w:rPr>
          <w:color w:val="231F20"/>
          <w:spacing w:val="-26"/>
          <w:w w:val="105"/>
        </w:rPr>
        <w:t> </w:t>
      </w:r>
      <w:r>
        <w:rPr>
          <w:color w:val="231F20"/>
          <w:w w:val="105"/>
        </w:rPr>
        <w:t>cuanto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estructura, dinamismo</w:t>
      </w:r>
      <w:r>
        <w:rPr>
          <w:color w:val="231F20"/>
          <w:spacing w:val="-7"/>
          <w:w w:val="105"/>
        </w:rPr>
        <w:t> </w:t>
      </w:r>
      <w:r>
        <w:rPr>
          <w:color w:val="231F20"/>
          <w:spacing w:val="-3"/>
          <w:w w:val="105"/>
        </w:rPr>
        <w:t>(Peck,</w:t>
      </w:r>
      <w:r>
        <w:rPr>
          <w:color w:val="231F20"/>
          <w:spacing w:val="-12"/>
          <w:w w:val="105"/>
        </w:rPr>
        <w:t> </w:t>
      </w:r>
      <w:r>
        <w:rPr>
          <w:color w:val="231F20"/>
          <w:w w:val="105"/>
        </w:rPr>
        <w:t>1996)</w:t>
      </w:r>
      <w:r>
        <w:rPr>
          <w:color w:val="231F20"/>
          <w:spacing w:val="-7"/>
          <w:w w:val="105"/>
        </w:rPr>
        <w:t> </w:t>
      </w:r>
      <w:r>
        <w:rPr>
          <w:color w:val="231F20"/>
          <w:w w:val="105"/>
        </w:rPr>
        <w:t>y</w:t>
      </w:r>
      <w:r>
        <w:rPr>
          <w:color w:val="231F20"/>
          <w:spacing w:val="-7"/>
          <w:w w:val="105"/>
        </w:rPr>
        <w:t> </w:t>
      </w:r>
      <w:r>
        <w:rPr>
          <w:color w:val="231F20"/>
          <w:w w:val="105"/>
        </w:rPr>
        <w:t>regulación</w:t>
      </w:r>
      <w:r>
        <w:rPr>
          <w:color w:val="231F20"/>
          <w:spacing w:val="-7"/>
          <w:w w:val="105"/>
        </w:rPr>
        <w:t> </w:t>
      </w:r>
      <w:r>
        <w:rPr>
          <w:color w:val="231F20"/>
          <w:w w:val="105"/>
        </w:rPr>
        <w:t>social</w:t>
      </w:r>
      <w:r>
        <w:rPr>
          <w:color w:val="231F20"/>
          <w:spacing w:val="-7"/>
          <w:w w:val="105"/>
        </w:rPr>
        <w:t> </w:t>
      </w:r>
      <w:r>
        <w:rPr>
          <w:color w:val="231F20"/>
          <w:w w:val="105"/>
        </w:rPr>
        <w:t>que</w:t>
      </w:r>
      <w:r>
        <w:rPr>
          <w:color w:val="231F20"/>
          <w:spacing w:val="-7"/>
          <w:w w:val="105"/>
        </w:rPr>
        <w:t> </w:t>
      </w:r>
      <w:r>
        <w:rPr>
          <w:color w:val="231F20"/>
          <w:w w:val="105"/>
        </w:rPr>
        <w:t>presenta,</w:t>
      </w:r>
      <w:r>
        <w:rPr>
          <w:color w:val="231F20"/>
          <w:spacing w:val="-12"/>
          <w:w w:val="105"/>
        </w:rPr>
        <w:t> </w:t>
      </w:r>
      <w:r>
        <w:rPr>
          <w:color w:val="231F20"/>
          <w:w w:val="105"/>
        </w:rPr>
        <w:t>es</w:t>
      </w:r>
      <w:r>
        <w:rPr>
          <w:color w:val="231F20"/>
          <w:spacing w:val="-7"/>
          <w:w w:val="105"/>
        </w:rPr>
        <w:t> </w:t>
      </w:r>
      <w:r>
        <w:rPr>
          <w:color w:val="231F20"/>
          <w:w w:val="105"/>
        </w:rPr>
        <w:t>vista</w:t>
      </w:r>
      <w:r>
        <w:rPr>
          <w:color w:val="231F20"/>
          <w:spacing w:val="-7"/>
          <w:w w:val="105"/>
        </w:rPr>
        <w:t> </w:t>
      </w:r>
      <w:r>
        <w:rPr>
          <w:color w:val="231F20"/>
          <w:w w:val="105"/>
        </w:rPr>
        <w:t>como un</w:t>
      </w:r>
      <w:r>
        <w:rPr>
          <w:color w:val="231F20"/>
          <w:spacing w:val="-6"/>
          <w:w w:val="105"/>
        </w:rPr>
        <w:t> </w:t>
      </w:r>
      <w:r>
        <w:rPr>
          <w:color w:val="231F20"/>
          <w:w w:val="105"/>
        </w:rPr>
        <w:t>proceso</w:t>
      </w:r>
      <w:r>
        <w:rPr>
          <w:color w:val="231F20"/>
          <w:spacing w:val="-6"/>
          <w:w w:val="105"/>
        </w:rPr>
        <w:t> </w:t>
      </w:r>
      <w:r>
        <w:rPr>
          <w:color w:val="231F20"/>
          <w:w w:val="105"/>
        </w:rPr>
        <w:t>necesario</w:t>
      </w:r>
      <w:r>
        <w:rPr>
          <w:color w:val="231F20"/>
          <w:spacing w:val="-6"/>
          <w:w w:val="105"/>
        </w:rPr>
        <w:t> </w:t>
      </w:r>
      <w:r>
        <w:rPr>
          <w:color w:val="231F20"/>
          <w:w w:val="105"/>
        </w:rPr>
        <w:t>pero</w:t>
      </w:r>
      <w:r>
        <w:rPr>
          <w:color w:val="231F20"/>
          <w:spacing w:val="-6"/>
          <w:w w:val="105"/>
        </w:rPr>
        <w:t> </w:t>
      </w:r>
      <w:r>
        <w:rPr>
          <w:color w:val="231F20"/>
          <w:w w:val="105"/>
        </w:rPr>
        <w:t>contradictorio.</w:t>
      </w:r>
      <w:r>
        <w:rPr>
          <w:color w:val="231F20"/>
          <w:spacing w:val="-11"/>
          <w:w w:val="105"/>
        </w:rPr>
        <w:t> </w:t>
      </w:r>
      <w:r>
        <w:rPr>
          <w:color w:val="231F20"/>
          <w:w w:val="105"/>
        </w:rPr>
        <w:t>Los</w:t>
      </w:r>
      <w:r>
        <w:rPr>
          <w:color w:val="231F20"/>
          <w:spacing w:val="-6"/>
          <w:w w:val="105"/>
        </w:rPr>
        <w:t> </w:t>
      </w:r>
      <w:r>
        <w:rPr>
          <w:color w:val="231F20"/>
          <w:w w:val="105"/>
        </w:rPr>
        <w:t>orígenes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segmenta- ción</w:t>
      </w:r>
      <w:r>
        <w:rPr>
          <w:color w:val="231F20"/>
          <w:spacing w:val="-33"/>
          <w:w w:val="105"/>
        </w:rPr>
        <w:t> </w:t>
      </w:r>
      <w:r>
        <w:rPr>
          <w:color w:val="231F20"/>
          <w:w w:val="105"/>
        </w:rPr>
        <w:t>se</w:t>
      </w:r>
      <w:r>
        <w:rPr>
          <w:color w:val="231F20"/>
          <w:spacing w:val="-33"/>
          <w:w w:val="105"/>
        </w:rPr>
        <w:t> </w:t>
      </w:r>
      <w:r>
        <w:rPr>
          <w:color w:val="231F20"/>
          <w:w w:val="105"/>
        </w:rPr>
        <w:t>remontan</w:t>
      </w:r>
      <w:r>
        <w:rPr>
          <w:color w:val="231F20"/>
          <w:spacing w:val="-33"/>
          <w:w w:val="105"/>
        </w:rPr>
        <w:t> </w:t>
      </w:r>
      <w:r>
        <w:rPr>
          <w:color w:val="231F20"/>
          <w:w w:val="105"/>
        </w:rPr>
        <w:t>hasta</w:t>
      </w:r>
      <w:r>
        <w:rPr>
          <w:color w:val="231F20"/>
          <w:spacing w:val="-33"/>
          <w:w w:val="105"/>
        </w:rPr>
        <w:t> </w:t>
      </w:r>
      <w:r>
        <w:rPr>
          <w:color w:val="231F20"/>
          <w:w w:val="105"/>
        </w:rPr>
        <w:t>la</w:t>
      </w:r>
      <w:r>
        <w:rPr>
          <w:color w:val="231F20"/>
          <w:spacing w:val="-33"/>
          <w:w w:val="105"/>
        </w:rPr>
        <w:t> </w:t>
      </w:r>
      <w:r>
        <w:rPr>
          <w:color w:val="231F20"/>
          <w:w w:val="105"/>
        </w:rPr>
        <w:t>estructura</w:t>
      </w:r>
      <w:r>
        <w:rPr>
          <w:color w:val="231F20"/>
          <w:spacing w:val="-33"/>
          <w:w w:val="105"/>
        </w:rPr>
        <w:t> </w:t>
      </w:r>
      <w:r>
        <w:rPr>
          <w:color w:val="231F20"/>
          <w:w w:val="105"/>
        </w:rPr>
        <w:t>educacional,</w:t>
      </w:r>
      <w:r>
        <w:rPr>
          <w:color w:val="231F20"/>
          <w:spacing w:val="-37"/>
          <w:w w:val="105"/>
        </w:rPr>
        <w:t> </w:t>
      </w:r>
      <w:r>
        <w:rPr>
          <w:color w:val="231F20"/>
          <w:w w:val="105"/>
        </w:rPr>
        <w:t>el</w:t>
      </w:r>
      <w:r>
        <w:rPr>
          <w:color w:val="231F20"/>
          <w:spacing w:val="-33"/>
          <w:w w:val="105"/>
        </w:rPr>
        <w:t> </w:t>
      </w:r>
      <w:r>
        <w:rPr>
          <w:color w:val="231F20"/>
          <w:w w:val="105"/>
        </w:rPr>
        <w:t>sistema</w:t>
      </w:r>
      <w:r>
        <w:rPr>
          <w:color w:val="231F20"/>
          <w:spacing w:val="-33"/>
          <w:w w:val="105"/>
        </w:rPr>
        <w:t> </w:t>
      </w:r>
      <w:r>
        <w:rPr>
          <w:color w:val="231F20"/>
          <w:w w:val="105"/>
        </w:rPr>
        <w:t>de</w:t>
      </w:r>
      <w:r>
        <w:rPr>
          <w:color w:val="231F20"/>
          <w:spacing w:val="-33"/>
          <w:w w:val="105"/>
        </w:rPr>
        <w:t> </w:t>
      </w:r>
      <w:r>
        <w:rPr>
          <w:color w:val="231F20"/>
          <w:w w:val="105"/>
        </w:rPr>
        <w:t>formación, las</w:t>
      </w:r>
      <w:r>
        <w:rPr>
          <w:color w:val="231F20"/>
          <w:spacing w:val="-37"/>
          <w:w w:val="105"/>
        </w:rPr>
        <w:t> </w:t>
      </w:r>
      <w:r>
        <w:rPr>
          <w:color w:val="231F20"/>
          <w:w w:val="105"/>
        </w:rPr>
        <w:t>relaciones</w:t>
      </w:r>
      <w:r>
        <w:rPr>
          <w:color w:val="231F20"/>
          <w:spacing w:val="-37"/>
          <w:w w:val="105"/>
        </w:rPr>
        <w:t> </w:t>
      </w:r>
      <w:r>
        <w:rPr>
          <w:color w:val="231F20"/>
          <w:w w:val="105"/>
        </w:rPr>
        <w:t>industriales,</w:t>
      </w:r>
      <w:r>
        <w:rPr>
          <w:color w:val="231F20"/>
          <w:spacing w:val="-41"/>
          <w:w w:val="105"/>
        </w:rPr>
        <w:t> </w:t>
      </w:r>
      <w:r>
        <w:rPr>
          <w:color w:val="231F20"/>
          <w:w w:val="105"/>
        </w:rPr>
        <w:t>regímenes</w:t>
      </w:r>
      <w:r>
        <w:rPr>
          <w:color w:val="231F20"/>
          <w:spacing w:val="-37"/>
          <w:w w:val="105"/>
        </w:rPr>
        <w:t> </w:t>
      </w:r>
      <w:r>
        <w:rPr>
          <w:color w:val="231F20"/>
          <w:w w:val="105"/>
        </w:rPr>
        <w:t>laborales</w:t>
      </w:r>
      <w:r>
        <w:rPr>
          <w:color w:val="231F20"/>
          <w:spacing w:val="-37"/>
          <w:w w:val="105"/>
        </w:rPr>
        <w:t> </w:t>
      </w:r>
      <w:r>
        <w:rPr>
          <w:color w:val="231F20"/>
          <w:w w:val="105"/>
        </w:rPr>
        <w:t>de</w:t>
      </w:r>
      <w:r>
        <w:rPr>
          <w:color w:val="231F20"/>
          <w:spacing w:val="-37"/>
          <w:w w:val="105"/>
        </w:rPr>
        <w:t> </w:t>
      </w:r>
      <w:r>
        <w:rPr>
          <w:color w:val="231F20"/>
          <w:w w:val="105"/>
        </w:rPr>
        <w:t>contratación</w:t>
      </w:r>
      <w:r>
        <w:rPr>
          <w:color w:val="231F20"/>
          <w:spacing w:val="-37"/>
          <w:w w:val="105"/>
        </w:rPr>
        <w:t> </w:t>
      </w:r>
      <w:r>
        <w:rPr>
          <w:color w:val="231F20"/>
          <w:w w:val="105"/>
        </w:rPr>
        <w:t>y</w:t>
      </w:r>
      <w:r>
        <w:rPr>
          <w:color w:val="231F20"/>
          <w:spacing w:val="-37"/>
          <w:w w:val="105"/>
        </w:rPr>
        <w:t> </w:t>
      </w:r>
      <w:r>
        <w:rPr>
          <w:color w:val="231F20"/>
          <w:w w:val="105"/>
        </w:rPr>
        <w:t>los</w:t>
      </w:r>
      <w:r>
        <w:rPr>
          <w:color w:val="231F20"/>
          <w:spacing w:val="-37"/>
          <w:w w:val="105"/>
        </w:rPr>
        <w:t> </w:t>
      </w:r>
      <w:r>
        <w:rPr>
          <w:color w:val="231F20"/>
          <w:w w:val="105"/>
        </w:rPr>
        <w:t>siste- mas</w:t>
      </w:r>
      <w:r>
        <w:rPr>
          <w:color w:val="231F20"/>
          <w:spacing w:val="-35"/>
          <w:w w:val="105"/>
        </w:rPr>
        <w:t> </w:t>
      </w:r>
      <w:r>
        <w:rPr>
          <w:color w:val="231F20"/>
          <w:w w:val="105"/>
        </w:rPr>
        <w:t>de</w:t>
      </w:r>
      <w:r>
        <w:rPr>
          <w:color w:val="231F20"/>
          <w:spacing w:val="-35"/>
          <w:w w:val="105"/>
        </w:rPr>
        <w:t> </w:t>
      </w:r>
      <w:r>
        <w:rPr>
          <w:color w:val="231F20"/>
          <w:w w:val="105"/>
        </w:rPr>
        <w:t>bienestar</w:t>
      </w:r>
      <w:r>
        <w:rPr>
          <w:color w:val="231F20"/>
          <w:spacing w:val="-35"/>
          <w:w w:val="105"/>
        </w:rPr>
        <w:t> </w:t>
      </w:r>
      <w:r>
        <w:rPr>
          <w:color w:val="231F20"/>
          <w:spacing w:val="-3"/>
          <w:w w:val="105"/>
        </w:rPr>
        <w:t>(Peck,</w:t>
      </w:r>
      <w:r>
        <w:rPr>
          <w:color w:val="231F20"/>
          <w:spacing w:val="-39"/>
          <w:w w:val="105"/>
        </w:rPr>
        <w:t> </w:t>
      </w:r>
      <w:r>
        <w:rPr>
          <w:color w:val="231F20"/>
          <w:w w:val="105"/>
        </w:rPr>
        <w:t>1996).</w:t>
      </w:r>
    </w:p>
    <w:p>
      <w:pPr>
        <w:pStyle w:val="BodyText"/>
        <w:spacing w:line="259" w:lineRule="auto"/>
        <w:ind w:left="115" w:right="114" w:firstLine="567"/>
        <w:jc w:val="both"/>
      </w:pPr>
      <w:r>
        <w:rPr>
          <w:color w:val="231F20"/>
          <w:w w:val="105"/>
        </w:rPr>
        <w:t>Recapitulando,</w:t>
      </w:r>
      <w:r>
        <w:rPr>
          <w:color w:val="231F20"/>
          <w:spacing w:val="-26"/>
          <w:w w:val="105"/>
        </w:rPr>
        <w:t> </w:t>
      </w:r>
      <w:r>
        <w:rPr>
          <w:color w:val="231F20"/>
          <w:w w:val="105"/>
        </w:rPr>
        <w:t>la</w:t>
      </w:r>
      <w:r>
        <w:rPr>
          <w:color w:val="231F20"/>
          <w:spacing w:val="-21"/>
          <w:w w:val="105"/>
        </w:rPr>
        <w:t> </w:t>
      </w:r>
      <w:r>
        <w:rPr>
          <w:color w:val="231F20"/>
          <w:w w:val="105"/>
        </w:rPr>
        <w:t>tercera</w:t>
      </w:r>
      <w:r>
        <w:rPr>
          <w:color w:val="231F20"/>
          <w:spacing w:val="-21"/>
          <w:w w:val="105"/>
        </w:rPr>
        <w:t> </w:t>
      </w:r>
      <w:r>
        <w:rPr>
          <w:color w:val="231F20"/>
          <w:w w:val="105"/>
        </w:rPr>
        <w:t>generación</w:t>
      </w:r>
      <w:r>
        <w:rPr>
          <w:color w:val="231F20"/>
          <w:spacing w:val="-21"/>
          <w:w w:val="105"/>
        </w:rPr>
        <w:t> </w:t>
      </w:r>
      <w:r>
        <w:rPr>
          <w:color w:val="231F20"/>
          <w:w w:val="105"/>
        </w:rPr>
        <w:t>define</w:t>
      </w:r>
      <w:r>
        <w:rPr>
          <w:color w:val="231F20"/>
          <w:spacing w:val="-21"/>
          <w:w w:val="105"/>
        </w:rPr>
        <w:t> </w:t>
      </w:r>
      <w:r>
        <w:rPr>
          <w:color w:val="231F20"/>
          <w:w w:val="105"/>
        </w:rPr>
        <w:t>la</w:t>
      </w:r>
      <w:r>
        <w:rPr>
          <w:color w:val="231F20"/>
          <w:spacing w:val="-21"/>
          <w:w w:val="105"/>
        </w:rPr>
        <w:t> </w:t>
      </w:r>
      <w:r>
        <w:rPr>
          <w:color w:val="231F20"/>
          <w:w w:val="105"/>
        </w:rPr>
        <w:t>estratificación</w:t>
      </w:r>
      <w:r>
        <w:rPr>
          <w:color w:val="231F20"/>
          <w:spacing w:val="-21"/>
          <w:w w:val="105"/>
        </w:rPr>
        <w:t> </w:t>
      </w:r>
      <w:r>
        <w:rPr>
          <w:color w:val="231F20"/>
          <w:w w:val="105"/>
        </w:rPr>
        <w:t>o</w:t>
      </w:r>
      <w:r>
        <w:rPr>
          <w:color w:val="231F20"/>
          <w:spacing w:val="-21"/>
          <w:w w:val="105"/>
        </w:rPr>
        <w:t> </w:t>
      </w:r>
      <w:r>
        <w:rPr>
          <w:color w:val="231F20"/>
          <w:w w:val="105"/>
        </w:rPr>
        <w:t>seg- mentación</w:t>
      </w:r>
      <w:r>
        <w:rPr>
          <w:color w:val="231F20"/>
          <w:spacing w:val="-25"/>
          <w:w w:val="105"/>
        </w:rPr>
        <w:t> </w:t>
      </w:r>
      <w:r>
        <w:rPr>
          <w:color w:val="231F20"/>
          <w:w w:val="105"/>
        </w:rPr>
        <w:t>por</w:t>
      </w:r>
      <w:r>
        <w:rPr>
          <w:color w:val="231F20"/>
          <w:spacing w:val="-25"/>
          <w:w w:val="105"/>
        </w:rPr>
        <w:t> </w:t>
      </w:r>
      <w:r>
        <w:rPr>
          <w:color w:val="231F20"/>
          <w:w w:val="105"/>
        </w:rPr>
        <w:t>una</w:t>
      </w:r>
      <w:r>
        <w:rPr>
          <w:color w:val="231F20"/>
          <w:spacing w:val="-25"/>
          <w:w w:val="105"/>
        </w:rPr>
        <w:t> </w:t>
      </w:r>
      <w:r>
        <w:rPr>
          <w:color w:val="231F20"/>
          <w:w w:val="105"/>
        </w:rPr>
        <w:t>serie</w:t>
      </w:r>
      <w:r>
        <w:rPr>
          <w:color w:val="231F20"/>
          <w:spacing w:val="-25"/>
          <w:w w:val="105"/>
        </w:rPr>
        <w:t> </w:t>
      </w:r>
      <w:r>
        <w:rPr>
          <w:color w:val="231F20"/>
          <w:w w:val="105"/>
        </w:rPr>
        <w:t>de</w:t>
      </w:r>
      <w:r>
        <w:rPr>
          <w:color w:val="231F20"/>
          <w:spacing w:val="-25"/>
          <w:w w:val="105"/>
        </w:rPr>
        <w:t> </w:t>
      </w:r>
      <w:r>
        <w:rPr>
          <w:color w:val="231F20"/>
          <w:w w:val="105"/>
        </w:rPr>
        <w:t>causas</w:t>
      </w:r>
      <w:r>
        <w:rPr>
          <w:color w:val="231F20"/>
          <w:spacing w:val="-25"/>
          <w:w w:val="105"/>
        </w:rPr>
        <w:t> </w:t>
      </w:r>
      <w:r>
        <w:rPr>
          <w:color w:val="231F20"/>
          <w:w w:val="105"/>
        </w:rPr>
        <w:t>y</w:t>
      </w:r>
      <w:r>
        <w:rPr>
          <w:color w:val="231F20"/>
          <w:spacing w:val="-25"/>
          <w:w w:val="105"/>
        </w:rPr>
        <w:t> </w:t>
      </w:r>
      <w:r>
        <w:rPr>
          <w:color w:val="231F20"/>
          <w:w w:val="105"/>
        </w:rPr>
        <w:t>no</w:t>
      </w:r>
      <w:r>
        <w:rPr>
          <w:color w:val="231F20"/>
          <w:spacing w:val="-25"/>
          <w:w w:val="105"/>
        </w:rPr>
        <w:t> </w:t>
      </w:r>
      <w:r>
        <w:rPr>
          <w:color w:val="231F20"/>
          <w:w w:val="105"/>
        </w:rPr>
        <w:t>por</w:t>
      </w:r>
      <w:r>
        <w:rPr>
          <w:color w:val="231F20"/>
          <w:spacing w:val="-25"/>
          <w:w w:val="105"/>
        </w:rPr>
        <w:t> </w:t>
      </w:r>
      <w:r>
        <w:rPr>
          <w:color w:val="231F20"/>
          <w:w w:val="105"/>
        </w:rPr>
        <w:t>un</w:t>
      </w:r>
      <w:r>
        <w:rPr>
          <w:color w:val="231F20"/>
          <w:spacing w:val="-25"/>
          <w:w w:val="105"/>
        </w:rPr>
        <w:t> </w:t>
      </w:r>
      <w:r>
        <w:rPr>
          <w:color w:val="231F20"/>
          <w:w w:val="105"/>
        </w:rPr>
        <w:t>solo</w:t>
      </w:r>
      <w:r>
        <w:rPr>
          <w:color w:val="231F20"/>
          <w:spacing w:val="-25"/>
          <w:w w:val="105"/>
        </w:rPr>
        <w:t> </w:t>
      </w:r>
      <w:r>
        <w:rPr>
          <w:color w:val="231F20"/>
          <w:w w:val="105"/>
        </w:rPr>
        <w:t>factor.</w:t>
      </w:r>
      <w:r>
        <w:rPr>
          <w:color w:val="231F20"/>
          <w:spacing w:val="-30"/>
          <w:w w:val="105"/>
        </w:rPr>
        <w:t> </w:t>
      </w:r>
      <w:r>
        <w:rPr>
          <w:color w:val="231F20"/>
          <w:w w:val="105"/>
        </w:rPr>
        <w:t>Entre</w:t>
      </w:r>
      <w:r>
        <w:rPr>
          <w:color w:val="231F20"/>
          <w:spacing w:val="-25"/>
          <w:w w:val="105"/>
        </w:rPr>
        <w:t> </w:t>
      </w:r>
      <w:r>
        <w:rPr>
          <w:color w:val="231F20"/>
          <w:w w:val="105"/>
        </w:rPr>
        <w:t>las</w:t>
      </w:r>
      <w:r>
        <w:rPr>
          <w:color w:val="231F20"/>
          <w:spacing w:val="-25"/>
          <w:w w:val="105"/>
        </w:rPr>
        <w:t> </w:t>
      </w:r>
      <w:r>
        <w:rPr>
          <w:color w:val="231F20"/>
          <w:w w:val="105"/>
        </w:rPr>
        <w:t>princi- pales</w:t>
      </w:r>
      <w:r>
        <w:rPr>
          <w:color w:val="231F20"/>
          <w:spacing w:val="-25"/>
          <w:w w:val="105"/>
        </w:rPr>
        <w:t> </w:t>
      </w:r>
      <w:r>
        <w:rPr>
          <w:color w:val="231F20"/>
          <w:w w:val="105"/>
        </w:rPr>
        <w:t>causas</w:t>
      </w:r>
      <w:r>
        <w:rPr>
          <w:color w:val="231F20"/>
          <w:spacing w:val="-25"/>
          <w:w w:val="105"/>
        </w:rPr>
        <w:t> </w:t>
      </w:r>
      <w:r>
        <w:rPr>
          <w:color w:val="231F20"/>
          <w:w w:val="105"/>
        </w:rPr>
        <w:t>destacan</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segmentos</w:t>
      </w:r>
      <w:r>
        <w:rPr>
          <w:color w:val="231F20"/>
          <w:spacing w:val="-25"/>
          <w:w w:val="105"/>
        </w:rPr>
        <w:t> </w:t>
      </w:r>
      <w:r>
        <w:rPr>
          <w:color w:val="231F20"/>
          <w:w w:val="105"/>
        </w:rPr>
        <w:t>se</w:t>
      </w:r>
      <w:r>
        <w:rPr>
          <w:color w:val="231F20"/>
          <w:spacing w:val="-25"/>
          <w:w w:val="105"/>
        </w:rPr>
        <w:t> </w:t>
      </w:r>
      <w:r>
        <w:rPr>
          <w:color w:val="231F20"/>
          <w:w w:val="105"/>
        </w:rPr>
        <w:t>forman</w:t>
      </w:r>
      <w:r>
        <w:rPr>
          <w:color w:val="231F20"/>
          <w:spacing w:val="-25"/>
          <w:w w:val="105"/>
        </w:rPr>
        <w:t> </w:t>
      </w:r>
      <w:r>
        <w:rPr>
          <w:color w:val="231F20"/>
          <w:w w:val="105"/>
        </w:rPr>
        <w:t>debido</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indus- tria</w:t>
      </w:r>
      <w:r>
        <w:rPr>
          <w:color w:val="231F20"/>
          <w:spacing w:val="-13"/>
          <w:w w:val="105"/>
        </w:rPr>
        <w:t> </w:t>
      </w:r>
      <w:r>
        <w:rPr>
          <w:color w:val="231F20"/>
          <w:w w:val="105"/>
        </w:rPr>
        <w:t>fraccionada,</w:t>
      </w:r>
      <w:r>
        <w:rPr>
          <w:color w:val="231F20"/>
          <w:spacing w:val="-19"/>
          <w:w w:val="105"/>
        </w:rPr>
        <w:t> </w:t>
      </w:r>
      <w:r>
        <w:rPr>
          <w:color w:val="231F20"/>
          <w:w w:val="105"/>
        </w:rPr>
        <w:t>los</w:t>
      </w:r>
      <w:r>
        <w:rPr>
          <w:color w:val="231F20"/>
          <w:spacing w:val="-13"/>
          <w:w w:val="105"/>
        </w:rPr>
        <w:t> </w:t>
      </w:r>
      <w:r>
        <w:rPr>
          <w:color w:val="231F20"/>
          <w:w w:val="105"/>
        </w:rPr>
        <w:t>imperativos</w:t>
      </w:r>
      <w:r>
        <w:rPr>
          <w:color w:val="231F20"/>
          <w:spacing w:val="-13"/>
          <w:w w:val="105"/>
        </w:rPr>
        <w:t> </w:t>
      </w:r>
      <w:r>
        <w:rPr>
          <w:color w:val="231F20"/>
          <w:w w:val="105"/>
        </w:rPr>
        <w:t>de</w:t>
      </w:r>
      <w:r>
        <w:rPr>
          <w:color w:val="231F20"/>
          <w:spacing w:val="-13"/>
          <w:w w:val="105"/>
        </w:rPr>
        <w:t> </w:t>
      </w:r>
      <w:r>
        <w:rPr>
          <w:color w:val="231F20"/>
          <w:w w:val="105"/>
        </w:rPr>
        <w:t>control</w:t>
      </w:r>
      <w:r>
        <w:rPr>
          <w:color w:val="231F20"/>
          <w:spacing w:val="-13"/>
          <w:w w:val="105"/>
        </w:rPr>
        <w:t> </w:t>
      </w:r>
      <w:r>
        <w:rPr>
          <w:color w:val="231F20"/>
          <w:w w:val="105"/>
        </w:rPr>
        <w:t>del</w:t>
      </w:r>
      <w:r>
        <w:rPr>
          <w:color w:val="231F20"/>
          <w:spacing w:val="-13"/>
          <w:w w:val="105"/>
        </w:rPr>
        <w:t> </w:t>
      </w:r>
      <w:r>
        <w:rPr>
          <w:color w:val="231F20"/>
          <w:w w:val="105"/>
        </w:rPr>
        <w:t>trabajo</w:t>
      </w:r>
      <w:r>
        <w:rPr>
          <w:color w:val="231F20"/>
          <w:spacing w:val="-13"/>
          <w:w w:val="105"/>
        </w:rPr>
        <w:t> </w:t>
      </w:r>
      <w:r>
        <w:rPr>
          <w:color w:val="231F20"/>
          <w:w w:val="105"/>
        </w:rPr>
        <w:t>(desde</w:t>
      </w:r>
      <w:r>
        <w:rPr>
          <w:color w:val="231F20"/>
          <w:spacing w:val="-13"/>
          <w:w w:val="105"/>
        </w:rPr>
        <w:t> </w:t>
      </w:r>
      <w:r>
        <w:rPr>
          <w:color w:val="231F20"/>
          <w:w w:val="105"/>
        </w:rPr>
        <w:t>el</w:t>
      </w:r>
      <w:r>
        <w:rPr>
          <w:color w:val="231F20"/>
          <w:spacing w:val="-13"/>
          <w:w w:val="105"/>
        </w:rPr>
        <w:t> </w:t>
      </w:r>
      <w:r>
        <w:rPr>
          <w:color w:val="231F20"/>
          <w:w w:val="105"/>
        </w:rPr>
        <w:t>mercado interno),</w:t>
      </w:r>
      <w:r>
        <w:rPr>
          <w:color w:val="231F20"/>
          <w:spacing w:val="-24"/>
          <w:w w:val="105"/>
        </w:rPr>
        <w:t> </w:t>
      </w:r>
      <w:r>
        <w:rPr>
          <w:color w:val="231F20"/>
          <w:w w:val="105"/>
        </w:rPr>
        <w:t>las</w:t>
      </w:r>
      <w:r>
        <w:rPr>
          <w:color w:val="231F20"/>
          <w:spacing w:val="-19"/>
          <w:w w:val="105"/>
        </w:rPr>
        <w:t> </w:t>
      </w:r>
      <w:r>
        <w:rPr>
          <w:color w:val="231F20"/>
          <w:w w:val="105"/>
        </w:rPr>
        <w:t>luchas</w:t>
      </w:r>
      <w:r>
        <w:rPr>
          <w:color w:val="231F20"/>
          <w:spacing w:val="-19"/>
          <w:w w:val="105"/>
        </w:rPr>
        <w:t> </w:t>
      </w:r>
      <w:r>
        <w:rPr>
          <w:color w:val="231F20"/>
          <w:w w:val="105"/>
        </w:rPr>
        <w:t>laborales</w:t>
      </w:r>
      <w:r>
        <w:rPr>
          <w:color w:val="231F20"/>
          <w:spacing w:val="-19"/>
          <w:w w:val="105"/>
        </w:rPr>
        <w:t> </w:t>
      </w:r>
      <w:r>
        <w:rPr>
          <w:color w:val="231F20"/>
          <w:w w:val="105"/>
        </w:rPr>
        <w:t>(sindicalismo),</w:t>
      </w:r>
      <w:r>
        <w:rPr>
          <w:color w:val="231F20"/>
          <w:spacing w:val="-24"/>
          <w:w w:val="105"/>
        </w:rPr>
        <w:t> </w:t>
      </w:r>
      <w:r>
        <w:rPr>
          <w:color w:val="231F20"/>
          <w:w w:val="105"/>
        </w:rPr>
        <w:t>las</w:t>
      </w:r>
      <w:r>
        <w:rPr>
          <w:color w:val="231F20"/>
          <w:spacing w:val="-19"/>
          <w:w w:val="105"/>
        </w:rPr>
        <w:t> </w:t>
      </w:r>
      <w:r>
        <w:rPr>
          <w:color w:val="231F20"/>
          <w:w w:val="105"/>
        </w:rPr>
        <w:t>condiciones</w:t>
      </w:r>
      <w:r>
        <w:rPr>
          <w:color w:val="231F20"/>
          <w:spacing w:val="-19"/>
          <w:w w:val="105"/>
        </w:rPr>
        <w:t> </w:t>
      </w:r>
      <w:r>
        <w:rPr>
          <w:color w:val="231F20"/>
          <w:w w:val="105"/>
        </w:rPr>
        <w:t>variables</w:t>
      </w:r>
      <w:r>
        <w:rPr>
          <w:color w:val="231F20"/>
          <w:spacing w:val="-19"/>
          <w:w w:val="105"/>
        </w:rPr>
        <w:t> </w:t>
      </w:r>
      <w:r>
        <w:rPr>
          <w:color w:val="231F20"/>
          <w:w w:val="105"/>
        </w:rPr>
        <w:t>del mercado de productos o el desarrollo tecnológico</w:t>
      </w:r>
      <w:r>
        <w:rPr>
          <w:color w:val="231F20"/>
          <w:spacing w:val="-2"/>
          <w:w w:val="105"/>
        </w:rPr>
        <w:t> </w:t>
      </w:r>
      <w:r>
        <w:rPr>
          <w:color w:val="231F20"/>
          <w:w w:val="105"/>
        </w:rPr>
        <w:t>divergente.</w:t>
      </w:r>
    </w:p>
    <w:p>
      <w:pPr>
        <w:spacing w:before="162"/>
        <w:ind w:left="115" w:right="0" w:firstLine="0"/>
        <w:jc w:val="both"/>
        <w:rPr>
          <w:i/>
          <w:sz w:val="21"/>
        </w:rPr>
      </w:pPr>
      <w:r>
        <w:rPr>
          <w:i/>
          <w:color w:val="231F20"/>
          <w:sz w:val="21"/>
        </w:rPr>
        <w:t>Cuarta generación de la segmentación del mercado de trabajo –   toyotismo</w:t>
      </w:r>
    </w:p>
    <w:p>
      <w:pPr>
        <w:pStyle w:val="BodyText"/>
        <w:spacing w:before="4"/>
        <w:rPr>
          <w:i/>
          <w:sz w:val="16"/>
        </w:rPr>
      </w:pPr>
    </w:p>
    <w:p>
      <w:pPr>
        <w:pStyle w:val="BodyText"/>
        <w:spacing w:line="259" w:lineRule="auto"/>
        <w:ind w:left="115" w:right="115"/>
        <w:jc w:val="both"/>
      </w:pPr>
      <w:r>
        <w:rPr>
          <w:color w:val="231F20"/>
          <w:w w:val="105"/>
        </w:rPr>
        <w:t>La</w:t>
      </w:r>
      <w:r>
        <w:rPr>
          <w:color w:val="231F20"/>
          <w:spacing w:val="-13"/>
          <w:w w:val="105"/>
        </w:rPr>
        <w:t> </w:t>
      </w:r>
      <w:r>
        <w:rPr>
          <w:color w:val="231F20"/>
          <w:w w:val="105"/>
        </w:rPr>
        <w:t>cuarta</w:t>
      </w:r>
      <w:r>
        <w:rPr>
          <w:color w:val="231F20"/>
          <w:spacing w:val="-13"/>
          <w:w w:val="105"/>
        </w:rPr>
        <w:t> </w:t>
      </w:r>
      <w:r>
        <w:rPr>
          <w:color w:val="231F20"/>
          <w:w w:val="105"/>
        </w:rPr>
        <w:t>generación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segmentación</w:t>
      </w:r>
      <w:r>
        <w:rPr>
          <w:color w:val="231F20"/>
          <w:spacing w:val="-13"/>
          <w:w w:val="105"/>
        </w:rPr>
        <w:t> </w:t>
      </w:r>
      <w:r>
        <w:rPr>
          <w:color w:val="231F20"/>
          <w:w w:val="105"/>
        </w:rPr>
        <w:t>nace</w:t>
      </w:r>
      <w:r>
        <w:rPr>
          <w:color w:val="231F20"/>
          <w:spacing w:val="-13"/>
          <w:w w:val="105"/>
        </w:rPr>
        <w:t> </w:t>
      </w:r>
      <w:r>
        <w:rPr>
          <w:color w:val="231F20"/>
          <w:w w:val="105"/>
        </w:rPr>
        <w:t>del</w:t>
      </w:r>
      <w:r>
        <w:rPr>
          <w:color w:val="231F20"/>
          <w:spacing w:val="-13"/>
          <w:w w:val="105"/>
        </w:rPr>
        <w:t> </w:t>
      </w:r>
      <w:r>
        <w:rPr>
          <w:color w:val="231F20"/>
          <w:w w:val="105"/>
        </w:rPr>
        <w:t>hecho</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teo- rías</w:t>
      </w:r>
      <w:r>
        <w:rPr>
          <w:color w:val="231F20"/>
          <w:spacing w:val="-12"/>
          <w:w w:val="105"/>
        </w:rPr>
        <w:t> </w:t>
      </w:r>
      <w:r>
        <w:rPr>
          <w:color w:val="231F20"/>
          <w:w w:val="105"/>
        </w:rPr>
        <w:t>actuales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segmentación</w:t>
      </w:r>
      <w:r>
        <w:rPr>
          <w:color w:val="231F20"/>
          <w:spacing w:val="-12"/>
          <w:w w:val="105"/>
        </w:rPr>
        <w:t> </w:t>
      </w:r>
      <w:r>
        <w:rPr>
          <w:color w:val="231F20"/>
          <w:w w:val="105"/>
        </w:rPr>
        <w:t>no</w:t>
      </w:r>
      <w:r>
        <w:rPr>
          <w:color w:val="231F20"/>
          <w:spacing w:val="-12"/>
          <w:w w:val="105"/>
        </w:rPr>
        <w:t> </w:t>
      </w:r>
      <w:r>
        <w:rPr>
          <w:color w:val="231F20"/>
          <w:w w:val="105"/>
        </w:rPr>
        <w:t>únicamente</w:t>
      </w:r>
      <w:r>
        <w:rPr>
          <w:color w:val="231F20"/>
          <w:spacing w:val="-12"/>
          <w:w w:val="105"/>
        </w:rPr>
        <w:t> </w:t>
      </w:r>
      <w:r>
        <w:rPr>
          <w:color w:val="231F20"/>
          <w:w w:val="105"/>
        </w:rPr>
        <w:t>se</w:t>
      </w:r>
      <w:r>
        <w:rPr>
          <w:color w:val="231F20"/>
          <w:spacing w:val="-12"/>
          <w:w w:val="105"/>
        </w:rPr>
        <w:t> </w:t>
      </w:r>
      <w:r>
        <w:rPr>
          <w:color w:val="231F20"/>
          <w:w w:val="105"/>
        </w:rPr>
        <w:t>centran</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patro- nes</w:t>
      </w:r>
      <w:r>
        <w:rPr>
          <w:color w:val="231F20"/>
          <w:spacing w:val="-16"/>
          <w:w w:val="105"/>
        </w:rPr>
        <w:t> </w:t>
      </w:r>
      <w:r>
        <w:rPr>
          <w:color w:val="231F20"/>
          <w:w w:val="105"/>
        </w:rPr>
        <w:t>y</w:t>
      </w:r>
      <w:r>
        <w:rPr>
          <w:color w:val="231F20"/>
          <w:spacing w:val="-16"/>
          <w:w w:val="105"/>
        </w:rPr>
        <w:t> </w:t>
      </w:r>
      <w:r>
        <w:rPr>
          <w:color w:val="231F20"/>
          <w:w w:val="105"/>
        </w:rPr>
        <w:t>los</w:t>
      </w:r>
      <w:r>
        <w:rPr>
          <w:color w:val="231F20"/>
          <w:spacing w:val="-16"/>
          <w:w w:val="105"/>
        </w:rPr>
        <w:t> </w:t>
      </w:r>
      <w:r>
        <w:rPr>
          <w:color w:val="231F20"/>
          <w:w w:val="105"/>
        </w:rPr>
        <w:t>procesos</w:t>
      </w:r>
      <w:r>
        <w:rPr>
          <w:color w:val="231F20"/>
          <w:spacing w:val="-16"/>
          <w:w w:val="105"/>
        </w:rPr>
        <w:t> </w:t>
      </w:r>
      <w:r>
        <w:rPr>
          <w:color w:val="231F20"/>
          <w:w w:val="105"/>
        </w:rPr>
        <w:t>del</w:t>
      </w:r>
      <w:r>
        <w:rPr>
          <w:color w:val="231F20"/>
          <w:spacing w:val="-16"/>
          <w:w w:val="105"/>
        </w:rPr>
        <w:t> </w:t>
      </w:r>
      <w:r>
        <w:rPr>
          <w:color w:val="231F20"/>
          <w:w w:val="105"/>
        </w:rPr>
        <w:t>mercado</w:t>
      </w:r>
      <w:r>
        <w:rPr>
          <w:color w:val="231F20"/>
          <w:spacing w:val="-16"/>
          <w:w w:val="105"/>
        </w:rPr>
        <w:t> </w:t>
      </w:r>
      <w:r>
        <w:rPr>
          <w:color w:val="231F20"/>
          <w:w w:val="105"/>
        </w:rPr>
        <w:t>de</w:t>
      </w:r>
      <w:r>
        <w:rPr>
          <w:color w:val="231F20"/>
          <w:spacing w:val="-16"/>
          <w:w w:val="105"/>
        </w:rPr>
        <w:t> </w:t>
      </w:r>
      <w:r>
        <w:rPr>
          <w:color w:val="231F20"/>
          <w:w w:val="105"/>
        </w:rPr>
        <w:t>trabajo,</w:t>
      </w:r>
      <w:r>
        <w:rPr>
          <w:color w:val="231F20"/>
          <w:spacing w:val="-21"/>
          <w:w w:val="105"/>
        </w:rPr>
        <w:t> </w:t>
      </w:r>
      <w:r>
        <w:rPr>
          <w:color w:val="231F20"/>
          <w:w w:val="105"/>
        </w:rPr>
        <w:t>sino</w:t>
      </w:r>
      <w:r>
        <w:rPr>
          <w:color w:val="231F20"/>
          <w:spacing w:val="-16"/>
          <w:w w:val="105"/>
        </w:rPr>
        <w:t> </w:t>
      </w:r>
      <w:r>
        <w:rPr>
          <w:color w:val="231F20"/>
          <w:w w:val="105"/>
        </w:rPr>
        <w:t>que</w:t>
      </w:r>
      <w:r>
        <w:rPr>
          <w:color w:val="231F20"/>
          <w:spacing w:val="-16"/>
          <w:w w:val="105"/>
        </w:rPr>
        <w:t> </w:t>
      </w:r>
      <w:r>
        <w:rPr>
          <w:color w:val="231F20"/>
          <w:w w:val="105"/>
        </w:rPr>
        <w:t>ahora</w:t>
      </w:r>
      <w:r>
        <w:rPr>
          <w:color w:val="231F20"/>
          <w:spacing w:val="-16"/>
          <w:w w:val="105"/>
        </w:rPr>
        <w:t> </w:t>
      </w:r>
      <w:r>
        <w:rPr>
          <w:color w:val="231F20"/>
          <w:w w:val="105"/>
        </w:rPr>
        <w:t>se</w:t>
      </w:r>
      <w:r>
        <w:rPr>
          <w:color w:val="231F20"/>
          <w:spacing w:val="-16"/>
          <w:w w:val="105"/>
        </w:rPr>
        <w:t> </w:t>
      </w:r>
      <w:r>
        <w:rPr>
          <w:color w:val="231F20"/>
          <w:w w:val="105"/>
        </w:rPr>
        <w:t>han</w:t>
      </w:r>
      <w:r>
        <w:rPr>
          <w:color w:val="231F20"/>
          <w:spacing w:val="-16"/>
          <w:w w:val="105"/>
        </w:rPr>
        <w:t> </w:t>
      </w:r>
      <w:r>
        <w:rPr>
          <w:color w:val="231F20"/>
          <w:w w:val="105"/>
        </w:rPr>
        <w:t>ocupa- do</w:t>
      </w:r>
      <w:r>
        <w:rPr>
          <w:color w:val="231F20"/>
          <w:spacing w:val="-11"/>
          <w:w w:val="105"/>
        </w:rPr>
        <w:t> </w:t>
      </w:r>
      <w:r>
        <w:rPr>
          <w:color w:val="231F20"/>
          <w:w w:val="105"/>
        </w:rPr>
        <w:t>de</w:t>
      </w:r>
      <w:r>
        <w:rPr>
          <w:color w:val="231F20"/>
          <w:spacing w:val="-11"/>
          <w:w w:val="105"/>
        </w:rPr>
        <w:t> </w:t>
      </w:r>
      <w:r>
        <w:rPr>
          <w:color w:val="231F20"/>
          <w:w w:val="105"/>
        </w:rPr>
        <w:t>explorar</w:t>
      </w:r>
      <w:r>
        <w:rPr>
          <w:color w:val="231F20"/>
          <w:spacing w:val="-11"/>
          <w:w w:val="105"/>
        </w:rPr>
        <w:t> </w:t>
      </w:r>
      <w:r>
        <w:rPr>
          <w:color w:val="231F20"/>
          <w:w w:val="105"/>
        </w:rPr>
        <w:t>las</w:t>
      </w:r>
      <w:r>
        <w:rPr>
          <w:color w:val="231F20"/>
          <w:spacing w:val="-11"/>
          <w:w w:val="105"/>
        </w:rPr>
        <w:t> </w:t>
      </w:r>
      <w:r>
        <w:rPr>
          <w:color w:val="231F20"/>
          <w:w w:val="105"/>
        </w:rPr>
        <w:t>dinámicas</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fundamentos</w:t>
      </w:r>
      <w:r>
        <w:rPr>
          <w:color w:val="231F20"/>
          <w:spacing w:val="-11"/>
          <w:w w:val="105"/>
        </w:rPr>
        <w:t> </w:t>
      </w:r>
      <w:r>
        <w:rPr>
          <w:color w:val="231F20"/>
          <w:w w:val="105"/>
        </w:rPr>
        <w:t>que</w:t>
      </w:r>
      <w:r>
        <w:rPr>
          <w:color w:val="231F20"/>
          <w:spacing w:val="-11"/>
          <w:w w:val="105"/>
        </w:rPr>
        <w:t> </w:t>
      </w:r>
      <w:r>
        <w:rPr>
          <w:color w:val="231F20"/>
          <w:w w:val="105"/>
        </w:rPr>
        <w:t>rigen</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mercado de</w:t>
      </w:r>
      <w:r>
        <w:rPr>
          <w:color w:val="231F20"/>
          <w:spacing w:val="-30"/>
          <w:w w:val="105"/>
        </w:rPr>
        <w:t> </w:t>
      </w:r>
      <w:r>
        <w:rPr>
          <w:color w:val="231F20"/>
          <w:w w:val="105"/>
        </w:rPr>
        <w:t>trabajo</w:t>
      </w:r>
      <w:r>
        <w:rPr>
          <w:color w:val="231F20"/>
          <w:spacing w:val="-30"/>
          <w:w w:val="105"/>
        </w:rPr>
        <w:t> </w:t>
      </w:r>
      <w:r>
        <w:rPr>
          <w:color w:val="231F20"/>
          <w:spacing w:val="-3"/>
          <w:w w:val="105"/>
        </w:rPr>
        <w:t>(Peck,</w:t>
      </w:r>
      <w:r>
        <w:rPr>
          <w:color w:val="231F20"/>
          <w:spacing w:val="-34"/>
          <w:w w:val="105"/>
        </w:rPr>
        <w:t> </w:t>
      </w:r>
      <w:r>
        <w:rPr>
          <w:color w:val="231F20"/>
          <w:w w:val="105"/>
        </w:rPr>
        <w:t>1996).</w:t>
      </w:r>
    </w:p>
    <w:p>
      <w:pPr>
        <w:pStyle w:val="BodyText"/>
        <w:spacing w:line="259" w:lineRule="auto"/>
        <w:ind w:left="115" w:right="108" w:firstLine="567"/>
        <w:jc w:val="both"/>
      </w:pPr>
      <w:r>
        <w:rPr>
          <w:color w:val="231F20"/>
        </w:rPr>
        <w:t>Esta teoría no pone demasiado énfasis en la variable geográfica de interacción al momento de delimitar los segmentos  de  cada  mercado, sino que atiende a las características que se presentan entre las estruc-</w:t>
      </w:r>
    </w:p>
    <w:p>
      <w:pPr>
        <w:pStyle w:val="BodyText"/>
        <w:rPr>
          <w:sz w:val="20"/>
        </w:rPr>
      </w:pPr>
    </w:p>
    <w:p>
      <w:pPr>
        <w:pStyle w:val="BodyText"/>
        <w:rPr>
          <w:sz w:val="20"/>
        </w:rPr>
      </w:pPr>
    </w:p>
    <w:p>
      <w:pPr>
        <w:pStyle w:val="BodyText"/>
        <w:spacing w:before="9"/>
        <w:rPr>
          <w:sz w:val="18"/>
        </w:rPr>
      </w:pPr>
    </w:p>
    <w:p>
      <w:pPr>
        <w:tabs>
          <w:tab w:pos="1357" w:val="left" w:leader="none"/>
        </w:tabs>
        <w:spacing w:before="1"/>
        <w:ind w:left="252" w:right="0" w:firstLine="0"/>
        <w:jc w:val="left"/>
        <w:rPr>
          <w:rFonts w:ascii="Calibri" w:hAnsi="Calibri"/>
          <w:sz w:val="15"/>
        </w:rPr>
      </w:pPr>
      <w:r>
        <w:rPr/>
        <w:pict>
          <v:group style="position:absolute;margin-left:101.817299pt;margin-top:-20.249887pt;width:17.850pt;height:56.5pt;mso-position-horizontal-relative:page;mso-position-vertical-relative:paragraph;z-index:-241384" coordorigin="2036,-405" coordsize="357,1130">
            <v:line style="position:absolute" from="2211,5" to="2211,721" stroked="true" strokeweight=".3pt" strokecolor="#231f20"/>
            <v:shape style="position:absolute;left:2036;top:-231;width:356;height:609" type="#_x0000_t75" stroked="false">
              <v:imagedata r:id="rId18" o:title=""/>
            </v:shape>
            <v:shape style="position:absolute;left:2036;top:-405;width:356;height:783" type="#_x0000_t75" stroked="false">
              <v:imagedata r:id="rId19" o:title=""/>
            </v:shape>
            <w10:wrap type="none"/>
          </v:group>
        </w:pict>
      </w:r>
      <w:r>
        <w:rPr>
          <w:color w:val="414042"/>
          <w:position w:val="-5"/>
          <w:sz w:val="20"/>
        </w:rPr>
        <w:t>176</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tabs>
          <w:tab w:pos="6951" w:val="right" w:leader="none"/>
        </w:tabs>
        <w:spacing w:before="52"/>
        <w:ind w:left="1795" w:right="0" w:firstLine="0"/>
        <w:jc w:val="left"/>
        <w:rPr>
          <w:sz w:val="20"/>
        </w:rPr>
      </w:pPr>
      <w:r>
        <w:rPr/>
        <w:pict>
          <v:line style="position:absolute;mso-position-horizontal-relative:page;mso-position-vertical-relative:paragraph;z-index:-241360"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177</w:t>
      </w:r>
    </w:p>
    <w:p>
      <w:pPr>
        <w:pStyle w:val="BodyText"/>
        <w:rPr>
          <w:sz w:val="20"/>
        </w:rPr>
      </w:pPr>
    </w:p>
    <w:p>
      <w:pPr>
        <w:pStyle w:val="BodyText"/>
        <w:rPr>
          <w:sz w:val="20"/>
        </w:rPr>
      </w:pPr>
    </w:p>
    <w:p>
      <w:pPr>
        <w:pStyle w:val="BodyText"/>
        <w:spacing w:line="259" w:lineRule="auto" w:before="176"/>
        <w:ind w:left="111" w:right="109"/>
        <w:jc w:val="both"/>
      </w:pPr>
      <w:r>
        <w:rPr>
          <w:color w:val="231F20"/>
          <w:w w:val="105"/>
        </w:rPr>
        <w:t>turas</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dinamismos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demanda</w:t>
      </w:r>
      <w:r>
        <w:rPr>
          <w:color w:val="231F20"/>
          <w:spacing w:val="-11"/>
          <w:w w:val="105"/>
        </w:rPr>
        <w:t> </w:t>
      </w:r>
      <w:r>
        <w:rPr>
          <w:color w:val="231F20"/>
          <w:w w:val="105"/>
        </w:rPr>
        <w:t>de</w:t>
      </w:r>
      <w:r>
        <w:rPr>
          <w:color w:val="231F20"/>
          <w:spacing w:val="-11"/>
          <w:w w:val="105"/>
        </w:rPr>
        <w:t> </w:t>
      </w:r>
      <w:r>
        <w:rPr>
          <w:color w:val="231F20"/>
          <w:w w:val="105"/>
        </w:rPr>
        <w:t>trabajo,</w:t>
      </w:r>
      <w:r>
        <w:rPr>
          <w:color w:val="231F20"/>
          <w:spacing w:val="-17"/>
          <w:w w:val="105"/>
        </w:rPr>
        <w:t> </w:t>
      </w:r>
      <w:r>
        <w:rPr>
          <w:color w:val="231F20"/>
          <w:w w:val="105"/>
        </w:rPr>
        <w:t>y</w:t>
      </w:r>
      <w:r>
        <w:rPr>
          <w:color w:val="231F20"/>
          <w:spacing w:val="-11"/>
          <w:w w:val="105"/>
        </w:rPr>
        <w:t> </w:t>
      </w:r>
      <w:r>
        <w:rPr>
          <w:color w:val="231F20"/>
          <w:w w:val="105"/>
        </w:rPr>
        <w:t>por</w:t>
      </w:r>
      <w:r>
        <w:rPr>
          <w:color w:val="231F20"/>
          <w:spacing w:val="-11"/>
          <w:w w:val="105"/>
        </w:rPr>
        <w:t> </w:t>
      </w:r>
      <w:r>
        <w:rPr>
          <w:color w:val="231F20"/>
          <w:w w:val="105"/>
        </w:rPr>
        <w:t>tanto,</w:t>
      </w:r>
      <w:r>
        <w:rPr>
          <w:color w:val="231F20"/>
          <w:spacing w:val="-17"/>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pro- ceso</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color w:val="231F20"/>
          <w:spacing w:val="-3"/>
          <w:w w:val="105"/>
        </w:rPr>
        <w:t>(Peck,</w:t>
      </w:r>
      <w:r>
        <w:rPr>
          <w:color w:val="231F20"/>
          <w:spacing w:val="-17"/>
          <w:w w:val="105"/>
        </w:rPr>
        <w:t> </w:t>
      </w:r>
      <w:r>
        <w:rPr>
          <w:color w:val="231F20"/>
          <w:w w:val="105"/>
        </w:rPr>
        <w:t>1996).</w:t>
      </w:r>
      <w:r>
        <w:rPr>
          <w:color w:val="231F20"/>
          <w:spacing w:val="-17"/>
          <w:w w:val="105"/>
        </w:rPr>
        <w:t> </w:t>
      </w:r>
      <w:r>
        <w:rPr>
          <w:color w:val="231F20"/>
          <w:w w:val="105"/>
        </w:rPr>
        <w:t>La</w:t>
      </w:r>
      <w:r>
        <w:rPr>
          <w:color w:val="231F20"/>
          <w:spacing w:val="-12"/>
          <w:w w:val="105"/>
        </w:rPr>
        <w:t> </w:t>
      </w:r>
      <w:r>
        <w:rPr>
          <w:color w:val="231F20"/>
          <w:w w:val="105"/>
        </w:rPr>
        <w:t>segmentación</w:t>
      </w:r>
      <w:r>
        <w:rPr>
          <w:color w:val="231F20"/>
          <w:spacing w:val="-12"/>
          <w:w w:val="105"/>
        </w:rPr>
        <w:t> </w:t>
      </w:r>
      <w:r>
        <w:rPr>
          <w:color w:val="231F20"/>
          <w:w w:val="105"/>
        </w:rPr>
        <w:t>del</w:t>
      </w:r>
      <w:r>
        <w:rPr>
          <w:color w:val="231F20"/>
          <w:spacing w:val="-12"/>
          <w:w w:val="105"/>
        </w:rPr>
        <w:t> </w:t>
      </w:r>
      <w:r>
        <w:rPr>
          <w:color w:val="231F20"/>
          <w:w w:val="105"/>
        </w:rPr>
        <w:t>trabajo</w:t>
      </w:r>
      <w:r>
        <w:rPr>
          <w:color w:val="231F20"/>
          <w:spacing w:val="-12"/>
          <w:w w:val="105"/>
        </w:rPr>
        <w:t> </w:t>
      </w:r>
      <w:r>
        <w:rPr>
          <w:color w:val="231F20"/>
          <w:w w:val="105"/>
        </w:rPr>
        <w:t>es</w:t>
      </w:r>
      <w:r>
        <w:rPr>
          <w:color w:val="231F20"/>
          <w:spacing w:val="-12"/>
          <w:w w:val="105"/>
        </w:rPr>
        <w:t> </w:t>
      </w:r>
      <w:r>
        <w:rPr>
          <w:color w:val="231F20"/>
          <w:w w:val="105"/>
        </w:rPr>
        <w:t>analizada como</w:t>
      </w:r>
      <w:r>
        <w:rPr>
          <w:color w:val="231F20"/>
          <w:spacing w:val="-13"/>
          <w:w w:val="105"/>
        </w:rPr>
        <w:t> </w:t>
      </w:r>
      <w:r>
        <w:rPr>
          <w:color w:val="231F20"/>
          <w:w w:val="105"/>
        </w:rPr>
        <w:t>un</w:t>
      </w:r>
      <w:r>
        <w:rPr>
          <w:color w:val="231F20"/>
          <w:spacing w:val="-13"/>
          <w:w w:val="105"/>
        </w:rPr>
        <w:t> </w:t>
      </w:r>
      <w:r>
        <w:rPr>
          <w:color w:val="231F20"/>
          <w:w w:val="105"/>
        </w:rPr>
        <w:t>proceso</w:t>
      </w:r>
      <w:r>
        <w:rPr>
          <w:color w:val="231F20"/>
          <w:spacing w:val="-13"/>
          <w:w w:val="105"/>
        </w:rPr>
        <w:t> </w:t>
      </w:r>
      <w:r>
        <w:rPr>
          <w:color w:val="231F20"/>
          <w:w w:val="105"/>
        </w:rPr>
        <w:t>a</w:t>
      </w:r>
      <w:r>
        <w:rPr>
          <w:color w:val="231F20"/>
          <w:spacing w:val="-13"/>
          <w:w w:val="105"/>
        </w:rPr>
        <w:t> </w:t>
      </w:r>
      <w:r>
        <w:rPr>
          <w:color w:val="231F20"/>
          <w:w w:val="105"/>
        </w:rPr>
        <w:t>nivel</w:t>
      </w:r>
      <w:r>
        <w:rPr>
          <w:color w:val="231F20"/>
          <w:spacing w:val="-13"/>
          <w:w w:val="105"/>
        </w:rPr>
        <w:t> </w:t>
      </w:r>
      <w:r>
        <w:rPr>
          <w:color w:val="231F20"/>
          <w:w w:val="105"/>
        </w:rPr>
        <w:t>local</w:t>
      </w:r>
      <w:r>
        <w:rPr>
          <w:color w:val="231F20"/>
          <w:spacing w:val="-13"/>
          <w:w w:val="105"/>
        </w:rPr>
        <w:t> </w:t>
      </w:r>
      <w:r>
        <w:rPr>
          <w:color w:val="231F20"/>
          <w:w w:val="105"/>
        </w:rPr>
        <w:t>constituido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derivada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intersec- ciones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estructuras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demanda</w:t>
      </w:r>
      <w:r>
        <w:rPr>
          <w:color w:val="231F20"/>
          <w:spacing w:val="-9"/>
          <w:w w:val="105"/>
        </w:rPr>
        <w:t> </w:t>
      </w:r>
      <w:r>
        <w:rPr>
          <w:color w:val="231F20"/>
          <w:w w:val="105"/>
        </w:rPr>
        <w:t>de</w:t>
      </w:r>
      <w:r>
        <w:rPr>
          <w:color w:val="231F20"/>
          <w:spacing w:val="-9"/>
          <w:w w:val="105"/>
        </w:rPr>
        <w:t> </w:t>
      </w:r>
      <w:r>
        <w:rPr>
          <w:color w:val="231F20"/>
          <w:w w:val="105"/>
        </w:rPr>
        <w:t>trabajo</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estructuras de la oferta de</w:t>
      </w:r>
      <w:r>
        <w:rPr>
          <w:color w:val="231F20"/>
          <w:spacing w:val="-33"/>
          <w:w w:val="105"/>
        </w:rPr>
        <w:t> </w:t>
      </w:r>
      <w:r>
        <w:rPr>
          <w:color w:val="231F20"/>
          <w:w w:val="105"/>
        </w:rPr>
        <w:t>trabajo.</w:t>
      </w:r>
    </w:p>
    <w:p>
      <w:pPr>
        <w:pStyle w:val="BodyText"/>
        <w:spacing w:line="259" w:lineRule="auto"/>
        <w:ind w:left="111" w:right="106" w:firstLine="567"/>
        <w:jc w:val="both"/>
      </w:pPr>
      <w:r>
        <w:rPr>
          <w:color w:val="231F20"/>
          <w:w w:val="105"/>
        </w:rPr>
        <w:t>A</w:t>
      </w:r>
      <w:r>
        <w:rPr>
          <w:color w:val="231F20"/>
          <w:spacing w:val="-28"/>
          <w:w w:val="105"/>
        </w:rPr>
        <w:t> </w:t>
      </w:r>
      <w:r>
        <w:rPr>
          <w:color w:val="231F20"/>
          <w:spacing w:val="-3"/>
          <w:w w:val="105"/>
        </w:rPr>
        <w:t>esta</w:t>
      </w:r>
      <w:r>
        <w:rPr>
          <w:color w:val="231F20"/>
          <w:spacing w:val="-24"/>
          <w:w w:val="105"/>
        </w:rPr>
        <w:t> </w:t>
      </w:r>
      <w:r>
        <w:rPr>
          <w:color w:val="231F20"/>
          <w:spacing w:val="-3"/>
          <w:w w:val="105"/>
        </w:rPr>
        <w:t>generación</w:t>
      </w:r>
      <w:r>
        <w:rPr>
          <w:color w:val="231F20"/>
          <w:spacing w:val="-24"/>
          <w:w w:val="105"/>
        </w:rPr>
        <w:t> </w:t>
      </w:r>
      <w:r>
        <w:rPr>
          <w:color w:val="231F20"/>
          <w:w w:val="105"/>
        </w:rPr>
        <w:t>se</w:t>
      </w:r>
      <w:r>
        <w:rPr>
          <w:color w:val="231F20"/>
          <w:spacing w:val="-24"/>
          <w:w w:val="105"/>
        </w:rPr>
        <w:t> </w:t>
      </w:r>
      <w:r>
        <w:rPr>
          <w:color w:val="231F20"/>
          <w:w w:val="105"/>
        </w:rPr>
        <w:t>le</w:t>
      </w:r>
      <w:r>
        <w:rPr>
          <w:color w:val="231F20"/>
          <w:spacing w:val="-24"/>
          <w:w w:val="105"/>
        </w:rPr>
        <w:t> </w:t>
      </w:r>
      <w:r>
        <w:rPr>
          <w:color w:val="231F20"/>
          <w:spacing w:val="-3"/>
          <w:w w:val="105"/>
        </w:rPr>
        <w:t>conoce</w:t>
      </w:r>
      <w:r>
        <w:rPr>
          <w:color w:val="231F20"/>
          <w:spacing w:val="-24"/>
          <w:w w:val="105"/>
        </w:rPr>
        <w:t> </w:t>
      </w:r>
      <w:r>
        <w:rPr>
          <w:color w:val="231F20"/>
          <w:spacing w:val="-3"/>
          <w:w w:val="105"/>
        </w:rPr>
        <w:t>también</w:t>
      </w:r>
      <w:r>
        <w:rPr>
          <w:color w:val="231F20"/>
          <w:spacing w:val="-24"/>
          <w:w w:val="105"/>
        </w:rPr>
        <w:t> </w:t>
      </w:r>
      <w:r>
        <w:rPr>
          <w:color w:val="231F20"/>
          <w:spacing w:val="-3"/>
          <w:w w:val="105"/>
        </w:rPr>
        <w:t>como</w:t>
      </w:r>
      <w:r>
        <w:rPr>
          <w:color w:val="231F20"/>
          <w:spacing w:val="-24"/>
          <w:w w:val="105"/>
        </w:rPr>
        <w:t> </w:t>
      </w:r>
      <w:r>
        <w:rPr>
          <w:color w:val="231F20"/>
          <w:spacing w:val="-3"/>
          <w:w w:val="105"/>
        </w:rPr>
        <w:t>toyotismo,</w:t>
      </w:r>
      <w:r>
        <w:rPr>
          <w:color w:val="231F20"/>
          <w:spacing w:val="-31"/>
          <w:w w:val="105"/>
        </w:rPr>
        <w:t> </w:t>
      </w:r>
      <w:r>
        <w:rPr>
          <w:color w:val="231F20"/>
          <w:w w:val="105"/>
        </w:rPr>
        <w:t>ya</w:t>
      </w:r>
      <w:r>
        <w:rPr>
          <w:color w:val="231F20"/>
          <w:spacing w:val="-24"/>
          <w:w w:val="105"/>
        </w:rPr>
        <w:t> </w:t>
      </w:r>
      <w:r>
        <w:rPr>
          <w:color w:val="231F20"/>
          <w:w w:val="105"/>
        </w:rPr>
        <w:t>que</w:t>
      </w:r>
      <w:r>
        <w:rPr>
          <w:color w:val="231F20"/>
          <w:spacing w:val="-24"/>
          <w:w w:val="105"/>
        </w:rPr>
        <w:t> </w:t>
      </w:r>
      <w:r>
        <w:rPr>
          <w:color w:val="231F20"/>
          <w:spacing w:val="-3"/>
          <w:w w:val="105"/>
        </w:rPr>
        <w:t>tie- </w:t>
      </w:r>
      <w:r>
        <w:rPr>
          <w:color w:val="231F20"/>
          <w:w w:val="105"/>
        </w:rPr>
        <w:t>ne</w:t>
      </w:r>
      <w:r>
        <w:rPr>
          <w:color w:val="231F20"/>
          <w:spacing w:val="-18"/>
          <w:w w:val="105"/>
        </w:rPr>
        <w:t> </w:t>
      </w:r>
      <w:r>
        <w:rPr>
          <w:color w:val="231F20"/>
          <w:w w:val="105"/>
        </w:rPr>
        <w:t>su</w:t>
      </w:r>
      <w:r>
        <w:rPr>
          <w:color w:val="231F20"/>
          <w:spacing w:val="-18"/>
          <w:w w:val="105"/>
        </w:rPr>
        <w:t> </w:t>
      </w:r>
      <w:r>
        <w:rPr>
          <w:color w:val="231F20"/>
          <w:spacing w:val="-3"/>
          <w:w w:val="105"/>
        </w:rPr>
        <w:t>nacimiento</w:t>
      </w:r>
      <w:r>
        <w:rPr>
          <w:color w:val="231F20"/>
          <w:spacing w:val="-18"/>
          <w:w w:val="105"/>
        </w:rPr>
        <w:t> </w:t>
      </w:r>
      <w:r>
        <w:rPr>
          <w:color w:val="231F20"/>
          <w:w w:val="105"/>
        </w:rPr>
        <w:t>al</w:t>
      </w:r>
      <w:r>
        <w:rPr>
          <w:color w:val="231F20"/>
          <w:spacing w:val="-18"/>
          <w:w w:val="105"/>
        </w:rPr>
        <w:t> </w:t>
      </w:r>
      <w:r>
        <w:rPr>
          <w:color w:val="231F20"/>
          <w:spacing w:val="-3"/>
          <w:w w:val="105"/>
        </w:rPr>
        <w:t>interior</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planta</w:t>
      </w:r>
      <w:r>
        <w:rPr>
          <w:color w:val="231F20"/>
          <w:spacing w:val="-18"/>
          <w:w w:val="105"/>
        </w:rPr>
        <w:t> </w:t>
      </w:r>
      <w:r>
        <w:rPr>
          <w:color w:val="231F20"/>
          <w:spacing w:val="-3"/>
          <w:w w:val="105"/>
        </w:rPr>
        <w:t>ensambladora</w:t>
      </w:r>
      <w:r>
        <w:rPr>
          <w:color w:val="231F20"/>
          <w:spacing w:val="-18"/>
          <w:w w:val="105"/>
        </w:rPr>
        <w:t> </w:t>
      </w:r>
      <w:r>
        <w:rPr>
          <w:color w:val="231F20"/>
          <w:spacing w:val="-3"/>
          <w:w w:val="105"/>
        </w:rPr>
        <w:t>automotriz</w:t>
      </w:r>
      <w:r>
        <w:rPr>
          <w:color w:val="231F20"/>
          <w:spacing w:val="-22"/>
          <w:w w:val="105"/>
        </w:rPr>
        <w:t> </w:t>
      </w:r>
      <w:r>
        <w:rPr>
          <w:color w:val="231F20"/>
          <w:spacing w:val="-6"/>
          <w:w w:val="105"/>
        </w:rPr>
        <w:t>Toyota, </w:t>
      </w:r>
      <w:r>
        <w:rPr>
          <w:color w:val="231F20"/>
          <w:spacing w:val="-3"/>
          <w:w w:val="105"/>
        </w:rPr>
        <w:t>donde</w:t>
      </w:r>
      <w:r>
        <w:rPr>
          <w:color w:val="231F20"/>
          <w:spacing w:val="-24"/>
          <w:w w:val="105"/>
        </w:rPr>
        <w:t> </w:t>
      </w:r>
      <w:r>
        <w:rPr>
          <w:color w:val="231F20"/>
          <w:w w:val="105"/>
        </w:rPr>
        <w:t>la</w:t>
      </w:r>
      <w:r>
        <w:rPr>
          <w:color w:val="231F20"/>
          <w:spacing w:val="-24"/>
          <w:w w:val="105"/>
        </w:rPr>
        <w:t> </w:t>
      </w:r>
      <w:r>
        <w:rPr>
          <w:color w:val="231F20"/>
          <w:spacing w:val="-3"/>
          <w:w w:val="105"/>
        </w:rPr>
        <w:t>filosofía</w:t>
      </w:r>
      <w:r>
        <w:rPr>
          <w:color w:val="231F20"/>
          <w:spacing w:val="-24"/>
          <w:w w:val="105"/>
        </w:rPr>
        <w:t> </w:t>
      </w:r>
      <w:r>
        <w:rPr>
          <w:color w:val="231F20"/>
          <w:w w:val="105"/>
        </w:rPr>
        <w:t>de</w:t>
      </w:r>
      <w:r>
        <w:rPr>
          <w:color w:val="231F20"/>
          <w:spacing w:val="-24"/>
          <w:w w:val="105"/>
        </w:rPr>
        <w:t> </w:t>
      </w:r>
      <w:r>
        <w:rPr>
          <w:color w:val="231F20"/>
          <w:spacing w:val="-3"/>
          <w:w w:val="105"/>
        </w:rPr>
        <w:t>trabajo</w:t>
      </w:r>
      <w:r>
        <w:rPr>
          <w:color w:val="231F20"/>
          <w:spacing w:val="-24"/>
          <w:w w:val="105"/>
        </w:rPr>
        <w:t> </w:t>
      </w:r>
      <w:r>
        <w:rPr>
          <w:color w:val="231F20"/>
          <w:w w:val="105"/>
        </w:rPr>
        <w:t>(en</w:t>
      </w:r>
      <w:r>
        <w:rPr>
          <w:color w:val="231F20"/>
          <w:spacing w:val="-24"/>
          <w:w w:val="105"/>
        </w:rPr>
        <w:t> </w:t>
      </w:r>
      <w:r>
        <w:rPr>
          <w:color w:val="231F20"/>
          <w:spacing w:val="-3"/>
          <w:w w:val="105"/>
        </w:rPr>
        <w:t>esta</w:t>
      </w:r>
      <w:r>
        <w:rPr>
          <w:color w:val="231F20"/>
          <w:spacing w:val="-24"/>
          <w:w w:val="105"/>
        </w:rPr>
        <w:t> </w:t>
      </w:r>
      <w:r>
        <w:rPr>
          <w:color w:val="231F20"/>
          <w:spacing w:val="-3"/>
          <w:w w:val="105"/>
        </w:rPr>
        <w:t>generación)</w:t>
      </w:r>
      <w:r>
        <w:rPr>
          <w:color w:val="231F20"/>
          <w:spacing w:val="-24"/>
          <w:w w:val="105"/>
        </w:rPr>
        <w:t> </w:t>
      </w:r>
      <w:r>
        <w:rPr>
          <w:color w:val="231F20"/>
          <w:w w:val="105"/>
        </w:rPr>
        <w:t>es</w:t>
      </w:r>
      <w:r>
        <w:rPr>
          <w:color w:val="231F20"/>
          <w:spacing w:val="-24"/>
          <w:w w:val="105"/>
        </w:rPr>
        <w:t> </w:t>
      </w:r>
      <w:r>
        <w:rPr>
          <w:color w:val="231F20"/>
          <w:w w:val="105"/>
        </w:rPr>
        <w:t>a</w:t>
      </w:r>
      <w:r>
        <w:rPr>
          <w:color w:val="231F20"/>
          <w:spacing w:val="-24"/>
          <w:w w:val="105"/>
        </w:rPr>
        <w:t> </w:t>
      </w:r>
      <w:r>
        <w:rPr>
          <w:color w:val="231F20"/>
          <w:spacing w:val="-3"/>
          <w:w w:val="105"/>
        </w:rPr>
        <w:t>largo</w:t>
      </w:r>
      <w:r>
        <w:rPr>
          <w:color w:val="231F20"/>
          <w:spacing w:val="-24"/>
          <w:w w:val="105"/>
        </w:rPr>
        <w:t> </w:t>
      </w:r>
      <w:r>
        <w:rPr>
          <w:color w:val="231F20"/>
          <w:spacing w:val="-3"/>
          <w:w w:val="105"/>
        </w:rPr>
        <w:t>plazo</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spacing w:val="-3"/>
          <w:w w:val="105"/>
        </w:rPr>
        <w:t>prin- cipal</w:t>
      </w:r>
      <w:r>
        <w:rPr>
          <w:color w:val="231F20"/>
          <w:spacing w:val="-33"/>
          <w:w w:val="105"/>
        </w:rPr>
        <w:t> </w:t>
      </w:r>
      <w:r>
        <w:rPr>
          <w:color w:val="231F20"/>
          <w:spacing w:val="-3"/>
          <w:w w:val="105"/>
        </w:rPr>
        <w:t>segmentación</w:t>
      </w:r>
      <w:r>
        <w:rPr>
          <w:color w:val="231F20"/>
          <w:spacing w:val="-33"/>
          <w:w w:val="105"/>
        </w:rPr>
        <w:t> </w:t>
      </w:r>
      <w:r>
        <w:rPr>
          <w:color w:val="231F20"/>
          <w:w w:val="105"/>
        </w:rPr>
        <w:t>que</w:t>
      </w:r>
      <w:r>
        <w:rPr>
          <w:color w:val="231F20"/>
          <w:spacing w:val="-33"/>
          <w:w w:val="105"/>
        </w:rPr>
        <w:t> </w:t>
      </w:r>
      <w:r>
        <w:rPr>
          <w:color w:val="231F20"/>
          <w:w w:val="105"/>
        </w:rPr>
        <w:t>se</w:t>
      </w:r>
      <w:r>
        <w:rPr>
          <w:color w:val="231F20"/>
          <w:spacing w:val="-33"/>
          <w:w w:val="105"/>
        </w:rPr>
        <w:t> </w:t>
      </w:r>
      <w:r>
        <w:rPr>
          <w:color w:val="231F20"/>
          <w:spacing w:val="-3"/>
          <w:w w:val="105"/>
        </w:rPr>
        <w:t>plantea</w:t>
      </w:r>
      <w:r>
        <w:rPr>
          <w:color w:val="231F20"/>
          <w:spacing w:val="-33"/>
          <w:w w:val="105"/>
        </w:rPr>
        <w:t> </w:t>
      </w:r>
      <w:r>
        <w:rPr>
          <w:color w:val="231F20"/>
          <w:w w:val="105"/>
        </w:rPr>
        <w:t>es</w:t>
      </w:r>
      <w:r>
        <w:rPr>
          <w:color w:val="231F20"/>
          <w:spacing w:val="-33"/>
          <w:w w:val="105"/>
        </w:rPr>
        <w:t> </w:t>
      </w:r>
      <w:r>
        <w:rPr>
          <w:color w:val="231F20"/>
          <w:spacing w:val="-3"/>
          <w:w w:val="105"/>
        </w:rPr>
        <w:t>analizar</w:t>
      </w:r>
      <w:r>
        <w:rPr>
          <w:color w:val="231F20"/>
          <w:spacing w:val="-33"/>
          <w:w w:val="105"/>
        </w:rPr>
        <w:t> </w:t>
      </w:r>
      <w:r>
        <w:rPr>
          <w:color w:val="231F20"/>
          <w:w w:val="105"/>
        </w:rPr>
        <w:t>el</w:t>
      </w:r>
      <w:r>
        <w:rPr>
          <w:color w:val="231F20"/>
          <w:spacing w:val="-33"/>
          <w:w w:val="105"/>
        </w:rPr>
        <w:t> </w:t>
      </w:r>
      <w:r>
        <w:rPr>
          <w:color w:val="231F20"/>
          <w:spacing w:val="-3"/>
          <w:w w:val="105"/>
        </w:rPr>
        <w:t>proceso</w:t>
      </w:r>
      <w:r>
        <w:rPr>
          <w:color w:val="231F20"/>
          <w:spacing w:val="-33"/>
          <w:w w:val="105"/>
        </w:rPr>
        <w:t> </w:t>
      </w:r>
      <w:r>
        <w:rPr>
          <w:color w:val="231F20"/>
          <w:spacing w:val="-3"/>
          <w:w w:val="105"/>
        </w:rPr>
        <w:t>entre</w:t>
      </w:r>
      <w:r>
        <w:rPr>
          <w:color w:val="231F20"/>
          <w:spacing w:val="-33"/>
          <w:w w:val="105"/>
        </w:rPr>
        <w:t> </w:t>
      </w:r>
      <w:r>
        <w:rPr>
          <w:color w:val="231F20"/>
          <w:spacing w:val="-3"/>
          <w:w w:val="105"/>
        </w:rPr>
        <w:t>actividades </w:t>
      </w:r>
      <w:r>
        <w:rPr>
          <w:color w:val="231F20"/>
          <w:w w:val="105"/>
        </w:rPr>
        <w:t>que</w:t>
      </w:r>
      <w:r>
        <w:rPr>
          <w:color w:val="231F20"/>
          <w:spacing w:val="-11"/>
          <w:w w:val="105"/>
        </w:rPr>
        <w:t> </w:t>
      </w:r>
      <w:r>
        <w:rPr>
          <w:color w:val="231F20"/>
          <w:spacing w:val="-3"/>
          <w:w w:val="105"/>
        </w:rPr>
        <w:t>agregan</w:t>
      </w:r>
      <w:r>
        <w:rPr>
          <w:color w:val="231F20"/>
          <w:spacing w:val="-11"/>
          <w:w w:val="105"/>
        </w:rPr>
        <w:t> </w:t>
      </w:r>
      <w:r>
        <w:rPr>
          <w:color w:val="231F20"/>
          <w:spacing w:val="-3"/>
          <w:w w:val="105"/>
        </w:rPr>
        <w:t>valor</w:t>
      </w:r>
      <w:r>
        <w:rPr>
          <w:color w:val="231F20"/>
          <w:spacing w:val="-11"/>
          <w:w w:val="105"/>
        </w:rPr>
        <w:t> </w:t>
      </w:r>
      <w:r>
        <w:rPr>
          <w:color w:val="231F20"/>
          <w:w w:val="105"/>
        </w:rPr>
        <w:t>y</w:t>
      </w:r>
      <w:r>
        <w:rPr>
          <w:color w:val="231F20"/>
          <w:spacing w:val="-11"/>
          <w:w w:val="105"/>
        </w:rPr>
        <w:t> </w:t>
      </w:r>
      <w:r>
        <w:rPr>
          <w:color w:val="231F20"/>
          <w:w w:val="105"/>
        </w:rPr>
        <w:t>las</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spacing w:val="-3"/>
          <w:w w:val="105"/>
        </w:rPr>
        <w:t>agrega</w:t>
      </w:r>
      <w:r>
        <w:rPr>
          <w:color w:val="231F20"/>
          <w:spacing w:val="-11"/>
          <w:w w:val="105"/>
        </w:rPr>
        <w:t> </w:t>
      </w:r>
      <w:r>
        <w:rPr>
          <w:color w:val="231F20"/>
          <w:spacing w:val="-3"/>
          <w:w w:val="105"/>
        </w:rPr>
        <w:t>valor</w:t>
      </w:r>
      <w:r>
        <w:rPr>
          <w:color w:val="231F20"/>
          <w:spacing w:val="-11"/>
          <w:w w:val="105"/>
        </w:rPr>
        <w:t> </w:t>
      </w:r>
      <w:r>
        <w:rPr>
          <w:color w:val="231F20"/>
          <w:spacing w:val="-5"/>
          <w:w w:val="105"/>
        </w:rPr>
        <w:t>(Liker,</w:t>
      </w:r>
      <w:r>
        <w:rPr>
          <w:color w:val="231F20"/>
          <w:spacing w:val="-17"/>
          <w:w w:val="105"/>
        </w:rPr>
        <w:t> </w:t>
      </w:r>
      <w:r>
        <w:rPr>
          <w:color w:val="231F20"/>
          <w:spacing w:val="-3"/>
          <w:w w:val="105"/>
        </w:rPr>
        <w:t>2010).</w:t>
      </w:r>
      <w:r>
        <w:rPr>
          <w:color w:val="231F20"/>
          <w:spacing w:val="-17"/>
          <w:w w:val="105"/>
        </w:rPr>
        <w:t> </w:t>
      </w:r>
      <w:r>
        <w:rPr>
          <w:color w:val="231F20"/>
          <w:w w:val="105"/>
        </w:rPr>
        <w:t>La</w:t>
      </w:r>
      <w:r>
        <w:rPr>
          <w:color w:val="231F20"/>
          <w:spacing w:val="-11"/>
          <w:w w:val="105"/>
        </w:rPr>
        <w:t> </w:t>
      </w:r>
      <w:r>
        <w:rPr>
          <w:color w:val="231F20"/>
          <w:spacing w:val="-3"/>
          <w:w w:val="105"/>
        </w:rPr>
        <w:t>división</w:t>
      </w:r>
      <w:r>
        <w:rPr>
          <w:color w:val="231F20"/>
          <w:spacing w:val="-11"/>
          <w:w w:val="105"/>
        </w:rPr>
        <w:t> </w:t>
      </w:r>
      <w:r>
        <w:rPr>
          <w:color w:val="231F20"/>
          <w:spacing w:val="-3"/>
          <w:w w:val="105"/>
        </w:rPr>
        <w:t>del trabajo</w:t>
      </w:r>
      <w:r>
        <w:rPr>
          <w:color w:val="231F20"/>
          <w:spacing w:val="-10"/>
          <w:w w:val="105"/>
        </w:rPr>
        <w:t> </w:t>
      </w:r>
      <w:r>
        <w:rPr>
          <w:color w:val="231F20"/>
          <w:w w:val="105"/>
        </w:rPr>
        <w:t>se</w:t>
      </w:r>
      <w:r>
        <w:rPr>
          <w:color w:val="231F20"/>
          <w:spacing w:val="-10"/>
          <w:w w:val="105"/>
        </w:rPr>
        <w:t> </w:t>
      </w:r>
      <w:r>
        <w:rPr>
          <w:color w:val="231F20"/>
          <w:spacing w:val="-3"/>
          <w:w w:val="105"/>
        </w:rPr>
        <w:t>base</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spacing w:val="-3"/>
          <w:w w:val="105"/>
        </w:rPr>
        <w:t>células</w:t>
      </w:r>
      <w:r>
        <w:rPr>
          <w:color w:val="231F20"/>
          <w:spacing w:val="-10"/>
          <w:w w:val="105"/>
        </w:rPr>
        <w:t> </w:t>
      </w:r>
      <w:r>
        <w:rPr>
          <w:color w:val="231F20"/>
          <w:w w:val="105"/>
        </w:rPr>
        <w:t>de</w:t>
      </w:r>
      <w:r>
        <w:rPr>
          <w:color w:val="231F20"/>
          <w:spacing w:val="-10"/>
          <w:w w:val="105"/>
        </w:rPr>
        <w:t> </w:t>
      </w:r>
      <w:r>
        <w:rPr>
          <w:color w:val="231F20"/>
          <w:spacing w:val="-3"/>
          <w:w w:val="105"/>
        </w:rPr>
        <w:t>producción</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spacing w:val="-3"/>
          <w:w w:val="105"/>
        </w:rPr>
        <w:t>grupos</w:t>
      </w:r>
      <w:r>
        <w:rPr>
          <w:color w:val="231F20"/>
          <w:spacing w:val="-10"/>
          <w:w w:val="105"/>
        </w:rPr>
        <w:t> </w:t>
      </w:r>
      <w:r>
        <w:rPr>
          <w:color w:val="231F20"/>
          <w:w w:val="105"/>
        </w:rPr>
        <w:t>de</w:t>
      </w:r>
      <w:r>
        <w:rPr>
          <w:color w:val="231F20"/>
          <w:spacing w:val="-10"/>
          <w:w w:val="105"/>
        </w:rPr>
        <w:t> </w:t>
      </w:r>
      <w:r>
        <w:rPr>
          <w:color w:val="231F20"/>
          <w:spacing w:val="-3"/>
          <w:w w:val="105"/>
        </w:rPr>
        <w:t>solución</w:t>
      </w:r>
      <w:r>
        <w:rPr>
          <w:color w:val="231F20"/>
          <w:spacing w:val="-10"/>
          <w:w w:val="105"/>
        </w:rPr>
        <w:t> </w:t>
      </w:r>
      <w:r>
        <w:rPr>
          <w:color w:val="231F20"/>
          <w:spacing w:val="-3"/>
          <w:w w:val="105"/>
        </w:rPr>
        <w:t>de problemas</w:t>
      </w:r>
      <w:r>
        <w:rPr>
          <w:color w:val="231F20"/>
          <w:spacing w:val="-22"/>
          <w:w w:val="105"/>
        </w:rPr>
        <w:t> </w:t>
      </w:r>
      <w:r>
        <w:rPr>
          <w:color w:val="231F20"/>
          <w:w w:val="105"/>
        </w:rPr>
        <w:t>que</w:t>
      </w:r>
      <w:r>
        <w:rPr>
          <w:color w:val="231F20"/>
          <w:spacing w:val="-22"/>
          <w:w w:val="105"/>
        </w:rPr>
        <w:t> </w:t>
      </w:r>
      <w:r>
        <w:rPr>
          <w:color w:val="231F20"/>
          <w:spacing w:val="-3"/>
          <w:w w:val="105"/>
        </w:rPr>
        <w:t>diseñan</w:t>
      </w:r>
      <w:r>
        <w:rPr>
          <w:color w:val="231F20"/>
          <w:spacing w:val="-22"/>
          <w:w w:val="105"/>
        </w:rPr>
        <w:t> </w:t>
      </w:r>
      <w:r>
        <w:rPr>
          <w:color w:val="231F20"/>
          <w:spacing w:val="-3"/>
          <w:w w:val="105"/>
        </w:rPr>
        <w:t>proyectos</w:t>
      </w:r>
      <w:r>
        <w:rPr>
          <w:color w:val="231F20"/>
          <w:spacing w:val="-22"/>
          <w:w w:val="105"/>
        </w:rPr>
        <w:t> </w:t>
      </w:r>
      <w:r>
        <w:rPr>
          <w:color w:val="231F20"/>
          <w:w w:val="105"/>
        </w:rPr>
        <w:t>de</w:t>
      </w:r>
      <w:r>
        <w:rPr>
          <w:color w:val="231F20"/>
          <w:spacing w:val="-22"/>
          <w:w w:val="105"/>
        </w:rPr>
        <w:t> </w:t>
      </w:r>
      <w:r>
        <w:rPr>
          <w:color w:val="231F20"/>
          <w:spacing w:val="-3"/>
          <w:w w:val="105"/>
        </w:rPr>
        <w:t>mejora</w:t>
      </w:r>
      <w:r>
        <w:rPr>
          <w:color w:val="231F20"/>
          <w:spacing w:val="-22"/>
          <w:w w:val="105"/>
        </w:rPr>
        <w:t> </w:t>
      </w:r>
      <w:r>
        <w:rPr>
          <w:color w:val="231F20"/>
          <w:spacing w:val="-3"/>
          <w:w w:val="105"/>
        </w:rPr>
        <w:t>continua</w:t>
      </w:r>
      <w:r>
        <w:rPr>
          <w:color w:val="231F20"/>
          <w:spacing w:val="-22"/>
          <w:w w:val="105"/>
        </w:rPr>
        <w:t> </w:t>
      </w:r>
      <w:r>
        <w:rPr>
          <w:color w:val="231F20"/>
          <w:w w:val="105"/>
        </w:rPr>
        <w:t>a</w:t>
      </w:r>
      <w:r>
        <w:rPr>
          <w:color w:val="231F20"/>
          <w:spacing w:val="-22"/>
          <w:w w:val="105"/>
        </w:rPr>
        <w:t> </w:t>
      </w:r>
      <w:r>
        <w:rPr>
          <w:color w:val="231F20"/>
          <w:spacing w:val="-3"/>
          <w:w w:val="105"/>
        </w:rPr>
        <w:t>través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elimi- nación </w:t>
      </w:r>
      <w:r>
        <w:rPr>
          <w:color w:val="231F20"/>
          <w:w w:val="105"/>
        </w:rPr>
        <w:t>de los </w:t>
      </w:r>
      <w:r>
        <w:rPr>
          <w:color w:val="231F20"/>
          <w:spacing w:val="-3"/>
          <w:w w:val="105"/>
        </w:rPr>
        <w:t>siete desperdicios </w:t>
      </w:r>
      <w:r>
        <w:rPr>
          <w:color w:val="231F20"/>
          <w:w w:val="105"/>
        </w:rPr>
        <w:t>del </w:t>
      </w:r>
      <w:r>
        <w:rPr>
          <w:color w:val="231F20"/>
          <w:spacing w:val="-3"/>
          <w:w w:val="105"/>
        </w:rPr>
        <w:t>proceso: </w:t>
      </w:r>
      <w:r>
        <w:rPr>
          <w:color w:val="231F20"/>
          <w:spacing w:val="-4"/>
          <w:w w:val="105"/>
        </w:rPr>
        <w:t>sobreproducción, esperas </w:t>
      </w:r>
      <w:r>
        <w:rPr>
          <w:color w:val="231F20"/>
          <w:spacing w:val="-3"/>
          <w:w w:val="105"/>
        </w:rPr>
        <w:t>(tiempo </w:t>
      </w:r>
      <w:r>
        <w:rPr>
          <w:color w:val="231F20"/>
          <w:w w:val="105"/>
        </w:rPr>
        <w:t>de </w:t>
      </w:r>
      <w:r>
        <w:rPr>
          <w:color w:val="231F20"/>
          <w:spacing w:val="-3"/>
          <w:w w:val="105"/>
        </w:rPr>
        <w:t>inactividad), </w:t>
      </w:r>
      <w:r>
        <w:rPr>
          <w:color w:val="231F20"/>
          <w:spacing w:val="-4"/>
          <w:w w:val="105"/>
        </w:rPr>
        <w:t>transporte </w:t>
      </w:r>
      <w:r>
        <w:rPr>
          <w:color w:val="231F20"/>
          <w:w w:val="105"/>
        </w:rPr>
        <w:t>o </w:t>
      </w:r>
      <w:r>
        <w:rPr>
          <w:color w:val="231F20"/>
          <w:spacing w:val="-3"/>
          <w:w w:val="105"/>
        </w:rPr>
        <w:t>movimientos innecesarios </w:t>
      </w:r>
      <w:r>
        <w:rPr>
          <w:color w:val="231F20"/>
          <w:w w:val="105"/>
        </w:rPr>
        <w:t>de </w:t>
      </w:r>
      <w:r>
        <w:rPr>
          <w:color w:val="231F20"/>
          <w:spacing w:val="-3"/>
          <w:w w:val="105"/>
        </w:rPr>
        <w:t>pro- ducto (materias primas, proceso </w:t>
      </w:r>
      <w:r>
        <w:rPr>
          <w:color w:val="231F20"/>
          <w:w w:val="105"/>
        </w:rPr>
        <w:t>o </w:t>
      </w:r>
      <w:r>
        <w:rPr>
          <w:color w:val="231F20"/>
          <w:spacing w:val="-3"/>
          <w:w w:val="105"/>
        </w:rPr>
        <w:t>terminado), </w:t>
      </w:r>
      <w:r>
        <w:rPr>
          <w:color w:val="231F20"/>
          <w:spacing w:val="-4"/>
          <w:w w:val="105"/>
        </w:rPr>
        <w:t>sobreproceso, </w:t>
      </w:r>
      <w:r>
        <w:rPr>
          <w:color w:val="231F20"/>
          <w:spacing w:val="-3"/>
          <w:w w:val="105"/>
        </w:rPr>
        <w:t>exceso de inventario, movimiento innecesarios (del operador </w:t>
      </w:r>
      <w:r>
        <w:rPr>
          <w:color w:val="231F20"/>
          <w:w w:val="105"/>
        </w:rPr>
        <w:t>al </w:t>
      </w:r>
      <w:r>
        <w:rPr>
          <w:color w:val="231F20"/>
          <w:spacing w:val="-4"/>
          <w:w w:val="105"/>
        </w:rPr>
        <w:t>realizar </w:t>
      </w:r>
      <w:r>
        <w:rPr>
          <w:color w:val="231F20"/>
          <w:w w:val="105"/>
        </w:rPr>
        <w:t>su </w:t>
      </w:r>
      <w:r>
        <w:rPr>
          <w:color w:val="231F20"/>
          <w:spacing w:val="-4"/>
          <w:w w:val="105"/>
        </w:rPr>
        <w:t>trabajo) </w:t>
      </w:r>
      <w:r>
        <w:rPr>
          <w:color w:val="231F20"/>
          <w:w w:val="105"/>
        </w:rPr>
        <w:t>y</w:t>
      </w:r>
      <w:r>
        <w:rPr>
          <w:color w:val="231F20"/>
          <w:spacing w:val="-29"/>
          <w:w w:val="105"/>
        </w:rPr>
        <w:t> </w:t>
      </w:r>
      <w:r>
        <w:rPr>
          <w:color w:val="231F20"/>
          <w:spacing w:val="-3"/>
          <w:w w:val="105"/>
        </w:rPr>
        <w:t>defectos</w:t>
      </w:r>
      <w:r>
        <w:rPr>
          <w:color w:val="231F20"/>
          <w:spacing w:val="-29"/>
          <w:w w:val="105"/>
        </w:rPr>
        <w:t> </w:t>
      </w:r>
      <w:r>
        <w:rPr>
          <w:color w:val="231F20"/>
          <w:spacing w:val="-3"/>
          <w:w w:val="105"/>
        </w:rPr>
        <w:t>(producción</w:t>
      </w:r>
      <w:r>
        <w:rPr>
          <w:color w:val="231F20"/>
          <w:spacing w:val="-29"/>
          <w:w w:val="105"/>
        </w:rPr>
        <w:t> </w:t>
      </w:r>
      <w:r>
        <w:rPr>
          <w:color w:val="231F20"/>
          <w:w w:val="105"/>
        </w:rPr>
        <w:t>de</w:t>
      </w:r>
      <w:r>
        <w:rPr>
          <w:color w:val="231F20"/>
          <w:spacing w:val="-29"/>
          <w:w w:val="105"/>
        </w:rPr>
        <w:t> </w:t>
      </w:r>
      <w:r>
        <w:rPr>
          <w:color w:val="231F20"/>
          <w:spacing w:val="-3"/>
          <w:w w:val="105"/>
        </w:rPr>
        <w:t>piezas</w:t>
      </w:r>
      <w:r>
        <w:rPr>
          <w:color w:val="231F20"/>
          <w:spacing w:val="-29"/>
          <w:w w:val="105"/>
        </w:rPr>
        <w:t> </w:t>
      </w:r>
      <w:r>
        <w:rPr>
          <w:color w:val="231F20"/>
          <w:spacing w:val="-3"/>
          <w:w w:val="105"/>
        </w:rPr>
        <w:t>defectuosas)</w:t>
      </w:r>
      <w:r>
        <w:rPr>
          <w:color w:val="231F20"/>
          <w:spacing w:val="-29"/>
          <w:w w:val="105"/>
        </w:rPr>
        <w:t> </w:t>
      </w:r>
      <w:r>
        <w:rPr>
          <w:color w:val="231F20"/>
          <w:spacing w:val="-4"/>
          <w:w w:val="105"/>
        </w:rPr>
        <w:t>(Womack</w:t>
      </w:r>
      <w:r>
        <w:rPr>
          <w:color w:val="231F20"/>
          <w:spacing w:val="-29"/>
          <w:w w:val="105"/>
        </w:rPr>
        <w:t> </w:t>
      </w:r>
      <w:r>
        <w:rPr>
          <w:color w:val="231F20"/>
          <w:w w:val="105"/>
        </w:rPr>
        <w:t>y</w:t>
      </w:r>
      <w:r>
        <w:rPr>
          <w:color w:val="231F20"/>
          <w:spacing w:val="-31"/>
          <w:w w:val="105"/>
        </w:rPr>
        <w:t> </w:t>
      </w:r>
      <w:r>
        <w:rPr>
          <w:color w:val="231F20"/>
          <w:spacing w:val="-3"/>
          <w:w w:val="105"/>
        </w:rPr>
        <w:t>Jones,</w:t>
      </w:r>
      <w:r>
        <w:rPr>
          <w:color w:val="231F20"/>
          <w:spacing w:val="-34"/>
          <w:w w:val="105"/>
        </w:rPr>
        <w:t> </w:t>
      </w:r>
      <w:r>
        <w:rPr>
          <w:color w:val="231F20"/>
          <w:spacing w:val="-3"/>
          <w:w w:val="105"/>
        </w:rPr>
        <w:t>2003).</w:t>
      </w:r>
    </w:p>
    <w:p>
      <w:pPr>
        <w:pStyle w:val="BodyText"/>
        <w:spacing w:line="259" w:lineRule="auto"/>
        <w:ind w:left="111" w:right="109" w:firstLine="567"/>
        <w:jc w:val="both"/>
      </w:pPr>
      <w:r>
        <w:rPr>
          <w:color w:val="231F20"/>
          <w:w w:val="105"/>
        </w:rPr>
        <w:t>La</w:t>
      </w:r>
      <w:r>
        <w:rPr>
          <w:color w:val="231F20"/>
          <w:spacing w:val="-7"/>
          <w:w w:val="105"/>
        </w:rPr>
        <w:t> </w:t>
      </w:r>
      <w:r>
        <w:rPr>
          <w:color w:val="231F20"/>
          <w:spacing w:val="-3"/>
          <w:w w:val="105"/>
        </w:rPr>
        <w:t>cuarta</w:t>
      </w:r>
      <w:r>
        <w:rPr>
          <w:color w:val="231F20"/>
          <w:spacing w:val="-7"/>
          <w:w w:val="105"/>
        </w:rPr>
        <w:t> </w:t>
      </w:r>
      <w:r>
        <w:rPr>
          <w:color w:val="231F20"/>
          <w:spacing w:val="-3"/>
          <w:w w:val="105"/>
        </w:rPr>
        <w:t>generación</w:t>
      </w:r>
      <w:r>
        <w:rPr>
          <w:color w:val="231F20"/>
          <w:spacing w:val="-7"/>
          <w:w w:val="105"/>
        </w:rPr>
        <w:t> </w:t>
      </w:r>
      <w:r>
        <w:rPr>
          <w:color w:val="231F20"/>
          <w:spacing w:val="-3"/>
          <w:w w:val="105"/>
        </w:rPr>
        <w:t>define</w:t>
      </w:r>
      <w:r>
        <w:rPr>
          <w:color w:val="231F20"/>
          <w:spacing w:val="-7"/>
          <w:w w:val="105"/>
        </w:rPr>
        <w:t> </w:t>
      </w:r>
      <w:r>
        <w:rPr>
          <w:color w:val="231F20"/>
          <w:w w:val="105"/>
        </w:rPr>
        <w:t>sus</w:t>
      </w:r>
      <w:r>
        <w:rPr>
          <w:color w:val="231F20"/>
          <w:spacing w:val="-7"/>
          <w:w w:val="105"/>
        </w:rPr>
        <w:t> </w:t>
      </w:r>
      <w:r>
        <w:rPr>
          <w:color w:val="231F20"/>
          <w:spacing w:val="-3"/>
          <w:w w:val="105"/>
        </w:rPr>
        <w:t>segmentos</w:t>
      </w:r>
      <w:r>
        <w:rPr>
          <w:color w:val="231F20"/>
          <w:spacing w:val="-7"/>
          <w:w w:val="105"/>
        </w:rPr>
        <w:t> </w:t>
      </w:r>
      <w:r>
        <w:rPr>
          <w:color w:val="231F20"/>
          <w:w w:val="105"/>
        </w:rPr>
        <w:t>de</w:t>
      </w:r>
      <w:r>
        <w:rPr>
          <w:color w:val="231F20"/>
          <w:spacing w:val="-7"/>
          <w:w w:val="105"/>
        </w:rPr>
        <w:t> </w:t>
      </w:r>
      <w:r>
        <w:rPr>
          <w:color w:val="231F20"/>
          <w:spacing w:val="-3"/>
          <w:w w:val="105"/>
        </w:rPr>
        <w:t>acuerdo</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spacing w:val="-3"/>
          <w:w w:val="105"/>
        </w:rPr>
        <w:t>mul- tihabilidades </w:t>
      </w:r>
      <w:r>
        <w:rPr>
          <w:color w:val="231F20"/>
          <w:w w:val="105"/>
        </w:rPr>
        <w:t>que los </w:t>
      </w:r>
      <w:r>
        <w:rPr>
          <w:color w:val="231F20"/>
          <w:spacing w:val="-3"/>
          <w:w w:val="105"/>
        </w:rPr>
        <w:t>empleados desarrollan </w:t>
      </w:r>
      <w:r>
        <w:rPr>
          <w:color w:val="231F20"/>
          <w:w w:val="105"/>
        </w:rPr>
        <w:t>con </w:t>
      </w:r>
      <w:r>
        <w:rPr>
          <w:color w:val="231F20"/>
          <w:spacing w:val="-3"/>
          <w:w w:val="105"/>
        </w:rPr>
        <w:t>base </w:t>
      </w:r>
      <w:r>
        <w:rPr>
          <w:color w:val="231F20"/>
          <w:w w:val="105"/>
        </w:rPr>
        <w:t>en el </w:t>
      </w:r>
      <w:r>
        <w:rPr>
          <w:color w:val="231F20"/>
          <w:spacing w:val="-3"/>
          <w:w w:val="105"/>
        </w:rPr>
        <w:t>capital </w:t>
      </w:r>
      <w:r>
        <w:rPr>
          <w:color w:val="231F20"/>
          <w:w w:val="105"/>
        </w:rPr>
        <w:t>hu- </w:t>
      </w:r>
      <w:r>
        <w:rPr>
          <w:color w:val="231F20"/>
          <w:spacing w:val="-3"/>
          <w:w w:val="105"/>
        </w:rPr>
        <w:t>mano </w:t>
      </w:r>
      <w:r>
        <w:rPr>
          <w:color w:val="231F20"/>
          <w:w w:val="105"/>
        </w:rPr>
        <w:t>que </w:t>
      </w:r>
      <w:r>
        <w:rPr>
          <w:color w:val="231F20"/>
          <w:spacing w:val="-3"/>
          <w:w w:val="105"/>
        </w:rPr>
        <w:t>poseen </w:t>
      </w:r>
      <w:r>
        <w:rPr>
          <w:color w:val="231F20"/>
          <w:w w:val="105"/>
        </w:rPr>
        <w:t>o han </w:t>
      </w:r>
      <w:r>
        <w:rPr>
          <w:color w:val="231F20"/>
          <w:spacing w:val="-3"/>
          <w:w w:val="105"/>
        </w:rPr>
        <w:t>generado </w:t>
      </w:r>
      <w:r>
        <w:rPr>
          <w:color w:val="231F20"/>
          <w:w w:val="105"/>
        </w:rPr>
        <w:t>al </w:t>
      </w:r>
      <w:r>
        <w:rPr>
          <w:color w:val="231F20"/>
          <w:spacing w:val="-3"/>
          <w:w w:val="105"/>
        </w:rPr>
        <w:t>interior </w:t>
      </w:r>
      <w:r>
        <w:rPr>
          <w:color w:val="231F20"/>
          <w:w w:val="105"/>
        </w:rPr>
        <w:t>del </w:t>
      </w:r>
      <w:r>
        <w:rPr>
          <w:color w:val="231F20"/>
          <w:spacing w:val="-3"/>
          <w:w w:val="105"/>
        </w:rPr>
        <w:t>mercado </w:t>
      </w:r>
      <w:r>
        <w:rPr>
          <w:color w:val="231F20"/>
          <w:w w:val="105"/>
        </w:rPr>
        <w:t>de </w:t>
      </w:r>
      <w:r>
        <w:rPr>
          <w:color w:val="231F20"/>
          <w:spacing w:val="-4"/>
          <w:w w:val="105"/>
        </w:rPr>
        <w:t>trabajo. </w:t>
      </w:r>
      <w:r>
        <w:rPr>
          <w:color w:val="231F20"/>
          <w:spacing w:val="-3"/>
          <w:w w:val="105"/>
        </w:rPr>
        <w:t>La característica</w:t>
      </w:r>
      <w:r>
        <w:rPr>
          <w:color w:val="231F20"/>
          <w:spacing w:val="-19"/>
          <w:w w:val="105"/>
        </w:rPr>
        <w:t> </w:t>
      </w:r>
      <w:r>
        <w:rPr>
          <w:color w:val="231F20"/>
          <w:w w:val="105"/>
        </w:rPr>
        <w:t>más</w:t>
      </w:r>
      <w:r>
        <w:rPr>
          <w:color w:val="231F20"/>
          <w:spacing w:val="-19"/>
          <w:w w:val="105"/>
        </w:rPr>
        <w:t> </w:t>
      </w:r>
      <w:r>
        <w:rPr>
          <w:color w:val="231F20"/>
          <w:spacing w:val="-3"/>
          <w:w w:val="105"/>
        </w:rPr>
        <w:t>relevante</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spacing w:val="-3"/>
          <w:w w:val="105"/>
        </w:rPr>
        <w:t>orientación</w:t>
      </w:r>
      <w:r>
        <w:rPr>
          <w:color w:val="231F20"/>
          <w:spacing w:val="-19"/>
          <w:w w:val="105"/>
        </w:rPr>
        <w:t> </w:t>
      </w:r>
      <w:r>
        <w:rPr>
          <w:color w:val="231F20"/>
          <w:w w:val="105"/>
        </w:rPr>
        <w:t>al</w:t>
      </w:r>
      <w:r>
        <w:rPr>
          <w:color w:val="231F20"/>
          <w:spacing w:val="-19"/>
          <w:w w:val="105"/>
        </w:rPr>
        <w:t> </w:t>
      </w:r>
      <w:r>
        <w:rPr>
          <w:color w:val="231F20"/>
          <w:spacing w:val="-3"/>
          <w:w w:val="105"/>
        </w:rPr>
        <w:t>autocontrol</w:t>
      </w:r>
      <w:r>
        <w:rPr>
          <w:color w:val="231F20"/>
          <w:spacing w:val="-19"/>
          <w:w w:val="105"/>
        </w:rPr>
        <w:t> </w:t>
      </w:r>
      <w:r>
        <w:rPr>
          <w:color w:val="231F20"/>
          <w:w w:val="105"/>
        </w:rPr>
        <w:t>del</w:t>
      </w:r>
      <w:r>
        <w:rPr>
          <w:color w:val="231F20"/>
          <w:spacing w:val="-19"/>
          <w:w w:val="105"/>
        </w:rPr>
        <w:t> </w:t>
      </w:r>
      <w:r>
        <w:rPr>
          <w:color w:val="231F20"/>
          <w:spacing w:val="-3"/>
          <w:w w:val="105"/>
        </w:rPr>
        <w:t>proceso</w:t>
      </w:r>
      <w:r>
        <w:rPr>
          <w:color w:val="231F20"/>
          <w:spacing w:val="-19"/>
          <w:w w:val="105"/>
        </w:rPr>
        <w:t> </w:t>
      </w:r>
      <w:r>
        <w:rPr>
          <w:color w:val="231F20"/>
          <w:w w:val="105"/>
        </w:rPr>
        <w:t>y la</w:t>
      </w:r>
      <w:r>
        <w:rPr>
          <w:color w:val="231F20"/>
          <w:spacing w:val="-11"/>
          <w:w w:val="105"/>
        </w:rPr>
        <w:t> </w:t>
      </w:r>
      <w:r>
        <w:rPr>
          <w:color w:val="231F20"/>
          <w:spacing w:val="-4"/>
          <w:w w:val="105"/>
        </w:rPr>
        <w:t>identificación</w:t>
      </w:r>
      <w:r>
        <w:rPr>
          <w:color w:val="231F20"/>
          <w:spacing w:val="-11"/>
          <w:w w:val="105"/>
        </w:rPr>
        <w:t> </w:t>
      </w:r>
      <w:r>
        <w:rPr>
          <w:color w:val="231F20"/>
          <w:w w:val="105"/>
        </w:rPr>
        <w:t>de</w:t>
      </w:r>
      <w:r>
        <w:rPr>
          <w:color w:val="231F20"/>
          <w:spacing w:val="-11"/>
          <w:w w:val="105"/>
        </w:rPr>
        <w:t> </w:t>
      </w:r>
      <w:r>
        <w:rPr>
          <w:color w:val="231F20"/>
          <w:spacing w:val="-3"/>
          <w:w w:val="105"/>
        </w:rPr>
        <w:t>todo</w:t>
      </w:r>
      <w:r>
        <w:rPr>
          <w:color w:val="231F20"/>
          <w:spacing w:val="-11"/>
          <w:w w:val="105"/>
        </w:rPr>
        <w:t> </w:t>
      </w:r>
      <w:r>
        <w:rPr>
          <w:color w:val="231F20"/>
          <w:spacing w:val="-4"/>
          <w:w w:val="105"/>
        </w:rPr>
        <w:t>aquello</w:t>
      </w:r>
      <w:r>
        <w:rPr>
          <w:color w:val="231F20"/>
          <w:spacing w:val="-11"/>
          <w:w w:val="105"/>
        </w:rPr>
        <w:t> </w:t>
      </w:r>
      <w:r>
        <w:rPr>
          <w:color w:val="231F20"/>
          <w:spacing w:val="-3"/>
          <w:w w:val="105"/>
        </w:rPr>
        <w:t>que</w:t>
      </w:r>
      <w:r>
        <w:rPr>
          <w:color w:val="231F20"/>
          <w:spacing w:val="-11"/>
          <w:w w:val="105"/>
        </w:rPr>
        <w:t> </w:t>
      </w:r>
      <w:r>
        <w:rPr>
          <w:color w:val="231F20"/>
          <w:w w:val="105"/>
        </w:rPr>
        <w:t>no</w:t>
      </w:r>
      <w:r>
        <w:rPr>
          <w:color w:val="231F20"/>
          <w:spacing w:val="-11"/>
          <w:w w:val="105"/>
        </w:rPr>
        <w:t> </w:t>
      </w:r>
      <w:r>
        <w:rPr>
          <w:color w:val="231F20"/>
          <w:spacing w:val="-4"/>
          <w:w w:val="105"/>
        </w:rPr>
        <w:t>genera</w:t>
      </w:r>
      <w:r>
        <w:rPr>
          <w:color w:val="231F20"/>
          <w:spacing w:val="-11"/>
          <w:w w:val="105"/>
        </w:rPr>
        <w:t> </w:t>
      </w:r>
      <w:r>
        <w:rPr>
          <w:color w:val="231F20"/>
          <w:spacing w:val="-4"/>
          <w:w w:val="105"/>
        </w:rPr>
        <w:t>valor</w:t>
      </w:r>
      <w:r>
        <w:rPr>
          <w:color w:val="231F20"/>
          <w:spacing w:val="-11"/>
          <w:w w:val="105"/>
        </w:rPr>
        <w:t> </w:t>
      </w:r>
      <w:r>
        <w:rPr>
          <w:color w:val="231F20"/>
          <w:spacing w:val="-4"/>
          <w:w w:val="105"/>
        </w:rPr>
        <w:t>para</w:t>
      </w:r>
      <w:r>
        <w:rPr>
          <w:color w:val="231F20"/>
          <w:spacing w:val="-11"/>
          <w:w w:val="105"/>
        </w:rPr>
        <w:t> </w:t>
      </w:r>
      <w:r>
        <w:rPr>
          <w:color w:val="231F20"/>
          <w:w w:val="105"/>
        </w:rPr>
        <w:t>el</w:t>
      </w:r>
      <w:r>
        <w:rPr>
          <w:color w:val="231F20"/>
          <w:spacing w:val="-11"/>
          <w:w w:val="105"/>
        </w:rPr>
        <w:t> </w:t>
      </w:r>
      <w:r>
        <w:rPr>
          <w:color w:val="231F20"/>
          <w:spacing w:val="-4"/>
          <w:w w:val="105"/>
        </w:rPr>
        <w:t>producto</w:t>
      </w:r>
      <w:r>
        <w:rPr>
          <w:color w:val="231F20"/>
          <w:spacing w:val="-11"/>
          <w:w w:val="105"/>
        </w:rPr>
        <w:t> </w:t>
      </w:r>
      <w:r>
        <w:rPr>
          <w:color w:val="231F20"/>
          <w:w w:val="105"/>
        </w:rPr>
        <w:t>y</w:t>
      </w:r>
      <w:r>
        <w:rPr>
          <w:color w:val="231F20"/>
          <w:spacing w:val="-11"/>
          <w:w w:val="105"/>
        </w:rPr>
        <w:t> </w:t>
      </w:r>
      <w:r>
        <w:rPr>
          <w:color w:val="231F20"/>
          <w:spacing w:val="-4"/>
          <w:w w:val="105"/>
        </w:rPr>
        <w:t>la </w:t>
      </w:r>
      <w:r>
        <w:rPr>
          <w:color w:val="231F20"/>
          <w:spacing w:val="-5"/>
          <w:w w:val="105"/>
        </w:rPr>
        <w:t>producción.</w:t>
      </w:r>
    </w:p>
    <w:p>
      <w:pPr>
        <w:pStyle w:val="BodyText"/>
        <w:spacing w:line="259" w:lineRule="auto"/>
        <w:ind w:left="111" w:right="110" w:firstLine="567"/>
        <w:jc w:val="both"/>
      </w:pPr>
      <w:r>
        <w:rPr>
          <w:color w:val="231F20"/>
          <w:w w:val="105"/>
        </w:rPr>
        <w:t>Las</w:t>
      </w:r>
      <w:r>
        <w:rPr>
          <w:color w:val="231F20"/>
          <w:spacing w:val="-25"/>
          <w:w w:val="105"/>
        </w:rPr>
        <w:t> </w:t>
      </w:r>
      <w:r>
        <w:rPr>
          <w:color w:val="231F20"/>
          <w:w w:val="105"/>
        </w:rPr>
        <w:t>teorías</w:t>
      </w:r>
      <w:r>
        <w:rPr>
          <w:color w:val="231F20"/>
          <w:spacing w:val="-25"/>
          <w:w w:val="105"/>
        </w:rPr>
        <w:t> </w:t>
      </w:r>
      <w:r>
        <w:rPr>
          <w:color w:val="231F20"/>
          <w:w w:val="105"/>
        </w:rPr>
        <w:t>del</w:t>
      </w:r>
      <w:r>
        <w:rPr>
          <w:color w:val="231F20"/>
          <w:spacing w:val="-25"/>
          <w:w w:val="105"/>
        </w:rPr>
        <w:t> </w:t>
      </w:r>
      <w:r>
        <w:rPr>
          <w:color w:val="231F20"/>
          <w:w w:val="105"/>
        </w:rPr>
        <w:t>mercado,</w:t>
      </w:r>
      <w:r>
        <w:rPr>
          <w:color w:val="231F20"/>
          <w:spacing w:val="-30"/>
          <w:w w:val="105"/>
        </w:rPr>
        <w:t> </w:t>
      </w:r>
      <w:r>
        <w:rPr>
          <w:color w:val="231F20"/>
          <w:w w:val="105"/>
        </w:rPr>
        <w:t>tanto</w:t>
      </w:r>
      <w:r>
        <w:rPr>
          <w:color w:val="231F20"/>
          <w:spacing w:val="-25"/>
          <w:w w:val="105"/>
        </w:rPr>
        <w:t> </w:t>
      </w:r>
      <w:r>
        <w:rPr>
          <w:color w:val="231F20"/>
          <w:w w:val="105"/>
        </w:rPr>
        <w:t>la</w:t>
      </w:r>
      <w:r>
        <w:rPr>
          <w:color w:val="231F20"/>
          <w:spacing w:val="-25"/>
          <w:w w:val="105"/>
        </w:rPr>
        <w:t> </w:t>
      </w:r>
      <w:r>
        <w:rPr>
          <w:color w:val="231F20"/>
          <w:w w:val="105"/>
        </w:rPr>
        <w:t>neoclásica</w:t>
      </w:r>
      <w:r>
        <w:rPr>
          <w:color w:val="231F20"/>
          <w:spacing w:val="-25"/>
          <w:w w:val="105"/>
        </w:rPr>
        <w:t> </w:t>
      </w:r>
      <w:r>
        <w:rPr>
          <w:color w:val="231F20"/>
          <w:w w:val="105"/>
        </w:rPr>
        <w:t>como</w:t>
      </w:r>
      <w:r>
        <w:rPr>
          <w:color w:val="231F20"/>
          <w:spacing w:val="-25"/>
          <w:w w:val="105"/>
        </w:rPr>
        <w:t> </w:t>
      </w:r>
      <w:r>
        <w:rPr>
          <w:color w:val="231F20"/>
          <w:w w:val="105"/>
        </w:rPr>
        <w:t>la</w:t>
      </w:r>
      <w:r>
        <w:rPr>
          <w:color w:val="231F20"/>
          <w:spacing w:val="-25"/>
          <w:w w:val="105"/>
        </w:rPr>
        <w:t> </w:t>
      </w:r>
      <w:r>
        <w:rPr>
          <w:color w:val="231F20"/>
          <w:w w:val="105"/>
        </w:rPr>
        <w:t>de</w:t>
      </w:r>
      <w:r>
        <w:rPr>
          <w:color w:val="231F20"/>
          <w:spacing w:val="-25"/>
          <w:w w:val="105"/>
        </w:rPr>
        <w:t> </w:t>
      </w:r>
      <w:r>
        <w:rPr>
          <w:color w:val="231F20"/>
          <w:w w:val="105"/>
        </w:rPr>
        <w:t>segmenta- ción</w:t>
      </w:r>
      <w:r>
        <w:rPr>
          <w:color w:val="231F20"/>
          <w:spacing w:val="-21"/>
          <w:w w:val="105"/>
        </w:rPr>
        <w:t> </w:t>
      </w:r>
      <w:r>
        <w:rPr>
          <w:color w:val="231F20"/>
          <w:w w:val="105"/>
        </w:rPr>
        <w:t>parten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mismos</w:t>
      </w:r>
      <w:r>
        <w:rPr>
          <w:color w:val="231F20"/>
          <w:spacing w:val="-21"/>
          <w:w w:val="105"/>
        </w:rPr>
        <w:t> </w:t>
      </w:r>
      <w:r>
        <w:rPr>
          <w:color w:val="231F20"/>
          <w:w w:val="105"/>
        </w:rPr>
        <w:t>principios</w:t>
      </w:r>
      <w:r>
        <w:rPr>
          <w:color w:val="231F20"/>
          <w:spacing w:val="-21"/>
          <w:w w:val="105"/>
        </w:rPr>
        <w:t> </w:t>
      </w:r>
      <w:r>
        <w:rPr>
          <w:color w:val="231F20"/>
          <w:w w:val="105"/>
        </w:rPr>
        <w:t>y</w:t>
      </w:r>
      <w:r>
        <w:rPr>
          <w:color w:val="231F20"/>
          <w:spacing w:val="-21"/>
          <w:w w:val="105"/>
        </w:rPr>
        <w:t> </w:t>
      </w:r>
      <w:r>
        <w:rPr>
          <w:color w:val="231F20"/>
          <w:w w:val="105"/>
        </w:rPr>
        <w:t>supuestos,</w:t>
      </w:r>
      <w:r>
        <w:rPr>
          <w:color w:val="231F20"/>
          <w:spacing w:val="-26"/>
          <w:w w:val="105"/>
        </w:rPr>
        <w:t> </w:t>
      </w:r>
      <w:r>
        <w:rPr>
          <w:color w:val="231F20"/>
          <w:w w:val="105"/>
        </w:rPr>
        <w:t>sin</w:t>
      </w:r>
      <w:r>
        <w:rPr>
          <w:color w:val="231F20"/>
          <w:spacing w:val="-21"/>
          <w:w w:val="105"/>
        </w:rPr>
        <w:t> </w:t>
      </w:r>
      <w:r>
        <w:rPr>
          <w:color w:val="231F20"/>
          <w:w w:val="105"/>
        </w:rPr>
        <w:t>embargo</w:t>
      </w:r>
      <w:r>
        <w:rPr>
          <w:color w:val="231F20"/>
          <w:spacing w:val="-21"/>
          <w:w w:val="105"/>
        </w:rPr>
        <w:t> </w:t>
      </w:r>
      <w:r>
        <w:rPr>
          <w:color w:val="231F20"/>
          <w:w w:val="105"/>
        </w:rPr>
        <w:t>cada</w:t>
      </w:r>
      <w:r>
        <w:rPr>
          <w:color w:val="231F20"/>
          <w:spacing w:val="-21"/>
          <w:w w:val="105"/>
        </w:rPr>
        <w:t> </w:t>
      </w:r>
      <w:r>
        <w:rPr>
          <w:color w:val="231F20"/>
          <w:w w:val="105"/>
        </w:rPr>
        <w:t>una aporta</w:t>
      </w:r>
      <w:r>
        <w:rPr>
          <w:color w:val="231F20"/>
          <w:spacing w:val="-25"/>
          <w:w w:val="105"/>
        </w:rPr>
        <w:t> </w:t>
      </w:r>
      <w:r>
        <w:rPr>
          <w:color w:val="231F20"/>
          <w:w w:val="105"/>
        </w:rPr>
        <w:t>distintos</w:t>
      </w:r>
      <w:r>
        <w:rPr>
          <w:color w:val="231F20"/>
          <w:spacing w:val="-25"/>
          <w:w w:val="105"/>
        </w:rPr>
        <w:t> </w:t>
      </w:r>
      <w:r>
        <w:rPr>
          <w:color w:val="231F20"/>
          <w:w w:val="105"/>
        </w:rPr>
        <w:t>enfoques,</w:t>
      </w:r>
      <w:r>
        <w:rPr>
          <w:color w:val="231F20"/>
          <w:spacing w:val="-30"/>
          <w:w w:val="105"/>
        </w:rPr>
        <w:t> </w:t>
      </w:r>
      <w:r>
        <w:rPr>
          <w:color w:val="231F20"/>
          <w:w w:val="105"/>
        </w:rPr>
        <w:t>lo</w:t>
      </w:r>
      <w:r>
        <w:rPr>
          <w:color w:val="231F20"/>
          <w:spacing w:val="-25"/>
          <w:w w:val="105"/>
        </w:rPr>
        <w:t> </w:t>
      </w:r>
      <w:r>
        <w:rPr>
          <w:color w:val="231F20"/>
          <w:w w:val="105"/>
        </w:rPr>
        <w:t>que</w:t>
      </w:r>
      <w:r>
        <w:rPr>
          <w:color w:val="231F20"/>
          <w:spacing w:val="-25"/>
          <w:w w:val="105"/>
        </w:rPr>
        <w:t> </w:t>
      </w:r>
      <w:r>
        <w:rPr>
          <w:color w:val="231F20"/>
          <w:w w:val="105"/>
        </w:rPr>
        <w:t>no</w:t>
      </w:r>
      <w:r>
        <w:rPr>
          <w:color w:val="231F20"/>
          <w:spacing w:val="-25"/>
          <w:w w:val="105"/>
        </w:rPr>
        <w:t> </w:t>
      </w:r>
      <w:r>
        <w:rPr>
          <w:color w:val="231F20"/>
          <w:w w:val="105"/>
        </w:rPr>
        <w:t>las</w:t>
      </w:r>
      <w:r>
        <w:rPr>
          <w:color w:val="231F20"/>
          <w:spacing w:val="-25"/>
          <w:w w:val="105"/>
        </w:rPr>
        <w:t> </w:t>
      </w:r>
      <w:r>
        <w:rPr>
          <w:color w:val="231F20"/>
          <w:w w:val="105"/>
        </w:rPr>
        <w:t>hace</w:t>
      </w:r>
      <w:r>
        <w:rPr>
          <w:color w:val="231F20"/>
          <w:spacing w:val="-25"/>
          <w:w w:val="105"/>
        </w:rPr>
        <w:t> </w:t>
      </w:r>
      <w:r>
        <w:rPr>
          <w:color w:val="231F20"/>
          <w:w w:val="105"/>
        </w:rPr>
        <w:t>excluyentes</w:t>
      </w:r>
      <w:r>
        <w:rPr>
          <w:color w:val="231F20"/>
          <w:spacing w:val="-25"/>
          <w:w w:val="105"/>
        </w:rPr>
        <w:t> </w:t>
      </w:r>
      <w:r>
        <w:rPr>
          <w:color w:val="231F20"/>
          <w:w w:val="105"/>
        </w:rPr>
        <w:t>pero</w:t>
      </w:r>
      <w:r>
        <w:rPr>
          <w:color w:val="231F20"/>
          <w:spacing w:val="-25"/>
          <w:w w:val="105"/>
        </w:rPr>
        <w:t> </w:t>
      </w:r>
      <w:r>
        <w:rPr>
          <w:color w:val="231F20"/>
          <w:w w:val="105"/>
        </w:rPr>
        <w:t>sí</w:t>
      </w:r>
      <w:r>
        <w:rPr>
          <w:color w:val="231F20"/>
          <w:spacing w:val="-25"/>
          <w:w w:val="105"/>
        </w:rPr>
        <w:t> </w:t>
      </w:r>
      <w:r>
        <w:rPr>
          <w:color w:val="231F20"/>
          <w:w w:val="105"/>
        </w:rPr>
        <w:t>diferen- tes.</w:t>
      </w:r>
      <w:r>
        <w:rPr>
          <w:color w:val="231F20"/>
          <w:spacing w:val="-19"/>
          <w:w w:val="105"/>
        </w:rPr>
        <w:t> </w:t>
      </w:r>
      <w:r>
        <w:rPr>
          <w:color w:val="231F20"/>
          <w:w w:val="105"/>
        </w:rPr>
        <w:t>A</w:t>
      </w:r>
      <w:r>
        <w:rPr>
          <w:color w:val="231F20"/>
          <w:spacing w:val="-13"/>
          <w:w w:val="105"/>
        </w:rPr>
        <w:t> </w:t>
      </w:r>
      <w:r>
        <w:rPr>
          <w:color w:val="231F20"/>
          <w:w w:val="105"/>
        </w:rPr>
        <w:t>continuación</w:t>
      </w:r>
      <w:r>
        <w:rPr>
          <w:color w:val="231F20"/>
          <w:spacing w:val="-11"/>
          <w:w w:val="105"/>
        </w:rPr>
        <w:t> </w:t>
      </w:r>
      <w:r>
        <w:rPr>
          <w:color w:val="231F20"/>
          <w:w w:val="105"/>
        </w:rPr>
        <w:t>se</w:t>
      </w:r>
      <w:r>
        <w:rPr>
          <w:color w:val="231F20"/>
          <w:spacing w:val="-11"/>
          <w:w w:val="105"/>
        </w:rPr>
        <w:t> </w:t>
      </w:r>
      <w:r>
        <w:rPr>
          <w:color w:val="231F20"/>
          <w:w w:val="105"/>
        </w:rPr>
        <w:t>presentan</w:t>
      </w:r>
      <w:r>
        <w:rPr>
          <w:color w:val="231F20"/>
          <w:spacing w:val="-11"/>
          <w:w w:val="105"/>
        </w:rPr>
        <w:t> </w:t>
      </w:r>
      <w:r>
        <w:rPr>
          <w:color w:val="231F20"/>
          <w:w w:val="105"/>
        </w:rPr>
        <w:t>las</w:t>
      </w:r>
      <w:r>
        <w:rPr>
          <w:color w:val="231F20"/>
          <w:spacing w:val="-11"/>
          <w:w w:val="105"/>
        </w:rPr>
        <w:t> </w:t>
      </w:r>
      <w:r>
        <w:rPr>
          <w:color w:val="231F20"/>
          <w:w w:val="105"/>
        </w:rPr>
        <w:t>principales</w:t>
      </w:r>
      <w:r>
        <w:rPr>
          <w:color w:val="231F20"/>
          <w:spacing w:val="-11"/>
          <w:w w:val="105"/>
        </w:rPr>
        <w:t> </w:t>
      </w:r>
      <w:r>
        <w:rPr>
          <w:color w:val="231F20"/>
          <w:w w:val="105"/>
        </w:rPr>
        <w:t>diferencias</w:t>
      </w:r>
      <w:r>
        <w:rPr>
          <w:color w:val="231F20"/>
          <w:spacing w:val="-11"/>
          <w:w w:val="105"/>
        </w:rPr>
        <w:t> </w:t>
      </w:r>
      <w:r>
        <w:rPr>
          <w:color w:val="231F20"/>
          <w:w w:val="105"/>
        </w:rPr>
        <w:t>que</w:t>
      </w:r>
      <w:r>
        <w:rPr>
          <w:color w:val="231F20"/>
          <w:spacing w:val="-11"/>
          <w:w w:val="105"/>
        </w:rPr>
        <w:t> </w:t>
      </w:r>
      <w:r>
        <w:rPr>
          <w:color w:val="231F20"/>
          <w:w w:val="105"/>
        </w:rPr>
        <w:t>existen entre</w:t>
      </w:r>
      <w:r>
        <w:rPr>
          <w:color w:val="231F20"/>
          <w:spacing w:val="-15"/>
          <w:w w:val="105"/>
        </w:rPr>
        <w:t> </w:t>
      </w:r>
      <w:r>
        <w:rPr>
          <w:color w:val="231F20"/>
          <w:w w:val="105"/>
        </w:rPr>
        <w:t>la</w:t>
      </w:r>
      <w:r>
        <w:rPr>
          <w:color w:val="231F20"/>
          <w:spacing w:val="-15"/>
          <w:w w:val="105"/>
        </w:rPr>
        <w:t> </w:t>
      </w:r>
      <w:r>
        <w:rPr>
          <w:color w:val="231F20"/>
          <w:w w:val="105"/>
        </w:rPr>
        <w:t>teoría</w:t>
      </w:r>
      <w:r>
        <w:rPr>
          <w:color w:val="231F20"/>
          <w:spacing w:val="-15"/>
          <w:w w:val="105"/>
        </w:rPr>
        <w:t> </w:t>
      </w:r>
      <w:r>
        <w:rPr>
          <w:color w:val="231F20"/>
          <w:w w:val="105"/>
        </w:rPr>
        <w:t>neoclásica</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teoría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segmentación,</w:t>
      </w:r>
      <w:r>
        <w:rPr>
          <w:color w:val="231F20"/>
          <w:spacing w:val="-20"/>
          <w:w w:val="105"/>
        </w:rPr>
        <w:t> </w:t>
      </w:r>
      <w:r>
        <w:rPr>
          <w:color w:val="231F20"/>
          <w:w w:val="105"/>
        </w:rPr>
        <w:t>que</w:t>
      </w:r>
      <w:r>
        <w:rPr>
          <w:color w:val="231F20"/>
          <w:spacing w:val="-15"/>
          <w:w w:val="105"/>
        </w:rPr>
        <w:t> </w:t>
      </w:r>
      <w:r>
        <w:rPr>
          <w:color w:val="231F20"/>
          <w:w w:val="105"/>
        </w:rPr>
        <w:t>a</w:t>
      </w:r>
      <w:r>
        <w:rPr>
          <w:color w:val="231F20"/>
          <w:spacing w:val="-15"/>
          <w:w w:val="105"/>
        </w:rPr>
        <w:t> </w:t>
      </w:r>
      <w:r>
        <w:rPr>
          <w:color w:val="231F20"/>
          <w:w w:val="105"/>
        </w:rPr>
        <w:t>pesar</w:t>
      </w:r>
      <w:r>
        <w:rPr>
          <w:color w:val="231F20"/>
          <w:spacing w:val="-15"/>
          <w:w w:val="105"/>
        </w:rPr>
        <w:t> </w:t>
      </w:r>
      <w:r>
        <w:rPr>
          <w:color w:val="231F20"/>
          <w:w w:val="105"/>
        </w:rPr>
        <w:t>de tener</w:t>
      </w:r>
      <w:r>
        <w:rPr>
          <w:color w:val="231F20"/>
          <w:spacing w:val="-22"/>
          <w:w w:val="105"/>
        </w:rPr>
        <w:t> </w:t>
      </w:r>
      <w:r>
        <w:rPr>
          <w:color w:val="231F20"/>
          <w:w w:val="105"/>
        </w:rPr>
        <w:t>el</w:t>
      </w:r>
      <w:r>
        <w:rPr>
          <w:color w:val="231F20"/>
          <w:spacing w:val="-22"/>
          <w:w w:val="105"/>
        </w:rPr>
        <w:t> </w:t>
      </w:r>
      <w:r>
        <w:rPr>
          <w:color w:val="231F20"/>
          <w:w w:val="105"/>
        </w:rPr>
        <w:t>mismo</w:t>
      </w:r>
      <w:r>
        <w:rPr>
          <w:color w:val="231F20"/>
          <w:spacing w:val="-22"/>
          <w:w w:val="105"/>
        </w:rPr>
        <w:t> </w:t>
      </w:r>
      <w:r>
        <w:rPr>
          <w:color w:val="231F20"/>
          <w:w w:val="105"/>
        </w:rPr>
        <w:t>origen</w:t>
      </w:r>
      <w:r>
        <w:rPr>
          <w:color w:val="231F20"/>
          <w:spacing w:val="-22"/>
          <w:w w:val="105"/>
        </w:rPr>
        <w:t> </w:t>
      </w:r>
      <w:r>
        <w:rPr>
          <w:color w:val="231F20"/>
          <w:w w:val="105"/>
        </w:rPr>
        <w:t>conceptual</w:t>
      </w:r>
      <w:r>
        <w:rPr>
          <w:color w:val="231F20"/>
          <w:spacing w:val="-22"/>
          <w:w w:val="105"/>
        </w:rPr>
        <w:t> </w:t>
      </w:r>
      <w:r>
        <w:rPr>
          <w:color w:val="231F20"/>
          <w:w w:val="105"/>
        </w:rPr>
        <w:t>a</w:t>
      </w:r>
      <w:r>
        <w:rPr>
          <w:color w:val="231F20"/>
          <w:spacing w:val="-22"/>
          <w:w w:val="105"/>
        </w:rPr>
        <w:t> </w:t>
      </w:r>
      <w:r>
        <w:rPr>
          <w:color w:val="231F20"/>
          <w:w w:val="105"/>
        </w:rPr>
        <w:t>través</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cuatro</w:t>
      </w:r>
      <w:r>
        <w:rPr>
          <w:color w:val="231F20"/>
          <w:spacing w:val="-22"/>
          <w:w w:val="105"/>
        </w:rPr>
        <w:t> </w:t>
      </w:r>
      <w:r>
        <w:rPr>
          <w:color w:val="231F20"/>
          <w:w w:val="105"/>
        </w:rPr>
        <w:t>generaciones</w:t>
      </w:r>
      <w:r>
        <w:rPr>
          <w:color w:val="231F20"/>
          <w:spacing w:val="-22"/>
          <w:w w:val="105"/>
        </w:rPr>
        <w:t> </w:t>
      </w:r>
      <w:r>
        <w:rPr>
          <w:color w:val="231F20"/>
          <w:w w:val="105"/>
        </w:rPr>
        <w:t>de la</w:t>
      </w:r>
      <w:r>
        <w:rPr>
          <w:color w:val="231F20"/>
          <w:spacing w:val="-11"/>
          <w:w w:val="105"/>
        </w:rPr>
        <w:t> </w:t>
      </w:r>
      <w:r>
        <w:rPr>
          <w:color w:val="231F20"/>
          <w:w w:val="105"/>
        </w:rPr>
        <w:t>segmentación</w:t>
      </w:r>
      <w:r>
        <w:rPr>
          <w:color w:val="231F20"/>
          <w:spacing w:val="-11"/>
          <w:w w:val="105"/>
        </w:rPr>
        <w:t> </w:t>
      </w:r>
      <w:r>
        <w:rPr>
          <w:color w:val="231F20"/>
          <w:w w:val="105"/>
        </w:rPr>
        <w:t>se</w:t>
      </w:r>
      <w:r>
        <w:rPr>
          <w:color w:val="231F20"/>
          <w:spacing w:val="-11"/>
          <w:w w:val="105"/>
        </w:rPr>
        <w:t> </w:t>
      </w:r>
      <w:r>
        <w:rPr>
          <w:color w:val="231F20"/>
          <w:w w:val="105"/>
        </w:rPr>
        <w:t>fueron</w:t>
      </w:r>
      <w:r>
        <w:rPr>
          <w:color w:val="231F20"/>
          <w:spacing w:val="-11"/>
          <w:w w:val="105"/>
        </w:rPr>
        <w:t> </w:t>
      </w:r>
      <w:r>
        <w:rPr>
          <w:color w:val="231F20"/>
          <w:w w:val="105"/>
        </w:rPr>
        <w:t>rompiendo</w:t>
      </w:r>
      <w:r>
        <w:rPr>
          <w:color w:val="231F20"/>
          <w:spacing w:val="-11"/>
          <w:w w:val="105"/>
        </w:rPr>
        <w:t> </w:t>
      </w:r>
      <w:r>
        <w:rPr>
          <w:color w:val="231F20"/>
          <w:w w:val="105"/>
        </w:rPr>
        <w:t>los</w:t>
      </w:r>
      <w:r>
        <w:rPr>
          <w:color w:val="231F20"/>
          <w:spacing w:val="-11"/>
          <w:w w:val="105"/>
        </w:rPr>
        <w:t> </w:t>
      </w:r>
      <w:r>
        <w:rPr>
          <w:color w:val="231F20"/>
          <w:w w:val="105"/>
        </w:rPr>
        <w:t>conceptos</w:t>
      </w:r>
      <w:r>
        <w:rPr>
          <w:color w:val="231F20"/>
          <w:spacing w:val="-11"/>
          <w:w w:val="105"/>
        </w:rPr>
        <w:t> </w:t>
      </w:r>
      <w:r>
        <w:rPr>
          <w:color w:val="231F20"/>
          <w:w w:val="105"/>
        </w:rPr>
        <w:t>previos</w:t>
      </w:r>
      <w:r>
        <w:rPr>
          <w:color w:val="231F20"/>
          <w:spacing w:val="-11"/>
          <w:w w:val="105"/>
        </w:rPr>
        <w:t> </w:t>
      </w:r>
      <w:r>
        <w:rPr>
          <w:color w:val="231F20"/>
          <w:w w:val="105"/>
        </w:rPr>
        <w:t>y</w:t>
      </w:r>
      <w:r>
        <w:rPr>
          <w:color w:val="231F20"/>
          <w:spacing w:val="-11"/>
          <w:w w:val="105"/>
        </w:rPr>
        <w:t> </w:t>
      </w:r>
      <w:r>
        <w:rPr>
          <w:color w:val="231F20"/>
          <w:w w:val="105"/>
        </w:rPr>
        <w:t>añadien- do</w:t>
      </w:r>
      <w:r>
        <w:rPr>
          <w:color w:val="231F20"/>
          <w:spacing w:val="-5"/>
          <w:w w:val="105"/>
        </w:rPr>
        <w:t> </w:t>
      </w:r>
      <w:r>
        <w:rPr>
          <w:color w:val="231F20"/>
          <w:w w:val="105"/>
        </w:rPr>
        <w:t>nuevos</w:t>
      </w:r>
      <w:r>
        <w:rPr>
          <w:color w:val="231F20"/>
          <w:spacing w:val="-5"/>
          <w:w w:val="105"/>
        </w:rPr>
        <w:t> </w:t>
      </w:r>
      <w:r>
        <w:rPr>
          <w:color w:val="231F20"/>
          <w:w w:val="105"/>
        </w:rPr>
        <w:t>supuestos</w:t>
      </w:r>
      <w:r>
        <w:rPr>
          <w:color w:val="231F20"/>
          <w:spacing w:val="-5"/>
          <w:w w:val="105"/>
        </w:rPr>
        <w:t> </w:t>
      </w:r>
      <w:r>
        <w:rPr>
          <w:color w:val="231F20"/>
          <w:w w:val="105"/>
        </w:rPr>
        <w:t>que</w:t>
      </w:r>
      <w:r>
        <w:rPr>
          <w:color w:val="231F20"/>
          <w:spacing w:val="-5"/>
          <w:w w:val="105"/>
        </w:rPr>
        <w:t> </w:t>
      </w:r>
      <w:r>
        <w:rPr>
          <w:color w:val="231F20"/>
          <w:w w:val="105"/>
        </w:rPr>
        <w:t>modifican</w:t>
      </w:r>
      <w:r>
        <w:rPr>
          <w:color w:val="231F20"/>
          <w:spacing w:val="-5"/>
          <w:w w:val="105"/>
        </w:rPr>
        <w:t> </w:t>
      </w:r>
      <w:r>
        <w:rPr>
          <w:color w:val="231F20"/>
          <w:w w:val="105"/>
        </w:rPr>
        <w:t>la</w:t>
      </w:r>
      <w:r>
        <w:rPr>
          <w:color w:val="231F20"/>
          <w:spacing w:val="-5"/>
          <w:w w:val="105"/>
        </w:rPr>
        <w:t> </w:t>
      </w:r>
      <w:r>
        <w:rPr>
          <w:color w:val="231F20"/>
          <w:w w:val="105"/>
        </w:rPr>
        <w:t>manera</w:t>
      </w:r>
      <w:r>
        <w:rPr>
          <w:color w:val="231F20"/>
          <w:spacing w:val="-5"/>
          <w:w w:val="105"/>
        </w:rPr>
        <w:t> </w:t>
      </w:r>
      <w:r>
        <w:rPr>
          <w:color w:val="231F20"/>
          <w:w w:val="105"/>
        </w:rPr>
        <w:t>de</w:t>
      </w:r>
      <w:r>
        <w:rPr>
          <w:color w:val="231F20"/>
          <w:spacing w:val="-5"/>
          <w:w w:val="105"/>
        </w:rPr>
        <w:t> </w:t>
      </w:r>
      <w:r>
        <w:rPr>
          <w:color w:val="231F20"/>
          <w:w w:val="105"/>
        </w:rPr>
        <w:t>explicar</w:t>
      </w:r>
      <w:r>
        <w:rPr>
          <w:color w:val="231F20"/>
          <w:spacing w:val="-5"/>
          <w:w w:val="105"/>
        </w:rPr>
        <w:t> </w:t>
      </w:r>
      <w:r>
        <w:rPr>
          <w:color w:val="231F20"/>
          <w:w w:val="105"/>
        </w:rPr>
        <w:t>y</w:t>
      </w:r>
      <w:r>
        <w:rPr>
          <w:color w:val="231F20"/>
          <w:spacing w:val="-5"/>
          <w:w w:val="105"/>
        </w:rPr>
        <w:t> </w:t>
      </w:r>
      <w:r>
        <w:rPr>
          <w:color w:val="231F20"/>
          <w:w w:val="105"/>
        </w:rPr>
        <w:t>abordar</w:t>
      </w:r>
      <w:r>
        <w:rPr>
          <w:color w:val="231F20"/>
          <w:spacing w:val="-5"/>
          <w:w w:val="105"/>
        </w:rPr>
        <w:t> </w:t>
      </w:r>
      <w:r>
        <w:rPr>
          <w:color w:val="231F20"/>
          <w:w w:val="105"/>
        </w:rPr>
        <w:t>la estructura</w:t>
      </w:r>
      <w:r>
        <w:rPr>
          <w:color w:val="231F20"/>
          <w:spacing w:val="-12"/>
          <w:w w:val="105"/>
        </w:rPr>
        <w:t> </w:t>
      </w:r>
      <w:r>
        <w:rPr>
          <w:color w:val="231F20"/>
          <w:w w:val="105"/>
        </w:rPr>
        <w:t>del</w:t>
      </w:r>
      <w:r>
        <w:rPr>
          <w:color w:val="231F20"/>
          <w:spacing w:val="-12"/>
          <w:w w:val="105"/>
        </w:rPr>
        <w:t> </w:t>
      </w:r>
      <w:r>
        <w:rPr>
          <w:color w:val="231F20"/>
          <w:w w:val="105"/>
        </w:rPr>
        <w:t>mercado</w:t>
      </w:r>
      <w:r>
        <w:rPr>
          <w:color w:val="231F20"/>
          <w:spacing w:val="-12"/>
          <w:w w:val="105"/>
        </w:rPr>
        <w:t> </w:t>
      </w:r>
      <w:r>
        <w:rPr>
          <w:color w:val="231F20"/>
          <w:w w:val="105"/>
        </w:rPr>
        <w:t>de</w:t>
      </w:r>
      <w:r>
        <w:rPr>
          <w:color w:val="231F20"/>
          <w:spacing w:val="-12"/>
          <w:w w:val="105"/>
        </w:rPr>
        <w:t> </w:t>
      </w:r>
      <w:r>
        <w:rPr>
          <w:color w:val="231F20"/>
          <w:w w:val="105"/>
        </w:rPr>
        <w:t>trabajo.</w:t>
      </w:r>
    </w:p>
    <w:p>
      <w:pPr>
        <w:pStyle w:val="BodyText"/>
        <w:rPr>
          <w:sz w:val="20"/>
        </w:rPr>
      </w:pPr>
    </w:p>
    <w:p>
      <w:pPr>
        <w:pStyle w:val="BodyText"/>
        <w:spacing w:before="7"/>
        <w:rPr>
          <w:sz w:val="18"/>
        </w:rPr>
      </w:pPr>
    </w:p>
    <w:p>
      <w:pPr>
        <w:pStyle w:val="Heading2"/>
        <w:ind w:left="111"/>
      </w:pPr>
      <w:r>
        <w:rPr>
          <w:color w:val="231F20"/>
        </w:rPr>
        <w:t>Teoría neoclásica vs teoría de la segmentación</w:t>
      </w:r>
    </w:p>
    <w:p>
      <w:pPr>
        <w:pStyle w:val="BodyText"/>
        <w:rPr>
          <w:b/>
          <w:sz w:val="22"/>
        </w:rPr>
      </w:pPr>
    </w:p>
    <w:p>
      <w:pPr>
        <w:pStyle w:val="BodyText"/>
        <w:spacing w:line="259" w:lineRule="auto" w:before="160"/>
        <w:ind w:left="111" w:right="109"/>
        <w:jc w:val="both"/>
      </w:pPr>
      <w:r>
        <w:rPr>
          <w:color w:val="231F20"/>
          <w:w w:val="105"/>
        </w:rPr>
        <w:t>Las principales críticas a las que se ha enfrentado la teoría neoclásica del</w:t>
      </w:r>
      <w:r>
        <w:rPr>
          <w:color w:val="231F20"/>
          <w:spacing w:val="-8"/>
          <w:w w:val="105"/>
        </w:rPr>
        <w:t> </w:t>
      </w:r>
      <w:r>
        <w:rPr>
          <w:color w:val="231F20"/>
          <w:w w:val="105"/>
        </w:rPr>
        <w:t>mercado</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desde</w:t>
      </w:r>
      <w:r>
        <w:rPr>
          <w:color w:val="231F20"/>
          <w:spacing w:val="-8"/>
          <w:w w:val="105"/>
        </w:rPr>
        <w:t> </w:t>
      </w:r>
      <w:r>
        <w:rPr>
          <w:color w:val="231F20"/>
          <w:w w:val="105"/>
        </w:rPr>
        <w:t>la</w:t>
      </w:r>
      <w:r>
        <w:rPr>
          <w:color w:val="231F20"/>
          <w:spacing w:val="-8"/>
          <w:w w:val="105"/>
        </w:rPr>
        <w:t> </w:t>
      </w:r>
      <w:r>
        <w:rPr>
          <w:color w:val="231F20"/>
          <w:w w:val="105"/>
        </w:rPr>
        <w:t>perspectiva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teoría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segmen- tación</w:t>
      </w:r>
      <w:r>
        <w:rPr>
          <w:color w:val="231F20"/>
          <w:spacing w:val="-11"/>
          <w:w w:val="105"/>
        </w:rPr>
        <w:t> </w:t>
      </w:r>
      <w:r>
        <w:rPr>
          <w:color w:val="231F20"/>
          <w:w w:val="105"/>
        </w:rPr>
        <w:t>son:</w:t>
      </w:r>
    </w:p>
    <w:p>
      <w:pPr>
        <w:pStyle w:val="BodyText"/>
        <w:spacing w:before="6"/>
        <w:rPr>
          <w:sz w:val="22"/>
        </w:rPr>
      </w:pPr>
    </w:p>
    <w:p>
      <w:pPr>
        <w:pStyle w:val="ListParagraph"/>
        <w:numPr>
          <w:ilvl w:val="0"/>
          <w:numId w:val="53"/>
        </w:numPr>
        <w:tabs>
          <w:tab w:pos="1321" w:val="left" w:leader="none"/>
          <w:tab w:pos="1322" w:val="left" w:leader="none"/>
        </w:tabs>
        <w:spacing w:line="259" w:lineRule="auto" w:before="1" w:after="0"/>
        <w:ind w:left="1321" w:right="110" w:hanging="360"/>
        <w:jc w:val="left"/>
        <w:rPr>
          <w:sz w:val="21"/>
        </w:rPr>
      </w:pPr>
      <w:r>
        <w:rPr>
          <w:color w:val="231F20"/>
          <w:w w:val="105"/>
          <w:sz w:val="21"/>
        </w:rPr>
        <w:t>Rigidez</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salarios.</w:t>
      </w:r>
      <w:r>
        <w:rPr>
          <w:color w:val="231F20"/>
          <w:spacing w:val="-20"/>
          <w:w w:val="105"/>
          <w:sz w:val="21"/>
        </w:rPr>
        <w:t> </w:t>
      </w:r>
      <w:r>
        <w:rPr>
          <w:color w:val="231F20"/>
          <w:w w:val="105"/>
          <w:sz w:val="21"/>
        </w:rPr>
        <w:t>La</w:t>
      </w:r>
      <w:r>
        <w:rPr>
          <w:color w:val="231F20"/>
          <w:spacing w:val="-15"/>
          <w:w w:val="105"/>
          <w:sz w:val="21"/>
        </w:rPr>
        <w:t> </w:t>
      </w:r>
      <w:r>
        <w:rPr>
          <w:color w:val="231F20"/>
          <w:w w:val="105"/>
          <w:sz w:val="21"/>
        </w:rPr>
        <w:t>teoría</w:t>
      </w:r>
      <w:r>
        <w:rPr>
          <w:color w:val="231F20"/>
          <w:spacing w:val="-15"/>
          <w:w w:val="105"/>
          <w:sz w:val="21"/>
        </w:rPr>
        <w:t> </w:t>
      </w:r>
      <w:r>
        <w:rPr>
          <w:color w:val="231F20"/>
          <w:w w:val="105"/>
          <w:sz w:val="21"/>
        </w:rPr>
        <w:t>neoclásica</w:t>
      </w:r>
      <w:r>
        <w:rPr>
          <w:color w:val="231F20"/>
          <w:spacing w:val="-15"/>
          <w:w w:val="105"/>
          <w:sz w:val="21"/>
        </w:rPr>
        <w:t> </w:t>
      </w:r>
      <w:r>
        <w:rPr>
          <w:color w:val="231F20"/>
          <w:w w:val="105"/>
          <w:sz w:val="21"/>
        </w:rPr>
        <w:t>se</w:t>
      </w:r>
      <w:r>
        <w:rPr>
          <w:color w:val="231F20"/>
          <w:spacing w:val="-15"/>
          <w:w w:val="105"/>
          <w:sz w:val="21"/>
        </w:rPr>
        <w:t> </w:t>
      </w:r>
      <w:r>
        <w:rPr>
          <w:color w:val="231F20"/>
          <w:w w:val="105"/>
          <w:sz w:val="21"/>
        </w:rPr>
        <w:t>fundamenta</w:t>
      </w:r>
      <w:r>
        <w:rPr>
          <w:color w:val="231F20"/>
          <w:spacing w:val="-15"/>
          <w:w w:val="105"/>
          <w:sz w:val="21"/>
        </w:rPr>
        <w:t> </w:t>
      </w:r>
      <w:r>
        <w:rPr>
          <w:color w:val="231F20"/>
          <w:w w:val="105"/>
          <w:sz w:val="21"/>
        </w:rPr>
        <w:t>en la teoría del equilibrio entre oferta y demanda, por lo</w:t>
      </w:r>
      <w:r>
        <w:rPr>
          <w:color w:val="231F20"/>
          <w:spacing w:val="-4"/>
          <w:w w:val="105"/>
          <w:sz w:val="21"/>
        </w:rPr>
        <w:t> </w:t>
      </w:r>
      <w:r>
        <w:rPr>
          <w:color w:val="231F20"/>
          <w:w w:val="105"/>
          <w:sz w:val="21"/>
        </w:rPr>
        <w:t>tanto</w:t>
      </w:r>
    </w:p>
    <w:p>
      <w:pPr>
        <w:spacing w:after="0" w:line="259" w:lineRule="auto"/>
        <w:jc w:val="left"/>
        <w:rPr>
          <w:sz w:val="21"/>
        </w:rPr>
        <w:sectPr>
          <w:pgSz w:w="9640" w:h="13890"/>
          <w:pgMar w:top="0" w:bottom="280" w:left="1320" w:right="1220"/>
        </w:sectPr>
      </w:pPr>
    </w:p>
    <w:p>
      <w:pPr>
        <w:pStyle w:val="BodyText"/>
        <w:spacing w:line="259" w:lineRule="auto" w:before="120"/>
        <w:ind w:left="1314" w:right="105"/>
      </w:pPr>
      <w:r>
        <w:rPr>
          <w:color w:val="231F20"/>
          <w:w w:val="105"/>
        </w:rPr>
        <w:t>el</w:t>
      </w:r>
      <w:r>
        <w:rPr>
          <w:color w:val="231F20"/>
          <w:spacing w:val="-25"/>
          <w:w w:val="105"/>
        </w:rPr>
        <w:t> </w:t>
      </w:r>
      <w:r>
        <w:rPr>
          <w:color w:val="231F20"/>
          <w:w w:val="105"/>
        </w:rPr>
        <w:t>nivel</w:t>
      </w:r>
      <w:r>
        <w:rPr>
          <w:color w:val="231F20"/>
          <w:spacing w:val="-25"/>
          <w:w w:val="105"/>
        </w:rPr>
        <w:t> </w:t>
      </w:r>
      <w:r>
        <w:rPr>
          <w:color w:val="231F20"/>
          <w:w w:val="105"/>
        </w:rPr>
        <w:t>de</w:t>
      </w:r>
      <w:r>
        <w:rPr>
          <w:color w:val="231F20"/>
          <w:spacing w:val="-25"/>
          <w:w w:val="105"/>
        </w:rPr>
        <w:t> </w:t>
      </w:r>
      <w:r>
        <w:rPr>
          <w:color w:val="231F20"/>
          <w:w w:val="105"/>
        </w:rPr>
        <w:t>salario</w:t>
      </w:r>
      <w:r>
        <w:rPr>
          <w:color w:val="231F20"/>
          <w:spacing w:val="-25"/>
          <w:w w:val="105"/>
        </w:rPr>
        <w:t> </w:t>
      </w:r>
      <w:r>
        <w:rPr>
          <w:color w:val="231F20"/>
          <w:w w:val="105"/>
        </w:rPr>
        <w:t>debería</w:t>
      </w:r>
      <w:r>
        <w:rPr>
          <w:color w:val="231F20"/>
          <w:spacing w:val="-25"/>
          <w:w w:val="105"/>
        </w:rPr>
        <w:t> </w:t>
      </w:r>
      <w:r>
        <w:rPr>
          <w:color w:val="231F20"/>
          <w:w w:val="105"/>
        </w:rPr>
        <w:t>afectar</w:t>
      </w:r>
      <w:r>
        <w:rPr>
          <w:color w:val="231F20"/>
          <w:spacing w:val="-25"/>
          <w:w w:val="105"/>
        </w:rPr>
        <w:t> </w:t>
      </w:r>
      <w:r>
        <w:rPr>
          <w:color w:val="231F20"/>
          <w:w w:val="105"/>
        </w:rPr>
        <w:t>al</w:t>
      </w:r>
      <w:r>
        <w:rPr>
          <w:color w:val="231F20"/>
          <w:spacing w:val="-25"/>
          <w:w w:val="105"/>
        </w:rPr>
        <w:t> </w:t>
      </w:r>
      <w:r>
        <w:rPr>
          <w:color w:val="231F20"/>
          <w:w w:val="105"/>
        </w:rPr>
        <w:t>mercado</w:t>
      </w:r>
      <w:r>
        <w:rPr>
          <w:color w:val="231F20"/>
          <w:spacing w:val="-25"/>
          <w:w w:val="105"/>
        </w:rPr>
        <w:t> </w:t>
      </w:r>
      <w:r>
        <w:rPr>
          <w:color w:val="231F20"/>
          <w:w w:val="105"/>
        </w:rPr>
        <w:t>externo,</w:t>
      </w:r>
      <w:r>
        <w:rPr>
          <w:color w:val="231F20"/>
          <w:spacing w:val="-31"/>
          <w:w w:val="105"/>
        </w:rPr>
        <w:t> </w:t>
      </w:r>
      <w:r>
        <w:rPr>
          <w:color w:val="231F20"/>
          <w:w w:val="105"/>
        </w:rPr>
        <w:t>lo</w:t>
      </w:r>
      <w:r>
        <w:rPr>
          <w:color w:val="231F20"/>
          <w:spacing w:val="-25"/>
          <w:w w:val="105"/>
        </w:rPr>
        <w:t> </w:t>
      </w:r>
      <w:r>
        <w:rPr>
          <w:color w:val="231F20"/>
          <w:w w:val="105"/>
        </w:rPr>
        <w:t>cual no</w:t>
      </w:r>
      <w:r>
        <w:rPr>
          <w:color w:val="231F20"/>
          <w:spacing w:val="-40"/>
          <w:w w:val="105"/>
        </w:rPr>
        <w:t> </w:t>
      </w:r>
      <w:r>
        <w:rPr>
          <w:color w:val="231F20"/>
          <w:w w:val="105"/>
        </w:rPr>
        <w:t>sucede</w:t>
      </w:r>
      <w:r>
        <w:rPr>
          <w:color w:val="231F20"/>
          <w:spacing w:val="-40"/>
          <w:w w:val="105"/>
        </w:rPr>
        <w:t> </w:t>
      </w:r>
      <w:r>
        <w:rPr>
          <w:color w:val="231F20"/>
          <w:w w:val="105"/>
        </w:rPr>
        <w:t>así</w:t>
      </w:r>
      <w:r>
        <w:rPr>
          <w:color w:val="231F20"/>
          <w:spacing w:val="-40"/>
          <w:w w:val="105"/>
        </w:rPr>
        <w:t> </w:t>
      </w:r>
      <w:r>
        <w:rPr>
          <w:color w:val="231F20"/>
          <w:spacing w:val="-3"/>
          <w:w w:val="105"/>
        </w:rPr>
        <w:t>(Peck,</w:t>
      </w:r>
      <w:r>
        <w:rPr>
          <w:color w:val="231F20"/>
          <w:spacing w:val="-43"/>
          <w:w w:val="105"/>
        </w:rPr>
        <w:t> </w:t>
      </w:r>
      <w:r>
        <w:rPr>
          <w:color w:val="231F20"/>
          <w:w w:val="105"/>
        </w:rPr>
        <w:t>1996;</w:t>
      </w:r>
      <w:r>
        <w:rPr>
          <w:color w:val="231F20"/>
          <w:spacing w:val="-40"/>
          <w:w w:val="105"/>
        </w:rPr>
        <w:t> </w:t>
      </w:r>
      <w:r>
        <w:rPr>
          <w:color w:val="231F20"/>
          <w:w w:val="105"/>
        </w:rPr>
        <w:t>Roca,</w:t>
      </w:r>
      <w:r>
        <w:rPr>
          <w:color w:val="231F20"/>
          <w:spacing w:val="-43"/>
          <w:w w:val="105"/>
        </w:rPr>
        <w:t> </w:t>
      </w:r>
      <w:r>
        <w:rPr>
          <w:color w:val="231F20"/>
          <w:w w:val="105"/>
        </w:rPr>
        <w:t>2009).</w:t>
      </w:r>
    </w:p>
    <w:p>
      <w:pPr>
        <w:pStyle w:val="ListParagraph"/>
        <w:numPr>
          <w:ilvl w:val="0"/>
          <w:numId w:val="53"/>
        </w:numPr>
        <w:tabs>
          <w:tab w:pos="1315" w:val="left" w:leader="none"/>
        </w:tabs>
        <w:spacing w:line="259" w:lineRule="auto" w:before="170" w:after="0"/>
        <w:ind w:left="1314" w:right="109" w:hanging="360"/>
        <w:jc w:val="both"/>
        <w:rPr>
          <w:sz w:val="21"/>
        </w:rPr>
      </w:pPr>
      <w:r>
        <w:rPr>
          <w:color w:val="231F20"/>
          <w:w w:val="105"/>
          <w:sz w:val="21"/>
        </w:rPr>
        <w:t>Eficiencia</w:t>
      </w:r>
      <w:r>
        <w:rPr>
          <w:color w:val="231F20"/>
          <w:spacing w:val="-24"/>
          <w:w w:val="105"/>
          <w:sz w:val="21"/>
        </w:rPr>
        <w:t> </w:t>
      </w:r>
      <w:r>
        <w:rPr>
          <w:color w:val="231F20"/>
          <w:w w:val="105"/>
          <w:sz w:val="21"/>
        </w:rPr>
        <w:t>económica.</w:t>
      </w:r>
      <w:r>
        <w:rPr>
          <w:color w:val="231F20"/>
          <w:spacing w:val="-28"/>
          <w:w w:val="105"/>
          <w:sz w:val="21"/>
        </w:rPr>
        <w:t> </w:t>
      </w:r>
      <w:r>
        <w:rPr>
          <w:color w:val="231F20"/>
          <w:w w:val="105"/>
          <w:sz w:val="21"/>
        </w:rPr>
        <w:t>Si</w:t>
      </w:r>
      <w:r>
        <w:rPr>
          <w:color w:val="231F20"/>
          <w:spacing w:val="-24"/>
          <w:w w:val="105"/>
          <w:sz w:val="21"/>
        </w:rPr>
        <w:t> </w:t>
      </w:r>
      <w:r>
        <w:rPr>
          <w:color w:val="231F20"/>
          <w:w w:val="105"/>
          <w:sz w:val="21"/>
        </w:rPr>
        <w:t>bien</w:t>
      </w:r>
      <w:r>
        <w:rPr>
          <w:color w:val="231F20"/>
          <w:spacing w:val="-24"/>
          <w:w w:val="105"/>
          <w:sz w:val="21"/>
        </w:rPr>
        <w:t> </w:t>
      </w:r>
      <w:r>
        <w:rPr>
          <w:color w:val="231F20"/>
          <w:w w:val="105"/>
          <w:sz w:val="21"/>
        </w:rPr>
        <w:t>en</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teoría</w:t>
      </w:r>
      <w:r>
        <w:rPr>
          <w:color w:val="231F20"/>
          <w:spacing w:val="-24"/>
          <w:w w:val="105"/>
          <w:sz w:val="21"/>
        </w:rPr>
        <w:t> </w:t>
      </w:r>
      <w:r>
        <w:rPr>
          <w:color w:val="231F20"/>
          <w:w w:val="105"/>
          <w:sz w:val="21"/>
        </w:rPr>
        <w:t>neoclásica</w:t>
      </w:r>
      <w:r>
        <w:rPr>
          <w:color w:val="231F20"/>
          <w:spacing w:val="-24"/>
          <w:w w:val="105"/>
          <w:sz w:val="21"/>
        </w:rPr>
        <w:t> </w:t>
      </w:r>
      <w:r>
        <w:rPr>
          <w:color w:val="231F20"/>
          <w:w w:val="105"/>
          <w:sz w:val="21"/>
        </w:rPr>
        <w:t>no</w:t>
      </w:r>
      <w:r>
        <w:rPr>
          <w:color w:val="231F20"/>
          <w:spacing w:val="-24"/>
          <w:w w:val="105"/>
          <w:sz w:val="21"/>
        </w:rPr>
        <w:t> </w:t>
      </w:r>
      <w:r>
        <w:rPr>
          <w:color w:val="231F20"/>
          <w:w w:val="105"/>
          <w:sz w:val="21"/>
        </w:rPr>
        <w:t>está ausente</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consideración</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eficiencia</w:t>
      </w:r>
      <w:r>
        <w:rPr>
          <w:color w:val="231F20"/>
          <w:spacing w:val="-15"/>
          <w:w w:val="105"/>
          <w:sz w:val="21"/>
        </w:rPr>
        <w:t> </w:t>
      </w:r>
      <w:r>
        <w:rPr>
          <w:color w:val="231F20"/>
          <w:w w:val="105"/>
          <w:sz w:val="21"/>
        </w:rPr>
        <w:t>económica,</w:t>
      </w:r>
      <w:r>
        <w:rPr>
          <w:color w:val="231F20"/>
          <w:spacing w:val="-19"/>
          <w:w w:val="105"/>
          <w:sz w:val="21"/>
        </w:rPr>
        <w:t> </w:t>
      </w:r>
      <w:r>
        <w:rPr>
          <w:color w:val="231F20"/>
          <w:w w:val="105"/>
          <w:sz w:val="21"/>
        </w:rPr>
        <w:t>única- mente los factores económicos son los que la determinan. En</w:t>
      </w:r>
      <w:r>
        <w:rPr>
          <w:color w:val="231F20"/>
          <w:spacing w:val="-35"/>
          <w:w w:val="105"/>
          <w:sz w:val="21"/>
        </w:rPr>
        <w:t> </w:t>
      </w:r>
      <w:r>
        <w:rPr>
          <w:color w:val="231F20"/>
          <w:w w:val="105"/>
          <w:sz w:val="21"/>
        </w:rPr>
        <w:t>contraste,</w:t>
      </w:r>
      <w:r>
        <w:rPr>
          <w:color w:val="231F20"/>
          <w:spacing w:val="-38"/>
          <w:w w:val="105"/>
          <w:sz w:val="21"/>
        </w:rPr>
        <w:t> </w:t>
      </w:r>
      <w:r>
        <w:rPr>
          <w:color w:val="231F20"/>
          <w:w w:val="105"/>
          <w:sz w:val="21"/>
        </w:rPr>
        <w:t>para</w:t>
      </w:r>
      <w:r>
        <w:rPr>
          <w:color w:val="231F20"/>
          <w:spacing w:val="-35"/>
          <w:w w:val="105"/>
          <w:sz w:val="21"/>
        </w:rPr>
        <w:t> </w:t>
      </w:r>
      <w:r>
        <w:rPr>
          <w:color w:val="231F20"/>
          <w:w w:val="105"/>
          <w:sz w:val="21"/>
        </w:rPr>
        <w:t>los</w:t>
      </w:r>
      <w:r>
        <w:rPr>
          <w:color w:val="231F20"/>
          <w:spacing w:val="-35"/>
          <w:w w:val="105"/>
          <w:sz w:val="21"/>
        </w:rPr>
        <w:t> </w:t>
      </w:r>
      <w:r>
        <w:rPr>
          <w:color w:val="231F20"/>
          <w:w w:val="105"/>
          <w:sz w:val="21"/>
        </w:rPr>
        <w:t>segmentistas</w:t>
      </w:r>
      <w:r>
        <w:rPr>
          <w:color w:val="231F20"/>
          <w:spacing w:val="-35"/>
          <w:w w:val="105"/>
          <w:sz w:val="21"/>
        </w:rPr>
        <w:t> </w:t>
      </w:r>
      <w:r>
        <w:rPr>
          <w:color w:val="231F20"/>
          <w:w w:val="105"/>
          <w:sz w:val="21"/>
        </w:rPr>
        <w:t>además</w:t>
      </w:r>
      <w:r>
        <w:rPr>
          <w:color w:val="231F20"/>
          <w:spacing w:val="-35"/>
          <w:w w:val="105"/>
          <w:sz w:val="21"/>
        </w:rPr>
        <w:t> </w:t>
      </w:r>
      <w:r>
        <w:rPr>
          <w:color w:val="231F20"/>
          <w:w w:val="105"/>
          <w:sz w:val="21"/>
        </w:rPr>
        <w:t>existen</w:t>
      </w:r>
      <w:r>
        <w:rPr>
          <w:color w:val="231F20"/>
          <w:spacing w:val="-35"/>
          <w:w w:val="105"/>
          <w:sz w:val="21"/>
        </w:rPr>
        <w:t> </w:t>
      </w:r>
      <w:r>
        <w:rPr>
          <w:color w:val="231F20"/>
          <w:w w:val="105"/>
          <w:sz w:val="21"/>
        </w:rPr>
        <w:t>factores burocráticos, procedimientos sociológicos y políticos, y no puramente económicos </w:t>
      </w:r>
      <w:r>
        <w:rPr>
          <w:color w:val="231F20"/>
          <w:spacing w:val="-3"/>
          <w:w w:val="105"/>
          <w:sz w:val="21"/>
        </w:rPr>
        <w:t>(Peck, </w:t>
      </w:r>
      <w:r>
        <w:rPr>
          <w:color w:val="231F20"/>
          <w:w w:val="105"/>
          <w:sz w:val="21"/>
        </w:rPr>
        <w:t>1996; Reich, Gordon y Ed- </w:t>
      </w:r>
      <w:r>
        <w:rPr>
          <w:color w:val="231F20"/>
          <w:sz w:val="21"/>
        </w:rPr>
        <w:t>wards,</w:t>
      </w:r>
      <w:r>
        <w:rPr>
          <w:color w:val="231F20"/>
          <w:spacing w:val="-1"/>
          <w:sz w:val="21"/>
        </w:rPr>
        <w:t> </w:t>
      </w:r>
      <w:r>
        <w:rPr>
          <w:color w:val="231F20"/>
          <w:sz w:val="21"/>
        </w:rPr>
        <w:t>1973).</w:t>
      </w:r>
    </w:p>
    <w:p>
      <w:pPr>
        <w:pStyle w:val="BodyText"/>
        <w:rPr>
          <w:sz w:val="20"/>
        </w:rPr>
      </w:pPr>
    </w:p>
    <w:p>
      <w:pPr>
        <w:pStyle w:val="BodyText"/>
        <w:rPr>
          <w:sz w:val="20"/>
        </w:rPr>
      </w:pPr>
    </w:p>
    <w:p>
      <w:pPr>
        <w:pStyle w:val="Heading2"/>
        <w:spacing w:before="154"/>
        <w:ind w:left="103"/>
      </w:pPr>
      <w:r>
        <w:rPr>
          <w:color w:val="231F20"/>
          <w:w w:val="95"/>
        </w:rPr>
        <w:t>Reflexiones Finales</w:t>
      </w:r>
    </w:p>
    <w:p>
      <w:pPr>
        <w:pStyle w:val="BodyText"/>
        <w:rPr>
          <w:b/>
          <w:sz w:val="22"/>
        </w:rPr>
      </w:pPr>
    </w:p>
    <w:p>
      <w:pPr>
        <w:pStyle w:val="BodyText"/>
        <w:spacing w:line="259" w:lineRule="auto" w:before="160"/>
        <w:ind w:left="103" w:right="115"/>
        <w:jc w:val="both"/>
      </w:pPr>
      <w:r>
        <w:rPr>
          <w:color w:val="231F20"/>
          <w:w w:val="105"/>
        </w:rPr>
        <w:t>Existen</w:t>
      </w:r>
      <w:r>
        <w:rPr>
          <w:color w:val="231F20"/>
          <w:spacing w:val="-15"/>
          <w:w w:val="105"/>
        </w:rPr>
        <w:t> </w:t>
      </w:r>
      <w:r>
        <w:rPr>
          <w:color w:val="231F20"/>
          <w:w w:val="105"/>
        </w:rPr>
        <w:t>diferentes</w:t>
      </w:r>
      <w:r>
        <w:rPr>
          <w:color w:val="231F20"/>
          <w:spacing w:val="-15"/>
          <w:w w:val="105"/>
        </w:rPr>
        <w:t> </w:t>
      </w:r>
      <w:r>
        <w:rPr>
          <w:color w:val="231F20"/>
          <w:w w:val="105"/>
        </w:rPr>
        <w:t>puntos</w:t>
      </w:r>
      <w:r>
        <w:rPr>
          <w:color w:val="231F20"/>
          <w:spacing w:val="-15"/>
          <w:w w:val="105"/>
        </w:rPr>
        <w:t> </w:t>
      </w:r>
      <w:r>
        <w:rPr>
          <w:color w:val="231F20"/>
          <w:w w:val="105"/>
        </w:rPr>
        <w:t>de</w:t>
      </w:r>
      <w:r>
        <w:rPr>
          <w:color w:val="231F20"/>
          <w:spacing w:val="-15"/>
          <w:w w:val="105"/>
        </w:rPr>
        <w:t> </w:t>
      </w:r>
      <w:r>
        <w:rPr>
          <w:color w:val="231F20"/>
          <w:w w:val="105"/>
        </w:rPr>
        <w:t>convergencia</w:t>
      </w:r>
      <w:r>
        <w:rPr>
          <w:color w:val="231F20"/>
          <w:spacing w:val="-15"/>
          <w:w w:val="105"/>
        </w:rPr>
        <w:t> </w:t>
      </w:r>
      <w:r>
        <w:rPr>
          <w:color w:val="231F20"/>
          <w:w w:val="105"/>
        </w:rPr>
        <w:t>entre</w:t>
      </w:r>
      <w:r>
        <w:rPr>
          <w:color w:val="231F20"/>
          <w:spacing w:val="-15"/>
          <w:w w:val="105"/>
        </w:rPr>
        <w:t> </w:t>
      </w:r>
      <w:r>
        <w:rPr>
          <w:color w:val="231F20"/>
          <w:w w:val="105"/>
        </w:rPr>
        <w:t>las</w:t>
      </w:r>
      <w:r>
        <w:rPr>
          <w:color w:val="231F20"/>
          <w:spacing w:val="-15"/>
          <w:w w:val="105"/>
        </w:rPr>
        <w:t> </w:t>
      </w:r>
      <w:r>
        <w:rPr>
          <w:color w:val="231F20"/>
          <w:w w:val="105"/>
        </w:rPr>
        <w:t>teorías</w:t>
      </w:r>
      <w:r>
        <w:rPr>
          <w:color w:val="231F20"/>
          <w:spacing w:val="-15"/>
          <w:w w:val="105"/>
        </w:rPr>
        <w:t> </w:t>
      </w:r>
      <w:r>
        <w:rPr>
          <w:color w:val="231F20"/>
          <w:w w:val="105"/>
        </w:rPr>
        <w:t>económicas y</w:t>
      </w:r>
      <w:r>
        <w:rPr>
          <w:color w:val="231F20"/>
          <w:spacing w:val="-10"/>
          <w:w w:val="105"/>
        </w:rPr>
        <w:t> </w:t>
      </w:r>
      <w:r>
        <w:rPr>
          <w:color w:val="231F20"/>
          <w:w w:val="105"/>
        </w:rPr>
        <w:t>administrativas.</w:t>
      </w:r>
      <w:r>
        <w:rPr>
          <w:color w:val="231F20"/>
          <w:spacing w:val="-15"/>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trabajo</w:t>
      </w:r>
      <w:r>
        <w:rPr>
          <w:color w:val="231F20"/>
          <w:spacing w:val="-10"/>
          <w:w w:val="105"/>
        </w:rPr>
        <w:t> </w:t>
      </w:r>
      <w:r>
        <w:rPr>
          <w:color w:val="231F20"/>
          <w:w w:val="105"/>
        </w:rPr>
        <w:t>se</w:t>
      </w:r>
      <w:r>
        <w:rPr>
          <w:color w:val="231F20"/>
          <w:spacing w:val="-10"/>
          <w:w w:val="105"/>
        </w:rPr>
        <w:t> </w:t>
      </w:r>
      <w:r>
        <w:rPr>
          <w:color w:val="231F20"/>
          <w:w w:val="105"/>
        </w:rPr>
        <w:t>encontraron</w:t>
      </w:r>
      <w:r>
        <w:rPr>
          <w:color w:val="231F20"/>
          <w:spacing w:val="-10"/>
          <w:w w:val="105"/>
        </w:rPr>
        <w:t> </w:t>
      </w:r>
      <w:r>
        <w:rPr>
          <w:color w:val="231F20"/>
          <w:w w:val="105"/>
        </w:rPr>
        <w:t>dos</w:t>
      </w:r>
      <w:r>
        <w:rPr>
          <w:color w:val="231F20"/>
          <w:spacing w:val="-10"/>
          <w:w w:val="105"/>
        </w:rPr>
        <w:t> </w:t>
      </w:r>
      <w:r>
        <w:rPr>
          <w:color w:val="231F20"/>
          <w:w w:val="105"/>
        </w:rPr>
        <w:t>que</w:t>
      </w:r>
      <w:r>
        <w:rPr>
          <w:color w:val="231F20"/>
          <w:spacing w:val="-10"/>
          <w:w w:val="105"/>
        </w:rPr>
        <w:t> </w:t>
      </w:r>
      <w:r>
        <w:rPr>
          <w:color w:val="231F20"/>
          <w:w w:val="105"/>
        </w:rPr>
        <w:t>contribuyen</w:t>
      </w:r>
      <w:r>
        <w:rPr>
          <w:color w:val="231F20"/>
          <w:spacing w:val="-10"/>
          <w:w w:val="105"/>
        </w:rPr>
        <w:t> </w:t>
      </w:r>
      <w:r>
        <w:rPr>
          <w:color w:val="231F20"/>
          <w:w w:val="105"/>
        </w:rPr>
        <w:t>a entender y explicar su intersección: teoría del capital humano y teoría institucionalista.</w:t>
      </w:r>
    </w:p>
    <w:p>
      <w:pPr>
        <w:pStyle w:val="BodyText"/>
        <w:spacing w:line="259" w:lineRule="auto"/>
        <w:ind w:left="103" w:right="115" w:firstLine="567"/>
        <w:jc w:val="both"/>
      </w:pPr>
      <w:r>
        <w:rPr>
          <w:color w:val="231F20"/>
        </w:rPr>
        <w:t>La principal consideración es la eficiencia económica: para los neo- clásicos se puede explicar únicamente con factores económicos y para  los segmentistas se deben considerar también los factores burocráticos que  intervienen  (perspectiva administrativa).</w:t>
      </w:r>
    </w:p>
    <w:p>
      <w:pPr>
        <w:pStyle w:val="BodyText"/>
        <w:spacing w:line="259" w:lineRule="auto"/>
        <w:ind w:left="103" w:right="115" w:firstLine="567"/>
        <w:jc w:val="both"/>
      </w:pPr>
      <w:r>
        <w:rPr>
          <w:color w:val="231F20"/>
          <w:w w:val="105"/>
        </w:rPr>
        <w:t>Las</w:t>
      </w:r>
      <w:r>
        <w:rPr>
          <w:color w:val="231F20"/>
          <w:spacing w:val="-25"/>
          <w:w w:val="105"/>
        </w:rPr>
        <w:t> </w:t>
      </w:r>
      <w:r>
        <w:rPr>
          <w:color w:val="231F20"/>
          <w:w w:val="105"/>
        </w:rPr>
        <w:t>críticas</w:t>
      </w:r>
      <w:r>
        <w:rPr>
          <w:color w:val="231F20"/>
          <w:spacing w:val="-25"/>
          <w:w w:val="105"/>
        </w:rPr>
        <w:t> </w:t>
      </w:r>
      <w:r>
        <w:rPr>
          <w:color w:val="231F20"/>
          <w:w w:val="105"/>
        </w:rPr>
        <w:t>que</w:t>
      </w:r>
      <w:r>
        <w:rPr>
          <w:color w:val="231F20"/>
          <w:spacing w:val="-25"/>
          <w:w w:val="105"/>
        </w:rPr>
        <w:t> </w:t>
      </w:r>
      <w:r>
        <w:rPr>
          <w:color w:val="231F20"/>
          <w:w w:val="105"/>
        </w:rPr>
        <w:t>economistas</w:t>
      </w:r>
      <w:r>
        <w:rPr>
          <w:color w:val="231F20"/>
          <w:spacing w:val="-25"/>
          <w:w w:val="105"/>
        </w:rPr>
        <w:t> </w:t>
      </w:r>
      <w:r>
        <w:rPr>
          <w:color w:val="231F20"/>
          <w:w w:val="105"/>
        </w:rPr>
        <w:t>y</w:t>
      </w:r>
      <w:r>
        <w:rPr>
          <w:color w:val="231F20"/>
          <w:spacing w:val="-25"/>
          <w:w w:val="105"/>
        </w:rPr>
        <w:t> </w:t>
      </w:r>
      <w:r>
        <w:rPr>
          <w:color w:val="231F20"/>
          <w:w w:val="105"/>
        </w:rPr>
        <w:t>administradores</w:t>
      </w:r>
      <w:r>
        <w:rPr>
          <w:color w:val="231F20"/>
          <w:spacing w:val="-25"/>
          <w:w w:val="105"/>
        </w:rPr>
        <w:t> </w:t>
      </w:r>
      <w:r>
        <w:rPr>
          <w:color w:val="231F20"/>
          <w:w w:val="105"/>
        </w:rPr>
        <w:t>han</w:t>
      </w:r>
      <w:r>
        <w:rPr>
          <w:color w:val="231F20"/>
          <w:spacing w:val="-25"/>
          <w:w w:val="105"/>
        </w:rPr>
        <w:t> </w:t>
      </w:r>
      <w:r>
        <w:rPr>
          <w:color w:val="231F20"/>
          <w:w w:val="105"/>
        </w:rPr>
        <w:t>hecho</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w w:val="105"/>
        </w:rPr>
        <w:t>teo- ría</w:t>
      </w:r>
      <w:r>
        <w:rPr>
          <w:color w:val="231F20"/>
          <w:spacing w:val="-9"/>
          <w:w w:val="105"/>
        </w:rPr>
        <w:t> </w:t>
      </w:r>
      <w:r>
        <w:rPr>
          <w:color w:val="231F20"/>
          <w:w w:val="105"/>
        </w:rPr>
        <w:t>neoclásica</w:t>
      </w:r>
      <w:r>
        <w:rPr>
          <w:color w:val="231F20"/>
          <w:spacing w:val="-9"/>
          <w:w w:val="105"/>
        </w:rPr>
        <w:t> </w:t>
      </w:r>
      <w:r>
        <w:rPr>
          <w:color w:val="231F20"/>
          <w:w w:val="105"/>
        </w:rPr>
        <w:t>son:</w:t>
      </w:r>
      <w:r>
        <w:rPr>
          <w:color w:val="231F20"/>
          <w:spacing w:val="-9"/>
          <w:w w:val="105"/>
        </w:rPr>
        <w:t> </w:t>
      </w:r>
      <w:r>
        <w:rPr>
          <w:color w:val="231F20"/>
          <w:w w:val="105"/>
        </w:rPr>
        <w:t>la</w:t>
      </w:r>
      <w:r>
        <w:rPr>
          <w:color w:val="231F20"/>
          <w:spacing w:val="-9"/>
          <w:w w:val="105"/>
        </w:rPr>
        <w:t> </w:t>
      </w:r>
      <w:r>
        <w:rPr>
          <w:color w:val="231F20"/>
          <w:w w:val="105"/>
        </w:rPr>
        <w:t>rigidez</w:t>
      </w:r>
      <w:r>
        <w:rPr>
          <w:color w:val="231F20"/>
          <w:spacing w:val="-9"/>
          <w:w w:val="105"/>
        </w:rPr>
        <w:t> </w:t>
      </w:r>
      <w:r>
        <w:rPr>
          <w:color w:val="231F20"/>
          <w:w w:val="105"/>
        </w:rPr>
        <w:t>de</w:t>
      </w:r>
      <w:r>
        <w:rPr>
          <w:color w:val="231F20"/>
          <w:spacing w:val="-9"/>
          <w:w w:val="105"/>
        </w:rPr>
        <w:t> </w:t>
      </w:r>
      <w:r>
        <w:rPr>
          <w:color w:val="231F20"/>
          <w:w w:val="105"/>
        </w:rPr>
        <w:t>salarios</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conceptualización</w:t>
      </w:r>
      <w:r>
        <w:rPr>
          <w:color w:val="231F20"/>
          <w:spacing w:val="-9"/>
          <w:w w:val="105"/>
        </w:rPr>
        <w:t> </w:t>
      </w:r>
      <w:r>
        <w:rPr>
          <w:color w:val="231F20"/>
          <w:w w:val="105"/>
        </w:rPr>
        <w:t>del</w:t>
      </w:r>
      <w:r>
        <w:rPr>
          <w:color w:val="231F20"/>
          <w:spacing w:val="-9"/>
          <w:w w:val="105"/>
        </w:rPr>
        <w:t> </w:t>
      </w:r>
      <w:r>
        <w:rPr>
          <w:color w:val="231F20"/>
          <w:w w:val="105"/>
        </w:rPr>
        <w:t>mer- cado de trabajo como cualquier otro mercado de bienes. En respuesta a</w:t>
      </w:r>
      <w:r>
        <w:rPr>
          <w:color w:val="231F20"/>
          <w:spacing w:val="-6"/>
          <w:w w:val="105"/>
        </w:rPr>
        <w:t> </w:t>
      </w:r>
      <w:r>
        <w:rPr>
          <w:color w:val="231F20"/>
          <w:w w:val="105"/>
        </w:rPr>
        <w:t>ello,</w:t>
      </w:r>
      <w:r>
        <w:rPr>
          <w:color w:val="231F20"/>
          <w:spacing w:val="-12"/>
          <w:w w:val="105"/>
        </w:rPr>
        <w:t> </w:t>
      </w: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segmentación</w:t>
      </w:r>
      <w:r>
        <w:rPr>
          <w:color w:val="231F20"/>
          <w:spacing w:val="-6"/>
          <w:w w:val="105"/>
        </w:rPr>
        <w:t> </w:t>
      </w:r>
      <w:r>
        <w:rPr>
          <w:color w:val="231F20"/>
          <w:w w:val="105"/>
        </w:rPr>
        <w:t>propone</w:t>
      </w:r>
      <w:r>
        <w:rPr>
          <w:color w:val="231F20"/>
          <w:spacing w:val="-6"/>
          <w:w w:val="105"/>
        </w:rPr>
        <w:t> </w:t>
      </w:r>
      <w:r>
        <w:rPr>
          <w:color w:val="231F20"/>
          <w:w w:val="105"/>
        </w:rPr>
        <w:t>la</w:t>
      </w:r>
      <w:r>
        <w:rPr>
          <w:color w:val="231F20"/>
          <w:spacing w:val="-6"/>
          <w:w w:val="105"/>
        </w:rPr>
        <w:t> </w:t>
      </w:r>
      <w:r>
        <w:rPr>
          <w:color w:val="231F20"/>
          <w:w w:val="105"/>
        </w:rPr>
        <w:t>flexibilización</w:t>
      </w:r>
      <w:r>
        <w:rPr>
          <w:color w:val="231F20"/>
          <w:spacing w:val="-6"/>
          <w:w w:val="105"/>
        </w:rPr>
        <w:t> </w:t>
      </w:r>
      <w:r>
        <w:rPr>
          <w:color w:val="231F20"/>
          <w:w w:val="105"/>
        </w:rPr>
        <w:t>del</w:t>
      </w:r>
      <w:r>
        <w:rPr>
          <w:color w:val="231F20"/>
          <w:spacing w:val="-6"/>
          <w:w w:val="105"/>
        </w:rPr>
        <w:t> </w:t>
      </w:r>
      <w:r>
        <w:rPr>
          <w:color w:val="231F20"/>
          <w:w w:val="105"/>
        </w:rPr>
        <w:t>trabajo como elemento</w:t>
      </w:r>
      <w:r>
        <w:rPr>
          <w:color w:val="231F20"/>
          <w:spacing w:val="-31"/>
          <w:w w:val="105"/>
        </w:rPr>
        <w:t> </w:t>
      </w:r>
      <w:r>
        <w:rPr>
          <w:color w:val="231F20"/>
          <w:w w:val="105"/>
        </w:rPr>
        <w:t>clave.</w:t>
      </w:r>
    </w:p>
    <w:p>
      <w:pPr>
        <w:pStyle w:val="BodyText"/>
        <w:spacing w:line="259" w:lineRule="auto"/>
        <w:ind w:left="103" w:right="114" w:firstLine="567"/>
        <w:jc w:val="both"/>
      </w:pPr>
      <w:r>
        <w:rPr>
          <w:color w:val="231F20"/>
          <w:w w:val="105"/>
        </w:rPr>
        <w:t>De</w:t>
      </w:r>
      <w:r>
        <w:rPr>
          <w:color w:val="231F20"/>
          <w:spacing w:val="-4"/>
          <w:w w:val="105"/>
        </w:rPr>
        <w:t> </w:t>
      </w:r>
      <w:r>
        <w:rPr>
          <w:color w:val="231F20"/>
          <w:w w:val="105"/>
        </w:rPr>
        <w:t>lo</w:t>
      </w:r>
      <w:r>
        <w:rPr>
          <w:color w:val="231F20"/>
          <w:spacing w:val="-4"/>
          <w:w w:val="105"/>
        </w:rPr>
        <w:t> </w:t>
      </w:r>
      <w:r>
        <w:rPr>
          <w:color w:val="231F20"/>
          <w:w w:val="105"/>
        </w:rPr>
        <w:t>expuesto</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capítulo</w:t>
      </w:r>
      <w:r>
        <w:rPr>
          <w:color w:val="231F20"/>
          <w:spacing w:val="-4"/>
          <w:w w:val="105"/>
        </w:rPr>
        <w:t> </w:t>
      </w:r>
      <w:r>
        <w:rPr>
          <w:color w:val="231F20"/>
          <w:w w:val="105"/>
        </w:rPr>
        <w:t>se</w:t>
      </w:r>
      <w:r>
        <w:rPr>
          <w:color w:val="231F20"/>
          <w:spacing w:val="-4"/>
          <w:w w:val="105"/>
        </w:rPr>
        <w:t> </w:t>
      </w:r>
      <w:r>
        <w:rPr>
          <w:color w:val="231F20"/>
          <w:w w:val="105"/>
        </w:rPr>
        <w:t>infiere</w:t>
      </w:r>
      <w:r>
        <w:rPr>
          <w:color w:val="231F20"/>
          <w:spacing w:val="-4"/>
          <w:w w:val="105"/>
        </w:rPr>
        <w:t> </w:t>
      </w:r>
      <w:r>
        <w:rPr>
          <w:color w:val="231F20"/>
          <w:w w:val="105"/>
        </w:rPr>
        <w:t>que</w:t>
      </w:r>
      <w:r>
        <w:rPr>
          <w:color w:val="231F20"/>
          <w:spacing w:val="-4"/>
          <w:w w:val="105"/>
        </w:rPr>
        <w:t> </w:t>
      </w:r>
      <w:r>
        <w:rPr>
          <w:color w:val="231F20"/>
          <w:w w:val="105"/>
        </w:rPr>
        <w:t>tanto</w:t>
      </w:r>
      <w:r>
        <w:rPr>
          <w:color w:val="231F20"/>
          <w:spacing w:val="-4"/>
          <w:w w:val="105"/>
        </w:rPr>
        <w:t> </w:t>
      </w:r>
      <w:r>
        <w:rPr>
          <w:color w:val="231F20"/>
          <w:w w:val="105"/>
        </w:rPr>
        <w:t>la</w:t>
      </w:r>
      <w:r>
        <w:rPr>
          <w:color w:val="231F20"/>
          <w:spacing w:val="-4"/>
          <w:w w:val="105"/>
        </w:rPr>
        <w:t> </w:t>
      </w:r>
      <w:r>
        <w:rPr>
          <w:color w:val="231F20"/>
          <w:w w:val="105"/>
        </w:rPr>
        <w:t>teoría</w:t>
      </w:r>
      <w:r>
        <w:rPr>
          <w:color w:val="231F20"/>
          <w:spacing w:val="-4"/>
          <w:w w:val="105"/>
        </w:rPr>
        <w:t> </w:t>
      </w:r>
      <w:r>
        <w:rPr>
          <w:color w:val="231F20"/>
          <w:w w:val="105"/>
        </w:rPr>
        <w:t>neo- clásica</w:t>
      </w:r>
      <w:r>
        <w:rPr>
          <w:color w:val="231F20"/>
          <w:spacing w:val="-23"/>
          <w:w w:val="105"/>
        </w:rPr>
        <w:t> </w:t>
      </w:r>
      <w:r>
        <w:rPr>
          <w:color w:val="231F20"/>
          <w:w w:val="105"/>
        </w:rPr>
        <w:t>del</w:t>
      </w:r>
      <w:r>
        <w:rPr>
          <w:color w:val="231F20"/>
          <w:spacing w:val="-23"/>
          <w:w w:val="105"/>
        </w:rPr>
        <w:t> </w:t>
      </w:r>
      <w:r>
        <w:rPr>
          <w:color w:val="231F20"/>
          <w:w w:val="105"/>
        </w:rPr>
        <w:t>mercado</w:t>
      </w:r>
      <w:r>
        <w:rPr>
          <w:color w:val="231F20"/>
          <w:spacing w:val="-23"/>
          <w:w w:val="105"/>
        </w:rPr>
        <w:t> </w:t>
      </w:r>
      <w:r>
        <w:rPr>
          <w:color w:val="231F20"/>
          <w:w w:val="105"/>
        </w:rPr>
        <w:t>de</w:t>
      </w:r>
      <w:r>
        <w:rPr>
          <w:color w:val="231F20"/>
          <w:spacing w:val="-23"/>
          <w:w w:val="105"/>
        </w:rPr>
        <w:t> </w:t>
      </w:r>
      <w:r>
        <w:rPr>
          <w:color w:val="231F20"/>
          <w:w w:val="105"/>
        </w:rPr>
        <w:t>trabajo</w:t>
      </w:r>
      <w:r>
        <w:rPr>
          <w:color w:val="231F20"/>
          <w:spacing w:val="-23"/>
          <w:w w:val="105"/>
        </w:rPr>
        <w:t> </w:t>
      </w:r>
      <w:r>
        <w:rPr>
          <w:color w:val="231F20"/>
          <w:w w:val="105"/>
        </w:rPr>
        <w:t>como</w:t>
      </w:r>
      <w:r>
        <w:rPr>
          <w:color w:val="231F20"/>
          <w:spacing w:val="-23"/>
          <w:w w:val="105"/>
        </w:rPr>
        <w:t> </w:t>
      </w:r>
      <w:r>
        <w:rPr>
          <w:color w:val="231F20"/>
          <w:w w:val="105"/>
        </w:rPr>
        <w:t>las</w:t>
      </w:r>
      <w:r>
        <w:rPr>
          <w:color w:val="231F20"/>
          <w:spacing w:val="-23"/>
          <w:w w:val="105"/>
        </w:rPr>
        <w:t> </w:t>
      </w:r>
      <w:r>
        <w:rPr>
          <w:color w:val="231F20"/>
          <w:w w:val="105"/>
        </w:rPr>
        <w:t>cuatro</w:t>
      </w:r>
      <w:r>
        <w:rPr>
          <w:color w:val="231F20"/>
          <w:spacing w:val="-23"/>
          <w:w w:val="105"/>
        </w:rPr>
        <w:t> </w:t>
      </w:r>
      <w:r>
        <w:rPr>
          <w:color w:val="231F20"/>
          <w:w w:val="105"/>
        </w:rPr>
        <w:t>generaciones</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teoría de</w:t>
      </w:r>
      <w:r>
        <w:rPr>
          <w:color w:val="231F20"/>
          <w:spacing w:val="-6"/>
          <w:w w:val="105"/>
        </w:rPr>
        <w:t> </w:t>
      </w:r>
      <w:r>
        <w:rPr>
          <w:color w:val="231F20"/>
          <w:w w:val="105"/>
        </w:rPr>
        <w:t>la</w:t>
      </w:r>
      <w:r>
        <w:rPr>
          <w:color w:val="231F20"/>
          <w:spacing w:val="-6"/>
          <w:w w:val="105"/>
        </w:rPr>
        <w:t> </w:t>
      </w:r>
      <w:r>
        <w:rPr>
          <w:color w:val="231F20"/>
          <w:w w:val="105"/>
        </w:rPr>
        <w:t>segmentación</w:t>
      </w:r>
      <w:r>
        <w:rPr>
          <w:color w:val="231F20"/>
          <w:spacing w:val="-6"/>
          <w:w w:val="105"/>
        </w:rPr>
        <w:t> </w:t>
      </w:r>
      <w:r>
        <w:rPr>
          <w:color w:val="231F20"/>
          <w:w w:val="105"/>
        </w:rPr>
        <w:t>han</w:t>
      </w:r>
      <w:r>
        <w:rPr>
          <w:color w:val="231F20"/>
          <w:spacing w:val="-6"/>
          <w:w w:val="105"/>
        </w:rPr>
        <w:t> </w:t>
      </w:r>
      <w:r>
        <w:rPr>
          <w:color w:val="231F20"/>
          <w:w w:val="105"/>
        </w:rPr>
        <w:t>aportado</w:t>
      </w:r>
      <w:r>
        <w:rPr>
          <w:color w:val="231F20"/>
          <w:spacing w:val="-6"/>
          <w:w w:val="105"/>
        </w:rPr>
        <w:t> </w:t>
      </w:r>
      <w:r>
        <w:rPr>
          <w:color w:val="231F20"/>
          <w:w w:val="105"/>
        </w:rPr>
        <w:t>y</w:t>
      </w:r>
      <w:r>
        <w:rPr>
          <w:color w:val="231F20"/>
          <w:spacing w:val="-6"/>
          <w:w w:val="105"/>
        </w:rPr>
        <w:t> </w:t>
      </w:r>
      <w:r>
        <w:rPr>
          <w:color w:val="231F20"/>
          <w:w w:val="105"/>
        </w:rPr>
        <w:t>añadido</w:t>
      </w:r>
      <w:r>
        <w:rPr>
          <w:color w:val="231F20"/>
          <w:spacing w:val="-6"/>
          <w:w w:val="105"/>
        </w:rPr>
        <w:t> </w:t>
      </w:r>
      <w:r>
        <w:rPr>
          <w:color w:val="231F20"/>
          <w:w w:val="105"/>
        </w:rPr>
        <w:t>a</w:t>
      </w:r>
      <w:r>
        <w:rPr>
          <w:color w:val="231F20"/>
          <w:spacing w:val="-6"/>
          <w:w w:val="105"/>
        </w:rPr>
        <w:t> </w:t>
      </w:r>
      <w:r>
        <w:rPr>
          <w:color w:val="231F20"/>
          <w:w w:val="105"/>
        </w:rPr>
        <w:t>su</w:t>
      </w:r>
      <w:r>
        <w:rPr>
          <w:color w:val="231F20"/>
          <w:spacing w:val="-6"/>
          <w:w w:val="105"/>
        </w:rPr>
        <w:t> </w:t>
      </w:r>
      <w:r>
        <w:rPr>
          <w:color w:val="231F20"/>
          <w:w w:val="105"/>
        </w:rPr>
        <w:t>predecesora</w:t>
      </w:r>
      <w:r>
        <w:rPr>
          <w:color w:val="231F20"/>
          <w:spacing w:val="-6"/>
          <w:w w:val="105"/>
        </w:rPr>
        <w:t> </w:t>
      </w:r>
      <w:r>
        <w:rPr>
          <w:color w:val="231F20"/>
          <w:w w:val="105"/>
        </w:rPr>
        <w:t>respecti- vamente.</w:t>
      </w:r>
      <w:r>
        <w:rPr>
          <w:color w:val="231F20"/>
          <w:spacing w:val="-32"/>
          <w:w w:val="105"/>
        </w:rPr>
        <w:t> </w:t>
      </w:r>
      <w:r>
        <w:rPr>
          <w:color w:val="231F20"/>
          <w:w w:val="105"/>
        </w:rPr>
        <w:t>No</w:t>
      </w:r>
      <w:r>
        <w:rPr>
          <w:color w:val="231F20"/>
          <w:spacing w:val="-26"/>
          <w:w w:val="105"/>
        </w:rPr>
        <w:t> </w:t>
      </w:r>
      <w:r>
        <w:rPr>
          <w:color w:val="231F20"/>
          <w:w w:val="105"/>
        </w:rPr>
        <w:t>son</w:t>
      </w:r>
      <w:r>
        <w:rPr>
          <w:color w:val="231F20"/>
          <w:spacing w:val="-26"/>
          <w:w w:val="105"/>
        </w:rPr>
        <w:t> </w:t>
      </w:r>
      <w:r>
        <w:rPr>
          <w:color w:val="231F20"/>
          <w:w w:val="105"/>
        </w:rPr>
        <w:t>teorías</w:t>
      </w:r>
      <w:r>
        <w:rPr>
          <w:color w:val="231F20"/>
          <w:spacing w:val="-26"/>
          <w:w w:val="105"/>
        </w:rPr>
        <w:t> </w:t>
      </w:r>
      <w:r>
        <w:rPr>
          <w:color w:val="231F20"/>
          <w:w w:val="105"/>
        </w:rPr>
        <w:t>distantes</w:t>
      </w:r>
      <w:r>
        <w:rPr>
          <w:color w:val="231F20"/>
          <w:spacing w:val="-26"/>
          <w:w w:val="105"/>
        </w:rPr>
        <w:t> </w:t>
      </w:r>
      <w:r>
        <w:rPr>
          <w:color w:val="231F20"/>
          <w:w w:val="105"/>
        </w:rPr>
        <w:t>una</w:t>
      </w:r>
      <w:r>
        <w:rPr>
          <w:color w:val="231F20"/>
          <w:spacing w:val="-26"/>
          <w:w w:val="105"/>
        </w:rPr>
        <w:t> </w:t>
      </w:r>
      <w:r>
        <w:rPr>
          <w:color w:val="231F20"/>
          <w:w w:val="105"/>
        </w:rPr>
        <w:t>de</w:t>
      </w:r>
      <w:r>
        <w:rPr>
          <w:color w:val="231F20"/>
          <w:spacing w:val="-26"/>
          <w:w w:val="105"/>
        </w:rPr>
        <w:t> </w:t>
      </w:r>
      <w:r>
        <w:rPr>
          <w:color w:val="231F20"/>
          <w:w w:val="105"/>
        </w:rPr>
        <w:t>otra,</w:t>
      </w:r>
      <w:r>
        <w:rPr>
          <w:color w:val="231F20"/>
          <w:spacing w:val="-32"/>
          <w:w w:val="105"/>
        </w:rPr>
        <w:t> </w:t>
      </w:r>
      <w:r>
        <w:rPr>
          <w:color w:val="231F20"/>
          <w:w w:val="105"/>
        </w:rPr>
        <w:t>por</w:t>
      </w:r>
      <w:r>
        <w:rPr>
          <w:color w:val="231F20"/>
          <w:spacing w:val="-26"/>
          <w:w w:val="105"/>
        </w:rPr>
        <w:t> </w:t>
      </w:r>
      <w:r>
        <w:rPr>
          <w:color w:val="231F20"/>
          <w:w w:val="105"/>
        </w:rPr>
        <w:t>el</w:t>
      </w:r>
      <w:r>
        <w:rPr>
          <w:color w:val="231F20"/>
          <w:spacing w:val="-26"/>
          <w:w w:val="105"/>
        </w:rPr>
        <w:t> </w:t>
      </w:r>
      <w:r>
        <w:rPr>
          <w:color w:val="231F20"/>
          <w:w w:val="105"/>
        </w:rPr>
        <w:t>contario,</w:t>
      </w:r>
      <w:r>
        <w:rPr>
          <w:color w:val="231F20"/>
          <w:spacing w:val="-32"/>
          <w:w w:val="105"/>
        </w:rPr>
        <w:t> </w:t>
      </w:r>
      <w:r>
        <w:rPr>
          <w:color w:val="231F20"/>
          <w:w w:val="105"/>
        </w:rPr>
        <w:t>comparten características en común entre ellas. </w:t>
      </w:r>
      <w:r>
        <w:rPr>
          <w:color w:val="231F20"/>
          <w:spacing w:val="-6"/>
          <w:w w:val="105"/>
        </w:rPr>
        <w:t>Por </w:t>
      </w:r>
      <w:r>
        <w:rPr>
          <w:color w:val="231F20"/>
          <w:w w:val="105"/>
        </w:rPr>
        <w:t>ejemplo, la principal similitud que</w:t>
      </w:r>
      <w:r>
        <w:rPr>
          <w:color w:val="231F20"/>
          <w:spacing w:val="-18"/>
          <w:w w:val="105"/>
        </w:rPr>
        <w:t> </w:t>
      </w:r>
      <w:r>
        <w:rPr>
          <w:color w:val="231F20"/>
          <w:w w:val="105"/>
        </w:rPr>
        <w:t>comparten</w:t>
      </w:r>
      <w:r>
        <w:rPr>
          <w:color w:val="231F20"/>
          <w:spacing w:val="-18"/>
          <w:w w:val="105"/>
        </w:rPr>
        <w:t> </w:t>
      </w:r>
      <w:r>
        <w:rPr>
          <w:color w:val="231F20"/>
          <w:w w:val="105"/>
        </w:rPr>
        <w:t>las</w:t>
      </w:r>
      <w:r>
        <w:rPr>
          <w:color w:val="231F20"/>
          <w:spacing w:val="-18"/>
          <w:w w:val="105"/>
        </w:rPr>
        <w:t> </w:t>
      </w:r>
      <w:r>
        <w:rPr>
          <w:color w:val="231F20"/>
          <w:w w:val="105"/>
        </w:rPr>
        <w:t>cuatro</w:t>
      </w:r>
      <w:r>
        <w:rPr>
          <w:color w:val="231F20"/>
          <w:spacing w:val="-18"/>
          <w:w w:val="105"/>
        </w:rPr>
        <w:t> </w:t>
      </w:r>
      <w:r>
        <w:rPr>
          <w:color w:val="231F20"/>
          <w:w w:val="105"/>
        </w:rPr>
        <w:t>generaciones</w:t>
      </w:r>
      <w:r>
        <w:rPr>
          <w:color w:val="231F20"/>
          <w:spacing w:val="-18"/>
          <w:w w:val="105"/>
        </w:rPr>
        <w:t> </w:t>
      </w:r>
      <w:r>
        <w:rPr>
          <w:color w:val="231F20"/>
          <w:w w:val="105"/>
        </w:rPr>
        <w:t>es</w:t>
      </w:r>
      <w:r>
        <w:rPr>
          <w:color w:val="231F20"/>
          <w:spacing w:val="-18"/>
          <w:w w:val="105"/>
        </w:rPr>
        <w:t> </w:t>
      </w:r>
      <w:r>
        <w:rPr>
          <w:color w:val="231F20"/>
          <w:w w:val="105"/>
        </w:rPr>
        <w:t>que</w:t>
      </w:r>
      <w:r>
        <w:rPr>
          <w:color w:val="231F20"/>
          <w:spacing w:val="-18"/>
          <w:w w:val="105"/>
        </w:rPr>
        <w:t> </w:t>
      </w:r>
      <w:r>
        <w:rPr>
          <w:color w:val="231F20"/>
          <w:w w:val="105"/>
        </w:rPr>
        <w:t>el</w:t>
      </w:r>
      <w:r>
        <w:rPr>
          <w:color w:val="231F20"/>
          <w:spacing w:val="-18"/>
          <w:w w:val="105"/>
        </w:rPr>
        <w:t> </w:t>
      </w:r>
      <w:r>
        <w:rPr>
          <w:color w:val="231F20"/>
          <w:w w:val="105"/>
        </w:rPr>
        <w:t>mercado</w:t>
      </w:r>
      <w:r>
        <w:rPr>
          <w:color w:val="231F20"/>
          <w:spacing w:val="-18"/>
          <w:w w:val="105"/>
        </w:rPr>
        <w:t> </w:t>
      </w:r>
      <w:r>
        <w:rPr>
          <w:color w:val="231F20"/>
          <w:w w:val="105"/>
        </w:rPr>
        <w:t>se</w:t>
      </w:r>
      <w:r>
        <w:rPr>
          <w:color w:val="231F20"/>
          <w:spacing w:val="-18"/>
          <w:w w:val="105"/>
        </w:rPr>
        <w:t> </w:t>
      </w:r>
      <w:r>
        <w:rPr>
          <w:color w:val="231F20"/>
          <w:w w:val="105"/>
        </w:rPr>
        <w:t>encuentra dividido</w:t>
      </w:r>
      <w:r>
        <w:rPr>
          <w:color w:val="231F20"/>
          <w:spacing w:val="-11"/>
          <w:w w:val="105"/>
        </w:rPr>
        <w:t> </w:t>
      </w:r>
      <w:r>
        <w:rPr>
          <w:color w:val="231F20"/>
          <w:w w:val="105"/>
        </w:rPr>
        <w:t>o</w:t>
      </w:r>
      <w:r>
        <w:rPr>
          <w:color w:val="231F20"/>
          <w:spacing w:val="-11"/>
          <w:w w:val="105"/>
        </w:rPr>
        <w:t> </w:t>
      </w:r>
      <w:r>
        <w:rPr>
          <w:color w:val="231F20"/>
          <w:w w:val="105"/>
        </w:rPr>
        <w:t>segmentado</w:t>
      </w:r>
      <w:r>
        <w:rPr>
          <w:color w:val="231F20"/>
          <w:spacing w:val="-11"/>
          <w:w w:val="105"/>
        </w:rPr>
        <w:t> </w:t>
      </w:r>
      <w:r>
        <w:rPr>
          <w:color w:val="231F20"/>
          <w:w w:val="105"/>
        </w:rPr>
        <w:t>en</w:t>
      </w:r>
      <w:r>
        <w:rPr>
          <w:color w:val="231F20"/>
          <w:spacing w:val="-11"/>
          <w:w w:val="105"/>
        </w:rPr>
        <w:t> </w:t>
      </w:r>
      <w:r>
        <w:rPr>
          <w:color w:val="231F20"/>
          <w:w w:val="105"/>
        </w:rPr>
        <w:t>sub-mercados,</w:t>
      </w:r>
      <w:r>
        <w:rPr>
          <w:color w:val="231F20"/>
          <w:spacing w:val="-17"/>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ahí</w:t>
      </w:r>
      <w:r>
        <w:rPr>
          <w:color w:val="231F20"/>
          <w:spacing w:val="-11"/>
          <w:w w:val="105"/>
        </w:rPr>
        <w:t> </w:t>
      </w:r>
      <w:r>
        <w:rPr>
          <w:color w:val="231F20"/>
          <w:w w:val="105"/>
        </w:rPr>
        <w:t>cada</w:t>
      </w:r>
      <w:r>
        <w:rPr>
          <w:color w:val="231F20"/>
          <w:spacing w:val="-11"/>
          <w:w w:val="105"/>
        </w:rPr>
        <w:t> </w:t>
      </w:r>
      <w:r>
        <w:rPr>
          <w:color w:val="231F20"/>
          <w:w w:val="105"/>
        </w:rPr>
        <w:t>una</w:t>
      </w:r>
      <w:r>
        <w:rPr>
          <w:color w:val="231F20"/>
          <w:spacing w:val="-11"/>
          <w:w w:val="105"/>
        </w:rPr>
        <w:t> </w:t>
      </w:r>
      <w:r>
        <w:rPr>
          <w:color w:val="231F20"/>
          <w:w w:val="105"/>
        </w:rPr>
        <w:t>ha</w:t>
      </w:r>
      <w:r>
        <w:rPr>
          <w:color w:val="231F20"/>
          <w:spacing w:val="-11"/>
          <w:w w:val="105"/>
        </w:rPr>
        <w:t> </w:t>
      </w:r>
      <w:r>
        <w:rPr>
          <w:color w:val="231F20"/>
          <w:w w:val="105"/>
        </w:rPr>
        <w:t>desarro- llado</w:t>
      </w:r>
      <w:r>
        <w:rPr>
          <w:color w:val="231F20"/>
          <w:spacing w:val="-17"/>
          <w:w w:val="105"/>
        </w:rPr>
        <w:t> </w:t>
      </w:r>
      <w:r>
        <w:rPr>
          <w:color w:val="231F20"/>
          <w:w w:val="105"/>
        </w:rPr>
        <w:t>rasgos</w:t>
      </w:r>
      <w:r>
        <w:rPr>
          <w:color w:val="231F20"/>
          <w:spacing w:val="-17"/>
          <w:w w:val="105"/>
        </w:rPr>
        <w:t> </w:t>
      </w:r>
      <w:r>
        <w:rPr>
          <w:color w:val="231F20"/>
          <w:w w:val="105"/>
        </w:rPr>
        <w:t>distintivos</w:t>
      </w:r>
      <w:r>
        <w:rPr>
          <w:color w:val="231F20"/>
          <w:spacing w:val="-17"/>
          <w:w w:val="105"/>
        </w:rPr>
        <w:t> </w:t>
      </w:r>
      <w:r>
        <w:rPr>
          <w:color w:val="231F20"/>
          <w:w w:val="105"/>
        </w:rPr>
        <w:t>que</w:t>
      </w:r>
      <w:r>
        <w:rPr>
          <w:color w:val="231F20"/>
          <w:spacing w:val="-17"/>
          <w:w w:val="105"/>
        </w:rPr>
        <w:t> </w:t>
      </w:r>
      <w:r>
        <w:rPr>
          <w:color w:val="231F20"/>
          <w:w w:val="105"/>
        </w:rPr>
        <w:t>hacen</w:t>
      </w:r>
      <w:r>
        <w:rPr>
          <w:color w:val="231F20"/>
          <w:spacing w:val="-17"/>
          <w:w w:val="105"/>
        </w:rPr>
        <w:t> </w:t>
      </w:r>
      <w:r>
        <w:rPr>
          <w:color w:val="231F20"/>
          <w:w w:val="105"/>
        </w:rPr>
        <w:t>que</w:t>
      </w:r>
      <w:r>
        <w:rPr>
          <w:color w:val="231F20"/>
          <w:spacing w:val="-17"/>
          <w:w w:val="105"/>
        </w:rPr>
        <w:t> </w:t>
      </w:r>
      <w:r>
        <w:rPr>
          <w:color w:val="231F20"/>
          <w:w w:val="105"/>
        </w:rPr>
        <w:t>hace</w:t>
      </w:r>
      <w:r>
        <w:rPr>
          <w:color w:val="231F20"/>
          <w:spacing w:val="-17"/>
          <w:w w:val="105"/>
        </w:rPr>
        <w:t> </w:t>
      </w:r>
      <w:r>
        <w:rPr>
          <w:color w:val="231F20"/>
          <w:w w:val="105"/>
        </w:rPr>
        <w:t>a</w:t>
      </w:r>
      <w:r>
        <w:rPr>
          <w:color w:val="231F20"/>
          <w:spacing w:val="-17"/>
          <w:w w:val="105"/>
        </w:rPr>
        <w:t> </w:t>
      </w:r>
      <w:r>
        <w:rPr>
          <w:color w:val="231F20"/>
          <w:w w:val="105"/>
        </w:rPr>
        <w:t>cada</w:t>
      </w:r>
      <w:r>
        <w:rPr>
          <w:color w:val="231F20"/>
          <w:spacing w:val="-17"/>
          <w:w w:val="105"/>
        </w:rPr>
        <w:t> </w:t>
      </w:r>
      <w:r>
        <w:rPr>
          <w:color w:val="231F20"/>
          <w:w w:val="105"/>
        </w:rPr>
        <w:t>una</w:t>
      </w:r>
      <w:r>
        <w:rPr>
          <w:color w:val="231F20"/>
          <w:spacing w:val="-17"/>
          <w:w w:val="105"/>
        </w:rPr>
        <w:t> </w:t>
      </w:r>
      <w:r>
        <w:rPr>
          <w:color w:val="231F20"/>
          <w:w w:val="105"/>
        </w:rPr>
        <w:t>diferente.</w:t>
      </w:r>
    </w:p>
    <w:p>
      <w:pPr>
        <w:pStyle w:val="BodyText"/>
        <w:spacing w:line="259" w:lineRule="auto"/>
        <w:ind w:left="103" w:right="115" w:firstLine="567"/>
        <w:jc w:val="both"/>
      </w:pPr>
      <w:r>
        <w:rPr>
          <w:color w:val="231F20"/>
        </w:rPr>
        <w:t>La primera generación, conocida como el dualismo, se caracterizó por dividir al mercado en dos sectores: primario y secundario. Las mejo- res características respecto a salario, condiciones de empleo, habilida- des, organización y generación de capital humano se encontraban en      el sector primario. En contraste, el sector secundario tenía condiciones precarias y menores en comparación con el  </w:t>
      </w:r>
      <w:r>
        <w:rPr>
          <w:color w:val="231F20"/>
          <w:spacing w:val="14"/>
        </w:rPr>
        <w:t> </w:t>
      </w:r>
      <w:r>
        <w:rPr>
          <w:color w:val="231F20"/>
        </w:rPr>
        <w:t>primario.</w:t>
      </w:r>
    </w:p>
    <w:p>
      <w:pPr>
        <w:pStyle w:val="BodyText"/>
        <w:rPr>
          <w:sz w:val="20"/>
        </w:rPr>
      </w:pPr>
    </w:p>
    <w:p>
      <w:pPr>
        <w:pStyle w:val="BodyText"/>
        <w:rPr>
          <w:sz w:val="20"/>
        </w:rPr>
      </w:pPr>
    </w:p>
    <w:p>
      <w:pPr>
        <w:pStyle w:val="BodyText"/>
        <w:rPr>
          <w:sz w:val="20"/>
        </w:rPr>
      </w:pPr>
    </w:p>
    <w:p>
      <w:pPr>
        <w:pStyle w:val="BodyText"/>
        <w:spacing w:before="9"/>
        <w:rPr>
          <w:sz w:val="20"/>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1336"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178</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15" w:right="0" w:firstLine="0"/>
        <w:jc w:val="left"/>
        <w:rPr>
          <w:sz w:val="20"/>
        </w:rPr>
      </w:pPr>
      <w:r>
        <w:rPr/>
        <w:pict>
          <v:line style="position:absolute;mso-position-horizontal-relative:page;mso-position-vertical-relative:paragraph;z-index:-241312" from="384.061005pt,-25.30427pt" to="384.061005pt,9.561580pt" stroked="true" strokeweight=".3pt" strokecolor="#231f20">
            <w10:wrap type="none"/>
          </v:line>
        </w:pict>
      </w:r>
      <w:r>
        <w:rPr>
          <w:rFonts w:ascii="Lucida Sans Unicode" w:hAnsi="Lucida Sans Unicode"/>
          <w:color w:val="6D6E71"/>
          <w:w w:val="105"/>
          <w:sz w:val="14"/>
        </w:rPr>
        <w:t>VII.</w:t>
      </w:r>
      <w:r>
        <w:rPr>
          <w:rFonts w:ascii="Lucida Sans Unicode" w:hAnsi="Lucida Sans Unicode"/>
          <w:color w:val="6D6E71"/>
          <w:spacing w:val="-18"/>
          <w:w w:val="105"/>
          <w:sz w:val="14"/>
        </w:rPr>
        <w:t> </w:t>
      </w:r>
      <w:r>
        <w:rPr>
          <w:rFonts w:ascii="Lucida Sans Unicode" w:hAnsi="Lucida Sans Unicode"/>
          <w:color w:val="6D6E71"/>
          <w:w w:val="105"/>
          <w:sz w:val="14"/>
        </w:rPr>
        <w:t>Mercado</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Trabajo.</w:t>
      </w:r>
      <w:r>
        <w:rPr>
          <w:rFonts w:ascii="Lucida Sans Unicode" w:hAnsi="Lucida Sans Unicode"/>
          <w:color w:val="6D6E71"/>
          <w:spacing w:val="-18"/>
          <w:w w:val="105"/>
          <w:sz w:val="14"/>
        </w:rPr>
        <w:t> </w:t>
      </w:r>
      <w:r>
        <w:rPr>
          <w:rFonts w:ascii="Lucida Sans Unicode" w:hAnsi="Lucida Sans Unicode"/>
          <w:color w:val="6D6E71"/>
          <w:w w:val="105"/>
          <w:sz w:val="14"/>
        </w:rPr>
        <w:t>Teoría</w:t>
      </w:r>
      <w:r>
        <w:rPr>
          <w:rFonts w:ascii="Lucida Sans Unicode" w:hAnsi="Lucida Sans Unicode"/>
          <w:color w:val="6D6E71"/>
          <w:spacing w:val="-18"/>
          <w:w w:val="105"/>
          <w:sz w:val="14"/>
        </w:rPr>
        <w:t> </w:t>
      </w:r>
      <w:r>
        <w:rPr>
          <w:rFonts w:ascii="Lucida Sans Unicode" w:hAnsi="Lucida Sans Unicode"/>
          <w:color w:val="6D6E71"/>
          <w:w w:val="105"/>
          <w:sz w:val="14"/>
        </w:rPr>
        <w:t>NeoclásIca</w:t>
      </w:r>
      <w:r>
        <w:rPr>
          <w:rFonts w:ascii="Lucida Sans Unicode" w:hAnsi="Lucida Sans Unicode"/>
          <w:color w:val="6D6E71"/>
          <w:spacing w:val="-18"/>
          <w:w w:val="105"/>
          <w:sz w:val="14"/>
        </w:rPr>
        <w:t> </w:t>
      </w:r>
      <w:r>
        <w:rPr>
          <w:rFonts w:ascii="Lucida Sans Unicode" w:hAnsi="Lucida Sans Unicode"/>
          <w:color w:val="6D6E71"/>
          <w:w w:val="105"/>
          <w:sz w:val="14"/>
        </w:rPr>
        <w:t>y</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15"/>
          <w:sz w:val="14"/>
        </w:rPr>
        <w:t>la</w:t>
      </w:r>
      <w:r>
        <w:rPr>
          <w:rFonts w:ascii="Lucida Sans Unicode" w:hAnsi="Lucida Sans Unicode"/>
          <w:color w:val="6D6E71"/>
          <w:spacing w:val="-22"/>
          <w:w w:val="115"/>
          <w:sz w:val="14"/>
        </w:rPr>
        <w:t> </w:t>
      </w:r>
      <w:r>
        <w:rPr>
          <w:rFonts w:ascii="Lucida Sans Unicode" w:hAnsi="Lucida Sans Unicode"/>
          <w:color w:val="6D6E71"/>
          <w:w w:val="105"/>
          <w:sz w:val="14"/>
        </w:rPr>
        <w:t>segMeNTacIóN</w:t>
      </w:r>
      <w:r>
        <w:rPr>
          <w:color w:val="414042"/>
          <w:w w:val="105"/>
          <w:position w:val="-3"/>
          <w:sz w:val="20"/>
        </w:rPr>
        <w:tab/>
        <w:t>179</w:t>
      </w:r>
    </w:p>
    <w:p>
      <w:pPr>
        <w:pStyle w:val="BodyText"/>
        <w:rPr>
          <w:sz w:val="20"/>
        </w:rPr>
      </w:pPr>
    </w:p>
    <w:p>
      <w:pPr>
        <w:pStyle w:val="BodyText"/>
        <w:rPr>
          <w:sz w:val="20"/>
        </w:rPr>
      </w:pPr>
    </w:p>
    <w:p>
      <w:pPr>
        <w:pStyle w:val="BodyText"/>
        <w:spacing w:line="259" w:lineRule="auto" w:before="176"/>
        <w:ind w:left="117" w:right="101"/>
        <w:jc w:val="both"/>
      </w:pP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segunda</w:t>
      </w:r>
      <w:r>
        <w:rPr>
          <w:color w:val="231F20"/>
          <w:spacing w:val="-25"/>
          <w:w w:val="105"/>
        </w:rPr>
        <w:t> </w:t>
      </w:r>
      <w:r>
        <w:rPr>
          <w:color w:val="231F20"/>
          <w:w w:val="105"/>
        </w:rPr>
        <w:t>generación</w:t>
      </w:r>
      <w:r>
        <w:rPr>
          <w:color w:val="231F20"/>
          <w:spacing w:val="-25"/>
          <w:w w:val="105"/>
        </w:rPr>
        <w:t> </w:t>
      </w:r>
      <w:r>
        <w:rPr>
          <w:color w:val="231F20"/>
          <w:w w:val="105"/>
        </w:rPr>
        <w:t>(la</w:t>
      </w:r>
      <w:r>
        <w:rPr>
          <w:color w:val="231F20"/>
          <w:spacing w:val="-25"/>
          <w:w w:val="105"/>
        </w:rPr>
        <w:t> </w:t>
      </w:r>
      <w:r>
        <w:rPr>
          <w:color w:val="231F20"/>
          <w:w w:val="105"/>
        </w:rPr>
        <w:t>radical)</w:t>
      </w:r>
      <w:r>
        <w:rPr>
          <w:color w:val="231F20"/>
          <w:spacing w:val="-25"/>
          <w:w w:val="105"/>
        </w:rPr>
        <w:t> </w:t>
      </w:r>
      <w:r>
        <w:rPr>
          <w:color w:val="231F20"/>
          <w:w w:val="105"/>
        </w:rPr>
        <w:t>el</w:t>
      </w:r>
      <w:r>
        <w:rPr>
          <w:color w:val="231F20"/>
          <w:spacing w:val="-25"/>
          <w:w w:val="105"/>
        </w:rPr>
        <w:t> </w:t>
      </w:r>
      <w:r>
        <w:rPr>
          <w:color w:val="231F20"/>
          <w:w w:val="105"/>
        </w:rPr>
        <w:t>mercado</w:t>
      </w:r>
      <w:r>
        <w:rPr>
          <w:color w:val="231F20"/>
          <w:spacing w:val="-25"/>
          <w:w w:val="105"/>
        </w:rPr>
        <w:t> </w:t>
      </w:r>
      <w:r>
        <w:rPr>
          <w:color w:val="231F20"/>
          <w:w w:val="105"/>
        </w:rPr>
        <w:t>de</w:t>
      </w:r>
      <w:r>
        <w:rPr>
          <w:color w:val="231F20"/>
          <w:spacing w:val="-25"/>
          <w:w w:val="105"/>
        </w:rPr>
        <w:t> </w:t>
      </w:r>
      <w:r>
        <w:rPr>
          <w:color w:val="231F20"/>
          <w:w w:val="105"/>
        </w:rPr>
        <w:t>trabajo</w:t>
      </w:r>
      <w:r>
        <w:rPr>
          <w:color w:val="231F20"/>
          <w:spacing w:val="-25"/>
          <w:w w:val="105"/>
        </w:rPr>
        <w:t> </w:t>
      </w:r>
      <w:r>
        <w:rPr>
          <w:color w:val="231F20"/>
          <w:w w:val="105"/>
        </w:rPr>
        <w:t>se</w:t>
      </w:r>
      <w:r>
        <w:rPr>
          <w:color w:val="231F20"/>
          <w:spacing w:val="-25"/>
          <w:w w:val="105"/>
        </w:rPr>
        <w:t> </w:t>
      </w:r>
      <w:r>
        <w:rPr>
          <w:color w:val="231F20"/>
          <w:w w:val="105"/>
        </w:rPr>
        <w:t>encuentra subdividido</w:t>
      </w:r>
      <w:r>
        <w:rPr>
          <w:color w:val="231F20"/>
          <w:spacing w:val="-10"/>
          <w:w w:val="105"/>
        </w:rPr>
        <w:t> </w:t>
      </w:r>
      <w:r>
        <w:rPr>
          <w:color w:val="231F20"/>
          <w:w w:val="105"/>
        </w:rPr>
        <w:t>en</w:t>
      </w:r>
      <w:r>
        <w:rPr>
          <w:color w:val="231F20"/>
          <w:spacing w:val="-10"/>
          <w:w w:val="105"/>
        </w:rPr>
        <w:t> </w:t>
      </w:r>
      <w:r>
        <w:rPr>
          <w:color w:val="231F20"/>
          <w:w w:val="105"/>
        </w:rPr>
        <w:t>dos</w:t>
      </w:r>
      <w:r>
        <w:rPr>
          <w:color w:val="231F20"/>
          <w:spacing w:val="-10"/>
          <w:w w:val="105"/>
        </w:rPr>
        <w:t> </w:t>
      </w:r>
      <w:r>
        <w:rPr>
          <w:color w:val="231F20"/>
          <w:w w:val="105"/>
        </w:rPr>
        <w:t>segmentos</w:t>
      </w:r>
      <w:r>
        <w:rPr>
          <w:color w:val="231F20"/>
          <w:spacing w:val="-10"/>
          <w:w w:val="105"/>
        </w:rPr>
        <w:t> </w:t>
      </w:r>
      <w:r>
        <w:rPr>
          <w:color w:val="231F20"/>
          <w:w w:val="105"/>
        </w:rPr>
        <w:t>y</w:t>
      </w:r>
      <w:r>
        <w:rPr>
          <w:color w:val="231F20"/>
          <w:spacing w:val="-10"/>
          <w:w w:val="105"/>
        </w:rPr>
        <w:t> </w:t>
      </w:r>
      <w:r>
        <w:rPr>
          <w:color w:val="231F20"/>
          <w:w w:val="105"/>
        </w:rPr>
        <w:t>se</w:t>
      </w:r>
      <w:r>
        <w:rPr>
          <w:color w:val="231F20"/>
          <w:spacing w:val="-10"/>
          <w:w w:val="105"/>
        </w:rPr>
        <w:t> </w:t>
      </w:r>
      <w:r>
        <w:rPr>
          <w:color w:val="231F20"/>
          <w:w w:val="105"/>
        </w:rPr>
        <w:t>distingue</w:t>
      </w:r>
      <w:r>
        <w:rPr>
          <w:color w:val="231F20"/>
          <w:spacing w:val="-10"/>
          <w:w w:val="105"/>
        </w:rPr>
        <w:t> </w:t>
      </w:r>
      <w:r>
        <w:rPr>
          <w:color w:val="231F20"/>
          <w:w w:val="105"/>
        </w:rPr>
        <w:t>la</w:t>
      </w:r>
      <w:r>
        <w:rPr>
          <w:color w:val="231F20"/>
          <w:spacing w:val="-10"/>
          <w:w w:val="105"/>
        </w:rPr>
        <w:t> </w:t>
      </w:r>
      <w:r>
        <w:rPr>
          <w:color w:val="231F20"/>
          <w:w w:val="105"/>
        </w:rPr>
        <w:t>división</w:t>
      </w:r>
      <w:r>
        <w:rPr>
          <w:color w:val="231F20"/>
          <w:spacing w:val="-10"/>
          <w:w w:val="105"/>
        </w:rPr>
        <w:t> </w:t>
      </w:r>
      <w:r>
        <w:rPr>
          <w:color w:val="231F20"/>
          <w:w w:val="105"/>
        </w:rPr>
        <w:t>al</w:t>
      </w:r>
      <w:r>
        <w:rPr>
          <w:color w:val="231F20"/>
          <w:spacing w:val="-10"/>
          <w:w w:val="105"/>
        </w:rPr>
        <w:t> </w:t>
      </w:r>
      <w:r>
        <w:rPr>
          <w:color w:val="231F20"/>
          <w:w w:val="105"/>
        </w:rPr>
        <w:t>interior</w:t>
      </w:r>
      <w:r>
        <w:rPr>
          <w:color w:val="231F20"/>
          <w:spacing w:val="-10"/>
          <w:w w:val="105"/>
        </w:rPr>
        <w:t> </w:t>
      </w:r>
      <w:r>
        <w:rPr>
          <w:color w:val="231F20"/>
          <w:w w:val="105"/>
        </w:rPr>
        <w:t>de</w:t>
      </w:r>
      <w:r>
        <w:rPr>
          <w:color w:val="231F20"/>
          <w:spacing w:val="-10"/>
          <w:w w:val="105"/>
        </w:rPr>
        <w:t> </w:t>
      </w:r>
      <w:r>
        <w:rPr>
          <w:color w:val="231F20"/>
          <w:w w:val="105"/>
        </w:rPr>
        <w:t>los mercados</w:t>
      </w:r>
      <w:r>
        <w:rPr>
          <w:color w:val="231F20"/>
          <w:spacing w:val="-22"/>
          <w:w w:val="105"/>
        </w:rPr>
        <w:t> </w:t>
      </w:r>
      <w:r>
        <w:rPr>
          <w:color w:val="231F20"/>
          <w:w w:val="105"/>
        </w:rPr>
        <w:t>de</w:t>
      </w:r>
      <w:r>
        <w:rPr>
          <w:color w:val="231F20"/>
          <w:spacing w:val="-22"/>
          <w:w w:val="105"/>
        </w:rPr>
        <w:t> </w:t>
      </w:r>
      <w:r>
        <w:rPr>
          <w:color w:val="231F20"/>
          <w:w w:val="105"/>
        </w:rPr>
        <w:t>trabajo</w:t>
      </w:r>
      <w:r>
        <w:rPr>
          <w:color w:val="231F20"/>
          <w:spacing w:val="-22"/>
          <w:w w:val="105"/>
        </w:rPr>
        <w:t> </w:t>
      </w:r>
      <w:r>
        <w:rPr>
          <w:color w:val="231F20"/>
          <w:w w:val="105"/>
        </w:rPr>
        <w:t>(empleos</w:t>
      </w:r>
      <w:r>
        <w:rPr>
          <w:color w:val="231F20"/>
          <w:spacing w:val="-22"/>
          <w:w w:val="105"/>
        </w:rPr>
        <w:t> </w:t>
      </w:r>
      <w:r>
        <w:rPr>
          <w:color w:val="231F20"/>
          <w:w w:val="105"/>
        </w:rPr>
        <w:t>subordinados</w:t>
      </w:r>
      <w:r>
        <w:rPr>
          <w:color w:val="231F20"/>
          <w:spacing w:val="-22"/>
          <w:w w:val="105"/>
        </w:rPr>
        <w:t> </w:t>
      </w:r>
      <w:r>
        <w:rPr>
          <w:color w:val="231F20"/>
          <w:w w:val="105"/>
        </w:rPr>
        <w:t>y</w:t>
      </w:r>
      <w:r>
        <w:rPr>
          <w:color w:val="231F20"/>
          <w:spacing w:val="-22"/>
          <w:w w:val="105"/>
        </w:rPr>
        <w:t> </w:t>
      </w:r>
      <w:r>
        <w:rPr>
          <w:color w:val="231F20"/>
          <w:w w:val="105"/>
        </w:rPr>
        <w:t>empleos</w:t>
      </w:r>
      <w:r>
        <w:rPr>
          <w:color w:val="231F20"/>
          <w:spacing w:val="-22"/>
          <w:w w:val="105"/>
        </w:rPr>
        <w:t> </w:t>
      </w:r>
      <w:r>
        <w:rPr>
          <w:color w:val="231F20"/>
          <w:w w:val="105"/>
        </w:rPr>
        <w:t>independientes) y</w:t>
      </w:r>
      <w:r>
        <w:rPr>
          <w:color w:val="231F20"/>
          <w:spacing w:val="-13"/>
          <w:w w:val="105"/>
        </w:rPr>
        <w:t> </w:t>
      </w:r>
      <w:r>
        <w:rPr>
          <w:color w:val="231F20"/>
          <w:w w:val="105"/>
        </w:rPr>
        <w:t>la</w:t>
      </w:r>
      <w:r>
        <w:rPr>
          <w:color w:val="231F20"/>
          <w:spacing w:val="-13"/>
          <w:w w:val="105"/>
        </w:rPr>
        <w:t> </w:t>
      </w:r>
      <w:r>
        <w:rPr>
          <w:color w:val="231F20"/>
          <w:w w:val="105"/>
        </w:rPr>
        <w:t>división</w:t>
      </w:r>
      <w:r>
        <w:rPr>
          <w:color w:val="231F20"/>
          <w:spacing w:val="-13"/>
          <w:w w:val="105"/>
        </w:rPr>
        <w:t> </w:t>
      </w:r>
      <w:r>
        <w:rPr>
          <w:color w:val="231F20"/>
          <w:w w:val="105"/>
        </w:rPr>
        <w:t>por</w:t>
      </w:r>
      <w:r>
        <w:rPr>
          <w:color w:val="231F20"/>
          <w:spacing w:val="-13"/>
          <w:w w:val="105"/>
        </w:rPr>
        <w:t> </w:t>
      </w:r>
      <w:r>
        <w:rPr>
          <w:color w:val="231F20"/>
          <w:w w:val="105"/>
        </w:rPr>
        <w:t>raza</w:t>
      </w:r>
      <w:r>
        <w:rPr>
          <w:color w:val="231F20"/>
          <w:spacing w:val="-13"/>
          <w:w w:val="105"/>
        </w:rPr>
        <w:t> </w:t>
      </w:r>
      <w:r>
        <w:rPr>
          <w:color w:val="231F20"/>
          <w:w w:val="105"/>
        </w:rPr>
        <w:t>y</w:t>
      </w:r>
      <w:r>
        <w:rPr>
          <w:color w:val="231F20"/>
          <w:spacing w:val="-13"/>
          <w:w w:val="105"/>
        </w:rPr>
        <w:t> </w:t>
      </w:r>
      <w:r>
        <w:rPr>
          <w:color w:val="231F20"/>
          <w:w w:val="105"/>
        </w:rPr>
        <w:t>por</w:t>
      </w:r>
      <w:r>
        <w:rPr>
          <w:color w:val="231F20"/>
          <w:spacing w:val="-13"/>
          <w:w w:val="105"/>
        </w:rPr>
        <w:t> </w:t>
      </w:r>
      <w:r>
        <w:rPr>
          <w:color w:val="231F20"/>
          <w:w w:val="105"/>
        </w:rPr>
        <w:t>género.</w:t>
      </w:r>
    </w:p>
    <w:p>
      <w:pPr>
        <w:pStyle w:val="BodyText"/>
        <w:spacing w:line="259" w:lineRule="auto"/>
        <w:ind w:left="117" w:right="101" w:firstLine="567"/>
        <w:jc w:val="both"/>
      </w:pPr>
      <w:r>
        <w:rPr>
          <w:color w:val="231F20"/>
          <w:w w:val="105"/>
        </w:rPr>
        <w:t>La tercera generación toma su nombre de multicausal debido a que no es un solo factor el que determina la formación de los segmen- tos, sino que una serie de causas pueden generar la estratificación. La división se origina debido a una industria fraccionada, los imperativos de control del trabajo (desde el mercado interno), las luchas laborales (sindicalismo),</w:t>
      </w:r>
      <w:r>
        <w:rPr>
          <w:color w:val="231F20"/>
          <w:spacing w:val="-26"/>
          <w:w w:val="105"/>
        </w:rPr>
        <w:t> </w:t>
      </w:r>
      <w:r>
        <w:rPr>
          <w:color w:val="231F20"/>
          <w:w w:val="105"/>
        </w:rPr>
        <w:t>las</w:t>
      </w:r>
      <w:r>
        <w:rPr>
          <w:color w:val="231F20"/>
          <w:spacing w:val="-20"/>
          <w:w w:val="105"/>
        </w:rPr>
        <w:t> </w:t>
      </w:r>
      <w:r>
        <w:rPr>
          <w:color w:val="231F20"/>
          <w:w w:val="105"/>
        </w:rPr>
        <w:t>condiciones</w:t>
      </w:r>
      <w:r>
        <w:rPr>
          <w:color w:val="231F20"/>
          <w:spacing w:val="-20"/>
          <w:w w:val="105"/>
        </w:rPr>
        <w:t> </w:t>
      </w:r>
      <w:r>
        <w:rPr>
          <w:color w:val="231F20"/>
          <w:w w:val="105"/>
        </w:rPr>
        <w:t>variables</w:t>
      </w:r>
      <w:r>
        <w:rPr>
          <w:color w:val="231F20"/>
          <w:spacing w:val="-20"/>
          <w:w w:val="105"/>
        </w:rPr>
        <w:t> </w:t>
      </w:r>
      <w:r>
        <w:rPr>
          <w:color w:val="231F20"/>
          <w:w w:val="105"/>
        </w:rPr>
        <w:t>del</w:t>
      </w:r>
      <w:r>
        <w:rPr>
          <w:color w:val="231F20"/>
          <w:spacing w:val="-20"/>
          <w:w w:val="105"/>
        </w:rPr>
        <w:t> </w:t>
      </w:r>
      <w:r>
        <w:rPr>
          <w:color w:val="231F20"/>
          <w:w w:val="105"/>
        </w:rPr>
        <w:t>mercado</w:t>
      </w:r>
      <w:r>
        <w:rPr>
          <w:color w:val="231F20"/>
          <w:spacing w:val="-20"/>
          <w:w w:val="105"/>
        </w:rPr>
        <w:t> </w:t>
      </w:r>
      <w:r>
        <w:rPr>
          <w:color w:val="231F20"/>
          <w:w w:val="105"/>
        </w:rPr>
        <w:t>de</w:t>
      </w:r>
      <w:r>
        <w:rPr>
          <w:color w:val="231F20"/>
          <w:spacing w:val="-20"/>
          <w:w w:val="105"/>
        </w:rPr>
        <w:t> </w:t>
      </w:r>
      <w:r>
        <w:rPr>
          <w:color w:val="231F20"/>
          <w:w w:val="105"/>
        </w:rPr>
        <w:t>productos</w:t>
      </w:r>
      <w:r>
        <w:rPr>
          <w:color w:val="231F20"/>
          <w:spacing w:val="-20"/>
          <w:w w:val="105"/>
        </w:rPr>
        <w:t> </w:t>
      </w:r>
      <w:r>
        <w:rPr>
          <w:color w:val="231F20"/>
          <w:w w:val="105"/>
        </w:rPr>
        <w:t>o</w:t>
      </w:r>
      <w:r>
        <w:rPr>
          <w:color w:val="231F20"/>
          <w:spacing w:val="-20"/>
          <w:w w:val="105"/>
        </w:rPr>
        <w:t> </w:t>
      </w:r>
      <w:r>
        <w:rPr>
          <w:color w:val="231F20"/>
          <w:w w:val="105"/>
        </w:rPr>
        <w:t>por el desarrollo tecnológico</w:t>
      </w:r>
      <w:r>
        <w:rPr>
          <w:color w:val="231F20"/>
          <w:spacing w:val="7"/>
          <w:w w:val="105"/>
        </w:rPr>
        <w:t> </w:t>
      </w:r>
      <w:r>
        <w:rPr>
          <w:color w:val="231F20"/>
          <w:w w:val="105"/>
        </w:rPr>
        <w:t>divergente.</w:t>
      </w:r>
    </w:p>
    <w:p>
      <w:pPr>
        <w:pStyle w:val="BodyText"/>
        <w:spacing w:line="259" w:lineRule="auto"/>
        <w:ind w:left="117" w:right="101" w:firstLine="567"/>
        <w:jc w:val="both"/>
      </w:pPr>
      <w:r>
        <w:rPr>
          <w:color w:val="231F20"/>
          <w:spacing w:val="-6"/>
          <w:w w:val="105"/>
        </w:rPr>
        <w:t>Por</w:t>
      </w:r>
      <w:r>
        <w:rPr>
          <w:color w:val="231F20"/>
          <w:spacing w:val="-5"/>
          <w:w w:val="105"/>
        </w:rPr>
        <w:t> </w:t>
      </w:r>
      <w:r>
        <w:rPr>
          <w:color w:val="231F20"/>
          <w:w w:val="105"/>
        </w:rPr>
        <w:t>último,</w:t>
      </w:r>
      <w:r>
        <w:rPr>
          <w:color w:val="231F20"/>
          <w:spacing w:val="-10"/>
          <w:w w:val="105"/>
        </w:rPr>
        <w:t> </w:t>
      </w:r>
      <w:r>
        <w:rPr>
          <w:color w:val="231F20"/>
          <w:w w:val="105"/>
        </w:rPr>
        <w:t>la</w:t>
      </w:r>
      <w:r>
        <w:rPr>
          <w:color w:val="231F20"/>
          <w:spacing w:val="-5"/>
          <w:w w:val="105"/>
        </w:rPr>
        <w:t> </w:t>
      </w:r>
      <w:r>
        <w:rPr>
          <w:color w:val="231F20"/>
          <w:w w:val="105"/>
        </w:rPr>
        <w:t>cuarta</w:t>
      </w:r>
      <w:r>
        <w:rPr>
          <w:color w:val="231F20"/>
          <w:spacing w:val="-5"/>
          <w:w w:val="105"/>
        </w:rPr>
        <w:t> </w:t>
      </w:r>
      <w:r>
        <w:rPr>
          <w:color w:val="231F20"/>
          <w:w w:val="105"/>
        </w:rPr>
        <w:t>generación</w:t>
      </w:r>
      <w:r>
        <w:rPr>
          <w:color w:val="231F20"/>
          <w:spacing w:val="-5"/>
          <w:w w:val="105"/>
        </w:rPr>
        <w:t> </w:t>
      </w:r>
      <w:r>
        <w:rPr>
          <w:color w:val="231F20"/>
          <w:w w:val="105"/>
        </w:rPr>
        <w:t>define</w:t>
      </w:r>
      <w:r>
        <w:rPr>
          <w:color w:val="231F20"/>
          <w:spacing w:val="-5"/>
          <w:w w:val="105"/>
        </w:rPr>
        <w:t> </w:t>
      </w:r>
      <w:r>
        <w:rPr>
          <w:color w:val="231F20"/>
          <w:w w:val="105"/>
        </w:rPr>
        <w:t>sus</w:t>
      </w:r>
      <w:r>
        <w:rPr>
          <w:color w:val="231F20"/>
          <w:spacing w:val="-5"/>
          <w:w w:val="105"/>
        </w:rPr>
        <w:t> </w:t>
      </w:r>
      <w:r>
        <w:rPr>
          <w:color w:val="231F20"/>
          <w:w w:val="105"/>
        </w:rPr>
        <w:t>estratos</w:t>
      </w:r>
      <w:r>
        <w:rPr>
          <w:color w:val="231F20"/>
          <w:spacing w:val="-5"/>
          <w:w w:val="105"/>
        </w:rPr>
        <w:t> </w:t>
      </w:r>
      <w:r>
        <w:rPr>
          <w:color w:val="231F20"/>
          <w:w w:val="105"/>
        </w:rPr>
        <w:t>en</w:t>
      </w:r>
      <w:r>
        <w:rPr>
          <w:color w:val="231F20"/>
          <w:spacing w:val="-5"/>
          <w:w w:val="105"/>
        </w:rPr>
        <w:t> </w:t>
      </w:r>
      <w:r>
        <w:rPr>
          <w:color w:val="231F20"/>
          <w:w w:val="105"/>
        </w:rPr>
        <w:t>función</w:t>
      </w:r>
      <w:r>
        <w:rPr>
          <w:color w:val="231F20"/>
          <w:spacing w:val="-5"/>
          <w:w w:val="105"/>
        </w:rPr>
        <w:t> </w:t>
      </w:r>
      <w:r>
        <w:rPr>
          <w:color w:val="231F20"/>
          <w:w w:val="105"/>
        </w:rPr>
        <w:t>de las</w:t>
      </w:r>
      <w:r>
        <w:rPr>
          <w:color w:val="231F20"/>
          <w:spacing w:val="-8"/>
          <w:w w:val="105"/>
        </w:rPr>
        <w:t> </w:t>
      </w:r>
      <w:r>
        <w:rPr>
          <w:color w:val="231F20"/>
          <w:w w:val="105"/>
        </w:rPr>
        <w:t>multihabilidades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requieren</w:t>
      </w:r>
      <w:r>
        <w:rPr>
          <w:color w:val="231F20"/>
          <w:spacing w:val="-8"/>
          <w:w w:val="105"/>
        </w:rPr>
        <w:t> </w:t>
      </w:r>
      <w:r>
        <w:rPr>
          <w:color w:val="231F20"/>
          <w:w w:val="105"/>
        </w:rPr>
        <w:t>para</w:t>
      </w:r>
      <w:r>
        <w:rPr>
          <w:color w:val="231F20"/>
          <w:spacing w:val="-8"/>
          <w:w w:val="105"/>
        </w:rPr>
        <w:t> </w:t>
      </w:r>
      <w:r>
        <w:rPr>
          <w:color w:val="231F20"/>
          <w:w w:val="105"/>
        </w:rPr>
        <w:t>desempeñar</w:t>
      </w:r>
      <w:r>
        <w:rPr>
          <w:color w:val="231F20"/>
          <w:spacing w:val="-8"/>
          <w:w w:val="105"/>
        </w:rPr>
        <w:t> </w:t>
      </w:r>
      <w:r>
        <w:rPr>
          <w:color w:val="231F20"/>
          <w:w w:val="105"/>
        </w:rPr>
        <w:t>un</w:t>
      </w:r>
      <w:r>
        <w:rPr>
          <w:color w:val="231F20"/>
          <w:spacing w:val="-8"/>
          <w:w w:val="105"/>
        </w:rPr>
        <w:t> </w:t>
      </w:r>
      <w:r>
        <w:rPr>
          <w:color w:val="231F20"/>
          <w:w w:val="105"/>
        </w:rPr>
        <w:t>trabajo,</w:t>
      </w:r>
      <w:r>
        <w:rPr>
          <w:color w:val="231F20"/>
          <w:spacing w:val="-14"/>
          <w:w w:val="105"/>
        </w:rPr>
        <w:t> </w:t>
      </w:r>
      <w:r>
        <w:rPr>
          <w:color w:val="231F20"/>
          <w:w w:val="105"/>
        </w:rPr>
        <w:t>pro- mueve</w:t>
      </w:r>
      <w:r>
        <w:rPr>
          <w:color w:val="231F20"/>
          <w:spacing w:val="-17"/>
          <w:w w:val="105"/>
        </w:rPr>
        <w:t> </w:t>
      </w:r>
      <w:r>
        <w:rPr>
          <w:color w:val="231F20"/>
          <w:w w:val="105"/>
        </w:rPr>
        <w:t>el</w:t>
      </w:r>
      <w:r>
        <w:rPr>
          <w:color w:val="231F20"/>
          <w:spacing w:val="-17"/>
          <w:w w:val="105"/>
        </w:rPr>
        <w:t> </w:t>
      </w:r>
      <w:r>
        <w:rPr>
          <w:color w:val="231F20"/>
          <w:w w:val="105"/>
        </w:rPr>
        <w:t>autocontrol</w:t>
      </w:r>
      <w:r>
        <w:rPr>
          <w:color w:val="231F20"/>
          <w:spacing w:val="-17"/>
          <w:w w:val="105"/>
        </w:rPr>
        <w:t> </w:t>
      </w:r>
      <w:r>
        <w:rPr>
          <w:color w:val="231F20"/>
          <w:w w:val="105"/>
        </w:rPr>
        <w:t>y</w:t>
      </w:r>
      <w:r>
        <w:rPr>
          <w:color w:val="231F20"/>
          <w:spacing w:val="-17"/>
          <w:w w:val="105"/>
        </w:rPr>
        <w:t> </w:t>
      </w:r>
      <w:r>
        <w:rPr>
          <w:color w:val="231F20"/>
          <w:w w:val="105"/>
        </w:rPr>
        <w:t>se</w:t>
      </w:r>
      <w:r>
        <w:rPr>
          <w:color w:val="231F20"/>
          <w:spacing w:val="-17"/>
          <w:w w:val="105"/>
        </w:rPr>
        <w:t> </w:t>
      </w:r>
      <w:r>
        <w:rPr>
          <w:color w:val="231F20"/>
          <w:w w:val="105"/>
        </w:rPr>
        <w:t>basa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mejora</w:t>
      </w:r>
      <w:r>
        <w:rPr>
          <w:color w:val="231F20"/>
          <w:spacing w:val="-17"/>
          <w:w w:val="105"/>
        </w:rPr>
        <w:t> </w:t>
      </w:r>
      <w:r>
        <w:rPr>
          <w:color w:val="231F20"/>
          <w:w w:val="105"/>
        </w:rPr>
        <w:t>continua</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procesos.</w:t>
      </w:r>
    </w:p>
    <w:p>
      <w:pPr>
        <w:spacing w:after="0" w:line="259" w:lineRule="auto"/>
        <w:jc w:val="both"/>
        <w:sectPr>
          <w:pgSz w:w="9640" w:h="13890"/>
          <w:pgMar w:top="0" w:bottom="280" w:left="1300" w:right="1200"/>
        </w:sectPr>
      </w:pPr>
    </w:p>
    <w:p>
      <w:pPr>
        <w:pStyle w:val="Heading2"/>
        <w:spacing w:before="121"/>
        <w:ind w:left="103" w:right="17"/>
        <w:jc w:val="left"/>
      </w:pPr>
      <w:r>
        <w:rPr>
          <w:color w:val="231F20"/>
        </w:rPr>
        <w:t>Referencias</w:t>
      </w:r>
    </w:p>
    <w:p>
      <w:pPr>
        <w:pStyle w:val="BodyText"/>
        <w:rPr>
          <w:b/>
          <w:sz w:val="22"/>
        </w:rPr>
      </w:pPr>
    </w:p>
    <w:p>
      <w:pPr>
        <w:pStyle w:val="BodyText"/>
        <w:spacing w:line="259" w:lineRule="auto" w:before="160"/>
        <w:ind w:left="841" w:right="115" w:hanging="738"/>
        <w:jc w:val="both"/>
      </w:pPr>
      <w:r>
        <w:rPr>
          <w:color w:val="231F20"/>
          <w:w w:val="105"/>
        </w:rPr>
        <w:t>Canales</w:t>
      </w:r>
      <w:r>
        <w:rPr>
          <w:color w:val="231F20"/>
          <w:spacing w:val="-23"/>
          <w:w w:val="105"/>
        </w:rPr>
        <w:t> </w:t>
      </w:r>
      <w:r>
        <w:rPr>
          <w:color w:val="231F20"/>
          <w:w w:val="105"/>
        </w:rPr>
        <w:t>R.</w:t>
      </w:r>
      <w:r>
        <w:rPr>
          <w:color w:val="231F20"/>
          <w:spacing w:val="-27"/>
          <w:w w:val="105"/>
        </w:rPr>
        <w:t> </w:t>
      </w:r>
      <w:r>
        <w:rPr>
          <w:color w:val="231F20"/>
          <w:w w:val="105"/>
        </w:rPr>
        <w:t>y</w:t>
      </w:r>
      <w:r>
        <w:rPr>
          <w:color w:val="231F20"/>
          <w:spacing w:val="-23"/>
          <w:w w:val="105"/>
        </w:rPr>
        <w:t> </w:t>
      </w:r>
      <w:r>
        <w:rPr>
          <w:color w:val="231F20"/>
          <w:w w:val="105"/>
        </w:rPr>
        <w:t>Mercado</w:t>
      </w:r>
      <w:r>
        <w:rPr>
          <w:color w:val="231F20"/>
          <w:spacing w:val="-23"/>
          <w:w w:val="105"/>
        </w:rPr>
        <w:t> </w:t>
      </w:r>
      <w:r>
        <w:rPr>
          <w:color w:val="231F20"/>
          <w:spacing w:val="-16"/>
          <w:w w:val="105"/>
        </w:rPr>
        <w:t>P.</w:t>
      </w:r>
      <w:r>
        <w:rPr>
          <w:color w:val="231F20"/>
          <w:spacing w:val="-27"/>
          <w:w w:val="105"/>
        </w:rPr>
        <w:t> </w:t>
      </w:r>
      <w:r>
        <w:rPr>
          <w:color w:val="231F20"/>
          <w:w w:val="105"/>
        </w:rPr>
        <w:t>(2011)</w:t>
      </w:r>
      <w:r>
        <w:rPr>
          <w:color w:val="231F20"/>
          <w:spacing w:val="-23"/>
          <w:w w:val="105"/>
        </w:rPr>
        <w:t> </w:t>
      </w:r>
      <w:r>
        <w:rPr>
          <w:color w:val="231F20"/>
          <w:w w:val="105"/>
        </w:rPr>
        <w:t>“Presencia</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instituciones</w:t>
      </w:r>
      <w:r>
        <w:rPr>
          <w:color w:val="231F20"/>
          <w:spacing w:val="-23"/>
          <w:w w:val="105"/>
        </w:rPr>
        <w:t> </w:t>
      </w:r>
      <w:r>
        <w:rPr>
          <w:color w:val="231F20"/>
          <w:w w:val="105"/>
        </w:rPr>
        <w:t>en</w:t>
      </w:r>
      <w:r>
        <w:rPr>
          <w:color w:val="231F20"/>
          <w:spacing w:val="-23"/>
          <w:w w:val="105"/>
        </w:rPr>
        <w:t> </w:t>
      </w:r>
      <w:r>
        <w:rPr>
          <w:color w:val="231F20"/>
          <w:w w:val="105"/>
        </w:rPr>
        <w:t>los</w:t>
      </w:r>
      <w:r>
        <w:rPr>
          <w:color w:val="231F20"/>
          <w:spacing w:val="-23"/>
          <w:w w:val="105"/>
        </w:rPr>
        <w:t> </w:t>
      </w:r>
      <w:r>
        <w:rPr>
          <w:color w:val="231F20"/>
          <w:w w:val="105"/>
        </w:rPr>
        <w:t>en- foques del institucionalismo económico: convergencias y diver- </w:t>
      </w:r>
      <w:r>
        <w:rPr>
          <w:color w:val="231F20"/>
          <w:spacing w:val="-3"/>
          <w:w w:val="105"/>
        </w:rPr>
        <w:t>gencias”.</w:t>
      </w:r>
      <w:r>
        <w:rPr>
          <w:color w:val="231F20"/>
          <w:spacing w:val="-42"/>
          <w:w w:val="105"/>
        </w:rPr>
        <w:t> </w:t>
      </w:r>
      <w:r>
        <w:rPr>
          <w:i/>
          <w:color w:val="231F20"/>
          <w:w w:val="105"/>
        </w:rPr>
        <w:t>Revista</w:t>
      </w:r>
      <w:r>
        <w:rPr>
          <w:i/>
          <w:color w:val="231F20"/>
          <w:spacing w:val="-39"/>
          <w:w w:val="105"/>
        </w:rPr>
        <w:t> </w:t>
      </w:r>
      <w:r>
        <w:rPr>
          <w:i/>
          <w:color w:val="231F20"/>
          <w:w w:val="105"/>
        </w:rPr>
        <w:t>CS</w:t>
      </w:r>
      <w:r>
        <w:rPr>
          <w:i/>
          <w:color w:val="231F20"/>
          <w:spacing w:val="-39"/>
          <w:w w:val="105"/>
        </w:rPr>
        <w:t> </w:t>
      </w:r>
      <w:r>
        <w:rPr>
          <w:i/>
          <w:color w:val="231F20"/>
          <w:w w:val="105"/>
        </w:rPr>
        <w:t>en</w:t>
      </w:r>
      <w:r>
        <w:rPr>
          <w:i/>
          <w:color w:val="231F20"/>
          <w:spacing w:val="-39"/>
          <w:w w:val="105"/>
        </w:rPr>
        <w:t> </w:t>
      </w:r>
      <w:r>
        <w:rPr>
          <w:i/>
          <w:color w:val="231F20"/>
          <w:w w:val="105"/>
        </w:rPr>
        <w:t>ciencias</w:t>
      </w:r>
      <w:r>
        <w:rPr>
          <w:i/>
          <w:color w:val="231F20"/>
          <w:spacing w:val="-39"/>
          <w:w w:val="105"/>
        </w:rPr>
        <w:t> </w:t>
      </w:r>
      <w:r>
        <w:rPr>
          <w:i/>
          <w:color w:val="231F20"/>
          <w:w w:val="105"/>
        </w:rPr>
        <w:t>sociales.</w:t>
      </w:r>
      <w:r>
        <w:rPr>
          <w:i/>
          <w:color w:val="231F20"/>
          <w:spacing w:val="-42"/>
          <w:w w:val="105"/>
        </w:rPr>
        <w:t> </w:t>
      </w:r>
      <w:r>
        <w:rPr>
          <w:color w:val="231F20"/>
          <w:w w:val="105"/>
        </w:rPr>
        <w:t>8</w:t>
      </w:r>
      <w:r>
        <w:rPr>
          <w:color w:val="231F20"/>
          <w:spacing w:val="-39"/>
          <w:w w:val="105"/>
        </w:rPr>
        <w:t> </w:t>
      </w:r>
      <w:r>
        <w:rPr>
          <w:color w:val="231F20"/>
          <w:w w:val="105"/>
        </w:rPr>
        <w:t>pp.</w:t>
      </w:r>
      <w:r>
        <w:rPr>
          <w:color w:val="231F20"/>
          <w:spacing w:val="-42"/>
          <w:w w:val="105"/>
        </w:rPr>
        <w:t> </w:t>
      </w:r>
      <w:r>
        <w:rPr>
          <w:color w:val="231F20"/>
          <w:w w:val="105"/>
        </w:rPr>
        <w:t>83-107.</w:t>
      </w:r>
    </w:p>
    <w:p>
      <w:pPr>
        <w:spacing w:line="259" w:lineRule="auto" w:before="0"/>
        <w:ind w:left="841" w:right="108" w:hanging="738"/>
        <w:jc w:val="both"/>
        <w:rPr>
          <w:sz w:val="21"/>
        </w:rPr>
      </w:pPr>
      <w:r>
        <w:rPr>
          <w:color w:val="231F20"/>
          <w:w w:val="105"/>
          <w:sz w:val="21"/>
        </w:rPr>
        <w:t>Cernas,</w:t>
      </w:r>
      <w:r>
        <w:rPr>
          <w:color w:val="231F20"/>
          <w:spacing w:val="-42"/>
          <w:w w:val="105"/>
          <w:sz w:val="21"/>
        </w:rPr>
        <w:t> </w:t>
      </w:r>
      <w:r>
        <w:rPr>
          <w:color w:val="231F20"/>
          <w:spacing w:val="-6"/>
          <w:w w:val="105"/>
          <w:sz w:val="21"/>
        </w:rPr>
        <w:t>D.</w:t>
      </w:r>
      <w:r>
        <w:rPr>
          <w:color w:val="231F20"/>
          <w:spacing w:val="-42"/>
          <w:w w:val="105"/>
          <w:sz w:val="21"/>
        </w:rPr>
        <w:t> </w:t>
      </w:r>
      <w:r>
        <w:rPr>
          <w:color w:val="231F20"/>
          <w:w w:val="105"/>
          <w:sz w:val="21"/>
        </w:rPr>
        <w:t>y</w:t>
      </w:r>
      <w:r>
        <w:rPr>
          <w:color w:val="231F20"/>
          <w:spacing w:val="-39"/>
          <w:w w:val="105"/>
          <w:sz w:val="21"/>
        </w:rPr>
        <w:t> </w:t>
      </w:r>
      <w:r>
        <w:rPr>
          <w:color w:val="231F20"/>
          <w:w w:val="105"/>
          <w:sz w:val="21"/>
        </w:rPr>
        <w:t>Mercado,</w:t>
      </w:r>
      <w:r>
        <w:rPr>
          <w:color w:val="231F20"/>
          <w:spacing w:val="-42"/>
          <w:w w:val="105"/>
          <w:sz w:val="21"/>
        </w:rPr>
        <w:t> </w:t>
      </w:r>
      <w:r>
        <w:rPr>
          <w:color w:val="231F20"/>
          <w:spacing w:val="-16"/>
          <w:w w:val="105"/>
          <w:sz w:val="21"/>
        </w:rPr>
        <w:t>P.</w:t>
      </w:r>
      <w:r>
        <w:rPr>
          <w:color w:val="231F20"/>
          <w:spacing w:val="-42"/>
          <w:w w:val="105"/>
          <w:sz w:val="21"/>
        </w:rPr>
        <w:t> </w:t>
      </w:r>
      <w:r>
        <w:rPr>
          <w:color w:val="231F20"/>
          <w:w w:val="105"/>
          <w:sz w:val="21"/>
        </w:rPr>
        <w:t>(2013)</w:t>
      </w:r>
      <w:r>
        <w:rPr>
          <w:color w:val="231F20"/>
          <w:spacing w:val="-39"/>
          <w:w w:val="105"/>
          <w:sz w:val="21"/>
        </w:rPr>
        <w:t> </w:t>
      </w:r>
      <w:r>
        <w:rPr>
          <w:color w:val="231F20"/>
          <w:w w:val="105"/>
          <w:sz w:val="21"/>
        </w:rPr>
        <w:t>“Los</w:t>
      </w:r>
      <w:r>
        <w:rPr>
          <w:color w:val="231F20"/>
          <w:spacing w:val="-39"/>
          <w:w w:val="105"/>
          <w:sz w:val="21"/>
        </w:rPr>
        <w:t> </w:t>
      </w:r>
      <w:r>
        <w:rPr>
          <w:color w:val="231F20"/>
          <w:w w:val="105"/>
          <w:sz w:val="21"/>
        </w:rPr>
        <w:t>estudios</w:t>
      </w:r>
      <w:r>
        <w:rPr>
          <w:color w:val="231F20"/>
          <w:spacing w:val="-39"/>
          <w:w w:val="105"/>
          <w:sz w:val="21"/>
        </w:rPr>
        <w:t> </w:t>
      </w:r>
      <w:r>
        <w:rPr>
          <w:color w:val="231F20"/>
          <w:w w:val="105"/>
          <w:sz w:val="21"/>
        </w:rPr>
        <w:t>económico-administrativos: origen, críticas y nuevos rumbos” en: González, </w:t>
      </w:r>
      <w:r>
        <w:rPr>
          <w:color w:val="231F20"/>
          <w:spacing w:val="-11"/>
          <w:w w:val="105"/>
          <w:sz w:val="21"/>
        </w:rPr>
        <w:t>F. </w:t>
      </w:r>
      <w:r>
        <w:rPr>
          <w:color w:val="231F20"/>
          <w:w w:val="105"/>
          <w:sz w:val="21"/>
        </w:rPr>
        <w:t>y Aguado,</w:t>
      </w:r>
      <w:r>
        <w:rPr>
          <w:color w:val="231F20"/>
          <w:spacing w:val="-36"/>
          <w:w w:val="105"/>
          <w:sz w:val="21"/>
        </w:rPr>
        <w:t> </w:t>
      </w:r>
      <w:r>
        <w:rPr>
          <w:color w:val="231F20"/>
          <w:w w:val="105"/>
          <w:sz w:val="21"/>
        </w:rPr>
        <w:t>E. (2013)</w:t>
      </w:r>
      <w:r>
        <w:rPr>
          <w:color w:val="231F20"/>
          <w:spacing w:val="-22"/>
          <w:w w:val="105"/>
          <w:sz w:val="21"/>
        </w:rPr>
        <w:t> </w:t>
      </w:r>
      <w:r>
        <w:rPr>
          <w:i/>
          <w:color w:val="231F20"/>
          <w:w w:val="105"/>
          <w:sz w:val="21"/>
        </w:rPr>
        <w:t>Escalas</w:t>
      </w:r>
      <w:r>
        <w:rPr>
          <w:i/>
          <w:color w:val="231F20"/>
          <w:spacing w:val="-22"/>
          <w:w w:val="105"/>
          <w:sz w:val="21"/>
        </w:rPr>
        <w:t> </w:t>
      </w:r>
      <w:r>
        <w:rPr>
          <w:i/>
          <w:color w:val="231F20"/>
          <w:w w:val="105"/>
          <w:sz w:val="21"/>
        </w:rPr>
        <w:t>del</w:t>
      </w:r>
      <w:r>
        <w:rPr>
          <w:i/>
          <w:color w:val="231F20"/>
          <w:spacing w:val="-22"/>
          <w:w w:val="105"/>
          <w:sz w:val="21"/>
        </w:rPr>
        <w:t> </w:t>
      </w:r>
      <w:r>
        <w:rPr>
          <w:i/>
          <w:color w:val="231F20"/>
          <w:w w:val="105"/>
          <w:sz w:val="21"/>
        </w:rPr>
        <w:t>conocimiento.</w:t>
      </w:r>
      <w:r>
        <w:rPr>
          <w:i/>
          <w:color w:val="231F20"/>
          <w:spacing w:val="-26"/>
          <w:w w:val="105"/>
          <w:sz w:val="21"/>
        </w:rPr>
        <w:t> </w:t>
      </w:r>
      <w:r>
        <w:rPr>
          <w:i/>
          <w:color w:val="231F20"/>
          <w:w w:val="105"/>
          <w:sz w:val="21"/>
        </w:rPr>
        <w:t>Las</w:t>
      </w:r>
      <w:r>
        <w:rPr>
          <w:i/>
          <w:color w:val="231F20"/>
          <w:spacing w:val="-22"/>
          <w:w w:val="105"/>
          <w:sz w:val="21"/>
        </w:rPr>
        <w:t> </w:t>
      </w:r>
      <w:r>
        <w:rPr>
          <w:i/>
          <w:color w:val="231F20"/>
          <w:w w:val="105"/>
          <w:sz w:val="21"/>
        </w:rPr>
        <w:t>formas</w:t>
      </w:r>
      <w:r>
        <w:rPr>
          <w:i/>
          <w:color w:val="231F20"/>
          <w:spacing w:val="-22"/>
          <w:w w:val="105"/>
          <w:sz w:val="21"/>
        </w:rPr>
        <w:t> </w:t>
      </w:r>
      <w:r>
        <w:rPr>
          <w:i/>
          <w:color w:val="231F20"/>
          <w:w w:val="105"/>
          <w:sz w:val="21"/>
        </w:rPr>
        <w:t>de</w:t>
      </w:r>
      <w:r>
        <w:rPr>
          <w:i/>
          <w:color w:val="231F20"/>
          <w:spacing w:val="-22"/>
          <w:w w:val="105"/>
          <w:sz w:val="21"/>
        </w:rPr>
        <w:t> </w:t>
      </w:r>
      <w:r>
        <w:rPr>
          <w:i/>
          <w:color w:val="231F20"/>
          <w:w w:val="105"/>
          <w:sz w:val="21"/>
        </w:rPr>
        <w:t>construcción</w:t>
      </w:r>
      <w:r>
        <w:rPr>
          <w:i/>
          <w:color w:val="231F20"/>
          <w:spacing w:val="-22"/>
          <w:w w:val="105"/>
          <w:sz w:val="21"/>
        </w:rPr>
        <w:t> </w:t>
      </w:r>
      <w:r>
        <w:rPr>
          <w:i/>
          <w:color w:val="231F20"/>
          <w:w w:val="105"/>
          <w:sz w:val="21"/>
        </w:rPr>
        <w:t>del </w:t>
      </w:r>
      <w:r>
        <w:rPr>
          <w:i/>
          <w:color w:val="231F20"/>
          <w:w w:val="105"/>
          <w:sz w:val="21"/>
        </w:rPr>
        <w:t>objeto</w:t>
      </w:r>
      <w:r>
        <w:rPr>
          <w:i/>
          <w:color w:val="231F20"/>
          <w:spacing w:val="-28"/>
          <w:w w:val="105"/>
          <w:sz w:val="21"/>
        </w:rPr>
        <w:t> </w:t>
      </w:r>
      <w:r>
        <w:rPr>
          <w:i/>
          <w:color w:val="231F20"/>
          <w:w w:val="105"/>
          <w:sz w:val="21"/>
        </w:rPr>
        <w:t>en</w:t>
      </w:r>
      <w:r>
        <w:rPr>
          <w:i/>
          <w:color w:val="231F20"/>
          <w:spacing w:val="-28"/>
          <w:w w:val="105"/>
          <w:sz w:val="21"/>
        </w:rPr>
        <w:t> </w:t>
      </w:r>
      <w:r>
        <w:rPr>
          <w:i/>
          <w:color w:val="231F20"/>
          <w:w w:val="105"/>
          <w:sz w:val="21"/>
        </w:rPr>
        <w:t>las</w:t>
      </w:r>
      <w:r>
        <w:rPr>
          <w:i/>
          <w:color w:val="231F20"/>
          <w:spacing w:val="-28"/>
          <w:w w:val="105"/>
          <w:sz w:val="21"/>
        </w:rPr>
        <w:t> </w:t>
      </w:r>
      <w:r>
        <w:rPr>
          <w:i/>
          <w:color w:val="231F20"/>
          <w:w w:val="105"/>
          <w:sz w:val="21"/>
        </w:rPr>
        <w:t>disciplinas</w:t>
      </w:r>
      <w:r>
        <w:rPr>
          <w:i/>
          <w:color w:val="231F20"/>
          <w:spacing w:val="-28"/>
          <w:w w:val="105"/>
          <w:sz w:val="21"/>
        </w:rPr>
        <w:t> </w:t>
      </w:r>
      <w:r>
        <w:rPr>
          <w:i/>
          <w:color w:val="231F20"/>
          <w:w w:val="105"/>
          <w:sz w:val="21"/>
        </w:rPr>
        <w:t>sociales</w:t>
      </w:r>
      <w:r>
        <w:rPr>
          <w:color w:val="231F20"/>
          <w:w w:val="105"/>
          <w:sz w:val="21"/>
        </w:rPr>
        <w:t>.</w:t>
      </w:r>
      <w:r>
        <w:rPr>
          <w:color w:val="231F20"/>
          <w:spacing w:val="-32"/>
          <w:w w:val="105"/>
          <w:sz w:val="21"/>
        </w:rPr>
        <w:t> </w:t>
      </w:r>
      <w:r>
        <w:rPr>
          <w:color w:val="231F20"/>
          <w:w w:val="105"/>
          <w:sz w:val="21"/>
        </w:rPr>
        <w:t>México,</w:t>
      </w:r>
      <w:r>
        <w:rPr>
          <w:color w:val="231F20"/>
          <w:spacing w:val="-32"/>
          <w:w w:val="105"/>
          <w:sz w:val="21"/>
        </w:rPr>
        <w:t> </w:t>
      </w:r>
      <w:r>
        <w:rPr>
          <w:color w:val="231F20"/>
          <w:spacing w:val="-7"/>
          <w:w w:val="105"/>
          <w:sz w:val="21"/>
        </w:rPr>
        <w:t>D.F.,</w:t>
      </w:r>
      <w:r>
        <w:rPr>
          <w:color w:val="231F20"/>
          <w:spacing w:val="-32"/>
          <w:w w:val="105"/>
          <w:sz w:val="21"/>
        </w:rPr>
        <w:t> </w:t>
      </w:r>
      <w:r>
        <w:rPr>
          <w:color w:val="231F20"/>
          <w:w w:val="105"/>
          <w:sz w:val="21"/>
        </w:rPr>
        <w:t>México:</w:t>
      </w:r>
      <w:r>
        <w:rPr>
          <w:color w:val="231F20"/>
          <w:spacing w:val="-28"/>
          <w:w w:val="105"/>
          <w:sz w:val="21"/>
        </w:rPr>
        <w:t> </w:t>
      </w:r>
      <w:r>
        <w:rPr>
          <w:color w:val="231F20"/>
          <w:w w:val="105"/>
          <w:sz w:val="21"/>
        </w:rPr>
        <w:t>Ediciones Eón/Universidad</w:t>
      </w:r>
      <w:r>
        <w:rPr>
          <w:color w:val="231F20"/>
          <w:spacing w:val="-20"/>
          <w:w w:val="105"/>
          <w:sz w:val="21"/>
        </w:rPr>
        <w:t> </w:t>
      </w:r>
      <w:r>
        <w:rPr>
          <w:color w:val="231F20"/>
          <w:w w:val="105"/>
          <w:sz w:val="21"/>
        </w:rPr>
        <w:t>Autónoma</w:t>
      </w:r>
      <w:r>
        <w:rPr>
          <w:color w:val="231F20"/>
          <w:spacing w:val="-17"/>
          <w:w w:val="105"/>
          <w:sz w:val="21"/>
        </w:rPr>
        <w:t> </w:t>
      </w:r>
      <w:r>
        <w:rPr>
          <w:color w:val="231F20"/>
          <w:w w:val="105"/>
          <w:sz w:val="21"/>
        </w:rPr>
        <w:t>del</w:t>
      </w:r>
      <w:r>
        <w:rPr>
          <w:color w:val="231F20"/>
          <w:spacing w:val="-17"/>
          <w:w w:val="105"/>
          <w:sz w:val="21"/>
        </w:rPr>
        <w:t> </w:t>
      </w:r>
      <w:r>
        <w:rPr>
          <w:color w:val="231F20"/>
          <w:w w:val="105"/>
          <w:sz w:val="21"/>
        </w:rPr>
        <w:t>Estado</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México.</w:t>
      </w:r>
    </w:p>
    <w:p>
      <w:pPr>
        <w:pStyle w:val="BodyText"/>
        <w:spacing w:line="259" w:lineRule="auto"/>
        <w:ind w:left="840" w:right="115" w:hanging="737"/>
        <w:jc w:val="both"/>
      </w:pPr>
      <w:r>
        <w:rPr>
          <w:color w:val="231F20"/>
          <w:w w:val="105"/>
        </w:rPr>
        <w:t>Araneda,</w:t>
      </w:r>
      <w:r>
        <w:rPr>
          <w:color w:val="231F20"/>
          <w:spacing w:val="-27"/>
          <w:w w:val="105"/>
        </w:rPr>
        <w:t> </w:t>
      </w:r>
      <w:r>
        <w:rPr>
          <w:color w:val="231F20"/>
          <w:w w:val="105"/>
        </w:rPr>
        <w:t>H.</w:t>
      </w:r>
      <w:r>
        <w:rPr>
          <w:color w:val="231F20"/>
          <w:spacing w:val="-27"/>
          <w:w w:val="105"/>
        </w:rPr>
        <w:t> </w:t>
      </w:r>
      <w:r>
        <w:rPr>
          <w:color w:val="231F20"/>
          <w:w w:val="105"/>
        </w:rPr>
        <w:t>(1980)</w:t>
      </w:r>
      <w:r>
        <w:rPr>
          <w:color w:val="231F20"/>
          <w:spacing w:val="-22"/>
          <w:w w:val="105"/>
        </w:rPr>
        <w:t> </w:t>
      </w:r>
      <w:r>
        <w:rPr>
          <w:i/>
          <w:color w:val="231F20"/>
          <w:w w:val="105"/>
        </w:rPr>
        <w:t>Economía</w:t>
      </w:r>
      <w:r>
        <w:rPr>
          <w:i/>
          <w:color w:val="231F20"/>
          <w:spacing w:val="-22"/>
          <w:w w:val="105"/>
        </w:rPr>
        <w:t> </w:t>
      </w:r>
      <w:r>
        <w:rPr>
          <w:i/>
          <w:color w:val="231F20"/>
          <w:w w:val="105"/>
        </w:rPr>
        <w:t>política</w:t>
      </w:r>
      <w:r>
        <w:rPr>
          <w:color w:val="231F20"/>
          <w:w w:val="105"/>
        </w:rPr>
        <w:t>.</w:t>
      </w:r>
      <w:r>
        <w:rPr>
          <w:color w:val="231F20"/>
          <w:spacing w:val="-27"/>
          <w:w w:val="105"/>
        </w:rPr>
        <w:t> </w:t>
      </w:r>
      <w:r>
        <w:rPr>
          <w:color w:val="231F20"/>
          <w:w w:val="105"/>
        </w:rPr>
        <w:t>3ª</w:t>
      </w:r>
      <w:r>
        <w:rPr>
          <w:color w:val="231F20"/>
          <w:spacing w:val="-22"/>
          <w:w w:val="105"/>
        </w:rPr>
        <w:t> </w:t>
      </w:r>
      <w:r>
        <w:rPr>
          <w:color w:val="231F20"/>
          <w:w w:val="105"/>
        </w:rPr>
        <w:t>Ed.</w:t>
      </w:r>
      <w:r>
        <w:rPr>
          <w:color w:val="231F20"/>
          <w:spacing w:val="-27"/>
          <w:w w:val="105"/>
        </w:rPr>
        <w:t> </w:t>
      </w:r>
      <w:r>
        <w:rPr>
          <w:color w:val="231F20"/>
          <w:w w:val="105"/>
        </w:rPr>
        <w:t>Colección</w:t>
      </w:r>
      <w:r>
        <w:rPr>
          <w:color w:val="231F20"/>
          <w:spacing w:val="-22"/>
          <w:w w:val="105"/>
        </w:rPr>
        <w:t> </w:t>
      </w:r>
      <w:r>
        <w:rPr>
          <w:color w:val="231F20"/>
          <w:w w:val="105"/>
        </w:rPr>
        <w:t>Manuales</w:t>
      </w:r>
      <w:r>
        <w:rPr>
          <w:color w:val="231F20"/>
          <w:spacing w:val="-24"/>
          <w:w w:val="105"/>
        </w:rPr>
        <w:t> </w:t>
      </w:r>
      <w:r>
        <w:rPr>
          <w:color w:val="231F20"/>
          <w:w w:val="105"/>
        </w:rPr>
        <w:t>Jurídi- cos.</w:t>
      </w:r>
      <w:r>
        <w:rPr>
          <w:color w:val="231F20"/>
          <w:spacing w:val="23"/>
          <w:w w:val="105"/>
        </w:rPr>
        <w:t> </w:t>
      </w:r>
      <w:r>
        <w:rPr>
          <w:color w:val="231F20"/>
          <w:w w:val="105"/>
        </w:rPr>
        <w:t>Santiago</w:t>
      </w:r>
      <w:r>
        <w:rPr>
          <w:color w:val="231F20"/>
          <w:spacing w:val="-17"/>
          <w:w w:val="105"/>
        </w:rPr>
        <w:t> </w:t>
      </w:r>
      <w:r>
        <w:rPr>
          <w:color w:val="231F20"/>
          <w:w w:val="105"/>
        </w:rPr>
        <w:t>de</w:t>
      </w:r>
      <w:r>
        <w:rPr>
          <w:color w:val="231F20"/>
          <w:spacing w:val="-17"/>
          <w:w w:val="105"/>
        </w:rPr>
        <w:t> </w:t>
      </w:r>
      <w:r>
        <w:rPr>
          <w:color w:val="231F20"/>
          <w:w w:val="105"/>
        </w:rPr>
        <w:t>Chile:</w:t>
      </w:r>
      <w:r>
        <w:rPr>
          <w:color w:val="231F20"/>
          <w:spacing w:val="-17"/>
          <w:w w:val="105"/>
        </w:rPr>
        <w:t> </w:t>
      </w:r>
      <w:r>
        <w:rPr>
          <w:color w:val="231F20"/>
          <w:w w:val="105"/>
        </w:rPr>
        <w:t>Editorial</w:t>
      </w:r>
      <w:r>
        <w:rPr>
          <w:color w:val="231F20"/>
          <w:spacing w:val="-19"/>
          <w:w w:val="105"/>
        </w:rPr>
        <w:t> </w:t>
      </w:r>
      <w:r>
        <w:rPr>
          <w:color w:val="231F20"/>
          <w:w w:val="105"/>
        </w:rPr>
        <w:t>Jurídica</w:t>
      </w:r>
      <w:r>
        <w:rPr>
          <w:color w:val="231F20"/>
          <w:spacing w:val="-17"/>
          <w:w w:val="105"/>
        </w:rPr>
        <w:t> </w:t>
      </w:r>
      <w:r>
        <w:rPr>
          <w:color w:val="231F20"/>
          <w:w w:val="105"/>
        </w:rPr>
        <w:t>de</w:t>
      </w:r>
      <w:r>
        <w:rPr>
          <w:color w:val="231F20"/>
          <w:spacing w:val="-17"/>
          <w:w w:val="105"/>
        </w:rPr>
        <w:t> </w:t>
      </w:r>
      <w:r>
        <w:rPr>
          <w:color w:val="231F20"/>
          <w:w w:val="105"/>
        </w:rPr>
        <w:t>Chile.</w:t>
      </w:r>
    </w:p>
    <w:p>
      <w:pPr>
        <w:pStyle w:val="BodyText"/>
        <w:spacing w:line="241" w:lineRule="exact"/>
        <w:ind w:left="103" w:right="17"/>
      </w:pPr>
      <w:r>
        <w:rPr>
          <w:color w:val="231F20"/>
          <w:w w:val="105"/>
        </w:rPr>
        <w:t>Becker, G. (1962) “Investment in Human Capital: A theorical  Analysis”.</w:t>
      </w:r>
    </w:p>
    <w:p>
      <w:pPr>
        <w:spacing w:before="18"/>
        <w:ind w:left="840" w:right="17" w:firstLine="0"/>
        <w:jc w:val="left"/>
        <w:rPr>
          <w:sz w:val="21"/>
        </w:rPr>
      </w:pPr>
      <w:r>
        <w:rPr>
          <w:i/>
          <w:color w:val="231F20"/>
          <w:w w:val="105"/>
          <w:sz w:val="21"/>
        </w:rPr>
        <w:t>Journal of Political Economy </w:t>
      </w:r>
      <w:r>
        <w:rPr>
          <w:color w:val="231F20"/>
          <w:w w:val="105"/>
          <w:sz w:val="21"/>
        </w:rPr>
        <w:t>70 (5): 9-49.</w:t>
      </w:r>
    </w:p>
    <w:p>
      <w:pPr>
        <w:pStyle w:val="BodyText"/>
        <w:spacing w:line="259" w:lineRule="auto" w:before="18"/>
        <w:ind w:left="840" w:right="115" w:hanging="738"/>
        <w:jc w:val="both"/>
      </w:pPr>
      <w:r>
        <w:rPr>
          <w:color w:val="231F20"/>
          <w:w w:val="105"/>
        </w:rPr>
        <w:t>Bowles, S. y Gintis, H. (2004) “El problema de la teoría del capital hu- mano:</w:t>
      </w:r>
      <w:r>
        <w:rPr>
          <w:color w:val="231F20"/>
          <w:spacing w:val="-18"/>
          <w:w w:val="105"/>
        </w:rPr>
        <w:t> </w:t>
      </w:r>
      <w:r>
        <w:rPr>
          <w:color w:val="231F20"/>
          <w:w w:val="105"/>
        </w:rPr>
        <w:t>una</w:t>
      </w:r>
      <w:r>
        <w:rPr>
          <w:color w:val="231F20"/>
          <w:spacing w:val="-18"/>
          <w:w w:val="105"/>
        </w:rPr>
        <w:t> </w:t>
      </w:r>
      <w:r>
        <w:rPr>
          <w:color w:val="231F20"/>
          <w:w w:val="105"/>
        </w:rPr>
        <w:t>crítica</w:t>
      </w:r>
      <w:r>
        <w:rPr>
          <w:color w:val="231F20"/>
          <w:spacing w:val="-18"/>
          <w:w w:val="105"/>
        </w:rPr>
        <w:t> </w:t>
      </w:r>
      <w:r>
        <w:rPr>
          <w:color w:val="231F20"/>
          <w:w w:val="105"/>
        </w:rPr>
        <w:t>marxista”</w:t>
      </w:r>
      <w:r>
        <w:rPr>
          <w:color w:val="231F20"/>
          <w:spacing w:val="-18"/>
          <w:w w:val="105"/>
        </w:rPr>
        <w:t> </w:t>
      </w:r>
      <w:r>
        <w:rPr>
          <w:color w:val="231F20"/>
          <w:w w:val="105"/>
        </w:rPr>
        <w:t>en:</w:t>
      </w:r>
      <w:r>
        <w:rPr>
          <w:color w:val="231F20"/>
          <w:spacing w:val="-18"/>
          <w:w w:val="105"/>
        </w:rPr>
        <w:t> </w:t>
      </w:r>
      <w:r>
        <w:rPr>
          <w:i/>
          <w:color w:val="231F20"/>
          <w:w w:val="105"/>
        </w:rPr>
        <w:t>Revista</w:t>
      </w:r>
      <w:r>
        <w:rPr>
          <w:i/>
          <w:color w:val="231F20"/>
          <w:spacing w:val="-18"/>
          <w:w w:val="105"/>
        </w:rPr>
        <w:t> </w:t>
      </w:r>
      <w:r>
        <w:rPr>
          <w:i/>
          <w:color w:val="231F20"/>
          <w:w w:val="105"/>
        </w:rPr>
        <w:t>de</w:t>
      </w:r>
      <w:r>
        <w:rPr>
          <w:i/>
          <w:color w:val="231F20"/>
          <w:spacing w:val="-18"/>
          <w:w w:val="105"/>
        </w:rPr>
        <w:t> </w:t>
      </w:r>
      <w:r>
        <w:rPr>
          <w:i/>
          <w:color w:val="231F20"/>
          <w:w w:val="105"/>
        </w:rPr>
        <w:t>Economía</w:t>
      </w:r>
      <w:r>
        <w:rPr>
          <w:i/>
          <w:color w:val="231F20"/>
          <w:spacing w:val="-18"/>
          <w:w w:val="105"/>
        </w:rPr>
        <w:t> </w:t>
      </w:r>
      <w:r>
        <w:rPr>
          <w:i/>
          <w:color w:val="231F20"/>
          <w:w w:val="105"/>
        </w:rPr>
        <w:t>Crítica</w:t>
      </w:r>
      <w:r>
        <w:rPr>
          <w:i/>
          <w:color w:val="231F20"/>
          <w:spacing w:val="-18"/>
          <w:w w:val="105"/>
        </w:rPr>
        <w:t> </w:t>
      </w:r>
      <w:r>
        <w:rPr>
          <w:color w:val="231F20"/>
          <w:w w:val="105"/>
        </w:rPr>
        <w:t>(18) Segundo</w:t>
      </w:r>
      <w:r>
        <w:rPr>
          <w:color w:val="231F20"/>
          <w:spacing w:val="-35"/>
          <w:w w:val="105"/>
        </w:rPr>
        <w:t> </w:t>
      </w:r>
      <w:r>
        <w:rPr>
          <w:color w:val="231F20"/>
          <w:w w:val="105"/>
        </w:rPr>
        <w:t>semester</w:t>
      </w:r>
      <w:r>
        <w:rPr>
          <w:color w:val="231F20"/>
          <w:spacing w:val="-35"/>
          <w:w w:val="105"/>
        </w:rPr>
        <w:t> </w:t>
      </w:r>
      <w:r>
        <w:rPr>
          <w:color w:val="231F20"/>
          <w:w w:val="105"/>
        </w:rPr>
        <w:t>2014.</w:t>
      </w:r>
      <w:r>
        <w:rPr>
          <w:color w:val="231F20"/>
          <w:spacing w:val="-39"/>
          <w:w w:val="105"/>
        </w:rPr>
        <w:t> </w:t>
      </w:r>
      <w:r>
        <w:rPr>
          <w:color w:val="231F20"/>
          <w:w w:val="105"/>
        </w:rPr>
        <w:t>ISNN</w:t>
      </w:r>
      <w:r>
        <w:rPr>
          <w:color w:val="231F20"/>
          <w:spacing w:val="-35"/>
          <w:w w:val="105"/>
        </w:rPr>
        <w:t> </w:t>
      </w:r>
      <w:r>
        <w:rPr>
          <w:color w:val="231F20"/>
          <w:w w:val="105"/>
        </w:rPr>
        <w:t>2013-5254.</w:t>
      </w:r>
    </w:p>
    <w:p>
      <w:pPr>
        <w:spacing w:line="259" w:lineRule="auto" w:before="0"/>
        <w:ind w:left="840" w:right="115" w:hanging="738"/>
        <w:jc w:val="both"/>
        <w:rPr>
          <w:sz w:val="21"/>
        </w:rPr>
      </w:pPr>
      <w:r>
        <w:rPr>
          <w:color w:val="231F20"/>
          <w:w w:val="105"/>
          <w:sz w:val="21"/>
        </w:rPr>
        <w:t>Cain, G. (1975) “The challenge of dual and radical theories of the labor market to orthodox theory”. </w:t>
      </w:r>
      <w:r>
        <w:rPr>
          <w:i/>
          <w:color w:val="231F20"/>
          <w:w w:val="105"/>
          <w:sz w:val="21"/>
        </w:rPr>
        <w:t>The American Economic Review </w:t>
      </w:r>
      <w:r>
        <w:rPr>
          <w:color w:val="231F20"/>
          <w:w w:val="105"/>
          <w:sz w:val="21"/>
        </w:rPr>
        <w:t>65(2):16-22.</w:t>
      </w:r>
    </w:p>
    <w:p>
      <w:pPr>
        <w:pStyle w:val="BodyText"/>
        <w:spacing w:line="259" w:lineRule="auto"/>
        <w:ind w:left="840" w:right="109" w:hanging="738"/>
        <w:jc w:val="both"/>
      </w:pPr>
      <w:r>
        <w:rPr>
          <w:color w:val="231F20"/>
          <w:w w:val="105"/>
        </w:rPr>
        <w:t>Campos, G. (2003) “Implicaciones del Concepto de Empleabilidad en la Reforma Educativa”. </w:t>
      </w:r>
      <w:r>
        <w:rPr>
          <w:i/>
          <w:color w:val="231F20"/>
          <w:w w:val="105"/>
        </w:rPr>
        <w:t>Revista Iberoamericana de Educación</w:t>
      </w:r>
      <w:r>
        <w:rPr>
          <w:color w:val="231F20"/>
          <w:w w:val="105"/>
        </w:rPr>
        <w:t>. Madrid: OEI. Disponible en: www.campos_oei/revista/edu_tra2. </w:t>
      </w:r>
      <w:r>
        <w:rPr>
          <w:color w:val="231F20"/>
        </w:rPr>
        <w:t>htlm. ISSN: 1681-5653.</w:t>
      </w:r>
    </w:p>
    <w:p>
      <w:pPr>
        <w:spacing w:line="259" w:lineRule="auto" w:before="0"/>
        <w:ind w:left="840" w:right="115" w:hanging="738"/>
        <w:jc w:val="both"/>
        <w:rPr>
          <w:sz w:val="21"/>
        </w:rPr>
      </w:pPr>
      <w:r>
        <w:rPr>
          <w:color w:val="231F20"/>
          <w:sz w:val="21"/>
        </w:rPr>
        <w:t>Díaz, J. (1999) </w:t>
      </w:r>
      <w:r>
        <w:rPr>
          <w:i/>
          <w:color w:val="231F20"/>
          <w:sz w:val="21"/>
        </w:rPr>
        <w:t>Macroeconomía: primeros conceptos</w:t>
      </w:r>
      <w:r>
        <w:rPr>
          <w:color w:val="231F20"/>
          <w:sz w:val="21"/>
        </w:rPr>
        <w:t>. Madrid: Antoni Bosch.</w:t>
      </w:r>
    </w:p>
    <w:p>
      <w:pPr>
        <w:pStyle w:val="BodyText"/>
        <w:spacing w:line="259" w:lineRule="auto"/>
        <w:ind w:left="840" w:right="115" w:hanging="738"/>
        <w:jc w:val="both"/>
      </w:pPr>
      <w:r>
        <w:rPr>
          <w:color w:val="231F20"/>
          <w:w w:val="105"/>
        </w:rPr>
        <w:t>Dickens,</w:t>
      </w:r>
      <w:r>
        <w:rPr>
          <w:color w:val="231F20"/>
          <w:spacing w:val="-17"/>
          <w:w w:val="105"/>
        </w:rPr>
        <w:t> </w:t>
      </w:r>
      <w:r>
        <w:rPr>
          <w:color w:val="231F20"/>
          <w:spacing w:val="-7"/>
          <w:w w:val="105"/>
        </w:rPr>
        <w:t>W.</w:t>
      </w:r>
      <w:r>
        <w:rPr>
          <w:color w:val="231F20"/>
          <w:spacing w:val="-15"/>
          <w:w w:val="105"/>
        </w:rPr>
        <w:t> </w:t>
      </w:r>
      <w:r>
        <w:rPr>
          <w:color w:val="231F20"/>
          <w:w w:val="105"/>
        </w:rPr>
        <w:t>y</w:t>
      </w:r>
      <w:r>
        <w:rPr>
          <w:color w:val="231F20"/>
          <w:spacing w:val="-10"/>
          <w:w w:val="105"/>
        </w:rPr>
        <w:t> </w:t>
      </w:r>
      <w:r>
        <w:rPr>
          <w:color w:val="231F20"/>
          <w:w w:val="105"/>
        </w:rPr>
        <w:t>Lang,</w:t>
      </w:r>
      <w:r>
        <w:rPr>
          <w:color w:val="231F20"/>
          <w:spacing w:val="-15"/>
          <w:w w:val="105"/>
        </w:rPr>
        <w:t> </w:t>
      </w:r>
      <w:r>
        <w:rPr>
          <w:color w:val="231F20"/>
          <w:w w:val="105"/>
        </w:rPr>
        <w:t>K.</w:t>
      </w:r>
      <w:r>
        <w:rPr>
          <w:color w:val="231F20"/>
          <w:spacing w:val="-15"/>
          <w:w w:val="105"/>
        </w:rPr>
        <w:t> </w:t>
      </w:r>
      <w:r>
        <w:rPr>
          <w:color w:val="231F20"/>
          <w:w w:val="105"/>
        </w:rPr>
        <w:t>(1985)</w:t>
      </w:r>
      <w:r>
        <w:rPr>
          <w:color w:val="231F20"/>
          <w:spacing w:val="-10"/>
          <w:w w:val="105"/>
        </w:rPr>
        <w:t> </w:t>
      </w:r>
      <w:r>
        <w:rPr>
          <w:color w:val="231F20"/>
          <w:spacing w:val="-8"/>
          <w:w w:val="105"/>
        </w:rPr>
        <w:t>“A</w:t>
      </w:r>
      <w:r>
        <w:rPr>
          <w:color w:val="231F20"/>
          <w:spacing w:val="-13"/>
          <w:w w:val="105"/>
        </w:rPr>
        <w:t> </w:t>
      </w:r>
      <w:r>
        <w:rPr>
          <w:color w:val="231F20"/>
          <w:w w:val="105"/>
        </w:rPr>
        <w:t>test</w:t>
      </w:r>
      <w:r>
        <w:rPr>
          <w:color w:val="231F20"/>
          <w:spacing w:val="-10"/>
          <w:w w:val="105"/>
        </w:rPr>
        <w:t> </w:t>
      </w:r>
      <w:r>
        <w:rPr>
          <w:color w:val="231F20"/>
          <w:w w:val="105"/>
        </w:rPr>
        <w:t>of</w:t>
      </w:r>
      <w:r>
        <w:rPr>
          <w:color w:val="231F20"/>
          <w:spacing w:val="-6"/>
          <w:w w:val="105"/>
        </w:rPr>
        <w:t> </w:t>
      </w:r>
      <w:r>
        <w:rPr>
          <w:color w:val="231F20"/>
          <w:w w:val="105"/>
        </w:rPr>
        <w:t>dual</w:t>
      </w:r>
      <w:r>
        <w:rPr>
          <w:color w:val="231F20"/>
          <w:spacing w:val="-10"/>
          <w:w w:val="105"/>
        </w:rPr>
        <w:t> </w:t>
      </w:r>
      <w:r>
        <w:rPr>
          <w:color w:val="231F20"/>
          <w:w w:val="105"/>
        </w:rPr>
        <w:t>labor</w:t>
      </w:r>
      <w:r>
        <w:rPr>
          <w:color w:val="231F20"/>
          <w:spacing w:val="-10"/>
          <w:w w:val="105"/>
        </w:rPr>
        <w:t> </w:t>
      </w:r>
      <w:r>
        <w:rPr>
          <w:color w:val="231F20"/>
          <w:w w:val="105"/>
        </w:rPr>
        <w:t>market</w:t>
      </w:r>
      <w:r>
        <w:rPr>
          <w:color w:val="231F20"/>
          <w:spacing w:val="-10"/>
          <w:w w:val="105"/>
        </w:rPr>
        <w:t> </w:t>
      </w:r>
      <w:r>
        <w:rPr>
          <w:color w:val="231F20"/>
          <w:spacing w:val="-4"/>
          <w:w w:val="105"/>
        </w:rPr>
        <w:t>theory”.</w:t>
      </w:r>
      <w:r>
        <w:rPr>
          <w:color w:val="231F20"/>
          <w:spacing w:val="-15"/>
          <w:w w:val="105"/>
        </w:rPr>
        <w:t> </w:t>
      </w:r>
      <w:r>
        <w:rPr>
          <w:i/>
          <w:color w:val="231F20"/>
          <w:w w:val="105"/>
        </w:rPr>
        <w:t>NBER </w:t>
      </w:r>
      <w:r>
        <w:rPr>
          <w:i/>
          <w:color w:val="231F20"/>
          <w:w w:val="105"/>
        </w:rPr>
        <w:t>Working paper series. </w:t>
      </w:r>
      <w:r>
        <w:rPr>
          <w:color w:val="231F20"/>
          <w:w w:val="105"/>
        </w:rPr>
        <w:t>No. 1314 Cambridge: National Bureau</w:t>
      </w:r>
      <w:r>
        <w:rPr>
          <w:color w:val="231F20"/>
          <w:spacing w:val="-22"/>
          <w:w w:val="105"/>
        </w:rPr>
        <w:t> </w:t>
      </w:r>
      <w:r>
        <w:rPr>
          <w:color w:val="231F20"/>
          <w:w w:val="105"/>
        </w:rPr>
        <w:t>of </w:t>
      </w:r>
      <w:r>
        <w:rPr>
          <w:color w:val="231F20"/>
        </w:rPr>
        <w:t>Economic</w:t>
      </w:r>
      <w:r>
        <w:rPr>
          <w:color w:val="231F20"/>
          <w:spacing w:val="-15"/>
        </w:rPr>
        <w:t> </w:t>
      </w:r>
      <w:r>
        <w:rPr>
          <w:color w:val="231F20"/>
        </w:rPr>
        <w:t>Research.</w:t>
      </w:r>
    </w:p>
    <w:p>
      <w:pPr>
        <w:spacing w:line="259" w:lineRule="auto" w:before="0"/>
        <w:ind w:left="840" w:right="115" w:hanging="738"/>
        <w:jc w:val="both"/>
        <w:rPr>
          <w:sz w:val="21"/>
        </w:rPr>
      </w:pPr>
      <w:r>
        <w:rPr>
          <w:color w:val="231F20"/>
          <w:w w:val="105"/>
          <w:sz w:val="21"/>
        </w:rPr>
        <w:t>Doeringer, P. y Piore, M. (1971) </w:t>
      </w:r>
      <w:r>
        <w:rPr>
          <w:i/>
          <w:color w:val="231F20"/>
          <w:w w:val="105"/>
          <w:sz w:val="21"/>
        </w:rPr>
        <w:t>Internal labor markets and manpower </w:t>
      </w:r>
      <w:r>
        <w:rPr>
          <w:i/>
          <w:color w:val="231F20"/>
          <w:w w:val="105"/>
          <w:sz w:val="21"/>
        </w:rPr>
        <w:t>analysis. </w:t>
      </w:r>
      <w:r>
        <w:rPr>
          <w:color w:val="231F20"/>
          <w:w w:val="105"/>
          <w:sz w:val="21"/>
        </w:rPr>
        <w:t>New York: D.C. Heath and Company.</w:t>
      </w:r>
    </w:p>
    <w:p>
      <w:pPr>
        <w:spacing w:line="259" w:lineRule="auto" w:before="0"/>
        <w:ind w:left="840" w:right="115" w:hanging="738"/>
        <w:jc w:val="both"/>
        <w:rPr>
          <w:sz w:val="21"/>
        </w:rPr>
      </w:pPr>
      <w:r>
        <w:rPr>
          <w:color w:val="231F20"/>
          <w:w w:val="105"/>
          <w:sz w:val="21"/>
        </w:rPr>
        <w:t>Doeringer,</w:t>
      </w:r>
      <w:r>
        <w:rPr>
          <w:color w:val="231F20"/>
          <w:spacing w:val="-14"/>
          <w:w w:val="105"/>
          <w:sz w:val="21"/>
        </w:rPr>
        <w:t> </w:t>
      </w:r>
      <w:r>
        <w:rPr>
          <w:color w:val="231F20"/>
          <w:spacing w:val="-16"/>
          <w:w w:val="105"/>
          <w:sz w:val="21"/>
        </w:rPr>
        <w:t>P.</w:t>
      </w:r>
      <w:r>
        <w:rPr>
          <w:color w:val="231F20"/>
          <w:spacing w:val="-14"/>
          <w:w w:val="105"/>
          <w:sz w:val="21"/>
        </w:rPr>
        <w:t> </w:t>
      </w:r>
      <w:r>
        <w:rPr>
          <w:color w:val="231F20"/>
          <w:w w:val="105"/>
          <w:sz w:val="21"/>
        </w:rPr>
        <w:t>y</w:t>
      </w:r>
      <w:r>
        <w:rPr>
          <w:color w:val="231F20"/>
          <w:spacing w:val="-9"/>
          <w:w w:val="105"/>
          <w:sz w:val="21"/>
        </w:rPr>
        <w:t> </w:t>
      </w:r>
      <w:r>
        <w:rPr>
          <w:color w:val="231F20"/>
          <w:w w:val="105"/>
          <w:sz w:val="21"/>
        </w:rPr>
        <w:t>Piore,</w:t>
      </w:r>
      <w:r>
        <w:rPr>
          <w:color w:val="231F20"/>
          <w:spacing w:val="-14"/>
          <w:w w:val="105"/>
          <w:sz w:val="21"/>
        </w:rPr>
        <w:t> </w:t>
      </w:r>
      <w:r>
        <w:rPr>
          <w:color w:val="231F20"/>
          <w:w w:val="105"/>
          <w:sz w:val="21"/>
        </w:rPr>
        <w:t>M.</w:t>
      </w:r>
      <w:r>
        <w:rPr>
          <w:color w:val="231F20"/>
          <w:spacing w:val="-14"/>
          <w:w w:val="105"/>
          <w:sz w:val="21"/>
        </w:rPr>
        <w:t> </w:t>
      </w:r>
      <w:r>
        <w:rPr>
          <w:color w:val="231F20"/>
          <w:w w:val="105"/>
          <w:sz w:val="21"/>
        </w:rPr>
        <w:t>(1985).</w:t>
      </w:r>
      <w:r>
        <w:rPr>
          <w:color w:val="231F20"/>
          <w:spacing w:val="-14"/>
          <w:w w:val="105"/>
          <w:sz w:val="21"/>
        </w:rPr>
        <w:t> </w:t>
      </w:r>
      <w:r>
        <w:rPr>
          <w:i/>
          <w:color w:val="231F20"/>
          <w:w w:val="105"/>
          <w:sz w:val="21"/>
        </w:rPr>
        <w:t>Mercados</w:t>
      </w:r>
      <w:r>
        <w:rPr>
          <w:i/>
          <w:color w:val="231F20"/>
          <w:spacing w:val="-9"/>
          <w:w w:val="105"/>
          <w:sz w:val="21"/>
        </w:rPr>
        <w:t> </w:t>
      </w:r>
      <w:r>
        <w:rPr>
          <w:i/>
          <w:color w:val="231F20"/>
          <w:w w:val="105"/>
          <w:sz w:val="21"/>
        </w:rPr>
        <w:t>internos</w:t>
      </w:r>
      <w:r>
        <w:rPr>
          <w:i/>
          <w:color w:val="231F20"/>
          <w:spacing w:val="-9"/>
          <w:w w:val="105"/>
          <w:sz w:val="21"/>
        </w:rPr>
        <w:t> </w:t>
      </w:r>
      <w:r>
        <w:rPr>
          <w:i/>
          <w:color w:val="231F20"/>
          <w:w w:val="105"/>
          <w:sz w:val="21"/>
        </w:rPr>
        <w:t>de</w:t>
      </w:r>
      <w:r>
        <w:rPr>
          <w:i/>
          <w:color w:val="231F20"/>
          <w:spacing w:val="-9"/>
          <w:w w:val="105"/>
          <w:sz w:val="21"/>
        </w:rPr>
        <w:t> </w:t>
      </w:r>
      <w:r>
        <w:rPr>
          <w:i/>
          <w:color w:val="231F20"/>
          <w:w w:val="105"/>
          <w:sz w:val="21"/>
        </w:rPr>
        <w:t>trabajo</w:t>
      </w:r>
      <w:r>
        <w:rPr>
          <w:i/>
          <w:color w:val="231F20"/>
          <w:spacing w:val="-9"/>
          <w:w w:val="105"/>
          <w:sz w:val="21"/>
        </w:rPr>
        <w:t> </w:t>
      </w:r>
      <w:r>
        <w:rPr>
          <w:i/>
          <w:color w:val="231F20"/>
          <w:w w:val="105"/>
          <w:sz w:val="21"/>
        </w:rPr>
        <w:t>y</w:t>
      </w:r>
      <w:r>
        <w:rPr>
          <w:i/>
          <w:color w:val="231F20"/>
          <w:spacing w:val="-9"/>
          <w:w w:val="105"/>
          <w:sz w:val="21"/>
        </w:rPr>
        <w:t> </w:t>
      </w:r>
      <w:r>
        <w:rPr>
          <w:i/>
          <w:color w:val="231F20"/>
          <w:w w:val="105"/>
          <w:sz w:val="21"/>
        </w:rPr>
        <w:t>análisis </w:t>
      </w:r>
      <w:r>
        <w:rPr>
          <w:i/>
          <w:color w:val="231F20"/>
          <w:w w:val="105"/>
          <w:sz w:val="21"/>
        </w:rPr>
        <w:t>laboral</w:t>
      </w:r>
      <w:r>
        <w:rPr>
          <w:color w:val="231F20"/>
          <w:w w:val="105"/>
          <w:sz w:val="21"/>
        </w:rPr>
        <w:t>.</w:t>
      </w:r>
      <w:r>
        <w:rPr>
          <w:color w:val="231F20"/>
          <w:spacing w:val="-18"/>
          <w:w w:val="105"/>
          <w:sz w:val="21"/>
        </w:rPr>
        <w:t> </w:t>
      </w:r>
      <w:r>
        <w:rPr>
          <w:color w:val="231F20"/>
          <w:w w:val="105"/>
          <w:sz w:val="21"/>
        </w:rPr>
        <w:t>Madrid:</w:t>
      </w:r>
      <w:r>
        <w:rPr>
          <w:color w:val="231F20"/>
          <w:spacing w:val="-11"/>
          <w:w w:val="105"/>
          <w:sz w:val="21"/>
        </w:rPr>
        <w:t> </w:t>
      </w:r>
      <w:r>
        <w:rPr>
          <w:color w:val="231F20"/>
          <w:w w:val="105"/>
          <w:sz w:val="21"/>
        </w:rPr>
        <w:t>Ministerio</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trabajo</w:t>
      </w:r>
      <w:r>
        <w:rPr>
          <w:color w:val="231F20"/>
          <w:spacing w:val="-11"/>
          <w:w w:val="105"/>
          <w:sz w:val="21"/>
        </w:rPr>
        <w:t> </w:t>
      </w:r>
      <w:r>
        <w:rPr>
          <w:color w:val="231F20"/>
          <w:w w:val="105"/>
          <w:sz w:val="21"/>
        </w:rPr>
        <w:t>y</w:t>
      </w:r>
      <w:r>
        <w:rPr>
          <w:color w:val="231F20"/>
          <w:spacing w:val="-11"/>
          <w:w w:val="105"/>
          <w:sz w:val="21"/>
        </w:rPr>
        <w:t> </w:t>
      </w:r>
      <w:r>
        <w:rPr>
          <w:color w:val="231F20"/>
          <w:w w:val="105"/>
          <w:sz w:val="21"/>
        </w:rPr>
        <w:t>Seguridad</w:t>
      </w:r>
      <w:r>
        <w:rPr>
          <w:color w:val="231F20"/>
          <w:spacing w:val="-11"/>
          <w:w w:val="105"/>
          <w:sz w:val="21"/>
        </w:rPr>
        <w:t> </w:t>
      </w:r>
      <w:r>
        <w:rPr>
          <w:color w:val="231F20"/>
          <w:w w:val="105"/>
          <w:sz w:val="21"/>
        </w:rPr>
        <w:t>social.</w:t>
      </w:r>
    </w:p>
    <w:p>
      <w:pPr>
        <w:pStyle w:val="BodyText"/>
        <w:spacing w:line="259" w:lineRule="auto"/>
        <w:ind w:left="840" w:right="115" w:hanging="737"/>
        <w:jc w:val="both"/>
      </w:pPr>
      <w:r>
        <w:rPr>
          <w:color w:val="231F20"/>
        </w:rPr>
        <w:t>Dornbusch, R. y Fischer, S. (1985) </w:t>
      </w:r>
      <w:r>
        <w:rPr>
          <w:i/>
          <w:color w:val="231F20"/>
        </w:rPr>
        <w:t>Macroeconomía</w:t>
      </w:r>
      <w:r>
        <w:rPr>
          <w:color w:val="231F20"/>
        </w:rPr>
        <w:t>. 3ª Ed. Madrid: Mc- Graw Hill</w:t>
      </w:r>
    </w:p>
    <w:p>
      <w:pPr>
        <w:pStyle w:val="BodyText"/>
        <w:spacing w:line="259" w:lineRule="auto"/>
        <w:ind w:left="840" w:right="115" w:hanging="738"/>
        <w:jc w:val="both"/>
      </w:pPr>
      <w:r>
        <w:rPr>
          <w:color w:val="231F20"/>
          <w:w w:val="105"/>
        </w:rPr>
        <w:t>Dunlop,</w:t>
      </w:r>
      <w:r>
        <w:rPr>
          <w:color w:val="231F20"/>
          <w:spacing w:val="-36"/>
          <w:w w:val="105"/>
        </w:rPr>
        <w:t> </w:t>
      </w:r>
      <w:r>
        <w:rPr>
          <w:color w:val="231F20"/>
          <w:w w:val="105"/>
        </w:rPr>
        <w:t>J.</w:t>
      </w:r>
      <w:r>
        <w:rPr>
          <w:color w:val="231F20"/>
          <w:spacing w:val="-35"/>
          <w:w w:val="105"/>
        </w:rPr>
        <w:t> </w:t>
      </w:r>
      <w:r>
        <w:rPr>
          <w:color w:val="231F20"/>
          <w:w w:val="105"/>
        </w:rPr>
        <w:t>(1966)</w:t>
      </w:r>
      <w:r>
        <w:rPr>
          <w:color w:val="231F20"/>
          <w:spacing w:val="-30"/>
          <w:w w:val="105"/>
        </w:rPr>
        <w:t> </w:t>
      </w:r>
      <w:r>
        <w:rPr>
          <w:color w:val="231F20"/>
          <w:spacing w:val="-7"/>
          <w:w w:val="105"/>
        </w:rPr>
        <w:t>“Job</w:t>
      </w:r>
      <w:r>
        <w:rPr>
          <w:color w:val="231F20"/>
          <w:spacing w:val="-30"/>
          <w:w w:val="105"/>
        </w:rPr>
        <w:t> </w:t>
      </w:r>
      <w:r>
        <w:rPr>
          <w:color w:val="231F20"/>
          <w:w w:val="105"/>
        </w:rPr>
        <w:t>vacancy</w:t>
      </w:r>
      <w:r>
        <w:rPr>
          <w:color w:val="231F20"/>
          <w:spacing w:val="-30"/>
          <w:w w:val="105"/>
        </w:rPr>
        <w:t> </w:t>
      </w:r>
      <w:r>
        <w:rPr>
          <w:color w:val="231F20"/>
          <w:w w:val="105"/>
        </w:rPr>
        <w:t>measures</w:t>
      </w:r>
      <w:r>
        <w:rPr>
          <w:color w:val="231F20"/>
          <w:spacing w:val="-30"/>
          <w:w w:val="105"/>
        </w:rPr>
        <w:t> </w:t>
      </w:r>
      <w:r>
        <w:rPr>
          <w:color w:val="231F20"/>
          <w:w w:val="105"/>
        </w:rPr>
        <w:t>and</w:t>
      </w:r>
      <w:r>
        <w:rPr>
          <w:color w:val="231F20"/>
          <w:spacing w:val="-30"/>
          <w:w w:val="105"/>
        </w:rPr>
        <w:t> </w:t>
      </w:r>
      <w:r>
        <w:rPr>
          <w:color w:val="231F20"/>
          <w:w w:val="105"/>
        </w:rPr>
        <w:t>economic</w:t>
      </w:r>
      <w:r>
        <w:rPr>
          <w:color w:val="231F20"/>
          <w:spacing w:val="-30"/>
          <w:w w:val="105"/>
        </w:rPr>
        <w:t> </w:t>
      </w:r>
      <w:r>
        <w:rPr>
          <w:color w:val="231F20"/>
          <w:w w:val="105"/>
        </w:rPr>
        <w:t>analysis”</w:t>
      </w:r>
      <w:r>
        <w:rPr>
          <w:color w:val="231F20"/>
          <w:spacing w:val="-30"/>
          <w:w w:val="105"/>
        </w:rPr>
        <w:t> </w:t>
      </w:r>
      <w:r>
        <w:rPr>
          <w:color w:val="231F20"/>
          <w:w w:val="105"/>
        </w:rPr>
        <w:t>en:</w:t>
      </w:r>
      <w:r>
        <w:rPr>
          <w:color w:val="231F20"/>
          <w:spacing w:val="-34"/>
          <w:w w:val="105"/>
        </w:rPr>
        <w:t> </w:t>
      </w:r>
      <w:r>
        <w:rPr>
          <w:color w:val="231F20"/>
          <w:w w:val="105"/>
        </w:rPr>
        <w:t>The measurement</w:t>
      </w:r>
      <w:r>
        <w:rPr>
          <w:color w:val="231F20"/>
          <w:spacing w:val="-20"/>
          <w:w w:val="105"/>
        </w:rPr>
        <w:t> </w:t>
      </w:r>
      <w:r>
        <w:rPr>
          <w:color w:val="231F20"/>
          <w:w w:val="105"/>
        </w:rPr>
        <w:t>and</w:t>
      </w:r>
      <w:r>
        <w:rPr>
          <w:color w:val="231F20"/>
          <w:spacing w:val="-20"/>
          <w:w w:val="105"/>
        </w:rPr>
        <w:t> </w:t>
      </w:r>
      <w:r>
        <w:rPr>
          <w:color w:val="231F20"/>
          <w:w w:val="105"/>
        </w:rPr>
        <w:t>Interpretation</w:t>
      </w:r>
      <w:r>
        <w:rPr>
          <w:color w:val="231F20"/>
          <w:spacing w:val="-20"/>
          <w:w w:val="105"/>
        </w:rPr>
        <w:t> </w:t>
      </w:r>
      <w:r>
        <w:rPr>
          <w:color w:val="231F20"/>
          <w:w w:val="105"/>
        </w:rPr>
        <w:t>of</w:t>
      </w:r>
      <w:r>
        <w:rPr>
          <w:color w:val="231F20"/>
          <w:spacing w:val="-16"/>
          <w:w w:val="105"/>
        </w:rPr>
        <w:t> </w:t>
      </w:r>
      <w:r>
        <w:rPr>
          <w:color w:val="231F20"/>
          <w:w w:val="105"/>
        </w:rPr>
        <w:t>job</w:t>
      </w:r>
      <w:r>
        <w:rPr>
          <w:color w:val="231F20"/>
          <w:spacing w:val="-20"/>
          <w:w w:val="105"/>
        </w:rPr>
        <w:t> </w:t>
      </w:r>
      <w:r>
        <w:rPr>
          <w:color w:val="231F20"/>
          <w:w w:val="105"/>
        </w:rPr>
        <w:t>vacancies.</w:t>
      </w:r>
      <w:r>
        <w:rPr>
          <w:color w:val="231F20"/>
          <w:spacing w:val="-25"/>
          <w:w w:val="105"/>
        </w:rPr>
        <w:t> </w:t>
      </w:r>
      <w:r>
        <w:rPr>
          <w:color w:val="231F20"/>
          <w:w w:val="105"/>
        </w:rPr>
        <w:t>(1966)</w:t>
      </w:r>
      <w:r>
        <w:rPr>
          <w:color w:val="231F20"/>
          <w:spacing w:val="-20"/>
          <w:w w:val="105"/>
        </w:rPr>
        <w:t> </w:t>
      </w:r>
      <w:r>
        <w:rPr>
          <w:i/>
          <w:color w:val="231F20"/>
          <w:w w:val="105"/>
        </w:rPr>
        <w:t>Colum- </w:t>
      </w:r>
      <w:r>
        <w:rPr>
          <w:i/>
          <w:color w:val="231F20"/>
        </w:rPr>
        <w:t>bia University</w:t>
      </w:r>
      <w:r>
        <w:rPr>
          <w:i/>
          <w:color w:val="231F20"/>
          <w:spacing w:val="-28"/>
        </w:rPr>
        <w:t> </w:t>
      </w:r>
      <w:r>
        <w:rPr>
          <w:i/>
          <w:color w:val="231F20"/>
          <w:spacing w:val="-3"/>
        </w:rPr>
        <w:t>Press</w:t>
      </w:r>
      <w:r>
        <w:rPr>
          <w:color w:val="231F20"/>
          <w:spacing w:val="-3"/>
        </w:rPr>
        <w:t>.</w:t>
      </w:r>
    </w:p>
    <w:p>
      <w:pPr>
        <w:spacing w:line="259" w:lineRule="auto" w:before="0"/>
        <w:ind w:left="840" w:right="115" w:hanging="737"/>
        <w:jc w:val="both"/>
        <w:rPr>
          <w:sz w:val="21"/>
        </w:rPr>
      </w:pPr>
      <w:r>
        <w:rPr>
          <w:color w:val="231F20"/>
          <w:sz w:val="21"/>
        </w:rPr>
        <w:t>Etxezarreta M. (Ed.) (2004) </w:t>
      </w:r>
      <w:r>
        <w:rPr>
          <w:i/>
          <w:color w:val="231F20"/>
          <w:sz w:val="21"/>
        </w:rPr>
        <w:t>Crítica a la Economía Ortodoxa: Seminario de </w:t>
      </w:r>
      <w:r>
        <w:rPr>
          <w:i/>
          <w:color w:val="231F20"/>
          <w:sz w:val="21"/>
        </w:rPr>
        <w:t>Economía Crítica TAIFA</w:t>
      </w:r>
      <w:r>
        <w:rPr>
          <w:color w:val="231F20"/>
          <w:sz w:val="21"/>
        </w:rPr>
        <w:t>, España, Universidad Autónoma de Bar- celona. ISBN: 84-490-2384-X.</w:t>
      </w:r>
    </w:p>
    <w:p>
      <w:pPr>
        <w:pStyle w:val="BodyText"/>
        <w:rPr>
          <w:sz w:val="20"/>
        </w:rPr>
      </w:pPr>
    </w:p>
    <w:p>
      <w:pPr>
        <w:pStyle w:val="BodyText"/>
        <w:rPr>
          <w:sz w:val="20"/>
        </w:rPr>
      </w:pPr>
    </w:p>
    <w:p>
      <w:pPr>
        <w:pStyle w:val="BodyText"/>
        <w:rPr>
          <w:sz w:val="20"/>
        </w:rPr>
      </w:pPr>
    </w:p>
    <w:p>
      <w:pPr>
        <w:pStyle w:val="BodyText"/>
        <w:spacing w:before="1"/>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1288"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180</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54"/>
        </w:numPr>
        <w:tabs>
          <w:tab w:pos="2034" w:val="left" w:leader="none"/>
          <w:tab w:pos="6971" w:val="right" w:leader="none"/>
        </w:tabs>
        <w:spacing w:line="240" w:lineRule="auto" w:before="52" w:after="0"/>
        <w:ind w:left="883" w:right="0" w:firstLine="932"/>
        <w:jc w:val="left"/>
        <w:rPr>
          <w:rFonts w:ascii="Lucida Sans Unicode" w:hAnsi="Lucida Sans Unicode"/>
          <w:color w:val="6D6E71"/>
          <w:sz w:val="14"/>
        </w:rPr>
      </w:pPr>
      <w:r>
        <w:rPr/>
        <w:pict>
          <v:line style="position:absolute;mso-position-horizontal-relative:page;mso-position-vertical-relative:paragraph;z-index:-241264" from="384.061005pt,-25.30427pt" to="384.061005pt,9.561580pt" stroked="true" strokeweight=".3pt" strokecolor="#231f20">
            <w10:wrap type="none"/>
          </v:line>
        </w:pict>
      </w:r>
      <w:r>
        <w:rPr>
          <w:rFonts w:ascii="Lucida Sans Unicode" w:hAnsi="Lucida Sans Unicode"/>
          <w:color w:val="6D6E71"/>
          <w:w w:val="105"/>
          <w:sz w:val="14"/>
        </w:rPr>
        <w:t>Mercado</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05"/>
          <w:sz w:val="14"/>
        </w:rPr>
        <w:t>Trabajo.</w:t>
      </w:r>
      <w:r>
        <w:rPr>
          <w:rFonts w:ascii="Lucida Sans Unicode" w:hAnsi="Lucida Sans Unicode"/>
          <w:color w:val="6D6E71"/>
          <w:spacing w:val="-16"/>
          <w:w w:val="105"/>
          <w:sz w:val="14"/>
        </w:rPr>
        <w:t> </w:t>
      </w:r>
      <w:r>
        <w:rPr>
          <w:rFonts w:ascii="Lucida Sans Unicode" w:hAnsi="Lucida Sans Unicode"/>
          <w:color w:val="6D6E71"/>
          <w:w w:val="105"/>
          <w:sz w:val="14"/>
        </w:rPr>
        <w:t>Teoría</w:t>
      </w:r>
      <w:r>
        <w:rPr>
          <w:rFonts w:ascii="Lucida Sans Unicode" w:hAnsi="Lucida Sans Unicode"/>
          <w:color w:val="6D6E71"/>
          <w:spacing w:val="-16"/>
          <w:w w:val="105"/>
          <w:sz w:val="14"/>
        </w:rPr>
        <w:t> </w:t>
      </w:r>
      <w:r>
        <w:rPr>
          <w:rFonts w:ascii="Lucida Sans Unicode" w:hAnsi="Lucida Sans Unicode"/>
          <w:color w:val="6D6E71"/>
          <w:w w:val="105"/>
          <w:sz w:val="14"/>
        </w:rPr>
        <w:t>NeoclásIca</w:t>
      </w:r>
      <w:r>
        <w:rPr>
          <w:rFonts w:ascii="Lucida Sans Unicode" w:hAnsi="Lucida Sans Unicode"/>
          <w:color w:val="6D6E71"/>
          <w:spacing w:val="-16"/>
          <w:w w:val="105"/>
          <w:sz w:val="14"/>
        </w:rPr>
        <w:t> </w:t>
      </w:r>
      <w:r>
        <w:rPr>
          <w:rFonts w:ascii="Lucida Sans Unicode" w:hAnsi="Lucida Sans Unicode"/>
          <w:color w:val="6D6E71"/>
          <w:w w:val="105"/>
          <w:sz w:val="14"/>
        </w:rPr>
        <w:t>y</w:t>
      </w:r>
      <w:r>
        <w:rPr>
          <w:rFonts w:ascii="Lucida Sans Unicode" w:hAnsi="Lucida Sans Unicode"/>
          <w:color w:val="6D6E71"/>
          <w:spacing w:val="-16"/>
          <w:w w:val="105"/>
          <w:sz w:val="14"/>
        </w:rPr>
        <w:t> </w:t>
      </w:r>
      <w:r>
        <w:rPr>
          <w:rFonts w:ascii="Lucida Sans Unicode" w:hAnsi="Lucida Sans Unicode"/>
          <w:color w:val="6D6E71"/>
          <w:w w:val="105"/>
          <w:sz w:val="14"/>
        </w:rPr>
        <w:t>de</w:t>
      </w:r>
      <w:r>
        <w:rPr>
          <w:rFonts w:ascii="Lucida Sans Unicode" w:hAnsi="Lucida Sans Unicode"/>
          <w:color w:val="6D6E71"/>
          <w:spacing w:val="-16"/>
          <w:w w:val="105"/>
          <w:sz w:val="14"/>
        </w:rPr>
        <w:t> </w:t>
      </w:r>
      <w:r>
        <w:rPr>
          <w:rFonts w:ascii="Lucida Sans Unicode" w:hAnsi="Lucida Sans Unicode"/>
          <w:color w:val="6D6E71"/>
          <w:w w:val="115"/>
          <w:sz w:val="14"/>
        </w:rPr>
        <w:t>la</w:t>
      </w:r>
      <w:r>
        <w:rPr>
          <w:rFonts w:ascii="Lucida Sans Unicode" w:hAnsi="Lucida Sans Unicode"/>
          <w:color w:val="6D6E71"/>
          <w:spacing w:val="-20"/>
          <w:w w:val="115"/>
          <w:sz w:val="14"/>
        </w:rPr>
        <w:t> </w:t>
      </w:r>
      <w:r>
        <w:rPr>
          <w:rFonts w:ascii="Lucida Sans Unicode" w:hAnsi="Lucida Sans Unicode"/>
          <w:color w:val="6D6E71"/>
          <w:w w:val="105"/>
          <w:sz w:val="14"/>
        </w:rPr>
        <w:t>segMeNTacIóN</w:t>
      </w:r>
      <w:r>
        <w:rPr>
          <w:color w:val="414042"/>
          <w:w w:val="105"/>
          <w:position w:val="-3"/>
          <w:sz w:val="20"/>
        </w:rPr>
        <w:tab/>
        <w:t>181</w:t>
      </w:r>
    </w:p>
    <w:p>
      <w:pPr>
        <w:pStyle w:val="BodyText"/>
        <w:rPr>
          <w:sz w:val="20"/>
        </w:rPr>
      </w:pPr>
    </w:p>
    <w:p>
      <w:pPr>
        <w:pStyle w:val="BodyText"/>
        <w:rPr>
          <w:sz w:val="20"/>
        </w:rPr>
      </w:pPr>
    </w:p>
    <w:p>
      <w:pPr>
        <w:pStyle w:val="BodyText"/>
        <w:spacing w:line="259" w:lineRule="auto" w:before="176"/>
        <w:ind w:left="854" w:right="121" w:hanging="738"/>
        <w:jc w:val="both"/>
      </w:pPr>
      <w:r>
        <w:rPr>
          <w:color w:val="231F20"/>
        </w:rPr>
        <w:t>Fernández-Huerga, E. (2010) “La teoría de la segmentación del mercado de trabajo: enfoques, situación actual y perspectivas de </w:t>
      </w:r>
      <w:r>
        <w:rPr>
          <w:color w:val="231F20"/>
          <w:spacing w:val="-4"/>
        </w:rPr>
        <w:t>futuro”. </w:t>
      </w:r>
      <w:r>
        <w:rPr>
          <w:i/>
          <w:color w:val="231F20"/>
        </w:rPr>
        <w:t>In- </w:t>
      </w:r>
      <w:r>
        <w:rPr>
          <w:i/>
          <w:color w:val="231F20"/>
        </w:rPr>
        <w:t>vestigación Económica. </w:t>
      </w:r>
      <w:r>
        <w:rPr>
          <w:color w:val="231F20"/>
        </w:rPr>
        <w:t>(69): 273 Jul-Sep 2010. ISSN: 01851667.</w:t>
      </w:r>
    </w:p>
    <w:p>
      <w:pPr>
        <w:spacing w:line="259" w:lineRule="auto" w:before="0"/>
        <w:ind w:left="854" w:right="121" w:hanging="738"/>
        <w:jc w:val="both"/>
        <w:rPr>
          <w:sz w:val="21"/>
        </w:rPr>
      </w:pPr>
      <w:r>
        <w:rPr>
          <w:color w:val="231F20"/>
          <w:spacing w:val="-4"/>
          <w:w w:val="105"/>
          <w:sz w:val="21"/>
        </w:rPr>
        <w:t>Kerr,</w:t>
      </w:r>
      <w:r>
        <w:rPr>
          <w:color w:val="231F20"/>
          <w:spacing w:val="-30"/>
          <w:w w:val="105"/>
          <w:sz w:val="21"/>
        </w:rPr>
        <w:t> </w:t>
      </w:r>
      <w:r>
        <w:rPr>
          <w:color w:val="231F20"/>
          <w:w w:val="105"/>
          <w:sz w:val="21"/>
        </w:rPr>
        <w:t>C.</w:t>
      </w:r>
      <w:r>
        <w:rPr>
          <w:color w:val="231F20"/>
          <w:spacing w:val="-30"/>
          <w:w w:val="105"/>
          <w:sz w:val="21"/>
        </w:rPr>
        <w:t> </w:t>
      </w:r>
      <w:r>
        <w:rPr>
          <w:color w:val="231F20"/>
          <w:w w:val="105"/>
          <w:sz w:val="21"/>
        </w:rPr>
        <w:t>(1954)</w:t>
      </w:r>
      <w:r>
        <w:rPr>
          <w:color w:val="231F20"/>
          <w:spacing w:val="-24"/>
          <w:w w:val="105"/>
          <w:sz w:val="21"/>
        </w:rPr>
        <w:t> </w:t>
      </w:r>
      <w:r>
        <w:rPr>
          <w:color w:val="231F20"/>
          <w:w w:val="105"/>
          <w:sz w:val="21"/>
        </w:rPr>
        <w:t>“Industrial</w:t>
      </w:r>
      <w:r>
        <w:rPr>
          <w:color w:val="231F20"/>
          <w:spacing w:val="-24"/>
          <w:w w:val="105"/>
          <w:sz w:val="21"/>
        </w:rPr>
        <w:t> </w:t>
      </w:r>
      <w:r>
        <w:rPr>
          <w:color w:val="231F20"/>
          <w:w w:val="105"/>
          <w:sz w:val="21"/>
        </w:rPr>
        <w:t>conflict</w:t>
      </w:r>
      <w:r>
        <w:rPr>
          <w:color w:val="231F20"/>
          <w:spacing w:val="-24"/>
          <w:w w:val="105"/>
          <w:sz w:val="21"/>
        </w:rPr>
        <w:t> </w:t>
      </w:r>
      <w:r>
        <w:rPr>
          <w:color w:val="231F20"/>
          <w:w w:val="105"/>
          <w:sz w:val="21"/>
        </w:rPr>
        <w:t>and</w:t>
      </w:r>
      <w:r>
        <w:rPr>
          <w:color w:val="231F20"/>
          <w:spacing w:val="-24"/>
          <w:w w:val="105"/>
          <w:sz w:val="21"/>
        </w:rPr>
        <w:t> </w:t>
      </w:r>
      <w:r>
        <w:rPr>
          <w:color w:val="231F20"/>
          <w:w w:val="105"/>
          <w:sz w:val="21"/>
        </w:rPr>
        <w:t>its</w:t>
      </w:r>
      <w:r>
        <w:rPr>
          <w:color w:val="231F20"/>
          <w:spacing w:val="-24"/>
          <w:w w:val="105"/>
          <w:sz w:val="21"/>
        </w:rPr>
        <w:t> </w:t>
      </w:r>
      <w:r>
        <w:rPr>
          <w:color w:val="231F20"/>
          <w:w w:val="105"/>
          <w:sz w:val="21"/>
        </w:rPr>
        <w:t>mediation”</w:t>
      </w:r>
      <w:r>
        <w:rPr>
          <w:color w:val="231F20"/>
          <w:spacing w:val="-24"/>
          <w:w w:val="105"/>
          <w:sz w:val="21"/>
        </w:rPr>
        <w:t> </w:t>
      </w:r>
      <w:r>
        <w:rPr>
          <w:color w:val="231F20"/>
          <w:w w:val="105"/>
          <w:sz w:val="21"/>
        </w:rPr>
        <w:t>en:</w:t>
      </w:r>
      <w:r>
        <w:rPr>
          <w:color w:val="231F20"/>
          <w:spacing w:val="-24"/>
          <w:w w:val="105"/>
          <w:sz w:val="21"/>
        </w:rPr>
        <w:t> </w:t>
      </w:r>
      <w:r>
        <w:rPr>
          <w:i/>
          <w:color w:val="231F20"/>
          <w:w w:val="105"/>
          <w:sz w:val="21"/>
        </w:rPr>
        <w:t>American</w:t>
      </w:r>
      <w:r>
        <w:rPr>
          <w:i/>
          <w:color w:val="231F20"/>
          <w:spacing w:val="-26"/>
          <w:w w:val="105"/>
          <w:sz w:val="21"/>
        </w:rPr>
        <w:t> </w:t>
      </w:r>
      <w:r>
        <w:rPr>
          <w:i/>
          <w:color w:val="231F20"/>
          <w:w w:val="105"/>
          <w:sz w:val="21"/>
        </w:rPr>
        <w:t>Journal </w:t>
      </w:r>
      <w:r>
        <w:rPr>
          <w:i/>
          <w:color w:val="231F20"/>
          <w:w w:val="105"/>
          <w:sz w:val="21"/>
        </w:rPr>
        <w:t>of</w:t>
      </w:r>
      <w:r>
        <w:rPr>
          <w:i/>
          <w:color w:val="231F20"/>
          <w:spacing w:val="-19"/>
          <w:w w:val="105"/>
          <w:sz w:val="21"/>
        </w:rPr>
        <w:t> </w:t>
      </w:r>
      <w:r>
        <w:rPr>
          <w:i/>
          <w:color w:val="231F20"/>
          <w:w w:val="105"/>
          <w:sz w:val="21"/>
        </w:rPr>
        <w:t>Sociology</w:t>
      </w:r>
      <w:r>
        <w:rPr>
          <w:i/>
          <w:color w:val="231F20"/>
          <w:spacing w:val="-23"/>
          <w:w w:val="105"/>
          <w:sz w:val="21"/>
        </w:rPr>
        <w:t> </w:t>
      </w:r>
      <w:r>
        <w:rPr>
          <w:color w:val="231F20"/>
          <w:w w:val="105"/>
          <w:sz w:val="21"/>
        </w:rPr>
        <w:t>60</w:t>
      </w:r>
      <w:r>
        <w:rPr>
          <w:color w:val="231F20"/>
          <w:spacing w:val="-23"/>
          <w:w w:val="105"/>
          <w:sz w:val="21"/>
        </w:rPr>
        <w:t> </w:t>
      </w:r>
      <w:r>
        <w:rPr>
          <w:color w:val="231F20"/>
          <w:w w:val="105"/>
          <w:sz w:val="21"/>
        </w:rPr>
        <w:t>(3):</w:t>
      </w:r>
      <w:r>
        <w:rPr>
          <w:color w:val="231F20"/>
          <w:spacing w:val="-23"/>
          <w:w w:val="105"/>
          <w:sz w:val="21"/>
        </w:rPr>
        <w:t> </w:t>
      </w:r>
      <w:r>
        <w:rPr>
          <w:color w:val="231F20"/>
          <w:w w:val="105"/>
          <w:sz w:val="21"/>
        </w:rPr>
        <w:t>230-245.</w:t>
      </w:r>
    </w:p>
    <w:p>
      <w:pPr>
        <w:pStyle w:val="BodyText"/>
        <w:spacing w:line="259" w:lineRule="auto"/>
        <w:ind w:left="854" w:right="111" w:hanging="738"/>
        <w:jc w:val="both"/>
      </w:pPr>
      <w:r>
        <w:rPr>
          <w:color w:val="231F20"/>
          <w:spacing w:val="-3"/>
        </w:rPr>
        <w:t>Liker,</w:t>
      </w:r>
      <w:r>
        <w:rPr>
          <w:color w:val="231F20"/>
          <w:spacing w:val="-22"/>
        </w:rPr>
        <w:t> </w:t>
      </w:r>
      <w:r>
        <w:rPr>
          <w:color w:val="231F20"/>
        </w:rPr>
        <w:t>J.</w:t>
      </w:r>
      <w:r>
        <w:rPr>
          <w:color w:val="231F20"/>
          <w:spacing w:val="-18"/>
        </w:rPr>
        <w:t> </w:t>
      </w:r>
      <w:r>
        <w:rPr>
          <w:color w:val="231F20"/>
        </w:rPr>
        <w:t>(2010)</w:t>
      </w:r>
      <w:r>
        <w:rPr>
          <w:color w:val="231F20"/>
          <w:spacing w:val="-12"/>
        </w:rPr>
        <w:t> </w:t>
      </w:r>
      <w:r>
        <w:rPr>
          <w:i/>
          <w:color w:val="231F20"/>
          <w:spacing w:val="-5"/>
        </w:rPr>
        <w:t>Toyota’s</w:t>
      </w:r>
      <w:r>
        <w:rPr>
          <w:i/>
          <w:color w:val="231F20"/>
          <w:spacing w:val="-12"/>
        </w:rPr>
        <w:t> </w:t>
      </w:r>
      <w:r>
        <w:rPr>
          <w:i/>
          <w:color w:val="231F20"/>
        </w:rPr>
        <w:t>lost</w:t>
      </w:r>
      <w:r>
        <w:rPr>
          <w:i/>
          <w:color w:val="231F20"/>
          <w:spacing w:val="-12"/>
        </w:rPr>
        <w:t> </w:t>
      </w:r>
      <w:r>
        <w:rPr>
          <w:i/>
          <w:color w:val="231F20"/>
        </w:rPr>
        <w:t>its</w:t>
      </w:r>
      <w:r>
        <w:rPr>
          <w:i/>
          <w:color w:val="231F20"/>
          <w:spacing w:val="-12"/>
        </w:rPr>
        <w:t> </w:t>
      </w:r>
      <w:r>
        <w:rPr>
          <w:i/>
          <w:color w:val="231F20"/>
        </w:rPr>
        <w:t>quality</w:t>
      </w:r>
      <w:r>
        <w:rPr>
          <w:i/>
          <w:color w:val="231F20"/>
          <w:spacing w:val="-12"/>
        </w:rPr>
        <w:t> </w:t>
      </w:r>
      <w:r>
        <w:rPr>
          <w:i/>
          <w:color w:val="231F20"/>
        </w:rPr>
        <w:t>edge?</w:t>
      </w:r>
      <w:r>
        <w:rPr>
          <w:i/>
          <w:color w:val="231F20"/>
          <w:spacing w:val="-12"/>
        </w:rPr>
        <w:t> </w:t>
      </w:r>
      <w:r>
        <w:rPr>
          <w:i/>
          <w:color w:val="231F20"/>
        </w:rPr>
        <w:t>Not</w:t>
      </w:r>
      <w:r>
        <w:rPr>
          <w:i/>
          <w:color w:val="231F20"/>
          <w:spacing w:val="-12"/>
        </w:rPr>
        <w:t> </w:t>
      </w:r>
      <w:r>
        <w:rPr>
          <w:i/>
          <w:color w:val="231F20"/>
        </w:rPr>
        <w:t>so</w:t>
      </w:r>
      <w:r>
        <w:rPr>
          <w:i/>
          <w:color w:val="231F20"/>
          <w:spacing w:val="-12"/>
        </w:rPr>
        <w:t> </w:t>
      </w:r>
      <w:r>
        <w:rPr>
          <w:i/>
          <w:color w:val="231F20"/>
        </w:rPr>
        <w:t>fast.</w:t>
      </w:r>
      <w:r>
        <w:rPr>
          <w:i/>
          <w:color w:val="231F20"/>
          <w:spacing w:val="-12"/>
        </w:rPr>
        <w:t> </w:t>
      </w:r>
      <w:r>
        <w:rPr>
          <w:color w:val="231F20"/>
        </w:rPr>
        <w:t>Businessweek.</w:t>
      </w:r>
      <w:r>
        <w:rPr>
          <w:color w:val="231F20"/>
          <w:spacing w:val="-18"/>
        </w:rPr>
        <w:t> </w:t>
      </w:r>
      <w:r>
        <w:rPr>
          <w:color w:val="231F20"/>
        </w:rPr>
        <w:t>Di- sponible en: </w:t>
      </w:r>
      <w:hyperlink r:id="rId89">
        <w:r>
          <w:rPr>
            <w:color w:val="231F20"/>
          </w:rPr>
          <w:t>http://it.kaizen.com/fileadmin/DATA/kaizen_it/Doc-</w:t>
        </w:r>
      </w:hyperlink>
      <w:r>
        <w:rPr>
          <w:color w:val="231F20"/>
        </w:rPr>
        <w:t> </w:t>
      </w:r>
      <w:r>
        <w:rPr>
          <w:color w:val="231F20"/>
          <w:spacing w:val="6"/>
        </w:rPr>
        <w:t>uments/Publications/Business%20Week%20Toyota%27s%20 </w:t>
      </w:r>
      <w:r>
        <w:rPr>
          <w:color w:val="231F20"/>
        </w:rPr>
        <w:t>Lost%20Its%20Quality%20Edge.pdf</w:t>
      </w:r>
    </w:p>
    <w:p>
      <w:pPr>
        <w:pStyle w:val="BodyText"/>
        <w:spacing w:line="241" w:lineRule="exact"/>
        <w:ind w:left="117"/>
      </w:pPr>
      <w:r>
        <w:rPr>
          <w:color w:val="231F20"/>
          <w:w w:val="105"/>
        </w:rPr>
        <w:t>Marsden,</w:t>
      </w:r>
      <w:r>
        <w:rPr>
          <w:color w:val="231F20"/>
          <w:spacing w:val="-42"/>
          <w:w w:val="105"/>
        </w:rPr>
        <w:t> </w:t>
      </w:r>
      <w:r>
        <w:rPr>
          <w:color w:val="231F20"/>
          <w:spacing w:val="-16"/>
          <w:w w:val="105"/>
        </w:rPr>
        <w:t>P.</w:t>
      </w:r>
      <w:r>
        <w:rPr>
          <w:color w:val="231F20"/>
          <w:spacing w:val="-18"/>
          <w:w w:val="105"/>
        </w:rPr>
        <w:t> </w:t>
      </w:r>
      <w:r>
        <w:rPr>
          <w:color w:val="231F20"/>
          <w:w w:val="105"/>
        </w:rPr>
        <w:t>(1994)</w:t>
      </w:r>
      <w:r>
        <w:rPr>
          <w:color w:val="231F20"/>
          <w:spacing w:val="-15"/>
          <w:w w:val="105"/>
        </w:rPr>
        <w:t> </w:t>
      </w:r>
      <w:r>
        <w:rPr>
          <w:color w:val="231F20"/>
          <w:w w:val="105"/>
        </w:rPr>
        <w:t>“The</w:t>
      </w:r>
      <w:r>
        <w:rPr>
          <w:color w:val="231F20"/>
          <w:spacing w:val="-38"/>
          <w:w w:val="105"/>
        </w:rPr>
        <w:t> </w:t>
      </w:r>
      <w:r>
        <w:rPr>
          <w:color w:val="231F20"/>
          <w:w w:val="105"/>
        </w:rPr>
        <w:t>Hiring</w:t>
      </w:r>
      <w:r>
        <w:rPr>
          <w:color w:val="231F20"/>
          <w:spacing w:val="-38"/>
          <w:w w:val="105"/>
        </w:rPr>
        <w:t> </w:t>
      </w:r>
      <w:r>
        <w:rPr>
          <w:color w:val="231F20"/>
          <w:w w:val="105"/>
        </w:rPr>
        <w:t>Process:</w:t>
      </w:r>
      <w:r>
        <w:rPr>
          <w:color w:val="231F20"/>
          <w:spacing w:val="-38"/>
          <w:w w:val="105"/>
        </w:rPr>
        <w:t> </w:t>
      </w:r>
      <w:r>
        <w:rPr>
          <w:color w:val="231F20"/>
          <w:w w:val="105"/>
        </w:rPr>
        <w:t>Recruitment</w:t>
      </w:r>
      <w:r>
        <w:rPr>
          <w:color w:val="231F20"/>
          <w:spacing w:val="-38"/>
          <w:w w:val="105"/>
        </w:rPr>
        <w:t> </w:t>
      </w:r>
      <w:r>
        <w:rPr>
          <w:color w:val="231F20"/>
          <w:w w:val="105"/>
        </w:rPr>
        <w:t>Methods</w:t>
      </w:r>
      <w:r>
        <w:rPr>
          <w:color w:val="231F20"/>
          <w:spacing w:val="-40"/>
          <w:w w:val="105"/>
        </w:rPr>
        <w:t> </w:t>
      </w:r>
      <w:r>
        <w:rPr>
          <w:color w:val="231F20"/>
          <w:spacing w:val="-3"/>
          <w:w w:val="105"/>
        </w:rPr>
        <w:t>American”.</w:t>
      </w:r>
    </w:p>
    <w:p>
      <w:pPr>
        <w:spacing w:before="18"/>
        <w:ind w:left="854" w:right="114" w:firstLine="0"/>
        <w:jc w:val="left"/>
        <w:rPr>
          <w:sz w:val="21"/>
        </w:rPr>
      </w:pPr>
      <w:r>
        <w:rPr>
          <w:i/>
          <w:color w:val="231F20"/>
          <w:sz w:val="21"/>
        </w:rPr>
        <w:t>Behavioral Scientist </w:t>
      </w:r>
      <w:r>
        <w:rPr>
          <w:color w:val="231F20"/>
          <w:sz w:val="21"/>
        </w:rPr>
        <w:t>37: 979-991.</w:t>
      </w:r>
    </w:p>
    <w:p>
      <w:pPr>
        <w:spacing w:line="259" w:lineRule="auto" w:before="18"/>
        <w:ind w:left="854" w:right="121" w:hanging="738"/>
        <w:jc w:val="both"/>
        <w:rPr>
          <w:sz w:val="21"/>
        </w:rPr>
      </w:pPr>
      <w:r>
        <w:rPr>
          <w:color w:val="231F20"/>
          <w:w w:val="105"/>
          <w:sz w:val="21"/>
        </w:rPr>
        <w:t>Mincer,</w:t>
      </w:r>
      <w:r>
        <w:rPr>
          <w:color w:val="231F20"/>
          <w:spacing w:val="-26"/>
          <w:w w:val="105"/>
          <w:sz w:val="21"/>
        </w:rPr>
        <w:t> </w:t>
      </w:r>
      <w:r>
        <w:rPr>
          <w:color w:val="231F20"/>
          <w:w w:val="105"/>
          <w:sz w:val="21"/>
        </w:rPr>
        <w:t>J.</w:t>
      </w:r>
      <w:r>
        <w:rPr>
          <w:color w:val="231F20"/>
          <w:spacing w:val="20"/>
          <w:w w:val="105"/>
          <w:sz w:val="21"/>
        </w:rPr>
        <w:t> </w:t>
      </w:r>
      <w:r>
        <w:rPr>
          <w:color w:val="231F20"/>
          <w:w w:val="105"/>
          <w:sz w:val="21"/>
        </w:rPr>
        <w:t>(1958)</w:t>
      </w:r>
      <w:r>
        <w:rPr>
          <w:color w:val="231F20"/>
          <w:spacing w:val="-18"/>
          <w:w w:val="105"/>
          <w:sz w:val="21"/>
        </w:rPr>
        <w:t> </w:t>
      </w:r>
      <w:r>
        <w:rPr>
          <w:color w:val="231F20"/>
          <w:w w:val="105"/>
          <w:sz w:val="21"/>
        </w:rPr>
        <w:t>“Investment</w:t>
      </w:r>
      <w:r>
        <w:rPr>
          <w:color w:val="231F20"/>
          <w:spacing w:val="-18"/>
          <w:w w:val="105"/>
          <w:sz w:val="21"/>
        </w:rPr>
        <w:t> </w:t>
      </w:r>
      <w:r>
        <w:rPr>
          <w:color w:val="231F20"/>
          <w:w w:val="105"/>
          <w:sz w:val="21"/>
        </w:rPr>
        <w:t>in</w:t>
      </w:r>
      <w:r>
        <w:rPr>
          <w:color w:val="231F20"/>
          <w:spacing w:val="-18"/>
          <w:w w:val="105"/>
          <w:sz w:val="21"/>
        </w:rPr>
        <w:t> </w:t>
      </w:r>
      <w:r>
        <w:rPr>
          <w:color w:val="231F20"/>
          <w:w w:val="105"/>
          <w:sz w:val="21"/>
        </w:rPr>
        <w:t>human</w:t>
      </w:r>
      <w:r>
        <w:rPr>
          <w:color w:val="231F20"/>
          <w:spacing w:val="-18"/>
          <w:w w:val="105"/>
          <w:sz w:val="21"/>
        </w:rPr>
        <w:t> </w:t>
      </w:r>
      <w:r>
        <w:rPr>
          <w:color w:val="231F20"/>
          <w:w w:val="105"/>
          <w:sz w:val="21"/>
        </w:rPr>
        <w:t>capital</w:t>
      </w:r>
      <w:r>
        <w:rPr>
          <w:color w:val="231F20"/>
          <w:spacing w:val="-18"/>
          <w:w w:val="105"/>
          <w:sz w:val="21"/>
        </w:rPr>
        <w:t> </w:t>
      </w:r>
      <w:r>
        <w:rPr>
          <w:color w:val="231F20"/>
          <w:w w:val="105"/>
          <w:sz w:val="21"/>
        </w:rPr>
        <w:t>and</w:t>
      </w:r>
      <w:r>
        <w:rPr>
          <w:color w:val="231F20"/>
          <w:spacing w:val="-18"/>
          <w:w w:val="105"/>
          <w:sz w:val="21"/>
        </w:rPr>
        <w:t> </w:t>
      </w:r>
      <w:r>
        <w:rPr>
          <w:color w:val="231F20"/>
          <w:w w:val="105"/>
          <w:sz w:val="21"/>
        </w:rPr>
        <w:t>personal</w:t>
      </w:r>
      <w:r>
        <w:rPr>
          <w:color w:val="231F20"/>
          <w:spacing w:val="-18"/>
          <w:w w:val="105"/>
          <w:sz w:val="21"/>
        </w:rPr>
        <w:t> </w:t>
      </w:r>
      <w:r>
        <w:rPr>
          <w:color w:val="231F20"/>
          <w:w w:val="105"/>
          <w:sz w:val="21"/>
        </w:rPr>
        <w:t>income</w:t>
      </w:r>
      <w:r>
        <w:rPr>
          <w:color w:val="231F20"/>
          <w:spacing w:val="-18"/>
          <w:w w:val="105"/>
          <w:sz w:val="21"/>
        </w:rPr>
        <w:t> </w:t>
      </w:r>
      <w:r>
        <w:rPr>
          <w:color w:val="231F20"/>
          <w:w w:val="105"/>
          <w:sz w:val="21"/>
        </w:rPr>
        <w:t>dis- </w:t>
      </w:r>
      <w:r>
        <w:rPr>
          <w:color w:val="231F20"/>
          <w:spacing w:val="-3"/>
          <w:w w:val="105"/>
          <w:sz w:val="21"/>
        </w:rPr>
        <w:t>tribution”.</w:t>
      </w:r>
      <w:r>
        <w:rPr>
          <w:color w:val="231F20"/>
          <w:spacing w:val="-27"/>
          <w:w w:val="105"/>
          <w:sz w:val="21"/>
        </w:rPr>
        <w:t> </w:t>
      </w:r>
      <w:r>
        <w:rPr>
          <w:i/>
          <w:color w:val="231F20"/>
          <w:w w:val="105"/>
          <w:sz w:val="21"/>
        </w:rPr>
        <w:t>Journal</w:t>
      </w:r>
      <w:r>
        <w:rPr>
          <w:i/>
          <w:color w:val="231F20"/>
          <w:spacing w:val="-21"/>
          <w:w w:val="105"/>
          <w:sz w:val="21"/>
        </w:rPr>
        <w:t> </w:t>
      </w:r>
      <w:r>
        <w:rPr>
          <w:i/>
          <w:color w:val="231F20"/>
          <w:w w:val="105"/>
          <w:sz w:val="21"/>
        </w:rPr>
        <w:t>of</w:t>
      </w:r>
      <w:r>
        <w:rPr>
          <w:i/>
          <w:color w:val="231F20"/>
          <w:spacing w:val="-17"/>
          <w:w w:val="105"/>
          <w:sz w:val="21"/>
        </w:rPr>
        <w:t> </w:t>
      </w:r>
      <w:r>
        <w:rPr>
          <w:i/>
          <w:color w:val="231F20"/>
          <w:w w:val="105"/>
          <w:sz w:val="21"/>
        </w:rPr>
        <w:t>Political</w:t>
      </w:r>
      <w:r>
        <w:rPr>
          <w:i/>
          <w:color w:val="231F20"/>
          <w:spacing w:val="-21"/>
          <w:w w:val="105"/>
          <w:sz w:val="21"/>
        </w:rPr>
        <w:t> </w:t>
      </w:r>
      <w:r>
        <w:rPr>
          <w:i/>
          <w:color w:val="231F20"/>
          <w:w w:val="105"/>
          <w:sz w:val="21"/>
        </w:rPr>
        <w:t>Economy</w:t>
      </w:r>
      <w:r>
        <w:rPr>
          <w:i/>
          <w:color w:val="231F20"/>
          <w:spacing w:val="-21"/>
          <w:w w:val="105"/>
          <w:sz w:val="21"/>
        </w:rPr>
        <w:t> </w:t>
      </w:r>
      <w:r>
        <w:rPr>
          <w:color w:val="231F20"/>
          <w:w w:val="105"/>
          <w:sz w:val="21"/>
        </w:rPr>
        <w:t>66</w:t>
      </w:r>
      <w:r>
        <w:rPr>
          <w:color w:val="231F20"/>
          <w:spacing w:val="-21"/>
          <w:w w:val="105"/>
          <w:sz w:val="21"/>
        </w:rPr>
        <w:t> </w:t>
      </w:r>
      <w:r>
        <w:rPr>
          <w:color w:val="231F20"/>
          <w:w w:val="105"/>
          <w:sz w:val="21"/>
        </w:rPr>
        <w:t>(4):</w:t>
      </w:r>
      <w:r>
        <w:rPr>
          <w:color w:val="231F20"/>
          <w:spacing w:val="-21"/>
          <w:w w:val="105"/>
          <w:sz w:val="21"/>
        </w:rPr>
        <w:t> </w:t>
      </w:r>
      <w:r>
        <w:rPr>
          <w:color w:val="231F20"/>
          <w:w w:val="105"/>
          <w:sz w:val="21"/>
        </w:rPr>
        <w:t>281-302.</w:t>
      </w:r>
    </w:p>
    <w:p>
      <w:pPr>
        <w:spacing w:line="259" w:lineRule="auto" w:before="0"/>
        <w:ind w:left="854" w:right="127" w:hanging="737"/>
        <w:jc w:val="both"/>
        <w:rPr>
          <w:sz w:val="21"/>
        </w:rPr>
      </w:pPr>
      <w:r>
        <w:rPr>
          <w:color w:val="231F20"/>
          <w:w w:val="105"/>
          <w:sz w:val="21"/>
        </w:rPr>
        <w:t>Mincer,</w:t>
      </w:r>
      <w:r>
        <w:rPr>
          <w:color w:val="231F20"/>
          <w:spacing w:val="-23"/>
          <w:w w:val="105"/>
          <w:sz w:val="21"/>
        </w:rPr>
        <w:t> </w:t>
      </w:r>
      <w:r>
        <w:rPr>
          <w:color w:val="231F20"/>
          <w:w w:val="105"/>
          <w:sz w:val="21"/>
        </w:rPr>
        <w:t>J.</w:t>
      </w:r>
      <w:r>
        <w:rPr>
          <w:color w:val="231F20"/>
          <w:spacing w:val="-21"/>
          <w:w w:val="105"/>
          <w:sz w:val="21"/>
        </w:rPr>
        <w:t> </w:t>
      </w:r>
      <w:r>
        <w:rPr>
          <w:color w:val="231F20"/>
          <w:w w:val="105"/>
          <w:sz w:val="21"/>
        </w:rPr>
        <w:t>(1970)</w:t>
      </w:r>
      <w:r>
        <w:rPr>
          <w:color w:val="231F20"/>
          <w:spacing w:val="-16"/>
          <w:w w:val="105"/>
          <w:sz w:val="21"/>
        </w:rPr>
        <w:t> </w:t>
      </w:r>
      <w:r>
        <w:rPr>
          <w:color w:val="231F20"/>
          <w:w w:val="105"/>
          <w:sz w:val="21"/>
        </w:rPr>
        <w:t>“The</w:t>
      </w:r>
      <w:r>
        <w:rPr>
          <w:color w:val="231F20"/>
          <w:spacing w:val="-16"/>
          <w:w w:val="105"/>
          <w:sz w:val="21"/>
        </w:rPr>
        <w:t> </w:t>
      </w:r>
      <w:r>
        <w:rPr>
          <w:color w:val="231F20"/>
          <w:w w:val="105"/>
          <w:sz w:val="21"/>
        </w:rPr>
        <w:t>distribution</w:t>
      </w:r>
      <w:r>
        <w:rPr>
          <w:color w:val="231F20"/>
          <w:spacing w:val="-16"/>
          <w:w w:val="105"/>
          <w:sz w:val="21"/>
        </w:rPr>
        <w:t> </w:t>
      </w:r>
      <w:r>
        <w:rPr>
          <w:color w:val="231F20"/>
          <w:w w:val="105"/>
          <w:sz w:val="21"/>
        </w:rPr>
        <w:t>of</w:t>
      </w:r>
      <w:r>
        <w:rPr>
          <w:color w:val="231F20"/>
          <w:spacing w:val="-11"/>
          <w:w w:val="105"/>
          <w:sz w:val="21"/>
        </w:rPr>
        <w:t> </w:t>
      </w:r>
      <w:r>
        <w:rPr>
          <w:color w:val="231F20"/>
          <w:w w:val="105"/>
          <w:sz w:val="21"/>
        </w:rPr>
        <w:t>labor</w:t>
      </w:r>
      <w:r>
        <w:rPr>
          <w:color w:val="231F20"/>
          <w:spacing w:val="-16"/>
          <w:w w:val="105"/>
          <w:sz w:val="21"/>
        </w:rPr>
        <w:t> </w:t>
      </w:r>
      <w:r>
        <w:rPr>
          <w:color w:val="231F20"/>
          <w:w w:val="105"/>
          <w:sz w:val="21"/>
        </w:rPr>
        <w:t>incomes:</w:t>
      </w:r>
      <w:r>
        <w:rPr>
          <w:color w:val="231F20"/>
          <w:spacing w:val="-18"/>
          <w:w w:val="105"/>
          <w:sz w:val="21"/>
        </w:rPr>
        <w:t> </w:t>
      </w:r>
      <w:r>
        <w:rPr>
          <w:color w:val="231F20"/>
          <w:w w:val="105"/>
          <w:sz w:val="21"/>
        </w:rPr>
        <w:t>A</w:t>
      </w:r>
      <w:r>
        <w:rPr>
          <w:color w:val="231F20"/>
          <w:spacing w:val="-18"/>
          <w:w w:val="105"/>
          <w:sz w:val="21"/>
        </w:rPr>
        <w:t> </w:t>
      </w:r>
      <w:r>
        <w:rPr>
          <w:color w:val="231F20"/>
          <w:spacing w:val="-4"/>
          <w:w w:val="105"/>
          <w:sz w:val="21"/>
        </w:rPr>
        <w:t>survey”.</w:t>
      </w:r>
      <w:r>
        <w:rPr>
          <w:color w:val="231F20"/>
          <w:spacing w:val="-21"/>
          <w:w w:val="105"/>
          <w:sz w:val="21"/>
        </w:rPr>
        <w:t> </w:t>
      </w:r>
      <w:r>
        <w:rPr>
          <w:i/>
          <w:color w:val="231F20"/>
          <w:w w:val="105"/>
          <w:sz w:val="21"/>
        </w:rPr>
        <w:t>Journal</w:t>
      </w:r>
      <w:r>
        <w:rPr>
          <w:i/>
          <w:color w:val="231F20"/>
          <w:spacing w:val="-16"/>
          <w:w w:val="105"/>
          <w:sz w:val="21"/>
        </w:rPr>
        <w:t> </w:t>
      </w:r>
      <w:r>
        <w:rPr>
          <w:i/>
          <w:color w:val="231F20"/>
          <w:w w:val="105"/>
          <w:sz w:val="21"/>
        </w:rPr>
        <w:t>of </w:t>
      </w:r>
      <w:r>
        <w:rPr>
          <w:i/>
          <w:color w:val="231F20"/>
          <w:w w:val="105"/>
          <w:sz w:val="21"/>
        </w:rPr>
        <w:t>Economic</w:t>
      </w:r>
      <w:r>
        <w:rPr>
          <w:i/>
          <w:color w:val="231F20"/>
          <w:spacing w:val="-37"/>
          <w:w w:val="105"/>
          <w:sz w:val="21"/>
        </w:rPr>
        <w:t> </w:t>
      </w:r>
      <w:r>
        <w:rPr>
          <w:i/>
          <w:color w:val="231F20"/>
          <w:w w:val="105"/>
          <w:sz w:val="21"/>
        </w:rPr>
        <w:t>Literature</w:t>
      </w:r>
      <w:r>
        <w:rPr>
          <w:color w:val="231F20"/>
          <w:w w:val="105"/>
          <w:sz w:val="21"/>
        </w:rPr>
        <w:t>.</w:t>
      </w:r>
      <w:r>
        <w:rPr>
          <w:color w:val="231F20"/>
          <w:spacing w:val="-40"/>
          <w:w w:val="105"/>
          <w:sz w:val="21"/>
        </w:rPr>
        <w:t> </w:t>
      </w:r>
      <w:r>
        <w:rPr>
          <w:color w:val="231F20"/>
          <w:w w:val="105"/>
          <w:sz w:val="21"/>
        </w:rPr>
        <w:t>8</w:t>
      </w:r>
      <w:r>
        <w:rPr>
          <w:color w:val="231F20"/>
          <w:spacing w:val="-37"/>
          <w:w w:val="105"/>
          <w:sz w:val="21"/>
        </w:rPr>
        <w:t> </w:t>
      </w:r>
      <w:r>
        <w:rPr>
          <w:color w:val="231F20"/>
          <w:w w:val="105"/>
          <w:sz w:val="21"/>
        </w:rPr>
        <w:t>(1):</w:t>
      </w:r>
      <w:r>
        <w:rPr>
          <w:color w:val="231F20"/>
          <w:spacing w:val="-37"/>
          <w:w w:val="105"/>
          <w:sz w:val="21"/>
        </w:rPr>
        <w:t> </w:t>
      </w:r>
      <w:r>
        <w:rPr>
          <w:color w:val="231F20"/>
          <w:w w:val="105"/>
          <w:sz w:val="21"/>
        </w:rPr>
        <w:t>1-26.</w:t>
      </w:r>
    </w:p>
    <w:p>
      <w:pPr>
        <w:spacing w:line="259" w:lineRule="auto" w:before="0"/>
        <w:ind w:left="854" w:right="122" w:hanging="738"/>
        <w:jc w:val="both"/>
        <w:rPr>
          <w:sz w:val="21"/>
        </w:rPr>
      </w:pPr>
      <w:r>
        <w:rPr>
          <w:color w:val="231F20"/>
          <w:spacing w:val="-4"/>
          <w:w w:val="105"/>
          <w:sz w:val="21"/>
        </w:rPr>
        <w:t>Peck,</w:t>
      </w:r>
      <w:r>
        <w:rPr>
          <w:color w:val="231F20"/>
          <w:spacing w:val="-14"/>
          <w:w w:val="105"/>
          <w:sz w:val="21"/>
        </w:rPr>
        <w:t> </w:t>
      </w:r>
      <w:r>
        <w:rPr>
          <w:color w:val="231F20"/>
          <w:w w:val="105"/>
          <w:sz w:val="21"/>
        </w:rPr>
        <w:t>J.</w:t>
      </w:r>
      <w:r>
        <w:rPr>
          <w:color w:val="231F20"/>
          <w:spacing w:val="-12"/>
          <w:w w:val="105"/>
          <w:sz w:val="21"/>
        </w:rPr>
        <w:t> </w:t>
      </w:r>
      <w:r>
        <w:rPr>
          <w:color w:val="231F20"/>
          <w:w w:val="105"/>
          <w:sz w:val="21"/>
        </w:rPr>
        <w:t>(1996)</w:t>
      </w:r>
      <w:r>
        <w:rPr>
          <w:color w:val="231F20"/>
          <w:spacing w:val="-9"/>
          <w:w w:val="105"/>
          <w:sz w:val="21"/>
        </w:rPr>
        <w:t> </w:t>
      </w:r>
      <w:r>
        <w:rPr>
          <w:color w:val="231F20"/>
          <w:w w:val="105"/>
          <w:sz w:val="21"/>
        </w:rPr>
        <w:t>Work-place.</w:t>
      </w:r>
      <w:r>
        <w:rPr>
          <w:color w:val="231F20"/>
          <w:spacing w:val="-12"/>
          <w:w w:val="105"/>
          <w:sz w:val="21"/>
        </w:rPr>
        <w:t> </w:t>
      </w:r>
      <w:r>
        <w:rPr>
          <w:i/>
          <w:color w:val="231F20"/>
          <w:w w:val="105"/>
          <w:sz w:val="21"/>
        </w:rPr>
        <w:t>The</w:t>
      </w:r>
      <w:r>
        <w:rPr>
          <w:i/>
          <w:color w:val="231F20"/>
          <w:spacing w:val="-8"/>
          <w:w w:val="105"/>
          <w:sz w:val="21"/>
        </w:rPr>
        <w:t> </w:t>
      </w:r>
      <w:r>
        <w:rPr>
          <w:i/>
          <w:color w:val="231F20"/>
          <w:w w:val="105"/>
          <w:sz w:val="21"/>
        </w:rPr>
        <w:t>social</w:t>
      </w:r>
      <w:r>
        <w:rPr>
          <w:i/>
          <w:color w:val="231F20"/>
          <w:spacing w:val="-8"/>
          <w:w w:val="105"/>
          <w:sz w:val="21"/>
        </w:rPr>
        <w:t> </w:t>
      </w:r>
      <w:r>
        <w:rPr>
          <w:i/>
          <w:color w:val="231F20"/>
          <w:w w:val="105"/>
          <w:sz w:val="21"/>
        </w:rPr>
        <w:t>regulation</w:t>
      </w:r>
      <w:r>
        <w:rPr>
          <w:i/>
          <w:color w:val="231F20"/>
          <w:spacing w:val="-8"/>
          <w:w w:val="105"/>
          <w:sz w:val="21"/>
        </w:rPr>
        <w:t> </w:t>
      </w:r>
      <w:r>
        <w:rPr>
          <w:i/>
          <w:color w:val="231F20"/>
          <w:w w:val="105"/>
          <w:sz w:val="21"/>
        </w:rPr>
        <w:t>of</w:t>
      </w:r>
      <w:r>
        <w:rPr>
          <w:i/>
          <w:color w:val="231F20"/>
          <w:spacing w:val="-4"/>
          <w:w w:val="105"/>
          <w:sz w:val="21"/>
        </w:rPr>
        <w:t> </w:t>
      </w:r>
      <w:r>
        <w:rPr>
          <w:i/>
          <w:color w:val="231F20"/>
          <w:w w:val="105"/>
          <w:sz w:val="21"/>
        </w:rPr>
        <w:t>labor</w:t>
      </w:r>
      <w:r>
        <w:rPr>
          <w:i/>
          <w:color w:val="231F20"/>
          <w:spacing w:val="-8"/>
          <w:w w:val="105"/>
          <w:sz w:val="21"/>
        </w:rPr>
        <w:t> </w:t>
      </w:r>
      <w:r>
        <w:rPr>
          <w:i/>
          <w:color w:val="231F20"/>
          <w:w w:val="105"/>
          <w:sz w:val="21"/>
        </w:rPr>
        <w:t>markets</w:t>
      </w:r>
      <w:r>
        <w:rPr>
          <w:color w:val="231F20"/>
          <w:w w:val="105"/>
          <w:sz w:val="21"/>
        </w:rPr>
        <w:t>.</w:t>
      </w:r>
      <w:r>
        <w:rPr>
          <w:color w:val="231F20"/>
          <w:spacing w:val="-12"/>
          <w:w w:val="105"/>
          <w:sz w:val="21"/>
        </w:rPr>
        <w:t> </w:t>
      </w:r>
      <w:r>
        <w:rPr>
          <w:color w:val="231F20"/>
          <w:w w:val="105"/>
          <w:sz w:val="21"/>
        </w:rPr>
        <w:t>New </w:t>
      </w:r>
      <w:r>
        <w:rPr>
          <w:color w:val="231F20"/>
          <w:spacing w:val="-5"/>
          <w:w w:val="105"/>
          <w:sz w:val="21"/>
        </w:rPr>
        <w:t>York</w:t>
      </w:r>
      <w:r>
        <w:rPr>
          <w:color w:val="231F20"/>
          <w:spacing w:val="-27"/>
          <w:w w:val="105"/>
          <w:sz w:val="21"/>
        </w:rPr>
        <w:t> </w:t>
      </w:r>
      <w:r>
        <w:rPr>
          <w:color w:val="231F20"/>
          <w:w w:val="105"/>
          <w:sz w:val="21"/>
        </w:rPr>
        <w:t>-</w:t>
      </w:r>
      <w:r>
        <w:rPr>
          <w:color w:val="231F20"/>
          <w:spacing w:val="-27"/>
          <w:w w:val="105"/>
          <w:sz w:val="21"/>
        </w:rPr>
        <w:t> </w:t>
      </w:r>
      <w:r>
        <w:rPr>
          <w:color w:val="231F20"/>
          <w:w w:val="105"/>
          <w:sz w:val="21"/>
        </w:rPr>
        <w:t>London:</w:t>
      </w:r>
      <w:r>
        <w:rPr>
          <w:color w:val="231F20"/>
          <w:spacing w:val="-31"/>
          <w:w w:val="105"/>
          <w:sz w:val="21"/>
        </w:rPr>
        <w:t> </w:t>
      </w:r>
      <w:r>
        <w:rPr>
          <w:color w:val="231F20"/>
          <w:w w:val="105"/>
          <w:sz w:val="21"/>
        </w:rPr>
        <w:t>The</w:t>
      </w:r>
      <w:r>
        <w:rPr>
          <w:color w:val="231F20"/>
          <w:spacing w:val="-27"/>
          <w:w w:val="105"/>
          <w:sz w:val="21"/>
        </w:rPr>
        <w:t> </w:t>
      </w:r>
      <w:r>
        <w:rPr>
          <w:color w:val="231F20"/>
          <w:w w:val="105"/>
          <w:sz w:val="21"/>
        </w:rPr>
        <w:t>Guilford</w:t>
      </w:r>
      <w:r>
        <w:rPr>
          <w:color w:val="231F20"/>
          <w:spacing w:val="-27"/>
          <w:w w:val="105"/>
          <w:sz w:val="21"/>
        </w:rPr>
        <w:t> </w:t>
      </w:r>
      <w:r>
        <w:rPr>
          <w:color w:val="231F20"/>
          <w:spacing w:val="-3"/>
          <w:w w:val="105"/>
          <w:sz w:val="21"/>
        </w:rPr>
        <w:t>Press.</w:t>
      </w:r>
    </w:p>
    <w:p>
      <w:pPr>
        <w:spacing w:line="259" w:lineRule="auto" w:before="0"/>
        <w:ind w:left="854" w:right="122" w:hanging="738"/>
        <w:jc w:val="both"/>
        <w:rPr>
          <w:sz w:val="21"/>
        </w:rPr>
      </w:pPr>
      <w:r>
        <w:rPr>
          <w:color w:val="231F20"/>
          <w:sz w:val="21"/>
        </w:rPr>
        <w:t>Reich, M., Gordon, D. y Edwards, R. (1973) “A theory of labor market seg- mentation”. </w:t>
      </w:r>
      <w:r>
        <w:rPr>
          <w:i/>
          <w:color w:val="231F20"/>
          <w:sz w:val="21"/>
        </w:rPr>
        <w:t>The American Economic Review </w:t>
      </w:r>
      <w:r>
        <w:rPr>
          <w:color w:val="231F20"/>
          <w:sz w:val="21"/>
        </w:rPr>
        <w:t>63  (2):359-365.</w:t>
      </w:r>
    </w:p>
    <w:p>
      <w:pPr>
        <w:spacing w:line="259" w:lineRule="auto" w:before="0"/>
        <w:ind w:left="854" w:right="121" w:hanging="738"/>
        <w:jc w:val="both"/>
        <w:rPr>
          <w:sz w:val="21"/>
        </w:rPr>
      </w:pPr>
      <w:r>
        <w:rPr>
          <w:color w:val="231F20"/>
          <w:sz w:val="21"/>
        </w:rPr>
        <w:t>Roca,</w:t>
      </w:r>
      <w:r>
        <w:rPr>
          <w:color w:val="231F20"/>
          <w:spacing w:val="-18"/>
          <w:sz w:val="21"/>
        </w:rPr>
        <w:t> </w:t>
      </w:r>
      <w:r>
        <w:rPr>
          <w:color w:val="231F20"/>
          <w:sz w:val="21"/>
        </w:rPr>
        <w:t>R.</w:t>
      </w:r>
      <w:r>
        <w:rPr>
          <w:color w:val="231F20"/>
          <w:spacing w:val="-18"/>
          <w:sz w:val="21"/>
        </w:rPr>
        <w:t> </w:t>
      </w:r>
      <w:r>
        <w:rPr>
          <w:color w:val="231F20"/>
          <w:sz w:val="21"/>
        </w:rPr>
        <w:t>(2009).</w:t>
      </w:r>
      <w:r>
        <w:rPr>
          <w:color w:val="231F20"/>
          <w:spacing w:val="-18"/>
          <w:sz w:val="21"/>
        </w:rPr>
        <w:t> </w:t>
      </w:r>
      <w:r>
        <w:rPr>
          <w:i/>
          <w:color w:val="231F20"/>
          <w:sz w:val="21"/>
        </w:rPr>
        <w:t>Macroeconomía</w:t>
      </w:r>
      <w:r>
        <w:rPr>
          <w:i/>
          <w:color w:val="231F20"/>
          <w:spacing w:val="-12"/>
          <w:sz w:val="21"/>
        </w:rPr>
        <w:t> </w:t>
      </w:r>
      <w:r>
        <w:rPr>
          <w:i/>
          <w:color w:val="231F20"/>
          <w:sz w:val="21"/>
        </w:rPr>
        <w:t>Intermedia.</w:t>
      </w:r>
      <w:r>
        <w:rPr>
          <w:i/>
          <w:color w:val="231F20"/>
          <w:spacing w:val="-23"/>
          <w:sz w:val="21"/>
        </w:rPr>
        <w:t> </w:t>
      </w:r>
      <w:r>
        <w:rPr>
          <w:i/>
          <w:color w:val="231F20"/>
          <w:spacing w:val="-3"/>
          <w:sz w:val="21"/>
        </w:rPr>
        <w:t>Teorías</w:t>
      </w:r>
      <w:r>
        <w:rPr>
          <w:i/>
          <w:color w:val="231F20"/>
          <w:spacing w:val="-12"/>
          <w:sz w:val="21"/>
        </w:rPr>
        <w:t> </w:t>
      </w:r>
      <w:r>
        <w:rPr>
          <w:i/>
          <w:color w:val="231F20"/>
          <w:sz w:val="21"/>
        </w:rPr>
        <w:t>y</w:t>
      </w:r>
      <w:r>
        <w:rPr>
          <w:i/>
          <w:color w:val="231F20"/>
          <w:spacing w:val="-12"/>
          <w:sz w:val="21"/>
        </w:rPr>
        <w:t> </w:t>
      </w:r>
      <w:r>
        <w:rPr>
          <w:i/>
          <w:color w:val="231F20"/>
          <w:sz w:val="21"/>
        </w:rPr>
        <w:t>Políticas</w:t>
      </w:r>
      <w:r>
        <w:rPr>
          <w:color w:val="231F20"/>
          <w:sz w:val="21"/>
        </w:rPr>
        <w:t>.</w:t>
      </w:r>
      <w:r>
        <w:rPr>
          <w:color w:val="231F20"/>
          <w:spacing w:val="-18"/>
          <w:sz w:val="21"/>
        </w:rPr>
        <w:t> </w:t>
      </w:r>
      <w:r>
        <w:rPr>
          <w:color w:val="231F20"/>
          <w:sz w:val="21"/>
        </w:rPr>
        <w:t>Lima:</w:t>
      </w:r>
      <w:r>
        <w:rPr>
          <w:color w:val="231F20"/>
          <w:spacing w:val="-12"/>
          <w:sz w:val="21"/>
        </w:rPr>
        <w:t> </w:t>
      </w:r>
      <w:r>
        <w:rPr>
          <w:color w:val="231F20"/>
          <w:sz w:val="21"/>
        </w:rPr>
        <w:t>Uni- versidad Nacional Mayor de San Marcos Pontificia/ Universidad Católica del</w:t>
      </w:r>
      <w:r>
        <w:rPr>
          <w:color w:val="231F20"/>
          <w:spacing w:val="25"/>
          <w:sz w:val="21"/>
        </w:rPr>
        <w:t> </w:t>
      </w:r>
      <w:r>
        <w:rPr>
          <w:color w:val="231F20"/>
          <w:spacing w:val="-4"/>
          <w:sz w:val="21"/>
        </w:rPr>
        <w:t>Perú.</w:t>
      </w:r>
    </w:p>
    <w:p>
      <w:pPr>
        <w:spacing w:line="259" w:lineRule="auto" w:before="0"/>
        <w:ind w:left="854" w:right="122" w:hanging="738"/>
        <w:jc w:val="both"/>
        <w:rPr>
          <w:sz w:val="21"/>
        </w:rPr>
      </w:pPr>
      <w:r>
        <w:rPr>
          <w:color w:val="231F20"/>
          <w:sz w:val="21"/>
        </w:rPr>
        <w:t>Rodríguez,</w:t>
      </w:r>
      <w:r>
        <w:rPr>
          <w:color w:val="231F20"/>
          <w:spacing w:val="-10"/>
          <w:sz w:val="21"/>
        </w:rPr>
        <w:t> </w:t>
      </w:r>
      <w:r>
        <w:rPr>
          <w:color w:val="231F20"/>
          <w:sz w:val="21"/>
        </w:rPr>
        <w:t>M.,</w:t>
      </w:r>
      <w:r>
        <w:rPr>
          <w:color w:val="231F20"/>
          <w:spacing w:val="-10"/>
          <w:sz w:val="21"/>
        </w:rPr>
        <w:t> </w:t>
      </w:r>
      <w:r>
        <w:rPr>
          <w:color w:val="231F20"/>
          <w:sz w:val="21"/>
        </w:rPr>
        <w:t>González,</w:t>
      </w:r>
      <w:r>
        <w:rPr>
          <w:color w:val="231F20"/>
          <w:spacing w:val="-10"/>
          <w:sz w:val="21"/>
        </w:rPr>
        <w:t> </w:t>
      </w:r>
      <w:r>
        <w:rPr>
          <w:color w:val="231F20"/>
          <w:sz w:val="21"/>
        </w:rPr>
        <w:t>M.,</w:t>
      </w:r>
      <w:r>
        <w:rPr>
          <w:color w:val="231F20"/>
          <w:spacing w:val="-10"/>
          <w:sz w:val="21"/>
        </w:rPr>
        <w:t> </w:t>
      </w:r>
      <w:r>
        <w:rPr>
          <w:color w:val="231F20"/>
          <w:sz w:val="21"/>
        </w:rPr>
        <w:t>Figuera,</w:t>
      </w:r>
      <w:r>
        <w:rPr>
          <w:color w:val="231F20"/>
          <w:spacing w:val="-10"/>
          <w:sz w:val="21"/>
        </w:rPr>
        <w:t> </w:t>
      </w:r>
      <w:r>
        <w:rPr>
          <w:color w:val="231F20"/>
          <w:sz w:val="21"/>
        </w:rPr>
        <w:t>M.,</w:t>
      </w:r>
      <w:r>
        <w:rPr>
          <w:color w:val="231F20"/>
          <w:spacing w:val="-10"/>
          <w:sz w:val="21"/>
        </w:rPr>
        <w:t> </w:t>
      </w:r>
      <w:r>
        <w:rPr>
          <w:color w:val="231F20"/>
          <w:sz w:val="21"/>
        </w:rPr>
        <w:t>y</w:t>
      </w:r>
      <w:r>
        <w:rPr>
          <w:color w:val="231F20"/>
          <w:spacing w:val="-4"/>
          <w:sz w:val="21"/>
        </w:rPr>
        <w:t> </w:t>
      </w:r>
      <w:r>
        <w:rPr>
          <w:color w:val="231F20"/>
          <w:sz w:val="21"/>
        </w:rPr>
        <w:t>Rodríguez,</w:t>
      </w:r>
      <w:r>
        <w:rPr>
          <w:color w:val="231F20"/>
          <w:spacing w:val="-10"/>
          <w:sz w:val="21"/>
        </w:rPr>
        <w:t> </w:t>
      </w:r>
      <w:r>
        <w:rPr>
          <w:color w:val="231F20"/>
          <w:sz w:val="21"/>
        </w:rPr>
        <w:t>S.</w:t>
      </w:r>
      <w:r>
        <w:rPr>
          <w:color w:val="231F20"/>
          <w:spacing w:val="-10"/>
          <w:sz w:val="21"/>
        </w:rPr>
        <w:t> </w:t>
      </w:r>
      <w:r>
        <w:rPr>
          <w:color w:val="231F20"/>
          <w:sz w:val="21"/>
        </w:rPr>
        <w:t>(2009).</w:t>
      </w:r>
      <w:r>
        <w:rPr>
          <w:color w:val="231F20"/>
          <w:spacing w:val="-10"/>
          <w:sz w:val="21"/>
        </w:rPr>
        <w:t> </w:t>
      </w:r>
      <w:r>
        <w:rPr>
          <w:i/>
          <w:color w:val="231F20"/>
          <w:sz w:val="21"/>
        </w:rPr>
        <w:t>Estudios </w:t>
      </w:r>
      <w:r>
        <w:rPr>
          <w:i/>
          <w:color w:val="231F20"/>
          <w:sz w:val="21"/>
        </w:rPr>
        <w:t>Universitarios, Proyecto profesional y Mundo de trabajo. Cómo tender puentes entre la Universidad y la vida activa</w:t>
      </w:r>
      <w:r>
        <w:rPr>
          <w:color w:val="231F20"/>
          <w:sz w:val="21"/>
        </w:rPr>
        <w:t>. Barcelona: Publicaciones I Ediciones de la Universitat de  Barcelona.</w:t>
      </w:r>
    </w:p>
    <w:p>
      <w:pPr>
        <w:spacing w:line="259" w:lineRule="auto" w:before="0"/>
        <w:ind w:left="854" w:right="121" w:hanging="738"/>
        <w:jc w:val="both"/>
        <w:rPr>
          <w:sz w:val="21"/>
        </w:rPr>
      </w:pPr>
      <w:r>
        <w:rPr>
          <w:color w:val="231F20"/>
          <w:sz w:val="21"/>
        </w:rPr>
        <w:t>Ruiz,</w:t>
      </w:r>
      <w:r>
        <w:rPr>
          <w:color w:val="231F20"/>
          <w:spacing w:val="-18"/>
          <w:sz w:val="21"/>
        </w:rPr>
        <w:t> </w:t>
      </w:r>
      <w:r>
        <w:rPr>
          <w:color w:val="231F20"/>
          <w:sz w:val="21"/>
        </w:rPr>
        <w:t>L.</w:t>
      </w:r>
      <w:r>
        <w:rPr>
          <w:color w:val="231F20"/>
          <w:spacing w:val="-18"/>
          <w:sz w:val="21"/>
        </w:rPr>
        <w:t> </w:t>
      </w:r>
      <w:r>
        <w:rPr>
          <w:color w:val="231F20"/>
          <w:sz w:val="21"/>
        </w:rPr>
        <w:t>(.</w:t>
      </w:r>
      <w:r>
        <w:rPr>
          <w:color w:val="231F20"/>
          <w:spacing w:val="-18"/>
          <w:sz w:val="21"/>
        </w:rPr>
        <w:t> </w:t>
      </w:r>
      <w:r>
        <w:rPr>
          <w:color w:val="231F20"/>
          <w:sz w:val="21"/>
        </w:rPr>
        <w:t>(2011).</w:t>
      </w:r>
      <w:r>
        <w:rPr>
          <w:color w:val="231F20"/>
          <w:spacing w:val="-18"/>
          <w:sz w:val="21"/>
        </w:rPr>
        <w:t> </w:t>
      </w:r>
      <w:r>
        <w:rPr>
          <w:i/>
          <w:color w:val="231F20"/>
          <w:spacing w:val="-3"/>
          <w:sz w:val="21"/>
        </w:rPr>
        <w:t>Programa</w:t>
      </w:r>
      <w:r>
        <w:rPr>
          <w:i/>
          <w:color w:val="231F20"/>
          <w:spacing w:val="-11"/>
          <w:sz w:val="21"/>
        </w:rPr>
        <w:t> </w:t>
      </w:r>
      <w:r>
        <w:rPr>
          <w:i/>
          <w:color w:val="231F20"/>
          <w:sz w:val="21"/>
        </w:rPr>
        <w:t>Nacional</w:t>
      </w:r>
      <w:r>
        <w:rPr>
          <w:i/>
          <w:color w:val="231F20"/>
          <w:spacing w:val="-11"/>
          <w:sz w:val="21"/>
        </w:rPr>
        <w:t> </w:t>
      </w:r>
      <w:r>
        <w:rPr>
          <w:i/>
          <w:color w:val="231F20"/>
          <w:sz w:val="21"/>
        </w:rPr>
        <w:t>de</w:t>
      </w:r>
      <w:r>
        <w:rPr>
          <w:i/>
          <w:color w:val="231F20"/>
          <w:spacing w:val="-11"/>
          <w:sz w:val="21"/>
        </w:rPr>
        <w:t> </w:t>
      </w:r>
      <w:r>
        <w:rPr>
          <w:i/>
          <w:color w:val="231F20"/>
          <w:sz w:val="21"/>
        </w:rPr>
        <w:t>Extensión</w:t>
      </w:r>
      <w:r>
        <w:rPr>
          <w:i/>
          <w:color w:val="231F20"/>
          <w:spacing w:val="-11"/>
          <w:sz w:val="21"/>
        </w:rPr>
        <w:t> </w:t>
      </w:r>
      <w:r>
        <w:rPr>
          <w:i/>
          <w:color w:val="231F20"/>
          <w:sz w:val="21"/>
        </w:rPr>
        <w:t>de</w:t>
      </w:r>
      <w:r>
        <w:rPr>
          <w:i/>
          <w:color w:val="231F20"/>
          <w:spacing w:val="-11"/>
          <w:sz w:val="21"/>
        </w:rPr>
        <w:t> </w:t>
      </w:r>
      <w:r>
        <w:rPr>
          <w:i/>
          <w:color w:val="231F20"/>
          <w:sz w:val="21"/>
        </w:rPr>
        <w:t>los</w:t>
      </w:r>
      <w:r>
        <w:rPr>
          <w:i/>
          <w:color w:val="231F20"/>
          <w:spacing w:val="-11"/>
          <w:sz w:val="21"/>
        </w:rPr>
        <w:t> </w:t>
      </w:r>
      <w:r>
        <w:rPr>
          <w:i/>
          <w:color w:val="231F20"/>
          <w:sz w:val="21"/>
        </w:rPr>
        <w:t>servicios,</w:t>
      </w:r>
      <w:r>
        <w:rPr>
          <w:i/>
          <w:color w:val="231F20"/>
          <w:spacing w:val="-18"/>
          <w:sz w:val="21"/>
        </w:rPr>
        <w:t> </w:t>
      </w:r>
      <w:r>
        <w:rPr>
          <w:i/>
          <w:color w:val="231F20"/>
          <w:sz w:val="21"/>
        </w:rPr>
        <w:t>vincula- </w:t>
      </w:r>
      <w:r>
        <w:rPr>
          <w:i/>
          <w:color w:val="231F20"/>
          <w:sz w:val="21"/>
        </w:rPr>
        <w:t>ción y difusión de la cultura </w:t>
      </w:r>
      <w:r>
        <w:rPr>
          <w:color w:val="231F20"/>
          <w:sz w:val="21"/>
        </w:rPr>
        <w:t>2011. México, </w:t>
      </w:r>
      <w:r>
        <w:rPr>
          <w:color w:val="231F20"/>
          <w:spacing w:val="-7"/>
          <w:sz w:val="21"/>
        </w:rPr>
        <w:t>D.F.:</w:t>
      </w:r>
      <w:r>
        <w:rPr>
          <w:color w:val="231F20"/>
          <w:spacing w:val="13"/>
          <w:sz w:val="21"/>
        </w:rPr>
        <w:t> </w:t>
      </w:r>
      <w:r>
        <w:rPr>
          <w:color w:val="231F20"/>
          <w:sz w:val="21"/>
        </w:rPr>
        <w:t>ANUIES.</w:t>
      </w:r>
    </w:p>
    <w:p>
      <w:pPr>
        <w:spacing w:line="259" w:lineRule="auto" w:before="0"/>
        <w:ind w:left="854" w:right="122" w:hanging="738"/>
        <w:jc w:val="both"/>
        <w:rPr>
          <w:sz w:val="21"/>
        </w:rPr>
      </w:pPr>
      <w:r>
        <w:rPr>
          <w:color w:val="231F20"/>
          <w:w w:val="105"/>
          <w:sz w:val="21"/>
        </w:rPr>
        <w:t>Ruiz,</w:t>
      </w:r>
      <w:r>
        <w:rPr>
          <w:color w:val="231F20"/>
          <w:spacing w:val="-44"/>
          <w:w w:val="105"/>
          <w:sz w:val="21"/>
        </w:rPr>
        <w:t> </w:t>
      </w:r>
      <w:r>
        <w:rPr>
          <w:color w:val="231F20"/>
          <w:w w:val="105"/>
          <w:sz w:val="21"/>
        </w:rPr>
        <w:t>R.</w:t>
      </w:r>
      <w:r>
        <w:rPr>
          <w:color w:val="231F20"/>
          <w:spacing w:val="-44"/>
          <w:w w:val="105"/>
          <w:sz w:val="21"/>
        </w:rPr>
        <w:t> </w:t>
      </w:r>
      <w:r>
        <w:rPr>
          <w:color w:val="231F20"/>
          <w:w w:val="105"/>
          <w:sz w:val="21"/>
        </w:rPr>
        <w:t>(2010).</w:t>
      </w:r>
      <w:r>
        <w:rPr>
          <w:color w:val="231F20"/>
          <w:spacing w:val="-44"/>
          <w:w w:val="105"/>
          <w:sz w:val="21"/>
        </w:rPr>
        <w:t> </w:t>
      </w:r>
      <w:r>
        <w:rPr>
          <w:i/>
          <w:color w:val="231F20"/>
          <w:w w:val="105"/>
          <w:sz w:val="21"/>
        </w:rPr>
        <w:t>Innovación</w:t>
      </w:r>
      <w:r>
        <w:rPr>
          <w:i/>
          <w:color w:val="231F20"/>
          <w:spacing w:val="-42"/>
          <w:w w:val="105"/>
          <w:sz w:val="21"/>
        </w:rPr>
        <w:t> </w:t>
      </w:r>
      <w:r>
        <w:rPr>
          <w:i/>
          <w:color w:val="231F20"/>
          <w:w w:val="105"/>
          <w:sz w:val="21"/>
        </w:rPr>
        <w:t>en</w:t>
      </w:r>
      <w:r>
        <w:rPr>
          <w:i/>
          <w:color w:val="231F20"/>
          <w:spacing w:val="-42"/>
          <w:w w:val="105"/>
          <w:sz w:val="21"/>
        </w:rPr>
        <w:t> </w:t>
      </w:r>
      <w:r>
        <w:rPr>
          <w:i/>
          <w:color w:val="231F20"/>
          <w:w w:val="105"/>
          <w:sz w:val="21"/>
        </w:rPr>
        <w:t>la</w:t>
      </w:r>
      <w:r>
        <w:rPr>
          <w:i/>
          <w:color w:val="231F20"/>
          <w:spacing w:val="-42"/>
          <w:w w:val="105"/>
          <w:sz w:val="21"/>
        </w:rPr>
        <w:t> </w:t>
      </w:r>
      <w:r>
        <w:rPr>
          <w:i/>
          <w:color w:val="231F20"/>
          <w:w w:val="105"/>
          <w:sz w:val="21"/>
        </w:rPr>
        <w:t>educación</w:t>
      </w:r>
      <w:r>
        <w:rPr>
          <w:i/>
          <w:color w:val="231F20"/>
          <w:spacing w:val="-42"/>
          <w:w w:val="105"/>
          <w:sz w:val="21"/>
        </w:rPr>
        <w:t> </w:t>
      </w:r>
      <w:r>
        <w:rPr>
          <w:i/>
          <w:color w:val="231F20"/>
          <w:w w:val="105"/>
          <w:sz w:val="21"/>
        </w:rPr>
        <w:t>superior.</w:t>
      </w:r>
      <w:r>
        <w:rPr>
          <w:i/>
          <w:color w:val="231F20"/>
          <w:spacing w:val="-44"/>
          <w:w w:val="105"/>
          <w:sz w:val="21"/>
        </w:rPr>
        <w:t> </w:t>
      </w:r>
      <w:r>
        <w:rPr>
          <w:i/>
          <w:color w:val="231F20"/>
          <w:w w:val="105"/>
          <w:sz w:val="21"/>
        </w:rPr>
        <w:t>Hacia</w:t>
      </w:r>
      <w:r>
        <w:rPr>
          <w:i/>
          <w:color w:val="231F20"/>
          <w:spacing w:val="-42"/>
          <w:w w:val="105"/>
          <w:sz w:val="21"/>
        </w:rPr>
        <w:t> </w:t>
      </w:r>
      <w:r>
        <w:rPr>
          <w:i/>
          <w:color w:val="231F20"/>
          <w:w w:val="105"/>
          <w:sz w:val="21"/>
        </w:rPr>
        <w:t>las</w:t>
      </w:r>
      <w:r>
        <w:rPr>
          <w:i/>
          <w:color w:val="231F20"/>
          <w:spacing w:val="-42"/>
          <w:w w:val="105"/>
          <w:sz w:val="21"/>
        </w:rPr>
        <w:t> </w:t>
      </w:r>
      <w:r>
        <w:rPr>
          <w:i/>
          <w:color w:val="231F20"/>
          <w:w w:val="105"/>
          <w:sz w:val="21"/>
        </w:rPr>
        <w:t>sociedades </w:t>
      </w:r>
      <w:r>
        <w:rPr>
          <w:i/>
          <w:color w:val="231F20"/>
          <w:w w:val="105"/>
          <w:sz w:val="21"/>
        </w:rPr>
        <w:t>del</w:t>
      </w:r>
      <w:r>
        <w:rPr>
          <w:i/>
          <w:color w:val="231F20"/>
          <w:spacing w:val="-19"/>
          <w:w w:val="105"/>
          <w:sz w:val="21"/>
        </w:rPr>
        <w:t> </w:t>
      </w:r>
      <w:r>
        <w:rPr>
          <w:i/>
          <w:color w:val="231F20"/>
          <w:w w:val="105"/>
          <w:sz w:val="21"/>
        </w:rPr>
        <w:t>conocimiento</w:t>
      </w:r>
      <w:r>
        <w:rPr>
          <w:color w:val="231F20"/>
          <w:w w:val="105"/>
          <w:sz w:val="21"/>
        </w:rPr>
        <w:t>.</w:t>
      </w:r>
      <w:r>
        <w:rPr>
          <w:color w:val="231F20"/>
          <w:spacing w:val="-25"/>
          <w:w w:val="105"/>
          <w:sz w:val="21"/>
        </w:rPr>
        <w:t> </w:t>
      </w:r>
      <w:r>
        <w:rPr>
          <w:color w:val="231F20"/>
          <w:w w:val="105"/>
          <w:sz w:val="21"/>
        </w:rPr>
        <w:t>México,</w:t>
      </w:r>
      <w:r>
        <w:rPr>
          <w:color w:val="231F20"/>
          <w:spacing w:val="-25"/>
          <w:w w:val="105"/>
          <w:sz w:val="21"/>
        </w:rPr>
        <w:t> </w:t>
      </w:r>
      <w:r>
        <w:rPr>
          <w:color w:val="231F20"/>
          <w:spacing w:val="-7"/>
          <w:w w:val="105"/>
          <w:sz w:val="21"/>
        </w:rPr>
        <w:t>D.F.:</w:t>
      </w:r>
      <w:r>
        <w:rPr>
          <w:color w:val="231F20"/>
          <w:spacing w:val="-19"/>
          <w:w w:val="105"/>
          <w:sz w:val="21"/>
        </w:rPr>
        <w:t> </w:t>
      </w:r>
      <w:r>
        <w:rPr>
          <w:color w:val="231F20"/>
          <w:spacing w:val="-3"/>
          <w:w w:val="105"/>
          <w:sz w:val="21"/>
        </w:rPr>
        <w:t>Fondo</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Cultura</w:t>
      </w:r>
      <w:r>
        <w:rPr>
          <w:color w:val="231F20"/>
          <w:spacing w:val="-19"/>
          <w:w w:val="105"/>
          <w:sz w:val="21"/>
        </w:rPr>
        <w:t> </w:t>
      </w:r>
      <w:r>
        <w:rPr>
          <w:color w:val="231F20"/>
          <w:w w:val="105"/>
          <w:sz w:val="21"/>
        </w:rPr>
        <w:t>Económica.</w:t>
      </w:r>
    </w:p>
    <w:p>
      <w:pPr>
        <w:spacing w:line="259" w:lineRule="auto" w:before="0"/>
        <w:ind w:left="854" w:right="122" w:hanging="738"/>
        <w:jc w:val="both"/>
        <w:rPr>
          <w:sz w:val="21"/>
        </w:rPr>
      </w:pPr>
      <w:r>
        <w:rPr>
          <w:color w:val="231F20"/>
          <w:w w:val="105"/>
          <w:sz w:val="21"/>
        </w:rPr>
        <w:t>Scott,</w:t>
      </w:r>
      <w:r>
        <w:rPr>
          <w:color w:val="231F20"/>
          <w:spacing w:val="-27"/>
          <w:w w:val="105"/>
          <w:sz w:val="21"/>
        </w:rPr>
        <w:t> </w:t>
      </w:r>
      <w:r>
        <w:rPr>
          <w:color w:val="231F20"/>
          <w:spacing w:val="-7"/>
          <w:w w:val="105"/>
          <w:sz w:val="21"/>
        </w:rPr>
        <w:t>W.</w:t>
      </w:r>
      <w:r>
        <w:rPr>
          <w:color w:val="231F20"/>
          <w:spacing w:val="-25"/>
          <w:w w:val="105"/>
          <w:sz w:val="21"/>
        </w:rPr>
        <w:t> </w:t>
      </w:r>
      <w:r>
        <w:rPr>
          <w:color w:val="231F20"/>
          <w:w w:val="105"/>
          <w:sz w:val="21"/>
        </w:rPr>
        <w:t>(1987).</w:t>
      </w:r>
      <w:r>
        <w:rPr>
          <w:color w:val="231F20"/>
          <w:spacing w:val="-25"/>
          <w:w w:val="105"/>
          <w:sz w:val="21"/>
        </w:rPr>
        <w:t> </w:t>
      </w:r>
      <w:r>
        <w:rPr>
          <w:color w:val="231F20"/>
          <w:w w:val="105"/>
          <w:sz w:val="21"/>
        </w:rPr>
        <w:t>“The</w:t>
      </w:r>
      <w:r>
        <w:rPr>
          <w:color w:val="231F20"/>
          <w:spacing w:val="-20"/>
          <w:w w:val="105"/>
          <w:sz w:val="21"/>
        </w:rPr>
        <w:t> </w:t>
      </w:r>
      <w:r>
        <w:rPr>
          <w:color w:val="231F20"/>
          <w:w w:val="105"/>
          <w:sz w:val="21"/>
        </w:rPr>
        <w:t>adolescence</w:t>
      </w:r>
      <w:r>
        <w:rPr>
          <w:color w:val="231F20"/>
          <w:spacing w:val="-20"/>
          <w:w w:val="105"/>
          <w:sz w:val="21"/>
        </w:rPr>
        <w:t> </w:t>
      </w:r>
      <w:r>
        <w:rPr>
          <w:color w:val="231F20"/>
          <w:w w:val="105"/>
          <w:sz w:val="21"/>
        </w:rPr>
        <w:t>of</w:t>
      </w:r>
      <w:r>
        <w:rPr>
          <w:color w:val="231F20"/>
          <w:spacing w:val="-16"/>
          <w:w w:val="105"/>
          <w:sz w:val="21"/>
        </w:rPr>
        <w:t> </w:t>
      </w:r>
      <w:r>
        <w:rPr>
          <w:color w:val="231F20"/>
          <w:w w:val="105"/>
          <w:sz w:val="21"/>
        </w:rPr>
        <w:t>institutional</w:t>
      </w:r>
      <w:r>
        <w:rPr>
          <w:color w:val="231F20"/>
          <w:spacing w:val="-20"/>
          <w:w w:val="105"/>
          <w:sz w:val="21"/>
        </w:rPr>
        <w:t> </w:t>
      </w:r>
      <w:r>
        <w:rPr>
          <w:color w:val="231F20"/>
          <w:spacing w:val="-4"/>
          <w:w w:val="105"/>
          <w:sz w:val="21"/>
        </w:rPr>
        <w:t>theory”.</w:t>
      </w:r>
      <w:r>
        <w:rPr>
          <w:color w:val="231F20"/>
          <w:spacing w:val="-25"/>
          <w:w w:val="105"/>
          <w:sz w:val="21"/>
        </w:rPr>
        <w:t> </w:t>
      </w:r>
      <w:r>
        <w:rPr>
          <w:i/>
          <w:color w:val="231F20"/>
          <w:w w:val="105"/>
          <w:sz w:val="21"/>
        </w:rPr>
        <w:t>Administrative </w:t>
      </w:r>
      <w:r>
        <w:rPr>
          <w:i/>
          <w:color w:val="231F20"/>
          <w:w w:val="105"/>
          <w:sz w:val="21"/>
        </w:rPr>
        <w:t>Science</w:t>
      </w:r>
      <w:r>
        <w:rPr>
          <w:i/>
          <w:color w:val="231F20"/>
          <w:spacing w:val="-31"/>
          <w:w w:val="105"/>
          <w:sz w:val="21"/>
        </w:rPr>
        <w:t> </w:t>
      </w:r>
      <w:r>
        <w:rPr>
          <w:i/>
          <w:color w:val="231F20"/>
          <w:w w:val="105"/>
          <w:sz w:val="21"/>
        </w:rPr>
        <w:t>Quarterly.</w:t>
      </w:r>
      <w:r>
        <w:rPr>
          <w:i/>
          <w:color w:val="231F20"/>
          <w:spacing w:val="-31"/>
          <w:w w:val="105"/>
          <w:sz w:val="21"/>
        </w:rPr>
        <w:t> </w:t>
      </w:r>
      <w:r>
        <w:rPr>
          <w:color w:val="231F20"/>
          <w:w w:val="105"/>
          <w:sz w:val="21"/>
        </w:rPr>
        <w:t>32</w:t>
      </w:r>
      <w:r>
        <w:rPr>
          <w:color w:val="231F20"/>
          <w:spacing w:val="-31"/>
          <w:w w:val="105"/>
          <w:sz w:val="21"/>
        </w:rPr>
        <w:t> </w:t>
      </w:r>
      <w:r>
        <w:rPr>
          <w:color w:val="231F20"/>
          <w:w w:val="105"/>
          <w:sz w:val="21"/>
        </w:rPr>
        <w:t>pp.</w:t>
      </w:r>
      <w:r>
        <w:rPr>
          <w:color w:val="231F20"/>
          <w:spacing w:val="-35"/>
          <w:w w:val="105"/>
          <w:sz w:val="21"/>
        </w:rPr>
        <w:t> </w:t>
      </w:r>
      <w:r>
        <w:rPr>
          <w:color w:val="231F20"/>
          <w:w w:val="105"/>
          <w:sz w:val="21"/>
        </w:rPr>
        <w:t>493-511.</w:t>
      </w:r>
    </w:p>
    <w:p>
      <w:pPr>
        <w:spacing w:line="259" w:lineRule="auto" w:before="0"/>
        <w:ind w:left="854" w:right="121" w:hanging="738"/>
        <w:jc w:val="both"/>
        <w:rPr>
          <w:sz w:val="21"/>
        </w:rPr>
      </w:pPr>
      <w:r>
        <w:rPr>
          <w:color w:val="231F20"/>
          <w:sz w:val="21"/>
        </w:rPr>
        <w:t>Scott, R. y Davis, G. 2007. </w:t>
      </w:r>
      <w:r>
        <w:rPr>
          <w:i/>
          <w:color w:val="231F20"/>
          <w:sz w:val="21"/>
        </w:rPr>
        <w:t>Organizations and organizing. Rational, natural </w:t>
      </w:r>
      <w:r>
        <w:rPr>
          <w:i/>
          <w:color w:val="231F20"/>
          <w:sz w:val="21"/>
        </w:rPr>
        <w:t>and</w:t>
      </w:r>
      <w:r>
        <w:rPr>
          <w:i/>
          <w:color w:val="231F20"/>
          <w:spacing w:val="-7"/>
          <w:sz w:val="21"/>
        </w:rPr>
        <w:t> </w:t>
      </w:r>
      <w:r>
        <w:rPr>
          <w:i/>
          <w:color w:val="231F20"/>
          <w:sz w:val="21"/>
        </w:rPr>
        <w:t>open</w:t>
      </w:r>
      <w:r>
        <w:rPr>
          <w:i/>
          <w:color w:val="231F20"/>
          <w:spacing w:val="-7"/>
          <w:sz w:val="21"/>
        </w:rPr>
        <w:t> </w:t>
      </w:r>
      <w:r>
        <w:rPr>
          <w:i/>
          <w:color w:val="231F20"/>
          <w:sz w:val="21"/>
        </w:rPr>
        <w:t>system</w:t>
      </w:r>
      <w:r>
        <w:rPr>
          <w:i/>
          <w:color w:val="231F20"/>
          <w:spacing w:val="-7"/>
          <w:sz w:val="21"/>
        </w:rPr>
        <w:t> </w:t>
      </w:r>
      <w:r>
        <w:rPr>
          <w:i/>
          <w:color w:val="231F20"/>
          <w:sz w:val="21"/>
        </w:rPr>
        <w:t>perspectives.</w:t>
      </w:r>
      <w:r>
        <w:rPr>
          <w:i/>
          <w:color w:val="231F20"/>
          <w:spacing w:val="-7"/>
          <w:sz w:val="21"/>
        </w:rPr>
        <w:t> </w:t>
      </w:r>
      <w:r>
        <w:rPr>
          <w:color w:val="231F20"/>
          <w:spacing w:val="-3"/>
          <w:sz w:val="21"/>
        </w:rPr>
        <w:t>Pearson-</w:t>
      </w:r>
      <w:r>
        <w:rPr>
          <w:color w:val="231F20"/>
          <w:spacing w:val="-7"/>
          <w:sz w:val="21"/>
        </w:rPr>
        <w:t> </w:t>
      </w:r>
      <w:r>
        <w:rPr>
          <w:color w:val="231F20"/>
          <w:sz w:val="21"/>
        </w:rPr>
        <w:t>Prentice</w:t>
      </w:r>
      <w:r>
        <w:rPr>
          <w:color w:val="231F20"/>
          <w:spacing w:val="-7"/>
          <w:sz w:val="21"/>
        </w:rPr>
        <w:t> </w:t>
      </w:r>
      <w:r>
        <w:rPr>
          <w:color w:val="231F20"/>
          <w:sz w:val="21"/>
        </w:rPr>
        <w:t>Hall:</w:t>
      </w:r>
      <w:r>
        <w:rPr>
          <w:color w:val="231F20"/>
          <w:spacing w:val="-7"/>
          <w:sz w:val="21"/>
        </w:rPr>
        <w:t> </w:t>
      </w:r>
      <w:r>
        <w:rPr>
          <w:color w:val="231F20"/>
          <w:sz w:val="21"/>
        </w:rPr>
        <w:t>Upper</w:t>
      </w:r>
      <w:r>
        <w:rPr>
          <w:color w:val="231F20"/>
          <w:spacing w:val="-7"/>
          <w:sz w:val="21"/>
        </w:rPr>
        <w:t> </w:t>
      </w:r>
      <w:r>
        <w:rPr>
          <w:color w:val="231F20"/>
          <w:sz w:val="21"/>
        </w:rPr>
        <w:t>Sad- dle River. pp.</w:t>
      </w:r>
      <w:r>
        <w:rPr>
          <w:color w:val="231F20"/>
          <w:spacing w:val="16"/>
          <w:sz w:val="21"/>
        </w:rPr>
        <w:t> </w:t>
      </w:r>
      <w:r>
        <w:rPr>
          <w:color w:val="231F20"/>
          <w:sz w:val="21"/>
        </w:rPr>
        <w:t>245-277.</w:t>
      </w:r>
    </w:p>
    <w:p>
      <w:pPr>
        <w:spacing w:line="259" w:lineRule="auto" w:before="0"/>
        <w:ind w:left="854" w:right="122" w:hanging="738"/>
        <w:jc w:val="both"/>
        <w:rPr>
          <w:sz w:val="21"/>
        </w:rPr>
      </w:pPr>
      <w:r>
        <w:rPr>
          <w:color w:val="231F20"/>
          <w:sz w:val="21"/>
        </w:rPr>
        <w:t>Schultz,T. (1961) “Investment in Human Capital”. </w:t>
      </w:r>
      <w:r>
        <w:rPr>
          <w:i/>
          <w:color w:val="231F20"/>
          <w:sz w:val="21"/>
        </w:rPr>
        <w:t>The American Economic </w:t>
      </w:r>
      <w:r>
        <w:rPr>
          <w:i/>
          <w:color w:val="231F20"/>
          <w:sz w:val="21"/>
        </w:rPr>
        <w:t>Review, </w:t>
      </w:r>
      <w:r>
        <w:rPr>
          <w:color w:val="231F20"/>
          <w:sz w:val="21"/>
        </w:rPr>
        <w:t>51 (1): 1- 17</w:t>
      </w:r>
    </w:p>
    <w:p>
      <w:pPr>
        <w:spacing w:line="259" w:lineRule="auto" w:before="0"/>
        <w:ind w:left="854" w:right="121" w:hanging="738"/>
        <w:jc w:val="both"/>
        <w:rPr>
          <w:sz w:val="21"/>
        </w:rPr>
      </w:pPr>
      <w:r>
        <w:rPr>
          <w:color w:val="231F20"/>
          <w:sz w:val="21"/>
        </w:rPr>
        <w:t>Smith,</w:t>
      </w:r>
      <w:r>
        <w:rPr>
          <w:color w:val="231F20"/>
          <w:spacing w:val="-16"/>
          <w:sz w:val="21"/>
        </w:rPr>
        <w:t> </w:t>
      </w:r>
      <w:r>
        <w:rPr>
          <w:color w:val="231F20"/>
          <w:sz w:val="21"/>
        </w:rPr>
        <w:t>A.</w:t>
      </w:r>
      <w:r>
        <w:rPr>
          <w:color w:val="231F20"/>
          <w:spacing w:val="-12"/>
          <w:sz w:val="21"/>
        </w:rPr>
        <w:t> </w:t>
      </w:r>
      <w:r>
        <w:rPr>
          <w:color w:val="231F20"/>
          <w:sz w:val="21"/>
        </w:rPr>
        <w:t>(1958)</w:t>
      </w:r>
      <w:r>
        <w:rPr>
          <w:color w:val="231F20"/>
          <w:spacing w:val="-5"/>
          <w:sz w:val="21"/>
        </w:rPr>
        <w:t> </w:t>
      </w:r>
      <w:r>
        <w:rPr>
          <w:i/>
          <w:color w:val="231F20"/>
          <w:sz w:val="21"/>
        </w:rPr>
        <w:t>Investigación</w:t>
      </w:r>
      <w:r>
        <w:rPr>
          <w:i/>
          <w:color w:val="231F20"/>
          <w:spacing w:val="-5"/>
          <w:sz w:val="21"/>
        </w:rPr>
        <w:t> </w:t>
      </w:r>
      <w:r>
        <w:rPr>
          <w:i/>
          <w:color w:val="231F20"/>
          <w:sz w:val="21"/>
        </w:rPr>
        <w:t>sobre</w:t>
      </w:r>
      <w:r>
        <w:rPr>
          <w:i/>
          <w:color w:val="231F20"/>
          <w:spacing w:val="-5"/>
          <w:sz w:val="21"/>
        </w:rPr>
        <w:t> </w:t>
      </w:r>
      <w:r>
        <w:rPr>
          <w:i/>
          <w:color w:val="231F20"/>
          <w:sz w:val="21"/>
        </w:rPr>
        <w:t>la</w:t>
      </w:r>
      <w:r>
        <w:rPr>
          <w:i/>
          <w:color w:val="231F20"/>
          <w:spacing w:val="-5"/>
          <w:sz w:val="21"/>
        </w:rPr>
        <w:t> </w:t>
      </w:r>
      <w:r>
        <w:rPr>
          <w:i/>
          <w:color w:val="231F20"/>
          <w:sz w:val="21"/>
        </w:rPr>
        <w:t>naturaleza</w:t>
      </w:r>
      <w:r>
        <w:rPr>
          <w:i/>
          <w:color w:val="231F20"/>
          <w:spacing w:val="-5"/>
          <w:sz w:val="21"/>
        </w:rPr>
        <w:t> </w:t>
      </w:r>
      <w:r>
        <w:rPr>
          <w:i/>
          <w:color w:val="231F20"/>
          <w:sz w:val="21"/>
        </w:rPr>
        <w:t>y</w:t>
      </w:r>
      <w:r>
        <w:rPr>
          <w:i/>
          <w:color w:val="231F20"/>
          <w:spacing w:val="-5"/>
          <w:sz w:val="21"/>
        </w:rPr>
        <w:t> </w:t>
      </w:r>
      <w:r>
        <w:rPr>
          <w:i/>
          <w:color w:val="231F20"/>
          <w:sz w:val="21"/>
        </w:rPr>
        <w:t>causa</w:t>
      </w:r>
      <w:r>
        <w:rPr>
          <w:i/>
          <w:color w:val="231F20"/>
          <w:spacing w:val="-5"/>
          <w:sz w:val="21"/>
        </w:rPr>
        <w:t> </w:t>
      </w:r>
      <w:r>
        <w:rPr>
          <w:i/>
          <w:color w:val="231F20"/>
          <w:sz w:val="21"/>
        </w:rPr>
        <w:t>de</w:t>
      </w:r>
      <w:r>
        <w:rPr>
          <w:i/>
          <w:color w:val="231F20"/>
          <w:spacing w:val="-5"/>
          <w:sz w:val="21"/>
        </w:rPr>
        <w:t> </w:t>
      </w:r>
      <w:r>
        <w:rPr>
          <w:i/>
          <w:color w:val="231F20"/>
          <w:sz w:val="21"/>
        </w:rPr>
        <w:t>la</w:t>
      </w:r>
      <w:r>
        <w:rPr>
          <w:i/>
          <w:color w:val="231F20"/>
          <w:spacing w:val="-5"/>
          <w:sz w:val="21"/>
        </w:rPr>
        <w:t> </w:t>
      </w:r>
      <w:r>
        <w:rPr>
          <w:i/>
          <w:color w:val="231F20"/>
          <w:sz w:val="21"/>
        </w:rPr>
        <w:t>riqueza</w:t>
      </w:r>
      <w:r>
        <w:rPr>
          <w:i/>
          <w:color w:val="231F20"/>
          <w:spacing w:val="-5"/>
          <w:sz w:val="21"/>
        </w:rPr>
        <w:t> </w:t>
      </w:r>
      <w:r>
        <w:rPr>
          <w:i/>
          <w:color w:val="231F20"/>
          <w:sz w:val="21"/>
        </w:rPr>
        <w:t>de </w:t>
      </w:r>
      <w:r>
        <w:rPr>
          <w:i/>
          <w:color w:val="231F20"/>
          <w:sz w:val="21"/>
        </w:rPr>
        <w:t>las naciones. </w:t>
      </w:r>
      <w:r>
        <w:rPr>
          <w:color w:val="231F20"/>
          <w:sz w:val="21"/>
        </w:rPr>
        <w:t>México, </w:t>
      </w:r>
      <w:r>
        <w:rPr>
          <w:color w:val="231F20"/>
          <w:spacing w:val="-7"/>
          <w:sz w:val="21"/>
        </w:rPr>
        <w:t>D.F.: </w:t>
      </w:r>
      <w:r>
        <w:rPr>
          <w:color w:val="231F20"/>
          <w:spacing w:val="-3"/>
          <w:sz w:val="21"/>
        </w:rPr>
        <w:t>Fondo </w:t>
      </w:r>
      <w:r>
        <w:rPr>
          <w:color w:val="231F20"/>
          <w:sz w:val="21"/>
        </w:rPr>
        <w:t>de Cultura </w:t>
      </w:r>
      <w:r>
        <w:rPr>
          <w:color w:val="231F20"/>
          <w:spacing w:val="22"/>
          <w:sz w:val="21"/>
        </w:rPr>
        <w:t> </w:t>
      </w:r>
      <w:r>
        <w:rPr>
          <w:color w:val="231F20"/>
          <w:sz w:val="21"/>
        </w:rPr>
        <w:t>Económico.</w:t>
      </w:r>
    </w:p>
    <w:p>
      <w:pPr>
        <w:pStyle w:val="BodyText"/>
        <w:spacing w:line="259" w:lineRule="auto"/>
        <w:ind w:left="854" w:right="115" w:hanging="738"/>
        <w:jc w:val="both"/>
      </w:pPr>
      <w:r>
        <w:rPr>
          <w:color w:val="231F20"/>
          <w:w w:val="105"/>
        </w:rPr>
        <w:t>Sollova, </w:t>
      </w:r>
      <w:r>
        <w:rPr>
          <w:color w:val="231F20"/>
          <w:spacing w:val="-9"/>
          <w:w w:val="105"/>
        </w:rPr>
        <w:t>V. </w:t>
      </w:r>
      <w:r>
        <w:rPr>
          <w:color w:val="231F20"/>
          <w:w w:val="105"/>
        </w:rPr>
        <w:t>y Baca, N. (1999) “Enfoques teórico-metodológicos sobre</w:t>
      </w:r>
      <w:r>
        <w:rPr>
          <w:color w:val="231F20"/>
          <w:spacing w:val="-19"/>
          <w:w w:val="105"/>
        </w:rPr>
        <w:t> </w:t>
      </w:r>
      <w:r>
        <w:rPr>
          <w:color w:val="231F20"/>
          <w:w w:val="105"/>
        </w:rPr>
        <w:t>el trabajo </w:t>
      </w:r>
      <w:r>
        <w:rPr>
          <w:color w:val="231F20"/>
          <w:spacing w:val="-3"/>
          <w:w w:val="105"/>
        </w:rPr>
        <w:t>femenino”.</w:t>
      </w:r>
      <w:r>
        <w:rPr>
          <w:i/>
          <w:color w:val="231F20"/>
          <w:spacing w:val="-3"/>
          <w:w w:val="105"/>
        </w:rPr>
        <w:t>Papeles </w:t>
      </w:r>
      <w:r>
        <w:rPr>
          <w:i/>
          <w:color w:val="231F20"/>
          <w:w w:val="105"/>
        </w:rPr>
        <w:t>de población </w:t>
      </w:r>
      <w:r>
        <w:rPr>
          <w:color w:val="231F20"/>
          <w:w w:val="105"/>
        </w:rPr>
        <w:t>(5):20 abril-junio 1999. pp.</w:t>
      </w:r>
      <w:r>
        <w:rPr>
          <w:color w:val="231F20"/>
          <w:spacing w:val="-21"/>
          <w:w w:val="105"/>
        </w:rPr>
        <w:t> </w:t>
      </w:r>
      <w:r>
        <w:rPr>
          <w:color w:val="231F20"/>
          <w:w w:val="105"/>
        </w:rPr>
        <w:t>69-88.</w:t>
      </w:r>
    </w:p>
    <w:p>
      <w:pPr>
        <w:spacing w:after="0" w:line="259" w:lineRule="auto"/>
        <w:jc w:val="both"/>
        <w:sectPr>
          <w:pgSz w:w="9640" w:h="13890"/>
          <w:pgMar w:top="0" w:bottom="280" w:left="1300" w:right="1180"/>
        </w:sectPr>
      </w:pPr>
    </w:p>
    <w:p>
      <w:pPr>
        <w:spacing w:line="259" w:lineRule="auto" w:before="120"/>
        <w:ind w:left="840" w:right="17" w:hanging="737"/>
        <w:jc w:val="left"/>
        <w:rPr>
          <w:sz w:val="21"/>
        </w:rPr>
      </w:pPr>
      <w:r>
        <w:rPr>
          <w:color w:val="231F20"/>
          <w:sz w:val="21"/>
        </w:rPr>
        <w:t>Solow, R. (1992). </w:t>
      </w:r>
      <w:r>
        <w:rPr>
          <w:i/>
          <w:color w:val="231F20"/>
          <w:sz w:val="21"/>
        </w:rPr>
        <w:t>El mercado de trabajo como institución social</w:t>
      </w:r>
      <w:r>
        <w:rPr>
          <w:color w:val="231F20"/>
          <w:sz w:val="21"/>
        </w:rPr>
        <w:t>. Madrid: Alianza Editorial.</w:t>
      </w:r>
    </w:p>
    <w:p>
      <w:pPr>
        <w:spacing w:line="259" w:lineRule="auto" w:before="0"/>
        <w:ind w:left="840" w:right="17" w:hanging="737"/>
        <w:jc w:val="left"/>
        <w:rPr>
          <w:sz w:val="21"/>
        </w:rPr>
      </w:pPr>
      <w:r>
        <w:rPr>
          <w:color w:val="231F20"/>
          <w:sz w:val="21"/>
        </w:rPr>
        <w:t>Toharia, L. (1983). </w:t>
      </w:r>
      <w:r>
        <w:rPr>
          <w:i/>
          <w:color w:val="231F20"/>
          <w:sz w:val="21"/>
        </w:rPr>
        <w:t>El mercado de trabajo: Teorías y aplicaciones Compila- </w:t>
      </w:r>
      <w:r>
        <w:rPr>
          <w:i/>
          <w:color w:val="231F20"/>
          <w:sz w:val="21"/>
        </w:rPr>
        <w:t>ciones e introducción de Luis Toharia</w:t>
      </w:r>
      <w:r>
        <w:rPr>
          <w:color w:val="231F20"/>
          <w:sz w:val="21"/>
        </w:rPr>
        <w:t>. Madrid:  Alianza.</w:t>
      </w:r>
    </w:p>
    <w:p>
      <w:pPr>
        <w:spacing w:line="259" w:lineRule="auto" w:before="0"/>
        <w:ind w:left="103" w:right="17" w:firstLine="0"/>
        <w:jc w:val="left"/>
        <w:rPr>
          <w:i/>
          <w:sz w:val="21"/>
        </w:rPr>
      </w:pPr>
      <w:r>
        <w:rPr>
          <w:color w:val="231F20"/>
          <w:sz w:val="21"/>
        </w:rPr>
        <w:t>Womack, J. y Jones, D. (2003) </w:t>
      </w:r>
      <w:r>
        <w:rPr>
          <w:i/>
          <w:color w:val="231F20"/>
          <w:sz w:val="21"/>
        </w:rPr>
        <w:t>Lean thinking</w:t>
      </w:r>
      <w:r>
        <w:rPr>
          <w:color w:val="231F20"/>
          <w:sz w:val="21"/>
        </w:rPr>
        <w:t>. New York: Free Press. Zeytinoglu, I. (1999). </w:t>
      </w:r>
      <w:r>
        <w:rPr>
          <w:i/>
          <w:color w:val="231F20"/>
          <w:sz w:val="21"/>
        </w:rPr>
        <w:t>Changing work relationships in Industrialized   Econ-</w:t>
      </w:r>
    </w:p>
    <w:p>
      <w:pPr>
        <w:pStyle w:val="BodyText"/>
        <w:spacing w:line="259" w:lineRule="auto"/>
        <w:ind w:left="840" w:right="114"/>
      </w:pPr>
      <w:r>
        <w:rPr>
          <w:i/>
          <w:color w:val="231F20"/>
          <w:w w:val="105"/>
        </w:rPr>
        <w:t>omies</w:t>
      </w:r>
      <w:r>
        <w:rPr>
          <w:color w:val="231F20"/>
          <w:w w:val="105"/>
        </w:rPr>
        <w:t>. Philadelphia: Library of Congress Cataloging in Publica- tion Data.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1240"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182</w:t>
        <w:tab/>
      </w:r>
      <w:r>
        <w:rPr>
          <w:rFonts w:ascii="Calibri" w:hAnsi="Calibri"/>
          <w:color w:val="6D6E71"/>
          <w:sz w:val="15"/>
        </w:rPr>
        <w:t>Lisy Rubio Hernández y María del Carmen Salgado </w:t>
      </w:r>
      <w:r>
        <w:rPr>
          <w:rFonts w:ascii="Calibri" w:hAnsi="Calibri"/>
          <w:color w:val="6D6E71"/>
          <w:spacing w:val="23"/>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r>
        <w:rPr/>
        <w:drawing>
          <wp:anchor distT="0" distB="0" distL="0" distR="0" allowOverlap="1" layoutInCell="1" locked="0" behindDoc="1" simplePos="0" relativeHeight="268194239">
            <wp:simplePos x="0" y="0"/>
            <wp:positionH relativeFrom="page">
              <wp:posOffset>7200</wp:posOffset>
            </wp:positionH>
            <wp:positionV relativeFrom="page">
              <wp:posOffset>0</wp:posOffset>
            </wp:positionV>
            <wp:extent cx="6112802" cy="8819997"/>
            <wp:effectExtent l="0" t="0" r="0" b="0"/>
            <wp:wrapNone/>
            <wp:docPr id="45" name="image11.png" descr=""/>
            <wp:cNvGraphicFramePr>
              <a:graphicFrameLocks noChangeAspect="1"/>
            </wp:cNvGraphicFramePr>
            <a:graphic>
              <a:graphicData uri="http://schemas.openxmlformats.org/drawingml/2006/picture">
                <pic:pic>
                  <pic:nvPicPr>
                    <pic:cNvPr id="46"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8"/>
        </w:rPr>
      </w:pPr>
    </w:p>
    <w:p>
      <w:pPr>
        <w:pStyle w:val="Heading1"/>
        <w:numPr>
          <w:ilvl w:val="0"/>
          <w:numId w:val="54"/>
        </w:numPr>
        <w:tabs>
          <w:tab w:pos="1360" w:val="left" w:leader="none"/>
        </w:tabs>
        <w:spacing w:line="288" w:lineRule="exact" w:before="37" w:after="0"/>
        <w:ind w:left="883" w:right="3024" w:firstLine="30"/>
        <w:jc w:val="right"/>
        <w:rPr>
          <w:color w:val="FFFFFF"/>
        </w:rPr>
      </w:pPr>
      <w:r>
        <w:rPr>
          <w:color w:val="FFFFFF"/>
          <w:w w:val="110"/>
        </w:rPr>
        <w:t>ROL</w:t>
      </w:r>
      <w:r>
        <w:rPr>
          <w:color w:val="FFFFFF"/>
          <w:spacing w:val="-25"/>
          <w:w w:val="110"/>
        </w:rPr>
        <w:t> </w:t>
      </w:r>
      <w:r>
        <w:rPr>
          <w:color w:val="FFFFFF"/>
          <w:w w:val="110"/>
        </w:rPr>
        <w:t>INSTITUCIONAL</w:t>
      </w:r>
      <w:r>
        <w:rPr>
          <w:color w:val="FFFFFF"/>
          <w:spacing w:val="-25"/>
          <w:w w:val="110"/>
        </w:rPr>
        <w:t> </w:t>
      </w:r>
      <w:r>
        <w:rPr>
          <w:color w:val="FFFFFF"/>
          <w:w w:val="110"/>
        </w:rPr>
        <w:t>DEL</w:t>
      </w:r>
      <w:r>
        <w:rPr>
          <w:color w:val="FFFFFF"/>
          <w:w w:val="112"/>
        </w:rPr>
        <w:t> </w:t>
      </w:r>
      <w:r>
        <w:rPr>
          <w:color w:val="FFFFFF"/>
          <w:w w:val="105"/>
        </w:rPr>
        <w:t>ftOBIERNO</w:t>
      </w:r>
      <w:r>
        <w:rPr>
          <w:color w:val="FFFFFF"/>
          <w:spacing w:val="25"/>
          <w:w w:val="105"/>
        </w:rPr>
        <w:t> </w:t>
      </w:r>
      <w:r>
        <w:rPr>
          <w:color w:val="FFFFFF"/>
          <w:w w:val="105"/>
        </w:rPr>
        <w:t>EN</w:t>
      </w:r>
      <w:r>
        <w:rPr>
          <w:color w:val="FFFFFF"/>
          <w:spacing w:val="25"/>
          <w:w w:val="105"/>
        </w:rPr>
        <w:t> </w:t>
      </w:r>
      <w:r>
        <w:rPr>
          <w:color w:val="FFFFFF"/>
          <w:w w:val="105"/>
        </w:rPr>
        <w:t>DEPENDENCIA</w:t>
      </w:r>
      <w:r>
        <w:rPr>
          <w:color w:val="FFFFFF"/>
          <w:w w:val="107"/>
        </w:rPr>
        <w:t> </w:t>
      </w:r>
      <w:r>
        <w:rPr>
          <w:color w:val="FFFFFF"/>
          <w:w w:val="110"/>
        </w:rPr>
        <w:t>DE</w:t>
      </w:r>
      <w:r>
        <w:rPr>
          <w:color w:val="FFFFFF"/>
          <w:spacing w:val="-26"/>
          <w:w w:val="110"/>
        </w:rPr>
        <w:t> </w:t>
      </w:r>
      <w:r>
        <w:rPr>
          <w:color w:val="FFFFFF"/>
          <w:w w:val="110"/>
        </w:rPr>
        <w:t>RECURSOS</w:t>
      </w:r>
      <w:r>
        <w:rPr>
          <w:color w:val="FFFFFF"/>
          <w:spacing w:val="-26"/>
          <w:w w:val="110"/>
        </w:rPr>
        <w:t> </w:t>
      </w:r>
      <w:r>
        <w:rPr>
          <w:color w:val="FFFFFF"/>
          <w:w w:val="110"/>
        </w:rPr>
        <w:t>NATURALES:</w:t>
      </w:r>
    </w:p>
    <w:p>
      <w:pPr>
        <w:spacing w:before="2"/>
        <w:ind w:left="0" w:right="3024" w:firstLine="0"/>
        <w:jc w:val="right"/>
        <w:rPr>
          <w:rFonts w:ascii="Calibri" w:hAnsi="Calibri"/>
          <w:sz w:val="24"/>
        </w:rPr>
      </w:pPr>
      <w:r>
        <w:rPr>
          <w:rFonts w:ascii="Calibri" w:hAnsi="Calibri"/>
          <w:color w:val="FFFFFF"/>
          <w:w w:val="105"/>
          <w:sz w:val="24"/>
        </w:rPr>
        <w:t>IMPLEMENTACIÓN DE REftLA FISCAL</w:t>
      </w:r>
    </w:p>
    <w:p>
      <w:pPr>
        <w:pStyle w:val="Heading3"/>
        <w:spacing w:line="266" w:lineRule="exact" w:before="122"/>
      </w:pPr>
      <w:r>
        <w:rPr>
          <w:color w:val="FFFFFF"/>
        </w:rPr>
        <w:t>Roger Alejandro Banegas Rivero</w:t>
      </w:r>
    </w:p>
    <w:p>
      <w:pPr>
        <w:spacing w:line="266" w:lineRule="exact" w:before="0"/>
        <w:ind w:left="3931" w:right="0" w:firstLine="0"/>
        <w:jc w:val="left"/>
        <w:rPr>
          <w:rFonts w:ascii="Calibri" w:hAnsi="Calibri"/>
          <w:sz w:val="22"/>
        </w:rPr>
      </w:pPr>
      <w:r>
        <w:rPr>
          <w:rFonts w:ascii="Calibri" w:hAnsi="Calibri"/>
          <w:color w:val="FFFFFF"/>
          <w:w w:val="105"/>
          <w:sz w:val="22"/>
        </w:rPr>
        <w:t>Reyna Vergara González</w:t>
      </w:r>
    </w:p>
    <w:p>
      <w:pPr>
        <w:spacing w:after="0" w:line="266" w:lineRule="exact"/>
        <w:jc w:val="left"/>
        <w:rPr>
          <w:rFonts w:ascii="Calibri" w:hAnsi="Calibri"/>
          <w:sz w:val="22"/>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80"/>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21"/>
        <w:jc w:val="both"/>
      </w:pPr>
      <w:r>
        <w:rPr/>
        <w:pict>
          <v:shape style="position:absolute;margin-left:82.218903pt;margin-top:13.282709pt;width:31.2pt;height:51pt;mso-position-horizontal-relative:page;mso-position-vertical-relative:paragraph;z-index:6736"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6"/>
          <w:w w:val="105"/>
        </w:rPr>
        <w:t> </w:t>
      </w:r>
      <w:r>
        <w:rPr>
          <w:color w:val="231F20"/>
          <w:w w:val="105"/>
        </w:rPr>
        <w:t>propósito</w:t>
      </w:r>
      <w:r>
        <w:rPr>
          <w:color w:val="231F20"/>
          <w:spacing w:val="-6"/>
          <w:w w:val="105"/>
        </w:rPr>
        <w:t> </w:t>
      </w:r>
      <w:r>
        <w:rPr>
          <w:color w:val="231F20"/>
          <w:w w:val="105"/>
        </w:rPr>
        <w:t>del</w:t>
      </w:r>
      <w:r>
        <w:rPr>
          <w:color w:val="231F20"/>
          <w:spacing w:val="-6"/>
          <w:w w:val="105"/>
        </w:rPr>
        <w:t> </w:t>
      </w:r>
      <w:r>
        <w:rPr>
          <w:color w:val="231F20"/>
          <w:w w:val="105"/>
        </w:rPr>
        <w:t>capítulo</w:t>
      </w:r>
      <w:r>
        <w:rPr>
          <w:color w:val="231F20"/>
          <w:spacing w:val="-6"/>
          <w:w w:val="105"/>
        </w:rPr>
        <w:t> </w:t>
      </w:r>
      <w:r>
        <w:rPr>
          <w:color w:val="231F20"/>
          <w:w w:val="105"/>
        </w:rPr>
        <w:t>es</w:t>
      </w:r>
      <w:r>
        <w:rPr>
          <w:color w:val="231F20"/>
          <w:spacing w:val="-6"/>
          <w:w w:val="105"/>
        </w:rPr>
        <w:t> </w:t>
      </w:r>
      <w:r>
        <w:rPr>
          <w:color w:val="231F20"/>
          <w:w w:val="105"/>
        </w:rPr>
        <w:t>abordar</w:t>
      </w:r>
      <w:r>
        <w:rPr>
          <w:color w:val="231F20"/>
          <w:spacing w:val="-6"/>
          <w:w w:val="105"/>
        </w:rPr>
        <w:t> </w:t>
      </w:r>
      <w:r>
        <w:rPr>
          <w:color w:val="231F20"/>
          <w:w w:val="105"/>
        </w:rPr>
        <w:t>teóricamente</w:t>
      </w:r>
      <w:r>
        <w:rPr>
          <w:color w:val="231F20"/>
          <w:spacing w:val="-6"/>
          <w:w w:val="105"/>
        </w:rPr>
        <w:t> </w:t>
      </w:r>
      <w:r>
        <w:rPr>
          <w:color w:val="231F20"/>
          <w:w w:val="105"/>
        </w:rPr>
        <w:t>dos</w:t>
      </w:r>
      <w:r>
        <w:rPr>
          <w:color w:val="231F20"/>
          <w:spacing w:val="-6"/>
          <w:w w:val="105"/>
        </w:rPr>
        <w:t> </w:t>
      </w:r>
      <w:r>
        <w:rPr>
          <w:color w:val="231F20"/>
          <w:w w:val="105"/>
        </w:rPr>
        <w:t>pregun- tas</w:t>
      </w:r>
      <w:r>
        <w:rPr>
          <w:color w:val="231F20"/>
          <w:spacing w:val="-25"/>
          <w:w w:val="105"/>
        </w:rPr>
        <w:t> </w:t>
      </w:r>
      <w:r>
        <w:rPr>
          <w:color w:val="231F20"/>
          <w:w w:val="105"/>
        </w:rPr>
        <w:t>de</w:t>
      </w:r>
      <w:r>
        <w:rPr>
          <w:color w:val="231F20"/>
          <w:spacing w:val="-25"/>
          <w:w w:val="105"/>
        </w:rPr>
        <w:t> </w:t>
      </w:r>
      <w:r>
        <w:rPr>
          <w:color w:val="231F20"/>
          <w:w w:val="105"/>
        </w:rPr>
        <w:t>investigación:</w:t>
      </w:r>
      <w:r>
        <w:rPr>
          <w:color w:val="231F20"/>
          <w:spacing w:val="-25"/>
          <w:w w:val="105"/>
        </w:rPr>
        <w:t> </w:t>
      </w:r>
      <w:r>
        <w:rPr>
          <w:color w:val="231F20"/>
          <w:w w:val="105"/>
        </w:rPr>
        <w:t>¿cuál</w:t>
      </w:r>
      <w:r>
        <w:rPr>
          <w:color w:val="231F20"/>
          <w:spacing w:val="-25"/>
          <w:w w:val="105"/>
        </w:rPr>
        <w:t> </w:t>
      </w:r>
      <w:r>
        <w:rPr>
          <w:color w:val="231F20"/>
          <w:w w:val="105"/>
        </w:rPr>
        <w:t>es</w:t>
      </w:r>
      <w:r>
        <w:rPr>
          <w:color w:val="231F20"/>
          <w:spacing w:val="-25"/>
          <w:w w:val="105"/>
        </w:rPr>
        <w:t> </w:t>
      </w:r>
      <w:r>
        <w:rPr>
          <w:color w:val="231F20"/>
          <w:w w:val="105"/>
        </w:rPr>
        <w:t>la</w:t>
      </w:r>
      <w:r>
        <w:rPr>
          <w:color w:val="231F20"/>
          <w:spacing w:val="-25"/>
          <w:w w:val="105"/>
        </w:rPr>
        <w:t> </w:t>
      </w:r>
      <w:r>
        <w:rPr>
          <w:color w:val="231F20"/>
          <w:w w:val="105"/>
        </w:rPr>
        <w:t>relevancia</w:t>
      </w:r>
      <w:r>
        <w:rPr>
          <w:color w:val="231F20"/>
          <w:spacing w:val="-25"/>
          <w:w w:val="105"/>
        </w:rPr>
        <w:t> </w:t>
      </w:r>
      <w:r>
        <w:rPr>
          <w:color w:val="231F20"/>
          <w:w w:val="105"/>
        </w:rPr>
        <w:t>del</w:t>
      </w:r>
      <w:r>
        <w:rPr>
          <w:color w:val="231F20"/>
          <w:spacing w:val="-25"/>
          <w:w w:val="105"/>
        </w:rPr>
        <w:t> </w:t>
      </w:r>
      <w:r>
        <w:rPr>
          <w:color w:val="231F20"/>
          <w:w w:val="105"/>
        </w:rPr>
        <w:t>rol</w:t>
      </w:r>
      <w:r>
        <w:rPr>
          <w:color w:val="231F20"/>
          <w:spacing w:val="-25"/>
          <w:w w:val="105"/>
        </w:rPr>
        <w:t> </w:t>
      </w:r>
      <w:r>
        <w:rPr>
          <w:color w:val="231F20"/>
          <w:w w:val="105"/>
        </w:rPr>
        <w:t>institucional del</w:t>
      </w:r>
      <w:r>
        <w:rPr>
          <w:color w:val="231F20"/>
          <w:spacing w:val="-11"/>
          <w:w w:val="105"/>
        </w:rPr>
        <w:t> </w:t>
      </w:r>
      <w:r>
        <w:rPr>
          <w:color w:val="231F20"/>
          <w:w w:val="105"/>
        </w:rPr>
        <w:t>gobierno</w:t>
      </w:r>
      <w:r>
        <w:rPr>
          <w:color w:val="231F20"/>
          <w:spacing w:val="-11"/>
          <w:w w:val="105"/>
        </w:rPr>
        <w:t> </w:t>
      </w:r>
      <w:r>
        <w:rPr>
          <w:color w:val="231F20"/>
          <w:w w:val="105"/>
        </w:rPr>
        <w:t>en</w:t>
      </w:r>
      <w:r>
        <w:rPr>
          <w:color w:val="231F20"/>
          <w:spacing w:val="-11"/>
          <w:w w:val="105"/>
        </w:rPr>
        <w:t> </w:t>
      </w:r>
      <w:r>
        <w:rPr>
          <w:color w:val="231F20"/>
          <w:w w:val="105"/>
        </w:rPr>
        <w:t>países</w:t>
      </w:r>
      <w:r>
        <w:rPr>
          <w:color w:val="231F20"/>
          <w:spacing w:val="-11"/>
          <w:w w:val="105"/>
        </w:rPr>
        <w:t> </w:t>
      </w:r>
      <w:r>
        <w:rPr>
          <w:color w:val="231F20"/>
          <w:w w:val="105"/>
        </w:rPr>
        <w:t>dependientes</w:t>
      </w:r>
      <w:r>
        <w:rPr>
          <w:color w:val="231F20"/>
          <w:spacing w:val="-11"/>
          <w:w w:val="105"/>
        </w:rPr>
        <w:t> </w:t>
      </w:r>
      <w:r>
        <w:rPr>
          <w:color w:val="231F20"/>
          <w:w w:val="105"/>
        </w:rPr>
        <w:t>de</w:t>
      </w:r>
      <w:r>
        <w:rPr>
          <w:color w:val="231F20"/>
          <w:spacing w:val="-11"/>
          <w:w w:val="105"/>
        </w:rPr>
        <w:t> </w:t>
      </w:r>
      <w:r>
        <w:rPr>
          <w:color w:val="231F20"/>
          <w:w w:val="105"/>
        </w:rPr>
        <w:t>recursos</w:t>
      </w:r>
      <w:r>
        <w:rPr>
          <w:color w:val="231F20"/>
          <w:spacing w:val="-11"/>
          <w:w w:val="105"/>
        </w:rPr>
        <w:t> </w:t>
      </w:r>
      <w:r>
        <w:rPr>
          <w:color w:val="231F20"/>
          <w:w w:val="105"/>
        </w:rPr>
        <w:t>naturales?</w:t>
      </w:r>
    </w:p>
    <w:p>
      <w:pPr>
        <w:pStyle w:val="BodyText"/>
        <w:spacing w:line="259" w:lineRule="auto"/>
        <w:ind w:left="1180" w:right="121"/>
        <w:jc w:val="both"/>
      </w:pPr>
      <w:r>
        <w:rPr>
          <w:color w:val="231F20"/>
          <w:spacing w:val="-4"/>
          <w:w w:val="105"/>
        </w:rPr>
        <w:t>¿Por</w:t>
      </w:r>
      <w:r>
        <w:rPr>
          <w:color w:val="231F20"/>
          <w:spacing w:val="-28"/>
          <w:w w:val="105"/>
        </w:rPr>
        <w:t> </w:t>
      </w:r>
      <w:r>
        <w:rPr>
          <w:color w:val="231F20"/>
          <w:w w:val="105"/>
        </w:rPr>
        <w:t>qué</w:t>
      </w:r>
      <w:r>
        <w:rPr>
          <w:color w:val="231F20"/>
          <w:spacing w:val="-28"/>
          <w:w w:val="105"/>
        </w:rPr>
        <w:t> </w:t>
      </w:r>
      <w:r>
        <w:rPr>
          <w:color w:val="231F20"/>
          <w:w w:val="105"/>
        </w:rPr>
        <w:t>es</w:t>
      </w:r>
      <w:r>
        <w:rPr>
          <w:color w:val="231F20"/>
          <w:spacing w:val="-28"/>
          <w:w w:val="105"/>
        </w:rPr>
        <w:t> </w:t>
      </w:r>
      <w:r>
        <w:rPr>
          <w:color w:val="231F20"/>
          <w:w w:val="105"/>
        </w:rPr>
        <w:t>importante</w:t>
      </w:r>
      <w:r>
        <w:rPr>
          <w:color w:val="231F20"/>
          <w:spacing w:val="-28"/>
          <w:w w:val="105"/>
        </w:rPr>
        <w:t> </w:t>
      </w:r>
      <w:r>
        <w:rPr>
          <w:color w:val="231F20"/>
          <w:w w:val="105"/>
        </w:rPr>
        <w:t>la</w:t>
      </w:r>
      <w:r>
        <w:rPr>
          <w:color w:val="231F20"/>
          <w:spacing w:val="-28"/>
          <w:w w:val="105"/>
        </w:rPr>
        <w:t> </w:t>
      </w:r>
      <w:r>
        <w:rPr>
          <w:color w:val="231F20"/>
          <w:w w:val="105"/>
        </w:rPr>
        <w:t>implementación</w:t>
      </w:r>
      <w:r>
        <w:rPr>
          <w:color w:val="231F20"/>
          <w:spacing w:val="-28"/>
          <w:w w:val="105"/>
        </w:rPr>
        <w:t> </w:t>
      </w:r>
      <w:r>
        <w:rPr>
          <w:color w:val="231F20"/>
          <w:w w:val="105"/>
        </w:rPr>
        <w:t>de</w:t>
      </w:r>
      <w:r>
        <w:rPr>
          <w:color w:val="231F20"/>
          <w:spacing w:val="-28"/>
          <w:w w:val="105"/>
        </w:rPr>
        <w:t> </w:t>
      </w:r>
      <w:r>
        <w:rPr>
          <w:color w:val="231F20"/>
          <w:w w:val="105"/>
        </w:rPr>
        <w:t>una</w:t>
      </w:r>
      <w:r>
        <w:rPr>
          <w:color w:val="231F20"/>
          <w:spacing w:val="-28"/>
          <w:w w:val="105"/>
        </w:rPr>
        <w:t> </w:t>
      </w:r>
      <w:r>
        <w:rPr>
          <w:color w:val="231F20"/>
          <w:w w:val="105"/>
        </w:rPr>
        <w:t>regla</w:t>
      </w:r>
      <w:r>
        <w:rPr>
          <w:color w:val="231F20"/>
          <w:spacing w:val="-28"/>
          <w:w w:val="105"/>
        </w:rPr>
        <w:t> </w:t>
      </w:r>
      <w:r>
        <w:rPr>
          <w:color w:val="231F20"/>
          <w:w w:val="105"/>
        </w:rPr>
        <w:t>fiscal? </w:t>
      </w:r>
      <w:r>
        <w:rPr>
          <w:color w:val="231F20"/>
          <w:spacing w:val="-4"/>
          <w:w w:val="105"/>
        </w:rPr>
        <w:t>Para</w:t>
      </w:r>
      <w:r>
        <w:rPr>
          <w:color w:val="231F20"/>
          <w:spacing w:val="-12"/>
          <w:w w:val="105"/>
        </w:rPr>
        <w:t> </w:t>
      </w:r>
      <w:r>
        <w:rPr>
          <w:color w:val="231F20"/>
          <w:w w:val="105"/>
        </w:rPr>
        <w:t>responder</w:t>
      </w:r>
      <w:r>
        <w:rPr>
          <w:color w:val="231F20"/>
          <w:spacing w:val="-12"/>
          <w:w w:val="105"/>
        </w:rPr>
        <w:t> </w:t>
      </w:r>
      <w:r>
        <w:rPr>
          <w:color w:val="231F20"/>
          <w:w w:val="105"/>
        </w:rPr>
        <w:t>a</w:t>
      </w:r>
      <w:r>
        <w:rPr>
          <w:color w:val="231F20"/>
          <w:spacing w:val="-12"/>
          <w:w w:val="105"/>
        </w:rPr>
        <w:t> </w:t>
      </w:r>
      <w:r>
        <w:rPr>
          <w:color w:val="231F20"/>
          <w:w w:val="105"/>
        </w:rPr>
        <w:t>ello,</w:t>
      </w:r>
      <w:r>
        <w:rPr>
          <w:color w:val="231F20"/>
          <w:spacing w:val="-17"/>
          <w:w w:val="105"/>
        </w:rPr>
        <w:t> </w:t>
      </w:r>
      <w:r>
        <w:rPr>
          <w:color w:val="231F20"/>
          <w:w w:val="105"/>
        </w:rPr>
        <w:t>se</w:t>
      </w:r>
      <w:r>
        <w:rPr>
          <w:color w:val="231F20"/>
          <w:spacing w:val="-12"/>
          <w:w w:val="105"/>
        </w:rPr>
        <w:t> </w:t>
      </w:r>
      <w:r>
        <w:rPr>
          <w:color w:val="231F20"/>
          <w:w w:val="105"/>
        </w:rPr>
        <w:t>proponen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política</w:t>
      </w:r>
      <w:r>
        <w:rPr>
          <w:color w:val="231F20"/>
          <w:spacing w:val="-12"/>
          <w:w w:val="105"/>
        </w:rPr>
        <w:t> </w:t>
      </w:r>
      <w:r>
        <w:rPr>
          <w:color w:val="231F20"/>
          <w:w w:val="105"/>
        </w:rPr>
        <w:t>fiscal</w:t>
      </w:r>
      <w:r>
        <w:rPr>
          <w:color w:val="231F20"/>
          <w:spacing w:val="-12"/>
          <w:w w:val="105"/>
        </w:rPr>
        <w:t> </w:t>
      </w:r>
      <w:r>
        <w:rPr>
          <w:color w:val="231F20"/>
          <w:w w:val="105"/>
        </w:rPr>
        <w:t>y</w:t>
      </w:r>
      <w:r>
        <w:rPr>
          <w:color w:val="231F20"/>
          <w:spacing w:val="-12"/>
          <w:w w:val="105"/>
        </w:rPr>
        <w:t> </w:t>
      </w:r>
      <w:r>
        <w:rPr>
          <w:color w:val="231F20"/>
          <w:w w:val="105"/>
        </w:rPr>
        <w:t>teoría</w:t>
      </w:r>
    </w:p>
    <w:p>
      <w:pPr>
        <w:pStyle w:val="BodyText"/>
        <w:spacing w:line="259" w:lineRule="auto"/>
        <w:ind w:left="117" w:right="121"/>
        <w:jc w:val="both"/>
      </w:pPr>
      <w:r>
        <w:rPr>
          <w:color w:val="231F20"/>
          <w:w w:val="105"/>
        </w:rPr>
        <w:t>institucional</w:t>
      </w:r>
      <w:r>
        <w:rPr>
          <w:color w:val="231F20"/>
          <w:spacing w:val="-20"/>
          <w:w w:val="105"/>
        </w:rPr>
        <w:t> </w:t>
      </w:r>
      <w:r>
        <w:rPr>
          <w:color w:val="231F20"/>
          <w:w w:val="105"/>
        </w:rPr>
        <w:t>como</w:t>
      </w:r>
      <w:r>
        <w:rPr>
          <w:color w:val="231F20"/>
          <w:spacing w:val="-20"/>
          <w:w w:val="105"/>
        </w:rPr>
        <w:t> </w:t>
      </w:r>
      <w:r>
        <w:rPr>
          <w:color w:val="231F20"/>
          <w:w w:val="105"/>
        </w:rPr>
        <w:t>elementos</w:t>
      </w:r>
      <w:r>
        <w:rPr>
          <w:color w:val="231F20"/>
          <w:spacing w:val="-20"/>
          <w:w w:val="105"/>
        </w:rPr>
        <w:t> </w:t>
      </w:r>
      <w:r>
        <w:rPr>
          <w:color w:val="231F20"/>
          <w:w w:val="105"/>
        </w:rPr>
        <w:t>de</w:t>
      </w:r>
      <w:r>
        <w:rPr>
          <w:color w:val="231F20"/>
          <w:spacing w:val="-20"/>
          <w:w w:val="105"/>
        </w:rPr>
        <w:t> </w:t>
      </w:r>
      <w:r>
        <w:rPr>
          <w:color w:val="231F20"/>
          <w:w w:val="105"/>
        </w:rPr>
        <w:t>interacción</w:t>
      </w:r>
      <w:r>
        <w:rPr>
          <w:color w:val="231F20"/>
          <w:spacing w:val="-20"/>
          <w:w w:val="105"/>
        </w:rPr>
        <w:t> </w:t>
      </w:r>
      <w:r>
        <w:rPr>
          <w:color w:val="231F20"/>
          <w:w w:val="105"/>
        </w:rPr>
        <w:t>entre</w:t>
      </w:r>
      <w:r>
        <w:rPr>
          <w:color w:val="231F20"/>
          <w:spacing w:val="-20"/>
          <w:w w:val="105"/>
        </w:rPr>
        <w:t> </w:t>
      </w:r>
      <w:r>
        <w:rPr>
          <w:color w:val="231F20"/>
          <w:w w:val="105"/>
        </w:rPr>
        <w:t>la</w:t>
      </w:r>
      <w:r>
        <w:rPr>
          <w:color w:val="231F20"/>
          <w:spacing w:val="-20"/>
          <w:w w:val="105"/>
        </w:rPr>
        <w:t> </w:t>
      </w:r>
      <w:r>
        <w:rPr>
          <w:color w:val="231F20"/>
          <w:w w:val="105"/>
        </w:rPr>
        <w:t>economía</w:t>
      </w:r>
      <w:r>
        <w:rPr>
          <w:color w:val="231F20"/>
          <w:spacing w:val="-20"/>
          <w:w w:val="105"/>
        </w:rPr>
        <w:t> </w:t>
      </w:r>
      <w:r>
        <w:rPr>
          <w:color w:val="231F20"/>
          <w:w w:val="105"/>
        </w:rPr>
        <w:t>y</w:t>
      </w:r>
      <w:r>
        <w:rPr>
          <w:color w:val="231F20"/>
          <w:spacing w:val="-20"/>
          <w:w w:val="105"/>
        </w:rPr>
        <w:t> </w:t>
      </w:r>
      <w:r>
        <w:rPr>
          <w:color w:val="231F20"/>
          <w:w w:val="105"/>
        </w:rPr>
        <w:t>la</w:t>
      </w:r>
      <w:r>
        <w:rPr>
          <w:color w:val="231F20"/>
          <w:spacing w:val="-20"/>
          <w:w w:val="105"/>
        </w:rPr>
        <w:t> </w:t>
      </w:r>
      <w:r>
        <w:rPr>
          <w:color w:val="231F20"/>
          <w:w w:val="105"/>
        </w:rPr>
        <w:t>admi- nistración,</w:t>
      </w:r>
      <w:r>
        <w:rPr>
          <w:color w:val="231F20"/>
          <w:spacing w:val="-21"/>
          <w:w w:val="105"/>
        </w:rPr>
        <w:t> </w:t>
      </w:r>
      <w:r>
        <w:rPr>
          <w:color w:val="231F20"/>
          <w:w w:val="105"/>
        </w:rPr>
        <w:t>para</w:t>
      </w:r>
      <w:r>
        <w:rPr>
          <w:color w:val="231F20"/>
          <w:spacing w:val="-13"/>
          <w:w w:val="105"/>
        </w:rPr>
        <w:t> </w:t>
      </w:r>
      <w:r>
        <w:rPr>
          <w:color w:val="231F20"/>
          <w:w w:val="105"/>
        </w:rPr>
        <w:t>soportar</w:t>
      </w:r>
      <w:r>
        <w:rPr>
          <w:color w:val="231F20"/>
          <w:spacing w:val="-13"/>
          <w:w w:val="105"/>
        </w:rPr>
        <w:t> </w:t>
      </w:r>
      <w:r>
        <w:rPr>
          <w:color w:val="231F20"/>
          <w:w w:val="105"/>
        </w:rPr>
        <w:t>el</w:t>
      </w:r>
      <w:r>
        <w:rPr>
          <w:color w:val="231F20"/>
          <w:spacing w:val="-13"/>
          <w:w w:val="105"/>
        </w:rPr>
        <w:t> </w:t>
      </w:r>
      <w:r>
        <w:rPr>
          <w:color w:val="231F20"/>
          <w:w w:val="105"/>
        </w:rPr>
        <w:t>rol</w:t>
      </w:r>
      <w:r>
        <w:rPr>
          <w:color w:val="231F20"/>
          <w:spacing w:val="-13"/>
          <w:w w:val="105"/>
        </w:rPr>
        <w:t> </w:t>
      </w:r>
      <w:r>
        <w:rPr>
          <w:color w:val="231F20"/>
          <w:w w:val="105"/>
        </w:rPr>
        <w:t>institucional</w:t>
      </w:r>
      <w:r>
        <w:rPr>
          <w:color w:val="231F20"/>
          <w:spacing w:val="-13"/>
          <w:w w:val="105"/>
        </w:rPr>
        <w:t> </w:t>
      </w:r>
      <w:r>
        <w:rPr>
          <w:color w:val="231F20"/>
          <w:w w:val="105"/>
        </w:rPr>
        <w:t>del</w:t>
      </w:r>
      <w:r>
        <w:rPr>
          <w:color w:val="231F20"/>
          <w:spacing w:val="-13"/>
          <w:w w:val="105"/>
        </w:rPr>
        <w:t> </w:t>
      </w:r>
      <w:r>
        <w:rPr>
          <w:color w:val="231F20"/>
          <w:w w:val="105"/>
        </w:rPr>
        <w:t>gobierno</w:t>
      </w:r>
      <w:r>
        <w:rPr>
          <w:color w:val="231F20"/>
          <w:spacing w:val="-13"/>
          <w:w w:val="105"/>
        </w:rPr>
        <w:t> </w:t>
      </w:r>
      <w:r>
        <w:rPr>
          <w:color w:val="231F20"/>
          <w:w w:val="105"/>
        </w:rPr>
        <w:t>en</w:t>
      </w:r>
      <w:r>
        <w:rPr>
          <w:color w:val="231F20"/>
          <w:spacing w:val="-13"/>
          <w:w w:val="105"/>
        </w:rPr>
        <w:t> </w:t>
      </w:r>
      <w:r>
        <w:rPr>
          <w:color w:val="231F20"/>
          <w:w w:val="105"/>
        </w:rPr>
        <w:t>dependencia de</w:t>
      </w:r>
      <w:r>
        <w:rPr>
          <w:color w:val="231F20"/>
          <w:spacing w:val="-32"/>
          <w:w w:val="105"/>
        </w:rPr>
        <w:t> </w:t>
      </w:r>
      <w:r>
        <w:rPr>
          <w:color w:val="231F20"/>
          <w:w w:val="105"/>
        </w:rPr>
        <w:t>los</w:t>
      </w:r>
      <w:r>
        <w:rPr>
          <w:color w:val="231F20"/>
          <w:spacing w:val="-32"/>
          <w:w w:val="105"/>
        </w:rPr>
        <w:t> </w:t>
      </w:r>
      <w:r>
        <w:rPr>
          <w:color w:val="231F20"/>
          <w:w w:val="105"/>
        </w:rPr>
        <w:t>recursos</w:t>
      </w:r>
      <w:r>
        <w:rPr>
          <w:color w:val="231F20"/>
          <w:spacing w:val="-32"/>
          <w:w w:val="105"/>
        </w:rPr>
        <w:t> </w:t>
      </w:r>
      <w:r>
        <w:rPr>
          <w:color w:val="231F20"/>
          <w:w w:val="105"/>
        </w:rPr>
        <w:t>naturales.</w:t>
      </w:r>
      <w:r>
        <w:rPr>
          <w:color w:val="231F20"/>
          <w:spacing w:val="-36"/>
          <w:w w:val="105"/>
        </w:rPr>
        <w:t> </w:t>
      </w:r>
      <w:r>
        <w:rPr>
          <w:color w:val="231F20"/>
          <w:w w:val="105"/>
        </w:rPr>
        <w:t>Se</w:t>
      </w:r>
      <w:r>
        <w:rPr>
          <w:color w:val="231F20"/>
          <w:spacing w:val="-32"/>
          <w:w w:val="105"/>
        </w:rPr>
        <w:t> </w:t>
      </w:r>
      <w:r>
        <w:rPr>
          <w:color w:val="231F20"/>
          <w:w w:val="105"/>
        </w:rPr>
        <w:t>parte</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premisa</w:t>
      </w:r>
      <w:r>
        <w:rPr>
          <w:color w:val="231F20"/>
          <w:spacing w:val="-32"/>
          <w:w w:val="105"/>
        </w:rPr>
        <w:t> </w:t>
      </w:r>
      <w:r>
        <w:rPr>
          <w:color w:val="231F20"/>
          <w:w w:val="105"/>
        </w:rPr>
        <w:t>teórica</w:t>
      </w:r>
      <w:r>
        <w:rPr>
          <w:color w:val="231F20"/>
          <w:spacing w:val="-32"/>
          <w:w w:val="105"/>
        </w:rPr>
        <w:t> </w:t>
      </w:r>
      <w:r>
        <w:rPr>
          <w:color w:val="231F20"/>
          <w:w w:val="105"/>
        </w:rPr>
        <w:t>que</w:t>
      </w:r>
      <w:r>
        <w:rPr>
          <w:color w:val="231F20"/>
          <w:spacing w:val="-32"/>
          <w:w w:val="105"/>
        </w:rPr>
        <w:t> </w:t>
      </w:r>
      <w:r>
        <w:rPr>
          <w:color w:val="231F20"/>
          <w:w w:val="105"/>
        </w:rPr>
        <w:t>las</w:t>
      </w:r>
      <w:r>
        <w:rPr>
          <w:color w:val="231F20"/>
          <w:spacing w:val="-32"/>
          <w:w w:val="105"/>
        </w:rPr>
        <w:t> </w:t>
      </w:r>
      <w:r>
        <w:rPr>
          <w:color w:val="231F20"/>
          <w:w w:val="105"/>
        </w:rPr>
        <w:t>institucio- nes</w:t>
      </w:r>
      <w:r>
        <w:rPr>
          <w:color w:val="231F20"/>
          <w:spacing w:val="-16"/>
          <w:w w:val="105"/>
        </w:rPr>
        <w:t> </w:t>
      </w:r>
      <w:r>
        <w:rPr>
          <w:color w:val="231F20"/>
          <w:w w:val="105"/>
        </w:rPr>
        <w:t>pueden</w:t>
      </w:r>
      <w:r>
        <w:rPr>
          <w:color w:val="231F20"/>
          <w:spacing w:val="-16"/>
          <w:w w:val="105"/>
        </w:rPr>
        <w:t> </w:t>
      </w:r>
      <w:r>
        <w:rPr>
          <w:color w:val="231F20"/>
          <w:w w:val="105"/>
        </w:rPr>
        <w:t>convertirse</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factor</w:t>
      </w:r>
      <w:r>
        <w:rPr>
          <w:color w:val="231F20"/>
          <w:spacing w:val="-16"/>
          <w:w w:val="105"/>
        </w:rPr>
        <w:t> </w:t>
      </w:r>
      <w:r>
        <w:rPr>
          <w:color w:val="231F20"/>
          <w:w w:val="105"/>
        </w:rPr>
        <w:t>de</w:t>
      </w:r>
      <w:r>
        <w:rPr>
          <w:color w:val="231F20"/>
          <w:spacing w:val="-16"/>
          <w:w w:val="105"/>
        </w:rPr>
        <w:t> </w:t>
      </w:r>
      <w:r>
        <w:rPr>
          <w:color w:val="231F20"/>
          <w:w w:val="105"/>
        </w:rPr>
        <w:t>bendición</w:t>
      </w:r>
      <w:r>
        <w:rPr>
          <w:color w:val="231F20"/>
          <w:spacing w:val="-16"/>
          <w:w w:val="105"/>
        </w:rPr>
        <w:t> </w:t>
      </w:r>
      <w:r>
        <w:rPr>
          <w:color w:val="231F20"/>
          <w:w w:val="105"/>
        </w:rPr>
        <w:t>o</w:t>
      </w:r>
      <w:r>
        <w:rPr>
          <w:color w:val="231F20"/>
          <w:spacing w:val="-16"/>
          <w:w w:val="105"/>
        </w:rPr>
        <w:t> </w:t>
      </w:r>
      <w:r>
        <w:rPr>
          <w:color w:val="231F20"/>
          <w:w w:val="105"/>
        </w:rPr>
        <w:t>maldición</w:t>
      </w:r>
      <w:r>
        <w:rPr>
          <w:color w:val="231F20"/>
          <w:spacing w:val="-16"/>
          <w:w w:val="105"/>
        </w:rPr>
        <w:t> </w:t>
      </w:r>
      <w:r>
        <w:rPr>
          <w:color w:val="231F20"/>
          <w:w w:val="105"/>
        </w:rPr>
        <w:t>económica proveniente</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recursos</w:t>
      </w:r>
      <w:r>
        <w:rPr>
          <w:color w:val="231F20"/>
          <w:spacing w:val="-28"/>
          <w:w w:val="105"/>
        </w:rPr>
        <w:t> </w:t>
      </w:r>
      <w:r>
        <w:rPr>
          <w:color w:val="231F20"/>
          <w:w w:val="105"/>
        </w:rPr>
        <w:t>naturales,</w:t>
      </w:r>
      <w:r>
        <w:rPr>
          <w:color w:val="231F20"/>
          <w:spacing w:val="-33"/>
          <w:w w:val="105"/>
        </w:rPr>
        <w:t> </w:t>
      </w:r>
      <w:r>
        <w:rPr>
          <w:color w:val="231F20"/>
          <w:w w:val="105"/>
        </w:rPr>
        <w:t>es</w:t>
      </w:r>
      <w:r>
        <w:rPr>
          <w:color w:val="231F20"/>
          <w:spacing w:val="-28"/>
          <w:w w:val="105"/>
        </w:rPr>
        <w:t> </w:t>
      </w:r>
      <w:r>
        <w:rPr>
          <w:color w:val="231F20"/>
          <w:w w:val="105"/>
        </w:rPr>
        <w:t>decir,</w:t>
      </w:r>
      <w:r>
        <w:rPr>
          <w:color w:val="231F20"/>
          <w:spacing w:val="-33"/>
          <w:w w:val="105"/>
        </w:rPr>
        <w:t> </w:t>
      </w:r>
      <w:r>
        <w:rPr>
          <w:color w:val="231F20"/>
          <w:w w:val="105"/>
        </w:rPr>
        <w:t>la</w:t>
      </w:r>
      <w:r>
        <w:rPr>
          <w:color w:val="231F20"/>
          <w:spacing w:val="-28"/>
          <w:w w:val="105"/>
        </w:rPr>
        <w:t> </w:t>
      </w:r>
      <w:r>
        <w:rPr>
          <w:color w:val="231F20"/>
          <w:w w:val="105"/>
        </w:rPr>
        <w:t>regla</w:t>
      </w:r>
      <w:r>
        <w:rPr>
          <w:color w:val="231F20"/>
          <w:spacing w:val="-28"/>
          <w:w w:val="105"/>
        </w:rPr>
        <w:t> </w:t>
      </w:r>
      <w:r>
        <w:rPr>
          <w:color w:val="231F20"/>
          <w:w w:val="105"/>
        </w:rPr>
        <w:t>fiscal</w:t>
      </w:r>
      <w:r>
        <w:rPr>
          <w:color w:val="231F20"/>
          <w:spacing w:val="-28"/>
          <w:w w:val="105"/>
        </w:rPr>
        <w:t> </w:t>
      </w:r>
      <w:r>
        <w:rPr>
          <w:color w:val="231F20"/>
          <w:w w:val="105"/>
        </w:rPr>
        <w:t>es</w:t>
      </w:r>
      <w:r>
        <w:rPr>
          <w:color w:val="231F20"/>
          <w:spacing w:val="-28"/>
          <w:w w:val="105"/>
        </w:rPr>
        <w:t> </w:t>
      </w:r>
      <w:r>
        <w:rPr>
          <w:color w:val="231F20"/>
          <w:w w:val="105"/>
        </w:rPr>
        <w:t>un</w:t>
      </w:r>
      <w:r>
        <w:rPr>
          <w:color w:val="231F20"/>
          <w:spacing w:val="-28"/>
          <w:w w:val="105"/>
        </w:rPr>
        <w:t> </w:t>
      </w:r>
      <w:r>
        <w:rPr>
          <w:color w:val="231F20"/>
          <w:w w:val="105"/>
        </w:rPr>
        <w:t>meca- nismo</w:t>
      </w:r>
      <w:r>
        <w:rPr>
          <w:color w:val="231F20"/>
          <w:spacing w:val="-7"/>
          <w:w w:val="105"/>
        </w:rPr>
        <w:t> </w:t>
      </w:r>
      <w:r>
        <w:rPr>
          <w:color w:val="231F20"/>
          <w:w w:val="105"/>
        </w:rPr>
        <w:t>y</w:t>
      </w:r>
      <w:r>
        <w:rPr>
          <w:color w:val="231F20"/>
          <w:spacing w:val="-7"/>
          <w:w w:val="105"/>
        </w:rPr>
        <w:t> </w:t>
      </w:r>
      <w:r>
        <w:rPr>
          <w:color w:val="231F20"/>
          <w:w w:val="105"/>
        </w:rPr>
        <w:t>una</w:t>
      </w:r>
      <w:r>
        <w:rPr>
          <w:color w:val="231F20"/>
          <w:spacing w:val="-7"/>
          <w:w w:val="105"/>
        </w:rPr>
        <w:t> </w:t>
      </w:r>
      <w:r>
        <w:rPr>
          <w:color w:val="231F20"/>
          <w:w w:val="105"/>
        </w:rPr>
        <w:t>restricción</w:t>
      </w:r>
      <w:r>
        <w:rPr>
          <w:color w:val="231F20"/>
          <w:spacing w:val="-7"/>
          <w:w w:val="105"/>
        </w:rPr>
        <w:t> </w:t>
      </w:r>
      <w:r>
        <w:rPr>
          <w:color w:val="231F20"/>
          <w:w w:val="105"/>
        </w:rPr>
        <w:t>permanente</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manejo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posición</w:t>
      </w:r>
      <w:r>
        <w:rPr>
          <w:color w:val="231F20"/>
          <w:spacing w:val="-7"/>
          <w:w w:val="105"/>
        </w:rPr>
        <w:t> </w:t>
      </w:r>
      <w:r>
        <w:rPr>
          <w:color w:val="231F20"/>
          <w:w w:val="105"/>
        </w:rPr>
        <w:t>fiscal que reduce la posibilidad de oportunismo por parte del</w:t>
      </w:r>
      <w:r>
        <w:rPr>
          <w:color w:val="231F20"/>
          <w:spacing w:val="42"/>
          <w:w w:val="105"/>
        </w:rPr>
        <w:t> </w:t>
      </w:r>
      <w:r>
        <w:rPr>
          <w:color w:val="231F20"/>
          <w:w w:val="105"/>
        </w:rPr>
        <w:t>gobierno.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15"/>
        <w:jc w:val="both"/>
      </w:pPr>
      <w:r>
        <w:rPr>
          <w:color w:val="231F20"/>
          <w:w w:val="105"/>
        </w:rPr>
        <w:t>Un cuestionamiento planteado desde Adam Smith se basa en por qué unos</w:t>
      </w:r>
      <w:r>
        <w:rPr>
          <w:color w:val="231F20"/>
          <w:spacing w:val="-9"/>
          <w:w w:val="105"/>
        </w:rPr>
        <w:t> </w:t>
      </w:r>
      <w:r>
        <w:rPr>
          <w:color w:val="231F20"/>
          <w:w w:val="105"/>
        </w:rPr>
        <w:t>países</w:t>
      </w:r>
      <w:r>
        <w:rPr>
          <w:color w:val="231F20"/>
          <w:spacing w:val="-9"/>
          <w:w w:val="105"/>
        </w:rPr>
        <w:t> </w:t>
      </w:r>
      <w:r>
        <w:rPr>
          <w:color w:val="231F20"/>
          <w:w w:val="105"/>
        </w:rPr>
        <w:t>son</w:t>
      </w:r>
      <w:r>
        <w:rPr>
          <w:color w:val="231F20"/>
          <w:spacing w:val="-9"/>
          <w:w w:val="105"/>
        </w:rPr>
        <w:t> </w:t>
      </w:r>
      <w:r>
        <w:rPr>
          <w:color w:val="231F20"/>
          <w:w w:val="105"/>
        </w:rPr>
        <w:t>ricos</w:t>
      </w:r>
      <w:r>
        <w:rPr>
          <w:color w:val="231F20"/>
          <w:spacing w:val="-9"/>
          <w:w w:val="105"/>
        </w:rPr>
        <w:t> </w:t>
      </w:r>
      <w:r>
        <w:rPr>
          <w:color w:val="231F20"/>
          <w:w w:val="105"/>
        </w:rPr>
        <w:t>y</w:t>
      </w:r>
      <w:r>
        <w:rPr>
          <w:color w:val="231F20"/>
          <w:spacing w:val="-9"/>
          <w:w w:val="105"/>
        </w:rPr>
        <w:t> </w:t>
      </w:r>
      <w:r>
        <w:rPr>
          <w:color w:val="231F20"/>
          <w:w w:val="105"/>
        </w:rPr>
        <w:t>otros</w:t>
      </w:r>
      <w:r>
        <w:rPr>
          <w:color w:val="231F20"/>
          <w:spacing w:val="-9"/>
          <w:w w:val="105"/>
        </w:rPr>
        <w:t> </w:t>
      </w:r>
      <w:r>
        <w:rPr>
          <w:color w:val="231F20"/>
          <w:w w:val="105"/>
        </w:rPr>
        <w:t>pobres;</w:t>
      </w:r>
      <w:r>
        <w:rPr>
          <w:color w:val="231F20"/>
          <w:spacing w:val="-9"/>
          <w:w w:val="105"/>
        </w:rPr>
        <w:t> </w:t>
      </w:r>
      <w:r>
        <w:rPr>
          <w:color w:val="231F20"/>
          <w:w w:val="105"/>
        </w:rPr>
        <w:t>de</w:t>
      </w:r>
      <w:r>
        <w:rPr>
          <w:color w:val="231F20"/>
          <w:spacing w:val="-9"/>
          <w:w w:val="105"/>
        </w:rPr>
        <w:t> </w:t>
      </w:r>
      <w:r>
        <w:rPr>
          <w:color w:val="231F20"/>
          <w:w w:val="105"/>
        </w:rPr>
        <w:t>forma</w:t>
      </w:r>
      <w:r>
        <w:rPr>
          <w:color w:val="231F20"/>
          <w:spacing w:val="-9"/>
          <w:w w:val="105"/>
        </w:rPr>
        <w:t> </w:t>
      </w:r>
      <w:r>
        <w:rPr>
          <w:color w:val="231F20"/>
          <w:w w:val="105"/>
        </w:rPr>
        <w:t>previa</w:t>
      </w:r>
      <w:r>
        <w:rPr>
          <w:color w:val="231F20"/>
          <w:spacing w:val="-9"/>
          <w:w w:val="105"/>
        </w:rPr>
        <w:t> </w:t>
      </w:r>
      <w:r>
        <w:rPr>
          <w:color w:val="231F20"/>
          <w:w w:val="105"/>
        </w:rPr>
        <w:t>se</w:t>
      </w:r>
      <w:r>
        <w:rPr>
          <w:color w:val="231F20"/>
          <w:spacing w:val="-9"/>
          <w:w w:val="105"/>
        </w:rPr>
        <w:t> </w:t>
      </w:r>
      <w:r>
        <w:rPr>
          <w:color w:val="231F20"/>
          <w:w w:val="105"/>
        </w:rPr>
        <w:t>ha</w:t>
      </w:r>
      <w:r>
        <w:rPr>
          <w:color w:val="231F20"/>
          <w:spacing w:val="-9"/>
          <w:w w:val="105"/>
        </w:rPr>
        <w:t> </w:t>
      </w:r>
      <w:r>
        <w:rPr>
          <w:color w:val="231F20"/>
          <w:w w:val="105"/>
        </w:rPr>
        <w:t>llegado</w:t>
      </w:r>
      <w:r>
        <w:rPr>
          <w:color w:val="231F20"/>
          <w:spacing w:val="-9"/>
          <w:w w:val="105"/>
        </w:rPr>
        <w:t> </w:t>
      </w:r>
      <w:r>
        <w:rPr>
          <w:color w:val="231F20"/>
          <w:w w:val="105"/>
        </w:rPr>
        <w:t>a</w:t>
      </w:r>
      <w:r>
        <w:rPr>
          <w:color w:val="231F20"/>
          <w:spacing w:val="-9"/>
          <w:w w:val="105"/>
        </w:rPr>
        <w:t> </w:t>
      </w:r>
      <w:r>
        <w:rPr>
          <w:color w:val="231F20"/>
          <w:w w:val="105"/>
        </w:rPr>
        <w:t>la conclusión</w:t>
      </w:r>
      <w:r>
        <w:rPr>
          <w:color w:val="231F20"/>
          <w:spacing w:val="-22"/>
          <w:w w:val="105"/>
        </w:rPr>
        <w:t> </w:t>
      </w:r>
      <w:r>
        <w:rPr>
          <w:color w:val="231F20"/>
          <w:w w:val="105"/>
        </w:rPr>
        <w:t>que</w:t>
      </w:r>
      <w:r>
        <w:rPr>
          <w:color w:val="231F20"/>
          <w:spacing w:val="-22"/>
          <w:w w:val="105"/>
        </w:rPr>
        <w:t> </w:t>
      </w:r>
      <w:r>
        <w:rPr>
          <w:color w:val="231F20"/>
          <w:w w:val="105"/>
        </w:rPr>
        <w:t>países</w:t>
      </w:r>
      <w:r>
        <w:rPr>
          <w:color w:val="231F20"/>
          <w:spacing w:val="-22"/>
          <w:w w:val="105"/>
        </w:rPr>
        <w:t> </w:t>
      </w:r>
      <w:r>
        <w:rPr>
          <w:color w:val="231F20"/>
          <w:w w:val="105"/>
        </w:rPr>
        <w:t>exitosos</w:t>
      </w:r>
      <w:r>
        <w:rPr>
          <w:color w:val="231F20"/>
          <w:spacing w:val="-22"/>
          <w:w w:val="105"/>
        </w:rPr>
        <w:t> </w:t>
      </w:r>
      <w:r>
        <w:rPr>
          <w:color w:val="231F20"/>
          <w:w w:val="105"/>
        </w:rPr>
        <w:t>presentan</w:t>
      </w:r>
      <w:r>
        <w:rPr>
          <w:color w:val="231F20"/>
          <w:spacing w:val="-22"/>
          <w:w w:val="105"/>
        </w:rPr>
        <w:t> </w:t>
      </w:r>
      <w:r>
        <w:rPr>
          <w:color w:val="231F20"/>
          <w:w w:val="105"/>
        </w:rPr>
        <w:t>instituciones</w:t>
      </w:r>
      <w:r>
        <w:rPr>
          <w:color w:val="231F20"/>
          <w:spacing w:val="-22"/>
          <w:w w:val="105"/>
        </w:rPr>
        <w:t> </w:t>
      </w:r>
      <w:r>
        <w:rPr>
          <w:color w:val="231F20"/>
          <w:w w:val="105"/>
        </w:rPr>
        <w:t>sólidas;</w:t>
      </w:r>
      <w:r>
        <w:rPr>
          <w:color w:val="231F20"/>
          <w:spacing w:val="-22"/>
          <w:w w:val="105"/>
        </w:rPr>
        <w:t> </w:t>
      </w:r>
      <w:r>
        <w:rPr>
          <w:color w:val="231F20"/>
          <w:w w:val="105"/>
        </w:rPr>
        <w:t>en</w:t>
      </w:r>
      <w:r>
        <w:rPr>
          <w:color w:val="231F20"/>
          <w:spacing w:val="-22"/>
          <w:w w:val="105"/>
        </w:rPr>
        <w:t> </w:t>
      </w:r>
      <w:r>
        <w:rPr>
          <w:color w:val="231F20"/>
          <w:w w:val="105"/>
        </w:rPr>
        <w:t>tanto, otros</w:t>
      </w:r>
      <w:r>
        <w:rPr>
          <w:color w:val="231F20"/>
          <w:spacing w:val="-14"/>
          <w:w w:val="105"/>
        </w:rPr>
        <w:t> </w:t>
      </w:r>
      <w:r>
        <w:rPr>
          <w:color w:val="231F20"/>
          <w:w w:val="105"/>
        </w:rPr>
        <w:t>países</w:t>
      </w:r>
      <w:r>
        <w:rPr>
          <w:color w:val="231F20"/>
          <w:spacing w:val="-14"/>
          <w:w w:val="105"/>
        </w:rPr>
        <w:t> </w:t>
      </w:r>
      <w:r>
        <w:rPr>
          <w:color w:val="231F20"/>
          <w:w w:val="105"/>
        </w:rPr>
        <w:t>fracasan</w:t>
      </w:r>
      <w:r>
        <w:rPr>
          <w:color w:val="231F20"/>
          <w:spacing w:val="-14"/>
          <w:w w:val="105"/>
        </w:rPr>
        <w:t> </w:t>
      </w:r>
      <w:r>
        <w:rPr>
          <w:color w:val="231F20"/>
          <w:w w:val="105"/>
        </w:rPr>
        <w:t>y</w:t>
      </w:r>
      <w:r>
        <w:rPr>
          <w:color w:val="231F20"/>
          <w:spacing w:val="-14"/>
          <w:w w:val="105"/>
        </w:rPr>
        <w:t> </w:t>
      </w:r>
      <w:r>
        <w:rPr>
          <w:color w:val="231F20"/>
          <w:w w:val="105"/>
        </w:rPr>
        <w:t>presentan</w:t>
      </w:r>
      <w:r>
        <w:rPr>
          <w:color w:val="231F20"/>
          <w:spacing w:val="-14"/>
          <w:w w:val="105"/>
        </w:rPr>
        <w:t> </w:t>
      </w:r>
      <w:r>
        <w:rPr>
          <w:color w:val="231F20"/>
          <w:w w:val="105"/>
        </w:rPr>
        <w:t>mayor</w:t>
      </w:r>
      <w:r>
        <w:rPr>
          <w:color w:val="231F20"/>
          <w:spacing w:val="-14"/>
          <w:w w:val="105"/>
        </w:rPr>
        <w:t> </w:t>
      </w:r>
      <w:r>
        <w:rPr>
          <w:color w:val="231F20"/>
          <w:w w:val="105"/>
        </w:rPr>
        <w:t>atraso</w:t>
      </w:r>
      <w:r>
        <w:rPr>
          <w:color w:val="231F20"/>
          <w:spacing w:val="-14"/>
          <w:w w:val="105"/>
        </w:rPr>
        <w:t> </w:t>
      </w:r>
      <w:r>
        <w:rPr>
          <w:color w:val="231F20"/>
          <w:w w:val="105"/>
        </w:rPr>
        <w:t>económico</w:t>
      </w:r>
      <w:r>
        <w:rPr>
          <w:color w:val="231F20"/>
          <w:spacing w:val="-14"/>
          <w:w w:val="105"/>
        </w:rPr>
        <w:t> </w:t>
      </w:r>
      <w:r>
        <w:rPr>
          <w:color w:val="231F20"/>
          <w:w w:val="105"/>
        </w:rPr>
        <w:t>y</w:t>
      </w:r>
      <w:r>
        <w:rPr>
          <w:color w:val="231F20"/>
          <w:spacing w:val="-14"/>
          <w:w w:val="105"/>
        </w:rPr>
        <w:t> </w:t>
      </w:r>
      <w:r>
        <w:rPr>
          <w:color w:val="231F20"/>
          <w:w w:val="105"/>
        </w:rPr>
        <w:t>social</w:t>
      </w:r>
      <w:r>
        <w:rPr>
          <w:color w:val="231F20"/>
          <w:spacing w:val="-14"/>
          <w:w w:val="105"/>
        </w:rPr>
        <w:t> </w:t>
      </w:r>
      <w:r>
        <w:rPr>
          <w:color w:val="231F20"/>
          <w:w w:val="105"/>
        </w:rPr>
        <w:t>por- que</w:t>
      </w:r>
      <w:r>
        <w:rPr>
          <w:color w:val="231F20"/>
          <w:spacing w:val="-7"/>
          <w:w w:val="105"/>
        </w:rPr>
        <w:t> </w:t>
      </w:r>
      <w:r>
        <w:rPr>
          <w:color w:val="231F20"/>
          <w:w w:val="105"/>
        </w:rPr>
        <w:t>exhiben</w:t>
      </w:r>
      <w:r>
        <w:rPr>
          <w:color w:val="231F20"/>
          <w:spacing w:val="-7"/>
          <w:w w:val="105"/>
        </w:rPr>
        <w:t> </w:t>
      </w:r>
      <w:r>
        <w:rPr>
          <w:color w:val="231F20"/>
          <w:w w:val="105"/>
        </w:rPr>
        <w:t>instituciones</w:t>
      </w:r>
      <w:r>
        <w:rPr>
          <w:color w:val="231F20"/>
          <w:spacing w:val="-7"/>
          <w:w w:val="105"/>
        </w:rPr>
        <w:t> </w:t>
      </w:r>
      <w:r>
        <w:rPr>
          <w:color w:val="231F20"/>
          <w:w w:val="105"/>
        </w:rPr>
        <w:t>débiles,</w:t>
      </w:r>
      <w:r>
        <w:rPr>
          <w:color w:val="231F20"/>
          <w:spacing w:val="-12"/>
          <w:w w:val="105"/>
        </w:rPr>
        <w:t> </w:t>
      </w:r>
      <w:r>
        <w:rPr>
          <w:color w:val="231F20"/>
          <w:w w:val="105"/>
        </w:rPr>
        <w:t>extractivas</w:t>
      </w:r>
      <w:r>
        <w:rPr>
          <w:color w:val="231F20"/>
          <w:spacing w:val="-7"/>
          <w:w w:val="105"/>
        </w:rPr>
        <w:t> </w:t>
      </w:r>
      <w:r>
        <w:rPr>
          <w:color w:val="231F20"/>
          <w:w w:val="105"/>
        </w:rPr>
        <w:t>y</w:t>
      </w:r>
      <w:r>
        <w:rPr>
          <w:color w:val="231F20"/>
          <w:spacing w:val="-7"/>
          <w:w w:val="105"/>
        </w:rPr>
        <w:t> </w:t>
      </w:r>
      <w:r>
        <w:rPr>
          <w:color w:val="231F20"/>
          <w:w w:val="105"/>
        </w:rPr>
        <w:t>oportunistas</w:t>
      </w:r>
      <w:r>
        <w:rPr>
          <w:color w:val="231F20"/>
          <w:spacing w:val="-7"/>
          <w:w w:val="105"/>
        </w:rPr>
        <w:t> </w:t>
      </w:r>
      <w:r>
        <w:rPr>
          <w:color w:val="231F20"/>
          <w:w w:val="105"/>
        </w:rPr>
        <w:t>(Acemoglu y</w:t>
      </w:r>
      <w:r>
        <w:rPr>
          <w:color w:val="231F20"/>
          <w:spacing w:val="-43"/>
          <w:w w:val="105"/>
        </w:rPr>
        <w:t> </w:t>
      </w:r>
      <w:r>
        <w:rPr>
          <w:color w:val="231F20"/>
          <w:w w:val="105"/>
        </w:rPr>
        <w:t>Robinson,</w:t>
      </w:r>
      <w:r>
        <w:rPr>
          <w:color w:val="231F20"/>
          <w:spacing w:val="-46"/>
          <w:w w:val="105"/>
        </w:rPr>
        <w:t> </w:t>
      </w:r>
      <w:r>
        <w:rPr>
          <w:color w:val="231F20"/>
          <w:w w:val="105"/>
        </w:rPr>
        <w:t>2012).</w:t>
      </w:r>
    </w:p>
    <w:p>
      <w:pPr>
        <w:pStyle w:val="BodyText"/>
        <w:spacing w:line="259" w:lineRule="auto"/>
        <w:ind w:left="117" w:right="49" w:firstLine="567"/>
      </w:pPr>
      <w:r>
        <w:rPr>
          <w:color w:val="231F20"/>
          <w:w w:val="105"/>
        </w:rPr>
        <w:t>Ante la premisa anterior, en este documento se explica cómo el rol de las instituciones es una interacción natural entre administración y</w:t>
      </w:r>
    </w:p>
    <w:p>
      <w:pPr>
        <w:spacing w:after="0" w:line="259" w:lineRule="auto"/>
        <w:sectPr>
          <w:pgSz w:w="9640" w:h="13890"/>
          <w:pgMar w:top="1300" w:bottom="280" w:left="1300" w:right="1180"/>
        </w:sectPr>
      </w:pPr>
    </w:p>
    <w:p>
      <w:pPr>
        <w:pStyle w:val="BodyText"/>
        <w:spacing w:line="259" w:lineRule="auto" w:before="120"/>
        <w:ind w:left="103" w:right="115"/>
        <w:jc w:val="both"/>
      </w:pPr>
      <w:r>
        <w:rPr>
          <w:color w:val="231F20"/>
          <w:w w:val="105"/>
        </w:rPr>
        <w:t>economía,</w:t>
      </w:r>
      <w:r>
        <w:rPr>
          <w:color w:val="231F20"/>
          <w:spacing w:val="-16"/>
          <w:w w:val="105"/>
        </w:rPr>
        <w:t> </w:t>
      </w:r>
      <w:r>
        <w:rPr>
          <w:color w:val="231F20"/>
          <w:w w:val="105"/>
        </w:rPr>
        <w:t>cuya</w:t>
      </w:r>
      <w:r>
        <w:rPr>
          <w:color w:val="231F20"/>
          <w:spacing w:val="-11"/>
          <w:w w:val="105"/>
        </w:rPr>
        <w:t> </w:t>
      </w:r>
      <w:r>
        <w:rPr>
          <w:color w:val="231F20"/>
          <w:w w:val="105"/>
        </w:rPr>
        <w:t>intersección</w:t>
      </w:r>
      <w:r>
        <w:rPr>
          <w:color w:val="231F20"/>
          <w:spacing w:val="-11"/>
          <w:w w:val="105"/>
        </w:rPr>
        <w:t> </w:t>
      </w:r>
      <w:r>
        <w:rPr>
          <w:color w:val="231F20"/>
          <w:w w:val="105"/>
        </w:rPr>
        <w:t>tiene</w:t>
      </w:r>
      <w:r>
        <w:rPr>
          <w:color w:val="231F20"/>
          <w:spacing w:val="-11"/>
          <w:w w:val="105"/>
        </w:rPr>
        <w:t> </w:t>
      </w:r>
      <w:r>
        <w:rPr>
          <w:color w:val="231F20"/>
          <w:w w:val="105"/>
        </w:rPr>
        <w:t>su</w:t>
      </w:r>
      <w:r>
        <w:rPr>
          <w:color w:val="231F20"/>
          <w:spacing w:val="-11"/>
          <w:w w:val="105"/>
        </w:rPr>
        <w:t> </w:t>
      </w:r>
      <w:r>
        <w:rPr>
          <w:color w:val="231F20"/>
          <w:w w:val="105"/>
        </w:rPr>
        <w:t>origen</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ciencias</w:t>
      </w:r>
      <w:r>
        <w:rPr>
          <w:color w:val="231F20"/>
          <w:spacing w:val="-11"/>
          <w:w w:val="105"/>
        </w:rPr>
        <w:t> </w:t>
      </w:r>
      <w:r>
        <w:rPr>
          <w:color w:val="231F20"/>
          <w:w w:val="105"/>
        </w:rPr>
        <w:t>sociales.</w:t>
      </w:r>
      <w:r>
        <w:rPr>
          <w:color w:val="231F20"/>
          <w:spacing w:val="-16"/>
          <w:w w:val="105"/>
        </w:rPr>
        <w:t> </w:t>
      </w:r>
      <w:r>
        <w:rPr>
          <w:color w:val="231F20"/>
          <w:w w:val="105"/>
        </w:rPr>
        <w:t>La investigación</w:t>
      </w:r>
      <w:r>
        <w:rPr>
          <w:color w:val="231F20"/>
          <w:spacing w:val="-12"/>
          <w:w w:val="105"/>
        </w:rPr>
        <w:t> </w:t>
      </w:r>
      <w:r>
        <w:rPr>
          <w:color w:val="231F20"/>
          <w:w w:val="105"/>
        </w:rPr>
        <w:t>en</w:t>
      </w:r>
      <w:r>
        <w:rPr>
          <w:color w:val="231F20"/>
          <w:spacing w:val="-12"/>
          <w:w w:val="105"/>
        </w:rPr>
        <w:t> </w:t>
      </w:r>
      <w:r>
        <w:rPr>
          <w:color w:val="231F20"/>
          <w:w w:val="105"/>
        </w:rPr>
        <w:t>ciencias</w:t>
      </w:r>
      <w:r>
        <w:rPr>
          <w:color w:val="231F20"/>
          <w:spacing w:val="-12"/>
          <w:w w:val="105"/>
        </w:rPr>
        <w:t> </w:t>
      </w:r>
      <w:r>
        <w:rPr>
          <w:color w:val="231F20"/>
          <w:w w:val="105"/>
        </w:rPr>
        <w:t>sociales</w:t>
      </w:r>
      <w:r>
        <w:rPr>
          <w:color w:val="231F20"/>
          <w:spacing w:val="-12"/>
          <w:w w:val="105"/>
        </w:rPr>
        <w:t> </w:t>
      </w:r>
      <w:r>
        <w:rPr>
          <w:color w:val="231F20"/>
          <w:w w:val="105"/>
        </w:rPr>
        <w:t>es</w:t>
      </w:r>
      <w:r>
        <w:rPr>
          <w:color w:val="231F20"/>
          <w:spacing w:val="-12"/>
          <w:w w:val="105"/>
        </w:rPr>
        <w:t> </w:t>
      </w:r>
      <w:r>
        <w:rPr>
          <w:color w:val="231F20"/>
          <w:w w:val="105"/>
        </w:rPr>
        <w:t>una</w:t>
      </w:r>
      <w:r>
        <w:rPr>
          <w:color w:val="231F20"/>
          <w:spacing w:val="-12"/>
          <w:w w:val="105"/>
        </w:rPr>
        <w:t> </w:t>
      </w:r>
      <w:r>
        <w:rPr>
          <w:color w:val="231F20"/>
          <w:w w:val="105"/>
        </w:rPr>
        <w:t>combinación</w:t>
      </w:r>
      <w:r>
        <w:rPr>
          <w:color w:val="231F20"/>
          <w:spacing w:val="-12"/>
          <w:w w:val="105"/>
        </w:rPr>
        <w:t> </w:t>
      </w:r>
      <w:r>
        <w:rPr>
          <w:color w:val="231F20"/>
          <w:w w:val="105"/>
        </w:rPr>
        <w:t>de</w:t>
      </w:r>
      <w:r>
        <w:rPr>
          <w:color w:val="231F20"/>
          <w:spacing w:val="-12"/>
          <w:w w:val="105"/>
        </w:rPr>
        <w:t> </w:t>
      </w:r>
      <w:r>
        <w:rPr>
          <w:color w:val="231F20"/>
          <w:w w:val="105"/>
        </w:rPr>
        <w:t>aspectos</w:t>
      </w:r>
      <w:r>
        <w:rPr>
          <w:color w:val="231F20"/>
          <w:spacing w:val="-12"/>
          <w:w w:val="105"/>
        </w:rPr>
        <w:t> </w:t>
      </w:r>
      <w:r>
        <w:rPr>
          <w:color w:val="231F20"/>
          <w:w w:val="105"/>
        </w:rPr>
        <w:t>teó- ricos y filosóficos desde un lente multivariado, con diversos orígenes y aplicaciones</w:t>
      </w:r>
      <w:r>
        <w:rPr>
          <w:color w:val="231F20"/>
          <w:spacing w:val="-16"/>
          <w:w w:val="105"/>
        </w:rPr>
        <w:t> </w:t>
      </w:r>
      <w:r>
        <w:rPr>
          <w:color w:val="231F20"/>
          <w:w w:val="105"/>
        </w:rPr>
        <w:t>al</w:t>
      </w:r>
      <w:r>
        <w:rPr>
          <w:color w:val="231F20"/>
          <w:spacing w:val="-16"/>
          <w:w w:val="105"/>
        </w:rPr>
        <w:t> </w:t>
      </w:r>
      <w:r>
        <w:rPr>
          <w:color w:val="231F20"/>
          <w:w w:val="105"/>
        </w:rPr>
        <w:t>estudio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sociedad.</w:t>
      </w:r>
    </w:p>
    <w:p>
      <w:pPr>
        <w:pStyle w:val="BodyText"/>
        <w:spacing w:line="259" w:lineRule="auto"/>
        <w:ind w:left="103" w:right="110" w:firstLine="567"/>
        <w:jc w:val="both"/>
      </w:pPr>
      <w:r>
        <w:rPr>
          <w:color w:val="231F20"/>
          <w:w w:val="105"/>
        </w:rPr>
        <w:t>La</w:t>
      </w:r>
      <w:r>
        <w:rPr>
          <w:color w:val="231F20"/>
          <w:spacing w:val="-13"/>
          <w:w w:val="105"/>
        </w:rPr>
        <w:t> </w:t>
      </w:r>
      <w:r>
        <w:rPr>
          <w:color w:val="231F20"/>
          <w:w w:val="105"/>
        </w:rPr>
        <w:t>naturaleza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ciencias</w:t>
      </w:r>
      <w:r>
        <w:rPr>
          <w:color w:val="231F20"/>
          <w:spacing w:val="-13"/>
          <w:w w:val="105"/>
        </w:rPr>
        <w:t> </w:t>
      </w:r>
      <w:r>
        <w:rPr>
          <w:color w:val="231F20"/>
          <w:w w:val="105"/>
        </w:rPr>
        <w:t>sociales</w:t>
      </w:r>
      <w:r>
        <w:rPr>
          <w:color w:val="231F20"/>
          <w:spacing w:val="-13"/>
          <w:w w:val="105"/>
        </w:rPr>
        <w:t> </w:t>
      </w:r>
      <w:r>
        <w:rPr>
          <w:color w:val="231F20"/>
          <w:w w:val="105"/>
        </w:rPr>
        <w:t>tiene</w:t>
      </w:r>
      <w:r>
        <w:rPr>
          <w:color w:val="231F20"/>
          <w:spacing w:val="-13"/>
          <w:w w:val="105"/>
        </w:rPr>
        <w:t> </w:t>
      </w:r>
      <w:r>
        <w:rPr>
          <w:color w:val="231F20"/>
          <w:w w:val="105"/>
        </w:rPr>
        <w:t>dos</w:t>
      </w:r>
      <w:r>
        <w:rPr>
          <w:color w:val="231F20"/>
          <w:spacing w:val="-13"/>
          <w:w w:val="105"/>
        </w:rPr>
        <w:t> </w:t>
      </w:r>
      <w:r>
        <w:rPr>
          <w:color w:val="231F20"/>
          <w:w w:val="105"/>
        </w:rPr>
        <w:t>objetivos:</w:t>
      </w:r>
      <w:r>
        <w:rPr>
          <w:color w:val="231F20"/>
          <w:spacing w:val="-13"/>
          <w:w w:val="105"/>
        </w:rPr>
        <w:t> </w:t>
      </w:r>
      <w:r>
        <w:rPr>
          <w:color w:val="231F20"/>
          <w:w w:val="105"/>
        </w:rPr>
        <w:t>simplifi- car</w:t>
      </w:r>
      <w:r>
        <w:rPr>
          <w:color w:val="231F20"/>
          <w:spacing w:val="-10"/>
          <w:w w:val="105"/>
        </w:rPr>
        <w:t> </w:t>
      </w:r>
      <w:r>
        <w:rPr>
          <w:color w:val="231F20"/>
          <w:w w:val="105"/>
        </w:rPr>
        <w:t>la</w:t>
      </w:r>
      <w:r>
        <w:rPr>
          <w:color w:val="231F20"/>
          <w:spacing w:val="-10"/>
          <w:w w:val="105"/>
        </w:rPr>
        <w:t> </w:t>
      </w:r>
      <w:r>
        <w:rPr>
          <w:color w:val="231F20"/>
          <w:w w:val="105"/>
        </w:rPr>
        <w:t>realidad</w:t>
      </w:r>
      <w:r>
        <w:rPr>
          <w:color w:val="231F20"/>
          <w:spacing w:val="-10"/>
          <w:w w:val="105"/>
        </w:rPr>
        <w:t> </w:t>
      </w:r>
      <w:r>
        <w:rPr>
          <w:color w:val="231F20"/>
          <w:w w:val="105"/>
        </w:rPr>
        <w:t>para</w:t>
      </w:r>
      <w:r>
        <w:rPr>
          <w:color w:val="231F20"/>
          <w:spacing w:val="-10"/>
          <w:w w:val="105"/>
        </w:rPr>
        <w:t> </w:t>
      </w:r>
      <w:r>
        <w:rPr>
          <w:color w:val="231F20"/>
          <w:w w:val="105"/>
        </w:rPr>
        <w:t>comprenderla</w:t>
      </w:r>
      <w:r>
        <w:rPr>
          <w:color w:val="231F20"/>
          <w:spacing w:val="-10"/>
          <w:w w:val="105"/>
        </w:rPr>
        <w:t> </w:t>
      </w:r>
      <w:r>
        <w:rPr>
          <w:color w:val="231F20"/>
          <w:w w:val="105"/>
        </w:rPr>
        <w:t>mejor</w:t>
      </w:r>
      <w:r>
        <w:rPr>
          <w:color w:val="231F20"/>
          <w:spacing w:val="-10"/>
          <w:w w:val="105"/>
        </w:rPr>
        <w:t> </w:t>
      </w:r>
      <w:r>
        <w:rPr>
          <w:color w:val="231F20"/>
          <w:w w:val="105"/>
        </w:rPr>
        <w:t>y</w:t>
      </w:r>
      <w:r>
        <w:rPr>
          <w:color w:val="231F20"/>
          <w:spacing w:val="-10"/>
          <w:w w:val="105"/>
        </w:rPr>
        <w:t> </w:t>
      </w:r>
      <w:r>
        <w:rPr>
          <w:color w:val="231F20"/>
          <w:w w:val="105"/>
        </w:rPr>
        <w:t>buscar</w:t>
      </w:r>
      <w:r>
        <w:rPr>
          <w:color w:val="231F20"/>
          <w:spacing w:val="-10"/>
          <w:w w:val="105"/>
        </w:rPr>
        <w:t> </w:t>
      </w:r>
      <w:r>
        <w:rPr>
          <w:color w:val="231F20"/>
          <w:w w:val="105"/>
        </w:rPr>
        <w:t>su</w:t>
      </w:r>
      <w:r>
        <w:rPr>
          <w:color w:val="231F20"/>
          <w:spacing w:val="-10"/>
          <w:w w:val="105"/>
        </w:rPr>
        <w:t> </w:t>
      </w:r>
      <w:r>
        <w:rPr>
          <w:color w:val="231F20"/>
          <w:w w:val="105"/>
        </w:rPr>
        <w:t>exactitud</w:t>
      </w:r>
      <w:r>
        <w:rPr>
          <w:color w:val="231F20"/>
          <w:spacing w:val="-10"/>
          <w:w w:val="105"/>
        </w:rPr>
        <w:t> </w:t>
      </w:r>
      <w:r>
        <w:rPr>
          <w:color w:val="231F20"/>
          <w:w w:val="105"/>
        </w:rPr>
        <w:t>mediante predicciones que puedan compararse en la realidad (Manheim y Rich, 1999).</w:t>
      </w:r>
      <w:r>
        <w:rPr>
          <w:color w:val="231F20"/>
          <w:spacing w:val="-26"/>
          <w:w w:val="105"/>
        </w:rPr>
        <w:t> </w:t>
      </w:r>
      <w:r>
        <w:rPr>
          <w:color w:val="231F20"/>
          <w:spacing w:val="-4"/>
          <w:w w:val="105"/>
        </w:rPr>
        <w:t>Para</w:t>
      </w:r>
      <w:r>
        <w:rPr>
          <w:color w:val="231F20"/>
          <w:spacing w:val="-21"/>
          <w:w w:val="105"/>
        </w:rPr>
        <w:t> </w:t>
      </w:r>
      <w:r>
        <w:rPr>
          <w:color w:val="231F20"/>
          <w:w w:val="105"/>
        </w:rPr>
        <w:t>ello</w:t>
      </w:r>
      <w:r>
        <w:rPr>
          <w:color w:val="231F20"/>
          <w:spacing w:val="-21"/>
          <w:w w:val="105"/>
        </w:rPr>
        <w:t> </w:t>
      </w:r>
      <w:r>
        <w:rPr>
          <w:color w:val="231F20"/>
          <w:w w:val="105"/>
        </w:rPr>
        <w:t>se</w:t>
      </w:r>
      <w:r>
        <w:rPr>
          <w:color w:val="231F20"/>
          <w:spacing w:val="-21"/>
          <w:w w:val="105"/>
        </w:rPr>
        <w:t> </w:t>
      </w:r>
      <w:r>
        <w:rPr>
          <w:color w:val="231F20"/>
          <w:w w:val="105"/>
        </w:rPr>
        <w:t>deben</w:t>
      </w:r>
      <w:r>
        <w:rPr>
          <w:color w:val="231F20"/>
          <w:spacing w:val="-21"/>
          <w:w w:val="105"/>
        </w:rPr>
        <w:t> </w:t>
      </w:r>
      <w:r>
        <w:rPr>
          <w:color w:val="231F20"/>
          <w:w w:val="105"/>
        </w:rPr>
        <w:t>emplear</w:t>
      </w:r>
      <w:r>
        <w:rPr>
          <w:color w:val="231F20"/>
          <w:spacing w:val="-21"/>
          <w:w w:val="105"/>
        </w:rPr>
        <w:t> </w:t>
      </w:r>
      <w:r>
        <w:rPr>
          <w:color w:val="231F20"/>
          <w:w w:val="105"/>
        </w:rPr>
        <w:t>teorías</w:t>
      </w:r>
      <w:r>
        <w:rPr>
          <w:color w:val="231F20"/>
          <w:spacing w:val="-21"/>
          <w:w w:val="105"/>
        </w:rPr>
        <w:t> </w:t>
      </w:r>
      <w:r>
        <w:rPr>
          <w:color w:val="231F20"/>
          <w:w w:val="105"/>
        </w:rPr>
        <w:t>que</w:t>
      </w:r>
      <w:r>
        <w:rPr>
          <w:color w:val="231F20"/>
          <w:spacing w:val="-21"/>
          <w:w w:val="105"/>
        </w:rPr>
        <w:t> </w:t>
      </w:r>
      <w:r>
        <w:rPr>
          <w:color w:val="231F20"/>
          <w:w w:val="105"/>
        </w:rPr>
        <w:t>estén</w:t>
      </w:r>
      <w:r>
        <w:rPr>
          <w:color w:val="231F20"/>
          <w:spacing w:val="-21"/>
          <w:w w:val="105"/>
        </w:rPr>
        <w:t> </w:t>
      </w:r>
      <w:r>
        <w:rPr>
          <w:color w:val="231F20"/>
          <w:w w:val="105"/>
        </w:rPr>
        <w:t>relacionadas</w:t>
      </w:r>
      <w:r>
        <w:rPr>
          <w:color w:val="231F20"/>
          <w:spacing w:val="-21"/>
          <w:w w:val="105"/>
        </w:rPr>
        <w:t> </w:t>
      </w:r>
      <w:r>
        <w:rPr>
          <w:color w:val="231F20"/>
          <w:w w:val="105"/>
        </w:rPr>
        <w:t>de</w:t>
      </w:r>
      <w:r>
        <w:rPr>
          <w:color w:val="231F20"/>
          <w:spacing w:val="-21"/>
          <w:w w:val="105"/>
        </w:rPr>
        <w:t> </w:t>
      </w:r>
      <w:r>
        <w:rPr>
          <w:color w:val="231F20"/>
          <w:w w:val="105"/>
        </w:rPr>
        <w:t>for- ma</w:t>
      </w:r>
      <w:r>
        <w:rPr>
          <w:color w:val="231F20"/>
          <w:spacing w:val="-20"/>
          <w:w w:val="105"/>
        </w:rPr>
        <w:t> </w:t>
      </w:r>
      <w:r>
        <w:rPr>
          <w:color w:val="231F20"/>
          <w:w w:val="105"/>
        </w:rPr>
        <w:t>lógica</w:t>
      </w:r>
      <w:r>
        <w:rPr>
          <w:color w:val="231F20"/>
          <w:spacing w:val="-20"/>
          <w:w w:val="105"/>
        </w:rPr>
        <w:t> </w:t>
      </w:r>
      <w:r>
        <w:rPr>
          <w:color w:val="231F20"/>
          <w:w w:val="105"/>
        </w:rPr>
        <w:t>y</w:t>
      </w:r>
      <w:r>
        <w:rPr>
          <w:color w:val="231F20"/>
          <w:spacing w:val="-20"/>
          <w:w w:val="105"/>
        </w:rPr>
        <w:t> </w:t>
      </w:r>
      <w:r>
        <w:rPr>
          <w:color w:val="231F20"/>
          <w:w w:val="105"/>
        </w:rPr>
        <w:t>que</w:t>
      </w:r>
      <w:r>
        <w:rPr>
          <w:color w:val="231F20"/>
          <w:spacing w:val="-20"/>
          <w:w w:val="105"/>
        </w:rPr>
        <w:t> </w:t>
      </w:r>
      <w:r>
        <w:rPr>
          <w:color w:val="231F20"/>
          <w:w w:val="105"/>
        </w:rPr>
        <w:t>representen</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supone</w:t>
      </w:r>
      <w:r>
        <w:rPr>
          <w:color w:val="231F20"/>
          <w:spacing w:val="-20"/>
          <w:w w:val="105"/>
        </w:rPr>
        <w:t> </w:t>
      </w:r>
      <w:r>
        <w:rPr>
          <w:color w:val="231F20"/>
          <w:w w:val="105"/>
        </w:rPr>
        <w:t>que</w:t>
      </w:r>
      <w:r>
        <w:rPr>
          <w:color w:val="231F20"/>
          <w:spacing w:val="-20"/>
          <w:w w:val="105"/>
        </w:rPr>
        <w:t> </w:t>
      </w:r>
      <w:r>
        <w:rPr>
          <w:color w:val="231F20"/>
          <w:w w:val="105"/>
        </w:rPr>
        <w:t>explica</w:t>
      </w:r>
      <w:r>
        <w:rPr>
          <w:color w:val="231F20"/>
          <w:spacing w:val="-20"/>
          <w:w w:val="105"/>
        </w:rPr>
        <w:t> </w:t>
      </w:r>
      <w:r>
        <w:rPr>
          <w:color w:val="231F20"/>
          <w:w w:val="105"/>
        </w:rPr>
        <w:t>y</w:t>
      </w:r>
      <w:r>
        <w:rPr>
          <w:color w:val="231F20"/>
          <w:spacing w:val="-20"/>
          <w:w w:val="105"/>
        </w:rPr>
        <w:t> </w:t>
      </w:r>
      <w:r>
        <w:rPr>
          <w:color w:val="231F20"/>
          <w:w w:val="105"/>
        </w:rPr>
        <w:t>se</w:t>
      </w:r>
      <w:r>
        <w:rPr>
          <w:color w:val="231F20"/>
          <w:spacing w:val="-20"/>
          <w:w w:val="105"/>
        </w:rPr>
        <w:t> </w:t>
      </w:r>
      <w:r>
        <w:rPr>
          <w:color w:val="231F20"/>
          <w:w w:val="105"/>
        </w:rPr>
        <w:t>interpreta en la</w:t>
      </w:r>
      <w:r>
        <w:rPr>
          <w:color w:val="231F20"/>
          <w:spacing w:val="-38"/>
          <w:w w:val="105"/>
        </w:rPr>
        <w:t> </w:t>
      </w:r>
      <w:r>
        <w:rPr>
          <w:color w:val="231F20"/>
          <w:w w:val="105"/>
        </w:rPr>
        <w:t>sociedad.</w:t>
      </w:r>
    </w:p>
    <w:p>
      <w:pPr>
        <w:pStyle w:val="BodyText"/>
        <w:spacing w:line="259" w:lineRule="auto"/>
        <w:ind w:left="103" w:right="114" w:firstLine="567"/>
        <w:jc w:val="both"/>
      </w:pPr>
      <w:r>
        <w:rPr>
          <w:color w:val="231F20"/>
          <w:w w:val="105"/>
        </w:rPr>
        <w:t>Las</w:t>
      </w:r>
      <w:r>
        <w:rPr>
          <w:color w:val="231F20"/>
          <w:spacing w:val="-28"/>
          <w:w w:val="105"/>
        </w:rPr>
        <w:t> </w:t>
      </w:r>
      <w:r>
        <w:rPr>
          <w:color w:val="231F20"/>
          <w:w w:val="105"/>
        </w:rPr>
        <w:t>ciencias</w:t>
      </w:r>
      <w:r>
        <w:rPr>
          <w:color w:val="231F20"/>
          <w:spacing w:val="-28"/>
          <w:w w:val="105"/>
        </w:rPr>
        <w:t> </w:t>
      </w:r>
      <w:r>
        <w:rPr>
          <w:color w:val="231F20"/>
          <w:w w:val="105"/>
        </w:rPr>
        <w:t>sociales,</w:t>
      </w:r>
      <w:r>
        <w:rPr>
          <w:color w:val="231F20"/>
          <w:spacing w:val="-33"/>
          <w:w w:val="105"/>
        </w:rPr>
        <w:t> </w:t>
      </w:r>
      <w:r>
        <w:rPr>
          <w:color w:val="231F20"/>
          <w:w w:val="105"/>
        </w:rPr>
        <w:t>con</w:t>
      </w:r>
      <w:r>
        <w:rPr>
          <w:color w:val="231F20"/>
          <w:spacing w:val="-28"/>
          <w:w w:val="105"/>
        </w:rPr>
        <w:t> </w:t>
      </w:r>
      <w:r>
        <w:rPr>
          <w:color w:val="231F20"/>
          <w:w w:val="105"/>
        </w:rPr>
        <w:t>base</w:t>
      </w:r>
      <w:r>
        <w:rPr>
          <w:color w:val="231F20"/>
          <w:spacing w:val="-28"/>
          <w:w w:val="105"/>
        </w:rPr>
        <w:t> </w:t>
      </w:r>
      <w:r>
        <w:rPr>
          <w:color w:val="231F20"/>
          <w:w w:val="105"/>
        </w:rPr>
        <w:t>en</w:t>
      </w:r>
      <w:r>
        <w:rPr>
          <w:color w:val="231F20"/>
          <w:spacing w:val="-28"/>
          <w:w w:val="105"/>
        </w:rPr>
        <w:t> </w:t>
      </w:r>
      <w:r>
        <w:rPr>
          <w:color w:val="231F20"/>
          <w:w w:val="105"/>
        </w:rPr>
        <w:t>posturas</w:t>
      </w:r>
      <w:r>
        <w:rPr>
          <w:color w:val="231F20"/>
          <w:spacing w:val="-28"/>
          <w:w w:val="105"/>
        </w:rPr>
        <w:t> </w:t>
      </w:r>
      <w:r>
        <w:rPr>
          <w:color w:val="231F20"/>
          <w:w w:val="105"/>
        </w:rPr>
        <w:t>filosóficas</w:t>
      </w:r>
      <w:r>
        <w:rPr>
          <w:color w:val="231F20"/>
          <w:spacing w:val="-28"/>
          <w:w w:val="105"/>
        </w:rPr>
        <w:t> </w:t>
      </w:r>
      <w:r>
        <w:rPr>
          <w:color w:val="231F20"/>
          <w:w w:val="105"/>
        </w:rPr>
        <w:t>del</w:t>
      </w:r>
      <w:r>
        <w:rPr>
          <w:color w:val="231F20"/>
          <w:spacing w:val="-28"/>
          <w:w w:val="105"/>
        </w:rPr>
        <w:t> </w:t>
      </w:r>
      <w:r>
        <w:rPr>
          <w:color w:val="231F20"/>
          <w:w w:val="105"/>
        </w:rPr>
        <w:t>positivis- mo,</w:t>
      </w:r>
      <w:r>
        <w:rPr>
          <w:color w:val="231F20"/>
          <w:spacing w:val="-10"/>
          <w:w w:val="105"/>
        </w:rPr>
        <w:t> </w:t>
      </w:r>
      <w:r>
        <w:rPr>
          <w:color w:val="231F20"/>
          <w:w w:val="105"/>
        </w:rPr>
        <w:t>se</w:t>
      </w:r>
      <w:r>
        <w:rPr>
          <w:color w:val="231F20"/>
          <w:spacing w:val="-5"/>
          <w:w w:val="105"/>
        </w:rPr>
        <w:t> </w:t>
      </w:r>
      <w:r>
        <w:rPr>
          <w:color w:val="231F20"/>
          <w:w w:val="105"/>
        </w:rPr>
        <w:t>fundamentan</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existencia</w:t>
      </w:r>
      <w:r>
        <w:rPr>
          <w:color w:val="231F20"/>
          <w:spacing w:val="-5"/>
          <w:w w:val="105"/>
        </w:rPr>
        <w:t> </w:t>
      </w:r>
      <w:r>
        <w:rPr>
          <w:color w:val="231F20"/>
          <w:w w:val="105"/>
        </w:rPr>
        <w:t>de</w:t>
      </w:r>
      <w:r>
        <w:rPr>
          <w:color w:val="231F20"/>
          <w:spacing w:val="-5"/>
          <w:w w:val="105"/>
        </w:rPr>
        <w:t> </w:t>
      </w:r>
      <w:r>
        <w:rPr>
          <w:color w:val="231F20"/>
          <w:w w:val="105"/>
        </w:rPr>
        <w:t>hechos</w:t>
      </w:r>
      <w:r>
        <w:rPr>
          <w:color w:val="231F20"/>
          <w:spacing w:val="-5"/>
          <w:w w:val="105"/>
        </w:rPr>
        <w:t> </w:t>
      </w:r>
      <w:r>
        <w:rPr>
          <w:color w:val="231F20"/>
          <w:w w:val="105"/>
        </w:rPr>
        <w:t>reales,</w:t>
      </w:r>
      <w:r>
        <w:rPr>
          <w:color w:val="231F20"/>
          <w:spacing w:val="-10"/>
          <w:w w:val="105"/>
        </w:rPr>
        <w:t> </w:t>
      </w:r>
      <w:r>
        <w:rPr>
          <w:color w:val="231F20"/>
          <w:w w:val="105"/>
        </w:rPr>
        <w:t>precisos</w:t>
      </w:r>
      <w:r>
        <w:rPr>
          <w:color w:val="231F20"/>
          <w:spacing w:val="-5"/>
          <w:w w:val="105"/>
        </w:rPr>
        <w:t> </w:t>
      </w:r>
      <w:r>
        <w:rPr>
          <w:color w:val="231F20"/>
          <w:w w:val="105"/>
        </w:rPr>
        <w:t>y</w:t>
      </w:r>
      <w:r>
        <w:rPr>
          <w:color w:val="231F20"/>
          <w:spacing w:val="-5"/>
          <w:w w:val="105"/>
        </w:rPr>
        <w:t> </w:t>
      </w:r>
      <w:r>
        <w:rPr>
          <w:color w:val="231F20"/>
          <w:w w:val="105"/>
        </w:rPr>
        <w:t>dis- cernimiento</w:t>
      </w:r>
      <w:r>
        <w:rPr>
          <w:color w:val="231F20"/>
          <w:spacing w:val="-5"/>
          <w:w w:val="105"/>
        </w:rPr>
        <w:t> </w:t>
      </w:r>
      <w:r>
        <w:rPr>
          <w:color w:val="231F20"/>
          <w:w w:val="105"/>
        </w:rPr>
        <w:t>entre</w:t>
      </w:r>
      <w:r>
        <w:rPr>
          <w:color w:val="231F20"/>
          <w:spacing w:val="-5"/>
          <w:w w:val="105"/>
        </w:rPr>
        <w:t> </w:t>
      </w:r>
      <w:r>
        <w:rPr>
          <w:color w:val="231F20"/>
          <w:w w:val="105"/>
        </w:rPr>
        <w:t>lo</w:t>
      </w:r>
      <w:r>
        <w:rPr>
          <w:color w:val="231F20"/>
          <w:spacing w:val="-5"/>
          <w:w w:val="105"/>
        </w:rPr>
        <w:t> </w:t>
      </w:r>
      <w:r>
        <w:rPr>
          <w:color w:val="231F20"/>
          <w:w w:val="105"/>
        </w:rPr>
        <w:t>útil</w:t>
      </w:r>
      <w:r>
        <w:rPr>
          <w:color w:val="231F20"/>
          <w:spacing w:val="-5"/>
          <w:w w:val="105"/>
        </w:rPr>
        <w:t> </w:t>
      </w:r>
      <w:r>
        <w:rPr>
          <w:color w:val="231F20"/>
          <w:w w:val="105"/>
        </w:rPr>
        <w:t>y</w:t>
      </w:r>
      <w:r>
        <w:rPr>
          <w:color w:val="231F20"/>
          <w:spacing w:val="-5"/>
          <w:w w:val="105"/>
        </w:rPr>
        <w:t> </w:t>
      </w:r>
      <w:r>
        <w:rPr>
          <w:color w:val="231F20"/>
          <w:w w:val="105"/>
        </w:rPr>
        <w:t>lo</w:t>
      </w:r>
      <w:r>
        <w:rPr>
          <w:color w:val="231F20"/>
          <w:spacing w:val="-5"/>
          <w:w w:val="105"/>
        </w:rPr>
        <w:t> </w:t>
      </w:r>
      <w:r>
        <w:rPr>
          <w:color w:val="231F20"/>
          <w:w w:val="105"/>
        </w:rPr>
        <w:t>inútil</w:t>
      </w:r>
      <w:r>
        <w:rPr>
          <w:color w:val="231F20"/>
          <w:spacing w:val="-5"/>
          <w:w w:val="105"/>
        </w:rPr>
        <w:t> </w:t>
      </w:r>
      <w:r>
        <w:rPr>
          <w:color w:val="231F20"/>
          <w:w w:val="105"/>
        </w:rPr>
        <w:t>(Briones,</w:t>
      </w:r>
      <w:r>
        <w:rPr>
          <w:color w:val="231F20"/>
          <w:spacing w:val="-10"/>
          <w:w w:val="105"/>
        </w:rPr>
        <w:t> </w:t>
      </w:r>
      <w:r>
        <w:rPr>
          <w:color w:val="231F20"/>
          <w:w w:val="105"/>
        </w:rPr>
        <w:t>2006).</w:t>
      </w:r>
      <w:r>
        <w:rPr>
          <w:color w:val="231F20"/>
          <w:spacing w:val="-10"/>
          <w:w w:val="105"/>
        </w:rPr>
        <w:t> </w:t>
      </w:r>
      <w:r>
        <w:rPr>
          <w:color w:val="231F20"/>
          <w:w w:val="105"/>
        </w:rPr>
        <w:t>En</w:t>
      </w:r>
      <w:r>
        <w:rPr>
          <w:color w:val="231F20"/>
          <w:spacing w:val="-5"/>
          <w:w w:val="105"/>
        </w:rPr>
        <w:t> </w:t>
      </w:r>
      <w:r>
        <w:rPr>
          <w:color w:val="231F20"/>
          <w:w w:val="105"/>
        </w:rPr>
        <w:t>consecuencia,</w:t>
      </w:r>
      <w:r>
        <w:rPr>
          <w:color w:val="231F20"/>
          <w:spacing w:val="-10"/>
          <w:w w:val="105"/>
        </w:rPr>
        <w:t> </w:t>
      </w:r>
      <w:r>
        <w:rPr>
          <w:color w:val="231F20"/>
          <w:w w:val="105"/>
        </w:rPr>
        <w:t>los datos</w:t>
      </w:r>
      <w:r>
        <w:rPr>
          <w:color w:val="231F20"/>
          <w:spacing w:val="-14"/>
          <w:w w:val="105"/>
        </w:rPr>
        <w:t> </w:t>
      </w:r>
      <w:r>
        <w:rPr>
          <w:color w:val="231F20"/>
          <w:w w:val="105"/>
        </w:rPr>
        <w:t>percibidos</w:t>
      </w:r>
      <w:r>
        <w:rPr>
          <w:color w:val="231F20"/>
          <w:spacing w:val="-14"/>
          <w:w w:val="105"/>
        </w:rPr>
        <w:t> </w:t>
      </w:r>
      <w:r>
        <w:rPr>
          <w:color w:val="231F20"/>
          <w:w w:val="105"/>
        </w:rPr>
        <w:t>por</w:t>
      </w:r>
      <w:r>
        <w:rPr>
          <w:color w:val="231F20"/>
          <w:spacing w:val="-14"/>
          <w:w w:val="105"/>
        </w:rPr>
        <w:t> </w:t>
      </w:r>
      <w:r>
        <w:rPr>
          <w:color w:val="231F20"/>
          <w:w w:val="105"/>
        </w:rPr>
        <w:t>los</w:t>
      </w:r>
      <w:r>
        <w:rPr>
          <w:color w:val="231F20"/>
          <w:spacing w:val="-14"/>
          <w:w w:val="105"/>
        </w:rPr>
        <w:t> </w:t>
      </w:r>
      <w:r>
        <w:rPr>
          <w:color w:val="231F20"/>
          <w:w w:val="105"/>
        </w:rPr>
        <w:t>sentidos</w:t>
      </w:r>
      <w:r>
        <w:rPr>
          <w:color w:val="231F20"/>
          <w:spacing w:val="-14"/>
          <w:w w:val="105"/>
        </w:rPr>
        <w:t> </w:t>
      </w:r>
      <w:r>
        <w:rPr>
          <w:color w:val="231F20"/>
          <w:w w:val="105"/>
        </w:rPr>
        <w:t>utilizan</w:t>
      </w:r>
      <w:r>
        <w:rPr>
          <w:color w:val="231F20"/>
          <w:spacing w:val="-14"/>
          <w:w w:val="105"/>
        </w:rPr>
        <w:t> </w:t>
      </w:r>
      <w:r>
        <w:rPr>
          <w:color w:val="231F20"/>
          <w:w w:val="105"/>
        </w:rPr>
        <w:t>el</w:t>
      </w:r>
      <w:r>
        <w:rPr>
          <w:color w:val="231F20"/>
          <w:spacing w:val="-14"/>
          <w:w w:val="105"/>
        </w:rPr>
        <w:t> </w:t>
      </w:r>
      <w:r>
        <w:rPr>
          <w:color w:val="231F20"/>
          <w:w w:val="105"/>
        </w:rPr>
        <w:t>método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observación,</w:t>
      </w:r>
      <w:r>
        <w:rPr>
          <w:color w:val="231F20"/>
          <w:spacing w:val="-20"/>
          <w:w w:val="105"/>
        </w:rPr>
        <w:t> </w:t>
      </w:r>
      <w:r>
        <w:rPr>
          <w:color w:val="231F20"/>
          <w:w w:val="105"/>
        </w:rPr>
        <w:t>la experimentación</w:t>
      </w:r>
      <w:r>
        <w:rPr>
          <w:color w:val="231F20"/>
          <w:spacing w:val="-15"/>
          <w:w w:val="105"/>
        </w:rPr>
        <w:t> </w:t>
      </w:r>
      <w:r>
        <w:rPr>
          <w:color w:val="231F20"/>
          <w:w w:val="105"/>
        </w:rPr>
        <w:t>o</w:t>
      </w:r>
      <w:r>
        <w:rPr>
          <w:color w:val="231F20"/>
          <w:spacing w:val="-15"/>
          <w:w w:val="105"/>
        </w:rPr>
        <w:t> </w:t>
      </w:r>
      <w:r>
        <w:rPr>
          <w:color w:val="231F20"/>
          <w:w w:val="105"/>
        </w:rPr>
        <w:t>asociación</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comparación</w:t>
      </w:r>
      <w:r>
        <w:rPr>
          <w:color w:val="231F20"/>
          <w:spacing w:val="-15"/>
          <w:w w:val="105"/>
        </w:rPr>
        <w:t> </w:t>
      </w:r>
      <w:r>
        <w:rPr>
          <w:color w:val="231F20"/>
          <w:w w:val="105"/>
        </w:rPr>
        <w:t>como</w:t>
      </w:r>
      <w:r>
        <w:rPr>
          <w:color w:val="231F20"/>
          <w:spacing w:val="-15"/>
          <w:w w:val="105"/>
        </w:rPr>
        <w:t> </w:t>
      </w:r>
      <w:r>
        <w:rPr>
          <w:color w:val="231F20"/>
          <w:w w:val="105"/>
        </w:rPr>
        <w:t>alternativa</w:t>
      </w:r>
      <w:r>
        <w:rPr>
          <w:color w:val="231F20"/>
          <w:spacing w:val="-15"/>
          <w:w w:val="105"/>
        </w:rPr>
        <w:t> </w:t>
      </w:r>
      <w:r>
        <w:rPr>
          <w:color w:val="231F20"/>
          <w:w w:val="105"/>
        </w:rPr>
        <w:t>para</w:t>
      </w:r>
      <w:r>
        <w:rPr>
          <w:color w:val="231F20"/>
          <w:spacing w:val="-15"/>
          <w:w w:val="105"/>
        </w:rPr>
        <w:t> </w:t>
      </w:r>
      <w:r>
        <w:rPr>
          <w:color w:val="231F20"/>
          <w:w w:val="105"/>
        </w:rPr>
        <w:t>la generación</w:t>
      </w:r>
      <w:r>
        <w:rPr>
          <w:color w:val="231F20"/>
          <w:spacing w:val="-31"/>
          <w:w w:val="105"/>
        </w:rPr>
        <w:t> </w:t>
      </w:r>
      <w:r>
        <w:rPr>
          <w:color w:val="231F20"/>
          <w:w w:val="105"/>
        </w:rPr>
        <w:t>de</w:t>
      </w:r>
      <w:r>
        <w:rPr>
          <w:color w:val="231F20"/>
          <w:spacing w:val="-31"/>
          <w:w w:val="105"/>
        </w:rPr>
        <w:t> </w:t>
      </w:r>
      <w:r>
        <w:rPr>
          <w:color w:val="231F20"/>
          <w:w w:val="105"/>
        </w:rPr>
        <w:t>leyes</w:t>
      </w:r>
      <w:r>
        <w:rPr>
          <w:color w:val="231F20"/>
          <w:spacing w:val="-31"/>
          <w:w w:val="105"/>
        </w:rPr>
        <w:t> </w:t>
      </w:r>
      <w:r>
        <w:rPr>
          <w:color w:val="231F20"/>
          <w:w w:val="105"/>
        </w:rPr>
        <w:t>científicas.</w:t>
      </w:r>
    </w:p>
    <w:p>
      <w:pPr>
        <w:pStyle w:val="BodyText"/>
        <w:spacing w:line="259" w:lineRule="auto"/>
        <w:ind w:left="103" w:right="115" w:firstLine="567"/>
        <w:jc w:val="both"/>
      </w:pPr>
      <w:r>
        <w:rPr>
          <w:color w:val="231F20"/>
          <w:w w:val="105"/>
        </w:rPr>
        <w:t>De</w:t>
      </w:r>
      <w:r>
        <w:rPr>
          <w:color w:val="231F20"/>
          <w:spacing w:val="-16"/>
          <w:w w:val="105"/>
        </w:rPr>
        <w:t> </w:t>
      </w:r>
      <w:r>
        <w:rPr>
          <w:color w:val="231F20"/>
          <w:w w:val="105"/>
        </w:rPr>
        <w:t>acuerdo</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positivismo,</w:t>
      </w:r>
      <w:r>
        <w:rPr>
          <w:color w:val="231F20"/>
          <w:spacing w:val="-21"/>
          <w:w w:val="105"/>
        </w:rPr>
        <w:t> </w:t>
      </w:r>
      <w:r>
        <w:rPr>
          <w:color w:val="231F20"/>
          <w:w w:val="105"/>
        </w:rPr>
        <w:t>las</w:t>
      </w:r>
      <w:r>
        <w:rPr>
          <w:color w:val="231F20"/>
          <w:spacing w:val="-16"/>
          <w:w w:val="105"/>
        </w:rPr>
        <w:t> </w:t>
      </w:r>
      <w:r>
        <w:rPr>
          <w:color w:val="231F20"/>
          <w:w w:val="105"/>
        </w:rPr>
        <w:t>ciencias</w:t>
      </w:r>
      <w:r>
        <w:rPr>
          <w:color w:val="231F20"/>
          <w:spacing w:val="-16"/>
          <w:w w:val="105"/>
        </w:rPr>
        <w:t> </w:t>
      </w:r>
      <w:r>
        <w:rPr>
          <w:color w:val="231F20"/>
          <w:w w:val="105"/>
        </w:rPr>
        <w:t>sociales</w:t>
      </w:r>
      <w:r>
        <w:rPr>
          <w:color w:val="231F20"/>
          <w:spacing w:val="-16"/>
          <w:w w:val="105"/>
        </w:rPr>
        <w:t> </w:t>
      </w:r>
      <w:r>
        <w:rPr>
          <w:color w:val="231F20"/>
          <w:w w:val="105"/>
        </w:rPr>
        <w:t>son</w:t>
      </w:r>
      <w:r>
        <w:rPr>
          <w:color w:val="231F20"/>
          <w:spacing w:val="-16"/>
          <w:w w:val="105"/>
        </w:rPr>
        <w:t> </w:t>
      </w:r>
      <w:r>
        <w:rPr>
          <w:color w:val="231F20"/>
          <w:w w:val="105"/>
        </w:rPr>
        <w:t>empíricas con</w:t>
      </w:r>
      <w:r>
        <w:rPr>
          <w:color w:val="231F20"/>
          <w:spacing w:val="-33"/>
          <w:w w:val="105"/>
        </w:rPr>
        <w:t> </w:t>
      </w:r>
      <w:r>
        <w:rPr>
          <w:color w:val="231F20"/>
          <w:w w:val="105"/>
        </w:rPr>
        <w:t>sistemas</w:t>
      </w:r>
      <w:r>
        <w:rPr>
          <w:color w:val="231F20"/>
          <w:spacing w:val="-33"/>
          <w:w w:val="105"/>
        </w:rPr>
        <w:t> </w:t>
      </w:r>
      <w:r>
        <w:rPr>
          <w:color w:val="231F20"/>
          <w:w w:val="105"/>
        </w:rPr>
        <w:t>de</w:t>
      </w:r>
      <w:r>
        <w:rPr>
          <w:color w:val="231F20"/>
          <w:spacing w:val="-33"/>
          <w:w w:val="105"/>
        </w:rPr>
        <w:t> </w:t>
      </w:r>
      <w:r>
        <w:rPr>
          <w:color w:val="231F20"/>
          <w:w w:val="105"/>
        </w:rPr>
        <w:t>teorías</w:t>
      </w:r>
      <w:r>
        <w:rPr>
          <w:color w:val="231F20"/>
          <w:spacing w:val="-33"/>
          <w:w w:val="105"/>
        </w:rPr>
        <w:t> </w:t>
      </w:r>
      <w:r>
        <w:rPr>
          <w:color w:val="231F20"/>
          <w:w w:val="105"/>
        </w:rPr>
        <w:t>y</w:t>
      </w:r>
      <w:r>
        <w:rPr>
          <w:color w:val="231F20"/>
          <w:spacing w:val="-33"/>
          <w:w w:val="105"/>
        </w:rPr>
        <w:t> </w:t>
      </w:r>
      <w:r>
        <w:rPr>
          <w:color w:val="231F20"/>
          <w:w w:val="105"/>
        </w:rPr>
        <w:t>enunciados</w:t>
      </w:r>
      <w:r>
        <w:rPr>
          <w:color w:val="231F20"/>
          <w:spacing w:val="-33"/>
          <w:w w:val="105"/>
        </w:rPr>
        <w:t> </w:t>
      </w:r>
      <w:r>
        <w:rPr>
          <w:color w:val="231F20"/>
          <w:w w:val="105"/>
        </w:rPr>
        <w:t>universales</w:t>
      </w:r>
      <w:r>
        <w:rPr>
          <w:color w:val="231F20"/>
          <w:spacing w:val="-33"/>
          <w:w w:val="105"/>
        </w:rPr>
        <w:t> </w:t>
      </w:r>
      <w:r>
        <w:rPr>
          <w:color w:val="231F20"/>
          <w:spacing w:val="-4"/>
          <w:w w:val="105"/>
        </w:rPr>
        <w:t>(Popper,</w:t>
      </w:r>
      <w:r>
        <w:rPr>
          <w:color w:val="231F20"/>
          <w:spacing w:val="-37"/>
          <w:w w:val="105"/>
        </w:rPr>
        <w:t> </w:t>
      </w:r>
      <w:r>
        <w:rPr>
          <w:color w:val="231F20"/>
          <w:w w:val="105"/>
        </w:rPr>
        <w:t>1973).</w:t>
      </w:r>
      <w:r>
        <w:rPr>
          <w:color w:val="231F20"/>
          <w:spacing w:val="-37"/>
          <w:w w:val="105"/>
        </w:rPr>
        <w:t> </w:t>
      </w:r>
      <w:r>
        <w:rPr>
          <w:color w:val="231F20"/>
          <w:w w:val="105"/>
        </w:rPr>
        <w:t>Sin</w:t>
      </w:r>
      <w:r>
        <w:rPr>
          <w:color w:val="231F20"/>
          <w:spacing w:val="-33"/>
          <w:w w:val="105"/>
        </w:rPr>
        <w:t> </w:t>
      </w:r>
      <w:r>
        <w:rPr>
          <w:color w:val="231F20"/>
          <w:w w:val="105"/>
        </w:rPr>
        <w:t>em- bargo, no se puede tener certeza que cada teoría sea verdadera; por tanto,</w:t>
      </w:r>
      <w:r>
        <w:rPr>
          <w:color w:val="231F20"/>
          <w:spacing w:val="-23"/>
          <w:w w:val="105"/>
        </w:rPr>
        <w:t> </w:t>
      </w:r>
      <w:r>
        <w:rPr>
          <w:color w:val="231F20"/>
          <w:w w:val="105"/>
        </w:rPr>
        <w:t>existe</w:t>
      </w:r>
      <w:r>
        <w:rPr>
          <w:color w:val="231F20"/>
          <w:spacing w:val="-17"/>
          <w:w w:val="105"/>
        </w:rPr>
        <w:t> </w:t>
      </w:r>
      <w:r>
        <w:rPr>
          <w:color w:val="231F20"/>
          <w:w w:val="105"/>
        </w:rPr>
        <w:t>la</w:t>
      </w:r>
      <w:r>
        <w:rPr>
          <w:color w:val="231F20"/>
          <w:spacing w:val="-17"/>
          <w:w w:val="105"/>
        </w:rPr>
        <w:t> </w:t>
      </w:r>
      <w:r>
        <w:rPr>
          <w:color w:val="231F20"/>
          <w:w w:val="105"/>
        </w:rPr>
        <w:t>posibilidad</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sea</w:t>
      </w:r>
      <w:r>
        <w:rPr>
          <w:color w:val="231F20"/>
          <w:spacing w:val="-17"/>
          <w:w w:val="105"/>
        </w:rPr>
        <w:t> </w:t>
      </w:r>
      <w:r>
        <w:rPr>
          <w:color w:val="231F20"/>
          <w:w w:val="105"/>
        </w:rPr>
        <w:t>falsa.</w:t>
      </w:r>
    </w:p>
    <w:p>
      <w:pPr>
        <w:pStyle w:val="BodyText"/>
        <w:spacing w:line="259" w:lineRule="auto"/>
        <w:ind w:left="103" w:right="115" w:firstLine="567"/>
        <w:jc w:val="both"/>
      </w:pPr>
      <w:r>
        <w:rPr>
          <w:color w:val="231F20"/>
          <w:w w:val="105"/>
        </w:rPr>
        <w:t>Las ciencias sociales al estar conformadas por teorías como</w:t>
      </w:r>
      <w:r>
        <w:rPr>
          <w:color w:val="231F20"/>
          <w:spacing w:val="-41"/>
          <w:w w:val="105"/>
        </w:rPr>
        <w:t> </w:t>
      </w:r>
      <w:r>
        <w:rPr>
          <w:color w:val="231F20"/>
          <w:w w:val="105"/>
        </w:rPr>
        <w:t>sim- ples</w:t>
      </w:r>
      <w:r>
        <w:rPr>
          <w:color w:val="231F20"/>
          <w:spacing w:val="-19"/>
          <w:w w:val="105"/>
        </w:rPr>
        <w:t> </w:t>
      </w:r>
      <w:r>
        <w:rPr>
          <w:color w:val="231F20"/>
          <w:w w:val="105"/>
        </w:rPr>
        <w:t>hipótesis</w:t>
      </w:r>
      <w:r>
        <w:rPr>
          <w:color w:val="231F20"/>
          <w:spacing w:val="-19"/>
          <w:w w:val="105"/>
        </w:rPr>
        <w:t> </w:t>
      </w:r>
      <w:r>
        <w:rPr>
          <w:color w:val="231F20"/>
          <w:w w:val="105"/>
        </w:rPr>
        <w:t>pueden</w:t>
      </w:r>
      <w:r>
        <w:rPr>
          <w:color w:val="231F20"/>
          <w:spacing w:val="-19"/>
          <w:w w:val="105"/>
        </w:rPr>
        <w:t> </w:t>
      </w:r>
      <w:r>
        <w:rPr>
          <w:color w:val="231F20"/>
          <w:w w:val="105"/>
        </w:rPr>
        <w:t>estar</w:t>
      </w:r>
      <w:r>
        <w:rPr>
          <w:color w:val="231F20"/>
          <w:spacing w:val="-19"/>
          <w:w w:val="105"/>
        </w:rPr>
        <w:t> </w:t>
      </w:r>
      <w:r>
        <w:rPr>
          <w:color w:val="231F20"/>
          <w:w w:val="105"/>
        </w:rPr>
        <w:t>sujetas</w:t>
      </w:r>
      <w:r>
        <w:rPr>
          <w:color w:val="231F20"/>
          <w:spacing w:val="-19"/>
          <w:w w:val="105"/>
        </w:rPr>
        <w:t> </w:t>
      </w:r>
      <w:r>
        <w:rPr>
          <w:color w:val="231F20"/>
          <w:w w:val="105"/>
        </w:rPr>
        <w:t>a</w:t>
      </w:r>
      <w:r>
        <w:rPr>
          <w:color w:val="231F20"/>
          <w:spacing w:val="-19"/>
          <w:w w:val="105"/>
        </w:rPr>
        <w:t> </w:t>
      </w:r>
      <w:r>
        <w:rPr>
          <w:color w:val="231F20"/>
          <w:w w:val="105"/>
        </w:rPr>
        <w:t>cambios</w:t>
      </w:r>
      <w:r>
        <w:rPr>
          <w:color w:val="231F20"/>
          <w:spacing w:val="-19"/>
          <w:w w:val="105"/>
        </w:rPr>
        <w:t> </w:t>
      </w:r>
      <w:r>
        <w:rPr>
          <w:color w:val="231F20"/>
          <w:w w:val="105"/>
        </w:rPr>
        <w:t>constantes</w:t>
      </w:r>
      <w:r>
        <w:rPr>
          <w:color w:val="231F20"/>
          <w:spacing w:val="-19"/>
          <w:w w:val="105"/>
        </w:rPr>
        <w:t> </w:t>
      </w:r>
      <w:r>
        <w:rPr>
          <w:color w:val="231F20"/>
          <w:w w:val="105"/>
        </w:rPr>
        <w:t>y</w:t>
      </w:r>
      <w:r>
        <w:rPr>
          <w:color w:val="231F20"/>
          <w:spacing w:val="-19"/>
          <w:w w:val="105"/>
        </w:rPr>
        <w:t> </w:t>
      </w:r>
      <w:r>
        <w:rPr>
          <w:color w:val="231F20"/>
          <w:w w:val="105"/>
        </w:rPr>
        <w:t>ser</w:t>
      </w:r>
      <w:r>
        <w:rPr>
          <w:color w:val="231F20"/>
          <w:spacing w:val="-19"/>
          <w:w w:val="105"/>
        </w:rPr>
        <w:t> </w:t>
      </w:r>
      <w:r>
        <w:rPr>
          <w:color w:val="231F20"/>
          <w:w w:val="105"/>
        </w:rPr>
        <w:t>rechaza- das en cierto momento de la realidad. La metodología de las ciencias sociales</w:t>
      </w:r>
      <w:r>
        <w:rPr>
          <w:color w:val="231F20"/>
          <w:spacing w:val="-19"/>
          <w:w w:val="105"/>
        </w:rPr>
        <w:t> </w:t>
      </w:r>
      <w:r>
        <w:rPr>
          <w:color w:val="231F20"/>
          <w:w w:val="105"/>
        </w:rPr>
        <w:t>induce</w:t>
      </w:r>
      <w:r>
        <w:rPr>
          <w:color w:val="231F20"/>
          <w:spacing w:val="-19"/>
          <w:w w:val="105"/>
        </w:rPr>
        <w:t> </w:t>
      </w:r>
      <w:r>
        <w:rPr>
          <w:color w:val="231F20"/>
          <w:w w:val="105"/>
        </w:rPr>
        <w:t>a</w:t>
      </w:r>
      <w:r>
        <w:rPr>
          <w:color w:val="231F20"/>
          <w:spacing w:val="-19"/>
          <w:w w:val="105"/>
        </w:rPr>
        <w:t> </w:t>
      </w:r>
      <w:r>
        <w:rPr>
          <w:color w:val="231F20"/>
          <w:w w:val="105"/>
        </w:rPr>
        <w:t>su</w:t>
      </w:r>
      <w:r>
        <w:rPr>
          <w:color w:val="231F20"/>
          <w:spacing w:val="-19"/>
          <w:w w:val="105"/>
        </w:rPr>
        <w:t> </w:t>
      </w:r>
      <w:r>
        <w:rPr>
          <w:color w:val="231F20"/>
          <w:w w:val="105"/>
        </w:rPr>
        <w:t>continua</w:t>
      </w:r>
      <w:r>
        <w:rPr>
          <w:color w:val="231F20"/>
          <w:spacing w:val="-19"/>
          <w:w w:val="105"/>
        </w:rPr>
        <w:t> </w:t>
      </w:r>
      <w:r>
        <w:rPr>
          <w:color w:val="231F20"/>
          <w:w w:val="105"/>
        </w:rPr>
        <w:t>reingeniería,</w:t>
      </w:r>
      <w:r>
        <w:rPr>
          <w:color w:val="231F20"/>
          <w:spacing w:val="-24"/>
          <w:w w:val="105"/>
        </w:rPr>
        <w:t> </w:t>
      </w:r>
      <w:r>
        <w:rPr>
          <w:color w:val="231F20"/>
          <w:w w:val="105"/>
        </w:rPr>
        <w:t>a</w:t>
      </w:r>
      <w:r>
        <w:rPr>
          <w:color w:val="231F20"/>
          <w:spacing w:val="-19"/>
          <w:w w:val="105"/>
        </w:rPr>
        <w:t> </w:t>
      </w:r>
      <w:r>
        <w:rPr>
          <w:color w:val="231F20"/>
          <w:w w:val="105"/>
        </w:rPr>
        <w:t>un</w:t>
      </w:r>
      <w:r>
        <w:rPr>
          <w:color w:val="231F20"/>
          <w:spacing w:val="-19"/>
          <w:w w:val="105"/>
        </w:rPr>
        <w:t> </w:t>
      </w:r>
      <w:r>
        <w:rPr>
          <w:color w:val="231F20"/>
          <w:w w:val="105"/>
        </w:rPr>
        <w:t>crecimiento</w:t>
      </w:r>
      <w:r>
        <w:rPr>
          <w:color w:val="231F20"/>
          <w:spacing w:val="-19"/>
          <w:w w:val="105"/>
        </w:rPr>
        <w:t> </w:t>
      </w:r>
      <w:r>
        <w:rPr>
          <w:color w:val="231F20"/>
          <w:w w:val="105"/>
        </w:rPr>
        <w:t>acumulativo del conocimiento por dos partes: i) la contrastación empírica y la elimi- nación</w:t>
      </w:r>
      <w:r>
        <w:rPr>
          <w:color w:val="231F20"/>
          <w:spacing w:val="-6"/>
          <w:w w:val="105"/>
        </w:rPr>
        <w:t> </w:t>
      </w:r>
      <w:r>
        <w:rPr>
          <w:color w:val="231F20"/>
          <w:w w:val="105"/>
        </w:rPr>
        <w:t>del</w:t>
      </w:r>
      <w:r>
        <w:rPr>
          <w:color w:val="231F20"/>
          <w:spacing w:val="-6"/>
          <w:w w:val="105"/>
        </w:rPr>
        <w:t> </w:t>
      </w:r>
      <w:r>
        <w:rPr>
          <w:color w:val="231F20"/>
          <w:w w:val="105"/>
        </w:rPr>
        <w:t>error</w:t>
      </w:r>
      <w:r>
        <w:rPr>
          <w:color w:val="231F20"/>
          <w:spacing w:val="-6"/>
          <w:w w:val="105"/>
        </w:rPr>
        <w:t> </w:t>
      </w:r>
      <w:r>
        <w:rPr>
          <w:color w:val="231F20"/>
          <w:w w:val="105"/>
        </w:rPr>
        <w:t>de</w:t>
      </w:r>
      <w:r>
        <w:rPr>
          <w:color w:val="231F20"/>
          <w:spacing w:val="-6"/>
          <w:w w:val="105"/>
        </w:rPr>
        <w:t> </w:t>
      </w:r>
      <w:r>
        <w:rPr>
          <w:color w:val="231F20"/>
          <w:w w:val="105"/>
        </w:rPr>
        <w:t>investigación;</w:t>
      </w:r>
      <w:r>
        <w:rPr>
          <w:color w:val="231F20"/>
          <w:spacing w:val="-6"/>
          <w:w w:val="105"/>
        </w:rPr>
        <w:t> </w:t>
      </w:r>
      <w:r>
        <w:rPr>
          <w:color w:val="231F20"/>
          <w:w w:val="105"/>
        </w:rPr>
        <w:t>ii)</w:t>
      </w:r>
      <w:r>
        <w:rPr>
          <w:color w:val="231F20"/>
          <w:spacing w:val="-6"/>
          <w:w w:val="105"/>
        </w:rPr>
        <w:t> </w:t>
      </w:r>
      <w:r>
        <w:rPr>
          <w:color w:val="231F20"/>
          <w:w w:val="105"/>
        </w:rPr>
        <w:t>tratar</w:t>
      </w:r>
      <w:r>
        <w:rPr>
          <w:color w:val="231F20"/>
          <w:spacing w:val="-6"/>
          <w:w w:val="105"/>
        </w:rPr>
        <w:t> </w:t>
      </w:r>
      <w:r>
        <w:rPr>
          <w:color w:val="231F20"/>
          <w:w w:val="105"/>
        </w:rPr>
        <w:t>de</w:t>
      </w:r>
      <w:r>
        <w:rPr>
          <w:color w:val="231F20"/>
          <w:spacing w:val="-6"/>
          <w:w w:val="105"/>
        </w:rPr>
        <w:t> </w:t>
      </w:r>
      <w:r>
        <w:rPr>
          <w:color w:val="231F20"/>
          <w:w w:val="105"/>
        </w:rPr>
        <w:t>responder</w:t>
      </w:r>
      <w:r>
        <w:rPr>
          <w:color w:val="231F20"/>
          <w:spacing w:val="-6"/>
          <w:w w:val="105"/>
        </w:rPr>
        <w:t> </w:t>
      </w:r>
      <w:r>
        <w:rPr>
          <w:color w:val="231F20"/>
          <w:w w:val="105"/>
        </w:rPr>
        <w:t>qué</w:t>
      </w:r>
      <w:r>
        <w:rPr>
          <w:color w:val="231F20"/>
          <w:spacing w:val="-6"/>
          <w:w w:val="105"/>
        </w:rPr>
        <w:t> </w:t>
      </w:r>
      <w:r>
        <w:rPr>
          <w:color w:val="231F20"/>
          <w:w w:val="105"/>
        </w:rPr>
        <w:t>se</w:t>
      </w:r>
      <w:r>
        <w:rPr>
          <w:color w:val="231F20"/>
          <w:spacing w:val="-6"/>
          <w:w w:val="105"/>
        </w:rPr>
        <w:t> </w:t>
      </w:r>
      <w:r>
        <w:rPr>
          <w:color w:val="231F20"/>
          <w:w w:val="105"/>
        </w:rPr>
        <w:t>sabe</w:t>
      </w:r>
      <w:r>
        <w:rPr>
          <w:color w:val="231F20"/>
          <w:spacing w:val="-6"/>
          <w:w w:val="105"/>
        </w:rPr>
        <w:t> </w:t>
      </w:r>
      <w:r>
        <w:rPr>
          <w:color w:val="231F20"/>
          <w:w w:val="105"/>
        </w:rPr>
        <w:t>de nuevo</w:t>
      </w:r>
      <w:r>
        <w:rPr>
          <w:color w:val="231F20"/>
          <w:spacing w:val="-25"/>
          <w:w w:val="105"/>
        </w:rPr>
        <w:t> </w:t>
      </w:r>
      <w:r>
        <w:rPr>
          <w:color w:val="231F20"/>
          <w:w w:val="105"/>
        </w:rPr>
        <w:t>que</w:t>
      </w:r>
      <w:r>
        <w:rPr>
          <w:color w:val="231F20"/>
          <w:spacing w:val="-25"/>
          <w:w w:val="105"/>
        </w:rPr>
        <w:t> </w:t>
      </w:r>
      <w:r>
        <w:rPr>
          <w:color w:val="231F20"/>
          <w:w w:val="105"/>
        </w:rPr>
        <w:t>no</w:t>
      </w:r>
      <w:r>
        <w:rPr>
          <w:color w:val="231F20"/>
          <w:spacing w:val="-25"/>
          <w:w w:val="105"/>
        </w:rPr>
        <w:t> </w:t>
      </w:r>
      <w:r>
        <w:rPr>
          <w:color w:val="231F20"/>
          <w:w w:val="105"/>
        </w:rPr>
        <w:t>se</w:t>
      </w:r>
      <w:r>
        <w:rPr>
          <w:color w:val="231F20"/>
          <w:spacing w:val="-25"/>
          <w:w w:val="105"/>
        </w:rPr>
        <w:t> </w:t>
      </w:r>
      <w:r>
        <w:rPr>
          <w:color w:val="231F20"/>
          <w:w w:val="105"/>
        </w:rPr>
        <w:t>sabía</w:t>
      </w:r>
      <w:r>
        <w:rPr>
          <w:color w:val="231F20"/>
          <w:spacing w:val="-25"/>
          <w:w w:val="105"/>
        </w:rPr>
        <w:t> </w:t>
      </w:r>
      <w:r>
        <w:rPr>
          <w:color w:val="231F20"/>
          <w:w w:val="105"/>
        </w:rPr>
        <w:t>antes</w:t>
      </w:r>
      <w:r>
        <w:rPr>
          <w:color w:val="231F20"/>
          <w:spacing w:val="-25"/>
          <w:w w:val="105"/>
        </w:rPr>
        <w:t> </w:t>
      </w:r>
      <w:r>
        <w:rPr>
          <w:color w:val="231F20"/>
          <w:spacing w:val="-4"/>
          <w:w w:val="105"/>
        </w:rPr>
        <w:t>(Popper,</w:t>
      </w:r>
      <w:r>
        <w:rPr>
          <w:color w:val="231F20"/>
          <w:spacing w:val="-30"/>
          <w:w w:val="105"/>
        </w:rPr>
        <w:t> </w:t>
      </w:r>
      <w:r>
        <w:rPr>
          <w:color w:val="231F20"/>
          <w:w w:val="105"/>
        </w:rPr>
        <w:t>1975).</w:t>
      </w:r>
    </w:p>
    <w:p>
      <w:pPr>
        <w:pStyle w:val="BodyText"/>
        <w:spacing w:line="259" w:lineRule="auto"/>
        <w:ind w:left="103" w:right="115" w:firstLine="567"/>
        <w:jc w:val="both"/>
      </w:pPr>
      <w:r>
        <w:rPr>
          <w:color w:val="231F20"/>
          <w:w w:val="105"/>
        </w:rPr>
        <w:t>Después de haber realizado una breve introducción en el campo económico-administrativo,</w:t>
      </w:r>
      <w:r>
        <w:rPr>
          <w:color w:val="231F20"/>
          <w:spacing w:val="-32"/>
          <w:w w:val="105"/>
        </w:rPr>
        <w:t> </w:t>
      </w:r>
      <w:r>
        <w:rPr>
          <w:color w:val="231F20"/>
          <w:w w:val="105"/>
        </w:rPr>
        <w:t>es</w:t>
      </w:r>
      <w:r>
        <w:rPr>
          <w:color w:val="231F20"/>
          <w:spacing w:val="-27"/>
          <w:w w:val="105"/>
        </w:rPr>
        <w:t> </w:t>
      </w:r>
      <w:r>
        <w:rPr>
          <w:color w:val="231F20"/>
          <w:w w:val="105"/>
        </w:rPr>
        <w:t>necesario</w:t>
      </w:r>
      <w:r>
        <w:rPr>
          <w:color w:val="231F20"/>
          <w:spacing w:val="-27"/>
          <w:w w:val="105"/>
        </w:rPr>
        <w:t> </w:t>
      </w:r>
      <w:r>
        <w:rPr>
          <w:color w:val="231F20"/>
          <w:w w:val="105"/>
        </w:rPr>
        <w:t>definir</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economía</w:t>
      </w:r>
      <w:r>
        <w:rPr>
          <w:color w:val="231F20"/>
          <w:spacing w:val="-27"/>
          <w:w w:val="105"/>
        </w:rPr>
        <w:t> </w:t>
      </w:r>
      <w:r>
        <w:rPr>
          <w:color w:val="231F20"/>
          <w:w w:val="105"/>
        </w:rPr>
        <w:t>y</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admi- nistración,</w:t>
      </w:r>
      <w:r>
        <w:rPr>
          <w:color w:val="231F20"/>
          <w:spacing w:val="-27"/>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sus</w:t>
      </w:r>
      <w:r>
        <w:rPr>
          <w:color w:val="231F20"/>
          <w:spacing w:val="-23"/>
          <w:w w:val="105"/>
        </w:rPr>
        <w:t> </w:t>
      </w:r>
      <w:r>
        <w:rPr>
          <w:color w:val="231F20"/>
          <w:w w:val="105"/>
        </w:rPr>
        <w:t>respectivas</w:t>
      </w:r>
      <w:r>
        <w:rPr>
          <w:color w:val="231F20"/>
          <w:spacing w:val="-23"/>
          <w:w w:val="105"/>
        </w:rPr>
        <w:t> </w:t>
      </w:r>
      <w:r>
        <w:rPr>
          <w:color w:val="231F20"/>
          <w:w w:val="105"/>
        </w:rPr>
        <w:t>áreas</w:t>
      </w:r>
      <w:r>
        <w:rPr>
          <w:color w:val="231F20"/>
          <w:spacing w:val="-23"/>
          <w:w w:val="105"/>
        </w:rPr>
        <w:t> </w:t>
      </w:r>
      <w:r>
        <w:rPr>
          <w:color w:val="231F20"/>
          <w:w w:val="105"/>
        </w:rPr>
        <w:t>de</w:t>
      </w:r>
      <w:r>
        <w:rPr>
          <w:color w:val="231F20"/>
          <w:spacing w:val="-23"/>
          <w:w w:val="105"/>
        </w:rPr>
        <w:t> </w:t>
      </w:r>
      <w:r>
        <w:rPr>
          <w:color w:val="231F20"/>
          <w:w w:val="105"/>
        </w:rPr>
        <w:t>investigación</w:t>
      </w:r>
      <w:r>
        <w:rPr>
          <w:color w:val="231F20"/>
          <w:spacing w:val="-23"/>
          <w:w w:val="105"/>
        </w:rPr>
        <w:t> </w:t>
      </w:r>
      <w:r>
        <w:rPr>
          <w:color w:val="231F20"/>
          <w:w w:val="105"/>
        </w:rPr>
        <w:t>para</w:t>
      </w:r>
      <w:r>
        <w:rPr>
          <w:color w:val="231F20"/>
          <w:spacing w:val="-23"/>
          <w:w w:val="105"/>
        </w:rPr>
        <w:t> </w:t>
      </w:r>
      <w:r>
        <w:rPr>
          <w:color w:val="231F20"/>
          <w:w w:val="105"/>
        </w:rPr>
        <w:t>explicar la</w:t>
      </w:r>
      <w:r>
        <w:rPr>
          <w:color w:val="231F20"/>
          <w:spacing w:val="-18"/>
          <w:w w:val="105"/>
        </w:rPr>
        <w:t> </w:t>
      </w:r>
      <w:r>
        <w:rPr>
          <w:color w:val="231F20"/>
          <w:w w:val="105"/>
        </w:rPr>
        <w:t>intersección</w:t>
      </w:r>
      <w:r>
        <w:rPr>
          <w:color w:val="231F20"/>
          <w:spacing w:val="-18"/>
          <w:w w:val="105"/>
        </w:rPr>
        <w:t> </w:t>
      </w:r>
      <w:r>
        <w:rPr>
          <w:color w:val="231F20"/>
          <w:w w:val="105"/>
        </w:rPr>
        <w:t>encontrada</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investigación</w:t>
      </w:r>
      <w:r>
        <w:rPr>
          <w:color w:val="231F20"/>
          <w:spacing w:val="-18"/>
          <w:w w:val="105"/>
        </w:rPr>
        <w:t> </w:t>
      </w:r>
      <w:r>
        <w:rPr>
          <w:color w:val="231F20"/>
          <w:w w:val="105"/>
        </w:rPr>
        <w:t>abordada.</w:t>
      </w:r>
    </w:p>
    <w:p>
      <w:pPr>
        <w:pStyle w:val="BodyText"/>
        <w:spacing w:line="259" w:lineRule="auto"/>
        <w:ind w:left="103" w:right="115" w:firstLine="567"/>
        <w:jc w:val="both"/>
      </w:pPr>
      <w:r>
        <w:rPr>
          <w:color w:val="231F20"/>
          <w:w w:val="105"/>
        </w:rPr>
        <w:t>La economía se define como una ciencia social que estudia las elecciones de los agentes económicos (familias, empresas y gobierno) para</w:t>
      </w:r>
      <w:r>
        <w:rPr>
          <w:color w:val="231F20"/>
          <w:spacing w:val="-28"/>
          <w:w w:val="105"/>
        </w:rPr>
        <w:t> </w:t>
      </w:r>
      <w:r>
        <w:rPr>
          <w:color w:val="231F20"/>
          <w:w w:val="105"/>
        </w:rPr>
        <w:t>enfrentar</w:t>
      </w:r>
      <w:r>
        <w:rPr>
          <w:color w:val="231F20"/>
          <w:spacing w:val="-28"/>
          <w:w w:val="105"/>
        </w:rPr>
        <w:t> </w:t>
      </w:r>
      <w:r>
        <w:rPr>
          <w:color w:val="231F20"/>
          <w:w w:val="105"/>
        </w:rPr>
        <w:t>el</w:t>
      </w:r>
      <w:r>
        <w:rPr>
          <w:color w:val="231F20"/>
          <w:spacing w:val="-28"/>
          <w:w w:val="105"/>
        </w:rPr>
        <w:t> </w:t>
      </w:r>
      <w:r>
        <w:rPr>
          <w:color w:val="231F20"/>
          <w:w w:val="105"/>
        </w:rPr>
        <w:t>problema</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escasez</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factores</w:t>
      </w:r>
      <w:r>
        <w:rPr>
          <w:color w:val="231F20"/>
          <w:spacing w:val="-28"/>
          <w:w w:val="105"/>
        </w:rPr>
        <w:t> </w:t>
      </w:r>
      <w:r>
        <w:rPr>
          <w:color w:val="231F20"/>
          <w:w w:val="105"/>
        </w:rPr>
        <w:t>productivos</w:t>
      </w:r>
      <w:r>
        <w:rPr>
          <w:color w:val="231F20"/>
          <w:spacing w:val="-28"/>
          <w:w w:val="105"/>
        </w:rPr>
        <w:t> </w:t>
      </w:r>
      <w:r>
        <w:rPr>
          <w:color w:val="231F20"/>
          <w:spacing w:val="-4"/>
          <w:w w:val="105"/>
        </w:rPr>
        <w:t>(Par- </w:t>
      </w:r>
      <w:r>
        <w:rPr>
          <w:color w:val="231F20"/>
          <w:w w:val="105"/>
        </w:rPr>
        <w:t>kín</w:t>
      </w:r>
      <w:r>
        <w:rPr>
          <w:color w:val="231F20"/>
          <w:spacing w:val="-16"/>
          <w:w w:val="105"/>
        </w:rPr>
        <w:t> </w:t>
      </w:r>
      <w:r>
        <w:rPr>
          <w:color w:val="231F20"/>
          <w:w w:val="105"/>
        </w:rPr>
        <w:t>y</w:t>
      </w:r>
      <w:r>
        <w:rPr>
          <w:color w:val="231F20"/>
          <w:spacing w:val="-16"/>
          <w:w w:val="105"/>
        </w:rPr>
        <w:t> </w:t>
      </w:r>
      <w:r>
        <w:rPr>
          <w:color w:val="231F20"/>
          <w:w w:val="105"/>
        </w:rPr>
        <w:t>Loría,</w:t>
      </w:r>
      <w:r>
        <w:rPr>
          <w:color w:val="231F20"/>
          <w:spacing w:val="-21"/>
          <w:w w:val="105"/>
        </w:rPr>
        <w:t> </w:t>
      </w:r>
      <w:r>
        <w:rPr>
          <w:color w:val="231F20"/>
          <w:w w:val="105"/>
        </w:rPr>
        <w:t>2010,</w:t>
      </w:r>
      <w:r>
        <w:rPr>
          <w:color w:val="231F20"/>
          <w:spacing w:val="-22"/>
          <w:w w:val="105"/>
        </w:rPr>
        <w:t> </w:t>
      </w:r>
      <w:r>
        <w:rPr>
          <w:color w:val="231F20"/>
          <w:w w:val="105"/>
        </w:rPr>
        <w:t>pág.</w:t>
      </w:r>
      <w:r>
        <w:rPr>
          <w:color w:val="231F20"/>
          <w:spacing w:val="-22"/>
          <w:w w:val="105"/>
        </w:rPr>
        <w:t> </w:t>
      </w:r>
      <w:r>
        <w:rPr>
          <w:color w:val="231F20"/>
          <w:w w:val="105"/>
        </w:rPr>
        <w:t>2),</w:t>
      </w:r>
      <w:r>
        <w:rPr>
          <w:color w:val="231F20"/>
          <w:spacing w:val="-22"/>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formalmente</w:t>
      </w:r>
      <w:r>
        <w:rPr>
          <w:color w:val="231F20"/>
          <w:spacing w:val="-16"/>
          <w:w w:val="105"/>
        </w:rPr>
        <w:t> </w:t>
      </w:r>
      <w:r>
        <w:rPr>
          <w:color w:val="231F20"/>
          <w:w w:val="105"/>
        </w:rPr>
        <w:t>se</w:t>
      </w:r>
      <w:r>
        <w:rPr>
          <w:color w:val="231F20"/>
          <w:spacing w:val="-16"/>
          <w:w w:val="105"/>
        </w:rPr>
        <w:t> </w:t>
      </w:r>
      <w:r>
        <w:rPr>
          <w:color w:val="231F20"/>
          <w:w w:val="105"/>
        </w:rPr>
        <w:t>conoce</w:t>
      </w:r>
      <w:r>
        <w:rPr>
          <w:color w:val="231F20"/>
          <w:spacing w:val="-16"/>
          <w:w w:val="105"/>
        </w:rPr>
        <w:t> </w:t>
      </w:r>
      <w:r>
        <w:rPr>
          <w:color w:val="231F20"/>
          <w:w w:val="105"/>
        </w:rPr>
        <w:t>como</w:t>
      </w:r>
      <w:r>
        <w:rPr>
          <w:color w:val="231F20"/>
          <w:spacing w:val="-16"/>
          <w:w w:val="105"/>
        </w:rPr>
        <w:t> </w:t>
      </w:r>
      <w:r>
        <w:rPr>
          <w:color w:val="231F20"/>
          <w:w w:val="105"/>
        </w:rPr>
        <w:t>el</w:t>
      </w:r>
      <w:r>
        <w:rPr>
          <w:color w:val="231F20"/>
          <w:spacing w:val="-16"/>
          <w:w w:val="105"/>
        </w:rPr>
        <w:t> </w:t>
      </w:r>
      <w:r>
        <w:rPr>
          <w:color w:val="231F20"/>
          <w:w w:val="105"/>
        </w:rPr>
        <w:t>estudio de</w:t>
      </w:r>
      <w:r>
        <w:rPr>
          <w:color w:val="231F20"/>
          <w:spacing w:val="-28"/>
          <w:w w:val="105"/>
        </w:rPr>
        <w:t> </w:t>
      </w:r>
      <w:r>
        <w:rPr>
          <w:color w:val="231F20"/>
          <w:w w:val="105"/>
        </w:rPr>
        <w:t>los</w:t>
      </w:r>
      <w:r>
        <w:rPr>
          <w:color w:val="231F20"/>
          <w:spacing w:val="-28"/>
          <w:w w:val="105"/>
        </w:rPr>
        <w:t> </w:t>
      </w:r>
      <w:r>
        <w:rPr>
          <w:color w:val="231F20"/>
          <w:w w:val="105"/>
        </w:rPr>
        <w:t>recursos</w:t>
      </w:r>
      <w:r>
        <w:rPr>
          <w:color w:val="231F20"/>
          <w:spacing w:val="-28"/>
          <w:w w:val="105"/>
        </w:rPr>
        <w:t> </w:t>
      </w:r>
      <w:r>
        <w:rPr>
          <w:color w:val="231F20"/>
          <w:w w:val="105"/>
        </w:rPr>
        <w:t>escasos</w:t>
      </w:r>
      <w:r>
        <w:rPr>
          <w:color w:val="231F20"/>
          <w:spacing w:val="-28"/>
          <w:w w:val="105"/>
        </w:rPr>
        <w:t> </w:t>
      </w:r>
      <w:r>
        <w:rPr>
          <w:color w:val="231F20"/>
          <w:w w:val="105"/>
        </w:rPr>
        <w:t>entre</w:t>
      </w:r>
      <w:r>
        <w:rPr>
          <w:color w:val="231F20"/>
          <w:spacing w:val="-28"/>
          <w:w w:val="105"/>
        </w:rPr>
        <w:t> </w:t>
      </w:r>
      <w:r>
        <w:rPr>
          <w:color w:val="231F20"/>
          <w:w w:val="105"/>
        </w:rPr>
        <w:t>las</w:t>
      </w:r>
      <w:r>
        <w:rPr>
          <w:color w:val="231F20"/>
          <w:spacing w:val="-28"/>
          <w:w w:val="105"/>
        </w:rPr>
        <w:t> </w:t>
      </w:r>
      <w:r>
        <w:rPr>
          <w:color w:val="231F20"/>
          <w:w w:val="105"/>
        </w:rPr>
        <w:t>distintas</w:t>
      </w:r>
      <w:r>
        <w:rPr>
          <w:color w:val="231F20"/>
          <w:spacing w:val="-28"/>
          <w:w w:val="105"/>
        </w:rPr>
        <w:t> </w:t>
      </w:r>
      <w:r>
        <w:rPr>
          <w:color w:val="231F20"/>
          <w:w w:val="105"/>
        </w:rPr>
        <w:t>alternativas</w:t>
      </w:r>
      <w:r>
        <w:rPr>
          <w:color w:val="231F20"/>
          <w:spacing w:val="-28"/>
          <w:w w:val="105"/>
        </w:rPr>
        <w:t> </w:t>
      </w:r>
      <w:r>
        <w:rPr>
          <w:color w:val="231F20"/>
          <w:w w:val="105"/>
        </w:rPr>
        <w:t>de</w:t>
      </w:r>
      <w:r>
        <w:rPr>
          <w:color w:val="231F20"/>
          <w:spacing w:val="-28"/>
          <w:w w:val="105"/>
        </w:rPr>
        <w:t> </w:t>
      </w:r>
      <w:r>
        <w:rPr>
          <w:color w:val="231F20"/>
          <w:w w:val="105"/>
        </w:rPr>
        <w:t>uso.</w:t>
      </w:r>
      <w:r>
        <w:rPr>
          <w:color w:val="231F20"/>
          <w:spacing w:val="-32"/>
          <w:w w:val="105"/>
        </w:rPr>
        <w:t> </w:t>
      </w:r>
      <w:r>
        <w:rPr>
          <w:color w:val="231F20"/>
          <w:w w:val="105"/>
        </w:rPr>
        <w:t>La</w:t>
      </w:r>
      <w:r>
        <w:rPr>
          <w:color w:val="231F20"/>
          <w:spacing w:val="-28"/>
          <w:w w:val="105"/>
        </w:rPr>
        <w:t> </w:t>
      </w:r>
      <w:r>
        <w:rPr>
          <w:color w:val="231F20"/>
          <w:w w:val="105"/>
        </w:rPr>
        <w:t>división tradicional</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economía</w:t>
      </w:r>
      <w:r>
        <w:rPr>
          <w:color w:val="231F20"/>
          <w:spacing w:val="-20"/>
          <w:w w:val="105"/>
        </w:rPr>
        <w:t> </w:t>
      </w:r>
      <w:r>
        <w:rPr>
          <w:color w:val="231F20"/>
          <w:w w:val="105"/>
        </w:rPr>
        <w:t>se</w:t>
      </w:r>
      <w:r>
        <w:rPr>
          <w:color w:val="231F20"/>
          <w:spacing w:val="-20"/>
          <w:w w:val="105"/>
        </w:rPr>
        <w:t> </w:t>
      </w:r>
      <w:r>
        <w:rPr>
          <w:color w:val="231F20"/>
          <w:w w:val="105"/>
        </w:rPr>
        <w:t>centra</w:t>
      </w:r>
      <w:r>
        <w:rPr>
          <w:color w:val="231F20"/>
          <w:spacing w:val="-20"/>
          <w:w w:val="105"/>
        </w:rPr>
        <w:t> </w:t>
      </w:r>
      <w:r>
        <w:rPr>
          <w:color w:val="231F20"/>
          <w:w w:val="105"/>
        </w:rPr>
        <w:t>en</w:t>
      </w:r>
      <w:r>
        <w:rPr>
          <w:color w:val="231F20"/>
          <w:spacing w:val="-20"/>
          <w:w w:val="105"/>
        </w:rPr>
        <w:t> </w:t>
      </w:r>
      <w:r>
        <w:rPr>
          <w:color w:val="231F20"/>
          <w:w w:val="105"/>
        </w:rPr>
        <w:t>dos</w:t>
      </w:r>
      <w:r>
        <w:rPr>
          <w:color w:val="231F20"/>
          <w:spacing w:val="-20"/>
          <w:w w:val="105"/>
        </w:rPr>
        <w:t> </w:t>
      </w:r>
      <w:r>
        <w:rPr>
          <w:color w:val="231F20"/>
          <w:w w:val="105"/>
        </w:rPr>
        <w:t>áreas:</w:t>
      </w:r>
      <w:r>
        <w:rPr>
          <w:color w:val="231F20"/>
          <w:spacing w:val="-20"/>
          <w:w w:val="105"/>
        </w:rPr>
        <w:t> </w:t>
      </w:r>
      <w:r>
        <w:rPr>
          <w:color w:val="231F20"/>
          <w:w w:val="105"/>
        </w:rPr>
        <w:t>la</w:t>
      </w:r>
      <w:r>
        <w:rPr>
          <w:color w:val="231F20"/>
          <w:spacing w:val="-20"/>
          <w:w w:val="105"/>
        </w:rPr>
        <w:t> </w:t>
      </w:r>
      <w:r>
        <w:rPr>
          <w:color w:val="231F20"/>
          <w:w w:val="105"/>
        </w:rPr>
        <w:t>microeconomía</w:t>
      </w:r>
      <w:r>
        <w:rPr>
          <w:color w:val="231F20"/>
          <w:spacing w:val="-20"/>
          <w:w w:val="105"/>
        </w:rPr>
        <w:t> </w:t>
      </w:r>
      <w:r>
        <w:rPr>
          <w:color w:val="231F20"/>
          <w:w w:val="105"/>
        </w:rPr>
        <w:t>y</w:t>
      </w:r>
      <w:r>
        <w:rPr>
          <w:color w:val="231F20"/>
          <w:spacing w:val="-20"/>
          <w:w w:val="105"/>
        </w:rPr>
        <w:t> </w:t>
      </w:r>
      <w:r>
        <w:rPr>
          <w:color w:val="231F20"/>
          <w:w w:val="105"/>
        </w:rPr>
        <w:t>la macroeconomía.</w:t>
      </w:r>
    </w:p>
    <w:p>
      <w:pPr>
        <w:pStyle w:val="BodyText"/>
        <w:spacing w:line="259" w:lineRule="auto"/>
        <w:ind w:left="103" w:right="114" w:firstLine="567"/>
        <w:jc w:val="both"/>
      </w:pPr>
      <w:r>
        <w:rPr>
          <w:color w:val="231F20"/>
          <w:w w:val="105"/>
        </w:rPr>
        <w:t>La microeconomía estudia el comportamiento económico de las decisiones individuales de los consumidores, los propietarios de los</w:t>
      </w:r>
      <w:r>
        <w:rPr>
          <w:color w:val="231F20"/>
          <w:spacing w:val="-25"/>
          <w:w w:val="105"/>
        </w:rPr>
        <w:t> </w:t>
      </w:r>
      <w:r>
        <w:rPr>
          <w:color w:val="231F20"/>
          <w:w w:val="105"/>
        </w:rPr>
        <w:t>re- cursos</w:t>
      </w:r>
      <w:r>
        <w:rPr>
          <w:color w:val="231F20"/>
          <w:spacing w:val="-22"/>
          <w:w w:val="105"/>
        </w:rPr>
        <w:t> </w:t>
      </w:r>
      <w:r>
        <w:rPr>
          <w:color w:val="231F20"/>
          <w:w w:val="105"/>
        </w:rPr>
        <w:t>y</w:t>
      </w:r>
      <w:r>
        <w:rPr>
          <w:color w:val="231F20"/>
          <w:spacing w:val="-22"/>
          <w:w w:val="105"/>
        </w:rPr>
        <w:t> </w:t>
      </w:r>
      <w:r>
        <w:rPr>
          <w:color w:val="231F20"/>
          <w:w w:val="105"/>
        </w:rPr>
        <w:t>las</w:t>
      </w:r>
      <w:r>
        <w:rPr>
          <w:color w:val="231F20"/>
          <w:spacing w:val="-22"/>
          <w:w w:val="105"/>
        </w:rPr>
        <w:t> </w:t>
      </w:r>
      <w:r>
        <w:rPr>
          <w:color w:val="231F20"/>
          <w:w w:val="105"/>
        </w:rPr>
        <w:t>empresas.</w:t>
      </w:r>
      <w:r>
        <w:rPr>
          <w:color w:val="231F20"/>
          <w:spacing w:val="-27"/>
          <w:w w:val="105"/>
        </w:rPr>
        <w:t> </w:t>
      </w:r>
      <w:r>
        <w:rPr>
          <w:color w:val="231F20"/>
          <w:w w:val="105"/>
        </w:rPr>
        <w:t>Otros</w:t>
      </w:r>
      <w:r>
        <w:rPr>
          <w:color w:val="231F20"/>
          <w:spacing w:val="-22"/>
          <w:w w:val="105"/>
        </w:rPr>
        <w:t> </w:t>
      </w:r>
      <w:r>
        <w:rPr>
          <w:color w:val="231F20"/>
          <w:w w:val="105"/>
        </w:rPr>
        <w:t>nombres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microeconomía</w:t>
      </w:r>
      <w:r>
        <w:rPr>
          <w:color w:val="231F20"/>
          <w:spacing w:val="-22"/>
          <w:w w:val="105"/>
        </w:rPr>
        <w:t> </w:t>
      </w:r>
      <w:r>
        <w:rPr>
          <w:color w:val="231F20"/>
          <w:w w:val="105"/>
        </w:rPr>
        <w:t>son</w:t>
      </w:r>
      <w:r>
        <w:rPr>
          <w:color w:val="231F20"/>
          <w:spacing w:val="-22"/>
          <w:w w:val="105"/>
        </w:rPr>
        <w:t> </w:t>
      </w:r>
      <w:r>
        <w:rPr>
          <w:color w:val="231F20"/>
          <w:w w:val="105"/>
        </w:rPr>
        <w:t>la</w:t>
      </w:r>
      <w:r>
        <w:rPr>
          <w:color w:val="231F20"/>
          <w:spacing w:val="-22"/>
          <w:w w:val="105"/>
        </w:rPr>
        <w:t> </w:t>
      </w:r>
      <w:r>
        <w:rPr>
          <w:color w:val="231F20"/>
          <w:w w:val="105"/>
        </w:rPr>
        <w:t>teoría microeconómica</w:t>
      </w:r>
      <w:r>
        <w:rPr>
          <w:color w:val="231F20"/>
          <w:spacing w:val="-24"/>
          <w:w w:val="105"/>
        </w:rPr>
        <w:t> </w:t>
      </w:r>
      <w:r>
        <w:rPr>
          <w:color w:val="231F20"/>
          <w:w w:val="105"/>
        </w:rPr>
        <w:t>o</w:t>
      </w:r>
      <w:r>
        <w:rPr>
          <w:color w:val="231F20"/>
          <w:spacing w:val="-24"/>
          <w:w w:val="105"/>
        </w:rPr>
        <w:t> </w:t>
      </w:r>
      <w:r>
        <w:rPr>
          <w:color w:val="231F20"/>
          <w:w w:val="105"/>
        </w:rPr>
        <w:t>teoría</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precios</w:t>
      </w:r>
      <w:r>
        <w:rPr>
          <w:color w:val="231F20"/>
          <w:spacing w:val="-24"/>
          <w:w w:val="105"/>
        </w:rPr>
        <w:t> </w:t>
      </w:r>
      <w:r>
        <w:rPr>
          <w:color w:val="231F20"/>
          <w:w w:val="105"/>
        </w:rPr>
        <w:t>(Salvatore,</w:t>
      </w:r>
      <w:r>
        <w:rPr>
          <w:color w:val="231F20"/>
          <w:spacing w:val="-29"/>
          <w:w w:val="105"/>
        </w:rPr>
        <w:t> </w:t>
      </w:r>
      <w:r>
        <w:rPr>
          <w:color w:val="231F20"/>
          <w:w w:val="105"/>
        </w:rPr>
        <w:t>2009).</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16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186</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410" w:right="-12" w:firstLine="338"/>
        <w:jc w:val="left"/>
        <w:rPr>
          <w:rFonts w:ascii="Lucida Sans Unicode" w:hAnsi="Lucida Sans Unicode"/>
          <w:sz w:val="14"/>
        </w:rPr>
      </w:pPr>
      <w:r>
        <w:rPr/>
        <w:pict>
          <v:line style="position:absolute;mso-position-horizontal-relative:page;mso-position-vertical-relative:paragraph;z-index:6784"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187</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El otro campo de la economía es la macroeconomía, la cual se encar- ga del estudio de los agregados económicos: la producción nacional, el nivel de precios, el sector externo, el sector fiscal, comercio exterior y el sector monetario. De forma adicional, la macroeconomía estudia</w:t>
      </w:r>
      <w:r>
        <w:rPr>
          <w:color w:val="231F20"/>
          <w:spacing w:val="-36"/>
          <w:w w:val="105"/>
        </w:rPr>
        <w:t> </w:t>
      </w:r>
      <w:r>
        <w:rPr>
          <w:color w:val="231F20"/>
          <w:w w:val="105"/>
        </w:rPr>
        <w:t>el funcionamiento de la economía en su conjunto y ayuda a entender las implicaciones</w:t>
      </w:r>
      <w:r>
        <w:rPr>
          <w:color w:val="231F20"/>
          <w:spacing w:val="-15"/>
          <w:w w:val="105"/>
        </w:rPr>
        <w:t> </w:t>
      </w:r>
      <w:r>
        <w:rPr>
          <w:color w:val="231F20"/>
          <w:w w:val="105"/>
        </w:rPr>
        <w:t>de</w:t>
      </w:r>
      <w:r>
        <w:rPr>
          <w:color w:val="231F20"/>
          <w:spacing w:val="-15"/>
          <w:w w:val="105"/>
        </w:rPr>
        <w:t> </w:t>
      </w:r>
      <w:r>
        <w:rPr>
          <w:color w:val="231F20"/>
          <w:w w:val="105"/>
        </w:rPr>
        <w:t>política</w:t>
      </w:r>
      <w:r>
        <w:rPr>
          <w:color w:val="231F20"/>
          <w:spacing w:val="-15"/>
          <w:w w:val="105"/>
        </w:rPr>
        <w:t> </w:t>
      </w:r>
      <w:r>
        <w:rPr>
          <w:color w:val="231F20"/>
          <w:w w:val="105"/>
        </w:rPr>
        <w:t>económica</w:t>
      </w:r>
      <w:r>
        <w:rPr>
          <w:color w:val="231F20"/>
          <w:spacing w:val="-15"/>
          <w:w w:val="105"/>
        </w:rPr>
        <w:t> </w:t>
      </w:r>
      <w:r>
        <w:rPr>
          <w:color w:val="231F20"/>
          <w:w w:val="105"/>
        </w:rPr>
        <w:t>(De</w:t>
      </w:r>
      <w:r>
        <w:rPr>
          <w:color w:val="231F20"/>
          <w:spacing w:val="-15"/>
          <w:w w:val="105"/>
        </w:rPr>
        <w:t> </w:t>
      </w:r>
      <w:r>
        <w:rPr>
          <w:color w:val="231F20"/>
          <w:w w:val="105"/>
        </w:rPr>
        <w:t>Gregorio,</w:t>
      </w:r>
      <w:r>
        <w:rPr>
          <w:color w:val="231F20"/>
          <w:spacing w:val="-21"/>
          <w:w w:val="105"/>
        </w:rPr>
        <w:t> </w:t>
      </w:r>
      <w:r>
        <w:rPr>
          <w:color w:val="231F20"/>
          <w:w w:val="105"/>
        </w:rPr>
        <w:t>2007).</w:t>
      </w:r>
    </w:p>
    <w:p>
      <w:pPr>
        <w:pStyle w:val="BodyText"/>
        <w:spacing w:line="259" w:lineRule="auto"/>
        <w:ind w:left="117" w:right="121" w:firstLine="567"/>
        <w:jc w:val="both"/>
      </w:pPr>
      <w:r>
        <w:rPr>
          <w:color w:val="231F20"/>
          <w:w w:val="105"/>
        </w:rPr>
        <w:t>La</w:t>
      </w:r>
      <w:r>
        <w:rPr>
          <w:color w:val="231F20"/>
          <w:spacing w:val="-14"/>
          <w:w w:val="105"/>
        </w:rPr>
        <w:t> </w:t>
      </w:r>
      <w:r>
        <w:rPr>
          <w:color w:val="231F20"/>
          <w:w w:val="105"/>
        </w:rPr>
        <w:t>Administración</w:t>
      </w:r>
      <w:r>
        <w:rPr>
          <w:color w:val="231F20"/>
          <w:spacing w:val="-10"/>
          <w:w w:val="105"/>
        </w:rPr>
        <w:t> </w:t>
      </w:r>
      <w:r>
        <w:rPr>
          <w:color w:val="231F20"/>
          <w:w w:val="105"/>
        </w:rPr>
        <w:t>se</w:t>
      </w:r>
      <w:r>
        <w:rPr>
          <w:color w:val="231F20"/>
          <w:spacing w:val="-10"/>
          <w:w w:val="105"/>
        </w:rPr>
        <w:t> </w:t>
      </w:r>
      <w:r>
        <w:rPr>
          <w:color w:val="231F20"/>
          <w:w w:val="105"/>
        </w:rPr>
        <w:t>define</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dirección</w:t>
      </w:r>
      <w:r>
        <w:rPr>
          <w:color w:val="231F20"/>
          <w:spacing w:val="-10"/>
          <w:w w:val="105"/>
        </w:rPr>
        <w:t> </w:t>
      </w:r>
      <w:r>
        <w:rPr>
          <w:color w:val="231F20"/>
          <w:w w:val="105"/>
        </w:rPr>
        <w:t>racional</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acti- vidades</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w w:val="105"/>
        </w:rPr>
        <w:t>organización,</w:t>
      </w:r>
      <w:r>
        <w:rPr>
          <w:color w:val="231F20"/>
          <w:spacing w:val="-30"/>
          <w:w w:val="105"/>
        </w:rPr>
        <w:t> </w:t>
      </w:r>
      <w:r>
        <w:rPr>
          <w:color w:val="231F20"/>
          <w:w w:val="105"/>
        </w:rPr>
        <w:t>lucrativa</w:t>
      </w:r>
      <w:r>
        <w:rPr>
          <w:color w:val="231F20"/>
          <w:spacing w:val="-24"/>
          <w:w w:val="105"/>
        </w:rPr>
        <w:t> </w:t>
      </w:r>
      <w:r>
        <w:rPr>
          <w:color w:val="231F20"/>
          <w:w w:val="105"/>
        </w:rPr>
        <w:t>o</w:t>
      </w:r>
      <w:r>
        <w:rPr>
          <w:color w:val="231F20"/>
          <w:spacing w:val="-24"/>
          <w:w w:val="105"/>
        </w:rPr>
        <w:t> </w:t>
      </w:r>
      <w:r>
        <w:rPr>
          <w:color w:val="231F20"/>
          <w:w w:val="105"/>
        </w:rPr>
        <w:t>no,</w:t>
      </w:r>
      <w:r>
        <w:rPr>
          <w:color w:val="231F20"/>
          <w:spacing w:val="-30"/>
          <w:w w:val="105"/>
        </w:rPr>
        <w:t> </w:t>
      </w:r>
      <w:r>
        <w:rPr>
          <w:color w:val="231F20"/>
          <w:w w:val="105"/>
        </w:rPr>
        <w:t>que</w:t>
      </w:r>
      <w:r>
        <w:rPr>
          <w:color w:val="231F20"/>
          <w:spacing w:val="-24"/>
          <w:w w:val="105"/>
        </w:rPr>
        <w:t> </w:t>
      </w:r>
      <w:r>
        <w:rPr>
          <w:color w:val="231F20"/>
          <w:w w:val="105"/>
        </w:rPr>
        <w:t>conlleva</w:t>
      </w:r>
      <w:r>
        <w:rPr>
          <w:color w:val="231F20"/>
          <w:spacing w:val="-24"/>
          <w:w w:val="105"/>
        </w:rPr>
        <w:t> </w:t>
      </w:r>
      <w:r>
        <w:rPr>
          <w:color w:val="231F20"/>
          <w:w w:val="105"/>
        </w:rPr>
        <w:t>procesos</w:t>
      </w:r>
      <w:r>
        <w:rPr>
          <w:color w:val="231F20"/>
          <w:spacing w:val="-24"/>
          <w:w w:val="105"/>
        </w:rPr>
        <w:t> </w:t>
      </w:r>
      <w:r>
        <w:rPr>
          <w:color w:val="231F20"/>
          <w:w w:val="105"/>
        </w:rPr>
        <w:t>como la planificación, organización, dirección, ejecución y control de las acti- vidades</w:t>
      </w:r>
      <w:r>
        <w:rPr>
          <w:color w:val="231F20"/>
          <w:spacing w:val="-7"/>
          <w:w w:val="105"/>
        </w:rPr>
        <w:t> </w:t>
      </w:r>
      <w:r>
        <w:rPr>
          <w:color w:val="231F20"/>
          <w:w w:val="105"/>
        </w:rPr>
        <w:t>separadas</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trabajo</w:t>
      </w:r>
      <w:r>
        <w:rPr>
          <w:color w:val="231F20"/>
          <w:spacing w:val="-7"/>
          <w:w w:val="105"/>
        </w:rPr>
        <w:t> </w:t>
      </w:r>
      <w:r>
        <w:rPr>
          <w:color w:val="231F20"/>
          <w:w w:val="105"/>
        </w:rPr>
        <w:t>que</w:t>
      </w:r>
      <w:r>
        <w:rPr>
          <w:color w:val="231F20"/>
          <w:spacing w:val="-7"/>
          <w:w w:val="105"/>
        </w:rPr>
        <w:t> </w:t>
      </w:r>
      <w:r>
        <w:rPr>
          <w:color w:val="231F20"/>
          <w:w w:val="105"/>
        </w:rPr>
        <w:t>ocurren</w:t>
      </w:r>
      <w:r>
        <w:rPr>
          <w:color w:val="231F20"/>
          <w:spacing w:val="-7"/>
          <w:w w:val="105"/>
        </w:rPr>
        <w:t> </w:t>
      </w:r>
      <w:r>
        <w:rPr>
          <w:color w:val="231F20"/>
          <w:w w:val="105"/>
        </w:rPr>
        <w:t>dentro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organización (Chiavenato,</w:t>
      </w:r>
      <w:r>
        <w:rPr>
          <w:color w:val="231F20"/>
          <w:spacing w:val="-41"/>
          <w:w w:val="105"/>
        </w:rPr>
        <w:t> </w:t>
      </w:r>
      <w:r>
        <w:rPr>
          <w:color w:val="231F20"/>
          <w:w w:val="105"/>
        </w:rPr>
        <w:t>2006,</w:t>
      </w:r>
      <w:r>
        <w:rPr>
          <w:color w:val="231F20"/>
          <w:spacing w:val="-41"/>
          <w:w w:val="105"/>
        </w:rPr>
        <w:t> </w:t>
      </w:r>
      <w:r>
        <w:rPr>
          <w:color w:val="231F20"/>
          <w:w w:val="105"/>
        </w:rPr>
        <w:t>pág.</w:t>
      </w:r>
      <w:r>
        <w:rPr>
          <w:color w:val="231F20"/>
          <w:spacing w:val="-41"/>
          <w:w w:val="105"/>
        </w:rPr>
        <w:t> </w:t>
      </w:r>
      <w:r>
        <w:rPr>
          <w:color w:val="231F20"/>
          <w:w w:val="105"/>
        </w:rPr>
        <w:t>1).</w:t>
      </w:r>
    </w:p>
    <w:p>
      <w:pPr>
        <w:pStyle w:val="BodyText"/>
        <w:spacing w:line="241" w:lineRule="exact"/>
        <w:ind w:left="684"/>
      </w:pP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campos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ciencia</w:t>
      </w:r>
      <w:r>
        <w:rPr>
          <w:color w:val="231F20"/>
          <w:spacing w:val="-18"/>
          <w:w w:val="105"/>
        </w:rPr>
        <w:t> </w:t>
      </w:r>
      <w:r>
        <w:rPr>
          <w:color w:val="231F20"/>
          <w:w w:val="105"/>
        </w:rPr>
        <w:t>administrativa</w:t>
      </w:r>
      <w:r>
        <w:rPr>
          <w:color w:val="231F20"/>
          <w:spacing w:val="-18"/>
          <w:w w:val="105"/>
        </w:rPr>
        <w:t> </w:t>
      </w:r>
      <w:r>
        <w:rPr>
          <w:color w:val="231F20"/>
          <w:w w:val="105"/>
        </w:rPr>
        <w:t>se</w:t>
      </w:r>
      <w:r>
        <w:rPr>
          <w:color w:val="231F20"/>
          <w:spacing w:val="-18"/>
          <w:w w:val="105"/>
        </w:rPr>
        <w:t> </w:t>
      </w:r>
      <w:r>
        <w:rPr>
          <w:color w:val="231F20"/>
          <w:w w:val="105"/>
        </w:rPr>
        <w:t>pueden</w:t>
      </w:r>
      <w:r>
        <w:rPr>
          <w:color w:val="231F20"/>
          <w:spacing w:val="-18"/>
          <w:w w:val="105"/>
        </w:rPr>
        <w:t> </w:t>
      </w:r>
      <w:r>
        <w:rPr>
          <w:color w:val="231F20"/>
          <w:w w:val="105"/>
        </w:rPr>
        <w:t>señalar</w:t>
      </w:r>
      <w:r>
        <w:rPr>
          <w:color w:val="231F20"/>
          <w:spacing w:val="-18"/>
          <w:w w:val="105"/>
        </w:rPr>
        <w:t> </w:t>
      </w:r>
      <w:r>
        <w:rPr>
          <w:color w:val="231F20"/>
          <w:w w:val="105"/>
        </w:rPr>
        <w:t>dos:</w:t>
      </w:r>
    </w:p>
    <w:p>
      <w:pPr>
        <w:pStyle w:val="BodyText"/>
        <w:spacing w:line="259" w:lineRule="auto" w:before="18"/>
        <w:ind w:left="117" w:right="115"/>
        <w:jc w:val="both"/>
      </w:pPr>
      <w:r>
        <w:rPr>
          <w:color w:val="231F20"/>
          <w:w w:val="105"/>
        </w:rPr>
        <w:t>i) la teoría de la organización que contempla las perspectivas que ex- plican el comportamiento de las organizaciones y ii) la administración estratégica</w:t>
      </w:r>
      <w:r>
        <w:rPr>
          <w:color w:val="231F20"/>
          <w:spacing w:val="-11"/>
          <w:w w:val="105"/>
        </w:rPr>
        <w:t> </w:t>
      </w:r>
      <w:r>
        <w:rPr>
          <w:color w:val="231F20"/>
          <w:w w:val="105"/>
        </w:rPr>
        <w:t>que</w:t>
      </w:r>
      <w:r>
        <w:rPr>
          <w:color w:val="231F20"/>
          <w:spacing w:val="-11"/>
          <w:w w:val="105"/>
        </w:rPr>
        <w:t> </w:t>
      </w:r>
      <w:r>
        <w:rPr>
          <w:color w:val="231F20"/>
          <w:w w:val="105"/>
        </w:rPr>
        <w:t>aborda</w:t>
      </w:r>
      <w:r>
        <w:rPr>
          <w:color w:val="231F20"/>
          <w:spacing w:val="-11"/>
          <w:w w:val="105"/>
        </w:rPr>
        <w:t> </w:t>
      </w:r>
      <w:r>
        <w:rPr>
          <w:color w:val="231F20"/>
          <w:w w:val="105"/>
        </w:rPr>
        <w:t>la</w:t>
      </w:r>
      <w:r>
        <w:rPr>
          <w:color w:val="231F20"/>
          <w:spacing w:val="-11"/>
          <w:w w:val="105"/>
        </w:rPr>
        <w:t> </w:t>
      </w:r>
      <w:r>
        <w:rPr>
          <w:color w:val="231F20"/>
          <w:w w:val="105"/>
        </w:rPr>
        <w:t>selección</w:t>
      </w:r>
      <w:r>
        <w:rPr>
          <w:color w:val="231F20"/>
          <w:spacing w:val="-11"/>
          <w:w w:val="105"/>
        </w:rPr>
        <w:t> </w:t>
      </w:r>
      <w:r>
        <w:rPr>
          <w:color w:val="231F20"/>
          <w:w w:val="105"/>
        </w:rPr>
        <w:t>de</w:t>
      </w:r>
      <w:r>
        <w:rPr>
          <w:color w:val="231F20"/>
          <w:spacing w:val="-11"/>
          <w:w w:val="105"/>
        </w:rPr>
        <w:t> </w:t>
      </w:r>
      <w:r>
        <w:rPr>
          <w:color w:val="231F20"/>
          <w:w w:val="105"/>
        </w:rPr>
        <w:t>industrias</w:t>
      </w:r>
      <w:r>
        <w:rPr>
          <w:color w:val="231F20"/>
          <w:spacing w:val="-11"/>
          <w:w w:val="105"/>
        </w:rPr>
        <w:t> </w:t>
      </w:r>
      <w:r>
        <w:rPr>
          <w:color w:val="231F20"/>
          <w:w w:val="105"/>
        </w:rPr>
        <w:t>de</w:t>
      </w:r>
      <w:r>
        <w:rPr>
          <w:color w:val="231F20"/>
          <w:spacing w:val="-11"/>
          <w:w w:val="105"/>
        </w:rPr>
        <w:t> </w:t>
      </w:r>
      <w:r>
        <w:rPr>
          <w:color w:val="231F20"/>
          <w:w w:val="105"/>
        </w:rPr>
        <w:t>valor,</w:t>
      </w:r>
      <w:r>
        <w:rPr>
          <w:color w:val="231F20"/>
          <w:spacing w:val="-16"/>
          <w:w w:val="105"/>
        </w:rPr>
        <w:t> </w:t>
      </w:r>
      <w:r>
        <w:rPr>
          <w:color w:val="231F20"/>
          <w:w w:val="105"/>
        </w:rPr>
        <w:t>el</w:t>
      </w:r>
      <w:r>
        <w:rPr>
          <w:color w:val="231F20"/>
          <w:spacing w:val="-11"/>
          <w:w w:val="105"/>
        </w:rPr>
        <w:t> </w:t>
      </w:r>
      <w:r>
        <w:rPr>
          <w:color w:val="231F20"/>
          <w:w w:val="105"/>
        </w:rPr>
        <w:t>análisis</w:t>
      </w:r>
      <w:r>
        <w:rPr>
          <w:color w:val="231F20"/>
          <w:spacing w:val="-11"/>
          <w:w w:val="105"/>
        </w:rPr>
        <w:t> </w:t>
      </w:r>
      <w:r>
        <w:rPr>
          <w:color w:val="231F20"/>
          <w:w w:val="105"/>
        </w:rPr>
        <w:t>de acción-reacción</w:t>
      </w:r>
      <w:r>
        <w:rPr>
          <w:color w:val="231F20"/>
          <w:spacing w:val="-34"/>
          <w:w w:val="105"/>
        </w:rPr>
        <w:t> </w:t>
      </w:r>
      <w:r>
        <w:rPr>
          <w:color w:val="231F20"/>
          <w:w w:val="105"/>
        </w:rPr>
        <w:t>de</w:t>
      </w:r>
      <w:r>
        <w:rPr>
          <w:color w:val="231F20"/>
          <w:spacing w:val="-34"/>
          <w:w w:val="105"/>
        </w:rPr>
        <w:t> </w:t>
      </w:r>
      <w:r>
        <w:rPr>
          <w:color w:val="231F20"/>
          <w:w w:val="105"/>
        </w:rPr>
        <w:t>competidores</w:t>
      </w:r>
      <w:r>
        <w:rPr>
          <w:color w:val="231F20"/>
          <w:spacing w:val="-34"/>
          <w:w w:val="105"/>
        </w:rPr>
        <w:t> </w:t>
      </w:r>
      <w:r>
        <w:rPr>
          <w:color w:val="231F20"/>
          <w:w w:val="105"/>
        </w:rPr>
        <w:t>y</w:t>
      </w:r>
      <w:r>
        <w:rPr>
          <w:color w:val="231F20"/>
          <w:spacing w:val="-34"/>
          <w:w w:val="105"/>
        </w:rPr>
        <w:t> </w:t>
      </w:r>
      <w:r>
        <w:rPr>
          <w:color w:val="231F20"/>
          <w:w w:val="105"/>
        </w:rPr>
        <w:t>los</w:t>
      </w:r>
      <w:r>
        <w:rPr>
          <w:color w:val="231F20"/>
          <w:spacing w:val="-34"/>
          <w:w w:val="105"/>
        </w:rPr>
        <w:t> </w:t>
      </w:r>
      <w:r>
        <w:rPr>
          <w:color w:val="231F20"/>
          <w:w w:val="105"/>
        </w:rPr>
        <w:t>recursos</w:t>
      </w:r>
      <w:r>
        <w:rPr>
          <w:color w:val="231F20"/>
          <w:spacing w:val="-34"/>
          <w:w w:val="105"/>
        </w:rPr>
        <w:t> </w:t>
      </w:r>
      <w:r>
        <w:rPr>
          <w:color w:val="231F20"/>
          <w:w w:val="105"/>
        </w:rPr>
        <w:t>y</w:t>
      </w:r>
      <w:r>
        <w:rPr>
          <w:color w:val="231F20"/>
          <w:spacing w:val="-34"/>
          <w:w w:val="105"/>
        </w:rPr>
        <w:t> </w:t>
      </w:r>
      <w:r>
        <w:rPr>
          <w:color w:val="231F20"/>
          <w:w w:val="105"/>
        </w:rPr>
        <w:t>capacidades</w:t>
      </w:r>
      <w:r>
        <w:rPr>
          <w:color w:val="231F20"/>
          <w:spacing w:val="-34"/>
          <w:w w:val="105"/>
        </w:rPr>
        <w:t> </w:t>
      </w:r>
      <w:r>
        <w:rPr>
          <w:color w:val="231F20"/>
          <w:w w:val="105"/>
        </w:rPr>
        <w:t>dinámicas de</w:t>
      </w:r>
      <w:r>
        <w:rPr>
          <w:color w:val="231F20"/>
          <w:spacing w:val="-25"/>
          <w:w w:val="105"/>
        </w:rPr>
        <w:t> </w:t>
      </w:r>
      <w:r>
        <w:rPr>
          <w:color w:val="231F20"/>
          <w:w w:val="105"/>
        </w:rPr>
        <w:t>las</w:t>
      </w:r>
      <w:r>
        <w:rPr>
          <w:color w:val="231F20"/>
          <w:spacing w:val="-25"/>
          <w:w w:val="105"/>
        </w:rPr>
        <w:t> </w:t>
      </w:r>
      <w:r>
        <w:rPr>
          <w:color w:val="231F20"/>
          <w:w w:val="105"/>
        </w:rPr>
        <w:t>organizaciones</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w w:val="105"/>
        </w:rPr>
        <w:t>fin</w:t>
      </w:r>
      <w:r>
        <w:rPr>
          <w:color w:val="231F20"/>
          <w:spacing w:val="-25"/>
          <w:w w:val="105"/>
        </w:rPr>
        <w:t> </w:t>
      </w:r>
      <w:r>
        <w:rPr>
          <w:color w:val="231F20"/>
          <w:w w:val="105"/>
        </w:rPr>
        <w:t>de</w:t>
      </w:r>
      <w:r>
        <w:rPr>
          <w:color w:val="231F20"/>
          <w:spacing w:val="-25"/>
          <w:w w:val="105"/>
        </w:rPr>
        <w:t> </w:t>
      </w:r>
      <w:r>
        <w:rPr>
          <w:color w:val="231F20"/>
          <w:w w:val="105"/>
        </w:rPr>
        <w:t>obtener</w:t>
      </w:r>
      <w:r>
        <w:rPr>
          <w:color w:val="231F20"/>
          <w:spacing w:val="-25"/>
          <w:w w:val="105"/>
        </w:rPr>
        <w:t> </w:t>
      </w:r>
      <w:r>
        <w:rPr>
          <w:color w:val="231F20"/>
          <w:w w:val="105"/>
        </w:rPr>
        <w:t>estrategias</w:t>
      </w:r>
      <w:r>
        <w:rPr>
          <w:color w:val="231F20"/>
          <w:spacing w:val="-25"/>
          <w:w w:val="105"/>
        </w:rPr>
        <w:t> </w:t>
      </w:r>
      <w:r>
        <w:rPr>
          <w:color w:val="231F20"/>
          <w:w w:val="105"/>
        </w:rPr>
        <w:t>y</w:t>
      </w:r>
      <w:r>
        <w:rPr>
          <w:color w:val="231F20"/>
          <w:spacing w:val="-25"/>
          <w:w w:val="105"/>
        </w:rPr>
        <w:t> </w:t>
      </w:r>
      <w:r>
        <w:rPr>
          <w:color w:val="231F20"/>
          <w:w w:val="105"/>
        </w:rPr>
        <w:t>ventajas</w:t>
      </w:r>
      <w:r>
        <w:rPr>
          <w:color w:val="231F20"/>
          <w:spacing w:val="-25"/>
          <w:w w:val="105"/>
        </w:rPr>
        <w:t> </w:t>
      </w:r>
      <w:r>
        <w:rPr>
          <w:color w:val="231F20"/>
          <w:w w:val="105"/>
        </w:rPr>
        <w:t>compe- titivas</w:t>
      </w:r>
      <w:r>
        <w:rPr>
          <w:color w:val="231F20"/>
          <w:spacing w:val="-22"/>
          <w:w w:val="105"/>
        </w:rPr>
        <w:t> </w:t>
      </w:r>
      <w:r>
        <w:rPr>
          <w:color w:val="231F20"/>
          <w:w w:val="105"/>
        </w:rPr>
        <w:t>que</w:t>
      </w:r>
      <w:r>
        <w:rPr>
          <w:color w:val="231F20"/>
          <w:spacing w:val="-22"/>
          <w:w w:val="105"/>
        </w:rPr>
        <w:t> </w:t>
      </w:r>
      <w:r>
        <w:rPr>
          <w:color w:val="231F20"/>
          <w:w w:val="105"/>
        </w:rPr>
        <w:t>sean</w:t>
      </w:r>
      <w:r>
        <w:rPr>
          <w:color w:val="231F20"/>
          <w:spacing w:val="-22"/>
          <w:w w:val="105"/>
        </w:rPr>
        <w:t> </w:t>
      </w:r>
      <w:r>
        <w:rPr>
          <w:color w:val="231F20"/>
          <w:w w:val="105"/>
        </w:rPr>
        <w:t>difíciles</w:t>
      </w:r>
      <w:r>
        <w:rPr>
          <w:color w:val="231F20"/>
          <w:spacing w:val="-22"/>
          <w:w w:val="105"/>
        </w:rPr>
        <w:t> </w:t>
      </w:r>
      <w:r>
        <w:rPr>
          <w:color w:val="231F20"/>
          <w:w w:val="105"/>
        </w:rPr>
        <w:t>de</w:t>
      </w:r>
      <w:r>
        <w:rPr>
          <w:color w:val="231F20"/>
          <w:spacing w:val="-22"/>
          <w:w w:val="105"/>
        </w:rPr>
        <w:t> </w:t>
      </w:r>
      <w:r>
        <w:rPr>
          <w:color w:val="231F20"/>
          <w:w w:val="105"/>
        </w:rPr>
        <w:t>replicar</w:t>
      </w:r>
      <w:r>
        <w:rPr>
          <w:color w:val="231F20"/>
          <w:spacing w:val="-22"/>
          <w:w w:val="105"/>
        </w:rPr>
        <w:t> </w:t>
      </w:r>
      <w:r>
        <w:rPr>
          <w:color w:val="231F20"/>
          <w:w w:val="105"/>
        </w:rPr>
        <w:t>e</w:t>
      </w:r>
      <w:r>
        <w:rPr>
          <w:color w:val="231F20"/>
          <w:spacing w:val="-22"/>
          <w:w w:val="105"/>
        </w:rPr>
        <w:t> </w:t>
      </w:r>
      <w:r>
        <w:rPr>
          <w:color w:val="231F20"/>
          <w:w w:val="105"/>
        </w:rPr>
        <w:t>imitar</w:t>
      </w:r>
      <w:r>
        <w:rPr>
          <w:color w:val="231F20"/>
          <w:spacing w:val="-22"/>
          <w:w w:val="105"/>
        </w:rPr>
        <w:t> </w:t>
      </w:r>
      <w:r>
        <w:rPr>
          <w:color w:val="231F20"/>
          <w:w w:val="105"/>
        </w:rPr>
        <w:t>por</w:t>
      </w:r>
      <w:r>
        <w:rPr>
          <w:color w:val="231F20"/>
          <w:spacing w:val="-22"/>
          <w:w w:val="105"/>
        </w:rPr>
        <w:t> </w:t>
      </w:r>
      <w:r>
        <w:rPr>
          <w:color w:val="231F20"/>
          <w:w w:val="105"/>
        </w:rPr>
        <w:t>sus</w:t>
      </w:r>
      <w:r>
        <w:rPr>
          <w:color w:val="231F20"/>
          <w:spacing w:val="-22"/>
          <w:w w:val="105"/>
        </w:rPr>
        <w:t> </w:t>
      </w:r>
      <w:r>
        <w:rPr>
          <w:color w:val="231F20"/>
          <w:w w:val="105"/>
        </w:rPr>
        <w:t>competidores</w:t>
      </w:r>
      <w:r>
        <w:rPr>
          <w:color w:val="231F20"/>
          <w:spacing w:val="-22"/>
          <w:w w:val="105"/>
        </w:rPr>
        <w:t> </w:t>
      </w:r>
      <w:r>
        <w:rPr>
          <w:color w:val="231F20"/>
          <w:spacing w:val="-3"/>
          <w:w w:val="105"/>
        </w:rPr>
        <w:t>(Teece, </w:t>
      </w:r>
      <w:r>
        <w:rPr>
          <w:color w:val="231F20"/>
        </w:rPr>
        <w:t>Pisano,</w:t>
      </w:r>
      <w:r>
        <w:rPr>
          <w:color w:val="231F20"/>
          <w:spacing w:val="-20"/>
        </w:rPr>
        <w:t> </w:t>
      </w:r>
      <w:r>
        <w:rPr>
          <w:color w:val="231F20"/>
        </w:rPr>
        <w:t>y</w:t>
      </w:r>
      <w:r>
        <w:rPr>
          <w:color w:val="231F20"/>
          <w:spacing w:val="-14"/>
        </w:rPr>
        <w:t> </w:t>
      </w:r>
      <w:r>
        <w:rPr>
          <w:color w:val="231F20"/>
        </w:rPr>
        <w:t>Shuen,</w:t>
      </w:r>
      <w:r>
        <w:rPr>
          <w:color w:val="231F20"/>
          <w:spacing w:val="-20"/>
        </w:rPr>
        <w:t> </w:t>
      </w:r>
      <w:r>
        <w:rPr>
          <w:color w:val="231F20"/>
        </w:rPr>
        <w:t>1997)</w:t>
      </w:r>
    </w:p>
    <w:p>
      <w:pPr>
        <w:pStyle w:val="BodyText"/>
        <w:spacing w:line="259" w:lineRule="auto"/>
        <w:ind w:left="117" w:right="121" w:firstLine="567"/>
        <w:jc w:val="both"/>
      </w:pPr>
      <w:r>
        <w:rPr>
          <w:color w:val="231F20"/>
          <w:w w:val="105"/>
        </w:rPr>
        <w:t>El</w:t>
      </w:r>
      <w:r>
        <w:rPr>
          <w:color w:val="231F20"/>
          <w:spacing w:val="-29"/>
          <w:w w:val="105"/>
        </w:rPr>
        <w:t> </w:t>
      </w:r>
      <w:r>
        <w:rPr>
          <w:color w:val="231F20"/>
          <w:w w:val="105"/>
        </w:rPr>
        <w:t>capítulo</w:t>
      </w:r>
      <w:r>
        <w:rPr>
          <w:color w:val="231F20"/>
          <w:spacing w:val="-29"/>
          <w:w w:val="105"/>
        </w:rPr>
        <w:t> </w:t>
      </w:r>
      <w:r>
        <w:rPr>
          <w:color w:val="231F20"/>
          <w:w w:val="105"/>
        </w:rPr>
        <w:t>se</w:t>
      </w:r>
      <w:r>
        <w:rPr>
          <w:color w:val="231F20"/>
          <w:spacing w:val="-29"/>
          <w:w w:val="105"/>
        </w:rPr>
        <w:t> </w:t>
      </w:r>
      <w:r>
        <w:rPr>
          <w:color w:val="231F20"/>
          <w:w w:val="105"/>
        </w:rPr>
        <w:t>encuentra</w:t>
      </w:r>
      <w:r>
        <w:rPr>
          <w:color w:val="231F20"/>
          <w:spacing w:val="-29"/>
          <w:w w:val="105"/>
        </w:rPr>
        <w:t> </w:t>
      </w:r>
      <w:r>
        <w:rPr>
          <w:color w:val="231F20"/>
          <w:w w:val="105"/>
        </w:rPr>
        <w:t>estructura</w:t>
      </w:r>
      <w:r>
        <w:rPr>
          <w:color w:val="231F20"/>
          <w:spacing w:val="-29"/>
          <w:w w:val="105"/>
        </w:rPr>
        <w:t> </w:t>
      </w:r>
      <w:r>
        <w:rPr>
          <w:color w:val="231F20"/>
          <w:w w:val="105"/>
        </w:rPr>
        <w:t>en</w:t>
      </w:r>
      <w:r>
        <w:rPr>
          <w:color w:val="231F20"/>
          <w:spacing w:val="-29"/>
          <w:w w:val="105"/>
        </w:rPr>
        <w:t> </w:t>
      </w:r>
      <w:r>
        <w:rPr>
          <w:color w:val="231F20"/>
          <w:w w:val="105"/>
        </w:rPr>
        <w:t>tres</w:t>
      </w:r>
      <w:r>
        <w:rPr>
          <w:color w:val="231F20"/>
          <w:spacing w:val="-29"/>
          <w:w w:val="105"/>
        </w:rPr>
        <w:t> </w:t>
      </w:r>
      <w:r>
        <w:rPr>
          <w:color w:val="231F20"/>
          <w:w w:val="105"/>
        </w:rPr>
        <w:t>secciones:</w:t>
      </w:r>
      <w:r>
        <w:rPr>
          <w:color w:val="231F20"/>
          <w:spacing w:val="-29"/>
          <w:w w:val="105"/>
        </w:rPr>
        <w:t> </w:t>
      </w:r>
      <w:r>
        <w:rPr>
          <w:color w:val="231F20"/>
          <w:w w:val="105"/>
        </w:rPr>
        <w:t>(1)</w:t>
      </w:r>
      <w:r>
        <w:rPr>
          <w:color w:val="231F20"/>
          <w:spacing w:val="-29"/>
          <w:w w:val="105"/>
        </w:rPr>
        <w:t> </w:t>
      </w:r>
      <w:r>
        <w:rPr>
          <w:color w:val="231F20"/>
          <w:w w:val="105"/>
        </w:rPr>
        <w:t>el</w:t>
      </w:r>
      <w:r>
        <w:rPr>
          <w:color w:val="231F20"/>
          <w:spacing w:val="-29"/>
          <w:w w:val="105"/>
        </w:rPr>
        <w:t> </w:t>
      </w:r>
      <w:r>
        <w:rPr>
          <w:color w:val="231F20"/>
          <w:w w:val="105"/>
        </w:rPr>
        <w:t>aborda- je</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política</w:t>
      </w:r>
      <w:r>
        <w:rPr>
          <w:color w:val="231F20"/>
          <w:spacing w:val="-22"/>
          <w:w w:val="105"/>
        </w:rPr>
        <w:t> </w:t>
      </w:r>
      <w:r>
        <w:rPr>
          <w:color w:val="231F20"/>
          <w:w w:val="105"/>
        </w:rPr>
        <w:t>fiscal</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w w:val="105"/>
        </w:rPr>
        <w:t>teoría</w:t>
      </w:r>
      <w:r>
        <w:rPr>
          <w:color w:val="231F20"/>
          <w:spacing w:val="-22"/>
          <w:w w:val="105"/>
        </w:rPr>
        <w:t> </w:t>
      </w:r>
      <w:r>
        <w:rPr>
          <w:color w:val="231F20"/>
          <w:w w:val="105"/>
        </w:rPr>
        <w:t>institucional</w:t>
      </w:r>
      <w:r>
        <w:rPr>
          <w:color w:val="231F20"/>
          <w:spacing w:val="-22"/>
          <w:w w:val="105"/>
        </w:rPr>
        <w:t> </w:t>
      </w:r>
      <w:r>
        <w:rPr>
          <w:color w:val="231F20"/>
          <w:w w:val="105"/>
        </w:rPr>
        <w:t>como</w:t>
      </w:r>
      <w:r>
        <w:rPr>
          <w:color w:val="231F20"/>
          <w:spacing w:val="-22"/>
          <w:w w:val="105"/>
        </w:rPr>
        <w:t> </w:t>
      </w:r>
      <w:r>
        <w:rPr>
          <w:color w:val="231F20"/>
          <w:w w:val="105"/>
        </w:rPr>
        <w:t>una</w:t>
      </w:r>
      <w:r>
        <w:rPr>
          <w:color w:val="231F20"/>
          <w:spacing w:val="-22"/>
          <w:w w:val="105"/>
        </w:rPr>
        <w:t> </w:t>
      </w:r>
      <w:r>
        <w:rPr>
          <w:color w:val="231F20"/>
          <w:w w:val="105"/>
        </w:rPr>
        <w:t>intersección</w:t>
      </w:r>
      <w:r>
        <w:rPr>
          <w:color w:val="231F20"/>
          <w:spacing w:val="-22"/>
          <w:w w:val="105"/>
        </w:rPr>
        <w:t> </w:t>
      </w:r>
      <w:r>
        <w:rPr>
          <w:color w:val="231F20"/>
          <w:w w:val="105"/>
        </w:rPr>
        <w:t>en</w:t>
      </w:r>
      <w:r>
        <w:rPr>
          <w:color w:val="231F20"/>
          <w:spacing w:val="-22"/>
          <w:w w:val="105"/>
        </w:rPr>
        <w:t> </w:t>
      </w:r>
      <w:r>
        <w:rPr>
          <w:color w:val="231F20"/>
          <w:w w:val="105"/>
        </w:rPr>
        <w:t>los estudios económico-administrativos; (2) el manejo de la posición fiscal en países dependientes de recursos naturales; (3) la fundamentación teórica</w:t>
      </w:r>
      <w:r>
        <w:rPr>
          <w:color w:val="231F20"/>
          <w:spacing w:val="-15"/>
          <w:w w:val="105"/>
        </w:rPr>
        <w:t> </w:t>
      </w:r>
      <w:r>
        <w:rPr>
          <w:color w:val="231F20"/>
          <w:w w:val="105"/>
        </w:rPr>
        <w:t>sobre</w:t>
      </w:r>
      <w:r>
        <w:rPr>
          <w:color w:val="231F20"/>
          <w:spacing w:val="-15"/>
          <w:w w:val="105"/>
        </w:rPr>
        <w:t> </w:t>
      </w:r>
      <w:r>
        <w:rPr>
          <w:color w:val="231F20"/>
          <w:w w:val="105"/>
        </w:rPr>
        <w:t>la</w:t>
      </w:r>
      <w:r>
        <w:rPr>
          <w:color w:val="231F20"/>
          <w:spacing w:val="-15"/>
          <w:w w:val="105"/>
        </w:rPr>
        <w:t> </w:t>
      </w:r>
      <w:r>
        <w:rPr>
          <w:color w:val="231F20"/>
          <w:w w:val="105"/>
        </w:rPr>
        <w:t>relevancia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instituciones</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importancia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re- glas</w:t>
      </w:r>
      <w:r>
        <w:rPr>
          <w:color w:val="231F20"/>
          <w:spacing w:val="-33"/>
          <w:w w:val="105"/>
        </w:rPr>
        <w:t> </w:t>
      </w:r>
      <w:r>
        <w:rPr>
          <w:color w:val="231F20"/>
          <w:w w:val="105"/>
        </w:rPr>
        <w:t>fiscales</w:t>
      </w:r>
      <w:r>
        <w:rPr>
          <w:color w:val="231F20"/>
          <w:spacing w:val="-33"/>
          <w:w w:val="105"/>
        </w:rPr>
        <w:t> </w:t>
      </w:r>
      <w:r>
        <w:rPr>
          <w:color w:val="231F20"/>
          <w:w w:val="105"/>
        </w:rPr>
        <w:t>en</w:t>
      </w:r>
      <w:r>
        <w:rPr>
          <w:color w:val="231F20"/>
          <w:spacing w:val="-33"/>
          <w:w w:val="105"/>
        </w:rPr>
        <w:t> </w:t>
      </w:r>
      <w:r>
        <w:rPr>
          <w:color w:val="231F20"/>
          <w:w w:val="105"/>
        </w:rPr>
        <w:t>países</w:t>
      </w:r>
      <w:r>
        <w:rPr>
          <w:color w:val="231F20"/>
          <w:spacing w:val="-33"/>
          <w:w w:val="105"/>
        </w:rPr>
        <w:t> </w:t>
      </w:r>
      <w:r>
        <w:rPr>
          <w:color w:val="231F20"/>
          <w:w w:val="105"/>
        </w:rPr>
        <w:t>dependientes</w:t>
      </w:r>
      <w:r>
        <w:rPr>
          <w:color w:val="231F20"/>
          <w:spacing w:val="-33"/>
          <w:w w:val="105"/>
        </w:rPr>
        <w:t> </w:t>
      </w:r>
      <w:r>
        <w:rPr>
          <w:color w:val="231F20"/>
          <w:w w:val="105"/>
        </w:rPr>
        <w:t>de</w:t>
      </w:r>
      <w:r>
        <w:rPr>
          <w:color w:val="231F20"/>
          <w:spacing w:val="-33"/>
          <w:w w:val="105"/>
        </w:rPr>
        <w:t> </w:t>
      </w:r>
      <w:r>
        <w:rPr>
          <w:color w:val="231F20"/>
          <w:w w:val="105"/>
        </w:rPr>
        <w:t>recursos</w:t>
      </w:r>
      <w:r>
        <w:rPr>
          <w:color w:val="231F20"/>
          <w:spacing w:val="-33"/>
          <w:w w:val="105"/>
        </w:rPr>
        <w:t> </w:t>
      </w:r>
      <w:r>
        <w:rPr>
          <w:color w:val="231F20"/>
          <w:w w:val="105"/>
        </w:rPr>
        <w:t>naturales.</w:t>
      </w:r>
    </w:p>
    <w:p>
      <w:pPr>
        <w:pStyle w:val="BodyText"/>
        <w:rPr>
          <w:sz w:val="20"/>
        </w:rPr>
      </w:pPr>
    </w:p>
    <w:p>
      <w:pPr>
        <w:pStyle w:val="BodyText"/>
        <w:spacing w:before="7"/>
        <w:rPr>
          <w:sz w:val="18"/>
        </w:rPr>
      </w:pPr>
    </w:p>
    <w:p>
      <w:pPr>
        <w:pStyle w:val="Heading2"/>
        <w:spacing w:line="247" w:lineRule="auto"/>
        <w:ind w:right="121"/>
      </w:pPr>
      <w:r>
        <w:rPr>
          <w:color w:val="231F20"/>
        </w:rPr>
        <w:t>La</w:t>
      </w:r>
      <w:r>
        <w:rPr>
          <w:color w:val="231F20"/>
          <w:spacing w:val="-35"/>
        </w:rPr>
        <w:t> </w:t>
      </w:r>
      <w:r>
        <w:rPr>
          <w:color w:val="231F20"/>
        </w:rPr>
        <w:t>política</w:t>
      </w:r>
      <w:r>
        <w:rPr>
          <w:color w:val="231F20"/>
          <w:spacing w:val="-35"/>
        </w:rPr>
        <w:t> </w:t>
      </w:r>
      <w:r>
        <w:rPr>
          <w:color w:val="231F20"/>
        </w:rPr>
        <w:t>fiscal</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rPr>
        <w:t>teoría</w:t>
      </w:r>
      <w:r>
        <w:rPr>
          <w:color w:val="231F20"/>
          <w:spacing w:val="-35"/>
        </w:rPr>
        <w:t> </w:t>
      </w:r>
      <w:r>
        <w:rPr>
          <w:color w:val="231F20"/>
        </w:rPr>
        <w:t>institucional</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estudio</w:t>
      </w:r>
      <w:r>
        <w:rPr>
          <w:color w:val="231F20"/>
          <w:spacing w:val="-35"/>
        </w:rPr>
        <w:t> </w:t>
      </w:r>
      <w:r>
        <w:rPr>
          <w:color w:val="231F20"/>
        </w:rPr>
        <w:t>en</w:t>
      </w:r>
      <w:r>
        <w:rPr>
          <w:color w:val="231F20"/>
          <w:spacing w:val="-35"/>
        </w:rPr>
        <w:t> </w:t>
      </w:r>
      <w:r>
        <w:rPr>
          <w:color w:val="231F20"/>
        </w:rPr>
        <w:t>ciencias</w:t>
      </w:r>
      <w:r>
        <w:rPr>
          <w:color w:val="231F20"/>
          <w:spacing w:val="-35"/>
        </w:rPr>
        <w:t> </w:t>
      </w:r>
      <w:r>
        <w:rPr>
          <w:color w:val="231F20"/>
        </w:rPr>
        <w:t>eco- nómico-administrativas</w:t>
      </w:r>
    </w:p>
    <w:p>
      <w:pPr>
        <w:pStyle w:val="BodyText"/>
        <w:rPr>
          <w:b/>
          <w:sz w:val="22"/>
        </w:rPr>
      </w:pPr>
    </w:p>
    <w:p>
      <w:pPr>
        <w:pStyle w:val="BodyText"/>
        <w:spacing w:line="259" w:lineRule="auto" w:before="153"/>
        <w:ind w:left="117" w:right="121"/>
        <w:jc w:val="both"/>
      </w:pPr>
      <w:r>
        <w:rPr>
          <w:color w:val="231F20"/>
          <w:w w:val="105"/>
        </w:rPr>
        <w:t>Los</w:t>
      </w:r>
      <w:r>
        <w:rPr>
          <w:color w:val="231F20"/>
          <w:spacing w:val="-16"/>
          <w:w w:val="105"/>
        </w:rPr>
        <w:t> </w:t>
      </w:r>
      <w:r>
        <w:rPr>
          <w:color w:val="231F20"/>
          <w:w w:val="105"/>
        </w:rPr>
        <w:t>estudios</w:t>
      </w:r>
      <w:r>
        <w:rPr>
          <w:color w:val="231F20"/>
          <w:spacing w:val="-16"/>
          <w:w w:val="105"/>
        </w:rPr>
        <w:t> </w:t>
      </w:r>
      <w:r>
        <w:rPr>
          <w:color w:val="231F20"/>
          <w:w w:val="105"/>
        </w:rPr>
        <w:t>económico-administrativos</w:t>
      </w:r>
      <w:r>
        <w:rPr>
          <w:color w:val="231F20"/>
          <w:spacing w:val="-16"/>
          <w:w w:val="105"/>
        </w:rPr>
        <w:t> </w:t>
      </w:r>
      <w:r>
        <w:rPr>
          <w:color w:val="231F20"/>
          <w:w w:val="105"/>
        </w:rPr>
        <w:t>tienen</w:t>
      </w:r>
      <w:r>
        <w:rPr>
          <w:color w:val="231F20"/>
          <w:spacing w:val="-16"/>
          <w:w w:val="105"/>
        </w:rPr>
        <w:t> </w:t>
      </w:r>
      <w:r>
        <w:rPr>
          <w:color w:val="231F20"/>
          <w:w w:val="105"/>
        </w:rPr>
        <w:t>como</w:t>
      </w:r>
      <w:r>
        <w:rPr>
          <w:color w:val="231F20"/>
          <w:spacing w:val="-16"/>
          <w:w w:val="105"/>
        </w:rPr>
        <w:t> </w:t>
      </w:r>
      <w:r>
        <w:rPr>
          <w:color w:val="231F20"/>
          <w:w w:val="105"/>
        </w:rPr>
        <w:t>propósito</w:t>
      </w:r>
      <w:r>
        <w:rPr>
          <w:color w:val="231F20"/>
          <w:spacing w:val="-16"/>
          <w:w w:val="105"/>
        </w:rPr>
        <w:t> </w:t>
      </w:r>
      <w:r>
        <w:rPr>
          <w:color w:val="231F20"/>
          <w:w w:val="105"/>
        </w:rPr>
        <w:t>la</w:t>
      </w:r>
      <w:r>
        <w:rPr>
          <w:color w:val="231F20"/>
          <w:spacing w:val="-16"/>
          <w:w w:val="105"/>
        </w:rPr>
        <w:t> </w:t>
      </w:r>
      <w:r>
        <w:rPr>
          <w:color w:val="231F20"/>
          <w:w w:val="105"/>
        </w:rPr>
        <w:t>inves- tigación y la docencia a problemas con orientación hacia los sectores productivos y las organizaciones. Ante la premisa anterior, el capítulo propuesto engloba al sector público no financiero (excepto el banco central) como un sector productivo que ofrece bienes y servicios públi- cos</w:t>
      </w:r>
      <w:r>
        <w:rPr>
          <w:color w:val="231F20"/>
          <w:spacing w:val="-17"/>
          <w:w w:val="105"/>
        </w:rPr>
        <w:t> </w:t>
      </w:r>
      <w:r>
        <w:rPr>
          <w:color w:val="231F20"/>
          <w:w w:val="105"/>
        </w:rPr>
        <w:t>a</w:t>
      </w:r>
      <w:r>
        <w:rPr>
          <w:color w:val="231F20"/>
          <w:spacing w:val="-17"/>
          <w:w w:val="105"/>
        </w:rPr>
        <w:t> </w:t>
      </w:r>
      <w:r>
        <w:rPr>
          <w:color w:val="231F20"/>
          <w:w w:val="105"/>
        </w:rPr>
        <w:t>favor</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sociedad</w:t>
      </w:r>
      <w:r>
        <w:rPr>
          <w:color w:val="231F20"/>
          <w:spacing w:val="-17"/>
          <w:w w:val="105"/>
        </w:rPr>
        <w:t> </w:t>
      </w:r>
      <w:r>
        <w:rPr>
          <w:color w:val="231F20"/>
          <w:w w:val="105"/>
        </w:rPr>
        <w:t>y</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son</w:t>
      </w:r>
      <w:r>
        <w:rPr>
          <w:color w:val="231F20"/>
          <w:spacing w:val="-17"/>
          <w:w w:val="105"/>
        </w:rPr>
        <w:t> </w:t>
      </w:r>
      <w:r>
        <w:rPr>
          <w:color w:val="231F20"/>
          <w:w w:val="105"/>
        </w:rPr>
        <w:t>producidos</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23"/>
          <w:w w:val="105"/>
        </w:rPr>
        <w:t> </w:t>
      </w:r>
      <w:r>
        <w:rPr>
          <w:color w:val="231F20"/>
          <w:w w:val="105"/>
        </w:rPr>
        <w:t>tales como:</w:t>
      </w:r>
      <w:r>
        <w:rPr>
          <w:color w:val="231F20"/>
          <w:spacing w:val="-22"/>
          <w:w w:val="105"/>
        </w:rPr>
        <w:t> </w:t>
      </w:r>
      <w:r>
        <w:rPr>
          <w:color w:val="231F20"/>
          <w:w w:val="105"/>
        </w:rPr>
        <w:t>producción</w:t>
      </w:r>
      <w:r>
        <w:rPr>
          <w:color w:val="231F20"/>
          <w:spacing w:val="-22"/>
          <w:w w:val="105"/>
        </w:rPr>
        <w:t> </w:t>
      </w:r>
      <w:r>
        <w:rPr>
          <w:color w:val="231F20"/>
          <w:w w:val="105"/>
        </w:rPr>
        <w:t>y</w:t>
      </w:r>
      <w:r>
        <w:rPr>
          <w:color w:val="231F20"/>
          <w:spacing w:val="-22"/>
          <w:w w:val="105"/>
        </w:rPr>
        <w:t> </w:t>
      </w:r>
      <w:r>
        <w:rPr>
          <w:color w:val="231F20"/>
          <w:w w:val="105"/>
        </w:rPr>
        <w:t>explotación</w:t>
      </w:r>
      <w:r>
        <w:rPr>
          <w:color w:val="231F20"/>
          <w:spacing w:val="-22"/>
          <w:w w:val="105"/>
        </w:rPr>
        <w:t> </w:t>
      </w:r>
      <w:r>
        <w:rPr>
          <w:color w:val="231F20"/>
          <w:w w:val="105"/>
        </w:rPr>
        <w:t>monopólica</w:t>
      </w:r>
      <w:r>
        <w:rPr>
          <w:color w:val="231F20"/>
          <w:spacing w:val="-22"/>
          <w:w w:val="105"/>
        </w:rPr>
        <w:t> </w:t>
      </w:r>
      <w:r>
        <w:rPr>
          <w:color w:val="231F20"/>
          <w:w w:val="105"/>
        </w:rPr>
        <w:t>de</w:t>
      </w:r>
      <w:r>
        <w:rPr>
          <w:color w:val="231F20"/>
          <w:spacing w:val="-22"/>
          <w:w w:val="105"/>
        </w:rPr>
        <w:t> </w:t>
      </w:r>
      <w:r>
        <w:rPr>
          <w:color w:val="231F20"/>
          <w:w w:val="105"/>
        </w:rPr>
        <w:t>recursos</w:t>
      </w:r>
      <w:r>
        <w:rPr>
          <w:color w:val="231F20"/>
          <w:spacing w:val="-22"/>
          <w:w w:val="105"/>
        </w:rPr>
        <w:t> </w:t>
      </w:r>
      <w:r>
        <w:rPr>
          <w:color w:val="231F20"/>
          <w:w w:val="105"/>
        </w:rPr>
        <w:t>naturales</w:t>
      </w:r>
      <w:r>
        <w:rPr>
          <w:color w:val="231F20"/>
          <w:spacing w:val="-22"/>
          <w:w w:val="105"/>
        </w:rPr>
        <w:t> </w:t>
      </w:r>
      <w:r>
        <w:rPr>
          <w:color w:val="231F20"/>
          <w:w w:val="105"/>
        </w:rPr>
        <w:t>estra- tégicos, seguridad nacional, educación pública, inversión pública en</w:t>
      </w:r>
      <w:r>
        <w:rPr>
          <w:color w:val="231F20"/>
          <w:spacing w:val="-27"/>
          <w:w w:val="105"/>
        </w:rPr>
        <w:t> </w:t>
      </w:r>
      <w:r>
        <w:rPr>
          <w:color w:val="231F20"/>
          <w:w w:val="105"/>
        </w:rPr>
        <w:t>in- fraestructura,</w:t>
      </w:r>
      <w:r>
        <w:rPr>
          <w:color w:val="231F20"/>
          <w:spacing w:val="-30"/>
          <w:w w:val="105"/>
        </w:rPr>
        <w:t> </w:t>
      </w:r>
      <w:r>
        <w:rPr>
          <w:color w:val="231F20"/>
          <w:w w:val="105"/>
        </w:rPr>
        <w:t>compras</w:t>
      </w:r>
      <w:r>
        <w:rPr>
          <w:color w:val="231F20"/>
          <w:spacing w:val="-26"/>
          <w:w w:val="105"/>
        </w:rPr>
        <w:t> </w:t>
      </w:r>
      <w:r>
        <w:rPr>
          <w:color w:val="231F20"/>
          <w:w w:val="105"/>
        </w:rPr>
        <w:t>y</w:t>
      </w:r>
      <w:r>
        <w:rPr>
          <w:color w:val="231F20"/>
          <w:spacing w:val="-26"/>
          <w:w w:val="105"/>
        </w:rPr>
        <w:t> </w:t>
      </w:r>
      <w:r>
        <w:rPr>
          <w:color w:val="231F20"/>
          <w:w w:val="105"/>
        </w:rPr>
        <w:t>subsidios,</w:t>
      </w:r>
      <w:r>
        <w:rPr>
          <w:color w:val="231F20"/>
          <w:spacing w:val="-30"/>
          <w:w w:val="105"/>
        </w:rPr>
        <w:t> </w:t>
      </w:r>
      <w:r>
        <w:rPr>
          <w:color w:val="231F20"/>
          <w:w w:val="105"/>
        </w:rPr>
        <w:t>políticas</w:t>
      </w:r>
      <w:r>
        <w:rPr>
          <w:color w:val="231F20"/>
          <w:spacing w:val="-26"/>
          <w:w w:val="105"/>
        </w:rPr>
        <w:t> </w:t>
      </w:r>
      <w:r>
        <w:rPr>
          <w:color w:val="231F20"/>
          <w:w w:val="105"/>
        </w:rPr>
        <w:t>de</w:t>
      </w:r>
      <w:r>
        <w:rPr>
          <w:color w:val="231F20"/>
          <w:spacing w:val="-26"/>
          <w:w w:val="105"/>
        </w:rPr>
        <w:t> </w:t>
      </w:r>
      <w:r>
        <w:rPr>
          <w:color w:val="231F20"/>
          <w:w w:val="105"/>
        </w:rPr>
        <w:t>desarrollo</w:t>
      </w:r>
      <w:r>
        <w:rPr>
          <w:color w:val="231F20"/>
          <w:spacing w:val="-26"/>
          <w:w w:val="105"/>
        </w:rPr>
        <w:t> </w:t>
      </w:r>
      <w:r>
        <w:rPr>
          <w:color w:val="231F20"/>
          <w:w w:val="105"/>
        </w:rPr>
        <w:t>sectorial,</w:t>
      </w:r>
      <w:r>
        <w:rPr>
          <w:color w:val="231F20"/>
          <w:spacing w:val="-30"/>
          <w:w w:val="105"/>
        </w:rPr>
        <w:t> </w:t>
      </w:r>
      <w:r>
        <w:rPr>
          <w:color w:val="231F20"/>
          <w:w w:val="105"/>
        </w:rPr>
        <w:t>entre </w:t>
      </w:r>
      <w:r>
        <w:rPr>
          <w:color w:val="231F20"/>
        </w:rPr>
        <w:t>otros</w:t>
      </w:r>
      <w:r>
        <w:rPr>
          <w:color w:val="231F20"/>
          <w:spacing w:val="-11"/>
        </w:rPr>
        <w:t> </w:t>
      </w:r>
      <w:r>
        <w:rPr>
          <w:color w:val="231F20"/>
        </w:rPr>
        <w:t>(Parkín</w:t>
      </w:r>
      <w:r>
        <w:rPr>
          <w:color w:val="231F20"/>
          <w:spacing w:val="-11"/>
        </w:rPr>
        <w:t> </w:t>
      </w:r>
      <w:r>
        <w:rPr>
          <w:color w:val="231F20"/>
        </w:rPr>
        <w:t>y</w:t>
      </w:r>
      <w:r>
        <w:rPr>
          <w:color w:val="231F20"/>
          <w:spacing w:val="-11"/>
        </w:rPr>
        <w:t> </w:t>
      </w:r>
      <w:r>
        <w:rPr>
          <w:color w:val="231F20"/>
        </w:rPr>
        <w:t>Loría,</w:t>
      </w:r>
      <w:r>
        <w:rPr>
          <w:color w:val="231F20"/>
          <w:spacing w:val="-18"/>
        </w:rPr>
        <w:t> </w:t>
      </w:r>
      <w:r>
        <w:rPr>
          <w:color w:val="231F20"/>
        </w:rPr>
        <w:t>2010).</w:t>
      </w:r>
    </w:p>
    <w:p>
      <w:pPr>
        <w:pStyle w:val="BodyText"/>
        <w:spacing w:line="259" w:lineRule="auto"/>
        <w:ind w:left="117" w:right="121" w:firstLine="567"/>
        <w:jc w:val="both"/>
      </w:pPr>
      <w:r>
        <w:rPr>
          <w:color w:val="231F20"/>
          <w:w w:val="105"/>
        </w:rPr>
        <w:t>El sector público no financiero está conformado por el gobierno central, gobiernos regionales y municipales, así como empresas públi-</w:t>
      </w:r>
    </w:p>
    <w:p>
      <w:pPr>
        <w:spacing w:after="0" w:line="259" w:lineRule="auto"/>
        <w:jc w:val="both"/>
        <w:sectPr>
          <w:type w:val="continuous"/>
          <w:pgSz w:w="9640" w:h="13890"/>
          <w:pgMar w:top="1300" w:bottom="280" w:left="1300" w:right="1180"/>
        </w:sectPr>
      </w:pPr>
    </w:p>
    <w:p>
      <w:pPr>
        <w:pStyle w:val="BodyText"/>
        <w:spacing w:line="259" w:lineRule="auto" w:before="49"/>
        <w:ind w:left="103" w:right="114"/>
        <w:jc w:val="both"/>
      </w:pPr>
      <w:r>
        <w:rPr>
          <w:color w:val="231F20"/>
          <w:w w:val="105"/>
        </w:rPr>
        <w:t>cas.</w:t>
      </w:r>
      <w:r>
        <w:rPr>
          <w:color w:val="231F20"/>
          <w:spacing w:val="-18"/>
          <w:w w:val="105"/>
        </w:rPr>
        <w:t> </w:t>
      </w:r>
      <w:r>
        <w:rPr>
          <w:color w:val="231F20"/>
          <w:spacing w:val="-4"/>
          <w:w w:val="105"/>
        </w:rPr>
        <w:t>Para</w:t>
      </w:r>
      <w:r>
        <w:rPr>
          <w:color w:val="231F20"/>
          <w:spacing w:val="-14"/>
          <w:w w:val="105"/>
        </w:rPr>
        <w:t> </w:t>
      </w:r>
      <w:r>
        <w:rPr>
          <w:color w:val="231F20"/>
          <w:w w:val="105"/>
        </w:rPr>
        <w:t>tal</w:t>
      </w:r>
      <w:r>
        <w:rPr>
          <w:color w:val="231F20"/>
          <w:spacing w:val="-14"/>
          <w:w w:val="105"/>
        </w:rPr>
        <w:t> </w:t>
      </w:r>
      <w:r>
        <w:rPr>
          <w:color w:val="231F20"/>
          <w:w w:val="105"/>
        </w:rPr>
        <w:t>efecto,</w:t>
      </w:r>
      <w:r>
        <w:rPr>
          <w:color w:val="231F20"/>
          <w:spacing w:val="-18"/>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investigación</w:t>
      </w:r>
      <w:r>
        <w:rPr>
          <w:color w:val="231F20"/>
          <w:spacing w:val="-14"/>
          <w:w w:val="105"/>
        </w:rPr>
        <w:t> </w:t>
      </w:r>
      <w:r>
        <w:rPr>
          <w:color w:val="231F20"/>
          <w:w w:val="105"/>
        </w:rPr>
        <w:t>se</w:t>
      </w:r>
      <w:r>
        <w:rPr>
          <w:color w:val="231F20"/>
          <w:spacing w:val="-14"/>
          <w:w w:val="105"/>
        </w:rPr>
        <w:t> </w:t>
      </w:r>
      <w:r>
        <w:rPr>
          <w:color w:val="231F20"/>
          <w:w w:val="105"/>
        </w:rPr>
        <w:t>presentan</w:t>
      </w:r>
      <w:r>
        <w:rPr>
          <w:color w:val="231F20"/>
          <w:spacing w:val="-14"/>
          <w:w w:val="105"/>
        </w:rPr>
        <w:t> </w:t>
      </w:r>
      <w:r>
        <w:rPr>
          <w:color w:val="231F20"/>
          <w:w w:val="105"/>
        </w:rPr>
        <w:t>cuatro</w:t>
      </w:r>
      <w:r>
        <w:rPr>
          <w:color w:val="231F20"/>
          <w:spacing w:val="-14"/>
          <w:w w:val="105"/>
        </w:rPr>
        <w:t> </w:t>
      </w:r>
      <w:r>
        <w:rPr>
          <w:color w:val="231F20"/>
          <w:w w:val="105"/>
        </w:rPr>
        <w:t>variables</w:t>
      </w:r>
      <w:r>
        <w:rPr>
          <w:color w:val="231F20"/>
          <w:spacing w:val="-14"/>
          <w:w w:val="105"/>
        </w:rPr>
        <w:t> </w:t>
      </w:r>
      <w:r>
        <w:rPr>
          <w:color w:val="231F20"/>
          <w:w w:val="105"/>
        </w:rPr>
        <w:t>de análisis agregadas del sector: gasto público, ingresos fiscales,</w:t>
      </w:r>
      <w:r>
        <w:rPr>
          <w:color w:val="231F20"/>
          <w:spacing w:val="-11"/>
          <w:w w:val="105"/>
        </w:rPr>
        <w:t> </w:t>
      </w:r>
      <w:r>
        <w:rPr>
          <w:color w:val="231F20"/>
          <w:w w:val="105"/>
        </w:rPr>
        <w:t>balance fiscal</w:t>
      </w:r>
      <w:r>
        <w:rPr>
          <w:color w:val="231F20"/>
          <w:spacing w:val="-33"/>
          <w:w w:val="105"/>
        </w:rPr>
        <w:t> </w:t>
      </w:r>
      <w:r>
        <w:rPr>
          <w:color w:val="231F20"/>
          <w:w w:val="105"/>
        </w:rPr>
        <w:t>(con</w:t>
      </w:r>
      <w:r>
        <w:rPr>
          <w:color w:val="231F20"/>
          <w:spacing w:val="-33"/>
          <w:w w:val="105"/>
        </w:rPr>
        <w:t> </w:t>
      </w:r>
      <w:r>
        <w:rPr>
          <w:color w:val="231F20"/>
          <w:w w:val="105"/>
        </w:rPr>
        <w:t>y</w:t>
      </w:r>
      <w:r>
        <w:rPr>
          <w:color w:val="231F20"/>
          <w:spacing w:val="-33"/>
          <w:w w:val="105"/>
        </w:rPr>
        <w:t> </w:t>
      </w:r>
      <w:r>
        <w:rPr>
          <w:color w:val="231F20"/>
          <w:w w:val="105"/>
        </w:rPr>
        <w:t>sin</w:t>
      </w:r>
      <w:r>
        <w:rPr>
          <w:color w:val="231F20"/>
          <w:spacing w:val="-33"/>
          <w:w w:val="105"/>
        </w:rPr>
        <w:t> </w:t>
      </w:r>
      <w:r>
        <w:rPr>
          <w:color w:val="231F20"/>
          <w:w w:val="105"/>
        </w:rPr>
        <w:t>recurso</w:t>
      </w:r>
      <w:r>
        <w:rPr>
          <w:color w:val="231F20"/>
          <w:spacing w:val="-33"/>
          <w:w w:val="105"/>
        </w:rPr>
        <w:t> </w:t>
      </w:r>
      <w:r>
        <w:rPr>
          <w:color w:val="231F20"/>
          <w:w w:val="105"/>
        </w:rPr>
        <w:t>natural)</w:t>
      </w:r>
      <w:r>
        <w:rPr>
          <w:color w:val="231F20"/>
          <w:spacing w:val="-33"/>
          <w:w w:val="105"/>
        </w:rPr>
        <w:t> </w:t>
      </w:r>
      <w:r>
        <w:rPr>
          <w:color w:val="231F20"/>
          <w:w w:val="105"/>
        </w:rPr>
        <w:t>y</w:t>
      </w:r>
      <w:r>
        <w:rPr>
          <w:color w:val="231F20"/>
          <w:spacing w:val="-33"/>
          <w:w w:val="105"/>
        </w:rPr>
        <w:t> </w:t>
      </w:r>
      <w:r>
        <w:rPr>
          <w:color w:val="231F20"/>
          <w:w w:val="105"/>
        </w:rPr>
        <w:t>deuda</w:t>
      </w:r>
      <w:r>
        <w:rPr>
          <w:color w:val="231F20"/>
          <w:spacing w:val="-33"/>
          <w:w w:val="105"/>
        </w:rPr>
        <w:t> </w:t>
      </w:r>
      <w:r>
        <w:rPr>
          <w:color w:val="231F20"/>
          <w:w w:val="105"/>
        </w:rPr>
        <w:t>pública.</w:t>
      </w:r>
      <w:r>
        <w:rPr>
          <w:color w:val="231F20"/>
          <w:spacing w:val="-38"/>
          <w:w w:val="105"/>
        </w:rPr>
        <w:t> </w:t>
      </w:r>
      <w:r>
        <w:rPr>
          <w:color w:val="231F20"/>
          <w:w w:val="105"/>
        </w:rPr>
        <w:t>La</w:t>
      </w:r>
      <w:r>
        <w:rPr>
          <w:color w:val="231F20"/>
          <w:spacing w:val="-33"/>
          <w:w w:val="105"/>
        </w:rPr>
        <w:t> </w:t>
      </w:r>
      <w:r>
        <w:rPr>
          <w:color w:val="231F20"/>
          <w:w w:val="105"/>
        </w:rPr>
        <w:t>macroeconomía</w:t>
      </w:r>
      <w:r>
        <w:rPr>
          <w:color w:val="231F20"/>
          <w:spacing w:val="-33"/>
          <w:w w:val="105"/>
        </w:rPr>
        <w:t> </w:t>
      </w:r>
      <w:r>
        <w:rPr>
          <w:color w:val="231F20"/>
          <w:w w:val="105"/>
        </w:rPr>
        <w:t>com- prende</w:t>
      </w:r>
      <w:r>
        <w:rPr>
          <w:color w:val="231F20"/>
          <w:spacing w:val="-21"/>
          <w:w w:val="105"/>
        </w:rPr>
        <w:t> </w:t>
      </w:r>
      <w:r>
        <w:rPr>
          <w:color w:val="231F20"/>
          <w:w w:val="105"/>
        </w:rPr>
        <w:t>el</w:t>
      </w:r>
      <w:r>
        <w:rPr>
          <w:color w:val="231F20"/>
          <w:spacing w:val="-21"/>
          <w:w w:val="105"/>
        </w:rPr>
        <w:t> </w:t>
      </w:r>
      <w:r>
        <w:rPr>
          <w:color w:val="231F20"/>
          <w:w w:val="105"/>
        </w:rPr>
        <w:t>estudio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política</w:t>
      </w:r>
      <w:r>
        <w:rPr>
          <w:color w:val="231F20"/>
          <w:spacing w:val="-21"/>
          <w:w w:val="105"/>
        </w:rPr>
        <w:t> </w:t>
      </w:r>
      <w:r>
        <w:rPr>
          <w:color w:val="231F20"/>
          <w:w w:val="105"/>
        </w:rPr>
        <w:t>fiscal,</w:t>
      </w:r>
      <w:r>
        <w:rPr>
          <w:color w:val="231F20"/>
          <w:spacing w:val="-26"/>
          <w:w w:val="105"/>
        </w:rPr>
        <w:t> </w:t>
      </w:r>
      <w:r>
        <w:rPr>
          <w:color w:val="231F20"/>
          <w:w w:val="105"/>
        </w:rPr>
        <w:t>y</w:t>
      </w:r>
      <w:r>
        <w:rPr>
          <w:color w:val="231F20"/>
          <w:spacing w:val="-21"/>
          <w:w w:val="105"/>
        </w:rPr>
        <w:t> </w:t>
      </w:r>
      <w:r>
        <w:rPr>
          <w:color w:val="231F20"/>
          <w:w w:val="105"/>
        </w:rPr>
        <w:t>por</w:t>
      </w:r>
      <w:r>
        <w:rPr>
          <w:color w:val="231F20"/>
          <w:spacing w:val="-21"/>
          <w:w w:val="105"/>
        </w:rPr>
        <w:t> </w:t>
      </w:r>
      <w:r>
        <w:rPr>
          <w:color w:val="231F20"/>
          <w:w w:val="105"/>
        </w:rPr>
        <w:t>tanto,</w:t>
      </w:r>
      <w:r>
        <w:rPr>
          <w:color w:val="231F20"/>
          <w:spacing w:val="-26"/>
          <w:w w:val="105"/>
        </w:rPr>
        <w:t> </w:t>
      </w:r>
      <w:r>
        <w:rPr>
          <w:color w:val="231F20"/>
          <w:w w:val="105"/>
        </w:rPr>
        <w:t>las</w:t>
      </w:r>
      <w:r>
        <w:rPr>
          <w:color w:val="231F20"/>
          <w:spacing w:val="-21"/>
          <w:w w:val="105"/>
        </w:rPr>
        <w:t> </w:t>
      </w:r>
      <w:r>
        <w:rPr>
          <w:color w:val="231F20"/>
          <w:w w:val="105"/>
        </w:rPr>
        <w:t>variables</w:t>
      </w:r>
      <w:r>
        <w:rPr>
          <w:color w:val="231F20"/>
          <w:spacing w:val="-21"/>
          <w:w w:val="105"/>
        </w:rPr>
        <w:t> </w:t>
      </w:r>
      <w:r>
        <w:rPr>
          <w:color w:val="231F20"/>
          <w:w w:val="105"/>
        </w:rPr>
        <w:t>agregadas del sector</w:t>
      </w:r>
      <w:r>
        <w:rPr>
          <w:color w:val="231F20"/>
          <w:spacing w:val="2"/>
          <w:w w:val="105"/>
        </w:rPr>
        <w:t> </w:t>
      </w:r>
      <w:r>
        <w:rPr>
          <w:color w:val="231F20"/>
          <w:w w:val="105"/>
        </w:rPr>
        <w:t>público.</w:t>
      </w:r>
    </w:p>
    <w:p>
      <w:pPr>
        <w:pStyle w:val="BodyText"/>
        <w:spacing w:line="259" w:lineRule="auto"/>
        <w:ind w:left="103" w:right="114" w:firstLine="567"/>
        <w:jc w:val="both"/>
      </w:pPr>
      <w:r>
        <w:rPr>
          <w:color w:val="231F20"/>
          <w:w w:val="105"/>
        </w:rPr>
        <w:t>La</w:t>
      </w:r>
      <w:r>
        <w:rPr>
          <w:color w:val="231F20"/>
          <w:spacing w:val="-17"/>
          <w:w w:val="105"/>
        </w:rPr>
        <w:t> </w:t>
      </w:r>
      <w:r>
        <w:rPr>
          <w:color w:val="231F20"/>
          <w:w w:val="105"/>
        </w:rPr>
        <w:t>política</w:t>
      </w:r>
      <w:r>
        <w:rPr>
          <w:color w:val="231F20"/>
          <w:spacing w:val="-18"/>
          <w:w w:val="105"/>
        </w:rPr>
        <w:t> </w:t>
      </w:r>
      <w:r>
        <w:rPr>
          <w:color w:val="231F20"/>
          <w:w w:val="105"/>
        </w:rPr>
        <w:t>fiscal</w:t>
      </w:r>
      <w:r>
        <w:rPr>
          <w:color w:val="231F20"/>
          <w:spacing w:val="-17"/>
          <w:w w:val="105"/>
        </w:rPr>
        <w:t> </w:t>
      </w:r>
      <w:r>
        <w:rPr>
          <w:color w:val="231F20"/>
          <w:w w:val="105"/>
        </w:rPr>
        <w:t>se</w:t>
      </w:r>
      <w:r>
        <w:rPr>
          <w:color w:val="231F20"/>
          <w:spacing w:val="-17"/>
          <w:w w:val="105"/>
        </w:rPr>
        <w:t> </w:t>
      </w:r>
      <w:r>
        <w:rPr>
          <w:color w:val="231F20"/>
          <w:w w:val="105"/>
        </w:rPr>
        <w:t>define</w:t>
      </w:r>
      <w:r>
        <w:rPr>
          <w:color w:val="231F20"/>
          <w:spacing w:val="-17"/>
          <w:w w:val="105"/>
        </w:rPr>
        <w:t> </w:t>
      </w:r>
      <w:r>
        <w:rPr>
          <w:color w:val="231F20"/>
          <w:w w:val="105"/>
        </w:rPr>
        <w:t>como</w:t>
      </w:r>
      <w:r>
        <w:rPr>
          <w:color w:val="231F20"/>
          <w:spacing w:val="-17"/>
          <w:w w:val="105"/>
        </w:rPr>
        <w:t> </w:t>
      </w:r>
      <w:r>
        <w:rPr>
          <w:color w:val="231F20"/>
          <w:w w:val="105"/>
        </w:rPr>
        <w:t>las</w:t>
      </w:r>
      <w:r>
        <w:rPr>
          <w:color w:val="231F20"/>
          <w:spacing w:val="-17"/>
          <w:w w:val="105"/>
        </w:rPr>
        <w:t> </w:t>
      </w:r>
      <w:r>
        <w:rPr>
          <w:color w:val="231F20"/>
          <w:w w:val="105"/>
        </w:rPr>
        <w:t>decisiones</w:t>
      </w:r>
      <w:r>
        <w:rPr>
          <w:color w:val="231F20"/>
          <w:spacing w:val="-17"/>
          <w:w w:val="105"/>
        </w:rPr>
        <w:t> </w:t>
      </w:r>
      <w:r>
        <w:rPr>
          <w:color w:val="231F20"/>
          <w:w w:val="105"/>
        </w:rPr>
        <w:t>que</w:t>
      </w:r>
      <w:r>
        <w:rPr>
          <w:color w:val="231F20"/>
          <w:spacing w:val="-18"/>
          <w:w w:val="105"/>
        </w:rPr>
        <w:t> </w:t>
      </w:r>
      <w:r>
        <w:rPr>
          <w:color w:val="231F20"/>
          <w:w w:val="105"/>
        </w:rPr>
        <w:t>toma</w:t>
      </w:r>
      <w:r>
        <w:rPr>
          <w:color w:val="231F20"/>
          <w:spacing w:val="-17"/>
          <w:w w:val="105"/>
        </w:rPr>
        <w:t> </w:t>
      </w:r>
      <w:r>
        <w:rPr>
          <w:color w:val="231F20"/>
          <w:w w:val="105"/>
        </w:rPr>
        <w:t>el</w:t>
      </w:r>
      <w:r>
        <w:rPr>
          <w:color w:val="231F20"/>
          <w:spacing w:val="-17"/>
          <w:w w:val="105"/>
        </w:rPr>
        <w:t> </w:t>
      </w:r>
      <w:r>
        <w:rPr>
          <w:color w:val="231F20"/>
          <w:w w:val="105"/>
        </w:rPr>
        <w:t>gobier- no en términos de expansión o contracción de gasto público, ingresos fiscales, resultado fiscal y deuda pública relacionando los</w:t>
      </w:r>
      <w:r>
        <w:rPr>
          <w:color w:val="231F20"/>
          <w:spacing w:val="-10"/>
          <w:w w:val="105"/>
        </w:rPr>
        <w:t> </w:t>
      </w:r>
      <w:r>
        <w:rPr>
          <w:color w:val="231F20"/>
          <w:w w:val="105"/>
        </w:rPr>
        <w:t>instrumentos fiscales</w:t>
      </w:r>
      <w:r>
        <w:rPr>
          <w:color w:val="231F20"/>
          <w:spacing w:val="-21"/>
          <w:w w:val="105"/>
        </w:rPr>
        <w:t> </w:t>
      </w:r>
      <w:r>
        <w:rPr>
          <w:color w:val="231F20"/>
          <w:w w:val="105"/>
        </w:rPr>
        <w:t>con</w:t>
      </w:r>
      <w:r>
        <w:rPr>
          <w:color w:val="231F20"/>
          <w:spacing w:val="-21"/>
          <w:w w:val="105"/>
        </w:rPr>
        <w:t> </w:t>
      </w:r>
      <w:r>
        <w:rPr>
          <w:color w:val="231F20"/>
          <w:w w:val="105"/>
        </w:rPr>
        <w:t>las</w:t>
      </w:r>
      <w:r>
        <w:rPr>
          <w:color w:val="231F20"/>
          <w:spacing w:val="-21"/>
          <w:w w:val="105"/>
        </w:rPr>
        <w:t> </w:t>
      </w:r>
      <w:r>
        <w:rPr>
          <w:color w:val="231F20"/>
          <w:w w:val="105"/>
        </w:rPr>
        <w:t>fases</w:t>
      </w:r>
      <w:r>
        <w:rPr>
          <w:color w:val="231F20"/>
          <w:spacing w:val="-21"/>
          <w:w w:val="105"/>
        </w:rPr>
        <w:t> </w:t>
      </w:r>
      <w:r>
        <w:rPr>
          <w:color w:val="231F20"/>
          <w:w w:val="105"/>
        </w:rPr>
        <w:t>del</w:t>
      </w:r>
      <w:r>
        <w:rPr>
          <w:color w:val="231F20"/>
          <w:spacing w:val="-21"/>
          <w:w w:val="105"/>
        </w:rPr>
        <w:t> </w:t>
      </w:r>
      <w:r>
        <w:rPr>
          <w:color w:val="231F20"/>
          <w:w w:val="105"/>
        </w:rPr>
        <w:t>ciclo</w:t>
      </w:r>
      <w:r>
        <w:rPr>
          <w:color w:val="231F20"/>
          <w:spacing w:val="-21"/>
          <w:w w:val="105"/>
        </w:rPr>
        <w:t> </w:t>
      </w:r>
      <w:r>
        <w:rPr>
          <w:color w:val="231F20"/>
          <w:w w:val="105"/>
        </w:rPr>
        <w:t>económico.</w:t>
      </w:r>
      <w:r>
        <w:rPr>
          <w:color w:val="231F20"/>
          <w:spacing w:val="-26"/>
          <w:w w:val="105"/>
        </w:rPr>
        <w:t> </w:t>
      </w:r>
      <w:r>
        <w:rPr>
          <w:color w:val="231F20"/>
          <w:spacing w:val="-6"/>
          <w:w w:val="105"/>
        </w:rPr>
        <w:t>Por</w:t>
      </w:r>
      <w:r>
        <w:rPr>
          <w:color w:val="231F20"/>
          <w:spacing w:val="-21"/>
          <w:w w:val="105"/>
        </w:rPr>
        <w:t> </w:t>
      </w:r>
      <w:r>
        <w:rPr>
          <w:color w:val="231F20"/>
          <w:w w:val="105"/>
        </w:rPr>
        <w:t>su</w:t>
      </w:r>
      <w:r>
        <w:rPr>
          <w:color w:val="231F20"/>
          <w:spacing w:val="-21"/>
          <w:w w:val="105"/>
        </w:rPr>
        <w:t> </w:t>
      </w:r>
      <w:r>
        <w:rPr>
          <w:color w:val="231F20"/>
          <w:w w:val="105"/>
        </w:rPr>
        <w:t>parte,</w:t>
      </w:r>
      <w:r>
        <w:rPr>
          <w:color w:val="231F20"/>
          <w:spacing w:val="-26"/>
          <w:w w:val="105"/>
        </w:rPr>
        <w:t> </w:t>
      </w:r>
      <w:r>
        <w:rPr>
          <w:color w:val="231F20"/>
          <w:w w:val="105"/>
        </w:rPr>
        <w:t>la</w:t>
      </w:r>
      <w:r>
        <w:rPr>
          <w:color w:val="231F20"/>
          <w:spacing w:val="-21"/>
          <w:w w:val="105"/>
        </w:rPr>
        <w:t> </w:t>
      </w:r>
      <w:r>
        <w:rPr>
          <w:color w:val="231F20"/>
          <w:w w:val="105"/>
        </w:rPr>
        <w:t>administración se encarga de la teoría de las organizaciones, área que contempla a</w:t>
      </w:r>
      <w:r>
        <w:rPr>
          <w:color w:val="231F20"/>
          <w:spacing w:val="-30"/>
          <w:w w:val="105"/>
        </w:rPr>
        <w:t> </w:t>
      </w:r>
      <w:r>
        <w:rPr>
          <w:color w:val="231F20"/>
          <w:w w:val="105"/>
        </w:rPr>
        <w:t>la teoría</w:t>
      </w:r>
      <w:r>
        <w:rPr>
          <w:color w:val="231F20"/>
          <w:spacing w:val="-11"/>
          <w:w w:val="105"/>
        </w:rPr>
        <w:t> </w:t>
      </w:r>
      <w:r>
        <w:rPr>
          <w:color w:val="231F20"/>
          <w:w w:val="105"/>
        </w:rPr>
        <w:t>institucional</w:t>
      </w:r>
      <w:r>
        <w:rPr>
          <w:color w:val="231F20"/>
          <w:spacing w:val="-11"/>
          <w:w w:val="105"/>
        </w:rPr>
        <w:t> </w:t>
      </w:r>
      <w:r>
        <w:rPr>
          <w:color w:val="231F20"/>
          <w:w w:val="105"/>
        </w:rPr>
        <w:t>como</w:t>
      </w:r>
      <w:r>
        <w:rPr>
          <w:color w:val="231F20"/>
          <w:spacing w:val="-11"/>
          <w:w w:val="105"/>
        </w:rPr>
        <w:t> </w:t>
      </w:r>
      <w:r>
        <w:rPr>
          <w:color w:val="231F20"/>
          <w:w w:val="105"/>
        </w:rPr>
        <w:t>factor</w:t>
      </w:r>
      <w:r>
        <w:rPr>
          <w:color w:val="231F20"/>
          <w:spacing w:val="-11"/>
          <w:w w:val="105"/>
        </w:rPr>
        <w:t> </w:t>
      </w:r>
      <w:r>
        <w:rPr>
          <w:color w:val="231F20"/>
          <w:w w:val="105"/>
        </w:rPr>
        <w:t>que</w:t>
      </w:r>
      <w:r>
        <w:rPr>
          <w:color w:val="231F20"/>
          <w:spacing w:val="-11"/>
          <w:w w:val="105"/>
        </w:rPr>
        <w:t> </w:t>
      </w:r>
      <w:r>
        <w:rPr>
          <w:color w:val="231F20"/>
          <w:w w:val="105"/>
        </w:rPr>
        <w:t>explica</w:t>
      </w:r>
      <w:r>
        <w:rPr>
          <w:color w:val="231F20"/>
          <w:spacing w:val="-11"/>
          <w:w w:val="105"/>
        </w:rPr>
        <w:t> </w:t>
      </w:r>
      <w:r>
        <w:rPr>
          <w:color w:val="231F20"/>
          <w:w w:val="105"/>
        </w:rPr>
        <w:t>las</w:t>
      </w:r>
      <w:r>
        <w:rPr>
          <w:color w:val="231F20"/>
          <w:spacing w:val="-11"/>
          <w:w w:val="105"/>
        </w:rPr>
        <w:t> </w:t>
      </w:r>
      <w:r>
        <w:rPr>
          <w:color w:val="231F20"/>
          <w:w w:val="105"/>
        </w:rPr>
        <w:t>fuentes</w:t>
      </w:r>
      <w:r>
        <w:rPr>
          <w:color w:val="231F20"/>
          <w:spacing w:val="-11"/>
          <w:w w:val="105"/>
        </w:rPr>
        <w:t> </w:t>
      </w:r>
      <w:r>
        <w:rPr>
          <w:color w:val="231F20"/>
          <w:w w:val="105"/>
        </w:rPr>
        <w:t>de</w:t>
      </w:r>
      <w:r>
        <w:rPr>
          <w:color w:val="231F20"/>
          <w:spacing w:val="-11"/>
          <w:w w:val="105"/>
        </w:rPr>
        <w:t> </w:t>
      </w:r>
      <w:r>
        <w:rPr>
          <w:color w:val="231F20"/>
          <w:w w:val="105"/>
        </w:rPr>
        <w:t>cambio</w:t>
      </w:r>
      <w:r>
        <w:rPr>
          <w:color w:val="231F20"/>
          <w:spacing w:val="-11"/>
          <w:w w:val="105"/>
        </w:rPr>
        <w:t> </w:t>
      </w:r>
      <w:r>
        <w:rPr>
          <w:color w:val="231F20"/>
          <w:w w:val="105"/>
        </w:rPr>
        <w:t>en</w:t>
      </w:r>
      <w:r>
        <w:rPr>
          <w:color w:val="231F20"/>
          <w:spacing w:val="-11"/>
          <w:w w:val="105"/>
        </w:rPr>
        <w:t> </w:t>
      </w:r>
      <w:r>
        <w:rPr>
          <w:color w:val="231F20"/>
          <w:w w:val="105"/>
        </w:rPr>
        <w:t>las organizaciones.</w:t>
      </w:r>
      <w:r>
        <w:rPr>
          <w:color w:val="231F20"/>
          <w:spacing w:val="-14"/>
          <w:w w:val="105"/>
        </w:rPr>
        <w:t> </w:t>
      </w:r>
      <w:r>
        <w:rPr>
          <w:color w:val="231F20"/>
          <w:w w:val="105"/>
        </w:rPr>
        <w:t>En</w:t>
      </w:r>
      <w:r>
        <w:rPr>
          <w:color w:val="231F20"/>
          <w:spacing w:val="-9"/>
          <w:w w:val="105"/>
        </w:rPr>
        <w:t> </w:t>
      </w:r>
      <w:r>
        <w:rPr>
          <w:color w:val="231F20"/>
          <w:w w:val="105"/>
        </w:rPr>
        <w:t>consecuencia,</w:t>
      </w:r>
      <w:r>
        <w:rPr>
          <w:color w:val="231F20"/>
          <w:spacing w:val="-14"/>
          <w:w w:val="105"/>
        </w:rPr>
        <w:t> </w:t>
      </w:r>
      <w:r>
        <w:rPr>
          <w:color w:val="231F20"/>
          <w:w w:val="105"/>
        </w:rPr>
        <w:t>se</w:t>
      </w:r>
      <w:r>
        <w:rPr>
          <w:color w:val="231F20"/>
          <w:spacing w:val="-9"/>
          <w:w w:val="105"/>
        </w:rPr>
        <w:t> </w:t>
      </w:r>
      <w:r>
        <w:rPr>
          <w:color w:val="231F20"/>
          <w:w w:val="105"/>
        </w:rPr>
        <w:t>propone</w:t>
      </w:r>
      <w:r>
        <w:rPr>
          <w:color w:val="231F20"/>
          <w:spacing w:val="-9"/>
          <w:w w:val="105"/>
        </w:rPr>
        <w:t> </w:t>
      </w:r>
      <w:r>
        <w:rPr>
          <w:color w:val="231F20"/>
          <w:w w:val="105"/>
        </w:rPr>
        <w:t>al</w:t>
      </w:r>
      <w:r>
        <w:rPr>
          <w:color w:val="231F20"/>
          <w:spacing w:val="-9"/>
          <w:w w:val="105"/>
        </w:rPr>
        <w:t> </w:t>
      </w:r>
      <w:r>
        <w:rPr>
          <w:color w:val="231F20"/>
          <w:w w:val="105"/>
        </w:rPr>
        <w:t>rol</w:t>
      </w:r>
      <w:r>
        <w:rPr>
          <w:color w:val="231F20"/>
          <w:spacing w:val="-9"/>
          <w:w w:val="105"/>
        </w:rPr>
        <w:t> </w:t>
      </w:r>
      <w:r>
        <w:rPr>
          <w:color w:val="231F20"/>
          <w:w w:val="105"/>
        </w:rPr>
        <w:t>institucional</w:t>
      </w:r>
      <w:r>
        <w:rPr>
          <w:color w:val="231F20"/>
          <w:spacing w:val="-9"/>
          <w:w w:val="105"/>
        </w:rPr>
        <w:t> </w:t>
      </w:r>
      <w:r>
        <w:rPr>
          <w:color w:val="231F20"/>
          <w:w w:val="105"/>
        </w:rPr>
        <w:t>del</w:t>
      </w:r>
      <w:r>
        <w:rPr>
          <w:color w:val="231F20"/>
          <w:spacing w:val="-9"/>
          <w:w w:val="105"/>
        </w:rPr>
        <w:t> </w:t>
      </w:r>
      <w:r>
        <w:rPr>
          <w:color w:val="231F20"/>
          <w:w w:val="105"/>
        </w:rPr>
        <w:t>go- bierno</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manejo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posición</w:t>
      </w:r>
      <w:r>
        <w:rPr>
          <w:color w:val="231F20"/>
          <w:spacing w:val="-10"/>
          <w:w w:val="105"/>
        </w:rPr>
        <w:t> </w:t>
      </w:r>
      <w:r>
        <w:rPr>
          <w:color w:val="231F20"/>
          <w:w w:val="105"/>
        </w:rPr>
        <w:t>fiscal</w:t>
      </w:r>
      <w:r>
        <w:rPr>
          <w:color w:val="231F20"/>
          <w:spacing w:val="-10"/>
          <w:w w:val="105"/>
        </w:rPr>
        <w:t> </w:t>
      </w:r>
      <w:r>
        <w:rPr>
          <w:color w:val="231F20"/>
          <w:w w:val="105"/>
        </w:rPr>
        <w:t>como</w:t>
      </w:r>
      <w:r>
        <w:rPr>
          <w:color w:val="231F20"/>
          <w:spacing w:val="-10"/>
          <w:w w:val="105"/>
        </w:rPr>
        <w:t> </w:t>
      </w:r>
      <w:r>
        <w:rPr>
          <w:color w:val="231F20"/>
          <w:w w:val="105"/>
        </w:rPr>
        <w:t>una</w:t>
      </w:r>
      <w:r>
        <w:rPr>
          <w:color w:val="231F20"/>
          <w:spacing w:val="-10"/>
          <w:w w:val="105"/>
        </w:rPr>
        <w:t> </w:t>
      </w:r>
      <w:r>
        <w:rPr>
          <w:color w:val="231F20"/>
          <w:w w:val="105"/>
        </w:rPr>
        <w:t>intersección</w:t>
      </w:r>
      <w:r>
        <w:rPr>
          <w:color w:val="231F20"/>
          <w:spacing w:val="-10"/>
          <w:w w:val="105"/>
        </w:rPr>
        <w:t> </w:t>
      </w:r>
      <w:r>
        <w:rPr>
          <w:color w:val="231F20"/>
          <w:w w:val="105"/>
        </w:rPr>
        <w:t>de</w:t>
      </w:r>
      <w:r>
        <w:rPr>
          <w:color w:val="231F20"/>
          <w:spacing w:val="-10"/>
          <w:w w:val="105"/>
        </w:rPr>
        <w:t> </w:t>
      </w:r>
      <w:r>
        <w:rPr>
          <w:color w:val="231F20"/>
          <w:w w:val="105"/>
        </w:rPr>
        <w:t>las ciencias económico-administrativo, mediante el establecimiento de</w:t>
      </w:r>
      <w:r>
        <w:rPr>
          <w:color w:val="231F20"/>
          <w:spacing w:val="-35"/>
          <w:w w:val="105"/>
        </w:rPr>
        <w:t> </w:t>
      </w:r>
      <w:r>
        <w:rPr>
          <w:color w:val="231F20"/>
          <w:w w:val="105"/>
        </w:rPr>
        <w:t>una regla fiscal como arreglo institucional frente a la dependencia de un</w:t>
      </w:r>
      <w:r>
        <w:rPr>
          <w:color w:val="231F20"/>
          <w:spacing w:val="-13"/>
          <w:w w:val="105"/>
        </w:rPr>
        <w:t> </w:t>
      </w:r>
      <w:r>
        <w:rPr>
          <w:color w:val="231F20"/>
          <w:w w:val="105"/>
        </w:rPr>
        <w:t>re- curso</w:t>
      </w:r>
      <w:r>
        <w:rPr>
          <w:color w:val="231F20"/>
          <w:spacing w:val="-15"/>
          <w:w w:val="105"/>
        </w:rPr>
        <w:t> </w:t>
      </w:r>
      <w:r>
        <w:rPr>
          <w:color w:val="231F20"/>
          <w:w w:val="105"/>
        </w:rPr>
        <w:t>natural</w:t>
      </w:r>
      <w:r>
        <w:rPr>
          <w:color w:val="231F20"/>
          <w:spacing w:val="-14"/>
          <w:w w:val="105"/>
        </w:rPr>
        <w:t> </w:t>
      </w:r>
      <w:r>
        <w:rPr>
          <w:color w:val="231F20"/>
          <w:w w:val="105"/>
        </w:rPr>
        <w:t>al</w:t>
      </w:r>
      <w:r>
        <w:rPr>
          <w:color w:val="231F20"/>
          <w:spacing w:val="-15"/>
          <w:w w:val="105"/>
        </w:rPr>
        <w:t> </w:t>
      </w:r>
      <w:r>
        <w:rPr>
          <w:color w:val="231F20"/>
          <w:w w:val="105"/>
        </w:rPr>
        <w:t>asignar</w:t>
      </w:r>
      <w:r>
        <w:rPr>
          <w:color w:val="231F20"/>
          <w:spacing w:val="-15"/>
          <w:w w:val="105"/>
        </w:rPr>
        <w:t> </w:t>
      </w:r>
      <w:r>
        <w:rPr>
          <w:color w:val="231F20"/>
          <w:w w:val="105"/>
        </w:rPr>
        <w:t>los</w:t>
      </w:r>
      <w:r>
        <w:rPr>
          <w:color w:val="231F20"/>
          <w:spacing w:val="-15"/>
          <w:w w:val="105"/>
        </w:rPr>
        <w:t> </w:t>
      </w:r>
      <w:r>
        <w:rPr>
          <w:color w:val="231F20"/>
          <w:w w:val="105"/>
        </w:rPr>
        <w:t>ingresos</w:t>
      </w:r>
      <w:r>
        <w:rPr>
          <w:color w:val="231F20"/>
          <w:spacing w:val="-14"/>
          <w:w w:val="105"/>
        </w:rPr>
        <w:t> </w:t>
      </w:r>
      <w:r>
        <w:rPr>
          <w:color w:val="231F20"/>
          <w:w w:val="105"/>
        </w:rPr>
        <w:t>fiscales</w:t>
      </w:r>
      <w:r>
        <w:rPr>
          <w:color w:val="231F20"/>
          <w:spacing w:val="-15"/>
          <w:w w:val="105"/>
        </w:rPr>
        <w:t> </w:t>
      </w:r>
      <w:r>
        <w:rPr>
          <w:color w:val="231F20"/>
          <w:w w:val="105"/>
        </w:rPr>
        <w:t>al</w:t>
      </w:r>
      <w:r>
        <w:rPr>
          <w:color w:val="231F20"/>
          <w:spacing w:val="-14"/>
          <w:w w:val="105"/>
        </w:rPr>
        <w:t> </w:t>
      </w:r>
      <w:r>
        <w:rPr>
          <w:color w:val="231F20"/>
          <w:w w:val="105"/>
        </w:rPr>
        <w:t>gasto</w:t>
      </w:r>
      <w:r>
        <w:rPr>
          <w:color w:val="231F20"/>
          <w:spacing w:val="-14"/>
          <w:w w:val="105"/>
        </w:rPr>
        <w:t> </w:t>
      </w:r>
      <w:r>
        <w:rPr>
          <w:color w:val="231F20"/>
          <w:w w:val="105"/>
        </w:rPr>
        <w:t>público,</w:t>
      </w:r>
      <w:r>
        <w:rPr>
          <w:color w:val="231F20"/>
          <w:spacing w:val="-20"/>
          <w:w w:val="105"/>
        </w:rPr>
        <w:t> </w:t>
      </w:r>
      <w:r>
        <w:rPr>
          <w:color w:val="231F20"/>
          <w:w w:val="105"/>
        </w:rPr>
        <w:t>resultados fiscales</w:t>
      </w:r>
      <w:r>
        <w:rPr>
          <w:color w:val="231F20"/>
          <w:spacing w:val="-22"/>
          <w:w w:val="105"/>
        </w:rPr>
        <w:t> </w:t>
      </w:r>
      <w:r>
        <w:rPr>
          <w:color w:val="231F20"/>
          <w:w w:val="105"/>
        </w:rPr>
        <w:t>y</w:t>
      </w:r>
      <w:r>
        <w:rPr>
          <w:color w:val="231F20"/>
          <w:spacing w:val="-22"/>
          <w:w w:val="105"/>
        </w:rPr>
        <w:t> </w:t>
      </w:r>
      <w:r>
        <w:rPr>
          <w:color w:val="231F20"/>
          <w:w w:val="105"/>
        </w:rPr>
        <w:t>deuda</w:t>
      </w:r>
      <w:r>
        <w:rPr>
          <w:color w:val="231F20"/>
          <w:spacing w:val="-22"/>
          <w:w w:val="105"/>
        </w:rPr>
        <w:t> </w:t>
      </w:r>
      <w:r>
        <w:rPr>
          <w:color w:val="231F20"/>
          <w:w w:val="105"/>
        </w:rPr>
        <w:t>pública.</w:t>
      </w:r>
    </w:p>
    <w:p>
      <w:pPr>
        <w:pStyle w:val="BodyText"/>
        <w:spacing w:line="259" w:lineRule="auto"/>
        <w:ind w:left="103" w:right="115" w:firstLine="567"/>
        <w:jc w:val="both"/>
      </w:pPr>
      <w:r>
        <w:rPr>
          <w:color w:val="231F20"/>
          <w:w w:val="105"/>
        </w:rPr>
        <w:t>De forma seguida se explican dos argumentos para la investiga- ción derivados de la teoría institucional: i) la importancia del rol institu- cional</w:t>
      </w:r>
      <w:r>
        <w:rPr>
          <w:color w:val="231F20"/>
          <w:spacing w:val="-9"/>
          <w:w w:val="105"/>
        </w:rPr>
        <w:t> </w:t>
      </w:r>
      <w:r>
        <w:rPr>
          <w:color w:val="231F20"/>
          <w:w w:val="105"/>
        </w:rPr>
        <w:t>en</w:t>
      </w:r>
      <w:r>
        <w:rPr>
          <w:color w:val="231F20"/>
          <w:spacing w:val="-9"/>
          <w:w w:val="105"/>
        </w:rPr>
        <w:t> </w:t>
      </w:r>
      <w:r>
        <w:rPr>
          <w:color w:val="231F20"/>
          <w:w w:val="105"/>
        </w:rPr>
        <w:t>países</w:t>
      </w:r>
      <w:r>
        <w:rPr>
          <w:color w:val="231F20"/>
          <w:spacing w:val="-9"/>
          <w:w w:val="105"/>
        </w:rPr>
        <w:t> </w:t>
      </w:r>
      <w:r>
        <w:rPr>
          <w:color w:val="231F20"/>
          <w:w w:val="105"/>
        </w:rPr>
        <w:t>dependientes</w:t>
      </w:r>
      <w:r>
        <w:rPr>
          <w:color w:val="231F20"/>
          <w:spacing w:val="-9"/>
          <w:w w:val="105"/>
        </w:rPr>
        <w:t> </w:t>
      </w:r>
      <w:r>
        <w:rPr>
          <w:color w:val="231F20"/>
          <w:w w:val="105"/>
        </w:rPr>
        <w:t>de</w:t>
      </w:r>
      <w:r>
        <w:rPr>
          <w:color w:val="231F20"/>
          <w:spacing w:val="-9"/>
          <w:w w:val="105"/>
        </w:rPr>
        <w:t> </w:t>
      </w:r>
      <w:r>
        <w:rPr>
          <w:color w:val="231F20"/>
          <w:w w:val="105"/>
        </w:rPr>
        <w:t>recursos</w:t>
      </w:r>
      <w:r>
        <w:rPr>
          <w:color w:val="231F20"/>
          <w:spacing w:val="-9"/>
          <w:w w:val="105"/>
        </w:rPr>
        <w:t> </w:t>
      </w:r>
      <w:r>
        <w:rPr>
          <w:color w:val="231F20"/>
          <w:w w:val="105"/>
        </w:rPr>
        <w:t>naturales</w:t>
      </w:r>
      <w:r>
        <w:rPr>
          <w:color w:val="231F20"/>
          <w:spacing w:val="-9"/>
          <w:w w:val="105"/>
        </w:rPr>
        <w:t> </w:t>
      </w:r>
      <w:r>
        <w:rPr>
          <w:color w:val="231F20"/>
          <w:w w:val="105"/>
        </w:rPr>
        <w:t>y</w:t>
      </w:r>
      <w:r>
        <w:rPr>
          <w:color w:val="231F20"/>
          <w:spacing w:val="-9"/>
          <w:w w:val="105"/>
        </w:rPr>
        <w:t> </w:t>
      </w:r>
      <w:r>
        <w:rPr>
          <w:color w:val="231F20"/>
          <w:w w:val="105"/>
        </w:rPr>
        <w:t>ii)</w:t>
      </w:r>
      <w:r>
        <w:rPr>
          <w:color w:val="231F20"/>
          <w:spacing w:val="-9"/>
          <w:w w:val="105"/>
        </w:rPr>
        <w:t> </w:t>
      </w:r>
      <w:r>
        <w:rPr>
          <w:color w:val="231F20"/>
          <w:w w:val="105"/>
        </w:rPr>
        <w:t>la</w:t>
      </w:r>
      <w:r>
        <w:rPr>
          <w:color w:val="231F20"/>
          <w:spacing w:val="-9"/>
          <w:w w:val="105"/>
        </w:rPr>
        <w:t> </w:t>
      </w:r>
      <w:r>
        <w:rPr>
          <w:color w:val="231F20"/>
          <w:w w:val="105"/>
        </w:rPr>
        <w:t>justificación institucional</w:t>
      </w:r>
      <w:r>
        <w:rPr>
          <w:color w:val="231F20"/>
          <w:spacing w:val="-21"/>
          <w:w w:val="105"/>
        </w:rPr>
        <w:t> </w:t>
      </w:r>
      <w:r>
        <w:rPr>
          <w:color w:val="231F20"/>
          <w:w w:val="105"/>
        </w:rPr>
        <w:t>para</w:t>
      </w:r>
      <w:r>
        <w:rPr>
          <w:color w:val="231F20"/>
          <w:spacing w:val="-21"/>
          <w:w w:val="105"/>
        </w:rPr>
        <w:t> </w:t>
      </w:r>
      <w:r>
        <w:rPr>
          <w:color w:val="231F20"/>
          <w:w w:val="105"/>
        </w:rPr>
        <w:t>la</w:t>
      </w:r>
      <w:r>
        <w:rPr>
          <w:color w:val="231F20"/>
          <w:spacing w:val="-21"/>
          <w:w w:val="105"/>
        </w:rPr>
        <w:t> </w:t>
      </w:r>
      <w:r>
        <w:rPr>
          <w:color w:val="231F20"/>
          <w:w w:val="105"/>
        </w:rPr>
        <w:t>implementación</w:t>
      </w:r>
      <w:r>
        <w:rPr>
          <w:color w:val="231F20"/>
          <w:spacing w:val="-21"/>
          <w:w w:val="105"/>
        </w:rPr>
        <w:t> </w:t>
      </w:r>
      <w:r>
        <w:rPr>
          <w:color w:val="231F20"/>
          <w:w w:val="105"/>
        </w:rPr>
        <w:t>de</w:t>
      </w:r>
      <w:r>
        <w:rPr>
          <w:color w:val="231F20"/>
          <w:spacing w:val="-21"/>
          <w:w w:val="105"/>
        </w:rPr>
        <w:t> </w:t>
      </w:r>
      <w:r>
        <w:rPr>
          <w:color w:val="231F20"/>
          <w:w w:val="105"/>
        </w:rPr>
        <w:t>reglas</w:t>
      </w:r>
      <w:r>
        <w:rPr>
          <w:color w:val="231F20"/>
          <w:spacing w:val="-21"/>
          <w:w w:val="105"/>
        </w:rPr>
        <w:t> </w:t>
      </w:r>
      <w:r>
        <w:rPr>
          <w:color w:val="231F20"/>
          <w:w w:val="105"/>
        </w:rPr>
        <w:t>fiscales.</w:t>
      </w:r>
    </w:p>
    <w:p>
      <w:pPr>
        <w:pStyle w:val="BodyText"/>
        <w:spacing w:line="259" w:lineRule="auto"/>
        <w:ind w:left="103" w:right="114" w:firstLine="567"/>
        <w:jc w:val="both"/>
      </w:pPr>
      <w:r>
        <w:rPr>
          <w:color w:val="231F20"/>
          <w:w w:val="105"/>
        </w:rPr>
        <w:t>La</w:t>
      </w:r>
      <w:r>
        <w:rPr>
          <w:color w:val="231F20"/>
          <w:spacing w:val="-9"/>
          <w:w w:val="105"/>
        </w:rPr>
        <w:t> </w:t>
      </w:r>
      <w:r>
        <w:rPr>
          <w:color w:val="231F20"/>
          <w:w w:val="105"/>
        </w:rPr>
        <w:t>importancia</w:t>
      </w:r>
      <w:r>
        <w:rPr>
          <w:color w:val="231F20"/>
          <w:spacing w:val="-9"/>
          <w:w w:val="105"/>
        </w:rPr>
        <w:t> </w:t>
      </w:r>
      <w:r>
        <w:rPr>
          <w:color w:val="231F20"/>
          <w:w w:val="105"/>
        </w:rPr>
        <w:t>del</w:t>
      </w:r>
      <w:r>
        <w:rPr>
          <w:color w:val="231F20"/>
          <w:spacing w:val="-9"/>
          <w:w w:val="105"/>
        </w:rPr>
        <w:t> </w:t>
      </w:r>
      <w:r>
        <w:rPr>
          <w:color w:val="231F20"/>
          <w:w w:val="105"/>
        </w:rPr>
        <w:t>rol</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instituciones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finanzas</w:t>
      </w:r>
      <w:r>
        <w:rPr>
          <w:color w:val="231F20"/>
          <w:spacing w:val="-9"/>
          <w:w w:val="105"/>
        </w:rPr>
        <w:t> </w:t>
      </w:r>
      <w:r>
        <w:rPr>
          <w:color w:val="231F20"/>
          <w:w w:val="105"/>
        </w:rPr>
        <w:t>públicas se</w:t>
      </w:r>
      <w:r>
        <w:rPr>
          <w:color w:val="231F20"/>
          <w:spacing w:val="-9"/>
          <w:w w:val="105"/>
        </w:rPr>
        <w:t> </w:t>
      </w:r>
      <w:r>
        <w:rPr>
          <w:color w:val="231F20"/>
          <w:w w:val="105"/>
        </w:rPr>
        <w:t>caracteriza</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manera</w:t>
      </w:r>
      <w:r>
        <w:rPr>
          <w:color w:val="231F20"/>
          <w:spacing w:val="-9"/>
          <w:w w:val="105"/>
        </w:rPr>
        <w:t> </w:t>
      </w:r>
      <w:r>
        <w:rPr>
          <w:color w:val="231F20"/>
          <w:w w:val="105"/>
        </w:rPr>
        <w:t>en</w:t>
      </w:r>
      <w:r>
        <w:rPr>
          <w:color w:val="231F20"/>
          <w:spacing w:val="-9"/>
          <w:w w:val="105"/>
        </w:rPr>
        <w:t> </w:t>
      </w:r>
      <w:r>
        <w:rPr>
          <w:color w:val="231F20"/>
          <w:w w:val="105"/>
        </w:rPr>
        <w:t>que</w:t>
      </w:r>
      <w:r>
        <w:rPr>
          <w:color w:val="231F20"/>
          <w:spacing w:val="-9"/>
          <w:w w:val="105"/>
        </w:rPr>
        <w:t> </w:t>
      </w:r>
      <w:r>
        <w:rPr>
          <w:color w:val="231F20"/>
          <w:w w:val="105"/>
        </w:rPr>
        <w:t>son</w:t>
      </w:r>
      <w:r>
        <w:rPr>
          <w:color w:val="231F20"/>
          <w:spacing w:val="-9"/>
          <w:w w:val="105"/>
        </w:rPr>
        <w:t> </w:t>
      </w:r>
      <w:r>
        <w:rPr>
          <w:color w:val="231F20"/>
          <w:w w:val="105"/>
        </w:rPr>
        <w:t>administrados</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na- turales</w:t>
      </w:r>
      <w:r>
        <w:rPr>
          <w:color w:val="231F20"/>
          <w:spacing w:val="-10"/>
          <w:w w:val="105"/>
        </w:rPr>
        <w:t> </w:t>
      </w:r>
      <w:r>
        <w:rPr>
          <w:color w:val="231F20"/>
          <w:w w:val="105"/>
        </w:rPr>
        <w:t>con</w:t>
      </w:r>
      <w:r>
        <w:rPr>
          <w:color w:val="231F20"/>
          <w:spacing w:val="-10"/>
          <w:w w:val="105"/>
        </w:rPr>
        <w:t> </w:t>
      </w:r>
      <w:r>
        <w:rPr>
          <w:color w:val="231F20"/>
          <w:w w:val="105"/>
        </w:rPr>
        <w:t>relación</w:t>
      </w:r>
      <w:r>
        <w:rPr>
          <w:color w:val="231F20"/>
          <w:spacing w:val="-10"/>
          <w:w w:val="105"/>
        </w:rPr>
        <w:t> </w:t>
      </w:r>
      <w:r>
        <w:rPr>
          <w:color w:val="231F20"/>
          <w:w w:val="105"/>
        </w:rPr>
        <w:t>al</w:t>
      </w:r>
      <w:r>
        <w:rPr>
          <w:color w:val="231F20"/>
          <w:spacing w:val="-10"/>
          <w:w w:val="105"/>
        </w:rPr>
        <w:t> </w:t>
      </w:r>
      <w:r>
        <w:rPr>
          <w:color w:val="231F20"/>
          <w:w w:val="105"/>
        </w:rPr>
        <w:t>gasto</w:t>
      </w:r>
      <w:r>
        <w:rPr>
          <w:color w:val="231F20"/>
          <w:spacing w:val="-10"/>
          <w:w w:val="105"/>
        </w:rPr>
        <w:t> </w:t>
      </w:r>
      <w:r>
        <w:rPr>
          <w:color w:val="231F20"/>
          <w:w w:val="105"/>
        </w:rPr>
        <w:t>público</w:t>
      </w:r>
      <w:r>
        <w:rPr>
          <w:color w:val="231F20"/>
          <w:spacing w:val="-10"/>
          <w:w w:val="105"/>
        </w:rPr>
        <w:t> </w:t>
      </w:r>
      <w:r>
        <w:rPr>
          <w:color w:val="231F20"/>
          <w:w w:val="105"/>
        </w:rPr>
        <w:t>y</w:t>
      </w:r>
      <w:r>
        <w:rPr>
          <w:color w:val="231F20"/>
          <w:spacing w:val="-10"/>
          <w:w w:val="105"/>
        </w:rPr>
        <w:t> </w:t>
      </w:r>
      <w:r>
        <w:rPr>
          <w:color w:val="231F20"/>
          <w:w w:val="105"/>
        </w:rPr>
        <w:t>mitigación</w:t>
      </w:r>
      <w:r>
        <w:rPr>
          <w:color w:val="231F20"/>
          <w:spacing w:val="-10"/>
          <w:w w:val="105"/>
        </w:rPr>
        <w:t> </w:t>
      </w:r>
      <w:r>
        <w:rPr>
          <w:color w:val="231F20"/>
          <w:w w:val="105"/>
        </w:rPr>
        <w:t>de</w:t>
      </w:r>
      <w:r>
        <w:rPr>
          <w:color w:val="231F20"/>
          <w:spacing w:val="-10"/>
          <w:w w:val="105"/>
        </w:rPr>
        <w:t> </w:t>
      </w:r>
      <w:r>
        <w:rPr>
          <w:color w:val="231F20"/>
          <w:w w:val="105"/>
        </w:rPr>
        <w:t>choques</w:t>
      </w:r>
      <w:r>
        <w:rPr>
          <w:color w:val="231F20"/>
          <w:spacing w:val="-10"/>
          <w:w w:val="105"/>
        </w:rPr>
        <w:t> </w:t>
      </w:r>
      <w:r>
        <w:rPr>
          <w:color w:val="231F20"/>
          <w:w w:val="105"/>
        </w:rPr>
        <w:t>de</w:t>
      </w:r>
      <w:r>
        <w:rPr>
          <w:color w:val="231F20"/>
          <w:spacing w:val="-10"/>
          <w:w w:val="105"/>
        </w:rPr>
        <w:t> </w:t>
      </w:r>
      <w:r>
        <w:rPr>
          <w:color w:val="231F20"/>
          <w:w w:val="105"/>
        </w:rPr>
        <w:t>precios internacionales</w:t>
      </w:r>
      <w:r>
        <w:rPr>
          <w:color w:val="231F20"/>
          <w:spacing w:val="-12"/>
          <w:w w:val="105"/>
        </w:rPr>
        <w:t> </w:t>
      </w:r>
      <w:r>
        <w:rPr>
          <w:color w:val="231F20"/>
          <w:w w:val="105"/>
        </w:rPr>
        <w:t>mediante</w:t>
      </w:r>
      <w:r>
        <w:rPr>
          <w:color w:val="231F20"/>
          <w:spacing w:val="-12"/>
          <w:w w:val="105"/>
        </w:rPr>
        <w:t> </w:t>
      </w:r>
      <w:r>
        <w:rPr>
          <w:color w:val="231F20"/>
          <w:w w:val="105"/>
        </w:rPr>
        <w:t>la</w:t>
      </w:r>
      <w:r>
        <w:rPr>
          <w:color w:val="231F20"/>
          <w:spacing w:val="-12"/>
          <w:w w:val="105"/>
        </w:rPr>
        <w:t> </w:t>
      </w:r>
      <w:r>
        <w:rPr>
          <w:color w:val="231F20"/>
          <w:w w:val="105"/>
        </w:rPr>
        <w:t>aplicación</w:t>
      </w:r>
      <w:r>
        <w:rPr>
          <w:color w:val="231F20"/>
          <w:spacing w:val="-12"/>
          <w:w w:val="105"/>
        </w:rPr>
        <w:t> </w:t>
      </w:r>
      <w:r>
        <w:rPr>
          <w:color w:val="231F20"/>
          <w:w w:val="105"/>
        </w:rPr>
        <w:t>de</w:t>
      </w:r>
      <w:r>
        <w:rPr>
          <w:color w:val="231F20"/>
          <w:spacing w:val="-12"/>
          <w:w w:val="105"/>
        </w:rPr>
        <w:t> </w:t>
      </w:r>
      <w:r>
        <w:rPr>
          <w:color w:val="231F20"/>
          <w:w w:val="105"/>
        </w:rPr>
        <w:t>normas</w:t>
      </w:r>
      <w:r>
        <w:rPr>
          <w:color w:val="231F20"/>
          <w:spacing w:val="-12"/>
          <w:w w:val="105"/>
        </w:rPr>
        <w:t> </w:t>
      </w:r>
      <w:r>
        <w:rPr>
          <w:color w:val="231F20"/>
          <w:w w:val="105"/>
        </w:rPr>
        <w:t>formales</w:t>
      </w:r>
      <w:r>
        <w:rPr>
          <w:color w:val="231F20"/>
          <w:spacing w:val="-12"/>
          <w:w w:val="105"/>
        </w:rPr>
        <w:t> </w:t>
      </w:r>
      <w:r>
        <w:rPr>
          <w:color w:val="231F20"/>
          <w:w w:val="105"/>
        </w:rPr>
        <w:t>que</w:t>
      </w:r>
      <w:r>
        <w:rPr>
          <w:color w:val="231F20"/>
          <w:spacing w:val="-12"/>
          <w:w w:val="105"/>
        </w:rPr>
        <w:t> </w:t>
      </w:r>
      <w:r>
        <w:rPr>
          <w:color w:val="231F20"/>
          <w:w w:val="105"/>
        </w:rPr>
        <w:t>conduz- can</w:t>
      </w:r>
      <w:r>
        <w:rPr>
          <w:color w:val="231F20"/>
          <w:spacing w:val="-24"/>
          <w:w w:val="105"/>
        </w:rPr>
        <w:t> </w:t>
      </w:r>
      <w:r>
        <w:rPr>
          <w:color w:val="231F20"/>
          <w:w w:val="105"/>
        </w:rPr>
        <w:t>a</w:t>
      </w:r>
      <w:r>
        <w:rPr>
          <w:color w:val="231F20"/>
          <w:spacing w:val="-24"/>
          <w:w w:val="105"/>
        </w:rPr>
        <w:t> </w:t>
      </w:r>
      <w:r>
        <w:rPr>
          <w:color w:val="231F20"/>
          <w:w w:val="105"/>
        </w:rPr>
        <w:t>una</w:t>
      </w:r>
      <w:r>
        <w:rPr>
          <w:color w:val="231F20"/>
          <w:spacing w:val="-24"/>
          <w:w w:val="105"/>
        </w:rPr>
        <w:t> </w:t>
      </w:r>
      <w:r>
        <w:rPr>
          <w:color w:val="231F20"/>
          <w:w w:val="105"/>
        </w:rPr>
        <w:t>posición</w:t>
      </w:r>
      <w:r>
        <w:rPr>
          <w:color w:val="231F20"/>
          <w:spacing w:val="-24"/>
          <w:w w:val="105"/>
        </w:rPr>
        <w:t> </w:t>
      </w:r>
      <w:r>
        <w:rPr>
          <w:color w:val="231F20"/>
          <w:w w:val="105"/>
        </w:rPr>
        <w:t>fiscal</w:t>
      </w:r>
      <w:r>
        <w:rPr>
          <w:color w:val="231F20"/>
          <w:spacing w:val="-24"/>
          <w:w w:val="105"/>
        </w:rPr>
        <w:t> </w:t>
      </w:r>
      <w:r>
        <w:rPr>
          <w:color w:val="231F20"/>
          <w:w w:val="105"/>
        </w:rPr>
        <w:t>sostenible.</w:t>
      </w:r>
    </w:p>
    <w:p>
      <w:pPr>
        <w:pStyle w:val="BodyText"/>
        <w:spacing w:line="259" w:lineRule="auto"/>
        <w:ind w:left="103" w:right="115" w:firstLine="567"/>
        <w:jc w:val="both"/>
      </w:pPr>
      <w:r>
        <w:rPr>
          <w:color w:val="231F20"/>
          <w:w w:val="105"/>
        </w:rPr>
        <w:t>Existe una extensa literatura que relaciona la presencia de un</w:t>
      </w:r>
      <w:r>
        <w:rPr>
          <w:color w:val="231F20"/>
          <w:spacing w:val="-16"/>
          <w:w w:val="105"/>
        </w:rPr>
        <w:t> </w:t>
      </w:r>
      <w:r>
        <w:rPr>
          <w:color w:val="231F20"/>
          <w:w w:val="105"/>
        </w:rPr>
        <w:t>re- curso natural abundante y el papel de las instituciones; en tanto que</w:t>
      </w:r>
      <w:r>
        <w:rPr>
          <w:color w:val="231F20"/>
          <w:spacing w:val="-38"/>
          <w:w w:val="105"/>
        </w:rPr>
        <w:t> </w:t>
      </w:r>
      <w:r>
        <w:rPr>
          <w:color w:val="231F20"/>
          <w:w w:val="105"/>
        </w:rPr>
        <w:t>se ha</w:t>
      </w:r>
      <w:r>
        <w:rPr>
          <w:color w:val="231F20"/>
          <w:spacing w:val="-21"/>
          <w:w w:val="105"/>
        </w:rPr>
        <w:t> </w:t>
      </w:r>
      <w:r>
        <w:rPr>
          <w:color w:val="231F20"/>
          <w:w w:val="105"/>
        </w:rPr>
        <w:t>mencionado</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w w:val="105"/>
        </w:rPr>
        <w:t>recursos</w:t>
      </w:r>
      <w:r>
        <w:rPr>
          <w:color w:val="231F20"/>
          <w:spacing w:val="-21"/>
          <w:w w:val="105"/>
        </w:rPr>
        <w:t> </w:t>
      </w:r>
      <w:r>
        <w:rPr>
          <w:color w:val="231F20"/>
          <w:w w:val="105"/>
        </w:rPr>
        <w:t>naturales</w:t>
      </w:r>
      <w:r>
        <w:rPr>
          <w:color w:val="231F20"/>
          <w:spacing w:val="-21"/>
          <w:w w:val="105"/>
        </w:rPr>
        <w:t> </w:t>
      </w:r>
      <w:r>
        <w:rPr>
          <w:color w:val="231F20"/>
          <w:w w:val="105"/>
        </w:rPr>
        <w:t>son</w:t>
      </w:r>
      <w:r>
        <w:rPr>
          <w:color w:val="231F20"/>
          <w:spacing w:val="-21"/>
          <w:w w:val="105"/>
        </w:rPr>
        <w:t> </w:t>
      </w:r>
      <w:r>
        <w:rPr>
          <w:color w:val="231F20"/>
          <w:w w:val="105"/>
        </w:rPr>
        <w:t>una</w:t>
      </w:r>
      <w:r>
        <w:rPr>
          <w:color w:val="231F20"/>
          <w:spacing w:val="-21"/>
          <w:w w:val="105"/>
        </w:rPr>
        <w:t> </w:t>
      </w:r>
      <w:r>
        <w:rPr>
          <w:color w:val="231F20"/>
          <w:w w:val="105"/>
        </w:rPr>
        <w:t>especie</w:t>
      </w:r>
      <w:r>
        <w:rPr>
          <w:color w:val="231F20"/>
          <w:spacing w:val="-21"/>
          <w:w w:val="105"/>
        </w:rPr>
        <w:t> </w:t>
      </w:r>
      <w:r>
        <w:rPr>
          <w:color w:val="231F20"/>
          <w:w w:val="105"/>
        </w:rPr>
        <w:t>de</w:t>
      </w:r>
      <w:r>
        <w:rPr>
          <w:color w:val="231F20"/>
          <w:spacing w:val="-21"/>
          <w:w w:val="105"/>
        </w:rPr>
        <w:t> </w:t>
      </w:r>
      <w:r>
        <w:rPr>
          <w:color w:val="231F20"/>
          <w:w w:val="105"/>
        </w:rPr>
        <w:t>maldición económica</w:t>
      </w:r>
      <w:r>
        <w:rPr>
          <w:color w:val="231F20"/>
          <w:spacing w:val="-25"/>
          <w:w w:val="105"/>
        </w:rPr>
        <w:t> </w:t>
      </w:r>
      <w:r>
        <w:rPr>
          <w:color w:val="231F20"/>
          <w:w w:val="105"/>
        </w:rPr>
        <w:t>para</w:t>
      </w:r>
      <w:r>
        <w:rPr>
          <w:color w:val="231F20"/>
          <w:spacing w:val="-25"/>
          <w:w w:val="105"/>
        </w:rPr>
        <w:t> </w:t>
      </w:r>
      <w:r>
        <w:rPr>
          <w:color w:val="231F20"/>
          <w:w w:val="105"/>
        </w:rPr>
        <w:t>los</w:t>
      </w:r>
      <w:r>
        <w:rPr>
          <w:color w:val="231F20"/>
          <w:spacing w:val="-25"/>
          <w:w w:val="105"/>
        </w:rPr>
        <w:t> </w:t>
      </w:r>
      <w:r>
        <w:rPr>
          <w:color w:val="231F20"/>
          <w:w w:val="105"/>
        </w:rPr>
        <w:t>países,</w:t>
      </w:r>
      <w:r>
        <w:rPr>
          <w:color w:val="231F20"/>
          <w:spacing w:val="-30"/>
          <w:w w:val="105"/>
        </w:rPr>
        <w:t> </w:t>
      </w:r>
      <w:r>
        <w:rPr>
          <w:color w:val="231F20"/>
          <w:w w:val="105"/>
        </w:rPr>
        <w:t>también</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encontrado</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w w:val="105"/>
        </w:rPr>
        <w:t>papel</w:t>
      </w:r>
      <w:r>
        <w:rPr>
          <w:color w:val="231F20"/>
          <w:spacing w:val="-25"/>
          <w:w w:val="105"/>
        </w:rPr>
        <w:t> </w:t>
      </w:r>
      <w:r>
        <w:rPr>
          <w:color w:val="231F20"/>
          <w:w w:val="105"/>
        </w:rPr>
        <w:t>de</w:t>
      </w:r>
      <w:r>
        <w:rPr>
          <w:color w:val="231F20"/>
          <w:spacing w:val="-25"/>
          <w:w w:val="105"/>
        </w:rPr>
        <w:t> </w:t>
      </w:r>
      <w:r>
        <w:rPr>
          <w:color w:val="231F20"/>
          <w:w w:val="105"/>
        </w:rPr>
        <w:t>las instituciones</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factor</w:t>
      </w:r>
      <w:r>
        <w:rPr>
          <w:color w:val="231F20"/>
          <w:spacing w:val="-7"/>
          <w:w w:val="105"/>
        </w:rPr>
        <w:t> </w:t>
      </w:r>
      <w:r>
        <w:rPr>
          <w:color w:val="231F20"/>
          <w:w w:val="105"/>
        </w:rPr>
        <w:t>determinante</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maldición</w:t>
      </w:r>
      <w:r>
        <w:rPr>
          <w:color w:val="231F20"/>
          <w:spacing w:val="-7"/>
          <w:w w:val="105"/>
        </w:rPr>
        <w:t> </w:t>
      </w:r>
      <w:r>
        <w:rPr>
          <w:color w:val="231F20"/>
          <w:w w:val="105"/>
        </w:rPr>
        <w:t>o</w:t>
      </w:r>
      <w:r>
        <w:rPr>
          <w:color w:val="231F20"/>
          <w:spacing w:val="-7"/>
          <w:w w:val="105"/>
        </w:rPr>
        <w:t> </w:t>
      </w:r>
      <w:r>
        <w:rPr>
          <w:color w:val="231F20"/>
          <w:w w:val="105"/>
        </w:rPr>
        <w:t>bendición</w:t>
      </w:r>
      <w:r>
        <w:rPr>
          <w:color w:val="231F20"/>
          <w:spacing w:val="-7"/>
          <w:w w:val="105"/>
        </w:rPr>
        <w:t> </w:t>
      </w:r>
      <w:r>
        <w:rPr>
          <w:color w:val="231F20"/>
          <w:w w:val="105"/>
        </w:rPr>
        <w:t>del </w:t>
      </w:r>
      <w:r>
        <w:rPr>
          <w:color w:val="231F20"/>
        </w:rPr>
        <w:t>recurso</w:t>
      </w:r>
      <w:r>
        <w:rPr>
          <w:color w:val="231F20"/>
          <w:spacing w:val="21"/>
        </w:rPr>
        <w:t> </w:t>
      </w:r>
      <w:r>
        <w:rPr>
          <w:color w:val="231F20"/>
        </w:rPr>
        <w:t>natural.</w:t>
      </w:r>
    </w:p>
    <w:p>
      <w:pPr>
        <w:pStyle w:val="BodyText"/>
        <w:spacing w:line="259" w:lineRule="auto"/>
        <w:ind w:left="103" w:right="110" w:firstLine="567"/>
        <w:jc w:val="both"/>
      </w:pPr>
      <w:r>
        <w:rPr>
          <w:color w:val="231F20"/>
          <w:spacing w:val="-4"/>
          <w:w w:val="105"/>
        </w:rPr>
        <w:t>Para </w:t>
      </w:r>
      <w:r>
        <w:rPr>
          <w:color w:val="231F20"/>
          <w:w w:val="105"/>
        </w:rPr>
        <w:t>la justificación institucional sobre la implementación de una regla</w:t>
      </w:r>
      <w:r>
        <w:rPr>
          <w:color w:val="231F20"/>
          <w:spacing w:val="-20"/>
          <w:w w:val="105"/>
        </w:rPr>
        <w:t> </w:t>
      </w:r>
      <w:r>
        <w:rPr>
          <w:color w:val="231F20"/>
          <w:w w:val="105"/>
        </w:rPr>
        <w:t>fiscal</w:t>
      </w:r>
      <w:r>
        <w:rPr>
          <w:color w:val="231F20"/>
          <w:spacing w:val="-20"/>
          <w:w w:val="105"/>
        </w:rPr>
        <w:t> </w:t>
      </w:r>
      <w:r>
        <w:rPr>
          <w:color w:val="231F20"/>
          <w:w w:val="105"/>
        </w:rPr>
        <w:t>y</w:t>
      </w:r>
      <w:r>
        <w:rPr>
          <w:color w:val="231F20"/>
          <w:spacing w:val="-20"/>
          <w:w w:val="105"/>
        </w:rPr>
        <w:t> </w:t>
      </w:r>
      <w:r>
        <w:rPr>
          <w:color w:val="231F20"/>
          <w:w w:val="105"/>
        </w:rPr>
        <w:t>con</w:t>
      </w:r>
      <w:r>
        <w:rPr>
          <w:color w:val="231F20"/>
          <w:spacing w:val="-20"/>
          <w:w w:val="105"/>
        </w:rPr>
        <w:t> </w:t>
      </w:r>
      <w:r>
        <w:rPr>
          <w:color w:val="231F20"/>
          <w:w w:val="105"/>
        </w:rPr>
        <w:t>base</w:t>
      </w:r>
      <w:r>
        <w:rPr>
          <w:color w:val="231F20"/>
          <w:spacing w:val="-20"/>
          <w:w w:val="105"/>
        </w:rPr>
        <w:t> </w:t>
      </w:r>
      <w:r>
        <w:rPr>
          <w:color w:val="231F20"/>
          <w:w w:val="105"/>
        </w:rPr>
        <w:t>en</w:t>
      </w:r>
      <w:r>
        <w:rPr>
          <w:color w:val="231F20"/>
          <w:spacing w:val="-20"/>
          <w:w w:val="105"/>
        </w:rPr>
        <w:t> </w:t>
      </w:r>
      <w:r>
        <w:rPr>
          <w:color w:val="231F20"/>
          <w:w w:val="105"/>
        </w:rPr>
        <w:t>argumentos</w:t>
      </w:r>
      <w:r>
        <w:rPr>
          <w:color w:val="231F20"/>
          <w:spacing w:val="-20"/>
          <w:w w:val="105"/>
        </w:rPr>
        <w:t> </w:t>
      </w:r>
      <w:r>
        <w:rPr>
          <w:color w:val="231F20"/>
          <w:w w:val="105"/>
        </w:rPr>
        <w:t>clásicos</w:t>
      </w:r>
      <w:r>
        <w:rPr>
          <w:color w:val="231F20"/>
          <w:spacing w:val="-20"/>
          <w:w w:val="105"/>
        </w:rPr>
        <w:t> </w:t>
      </w:r>
      <w:r>
        <w:rPr>
          <w:color w:val="231F20"/>
          <w:w w:val="105"/>
        </w:rPr>
        <w:t>como</w:t>
      </w:r>
      <w:r>
        <w:rPr>
          <w:color w:val="231F20"/>
          <w:spacing w:val="-20"/>
          <w:w w:val="105"/>
        </w:rPr>
        <w:t> </w:t>
      </w:r>
      <w:r>
        <w:rPr>
          <w:color w:val="231F20"/>
          <w:w w:val="105"/>
        </w:rPr>
        <w:t>el</w:t>
      </w:r>
      <w:r>
        <w:rPr>
          <w:color w:val="231F20"/>
          <w:spacing w:val="-20"/>
          <w:w w:val="105"/>
        </w:rPr>
        <w:t> </w:t>
      </w:r>
      <w:r>
        <w:rPr>
          <w:color w:val="231F20"/>
          <w:w w:val="105"/>
        </w:rPr>
        <w:t>de</w:t>
      </w:r>
      <w:r>
        <w:rPr>
          <w:color w:val="231F20"/>
          <w:spacing w:val="-20"/>
          <w:w w:val="105"/>
        </w:rPr>
        <w:t> </w:t>
      </w:r>
      <w:r>
        <w:rPr>
          <w:color w:val="231F20"/>
          <w:w w:val="105"/>
        </w:rPr>
        <w:t>Coase</w:t>
      </w:r>
      <w:r>
        <w:rPr>
          <w:color w:val="231F20"/>
          <w:spacing w:val="-20"/>
          <w:w w:val="105"/>
        </w:rPr>
        <w:t> </w:t>
      </w:r>
      <w:r>
        <w:rPr>
          <w:color w:val="231F20"/>
          <w:w w:val="105"/>
        </w:rPr>
        <w:t>(1937), quien cuestiona por qué unas organizaciones son más eficientes que otras, la respuesta se basa en la mejor organización económica, y por tanto</w:t>
      </w:r>
      <w:r>
        <w:rPr>
          <w:color w:val="231F20"/>
          <w:spacing w:val="-10"/>
          <w:w w:val="105"/>
        </w:rPr>
        <w:t> </w:t>
      </w:r>
      <w:r>
        <w:rPr>
          <w:color w:val="231F20"/>
          <w:w w:val="105"/>
        </w:rPr>
        <w:t>más</w:t>
      </w:r>
      <w:r>
        <w:rPr>
          <w:color w:val="231F20"/>
          <w:spacing w:val="-10"/>
          <w:w w:val="105"/>
        </w:rPr>
        <w:t> </w:t>
      </w:r>
      <w:r>
        <w:rPr>
          <w:color w:val="231F20"/>
          <w:w w:val="105"/>
        </w:rPr>
        <w:t>eficiente.</w:t>
      </w:r>
      <w:r>
        <w:rPr>
          <w:color w:val="231F20"/>
          <w:spacing w:val="-16"/>
          <w:w w:val="105"/>
        </w:rPr>
        <w:t> </w:t>
      </w:r>
      <w:r>
        <w:rPr>
          <w:color w:val="231F20"/>
          <w:w w:val="105"/>
        </w:rPr>
        <w:t>Las</w:t>
      </w:r>
      <w:r>
        <w:rPr>
          <w:color w:val="231F20"/>
          <w:spacing w:val="-10"/>
          <w:w w:val="105"/>
        </w:rPr>
        <w:t> </w:t>
      </w:r>
      <w:r>
        <w:rPr>
          <w:color w:val="231F20"/>
          <w:w w:val="105"/>
        </w:rPr>
        <w:t>posturas</w:t>
      </w:r>
      <w:r>
        <w:rPr>
          <w:color w:val="231F20"/>
          <w:spacing w:val="-10"/>
          <w:w w:val="105"/>
        </w:rPr>
        <w:t> </w:t>
      </w:r>
      <w:r>
        <w:rPr>
          <w:color w:val="231F20"/>
          <w:w w:val="105"/>
        </w:rPr>
        <w:t>teóricas</w:t>
      </w:r>
      <w:r>
        <w:rPr>
          <w:color w:val="231F20"/>
          <w:spacing w:val="-10"/>
          <w:w w:val="105"/>
        </w:rPr>
        <w:t> </w:t>
      </w:r>
      <w:r>
        <w:rPr>
          <w:color w:val="231F20"/>
          <w:w w:val="105"/>
        </w:rPr>
        <w:t>como</w:t>
      </w:r>
      <w:r>
        <w:rPr>
          <w:color w:val="231F20"/>
          <w:spacing w:val="-10"/>
          <w:w w:val="105"/>
        </w:rPr>
        <w:t> </w:t>
      </w:r>
      <w:r>
        <w:rPr>
          <w:color w:val="231F20"/>
          <w:w w:val="105"/>
        </w:rPr>
        <w:t>el</w:t>
      </w:r>
      <w:r>
        <w:rPr>
          <w:color w:val="231F20"/>
          <w:spacing w:val="-10"/>
          <w:w w:val="105"/>
        </w:rPr>
        <w:t> </w:t>
      </w:r>
      <w:r>
        <w:rPr>
          <w:color w:val="231F20"/>
          <w:w w:val="105"/>
        </w:rPr>
        <w:t>nuevo</w:t>
      </w:r>
      <w:r>
        <w:rPr>
          <w:color w:val="231F20"/>
          <w:spacing w:val="-10"/>
          <w:w w:val="105"/>
        </w:rPr>
        <w:t> </w:t>
      </w:r>
      <w:r>
        <w:rPr>
          <w:color w:val="231F20"/>
          <w:w w:val="105"/>
        </w:rPr>
        <w:t>institucionalis- mo</w:t>
      </w:r>
      <w:r>
        <w:rPr>
          <w:color w:val="231F20"/>
          <w:spacing w:val="-12"/>
          <w:w w:val="105"/>
        </w:rPr>
        <w:t> </w:t>
      </w:r>
      <w:r>
        <w:rPr>
          <w:color w:val="231F20"/>
          <w:w w:val="105"/>
        </w:rPr>
        <w:t>económico</w:t>
      </w:r>
      <w:r>
        <w:rPr>
          <w:color w:val="231F20"/>
          <w:spacing w:val="-12"/>
          <w:w w:val="105"/>
        </w:rPr>
        <w:t> </w:t>
      </w:r>
      <w:r>
        <w:rPr>
          <w:color w:val="231F20"/>
          <w:w w:val="105"/>
        </w:rPr>
        <w:t>(NIE)</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costos</w:t>
      </w:r>
      <w:r>
        <w:rPr>
          <w:color w:val="231F20"/>
          <w:spacing w:val="-12"/>
          <w:w w:val="105"/>
        </w:rPr>
        <w:t> </w:t>
      </w:r>
      <w:r>
        <w:rPr>
          <w:color w:val="231F20"/>
          <w:w w:val="105"/>
        </w:rPr>
        <w:t>de</w:t>
      </w:r>
      <w:r>
        <w:rPr>
          <w:color w:val="231F20"/>
          <w:spacing w:val="-12"/>
          <w:w w:val="105"/>
        </w:rPr>
        <w:t> </w:t>
      </w:r>
      <w:r>
        <w:rPr>
          <w:color w:val="231F20"/>
          <w:w w:val="105"/>
        </w:rPr>
        <w:t>transacción</w:t>
      </w:r>
      <w:r>
        <w:rPr>
          <w:color w:val="231F20"/>
          <w:spacing w:val="-12"/>
          <w:w w:val="105"/>
        </w:rPr>
        <w:t> </w:t>
      </w:r>
      <w:r>
        <w:rPr>
          <w:color w:val="231F20"/>
          <w:w w:val="105"/>
        </w:rPr>
        <w:t>económicos</w:t>
      </w:r>
      <w:r>
        <w:rPr>
          <w:color w:val="231F20"/>
          <w:spacing w:val="-12"/>
          <w:w w:val="105"/>
        </w:rPr>
        <w:t> </w:t>
      </w:r>
      <w:r>
        <w:rPr>
          <w:color w:val="231F20"/>
          <w:w w:val="105"/>
        </w:rPr>
        <w:t>(CTE),</w:t>
      </w:r>
      <w:r>
        <w:rPr>
          <w:color w:val="231F20"/>
          <w:spacing w:val="-17"/>
          <w:w w:val="105"/>
        </w:rPr>
        <w:t> </w:t>
      </w:r>
      <w:r>
        <w:rPr>
          <w:color w:val="231F20"/>
          <w:w w:val="105"/>
        </w:rPr>
        <w:t>ex- plican</w:t>
      </w:r>
      <w:r>
        <w:rPr>
          <w:color w:val="231F20"/>
          <w:spacing w:val="-27"/>
          <w:w w:val="105"/>
        </w:rPr>
        <w:t> </w:t>
      </w:r>
      <w:r>
        <w:rPr>
          <w:color w:val="231F20"/>
          <w:w w:val="105"/>
        </w:rPr>
        <w:t>la</w:t>
      </w:r>
      <w:r>
        <w:rPr>
          <w:color w:val="231F20"/>
          <w:spacing w:val="-27"/>
          <w:w w:val="105"/>
        </w:rPr>
        <w:t> </w:t>
      </w:r>
      <w:r>
        <w:rPr>
          <w:color w:val="231F20"/>
          <w:w w:val="105"/>
        </w:rPr>
        <w:t>existencia</w:t>
      </w:r>
      <w:r>
        <w:rPr>
          <w:color w:val="231F20"/>
          <w:spacing w:val="-27"/>
          <w:w w:val="105"/>
        </w:rPr>
        <w:t> </w:t>
      </w:r>
      <w:r>
        <w:rPr>
          <w:color w:val="231F20"/>
          <w:w w:val="105"/>
        </w:rPr>
        <w:t>de</w:t>
      </w:r>
      <w:r>
        <w:rPr>
          <w:color w:val="231F20"/>
          <w:spacing w:val="-27"/>
          <w:w w:val="105"/>
        </w:rPr>
        <w:t> </w:t>
      </w:r>
      <w:r>
        <w:rPr>
          <w:color w:val="231F20"/>
          <w:w w:val="105"/>
        </w:rPr>
        <w:t>instituciones</w:t>
      </w:r>
      <w:r>
        <w:rPr>
          <w:color w:val="231F20"/>
          <w:spacing w:val="-27"/>
          <w:w w:val="105"/>
        </w:rPr>
        <w:t> </w:t>
      </w:r>
      <w:r>
        <w:rPr>
          <w:color w:val="231F20"/>
          <w:w w:val="105"/>
        </w:rPr>
        <w:t>económicamente</w:t>
      </w:r>
      <w:r>
        <w:rPr>
          <w:color w:val="231F20"/>
          <w:spacing w:val="-27"/>
          <w:w w:val="105"/>
        </w:rPr>
        <w:t> </w:t>
      </w:r>
      <w:r>
        <w:rPr>
          <w:color w:val="231F20"/>
          <w:w w:val="105"/>
        </w:rPr>
        <w:t>eficientes</w:t>
      </w:r>
      <w:r>
        <w:rPr>
          <w:color w:val="231F20"/>
          <w:spacing w:val="-27"/>
          <w:w w:val="105"/>
        </w:rPr>
        <w:t> </w:t>
      </w:r>
      <w:r>
        <w:rPr>
          <w:color w:val="231F20"/>
          <w:w w:val="105"/>
        </w:rPr>
        <w:t>según</w:t>
      </w:r>
      <w:r>
        <w:rPr>
          <w:color w:val="231F20"/>
          <w:spacing w:val="-27"/>
          <w:w w:val="105"/>
        </w:rPr>
        <w:t> </w:t>
      </w:r>
      <w:r>
        <w:rPr>
          <w:color w:val="231F20"/>
          <w:w w:val="105"/>
        </w:rPr>
        <w:t>su rol</w:t>
      </w:r>
      <w:r>
        <w:rPr>
          <w:color w:val="231F20"/>
          <w:spacing w:val="-11"/>
          <w:w w:val="105"/>
        </w:rPr>
        <w:t> </w:t>
      </w:r>
      <w:r>
        <w:rPr>
          <w:color w:val="231F20"/>
          <w:w w:val="105"/>
        </w:rPr>
        <w:t>de</w:t>
      </w:r>
      <w:r>
        <w:rPr>
          <w:color w:val="231F20"/>
          <w:spacing w:val="-11"/>
          <w:w w:val="105"/>
        </w:rPr>
        <w:t> </w:t>
      </w:r>
      <w:r>
        <w:rPr>
          <w:color w:val="231F20"/>
          <w:w w:val="105"/>
        </w:rPr>
        <w:t>maximizar</w:t>
      </w:r>
      <w:r>
        <w:rPr>
          <w:color w:val="231F20"/>
          <w:spacing w:val="-11"/>
          <w:w w:val="105"/>
        </w:rPr>
        <w:t> </w:t>
      </w:r>
      <w:r>
        <w:rPr>
          <w:color w:val="231F20"/>
          <w:w w:val="105"/>
        </w:rPr>
        <w:t>los</w:t>
      </w:r>
      <w:r>
        <w:rPr>
          <w:color w:val="231F20"/>
          <w:spacing w:val="-11"/>
          <w:w w:val="105"/>
        </w:rPr>
        <w:t> </w:t>
      </w:r>
      <w:r>
        <w:rPr>
          <w:color w:val="231F20"/>
          <w:w w:val="105"/>
        </w:rPr>
        <w:t>beneficios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sociedad</w:t>
      </w:r>
      <w:r>
        <w:rPr>
          <w:color w:val="231F20"/>
          <w:spacing w:val="-11"/>
          <w:w w:val="105"/>
        </w:rPr>
        <w:t> </w:t>
      </w:r>
      <w:r>
        <w:rPr>
          <w:color w:val="231F20"/>
          <w:w w:val="105"/>
        </w:rPr>
        <w:t>o</w:t>
      </w:r>
      <w:r>
        <w:rPr>
          <w:color w:val="231F20"/>
          <w:spacing w:val="-11"/>
          <w:w w:val="105"/>
        </w:rPr>
        <w:t> </w:t>
      </w:r>
      <w:r>
        <w:rPr>
          <w:color w:val="231F20"/>
          <w:w w:val="105"/>
        </w:rPr>
        <w:t>minimizar</w:t>
      </w:r>
      <w:r>
        <w:rPr>
          <w:color w:val="231F20"/>
          <w:spacing w:val="-11"/>
          <w:w w:val="105"/>
        </w:rPr>
        <w:t> </w:t>
      </w:r>
      <w:r>
        <w:rPr>
          <w:color w:val="231F20"/>
          <w:w w:val="105"/>
        </w:rPr>
        <w:t>los</w:t>
      </w:r>
      <w:r>
        <w:rPr>
          <w:color w:val="231F20"/>
          <w:spacing w:val="-11"/>
          <w:w w:val="105"/>
        </w:rPr>
        <w:t> </w:t>
      </w:r>
      <w:r>
        <w:rPr>
          <w:color w:val="231F20"/>
          <w:w w:val="105"/>
        </w:rPr>
        <w:t>costos</w:t>
      </w:r>
      <w:r>
        <w:rPr>
          <w:color w:val="231F20"/>
          <w:spacing w:val="-11"/>
          <w:w w:val="105"/>
        </w:rPr>
        <w:t> </w:t>
      </w:r>
      <w:r>
        <w:rPr>
          <w:color w:val="231F20"/>
          <w:w w:val="105"/>
        </w:rPr>
        <w:t>de transacción</w:t>
      </w:r>
      <w:r>
        <w:rPr>
          <w:color w:val="231F20"/>
          <w:spacing w:val="-23"/>
          <w:w w:val="105"/>
        </w:rPr>
        <w:t> </w:t>
      </w:r>
      <w:r>
        <w:rPr>
          <w:color w:val="231F20"/>
          <w:w w:val="105"/>
        </w:rPr>
        <w:t>para</w:t>
      </w:r>
      <w:r>
        <w:rPr>
          <w:color w:val="231F20"/>
          <w:spacing w:val="-23"/>
          <w:w w:val="105"/>
        </w:rPr>
        <w:t> </w:t>
      </w:r>
      <w:r>
        <w:rPr>
          <w:color w:val="231F20"/>
          <w:w w:val="105"/>
        </w:rPr>
        <w:t>la</w:t>
      </w:r>
      <w:r>
        <w:rPr>
          <w:color w:val="231F20"/>
          <w:spacing w:val="-23"/>
          <w:w w:val="105"/>
        </w:rPr>
        <w:t> </w:t>
      </w:r>
      <w:r>
        <w:rPr>
          <w:color w:val="231F20"/>
          <w:w w:val="105"/>
        </w:rPr>
        <w:t>asignación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recursos</w:t>
      </w:r>
      <w:r>
        <w:rPr>
          <w:color w:val="231F20"/>
          <w:spacing w:val="-23"/>
          <w:w w:val="105"/>
        </w:rPr>
        <w:t> </w:t>
      </w:r>
      <w:r>
        <w:rPr>
          <w:color w:val="231F20"/>
          <w:w w:val="105"/>
        </w:rPr>
        <w:t>económicos,</w:t>
      </w:r>
      <w:r>
        <w:rPr>
          <w:color w:val="231F20"/>
          <w:spacing w:val="-27"/>
          <w:w w:val="105"/>
        </w:rPr>
        <w:t> </w:t>
      </w:r>
      <w:r>
        <w:rPr>
          <w:color w:val="231F20"/>
          <w:w w:val="105"/>
        </w:rPr>
        <w:t>en</w:t>
      </w:r>
      <w:r>
        <w:rPr>
          <w:color w:val="231F20"/>
          <w:spacing w:val="-23"/>
          <w:w w:val="105"/>
        </w:rPr>
        <w:t> </w:t>
      </w:r>
      <w:r>
        <w:rPr>
          <w:color w:val="231F20"/>
          <w:w w:val="105"/>
        </w:rPr>
        <w:t>este</w:t>
      </w:r>
      <w:r>
        <w:rPr>
          <w:color w:val="231F20"/>
          <w:spacing w:val="-23"/>
          <w:w w:val="105"/>
        </w:rPr>
        <w:t> </w:t>
      </w:r>
      <w:r>
        <w:rPr>
          <w:color w:val="231F20"/>
          <w:w w:val="105"/>
        </w:rPr>
        <w:t>caso los</w:t>
      </w:r>
      <w:r>
        <w:rPr>
          <w:color w:val="231F20"/>
          <w:spacing w:val="-24"/>
          <w:w w:val="105"/>
        </w:rPr>
        <w:t> </w:t>
      </w:r>
      <w:r>
        <w:rPr>
          <w:color w:val="231F20"/>
          <w:w w:val="105"/>
        </w:rPr>
        <w:t>ingresos</w:t>
      </w:r>
      <w:r>
        <w:rPr>
          <w:color w:val="231F20"/>
          <w:spacing w:val="-24"/>
          <w:w w:val="105"/>
        </w:rPr>
        <w:t> </w:t>
      </w:r>
      <w:r>
        <w:rPr>
          <w:color w:val="231F20"/>
          <w:w w:val="105"/>
        </w:rPr>
        <w:t>del</w:t>
      </w:r>
      <w:r>
        <w:rPr>
          <w:color w:val="231F20"/>
          <w:spacing w:val="-24"/>
          <w:w w:val="105"/>
        </w:rPr>
        <w:t> </w:t>
      </w:r>
      <w:r>
        <w:rPr>
          <w:color w:val="231F20"/>
          <w:w w:val="105"/>
        </w:rPr>
        <w:t>recurso</w:t>
      </w:r>
      <w:r>
        <w:rPr>
          <w:color w:val="231F20"/>
          <w:spacing w:val="-24"/>
          <w:w w:val="105"/>
        </w:rPr>
        <w:t> </w:t>
      </w:r>
      <w:r>
        <w:rPr>
          <w:color w:val="231F20"/>
          <w:w w:val="105"/>
        </w:rPr>
        <w:t>natural.</w:t>
      </w:r>
    </w:p>
    <w:p>
      <w:pPr>
        <w:pStyle w:val="BodyText"/>
        <w:rPr>
          <w:sz w:val="20"/>
        </w:rPr>
      </w:pPr>
    </w:p>
    <w:p>
      <w:pPr>
        <w:pStyle w:val="BodyText"/>
        <w:rPr>
          <w:sz w:val="20"/>
        </w:rPr>
      </w:pPr>
    </w:p>
    <w:p>
      <w:pPr>
        <w:pStyle w:val="BodyText"/>
        <w:rPr>
          <w:sz w:val="20"/>
        </w:rPr>
      </w:pPr>
    </w:p>
    <w:p>
      <w:pPr>
        <w:pStyle w:val="BodyText"/>
        <w:spacing w:before="5"/>
        <w:rPr>
          <w:sz w:val="17"/>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41120"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188</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410" w:right="-12" w:firstLine="338"/>
        <w:jc w:val="left"/>
        <w:rPr>
          <w:rFonts w:ascii="Lucida Sans Unicode" w:hAnsi="Lucida Sans Unicode"/>
          <w:sz w:val="14"/>
        </w:rPr>
      </w:pPr>
      <w:r>
        <w:rPr/>
        <w:pict>
          <v:line style="position:absolute;mso-position-horizontal-relative:page;mso-position-vertical-relative:paragraph;z-index:6832"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189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line="259" w:lineRule="auto" w:before="173"/>
        <w:ind w:left="117" w:right="121"/>
        <w:jc w:val="both"/>
      </w:pPr>
      <w:r>
        <w:rPr>
          <w:color w:val="231F20"/>
          <w:w w:val="105"/>
        </w:rPr>
        <w:t>De</w:t>
      </w:r>
      <w:r>
        <w:rPr>
          <w:color w:val="231F20"/>
          <w:spacing w:val="-24"/>
          <w:w w:val="105"/>
        </w:rPr>
        <w:t> </w:t>
      </w:r>
      <w:r>
        <w:rPr>
          <w:color w:val="231F20"/>
          <w:spacing w:val="-3"/>
          <w:w w:val="105"/>
        </w:rPr>
        <w:t>forma</w:t>
      </w:r>
      <w:r>
        <w:rPr>
          <w:color w:val="231F20"/>
          <w:spacing w:val="-24"/>
          <w:w w:val="105"/>
        </w:rPr>
        <w:t> </w:t>
      </w:r>
      <w:r>
        <w:rPr>
          <w:color w:val="231F20"/>
          <w:spacing w:val="-3"/>
          <w:w w:val="105"/>
        </w:rPr>
        <w:t>adicional,</w:t>
      </w:r>
      <w:r>
        <w:rPr>
          <w:color w:val="231F20"/>
          <w:spacing w:val="-29"/>
          <w:w w:val="105"/>
        </w:rPr>
        <w:t> </w:t>
      </w:r>
      <w:r>
        <w:rPr>
          <w:color w:val="231F20"/>
          <w:w w:val="105"/>
        </w:rPr>
        <w:t>los</w:t>
      </w:r>
      <w:r>
        <w:rPr>
          <w:color w:val="231F20"/>
          <w:spacing w:val="-24"/>
          <w:w w:val="105"/>
        </w:rPr>
        <w:t> </w:t>
      </w:r>
      <w:r>
        <w:rPr>
          <w:color w:val="231F20"/>
          <w:spacing w:val="-3"/>
          <w:w w:val="105"/>
        </w:rPr>
        <w:t>gobiernos</w:t>
      </w:r>
      <w:r>
        <w:rPr>
          <w:color w:val="231F20"/>
          <w:spacing w:val="-24"/>
          <w:w w:val="105"/>
        </w:rPr>
        <w:t> </w:t>
      </w:r>
      <w:r>
        <w:rPr>
          <w:color w:val="231F20"/>
          <w:w w:val="105"/>
        </w:rPr>
        <w:t>no</w:t>
      </w:r>
      <w:r>
        <w:rPr>
          <w:color w:val="231F20"/>
          <w:spacing w:val="-24"/>
          <w:w w:val="105"/>
        </w:rPr>
        <w:t> </w:t>
      </w:r>
      <w:r>
        <w:rPr>
          <w:color w:val="231F20"/>
          <w:spacing w:val="-3"/>
          <w:w w:val="105"/>
        </w:rPr>
        <w:t>implementan</w:t>
      </w:r>
      <w:r>
        <w:rPr>
          <w:color w:val="231F20"/>
          <w:spacing w:val="-24"/>
          <w:w w:val="105"/>
        </w:rPr>
        <w:t> </w:t>
      </w:r>
      <w:r>
        <w:rPr>
          <w:color w:val="231F20"/>
          <w:spacing w:val="-3"/>
          <w:w w:val="105"/>
        </w:rPr>
        <w:t>reglas</w:t>
      </w:r>
      <w:r>
        <w:rPr>
          <w:color w:val="231F20"/>
          <w:spacing w:val="-24"/>
          <w:w w:val="105"/>
        </w:rPr>
        <w:t> </w:t>
      </w:r>
      <w:r>
        <w:rPr>
          <w:color w:val="231F20"/>
          <w:spacing w:val="-3"/>
          <w:w w:val="105"/>
        </w:rPr>
        <w:t>fiscales</w:t>
      </w:r>
      <w:r>
        <w:rPr>
          <w:color w:val="231F20"/>
          <w:spacing w:val="-24"/>
          <w:w w:val="105"/>
        </w:rPr>
        <w:t> </w:t>
      </w:r>
      <w:r>
        <w:rPr>
          <w:color w:val="231F20"/>
          <w:spacing w:val="-3"/>
          <w:w w:val="105"/>
        </w:rPr>
        <w:t>para</w:t>
      </w:r>
      <w:r>
        <w:rPr>
          <w:color w:val="231F20"/>
          <w:spacing w:val="-24"/>
          <w:w w:val="105"/>
        </w:rPr>
        <w:t> </w:t>
      </w:r>
      <w:r>
        <w:rPr>
          <w:color w:val="231F20"/>
          <w:spacing w:val="-3"/>
          <w:w w:val="105"/>
        </w:rPr>
        <w:t>evi- </w:t>
      </w:r>
      <w:r>
        <w:rPr>
          <w:color w:val="231F20"/>
          <w:w w:val="105"/>
        </w:rPr>
        <w:t>tar </w:t>
      </w:r>
      <w:r>
        <w:rPr>
          <w:color w:val="231F20"/>
          <w:spacing w:val="-3"/>
          <w:w w:val="105"/>
        </w:rPr>
        <w:t>eliminar </w:t>
      </w:r>
      <w:r>
        <w:rPr>
          <w:color w:val="231F20"/>
          <w:w w:val="105"/>
        </w:rPr>
        <w:t>el </w:t>
      </w:r>
      <w:r>
        <w:rPr>
          <w:color w:val="231F20"/>
          <w:spacing w:val="-3"/>
          <w:w w:val="105"/>
        </w:rPr>
        <w:t>oportunismo </w:t>
      </w:r>
      <w:r>
        <w:rPr>
          <w:color w:val="231F20"/>
          <w:w w:val="105"/>
        </w:rPr>
        <w:t>de </w:t>
      </w:r>
      <w:r>
        <w:rPr>
          <w:color w:val="231F20"/>
          <w:spacing w:val="-3"/>
          <w:w w:val="105"/>
        </w:rPr>
        <w:t>maximizar </w:t>
      </w:r>
      <w:r>
        <w:rPr>
          <w:color w:val="231F20"/>
          <w:w w:val="105"/>
        </w:rPr>
        <w:t>su </w:t>
      </w:r>
      <w:r>
        <w:rPr>
          <w:color w:val="231F20"/>
          <w:spacing w:val="-3"/>
          <w:w w:val="105"/>
        </w:rPr>
        <w:t>interés </w:t>
      </w:r>
      <w:r>
        <w:rPr>
          <w:color w:val="231F20"/>
          <w:spacing w:val="-4"/>
          <w:w w:val="105"/>
        </w:rPr>
        <w:t>propio, </w:t>
      </w:r>
      <w:r>
        <w:rPr>
          <w:color w:val="231F20"/>
          <w:spacing w:val="-3"/>
          <w:w w:val="105"/>
        </w:rPr>
        <w:t>cuya concep- ción </w:t>
      </w:r>
      <w:r>
        <w:rPr>
          <w:color w:val="231F20"/>
          <w:w w:val="105"/>
        </w:rPr>
        <w:t>es </w:t>
      </w:r>
      <w:r>
        <w:rPr>
          <w:color w:val="231F20"/>
          <w:spacing w:val="-3"/>
          <w:w w:val="105"/>
        </w:rPr>
        <w:t>análoga </w:t>
      </w:r>
      <w:r>
        <w:rPr>
          <w:color w:val="231F20"/>
          <w:w w:val="105"/>
        </w:rPr>
        <w:t>al </w:t>
      </w:r>
      <w:r>
        <w:rPr>
          <w:color w:val="231F20"/>
          <w:spacing w:val="-3"/>
          <w:w w:val="105"/>
        </w:rPr>
        <w:t>problema </w:t>
      </w:r>
      <w:r>
        <w:rPr>
          <w:color w:val="231F20"/>
          <w:w w:val="105"/>
        </w:rPr>
        <w:t>de </w:t>
      </w:r>
      <w:r>
        <w:rPr>
          <w:color w:val="231F20"/>
          <w:spacing w:val="-3"/>
          <w:w w:val="105"/>
        </w:rPr>
        <w:t>agentes </w:t>
      </w:r>
      <w:r>
        <w:rPr>
          <w:color w:val="231F20"/>
          <w:w w:val="105"/>
        </w:rPr>
        <w:t>y </w:t>
      </w:r>
      <w:r>
        <w:rPr>
          <w:color w:val="231F20"/>
          <w:spacing w:val="-3"/>
          <w:w w:val="105"/>
        </w:rPr>
        <w:t>principales desde </w:t>
      </w:r>
      <w:r>
        <w:rPr>
          <w:color w:val="231F20"/>
          <w:w w:val="105"/>
        </w:rPr>
        <w:t>la </w:t>
      </w:r>
      <w:r>
        <w:rPr>
          <w:color w:val="231F20"/>
          <w:spacing w:val="-3"/>
          <w:w w:val="105"/>
        </w:rPr>
        <w:t>teoría de </w:t>
      </w:r>
      <w:r>
        <w:rPr>
          <w:color w:val="231F20"/>
          <w:w w:val="105"/>
        </w:rPr>
        <w:t>las</w:t>
      </w:r>
      <w:r>
        <w:rPr>
          <w:color w:val="231F20"/>
          <w:spacing w:val="-9"/>
          <w:w w:val="105"/>
        </w:rPr>
        <w:t> </w:t>
      </w:r>
      <w:r>
        <w:rPr>
          <w:color w:val="231F20"/>
          <w:spacing w:val="-3"/>
          <w:w w:val="105"/>
        </w:rPr>
        <w:t>organizaciones.</w:t>
      </w:r>
      <w:r>
        <w:rPr>
          <w:color w:val="231F20"/>
          <w:spacing w:val="-14"/>
          <w:w w:val="105"/>
        </w:rPr>
        <w:t> </w:t>
      </w:r>
      <w:r>
        <w:rPr>
          <w:color w:val="231F20"/>
          <w:w w:val="105"/>
        </w:rPr>
        <w:t>La</w:t>
      </w:r>
      <w:r>
        <w:rPr>
          <w:color w:val="231F20"/>
          <w:spacing w:val="-9"/>
          <w:w w:val="105"/>
        </w:rPr>
        <w:t> </w:t>
      </w:r>
      <w:r>
        <w:rPr>
          <w:color w:val="231F20"/>
          <w:spacing w:val="-3"/>
          <w:w w:val="105"/>
        </w:rPr>
        <w:t>importancia</w:t>
      </w:r>
      <w:r>
        <w:rPr>
          <w:color w:val="231F20"/>
          <w:spacing w:val="-9"/>
          <w:w w:val="105"/>
        </w:rPr>
        <w:t> </w:t>
      </w:r>
      <w:r>
        <w:rPr>
          <w:color w:val="231F20"/>
          <w:w w:val="105"/>
        </w:rPr>
        <w:t>de</w:t>
      </w:r>
      <w:r>
        <w:rPr>
          <w:color w:val="231F20"/>
          <w:spacing w:val="-9"/>
          <w:w w:val="105"/>
        </w:rPr>
        <w:t> </w:t>
      </w:r>
      <w:r>
        <w:rPr>
          <w:color w:val="231F20"/>
          <w:spacing w:val="-3"/>
          <w:w w:val="105"/>
        </w:rPr>
        <w:t>introducir</w:t>
      </w:r>
      <w:r>
        <w:rPr>
          <w:color w:val="231F20"/>
          <w:spacing w:val="-9"/>
          <w:w w:val="105"/>
        </w:rPr>
        <w:t> </w:t>
      </w:r>
      <w:r>
        <w:rPr>
          <w:color w:val="231F20"/>
          <w:w w:val="105"/>
        </w:rPr>
        <w:t>una</w:t>
      </w:r>
      <w:r>
        <w:rPr>
          <w:color w:val="231F20"/>
          <w:spacing w:val="-9"/>
          <w:w w:val="105"/>
        </w:rPr>
        <w:t> </w:t>
      </w:r>
      <w:r>
        <w:rPr>
          <w:color w:val="231F20"/>
          <w:spacing w:val="-3"/>
          <w:w w:val="105"/>
        </w:rPr>
        <w:t>regla</w:t>
      </w:r>
      <w:r>
        <w:rPr>
          <w:color w:val="231F20"/>
          <w:spacing w:val="-9"/>
          <w:w w:val="105"/>
        </w:rPr>
        <w:t> </w:t>
      </w:r>
      <w:r>
        <w:rPr>
          <w:color w:val="231F20"/>
          <w:spacing w:val="-3"/>
          <w:w w:val="105"/>
        </w:rPr>
        <w:t>fiscal,</w:t>
      </w:r>
      <w:r>
        <w:rPr>
          <w:color w:val="231F20"/>
          <w:spacing w:val="-14"/>
          <w:w w:val="105"/>
        </w:rPr>
        <w:t> </w:t>
      </w:r>
      <w:r>
        <w:rPr>
          <w:color w:val="231F20"/>
          <w:spacing w:val="-4"/>
          <w:w w:val="105"/>
        </w:rPr>
        <w:t>contrato </w:t>
      </w:r>
      <w:r>
        <w:rPr>
          <w:color w:val="231F20"/>
          <w:spacing w:val="-3"/>
          <w:w w:val="105"/>
        </w:rPr>
        <w:t>entre gobierno </w:t>
      </w:r>
      <w:r>
        <w:rPr>
          <w:color w:val="231F20"/>
          <w:w w:val="105"/>
        </w:rPr>
        <w:t>y </w:t>
      </w:r>
      <w:r>
        <w:rPr>
          <w:color w:val="231F20"/>
          <w:spacing w:val="-3"/>
          <w:w w:val="105"/>
        </w:rPr>
        <w:t>sociedad, </w:t>
      </w:r>
      <w:r>
        <w:rPr>
          <w:color w:val="231F20"/>
          <w:w w:val="105"/>
        </w:rPr>
        <w:t>se </w:t>
      </w:r>
      <w:r>
        <w:rPr>
          <w:color w:val="231F20"/>
          <w:spacing w:val="-3"/>
          <w:w w:val="105"/>
        </w:rPr>
        <w:t>basa </w:t>
      </w:r>
      <w:r>
        <w:rPr>
          <w:color w:val="231F20"/>
          <w:w w:val="105"/>
        </w:rPr>
        <w:t>en </w:t>
      </w:r>
      <w:r>
        <w:rPr>
          <w:color w:val="231F20"/>
          <w:spacing w:val="-3"/>
          <w:w w:val="105"/>
        </w:rPr>
        <w:t>reducir </w:t>
      </w:r>
      <w:r>
        <w:rPr>
          <w:color w:val="231F20"/>
          <w:w w:val="105"/>
        </w:rPr>
        <w:t>el </w:t>
      </w:r>
      <w:r>
        <w:rPr>
          <w:color w:val="231F20"/>
          <w:spacing w:val="-3"/>
          <w:w w:val="105"/>
        </w:rPr>
        <w:t>oportunismo </w:t>
      </w:r>
      <w:r>
        <w:rPr>
          <w:color w:val="231F20"/>
          <w:w w:val="105"/>
        </w:rPr>
        <w:t>del </w:t>
      </w:r>
      <w:r>
        <w:rPr>
          <w:color w:val="231F20"/>
          <w:spacing w:val="-4"/>
          <w:w w:val="105"/>
        </w:rPr>
        <w:t>gobier- </w:t>
      </w:r>
      <w:r>
        <w:rPr>
          <w:color w:val="231F20"/>
          <w:w w:val="105"/>
        </w:rPr>
        <w:t>no</w:t>
      </w:r>
      <w:r>
        <w:rPr>
          <w:color w:val="231F20"/>
          <w:spacing w:val="-11"/>
          <w:w w:val="105"/>
        </w:rPr>
        <w:t> </w:t>
      </w:r>
      <w:r>
        <w:rPr>
          <w:color w:val="231F20"/>
          <w:spacing w:val="-3"/>
          <w:w w:val="105"/>
        </w:rPr>
        <w:t>(agente)</w:t>
      </w:r>
      <w:r>
        <w:rPr>
          <w:color w:val="231F20"/>
          <w:spacing w:val="-11"/>
          <w:w w:val="105"/>
        </w:rPr>
        <w:t> </w:t>
      </w:r>
      <w:r>
        <w:rPr>
          <w:color w:val="231F20"/>
          <w:w w:val="105"/>
        </w:rPr>
        <w:t>en</w:t>
      </w:r>
      <w:r>
        <w:rPr>
          <w:color w:val="231F20"/>
          <w:spacing w:val="-11"/>
          <w:w w:val="105"/>
        </w:rPr>
        <w:t> </w:t>
      </w:r>
      <w:r>
        <w:rPr>
          <w:color w:val="231F20"/>
          <w:spacing w:val="-3"/>
          <w:w w:val="105"/>
        </w:rPr>
        <w:t>términos</w:t>
      </w:r>
      <w:r>
        <w:rPr>
          <w:color w:val="231F20"/>
          <w:spacing w:val="-11"/>
          <w:w w:val="105"/>
        </w:rPr>
        <w:t> </w:t>
      </w:r>
      <w:r>
        <w:rPr>
          <w:color w:val="231F20"/>
          <w:w w:val="105"/>
        </w:rPr>
        <w:t>del</w:t>
      </w:r>
      <w:r>
        <w:rPr>
          <w:color w:val="231F20"/>
          <w:spacing w:val="-11"/>
          <w:w w:val="105"/>
        </w:rPr>
        <w:t> </w:t>
      </w:r>
      <w:r>
        <w:rPr>
          <w:color w:val="231F20"/>
          <w:spacing w:val="-3"/>
          <w:w w:val="105"/>
        </w:rPr>
        <w:t>manejo</w:t>
      </w:r>
      <w:r>
        <w:rPr>
          <w:color w:val="231F20"/>
          <w:spacing w:val="-11"/>
          <w:w w:val="105"/>
        </w:rPr>
        <w:t> </w:t>
      </w:r>
      <w:r>
        <w:rPr>
          <w:color w:val="231F20"/>
          <w:w w:val="105"/>
        </w:rPr>
        <w:t>del</w:t>
      </w:r>
      <w:r>
        <w:rPr>
          <w:color w:val="231F20"/>
          <w:spacing w:val="-11"/>
          <w:w w:val="105"/>
        </w:rPr>
        <w:t> </w:t>
      </w:r>
      <w:r>
        <w:rPr>
          <w:color w:val="231F20"/>
          <w:spacing w:val="-3"/>
          <w:w w:val="105"/>
        </w:rPr>
        <w:t>gasto</w:t>
      </w:r>
      <w:r>
        <w:rPr>
          <w:color w:val="231F20"/>
          <w:spacing w:val="-11"/>
          <w:w w:val="105"/>
        </w:rPr>
        <w:t> </w:t>
      </w:r>
      <w:r>
        <w:rPr>
          <w:color w:val="231F20"/>
          <w:spacing w:val="-3"/>
          <w:w w:val="105"/>
        </w:rPr>
        <w:t>público,</w:t>
      </w:r>
      <w:r>
        <w:rPr>
          <w:color w:val="231F20"/>
          <w:spacing w:val="-16"/>
          <w:w w:val="105"/>
        </w:rPr>
        <w:t> </w:t>
      </w:r>
      <w:r>
        <w:rPr>
          <w:color w:val="231F20"/>
          <w:spacing w:val="-3"/>
          <w:w w:val="105"/>
        </w:rPr>
        <w:t>resultados</w:t>
      </w:r>
      <w:r>
        <w:rPr>
          <w:color w:val="231F20"/>
          <w:spacing w:val="-11"/>
          <w:w w:val="105"/>
        </w:rPr>
        <w:t> </w:t>
      </w:r>
      <w:r>
        <w:rPr>
          <w:color w:val="231F20"/>
          <w:spacing w:val="-3"/>
          <w:w w:val="105"/>
        </w:rPr>
        <w:t>fiscales </w:t>
      </w:r>
      <w:r>
        <w:rPr>
          <w:color w:val="231F20"/>
          <w:w w:val="105"/>
        </w:rPr>
        <w:t>y</w:t>
      </w:r>
      <w:r>
        <w:rPr>
          <w:color w:val="231F20"/>
          <w:spacing w:val="-14"/>
          <w:w w:val="105"/>
        </w:rPr>
        <w:t> </w:t>
      </w:r>
      <w:r>
        <w:rPr>
          <w:color w:val="231F20"/>
          <w:spacing w:val="-3"/>
          <w:w w:val="105"/>
        </w:rPr>
        <w:t>deuda</w:t>
      </w:r>
      <w:r>
        <w:rPr>
          <w:color w:val="231F20"/>
          <w:spacing w:val="-14"/>
          <w:w w:val="105"/>
        </w:rPr>
        <w:t> </w:t>
      </w:r>
      <w:r>
        <w:rPr>
          <w:color w:val="231F20"/>
          <w:spacing w:val="-3"/>
          <w:w w:val="105"/>
        </w:rPr>
        <w:t>pública.</w:t>
      </w:r>
      <w:r>
        <w:rPr>
          <w:color w:val="231F20"/>
          <w:spacing w:val="-19"/>
          <w:w w:val="105"/>
        </w:rPr>
        <w:t> </w:t>
      </w:r>
      <w:r>
        <w:rPr>
          <w:color w:val="231F20"/>
          <w:spacing w:val="-3"/>
          <w:w w:val="105"/>
        </w:rPr>
        <w:t>Los</w:t>
      </w:r>
      <w:r>
        <w:rPr>
          <w:color w:val="231F20"/>
          <w:spacing w:val="-14"/>
          <w:w w:val="105"/>
        </w:rPr>
        <w:t> </w:t>
      </w:r>
      <w:r>
        <w:rPr>
          <w:color w:val="231F20"/>
          <w:spacing w:val="-3"/>
          <w:w w:val="105"/>
        </w:rPr>
        <w:t>beneficios</w:t>
      </w:r>
      <w:r>
        <w:rPr>
          <w:color w:val="231F20"/>
          <w:spacing w:val="-14"/>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spacing w:val="-3"/>
          <w:w w:val="105"/>
        </w:rPr>
        <w:t>regla</w:t>
      </w:r>
      <w:r>
        <w:rPr>
          <w:color w:val="231F20"/>
          <w:spacing w:val="-14"/>
          <w:w w:val="105"/>
        </w:rPr>
        <w:t> </w:t>
      </w:r>
      <w:r>
        <w:rPr>
          <w:color w:val="231F20"/>
          <w:spacing w:val="-3"/>
          <w:w w:val="105"/>
        </w:rPr>
        <w:t>fiscal</w:t>
      </w:r>
      <w:r>
        <w:rPr>
          <w:color w:val="231F20"/>
          <w:spacing w:val="-14"/>
          <w:w w:val="105"/>
        </w:rPr>
        <w:t> </w:t>
      </w:r>
      <w:r>
        <w:rPr>
          <w:color w:val="231F20"/>
          <w:spacing w:val="-4"/>
          <w:w w:val="105"/>
        </w:rPr>
        <w:t>mejorarán</w:t>
      </w:r>
      <w:r>
        <w:rPr>
          <w:color w:val="231F20"/>
          <w:spacing w:val="-14"/>
          <w:w w:val="105"/>
        </w:rPr>
        <w:t> </w:t>
      </w:r>
      <w:r>
        <w:rPr>
          <w:color w:val="231F20"/>
          <w:w w:val="105"/>
        </w:rPr>
        <w:t>la</w:t>
      </w:r>
      <w:r>
        <w:rPr>
          <w:color w:val="231F20"/>
          <w:spacing w:val="-14"/>
          <w:w w:val="105"/>
        </w:rPr>
        <w:t> </w:t>
      </w:r>
      <w:r>
        <w:rPr>
          <w:color w:val="231F20"/>
          <w:spacing w:val="-3"/>
          <w:w w:val="105"/>
        </w:rPr>
        <w:t>eficiencia económica</w:t>
      </w:r>
      <w:r>
        <w:rPr>
          <w:color w:val="231F20"/>
          <w:spacing w:val="-24"/>
          <w:w w:val="105"/>
        </w:rPr>
        <w:t> </w:t>
      </w:r>
      <w:r>
        <w:rPr>
          <w:color w:val="231F20"/>
          <w:w w:val="105"/>
        </w:rPr>
        <w:t>del</w:t>
      </w:r>
      <w:r>
        <w:rPr>
          <w:color w:val="231F20"/>
          <w:spacing w:val="-24"/>
          <w:w w:val="105"/>
        </w:rPr>
        <w:t> </w:t>
      </w:r>
      <w:r>
        <w:rPr>
          <w:color w:val="231F20"/>
          <w:spacing w:val="-3"/>
          <w:w w:val="105"/>
        </w:rPr>
        <w:t>estado</w:t>
      </w:r>
      <w:r>
        <w:rPr>
          <w:color w:val="231F20"/>
          <w:spacing w:val="-24"/>
          <w:w w:val="105"/>
        </w:rPr>
        <w:t> </w:t>
      </w:r>
      <w:r>
        <w:rPr>
          <w:color w:val="231F20"/>
          <w:w w:val="105"/>
        </w:rPr>
        <w:t>y</w:t>
      </w:r>
      <w:r>
        <w:rPr>
          <w:color w:val="231F20"/>
          <w:spacing w:val="-24"/>
          <w:w w:val="105"/>
        </w:rPr>
        <w:t> </w:t>
      </w:r>
      <w:r>
        <w:rPr>
          <w:color w:val="231F20"/>
          <w:spacing w:val="-3"/>
          <w:w w:val="105"/>
        </w:rPr>
        <w:t>estarán</w:t>
      </w:r>
      <w:r>
        <w:rPr>
          <w:color w:val="231F20"/>
          <w:spacing w:val="-24"/>
          <w:w w:val="105"/>
        </w:rPr>
        <w:t> </w:t>
      </w:r>
      <w:r>
        <w:rPr>
          <w:color w:val="231F20"/>
          <w:w w:val="105"/>
        </w:rPr>
        <w:t>a</w:t>
      </w:r>
      <w:r>
        <w:rPr>
          <w:color w:val="231F20"/>
          <w:spacing w:val="-24"/>
          <w:w w:val="105"/>
        </w:rPr>
        <w:t> </w:t>
      </w:r>
      <w:r>
        <w:rPr>
          <w:color w:val="231F20"/>
          <w:spacing w:val="-3"/>
          <w:w w:val="105"/>
        </w:rPr>
        <w:t>favor</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spacing w:val="-3"/>
          <w:w w:val="105"/>
        </w:rPr>
        <w:t>sociedad</w:t>
      </w:r>
      <w:r>
        <w:rPr>
          <w:color w:val="231F20"/>
          <w:spacing w:val="-24"/>
          <w:w w:val="105"/>
        </w:rPr>
        <w:t> </w:t>
      </w:r>
      <w:r>
        <w:rPr>
          <w:color w:val="231F20"/>
          <w:spacing w:val="-3"/>
          <w:w w:val="105"/>
        </w:rPr>
        <w:t>(principales).</w:t>
      </w:r>
    </w:p>
    <w:p>
      <w:pPr>
        <w:pStyle w:val="BodyText"/>
        <w:rPr>
          <w:sz w:val="20"/>
        </w:rPr>
      </w:pPr>
    </w:p>
    <w:p>
      <w:pPr>
        <w:pStyle w:val="BodyText"/>
        <w:spacing w:before="7"/>
        <w:rPr>
          <w:sz w:val="18"/>
        </w:rPr>
      </w:pPr>
    </w:p>
    <w:p>
      <w:pPr>
        <w:pStyle w:val="Heading2"/>
      </w:pPr>
      <w:r>
        <w:rPr>
          <w:color w:val="231F20"/>
        </w:rPr>
        <w:t>El</w:t>
      </w:r>
      <w:r>
        <w:rPr>
          <w:color w:val="231F20"/>
          <w:spacing w:val="-28"/>
        </w:rPr>
        <w:t> </w:t>
      </w:r>
      <w:r>
        <w:rPr>
          <w:color w:val="231F20"/>
        </w:rPr>
        <w:t>manejo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política</w:t>
      </w:r>
      <w:r>
        <w:rPr>
          <w:color w:val="231F20"/>
          <w:spacing w:val="-28"/>
        </w:rPr>
        <w:t> </w:t>
      </w:r>
      <w:r>
        <w:rPr>
          <w:color w:val="231F20"/>
        </w:rPr>
        <w:t>fiscal</w:t>
      </w:r>
      <w:r>
        <w:rPr>
          <w:color w:val="231F20"/>
          <w:spacing w:val="-28"/>
        </w:rPr>
        <w:t> </w:t>
      </w:r>
      <w:r>
        <w:rPr>
          <w:color w:val="231F20"/>
        </w:rPr>
        <w:t>en</w:t>
      </w:r>
      <w:r>
        <w:rPr>
          <w:color w:val="231F20"/>
          <w:spacing w:val="-28"/>
        </w:rPr>
        <w:t> </w:t>
      </w:r>
      <w:r>
        <w:rPr>
          <w:color w:val="231F20"/>
        </w:rPr>
        <w:t>dependencia</w:t>
      </w:r>
      <w:r>
        <w:rPr>
          <w:color w:val="231F20"/>
          <w:spacing w:val="-28"/>
        </w:rPr>
        <w:t> </w:t>
      </w:r>
      <w:r>
        <w:rPr>
          <w:color w:val="231F20"/>
        </w:rPr>
        <w:t>de</w:t>
      </w:r>
      <w:r>
        <w:rPr>
          <w:color w:val="231F20"/>
          <w:spacing w:val="-28"/>
        </w:rPr>
        <w:t> </w:t>
      </w:r>
      <w:r>
        <w:rPr>
          <w:color w:val="231F20"/>
        </w:rPr>
        <w:t>recursos</w:t>
      </w:r>
      <w:r>
        <w:rPr>
          <w:color w:val="231F20"/>
          <w:spacing w:val="-28"/>
        </w:rPr>
        <w:t> </w:t>
      </w:r>
      <w:r>
        <w:rPr>
          <w:color w:val="231F20"/>
        </w:rPr>
        <w:t>naturales</w:t>
      </w:r>
    </w:p>
    <w:p>
      <w:pPr>
        <w:pStyle w:val="BodyText"/>
        <w:rPr>
          <w:b/>
          <w:sz w:val="22"/>
        </w:rPr>
      </w:pPr>
    </w:p>
    <w:p>
      <w:pPr>
        <w:pStyle w:val="BodyText"/>
        <w:spacing w:line="259" w:lineRule="auto" w:before="160"/>
        <w:ind w:left="117" w:right="115"/>
        <w:jc w:val="both"/>
      </w:pPr>
      <w:r>
        <w:rPr>
          <w:color w:val="231F20"/>
          <w:w w:val="105"/>
        </w:rPr>
        <w:t>La</w:t>
      </w:r>
      <w:r>
        <w:rPr>
          <w:color w:val="231F20"/>
          <w:spacing w:val="-22"/>
          <w:w w:val="105"/>
        </w:rPr>
        <w:t> </w:t>
      </w:r>
      <w:r>
        <w:rPr>
          <w:color w:val="231F20"/>
          <w:w w:val="105"/>
        </w:rPr>
        <w:t>ausencia</w:t>
      </w:r>
      <w:r>
        <w:rPr>
          <w:color w:val="231F20"/>
          <w:spacing w:val="-22"/>
          <w:w w:val="105"/>
        </w:rPr>
        <w:t> </w:t>
      </w:r>
      <w:r>
        <w:rPr>
          <w:color w:val="231F20"/>
          <w:w w:val="105"/>
        </w:rPr>
        <w:t>de</w:t>
      </w:r>
      <w:r>
        <w:rPr>
          <w:color w:val="231F20"/>
          <w:spacing w:val="-22"/>
          <w:w w:val="105"/>
        </w:rPr>
        <w:t> </w:t>
      </w:r>
      <w:r>
        <w:rPr>
          <w:color w:val="231F20"/>
          <w:w w:val="105"/>
        </w:rPr>
        <w:t>una</w:t>
      </w:r>
      <w:r>
        <w:rPr>
          <w:color w:val="231F20"/>
          <w:spacing w:val="-22"/>
          <w:w w:val="105"/>
        </w:rPr>
        <w:t> </w:t>
      </w:r>
      <w:r>
        <w:rPr>
          <w:color w:val="231F20"/>
          <w:w w:val="105"/>
        </w:rPr>
        <w:t>regla</w:t>
      </w:r>
      <w:r>
        <w:rPr>
          <w:color w:val="231F20"/>
          <w:spacing w:val="-22"/>
          <w:w w:val="105"/>
        </w:rPr>
        <w:t> </w:t>
      </w:r>
      <w:r>
        <w:rPr>
          <w:color w:val="231F20"/>
          <w:w w:val="105"/>
        </w:rPr>
        <w:t>fiscal</w:t>
      </w:r>
      <w:r>
        <w:rPr>
          <w:color w:val="231F20"/>
          <w:spacing w:val="-22"/>
          <w:w w:val="105"/>
        </w:rPr>
        <w:t> </w:t>
      </w:r>
      <w:r>
        <w:rPr>
          <w:color w:val="231F20"/>
          <w:w w:val="105"/>
        </w:rPr>
        <w:t>en</w:t>
      </w:r>
      <w:r>
        <w:rPr>
          <w:color w:val="231F20"/>
          <w:spacing w:val="-22"/>
          <w:w w:val="105"/>
        </w:rPr>
        <w:t> </w:t>
      </w:r>
      <w:r>
        <w:rPr>
          <w:color w:val="231F20"/>
          <w:w w:val="105"/>
        </w:rPr>
        <w:t>condiciones</w:t>
      </w:r>
      <w:r>
        <w:rPr>
          <w:color w:val="231F20"/>
          <w:spacing w:val="-22"/>
          <w:w w:val="105"/>
        </w:rPr>
        <w:t> </w:t>
      </w:r>
      <w:r>
        <w:rPr>
          <w:color w:val="231F20"/>
          <w:w w:val="105"/>
        </w:rPr>
        <w:t>de</w:t>
      </w:r>
      <w:r>
        <w:rPr>
          <w:color w:val="231F20"/>
          <w:spacing w:val="-22"/>
          <w:w w:val="105"/>
        </w:rPr>
        <w:t> </w:t>
      </w:r>
      <w:r>
        <w:rPr>
          <w:color w:val="231F20"/>
          <w:w w:val="105"/>
        </w:rPr>
        <w:t>dependencia</w:t>
      </w:r>
      <w:r>
        <w:rPr>
          <w:color w:val="231F20"/>
          <w:spacing w:val="-22"/>
          <w:w w:val="105"/>
        </w:rPr>
        <w:t> </w:t>
      </w:r>
      <w:r>
        <w:rPr>
          <w:color w:val="231F20"/>
          <w:w w:val="105"/>
        </w:rPr>
        <w:t>de</w:t>
      </w:r>
      <w:r>
        <w:rPr>
          <w:color w:val="231F20"/>
          <w:spacing w:val="-22"/>
          <w:w w:val="105"/>
        </w:rPr>
        <w:t> </w:t>
      </w:r>
      <w:r>
        <w:rPr>
          <w:color w:val="231F20"/>
          <w:w w:val="105"/>
        </w:rPr>
        <w:t>recur- sos</w:t>
      </w:r>
      <w:r>
        <w:rPr>
          <w:color w:val="231F20"/>
          <w:spacing w:val="-17"/>
          <w:w w:val="105"/>
        </w:rPr>
        <w:t> </w:t>
      </w:r>
      <w:r>
        <w:rPr>
          <w:color w:val="231F20"/>
          <w:w w:val="105"/>
        </w:rPr>
        <w:t>naturales</w:t>
      </w:r>
      <w:r>
        <w:rPr>
          <w:color w:val="231F20"/>
          <w:spacing w:val="-17"/>
          <w:w w:val="105"/>
        </w:rPr>
        <w:t> </w:t>
      </w:r>
      <w:r>
        <w:rPr>
          <w:color w:val="231F20"/>
          <w:w w:val="105"/>
        </w:rPr>
        <w:t>brinda</w:t>
      </w:r>
      <w:r>
        <w:rPr>
          <w:color w:val="231F20"/>
          <w:spacing w:val="-17"/>
          <w:w w:val="105"/>
        </w:rPr>
        <w:t> </w:t>
      </w:r>
      <w:r>
        <w:rPr>
          <w:color w:val="231F20"/>
          <w:w w:val="105"/>
        </w:rPr>
        <w:t>un</w:t>
      </w:r>
      <w:r>
        <w:rPr>
          <w:color w:val="231F20"/>
          <w:spacing w:val="-17"/>
          <w:w w:val="105"/>
        </w:rPr>
        <w:t> </w:t>
      </w:r>
      <w:r>
        <w:rPr>
          <w:color w:val="231F20"/>
          <w:w w:val="105"/>
        </w:rPr>
        <w:t>libertinaje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manejo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ingresos</w:t>
      </w:r>
      <w:r>
        <w:rPr>
          <w:color w:val="231F20"/>
          <w:spacing w:val="-17"/>
          <w:w w:val="105"/>
        </w:rPr>
        <w:t> </w:t>
      </w:r>
      <w:r>
        <w:rPr>
          <w:color w:val="231F20"/>
          <w:w w:val="105"/>
        </w:rPr>
        <w:t>públicos. </w:t>
      </w:r>
      <w:r>
        <w:rPr>
          <w:color w:val="231F20"/>
          <w:spacing w:val="-6"/>
          <w:w w:val="105"/>
        </w:rPr>
        <w:t>Por </w:t>
      </w:r>
      <w:r>
        <w:rPr>
          <w:color w:val="231F20"/>
          <w:w w:val="105"/>
        </w:rPr>
        <w:t>lo tanto, la orientación del gasto público se vuelve procíclica a las fluctuaciones</w:t>
      </w:r>
      <w:r>
        <w:rPr>
          <w:color w:val="231F20"/>
          <w:spacing w:val="-15"/>
          <w:w w:val="105"/>
        </w:rPr>
        <w:t> </w:t>
      </w:r>
      <w:r>
        <w:rPr>
          <w:color w:val="231F20"/>
          <w:w w:val="105"/>
        </w:rPr>
        <w:t>de</w:t>
      </w:r>
      <w:r>
        <w:rPr>
          <w:color w:val="231F20"/>
          <w:spacing w:val="-15"/>
          <w:w w:val="105"/>
        </w:rPr>
        <w:t> </w:t>
      </w:r>
      <w:r>
        <w:rPr>
          <w:color w:val="231F20"/>
          <w:w w:val="105"/>
        </w:rPr>
        <w:t>precios</w:t>
      </w:r>
      <w:r>
        <w:rPr>
          <w:color w:val="231F20"/>
          <w:spacing w:val="-15"/>
          <w:w w:val="105"/>
        </w:rPr>
        <w:t> </w:t>
      </w:r>
      <w:r>
        <w:rPr>
          <w:color w:val="231F20"/>
          <w:w w:val="105"/>
        </w:rPr>
        <w:t>del</w:t>
      </w:r>
      <w:r>
        <w:rPr>
          <w:color w:val="231F20"/>
          <w:spacing w:val="-15"/>
          <w:w w:val="105"/>
        </w:rPr>
        <w:t> </w:t>
      </w:r>
      <w:r>
        <w:rPr>
          <w:color w:val="231F20"/>
          <w:w w:val="105"/>
        </w:rPr>
        <w:t>recurso</w:t>
      </w:r>
      <w:r>
        <w:rPr>
          <w:color w:val="231F20"/>
          <w:spacing w:val="-15"/>
          <w:w w:val="105"/>
        </w:rPr>
        <w:t> </w:t>
      </w:r>
      <w:r>
        <w:rPr>
          <w:color w:val="231F20"/>
          <w:w w:val="105"/>
        </w:rPr>
        <w:t>natural</w:t>
      </w:r>
      <w:r>
        <w:rPr>
          <w:color w:val="231F20"/>
          <w:spacing w:val="-15"/>
          <w:w w:val="105"/>
        </w:rPr>
        <w:t> </w:t>
      </w:r>
      <w:r>
        <w:rPr>
          <w:color w:val="231F20"/>
          <w:w w:val="105"/>
        </w:rPr>
        <w:t>(comportamiento</w:t>
      </w:r>
      <w:r>
        <w:rPr>
          <w:color w:val="231F20"/>
          <w:spacing w:val="-15"/>
          <w:w w:val="105"/>
        </w:rPr>
        <w:t> </w:t>
      </w:r>
      <w:r>
        <w:rPr>
          <w:color w:val="231F20"/>
          <w:w w:val="105"/>
        </w:rPr>
        <w:t>oportunis- ta por parte del</w:t>
      </w:r>
      <w:r>
        <w:rPr>
          <w:color w:val="231F20"/>
          <w:spacing w:val="10"/>
          <w:w w:val="105"/>
        </w:rPr>
        <w:t> </w:t>
      </w:r>
      <w:r>
        <w:rPr>
          <w:color w:val="231F20"/>
          <w:w w:val="105"/>
        </w:rPr>
        <w:t>gobierno).</w:t>
      </w:r>
    </w:p>
    <w:p>
      <w:pPr>
        <w:pStyle w:val="BodyText"/>
        <w:spacing w:line="259" w:lineRule="auto"/>
        <w:ind w:left="117" w:right="121" w:firstLine="567"/>
        <w:jc w:val="both"/>
      </w:pPr>
      <w:r>
        <w:rPr>
          <w:spacing w:val="-4"/>
        </w:rPr>
        <w:t>Para </w:t>
      </w:r>
      <w:r>
        <w:rPr/>
        <w:t>argumentar lo anterior se presentan tres propósitos: (i) revisar los distintos enfoques para la medición de los movimientos cíclicos de la política fiscal; (ii) debatir sobre la orientación que debería tener el gasto público (rol fiscal) con relación a las posturas filosóficas keynesiana y</w:t>
      </w:r>
      <w:r>
        <w:rPr>
          <w:spacing w:val="-22"/>
        </w:rPr>
        <w:t> </w:t>
      </w:r>
      <w:r>
        <w:rPr/>
        <w:t>neo- clásica; y (iii) explicar por qué los países en desarrollo presentan políticas fiscales procíclicas.</w:t>
      </w:r>
    </w:p>
    <w:p>
      <w:pPr>
        <w:pStyle w:val="BodyText"/>
        <w:spacing w:line="259" w:lineRule="auto"/>
        <w:ind w:left="117" w:right="121" w:firstLine="567"/>
        <w:jc w:val="both"/>
      </w:pPr>
      <w:r>
        <w:rPr>
          <w:color w:val="231F20"/>
          <w:w w:val="105"/>
        </w:rPr>
        <w:t>La</w:t>
      </w:r>
      <w:r>
        <w:rPr>
          <w:color w:val="231F20"/>
          <w:spacing w:val="-24"/>
          <w:w w:val="105"/>
        </w:rPr>
        <w:t> </w:t>
      </w:r>
      <w:r>
        <w:rPr>
          <w:color w:val="231F20"/>
          <w:w w:val="105"/>
        </w:rPr>
        <w:t>política</w:t>
      </w:r>
      <w:r>
        <w:rPr>
          <w:color w:val="231F20"/>
          <w:spacing w:val="-24"/>
          <w:w w:val="105"/>
        </w:rPr>
        <w:t> </w:t>
      </w:r>
      <w:r>
        <w:rPr>
          <w:color w:val="231F20"/>
          <w:w w:val="105"/>
        </w:rPr>
        <w:t>fiscal</w:t>
      </w:r>
      <w:r>
        <w:rPr>
          <w:color w:val="231F20"/>
          <w:spacing w:val="-24"/>
          <w:w w:val="105"/>
        </w:rPr>
        <w:t> </w:t>
      </w:r>
      <w:r>
        <w:rPr>
          <w:color w:val="231F20"/>
          <w:w w:val="105"/>
        </w:rPr>
        <w:t>es</w:t>
      </w:r>
      <w:r>
        <w:rPr>
          <w:color w:val="231F20"/>
          <w:spacing w:val="-24"/>
          <w:w w:val="105"/>
        </w:rPr>
        <w:t> </w:t>
      </w:r>
      <w:r>
        <w:rPr>
          <w:color w:val="231F20"/>
          <w:w w:val="105"/>
        </w:rPr>
        <w:t>procíclica</w:t>
      </w:r>
      <w:r>
        <w:rPr>
          <w:color w:val="231F20"/>
          <w:spacing w:val="-24"/>
          <w:w w:val="105"/>
        </w:rPr>
        <w:t> </w:t>
      </w:r>
      <w:r>
        <w:rPr>
          <w:color w:val="231F20"/>
          <w:w w:val="105"/>
        </w:rPr>
        <w:t>cuando</w:t>
      </w:r>
      <w:r>
        <w:rPr>
          <w:color w:val="231F20"/>
          <w:spacing w:val="-24"/>
          <w:w w:val="105"/>
        </w:rPr>
        <w:t> </w:t>
      </w:r>
      <w:r>
        <w:rPr>
          <w:color w:val="231F20"/>
          <w:w w:val="105"/>
        </w:rPr>
        <w:t>el</w:t>
      </w:r>
      <w:r>
        <w:rPr>
          <w:color w:val="231F20"/>
          <w:spacing w:val="-24"/>
          <w:w w:val="105"/>
        </w:rPr>
        <w:t> </w:t>
      </w:r>
      <w:r>
        <w:rPr>
          <w:color w:val="231F20"/>
          <w:w w:val="105"/>
        </w:rPr>
        <w:t>gasto</w:t>
      </w:r>
      <w:r>
        <w:rPr>
          <w:color w:val="231F20"/>
          <w:spacing w:val="-24"/>
          <w:w w:val="105"/>
        </w:rPr>
        <w:t> </w:t>
      </w:r>
      <w:r>
        <w:rPr>
          <w:color w:val="231F20"/>
          <w:w w:val="105"/>
        </w:rPr>
        <w:t>público</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w w:val="105"/>
        </w:rPr>
        <w:t>resultado fiscal se mueven en la misma dirección que la actividad económica.</w:t>
      </w:r>
      <w:r>
        <w:rPr>
          <w:color w:val="231F20"/>
          <w:spacing w:val="-41"/>
          <w:w w:val="105"/>
        </w:rPr>
        <w:t> </w:t>
      </w:r>
      <w:r>
        <w:rPr>
          <w:color w:val="231F20"/>
          <w:w w:val="105"/>
        </w:rPr>
        <w:t>En el</w:t>
      </w:r>
      <w:r>
        <w:rPr>
          <w:color w:val="231F20"/>
          <w:spacing w:val="-11"/>
          <w:w w:val="105"/>
        </w:rPr>
        <w:t> </w:t>
      </w:r>
      <w:r>
        <w:rPr>
          <w:color w:val="231F20"/>
          <w:w w:val="105"/>
        </w:rPr>
        <w:t>caso</w:t>
      </w:r>
      <w:r>
        <w:rPr>
          <w:color w:val="231F20"/>
          <w:spacing w:val="-11"/>
          <w:w w:val="105"/>
        </w:rPr>
        <w:t> </w:t>
      </w:r>
      <w:r>
        <w:rPr>
          <w:color w:val="231F20"/>
          <w:w w:val="105"/>
        </w:rPr>
        <w:t>de</w:t>
      </w:r>
      <w:r>
        <w:rPr>
          <w:color w:val="231F20"/>
          <w:spacing w:val="-11"/>
          <w:w w:val="105"/>
        </w:rPr>
        <w:t> </w:t>
      </w:r>
      <w:r>
        <w:rPr>
          <w:color w:val="231F20"/>
          <w:w w:val="105"/>
        </w:rPr>
        <w:t>economías</w:t>
      </w:r>
      <w:r>
        <w:rPr>
          <w:color w:val="231F20"/>
          <w:spacing w:val="-11"/>
          <w:w w:val="105"/>
        </w:rPr>
        <w:t> </w:t>
      </w:r>
      <w:r>
        <w:rPr>
          <w:color w:val="231F20"/>
          <w:w w:val="105"/>
        </w:rPr>
        <w:t>ricas</w:t>
      </w:r>
      <w:r>
        <w:rPr>
          <w:color w:val="231F20"/>
          <w:spacing w:val="-11"/>
          <w:w w:val="105"/>
        </w:rPr>
        <w:t> </w:t>
      </w:r>
      <w:r>
        <w:rPr>
          <w:color w:val="231F20"/>
          <w:w w:val="105"/>
        </w:rPr>
        <w:t>en</w:t>
      </w:r>
      <w:r>
        <w:rPr>
          <w:color w:val="231F20"/>
          <w:spacing w:val="-11"/>
          <w:w w:val="105"/>
        </w:rPr>
        <w:t> </w:t>
      </w:r>
      <w:r>
        <w:rPr>
          <w:color w:val="231F20"/>
          <w:w w:val="105"/>
        </w:rPr>
        <w:t>algún</w:t>
      </w:r>
      <w:r>
        <w:rPr>
          <w:color w:val="231F20"/>
          <w:spacing w:val="-11"/>
          <w:w w:val="105"/>
        </w:rPr>
        <w:t> </w:t>
      </w:r>
      <w:r>
        <w:rPr>
          <w:color w:val="231F20"/>
          <w:w w:val="105"/>
        </w:rPr>
        <w:t>recurso</w:t>
      </w:r>
      <w:r>
        <w:rPr>
          <w:color w:val="231F20"/>
          <w:spacing w:val="-11"/>
          <w:w w:val="105"/>
        </w:rPr>
        <w:t> </w:t>
      </w:r>
      <w:r>
        <w:rPr>
          <w:color w:val="231F20"/>
          <w:w w:val="105"/>
        </w:rPr>
        <w:t>natural,</w:t>
      </w:r>
      <w:r>
        <w:rPr>
          <w:color w:val="231F20"/>
          <w:spacing w:val="-15"/>
          <w:w w:val="105"/>
        </w:rPr>
        <w:t> </w:t>
      </w:r>
      <w:r>
        <w:rPr>
          <w:color w:val="231F20"/>
          <w:w w:val="105"/>
        </w:rPr>
        <w:t>se</w:t>
      </w:r>
      <w:r>
        <w:rPr>
          <w:color w:val="231F20"/>
          <w:spacing w:val="-11"/>
          <w:w w:val="105"/>
        </w:rPr>
        <w:t> </w:t>
      </w:r>
      <w:r>
        <w:rPr>
          <w:color w:val="231F20"/>
          <w:w w:val="105"/>
        </w:rPr>
        <w:t>sostiene</w:t>
      </w:r>
      <w:r>
        <w:rPr>
          <w:color w:val="231F20"/>
          <w:spacing w:val="-11"/>
          <w:w w:val="105"/>
        </w:rPr>
        <w:t> </w:t>
      </w:r>
      <w:r>
        <w:rPr>
          <w:color w:val="231F20"/>
          <w:w w:val="105"/>
        </w:rPr>
        <w:t>la</w:t>
      </w:r>
      <w:r>
        <w:rPr>
          <w:color w:val="231F20"/>
          <w:spacing w:val="-11"/>
          <w:w w:val="105"/>
        </w:rPr>
        <w:t> </w:t>
      </w:r>
      <w:r>
        <w:rPr>
          <w:color w:val="231F20"/>
          <w:w w:val="105"/>
        </w:rPr>
        <w:t>pro- cíclicalidad cuando los precios del recurso natural (ej.: el petróleo) y el balance</w:t>
      </w:r>
      <w:r>
        <w:rPr>
          <w:color w:val="231F20"/>
          <w:spacing w:val="-11"/>
          <w:w w:val="105"/>
        </w:rPr>
        <w:t> </w:t>
      </w:r>
      <w:r>
        <w:rPr>
          <w:color w:val="231F20"/>
          <w:w w:val="105"/>
        </w:rPr>
        <w:t>no</w:t>
      </w:r>
      <w:r>
        <w:rPr>
          <w:color w:val="231F20"/>
          <w:spacing w:val="-11"/>
          <w:w w:val="105"/>
        </w:rPr>
        <w:t> </w:t>
      </w:r>
      <w:r>
        <w:rPr>
          <w:color w:val="231F20"/>
          <w:w w:val="105"/>
        </w:rPr>
        <w:t>petrolero</w:t>
      </w:r>
      <w:r>
        <w:rPr>
          <w:color w:val="231F20"/>
          <w:spacing w:val="-11"/>
          <w:w w:val="105"/>
        </w:rPr>
        <w:t> </w:t>
      </w:r>
      <w:r>
        <w:rPr>
          <w:color w:val="231F20"/>
          <w:w w:val="105"/>
        </w:rPr>
        <w:t>presentan</w:t>
      </w:r>
      <w:r>
        <w:rPr>
          <w:color w:val="231F20"/>
          <w:spacing w:val="-11"/>
          <w:w w:val="105"/>
        </w:rPr>
        <w:t> </w:t>
      </w:r>
      <w:r>
        <w:rPr>
          <w:color w:val="231F20"/>
          <w:w w:val="105"/>
        </w:rPr>
        <w:t>una</w:t>
      </w:r>
      <w:r>
        <w:rPr>
          <w:color w:val="231F20"/>
          <w:spacing w:val="-11"/>
          <w:w w:val="105"/>
        </w:rPr>
        <w:t> </w:t>
      </w:r>
      <w:r>
        <w:rPr>
          <w:color w:val="231F20"/>
          <w:w w:val="105"/>
        </w:rPr>
        <w:t>relación</w:t>
      </w:r>
      <w:r>
        <w:rPr>
          <w:color w:val="231F20"/>
          <w:spacing w:val="-11"/>
          <w:w w:val="105"/>
        </w:rPr>
        <w:t> </w:t>
      </w:r>
      <w:r>
        <w:rPr>
          <w:color w:val="231F20"/>
          <w:w w:val="105"/>
        </w:rPr>
        <w:t>inversa:</w:t>
      </w:r>
      <w:r>
        <w:rPr>
          <w:color w:val="231F20"/>
          <w:spacing w:val="-11"/>
          <w:w w:val="105"/>
        </w:rPr>
        <w:t> </w:t>
      </w:r>
      <w:r>
        <w:rPr>
          <w:color w:val="231F20"/>
          <w:w w:val="105"/>
        </w:rPr>
        <w:t>a</w:t>
      </w:r>
      <w:r>
        <w:rPr>
          <w:color w:val="231F20"/>
          <w:spacing w:val="-11"/>
          <w:w w:val="105"/>
        </w:rPr>
        <w:t> </w:t>
      </w:r>
      <w:r>
        <w:rPr>
          <w:color w:val="231F20"/>
          <w:w w:val="105"/>
        </w:rPr>
        <w:t>mayores</w:t>
      </w:r>
      <w:r>
        <w:rPr>
          <w:color w:val="231F20"/>
          <w:spacing w:val="-11"/>
          <w:w w:val="105"/>
        </w:rPr>
        <w:t> </w:t>
      </w:r>
      <w:r>
        <w:rPr>
          <w:color w:val="231F20"/>
          <w:w w:val="105"/>
        </w:rPr>
        <w:t>precios del</w:t>
      </w:r>
      <w:r>
        <w:rPr>
          <w:color w:val="231F20"/>
          <w:spacing w:val="-13"/>
          <w:w w:val="105"/>
        </w:rPr>
        <w:t> </w:t>
      </w:r>
      <w:r>
        <w:rPr>
          <w:color w:val="231F20"/>
          <w:w w:val="105"/>
        </w:rPr>
        <w:t>recurso</w:t>
      </w:r>
      <w:r>
        <w:rPr>
          <w:color w:val="231F20"/>
          <w:spacing w:val="-13"/>
          <w:w w:val="105"/>
        </w:rPr>
        <w:t> </w:t>
      </w:r>
      <w:r>
        <w:rPr>
          <w:color w:val="231F20"/>
          <w:w w:val="105"/>
        </w:rPr>
        <w:t>natural</w:t>
      </w:r>
      <w:r>
        <w:rPr>
          <w:color w:val="231F20"/>
          <w:spacing w:val="-13"/>
          <w:w w:val="105"/>
        </w:rPr>
        <w:t> </w:t>
      </w:r>
      <w:r>
        <w:rPr>
          <w:color w:val="231F20"/>
          <w:w w:val="105"/>
        </w:rPr>
        <w:t>mayor</w:t>
      </w:r>
      <w:r>
        <w:rPr>
          <w:color w:val="231F20"/>
          <w:spacing w:val="-13"/>
          <w:w w:val="105"/>
        </w:rPr>
        <w:t> </w:t>
      </w:r>
      <w:r>
        <w:rPr>
          <w:color w:val="231F20"/>
          <w:w w:val="105"/>
        </w:rPr>
        <w:t>déficit</w:t>
      </w:r>
      <w:r>
        <w:rPr>
          <w:color w:val="231F20"/>
          <w:spacing w:val="-13"/>
          <w:w w:val="105"/>
        </w:rPr>
        <w:t> </w:t>
      </w:r>
      <w:r>
        <w:rPr>
          <w:color w:val="231F20"/>
          <w:w w:val="105"/>
        </w:rPr>
        <w:t>fiscal</w:t>
      </w:r>
      <w:r>
        <w:rPr>
          <w:color w:val="231F20"/>
          <w:spacing w:val="-13"/>
          <w:w w:val="105"/>
        </w:rPr>
        <w:t> </w:t>
      </w:r>
      <w:r>
        <w:rPr>
          <w:color w:val="231F20"/>
          <w:w w:val="105"/>
        </w:rPr>
        <w:t>no</w:t>
      </w:r>
      <w:r>
        <w:rPr>
          <w:color w:val="231F20"/>
          <w:spacing w:val="-13"/>
          <w:w w:val="105"/>
        </w:rPr>
        <w:t> </w:t>
      </w:r>
      <w:r>
        <w:rPr>
          <w:color w:val="231F20"/>
          <w:w w:val="105"/>
        </w:rPr>
        <w:t>petrolero.</w:t>
      </w:r>
    </w:p>
    <w:p>
      <w:pPr>
        <w:pStyle w:val="BodyText"/>
        <w:spacing w:line="259" w:lineRule="auto"/>
        <w:ind w:left="117" w:right="121" w:firstLine="567"/>
        <w:jc w:val="both"/>
      </w:pPr>
      <w:r>
        <w:rPr>
          <w:color w:val="231F20"/>
          <w:w w:val="105"/>
        </w:rPr>
        <w:t>De forma alternativa, una combinación de superávit fiscal global con</w:t>
      </w:r>
      <w:r>
        <w:rPr>
          <w:color w:val="231F20"/>
          <w:spacing w:val="-14"/>
          <w:w w:val="105"/>
        </w:rPr>
        <w:t> </w:t>
      </w:r>
      <w:r>
        <w:rPr>
          <w:color w:val="231F20"/>
          <w:w w:val="105"/>
        </w:rPr>
        <w:t>un</w:t>
      </w:r>
      <w:r>
        <w:rPr>
          <w:color w:val="231F20"/>
          <w:spacing w:val="-14"/>
          <w:w w:val="105"/>
        </w:rPr>
        <w:t> </w:t>
      </w:r>
      <w:r>
        <w:rPr>
          <w:color w:val="231F20"/>
          <w:w w:val="105"/>
        </w:rPr>
        <w:t>déficit</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balance</w:t>
      </w:r>
      <w:r>
        <w:rPr>
          <w:color w:val="231F20"/>
          <w:spacing w:val="-14"/>
          <w:w w:val="105"/>
        </w:rPr>
        <w:t> </w:t>
      </w:r>
      <w:r>
        <w:rPr>
          <w:color w:val="231F20"/>
          <w:w w:val="105"/>
        </w:rPr>
        <w:t>no</w:t>
      </w:r>
      <w:r>
        <w:rPr>
          <w:color w:val="231F20"/>
          <w:spacing w:val="-14"/>
          <w:w w:val="105"/>
        </w:rPr>
        <w:t> </w:t>
      </w:r>
      <w:r>
        <w:rPr>
          <w:color w:val="231F20"/>
          <w:w w:val="105"/>
        </w:rPr>
        <w:t>petrolero,</w:t>
      </w:r>
      <w:r>
        <w:rPr>
          <w:color w:val="231F20"/>
          <w:spacing w:val="-19"/>
          <w:w w:val="105"/>
        </w:rPr>
        <w:t> </w:t>
      </w:r>
      <w:r>
        <w:rPr>
          <w:color w:val="231F20"/>
          <w:w w:val="105"/>
        </w:rPr>
        <w:t>indicaría</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resultados</w:t>
      </w:r>
      <w:r>
        <w:rPr>
          <w:color w:val="231F20"/>
          <w:spacing w:val="-14"/>
          <w:w w:val="105"/>
        </w:rPr>
        <w:t> </w:t>
      </w:r>
      <w:r>
        <w:rPr>
          <w:color w:val="231F20"/>
          <w:w w:val="105"/>
        </w:rPr>
        <w:t>fis- cales</w:t>
      </w:r>
      <w:r>
        <w:rPr>
          <w:color w:val="231F20"/>
          <w:spacing w:val="-15"/>
          <w:w w:val="105"/>
        </w:rPr>
        <w:t> </w:t>
      </w:r>
      <w:r>
        <w:rPr>
          <w:color w:val="231F20"/>
          <w:w w:val="105"/>
        </w:rPr>
        <w:t>se</w:t>
      </w:r>
      <w:r>
        <w:rPr>
          <w:color w:val="231F20"/>
          <w:spacing w:val="-15"/>
          <w:w w:val="105"/>
        </w:rPr>
        <w:t> </w:t>
      </w:r>
      <w:r>
        <w:rPr>
          <w:color w:val="231F20"/>
          <w:w w:val="105"/>
        </w:rPr>
        <w:t>están</w:t>
      </w:r>
      <w:r>
        <w:rPr>
          <w:color w:val="231F20"/>
          <w:spacing w:val="-15"/>
          <w:w w:val="105"/>
        </w:rPr>
        <w:t> </w:t>
      </w:r>
      <w:r>
        <w:rPr>
          <w:color w:val="231F20"/>
          <w:w w:val="105"/>
        </w:rPr>
        <w:t>financiando</w:t>
      </w:r>
      <w:r>
        <w:rPr>
          <w:color w:val="231F20"/>
          <w:spacing w:val="-15"/>
          <w:w w:val="105"/>
        </w:rPr>
        <w:t> </w:t>
      </w:r>
      <w:r>
        <w:rPr>
          <w:color w:val="231F20"/>
          <w:w w:val="105"/>
        </w:rPr>
        <w:t>con</w:t>
      </w:r>
      <w:r>
        <w:rPr>
          <w:color w:val="231F20"/>
          <w:spacing w:val="-15"/>
          <w:w w:val="105"/>
        </w:rPr>
        <w:t> </w:t>
      </w:r>
      <w:r>
        <w:rPr>
          <w:color w:val="231F20"/>
          <w:w w:val="105"/>
        </w:rPr>
        <w:t>ingresos</w:t>
      </w:r>
      <w:r>
        <w:rPr>
          <w:color w:val="231F20"/>
          <w:spacing w:val="-15"/>
          <w:w w:val="105"/>
        </w:rPr>
        <w:t> </w:t>
      </w:r>
      <w:r>
        <w:rPr>
          <w:color w:val="231F20"/>
          <w:w w:val="105"/>
        </w:rPr>
        <w:t>petroleros,</w:t>
      </w:r>
      <w:r>
        <w:rPr>
          <w:color w:val="231F20"/>
          <w:spacing w:val="-20"/>
          <w:w w:val="105"/>
        </w:rPr>
        <w:t> </w:t>
      </w:r>
      <w:r>
        <w:rPr>
          <w:color w:val="231F20"/>
          <w:w w:val="105"/>
        </w:rPr>
        <w:t>por</w:t>
      </w:r>
      <w:r>
        <w:rPr>
          <w:color w:val="231F20"/>
          <w:spacing w:val="-15"/>
          <w:w w:val="105"/>
        </w:rPr>
        <w:t> </w:t>
      </w:r>
      <w:r>
        <w:rPr>
          <w:color w:val="231F20"/>
          <w:w w:val="105"/>
        </w:rPr>
        <w:t>tanto,</w:t>
      </w:r>
      <w:r>
        <w:rPr>
          <w:color w:val="231F20"/>
          <w:spacing w:val="-20"/>
          <w:w w:val="105"/>
        </w:rPr>
        <w:t> </w:t>
      </w:r>
      <w:r>
        <w:rPr>
          <w:color w:val="231F20"/>
          <w:w w:val="105"/>
        </w:rPr>
        <w:t>la</w:t>
      </w:r>
      <w:r>
        <w:rPr>
          <w:color w:val="231F20"/>
          <w:spacing w:val="-15"/>
          <w:w w:val="105"/>
        </w:rPr>
        <w:t> </w:t>
      </w:r>
      <w:r>
        <w:rPr>
          <w:color w:val="231F20"/>
          <w:w w:val="105"/>
        </w:rPr>
        <w:t>relación es</w:t>
      </w:r>
      <w:r>
        <w:rPr>
          <w:color w:val="231F20"/>
          <w:spacing w:val="-42"/>
          <w:w w:val="105"/>
        </w:rPr>
        <w:t> </w:t>
      </w:r>
      <w:r>
        <w:rPr>
          <w:color w:val="231F20"/>
          <w:w w:val="105"/>
        </w:rPr>
        <w:t>procíclica</w:t>
      </w:r>
      <w:r>
        <w:rPr>
          <w:color w:val="231F20"/>
          <w:spacing w:val="-42"/>
          <w:w w:val="105"/>
        </w:rPr>
        <w:t> </w:t>
      </w:r>
      <w:r>
        <w:rPr>
          <w:color w:val="231F20"/>
          <w:w w:val="105"/>
        </w:rPr>
        <w:t>(Gurvich,</w:t>
      </w:r>
      <w:r>
        <w:rPr>
          <w:color w:val="231F20"/>
          <w:spacing w:val="-45"/>
          <w:w w:val="105"/>
        </w:rPr>
        <w:t> </w:t>
      </w:r>
      <w:r>
        <w:rPr>
          <w:color w:val="231F20"/>
          <w:w w:val="105"/>
        </w:rPr>
        <w:t>Vakulenko,</w:t>
      </w:r>
      <w:r>
        <w:rPr>
          <w:color w:val="231F20"/>
          <w:spacing w:val="-44"/>
          <w:w w:val="105"/>
        </w:rPr>
        <w:t> </w:t>
      </w:r>
      <w:r>
        <w:rPr>
          <w:color w:val="231F20"/>
          <w:w w:val="105"/>
        </w:rPr>
        <w:t>y</w:t>
      </w:r>
      <w:r>
        <w:rPr>
          <w:color w:val="231F20"/>
          <w:spacing w:val="-42"/>
          <w:w w:val="105"/>
        </w:rPr>
        <w:t> </w:t>
      </w:r>
      <w:r>
        <w:rPr>
          <w:color w:val="231F20"/>
          <w:w w:val="105"/>
        </w:rPr>
        <w:t>Krivenko,</w:t>
      </w:r>
      <w:r>
        <w:rPr>
          <w:color w:val="231F20"/>
          <w:spacing w:val="-44"/>
          <w:w w:val="105"/>
        </w:rPr>
        <w:t> </w:t>
      </w:r>
      <w:r>
        <w:rPr>
          <w:color w:val="231F20"/>
          <w:w w:val="105"/>
        </w:rPr>
        <w:t>2009).</w:t>
      </w:r>
    </w:p>
    <w:p>
      <w:pPr>
        <w:pStyle w:val="BodyText"/>
        <w:spacing w:line="259" w:lineRule="auto"/>
        <w:ind w:left="117" w:right="121" w:firstLine="567"/>
        <w:jc w:val="both"/>
      </w:pPr>
      <w:r>
        <w:rPr>
          <w:color w:val="231F20"/>
          <w:w w:val="105"/>
        </w:rPr>
        <w:t>Al</w:t>
      </w:r>
      <w:r>
        <w:rPr>
          <w:color w:val="231F20"/>
          <w:spacing w:val="-5"/>
          <w:w w:val="105"/>
        </w:rPr>
        <w:t> </w:t>
      </w:r>
      <w:r>
        <w:rPr>
          <w:color w:val="231F20"/>
          <w:w w:val="105"/>
        </w:rPr>
        <w:t>evaluar</w:t>
      </w:r>
      <w:r>
        <w:rPr>
          <w:color w:val="231F20"/>
          <w:spacing w:val="-5"/>
          <w:w w:val="105"/>
        </w:rPr>
        <w:t> </w:t>
      </w:r>
      <w:r>
        <w:rPr>
          <w:color w:val="231F20"/>
          <w:w w:val="105"/>
        </w:rPr>
        <w:t>los</w:t>
      </w:r>
      <w:r>
        <w:rPr>
          <w:color w:val="231F20"/>
          <w:spacing w:val="-5"/>
          <w:w w:val="105"/>
        </w:rPr>
        <w:t> </w:t>
      </w:r>
      <w:r>
        <w:rPr>
          <w:color w:val="231F20"/>
          <w:w w:val="105"/>
        </w:rPr>
        <w:t>movimientos</w:t>
      </w:r>
      <w:r>
        <w:rPr>
          <w:color w:val="231F20"/>
          <w:spacing w:val="-5"/>
          <w:w w:val="105"/>
        </w:rPr>
        <w:t> </w:t>
      </w:r>
      <w:r>
        <w:rPr>
          <w:color w:val="231F20"/>
          <w:w w:val="105"/>
        </w:rPr>
        <w:t>cíclicos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política</w:t>
      </w:r>
      <w:r>
        <w:rPr>
          <w:color w:val="231F20"/>
          <w:spacing w:val="-5"/>
          <w:w w:val="105"/>
        </w:rPr>
        <w:t> </w:t>
      </w:r>
      <w:r>
        <w:rPr>
          <w:color w:val="231F20"/>
          <w:w w:val="105"/>
        </w:rPr>
        <w:t>fiscal,</w:t>
      </w:r>
      <w:r>
        <w:rPr>
          <w:color w:val="231F20"/>
          <w:spacing w:val="-10"/>
          <w:w w:val="105"/>
        </w:rPr>
        <w:t> </w:t>
      </w:r>
      <w:r>
        <w:rPr>
          <w:color w:val="231F20"/>
          <w:w w:val="105"/>
        </w:rPr>
        <w:t>el</w:t>
      </w:r>
      <w:r>
        <w:rPr>
          <w:color w:val="231F20"/>
          <w:spacing w:val="-5"/>
          <w:w w:val="105"/>
        </w:rPr>
        <w:t> </w:t>
      </w:r>
      <w:r>
        <w:rPr>
          <w:color w:val="231F20"/>
          <w:w w:val="105"/>
        </w:rPr>
        <w:t>balance fiscal</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una</w:t>
      </w:r>
      <w:r>
        <w:rPr>
          <w:color w:val="231F20"/>
          <w:spacing w:val="-7"/>
          <w:w w:val="105"/>
        </w:rPr>
        <w:t> </w:t>
      </w:r>
      <w:r>
        <w:rPr>
          <w:color w:val="231F20"/>
          <w:w w:val="105"/>
        </w:rPr>
        <w:t>medida</w:t>
      </w:r>
      <w:r>
        <w:rPr>
          <w:color w:val="231F20"/>
          <w:spacing w:val="-7"/>
          <w:w w:val="105"/>
        </w:rPr>
        <w:t> </w:t>
      </w:r>
      <w:r>
        <w:rPr>
          <w:color w:val="231F20"/>
          <w:w w:val="105"/>
        </w:rPr>
        <w:t>adecuada</w:t>
      </w:r>
      <w:r>
        <w:rPr>
          <w:color w:val="231F20"/>
          <w:spacing w:val="-7"/>
          <w:w w:val="105"/>
        </w:rPr>
        <w:t> </w:t>
      </w:r>
      <w:r>
        <w:rPr>
          <w:color w:val="231F20"/>
          <w:w w:val="105"/>
        </w:rPr>
        <w:t>para</w:t>
      </w:r>
      <w:r>
        <w:rPr>
          <w:color w:val="231F20"/>
          <w:spacing w:val="-7"/>
          <w:w w:val="105"/>
        </w:rPr>
        <w:t> </w:t>
      </w:r>
      <w:r>
        <w:rPr>
          <w:color w:val="231F20"/>
          <w:w w:val="105"/>
        </w:rPr>
        <w:t>dictaminar</w:t>
      </w:r>
      <w:r>
        <w:rPr>
          <w:color w:val="231F20"/>
          <w:spacing w:val="-7"/>
          <w:w w:val="105"/>
        </w:rPr>
        <w:t> </w:t>
      </w:r>
      <w:r>
        <w:rPr>
          <w:color w:val="231F20"/>
          <w:w w:val="105"/>
        </w:rPr>
        <w:t>la</w:t>
      </w:r>
      <w:r>
        <w:rPr>
          <w:color w:val="231F20"/>
          <w:spacing w:val="-7"/>
          <w:w w:val="105"/>
        </w:rPr>
        <w:t> </w:t>
      </w:r>
      <w:r>
        <w:rPr>
          <w:color w:val="231F20"/>
          <w:w w:val="105"/>
        </w:rPr>
        <w:t>orientación</w:t>
      </w:r>
      <w:r>
        <w:rPr>
          <w:color w:val="231F20"/>
          <w:spacing w:val="-7"/>
          <w:w w:val="105"/>
        </w:rPr>
        <w:t> </w:t>
      </w:r>
      <w:r>
        <w:rPr>
          <w:color w:val="231F20"/>
          <w:w w:val="105"/>
        </w:rPr>
        <w:t>de</w:t>
      </w:r>
      <w:r>
        <w:rPr>
          <w:color w:val="231F20"/>
          <w:spacing w:val="-7"/>
          <w:w w:val="105"/>
        </w:rPr>
        <w:t> </w:t>
      </w:r>
      <w:r>
        <w:rPr>
          <w:color w:val="231F20"/>
          <w:w w:val="105"/>
        </w:rPr>
        <w:t>po- lítica</w:t>
      </w:r>
      <w:r>
        <w:rPr>
          <w:color w:val="231F20"/>
          <w:spacing w:val="-5"/>
          <w:w w:val="105"/>
        </w:rPr>
        <w:t> </w:t>
      </w:r>
      <w:r>
        <w:rPr>
          <w:color w:val="231F20"/>
          <w:w w:val="105"/>
        </w:rPr>
        <w:t>fiscal,</w:t>
      </w:r>
      <w:r>
        <w:rPr>
          <w:color w:val="231F20"/>
          <w:spacing w:val="-10"/>
          <w:w w:val="105"/>
        </w:rPr>
        <w:t> </w:t>
      </w:r>
      <w:r>
        <w:rPr>
          <w:color w:val="231F20"/>
          <w:w w:val="105"/>
        </w:rPr>
        <w:t>puesto</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ingresos</w:t>
      </w:r>
      <w:r>
        <w:rPr>
          <w:color w:val="231F20"/>
          <w:spacing w:val="-5"/>
          <w:w w:val="105"/>
        </w:rPr>
        <w:t> </w:t>
      </w:r>
      <w:r>
        <w:rPr>
          <w:color w:val="231F20"/>
          <w:w w:val="105"/>
        </w:rPr>
        <w:t>pueden</w:t>
      </w:r>
      <w:r>
        <w:rPr>
          <w:color w:val="231F20"/>
          <w:spacing w:val="-5"/>
          <w:w w:val="105"/>
        </w:rPr>
        <w:t> </w:t>
      </w:r>
      <w:r>
        <w:rPr>
          <w:color w:val="231F20"/>
          <w:w w:val="105"/>
        </w:rPr>
        <w:t>ser</w:t>
      </w:r>
      <w:r>
        <w:rPr>
          <w:color w:val="231F20"/>
          <w:spacing w:val="-5"/>
          <w:w w:val="105"/>
        </w:rPr>
        <w:t> </w:t>
      </w:r>
      <w:r>
        <w:rPr>
          <w:color w:val="231F20"/>
          <w:w w:val="105"/>
        </w:rPr>
        <w:t>procíclicos</w:t>
      </w:r>
      <w:r>
        <w:rPr>
          <w:color w:val="231F20"/>
          <w:spacing w:val="-5"/>
          <w:w w:val="105"/>
        </w:rPr>
        <w:t> </w:t>
      </w:r>
      <w:r>
        <w:rPr>
          <w:color w:val="231F20"/>
          <w:w w:val="105"/>
        </w:rPr>
        <w:t>y</w:t>
      </w:r>
      <w:r>
        <w:rPr>
          <w:color w:val="231F20"/>
          <w:spacing w:val="-5"/>
          <w:w w:val="105"/>
        </w:rPr>
        <w:t> </w:t>
      </w:r>
      <w:r>
        <w:rPr>
          <w:color w:val="231F20"/>
          <w:w w:val="105"/>
        </w:rPr>
        <w:t>los</w:t>
      </w:r>
      <w:r>
        <w:rPr>
          <w:color w:val="231F20"/>
          <w:spacing w:val="-5"/>
          <w:w w:val="105"/>
        </w:rPr>
        <w:t> </w:t>
      </w:r>
      <w:r>
        <w:rPr>
          <w:color w:val="231F20"/>
          <w:w w:val="105"/>
        </w:rPr>
        <w:t>gastos contracíclicos</w:t>
      </w:r>
      <w:r>
        <w:rPr>
          <w:color w:val="231F20"/>
          <w:spacing w:val="-13"/>
          <w:w w:val="105"/>
        </w:rPr>
        <w:t> </w:t>
      </w:r>
      <w:r>
        <w:rPr>
          <w:color w:val="231F20"/>
          <w:w w:val="105"/>
        </w:rPr>
        <w:t>de</w:t>
      </w:r>
      <w:r>
        <w:rPr>
          <w:color w:val="231F20"/>
          <w:spacing w:val="-13"/>
          <w:w w:val="105"/>
        </w:rPr>
        <w:t> </w:t>
      </w:r>
      <w:r>
        <w:rPr>
          <w:color w:val="231F20"/>
          <w:w w:val="105"/>
        </w:rPr>
        <w:t>tal</w:t>
      </w:r>
      <w:r>
        <w:rPr>
          <w:color w:val="231F20"/>
          <w:spacing w:val="-13"/>
          <w:w w:val="105"/>
        </w:rPr>
        <w:t> </w:t>
      </w:r>
      <w:r>
        <w:rPr>
          <w:color w:val="231F20"/>
          <w:w w:val="105"/>
        </w:rPr>
        <w:t>forma</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resultado</w:t>
      </w:r>
      <w:r>
        <w:rPr>
          <w:color w:val="231F20"/>
          <w:spacing w:val="-13"/>
          <w:w w:val="105"/>
        </w:rPr>
        <w:t> </w:t>
      </w:r>
      <w:r>
        <w:rPr>
          <w:color w:val="231F20"/>
          <w:w w:val="105"/>
        </w:rPr>
        <w:t>neto</w:t>
      </w:r>
      <w:r>
        <w:rPr>
          <w:color w:val="231F20"/>
          <w:spacing w:val="-13"/>
          <w:w w:val="105"/>
        </w:rPr>
        <w:t> </w:t>
      </w:r>
      <w:r>
        <w:rPr>
          <w:color w:val="231F20"/>
          <w:w w:val="105"/>
        </w:rPr>
        <w:t>sería</w:t>
      </w:r>
      <w:r>
        <w:rPr>
          <w:color w:val="231F20"/>
          <w:spacing w:val="-13"/>
          <w:w w:val="105"/>
        </w:rPr>
        <w:t> </w:t>
      </w:r>
      <w:r>
        <w:rPr>
          <w:color w:val="231F20"/>
          <w:w w:val="105"/>
        </w:rPr>
        <w:t>procíclico</w:t>
      </w:r>
      <w:r>
        <w:rPr>
          <w:color w:val="231F20"/>
          <w:spacing w:val="-13"/>
          <w:w w:val="105"/>
        </w:rPr>
        <w:t> </w:t>
      </w:r>
      <w:r>
        <w:rPr>
          <w:color w:val="231F20"/>
          <w:w w:val="105"/>
        </w:rPr>
        <w:t>(Ilzetzki y</w:t>
      </w:r>
      <w:r>
        <w:rPr>
          <w:color w:val="231F20"/>
          <w:spacing w:val="-41"/>
          <w:w w:val="105"/>
        </w:rPr>
        <w:t> </w:t>
      </w:r>
      <w:r>
        <w:rPr>
          <w:color w:val="231F20"/>
          <w:w w:val="105"/>
        </w:rPr>
        <w:t>Végh,</w:t>
      </w:r>
      <w:r>
        <w:rPr>
          <w:color w:val="231F20"/>
          <w:spacing w:val="-42"/>
          <w:w w:val="105"/>
        </w:rPr>
        <w:t> </w:t>
      </w:r>
      <w:r>
        <w:rPr>
          <w:color w:val="231F20"/>
          <w:w w:val="105"/>
        </w:rPr>
        <w:t>2008).</w:t>
      </w:r>
    </w:p>
    <w:p>
      <w:pPr>
        <w:pStyle w:val="BodyText"/>
        <w:spacing w:line="259" w:lineRule="auto"/>
        <w:ind w:left="117" w:right="121" w:firstLine="567"/>
        <w:jc w:val="both"/>
      </w:pPr>
      <w:r>
        <w:rPr>
          <w:color w:val="231F20"/>
          <w:w w:val="105"/>
        </w:rPr>
        <w:t>Lo</w:t>
      </w:r>
      <w:r>
        <w:rPr>
          <w:color w:val="231F20"/>
          <w:spacing w:val="-30"/>
          <w:w w:val="105"/>
        </w:rPr>
        <w:t> </w:t>
      </w:r>
      <w:r>
        <w:rPr>
          <w:color w:val="231F20"/>
          <w:w w:val="105"/>
        </w:rPr>
        <w:t>más</w:t>
      </w:r>
      <w:r>
        <w:rPr>
          <w:color w:val="231F20"/>
          <w:spacing w:val="-30"/>
          <w:w w:val="105"/>
        </w:rPr>
        <w:t> </w:t>
      </w:r>
      <w:r>
        <w:rPr>
          <w:color w:val="231F20"/>
          <w:w w:val="105"/>
        </w:rPr>
        <w:t>aconsejable</w:t>
      </w:r>
      <w:r>
        <w:rPr>
          <w:color w:val="231F20"/>
          <w:spacing w:val="-30"/>
          <w:w w:val="105"/>
        </w:rPr>
        <w:t> </w:t>
      </w:r>
      <w:r>
        <w:rPr>
          <w:color w:val="231F20"/>
          <w:w w:val="105"/>
        </w:rPr>
        <w:t>para</w:t>
      </w:r>
      <w:r>
        <w:rPr>
          <w:color w:val="231F20"/>
          <w:spacing w:val="-30"/>
          <w:w w:val="105"/>
        </w:rPr>
        <w:t> </w:t>
      </w:r>
      <w:r>
        <w:rPr>
          <w:color w:val="231F20"/>
          <w:w w:val="105"/>
        </w:rPr>
        <w:t>analizar</w:t>
      </w:r>
      <w:r>
        <w:rPr>
          <w:color w:val="231F20"/>
          <w:spacing w:val="-30"/>
          <w:w w:val="105"/>
        </w:rPr>
        <w:t> </w:t>
      </w:r>
      <w:r>
        <w:rPr>
          <w:color w:val="231F20"/>
          <w:w w:val="105"/>
        </w:rPr>
        <w:t>la</w:t>
      </w:r>
      <w:r>
        <w:rPr>
          <w:color w:val="231F20"/>
          <w:spacing w:val="-30"/>
          <w:w w:val="105"/>
        </w:rPr>
        <w:t> </w:t>
      </w:r>
      <w:r>
        <w:rPr>
          <w:color w:val="231F20"/>
          <w:w w:val="105"/>
        </w:rPr>
        <w:t>orientación</w:t>
      </w:r>
      <w:r>
        <w:rPr>
          <w:color w:val="231F20"/>
          <w:spacing w:val="-30"/>
          <w:w w:val="105"/>
        </w:rPr>
        <w:t> </w:t>
      </w:r>
      <w:r>
        <w:rPr>
          <w:color w:val="231F20"/>
          <w:w w:val="105"/>
        </w:rPr>
        <w:t>cíclica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política fiscal</w:t>
      </w:r>
      <w:r>
        <w:rPr>
          <w:color w:val="231F20"/>
          <w:spacing w:val="-20"/>
          <w:w w:val="105"/>
        </w:rPr>
        <w:t> </w:t>
      </w:r>
      <w:r>
        <w:rPr>
          <w:color w:val="231F20"/>
          <w:w w:val="105"/>
        </w:rPr>
        <w:t>consiste</w:t>
      </w:r>
      <w:r>
        <w:rPr>
          <w:color w:val="231F20"/>
          <w:spacing w:val="-20"/>
          <w:w w:val="105"/>
        </w:rPr>
        <w:t> </w:t>
      </w:r>
      <w:r>
        <w:rPr>
          <w:color w:val="231F20"/>
          <w:w w:val="105"/>
        </w:rPr>
        <w:t>en</w:t>
      </w:r>
      <w:r>
        <w:rPr>
          <w:color w:val="231F20"/>
          <w:spacing w:val="-20"/>
          <w:w w:val="105"/>
        </w:rPr>
        <w:t> </w:t>
      </w:r>
      <w:r>
        <w:rPr>
          <w:color w:val="231F20"/>
          <w:w w:val="105"/>
        </w:rPr>
        <w:t>desagregar</w:t>
      </w:r>
      <w:r>
        <w:rPr>
          <w:color w:val="231F20"/>
          <w:spacing w:val="-20"/>
          <w:w w:val="105"/>
        </w:rPr>
        <w:t> </w:t>
      </w:r>
      <w:r>
        <w:rPr>
          <w:color w:val="231F20"/>
          <w:w w:val="105"/>
        </w:rPr>
        <w:t>los</w:t>
      </w:r>
      <w:r>
        <w:rPr>
          <w:color w:val="231F20"/>
          <w:spacing w:val="-20"/>
          <w:w w:val="105"/>
        </w:rPr>
        <w:t> </w:t>
      </w:r>
      <w:r>
        <w:rPr>
          <w:color w:val="231F20"/>
          <w:w w:val="105"/>
        </w:rPr>
        <w:t>componentes</w:t>
      </w:r>
      <w:r>
        <w:rPr>
          <w:color w:val="231F20"/>
          <w:spacing w:val="-20"/>
          <w:w w:val="105"/>
        </w:rPr>
        <w:t> </w:t>
      </w:r>
      <w:r>
        <w:rPr>
          <w:color w:val="231F20"/>
          <w:w w:val="105"/>
        </w:rPr>
        <w:t>cíclicos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gastos</w:t>
      </w:r>
      <w:r>
        <w:rPr>
          <w:color w:val="231F20"/>
          <w:spacing w:val="-20"/>
          <w:w w:val="105"/>
        </w:rPr>
        <w:t> </w:t>
      </w:r>
      <w:r>
        <w:rPr>
          <w:color w:val="231F20"/>
          <w:w w:val="105"/>
        </w:rPr>
        <w:t>pú- blicos (consumo del gobierno, transferencias y gasto de capital) y</w:t>
      </w:r>
      <w:r>
        <w:rPr>
          <w:color w:val="231F20"/>
          <w:spacing w:val="-36"/>
          <w:w w:val="105"/>
        </w:rPr>
        <w:t> </w:t>
      </w:r>
      <w:r>
        <w:rPr>
          <w:color w:val="231F20"/>
          <w:w w:val="105"/>
        </w:rPr>
        <w:t>com- pararlos</w:t>
      </w:r>
      <w:r>
        <w:rPr>
          <w:color w:val="231F20"/>
          <w:spacing w:val="-18"/>
          <w:w w:val="105"/>
        </w:rPr>
        <w:t> </w:t>
      </w:r>
      <w:r>
        <w:rPr>
          <w:color w:val="231F20"/>
          <w:w w:val="105"/>
        </w:rPr>
        <w:t>con</w:t>
      </w:r>
      <w:r>
        <w:rPr>
          <w:color w:val="231F20"/>
          <w:spacing w:val="-18"/>
          <w:w w:val="105"/>
        </w:rPr>
        <w:t> </w:t>
      </w:r>
      <w:r>
        <w:rPr>
          <w:color w:val="231F20"/>
          <w:w w:val="105"/>
        </w:rPr>
        <w:t>las</w:t>
      </w:r>
      <w:r>
        <w:rPr>
          <w:color w:val="231F20"/>
          <w:spacing w:val="-18"/>
          <w:w w:val="105"/>
        </w:rPr>
        <w:t> </w:t>
      </w:r>
      <w:r>
        <w:rPr>
          <w:color w:val="231F20"/>
          <w:w w:val="105"/>
        </w:rPr>
        <w:t>fluctuaciones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actividad</w:t>
      </w:r>
      <w:r>
        <w:rPr>
          <w:color w:val="231F20"/>
          <w:spacing w:val="-18"/>
          <w:w w:val="105"/>
        </w:rPr>
        <w:t> </w:t>
      </w:r>
      <w:r>
        <w:rPr>
          <w:color w:val="231F20"/>
          <w:w w:val="105"/>
        </w:rPr>
        <w:t>económica</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precios de</w:t>
      </w:r>
      <w:r>
        <w:rPr>
          <w:color w:val="231F20"/>
          <w:spacing w:val="-31"/>
          <w:w w:val="105"/>
        </w:rPr>
        <w:t> </w:t>
      </w:r>
      <w:r>
        <w:rPr>
          <w:color w:val="231F20"/>
          <w:w w:val="105"/>
        </w:rPr>
        <w:t>exportación</w:t>
      </w:r>
      <w:r>
        <w:rPr>
          <w:color w:val="231F20"/>
          <w:spacing w:val="-31"/>
          <w:w w:val="105"/>
        </w:rPr>
        <w:t> </w:t>
      </w:r>
      <w:r>
        <w:rPr>
          <w:color w:val="231F20"/>
          <w:w w:val="105"/>
        </w:rPr>
        <w:t>(Ilzetzki,</w:t>
      </w:r>
      <w:r>
        <w:rPr>
          <w:color w:val="231F20"/>
          <w:spacing w:val="-35"/>
          <w:w w:val="105"/>
        </w:rPr>
        <w:t> </w:t>
      </w:r>
      <w:r>
        <w:rPr>
          <w:color w:val="231F20"/>
          <w:w w:val="105"/>
        </w:rPr>
        <w:t>2006).</w:t>
      </w:r>
    </w:p>
    <w:p>
      <w:pPr>
        <w:spacing w:after="0" w:line="259" w:lineRule="auto"/>
        <w:jc w:val="both"/>
        <w:sectPr>
          <w:type w:val="continuous"/>
          <w:pgSz w:w="9640" w:h="13890"/>
          <w:pgMar w:top="1300" w:bottom="280" w:left="1300" w:right="1180"/>
        </w:sectPr>
      </w:pPr>
    </w:p>
    <w:p>
      <w:pPr>
        <w:pStyle w:val="BodyText"/>
        <w:spacing w:line="259" w:lineRule="auto" w:before="78"/>
        <w:ind w:left="103" w:right="110"/>
        <w:jc w:val="both"/>
      </w:pPr>
      <w:r>
        <w:rPr>
          <w:color w:val="231F20"/>
          <w:w w:val="105"/>
        </w:rPr>
        <w:t>Una medición alternativa para apreciar los movimientos cíclicos del</w:t>
      </w:r>
      <w:r>
        <w:rPr>
          <w:color w:val="231F20"/>
          <w:spacing w:val="-37"/>
          <w:w w:val="105"/>
        </w:rPr>
        <w:t> </w:t>
      </w:r>
      <w:r>
        <w:rPr>
          <w:color w:val="231F20"/>
          <w:w w:val="105"/>
        </w:rPr>
        <w:t>ba- lance</w:t>
      </w:r>
      <w:r>
        <w:rPr>
          <w:color w:val="231F20"/>
          <w:spacing w:val="-15"/>
          <w:w w:val="105"/>
        </w:rPr>
        <w:t> </w:t>
      </w:r>
      <w:r>
        <w:rPr>
          <w:color w:val="231F20"/>
          <w:w w:val="105"/>
        </w:rPr>
        <w:t>primario</w:t>
      </w:r>
      <w:r>
        <w:rPr>
          <w:color w:val="231F20"/>
          <w:spacing w:val="-15"/>
          <w:w w:val="105"/>
        </w:rPr>
        <w:t> </w:t>
      </w:r>
      <w:r>
        <w:rPr>
          <w:color w:val="231F20"/>
          <w:w w:val="105"/>
        </w:rPr>
        <w:t>no</w:t>
      </w:r>
      <w:r>
        <w:rPr>
          <w:color w:val="231F20"/>
          <w:spacing w:val="-15"/>
          <w:w w:val="105"/>
        </w:rPr>
        <w:t> </w:t>
      </w:r>
      <w:r>
        <w:rPr>
          <w:color w:val="231F20"/>
          <w:w w:val="105"/>
        </w:rPr>
        <w:t>petrolero</w:t>
      </w:r>
      <w:r>
        <w:rPr>
          <w:color w:val="231F20"/>
          <w:spacing w:val="-15"/>
          <w:w w:val="105"/>
        </w:rPr>
        <w:t> </w:t>
      </w:r>
      <w:r>
        <w:rPr>
          <w:color w:val="231F20"/>
          <w:w w:val="105"/>
        </w:rPr>
        <w:t>consiste</w:t>
      </w:r>
      <w:r>
        <w:rPr>
          <w:color w:val="231F20"/>
          <w:spacing w:val="-15"/>
          <w:w w:val="105"/>
        </w:rPr>
        <w:t> </w:t>
      </w:r>
      <w:r>
        <w:rPr>
          <w:color w:val="231F20"/>
          <w:w w:val="105"/>
        </w:rPr>
        <w:t>en</w:t>
      </w:r>
      <w:r>
        <w:rPr>
          <w:color w:val="231F20"/>
          <w:spacing w:val="-15"/>
          <w:w w:val="105"/>
        </w:rPr>
        <w:t> </w:t>
      </w:r>
      <w:r>
        <w:rPr>
          <w:color w:val="231F20"/>
          <w:w w:val="105"/>
        </w:rPr>
        <w:t>ajustar</w:t>
      </w:r>
      <w:r>
        <w:rPr>
          <w:color w:val="231F20"/>
          <w:spacing w:val="-15"/>
          <w:w w:val="105"/>
        </w:rPr>
        <w:t> </w:t>
      </w:r>
      <w:r>
        <w:rPr>
          <w:color w:val="231F20"/>
          <w:w w:val="105"/>
        </w:rPr>
        <w:t>cíclicamente</w:t>
      </w:r>
      <w:r>
        <w:rPr>
          <w:color w:val="231F20"/>
          <w:spacing w:val="-15"/>
          <w:w w:val="105"/>
        </w:rPr>
        <w:t> </w:t>
      </w:r>
      <w:r>
        <w:rPr>
          <w:color w:val="231F20"/>
          <w:w w:val="105"/>
        </w:rPr>
        <w:t>los</w:t>
      </w:r>
      <w:r>
        <w:rPr>
          <w:color w:val="231F20"/>
          <w:spacing w:val="-15"/>
          <w:w w:val="105"/>
        </w:rPr>
        <w:t> </w:t>
      </w:r>
      <w:r>
        <w:rPr>
          <w:color w:val="231F20"/>
          <w:w w:val="105"/>
        </w:rPr>
        <w:t>ingresos y</w:t>
      </w:r>
      <w:r>
        <w:rPr>
          <w:color w:val="231F20"/>
          <w:spacing w:val="-6"/>
          <w:w w:val="105"/>
        </w:rPr>
        <w:t> </w:t>
      </w:r>
      <w:r>
        <w:rPr>
          <w:color w:val="231F20"/>
          <w:w w:val="105"/>
        </w:rPr>
        <w:t>gastos</w:t>
      </w:r>
      <w:r>
        <w:rPr>
          <w:color w:val="231F20"/>
          <w:spacing w:val="-6"/>
          <w:w w:val="105"/>
        </w:rPr>
        <w:t> </w:t>
      </w:r>
      <w:r>
        <w:rPr>
          <w:color w:val="231F20"/>
          <w:w w:val="105"/>
        </w:rPr>
        <w:t>fiscales</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fluctuaciones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precios</w:t>
      </w:r>
      <w:r>
        <w:rPr>
          <w:color w:val="231F20"/>
          <w:spacing w:val="-6"/>
          <w:w w:val="105"/>
        </w:rPr>
        <w:t> </w:t>
      </w:r>
      <w:r>
        <w:rPr>
          <w:color w:val="231F20"/>
          <w:w w:val="105"/>
        </w:rPr>
        <w:t>del</w:t>
      </w:r>
      <w:r>
        <w:rPr>
          <w:color w:val="231F20"/>
          <w:spacing w:val="-6"/>
          <w:w w:val="105"/>
        </w:rPr>
        <w:t> </w:t>
      </w:r>
      <w:r>
        <w:rPr>
          <w:color w:val="231F20"/>
          <w:w w:val="105"/>
        </w:rPr>
        <w:t>petróleo</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bre- cha del producto, llamado el balance cíclicamente ajustado</w:t>
      </w:r>
      <w:r>
        <w:rPr>
          <w:color w:val="231F20"/>
          <w:spacing w:val="-30"/>
          <w:w w:val="105"/>
        </w:rPr>
        <w:t> </w:t>
      </w:r>
      <w:r>
        <w:rPr>
          <w:color w:val="231F20"/>
          <w:w w:val="105"/>
        </w:rPr>
        <w:t>(Villafuerte, López,</w:t>
      </w:r>
      <w:r>
        <w:rPr>
          <w:color w:val="231F20"/>
          <w:spacing w:val="-18"/>
          <w:w w:val="105"/>
        </w:rPr>
        <w:t> </w:t>
      </w:r>
      <w:r>
        <w:rPr>
          <w:color w:val="231F20"/>
          <w:w w:val="105"/>
        </w:rPr>
        <w:t>y</w:t>
      </w:r>
      <w:r>
        <w:rPr>
          <w:color w:val="231F20"/>
          <w:spacing w:val="-14"/>
          <w:w w:val="105"/>
        </w:rPr>
        <w:t> </w:t>
      </w:r>
      <w:r>
        <w:rPr>
          <w:color w:val="231F20"/>
          <w:w w:val="105"/>
        </w:rPr>
        <w:t>Ossowski,</w:t>
      </w:r>
      <w:r>
        <w:rPr>
          <w:color w:val="231F20"/>
          <w:spacing w:val="-18"/>
          <w:w w:val="105"/>
        </w:rPr>
        <w:t> </w:t>
      </w:r>
      <w:r>
        <w:rPr>
          <w:color w:val="231F20"/>
          <w:w w:val="105"/>
        </w:rPr>
        <w:t>2011).</w:t>
      </w:r>
      <w:r>
        <w:rPr>
          <w:color w:val="231F20"/>
          <w:spacing w:val="-18"/>
          <w:w w:val="105"/>
        </w:rPr>
        <w:t> </w:t>
      </w:r>
      <w:r>
        <w:rPr>
          <w:color w:val="231F20"/>
          <w:w w:val="105"/>
        </w:rPr>
        <w:t>Esta</w:t>
      </w:r>
      <w:r>
        <w:rPr>
          <w:color w:val="231F20"/>
          <w:spacing w:val="-14"/>
          <w:w w:val="105"/>
        </w:rPr>
        <w:t> </w:t>
      </w:r>
      <w:r>
        <w:rPr>
          <w:color w:val="231F20"/>
          <w:w w:val="105"/>
        </w:rPr>
        <w:t>especificación</w:t>
      </w:r>
      <w:r>
        <w:rPr>
          <w:color w:val="231F20"/>
          <w:spacing w:val="-14"/>
          <w:w w:val="105"/>
        </w:rPr>
        <w:t> </w:t>
      </w:r>
      <w:r>
        <w:rPr>
          <w:color w:val="231F20"/>
          <w:w w:val="105"/>
        </w:rPr>
        <w:t>permite</w:t>
      </w:r>
      <w:r>
        <w:rPr>
          <w:color w:val="231F20"/>
          <w:spacing w:val="-14"/>
          <w:w w:val="105"/>
        </w:rPr>
        <w:t> </w:t>
      </w:r>
      <w:r>
        <w:rPr>
          <w:color w:val="231F20"/>
          <w:w w:val="105"/>
        </w:rPr>
        <w:t>captar</w:t>
      </w:r>
      <w:r>
        <w:rPr>
          <w:color w:val="231F20"/>
          <w:spacing w:val="-14"/>
          <w:w w:val="105"/>
        </w:rPr>
        <w:t> </w:t>
      </w:r>
      <w:r>
        <w:rPr>
          <w:color w:val="231F20"/>
          <w:w w:val="105"/>
        </w:rPr>
        <w:t>la</w:t>
      </w:r>
      <w:r>
        <w:rPr>
          <w:color w:val="231F20"/>
          <w:spacing w:val="-14"/>
          <w:w w:val="105"/>
        </w:rPr>
        <w:t> </w:t>
      </w:r>
      <w:r>
        <w:rPr>
          <w:color w:val="231F20"/>
          <w:w w:val="105"/>
        </w:rPr>
        <w:t>orienta- ción</w:t>
      </w:r>
      <w:r>
        <w:rPr>
          <w:color w:val="231F20"/>
          <w:spacing w:val="-25"/>
          <w:w w:val="105"/>
        </w:rPr>
        <w:t> </w:t>
      </w:r>
      <w:r>
        <w:rPr>
          <w:color w:val="231F20"/>
          <w:w w:val="105"/>
        </w:rPr>
        <w:t>expansiva</w:t>
      </w:r>
      <w:r>
        <w:rPr>
          <w:color w:val="231F20"/>
          <w:spacing w:val="-25"/>
          <w:w w:val="105"/>
        </w:rPr>
        <w:t> </w:t>
      </w:r>
      <w:r>
        <w:rPr>
          <w:color w:val="231F20"/>
          <w:w w:val="105"/>
        </w:rPr>
        <w:t>o</w:t>
      </w:r>
      <w:r>
        <w:rPr>
          <w:color w:val="231F20"/>
          <w:spacing w:val="-25"/>
          <w:w w:val="105"/>
        </w:rPr>
        <w:t> </w:t>
      </w:r>
      <w:r>
        <w:rPr>
          <w:color w:val="231F20"/>
          <w:w w:val="105"/>
        </w:rPr>
        <w:t>contractiva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posición</w:t>
      </w:r>
      <w:r>
        <w:rPr>
          <w:color w:val="231F20"/>
          <w:spacing w:val="-25"/>
          <w:w w:val="105"/>
        </w:rPr>
        <w:t> </w:t>
      </w:r>
      <w:r>
        <w:rPr>
          <w:color w:val="231F20"/>
          <w:w w:val="105"/>
        </w:rPr>
        <w:t>fiscal,</w:t>
      </w:r>
      <w:r>
        <w:rPr>
          <w:color w:val="231F20"/>
          <w:spacing w:val="-31"/>
          <w:w w:val="105"/>
        </w:rPr>
        <w:t> </w:t>
      </w:r>
      <w:r>
        <w:rPr>
          <w:color w:val="231F20"/>
          <w:w w:val="105"/>
        </w:rPr>
        <w:t>así</w:t>
      </w:r>
      <w:r>
        <w:rPr>
          <w:color w:val="231F20"/>
          <w:spacing w:val="-25"/>
          <w:w w:val="105"/>
        </w:rPr>
        <w:t> </w:t>
      </w:r>
      <w:r>
        <w:rPr>
          <w:color w:val="231F20"/>
          <w:w w:val="105"/>
        </w:rPr>
        <w:t>como</w:t>
      </w:r>
      <w:r>
        <w:rPr>
          <w:color w:val="231F20"/>
          <w:spacing w:val="-25"/>
          <w:w w:val="105"/>
        </w:rPr>
        <w:t> </w:t>
      </w:r>
      <w:r>
        <w:rPr>
          <w:color w:val="231F20"/>
          <w:w w:val="105"/>
        </w:rPr>
        <w:t>su</w:t>
      </w:r>
      <w:r>
        <w:rPr>
          <w:color w:val="231F20"/>
          <w:spacing w:val="-25"/>
          <w:w w:val="105"/>
        </w:rPr>
        <w:t> </w:t>
      </w:r>
      <w:r>
        <w:rPr>
          <w:color w:val="231F20"/>
          <w:w w:val="105"/>
        </w:rPr>
        <w:t>orientación fiscal</w:t>
      </w:r>
      <w:r>
        <w:rPr>
          <w:color w:val="231F20"/>
          <w:spacing w:val="-31"/>
          <w:w w:val="105"/>
        </w:rPr>
        <w:t> </w:t>
      </w:r>
      <w:r>
        <w:rPr>
          <w:color w:val="231F20"/>
          <w:w w:val="105"/>
        </w:rPr>
        <w:t>(</w:t>
      </w:r>
      <w:r>
        <w:rPr>
          <w:color w:val="231F20"/>
          <w:spacing w:val="-31"/>
          <w:w w:val="105"/>
        </w:rPr>
        <w:t> </w:t>
      </w:r>
      <w:r>
        <w:rPr>
          <w:color w:val="231F20"/>
          <w:w w:val="105"/>
        </w:rPr>
        <w:t>procíclica,</w:t>
      </w:r>
      <w:r>
        <w:rPr>
          <w:color w:val="231F20"/>
          <w:spacing w:val="-35"/>
          <w:w w:val="105"/>
        </w:rPr>
        <w:t> </w:t>
      </w:r>
      <w:r>
        <w:rPr>
          <w:color w:val="231F20"/>
          <w:w w:val="105"/>
        </w:rPr>
        <w:t>contracíclica</w:t>
      </w:r>
      <w:r>
        <w:rPr>
          <w:color w:val="231F20"/>
          <w:spacing w:val="-31"/>
          <w:w w:val="105"/>
        </w:rPr>
        <w:t> </w:t>
      </w:r>
      <w:r>
        <w:rPr>
          <w:color w:val="231F20"/>
          <w:w w:val="105"/>
        </w:rPr>
        <w:t>o</w:t>
      </w:r>
      <w:r>
        <w:rPr>
          <w:color w:val="231F20"/>
          <w:spacing w:val="-31"/>
          <w:w w:val="105"/>
        </w:rPr>
        <w:t> </w:t>
      </w:r>
      <w:r>
        <w:rPr>
          <w:color w:val="231F20"/>
          <w:w w:val="105"/>
        </w:rPr>
        <w:t>neutral).</w:t>
      </w:r>
    </w:p>
    <w:p>
      <w:pPr>
        <w:pStyle w:val="BodyText"/>
        <w:spacing w:line="259" w:lineRule="auto"/>
        <w:ind w:left="103" w:right="115" w:firstLine="567"/>
        <w:jc w:val="both"/>
      </w:pPr>
      <w:r>
        <w:rPr>
          <w:color w:val="231F20"/>
          <w:w w:val="105"/>
        </w:rPr>
        <w:t>El tipo de orientación fiscal es importante para determinar en</w:t>
      </w:r>
      <w:r>
        <w:rPr>
          <w:color w:val="231F20"/>
          <w:spacing w:val="-31"/>
          <w:w w:val="105"/>
        </w:rPr>
        <w:t> </w:t>
      </w:r>
      <w:r>
        <w:rPr>
          <w:color w:val="231F20"/>
          <w:w w:val="105"/>
        </w:rPr>
        <w:t>qué medida</w:t>
      </w:r>
      <w:r>
        <w:rPr>
          <w:color w:val="231F20"/>
          <w:spacing w:val="-8"/>
          <w:w w:val="105"/>
        </w:rPr>
        <w:t> </w:t>
      </w:r>
      <w:r>
        <w:rPr>
          <w:color w:val="231F20"/>
          <w:w w:val="105"/>
        </w:rPr>
        <w:t>un</w:t>
      </w:r>
      <w:r>
        <w:rPr>
          <w:color w:val="231F20"/>
          <w:spacing w:val="-8"/>
          <w:w w:val="105"/>
        </w:rPr>
        <w:t> </w:t>
      </w:r>
      <w:r>
        <w:rPr>
          <w:color w:val="231F20"/>
          <w:w w:val="105"/>
        </w:rPr>
        <w:t>gobierno</w:t>
      </w:r>
      <w:r>
        <w:rPr>
          <w:color w:val="231F20"/>
          <w:spacing w:val="-8"/>
          <w:w w:val="105"/>
        </w:rPr>
        <w:t> </w:t>
      </w:r>
      <w:r>
        <w:rPr>
          <w:color w:val="231F20"/>
          <w:w w:val="105"/>
        </w:rPr>
        <w:t>cumple</w:t>
      </w:r>
      <w:r>
        <w:rPr>
          <w:color w:val="231F20"/>
          <w:spacing w:val="-8"/>
          <w:w w:val="105"/>
        </w:rPr>
        <w:t> </w:t>
      </w:r>
      <w:r>
        <w:rPr>
          <w:color w:val="231F20"/>
          <w:w w:val="105"/>
        </w:rPr>
        <w:t>su</w:t>
      </w:r>
      <w:r>
        <w:rPr>
          <w:color w:val="231F20"/>
          <w:spacing w:val="-8"/>
          <w:w w:val="105"/>
        </w:rPr>
        <w:t> </w:t>
      </w:r>
      <w:r>
        <w:rPr>
          <w:color w:val="231F20"/>
          <w:w w:val="105"/>
        </w:rPr>
        <w:t>rol</w:t>
      </w:r>
      <w:r>
        <w:rPr>
          <w:color w:val="231F20"/>
          <w:spacing w:val="-8"/>
          <w:w w:val="105"/>
        </w:rPr>
        <w:t> </w:t>
      </w:r>
      <w:r>
        <w:rPr>
          <w:color w:val="231F20"/>
          <w:w w:val="105"/>
        </w:rPr>
        <w:t>fiscal.</w:t>
      </w:r>
      <w:r>
        <w:rPr>
          <w:color w:val="231F20"/>
          <w:spacing w:val="-14"/>
          <w:w w:val="105"/>
        </w:rPr>
        <w:t> </w:t>
      </w:r>
      <w:r>
        <w:rPr>
          <w:color w:val="231F20"/>
          <w:spacing w:val="-4"/>
          <w:w w:val="105"/>
        </w:rPr>
        <w:t>Para</w:t>
      </w:r>
      <w:r>
        <w:rPr>
          <w:color w:val="231F20"/>
          <w:spacing w:val="-8"/>
          <w:w w:val="105"/>
        </w:rPr>
        <w:t> </w:t>
      </w:r>
      <w:r>
        <w:rPr>
          <w:color w:val="231F20"/>
          <w:w w:val="105"/>
        </w:rPr>
        <w:t>ello,</w:t>
      </w:r>
      <w:r>
        <w:rPr>
          <w:color w:val="231F20"/>
          <w:spacing w:val="-14"/>
          <w:w w:val="105"/>
        </w:rPr>
        <w:t> </w:t>
      </w:r>
      <w:r>
        <w:rPr>
          <w:color w:val="231F20"/>
          <w:w w:val="105"/>
        </w:rPr>
        <w:t>existen</w:t>
      </w:r>
      <w:r>
        <w:rPr>
          <w:color w:val="231F20"/>
          <w:spacing w:val="-8"/>
          <w:w w:val="105"/>
        </w:rPr>
        <w:t> </w:t>
      </w:r>
      <w:r>
        <w:rPr>
          <w:color w:val="231F20"/>
          <w:w w:val="105"/>
        </w:rPr>
        <w:t>dos</w:t>
      </w:r>
      <w:r>
        <w:rPr>
          <w:color w:val="231F20"/>
          <w:spacing w:val="-8"/>
          <w:w w:val="105"/>
        </w:rPr>
        <w:t> </w:t>
      </w:r>
      <w:r>
        <w:rPr>
          <w:color w:val="231F20"/>
          <w:w w:val="105"/>
        </w:rPr>
        <w:t>posturas filosóficas:</w:t>
      </w:r>
      <w:r>
        <w:rPr>
          <w:color w:val="231F20"/>
          <w:spacing w:val="-18"/>
          <w:w w:val="105"/>
        </w:rPr>
        <w:t> </w:t>
      </w:r>
      <w:r>
        <w:rPr>
          <w:color w:val="231F20"/>
          <w:w w:val="105"/>
        </w:rPr>
        <w:t>(i)</w:t>
      </w:r>
      <w:r>
        <w:rPr>
          <w:color w:val="231F20"/>
          <w:spacing w:val="-18"/>
          <w:w w:val="105"/>
        </w:rPr>
        <w:t> </w:t>
      </w:r>
      <w:r>
        <w:rPr>
          <w:color w:val="231F20"/>
          <w:w w:val="105"/>
        </w:rPr>
        <w:t>la</w:t>
      </w:r>
      <w:r>
        <w:rPr>
          <w:color w:val="231F20"/>
          <w:spacing w:val="-18"/>
          <w:w w:val="105"/>
        </w:rPr>
        <w:t> </w:t>
      </w:r>
      <w:r>
        <w:rPr>
          <w:color w:val="231F20"/>
          <w:w w:val="105"/>
        </w:rPr>
        <w:t>keynesiana</w:t>
      </w:r>
      <w:r>
        <w:rPr>
          <w:color w:val="231F20"/>
          <w:spacing w:val="-18"/>
          <w:w w:val="105"/>
        </w:rPr>
        <w:t> </w:t>
      </w:r>
      <w:r>
        <w:rPr>
          <w:color w:val="231F20"/>
          <w:w w:val="105"/>
        </w:rPr>
        <w:t>que</w:t>
      </w:r>
      <w:r>
        <w:rPr>
          <w:color w:val="231F20"/>
          <w:spacing w:val="-18"/>
          <w:w w:val="105"/>
        </w:rPr>
        <w:t> </w:t>
      </w:r>
      <w:r>
        <w:rPr>
          <w:color w:val="231F20"/>
          <w:w w:val="105"/>
        </w:rPr>
        <w:t>sugiere</w:t>
      </w:r>
      <w:r>
        <w:rPr>
          <w:color w:val="231F20"/>
          <w:spacing w:val="-18"/>
          <w:w w:val="105"/>
        </w:rPr>
        <w:t> </w:t>
      </w:r>
      <w:r>
        <w:rPr>
          <w:color w:val="231F20"/>
          <w:w w:val="105"/>
        </w:rPr>
        <w:t>una</w:t>
      </w:r>
      <w:r>
        <w:rPr>
          <w:color w:val="231F20"/>
          <w:spacing w:val="-18"/>
          <w:w w:val="105"/>
        </w:rPr>
        <w:t> </w:t>
      </w:r>
      <w:r>
        <w:rPr>
          <w:color w:val="231F20"/>
          <w:w w:val="105"/>
        </w:rPr>
        <w:t>orientación</w:t>
      </w:r>
      <w:r>
        <w:rPr>
          <w:color w:val="231F20"/>
          <w:spacing w:val="-18"/>
          <w:w w:val="105"/>
        </w:rPr>
        <w:t> </w:t>
      </w:r>
      <w:r>
        <w:rPr>
          <w:color w:val="231F20"/>
          <w:w w:val="105"/>
        </w:rPr>
        <w:t>contracíclica</w:t>
      </w:r>
      <w:r>
        <w:rPr>
          <w:color w:val="231F20"/>
          <w:spacing w:val="-18"/>
          <w:w w:val="105"/>
        </w:rPr>
        <w:t> </w:t>
      </w:r>
      <w:r>
        <w:rPr>
          <w:color w:val="231F20"/>
          <w:w w:val="105"/>
        </w:rPr>
        <w:t>en tiempos de recesión (el gasto público estimula la demanda</w:t>
      </w:r>
      <w:r>
        <w:rPr>
          <w:color w:val="231F20"/>
          <w:spacing w:val="45"/>
          <w:w w:val="105"/>
        </w:rPr>
        <w:t> </w:t>
      </w:r>
      <w:r>
        <w:rPr>
          <w:color w:val="231F20"/>
          <w:w w:val="105"/>
        </w:rPr>
        <w:t>agregada);</w:t>
      </w:r>
    </w:p>
    <w:p>
      <w:pPr>
        <w:pStyle w:val="BodyText"/>
        <w:spacing w:line="259" w:lineRule="auto"/>
        <w:ind w:left="103" w:right="115"/>
        <w:jc w:val="both"/>
      </w:pPr>
      <w:r>
        <w:rPr>
          <w:color w:val="231F20"/>
          <w:w w:val="105"/>
        </w:rPr>
        <w:t>(ii)</w:t>
      </w:r>
      <w:r>
        <w:rPr>
          <w:color w:val="231F20"/>
          <w:spacing w:val="-16"/>
          <w:w w:val="105"/>
        </w:rPr>
        <w:t> </w:t>
      </w:r>
      <w:r>
        <w:rPr>
          <w:color w:val="231F20"/>
          <w:w w:val="105"/>
        </w:rPr>
        <w:t>la</w:t>
      </w:r>
      <w:r>
        <w:rPr>
          <w:color w:val="231F20"/>
          <w:spacing w:val="-16"/>
          <w:w w:val="105"/>
        </w:rPr>
        <w:t> </w:t>
      </w:r>
      <w:r>
        <w:rPr>
          <w:color w:val="231F20"/>
          <w:w w:val="105"/>
        </w:rPr>
        <w:t>neoclásica,</w:t>
      </w:r>
      <w:r>
        <w:rPr>
          <w:color w:val="231F20"/>
          <w:spacing w:val="-21"/>
          <w:w w:val="105"/>
        </w:rPr>
        <w:t> </w:t>
      </w:r>
      <w:r>
        <w:rPr>
          <w:color w:val="231F20"/>
          <w:w w:val="105"/>
        </w:rPr>
        <w:t>donde</w:t>
      </w:r>
      <w:r>
        <w:rPr>
          <w:color w:val="231F20"/>
          <w:spacing w:val="-16"/>
          <w:w w:val="105"/>
        </w:rPr>
        <w:t> </w:t>
      </w:r>
      <w:r>
        <w:rPr>
          <w:color w:val="231F20"/>
          <w:w w:val="105"/>
        </w:rPr>
        <w:t>la</w:t>
      </w:r>
      <w:r>
        <w:rPr>
          <w:color w:val="231F20"/>
          <w:spacing w:val="-16"/>
          <w:w w:val="105"/>
        </w:rPr>
        <w:t> </w:t>
      </w:r>
      <w:r>
        <w:rPr>
          <w:color w:val="231F20"/>
          <w:w w:val="105"/>
        </w:rPr>
        <w:t>política</w:t>
      </w:r>
      <w:r>
        <w:rPr>
          <w:color w:val="231F20"/>
          <w:spacing w:val="-16"/>
          <w:w w:val="105"/>
        </w:rPr>
        <w:t> </w:t>
      </w:r>
      <w:r>
        <w:rPr>
          <w:color w:val="231F20"/>
          <w:w w:val="105"/>
        </w:rPr>
        <w:t>fiscal</w:t>
      </w:r>
      <w:r>
        <w:rPr>
          <w:color w:val="231F20"/>
          <w:spacing w:val="-16"/>
          <w:w w:val="105"/>
        </w:rPr>
        <w:t> </w:t>
      </w:r>
      <w:r>
        <w:rPr>
          <w:color w:val="231F20"/>
          <w:w w:val="105"/>
        </w:rPr>
        <w:t>debe</w:t>
      </w:r>
      <w:r>
        <w:rPr>
          <w:color w:val="231F20"/>
          <w:spacing w:val="-16"/>
          <w:w w:val="105"/>
        </w:rPr>
        <w:t> </w:t>
      </w:r>
      <w:r>
        <w:rPr>
          <w:color w:val="231F20"/>
          <w:w w:val="105"/>
        </w:rPr>
        <w:t>mantenerse</w:t>
      </w:r>
      <w:r>
        <w:rPr>
          <w:color w:val="231F20"/>
          <w:spacing w:val="-16"/>
          <w:w w:val="105"/>
        </w:rPr>
        <w:t> </w:t>
      </w:r>
      <w:r>
        <w:rPr>
          <w:color w:val="231F20"/>
          <w:w w:val="105"/>
        </w:rPr>
        <w:t>de</w:t>
      </w:r>
      <w:r>
        <w:rPr>
          <w:color w:val="231F20"/>
          <w:spacing w:val="-16"/>
          <w:w w:val="105"/>
        </w:rPr>
        <w:t> </w:t>
      </w:r>
      <w:r>
        <w:rPr>
          <w:color w:val="231F20"/>
          <w:w w:val="105"/>
        </w:rPr>
        <w:t>forma</w:t>
      </w:r>
      <w:r>
        <w:rPr>
          <w:color w:val="231F20"/>
          <w:spacing w:val="-16"/>
          <w:w w:val="105"/>
        </w:rPr>
        <w:t> </w:t>
      </w:r>
      <w:r>
        <w:rPr>
          <w:color w:val="231F20"/>
          <w:w w:val="105"/>
        </w:rPr>
        <w:t>neu- tral</w:t>
      </w:r>
      <w:r>
        <w:rPr>
          <w:color w:val="231F20"/>
          <w:spacing w:val="-8"/>
          <w:w w:val="105"/>
        </w:rPr>
        <w:t> </w:t>
      </w:r>
      <w:r>
        <w:rPr>
          <w:color w:val="231F20"/>
          <w:w w:val="105"/>
        </w:rPr>
        <w:t>(acíclica)</w:t>
      </w:r>
      <w:r>
        <w:rPr>
          <w:color w:val="231F20"/>
          <w:spacing w:val="-8"/>
          <w:w w:val="105"/>
        </w:rPr>
        <w:t> </w:t>
      </w:r>
      <w:r>
        <w:rPr>
          <w:color w:val="231F20"/>
          <w:w w:val="105"/>
        </w:rPr>
        <w:t>bajo</w:t>
      </w:r>
      <w:r>
        <w:rPr>
          <w:color w:val="231F20"/>
          <w:spacing w:val="-8"/>
          <w:w w:val="105"/>
        </w:rPr>
        <w:t> </w:t>
      </w:r>
      <w:r>
        <w:rPr>
          <w:color w:val="231F20"/>
          <w:w w:val="105"/>
        </w:rPr>
        <w:t>el</w:t>
      </w:r>
      <w:r>
        <w:rPr>
          <w:color w:val="231F20"/>
          <w:spacing w:val="-8"/>
          <w:w w:val="105"/>
        </w:rPr>
        <w:t> </w:t>
      </w:r>
      <w:r>
        <w:rPr>
          <w:color w:val="231F20"/>
          <w:w w:val="105"/>
        </w:rPr>
        <w:t>supuesto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influencia</w:t>
      </w:r>
      <w:r>
        <w:rPr>
          <w:color w:val="231F20"/>
          <w:spacing w:val="-8"/>
          <w:w w:val="105"/>
        </w:rPr>
        <w:t> </w:t>
      </w:r>
      <w:r>
        <w:rPr>
          <w:color w:val="231F20"/>
          <w:w w:val="105"/>
        </w:rPr>
        <w:t>del</w:t>
      </w:r>
      <w:r>
        <w:rPr>
          <w:color w:val="231F20"/>
          <w:spacing w:val="-8"/>
          <w:w w:val="105"/>
        </w:rPr>
        <w:t> </w:t>
      </w:r>
      <w:r>
        <w:rPr>
          <w:color w:val="231F20"/>
          <w:w w:val="105"/>
        </w:rPr>
        <w:t>gasto</w:t>
      </w:r>
      <w:r>
        <w:rPr>
          <w:color w:val="231F20"/>
          <w:spacing w:val="-8"/>
          <w:w w:val="105"/>
        </w:rPr>
        <w:t> </w:t>
      </w:r>
      <w:r>
        <w:rPr>
          <w:color w:val="231F20"/>
          <w:w w:val="105"/>
        </w:rPr>
        <w:t>público</w:t>
      </w:r>
      <w:r>
        <w:rPr>
          <w:color w:val="231F20"/>
          <w:spacing w:val="-8"/>
          <w:w w:val="105"/>
        </w:rPr>
        <w:t> </w:t>
      </w:r>
      <w:r>
        <w:rPr>
          <w:color w:val="231F20"/>
          <w:w w:val="105"/>
        </w:rPr>
        <w:t>sobre</w:t>
      </w:r>
      <w:r>
        <w:rPr>
          <w:color w:val="231F20"/>
          <w:spacing w:val="-8"/>
          <w:w w:val="105"/>
        </w:rPr>
        <w:t> </w:t>
      </w:r>
      <w:r>
        <w:rPr>
          <w:color w:val="231F20"/>
          <w:w w:val="105"/>
        </w:rPr>
        <w:t>la </w:t>
      </w:r>
      <w:r>
        <w:rPr>
          <w:color w:val="231F20"/>
        </w:rPr>
        <w:t>actividad económica (Kaminsky,</w:t>
      </w:r>
      <w:r>
        <w:rPr>
          <w:color w:val="231F20"/>
          <w:spacing w:val="41"/>
        </w:rPr>
        <w:t> </w:t>
      </w:r>
      <w:r>
        <w:rPr>
          <w:color w:val="231F20"/>
        </w:rPr>
        <w:t>2009).</w:t>
      </w:r>
    </w:p>
    <w:p>
      <w:pPr>
        <w:pStyle w:val="BodyText"/>
        <w:spacing w:line="259" w:lineRule="auto"/>
        <w:ind w:left="103" w:right="109" w:firstLine="567"/>
        <w:jc w:val="both"/>
      </w:pPr>
      <w:r>
        <w:rPr>
          <w:color w:val="231F20"/>
        </w:rPr>
        <w:t>Para economías dependientes del petróleo –o algún recurso natu- ral– el gobierno cumple su rol cuando la política fiscal es contracíclica a los precios del petróleo o, en su defecto, neutral (Gurvich, Vakulenko, y Krivenko, 2009). La evidencia empírica señala que economías en desa- rrollo, como las latinoamericanas, presentan políticas fiscales procíclicas en torno a las fluctuaciones de los precios de los recursos naturales, los términos de intercambio y la actividad económica en general (Frankel, 2010; Kaminsky, 2009). De forma contraria, las economías desarrolladas exhiben políticas fiscales contracíclicas, o al menos acíclicas, fundamen- tadas por los gastos de transferencias y bonos de desempleo que son utilizados durante tiempos de   recesión.</w:t>
      </w:r>
    </w:p>
    <w:p>
      <w:pPr>
        <w:pStyle w:val="BodyText"/>
        <w:spacing w:line="259" w:lineRule="auto"/>
        <w:ind w:left="103" w:right="114" w:firstLine="567"/>
        <w:jc w:val="both"/>
      </w:pPr>
      <w:r>
        <w:rPr>
          <w:color w:val="231F20"/>
          <w:w w:val="105"/>
        </w:rPr>
        <w:t>Algunas</w:t>
      </w:r>
      <w:r>
        <w:rPr>
          <w:color w:val="231F20"/>
          <w:spacing w:val="-31"/>
          <w:w w:val="105"/>
        </w:rPr>
        <w:t> </w:t>
      </w:r>
      <w:r>
        <w:rPr>
          <w:color w:val="231F20"/>
          <w:w w:val="105"/>
        </w:rPr>
        <w:t>explicaciones</w:t>
      </w:r>
      <w:r>
        <w:rPr>
          <w:color w:val="231F20"/>
          <w:spacing w:val="-31"/>
          <w:w w:val="105"/>
        </w:rPr>
        <w:t> </w:t>
      </w:r>
      <w:r>
        <w:rPr>
          <w:color w:val="231F20"/>
          <w:w w:val="105"/>
        </w:rPr>
        <w:t>sobre</w:t>
      </w:r>
      <w:r>
        <w:rPr>
          <w:color w:val="231F20"/>
          <w:spacing w:val="-31"/>
          <w:w w:val="105"/>
        </w:rPr>
        <w:t> </w:t>
      </w:r>
      <w:r>
        <w:rPr>
          <w:color w:val="231F20"/>
          <w:w w:val="105"/>
        </w:rPr>
        <w:t>el</w:t>
      </w:r>
      <w:r>
        <w:rPr>
          <w:color w:val="231F20"/>
          <w:spacing w:val="-31"/>
          <w:w w:val="105"/>
        </w:rPr>
        <w:t> </w:t>
      </w:r>
      <w:r>
        <w:rPr>
          <w:color w:val="231F20"/>
          <w:w w:val="105"/>
        </w:rPr>
        <w:t>origen</w:t>
      </w:r>
      <w:r>
        <w:rPr>
          <w:color w:val="231F20"/>
          <w:spacing w:val="-31"/>
          <w:w w:val="105"/>
        </w:rPr>
        <w:t> </w:t>
      </w:r>
      <w:r>
        <w:rPr>
          <w:color w:val="231F20"/>
          <w:w w:val="105"/>
        </w:rPr>
        <w:t>de</w:t>
      </w:r>
      <w:r>
        <w:rPr>
          <w:color w:val="231F20"/>
          <w:spacing w:val="-31"/>
          <w:w w:val="105"/>
        </w:rPr>
        <w:t> </w:t>
      </w:r>
      <w:r>
        <w:rPr>
          <w:color w:val="231F20"/>
          <w:w w:val="105"/>
        </w:rPr>
        <w:t>las</w:t>
      </w:r>
      <w:r>
        <w:rPr>
          <w:color w:val="231F20"/>
          <w:spacing w:val="-31"/>
          <w:w w:val="105"/>
        </w:rPr>
        <w:t> </w:t>
      </w:r>
      <w:r>
        <w:rPr>
          <w:color w:val="231F20"/>
          <w:w w:val="105"/>
        </w:rPr>
        <w:t>políticas</w:t>
      </w:r>
      <w:r>
        <w:rPr>
          <w:color w:val="231F20"/>
          <w:spacing w:val="-31"/>
          <w:w w:val="105"/>
        </w:rPr>
        <w:t> </w:t>
      </w:r>
      <w:r>
        <w:rPr>
          <w:color w:val="231F20"/>
          <w:w w:val="105"/>
        </w:rPr>
        <w:t>procíclicas</w:t>
      </w:r>
      <w:r>
        <w:rPr>
          <w:color w:val="231F20"/>
          <w:spacing w:val="-31"/>
          <w:w w:val="105"/>
        </w:rPr>
        <w:t> </w:t>
      </w:r>
      <w:r>
        <w:rPr>
          <w:color w:val="231F20"/>
          <w:w w:val="105"/>
        </w:rPr>
        <w:t>se fundamentan</w:t>
      </w:r>
      <w:r>
        <w:rPr>
          <w:color w:val="231F20"/>
          <w:spacing w:val="-17"/>
          <w:w w:val="105"/>
        </w:rPr>
        <w:t> </w:t>
      </w:r>
      <w:r>
        <w:rPr>
          <w:color w:val="231F20"/>
          <w:w w:val="105"/>
        </w:rPr>
        <w:t>en:</w:t>
      </w:r>
      <w:r>
        <w:rPr>
          <w:color w:val="231F20"/>
          <w:spacing w:val="-17"/>
          <w:w w:val="105"/>
        </w:rPr>
        <w:t> </w:t>
      </w:r>
      <w:r>
        <w:rPr>
          <w:color w:val="231F20"/>
          <w:w w:val="105"/>
        </w:rPr>
        <w:t>(1)</w:t>
      </w:r>
      <w:r>
        <w:rPr>
          <w:color w:val="231F20"/>
          <w:spacing w:val="-17"/>
          <w:w w:val="105"/>
        </w:rPr>
        <w:t> </w:t>
      </w:r>
      <w:r>
        <w:rPr>
          <w:color w:val="231F20"/>
          <w:w w:val="105"/>
        </w:rPr>
        <w:t>las</w:t>
      </w:r>
      <w:r>
        <w:rPr>
          <w:color w:val="231F20"/>
          <w:spacing w:val="-17"/>
          <w:w w:val="105"/>
        </w:rPr>
        <w:t> </w:t>
      </w:r>
      <w:r>
        <w:rPr>
          <w:color w:val="231F20"/>
          <w:w w:val="105"/>
        </w:rPr>
        <w:t>presiones</w:t>
      </w:r>
      <w:r>
        <w:rPr>
          <w:color w:val="231F20"/>
          <w:spacing w:val="-17"/>
          <w:w w:val="105"/>
        </w:rPr>
        <w:t> </w:t>
      </w:r>
      <w:r>
        <w:rPr>
          <w:color w:val="231F20"/>
          <w:w w:val="105"/>
        </w:rPr>
        <w:t>sociales</w:t>
      </w:r>
      <w:r>
        <w:rPr>
          <w:color w:val="231F20"/>
          <w:spacing w:val="-17"/>
          <w:w w:val="105"/>
        </w:rPr>
        <w:t> </w:t>
      </w:r>
      <w:r>
        <w:rPr>
          <w:color w:val="231F20"/>
          <w:w w:val="105"/>
        </w:rPr>
        <w:t>derivadas</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acumulación de</w:t>
      </w:r>
      <w:r>
        <w:rPr>
          <w:color w:val="231F20"/>
          <w:spacing w:val="-7"/>
          <w:w w:val="105"/>
        </w:rPr>
        <w:t> </w:t>
      </w:r>
      <w:r>
        <w:rPr>
          <w:color w:val="231F20"/>
          <w:w w:val="105"/>
        </w:rPr>
        <w:t>riquezas</w:t>
      </w:r>
      <w:r>
        <w:rPr>
          <w:color w:val="231F20"/>
          <w:spacing w:val="-7"/>
          <w:w w:val="105"/>
        </w:rPr>
        <w:t> </w:t>
      </w:r>
      <w:r>
        <w:rPr>
          <w:color w:val="231F20"/>
          <w:w w:val="105"/>
        </w:rPr>
        <w:t>petroleras,</w:t>
      </w:r>
      <w:r>
        <w:rPr>
          <w:color w:val="231F20"/>
          <w:spacing w:val="-12"/>
          <w:w w:val="105"/>
        </w:rPr>
        <w:t> </w:t>
      </w:r>
      <w:r>
        <w:rPr>
          <w:color w:val="231F20"/>
          <w:w w:val="105"/>
        </w:rPr>
        <w:t>es</w:t>
      </w:r>
      <w:r>
        <w:rPr>
          <w:color w:val="231F20"/>
          <w:spacing w:val="-7"/>
          <w:w w:val="105"/>
        </w:rPr>
        <w:t> </w:t>
      </w:r>
      <w:r>
        <w:rPr>
          <w:color w:val="231F20"/>
          <w:w w:val="105"/>
        </w:rPr>
        <w:t>decir,</w:t>
      </w:r>
      <w:r>
        <w:rPr>
          <w:color w:val="231F20"/>
          <w:spacing w:val="-12"/>
          <w:w w:val="105"/>
        </w:rPr>
        <w:t> </w:t>
      </w:r>
      <w:r>
        <w:rPr>
          <w:color w:val="231F20"/>
          <w:w w:val="105"/>
        </w:rPr>
        <w:t>donde</w:t>
      </w:r>
      <w:r>
        <w:rPr>
          <w:color w:val="231F20"/>
          <w:spacing w:val="-7"/>
          <w:w w:val="105"/>
        </w:rPr>
        <w:t> </w:t>
      </w:r>
      <w:r>
        <w:rPr>
          <w:color w:val="231F20"/>
          <w:w w:val="105"/>
        </w:rPr>
        <w:t>se</w:t>
      </w:r>
      <w:r>
        <w:rPr>
          <w:color w:val="231F20"/>
          <w:spacing w:val="-7"/>
          <w:w w:val="105"/>
        </w:rPr>
        <w:t> </w:t>
      </w:r>
      <w:r>
        <w:rPr>
          <w:color w:val="231F20"/>
          <w:w w:val="105"/>
        </w:rPr>
        <w:t>observa</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piscina común</w:t>
      </w:r>
      <w:r>
        <w:rPr>
          <w:color w:val="231F20"/>
          <w:spacing w:val="-16"/>
          <w:w w:val="105"/>
        </w:rPr>
        <w:t> </w:t>
      </w:r>
      <w:r>
        <w:rPr>
          <w:color w:val="231F20"/>
          <w:w w:val="105"/>
        </w:rPr>
        <w:t>con</w:t>
      </w:r>
      <w:r>
        <w:rPr>
          <w:color w:val="231F20"/>
          <w:spacing w:val="-16"/>
          <w:w w:val="105"/>
        </w:rPr>
        <w:t> </w:t>
      </w:r>
      <w:r>
        <w:rPr>
          <w:color w:val="231F20"/>
          <w:w w:val="105"/>
        </w:rPr>
        <w:t>muchos</w:t>
      </w:r>
      <w:r>
        <w:rPr>
          <w:color w:val="231F20"/>
          <w:spacing w:val="-16"/>
          <w:w w:val="105"/>
        </w:rPr>
        <w:t> </w:t>
      </w:r>
      <w:r>
        <w:rPr>
          <w:color w:val="231F20"/>
          <w:w w:val="105"/>
        </w:rPr>
        <w:t>participantes</w:t>
      </w:r>
      <w:r>
        <w:rPr>
          <w:color w:val="231F20"/>
          <w:spacing w:val="-16"/>
          <w:w w:val="105"/>
        </w:rPr>
        <w:t> </w:t>
      </w:r>
      <w:r>
        <w:rPr>
          <w:color w:val="231F20"/>
          <w:w w:val="105"/>
        </w:rPr>
        <w:t>involucrados</w:t>
      </w:r>
      <w:r>
        <w:rPr>
          <w:color w:val="231F20"/>
          <w:spacing w:val="-16"/>
          <w:w w:val="105"/>
        </w:rPr>
        <w:t> </w:t>
      </w:r>
      <w:r>
        <w:rPr>
          <w:color w:val="231F20"/>
          <w:w w:val="105"/>
        </w:rPr>
        <w:t>y</w:t>
      </w:r>
      <w:r>
        <w:rPr>
          <w:color w:val="231F20"/>
          <w:spacing w:val="-16"/>
          <w:w w:val="105"/>
        </w:rPr>
        <w:t> </w:t>
      </w:r>
      <w:r>
        <w:rPr>
          <w:color w:val="231F20"/>
          <w:w w:val="105"/>
        </w:rPr>
        <w:t>cada</w:t>
      </w:r>
      <w:r>
        <w:rPr>
          <w:color w:val="231F20"/>
          <w:spacing w:val="-16"/>
          <w:w w:val="105"/>
        </w:rPr>
        <w:t> </w:t>
      </w:r>
      <w:r>
        <w:rPr>
          <w:color w:val="231F20"/>
          <w:w w:val="105"/>
        </w:rPr>
        <w:t>uno</w:t>
      </w:r>
      <w:r>
        <w:rPr>
          <w:color w:val="231F20"/>
          <w:spacing w:val="-16"/>
          <w:w w:val="105"/>
        </w:rPr>
        <w:t> </w:t>
      </w:r>
      <w:r>
        <w:rPr>
          <w:color w:val="231F20"/>
          <w:w w:val="105"/>
        </w:rPr>
        <w:t>se</w:t>
      </w:r>
      <w:r>
        <w:rPr>
          <w:color w:val="231F20"/>
          <w:spacing w:val="-16"/>
          <w:w w:val="105"/>
        </w:rPr>
        <w:t> </w:t>
      </w:r>
      <w:r>
        <w:rPr>
          <w:color w:val="231F20"/>
          <w:w w:val="105"/>
        </w:rPr>
        <w:t>orienta</w:t>
      </w:r>
      <w:r>
        <w:rPr>
          <w:color w:val="231F20"/>
          <w:spacing w:val="-16"/>
          <w:w w:val="105"/>
        </w:rPr>
        <w:t> </w:t>
      </w:r>
      <w:r>
        <w:rPr>
          <w:color w:val="231F20"/>
          <w:w w:val="105"/>
        </w:rPr>
        <w:t>por su interés propio (Dabla-Norris, y otros, 2010), de tal forma que se in- crementa</w:t>
      </w:r>
      <w:r>
        <w:rPr>
          <w:color w:val="231F20"/>
          <w:spacing w:val="-6"/>
          <w:w w:val="105"/>
        </w:rPr>
        <w:t> </w:t>
      </w:r>
      <w:r>
        <w:rPr>
          <w:color w:val="231F20"/>
          <w:w w:val="105"/>
        </w:rPr>
        <w:t>el</w:t>
      </w:r>
      <w:r>
        <w:rPr>
          <w:color w:val="231F20"/>
          <w:spacing w:val="-6"/>
          <w:w w:val="105"/>
        </w:rPr>
        <w:t> </w:t>
      </w:r>
      <w:r>
        <w:rPr>
          <w:color w:val="231F20"/>
          <w:w w:val="105"/>
        </w:rPr>
        <w:t>gasto</w:t>
      </w:r>
      <w:r>
        <w:rPr>
          <w:color w:val="231F20"/>
          <w:spacing w:val="-6"/>
          <w:w w:val="105"/>
        </w:rPr>
        <w:t> </w:t>
      </w:r>
      <w:r>
        <w:rPr>
          <w:color w:val="231F20"/>
          <w:w w:val="105"/>
        </w:rPr>
        <w:t>público</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política</w:t>
      </w:r>
      <w:r>
        <w:rPr>
          <w:color w:val="231F20"/>
          <w:spacing w:val="-6"/>
          <w:w w:val="105"/>
        </w:rPr>
        <w:t> </w:t>
      </w:r>
      <w:r>
        <w:rPr>
          <w:color w:val="231F20"/>
          <w:w w:val="105"/>
        </w:rPr>
        <w:t>fiscal</w:t>
      </w:r>
      <w:r>
        <w:rPr>
          <w:color w:val="231F20"/>
          <w:spacing w:val="-6"/>
          <w:w w:val="105"/>
        </w:rPr>
        <w:t> </w:t>
      </w:r>
      <w:r>
        <w:rPr>
          <w:color w:val="231F20"/>
          <w:w w:val="105"/>
        </w:rPr>
        <w:t>se</w:t>
      </w:r>
      <w:r>
        <w:rPr>
          <w:color w:val="231F20"/>
          <w:spacing w:val="-6"/>
          <w:w w:val="105"/>
        </w:rPr>
        <w:t> </w:t>
      </w:r>
      <w:r>
        <w:rPr>
          <w:color w:val="231F20"/>
          <w:w w:val="105"/>
        </w:rPr>
        <w:t>vuelva</w:t>
      </w:r>
      <w:r>
        <w:rPr>
          <w:color w:val="231F20"/>
          <w:spacing w:val="-6"/>
          <w:w w:val="105"/>
        </w:rPr>
        <w:t> </w:t>
      </w:r>
      <w:r>
        <w:rPr>
          <w:color w:val="231F20"/>
          <w:w w:val="105"/>
        </w:rPr>
        <w:t>procíclica</w:t>
      </w:r>
      <w:r>
        <w:rPr>
          <w:color w:val="231F20"/>
          <w:spacing w:val="-6"/>
          <w:w w:val="105"/>
        </w:rPr>
        <w:t> </w:t>
      </w:r>
      <w:r>
        <w:rPr>
          <w:color w:val="231F20"/>
          <w:spacing w:val="-4"/>
          <w:w w:val="105"/>
        </w:rPr>
        <w:t>(Talvi</w:t>
      </w:r>
      <w:r>
        <w:rPr>
          <w:color w:val="231F20"/>
          <w:spacing w:val="-6"/>
          <w:w w:val="105"/>
        </w:rPr>
        <w:t> </w:t>
      </w:r>
      <w:r>
        <w:rPr>
          <w:color w:val="231F20"/>
          <w:w w:val="105"/>
        </w:rPr>
        <w:t>y Végh,</w:t>
      </w:r>
      <w:r>
        <w:rPr>
          <w:color w:val="231F20"/>
          <w:spacing w:val="-32"/>
          <w:w w:val="105"/>
        </w:rPr>
        <w:t> </w:t>
      </w:r>
      <w:r>
        <w:rPr>
          <w:color w:val="231F20"/>
          <w:w w:val="105"/>
        </w:rPr>
        <w:t>2005);</w:t>
      </w:r>
      <w:r>
        <w:rPr>
          <w:color w:val="231F20"/>
          <w:spacing w:val="-28"/>
          <w:w w:val="105"/>
        </w:rPr>
        <w:t> </w:t>
      </w:r>
      <w:r>
        <w:rPr>
          <w:color w:val="231F20"/>
          <w:w w:val="105"/>
        </w:rPr>
        <w:t>(2)</w:t>
      </w:r>
      <w:r>
        <w:rPr>
          <w:color w:val="231F20"/>
          <w:spacing w:val="-28"/>
          <w:w w:val="105"/>
        </w:rPr>
        <w:t> </w:t>
      </w:r>
      <w:r>
        <w:rPr>
          <w:color w:val="231F20"/>
          <w:w w:val="105"/>
        </w:rPr>
        <w:t>países</w:t>
      </w:r>
      <w:r>
        <w:rPr>
          <w:color w:val="231F20"/>
          <w:spacing w:val="-28"/>
          <w:w w:val="105"/>
        </w:rPr>
        <w:t> </w:t>
      </w:r>
      <w:r>
        <w:rPr>
          <w:color w:val="231F20"/>
          <w:w w:val="105"/>
        </w:rPr>
        <w:t>con</w:t>
      </w:r>
      <w:r>
        <w:rPr>
          <w:color w:val="231F20"/>
          <w:spacing w:val="-28"/>
          <w:w w:val="105"/>
        </w:rPr>
        <w:t> </w:t>
      </w:r>
      <w:r>
        <w:rPr>
          <w:color w:val="231F20"/>
          <w:w w:val="105"/>
        </w:rPr>
        <w:t>escasez</w:t>
      </w:r>
      <w:r>
        <w:rPr>
          <w:color w:val="231F20"/>
          <w:spacing w:val="-28"/>
          <w:w w:val="105"/>
        </w:rPr>
        <w:t> </w:t>
      </w:r>
      <w:r>
        <w:rPr>
          <w:color w:val="231F20"/>
          <w:w w:val="105"/>
        </w:rPr>
        <w:t>de</w:t>
      </w:r>
      <w:r>
        <w:rPr>
          <w:color w:val="231F20"/>
          <w:spacing w:val="-28"/>
          <w:w w:val="105"/>
        </w:rPr>
        <w:t> </w:t>
      </w:r>
      <w:r>
        <w:rPr>
          <w:color w:val="231F20"/>
          <w:w w:val="105"/>
        </w:rPr>
        <w:t>capital,</w:t>
      </w:r>
      <w:r>
        <w:rPr>
          <w:color w:val="231F20"/>
          <w:spacing w:val="-32"/>
          <w:w w:val="105"/>
        </w:rPr>
        <w:t> </w:t>
      </w:r>
      <w:r>
        <w:rPr>
          <w:color w:val="231F20"/>
          <w:w w:val="105"/>
        </w:rPr>
        <w:t>tasas</w:t>
      </w:r>
      <w:r>
        <w:rPr>
          <w:color w:val="231F20"/>
          <w:spacing w:val="-28"/>
          <w:w w:val="105"/>
        </w:rPr>
        <w:t> </w:t>
      </w:r>
      <w:r>
        <w:rPr>
          <w:color w:val="231F20"/>
          <w:w w:val="105"/>
        </w:rPr>
        <w:t>de</w:t>
      </w:r>
      <w:r>
        <w:rPr>
          <w:color w:val="231F20"/>
          <w:spacing w:val="-28"/>
          <w:w w:val="105"/>
        </w:rPr>
        <w:t> </w:t>
      </w:r>
      <w:r>
        <w:rPr>
          <w:color w:val="231F20"/>
          <w:w w:val="105"/>
        </w:rPr>
        <w:t>interés</w:t>
      </w:r>
      <w:r>
        <w:rPr>
          <w:color w:val="231F20"/>
          <w:spacing w:val="-28"/>
          <w:w w:val="105"/>
        </w:rPr>
        <w:t> </w:t>
      </w:r>
      <w:r>
        <w:rPr>
          <w:color w:val="231F20"/>
          <w:w w:val="105"/>
        </w:rPr>
        <w:t>de</w:t>
      </w:r>
      <w:r>
        <w:rPr>
          <w:color w:val="231F20"/>
          <w:spacing w:val="-28"/>
          <w:w w:val="105"/>
        </w:rPr>
        <w:t> </w:t>
      </w:r>
      <w:r>
        <w:rPr>
          <w:color w:val="231F20"/>
          <w:w w:val="105"/>
        </w:rPr>
        <w:t>deuda pública</w:t>
      </w:r>
      <w:r>
        <w:rPr>
          <w:color w:val="231F20"/>
          <w:spacing w:val="-11"/>
          <w:w w:val="105"/>
        </w:rPr>
        <w:t> </w:t>
      </w:r>
      <w:r>
        <w:rPr>
          <w:color w:val="231F20"/>
          <w:w w:val="105"/>
        </w:rPr>
        <w:t>mayores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tasa</w:t>
      </w:r>
      <w:r>
        <w:rPr>
          <w:color w:val="231F20"/>
          <w:spacing w:val="-11"/>
          <w:w w:val="105"/>
        </w:rPr>
        <w:t> </w:t>
      </w:r>
      <w:r>
        <w:rPr>
          <w:color w:val="231F20"/>
          <w:w w:val="105"/>
        </w:rPr>
        <w:t>de</w:t>
      </w:r>
      <w:r>
        <w:rPr>
          <w:color w:val="231F20"/>
          <w:spacing w:val="-11"/>
          <w:w w:val="105"/>
        </w:rPr>
        <w:t> </w:t>
      </w:r>
      <w:r>
        <w:rPr>
          <w:color w:val="231F20"/>
          <w:w w:val="105"/>
        </w:rPr>
        <w:t>crecimiento</w:t>
      </w:r>
      <w:r>
        <w:rPr>
          <w:color w:val="231F20"/>
          <w:spacing w:val="-11"/>
          <w:w w:val="105"/>
        </w:rPr>
        <w:t> </w:t>
      </w:r>
      <w:r>
        <w:rPr>
          <w:color w:val="231F20"/>
          <w:w w:val="105"/>
        </w:rPr>
        <w:t>del</w:t>
      </w:r>
      <w:r>
        <w:rPr>
          <w:color w:val="231F20"/>
          <w:spacing w:val="-11"/>
          <w:w w:val="105"/>
        </w:rPr>
        <w:t> </w:t>
      </w:r>
      <w:r>
        <w:rPr>
          <w:color w:val="231F20"/>
          <w:w w:val="105"/>
        </w:rPr>
        <w:t>consumo</w:t>
      </w:r>
      <w:r>
        <w:rPr>
          <w:color w:val="231F20"/>
          <w:spacing w:val="-11"/>
          <w:w w:val="105"/>
        </w:rPr>
        <w:t> </w:t>
      </w:r>
      <w:r>
        <w:rPr>
          <w:color w:val="231F20"/>
          <w:w w:val="105"/>
        </w:rPr>
        <w:t>privado</w:t>
      </w:r>
      <w:r>
        <w:rPr>
          <w:color w:val="231F20"/>
          <w:spacing w:val="-11"/>
          <w:w w:val="105"/>
        </w:rPr>
        <w:t> </w:t>
      </w:r>
      <w:r>
        <w:rPr>
          <w:color w:val="231F20"/>
          <w:w w:val="105"/>
        </w:rPr>
        <w:t>y</w:t>
      </w:r>
      <w:r>
        <w:rPr>
          <w:color w:val="231F20"/>
          <w:spacing w:val="-11"/>
          <w:w w:val="105"/>
        </w:rPr>
        <w:t> </w:t>
      </w:r>
      <w:r>
        <w:rPr>
          <w:color w:val="231F20"/>
          <w:w w:val="105"/>
        </w:rPr>
        <w:t>acceso limitado</w:t>
      </w:r>
      <w:r>
        <w:rPr>
          <w:color w:val="231F20"/>
          <w:spacing w:val="-19"/>
          <w:w w:val="105"/>
        </w:rPr>
        <w:t> </w:t>
      </w:r>
      <w:r>
        <w:rPr>
          <w:color w:val="231F20"/>
          <w:w w:val="105"/>
        </w:rPr>
        <w:t>al</w:t>
      </w:r>
      <w:r>
        <w:rPr>
          <w:color w:val="231F20"/>
          <w:spacing w:val="-19"/>
          <w:w w:val="105"/>
        </w:rPr>
        <w:t> </w:t>
      </w:r>
      <w:r>
        <w:rPr>
          <w:color w:val="231F20"/>
          <w:w w:val="105"/>
        </w:rPr>
        <w:t>mercado</w:t>
      </w:r>
      <w:r>
        <w:rPr>
          <w:color w:val="231F20"/>
          <w:spacing w:val="-19"/>
          <w:w w:val="105"/>
        </w:rPr>
        <w:t> </w:t>
      </w:r>
      <w:r>
        <w:rPr>
          <w:color w:val="231F20"/>
          <w:w w:val="105"/>
        </w:rPr>
        <w:t>de</w:t>
      </w:r>
      <w:r>
        <w:rPr>
          <w:color w:val="231F20"/>
          <w:spacing w:val="-19"/>
          <w:w w:val="105"/>
        </w:rPr>
        <w:t> </w:t>
      </w:r>
      <w:r>
        <w:rPr>
          <w:color w:val="231F20"/>
          <w:w w:val="105"/>
        </w:rPr>
        <w:t>deuda</w:t>
      </w:r>
      <w:r>
        <w:rPr>
          <w:color w:val="231F20"/>
          <w:spacing w:val="-19"/>
          <w:w w:val="105"/>
        </w:rPr>
        <w:t> </w:t>
      </w:r>
      <w:r>
        <w:rPr>
          <w:color w:val="231F20"/>
          <w:w w:val="105"/>
        </w:rPr>
        <w:t>externa</w:t>
      </w:r>
      <w:r>
        <w:rPr>
          <w:color w:val="231F20"/>
          <w:spacing w:val="23"/>
          <w:w w:val="105"/>
        </w:rPr>
        <w:t> </w:t>
      </w:r>
      <w:r>
        <w:rPr>
          <w:color w:val="231F20"/>
          <w:w w:val="105"/>
        </w:rPr>
        <w:t>(van</w:t>
      </w:r>
      <w:r>
        <w:rPr>
          <w:color w:val="231F20"/>
          <w:spacing w:val="-19"/>
          <w:w w:val="105"/>
        </w:rPr>
        <w:t> </w:t>
      </w:r>
      <w:r>
        <w:rPr>
          <w:color w:val="231F20"/>
          <w:w w:val="105"/>
        </w:rPr>
        <w:t>der</w:t>
      </w:r>
      <w:r>
        <w:rPr>
          <w:color w:val="231F20"/>
          <w:spacing w:val="-19"/>
          <w:w w:val="105"/>
        </w:rPr>
        <w:t> </w:t>
      </w:r>
      <w:r>
        <w:rPr>
          <w:color w:val="231F20"/>
          <w:w w:val="105"/>
        </w:rPr>
        <w:t>Ploeg</w:t>
      </w:r>
      <w:r>
        <w:rPr>
          <w:color w:val="231F20"/>
          <w:spacing w:val="-19"/>
          <w:w w:val="105"/>
        </w:rPr>
        <w:t> </w:t>
      </w:r>
      <w:r>
        <w:rPr>
          <w:color w:val="231F20"/>
          <w:w w:val="105"/>
        </w:rPr>
        <w:t>y</w:t>
      </w:r>
      <w:r>
        <w:rPr>
          <w:color w:val="231F20"/>
          <w:spacing w:val="-23"/>
          <w:w w:val="105"/>
        </w:rPr>
        <w:t> </w:t>
      </w:r>
      <w:r>
        <w:rPr>
          <w:color w:val="231F20"/>
          <w:w w:val="105"/>
        </w:rPr>
        <w:t>Venables,</w:t>
      </w:r>
      <w:r>
        <w:rPr>
          <w:color w:val="231F20"/>
          <w:spacing w:val="-25"/>
          <w:w w:val="105"/>
        </w:rPr>
        <w:t> </w:t>
      </w:r>
      <w:r>
        <w:rPr>
          <w:color w:val="231F20"/>
          <w:w w:val="105"/>
        </w:rPr>
        <w:t>2009);</w:t>
      </w:r>
    </w:p>
    <w:p>
      <w:pPr>
        <w:pStyle w:val="BodyText"/>
        <w:spacing w:line="259" w:lineRule="auto"/>
        <w:ind w:left="103" w:right="115"/>
        <w:jc w:val="both"/>
      </w:pPr>
      <w:r>
        <w:rPr>
          <w:color w:val="231F20"/>
          <w:w w:val="105"/>
        </w:rPr>
        <w:t>(3)</w:t>
      </w:r>
      <w:r>
        <w:rPr>
          <w:color w:val="231F20"/>
          <w:spacing w:val="-37"/>
          <w:w w:val="105"/>
        </w:rPr>
        <w:t> </w:t>
      </w:r>
      <w:r>
        <w:rPr>
          <w:color w:val="231F20"/>
          <w:w w:val="105"/>
        </w:rPr>
        <w:t>ausencia</w:t>
      </w:r>
      <w:r>
        <w:rPr>
          <w:color w:val="231F20"/>
          <w:spacing w:val="-37"/>
          <w:w w:val="105"/>
        </w:rPr>
        <w:t> </w:t>
      </w:r>
      <w:r>
        <w:rPr>
          <w:color w:val="231F20"/>
          <w:w w:val="105"/>
        </w:rPr>
        <w:t>de</w:t>
      </w:r>
      <w:r>
        <w:rPr>
          <w:color w:val="231F20"/>
          <w:spacing w:val="-37"/>
          <w:w w:val="105"/>
        </w:rPr>
        <w:t> </w:t>
      </w:r>
      <w:r>
        <w:rPr>
          <w:color w:val="231F20"/>
          <w:w w:val="105"/>
        </w:rPr>
        <w:t>normas</w:t>
      </w:r>
      <w:r>
        <w:rPr>
          <w:color w:val="231F20"/>
          <w:spacing w:val="-37"/>
          <w:w w:val="105"/>
        </w:rPr>
        <w:t> </w:t>
      </w:r>
      <w:r>
        <w:rPr>
          <w:color w:val="231F20"/>
          <w:w w:val="105"/>
        </w:rPr>
        <w:t>institucionales</w:t>
      </w:r>
      <w:r>
        <w:rPr>
          <w:color w:val="231F20"/>
          <w:spacing w:val="-37"/>
          <w:w w:val="105"/>
        </w:rPr>
        <w:t> </w:t>
      </w:r>
      <w:r>
        <w:rPr>
          <w:color w:val="231F20"/>
          <w:w w:val="105"/>
        </w:rPr>
        <w:t>–reglas</w:t>
      </w:r>
      <w:r>
        <w:rPr>
          <w:color w:val="231F20"/>
          <w:spacing w:val="-37"/>
          <w:w w:val="105"/>
        </w:rPr>
        <w:t> </w:t>
      </w:r>
      <w:r>
        <w:rPr>
          <w:color w:val="231F20"/>
          <w:w w:val="105"/>
        </w:rPr>
        <w:t>fiscales–</w:t>
      </w:r>
      <w:r>
        <w:rPr>
          <w:color w:val="231F20"/>
          <w:spacing w:val="-37"/>
          <w:w w:val="105"/>
        </w:rPr>
        <w:t> </w:t>
      </w:r>
      <w:r>
        <w:rPr>
          <w:color w:val="231F20"/>
          <w:w w:val="105"/>
        </w:rPr>
        <w:t>que</w:t>
      </w:r>
      <w:r>
        <w:rPr>
          <w:color w:val="231F20"/>
          <w:spacing w:val="-37"/>
          <w:w w:val="105"/>
        </w:rPr>
        <w:t> </w:t>
      </w:r>
      <w:r>
        <w:rPr>
          <w:color w:val="231F20"/>
          <w:w w:val="105"/>
        </w:rPr>
        <w:t>conduce</w:t>
      </w:r>
      <w:r>
        <w:rPr>
          <w:color w:val="231F20"/>
          <w:spacing w:val="-37"/>
          <w:w w:val="105"/>
        </w:rPr>
        <w:t> </w:t>
      </w:r>
      <w:r>
        <w:rPr>
          <w:color w:val="231F20"/>
          <w:w w:val="105"/>
        </w:rPr>
        <w:t>a</w:t>
      </w:r>
      <w:r>
        <w:rPr>
          <w:color w:val="231F20"/>
          <w:spacing w:val="-37"/>
          <w:w w:val="105"/>
        </w:rPr>
        <w:t> </w:t>
      </w:r>
      <w:r>
        <w:rPr>
          <w:color w:val="231F20"/>
          <w:w w:val="105"/>
        </w:rPr>
        <w:t>un oportunismo del gobierno con el fin de maximizar su beneficio y direc- cionar</w:t>
      </w:r>
      <w:r>
        <w:rPr>
          <w:color w:val="231F20"/>
          <w:spacing w:val="-21"/>
          <w:w w:val="105"/>
        </w:rPr>
        <w:t> </w:t>
      </w:r>
      <w:r>
        <w:rPr>
          <w:color w:val="231F20"/>
          <w:w w:val="105"/>
        </w:rPr>
        <w:t>la</w:t>
      </w:r>
      <w:r>
        <w:rPr>
          <w:color w:val="231F20"/>
          <w:spacing w:val="-21"/>
          <w:w w:val="105"/>
        </w:rPr>
        <w:t> </w:t>
      </w:r>
      <w:r>
        <w:rPr>
          <w:color w:val="231F20"/>
          <w:w w:val="105"/>
        </w:rPr>
        <w:t>política</w:t>
      </w:r>
      <w:r>
        <w:rPr>
          <w:color w:val="231F20"/>
          <w:spacing w:val="-21"/>
          <w:w w:val="105"/>
        </w:rPr>
        <w:t> </w:t>
      </w:r>
      <w:r>
        <w:rPr>
          <w:color w:val="231F20"/>
          <w:w w:val="105"/>
        </w:rPr>
        <w:t>fiscal</w:t>
      </w:r>
      <w:r>
        <w:rPr>
          <w:color w:val="231F20"/>
          <w:spacing w:val="20"/>
          <w:w w:val="105"/>
        </w:rPr>
        <w:t> </w:t>
      </w:r>
      <w:r>
        <w:rPr>
          <w:color w:val="231F20"/>
          <w:w w:val="105"/>
        </w:rPr>
        <w:t>(Dabla-Norris</w:t>
      </w:r>
      <w:r>
        <w:rPr>
          <w:color w:val="231F20"/>
          <w:spacing w:val="-21"/>
          <w:w w:val="105"/>
        </w:rPr>
        <w:t> </w:t>
      </w:r>
      <w:r>
        <w:rPr>
          <w:i/>
          <w:color w:val="231F20"/>
          <w:w w:val="105"/>
        </w:rPr>
        <w:t>et</w:t>
      </w:r>
      <w:r>
        <w:rPr>
          <w:i/>
          <w:color w:val="231F20"/>
          <w:spacing w:val="-21"/>
          <w:w w:val="105"/>
        </w:rPr>
        <w:t> </w:t>
      </w:r>
      <w:r>
        <w:rPr>
          <w:i/>
          <w:color w:val="231F20"/>
          <w:w w:val="105"/>
        </w:rPr>
        <w:t>al</w:t>
      </w:r>
      <w:r>
        <w:rPr>
          <w:color w:val="231F20"/>
          <w:w w:val="105"/>
        </w:rPr>
        <w:t>,</w:t>
      </w:r>
      <w:r>
        <w:rPr>
          <w:color w:val="231F20"/>
          <w:spacing w:val="-26"/>
          <w:w w:val="105"/>
        </w:rPr>
        <w:t> </w:t>
      </w:r>
      <w:r>
        <w:rPr>
          <w:color w:val="231F20"/>
          <w:w w:val="105"/>
        </w:rPr>
        <w:t>2010).</w:t>
      </w:r>
    </w:p>
    <w:p>
      <w:pPr>
        <w:pStyle w:val="BodyText"/>
        <w:spacing w:line="259" w:lineRule="auto"/>
        <w:ind w:left="103" w:right="114" w:firstLine="567"/>
        <w:jc w:val="both"/>
      </w:pPr>
      <w:r>
        <w:rPr>
          <w:color w:val="231F20"/>
          <w:w w:val="105"/>
        </w:rPr>
        <w:t>El problema de la política fiscal procíclica se origina en tiempos de auge donde se incrementa el gasto público, al igual que la</w:t>
      </w:r>
      <w:r>
        <w:rPr>
          <w:color w:val="231F20"/>
          <w:spacing w:val="-31"/>
          <w:w w:val="105"/>
        </w:rPr>
        <w:t> </w:t>
      </w:r>
      <w:r>
        <w:rPr>
          <w:color w:val="231F20"/>
          <w:w w:val="105"/>
        </w:rPr>
        <w:t>inversión pública improductiva </w:t>
      </w:r>
      <w:r>
        <w:rPr>
          <w:color w:val="231F20"/>
          <w:spacing w:val="-4"/>
          <w:w w:val="105"/>
        </w:rPr>
        <w:t>y, </w:t>
      </w:r>
      <w:r>
        <w:rPr>
          <w:color w:val="231F20"/>
          <w:w w:val="105"/>
        </w:rPr>
        <w:t>por lo tanto, donde el aumento del gasto no tie- ne</w:t>
      </w:r>
      <w:r>
        <w:rPr>
          <w:color w:val="231F20"/>
          <w:spacing w:val="-10"/>
          <w:w w:val="105"/>
        </w:rPr>
        <w:t> </w:t>
      </w:r>
      <w:r>
        <w:rPr>
          <w:color w:val="231F20"/>
          <w:w w:val="105"/>
        </w:rPr>
        <w:t>posibilidad</w:t>
      </w:r>
      <w:r>
        <w:rPr>
          <w:color w:val="231F20"/>
          <w:spacing w:val="-10"/>
          <w:w w:val="105"/>
        </w:rPr>
        <w:t> </w:t>
      </w:r>
      <w:r>
        <w:rPr>
          <w:color w:val="231F20"/>
          <w:w w:val="105"/>
        </w:rPr>
        <w:t>de</w:t>
      </w:r>
      <w:r>
        <w:rPr>
          <w:color w:val="231F20"/>
          <w:spacing w:val="-10"/>
          <w:w w:val="105"/>
        </w:rPr>
        <w:t> </w:t>
      </w:r>
      <w:r>
        <w:rPr>
          <w:color w:val="231F20"/>
          <w:w w:val="105"/>
        </w:rPr>
        <w:t>retorno;</w:t>
      </w:r>
      <w:r>
        <w:rPr>
          <w:color w:val="231F20"/>
          <w:spacing w:val="-10"/>
          <w:w w:val="105"/>
        </w:rPr>
        <w:t> </w:t>
      </w:r>
      <w:r>
        <w:rPr>
          <w:color w:val="231F20"/>
          <w:w w:val="105"/>
        </w:rPr>
        <w:t>aun</w:t>
      </w:r>
      <w:r>
        <w:rPr>
          <w:color w:val="231F20"/>
          <w:spacing w:val="-10"/>
          <w:w w:val="105"/>
        </w:rPr>
        <w:t> </w:t>
      </w:r>
      <w:r>
        <w:rPr>
          <w:color w:val="231F20"/>
          <w:w w:val="105"/>
        </w:rPr>
        <w:t>cuando</w:t>
      </w:r>
      <w:r>
        <w:rPr>
          <w:color w:val="231F20"/>
          <w:spacing w:val="-10"/>
          <w:w w:val="105"/>
        </w:rPr>
        <w:t> </w:t>
      </w:r>
      <w:r>
        <w:rPr>
          <w:color w:val="231F20"/>
          <w:w w:val="105"/>
        </w:rPr>
        <w:t>los</w:t>
      </w:r>
      <w:r>
        <w:rPr>
          <w:color w:val="231F20"/>
          <w:spacing w:val="-10"/>
          <w:w w:val="105"/>
        </w:rPr>
        <w:t> </w:t>
      </w:r>
      <w:r>
        <w:rPr>
          <w:color w:val="231F20"/>
          <w:w w:val="105"/>
        </w:rPr>
        <w:t>precios</w:t>
      </w:r>
      <w:r>
        <w:rPr>
          <w:color w:val="231F20"/>
          <w:spacing w:val="-10"/>
          <w:w w:val="105"/>
        </w:rPr>
        <w:t> </w:t>
      </w:r>
      <w:r>
        <w:rPr>
          <w:color w:val="231F20"/>
          <w:w w:val="105"/>
        </w:rPr>
        <w:t>internacionales</w:t>
      </w:r>
      <w:r>
        <w:rPr>
          <w:color w:val="231F20"/>
          <w:spacing w:val="-10"/>
          <w:w w:val="105"/>
        </w:rPr>
        <w:t> </w:t>
      </w:r>
      <w:r>
        <w:rPr>
          <w:color w:val="231F20"/>
          <w:w w:val="105"/>
        </w:rPr>
        <w:t>de</w:t>
      </w:r>
      <w:r>
        <w:rPr>
          <w:color w:val="231F20"/>
          <w:spacing w:val="-10"/>
          <w:w w:val="105"/>
        </w:rPr>
        <w:t> </w:t>
      </w:r>
      <w:r>
        <w:rPr>
          <w:color w:val="231F20"/>
          <w:w w:val="105"/>
        </w:rPr>
        <w:t>los recursos naturales pudieran disminuir sustantivamente (Frankel, 2011; Medina,</w:t>
      </w:r>
      <w:r>
        <w:rPr>
          <w:color w:val="231F20"/>
          <w:spacing w:val="-40"/>
          <w:w w:val="105"/>
        </w:rPr>
        <w:t> </w:t>
      </w:r>
      <w:r>
        <w:rPr>
          <w:color w:val="231F20"/>
          <w:w w:val="105"/>
        </w:rPr>
        <w:t>2010).</w:t>
      </w:r>
    </w:p>
    <w:p>
      <w:pPr>
        <w:pStyle w:val="BodyText"/>
        <w:rPr>
          <w:sz w:val="20"/>
        </w:rPr>
      </w:pPr>
    </w:p>
    <w:p>
      <w:pPr>
        <w:pStyle w:val="BodyText"/>
        <w:spacing w:before="3"/>
        <w:rPr>
          <w:sz w:val="26"/>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07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190</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410" w:right="-12" w:firstLine="338"/>
        <w:jc w:val="left"/>
        <w:rPr>
          <w:rFonts w:ascii="Lucida Sans Unicode" w:hAnsi="Lucida Sans Unicode"/>
          <w:sz w:val="14"/>
        </w:rPr>
      </w:pPr>
      <w:r>
        <w:rPr/>
        <w:pict>
          <v:line style="position:absolute;mso-position-horizontal-relative:page;mso-position-vertical-relative:paragraph;z-index:6880"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191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21"/>
        <w:jc w:val="both"/>
      </w:pPr>
      <w:r>
        <w:rPr>
          <w:color w:val="231F20"/>
          <w:w w:val="105"/>
        </w:rPr>
        <w:t>En</w:t>
      </w:r>
      <w:r>
        <w:rPr>
          <w:color w:val="231F20"/>
          <w:spacing w:val="-10"/>
          <w:w w:val="105"/>
        </w:rPr>
        <w:t> </w:t>
      </w:r>
      <w:r>
        <w:rPr>
          <w:color w:val="231F20"/>
          <w:w w:val="105"/>
        </w:rPr>
        <w:t>suma,</w:t>
      </w:r>
      <w:r>
        <w:rPr>
          <w:color w:val="231F20"/>
          <w:spacing w:val="-15"/>
          <w:w w:val="105"/>
        </w:rPr>
        <w:t> </w:t>
      </w:r>
      <w:r>
        <w:rPr>
          <w:color w:val="231F20"/>
          <w:w w:val="105"/>
        </w:rPr>
        <w:t>la</w:t>
      </w:r>
      <w:r>
        <w:rPr>
          <w:color w:val="231F20"/>
          <w:spacing w:val="-10"/>
          <w:w w:val="105"/>
        </w:rPr>
        <w:t> </w:t>
      </w:r>
      <w:r>
        <w:rPr>
          <w:color w:val="231F20"/>
          <w:w w:val="105"/>
        </w:rPr>
        <w:t>orientación</w:t>
      </w:r>
      <w:r>
        <w:rPr>
          <w:color w:val="231F20"/>
          <w:spacing w:val="-10"/>
          <w:w w:val="105"/>
        </w:rPr>
        <w:t> </w:t>
      </w:r>
      <w:r>
        <w:rPr>
          <w:color w:val="231F20"/>
          <w:w w:val="105"/>
        </w:rPr>
        <w:t>fiscal</w:t>
      </w:r>
      <w:r>
        <w:rPr>
          <w:color w:val="231F20"/>
          <w:spacing w:val="-10"/>
          <w:w w:val="105"/>
        </w:rPr>
        <w:t> </w:t>
      </w:r>
      <w:r>
        <w:rPr>
          <w:color w:val="231F20"/>
          <w:w w:val="105"/>
        </w:rPr>
        <w:t>puede</w:t>
      </w:r>
      <w:r>
        <w:rPr>
          <w:color w:val="231F20"/>
          <w:spacing w:val="-10"/>
          <w:w w:val="105"/>
        </w:rPr>
        <w:t> </w:t>
      </w:r>
      <w:r>
        <w:rPr>
          <w:color w:val="231F20"/>
          <w:w w:val="105"/>
        </w:rPr>
        <w:t>ser</w:t>
      </w:r>
      <w:r>
        <w:rPr>
          <w:color w:val="231F20"/>
          <w:spacing w:val="-10"/>
          <w:w w:val="105"/>
        </w:rPr>
        <w:t> </w:t>
      </w:r>
      <w:r>
        <w:rPr>
          <w:color w:val="231F20"/>
          <w:w w:val="105"/>
        </w:rPr>
        <w:t>medida</w:t>
      </w:r>
      <w:r>
        <w:rPr>
          <w:color w:val="231F20"/>
          <w:spacing w:val="-10"/>
          <w:w w:val="105"/>
        </w:rPr>
        <w:t> </w:t>
      </w:r>
      <w:r>
        <w:rPr>
          <w:color w:val="231F20"/>
          <w:w w:val="105"/>
        </w:rPr>
        <w:t>mediante</w:t>
      </w:r>
      <w:r>
        <w:rPr>
          <w:color w:val="231F20"/>
          <w:spacing w:val="-10"/>
          <w:w w:val="105"/>
        </w:rPr>
        <w:t> </w:t>
      </w:r>
      <w:r>
        <w:rPr>
          <w:color w:val="231F20"/>
          <w:w w:val="105"/>
        </w:rPr>
        <w:t>la</w:t>
      </w:r>
      <w:r>
        <w:rPr>
          <w:color w:val="231F20"/>
          <w:spacing w:val="-10"/>
          <w:w w:val="105"/>
        </w:rPr>
        <w:t> </w:t>
      </w:r>
      <w:r>
        <w:rPr>
          <w:color w:val="231F20"/>
          <w:w w:val="105"/>
        </w:rPr>
        <w:t>evaluación de las movimientos cíclicos de la posición fiscal y los componentes</w:t>
      </w:r>
      <w:r>
        <w:rPr>
          <w:color w:val="231F20"/>
          <w:spacing w:val="-16"/>
          <w:w w:val="105"/>
        </w:rPr>
        <w:t> </w:t>
      </w:r>
      <w:r>
        <w:rPr>
          <w:color w:val="231F20"/>
          <w:w w:val="105"/>
        </w:rPr>
        <w:t>de- seagregados del gasto público relacionado con las fluctuaciones de la actividad</w:t>
      </w:r>
      <w:r>
        <w:rPr>
          <w:color w:val="231F20"/>
          <w:spacing w:val="-26"/>
          <w:w w:val="105"/>
        </w:rPr>
        <w:t> </w:t>
      </w:r>
      <w:r>
        <w:rPr>
          <w:color w:val="231F20"/>
          <w:w w:val="105"/>
        </w:rPr>
        <w:t>económica</w:t>
      </w:r>
      <w:r>
        <w:rPr>
          <w:color w:val="231F20"/>
          <w:spacing w:val="-26"/>
          <w:w w:val="105"/>
        </w:rPr>
        <w:t> </w:t>
      </w:r>
      <w:r>
        <w:rPr>
          <w:color w:val="231F20"/>
          <w:w w:val="105"/>
        </w:rPr>
        <w:t>y</w:t>
      </w:r>
      <w:r>
        <w:rPr>
          <w:color w:val="231F20"/>
          <w:spacing w:val="-26"/>
          <w:w w:val="105"/>
        </w:rPr>
        <w:t> </w:t>
      </w:r>
      <w:r>
        <w:rPr>
          <w:color w:val="231F20"/>
          <w:w w:val="105"/>
        </w:rPr>
        <w:t>los</w:t>
      </w:r>
      <w:r>
        <w:rPr>
          <w:color w:val="231F20"/>
          <w:spacing w:val="-26"/>
          <w:w w:val="105"/>
        </w:rPr>
        <w:t> </w:t>
      </w:r>
      <w:r>
        <w:rPr>
          <w:color w:val="231F20"/>
          <w:w w:val="105"/>
        </w:rPr>
        <w:t>precios</w:t>
      </w:r>
      <w:r>
        <w:rPr>
          <w:color w:val="231F20"/>
          <w:spacing w:val="-26"/>
          <w:w w:val="105"/>
        </w:rPr>
        <w:t> </w:t>
      </w:r>
      <w:r>
        <w:rPr>
          <w:color w:val="231F20"/>
          <w:w w:val="105"/>
        </w:rPr>
        <w:t>internacionales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recursos</w:t>
      </w:r>
      <w:r>
        <w:rPr>
          <w:color w:val="231F20"/>
          <w:spacing w:val="-26"/>
          <w:w w:val="105"/>
        </w:rPr>
        <w:t> </w:t>
      </w:r>
      <w:r>
        <w:rPr>
          <w:color w:val="231F20"/>
          <w:w w:val="105"/>
        </w:rPr>
        <w:t>natura- les.</w:t>
      </w:r>
      <w:r>
        <w:rPr>
          <w:color w:val="231F20"/>
          <w:spacing w:val="-32"/>
          <w:w w:val="105"/>
        </w:rPr>
        <w:t> </w:t>
      </w:r>
      <w:r>
        <w:rPr>
          <w:color w:val="231F20"/>
          <w:w w:val="105"/>
        </w:rPr>
        <w:t>Un</w:t>
      </w:r>
      <w:r>
        <w:rPr>
          <w:color w:val="231F20"/>
          <w:spacing w:val="-28"/>
          <w:w w:val="105"/>
        </w:rPr>
        <w:t> </w:t>
      </w:r>
      <w:r>
        <w:rPr>
          <w:color w:val="231F20"/>
          <w:w w:val="105"/>
        </w:rPr>
        <w:t>enfoque</w:t>
      </w:r>
      <w:r>
        <w:rPr>
          <w:color w:val="231F20"/>
          <w:spacing w:val="-28"/>
          <w:w w:val="105"/>
        </w:rPr>
        <w:t> </w:t>
      </w:r>
      <w:r>
        <w:rPr>
          <w:color w:val="231F20"/>
          <w:w w:val="105"/>
        </w:rPr>
        <w:t>alternativo</w:t>
      </w:r>
      <w:r>
        <w:rPr>
          <w:color w:val="231F20"/>
          <w:spacing w:val="-28"/>
          <w:w w:val="105"/>
        </w:rPr>
        <w:t> </w:t>
      </w:r>
      <w:r>
        <w:rPr>
          <w:color w:val="231F20"/>
          <w:w w:val="105"/>
        </w:rPr>
        <w:t>se</w:t>
      </w:r>
      <w:r>
        <w:rPr>
          <w:color w:val="231F20"/>
          <w:spacing w:val="-28"/>
          <w:w w:val="105"/>
        </w:rPr>
        <w:t> </w:t>
      </w:r>
      <w:r>
        <w:rPr>
          <w:color w:val="231F20"/>
          <w:w w:val="105"/>
        </w:rPr>
        <w:t>centra</w:t>
      </w:r>
      <w:r>
        <w:rPr>
          <w:color w:val="231F20"/>
          <w:spacing w:val="-28"/>
          <w:w w:val="105"/>
        </w:rPr>
        <w:t> </w:t>
      </w:r>
      <w:r>
        <w:rPr>
          <w:color w:val="231F20"/>
          <w:w w:val="105"/>
        </w:rPr>
        <w:t>en</w:t>
      </w:r>
      <w:r>
        <w:rPr>
          <w:color w:val="231F20"/>
          <w:spacing w:val="-28"/>
          <w:w w:val="105"/>
        </w:rPr>
        <w:t> </w:t>
      </w:r>
      <w:r>
        <w:rPr>
          <w:color w:val="231F20"/>
          <w:w w:val="105"/>
        </w:rPr>
        <w:t>ajustar</w:t>
      </w:r>
      <w:r>
        <w:rPr>
          <w:color w:val="231F20"/>
          <w:spacing w:val="-28"/>
          <w:w w:val="105"/>
        </w:rPr>
        <w:t> </w:t>
      </w:r>
      <w:r>
        <w:rPr>
          <w:color w:val="231F20"/>
          <w:w w:val="105"/>
        </w:rPr>
        <w:t>cíclicamente</w:t>
      </w:r>
      <w:r>
        <w:rPr>
          <w:color w:val="231F20"/>
          <w:spacing w:val="-28"/>
          <w:w w:val="105"/>
        </w:rPr>
        <w:t> </w:t>
      </w:r>
      <w:r>
        <w:rPr>
          <w:color w:val="231F20"/>
          <w:w w:val="105"/>
        </w:rPr>
        <w:t>los</w:t>
      </w:r>
      <w:r>
        <w:rPr>
          <w:color w:val="231F20"/>
          <w:spacing w:val="-28"/>
          <w:w w:val="105"/>
        </w:rPr>
        <w:t> </w:t>
      </w:r>
      <w:r>
        <w:rPr>
          <w:color w:val="231F20"/>
          <w:w w:val="105"/>
        </w:rPr>
        <w:t>balances fiscales</w:t>
      </w:r>
      <w:r>
        <w:rPr>
          <w:color w:val="231F20"/>
          <w:spacing w:val="-20"/>
          <w:w w:val="105"/>
        </w:rPr>
        <w:t> </w:t>
      </w:r>
      <w:r>
        <w:rPr>
          <w:color w:val="231F20"/>
          <w:w w:val="105"/>
        </w:rPr>
        <w:t>al</w:t>
      </w:r>
      <w:r>
        <w:rPr>
          <w:color w:val="231F20"/>
          <w:spacing w:val="-20"/>
          <w:w w:val="105"/>
        </w:rPr>
        <w:t> </w:t>
      </w:r>
      <w:r>
        <w:rPr>
          <w:color w:val="231F20"/>
          <w:w w:val="105"/>
        </w:rPr>
        <w:t>entorno</w:t>
      </w:r>
      <w:r>
        <w:rPr>
          <w:color w:val="231F20"/>
          <w:spacing w:val="-20"/>
          <w:w w:val="105"/>
        </w:rPr>
        <w:t> </w:t>
      </w:r>
      <w:r>
        <w:rPr>
          <w:color w:val="231F20"/>
          <w:w w:val="105"/>
        </w:rPr>
        <w:t>interno</w:t>
      </w:r>
      <w:r>
        <w:rPr>
          <w:color w:val="231F20"/>
          <w:spacing w:val="-20"/>
          <w:w w:val="105"/>
        </w:rPr>
        <w:t> </w:t>
      </w:r>
      <w:r>
        <w:rPr>
          <w:color w:val="231F20"/>
          <w:w w:val="105"/>
        </w:rPr>
        <w:t>y</w:t>
      </w:r>
      <w:r>
        <w:rPr>
          <w:color w:val="231F20"/>
          <w:spacing w:val="-20"/>
          <w:w w:val="105"/>
        </w:rPr>
        <w:t> </w:t>
      </w:r>
      <w:r>
        <w:rPr>
          <w:color w:val="231F20"/>
          <w:w w:val="105"/>
        </w:rPr>
        <w:t>precios</w:t>
      </w:r>
      <w:r>
        <w:rPr>
          <w:color w:val="231F20"/>
          <w:spacing w:val="-20"/>
          <w:w w:val="105"/>
        </w:rPr>
        <w:t> </w:t>
      </w:r>
      <w:r>
        <w:rPr>
          <w:color w:val="231F20"/>
          <w:w w:val="105"/>
        </w:rPr>
        <w:t>externos.</w:t>
      </w:r>
      <w:r>
        <w:rPr>
          <w:color w:val="231F20"/>
          <w:spacing w:val="-25"/>
          <w:w w:val="105"/>
        </w:rPr>
        <w:t> </w:t>
      </w:r>
      <w:r>
        <w:rPr>
          <w:color w:val="231F20"/>
          <w:w w:val="105"/>
        </w:rPr>
        <w:t>La</w:t>
      </w:r>
      <w:r>
        <w:rPr>
          <w:color w:val="231F20"/>
          <w:spacing w:val="-20"/>
          <w:w w:val="105"/>
        </w:rPr>
        <w:t> </w:t>
      </w:r>
      <w:r>
        <w:rPr>
          <w:color w:val="231F20"/>
          <w:w w:val="105"/>
        </w:rPr>
        <w:t>perspectiva</w:t>
      </w:r>
      <w:r>
        <w:rPr>
          <w:color w:val="231F20"/>
          <w:spacing w:val="-20"/>
          <w:w w:val="105"/>
        </w:rPr>
        <w:t> </w:t>
      </w:r>
      <w:r>
        <w:rPr>
          <w:color w:val="231F20"/>
          <w:w w:val="105"/>
        </w:rPr>
        <w:t>keynesiana y</w:t>
      </w:r>
      <w:r>
        <w:rPr>
          <w:color w:val="231F20"/>
          <w:spacing w:val="-20"/>
          <w:w w:val="105"/>
        </w:rPr>
        <w:t> </w:t>
      </w:r>
      <w:r>
        <w:rPr>
          <w:color w:val="231F20"/>
          <w:w w:val="105"/>
        </w:rPr>
        <w:t>neoclásica</w:t>
      </w:r>
      <w:r>
        <w:rPr>
          <w:color w:val="231F20"/>
          <w:spacing w:val="-20"/>
          <w:w w:val="105"/>
        </w:rPr>
        <w:t> </w:t>
      </w:r>
      <w:r>
        <w:rPr>
          <w:color w:val="231F20"/>
          <w:w w:val="105"/>
        </w:rPr>
        <w:t>sostienen</w:t>
      </w:r>
      <w:r>
        <w:rPr>
          <w:color w:val="231F20"/>
          <w:spacing w:val="-20"/>
          <w:w w:val="105"/>
        </w:rPr>
        <w:t> </w:t>
      </w:r>
      <w:r>
        <w:rPr>
          <w:color w:val="231F20"/>
          <w:w w:val="105"/>
        </w:rPr>
        <w:t>posturas</w:t>
      </w:r>
      <w:r>
        <w:rPr>
          <w:color w:val="231F20"/>
          <w:spacing w:val="-20"/>
          <w:w w:val="105"/>
        </w:rPr>
        <w:t> </w:t>
      </w:r>
      <w:r>
        <w:rPr>
          <w:color w:val="231F20"/>
          <w:w w:val="105"/>
        </w:rPr>
        <w:t>diferentes</w:t>
      </w:r>
      <w:r>
        <w:rPr>
          <w:color w:val="231F20"/>
          <w:spacing w:val="-20"/>
          <w:w w:val="105"/>
        </w:rPr>
        <w:t> </w:t>
      </w:r>
      <w:r>
        <w:rPr>
          <w:color w:val="231F20"/>
          <w:w w:val="105"/>
        </w:rPr>
        <w:t>en</w:t>
      </w:r>
      <w:r>
        <w:rPr>
          <w:color w:val="231F20"/>
          <w:spacing w:val="-20"/>
          <w:w w:val="105"/>
        </w:rPr>
        <w:t> </w:t>
      </w:r>
      <w:r>
        <w:rPr>
          <w:color w:val="231F20"/>
          <w:w w:val="105"/>
        </w:rPr>
        <w:t>relación</w:t>
      </w:r>
      <w:r>
        <w:rPr>
          <w:color w:val="231F20"/>
          <w:spacing w:val="-20"/>
          <w:w w:val="105"/>
        </w:rPr>
        <w:t> </w:t>
      </w:r>
      <w:r>
        <w:rPr>
          <w:color w:val="231F20"/>
          <w:w w:val="105"/>
        </w:rPr>
        <w:t>con</w:t>
      </w:r>
      <w:r>
        <w:rPr>
          <w:color w:val="231F20"/>
          <w:spacing w:val="-20"/>
          <w:w w:val="105"/>
        </w:rPr>
        <w:t> </w:t>
      </w:r>
      <w:r>
        <w:rPr>
          <w:color w:val="231F20"/>
          <w:w w:val="105"/>
        </w:rPr>
        <w:t>la</w:t>
      </w:r>
      <w:r>
        <w:rPr>
          <w:color w:val="231F20"/>
          <w:spacing w:val="-20"/>
          <w:w w:val="105"/>
        </w:rPr>
        <w:t> </w:t>
      </w:r>
      <w:r>
        <w:rPr>
          <w:color w:val="231F20"/>
          <w:w w:val="105"/>
        </w:rPr>
        <w:t>orientación del</w:t>
      </w:r>
      <w:r>
        <w:rPr>
          <w:color w:val="231F20"/>
          <w:spacing w:val="-14"/>
          <w:w w:val="105"/>
        </w:rPr>
        <w:t> </w:t>
      </w:r>
      <w:r>
        <w:rPr>
          <w:color w:val="231F20"/>
          <w:w w:val="105"/>
        </w:rPr>
        <w:t>gasto</w:t>
      </w:r>
      <w:r>
        <w:rPr>
          <w:color w:val="231F20"/>
          <w:spacing w:val="-14"/>
          <w:w w:val="105"/>
        </w:rPr>
        <w:t> </w:t>
      </w:r>
      <w:r>
        <w:rPr>
          <w:color w:val="231F20"/>
          <w:w w:val="105"/>
        </w:rPr>
        <w:t>público:</w:t>
      </w:r>
      <w:r>
        <w:rPr>
          <w:color w:val="231F20"/>
          <w:spacing w:val="-14"/>
          <w:w w:val="105"/>
        </w:rPr>
        <w:t> </w:t>
      </w:r>
      <w:r>
        <w:rPr>
          <w:color w:val="231F20"/>
          <w:w w:val="105"/>
        </w:rPr>
        <w:t>contracíclico</w:t>
      </w:r>
      <w:r>
        <w:rPr>
          <w:color w:val="231F20"/>
          <w:spacing w:val="-14"/>
          <w:w w:val="105"/>
        </w:rPr>
        <w:t> </w:t>
      </w:r>
      <w:r>
        <w:rPr>
          <w:color w:val="231F20"/>
          <w:w w:val="105"/>
        </w:rPr>
        <w:t>y</w:t>
      </w:r>
      <w:r>
        <w:rPr>
          <w:color w:val="231F20"/>
          <w:spacing w:val="-14"/>
          <w:w w:val="105"/>
        </w:rPr>
        <w:t> </w:t>
      </w:r>
      <w:r>
        <w:rPr>
          <w:color w:val="231F20"/>
          <w:w w:val="105"/>
        </w:rPr>
        <w:t>neutral</w:t>
      </w:r>
      <w:r>
        <w:rPr>
          <w:color w:val="231F20"/>
          <w:spacing w:val="-14"/>
          <w:w w:val="105"/>
        </w:rPr>
        <w:t> </w:t>
      </w:r>
      <w:r>
        <w:rPr>
          <w:color w:val="231F20"/>
          <w:w w:val="105"/>
        </w:rPr>
        <w:t>respectivamente.</w:t>
      </w:r>
    </w:p>
    <w:p>
      <w:pPr>
        <w:pStyle w:val="BodyText"/>
        <w:spacing w:line="259" w:lineRule="auto"/>
        <w:ind w:left="117" w:right="115" w:firstLine="567"/>
        <w:jc w:val="both"/>
      </w:pPr>
      <w:r>
        <w:rPr>
          <w:color w:val="231F20"/>
        </w:rPr>
        <w:t>Además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características</w:t>
      </w:r>
      <w:r>
        <w:rPr>
          <w:color w:val="231F20"/>
          <w:spacing w:val="-10"/>
        </w:rPr>
        <w:t> </w:t>
      </w:r>
      <w:r>
        <w:rPr>
          <w:color w:val="231F20"/>
        </w:rPr>
        <w:t>institucionales,</w:t>
      </w:r>
      <w:r>
        <w:rPr>
          <w:color w:val="231F20"/>
          <w:spacing w:val="-18"/>
        </w:rPr>
        <w:t> </w:t>
      </w:r>
      <w:r>
        <w:rPr>
          <w:color w:val="231F20"/>
        </w:rPr>
        <w:t>las</w:t>
      </w:r>
      <w:r>
        <w:rPr>
          <w:color w:val="231F20"/>
          <w:spacing w:val="-10"/>
        </w:rPr>
        <w:t> </w:t>
      </w:r>
      <w:r>
        <w:rPr>
          <w:color w:val="231F20"/>
        </w:rPr>
        <w:t>presiones</w:t>
      </w:r>
      <w:r>
        <w:rPr>
          <w:color w:val="231F20"/>
          <w:spacing w:val="-10"/>
        </w:rPr>
        <w:t> </w:t>
      </w:r>
      <w:r>
        <w:rPr>
          <w:color w:val="231F20"/>
        </w:rPr>
        <w:t>políticas, sociales y económicas (escasez de capital) son fundamentos explicativos en la aplicación de políticas fiscales procíclicas para países en</w:t>
      </w:r>
      <w:r>
        <w:rPr>
          <w:color w:val="231F20"/>
          <w:spacing w:val="53"/>
        </w:rPr>
        <w:t> </w:t>
      </w:r>
      <w:r>
        <w:rPr>
          <w:color w:val="231F20"/>
        </w:rPr>
        <w:t>desarrollo.</w:t>
      </w:r>
    </w:p>
    <w:p>
      <w:pPr>
        <w:pStyle w:val="BodyText"/>
        <w:rPr>
          <w:sz w:val="20"/>
        </w:rPr>
      </w:pPr>
    </w:p>
    <w:p>
      <w:pPr>
        <w:pStyle w:val="BodyText"/>
        <w:spacing w:before="7"/>
        <w:rPr>
          <w:sz w:val="18"/>
        </w:rPr>
      </w:pPr>
    </w:p>
    <w:p>
      <w:pPr>
        <w:pStyle w:val="Heading2"/>
        <w:spacing w:line="247" w:lineRule="auto"/>
        <w:ind w:right="121"/>
      </w:pPr>
      <w:r>
        <w:rPr>
          <w:color w:val="231F20"/>
          <w:w w:val="95"/>
        </w:rPr>
        <w:t>Reglas fiscales: arreglos institucionales para países dependientes de recursos naturales</w:t>
      </w:r>
    </w:p>
    <w:p>
      <w:pPr>
        <w:pStyle w:val="BodyText"/>
        <w:rPr>
          <w:b/>
          <w:sz w:val="22"/>
        </w:rPr>
      </w:pPr>
    </w:p>
    <w:p>
      <w:pPr>
        <w:pStyle w:val="BodyText"/>
        <w:spacing w:line="259" w:lineRule="auto" w:before="153"/>
        <w:ind w:left="117" w:right="115"/>
        <w:jc w:val="both"/>
      </w:pPr>
      <w:r>
        <w:rPr>
          <w:color w:val="231F20"/>
          <w:w w:val="105"/>
        </w:rPr>
        <w:t>En esta sección se explica la implementación de reglas fiscales como arreglos</w:t>
      </w:r>
      <w:r>
        <w:rPr>
          <w:color w:val="231F20"/>
          <w:spacing w:val="-12"/>
          <w:w w:val="105"/>
        </w:rPr>
        <w:t> </w:t>
      </w:r>
      <w:r>
        <w:rPr>
          <w:color w:val="231F20"/>
          <w:w w:val="105"/>
        </w:rPr>
        <w:t>institucionales</w:t>
      </w:r>
      <w:r>
        <w:rPr>
          <w:color w:val="231F20"/>
          <w:spacing w:val="-12"/>
          <w:w w:val="105"/>
        </w:rPr>
        <w:t> </w:t>
      </w:r>
      <w:r>
        <w:rPr>
          <w:color w:val="231F20"/>
          <w:w w:val="105"/>
        </w:rPr>
        <w:t>que</w:t>
      </w:r>
      <w:r>
        <w:rPr>
          <w:color w:val="231F20"/>
          <w:spacing w:val="-12"/>
          <w:w w:val="105"/>
        </w:rPr>
        <w:t> </w:t>
      </w:r>
      <w:r>
        <w:rPr>
          <w:color w:val="231F20"/>
          <w:w w:val="105"/>
        </w:rPr>
        <w:t>direccionen</w:t>
      </w:r>
      <w:r>
        <w:rPr>
          <w:color w:val="231F20"/>
          <w:spacing w:val="-12"/>
          <w:w w:val="105"/>
        </w:rPr>
        <w:t> </w:t>
      </w:r>
      <w:r>
        <w:rPr>
          <w:color w:val="231F20"/>
          <w:w w:val="105"/>
        </w:rPr>
        <w:t>el</w:t>
      </w:r>
      <w:r>
        <w:rPr>
          <w:color w:val="231F20"/>
          <w:spacing w:val="-12"/>
          <w:w w:val="105"/>
        </w:rPr>
        <w:t> </w:t>
      </w:r>
      <w:r>
        <w:rPr>
          <w:color w:val="231F20"/>
          <w:w w:val="105"/>
        </w:rPr>
        <w:t>manejo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finanzas</w:t>
      </w:r>
      <w:r>
        <w:rPr>
          <w:color w:val="231F20"/>
          <w:spacing w:val="-12"/>
          <w:w w:val="105"/>
        </w:rPr>
        <w:t> </w:t>
      </w:r>
      <w:r>
        <w:rPr>
          <w:color w:val="231F20"/>
          <w:w w:val="105"/>
        </w:rPr>
        <w:t>públi- cas</w:t>
      </w:r>
      <w:r>
        <w:rPr>
          <w:color w:val="231F20"/>
          <w:spacing w:val="-21"/>
          <w:w w:val="105"/>
        </w:rPr>
        <w:t> </w:t>
      </w:r>
      <w:r>
        <w:rPr>
          <w:color w:val="231F20"/>
          <w:w w:val="105"/>
        </w:rPr>
        <w:t>para</w:t>
      </w:r>
      <w:r>
        <w:rPr>
          <w:color w:val="231F20"/>
          <w:spacing w:val="-21"/>
          <w:w w:val="105"/>
        </w:rPr>
        <w:t> </w:t>
      </w:r>
      <w:r>
        <w:rPr>
          <w:color w:val="231F20"/>
          <w:w w:val="105"/>
        </w:rPr>
        <w:t>países</w:t>
      </w:r>
      <w:r>
        <w:rPr>
          <w:color w:val="231F20"/>
          <w:spacing w:val="-21"/>
          <w:w w:val="105"/>
        </w:rPr>
        <w:t> </w:t>
      </w:r>
      <w:r>
        <w:rPr>
          <w:color w:val="231F20"/>
          <w:w w:val="105"/>
        </w:rPr>
        <w:t>dependientes</w:t>
      </w:r>
      <w:r>
        <w:rPr>
          <w:color w:val="231F20"/>
          <w:spacing w:val="-21"/>
          <w:w w:val="105"/>
        </w:rPr>
        <w:t> </w:t>
      </w:r>
      <w:r>
        <w:rPr>
          <w:color w:val="231F20"/>
          <w:w w:val="105"/>
        </w:rPr>
        <w:t>de</w:t>
      </w:r>
      <w:r>
        <w:rPr>
          <w:color w:val="231F20"/>
          <w:spacing w:val="-21"/>
          <w:w w:val="105"/>
        </w:rPr>
        <w:t> </w:t>
      </w:r>
      <w:r>
        <w:rPr>
          <w:color w:val="231F20"/>
          <w:w w:val="105"/>
        </w:rPr>
        <w:t>recursos</w:t>
      </w:r>
      <w:r>
        <w:rPr>
          <w:color w:val="231F20"/>
          <w:spacing w:val="-21"/>
          <w:w w:val="105"/>
        </w:rPr>
        <w:t> </w:t>
      </w:r>
      <w:r>
        <w:rPr>
          <w:color w:val="231F20"/>
          <w:w w:val="105"/>
        </w:rPr>
        <w:t>naturales.</w:t>
      </w:r>
      <w:r>
        <w:rPr>
          <w:color w:val="231F20"/>
          <w:spacing w:val="-25"/>
          <w:w w:val="105"/>
        </w:rPr>
        <w:t> </w:t>
      </w:r>
      <w:r>
        <w:rPr>
          <w:color w:val="231F20"/>
          <w:w w:val="105"/>
        </w:rPr>
        <w:t>Se</w:t>
      </w:r>
      <w:r>
        <w:rPr>
          <w:color w:val="231F20"/>
          <w:spacing w:val="-21"/>
          <w:w w:val="105"/>
        </w:rPr>
        <w:t> </w:t>
      </w:r>
      <w:r>
        <w:rPr>
          <w:color w:val="231F20"/>
          <w:w w:val="105"/>
        </w:rPr>
        <w:t>justifica</w:t>
      </w:r>
      <w:r>
        <w:rPr>
          <w:color w:val="231F20"/>
          <w:spacing w:val="-21"/>
          <w:w w:val="105"/>
        </w:rPr>
        <w:t> </w:t>
      </w:r>
      <w:r>
        <w:rPr>
          <w:color w:val="231F20"/>
          <w:w w:val="105"/>
        </w:rPr>
        <w:t>por</w:t>
      </w:r>
      <w:r>
        <w:rPr>
          <w:color w:val="231F20"/>
          <w:spacing w:val="-21"/>
          <w:w w:val="105"/>
        </w:rPr>
        <w:t> </w:t>
      </w:r>
      <w:r>
        <w:rPr>
          <w:color w:val="231F20"/>
          <w:w w:val="105"/>
        </w:rPr>
        <w:t>qué las</w:t>
      </w:r>
      <w:r>
        <w:rPr>
          <w:color w:val="231F20"/>
          <w:spacing w:val="-15"/>
          <w:w w:val="105"/>
        </w:rPr>
        <w:t> </w:t>
      </w:r>
      <w:r>
        <w:rPr>
          <w:color w:val="231F20"/>
          <w:w w:val="105"/>
        </w:rPr>
        <w:t>instituciones</w:t>
      </w:r>
      <w:r>
        <w:rPr>
          <w:color w:val="231F20"/>
          <w:spacing w:val="-15"/>
          <w:w w:val="105"/>
        </w:rPr>
        <w:t> </w:t>
      </w:r>
      <w:r>
        <w:rPr>
          <w:color w:val="231F20"/>
          <w:w w:val="105"/>
        </w:rPr>
        <w:t>importan,</w:t>
      </w:r>
      <w:r>
        <w:rPr>
          <w:color w:val="231F20"/>
          <w:spacing w:val="-20"/>
          <w:w w:val="105"/>
        </w:rPr>
        <w:t> </w:t>
      </w:r>
      <w:r>
        <w:rPr>
          <w:color w:val="231F20"/>
          <w:w w:val="105"/>
        </w:rPr>
        <w:t>por</w:t>
      </w:r>
      <w:r>
        <w:rPr>
          <w:color w:val="231F20"/>
          <w:spacing w:val="-15"/>
          <w:w w:val="105"/>
        </w:rPr>
        <w:t> </w:t>
      </w:r>
      <w:r>
        <w:rPr>
          <w:color w:val="231F20"/>
          <w:w w:val="105"/>
        </w:rPr>
        <w:t>qué</w:t>
      </w:r>
      <w:r>
        <w:rPr>
          <w:color w:val="231F20"/>
          <w:spacing w:val="-15"/>
          <w:w w:val="105"/>
        </w:rPr>
        <w:t> </w:t>
      </w:r>
      <w:r>
        <w:rPr>
          <w:color w:val="231F20"/>
          <w:w w:val="105"/>
        </w:rPr>
        <w:t>deben</w:t>
      </w:r>
      <w:r>
        <w:rPr>
          <w:color w:val="231F20"/>
          <w:spacing w:val="-15"/>
          <w:w w:val="105"/>
        </w:rPr>
        <w:t> </w:t>
      </w:r>
      <w:r>
        <w:rPr>
          <w:color w:val="231F20"/>
          <w:w w:val="105"/>
        </w:rPr>
        <w:t>aplicarse</w:t>
      </w:r>
      <w:r>
        <w:rPr>
          <w:color w:val="231F20"/>
          <w:spacing w:val="-15"/>
          <w:w w:val="105"/>
        </w:rPr>
        <w:t> </w:t>
      </w:r>
      <w:r>
        <w:rPr>
          <w:color w:val="231F20"/>
          <w:w w:val="105"/>
        </w:rPr>
        <w:t>reglas</w:t>
      </w:r>
      <w:r>
        <w:rPr>
          <w:color w:val="231F20"/>
          <w:spacing w:val="-15"/>
          <w:w w:val="105"/>
        </w:rPr>
        <w:t> </w:t>
      </w:r>
      <w:r>
        <w:rPr>
          <w:color w:val="231F20"/>
          <w:w w:val="105"/>
        </w:rPr>
        <w:t>fiscales</w:t>
      </w:r>
      <w:r>
        <w:rPr>
          <w:color w:val="231F20"/>
          <w:spacing w:val="-15"/>
          <w:w w:val="105"/>
        </w:rPr>
        <w:t> </w:t>
      </w:r>
      <w:r>
        <w:rPr>
          <w:color w:val="231F20"/>
          <w:w w:val="105"/>
        </w:rPr>
        <w:t>y</w:t>
      </w:r>
      <w:r>
        <w:rPr>
          <w:color w:val="231F20"/>
          <w:spacing w:val="-15"/>
          <w:w w:val="105"/>
        </w:rPr>
        <w:t> </w:t>
      </w:r>
      <w:r>
        <w:rPr>
          <w:color w:val="231F20"/>
          <w:w w:val="105"/>
        </w:rPr>
        <w:t>cuál es su efecto en el desempeño de las finanzas públicas. Se parte de la perspectiva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eficiencia</w:t>
      </w:r>
      <w:r>
        <w:rPr>
          <w:color w:val="231F20"/>
          <w:spacing w:val="-26"/>
          <w:w w:val="105"/>
        </w:rPr>
        <w:t> </w:t>
      </w:r>
      <w:r>
        <w:rPr>
          <w:color w:val="231F20"/>
          <w:w w:val="105"/>
        </w:rPr>
        <w:t>y</w:t>
      </w:r>
      <w:r>
        <w:rPr>
          <w:color w:val="231F20"/>
          <w:spacing w:val="-26"/>
          <w:w w:val="105"/>
        </w:rPr>
        <w:t> </w:t>
      </w:r>
      <w:r>
        <w:rPr>
          <w:color w:val="231F20"/>
          <w:w w:val="105"/>
        </w:rPr>
        <w:t>se</w:t>
      </w:r>
      <w:r>
        <w:rPr>
          <w:color w:val="231F20"/>
          <w:spacing w:val="-26"/>
          <w:w w:val="105"/>
        </w:rPr>
        <w:t> </w:t>
      </w:r>
      <w:r>
        <w:rPr>
          <w:color w:val="231F20"/>
          <w:w w:val="105"/>
        </w:rPr>
        <w:t>justifica</w:t>
      </w:r>
      <w:r>
        <w:rPr>
          <w:color w:val="231F20"/>
          <w:spacing w:val="-26"/>
          <w:w w:val="105"/>
        </w:rPr>
        <w:t> </w:t>
      </w:r>
      <w:r>
        <w:rPr>
          <w:color w:val="231F20"/>
          <w:w w:val="105"/>
        </w:rPr>
        <w:t>la</w:t>
      </w:r>
      <w:r>
        <w:rPr>
          <w:color w:val="231F20"/>
          <w:spacing w:val="-26"/>
          <w:w w:val="105"/>
        </w:rPr>
        <w:t> </w:t>
      </w:r>
      <w:r>
        <w:rPr>
          <w:color w:val="231F20"/>
          <w:w w:val="105"/>
        </w:rPr>
        <w:t>necesidad</w:t>
      </w:r>
      <w:r>
        <w:rPr>
          <w:color w:val="231F20"/>
          <w:spacing w:val="-26"/>
          <w:w w:val="105"/>
        </w:rPr>
        <w:t> </w:t>
      </w:r>
      <w:r>
        <w:rPr>
          <w:color w:val="231F20"/>
          <w:w w:val="105"/>
        </w:rPr>
        <w:t>de</w:t>
      </w:r>
      <w:r>
        <w:rPr>
          <w:color w:val="231F20"/>
          <w:spacing w:val="-26"/>
          <w:w w:val="105"/>
        </w:rPr>
        <w:t> </w:t>
      </w:r>
      <w:r>
        <w:rPr>
          <w:color w:val="231F20"/>
          <w:w w:val="105"/>
        </w:rPr>
        <w:t>proponer</w:t>
      </w:r>
      <w:r>
        <w:rPr>
          <w:color w:val="231F20"/>
          <w:spacing w:val="-26"/>
          <w:w w:val="105"/>
        </w:rPr>
        <w:t> </w:t>
      </w:r>
      <w:r>
        <w:rPr>
          <w:color w:val="231F20"/>
          <w:w w:val="105"/>
        </w:rPr>
        <w:t>una</w:t>
      </w:r>
      <w:r>
        <w:rPr>
          <w:color w:val="231F20"/>
          <w:spacing w:val="-26"/>
          <w:w w:val="105"/>
        </w:rPr>
        <w:t> </w:t>
      </w:r>
      <w:r>
        <w:rPr>
          <w:color w:val="231F20"/>
          <w:w w:val="105"/>
        </w:rPr>
        <w:t>re- gla</w:t>
      </w:r>
      <w:r>
        <w:rPr>
          <w:color w:val="231F20"/>
          <w:spacing w:val="-23"/>
          <w:w w:val="105"/>
        </w:rPr>
        <w:t> </w:t>
      </w:r>
      <w:r>
        <w:rPr>
          <w:color w:val="231F20"/>
          <w:w w:val="105"/>
        </w:rPr>
        <w:t>fiscal</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caso</w:t>
      </w:r>
      <w:r>
        <w:rPr>
          <w:color w:val="231F20"/>
          <w:spacing w:val="-23"/>
          <w:w w:val="105"/>
        </w:rPr>
        <w:t> </w:t>
      </w:r>
      <w:r>
        <w:rPr>
          <w:color w:val="231F20"/>
          <w:w w:val="105"/>
        </w:rPr>
        <w:t>de</w:t>
      </w:r>
      <w:r>
        <w:rPr>
          <w:color w:val="231F20"/>
          <w:spacing w:val="-23"/>
          <w:w w:val="105"/>
        </w:rPr>
        <w:t> </w:t>
      </w:r>
      <w:r>
        <w:rPr>
          <w:color w:val="231F20"/>
          <w:w w:val="105"/>
        </w:rPr>
        <w:t>países</w:t>
      </w:r>
      <w:r>
        <w:rPr>
          <w:color w:val="231F20"/>
          <w:spacing w:val="-23"/>
          <w:w w:val="105"/>
        </w:rPr>
        <w:t> </w:t>
      </w:r>
      <w:r>
        <w:rPr>
          <w:color w:val="231F20"/>
          <w:w w:val="105"/>
        </w:rPr>
        <w:t>ricos</w:t>
      </w:r>
      <w:r>
        <w:rPr>
          <w:color w:val="231F20"/>
          <w:spacing w:val="-23"/>
          <w:w w:val="105"/>
        </w:rPr>
        <w:t> </w:t>
      </w:r>
      <w:r>
        <w:rPr>
          <w:color w:val="231F20"/>
          <w:w w:val="105"/>
        </w:rPr>
        <w:t>en</w:t>
      </w:r>
      <w:r>
        <w:rPr>
          <w:color w:val="231F20"/>
          <w:spacing w:val="-23"/>
          <w:w w:val="105"/>
        </w:rPr>
        <w:t> </w:t>
      </w:r>
      <w:r>
        <w:rPr>
          <w:color w:val="231F20"/>
          <w:w w:val="105"/>
        </w:rPr>
        <w:t>petróleo.</w:t>
      </w:r>
      <w:r>
        <w:rPr>
          <w:color w:val="231F20"/>
          <w:spacing w:val="-28"/>
          <w:w w:val="105"/>
        </w:rPr>
        <w:t> </w:t>
      </w:r>
      <w:r>
        <w:rPr>
          <w:color w:val="231F20"/>
          <w:w w:val="105"/>
        </w:rPr>
        <w:t>Esta</w:t>
      </w:r>
      <w:r>
        <w:rPr>
          <w:color w:val="231F20"/>
          <w:spacing w:val="-23"/>
          <w:w w:val="105"/>
        </w:rPr>
        <w:t> </w:t>
      </w:r>
      <w:r>
        <w:rPr>
          <w:color w:val="231F20"/>
          <w:w w:val="105"/>
        </w:rPr>
        <w:t>sesión</w:t>
      </w:r>
      <w:r>
        <w:rPr>
          <w:color w:val="231F20"/>
          <w:spacing w:val="-23"/>
          <w:w w:val="105"/>
        </w:rPr>
        <w:t> </w:t>
      </w:r>
      <w:r>
        <w:rPr>
          <w:color w:val="231F20"/>
          <w:w w:val="105"/>
        </w:rPr>
        <w:t>cierra</w:t>
      </w:r>
      <w:r>
        <w:rPr>
          <w:color w:val="231F20"/>
          <w:spacing w:val="-23"/>
          <w:w w:val="105"/>
        </w:rPr>
        <w:t> </w:t>
      </w:r>
      <w:r>
        <w:rPr>
          <w:color w:val="231F20"/>
          <w:w w:val="105"/>
        </w:rPr>
        <w:t>con</w:t>
      </w:r>
      <w:r>
        <w:rPr>
          <w:color w:val="231F20"/>
          <w:spacing w:val="-23"/>
          <w:w w:val="105"/>
        </w:rPr>
        <w:t> </w:t>
      </w:r>
      <w:r>
        <w:rPr>
          <w:color w:val="231F20"/>
          <w:w w:val="105"/>
        </w:rPr>
        <w:t>un debate</w:t>
      </w:r>
      <w:r>
        <w:rPr>
          <w:color w:val="231F20"/>
          <w:spacing w:val="-19"/>
          <w:w w:val="105"/>
        </w:rPr>
        <w:t> </w:t>
      </w:r>
      <w:r>
        <w:rPr>
          <w:color w:val="231F20"/>
          <w:w w:val="105"/>
        </w:rPr>
        <w:t>teórico</w:t>
      </w:r>
      <w:r>
        <w:rPr>
          <w:color w:val="231F20"/>
          <w:spacing w:val="-19"/>
          <w:w w:val="105"/>
        </w:rPr>
        <w:t> </w:t>
      </w:r>
      <w:r>
        <w:rPr>
          <w:color w:val="231F20"/>
          <w:w w:val="105"/>
        </w:rPr>
        <w:t>sobre</w:t>
      </w:r>
      <w:r>
        <w:rPr>
          <w:color w:val="231F20"/>
          <w:spacing w:val="-19"/>
          <w:w w:val="105"/>
        </w:rPr>
        <w:t> </w:t>
      </w:r>
      <w:r>
        <w:rPr>
          <w:color w:val="231F20"/>
          <w:w w:val="105"/>
        </w:rPr>
        <w:t>dos</w:t>
      </w:r>
      <w:r>
        <w:rPr>
          <w:color w:val="231F20"/>
          <w:spacing w:val="-19"/>
          <w:w w:val="105"/>
        </w:rPr>
        <w:t> </w:t>
      </w:r>
      <w:r>
        <w:rPr>
          <w:color w:val="231F20"/>
          <w:w w:val="105"/>
        </w:rPr>
        <w:t>posturas</w:t>
      </w:r>
      <w:r>
        <w:rPr>
          <w:color w:val="231F20"/>
          <w:spacing w:val="-19"/>
          <w:w w:val="105"/>
        </w:rPr>
        <w:t> </w:t>
      </w:r>
      <w:r>
        <w:rPr>
          <w:color w:val="231F20"/>
          <w:w w:val="105"/>
        </w:rPr>
        <w:t>contrapuestas</w:t>
      </w:r>
      <w:r>
        <w:rPr>
          <w:color w:val="231F20"/>
          <w:spacing w:val="-19"/>
          <w:w w:val="105"/>
        </w:rPr>
        <w:t> </w:t>
      </w:r>
      <w:r>
        <w:rPr>
          <w:color w:val="231F20"/>
          <w:w w:val="105"/>
        </w:rPr>
        <w:t>para</w:t>
      </w:r>
      <w:r>
        <w:rPr>
          <w:color w:val="231F20"/>
          <w:spacing w:val="-19"/>
          <w:w w:val="105"/>
        </w:rPr>
        <w:t> </w:t>
      </w:r>
      <w:r>
        <w:rPr>
          <w:color w:val="231F20"/>
          <w:w w:val="105"/>
        </w:rPr>
        <w:t>determinar</w:t>
      </w:r>
      <w:r>
        <w:rPr>
          <w:color w:val="231F20"/>
          <w:spacing w:val="-19"/>
          <w:w w:val="105"/>
        </w:rPr>
        <w:t> </w:t>
      </w:r>
      <w:r>
        <w:rPr>
          <w:color w:val="231F20"/>
          <w:w w:val="105"/>
        </w:rPr>
        <w:t>reglas fiscales:</w:t>
      </w:r>
      <w:r>
        <w:rPr>
          <w:color w:val="231F20"/>
          <w:spacing w:val="-16"/>
          <w:w w:val="105"/>
        </w:rPr>
        <w:t> </w:t>
      </w:r>
      <w:r>
        <w:rPr>
          <w:color w:val="231F20"/>
          <w:w w:val="105"/>
        </w:rPr>
        <w:t>¿ahorrar</w:t>
      </w:r>
      <w:r>
        <w:rPr>
          <w:color w:val="231F20"/>
          <w:spacing w:val="-16"/>
          <w:w w:val="105"/>
        </w:rPr>
        <w:t> </w:t>
      </w:r>
      <w:r>
        <w:rPr>
          <w:color w:val="231F20"/>
          <w:w w:val="105"/>
        </w:rPr>
        <w:t>los</w:t>
      </w:r>
      <w:r>
        <w:rPr>
          <w:color w:val="231F20"/>
          <w:spacing w:val="-16"/>
          <w:w w:val="105"/>
        </w:rPr>
        <w:t> </w:t>
      </w:r>
      <w:r>
        <w:rPr>
          <w:color w:val="231F20"/>
          <w:w w:val="105"/>
        </w:rPr>
        <w:t>ingresos</w:t>
      </w:r>
      <w:r>
        <w:rPr>
          <w:color w:val="231F20"/>
          <w:spacing w:val="-16"/>
          <w:w w:val="105"/>
        </w:rPr>
        <w:t> </w:t>
      </w:r>
      <w:r>
        <w:rPr>
          <w:color w:val="231F20"/>
          <w:w w:val="105"/>
        </w:rPr>
        <w:t>petroleros</w:t>
      </w:r>
      <w:r>
        <w:rPr>
          <w:color w:val="231F20"/>
          <w:spacing w:val="-16"/>
          <w:w w:val="105"/>
        </w:rPr>
        <w:t> </w:t>
      </w:r>
      <w:r>
        <w:rPr>
          <w:color w:val="231F20"/>
          <w:w w:val="105"/>
        </w:rPr>
        <w:t>o</w:t>
      </w:r>
      <w:r>
        <w:rPr>
          <w:color w:val="231F20"/>
          <w:spacing w:val="-16"/>
          <w:w w:val="105"/>
        </w:rPr>
        <w:t> </w:t>
      </w:r>
      <w:r>
        <w:rPr>
          <w:color w:val="231F20"/>
          <w:w w:val="105"/>
        </w:rPr>
        <w:t>destinarlos</w:t>
      </w:r>
      <w:r>
        <w:rPr>
          <w:color w:val="231F20"/>
          <w:spacing w:val="-16"/>
          <w:w w:val="105"/>
        </w:rPr>
        <w:t> </w:t>
      </w:r>
      <w:r>
        <w:rPr>
          <w:color w:val="231F20"/>
          <w:w w:val="105"/>
        </w:rPr>
        <w:t>hacia</w:t>
      </w:r>
      <w:r>
        <w:rPr>
          <w:color w:val="231F20"/>
          <w:spacing w:val="-16"/>
          <w:w w:val="105"/>
        </w:rPr>
        <w:t> </w:t>
      </w:r>
      <w:r>
        <w:rPr>
          <w:color w:val="231F20"/>
          <w:w w:val="105"/>
        </w:rPr>
        <w:t>la</w:t>
      </w:r>
      <w:r>
        <w:rPr>
          <w:color w:val="231F20"/>
          <w:spacing w:val="-16"/>
          <w:w w:val="105"/>
        </w:rPr>
        <w:t> </w:t>
      </w:r>
      <w:r>
        <w:rPr>
          <w:color w:val="231F20"/>
          <w:w w:val="105"/>
        </w:rPr>
        <w:t>inversión pública?</w:t>
      </w:r>
      <w:r>
        <w:rPr>
          <w:color w:val="231F20"/>
          <w:spacing w:val="-23"/>
          <w:w w:val="105"/>
        </w:rPr>
        <w:t> </w:t>
      </w:r>
      <w:r>
        <w:rPr>
          <w:color w:val="231F20"/>
          <w:w w:val="105"/>
        </w:rPr>
        <w:t>La</w:t>
      </w:r>
      <w:r>
        <w:rPr>
          <w:color w:val="231F20"/>
          <w:spacing w:val="-23"/>
          <w:w w:val="105"/>
        </w:rPr>
        <w:t> </w:t>
      </w:r>
      <w:r>
        <w:rPr>
          <w:color w:val="231F20"/>
          <w:w w:val="105"/>
        </w:rPr>
        <w:t>respuesta</w:t>
      </w:r>
      <w:r>
        <w:rPr>
          <w:color w:val="231F20"/>
          <w:spacing w:val="-23"/>
          <w:w w:val="105"/>
        </w:rPr>
        <w:t> </w:t>
      </w:r>
      <w:r>
        <w:rPr>
          <w:color w:val="231F20"/>
          <w:w w:val="105"/>
        </w:rPr>
        <w:t>conlleva</w:t>
      </w:r>
      <w:r>
        <w:rPr>
          <w:color w:val="231F20"/>
          <w:spacing w:val="-23"/>
          <w:w w:val="105"/>
        </w:rPr>
        <w:t> </w:t>
      </w:r>
      <w:r>
        <w:rPr>
          <w:color w:val="231F20"/>
          <w:w w:val="105"/>
        </w:rPr>
        <w:t>un</w:t>
      </w:r>
      <w:r>
        <w:rPr>
          <w:color w:val="231F20"/>
          <w:spacing w:val="-23"/>
          <w:w w:val="105"/>
        </w:rPr>
        <w:t> </w:t>
      </w:r>
      <w:r>
        <w:rPr>
          <w:color w:val="231F20"/>
          <w:w w:val="105"/>
        </w:rPr>
        <w:t>vínculo</w:t>
      </w:r>
      <w:r>
        <w:rPr>
          <w:color w:val="231F20"/>
          <w:spacing w:val="-23"/>
          <w:w w:val="105"/>
        </w:rPr>
        <w:t> </w:t>
      </w:r>
      <w:r>
        <w:rPr>
          <w:color w:val="231F20"/>
          <w:w w:val="105"/>
        </w:rPr>
        <w:t>entre</w:t>
      </w:r>
      <w:r>
        <w:rPr>
          <w:color w:val="231F20"/>
          <w:spacing w:val="-23"/>
          <w:w w:val="105"/>
        </w:rPr>
        <w:t> </w:t>
      </w:r>
      <w:r>
        <w:rPr>
          <w:color w:val="231F20"/>
          <w:w w:val="105"/>
        </w:rPr>
        <w:t>la</w:t>
      </w:r>
      <w:r>
        <w:rPr>
          <w:color w:val="231F20"/>
          <w:spacing w:val="-23"/>
          <w:w w:val="105"/>
        </w:rPr>
        <w:t> </w:t>
      </w:r>
      <w:r>
        <w:rPr>
          <w:color w:val="231F20"/>
          <w:w w:val="105"/>
        </w:rPr>
        <w:t>importancia</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ins- tituciones y su rol con la posición fiscal desde las perspectivas del</w:t>
      </w:r>
      <w:r>
        <w:rPr>
          <w:color w:val="231F20"/>
          <w:spacing w:val="-23"/>
          <w:w w:val="105"/>
        </w:rPr>
        <w:t> </w:t>
      </w:r>
      <w:r>
        <w:rPr>
          <w:color w:val="231F20"/>
          <w:w w:val="105"/>
        </w:rPr>
        <w:t>NIE, los</w:t>
      </w:r>
      <w:r>
        <w:rPr>
          <w:color w:val="231F20"/>
          <w:spacing w:val="-19"/>
          <w:w w:val="105"/>
        </w:rPr>
        <w:t> </w:t>
      </w:r>
      <w:r>
        <w:rPr>
          <w:color w:val="231F20"/>
          <w:w w:val="105"/>
        </w:rPr>
        <w:t>CTE</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teoría</w:t>
      </w:r>
      <w:r>
        <w:rPr>
          <w:color w:val="231F20"/>
          <w:spacing w:val="-19"/>
          <w:w w:val="105"/>
        </w:rPr>
        <w:t> </w:t>
      </w:r>
      <w:r>
        <w:rPr>
          <w:color w:val="231F20"/>
          <w:w w:val="105"/>
        </w:rPr>
        <w:t>de</w:t>
      </w:r>
      <w:r>
        <w:rPr>
          <w:color w:val="231F20"/>
          <w:spacing w:val="-19"/>
          <w:w w:val="105"/>
        </w:rPr>
        <w:t> </w:t>
      </w:r>
      <w:r>
        <w:rPr>
          <w:color w:val="231F20"/>
          <w:w w:val="105"/>
        </w:rPr>
        <w:t>agentes</w:t>
      </w:r>
      <w:r>
        <w:rPr>
          <w:color w:val="231F20"/>
          <w:spacing w:val="-19"/>
          <w:w w:val="105"/>
        </w:rPr>
        <w:t> </w:t>
      </w:r>
      <w:r>
        <w:rPr>
          <w:color w:val="231F20"/>
          <w:w w:val="105"/>
        </w:rPr>
        <w:t>y</w:t>
      </w:r>
      <w:r>
        <w:rPr>
          <w:color w:val="231F20"/>
          <w:spacing w:val="-19"/>
          <w:w w:val="105"/>
        </w:rPr>
        <w:t> </w:t>
      </w:r>
      <w:r>
        <w:rPr>
          <w:color w:val="231F20"/>
          <w:w w:val="105"/>
        </w:rPr>
        <w:t>principales,</w:t>
      </w:r>
      <w:r>
        <w:rPr>
          <w:color w:val="231F20"/>
          <w:spacing w:val="-25"/>
          <w:w w:val="105"/>
        </w:rPr>
        <w:t> </w:t>
      </w:r>
      <w:r>
        <w:rPr>
          <w:color w:val="231F20"/>
          <w:w w:val="105"/>
        </w:rPr>
        <w:t>pues</w:t>
      </w:r>
      <w:r>
        <w:rPr>
          <w:color w:val="231F20"/>
          <w:spacing w:val="-19"/>
          <w:w w:val="105"/>
        </w:rPr>
        <w:t> </w:t>
      </w:r>
      <w:r>
        <w:rPr>
          <w:color w:val="231F20"/>
          <w:w w:val="105"/>
        </w:rPr>
        <w:t>comparten</w:t>
      </w:r>
      <w:r>
        <w:rPr>
          <w:color w:val="231F20"/>
          <w:spacing w:val="-19"/>
          <w:w w:val="105"/>
        </w:rPr>
        <w:t> </w:t>
      </w:r>
      <w:r>
        <w:rPr>
          <w:color w:val="231F20"/>
          <w:w w:val="105"/>
        </w:rPr>
        <w:t>el</w:t>
      </w:r>
      <w:r>
        <w:rPr>
          <w:color w:val="231F20"/>
          <w:spacing w:val="-19"/>
          <w:w w:val="105"/>
        </w:rPr>
        <w:t> </w:t>
      </w:r>
      <w:r>
        <w:rPr>
          <w:color w:val="231F20"/>
          <w:w w:val="105"/>
        </w:rPr>
        <w:t>concepto de la</w:t>
      </w:r>
      <w:r>
        <w:rPr>
          <w:color w:val="231F20"/>
          <w:spacing w:val="-39"/>
          <w:w w:val="105"/>
        </w:rPr>
        <w:t> </w:t>
      </w:r>
      <w:r>
        <w:rPr>
          <w:color w:val="231F20"/>
          <w:w w:val="105"/>
        </w:rPr>
        <w:t>eficiencia.</w:t>
      </w:r>
    </w:p>
    <w:p>
      <w:pPr>
        <w:spacing w:before="147"/>
        <w:ind w:left="117" w:right="0" w:firstLine="0"/>
        <w:jc w:val="both"/>
        <w:rPr>
          <w:rFonts w:ascii="Verdana" w:hAnsi="Verdana"/>
          <w:i/>
          <w:sz w:val="21"/>
        </w:rPr>
      </w:pPr>
      <w:r>
        <w:rPr>
          <w:rFonts w:ascii="Verdana" w:hAnsi="Verdana"/>
          <w:i/>
          <w:color w:val="231F20"/>
          <w:w w:val="95"/>
          <w:sz w:val="21"/>
        </w:rPr>
        <w:t>El rol de las instituciones en la dirección de las finanzas públicas</w:t>
      </w:r>
    </w:p>
    <w:p>
      <w:pPr>
        <w:pStyle w:val="BodyText"/>
        <w:spacing w:before="6"/>
        <w:rPr>
          <w:rFonts w:ascii="Verdana"/>
          <w:i/>
          <w:sz w:val="15"/>
        </w:rPr>
      </w:pPr>
    </w:p>
    <w:p>
      <w:pPr>
        <w:pStyle w:val="BodyText"/>
        <w:spacing w:line="259" w:lineRule="auto"/>
        <w:ind w:left="117" w:right="121"/>
        <w:jc w:val="both"/>
      </w:pPr>
      <w:r>
        <w:rPr>
          <w:color w:val="231F20"/>
          <w:w w:val="105"/>
        </w:rPr>
        <w:t>La</w:t>
      </w:r>
      <w:r>
        <w:rPr>
          <w:color w:val="231F20"/>
          <w:spacing w:val="-24"/>
          <w:w w:val="105"/>
        </w:rPr>
        <w:t> </w:t>
      </w:r>
      <w:r>
        <w:rPr>
          <w:color w:val="231F20"/>
          <w:w w:val="105"/>
        </w:rPr>
        <w:t>importancia</w:t>
      </w:r>
      <w:r>
        <w:rPr>
          <w:color w:val="231F20"/>
          <w:spacing w:val="-24"/>
          <w:w w:val="105"/>
        </w:rPr>
        <w:t> </w:t>
      </w:r>
      <w:r>
        <w:rPr>
          <w:color w:val="231F20"/>
          <w:w w:val="105"/>
        </w:rPr>
        <w:t>del</w:t>
      </w:r>
      <w:r>
        <w:rPr>
          <w:color w:val="231F20"/>
          <w:spacing w:val="-24"/>
          <w:w w:val="105"/>
        </w:rPr>
        <w:t> </w:t>
      </w:r>
      <w:r>
        <w:rPr>
          <w:color w:val="231F20"/>
          <w:w w:val="105"/>
        </w:rPr>
        <w:t>rol</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instituciones</w:t>
      </w:r>
      <w:r>
        <w:rPr>
          <w:color w:val="231F20"/>
          <w:spacing w:val="-24"/>
          <w:w w:val="105"/>
        </w:rPr>
        <w:t> </w:t>
      </w:r>
      <w:r>
        <w:rPr>
          <w:color w:val="231F20"/>
          <w:w w:val="105"/>
        </w:rPr>
        <w:t>se</w:t>
      </w:r>
      <w:r>
        <w:rPr>
          <w:color w:val="231F20"/>
          <w:spacing w:val="-24"/>
          <w:w w:val="105"/>
        </w:rPr>
        <w:t> </w:t>
      </w:r>
      <w:r>
        <w:rPr>
          <w:color w:val="231F20"/>
          <w:w w:val="105"/>
        </w:rPr>
        <w:t>caracteriza</w:t>
      </w:r>
      <w:r>
        <w:rPr>
          <w:color w:val="231F20"/>
          <w:spacing w:val="-24"/>
          <w:w w:val="105"/>
        </w:rPr>
        <w:t> </w:t>
      </w:r>
      <w:r>
        <w:rPr>
          <w:color w:val="231F20"/>
          <w:w w:val="105"/>
        </w:rPr>
        <w:t>por</w:t>
      </w:r>
      <w:r>
        <w:rPr>
          <w:color w:val="231F20"/>
          <w:spacing w:val="-24"/>
          <w:w w:val="105"/>
        </w:rPr>
        <w:t> </w:t>
      </w:r>
      <w:r>
        <w:rPr>
          <w:color w:val="231F20"/>
          <w:w w:val="105"/>
        </w:rPr>
        <w:t>la</w:t>
      </w:r>
      <w:r>
        <w:rPr>
          <w:color w:val="231F20"/>
          <w:spacing w:val="-24"/>
          <w:w w:val="105"/>
        </w:rPr>
        <w:t> </w:t>
      </w:r>
      <w:r>
        <w:rPr>
          <w:color w:val="231F20"/>
          <w:w w:val="105"/>
        </w:rPr>
        <w:t>manera</w:t>
      </w:r>
      <w:r>
        <w:rPr>
          <w:color w:val="231F20"/>
          <w:spacing w:val="-24"/>
          <w:w w:val="105"/>
        </w:rPr>
        <w:t> </w:t>
      </w:r>
      <w:r>
        <w:rPr>
          <w:color w:val="231F20"/>
          <w:w w:val="105"/>
        </w:rPr>
        <w:t>en que</w:t>
      </w:r>
      <w:r>
        <w:rPr>
          <w:color w:val="231F20"/>
          <w:spacing w:val="-6"/>
          <w:w w:val="105"/>
        </w:rPr>
        <w:t> </w:t>
      </w:r>
      <w:r>
        <w:rPr>
          <w:color w:val="231F20"/>
          <w:w w:val="105"/>
        </w:rPr>
        <w:t>son</w:t>
      </w:r>
      <w:r>
        <w:rPr>
          <w:color w:val="231F20"/>
          <w:spacing w:val="-6"/>
          <w:w w:val="105"/>
        </w:rPr>
        <w:t> </w:t>
      </w:r>
      <w:r>
        <w:rPr>
          <w:color w:val="231F20"/>
          <w:w w:val="105"/>
        </w:rPr>
        <w:t>administrados</w:t>
      </w:r>
      <w:r>
        <w:rPr>
          <w:color w:val="231F20"/>
          <w:spacing w:val="-6"/>
          <w:w w:val="105"/>
        </w:rPr>
        <w:t> </w:t>
      </w:r>
      <w:r>
        <w:rPr>
          <w:color w:val="231F20"/>
          <w:w w:val="105"/>
        </w:rPr>
        <w:t>los</w:t>
      </w:r>
      <w:r>
        <w:rPr>
          <w:color w:val="231F20"/>
          <w:spacing w:val="-6"/>
          <w:w w:val="105"/>
        </w:rPr>
        <w:t> </w:t>
      </w:r>
      <w:r>
        <w:rPr>
          <w:color w:val="231F20"/>
          <w:w w:val="105"/>
        </w:rPr>
        <w:t>recursos</w:t>
      </w:r>
      <w:r>
        <w:rPr>
          <w:color w:val="231F20"/>
          <w:spacing w:val="-6"/>
          <w:w w:val="105"/>
        </w:rPr>
        <w:t> </w:t>
      </w:r>
      <w:r>
        <w:rPr>
          <w:color w:val="231F20"/>
          <w:w w:val="105"/>
        </w:rPr>
        <w:t>petroleros</w:t>
      </w:r>
      <w:r>
        <w:rPr>
          <w:color w:val="231F20"/>
          <w:spacing w:val="-6"/>
          <w:w w:val="105"/>
        </w:rPr>
        <w:t> </w:t>
      </w:r>
      <w:r>
        <w:rPr>
          <w:color w:val="231F20"/>
          <w:w w:val="105"/>
        </w:rPr>
        <w:t>(o</w:t>
      </w:r>
      <w:r>
        <w:rPr>
          <w:color w:val="231F20"/>
          <w:spacing w:val="-6"/>
          <w:w w:val="105"/>
        </w:rPr>
        <w:t> </w:t>
      </w:r>
      <w:r>
        <w:rPr>
          <w:color w:val="231F20"/>
          <w:w w:val="105"/>
        </w:rPr>
        <w:t>cualquier</w:t>
      </w:r>
      <w:r>
        <w:rPr>
          <w:color w:val="231F20"/>
          <w:spacing w:val="-6"/>
          <w:w w:val="105"/>
        </w:rPr>
        <w:t> </w:t>
      </w:r>
      <w:r>
        <w:rPr>
          <w:color w:val="231F20"/>
          <w:w w:val="105"/>
        </w:rPr>
        <w:t>otro</w:t>
      </w:r>
      <w:r>
        <w:rPr>
          <w:color w:val="231F20"/>
          <w:spacing w:val="-6"/>
          <w:w w:val="105"/>
        </w:rPr>
        <w:t> </w:t>
      </w:r>
      <w:r>
        <w:rPr>
          <w:color w:val="231F20"/>
          <w:w w:val="105"/>
        </w:rPr>
        <w:t>recurso natural</w:t>
      </w:r>
      <w:r>
        <w:rPr>
          <w:color w:val="231F20"/>
          <w:spacing w:val="-19"/>
          <w:w w:val="105"/>
        </w:rPr>
        <w:t> </w:t>
      </w:r>
      <w:r>
        <w:rPr>
          <w:color w:val="231F20"/>
          <w:w w:val="105"/>
        </w:rPr>
        <w:t>cuantioso)</w:t>
      </w:r>
      <w:r>
        <w:rPr>
          <w:color w:val="231F20"/>
          <w:spacing w:val="-19"/>
          <w:w w:val="105"/>
        </w:rPr>
        <w:t> </w:t>
      </w:r>
      <w:r>
        <w:rPr>
          <w:color w:val="231F20"/>
          <w:w w:val="105"/>
        </w:rPr>
        <w:t>mediante</w:t>
      </w:r>
      <w:r>
        <w:rPr>
          <w:color w:val="231F20"/>
          <w:spacing w:val="-19"/>
          <w:w w:val="105"/>
        </w:rPr>
        <w:t> </w:t>
      </w:r>
      <w:r>
        <w:rPr>
          <w:color w:val="231F20"/>
          <w:w w:val="105"/>
        </w:rPr>
        <w:t>el</w:t>
      </w:r>
      <w:r>
        <w:rPr>
          <w:color w:val="231F20"/>
          <w:spacing w:val="-19"/>
          <w:w w:val="105"/>
        </w:rPr>
        <w:t> </w:t>
      </w:r>
      <w:r>
        <w:rPr>
          <w:color w:val="231F20"/>
          <w:w w:val="105"/>
        </w:rPr>
        <w:t>establecimiento</w:t>
      </w:r>
      <w:r>
        <w:rPr>
          <w:color w:val="231F20"/>
          <w:spacing w:val="-19"/>
          <w:w w:val="105"/>
        </w:rPr>
        <w:t> </w:t>
      </w:r>
      <w:r>
        <w:rPr>
          <w:color w:val="231F20"/>
          <w:w w:val="105"/>
        </w:rPr>
        <w:t>de</w:t>
      </w:r>
      <w:r>
        <w:rPr>
          <w:color w:val="231F20"/>
          <w:spacing w:val="-19"/>
          <w:w w:val="105"/>
        </w:rPr>
        <w:t> </w:t>
      </w:r>
      <w:r>
        <w:rPr>
          <w:color w:val="231F20"/>
          <w:w w:val="105"/>
        </w:rPr>
        <w:t>legislación</w:t>
      </w:r>
      <w:r>
        <w:rPr>
          <w:color w:val="231F20"/>
          <w:spacing w:val="-19"/>
          <w:w w:val="105"/>
        </w:rPr>
        <w:t> </w:t>
      </w:r>
      <w:r>
        <w:rPr>
          <w:color w:val="231F20"/>
          <w:w w:val="105"/>
        </w:rPr>
        <w:t>de</w:t>
      </w:r>
      <w:r>
        <w:rPr>
          <w:color w:val="231F20"/>
          <w:spacing w:val="-19"/>
          <w:w w:val="105"/>
        </w:rPr>
        <w:t> </w:t>
      </w:r>
      <w:r>
        <w:rPr>
          <w:color w:val="231F20"/>
          <w:w w:val="105"/>
        </w:rPr>
        <w:t>respon- sabilidad</w:t>
      </w:r>
      <w:r>
        <w:rPr>
          <w:color w:val="231F20"/>
          <w:spacing w:val="-23"/>
          <w:w w:val="105"/>
        </w:rPr>
        <w:t> </w:t>
      </w:r>
      <w:r>
        <w:rPr>
          <w:color w:val="231F20"/>
          <w:w w:val="105"/>
        </w:rPr>
        <w:t>fiscal</w:t>
      </w:r>
      <w:r>
        <w:rPr>
          <w:color w:val="231F20"/>
          <w:spacing w:val="-23"/>
          <w:w w:val="105"/>
        </w:rPr>
        <w:t> </w:t>
      </w:r>
      <w:r>
        <w:rPr>
          <w:color w:val="231F20"/>
          <w:w w:val="105"/>
        </w:rPr>
        <w:t>o</w:t>
      </w:r>
      <w:r>
        <w:rPr>
          <w:color w:val="231F20"/>
          <w:spacing w:val="-23"/>
          <w:w w:val="105"/>
        </w:rPr>
        <w:t> </w:t>
      </w:r>
      <w:r>
        <w:rPr>
          <w:color w:val="231F20"/>
          <w:w w:val="105"/>
        </w:rPr>
        <w:t>adopción</w:t>
      </w:r>
      <w:r>
        <w:rPr>
          <w:color w:val="231F20"/>
          <w:spacing w:val="-23"/>
          <w:w w:val="105"/>
        </w:rPr>
        <w:t> </w:t>
      </w:r>
      <w:r>
        <w:rPr>
          <w:color w:val="231F20"/>
          <w:w w:val="105"/>
        </w:rPr>
        <w:t>de</w:t>
      </w:r>
      <w:r>
        <w:rPr>
          <w:color w:val="231F20"/>
          <w:spacing w:val="-23"/>
          <w:w w:val="105"/>
        </w:rPr>
        <w:t> </w:t>
      </w:r>
      <w:r>
        <w:rPr>
          <w:color w:val="231F20"/>
          <w:w w:val="105"/>
        </w:rPr>
        <w:t>reglas</w:t>
      </w:r>
      <w:r>
        <w:rPr>
          <w:color w:val="231F20"/>
          <w:spacing w:val="-23"/>
          <w:w w:val="105"/>
        </w:rPr>
        <w:t> </w:t>
      </w:r>
      <w:r>
        <w:rPr>
          <w:color w:val="231F20"/>
          <w:w w:val="105"/>
        </w:rPr>
        <w:t>fiscales</w:t>
      </w:r>
      <w:r>
        <w:rPr>
          <w:color w:val="231F20"/>
          <w:spacing w:val="-23"/>
          <w:w w:val="105"/>
        </w:rPr>
        <w:t> </w:t>
      </w:r>
      <w:r>
        <w:rPr>
          <w:color w:val="231F20"/>
          <w:w w:val="105"/>
        </w:rPr>
        <w:t>(Ossowski</w:t>
      </w:r>
      <w:r>
        <w:rPr>
          <w:color w:val="231F20"/>
          <w:spacing w:val="-23"/>
          <w:w w:val="105"/>
        </w:rPr>
        <w:t> </w:t>
      </w:r>
      <w:r>
        <w:rPr>
          <w:i/>
          <w:color w:val="231F20"/>
          <w:w w:val="105"/>
        </w:rPr>
        <w:t>et</w:t>
      </w:r>
      <w:r>
        <w:rPr>
          <w:i/>
          <w:color w:val="231F20"/>
          <w:spacing w:val="-23"/>
          <w:w w:val="105"/>
        </w:rPr>
        <w:t> </w:t>
      </w:r>
      <w:r>
        <w:rPr>
          <w:i/>
          <w:color w:val="231F20"/>
          <w:w w:val="105"/>
        </w:rPr>
        <w:t>al,</w:t>
      </w:r>
      <w:r>
        <w:rPr>
          <w:i/>
          <w:color w:val="231F20"/>
          <w:spacing w:val="-23"/>
          <w:w w:val="105"/>
        </w:rPr>
        <w:t> </w:t>
      </w:r>
      <w:r>
        <w:rPr>
          <w:color w:val="231F20"/>
          <w:w w:val="105"/>
        </w:rPr>
        <w:t>2008).</w:t>
      </w:r>
    </w:p>
    <w:p>
      <w:pPr>
        <w:pStyle w:val="BodyText"/>
        <w:spacing w:line="259" w:lineRule="auto"/>
        <w:ind w:left="117" w:right="121" w:firstLine="567"/>
        <w:jc w:val="both"/>
      </w:pPr>
      <w:r>
        <w:rPr>
          <w:color w:val="231F20"/>
          <w:w w:val="105"/>
        </w:rPr>
        <w:t>La literatura relacionada con la presencia de un recurso natural abundante y el papel de las instituciones es foco de discusión que ha despertado</w:t>
      </w:r>
      <w:r>
        <w:rPr>
          <w:color w:val="231F20"/>
          <w:spacing w:val="-6"/>
          <w:w w:val="105"/>
        </w:rPr>
        <w:t> </w:t>
      </w:r>
      <w:r>
        <w:rPr>
          <w:color w:val="231F20"/>
          <w:w w:val="105"/>
        </w:rPr>
        <w:t>la</w:t>
      </w:r>
      <w:r>
        <w:rPr>
          <w:color w:val="231F20"/>
          <w:spacing w:val="-6"/>
          <w:w w:val="105"/>
        </w:rPr>
        <w:t> </w:t>
      </w:r>
      <w:r>
        <w:rPr>
          <w:color w:val="231F20"/>
          <w:w w:val="105"/>
        </w:rPr>
        <w:t>importancia</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mismas.</w:t>
      </w:r>
      <w:r>
        <w:rPr>
          <w:color w:val="231F20"/>
          <w:spacing w:val="-11"/>
          <w:w w:val="105"/>
        </w:rPr>
        <w:t> </w:t>
      </w:r>
      <w:r>
        <w:rPr>
          <w:color w:val="231F20"/>
          <w:spacing w:val="-6"/>
          <w:w w:val="105"/>
        </w:rPr>
        <w:t>Por </w:t>
      </w:r>
      <w:r>
        <w:rPr>
          <w:color w:val="231F20"/>
          <w:w w:val="105"/>
        </w:rPr>
        <w:t>ejemplo,</w:t>
      </w:r>
      <w:r>
        <w:rPr>
          <w:color w:val="231F20"/>
          <w:spacing w:val="-11"/>
          <w:w w:val="105"/>
        </w:rPr>
        <w:t> </w:t>
      </w:r>
      <w:r>
        <w:rPr>
          <w:color w:val="231F20"/>
          <w:w w:val="105"/>
        </w:rPr>
        <w:t>Sachs</w:t>
      </w:r>
      <w:r>
        <w:rPr>
          <w:color w:val="231F20"/>
          <w:spacing w:val="-6"/>
          <w:w w:val="105"/>
        </w:rPr>
        <w:t> </w:t>
      </w:r>
      <w:r>
        <w:rPr>
          <w:color w:val="231F20"/>
          <w:w w:val="105"/>
        </w:rPr>
        <w:t>y</w:t>
      </w:r>
      <w:r>
        <w:rPr>
          <w:color w:val="231F20"/>
          <w:spacing w:val="-8"/>
          <w:w w:val="105"/>
        </w:rPr>
        <w:t> </w:t>
      </w:r>
      <w:r>
        <w:rPr>
          <w:color w:val="231F20"/>
          <w:w w:val="105"/>
        </w:rPr>
        <w:t>Werner (1995) argumentaron que los países que crecen a un menor ritmo (en términos</w:t>
      </w:r>
      <w:r>
        <w:rPr>
          <w:color w:val="231F20"/>
          <w:spacing w:val="-25"/>
          <w:w w:val="105"/>
        </w:rPr>
        <w:t> </w:t>
      </w:r>
      <w:r>
        <w:rPr>
          <w:color w:val="231F20"/>
          <w:w w:val="105"/>
        </w:rPr>
        <w:t>económicos)</w:t>
      </w:r>
      <w:r>
        <w:rPr>
          <w:color w:val="231F20"/>
          <w:spacing w:val="-25"/>
          <w:w w:val="105"/>
        </w:rPr>
        <w:t> </w:t>
      </w:r>
      <w:r>
        <w:rPr>
          <w:color w:val="231F20"/>
          <w:w w:val="105"/>
        </w:rPr>
        <w:t>son</w:t>
      </w:r>
      <w:r>
        <w:rPr>
          <w:color w:val="231F20"/>
          <w:spacing w:val="-25"/>
          <w:w w:val="105"/>
        </w:rPr>
        <w:t> </w:t>
      </w:r>
      <w:r>
        <w:rPr>
          <w:color w:val="231F20"/>
          <w:w w:val="105"/>
        </w:rPr>
        <w:t>aquellos</w:t>
      </w:r>
      <w:r>
        <w:rPr>
          <w:color w:val="231F20"/>
          <w:spacing w:val="-25"/>
          <w:w w:val="105"/>
        </w:rPr>
        <w:t> </w:t>
      </w:r>
      <w:r>
        <w:rPr>
          <w:color w:val="231F20"/>
          <w:w w:val="105"/>
        </w:rPr>
        <w:t>que</w:t>
      </w:r>
      <w:r>
        <w:rPr>
          <w:color w:val="231F20"/>
          <w:spacing w:val="-25"/>
          <w:w w:val="105"/>
        </w:rPr>
        <w:t> </w:t>
      </w:r>
      <w:r>
        <w:rPr>
          <w:color w:val="231F20"/>
          <w:w w:val="105"/>
        </w:rPr>
        <w:t>poseen</w:t>
      </w:r>
      <w:r>
        <w:rPr>
          <w:color w:val="231F20"/>
          <w:spacing w:val="-25"/>
          <w:w w:val="105"/>
        </w:rPr>
        <w:t> </w:t>
      </w:r>
      <w:r>
        <w:rPr>
          <w:color w:val="231F20"/>
          <w:w w:val="105"/>
        </w:rPr>
        <w:t>un</w:t>
      </w:r>
      <w:r>
        <w:rPr>
          <w:color w:val="231F20"/>
          <w:spacing w:val="-25"/>
          <w:w w:val="105"/>
        </w:rPr>
        <w:t> </w:t>
      </w:r>
      <w:r>
        <w:rPr>
          <w:color w:val="231F20"/>
          <w:w w:val="105"/>
        </w:rPr>
        <w:t>recurso</w:t>
      </w:r>
      <w:r>
        <w:rPr>
          <w:color w:val="231F20"/>
          <w:spacing w:val="-25"/>
          <w:w w:val="105"/>
        </w:rPr>
        <w:t> </w:t>
      </w:r>
      <w:r>
        <w:rPr>
          <w:color w:val="231F20"/>
          <w:w w:val="105"/>
        </w:rPr>
        <w:t>natural</w:t>
      </w:r>
      <w:r>
        <w:rPr>
          <w:color w:val="231F20"/>
          <w:spacing w:val="-25"/>
          <w:w w:val="105"/>
        </w:rPr>
        <w:t> </w:t>
      </w:r>
      <w:r>
        <w:rPr>
          <w:color w:val="231F20"/>
          <w:w w:val="105"/>
        </w:rPr>
        <w:t>abun- dante,</w:t>
      </w:r>
      <w:r>
        <w:rPr>
          <w:color w:val="231F20"/>
          <w:spacing w:val="-19"/>
          <w:w w:val="105"/>
        </w:rPr>
        <w:t> </w:t>
      </w:r>
      <w:r>
        <w:rPr>
          <w:color w:val="231F20"/>
          <w:w w:val="105"/>
        </w:rPr>
        <w:t>en</w:t>
      </w:r>
      <w:r>
        <w:rPr>
          <w:color w:val="231F20"/>
          <w:spacing w:val="-12"/>
          <w:w w:val="105"/>
        </w:rPr>
        <w:t> </w:t>
      </w:r>
      <w:r>
        <w:rPr>
          <w:color w:val="231F20"/>
          <w:w w:val="105"/>
        </w:rPr>
        <w:t>consecuencia,</w:t>
      </w:r>
      <w:r>
        <w:rPr>
          <w:color w:val="231F20"/>
          <w:spacing w:val="-19"/>
          <w:w w:val="105"/>
        </w:rPr>
        <w:t> </w:t>
      </w:r>
      <w:r>
        <w:rPr>
          <w:color w:val="231F20"/>
          <w:w w:val="105"/>
        </w:rPr>
        <w:t>este</w:t>
      </w:r>
      <w:r>
        <w:rPr>
          <w:color w:val="231F20"/>
          <w:spacing w:val="-12"/>
          <w:w w:val="105"/>
        </w:rPr>
        <w:t> </w:t>
      </w:r>
      <w:r>
        <w:rPr>
          <w:color w:val="231F20"/>
          <w:w w:val="105"/>
        </w:rPr>
        <w:t>fenómeno</w:t>
      </w:r>
      <w:r>
        <w:rPr>
          <w:color w:val="231F20"/>
          <w:spacing w:val="-12"/>
          <w:w w:val="105"/>
        </w:rPr>
        <w:t> </w:t>
      </w:r>
      <w:r>
        <w:rPr>
          <w:color w:val="231F20"/>
          <w:w w:val="105"/>
        </w:rPr>
        <w:t>ha</w:t>
      </w:r>
      <w:r>
        <w:rPr>
          <w:color w:val="231F20"/>
          <w:spacing w:val="-12"/>
          <w:w w:val="105"/>
        </w:rPr>
        <w:t> </w:t>
      </w:r>
      <w:r>
        <w:rPr>
          <w:color w:val="231F20"/>
          <w:w w:val="105"/>
        </w:rPr>
        <w:t>sido</w:t>
      </w:r>
      <w:r>
        <w:rPr>
          <w:color w:val="231F20"/>
          <w:spacing w:val="-12"/>
          <w:w w:val="105"/>
        </w:rPr>
        <w:t> </w:t>
      </w:r>
      <w:r>
        <w:rPr>
          <w:color w:val="231F20"/>
          <w:w w:val="105"/>
        </w:rPr>
        <w:t>llamado</w:t>
      </w:r>
      <w:r>
        <w:rPr>
          <w:color w:val="231F20"/>
          <w:spacing w:val="-12"/>
          <w:w w:val="105"/>
        </w:rPr>
        <w:t> </w:t>
      </w:r>
      <w:r>
        <w:rPr>
          <w:color w:val="231F20"/>
          <w:w w:val="105"/>
        </w:rPr>
        <w:t>la</w:t>
      </w:r>
      <w:r>
        <w:rPr>
          <w:color w:val="231F20"/>
          <w:spacing w:val="-12"/>
          <w:w w:val="105"/>
        </w:rPr>
        <w:t> </w:t>
      </w:r>
      <w:r>
        <w:rPr>
          <w:color w:val="231F20"/>
          <w:w w:val="105"/>
        </w:rPr>
        <w:t>maldición</w:t>
      </w:r>
      <w:r>
        <w:rPr>
          <w:color w:val="231F20"/>
          <w:spacing w:val="-12"/>
          <w:w w:val="105"/>
        </w:rPr>
        <w:t> </w:t>
      </w:r>
      <w:r>
        <w:rPr>
          <w:color w:val="231F20"/>
          <w:w w:val="105"/>
        </w:rPr>
        <w:t>de los</w:t>
      </w:r>
      <w:r>
        <w:rPr>
          <w:color w:val="231F20"/>
          <w:spacing w:val="-15"/>
          <w:w w:val="105"/>
        </w:rPr>
        <w:t> </w:t>
      </w:r>
      <w:r>
        <w:rPr>
          <w:color w:val="231F20"/>
          <w:w w:val="105"/>
        </w:rPr>
        <w:t>recursos</w:t>
      </w:r>
      <w:r>
        <w:rPr>
          <w:color w:val="231F20"/>
          <w:spacing w:val="-15"/>
          <w:w w:val="105"/>
        </w:rPr>
        <w:t> </w:t>
      </w:r>
      <w:r>
        <w:rPr>
          <w:color w:val="231F20"/>
          <w:w w:val="105"/>
        </w:rPr>
        <w:t>naturales.</w:t>
      </w:r>
      <w:r>
        <w:rPr>
          <w:color w:val="231F20"/>
          <w:spacing w:val="-19"/>
          <w:w w:val="105"/>
        </w:rPr>
        <w:t> </w:t>
      </w:r>
      <w:r>
        <w:rPr>
          <w:color w:val="231F20"/>
          <w:w w:val="105"/>
        </w:rPr>
        <w:t>Contrariamente,</w:t>
      </w:r>
      <w:r>
        <w:rPr>
          <w:color w:val="231F20"/>
          <w:spacing w:val="-19"/>
          <w:w w:val="105"/>
        </w:rPr>
        <w:t> </w:t>
      </w:r>
      <w:r>
        <w:rPr>
          <w:color w:val="231F20"/>
          <w:w w:val="105"/>
        </w:rPr>
        <w:t>Mehlum</w:t>
      </w:r>
      <w:r>
        <w:rPr>
          <w:color w:val="231F20"/>
          <w:spacing w:val="-15"/>
          <w:w w:val="105"/>
        </w:rPr>
        <w:t> </w:t>
      </w:r>
      <w:r>
        <w:rPr>
          <w:i/>
          <w:color w:val="231F20"/>
          <w:w w:val="105"/>
        </w:rPr>
        <w:t>et</w:t>
      </w:r>
      <w:r>
        <w:rPr>
          <w:i/>
          <w:color w:val="231F20"/>
          <w:spacing w:val="-15"/>
          <w:w w:val="105"/>
        </w:rPr>
        <w:t> </w:t>
      </w:r>
      <w:r>
        <w:rPr>
          <w:i/>
          <w:color w:val="231F20"/>
          <w:w w:val="105"/>
        </w:rPr>
        <w:t>al</w:t>
      </w:r>
      <w:r>
        <w:rPr>
          <w:i/>
          <w:color w:val="231F20"/>
          <w:spacing w:val="-15"/>
          <w:w w:val="105"/>
        </w:rPr>
        <w:t> </w:t>
      </w:r>
      <w:r>
        <w:rPr>
          <w:color w:val="231F20"/>
          <w:w w:val="105"/>
        </w:rPr>
        <w:t>(2006)</w:t>
      </w:r>
      <w:r>
        <w:rPr>
          <w:color w:val="231F20"/>
          <w:spacing w:val="-15"/>
          <w:w w:val="105"/>
        </w:rPr>
        <w:t> </w:t>
      </w:r>
      <w:r>
        <w:rPr>
          <w:color w:val="231F20"/>
          <w:w w:val="105"/>
        </w:rPr>
        <w:t>destacaron</w:t>
      </w:r>
    </w:p>
    <w:p>
      <w:pPr>
        <w:spacing w:after="0" w:line="259" w:lineRule="auto"/>
        <w:jc w:val="both"/>
        <w:sectPr>
          <w:type w:val="continuous"/>
          <w:pgSz w:w="9640" w:h="13890"/>
          <w:pgMar w:top="1300" w:bottom="280" w:left="1300" w:right="1180"/>
        </w:sectPr>
      </w:pPr>
    </w:p>
    <w:p>
      <w:pPr>
        <w:pStyle w:val="BodyText"/>
        <w:spacing w:line="259" w:lineRule="auto" w:before="120"/>
        <w:ind w:left="103" w:right="17"/>
      </w:pPr>
      <w:r>
        <w:rPr>
          <w:color w:val="231F20"/>
          <w:w w:val="105"/>
        </w:rPr>
        <w:t>el papel de las instituciones como un factor determinante para la maldi- ción del recurso natural (o en todo caso la bendición).</w:t>
      </w:r>
    </w:p>
    <w:p>
      <w:pPr>
        <w:pStyle w:val="BodyText"/>
        <w:spacing w:line="259" w:lineRule="auto"/>
        <w:ind w:left="103" w:right="111" w:firstLine="567"/>
        <w:jc w:val="right"/>
      </w:pPr>
      <w:r>
        <w:rPr>
          <w:color w:val="231F20"/>
          <w:w w:val="105"/>
        </w:rPr>
        <w:t>Las</w:t>
      </w:r>
      <w:r>
        <w:rPr>
          <w:color w:val="231F20"/>
          <w:spacing w:val="-30"/>
          <w:w w:val="105"/>
        </w:rPr>
        <w:t> </w:t>
      </w:r>
      <w:r>
        <w:rPr>
          <w:color w:val="231F20"/>
          <w:spacing w:val="-3"/>
          <w:w w:val="105"/>
        </w:rPr>
        <w:t>instituciones,</w:t>
      </w:r>
      <w:r>
        <w:rPr>
          <w:color w:val="231F20"/>
          <w:spacing w:val="-35"/>
          <w:w w:val="105"/>
        </w:rPr>
        <w:t> </w:t>
      </w:r>
      <w:r>
        <w:rPr>
          <w:color w:val="231F20"/>
          <w:spacing w:val="-3"/>
          <w:w w:val="105"/>
        </w:rPr>
        <w:t>según</w:t>
      </w:r>
      <w:r>
        <w:rPr>
          <w:color w:val="231F20"/>
          <w:spacing w:val="-30"/>
          <w:w w:val="105"/>
        </w:rPr>
        <w:t> </w:t>
      </w:r>
      <w:r>
        <w:rPr>
          <w:color w:val="231F20"/>
          <w:spacing w:val="-3"/>
          <w:w w:val="105"/>
        </w:rPr>
        <w:t>Scott</w:t>
      </w:r>
      <w:r>
        <w:rPr>
          <w:color w:val="231F20"/>
          <w:spacing w:val="-30"/>
          <w:w w:val="105"/>
        </w:rPr>
        <w:t> </w:t>
      </w:r>
      <w:r>
        <w:rPr>
          <w:color w:val="231F20"/>
          <w:w w:val="105"/>
        </w:rPr>
        <w:t>y</w:t>
      </w:r>
      <w:r>
        <w:rPr>
          <w:color w:val="231F20"/>
          <w:spacing w:val="-30"/>
          <w:w w:val="105"/>
        </w:rPr>
        <w:t> </w:t>
      </w:r>
      <w:r>
        <w:rPr>
          <w:color w:val="231F20"/>
          <w:spacing w:val="-3"/>
          <w:w w:val="105"/>
        </w:rPr>
        <w:t>Davis</w:t>
      </w:r>
      <w:r>
        <w:rPr>
          <w:color w:val="231F20"/>
          <w:spacing w:val="-30"/>
          <w:w w:val="105"/>
        </w:rPr>
        <w:t> </w:t>
      </w:r>
      <w:r>
        <w:rPr>
          <w:color w:val="231F20"/>
          <w:spacing w:val="-3"/>
          <w:w w:val="105"/>
        </w:rPr>
        <w:t>(2007),</w:t>
      </w:r>
      <w:r>
        <w:rPr>
          <w:color w:val="231F20"/>
          <w:spacing w:val="-35"/>
          <w:w w:val="105"/>
        </w:rPr>
        <w:t> </w:t>
      </w:r>
      <w:r>
        <w:rPr>
          <w:color w:val="231F20"/>
          <w:w w:val="105"/>
        </w:rPr>
        <w:t>se</w:t>
      </w:r>
      <w:r>
        <w:rPr>
          <w:color w:val="231F20"/>
          <w:spacing w:val="-30"/>
          <w:w w:val="105"/>
        </w:rPr>
        <w:t> </w:t>
      </w:r>
      <w:r>
        <w:rPr>
          <w:color w:val="231F20"/>
          <w:spacing w:val="-3"/>
          <w:w w:val="105"/>
        </w:rPr>
        <w:t>definen</w:t>
      </w:r>
      <w:r>
        <w:rPr>
          <w:color w:val="231F20"/>
          <w:spacing w:val="-30"/>
          <w:w w:val="105"/>
        </w:rPr>
        <w:t> </w:t>
      </w:r>
      <w:r>
        <w:rPr>
          <w:color w:val="231F20"/>
          <w:spacing w:val="-3"/>
          <w:w w:val="105"/>
        </w:rPr>
        <w:t>como</w:t>
      </w:r>
      <w:r>
        <w:rPr>
          <w:color w:val="231F20"/>
          <w:spacing w:val="-30"/>
          <w:w w:val="105"/>
        </w:rPr>
        <w:t> </w:t>
      </w:r>
      <w:r>
        <w:rPr>
          <w:color w:val="231F20"/>
          <w:spacing w:val="-3"/>
          <w:w w:val="105"/>
        </w:rPr>
        <w:t>aque-</w:t>
      </w:r>
      <w:r>
        <w:rPr>
          <w:color w:val="231F20"/>
          <w:w w:val="96"/>
        </w:rPr>
        <w:t> </w:t>
      </w:r>
      <w:r>
        <w:rPr>
          <w:color w:val="231F20"/>
          <w:spacing w:val="-3"/>
          <w:w w:val="105"/>
        </w:rPr>
        <w:t>llas</w:t>
      </w:r>
      <w:r>
        <w:rPr>
          <w:color w:val="231F20"/>
          <w:spacing w:val="-22"/>
          <w:w w:val="105"/>
        </w:rPr>
        <w:t> </w:t>
      </w:r>
      <w:r>
        <w:rPr>
          <w:color w:val="231F20"/>
          <w:spacing w:val="-3"/>
          <w:w w:val="105"/>
        </w:rPr>
        <w:t>organizaciones</w:t>
      </w:r>
      <w:r>
        <w:rPr>
          <w:color w:val="231F20"/>
          <w:spacing w:val="-22"/>
          <w:w w:val="105"/>
        </w:rPr>
        <w:t> </w:t>
      </w:r>
      <w:r>
        <w:rPr>
          <w:color w:val="231F20"/>
          <w:w w:val="105"/>
        </w:rPr>
        <w:t>que</w:t>
      </w:r>
      <w:r>
        <w:rPr>
          <w:color w:val="231F20"/>
          <w:spacing w:val="-22"/>
          <w:w w:val="105"/>
        </w:rPr>
        <w:t> </w:t>
      </w:r>
      <w:r>
        <w:rPr>
          <w:color w:val="231F20"/>
          <w:spacing w:val="-3"/>
          <w:w w:val="105"/>
        </w:rPr>
        <w:t>viven</w:t>
      </w:r>
      <w:r>
        <w:rPr>
          <w:color w:val="231F20"/>
          <w:spacing w:val="-22"/>
          <w:w w:val="105"/>
        </w:rPr>
        <w:t> </w:t>
      </w:r>
      <w:r>
        <w:rPr>
          <w:color w:val="231F20"/>
          <w:w w:val="105"/>
        </w:rPr>
        <w:t>un</w:t>
      </w:r>
      <w:r>
        <w:rPr>
          <w:color w:val="231F20"/>
          <w:spacing w:val="-22"/>
          <w:w w:val="105"/>
        </w:rPr>
        <w:t> </w:t>
      </w:r>
      <w:r>
        <w:rPr>
          <w:color w:val="231F20"/>
          <w:spacing w:val="-3"/>
          <w:w w:val="105"/>
        </w:rPr>
        <w:t>proceso</w:t>
      </w:r>
      <w:r>
        <w:rPr>
          <w:color w:val="231F20"/>
          <w:spacing w:val="-22"/>
          <w:w w:val="105"/>
        </w:rPr>
        <w:t> </w:t>
      </w:r>
      <w:r>
        <w:rPr>
          <w:color w:val="231F20"/>
          <w:w w:val="105"/>
        </w:rPr>
        <w:t>de</w:t>
      </w:r>
      <w:r>
        <w:rPr>
          <w:color w:val="231F20"/>
          <w:spacing w:val="-22"/>
          <w:w w:val="105"/>
        </w:rPr>
        <w:t> </w:t>
      </w:r>
      <w:r>
        <w:rPr>
          <w:color w:val="231F20"/>
          <w:spacing w:val="-3"/>
          <w:w w:val="105"/>
        </w:rPr>
        <w:t>inculcación</w:t>
      </w:r>
      <w:r>
        <w:rPr>
          <w:color w:val="231F20"/>
          <w:spacing w:val="-22"/>
          <w:w w:val="105"/>
        </w:rPr>
        <w:t> </w:t>
      </w:r>
      <w:r>
        <w:rPr>
          <w:color w:val="231F20"/>
          <w:w w:val="105"/>
        </w:rPr>
        <w:t>de</w:t>
      </w:r>
      <w:r>
        <w:rPr>
          <w:color w:val="231F20"/>
          <w:spacing w:val="-22"/>
          <w:w w:val="105"/>
        </w:rPr>
        <w:t> </w:t>
      </w:r>
      <w:r>
        <w:rPr>
          <w:color w:val="231F20"/>
          <w:spacing w:val="-3"/>
          <w:w w:val="105"/>
        </w:rPr>
        <w:t>valores</w:t>
      </w:r>
      <w:r>
        <w:rPr>
          <w:color w:val="231F20"/>
          <w:spacing w:val="-22"/>
          <w:w w:val="105"/>
        </w:rPr>
        <w:t> </w:t>
      </w:r>
      <w:r>
        <w:rPr>
          <w:color w:val="231F20"/>
          <w:spacing w:val="-3"/>
          <w:w w:val="105"/>
        </w:rPr>
        <w:t>acom-</w:t>
      </w:r>
      <w:r>
        <w:rPr>
          <w:color w:val="231F20"/>
          <w:w w:val="96"/>
        </w:rPr>
        <w:t> </w:t>
      </w:r>
      <w:r>
        <w:rPr>
          <w:color w:val="231F20"/>
          <w:spacing w:val="-3"/>
          <w:w w:val="105"/>
        </w:rPr>
        <w:t>pañadas</w:t>
      </w:r>
      <w:r>
        <w:rPr>
          <w:color w:val="231F20"/>
          <w:spacing w:val="-29"/>
          <w:w w:val="105"/>
        </w:rPr>
        <w:t> </w:t>
      </w:r>
      <w:r>
        <w:rPr>
          <w:color w:val="231F20"/>
          <w:w w:val="105"/>
        </w:rPr>
        <w:t>de</w:t>
      </w:r>
      <w:r>
        <w:rPr>
          <w:color w:val="231F20"/>
          <w:spacing w:val="-29"/>
          <w:w w:val="105"/>
        </w:rPr>
        <w:t> </w:t>
      </w:r>
      <w:r>
        <w:rPr>
          <w:color w:val="231F20"/>
          <w:w w:val="105"/>
        </w:rPr>
        <w:t>una</w:t>
      </w:r>
      <w:r>
        <w:rPr>
          <w:color w:val="231F20"/>
          <w:spacing w:val="-29"/>
          <w:w w:val="105"/>
        </w:rPr>
        <w:t> </w:t>
      </w:r>
      <w:r>
        <w:rPr>
          <w:color w:val="231F20"/>
          <w:spacing w:val="-4"/>
          <w:w w:val="105"/>
        </w:rPr>
        <w:t>realidad</w:t>
      </w:r>
      <w:r>
        <w:rPr>
          <w:color w:val="231F20"/>
          <w:spacing w:val="-29"/>
          <w:w w:val="105"/>
        </w:rPr>
        <w:t> </w:t>
      </w:r>
      <w:r>
        <w:rPr>
          <w:color w:val="231F20"/>
          <w:spacing w:val="-3"/>
          <w:w w:val="105"/>
        </w:rPr>
        <w:t>social,</w:t>
      </w:r>
      <w:r>
        <w:rPr>
          <w:color w:val="231F20"/>
          <w:spacing w:val="-34"/>
          <w:w w:val="105"/>
        </w:rPr>
        <w:t> </w:t>
      </w:r>
      <w:r>
        <w:rPr>
          <w:color w:val="231F20"/>
          <w:spacing w:val="-3"/>
          <w:w w:val="105"/>
        </w:rPr>
        <w:t>cuyo</w:t>
      </w:r>
      <w:r>
        <w:rPr>
          <w:color w:val="231F20"/>
          <w:spacing w:val="-29"/>
          <w:w w:val="105"/>
        </w:rPr>
        <w:t> </w:t>
      </w:r>
      <w:r>
        <w:rPr>
          <w:color w:val="231F20"/>
          <w:spacing w:val="-3"/>
          <w:w w:val="105"/>
        </w:rPr>
        <w:t>objetivo</w:t>
      </w:r>
      <w:r>
        <w:rPr>
          <w:color w:val="231F20"/>
          <w:spacing w:val="-29"/>
          <w:w w:val="105"/>
        </w:rPr>
        <w:t> </w:t>
      </w:r>
      <w:r>
        <w:rPr>
          <w:color w:val="231F20"/>
          <w:w w:val="105"/>
        </w:rPr>
        <w:t>es</w:t>
      </w:r>
      <w:r>
        <w:rPr>
          <w:color w:val="231F20"/>
          <w:spacing w:val="-29"/>
          <w:w w:val="105"/>
        </w:rPr>
        <w:t> </w:t>
      </w:r>
      <w:r>
        <w:rPr>
          <w:color w:val="231F20"/>
          <w:w w:val="105"/>
        </w:rPr>
        <w:t>la</w:t>
      </w:r>
      <w:r>
        <w:rPr>
          <w:color w:val="231F20"/>
          <w:spacing w:val="-29"/>
          <w:w w:val="105"/>
        </w:rPr>
        <w:t> </w:t>
      </w:r>
      <w:r>
        <w:rPr>
          <w:color w:val="231F20"/>
          <w:spacing w:val="-3"/>
          <w:w w:val="105"/>
        </w:rPr>
        <w:t>estabilidad</w:t>
      </w:r>
      <w:r>
        <w:rPr>
          <w:color w:val="231F20"/>
          <w:spacing w:val="-29"/>
          <w:w w:val="105"/>
        </w:rPr>
        <w:t> </w:t>
      </w:r>
      <w:r>
        <w:rPr>
          <w:color w:val="231F20"/>
          <w:spacing w:val="-3"/>
          <w:w w:val="105"/>
        </w:rPr>
        <w:t>estructural</w:t>
      </w:r>
      <w:r>
        <w:rPr>
          <w:color w:val="231F20"/>
          <w:spacing w:val="-29"/>
          <w:w w:val="105"/>
        </w:rPr>
        <w:t> </w:t>
      </w:r>
      <w:r>
        <w:rPr>
          <w:color w:val="231F20"/>
          <w:w w:val="105"/>
        </w:rPr>
        <w:t>y</w:t>
      </w:r>
      <w:r>
        <w:rPr>
          <w:color w:val="231F20"/>
          <w:w w:val="97"/>
        </w:rPr>
        <w:t> </w:t>
      </w:r>
      <w:r>
        <w:rPr>
          <w:color w:val="231F20"/>
          <w:w w:val="105"/>
        </w:rPr>
        <w:t>la</w:t>
      </w:r>
      <w:r>
        <w:rPr>
          <w:color w:val="231F20"/>
          <w:spacing w:val="-30"/>
          <w:w w:val="105"/>
        </w:rPr>
        <w:t> </w:t>
      </w:r>
      <w:r>
        <w:rPr>
          <w:color w:val="231F20"/>
          <w:spacing w:val="-3"/>
          <w:w w:val="105"/>
        </w:rPr>
        <w:t>permanencia</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spacing w:val="-3"/>
          <w:w w:val="105"/>
        </w:rPr>
        <w:t>tiempo.</w:t>
      </w:r>
      <w:r>
        <w:rPr>
          <w:color w:val="231F20"/>
          <w:spacing w:val="-35"/>
          <w:w w:val="105"/>
        </w:rPr>
        <w:t> </w:t>
      </w:r>
      <w:r>
        <w:rPr>
          <w:color w:val="231F20"/>
          <w:spacing w:val="-4"/>
          <w:w w:val="105"/>
        </w:rPr>
        <w:t>Paralelamente,</w:t>
      </w:r>
      <w:r>
        <w:rPr>
          <w:color w:val="231F20"/>
          <w:spacing w:val="-35"/>
          <w:w w:val="105"/>
        </w:rPr>
        <w:t> </w:t>
      </w:r>
      <w:r>
        <w:rPr>
          <w:color w:val="231F20"/>
          <w:w w:val="105"/>
        </w:rPr>
        <w:t>la</w:t>
      </w:r>
      <w:r>
        <w:rPr>
          <w:color w:val="231F20"/>
          <w:spacing w:val="-30"/>
          <w:w w:val="105"/>
        </w:rPr>
        <w:t> </w:t>
      </w:r>
      <w:r>
        <w:rPr>
          <w:color w:val="231F20"/>
          <w:spacing w:val="-3"/>
          <w:w w:val="105"/>
        </w:rPr>
        <w:t>institucionalidad</w:t>
      </w:r>
      <w:r>
        <w:rPr>
          <w:color w:val="231F20"/>
          <w:spacing w:val="-30"/>
          <w:w w:val="105"/>
        </w:rPr>
        <w:t> </w:t>
      </w:r>
      <w:r>
        <w:rPr>
          <w:color w:val="231F20"/>
          <w:w w:val="105"/>
        </w:rPr>
        <w:t>se</w:t>
      </w:r>
      <w:r>
        <w:rPr>
          <w:color w:val="231F20"/>
          <w:spacing w:val="-30"/>
          <w:w w:val="105"/>
        </w:rPr>
        <w:t> </w:t>
      </w:r>
      <w:r>
        <w:rPr>
          <w:color w:val="231F20"/>
          <w:spacing w:val="-3"/>
          <w:w w:val="105"/>
        </w:rPr>
        <w:t>modela</w:t>
      </w:r>
      <w:r>
        <w:rPr>
          <w:color w:val="231F20"/>
          <w:spacing w:val="-3"/>
          <w:w w:val="106"/>
        </w:rPr>
        <w:t> </w:t>
      </w:r>
      <w:r>
        <w:rPr>
          <w:color w:val="231F20"/>
          <w:w w:val="105"/>
        </w:rPr>
        <w:t>con </w:t>
      </w:r>
      <w:r>
        <w:rPr>
          <w:color w:val="231F20"/>
          <w:spacing w:val="-3"/>
          <w:w w:val="105"/>
        </w:rPr>
        <w:t>base </w:t>
      </w:r>
      <w:r>
        <w:rPr>
          <w:color w:val="231F20"/>
          <w:w w:val="105"/>
        </w:rPr>
        <w:t>en la </w:t>
      </w:r>
      <w:r>
        <w:rPr>
          <w:color w:val="231F20"/>
          <w:spacing w:val="-3"/>
          <w:w w:val="105"/>
        </w:rPr>
        <w:t>función social </w:t>
      </w:r>
      <w:r>
        <w:rPr>
          <w:color w:val="231F20"/>
          <w:w w:val="105"/>
        </w:rPr>
        <w:t>del </w:t>
      </w:r>
      <w:r>
        <w:rPr>
          <w:color w:val="231F20"/>
          <w:spacing w:val="-3"/>
          <w:w w:val="105"/>
        </w:rPr>
        <w:t>estado </w:t>
      </w:r>
      <w:r>
        <w:rPr>
          <w:color w:val="231F20"/>
          <w:w w:val="105"/>
        </w:rPr>
        <w:t>y a </w:t>
      </w:r>
      <w:r>
        <w:rPr>
          <w:color w:val="231F20"/>
          <w:spacing w:val="-3"/>
          <w:w w:val="105"/>
        </w:rPr>
        <w:t>partir </w:t>
      </w:r>
      <w:r>
        <w:rPr>
          <w:color w:val="231F20"/>
          <w:w w:val="105"/>
        </w:rPr>
        <w:t>de las</w:t>
      </w:r>
      <w:r>
        <w:rPr>
          <w:color w:val="231F20"/>
          <w:spacing w:val="47"/>
          <w:w w:val="105"/>
        </w:rPr>
        <w:t> </w:t>
      </w:r>
      <w:r>
        <w:rPr>
          <w:color w:val="231F20"/>
          <w:spacing w:val="-3"/>
          <w:w w:val="105"/>
        </w:rPr>
        <w:t>creencias</w:t>
      </w:r>
      <w:r>
        <w:rPr>
          <w:color w:val="231F20"/>
          <w:spacing w:val="2"/>
          <w:w w:val="105"/>
        </w:rPr>
        <w:t> </w:t>
      </w:r>
      <w:r>
        <w:rPr>
          <w:color w:val="231F20"/>
          <w:spacing w:val="-3"/>
          <w:w w:val="105"/>
        </w:rPr>
        <w:t>lógi-</w:t>
      </w:r>
      <w:r>
        <w:rPr>
          <w:color w:val="231F20"/>
          <w:w w:val="96"/>
        </w:rPr>
        <w:t> </w:t>
      </w:r>
      <w:r>
        <w:rPr>
          <w:color w:val="231F20"/>
          <w:w w:val="105"/>
        </w:rPr>
        <w:t>cas</w:t>
      </w:r>
      <w:r>
        <w:rPr>
          <w:color w:val="231F20"/>
          <w:spacing w:val="-9"/>
          <w:w w:val="105"/>
        </w:rPr>
        <w:t> </w:t>
      </w:r>
      <w:r>
        <w:rPr>
          <w:color w:val="231F20"/>
          <w:w w:val="105"/>
        </w:rPr>
        <w:t>que</w:t>
      </w:r>
      <w:r>
        <w:rPr>
          <w:color w:val="231F20"/>
          <w:spacing w:val="-9"/>
          <w:w w:val="105"/>
        </w:rPr>
        <w:t> </w:t>
      </w:r>
      <w:r>
        <w:rPr>
          <w:color w:val="231F20"/>
          <w:spacing w:val="-3"/>
          <w:w w:val="105"/>
        </w:rPr>
        <w:t>asume</w:t>
      </w:r>
      <w:r>
        <w:rPr>
          <w:color w:val="231F20"/>
          <w:spacing w:val="-9"/>
          <w:w w:val="105"/>
        </w:rPr>
        <w:t> </w:t>
      </w:r>
      <w:r>
        <w:rPr>
          <w:color w:val="231F20"/>
          <w:w w:val="105"/>
        </w:rPr>
        <w:t>la</w:t>
      </w:r>
      <w:r>
        <w:rPr>
          <w:color w:val="231F20"/>
          <w:spacing w:val="-9"/>
          <w:w w:val="105"/>
        </w:rPr>
        <w:t> </w:t>
      </w:r>
      <w:r>
        <w:rPr>
          <w:color w:val="231F20"/>
          <w:spacing w:val="-3"/>
          <w:w w:val="105"/>
        </w:rPr>
        <w:t>sociedad</w:t>
      </w:r>
      <w:r>
        <w:rPr>
          <w:color w:val="231F20"/>
          <w:spacing w:val="-9"/>
          <w:w w:val="105"/>
        </w:rPr>
        <w:t> </w:t>
      </w:r>
      <w:r>
        <w:rPr>
          <w:color w:val="231F20"/>
          <w:spacing w:val="-3"/>
          <w:w w:val="105"/>
        </w:rPr>
        <w:t>respecto</w:t>
      </w:r>
      <w:r>
        <w:rPr>
          <w:color w:val="231F20"/>
          <w:spacing w:val="-9"/>
          <w:w w:val="105"/>
        </w:rPr>
        <w:t> </w:t>
      </w:r>
      <w:r>
        <w:rPr>
          <w:color w:val="231F20"/>
          <w:w w:val="105"/>
        </w:rPr>
        <w:t>al</w:t>
      </w:r>
      <w:r>
        <w:rPr>
          <w:color w:val="231F20"/>
          <w:spacing w:val="-9"/>
          <w:w w:val="105"/>
        </w:rPr>
        <w:t> </w:t>
      </w:r>
      <w:r>
        <w:rPr>
          <w:color w:val="231F20"/>
          <w:spacing w:val="-3"/>
          <w:w w:val="105"/>
        </w:rPr>
        <w:t>papel</w:t>
      </w:r>
      <w:r>
        <w:rPr>
          <w:color w:val="231F20"/>
          <w:spacing w:val="-9"/>
          <w:w w:val="105"/>
        </w:rPr>
        <w:t> </w:t>
      </w:r>
      <w:r>
        <w:rPr>
          <w:color w:val="231F20"/>
          <w:w w:val="105"/>
        </w:rPr>
        <w:t>del</w:t>
      </w:r>
      <w:r>
        <w:rPr>
          <w:color w:val="231F20"/>
          <w:spacing w:val="-9"/>
          <w:w w:val="105"/>
        </w:rPr>
        <w:t> </w:t>
      </w:r>
      <w:r>
        <w:rPr>
          <w:color w:val="231F20"/>
          <w:spacing w:val="-3"/>
          <w:w w:val="105"/>
        </w:rPr>
        <w:t>gobierno,</w:t>
      </w:r>
      <w:r>
        <w:rPr>
          <w:color w:val="231F20"/>
          <w:spacing w:val="-15"/>
          <w:w w:val="105"/>
        </w:rPr>
        <w:t> </w:t>
      </w:r>
      <w:r>
        <w:rPr>
          <w:color w:val="231F20"/>
          <w:w w:val="105"/>
        </w:rPr>
        <w:t>el</w:t>
      </w:r>
      <w:r>
        <w:rPr>
          <w:color w:val="231F20"/>
          <w:spacing w:val="-9"/>
          <w:w w:val="105"/>
        </w:rPr>
        <w:t> </w:t>
      </w:r>
      <w:r>
        <w:rPr>
          <w:color w:val="231F20"/>
          <w:spacing w:val="-3"/>
          <w:w w:val="105"/>
        </w:rPr>
        <w:t>cual</w:t>
      </w:r>
      <w:r>
        <w:rPr>
          <w:color w:val="231F20"/>
          <w:spacing w:val="-9"/>
          <w:w w:val="105"/>
        </w:rPr>
        <w:t> </w:t>
      </w:r>
      <w:r>
        <w:rPr>
          <w:color w:val="231F20"/>
          <w:spacing w:val="-3"/>
          <w:w w:val="105"/>
        </w:rPr>
        <w:t>tiende</w:t>
      </w:r>
      <w:r>
        <w:rPr>
          <w:color w:val="231F20"/>
          <w:spacing w:val="-3"/>
          <w:w w:val="107"/>
        </w:rPr>
        <w:t> </w:t>
      </w:r>
      <w:r>
        <w:rPr>
          <w:color w:val="231F20"/>
          <w:w w:val="105"/>
        </w:rPr>
        <w:t>a </w:t>
      </w:r>
      <w:r>
        <w:rPr>
          <w:color w:val="231F20"/>
          <w:spacing w:val="-3"/>
          <w:w w:val="105"/>
        </w:rPr>
        <w:t>uniformizar políticas </w:t>
      </w:r>
      <w:r>
        <w:rPr>
          <w:color w:val="231F20"/>
          <w:w w:val="105"/>
        </w:rPr>
        <w:t>de </w:t>
      </w:r>
      <w:r>
        <w:rPr>
          <w:color w:val="231F20"/>
          <w:spacing w:val="-3"/>
          <w:w w:val="105"/>
        </w:rPr>
        <w:t>reglas fiscales </w:t>
      </w:r>
      <w:r>
        <w:rPr>
          <w:color w:val="231F20"/>
          <w:w w:val="105"/>
        </w:rPr>
        <w:t>en </w:t>
      </w:r>
      <w:r>
        <w:rPr>
          <w:color w:val="231F20"/>
          <w:spacing w:val="-3"/>
          <w:w w:val="105"/>
        </w:rPr>
        <w:t>virtud </w:t>
      </w:r>
      <w:r>
        <w:rPr>
          <w:color w:val="231F20"/>
          <w:w w:val="105"/>
        </w:rPr>
        <w:t>de </w:t>
      </w:r>
      <w:r>
        <w:rPr>
          <w:color w:val="231F20"/>
          <w:spacing w:val="-3"/>
          <w:w w:val="105"/>
        </w:rPr>
        <w:t>cierto grado</w:t>
      </w:r>
      <w:r>
        <w:rPr>
          <w:color w:val="231F20"/>
          <w:spacing w:val="1"/>
          <w:w w:val="105"/>
        </w:rPr>
        <w:t> </w:t>
      </w:r>
      <w:r>
        <w:rPr>
          <w:color w:val="231F20"/>
          <w:w w:val="105"/>
        </w:rPr>
        <w:t>de</w:t>
      </w:r>
      <w:r>
        <w:rPr>
          <w:color w:val="231F20"/>
          <w:spacing w:val="-2"/>
          <w:w w:val="105"/>
        </w:rPr>
        <w:t> </w:t>
      </w:r>
      <w:r>
        <w:rPr>
          <w:color w:val="231F20"/>
          <w:w w:val="105"/>
        </w:rPr>
        <w:t>ho-</w:t>
      </w:r>
      <w:r>
        <w:rPr>
          <w:color w:val="231F20"/>
          <w:w w:val="96"/>
        </w:rPr>
        <w:t> </w:t>
      </w:r>
      <w:r>
        <w:rPr>
          <w:color w:val="231F20"/>
          <w:spacing w:val="-3"/>
          <w:w w:val="105"/>
        </w:rPr>
        <w:t>mogeneidad institucional originadas </w:t>
      </w:r>
      <w:r>
        <w:rPr>
          <w:color w:val="231F20"/>
          <w:w w:val="105"/>
        </w:rPr>
        <w:t>en el </w:t>
      </w:r>
      <w:r>
        <w:rPr>
          <w:color w:val="231F20"/>
          <w:spacing w:val="-3"/>
          <w:w w:val="105"/>
        </w:rPr>
        <w:t>isomorfismo; esto</w:t>
      </w:r>
      <w:r>
        <w:rPr>
          <w:color w:val="231F20"/>
          <w:spacing w:val="42"/>
          <w:w w:val="105"/>
        </w:rPr>
        <w:t> </w:t>
      </w:r>
      <w:r>
        <w:rPr>
          <w:color w:val="231F20"/>
          <w:w w:val="105"/>
        </w:rPr>
        <w:t>es,</w:t>
      </w:r>
      <w:r>
        <w:rPr>
          <w:color w:val="231F20"/>
          <w:spacing w:val="-2"/>
          <w:w w:val="105"/>
        </w:rPr>
        <w:t> </w:t>
      </w:r>
      <w:r>
        <w:rPr>
          <w:color w:val="231F20"/>
          <w:spacing w:val="-3"/>
          <w:w w:val="105"/>
        </w:rPr>
        <w:t>adoptar</w:t>
      </w:r>
      <w:r>
        <w:rPr>
          <w:color w:val="231F20"/>
          <w:spacing w:val="-3"/>
          <w:w w:val="106"/>
        </w:rPr>
        <w:t> </w:t>
      </w:r>
      <w:r>
        <w:rPr>
          <w:color w:val="231F20"/>
          <w:spacing w:val="-3"/>
          <w:w w:val="105"/>
        </w:rPr>
        <w:t>cambios</w:t>
      </w:r>
      <w:r>
        <w:rPr>
          <w:color w:val="231F20"/>
          <w:spacing w:val="-19"/>
          <w:w w:val="105"/>
        </w:rPr>
        <w:t> </w:t>
      </w:r>
      <w:r>
        <w:rPr>
          <w:color w:val="231F20"/>
          <w:spacing w:val="-3"/>
          <w:w w:val="105"/>
        </w:rPr>
        <w:t>institucionales</w:t>
      </w:r>
      <w:r>
        <w:rPr>
          <w:color w:val="231F20"/>
          <w:spacing w:val="-19"/>
          <w:w w:val="105"/>
        </w:rPr>
        <w:t> </w:t>
      </w:r>
      <w:r>
        <w:rPr>
          <w:color w:val="231F20"/>
          <w:spacing w:val="-3"/>
          <w:w w:val="105"/>
        </w:rPr>
        <w:t>derivados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misma</w:t>
      </w:r>
      <w:r>
        <w:rPr>
          <w:color w:val="231F20"/>
          <w:spacing w:val="-19"/>
          <w:w w:val="105"/>
        </w:rPr>
        <w:t> </w:t>
      </w:r>
      <w:r>
        <w:rPr>
          <w:color w:val="231F20"/>
          <w:spacing w:val="-3"/>
          <w:w w:val="105"/>
        </w:rPr>
        <w:t>aplicabilidad</w:t>
      </w:r>
      <w:r>
        <w:rPr>
          <w:color w:val="231F20"/>
          <w:spacing w:val="-19"/>
          <w:w w:val="105"/>
        </w:rPr>
        <w:t> </w:t>
      </w:r>
      <w:r>
        <w:rPr>
          <w:color w:val="231F20"/>
          <w:spacing w:val="-3"/>
          <w:w w:val="105"/>
        </w:rPr>
        <w:t>internacional.</w:t>
      </w:r>
    </w:p>
    <w:p>
      <w:pPr>
        <w:pStyle w:val="BodyText"/>
        <w:spacing w:line="259" w:lineRule="auto"/>
        <w:ind w:left="103" w:right="114" w:firstLine="567"/>
        <w:jc w:val="both"/>
      </w:pPr>
      <w:r>
        <w:rPr>
          <w:color w:val="231F20"/>
          <w:w w:val="105"/>
        </w:rPr>
        <w:t>El incumplimiento de la función social del estado lleva al proceso de</w:t>
      </w:r>
      <w:r>
        <w:rPr>
          <w:color w:val="231F20"/>
          <w:spacing w:val="-17"/>
          <w:w w:val="105"/>
        </w:rPr>
        <w:t> </w:t>
      </w:r>
      <w:r>
        <w:rPr>
          <w:color w:val="231F20"/>
          <w:w w:val="105"/>
        </w:rPr>
        <w:t>desinstitucionalización,</w:t>
      </w:r>
      <w:r>
        <w:rPr>
          <w:color w:val="231F20"/>
          <w:spacing w:val="-23"/>
          <w:w w:val="105"/>
        </w:rPr>
        <w:t> </w:t>
      </w:r>
      <w:r>
        <w:rPr>
          <w:color w:val="231F20"/>
          <w:w w:val="105"/>
        </w:rPr>
        <w:t>definido</w:t>
      </w:r>
      <w:r>
        <w:rPr>
          <w:color w:val="231F20"/>
          <w:spacing w:val="-17"/>
          <w:w w:val="105"/>
        </w:rPr>
        <w:t> </w:t>
      </w:r>
      <w:r>
        <w:rPr>
          <w:color w:val="231F20"/>
          <w:w w:val="105"/>
        </w:rPr>
        <w:t>como</w:t>
      </w:r>
      <w:r>
        <w:rPr>
          <w:color w:val="231F20"/>
          <w:spacing w:val="-17"/>
          <w:w w:val="105"/>
        </w:rPr>
        <w:t> </w:t>
      </w:r>
      <w:r>
        <w:rPr>
          <w:color w:val="231F20"/>
          <w:w w:val="105"/>
        </w:rPr>
        <w:t>el</w:t>
      </w:r>
      <w:r>
        <w:rPr>
          <w:color w:val="231F20"/>
          <w:spacing w:val="-17"/>
          <w:w w:val="105"/>
        </w:rPr>
        <w:t> </w:t>
      </w:r>
      <w:r>
        <w:rPr>
          <w:color w:val="231F20"/>
          <w:w w:val="105"/>
        </w:rPr>
        <w:t>colapso</w:t>
      </w:r>
      <w:r>
        <w:rPr>
          <w:color w:val="231F20"/>
          <w:spacing w:val="-17"/>
          <w:w w:val="105"/>
        </w:rPr>
        <w:t> </w:t>
      </w:r>
      <w:r>
        <w:rPr>
          <w:color w:val="231F20"/>
          <w:w w:val="105"/>
        </w:rPr>
        <w:t>que</w:t>
      </w:r>
      <w:r>
        <w:rPr>
          <w:color w:val="231F20"/>
          <w:spacing w:val="-17"/>
          <w:w w:val="105"/>
        </w:rPr>
        <w:t> </w:t>
      </w:r>
      <w:r>
        <w:rPr>
          <w:color w:val="231F20"/>
          <w:w w:val="105"/>
        </w:rPr>
        <w:t>sufren</w:t>
      </w:r>
      <w:r>
        <w:rPr>
          <w:color w:val="231F20"/>
          <w:spacing w:val="-17"/>
          <w:w w:val="105"/>
        </w:rPr>
        <w:t> </w:t>
      </w:r>
      <w:r>
        <w:rPr>
          <w:color w:val="231F20"/>
          <w:w w:val="105"/>
        </w:rPr>
        <w:t>las</w:t>
      </w:r>
      <w:r>
        <w:rPr>
          <w:color w:val="231F20"/>
          <w:spacing w:val="-17"/>
          <w:w w:val="105"/>
        </w:rPr>
        <w:t> </w:t>
      </w:r>
      <w:r>
        <w:rPr>
          <w:color w:val="231F20"/>
          <w:w w:val="105"/>
        </w:rPr>
        <w:t>orga- nizaciones</w:t>
      </w:r>
      <w:r>
        <w:rPr>
          <w:color w:val="231F20"/>
          <w:spacing w:val="-15"/>
          <w:w w:val="105"/>
        </w:rPr>
        <w:t> </w:t>
      </w:r>
      <w:r>
        <w:rPr>
          <w:color w:val="231F20"/>
          <w:w w:val="105"/>
        </w:rPr>
        <w:t>en</w:t>
      </w:r>
      <w:r>
        <w:rPr>
          <w:color w:val="231F20"/>
          <w:spacing w:val="-15"/>
          <w:w w:val="105"/>
        </w:rPr>
        <w:t> </w:t>
      </w:r>
      <w:r>
        <w:rPr>
          <w:color w:val="231F20"/>
          <w:w w:val="105"/>
        </w:rPr>
        <w:t>sus</w:t>
      </w:r>
      <w:r>
        <w:rPr>
          <w:color w:val="231F20"/>
          <w:spacing w:val="-15"/>
          <w:w w:val="105"/>
        </w:rPr>
        <w:t> </w:t>
      </w:r>
      <w:r>
        <w:rPr>
          <w:color w:val="231F20"/>
          <w:w w:val="105"/>
        </w:rPr>
        <w:t>pilares</w:t>
      </w:r>
      <w:r>
        <w:rPr>
          <w:color w:val="231F20"/>
          <w:spacing w:val="-15"/>
          <w:w w:val="105"/>
        </w:rPr>
        <w:t> </w:t>
      </w:r>
      <w:r>
        <w:rPr>
          <w:color w:val="231F20"/>
          <w:w w:val="105"/>
        </w:rPr>
        <w:t>de</w:t>
      </w:r>
      <w:r>
        <w:rPr>
          <w:color w:val="231F20"/>
          <w:spacing w:val="-15"/>
          <w:w w:val="105"/>
        </w:rPr>
        <w:t> </w:t>
      </w:r>
      <w:r>
        <w:rPr>
          <w:color w:val="231F20"/>
          <w:w w:val="105"/>
        </w:rPr>
        <w:t>aceptación</w:t>
      </w:r>
      <w:r>
        <w:rPr>
          <w:color w:val="231F20"/>
          <w:spacing w:val="-15"/>
          <w:w w:val="105"/>
        </w:rPr>
        <w:t> </w:t>
      </w:r>
      <w:r>
        <w:rPr>
          <w:color w:val="231F20"/>
          <w:w w:val="105"/>
        </w:rPr>
        <w:t>autoritaria,</w:t>
      </w:r>
      <w:r>
        <w:rPr>
          <w:color w:val="231F20"/>
          <w:spacing w:val="-19"/>
          <w:w w:val="105"/>
        </w:rPr>
        <w:t> </w:t>
      </w:r>
      <w:r>
        <w:rPr>
          <w:color w:val="231F20"/>
          <w:w w:val="105"/>
        </w:rPr>
        <w:t>valores</w:t>
      </w:r>
      <w:r>
        <w:rPr>
          <w:color w:val="231F20"/>
          <w:spacing w:val="-15"/>
          <w:w w:val="105"/>
        </w:rPr>
        <w:t> </w:t>
      </w:r>
      <w:r>
        <w:rPr>
          <w:color w:val="231F20"/>
          <w:w w:val="105"/>
        </w:rPr>
        <w:t>organizacio- nes</w:t>
      </w:r>
      <w:r>
        <w:rPr>
          <w:color w:val="231F20"/>
          <w:spacing w:val="-26"/>
          <w:w w:val="105"/>
        </w:rPr>
        <w:t> </w:t>
      </w:r>
      <w:r>
        <w:rPr>
          <w:color w:val="231F20"/>
          <w:w w:val="105"/>
        </w:rPr>
        <w:t>y</w:t>
      </w:r>
      <w:r>
        <w:rPr>
          <w:color w:val="231F20"/>
          <w:spacing w:val="-26"/>
          <w:w w:val="105"/>
        </w:rPr>
        <w:t> </w:t>
      </w:r>
      <w:r>
        <w:rPr>
          <w:color w:val="231F20"/>
          <w:w w:val="105"/>
        </w:rPr>
        <w:t>aceptación</w:t>
      </w:r>
      <w:r>
        <w:rPr>
          <w:color w:val="231F20"/>
          <w:spacing w:val="-26"/>
          <w:w w:val="105"/>
        </w:rPr>
        <w:t> </w:t>
      </w:r>
      <w:r>
        <w:rPr>
          <w:color w:val="231F20"/>
          <w:w w:val="105"/>
        </w:rPr>
        <w:t>social</w:t>
      </w:r>
      <w:r>
        <w:rPr>
          <w:color w:val="231F20"/>
          <w:spacing w:val="-26"/>
          <w:w w:val="105"/>
        </w:rPr>
        <w:t> </w:t>
      </w:r>
      <w:r>
        <w:rPr>
          <w:color w:val="231F20"/>
          <w:w w:val="105"/>
        </w:rPr>
        <w:t>(Maguirre</w:t>
      </w:r>
      <w:r>
        <w:rPr>
          <w:color w:val="231F20"/>
          <w:spacing w:val="-26"/>
          <w:w w:val="105"/>
        </w:rPr>
        <w:t> </w:t>
      </w:r>
      <w:r>
        <w:rPr>
          <w:color w:val="231F20"/>
          <w:w w:val="105"/>
        </w:rPr>
        <w:t>y</w:t>
      </w:r>
      <w:r>
        <w:rPr>
          <w:color w:val="231F20"/>
          <w:spacing w:val="-26"/>
          <w:w w:val="105"/>
        </w:rPr>
        <w:t> </w:t>
      </w:r>
      <w:r>
        <w:rPr>
          <w:color w:val="231F20"/>
          <w:spacing w:val="-2"/>
          <w:w w:val="105"/>
        </w:rPr>
        <w:t>Hardy,</w:t>
      </w:r>
      <w:r>
        <w:rPr>
          <w:color w:val="231F20"/>
          <w:spacing w:val="-31"/>
          <w:w w:val="105"/>
        </w:rPr>
        <w:t> </w:t>
      </w:r>
      <w:r>
        <w:rPr>
          <w:color w:val="231F20"/>
          <w:w w:val="105"/>
        </w:rPr>
        <w:t>2009).</w:t>
      </w:r>
    </w:p>
    <w:p>
      <w:pPr>
        <w:pStyle w:val="BodyText"/>
        <w:spacing w:line="259" w:lineRule="auto"/>
        <w:ind w:left="103" w:right="115" w:firstLine="567"/>
        <w:jc w:val="both"/>
      </w:pPr>
      <w:r>
        <w:rPr>
          <w:color w:val="231F20"/>
          <w:w w:val="105"/>
        </w:rPr>
        <w:t>El </w:t>
      </w:r>
      <w:r>
        <w:rPr>
          <w:color w:val="231F20"/>
          <w:spacing w:val="-3"/>
          <w:w w:val="105"/>
        </w:rPr>
        <w:t>problema </w:t>
      </w:r>
      <w:r>
        <w:rPr>
          <w:color w:val="231F20"/>
          <w:w w:val="105"/>
        </w:rPr>
        <w:t>de la </w:t>
      </w:r>
      <w:r>
        <w:rPr>
          <w:color w:val="231F20"/>
          <w:spacing w:val="-3"/>
          <w:w w:val="105"/>
        </w:rPr>
        <w:t>eficiencia </w:t>
      </w:r>
      <w:r>
        <w:rPr>
          <w:color w:val="231F20"/>
          <w:w w:val="105"/>
        </w:rPr>
        <w:t>en las </w:t>
      </w:r>
      <w:r>
        <w:rPr>
          <w:color w:val="231F20"/>
          <w:spacing w:val="-3"/>
          <w:w w:val="105"/>
        </w:rPr>
        <w:t>organizaciones económicas se remonta</w:t>
      </w:r>
      <w:r>
        <w:rPr>
          <w:color w:val="231F20"/>
          <w:spacing w:val="-20"/>
          <w:w w:val="105"/>
        </w:rPr>
        <w:t> </w:t>
      </w:r>
      <w:r>
        <w:rPr>
          <w:color w:val="231F20"/>
          <w:spacing w:val="-3"/>
          <w:w w:val="105"/>
        </w:rPr>
        <w:t>desde</w:t>
      </w:r>
      <w:r>
        <w:rPr>
          <w:color w:val="231F20"/>
          <w:spacing w:val="-20"/>
          <w:w w:val="105"/>
        </w:rPr>
        <w:t> </w:t>
      </w:r>
      <w:r>
        <w:rPr>
          <w:color w:val="231F20"/>
          <w:spacing w:val="-3"/>
          <w:w w:val="105"/>
        </w:rPr>
        <w:t>Coase</w:t>
      </w:r>
      <w:r>
        <w:rPr>
          <w:color w:val="231F20"/>
          <w:spacing w:val="-20"/>
          <w:w w:val="105"/>
        </w:rPr>
        <w:t> </w:t>
      </w:r>
      <w:r>
        <w:rPr>
          <w:color w:val="231F20"/>
          <w:spacing w:val="-3"/>
          <w:w w:val="105"/>
        </w:rPr>
        <w:t>(1937)</w:t>
      </w:r>
      <w:r>
        <w:rPr>
          <w:color w:val="231F20"/>
          <w:spacing w:val="-20"/>
          <w:w w:val="105"/>
        </w:rPr>
        <w:t> </w:t>
      </w:r>
      <w:r>
        <w:rPr>
          <w:color w:val="231F20"/>
          <w:spacing w:val="-3"/>
          <w:w w:val="105"/>
        </w:rPr>
        <w:t>hasta</w:t>
      </w:r>
      <w:r>
        <w:rPr>
          <w:color w:val="231F20"/>
          <w:spacing w:val="-22"/>
          <w:w w:val="105"/>
        </w:rPr>
        <w:t> </w:t>
      </w:r>
      <w:r>
        <w:rPr>
          <w:color w:val="231F20"/>
          <w:spacing w:val="-3"/>
          <w:w w:val="105"/>
        </w:rPr>
        <w:t>Williamson</w:t>
      </w:r>
      <w:r>
        <w:rPr>
          <w:color w:val="231F20"/>
          <w:spacing w:val="-20"/>
          <w:w w:val="105"/>
        </w:rPr>
        <w:t> </w:t>
      </w:r>
      <w:r>
        <w:rPr>
          <w:color w:val="231F20"/>
          <w:spacing w:val="-3"/>
          <w:w w:val="105"/>
        </w:rPr>
        <w:t>(1996)</w:t>
      </w:r>
      <w:r>
        <w:rPr>
          <w:color w:val="231F20"/>
          <w:spacing w:val="-20"/>
          <w:w w:val="105"/>
        </w:rPr>
        <w:t> </w:t>
      </w:r>
      <w:r>
        <w:rPr>
          <w:color w:val="231F20"/>
          <w:w w:val="105"/>
        </w:rPr>
        <w:t>y</w:t>
      </w:r>
      <w:r>
        <w:rPr>
          <w:color w:val="231F20"/>
          <w:spacing w:val="-20"/>
          <w:w w:val="105"/>
        </w:rPr>
        <w:t> </w:t>
      </w:r>
      <w:r>
        <w:rPr>
          <w:color w:val="231F20"/>
          <w:w w:val="105"/>
        </w:rPr>
        <w:t>se</w:t>
      </w:r>
      <w:r>
        <w:rPr>
          <w:color w:val="231F20"/>
          <w:spacing w:val="-20"/>
          <w:w w:val="105"/>
        </w:rPr>
        <w:t> </w:t>
      </w:r>
      <w:r>
        <w:rPr>
          <w:color w:val="231F20"/>
          <w:spacing w:val="-3"/>
          <w:w w:val="105"/>
        </w:rPr>
        <w:t>basa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spacing w:val="-3"/>
          <w:w w:val="105"/>
        </w:rPr>
        <w:t>re- formas</w:t>
      </w:r>
      <w:r>
        <w:rPr>
          <w:color w:val="231F20"/>
          <w:spacing w:val="-40"/>
          <w:w w:val="105"/>
        </w:rPr>
        <w:t> </w:t>
      </w:r>
      <w:r>
        <w:rPr>
          <w:color w:val="231F20"/>
          <w:spacing w:val="-3"/>
          <w:w w:val="105"/>
        </w:rPr>
        <w:t>estructurales</w:t>
      </w:r>
      <w:r>
        <w:rPr>
          <w:color w:val="231F20"/>
          <w:spacing w:val="-40"/>
          <w:w w:val="105"/>
        </w:rPr>
        <w:t> </w:t>
      </w:r>
      <w:r>
        <w:rPr>
          <w:color w:val="231F20"/>
          <w:w w:val="105"/>
        </w:rPr>
        <w:t>de</w:t>
      </w:r>
      <w:r>
        <w:rPr>
          <w:color w:val="231F20"/>
          <w:spacing w:val="-40"/>
          <w:w w:val="105"/>
        </w:rPr>
        <w:t> </w:t>
      </w:r>
      <w:r>
        <w:rPr>
          <w:color w:val="231F20"/>
          <w:w w:val="105"/>
        </w:rPr>
        <w:t>las</w:t>
      </w:r>
      <w:r>
        <w:rPr>
          <w:color w:val="231F20"/>
          <w:spacing w:val="-40"/>
          <w:w w:val="105"/>
        </w:rPr>
        <w:t> </w:t>
      </w:r>
      <w:r>
        <w:rPr>
          <w:color w:val="231F20"/>
          <w:spacing w:val="-3"/>
          <w:w w:val="105"/>
        </w:rPr>
        <w:t>instituciones</w:t>
      </w:r>
      <w:r>
        <w:rPr>
          <w:color w:val="231F20"/>
          <w:spacing w:val="-40"/>
          <w:w w:val="105"/>
        </w:rPr>
        <w:t> </w:t>
      </w:r>
      <w:r>
        <w:rPr>
          <w:color w:val="231F20"/>
          <w:spacing w:val="-4"/>
          <w:w w:val="105"/>
        </w:rPr>
        <w:t>(Bachev,</w:t>
      </w:r>
      <w:r>
        <w:rPr>
          <w:color w:val="231F20"/>
          <w:spacing w:val="-43"/>
          <w:w w:val="105"/>
        </w:rPr>
        <w:t> </w:t>
      </w:r>
      <w:r>
        <w:rPr>
          <w:color w:val="231F20"/>
          <w:spacing w:val="-3"/>
          <w:w w:val="105"/>
        </w:rPr>
        <w:t>2010).</w:t>
      </w:r>
      <w:r>
        <w:rPr>
          <w:color w:val="231F20"/>
          <w:spacing w:val="-43"/>
          <w:w w:val="105"/>
        </w:rPr>
        <w:t> </w:t>
      </w:r>
      <w:r>
        <w:rPr>
          <w:color w:val="231F20"/>
          <w:w w:val="105"/>
        </w:rPr>
        <w:t>La</w:t>
      </w:r>
      <w:r>
        <w:rPr>
          <w:color w:val="231F20"/>
          <w:spacing w:val="-40"/>
          <w:w w:val="105"/>
        </w:rPr>
        <w:t> </w:t>
      </w:r>
      <w:r>
        <w:rPr>
          <w:color w:val="231F20"/>
          <w:spacing w:val="-3"/>
          <w:w w:val="105"/>
        </w:rPr>
        <w:t>mejor</w:t>
      </w:r>
      <w:r>
        <w:rPr>
          <w:color w:val="231F20"/>
          <w:spacing w:val="-40"/>
          <w:w w:val="105"/>
        </w:rPr>
        <w:t> </w:t>
      </w:r>
      <w:r>
        <w:rPr>
          <w:color w:val="231F20"/>
          <w:spacing w:val="-3"/>
          <w:w w:val="105"/>
        </w:rPr>
        <w:t>organiza- ción</w:t>
      </w:r>
      <w:r>
        <w:rPr>
          <w:color w:val="231F20"/>
          <w:spacing w:val="-29"/>
          <w:w w:val="105"/>
        </w:rPr>
        <w:t> </w:t>
      </w:r>
      <w:r>
        <w:rPr>
          <w:color w:val="231F20"/>
          <w:spacing w:val="-3"/>
          <w:w w:val="105"/>
        </w:rPr>
        <w:t>económica,</w:t>
      </w:r>
      <w:r>
        <w:rPr>
          <w:color w:val="231F20"/>
          <w:spacing w:val="-34"/>
          <w:w w:val="105"/>
        </w:rPr>
        <w:t> </w:t>
      </w:r>
      <w:r>
        <w:rPr>
          <w:color w:val="231F20"/>
          <w:w w:val="105"/>
        </w:rPr>
        <w:t>y</w:t>
      </w:r>
      <w:r>
        <w:rPr>
          <w:color w:val="231F20"/>
          <w:spacing w:val="-29"/>
          <w:w w:val="105"/>
        </w:rPr>
        <w:t> </w:t>
      </w:r>
      <w:r>
        <w:rPr>
          <w:color w:val="231F20"/>
          <w:w w:val="105"/>
        </w:rPr>
        <w:t>por</w:t>
      </w:r>
      <w:r>
        <w:rPr>
          <w:color w:val="231F20"/>
          <w:spacing w:val="-29"/>
          <w:w w:val="105"/>
        </w:rPr>
        <w:t> </w:t>
      </w:r>
      <w:r>
        <w:rPr>
          <w:color w:val="231F20"/>
          <w:spacing w:val="-3"/>
          <w:w w:val="105"/>
        </w:rPr>
        <w:t>ende</w:t>
      </w:r>
      <w:r>
        <w:rPr>
          <w:color w:val="231F20"/>
          <w:spacing w:val="-29"/>
          <w:w w:val="105"/>
        </w:rPr>
        <w:t> </w:t>
      </w:r>
      <w:r>
        <w:rPr>
          <w:color w:val="231F20"/>
          <w:w w:val="105"/>
        </w:rPr>
        <w:t>la</w:t>
      </w:r>
      <w:r>
        <w:rPr>
          <w:color w:val="231F20"/>
          <w:spacing w:val="-29"/>
          <w:w w:val="105"/>
        </w:rPr>
        <w:t> </w:t>
      </w:r>
      <w:r>
        <w:rPr>
          <w:color w:val="231F20"/>
          <w:w w:val="105"/>
        </w:rPr>
        <w:t>más</w:t>
      </w:r>
      <w:r>
        <w:rPr>
          <w:color w:val="231F20"/>
          <w:spacing w:val="-29"/>
          <w:w w:val="105"/>
        </w:rPr>
        <w:t> </w:t>
      </w:r>
      <w:r>
        <w:rPr>
          <w:color w:val="231F20"/>
          <w:spacing w:val="-3"/>
          <w:w w:val="105"/>
        </w:rPr>
        <w:t>eficiente,</w:t>
      </w:r>
      <w:r>
        <w:rPr>
          <w:color w:val="231F20"/>
          <w:spacing w:val="-34"/>
          <w:w w:val="105"/>
        </w:rPr>
        <w:t> </w:t>
      </w:r>
      <w:r>
        <w:rPr>
          <w:color w:val="231F20"/>
          <w:spacing w:val="-3"/>
          <w:w w:val="105"/>
        </w:rPr>
        <w:t>será</w:t>
      </w:r>
      <w:r>
        <w:rPr>
          <w:color w:val="231F20"/>
          <w:spacing w:val="-29"/>
          <w:w w:val="105"/>
        </w:rPr>
        <w:t> </w:t>
      </w:r>
      <w:r>
        <w:rPr>
          <w:color w:val="231F20"/>
          <w:spacing w:val="-3"/>
          <w:w w:val="105"/>
        </w:rPr>
        <w:t>aquella</w:t>
      </w:r>
      <w:r>
        <w:rPr>
          <w:color w:val="231F20"/>
          <w:spacing w:val="-29"/>
          <w:w w:val="105"/>
        </w:rPr>
        <w:t> </w:t>
      </w:r>
      <w:r>
        <w:rPr>
          <w:color w:val="231F20"/>
          <w:w w:val="105"/>
        </w:rPr>
        <w:t>que</w:t>
      </w:r>
      <w:r>
        <w:rPr>
          <w:color w:val="231F20"/>
          <w:spacing w:val="-29"/>
          <w:w w:val="105"/>
        </w:rPr>
        <w:t> </w:t>
      </w:r>
      <w:r>
        <w:rPr>
          <w:color w:val="231F20"/>
          <w:spacing w:val="-3"/>
          <w:w w:val="105"/>
        </w:rPr>
        <w:t>minimice</w:t>
      </w:r>
      <w:r>
        <w:rPr>
          <w:color w:val="231F20"/>
          <w:spacing w:val="-29"/>
          <w:w w:val="105"/>
        </w:rPr>
        <w:t> </w:t>
      </w:r>
      <w:r>
        <w:rPr>
          <w:color w:val="231F20"/>
          <w:spacing w:val="-3"/>
          <w:w w:val="105"/>
        </w:rPr>
        <w:t>sus costos</w:t>
      </w:r>
      <w:r>
        <w:rPr>
          <w:color w:val="231F20"/>
          <w:spacing w:val="-23"/>
          <w:w w:val="105"/>
        </w:rPr>
        <w:t> </w:t>
      </w:r>
      <w:r>
        <w:rPr>
          <w:color w:val="231F20"/>
          <w:w w:val="105"/>
        </w:rPr>
        <w:t>de</w:t>
      </w:r>
      <w:r>
        <w:rPr>
          <w:color w:val="231F20"/>
          <w:spacing w:val="-23"/>
          <w:w w:val="105"/>
        </w:rPr>
        <w:t> </w:t>
      </w:r>
      <w:r>
        <w:rPr>
          <w:color w:val="231F20"/>
          <w:spacing w:val="-3"/>
          <w:w w:val="105"/>
        </w:rPr>
        <w:t>transacción</w:t>
      </w:r>
      <w:r>
        <w:rPr>
          <w:color w:val="231F20"/>
          <w:spacing w:val="-23"/>
          <w:w w:val="105"/>
        </w:rPr>
        <w:t> </w:t>
      </w:r>
      <w:r>
        <w:rPr>
          <w:color w:val="231F20"/>
          <w:w w:val="105"/>
        </w:rPr>
        <w:t>o</w:t>
      </w:r>
      <w:r>
        <w:rPr>
          <w:color w:val="231F20"/>
          <w:spacing w:val="-23"/>
          <w:w w:val="105"/>
        </w:rPr>
        <w:t> </w:t>
      </w:r>
      <w:r>
        <w:rPr>
          <w:color w:val="231F20"/>
          <w:spacing w:val="-3"/>
          <w:w w:val="105"/>
        </w:rPr>
        <w:t>máximice</w:t>
      </w:r>
      <w:r>
        <w:rPr>
          <w:color w:val="231F20"/>
          <w:spacing w:val="-23"/>
          <w:w w:val="105"/>
        </w:rPr>
        <w:t> </w:t>
      </w:r>
      <w:r>
        <w:rPr>
          <w:color w:val="231F20"/>
          <w:w w:val="105"/>
        </w:rPr>
        <w:t>los</w:t>
      </w:r>
      <w:r>
        <w:rPr>
          <w:color w:val="231F20"/>
          <w:spacing w:val="-23"/>
          <w:w w:val="105"/>
        </w:rPr>
        <w:t> </w:t>
      </w:r>
      <w:r>
        <w:rPr>
          <w:color w:val="231F20"/>
          <w:spacing w:val="-3"/>
          <w:w w:val="105"/>
        </w:rPr>
        <w:t>beneficios</w:t>
      </w:r>
      <w:r>
        <w:rPr>
          <w:color w:val="231F20"/>
          <w:spacing w:val="-23"/>
          <w:w w:val="105"/>
        </w:rPr>
        <w:t> </w:t>
      </w:r>
      <w:r>
        <w:rPr>
          <w:color w:val="231F20"/>
          <w:w w:val="105"/>
        </w:rPr>
        <w:t>en</w:t>
      </w:r>
      <w:r>
        <w:rPr>
          <w:color w:val="231F20"/>
          <w:spacing w:val="-23"/>
          <w:w w:val="105"/>
        </w:rPr>
        <w:t> </w:t>
      </w:r>
      <w:r>
        <w:rPr>
          <w:color w:val="231F20"/>
          <w:spacing w:val="-3"/>
          <w:w w:val="105"/>
        </w:rPr>
        <w:t>favor</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sociedad.</w:t>
      </w:r>
    </w:p>
    <w:p>
      <w:pPr>
        <w:pStyle w:val="BodyText"/>
        <w:spacing w:line="259" w:lineRule="auto"/>
        <w:ind w:left="103" w:right="115" w:firstLine="567"/>
        <w:jc w:val="both"/>
      </w:pPr>
      <w:r>
        <w:rPr>
          <w:color w:val="231F20"/>
          <w:w w:val="105"/>
        </w:rPr>
        <w:t>El</w:t>
      </w:r>
      <w:r>
        <w:rPr>
          <w:color w:val="231F20"/>
          <w:spacing w:val="-23"/>
          <w:w w:val="105"/>
        </w:rPr>
        <w:t> </w:t>
      </w:r>
      <w:r>
        <w:rPr>
          <w:color w:val="231F20"/>
          <w:w w:val="105"/>
        </w:rPr>
        <w:t>NIE</w:t>
      </w:r>
      <w:r>
        <w:rPr>
          <w:color w:val="231F20"/>
          <w:spacing w:val="-23"/>
          <w:w w:val="105"/>
        </w:rPr>
        <w:t> </w:t>
      </w:r>
      <w:r>
        <w:rPr>
          <w:color w:val="231F20"/>
          <w:w w:val="105"/>
        </w:rPr>
        <w:t>y</w:t>
      </w:r>
      <w:r>
        <w:rPr>
          <w:color w:val="231F20"/>
          <w:spacing w:val="-23"/>
          <w:w w:val="105"/>
        </w:rPr>
        <w:t> </w:t>
      </w:r>
      <w:r>
        <w:rPr>
          <w:color w:val="231F20"/>
          <w:w w:val="105"/>
        </w:rPr>
        <w:t>los</w:t>
      </w:r>
      <w:r>
        <w:rPr>
          <w:color w:val="231F20"/>
          <w:spacing w:val="-23"/>
          <w:w w:val="105"/>
        </w:rPr>
        <w:t> </w:t>
      </w:r>
      <w:r>
        <w:rPr>
          <w:color w:val="231F20"/>
          <w:w w:val="105"/>
        </w:rPr>
        <w:t>CTE</w:t>
      </w:r>
      <w:r>
        <w:rPr>
          <w:color w:val="231F20"/>
          <w:spacing w:val="-23"/>
          <w:w w:val="105"/>
        </w:rPr>
        <w:t> </w:t>
      </w:r>
      <w:r>
        <w:rPr>
          <w:color w:val="231F20"/>
          <w:w w:val="105"/>
        </w:rPr>
        <w:t>explican</w:t>
      </w:r>
      <w:r>
        <w:rPr>
          <w:color w:val="231F20"/>
          <w:spacing w:val="-23"/>
          <w:w w:val="105"/>
        </w:rPr>
        <w:t> </w:t>
      </w:r>
      <w:r>
        <w:rPr>
          <w:color w:val="231F20"/>
          <w:w w:val="105"/>
        </w:rPr>
        <w:t>la</w:t>
      </w:r>
      <w:r>
        <w:rPr>
          <w:color w:val="231F20"/>
          <w:spacing w:val="-23"/>
          <w:w w:val="105"/>
        </w:rPr>
        <w:t> </w:t>
      </w:r>
      <w:r>
        <w:rPr>
          <w:color w:val="231F20"/>
          <w:w w:val="105"/>
        </w:rPr>
        <w:t>existencia</w:t>
      </w:r>
      <w:r>
        <w:rPr>
          <w:color w:val="231F20"/>
          <w:spacing w:val="-23"/>
          <w:w w:val="105"/>
        </w:rPr>
        <w:t> </w:t>
      </w:r>
      <w:r>
        <w:rPr>
          <w:color w:val="231F20"/>
          <w:w w:val="105"/>
        </w:rPr>
        <w:t>de</w:t>
      </w:r>
      <w:r>
        <w:rPr>
          <w:color w:val="231F20"/>
          <w:spacing w:val="-23"/>
          <w:w w:val="105"/>
        </w:rPr>
        <w:t> </w:t>
      </w:r>
      <w:r>
        <w:rPr>
          <w:color w:val="231F20"/>
          <w:w w:val="105"/>
        </w:rPr>
        <w:t>instituciones</w:t>
      </w:r>
      <w:r>
        <w:rPr>
          <w:color w:val="231F20"/>
          <w:spacing w:val="-23"/>
          <w:w w:val="105"/>
        </w:rPr>
        <w:t> </w:t>
      </w:r>
      <w:r>
        <w:rPr>
          <w:color w:val="231F20"/>
          <w:w w:val="105"/>
        </w:rPr>
        <w:t>económica- mente</w:t>
      </w:r>
      <w:r>
        <w:rPr>
          <w:color w:val="231F20"/>
          <w:spacing w:val="-19"/>
          <w:w w:val="105"/>
        </w:rPr>
        <w:t> </w:t>
      </w:r>
      <w:r>
        <w:rPr>
          <w:color w:val="231F20"/>
          <w:w w:val="105"/>
        </w:rPr>
        <w:t>eficientes</w:t>
      </w:r>
      <w:r>
        <w:rPr>
          <w:color w:val="231F20"/>
          <w:spacing w:val="-19"/>
          <w:w w:val="105"/>
        </w:rPr>
        <w:t> </w:t>
      </w:r>
      <w:r>
        <w:rPr>
          <w:color w:val="231F20"/>
          <w:w w:val="105"/>
        </w:rPr>
        <w:t>según</w:t>
      </w:r>
      <w:r>
        <w:rPr>
          <w:color w:val="231F20"/>
          <w:spacing w:val="-19"/>
          <w:w w:val="105"/>
        </w:rPr>
        <w:t> </w:t>
      </w:r>
      <w:r>
        <w:rPr>
          <w:color w:val="231F20"/>
          <w:w w:val="105"/>
        </w:rPr>
        <w:t>su</w:t>
      </w:r>
      <w:r>
        <w:rPr>
          <w:color w:val="231F20"/>
          <w:spacing w:val="-19"/>
          <w:w w:val="105"/>
        </w:rPr>
        <w:t> </w:t>
      </w:r>
      <w:r>
        <w:rPr>
          <w:color w:val="231F20"/>
          <w:w w:val="105"/>
        </w:rPr>
        <w:t>rol</w:t>
      </w:r>
      <w:r>
        <w:rPr>
          <w:color w:val="231F20"/>
          <w:spacing w:val="-19"/>
          <w:w w:val="105"/>
        </w:rPr>
        <w:t> </w:t>
      </w:r>
      <w:r>
        <w:rPr>
          <w:color w:val="231F20"/>
          <w:w w:val="105"/>
        </w:rPr>
        <w:t>de</w:t>
      </w:r>
      <w:r>
        <w:rPr>
          <w:color w:val="231F20"/>
          <w:spacing w:val="-19"/>
          <w:w w:val="105"/>
        </w:rPr>
        <w:t> </w:t>
      </w:r>
      <w:r>
        <w:rPr>
          <w:color w:val="231F20"/>
          <w:w w:val="105"/>
        </w:rPr>
        <w:t>maximizar</w:t>
      </w:r>
      <w:r>
        <w:rPr>
          <w:color w:val="231F20"/>
          <w:spacing w:val="-19"/>
          <w:w w:val="105"/>
        </w:rPr>
        <w:t> </w:t>
      </w:r>
      <w:r>
        <w:rPr>
          <w:color w:val="231F20"/>
          <w:w w:val="105"/>
        </w:rPr>
        <w:t>los</w:t>
      </w:r>
      <w:r>
        <w:rPr>
          <w:color w:val="231F20"/>
          <w:spacing w:val="-19"/>
          <w:w w:val="105"/>
        </w:rPr>
        <w:t> </w:t>
      </w:r>
      <w:r>
        <w:rPr>
          <w:color w:val="231F20"/>
          <w:w w:val="105"/>
        </w:rPr>
        <w:t>beneficios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sociedad o minimizar los costos de transacción, así como fundamentar por qué algunos</w:t>
      </w:r>
      <w:r>
        <w:rPr>
          <w:color w:val="231F20"/>
          <w:spacing w:val="-9"/>
          <w:w w:val="105"/>
        </w:rPr>
        <w:t> </w:t>
      </w:r>
      <w:r>
        <w:rPr>
          <w:color w:val="231F20"/>
          <w:w w:val="105"/>
        </w:rPr>
        <w:t>estados</w:t>
      </w:r>
      <w:r>
        <w:rPr>
          <w:color w:val="231F20"/>
          <w:spacing w:val="-9"/>
          <w:w w:val="105"/>
        </w:rPr>
        <w:t> </w:t>
      </w:r>
      <w:r>
        <w:rPr>
          <w:color w:val="231F20"/>
          <w:w w:val="105"/>
        </w:rPr>
        <w:t>fallan</w:t>
      </w:r>
      <w:r>
        <w:rPr>
          <w:color w:val="231F20"/>
          <w:spacing w:val="-9"/>
          <w:w w:val="105"/>
        </w:rPr>
        <w:t> </w:t>
      </w:r>
      <w:r>
        <w:rPr>
          <w:color w:val="231F20"/>
          <w:w w:val="105"/>
        </w:rPr>
        <w:t>en</w:t>
      </w:r>
      <w:r>
        <w:rPr>
          <w:color w:val="231F20"/>
          <w:spacing w:val="-9"/>
          <w:w w:val="105"/>
        </w:rPr>
        <w:t> </w:t>
      </w:r>
      <w:r>
        <w:rPr>
          <w:color w:val="231F20"/>
          <w:w w:val="105"/>
        </w:rPr>
        <w:t>crear</w:t>
      </w:r>
      <w:r>
        <w:rPr>
          <w:color w:val="231F20"/>
          <w:spacing w:val="-9"/>
          <w:w w:val="105"/>
        </w:rPr>
        <w:t> </w:t>
      </w:r>
      <w:r>
        <w:rPr>
          <w:color w:val="231F20"/>
          <w:w w:val="105"/>
        </w:rPr>
        <w:t>instituciones</w:t>
      </w:r>
      <w:r>
        <w:rPr>
          <w:color w:val="231F20"/>
          <w:spacing w:val="-9"/>
          <w:w w:val="105"/>
        </w:rPr>
        <w:t> </w:t>
      </w:r>
      <w:r>
        <w:rPr>
          <w:color w:val="231F20"/>
          <w:w w:val="105"/>
        </w:rPr>
        <w:t>efecientes</w:t>
      </w:r>
      <w:r>
        <w:rPr>
          <w:color w:val="231F20"/>
          <w:spacing w:val="-9"/>
          <w:w w:val="105"/>
        </w:rPr>
        <w:t> </w:t>
      </w:r>
      <w:r>
        <w:rPr>
          <w:color w:val="231F20"/>
          <w:w w:val="105"/>
        </w:rPr>
        <w:t>o</w:t>
      </w:r>
      <w:r>
        <w:rPr>
          <w:color w:val="231F20"/>
          <w:spacing w:val="-9"/>
          <w:w w:val="105"/>
        </w:rPr>
        <w:t> </w:t>
      </w:r>
      <w:r>
        <w:rPr>
          <w:color w:val="231F20"/>
          <w:w w:val="105"/>
        </w:rPr>
        <w:t>en</w:t>
      </w:r>
      <w:r>
        <w:rPr>
          <w:color w:val="231F20"/>
          <w:spacing w:val="-9"/>
          <w:w w:val="105"/>
        </w:rPr>
        <w:t> </w:t>
      </w:r>
      <w:r>
        <w:rPr>
          <w:color w:val="231F20"/>
          <w:w w:val="105"/>
        </w:rPr>
        <w:t>justificar</w:t>
      </w:r>
      <w:r>
        <w:rPr>
          <w:color w:val="231F20"/>
          <w:spacing w:val="-9"/>
          <w:w w:val="105"/>
        </w:rPr>
        <w:t> </w:t>
      </w:r>
      <w:r>
        <w:rPr>
          <w:color w:val="231F20"/>
          <w:w w:val="105"/>
        </w:rPr>
        <w:t>la persistencia</w:t>
      </w:r>
      <w:r>
        <w:rPr>
          <w:color w:val="231F20"/>
          <w:spacing w:val="-38"/>
          <w:w w:val="105"/>
        </w:rPr>
        <w:t> </w:t>
      </w:r>
      <w:r>
        <w:rPr>
          <w:color w:val="231F20"/>
          <w:w w:val="105"/>
        </w:rPr>
        <w:t>de</w:t>
      </w:r>
      <w:r>
        <w:rPr>
          <w:color w:val="231F20"/>
          <w:spacing w:val="-38"/>
          <w:w w:val="105"/>
        </w:rPr>
        <w:t> </w:t>
      </w:r>
      <w:r>
        <w:rPr>
          <w:color w:val="231F20"/>
          <w:w w:val="105"/>
        </w:rPr>
        <w:t>aquellas</w:t>
      </w:r>
      <w:r>
        <w:rPr>
          <w:color w:val="231F20"/>
          <w:spacing w:val="-38"/>
          <w:w w:val="105"/>
        </w:rPr>
        <w:t> </w:t>
      </w:r>
      <w:r>
        <w:rPr>
          <w:color w:val="231F20"/>
          <w:w w:val="105"/>
        </w:rPr>
        <w:t>catalogadas</w:t>
      </w:r>
      <w:r>
        <w:rPr>
          <w:color w:val="231F20"/>
          <w:spacing w:val="-38"/>
          <w:w w:val="105"/>
        </w:rPr>
        <w:t> </w:t>
      </w:r>
      <w:r>
        <w:rPr>
          <w:color w:val="231F20"/>
          <w:w w:val="105"/>
        </w:rPr>
        <w:t>como</w:t>
      </w:r>
      <w:r>
        <w:rPr>
          <w:color w:val="231F20"/>
          <w:spacing w:val="-38"/>
          <w:w w:val="105"/>
        </w:rPr>
        <w:t> </w:t>
      </w:r>
      <w:r>
        <w:rPr>
          <w:color w:val="231F20"/>
          <w:w w:val="105"/>
        </w:rPr>
        <w:t>ineficientes</w:t>
      </w:r>
      <w:r>
        <w:rPr>
          <w:color w:val="231F20"/>
          <w:spacing w:val="-38"/>
          <w:w w:val="105"/>
        </w:rPr>
        <w:t> </w:t>
      </w:r>
      <w:r>
        <w:rPr>
          <w:color w:val="231F20"/>
          <w:w w:val="105"/>
        </w:rPr>
        <w:t>(Coase,</w:t>
      </w:r>
      <w:r>
        <w:rPr>
          <w:color w:val="231F20"/>
          <w:spacing w:val="-41"/>
          <w:w w:val="105"/>
        </w:rPr>
        <w:t> </w:t>
      </w:r>
      <w:r>
        <w:rPr>
          <w:color w:val="231F20"/>
          <w:w w:val="105"/>
        </w:rPr>
        <w:t>1937;</w:t>
      </w:r>
      <w:r>
        <w:rPr>
          <w:color w:val="231F20"/>
          <w:spacing w:val="-39"/>
          <w:w w:val="105"/>
        </w:rPr>
        <w:t> </w:t>
      </w:r>
      <w:r>
        <w:rPr>
          <w:color w:val="231F20"/>
          <w:w w:val="105"/>
        </w:rPr>
        <w:t>Wi- lliamson,</w:t>
      </w:r>
      <w:r>
        <w:rPr>
          <w:color w:val="231F20"/>
          <w:spacing w:val="-40"/>
          <w:w w:val="105"/>
        </w:rPr>
        <w:t> </w:t>
      </w:r>
      <w:r>
        <w:rPr>
          <w:color w:val="231F20"/>
          <w:w w:val="105"/>
        </w:rPr>
        <w:t>1996;</w:t>
      </w:r>
      <w:r>
        <w:rPr>
          <w:color w:val="231F20"/>
          <w:spacing w:val="-36"/>
          <w:w w:val="105"/>
        </w:rPr>
        <w:t> </w:t>
      </w:r>
      <w:r>
        <w:rPr>
          <w:color w:val="231F20"/>
          <w:w w:val="105"/>
        </w:rPr>
        <w:t>Heydemann,</w:t>
      </w:r>
      <w:r>
        <w:rPr>
          <w:color w:val="231F20"/>
          <w:spacing w:val="-40"/>
          <w:w w:val="105"/>
        </w:rPr>
        <w:t> </w:t>
      </w:r>
      <w:r>
        <w:rPr>
          <w:color w:val="231F20"/>
          <w:w w:val="105"/>
        </w:rPr>
        <w:t>2008;</w:t>
      </w:r>
      <w:r>
        <w:rPr>
          <w:color w:val="231F20"/>
          <w:spacing w:val="-36"/>
          <w:w w:val="105"/>
        </w:rPr>
        <w:t> </w:t>
      </w:r>
      <w:r>
        <w:rPr>
          <w:color w:val="231F20"/>
          <w:w w:val="105"/>
        </w:rPr>
        <w:t>Bachev,</w:t>
      </w:r>
      <w:r>
        <w:rPr>
          <w:color w:val="231F20"/>
          <w:spacing w:val="-40"/>
          <w:w w:val="105"/>
        </w:rPr>
        <w:t> </w:t>
      </w:r>
      <w:r>
        <w:rPr>
          <w:color w:val="231F20"/>
          <w:w w:val="105"/>
        </w:rPr>
        <w:t>2010).</w:t>
      </w:r>
    </w:p>
    <w:p>
      <w:pPr>
        <w:pStyle w:val="BodyText"/>
        <w:spacing w:line="259" w:lineRule="auto"/>
        <w:ind w:left="103" w:right="115" w:firstLine="567"/>
        <w:jc w:val="both"/>
      </w:pPr>
      <w:r>
        <w:rPr>
          <w:color w:val="231F20"/>
          <w:w w:val="105"/>
        </w:rPr>
        <w:t>El</w:t>
      </w:r>
      <w:r>
        <w:rPr>
          <w:color w:val="231F20"/>
          <w:spacing w:val="-8"/>
          <w:w w:val="105"/>
        </w:rPr>
        <w:t> </w:t>
      </w:r>
      <w:r>
        <w:rPr>
          <w:color w:val="231F20"/>
          <w:spacing w:val="-3"/>
          <w:w w:val="105"/>
        </w:rPr>
        <w:t>problema</w:t>
      </w:r>
      <w:r>
        <w:rPr>
          <w:color w:val="231F20"/>
          <w:spacing w:val="-8"/>
          <w:w w:val="105"/>
        </w:rPr>
        <w:t> </w:t>
      </w:r>
      <w:r>
        <w:rPr>
          <w:color w:val="231F20"/>
          <w:spacing w:val="-3"/>
          <w:w w:val="105"/>
        </w:rPr>
        <w:t>central</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spacing w:val="-3"/>
          <w:w w:val="105"/>
        </w:rPr>
        <w:t>CTE</w:t>
      </w:r>
      <w:r>
        <w:rPr>
          <w:color w:val="231F20"/>
          <w:spacing w:val="-8"/>
          <w:w w:val="105"/>
        </w:rPr>
        <w:t> </w:t>
      </w:r>
      <w:r>
        <w:rPr>
          <w:color w:val="231F20"/>
          <w:w w:val="105"/>
        </w:rPr>
        <w:t>se</w:t>
      </w:r>
      <w:r>
        <w:rPr>
          <w:color w:val="231F20"/>
          <w:spacing w:val="-8"/>
          <w:w w:val="105"/>
        </w:rPr>
        <w:t> </w:t>
      </w:r>
      <w:r>
        <w:rPr>
          <w:color w:val="231F20"/>
          <w:spacing w:val="-3"/>
          <w:w w:val="105"/>
        </w:rPr>
        <w:t>basa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spacing w:val="-3"/>
          <w:w w:val="105"/>
        </w:rPr>
        <w:t>asignación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spacing w:val="-3"/>
          <w:w w:val="105"/>
        </w:rPr>
        <w:t>re- cursos</w:t>
      </w:r>
      <w:r>
        <w:rPr>
          <w:color w:val="231F20"/>
          <w:spacing w:val="-29"/>
          <w:w w:val="105"/>
        </w:rPr>
        <w:t> </w:t>
      </w:r>
      <w:r>
        <w:rPr>
          <w:color w:val="231F20"/>
          <w:w w:val="105"/>
        </w:rPr>
        <w:t>y</w:t>
      </w:r>
      <w:r>
        <w:rPr>
          <w:color w:val="231F20"/>
          <w:spacing w:val="-29"/>
          <w:w w:val="105"/>
        </w:rPr>
        <w:t> </w:t>
      </w:r>
      <w:r>
        <w:rPr>
          <w:color w:val="231F20"/>
          <w:w w:val="105"/>
        </w:rPr>
        <w:t>en</w:t>
      </w:r>
      <w:r>
        <w:rPr>
          <w:color w:val="231F20"/>
          <w:spacing w:val="-29"/>
          <w:w w:val="105"/>
        </w:rPr>
        <w:t> </w:t>
      </w:r>
      <w:r>
        <w:rPr>
          <w:color w:val="231F20"/>
          <w:spacing w:val="-3"/>
          <w:w w:val="105"/>
        </w:rPr>
        <w:t>administrar</w:t>
      </w:r>
      <w:r>
        <w:rPr>
          <w:color w:val="231F20"/>
          <w:spacing w:val="-29"/>
          <w:w w:val="105"/>
        </w:rPr>
        <w:t> </w:t>
      </w:r>
      <w:r>
        <w:rPr>
          <w:color w:val="231F20"/>
          <w:w w:val="105"/>
        </w:rPr>
        <w:t>el</w:t>
      </w:r>
      <w:r>
        <w:rPr>
          <w:color w:val="231F20"/>
          <w:spacing w:val="-29"/>
          <w:w w:val="105"/>
        </w:rPr>
        <w:t> </w:t>
      </w:r>
      <w:r>
        <w:rPr>
          <w:color w:val="231F20"/>
          <w:spacing w:val="-3"/>
          <w:w w:val="105"/>
        </w:rPr>
        <w:t>problema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escasez.</w:t>
      </w:r>
      <w:r>
        <w:rPr>
          <w:color w:val="231F20"/>
          <w:spacing w:val="-33"/>
          <w:w w:val="105"/>
        </w:rPr>
        <w:t> </w:t>
      </w:r>
      <w:r>
        <w:rPr>
          <w:color w:val="231F20"/>
          <w:w w:val="105"/>
        </w:rPr>
        <w:t>La</w:t>
      </w:r>
      <w:r>
        <w:rPr>
          <w:color w:val="231F20"/>
          <w:spacing w:val="-29"/>
          <w:w w:val="105"/>
        </w:rPr>
        <w:t> </w:t>
      </w:r>
      <w:r>
        <w:rPr>
          <w:color w:val="231F20"/>
          <w:spacing w:val="-3"/>
          <w:w w:val="105"/>
        </w:rPr>
        <w:t>ventaja</w:t>
      </w:r>
      <w:r>
        <w:rPr>
          <w:color w:val="231F20"/>
          <w:spacing w:val="-29"/>
          <w:w w:val="105"/>
        </w:rPr>
        <w:t> </w:t>
      </w:r>
      <w:r>
        <w:rPr>
          <w:color w:val="231F20"/>
          <w:w w:val="105"/>
        </w:rPr>
        <w:t>de</w:t>
      </w:r>
      <w:r>
        <w:rPr>
          <w:color w:val="231F20"/>
          <w:spacing w:val="-29"/>
          <w:w w:val="105"/>
        </w:rPr>
        <w:t> </w:t>
      </w:r>
      <w:r>
        <w:rPr>
          <w:color w:val="231F20"/>
          <w:spacing w:val="-3"/>
          <w:w w:val="105"/>
        </w:rPr>
        <w:t>abordar</w:t>
      </w:r>
      <w:r>
        <w:rPr>
          <w:color w:val="231F20"/>
          <w:spacing w:val="-29"/>
          <w:w w:val="105"/>
        </w:rPr>
        <w:t> </w:t>
      </w:r>
      <w:r>
        <w:rPr>
          <w:color w:val="231F20"/>
          <w:spacing w:val="-3"/>
          <w:w w:val="105"/>
        </w:rPr>
        <w:t>la minimización</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spacing w:val="-3"/>
          <w:w w:val="105"/>
        </w:rPr>
        <w:t>CTE</w:t>
      </w:r>
      <w:r>
        <w:rPr>
          <w:color w:val="231F20"/>
          <w:spacing w:val="-27"/>
          <w:w w:val="105"/>
        </w:rPr>
        <w:t> </w:t>
      </w:r>
      <w:r>
        <w:rPr>
          <w:color w:val="231F20"/>
          <w:spacing w:val="-3"/>
          <w:w w:val="105"/>
        </w:rPr>
        <w:t>ayuda</w:t>
      </w:r>
      <w:r>
        <w:rPr>
          <w:color w:val="231F20"/>
          <w:spacing w:val="-27"/>
          <w:w w:val="105"/>
        </w:rPr>
        <w:t> </w:t>
      </w:r>
      <w:r>
        <w:rPr>
          <w:color w:val="231F20"/>
          <w:w w:val="105"/>
        </w:rPr>
        <w:t>a</w:t>
      </w:r>
      <w:r>
        <w:rPr>
          <w:color w:val="231F20"/>
          <w:spacing w:val="-27"/>
          <w:w w:val="105"/>
        </w:rPr>
        <w:t> </w:t>
      </w:r>
      <w:r>
        <w:rPr>
          <w:color w:val="231F20"/>
          <w:spacing w:val="-3"/>
          <w:w w:val="105"/>
        </w:rPr>
        <w:t>comprender</w:t>
      </w:r>
      <w:r>
        <w:rPr>
          <w:color w:val="231F20"/>
          <w:spacing w:val="-27"/>
          <w:w w:val="105"/>
        </w:rPr>
        <w:t> </w:t>
      </w:r>
      <w:r>
        <w:rPr>
          <w:color w:val="231F20"/>
          <w:w w:val="105"/>
        </w:rPr>
        <w:t>el</w:t>
      </w:r>
      <w:r>
        <w:rPr>
          <w:color w:val="231F20"/>
          <w:spacing w:val="-27"/>
          <w:w w:val="105"/>
        </w:rPr>
        <w:t> </w:t>
      </w:r>
      <w:r>
        <w:rPr>
          <w:color w:val="231F20"/>
          <w:spacing w:val="-3"/>
          <w:w w:val="105"/>
        </w:rPr>
        <w:t>signficado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3"/>
          <w:w w:val="105"/>
        </w:rPr>
        <w:t>eficiencia </w:t>
      </w:r>
      <w:r>
        <w:rPr>
          <w:color w:val="231F20"/>
          <w:spacing w:val="-5"/>
          <w:w w:val="105"/>
        </w:rPr>
        <w:t>y,</w:t>
      </w:r>
      <w:r>
        <w:rPr>
          <w:color w:val="231F20"/>
          <w:spacing w:val="-31"/>
          <w:w w:val="105"/>
        </w:rPr>
        <w:t> </w:t>
      </w:r>
      <w:r>
        <w:rPr>
          <w:color w:val="231F20"/>
          <w:w w:val="105"/>
        </w:rPr>
        <w:t>por</w:t>
      </w:r>
      <w:r>
        <w:rPr>
          <w:color w:val="231F20"/>
          <w:spacing w:val="-26"/>
          <w:w w:val="105"/>
        </w:rPr>
        <w:t> </w:t>
      </w:r>
      <w:r>
        <w:rPr>
          <w:color w:val="231F20"/>
          <w:spacing w:val="-3"/>
          <w:w w:val="105"/>
        </w:rPr>
        <w:t>tanto,</w:t>
      </w:r>
      <w:r>
        <w:rPr>
          <w:color w:val="231F20"/>
          <w:spacing w:val="-31"/>
          <w:w w:val="105"/>
        </w:rPr>
        <w:t> </w:t>
      </w:r>
      <w:r>
        <w:rPr>
          <w:color w:val="231F20"/>
          <w:w w:val="105"/>
        </w:rPr>
        <w:t>la</w:t>
      </w:r>
      <w:r>
        <w:rPr>
          <w:color w:val="231F20"/>
          <w:spacing w:val="-26"/>
          <w:w w:val="105"/>
        </w:rPr>
        <w:t> </w:t>
      </w:r>
      <w:r>
        <w:rPr>
          <w:color w:val="231F20"/>
          <w:spacing w:val="-3"/>
          <w:w w:val="105"/>
        </w:rPr>
        <w:t>eficiencia</w:t>
      </w:r>
      <w:r>
        <w:rPr>
          <w:color w:val="231F20"/>
          <w:spacing w:val="-26"/>
          <w:w w:val="105"/>
        </w:rPr>
        <w:t> </w:t>
      </w:r>
      <w:r>
        <w:rPr>
          <w:color w:val="231F20"/>
          <w:spacing w:val="-3"/>
          <w:w w:val="105"/>
        </w:rPr>
        <w:t>económica</w:t>
      </w:r>
      <w:r>
        <w:rPr>
          <w:color w:val="231F20"/>
          <w:spacing w:val="-26"/>
          <w:w w:val="105"/>
        </w:rPr>
        <w:t> </w:t>
      </w:r>
      <w:r>
        <w:rPr>
          <w:color w:val="231F20"/>
          <w:w w:val="105"/>
        </w:rPr>
        <w:t>se</w:t>
      </w:r>
      <w:r>
        <w:rPr>
          <w:color w:val="231F20"/>
          <w:spacing w:val="-26"/>
          <w:w w:val="105"/>
        </w:rPr>
        <w:t> </w:t>
      </w:r>
      <w:r>
        <w:rPr>
          <w:color w:val="231F20"/>
          <w:spacing w:val="-3"/>
          <w:w w:val="105"/>
        </w:rPr>
        <w:t>traduce</w:t>
      </w:r>
      <w:r>
        <w:rPr>
          <w:color w:val="231F20"/>
          <w:spacing w:val="-26"/>
          <w:w w:val="105"/>
        </w:rPr>
        <w:t> </w:t>
      </w:r>
      <w:r>
        <w:rPr>
          <w:color w:val="231F20"/>
          <w:w w:val="105"/>
        </w:rPr>
        <w:t>en</w:t>
      </w:r>
      <w:r>
        <w:rPr>
          <w:color w:val="231F20"/>
          <w:spacing w:val="-26"/>
          <w:w w:val="105"/>
        </w:rPr>
        <w:t> </w:t>
      </w:r>
      <w:r>
        <w:rPr>
          <w:color w:val="231F20"/>
          <w:spacing w:val="-3"/>
          <w:w w:val="105"/>
        </w:rPr>
        <w:t>minimizar</w:t>
      </w:r>
      <w:r>
        <w:rPr>
          <w:color w:val="231F20"/>
          <w:spacing w:val="-26"/>
          <w:w w:val="105"/>
        </w:rPr>
        <w:t> </w:t>
      </w:r>
      <w:r>
        <w:rPr>
          <w:color w:val="231F20"/>
          <w:w w:val="105"/>
        </w:rPr>
        <w:t>los</w:t>
      </w:r>
      <w:r>
        <w:rPr>
          <w:color w:val="231F20"/>
          <w:spacing w:val="-26"/>
          <w:w w:val="105"/>
        </w:rPr>
        <w:t> </w:t>
      </w:r>
      <w:r>
        <w:rPr>
          <w:color w:val="231F20"/>
          <w:spacing w:val="-4"/>
          <w:w w:val="105"/>
        </w:rPr>
        <w:t>CTE.</w:t>
      </w:r>
    </w:p>
    <w:p>
      <w:pPr>
        <w:pStyle w:val="BodyText"/>
        <w:spacing w:line="259" w:lineRule="auto"/>
        <w:ind w:left="103" w:right="108" w:firstLine="567"/>
        <w:jc w:val="right"/>
      </w:pPr>
      <w:r>
        <w:rPr>
          <w:color w:val="231F20"/>
          <w:w w:val="105"/>
        </w:rPr>
        <w:t>La</w:t>
      </w:r>
      <w:r>
        <w:rPr>
          <w:color w:val="231F20"/>
          <w:spacing w:val="-6"/>
          <w:w w:val="105"/>
        </w:rPr>
        <w:t> </w:t>
      </w:r>
      <w:r>
        <w:rPr>
          <w:color w:val="231F20"/>
          <w:w w:val="105"/>
        </w:rPr>
        <w:t>forma</w:t>
      </w:r>
      <w:r>
        <w:rPr>
          <w:color w:val="231F20"/>
          <w:spacing w:val="-6"/>
          <w:w w:val="105"/>
        </w:rPr>
        <w:t> </w:t>
      </w:r>
      <w:r>
        <w:rPr>
          <w:color w:val="231F20"/>
          <w:w w:val="105"/>
        </w:rPr>
        <w:t>en</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estado</w:t>
      </w:r>
      <w:r>
        <w:rPr>
          <w:color w:val="231F20"/>
          <w:spacing w:val="-6"/>
          <w:w w:val="105"/>
        </w:rPr>
        <w:t> </w:t>
      </w:r>
      <w:r>
        <w:rPr>
          <w:color w:val="231F20"/>
          <w:w w:val="105"/>
        </w:rPr>
        <w:t>organiza</w:t>
      </w:r>
      <w:r>
        <w:rPr>
          <w:color w:val="231F20"/>
          <w:spacing w:val="-6"/>
          <w:w w:val="105"/>
        </w:rPr>
        <w:t> </w:t>
      </w:r>
      <w:r>
        <w:rPr>
          <w:color w:val="231F20"/>
          <w:w w:val="105"/>
        </w:rPr>
        <w:t>la</w:t>
      </w:r>
      <w:r>
        <w:rPr>
          <w:color w:val="231F20"/>
          <w:spacing w:val="-6"/>
          <w:w w:val="105"/>
        </w:rPr>
        <w:t> </w:t>
      </w:r>
      <w:r>
        <w:rPr>
          <w:color w:val="231F20"/>
          <w:w w:val="105"/>
        </w:rPr>
        <w:t>actividad</w:t>
      </w:r>
      <w:r>
        <w:rPr>
          <w:color w:val="231F20"/>
          <w:spacing w:val="-6"/>
          <w:w w:val="105"/>
        </w:rPr>
        <w:t> </w:t>
      </w:r>
      <w:r>
        <w:rPr>
          <w:color w:val="231F20"/>
          <w:w w:val="105"/>
        </w:rPr>
        <w:t>económica</w:t>
      </w:r>
      <w:r>
        <w:rPr>
          <w:color w:val="231F20"/>
          <w:spacing w:val="-6"/>
          <w:w w:val="105"/>
        </w:rPr>
        <w:t> </w:t>
      </w:r>
      <w:r>
        <w:rPr>
          <w:color w:val="231F20"/>
          <w:w w:val="105"/>
        </w:rPr>
        <w:t>deter-</w:t>
      </w:r>
      <w:r>
        <w:rPr>
          <w:color w:val="231F20"/>
          <w:w w:val="96"/>
        </w:rPr>
        <w:t> </w:t>
      </w:r>
      <w:r>
        <w:rPr>
          <w:color w:val="231F20"/>
          <w:w w:val="105"/>
        </w:rPr>
        <w:t>mina</w:t>
      </w:r>
      <w:r>
        <w:rPr>
          <w:color w:val="231F20"/>
          <w:spacing w:val="-15"/>
          <w:w w:val="105"/>
        </w:rPr>
        <w:t> </w:t>
      </w:r>
      <w:r>
        <w:rPr>
          <w:color w:val="231F20"/>
          <w:w w:val="105"/>
        </w:rPr>
        <w:t>los</w:t>
      </w:r>
      <w:r>
        <w:rPr>
          <w:color w:val="231F20"/>
          <w:spacing w:val="-15"/>
          <w:w w:val="105"/>
        </w:rPr>
        <w:t> </w:t>
      </w:r>
      <w:r>
        <w:rPr>
          <w:color w:val="231F20"/>
          <w:w w:val="105"/>
        </w:rPr>
        <w:t>costos</w:t>
      </w:r>
      <w:r>
        <w:rPr>
          <w:color w:val="231F20"/>
          <w:spacing w:val="-15"/>
          <w:w w:val="105"/>
        </w:rPr>
        <w:t> </w:t>
      </w:r>
      <w:r>
        <w:rPr>
          <w:color w:val="231F20"/>
          <w:w w:val="105"/>
        </w:rPr>
        <w:t>de</w:t>
      </w:r>
      <w:r>
        <w:rPr>
          <w:color w:val="231F20"/>
          <w:spacing w:val="-15"/>
          <w:w w:val="105"/>
        </w:rPr>
        <w:t> </w:t>
      </w:r>
      <w:r>
        <w:rPr>
          <w:color w:val="231F20"/>
          <w:w w:val="105"/>
        </w:rPr>
        <w:t>transacción</w:t>
      </w:r>
      <w:r>
        <w:rPr>
          <w:color w:val="231F20"/>
          <w:spacing w:val="-15"/>
          <w:w w:val="105"/>
        </w:rPr>
        <w:t> </w:t>
      </w:r>
      <w:r>
        <w:rPr>
          <w:color w:val="231F20"/>
          <w:w w:val="105"/>
        </w:rPr>
        <w:t>y</w:t>
      </w:r>
      <w:r>
        <w:rPr>
          <w:color w:val="231F20"/>
          <w:spacing w:val="-15"/>
          <w:w w:val="105"/>
        </w:rPr>
        <w:t> </w:t>
      </w:r>
      <w:r>
        <w:rPr>
          <w:color w:val="231F20"/>
          <w:w w:val="105"/>
        </w:rPr>
        <w:t>su</w:t>
      </w:r>
      <w:r>
        <w:rPr>
          <w:color w:val="231F20"/>
          <w:spacing w:val="-15"/>
          <w:w w:val="105"/>
        </w:rPr>
        <w:t> </w:t>
      </w:r>
      <w:r>
        <w:rPr>
          <w:color w:val="231F20"/>
          <w:w w:val="105"/>
        </w:rPr>
        <w:t>desempeño.</w:t>
      </w:r>
      <w:r>
        <w:rPr>
          <w:color w:val="231F20"/>
          <w:spacing w:val="-20"/>
          <w:w w:val="105"/>
        </w:rPr>
        <w:t> </w:t>
      </w:r>
      <w:r>
        <w:rPr>
          <w:color w:val="231F20"/>
          <w:w w:val="105"/>
        </w:rPr>
        <w:t>La</w:t>
      </w:r>
      <w:r>
        <w:rPr>
          <w:color w:val="231F20"/>
          <w:spacing w:val="-15"/>
          <w:w w:val="105"/>
        </w:rPr>
        <w:t> </w:t>
      </w:r>
      <w:r>
        <w:rPr>
          <w:color w:val="231F20"/>
          <w:w w:val="105"/>
        </w:rPr>
        <w:t>existencia</w:t>
      </w:r>
      <w:r>
        <w:rPr>
          <w:color w:val="231F20"/>
          <w:spacing w:val="-15"/>
          <w:w w:val="105"/>
        </w:rPr>
        <w:t> </w:t>
      </w:r>
      <w:r>
        <w:rPr>
          <w:color w:val="231F20"/>
          <w:w w:val="105"/>
        </w:rPr>
        <w:t>de</w:t>
      </w:r>
      <w:r>
        <w:rPr>
          <w:color w:val="231F20"/>
          <w:spacing w:val="-15"/>
          <w:w w:val="105"/>
        </w:rPr>
        <w:t> </w:t>
      </w:r>
      <w:r>
        <w:rPr>
          <w:color w:val="231F20"/>
          <w:w w:val="105"/>
        </w:rPr>
        <w:t>reglas</w:t>
      </w:r>
      <w:r>
        <w:rPr>
          <w:color w:val="231F20"/>
          <w:w w:val="101"/>
        </w:rPr>
        <w:t> </w:t>
      </w:r>
      <w:r>
        <w:rPr>
          <w:color w:val="231F20"/>
          <w:w w:val="105"/>
        </w:rPr>
        <w:t>informales,</w:t>
      </w:r>
      <w:r>
        <w:rPr>
          <w:color w:val="231F20"/>
          <w:spacing w:val="-25"/>
          <w:w w:val="105"/>
        </w:rPr>
        <w:t> </w:t>
      </w:r>
      <w:r>
        <w:rPr>
          <w:color w:val="231F20"/>
          <w:w w:val="105"/>
        </w:rPr>
        <w:t>es</w:t>
      </w:r>
      <w:r>
        <w:rPr>
          <w:color w:val="231F20"/>
          <w:spacing w:val="-21"/>
          <w:w w:val="105"/>
        </w:rPr>
        <w:t> </w:t>
      </w:r>
      <w:r>
        <w:rPr>
          <w:color w:val="231F20"/>
          <w:w w:val="105"/>
        </w:rPr>
        <w:t>decir,</w:t>
      </w:r>
      <w:r>
        <w:rPr>
          <w:color w:val="231F20"/>
          <w:spacing w:val="-25"/>
          <w:w w:val="105"/>
        </w:rPr>
        <w:t> </w:t>
      </w:r>
      <w:r>
        <w:rPr>
          <w:color w:val="231F20"/>
          <w:w w:val="105"/>
        </w:rPr>
        <w:t>la</w:t>
      </w:r>
      <w:r>
        <w:rPr>
          <w:color w:val="231F20"/>
          <w:spacing w:val="-21"/>
          <w:w w:val="105"/>
        </w:rPr>
        <w:t> </w:t>
      </w:r>
      <w:r>
        <w:rPr>
          <w:color w:val="231F20"/>
          <w:w w:val="105"/>
        </w:rPr>
        <w:t>ausencia</w:t>
      </w:r>
      <w:r>
        <w:rPr>
          <w:color w:val="231F20"/>
          <w:spacing w:val="-21"/>
          <w:w w:val="105"/>
        </w:rPr>
        <w:t> </w:t>
      </w:r>
      <w:r>
        <w:rPr>
          <w:color w:val="231F20"/>
          <w:w w:val="105"/>
        </w:rPr>
        <w:t>de</w:t>
      </w:r>
      <w:r>
        <w:rPr>
          <w:color w:val="231F20"/>
          <w:spacing w:val="-21"/>
          <w:w w:val="105"/>
        </w:rPr>
        <w:t> </w:t>
      </w:r>
      <w:r>
        <w:rPr>
          <w:color w:val="231F20"/>
          <w:w w:val="105"/>
        </w:rPr>
        <w:t>normas</w:t>
      </w:r>
      <w:r>
        <w:rPr>
          <w:color w:val="231F20"/>
          <w:spacing w:val="-21"/>
          <w:w w:val="105"/>
        </w:rPr>
        <w:t> </w:t>
      </w:r>
      <w:r>
        <w:rPr>
          <w:color w:val="231F20"/>
          <w:w w:val="105"/>
        </w:rPr>
        <w:t>debidamente</w:t>
      </w:r>
      <w:r>
        <w:rPr>
          <w:color w:val="231F20"/>
          <w:spacing w:val="-21"/>
          <w:w w:val="105"/>
        </w:rPr>
        <w:t> </w:t>
      </w:r>
      <w:r>
        <w:rPr>
          <w:color w:val="231F20"/>
          <w:w w:val="105"/>
        </w:rPr>
        <w:t>legisladas,</w:t>
      </w:r>
      <w:r>
        <w:rPr>
          <w:color w:val="231F20"/>
          <w:spacing w:val="-25"/>
          <w:w w:val="105"/>
        </w:rPr>
        <w:t> </w:t>
      </w:r>
      <w:r>
        <w:rPr>
          <w:color w:val="231F20"/>
          <w:w w:val="105"/>
        </w:rPr>
        <w:t>son</w:t>
      </w:r>
      <w:r>
        <w:rPr>
          <w:color w:val="231F20"/>
          <w:w w:val="101"/>
        </w:rPr>
        <w:t> </w:t>
      </w:r>
      <w:r>
        <w:rPr>
          <w:color w:val="231F20"/>
          <w:w w:val="105"/>
        </w:rPr>
        <w:t>una</w:t>
      </w:r>
      <w:r>
        <w:rPr>
          <w:color w:val="231F20"/>
          <w:spacing w:val="-25"/>
          <w:w w:val="105"/>
        </w:rPr>
        <w:t> </w:t>
      </w:r>
      <w:r>
        <w:rPr>
          <w:color w:val="231F20"/>
          <w:w w:val="105"/>
        </w:rPr>
        <w:t>causa</w:t>
      </w:r>
      <w:r>
        <w:rPr>
          <w:color w:val="231F20"/>
          <w:spacing w:val="-25"/>
          <w:w w:val="105"/>
        </w:rPr>
        <w:t> </w:t>
      </w:r>
      <w:r>
        <w:rPr>
          <w:color w:val="231F20"/>
          <w:w w:val="105"/>
        </w:rPr>
        <w:t>del</w:t>
      </w:r>
      <w:r>
        <w:rPr>
          <w:color w:val="231F20"/>
          <w:spacing w:val="-25"/>
          <w:w w:val="105"/>
        </w:rPr>
        <w:t> </w:t>
      </w:r>
      <w:r>
        <w:rPr>
          <w:color w:val="231F20"/>
          <w:w w:val="105"/>
        </w:rPr>
        <w:t>bajo</w:t>
      </w:r>
      <w:r>
        <w:rPr>
          <w:color w:val="231F20"/>
          <w:spacing w:val="-25"/>
          <w:w w:val="105"/>
        </w:rPr>
        <w:t> </w:t>
      </w:r>
      <w:r>
        <w:rPr>
          <w:color w:val="231F20"/>
          <w:w w:val="105"/>
        </w:rPr>
        <w:t>desempeño</w:t>
      </w:r>
      <w:r>
        <w:rPr>
          <w:color w:val="231F20"/>
          <w:spacing w:val="-25"/>
          <w:w w:val="105"/>
        </w:rPr>
        <w:t> </w:t>
      </w:r>
      <w:r>
        <w:rPr>
          <w:color w:val="231F20"/>
          <w:w w:val="105"/>
        </w:rPr>
        <w:t>económico.</w:t>
      </w:r>
      <w:r>
        <w:rPr>
          <w:color w:val="231F20"/>
          <w:spacing w:val="-29"/>
          <w:w w:val="105"/>
        </w:rPr>
        <w:t> </w:t>
      </w:r>
      <w:r>
        <w:rPr>
          <w:color w:val="231F20"/>
          <w:w w:val="105"/>
        </w:rPr>
        <w:t>Las</w:t>
      </w:r>
      <w:r>
        <w:rPr>
          <w:color w:val="231F20"/>
          <w:spacing w:val="-25"/>
          <w:w w:val="105"/>
        </w:rPr>
        <w:t> </w:t>
      </w:r>
      <w:r>
        <w:rPr>
          <w:color w:val="231F20"/>
          <w:w w:val="105"/>
        </w:rPr>
        <w:t>instituciones</w:t>
      </w:r>
      <w:r>
        <w:rPr>
          <w:color w:val="231F20"/>
          <w:spacing w:val="-25"/>
          <w:w w:val="105"/>
        </w:rPr>
        <w:t> </w:t>
      </w:r>
      <w:r>
        <w:rPr>
          <w:color w:val="231F20"/>
          <w:w w:val="105"/>
        </w:rPr>
        <w:t>ineficientes</w:t>
      </w:r>
      <w:r>
        <w:rPr>
          <w:color w:val="231F20"/>
          <w:w w:val="103"/>
        </w:rPr>
        <w:t> </w:t>
      </w:r>
      <w:r>
        <w:rPr>
          <w:color w:val="231F20"/>
          <w:w w:val="105"/>
        </w:rPr>
        <w:t>existen por la ausencia de regulaciones debido al mal uso de</w:t>
      </w:r>
      <w:r>
        <w:rPr>
          <w:color w:val="231F20"/>
          <w:spacing w:val="18"/>
          <w:w w:val="105"/>
        </w:rPr>
        <w:t> </w:t>
      </w:r>
      <w:r>
        <w:rPr>
          <w:color w:val="231F20"/>
          <w:w w:val="105"/>
        </w:rPr>
        <w:t>los</w:t>
      </w:r>
      <w:r>
        <w:rPr>
          <w:color w:val="231F20"/>
          <w:spacing w:val="18"/>
          <w:w w:val="105"/>
        </w:rPr>
        <w:t> </w:t>
      </w:r>
      <w:r>
        <w:rPr>
          <w:color w:val="231F20"/>
          <w:w w:val="105"/>
        </w:rPr>
        <w:t>de-</w:t>
      </w:r>
      <w:r>
        <w:rPr>
          <w:color w:val="231F20"/>
          <w:w w:val="96"/>
        </w:rPr>
        <w:t> </w:t>
      </w:r>
      <w:r>
        <w:rPr>
          <w:color w:val="231F20"/>
          <w:w w:val="105"/>
        </w:rPr>
        <w:t>rechos</w:t>
      </w:r>
      <w:r>
        <w:rPr>
          <w:color w:val="231F20"/>
          <w:spacing w:val="-7"/>
          <w:w w:val="105"/>
        </w:rPr>
        <w:t> </w:t>
      </w:r>
      <w:r>
        <w:rPr>
          <w:color w:val="231F20"/>
          <w:w w:val="105"/>
        </w:rPr>
        <w:t>de</w:t>
      </w:r>
      <w:r>
        <w:rPr>
          <w:color w:val="231F20"/>
          <w:spacing w:val="-7"/>
          <w:w w:val="105"/>
        </w:rPr>
        <w:t> </w:t>
      </w:r>
      <w:r>
        <w:rPr>
          <w:color w:val="231F20"/>
          <w:w w:val="105"/>
        </w:rPr>
        <w:t>propiedad,</w:t>
      </w:r>
      <w:r>
        <w:rPr>
          <w:color w:val="231F20"/>
          <w:spacing w:val="-12"/>
          <w:w w:val="105"/>
        </w:rPr>
        <w:t> </w:t>
      </w:r>
      <w:r>
        <w:rPr>
          <w:color w:val="231F20"/>
          <w:w w:val="105"/>
        </w:rPr>
        <w:t>lo</w:t>
      </w:r>
      <w:r>
        <w:rPr>
          <w:color w:val="231F20"/>
          <w:spacing w:val="-7"/>
          <w:w w:val="105"/>
        </w:rPr>
        <w:t> </w:t>
      </w:r>
      <w:r>
        <w:rPr>
          <w:color w:val="231F20"/>
          <w:w w:val="105"/>
        </w:rPr>
        <w:t>cual</w:t>
      </w:r>
      <w:r>
        <w:rPr>
          <w:color w:val="231F20"/>
          <w:spacing w:val="-7"/>
          <w:w w:val="105"/>
        </w:rPr>
        <w:t> </w:t>
      </w:r>
      <w:r>
        <w:rPr>
          <w:color w:val="231F20"/>
          <w:w w:val="105"/>
        </w:rPr>
        <w:t>conlleva</w:t>
      </w:r>
      <w:r>
        <w:rPr>
          <w:color w:val="231F20"/>
          <w:spacing w:val="-7"/>
          <w:w w:val="105"/>
        </w:rPr>
        <w:t> </w:t>
      </w:r>
      <w:r>
        <w:rPr>
          <w:color w:val="231F20"/>
          <w:w w:val="105"/>
        </w:rPr>
        <w:t>a</w:t>
      </w:r>
      <w:r>
        <w:rPr>
          <w:color w:val="231F20"/>
          <w:spacing w:val="-7"/>
          <w:w w:val="105"/>
        </w:rPr>
        <w:t> </w:t>
      </w:r>
      <w:r>
        <w:rPr>
          <w:color w:val="231F20"/>
          <w:w w:val="105"/>
        </w:rPr>
        <w:t>mayores</w:t>
      </w:r>
      <w:r>
        <w:rPr>
          <w:color w:val="231F20"/>
          <w:spacing w:val="-7"/>
          <w:w w:val="105"/>
        </w:rPr>
        <w:t> </w:t>
      </w:r>
      <w:r>
        <w:rPr>
          <w:color w:val="231F20"/>
          <w:w w:val="105"/>
        </w:rPr>
        <w:t>costos</w:t>
      </w:r>
      <w:r>
        <w:rPr>
          <w:color w:val="231F20"/>
          <w:spacing w:val="-7"/>
          <w:w w:val="105"/>
        </w:rPr>
        <w:t> </w:t>
      </w:r>
      <w:r>
        <w:rPr>
          <w:color w:val="231F20"/>
          <w:w w:val="105"/>
        </w:rPr>
        <w:t>de</w:t>
      </w:r>
      <w:r>
        <w:rPr>
          <w:color w:val="231F20"/>
          <w:spacing w:val="-7"/>
          <w:w w:val="105"/>
        </w:rPr>
        <w:t> </w:t>
      </w:r>
      <w:r>
        <w:rPr>
          <w:color w:val="231F20"/>
          <w:w w:val="105"/>
        </w:rPr>
        <w:t>transacción.</w:t>
      </w:r>
      <w:r>
        <w:rPr>
          <w:color w:val="231F20"/>
          <w:w w:val="100"/>
        </w:rPr>
        <w:t> </w:t>
      </w:r>
      <w:r>
        <w:rPr>
          <w:color w:val="231F20"/>
          <w:w w:val="105"/>
        </w:rPr>
        <w:t>En suma, la ineficiencia existe porque es coercitivamente</w:t>
      </w:r>
      <w:r>
        <w:rPr>
          <w:color w:val="231F20"/>
          <w:spacing w:val="21"/>
          <w:w w:val="105"/>
        </w:rPr>
        <w:t> </w:t>
      </w:r>
      <w:r>
        <w:rPr>
          <w:color w:val="231F20"/>
          <w:w w:val="105"/>
        </w:rPr>
        <w:t>planificada</w:t>
      </w:r>
      <w:r>
        <w:rPr>
          <w:color w:val="231F20"/>
          <w:spacing w:val="3"/>
          <w:w w:val="105"/>
        </w:rPr>
        <w:t> </w:t>
      </w:r>
      <w:r>
        <w:rPr>
          <w:color w:val="231F20"/>
          <w:w w:val="105"/>
        </w:rPr>
        <w:t>y</w:t>
      </w:r>
      <w:r>
        <w:rPr>
          <w:color w:val="231F20"/>
          <w:w w:val="97"/>
        </w:rPr>
        <w:t> </w:t>
      </w:r>
      <w:r>
        <w:rPr>
          <w:color w:val="231F20"/>
          <w:w w:val="105"/>
        </w:rPr>
        <w:t>ejecutada</w:t>
      </w:r>
      <w:r>
        <w:rPr>
          <w:color w:val="231F20"/>
          <w:spacing w:val="-28"/>
          <w:w w:val="105"/>
        </w:rPr>
        <w:t> </w:t>
      </w:r>
      <w:r>
        <w:rPr>
          <w:color w:val="231F20"/>
          <w:w w:val="105"/>
        </w:rPr>
        <w:t>(Heydemann,</w:t>
      </w:r>
      <w:r>
        <w:rPr>
          <w:color w:val="231F20"/>
          <w:spacing w:val="-32"/>
          <w:w w:val="105"/>
        </w:rPr>
        <w:t> </w:t>
      </w:r>
      <w:r>
        <w:rPr>
          <w:color w:val="231F20"/>
          <w:w w:val="105"/>
        </w:rPr>
        <w:t>2008).</w:t>
      </w:r>
      <w:r>
        <w:rPr>
          <w:color w:val="231F20"/>
          <w:spacing w:val="-32"/>
          <w:w w:val="105"/>
        </w:rPr>
        <w:t> </w:t>
      </w:r>
      <w:r>
        <w:rPr>
          <w:color w:val="231F20"/>
          <w:w w:val="105"/>
        </w:rPr>
        <w:t>En</w:t>
      </w:r>
      <w:r>
        <w:rPr>
          <w:color w:val="231F20"/>
          <w:spacing w:val="-28"/>
          <w:w w:val="105"/>
        </w:rPr>
        <w:t> </w:t>
      </w:r>
      <w:r>
        <w:rPr>
          <w:color w:val="231F20"/>
          <w:w w:val="105"/>
        </w:rPr>
        <w:t>otras</w:t>
      </w:r>
      <w:r>
        <w:rPr>
          <w:color w:val="231F20"/>
          <w:spacing w:val="-28"/>
          <w:w w:val="105"/>
        </w:rPr>
        <w:t> </w:t>
      </w:r>
      <w:r>
        <w:rPr>
          <w:color w:val="231F20"/>
          <w:w w:val="105"/>
        </w:rPr>
        <w:t>palabras,</w:t>
      </w:r>
      <w:r>
        <w:rPr>
          <w:color w:val="231F20"/>
          <w:spacing w:val="-32"/>
          <w:w w:val="105"/>
        </w:rPr>
        <w:t> </w:t>
      </w:r>
      <w:r>
        <w:rPr>
          <w:color w:val="231F20"/>
          <w:w w:val="105"/>
        </w:rPr>
        <w:t>no</w:t>
      </w:r>
      <w:r>
        <w:rPr>
          <w:color w:val="231F20"/>
          <w:spacing w:val="-28"/>
          <w:w w:val="105"/>
        </w:rPr>
        <w:t> </w:t>
      </w:r>
      <w:r>
        <w:rPr>
          <w:color w:val="231F20"/>
          <w:w w:val="105"/>
        </w:rPr>
        <w:t>existen</w:t>
      </w:r>
      <w:r>
        <w:rPr>
          <w:color w:val="231F20"/>
          <w:spacing w:val="-28"/>
          <w:w w:val="105"/>
        </w:rPr>
        <w:t> </w:t>
      </w:r>
      <w:r>
        <w:rPr>
          <w:color w:val="231F20"/>
          <w:w w:val="105"/>
        </w:rPr>
        <w:t>normas</w:t>
      </w:r>
      <w:r>
        <w:rPr>
          <w:color w:val="231F20"/>
          <w:spacing w:val="-28"/>
          <w:w w:val="105"/>
        </w:rPr>
        <w:t> </w:t>
      </w:r>
      <w:r>
        <w:rPr>
          <w:color w:val="231F20"/>
          <w:w w:val="105"/>
        </w:rPr>
        <w:t>que</w:t>
      </w:r>
      <w:r>
        <w:rPr>
          <w:color w:val="231F20"/>
          <w:w w:val="107"/>
        </w:rPr>
        <w:t> </w:t>
      </w:r>
      <w:r>
        <w:rPr>
          <w:color w:val="231F20"/>
          <w:w w:val="105"/>
        </w:rPr>
        <w:t>regulen</w:t>
      </w:r>
      <w:r>
        <w:rPr>
          <w:color w:val="231F20"/>
          <w:spacing w:val="-18"/>
          <w:w w:val="105"/>
        </w:rPr>
        <w:t> </w:t>
      </w:r>
      <w:r>
        <w:rPr>
          <w:color w:val="231F20"/>
          <w:w w:val="105"/>
        </w:rPr>
        <w:t>el</w:t>
      </w:r>
      <w:r>
        <w:rPr>
          <w:color w:val="231F20"/>
          <w:spacing w:val="-18"/>
          <w:w w:val="105"/>
        </w:rPr>
        <w:t> </w:t>
      </w:r>
      <w:r>
        <w:rPr>
          <w:color w:val="231F20"/>
          <w:w w:val="105"/>
        </w:rPr>
        <w:t>accionar</w:t>
      </w:r>
      <w:r>
        <w:rPr>
          <w:color w:val="231F20"/>
          <w:spacing w:val="-18"/>
          <w:w w:val="105"/>
        </w:rPr>
        <w:t> </w:t>
      </w:r>
      <w:r>
        <w:rPr>
          <w:color w:val="231F20"/>
          <w:w w:val="105"/>
        </w:rPr>
        <w:t>del</w:t>
      </w:r>
      <w:r>
        <w:rPr>
          <w:color w:val="231F20"/>
          <w:spacing w:val="-18"/>
          <w:w w:val="105"/>
        </w:rPr>
        <w:t> </w:t>
      </w:r>
      <w:r>
        <w:rPr>
          <w:color w:val="231F20"/>
          <w:w w:val="105"/>
        </w:rPr>
        <w:t>gobierno</w:t>
      </w:r>
      <w:r>
        <w:rPr>
          <w:color w:val="231F20"/>
          <w:spacing w:val="-18"/>
          <w:w w:val="105"/>
        </w:rPr>
        <w:t> </w:t>
      </w:r>
      <w:r>
        <w:rPr>
          <w:color w:val="231F20"/>
          <w:w w:val="105"/>
        </w:rPr>
        <w:t>porque</w:t>
      </w:r>
      <w:r>
        <w:rPr>
          <w:color w:val="231F20"/>
          <w:spacing w:val="-18"/>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manera</w:t>
      </w:r>
      <w:r>
        <w:rPr>
          <w:color w:val="231F20"/>
          <w:spacing w:val="-18"/>
          <w:w w:val="105"/>
        </w:rPr>
        <w:t> </w:t>
      </w:r>
      <w:r>
        <w:rPr>
          <w:color w:val="231F20"/>
          <w:w w:val="105"/>
        </w:rPr>
        <w:t>más</w:t>
      </w:r>
      <w:r>
        <w:rPr>
          <w:color w:val="231F20"/>
          <w:spacing w:val="-18"/>
          <w:w w:val="105"/>
        </w:rPr>
        <w:t> </w:t>
      </w:r>
      <w:r>
        <w:rPr>
          <w:color w:val="231F20"/>
          <w:w w:val="105"/>
        </w:rPr>
        <w:t>fácil</w:t>
      </w:r>
      <w:r>
        <w:rPr>
          <w:color w:val="231F20"/>
          <w:spacing w:val="-18"/>
          <w:w w:val="105"/>
        </w:rPr>
        <w:t> </w:t>
      </w:r>
      <w:r>
        <w:rPr>
          <w:color w:val="231F20"/>
          <w:w w:val="105"/>
        </w:rPr>
        <w:t>de</w:t>
      </w:r>
      <w:r>
        <w:rPr>
          <w:color w:val="231F20"/>
          <w:spacing w:val="-18"/>
          <w:w w:val="105"/>
        </w:rPr>
        <w:t> </w:t>
      </w:r>
      <w:r>
        <w:rPr>
          <w:color w:val="231F20"/>
          <w:w w:val="105"/>
        </w:rPr>
        <w:t>alcan-</w:t>
      </w:r>
      <w:r>
        <w:rPr>
          <w:color w:val="231F20"/>
          <w:w w:val="96"/>
        </w:rPr>
        <w:t> </w:t>
      </w:r>
      <w:r>
        <w:rPr>
          <w:color w:val="231F20"/>
          <w:w w:val="105"/>
        </w:rPr>
        <w:t>zar</w:t>
      </w:r>
      <w:r>
        <w:rPr>
          <w:color w:val="231F20"/>
          <w:spacing w:val="-21"/>
          <w:w w:val="105"/>
        </w:rPr>
        <w:t> </w:t>
      </w:r>
      <w:r>
        <w:rPr>
          <w:color w:val="231F20"/>
          <w:w w:val="105"/>
        </w:rPr>
        <w:t>sus</w:t>
      </w:r>
      <w:r>
        <w:rPr>
          <w:color w:val="231F20"/>
          <w:spacing w:val="-21"/>
          <w:w w:val="105"/>
        </w:rPr>
        <w:t> </w:t>
      </w:r>
      <w:r>
        <w:rPr>
          <w:color w:val="231F20"/>
          <w:w w:val="105"/>
        </w:rPr>
        <w:t>objetivos</w:t>
      </w:r>
      <w:r>
        <w:rPr>
          <w:color w:val="231F20"/>
          <w:spacing w:val="-21"/>
          <w:w w:val="105"/>
        </w:rPr>
        <w:t> </w:t>
      </w:r>
      <w:r>
        <w:rPr>
          <w:color w:val="231F20"/>
          <w:w w:val="105"/>
        </w:rPr>
        <w:t>y</w:t>
      </w:r>
      <w:r>
        <w:rPr>
          <w:color w:val="231F20"/>
          <w:spacing w:val="-21"/>
          <w:w w:val="105"/>
        </w:rPr>
        <w:t> </w:t>
      </w:r>
      <w:r>
        <w:rPr>
          <w:color w:val="231F20"/>
          <w:w w:val="105"/>
        </w:rPr>
        <w:t>dicho</w:t>
      </w:r>
      <w:r>
        <w:rPr>
          <w:color w:val="231F20"/>
          <w:spacing w:val="-21"/>
          <w:w w:val="105"/>
        </w:rPr>
        <w:t> </w:t>
      </w:r>
      <w:r>
        <w:rPr>
          <w:color w:val="231F20"/>
          <w:w w:val="105"/>
        </w:rPr>
        <w:t>libertinaje</w:t>
      </w:r>
      <w:r>
        <w:rPr>
          <w:color w:val="231F20"/>
          <w:spacing w:val="-21"/>
          <w:w w:val="105"/>
        </w:rPr>
        <w:t> </w:t>
      </w:r>
      <w:r>
        <w:rPr>
          <w:color w:val="231F20"/>
          <w:w w:val="105"/>
        </w:rPr>
        <w:t>institucional</w:t>
      </w:r>
      <w:r>
        <w:rPr>
          <w:color w:val="231F20"/>
          <w:spacing w:val="-21"/>
          <w:w w:val="105"/>
        </w:rPr>
        <w:t> </w:t>
      </w:r>
      <w:r>
        <w:rPr>
          <w:color w:val="231F20"/>
          <w:w w:val="105"/>
        </w:rPr>
        <w:t>conlleva</w:t>
      </w:r>
      <w:r>
        <w:rPr>
          <w:color w:val="231F20"/>
          <w:spacing w:val="-21"/>
          <w:w w:val="105"/>
        </w:rPr>
        <w:t> </w:t>
      </w:r>
      <w:r>
        <w:rPr>
          <w:color w:val="231F20"/>
          <w:w w:val="105"/>
        </w:rPr>
        <w:t>a</w:t>
      </w:r>
      <w:r>
        <w:rPr>
          <w:color w:val="231F20"/>
          <w:spacing w:val="-21"/>
          <w:w w:val="105"/>
        </w:rPr>
        <w:t> </w:t>
      </w:r>
      <w:r>
        <w:rPr>
          <w:color w:val="231F20"/>
          <w:w w:val="105"/>
        </w:rPr>
        <w:t>la</w:t>
      </w:r>
      <w:r>
        <w:rPr>
          <w:color w:val="231F20"/>
          <w:spacing w:val="-21"/>
          <w:w w:val="105"/>
        </w:rPr>
        <w:t> </w:t>
      </w:r>
      <w:r>
        <w:rPr>
          <w:color w:val="231F20"/>
          <w:w w:val="105"/>
        </w:rPr>
        <w:t>ineficiencia.</w:t>
      </w:r>
      <w:r>
        <w:rPr>
          <w:color w:val="231F20"/>
          <w:w w:val="103"/>
        </w:rPr>
        <w:t> </w:t>
      </w:r>
      <w:r>
        <w:rPr>
          <w:color w:val="231F20"/>
          <w:w w:val="105"/>
        </w:rPr>
        <w:t>Una acción es económica cuando se mejora el</w:t>
      </w:r>
      <w:r>
        <w:rPr>
          <w:color w:val="231F20"/>
          <w:spacing w:val="47"/>
          <w:w w:val="105"/>
        </w:rPr>
        <w:t> </w:t>
      </w:r>
      <w:r>
        <w:rPr>
          <w:color w:val="231F20"/>
          <w:w w:val="105"/>
        </w:rPr>
        <w:t>resultado</w:t>
      </w:r>
      <w:r>
        <w:rPr>
          <w:color w:val="231F20"/>
          <w:spacing w:val="5"/>
          <w:w w:val="105"/>
        </w:rPr>
        <w:t> </w:t>
      </w:r>
      <w:r>
        <w:rPr>
          <w:color w:val="231F20"/>
          <w:w w:val="105"/>
        </w:rPr>
        <w:t>mante-</w:t>
      </w:r>
      <w:r>
        <w:rPr>
          <w:color w:val="231F20"/>
          <w:w w:val="96"/>
        </w:rPr>
        <w:t> </w:t>
      </w:r>
      <w:r>
        <w:rPr>
          <w:color w:val="231F20"/>
          <w:w w:val="105"/>
        </w:rPr>
        <w:t>niendo</w:t>
      </w:r>
      <w:r>
        <w:rPr>
          <w:color w:val="231F20"/>
          <w:spacing w:val="-11"/>
          <w:w w:val="105"/>
        </w:rPr>
        <w:t> </w:t>
      </w:r>
      <w:r>
        <w:rPr>
          <w:color w:val="231F20"/>
          <w:w w:val="105"/>
        </w:rPr>
        <w:t>constante</w:t>
      </w:r>
      <w:r>
        <w:rPr>
          <w:color w:val="231F20"/>
          <w:spacing w:val="-11"/>
          <w:w w:val="105"/>
        </w:rPr>
        <w:t> </w:t>
      </w:r>
      <w:r>
        <w:rPr>
          <w:color w:val="231F20"/>
          <w:w w:val="105"/>
        </w:rPr>
        <w:t>el</w:t>
      </w:r>
      <w:r>
        <w:rPr>
          <w:color w:val="231F20"/>
          <w:spacing w:val="-11"/>
          <w:w w:val="105"/>
        </w:rPr>
        <w:t> </w:t>
      </w:r>
      <w:r>
        <w:rPr>
          <w:color w:val="231F20"/>
          <w:w w:val="105"/>
        </w:rPr>
        <w:t>gasto,</w:t>
      </w:r>
      <w:r>
        <w:rPr>
          <w:color w:val="231F20"/>
          <w:spacing w:val="-17"/>
          <w:w w:val="105"/>
        </w:rPr>
        <w:t> </w:t>
      </w:r>
      <w:r>
        <w:rPr>
          <w:color w:val="231F20"/>
          <w:w w:val="105"/>
        </w:rPr>
        <w:t>o</w:t>
      </w:r>
      <w:r>
        <w:rPr>
          <w:color w:val="231F20"/>
          <w:spacing w:val="-11"/>
          <w:w w:val="105"/>
        </w:rPr>
        <w:t> </w:t>
      </w:r>
      <w:r>
        <w:rPr>
          <w:color w:val="231F20"/>
          <w:w w:val="105"/>
        </w:rPr>
        <w:t>cuando</w:t>
      </w:r>
      <w:r>
        <w:rPr>
          <w:color w:val="231F20"/>
          <w:spacing w:val="-11"/>
          <w:w w:val="105"/>
        </w:rPr>
        <w:t> </w:t>
      </w:r>
      <w:r>
        <w:rPr>
          <w:color w:val="231F20"/>
          <w:w w:val="105"/>
        </w:rPr>
        <w:t>el</w:t>
      </w:r>
      <w:r>
        <w:rPr>
          <w:color w:val="231F20"/>
          <w:spacing w:val="-11"/>
          <w:w w:val="105"/>
        </w:rPr>
        <w:t> </w:t>
      </w:r>
      <w:r>
        <w:rPr>
          <w:color w:val="231F20"/>
          <w:w w:val="105"/>
        </w:rPr>
        <w:t>resultado</w:t>
      </w:r>
      <w:r>
        <w:rPr>
          <w:color w:val="231F20"/>
          <w:spacing w:val="-11"/>
          <w:w w:val="105"/>
        </w:rPr>
        <w:t> </w:t>
      </w:r>
      <w:r>
        <w:rPr>
          <w:color w:val="231F20"/>
          <w:w w:val="105"/>
        </w:rPr>
        <w:t>se</w:t>
      </w:r>
      <w:r>
        <w:rPr>
          <w:color w:val="231F20"/>
          <w:spacing w:val="-11"/>
          <w:w w:val="105"/>
        </w:rPr>
        <w:t> </w:t>
      </w:r>
      <w:r>
        <w:rPr>
          <w:color w:val="231F20"/>
          <w:w w:val="105"/>
        </w:rPr>
        <w:t>mantiene</w:t>
      </w:r>
      <w:r>
        <w:rPr>
          <w:color w:val="231F20"/>
          <w:spacing w:val="-11"/>
          <w:w w:val="105"/>
        </w:rPr>
        <w:t> </w:t>
      </w:r>
      <w:r>
        <w:rPr>
          <w:color w:val="231F20"/>
          <w:w w:val="105"/>
        </w:rPr>
        <w:t>constante</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102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192</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280" w:right="1160"/>
        </w:sectPr>
      </w:pPr>
    </w:p>
    <w:p>
      <w:pPr>
        <w:spacing w:line="180" w:lineRule="exact" w:before="61"/>
        <w:ind w:left="2430" w:right="-12" w:firstLine="338"/>
        <w:jc w:val="left"/>
        <w:rPr>
          <w:rFonts w:ascii="Lucida Sans Unicode" w:hAnsi="Lucida Sans Unicode"/>
          <w:sz w:val="14"/>
        </w:rPr>
      </w:pPr>
      <w:r>
        <w:rPr/>
        <w:pict>
          <v:line style="position:absolute;mso-position-horizontal-relative:page;mso-position-vertical-relative:paragraph;z-index:6928"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193</w:t>
      </w:r>
    </w:p>
    <w:p>
      <w:pPr>
        <w:spacing w:after="0"/>
        <w:jc w:val="left"/>
        <w:rPr>
          <w:sz w:val="20"/>
        </w:rPr>
        <w:sectPr>
          <w:type w:val="continuous"/>
          <w:pgSz w:w="9640" w:h="13890"/>
          <w:pgMar w:top="1300" w:bottom="280" w:left="1280" w:right="1160"/>
          <w:cols w:num="2" w:equalWidth="0">
            <w:col w:w="6281" w:space="40"/>
            <w:col w:w="879"/>
          </w:cols>
        </w:sectPr>
      </w:pPr>
    </w:p>
    <w:p>
      <w:pPr>
        <w:pStyle w:val="BodyText"/>
        <w:rPr>
          <w:sz w:val="20"/>
        </w:rPr>
      </w:pPr>
    </w:p>
    <w:p>
      <w:pPr>
        <w:pStyle w:val="BodyText"/>
        <w:spacing w:before="8"/>
        <w:rPr>
          <w:sz w:val="18"/>
        </w:rPr>
      </w:pPr>
    </w:p>
    <w:p>
      <w:pPr>
        <w:pStyle w:val="BodyText"/>
        <w:spacing w:line="259" w:lineRule="auto" w:before="57"/>
        <w:ind w:left="108" w:right="113"/>
        <w:jc w:val="both"/>
      </w:pPr>
      <w:r>
        <w:rPr>
          <w:color w:val="231F20"/>
          <w:w w:val="105"/>
        </w:rPr>
        <w:t>y</w:t>
      </w:r>
      <w:r>
        <w:rPr>
          <w:color w:val="231F20"/>
          <w:spacing w:val="-7"/>
          <w:w w:val="105"/>
        </w:rPr>
        <w:t> </w:t>
      </w:r>
      <w:r>
        <w:rPr>
          <w:color w:val="231F20"/>
          <w:w w:val="105"/>
        </w:rPr>
        <w:t>existe</w:t>
      </w:r>
      <w:r>
        <w:rPr>
          <w:color w:val="231F20"/>
          <w:spacing w:val="-7"/>
          <w:w w:val="105"/>
        </w:rPr>
        <w:t> </w:t>
      </w:r>
      <w:r>
        <w:rPr>
          <w:color w:val="231F20"/>
          <w:w w:val="105"/>
        </w:rPr>
        <w:t>una</w:t>
      </w:r>
      <w:r>
        <w:rPr>
          <w:color w:val="231F20"/>
          <w:spacing w:val="-7"/>
          <w:w w:val="105"/>
        </w:rPr>
        <w:t> </w:t>
      </w:r>
      <w:r>
        <w:rPr>
          <w:color w:val="231F20"/>
          <w:w w:val="105"/>
        </w:rPr>
        <w:t>reducción</w:t>
      </w:r>
      <w:r>
        <w:rPr>
          <w:color w:val="231F20"/>
          <w:spacing w:val="-7"/>
          <w:w w:val="105"/>
        </w:rPr>
        <w:t> </w:t>
      </w:r>
      <w:r>
        <w:rPr>
          <w:color w:val="231F20"/>
          <w:w w:val="105"/>
        </w:rPr>
        <w:t>de</w:t>
      </w:r>
      <w:r>
        <w:rPr>
          <w:color w:val="231F20"/>
          <w:spacing w:val="-7"/>
          <w:w w:val="105"/>
        </w:rPr>
        <w:t> </w:t>
      </w:r>
      <w:r>
        <w:rPr>
          <w:color w:val="231F20"/>
          <w:w w:val="105"/>
        </w:rPr>
        <w:t>gasto.</w:t>
      </w:r>
      <w:r>
        <w:rPr>
          <w:color w:val="231F20"/>
          <w:spacing w:val="-12"/>
          <w:w w:val="105"/>
        </w:rPr>
        <w:t> </w:t>
      </w:r>
      <w:r>
        <w:rPr>
          <w:color w:val="231F20"/>
          <w:spacing w:val="-6"/>
          <w:w w:val="105"/>
        </w:rPr>
        <w:t>Por</w:t>
      </w:r>
      <w:r>
        <w:rPr>
          <w:color w:val="231F20"/>
          <w:spacing w:val="-7"/>
          <w:w w:val="105"/>
        </w:rPr>
        <w:t> </w:t>
      </w:r>
      <w:r>
        <w:rPr>
          <w:color w:val="231F20"/>
          <w:w w:val="105"/>
        </w:rPr>
        <w:t>lo</w:t>
      </w:r>
      <w:r>
        <w:rPr>
          <w:color w:val="231F20"/>
          <w:spacing w:val="-7"/>
          <w:w w:val="105"/>
        </w:rPr>
        <w:t> </w:t>
      </w:r>
      <w:r>
        <w:rPr>
          <w:color w:val="231F20"/>
          <w:w w:val="105"/>
        </w:rPr>
        <w:t>tanto,</w:t>
      </w:r>
      <w:r>
        <w:rPr>
          <w:color w:val="231F20"/>
          <w:spacing w:val="-12"/>
          <w:w w:val="105"/>
        </w:rPr>
        <w:t> </w:t>
      </w:r>
      <w:r>
        <w:rPr>
          <w:color w:val="231F20"/>
          <w:w w:val="105"/>
        </w:rPr>
        <w:t>las</w:t>
      </w:r>
      <w:r>
        <w:rPr>
          <w:color w:val="231F20"/>
          <w:spacing w:val="-7"/>
          <w:w w:val="105"/>
        </w:rPr>
        <w:t> </w:t>
      </w:r>
      <w:r>
        <w:rPr>
          <w:color w:val="231F20"/>
          <w:w w:val="105"/>
        </w:rPr>
        <w:t>actividades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admi- nistración pública son eficientes cuando logran un propósito de forma efectiva</w:t>
      </w:r>
      <w:r>
        <w:rPr>
          <w:color w:val="231F20"/>
          <w:spacing w:val="-8"/>
          <w:w w:val="105"/>
        </w:rPr>
        <w:t> </w:t>
      </w:r>
      <w:r>
        <w:rPr>
          <w:color w:val="231F20"/>
          <w:w w:val="105"/>
        </w:rPr>
        <w:t>y</w:t>
      </w:r>
      <w:r>
        <w:rPr>
          <w:color w:val="231F20"/>
          <w:spacing w:val="-8"/>
          <w:w w:val="105"/>
        </w:rPr>
        <w:t> </w:t>
      </w:r>
      <w:r>
        <w:rPr>
          <w:color w:val="231F20"/>
          <w:w w:val="105"/>
        </w:rPr>
        <w:t>económica.</w:t>
      </w:r>
      <w:r>
        <w:rPr>
          <w:color w:val="231F20"/>
          <w:spacing w:val="-13"/>
          <w:w w:val="105"/>
        </w:rPr>
        <w:t> </w:t>
      </w:r>
      <w:r>
        <w:rPr>
          <w:color w:val="231F20"/>
          <w:w w:val="105"/>
        </w:rPr>
        <w:t>La</w:t>
      </w:r>
      <w:r>
        <w:rPr>
          <w:color w:val="231F20"/>
          <w:spacing w:val="-8"/>
          <w:w w:val="105"/>
        </w:rPr>
        <w:t> </w:t>
      </w:r>
      <w:r>
        <w:rPr>
          <w:color w:val="231F20"/>
          <w:w w:val="105"/>
        </w:rPr>
        <w:t>eficiencia</w:t>
      </w:r>
      <w:r>
        <w:rPr>
          <w:color w:val="231F20"/>
          <w:spacing w:val="-8"/>
          <w:w w:val="105"/>
        </w:rPr>
        <w:t> </w:t>
      </w:r>
      <w:r>
        <w:rPr>
          <w:color w:val="231F20"/>
          <w:w w:val="105"/>
        </w:rPr>
        <w:t>pública</w:t>
      </w:r>
      <w:r>
        <w:rPr>
          <w:color w:val="231F20"/>
          <w:spacing w:val="-8"/>
          <w:w w:val="105"/>
        </w:rPr>
        <w:t> </w:t>
      </w:r>
      <w:r>
        <w:rPr>
          <w:color w:val="231F20"/>
          <w:w w:val="105"/>
        </w:rPr>
        <w:t>puede</w:t>
      </w:r>
      <w:r>
        <w:rPr>
          <w:color w:val="231F20"/>
          <w:spacing w:val="-8"/>
          <w:w w:val="105"/>
        </w:rPr>
        <w:t> </w:t>
      </w:r>
      <w:r>
        <w:rPr>
          <w:color w:val="231F20"/>
          <w:w w:val="105"/>
        </w:rPr>
        <w:t>explicarse</w:t>
      </w:r>
      <w:r>
        <w:rPr>
          <w:color w:val="231F20"/>
          <w:spacing w:val="-8"/>
          <w:w w:val="105"/>
        </w:rPr>
        <w:t> </w:t>
      </w:r>
      <w:r>
        <w:rPr>
          <w:color w:val="231F20"/>
          <w:w w:val="105"/>
        </w:rPr>
        <w:t>a</w:t>
      </w:r>
      <w:r>
        <w:rPr>
          <w:color w:val="231F20"/>
          <w:spacing w:val="-8"/>
          <w:w w:val="105"/>
        </w:rPr>
        <w:t> </w:t>
      </w:r>
      <w:r>
        <w:rPr>
          <w:color w:val="231F20"/>
          <w:w w:val="105"/>
        </w:rPr>
        <w:t>través</w:t>
      </w:r>
      <w:r>
        <w:rPr>
          <w:color w:val="231F20"/>
          <w:spacing w:val="-8"/>
          <w:w w:val="105"/>
        </w:rPr>
        <w:t> </w:t>
      </w:r>
      <w:r>
        <w:rPr>
          <w:color w:val="231F20"/>
          <w:w w:val="105"/>
        </w:rPr>
        <w:t>de la</w:t>
      </w:r>
      <w:r>
        <w:rPr>
          <w:color w:val="231F20"/>
          <w:spacing w:val="-17"/>
          <w:w w:val="105"/>
        </w:rPr>
        <w:t> </w:t>
      </w:r>
      <w:r>
        <w:rPr>
          <w:color w:val="231F20"/>
          <w:w w:val="105"/>
        </w:rPr>
        <w:t>teoría</w:t>
      </w:r>
      <w:r>
        <w:rPr>
          <w:color w:val="231F20"/>
          <w:spacing w:val="-17"/>
          <w:w w:val="105"/>
        </w:rPr>
        <w:t> </w:t>
      </w:r>
      <w:r>
        <w:rPr>
          <w:color w:val="231F20"/>
          <w:w w:val="105"/>
        </w:rPr>
        <w:t>institucional,</w:t>
      </w:r>
      <w:r>
        <w:rPr>
          <w:color w:val="231F20"/>
          <w:spacing w:val="-23"/>
          <w:w w:val="105"/>
        </w:rPr>
        <w:t> </w:t>
      </w:r>
      <w:r>
        <w:rPr>
          <w:color w:val="231F20"/>
          <w:w w:val="105"/>
        </w:rPr>
        <w:t>pues</w:t>
      </w:r>
      <w:r>
        <w:rPr>
          <w:color w:val="231F20"/>
          <w:spacing w:val="-17"/>
          <w:w w:val="105"/>
        </w:rPr>
        <w:t> </w:t>
      </w:r>
      <w:r>
        <w:rPr>
          <w:color w:val="231F20"/>
          <w:w w:val="105"/>
        </w:rPr>
        <w:t>expone</w:t>
      </w:r>
      <w:r>
        <w:rPr>
          <w:color w:val="231F20"/>
          <w:spacing w:val="-17"/>
          <w:w w:val="105"/>
        </w:rPr>
        <w:t> </w:t>
      </w:r>
      <w:r>
        <w:rPr>
          <w:color w:val="231F20"/>
          <w:w w:val="105"/>
        </w:rPr>
        <w:t>las</w:t>
      </w:r>
      <w:r>
        <w:rPr>
          <w:color w:val="231F20"/>
          <w:spacing w:val="-17"/>
          <w:w w:val="105"/>
        </w:rPr>
        <w:t> </w:t>
      </w:r>
      <w:r>
        <w:rPr>
          <w:color w:val="231F20"/>
          <w:w w:val="105"/>
        </w:rPr>
        <w:t>fuentes</w:t>
      </w:r>
      <w:r>
        <w:rPr>
          <w:color w:val="231F20"/>
          <w:spacing w:val="-17"/>
          <w:w w:val="105"/>
        </w:rPr>
        <w:t> </w:t>
      </w:r>
      <w:r>
        <w:rPr>
          <w:color w:val="231F20"/>
          <w:w w:val="105"/>
        </w:rPr>
        <w:t>de</w:t>
      </w:r>
      <w:r>
        <w:rPr>
          <w:color w:val="231F20"/>
          <w:spacing w:val="-17"/>
          <w:w w:val="105"/>
        </w:rPr>
        <w:t> </w:t>
      </w:r>
      <w:r>
        <w:rPr>
          <w:color w:val="231F20"/>
          <w:w w:val="105"/>
        </w:rPr>
        <w:t>cambio</w:t>
      </w:r>
      <w:r>
        <w:rPr>
          <w:color w:val="231F20"/>
          <w:spacing w:val="-17"/>
          <w:w w:val="105"/>
        </w:rPr>
        <w:t> </w:t>
      </w:r>
      <w:r>
        <w:rPr>
          <w:color w:val="231F20"/>
          <w:w w:val="105"/>
        </w:rPr>
        <w:t>que</w:t>
      </w:r>
      <w:r>
        <w:rPr>
          <w:color w:val="231F20"/>
          <w:spacing w:val="-17"/>
          <w:w w:val="105"/>
        </w:rPr>
        <w:t> </w:t>
      </w:r>
      <w:r>
        <w:rPr>
          <w:color w:val="231F20"/>
          <w:w w:val="105"/>
        </w:rPr>
        <w:t>influyen</w:t>
      </w:r>
      <w:r>
        <w:rPr>
          <w:color w:val="231F20"/>
          <w:spacing w:val="-17"/>
          <w:w w:val="105"/>
        </w:rPr>
        <w:t> </w:t>
      </w:r>
      <w:r>
        <w:rPr>
          <w:color w:val="231F20"/>
          <w:w w:val="105"/>
        </w:rPr>
        <w:t>en las instituciones como consecuencias del ambiente externo, ya sea por normas</w:t>
      </w:r>
      <w:r>
        <w:rPr>
          <w:color w:val="231F20"/>
          <w:spacing w:val="-26"/>
          <w:w w:val="105"/>
        </w:rPr>
        <w:t> </w:t>
      </w:r>
      <w:r>
        <w:rPr>
          <w:color w:val="231F20"/>
          <w:w w:val="105"/>
        </w:rPr>
        <w:t>formales</w:t>
      </w:r>
      <w:r>
        <w:rPr>
          <w:color w:val="231F20"/>
          <w:spacing w:val="-26"/>
          <w:w w:val="105"/>
        </w:rPr>
        <w:t> </w:t>
      </w:r>
      <w:r>
        <w:rPr>
          <w:color w:val="231F20"/>
          <w:w w:val="105"/>
        </w:rPr>
        <w:t>o</w:t>
      </w:r>
      <w:r>
        <w:rPr>
          <w:color w:val="231F20"/>
          <w:spacing w:val="-26"/>
          <w:w w:val="105"/>
        </w:rPr>
        <w:t> </w:t>
      </w:r>
      <w:r>
        <w:rPr>
          <w:color w:val="231F20"/>
          <w:w w:val="105"/>
        </w:rPr>
        <w:t>factores</w:t>
      </w:r>
      <w:r>
        <w:rPr>
          <w:color w:val="231F20"/>
          <w:spacing w:val="-26"/>
          <w:w w:val="105"/>
        </w:rPr>
        <w:t> </w:t>
      </w:r>
      <w:r>
        <w:rPr>
          <w:color w:val="231F20"/>
          <w:w w:val="105"/>
        </w:rPr>
        <w:t>informales</w:t>
      </w:r>
      <w:r>
        <w:rPr>
          <w:color w:val="231F20"/>
          <w:spacing w:val="-26"/>
          <w:w w:val="105"/>
        </w:rPr>
        <w:t> </w:t>
      </w:r>
      <w:r>
        <w:rPr>
          <w:color w:val="231F20"/>
          <w:w w:val="105"/>
        </w:rPr>
        <w:t>o</w:t>
      </w:r>
      <w:r>
        <w:rPr>
          <w:color w:val="231F20"/>
          <w:spacing w:val="-26"/>
          <w:w w:val="105"/>
        </w:rPr>
        <w:t> </w:t>
      </w:r>
      <w:r>
        <w:rPr>
          <w:color w:val="231F20"/>
          <w:w w:val="105"/>
        </w:rPr>
        <w:t>ambos</w:t>
      </w:r>
      <w:r>
        <w:rPr>
          <w:color w:val="231F20"/>
          <w:spacing w:val="-26"/>
          <w:w w:val="105"/>
        </w:rPr>
        <w:t> </w:t>
      </w:r>
      <w:r>
        <w:rPr>
          <w:color w:val="231F20"/>
          <w:w w:val="105"/>
        </w:rPr>
        <w:t>(Scott</w:t>
      </w:r>
      <w:r>
        <w:rPr>
          <w:color w:val="231F20"/>
          <w:spacing w:val="-26"/>
          <w:w w:val="105"/>
        </w:rPr>
        <w:t> </w:t>
      </w:r>
      <w:r>
        <w:rPr>
          <w:color w:val="231F20"/>
          <w:w w:val="105"/>
        </w:rPr>
        <w:t>y</w:t>
      </w:r>
      <w:r>
        <w:rPr>
          <w:color w:val="231F20"/>
          <w:spacing w:val="-26"/>
          <w:w w:val="105"/>
        </w:rPr>
        <w:t> </w:t>
      </w:r>
      <w:r>
        <w:rPr>
          <w:color w:val="231F20"/>
          <w:w w:val="105"/>
        </w:rPr>
        <w:t>Davis,</w:t>
      </w:r>
      <w:r>
        <w:rPr>
          <w:color w:val="231F20"/>
          <w:spacing w:val="-31"/>
          <w:w w:val="105"/>
        </w:rPr>
        <w:t> </w:t>
      </w:r>
      <w:r>
        <w:rPr>
          <w:color w:val="231F20"/>
          <w:w w:val="105"/>
        </w:rPr>
        <w:t>2007).</w:t>
      </w:r>
    </w:p>
    <w:p>
      <w:pPr>
        <w:pStyle w:val="BodyText"/>
        <w:spacing w:line="259" w:lineRule="auto"/>
        <w:ind w:left="108" w:right="107" w:firstLine="567"/>
        <w:jc w:val="both"/>
      </w:pPr>
      <w:r>
        <w:rPr>
          <w:color w:val="231F20"/>
          <w:w w:val="105"/>
        </w:rPr>
        <w:t>La</w:t>
      </w:r>
      <w:r>
        <w:rPr>
          <w:color w:val="231F20"/>
          <w:spacing w:val="-15"/>
          <w:w w:val="105"/>
        </w:rPr>
        <w:t> </w:t>
      </w:r>
      <w:r>
        <w:rPr>
          <w:color w:val="231F20"/>
          <w:w w:val="105"/>
        </w:rPr>
        <w:t>primer</w:t>
      </w:r>
      <w:r>
        <w:rPr>
          <w:color w:val="231F20"/>
          <w:spacing w:val="-15"/>
          <w:w w:val="105"/>
        </w:rPr>
        <w:t> </w:t>
      </w:r>
      <w:r>
        <w:rPr>
          <w:color w:val="231F20"/>
          <w:w w:val="105"/>
        </w:rPr>
        <w:t>fuente</w:t>
      </w:r>
      <w:r>
        <w:rPr>
          <w:color w:val="231F20"/>
          <w:spacing w:val="-15"/>
          <w:w w:val="105"/>
        </w:rPr>
        <w:t> </w:t>
      </w:r>
      <w:r>
        <w:rPr>
          <w:color w:val="231F20"/>
          <w:w w:val="105"/>
        </w:rPr>
        <w:t>de</w:t>
      </w:r>
      <w:r>
        <w:rPr>
          <w:color w:val="231F20"/>
          <w:spacing w:val="-15"/>
          <w:w w:val="105"/>
        </w:rPr>
        <w:t> </w:t>
      </w:r>
      <w:r>
        <w:rPr>
          <w:color w:val="231F20"/>
          <w:w w:val="105"/>
        </w:rPr>
        <w:t>cambio</w:t>
      </w:r>
      <w:r>
        <w:rPr>
          <w:color w:val="231F20"/>
          <w:spacing w:val="-15"/>
          <w:w w:val="105"/>
        </w:rPr>
        <w:t> </w:t>
      </w:r>
      <w:r>
        <w:rPr>
          <w:color w:val="231F20"/>
          <w:w w:val="105"/>
        </w:rPr>
        <w:t>se</w:t>
      </w:r>
      <w:r>
        <w:rPr>
          <w:color w:val="231F20"/>
          <w:spacing w:val="-15"/>
          <w:w w:val="105"/>
        </w:rPr>
        <w:t> </w:t>
      </w:r>
      <w:r>
        <w:rPr>
          <w:color w:val="231F20"/>
          <w:w w:val="105"/>
        </w:rPr>
        <w:t>centra</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implementación</w:t>
      </w:r>
      <w:r>
        <w:rPr>
          <w:color w:val="231F20"/>
          <w:spacing w:val="-15"/>
          <w:w w:val="105"/>
        </w:rPr>
        <w:t> </w:t>
      </w:r>
      <w:r>
        <w:rPr>
          <w:color w:val="231F20"/>
          <w:w w:val="105"/>
        </w:rPr>
        <w:t>de</w:t>
      </w:r>
      <w:r>
        <w:rPr>
          <w:color w:val="231F20"/>
          <w:spacing w:val="-15"/>
          <w:w w:val="105"/>
        </w:rPr>
        <w:t> </w:t>
      </w:r>
      <w:r>
        <w:rPr>
          <w:color w:val="231F20"/>
          <w:w w:val="105"/>
        </w:rPr>
        <w:t>nor- mas</w:t>
      </w:r>
      <w:r>
        <w:rPr>
          <w:color w:val="231F20"/>
          <w:spacing w:val="-14"/>
          <w:w w:val="105"/>
        </w:rPr>
        <w:t> </w:t>
      </w:r>
      <w:r>
        <w:rPr>
          <w:color w:val="231F20"/>
          <w:w w:val="105"/>
        </w:rPr>
        <w:t>de</w:t>
      </w:r>
      <w:r>
        <w:rPr>
          <w:color w:val="231F20"/>
          <w:spacing w:val="-14"/>
          <w:w w:val="105"/>
        </w:rPr>
        <w:t> </w:t>
      </w:r>
      <w:r>
        <w:rPr>
          <w:color w:val="231F20"/>
          <w:w w:val="105"/>
        </w:rPr>
        <w:t>regulación,</w:t>
      </w:r>
      <w:r>
        <w:rPr>
          <w:color w:val="231F20"/>
          <w:spacing w:val="-19"/>
          <w:w w:val="105"/>
        </w:rPr>
        <w:t> </w:t>
      </w:r>
      <w:r>
        <w:rPr>
          <w:color w:val="231F20"/>
          <w:w w:val="105"/>
        </w:rPr>
        <w:t>las</w:t>
      </w:r>
      <w:r>
        <w:rPr>
          <w:color w:val="231F20"/>
          <w:spacing w:val="-14"/>
          <w:w w:val="105"/>
        </w:rPr>
        <w:t> </w:t>
      </w:r>
      <w:r>
        <w:rPr>
          <w:color w:val="231F20"/>
          <w:w w:val="105"/>
        </w:rPr>
        <w:t>cuales</w:t>
      </w:r>
      <w:r>
        <w:rPr>
          <w:color w:val="231F20"/>
          <w:spacing w:val="-14"/>
          <w:w w:val="105"/>
        </w:rPr>
        <w:t> </w:t>
      </w:r>
      <w:r>
        <w:rPr>
          <w:color w:val="231F20"/>
          <w:w w:val="105"/>
        </w:rPr>
        <w:t>se</w:t>
      </w:r>
      <w:r>
        <w:rPr>
          <w:color w:val="231F20"/>
          <w:spacing w:val="-14"/>
          <w:w w:val="105"/>
        </w:rPr>
        <w:t> </w:t>
      </w:r>
      <w:r>
        <w:rPr>
          <w:color w:val="231F20"/>
          <w:w w:val="105"/>
        </w:rPr>
        <w:t>centran</w:t>
      </w:r>
      <w:r>
        <w:rPr>
          <w:color w:val="231F20"/>
          <w:spacing w:val="-14"/>
          <w:w w:val="105"/>
        </w:rPr>
        <w:t> </w:t>
      </w:r>
      <w:r>
        <w:rPr>
          <w:color w:val="231F20"/>
          <w:w w:val="105"/>
        </w:rPr>
        <w:t>en</w:t>
      </w:r>
      <w:r>
        <w:rPr>
          <w:color w:val="231F20"/>
          <w:spacing w:val="-14"/>
          <w:w w:val="105"/>
        </w:rPr>
        <w:t> </w:t>
      </w:r>
      <w:r>
        <w:rPr>
          <w:color w:val="231F20"/>
          <w:w w:val="105"/>
        </w:rPr>
        <w:t>reglas</w:t>
      </w:r>
      <w:r>
        <w:rPr>
          <w:color w:val="231F20"/>
          <w:spacing w:val="-14"/>
          <w:w w:val="105"/>
        </w:rPr>
        <w:t> </w:t>
      </w:r>
      <w:r>
        <w:rPr>
          <w:color w:val="231F20"/>
          <w:w w:val="105"/>
        </w:rPr>
        <w:t>de</w:t>
      </w:r>
      <w:r>
        <w:rPr>
          <w:color w:val="231F20"/>
          <w:spacing w:val="-14"/>
          <w:w w:val="105"/>
        </w:rPr>
        <w:t> </w:t>
      </w:r>
      <w:r>
        <w:rPr>
          <w:color w:val="231F20"/>
          <w:w w:val="105"/>
        </w:rPr>
        <w:t>gobernación</w:t>
      </w:r>
      <w:r>
        <w:rPr>
          <w:color w:val="231F20"/>
          <w:spacing w:val="-14"/>
          <w:w w:val="105"/>
        </w:rPr>
        <w:t> </w:t>
      </w:r>
      <w:r>
        <w:rPr>
          <w:color w:val="231F20"/>
          <w:w w:val="105"/>
        </w:rPr>
        <w:t>y</w:t>
      </w:r>
      <w:r>
        <w:rPr>
          <w:color w:val="231F20"/>
          <w:spacing w:val="-14"/>
          <w:w w:val="105"/>
        </w:rPr>
        <w:t> </w:t>
      </w:r>
      <w:r>
        <w:rPr>
          <w:color w:val="231F20"/>
          <w:w w:val="105"/>
        </w:rPr>
        <w:t>con base en un marco legal definido estado-nación (normas formales), mis- mas que se internalizan como la guía para el desempeño institucional. </w:t>
      </w:r>
      <w:r>
        <w:rPr>
          <w:color w:val="231F20"/>
          <w:spacing w:val="-6"/>
          <w:w w:val="105"/>
        </w:rPr>
        <w:t>Por</w:t>
      </w:r>
      <w:r>
        <w:rPr>
          <w:color w:val="231F20"/>
          <w:spacing w:val="-19"/>
          <w:w w:val="105"/>
        </w:rPr>
        <w:t> </w:t>
      </w:r>
      <w:r>
        <w:rPr>
          <w:color w:val="231F20"/>
          <w:w w:val="105"/>
        </w:rPr>
        <w:t>otra</w:t>
      </w:r>
      <w:r>
        <w:rPr>
          <w:color w:val="231F20"/>
          <w:spacing w:val="-19"/>
          <w:w w:val="105"/>
        </w:rPr>
        <w:t> </w:t>
      </w:r>
      <w:r>
        <w:rPr>
          <w:color w:val="231F20"/>
          <w:w w:val="105"/>
        </w:rPr>
        <w:t>parte,</w:t>
      </w:r>
      <w:r>
        <w:rPr>
          <w:color w:val="231F20"/>
          <w:spacing w:val="-24"/>
          <w:w w:val="105"/>
        </w:rPr>
        <w:t> </w:t>
      </w:r>
      <w:r>
        <w:rPr>
          <w:color w:val="231F20"/>
          <w:w w:val="105"/>
        </w:rPr>
        <w:t>las</w:t>
      </w:r>
      <w:r>
        <w:rPr>
          <w:color w:val="231F20"/>
          <w:spacing w:val="-19"/>
          <w:w w:val="105"/>
        </w:rPr>
        <w:t> </w:t>
      </w:r>
      <w:r>
        <w:rPr>
          <w:color w:val="231F20"/>
          <w:w w:val="105"/>
        </w:rPr>
        <w:t>normas</w:t>
      </w:r>
      <w:r>
        <w:rPr>
          <w:color w:val="231F20"/>
          <w:spacing w:val="-19"/>
          <w:w w:val="105"/>
        </w:rPr>
        <w:t> </w:t>
      </w:r>
      <w:r>
        <w:rPr>
          <w:color w:val="231F20"/>
          <w:w w:val="105"/>
        </w:rPr>
        <w:t>informales</w:t>
      </w:r>
      <w:r>
        <w:rPr>
          <w:color w:val="231F20"/>
          <w:spacing w:val="-19"/>
          <w:w w:val="105"/>
        </w:rPr>
        <w:t> </w:t>
      </w:r>
      <w:r>
        <w:rPr>
          <w:color w:val="231F20"/>
          <w:w w:val="105"/>
        </w:rPr>
        <w:t>(cambios</w:t>
      </w:r>
      <w:r>
        <w:rPr>
          <w:color w:val="231F20"/>
          <w:spacing w:val="-19"/>
          <w:w w:val="105"/>
        </w:rPr>
        <w:t> </w:t>
      </w:r>
      <w:r>
        <w:rPr>
          <w:color w:val="231F20"/>
          <w:w w:val="105"/>
        </w:rPr>
        <w:t>informales)</w:t>
      </w:r>
      <w:r>
        <w:rPr>
          <w:color w:val="231F20"/>
          <w:spacing w:val="-19"/>
          <w:w w:val="105"/>
        </w:rPr>
        <w:t> </w:t>
      </w:r>
      <w:r>
        <w:rPr>
          <w:color w:val="231F20"/>
          <w:w w:val="105"/>
        </w:rPr>
        <w:t>corresponden a</w:t>
      </w:r>
      <w:r>
        <w:rPr>
          <w:color w:val="231F20"/>
          <w:spacing w:val="-8"/>
          <w:w w:val="105"/>
        </w:rPr>
        <w:t> </w:t>
      </w:r>
      <w:r>
        <w:rPr>
          <w:color w:val="231F20"/>
          <w:w w:val="105"/>
        </w:rPr>
        <w:t>aspectos</w:t>
      </w:r>
      <w:r>
        <w:rPr>
          <w:color w:val="231F20"/>
          <w:spacing w:val="-8"/>
          <w:w w:val="105"/>
        </w:rPr>
        <w:t> </w:t>
      </w:r>
      <w:r>
        <w:rPr>
          <w:color w:val="231F20"/>
          <w:w w:val="105"/>
        </w:rPr>
        <w:t>culturales-cognitivos,</w:t>
      </w:r>
      <w:r>
        <w:rPr>
          <w:color w:val="231F20"/>
          <w:spacing w:val="-13"/>
          <w:w w:val="105"/>
        </w:rPr>
        <w:t> </w:t>
      </w:r>
      <w:r>
        <w:rPr>
          <w:color w:val="231F20"/>
          <w:w w:val="105"/>
        </w:rPr>
        <w:t>elementos</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encuentran</w:t>
      </w:r>
      <w:r>
        <w:rPr>
          <w:color w:val="231F20"/>
          <w:spacing w:val="-8"/>
          <w:w w:val="105"/>
        </w:rPr>
        <w:t> </w:t>
      </w:r>
      <w:r>
        <w:rPr>
          <w:color w:val="231F20"/>
          <w:w w:val="105"/>
        </w:rPr>
        <w:t>regu- lados o instrumentados de manera formal, donde el papel de la cultura determina</w:t>
      </w:r>
      <w:r>
        <w:rPr>
          <w:color w:val="231F20"/>
          <w:spacing w:val="-27"/>
          <w:w w:val="105"/>
        </w:rPr>
        <w:t> </w:t>
      </w:r>
      <w:r>
        <w:rPr>
          <w:color w:val="231F20"/>
          <w:w w:val="105"/>
        </w:rPr>
        <w:t>las</w:t>
      </w:r>
      <w:r>
        <w:rPr>
          <w:color w:val="231F20"/>
          <w:spacing w:val="-27"/>
          <w:w w:val="105"/>
        </w:rPr>
        <w:t> </w:t>
      </w:r>
      <w:r>
        <w:rPr>
          <w:color w:val="231F20"/>
          <w:w w:val="105"/>
        </w:rPr>
        <w:t>decisiones</w:t>
      </w:r>
      <w:r>
        <w:rPr>
          <w:color w:val="231F20"/>
          <w:spacing w:val="-27"/>
          <w:w w:val="105"/>
        </w:rPr>
        <w:t> </w:t>
      </w:r>
      <w:r>
        <w:rPr>
          <w:color w:val="231F20"/>
          <w:w w:val="105"/>
        </w:rPr>
        <w:t>más</w:t>
      </w:r>
      <w:r>
        <w:rPr>
          <w:color w:val="231F20"/>
          <w:spacing w:val="-27"/>
          <w:w w:val="105"/>
        </w:rPr>
        <w:t> </w:t>
      </w:r>
      <w:r>
        <w:rPr>
          <w:color w:val="231F20"/>
          <w:w w:val="105"/>
        </w:rPr>
        <w:t>importantes</w:t>
      </w:r>
      <w:r>
        <w:rPr>
          <w:color w:val="231F20"/>
          <w:spacing w:val="-27"/>
          <w:w w:val="105"/>
        </w:rPr>
        <w:t> </w:t>
      </w:r>
      <w:r>
        <w:rPr>
          <w:color w:val="231F20"/>
          <w:w w:val="105"/>
        </w:rPr>
        <w:t>para</w:t>
      </w:r>
      <w:r>
        <w:rPr>
          <w:color w:val="231F20"/>
          <w:spacing w:val="-27"/>
          <w:w w:val="105"/>
        </w:rPr>
        <w:t> </w:t>
      </w:r>
      <w:r>
        <w:rPr>
          <w:color w:val="231F20"/>
          <w:w w:val="105"/>
        </w:rPr>
        <w:t>las</w:t>
      </w:r>
      <w:r>
        <w:rPr>
          <w:color w:val="231F20"/>
          <w:spacing w:val="-27"/>
          <w:w w:val="105"/>
        </w:rPr>
        <w:t> </w:t>
      </w:r>
      <w:r>
        <w:rPr>
          <w:color w:val="231F20"/>
          <w:w w:val="105"/>
        </w:rPr>
        <w:t>instituciones.</w:t>
      </w:r>
    </w:p>
    <w:p>
      <w:pPr>
        <w:pStyle w:val="BodyText"/>
        <w:spacing w:line="259" w:lineRule="auto"/>
        <w:ind w:left="108" w:right="113" w:firstLine="567"/>
        <w:jc w:val="both"/>
      </w:pPr>
      <w:r>
        <w:rPr>
          <w:color w:val="231F20"/>
          <w:w w:val="105"/>
        </w:rPr>
        <w:t>Dimaggio</w:t>
      </w:r>
      <w:r>
        <w:rPr>
          <w:color w:val="231F20"/>
          <w:spacing w:val="-16"/>
          <w:w w:val="105"/>
        </w:rPr>
        <w:t> </w:t>
      </w:r>
      <w:r>
        <w:rPr>
          <w:color w:val="231F20"/>
          <w:w w:val="105"/>
        </w:rPr>
        <w:t>y</w:t>
      </w:r>
      <w:r>
        <w:rPr>
          <w:color w:val="231F20"/>
          <w:spacing w:val="-16"/>
          <w:w w:val="105"/>
        </w:rPr>
        <w:t> </w:t>
      </w:r>
      <w:r>
        <w:rPr>
          <w:color w:val="231F20"/>
          <w:spacing w:val="-3"/>
          <w:w w:val="105"/>
        </w:rPr>
        <w:t>Powell</w:t>
      </w:r>
      <w:r>
        <w:rPr>
          <w:color w:val="231F20"/>
          <w:spacing w:val="-16"/>
          <w:w w:val="105"/>
        </w:rPr>
        <w:t> </w:t>
      </w:r>
      <w:r>
        <w:rPr>
          <w:color w:val="231F20"/>
          <w:w w:val="105"/>
        </w:rPr>
        <w:t>(1983)</w:t>
      </w:r>
      <w:r>
        <w:rPr>
          <w:color w:val="231F20"/>
          <w:spacing w:val="-16"/>
          <w:w w:val="105"/>
        </w:rPr>
        <w:t> </w:t>
      </w:r>
      <w:r>
        <w:rPr>
          <w:color w:val="231F20"/>
          <w:w w:val="105"/>
        </w:rPr>
        <w:t>señalan</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teoría</w:t>
      </w:r>
      <w:r>
        <w:rPr>
          <w:color w:val="231F20"/>
          <w:spacing w:val="-16"/>
          <w:w w:val="105"/>
        </w:rPr>
        <w:t> </w:t>
      </w:r>
      <w:r>
        <w:rPr>
          <w:color w:val="231F20"/>
          <w:w w:val="105"/>
        </w:rPr>
        <w:t>institucional</w:t>
      </w:r>
      <w:r>
        <w:rPr>
          <w:color w:val="231F20"/>
          <w:spacing w:val="-16"/>
          <w:w w:val="105"/>
        </w:rPr>
        <w:t> </w:t>
      </w:r>
      <w:r>
        <w:rPr>
          <w:color w:val="231F20"/>
          <w:w w:val="105"/>
        </w:rPr>
        <w:t>es</w:t>
      </w:r>
      <w:r>
        <w:rPr>
          <w:color w:val="231F20"/>
          <w:spacing w:val="-16"/>
          <w:w w:val="105"/>
        </w:rPr>
        <w:t> </w:t>
      </w:r>
      <w:r>
        <w:rPr>
          <w:color w:val="231F20"/>
          <w:w w:val="105"/>
        </w:rPr>
        <w:t>una fuente de explicación sobre la similitud estructural de las instituciones y argumentan tres fuentes de cambios institucionales mediante procesos isomorfos:</w:t>
      </w:r>
      <w:r>
        <w:rPr>
          <w:color w:val="231F20"/>
          <w:spacing w:val="-7"/>
          <w:w w:val="105"/>
        </w:rPr>
        <w:t> </w:t>
      </w:r>
      <w:r>
        <w:rPr>
          <w:color w:val="231F20"/>
          <w:w w:val="105"/>
        </w:rPr>
        <w:t>(i)</w:t>
      </w:r>
      <w:r>
        <w:rPr>
          <w:color w:val="231F20"/>
          <w:spacing w:val="-7"/>
          <w:w w:val="105"/>
        </w:rPr>
        <w:t> </w:t>
      </w:r>
      <w:r>
        <w:rPr>
          <w:color w:val="231F20"/>
          <w:w w:val="105"/>
        </w:rPr>
        <w:t>isomorfismo</w:t>
      </w:r>
      <w:r>
        <w:rPr>
          <w:color w:val="231F20"/>
          <w:spacing w:val="-7"/>
          <w:w w:val="105"/>
        </w:rPr>
        <w:t> </w:t>
      </w:r>
      <w:r>
        <w:rPr>
          <w:color w:val="231F20"/>
          <w:w w:val="105"/>
        </w:rPr>
        <w:t>coercitivo,</w:t>
      </w:r>
      <w:r>
        <w:rPr>
          <w:color w:val="231F20"/>
          <w:spacing w:val="-12"/>
          <w:w w:val="105"/>
        </w:rPr>
        <w:t> </w:t>
      </w:r>
      <w:r>
        <w:rPr>
          <w:color w:val="231F20"/>
          <w:w w:val="105"/>
        </w:rPr>
        <w:t>(ii)</w:t>
      </w:r>
      <w:r>
        <w:rPr>
          <w:color w:val="231F20"/>
          <w:spacing w:val="-7"/>
          <w:w w:val="105"/>
        </w:rPr>
        <w:t> </w:t>
      </w:r>
      <w:r>
        <w:rPr>
          <w:color w:val="231F20"/>
          <w:w w:val="105"/>
        </w:rPr>
        <w:t>isomorfismo</w:t>
      </w:r>
      <w:r>
        <w:rPr>
          <w:color w:val="231F20"/>
          <w:spacing w:val="-7"/>
          <w:w w:val="105"/>
        </w:rPr>
        <w:t> </w:t>
      </w:r>
      <w:r>
        <w:rPr>
          <w:color w:val="231F20"/>
          <w:w w:val="105"/>
        </w:rPr>
        <w:t>mimético</w:t>
      </w:r>
      <w:r>
        <w:rPr>
          <w:color w:val="231F20"/>
          <w:spacing w:val="-7"/>
          <w:w w:val="105"/>
        </w:rPr>
        <w:t> </w:t>
      </w:r>
      <w:r>
        <w:rPr>
          <w:color w:val="231F20"/>
          <w:w w:val="105"/>
        </w:rPr>
        <w:t>e</w:t>
      </w:r>
      <w:r>
        <w:rPr>
          <w:color w:val="231F20"/>
          <w:spacing w:val="-7"/>
          <w:w w:val="105"/>
        </w:rPr>
        <w:t> </w:t>
      </w:r>
      <w:r>
        <w:rPr>
          <w:color w:val="231F20"/>
          <w:w w:val="105"/>
        </w:rPr>
        <w:t>(iii)</w:t>
      </w:r>
      <w:r>
        <w:rPr>
          <w:color w:val="231F20"/>
          <w:spacing w:val="-7"/>
          <w:w w:val="105"/>
        </w:rPr>
        <w:t> </w:t>
      </w:r>
      <w:r>
        <w:rPr>
          <w:color w:val="231F20"/>
          <w:w w:val="105"/>
        </w:rPr>
        <w:t>iso- morfismo</w:t>
      </w:r>
      <w:r>
        <w:rPr>
          <w:color w:val="231F20"/>
          <w:spacing w:val="-13"/>
          <w:w w:val="105"/>
        </w:rPr>
        <w:t> </w:t>
      </w:r>
      <w:r>
        <w:rPr>
          <w:color w:val="231F20"/>
          <w:w w:val="105"/>
        </w:rPr>
        <w:t>normativo.</w:t>
      </w:r>
    </w:p>
    <w:p>
      <w:pPr>
        <w:pStyle w:val="BodyText"/>
        <w:spacing w:line="259" w:lineRule="auto"/>
        <w:ind w:left="108" w:right="113" w:firstLine="567"/>
        <w:jc w:val="both"/>
      </w:pPr>
      <w:r>
        <w:rPr>
          <w:color w:val="231F20"/>
          <w:w w:val="105"/>
        </w:rPr>
        <w:t>El primer tipo de isomorfismo está asociado con la influencia in- </w:t>
      </w:r>
      <w:r>
        <w:rPr>
          <w:color w:val="231F20"/>
          <w:spacing w:val="-3"/>
          <w:w w:val="105"/>
        </w:rPr>
        <w:t>tra-organizacional: organizaciones </w:t>
      </w:r>
      <w:r>
        <w:rPr>
          <w:color w:val="231F20"/>
          <w:w w:val="105"/>
        </w:rPr>
        <w:t>externas que influyen en el cumpli- miento</w:t>
      </w:r>
      <w:r>
        <w:rPr>
          <w:color w:val="231F20"/>
          <w:spacing w:val="-13"/>
          <w:w w:val="105"/>
        </w:rPr>
        <w:t> </w:t>
      </w:r>
      <w:r>
        <w:rPr>
          <w:color w:val="231F20"/>
          <w:w w:val="105"/>
        </w:rPr>
        <w:t>de</w:t>
      </w:r>
      <w:r>
        <w:rPr>
          <w:color w:val="231F20"/>
          <w:spacing w:val="-13"/>
          <w:w w:val="105"/>
        </w:rPr>
        <w:t> </w:t>
      </w:r>
      <w:r>
        <w:rPr>
          <w:color w:val="231F20"/>
          <w:w w:val="105"/>
        </w:rPr>
        <w:t>ciertas</w:t>
      </w:r>
      <w:r>
        <w:rPr>
          <w:color w:val="231F20"/>
          <w:spacing w:val="-13"/>
          <w:w w:val="105"/>
        </w:rPr>
        <w:t> </w:t>
      </w:r>
      <w:r>
        <w:rPr>
          <w:color w:val="231F20"/>
          <w:w w:val="105"/>
        </w:rPr>
        <w:t>normas.</w:t>
      </w:r>
      <w:r>
        <w:rPr>
          <w:color w:val="231F20"/>
          <w:spacing w:val="-17"/>
          <w:w w:val="105"/>
        </w:rPr>
        <w:t> </w:t>
      </w:r>
      <w:r>
        <w:rPr>
          <w:color w:val="231F20"/>
          <w:w w:val="105"/>
        </w:rPr>
        <w:t>El</w:t>
      </w:r>
      <w:r>
        <w:rPr>
          <w:color w:val="231F20"/>
          <w:spacing w:val="-13"/>
          <w:w w:val="105"/>
        </w:rPr>
        <w:t> </w:t>
      </w:r>
      <w:r>
        <w:rPr>
          <w:color w:val="231F20"/>
          <w:w w:val="105"/>
        </w:rPr>
        <w:t>isomorfismo</w:t>
      </w:r>
      <w:r>
        <w:rPr>
          <w:color w:val="231F20"/>
          <w:spacing w:val="-13"/>
          <w:w w:val="105"/>
        </w:rPr>
        <w:t> </w:t>
      </w:r>
      <w:r>
        <w:rPr>
          <w:color w:val="231F20"/>
          <w:w w:val="105"/>
        </w:rPr>
        <w:t>mimético</w:t>
      </w:r>
      <w:r>
        <w:rPr>
          <w:color w:val="231F20"/>
          <w:spacing w:val="-13"/>
          <w:w w:val="105"/>
        </w:rPr>
        <w:t> </w:t>
      </w:r>
      <w:r>
        <w:rPr>
          <w:color w:val="231F20"/>
          <w:w w:val="105"/>
        </w:rPr>
        <w:t>está</w:t>
      </w:r>
      <w:r>
        <w:rPr>
          <w:color w:val="231F20"/>
          <w:spacing w:val="-13"/>
          <w:w w:val="105"/>
        </w:rPr>
        <w:t> </w:t>
      </w:r>
      <w:r>
        <w:rPr>
          <w:color w:val="231F20"/>
          <w:w w:val="105"/>
        </w:rPr>
        <w:t>asociado</w:t>
      </w:r>
      <w:r>
        <w:rPr>
          <w:color w:val="231F20"/>
          <w:spacing w:val="-13"/>
          <w:w w:val="105"/>
        </w:rPr>
        <w:t> </w:t>
      </w:r>
      <w:r>
        <w:rPr>
          <w:color w:val="231F20"/>
          <w:w w:val="105"/>
        </w:rPr>
        <w:t>con</w:t>
      </w:r>
      <w:r>
        <w:rPr>
          <w:color w:val="231F20"/>
          <w:spacing w:val="-13"/>
          <w:w w:val="105"/>
        </w:rPr>
        <w:t> </w:t>
      </w:r>
      <w:r>
        <w:rPr>
          <w:color w:val="231F20"/>
          <w:w w:val="105"/>
        </w:rPr>
        <w:t>la </w:t>
      </w:r>
      <w:r>
        <w:rPr>
          <w:color w:val="231F20"/>
          <w:spacing w:val="-3"/>
          <w:w w:val="105"/>
        </w:rPr>
        <w:t>incertidumbre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medición</w:t>
      </w:r>
      <w:r>
        <w:rPr>
          <w:color w:val="231F20"/>
          <w:spacing w:val="-9"/>
          <w:w w:val="105"/>
        </w:rPr>
        <w:t> </w:t>
      </w:r>
      <w:r>
        <w:rPr>
          <w:color w:val="231F20"/>
          <w:w w:val="105"/>
        </w:rPr>
        <w:t>y</w:t>
      </w:r>
      <w:r>
        <w:rPr>
          <w:color w:val="231F20"/>
          <w:spacing w:val="-9"/>
          <w:w w:val="105"/>
        </w:rPr>
        <w:t> </w:t>
      </w:r>
      <w:r>
        <w:rPr>
          <w:color w:val="231F20"/>
          <w:spacing w:val="-3"/>
          <w:w w:val="105"/>
        </w:rPr>
        <w:t>control</w:t>
      </w:r>
      <w:r>
        <w:rPr>
          <w:color w:val="231F20"/>
          <w:spacing w:val="-9"/>
          <w:w w:val="105"/>
        </w:rPr>
        <w:t> </w:t>
      </w:r>
      <w:r>
        <w:rPr>
          <w:color w:val="231F20"/>
          <w:w w:val="105"/>
        </w:rPr>
        <w:t>de</w:t>
      </w:r>
      <w:r>
        <w:rPr>
          <w:color w:val="231F20"/>
          <w:spacing w:val="-9"/>
          <w:w w:val="105"/>
        </w:rPr>
        <w:t> </w:t>
      </w:r>
      <w:r>
        <w:rPr>
          <w:color w:val="231F20"/>
          <w:w w:val="105"/>
        </w:rPr>
        <w:t>fenómenos</w:t>
      </w:r>
      <w:r>
        <w:rPr>
          <w:color w:val="231F20"/>
          <w:spacing w:val="-9"/>
          <w:w w:val="105"/>
        </w:rPr>
        <w:t> </w:t>
      </w:r>
      <w:r>
        <w:rPr>
          <w:color w:val="231F20"/>
          <w:w w:val="105"/>
        </w:rPr>
        <w:t>económicos,</w:t>
      </w:r>
      <w:r>
        <w:rPr>
          <w:color w:val="231F20"/>
          <w:spacing w:val="-15"/>
          <w:w w:val="105"/>
        </w:rPr>
        <w:t> </w:t>
      </w:r>
      <w:r>
        <w:rPr>
          <w:color w:val="231F20"/>
          <w:w w:val="105"/>
        </w:rPr>
        <w:t>como la</w:t>
      </w:r>
      <w:r>
        <w:rPr>
          <w:color w:val="231F20"/>
          <w:spacing w:val="-7"/>
          <w:w w:val="105"/>
        </w:rPr>
        <w:t> </w:t>
      </w:r>
      <w:r>
        <w:rPr>
          <w:color w:val="231F20"/>
          <w:w w:val="105"/>
        </w:rPr>
        <w:t>fijación</w:t>
      </w:r>
      <w:r>
        <w:rPr>
          <w:color w:val="231F20"/>
          <w:spacing w:val="-7"/>
          <w:w w:val="105"/>
        </w:rPr>
        <w:t> </w:t>
      </w:r>
      <w:r>
        <w:rPr>
          <w:color w:val="231F20"/>
          <w:w w:val="105"/>
        </w:rPr>
        <w:t>de</w:t>
      </w:r>
      <w:r>
        <w:rPr>
          <w:color w:val="231F20"/>
          <w:spacing w:val="-7"/>
          <w:w w:val="105"/>
        </w:rPr>
        <w:t> </w:t>
      </w:r>
      <w:r>
        <w:rPr>
          <w:color w:val="231F20"/>
          <w:w w:val="105"/>
        </w:rPr>
        <w:t>objetivos;</w:t>
      </w:r>
      <w:r>
        <w:rPr>
          <w:color w:val="231F20"/>
          <w:spacing w:val="-7"/>
          <w:w w:val="105"/>
        </w:rPr>
        <w:t> </w:t>
      </w:r>
      <w:r>
        <w:rPr>
          <w:color w:val="231F20"/>
          <w:w w:val="105"/>
        </w:rPr>
        <w:t>por</w:t>
      </w:r>
      <w:r>
        <w:rPr>
          <w:color w:val="231F20"/>
          <w:spacing w:val="-7"/>
          <w:w w:val="105"/>
        </w:rPr>
        <w:t> </w:t>
      </w:r>
      <w:r>
        <w:rPr>
          <w:color w:val="231F20"/>
          <w:w w:val="105"/>
        </w:rPr>
        <w:t>consiguiente,</w:t>
      </w:r>
      <w:r>
        <w:rPr>
          <w:color w:val="231F20"/>
          <w:spacing w:val="-12"/>
          <w:w w:val="105"/>
        </w:rPr>
        <w:t> </w:t>
      </w:r>
      <w:r>
        <w:rPr>
          <w:color w:val="231F20"/>
          <w:w w:val="105"/>
        </w:rPr>
        <w:t>los</w:t>
      </w:r>
      <w:r>
        <w:rPr>
          <w:color w:val="231F20"/>
          <w:spacing w:val="-7"/>
          <w:w w:val="105"/>
        </w:rPr>
        <w:t> </w:t>
      </w:r>
      <w:r>
        <w:rPr>
          <w:color w:val="231F20"/>
          <w:w w:val="105"/>
        </w:rPr>
        <w:t>gobiernos</w:t>
      </w:r>
      <w:r>
        <w:rPr>
          <w:color w:val="231F20"/>
          <w:spacing w:val="-7"/>
          <w:w w:val="105"/>
        </w:rPr>
        <w:t> </w:t>
      </w:r>
      <w:r>
        <w:rPr>
          <w:color w:val="231F20"/>
          <w:w w:val="105"/>
        </w:rPr>
        <w:t>aplican</w:t>
      </w:r>
      <w:r>
        <w:rPr>
          <w:color w:val="231F20"/>
          <w:spacing w:val="-7"/>
          <w:w w:val="105"/>
        </w:rPr>
        <w:t> </w:t>
      </w:r>
      <w:r>
        <w:rPr>
          <w:color w:val="231F20"/>
          <w:w w:val="105"/>
        </w:rPr>
        <w:t>modelos de</w:t>
      </w:r>
      <w:r>
        <w:rPr>
          <w:color w:val="231F20"/>
          <w:spacing w:val="-21"/>
          <w:w w:val="105"/>
        </w:rPr>
        <w:t> </w:t>
      </w:r>
      <w:r>
        <w:rPr>
          <w:color w:val="231F20"/>
          <w:w w:val="105"/>
        </w:rPr>
        <w:t>medición</w:t>
      </w:r>
      <w:r>
        <w:rPr>
          <w:color w:val="231F20"/>
          <w:spacing w:val="-21"/>
          <w:w w:val="105"/>
        </w:rPr>
        <w:t> </w:t>
      </w:r>
      <w:r>
        <w:rPr>
          <w:color w:val="231F20"/>
          <w:w w:val="105"/>
        </w:rPr>
        <w:t>y</w:t>
      </w:r>
      <w:r>
        <w:rPr>
          <w:color w:val="231F20"/>
          <w:spacing w:val="-21"/>
          <w:w w:val="105"/>
        </w:rPr>
        <w:t> </w:t>
      </w:r>
      <w:r>
        <w:rPr>
          <w:color w:val="231F20"/>
          <w:w w:val="105"/>
        </w:rPr>
        <w:t>fijan</w:t>
      </w:r>
      <w:r>
        <w:rPr>
          <w:color w:val="231F20"/>
          <w:spacing w:val="-21"/>
          <w:w w:val="105"/>
        </w:rPr>
        <w:t> </w:t>
      </w:r>
      <w:r>
        <w:rPr>
          <w:color w:val="231F20"/>
          <w:w w:val="105"/>
        </w:rPr>
        <w:t>objetivos</w:t>
      </w:r>
      <w:r>
        <w:rPr>
          <w:color w:val="231F20"/>
          <w:spacing w:val="-21"/>
          <w:w w:val="105"/>
        </w:rPr>
        <w:t> </w:t>
      </w:r>
      <w:r>
        <w:rPr>
          <w:color w:val="231F20"/>
          <w:w w:val="105"/>
        </w:rPr>
        <w:t>ya</w:t>
      </w:r>
      <w:r>
        <w:rPr>
          <w:color w:val="231F20"/>
          <w:spacing w:val="-21"/>
          <w:w w:val="105"/>
        </w:rPr>
        <w:t> </w:t>
      </w:r>
      <w:r>
        <w:rPr>
          <w:color w:val="231F20"/>
          <w:w w:val="105"/>
        </w:rPr>
        <w:t>utilizados</w:t>
      </w:r>
      <w:r>
        <w:rPr>
          <w:color w:val="231F20"/>
          <w:spacing w:val="-21"/>
          <w:w w:val="105"/>
        </w:rPr>
        <w:t> </w:t>
      </w:r>
      <w:r>
        <w:rPr>
          <w:color w:val="231F20"/>
          <w:w w:val="105"/>
        </w:rPr>
        <w:t>por</w:t>
      </w:r>
      <w:r>
        <w:rPr>
          <w:color w:val="231F20"/>
          <w:spacing w:val="-21"/>
          <w:w w:val="105"/>
        </w:rPr>
        <w:t> </w:t>
      </w:r>
      <w:r>
        <w:rPr>
          <w:color w:val="231F20"/>
          <w:spacing w:val="-3"/>
          <w:w w:val="105"/>
        </w:rPr>
        <w:t>otros</w:t>
      </w:r>
      <w:r>
        <w:rPr>
          <w:color w:val="231F20"/>
          <w:spacing w:val="-21"/>
          <w:w w:val="105"/>
        </w:rPr>
        <w:t> </w:t>
      </w:r>
      <w:r>
        <w:rPr>
          <w:color w:val="231F20"/>
          <w:w w:val="105"/>
        </w:rPr>
        <w:t>gobiernos</w:t>
      </w:r>
      <w:r>
        <w:rPr>
          <w:color w:val="231F20"/>
          <w:spacing w:val="-21"/>
          <w:w w:val="105"/>
        </w:rPr>
        <w:t> </w:t>
      </w:r>
      <w:r>
        <w:rPr>
          <w:color w:val="231F20"/>
          <w:w w:val="105"/>
        </w:rPr>
        <w:t>e</w:t>
      </w:r>
      <w:r>
        <w:rPr>
          <w:color w:val="231F20"/>
          <w:spacing w:val="-21"/>
          <w:w w:val="105"/>
        </w:rPr>
        <w:t> </w:t>
      </w:r>
      <w:r>
        <w:rPr>
          <w:color w:val="231F20"/>
          <w:w w:val="105"/>
        </w:rPr>
        <w:t>institucio- nes</w:t>
      </w:r>
      <w:r>
        <w:rPr>
          <w:color w:val="231F20"/>
          <w:spacing w:val="-16"/>
          <w:w w:val="105"/>
        </w:rPr>
        <w:t> </w:t>
      </w:r>
      <w:r>
        <w:rPr>
          <w:color w:val="231F20"/>
          <w:spacing w:val="-3"/>
          <w:w w:val="105"/>
        </w:rPr>
        <w:t>multilaterales.</w:t>
      </w:r>
      <w:r>
        <w:rPr>
          <w:color w:val="231F20"/>
          <w:spacing w:val="-21"/>
          <w:w w:val="105"/>
        </w:rPr>
        <w:t> </w:t>
      </w:r>
      <w:r>
        <w:rPr>
          <w:color w:val="231F20"/>
          <w:w w:val="105"/>
        </w:rPr>
        <w:t>El</w:t>
      </w:r>
      <w:r>
        <w:rPr>
          <w:color w:val="231F20"/>
          <w:spacing w:val="-16"/>
          <w:w w:val="105"/>
        </w:rPr>
        <w:t> </w:t>
      </w:r>
      <w:r>
        <w:rPr>
          <w:color w:val="231F20"/>
          <w:w w:val="105"/>
        </w:rPr>
        <w:t>isomorfismo</w:t>
      </w:r>
      <w:r>
        <w:rPr>
          <w:color w:val="231F20"/>
          <w:spacing w:val="-16"/>
          <w:w w:val="105"/>
        </w:rPr>
        <w:t> </w:t>
      </w:r>
      <w:r>
        <w:rPr>
          <w:color w:val="231F20"/>
          <w:spacing w:val="-2"/>
          <w:w w:val="105"/>
        </w:rPr>
        <w:t>normativo</w:t>
      </w:r>
      <w:r>
        <w:rPr>
          <w:color w:val="231F20"/>
          <w:spacing w:val="-16"/>
          <w:w w:val="105"/>
        </w:rPr>
        <w:t> </w:t>
      </w:r>
      <w:r>
        <w:rPr>
          <w:color w:val="231F20"/>
          <w:w w:val="105"/>
        </w:rPr>
        <w:t>está</w:t>
      </w:r>
      <w:r>
        <w:rPr>
          <w:color w:val="231F20"/>
          <w:spacing w:val="-16"/>
          <w:w w:val="105"/>
        </w:rPr>
        <w:t> </w:t>
      </w:r>
      <w:r>
        <w:rPr>
          <w:color w:val="231F20"/>
          <w:w w:val="105"/>
        </w:rPr>
        <w:t>derivado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profesio- </w:t>
      </w:r>
      <w:r>
        <w:rPr>
          <w:color w:val="231F20"/>
          <w:w w:val="105"/>
        </w:rPr>
        <w:t>nalización</w:t>
      </w:r>
      <w:r>
        <w:rPr>
          <w:color w:val="231F20"/>
          <w:spacing w:val="-11"/>
          <w:w w:val="105"/>
        </w:rPr>
        <w:t> </w:t>
      </w:r>
      <w:r>
        <w:rPr>
          <w:color w:val="231F20"/>
          <w:w w:val="105"/>
        </w:rPr>
        <w:t>influenciada</w:t>
      </w:r>
      <w:r>
        <w:rPr>
          <w:color w:val="231F20"/>
          <w:spacing w:val="-11"/>
          <w:w w:val="105"/>
        </w:rPr>
        <w:t> </w:t>
      </w:r>
      <w:r>
        <w:rPr>
          <w:color w:val="231F20"/>
          <w:w w:val="105"/>
        </w:rPr>
        <w:t>por</w:t>
      </w:r>
      <w:r>
        <w:rPr>
          <w:color w:val="231F20"/>
          <w:spacing w:val="-11"/>
          <w:w w:val="105"/>
        </w:rPr>
        <w:t> </w:t>
      </w:r>
      <w:r>
        <w:rPr>
          <w:color w:val="231F20"/>
          <w:w w:val="105"/>
        </w:rPr>
        <w:t>la</w:t>
      </w:r>
      <w:r>
        <w:rPr>
          <w:color w:val="231F20"/>
          <w:spacing w:val="-11"/>
          <w:w w:val="105"/>
        </w:rPr>
        <w:t> </w:t>
      </w:r>
      <w:r>
        <w:rPr>
          <w:color w:val="231F20"/>
          <w:w w:val="105"/>
        </w:rPr>
        <w:t>formación,</w:t>
      </w:r>
      <w:r>
        <w:rPr>
          <w:color w:val="231F20"/>
          <w:spacing w:val="-15"/>
          <w:w w:val="105"/>
        </w:rPr>
        <w:t> </w:t>
      </w:r>
      <w:r>
        <w:rPr>
          <w:color w:val="231F20"/>
          <w:w w:val="105"/>
        </w:rPr>
        <w:t>asociación</w:t>
      </w:r>
      <w:r>
        <w:rPr>
          <w:color w:val="231F20"/>
          <w:spacing w:val="-11"/>
          <w:w w:val="105"/>
        </w:rPr>
        <w:t> </w:t>
      </w:r>
      <w:r>
        <w:rPr>
          <w:color w:val="231F20"/>
          <w:w w:val="105"/>
        </w:rPr>
        <w:t>y</w:t>
      </w:r>
      <w:r>
        <w:rPr>
          <w:color w:val="231F20"/>
          <w:spacing w:val="-11"/>
          <w:w w:val="105"/>
        </w:rPr>
        <w:t> </w:t>
      </w:r>
      <w:r>
        <w:rPr>
          <w:color w:val="231F20"/>
          <w:w w:val="105"/>
        </w:rPr>
        <w:t>experiencia</w:t>
      </w:r>
      <w:r>
        <w:rPr>
          <w:color w:val="231F20"/>
          <w:spacing w:val="-11"/>
          <w:w w:val="105"/>
        </w:rPr>
        <w:t> </w:t>
      </w:r>
      <w:r>
        <w:rPr>
          <w:color w:val="231F20"/>
          <w:w w:val="105"/>
        </w:rPr>
        <w:t>de</w:t>
      </w:r>
      <w:r>
        <w:rPr>
          <w:color w:val="231F20"/>
          <w:spacing w:val="-11"/>
          <w:w w:val="105"/>
        </w:rPr>
        <w:t> </w:t>
      </w:r>
      <w:r>
        <w:rPr>
          <w:color w:val="231F20"/>
          <w:spacing w:val="-2"/>
          <w:w w:val="105"/>
        </w:rPr>
        <w:t>los </w:t>
      </w:r>
      <w:r>
        <w:rPr>
          <w:color w:val="231F20"/>
          <w:spacing w:val="-3"/>
          <w:w w:val="105"/>
        </w:rPr>
        <w:t>recursos</w:t>
      </w:r>
      <w:r>
        <w:rPr>
          <w:color w:val="231F20"/>
          <w:spacing w:val="-27"/>
          <w:w w:val="105"/>
        </w:rPr>
        <w:t> </w:t>
      </w:r>
      <w:r>
        <w:rPr>
          <w:color w:val="231F20"/>
          <w:w w:val="105"/>
        </w:rPr>
        <w:t>humanos</w:t>
      </w:r>
      <w:r>
        <w:rPr>
          <w:color w:val="231F20"/>
          <w:spacing w:val="-27"/>
          <w:w w:val="105"/>
        </w:rPr>
        <w:t> </w:t>
      </w:r>
      <w:r>
        <w:rPr>
          <w:color w:val="231F20"/>
          <w:w w:val="105"/>
        </w:rPr>
        <w:t>que</w:t>
      </w:r>
      <w:r>
        <w:rPr>
          <w:color w:val="231F20"/>
          <w:spacing w:val="-27"/>
          <w:w w:val="105"/>
        </w:rPr>
        <w:t> </w:t>
      </w:r>
      <w:r>
        <w:rPr>
          <w:color w:val="231F20"/>
          <w:spacing w:val="-3"/>
          <w:w w:val="105"/>
        </w:rPr>
        <w:t>ejercen</w:t>
      </w:r>
      <w:r>
        <w:rPr>
          <w:color w:val="231F20"/>
          <w:spacing w:val="-27"/>
          <w:w w:val="105"/>
        </w:rPr>
        <w:t> </w:t>
      </w:r>
      <w:r>
        <w:rPr>
          <w:color w:val="231F20"/>
          <w:w w:val="105"/>
        </w:rPr>
        <w:t>la</w:t>
      </w:r>
      <w:r>
        <w:rPr>
          <w:color w:val="231F20"/>
          <w:spacing w:val="-27"/>
          <w:w w:val="105"/>
        </w:rPr>
        <w:t> </w:t>
      </w:r>
      <w:r>
        <w:rPr>
          <w:color w:val="231F20"/>
          <w:spacing w:val="-3"/>
          <w:w w:val="105"/>
        </w:rPr>
        <w:t>dirección</w:t>
      </w:r>
      <w:r>
        <w:rPr>
          <w:color w:val="231F20"/>
          <w:spacing w:val="-27"/>
          <w:w w:val="105"/>
        </w:rPr>
        <w:t> </w:t>
      </w:r>
      <w:r>
        <w:rPr>
          <w:color w:val="231F20"/>
          <w:w w:val="105"/>
        </w:rPr>
        <w:t>económica</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naciones.</w:t>
      </w:r>
    </w:p>
    <w:p>
      <w:pPr>
        <w:pStyle w:val="BodyText"/>
        <w:spacing w:line="259" w:lineRule="auto"/>
        <w:ind w:left="108" w:right="113" w:firstLine="567"/>
        <w:jc w:val="both"/>
      </w:pPr>
      <w:r>
        <w:rPr>
          <w:color w:val="231F20"/>
          <w:w w:val="105"/>
        </w:rPr>
        <w:t>Un</w:t>
      </w:r>
      <w:r>
        <w:rPr>
          <w:color w:val="231F20"/>
          <w:spacing w:val="-18"/>
          <w:w w:val="105"/>
        </w:rPr>
        <w:t> </w:t>
      </w:r>
      <w:r>
        <w:rPr>
          <w:color w:val="231F20"/>
          <w:spacing w:val="-3"/>
          <w:w w:val="105"/>
        </w:rPr>
        <w:t>ejemplo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spacing w:val="-3"/>
          <w:w w:val="105"/>
        </w:rPr>
        <w:t>incorporación</w:t>
      </w:r>
      <w:r>
        <w:rPr>
          <w:color w:val="231F20"/>
          <w:spacing w:val="-18"/>
          <w:w w:val="105"/>
        </w:rPr>
        <w:t> </w:t>
      </w:r>
      <w:r>
        <w:rPr>
          <w:color w:val="231F20"/>
          <w:w w:val="105"/>
        </w:rPr>
        <w:t>de</w:t>
      </w:r>
      <w:r>
        <w:rPr>
          <w:color w:val="231F20"/>
          <w:spacing w:val="-18"/>
          <w:w w:val="105"/>
        </w:rPr>
        <w:t> </w:t>
      </w:r>
      <w:r>
        <w:rPr>
          <w:color w:val="231F20"/>
          <w:spacing w:val="-3"/>
          <w:w w:val="105"/>
        </w:rPr>
        <w:t>cambios</w:t>
      </w:r>
      <w:r>
        <w:rPr>
          <w:color w:val="231F20"/>
          <w:spacing w:val="-18"/>
          <w:w w:val="105"/>
        </w:rPr>
        <w:t> </w:t>
      </w:r>
      <w:r>
        <w:rPr>
          <w:color w:val="231F20"/>
          <w:spacing w:val="-3"/>
          <w:w w:val="105"/>
        </w:rPr>
        <w:t>institucionales</w:t>
      </w:r>
      <w:r>
        <w:rPr>
          <w:color w:val="231F20"/>
          <w:spacing w:val="-18"/>
          <w:w w:val="105"/>
        </w:rPr>
        <w:t> </w:t>
      </w:r>
      <w:r>
        <w:rPr>
          <w:color w:val="231F20"/>
          <w:spacing w:val="-3"/>
          <w:w w:val="105"/>
        </w:rPr>
        <w:t>mediante procesos isomorfos </w:t>
      </w:r>
      <w:r>
        <w:rPr>
          <w:color w:val="231F20"/>
          <w:w w:val="105"/>
        </w:rPr>
        <w:t>es la </w:t>
      </w:r>
      <w:r>
        <w:rPr>
          <w:color w:val="231F20"/>
          <w:spacing w:val="-3"/>
          <w:w w:val="105"/>
        </w:rPr>
        <w:t>adopción </w:t>
      </w:r>
      <w:r>
        <w:rPr>
          <w:color w:val="231F20"/>
          <w:w w:val="105"/>
        </w:rPr>
        <w:t>de </w:t>
      </w:r>
      <w:r>
        <w:rPr>
          <w:color w:val="231F20"/>
          <w:spacing w:val="-3"/>
          <w:w w:val="105"/>
        </w:rPr>
        <w:t>reglas fiscales </w:t>
      </w:r>
      <w:r>
        <w:rPr>
          <w:color w:val="231F20"/>
          <w:w w:val="105"/>
        </w:rPr>
        <w:t>o </w:t>
      </w:r>
      <w:r>
        <w:rPr>
          <w:color w:val="231F20"/>
          <w:spacing w:val="-3"/>
          <w:w w:val="105"/>
        </w:rPr>
        <w:t>normas </w:t>
      </w:r>
      <w:r>
        <w:rPr>
          <w:color w:val="231F20"/>
          <w:w w:val="105"/>
        </w:rPr>
        <w:t>que </w:t>
      </w:r>
      <w:r>
        <w:rPr>
          <w:color w:val="231F20"/>
          <w:spacing w:val="-3"/>
          <w:w w:val="105"/>
        </w:rPr>
        <w:t>pro- muevan</w:t>
      </w:r>
      <w:r>
        <w:rPr>
          <w:color w:val="231F20"/>
          <w:spacing w:val="-16"/>
          <w:w w:val="105"/>
        </w:rPr>
        <w:t> </w:t>
      </w:r>
      <w:r>
        <w:rPr>
          <w:color w:val="231F20"/>
          <w:w w:val="105"/>
        </w:rPr>
        <w:t>una</w:t>
      </w:r>
      <w:r>
        <w:rPr>
          <w:color w:val="231F20"/>
          <w:spacing w:val="-16"/>
          <w:w w:val="105"/>
        </w:rPr>
        <w:t> </w:t>
      </w:r>
      <w:r>
        <w:rPr>
          <w:color w:val="231F20"/>
          <w:spacing w:val="-3"/>
          <w:w w:val="105"/>
        </w:rPr>
        <w:t>mejora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eficiencia</w:t>
      </w:r>
      <w:r>
        <w:rPr>
          <w:color w:val="231F20"/>
          <w:spacing w:val="-16"/>
          <w:w w:val="105"/>
        </w:rPr>
        <w:t> </w:t>
      </w:r>
      <w:r>
        <w:rPr>
          <w:color w:val="231F20"/>
          <w:spacing w:val="-3"/>
          <w:w w:val="105"/>
        </w:rPr>
        <w:t>pública;</w:t>
      </w:r>
      <w:r>
        <w:rPr>
          <w:color w:val="231F20"/>
          <w:spacing w:val="-16"/>
          <w:w w:val="105"/>
        </w:rPr>
        <w:t> </w:t>
      </w:r>
      <w:r>
        <w:rPr>
          <w:color w:val="231F20"/>
          <w:w w:val="105"/>
        </w:rPr>
        <w:t>sin</w:t>
      </w:r>
      <w:r>
        <w:rPr>
          <w:color w:val="231F20"/>
          <w:spacing w:val="-16"/>
          <w:w w:val="105"/>
        </w:rPr>
        <w:t> </w:t>
      </w:r>
      <w:r>
        <w:rPr>
          <w:color w:val="231F20"/>
          <w:spacing w:val="-4"/>
          <w:w w:val="105"/>
        </w:rPr>
        <w:t>embargo,</w:t>
      </w:r>
      <w:r>
        <w:rPr>
          <w:color w:val="231F20"/>
          <w:spacing w:val="-22"/>
          <w:w w:val="105"/>
        </w:rPr>
        <w:t> </w:t>
      </w:r>
      <w:r>
        <w:rPr>
          <w:color w:val="231F20"/>
          <w:spacing w:val="-3"/>
          <w:w w:val="105"/>
        </w:rPr>
        <w:t>esto</w:t>
      </w:r>
      <w:r>
        <w:rPr>
          <w:color w:val="231F20"/>
          <w:spacing w:val="-16"/>
          <w:w w:val="105"/>
        </w:rPr>
        <w:t> </w:t>
      </w:r>
      <w:r>
        <w:rPr>
          <w:color w:val="231F20"/>
          <w:w w:val="105"/>
        </w:rPr>
        <w:t>no</w:t>
      </w:r>
      <w:r>
        <w:rPr>
          <w:color w:val="231F20"/>
          <w:spacing w:val="-16"/>
          <w:w w:val="105"/>
        </w:rPr>
        <w:t> </w:t>
      </w:r>
      <w:r>
        <w:rPr>
          <w:color w:val="231F20"/>
          <w:spacing w:val="-3"/>
          <w:w w:val="105"/>
        </w:rPr>
        <w:t>significa </w:t>
      </w:r>
      <w:r>
        <w:rPr>
          <w:color w:val="231F20"/>
          <w:w w:val="105"/>
        </w:rPr>
        <w:t>que</w:t>
      </w:r>
      <w:r>
        <w:rPr>
          <w:color w:val="231F20"/>
          <w:spacing w:val="-31"/>
          <w:w w:val="105"/>
        </w:rPr>
        <w:t> </w:t>
      </w:r>
      <w:r>
        <w:rPr>
          <w:color w:val="231F20"/>
          <w:w w:val="105"/>
        </w:rPr>
        <w:t>las</w:t>
      </w:r>
      <w:r>
        <w:rPr>
          <w:color w:val="231F20"/>
          <w:spacing w:val="-31"/>
          <w:w w:val="105"/>
        </w:rPr>
        <w:t> </w:t>
      </w:r>
      <w:r>
        <w:rPr>
          <w:color w:val="231F20"/>
          <w:spacing w:val="-3"/>
          <w:w w:val="105"/>
        </w:rPr>
        <w:t>instituciones</w:t>
      </w:r>
      <w:r>
        <w:rPr>
          <w:color w:val="231F20"/>
          <w:spacing w:val="-31"/>
          <w:w w:val="105"/>
        </w:rPr>
        <w:t> </w:t>
      </w:r>
      <w:r>
        <w:rPr>
          <w:color w:val="231F20"/>
          <w:spacing w:val="-3"/>
          <w:w w:val="105"/>
        </w:rPr>
        <w:t>sean</w:t>
      </w:r>
      <w:r>
        <w:rPr>
          <w:color w:val="231F20"/>
          <w:spacing w:val="-31"/>
          <w:w w:val="105"/>
        </w:rPr>
        <w:t> </w:t>
      </w:r>
      <w:r>
        <w:rPr>
          <w:color w:val="231F20"/>
          <w:w w:val="105"/>
        </w:rPr>
        <w:t>más</w:t>
      </w:r>
      <w:r>
        <w:rPr>
          <w:color w:val="231F20"/>
          <w:spacing w:val="-31"/>
          <w:w w:val="105"/>
        </w:rPr>
        <w:t> </w:t>
      </w:r>
      <w:r>
        <w:rPr>
          <w:color w:val="231F20"/>
          <w:spacing w:val="-3"/>
          <w:w w:val="105"/>
        </w:rPr>
        <w:t>eficientes</w:t>
      </w:r>
      <w:r>
        <w:rPr>
          <w:color w:val="231F20"/>
          <w:spacing w:val="-31"/>
          <w:w w:val="105"/>
        </w:rPr>
        <w:t> </w:t>
      </w:r>
      <w:r>
        <w:rPr>
          <w:color w:val="231F20"/>
          <w:w w:val="105"/>
        </w:rPr>
        <w:t>(en</w:t>
      </w:r>
      <w:r>
        <w:rPr>
          <w:color w:val="231F20"/>
          <w:spacing w:val="-31"/>
          <w:w w:val="105"/>
        </w:rPr>
        <w:t> </w:t>
      </w:r>
      <w:r>
        <w:rPr>
          <w:color w:val="231F20"/>
          <w:spacing w:val="-3"/>
          <w:w w:val="105"/>
        </w:rPr>
        <w:t>teoría</w:t>
      </w:r>
      <w:r>
        <w:rPr>
          <w:color w:val="231F20"/>
          <w:spacing w:val="-31"/>
          <w:w w:val="105"/>
        </w:rPr>
        <w:t> </w:t>
      </w:r>
      <w:r>
        <w:rPr>
          <w:color w:val="231F20"/>
          <w:spacing w:val="-3"/>
          <w:w w:val="105"/>
        </w:rPr>
        <w:t>deberían</w:t>
      </w:r>
      <w:r>
        <w:rPr>
          <w:color w:val="231F20"/>
          <w:spacing w:val="-31"/>
          <w:w w:val="105"/>
        </w:rPr>
        <w:t> </w:t>
      </w:r>
      <w:r>
        <w:rPr>
          <w:color w:val="231F20"/>
          <w:spacing w:val="-3"/>
          <w:w w:val="105"/>
        </w:rPr>
        <w:t>serlo),</w:t>
      </w:r>
      <w:r>
        <w:rPr>
          <w:color w:val="231F20"/>
          <w:spacing w:val="-35"/>
          <w:w w:val="105"/>
        </w:rPr>
        <w:t> </w:t>
      </w:r>
      <w:r>
        <w:rPr>
          <w:color w:val="231F20"/>
          <w:spacing w:val="-3"/>
          <w:w w:val="105"/>
        </w:rPr>
        <w:t>aunque </w:t>
      </w:r>
      <w:r>
        <w:rPr>
          <w:color w:val="231F20"/>
          <w:w w:val="105"/>
        </w:rPr>
        <w:t>las</w:t>
      </w:r>
      <w:r>
        <w:rPr>
          <w:color w:val="231F20"/>
          <w:spacing w:val="-26"/>
          <w:w w:val="105"/>
        </w:rPr>
        <w:t> </w:t>
      </w:r>
      <w:r>
        <w:rPr>
          <w:color w:val="231F20"/>
          <w:spacing w:val="-3"/>
          <w:w w:val="105"/>
        </w:rPr>
        <w:t>razones</w:t>
      </w:r>
      <w:r>
        <w:rPr>
          <w:color w:val="231F20"/>
          <w:spacing w:val="-26"/>
          <w:w w:val="105"/>
        </w:rPr>
        <w:t> </w:t>
      </w:r>
      <w:r>
        <w:rPr>
          <w:color w:val="231F20"/>
          <w:w w:val="105"/>
        </w:rPr>
        <w:t>se</w:t>
      </w:r>
      <w:r>
        <w:rPr>
          <w:color w:val="231F20"/>
          <w:spacing w:val="-26"/>
          <w:w w:val="105"/>
        </w:rPr>
        <w:t> </w:t>
      </w:r>
      <w:r>
        <w:rPr>
          <w:color w:val="231F20"/>
          <w:spacing w:val="-3"/>
          <w:w w:val="105"/>
        </w:rPr>
        <w:t>deben</w:t>
      </w:r>
      <w:r>
        <w:rPr>
          <w:color w:val="231F20"/>
          <w:spacing w:val="-26"/>
          <w:w w:val="105"/>
        </w:rPr>
        <w:t> </w:t>
      </w:r>
      <w:r>
        <w:rPr>
          <w:color w:val="231F20"/>
          <w:w w:val="105"/>
        </w:rPr>
        <w:t>a</w:t>
      </w:r>
      <w:r>
        <w:rPr>
          <w:color w:val="231F20"/>
          <w:spacing w:val="-26"/>
          <w:w w:val="105"/>
        </w:rPr>
        <w:t> </w:t>
      </w:r>
      <w:r>
        <w:rPr>
          <w:color w:val="231F20"/>
          <w:spacing w:val="-3"/>
          <w:w w:val="105"/>
        </w:rPr>
        <w:t>motivos</w:t>
      </w:r>
      <w:r>
        <w:rPr>
          <w:color w:val="231F20"/>
          <w:spacing w:val="-26"/>
          <w:w w:val="105"/>
        </w:rPr>
        <w:t> </w:t>
      </w:r>
      <w:r>
        <w:rPr>
          <w:color w:val="231F20"/>
          <w:w w:val="105"/>
        </w:rPr>
        <w:t>de</w:t>
      </w:r>
      <w:r>
        <w:rPr>
          <w:color w:val="231F20"/>
          <w:spacing w:val="-26"/>
          <w:w w:val="105"/>
        </w:rPr>
        <w:t> </w:t>
      </w:r>
      <w:r>
        <w:rPr>
          <w:color w:val="231F20"/>
          <w:spacing w:val="-3"/>
          <w:w w:val="105"/>
        </w:rPr>
        <w:t>legitimización</w:t>
      </w:r>
      <w:r>
        <w:rPr>
          <w:color w:val="231F20"/>
          <w:spacing w:val="-26"/>
          <w:w w:val="105"/>
        </w:rPr>
        <w:t> </w:t>
      </w:r>
      <w:r>
        <w:rPr>
          <w:color w:val="231F20"/>
          <w:spacing w:val="-3"/>
          <w:w w:val="105"/>
        </w:rPr>
        <w:t>social</w:t>
      </w:r>
      <w:r>
        <w:rPr>
          <w:color w:val="231F20"/>
          <w:spacing w:val="-26"/>
          <w:w w:val="105"/>
        </w:rPr>
        <w:t> </w:t>
      </w:r>
      <w:r>
        <w:rPr>
          <w:color w:val="231F20"/>
          <w:w w:val="105"/>
        </w:rPr>
        <w:t>e</w:t>
      </w:r>
      <w:r>
        <w:rPr>
          <w:color w:val="231F20"/>
          <w:spacing w:val="-26"/>
          <w:w w:val="105"/>
        </w:rPr>
        <w:t> </w:t>
      </w:r>
      <w:r>
        <w:rPr>
          <w:color w:val="231F20"/>
          <w:spacing w:val="-3"/>
          <w:w w:val="105"/>
        </w:rPr>
        <w:t>internacional,</w:t>
      </w:r>
      <w:r>
        <w:rPr>
          <w:color w:val="231F20"/>
          <w:spacing w:val="-32"/>
          <w:w w:val="105"/>
        </w:rPr>
        <w:t> </w:t>
      </w:r>
      <w:r>
        <w:rPr>
          <w:color w:val="231F20"/>
          <w:spacing w:val="-3"/>
          <w:w w:val="105"/>
        </w:rPr>
        <w:t>con </w:t>
      </w:r>
      <w:r>
        <w:rPr>
          <w:color w:val="231F20"/>
          <w:w w:val="105"/>
        </w:rPr>
        <w:t>el</w:t>
      </w:r>
      <w:r>
        <w:rPr>
          <w:color w:val="231F20"/>
          <w:spacing w:val="-21"/>
          <w:w w:val="105"/>
        </w:rPr>
        <w:t> </w:t>
      </w:r>
      <w:r>
        <w:rPr>
          <w:color w:val="231F20"/>
          <w:w w:val="105"/>
        </w:rPr>
        <w:t>fin</w:t>
      </w:r>
      <w:r>
        <w:rPr>
          <w:color w:val="231F20"/>
          <w:spacing w:val="-21"/>
          <w:w w:val="105"/>
        </w:rPr>
        <w:t> </w:t>
      </w:r>
      <w:r>
        <w:rPr>
          <w:color w:val="231F20"/>
          <w:w w:val="105"/>
        </w:rPr>
        <w:t>de</w:t>
      </w:r>
      <w:r>
        <w:rPr>
          <w:color w:val="231F20"/>
          <w:spacing w:val="-21"/>
          <w:w w:val="105"/>
        </w:rPr>
        <w:t> </w:t>
      </w:r>
      <w:r>
        <w:rPr>
          <w:color w:val="231F20"/>
          <w:spacing w:val="-3"/>
          <w:w w:val="105"/>
        </w:rPr>
        <w:t>mejorar</w:t>
      </w:r>
      <w:r>
        <w:rPr>
          <w:color w:val="231F20"/>
          <w:spacing w:val="-21"/>
          <w:w w:val="105"/>
        </w:rPr>
        <w:t> </w:t>
      </w:r>
      <w:r>
        <w:rPr>
          <w:color w:val="231F20"/>
          <w:w w:val="105"/>
        </w:rPr>
        <w:t>la</w:t>
      </w:r>
      <w:r>
        <w:rPr>
          <w:color w:val="231F20"/>
          <w:spacing w:val="-21"/>
          <w:w w:val="105"/>
        </w:rPr>
        <w:t> </w:t>
      </w:r>
      <w:r>
        <w:rPr>
          <w:color w:val="231F20"/>
          <w:spacing w:val="-3"/>
          <w:w w:val="105"/>
        </w:rPr>
        <w:t>reputación</w:t>
      </w:r>
      <w:r>
        <w:rPr>
          <w:color w:val="231F20"/>
          <w:spacing w:val="-21"/>
          <w:w w:val="105"/>
        </w:rPr>
        <w:t> </w:t>
      </w:r>
      <w:r>
        <w:rPr>
          <w:color w:val="231F20"/>
          <w:spacing w:val="-3"/>
          <w:w w:val="105"/>
        </w:rPr>
        <w:t>gubernamental</w:t>
      </w:r>
      <w:r>
        <w:rPr>
          <w:color w:val="231F20"/>
          <w:spacing w:val="-21"/>
          <w:w w:val="105"/>
        </w:rPr>
        <w:t> </w:t>
      </w:r>
      <w:r>
        <w:rPr>
          <w:color w:val="231F20"/>
          <w:w w:val="105"/>
        </w:rPr>
        <w:t>y</w:t>
      </w:r>
      <w:r>
        <w:rPr>
          <w:color w:val="231F20"/>
          <w:spacing w:val="-21"/>
          <w:w w:val="105"/>
        </w:rPr>
        <w:t> </w:t>
      </w:r>
      <w:r>
        <w:rPr>
          <w:color w:val="231F20"/>
          <w:w w:val="105"/>
        </w:rPr>
        <w:t>con</w:t>
      </w:r>
      <w:r>
        <w:rPr>
          <w:color w:val="231F20"/>
          <w:spacing w:val="-21"/>
          <w:w w:val="105"/>
        </w:rPr>
        <w:t> </w:t>
      </w:r>
      <w:r>
        <w:rPr>
          <w:color w:val="231F20"/>
          <w:w w:val="105"/>
        </w:rPr>
        <w:t>el</w:t>
      </w:r>
      <w:r>
        <w:rPr>
          <w:color w:val="231F20"/>
          <w:spacing w:val="-21"/>
          <w:w w:val="105"/>
        </w:rPr>
        <w:t> </w:t>
      </w:r>
      <w:r>
        <w:rPr>
          <w:color w:val="231F20"/>
          <w:spacing w:val="-3"/>
          <w:w w:val="105"/>
        </w:rPr>
        <w:t>propósito</w:t>
      </w:r>
      <w:r>
        <w:rPr>
          <w:color w:val="231F20"/>
          <w:spacing w:val="-21"/>
          <w:w w:val="105"/>
        </w:rPr>
        <w:t> </w:t>
      </w:r>
      <w:r>
        <w:rPr>
          <w:color w:val="231F20"/>
          <w:w w:val="105"/>
        </w:rPr>
        <w:t>de</w:t>
      </w:r>
      <w:r>
        <w:rPr>
          <w:color w:val="231F20"/>
          <w:spacing w:val="-21"/>
          <w:w w:val="105"/>
        </w:rPr>
        <w:t> </w:t>
      </w:r>
      <w:r>
        <w:rPr>
          <w:color w:val="231F20"/>
          <w:spacing w:val="-4"/>
          <w:w w:val="105"/>
        </w:rPr>
        <w:t>realizar </w:t>
      </w:r>
      <w:r>
        <w:rPr>
          <w:color w:val="231F20"/>
          <w:w w:val="105"/>
        </w:rPr>
        <w:t>el</w:t>
      </w:r>
      <w:r>
        <w:rPr>
          <w:color w:val="231F20"/>
          <w:spacing w:val="-21"/>
          <w:w w:val="105"/>
        </w:rPr>
        <w:t> </w:t>
      </w:r>
      <w:r>
        <w:rPr>
          <w:color w:val="231F20"/>
          <w:spacing w:val="-3"/>
          <w:w w:val="105"/>
        </w:rPr>
        <w:t>manejo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política</w:t>
      </w:r>
      <w:r>
        <w:rPr>
          <w:color w:val="231F20"/>
          <w:spacing w:val="-21"/>
          <w:w w:val="105"/>
        </w:rPr>
        <w:t> </w:t>
      </w:r>
      <w:r>
        <w:rPr>
          <w:color w:val="231F20"/>
          <w:spacing w:val="-3"/>
          <w:w w:val="105"/>
        </w:rPr>
        <w:t>fiscal</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manera</w:t>
      </w:r>
      <w:r>
        <w:rPr>
          <w:color w:val="231F20"/>
          <w:spacing w:val="-21"/>
          <w:w w:val="105"/>
        </w:rPr>
        <w:t> </w:t>
      </w:r>
      <w:r>
        <w:rPr>
          <w:color w:val="231F20"/>
          <w:w w:val="105"/>
        </w:rPr>
        <w:t>más</w:t>
      </w:r>
      <w:r>
        <w:rPr>
          <w:color w:val="231F20"/>
          <w:spacing w:val="-21"/>
          <w:w w:val="105"/>
        </w:rPr>
        <w:t> </w:t>
      </w:r>
      <w:r>
        <w:rPr>
          <w:color w:val="231F20"/>
          <w:spacing w:val="-3"/>
          <w:w w:val="105"/>
        </w:rPr>
        <w:t>fácil</w:t>
      </w:r>
      <w:r>
        <w:rPr>
          <w:color w:val="231F20"/>
          <w:spacing w:val="-21"/>
          <w:w w:val="105"/>
        </w:rPr>
        <w:t> </w:t>
      </w:r>
      <w:r>
        <w:rPr>
          <w:color w:val="231F20"/>
          <w:spacing w:val="-3"/>
          <w:w w:val="105"/>
        </w:rPr>
        <w:t>posible.</w:t>
      </w:r>
    </w:p>
    <w:p>
      <w:pPr>
        <w:spacing w:before="147"/>
        <w:ind w:left="108" w:right="0" w:firstLine="0"/>
        <w:jc w:val="both"/>
        <w:rPr>
          <w:rFonts w:ascii="Verdana" w:hAnsi="Verdana"/>
          <w:i/>
          <w:sz w:val="21"/>
        </w:rPr>
      </w:pPr>
      <w:r>
        <w:rPr>
          <w:rFonts w:ascii="Verdana" w:hAnsi="Verdana"/>
          <w:i/>
          <w:color w:val="231F20"/>
          <w:w w:val="95"/>
          <w:sz w:val="21"/>
        </w:rPr>
        <w:t>¿Por qué son importantes las reglas fiscales?</w:t>
      </w:r>
    </w:p>
    <w:p>
      <w:pPr>
        <w:pStyle w:val="BodyText"/>
        <w:spacing w:before="6"/>
        <w:rPr>
          <w:rFonts w:ascii="Verdana"/>
          <w:i/>
          <w:sz w:val="15"/>
        </w:rPr>
      </w:pPr>
    </w:p>
    <w:p>
      <w:pPr>
        <w:pStyle w:val="BodyText"/>
        <w:spacing w:line="259" w:lineRule="auto"/>
        <w:ind w:left="108" w:right="113"/>
        <w:jc w:val="both"/>
      </w:pPr>
      <w:r>
        <w:rPr>
          <w:color w:val="231F20"/>
          <w:w w:val="105"/>
        </w:rPr>
        <w:t>Una</w:t>
      </w:r>
      <w:r>
        <w:rPr>
          <w:color w:val="231F20"/>
          <w:spacing w:val="-25"/>
          <w:w w:val="105"/>
        </w:rPr>
        <w:t> </w:t>
      </w:r>
      <w:r>
        <w:rPr>
          <w:color w:val="231F20"/>
          <w:spacing w:val="-3"/>
          <w:w w:val="105"/>
        </w:rPr>
        <w:t>pregunta</w:t>
      </w:r>
      <w:r>
        <w:rPr>
          <w:color w:val="231F20"/>
          <w:spacing w:val="-25"/>
          <w:w w:val="105"/>
        </w:rPr>
        <w:t> </w:t>
      </w:r>
      <w:r>
        <w:rPr>
          <w:color w:val="231F20"/>
          <w:spacing w:val="-3"/>
          <w:w w:val="105"/>
        </w:rPr>
        <w:t>contraria</w:t>
      </w:r>
      <w:r>
        <w:rPr>
          <w:color w:val="231F20"/>
          <w:spacing w:val="-25"/>
          <w:w w:val="105"/>
        </w:rPr>
        <w:t> </w:t>
      </w:r>
      <w:r>
        <w:rPr>
          <w:color w:val="231F20"/>
          <w:w w:val="105"/>
        </w:rPr>
        <w:t>a</w:t>
      </w:r>
      <w:r>
        <w:rPr>
          <w:color w:val="231F20"/>
          <w:spacing w:val="-25"/>
          <w:w w:val="105"/>
        </w:rPr>
        <w:t> </w:t>
      </w:r>
      <w:r>
        <w:rPr>
          <w:color w:val="231F20"/>
          <w:w w:val="105"/>
        </w:rPr>
        <w:t>la</w:t>
      </w:r>
      <w:r>
        <w:rPr>
          <w:color w:val="231F20"/>
          <w:spacing w:val="-25"/>
          <w:w w:val="105"/>
        </w:rPr>
        <w:t> </w:t>
      </w:r>
      <w:r>
        <w:rPr>
          <w:color w:val="231F20"/>
          <w:spacing w:val="-3"/>
          <w:w w:val="105"/>
        </w:rPr>
        <w:t>anterior</w:t>
      </w:r>
      <w:r>
        <w:rPr>
          <w:color w:val="231F20"/>
          <w:spacing w:val="-25"/>
          <w:w w:val="105"/>
        </w:rPr>
        <w:t> </w:t>
      </w:r>
      <w:r>
        <w:rPr>
          <w:color w:val="231F20"/>
          <w:spacing w:val="-3"/>
          <w:w w:val="105"/>
        </w:rPr>
        <w:t>sería:</w:t>
      </w:r>
      <w:r>
        <w:rPr>
          <w:color w:val="231F20"/>
          <w:spacing w:val="-25"/>
          <w:w w:val="105"/>
        </w:rPr>
        <w:t> </w:t>
      </w:r>
      <w:r>
        <w:rPr>
          <w:color w:val="231F20"/>
          <w:spacing w:val="-3"/>
          <w:w w:val="105"/>
        </w:rPr>
        <w:t>¿por</w:t>
      </w:r>
      <w:r>
        <w:rPr>
          <w:color w:val="231F20"/>
          <w:spacing w:val="-25"/>
          <w:w w:val="105"/>
        </w:rPr>
        <w:t> </w:t>
      </w:r>
      <w:r>
        <w:rPr>
          <w:color w:val="231F20"/>
          <w:w w:val="105"/>
        </w:rPr>
        <w:t>qué</w:t>
      </w:r>
      <w:r>
        <w:rPr>
          <w:color w:val="231F20"/>
          <w:spacing w:val="-25"/>
          <w:w w:val="105"/>
        </w:rPr>
        <w:t> </w:t>
      </w:r>
      <w:r>
        <w:rPr>
          <w:color w:val="231F20"/>
          <w:w w:val="105"/>
        </w:rPr>
        <w:t>los</w:t>
      </w:r>
      <w:r>
        <w:rPr>
          <w:color w:val="231F20"/>
          <w:spacing w:val="-25"/>
          <w:w w:val="105"/>
        </w:rPr>
        <w:t> </w:t>
      </w:r>
      <w:r>
        <w:rPr>
          <w:color w:val="231F20"/>
          <w:spacing w:val="-3"/>
          <w:w w:val="105"/>
        </w:rPr>
        <w:t>gobiernos</w:t>
      </w:r>
      <w:r>
        <w:rPr>
          <w:color w:val="231F20"/>
          <w:spacing w:val="-25"/>
          <w:w w:val="105"/>
        </w:rPr>
        <w:t> </w:t>
      </w:r>
      <w:r>
        <w:rPr>
          <w:color w:val="231F20"/>
          <w:w w:val="105"/>
        </w:rPr>
        <w:t>no</w:t>
      </w:r>
      <w:r>
        <w:rPr>
          <w:color w:val="231F20"/>
          <w:spacing w:val="-25"/>
          <w:w w:val="105"/>
        </w:rPr>
        <w:t> </w:t>
      </w:r>
      <w:r>
        <w:rPr>
          <w:color w:val="231F20"/>
          <w:spacing w:val="-3"/>
          <w:w w:val="105"/>
        </w:rPr>
        <w:t>imple- mentan</w:t>
      </w:r>
      <w:r>
        <w:rPr>
          <w:color w:val="231F20"/>
          <w:spacing w:val="-39"/>
          <w:w w:val="105"/>
        </w:rPr>
        <w:t> </w:t>
      </w:r>
      <w:r>
        <w:rPr>
          <w:color w:val="231F20"/>
          <w:spacing w:val="-3"/>
          <w:w w:val="105"/>
        </w:rPr>
        <w:t>reglas</w:t>
      </w:r>
      <w:r>
        <w:rPr>
          <w:color w:val="231F20"/>
          <w:spacing w:val="-39"/>
          <w:w w:val="105"/>
        </w:rPr>
        <w:t> </w:t>
      </w:r>
      <w:r>
        <w:rPr>
          <w:color w:val="231F20"/>
          <w:spacing w:val="-3"/>
          <w:w w:val="105"/>
        </w:rPr>
        <w:t>fiscales?</w:t>
      </w:r>
      <w:r>
        <w:rPr>
          <w:color w:val="231F20"/>
          <w:spacing w:val="-39"/>
          <w:w w:val="105"/>
        </w:rPr>
        <w:t> </w:t>
      </w:r>
      <w:r>
        <w:rPr>
          <w:color w:val="231F20"/>
          <w:w w:val="105"/>
        </w:rPr>
        <w:t>La</w:t>
      </w:r>
      <w:r>
        <w:rPr>
          <w:color w:val="231F20"/>
          <w:spacing w:val="-39"/>
          <w:w w:val="105"/>
        </w:rPr>
        <w:t> </w:t>
      </w:r>
      <w:r>
        <w:rPr>
          <w:color w:val="231F20"/>
          <w:spacing w:val="-3"/>
          <w:w w:val="105"/>
        </w:rPr>
        <w:t>respuesta</w:t>
      </w:r>
      <w:r>
        <w:rPr>
          <w:color w:val="231F20"/>
          <w:spacing w:val="-39"/>
          <w:w w:val="105"/>
        </w:rPr>
        <w:t> </w:t>
      </w:r>
      <w:r>
        <w:rPr>
          <w:color w:val="231F20"/>
          <w:w w:val="105"/>
        </w:rPr>
        <w:t>más</w:t>
      </w:r>
      <w:r>
        <w:rPr>
          <w:color w:val="231F20"/>
          <w:spacing w:val="-39"/>
          <w:w w:val="105"/>
        </w:rPr>
        <w:t> </w:t>
      </w:r>
      <w:r>
        <w:rPr>
          <w:color w:val="231F20"/>
          <w:spacing w:val="-3"/>
          <w:w w:val="105"/>
        </w:rPr>
        <w:t>acpetable</w:t>
      </w:r>
      <w:r>
        <w:rPr>
          <w:color w:val="231F20"/>
          <w:spacing w:val="-39"/>
          <w:w w:val="105"/>
        </w:rPr>
        <w:t> </w:t>
      </w:r>
      <w:r>
        <w:rPr>
          <w:color w:val="231F20"/>
          <w:w w:val="105"/>
        </w:rPr>
        <w:t>se</w:t>
      </w:r>
      <w:r>
        <w:rPr>
          <w:color w:val="231F20"/>
          <w:spacing w:val="-39"/>
          <w:w w:val="105"/>
        </w:rPr>
        <w:t> </w:t>
      </w:r>
      <w:r>
        <w:rPr>
          <w:color w:val="231F20"/>
          <w:spacing w:val="-3"/>
          <w:w w:val="105"/>
        </w:rPr>
        <w:t>centra</w:t>
      </w:r>
      <w:r>
        <w:rPr>
          <w:color w:val="231F20"/>
          <w:spacing w:val="-39"/>
          <w:w w:val="105"/>
        </w:rPr>
        <w:t> </w:t>
      </w:r>
      <w:r>
        <w:rPr>
          <w:color w:val="231F20"/>
          <w:w w:val="105"/>
        </w:rPr>
        <w:t>en</w:t>
      </w:r>
      <w:r>
        <w:rPr>
          <w:color w:val="231F20"/>
          <w:spacing w:val="-39"/>
          <w:w w:val="105"/>
        </w:rPr>
        <w:t> </w:t>
      </w:r>
      <w:r>
        <w:rPr>
          <w:color w:val="231F20"/>
          <w:w w:val="105"/>
        </w:rPr>
        <w:t>el</w:t>
      </w:r>
      <w:r>
        <w:rPr>
          <w:color w:val="231F20"/>
          <w:spacing w:val="-39"/>
          <w:w w:val="105"/>
        </w:rPr>
        <w:t> </w:t>
      </w:r>
      <w:r>
        <w:rPr>
          <w:color w:val="231F20"/>
          <w:spacing w:val="-3"/>
          <w:w w:val="105"/>
        </w:rPr>
        <w:t>conflicto </w:t>
      </w:r>
      <w:r>
        <w:rPr>
          <w:color w:val="231F20"/>
          <w:w w:val="105"/>
        </w:rPr>
        <w:t>de</w:t>
      </w:r>
      <w:r>
        <w:rPr>
          <w:color w:val="231F20"/>
          <w:spacing w:val="-11"/>
          <w:w w:val="105"/>
        </w:rPr>
        <w:t> </w:t>
      </w:r>
      <w:r>
        <w:rPr>
          <w:color w:val="231F20"/>
          <w:spacing w:val="-3"/>
          <w:w w:val="105"/>
        </w:rPr>
        <w:t>intereses</w:t>
      </w:r>
      <w:r>
        <w:rPr>
          <w:color w:val="231F20"/>
          <w:spacing w:val="-11"/>
          <w:w w:val="105"/>
        </w:rPr>
        <w:t> </w:t>
      </w:r>
      <w:r>
        <w:rPr>
          <w:color w:val="231F20"/>
          <w:w w:val="105"/>
        </w:rPr>
        <w:t>y</w:t>
      </w:r>
      <w:r>
        <w:rPr>
          <w:color w:val="231F20"/>
          <w:spacing w:val="-11"/>
          <w:w w:val="105"/>
        </w:rPr>
        <w:t> </w:t>
      </w:r>
      <w:r>
        <w:rPr>
          <w:color w:val="231F20"/>
          <w:spacing w:val="-3"/>
          <w:w w:val="105"/>
        </w:rPr>
        <w:t>oportunismo</w:t>
      </w:r>
      <w:r>
        <w:rPr>
          <w:color w:val="231F20"/>
          <w:spacing w:val="-11"/>
          <w:w w:val="105"/>
        </w:rPr>
        <w:t> </w:t>
      </w:r>
      <w:r>
        <w:rPr>
          <w:color w:val="231F20"/>
          <w:w w:val="105"/>
        </w:rPr>
        <w:t>del</w:t>
      </w:r>
      <w:r>
        <w:rPr>
          <w:color w:val="231F20"/>
          <w:spacing w:val="-11"/>
          <w:w w:val="105"/>
        </w:rPr>
        <w:t> </w:t>
      </w:r>
      <w:r>
        <w:rPr>
          <w:color w:val="231F20"/>
          <w:spacing w:val="-3"/>
          <w:w w:val="105"/>
        </w:rPr>
        <w:t>gobierno</w:t>
      </w:r>
      <w:r>
        <w:rPr>
          <w:color w:val="231F20"/>
          <w:spacing w:val="-11"/>
          <w:w w:val="105"/>
        </w:rPr>
        <w:t> </w:t>
      </w:r>
      <w:r>
        <w:rPr>
          <w:color w:val="231F20"/>
          <w:spacing w:val="-3"/>
          <w:w w:val="105"/>
        </w:rPr>
        <w:t>para</w:t>
      </w:r>
      <w:r>
        <w:rPr>
          <w:color w:val="231F20"/>
          <w:spacing w:val="-11"/>
          <w:w w:val="105"/>
        </w:rPr>
        <w:t> </w:t>
      </w:r>
      <w:r>
        <w:rPr>
          <w:color w:val="231F20"/>
          <w:spacing w:val="-3"/>
          <w:w w:val="105"/>
        </w:rPr>
        <w:t>maximizar</w:t>
      </w:r>
      <w:r>
        <w:rPr>
          <w:color w:val="231F20"/>
          <w:spacing w:val="-11"/>
          <w:w w:val="105"/>
        </w:rPr>
        <w:t> </w:t>
      </w:r>
      <w:r>
        <w:rPr>
          <w:color w:val="231F20"/>
          <w:w w:val="105"/>
        </w:rPr>
        <w:t>su</w:t>
      </w:r>
      <w:r>
        <w:rPr>
          <w:color w:val="231F20"/>
          <w:spacing w:val="-11"/>
          <w:w w:val="105"/>
        </w:rPr>
        <w:t> </w:t>
      </w:r>
      <w:r>
        <w:rPr>
          <w:color w:val="231F20"/>
          <w:spacing w:val="-3"/>
          <w:w w:val="105"/>
        </w:rPr>
        <w:t>propio</w:t>
      </w:r>
      <w:r>
        <w:rPr>
          <w:color w:val="231F20"/>
          <w:spacing w:val="-11"/>
          <w:w w:val="105"/>
        </w:rPr>
        <w:t> </w:t>
      </w:r>
      <w:r>
        <w:rPr>
          <w:color w:val="231F20"/>
          <w:spacing w:val="-3"/>
          <w:w w:val="105"/>
        </w:rPr>
        <w:t>benefi- cio,</w:t>
      </w:r>
      <w:r>
        <w:rPr>
          <w:color w:val="231F20"/>
          <w:spacing w:val="-26"/>
          <w:w w:val="105"/>
        </w:rPr>
        <w:t> </w:t>
      </w:r>
      <w:r>
        <w:rPr>
          <w:color w:val="231F20"/>
          <w:spacing w:val="-3"/>
          <w:w w:val="105"/>
        </w:rPr>
        <w:t>cuya</w:t>
      </w:r>
      <w:r>
        <w:rPr>
          <w:color w:val="231F20"/>
          <w:spacing w:val="-21"/>
          <w:w w:val="105"/>
        </w:rPr>
        <w:t> </w:t>
      </w:r>
      <w:r>
        <w:rPr>
          <w:color w:val="231F20"/>
          <w:spacing w:val="-3"/>
          <w:w w:val="105"/>
        </w:rPr>
        <w:t>concepción</w:t>
      </w:r>
      <w:r>
        <w:rPr>
          <w:color w:val="231F20"/>
          <w:spacing w:val="-21"/>
          <w:w w:val="105"/>
        </w:rPr>
        <w:t> </w:t>
      </w:r>
      <w:r>
        <w:rPr>
          <w:color w:val="231F20"/>
          <w:w w:val="105"/>
        </w:rPr>
        <w:t>se</w:t>
      </w:r>
      <w:r>
        <w:rPr>
          <w:color w:val="231F20"/>
          <w:spacing w:val="-21"/>
          <w:w w:val="105"/>
        </w:rPr>
        <w:t> </w:t>
      </w:r>
      <w:r>
        <w:rPr>
          <w:color w:val="231F20"/>
          <w:spacing w:val="-3"/>
          <w:w w:val="105"/>
        </w:rPr>
        <w:t>basa</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3"/>
          <w:w w:val="105"/>
        </w:rPr>
        <w:t>problema</w:t>
      </w:r>
      <w:r>
        <w:rPr>
          <w:color w:val="231F20"/>
          <w:spacing w:val="-21"/>
          <w:w w:val="105"/>
        </w:rPr>
        <w:t> </w:t>
      </w:r>
      <w:r>
        <w:rPr>
          <w:color w:val="231F20"/>
          <w:w w:val="105"/>
        </w:rPr>
        <w:t>de</w:t>
      </w:r>
      <w:r>
        <w:rPr>
          <w:color w:val="231F20"/>
          <w:spacing w:val="-21"/>
          <w:w w:val="105"/>
        </w:rPr>
        <w:t> </w:t>
      </w:r>
      <w:r>
        <w:rPr>
          <w:color w:val="231F20"/>
          <w:spacing w:val="-3"/>
          <w:w w:val="105"/>
        </w:rPr>
        <w:t>agentes</w:t>
      </w:r>
      <w:r>
        <w:rPr>
          <w:color w:val="231F20"/>
          <w:spacing w:val="-21"/>
          <w:w w:val="105"/>
        </w:rPr>
        <w:t> </w:t>
      </w:r>
      <w:r>
        <w:rPr>
          <w:color w:val="231F20"/>
          <w:w w:val="105"/>
        </w:rPr>
        <w:t>y</w:t>
      </w:r>
      <w:r>
        <w:rPr>
          <w:color w:val="231F20"/>
          <w:spacing w:val="-21"/>
          <w:w w:val="105"/>
        </w:rPr>
        <w:t> </w:t>
      </w:r>
      <w:r>
        <w:rPr>
          <w:color w:val="231F20"/>
          <w:spacing w:val="-3"/>
          <w:w w:val="105"/>
        </w:rPr>
        <w:t>principales.</w:t>
      </w:r>
    </w:p>
    <w:p>
      <w:pPr>
        <w:spacing w:after="0" w:line="259" w:lineRule="auto"/>
        <w:jc w:val="both"/>
        <w:sectPr>
          <w:type w:val="continuous"/>
          <w:pgSz w:w="9640" w:h="13890"/>
          <w:pgMar w:top="1300" w:bottom="280" w:left="1280" w:right="1160"/>
        </w:sectPr>
      </w:pPr>
    </w:p>
    <w:p>
      <w:pPr>
        <w:pStyle w:val="BodyText"/>
        <w:spacing w:line="259" w:lineRule="auto" w:before="120"/>
        <w:ind w:left="115" w:right="109"/>
        <w:jc w:val="both"/>
      </w:pPr>
      <w:r>
        <w:rPr>
          <w:color w:val="231F20"/>
          <w:w w:val="105"/>
        </w:rPr>
        <w:t>En términos de posición y objetivos de sostenibilidad fiscal pueden in- ferirse dos dificultades desde la perspectiva de agentes y principales:</w:t>
      </w:r>
      <w:r>
        <w:rPr>
          <w:color w:val="231F20"/>
          <w:spacing w:val="-34"/>
          <w:w w:val="105"/>
        </w:rPr>
        <w:t> </w:t>
      </w:r>
      <w:r>
        <w:rPr>
          <w:color w:val="231F20"/>
          <w:w w:val="105"/>
        </w:rPr>
        <w:t>el gobierno y la sociedad respectivamente (Eisenhardt, 1988). El primero, relacionado</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conflicto</w:t>
      </w:r>
      <w:r>
        <w:rPr>
          <w:color w:val="231F20"/>
          <w:spacing w:val="-12"/>
          <w:w w:val="105"/>
        </w:rPr>
        <w:t> </w:t>
      </w:r>
      <w:r>
        <w:rPr>
          <w:color w:val="231F20"/>
          <w:w w:val="105"/>
        </w:rPr>
        <w:t>de</w:t>
      </w:r>
      <w:r>
        <w:rPr>
          <w:color w:val="231F20"/>
          <w:spacing w:val="-12"/>
          <w:w w:val="105"/>
        </w:rPr>
        <w:t> </w:t>
      </w:r>
      <w:r>
        <w:rPr>
          <w:color w:val="231F20"/>
          <w:w w:val="105"/>
        </w:rPr>
        <w:t>establecimiento</w:t>
      </w:r>
      <w:r>
        <w:rPr>
          <w:color w:val="231F20"/>
          <w:spacing w:val="-12"/>
          <w:w w:val="105"/>
        </w:rPr>
        <w:t> </w:t>
      </w:r>
      <w:r>
        <w:rPr>
          <w:color w:val="231F20"/>
          <w:w w:val="105"/>
        </w:rPr>
        <w:t>de</w:t>
      </w:r>
      <w:r>
        <w:rPr>
          <w:color w:val="231F20"/>
          <w:spacing w:val="-12"/>
          <w:w w:val="105"/>
        </w:rPr>
        <w:t> </w:t>
      </w:r>
      <w:r>
        <w:rPr>
          <w:color w:val="231F20"/>
          <w:w w:val="105"/>
        </w:rPr>
        <w:t>objetivos</w:t>
      </w:r>
      <w:r>
        <w:rPr>
          <w:color w:val="231F20"/>
          <w:spacing w:val="-12"/>
          <w:w w:val="105"/>
        </w:rPr>
        <w:t> </w:t>
      </w:r>
      <w:r>
        <w:rPr>
          <w:color w:val="231F20"/>
          <w:w w:val="105"/>
        </w:rPr>
        <w:t>de</w:t>
      </w:r>
      <w:r>
        <w:rPr>
          <w:color w:val="231F20"/>
          <w:spacing w:val="-12"/>
          <w:w w:val="105"/>
        </w:rPr>
        <w:t> </w:t>
      </w:r>
      <w:r>
        <w:rPr>
          <w:color w:val="231F20"/>
          <w:w w:val="105"/>
        </w:rPr>
        <w:t>déficit</w:t>
      </w:r>
      <w:r>
        <w:rPr>
          <w:color w:val="231F20"/>
          <w:spacing w:val="-12"/>
          <w:w w:val="105"/>
        </w:rPr>
        <w:t> </w:t>
      </w:r>
      <w:r>
        <w:rPr>
          <w:color w:val="231F20"/>
          <w:w w:val="105"/>
        </w:rPr>
        <w:t>fis- cal</w:t>
      </w:r>
      <w:r>
        <w:rPr>
          <w:color w:val="231F20"/>
          <w:spacing w:val="-5"/>
          <w:w w:val="105"/>
        </w:rPr>
        <w:t> </w:t>
      </w:r>
      <w:r>
        <w:rPr>
          <w:color w:val="231F20"/>
          <w:w w:val="105"/>
        </w:rPr>
        <w:t>y</w:t>
      </w:r>
      <w:r>
        <w:rPr>
          <w:color w:val="231F20"/>
          <w:spacing w:val="-5"/>
          <w:w w:val="105"/>
        </w:rPr>
        <w:t> </w:t>
      </w:r>
      <w:r>
        <w:rPr>
          <w:color w:val="231F20"/>
          <w:w w:val="105"/>
        </w:rPr>
        <w:t>deuda</w:t>
      </w:r>
      <w:r>
        <w:rPr>
          <w:color w:val="231F20"/>
          <w:spacing w:val="-5"/>
          <w:w w:val="105"/>
        </w:rPr>
        <w:t> </w:t>
      </w:r>
      <w:r>
        <w:rPr>
          <w:color w:val="231F20"/>
          <w:w w:val="105"/>
        </w:rPr>
        <w:t>pública;</w:t>
      </w:r>
      <w:r>
        <w:rPr>
          <w:color w:val="231F20"/>
          <w:spacing w:val="-5"/>
          <w:w w:val="105"/>
        </w:rPr>
        <w:t> </w:t>
      </w:r>
      <w:r>
        <w:rPr>
          <w:color w:val="231F20"/>
          <w:w w:val="105"/>
        </w:rPr>
        <w:t>el</w:t>
      </w:r>
      <w:r>
        <w:rPr>
          <w:color w:val="231F20"/>
          <w:spacing w:val="-5"/>
          <w:w w:val="105"/>
        </w:rPr>
        <w:t> </w:t>
      </w:r>
      <w:r>
        <w:rPr>
          <w:color w:val="231F20"/>
          <w:w w:val="105"/>
        </w:rPr>
        <w:t>segundo,</w:t>
      </w:r>
      <w:r>
        <w:rPr>
          <w:color w:val="231F20"/>
          <w:spacing w:val="-10"/>
          <w:w w:val="105"/>
        </w:rPr>
        <w:t> </w:t>
      </w:r>
      <w:r>
        <w:rPr>
          <w:color w:val="231F20"/>
          <w:w w:val="105"/>
        </w:rPr>
        <w:t>cuando</w:t>
      </w:r>
      <w:r>
        <w:rPr>
          <w:color w:val="231F20"/>
          <w:spacing w:val="-5"/>
          <w:w w:val="105"/>
        </w:rPr>
        <w:t> </w:t>
      </w:r>
      <w:r>
        <w:rPr>
          <w:color w:val="231F20"/>
          <w:w w:val="105"/>
        </w:rPr>
        <w:t>existen</w:t>
      </w:r>
      <w:r>
        <w:rPr>
          <w:color w:val="231F20"/>
          <w:spacing w:val="-5"/>
          <w:w w:val="105"/>
        </w:rPr>
        <w:t> </w:t>
      </w:r>
      <w:r>
        <w:rPr>
          <w:color w:val="231F20"/>
          <w:w w:val="105"/>
        </w:rPr>
        <w:t>diferentes</w:t>
      </w:r>
      <w:r>
        <w:rPr>
          <w:color w:val="231F20"/>
          <w:spacing w:val="-5"/>
          <w:w w:val="105"/>
        </w:rPr>
        <w:t> </w:t>
      </w:r>
      <w:r>
        <w:rPr>
          <w:color w:val="231F20"/>
          <w:w w:val="105"/>
        </w:rPr>
        <w:t>perspectivas de</w:t>
      </w:r>
      <w:r>
        <w:rPr>
          <w:color w:val="231F20"/>
          <w:spacing w:val="-15"/>
          <w:w w:val="105"/>
        </w:rPr>
        <w:t> </w:t>
      </w:r>
      <w:r>
        <w:rPr>
          <w:color w:val="231F20"/>
          <w:w w:val="105"/>
        </w:rPr>
        <w:t>riesgo</w:t>
      </w:r>
      <w:r>
        <w:rPr>
          <w:color w:val="231F20"/>
          <w:spacing w:val="-15"/>
          <w:w w:val="105"/>
        </w:rPr>
        <w:t> </w:t>
      </w:r>
      <w:r>
        <w:rPr>
          <w:color w:val="231F20"/>
          <w:w w:val="105"/>
        </w:rPr>
        <w:t>entre</w:t>
      </w:r>
      <w:r>
        <w:rPr>
          <w:color w:val="231F20"/>
          <w:spacing w:val="-15"/>
          <w:w w:val="105"/>
        </w:rPr>
        <w:t> </w:t>
      </w:r>
      <w:r>
        <w:rPr>
          <w:color w:val="231F20"/>
          <w:w w:val="105"/>
        </w:rPr>
        <w:t>ambas</w:t>
      </w:r>
      <w:r>
        <w:rPr>
          <w:color w:val="231F20"/>
          <w:spacing w:val="-15"/>
          <w:w w:val="105"/>
        </w:rPr>
        <w:t> </w:t>
      </w:r>
      <w:r>
        <w:rPr>
          <w:color w:val="231F20"/>
          <w:w w:val="105"/>
        </w:rPr>
        <w:t>partes</w:t>
      </w:r>
      <w:r>
        <w:rPr>
          <w:color w:val="231F20"/>
          <w:spacing w:val="-15"/>
          <w:w w:val="105"/>
        </w:rPr>
        <w:t> </w:t>
      </w:r>
      <w:r>
        <w:rPr>
          <w:color w:val="231F20"/>
          <w:w w:val="105"/>
        </w:rPr>
        <w:t>(en</w:t>
      </w:r>
      <w:r>
        <w:rPr>
          <w:color w:val="231F20"/>
          <w:spacing w:val="-15"/>
          <w:w w:val="105"/>
        </w:rPr>
        <w:t> </w:t>
      </w:r>
      <w:r>
        <w:rPr>
          <w:color w:val="231F20"/>
          <w:w w:val="105"/>
        </w:rPr>
        <w:t>relación</w:t>
      </w:r>
      <w:r>
        <w:rPr>
          <w:color w:val="231F20"/>
          <w:spacing w:val="-15"/>
          <w:w w:val="105"/>
        </w:rPr>
        <w:t> </w:t>
      </w:r>
      <w:r>
        <w:rPr>
          <w:color w:val="231F20"/>
          <w:w w:val="105"/>
        </w:rPr>
        <w:t>al</w:t>
      </w:r>
      <w:r>
        <w:rPr>
          <w:color w:val="231F20"/>
          <w:spacing w:val="-15"/>
          <w:w w:val="105"/>
        </w:rPr>
        <w:t> </w:t>
      </w:r>
      <w:r>
        <w:rPr>
          <w:color w:val="231F20"/>
          <w:w w:val="105"/>
        </w:rPr>
        <w:t>gobierno</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sociedad).</w:t>
      </w:r>
    </w:p>
    <w:p>
      <w:pPr>
        <w:pStyle w:val="BodyText"/>
        <w:spacing w:line="259" w:lineRule="auto"/>
        <w:ind w:left="115" w:right="110" w:firstLine="567"/>
        <w:jc w:val="right"/>
      </w:pPr>
      <w:r>
        <w:rPr>
          <w:color w:val="231F20"/>
          <w:spacing w:val="-7"/>
          <w:w w:val="105"/>
        </w:rPr>
        <w:t>Por </w:t>
      </w:r>
      <w:r>
        <w:rPr>
          <w:color w:val="231F20"/>
          <w:spacing w:val="-2"/>
          <w:w w:val="105"/>
        </w:rPr>
        <w:t>tanto, </w:t>
      </w:r>
      <w:r>
        <w:rPr>
          <w:color w:val="231F20"/>
          <w:w w:val="105"/>
        </w:rPr>
        <w:t>la </w:t>
      </w:r>
      <w:r>
        <w:rPr>
          <w:color w:val="231F20"/>
          <w:spacing w:val="-3"/>
          <w:w w:val="105"/>
        </w:rPr>
        <w:t>propuesta </w:t>
      </w:r>
      <w:r>
        <w:rPr>
          <w:color w:val="231F20"/>
          <w:w w:val="105"/>
        </w:rPr>
        <w:t>central es que los </w:t>
      </w:r>
      <w:r>
        <w:rPr>
          <w:color w:val="231F20"/>
          <w:spacing w:val="-3"/>
          <w:w w:val="105"/>
        </w:rPr>
        <w:t>contratos </w:t>
      </w:r>
      <w:r>
        <w:rPr>
          <w:color w:val="231F20"/>
          <w:w w:val="105"/>
        </w:rPr>
        <w:t>basados</w:t>
      </w:r>
      <w:r>
        <w:rPr>
          <w:color w:val="231F20"/>
          <w:spacing w:val="-35"/>
          <w:w w:val="105"/>
        </w:rPr>
        <w:t> </w:t>
      </w:r>
      <w:r>
        <w:rPr>
          <w:color w:val="231F20"/>
          <w:w w:val="105"/>
        </w:rPr>
        <w:t>en</w:t>
      </w:r>
      <w:r>
        <w:rPr>
          <w:color w:val="231F20"/>
          <w:spacing w:val="-5"/>
          <w:w w:val="105"/>
        </w:rPr>
        <w:t> </w:t>
      </w:r>
      <w:r>
        <w:rPr>
          <w:color w:val="231F20"/>
          <w:spacing w:val="-3"/>
          <w:w w:val="105"/>
        </w:rPr>
        <w:t>re-</w:t>
      </w:r>
      <w:r>
        <w:rPr>
          <w:color w:val="231F20"/>
          <w:w w:val="96"/>
        </w:rPr>
        <w:t> </w:t>
      </w:r>
      <w:r>
        <w:rPr>
          <w:color w:val="231F20"/>
          <w:w w:val="105"/>
        </w:rPr>
        <w:t>sultados</w:t>
      </w:r>
      <w:r>
        <w:rPr>
          <w:color w:val="231F20"/>
          <w:spacing w:val="-24"/>
          <w:w w:val="105"/>
        </w:rPr>
        <w:t> </w:t>
      </w:r>
      <w:r>
        <w:rPr>
          <w:color w:val="231F20"/>
          <w:spacing w:val="-3"/>
          <w:w w:val="105"/>
        </w:rPr>
        <w:t>(reglas</w:t>
      </w:r>
      <w:r>
        <w:rPr>
          <w:color w:val="231F20"/>
          <w:spacing w:val="-24"/>
          <w:w w:val="105"/>
        </w:rPr>
        <w:t> </w:t>
      </w:r>
      <w:r>
        <w:rPr>
          <w:color w:val="231F20"/>
          <w:w w:val="105"/>
        </w:rPr>
        <w:t>fiscales)</w:t>
      </w:r>
      <w:r>
        <w:rPr>
          <w:color w:val="231F20"/>
          <w:spacing w:val="-24"/>
          <w:w w:val="105"/>
        </w:rPr>
        <w:t> </w:t>
      </w:r>
      <w:r>
        <w:rPr>
          <w:color w:val="231F20"/>
          <w:spacing w:val="-3"/>
          <w:w w:val="105"/>
        </w:rPr>
        <w:t>reducen</w:t>
      </w:r>
      <w:r>
        <w:rPr>
          <w:color w:val="231F20"/>
          <w:spacing w:val="-24"/>
          <w:w w:val="105"/>
        </w:rPr>
        <w:t> </w:t>
      </w:r>
      <w:r>
        <w:rPr>
          <w:color w:val="231F20"/>
          <w:w w:val="105"/>
        </w:rPr>
        <w:t>el</w:t>
      </w:r>
      <w:r>
        <w:rPr>
          <w:color w:val="231F20"/>
          <w:spacing w:val="-24"/>
          <w:w w:val="105"/>
        </w:rPr>
        <w:t> </w:t>
      </w:r>
      <w:r>
        <w:rPr>
          <w:color w:val="231F20"/>
          <w:w w:val="105"/>
        </w:rPr>
        <w:t>oportunismo</w:t>
      </w:r>
      <w:r>
        <w:rPr>
          <w:color w:val="231F20"/>
          <w:spacing w:val="-24"/>
          <w:w w:val="105"/>
        </w:rPr>
        <w:t> </w:t>
      </w:r>
      <w:r>
        <w:rPr>
          <w:color w:val="231F20"/>
          <w:w w:val="105"/>
        </w:rPr>
        <w:t>del</w:t>
      </w:r>
      <w:r>
        <w:rPr>
          <w:color w:val="231F20"/>
          <w:spacing w:val="-24"/>
          <w:w w:val="105"/>
        </w:rPr>
        <w:t> </w:t>
      </w:r>
      <w:r>
        <w:rPr>
          <w:color w:val="231F20"/>
          <w:w w:val="105"/>
        </w:rPr>
        <w:t>agente</w:t>
      </w:r>
      <w:r>
        <w:rPr>
          <w:color w:val="231F20"/>
          <w:spacing w:val="-24"/>
          <w:w w:val="105"/>
        </w:rPr>
        <w:t> </w:t>
      </w:r>
      <w:r>
        <w:rPr>
          <w:color w:val="231F20"/>
          <w:w w:val="105"/>
        </w:rPr>
        <w:t>(el</w:t>
      </w:r>
      <w:r>
        <w:rPr>
          <w:color w:val="231F20"/>
          <w:spacing w:val="-24"/>
          <w:w w:val="105"/>
        </w:rPr>
        <w:t> </w:t>
      </w:r>
      <w:r>
        <w:rPr>
          <w:color w:val="231F20"/>
          <w:w w:val="105"/>
        </w:rPr>
        <w:t>gobierno)</w:t>
      </w:r>
      <w:r>
        <w:rPr>
          <w:color w:val="231F20"/>
          <w:spacing w:val="-2"/>
          <w:w w:val="107"/>
        </w:rPr>
        <w:t> </w:t>
      </w:r>
      <w:r>
        <w:rPr>
          <w:color w:val="231F20"/>
          <w:w w:val="105"/>
        </w:rPr>
        <w:t>que</w:t>
      </w:r>
      <w:r>
        <w:rPr>
          <w:color w:val="231F20"/>
          <w:spacing w:val="-15"/>
          <w:w w:val="105"/>
        </w:rPr>
        <w:t> </w:t>
      </w:r>
      <w:r>
        <w:rPr>
          <w:color w:val="231F20"/>
          <w:w w:val="105"/>
        </w:rPr>
        <w:t>puede</w:t>
      </w:r>
      <w:r>
        <w:rPr>
          <w:color w:val="231F20"/>
          <w:spacing w:val="-15"/>
          <w:w w:val="105"/>
        </w:rPr>
        <w:t> </w:t>
      </w:r>
      <w:r>
        <w:rPr>
          <w:color w:val="231F20"/>
          <w:w w:val="105"/>
        </w:rPr>
        <w:t>venir</w:t>
      </w:r>
      <w:r>
        <w:rPr>
          <w:color w:val="231F20"/>
          <w:spacing w:val="-15"/>
          <w:w w:val="105"/>
        </w:rPr>
        <w:t> </w:t>
      </w:r>
      <w:r>
        <w:rPr>
          <w:color w:val="231F20"/>
          <w:w w:val="105"/>
        </w:rPr>
        <w:t>por</w:t>
      </w:r>
      <w:r>
        <w:rPr>
          <w:color w:val="231F20"/>
          <w:spacing w:val="-15"/>
          <w:w w:val="105"/>
        </w:rPr>
        <w:t> </w:t>
      </w:r>
      <w:r>
        <w:rPr>
          <w:color w:val="231F20"/>
          <w:spacing w:val="-3"/>
          <w:w w:val="105"/>
        </w:rPr>
        <w:t>tres</w:t>
      </w:r>
      <w:r>
        <w:rPr>
          <w:color w:val="231F20"/>
          <w:spacing w:val="-15"/>
          <w:w w:val="105"/>
        </w:rPr>
        <w:t> </w:t>
      </w:r>
      <w:r>
        <w:rPr>
          <w:color w:val="231F20"/>
          <w:w w:val="105"/>
        </w:rPr>
        <w:t>vías</w:t>
      </w:r>
      <w:r>
        <w:rPr>
          <w:color w:val="231F20"/>
          <w:spacing w:val="-15"/>
          <w:w w:val="105"/>
        </w:rPr>
        <w:t> </w:t>
      </w:r>
      <w:r>
        <w:rPr>
          <w:color w:val="231F20"/>
          <w:w w:val="105"/>
        </w:rPr>
        <w:t>(Olson,</w:t>
      </w:r>
      <w:r>
        <w:rPr>
          <w:color w:val="231F20"/>
          <w:spacing w:val="-20"/>
          <w:w w:val="105"/>
        </w:rPr>
        <w:t> </w:t>
      </w:r>
      <w:r>
        <w:rPr>
          <w:color w:val="231F20"/>
          <w:w w:val="105"/>
        </w:rPr>
        <w:t>1969):</w:t>
      </w:r>
      <w:r>
        <w:rPr>
          <w:color w:val="231F20"/>
          <w:spacing w:val="-15"/>
          <w:w w:val="105"/>
        </w:rPr>
        <w:t> </w:t>
      </w:r>
      <w:r>
        <w:rPr>
          <w:color w:val="231F20"/>
          <w:w w:val="105"/>
        </w:rPr>
        <w:t>(i)</w:t>
      </w:r>
      <w:r>
        <w:rPr>
          <w:color w:val="231F20"/>
          <w:spacing w:val="-15"/>
          <w:w w:val="105"/>
        </w:rPr>
        <w:t> </w:t>
      </w:r>
      <w:r>
        <w:rPr>
          <w:color w:val="231F20"/>
          <w:w w:val="105"/>
        </w:rPr>
        <w:t>utilización</w:t>
      </w:r>
      <w:r>
        <w:rPr>
          <w:color w:val="231F20"/>
          <w:spacing w:val="-15"/>
          <w:w w:val="105"/>
        </w:rPr>
        <w:t> </w:t>
      </w:r>
      <w:r>
        <w:rPr>
          <w:color w:val="231F20"/>
          <w:w w:val="105"/>
        </w:rPr>
        <w:t>de</w:t>
      </w:r>
      <w:r>
        <w:rPr>
          <w:color w:val="231F20"/>
          <w:spacing w:val="-15"/>
          <w:w w:val="105"/>
        </w:rPr>
        <w:t> </w:t>
      </w:r>
      <w:r>
        <w:rPr>
          <w:color w:val="231F20"/>
          <w:w w:val="105"/>
        </w:rPr>
        <w:t>información</w:t>
      </w:r>
      <w:r>
        <w:rPr>
          <w:color w:val="231F20"/>
          <w:spacing w:val="-2"/>
          <w:w w:val="105"/>
        </w:rPr>
        <w:t> </w:t>
      </w:r>
      <w:r>
        <w:rPr>
          <w:color w:val="231F20"/>
          <w:w w:val="105"/>
        </w:rPr>
        <w:t>asimétrica</w:t>
      </w:r>
      <w:r>
        <w:rPr>
          <w:color w:val="231F20"/>
          <w:spacing w:val="-37"/>
          <w:w w:val="105"/>
        </w:rPr>
        <w:t> </w:t>
      </w:r>
      <w:r>
        <w:rPr>
          <w:color w:val="231F20"/>
          <w:w w:val="105"/>
        </w:rPr>
        <w:t>para</w:t>
      </w:r>
      <w:r>
        <w:rPr>
          <w:color w:val="231F20"/>
          <w:spacing w:val="-37"/>
          <w:w w:val="105"/>
        </w:rPr>
        <w:t> </w:t>
      </w:r>
      <w:r>
        <w:rPr>
          <w:color w:val="231F20"/>
          <w:w w:val="105"/>
        </w:rPr>
        <w:t>la</w:t>
      </w:r>
      <w:r>
        <w:rPr>
          <w:color w:val="231F20"/>
          <w:spacing w:val="-37"/>
          <w:w w:val="105"/>
        </w:rPr>
        <w:t> </w:t>
      </w:r>
      <w:r>
        <w:rPr>
          <w:color w:val="231F20"/>
          <w:w w:val="105"/>
        </w:rPr>
        <w:t>determinación</w:t>
      </w:r>
      <w:r>
        <w:rPr>
          <w:color w:val="231F20"/>
          <w:spacing w:val="-37"/>
          <w:w w:val="105"/>
        </w:rPr>
        <w:t> </w:t>
      </w:r>
      <w:r>
        <w:rPr>
          <w:color w:val="231F20"/>
          <w:w w:val="105"/>
        </w:rPr>
        <w:t>de</w:t>
      </w:r>
      <w:r>
        <w:rPr>
          <w:color w:val="231F20"/>
          <w:spacing w:val="-37"/>
          <w:w w:val="105"/>
        </w:rPr>
        <w:t> </w:t>
      </w:r>
      <w:r>
        <w:rPr>
          <w:color w:val="231F20"/>
          <w:spacing w:val="-3"/>
          <w:w w:val="105"/>
        </w:rPr>
        <w:t>resultados</w:t>
      </w:r>
      <w:r>
        <w:rPr>
          <w:color w:val="231F20"/>
          <w:spacing w:val="-37"/>
          <w:w w:val="105"/>
        </w:rPr>
        <w:t> </w:t>
      </w:r>
      <w:r>
        <w:rPr>
          <w:color w:val="231F20"/>
          <w:w w:val="105"/>
        </w:rPr>
        <w:t>fiscales</w:t>
      </w:r>
      <w:r>
        <w:rPr>
          <w:color w:val="231F20"/>
          <w:spacing w:val="-37"/>
          <w:w w:val="105"/>
        </w:rPr>
        <w:t> </w:t>
      </w:r>
      <w:r>
        <w:rPr>
          <w:color w:val="231F20"/>
          <w:w w:val="105"/>
        </w:rPr>
        <w:t>inadecuados;</w:t>
      </w:r>
      <w:r>
        <w:rPr>
          <w:color w:val="231F20"/>
          <w:spacing w:val="-37"/>
          <w:w w:val="105"/>
        </w:rPr>
        <w:t> </w:t>
      </w:r>
      <w:r>
        <w:rPr>
          <w:color w:val="231F20"/>
          <w:w w:val="105"/>
        </w:rPr>
        <w:t>(ii)</w:t>
      </w:r>
      <w:r>
        <w:rPr>
          <w:color w:val="231F20"/>
          <w:spacing w:val="-37"/>
          <w:w w:val="105"/>
        </w:rPr>
        <w:t> </w:t>
      </w:r>
      <w:r>
        <w:rPr>
          <w:color w:val="231F20"/>
          <w:w w:val="105"/>
        </w:rPr>
        <w:t>la</w:t>
      </w:r>
      <w:r>
        <w:rPr>
          <w:color w:val="231F20"/>
          <w:spacing w:val="-2"/>
          <w:w w:val="100"/>
        </w:rPr>
        <w:t> </w:t>
      </w:r>
      <w:r>
        <w:rPr>
          <w:color w:val="231F20"/>
          <w:w w:val="105"/>
        </w:rPr>
        <w:t>posibilidad</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sociedad</w:t>
      </w:r>
      <w:r>
        <w:rPr>
          <w:color w:val="231F20"/>
          <w:spacing w:val="-18"/>
          <w:w w:val="105"/>
        </w:rPr>
        <w:t> </w:t>
      </w:r>
      <w:r>
        <w:rPr>
          <w:color w:val="231F20"/>
          <w:w w:val="105"/>
        </w:rPr>
        <w:t>no</w:t>
      </w:r>
      <w:r>
        <w:rPr>
          <w:color w:val="231F20"/>
          <w:spacing w:val="-18"/>
          <w:w w:val="105"/>
        </w:rPr>
        <w:t> </w:t>
      </w:r>
      <w:r>
        <w:rPr>
          <w:color w:val="231F20"/>
          <w:w w:val="105"/>
        </w:rPr>
        <w:t>pueda</w:t>
      </w:r>
      <w:r>
        <w:rPr>
          <w:color w:val="231F20"/>
          <w:spacing w:val="-18"/>
          <w:w w:val="105"/>
        </w:rPr>
        <w:t> </w:t>
      </w:r>
      <w:r>
        <w:rPr>
          <w:color w:val="231F20"/>
          <w:spacing w:val="-3"/>
          <w:w w:val="105"/>
        </w:rPr>
        <w:t>monitorear</w:t>
      </w:r>
      <w:r>
        <w:rPr>
          <w:color w:val="231F20"/>
          <w:spacing w:val="-18"/>
          <w:w w:val="105"/>
        </w:rPr>
        <w:t> </w:t>
      </w:r>
      <w:r>
        <w:rPr>
          <w:color w:val="231F20"/>
          <w:w w:val="105"/>
        </w:rPr>
        <w:t>y</w:t>
      </w:r>
      <w:r>
        <w:rPr>
          <w:color w:val="231F20"/>
          <w:spacing w:val="-18"/>
          <w:w w:val="105"/>
        </w:rPr>
        <w:t> </w:t>
      </w:r>
      <w:r>
        <w:rPr>
          <w:color w:val="231F20"/>
          <w:w w:val="105"/>
        </w:rPr>
        <w:t>fiscalizar</w:t>
      </w:r>
      <w:r>
        <w:rPr>
          <w:color w:val="231F20"/>
          <w:spacing w:val="-18"/>
          <w:w w:val="105"/>
        </w:rPr>
        <w:t> </w:t>
      </w:r>
      <w:r>
        <w:rPr>
          <w:color w:val="231F20"/>
          <w:w w:val="105"/>
        </w:rPr>
        <w:t>una</w:t>
      </w:r>
      <w:r>
        <w:rPr>
          <w:color w:val="231F20"/>
          <w:spacing w:val="-18"/>
          <w:w w:val="105"/>
        </w:rPr>
        <w:t> </w:t>
      </w:r>
      <w:r>
        <w:rPr>
          <w:color w:val="231F20"/>
          <w:w w:val="105"/>
        </w:rPr>
        <w:t>posición</w:t>
      </w:r>
      <w:r>
        <w:rPr>
          <w:color w:val="231F20"/>
          <w:spacing w:val="-2"/>
          <w:w w:val="105"/>
        </w:rPr>
        <w:t> </w:t>
      </w:r>
      <w:r>
        <w:rPr>
          <w:color w:val="231F20"/>
          <w:w w:val="105"/>
        </w:rPr>
        <w:t>fiscal</w:t>
      </w:r>
      <w:r>
        <w:rPr>
          <w:color w:val="231F20"/>
          <w:spacing w:val="-27"/>
          <w:w w:val="105"/>
        </w:rPr>
        <w:t> </w:t>
      </w:r>
      <w:r>
        <w:rPr>
          <w:color w:val="231F20"/>
          <w:w w:val="105"/>
        </w:rPr>
        <w:t>adecuada;</w:t>
      </w:r>
      <w:r>
        <w:rPr>
          <w:color w:val="231F20"/>
          <w:spacing w:val="-27"/>
          <w:w w:val="105"/>
        </w:rPr>
        <w:t> </w:t>
      </w:r>
      <w:r>
        <w:rPr>
          <w:color w:val="231F20"/>
          <w:w w:val="105"/>
        </w:rPr>
        <w:t>(iii)</w:t>
      </w:r>
      <w:r>
        <w:rPr>
          <w:color w:val="231F20"/>
          <w:spacing w:val="-27"/>
          <w:w w:val="105"/>
        </w:rPr>
        <w:t> </w:t>
      </w:r>
      <w:r>
        <w:rPr>
          <w:color w:val="231F20"/>
          <w:w w:val="105"/>
        </w:rPr>
        <w:t>los</w:t>
      </w:r>
      <w:r>
        <w:rPr>
          <w:color w:val="231F20"/>
          <w:spacing w:val="-27"/>
          <w:w w:val="105"/>
        </w:rPr>
        <w:t> </w:t>
      </w:r>
      <w:r>
        <w:rPr>
          <w:color w:val="231F20"/>
          <w:w w:val="105"/>
        </w:rPr>
        <w:t>beneficios</w:t>
      </w:r>
      <w:r>
        <w:rPr>
          <w:color w:val="231F20"/>
          <w:spacing w:val="-27"/>
          <w:w w:val="105"/>
        </w:rPr>
        <w:t> </w:t>
      </w:r>
      <w:r>
        <w:rPr>
          <w:color w:val="231F20"/>
          <w:w w:val="105"/>
        </w:rPr>
        <w:t>no</w:t>
      </w:r>
      <w:r>
        <w:rPr>
          <w:color w:val="231F20"/>
          <w:spacing w:val="-27"/>
          <w:w w:val="105"/>
        </w:rPr>
        <w:t> </w:t>
      </w:r>
      <w:r>
        <w:rPr>
          <w:color w:val="231F20"/>
          <w:w w:val="105"/>
        </w:rPr>
        <w:t>son</w:t>
      </w:r>
      <w:r>
        <w:rPr>
          <w:color w:val="231F20"/>
          <w:spacing w:val="-27"/>
          <w:w w:val="105"/>
        </w:rPr>
        <w:t> </w:t>
      </w:r>
      <w:r>
        <w:rPr>
          <w:color w:val="231F20"/>
          <w:spacing w:val="-3"/>
          <w:w w:val="105"/>
        </w:rPr>
        <w:t>proporcionalmente</w:t>
      </w:r>
      <w:r>
        <w:rPr>
          <w:color w:val="231F20"/>
          <w:spacing w:val="-27"/>
          <w:w w:val="105"/>
        </w:rPr>
        <w:t> </w:t>
      </w:r>
      <w:r>
        <w:rPr>
          <w:color w:val="231F20"/>
          <w:w w:val="105"/>
        </w:rPr>
        <w:t>distribuidos.</w:t>
      </w:r>
      <w:r>
        <w:rPr>
          <w:color w:val="231F20"/>
          <w:spacing w:val="-2"/>
          <w:w w:val="106"/>
        </w:rPr>
        <w:t> </w:t>
      </w:r>
      <w:r>
        <w:rPr>
          <w:color w:val="231F20"/>
          <w:w w:val="105"/>
        </w:rPr>
        <w:t>La</w:t>
      </w:r>
      <w:r>
        <w:rPr>
          <w:color w:val="231F20"/>
          <w:spacing w:val="-7"/>
          <w:w w:val="105"/>
        </w:rPr>
        <w:t> </w:t>
      </w:r>
      <w:r>
        <w:rPr>
          <w:color w:val="231F20"/>
          <w:w w:val="105"/>
        </w:rPr>
        <w:t>sociedad</w:t>
      </w:r>
      <w:r>
        <w:rPr>
          <w:color w:val="231F20"/>
          <w:spacing w:val="-7"/>
          <w:w w:val="105"/>
        </w:rPr>
        <w:t> </w:t>
      </w:r>
      <w:r>
        <w:rPr>
          <w:color w:val="231F20"/>
          <w:w w:val="105"/>
        </w:rPr>
        <w:t>es</w:t>
      </w:r>
      <w:r>
        <w:rPr>
          <w:color w:val="231F20"/>
          <w:spacing w:val="-7"/>
          <w:w w:val="105"/>
        </w:rPr>
        <w:t> </w:t>
      </w:r>
      <w:r>
        <w:rPr>
          <w:color w:val="231F20"/>
          <w:w w:val="105"/>
        </w:rPr>
        <w:t>una</w:t>
      </w:r>
      <w:r>
        <w:rPr>
          <w:color w:val="231F20"/>
          <w:spacing w:val="-7"/>
          <w:w w:val="105"/>
        </w:rPr>
        <w:t> </w:t>
      </w:r>
      <w:r>
        <w:rPr>
          <w:color w:val="231F20"/>
          <w:w w:val="105"/>
        </w:rPr>
        <w:t>fuente</w:t>
      </w:r>
      <w:r>
        <w:rPr>
          <w:color w:val="231F20"/>
          <w:spacing w:val="-7"/>
          <w:w w:val="105"/>
        </w:rPr>
        <w:t> </w:t>
      </w:r>
      <w:r>
        <w:rPr>
          <w:color w:val="231F20"/>
          <w:w w:val="105"/>
        </w:rPr>
        <w:t>importante</w:t>
      </w:r>
      <w:r>
        <w:rPr>
          <w:color w:val="231F20"/>
          <w:spacing w:val="-7"/>
          <w:w w:val="105"/>
        </w:rPr>
        <w:t> </w:t>
      </w:r>
      <w:r>
        <w:rPr>
          <w:color w:val="231F20"/>
          <w:w w:val="105"/>
        </w:rPr>
        <w:t>para</w:t>
      </w:r>
      <w:r>
        <w:rPr>
          <w:color w:val="231F20"/>
          <w:spacing w:val="-7"/>
          <w:w w:val="105"/>
        </w:rPr>
        <w:t> </w:t>
      </w:r>
      <w:r>
        <w:rPr>
          <w:color w:val="231F20"/>
          <w:w w:val="105"/>
        </w:rPr>
        <w:t>minimizar</w:t>
      </w:r>
      <w:r>
        <w:rPr>
          <w:color w:val="231F20"/>
          <w:spacing w:val="-7"/>
          <w:w w:val="105"/>
        </w:rPr>
        <w:t> </w:t>
      </w:r>
      <w:r>
        <w:rPr>
          <w:color w:val="231F20"/>
          <w:w w:val="105"/>
        </w:rPr>
        <w:t>el</w:t>
      </w:r>
      <w:r>
        <w:rPr>
          <w:color w:val="231F20"/>
          <w:spacing w:val="-7"/>
          <w:w w:val="105"/>
        </w:rPr>
        <w:t> </w:t>
      </w:r>
      <w:r>
        <w:rPr>
          <w:color w:val="231F20"/>
          <w:w w:val="105"/>
        </w:rPr>
        <w:t>oportunis-</w:t>
      </w:r>
    </w:p>
    <w:p>
      <w:pPr>
        <w:pStyle w:val="BodyText"/>
        <w:spacing w:line="259" w:lineRule="auto"/>
        <w:ind w:left="115" w:right="109"/>
        <w:jc w:val="both"/>
      </w:pPr>
      <w:r>
        <w:rPr>
          <w:color w:val="231F20"/>
          <w:w w:val="105"/>
        </w:rPr>
        <w:t>mo del gobierno cuando controla el cumplimiento de las reglas fiscales. Desde</w:t>
      </w:r>
      <w:r>
        <w:rPr>
          <w:color w:val="231F20"/>
          <w:spacing w:val="-8"/>
          <w:w w:val="105"/>
        </w:rPr>
        <w:t> </w:t>
      </w:r>
      <w:r>
        <w:rPr>
          <w:color w:val="231F20"/>
          <w:w w:val="105"/>
        </w:rPr>
        <w:t>la</w:t>
      </w:r>
      <w:r>
        <w:rPr>
          <w:color w:val="231F20"/>
          <w:spacing w:val="-8"/>
          <w:w w:val="105"/>
        </w:rPr>
        <w:t> </w:t>
      </w:r>
      <w:r>
        <w:rPr>
          <w:color w:val="231F20"/>
          <w:w w:val="105"/>
        </w:rPr>
        <w:t>perspectiva</w:t>
      </w:r>
      <w:r>
        <w:rPr>
          <w:color w:val="231F20"/>
          <w:spacing w:val="-8"/>
          <w:w w:val="105"/>
        </w:rPr>
        <w:t> </w:t>
      </w:r>
      <w:r>
        <w:rPr>
          <w:color w:val="231F20"/>
          <w:w w:val="105"/>
        </w:rPr>
        <w:t>de</w:t>
      </w:r>
      <w:r>
        <w:rPr>
          <w:color w:val="231F20"/>
          <w:spacing w:val="-8"/>
          <w:w w:val="105"/>
        </w:rPr>
        <w:t> </w:t>
      </w:r>
      <w:r>
        <w:rPr>
          <w:color w:val="231F20"/>
          <w:w w:val="105"/>
        </w:rPr>
        <w:t>agentes</w:t>
      </w:r>
      <w:r>
        <w:rPr>
          <w:color w:val="231F20"/>
          <w:spacing w:val="-8"/>
          <w:w w:val="105"/>
        </w:rPr>
        <w:t> </w:t>
      </w:r>
      <w:r>
        <w:rPr>
          <w:color w:val="231F20"/>
          <w:w w:val="105"/>
        </w:rPr>
        <w:t>y</w:t>
      </w:r>
      <w:r>
        <w:rPr>
          <w:color w:val="231F20"/>
          <w:spacing w:val="-8"/>
          <w:w w:val="105"/>
        </w:rPr>
        <w:t> </w:t>
      </w:r>
      <w:r>
        <w:rPr>
          <w:color w:val="231F20"/>
          <w:w w:val="105"/>
        </w:rPr>
        <w:t>principales,</w:t>
      </w:r>
      <w:r>
        <w:rPr>
          <w:color w:val="231F20"/>
          <w:spacing w:val="-13"/>
          <w:w w:val="105"/>
        </w:rPr>
        <w:t> </w:t>
      </w:r>
      <w:r>
        <w:rPr>
          <w:color w:val="231F20"/>
          <w:w w:val="105"/>
        </w:rPr>
        <w:t>se</w:t>
      </w:r>
      <w:r>
        <w:rPr>
          <w:color w:val="231F20"/>
          <w:spacing w:val="-8"/>
          <w:w w:val="105"/>
        </w:rPr>
        <w:t> </w:t>
      </w:r>
      <w:r>
        <w:rPr>
          <w:color w:val="231F20"/>
          <w:w w:val="105"/>
        </w:rPr>
        <w:t>deduce</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reglas fiscales</w:t>
      </w:r>
      <w:r>
        <w:rPr>
          <w:color w:val="231F20"/>
          <w:spacing w:val="-20"/>
          <w:w w:val="105"/>
        </w:rPr>
        <w:t> </w:t>
      </w:r>
      <w:r>
        <w:rPr>
          <w:color w:val="231F20"/>
          <w:w w:val="105"/>
        </w:rPr>
        <w:t>(un</w:t>
      </w:r>
      <w:r>
        <w:rPr>
          <w:color w:val="231F20"/>
          <w:spacing w:val="-20"/>
          <w:w w:val="105"/>
        </w:rPr>
        <w:t> </w:t>
      </w:r>
      <w:r>
        <w:rPr>
          <w:color w:val="231F20"/>
          <w:w w:val="105"/>
        </w:rPr>
        <w:t>contrato)</w:t>
      </w:r>
      <w:r>
        <w:rPr>
          <w:color w:val="231F20"/>
          <w:spacing w:val="-20"/>
          <w:w w:val="105"/>
        </w:rPr>
        <w:t> </w:t>
      </w:r>
      <w:r>
        <w:rPr>
          <w:color w:val="231F20"/>
          <w:w w:val="105"/>
        </w:rPr>
        <w:t>es</w:t>
      </w:r>
      <w:r>
        <w:rPr>
          <w:color w:val="231F20"/>
          <w:spacing w:val="-20"/>
          <w:w w:val="105"/>
        </w:rPr>
        <w:t> </w:t>
      </w:r>
      <w:r>
        <w:rPr>
          <w:color w:val="231F20"/>
          <w:w w:val="105"/>
        </w:rPr>
        <w:t>un</w:t>
      </w:r>
      <w:r>
        <w:rPr>
          <w:color w:val="231F20"/>
          <w:spacing w:val="-20"/>
          <w:w w:val="105"/>
        </w:rPr>
        <w:t> </w:t>
      </w:r>
      <w:r>
        <w:rPr>
          <w:color w:val="231F20"/>
          <w:w w:val="105"/>
        </w:rPr>
        <w:t>mecanismo</w:t>
      </w:r>
      <w:r>
        <w:rPr>
          <w:color w:val="231F20"/>
          <w:spacing w:val="-20"/>
          <w:w w:val="105"/>
        </w:rPr>
        <w:t> </w:t>
      </w:r>
      <w:r>
        <w:rPr>
          <w:color w:val="231F20"/>
          <w:w w:val="105"/>
        </w:rPr>
        <w:t>efectivo</w:t>
      </w:r>
      <w:r>
        <w:rPr>
          <w:color w:val="231F20"/>
          <w:spacing w:val="-20"/>
          <w:w w:val="105"/>
        </w:rPr>
        <w:t> </w:t>
      </w:r>
      <w:r>
        <w:rPr>
          <w:color w:val="231F20"/>
          <w:w w:val="105"/>
        </w:rPr>
        <w:t>para</w:t>
      </w:r>
      <w:r>
        <w:rPr>
          <w:color w:val="231F20"/>
          <w:spacing w:val="-20"/>
          <w:w w:val="105"/>
        </w:rPr>
        <w:t> </w:t>
      </w:r>
      <w:r>
        <w:rPr>
          <w:color w:val="231F20"/>
          <w:w w:val="105"/>
        </w:rPr>
        <w:t>que</w:t>
      </w:r>
      <w:r>
        <w:rPr>
          <w:color w:val="231F20"/>
          <w:spacing w:val="-20"/>
          <w:w w:val="105"/>
        </w:rPr>
        <w:t> </w:t>
      </w:r>
      <w:r>
        <w:rPr>
          <w:color w:val="231F20"/>
          <w:w w:val="105"/>
        </w:rPr>
        <w:t>las</w:t>
      </w:r>
      <w:r>
        <w:rPr>
          <w:color w:val="231F20"/>
          <w:spacing w:val="-20"/>
          <w:w w:val="105"/>
        </w:rPr>
        <w:t> </w:t>
      </w:r>
      <w:r>
        <w:rPr>
          <w:color w:val="231F20"/>
          <w:w w:val="105"/>
        </w:rPr>
        <w:t>finanzas</w:t>
      </w:r>
      <w:r>
        <w:rPr>
          <w:color w:val="231F20"/>
          <w:spacing w:val="-20"/>
          <w:w w:val="105"/>
        </w:rPr>
        <w:t> </w:t>
      </w:r>
      <w:r>
        <w:rPr>
          <w:color w:val="231F20"/>
          <w:w w:val="105"/>
        </w:rPr>
        <w:t>pú- blicas se administren de manera eficiente en escenarios de incertidum- bre,</w:t>
      </w:r>
      <w:r>
        <w:rPr>
          <w:color w:val="231F20"/>
          <w:spacing w:val="-24"/>
          <w:w w:val="105"/>
        </w:rPr>
        <w:t> </w:t>
      </w:r>
      <w:r>
        <w:rPr>
          <w:color w:val="231F20"/>
          <w:w w:val="105"/>
        </w:rPr>
        <w:t>aversión</w:t>
      </w:r>
      <w:r>
        <w:rPr>
          <w:color w:val="231F20"/>
          <w:spacing w:val="-19"/>
          <w:w w:val="105"/>
        </w:rPr>
        <w:t> </w:t>
      </w:r>
      <w:r>
        <w:rPr>
          <w:color w:val="231F20"/>
          <w:w w:val="105"/>
        </w:rPr>
        <w:t>al</w:t>
      </w:r>
      <w:r>
        <w:rPr>
          <w:color w:val="231F20"/>
          <w:spacing w:val="-19"/>
          <w:w w:val="105"/>
        </w:rPr>
        <w:t> </w:t>
      </w:r>
      <w:r>
        <w:rPr>
          <w:color w:val="231F20"/>
          <w:w w:val="105"/>
        </w:rPr>
        <w:t>riesgo</w:t>
      </w:r>
      <w:r>
        <w:rPr>
          <w:color w:val="231F20"/>
          <w:spacing w:val="-19"/>
          <w:w w:val="105"/>
        </w:rPr>
        <w:t> </w:t>
      </w:r>
      <w:r>
        <w:rPr>
          <w:color w:val="231F20"/>
          <w:w w:val="105"/>
        </w:rPr>
        <w:t>y</w:t>
      </w:r>
      <w:r>
        <w:rPr>
          <w:color w:val="231F20"/>
          <w:spacing w:val="-19"/>
          <w:w w:val="105"/>
        </w:rPr>
        <w:t> </w:t>
      </w:r>
      <w:r>
        <w:rPr>
          <w:color w:val="231F20"/>
          <w:w w:val="105"/>
        </w:rPr>
        <w:t>bajo</w:t>
      </w:r>
      <w:r>
        <w:rPr>
          <w:color w:val="231F20"/>
          <w:spacing w:val="-19"/>
          <w:w w:val="105"/>
        </w:rPr>
        <w:t> </w:t>
      </w:r>
      <w:r>
        <w:rPr>
          <w:color w:val="231F20"/>
          <w:w w:val="105"/>
        </w:rPr>
        <w:t>criterios</w:t>
      </w:r>
      <w:r>
        <w:rPr>
          <w:color w:val="231F20"/>
          <w:spacing w:val="-19"/>
          <w:w w:val="105"/>
        </w:rPr>
        <w:t> </w:t>
      </w:r>
      <w:r>
        <w:rPr>
          <w:color w:val="231F20"/>
          <w:w w:val="105"/>
        </w:rPr>
        <w:t>de</w:t>
      </w:r>
      <w:r>
        <w:rPr>
          <w:color w:val="231F20"/>
          <w:spacing w:val="-19"/>
          <w:w w:val="105"/>
        </w:rPr>
        <w:t> </w:t>
      </w:r>
      <w:r>
        <w:rPr>
          <w:color w:val="231F20"/>
          <w:w w:val="105"/>
        </w:rPr>
        <w:t>información.</w:t>
      </w:r>
      <w:r>
        <w:rPr>
          <w:color w:val="231F20"/>
          <w:spacing w:val="-24"/>
          <w:w w:val="105"/>
        </w:rPr>
        <w:t> </w:t>
      </w:r>
      <w:r>
        <w:rPr>
          <w:color w:val="231F20"/>
          <w:w w:val="105"/>
        </w:rPr>
        <w:t>En</w:t>
      </w:r>
      <w:r>
        <w:rPr>
          <w:color w:val="231F20"/>
          <w:spacing w:val="-19"/>
          <w:w w:val="105"/>
        </w:rPr>
        <w:t> </w:t>
      </w:r>
      <w:r>
        <w:rPr>
          <w:color w:val="231F20"/>
          <w:w w:val="105"/>
        </w:rPr>
        <w:t>consecuencia</w:t>
      </w:r>
      <w:r>
        <w:rPr>
          <w:color w:val="231F20"/>
          <w:spacing w:val="-19"/>
          <w:w w:val="105"/>
        </w:rPr>
        <w:t> </w:t>
      </w:r>
      <w:r>
        <w:rPr>
          <w:color w:val="231F20"/>
          <w:w w:val="105"/>
        </w:rPr>
        <w:t>la recurrencia de un contrato entre la sociedad y gobierno (cambio institu- cional)</w:t>
      </w:r>
      <w:r>
        <w:rPr>
          <w:color w:val="231F20"/>
          <w:spacing w:val="-12"/>
          <w:w w:val="105"/>
        </w:rPr>
        <w:t> </w:t>
      </w:r>
      <w:r>
        <w:rPr>
          <w:color w:val="231F20"/>
          <w:w w:val="105"/>
        </w:rPr>
        <w:t>permite</w:t>
      </w:r>
      <w:r>
        <w:rPr>
          <w:color w:val="231F20"/>
          <w:spacing w:val="-12"/>
          <w:w w:val="105"/>
        </w:rPr>
        <w:t> </w:t>
      </w:r>
      <w:r>
        <w:rPr>
          <w:color w:val="231F20"/>
          <w:w w:val="105"/>
        </w:rPr>
        <w:t>una</w:t>
      </w:r>
      <w:r>
        <w:rPr>
          <w:color w:val="231F20"/>
          <w:spacing w:val="-12"/>
          <w:w w:val="105"/>
        </w:rPr>
        <w:t> </w:t>
      </w:r>
      <w:r>
        <w:rPr>
          <w:color w:val="231F20"/>
          <w:w w:val="105"/>
        </w:rPr>
        <w:t>minimización</w:t>
      </w:r>
      <w:r>
        <w:rPr>
          <w:color w:val="231F20"/>
          <w:spacing w:val="-12"/>
          <w:w w:val="105"/>
        </w:rPr>
        <w:t> </w:t>
      </w:r>
      <w:r>
        <w:rPr>
          <w:color w:val="231F20"/>
          <w:w w:val="105"/>
        </w:rPr>
        <w:t>de</w:t>
      </w:r>
      <w:r>
        <w:rPr>
          <w:color w:val="231F20"/>
          <w:spacing w:val="-12"/>
          <w:w w:val="105"/>
        </w:rPr>
        <w:t> </w:t>
      </w:r>
      <w:r>
        <w:rPr>
          <w:color w:val="231F20"/>
          <w:w w:val="105"/>
        </w:rPr>
        <w:t>sus</w:t>
      </w:r>
      <w:r>
        <w:rPr>
          <w:color w:val="231F20"/>
          <w:spacing w:val="-12"/>
          <w:w w:val="105"/>
        </w:rPr>
        <w:t> </w:t>
      </w:r>
      <w:r>
        <w:rPr>
          <w:color w:val="231F20"/>
          <w:w w:val="105"/>
        </w:rPr>
        <w:t>costos</w:t>
      </w:r>
      <w:r>
        <w:rPr>
          <w:color w:val="231F20"/>
          <w:spacing w:val="-12"/>
          <w:w w:val="105"/>
        </w:rPr>
        <w:t> </w:t>
      </w:r>
      <w:r>
        <w:rPr>
          <w:color w:val="231F20"/>
          <w:w w:val="105"/>
        </w:rPr>
        <w:t>de</w:t>
      </w:r>
      <w:r>
        <w:rPr>
          <w:color w:val="231F20"/>
          <w:spacing w:val="-12"/>
          <w:w w:val="105"/>
        </w:rPr>
        <w:t> </w:t>
      </w:r>
      <w:r>
        <w:rPr>
          <w:color w:val="231F20"/>
          <w:w w:val="105"/>
        </w:rPr>
        <w:t>transacción</w:t>
      </w:r>
      <w:r>
        <w:rPr>
          <w:color w:val="231F20"/>
          <w:spacing w:val="-12"/>
          <w:w w:val="105"/>
        </w:rPr>
        <w:t> </w:t>
      </w:r>
      <w:r>
        <w:rPr>
          <w:color w:val="231F20"/>
          <w:w w:val="105"/>
        </w:rPr>
        <w:t>(evitando oportunismo, riesgo y mejorando mecanismos de ajuste y control social sobre</w:t>
      </w:r>
      <w:r>
        <w:rPr>
          <w:color w:val="231F20"/>
          <w:spacing w:val="-25"/>
          <w:w w:val="105"/>
        </w:rPr>
        <w:t> </w:t>
      </w:r>
      <w:r>
        <w:rPr>
          <w:color w:val="231F20"/>
          <w:w w:val="105"/>
        </w:rPr>
        <w:t>la</w:t>
      </w:r>
      <w:r>
        <w:rPr>
          <w:color w:val="231F20"/>
          <w:spacing w:val="-25"/>
          <w:w w:val="105"/>
        </w:rPr>
        <w:t> </w:t>
      </w:r>
      <w:r>
        <w:rPr>
          <w:color w:val="231F20"/>
          <w:w w:val="105"/>
        </w:rPr>
        <w:t>dirección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finanzas</w:t>
      </w:r>
      <w:r>
        <w:rPr>
          <w:color w:val="231F20"/>
          <w:spacing w:val="-25"/>
          <w:w w:val="105"/>
        </w:rPr>
        <w:t> </w:t>
      </w:r>
      <w:r>
        <w:rPr>
          <w:color w:val="231F20"/>
          <w:w w:val="105"/>
        </w:rPr>
        <w:t>públicas).</w:t>
      </w:r>
    </w:p>
    <w:p>
      <w:pPr>
        <w:spacing w:before="147"/>
        <w:ind w:left="115" w:right="0" w:firstLine="0"/>
        <w:jc w:val="both"/>
        <w:rPr>
          <w:rFonts w:ascii="Verdana"/>
          <w:i/>
          <w:sz w:val="21"/>
        </w:rPr>
      </w:pPr>
      <w:r>
        <w:rPr>
          <w:rFonts w:ascii="Verdana"/>
          <w:i/>
          <w:color w:val="231F20"/>
          <w:w w:val="95"/>
          <w:sz w:val="21"/>
        </w:rPr>
        <w:t>Criterios generales de reglas fiscales</w:t>
      </w:r>
    </w:p>
    <w:p>
      <w:pPr>
        <w:pStyle w:val="BodyText"/>
        <w:spacing w:before="6"/>
        <w:rPr>
          <w:rFonts w:ascii="Verdana"/>
          <w:i/>
          <w:sz w:val="15"/>
        </w:rPr>
      </w:pPr>
    </w:p>
    <w:p>
      <w:pPr>
        <w:pStyle w:val="BodyText"/>
        <w:spacing w:line="259" w:lineRule="auto"/>
        <w:ind w:left="115" w:right="115"/>
        <w:jc w:val="both"/>
      </w:pPr>
      <w:r>
        <w:rPr>
          <w:color w:val="231F20"/>
          <w:w w:val="105"/>
        </w:rPr>
        <w:t>Diversos</w:t>
      </w:r>
      <w:r>
        <w:rPr>
          <w:color w:val="231F20"/>
          <w:spacing w:val="-8"/>
          <w:w w:val="105"/>
        </w:rPr>
        <w:t> </w:t>
      </w:r>
      <w:r>
        <w:rPr>
          <w:color w:val="231F20"/>
          <w:w w:val="105"/>
        </w:rPr>
        <w:t>tratados</w:t>
      </w:r>
      <w:r>
        <w:rPr>
          <w:color w:val="231F20"/>
          <w:spacing w:val="-8"/>
          <w:w w:val="105"/>
        </w:rPr>
        <w:t> </w:t>
      </w:r>
      <w:r>
        <w:rPr>
          <w:color w:val="231F20"/>
          <w:w w:val="105"/>
        </w:rPr>
        <w:t>internacionales,</w:t>
      </w:r>
      <w:r>
        <w:rPr>
          <w:color w:val="231F20"/>
          <w:spacing w:val="-12"/>
          <w:w w:val="105"/>
        </w:rPr>
        <w:t> </w:t>
      </w:r>
      <w:r>
        <w:rPr>
          <w:color w:val="231F20"/>
          <w:w w:val="105"/>
        </w:rPr>
        <w:t>así</w:t>
      </w:r>
      <w:r>
        <w:rPr>
          <w:color w:val="231F20"/>
          <w:spacing w:val="-8"/>
          <w:w w:val="105"/>
        </w:rPr>
        <w:t> </w:t>
      </w:r>
      <w:r>
        <w:rPr>
          <w:color w:val="231F20"/>
          <w:w w:val="105"/>
        </w:rPr>
        <w:t>como</w:t>
      </w:r>
      <w:r>
        <w:rPr>
          <w:color w:val="231F20"/>
          <w:spacing w:val="-8"/>
          <w:w w:val="105"/>
        </w:rPr>
        <w:t> </w:t>
      </w:r>
      <w:r>
        <w:rPr>
          <w:color w:val="231F20"/>
          <w:w w:val="105"/>
        </w:rPr>
        <w:t>sugerencias</w:t>
      </w:r>
      <w:r>
        <w:rPr>
          <w:color w:val="231F20"/>
          <w:spacing w:val="-8"/>
          <w:w w:val="105"/>
        </w:rPr>
        <w:t> </w:t>
      </w:r>
      <w:r>
        <w:rPr>
          <w:color w:val="231F20"/>
          <w:w w:val="105"/>
        </w:rPr>
        <w:t>de</w:t>
      </w:r>
      <w:r>
        <w:rPr>
          <w:color w:val="231F20"/>
          <w:spacing w:val="-8"/>
          <w:w w:val="105"/>
        </w:rPr>
        <w:t> </w:t>
      </w:r>
      <w:r>
        <w:rPr>
          <w:color w:val="231F20"/>
          <w:w w:val="105"/>
        </w:rPr>
        <w:t>organismos especializados</w:t>
      </w:r>
      <w:r>
        <w:rPr>
          <w:color w:val="231F20"/>
          <w:spacing w:val="-12"/>
          <w:w w:val="105"/>
        </w:rPr>
        <w:t> </w:t>
      </w:r>
      <w:r>
        <w:rPr>
          <w:color w:val="231F20"/>
          <w:w w:val="105"/>
        </w:rPr>
        <w:t>(como</w:t>
      </w:r>
      <w:r>
        <w:rPr>
          <w:color w:val="231F20"/>
          <w:spacing w:val="-12"/>
          <w:w w:val="105"/>
        </w:rPr>
        <w:t> </w:t>
      </w:r>
      <w:r>
        <w:rPr>
          <w:color w:val="231F20"/>
          <w:w w:val="105"/>
        </w:rPr>
        <w:t>el</w:t>
      </w:r>
      <w:r>
        <w:rPr>
          <w:color w:val="231F20"/>
          <w:spacing w:val="-12"/>
          <w:w w:val="105"/>
        </w:rPr>
        <w:t> </w:t>
      </w:r>
      <w:r>
        <w:rPr>
          <w:color w:val="231F20"/>
          <w:spacing w:val="-3"/>
          <w:w w:val="105"/>
        </w:rPr>
        <w:t>Fondo</w:t>
      </w:r>
      <w:r>
        <w:rPr>
          <w:color w:val="231F20"/>
          <w:spacing w:val="-12"/>
          <w:w w:val="105"/>
        </w:rPr>
        <w:t> </w:t>
      </w:r>
      <w:r>
        <w:rPr>
          <w:color w:val="231F20"/>
          <w:w w:val="105"/>
        </w:rPr>
        <w:t>Monetario</w:t>
      </w:r>
      <w:r>
        <w:rPr>
          <w:color w:val="231F20"/>
          <w:spacing w:val="-12"/>
          <w:w w:val="105"/>
        </w:rPr>
        <w:t> </w:t>
      </w:r>
      <w:r>
        <w:rPr>
          <w:color w:val="231F20"/>
          <w:w w:val="105"/>
        </w:rPr>
        <w:t>Internacional,</w:t>
      </w:r>
      <w:r>
        <w:rPr>
          <w:color w:val="231F20"/>
          <w:spacing w:val="-17"/>
          <w:w w:val="105"/>
        </w:rPr>
        <w:t> </w:t>
      </w:r>
      <w:r>
        <w:rPr>
          <w:color w:val="231F20"/>
          <w:w w:val="105"/>
        </w:rPr>
        <w:t>FMI)</w:t>
      </w:r>
      <w:r>
        <w:rPr>
          <w:color w:val="231F20"/>
          <w:spacing w:val="-12"/>
          <w:w w:val="105"/>
        </w:rPr>
        <w:t> </w:t>
      </w:r>
      <w:r>
        <w:rPr>
          <w:color w:val="231F20"/>
          <w:w w:val="105"/>
        </w:rPr>
        <w:t>han</w:t>
      </w:r>
      <w:r>
        <w:rPr>
          <w:color w:val="231F20"/>
          <w:spacing w:val="-12"/>
          <w:w w:val="105"/>
        </w:rPr>
        <w:t> </w:t>
      </w:r>
      <w:r>
        <w:rPr>
          <w:color w:val="231F20"/>
          <w:w w:val="105"/>
        </w:rPr>
        <w:t>reeco- mendado</w:t>
      </w:r>
      <w:r>
        <w:rPr>
          <w:color w:val="231F20"/>
          <w:spacing w:val="-21"/>
          <w:w w:val="105"/>
        </w:rPr>
        <w:t> </w:t>
      </w:r>
      <w:r>
        <w:rPr>
          <w:color w:val="231F20"/>
          <w:w w:val="105"/>
        </w:rPr>
        <w:t>reglas</w:t>
      </w:r>
      <w:r>
        <w:rPr>
          <w:color w:val="231F20"/>
          <w:spacing w:val="-21"/>
          <w:w w:val="105"/>
        </w:rPr>
        <w:t> </w:t>
      </w:r>
      <w:r>
        <w:rPr>
          <w:color w:val="231F20"/>
          <w:w w:val="105"/>
        </w:rPr>
        <w:t>fiscales</w:t>
      </w:r>
      <w:r>
        <w:rPr>
          <w:color w:val="231F20"/>
          <w:w w:val="105"/>
          <w:position w:val="7"/>
          <w:sz w:val="12"/>
        </w:rPr>
        <w:t>1</w:t>
      </w:r>
      <w:r>
        <w:rPr>
          <w:color w:val="231F20"/>
          <w:spacing w:val="5"/>
          <w:w w:val="105"/>
          <w:position w:val="7"/>
          <w:sz w:val="12"/>
        </w:rPr>
        <w:t> </w:t>
      </w:r>
      <w:r>
        <w:rPr>
          <w:color w:val="231F20"/>
          <w:w w:val="105"/>
        </w:rPr>
        <w:t>como</w:t>
      </w:r>
      <w:r>
        <w:rPr>
          <w:color w:val="231F20"/>
          <w:spacing w:val="-21"/>
          <w:w w:val="105"/>
        </w:rPr>
        <w:t> </w:t>
      </w:r>
      <w:r>
        <w:rPr>
          <w:color w:val="231F20"/>
          <w:w w:val="105"/>
        </w:rPr>
        <w:t>normas</w:t>
      </w:r>
      <w:r>
        <w:rPr>
          <w:color w:val="231F20"/>
          <w:spacing w:val="-21"/>
          <w:w w:val="105"/>
        </w:rPr>
        <w:t> </w:t>
      </w:r>
      <w:r>
        <w:rPr>
          <w:color w:val="231F20"/>
          <w:w w:val="105"/>
        </w:rPr>
        <w:t>de</w:t>
      </w:r>
      <w:r>
        <w:rPr>
          <w:color w:val="231F20"/>
          <w:spacing w:val="-21"/>
          <w:w w:val="105"/>
        </w:rPr>
        <w:t> </w:t>
      </w:r>
      <w:r>
        <w:rPr>
          <w:color w:val="231F20"/>
          <w:w w:val="105"/>
        </w:rPr>
        <w:t>buenas</w:t>
      </w:r>
      <w:r>
        <w:rPr>
          <w:color w:val="231F20"/>
          <w:spacing w:val="-21"/>
          <w:w w:val="105"/>
        </w:rPr>
        <w:t> </w:t>
      </w:r>
      <w:r>
        <w:rPr>
          <w:color w:val="231F20"/>
          <w:w w:val="105"/>
        </w:rPr>
        <w:t>prácticas</w:t>
      </w:r>
      <w:r>
        <w:rPr>
          <w:color w:val="231F20"/>
          <w:spacing w:val="-21"/>
          <w:w w:val="105"/>
        </w:rPr>
        <w:t> </w:t>
      </w:r>
      <w:r>
        <w:rPr>
          <w:color w:val="231F20"/>
          <w:w w:val="105"/>
        </w:rPr>
        <w:t>que</w:t>
      </w:r>
      <w:r>
        <w:rPr>
          <w:color w:val="231F20"/>
          <w:spacing w:val="-21"/>
          <w:w w:val="105"/>
        </w:rPr>
        <w:t> </w:t>
      </w:r>
      <w:r>
        <w:rPr>
          <w:color w:val="231F20"/>
          <w:w w:val="105"/>
        </w:rPr>
        <w:t>reducen el</w:t>
      </w:r>
      <w:r>
        <w:rPr>
          <w:color w:val="231F20"/>
          <w:spacing w:val="-8"/>
          <w:w w:val="105"/>
        </w:rPr>
        <w:t> </w:t>
      </w:r>
      <w:r>
        <w:rPr>
          <w:color w:val="231F20"/>
          <w:w w:val="105"/>
        </w:rPr>
        <w:t>oportunismo</w:t>
      </w:r>
      <w:r>
        <w:rPr>
          <w:color w:val="231F20"/>
          <w:spacing w:val="-8"/>
          <w:w w:val="105"/>
        </w:rPr>
        <w:t> </w:t>
      </w:r>
      <w:r>
        <w:rPr>
          <w:color w:val="231F20"/>
          <w:w w:val="105"/>
        </w:rPr>
        <w:t>del</w:t>
      </w:r>
      <w:r>
        <w:rPr>
          <w:color w:val="231F20"/>
          <w:spacing w:val="-8"/>
          <w:w w:val="105"/>
        </w:rPr>
        <w:t> </w:t>
      </w:r>
      <w:r>
        <w:rPr>
          <w:color w:val="231F20"/>
          <w:w w:val="105"/>
        </w:rPr>
        <w:t>gobierno</w:t>
      </w:r>
      <w:r>
        <w:rPr>
          <w:color w:val="231F20"/>
          <w:spacing w:val="-8"/>
          <w:w w:val="105"/>
        </w:rPr>
        <w:t> </w:t>
      </w:r>
      <w:r>
        <w:rPr>
          <w:color w:val="231F20"/>
          <w:w w:val="105"/>
        </w:rPr>
        <w:t>a</w:t>
      </w:r>
      <w:r>
        <w:rPr>
          <w:color w:val="231F20"/>
          <w:spacing w:val="-8"/>
          <w:w w:val="105"/>
        </w:rPr>
        <w:t> </w:t>
      </w:r>
      <w:r>
        <w:rPr>
          <w:color w:val="231F20"/>
          <w:w w:val="105"/>
        </w:rPr>
        <w:t>tomar</w:t>
      </w:r>
      <w:r>
        <w:rPr>
          <w:color w:val="231F20"/>
          <w:spacing w:val="-8"/>
          <w:w w:val="105"/>
        </w:rPr>
        <w:t> </w:t>
      </w:r>
      <w:r>
        <w:rPr>
          <w:color w:val="231F20"/>
          <w:w w:val="105"/>
        </w:rPr>
        <w:t>decisiones</w:t>
      </w:r>
      <w:r>
        <w:rPr>
          <w:color w:val="231F20"/>
          <w:spacing w:val="-8"/>
          <w:w w:val="105"/>
        </w:rPr>
        <w:t> </w:t>
      </w:r>
      <w:r>
        <w:rPr>
          <w:color w:val="231F20"/>
          <w:w w:val="105"/>
        </w:rPr>
        <w:t>deliberadas</w:t>
      </w:r>
      <w:r>
        <w:rPr>
          <w:color w:val="231F20"/>
          <w:spacing w:val="-8"/>
          <w:w w:val="105"/>
        </w:rPr>
        <w:t> </w:t>
      </w:r>
      <w:r>
        <w:rPr>
          <w:color w:val="231F20"/>
          <w:w w:val="105"/>
        </w:rPr>
        <w:t>en</w:t>
      </w:r>
      <w:r>
        <w:rPr>
          <w:color w:val="231F20"/>
          <w:spacing w:val="-8"/>
          <w:w w:val="105"/>
        </w:rPr>
        <w:t> </w:t>
      </w:r>
      <w:r>
        <w:rPr>
          <w:color w:val="231F20"/>
          <w:w w:val="105"/>
        </w:rPr>
        <w:t>términos de deuda pública y déficit</w:t>
      </w:r>
      <w:r>
        <w:rPr>
          <w:color w:val="231F20"/>
          <w:spacing w:val="-38"/>
          <w:w w:val="105"/>
        </w:rPr>
        <w:t> </w:t>
      </w:r>
      <w:r>
        <w:rPr>
          <w:color w:val="231F20"/>
          <w:w w:val="105"/>
        </w:rPr>
        <w:t>fiscal.</w:t>
      </w:r>
    </w:p>
    <w:p>
      <w:pPr>
        <w:pStyle w:val="BodyText"/>
        <w:spacing w:line="259" w:lineRule="auto"/>
        <w:ind w:left="115" w:right="109" w:firstLine="567"/>
        <w:jc w:val="both"/>
      </w:pPr>
      <w:r>
        <w:rPr>
          <w:color w:val="231F20"/>
          <w:w w:val="105"/>
        </w:rPr>
        <w:t>Estos cambios institucionales (imposición de reglas fiscales) per- miten</w:t>
      </w:r>
      <w:r>
        <w:rPr>
          <w:color w:val="231F20"/>
          <w:spacing w:val="-10"/>
          <w:w w:val="105"/>
        </w:rPr>
        <w:t> </w:t>
      </w:r>
      <w:r>
        <w:rPr>
          <w:color w:val="231F20"/>
          <w:w w:val="105"/>
        </w:rPr>
        <w:t>una</w:t>
      </w:r>
      <w:r>
        <w:rPr>
          <w:color w:val="231F20"/>
          <w:spacing w:val="-10"/>
          <w:w w:val="105"/>
        </w:rPr>
        <w:t> </w:t>
      </w:r>
      <w:r>
        <w:rPr>
          <w:color w:val="231F20"/>
          <w:w w:val="105"/>
        </w:rPr>
        <w:t>mejor</w:t>
      </w:r>
      <w:r>
        <w:rPr>
          <w:color w:val="231F20"/>
          <w:spacing w:val="-10"/>
          <w:w w:val="105"/>
        </w:rPr>
        <w:t> </w:t>
      </w:r>
      <w:r>
        <w:rPr>
          <w:color w:val="231F20"/>
          <w:w w:val="105"/>
        </w:rPr>
        <w:t>organización</w:t>
      </w:r>
      <w:r>
        <w:rPr>
          <w:color w:val="231F20"/>
          <w:spacing w:val="-10"/>
          <w:w w:val="105"/>
        </w:rPr>
        <w:t> </w:t>
      </w:r>
      <w:r>
        <w:rPr>
          <w:color w:val="231F20"/>
          <w:w w:val="105"/>
        </w:rPr>
        <w:t>económica</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5"/>
          <w:w w:val="105"/>
        </w:rPr>
        <w:t> </w:t>
      </w:r>
      <w:r>
        <w:rPr>
          <w:color w:val="231F20"/>
          <w:w w:val="105"/>
        </w:rPr>
        <w:t>minimizándose</w:t>
      </w:r>
      <w:r>
        <w:rPr>
          <w:color w:val="231F20"/>
          <w:spacing w:val="-10"/>
          <w:w w:val="105"/>
        </w:rPr>
        <w:t> </w:t>
      </w:r>
      <w:r>
        <w:rPr>
          <w:color w:val="231F20"/>
          <w:w w:val="105"/>
        </w:rPr>
        <w:t>los costos de transacción para la economía </w:t>
      </w:r>
      <w:r>
        <w:rPr>
          <w:color w:val="231F20"/>
          <w:spacing w:val="-4"/>
          <w:w w:val="105"/>
        </w:rPr>
        <w:t>y, </w:t>
      </w:r>
      <w:r>
        <w:rPr>
          <w:color w:val="231F20"/>
          <w:w w:val="105"/>
        </w:rPr>
        <w:t>en consecuencia, las institu- ciones</w:t>
      </w:r>
      <w:r>
        <w:rPr>
          <w:color w:val="231F20"/>
          <w:spacing w:val="-24"/>
          <w:w w:val="105"/>
        </w:rPr>
        <w:t> </w:t>
      </w:r>
      <w:r>
        <w:rPr>
          <w:color w:val="231F20"/>
          <w:w w:val="105"/>
        </w:rPr>
        <w:t>son</w:t>
      </w:r>
      <w:r>
        <w:rPr>
          <w:color w:val="231F20"/>
          <w:spacing w:val="-24"/>
          <w:w w:val="105"/>
        </w:rPr>
        <w:t> </w:t>
      </w:r>
      <w:r>
        <w:rPr>
          <w:color w:val="231F20"/>
          <w:w w:val="105"/>
        </w:rPr>
        <w:t>más</w:t>
      </w:r>
      <w:r>
        <w:rPr>
          <w:color w:val="231F20"/>
          <w:spacing w:val="-24"/>
          <w:w w:val="105"/>
        </w:rPr>
        <w:t> </w:t>
      </w:r>
      <w:r>
        <w:rPr>
          <w:color w:val="231F20"/>
          <w:w w:val="105"/>
        </w:rPr>
        <w:t>eficientes</w:t>
      </w:r>
      <w:r>
        <w:rPr>
          <w:color w:val="231F20"/>
          <w:spacing w:val="-24"/>
          <w:w w:val="105"/>
        </w:rPr>
        <w:t> </w:t>
      </w:r>
      <w:r>
        <w:rPr>
          <w:color w:val="231F20"/>
          <w:w w:val="105"/>
        </w:rPr>
        <w:t>(Williamson,</w:t>
      </w:r>
      <w:r>
        <w:rPr>
          <w:color w:val="231F20"/>
          <w:spacing w:val="-27"/>
          <w:w w:val="105"/>
        </w:rPr>
        <w:t> </w:t>
      </w:r>
      <w:r>
        <w:rPr>
          <w:color w:val="231F20"/>
          <w:w w:val="105"/>
        </w:rPr>
        <w:t>1996;</w:t>
      </w:r>
      <w:r>
        <w:rPr>
          <w:color w:val="231F20"/>
          <w:spacing w:val="-24"/>
          <w:w w:val="105"/>
        </w:rPr>
        <w:t> </w:t>
      </w:r>
      <w:r>
        <w:rPr>
          <w:color w:val="231F20"/>
          <w:w w:val="105"/>
        </w:rPr>
        <w:t>Heydemann,</w:t>
      </w:r>
      <w:r>
        <w:rPr>
          <w:color w:val="231F20"/>
          <w:spacing w:val="-27"/>
          <w:w w:val="105"/>
        </w:rPr>
        <w:t> </w:t>
      </w:r>
      <w:r>
        <w:rPr>
          <w:color w:val="231F20"/>
          <w:w w:val="105"/>
        </w:rPr>
        <w:t>2008;</w:t>
      </w:r>
      <w:r>
        <w:rPr>
          <w:color w:val="231F20"/>
          <w:spacing w:val="-24"/>
          <w:w w:val="105"/>
        </w:rPr>
        <w:t> </w:t>
      </w:r>
      <w:r>
        <w:rPr>
          <w:color w:val="231F20"/>
          <w:w w:val="105"/>
        </w:rPr>
        <w:t>Bachev, 2010).</w:t>
      </w:r>
      <w:r>
        <w:rPr>
          <w:color w:val="231F20"/>
          <w:spacing w:val="-15"/>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de</w:t>
      </w:r>
      <w:r>
        <w:rPr>
          <w:color w:val="231F20"/>
          <w:spacing w:val="-10"/>
          <w:w w:val="105"/>
        </w:rPr>
        <w:t> </w:t>
      </w:r>
      <w:r>
        <w:rPr>
          <w:color w:val="231F20"/>
          <w:w w:val="105"/>
        </w:rPr>
        <w:t>países</w:t>
      </w:r>
      <w:r>
        <w:rPr>
          <w:color w:val="231F20"/>
          <w:spacing w:val="-10"/>
          <w:w w:val="105"/>
        </w:rPr>
        <w:t> </w:t>
      </w:r>
      <w:r>
        <w:rPr>
          <w:color w:val="231F20"/>
          <w:w w:val="105"/>
        </w:rPr>
        <w:t>ricos</w:t>
      </w:r>
      <w:r>
        <w:rPr>
          <w:color w:val="231F20"/>
          <w:spacing w:val="-10"/>
          <w:w w:val="105"/>
        </w:rPr>
        <w:t> </w:t>
      </w:r>
      <w:r>
        <w:rPr>
          <w:color w:val="231F20"/>
          <w:w w:val="105"/>
        </w:rPr>
        <w:t>en</w:t>
      </w:r>
      <w:r>
        <w:rPr>
          <w:color w:val="231F20"/>
          <w:spacing w:val="-10"/>
          <w:w w:val="105"/>
        </w:rPr>
        <w:t> </w:t>
      </w:r>
      <w:r>
        <w:rPr>
          <w:color w:val="231F20"/>
          <w:w w:val="105"/>
        </w:rPr>
        <w:t>petróleo,</w:t>
      </w:r>
      <w:r>
        <w:rPr>
          <w:color w:val="231F20"/>
          <w:spacing w:val="-15"/>
          <w:w w:val="105"/>
        </w:rPr>
        <w:t> </w:t>
      </w:r>
      <w:r>
        <w:rPr>
          <w:color w:val="231F20"/>
          <w:w w:val="105"/>
        </w:rPr>
        <w:t>si</w:t>
      </w:r>
      <w:r>
        <w:rPr>
          <w:color w:val="231F20"/>
          <w:spacing w:val="-10"/>
          <w:w w:val="105"/>
        </w:rPr>
        <w:t> </w:t>
      </w:r>
      <w:r>
        <w:rPr>
          <w:color w:val="231F20"/>
          <w:w w:val="105"/>
        </w:rPr>
        <w:t>las</w:t>
      </w:r>
      <w:r>
        <w:rPr>
          <w:color w:val="231F20"/>
          <w:spacing w:val="-10"/>
          <w:w w:val="105"/>
        </w:rPr>
        <w:t> </w:t>
      </w:r>
      <w:r>
        <w:rPr>
          <w:color w:val="231F20"/>
          <w:w w:val="105"/>
        </w:rPr>
        <w:t>instituciones</w:t>
      </w:r>
      <w:r>
        <w:rPr>
          <w:color w:val="231F20"/>
          <w:spacing w:val="-10"/>
          <w:w w:val="105"/>
        </w:rPr>
        <w:t> </w:t>
      </w:r>
      <w:r>
        <w:rPr>
          <w:color w:val="231F20"/>
          <w:w w:val="105"/>
        </w:rPr>
        <w:t>son</w:t>
      </w:r>
      <w:r>
        <w:rPr>
          <w:color w:val="231F20"/>
          <w:spacing w:val="-10"/>
          <w:w w:val="105"/>
        </w:rPr>
        <w:t> </w:t>
      </w:r>
      <w:r>
        <w:rPr>
          <w:color w:val="231F20"/>
          <w:w w:val="105"/>
        </w:rPr>
        <w:t>efi- cientes</w:t>
      </w:r>
      <w:r>
        <w:rPr>
          <w:color w:val="231F20"/>
          <w:spacing w:val="-22"/>
          <w:w w:val="105"/>
        </w:rPr>
        <w:t> </w:t>
      </w:r>
      <w:r>
        <w:rPr>
          <w:color w:val="231F20"/>
          <w:w w:val="105"/>
        </w:rPr>
        <w:t>los</w:t>
      </w:r>
      <w:r>
        <w:rPr>
          <w:color w:val="231F20"/>
          <w:spacing w:val="-22"/>
          <w:w w:val="105"/>
        </w:rPr>
        <w:t> </w:t>
      </w:r>
      <w:r>
        <w:rPr>
          <w:color w:val="231F20"/>
          <w:w w:val="105"/>
        </w:rPr>
        <w:t>recursos</w:t>
      </w:r>
      <w:r>
        <w:rPr>
          <w:color w:val="231F20"/>
          <w:spacing w:val="-22"/>
          <w:w w:val="105"/>
        </w:rPr>
        <w:t> </w:t>
      </w:r>
      <w:r>
        <w:rPr>
          <w:color w:val="231F20"/>
          <w:w w:val="105"/>
        </w:rPr>
        <w:t>económicos</w:t>
      </w:r>
      <w:r>
        <w:rPr>
          <w:color w:val="231F20"/>
          <w:spacing w:val="-22"/>
          <w:w w:val="105"/>
        </w:rPr>
        <w:t> </w:t>
      </w:r>
      <w:r>
        <w:rPr>
          <w:color w:val="231F20"/>
          <w:w w:val="105"/>
        </w:rPr>
        <w:t>son</w:t>
      </w:r>
      <w:r>
        <w:rPr>
          <w:color w:val="231F20"/>
          <w:spacing w:val="-22"/>
          <w:w w:val="105"/>
        </w:rPr>
        <w:t> </w:t>
      </w:r>
      <w:r>
        <w:rPr>
          <w:color w:val="231F20"/>
          <w:w w:val="105"/>
        </w:rPr>
        <w:t>mejor</w:t>
      </w:r>
      <w:r>
        <w:rPr>
          <w:color w:val="231F20"/>
          <w:spacing w:val="-22"/>
          <w:w w:val="105"/>
        </w:rPr>
        <w:t> </w:t>
      </w:r>
      <w:r>
        <w:rPr>
          <w:color w:val="231F20"/>
          <w:w w:val="105"/>
        </w:rPr>
        <w:t>distribuídos</w:t>
      </w:r>
      <w:r>
        <w:rPr>
          <w:color w:val="231F20"/>
          <w:spacing w:val="-22"/>
          <w:w w:val="105"/>
        </w:rPr>
        <w:t> </w:t>
      </w:r>
      <w:r>
        <w:rPr>
          <w:color w:val="231F20"/>
          <w:w w:val="105"/>
        </w:rPr>
        <w:t>(Olson,</w:t>
      </w:r>
      <w:r>
        <w:rPr>
          <w:color w:val="231F20"/>
          <w:spacing w:val="-27"/>
          <w:w w:val="105"/>
        </w:rPr>
        <w:t> </w:t>
      </w:r>
      <w:r>
        <w:rPr>
          <w:color w:val="231F20"/>
          <w:w w:val="105"/>
        </w:rPr>
        <w:t>1969).</w:t>
      </w:r>
    </w:p>
    <w:p>
      <w:pPr>
        <w:pStyle w:val="BodyText"/>
        <w:spacing w:line="259" w:lineRule="auto"/>
        <w:ind w:left="115" w:right="115" w:firstLine="567"/>
        <w:jc w:val="both"/>
      </w:pPr>
      <w:r>
        <w:rPr>
          <w:color w:val="231F20"/>
          <w:w w:val="105"/>
        </w:rPr>
        <w:t>Schick</w:t>
      </w:r>
      <w:r>
        <w:rPr>
          <w:color w:val="231F20"/>
          <w:spacing w:val="-7"/>
          <w:w w:val="105"/>
        </w:rPr>
        <w:t> </w:t>
      </w:r>
      <w:r>
        <w:rPr>
          <w:color w:val="231F20"/>
          <w:w w:val="105"/>
        </w:rPr>
        <w:t>(2010)</w:t>
      </w:r>
      <w:r>
        <w:rPr>
          <w:color w:val="231F20"/>
          <w:spacing w:val="-7"/>
          <w:w w:val="105"/>
        </w:rPr>
        <w:t> </w:t>
      </w:r>
      <w:r>
        <w:rPr>
          <w:color w:val="231F20"/>
          <w:w w:val="105"/>
        </w:rPr>
        <w:t>recomienda</w:t>
      </w:r>
      <w:r>
        <w:rPr>
          <w:color w:val="231F20"/>
          <w:spacing w:val="-7"/>
          <w:w w:val="105"/>
        </w:rPr>
        <w:t> </w:t>
      </w:r>
      <w:r>
        <w:rPr>
          <w:color w:val="231F20"/>
          <w:w w:val="105"/>
        </w:rPr>
        <w:t>algunos</w:t>
      </w:r>
      <w:r>
        <w:rPr>
          <w:color w:val="231F20"/>
          <w:spacing w:val="-7"/>
          <w:w w:val="105"/>
        </w:rPr>
        <w:t> </w:t>
      </w:r>
      <w:r>
        <w:rPr>
          <w:color w:val="231F20"/>
          <w:w w:val="105"/>
        </w:rPr>
        <w:t>lineamientos</w:t>
      </w:r>
      <w:r>
        <w:rPr>
          <w:color w:val="231F20"/>
          <w:spacing w:val="-7"/>
          <w:w w:val="105"/>
        </w:rPr>
        <w:t> </w:t>
      </w:r>
      <w:r>
        <w:rPr>
          <w:color w:val="231F20"/>
          <w:w w:val="105"/>
        </w:rPr>
        <w:t>generales</w:t>
      </w:r>
      <w:r>
        <w:rPr>
          <w:color w:val="231F20"/>
          <w:spacing w:val="-7"/>
          <w:w w:val="105"/>
        </w:rPr>
        <w:t> </w:t>
      </w:r>
      <w:r>
        <w:rPr>
          <w:color w:val="231F20"/>
          <w:w w:val="105"/>
        </w:rPr>
        <w:t>para</w:t>
      </w:r>
      <w:r>
        <w:rPr>
          <w:color w:val="231F20"/>
          <w:spacing w:val="-7"/>
          <w:w w:val="105"/>
        </w:rPr>
        <w:t> </w:t>
      </w:r>
      <w:r>
        <w:rPr>
          <w:color w:val="231F20"/>
          <w:w w:val="105"/>
        </w:rPr>
        <w:t>la adopción</w:t>
      </w:r>
      <w:r>
        <w:rPr>
          <w:color w:val="231F20"/>
          <w:spacing w:val="-22"/>
          <w:w w:val="105"/>
        </w:rPr>
        <w:t> </w:t>
      </w:r>
      <w:r>
        <w:rPr>
          <w:color w:val="231F20"/>
          <w:w w:val="105"/>
        </w:rPr>
        <w:t>de</w:t>
      </w:r>
      <w:r>
        <w:rPr>
          <w:color w:val="231F20"/>
          <w:spacing w:val="-22"/>
          <w:w w:val="105"/>
        </w:rPr>
        <w:t> </w:t>
      </w:r>
      <w:r>
        <w:rPr>
          <w:color w:val="231F20"/>
          <w:w w:val="105"/>
        </w:rPr>
        <w:t>reglas</w:t>
      </w:r>
      <w:r>
        <w:rPr>
          <w:color w:val="231F20"/>
          <w:spacing w:val="-22"/>
          <w:w w:val="105"/>
        </w:rPr>
        <w:t> </w:t>
      </w:r>
      <w:r>
        <w:rPr>
          <w:color w:val="231F20"/>
          <w:w w:val="105"/>
        </w:rPr>
        <w:t>fiscales:</w:t>
      </w:r>
      <w:r>
        <w:rPr>
          <w:color w:val="231F20"/>
          <w:spacing w:val="-22"/>
          <w:w w:val="105"/>
        </w:rPr>
        <w:t> </w:t>
      </w:r>
      <w:r>
        <w:rPr>
          <w:color w:val="231F20"/>
          <w:w w:val="105"/>
        </w:rPr>
        <w:t>i)</w:t>
      </w:r>
      <w:r>
        <w:rPr>
          <w:color w:val="231F20"/>
          <w:spacing w:val="-22"/>
          <w:w w:val="105"/>
        </w:rPr>
        <w:t> </w:t>
      </w:r>
      <w:r>
        <w:rPr>
          <w:color w:val="231F20"/>
          <w:w w:val="105"/>
        </w:rPr>
        <w:t>orientación</w:t>
      </w:r>
      <w:r>
        <w:rPr>
          <w:color w:val="231F20"/>
          <w:spacing w:val="-22"/>
          <w:w w:val="105"/>
        </w:rPr>
        <w:t> </w:t>
      </w:r>
      <w:r>
        <w:rPr>
          <w:color w:val="231F20"/>
          <w:w w:val="105"/>
        </w:rPr>
        <w:t>contracíclica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política</w:t>
      </w:r>
      <w:r>
        <w:rPr>
          <w:color w:val="231F20"/>
          <w:spacing w:val="-22"/>
          <w:w w:val="105"/>
        </w:rPr>
        <w:t> </w:t>
      </w:r>
      <w:r>
        <w:rPr>
          <w:color w:val="231F20"/>
          <w:w w:val="105"/>
        </w:rPr>
        <w:t>fiscal</w:t>
      </w:r>
    </w:p>
    <w:p>
      <w:pPr>
        <w:pStyle w:val="BodyText"/>
        <w:spacing w:before="6"/>
        <w:rPr>
          <w:sz w:val="13"/>
        </w:rPr>
      </w:pPr>
      <w:r>
        <w:rPr/>
        <w:pict>
          <v:line style="position:absolute;mso-position-horizontal-relative:page;mso-position-vertical-relative:paragraph;z-index:6952;mso-wrap-distance-left:0;mso-wrap-distance-right:0" from="63.779499pt,9.894465pt" to="177.165499pt,9.894465pt" stroked="true" strokeweight=".25pt" strokecolor="#231f20">
            <w10:wrap type="topAndBottom"/>
          </v:line>
        </w:pict>
      </w:r>
    </w:p>
    <w:p>
      <w:pPr>
        <w:spacing w:line="192" w:lineRule="exact" w:before="7"/>
        <w:ind w:left="115" w:right="114" w:hanging="1"/>
        <w:jc w:val="both"/>
        <w:rPr>
          <w:rFonts w:ascii="Calibri" w:hAnsi="Calibri"/>
          <w:sz w:val="16"/>
        </w:rPr>
      </w:pPr>
      <w:r>
        <w:rPr>
          <w:rFonts w:ascii="Calibri" w:hAnsi="Calibri"/>
          <w:color w:val="414042"/>
          <w:position w:val="5"/>
          <w:sz w:val="9"/>
        </w:rPr>
        <w:t>1 </w:t>
      </w:r>
      <w:r>
        <w:rPr>
          <w:rFonts w:ascii="Calibri" w:hAnsi="Calibri"/>
          <w:color w:val="414042"/>
          <w:sz w:val="16"/>
        </w:rPr>
        <w:t>Una regla fiscal es definida como una restricción permanente sobre la política fiscal a través de simples límites numéricos sobre agregados presupuestarios, esto está caracterizado por la simplicidad en el mo- nitoreo y control público. Por consiguiente, lo más importante de las reglas es promover la sostenibilidad fiscal, estableciendo límites (en términos del PIB), en cuanto a: (i) Balance entre ingresos y gastos del gobierno –ya sea Global, cíclico o estructural– ; (ii) Endeudamiento gubernamental; (iii) Gasto –Global, primario, corriente, o en términos de tasas de crecimiento–; (iv) Ingreso   fiscal.</w:t>
      </w:r>
    </w:p>
    <w:p>
      <w:pPr>
        <w:pStyle w:val="BodyText"/>
        <w:rPr>
          <w:rFonts w:ascii="Calibri"/>
          <w:sz w:val="20"/>
        </w:rPr>
      </w:pPr>
    </w:p>
    <w:p>
      <w:pPr>
        <w:pStyle w:val="BodyText"/>
        <w:spacing w:before="2"/>
        <w:rPr>
          <w:rFonts w:ascii="Calibri"/>
          <w:sz w:val="28"/>
        </w:rPr>
      </w:pPr>
    </w:p>
    <w:p>
      <w:pPr>
        <w:tabs>
          <w:tab w:pos="1357" w:val="left" w:leader="none"/>
        </w:tabs>
        <w:spacing w:before="71"/>
        <w:ind w:left="252" w:right="0" w:firstLine="0"/>
        <w:jc w:val="left"/>
        <w:rPr>
          <w:rFonts w:ascii="Calibri" w:hAnsi="Calibri"/>
          <w:sz w:val="15"/>
        </w:rPr>
      </w:pPr>
      <w:r>
        <w:rPr/>
        <w:pict>
          <v:group style="position:absolute;margin-left:101.817299pt;margin-top:-16.749887pt;width:17.850pt;height:56.5pt;mso-position-horizontal-relative:page;mso-position-vertical-relative:paragraph;z-index:-24095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194</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410" w:right="-12" w:firstLine="338"/>
        <w:jc w:val="left"/>
        <w:rPr>
          <w:rFonts w:ascii="Lucida Sans Unicode" w:hAnsi="Lucida Sans Unicode"/>
          <w:sz w:val="14"/>
        </w:rPr>
      </w:pPr>
      <w:r>
        <w:rPr/>
        <w:pict>
          <v:line style="position:absolute;mso-position-horizontal-relative:page;mso-position-vertical-relative:paragraph;z-index:7000"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195</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basada</w:t>
      </w:r>
      <w:r>
        <w:rPr>
          <w:color w:val="231F20"/>
          <w:spacing w:val="-37"/>
          <w:w w:val="105"/>
        </w:rPr>
        <w:t> </w:t>
      </w:r>
      <w:r>
        <w:rPr>
          <w:color w:val="231F20"/>
          <w:w w:val="105"/>
        </w:rPr>
        <w:t>en</w:t>
      </w:r>
      <w:r>
        <w:rPr>
          <w:color w:val="231F20"/>
          <w:spacing w:val="-37"/>
          <w:w w:val="105"/>
        </w:rPr>
        <w:t> </w:t>
      </w:r>
      <w:r>
        <w:rPr>
          <w:color w:val="231F20"/>
          <w:w w:val="105"/>
        </w:rPr>
        <w:t>balances</w:t>
      </w:r>
      <w:r>
        <w:rPr>
          <w:color w:val="231F20"/>
          <w:spacing w:val="-37"/>
          <w:w w:val="105"/>
        </w:rPr>
        <w:t> </w:t>
      </w:r>
      <w:r>
        <w:rPr>
          <w:color w:val="231F20"/>
          <w:w w:val="105"/>
        </w:rPr>
        <w:t>fiscales</w:t>
      </w:r>
      <w:r>
        <w:rPr>
          <w:color w:val="231F20"/>
          <w:spacing w:val="-37"/>
          <w:w w:val="105"/>
        </w:rPr>
        <w:t> </w:t>
      </w:r>
      <w:r>
        <w:rPr>
          <w:color w:val="231F20"/>
          <w:w w:val="105"/>
        </w:rPr>
        <w:t>cíclicamente</w:t>
      </w:r>
      <w:r>
        <w:rPr>
          <w:color w:val="231F20"/>
          <w:spacing w:val="-37"/>
          <w:w w:val="105"/>
        </w:rPr>
        <w:t> </w:t>
      </w:r>
      <w:r>
        <w:rPr>
          <w:color w:val="231F20"/>
          <w:w w:val="105"/>
        </w:rPr>
        <w:t>ajustados</w:t>
      </w:r>
      <w:r>
        <w:rPr>
          <w:color w:val="231F20"/>
          <w:spacing w:val="-37"/>
          <w:w w:val="105"/>
        </w:rPr>
        <w:t> </w:t>
      </w:r>
      <w:r>
        <w:rPr>
          <w:color w:val="231F20"/>
          <w:w w:val="105"/>
        </w:rPr>
        <w:t>(límites);</w:t>
      </w:r>
      <w:r>
        <w:rPr>
          <w:color w:val="231F20"/>
          <w:spacing w:val="-37"/>
          <w:w w:val="105"/>
        </w:rPr>
        <w:t> </w:t>
      </w:r>
      <w:r>
        <w:rPr>
          <w:color w:val="231F20"/>
          <w:w w:val="105"/>
        </w:rPr>
        <w:t>ii)</w:t>
      </w:r>
      <w:r>
        <w:rPr>
          <w:color w:val="231F20"/>
          <w:spacing w:val="-37"/>
          <w:w w:val="105"/>
        </w:rPr>
        <w:t> </w:t>
      </w:r>
      <w:r>
        <w:rPr>
          <w:color w:val="231F20"/>
          <w:w w:val="105"/>
        </w:rPr>
        <w:t>restriccio- nes</w:t>
      </w:r>
      <w:r>
        <w:rPr>
          <w:color w:val="231F20"/>
          <w:spacing w:val="-5"/>
          <w:w w:val="105"/>
        </w:rPr>
        <w:t> </w:t>
      </w:r>
      <w:r>
        <w:rPr>
          <w:color w:val="231F20"/>
          <w:w w:val="105"/>
        </w:rPr>
        <w:t>sobre</w:t>
      </w:r>
      <w:r>
        <w:rPr>
          <w:color w:val="231F20"/>
          <w:spacing w:val="-5"/>
          <w:w w:val="105"/>
        </w:rPr>
        <w:t> </w:t>
      </w:r>
      <w:r>
        <w:rPr>
          <w:color w:val="231F20"/>
          <w:w w:val="105"/>
        </w:rPr>
        <w:t>el</w:t>
      </w:r>
      <w:r>
        <w:rPr>
          <w:color w:val="231F20"/>
          <w:spacing w:val="-5"/>
          <w:w w:val="105"/>
        </w:rPr>
        <w:t> </w:t>
      </w:r>
      <w:r>
        <w:rPr>
          <w:color w:val="231F20"/>
          <w:w w:val="105"/>
        </w:rPr>
        <w:t>gasto</w:t>
      </w:r>
      <w:r>
        <w:rPr>
          <w:color w:val="231F20"/>
          <w:spacing w:val="-5"/>
          <w:w w:val="105"/>
        </w:rPr>
        <w:t> </w:t>
      </w:r>
      <w:r>
        <w:rPr>
          <w:color w:val="231F20"/>
          <w:w w:val="105"/>
        </w:rPr>
        <w:t>público</w:t>
      </w:r>
      <w:r>
        <w:rPr>
          <w:color w:val="231F20"/>
          <w:spacing w:val="-5"/>
          <w:w w:val="105"/>
        </w:rPr>
        <w:t> </w:t>
      </w:r>
      <w:r>
        <w:rPr>
          <w:color w:val="231F20"/>
          <w:w w:val="105"/>
        </w:rPr>
        <w:t>y</w:t>
      </w:r>
      <w:r>
        <w:rPr>
          <w:color w:val="231F20"/>
          <w:spacing w:val="-5"/>
          <w:w w:val="105"/>
        </w:rPr>
        <w:t> </w:t>
      </w:r>
      <w:r>
        <w:rPr>
          <w:color w:val="231F20"/>
          <w:w w:val="105"/>
        </w:rPr>
        <w:t>deuda</w:t>
      </w:r>
      <w:r>
        <w:rPr>
          <w:color w:val="231F20"/>
          <w:spacing w:val="-5"/>
          <w:w w:val="105"/>
        </w:rPr>
        <w:t> </w:t>
      </w:r>
      <w:r>
        <w:rPr>
          <w:color w:val="231F20"/>
          <w:w w:val="105"/>
        </w:rPr>
        <w:t>pública</w:t>
      </w:r>
      <w:r>
        <w:rPr>
          <w:color w:val="231F20"/>
          <w:spacing w:val="-5"/>
          <w:w w:val="105"/>
        </w:rPr>
        <w:t> </w:t>
      </w:r>
      <w:r>
        <w:rPr>
          <w:color w:val="231F20"/>
          <w:w w:val="105"/>
        </w:rPr>
        <w:t>máxima;</w:t>
      </w:r>
      <w:r>
        <w:rPr>
          <w:color w:val="231F20"/>
          <w:spacing w:val="-5"/>
          <w:w w:val="105"/>
        </w:rPr>
        <w:t> </w:t>
      </w:r>
      <w:r>
        <w:rPr>
          <w:color w:val="231F20"/>
          <w:w w:val="105"/>
        </w:rPr>
        <w:t>iii)</w:t>
      </w:r>
      <w:r>
        <w:rPr>
          <w:color w:val="231F20"/>
          <w:spacing w:val="-5"/>
          <w:w w:val="105"/>
        </w:rPr>
        <w:t> </w:t>
      </w:r>
      <w:r>
        <w:rPr>
          <w:color w:val="231F20"/>
          <w:w w:val="105"/>
        </w:rPr>
        <w:t>diseño</w:t>
      </w:r>
      <w:r>
        <w:rPr>
          <w:color w:val="231F20"/>
          <w:spacing w:val="-5"/>
          <w:w w:val="105"/>
        </w:rPr>
        <w:t> </w:t>
      </w:r>
      <w:r>
        <w:rPr>
          <w:color w:val="231F20"/>
          <w:w w:val="105"/>
        </w:rPr>
        <w:t>de</w:t>
      </w:r>
      <w:r>
        <w:rPr>
          <w:color w:val="231F20"/>
          <w:spacing w:val="-5"/>
          <w:w w:val="105"/>
        </w:rPr>
        <w:t> </w:t>
      </w:r>
      <w:r>
        <w:rPr>
          <w:color w:val="231F20"/>
          <w:w w:val="105"/>
        </w:rPr>
        <w:t>corto, mediano</w:t>
      </w:r>
      <w:r>
        <w:rPr>
          <w:color w:val="231F20"/>
          <w:spacing w:val="-10"/>
          <w:w w:val="105"/>
        </w:rPr>
        <w:t> </w:t>
      </w:r>
      <w:r>
        <w:rPr>
          <w:color w:val="231F20"/>
          <w:w w:val="105"/>
        </w:rPr>
        <w:t>y</w:t>
      </w:r>
      <w:r>
        <w:rPr>
          <w:color w:val="231F20"/>
          <w:spacing w:val="-10"/>
          <w:w w:val="105"/>
        </w:rPr>
        <w:t> </w:t>
      </w:r>
      <w:r>
        <w:rPr>
          <w:color w:val="231F20"/>
          <w:w w:val="105"/>
        </w:rPr>
        <w:t>largo</w:t>
      </w:r>
      <w:r>
        <w:rPr>
          <w:color w:val="231F20"/>
          <w:spacing w:val="-10"/>
          <w:w w:val="105"/>
        </w:rPr>
        <w:t> </w:t>
      </w:r>
      <w:r>
        <w:rPr>
          <w:color w:val="231F20"/>
          <w:w w:val="105"/>
        </w:rPr>
        <w:t>plazo;</w:t>
      </w:r>
      <w:r>
        <w:rPr>
          <w:color w:val="231F20"/>
          <w:spacing w:val="-10"/>
          <w:w w:val="105"/>
        </w:rPr>
        <w:t> </w:t>
      </w:r>
      <w:r>
        <w:rPr>
          <w:color w:val="231F20"/>
          <w:w w:val="105"/>
        </w:rPr>
        <w:t>iv)</w:t>
      </w:r>
      <w:r>
        <w:rPr>
          <w:color w:val="231F20"/>
          <w:spacing w:val="-10"/>
          <w:w w:val="105"/>
        </w:rPr>
        <w:t> </w:t>
      </w:r>
      <w:r>
        <w:rPr>
          <w:color w:val="231F20"/>
          <w:w w:val="105"/>
        </w:rPr>
        <w:t>mejora</w:t>
      </w:r>
      <w:r>
        <w:rPr>
          <w:color w:val="231F20"/>
          <w:spacing w:val="-10"/>
          <w:w w:val="105"/>
        </w:rPr>
        <w:t> </w:t>
      </w:r>
      <w:r>
        <w:rPr>
          <w:color w:val="231F20"/>
          <w:w w:val="105"/>
        </w:rPr>
        <w:t>en</w:t>
      </w:r>
      <w:r>
        <w:rPr>
          <w:color w:val="231F20"/>
          <w:spacing w:val="-10"/>
          <w:w w:val="105"/>
        </w:rPr>
        <w:t> </w:t>
      </w:r>
      <w:r>
        <w:rPr>
          <w:color w:val="231F20"/>
          <w:w w:val="105"/>
        </w:rPr>
        <w:t>aspectos</w:t>
      </w:r>
      <w:r>
        <w:rPr>
          <w:color w:val="231F20"/>
          <w:spacing w:val="-10"/>
          <w:w w:val="105"/>
        </w:rPr>
        <w:t> </w:t>
      </w:r>
      <w:r>
        <w:rPr>
          <w:color w:val="231F20"/>
          <w:w w:val="105"/>
        </w:rPr>
        <w:t>institucionales</w:t>
      </w:r>
      <w:r>
        <w:rPr>
          <w:color w:val="231F20"/>
          <w:spacing w:val="-10"/>
          <w:w w:val="105"/>
        </w:rPr>
        <w:t> </w:t>
      </w:r>
      <w:r>
        <w:rPr>
          <w:color w:val="231F20"/>
          <w:w w:val="105"/>
        </w:rPr>
        <w:t>(por</w:t>
      </w:r>
      <w:r>
        <w:rPr>
          <w:color w:val="231F20"/>
          <w:spacing w:val="-10"/>
          <w:w w:val="105"/>
        </w:rPr>
        <w:t> </w:t>
      </w:r>
      <w:r>
        <w:rPr>
          <w:color w:val="231F20"/>
          <w:w w:val="105"/>
        </w:rPr>
        <w:t>ejem- plo,</w:t>
      </w:r>
      <w:r>
        <w:rPr>
          <w:color w:val="231F20"/>
          <w:spacing w:val="-17"/>
          <w:w w:val="105"/>
        </w:rPr>
        <w:t> </w:t>
      </w:r>
      <w:r>
        <w:rPr>
          <w:color w:val="231F20"/>
          <w:w w:val="105"/>
        </w:rPr>
        <w:t>la</w:t>
      </w:r>
      <w:r>
        <w:rPr>
          <w:color w:val="231F20"/>
          <w:spacing w:val="-11"/>
          <w:w w:val="105"/>
        </w:rPr>
        <w:t> </w:t>
      </w:r>
      <w:r>
        <w:rPr>
          <w:color w:val="231F20"/>
          <w:w w:val="105"/>
        </w:rPr>
        <w:t>creación</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agencia</w:t>
      </w:r>
      <w:r>
        <w:rPr>
          <w:color w:val="231F20"/>
          <w:spacing w:val="-11"/>
          <w:w w:val="105"/>
        </w:rPr>
        <w:t> </w:t>
      </w:r>
      <w:r>
        <w:rPr>
          <w:color w:val="231F20"/>
          <w:w w:val="105"/>
        </w:rPr>
        <w:t>independiente</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administración</w:t>
      </w:r>
      <w:r>
        <w:rPr>
          <w:color w:val="231F20"/>
          <w:spacing w:val="-11"/>
          <w:w w:val="105"/>
        </w:rPr>
        <w:t> </w:t>
      </w:r>
      <w:r>
        <w:rPr>
          <w:color w:val="231F20"/>
          <w:w w:val="105"/>
        </w:rPr>
        <w:t>de la</w:t>
      </w:r>
      <w:r>
        <w:rPr>
          <w:color w:val="231F20"/>
          <w:spacing w:val="-34"/>
          <w:w w:val="105"/>
        </w:rPr>
        <w:t> </w:t>
      </w:r>
      <w:r>
        <w:rPr>
          <w:color w:val="231F20"/>
          <w:w w:val="105"/>
        </w:rPr>
        <w:t>regla</w:t>
      </w:r>
      <w:r>
        <w:rPr>
          <w:color w:val="231F20"/>
          <w:spacing w:val="-34"/>
          <w:w w:val="105"/>
        </w:rPr>
        <w:t> </w:t>
      </w:r>
      <w:r>
        <w:rPr>
          <w:color w:val="231F20"/>
          <w:w w:val="105"/>
        </w:rPr>
        <w:t>fiscal).</w:t>
      </w:r>
    </w:p>
    <w:p>
      <w:pPr>
        <w:pStyle w:val="BodyText"/>
        <w:spacing w:line="259" w:lineRule="auto"/>
        <w:ind w:left="117" w:right="121" w:firstLine="567"/>
        <w:jc w:val="both"/>
      </w:pPr>
      <w:r>
        <w:rPr>
          <w:color w:val="231F20"/>
          <w:w w:val="105"/>
        </w:rPr>
        <w:t>Desde</w:t>
      </w:r>
      <w:r>
        <w:rPr>
          <w:color w:val="231F20"/>
          <w:spacing w:val="-20"/>
          <w:w w:val="105"/>
        </w:rPr>
        <w:t> </w:t>
      </w:r>
      <w:r>
        <w:rPr>
          <w:color w:val="231F20"/>
          <w:w w:val="105"/>
        </w:rPr>
        <w:t>el</w:t>
      </w:r>
      <w:r>
        <w:rPr>
          <w:color w:val="231F20"/>
          <w:spacing w:val="-20"/>
          <w:w w:val="105"/>
        </w:rPr>
        <w:t> </w:t>
      </w:r>
      <w:r>
        <w:rPr>
          <w:color w:val="231F20"/>
          <w:w w:val="105"/>
        </w:rPr>
        <w:t>inicio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Eurozona</w:t>
      </w:r>
      <w:r>
        <w:rPr>
          <w:color w:val="231F20"/>
          <w:spacing w:val="-20"/>
          <w:w w:val="105"/>
        </w:rPr>
        <w:t> </w:t>
      </w:r>
      <w:r>
        <w:rPr>
          <w:color w:val="231F20"/>
          <w:w w:val="105"/>
        </w:rPr>
        <w:t>el</w:t>
      </w:r>
      <w:r>
        <w:rPr>
          <w:color w:val="231F20"/>
          <w:spacing w:val="-20"/>
          <w:w w:val="105"/>
        </w:rPr>
        <w:t> </w:t>
      </w:r>
      <w:r>
        <w:rPr>
          <w:color w:val="231F20"/>
          <w:w w:val="105"/>
        </w:rPr>
        <w:t>pacto</w:t>
      </w:r>
      <w:r>
        <w:rPr>
          <w:color w:val="231F20"/>
          <w:spacing w:val="-20"/>
          <w:w w:val="105"/>
        </w:rPr>
        <w:t> </w:t>
      </w:r>
      <w:r>
        <w:rPr>
          <w:color w:val="231F20"/>
          <w:w w:val="105"/>
        </w:rPr>
        <w:t>de</w:t>
      </w:r>
      <w:r>
        <w:rPr>
          <w:color w:val="231F20"/>
          <w:spacing w:val="-20"/>
          <w:w w:val="105"/>
        </w:rPr>
        <w:t> </w:t>
      </w:r>
      <w:r>
        <w:rPr>
          <w:color w:val="231F20"/>
          <w:w w:val="105"/>
        </w:rPr>
        <w:t>estabilidad</w:t>
      </w:r>
      <w:r>
        <w:rPr>
          <w:color w:val="231F20"/>
          <w:spacing w:val="-20"/>
          <w:w w:val="105"/>
        </w:rPr>
        <w:t> </w:t>
      </w:r>
      <w:r>
        <w:rPr>
          <w:color w:val="231F20"/>
          <w:w w:val="105"/>
        </w:rPr>
        <w:t>fue</w:t>
      </w:r>
      <w:r>
        <w:rPr>
          <w:color w:val="231F20"/>
          <w:spacing w:val="-20"/>
          <w:w w:val="105"/>
        </w:rPr>
        <w:t> </w:t>
      </w:r>
      <w:r>
        <w:rPr>
          <w:color w:val="231F20"/>
          <w:w w:val="105"/>
        </w:rPr>
        <w:t>la</w:t>
      </w:r>
      <w:r>
        <w:rPr>
          <w:color w:val="231F20"/>
          <w:spacing w:val="-20"/>
          <w:w w:val="105"/>
        </w:rPr>
        <w:t> </w:t>
      </w:r>
      <w:r>
        <w:rPr>
          <w:color w:val="231F20"/>
          <w:w w:val="105"/>
        </w:rPr>
        <w:t>fijación de</w:t>
      </w:r>
      <w:r>
        <w:rPr>
          <w:color w:val="231F20"/>
          <w:spacing w:val="-20"/>
          <w:w w:val="105"/>
        </w:rPr>
        <w:t> </w:t>
      </w:r>
      <w:r>
        <w:rPr>
          <w:color w:val="231F20"/>
          <w:w w:val="105"/>
        </w:rPr>
        <w:t>un</w:t>
      </w:r>
      <w:r>
        <w:rPr>
          <w:color w:val="231F20"/>
          <w:spacing w:val="-20"/>
          <w:w w:val="105"/>
        </w:rPr>
        <w:t> </w:t>
      </w:r>
      <w:r>
        <w:rPr>
          <w:color w:val="231F20"/>
          <w:w w:val="105"/>
        </w:rPr>
        <w:t>límite</w:t>
      </w:r>
      <w:r>
        <w:rPr>
          <w:color w:val="231F20"/>
          <w:spacing w:val="-20"/>
          <w:w w:val="105"/>
        </w:rPr>
        <w:t> </w:t>
      </w:r>
      <w:r>
        <w:rPr>
          <w:color w:val="231F20"/>
          <w:w w:val="105"/>
        </w:rPr>
        <w:t>de</w:t>
      </w:r>
      <w:r>
        <w:rPr>
          <w:color w:val="231F20"/>
          <w:spacing w:val="-20"/>
          <w:w w:val="105"/>
        </w:rPr>
        <w:t> </w:t>
      </w:r>
      <w:r>
        <w:rPr>
          <w:color w:val="231F20"/>
          <w:w w:val="105"/>
        </w:rPr>
        <w:t>3%</w:t>
      </w:r>
      <w:r>
        <w:rPr>
          <w:color w:val="231F20"/>
          <w:spacing w:val="-20"/>
          <w:w w:val="105"/>
        </w:rPr>
        <w:t> </w:t>
      </w:r>
      <w:r>
        <w:rPr>
          <w:color w:val="231F20"/>
          <w:w w:val="105"/>
        </w:rPr>
        <w:t>sobre</w:t>
      </w:r>
      <w:r>
        <w:rPr>
          <w:color w:val="231F20"/>
          <w:spacing w:val="-20"/>
          <w:w w:val="105"/>
        </w:rPr>
        <w:t> </w:t>
      </w:r>
      <w:r>
        <w:rPr>
          <w:color w:val="231F20"/>
          <w:w w:val="105"/>
        </w:rPr>
        <w:t>el</w:t>
      </w:r>
      <w:r>
        <w:rPr>
          <w:color w:val="231F20"/>
          <w:spacing w:val="-20"/>
          <w:w w:val="105"/>
        </w:rPr>
        <w:t> </w:t>
      </w:r>
      <w:r>
        <w:rPr>
          <w:color w:val="231F20"/>
          <w:w w:val="105"/>
        </w:rPr>
        <w:t>déficit</w:t>
      </w:r>
      <w:r>
        <w:rPr>
          <w:color w:val="231F20"/>
          <w:spacing w:val="-20"/>
          <w:w w:val="105"/>
        </w:rPr>
        <w:t> </w:t>
      </w:r>
      <w:r>
        <w:rPr>
          <w:color w:val="231F20"/>
          <w:w w:val="105"/>
        </w:rPr>
        <w:t>fiscal</w:t>
      </w:r>
      <w:r>
        <w:rPr>
          <w:color w:val="231F20"/>
          <w:spacing w:val="-20"/>
          <w:w w:val="105"/>
        </w:rPr>
        <w:t> </w:t>
      </w:r>
      <w:r>
        <w:rPr>
          <w:color w:val="231F20"/>
          <w:w w:val="105"/>
        </w:rPr>
        <w:t>y</w:t>
      </w:r>
      <w:r>
        <w:rPr>
          <w:color w:val="231F20"/>
          <w:spacing w:val="-20"/>
          <w:w w:val="105"/>
        </w:rPr>
        <w:t> </w:t>
      </w:r>
      <w:r>
        <w:rPr>
          <w:color w:val="231F20"/>
          <w:w w:val="105"/>
        </w:rPr>
        <w:t>un</w:t>
      </w:r>
      <w:r>
        <w:rPr>
          <w:color w:val="231F20"/>
          <w:spacing w:val="-20"/>
          <w:w w:val="105"/>
        </w:rPr>
        <w:t> </w:t>
      </w:r>
      <w:r>
        <w:rPr>
          <w:color w:val="231F20"/>
          <w:w w:val="105"/>
        </w:rPr>
        <w:t>techo</w:t>
      </w:r>
      <w:r>
        <w:rPr>
          <w:color w:val="231F20"/>
          <w:spacing w:val="-20"/>
          <w:w w:val="105"/>
        </w:rPr>
        <w:t> </w:t>
      </w:r>
      <w:r>
        <w:rPr>
          <w:color w:val="231F20"/>
          <w:w w:val="105"/>
        </w:rPr>
        <w:t>máximo</w:t>
      </w:r>
      <w:r>
        <w:rPr>
          <w:color w:val="231F20"/>
          <w:spacing w:val="-20"/>
          <w:w w:val="105"/>
        </w:rPr>
        <w:t> </w:t>
      </w:r>
      <w:r>
        <w:rPr>
          <w:color w:val="231F20"/>
          <w:w w:val="105"/>
        </w:rPr>
        <w:t>de</w:t>
      </w:r>
      <w:r>
        <w:rPr>
          <w:color w:val="231F20"/>
          <w:spacing w:val="-20"/>
          <w:w w:val="105"/>
        </w:rPr>
        <w:t> </w:t>
      </w:r>
      <w:r>
        <w:rPr>
          <w:color w:val="231F20"/>
          <w:w w:val="105"/>
        </w:rPr>
        <w:t>60%</w:t>
      </w:r>
      <w:r>
        <w:rPr>
          <w:color w:val="231F20"/>
          <w:spacing w:val="-20"/>
          <w:w w:val="105"/>
        </w:rPr>
        <w:t> </w:t>
      </w:r>
      <w:r>
        <w:rPr>
          <w:color w:val="231F20"/>
          <w:w w:val="105"/>
        </w:rPr>
        <w:t>sobre el</w:t>
      </w:r>
      <w:r>
        <w:rPr>
          <w:color w:val="231F20"/>
          <w:spacing w:val="-7"/>
          <w:w w:val="105"/>
        </w:rPr>
        <w:t> </w:t>
      </w:r>
      <w:r>
        <w:rPr>
          <w:color w:val="231F20"/>
          <w:w w:val="105"/>
        </w:rPr>
        <w:t>nivel</w:t>
      </w:r>
      <w:r>
        <w:rPr>
          <w:color w:val="231F20"/>
          <w:spacing w:val="-7"/>
          <w:w w:val="105"/>
        </w:rPr>
        <w:t> </w:t>
      </w:r>
      <w:r>
        <w:rPr>
          <w:color w:val="231F20"/>
          <w:w w:val="105"/>
        </w:rPr>
        <w:t>de</w:t>
      </w:r>
      <w:r>
        <w:rPr>
          <w:color w:val="231F20"/>
          <w:spacing w:val="-7"/>
          <w:w w:val="105"/>
        </w:rPr>
        <w:t> </w:t>
      </w:r>
      <w:r>
        <w:rPr>
          <w:color w:val="231F20"/>
          <w:w w:val="105"/>
        </w:rPr>
        <w:t>endeudamiento.</w:t>
      </w:r>
      <w:r>
        <w:rPr>
          <w:color w:val="231F20"/>
          <w:spacing w:val="-13"/>
          <w:w w:val="105"/>
        </w:rPr>
        <w:t> </w:t>
      </w:r>
      <w:r>
        <w:rPr>
          <w:color w:val="231F20"/>
          <w:w w:val="105"/>
        </w:rPr>
        <w:t>Empero,</w:t>
      </w:r>
      <w:r>
        <w:rPr>
          <w:color w:val="231F20"/>
          <w:spacing w:val="-13"/>
          <w:w w:val="105"/>
        </w:rPr>
        <w:t> </w:t>
      </w:r>
      <w:r>
        <w:rPr>
          <w:color w:val="231F20"/>
          <w:w w:val="105"/>
        </w:rPr>
        <w:t>12</w:t>
      </w:r>
      <w:r>
        <w:rPr>
          <w:color w:val="231F20"/>
          <w:spacing w:val="-7"/>
          <w:w w:val="105"/>
        </w:rPr>
        <w:t> </w:t>
      </w:r>
      <w:r>
        <w:rPr>
          <w:color w:val="231F20"/>
          <w:w w:val="105"/>
        </w:rPr>
        <w:t>países</w:t>
      </w:r>
      <w:r>
        <w:rPr>
          <w:color w:val="231F20"/>
          <w:spacing w:val="-7"/>
          <w:w w:val="105"/>
        </w:rPr>
        <w:t> </w:t>
      </w:r>
      <w:r>
        <w:rPr>
          <w:color w:val="231F20"/>
          <w:w w:val="105"/>
        </w:rPr>
        <w:t>incumplieron</w:t>
      </w:r>
      <w:r>
        <w:rPr>
          <w:color w:val="231F20"/>
          <w:spacing w:val="-7"/>
          <w:w w:val="105"/>
        </w:rPr>
        <w:t> </w:t>
      </w:r>
      <w:r>
        <w:rPr>
          <w:color w:val="231F20"/>
          <w:w w:val="105"/>
        </w:rPr>
        <w:t>el</w:t>
      </w:r>
      <w:r>
        <w:rPr>
          <w:color w:val="231F20"/>
          <w:spacing w:val="-7"/>
          <w:w w:val="105"/>
        </w:rPr>
        <w:t> </w:t>
      </w:r>
      <w:r>
        <w:rPr>
          <w:color w:val="231F20"/>
          <w:w w:val="105"/>
        </w:rPr>
        <w:t>límite</w:t>
      </w:r>
      <w:r>
        <w:rPr>
          <w:color w:val="231F20"/>
          <w:spacing w:val="-7"/>
          <w:w w:val="105"/>
        </w:rPr>
        <w:t> </w:t>
      </w:r>
      <w:r>
        <w:rPr>
          <w:color w:val="231F20"/>
          <w:w w:val="105"/>
        </w:rPr>
        <w:t>de deuda en 1999; posteriormente seis de ellos lo habían incumplido en 2006.</w:t>
      </w:r>
      <w:r>
        <w:rPr>
          <w:color w:val="231F20"/>
          <w:spacing w:val="-39"/>
          <w:w w:val="105"/>
        </w:rPr>
        <w:t> </w:t>
      </w:r>
      <w:r>
        <w:rPr>
          <w:color w:val="231F20"/>
          <w:w w:val="105"/>
        </w:rPr>
        <w:t>Las</w:t>
      </w:r>
      <w:r>
        <w:rPr>
          <w:color w:val="231F20"/>
          <w:spacing w:val="-36"/>
          <w:w w:val="105"/>
        </w:rPr>
        <w:t> </w:t>
      </w:r>
      <w:r>
        <w:rPr>
          <w:color w:val="231F20"/>
          <w:w w:val="105"/>
        </w:rPr>
        <w:t>reglas</w:t>
      </w:r>
      <w:r>
        <w:rPr>
          <w:color w:val="231F20"/>
          <w:spacing w:val="-36"/>
          <w:w w:val="105"/>
        </w:rPr>
        <w:t> </w:t>
      </w:r>
      <w:r>
        <w:rPr>
          <w:color w:val="231F20"/>
          <w:w w:val="105"/>
        </w:rPr>
        <w:t>fiscales</w:t>
      </w:r>
      <w:r>
        <w:rPr>
          <w:color w:val="231F20"/>
          <w:spacing w:val="-36"/>
          <w:w w:val="105"/>
        </w:rPr>
        <w:t> </w:t>
      </w:r>
      <w:r>
        <w:rPr>
          <w:color w:val="231F20"/>
          <w:w w:val="105"/>
        </w:rPr>
        <w:t>fueron</w:t>
      </w:r>
      <w:r>
        <w:rPr>
          <w:color w:val="231F20"/>
          <w:spacing w:val="-36"/>
          <w:w w:val="105"/>
        </w:rPr>
        <w:t> </w:t>
      </w:r>
      <w:r>
        <w:rPr>
          <w:color w:val="231F20"/>
          <w:w w:val="105"/>
        </w:rPr>
        <w:t>diseñadas</w:t>
      </w:r>
      <w:r>
        <w:rPr>
          <w:color w:val="231F20"/>
          <w:spacing w:val="-36"/>
          <w:w w:val="105"/>
        </w:rPr>
        <w:t> </w:t>
      </w:r>
      <w:r>
        <w:rPr>
          <w:color w:val="231F20"/>
          <w:w w:val="105"/>
        </w:rPr>
        <w:t>con</w:t>
      </w:r>
      <w:r>
        <w:rPr>
          <w:color w:val="231F20"/>
          <w:spacing w:val="-36"/>
          <w:w w:val="105"/>
        </w:rPr>
        <w:t> </w:t>
      </w:r>
      <w:r>
        <w:rPr>
          <w:color w:val="231F20"/>
          <w:w w:val="105"/>
        </w:rPr>
        <w:t>el</w:t>
      </w:r>
      <w:r>
        <w:rPr>
          <w:color w:val="231F20"/>
          <w:spacing w:val="-36"/>
          <w:w w:val="105"/>
        </w:rPr>
        <w:t> </w:t>
      </w:r>
      <w:r>
        <w:rPr>
          <w:color w:val="231F20"/>
          <w:w w:val="105"/>
        </w:rPr>
        <w:t>fin</w:t>
      </w:r>
      <w:r>
        <w:rPr>
          <w:color w:val="231F20"/>
          <w:spacing w:val="-36"/>
          <w:w w:val="105"/>
        </w:rPr>
        <w:t> </w:t>
      </w:r>
      <w:r>
        <w:rPr>
          <w:color w:val="231F20"/>
          <w:w w:val="105"/>
        </w:rPr>
        <w:t>de</w:t>
      </w:r>
      <w:r>
        <w:rPr>
          <w:color w:val="231F20"/>
          <w:spacing w:val="-36"/>
          <w:w w:val="105"/>
        </w:rPr>
        <w:t> </w:t>
      </w:r>
      <w:r>
        <w:rPr>
          <w:color w:val="231F20"/>
          <w:w w:val="105"/>
        </w:rPr>
        <w:t>preservar</w:t>
      </w:r>
      <w:r>
        <w:rPr>
          <w:color w:val="231F20"/>
          <w:spacing w:val="-36"/>
          <w:w w:val="105"/>
        </w:rPr>
        <w:t> </w:t>
      </w:r>
      <w:r>
        <w:rPr>
          <w:color w:val="231F20"/>
          <w:w w:val="105"/>
        </w:rPr>
        <w:t>finanzas públicas sostenibles en términos de deuda y mantener la credibilidad fiscal</w:t>
      </w:r>
      <w:r>
        <w:rPr>
          <w:color w:val="231F20"/>
          <w:spacing w:val="-24"/>
          <w:w w:val="105"/>
        </w:rPr>
        <w:t> </w:t>
      </w:r>
      <w:r>
        <w:rPr>
          <w:color w:val="231F20"/>
          <w:w w:val="105"/>
        </w:rPr>
        <w:t>en</w:t>
      </w:r>
      <w:r>
        <w:rPr>
          <w:color w:val="231F20"/>
          <w:spacing w:val="-24"/>
          <w:w w:val="105"/>
        </w:rPr>
        <w:t> </w:t>
      </w:r>
      <w:r>
        <w:rPr>
          <w:color w:val="231F20"/>
          <w:w w:val="105"/>
        </w:rPr>
        <w:t>base</w:t>
      </w:r>
      <w:r>
        <w:rPr>
          <w:color w:val="231F20"/>
          <w:spacing w:val="-24"/>
          <w:w w:val="105"/>
        </w:rPr>
        <w:t> </w:t>
      </w:r>
      <w:r>
        <w:rPr>
          <w:color w:val="231F20"/>
          <w:w w:val="105"/>
        </w:rPr>
        <w:t>a</w:t>
      </w:r>
      <w:r>
        <w:rPr>
          <w:color w:val="231F20"/>
          <w:spacing w:val="-24"/>
          <w:w w:val="105"/>
        </w:rPr>
        <w:t> </w:t>
      </w:r>
      <w:r>
        <w:rPr>
          <w:color w:val="231F20"/>
          <w:w w:val="105"/>
        </w:rPr>
        <w:t>déficits</w:t>
      </w:r>
      <w:r>
        <w:rPr>
          <w:color w:val="231F20"/>
          <w:spacing w:val="-24"/>
          <w:w w:val="105"/>
        </w:rPr>
        <w:t> </w:t>
      </w:r>
      <w:r>
        <w:rPr>
          <w:color w:val="231F20"/>
          <w:w w:val="105"/>
        </w:rPr>
        <w:t>bajos</w:t>
      </w:r>
      <w:r>
        <w:rPr>
          <w:color w:val="231F20"/>
          <w:spacing w:val="-24"/>
          <w:w w:val="105"/>
        </w:rPr>
        <w:t> </w:t>
      </w:r>
      <w:r>
        <w:rPr>
          <w:color w:val="231F20"/>
          <w:w w:val="105"/>
        </w:rPr>
        <w:t>(Hughes,</w:t>
      </w:r>
      <w:r>
        <w:rPr>
          <w:color w:val="231F20"/>
          <w:spacing w:val="-29"/>
          <w:w w:val="105"/>
        </w:rPr>
        <w:t> </w:t>
      </w:r>
      <w:r>
        <w:rPr>
          <w:color w:val="231F20"/>
          <w:w w:val="105"/>
        </w:rPr>
        <w:t>2008a</w:t>
      </w:r>
      <w:r>
        <w:rPr>
          <w:color w:val="231F20"/>
          <w:spacing w:val="-24"/>
          <w:w w:val="105"/>
        </w:rPr>
        <w:t> </w:t>
      </w:r>
      <w:r>
        <w:rPr>
          <w:color w:val="231F20"/>
          <w:w w:val="105"/>
        </w:rPr>
        <w:t>y</w:t>
      </w:r>
      <w:r>
        <w:rPr>
          <w:color w:val="231F20"/>
          <w:spacing w:val="-24"/>
          <w:w w:val="105"/>
        </w:rPr>
        <w:t> </w:t>
      </w:r>
      <w:r>
        <w:rPr>
          <w:color w:val="231F20"/>
          <w:w w:val="105"/>
        </w:rPr>
        <w:t>2008b).</w:t>
      </w:r>
    </w:p>
    <w:p>
      <w:pPr>
        <w:pStyle w:val="BodyText"/>
        <w:spacing w:line="259" w:lineRule="auto"/>
        <w:ind w:left="117" w:right="121" w:firstLine="567"/>
        <w:jc w:val="both"/>
      </w:pPr>
      <w:r>
        <w:rPr>
          <w:color w:val="231F20"/>
          <w:w w:val="105"/>
        </w:rPr>
        <w:t>Desde el punto de vista institucional, De Mello (2005) argumenta que la introducción de normas institucionales relacionadas con techos presupuestarios de deuda es un factor importante en la sostenibilidad de deuda de largo plazo. Manasse (2007) estudió los efectos de</w:t>
      </w:r>
      <w:r>
        <w:rPr>
          <w:color w:val="231F20"/>
          <w:spacing w:val="-29"/>
          <w:w w:val="105"/>
        </w:rPr>
        <w:t> </w:t>
      </w:r>
      <w:r>
        <w:rPr>
          <w:color w:val="231F20"/>
          <w:w w:val="105"/>
        </w:rPr>
        <w:t>reglas fiscales</w:t>
      </w:r>
      <w:r>
        <w:rPr>
          <w:color w:val="231F20"/>
          <w:spacing w:val="-26"/>
          <w:w w:val="105"/>
        </w:rPr>
        <w:t> </w:t>
      </w:r>
      <w:r>
        <w:rPr>
          <w:color w:val="231F20"/>
          <w:w w:val="105"/>
        </w:rPr>
        <w:t>de</w:t>
      </w:r>
      <w:r>
        <w:rPr>
          <w:color w:val="231F20"/>
          <w:spacing w:val="-26"/>
          <w:w w:val="105"/>
        </w:rPr>
        <w:t> </w:t>
      </w:r>
      <w:r>
        <w:rPr>
          <w:color w:val="231F20"/>
          <w:w w:val="105"/>
        </w:rPr>
        <w:t>varias</w:t>
      </w:r>
      <w:r>
        <w:rPr>
          <w:color w:val="231F20"/>
          <w:spacing w:val="-26"/>
          <w:w w:val="105"/>
        </w:rPr>
        <w:t> </w:t>
      </w:r>
      <w:r>
        <w:rPr>
          <w:color w:val="231F20"/>
          <w:w w:val="105"/>
        </w:rPr>
        <w:t>economías</w:t>
      </w:r>
      <w:r>
        <w:rPr>
          <w:color w:val="231F20"/>
          <w:spacing w:val="-26"/>
          <w:w w:val="105"/>
        </w:rPr>
        <w:t> </w:t>
      </w:r>
      <w:r>
        <w:rPr>
          <w:color w:val="231F20"/>
          <w:w w:val="105"/>
        </w:rPr>
        <w:t>de</w:t>
      </w:r>
      <w:r>
        <w:rPr>
          <w:color w:val="231F20"/>
          <w:spacing w:val="-26"/>
          <w:w w:val="105"/>
        </w:rPr>
        <w:t> </w:t>
      </w:r>
      <w:r>
        <w:rPr>
          <w:color w:val="231F20"/>
          <w:w w:val="105"/>
        </w:rPr>
        <w:t>Europa</w:t>
      </w:r>
      <w:r>
        <w:rPr>
          <w:color w:val="231F20"/>
          <w:spacing w:val="-26"/>
          <w:w w:val="105"/>
        </w:rPr>
        <w:t> </w:t>
      </w:r>
      <w:r>
        <w:rPr>
          <w:color w:val="231F20"/>
          <w:w w:val="105"/>
        </w:rPr>
        <w:t>del</w:t>
      </w:r>
      <w:r>
        <w:rPr>
          <w:color w:val="231F20"/>
          <w:spacing w:val="-26"/>
          <w:w w:val="105"/>
        </w:rPr>
        <w:t> </w:t>
      </w:r>
      <w:r>
        <w:rPr>
          <w:color w:val="231F20"/>
          <w:w w:val="105"/>
        </w:rPr>
        <w:t>Este,</w:t>
      </w:r>
      <w:r>
        <w:rPr>
          <w:color w:val="231F20"/>
          <w:spacing w:val="-30"/>
          <w:w w:val="105"/>
        </w:rPr>
        <w:t> </w:t>
      </w:r>
      <w:r>
        <w:rPr>
          <w:color w:val="231F20"/>
          <w:w w:val="105"/>
        </w:rPr>
        <w:t>comparando</w:t>
      </w:r>
      <w:r>
        <w:rPr>
          <w:color w:val="231F20"/>
          <w:spacing w:val="-26"/>
          <w:w w:val="105"/>
        </w:rPr>
        <w:t> </w:t>
      </w:r>
      <w:r>
        <w:rPr>
          <w:color w:val="231F20"/>
          <w:w w:val="105"/>
        </w:rPr>
        <w:t>gobiernos sin</w:t>
      </w:r>
      <w:r>
        <w:rPr>
          <w:color w:val="231F20"/>
          <w:spacing w:val="-33"/>
          <w:w w:val="105"/>
        </w:rPr>
        <w:t> </w:t>
      </w:r>
      <w:r>
        <w:rPr>
          <w:color w:val="231F20"/>
          <w:w w:val="105"/>
        </w:rPr>
        <w:t>disciplina</w:t>
      </w:r>
      <w:r>
        <w:rPr>
          <w:color w:val="231F20"/>
          <w:spacing w:val="-33"/>
          <w:w w:val="105"/>
        </w:rPr>
        <w:t> </w:t>
      </w:r>
      <w:r>
        <w:rPr>
          <w:color w:val="231F20"/>
          <w:w w:val="105"/>
        </w:rPr>
        <w:t>fiscal</w:t>
      </w:r>
      <w:r>
        <w:rPr>
          <w:color w:val="231F20"/>
          <w:spacing w:val="-33"/>
          <w:w w:val="105"/>
        </w:rPr>
        <w:t> </w:t>
      </w:r>
      <w:r>
        <w:rPr>
          <w:color w:val="231F20"/>
          <w:w w:val="105"/>
        </w:rPr>
        <w:t>durante</w:t>
      </w:r>
      <w:r>
        <w:rPr>
          <w:color w:val="231F20"/>
          <w:spacing w:val="-33"/>
          <w:w w:val="105"/>
        </w:rPr>
        <w:t> </w:t>
      </w:r>
      <w:r>
        <w:rPr>
          <w:color w:val="231F20"/>
          <w:w w:val="105"/>
        </w:rPr>
        <w:t>épocas</w:t>
      </w:r>
      <w:r>
        <w:rPr>
          <w:color w:val="231F20"/>
          <w:spacing w:val="-33"/>
          <w:w w:val="105"/>
        </w:rPr>
        <w:t> </w:t>
      </w:r>
      <w:r>
        <w:rPr>
          <w:color w:val="231F20"/>
          <w:w w:val="105"/>
        </w:rPr>
        <w:t>de</w:t>
      </w:r>
      <w:r>
        <w:rPr>
          <w:color w:val="231F20"/>
          <w:spacing w:val="-33"/>
          <w:w w:val="105"/>
        </w:rPr>
        <w:t> </w:t>
      </w:r>
      <w:r>
        <w:rPr>
          <w:color w:val="231F20"/>
          <w:w w:val="105"/>
        </w:rPr>
        <w:t>recesión.</w:t>
      </w:r>
      <w:r>
        <w:rPr>
          <w:color w:val="231F20"/>
          <w:spacing w:val="-37"/>
          <w:w w:val="105"/>
        </w:rPr>
        <w:t> </w:t>
      </w:r>
      <w:r>
        <w:rPr>
          <w:color w:val="231F20"/>
          <w:w w:val="105"/>
        </w:rPr>
        <w:t>Los</w:t>
      </w:r>
      <w:r>
        <w:rPr>
          <w:color w:val="231F20"/>
          <w:spacing w:val="-33"/>
          <w:w w:val="105"/>
        </w:rPr>
        <w:t> </w:t>
      </w:r>
      <w:r>
        <w:rPr>
          <w:color w:val="231F20"/>
          <w:w w:val="105"/>
        </w:rPr>
        <w:t>resultados</w:t>
      </w:r>
      <w:r>
        <w:rPr>
          <w:color w:val="231F20"/>
          <w:spacing w:val="-33"/>
          <w:w w:val="105"/>
        </w:rPr>
        <w:t> </w:t>
      </w:r>
      <w:r>
        <w:rPr>
          <w:color w:val="231F20"/>
          <w:w w:val="105"/>
        </w:rPr>
        <w:t>mostraron que los límites de presupuestos actuaban inefectivamente ante la pre- sencia</w:t>
      </w:r>
      <w:r>
        <w:rPr>
          <w:color w:val="231F20"/>
          <w:spacing w:val="-7"/>
          <w:w w:val="105"/>
        </w:rPr>
        <w:t> </w:t>
      </w:r>
      <w:r>
        <w:rPr>
          <w:color w:val="231F20"/>
          <w:w w:val="105"/>
        </w:rPr>
        <w:t>de</w:t>
      </w:r>
      <w:r>
        <w:rPr>
          <w:color w:val="231F20"/>
          <w:spacing w:val="-7"/>
          <w:w w:val="105"/>
        </w:rPr>
        <w:t> </w:t>
      </w:r>
      <w:r>
        <w:rPr>
          <w:color w:val="231F20"/>
          <w:w w:val="105"/>
        </w:rPr>
        <w:t>largos</w:t>
      </w:r>
      <w:r>
        <w:rPr>
          <w:color w:val="231F20"/>
          <w:spacing w:val="-7"/>
          <w:w w:val="105"/>
        </w:rPr>
        <w:t> </w:t>
      </w:r>
      <w:r>
        <w:rPr>
          <w:color w:val="231F20"/>
          <w:w w:val="105"/>
        </w:rPr>
        <w:t>déficits</w:t>
      </w:r>
      <w:r>
        <w:rPr>
          <w:color w:val="231F20"/>
          <w:spacing w:val="-7"/>
          <w:w w:val="105"/>
        </w:rPr>
        <w:t> </w:t>
      </w:r>
      <w:r>
        <w:rPr>
          <w:color w:val="231F20"/>
          <w:w w:val="105"/>
        </w:rPr>
        <w:t>históricos;</w:t>
      </w:r>
      <w:r>
        <w:rPr>
          <w:color w:val="231F20"/>
          <w:spacing w:val="-7"/>
          <w:w w:val="105"/>
        </w:rPr>
        <w:t> </w:t>
      </w:r>
      <w:r>
        <w:rPr>
          <w:color w:val="231F20"/>
          <w:w w:val="105"/>
        </w:rPr>
        <w:t>de</w:t>
      </w:r>
      <w:r>
        <w:rPr>
          <w:color w:val="231F20"/>
          <w:spacing w:val="-7"/>
          <w:w w:val="105"/>
        </w:rPr>
        <w:t> </w:t>
      </w:r>
      <w:r>
        <w:rPr>
          <w:color w:val="231F20"/>
          <w:w w:val="105"/>
        </w:rPr>
        <w:t>forma</w:t>
      </w:r>
      <w:r>
        <w:rPr>
          <w:color w:val="231F20"/>
          <w:spacing w:val="-7"/>
          <w:w w:val="105"/>
        </w:rPr>
        <w:t> </w:t>
      </w:r>
      <w:r>
        <w:rPr>
          <w:color w:val="231F20"/>
          <w:w w:val="105"/>
        </w:rPr>
        <w:t>general,</w:t>
      </w:r>
      <w:r>
        <w:rPr>
          <w:color w:val="231F20"/>
          <w:spacing w:val="-12"/>
          <w:w w:val="105"/>
        </w:rPr>
        <w:t> </w:t>
      </w:r>
      <w:r>
        <w:rPr>
          <w:color w:val="231F20"/>
          <w:w w:val="105"/>
        </w:rPr>
        <w:t>estos</w:t>
      </w:r>
      <w:r>
        <w:rPr>
          <w:color w:val="231F20"/>
          <w:spacing w:val="-7"/>
          <w:w w:val="105"/>
        </w:rPr>
        <w:t> </w:t>
      </w:r>
      <w:r>
        <w:rPr>
          <w:color w:val="231F20"/>
          <w:w w:val="105"/>
        </w:rPr>
        <w:t>límites</w:t>
      </w:r>
      <w:r>
        <w:rPr>
          <w:color w:val="231F20"/>
          <w:spacing w:val="-7"/>
          <w:w w:val="105"/>
        </w:rPr>
        <w:t> </w:t>
      </w:r>
      <w:r>
        <w:rPr>
          <w:color w:val="231F20"/>
          <w:w w:val="105"/>
        </w:rPr>
        <w:t>eran incumplidos en la mayoría del tiempo. El incumplimiento de las reglas fiscales no implicaba que fueran inefectivas; sin embargo, en ausencia de</w:t>
      </w:r>
      <w:r>
        <w:rPr>
          <w:color w:val="231F20"/>
          <w:spacing w:val="-11"/>
          <w:w w:val="105"/>
        </w:rPr>
        <w:t> </w:t>
      </w:r>
      <w:r>
        <w:rPr>
          <w:color w:val="231F20"/>
          <w:w w:val="105"/>
        </w:rPr>
        <w:t>las</w:t>
      </w:r>
      <w:r>
        <w:rPr>
          <w:color w:val="231F20"/>
          <w:spacing w:val="-11"/>
          <w:w w:val="105"/>
        </w:rPr>
        <w:t> </w:t>
      </w:r>
      <w:r>
        <w:rPr>
          <w:color w:val="231F20"/>
          <w:w w:val="105"/>
        </w:rPr>
        <w:t>mismas,</w:t>
      </w:r>
      <w:r>
        <w:rPr>
          <w:color w:val="231F20"/>
          <w:spacing w:val="-17"/>
          <w:w w:val="105"/>
        </w:rPr>
        <w:t> </w:t>
      </w:r>
      <w:r>
        <w:rPr>
          <w:color w:val="231F20"/>
          <w:w w:val="105"/>
        </w:rPr>
        <w:t>probablemente</w:t>
      </w:r>
      <w:r>
        <w:rPr>
          <w:color w:val="231F20"/>
          <w:spacing w:val="-11"/>
          <w:w w:val="105"/>
        </w:rPr>
        <w:t> </w:t>
      </w:r>
      <w:r>
        <w:rPr>
          <w:color w:val="231F20"/>
          <w:w w:val="105"/>
        </w:rPr>
        <w:t>los</w:t>
      </w:r>
      <w:r>
        <w:rPr>
          <w:color w:val="231F20"/>
          <w:spacing w:val="-11"/>
          <w:w w:val="105"/>
        </w:rPr>
        <w:t> </w:t>
      </w:r>
      <w:r>
        <w:rPr>
          <w:color w:val="231F20"/>
          <w:w w:val="105"/>
        </w:rPr>
        <w:t>resultados</w:t>
      </w:r>
      <w:r>
        <w:rPr>
          <w:color w:val="231F20"/>
          <w:spacing w:val="-11"/>
          <w:w w:val="105"/>
        </w:rPr>
        <w:t> </w:t>
      </w:r>
      <w:r>
        <w:rPr>
          <w:color w:val="231F20"/>
          <w:w w:val="105"/>
        </w:rPr>
        <w:t>hubieran</w:t>
      </w:r>
      <w:r>
        <w:rPr>
          <w:color w:val="231F20"/>
          <w:spacing w:val="-11"/>
          <w:w w:val="105"/>
        </w:rPr>
        <w:t> </w:t>
      </w:r>
      <w:r>
        <w:rPr>
          <w:color w:val="231F20"/>
          <w:w w:val="105"/>
        </w:rPr>
        <w:t>sido</w:t>
      </w:r>
      <w:r>
        <w:rPr>
          <w:color w:val="231F20"/>
          <w:spacing w:val="-11"/>
          <w:w w:val="105"/>
        </w:rPr>
        <w:t> </w:t>
      </w:r>
      <w:r>
        <w:rPr>
          <w:color w:val="231F20"/>
          <w:w w:val="105"/>
        </w:rPr>
        <w:t>peores.</w:t>
      </w:r>
      <w:r>
        <w:rPr>
          <w:color w:val="231F20"/>
          <w:spacing w:val="-17"/>
          <w:w w:val="105"/>
        </w:rPr>
        <w:t> </w:t>
      </w:r>
      <w:r>
        <w:rPr>
          <w:color w:val="231F20"/>
          <w:w w:val="105"/>
        </w:rPr>
        <w:t>Las reglas</w:t>
      </w:r>
      <w:r>
        <w:rPr>
          <w:color w:val="231F20"/>
          <w:spacing w:val="-15"/>
          <w:w w:val="105"/>
        </w:rPr>
        <w:t> </w:t>
      </w:r>
      <w:r>
        <w:rPr>
          <w:color w:val="231F20"/>
          <w:w w:val="105"/>
        </w:rPr>
        <w:t>fiscales</w:t>
      </w:r>
      <w:r>
        <w:rPr>
          <w:color w:val="231F20"/>
          <w:spacing w:val="-15"/>
          <w:w w:val="105"/>
        </w:rPr>
        <w:t> </w:t>
      </w:r>
      <w:r>
        <w:rPr>
          <w:color w:val="231F20"/>
          <w:w w:val="105"/>
        </w:rPr>
        <w:t>usualmente</w:t>
      </w:r>
      <w:r>
        <w:rPr>
          <w:color w:val="231F20"/>
          <w:spacing w:val="-15"/>
          <w:w w:val="105"/>
        </w:rPr>
        <w:t> </w:t>
      </w:r>
      <w:r>
        <w:rPr>
          <w:color w:val="231F20"/>
          <w:w w:val="105"/>
        </w:rPr>
        <w:t>incluían</w:t>
      </w:r>
      <w:r>
        <w:rPr>
          <w:color w:val="231F20"/>
          <w:spacing w:val="-15"/>
          <w:w w:val="105"/>
        </w:rPr>
        <w:t> </w:t>
      </w:r>
      <w:r>
        <w:rPr>
          <w:color w:val="231F20"/>
          <w:w w:val="105"/>
        </w:rPr>
        <w:t>una</w:t>
      </w:r>
      <w:r>
        <w:rPr>
          <w:color w:val="231F20"/>
          <w:spacing w:val="-15"/>
          <w:w w:val="105"/>
        </w:rPr>
        <w:t> </w:t>
      </w:r>
      <w:r>
        <w:rPr>
          <w:color w:val="231F20"/>
          <w:w w:val="105"/>
        </w:rPr>
        <w:t>cláusula</w:t>
      </w:r>
      <w:r>
        <w:rPr>
          <w:color w:val="231F20"/>
          <w:spacing w:val="-15"/>
          <w:w w:val="105"/>
        </w:rPr>
        <w:t> </w:t>
      </w:r>
      <w:r>
        <w:rPr>
          <w:color w:val="231F20"/>
          <w:w w:val="105"/>
        </w:rPr>
        <w:t>de</w:t>
      </w:r>
      <w:r>
        <w:rPr>
          <w:color w:val="231F20"/>
          <w:spacing w:val="-15"/>
          <w:w w:val="105"/>
        </w:rPr>
        <w:t> </w:t>
      </w:r>
      <w:r>
        <w:rPr>
          <w:color w:val="231F20"/>
          <w:w w:val="105"/>
        </w:rPr>
        <w:t>escape</w:t>
      </w:r>
      <w:r>
        <w:rPr>
          <w:color w:val="231F20"/>
          <w:spacing w:val="-15"/>
          <w:w w:val="105"/>
        </w:rPr>
        <w:t> </w:t>
      </w:r>
      <w:r>
        <w:rPr>
          <w:color w:val="231F20"/>
          <w:w w:val="105"/>
        </w:rPr>
        <w:t>acorde</w:t>
      </w:r>
      <w:r>
        <w:rPr>
          <w:color w:val="231F20"/>
          <w:spacing w:val="-15"/>
          <w:w w:val="105"/>
        </w:rPr>
        <w:t> </w:t>
      </w:r>
      <w:r>
        <w:rPr>
          <w:color w:val="231F20"/>
          <w:w w:val="105"/>
        </w:rPr>
        <w:t>a</w:t>
      </w:r>
      <w:r>
        <w:rPr>
          <w:color w:val="231F20"/>
          <w:spacing w:val="-15"/>
          <w:w w:val="105"/>
        </w:rPr>
        <w:t> </w:t>
      </w:r>
      <w:r>
        <w:rPr>
          <w:color w:val="231F20"/>
          <w:w w:val="105"/>
        </w:rPr>
        <w:t>los tiempos cíclicos, por lo cual eran incumplidas en épocas de recesión (Flood</w:t>
      </w:r>
      <w:r>
        <w:rPr>
          <w:color w:val="231F20"/>
          <w:spacing w:val="-29"/>
          <w:w w:val="105"/>
        </w:rPr>
        <w:t> </w:t>
      </w:r>
      <w:r>
        <w:rPr>
          <w:color w:val="231F20"/>
          <w:w w:val="105"/>
        </w:rPr>
        <w:t>y</w:t>
      </w:r>
      <w:r>
        <w:rPr>
          <w:color w:val="231F20"/>
          <w:spacing w:val="-29"/>
          <w:w w:val="105"/>
        </w:rPr>
        <w:t> </w:t>
      </w:r>
      <w:r>
        <w:rPr>
          <w:color w:val="231F20"/>
          <w:w w:val="105"/>
        </w:rPr>
        <w:t>Isard,</w:t>
      </w:r>
      <w:r>
        <w:rPr>
          <w:color w:val="231F20"/>
          <w:spacing w:val="-33"/>
          <w:w w:val="105"/>
        </w:rPr>
        <w:t> </w:t>
      </w:r>
      <w:r>
        <w:rPr>
          <w:color w:val="231F20"/>
          <w:w w:val="105"/>
        </w:rPr>
        <w:t>1989;</w:t>
      </w:r>
      <w:r>
        <w:rPr>
          <w:color w:val="231F20"/>
          <w:spacing w:val="-29"/>
          <w:w w:val="105"/>
        </w:rPr>
        <w:t> </w:t>
      </w:r>
      <w:r>
        <w:rPr>
          <w:color w:val="231F20"/>
          <w:w w:val="105"/>
        </w:rPr>
        <w:t>Lohmann,</w:t>
      </w:r>
      <w:r>
        <w:rPr>
          <w:color w:val="231F20"/>
          <w:spacing w:val="-33"/>
          <w:w w:val="105"/>
        </w:rPr>
        <w:t> </w:t>
      </w:r>
      <w:r>
        <w:rPr>
          <w:color w:val="231F20"/>
          <w:w w:val="105"/>
        </w:rPr>
        <w:t>1992).</w:t>
      </w:r>
    </w:p>
    <w:p>
      <w:pPr>
        <w:pStyle w:val="BodyText"/>
        <w:spacing w:line="259" w:lineRule="auto"/>
        <w:ind w:left="117" w:right="115" w:firstLine="567"/>
        <w:jc w:val="both"/>
      </w:pPr>
      <w:r>
        <w:rPr>
          <w:color w:val="231F20"/>
          <w:w w:val="105"/>
        </w:rPr>
        <w:t>De forma general las evidencias empíricas demuestran que las normas de disciplina fiscal consisten en la fijación de límites de déficit, endeudamiento</w:t>
      </w:r>
      <w:r>
        <w:rPr>
          <w:color w:val="231F20"/>
          <w:spacing w:val="-8"/>
          <w:w w:val="105"/>
        </w:rPr>
        <w:t> </w:t>
      </w:r>
      <w:r>
        <w:rPr>
          <w:color w:val="231F20"/>
          <w:w w:val="105"/>
        </w:rPr>
        <w:t>y</w:t>
      </w:r>
      <w:r>
        <w:rPr>
          <w:color w:val="231F20"/>
          <w:spacing w:val="-8"/>
          <w:w w:val="105"/>
        </w:rPr>
        <w:t> </w:t>
      </w:r>
      <w:r>
        <w:rPr>
          <w:color w:val="231F20"/>
          <w:w w:val="105"/>
        </w:rPr>
        <w:t>gasto</w:t>
      </w:r>
      <w:r>
        <w:rPr>
          <w:color w:val="231F20"/>
          <w:spacing w:val="-8"/>
          <w:w w:val="105"/>
        </w:rPr>
        <w:t> </w:t>
      </w:r>
      <w:r>
        <w:rPr>
          <w:color w:val="231F20"/>
          <w:w w:val="105"/>
        </w:rPr>
        <w:t>público</w:t>
      </w:r>
      <w:r>
        <w:rPr>
          <w:color w:val="231F20"/>
          <w:spacing w:val="-8"/>
          <w:w w:val="105"/>
        </w:rPr>
        <w:t> </w:t>
      </w:r>
      <w:r>
        <w:rPr>
          <w:color w:val="231F20"/>
          <w:w w:val="105"/>
        </w:rPr>
        <w:t>orientados</w:t>
      </w:r>
      <w:r>
        <w:rPr>
          <w:color w:val="231F20"/>
          <w:spacing w:val="-8"/>
          <w:w w:val="105"/>
        </w:rPr>
        <w:t> </w:t>
      </w:r>
      <w:r>
        <w:rPr>
          <w:color w:val="231F20"/>
          <w:w w:val="105"/>
        </w:rPr>
        <w:t>al</w:t>
      </w:r>
      <w:r>
        <w:rPr>
          <w:color w:val="231F20"/>
          <w:spacing w:val="-8"/>
          <w:w w:val="105"/>
        </w:rPr>
        <w:t> </w:t>
      </w:r>
      <w:r>
        <w:rPr>
          <w:color w:val="231F20"/>
          <w:w w:val="105"/>
        </w:rPr>
        <w:t>mediano</w:t>
      </w:r>
      <w:r>
        <w:rPr>
          <w:color w:val="231F20"/>
          <w:spacing w:val="-8"/>
          <w:w w:val="105"/>
        </w:rPr>
        <w:t> </w:t>
      </w:r>
      <w:r>
        <w:rPr>
          <w:color w:val="231F20"/>
          <w:w w:val="105"/>
        </w:rPr>
        <w:t>y</w:t>
      </w:r>
      <w:r>
        <w:rPr>
          <w:color w:val="231F20"/>
          <w:spacing w:val="-8"/>
          <w:w w:val="105"/>
        </w:rPr>
        <w:t> </w:t>
      </w:r>
      <w:r>
        <w:rPr>
          <w:color w:val="231F20"/>
          <w:w w:val="105"/>
        </w:rPr>
        <w:t>largo</w:t>
      </w:r>
      <w:r>
        <w:rPr>
          <w:color w:val="231F20"/>
          <w:spacing w:val="-8"/>
          <w:w w:val="105"/>
        </w:rPr>
        <w:t> </w:t>
      </w:r>
      <w:r>
        <w:rPr>
          <w:color w:val="231F20"/>
          <w:w w:val="105"/>
        </w:rPr>
        <w:t>plazo.</w:t>
      </w:r>
      <w:r>
        <w:rPr>
          <w:color w:val="231F20"/>
          <w:spacing w:val="-14"/>
          <w:w w:val="105"/>
        </w:rPr>
        <w:t> </w:t>
      </w:r>
      <w:r>
        <w:rPr>
          <w:color w:val="231F20"/>
          <w:w w:val="105"/>
        </w:rPr>
        <w:t>En ciertos</w:t>
      </w:r>
      <w:r>
        <w:rPr>
          <w:color w:val="231F20"/>
          <w:spacing w:val="-42"/>
          <w:w w:val="105"/>
        </w:rPr>
        <w:t> </w:t>
      </w:r>
      <w:r>
        <w:rPr>
          <w:color w:val="231F20"/>
          <w:w w:val="105"/>
        </w:rPr>
        <w:t>casos</w:t>
      </w:r>
      <w:r>
        <w:rPr>
          <w:color w:val="231F20"/>
          <w:spacing w:val="-42"/>
          <w:w w:val="105"/>
        </w:rPr>
        <w:t> </w:t>
      </w:r>
      <w:r>
        <w:rPr>
          <w:color w:val="231F20"/>
          <w:w w:val="105"/>
        </w:rPr>
        <w:t>estas</w:t>
      </w:r>
      <w:r>
        <w:rPr>
          <w:color w:val="231F20"/>
          <w:spacing w:val="-42"/>
          <w:w w:val="105"/>
        </w:rPr>
        <w:t> </w:t>
      </w:r>
      <w:r>
        <w:rPr>
          <w:color w:val="231F20"/>
          <w:w w:val="105"/>
        </w:rPr>
        <w:t>directrices</w:t>
      </w:r>
      <w:r>
        <w:rPr>
          <w:color w:val="231F20"/>
          <w:spacing w:val="-42"/>
          <w:w w:val="105"/>
        </w:rPr>
        <w:t> </w:t>
      </w:r>
      <w:r>
        <w:rPr>
          <w:color w:val="231F20"/>
          <w:w w:val="105"/>
        </w:rPr>
        <w:t>están</w:t>
      </w:r>
      <w:r>
        <w:rPr>
          <w:color w:val="231F20"/>
          <w:spacing w:val="-42"/>
          <w:w w:val="105"/>
        </w:rPr>
        <w:t> </w:t>
      </w:r>
      <w:r>
        <w:rPr>
          <w:color w:val="231F20"/>
          <w:w w:val="105"/>
        </w:rPr>
        <w:t>direccionadas</w:t>
      </w:r>
      <w:r>
        <w:rPr>
          <w:color w:val="231F20"/>
          <w:spacing w:val="-42"/>
          <w:w w:val="105"/>
        </w:rPr>
        <w:t> </w:t>
      </w:r>
      <w:r>
        <w:rPr>
          <w:color w:val="231F20"/>
          <w:w w:val="105"/>
        </w:rPr>
        <w:t>a</w:t>
      </w:r>
      <w:r>
        <w:rPr>
          <w:color w:val="231F20"/>
          <w:spacing w:val="-42"/>
          <w:w w:val="105"/>
        </w:rPr>
        <w:t> </w:t>
      </w:r>
      <w:r>
        <w:rPr>
          <w:color w:val="231F20"/>
          <w:w w:val="105"/>
        </w:rPr>
        <w:t>ajustes</w:t>
      </w:r>
      <w:r>
        <w:rPr>
          <w:color w:val="231F20"/>
          <w:spacing w:val="-42"/>
          <w:w w:val="105"/>
        </w:rPr>
        <w:t> </w:t>
      </w:r>
      <w:r>
        <w:rPr>
          <w:color w:val="231F20"/>
          <w:w w:val="105"/>
        </w:rPr>
        <w:t>presupuesta- rios</w:t>
      </w:r>
      <w:r>
        <w:rPr>
          <w:color w:val="231F20"/>
          <w:spacing w:val="-23"/>
          <w:w w:val="105"/>
        </w:rPr>
        <w:t> </w:t>
      </w:r>
      <w:r>
        <w:rPr>
          <w:color w:val="231F20"/>
          <w:w w:val="105"/>
        </w:rPr>
        <w:t>en</w:t>
      </w:r>
      <w:r>
        <w:rPr>
          <w:color w:val="231F20"/>
          <w:spacing w:val="-23"/>
          <w:w w:val="105"/>
        </w:rPr>
        <w:t> </w:t>
      </w:r>
      <w:r>
        <w:rPr>
          <w:color w:val="231F20"/>
          <w:w w:val="105"/>
        </w:rPr>
        <w:t>función</w:t>
      </w:r>
      <w:r>
        <w:rPr>
          <w:color w:val="231F20"/>
          <w:spacing w:val="-23"/>
          <w:w w:val="105"/>
        </w:rPr>
        <w:t> </w:t>
      </w:r>
      <w:r>
        <w:rPr>
          <w:color w:val="231F20"/>
          <w:w w:val="105"/>
        </w:rPr>
        <w:t>del</w:t>
      </w:r>
      <w:r>
        <w:rPr>
          <w:color w:val="231F20"/>
          <w:spacing w:val="-23"/>
          <w:w w:val="105"/>
        </w:rPr>
        <w:t> </w:t>
      </w:r>
      <w:r>
        <w:rPr>
          <w:color w:val="231F20"/>
          <w:w w:val="105"/>
        </w:rPr>
        <w:t>ciclo</w:t>
      </w:r>
      <w:r>
        <w:rPr>
          <w:color w:val="231F20"/>
          <w:spacing w:val="-23"/>
          <w:w w:val="105"/>
        </w:rPr>
        <w:t> </w:t>
      </w:r>
      <w:r>
        <w:rPr>
          <w:color w:val="231F20"/>
          <w:w w:val="105"/>
        </w:rPr>
        <w:t>económico</w:t>
      </w:r>
      <w:r>
        <w:rPr>
          <w:color w:val="231F20"/>
          <w:spacing w:val="-23"/>
          <w:w w:val="105"/>
        </w:rPr>
        <w:t> </w:t>
      </w:r>
      <w:r>
        <w:rPr>
          <w:color w:val="231F20"/>
          <w:w w:val="105"/>
        </w:rPr>
        <w:t>(Reino</w:t>
      </w:r>
      <w:r>
        <w:rPr>
          <w:color w:val="231F20"/>
          <w:spacing w:val="-23"/>
          <w:w w:val="105"/>
        </w:rPr>
        <w:t> </w:t>
      </w:r>
      <w:r>
        <w:rPr>
          <w:color w:val="231F20"/>
          <w:w w:val="105"/>
        </w:rPr>
        <w:t>Unido);</w:t>
      </w:r>
      <w:r>
        <w:rPr>
          <w:color w:val="231F20"/>
          <w:spacing w:val="-23"/>
          <w:w w:val="105"/>
        </w:rPr>
        <w:t> </w:t>
      </w:r>
      <w:r>
        <w:rPr>
          <w:color w:val="231F20"/>
          <w:w w:val="105"/>
        </w:rPr>
        <w:t>a</w:t>
      </w:r>
      <w:r>
        <w:rPr>
          <w:color w:val="231F20"/>
          <w:spacing w:val="-23"/>
          <w:w w:val="105"/>
        </w:rPr>
        <w:t> </w:t>
      </w:r>
      <w:r>
        <w:rPr>
          <w:color w:val="231F20"/>
          <w:w w:val="105"/>
        </w:rPr>
        <w:t>suavizar</w:t>
      </w:r>
      <w:r>
        <w:rPr>
          <w:color w:val="231F20"/>
          <w:spacing w:val="-23"/>
          <w:w w:val="105"/>
        </w:rPr>
        <w:t> </w:t>
      </w:r>
      <w:r>
        <w:rPr>
          <w:color w:val="231F20"/>
          <w:w w:val="105"/>
        </w:rPr>
        <w:t>el</w:t>
      </w:r>
      <w:r>
        <w:rPr>
          <w:color w:val="231F20"/>
          <w:spacing w:val="-23"/>
          <w:w w:val="105"/>
        </w:rPr>
        <w:t> </w:t>
      </w:r>
      <w:r>
        <w:rPr>
          <w:color w:val="231F20"/>
          <w:w w:val="105"/>
        </w:rPr>
        <w:t>gasto</w:t>
      </w:r>
      <w:r>
        <w:rPr>
          <w:color w:val="231F20"/>
          <w:spacing w:val="-23"/>
          <w:w w:val="105"/>
        </w:rPr>
        <w:t> </w:t>
      </w:r>
      <w:r>
        <w:rPr>
          <w:color w:val="231F20"/>
          <w:w w:val="105"/>
        </w:rPr>
        <w:t>pú- blico</w:t>
      </w:r>
      <w:r>
        <w:rPr>
          <w:color w:val="231F20"/>
          <w:spacing w:val="-20"/>
          <w:w w:val="105"/>
        </w:rPr>
        <w:t> </w:t>
      </w:r>
      <w:r>
        <w:rPr>
          <w:color w:val="231F20"/>
          <w:w w:val="105"/>
        </w:rPr>
        <w:t>en</w:t>
      </w:r>
      <w:r>
        <w:rPr>
          <w:color w:val="231F20"/>
          <w:spacing w:val="-20"/>
          <w:w w:val="105"/>
        </w:rPr>
        <w:t> </w:t>
      </w:r>
      <w:r>
        <w:rPr>
          <w:color w:val="231F20"/>
          <w:w w:val="105"/>
        </w:rPr>
        <w:t>función</w:t>
      </w:r>
      <w:r>
        <w:rPr>
          <w:color w:val="231F20"/>
          <w:spacing w:val="-20"/>
          <w:w w:val="105"/>
        </w:rPr>
        <w:t> </w:t>
      </w:r>
      <w:r>
        <w:rPr>
          <w:color w:val="231F20"/>
          <w:w w:val="105"/>
        </w:rPr>
        <w:t>de</w:t>
      </w:r>
      <w:r>
        <w:rPr>
          <w:color w:val="231F20"/>
          <w:spacing w:val="-20"/>
          <w:w w:val="105"/>
        </w:rPr>
        <w:t> </w:t>
      </w:r>
      <w:r>
        <w:rPr>
          <w:color w:val="231F20"/>
          <w:w w:val="105"/>
        </w:rPr>
        <w:t>choques</w:t>
      </w:r>
      <w:r>
        <w:rPr>
          <w:color w:val="231F20"/>
          <w:spacing w:val="-20"/>
          <w:w w:val="105"/>
        </w:rPr>
        <w:t> </w:t>
      </w:r>
      <w:r>
        <w:rPr>
          <w:color w:val="231F20"/>
          <w:w w:val="105"/>
        </w:rPr>
        <w:t>al</w:t>
      </w:r>
      <w:r>
        <w:rPr>
          <w:color w:val="231F20"/>
          <w:spacing w:val="-20"/>
          <w:w w:val="105"/>
        </w:rPr>
        <w:t> </w:t>
      </w:r>
      <w:r>
        <w:rPr>
          <w:color w:val="231F20"/>
          <w:w w:val="105"/>
        </w:rPr>
        <w:t>ingreso,</w:t>
      </w:r>
      <w:r>
        <w:rPr>
          <w:color w:val="231F20"/>
          <w:spacing w:val="-25"/>
          <w:w w:val="105"/>
        </w:rPr>
        <w:t> </w:t>
      </w:r>
      <w:r>
        <w:rPr>
          <w:color w:val="231F20"/>
          <w:w w:val="105"/>
        </w:rPr>
        <w:t>ya</w:t>
      </w:r>
      <w:r>
        <w:rPr>
          <w:color w:val="231F20"/>
          <w:spacing w:val="-20"/>
          <w:w w:val="105"/>
        </w:rPr>
        <w:t> </w:t>
      </w:r>
      <w:r>
        <w:rPr>
          <w:color w:val="231F20"/>
          <w:w w:val="105"/>
        </w:rPr>
        <w:t>sean</w:t>
      </w:r>
      <w:r>
        <w:rPr>
          <w:color w:val="231F20"/>
          <w:spacing w:val="-20"/>
          <w:w w:val="105"/>
        </w:rPr>
        <w:t> </w:t>
      </w:r>
      <w:r>
        <w:rPr>
          <w:color w:val="231F20"/>
          <w:w w:val="105"/>
        </w:rPr>
        <w:t>permanentes</w:t>
      </w:r>
      <w:r>
        <w:rPr>
          <w:color w:val="231F20"/>
          <w:spacing w:val="-20"/>
          <w:w w:val="105"/>
        </w:rPr>
        <w:t> </w:t>
      </w:r>
      <w:r>
        <w:rPr>
          <w:color w:val="231F20"/>
          <w:w w:val="105"/>
        </w:rPr>
        <w:t>o</w:t>
      </w:r>
      <w:r>
        <w:rPr>
          <w:color w:val="231F20"/>
          <w:spacing w:val="-20"/>
          <w:w w:val="105"/>
        </w:rPr>
        <w:t> </w:t>
      </w:r>
      <w:r>
        <w:rPr>
          <w:color w:val="231F20"/>
          <w:w w:val="105"/>
        </w:rPr>
        <w:t>tempora- les</w:t>
      </w:r>
      <w:r>
        <w:rPr>
          <w:color w:val="231F20"/>
          <w:spacing w:val="-28"/>
          <w:w w:val="105"/>
        </w:rPr>
        <w:t> </w:t>
      </w:r>
      <w:r>
        <w:rPr>
          <w:color w:val="231F20"/>
          <w:w w:val="105"/>
        </w:rPr>
        <w:t>(Japón);</w:t>
      </w:r>
      <w:r>
        <w:rPr>
          <w:color w:val="231F20"/>
          <w:spacing w:val="-28"/>
          <w:w w:val="105"/>
        </w:rPr>
        <w:t> </w:t>
      </w:r>
      <w:r>
        <w:rPr>
          <w:color w:val="231F20"/>
          <w:w w:val="105"/>
        </w:rPr>
        <w:t>con</w:t>
      </w:r>
      <w:r>
        <w:rPr>
          <w:color w:val="231F20"/>
          <w:spacing w:val="-28"/>
          <w:w w:val="105"/>
        </w:rPr>
        <w:t> </w:t>
      </w:r>
      <w:r>
        <w:rPr>
          <w:color w:val="231F20"/>
          <w:w w:val="105"/>
        </w:rPr>
        <w:t>base</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límites</w:t>
      </w:r>
      <w:r>
        <w:rPr>
          <w:color w:val="231F20"/>
          <w:spacing w:val="-28"/>
          <w:w w:val="105"/>
        </w:rPr>
        <w:t> </w:t>
      </w:r>
      <w:r>
        <w:rPr>
          <w:color w:val="231F20"/>
          <w:w w:val="105"/>
        </w:rPr>
        <w:t>establecidos</w:t>
      </w:r>
      <w:r>
        <w:rPr>
          <w:color w:val="231F20"/>
          <w:spacing w:val="-28"/>
          <w:w w:val="105"/>
        </w:rPr>
        <w:t> </w:t>
      </w:r>
      <w:r>
        <w:rPr>
          <w:color w:val="231F20"/>
          <w:w w:val="105"/>
        </w:rPr>
        <w:t>por</w:t>
      </w:r>
      <w:r>
        <w:rPr>
          <w:color w:val="231F20"/>
          <w:spacing w:val="-28"/>
          <w:w w:val="105"/>
        </w:rPr>
        <w:t> </w:t>
      </w:r>
      <w:r>
        <w:rPr>
          <w:color w:val="231F20"/>
          <w:w w:val="105"/>
        </w:rPr>
        <w:t>uniones</w:t>
      </w:r>
      <w:r>
        <w:rPr>
          <w:color w:val="231F20"/>
          <w:spacing w:val="-28"/>
          <w:w w:val="105"/>
        </w:rPr>
        <w:t> </w:t>
      </w:r>
      <w:r>
        <w:rPr>
          <w:color w:val="231F20"/>
          <w:w w:val="105"/>
        </w:rPr>
        <w:t>económicas (Eurozona);</w:t>
      </w:r>
      <w:r>
        <w:rPr>
          <w:color w:val="231F20"/>
          <w:spacing w:val="-12"/>
          <w:w w:val="105"/>
        </w:rPr>
        <w:t> </w:t>
      </w:r>
      <w:r>
        <w:rPr>
          <w:color w:val="231F20"/>
          <w:w w:val="105"/>
        </w:rPr>
        <w:t>en</w:t>
      </w:r>
      <w:r>
        <w:rPr>
          <w:color w:val="231F20"/>
          <w:spacing w:val="-12"/>
          <w:w w:val="105"/>
        </w:rPr>
        <w:t> </w:t>
      </w:r>
      <w:r>
        <w:rPr>
          <w:color w:val="231F20"/>
          <w:w w:val="105"/>
        </w:rPr>
        <w:t>consideración</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crecimiento</w:t>
      </w:r>
      <w:r>
        <w:rPr>
          <w:color w:val="231F20"/>
          <w:spacing w:val="-12"/>
          <w:w w:val="105"/>
        </w:rPr>
        <w:t> </w:t>
      </w:r>
      <w:r>
        <w:rPr>
          <w:color w:val="231F20"/>
          <w:w w:val="105"/>
        </w:rPr>
        <w:t>económico</w:t>
      </w:r>
      <w:r>
        <w:rPr>
          <w:color w:val="231F20"/>
          <w:spacing w:val="-12"/>
          <w:w w:val="105"/>
        </w:rPr>
        <w:t> </w:t>
      </w:r>
      <w:r>
        <w:rPr>
          <w:color w:val="231F20"/>
          <w:w w:val="105"/>
        </w:rPr>
        <w:t>proyectado (Rumania)</w:t>
      </w:r>
      <w:r>
        <w:rPr>
          <w:color w:val="231F20"/>
          <w:spacing w:val="-9"/>
          <w:w w:val="105"/>
        </w:rPr>
        <w:t> </w:t>
      </w:r>
      <w:r>
        <w:rPr>
          <w:color w:val="231F20"/>
          <w:w w:val="105"/>
        </w:rPr>
        <w:t>o</w:t>
      </w:r>
      <w:r>
        <w:rPr>
          <w:color w:val="231F20"/>
          <w:spacing w:val="-9"/>
          <w:w w:val="105"/>
        </w:rPr>
        <w:t> </w:t>
      </w:r>
      <w:r>
        <w:rPr>
          <w:color w:val="231F20"/>
          <w:w w:val="105"/>
        </w:rPr>
        <w:t>a</w:t>
      </w:r>
      <w:r>
        <w:rPr>
          <w:color w:val="231F20"/>
          <w:spacing w:val="-9"/>
          <w:w w:val="105"/>
        </w:rPr>
        <w:t> </w:t>
      </w:r>
      <w:r>
        <w:rPr>
          <w:color w:val="231F20"/>
          <w:w w:val="105"/>
        </w:rPr>
        <w:t>partir</w:t>
      </w:r>
      <w:r>
        <w:rPr>
          <w:color w:val="231F20"/>
          <w:spacing w:val="-9"/>
          <w:w w:val="105"/>
        </w:rPr>
        <w:t> </w:t>
      </w:r>
      <w:r>
        <w:rPr>
          <w:color w:val="231F20"/>
          <w:w w:val="105"/>
        </w:rPr>
        <w:t>de</w:t>
      </w:r>
      <w:r>
        <w:rPr>
          <w:color w:val="231F20"/>
          <w:spacing w:val="-9"/>
          <w:w w:val="105"/>
        </w:rPr>
        <w:t> </w:t>
      </w:r>
      <w:r>
        <w:rPr>
          <w:color w:val="231F20"/>
          <w:w w:val="105"/>
        </w:rPr>
        <w:t>recortes</w:t>
      </w:r>
      <w:r>
        <w:rPr>
          <w:color w:val="231F20"/>
          <w:spacing w:val="-9"/>
          <w:w w:val="105"/>
        </w:rPr>
        <w:t> </w:t>
      </w:r>
      <w:r>
        <w:rPr>
          <w:color w:val="231F20"/>
          <w:w w:val="105"/>
        </w:rPr>
        <w:t>presupuestarios</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fin</w:t>
      </w:r>
      <w:r>
        <w:rPr>
          <w:color w:val="231F20"/>
          <w:spacing w:val="-9"/>
          <w:w w:val="105"/>
        </w:rPr>
        <w:t> </w:t>
      </w:r>
      <w:r>
        <w:rPr>
          <w:color w:val="231F20"/>
          <w:w w:val="105"/>
        </w:rPr>
        <w:t>de</w:t>
      </w:r>
      <w:r>
        <w:rPr>
          <w:color w:val="231F20"/>
          <w:spacing w:val="-9"/>
          <w:w w:val="105"/>
        </w:rPr>
        <w:t> </w:t>
      </w:r>
      <w:r>
        <w:rPr>
          <w:color w:val="231F20"/>
          <w:w w:val="105"/>
        </w:rPr>
        <w:t>crear</w:t>
      </w:r>
      <w:r>
        <w:rPr>
          <w:color w:val="231F20"/>
          <w:spacing w:val="-9"/>
          <w:w w:val="105"/>
        </w:rPr>
        <w:t> </w:t>
      </w:r>
      <w:r>
        <w:rPr>
          <w:color w:val="231F20"/>
          <w:w w:val="105"/>
        </w:rPr>
        <w:t>fon- </w:t>
      </w:r>
      <w:r>
        <w:rPr>
          <w:color w:val="231F20"/>
        </w:rPr>
        <w:t>dos de estabilización (EEUU).</w:t>
      </w:r>
    </w:p>
    <w:p>
      <w:pPr>
        <w:pStyle w:val="BodyText"/>
        <w:spacing w:line="259" w:lineRule="auto"/>
        <w:ind w:left="117" w:right="121" w:firstLine="567"/>
        <w:jc w:val="both"/>
      </w:pPr>
      <w:r>
        <w:rPr>
          <w:color w:val="231F20"/>
          <w:w w:val="105"/>
        </w:rPr>
        <w:t>En el caso de las economías latinoamericanas se han</w:t>
      </w:r>
      <w:r>
        <w:rPr>
          <w:color w:val="231F20"/>
          <w:spacing w:val="-15"/>
          <w:w w:val="105"/>
        </w:rPr>
        <w:t> </w:t>
      </w:r>
      <w:r>
        <w:rPr>
          <w:color w:val="231F20"/>
          <w:w w:val="105"/>
        </w:rPr>
        <w:t>implemen- tado</w:t>
      </w:r>
      <w:r>
        <w:rPr>
          <w:color w:val="231F20"/>
          <w:spacing w:val="-12"/>
          <w:w w:val="105"/>
        </w:rPr>
        <w:t> </w:t>
      </w:r>
      <w:r>
        <w:rPr>
          <w:color w:val="231F20"/>
          <w:w w:val="105"/>
        </w:rPr>
        <w:t>diversos</w:t>
      </w:r>
      <w:r>
        <w:rPr>
          <w:color w:val="231F20"/>
          <w:spacing w:val="-12"/>
          <w:w w:val="105"/>
        </w:rPr>
        <w:t> </w:t>
      </w:r>
      <w:r>
        <w:rPr>
          <w:color w:val="231F20"/>
          <w:w w:val="105"/>
        </w:rPr>
        <w:t>tipos</w:t>
      </w:r>
      <w:r>
        <w:rPr>
          <w:color w:val="231F20"/>
          <w:spacing w:val="-12"/>
          <w:w w:val="105"/>
        </w:rPr>
        <w:t> </w:t>
      </w:r>
      <w:r>
        <w:rPr>
          <w:color w:val="231F20"/>
          <w:w w:val="105"/>
        </w:rPr>
        <w:t>de</w:t>
      </w:r>
      <w:r>
        <w:rPr>
          <w:color w:val="231F20"/>
          <w:spacing w:val="-12"/>
          <w:w w:val="105"/>
        </w:rPr>
        <w:t> </w:t>
      </w:r>
      <w:r>
        <w:rPr>
          <w:color w:val="231F20"/>
          <w:w w:val="105"/>
        </w:rPr>
        <w:t>reglas</w:t>
      </w:r>
      <w:r>
        <w:rPr>
          <w:color w:val="231F20"/>
          <w:spacing w:val="-12"/>
          <w:w w:val="105"/>
        </w:rPr>
        <w:t> </w:t>
      </w:r>
      <w:r>
        <w:rPr>
          <w:color w:val="231F20"/>
          <w:w w:val="105"/>
        </w:rPr>
        <w:t>fiscales</w:t>
      </w:r>
      <w:r>
        <w:rPr>
          <w:color w:val="231F20"/>
          <w:spacing w:val="-12"/>
          <w:w w:val="105"/>
        </w:rPr>
        <w:t> </w:t>
      </w:r>
      <w:r>
        <w:rPr>
          <w:color w:val="231F20"/>
          <w:w w:val="105"/>
        </w:rPr>
        <w:t>(Rodríguez,</w:t>
      </w:r>
      <w:r>
        <w:rPr>
          <w:color w:val="231F20"/>
          <w:spacing w:val="-17"/>
          <w:w w:val="105"/>
        </w:rPr>
        <w:t> </w:t>
      </w:r>
      <w:r>
        <w:rPr>
          <w:color w:val="231F20"/>
          <w:w w:val="105"/>
        </w:rPr>
        <w:t>2011):</w:t>
      </w:r>
      <w:r>
        <w:rPr>
          <w:color w:val="231F20"/>
          <w:spacing w:val="-12"/>
          <w:w w:val="105"/>
        </w:rPr>
        <w:t> </w:t>
      </w:r>
      <w:r>
        <w:rPr>
          <w:color w:val="231F20"/>
          <w:w w:val="105"/>
        </w:rPr>
        <w:t>a)</w:t>
      </w:r>
      <w:r>
        <w:rPr>
          <w:color w:val="231F20"/>
          <w:spacing w:val="-12"/>
          <w:w w:val="105"/>
        </w:rPr>
        <w:t> </w:t>
      </w:r>
      <w:r>
        <w:rPr>
          <w:color w:val="231F20"/>
          <w:w w:val="105"/>
        </w:rPr>
        <w:t>el</w:t>
      </w:r>
      <w:r>
        <w:rPr>
          <w:color w:val="231F20"/>
          <w:spacing w:val="-12"/>
          <w:w w:val="105"/>
        </w:rPr>
        <w:t> </w:t>
      </w:r>
      <w:r>
        <w:rPr>
          <w:color w:val="231F20"/>
          <w:w w:val="105"/>
        </w:rPr>
        <w:t>incremen- to del gasto público no puede exceder la tasa estimada de crecimiento del PIB nominal (Argentina); b) senda decreciente del déficit fiscal y de la deuda pública para el mediano y largo plazos (Colombia); c) la regla fiscal de oro donde el gasto corriente se limita al ingreso corriente</w:t>
      </w:r>
      <w:r>
        <w:rPr>
          <w:color w:val="231F20"/>
          <w:spacing w:val="-33"/>
          <w:w w:val="105"/>
        </w:rPr>
        <w:t> </w:t>
      </w:r>
      <w:r>
        <w:rPr>
          <w:color w:val="231F20"/>
          <w:w w:val="105"/>
        </w:rPr>
        <w:t>(Mé-</w:t>
      </w:r>
    </w:p>
    <w:p>
      <w:pPr>
        <w:spacing w:after="0" w:line="259" w:lineRule="auto"/>
        <w:jc w:val="both"/>
        <w:sectPr>
          <w:type w:val="continuous"/>
          <w:pgSz w:w="9640" w:h="13890"/>
          <w:pgMar w:top="1300" w:bottom="280" w:left="1300" w:right="1180"/>
        </w:sectPr>
      </w:pPr>
    </w:p>
    <w:p>
      <w:pPr>
        <w:pStyle w:val="BodyText"/>
        <w:spacing w:line="259" w:lineRule="auto" w:before="120"/>
        <w:ind w:left="101" w:right="109"/>
        <w:jc w:val="both"/>
      </w:pPr>
      <w:r>
        <w:rPr>
          <w:color w:val="231F20"/>
          <w:w w:val="105"/>
        </w:rPr>
        <w:t>xico);</w:t>
      </w:r>
      <w:r>
        <w:rPr>
          <w:color w:val="231F20"/>
          <w:spacing w:val="-4"/>
          <w:w w:val="105"/>
        </w:rPr>
        <w:t> </w:t>
      </w:r>
      <w:r>
        <w:rPr>
          <w:color w:val="231F20"/>
          <w:w w:val="105"/>
        </w:rPr>
        <w:t>d)</w:t>
      </w:r>
      <w:r>
        <w:rPr>
          <w:color w:val="231F20"/>
          <w:spacing w:val="-4"/>
          <w:w w:val="105"/>
        </w:rPr>
        <w:t> </w:t>
      </w:r>
      <w:r>
        <w:rPr>
          <w:color w:val="231F20"/>
          <w:w w:val="105"/>
        </w:rPr>
        <w:t>techos</w:t>
      </w:r>
      <w:r>
        <w:rPr>
          <w:color w:val="231F20"/>
          <w:spacing w:val="-4"/>
          <w:w w:val="105"/>
        </w:rPr>
        <w:t> </w:t>
      </w:r>
      <w:r>
        <w:rPr>
          <w:color w:val="231F20"/>
          <w:w w:val="105"/>
        </w:rPr>
        <w:t>presupuestarios</w:t>
      </w:r>
      <w:r>
        <w:rPr>
          <w:color w:val="231F20"/>
          <w:spacing w:val="-4"/>
          <w:w w:val="105"/>
        </w:rPr>
        <w:t> </w:t>
      </w:r>
      <w:r>
        <w:rPr>
          <w:color w:val="231F20"/>
          <w:w w:val="105"/>
        </w:rPr>
        <w:t>de</w:t>
      </w:r>
      <w:r>
        <w:rPr>
          <w:color w:val="231F20"/>
          <w:spacing w:val="-4"/>
          <w:w w:val="105"/>
        </w:rPr>
        <w:t> </w:t>
      </w:r>
      <w:r>
        <w:rPr>
          <w:color w:val="231F20"/>
          <w:w w:val="105"/>
        </w:rPr>
        <w:t>gasto</w:t>
      </w:r>
      <w:r>
        <w:rPr>
          <w:color w:val="231F20"/>
          <w:spacing w:val="-4"/>
          <w:w w:val="105"/>
        </w:rPr>
        <w:t> </w:t>
      </w:r>
      <w:r>
        <w:rPr>
          <w:color w:val="231F20"/>
          <w:w w:val="105"/>
        </w:rPr>
        <w:t>y</w:t>
      </w:r>
      <w:r>
        <w:rPr>
          <w:color w:val="231F20"/>
          <w:spacing w:val="-4"/>
          <w:w w:val="105"/>
        </w:rPr>
        <w:t> </w:t>
      </w:r>
      <w:r>
        <w:rPr>
          <w:color w:val="231F20"/>
          <w:w w:val="105"/>
        </w:rPr>
        <w:t>de</w:t>
      </w:r>
      <w:r>
        <w:rPr>
          <w:color w:val="231F20"/>
          <w:spacing w:val="-4"/>
          <w:w w:val="105"/>
        </w:rPr>
        <w:t> </w:t>
      </w:r>
      <w:r>
        <w:rPr>
          <w:color w:val="231F20"/>
          <w:w w:val="105"/>
        </w:rPr>
        <w:t>deuda</w:t>
      </w:r>
      <w:r>
        <w:rPr>
          <w:color w:val="231F20"/>
          <w:spacing w:val="-4"/>
          <w:w w:val="105"/>
        </w:rPr>
        <w:t> </w:t>
      </w:r>
      <w:r>
        <w:rPr>
          <w:color w:val="231F20"/>
          <w:w w:val="105"/>
        </w:rPr>
        <w:t>pública</w:t>
      </w:r>
      <w:r>
        <w:rPr>
          <w:color w:val="231F20"/>
          <w:spacing w:val="-4"/>
          <w:w w:val="105"/>
        </w:rPr>
        <w:t> </w:t>
      </w:r>
      <w:r>
        <w:rPr>
          <w:color w:val="231F20"/>
          <w:w w:val="105"/>
        </w:rPr>
        <w:t>(Brasil);</w:t>
      </w:r>
      <w:r>
        <w:rPr>
          <w:color w:val="231F20"/>
          <w:spacing w:val="-4"/>
          <w:w w:val="105"/>
        </w:rPr>
        <w:t> </w:t>
      </w:r>
      <w:r>
        <w:rPr>
          <w:color w:val="231F20"/>
          <w:w w:val="105"/>
        </w:rPr>
        <w:t>e) límites en el déficit fiscal y en el incremento del consumo del gobierno </w:t>
      </w:r>
      <w:r>
        <w:rPr>
          <w:color w:val="231F20"/>
          <w:spacing w:val="-3"/>
        </w:rPr>
        <w:t>(Perú); </w:t>
      </w:r>
      <w:r>
        <w:rPr>
          <w:color w:val="231F20"/>
          <w:spacing w:val="5"/>
        </w:rPr>
        <w:t>f) </w:t>
      </w:r>
      <w:r>
        <w:rPr>
          <w:color w:val="231F20"/>
        </w:rPr>
        <w:t>balances fiscales cíclicamente ajustados</w:t>
      </w:r>
      <w:r>
        <w:rPr>
          <w:color w:val="231F20"/>
          <w:spacing w:val="2"/>
        </w:rPr>
        <w:t> </w:t>
      </w:r>
      <w:r>
        <w:rPr>
          <w:color w:val="231F20"/>
        </w:rPr>
        <w:t>(Chile).</w:t>
      </w:r>
    </w:p>
    <w:p>
      <w:pPr>
        <w:spacing w:before="147"/>
        <w:ind w:left="101" w:right="0" w:firstLine="0"/>
        <w:jc w:val="both"/>
        <w:rPr>
          <w:rFonts w:ascii="Verdana" w:hAnsi="Verdana"/>
          <w:i/>
          <w:sz w:val="21"/>
        </w:rPr>
      </w:pPr>
      <w:r>
        <w:rPr>
          <w:rFonts w:ascii="Verdana" w:hAnsi="Verdana"/>
          <w:i/>
          <w:color w:val="231F20"/>
          <w:w w:val="95"/>
          <w:sz w:val="21"/>
        </w:rPr>
        <w:t>Reglas fiscales para países dependientes de recursos naturales</w:t>
      </w:r>
    </w:p>
    <w:p>
      <w:pPr>
        <w:pStyle w:val="BodyText"/>
        <w:spacing w:before="6"/>
        <w:rPr>
          <w:rFonts w:ascii="Verdana"/>
          <w:i/>
          <w:sz w:val="15"/>
        </w:rPr>
      </w:pPr>
    </w:p>
    <w:p>
      <w:pPr>
        <w:pStyle w:val="BodyText"/>
        <w:spacing w:line="259" w:lineRule="auto"/>
        <w:ind w:left="101" w:right="109"/>
        <w:jc w:val="both"/>
      </w:pPr>
      <w:r>
        <w:rPr>
          <w:color w:val="231F20"/>
          <w:w w:val="105"/>
        </w:rPr>
        <w:t>De</w:t>
      </w:r>
      <w:r>
        <w:rPr>
          <w:color w:val="231F20"/>
          <w:spacing w:val="-12"/>
          <w:w w:val="105"/>
        </w:rPr>
        <w:t> </w:t>
      </w:r>
      <w:r>
        <w:rPr>
          <w:color w:val="231F20"/>
          <w:w w:val="105"/>
        </w:rPr>
        <w:t>acuerdo</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FMI</w:t>
      </w:r>
      <w:r>
        <w:rPr>
          <w:color w:val="231F20"/>
          <w:spacing w:val="-12"/>
          <w:w w:val="105"/>
        </w:rPr>
        <w:t> </w:t>
      </w:r>
      <w:r>
        <w:rPr>
          <w:color w:val="231F20"/>
          <w:w w:val="105"/>
        </w:rPr>
        <w:t>(2005),</w:t>
      </w:r>
      <w:r>
        <w:rPr>
          <w:color w:val="231F20"/>
          <w:spacing w:val="-17"/>
          <w:w w:val="105"/>
        </w:rPr>
        <w:t> </w:t>
      </w:r>
      <w:r>
        <w:rPr>
          <w:color w:val="231F20"/>
          <w:w w:val="105"/>
        </w:rPr>
        <w:t>aquellos</w:t>
      </w:r>
      <w:r>
        <w:rPr>
          <w:color w:val="231F20"/>
          <w:spacing w:val="-12"/>
          <w:w w:val="105"/>
        </w:rPr>
        <w:t> </w:t>
      </w:r>
      <w:r>
        <w:rPr>
          <w:color w:val="231F20"/>
          <w:w w:val="105"/>
        </w:rPr>
        <w:t>países</w:t>
      </w:r>
      <w:r>
        <w:rPr>
          <w:color w:val="231F20"/>
          <w:spacing w:val="-12"/>
          <w:w w:val="105"/>
        </w:rPr>
        <w:t> </w:t>
      </w:r>
      <w:r>
        <w:rPr>
          <w:color w:val="231F20"/>
          <w:w w:val="105"/>
        </w:rPr>
        <w:t>petroleros</w:t>
      </w:r>
      <w:r>
        <w:rPr>
          <w:color w:val="231F20"/>
          <w:spacing w:val="-12"/>
          <w:w w:val="105"/>
        </w:rPr>
        <w:t> </w:t>
      </w:r>
      <w:r>
        <w:rPr>
          <w:color w:val="231F20"/>
          <w:w w:val="105"/>
        </w:rPr>
        <w:t>que</w:t>
      </w:r>
      <w:r>
        <w:rPr>
          <w:color w:val="231F20"/>
          <w:spacing w:val="-12"/>
          <w:w w:val="105"/>
        </w:rPr>
        <w:t> </w:t>
      </w:r>
      <w:r>
        <w:rPr>
          <w:color w:val="231F20"/>
          <w:w w:val="105"/>
        </w:rPr>
        <w:t>presentan bajos</w:t>
      </w:r>
      <w:r>
        <w:rPr>
          <w:color w:val="231F20"/>
          <w:spacing w:val="-16"/>
          <w:w w:val="105"/>
        </w:rPr>
        <w:t> </w:t>
      </w:r>
      <w:r>
        <w:rPr>
          <w:color w:val="231F20"/>
          <w:w w:val="105"/>
        </w:rPr>
        <w:t>índices</w:t>
      </w:r>
      <w:r>
        <w:rPr>
          <w:color w:val="231F20"/>
          <w:spacing w:val="-16"/>
          <w:w w:val="105"/>
        </w:rPr>
        <w:t> </w:t>
      </w:r>
      <w:r>
        <w:rPr>
          <w:color w:val="231F20"/>
          <w:w w:val="105"/>
        </w:rPr>
        <w:t>de</w:t>
      </w:r>
      <w:r>
        <w:rPr>
          <w:color w:val="231F20"/>
          <w:spacing w:val="-16"/>
          <w:w w:val="105"/>
        </w:rPr>
        <w:t> </w:t>
      </w:r>
      <w:r>
        <w:rPr>
          <w:color w:val="231F20"/>
          <w:w w:val="105"/>
        </w:rPr>
        <w:t>efectividad</w:t>
      </w:r>
      <w:r>
        <w:rPr>
          <w:color w:val="231F20"/>
          <w:spacing w:val="-16"/>
          <w:w w:val="105"/>
        </w:rPr>
        <w:t> </w:t>
      </w:r>
      <w:r>
        <w:rPr>
          <w:color w:val="231F20"/>
          <w:w w:val="105"/>
        </w:rPr>
        <w:t>gubernamental</w:t>
      </w:r>
      <w:r>
        <w:rPr>
          <w:color w:val="231F20"/>
          <w:spacing w:val="-16"/>
          <w:w w:val="105"/>
        </w:rPr>
        <w:t> </w:t>
      </w:r>
      <w:r>
        <w:rPr>
          <w:color w:val="231F20"/>
          <w:w w:val="105"/>
        </w:rPr>
        <w:t>y</w:t>
      </w:r>
      <w:r>
        <w:rPr>
          <w:color w:val="231F20"/>
          <w:spacing w:val="-16"/>
          <w:w w:val="105"/>
        </w:rPr>
        <w:t> </w:t>
      </w:r>
      <w:r>
        <w:rPr>
          <w:color w:val="231F20"/>
          <w:w w:val="105"/>
        </w:rPr>
        <w:t>ausencia</w:t>
      </w:r>
      <w:r>
        <w:rPr>
          <w:color w:val="231F20"/>
          <w:spacing w:val="-16"/>
          <w:w w:val="105"/>
        </w:rPr>
        <w:t> </w:t>
      </w:r>
      <w:r>
        <w:rPr>
          <w:color w:val="231F20"/>
          <w:w w:val="105"/>
        </w:rPr>
        <w:t>de</w:t>
      </w:r>
      <w:r>
        <w:rPr>
          <w:color w:val="231F20"/>
          <w:spacing w:val="-16"/>
          <w:w w:val="105"/>
        </w:rPr>
        <w:t> </w:t>
      </w:r>
      <w:r>
        <w:rPr>
          <w:color w:val="231F20"/>
          <w:w w:val="105"/>
        </w:rPr>
        <w:t>reglas</w:t>
      </w:r>
      <w:r>
        <w:rPr>
          <w:color w:val="231F20"/>
          <w:spacing w:val="-16"/>
          <w:w w:val="105"/>
        </w:rPr>
        <w:t> </w:t>
      </w:r>
      <w:r>
        <w:rPr>
          <w:color w:val="231F20"/>
          <w:w w:val="105"/>
        </w:rPr>
        <w:t>fiscales tienden a incrementar su nivel de gasto y a deteriorar su sostenibilidad fiscal</w:t>
      </w:r>
      <w:r>
        <w:rPr>
          <w:color w:val="231F20"/>
          <w:spacing w:val="-18"/>
          <w:w w:val="105"/>
        </w:rPr>
        <w:t> </w:t>
      </w:r>
      <w:r>
        <w:rPr>
          <w:color w:val="231F20"/>
          <w:w w:val="105"/>
        </w:rPr>
        <w:t>de</w:t>
      </w:r>
      <w:r>
        <w:rPr>
          <w:color w:val="231F20"/>
          <w:spacing w:val="-18"/>
          <w:w w:val="105"/>
        </w:rPr>
        <w:t> </w:t>
      </w:r>
      <w:r>
        <w:rPr>
          <w:color w:val="231F20"/>
          <w:w w:val="105"/>
        </w:rPr>
        <w:t>largo</w:t>
      </w:r>
      <w:r>
        <w:rPr>
          <w:color w:val="231F20"/>
          <w:spacing w:val="-18"/>
          <w:w w:val="105"/>
        </w:rPr>
        <w:t> </w:t>
      </w:r>
      <w:r>
        <w:rPr>
          <w:color w:val="231F20"/>
          <w:w w:val="105"/>
        </w:rPr>
        <w:t>plazo.</w:t>
      </w:r>
    </w:p>
    <w:p>
      <w:pPr>
        <w:pStyle w:val="BodyText"/>
        <w:spacing w:line="259" w:lineRule="auto"/>
        <w:ind w:left="101" w:right="109" w:firstLine="567"/>
        <w:jc w:val="both"/>
      </w:pPr>
      <w:r>
        <w:rPr>
          <w:color w:val="231F20"/>
          <w:w w:val="105"/>
        </w:rPr>
        <w:t>Medina</w:t>
      </w:r>
      <w:r>
        <w:rPr>
          <w:color w:val="231F20"/>
          <w:spacing w:val="-41"/>
          <w:w w:val="105"/>
        </w:rPr>
        <w:t> </w:t>
      </w:r>
      <w:r>
        <w:rPr>
          <w:color w:val="231F20"/>
          <w:w w:val="105"/>
        </w:rPr>
        <w:t>(2010)</w:t>
      </w:r>
      <w:r>
        <w:rPr>
          <w:color w:val="231F20"/>
          <w:spacing w:val="-41"/>
          <w:w w:val="105"/>
        </w:rPr>
        <w:t> </w:t>
      </w:r>
      <w:r>
        <w:rPr>
          <w:color w:val="231F20"/>
          <w:w w:val="105"/>
        </w:rPr>
        <w:t>evidencia</w:t>
      </w:r>
      <w:r>
        <w:rPr>
          <w:color w:val="231F20"/>
          <w:spacing w:val="-41"/>
          <w:w w:val="105"/>
        </w:rPr>
        <w:t> </w:t>
      </w:r>
      <w:r>
        <w:rPr>
          <w:color w:val="231F20"/>
          <w:w w:val="105"/>
        </w:rPr>
        <w:t>que</w:t>
      </w:r>
      <w:r>
        <w:rPr>
          <w:color w:val="231F20"/>
          <w:spacing w:val="-41"/>
          <w:w w:val="105"/>
        </w:rPr>
        <w:t> </w:t>
      </w:r>
      <w:r>
        <w:rPr>
          <w:color w:val="231F20"/>
          <w:w w:val="105"/>
        </w:rPr>
        <w:t>en</w:t>
      </w:r>
      <w:r>
        <w:rPr>
          <w:color w:val="231F20"/>
          <w:spacing w:val="-41"/>
          <w:w w:val="105"/>
        </w:rPr>
        <w:t> </w:t>
      </w:r>
      <w:r>
        <w:rPr>
          <w:color w:val="231F20"/>
          <w:w w:val="105"/>
        </w:rPr>
        <w:t>países</w:t>
      </w:r>
      <w:r>
        <w:rPr>
          <w:color w:val="231F20"/>
          <w:spacing w:val="-41"/>
          <w:w w:val="105"/>
        </w:rPr>
        <w:t> </w:t>
      </w:r>
      <w:r>
        <w:rPr>
          <w:color w:val="231F20"/>
          <w:w w:val="105"/>
        </w:rPr>
        <w:t>como</w:t>
      </w:r>
      <w:r>
        <w:rPr>
          <w:color w:val="231F20"/>
          <w:spacing w:val="-42"/>
          <w:w w:val="105"/>
        </w:rPr>
        <w:t> </w:t>
      </w:r>
      <w:r>
        <w:rPr>
          <w:color w:val="231F20"/>
          <w:spacing w:val="-3"/>
          <w:w w:val="105"/>
        </w:rPr>
        <w:t>Venezuela,</w:t>
      </w:r>
      <w:r>
        <w:rPr>
          <w:color w:val="231F20"/>
          <w:spacing w:val="-44"/>
          <w:w w:val="105"/>
        </w:rPr>
        <w:t> </w:t>
      </w:r>
      <w:r>
        <w:rPr>
          <w:color w:val="231F20"/>
          <w:w w:val="105"/>
        </w:rPr>
        <w:t>Colombia</w:t>
      </w:r>
      <w:r>
        <w:rPr>
          <w:color w:val="231F20"/>
          <w:spacing w:val="-41"/>
          <w:w w:val="105"/>
        </w:rPr>
        <w:t> </w:t>
      </w:r>
      <w:r>
        <w:rPr>
          <w:color w:val="231F20"/>
          <w:w w:val="105"/>
        </w:rPr>
        <w:t>y </w:t>
      </w:r>
      <w:r>
        <w:rPr>
          <w:color w:val="231F20"/>
          <w:spacing w:val="-3"/>
          <w:w w:val="105"/>
        </w:rPr>
        <w:t>Argentina,</w:t>
      </w:r>
      <w:r>
        <w:rPr>
          <w:color w:val="231F20"/>
          <w:spacing w:val="-22"/>
          <w:w w:val="105"/>
        </w:rPr>
        <w:t> </w:t>
      </w:r>
      <w:r>
        <w:rPr>
          <w:color w:val="231F20"/>
          <w:w w:val="105"/>
        </w:rPr>
        <w:t>han</w:t>
      </w:r>
      <w:r>
        <w:rPr>
          <w:color w:val="231F20"/>
          <w:spacing w:val="-17"/>
          <w:w w:val="105"/>
        </w:rPr>
        <w:t> </w:t>
      </w:r>
      <w:r>
        <w:rPr>
          <w:color w:val="231F20"/>
          <w:w w:val="105"/>
        </w:rPr>
        <w:t>existido</w:t>
      </w:r>
      <w:r>
        <w:rPr>
          <w:color w:val="231F20"/>
          <w:spacing w:val="-17"/>
          <w:w w:val="105"/>
        </w:rPr>
        <w:t> </w:t>
      </w:r>
      <w:r>
        <w:rPr>
          <w:color w:val="231F20"/>
          <w:w w:val="105"/>
        </w:rPr>
        <w:t>choques</w:t>
      </w:r>
      <w:r>
        <w:rPr>
          <w:color w:val="231F20"/>
          <w:spacing w:val="-17"/>
          <w:w w:val="105"/>
        </w:rPr>
        <w:t> </w:t>
      </w:r>
      <w:r>
        <w:rPr>
          <w:color w:val="231F20"/>
          <w:w w:val="105"/>
        </w:rPr>
        <w:t>permanentes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gasto</w:t>
      </w:r>
      <w:r>
        <w:rPr>
          <w:color w:val="231F20"/>
          <w:spacing w:val="-17"/>
          <w:w w:val="105"/>
        </w:rPr>
        <w:t> </w:t>
      </w:r>
      <w:r>
        <w:rPr>
          <w:color w:val="231F20"/>
          <w:w w:val="105"/>
        </w:rPr>
        <w:t>público</w:t>
      </w:r>
      <w:r>
        <w:rPr>
          <w:color w:val="231F20"/>
          <w:spacing w:val="-17"/>
          <w:w w:val="105"/>
        </w:rPr>
        <w:t> </w:t>
      </w:r>
      <w:r>
        <w:rPr>
          <w:color w:val="231F20"/>
          <w:w w:val="105"/>
        </w:rPr>
        <w:t>deriva- dos</w:t>
      </w:r>
      <w:r>
        <w:rPr>
          <w:color w:val="231F20"/>
          <w:spacing w:val="-17"/>
          <w:w w:val="105"/>
        </w:rPr>
        <w:t> </w:t>
      </w:r>
      <w:r>
        <w:rPr>
          <w:color w:val="231F20"/>
          <w:w w:val="105"/>
        </w:rPr>
        <w:t>del</w:t>
      </w:r>
      <w:r>
        <w:rPr>
          <w:color w:val="231F20"/>
          <w:spacing w:val="-17"/>
          <w:w w:val="105"/>
        </w:rPr>
        <w:t> </w:t>
      </w:r>
      <w:r>
        <w:rPr>
          <w:color w:val="231F20"/>
          <w:spacing w:val="-3"/>
          <w:w w:val="105"/>
        </w:rPr>
        <w:t>incremento</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spacing w:val="-3"/>
          <w:w w:val="105"/>
        </w:rPr>
        <w:t>precios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materias</w:t>
      </w:r>
      <w:r>
        <w:rPr>
          <w:color w:val="231F20"/>
          <w:spacing w:val="-17"/>
          <w:w w:val="105"/>
        </w:rPr>
        <w:t> </w:t>
      </w:r>
      <w:r>
        <w:rPr>
          <w:color w:val="231F20"/>
          <w:w w:val="105"/>
        </w:rPr>
        <w:t>primas</w:t>
      </w:r>
      <w:r>
        <w:rPr>
          <w:color w:val="231F20"/>
          <w:spacing w:val="-17"/>
          <w:w w:val="105"/>
        </w:rPr>
        <w:t> </w:t>
      </w:r>
      <w:r>
        <w:rPr>
          <w:color w:val="231F20"/>
          <w:w w:val="105"/>
        </w:rPr>
        <w:t>de</w:t>
      </w:r>
      <w:r>
        <w:rPr>
          <w:color w:val="231F20"/>
          <w:spacing w:val="-17"/>
          <w:w w:val="105"/>
        </w:rPr>
        <w:t> </w:t>
      </w:r>
      <w:r>
        <w:rPr>
          <w:color w:val="231F20"/>
          <w:spacing w:val="-3"/>
          <w:w w:val="105"/>
        </w:rPr>
        <w:t>exportación.</w:t>
      </w:r>
    </w:p>
    <w:p>
      <w:pPr>
        <w:pStyle w:val="BodyText"/>
        <w:spacing w:line="259" w:lineRule="auto"/>
        <w:ind w:left="101" w:right="103" w:firstLine="567"/>
        <w:jc w:val="both"/>
      </w:pPr>
      <w:r>
        <w:rPr>
          <w:color w:val="231F20"/>
          <w:w w:val="105"/>
        </w:rPr>
        <w:t>La experiencia con el boom de precios enfatiza la importancia de las instituciones con el fin de determinar la sostenibilidad de la política fiscal. La evidencia empírica revela que la calidad de las instituciones</w:t>
      </w:r>
      <w:r>
        <w:rPr>
          <w:color w:val="231F20"/>
          <w:spacing w:val="-27"/>
          <w:w w:val="105"/>
        </w:rPr>
        <w:t> </w:t>
      </w:r>
      <w:r>
        <w:rPr>
          <w:color w:val="231F20"/>
          <w:w w:val="105"/>
        </w:rPr>
        <w:t>sí importa en la política fiscal. </w:t>
      </w:r>
      <w:r>
        <w:rPr>
          <w:color w:val="231F20"/>
          <w:spacing w:val="-5"/>
          <w:w w:val="105"/>
        </w:rPr>
        <w:t>Por </w:t>
      </w:r>
      <w:r>
        <w:rPr>
          <w:color w:val="231F20"/>
          <w:w w:val="105"/>
        </w:rPr>
        <w:t>ejemplo, está demostrado que la trans- parencia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administración</w:t>
      </w:r>
      <w:r>
        <w:rPr>
          <w:color w:val="231F20"/>
          <w:spacing w:val="-15"/>
          <w:w w:val="105"/>
        </w:rPr>
        <w:t> </w:t>
      </w:r>
      <w:r>
        <w:rPr>
          <w:color w:val="231F20"/>
          <w:w w:val="105"/>
        </w:rPr>
        <w:t>pública</w:t>
      </w:r>
      <w:r>
        <w:rPr>
          <w:color w:val="231F20"/>
          <w:spacing w:val="-15"/>
          <w:w w:val="105"/>
        </w:rPr>
        <w:t> </w:t>
      </w:r>
      <w:r>
        <w:rPr>
          <w:color w:val="231F20"/>
          <w:w w:val="105"/>
        </w:rPr>
        <w:t>genera</w:t>
      </w:r>
      <w:r>
        <w:rPr>
          <w:color w:val="231F20"/>
          <w:spacing w:val="-15"/>
          <w:w w:val="105"/>
        </w:rPr>
        <w:t> </w:t>
      </w:r>
      <w:r>
        <w:rPr>
          <w:color w:val="231F20"/>
          <w:w w:val="105"/>
        </w:rPr>
        <w:t>menores</w:t>
      </w:r>
      <w:r>
        <w:rPr>
          <w:color w:val="231F20"/>
          <w:spacing w:val="-15"/>
          <w:w w:val="105"/>
        </w:rPr>
        <w:t> </w:t>
      </w:r>
      <w:r>
        <w:rPr>
          <w:color w:val="231F20"/>
          <w:w w:val="105"/>
        </w:rPr>
        <w:t>niveles</w:t>
      </w:r>
      <w:r>
        <w:rPr>
          <w:color w:val="231F20"/>
          <w:spacing w:val="-15"/>
          <w:w w:val="105"/>
        </w:rPr>
        <w:t> </w:t>
      </w:r>
      <w:r>
        <w:rPr>
          <w:color w:val="231F20"/>
          <w:w w:val="105"/>
        </w:rPr>
        <w:t>de</w:t>
      </w:r>
      <w:r>
        <w:rPr>
          <w:color w:val="231F20"/>
          <w:spacing w:val="-15"/>
          <w:w w:val="105"/>
        </w:rPr>
        <w:t> </w:t>
      </w:r>
      <w:r>
        <w:rPr>
          <w:color w:val="231F20"/>
          <w:w w:val="105"/>
        </w:rPr>
        <w:t>corrup- ción</w:t>
      </w:r>
      <w:r>
        <w:rPr>
          <w:color w:val="231F20"/>
          <w:spacing w:val="-16"/>
          <w:w w:val="105"/>
        </w:rPr>
        <w:t> </w:t>
      </w:r>
      <w:r>
        <w:rPr>
          <w:color w:val="231F20"/>
          <w:w w:val="105"/>
        </w:rPr>
        <w:t>y</w:t>
      </w:r>
      <w:r>
        <w:rPr>
          <w:color w:val="231F20"/>
          <w:spacing w:val="-16"/>
          <w:w w:val="105"/>
        </w:rPr>
        <w:t> </w:t>
      </w:r>
      <w:r>
        <w:rPr>
          <w:color w:val="231F20"/>
          <w:w w:val="105"/>
        </w:rPr>
        <w:t>efectos</w:t>
      </w:r>
      <w:r>
        <w:rPr>
          <w:color w:val="231F20"/>
          <w:spacing w:val="-16"/>
          <w:w w:val="105"/>
        </w:rPr>
        <w:t> </w:t>
      </w:r>
      <w:r>
        <w:rPr>
          <w:color w:val="231F20"/>
          <w:w w:val="105"/>
        </w:rPr>
        <w:t>favorables</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variación</w:t>
      </w:r>
      <w:r>
        <w:rPr>
          <w:color w:val="231F20"/>
          <w:spacing w:val="-16"/>
          <w:w w:val="105"/>
        </w:rPr>
        <w:t> </w:t>
      </w:r>
      <w:r>
        <w:rPr>
          <w:color w:val="231F20"/>
          <w:w w:val="105"/>
        </w:rPr>
        <w:t>del</w:t>
      </w:r>
      <w:r>
        <w:rPr>
          <w:color w:val="231F20"/>
          <w:spacing w:val="-16"/>
          <w:w w:val="105"/>
        </w:rPr>
        <w:t> </w:t>
      </w:r>
      <w:r>
        <w:rPr>
          <w:color w:val="231F20"/>
          <w:w w:val="105"/>
        </w:rPr>
        <w:t>gasto</w:t>
      </w:r>
      <w:r>
        <w:rPr>
          <w:color w:val="231F20"/>
          <w:spacing w:val="-16"/>
          <w:w w:val="105"/>
        </w:rPr>
        <w:t> </w:t>
      </w:r>
      <w:r>
        <w:rPr>
          <w:color w:val="231F20"/>
          <w:w w:val="105"/>
        </w:rPr>
        <w:t>público</w:t>
      </w:r>
      <w:r>
        <w:rPr>
          <w:color w:val="231F20"/>
          <w:spacing w:val="-16"/>
          <w:w w:val="105"/>
        </w:rPr>
        <w:t> </w:t>
      </w:r>
      <w:r>
        <w:rPr>
          <w:color w:val="231F20"/>
          <w:w w:val="105"/>
        </w:rPr>
        <w:t>(austeridad),</w:t>
      </w:r>
      <w:r>
        <w:rPr>
          <w:color w:val="231F20"/>
          <w:spacing w:val="-22"/>
          <w:w w:val="105"/>
        </w:rPr>
        <w:t> </w:t>
      </w:r>
      <w:r>
        <w:rPr>
          <w:color w:val="231F20"/>
          <w:w w:val="105"/>
        </w:rPr>
        <w:t>el balance fiscal no petrolero o en la actividad económica (Ossowski </w:t>
      </w:r>
      <w:r>
        <w:rPr>
          <w:i/>
          <w:color w:val="231F20"/>
          <w:w w:val="105"/>
        </w:rPr>
        <w:t>et al</w:t>
      </w:r>
      <w:r>
        <w:rPr>
          <w:color w:val="231F20"/>
          <w:w w:val="105"/>
        </w:rPr>
        <w:t>, 2008;</w:t>
      </w:r>
      <w:r>
        <w:rPr>
          <w:color w:val="231F20"/>
          <w:spacing w:val="-43"/>
          <w:w w:val="105"/>
        </w:rPr>
        <w:t> </w:t>
      </w:r>
      <w:r>
        <w:rPr>
          <w:color w:val="231F20"/>
          <w:w w:val="105"/>
        </w:rPr>
        <w:t>Manasse,</w:t>
      </w:r>
      <w:r>
        <w:rPr>
          <w:color w:val="231F20"/>
          <w:spacing w:val="-46"/>
          <w:w w:val="105"/>
        </w:rPr>
        <w:t> </w:t>
      </w:r>
      <w:r>
        <w:rPr>
          <w:color w:val="231F20"/>
          <w:w w:val="105"/>
        </w:rPr>
        <w:t>2006).</w:t>
      </w:r>
    </w:p>
    <w:p>
      <w:pPr>
        <w:pStyle w:val="BodyText"/>
        <w:spacing w:line="259" w:lineRule="auto"/>
        <w:ind w:left="101" w:right="103" w:firstLine="567"/>
        <w:jc w:val="both"/>
      </w:pPr>
      <w:r>
        <w:rPr>
          <w:color w:val="231F20"/>
          <w:w w:val="105"/>
        </w:rPr>
        <w:t>La</w:t>
      </w:r>
      <w:r>
        <w:rPr>
          <w:color w:val="231F20"/>
          <w:spacing w:val="-23"/>
          <w:w w:val="105"/>
        </w:rPr>
        <w:t> </w:t>
      </w:r>
      <w:r>
        <w:rPr>
          <w:color w:val="231F20"/>
          <w:w w:val="105"/>
        </w:rPr>
        <w:t>discusión</w:t>
      </w:r>
      <w:r>
        <w:rPr>
          <w:color w:val="231F20"/>
          <w:spacing w:val="-23"/>
          <w:w w:val="105"/>
        </w:rPr>
        <w:t> </w:t>
      </w:r>
      <w:r>
        <w:rPr>
          <w:color w:val="231F20"/>
          <w:w w:val="105"/>
        </w:rPr>
        <w:t>teórica</w:t>
      </w:r>
      <w:r>
        <w:rPr>
          <w:color w:val="231F20"/>
          <w:spacing w:val="-23"/>
          <w:w w:val="105"/>
        </w:rPr>
        <w:t> </w:t>
      </w:r>
      <w:r>
        <w:rPr>
          <w:color w:val="231F20"/>
          <w:w w:val="105"/>
        </w:rPr>
        <w:t>se</w:t>
      </w:r>
      <w:r>
        <w:rPr>
          <w:color w:val="231F20"/>
          <w:spacing w:val="-23"/>
          <w:w w:val="105"/>
        </w:rPr>
        <w:t> </w:t>
      </w:r>
      <w:r>
        <w:rPr>
          <w:color w:val="231F20"/>
          <w:w w:val="105"/>
        </w:rPr>
        <w:t>centra</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manera</w:t>
      </w:r>
      <w:r>
        <w:rPr>
          <w:color w:val="231F20"/>
          <w:spacing w:val="-23"/>
          <w:w w:val="105"/>
        </w:rPr>
        <w:t> </w:t>
      </w:r>
      <w:r>
        <w:rPr>
          <w:color w:val="231F20"/>
          <w:w w:val="105"/>
        </w:rPr>
        <w:t>de</w:t>
      </w:r>
      <w:r>
        <w:rPr>
          <w:color w:val="231F20"/>
          <w:spacing w:val="-23"/>
          <w:w w:val="105"/>
        </w:rPr>
        <w:t> </w:t>
      </w:r>
      <w:r>
        <w:rPr>
          <w:color w:val="231F20"/>
          <w:w w:val="105"/>
        </w:rPr>
        <w:t>establecer</w:t>
      </w:r>
      <w:r>
        <w:rPr>
          <w:color w:val="231F20"/>
          <w:spacing w:val="-23"/>
          <w:w w:val="105"/>
        </w:rPr>
        <w:t> </w:t>
      </w:r>
      <w:r>
        <w:rPr>
          <w:color w:val="231F20"/>
          <w:w w:val="105"/>
        </w:rPr>
        <w:t>las</w:t>
      </w:r>
      <w:r>
        <w:rPr>
          <w:color w:val="231F20"/>
          <w:spacing w:val="-23"/>
          <w:w w:val="105"/>
        </w:rPr>
        <w:t> </w:t>
      </w:r>
      <w:r>
        <w:rPr>
          <w:color w:val="231F20"/>
          <w:w w:val="105"/>
        </w:rPr>
        <w:t>reglas fiscales apropiadas para una economía petrolera. </w:t>
      </w:r>
      <w:r>
        <w:rPr>
          <w:color w:val="231F20"/>
          <w:spacing w:val="-6"/>
          <w:w w:val="105"/>
        </w:rPr>
        <w:t>Por </w:t>
      </w:r>
      <w:r>
        <w:rPr>
          <w:color w:val="231F20"/>
          <w:w w:val="105"/>
        </w:rPr>
        <w:t>un lado, se argu- menta</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generación</w:t>
      </w:r>
      <w:r>
        <w:rPr>
          <w:color w:val="231F20"/>
          <w:spacing w:val="-12"/>
          <w:w w:val="105"/>
        </w:rPr>
        <w:t> </w:t>
      </w:r>
      <w:r>
        <w:rPr>
          <w:color w:val="231F20"/>
          <w:w w:val="105"/>
        </w:rPr>
        <w:t>de</w:t>
      </w:r>
      <w:r>
        <w:rPr>
          <w:color w:val="231F20"/>
          <w:spacing w:val="-12"/>
          <w:w w:val="105"/>
        </w:rPr>
        <w:t> </w:t>
      </w:r>
      <w:r>
        <w:rPr>
          <w:color w:val="231F20"/>
          <w:w w:val="105"/>
        </w:rPr>
        <w:t>fondos</w:t>
      </w:r>
      <w:r>
        <w:rPr>
          <w:color w:val="231F20"/>
          <w:spacing w:val="-12"/>
          <w:w w:val="105"/>
        </w:rPr>
        <w:t> </w:t>
      </w:r>
      <w:r>
        <w:rPr>
          <w:color w:val="231F20"/>
          <w:w w:val="105"/>
        </w:rPr>
        <w:t>de</w:t>
      </w:r>
      <w:r>
        <w:rPr>
          <w:color w:val="231F20"/>
          <w:spacing w:val="-12"/>
          <w:w w:val="105"/>
        </w:rPr>
        <w:t> </w:t>
      </w:r>
      <w:r>
        <w:rPr>
          <w:color w:val="231F20"/>
          <w:w w:val="105"/>
        </w:rPr>
        <w:t>reservas</w:t>
      </w:r>
      <w:r>
        <w:rPr>
          <w:color w:val="231F20"/>
          <w:spacing w:val="-12"/>
          <w:w w:val="105"/>
        </w:rPr>
        <w:t> </w:t>
      </w:r>
      <w:r>
        <w:rPr>
          <w:color w:val="231F20"/>
          <w:w w:val="105"/>
        </w:rPr>
        <w:t>durante</w:t>
      </w:r>
      <w:r>
        <w:rPr>
          <w:color w:val="231F20"/>
          <w:spacing w:val="-12"/>
          <w:w w:val="105"/>
        </w:rPr>
        <w:t> </w:t>
      </w:r>
      <w:r>
        <w:rPr>
          <w:color w:val="231F20"/>
          <w:w w:val="105"/>
        </w:rPr>
        <w:t>épocas</w:t>
      </w:r>
      <w:r>
        <w:rPr>
          <w:color w:val="231F20"/>
          <w:spacing w:val="-12"/>
          <w:w w:val="105"/>
        </w:rPr>
        <w:t> </w:t>
      </w:r>
      <w:r>
        <w:rPr>
          <w:color w:val="231F20"/>
          <w:w w:val="105"/>
        </w:rPr>
        <w:t>de</w:t>
      </w:r>
      <w:r>
        <w:rPr>
          <w:color w:val="231F20"/>
          <w:spacing w:val="-12"/>
          <w:w w:val="105"/>
        </w:rPr>
        <w:t> </w:t>
      </w:r>
      <w:r>
        <w:rPr>
          <w:color w:val="231F20"/>
          <w:w w:val="105"/>
        </w:rPr>
        <w:t>auge es</w:t>
      </w:r>
      <w:r>
        <w:rPr>
          <w:color w:val="231F20"/>
          <w:spacing w:val="-30"/>
          <w:w w:val="105"/>
        </w:rPr>
        <w:t> </w:t>
      </w:r>
      <w:r>
        <w:rPr>
          <w:color w:val="231F20"/>
          <w:w w:val="105"/>
        </w:rPr>
        <w:t>el</w:t>
      </w:r>
      <w:r>
        <w:rPr>
          <w:color w:val="231F20"/>
          <w:spacing w:val="-30"/>
          <w:w w:val="105"/>
        </w:rPr>
        <w:t> </w:t>
      </w:r>
      <w:r>
        <w:rPr>
          <w:color w:val="231F20"/>
          <w:w w:val="105"/>
        </w:rPr>
        <w:t>mecanismo</w:t>
      </w:r>
      <w:r>
        <w:rPr>
          <w:color w:val="231F20"/>
          <w:spacing w:val="-30"/>
          <w:w w:val="105"/>
        </w:rPr>
        <w:t> </w:t>
      </w:r>
      <w:r>
        <w:rPr>
          <w:color w:val="231F20"/>
          <w:w w:val="105"/>
        </w:rPr>
        <w:t>más</w:t>
      </w:r>
      <w:r>
        <w:rPr>
          <w:color w:val="231F20"/>
          <w:spacing w:val="-30"/>
          <w:w w:val="105"/>
        </w:rPr>
        <w:t> </w:t>
      </w:r>
      <w:r>
        <w:rPr>
          <w:color w:val="231F20"/>
          <w:w w:val="105"/>
        </w:rPr>
        <w:t>adecuado.</w:t>
      </w:r>
      <w:r>
        <w:rPr>
          <w:color w:val="231F20"/>
          <w:spacing w:val="-34"/>
          <w:w w:val="105"/>
        </w:rPr>
        <w:t> </w:t>
      </w:r>
      <w:r>
        <w:rPr>
          <w:color w:val="231F20"/>
          <w:w w:val="105"/>
        </w:rPr>
        <w:t>Los</w:t>
      </w:r>
      <w:r>
        <w:rPr>
          <w:color w:val="231F20"/>
          <w:spacing w:val="-30"/>
          <w:w w:val="105"/>
        </w:rPr>
        <w:t> </w:t>
      </w:r>
      <w:r>
        <w:rPr>
          <w:color w:val="231F20"/>
          <w:w w:val="105"/>
        </w:rPr>
        <w:t>países</w:t>
      </w:r>
      <w:r>
        <w:rPr>
          <w:color w:val="231F20"/>
          <w:spacing w:val="-30"/>
          <w:w w:val="105"/>
        </w:rPr>
        <w:t> </w:t>
      </w:r>
      <w:r>
        <w:rPr>
          <w:color w:val="231F20"/>
          <w:w w:val="105"/>
        </w:rPr>
        <w:t>petroleros</w:t>
      </w:r>
      <w:r>
        <w:rPr>
          <w:color w:val="231F20"/>
          <w:spacing w:val="-30"/>
          <w:w w:val="105"/>
        </w:rPr>
        <w:t> </w:t>
      </w:r>
      <w:r>
        <w:rPr>
          <w:color w:val="231F20"/>
          <w:w w:val="105"/>
        </w:rPr>
        <w:t>deben</w:t>
      </w:r>
      <w:r>
        <w:rPr>
          <w:color w:val="231F20"/>
          <w:spacing w:val="-30"/>
          <w:w w:val="105"/>
        </w:rPr>
        <w:t> </w:t>
      </w:r>
      <w:r>
        <w:rPr>
          <w:color w:val="231F20"/>
          <w:w w:val="105"/>
        </w:rPr>
        <w:t>restringir</w:t>
      </w:r>
      <w:r>
        <w:rPr>
          <w:color w:val="231F20"/>
          <w:spacing w:val="-30"/>
          <w:w w:val="105"/>
        </w:rPr>
        <w:t> </w:t>
      </w:r>
      <w:r>
        <w:rPr>
          <w:color w:val="231F20"/>
          <w:w w:val="105"/>
        </w:rPr>
        <w:t>su máximo déficit petrolero a los ingresos generados por dicho fondo (Me- das</w:t>
      </w:r>
      <w:r>
        <w:rPr>
          <w:color w:val="231F20"/>
          <w:spacing w:val="-22"/>
          <w:w w:val="105"/>
        </w:rPr>
        <w:t> </w:t>
      </w:r>
      <w:r>
        <w:rPr>
          <w:color w:val="231F20"/>
          <w:w w:val="105"/>
        </w:rPr>
        <w:t>y</w:t>
      </w:r>
      <w:r>
        <w:rPr>
          <w:color w:val="231F20"/>
          <w:spacing w:val="-22"/>
          <w:w w:val="105"/>
        </w:rPr>
        <w:t> </w:t>
      </w:r>
      <w:r>
        <w:rPr>
          <w:color w:val="231F20"/>
          <w:w w:val="105"/>
        </w:rPr>
        <w:t>Zakharova,</w:t>
      </w:r>
      <w:r>
        <w:rPr>
          <w:color w:val="231F20"/>
          <w:spacing w:val="-26"/>
          <w:w w:val="105"/>
        </w:rPr>
        <w:t> </w:t>
      </w:r>
      <w:r>
        <w:rPr>
          <w:color w:val="231F20"/>
          <w:w w:val="105"/>
        </w:rPr>
        <w:t>2009).</w:t>
      </w:r>
      <w:r>
        <w:rPr>
          <w:color w:val="231F20"/>
          <w:spacing w:val="-26"/>
          <w:w w:val="105"/>
        </w:rPr>
        <w:t> </w:t>
      </w:r>
      <w:r>
        <w:rPr>
          <w:color w:val="231F20"/>
          <w:spacing w:val="-6"/>
          <w:w w:val="105"/>
        </w:rPr>
        <w:t>Por</w:t>
      </w:r>
      <w:r>
        <w:rPr>
          <w:color w:val="231F20"/>
          <w:spacing w:val="-22"/>
          <w:w w:val="105"/>
        </w:rPr>
        <w:t> </w:t>
      </w:r>
      <w:r>
        <w:rPr>
          <w:color w:val="231F20"/>
          <w:w w:val="105"/>
        </w:rPr>
        <w:t>otra</w:t>
      </w:r>
      <w:r>
        <w:rPr>
          <w:color w:val="231F20"/>
          <w:spacing w:val="-22"/>
          <w:w w:val="105"/>
        </w:rPr>
        <w:t> </w:t>
      </w:r>
      <w:r>
        <w:rPr>
          <w:color w:val="231F20"/>
          <w:w w:val="105"/>
        </w:rPr>
        <w:t>parte</w:t>
      </w:r>
      <w:r>
        <w:rPr>
          <w:color w:val="231F20"/>
          <w:spacing w:val="-22"/>
          <w:w w:val="105"/>
        </w:rPr>
        <w:t> </w:t>
      </w:r>
      <w:r>
        <w:rPr>
          <w:color w:val="231F20"/>
          <w:w w:val="105"/>
        </w:rPr>
        <w:t>se</w:t>
      </w:r>
      <w:r>
        <w:rPr>
          <w:color w:val="231F20"/>
          <w:spacing w:val="-22"/>
          <w:w w:val="105"/>
        </w:rPr>
        <w:t> </w:t>
      </w:r>
      <w:r>
        <w:rPr>
          <w:color w:val="231F20"/>
          <w:w w:val="105"/>
        </w:rPr>
        <w:t>justifica</w:t>
      </w:r>
      <w:r>
        <w:rPr>
          <w:color w:val="231F20"/>
          <w:spacing w:val="-22"/>
          <w:w w:val="105"/>
        </w:rPr>
        <w:t> </w:t>
      </w:r>
      <w:r>
        <w:rPr>
          <w:color w:val="231F20"/>
          <w:w w:val="105"/>
        </w:rPr>
        <w:t>que</w:t>
      </w:r>
      <w:r>
        <w:rPr>
          <w:color w:val="231F20"/>
          <w:spacing w:val="-22"/>
          <w:w w:val="105"/>
        </w:rPr>
        <w:t> </w:t>
      </w:r>
      <w:r>
        <w:rPr>
          <w:color w:val="231F20"/>
          <w:w w:val="105"/>
        </w:rPr>
        <w:t>no</w:t>
      </w:r>
      <w:r>
        <w:rPr>
          <w:color w:val="231F20"/>
          <w:spacing w:val="-22"/>
          <w:w w:val="105"/>
        </w:rPr>
        <w:t> </w:t>
      </w:r>
      <w:r>
        <w:rPr>
          <w:color w:val="231F20"/>
          <w:w w:val="105"/>
        </w:rPr>
        <w:t>necesariamente se</w:t>
      </w:r>
      <w:r>
        <w:rPr>
          <w:color w:val="231F20"/>
          <w:spacing w:val="-20"/>
          <w:w w:val="105"/>
        </w:rPr>
        <w:t> </w:t>
      </w:r>
      <w:r>
        <w:rPr>
          <w:color w:val="231F20"/>
          <w:w w:val="105"/>
        </w:rPr>
        <w:t>debe</w:t>
      </w:r>
      <w:r>
        <w:rPr>
          <w:color w:val="231F20"/>
          <w:spacing w:val="-20"/>
          <w:w w:val="105"/>
        </w:rPr>
        <w:t> </w:t>
      </w:r>
      <w:r>
        <w:rPr>
          <w:color w:val="231F20"/>
          <w:w w:val="105"/>
        </w:rPr>
        <w:t>constituir</w:t>
      </w:r>
      <w:r>
        <w:rPr>
          <w:color w:val="231F20"/>
          <w:spacing w:val="-20"/>
          <w:w w:val="105"/>
        </w:rPr>
        <w:t> </w:t>
      </w:r>
      <w:r>
        <w:rPr>
          <w:color w:val="231F20"/>
          <w:w w:val="105"/>
        </w:rPr>
        <w:t>un</w:t>
      </w:r>
      <w:r>
        <w:rPr>
          <w:color w:val="231F20"/>
          <w:spacing w:val="-20"/>
          <w:w w:val="105"/>
        </w:rPr>
        <w:t> </w:t>
      </w:r>
      <w:r>
        <w:rPr>
          <w:color w:val="231F20"/>
          <w:w w:val="105"/>
        </w:rPr>
        <w:t>fondo</w:t>
      </w:r>
      <w:r>
        <w:rPr>
          <w:color w:val="231F20"/>
          <w:spacing w:val="-20"/>
          <w:w w:val="105"/>
        </w:rPr>
        <w:t> </w:t>
      </w:r>
      <w:r>
        <w:rPr>
          <w:color w:val="231F20"/>
          <w:w w:val="105"/>
        </w:rPr>
        <w:t>para</w:t>
      </w:r>
      <w:r>
        <w:rPr>
          <w:color w:val="231F20"/>
          <w:spacing w:val="-20"/>
          <w:w w:val="105"/>
        </w:rPr>
        <w:t> </w:t>
      </w:r>
      <w:r>
        <w:rPr>
          <w:color w:val="231F20"/>
          <w:w w:val="105"/>
        </w:rPr>
        <w:t>depositar</w:t>
      </w:r>
      <w:r>
        <w:rPr>
          <w:color w:val="231F20"/>
          <w:spacing w:val="-20"/>
          <w:w w:val="105"/>
        </w:rPr>
        <w:t> </w:t>
      </w:r>
      <w:r>
        <w:rPr>
          <w:color w:val="231F20"/>
          <w:w w:val="105"/>
        </w:rPr>
        <w:t>los</w:t>
      </w:r>
      <w:r>
        <w:rPr>
          <w:color w:val="231F20"/>
          <w:spacing w:val="-20"/>
          <w:w w:val="105"/>
        </w:rPr>
        <w:t> </w:t>
      </w:r>
      <w:r>
        <w:rPr>
          <w:color w:val="231F20"/>
          <w:w w:val="105"/>
        </w:rPr>
        <w:t>ingresos</w:t>
      </w:r>
      <w:r>
        <w:rPr>
          <w:color w:val="231F20"/>
          <w:spacing w:val="-20"/>
          <w:w w:val="105"/>
        </w:rPr>
        <w:t> </w:t>
      </w:r>
      <w:r>
        <w:rPr>
          <w:color w:val="231F20"/>
          <w:w w:val="105"/>
        </w:rPr>
        <w:t>petroleros,</w:t>
      </w:r>
      <w:r>
        <w:rPr>
          <w:color w:val="231F20"/>
          <w:spacing w:val="-26"/>
          <w:w w:val="105"/>
        </w:rPr>
        <w:t> </w:t>
      </w:r>
      <w:r>
        <w:rPr>
          <w:color w:val="231F20"/>
          <w:w w:val="105"/>
        </w:rPr>
        <w:t>puesto que</w:t>
      </w:r>
      <w:r>
        <w:rPr>
          <w:color w:val="231F20"/>
          <w:spacing w:val="-10"/>
          <w:w w:val="105"/>
        </w:rPr>
        <w:t> </w:t>
      </w:r>
      <w:r>
        <w:rPr>
          <w:color w:val="231F20"/>
          <w:w w:val="105"/>
        </w:rPr>
        <w:t>ciertas</w:t>
      </w:r>
      <w:r>
        <w:rPr>
          <w:color w:val="231F20"/>
          <w:spacing w:val="-10"/>
          <w:w w:val="105"/>
        </w:rPr>
        <w:t> </w:t>
      </w:r>
      <w:r>
        <w:rPr>
          <w:color w:val="231F20"/>
          <w:w w:val="105"/>
        </w:rPr>
        <w:t>economías</w:t>
      </w:r>
      <w:r>
        <w:rPr>
          <w:color w:val="231F20"/>
          <w:spacing w:val="-10"/>
          <w:w w:val="105"/>
        </w:rPr>
        <w:t> </w:t>
      </w:r>
      <w:r>
        <w:rPr>
          <w:color w:val="231F20"/>
          <w:w w:val="105"/>
        </w:rPr>
        <w:t>emergentes</w:t>
      </w:r>
      <w:r>
        <w:rPr>
          <w:color w:val="231F20"/>
          <w:spacing w:val="-10"/>
          <w:w w:val="105"/>
        </w:rPr>
        <w:t> </w:t>
      </w:r>
      <w:r>
        <w:rPr>
          <w:color w:val="231F20"/>
          <w:w w:val="105"/>
        </w:rPr>
        <w:t>(ricas</w:t>
      </w:r>
      <w:r>
        <w:rPr>
          <w:color w:val="231F20"/>
          <w:spacing w:val="-10"/>
          <w:w w:val="105"/>
        </w:rPr>
        <w:t> </w:t>
      </w:r>
      <w:r>
        <w:rPr>
          <w:color w:val="231F20"/>
          <w:w w:val="105"/>
        </w:rPr>
        <w:t>en</w:t>
      </w:r>
      <w:r>
        <w:rPr>
          <w:color w:val="231F20"/>
          <w:spacing w:val="-10"/>
          <w:w w:val="105"/>
        </w:rPr>
        <w:t> </w:t>
      </w:r>
      <w:r>
        <w:rPr>
          <w:color w:val="231F20"/>
          <w:w w:val="105"/>
        </w:rPr>
        <w:t>petróleo)</w:t>
      </w:r>
      <w:r>
        <w:rPr>
          <w:color w:val="231F20"/>
          <w:spacing w:val="-10"/>
          <w:w w:val="105"/>
        </w:rPr>
        <w:t> </w:t>
      </w:r>
      <w:r>
        <w:rPr>
          <w:color w:val="231F20"/>
          <w:w w:val="105"/>
        </w:rPr>
        <w:t>presentan</w:t>
      </w:r>
      <w:r>
        <w:rPr>
          <w:color w:val="231F20"/>
          <w:spacing w:val="-10"/>
          <w:w w:val="105"/>
        </w:rPr>
        <w:t> </w:t>
      </w:r>
      <w:r>
        <w:rPr>
          <w:color w:val="231F20"/>
          <w:w w:val="105"/>
        </w:rPr>
        <w:t>restric- ciones</w:t>
      </w:r>
      <w:r>
        <w:rPr>
          <w:color w:val="231F20"/>
          <w:spacing w:val="-13"/>
          <w:w w:val="105"/>
        </w:rPr>
        <w:t> </w:t>
      </w:r>
      <w:r>
        <w:rPr>
          <w:color w:val="231F20"/>
          <w:w w:val="105"/>
        </w:rPr>
        <w:t>de</w:t>
      </w:r>
      <w:r>
        <w:rPr>
          <w:color w:val="231F20"/>
          <w:spacing w:val="-13"/>
          <w:w w:val="105"/>
        </w:rPr>
        <w:t> </w:t>
      </w:r>
      <w:r>
        <w:rPr>
          <w:color w:val="231F20"/>
          <w:w w:val="105"/>
        </w:rPr>
        <w:t>capital;</w:t>
      </w:r>
      <w:r>
        <w:rPr>
          <w:color w:val="231F20"/>
          <w:spacing w:val="-13"/>
          <w:w w:val="105"/>
        </w:rPr>
        <w:t> </w:t>
      </w:r>
      <w:r>
        <w:rPr>
          <w:color w:val="231F20"/>
          <w:w w:val="105"/>
        </w:rPr>
        <w:t>por</w:t>
      </w:r>
      <w:r>
        <w:rPr>
          <w:color w:val="231F20"/>
          <w:spacing w:val="-13"/>
          <w:w w:val="105"/>
        </w:rPr>
        <w:t> </w:t>
      </w:r>
      <w:r>
        <w:rPr>
          <w:color w:val="231F20"/>
          <w:w w:val="105"/>
        </w:rPr>
        <w:t>tanto,</w:t>
      </w:r>
      <w:r>
        <w:rPr>
          <w:color w:val="231F20"/>
          <w:spacing w:val="-18"/>
          <w:w w:val="105"/>
        </w:rPr>
        <w:t> </w:t>
      </w:r>
      <w:r>
        <w:rPr>
          <w:color w:val="231F20"/>
          <w:w w:val="105"/>
        </w:rPr>
        <w:t>los</w:t>
      </w:r>
      <w:r>
        <w:rPr>
          <w:color w:val="231F20"/>
          <w:spacing w:val="-13"/>
          <w:w w:val="105"/>
        </w:rPr>
        <w:t> </w:t>
      </w:r>
      <w:r>
        <w:rPr>
          <w:color w:val="231F20"/>
          <w:w w:val="105"/>
        </w:rPr>
        <w:t>ingresos</w:t>
      </w:r>
      <w:r>
        <w:rPr>
          <w:color w:val="231F20"/>
          <w:spacing w:val="-13"/>
          <w:w w:val="105"/>
        </w:rPr>
        <w:t> </w:t>
      </w:r>
      <w:r>
        <w:rPr>
          <w:color w:val="231F20"/>
          <w:w w:val="105"/>
        </w:rPr>
        <w:t>petroleros</w:t>
      </w:r>
      <w:r>
        <w:rPr>
          <w:color w:val="231F20"/>
          <w:spacing w:val="-13"/>
          <w:w w:val="105"/>
        </w:rPr>
        <w:t> </w:t>
      </w:r>
      <w:r>
        <w:rPr>
          <w:color w:val="231F20"/>
          <w:w w:val="105"/>
        </w:rPr>
        <w:t>deben</w:t>
      </w:r>
      <w:r>
        <w:rPr>
          <w:color w:val="231F20"/>
          <w:spacing w:val="-13"/>
          <w:w w:val="105"/>
        </w:rPr>
        <w:t> </w:t>
      </w:r>
      <w:r>
        <w:rPr>
          <w:color w:val="231F20"/>
          <w:w w:val="105"/>
        </w:rPr>
        <w:t>destinarse</w:t>
      </w:r>
      <w:r>
        <w:rPr>
          <w:color w:val="231F20"/>
          <w:spacing w:val="-13"/>
          <w:w w:val="105"/>
        </w:rPr>
        <w:t> </w:t>
      </w:r>
      <w:r>
        <w:rPr>
          <w:color w:val="231F20"/>
          <w:w w:val="105"/>
        </w:rPr>
        <w:t>ha- cia</w:t>
      </w:r>
      <w:r>
        <w:rPr>
          <w:color w:val="231F20"/>
          <w:spacing w:val="-10"/>
          <w:w w:val="105"/>
        </w:rPr>
        <w:t> </w:t>
      </w:r>
      <w:r>
        <w:rPr>
          <w:color w:val="231F20"/>
          <w:w w:val="105"/>
        </w:rPr>
        <w:t>la</w:t>
      </w:r>
      <w:r>
        <w:rPr>
          <w:color w:val="231F20"/>
          <w:spacing w:val="-10"/>
          <w:w w:val="105"/>
        </w:rPr>
        <w:t> </w:t>
      </w:r>
      <w:r>
        <w:rPr>
          <w:color w:val="231F20"/>
          <w:w w:val="105"/>
        </w:rPr>
        <w:t>inversión</w:t>
      </w:r>
      <w:r>
        <w:rPr>
          <w:color w:val="231F20"/>
          <w:spacing w:val="-10"/>
          <w:w w:val="105"/>
        </w:rPr>
        <w:t> </w:t>
      </w:r>
      <w:r>
        <w:rPr>
          <w:color w:val="231F20"/>
          <w:w w:val="105"/>
        </w:rPr>
        <w:t>pública</w:t>
      </w:r>
      <w:r>
        <w:rPr>
          <w:color w:val="231F20"/>
          <w:spacing w:val="-10"/>
          <w:w w:val="105"/>
        </w:rPr>
        <w:t> </w:t>
      </w:r>
      <w:r>
        <w:rPr>
          <w:color w:val="231F20"/>
          <w:w w:val="105"/>
        </w:rPr>
        <w:t>(Baunsgaard</w:t>
      </w:r>
      <w:r>
        <w:rPr>
          <w:color w:val="231F20"/>
          <w:spacing w:val="-10"/>
          <w:w w:val="105"/>
        </w:rPr>
        <w:t> </w:t>
      </w:r>
      <w:r>
        <w:rPr>
          <w:i/>
          <w:color w:val="231F20"/>
          <w:w w:val="105"/>
        </w:rPr>
        <w:t>et</w:t>
      </w:r>
      <w:r>
        <w:rPr>
          <w:i/>
          <w:color w:val="231F20"/>
          <w:spacing w:val="-10"/>
          <w:w w:val="105"/>
        </w:rPr>
        <w:t> </w:t>
      </w:r>
      <w:r>
        <w:rPr>
          <w:i/>
          <w:color w:val="231F20"/>
          <w:w w:val="105"/>
        </w:rPr>
        <w:t>al</w:t>
      </w:r>
      <w:r>
        <w:rPr>
          <w:color w:val="231F20"/>
          <w:w w:val="105"/>
        </w:rPr>
        <w:t>,</w:t>
      </w:r>
      <w:r>
        <w:rPr>
          <w:color w:val="231F20"/>
          <w:spacing w:val="-15"/>
          <w:w w:val="105"/>
        </w:rPr>
        <w:t> </w:t>
      </w:r>
      <w:r>
        <w:rPr>
          <w:color w:val="231F20"/>
          <w:w w:val="105"/>
        </w:rPr>
        <w:t>2012;</w:t>
      </w:r>
      <w:r>
        <w:rPr>
          <w:color w:val="231F20"/>
          <w:spacing w:val="-13"/>
          <w:w w:val="105"/>
        </w:rPr>
        <w:t> </w:t>
      </w:r>
      <w:r>
        <w:rPr>
          <w:color w:val="231F20"/>
          <w:w w:val="105"/>
        </w:rPr>
        <w:t>Venables,</w:t>
      </w:r>
      <w:r>
        <w:rPr>
          <w:color w:val="231F20"/>
          <w:spacing w:val="-15"/>
          <w:w w:val="105"/>
        </w:rPr>
        <w:t> </w:t>
      </w:r>
      <w:r>
        <w:rPr>
          <w:color w:val="231F20"/>
          <w:w w:val="105"/>
        </w:rPr>
        <w:t>2010;</w:t>
      </w:r>
      <w:r>
        <w:rPr>
          <w:color w:val="231F20"/>
          <w:spacing w:val="-10"/>
          <w:w w:val="105"/>
        </w:rPr>
        <w:t> </w:t>
      </w:r>
      <w:r>
        <w:rPr>
          <w:color w:val="231F20"/>
          <w:w w:val="105"/>
        </w:rPr>
        <w:t>Collier, van</w:t>
      </w:r>
      <w:r>
        <w:rPr>
          <w:color w:val="231F20"/>
          <w:spacing w:val="-34"/>
          <w:w w:val="105"/>
        </w:rPr>
        <w:t> </w:t>
      </w:r>
      <w:r>
        <w:rPr>
          <w:color w:val="231F20"/>
          <w:w w:val="105"/>
        </w:rPr>
        <w:t>der</w:t>
      </w:r>
      <w:r>
        <w:rPr>
          <w:color w:val="231F20"/>
          <w:spacing w:val="-34"/>
          <w:w w:val="105"/>
        </w:rPr>
        <w:t> </w:t>
      </w:r>
      <w:r>
        <w:rPr>
          <w:color w:val="231F20"/>
          <w:w w:val="105"/>
        </w:rPr>
        <w:t>Ploeg,</w:t>
      </w:r>
      <w:r>
        <w:rPr>
          <w:color w:val="231F20"/>
          <w:spacing w:val="-38"/>
          <w:w w:val="105"/>
        </w:rPr>
        <w:t> </w:t>
      </w:r>
      <w:r>
        <w:rPr>
          <w:color w:val="231F20"/>
          <w:w w:val="105"/>
        </w:rPr>
        <w:t>Spence,</w:t>
      </w:r>
      <w:r>
        <w:rPr>
          <w:color w:val="231F20"/>
          <w:spacing w:val="-38"/>
          <w:w w:val="105"/>
        </w:rPr>
        <w:t> </w:t>
      </w:r>
      <w:r>
        <w:rPr>
          <w:color w:val="231F20"/>
          <w:w w:val="105"/>
        </w:rPr>
        <w:t>y</w:t>
      </w:r>
      <w:r>
        <w:rPr>
          <w:color w:val="231F20"/>
          <w:spacing w:val="-36"/>
          <w:w w:val="105"/>
        </w:rPr>
        <w:t> </w:t>
      </w:r>
      <w:r>
        <w:rPr>
          <w:color w:val="231F20"/>
          <w:w w:val="105"/>
        </w:rPr>
        <w:t>Venables,</w:t>
      </w:r>
      <w:r>
        <w:rPr>
          <w:color w:val="231F20"/>
          <w:spacing w:val="-38"/>
          <w:w w:val="105"/>
        </w:rPr>
        <w:t> </w:t>
      </w:r>
      <w:r>
        <w:rPr>
          <w:color w:val="231F20"/>
          <w:w w:val="105"/>
        </w:rPr>
        <w:t>2009).</w:t>
      </w:r>
    </w:p>
    <w:p>
      <w:pPr>
        <w:pStyle w:val="BodyText"/>
        <w:spacing w:line="259" w:lineRule="auto"/>
        <w:ind w:left="101" w:right="103" w:firstLine="567"/>
        <w:jc w:val="both"/>
      </w:pPr>
      <w:r>
        <w:rPr>
          <w:color w:val="231F20"/>
          <w:w w:val="105"/>
        </w:rPr>
        <w:t>La intuición y lógica económicas podrían sugerir que países con abundancia</w:t>
      </w:r>
      <w:r>
        <w:rPr>
          <w:color w:val="231F20"/>
          <w:spacing w:val="-28"/>
          <w:w w:val="105"/>
        </w:rPr>
        <w:t> </w:t>
      </w:r>
      <w:r>
        <w:rPr>
          <w:color w:val="231F20"/>
          <w:w w:val="105"/>
        </w:rPr>
        <w:t>de</w:t>
      </w:r>
      <w:r>
        <w:rPr>
          <w:color w:val="231F20"/>
          <w:spacing w:val="-28"/>
          <w:w w:val="105"/>
        </w:rPr>
        <w:t> </w:t>
      </w:r>
      <w:r>
        <w:rPr>
          <w:color w:val="231F20"/>
          <w:w w:val="105"/>
        </w:rPr>
        <w:t>un</w:t>
      </w:r>
      <w:r>
        <w:rPr>
          <w:color w:val="231F20"/>
          <w:spacing w:val="-28"/>
          <w:w w:val="105"/>
        </w:rPr>
        <w:t> </w:t>
      </w:r>
      <w:r>
        <w:rPr>
          <w:color w:val="231F20"/>
          <w:w w:val="105"/>
        </w:rPr>
        <w:t>recurso</w:t>
      </w:r>
      <w:r>
        <w:rPr>
          <w:color w:val="231F20"/>
          <w:spacing w:val="-28"/>
          <w:w w:val="105"/>
        </w:rPr>
        <w:t> </w:t>
      </w:r>
      <w:r>
        <w:rPr>
          <w:color w:val="231F20"/>
          <w:w w:val="105"/>
        </w:rPr>
        <w:t>natural,</w:t>
      </w:r>
      <w:r>
        <w:rPr>
          <w:color w:val="231F20"/>
          <w:spacing w:val="-32"/>
          <w:w w:val="105"/>
        </w:rPr>
        <w:t> </w:t>
      </w:r>
      <w:r>
        <w:rPr>
          <w:color w:val="231F20"/>
          <w:w w:val="105"/>
        </w:rPr>
        <w:t>y</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vez</w:t>
      </w:r>
      <w:r>
        <w:rPr>
          <w:color w:val="231F20"/>
          <w:spacing w:val="-28"/>
          <w:w w:val="105"/>
        </w:rPr>
        <w:t> </w:t>
      </w:r>
      <w:r>
        <w:rPr>
          <w:color w:val="231F20"/>
          <w:w w:val="105"/>
        </w:rPr>
        <w:t>escacez</w:t>
      </w:r>
      <w:r>
        <w:rPr>
          <w:color w:val="231F20"/>
          <w:spacing w:val="-28"/>
          <w:w w:val="105"/>
        </w:rPr>
        <w:t> </w:t>
      </w:r>
      <w:r>
        <w:rPr>
          <w:color w:val="231F20"/>
          <w:w w:val="105"/>
        </w:rPr>
        <w:t>de</w:t>
      </w:r>
      <w:r>
        <w:rPr>
          <w:color w:val="231F20"/>
          <w:spacing w:val="-28"/>
          <w:w w:val="105"/>
        </w:rPr>
        <w:t> </w:t>
      </w:r>
      <w:r>
        <w:rPr>
          <w:color w:val="231F20"/>
          <w:w w:val="105"/>
        </w:rPr>
        <w:t>capital</w:t>
      </w:r>
      <w:r>
        <w:rPr>
          <w:color w:val="231F20"/>
          <w:spacing w:val="-28"/>
          <w:w w:val="105"/>
        </w:rPr>
        <w:t> </w:t>
      </w:r>
      <w:r>
        <w:rPr>
          <w:color w:val="231F20"/>
          <w:w w:val="105"/>
        </w:rPr>
        <w:t>(ej.</w:t>
      </w:r>
      <w:r>
        <w:rPr>
          <w:color w:val="231F20"/>
          <w:spacing w:val="-32"/>
          <w:w w:val="105"/>
        </w:rPr>
        <w:t> </w:t>
      </w:r>
      <w:r>
        <w:rPr>
          <w:color w:val="231F20"/>
          <w:w w:val="105"/>
        </w:rPr>
        <w:t>Bolivia, Colombia,</w:t>
      </w:r>
      <w:r>
        <w:rPr>
          <w:color w:val="231F20"/>
          <w:spacing w:val="-42"/>
          <w:w w:val="105"/>
        </w:rPr>
        <w:t> </w:t>
      </w:r>
      <w:r>
        <w:rPr>
          <w:color w:val="231F20"/>
          <w:w w:val="105"/>
        </w:rPr>
        <w:t>Venezuela</w:t>
      </w:r>
      <w:r>
        <w:rPr>
          <w:color w:val="231F20"/>
          <w:spacing w:val="-36"/>
          <w:w w:val="105"/>
        </w:rPr>
        <w:t> </w:t>
      </w:r>
      <w:r>
        <w:rPr>
          <w:color w:val="231F20"/>
          <w:w w:val="105"/>
        </w:rPr>
        <w:t>y</w:t>
      </w:r>
      <w:r>
        <w:rPr>
          <w:color w:val="231F20"/>
          <w:spacing w:val="-36"/>
          <w:w w:val="105"/>
        </w:rPr>
        <w:t> </w:t>
      </w:r>
      <w:r>
        <w:rPr>
          <w:color w:val="231F20"/>
          <w:w w:val="105"/>
        </w:rPr>
        <w:t>México),</w:t>
      </w:r>
      <w:r>
        <w:rPr>
          <w:color w:val="231F20"/>
          <w:spacing w:val="-40"/>
          <w:w w:val="105"/>
        </w:rPr>
        <w:t> </w:t>
      </w:r>
      <w:r>
        <w:rPr>
          <w:color w:val="231F20"/>
          <w:w w:val="105"/>
        </w:rPr>
        <w:t>deberían</w:t>
      </w:r>
      <w:r>
        <w:rPr>
          <w:color w:val="231F20"/>
          <w:spacing w:val="-36"/>
          <w:w w:val="105"/>
        </w:rPr>
        <w:t> </w:t>
      </w:r>
      <w:r>
        <w:rPr>
          <w:color w:val="231F20"/>
          <w:w w:val="105"/>
        </w:rPr>
        <w:t>destinar</w:t>
      </w:r>
      <w:r>
        <w:rPr>
          <w:color w:val="231F20"/>
          <w:spacing w:val="-36"/>
          <w:w w:val="105"/>
        </w:rPr>
        <w:t> </w:t>
      </w:r>
      <w:r>
        <w:rPr>
          <w:color w:val="231F20"/>
          <w:w w:val="105"/>
        </w:rPr>
        <w:t>sus</w:t>
      </w:r>
      <w:r>
        <w:rPr>
          <w:color w:val="231F20"/>
          <w:spacing w:val="-36"/>
          <w:w w:val="105"/>
        </w:rPr>
        <w:t> </w:t>
      </w:r>
      <w:r>
        <w:rPr>
          <w:color w:val="231F20"/>
          <w:w w:val="105"/>
        </w:rPr>
        <w:t>ingresos</w:t>
      </w:r>
      <w:r>
        <w:rPr>
          <w:color w:val="231F20"/>
          <w:spacing w:val="-36"/>
          <w:w w:val="105"/>
        </w:rPr>
        <w:t> </w:t>
      </w:r>
      <w:r>
        <w:rPr>
          <w:color w:val="231F20"/>
          <w:w w:val="105"/>
        </w:rPr>
        <w:t>petroleros hacia</w:t>
      </w:r>
      <w:r>
        <w:rPr>
          <w:color w:val="231F20"/>
          <w:spacing w:val="-4"/>
          <w:w w:val="105"/>
        </w:rPr>
        <w:t> </w:t>
      </w:r>
      <w:r>
        <w:rPr>
          <w:color w:val="231F20"/>
          <w:w w:val="105"/>
        </w:rPr>
        <w:t>la</w:t>
      </w:r>
      <w:r>
        <w:rPr>
          <w:color w:val="231F20"/>
          <w:spacing w:val="-4"/>
          <w:w w:val="105"/>
        </w:rPr>
        <w:t> </w:t>
      </w:r>
      <w:r>
        <w:rPr>
          <w:color w:val="231F20"/>
          <w:w w:val="105"/>
        </w:rPr>
        <w:t>inversión</w:t>
      </w:r>
      <w:r>
        <w:rPr>
          <w:color w:val="231F20"/>
          <w:spacing w:val="-4"/>
          <w:w w:val="105"/>
        </w:rPr>
        <w:t> </w:t>
      </w:r>
      <w:r>
        <w:rPr>
          <w:color w:val="231F20"/>
          <w:w w:val="105"/>
        </w:rPr>
        <w:t>pública.</w:t>
      </w:r>
      <w:r>
        <w:rPr>
          <w:color w:val="231F20"/>
          <w:spacing w:val="-9"/>
          <w:w w:val="105"/>
        </w:rPr>
        <w:t> </w:t>
      </w:r>
      <w:r>
        <w:rPr>
          <w:color w:val="231F20"/>
          <w:w w:val="105"/>
        </w:rPr>
        <w:t>Sin</w:t>
      </w:r>
      <w:r>
        <w:rPr>
          <w:color w:val="231F20"/>
          <w:spacing w:val="-4"/>
          <w:w w:val="105"/>
        </w:rPr>
        <w:t> </w:t>
      </w:r>
      <w:r>
        <w:rPr>
          <w:color w:val="231F20"/>
          <w:w w:val="105"/>
        </w:rPr>
        <w:t>embargo,</w:t>
      </w:r>
      <w:r>
        <w:rPr>
          <w:color w:val="231F20"/>
          <w:spacing w:val="-9"/>
          <w:w w:val="105"/>
        </w:rPr>
        <w:t> </w:t>
      </w:r>
      <w:r>
        <w:rPr>
          <w:color w:val="231F20"/>
          <w:w w:val="105"/>
        </w:rPr>
        <w:t>esta</w:t>
      </w:r>
      <w:r>
        <w:rPr>
          <w:color w:val="231F20"/>
          <w:spacing w:val="-4"/>
          <w:w w:val="105"/>
        </w:rPr>
        <w:t> </w:t>
      </w:r>
      <w:r>
        <w:rPr>
          <w:color w:val="231F20"/>
          <w:w w:val="105"/>
        </w:rPr>
        <w:t>postura</w:t>
      </w:r>
      <w:r>
        <w:rPr>
          <w:color w:val="231F20"/>
          <w:spacing w:val="-4"/>
          <w:w w:val="105"/>
        </w:rPr>
        <w:t> </w:t>
      </w:r>
      <w:r>
        <w:rPr>
          <w:color w:val="231F20"/>
          <w:w w:val="105"/>
        </w:rPr>
        <w:t>trae</w:t>
      </w:r>
      <w:r>
        <w:rPr>
          <w:color w:val="231F20"/>
          <w:spacing w:val="-4"/>
          <w:w w:val="105"/>
        </w:rPr>
        <w:t> </w:t>
      </w:r>
      <w:r>
        <w:rPr>
          <w:color w:val="231F20"/>
          <w:w w:val="105"/>
        </w:rPr>
        <w:t>dos</w:t>
      </w:r>
      <w:r>
        <w:rPr>
          <w:color w:val="231F20"/>
          <w:spacing w:val="-4"/>
          <w:w w:val="105"/>
        </w:rPr>
        <w:t> </w:t>
      </w:r>
      <w:r>
        <w:rPr>
          <w:color w:val="231F20"/>
          <w:w w:val="105"/>
        </w:rPr>
        <w:t>contrapo- siciones</w:t>
      </w:r>
      <w:r>
        <w:rPr>
          <w:color w:val="231F20"/>
          <w:spacing w:val="-6"/>
          <w:w w:val="105"/>
        </w:rPr>
        <w:t> </w:t>
      </w:r>
      <w:r>
        <w:rPr>
          <w:color w:val="231F20"/>
          <w:w w:val="105"/>
        </w:rPr>
        <w:t>más:</w:t>
      </w:r>
      <w:r>
        <w:rPr>
          <w:color w:val="231F20"/>
          <w:spacing w:val="-6"/>
          <w:w w:val="105"/>
        </w:rPr>
        <w:t> </w:t>
      </w:r>
      <w:r>
        <w:rPr>
          <w:color w:val="231F20"/>
          <w:w w:val="105"/>
        </w:rPr>
        <w:t>(i)</w:t>
      </w:r>
      <w:r>
        <w:rPr>
          <w:color w:val="231F20"/>
          <w:spacing w:val="-6"/>
          <w:w w:val="105"/>
        </w:rPr>
        <w:t> </w:t>
      </w:r>
      <w:r>
        <w:rPr>
          <w:color w:val="231F20"/>
          <w:w w:val="105"/>
        </w:rPr>
        <w:t>a</w:t>
      </w:r>
      <w:r>
        <w:rPr>
          <w:color w:val="231F20"/>
          <w:spacing w:val="-6"/>
          <w:w w:val="105"/>
        </w:rPr>
        <w:t> </w:t>
      </w:r>
      <w:r>
        <w:rPr>
          <w:color w:val="231F20"/>
          <w:w w:val="105"/>
        </w:rPr>
        <w:t>mayor</w:t>
      </w:r>
      <w:r>
        <w:rPr>
          <w:color w:val="231F20"/>
          <w:spacing w:val="-6"/>
          <w:w w:val="105"/>
        </w:rPr>
        <w:t> </w:t>
      </w:r>
      <w:r>
        <w:rPr>
          <w:color w:val="231F20"/>
          <w:w w:val="105"/>
        </w:rPr>
        <w:t>inversión</w:t>
      </w:r>
      <w:r>
        <w:rPr>
          <w:color w:val="231F20"/>
          <w:spacing w:val="-6"/>
          <w:w w:val="105"/>
        </w:rPr>
        <w:t> </w:t>
      </w:r>
      <w:r>
        <w:rPr>
          <w:color w:val="231F20"/>
          <w:w w:val="105"/>
        </w:rPr>
        <w:t>pública</w:t>
      </w:r>
      <w:r>
        <w:rPr>
          <w:color w:val="231F20"/>
          <w:spacing w:val="-6"/>
          <w:w w:val="105"/>
        </w:rPr>
        <w:t> </w:t>
      </w:r>
      <w:r>
        <w:rPr>
          <w:color w:val="231F20"/>
          <w:w w:val="105"/>
        </w:rPr>
        <w:t>mayor</w:t>
      </w:r>
      <w:r>
        <w:rPr>
          <w:color w:val="231F20"/>
          <w:spacing w:val="-6"/>
          <w:w w:val="105"/>
        </w:rPr>
        <w:t> </w:t>
      </w:r>
      <w:r>
        <w:rPr>
          <w:color w:val="231F20"/>
          <w:w w:val="105"/>
        </w:rPr>
        <w:t>crecimiento</w:t>
      </w:r>
      <w:r>
        <w:rPr>
          <w:color w:val="231F20"/>
          <w:spacing w:val="-6"/>
          <w:w w:val="105"/>
        </w:rPr>
        <w:t> </w:t>
      </w:r>
      <w:r>
        <w:rPr>
          <w:color w:val="231F20"/>
          <w:w w:val="105"/>
        </w:rPr>
        <w:t>del</w:t>
      </w:r>
      <w:r>
        <w:rPr>
          <w:color w:val="231F20"/>
          <w:spacing w:val="-6"/>
          <w:w w:val="105"/>
        </w:rPr>
        <w:t> </w:t>
      </w:r>
      <w:r>
        <w:rPr>
          <w:color w:val="231F20"/>
          <w:w w:val="105"/>
        </w:rPr>
        <w:t>sector no transable y mayor estancamiento en el largo plazo (Sachs y </w:t>
      </w:r>
      <w:r>
        <w:rPr>
          <w:color w:val="231F20"/>
          <w:spacing w:val="-3"/>
          <w:w w:val="105"/>
        </w:rPr>
        <w:t>Warner, </w:t>
      </w:r>
      <w:r>
        <w:rPr>
          <w:color w:val="231F20"/>
          <w:w w:val="105"/>
        </w:rPr>
        <w:t>1995);</w:t>
      </w:r>
      <w:r>
        <w:rPr>
          <w:color w:val="231F20"/>
          <w:spacing w:val="-18"/>
          <w:w w:val="105"/>
        </w:rPr>
        <w:t> </w:t>
      </w:r>
      <w:r>
        <w:rPr>
          <w:color w:val="231F20"/>
          <w:w w:val="105"/>
        </w:rPr>
        <w:t>(ii)</w:t>
      </w:r>
      <w:r>
        <w:rPr>
          <w:color w:val="231F20"/>
          <w:spacing w:val="-18"/>
          <w:w w:val="105"/>
        </w:rPr>
        <w:t> </w:t>
      </w:r>
      <w:r>
        <w:rPr>
          <w:color w:val="231F20"/>
          <w:w w:val="105"/>
        </w:rPr>
        <w:t>la</w:t>
      </w:r>
      <w:r>
        <w:rPr>
          <w:color w:val="231F20"/>
          <w:spacing w:val="-18"/>
          <w:w w:val="105"/>
        </w:rPr>
        <w:t> </w:t>
      </w:r>
      <w:r>
        <w:rPr>
          <w:color w:val="231F20"/>
          <w:w w:val="105"/>
        </w:rPr>
        <w:t>inversión</w:t>
      </w:r>
      <w:r>
        <w:rPr>
          <w:color w:val="231F20"/>
          <w:spacing w:val="-18"/>
          <w:w w:val="105"/>
        </w:rPr>
        <w:t> </w:t>
      </w:r>
      <w:r>
        <w:rPr>
          <w:color w:val="231F20"/>
          <w:w w:val="105"/>
        </w:rPr>
        <w:t>pública</w:t>
      </w:r>
      <w:r>
        <w:rPr>
          <w:color w:val="231F20"/>
          <w:spacing w:val="-18"/>
          <w:w w:val="105"/>
        </w:rPr>
        <w:t> </w:t>
      </w:r>
      <w:r>
        <w:rPr>
          <w:color w:val="231F20"/>
          <w:w w:val="105"/>
        </w:rPr>
        <w:t>tiene</w:t>
      </w:r>
      <w:r>
        <w:rPr>
          <w:color w:val="231F20"/>
          <w:spacing w:val="-18"/>
          <w:w w:val="105"/>
        </w:rPr>
        <w:t> </w:t>
      </w:r>
      <w:r>
        <w:rPr>
          <w:color w:val="231F20"/>
          <w:w w:val="105"/>
        </w:rPr>
        <w:t>baja</w:t>
      </w:r>
      <w:r>
        <w:rPr>
          <w:color w:val="231F20"/>
          <w:spacing w:val="-18"/>
          <w:w w:val="105"/>
        </w:rPr>
        <w:t> </w:t>
      </w:r>
      <w:r>
        <w:rPr>
          <w:color w:val="231F20"/>
          <w:w w:val="105"/>
        </w:rPr>
        <w:t>productividad</w:t>
      </w:r>
      <w:r>
        <w:rPr>
          <w:color w:val="231F20"/>
          <w:spacing w:val="-18"/>
          <w:w w:val="105"/>
        </w:rPr>
        <w:t> </w:t>
      </w:r>
      <w:r>
        <w:rPr>
          <w:color w:val="231F20"/>
          <w:w w:val="105"/>
        </w:rPr>
        <w:t>y</w:t>
      </w:r>
      <w:r>
        <w:rPr>
          <w:color w:val="231F20"/>
          <w:spacing w:val="-18"/>
          <w:w w:val="105"/>
        </w:rPr>
        <w:t> </w:t>
      </w:r>
      <w:r>
        <w:rPr>
          <w:color w:val="231F20"/>
          <w:w w:val="105"/>
        </w:rPr>
        <w:t>su</w:t>
      </w:r>
      <w:r>
        <w:rPr>
          <w:color w:val="231F20"/>
          <w:spacing w:val="-18"/>
          <w:w w:val="105"/>
        </w:rPr>
        <w:t> </w:t>
      </w:r>
      <w:r>
        <w:rPr>
          <w:color w:val="231F20"/>
          <w:w w:val="105"/>
        </w:rPr>
        <w:t>impacto</w:t>
      </w:r>
      <w:r>
        <w:rPr>
          <w:color w:val="231F20"/>
          <w:spacing w:val="-18"/>
          <w:w w:val="105"/>
        </w:rPr>
        <w:t> </w:t>
      </w:r>
      <w:r>
        <w:rPr>
          <w:color w:val="231F20"/>
          <w:w w:val="105"/>
        </w:rPr>
        <w:t>social es</w:t>
      </w:r>
      <w:r>
        <w:rPr>
          <w:color w:val="231F20"/>
          <w:spacing w:val="-28"/>
          <w:w w:val="105"/>
        </w:rPr>
        <w:t> </w:t>
      </w:r>
      <w:r>
        <w:rPr>
          <w:color w:val="231F20"/>
          <w:w w:val="105"/>
        </w:rPr>
        <w:t>mínimo</w:t>
      </w:r>
      <w:r>
        <w:rPr>
          <w:color w:val="231F20"/>
          <w:spacing w:val="-28"/>
          <w:w w:val="105"/>
        </w:rPr>
        <w:t> </w:t>
      </w:r>
      <w:r>
        <w:rPr>
          <w:color w:val="231F20"/>
          <w:w w:val="105"/>
        </w:rPr>
        <w:t>(Robinson</w:t>
      </w:r>
      <w:r>
        <w:rPr>
          <w:color w:val="231F20"/>
          <w:spacing w:val="-28"/>
          <w:w w:val="105"/>
        </w:rPr>
        <w:t> </w:t>
      </w:r>
      <w:r>
        <w:rPr>
          <w:i/>
          <w:color w:val="231F20"/>
          <w:w w:val="105"/>
        </w:rPr>
        <w:t>et</w:t>
      </w:r>
      <w:r>
        <w:rPr>
          <w:i/>
          <w:color w:val="231F20"/>
          <w:spacing w:val="-28"/>
          <w:w w:val="105"/>
        </w:rPr>
        <w:t> </w:t>
      </w:r>
      <w:r>
        <w:rPr>
          <w:i/>
          <w:color w:val="231F20"/>
          <w:w w:val="105"/>
        </w:rPr>
        <w:t>al</w:t>
      </w:r>
      <w:r>
        <w:rPr>
          <w:color w:val="231F20"/>
          <w:w w:val="105"/>
        </w:rPr>
        <w:t>,</w:t>
      </w:r>
      <w:r>
        <w:rPr>
          <w:color w:val="231F20"/>
          <w:spacing w:val="-32"/>
          <w:w w:val="105"/>
        </w:rPr>
        <w:t> </w:t>
      </w:r>
      <w:r>
        <w:rPr>
          <w:color w:val="231F20"/>
          <w:w w:val="105"/>
        </w:rPr>
        <w:t>2006).</w:t>
      </w:r>
    </w:p>
    <w:p>
      <w:pPr>
        <w:pStyle w:val="BodyText"/>
        <w:spacing w:line="259" w:lineRule="auto"/>
        <w:ind w:left="101" w:right="109" w:firstLine="567"/>
        <w:jc w:val="both"/>
      </w:pPr>
      <w:r>
        <w:rPr>
          <w:color w:val="231F20"/>
          <w:w w:val="105"/>
        </w:rPr>
        <w:t>En</w:t>
      </w:r>
      <w:r>
        <w:rPr>
          <w:color w:val="231F20"/>
          <w:spacing w:val="-8"/>
          <w:w w:val="105"/>
        </w:rPr>
        <w:t> </w:t>
      </w:r>
      <w:r>
        <w:rPr>
          <w:color w:val="231F20"/>
          <w:w w:val="105"/>
        </w:rPr>
        <w:t>síntesis,</w:t>
      </w:r>
      <w:r>
        <w:rPr>
          <w:color w:val="231F20"/>
          <w:spacing w:val="-13"/>
          <w:w w:val="105"/>
        </w:rPr>
        <w:t> </w:t>
      </w:r>
      <w:r>
        <w:rPr>
          <w:color w:val="231F20"/>
          <w:w w:val="105"/>
        </w:rPr>
        <w:t>una</w:t>
      </w:r>
      <w:r>
        <w:rPr>
          <w:color w:val="231F20"/>
          <w:spacing w:val="-8"/>
          <w:w w:val="105"/>
        </w:rPr>
        <w:t> </w:t>
      </w:r>
      <w:r>
        <w:rPr>
          <w:color w:val="231F20"/>
          <w:w w:val="105"/>
        </w:rPr>
        <w:t>regla</w:t>
      </w:r>
      <w:r>
        <w:rPr>
          <w:color w:val="231F20"/>
          <w:spacing w:val="-8"/>
          <w:w w:val="105"/>
        </w:rPr>
        <w:t> </w:t>
      </w:r>
      <w:r>
        <w:rPr>
          <w:color w:val="231F20"/>
          <w:w w:val="105"/>
        </w:rPr>
        <w:t>fiscal</w:t>
      </w:r>
      <w:r>
        <w:rPr>
          <w:color w:val="231F20"/>
          <w:spacing w:val="-8"/>
          <w:w w:val="105"/>
        </w:rPr>
        <w:t> </w:t>
      </w:r>
      <w:r>
        <w:rPr>
          <w:color w:val="231F20"/>
          <w:w w:val="105"/>
        </w:rPr>
        <w:t>basada</w:t>
      </w:r>
      <w:r>
        <w:rPr>
          <w:color w:val="231F20"/>
          <w:spacing w:val="-8"/>
          <w:w w:val="105"/>
        </w:rPr>
        <w:t> </w:t>
      </w:r>
      <w:r>
        <w:rPr>
          <w:color w:val="231F20"/>
          <w:w w:val="105"/>
        </w:rPr>
        <w:t>en</w:t>
      </w:r>
      <w:r>
        <w:rPr>
          <w:color w:val="231F20"/>
          <w:spacing w:val="-8"/>
          <w:w w:val="105"/>
        </w:rPr>
        <w:t> </w:t>
      </w:r>
      <w:r>
        <w:rPr>
          <w:color w:val="231F20"/>
          <w:w w:val="105"/>
        </w:rPr>
        <w:t>destinar</w:t>
      </w:r>
      <w:r>
        <w:rPr>
          <w:color w:val="231F20"/>
          <w:spacing w:val="-8"/>
          <w:w w:val="105"/>
        </w:rPr>
        <w:t> </w:t>
      </w:r>
      <w:r>
        <w:rPr>
          <w:color w:val="231F20"/>
          <w:w w:val="105"/>
        </w:rPr>
        <w:t>los</w:t>
      </w:r>
      <w:r>
        <w:rPr>
          <w:color w:val="231F20"/>
          <w:spacing w:val="-8"/>
          <w:w w:val="105"/>
        </w:rPr>
        <w:t> </w:t>
      </w:r>
      <w:r>
        <w:rPr>
          <w:color w:val="231F20"/>
          <w:w w:val="105"/>
        </w:rPr>
        <w:t>ingresos</w:t>
      </w:r>
      <w:r>
        <w:rPr>
          <w:color w:val="231F20"/>
          <w:spacing w:val="-8"/>
          <w:w w:val="105"/>
        </w:rPr>
        <w:t> </w:t>
      </w:r>
      <w:r>
        <w:rPr>
          <w:color w:val="231F20"/>
          <w:w w:val="105"/>
        </w:rPr>
        <w:t>petro- leros</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inversión</w:t>
      </w:r>
      <w:r>
        <w:rPr>
          <w:color w:val="231F20"/>
          <w:spacing w:val="-18"/>
          <w:w w:val="105"/>
        </w:rPr>
        <w:t> </w:t>
      </w:r>
      <w:r>
        <w:rPr>
          <w:color w:val="231F20"/>
          <w:w w:val="105"/>
        </w:rPr>
        <w:t>pública</w:t>
      </w:r>
      <w:r>
        <w:rPr>
          <w:color w:val="231F20"/>
          <w:spacing w:val="-18"/>
          <w:w w:val="105"/>
        </w:rPr>
        <w:t> </w:t>
      </w:r>
      <w:r>
        <w:rPr>
          <w:color w:val="231F20"/>
          <w:w w:val="105"/>
        </w:rPr>
        <w:t>sería</w:t>
      </w:r>
      <w:r>
        <w:rPr>
          <w:color w:val="231F20"/>
          <w:spacing w:val="-18"/>
          <w:w w:val="105"/>
        </w:rPr>
        <w:t> </w:t>
      </w:r>
      <w:r>
        <w:rPr>
          <w:color w:val="231F20"/>
          <w:w w:val="105"/>
        </w:rPr>
        <w:t>una</w:t>
      </w:r>
      <w:r>
        <w:rPr>
          <w:color w:val="231F20"/>
          <w:spacing w:val="-18"/>
          <w:w w:val="105"/>
        </w:rPr>
        <w:t> </w:t>
      </w:r>
      <w:r>
        <w:rPr>
          <w:color w:val="231F20"/>
          <w:w w:val="105"/>
        </w:rPr>
        <w:t>alternativa</w:t>
      </w:r>
      <w:r>
        <w:rPr>
          <w:color w:val="231F20"/>
          <w:spacing w:val="-18"/>
          <w:w w:val="105"/>
        </w:rPr>
        <w:t> </w:t>
      </w:r>
      <w:r>
        <w:rPr>
          <w:color w:val="231F20"/>
          <w:w w:val="105"/>
        </w:rPr>
        <w:t>más</w:t>
      </w:r>
      <w:r>
        <w:rPr>
          <w:color w:val="231F20"/>
          <w:spacing w:val="-18"/>
          <w:w w:val="105"/>
        </w:rPr>
        <w:t> </w:t>
      </w:r>
      <w:r>
        <w:rPr>
          <w:color w:val="231F20"/>
          <w:w w:val="105"/>
        </w:rPr>
        <w:t>coherente</w:t>
      </w:r>
      <w:r>
        <w:rPr>
          <w:color w:val="231F20"/>
          <w:spacing w:val="-18"/>
          <w:w w:val="105"/>
        </w:rPr>
        <w:t> </w:t>
      </w:r>
      <w:r>
        <w:rPr>
          <w:color w:val="231F20"/>
          <w:w w:val="105"/>
        </w:rPr>
        <w:t>para</w:t>
      </w:r>
      <w:r>
        <w:rPr>
          <w:color w:val="231F20"/>
          <w:spacing w:val="-18"/>
          <w:w w:val="105"/>
        </w:rPr>
        <w:t> </w:t>
      </w:r>
      <w:r>
        <w:rPr>
          <w:color w:val="231F20"/>
          <w:w w:val="105"/>
        </w:rPr>
        <w:t>eco- nomías emergentes, siempre y cuando esté basada en criterios de</w:t>
      </w:r>
      <w:r>
        <w:rPr>
          <w:color w:val="231F20"/>
          <w:spacing w:val="38"/>
          <w:w w:val="105"/>
        </w:rPr>
        <w:t> </w:t>
      </w:r>
      <w:r>
        <w:rPr>
          <w:color w:val="231F20"/>
          <w:w w:val="105"/>
        </w:rPr>
        <w:t>alta</w:t>
      </w:r>
    </w:p>
    <w:p>
      <w:pPr>
        <w:pStyle w:val="BodyText"/>
        <w:rPr>
          <w:sz w:val="20"/>
        </w:rPr>
      </w:pPr>
    </w:p>
    <w:p>
      <w:pPr>
        <w:pStyle w:val="BodyText"/>
        <w:rPr>
          <w:sz w:val="20"/>
        </w:rPr>
      </w:pPr>
    </w:p>
    <w:p>
      <w:pPr>
        <w:pStyle w:val="BodyText"/>
        <w:spacing w:before="10"/>
        <w:rPr>
          <w:sz w:val="18"/>
        </w:rPr>
      </w:pPr>
    </w:p>
    <w:p>
      <w:pPr>
        <w:tabs>
          <w:tab w:pos="1357" w:val="left" w:leader="none"/>
        </w:tabs>
        <w:spacing w:before="70"/>
        <w:ind w:left="252" w:right="0" w:firstLine="0"/>
        <w:jc w:val="left"/>
        <w:rPr>
          <w:rFonts w:ascii="Calibri" w:hAnsi="Calibri"/>
          <w:sz w:val="15"/>
        </w:rPr>
      </w:pPr>
      <w:r>
        <w:rPr/>
        <w:pict>
          <v:group style="position:absolute;margin-left:101.817299pt;margin-top:-16.799887pt;width:17.850pt;height:56.5pt;mso-position-horizontal-relative:page;mso-position-vertical-relative:paragraph;z-index:-24090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196</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160" w:right="128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40" w:right="1240"/>
        </w:sectPr>
      </w:pPr>
    </w:p>
    <w:p>
      <w:pPr>
        <w:spacing w:line="180" w:lineRule="exact" w:before="61"/>
        <w:ind w:left="2370" w:right="0" w:firstLine="338"/>
        <w:jc w:val="left"/>
        <w:rPr>
          <w:rFonts w:ascii="Lucida Sans Unicode" w:hAnsi="Lucida Sans Unicode"/>
          <w:sz w:val="14"/>
        </w:rPr>
      </w:pPr>
      <w:r>
        <w:rPr/>
        <w:pict>
          <v:line style="position:absolute;mso-position-horizontal-relative:page;mso-position-vertical-relative:paragraph;z-index:7048"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197</w:t>
      </w:r>
    </w:p>
    <w:p>
      <w:pPr>
        <w:spacing w:after="0"/>
        <w:jc w:val="left"/>
        <w:rPr>
          <w:sz w:val="20"/>
        </w:rPr>
        <w:sectPr>
          <w:type w:val="continuous"/>
          <w:pgSz w:w="9640" w:h="13890"/>
          <w:pgMar w:top="1300" w:bottom="280" w:left="1340" w:right="1240"/>
          <w:cols w:num="2" w:equalWidth="0">
            <w:col w:w="6221" w:space="40"/>
            <w:col w:w="799"/>
          </w:cols>
        </w:sectPr>
      </w:pPr>
    </w:p>
    <w:p>
      <w:pPr>
        <w:pStyle w:val="BodyText"/>
        <w:rPr>
          <w:sz w:val="20"/>
        </w:rPr>
      </w:pPr>
    </w:p>
    <w:p>
      <w:pPr>
        <w:pStyle w:val="BodyText"/>
        <w:spacing w:before="8"/>
        <w:rPr>
          <w:sz w:val="18"/>
        </w:rPr>
      </w:pPr>
    </w:p>
    <w:p>
      <w:pPr>
        <w:pStyle w:val="BodyText"/>
        <w:spacing w:line="259" w:lineRule="auto" w:before="57"/>
        <w:ind w:left="119" w:right="103"/>
        <w:jc w:val="both"/>
      </w:pPr>
      <w:r>
        <w:rPr>
          <w:color w:val="231F20"/>
          <w:w w:val="105"/>
        </w:rPr>
        <w:t>productividad y de rendimiento social significativo, aunque esta reco- mendación de política conllevaría algunas características de</w:t>
      </w:r>
      <w:r>
        <w:rPr>
          <w:color w:val="231F20"/>
          <w:spacing w:val="-16"/>
          <w:w w:val="105"/>
        </w:rPr>
        <w:t> </w:t>
      </w:r>
      <w:r>
        <w:rPr>
          <w:color w:val="231F20"/>
          <w:w w:val="105"/>
        </w:rPr>
        <w:t>enferme- dad</w:t>
      </w:r>
      <w:r>
        <w:rPr>
          <w:color w:val="231F20"/>
          <w:spacing w:val="-17"/>
          <w:w w:val="105"/>
        </w:rPr>
        <w:t> </w:t>
      </w:r>
      <w:r>
        <w:rPr>
          <w:color w:val="231F20"/>
          <w:w w:val="105"/>
        </w:rPr>
        <w:t>holandesa</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largo</w:t>
      </w:r>
      <w:r>
        <w:rPr>
          <w:color w:val="231F20"/>
          <w:spacing w:val="-17"/>
          <w:w w:val="105"/>
        </w:rPr>
        <w:t> </w:t>
      </w:r>
      <w:r>
        <w:rPr>
          <w:color w:val="231F20"/>
          <w:w w:val="105"/>
        </w:rPr>
        <w:t>plazo.</w:t>
      </w:r>
      <w:r>
        <w:rPr>
          <w:color w:val="231F20"/>
          <w:spacing w:val="-22"/>
          <w:w w:val="105"/>
        </w:rPr>
        <w:t> </w:t>
      </w:r>
      <w:r>
        <w:rPr>
          <w:color w:val="231F20"/>
          <w:spacing w:val="-4"/>
          <w:w w:val="105"/>
        </w:rPr>
        <w:t>Para</w:t>
      </w:r>
      <w:r>
        <w:rPr>
          <w:color w:val="231F20"/>
          <w:spacing w:val="-17"/>
          <w:w w:val="105"/>
        </w:rPr>
        <w:t> </w:t>
      </w:r>
      <w:r>
        <w:rPr>
          <w:color w:val="231F20"/>
          <w:w w:val="105"/>
        </w:rPr>
        <w:t>ello,</w:t>
      </w:r>
      <w:r>
        <w:rPr>
          <w:color w:val="231F20"/>
          <w:spacing w:val="-22"/>
          <w:w w:val="105"/>
        </w:rPr>
        <w:t> </w:t>
      </w:r>
      <w:r>
        <w:rPr>
          <w:color w:val="231F20"/>
          <w:w w:val="105"/>
        </w:rPr>
        <w:t>se</w:t>
      </w:r>
      <w:r>
        <w:rPr>
          <w:color w:val="231F20"/>
          <w:spacing w:val="-17"/>
          <w:w w:val="105"/>
        </w:rPr>
        <w:t> </w:t>
      </w:r>
      <w:r>
        <w:rPr>
          <w:color w:val="231F20"/>
          <w:w w:val="105"/>
        </w:rPr>
        <w:t>hace</w:t>
      </w:r>
      <w:r>
        <w:rPr>
          <w:color w:val="231F20"/>
          <w:spacing w:val="-17"/>
          <w:w w:val="105"/>
        </w:rPr>
        <w:t> </w:t>
      </w:r>
      <w:r>
        <w:rPr>
          <w:color w:val="231F20"/>
          <w:w w:val="105"/>
        </w:rPr>
        <w:t>necesario</w:t>
      </w:r>
      <w:r>
        <w:rPr>
          <w:color w:val="231F20"/>
          <w:spacing w:val="-17"/>
          <w:w w:val="105"/>
        </w:rPr>
        <w:t> </w:t>
      </w:r>
      <w:r>
        <w:rPr>
          <w:color w:val="231F20"/>
          <w:w w:val="105"/>
        </w:rPr>
        <w:t>un</w:t>
      </w:r>
      <w:r>
        <w:rPr>
          <w:color w:val="231F20"/>
          <w:spacing w:val="-17"/>
          <w:w w:val="105"/>
        </w:rPr>
        <w:t> </w:t>
      </w:r>
      <w:r>
        <w:rPr>
          <w:color w:val="231F20"/>
          <w:w w:val="105"/>
        </w:rPr>
        <w:t>diseño con</w:t>
      </w:r>
      <w:r>
        <w:rPr>
          <w:color w:val="231F20"/>
          <w:spacing w:val="-30"/>
          <w:w w:val="105"/>
        </w:rPr>
        <w:t> </w:t>
      </w:r>
      <w:r>
        <w:rPr>
          <w:color w:val="231F20"/>
          <w:w w:val="105"/>
        </w:rPr>
        <w:t>características</w:t>
      </w:r>
      <w:r>
        <w:rPr>
          <w:color w:val="231F20"/>
          <w:spacing w:val="-30"/>
          <w:w w:val="105"/>
        </w:rPr>
        <w:t> </w:t>
      </w:r>
      <w:r>
        <w:rPr>
          <w:color w:val="231F20"/>
          <w:w w:val="105"/>
        </w:rPr>
        <w:t>que</w:t>
      </w:r>
      <w:r>
        <w:rPr>
          <w:color w:val="231F20"/>
          <w:spacing w:val="-30"/>
          <w:w w:val="105"/>
        </w:rPr>
        <w:t> </w:t>
      </w:r>
      <w:r>
        <w:rPr>
          <w:color w:val="231F20"/>
          <w:w w:val="105"/>
        </w:rPr>
        <w:t>incluyan</w:t>
      </w:r>
      <w:r>
        <w:rPr>
          <w:color w:val="231F20"/>
          <w:spacing w:val="-30"/>
          <w:w w:val="105"/>
        </w:rPr>
        <w:t> </w:t>
      </w:r>
      <w:r>
        <w:rPr>
          <w:color w:val="231F20"/>
          <w:w w:val="105"/>
        </w:rPr>
        <w:t>las</w:t>
      </w:r>
      <w:r>
        <w:rPr>
          <w:color w:val="231F20"/>
          <w:spacing w:val="-30"/>
          <w:w w:val="105"/>
        </w:rPr>
        <w:t> </w:t>
      </w:r>
      <w:r>
        <w:rPr>
          <w:color w:val="231F20"/>
          <w:w w:val="105"/>
        </w:rPr>
        <w:t>fases</w:t>
      </w:r>
      <w:r>
        <w:rPr>
          <w:color w:val="231F20"/>
          <w:spacing w:val="-30"/>
          <w:w w:val="105"/>
        </w:rPr>
        <w:t> </w:t>
      </w:r>
      <w:r>
        <w:rPr>
          <w:color w:val="231F20"/>
          <w:w w:val="105"/>
        </w:rPr>
        <w:t>del</w:t>
      </w:r>
      <w:r>
        <w:rPr>
          <w:color w:val="231F20"/>
          <w:spacing w:val="-30"/>
          <w:w w:val="105"/>
        </w:rPr>
        <w:t> </w:t>
      </w:r>
      <w:r>
        <w:rPr>
          <w:color w:val="231F20"/>
          <w:w w:val="105"/>
        </w:rPr>
        <w:t>ciclo</w:t>
      </w:r>
      <w:r>
        <w:rPr>
          <w:color w:val="231F20"/>
          <w:spacing w:val="-30"/>
          <w:w w:val="105"/>
        </w:rPr>
        <w:t> </w:t>
      </w:r>
      <w:r>
        <w:rPr>
          <w:color w:val="231F20"/>
          <w:w w:val="105"/>
        </w:rPr>
        <w:t>económico,</w:t>
      </w:r>
      <w:r>
        <w:rPr>
          <w:color w:val="231F20"/>
          <w:spacing w:val="-34"/>
          <w:w w:val="105"/>
        </w:rPr>
        <w:t> </w:t>
      </w:r>
      <w:r>
        <w:rPr>
          <w:color w:val="231F20"/>
          <w:w w:val="105"/>
        </w:rPr>
        <w:t>encierren límites sobre los instrumentos fiscales y la deuda pública, así como la consideración</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prospectiva</w:t>
      </w:r>
      <w:r>
        <w:rPr>
          <w:color w:val="231F20"/>
          <w:spacing w:val="-20"/>
          <w:w w:val="105"/>
        </w:rPr>
        <w:t> </w:t>
      </w:r>
      <w:r>
        <w:rPr>
          <w:color w:val="231F20"/>
          <w:w w:val="105"/>
        </w:rPr>
        <w:t>temporal</w:t>
      </w:r>
      <w:r>
        <w:rPr>
          <w:color w:val="231F20"/>
          <w:spacing w:val="-20"/>
          <w:w w:val="105"/>
        </w:rPr>
        <w:t> </w:t>
      </w:r>
      <w:r>
        <w:rPr>
          <w:color w:val="231F20"/>
          <w:w w:val="105"/>
        </w:rPr>
        <w:t>y</w:t>
      </w:r>
      <w:r>
        <w:rPr>
          <w:color w:val="231F20"/>
          <w:spacing w:val="-20"/>
          <w:w w:val="105"/>
        </w:rPr>
        <w:t> </w:t>
      </w:r>
      <w:r>
        <w:rPr>
          <w:color w:val="231F20"/>
          <w:w w:val="105"/>
        </w:rPr>
        <w:t>elementos</w:t>
      </w:r>
      <w:r>
        <w:rPr>
          <w:color w:val="231F20"/>
          <w:spacing w:val="-20"/>
          <w:w w:val="105"/>
        </w:rPr>
        <w:t> </w:t>
      </w:r>
      <w:r>
        <w:rPr>
          <w:color w:val="231F20"/>
          <w:w w:val="105"/>
        </w:rPr>
        <w:t>institucionales.</w:t>
      </w:r>
    </w:p>
    <w:p>
      <w:pPr>
        <w:pStyle w:val="BodyText"/>
        <w:rPr>
          <w:sz w:val="20"/>
        </w:rPr>
      </w:pPr>
    </w:p>
    <w:p>
      <w:pPr>
        <w:pStyle w:val="BodyText"/>
        <w:spacing w:before="7"/>
        <w:rPr>
          <w:sz w:val="18"/>
        </w:rPr>
      </w:pPr>
    </w:p>
    <w:p>
      <w:pPr>
        <w:pStyle w:val="Heading2"/>
        <w:ind w:left="119"/>
      </w:pPr>
      <w:r>
        <w:rPr>
          <w:color w:val="231F20"/>
          <w:w w:val="95"/>
        </w:rPr>
        <w:t>Reflexión final</w:t>
      </w:r>
    </w:p>
    <w:p>
      <w:pPr>
        <w:pStyle w:val="BodyText"/>
        <w:rPr>
          <w:b/>
          <w:sz w:val="22"/>
        </w:rPr>
      </w:pPr>
    </w:p>
    <w:p>
      <w:pPr>
        <w:pStyle w:val="BodyText"/>
        <w:spacing w:line="259" w:lineRule="auto" w:before="160"/>
        <w:ind w:left="119" w:right="109"/>
        <w:jc w:val="both"/>
      </w:pPr>
      <w:r>
        <w:rPr>
          <w:color w:val="231F20"/>
          <w:w w:val="105"/>
        </w:rPr>
        <w:t>El campo económico-administrativo se caracteriza por una</w:t>
      </w:r>
      <w:r>
        <w:rPr>
          <w:color w:val="231F20"/>
          <w:spacing w:val="-42"/>
          <w:w w:val="105"/>
        </w:rPr>
        <w:t> </w:t>
      </w:r>
      <w:r>
        <w:rPr>
          <w:color w:val="231F20"/>
          <w:w w:val="105"/>
        </w:rPr>
        <w:t>orientación filosófica positivista, simplificada, representativa de la realidad y de constante cambio: nada es absoluto en el tiempo para los sectores y </w:t>
      </w:r>
      <w:r>
        <w:rPr>
          <w:color w:val="231F20"/>
        </w:rPr>
        <w:t>las</w:t>
      </w:r>
      <w:r>
        <w:rPr>
          <w:color w:val="231F20"/>
          <w:spacing w:val="31"/>
        </w:rPr>
        <w:t> </w:t>
      </w:r>
      <w:r>
        <w:rPr>
          <w:color w:val="231F20"/>
        </w:rPr>
        <w:t>organizaciones.</w:t>
      </w:r>
    </w:p>
    <w:p>
      <w:pPr>
        <w:pStyle w:val="BodyText"/>
        <w:spacing w:line="259" w:lineRule="auto"/>
        <w:ind w:left="119" w:right="108" w:firstLine="567"/>
        <w:jc w:val="both"/>
      </w:pPr>
      <w:r>
        <w:rPr>
          <w:color w:val="231F20"/>
          <w:w w:val="105"/>
        </w:rPr>
        <w:t>En</w:t>
      </w:r>
      <w:r>
        <w:rPr>
          <w:color w:val="231F20"/>
          <w:spacing w:val="-19"/>
          <w:w w:val="105"/>
        </w:rPr>
        <w:t> </w:t>
      </w:r>
      <w:r>
        <w:rPr>
          <w:color w:val="231F20"/>
          <w:spacing w:val="-3"/>
          <w:w w:val="105"/>
        </w:rPr>
        <w:t>este</w:t>
      </w:r>
      <w:r>
        <w:rPr>
          <w:color w:val="231F20"/>
          <w:spacing w:val="-19"/>
          <w:w w:val="105"/>
        </w:rPr>
        <w:t> </w:t>
      </w:r>
      <w:r>
        <w:rPr>
          <w:color w:val="231F20"/>
          <w:spacing w:val="-3"/>
          <w:w w:val="105"/>
        </w:rPr>
        <w:t>capítulo</w:t>
      </w:r>
      <w:r>
        <w:rPr>
          <w:color w:val="231F20"/>
          <w:spacing w:val="-19"/>
          <w:w w:val="105"/>
        </w:rPr>
        <w:t> </w:t>
      </w:r>
      <w:r>
        <w:rPr>
          <w:color w:val="231F20"/>
          <w:w w:val="105"/>
        </w:rPr>
        <w:t>se</w:t>
      </w:r>
      <w:r>
        <w:rPr>
          <w:color w:val="231F20"/>
          <w:spacing w:val="-19"/>
          <w:w w:val="105"/>
        </w:rPr>
        <w:t> </w:t>
      </w:r>
      <w:r>
        <w:rPr>
          <w:color w:val="231F20"/>
          <w:spacing w:val="-3"/>
          <w:w w:val="105"/>
        </w:rPr>
        <w:t>propuso</w:t>
      </w:r>
      <w:r>
        <w:rPr>
          <w:color w:val="231F20"/>
          <w:spacing w:val="-19"/>
          <w:w w:val="105"/>
        </w:rPr>
        <w:t> </w:t>
      </w:r>
      <w:r>
        <w:rPr>
          <w:color w:val="231F20"/>
          <w:w w:val="105"/>
        </w:rPr>
        <w:t>una</w:t>
      </w:r>
      <w:r>
        <w:rPr>
          <w:color w:val="231F20"/>
          <w:spacing w:val="-19"/>
          <w:w w:val="105"/>
        </w:rPr>
        <w:t> </w:t>
      </w:r>
      <w:r>
        <w:rPr>
          <w:color w:val="231F20"/>
          <w:spacing w:val="-3"/>
          <w:w w:val="105"/>
        </w:rPr>
        <w:t>intersección</w:t>
      </w:r>
      <w:r>
        <w:rPr>
          <w:color w:val="231F20"/>
          <w:spacing w:val="-19"/>
          <w:w w:val="105"/>
        </w:rPr>
        <w:t> </w:t>
      </w:r>
      <w:r>
        <w:rPr>
          <w:color w:val="231F20"/>
          <w:spacing w:val="-3"/>
          <w:w w:val="105"/>
        </w:rPr>
        <w:t>entre</w:t>
      </w:r>
      <w:r>
        <w:rPr>
          <w:color w:val="231F20"/>
          <w:spacing w:val="-19"/>
          <w:w w:val="105"/>
        </w:rPr>
        <w:t> </w:t>
      </w:r>
      <w:r>
        <w:rPr>
          <w:color w:val="231F20"/>
          <w:spacing w:val="-3"/>
          <w:w w:val="105"/>
        </w:rPr>
        <w:t>economía</w:t>
      </w:r>
      <w:r>
        <w:rPr>
          <w:color w:val="231F20"/>
          <w:spacing w:val="-19"/>
          <w:w w:val="105"/>
        </w:rPr>
        <w:t> </w:t>
      </w:r>
      <w:r>
        <w:rPr>
          <w:color w:val="231F20"/>
          <w:w w:val="105"/>
        </w:rPr>
        <w:t>y</w:t>
      </w:r>
      <w:r>
        <w:rPr>
          <w:color w:val="231F20"/>
          <w:spacing w:val="-19"/>
          <w:w w:val="105"/>
        </w:rPr>
        <w:t> </w:t>
      </w:r>
      <w:r>
        <w:rPr>
          <w:color w:val="231F20"/>
          <w:w w:val="105"/>
        </w:rPr>
        <w:t>ad- </w:t>
      </w:r>
      <w:r>
        <w:rPr>
          <w:color w:val="231F20"/>
          <w:spacing w:val="-3"/>
          <w:w w:val="105"/>
        </w:rPr>
        <w:t>ministración</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spacing w:val="-3"/>
          <w:w w:val="105"/>
        </w:rPr>
        <w:t>rol</w:t>
      </w:r>
      <w:r>
        <w:rPr>
          <w:color w:val="231F20"/>
          <w:spacing w:val="-22"/>
          <w:w w:val="105"/>
        </w:rPr>
        <w:t> </w:t>
      </w:r>
      <w:r>
        <w:rPr>
          <w:color w:val="231F20"/>
          <w:spacing w:val="-3"/>
          <w:w w:val="105"/>
        </w:rPr>
        <w:t>institucional</w:t>
      </w:r>
      <w:r>
        <w:rPr>
          <w:color w:val="231F20"/>
          <w:spacing w:val="-22"/>
          <w:w w:val="105"/>
        </w:rPr>
        <w:t> </w:t>
      </w:r>
      <w:r>
        <w:rPr>
          <w:color w:val="231F20"/>
          <w:w w:val="105"/>
        </w:rPr>
        <w:t>del</w:t>
      </w:r>
      <w:r>
        <w:rPr>
          <w:color w:val="231F20"/>
          <w:spacing w:val="-22"/>
          <w:w w:val="105"/>
        </w:rPr>
        <w:t> </w:t>
      </w:r>
      <w:r>
        <w:rPr>
          <w:color w:val="231F20"/>
          <w:spacing w:val="-3"/>
          <w:w w:val="105"/>
        </w:rPr>
        <w:t>gobierno</w:t>
      </w:r>
      <w:r>
        <w:rPr>
          <w:color w:val="231F20"/>
          <w:spacing w:val="-22"/>
          <w:w w:val="105"/>
        </w:rPr>
        <w:t> </w:t>
      </w:r>
      <w:r>
        <w:rPr>
          <w:color w:val="231F20"/>
          <w:spacing w:val="-3"/>
          <w:w w:val="105"/>
        </w:rPr>
        <w:t>para</w:t>
      </w:r>
      <w:r>
        <w:rPr>
          <w:color w:val="231F20"/>
          <w:spacing w:val="-22"/>
          <w:w w:val="105"/>
        </w:rPr>
        <w:t> </w:t>
      </w:r>
      <w:r>
        <w:rPr>
          <w:color w:val="231F20"/>
          <w:w w:val="105"/>
        </w:rPr>
        <w:t>el</w:t>
      </w:r>
      <w:r>
        <w:rPr>
          <w:color w:val="231F20"/>
          <w:spacing w:val="-22"/>
          <w:w w:val="105"/>
        </w:rPr>
        <w:t> </w:t>
      </w:r>
      <w:r>
        <w:rPr>
          <w:color w:val="231F20"/>
          <w:spacing w:val="-3"/>
          <w:w w:val="105"/>
        </w:rPr>
        <w:t>manejo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posi- ción</w:t>
      </w:r>
      <w:r>
        <w:rPr>
          <w:color w:val="231F20"/>
          <w:spacing w:val="-21"/>
          <w:w w:val="105"/>
        </w:rPr>
        <w:t> </w:t>
      </w:r>
      <w:r>
        <w:rPr>
          <w:color w:val="231F20"/>
          <w:spacing w:val="-3"/>
          <w:w w:val="105"/>
        </w:rPr>
        <w:t>fiscal,</w:t>
      </w:r>
      <w:r>
        <w:rPr>
          <w:color w:val="231F20"/>
          <w:spacing w:val="-26"/>
          <w:w w:val="105"/>
        </w:rPr>
        <w:t> </w:t>
      </w:r>
      <w:r>
        <w:rPr>
          <w:color w:val="231F20"/>
          <w:spacing w:val="-3"/>
          <w:w w:val="105"/>
        </w:rPr>
        <w:t>basado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spacing w:val="-3"/>
          <w:w w:val="105"/>
        </w:rPr>
        <w:t>establecimiento</w:t>
      </w:r>
      <w:r>
        <w:rPr>
          <w:color w:val="231F20"/>
          <w:spacing w:val="-21"/>
          <w:w w:val="105"/>
        </w:rPr>
        <w:t> </w:t>
      </w:r>
      <w:r>
        <w:rPr>
          <w:color w:val="231F20"/>
          <w:w w:val="105"/>
        </w:rPr>
        <w:t>de</w:t>
      </w:r>
      <w:r>
        <w:rPr>
          <w:color w:val="231F20"/>
          <w:spacing w:val="-21"/>
          <w:w w:val="105"/>
        </w:rPr>
        <w:t> </w:t>
      </w:r>
      <w:r>
        <w:rPr>
          <w:color w:val="231F20"/>
          <w:spacing w:val="-3"/>
          <w:w w:val="105"/>
        </w:rPr>
        <w:t>reglas</w:t>
      </w:r>
      <w:r>
        <w:rPr>
          <w:color w:val="231F20"/>
          <w:spacing w:val="-21"/>
          <w:w w:val="105"/>
        </w:rPr>
        <w:t> </w:t>
      </w:r>
      <w:r>
        <w:rPr>
          <w:color w:val="231F20"/>
          <w:spacing w:val="-3"/>
          <w:w w:val="105"/>
        </w:rPr>
        <w:t>fiscales</w:t>
      </w:r>
      <w:r>
        <w:rPr>
          <w:color w:val="231F20"/>
          <w:spacing w:val="-21"/>
          <w:w w:val="105"/>
        </w:rPr>
        <w:t> </w:t>
      </w:r>
      <w:r>
        <w:rPr>
          <w:color w:val="231F20"/>
          <w:spacing w:val="-3"/>
          <w:w w:val="105"/>
        </w:rPr>
        <w:t>como</w:t>
      </w:r>
      <w:r>
        <w:rPr>
          <w:color w:val="231F20"/>
          <w:spacing w:val="-21"/>
          <w:w w:val="105"/>
        </w:rPr>
        <w:t> </w:t>
      </w:r>
      <w:r>
        <w:rPr>
          <w:color w:val="231F20"/>
          <w:spacing w:val="-4"/>
          <w:w w:val="105"/>
        </w:rPr>
        <w:t>arreglos </w:t>
      </w:r>
      <w:r>
        <w:rPr>
          <w:color w:val="231F20"/>
          <w:spacing w:val="-3"/>
          <w:w w:val="105"/>
        </w:rPr>
        <w:t>institucionales</w:t>
      </w:r>
      <w:r>
        <w:rPr>
          <w:color w:val="231F20"/>
          <w:spacing w:val="-11"/>
          <w:w w:val="105"/>
        </w:rPr>
        <w:t> </w:t>
      </w:r>
      <w:r>
        <w:rPr>
          <w:color w:val="231F20"/>
          <w:w w:val="105"/>
        </w:rPr>
        <w:t>que</w:t>
      </w:r>
      <w:r>
        <w:rPr>
          <w:color w:val="231F20"/>
          <w:spacing w:val="-11"/>
          <w:w w:val="105"/>
        </w:rPr>
        <w:t> </w:t>
      </w:r>
      <w:r>
        <w:rPr>
          <w:color w:val="231F20"/>
          <w:spacing w:val="-3"/>
          <w:w w:val="105"/>
        </w:rPr>
        <w:t>permitan</w:t>
      </w:r>
      <w:r>
        <w:rPr>
          <w:color w:val="231F20"/>
          <w:spacing w:val="-11"/>
          <w:w w:val="105"/>
        </w:rPr>
        <w:t> </w:t>
      </w:r>
      <w:r>
        <w:rPr>
          <w:color w:val="231F20"/>
          <w:w w:val="105"/>
        </w:rPr>
        <w:t>una</w:t>
      </w:r>
      <w:r>
        <w:rPr>
          <w:color w:val="231F20"/>
          <w:spacing w:val="-11"/>
          <w:w w:val="105"/>
        </w:rPr>
        <w:t> </w:t>
      </w:r>
      <w:r>
        <w:rPr>
          <w:color w:val="231F20"/>
          <w:spacing w:val="-3"/>
          <w:w w:val="105"/>
        </w:rPr>
        <w:t>mejor</w:t>
      </w:r>
      <w:r>
        <w:rPr>
          <w:color w:val="231F20"/>
          <w:spacing w:val="-11"/>
          <w:w w:val="105"/>
        </w:rPr>
        <w:t> </w:t>
      </w:r>
      <w:r>
        <w:rPr>
          <w:color w:val="231F20"/>
          <w:spacing w:val="-3"/>
          <w:w w:val="105"/>
        </w:rPr>
        <w:t>asignación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spacing w:val="-3"/>
          <w:w w:val="105"/>
        </w:rPr>
        <w:t>ingresos</w:t>
      </w:r>
      <w:r>
        <w:rPr>
          <w:color w:val="231F20"/>
          <w:spacing w:val="-11"/>
          <w:w w:val="105"/>
        </w:rPr>
        <w:t> </w:t>
      </w:r>
      <w:r>
        <w:rPr>
          <w:color w:val="231F20"/>
          <w:w w:val="105"/>
        </w:rPr>
        <w:t>fisca- les de un recurso natural en relación con el gasto público, resultados fiscales</w:t>
      </w:r>
      <w:r>
        <w:rPr>
          <w:color w:val="231F20"/>
          <w:spacing w:val="-25"/>
          <w:w w:val="105"/>
        </w:rPr>
        <w:t> </w:t>
      </w:r>
      <w:r>
        <w:rPr>
          <w:color w:val="231F20"/>
          <w:w w:val="105"/>
        </w:rPr>
        <w:t>y</w:t>
      </w:r>
      <w:r>
        <w:rPr>
          <w:color w:val="231F20"/>
          <w:spacing w:val="-25"/>
          <w:w w:val="105"/>
        </w:rPr>
        <w:t> </w:t>
      </w:r>
      <w:r>
        <w:rPr>
          <w:color w:val="231F20"/>
          <w:spacing w:val="-3"/>
          <w:w w:val="105"/>
        </w:rPr>
        <w:t>deuda</w:t>
      </w:r>
      <w:r>
        <w:rPr>
          <w:color w:val="231F20"/>
          <w:spacing w:val="-25"/>
          <w:w w:val="105"/>
        </w:rPr>
        <w:t> </w:t>
      </w:r>
      <w:r>
        <w:rPr>
          <w:color w:val="231F20"/>
          <w:spacing w:val="-3"/>
          <w:w w:val="105"/>
        </w:rPr>
        <w:t>pública.</w:t>
      </w:r>
      <w:r>
        <w:rPr>
          <w:color w:val="231F20"/>
          <w:spacing w:val="-30"/>
          <w:w w:val="105"/>
        </w:rPr>
        <w:t> </w:t>
      </w:r>
      <w:r>
        <w:rPr>
          <w:color w:val="231F20"/>
          <w:spacing w:val="-5"/>
          <w:w w:val="105"/>
        </w:rPr>
        <w:t>Frente</w:t>
      </w:r>
      <w:r>
        <w:rPr>
          <w:color w:val="231F20"/>
          <w:spacing w:val="-25"/>
          <w:w w:val="105"/>
        </w:rPr>
        <w:t> </w:t>
      </w:r>
      <w:r>
        <w:rPr>
          <w:color w:val="231F20"/>
          <w:w w:val="105"/>
        </w:rPr>
        <w:t>a</w:t>
      </w:r>
      <w:r>
        <w:rPr>
          <w:color w:val="231F20"/>
          <w:spacing w:val="-25"/>
          <w:w w:val="105"/>
        </w:rPr>
        <w:t> </w:t>
      </w:r>
      <w:r>
        <w:rPr>
          <w:color w:val="231F20"/>
          <w:w w:val="105"/>
        </w:rPr>
        <w:t>lo</w:t>
      </w:r>
      <w:r>
        <w:rPr>
          <w:color w:val="231F20"/>
          <w:spacing w:val="-25"/>
          <w:w w:val="105"/>
        </w:rPr>
        <w:t> </w:t>
      </w:r>
      <w:r>
        <w:rPr>
          <w:color w:val="231F20"/>
          <w:spacing w:val="-4"/>
          <w:w w:val="105"/>
        </w:rPr>
        <w:t>anterior,</w:t>
      </w:r>
      <w:r>
        <w:rPr>
          <w:color w:val="231F20"/>
          <w:spacing w:val="-30"/>
          <w:w w:val="105"/>
        </w:rPr>
        <w:t> </w:t>
      </w:r>
      <w:r>
        <w:rPr>
          <w:color w:val="231F20"/>
          <w:w w:val="105"/>
        </w:rPr>
        <w:t>se</w:t>
      </w:r>
      <w:r>
        <w:rPr>
          <w:color w:val="231F20"/>
          <w:spacing w:val="-25"/>
          <w:w w:val="105"/>
        </w:rPr>
        <w:t> </w:t>
      </w:r>
      <w:r>
        <w:rPr>
          <w:color w:val="231F20"/>
          <w:spacing w:val="-4"/>
          <w:w w:val="105"/>
        </w:rPr>
        <w:t>plantearon</w:t>
      </w:r>
      <w:r>
        <w:rPr>
          <w:color w:val="231F20"/>
          <w:spacing w:val="-25"/>
          <w:w w:val="105"/>
        </w:rPr>
        <w:t> </w:t>
      </w:r>
      <w:r>
        <w:rPr>
          <w:color w:val="231F20"/>
          <w:w w:val="105"/>
        </w:rPr>
        <w:t>dos</w:t>
      </w:r>
      <w:r>
        <w:rPr>
          <w:color w:val="231F20"/>
          <w:spacing w:val="-25"/>
          <w:w w:val="105"/>
        </w:rPr>
        <w:t> </w:t>
      </w:r>
      <w:r>
        <w:rPr>
          <w:color w:val="231F20"/>
          <w:spacing w:val="-4"/>
          <w:w w:val="105"/>
        </w:rPr>
        <w:t>preguntas </w:t>
      </w:r>
      <w:r>
        <w:rPr>
          <w:color w:val="231F20"/>
          <w:spacing w:val="-3"/>
          <w:w w:val="105"/>
        </w:rPr>
        <w:t>relacionadas:</w:t>
      </w:r>
      <w:r>
        <w:rPr>
          <w:color w:val="231F20"/>
          <w:spacing w:val="-12"/>
          <w:w w:val="105"/>
        </w:rPr>
        <w:t> </w:t>
      </w:r>
      <w:r>
        <w:rPr>
          <w:color w:val="231F20"/>
          <w:w w:val="105"/>
        </w:rPr>
        <w:t>el</w:t>
      </w:r>
      <w:r>
        <w:rPr>
          <w:color w:val="231F20"/>
          <w:spacing w:val="-12"/>
          <w:w w:val="105"/>
        </w:rPr>
        <w:t> </w:t>
      </w:r>
      <w:r>
        <w:rPr>
          <w:color w:val="231F20"/>
          <w:spacing w:val="-3"/>
          <w:w w:val="105"/>
        </w:rPr>
        <w:t>rol</w:t>
      </w:r>
      <w:r>
        <w:rPr>
          <w:color w:val="231F20"/>
          <w:spacing w:val="-12"/>
          <w:w w:val="105"/>
        </w:rPr>
        <w:t> </w:t>
      </w:r>
      <w:r>
        <w:rPr>
          <w:color w:val="231F20"/>
          <w:spacing w:val="-3"/>
          <w:w w:val="105"/>
        </w:rPr>
        <w:t>institucional</w:t>
      </w:r>
      <w:r>
        <w:rPr>
          <w:color w:val="231F20"/>
          <w:spacing w:val="-12"/>
          <w:w w:val="105"/>
        </w:rPr>
        <w:t> </w:t>
      </w:r>
      <w:r>
        <w:rPr>
          <w:color w:val="231F20"/>
          <w:w w:val="105"/>
        </w:rPr>
        <w:t>del</w:t>
      </w:r>
      <w:r>
        <w:rPr>
          <w:color w:val="231F20"/>
          <w:spacing w:val="-12"/>
          <w:w w:val="105"/>
        </w:rPr>
        <w:t> </w:t>
      </w:r>
      <w:r>
        <w:rPr>
          <w:color w:val="231F20"/>
          <w:spacing w:val="-3"/>
          <w:w w:val="105"/>
        </w:rPr>
        <w:t>gobierno</w:t>
      </w:r>
      <w:r>
        <w:rPr>
          <w:color w:val="231F20"/>
          <w:spacing w:val="-12"/>
          <w:w w:val="105"/>
        </w:rPr>
        <w:t> </w:t>
      </w:r>
      <w:r>
        <w:rPr>
          <w:color w:val="231F20"/>
          <w:w w:val="105"/>
        </w:rPr>
        <w:t>en</w:t>
      </w:r>
      <w:r>
        <w:rPr>
          <w:color w:val="231F20"/>
          <w:spacing w:val="-12"/>
          <w:w w:val="105"/>
        </w:rPr>
        <w:t> </w:t>
      </w:r>
      <w:r>
        <w:rPr>
          <w:color w:val="231F20"/>
          <w:spacing w:val="-3"/>
          <w:w w:val="105"/>
        </w:rPr>
        <w:t>países</w:t>
      </w:r>
      <w:r>
        <w:rPr>
          <w:color w:val="231F20"/>
          <w:spacing w:val="-12"/>
          <w:w w:val="105"/>
        </w:rPr>
        <w:t> </w:t>
      </w:r>
      <w:r>
        <w:rPr>
          <w:color w:val="231F20"/>
          <w:spacing w:val="-3"/>
          <w:w w:val="105"/>
        </w:rPr>
        <w:t>dependientes</w:t>
      </w:r>
      <w:r>
        <w:rPr>
          <w:color w:val="231F20"/>
          <w:spacing w:val="-12"/>
          <w:w w:val="105"/>
        </w:rPr>
        <w:t> </w:t>
      </w:r>
      <w:r>
        <w:rPr>
          <w:color w:val="231F20"/>
          <w:spacing w:val="-3"/>
          <w:w w:val="105"/>
        </w:rPr>
        <w:t>de recursos</w:t>
      </w:r>
      <w:r>
        <w:rPr>
          <w:color w:val="231F20"/>
          <w:spacing w:val="-25"/>
          <w:w w:val="105"/>
        </w:rPr>
        <w:t> </w:t>
      </w:r>
      <w:r>
        <w:rPr>
          <w:color w:val="231F20"/>
          <w:spacing w:val="-4"/>
          <w:w w:val="105"/>
        </w:rPr>
        <w:t>naturales</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spacing w:val="-3"/>
          <w:w w:val="105"/>
        </w:rPr>
        <w:t>significancia</w:t>
      </w:r>
      <w:r>
        <w:rPr>
          <w:color w:val="231F20"/>
          <w:spacing w:val="-25"/>
          <w:w w:val="105"/>
        </w:rPr>
        <w:t> </w:t>
      </w:r>
      <w:r>
        <w:rPr>
          <w:color w:val="231F20"/>
          <w:w w:val="105"/>
        </w:rPr>
        <w:t>de</w:t>
      </w:r>
      <w:r>
        <w:rPr>
          <w:color w:val="231F20"/>
          <w:spacing w:val="-25"/>
          <w:w w:val="105"/>
        </w:rPr>
        <w:t> </w:t>
      </w:r>
      <w:r>
        <w:rPr>
          <w:color w:val="231F20"/>
          <w:spacing w:val="-3"/>
          <w:w w:val="105"/>
        </w:rPr>
        <w:t>implementar</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spacing w:val="-3"/>
          <w:w w:val="105"/>
        </w:rPr>
        <w:t>regla</w:t>
      </w:r>
      <w:r>
        <w:rPr>
          <w:color w:val="231F20"/>
          <w:spacing w:val="-25"/>
          <w:w w:val="105"/>
        </w:rPr>
        <w:t> </w:t>
      </w:r>
      <w:r>
        <w:rPr>
          <w:color w:val="231F20"/>
          <w:spacing w:val="-3"/>
          <w:w w:val="105"/>
        </w:rPr>
        <w:t>fiscal.</w:t>
      </w:r>
    </w:p>
    <w:p>
      <w:pPr>
        <w:pStyle w:val="BodyText"/>
        <w:spacing w:line="259" w:lineRule="auto"/>
        <w:ind w:left="119" w:right="109" w:firstLine="567"/>
        <w:jc w:val="both"/>
      </w:pPr>
      <w:r>
        <w:rPr>
          <w:color w:val="231F20"/>
          <w:spacing w:val="-6"/>
          <w:w w:val="105"/>
        </w:rPr>
        <w:t>Por </w:t>
      </w:r>
      <w:r>
        <w:rPr>
          <w:color w:val="231F20"/>
          <w:w w:val="105"/>
        </w:rPr>
        <w:t>el lado de la economía se fundamentan las posturas</w:t>
      </w:r>
      <w:r>
        <w:rPr>
          <w:color w:val="231F20"/>
          <w:spacing w:val="-19"/>
          <w:w w:val="105"/>
        </w:rPr>
        <w:t> </w:t>
      </w:r>
      <w:r>
        <w:rPr>
          <w:color w:val="231F20"/>
          <w:w w:val="105"/>
        </w:rPr>
        <w:t>neoclá- sica</w:t>
      </w:r>
      <w:r>
        <w:rPr>
          <w:color w:val="231F20"/>
          <w:spacing w:val="-18"/>
          <w:w w:val="105"/>
        </w:rPr>
        <w:t> </w:t>
      </w:r>
      <w:r>
        <w:rPr>
          <w:color w:val="231F20"/>
          <w:w w:val="105"/>
        </w:rPr>
        <w:t>y</w:t>
      </w:r>
      <w:r>
        <w:rPr>
          <w:color w:val="231F20"/>
          <w:spacing w:val="-18"/>
          <w:w w:val="105"/>
        </w:rPr>
        <w:t> </w:t>
      </w:r>
      <w:r>
        <w:rPr>
          <w:color w:val="231F20"/>
          <w:w w:val="105"/>
        </w:rPr>
        <w:t>keynesiana,</w:t>
      </w:r>
      <w:r>
        <w:rPr>
          <w:color w:val="231F20"/>
          <w:spacing w:val="-23"/>
          <w:w w:val="105"/>
        </w:rPr>
        <w:t> </w:t>
      </w:r>
      <w:r>
        <w:rPr>
          <w:color w:val="231F20"/>
          <w:w w:val="105"/>
        </w:rPr>
        <w:t>cuyos</w:t>
      </w:r>
      <w:r>
        <w:rPr>
          <w:color w:val="231F20"/>
          <w:spacing w:val="-18"/>
          <w:w w:val="105"/>
        </w:rPr>
        <w:t> </w:t>
      </w:r>
      <w:r>
        <w:rPr>
          <w:color w:val="231F20"/>
          <w:w w:val="105"/>
        </w:rPr>
        <w:t>enfoques</w:t>
      </w:r>
      <w:r>
        <w:rPr>
          <w:color w:val="231F20"/>
          <w:spacing w:val="-18"/>
          <w:w w:val="105"/>
        </w:rPr>
        <w:t> </w:t>
      </w:r>
      <w:r>
        <w:rPr>
          <w:color w:val="231F20"/>
          <w:w w:val="105"/>
        </w:rPr>
        <w:t>sugieren</w:t>
      </w:r>
      <w:r>
        <w:rPr>
          <w:color w:val="231F20"/>
          <w:spacing w:val="-18"/>
          <w:w w:val="105"/>
        </w:rPr>
        <w:t> </w:t>
      </w:r>
      <w:r>
        <w:rPr>
          <w:color w:val="231F20"/>
          <w:w w:val="105"/>
        </w:rPr>
        <w:t>cómo</w:t>
      </w:r>
      <w:r>
        <w:rPr>
          <w:color w:val="231F20"/>
          <w:spacing w:val="-18"/>
          <w:w w:val="105"/>
        </w:rPr>
        <w:t> </w:t>
      </w:r>
      <w:r>
        <w:rPr>
          <w:color w:val="231F20"/>
          <w:w w:val="105"/>
        </w:rPr>
        <w:t>debe</w:t>
      </w:r>
      <w:r>
        <w:rPr>
          <w:color w:val="231F20"/>
          <w:spacing w:val="-18"/>
          <w:w w:val="105"/>
        </w:rPr>
        <w:t> </w:t>
      </w:r>
      <w:r>
        <w:rPr>
          <w:color w:val="231F20"/>
          <w:w w:val="105"/>
        </w:rPr>
        <w:t>comportarse</w:t>
      </w:r>
      <w:r>
        <w:rPr>
          <w:color w:val="231F20"/>
          <w:spacing w:val="-18"/>
          <w:w w:val="105"/>
        </w:rPr>
        <w:t> </w:t>
      </w:r>
      <w:r>
        <w:rPr>
          <w:color w:val="231F20"/>
          <w:w w:val="105"/>
        </w:rPr>
        <w:t>el gasto público frente a los ingresos del recurso natural y cómo dichos ingresos</w:t>
      </w:r>
      <w:r>
        <w:rPr>
          <w:color w:val="231F20"/>
          <w:spacing w:val="-23"/>
          <w:w w:val="105"/>
        </w:rPr>
        <w:t> </w:t>
      </w:r>
      <w:r>
        <w:rPr>
          <w:color w:val="231F20"/>
          <w:w w:val="105"/>
        </w:rPr>
        <w:t>deben</w:t>
      </w:r>
      <w:r>
        <w:rPr>
          <w:color w:val="231F20"/>
          <w:spacing w:val="-23"/>
          <w:w w:val="105"/>
        </w:rPr>
        <w:t> </w:t>
      </w:r>
      <w:r>
        <w:rPr>
          <w:color w:val="231F20"/>
          <w:w w:val="105"/>
        </w:rPr>
        <w:t>ser</w:t>
      </w:r>
      <w:r>
        <w:rPr>
          <w:color w:val="231F20"/>
          <w:spacing w:val="-23"/>
          <w:w w:val="105"/>
        </w:rPr>
        <w:t> </w:t>
      </w:r>
      <w:r>
        <w:rPr>
          <w:color w:val="231F20"/>
          <w:w w:val="105"/>
        </w:rPr>
        <w:t>administrados.</w:t>
      </w:r>
    </w:p>
    <w:p>
      <w:pPr>
        <w:pStyle w:val="BodyText"/>
        <w:spacing w:line="259" w:lineRule="auto"/>
        <w:ind w:left="119" w:right="109" w:firstLine="567"/>
        <w:jc w:val="both"/>
      </w:pPr>
      <w:r>
        <w:rPr>
          <w:color w:val="231F20"/>
          <w:w w:val="105"/>
        </w:rPr>
        <w:t>En el terreno de la administración se justifica por qué las institu- ciones</w:t>
      </w:r>
      <w:r>
        <w:rPr>
          <w:color w:val="231F20"/>
          <w:spacing w:val="-13"/>
          <w:w w:val="105"/>
        </w:rPr>
        <w:t> </w:t>
      </w:r>
      <w:r>
        <w:rPr>
          <w:color w:val="231F20"/>
          <w:w w:val="105"/>
        </w:rPr>
        <w:t>son</w:t>
      </w:r>
      <w:r>
        <w:rPr>
          <w:color w:val="231F20"/>
          <w:spacing w:val="-13"/>
          <w:w w:val="105"/>
        </w:rPr>
        <w:t> </w:t>
      </w:r>
      <w:r>
        <w:rPr>
          <w:color w:val="231F20"/>
          <w:w w:val="105"/>
        </w:rPr>
        <w:t>importantes</w:t>
      </w:r>
      <w:r>
        <w:rPr>
          <w:color w:val="231F20"/>
          <w:spacing w:val="-13"/>
          <w:w w:val="105"/>
        </w:rPr>
        <w:t> </w:t>
      </w:r>
      <w:r>
        <w:rPr>
          <w:color w:val="231F20"/>
          <w:w w:val="105"/>
        </w:rPr>
        <w:t>frente</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dependencia</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recurso</w:t>
      </w:r>
      <w:r>
        <w:rPr>
          <w:color w:val="231F20"/>
          <w:spacing w:val="-13"/>
          <w:w w:val="105"/>
        </w:rPr>
        <w:t> </w:t>
      </w:r>
      <w:r>
        <w:rPr>
          <w:color w:val="231F20"/>
          <w:w w:val="105"/>
        </w:rPr>
        <w:t>natural</w:t>
      </w:r>
      <w:r>
        <w:rPr>
          <w:color w:val="231F20"/>
          <w:spacing w:val="-13"/>
          <w:w w:val="105"/>
        </w:rPr>
        <w:t> </w:t>
      </w:r>
      <w:r>
        <w:rPr>
          <w:color w:val="231F20"/>
          <w:w w:val="105"/>
        </w:rPr>
        <w:t>y la</w:t>
      </w:r>
      <w:r>
        <w:rPr>
          <w:color w:val="231F20"/>
          <w:spacing w:val="-11"/>
          <w:w w:val="105"/>
        </w:rPr>
        <w:t> </w:t>
      </w:r>
      <w:r>
        <w:rPr>
          <w:color w:val="231F20"/>
          <w:w w:val="105"/>
        </w:rPr>
        <w:t>justificación</w:t>
      </w:r>
      <w:r>
        <w:rPr>
          <w:color w:val="231F20"/>
          <w:spacing w:val="-11"/>
          <w:w w:val="105"/>
        </w:rPr>
        <w:t> </w:t>
      </w:r>
      <w:r>
        <w:rPr>
          <w:color w:val="231F20"/>
          <w:w w:val="105"/>
        </w:rPr>
        <w:t>institucional</w:t>
      </w:r>
      <w:r>
        <w:rPr>
          <w:color w:val="231F20"/>
          <w:spacing w:val="-11"/>
          <w:w w:val="105"/>
        </w:rPr>
        <w:t> </w:t>
      </w:r>
      <w:r>
        <w:rPr>
          <w:color w:val="231F20"/>
          <w:w w:val="105"/>
        </w:rPr>
        <w:t>para</w:t>
      </w:r>
      <w:r>
        <w:rPr>
          <w:color w:val="231F20"/>
          <w:spacing w:val="-11"/>
          <w:w w:val="105"/>
        </w:rPr>
        <w:t> </w:t>
      </w:r>
      <w:r>
        <w:rPr>
          <w:color w:val="231F20"/>
          <w:w w:val="105"/>
        </w:rPr>
        <w:t>implementar</w:t>
      </w:r>
      <w:r>
        <w:rPr>
          <w:color w:val="231F20"/>
          <w:spacing w:val="-11"/>
          <w:w w:val="105"/>
        </w:rPr>
        <w:t> </w:t>
      </w:r>
      <w:r>
        <w:rPr>
          <w:color w:val="231F20"/>
          <w:w w:val="105"/>
        </w:rPr>
        <w:t>una</w:t>
      </w:r>
      <w:r>
        <w:rPr>
          <w:color w:val="231F20"/>
          <w:spacing w:val="-11"/>
          <w:w w:val="105"/>
        </w:rPr>
        <w:t> </w:t>
      </w:r>
      <w:r>
        <w:rPr>
          <w:color w:val="231F20"/>
          <w:w w:val="105"/>
        </w:rPr>
        <w:t>regla</w:t>
      </w:r>
      <w:r>
        <w:rPr>
          <w:color w:val="231F20"/>
          <w:spacing w:val="-11"/>
          <w:w w:val="105"/>
        </w:rPr>
        <w:t> </w:t>
      </w:r>
      <w:r>
        <w:rPr>
          <w:color w:val="231F20"/>
          <w:w w:val="105"/>
        </w:rPr>
        <w:t>fiscal,</w:t>
      </w:r>
      <w:r>
        <w:rPr>
          <w:color w:val="231F20"/>
          <w:spacing w:val="-17"/>
          <w:w w:val="105"/>
        </w:rPr>
        <w:t> </w:t>
      </w:r>
      <w:r>
        <w:rPr>
          <w:color w:val="231F20"/>
          <w:w w:val="105"/>
        </w:rPr>
        <w:t>con</w:t>
      </w:r>
      <w:r>
        <w:rPr>
          <w:color w:val="231F20"/>
          <w:spacing w:val="-11"/>
          <w:w w:val="105"/>
        </w:rPr>
        <w:t> </w:t>
      </w:r>
      <w:r>
        <w:rPr>
          <w:color w:val="231F20"/>
          <w:w w:val="105"/>
        </w:rPr>
        <w:t>base en el problema de agentes y principales (minimizar el oportunismo</w:t>
      </w:r>
      <w:r>
        <w:rPr>
          <w:color w:val="231F20"/>
          <w:spacing w:val="-21"/>
          <w:w w:val="105"/>
        </w:rPr>
        <w:t> </w:t>
      </w:r>
      <w:r>
        <w:rPr>
          <w:color w:val="231F20"/>
          <w:w w:val="105"/>
        </w:rPr>
        <w:t>del gobierno)</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teoría</w:t>
      </w:r>
      <w:r>
        <w:rPr>
          <w:color w:val="231F20"/>
          <w:spacing w:val="-7"/>
          <w:w w:val="105"/>
        </w:rPr>
        <w:t> </w:t>
      </w:r>
      <w:r>
        <w:rPr>
          <w:color w:val="231F20"/>
          <w:w w:val="105"/>
        </w:rPr>
        <w:t>de</w:t>
      </w:r>
      <w:r>
        <w:rPr>
          <w:color w:val="231F20"/>
          <w:spacing w:val="-7"/>
          <w:w w:val="105"/>
        </w:rPr>
        <w:t> </w:t>
      </w:r>
      <w:r>
        <w:rPr>
          <w:color w:val="231F20"/>
          <w:w w:val="105"/>
        </w:rPr>
        <w:t>CTE</w:t>
      </w:r>
      <w:r>
        <w:rPr>
          <w:color w:val="231F20"/>
          <w:spacing w:val="-7"/>
          <w:w w:val="105"/>
        </w:rPr>
        <w:t> </w:t>
      </w:r>
      <w:r>
        <w:rPr>
          <w:color w:val="231F20"/>
          <w:w w:val="105"/>
        </w:rPr>
        <w:t>(el</w:t>
      </w:r>
      <w:r>
        <w:rPr>
          <w:color w:val="231F20"/>
          <w:spacing w:val="-7"/>
          <w:w w:val="105"/>
        </w:rPr>
        <w:t> </w:t>
      </w:r>
      <w:r>
        <w:rPr>
          <w:color w:val="231F20"/>
          <w:w w:val="105"/>
        </w:rPr>
        <w:t>estado</w:t>
      </w:r>
      <w:r>
        <w:rPr>
          <w:color w:val="231F20"/>
          <w:spacing w:val="-7"/>
          <w:w w:val="105"/>
        </w:rPr>
        <w:t> </w:t>
      </w:r>
      <w:r>
        <w:rPr>
          <w:color w:val="231F20"/>
          <w:w w:val="105"/>
        </w:rPr>
        <w:t>como</w:t>
      </w:r>
      <w:r>
        <w:rPr>
          <w:color w:val="231F20"/>
          <w:spacing w:val="-7"/>
          <w:w w:val="105"/>
        </w:rPr>
        <w:t> </w:t>
      </w:r>
      <w:r>
        <w:rPr>
          <w:color w:val="231F20"/>
          <w:w w:val="105"/>
        </w:rPr>
        <w:t>organización</w:t>
      </w:r>
      <w:r>
        <w:rPr>
          <w:color w:val="231F20"/>
          <w:spacing w:val="-7"/>
          <w:w w:val="105"/>
        </w:rPr>
        <w:t> </w:t>
      </w:r>
      <w:r>
        <w:rPr>
          <w:color w:val="231F20"/>
          <w:w w:val="105"/>
        </w:rPr>
        <w:t>eficiente</w:t>
      </w:r>
      <w:r>
        <w:rPr>
          <w:color w:val="231F20"/>
          <w:spacing w:val="-7"/>
          <w:w w:val="105"/>
        </w:rPr>
        <w:t> </w:t>
      </w:r>
      <w:r>
        <w:rPr>
          <w:color w:val="231F20"/>
          <w:w w:val="105"/>
        </w:rPr>
        <w:t>de recursos).</w:t>
      </w:r>
      <w:r>
        <w:rPr>
          <w:color w:val="231F20"/>
          <w:spacing w:val="-15"/>
          <w:w w:val="105"/>
        </w:rPr>
        <w:t> </w:t>
      </w:r>
      <w:r>
        <w:rPr>
          <w:color w:val="231F20"/>
          <w:w w:val="105"/>
        </w:rPr>
        <w:t>Desde</w:t>
      </w:r>
      <w:r>
        <w:rPr>
          <w:color w:val="231F20"/>
          <w:spacing w:val="-10"/>
          <w:w w:val="105"/>
        </w:rPr>
        <w:t> </w:t>
      </w:r>
      <w:r>
        <w:rPr>
          <w:color w:val="231F20"/>
          <w:w w:val="105"/>
        </w:rPr>
        <w:t>el</w:t>
      </w:r>
      <w:r>
        <w:rPr>
          <w:color w:val="231F20"/>
          <w:spacing w:val="-10"/>
          <w:w w:val="105"/>
        </w:rPr>
        <w:t> </w:t>
      </w:r>
      <w:r>
        <w:rPr>
          <w:color w:val="231F20"/>
          <w:w w:val="105"/>
        </w:rPr>
        <w:t>punto</w:t>
      </w:r>
      <w:r>
        <w:rPr>
          <w:color w:val="231F20"/>
          <w:spacing w:val="-10"/>
          <w:w w:val="105"/>
        </w:rPr>
        <w:t> </w:t>
      </w:r>
      <w:r>
        <w:rPr>
          <w:color w:val="231F20"/>
          <w:w w:val="105"/>
        </w:rPr>
        <w:t>de</w:t>
      </w:r>
      <w:r>
        <w:rPr>
          <w:color w:val="231F20"/>
          <w:spacing w:val="-10"/>
          <w:w w:val="105"/>
        </w:rPr>
        <w:t> </w:t>
      </w:r>
      <w:r>
        <w:rPr>
          <w:color w:val="231F20"/>
          <w:w w:val="105"/>
        </w:rPr>
        <w:t>vista</w:t>
      </w:r>
      <w:r>
        <w:rPr>
          <w:color w:val="231F20"/>
          <w:spacing w:val="-10"/>
          <w:w w:val="105"/>
        </w:rPr>
        <w:t> </w:t>
      </w:r>
      <w:r>
        <w:rPr>
          <w:color w:val="231F20"/>
          <w:w w:val="105"/>
        </w:rPr>
        <w:t>teórico</w:t>
      </w:r>
      <w:r>
        <w:rPr>
          <w:color w:val="231F20"/>
          <w:spacing w:val="-10"/>
          <w:w w:val="105"/>
        </w:rPr>
        <w:t> </w:t>
      </w:r>
      <w:r>
        <w:rPr>
          <w:color w:val="231F20"/>
          <w:w w:val="105"/>
        </w:rPr>
        <w:t>y</w:t>
      </w:r>
      <w:r>
        <w:rPr>
          <w:color w:val="231F20"/>
          <w:spacing w:val="-10"/>
          <w:w w:val="105"/>
        </w:rPr>
        <w:t> </w:t>
      </w:r>
      <w:r>
        <w:rPr>
          <w:color w:val="231F20"/>
          <w:w w:val="105"/>
        </w:rPr>
        <w:t>práctico,</w:t>
      </w:r>
      <w:r>
        <w:rPr>
          <w:color w:val="231F20"/>
          <w:spacing w:val="-15"/>
          <w:w w:val="105"/>
        </w:rPr>
        <w:t> </w:t>
      </w:r>
      <w:r>
        <w:rPr>
          <w:color w:val="231F20"/>
          <w:w w:val="105"/>
        </w:rPr>
        <w:t>las</w:t>
      </w:r>
      <w:r>
        <w:rPr>
          <w:color w:val="231F20"/>
          <w:spacing w:val="-10"/>
          <w:w w:val="105"/>
        </w:rPr>
        <w:t> </w:t>
      </w:r>
      <w:r>
        <w:rPr>
          <w:color w:val="231F20"/>
          <w:w w:val="105"/>
        </w:rPr>
        <w:t>reglas</w:t>
      </w:r>
      <w:r>
        <w:rPr>
          <w:color w:val="231F20"/>
          <w:spacing w:val="-10"/>
          <w:w w:val="105"/>
        </w:rPr>
        <w:t> </w:t>
      </w:r>
      <w:r>
        <w:rPr>
          <w:color w:val="231F20"/>
          <w:w w:val="105"/>
        </w:rPr>
        <w:t>fiscales reducen</w:t>
      </w:r>
      <w:r>
        <w:rPr>
          <w:color w:val="231F20"/>
          <w:spacing w:val="-7"/>
          <w:w w:val="105"/>
        </w:rPr>
        <w:t> </w:t>
      </w:r>
      <w:r>
        <w:rPr>
          <w:color w:val="231F20"/>
          <w:w w:val="105"/>
        </w:rPr>
        <w:t>el</w:t>
      </w:r>
      <w:r>
        <w:rPr>
          <w:color w:val="231F20"/>
          <w:spacing w:val="-7"/>
          <w:w w:val="105"/>
        </w:rPr>
        <w:t> </w:t>
      </w:r>
      <w:r>
        <w:rPr>
          <w:color w:val="231F20"/>
          <w:w w:val="105"/>
        </w:rPr>
        <w:t>oportunismo</w:t>
      </w:r>
      <w:r>
        <w:rPr>
          <w:color w:val="231F20"/>
          <w:spacing w:val="-7"/>
          <w:w w:val="105"/>
        </w:rPr>
        <w:t> </w:t>
      </w:r>
      <w:r>
        <w:rPr>
          <w:color w:val="231F20"/>
          <w:w w:val="105"/>
        </w:rPr>
        <w:t>del</w:t>
      </w:r>
      <w:r>
        <w:rPr>
          <w:color w:val="231F20"/>
          <w:spacing w:val="-7"/>
          <w:w w:val="105"/>
        </w:rPr>
        <w:t> </w:t>
      </w:r>
      <w:r>
        <w:rPr>
          <w:color w:val="231F20"/>
          <w:w w:val="105"/>
        </w:rPr>
        <w:t>gobierno,</w:t>
      </w:r>
      <w:r>
        <w:rPr>
          <w:color w:val="231F20"/>
          <w:spacing w:val="-13"/>
          <w:w w:val="105"/>
        </w:rPr>
        <w:t> </w:t>
      </w:r>
      <w:r>
        <w:rPr>
          <w:color w:val="231F20"/>
          <w:w w:val="105"/>
        </w:rPr>
        <w:t>mejoran</w:t>
      </w:r>
      <w:r>
        <w:rPr>
          <w:color w:val="231F20"/>
          <w:spacing w:val="-7"/>
          <w:w w:val="105"/>
        </w:rPr>
        <w:t> </w:t>
      </w:r>
      <w:r>
        <w:rPr>
          <w:color w:val="231F20"/>
          <w:w w:val="105"/>
        </w:rPr>
        <w:t>la</w:t>
      </w:r>
      <w:r>
        <w:rPr>
          <w:color w:val="231F20"/>
          <w:spacing w:val="-7"/>
          <w:w w:val="105"/>
        </w:rPr>
        <w:t> </w:t>
      </w:r>
      <w:r>
        <w:rPr>
          <w:color w:val="231F20"/>
          <w:w w:val="105"/>
        </w:rPr>
        <w:t>eficiencia</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insti- tuciones</w:t>
      </w:r>
      <w:r>
        <w:rPr>
          <w:color w:val="231F20"/>
          <w:spacing w:val="-19"/>
          <w:w w:val="105"/>
        </w:rPr>
        <w:t> </w:t>
      </w:r>
      <w:r>
        <w:rPr>
          <w:color w:val="231F20"/>
          <w:w w:val="105"/>
        </w:rPr>
        <w:t>y</w:t>
      </w:r>
      <w:r>
        <w:rPr>
          <w:color w:val="231F20"/>
          <w:spacing w:val="-19"/>
          <w:w w:val="105"/>
        </w:rPr>
        <w:t> </w:t>
      </w:r>
      <w:r>
        <w:rPr>
          <w:color w:val="231F20"/>
          <w:w w:val="105"/>
        </w:rPr>
        <w:t>coadyuvan</w:t>
      </w:r>
      <w:r>
        <w:rPr>
          <w:color w:val="231F20"/>
          <w:spacing w:val="-19"/>
          <w:w w:val="105"/>
        </w:rPr>
        <w:t> </w:t>
      </w:r>
      <w:r>
        <w:rPr>
          <w:color w:val="231F20"/>
          <w:w w:val="105"/>
        </w:rPr>
        <w:t>a</w:t>
      </w:r>
      <w:r>
        <w:rPr>
          <w:color w:val="231F20"/>
          <w:spacing w:val="-19"/>
          <w:w w:val="105"/>
        </w:rPr>
        <w:t> </w:t>
      </w:r>
      <w:r>
        <w:rPr>
          <w:color w:val="231F20"/>
          <w:w w:val="105"/>
        </w:rPr>
        <w:t>promover</w:t>
      </w:r>
      <w:r>
        <w:rPr>
          <w:color w:val="231F20"/>
          <w:spacing w:val="-19"/>
          <w:w w:val="105"/>
        </w:rPr>
        <w:t> </w:t>
      </w:r>
      <w:r>
        <w:rPr>
          <w:color w:val="231F20"/>
          <w:w w:val="105"/>
        </w:rPr>
        <w:t>la</w:t>
      </w:r>
      <w:r>
        <w:rPr>
          <w:color w:val="231F20"/>
          <w:spacing w:val="-19"/>
          <w:w w:val="105"/>
        </w:rPr>
        <w:t> </w:t>
      </w:r>
      <w:r>
        <w:rPr>
          <w:color w:val="231F20"/>
          <w:w w:val="105"/>
        </w:rPr>
        <w:t>sostenibilidad</w:t>
      </w:r>
      <w:r>
        <w:rPr>
          <w:color w:val="231F20"/>
          <w:spacing w:val="-19"/>
          <w:w w:val="105"/>
        </w:rPr>
        <w:t> </w:t>
      </w:r>
      <w:r>
        <w:rPr>
          <w:color w:val="231F20"/>
          <w:w w:val="105"/>
        </w:rPr>
        <w:t>fiscal.</w:t>
      </w:r>
    </w:p>
    <w:p>
      <w:pPr>
        <w:pStyle w:val="BodyText"/>
        <w:spacing w:line="259" w:lineRule="auto"/>
        <w:ind w:left="119" w:right="110" w:firstLine="567"/>
        <w:jc w:val="both"/>
      </w:pPr>
      <w:r>
        <w:rPr>
          <w:color w:val="231F20"/>
          <w:w w:val="105"/>
        </w:rPr>
        <w:t>Las</w:t>
      </w:r>
      <w:r>
        <w:rPr>
          <w:color w:val="231F20"/>
          <w:spacing w:val="-13"/>
          <w:w w:val="105"/>
        </w:rPr>
        <w:t> </w:t>
      </w:r>
      <w:r>
        <w:rPr>
          <w:color w:val="231F20"/>
          <w:w w:val="105"/>
        </w:rPr>
        <w:t>reglas</w:t>
      </w:r>
      <w:r>
        <w:rPr>
          <w:color w:val="231F20"/>
          <w:spacing w:val="-13"/>
          <w:w w:val="105"/>
        </w:rPr>
        <w:t> </w:t>
      </w:r>
      <w:r>
        <w:rPr>
          <w:color w:val="231F20"/>
          <w:w w:val="105"/>
        </w:rPr>
        <w:t>fiscales</w:t>
      </w:r>
      <w:r>
        <w:rPr>
          <w:color w:val="231F20"/>
          <w:spacing w:val="-13"/>
          <w:w w:val="105"/>
        </w:rPr>
        <w:t> </w:t>
      </w:r>
      <w:r>
        <w:rPr>
          <w:color w:val="231F20"/>
          <w:w w:val="105"/>
        </w:rPr>
        <w:t>tradicionales</w:t>
      </w:r>
      <w:r>
        <w:rPr>
          <w:color w:val="231F20"/>
          <w:spacing w:val="-13"/>
          <w:w w:val="105"/>
        </w:rPr>
        <w:t> </w:t>
      </w:r>
      <w:r>
        <w:rPr>
          <w:color w:val="231F20"/>
          <w:w w:val="105"/>
        </w:rPr>
        <w:t>se</w:t>
      </w:r>
      <w:r>
        <w:rPr>
          <w:color w:val="231F20"/>
          <w:spacing w:val="-13"/>
          <w:w w:val="105"/>
        </w:rPr>
        <w:t> </w:t>
      </w:r>
      <w:r>
        <w:rPr>
          <w:color w:val="231F20"/>
          <w:w w:val="105"/>
        </w:rPr>
        <w:t>basan</w:t>
      </w:r>
      <w:r>
        <w:rPr>
          <w:color w:val="231F20"/>
          <w:spacing w:val="-13"/>
          <w:w w:val="105"/>
        </w:rPr>
        <w:t> </w:t>
      </w:r>
      <w:r>
        <w:rPr>
          <w:color w:val="231F20"/>
          <w:w w:val="105"/>
        </w:rPr>
        <w:t>en</w:t>
      </w:r>
      <w:r>
        <w:rPr>
          <w:color w:val="231F20"/>
          <w:spacing w:val="-13"/>
          <w:w w:val="105"/>
        </w:rPr>
        <w:t> </w:t>
      </w:r>
      <w:r>
        <w:rPr>
          <w:color w:val="231F20"/>
          <w:w w:val="105"/>
        </w:rPr>
        <w:t>límites</w:t>
      </w:r>
      <w:r>
        <w:rPr>
          <w:color w:val="231F20"/>
          <w:spacing w:val="-13"/>
          <w:w w:val="105"/>
        </w:rPr>
        <w:t> </w:t>
      </w:r>
      <w:r>
        <w:rPr>
          <w:color w:val="231F20"/>
          <w:w w:val="105"/>
        </w:rPr>
        <w:t>cuantitativos para techos de deuda pública, déficit fiscal y gasto público. En el</w:t>
      </w:r>
      <w:r>
        <w:rPr>
          <w:color w:val="231F20"/>
          <w:spacing w:val="-19"/>
          <w:w w:val="105"/>
        </w:rPr>
        <w:t> </w:t>
      </w:r>
      <w:r>
        <w:rPr>
          <w:color w:val="231F20"/>
          <w:w w:val="105"/>
        </w:rPr>
        <w:t>caso de países que dependen de recursos naturales existen dos posturas contrarias</w:t>
      </w:r>
      <w:r>
        <w:rPr>
          <w:color w:val="231F20"/>
          <w:spacing w:val="-17"/>
          <w:w w:val="105"/>
        </w:rPr>
        <w:t> </w:t>
      </w:r>
      <w:r>
        <w:rPr>
          <w:color w:val="231F20"/>
          <w:w w:val="105"/>
        </w:rPr>
        <w:t>sobre</w:t>
      </w:r>
      <w:r>
        <w:rPr>
          <w:color w:val="231F20"/>
          <w:spacing w:val="-17"/>
          <w:w w:val="105"/>
        </w:rPr>
        <w:t> </w:t>
      </w:r>
      <w:r>
        <w:rPr>
          <w:color w:val="231F20"/>
          <w:w w:val="105"/>
        </w:rPr>
        <w:t>el</w:t>
      </w:r>
      <w:r>
        <w:rPr>
          <w:color w:val="231F20"/>
          <w:spacing w:val="-17"/>
          <w:w w:val="105"/>
        </w:rPr>
        <w:t> </w:t>
      </w:r>
      <w:r>
        <w:rPr>
          <w:color w:val="231F20"/>
          <w:w w:val="105"/>
        </w:rPr>
        <w:t>establecimiento</w:t>
      </w:r>
      <w:r>
        <w:rPr>
          <w:color w:val="231F20"/>
          <w:spacing w:val="-17"/>
          <w:w w:val="105"/>
        </w:rPr>
        <w:t> </w:t>
      </w:r>
      <w:r>
        <w:rPr>
          <w:color w:val="231F20"/>
          <w:w w:val="105"/>
        </w:rPr>
        <w:t>de</w:t>
      </w:r>
      <w:r>
        <w:rPr>
          <w:color w:val="231F20"/>
          <w:spacing w:val="-17"/>
          <w:w w:val="105"/>
        </w:rPr>
        <w:t> </w:t>
      </w:r>
      <w:r>
        <w:rPr>
          <w:color w:val="231F20"/>
          <w:w w:val="105"/>
        </w:rPr>
        <w:t>reglas</w:t>
      </w:r>
      <w:r>
        <w:rPr>
          <w:color w:val="231F20"/>
          <w:spacing w:val="-17"/>
          <w:w w:val="105"/>
        </w:rPr>
        <w:t> </w:t>
      </w:r>
      <w:r>
        <w:rPr>
          <w:color w:val="231F20"/>
          <w:w w:val="105"/>
        </w:rPr>
        <w:t>fiscales:</w:t>
      </w:r>
      <w:r>
        <w:rPr>
          <w:color w:val="231F20"/>
          <w:spacing w:val="-17"/>
          <w:w w:val="105"/>
        </w:rPr>
        <w:t> </w:t>
      </w:r>
      <w:r>
        <w:rPr>
          <w:color w:val="231F20"/>
          <w:w w:val="105"/>
        </w:rPr>
        <w:t>ahorrar</w:t>
      </w:r>
      <w:r>
        <w:rPr>
          <w:color w:val="231F20"/>
          <w:spacing w:val="-17"/>
          <w:w w:val="105"/>
        </w:rPr>
        <w:t> </w:t>
      </w:r>
      <w:r>
        <w:rPr>
          <w:color w:val="231F20"/>
          <w:w w:val="105"/>
        </w:rPr>
        <w:t>los</w:t>
      </w:r>
      <w:r>
        <w:rPr>
          <w:color w:val="231F20"/>
          <w:spacing w:val="-17"/>
          <w:w w:val="105"/>
        </w:rPr>
        <w:t> </w:t>
      </w:r>
      <w:r>
        <w:rPr>
          <w:color w:val="231F20"/>
          <w:w w:val="105"/>
        </w:rPr>
        <w:t>ingre- sos</w:t>
      </w:r>
      <w:r>
        <w:rPr>
          <w:color w:val="231F20"/>
          <w:spacing w:val="-7"/>
          <w:w w:val="105"/>
        </w:rPr>
        <w:t> </w:t>
      </w:r>
      <w:r>
        <w:rPr>
          <w:color w:val="231F20"/>
          <w:w w:val="105"/>
        </w:rPr>
        <w:t>fiscales</w:t>
      </w:r>
      <w:r>
        <w:rPr>
          <w:color w:val="231F20"/>
          <w:spacing w:val="-7"/>
          <w:w w:val="105"/>
        </w:rPr>
        <w:t> </w:t>
      </w:r>
      <w:r>
        <w:rPr>
          <w:color w:val="231F20"/>
          <w:w w:val="105"/>
        </w:rPr>
        <w:t>derivados</w:t>
      </w:r>
      <w:r>
        <w:rPr>
          <w:color w:val="231F20"/>
          <w:spacing w:val="-7"/>
          <w:w w:val="105"/>
        </w:rPr>
        <w:t> </w:t>
      </w:r>
      <w:r>
        <w:rPr>
          <w:color w:val="231F20"/>
          <w:w w:val="105"/>
        </w:rPr>
        <w:t>del</w:t>
      </w:r>
      <w:r>
        <w:rPr>
          <w:color w:val="231F20"/>
          <w:spacing w:val="-7"/>
          <w:w w:val="105"/>
        </w:rPr>
        <w:t> </w:t>
      </w:r>
      <w:r>
        <w:rPr>
          <w:color w:val="231F20"/>
          <w:w w:val="105"/>
        </w:rPr>
        <w:t>recurso</w:t>
      </w:r>
      <w:r>
        <w:rPr>
          <w:color w:val="231F20"/>
          <w:spacing w:val="-7"/>
          <w:w w:val="105"/>
        </w:rPr>
        <w:t> </w:t>
      </w:r>
      <w:r>
        <w:rPr>
          <w:color w:val="231F20"/>
          <w:w w:val="105"/>
        </w:rPr>
        <w:t>natural</w:t>
      </w:r>
      <w:r>
        <w:rPr>
          <w:color w:val="231F20"/>
          <w:spacing w:val="-7"/>
          <w:w w:val="105"/>
        </w:rPr>
        <w:t> </w:t>
      </w:r>
      <w:r>
        <w:rPr>
          <w:color w:val="231F20"/>
          <w:w w:val="105"/>
        </w:rPr>
        <w:t>(postura</w:t>
      </w:r>
      <w:r>
        <w:rPr>
          <w:color w:val="231F20"/>
          <w:spacing w:val="-7"/>
          <w:w w:val="105"/>
        </w:rPr>
        <w:t> </w:t>
      </w:r>
      <w:r>
        <w:rPr>
          <w:color w:val="231F20"/>
          <w:w w:val="105"/>
        </w:rPr>
        <w:t>neoclásica)</w:t>
      </w:r>
      <w:r>
        <w:rPr>
          <w:color w:val="231F20"/>
          <w:spacing w:val="-7"/>
          <w:w w:val="105"/>
        </w:rPr>
        <w:t> </w:t>
      </w:r>
      <w:r>
        <w:rPr>
          <w:color w:val="231F20"/>
          <w:w w:val="105"/>
        </w:rPr>
        <w:t>o</w:t>
      </w:r>
      <w:r>
        <w:rPr>
          <w:color w:val="231F20"/>
          <w:spacing w:val="-7"/>
          <w:w w:val="105"/>
        </w:rPr>
        <w:t> </w:t>
      </w:r>
      <w:r>
        <w:rPr>
          <w:color w:val="231F20"/>
          <w:w w:val="105"/>
        </w:rPr>
        <w:t>desti- narlos</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inversión</w:t>
      </w:r>
      <w:r>
        <w:rPr>
          <w:color w:val="231F20"/>
          <w:spacing w:val="-30"/>
          <w:w w:val="105"/>
        </w:rPr>
        <w:t> </w:t>
      </w:r>
      <w:r>
        <w:rPr>
          <w:color w:val="231F20"/>
          <w:w w:val="105"/>
        </w:rPr>
        <w:t>pública</w:t>
      </w:r>
      <w:r>
        <w:rPr>
          <w:color w:val="231F20"/>
          <w:spacing w:val="-30"/>
          <w:w w:val="105"/>
        </w:rPr>
        <w:t> </w:t>
      </w:r>
      <w:r>
        <w:rPr>
          <w:color w:val="231F20"/>
          <w:w w:val="105"/>
        </w:rPr>
        <w:t>(postura</w:t>
      </w:r>
      <w:r>
        <w:rPr>
          <w:color w:val="231F20"/>
          <w:spacing w:val="-30"/>
          <w:w w:val="105"/>
        </w:rPr>
        <w:t> </w:t>
      </w:r>
      <w:r>
        <w:rPr>
          <w:color w:val="231F20"/>
          <w:w w:val="105"/>
        </w:rPr>
        <w:t>keynesiana).</w:t>
      </w:r>
    </w:p>
    <w:p>
      <w:pPr>
        <w:spacing w:after="0" w:line="259" w:lineRule="auto"/>
        <w:jc w:val="both"/>
        <w:sectPr>
          <w:type w:val="continuous"/>
          <w:pgSz w:w="9640" w:h="13890"/>
          <w:pgMar w:top="1300" w:bottom="280" w:left="1340" w:right="1240"/>
        </w:sectPr>
      </w:pPr>
    </w:p>
    <w:p>
      <w:pPr>
        <w:pStyle w:val="BodyText"/>
        <w:spacing w:line="259" w:lineRule="auto" w:before="120"/>
        <w:ind w:left="115" w:right="106"/>
        <w:jc w:val="both"/>
      </w:pPr>
      <w:r>
        <w:rPr>
          <w:color w:val="231F20"/>
          <w:w w:val="105"/>
        </w:rPr>
        <w:t>A</w:t>
      </w:r>
      <w:r>
        <w:rPr>
          <w:color w:val="231F20"/>
          <w:spacing w:val="-23"/>
          <w:w w:val="105"/>
        </w:rPr>
        <w:t> </w:t>
      </w:r>
      <w:r>
        <w:rPr>
          <w:color w:val="231F20"/>
          <w:w w:val="105"/>
        </w:rPr>
        <w:t>manera</w:t>
      </w:r>
      <w:r>
        <w:rPr>
          <w:color w:val="231F20"/>
          <w:spacing w:val="-19"/>
          <w:w w:val="105"/>
        </w:rPr>
        <w:t> </w:t>
      </w:r>
      <w:r>
        <w:rPr>
          <w:color w:val="231F20"/>
          <w:w w:val="105"/>
        </w:rPr>
        <w:t>de</w:t>
      </w:r>
      <w:r>
        <w:rPr>
          <w:color w:val="231F20"/>
          <w:spacing w:val="-19"/>
          <w:w w:val="105"/>
        </w:rPr>
        <w:t> </w:t>
      </w:r>
      <w:r>
        <w:rPr>
          <w:color w:val="231F20"/>
          <w:w w:val="105"/>
        </w:rPr>
        <w:t>síntesis,</w:t>
      </w:r>
      <w:r>
        <w:rPr>
          <w:color w:val="231F20"/>
          <w:spacing w:val="-26"/>
          <w:w w:val="105"/>
        </w:rPr>
        <w:t> </w:t>
      </w:r>
      <w:r>
        <w:rPr>
          <w:color w:val="231F20"/>
          <w:w w:val="105"/>
        </w:rPr>
        <w:t>el</w:t>
      </w:r>
      <w:r>
        <w:rPr>
          <w:color w:val="231F20"/>
          <w:spacing w:val="-19"/>
          <w:w w:val="105"/>
        </w:rPr>
        <w:t> </w:t>
      </w:r>
      <w:r>
        <w:rPr>
          <w:color w:val="231F20"/>
          <w:w w:val="105"/>
        </w:rPr>
        <w:t>rol</w:t>
      </w:r>
      <w:r>
        <w:rPr>
          <w:color w:val="231F20"/>
          <w:spacing w:val="-19"/>
          <w:w w:val="105"/>
        </w:rPr>
        <w:t> </w:t>
      </w:r>
      <w:r>
        <w:rPr>
          <w:color w:val="231F20"/>
          <w:w w:val="105"/>
        </w:rPr>
        <w:t>institucional</w:t>
      </w:r>
      <w:r>
        <w:rPr>
          <w:color w:val="231F20"/>
          <w:spacing w:val="-19"/>
          <w:w w:val="105"/>
        </w:rPr>
        <w:t> </w:t>
      </w:r>
      <w:r>
        <w:rPr>
          <w:color w:val="231F20"/>
          <w:w w:val="105"/>
        </w:rPr>
        <w:t>del</w:t>
      </w:r>
      <w:r>
        <w:rPr>
          <w:color w:val="231F20"/>
          <w:spacing w:val="-19"/>
          <w:w w:val="105"/>
        </w:rPr>
        <w:t> </w:t>
      </w:r>
      <w:r>
        <w:rPr>
          <w:color w:val="231F20"/>
          <w:w w:val="105"/>
        </w:rPr>
        <w:t>gobierno</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manejo</w:t>
      </w:r>
      <w:r>
        <w:rPr>
          <w:color w:val="231F20"/>
          <w:spacing w:val="-19"/>
          <w:w w:val="105"/>
        </w:rPr>
        <w:t> </w:t>
      </w:r>
      <w:r>
        <w:rPr>
          <w:color w:val="231F20"/>
          <w:w w:val="105"/>
        </w:rPr>
        <w:t>de</w:t>
      </w:r>
      <w:r>
        <w:rPr>
          <w:color w:val="231F20"/>
          <w:spacing w:val="-19"/>
          <w:w w:val="105"/>
        </w:rPr>
        <w:t> </w:t>
      </w:r>
      <w:r>
        <w:rPr>
          <w:color w:val="231F20"/>
          <w:w w:val="105"/>
        </w:rPr>
        <w:t>la posición</w:t>
      </w:r>
      <w:r>
        <w:rPr>
          <w:color w:val="231F20"/>
          <w:spacing w:val="-22"/>
          <w:w w:val="105"/>
        </w:rPr>
        <w:t> </w:t>
      </w:r>
      <w:r>
        <w:rPr>
          <w:color w:val="231F20"/>
          <w:w w:val="105"/>
        </w:rPr>
        <w:t>fiscal</w:t>
      </w:r>
      <w:r>
        <w:rPr>
          <w:color w:val="231F20"/>
          <w:spacing w:val="-22"/>
          <w:w w:val="105"/>
        </w:rPr>
        <w:t> </w:t>
      </w:r>
      <w:r>
        <w:rPr>
          <w:color w:val="231F20"/>
          <w:w w:val="105"/>
        </w:rPr>
        <w:t>–en</w:t>
      </w:r>
      <w:r>
        <w:rPr>
          <w:color w:val="231F20"/>
          <w:spacing w:val="-22"/>
          <w:w w:val="105"/>
        </w:rPr>
        <w:t> </w:t>
      </w:r>
      <w:r>
        <w:rPr>
          <w:color w:val="231F20"/>
          <w:w w:val="105"/>
        </w:rPr>
        <w:t>países</w:t>
      </w:r>
      <w:r>
        <w:rPr>
          <w:color w:val="231F20"/>
          <w:spacing w:val="-22"/>
          <w:w w:val="105"/>
        </w:rPr>
        <w:t> </w:t>
      </w:r>
      <w:r>
        <w:rPr>
          <w:color w:val="231F20"/>
          <w:w w:val="105"/>
        </w:rPr>
        <w:t>que</w:t>
      </w:r>
      <w:r>
        <w:rPr>
          <w:color w:val="231F20"/>
          <w:spacing w:val="-22"/>
          <w:w w:val="105"/>
        </w:rPr>
        <w:t> </w:t>
      </w:r>
      <w:r>
        <w:rPr>
          <w:color w:val="231F20"/>
          <w:w w:val="105"/>
        </w:rPr>
        <w:t>dependen</w:t>
      </w:r>
      <w:r>
        <w:rPr>
          <w:color w:val="231F20"/>
          <w:spacing w:val="-22"/>
          <w:w w:val="105"/>
        </w:rPr>
        <w:t> </w:t>
      </w:r>
      <w:r>
        <w:rPr>
          <w:color w:val="231F20"/>
          <w:w w:val="105"/>
        </w:rPr>
        <w:t>de</w:t>
      </w:r>
      <w:r>
        <w:rPr>
          <w:color w:val="231F20"/>
          <w:spacing w:val="-22"/>
          <w:w w:val="105"/>
        </w:rPr>
        <w:t> </w:t>
      </w:r>
      <w:r>
        <w:rPr>
          <w:color w:val="231F20"/>
          <w:w w:val="105"/>
        </w:rPr>
        <w:t>recursos</w:t>
      </w:r>
      <w:r>
        <w:rPr>
          <w:color w:val="231F20"/>
          <w:spacing w:val="-22"/>
          <w:w w:val="105"/>
        </w:rPr>
        <w:t> </w:t>
      </w:r>
      <w:r>
        <w:rPr>
          <w:color w:val="231F20"/>
          <w:w w:val="105"/>
        </w:rPr>
        <w:t>naturales–</w:t>
      </w:r>
      <w:r>
        <w:rPr>
          <w:color w:val="231F20"/>
          <w:spacing w:val="18"/>
          <w:w w:val="105"/>
        </w:rPr>
        <w:t> </w:t>
      </w:r>
      <w:r>
        <w:rPr>
          <w:color w:val="231F20"/>
          <w:w w:val="105"/>
        </w:rPr>
        <w:t>se</w:t>
      </w:r>
      <w:r>
        <w:rPr>
          <w:color w:val="231F20"/>
          <w:spacing w:val="-22"/>
          <w:w w:val="105"/>
        </w:rPr>
        <w:t> </w:t>
      </w:r>
      <w:r>
        <w:rPr>
          <w:color w:val="231F20"/>
          <w:w w:val="105"/>
        </w:rPr>
        <w:t>resu- me</w:t>
      </w:r>
      <w:r>
        <w:rPr>
          <w:color w:val="231F20"/>
          <w:spacing w:val="-22"/>
          <w:w w:val="105"/>
        </w:rPr>
        <w:t> </w:t>
      </w:r>
      <w:r>
        <w:rPr>
          <w:color w:val="231F20"/>
          <w:w w:val="105"/>
        </w:rPr>
        <w:t>en</w:t>
      </w:r>
      <w:r>
        <w:rPr>
          <w:color w:val="231F20"/>
          <w:spacing w:val="-22"/>
          <w:w w:val="105"/>
        </w:rPr>
        <w:t> </w:t>
      </w:r>
      <w:r>
        <w:rPr>
          <w:color w:val="231F20"/>
          <w:w w:val="105"/>
        </w:rPr>
        <w:t>cinco</w:t>
      </w:r>
      <w:r>
        <w:rPr>
          <w:color w:val="231F20"/>
          <w:spacing w:val="-22"/>
          <w:w w:val="105"/>
        </w:rPr>
        <w:t> </w:t>
      </w:r>
      <w:r>
        <w:rPr>
          <w:color w:val="231F20"/>
          <w:w w:val="105"/>
        </w:rPr>
        <w:t>ejes</w:t>
      </w:r>
      <w:r>
        <w:rPr>
          <w:color w:val="231F20"/>
          <w:spacing w:val="-22"/>
          <w:w w:val="105"/>
        </w:rPr>
        <w:t> </w:t>
      </w:r>
      <w:r>
        <w:rPr>
          <w:color w:val="231F20"/>
          <w:w w:val="105"/>
        </w:rPr>
        <w:t>centrales:</w:t>
      </w:r>
    </w:p>
    <w:p>
      <w:pPr>
        <w:pStyle w:val="BodyText"/>
        <w:spacing w:line="259" w:lineRule="auto"/>
        <w:ind w:left="115" w:right="106" w:firstLine="567"/>
        <w:jc w:val="both"/>
      </w:pPr>
      <w:r>
        <w:rPr>
          <w:color w:val="231F20"/>
          <w:w w:val="105"/>
        </w:rPr>
        <w:t>El</w:t>
      </w:r>
      <w:r>
        <w:rPr>
          <w:color w:val="231F20"/>
          <w:spacing w:val="-10"/>
          <w:w w:val="105"/>
        </w:rPr>
        <w:t> </w:t>
      </w:r>
      <w:r>
        <w:rPr>
          <w:color w:val="231F20"/>
          <w:w w:val="105"/>
        </w:rPr>
        <w:t>primer</w:t>
      </w:r>
      <w:r>
        <w:rPr>
          <w:color w:val="231F20"/>
          <w:spacing w:val="-10"/>
          <w:w w:val="105"/>
        </w:rPr>
        <w:t> </w:t>
      </w:r>
      <w:r>
        <w:rPr>
          <w:color w:val="231F20"/>
          <w:w w:val="105"/>
        </w:rPr>
        <w:t>punto</w:t>
      </w:r>
      <w:r>
        <w:rPr>
          <w:color w:val="231F20"/>
          <w:spacing w:val="-10"/>
          <w:w w:val="105"/>
        </w:rPr>
        <w:t> </w:t>
      </w:r>
      <w:r>
        <w:rPr>
          <w:color w:val="231F20"/>
          <w:w w:val="105"/>
        </w:rPr>
        <w:t>se</w:t>
      </w:r>
      <w:r>
        <w:rPr>
          <w:color w:val="231F20"/>
          <w:spacing w:val="-10"/>
          <w:w w:val="105"/>
        </w:rPr>
        <w:t> </w:t>
      </w:r>
      <w:r>
        <w:rPr>
          <w:color w:val="231F20"/>
          <w:w w:val="105"/>
        </w:rPr>
        <w:t>relaciona</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orientación</w:t>
      </w:r>
      <w:r>
        <w:rPr>
          <w:color w:val="231F20"/>
          <w:spacing w:val="-10"/>
          <w:w w:val="105"/>
        </w:rPr>
        <w:t> </w:t>
      </w:r>
      <w:r>
        <w:rPr>
          <w:color w:val="231F20"/>
          <w:w w:val="105"/>
        </w:rPr>
        <w:t>cíclica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política fiscal</w:t>
      </w:r>
      <w:r>
        <w:rPr>
          <w:color w:val="231F20"/>
          <w:spacing w:val="-26"/>
          <w:w w:val="105"/>
        </w:rPr>
        <w:t> </w:t>
      </w:r>
      <w:r>
        <w:rPr>
          <w:color w:val="231F20"/>
          <w:w w:val="105"/>
        </w:rPr>
        <w:t>en</w:t>
      </w:r>
      <w:r>
        <w:rPr>
          <w:color w:val="231F20"/>
          <w:spacing w:val="-26"/>
          <w:w w:val="105"/>
        </w:rPr>
        <w:t> </w:t>
      </w:r>
      <w:r>
        <w:rPr>
          <w:color w:val="231F20"/>
          <w:w w:val="105"/>
        </w:rPr>
        <w:t>comparación</w:t>
      </w:r>
      <w:r>
        <w:rPr>
          <w:color w:val="231F20"/>
          <w:spacing w:val="-26"/>
          <w:w w:val="105"/>
        </w:rPr>
        <w:t> </w:t>
      </w:r>
      <w:r>
        <w:rPr>
          <w:color w:val="231F20"/>
          <w:w w:val="105"/>
        </w:rPr>
        <w:t>con</w:t>
      </w:r>
      <w:r>
        <w:rPr>
          <w:color w:val="231F20"/>
          <w:spacing w:val="-26"/>
          <w:w w:val="105"/>
        </w:rPr>
        <w:t> </w:t>
      </w:r>
      <w:r>
        <w:rPr>
          <w:color w:val="231F20"/>
          <w:w w:val="105"/>
        </w:rPr>
        <w:t>la</w:t>
      </w:r>
      <w:r>
        <w:rPr>
          <w:color w:val="231F20"/>
          <w:spacing w:val="-26"/>
          <w:w w:val="105"/>
        </w:rPr>
        <w:t> </w:t>
      </w:r>
      <w:r>
        <w:rPr>
          <w:color w:val="231F20"/>
          <w:w w:val="105"/>
        </w:rPr>
        <w:t>trayectoria</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precios</w:t>
      </w:r>
      <w:r>
        <w:rPr>
          <w:color w:val="231F20"/>
          <w:spacing w:val="-26"/>
          <w:w w:val="105"/>
        </w:rPr>
        <w:t> </w:t>
      </w:r>
      <w:r>
        <w:rPr>
          <w:color w:val="231F20"/>
          <w:w w:val="105"/>
        </w:rPr>
        <w:t>del</w:t>
      </w:r>
      <w:r>
        <w:rPr>
          <w:color w:val="231F20"/>
          <w:spacing w:val="-26"/>
          <w:w w:val="105"/>
        </w:rPr>
        <w:t> </w:t>
      </w:r>
      <w:r>
        <w:rPr>
          <w:color w:val="231F20"/>
          <w:w w:val="105"/>
        </w:rPr>
        <w:t>recurso</w:t>
      </w:r>
      <w:r>
        <w:rPr>
          <w:color w:val="231F20"/>
          <w:spacing w:val="-26"/>
          <w:w w:val="105"/>
        </w:rPr>
        <w:t> </w:t>
      </w:r>
      <w:r>
        <w:rPr>
          <w:color w:val="231F20"/>
          <w:w w:val="105"/>
        </w:rPr>
        <w:t>natural: el</w:t>
      </w:r>
      <w:r>
        <w:rPr>
          <w:color w:val="231F20"/>
          <w:spacing w:val="-9"/>
          <w:w w:val="105"/>
        </w:rPr>
        <w:t> </w:t>
      </w:r>
      <w:r>
        <w:rPr>
          <w:color w:val="231F20"/>
          <w:w w:val="105"/>
        </w:rPr>
        <w:t>gasto</w:t>
      </w:r>
      <w:r>
        <w:rPr>
          <w:color w:val="231F20"/>
          <w:spacing w:val="-9"/>
          <w:w w:val="105"/>
        </w:rPr>
        <w:t> </w:t>
      </w:r>
      <w:r>
        <w:rPr>
          <w:color w:val="231F20"/>
          <w:w w:val="105"/>
        </w:rPr>
        <w:t>público</w:t>
      </w:r>
      <w:r>
        <w:rPr>
          <w:color w:val="231F20"/>
          <w:spacing w:val="-9"/>
          <w:w w:val="105"/>
        </w:rPr>
        <w:t> </w:t>
      </w:r>
      <w:r>
        <w:rPr>
          <w:color w:val="231F20"/>
          <w:w w:val="105"/>
        </w:rPr>
        <w:t>debe</w:t>
      </w:r>
      <w:r>
        <w:rPr>
          <w:color w:val="231F20"/>
          <w:spacing w:val="-9"/>
          <w:w w:val="105"/>
        </w:rPr>
        <w:t> </w:t>
      </w:r>
      <w:r>
        <w:rPr>
          <w:color w:val="231F20"/>
          <w:w w:val="105"/>
        </w:rPr>
        <w:t>ser</w:t>
      </w:r>
      <w:r>
        <w:rPr>
          <w:color w:val="231F20"/>
          <w:spacing w:val="-9"/>
          <w:w w:val="105"/>
        </w:rPr>
        <w:t> </w:t>
      </w:r>
      <w:r>
        <w:rPr>
          <w:color w:val="231F20"/>
          <w:w w:val="105"/>
        </w:rPr>
        <w:t>contracíclico</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fluctuaciones</w:t>
      </w:r>
      <w:r>
        <w:rPr>
          <w:color w:val="231F20"/>
          <w:spacing w:val="-9"/>
          <w:w w:val="105"/>
        </w:rPr>
        <w:t> </w:t>
      </w:r>
      <w:r>
        <w:rPr>
          <w:color w:val="231F20"/>
          <w:w w:val="105"/>
        </w:rPr>
        <w:t>de</w:t>
      </w:r>
      <w:r>
        <w:rPr>
          <w:color w:val="231F20"/>
          <w:spacing w:val="-9"/>
          <w:w w:val="105"/>
        </w:rPr>
        <w:t> </w:t>
      </w:r>
      <w:r>
        <w:rPr>
          <w:color w:val="231F20"/>
          <w:w w:val="105"/>
        </w:rPr>
        <w:t>precios</w:t>
      </w:r>
      <w:r>
        <w:rPr>
          <w:color w:val="231F20"/>
          <w:spacing w:val="-9"/>
          <w:w w:val="105"/>
        </w:rPr>
        <w:t> </w:t>
      </w:r>
      <w:r>
        <w:rPr>
          <w:color w:val="231F20"/>
          <w:w w:val="105"/>
        </w:rPr>
        <w:t>ex- ternos</w:t>
      </w:r>
      <w:r>
        <w:rPr>
          <w:color w:val="231F20"/>
          <w:spacing w:val="-37"/>
          <w:w w:val="105"/>
        </w:rPr>
        <w:t> </w:t>
      </w:r>
      <w:r>
        <w:rPr>
          <w:color w:val="231F20"/>
          <w:w w:val="105"/>
        </w:rPr>
        <w:t>(postura</w:t>
      </w:r>
      <w:r>
        <w:rPr>
          <w:color w:val="231F20"/>
          <w:spacing w:val="-37"/>
          <w:w w:val="105"/>
        </w:rPr>
        <w:t> </w:t>
      </w:r>
      <w:r>
        <w:rPr>
          <w:color w:val="231F20"/>
          <w:w w:val="105"/>
        </w:rPr>
        <w:t>keynesiana)</w:t>
      </w:r>
      <w:r>
        <w:rPr>
          <w:color w:val="231F20"/>
          <w:spacing w:val="-37"/>
          <w:w w:val="105"/>
        </w:rPr>
        <w:t> </w:t>
      </w:r>
      <w:r>
        <w:rPr>
          <w:color w:val="231F20"/>
          <w:w w:val="105"/>
        </w:rPr>
        <w:t>o</w:t>
      </w:r>
      <w:r>
        <w:rPr>
          <w:color w:val="231F20"/>
          <w:spacing w:val="-37"/>
          <w:w w:val="105"/>
        </w:rPr>
        <w:t> </w:t>
      </w:r>
      <w:r>
        <w:rPr>
          <w:color w:val="231F20"/>
          <w:w w:val="105"/>
        </w:rPr>
        <w:t>neutral</w:t>
      </w:r>
      <w:r>
        <w:rPr>
          <w:color w:val="231F20"/>
          <w:spacing w:val="-37"/>
          <w:w w:val="105"/>
        </w:rPr>
        <w:t> </w:t>
      </w:r>
      <w:r>
        <w:rPr>
          <w:color w:val="231F20"/>
          <w:w w:val="105"/>
        </w:rPr>
        <w:t>(postura</w:t>
      </w:r>
      <w:r>
        <w:rPr>
          <w:color w:val="231F20"/>
          <w:spacing w:val="-37"/>
          <w:w w:val="105"/>
        </w:rPr>
        <w:t> </w:t>
      </w:r>
      <w:r>
        <w:rPr>
          <w:color w:val="231F20"/>
          <w:w w:val="105"/>
        </w:rPr>
        <w:t>neoclásica).</w:t>
      </w:r>
    </w:p>
    <w:p>
      <w:pPr>
        <w:pStyle w:val="BodyText"/>
        <w:spacing w:line="259" w:lineRule="auto"/>
        <w:ind w:left="115" w:right="106" w:firstLine="567"/>
        <w:jc w:val="both"/>
      </w:pPr>
      <w:r>
        <w:rPr>
          <w:color w:val="231F20"/>
          <w:w w:val="105"/>
        </w:rPr>
        <w:t>El</w:t>
      </w:r>
      <w:r>
        <w:rPr>
          <w:color w:val="231F20"/>
          <w:spacing w:val="-22"/>
          <w:w w:val="105"/>
        </w:rPr>
        <w:t> </w:t>
      </w:r>
      <w:r>
        <w:rPr>
          <w:color w:val="231F20"/>
          <w:w w:val="105"/>
        </w:rPr>
        <w:t>segundo</w:t>
      </w:r>
      <w:r>
        <w:rPr>
          <w:color w:val="231F20"/>
          <w:spacing w:val="-22"/>
          <w:w w:val="105"/>
        </w:rPr>
        <w:t> </w:t>
      </w:r>
      <w:r>
        <w:rPr>
          <w:color w:val="231F20"/>
          <w:w w:val="105"/>
        </w:rPr>
        <w:t>punto</w:t>
      </w:r>
      <w:r>
        <w:rPr>
          <w:color w:val="231F20"/>
          <w:spacing w:val="-22"/>
          <w:w w:val="105"/>
        </w:rPr>
        <w:t> </w:t>
      </w:r>
      <w:r>
        <w:rPr>
          <w:color w:val="231F20"/>
          <w:w w:val="105"/>
        </w:rPr>
        <w:t>se</w:t>
      </w:r>
      <w:r>
        <w:rPr>
          <w:color w:val="231F20"/>
          <w:spacing w:val="-22"/>
          <w:w w:val="105"/>
        </w:rPr>
        <w:t> </w:t>
      </w:r>
      <w:r>
        <w:rPr>
          <w:color w:val="231F20"/>
          <w:w w:val="105"/>
        </w:rPr>
        <w:t>vincula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asignación</w:t>
      </w:r>
      <w:r>
        <w:rPr>
          <w:color w:val="231F20"/>
          <w:spacing w:val="-22"/>
          <w:w w:val="105"/>
        </w:rPr>
        <w:t> </w:t>
      </w:r>
      <w:r>
        <w:rPr>
          <w:color w:val="231F20"/>
          <w:w w:val="105"/>
        </w:rPr>
        <w:t>de</w:t>
      </w:r>
      <w:r>
        <w:rPr>
          <w:color w:val="231F20"/>
          <w:spacing w:val="-22"/>
          <w:w w:val="105"/>
        </w:rPr>
        <w:t> </w:t>
      </w:r>
      <w:r>
        <w:rPr>
          <w:color w:val="231F20"/>
          <w:w w:val="105"/>
        </w:rPr>
        <w:t>ingresos</w:t>
      </w:r>
      <w:r>
        <w:rPr>
          <w:color w:val="231F20"/>
          <w:spacing w:val="-22"/>
          <w:w w:val="105"/>
        </w:rPr>
        <w:t> </w:t>
      </w:r>
      <w:r>
        <w:rPr>
          <w:color w:val="231F20"/>
          <w:w w:val="105"/>
        </w:rPr>
        <w:t>del</w:t>
      </w:r>
      <w:r>
        <w:rPr>
          <w:color w:val="231F20"/>
          <w:spacing w:val="-22"/>
          <w:w w:val="105"/>
        </w:rPr>
        <w:t> </w:t>
      </w:r>
      <w:r>
        <w:rPr>
          <w:color w:val="231F20"/>
          <w:w w:val="105"/>
        </w:rPr>
        <w:t>recurso natural al gasto público: ahorro para la teoría del ingreso permanente (postura</w:t>
      </w:r>
      <w:r>
        <w:rPr>
          <w:color w:val="231F20"/>
          <w:spacing w:val="-19"/>
          <w:w w:val="105"/>
        </w:rPr>
        <w:t> </w:t>
      </w:r>
      <w:r>
        <w:rPr>
          <w:color w:val="231F20"/>
          <w:w w:val="105"/>
        </w:rPr>
        <w:t>neoclásica)</w:t>
      </w:r>
      <w:r>
        <w:rPr>
          <w:color w:val="231F20"/>
          <w:spacing w:val="-19"/>
          <w:w w:val="105"/>
        </w:rPr>
        <w:t> </w:t>
      </w:r>
      <w:r>
        <w:rPr>
          <w:color w:val="231F20"/>
          <w:w w:val="105"/>
        </w:rPr>
        <w:t>o</w:t>
      </w:r>
      <w:r>
        <w:rPr>
          <w:color w:val="231F20"/>
          <w:spacing w:val="-19"/>
          <w:w w:val="105"/>
        </w:rPr>
        <w:t> </w:t>
      </w:r>
      <w:r>
        <w:rPr>
          <w:color w:val="231F20"/>
          <w:w w:val="105"/>
        </w:rPr>
        <w:t>destinarlos</w:t>
      </w:r>
      <w:r>
        <w:rPr>
          <w:color w:val="231F20"/>
          <w:spacing w:val="-19"/>
          <w:w w:val="105"/>
        </w:rPr>
        <w:t> </w:t>
      </w:r>
      <w:r>
        <w:rPr>
          <w:color w:val="231F20"/>
          <w:w w:val="105"/>
        </w:rPr>
        <w:t>hacia</w:t>
      </w:r>
      <w:r>
        <w:rPr>
          <w:color w:val="231F20"/>
          <w:spacing w:val="-19"/>
          <w:w w:val="105"/>
        </w:rPr>
        <w:t> </w:t>
      </w:r>
      <w:r>
        <w:rPr>
          <w:color w:val="231F20"/>
          <w:w w:val="105"/>
        </w:rPr>
        <w:t>la</w:t>
      </w:r>
      <w:r>
        <w:rPr>
          <w:color w:val="231F20"/>
          <w:spacing w:val="-19"/>
          <w:w w:val="105"/>
        </w:rPr>
        <w:t> </w:t>
      </w:r>
      <w:r>
        <w:rPr>
          <w:color w:val="231F20"/>
          <w:w w:val="105"/>
        </w:rPr>
        <w:t>inversión</w:t>
      </w:r>
      <w:r>
        <w:rPr>
          <w:color w:val="231F20"/>
          <w:spacing w:val="-19"/>
          <w:w w:val="105"/>
        </w:rPr>
        <w:t> </w:t>
      </w:r>
      <w:r>
        <w:rPr>
          <w:color w:val="231F20"/>
          <w:w w:val="105"/>
        </w:rPr>
        <w:t>pública</w:t>
      </w:r>
      <w:r>
        <w:rPr>
          <w:color w:val="231F20"/>
          <w:spacing w:val="-19"/>
          <w:w w:val="105"/>
        </w:rPr>
        <w:t> </w:t>
      </w:r>
      <w:r>
        <w:rPr>
          <w:color w:val="231F20"/>
          <w:w w:val="105"/>
        </w:rPr>
        <w:t>según</w:t>
      </w:r>
      <w:r>
        <w:rPr>
          <w:color w:val="231F20"/>
          <w:spacing w:val="-19"/>
          <w:w w:val="105"/>
        </w:rPr>
        <w:t> </w:t>
      </w:r>
      <w:r>
        <w:rPr>
          <w:color w:val="231F20"/>
          <w:w w:val="105"/>
        </w:rPr>
        <w:t>la</w:t>
      </w:r>
      <w:r>
        <w:rPr>
          <w:color w:val="231F20"/>
          <w:spacing w:val="-19"/>
          <w:w w:val="105"/>
        </w:rPr>
        <w:t> </w:t>
      </w:r>
      <w:r>
        <w:rPr>
          <w:color w:val="231F20"/>
          <w:w w:val="105"/>
        </w:rPr>
        <w:t>teo- ría</w:t>
      </w:r>
      <w:r>
        <w:rPr>
          <w:color w:val="231F20"/>
          <w:spacing w:val="-24"/>
          <w:w w:val="105"/>
        </w:rPr>
        <w:t> </w:t>
      </w:r>
      <w:r>
        <w:rPr>
          <w:color w:val="231F20"/>
          <w:w w:val="105"/>
        </w:rPr>
        <w:t>modificada</w:t>
      </w:r>
      <w:r>
        <w:rPr>
          <w:color w:val="231F20"/>
          <w:spacing w:val="-24"/>
          <w:w w:val="105"/>
        </w:rPr>
        <w:t> </w:t>
      </w:r>
      <w:r>
        <w:rPr>
          <w:color w:val="231F20"/>
          <w:w w:val="105"/>
        </w:rPr>
        <w:t>del</w:t>
      </w:r>
      <w:r>
        <w:rPr>
          <w:color w:val="231F20"/>
          <w:spacing w:val="-24"/>
          <w:w w:val="105"/>
        </w:rPr>
        <w:t> </w:t>
      </w:r>
      <w:r>
        <w:rPr>
          <w:color w:val="231F20"/>
          <w:w w:val="105"/>
        </w:rPr>
        <w:t>ingreso</w:t>
      </w:r>
      <w:r>
        <w:rPr>
          <w:color w:val="231F20"/>
          <w:spacing w:val="-24"/>
          <w:w w:val="105"/>
        </w:rPr>
        <w:t> </w:t>
      </w:r>
      <w:r>
        <w:rPr>
          <w:color w:val="231F20"/>
          <w:w w:val="105"/>
        </w:rPr>
        <w:t>permanente</w:t>
      </w:r>
      <w:r>
        <w:rPr>
          <w:color w:val="231F20"/>
          <w:spacing w:val="-24"/>
          <w:w w:val="105"/>
        </w:rPr>
        <w:t> </w:t>
      </w:r>
      <w:r>
        <w:rPr>
          <w:color w:val="231F20"/>
          <w:w w:val="105"/>
        </w:rPr>
        <w:t>(postura</w:t>
      </w:r>
      <w:r>
        <w:rPr>
          <w:color w:val="231F20"/>
          <w:spacing w:val="-24"/>
          <w:w w:val="105"/>
        </w:rPr>
        <w:t> </w:t>
      </w:r>
      <w:r>
        <w:rPr>
          <w:color w:val="231F20"/>
          <w:w w:val="105"/>
        </w:rPr>
        <w:t>keynesiana).</w:t>
      </w:r>
    </w:p>
    <w:p>
      <w:pPr>
        <w:pStyle w:val="BodyText"/>
        <w:spacing w:line="259" w:lineRule="auto"/>
        <w:ind w:left="115" w:right="101" w:firstLine="625"/>
        <w:jc w:val="both"/>
      </w:pPr>
      <w:r>
        <w:rPr>
          <w:color w:val="231F20"/>
          <w:w w:val="105"/>
        </w:rPr>
        <w:t>El</w:t>
      </w:r>
      <w:r>
        <w:rPr>
          <w:color w:val="231F20"/>
          <w:spacing w:val="-16"/>
          <w:w w:val="105"/>
        </w:rPr>
        <w:t> </w:t>
      </w:r>
      <w:r>
        <w:rPr>
          <w:color w:val="231F20"/>
          <w:spacing w:val="-3"/>
          <w:w w:val="105"/>
        </w:rPr>
        <w:t>tercer</w:t>
      </w:r>
      <w:r>
        <w:rPr>
          <w:color w:val="231F20"/>
          <w:spacing w:val="-16"/>
          <w:w w:val="105"/>
        </w:rPr>
        <w:t> </w:t>
      </w:r>
      <w:r>
        <w:rPr>
          <w:color w:val="231F20"/>
          <w:w w:val="105"/>
        </w:rPr>
        <w:t>eje</w:t>
      </w:r>
      <w:r>
        <w:rPr>
          <w:color w:val="231F20"/>
          <w:spacing w:val="-16"/>
          <w:w w:val="105"/>
        </w:rPr>
        <w:t> </w:t>
      </w:r>
      <w:r>
        <w:rPr>
          <w:color w:val="231F20"/>
          <w:w w:val="105"/>
        </w:rPr>
        <w:t>se</w:t>
      </w:r>
      <w:r>
        <w:rPr>
          <w:color w:val="231F20"/>
          <w:spacing w:val="-16"/>
          <w:w w:val="105"/>
        </w:rPr>
        <w:t> </w:t>
      </w:r>
      <w:r>
        <w:rPr>
          <w:color w:val="231F20"/>
          <w:spacing w:val="-3"/>
          <w:w w:val="105"/>
        </w:rPr>
        <w:t>refiere</w:t>
      </w:r>
      <w:r>
        <w:rPr>
          <w:color w:val="231F20"/>
          <w:spacing w:val="-16"/>
          <w:w w:val="105"/>
        </w:rPr>
        <w:t> </w:t>
      </w:r>
      <w:r>
        <w:rPr>
          <w:color w:val="231F20"/>
          <w:w w:val="105"/>
        </w:rPr>
        <w:t>al</w:t>
      </w:r>
      <w:r>
        <w:rPr>
          <w:color w:val="231F20"/>
          <w:spacing w:val="-16"/>
          <w:w w:val="105"/>
        </w:rPr>
        <w:t> </w:t>
      </w:r>
      <w:r>
        <w:rPr>
          <w:color w:val="231F20"/>
          <w:w w:val="105"/>
        </w:rPr>
        <w:t>balance</w:t>
      </w:r>
      <w:r>
        <w:rPr>
          <w:color w:val="231F20"/>
          <w:spacing w:val="-16"/>
          <w:w w:val="105"/>
        </w:rPr>
        <w:t> </w:t>
      </w:r>
      <w:r>
        <w:rPr>
          <w:color w:val="231F20"/>
          <w:w w:val="105"/>
        </w:rPr>
        <w:t>fiscal</w:t>
      </w:r>
      <w:r>
        <w:rPr>
          <w:color w:val="231F20"/>
          <w:spacing w:val="-16"/>
          <w:w w:val="105"/>
        </w:rPr>
        <w:t> </w:t>
      </w:r>
      <w:r>
        <w:rPr>
          <w:color w:val="231F20"/>
          <w:w w:val="105"/>
        </w:rPr>
        <w:t>durante</w:t>
      </w:r>
      <w:r>
        <w:rPr>
          <w:color w:val="231F20"/>
          <w:spacing w:val="-16"/>
          <w:w w:val="105"/>
        </w:rPr>
        <w:t> </w:t>
      </w:r>
      <w:r>
        <w:rPr>
          <w:color w:val="231F20"/>
          <w:w w:val="105"/>
        </w:rPr>
        <w:t>épocas</w:t>
      </w:r>
      <w:r>
        <w:rPr>
          <w:color w:val="231F20"/>
          <w:spacing w:val="-16"/>
          <w:w w:val="105"/>
        </w:rPr>
        <w:t> </w:t>
      </w:r>
      <w:r>
        <w:rPr>
          <w:color w:val="231F20"/>
          <w:w w:val="105"/>
        </w:rPr>
        <w:t>de</w:t>
      </w:r>
      <w:r>
        <w:rPr>
          <w:color w:val="231F20"/>
          <w:spacing w:val="-16"/>
          <w:w w:val="105"/>
        </w:rPr>
        <w:t> </w:t>
      </w:r>
      <w:r>
        <w:rPr>
          <w:color w:val="231F20"/>
          <w:w w:val="105"/>
        </w:rPr>
        <w:t>auge</w:t>
      </w:r>
      <w:r>
        <w:rPr>
          <w:color w:val="231F20"/>
          <w:spacing w:val="-16"/>
          <w:w w:val="105"/>
        </w:rPr>
        <w:t> </w:t>
      </w:r>
      <w:r>
        <w:rPr>
          <w:color w:val="231F20"/>
          <w:w w:val="105"/>
        </w:rPr>
        <w:t>de </w:t>
      </w:r>
      <w:r>
        <w:rPr>
          <w:color w:val="231F20"/>
          <w:spacing w:val="-3"/>
          <w:w w:val="105"/>
        </w:rPr>
        <w:t>precios:</w:t>
      </w:r>
      <w:r>
        <w:rPr>
          <w:color w:val="231F20"/>
          <w:spacing w:val="-32"/>
          <w:w w:val="105"/>
        </w:rPr>
        <w:t> </w:t>
      </w:r>
      <w:r>
        <w:rPr>
          <w:color w:val="231F20"/>
          <w:w w:val="105"/>
        </w:rPr>
        <w:t>la</w:t>
      </w:r>
      <w:r>
        <w:rPr>
          <w:color w:val="231F20"/>
          <w:spacing w:val="-32"/>
          <w:w w:val="105"/>
        </w:rPr>
        <w:t> </w:t>
      </w:r>
      <w:r>
        <w:rPr>
          <w:color w:val="231F20"/>
          <w:spacing w:val="-3"/>
          <w:w w:val="105"/>
        </w:rPr>
        <w:t>sugerencia</w:t>
      </w:r>
      <w:r>
        <w:rPr>
          <w:color w:val="231F20"/>
          <w:spacing w:val="-32"/>
          <w:w w:val="105"/>
        </w:rPr>
        <w:t> </w:t>
      </w:r>
      <w:r>
        <w:rPr>
          <w:color w:val="231F20"/>
          <w:w w:val="105"/>
        </w:rPr>
        <w:t>se</w:t>
      </w:r>
      <w:r>
        <w:rPr>
          <w:color w:val="231F20"/>
          <w:spacing w:val="-32"/>
          <w:w w:val="105"/>
        </w:rPr>
        <w:t> </w:t>
      </w:r>
      <w:r>
        <w:rPr>
          <w:color w:val="231F20"/>
          <w:spacing w:val="-3"/>
          <w:w w:val="105"/>
        </w:rPr>
        <w:t>direcciona</w:t>
      </w:r>
      <w:r>
        <w:rPr>
          <w:color w:val="231F20"/>
          <w:spacing w:val="-32"/>
          <w:w w:val="105"/>
        </w:rPr>
        <w:t> </w:t>
      </w:r>
      <w:r>
        <w:rPr>
          <w:color w:val="231F20"/>
          <w:w w:val="105"/>
        </w:rPr>
        <w:t>hacia</w:t>
      </w:r>
      <w:r>
        <w:rPr>
          <w:color w:val="231F20"/>
          <w:spacing w:val="-32"/>
          <w:w w:val="105"/>
        </w:rPr>
        <w:t> </w:t>
      </w:r>
      <w:r>
        <w:rPr>
          <w:color w:val="231F20"/>
          <w:w w:val="105"/>
        </w:rPr>
        <w:t>el</w:t>
      </w:r>
      <w:r>
        <w:rPr>
          <w:color w:val="231F20"/>
          <w:spacing w:val="-32"/>
          <w:w w:val="105"/>
        </w:rPr>
        <w:t> </w:t>
      </w:r>
      <w:r>
        <w:rPr>
          <w:color w:val="231F20"/>
          <w:spacing w:val="-2"/>
          <w:w w:val="105"/>
        </w:rPr>
        <w:t>superávit</w:t>
      </w:r>
      <w:r>
        <w:rPr>
          <w:color w:val="231F20"/>
          <w:spacing w:val="-32"/>
          <w:w w:val="105"/>
        </w:rPr>
        <w:t> </w:t>
      </w:r>
      <w:r>
        <w:rPr>
          <w:color w:val="231F20"/>
          <w:w w:val="105"/>
        </w:rPr>
        <w:t>fiscal,</w:t>
      </w:r>
      <w:r>
        <w:rPr>
          <w:color w:val="231F20"/>
          <w:spacing w:val="-37"/>
          <w:w w:val="105"/>
        </w:rPr>
        <w:t> </w:t>
      </w:r>
      <w:r>
        <w:rPr>
          <w:color w:val="231F20"/>
          <w:w w:val="105"/>
        </w:rPr>
        <w:t>como</w:t>
      </w:r>
      <w:r>
        <w:rPr>
          <w:color w:val="231F20"/>
          <w:spacing w:val="-32"/>
          <w:w w:val="105"/>
        </w:rPr>
        <w:t> </w:t>
      </w:r>
      <w:r>
        <w:rPr>
          <w:color w:val="231F20"/>
          <w:w w:val="105"/>
        </w:rPr>
        <w:t>elemen- to</w:t>
      </w:r>
      <w:r>
        <w:rPr>
          <w:color w:val="231F20"/>
          <w:spacing w:val="-13"/>
          <w:w w:val="105"/>
        </w:rPr>
        <w:t> </w:t>
      </w:r>
      <w:r>
        <w:rPr>
          <w:color w:val="231F20"/>
          <w:w w:val="105"/>
        </w:rPr>
        <w:t>neurálgico</w:t>
      </w:r>
      <w:r>
        <w:rPr>
          <w:color w:val="231F20"/>
          <w:spacing w:val="-13"/>
          <w:w w:val="105"/>
        </w:rPr>
        <w:t> </w:t>
      </w:r>
      <w:r>
        <w:rPr>
          <w:color w:val="231F20"/>
          <w:w w:val="105"/>
        </w:rPr>
        <w:t>de</w:t>
      </w:r>
      <w:r>
        <w:rPr>
          <w:color w:val="231F20"/>
          <w:spacing w:val="-13"/>
          <w:w w:val="105"/>
        </w:rPr>
        <w:t> </w:t>
      </w:r>
      <w:r>
        <w:rPr>
          <w:color w:val="231F20"/>
          <w:w w:val="105"/>
        </w:rPr>
        <w:t>intersección</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posturas</w:t>
      </w:r>
      <w:r>
        <w:rPr>
          <w:color w:val="231F20"/>
          <w:spacing w:val="-13"/>
          <w:w w:val="105"/>
        </w:rPr>
        <w:t> </w:t>
      </w:r>
      <w:r>
        <w:rPr>
          <w:color w:val="231F20"/>
          <w:w w:val="105"/>
        </w:rPr>
        <w:t>neoclásicas</w:t>
      </w:r>
      <w:r>
        <w:rPr>
          <w:color w:val="231F20"/>
          <w:spacing w:val="-13"/>
          <w:w w:val="105"/>
        </w:rPr>
        <w:t> </w:t>
      </w:r>
      <w:r>
        <w:rPr>
          <w:color w:val="231F20"/>
          <w:w w:val="105"/>
        </w:rPr>
        <w:t>y</w:t>
      </w:r>
      <w:r>
        <w:rPr>
          <w:color w:val="231F20"/>
          <w:spacing w:val="-13"/>
          <w:w w:val="105"/>
        </w:rPr>
        <w:t> </w:t>
      </w:r>
      <w:r>
        <w:rPr>
          <w:color w:val="231F20"/>
          <w:spacing w:val="-3"/>
          <w:w w:val="105"/>
        </w:rPr>
        <w:t>keynesianas. </w:t>
      </w:r>
      <w:r>
        <w:rPr>
          <w:color w:val="231F20"/>
          <w:spacing w:val="-5"/>
          <w:w w:val="105"/>
        </w:rPr>
        <w:t>Para</w:t>
      </w:r>
      <w:r>
        <w:rPr>
          <w:color w:val="231F20"/>
          <w:spacing w:val="-34"/>
          <w:w w:val="105"/>
        </w:rPr>
        <w:t> </w:t>
      </w:r>
      <w:r>
        <w:rPr>
          <w:color w:val="231F20"/>
          <w:w w:val="105"/>
        </w:rPr>
        <w:t>el</w:t>
      </w:r>
      <w:r>
        <w:rPr>
          <w:color w:val="231F20"/>
          <w:spacing w:val="-34"/>
          <w:w w:val="105"/>
        </w:rPr>
        <w:t> </w:t>
      </w:r>
      <w:r>
        <w:rPr>
          <w:color w:val="231F20"/>
          <w:w w:val="105"/>
        </w:rPr>
        <w:t>balance</w:t>
      </w:r>
      <w:r>
        <w:rPr>
          <w:color w:val="231F20"/>
          <w:spacing w:val="-34"/>
          <w:w w:val="105"/>
        </w:rPr>
        <w:t> </w:t>
      </w:r>
      <w:r>
        <w:rPr>
          <w:color w:val="231F20"/>
          <w:w w:val="105"/>
        </w:rPr>
        <w:t>fiscal</w:t>
      </w:r>
      <w:r>
        <w:rPr>
          <w:color w:val="231F20"/>
          <w:spacing w:val="-34"/>
          <w:w w:val="105"/>
        </w:rPr>
        <w:t> </w:t>
      </w:r>
      <w:r>
        <w:rPr>
          <w:color w:val="231F20"/>
          <w:w w:val="105"/>
        </w:rPr>
        <w:t>sin</w:t>
      </w:r>
      <w:r>
        <w:rPr>
          <w:color w:val="231F20"/>
          <w:spacing w:val="-34"/>
          <w:w w:val="105"/>
        </w:rPr>
        <w:t> </w:t>
      </w:r>
      <w:r>
        <w:rPr>
          <w:color w:val="231F20"/>
          <w:spacing w:val="-3"/>
          <w:w w:val="105"/>
        </w:rPr>
        <w:t>recurso</w:t>
      </w:r>
      <w:r>
        <w:rPr>
          <w:color w:val="231F20"/>
          <w:spacing w:val="-34"/>
          <w:w w:val="105"/>
        </w:rPr>
        <w:t> </w:t>
      </w:r>
      <w:r>
        <w:rPr>
          <w:color w:val="231F20"/>
          <w:spacing w:val="-3"/>
          <w:w w:val="105"/>
        </w:rPr>
        <w:t>natural,</w:t>
      </w:r>
      <w:r>
        <w:rPr>
          <w:color w:val="231F20"/>
          <w:spacing w:val="-38"/>
          <w:w w:val="105"/>
        </w:rPr>
        <w:t> </w:t>
      </w:r>
      <w:r>
        <w:rPr>
          <w:color w:val="231F20"/>
          <w:w w:val="105"/>
        </w:rPr>
        <w:t>la</w:t>
      </w:r>
      <w:r>
        <w:rPr>
          <w:color w:val="231F20"/>
          <w:spacing w:val="-34"/>
          <w:w w:val="105"/>
        </w:rPr>
        <w:t> </w:t>
      </w:r>
      <w:r>
        <w:rPr>
          <w:color w:val="231F20"/>
          <w:spacing w:val="-3"/>
          <w:w w:val="105"/>
        </w:rPr>
        <w:t>sugerencia</w:t>
      </w:r>
      <w:r>
        <w:rPr>
          <w:color w:val="231F20"/>
          <w:spacing w:val="-34"/>
          <w:w w:val="105"/>
        </w:rPr>
        <w:t> </w:t>
      </w:r>
      <w:r>
        <w:rPr>
          <w:color w:val="231F20"/>
          <w:w w:val="105"/>
        </w:rPr>
        <w:t>es</w:t>
      </w:r>
      <w:r>
        <w:rPr>
          <w:color w:val="231F20"/>
          <w:spacing w:val="-34"/>
          <w:w w:val="105"/>
        </w:rPr>
        <w:t> </w:t>
      </w:r>
      <w:r>
        <w:rPr>
          <w:color w:val="231F20"/>
          <w:w w:val="105"/>
        </w:rPr>
        <w:t>evitar</w:t>
      </w:r>
      <w:r>
        <w:rPr>
          <w:color w:val="231F20"/>
          <w:spacing w:val="-34"/>
          <w:w w:val="105"/>
        </w:rPr>
        <w:t> </w:t>
      </w:r>
      <w:r>
        <w:rPr>
          <w:color w:val="231F20"/>
          <w:w w:val="105"/>
        </w:rPr>
        <w:t>el</w:t>
      </w:r>
      <w:r>
        <w:rPr>
          <w:color w:val="231F20"/>
          <w:spacing w:val="-34"/>
          <w:w w:val="105"/>
        </w:rPr>
        <w:t> </w:t>
      </w:r>
      <w:r>
        <w:rPr>
          <w:color w:val="231F20"/>
          <w:spacing w:val="-3"/>
          <w:w w:val="105"/>
        </w:rPr>
        <w:t>deterioro </w:t>
      </w:r>
      <w:r>
        <w:rPr>
          <w:color w:val="231F20"/>
          <w:w w:val="105"/>
        </w:rPr>
        <w:t>del</w:t>
      </w:r>
      <w:r>
        <w:rPr>
          <w:color w:val="231F20"/>
          <w:spacing w:val="-20"/>
          <w:w w:val="105"/>
        </w:rPr>
        <w:t> </w:t>
      </w:r>
      <w:r>
        <w:rPr>
          <w:color w:val="231F20"/>
          <w:w w:val="105"/>
        </w:rPr>
        <w:t>déficit</w:t>
      </w:r>
      <w:r>
        <w:rPr>
          <w:color w:val="231F20"/>
          <w:spacing w:val="-20"/>
          <w:w w:val="105"/>
        </w:rPr>
        <w:t> </w:t>
      </w:r>
      <w:r>
        <w:rPr>
          <w:color w:val="231F20"/>
          <w:w w:val="105"/>
        </w:rPr>
        <w:t>fiscal</w:t>
      </w:r>
      <w:r>
        <w:rPr>
          <w:color w:val="231F20"/>
          <w:spacing w:val="-20"/>
          <w:w w:val="105"/>
        </w:rPr>
        <w:t> </w:t>
      </w:r>
      <w:r>
        <w:rPr>
          <w:color w:val="231F20"/>
          <w:w w:val="105"/>
        </w:rPr>
        <w:t>no</w:t>
      </w:r>
      <w:r>
        <w:rPr>
          <w:color w:val="231F20"/>
          <w:spacing w:val="-20"/>
          <w:w w:val="105"/>
        </w:rPr>
        <w:t> </w:t>
      </w:r>
      <w:r>
        <w:rPr>
          <w:color w:val="231F20"/>
          <w:spacing w:val="-3"/>
          <w:w w:val="105"/>
        </w:rPr>
        <w:t>petrolero</w:t>
      </w:r>
      <w:r>
        <w:rPr>
          <w:color w:val="231F20"/>
          <w:spacing w:val="-20"/>
          <w:w w:val="105"/>
        </w:rPr>
        <w:t> </w:t>
      </w:r>
      <w:r>
        <w:rPr>
          <w:color w:val="231F20"/>
          <w:w w:val="105"/>
        </w:rPr>
        <w:t>o</w:t>
      </w:r>
      <w:r>
        <w:rPr>
          <w:color w:val="231F20"/>
          <w:spacing w:val="-20"/>
          <w:w w:val="105"/>
        </w:rPr>
        <w:t> </w:t>
      </w:r>
      <w:r>
        <w:rPr>
          <w:color w:val="231F20"/>
          <w:w w:val="105"/>
        </w:rPr>
        <w:t>al</w:t>
      </w:r>
      <w:r>
        <w:rPr>
          <w:color w:val="231F20"/>
          <w:spacing w:val="-20"/>
          <w:w w:val="105"/>
        </w:rPr>
        <w:t> </w:t>
      </w:r>
      <w:r>
        <w:rPr>
          <w:color w:val="231F20"/>
          <w:w w:val="105"/>
        </w:rPr>
        <w:t>menos</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mantenga</w:t>
      </w:r>
      <w:r>
        <w:rPr>
          <w:color w:val="231F20"/>
          <w:spacing w:val="-20"/>
          <w:w w:val="105"/>
        </w:rPr>
        <w:t> </w:t>
      </w:r>
      <w:r>
        <w:rPr>
          <w:color w:val="231F20"/>
          <w:w w:val="105"/>
        </w:rPr>
        <w:t>constante.</w:t>
      </w:r>
    </w:p>
    <w:p>
      <w:pPr>
        <w:pStyle w:val="BodyText"/>
        <w:spacing w:line="259" w:lineRule="auto"/>
        <w:ind w:left="115" w:right="106" w:firstLine="621"/>
        <w:jc w:val="both"/>
      </w:pPr>
      <w:r>
        <w:rPr>
          <w:color w:val="231F20"/>
          <w:w w:val="105"/>
        </w:rPr>
        <w:t>Como</w:t>
      </w:r>
      <w:r>
        <w:rPr>
          <w:color w:val="231F20"/>
          <w:spacing w:val="-13"/>
          <w:w w:val="105"/>
        </w:rPr>
        <w:t> </w:t>
      </w:r>
      <w:r>
        <w:rPr>
          <w:color w:val="231F20"/>
          <w:w w:val="105"/>
        </w:rPr>
        <w:t>cuarto</w:t>
      </w:r>
      <w:r>
        <w:rPr>
          <w:color w:val="231F20"/>
          <w:spacing w:val="-13"/>
          <w:w w:val="105"/>
        </w:rPr>
        <w:t> </w:t>
      </w:r>
      <w:r>
        <w:rPr>
          <w:color w:val="231F20"/>
          <w:w w:val="105"/>
        </w:rPr>
        <w:t>elemento</w:t>
      </w:r>
      <w:r>
        <w:rPr>
          <w:color w:val="231F20"/>
          <w:spacing w:val="-13"/>
          <w:w w:val="105"/>
        </w:rPr>
        <w:t> </w:t>
      </w:r>
      <w:r>
        <w:rPr>
          <w:color w:val="231F20"/>
          <w:w w:val="105"/>
        </w:rPr>
        <w:t>se</w:t>
      </w:r>
      <w:r>
        <w:rPr>
          <w:color w:val="231F20"/>
          <w:spacing w:val="-13"/>
          <w:w w:val="105"/>
        </w:rPr>
        <w:t> </w:t>
      </w:r>
      <w:r>
        <w:rPr>
          <w:color w:val="231F20"/>
          <w:w w:val="105"/>
        </w:rPr>
        <w:t>menciona</w:t>
      </w:r>
      <w:r>
        <w:rPr>
          <w:color w:val="231F20"/>
          <w:spacing w:val="-13"/>
          <w:w w:val="105"/>
        </w:rPr>
        <w:t> </w:t>
      </w:r>
      <w:r>
        <w:rPr>
          <w:color w:val="231F20"/>
          <w:w w:val="105"/>
        </w:rPr>
        <w:t>un</w:t>
      </w:r>
      <w:r>
        <w:rPr>
          <w:color w:val="231F20"/>
          <w:spacing w:val="-13"/>
          <w:w w:val="105"/>
        </w:rPr>
        <w:t> </w:t>
      </w:r>
      <w:r>
        <w:rPr>
          <w:color w:val="231F20"/>
          <w:w w:val="105"/>
        </w:rPr>
        <w:t>manejo</w:t>
      </w:r>
      <w:r>
        <w:rPr>
          <w:color w:val="231F20"/>
          <w:spacing w:val="-13"/>
          <w:w w:val="105"/>
        </w:rPr>
        <w:t> </w:t>
      </w:r>
      <w:r>
        <w:rPr>
          <w:color w:val="231F20"/>
          <w:w w:val="105"/>
        </w:rPr>
        <w:t>contracíclico</w:t>
      </w:r>
      <w:r>
        <w:rPr>
          <w:color w:val="231F20"/>
          <w:spacing w:val="-13"/>
          <w:w w:val="105"/>
        </w:rPr>
        <w:t> </w:t>
      </w:r>
      <w:r>
        <w:rPr>
          <w:color w:val="231F20"/>
          <w:w w:val="105"/>
        </w:rPr>
        <w:t>de</w:t>
      </w:r>
      <w:r>
        <w:rPr>
          <w:color w:val="231F20"/>
          <w:spacing w:val="-13"/>
          <w:w w:val="105"/>
        </w:rPr>
        <w:t> </w:t>
      </w:r>
      <w:r>
        <w:rPr>
          <w:color w:val="231F20"/>
          <w:w w:val="105"/>
        </w:rPr>
        <w:t>la deuda</w:t>
      </w:r>
      <w:r>
        <w:rPr>
          <w:color w:val="231F20"/>
          <w:spacing w:val="-20"/>
          <w:w w:val="105"/>
        </w:rPr>
        <w:t> </w:t>
      </w:r>
      <w:r>
        <w:rPr>
          <w:color w:val="231F20"/>
          <w:w w:val="105"/>
        </w:rPr>
        <w:t>pública</w:t>
      </w:r>
      <w:r>
        <w:rPr>
          <w:color w:val="231F20"/>
          <w:spacing w:val="-20"/>
          <w:w w:val="105"/>
        </w:rPr>
        <w:t> </w:t>
      </w:r>
      <w:r>
        <w:rPr>
          <w:color w:val="231F20"/>
          <w:w w:val="105"/>
        </w:rPr>
        <w:t>al</w:t>
      </w:r>
      <w:r>
        <w:rPr>
          <w:color w:val="231F20"/>
          <w:spacing w:val="-20"/>
          <w:w w:val="105"/>
        </w:rPr>
        <w:t> </w:t>
      </w:r>
      <w:r>
        <w:rPr>
          <w:color w:val="231F20"/>
          <w:w w:val="105"/>
        </w:rPr>
        <w:t>curso</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precios</w:t>
      </w:r>
      <w:r>
        <w:rPr>
          <w:color w:val="231F20"/>
          <w:spacing w:val="-20"/>
          <w:w w:val="105"/>
        </w:rPr>
        <w:t> </w:t>
      </w:r>
      <w:r>
        <w:rPr>
          <w:color w:val="231F20"/>
          <w:w w:val="105"/>
        </w:rPr>
        <w:t>del</w:t>
      </w:r>
      <w:r>
        <w:rPr>
          <w:color w:val="231F20"/>
          <w:spacing w:val="-20"/>
          <w:w w:val="105"/>
        </w:rPr>
        <w:t> </w:t>
      </w:r>
      <w:r>
        <w:rPr>
          <w:color w:val="231F20"/>
          <w:w w:val="105"/>
        </w:rPr>
        <w:t>recurso</w:t>
      </w:r>
      <w:r>
        <w:rPr>
          <w:color w:val="231F20"/>
          <w:spacing w:val="-20"/>
          <w:w w:val="105"/>
        </w:rPr>
        <w:t> </w:t>
      </w:r>
      <w:r>
        <w:rPr>
          <w:color w:val="231F20"/>
          <w:w w:val="105"/>
        </w:rPr>
        <w:t>natural:</w:t>
      </w:r>
      <w:r>
        <w:rPr>
          <w:color w:val="231F20"/>
          <w:spacing w:val="-20"/>
          <w:w w:val="105"/>
        </w:rPr>
        <w:t> </w:t>
      </w:r>
      <w:r>
        <w:rPr>
          <w:color w:val="231F20"/>
          <w:w w:val="105"/>
        </w:rPr>
        <w:t>acumulación</w:t>
      </w:r>
      <w:r>
        <w:rPr>
          <w:color w:val="231F20"/>
          <w:spacing w:val="-20"/>
          <w:w w:val="105"/>
        </w:rPr>
        <w:t> </w:t>
      </w:r>
      <w:r>
        <w:rPr>
          <w:color w:val="231F20"/>
          <w:w w:val="105"/>
        </w:rPr>
        <w:t>de superávits fiscales y disminución de deuda pública para ser empleados durante</w:t>
      </w:r>
      <w:r>
        <w:rPr>
          <w:color w:val="231F20"/>
          <w:spacing w:val="-21"/>
          <w:w w:val="105"/>
        </w:rPr>
        <w:t> </w:t>
      </w:r>
      <w:r>
        <w:rPr>
          <w:color w:val="231F20"/>
          <w:w w:val="105"/>
        </w:rPr>
        <w:t>épocas</w:t>
      </w:r>
      <w:r>
        <w:rPr>
          <w:color w:val="231F20"/>
          <w:spacing w:val="-21"/>
          <w:w w:val="105"/>
        </w:rPr>
        <w:t> </w:t>
      </w:r>
      <w:r>
        <w:rPr>
          <w:color w:val="231F20"/>
          <w:w w:val="105"/>
        </w:rPr>
        <w:t>de</w:t>
      </w:r>
      <w:r>
        <w:rPr>
          <w:color w:val="231F20"/>
          <w:spacing w:val="-21"/>
          <w:w w:val="105"/>
        </w:rPr>
        <w:t> </w:t>
      </w:r>
      <w:r>
        <w:rPr>
          <w:color w:val="231F20"/>
          <w:w w:val="105"/>
        </w:rPr>
        <w:t>recesión</w:t>
      </w:r>
      <w:r>
        <w:rPr>
          <w:color w:val="231F20"/>
          <w:spacing w:val="-21"/>
          <w:w w:val="105"/>
        </w:rPr>
        <w:t> </w:t>
      </w:r>
      <w:r>
        <w:rPr>
          <w:color w:val="231F20"/>
          <w:w w:val="105"/>
        </w:rPr>
        <w:t>o</w:t>
      </w:r>
      <w:r>
        <w:rPr>
          <w:color w:val="231F20"/>
          <w:spacing w:val="-21"/>
          <w:w w:val="105"/>
        </w:rPr>
        <w:t> </w:t>
      </w:r>
      <w:r>
        <w:rPr>
          <w:color w:val="231F20"/>
          <w:w w:val="105"/>
        </w:rPr>
        <w:t>desaceleración</w:t>
      </w:r>
      <w:r>
        <w:rPr>
          <w:color w:val="231F20"/>
          <w:spacing w:val="-21"/>
          <w:w w:val="105"/>
        </w:rPr>
        <w:t> </w:t>
      </w:r>
      <w:r>
        <w:rPr>
          <w:color w:val="231F20"/>
          <w:w w:val="105"/>
        </w:rPr>
        <w:t>económica.</w:t>
      </w:r>
    </w:p>
    <w:p>
      <w:pPr>
        <w:pStyle w:val="BodyText"/>
        <w:spacing w:line="259" w:lineRule="auto"/>
        <w:ind w:left="115" w:right="106" w:firstLine="567"/>
        <w:jc w:val="both"/>
      </w:pPr>
      <w:r>
        <w:rPr>
          <w:color w:val="231F20"/>
          <w:w w:val="105"/>
        </w:rPr>
        <w:t>Finalmente, como quinto elemento, la implementación de reglas fiscales es el valor institucional del gobierno como un acuerdo entre</w:t>
      </w:r>
      <w:r>
        <w:rPr>
          <w:color w:val="231F20"/>
          <w:spacing w:val="-19"/>
          <w:w w:val="105"/>
        </w:rPr>
        <w:t> </w:t>
      </w:r>
      <w:r>
        <w:rPr>
          <w:color w:val="231F20"/>
          <w:w w:val="105"/>
        </w:rPr>
        <w:t>so- ciedad</w:t>
      </w:r>
      <w:r>
        <w:rPr>
          <w:color w:val="231F20"/>
          <w:spacing w:val="-4"/>
          <w:w w:val="105"/>
        </w:rPr>
        <w:t> </w:t>
      </w:r>
      <w:r>
        <w:rPr>
          <w:color w:val="231F20"/>
          <w:w w:val="105"/>
        </w:rPr>
        <w:t>y</w:t>
      </w:r>
      <w:r>
        <w:rPr>
          <w:color w:val="231F20"/>
          <w:spacing w:val="-4"/>
          <w:w w:val="105"/>
        </w:rPr>
        <w:t> </w:t>
      </w:r>
      <w:r>
        <w:rPr>
          <w:color w:val="231F20"/>
          <w:w w:val="105"/>
        </w:rPr>
        <w:t>estado</w:t>
      </w:r>
      <w:r>
        <w:rPr>
          <w:color w:val="231F20"/>
          <w:spacing w:val="-4"/>
          <w:w w:val="105"/>
        </w:rPr>
        <w:t> </w:t>
      </w:r>
      <w:r>
        <w:rPr>
          <w:color w:val="231F20"/>
          <w:w w:val="105"/>
        </w:rPr>
        <w:t>con</w:t>
      </w:r>
      <w:r>
        <w:rPr>
          <w:color w:val="231F20"/>
          <w:spacing w:val="-4"/>
          <w:w w:val="105"/>
        </w:rPr>
        <w:t> </w:t>
      </w:r>
      <w:r>
        <w:rPr>
          <w:color w:val="231F20"/>
          <w:w w:val="105"/>
        </w:rPr>
        <w:t>el</w:t>
      </w:r>
      <w:r>
        <w:rPr>
          <w:color w:val="231F20"/>
          <w:spacing w:val="-4"/>
          <w:w w:val="105"/>
        </w:rPr>
        <w:t> </w:t>
      </w:r>
      <w:r>
        <w:rPr>
          <w:color w:val="231F20"/>
          <w:w w:val="105"/>
        </w:rPr>
        <w:t>fin</w:t>
      </w:r>
      <w:r>
        <w:rPr>
          <w:color w:val="231F20"/>
          <w:spacing w:val="-4"/>
          <w:w w:val="105"/>
        </w:rPr>
        <w:t> </w:t>
      </w:r>
      <w:r>
        <w:rPr>
          <w:color w:val="231F20"/>
          <w:w w:val="105"/>
        </w:rPr>
        <w:t>de</w:t>
      </w:r>
      <w:r>
        <w:rPr>
          <w:color w:val="231F20"/>
          <w:spacing w:val="-4"/>
          <w:w w:val="105"/>
        </w:rPr>
        <w:t> </w:t>
      </w:r>
      <w:r>
        <w:rPr>
          <w:color w:val="231F20"/>
          <w:w w:val="105"/>
        </w:rPr>
        <w:t>mejorar</w:t>
      </w:r>
      <w:r>
        <w:rPr>
          <w:color w:val="231F20"/>
          <w:spacing w:val="-4"/>
          <w:w w:val="105"/>
        </w:rPr>
        <w:t> </w:t>
      </w:r>
      <w:r>
        <w:rPr>
          <w:color w:val="231F20"/>
          <w:w w:val="105"/>
        </w:rPr>
        <w:t>la</w:t>
      </w:r>
      <w:r>
        <w:rPr>
          <w:color w:val="231F20"/>
          <w:spacing w:val="-4"/>
          <w:w w:val="105"/>
        </w:rPr>
        <w:t> </w:t>
      </w:r>
      <w:r>
        <w:rPr>
          <w:color w:val="231F20"/>
          <w:w w:val="105"/>
        </w:rPr>
        <w:t>eficiencia</w:t>
      </w:r>
      <w:r>
        <w:rPr>
          <w:color w:val="231F20"/>
          <w:spacing w:val="-4"/>
          <w:w w:val="105"/>
        </w:rPr>
        <w:t> </w:t>
      </w:r>
      <w:r>
        <w:rPr>
          <w:color w:val="231F20"/>
          <w:w w:val="105"/>
        </w:rPr>
        <w:t>pública</w:t>
      </w:r>
      <w:r>
        <w:rPr>
          <w:color w:val="231F20"/>
          <w:spacing w:val="-4"/>
          <w:w w:val="105"/>
        </w:rPr>
        <w:t> </w:t>
      </w:r>
      <w:r>
        <w:rPr>
          <w:color w:val="231F20"/>
          <w:w w:val="105"/>
        </w:rPr>
        <w:t>en</w:t>
      </w:r>
      <w:r>
        <w:rPr>
          <w:color w:val="231F20"/>
          <w:spacing w:val="-4"/>
          <w:w w:val="105"/>
        </w:rPr>
        <w:t> </w:t>
      </w:r>
      <w:r>
        <w:rPr>
          <w:color w:val="231F20"/>
          <w:w w:val="105"/>
        </w:rPr>
        <w:t>función</w:t>
      </w:r>
      <w:r>
        <w:rPr>
          <w:color w:val="231F20"/>
          <w:spacing w:val="-4"/>
          <w:w w:val="105"/>
        </w:rPr>
        <w:t> </w:t>
      </w:r>
      <w:r>
        <w:rPr>
          <w:color w:val="231F20"/>
          <w:w w:val="105"/>
        </w:rPr>
        <w:t>del contexto económico interno y</w:t>
      </w:r>
      <w:r>
        <w:rPr>
          <w:color w:val="231F20"/>
          <w:spacing w:val="-32"/>
          <w:w w:val="105"/>
        </w:rPr>
        <w:t> </w:t>
      </w:r>
      <w:r>
        <w:rPr>
          <w:color w:val="231F20"/>
          <w:w w:val="105"/>
        </w:rPr>
        <w:t>externo.</w:t>
      </w:r>
    </w:p>
    <w:p>
      <w:pPr>
        <w:pStyle w:val="BodyText"/>
        <w:spacing w:line="259" w:lineRule="auto"/>
        <w:ind w:left="115" w:right="106" w:firstLine="567"/>
        <w:jc w:val="both"/>
      </w:pPr>
      <w:r>
        <w:rPr>
          <w:color w:val="231F20"/>
          <w:w w:val="105"/>
        </w:rPr>
        <w:t>La</w:t>
      </w:r>
      <w:r>
        <w:rPr>
          <w:color w:val="231F20"/>
          <w:spacing w:val="-18"/>
          <w:w w:val="105"/>
        </w:rPr>
        <w:t> </w:t>
      </w:r>
      <w:r>
        <w:rPr>
          <w:color w:val="231F20"/>
          <w:spacing w:val="-3"/>
          <w:w w:val="105"/>
        </w:rPr>
        <w:t>relevancia</w:t>
      </w:r>
      <w:r>
        <w:rPr>
          <w:color w:val="231F20"/>
          <w:spacing w:val="-18"/>
          <w:w w:val="105"/>
        </w:rPr>
        <w:t> </w:t>
      </w:r>
      <w:r>
        <w:rPr>
          <w:color w:val="231F20"/>
          <w:w w:val="105"/>
        </w:rPr>
        <w:t>de</w:t>
      </w:r>
      <w:r>
        <w:rPr>
          <w:color w:val="231F20"/>
          <w:spacing w:val="-18"/>
          <w:w w:val="105"/>
        </w:rPr>
        <w:t> </w:t>
      </w:r>
      <w:r>
        <w:rPr>
          <w:color w:val="231F20"/>
          <w:spacing w:val="-3"/>
          <w:w w:val="105"/>
        </w:rPr>
        <w:t>implementar</w:t>
      </w:r>
      <w:r>
        <w:rPr>
          <w:color w:val="231F20"/>
          <w:spacing w:val="-18"/>
          <w:w w:val="105"/>
        </w:rPr>
        <w:t> </w:t>
      </w:r>
      <w:r>
        <w:rPr>
          <w:color w:val="231F20"/>
          <w:w w:val="105"/>
        </w:rPr>
        <w:t>una</w:t>
      </w:r>
      <w:r>
        <w:rPr>
          <w:color w:val="231F20"/>
          <w:spacing w:val="-18"/>
          <w:w w:val="105"/>
        </w:rPr>
        <w:t> </w:t>
      </w:r>
      <w:r>
        <w:rPr>
          <w:color w:val="231F20"/>
          <w:spacing w:val="-3"/>
          <w:w w:val="105"/>
        </w:rPr>
        <w:t>regla</w:t>
      </w:r>
      <w:r>
        <w:rPr>
          <w:color w:val="231F20"/>
          <w:spacing w:val="-18"/>
          <w:w w:val="105"/>
        </w:rPr>
        <w:t> </w:t>
      </w:r>
      <w:r>
        <w:rPr>
          <w:color w:val="231F20"/>
          <w:spacing w:val="-3"/>
          <w:w w:val="105"/>
        </w:rPr>
        <w:t>fiscal</w:t>
      </w:r>
      <w:r>
        <w:rPr>
          <w:color w:val="231F20"/>
          <w:spacing w:val="-18"/>
          <w:w w:val="105"/>
        </w:rPr>
        <w:t> </w:t>
      </w:r>
      <w:r>
        <w:rPr>
          <w:color w:val="231F20"/>
          <w:w w:val="105"/>
        </w:rPr>
        <w:t>a</w:t>
      </w:r>
      <w:r>
        <w:rPr>
          <w:color w:val="231F20"/>
          <w:spacing w:val="-18"/>
          <w:w w:val="105"/>
        </w:rPr>
        <w:t> </w:t>
      </w:r>
      <w:r>
        <w:rPr>
          <w:color w:val="231F20"/>
          <w:w w:val="105"/>
        </w:rPr>
        <w:t>un</w:t>
      </w:r>
      <w:r>
        <w:rPr>
          <w:color w:val="231F20"/>
          <w:spacing w:val="-18"/>
          <w:w w:val="105"/>
        </w:rPr>
        <w:t> </w:t>
      </w:r>
      <w:r>
        <w:rPr>
          <w:color w:val="231F20"/>
          <w:spacing w:val="-3"/>
          <w:w w:val="105"/>
        </w:rPr>
        <w:t>país</w:t>
      </w:r>
      <w:r>
        <w:rPr>
          <w:color w:val="231F20"/>
          <w:spacing w:val="-18"/>
          <w:w w:val="105"/>
        </w:rPr>
        <w:t> </w:t>
      </w:r>
      <w:r>
        <w:rPr>
          <w:color w:val="231F20"/>
          <w:spacing w:val="-3"/>
          <w:w w:val="105"/>
        </w:rPr>
        <w:t>dependiente </w:t>
      </w:r>
      <w:r>
        <w:rPr>
          <w:color w:val="231F20"/>
          <w:w w:val="105"/>
        </w:rPr>
        <w:t>de</w:t>
      </w:r>
      <w:r>
        <w:rPr>
          <w:color w:val="231F20"/>
          <w:spacing w:val="-23"/>
          <w:w w:val="105"/>
        </w:rPr>
        <w:t> </w:t>
      </w:r>
      <w:r>
        <w:rPr>
          <w:color w:val="231F20"/>
          <w:spacing w:val="-3"/>
          <w:w w:val="105"/>
        </w:rPr>
        <w:t>recursos</w:t>
      </w:r>
      <w:r>
        <w:rPr>
          <w:color w:val="231F20"/>
          <w:spacing w:val="-23"/>
          <w:w w:val="105"/>
        </w:rPr>
        <w:t> </w:t>
      </w:r>
      <w:r>
        <w:rPr>
          <w:color w:val="231F20"/>
          <w:spacing w:val="-4"/>
          <w:w w:val="105"/>
        </w:rPr>
        <w:t>naturales</w:t>
      </w:r>
      <w:r>
        <w:rPr>
          <w:color w:val="231F20"/>
          <w:spacing w:val="-23"/>
          <w:w w:val="105"/>
        </w:rPr>
        <w:t> </w:t>
      </w:r>
      <w:r>
        <w:rPr>
          <w:color w:val="231F20"/>
          <w:w w:val="105"/>
        </w:rPr>
        <w:t>se</w:t>
      </w:r>
      <w:r>
        <w:rPr>
          <w:color w:val="231F20"/>
          <w:spacing w:val="-23"/>
          <w:w w:val="105"/>
        </w:rPr>
        <w:t> </w:t>
      </w:r>
      <w:r>
        <w:rPr>
          <w:color w:val="231F20"/>
          <w:spacing w:val="-3"/>
          <w:w w:val="105"/>
        </w:rPr>
        <w:t>centra</w:t>
      </w:r>
      <w:r>
        <w:rPr>
          <w:color w:val="231F20"/>
          <w:spacing w:val="-23"/>
          <w:w w:val="105"/>
        </w:rPr>
        <w:t> </w:t>
      </w:r>
      <w:r>
        <w:rPr>
          <w:color w:val="231F20"/>
          <w:w w:val="105"/>
        </w:rPr>
        <w:t>en</w:t>
      </w:r>
      <w:r>
        <w:rPr>
          <w:color w:val="231F20"/>
          <w:spacing w:val="-23"/>
          <w:w w:val="105"/>
        </w:rPr>
        <w:t> </w:t>
      </w:r>
      <w:r>
        <w:rPr>
          <w:color w:val="231F20"/>
          <w:spacing w:val="-3"/>
          <w:w w:val="105"/>
        </w:rPr>
        <w:t>evitar</w:t>
      </w:r>
      <w:r>
        <w:rPr>
          <w:color w:val="231F20"/>
          <w:spacing w:val="-23"/>
          <w:w w:val="105"/>
        </w:rPr>
        <w:t> </w:t>
      </w:r>
      <w:r>
        <w:rPr>
          <w:color w:val="231F20"/>
          <w:w w:val="105"/>
        </w:rPr>
        <w:t>un</w:t>
      </w:r>
      <w:r>
        <w:rPr>
          <w:color w:val="231F20"/>
          <w:spacing w:val="-23"/>
          <w:w w:val="105"/>
        </w:rPr>
        <w:t> </w:t>
      </w:r>
      <w:r>
        <w:rPr>
          <w:color w:val="231F20"/>
          <w:spacing w:val="-3"/>
          <w:w w:val="105"/>
        </w:rPr>
        <w:t>manejo</w:t>
      </w:r>
      <w:r>
        <w:rPr>
          <w:color w:val="231F20"/>
          <w:spacing w:val="-23"/>
          <w:w w:val="105"/>
        </w:rPr>
        <w:t> </w:t>
      </w:r>
      <w:r>
        <w:rPr>
          <w:color w:val="231F20"/>
          <w:spacing w:val="-3"/>
          <w:w w:val="105"/>
        </w:rPr>
        <w:t>inadecuado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posi- ción</w:t>
      </w:r>
      <w:r>
        <w:rPr>
          <w:color w:val="231F20"/>
          <w:spacing w:val="-21"/>
          <w:w w:val="105"/>
        </w:rPr>
        <w:t> </w:t>
      </w:r>
      <w:r>
        <w:rPr>
          <w:color w:val="231F20"/>
          <w:spacing w:val="-3"/>
          <w:w w:val="105"/>
        </w:rPr>
        <w:t>fiscal:</w:t>
      </w:r>
      <w:r>
        <w:rPr>
          <w:color w:val="231F20"/>
          <w:spacing w:val="-21"/>
          <w:w w:val="105"/>
        </w:rPr>
        <w:t> </w:t>
      </w:r>
      <w:r>
        <w:rPr>
          <w:color w:val="231F20"/>
          <w:spacing w:val="-3"/>
          <w:w w:val="105"/>
        </w:rPr>
        <w:t>orientación</w:t>
      </w:r>
      <w:r>
        <w:rPr>
          <w:color w:val="231F20"/>
          <w:spacing w:val="-21"/>
          <w:w w:val="105"/>
        </w:rPr>
        <w:t> </w:t>
      </w:r>
      <w:r>
        <w:rPr>
          <w:color w:val="231F20"/>
          <w:spacing w:val="-3"/>
          <w:w w:val="105"/>
        </w:rPr>
        <w:t>procíclica</w:t>
      </w:r>
      <w:r>
        <w:rPr>
          <w:color w:val="231F20"/>
          <w:spacing w:val="-21"/>
          <w:w w:val="105"/>
        </w:rPr>
        <w:t> </w:t>
      </w:r>
      <w:r>
        <w:rPr>
          <w:color w:val="231F20"/>
          <w:w w:val="105"/>
        </w:rPr>
        <w:t>del</w:t>
      </w:r>
      <w:r>
        <w:rPr>
          <w:color w:val="231F20"/>
          <w:spacing w:val="-21"/>
          <w:w w:val="105"/>
        </w:rPr>
        <w:t> </w:t>
      </w:r>
      <w:r>
        <w:rPr>
          <w:color w:val="231F20"/>
          <w:spacing w:val="-3"/>
          <w:w w:val="105"/>
        </w:rPr>
        <w:t>gasto</w:t>
      </w:r>
      <w:r>
        <w:rPr>
          <w:color w:val="231F20"/>
          <w:spacing w:val="-21"/>
          <w:w w:val="105"/>
        </w:rPr>
        <w:t> </w:t>
      </w:r>
      <w:r>
        <w:rPr>
          <w:color w:val="231F20"/>
          <w:spacing w:val="-3"/>
          <w:w w:val="105"/>
        </w:rPr>
        <w:t>público</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spacing w:val="-3"/>
          <w:w w:val="105"/>
        </w:rPr>
        <w:t>precios</w:t>
      </w:r>
      <w:r>
        <w:rPr>
          <w:color w:val="231F20"/>
          <w:spacing w:val="-21"/>
          <w:w w:val="105"/>
        </w:rPr>
        <w:t> </w:t>
      </w:r>
      <w:r>
        <w:rPr>
          <w:color w:val="231F20"/>
          <w:w w:val="105"/>
        </w:rPr>
        <w:t>del</w:t>
      </w:r>
      <w:r>
        <w:rPr>
          <w:color w:val="231F20"/>
          <w:spacing w:val="-21"/>
          <w:w w:val="105"/>
        </w:rPr>
        <w:t> </w:t>
      </w:r>
      <w:r>
        <w:rPr>
          <w:color w:val="231F20"/>
          <w:spacing w:val="-4"/>
          <w:w w:val="105"/>
        </w:rPr>
        <w:t>recurso natural,</w:t>
      </w:r>
      <w:r>
        <w:rPr>
          <w:color w:val="231F20"/>
          <w:spacing w:val="-17"/>
          <w:w w:val="105"/>
        </w:rPr>
        <w:t> </w:t>
      </w:r>
      <w:r>
        <w:rPr>
          <w:color w:val="231F20"/>
          <w:spacing w:val="-3"/>
          <w:w w:val="105"/>
        </w:rPr>
        <w:t>presencia</w:t>
      </w:r>
      <w:r>
        <w:rPr>
          <w:color w:val="231F20"/>
          <w:spacing w:val="-11"/>
          <w:w w:val="105"/>
        </w:rPr>
        <w:t> </w:t>
      </w:r>
      <w:r>
        <w:rPr>
          <w:color w:val="231F20"/>
          <w:w w:val="105"/>
        </w:rPr>
        <w:t>de</w:t>
      </w:r>
      <w:r>
        <w:rPr>
          <w:color w:val="231F20"/>
          <w:spacing w:val="-11"/>
          <w:w w:val="105"/>
        </w:rPr>
        <w:t> </w:t>
      </w:r>
      <w:r>
        <w:rPr>
          <w:color w:val="231F20"/>
          <w:spacing w:val="-3"/>
          <w:w w:val="105"/>
        </w:rPr>
        <w:t>déficit</w:t>
      </w:r>
      <w:r>
        <w:rPr>
          <w:color w:val="231F20"/>
          <w:spacing w:val="-11"/>
          <w:w w:val="105"/>
        </w:rPr>
        <w:t> </w:t>
      </w:r>
      <w:r>
        <w:rPr>
          <w:color w:val="231F20"/>
          <w:spacing w:val="-3"/>
          <w:w w:val="105"/>
        </w:rPr>
        <w:t>fiscales,</w:t>
      </w:r>
      <w:r>
        <w:rPr>
          <w:color w:val="231F20"/>
          <w:spacing w:val="-17"/>
          <w:w w:val="105"/>
        </w:rPr>
        <w:t> </w:t>
      </w:r>
      <w:r>
        <w:rPr>
          <w:color w:val="231F20"/>
          <w:spacing w:val="-3"/>
          <w:w w:val="105"/>
        </w:rPr>
        <w:t>menor</w:t>
      </w:r>
      <w:r>
        <w:rPr>
          <w:color w:val="231F20"/>
          <w:spacing w:val="-11"/>
          <w:w w:val="105"/>
        </w:rPr>
        <w:t> </w:t>
      </w:r>
      <w:r>
        <w:rPr>
          <w:color w:val="231F20"/>
          <w:spacing w:val="-3"/>
          <w:w w:val="105"/>
        </w:rPr>
        <w:t>crecimiento</w:t>
      </w:r>
      <w:r>
        <w:rPr>
          <w:color w:val="231F20"/>
          <w:spacing w:val="-11"/>
          <w:w w:val="105"/>
        </w:rPr>
        <w:t> </w:t>
      </w:r>
      <w:r>
        <w:rPr>
          <w:color w:val="231F20"/>
          <w:spacing w:val="-3"/>
          <w:w w:val="105"/>
        </w:rPr>
        <w:t>económico,</w:t>
      </w:r>
      <w:r>
        <w:rPr>
          <w:color w:val="231F20"/>
          <w:spacing w:val="-17"/>
          <w:w w:val="105"/>
        </w:rPr>
        <w:t> </w:t>
      </w:r>
      <w:r>
        <w:rPr>
          <w:color w:val="231F20"/>
          <w:spacing w:val="-3"/>
          <w:w w:val="105"/>
        </w:rPr>
        <w:t>incre- mento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deuda</w:t>
      </w:r>
      <w:r>
        <w:rPr>
          <w:color w:val="231F20"/>
          <w:spacing w:val="-21"/>
          <w:w w:val="105"/>
        </w:rPr>
        <w:t> </w:t>
      </w:r>
      <w:r>
        <w:rPr>
          <w:color w:val="231F20"/>
          <w:spacing w:val="-3"/>
          <w:w w:val="105"/>
        </w:rPr>
        <w:t>pública,</w:t>
      </w:r>
      <w:r>
        <w:rPr>
          <w:color w:val="231F20"/>
          <w:spacing w:val="-26"/>
          <w:w w:val="105"/>
        </w:rPr>
        <w:t> </w:t>
      </w:r>
      <w:r>
        <w:rPr>
          <w:color w:val="231F20"/>
          <w:w w:val="105"/>
        </w:rPr>
        <w:t>y</w:t>
      </w:r>
      <w:r>
        <w:rPr>
          <w:color w:val="231F20"/>
          <w:spacing w:val="-21"/>
          <w:w w:val="105"/>
        </w:rPr>
        <w:t> </w:t>
      </w:r>
      <w:r>
        <w:rPr>
          <w:color w:val="231F20"/>
          <w:w w:val="105"/>
        </w:rPr>
        <w:t>en</w:t>
      </w:r>
      <w:r>
        <w:rPr>
          <w:color w:val="231F20"/>
          <w:spacing w:val="-21"/>
          <w:w w:val="105"/>
        </w:rPr>
        <w:t> </w:t>
      </w:r>
      <w:r>
        <w:rPr>
          <w:color w:val="231F20"/>
          <w:w w:val="105"/>
        </w:rPr>
        <w:t>sí,</w:t>
      </w:r>
      <w:r>
        <w:rPr>
          <w:color w:val="231F20"/>
          <w:spacing w:val="-26"/>
          <w:w w:val="105"/>
        </w:rPr>
        <w:t> </w:t>
      </w:r>
      <w:r>
        <w:rPr>
          <w:color w:val="231F20"/>
          <w:w w:val="105"/>
        </w:rPr>
        <w:t>la</w:t>
      </w:r>
      <w:r>
        <w:rPr>
          <w:color w:val="231F20"/>
          <w:spacing w:val="-21"/>
          <w:w w:val="105"/>
        </w:rPr>
        <w:t> </w:t>
      </w:r>
      <w:r>
        <w:rPr>
          <w:color w:val="231F20"/>
          <w:spacing w:val="-3"/>
          <w:w w:val="105"/>
        </w:rPr>
        <w:t>maldición</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spacing w:val="-3"/>
          <w:w w:val="105"/>
        </w:rPr>
        <w:t>recursos</w:t>
      </w:r>
      <w:r>
        <w:rPr>
          <w:color w:val="231F20"/>
          <w:spacing w:val="-21"/>
          <w:w w:val="105"/>
        </w:rPr>
        <w:t> </w:t>
      </w:r>
      <w:r>
        <w:rPr>
          <w:color w:val="231F20"/>
          <w:spacing w:val="-4"/>
          <w:w w:val="105"/>
        </w:rPr>
        <w:t>naturales.</w:t>
      </w:r>
    </w:p>
    <w:p>
      <w:pPr>
        <w:pStyle w:val="BodyText"/>
        <w:spacing w:line="259" w:lineRule="auto"/>
        <w:ind w:left="115" w:right="106" w:firstLine="567"/>
        <w:jc w:val="both"/>
      </w:pPr>
      <w:r>
        <w:rPr>
          <w:color w:val="231F20"/>
          <w:w w:val="105"/>
        </w:rPr>
        <w:t>No puede dejar de mencionarse que la crítica principal a la inter- sección</w:t>
      </w:r>
      <w:r>
        <w:rPr>
          <w:color w:val="231F20"/>
          <w:spacing w:val="-18"/>
          <w:w w:val="105"/>
        </w:rPr>
        <w:t> </w:t>
      </w:r>
      <w:r>
        <w:rPr>
          <w:color w:val="231F20"/>
          <w:w w:val="105"/>
        </w:rPr>
        <w:t>del</w:t>
      </w:r>
      <w:r>
        <w:rPr>
          <w:color w:val="231F20"/>
          <w:spacing w:val="-18"/>
          <w:w w:val="105"/>
        </w:rPr>
        <w:t> </w:t>
      </w:r>
      <w:r>
        <w:rPr>
          <w:color w:val="231F20"/>
          <w:w w:val="105"/>
        </w:rPr>
        <w:t>campo</w:t>
      </w:r>
      <w:r>
        <w:rPr>
          <w:color w:val="231F20"/>
          <w:spacing w:val="-18"/>
          <w:w w:val="105"/>
        </w:rPr>
        <w:t> </w:t>
      </w:r>
      <w:r>
        <w:rPr>
          <w:color w:val="231F20"/>
          <w:w w:val="105"/>
        </w:rPr>
        <w:t>económico-administrativo</w:t>
      </w:r>
      <w:r>
        <w:rPr>
          <w:color w:val="231F20"/>
          <w:spacing w:val="-18"/>
          <w:w w:val="105"/>
        </w:rPr>
        <w:t> </w:t>
      </w:r>
      <w:r>
        <w:rPr>
          <w:color w:val="231F20"/>
          <w:w w:val="105"/>
        </w:rPr>
        <w:t>es</w:t>
      </w:r>
      <w:r>
        <w:rPr>
          <w:color w:val="231F20"/>
          <w:spacing w:val="-18"/>
          <w:w w:val="105"/>
        </w:rPr>
        <w:t> </w:t>
      </w:r>
      <w:r>
        <w:rPr>
          <w:color w:val="231F20"/>
          <w:w w:val="105"/>
        </w:rPr>
        <w:t>la</w:t>
      </w:r>
      <w:r>
        <w:rPr>
          <w:color w:val="231F20"/>
          <w:spacing w:val="-18"/>
          <w:w w:val="105"/>
        </w:rPr>
        <w:t> </w:t>
      </w:r>
      <w:r>
        <w:rPr>
          <w:color w:val="231F20"/>
          <w:w w:val="105"/>
        </w:rPr>
        <w:t>ausencia</w:t>
      </w:r>
      <w:r>
        <w:rPr>
          <w:color w:val="231F20"/>
          <w:spacing w:val="-18"/>
          <w:w w:val="105"/>
        </w:rPr>
        <w:t> </w:t>
      </w:r>
      <w:r>
        <w:rPr>
          <w:color w:val="231F20"/>
          <w:w w:val="105"/>
        </w:rPr>
        <w:t>de</w:t>
      </w:r>
      <w:r>
        <w:rPr>
          <w:color w:val="231F20"/>
          <w:spacing w:val="-18"/>
          <w:w w:val="105"/>
        </w:rPr>
        <w:t> </w:t>
      </w:r>
      <w:r>
        <w:rPr>
          <w:color w:val="231F20"/>
          <w:w w:val="105"/>
        </w:rPr>
        <w:t>variables institucionales</w:t>
      </w:r>
      <w:r>
        <w:rPr>
          <w:color w:val="231F20"/>
          <w:spacing w:val="-17"/>
          <w:w w:val="105"/>
        </w:rPr>
        <w:t> </w:t>
      </w:r>
      <w:r>
        <w:rPr>
          <w:color w:val="231F20"/>
          <w:w w:val="105"/>
        </w:rPr>
        <w:t>exógenas</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lado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administración)</w:t>
      </w:r>
      <w:r>
        <w:rPr>
          <w:color w:val="231F20"/>
          <w:spacing w:val="-17"/>
          <w:w w:val="105"/>
        </w:rPr>
        <w:t> </w:t>
      </w:r>
      <w:r>
        <w:rPr>
          <w:color w:val="231F20"/>
          <w:w w:val="105"/>
        </w:rPr>
        <w:t>como</w:t>
      </w:r>
      <w:r>
        <w:rPr>
          <w:color w:val="231F20"/>
          <w:spacing w:val="-17"/>
          <w:w w:val="105"/>
        </w:rPr>
        <w:t> </w:t>
      </w:r>
      <w:r>
        <w:rPr>
          <w:color w:val="231F20"/>
          <w:w w:val="105"/>
        </w:rPr>
        <w:t>elemen- to</w:t>
      </w:r>
      <w:r>
        <w:rPr>
          <w:color w:val="231F20"/>
          <w:spacing w:val="-10"/>
          <w:w w:val="105"/>
        </w:rPr>
        <w:t> </w:t>
      </w:r>
      <w:r>
        <w:rPr>
          <w:color w:val="231F20"/>
          <w:w w:val="105"/>
        </w:rPr>
        <w:t>de</w:t>
      </w:r>
      <w:r>
        <w:rPr>
          <w:color w:val="231F20"/>
          <w:spacing w:val="-10"/>
          <w:w w:val="105"/>
        </w:rPr>
        <w:t> </w:t>
      </w:r>
      <w:r>
        <w:rPr>
          <w:color w:val="231F20"/>
          <w:w w:val="105"/>
        </w:rPr>
        <w:t>modelación:</w:t>
      </w:r>
      <w:r>
        <w:rPr>
          <w:color w:val="231F20"/>
          <w:spacing w:val="-10"/>
          <w:w w:val="105"/>
        </w:rPr>
        <w:t> </w:t>
      </w:r>
      <w:r>
        <w:rPr>
          <w:color w:val="231F20"/>
          <w:w w:val="105"/>
        </w:rPr>
        <w:t>se</w:t>
      </w:r>
      <w:r>
        <w:rPr>
          <w:color w:val="231F20"/>
          <w:spacing w:val="-10"/>
          <w:w w:val="105"/>
        </w:rPr>
        <w:t> </w:t>
      </w:r>
      <w:r>
        <w:rPr>
          <w:color w:val="231F20"/>
          <w:w w:val="105"/>
        </w:rPr>
        <w:t>podrían</w:t>
      </w:r>
      <w:r>
        <w:rPr>
          <w:color w:val="231F20"/>
          <w:spacing w:val="-10"/>
          <w:w w:val="105"/>
        </w:rPr>
        <w:t> </w:t>
      </w:r>
      <w:r>
        <w:rPr>
          <w:color w:val="231F20"/>
          <w:w w:val="105"/>
        </w:rPr>
        <w:t>emplean</w:t>
      </w:r>
      <w:r>
        <w:rPr>
          <w:color w:val="231F20"/>
          <w:spacing w:val="-10"/>
          <w:w w:val="105"/>
        </w:rPr>
        <w:t> </w:t>
      </w:r>
      <w:r>
        <w:rPr>
          <w:color w:val="231F20"/>
          <w:w w:val="105"/>
        </w:rPr>
        <w:t>las</w:t>
      </w:r>
      <w:r>
        <w:rPr>
          <w:color w:val="231F20"/>
          <w:spacing w:val="-10"/>
          <w:w w:val="105"/>
        </w:rPr>
        <w:t> </w:t>
      </w:r>
      <w:r>
        <w:rPr>
          <w:color w:val="231F20"/>
          <w:w w:val="105"/>
        </w:rPr>
        <w:t>teorías</w:t>
      </w:r>
      <w:r>
        <w:rPr>
          <w:color w:val="231F20"/>
          <w:spacing w:val="-10"/>
          <w:w w:val="105"/>
        </w:rPr>
        <w:t> </w:t>
      </w:r>
      <w:r>
        <w:rPr>
          <w:color w:val="231F20"/>
          <w:w w:val="105"/>
        </w:rPr>
        <w:t>del</w:t>
      </w:r>
      <w:r>
        <w:rPr>
          <w:color w:val="231F20"/>
          <w:spacing w:val="-10"/>
          <w:w w:val="105"/>
        </w:rPr>
        <w:t> </w:t>
      </w:r>
      <w:r>
        <w:rPr>
          <w:color w:val="231F20"/>
          <w:w w:val="105"/>
        </w:rPr>
        <w:t>campo</w:t>
      </w:r>
      <w:r>
        <w:rPr>
          <w:color w:val="231F20"/>
          <w:spacing w:val="-10"/>
          <w:w w:val="105"/>
        </w:rPr>
        <w:t> </w:t>
      </w:r>
      <w:r>
        <w:rPr>
          <w:color w:val="231F20"/>
          <w:w w:val="105"/>
        </w:rPr>
        <w:t>administra- tivo como justificativo teórico, lo cual constituye un desafío para investi- </w:t>
      </w:r>
      <w:r>
        <w:rPr>
          <w:color w:val="231F20"/>
        </w:rPr>
        <w:t>gaciones</w:t>
      </w:r>
      <w:r>
        <w:rPr>
          <w:color w:val="231F20"/>
          <w:spacing w:val="24"/>
        </w:rPr>
        <w:t> </w:t>
      </w:r>
      <w:r>
        <w:rPr>
          <w:color w:val="231F20"/>
        </w:rPr>
        <w:t>futuras.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3"/>
        </w:rPr>
      </w:pPr>
    </w:p>
    <w:p>
      <w:pPr>
        <w:tabs>
          <w:tab w:pos="1357" w:val="left" w:leader="none"/>
        </w:tabs>
        <w:spacing w:before="70"/>
        <w:ind w:left="252" w:right="0" w:firstLine="0"/>
        <w:jc w:val="left"/>
        <w:rPr>
          <w:rFonts w:ascii="Calibri" w:hAnsi="Calibri"/>
          <w:sz w:val="15"/>
        </w:rPr>
      </w:pPr>
      <w:r>
        <w:rPr/>
        <w:pict>
          <v:group style="position:absolute;margin-left:101.817299pt;margin-top:-16.799887pt;width:17.850pt;height:56.5pt;mso-position-horizontal-relative:page;mso-position-vertical-relative:paragraph;z-index:-24085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198</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160" w:right="128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pStyle w:val="ListParagraph"/>
        <w:numPr>
          <w:ilvl w:val="0"/>
          <w:numId w:val="55"/>
        </w:numPr>
        <w:tabs>
          <w:tab w:pos="2999" w:val="left" w:leader="none"/>
        </w:tabs>
        <w:spacing w:line="180" w:lineRule="exact" w:before="61" w:after="0"/>
        <w:ind w:left="2410" w:right="0" w:firstLine="338"/>
        <w:jc w:val="left"/>
        <w:rPr>
          <w:rFonts w:ascii="Lucida Sans Unicode" w:hAnsi="Lucida Sans Unicode"/>
          <w:color w:val="6D6E71"/>
          <w:sz w:val="14"/>
        </w:rPr>
      </w:pPr>
      <w:r>
        <w:rPr/>
        <w:pict>
          <v:line style="position:absolute;mso-position-horizontal-relative:page;mso-position-vertical-relative:paragraph;z-index:7096" from="384.061005pt,-25.331028pt" to="384.061005pt,9.534822pt" stroked="true" strokeweight=".3pt" strokecolor="#231f20">
            <w10:wrap type="none"/>
          </v:line>
        </w:pict>
      </w:r>
      <w:r>
        <w:rPr>
          <w:rFonts w:ascii="Lucida Sans Unicode" w:hAnsi="Lucida Sans Unicode"/>
          <w:color w:val="6D6E71"/>
          <w:w w:val="105"/>
          <w:sz w:val="14"/>
        </w:rPr>
        <w:t>Rol</w:t>
      </w:r>
      <w:r>
        <w:rPr>
          <w:rFonts w:ascii="Lucida Sans Unicode" w:hAnsi="Lucida Sans Unicode"/>
          <w:color w:val="6D6E71"/>
          <w:spacing w:val="-9"/>
          <w:w w:val="105"/>
          <w:sz w:val="14"/>
        </w:rPr>
        <w:t> </w:t>
      </w:r>
      <w:r>
        <w:rPr>
          <w:rFonts w:ascii="Lucida Sans Unicode" w:hAnsi="Lucida Sans Unicode"/>
          <w:color w:val="6D6E71"/>
          <w:w w:val="105"/>
          <w:sz w:val="14"/>
        </w:rPr>
        <w:t>InstItucIonal</w:t>
      </w:r>
      <w:r>
        <w:rPr>
          <w:rFonts w:ascii="Lucida Sans Unicode" w:hAnsi="Lucida Sans Unicode"/>
          <w:color w:val="6D6E71"/>
          <w:spacing w:val="-9"/>
          <w:w w:val="105"/>
          <w:sz w:val="14"/>
        </w:rPr>
        <w:t> </w:t>
      </w:r>
      <w:r>
        <w:rPr>
          <w:rFonts w:ascii="Lucida Sans Unicode" w:hAnsi="Lucida Sans Unicode"/>
          <w:color w:val="6D6E71"/>
          <w:w w:val="105"/>
          <w:sz w:val="14"/>
        </w:rPr>
        <w:t>del</w:t>
      </w:r>
      <w:r>
        <w:rPr>
          <w:rFonts w:ascii="Lucida Sans Unicode" w:hAnsi="Lucida Sans Unicode"/>
          <w:color w:val="6D6E71"/>
          <w:spacing w:val="-9"/>
          <w:w w:val="105"/>
          <w:sz w:val="14"/>
        </w:rPr>
        <w:t> </w:t>
      </w:r>
      <w:r>
        <w:rPr>
          <w:rFonts w:ascii="Lucida Sans Unicode" w:hAnsi="Lucida Sans Unicode"/>
          <w:color w:val="6D6E71"/>
          <w:w w:val="105"/>
          <w:sz w:val="14"/>
        </w:rPr>
        <w:t>gobIeRno</w:t>
      </w:r>
      <w:r>
        <w:rPr>
          <w:rFonts w:ascii="Lucida Sans Unicode" w:hAnsi="Lucida Sans Unicode"/>
          <w:color w:val="6D6E71"/>
          <w:spacing w:val="-9"/>
          <w:w w:val="105"/>
          <w:sz w:val="14"/>
        </w:rPr>
        <w:t> </w:t>
      </w:r>
      <w:r>
        <w:rPr>
          <w:rFonts w:ascii="Lucida Sans Unicode" w:hAnsi="Lucida Sans Unicode"/>
          <w:color w:val="6D6E71"/>
          <w:w w:val="105"/>
          <w:sz w:val="14"/>
        </w:rPr>
        <w:t>en</w:t>
      </w:r>
      <w:r>
        <w:rPr>
          <w:rFonts w:ascii="Lucida Sans Unicode" w:hAnsi="Lucida Sans Unicode"/>
          <w:color w:val="6D6E71"/>
          <w:spacing w:val="-9"/>
          <w:w w:val="105"/>
          <w:sz w:val="14"/>
        </w:rPr>
        <w:t> </w:t>
      </w:r>
      <w:r>
        <w:rPr>
          <w:rFonts w:ascii="Lucida Sans Unicode" w:hAnsi="Lucida Sans Unicode"/>
          <w:color w:val="6D6E71"/>
          <w:w w:val="105"/>
          <w:sz w:val="14"/>
        </w:rPr>
        <w:t>dependencIa de</w:t>
      </w:r>
      <w:r>
        <w:rPr>
          <w:rFonts w:ascii="Lucida Sans Unicode" w:hAnsi="Lucida Sans Unicode"/>
          <w:color w:val="6D6E71"/>
          <w:spacing w:val="-18"/>
          <w:w w:val="105"/>
          <w:sz w:val="14"/>
        </w:rPr>
        <w:t> </w:t>
      </w:r>
      <w:r>
        <w:rPr>
          <w:rFonts w:ascii="Lucida Sans Unicode" w:hAnsi="Lucida Sans Unicode"/>
          <w:color w:val="6D6E71"/>
          <w:w w:val="105"/>
          <w:sz w:val="14"/>
        </w:rPr>
        <w:t>RecuRsos</w:t>
      </w:r>
      <w:r>
        <w:rPr>
          <w:rFonts w:ascii="Lucida Sans Unicode" w:hAnsi="Lucida Sans Unicode"/>
          <w:color w:val="6D6E71"/>
          <w:spacing w:val="-18"/>
          <w:w w:val="105"/>
          <w:sz w:val="14"/>
        </w:rPr>
        <w:t> </w:t>
      </w:r>
      <w:r>
        <w:rPr>
          <w:rFonts w:ascii="Lucida Sans Unicode" w:hAnsi="Lucida Sans Unicode"/>
          <w:color w:val="6D6E71"/>
          <w:w w:val="105"/>
          <w:sz w:val="14"/>
        </w:rPr>
        <w:t>natuRales:</w:t>
      </w:r>
      <w:r>
        <w:rPr>
          <w:rFonts w:ascii="Lucida Sans Unicode" w:hAnsi="Lucida Sans Unicode"/>
          <w:color w:val="6D6E71"/>
          <w:spacing w:val="-18"/>
          <w:w w:val="105"/>
          <w:sz w:val="14"/>
        </w:rPr>
        <w:t> </w:t>
      </w:r>
      <w:r>
        <w:rPr>
          <w:rFonts w:ascii="Lucida Sans Unicode" w:hAnsi="Lucida Sans Unicode"/>
          <w:color w:val="6D6E71"/>
          <w:w w:val="105"/>
          <w:sz w:val="14"/>
        </w:rPr>
        <w:t>ImplementacIón</w:t>
      </w:r>
      <w:r>
        <w:rPr>
          <w:rFonts w:ascii="Lucida Sans Unicode" w:hAnsi="Lucida Sans Unicode"/>
          <w:color w:val="6D6E71"/>
          <w:spacing w:val="-18"/>
          <w:w w:val="105"/>
          <w:sz w:val="14"/>
        </w:rPr>
        <w:t> </w:t>
      </w:r>
      <w:r>
        <w:rPr>
          <w:rFonts w:ascii="Lucida Sans Unicode" w:hAnsi="Lucida Sans Unicode"/>
          <w:color w:val="6D6E71"/>
          <w:w w:val="105"/>
          <w:sz w:val="14"/>
        </w:rPr>
        <w:t>de</w:t>
      </w:r>
      <w:r>
        <w:rPr>
          <w:rFonts w:ascii="Lucida Sans Unicode" w:hAnsi="Lucida Sans Unicode"/>
          <w:color w:val="6D6E71"/>
          <w:spacing w:val="-18"/>
          <w:w w:val="105"/>
          <w:sz w:val="14"/>
        </w:rPr>
        <w:t> </w:t>
      </w:r>
      <w:r>
        <w:rPr>
          <w:rFonts w:ascii="Lucida Sans Unicode" w:hAnsi="Lucida Sans Unicode"/>
          <w:color w:val="6D6E71"/>
          <w:w w:val="105"/>
          <w:sz w:val="14"/>
        </w:rPr>
        <w:t>Regla</w:t>
      </w:r>
      <w:r>
        <w:rPr>
          <w:rFonts w:ascii="Lucida Sans Unicode" w:hAnsi="Lucida Sans Unicode"/>
          <w:color w:val="6D6E71"/>
          <w:spacing w:val="-18"/>
          <w:w w:val="105"/>
          <w:sz w:val="14"/>
        </w:rPr>
        <w:t> </w:t>
      </w:r>
      <w:r>
        <w:rPr>
          <w:rFonts w:ascii="Lucida Sans Unicode" w:hAnsi="Lucida Sans Unicode"/>
          <w:color w:val="6D6E71"/>
          <w:w w:val="105"/>
          <w:sz w:val="14"/>
        </w:rPr>
        <w:t>fIscal</w:t>
      </w:r>
    </w:p>
    <w:p>
      <w:pPr>
        <w:spacing w:before="59"/>
        <w:ind w:left="338" w:right="0" w:firstLine="0"/>
        <w:jc w:val="left"/>
        <w:rPr>
          <w:sz w:val="20"/>
        </w:rPr>
      </w:pPr>
      <w:r>
        <w:rPr/>
        <w:br w:type="column"/>
      </w:r>
      <w:r>
        <w:rPr>
          <w:color w:val="414042"/>
          <w:sz w:val="20"/>
        </w:rPr>
        <w:t>199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rPr>
          <w:sz w:val="19"/>
        </w:rPr>
      </w:pPr>
    </w:p>
    <w:p>
      <w:pPr>
        <w:pStyle w:val="Heading2"/>
        <w:spacing w:before="55"/>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sz w:val="21"/>
        </w:rPr>
        <w:t>Acemoglu, D., y Robinson, J. A. (2012). </w:t>
      </w:r>
      <w:r>
        <w:rPr>
          <w:i/>
          <w:color w:val="231F20"/>
          <w:sz w:val="21"/>
        </w:rPr>
        <w:t>Por qué fracasan los países</w:t>
      </w:r>
      <w:r>
        <w:rPr>
          <w:color w:val="231F20"/>
          <w:sz w:val="21"/>
        </w:rPr>
        <w:t>. Bar- celona: Deusto.</w:t>
      </w:r>
    </w:p>
    <w:p>
      <w:pPr>
        <w:spacing w:line="259" w:lineRule="auto" w:before="0"/>
        <w:ind w:left="854" w:right="115" w:hanging="738"/>
        <w:jc w:val="both"/>
        <w:rPr>
          <w:sz w:val="21"/>
        </w:rPr>
      </w:pPr>
      <w:r>
        <w:rPr>
          <w:color w:val="231F20"/>
          <w:w w:val="105"/>
          <w:sz w:val="21"/>
        </w:rPr>
        <w:t>Bachev,</w:t>
      </w:r>
      <w:r>
        <w:rPr>
          <w:color w:val="231F20"/>
          <w:spacing w:val="-15"/>
          <w:w w:val="105"/>
          <w:sz w:val="21"/>
        </w:rPr>
        <w:t> </w:t>
      </w:r>
      <w:r>
        <w:rPr>
          <w:color w:val="231F20"/>
          <w:w w:val="105"/>
          <w:sz w:val="21"/>
        </w:rPr>
        <w:t>H.</w:t>
      </w:r>
      <w:r>
        <w:rPr>
          <w:color w:val="231F20"/>
          <w:spacing w:val="-15"/>
          <w:w w:val="105"/>
          <w:sz w:val="21"/>
        </w:rPr>
        <w:t> </w:t>
      </w:r>
      <w:r>
        <w:rPr>
          <w:color w:val="231F20"/>
          <w:w w:val="105"/>
          <w:sz w:val="21"/>
        </w:rPr>
        <w:t>(2010).</w:t>
      </w:r>
      <w:r>
        <w:rPr>
          <w:color w:val="231F20"/>
          <w:spacing w:val="-15"/>
          <w:w w:val="105"/>
          <w:sz w:val="21"/>
        </w:rPr>
        <w:t> </w:t>
      </w:r>
      <w:r>
        <w:rPr>
          <w:color w:val="231F20"/>
          <w:w w:val="105"/>
          <w:sz w:val="21"/>
        </w:rPr>
        <w:t>“Efficiency</w:t>
      </w:r>
      <w:r>
        <w:rPr>
          <w:color w:val="231F20"/>
          <w:spacing w:val="-11"/>
          <w:w w:val="105"/>
          <w:sz w:val="21"/>
        </w:rPr>
        <w:t> </w:t>
      </w:r>
      <w:r>
        <w:rPr>
          <w:color w:val="231F20"/>
          <w:w w:val="105"/>
          <w:sz w:val="21"/>
        </w:rPr>
        <w:t>and</w:t>
      </w:r>
      <w:r>
        <w:rPr>
          <w:color w:val="231F20"/>
          <w:spacing w:val="-11"/>
          <w:w w:val="105"/>
          <w:sz w:val="21"/>
        </w:rPr>
        <w:t> </w:t>
      </w:r>
      <w:r>
        <w:rPr>
          <w:color w:val="231F20"/>
          <w:w w:val="105"/>
          <w:sz w:val="21"/>
        </w:rPr>
        <w:t>Sustainability</w:t>
      </w:r>
      <w:r>
        <w:rPr>
          <w:color w:val="231F20"/>
          <w:spacing w:val="-11"/>
          <w:w w:val="105"/>
          <w:sz w:val="21"/>
        </w:rPr>
        <w:t> </w:t>
      </w:r>
      <w:r>
        <w:rPr>
          <w:color w:val="231F20"/>
          <w:w w:val="105"/>
          <w:sz w:val="21"/>
        </w:rPr>
        <w:t>of</w:t>
      </w:r>
      <w:r>
        <w:rPr>
          <w:color w:val="231F20"/>
          <w:spacing w:val="-8"/>
          <w:w w:val="105"/>
          <w:sz w:val="21"/>
        </w:rPr>
        <w:t> </w:t>
      </w:r>
      <w:r>
        <w:rPr>
          <w:color w:val="231F20"/>
          <w:w w:val="105"/>
          <w:sz w:val="21"/>
        </w:rPr>
        <w:t>Economic</w:t>
      </w:r>
      <w:r>
        <w:rPr>
          <w:color w:val="231F20"/>
          <w:spacing w:val="-11"/>
          <w:w w:val="105"/>
          <w:sz w:val="21"/>
        </w:rPr>
        <w:t> </w:t>
      </w:r>
      <w:r>
        <w:rPr>
          <w:color w:val="231F20"/>
          <w:w w:val="105"/>
          <w:sz w:val="21"/>
        </w:rPr>
        <w:t>Organiza- tions in Agri-business”. </w:t>
      </w:r>
      <w:r>
        <w:rPr>
          <w:i/>
          <w:color w:val="231F20"/>
          <w:w w:val="105"/>
          <w:sz w:val="21"/>
        </w:rPr>
        <w:t>Institute of Agricultural Economics, 4</w:t>
      </w:r>
      <w:r>
        <w:rPr>
          <w:color w:val="231F20"/>
          <w:w w:val="105"/>
          <w:sz w:val="21"/>
        </w:rPr>
        <w:t>(1), 5-22.</w:t>
      </w:r>
    </w:p>
    <w:p>
      <w:pPr>
        <w:spacing w:line="259" w:lineRule="auto" w:before="0"/>
        <w:ind w:left="854" w:right="121" w:hanging="738"/>
        <w:jc w:val="both"/>
        <w:rPr>
          <w:sz w:val="21"/>
        </w:rPr>
      </w:pPr>
      <w:r>
        <w:rPr>
          <w:color w:val="231F20"/>
          <w:sz w:val="21"/>
        </w:rPr>
        <w:t>Baunsgaard, </w:t>
      </w:r>
      <w:r>
        <w:rPr>
          <w:color w:val="231F20"/>
          <w:spacing w:val="-6"/>
          <w:sz w:val="21"/>
        </w:rPr>
        <w:t>T., </w:t>
      </w:r>
      <w:r>
        <w:rPr>
          <w:color w:val="231F20"/>
          <w:sz w:val="21"/>
        </w:rPr>
        <w:t>Villafuerte, M., Poplawski, M., y Richmond, C. (2012). </w:t>
      </w:r>
      <w:r>
        <w:rPr>
          <w:i/>
          <w:color w:val="231F20"/>
          <w:sz w:val="21"/>
        </w:rPr>
        <w:t>Fis- </w:t>
      </w:r>
      <w:r>
        <w:rPr>
          <w:i/>
          <w:color w:val="231F20"/>
          <w:sz w:val="21"/>
        </w:rPr>
        <w:t>cal</w:t>
      </w:r>
      <w:r>
        <w:rPr>
          <w:i/>
          <w:color w:val="231F20"/>
          <w:spacing w:val="-11"/>
          <w:sz w:val="21"/>
        </w:rPr>
        <w:t> </w:t>
      </w:r>
      <w:r>
        <w:rPr>
          <w:i/>
          <w:color w:val="231F20"/>
          <w:sz w:val="21"/>
        </w:rPr>
        <w:t>Frameworks</w:t>
      </w:r>
      <w:r>
        <w:rPr>
          <w:i/>
          <w:color w:val="231F20"/>
          <w:spacing w:val="-11"/>
          <w:sz w:val="21"/>
        </w:rPr>
        <w:t> </w:t>
      </w:r>
      <w:r>
        <w:rPr>
          <w:i/>
          <w:color w:val="231F20"/>
          <w:sz w:val="21"/>
        </w:rPr>
        <w:t>for</w:t>
      </w:r>
      <w:r>
        <w:rPr>
          <w:i/>
          <w:color w:val="231F20"/>
          <w:spacing w:val="-11"/>
          <w:sz w:val="21"/>
        </w:rPr>
        <w:t> </w:t>
      </w:r>
      <w:r>
        <w:rPr>
          <w:i/>
          <w:color w:val="231F20"/>
          <w:sz w:val="21"/>
        </w:rPr>
        <w:t>Resource</w:t>
      </w:r>
      <w:r>
        <w:rPr>
          <w:i/>
          <w:color w:val="231F20"/>
          <w:spacing w:val="-11"/>
          <w:sz w:val="21"/>
        </w:rPr>
        <w:t> </w:t>
      </w:r>
      <w:r>
        <w:rPr>
          <w:i/>
          <w:color w:val="231F20"/>
          <w:sz w:val="21"/>
        </w:rPr>
        <w:t>Rich</w:t>
      </w:r>
      <w:r>
        <w:rPr>
          <w:i/>
          <w:color w:val="231F20"/>
          <w:spacing w:val="-11"/>
          <w:sz w:val="21"/>
        </w:rPr>
        <w:t> </w:t>
      </w:r>
      <w:r>
        <w:rPr>
          <w:i/>
          <w:color w:val="231F20"/>
          <w:sz w:val="21"/>
        </w:rPr>
        <w:t>Developing</w:t>
      </w:r>
      <w:r>
        <w:rPr>
          <w:i/>
          <w:color w:val="231F20"/>
          <w:spacing w:val="-11"/>
          <w:sz w:val="21"/>
        </w:rPr>
        <w:t> </w:t>
      </w:r>
      <w:r>
        <w:rPr>
          <w:i/>
          <w:color w:val="231F20"/>
          <w:sz w:val="21"/>
        </w:rPr>
        <w:t>Countries.</w:t>
      </w:r>
      <w:r>
        <w:rPr>
          <w:i/>
          <w:color w:val="231F20"/>
          <w:spacing w:val="-11"/>
          <w:sz w:val="21"/>
        </w:rPr>
        <w:t> </w:t>
      </w:r>
      <w:r>
        <w:rPr>
          <w:color w:val="231F20"/>
          <w:sz w:val="21"/>
        </w:rPr>
        <w:t>IMF</w:t>
      </w:r>
      <w:r>
        <w:rPr>
          <w:color w:val="231F20"/>
          <w:spacing w:val="-11"/>
          <w:sz w:val="21"/>
        </w:rPr>
        <w:t> </w:t>
      </w:r>
      <w:r>
        <w:rPr>
          <w:color w:val="231F20"/>
          <w:sz w:val="21"/>
        </w:rPr>
        <w:t>Staff Discussion  Note,</w:t>
      </w:r>
      <w:r>
        <w:rPr>
          <w:color w:val="231F20"/>
          <w:spacing w:val="5"/>
          <w:sz w:val="21"/>
        </w:rPr>
        <w:t> </w:t>
      </w:r>
      <w:r>
        <w:rPr>
          <w:color w:val="231F20"/>
          <w:sz w:val="21"/>
        </w:rPr>
        <w:t>SND/12/04.</w:t>
      </w:r>
    </w:p>
    <w:p>
      <w:pPr>
        <w:spacing w:line="259" w:lineRule="auto" w:before="0"/>
        <w:ind w:left="854" w:right="121" w:hanging="738"/>
        <w:jc w:val="both"/>
        <w:rPr>
          <w:sz w:val="21"/>
        </w:rPr>
      </w:pPr>
      <w:r>
        <w:rPr>
          <w:color w:val="231F20"/>
          <w:sz w:val="21"/>
        </w:rPr>
        <w:t>Briones, G. (2006). </w:t>
      </w:r>
      <w:r>
        <w:rPr>
          <w:i/>
          <w:color w:val="231F20"/>
          <w:spacing w:val="-4"/>
          <w:sz w:val="21"/>
        </w:rPr>
        <w:t>Teoría </w:t>
      </w:r>
      <w:r>
        <w:rPr>
          <w:i/>
          <w:color w:val="231F20"/>
          <w:sz w:val="21"/>
        </w:rPr>
        <w:t>de las ciencias sociales y de la educación:</w:t>
      </w:r>
      <w:r>
        <w:rPr>
          <w:i/>
          <w:color w:val="231F20"/>
          <w:spacing w:val="-24"/>
          <w:sz w:val="21"/>
        </w:rPr>
        <w:t> </w:t>
      </w:r>
      <w:r>
        <w:rPr>
          <w:i/>
          <w:color w:val="231F20"/>
          <w:sz w:val="21"/>
        </w:rPr>
        <w:t>epis- </w:t>
      </w:r>
      <w:r>
        <w:rPr>
          <w:i/>
          <w:color w:val="231F20"/>
          <w:sz w:val="21"/>
        </w:rPr>
        <w:t>temología </w:t>
      </w:r>
      <w:r>
        <w:rPr>
          <w:color w:val="231F20"/>
          <w:sz w:val="21"/>
        </w:rPr>
        <w:t>(2da. ed.). México:</w:t>
      </w:r>
      <w:r>
        <w:rPr>
          <w:color w:val="231F20"/>
          <w:spacing w:val="45"/>
          <w:sz w:val="21"/>
        </w:rPr>
        <w:t> </w:t>
      </w:r>
      <w:r>
        <w:rPr>
          <w:color w:val="231F20"/>
          <w:spacing w:val="-3"/>
          <w:sz w:val="21"/>
        </w:rPr>
        <w:t>Trillas.</w:t>
      </w:r>
    </w:p>
    <w:p>
      <w:pPr>
        <w:spacing w:line="241" w:lineRule="exact" w:before="0"/>
        <w:ind w:left="117" w:right="0" w:firstLine="0"/>
        <w:jc w:val="left"/>
        <w:rPr>
          <w:i/>
          <w:sz w:val="21"/>
        </w:rPr>
      </w:pPr>
      <w:r>
        <w:rPr>
          <w:color w:val="231F20"/>
          <w:sz w:val="21"/>
        </w:rPr>
        <w:t>Chiavenato, I. (2006). </w:t>
      </w:r>
      <w:r>
        <w:rPr>
          <w:i/>
          <w:color w:val="231F20"/>
          <w:sz w:val="21"/>
        </w:rPr>
        <w:t>Introducción a la teoría general de la administración</w:t>
      </w:r>
    </w:p>
    <w:p>
      <w:pPr>
        <w:pStyle w:val="BodyText"/>
        <w:spacing w:before="18"/>
        <w:ind w:left="854" w:right="114"/>
      </w:pPr>
      <w:r>
        <w:rPr>
          <w:color w:val="231F20"/>
          <w:w w:val="105"/>
        </w:rPr>
        <w:t>(4ta. ed.). México Df: Mc Graw Hill/ Interamericana editores.</w:t>
      </w:r>
    </w:p>
    <w:p>
      <w:pPr>
        <w:pStyle w:val="BodyText"/>
        <w:spacing w:before="18"/>
        <w:ind w:left="117" w:right="114"/>
      </w:pPr>
      <w:r>
        <w:rPr>
          <w:color w:val="231F20"/>
        </w:rPr>
        <w:t>Coase, R. (1937). The Nature of the Firm. </w:t>
      </w:r>
      <w:r>
        <w:rPr>
          <w:i/>
          <w:color w:val="231F20"/>
        </w:rPr>
        <w:t>Economica, 4</w:t>
      </w:r>
      <w:r>
        <w:rPr>
          <w:color w:val="231F20"/>
        </w:rPr>
        <w:t>, 386-405.</w:t>
      </w:r>
    </w:p>
    <w:p>
      <w:pPr>
        <w:pStyle w:val="BodyText"/>
        <w:spacing w:line="259" w:lineRule="auto" w:before="18"/>
        <w:ind w:left="854" w:right="121" w:hanging="738"/>
        <w:jc w:val="both"/>
      </w:pPr>
      <w:r>
        <w:rPr>
          <w:color w:val="231F20"/>
        </w:rPr>
        <w:t>Collier,</w:t>
      </w:r>
      <w:r>
        <w:rPr>
          <w:color w:val="231F20"/>
          <w:spacing w:val="-10"/>
        </w:rPr>
        <w:t> </w:t>
      </w:r>
      <w:r>
        <w:rPr>
          <w:color w:val="231F20"/>
          <w:spacing w:val="-11"/>
        </w:rPr>
        <w:t>P.,</w:t>
      </w:r>
      <w:r>
        <w:rPr>
          <w:color w:val="231F20"/>
          <w:spacing w:val="-9"/>
        </w:rPr>
        <w:t> </w:t>
      </w:r>
      <w:r>
        <w:rPr>
          <w:color w:val="231F20"/>
        </w:rPr>
        <w:t>van</w:t>
      </w:r>
      <w:r>
        <w:rPr>
          <w:color w:val="231F20"/>
          <w:spacing w:val="-2"/>
        </w:rPr>
        <w:t> </w:t>
      </w:r>
      <w:r>
        <w:rPr>
          <w:color w:val="231F20"/>
        </w:rPr>
        <w:t>der</w:t>
      </w:r>
      <w:r>
        <w:rPr>
          <w:color w:val="231F20"/>
          <w:spacing w:val="-2"/>
        </w:rPr>
        <w:t> </w:t>
      </w:r>
      <w:r>
        <w:rPr>
          <w:color w:val="231F20"/>
        </w:rPr>
        <w:t>Ploeg,</w:t>
      </w:r>
      <w:r>
        <w:rPr>
          <w:color w:val="231F20"/>
          <w:spacing w:val="-10"/>
        </w:rPr>
        <w:t> </w:t>
      </w:r>
      <w:r>
        <w:rPr>
          <w:color w:val="231F20"/>
          <w:spacing w:val="-7"/>
        </w:rPr>
        <w:t>F.,</w:t>
      </w:r>
      <w:r>
        <w:rPr>
          <w:color w:val="231F20"/>
          <w:spacing w:val="-9"/>
        </w:rPr>
        <w:t> </w:t>
      </w:r>
      <w:r>
        <w:rPr>
          <w:color w:val="231F20"/>
        </w:rPr>
        <w:t>Spence,</w:t>
      </w:r>
      <w:r>
        <w:rPr>
          <w:color w:val="231F20"/>
          <w:spacing w:val="-10"/>
        </w:rPr>
        <w:t> </w:t>
      </w:r>
      <w:r>
        <w:rPr>
          <w:color w:val="231F20"/>
        </w:rPr>
        <w:t>M.,</w:t>
      </w:r>
      <w:r>
        <w:rPr>
          <w:color w:val="231F20"/>
          <w:spacing w:val="-9"/>
        </w:rPr>
        <w:t> </w:t>
      </w:r>
      <w:r>
        <w:rPr>
          <w:color w:val="231F20"/>
        </w:rPr>
        <w:t>y</w:t>
      </w:r>
      <w:r>
        <w:rPr>
          <w:color w:val="231F20"/>
          <w:spacing w:val="-6"/>
        </w:rPr>
        <w:t> </w:t>
      </w:r>
      <w:r>
        <w:rPr>
          <w:color w:val="231F20"/>
        </w:rPr>
        <w:t>Venables,</w:t>
      </w:r>
      <w:r>
        <w:rPr>
          <w:color w:val="231F20"/>
          <w:spacing w:val="-13"/>
        </w:rPr>
        <w:t> </w:t>
      </w:r>
      <w:r>
        <w:rPr>
          <w:color w:val="231F20"/>
        </w:rPr>
        <w:t>A.</w:t>
      </w:r>
      <w:r>
        <w:rPr>
          <w:color w:val="231F20"/>
          <w:spacing w:val="-9"/>
        </w:rPr>
        <w:t> </w:t>
      </w:r>
      <w:r>
        <w:rPr>
          <w:color w:val="231F20"/>
        </w:rPr>
        <w:t>(2009).</w:t>
      </w:r>
      <w:r>
        <w:rPr>
          <w:color w:val="231F20"/>
          <w:spacing w:val="-10"/>
        </w:rPr>
        <w:t> </w:t>
      </w:r>
      <w:r>
        <w:rPr>
          <w:color w:val="231F20"/>
        </w:rPr>
        <w:t>“Managing Resource Revenues in Developing </w:t>
      </w:r>
      <w:r>
        <w:rPr>
          <w:color w:val="231F20"/>
          <w:spacing w:val="-3"/>
        </w:rPr>
        <w:t>Countries”. </w:t>
      </w:r>
      <w:r>
        <w:rPr>
          <w:i/>
          <w:color w:val="231F20"/>
          <w:spacing w:val="-3"/>
        </w:rPr>
        <w:t>OXCarre </w:t>
      </w:r>
      <w:r>
        <w:rPr>
          <w:i/>
          <w:color w:val="231F20"/>
        </w:rPr>
        <w:t>Research </w:t>
      </w:r>
      <w:r>
        <w:rPr>
          <w:i/>
          <w:color w:val="231F20"/>
          <w:spacing w:val="-4"/>
        </w:rPr>
        <w:t>Paper, </w:t>
      </w:r>
      <w:r>
        <w:rPr>
          <w:i/>
          <w:color w:val="231F20"/>
        </w:rPr>
        <w:t>Nº</w:t>
      </w:r>
      <w:r>
        <w:rPr>
          <w:i/>
          <w:color w:val="231F20"/>
          <w:spacing w:val="-10"/>
        </w:rPr>
        <w:t> </w:t>
      </w:r>
      <w:r>
        <w:rPr>
          <w:i/>
          <w:color w:val="231F20"/>
        </w:rPr>
        <w:t>15</w:t>
      </w:r>
      <w:r>
        <w:rPr>
          <w:color w:val="231F20"/>
        </w:rPr>
        <w:t>.</w:t>
      </w:r>
    </w:p>
    <w:p>
      <w:pPr>
        <w:spacing w:line="259" w:lineRule="auto" w:before="0"/>
        <w:ind w:left="854" w:right="115" w:hanging="738"/>
        <w:jc w:val="both"/>
        <w:rPr>
          <w:sz w:val="21"/>
        </w:rPr>
      </w:pPr>
      <w:r>
        <w:rPr>
          <w:color w:val="231F20"/>
          <w:w w:val="105"/>
          <w:sz w:val="21"/>
        </w:rPr>
        <w:t>Dabla-Norris,</w:t>
      </w:r>
      <w:r>
        <w:rPr>
          <w:color w:val="231F20"/>
          <w:spacing w:val="-21"/>
          <w:w w:val="105"/>
          <w:sz w:val="21"/>
        </w:rPr>
        <w:t> </w:t>
      </w:r>
      <w:r>
        <w:rPr>
          <w:color w:val="231F20"/>
          <w:w w:val="105"/>
          <w:sz w:val="21"/>
        </w:rPr>
        <w:t>E.,</w:t>
      </w:r>
      <w:r>
        <w:rPr>
          <w:color w:val="231F20"/>
          <w:spacing w:val="-22"/>
          <w:w w:val="105"/>
          <w:sz w:val="21"/>
        </w:rPr>
        <w:t> </w:t>
      </w:r>
      <w:r>
        <w:rPr>
          <w:color w:val="231F20"/>
          <w:w w:val="105"/>
          <w:sz w:val="21"/>
        </w:rPr>
        <w:t>Allen,</w:t>
      </w:r>
      <w:r>
        <w:rPr>
          <w:color w:val="231F20"/>
          <w:spacing w:val="-21"/>
          <w:w w:val="105"/>
          <w:sz w:val="21"/>
        </w:rPr>
        <w:t> </w:t>
      </w:r>
      <w:r>
        <w:rPr>
          <w:color w:val="231F20"/>
          <w:w w:val="105"/>
          <w:sz w:val="21"/>
        </w:rPr>
        <w:t>R.,</w:t>
      </w:r>
      <w:r>
        <w:rPr>
          <w:color w:val="231F20"/>
          <w:spacing w:val="-21"/>
          <w:w w:val="105"/>
          <w:sz w:val="21"/>
        </w:rPr>
        <w:t> </w:t>
      </w:r>
      <w:r>
        <w:rPr>
          <w:color w:val="231F20"/>
          <w:w w:val="105"/>
          <w:sz w:val="21"/>
        </w:rPr>
        <w:t>Zanna,</w:t>
      </w:r>
      <w:r>
        <w:rPr>
          <w:color w:val="231F20"/>
          <w:spacing w:val="-21"/>
          <w:w w:val="105"/>
          <w:sz w:val="21"/>
        </w:rPr>
        <w:t> </w:t>
      </w:r>
      <w:r>
        <w:rPr>
          <w:color w:val="231F20"/>
          <w:w w:val="105"/>
          <w:sz w:val="21"/>
        </w:rPr>
        <w:t>L.,</w:t>
      </w:r>
      <w:r>
        <w:rPr>
          <w:color w:val="231F20"/>
          <w:spacing w:val="-21"/>
          <w:w w:val="105"/>
          <w:sz w:val="21"/>
        </w:rPr>
        <w:t> </w:t>
      </w:r>
      <w:r>
        <w:rPr>
          <w:color w:val="231F20"/>
          <w:w w:val="105"/>
          <w:sz w:val="21"/>
        </w:rPr>
        <w:t>Prakash,</w:t>
      </w:r>
      <w:r>
        <w:rPr>
          <w:color w:val="231F20"/>
          <w:spacing w:val="-23"/>
          <w:w w:val="105"/>
          <w:sz w:val="21"/>
        </w:rPr>
        <w:t> </w:t>
      </w:r>
      <w:r>
        <w:rPr>
          <w:color w:val="231F20"/>
          <w:spacing w:val="-6"/>
          <w:w w:val="105"/>
          <w:sz w:val="21"/>
        </w:rPr>
        <w:t>T.,</w:t>
      </w:r>
      <w:r>
        <w:rPr>
          <w:color w:val="231F20"/>
          <w:spacing w:val="-21"/>
          <w:w w:val="105"/>
          <w:sz w:val="21"/>
        </w:rPr>
        <w:t> </w:t>
      </w:r>
      <w:r>
        <w:rPr>
          <w:color w:val="231F20"/>
          <w:w w:val="105"/>
          <w:sz w:val="21"/>
        </w:rPr>
        <w:t>i</w:t>
      </w:r>
      <w:r>
        <w:rPr>
          <w:color w:val="231F20"/>
          <w:spacing w:val="-17"/>
          <w:w w:val="105"/>
          <w:sz w:val="21"/>
        </w:rPr>
        <w:t> </w:t>
      </w:r>
      <w:r>
        <w:rPr>
          <w:color w:val="231F20"/>
          <w:w w:val="105"/>
          <w:sz w:val="21"/>
        </w:rPr>
        <w:t>Kvintradze,</w:t>
      </w:r>
      <w:r>
        <w:rPr>
          <w:color w:val="231F20"/>
          <w:spacing w:val="-21"/>
          <w:w w:val="105"/>
          <w:sz w:val="21"/>
        </w:rPr>
        <w:t> </w:t>
      </w:r>
      <w:r>
        <w:rPr>
          <w:color w:val="231F20"/>
          <w:w w:val="105"/>
          <w:sz w:val="21"/>
        </w:rPr>
        <w:t>E.,</w:t>
      </w:r>
      <w:r>
        <w:rPr>
          <w:color w:val="231F20"/>
          <w:spacing w:val="-21"/>
          <w:w w:val="105"/>
          <w:sz w:val="21"/>
        </w:rPr>
        <w:t> </w:t>
      </w:r>
      <w:r>
        <w:rPr>
          <w:color w:val="231F20"/>
          <w:w w:val="105"/>
          <w:sz w:val="21"/>
        </w:rPr>
        <w:t>Lledo, </w:t>
      </w:r>
      <w:r>
        <w:rPr>
          <w:color w:val="231F20"/>
          <w:spacing w:val="-6"/>
          <w:w w:val="105"/>
          <w:sz w:val="21"/>
        </w:rPr>
        <w:t>V.,</w:t>
      </w:r>
      <w:r>
        <w:rPr>
          <w:color w:val="231F20"/>
          <w:spacing w:val="-16"/>
          <w:w w:val="105"/>
          <w:sz w:val="21"/>
        </w:rPr>
        <w:t> </w:t>
      </w:r>
      <w:r>
        <w:rPr>
          <w:color w:val="231F20"/>
          <w:w w:val="105"/>
          <w:sz w:val="21"/>
        </w:rPr>
        <w:t>y</w:t>
      </w:r>
      <w:r>
        <w:rPr>
          <w:color w:val="231F20"/>
          <w:spacing w:val="-12"/>
          <w:w w:val="105"/>
          <w:sz w:val="21"/>
        </w:rPr>
        <w:t> </w:t>
      </w:r>
      <w:r>
        <w:rPr>
          <w:color w:val="231F20"/>
          <w:w w:val="105"/>
          <w:sz w:val="21"/>
        </w:rPr>
        <w:t>otros.</w:t>
      </w:r>
      <w:r>
        <w:rPr>
          <w:color w:val="231F20"/>
          <w:spacing w:val="-16"/>
          <w:w w:val="105"/>
          <w:sz w:val="21"/>
        </w:rPr>
        <w:t> </w:t>
      </w:r>
      <w:r>
        <w:rPr>
          <w:color w:val="231F20"/>
          <w:w w:val="105"/>
          <w:sz w:val="21"/>
        </w:rPr>
        <w:t>(2010).</w:t>
      </w:r>
      <w:r>
        <w:rPr>
          <w:color w:val="231F20"/>
          <w:spacing w:val="-16"/>
          <w:w w:val="105"/>
          <w:sz w:val="21"/>
        </w:rPr>
        <w:t> </w:t>
      </w:r>
      <w:r>
        <w:rPr>
          <w:i/>
          <w:color w:val="231F20"/>
          <w:w w:val="105"/>
          <w:sz w:val="21"/>
        </w:rPr>
        <w:t>Budget</w:t>
      </w:r>
      <w:r>
        <w:rPr>
          <w:i/>
          <w:color w:val="231F20"/>
          <w:spacing w:val="-12"/>
          <w:w w:val="105"/>
          <w:sz w:val="21"/>
        </w:rPr>
        <w:t> </w:t>
      </w:r>
      <w:r>
        <w:rPr>
          <w:i/>
          <w:color w:val="231F20"/>
          <w:w w:val="105"/>
          <w:sz w:val="21"/>
        </w:rPr>
        <w:t>Institutions</w:t>
      </w:r>
      <w:r>
        <w:rPr>
          <w:i/>
          <w:color w:val="231F20"/>
          <w:spacing w:val="-12"/>
          <w:w w:val="105"/>
          <w:sz w:val="21"/>
        </w:rPr>
        <w:t> </w:t>
      </w:r>
      <w:r>
        <w:rPr>
          <w:i/>
          <w:color w:val="231F20"/>
          <w:w w:val="105"/>
          <w:sz w:val="21"/>
        </w:rPr>
        <w:t>and</w:t>
      </w:r>
      <w:r>
        <w:rPr>
          <w:i/>
          <w:color w:val="231F20"/>
          <w:spacing w:val="-12"/>
          <w:w w:val="105"/>
          <w:sz w:val="21"/>
        </w:rPr>
        <w:t> </w:t>
      </w:r>
      <w:r>
        <w:rPr>
          <w:i/>
          <w:color w:val="231F20"/>
          <w:w w:val="105"/>
          <w:sz w:val="21"/>
        </w:rPr>
        <w:t>Fiscal</w:t>
      </w:r>
      <w:r>
        <w:rPr>
          <w:i/>
          <w:color w:val="231F20"/>
          <w:spacing w:val="-12"/>
          <w:w w:val="105"/>
          <w:sz w:val="21"/>
        </w:rPr>
        <w:t> </w:t>
      </w:r>
      <w:r>
        <w:rPr>
          <w:i/>
          <w:color w:val="231F20"/>
          <w:w w:val="105"/>
          <w:sz w:val="21"/>
        </w:rPr>
        <w:t>Performance</w:t>
      </w:r>
      <w:r>
        <w:rPr>
          <w:i/>
          <w:color w:val="231F20"/>
          <w:spacing w:val="-12"/>
          <w:w w:val="105"/>
          <w:sz w:val="21"/>
        </w:rPr>
        <w:t> </w:t>
      </w:r>
      <w:r>
        <w:rPr>
          <w:i/>
          <w:color w:val="231F20"/>
          <w:w w:val="105"/>
          <w:sz w:val="21"/>
        </w:rPr>
        <w:t>in </w:t>
      </w:r>
      <w:r>
        <w:rPr>
          <w:i/>
          <w:color w:val="231F20"/>
          <w:w w:val="105"/>
          <w:sz w:val="21"/>
        </w:rPr>
        <w:t>Low-Income</w:t>
      </w:r>
      <w:r>
        <w:rPr>
          <w:i/>
          <w:color w:val="231F20"/>
          <w:spacing w:val="-10"/>
          <w:w w:val="105"/>
          <w:sz w:val="21"/>
        </w:rPr>
        <w:t> </w:t>
      </w:r>
      <w:r>
        <w:rPr>
          <w:i/>
          <w:color w:val="231F20"/>
          <w:w w:val="105"/>
          <w:sz w:val="21"/>
        </w:rPr>
        <w:t>Countries.</w:t>
      </w:r>
      <w:r>
        <w:rPr>
          <w:i/>
          <w:color w:val="231F20"/>
          <w:spacing w:val="-10"/>
          <w:w w:val="105"/>
          <w:sz w:val="21"/>
        </w:rPr>
        <w:t> </w:t>
      </w:r>
      <w:r>
        <w:rPr>
          <w:color w:val="231F20"/>
          <w:w w:val="105"/>
          <w:sz w:val="21"/>
        </w:rPr>
        <w:t>International</w:t>
      </w:r>
      <w:r>
        <w:rPr>
          <w:color w:val="231F20"/>
          <w:spacing w:val="-10"/>
          <w:w w:val="105"/>
          <w:sz w:val="21"/>
        </w:rPr>
        <w:t> </w:t>
      </w:r>
      <w:r>
        <w:rPr>
          <w:color w:val="231F20"/>
          <w:w w:val="105"/>
          <w:sz w:val="21"/>
        </w:rPr>
        <w:t>Monetary</w:t>
      </w:r>
      <w:r>
        <w:rPr>
          <w:color w:val="231F20"/>
          <w:spacing w:val="-10"/>
          <w:w w:val="105"/>
          <w:sz w:val="21"/>
        </w:rPr>
        <w:t> </w:t>
      </w:r>
      <w:r>
        <w:rPr>
          <w:color w:val="231F20"/>
          <w:w w:val="105"/>
          <w:sz w:val="21"/>
        </w:rPr>
        <w:t>Fund,</w:t>
      </w:r>
      <w:r>
        <w:rPr>
          <w:color w:val="231F20"/>
          <w:spacing w:val="-16"/>
          <w:w w:val="105"/>
          <w:sz w:val="21"/>
        </w:rPr>
        <w:t> </w:t>
      </w:r>
      <w:r>
        <w:rPr>
          <w:color w:val="231F20"/>
          <w:w w:val="105"/>
          <w:sz w:val="21"/>
        </w:rPr>
        <w:t>WP/10/80, IMF</w:t>
      </w:r>
      <w:r>
        <w:rPr>
          <w:color w:val="231F20"/>
          <w:spacing w:val="-35"/>
          <w:w w:val="105"/>
          <w:sz w:val="21"/>
        </w:rPr>
        <w:t> </w:t>
      </w:r>
      <w:r>
        <w:rPr>
          <w:color w:val="231F20"/>
          <w:w w:val="105"/>
          <w:sz w:val="21"/>
        </w:rPr>
        <w:t>Working</w:t>
      </w:r>
      <w:r>
        <w:rPr>
          <w:color w:val="231F20"/>
          <w:spacing w:val="-34"/>
          <w:w w:val="105"/>
          <w:sz w:val="21"/>
        </w:rPr>
        <w:t> </w:t>
      </w:r>
      <w:r>
        <w:rPr>
          <w:color w:val="231F20"/>
          <w:spacing w:val="-4"/>
          <w:w w:val="105"/>
          <w:sz w:val="21"/>
        </w:rPr>
        <w:t>Paper.</w:t>
      </w:r>
    </w:p>
    <w:p>
      <w:pPr>
        <w:spacing w:line="241" w:lineRule="exact" w:before="0"/>
        <w:ind w:left="117" w:right="-2" w:firstLine="0"/>
        <w:jc w:val="left"/>
        <w:rPr>
          <w:sz w:val="21"/>
        </w:rPr>
      </w:pPr>
      <w:r>
        <w:rPr>
          <w:color w:val="231F20"/>
          <w:sz w:val="21"/>
        </w:rPr>
        <w:t>De Gregorio, J. (2007). </w:t>
      </w:r>
      <w:r>
        <w:rPr>
          <w:i/>
          <w:color w:val="231F20"/>
          <w:sz w:val="21"/>
        </w:rPr>
        <w:t>Macroeconomía </w:t>
      </w:r>
      <w:r>
        <w:rPr>
          <w:i/>
          <w:color w:val="231F20"/>
          <w:spacing w:val="-4"/>
          <w:sz w:val="21"/>
        </w:rPr>
        <w:t>Teoría </w:t>
      </w:r>
      <w:r>
        <w:rPr>
          <w:i/>
          <w:color w:val="231F20"/>
          <w:sz w:val="21"/>
        </w:rPr>
        <w:t>y Políticas. </w:t>
      </w:r>
      <w:r>
        <w:rPr>
          <w:color w:val="231F20"/>
          <w:sz w:val="21"/>
        </w:rPr>
        <w:t>México: </w:t>
      </w:r>
      <w:r>
        <w:rPr>
          <w:color w:val="231F20"/>
          <w:spacing w:val="-3"/>
          <w:sz w:val="21"/>
        </w:rPr>
        <w:t>Pearson</w:t>
      </w:r>
    </w:p>
    <w:p>
      <w:pPr>
        <w:pStyle w:val="BodyText"/>
        <w:spacing w:before="18"/>
        <w:ind w:left="854" w:right="114"/>
      </w:pPr>
      <w:r>
        <w:rPr>
          <w:color w:val="231F20"/>
        </w:rPr>
        <w:t>- Prentice Hall.</w:t>
      </w:r>
    </w:p>
    <w:p>
      <w:pPr>
        <w:spacing w:line="259" w:lineRule="auto" w:before="18"/>
        <w:ind w:left="854" w:right="115" w:hanging="737"/>
        <w:jc w:val="both"/>
        <w:rPr>
          <w:sz w:val="21"/>
        </w:rPr>
      </w:pPr>
      <w:r>
        <w:rPr>
          <w:color w:val="231F20"/>
          <w:sz w:val="21"/>
        </w:rPr>
        <w:t>De Mello, L. (2005). </w:t>
      </w:r>
      <w:r>
        <w:rPr>
          <w:i/>
          <w:color w:val="231F20"/>
          <w:sz w:val="21"/>
        </w:rPr>
        <w:t>Estimating a Fiscal Reaction Function: The Case of </w:t>
      </w:r>
      <w:r>
        <w:rPr>
          <w:i/>
          <w:color w:val="231F20"/>
          <w:sz w:val="21"/>
        </w:rPr>
        <w:t>Debt Sustainability in Brazil. </w:t>
      </w:r>
      <w:r>
        <w:rPr>
          <w:color w:val="231F20"/>
          <w:sz w:val="21"/>
        </w:rPr>
        <w:t>OECD Economics Department. Working Paper, No. 423, Mes de  Abril.</w:t>
      </w:r>
    </w:p>
    <w:p>
      <w:pPr>
        <w:pStyle w:val="BodyText"/>
        <w:spacing w:line="259" w:lineRule="auto"/>
        <w:ind w:left="854" w:right="115" w:hanging="738"/>
        <w:jc w:val="both"/>
      </w:pPr>
      <w:r>
        <w:rPr>
          <w:color w:val="231F20"/>
          <w:w w:val="105"/>
        </w:rPr>
        <w:t>Dimaggio, </w:t>
      </w:r>
      <w:r>
        <w:rPr>
          <w:color w:val="231F20"/>
          <w:spacing w:val="-11"/>
          <w:w w:val="105"/>
        </w:rPr>
        <w:t>P., </w:t>
      </w:r>
      <w:r>
        <w:rPr>
          <w:color w:val="231F20"/>
          <w:w w:val="105"/>
        </w:rPr>
        <w:t>y </w:t>
      </w:r>
      <w:r>
        <w:rPr>
          <w:color w:val="231F20"/>
          <w:spacing w:val="-3"/>
          <w:w w:val="105"/>
        </w:rPr>
        <w:t>Powell, </w:t>
      </w:r>
      <w:r>
        <w:rPr>
          <w:color w:val="231F20"/>
          <w:spacing w:val="-7"/>
          <w:w w:val="105"/>
        </w:rPr>
        <w:t>W. </w:t>
      </w:r>
      <w:r>
        <w:rPr>
          <w:color w:val="231F20"/>
          <w:w w:val="105"/>
        </w:rPr>
        <w:t>(1983). “The iron cage revisited: Institutional isomorphism and collective rationality in organizational </w:t>
      </w:r>
      <w:r>
        <w:rPr>
          <w:color w:val="231F20"/>
          <w:spacing w:val="-4"/>
          <w:w w:val="105"/>
        </w:rPr>
        <w:t>fields”. </w:t>
      </w:r>
      <w:r>
        <w:rPr>
          <w:i/>
          <w:color w:val="231F20"/>
          <w:w w:val="105"/>
        </w:rPr>
        <w:t>American Sociological Review, 48</w:t>
      </w:r>
      <w:r>
        <w:rPr>
          <w:color w:val="231F20"/>
          <w:w w:val="105"/>
        </w:rPr>
        <w:t>, 147 -160.</w:t>
      </w:r>
    </w:p>
    <w:p>
      <w:pPr>
        <w:spacing w:line="259" w:lineRule="auto" w:before="0"/>
        <w:ind w:left="854" w:right="122" w:hanging="738"/>
        <w:jc w:val="both"/>
        <w:rPr>
          <w:sz w:val="21"/>
        </w:rPr>
      </w:pPr>
      <w:r>
        <w:rPr>
          <w:color w:val="231F20"/>
          <w:sz w:val="21"/>
        </w:rPr>
        <w:t>Eisenhardt,</w:t>
      </w:r>
      <w:r>
        <w:rPr>
          <w:color w:val="231F20"/>
          <w:spacing w:val="-13"/>
          <w:sz w:val="21"/>
        </w:rPr>
        <w:t> </w:t>
      </w:r>
      <w:r>
        <w:rPr>
          <w:color w:val="231F20"/>
          <w:sz w:val="21"/>
        </w:rPr>
        <w:t>K.</w:t>
      </w:r>
      <w:r>
        <w:rPr>
          <w:color w:val="231F20"/>
          <w:spacing w:val="-13"/>
          <w:sz w:val="21"/>
        </w:rPr>
        <w:t> </w:t>
      </w:r>
      <w:r>
        <w:rPr>
          <w:color w:val="231F20"/>
          <w:sz w:val="21"/>
        </w:rPr>
        <w:t>(1988).</w:t>
      </w:r>
      <w:r>
        <w:rPr>
          <w:color w:val="231F20"/>
          <w:spacing w:val="-13"/>
          <w:sz w:val="21"/>
        </w:rPr>
        <w:t> </w:t>
      </w:r>
      <w:r>
        <w:rPr>
          <w:color w:val="231F20"/>
          <w:spacing w:val="-3"/>
          <w:sz w:val="21"/>
        </w:rPr>
        <w:t>“Agency</w:t>
      </w:r>
      <w:r>
        <w:rPr>
          <w:color w:val="231F20"/>
          <w:spacing w:val="-12"/>
          <w:sz w:val="21"/>
        </w:rPr>
        <w:t> </w:t>
      </w:r>
      <w:r>
        <w:rPr>
          <w:color w:val="231F20"/>
          <w:sz w:val="21"/>
        </w:rPr>
        <w:t>Theory:</w:t>
      </w:r>
      <w:r>
        <w:rPr>
          <w:color w:val="231F20"/>
          <w:spacing w:val="-10"/>
          <w:sz w:val="21"/>
        </w:rPr>
        <w:t> </w:t>
      </w:r>
      <w:r>
        <w:rPr>
          <w:color w:val="231F20"/>
          <w:sz w:val="21"/>
        </w:rPr>
        <w:t>An</w:t>
      </w:r>
      <w:r>
        <w:rPr>
          <w:color w:val="231F20"/>
          <w:spacing w:val="-10"/>
          <w:sz w:val="21"/>
        </w:rPr>
        <w:t> </w:t>
      </w:r>
      <w:r>
        <w:rPr>
          <w:color w:val="231F20"/>
          <w:sz w:val="21"/>
        </w:rPr>
        <w:t>Assessment</w:t>
      </w:r>
      <w:r>
        <w:rPr>
          <w:color w:val="231F20"/>
          <w:spacing w:val="-5"/>
          <w:sz w:val="21"/>
        </w:rPr>
        <w:t> </w:t>
      </w:r>
      <w:r>
        <w:rPr>
          <w:color w:val="231F20"/>
          <w:sz w:val="21"/>
        </w:rPr>
        <w:t>and</w:t>
      </w:r>
      <w:r>
        <w:rPr>
          <w:color w:val="231F20"/>
          <w:spacing w:val="-5"/>
          <w:sz w:val="21"/>
        </w:rPr>
        <w:t> </w:t>
      </w:r>
      <w:r>
        <w:rPr>
          <w:color w:val="231F20"/>
          <w:spacing w:val="-4"/>
          <w:sz w:val="21"/>
        </w:rPr>
        <w:t>Review”.</w:t>
      </w:r>
      <w:r>
        <w:rPr>
          <w:color w:val="231F20"/>
          <w:spacing w:val="-13"/>
          <w:sz w:val="21"/>
        </w:rPr>
        <w:t> </w:t>
      </w:r>
      <w:r>
        <w:rPr>
          <w:i/>
          <w:color w:val="231F20"/>
          <w:sz w:val="21"/>
        </w:rPr>
        <w:t>Acad- </w:t>
      </w:r>
      <w:r>
        <w:rPr>
          <w:i/>
          <w:color w:val="231F20"/>
          <w:sz w:val="21"/>
        </w:rPr>
        <w:t>emy ol Managwneni Review, 14</w:t>
      </w:r>
      <w:r>
        <w:rPr>
          <w:color w:val="231F20"/>
          <w:sz w:val="21"/>
        </w:rPr>
        <w:t>(1),</w:t>
      </w:r>
      <w:r>
        <w:rPr>
          <w:color w:val="231F20"/>
          <w:spacing w:val="-4"/>
          <w:sz w:val="21"/>
        </w:rPr>
        <w:t> </w:t>
      </w:r>
      <w:r>
        <w:rPr>
          <w:color w:val="231F20"/>
          <w:sz w:val="21"/>
        </w:rPr>
        <w:t>57-74.</w:t>
      </w:r>
    </w:p>
    <w:p>
      <w:pPr>
        <w:spacing w:line="259" w:lineRule="auto" w:before="0"/>
        <w:ind w:left="854" w:right="122" w:hanging="738"/>
        <w:jc w:val="both"/>
        <w:rPr>
          <w:sz w:val="21"/>
        </w:rPr>
      </w:pPr>
      <w:r>
        <w:rPr>
          <w:color w:val="231F20"/>
          <w:sz w:val="21"/>
        </w:rPr>
        <w:t>Frankel,</w:t>
      </w:r>
      <w:r>
        <w:rPr>
          <w:color w:val="231F20"/>
          <w:spacing w:val="-19"/>
          <w:sz w:val="21"/>
        </w:rPr>
        <w:t> </w:t>
      </w:r>
      <w:r>
        <w:rPr>
          <w:color w:val="231F20"/>
          <w:sz w:val="21"/>
        </w:rPr>
        <w:t>J.</w:t>
      </w:r>
      <w:r>
        <w:rPr>
          <w:color w:val="231F20"/>
          <w:spacing w:val="-17"/>
          <w:sz w:val="21"/>
        </w:rPr>
        <w:t> </w:t>
      </w:r>
      <w:r>
        <w:rPr>
          <w:color w:val="231F20"/>
          <w:sz w:val="21"/>
        </w:rPr>
        <w:t>(2010).</w:t>
      </w:r>
      <w:r>
        <w:rPr>
          <w:color w:val="231F20"/>
          <w:spacing w:val="-17"/>
          <w:sz w:val="21"/>
        </w:rPr>
        <w:t> </w:t>
      </w:r>
      <w:r>
        <w:rPr>
          <w:color w:val="231F20"/>
          <w:sz w:val="21"/>
        </w:rPr>
        <w:t>“The</w:t>
      </w:r>
      <w:r>
        <w:rPr>
          <w:color w:val="231F20"/>
          <w:spacing w:val="-10"/>
          <w:sz w:val="21"/>
        </w:rPr>
        <w:t> </w:t>
      </w:r>
      <w:r>
        <w:rPr>
          <w:color w:val="231F20"/>
          <w:sz w:val="21"/>
        </w:rPr>
        <w:t>Natural</w:t>
      </w:r>
      <w:r>
        <w:rPr>
          <w:color w:val="231F20"/>
          <w:spacing w:val="-10"/>
          <w:sz w:val="21"/>
        </w:rPr>
        <w:t> </w:t>
      </w:r>
      <w:r>
        <w:rPr>
          <w:color w:val="231F20"/>
          <w:sz w:val="21"/>
        </w:rPr>
        <w:t>Resource</w:t>
      </w:r>
      <w:r>
        <w:rPr>
          <w:color w:val="231F20"/>
          <w:spacing w:val="-10"/>
          <w:sz w:val="21"/>
        </w:rPr>
        <w:t> </w:t>
      </w:r>
      <w:r>
        <w:rPr>
          <w:color w:val="231F20"/>
          <w:sz w:val="21"/>
        </w:rPr>
        <w:t>Curse:</w:t>
      </w:r>
      <w:r>
        <w:rPr>
          <w:color w:val="231F20"/>
          <w:spacing w:val="-14"/>
          <w:sz w:val="21"/>
        </w:rPr>
        <w:t> </w:t>
      </w:r>
      <w:r>
        <w:rPr>
          <w:color w:val="231F20"/>
          <w:sz w:val="21"/>
        </w:rPr>
        <w:t>A</w:t>
      </w:r>
      <w:r>
        <w:rPr>
          <w:color w:val="231F20"/>
          <w:spacing w:val="-14"/>
          <w:sz w:val="21"/>
        </w:rPr>
        <w:t> </w:t>
      </w:r>
      <w:r>
        <w:rPr>
          <w:color w:val="231F20"/>
          <w:spacing w:val="-4"/>
          <w:sz w:val="21"/>
        </w:rPr>
        <w:t>Survey”.</w:t>
      </w:r>
      <w:r>
        <w:rPr>
          <w:color w:val="231F20"/>
          <w:spacing w:val="-17"/>
          <w:sz w:val="21"/>
        </w:rPr>
        <w:t> </w:t>
      </w:r>
      <w:r>
        <w:rPr>
          <w:i/>
          <w:color w:val="231F20"/>
          <w:sz w:val="21"/>
        </w:rPr>
        <w:t>NBER</w:t>
      </w:r>
      <w:r>
        <w:rPr>
          <w:i/>
          <w:color w:val="231F20"/>
          <w:spacing w:val="-13"/>
          <w:sz w:val="21"/>
        </w:rPr>
        <w:t> </w:t>
      </w:r>
      <w:r>
        <w:rPr>
          <w:i/>
          <w:color w:val="231F20"/>
          <w:sz w:val="21"/>
        </w:rPr>
        <w:t>Working </w:t>
      </w:r>
      <w:r>
        <w:rPr>
          <w:i/>
          <w:color w:val="231F20"/>
          <w:spacing w:val="-3"/>
          <w:sz w:val="21"/>
        </w:rPr>
        <w:t>Paper </w:t>
      </w:r>
      <w:r>
        <w:rPr>
          <w:i/>
          <w:color w:val="231F20"/>
          <w:sz w:val="21"/>
        </w:rPr>
        <w:t>No. 15836</w:t>
      </w:r>
      <w:r>
        <w:rPr>
          <w:color w:val="231F20"/>
          <w:sz w:val="21"/>
        </w:rPr>
        <w:t>,</w:t>
      </w:r>
      <w:r>
        <w:rPr>
          <w:color w:val="231F20"/>
          <w:spacing w:val="7"/>
          <w:sz w:val="21"/>
        </w:rPr>
        <w:t> </w:t>
      </w:r>
      <w:r>
        <w:rPr>
          <w:color w:val="231F20"/>
          <w:sz w:val="21"/>
        </w:rPr>
        <w:t>1-55.</w:t>
      </w:r>
    </w:p>
    <w:p>
      <w:pPr>
        <w:spacing w:line="259" w:lineRule="auto" w:before="0"/>
        <w:ind w:left="854" w:right="115" w:hanging="738"/>
        <w:jc w:val="both"/>
        <w:rPr>
          <w:sz w:val="21"/>
        </w:rPr>
      </w:pPr>
      <w:r>
        <w:rPr>
          <w:color w:val="231F20"/>
          <w:sz w:val="21"/>
        </w:rPr>
        <w:t>Frankel, J. (2011). </w:t>
      </w:r>
      <w:r>
        <w:rPr>
          <w:i/>
          <w:color w:val="231F20"/>
          <w:sz w:val="21"/>
        </w:rPr>
        <w:t>How Can Commodity Exporters Make Fiscal and</w:t>
      </w:r>
      <w:r>
        <w:rPr>
          <w:i/>
          <w:color w:val="231F20"/>
          <w:spacing w:val="-36"/>
          <w:sz w:val="21"/>
        </w:rPr>
        <w:t> </w:t>
      </w:r>
      <w:r>
        <w:rPr>
          <w:i/>
          <w:color w:val="231F20"/>
          <w:sz w:val="21"/>
        </w:rPr>
        <w:t>Mone- </w:t>
      </w:r>
      <w:r>
        <w:rPr>
          <w:i/>
          <w:color w:val="231F20"/>
          <w:sz w:val="21"/>
        </w:rPr>
        <w:t>tary</w:t>
      </w:r>
      <w:r>
        <w:rPr>
          <w:i/>
          <w:color w:val="231F20"/>
          <w:spacing w:val="-23"/>
          <w:sz w:val="21"/>
        </w:rPr>
        <w:t> </w:t>
      </w:r>
      <w:r>
        <w:rPr>
          <w:i/>
          <w:color w:val="231F20"/>
          <w:spacing w:val="-3"/>
          <w:sz w:val="21"/>
        </w:rPr>
        <w:t>Policy</w:t>
      </w:r>
      <w:r>
        <w:rPr>
          <w:i/>
          <w:color w:val="231F20"/>
          <w:spacing w:val="-23"/>
          <w:sz w:val="21"/>
        </w:rPr>
        <w:t> </w:t>
      </w:r>
      <w:r>
        <w:rPr>
          <w:i/>
          <w:color w:val="231F20"/>
          <w:sz w:val="21"/>
        </w:rPr>
        <w:t>Less</w:t>
      </w:r>
      <w:r>
        <w:rPr>
          <w:i/>
          <w:color w:val="231F20"/>
          <w:spacing w:val="-23"/>
          <w:sz w:val="21"/>
        </w:rPr>
        <w:t> </w:t>
      </w:r>
      <w:r>
        <w:rPr>
          <w:i/>
          <w:color w:val="231F20"/>
          <w:sz w:val="21"/>
        </w:rPr>
        <w:t>Procyclical?</w:t>
      </w:r>
      <w:r>
        <w:rPr>
          <w:i/>
          <w:color w:val="231F20"/>
          <w:spacing w:val="-23"/>
          <w:sz w:val="21"/>
        </w:rPr>
        <w:t> </w:t>
      </w:r>
      <w:r>
        <w:rPr>
          <w:color w:val="231F20"/>
          <w:sz w:val="21"/>
        </w:rPr>
        <w:t>Harvard</w:t>
      </w:r>
      <w:r>
        <w:rPr>
          <w:color w:val="231F20"/>
          <w:spacing w:val="-23"/>
          <w:sz w:val="21"/>
        </w:rPr>
        <w:t> </w:t>
      </w:r>
      <w:r>
        <w:rPr>
          <w:color w:val="231F20"/>
          <w:sz w:val="21"/>
        </w:rPr>
        <w:t>Kennedy</w:t>
      </w:r>
      <w:r>
        <w:rPr>
          <w:color w:val="231F20"/>
          <w:spacing w:val="-23"/>
          <w:sz w:val="21"/>
        </w:rPr>
        <w:t> </w:t>
      </w:r>
      <w:r>
        <w:rPr>
          <w:color w:val="231F20"/>
          <w:sz w:val="21"/>
        </w:rPr>
        <w:t>School,</w:t>
      </w:r>
      <w:r>
        <w:rPr>
          <w:color w:val="231F20"/>
          <w:spacing w:val="-28"/>
          <w:sz w:val="21"/>
        </w:rPr>
        <w:t> </w:t>
      </w:r>
      <w:r>
        <w:rPr>
          <w:color w:val="231F20"/>
          <w:sz w:val="21"/>
        </w:rPr>
        <w:t>RWP11-015, Faculty Research Working </w:t>
      </w:r>
      <w:r>
        <w:rPr>
          <w:color w:val="231F20"/>
          <w:spacing w:val="-3"/>
          <w:sz w:val="21"/>
        </w:rPr>
        <w:t>Paper</w:t>
      </w:r>
      <w:r>
        <w:rPr>
          <w:color w:val="231F20"/>
          <w:spacing w:val="-40"/>
          <w:sz w:val="21"/>
        </w:rPr>
        <w:t> </w:t>
      </w:r>
      <w:r>
        <w:rPr>
          <w:color w:val="231F20"/>
          <w:sz w:val="21"/>
        </w:rPr>
        <w:t>Series.</w:t>
      </w:r>
    </w:p>
    <w:p>
      <w:pPr>
        <w:spacing w:line="241" w:lineRule="exact" w:before="0"/>
        <w:ind w:left="117" w:right="-3" w:firstLine="0"/>
        <w:jc w:val="left"/>
        <w:rPr>
          <w:i/>
          <w:sz w:val="21"/>
        </w:rPr>
      </w:pPr>
      <w:r>
        <w:rPr>
          <w:color w:val="231F20"/>
          <w:sz w:val="21"/>
        </w:rPr>
        <w:t>Flood, R., y Isard, P. (1989). “Monetary Policy Strategies”. </w:t>
      </w:r>
      <w:r>
        <w:rPr>
          <w:i/>
          <w:color w:val="231F20"/>
          <w:sz w:val="21"/>
        </w:rPr>
        <w:t>IMF Staff Papers</w:t>
      </w:r>
    </w:p>
    <w:p>
      <w:pPr>
        <w:spacing w:before="18"/>
        <w:ind w:left="854" w:right="114" w:firstLine="0"/>
        <w:jc w:val="left"/>
        <w:rPr>
          <w:sz w:val="21"/>
        </w:rPr>
      </w:pPr>
      <w:r>
        <w:rPr>
          <w:i/>
          <w:color w:val="231F20"/>
          <w:sz w:val="21"/>
        </w:rPr>
        <w:t>, 36</w:t>
      </w:r>
      <w:r>
        <w:rPr>
          <w:color w:val="231F20"/>
          <w:sz w:val="21"/>
        </w:rPr>
        <w:t>(3).</w:t>
      </w:r>
    </w:p>
    <w:p>
      <w:pPr>
        <w:spacing w:before="18"/>
        <w:ind w:left="117" w:right="114" w:firstLine="0"/>
        <w:jc w:val="left"/>
        <w:rPr>
          <w:i/>
          <w:sz w:val="21"/>
        </w:rPr>
      </w:pPr>
      <w:r>
        <w:rPr>
          <w:color w:val="231F20"/>
          <w:w w:val="105"/>
          <w:sz w:val="21"/>
        </w:rPr>
        <w:t>FMI. (2005). </w:t>
      </w:r>
      <w:r>
        <w:rPr>
          <w:i/>
          <w:color w:val="231F20"/>
          <w:w w:val="105"/>
          <w:sz w:val="21"/>
        </w:rPr>
        <w:t>Oil Market Developments and Issues.</w:t>
      </w:r>
    </w:p>
    <w:p>
      <w:pPr>
        <w:spacing w:after="0"/>
        <w:jc w:val="left"/>
        <w:rPr>
          <w:sz w:val="21"/>
        </w:rPr>
        <w:sectPr>
          <w:type w:val="continuous"/>
          <w:pgSz w:w="9640" w:h="13890"/>
          <w:pgMar w:top="1300" w:bottom="280" w:left="1300" w:right="1180"/>
        </w:sectPr>
      </w:pPr>
    </w:p>
    <w:p>
      <w:pPr>
        <w:pStyle w:val="BodyText"/>
        <w:spacing w:line="259" w:lineRule="auto" w:before="120"/>
        <w:ind w:left="841" w:right="115" w:hanging="738"/>
        <w:jc w:val="both"/>
      </w:pPr>
      <w:r>
        <w:rPr>
          <w:color w:val="231F20"/>
          <w:w w:val="105"/>
        </w:rPr>
        <w:t>Heydemann,</w:t>
      </w:r>
      <w:r>
        <w:rPr>
          <w:color w:val="231F20"/>
          <w:spacing w:val="-29"/>
          <w:w w:val="105"/>
        </w:rPr>
        <w:t> </w:t>
      </w:r>
      <w:r>
        <w:rPr>
          <w:color w:val="231F20"/>
          <w:w w:val="105"/>
        </w:rPr>
        <w:t>S.</w:t>
      </w:r>
      <w:r>
        <w:rPr>
          <w:color w:val="231F20"/>
          <w:spacing w:val="-29"/>
          <w:w w:val="105"/>
        </w:rPr>
        <w:t> </w:t>
      </w:r>
      <w:r>
        <w:rPr>
          <w:color w:val="231F20"/>
          <w:w w:val="105"/>
        </w:rPr>
        <w:t>(2008).</w:t>
      </w:r>
      <w:r>
        <w:rPr>
          <w:color w:val="231F20"/>
          <w:spacing w:val="-29"/>
          <w:w w:val="105"/>
        </w:rPr>
        <w:t> </w:t>
      </w:r>
      <w:r>
        <w:rPr>
          <w:color w:val="231F20"/>
          <w:w w:val="105"/>
        </w:rPr>
        <w:t>Institutions</w:t>
      </w:r>
      <w:r>
        <w:rPr>
          <w:color w:val="231F20"/>
          <w:spacing w:val="-26"/>
          <w:w w:val="105"/>
        </w:rPr>
        <w:t> </w:t>
      </w:r>
      <w:r>
        <w:rPr>
          <w:color w:val="231F20"/>
          <w:w w:val="105"/>
        </w:rPr>
        <w:t>and</w:t>
      </w:r>
      <w:r>
        <w:rPr>
          <w:color w:val="231F20"/>
          <w:spacing w:val="-26"/>
          <w:w w:val="105"/>
        </w:rPr>
        <w:t> </w:t>
      </w:r>
      <w:r>
        <w:rPr>
          <w:color w:val="231F20"/>
          <w:w w:val="105"/>
        </w:rPr>
        <w:t>Economic</w:t>
      </w:r>
      <w:r>
        <w:rPr>
          <w:color w:val="231F20"/>
          <w:spacing w:val="-26"/>
          <w:w w:val="105"/>
        </w:rPr>
        <w:t> </w:t>
      </w:r>
      <w:r>
        <w:rPr>
          <w:color w:val="231F20"/>
          <w:w w:val="105"/>
        </w:rPr>
        <w:t>Performance:</w:t>
      </w:r>
      <w:r>
        <w:rPr>
          <w:color w:val="231F20"/>
          <w:spacing w:val="-29"/>
          <w:w w:val="105"/>
        </w:rPr>
        <w:t> </w:t>
      </w:r>
      <w:r>
        <w:rPr>
          <w:color w:val="231F20"/>
          <w:w w:val="105"/>
        </w:rPr>
        <w:t>The</w:t>
      </w:r>
      <w:r>
        <w:rPr>
          <w:color w:val="231F20"/>
          <w:spacing w:val="-26"/>
          <w:w w:val="105"/>
        </w:rPr>
        <w:t> </w:t>
      </w:r>
      <w:r>
        <w:rPr>
          <w:color w:val="231F20"/>
          <w:w w:val="105"/>
        </w:rPr>
        <w:t>Use and</w:t>
      </w:r>
      <w:r>
        <w:rPr>
          <w:color w:val="231F20"/>
          <w:spacing w:val="-27"/>
          <w:w w:val="105"/>
        </w:rPr>
        <w:t> </w:t>
      </w:r>
      <w:r>
        <w:rPr>
          <w:color w:val="231F20"/>
          <w:w w:val="105"/>
        </w:rPr>
        <w:t>Abuse</w:t>
      </w:r>
      <w:r>
        <w:rPr>
          <w:color w:val="231F20"/>
          <w:spacing w:val="-24"/>
          <w:w w:val="105"/>
        </w:rPr>
        <w:t> </w:t>
      </w:r>
      <w:r>
        <w:rPr>
          <w:color w:val="231F20"/>
          <w:w w:val="105"/>
        </w:rPr>
        <w:t>of</w:t>
      </w:r>
      <w:r>
        <w:rPr>
          <w:color w:val="231F20"/>
          <w:spacing w:val="-20"/>
          <w:w w:val="105"/>
        </w:rPr>
        <w:t> </w:t>
      </w:r>
      <w:r>
        <w:rPr>
          <w:color w:val="231F20"/>
          <w:w w:val="105"/>
        </w:rPr>
        <w:t>Culture</w:t>
      </w:r>
      <w:r>
        <w:rPr>
          <w:color w:val="231F20"/>
          <w:spacing w:val="-24"/>
          <w:w w:val="105"/>
        </w:rPr>
        <w:t> </w:t>
      </w:r>
      <w:r>
        <w:rPr>
          <w:color w:val="231F20"/>
          <w:w w:val="105"/>
        </w:rPr>
        <w:t>in</w:t>
      </w:r>
      <w:r>
        <w:rPr>
          <w:color w:val="231F20"/>
          <w:spacing w:val="-24"/>
          <w:w w:val="105"/>
        </w:rPr>
        <w:t> </w:t>
      </w:r>
      <w:r>
        <w:rPr>
          <w:color w:val="231F20"/>
          <w:w w:val="105"/>
        </w:rPr>
        <w:t>New</w:t>
      </w:r>
      <w:r>
        <w:rPr>
          <w:color w:val="231F20"/>
          <w:spacing w:val="-24"/>
          <w:w w:val="105"/>
        </w:rPr>
        <w:t> </w:t>
      </w:r>
      <w:r>
        <w:rPr>
          <w:color w:val="231F20"/>
          <w:w w:val="105"/>
        </w:rPr>
        <w:t>Institutional</w:t>
      </w:r>
      <w:r>
        <w:rPr>
          <w:color w:val="231F20"/>
          <w:spacing w:val="-24"/>
          <w:w w:val="105"/>
        </w:rPr>
        <w:t> </w:t>
      </w:r>
      <w:r>
        <w:rPr>
          <w:color w:val="231F20"/>
          <w:w w:val="105"/>
        </w:rPr>
        <w:t>Economics.</w:t>
      </w:r>
      <w:r>
        <w:rPr>
          <w:color w:val="231F20"/>
          <w:spacing w:val="-29"/>
          <w:w w:val="105"/>
        </w:rPr>
        <w:t> </w:t>
      </w:r>
      <w:r>
        <w:rPr>
          <w:i/>
          <w:color w:val="231F20"/>
          <w:w w:val="105"/>
        </w:rPr>
        <w:t>St</w:t>
      </w:r>
      <w:r>
        <w:rPr>
          <w:i/>
          <w:color w:val="231F20"/>
          <w:spacing w:val="-24"/>
          <w:w w:val="105"/>
        </w:rPr>
        <w:t> </w:t>
      </w:r>
      <w:r>
        <w:rPr>
          <w:i/>
          <w:color w:val="231F20"/>
          <w:w w:val="105"/>
        </w:rPr>
        <w:t>Comp</w:t>
      </w:r>
      <w:r>
        <w:rPr>
          <w:i/>
          <w:color w:val="231F20"/>
          <w:spacing w:val="-24"/>
          <w:w w:val="105"/>
        </w:rPr>
        <w:t> </w:t>
      </w:r>
      <w:r>
        <w:rPr>
          <w:i/>
          <w:color w:val="231F20"/>
          <w:w w:val="105"/>
        </w:rPr>
        <w:t>Int </w:t>
      </w:r>
      <w:r>
        <w:rPr>
          <w:i/>
          <w:color w:val="231F20"/>
        </w:rPr>
        <w:t>Dev</w:t>
      </w:r>
      <w:r>
        <w:rPr>
          <w:color w:val="231F20"/>
        </w:rPr>
        <w:t>,</w:t>
      </w:r>
      <w:r>
        <w:rPr>
          <w:color w:val="231F20"/>
          <w:spacing w:val="1"/>
        </w:rPr>
        <w:t> </w:t>
      </w:r>
      <w:r>
        <w:rPr>
          <w:color w:val="231F20"/>
        </w:rPr>
        <w:t>27-52.</w:t>
      </w:r>
    </w:p>
    <w:p>
      <w:pPr>
        <w:pStyle w:val="BodyText"/>
        <w:spacing w:line="259" w:lineRule="auto"/>
        <w:ind w:left="841" w:right="120" w:hanging="738"/>
        <w:jc w:val="both"/>
      </w:pPr>
      <w:r>
        <w:rPr>
          <w:color w:val="231F20"/>
          <w:w w:val="105"/>
        </w:rPr>
        <w:t>Hughes, A. (2008a). “Debt targets and fiscal sustainability in an era of monetary interdependence”. </w:t>
      </w:r>
      <w:r>
        <w:rPr>
          <w:i/>
          <w:color w:val="231F20"/>
          <w:w w:val="105"/>
        </w:rPr>
        <w:t>IEPP, 5</w:t>
      </w:r>
      <w:r>
        <w:rPr>
          <w:color w:val="231F20"/>
          <w:w w:val="105"/>
        </w:rPr>
        <w:t>, 165 -187.</w:t>
      </w:r>
    </w:p>
    <w:p>
      <w:pPr>
        <w:pStyle w:val="BodyText"/>
        <w:spacing w:line="259" w:lineRule="auto"/>
        <w:ind w:left="841" w:right="108" w:hanging="738"/>
        <w:jc w:val="both"/>
      </w:pPr>
      <w:r>
        <w:rPr>
          <w:color w:val="231F20"/>
        </w:rPr>
        <w:t>Hughes, A. (2008b). </w:t>
      </w:r>
      <w:r>
        <w:rPr>
          <w:color w:val="231F20"/>
          <w:spacing w:val="-3"/>
        </w:rPr>
        <w:t>“Post-Thatcher </w:t>
      </w:r>
      <w:r>
        <w:rPr>
          <w:color w:val="231F20"/>
        </w:rPr>
        <w:t>Fiscal Strategies in the UK: an Inter- pretation” en: S. J. Neck R (Ed.), </w:t>
      </w:r>
      <w:r>
        <w:rPr>
          <w:i/>
          <w:color w:val="231F20"/>
        </w:rPr>
        <w:t>Sustainability of Public Debt.</w:t>
      </w:r>
      <w:r>
        <w:rPr>
          <w:i/>
          <w:color w:val="231F20"/>
          <w:spacing w:val="-38"/>
        </w:rPr>
        <w:t> </w:t>
      </w:r>
      <w:r>
        <w:rPr>
          <w:color w:val="231F20"/>
          <w:spacing w:val="-5"/>
        </w:rPr>
        <w:t>MIT, </w:t>
      </w:r>
      <w:r>
        <w:rPr>
          <w:color w:val="231F20"/>
        </w:rPr>
        <w:t>Cambridge.</w:t>
      </w:r>
    </w:p>
    <w:p>
      <w:pPr>
        <w:spacing w:line="259" w:lineRule="auto" w:before="0"/>
        <w:ind w:left="841" w:right="110" w:hanging="738"/>
        <w:jc w:val="both"/>
        <w:rPr>
          <w:sz w:val="21"/>
        </w:rPr>
      </w:pPr>
      <w:r>
        <w:rPr>
          <w:color w:val="231F20"/>
          <w:sz w:val="21"/>
        </w:rPr>
        <w:t>Gurvich, E., Vakulenko, E., y Krivenko, </w:t>
      </w:r>
      <w:r>
        <w:rPr>
          <w:color w:val="231F20"/>
          <w:spacing w:val="-16"/>
          <w:sz w:val="21"/>
        </w:rPr>
        <w:t>P. </w:t>
      </w:r>
      <w:r>
        <w:rPr>
          <w:color w:val="231F20"/>
          <w:sz w:val="21"/>
        </w:rPr>
        <w:t>(2009). “Cyclicality of Fiscal </w:t>
      </w:r>
      <w:r>
        <w:rPr>
          <w:color w:val="231F20"/>
          <w:spacing w:val="-4"/>
          <w:sz w:val="21"/>
        </w:rPr>
        <w:t>Poli- </w:t>
      </w:r>
      <w:r>
        <w:rPr>
          <w:color w:val="231F20"/>
          <w:sz w:val="21"/>
        </w:rPr>
        <w:t>cy in Oil-Producing </w:t>
      </w:r>
      <w:r>
        <w:rPr>
          <w:color w:val="231F20"/>
          <w:spacing w:val="-3"/>
          <w:sz w:val="21"/>
        </w:rPr>
        <w:t>Countries”. </w:t>
      </w:r>
      <w:r>
        <w:rPr>
          <w:i/>
          <w:color w:val="231F20"/>
          <w:sz w:val="21"/>
        </w:rPr>
        <w:t>Problems of Economic Transition, </w:t>
      </w:r>
      <w:r>
        <w:rPr>
          <w:i/>
          <w:color w:val="231F20"/>
          <w:sz w:val="21"/>
        </w:rPr>
        <w:t>52</w:t>
      </w:r>
      <w:r>
        <w:rPr>
          <w:color w:val="231F20"/>
          <w:sz w:val="21"/>
        </w:rPr>
        <w:t>(1), 24–53.</w:t>
      </w:r>
    </w:p>
    <w:p>
      <w:pPr>
        <w:spacing w:line="259" w:lineRule="auto" w:before="0"/>
        <w:ind w:left="841" w:right="115" w:hanging="738"/>
        <w:jc w:val="both"/>
        <w:rPr>
          <w:sz w:val="21"/>
        </w:rPr>
      </w:pPr>
      <w:r>
        <w:rPr>
          <w:color w:val="231F20"/>
          <w:sz w:val="21"/>
        </w:rPr>
        <w:t>Ilzetzki, E. (2006). </w:t>
      </w:r>
      <w:r>
        <w:rPr>
          <w:i/>
          <w:color w:val="231F20"/>
          <w:sz w:val="21"/>
        </w:rPr>
        <w:t>Rent seeing distortions and procyclicality. </w:t>
      </w:r>
      <w:r>
        <w:rPr>
          <w:color w:val="231F20"/>
          <w:sz w:val="21"/>
        </w:rPr>
        <w:t>Munich Per- sonal RePEc Archive, Paper No. 11900, posted 10.</w:t>
      </w:r>
    </w:p>
    <w:p>
      <w:pPr>
        <w:spacing w:line="259" w:lineRule="auto" w:before="0"/>
        <w:ind w:left="841" w:right="115" w:hanging="738"/>
        <w:jc w:val="both"/>
        <w:rPr>
          <w:sz w:val="21"/>
        </w:rPr>
      </w:pPr>
      <w:r>
        <w:rPr>
          <w:color w:val="231F20"/>
          <w:sz w:val="21"/>
        </w:rPr>
        <w:t>Ilzetzki,</w:t>
      </w:r>
      <w:r>
        <w:rPr>
          <w:color w:val="231F20"/>
          <w:spacing w:val="-13"/>
          <w:sz w:val="21"/>
        </w:rPr>
        <w:t> </w:t>
      </w:r>
      <w:r>
        <w:rPr>
          <w:color w:val="231F20"/>
          <w:sz w:val="21"/>
        </w:rPr>
        <w:t>E.,</w:t>
      </w:r>
      <w:r>
        <w:rPr>
          <w:color w:val="231F20"/>
          <w:spacing w:val="-13"/>
          <w:sz w:val="21"/>
        </w:rPr>
        <w:t> </w:t>
      </w:r>
      <w:r>
        <w:rPr>
          <w:color w:val="231F20"/>
          <w:sz w:val="21"/>
        </w:rPr>
        <w:t>y</w:t>
      </w:r>
      <w:r>
        <w:rPr>
          <w:color w:val="231F20"/>
          <w:spacing w:val="-11"/>
          <w:sz w:val="21"/>
        </w:rPr>
        <w:t> </w:t>
      </w:r>
      <w:r>
        <w:rPr>
          <w:color w:val="231F20"/>
          <w:sz w:val="21"/>
        </w:rPr>
        <w:t>Végh,</w:t>
      </w:r>
      <w:r>
        <w:rPr>
          <w:color w:val="231F20"/>
          <w:spacing w:val="-13"/>
          <w:sz w:val="21"/>
        </w:rPr>
        <w:t> </w:t>
      </w:r>
      <w:r>
        <w:rPr>
          <w:color w:val="231F20"/>
          <w:sz w:val="21"/>
        </w:rPr>
        <w:t>C.</w:t>
      </w:r>
      <w:r>
        <w:rPr>
          <w:color w:val="231F20"/>
          <w:spacing w:val="-13"/>
          <w:sz w:val="21"/>
        </w:rPr>
        <w:t> </w:t>
      </w:r>
      <w:r>
        <w:rPr>
          <w:color w:val="231F20"/>
          <w:sz w:val="21"/>
        </w:rPr>
        <w:t>(2008).</w:t>
      </w:r>
      <w:r>
        <w:rPr>
          <w:color w:val="231F20"/>
          <w:spacing w:val="-13"/>
          <w:sz w:val="21"/>
        </w:rPr>
        <w:t> </w:t>
      </w:r>
      <w:r>
        <w:rPr>
          <w:i/>
          <w:color w:val="231F20"/>
          <w:sz w:val="21"/>
        </w:rPr>
        <w:t>Procyclical</w:t>
      </w:r>
      <w:r>
        <w:rPr>
          <w:i/>
          <w:color w:val="231F20"/>
          <w:spacing w:val="-6"/>
          <w:sz w:val="21"/>
        </w:rPr>
        <w:t> </w:t>
      </w:r>
      <w:r>
        <w:rPr>
          <w:i/>
          <w:color w:val="231F20"/>
          <w:sz w:val="21"/>
        </w:rPr>
        <w:t>Fiscal</w:t>
      </w:r>
      <w:r>
        <w:rPr>
          <w:i/>
          <w:color w:val="231F20"/>
          <w:spacing w:val="-6"/>
          <w:sz w:val="21"/>
        </w:rPr>
        <w:t> </w:t>
      </w:r>
      <w:r>
        <w:rPr>
          <w:i/>
          <w:color w:val="231F20"/>
          <w:spacing w:val="-3"/>
          <w:sz w:val="21"/>
        </w:rPr>
        <w:t>Policy</w:t>
      </w:r>
      <w:r>
        <w:rPr>
          <w:i/>
          <w:color w:val="231F20"/>
          <w:spacing w:val="-6"/>
          <w:sz w:val="21"/>
        </w:rPr>
        <w:t> </w:t>
      </w:r>
      <w:r>
        <w:rPr>
          <w:i/>
          <w:color w:val="231F20"/>
          <w:sz w:val="21"/>
        </w:rPr>
        <w:t>in</w:t>
      </w:r>
      <w:r>
        <w:rPr>
          <w:i/>
          <w:color w:val="231F20"/>
          <w:spacing w:val="-6"/>
          <w:sz w:val="21"/>
        </w:rPr>
        <w:t> </w:t>
      </w:r>
      <w:r>
        <w:rPr>
          <w:i/>
          <w:color w:val="231F20"/>
          <w:sz w:val="21"/>
        </w:rPr>
        <w:t>Developing</w:t>
      </w:r>
      <w:r>
        <w:rPr>
          <w:i/>
          <w:color w:val="231F20"/>
          <w:spacing w:val="-6"/>
          <w:sz w:val="21"/>
        </w:rPr>
        <w:t> </w:t>
      </w:r>
      <w:r>
        <w:rPr>
          <w:i/>
          <w:color w:val="231F20"/>
          <w:sz w:val="21"/>
        </w:rPr>
        <w:t>Coun- </w:t>
      </w:r>
      <w:r>
        <w:rPr>
          <w:i/>
          <w:color w:val="231F20"/>
          <w:sz w:val="21"/>
        </w:rPr>
        <w:t>tries: </w:t>
      </w:r>
      <w:r>
        <w:rPr>
          <w:i/>
          <w:color w:val="231F20"/>
          <w:spacing w:val="-4"/>
          <w:sz w:val="21"/>
        </w:rPr>
        <w:t>Truth </w:t>
      </w:r>
      <w:r>
        <w:rPr>
          <w:i/>
          <w:color w:val="231F20"/>
          <w:sz w:val="21"/>
        </w:rPr>
        <w:t>or Fiction? </w:t>
      </w:r>
      <w:r>
        <w:rPr>
          <w:color w:val="231F20"/>
          <w:sz w:val="21"/>
        </w:rPr>
        <w:t>Manuscrito, University of Maryland and NBER.</w:t>
      </w:r>
    </w:p>
    <w:p>
      <w:pPr>
        <w:pStyle w:val="BodyText"/>
        <w:spacing w:line="259" w:lineRule="auto"/>
        <w:ind w:left="841" w:right="108" w:hanging="738"/>
        <w:jc w:val="both"/>
      </w:pPr>
      <w:r>
        <w:rPr>
          <w:color w:val="231F20"/>
        </w:rPr>
        <w:t>Kaminsky, G. (2009). </w:t>
      </w:r>
      <w:r>
        <w:rPr>
          <w:color w:val="231F20"/>
          <w:spacing w:val="-3"/>
        </w:rPr>
        <w:t>“Terms </w:t>
      </w:r>
      <w:r>
        <w:rPr>
          <w:color w:val="231F20"/>
        </w:rPr>
        <w:t>of </w:t>
      </w:r>
      <w:r>
        <w:rPr>
          <w:color w:val="231F20"/>
          <w:spacing w:val="-5"/>
        </w:rPr>
        <w:t>Trade </w:t>
      </w:r>
      <w:r>
        <w:rPr>
          <w:color w:val="231F20"/>
        </w:rPr>
        <w:t>Shocks and Fiscal Cycles. En C. A. Reserve Bank of Australia and the Centre for Applied Macroeco- nomic Analysis (CAMA) (Australian National University” en: (Ed.), </w:t>
      </w:r>
      <w:r>
        <w:rPr>
          <w:i/>
          <w:color w:val="231F20"/>
        </w:rPr>
        <w:t>Inflation</w:t>
      </w:r>
      <w:r>
        <w:rPr>
          <w:i/>
          <w:color w:val="231F20"/>
          <w:spacing w:val="-9"/>
        </w:rPr>
        <w:t> </w:t>
      </w:r>
      <w:r>
        <w:rPr>
          <w:i/>
          <w:color w:val="231F20"/>
        </w:rPr>
        <w:t>in</w:t>
      </w:r>
      <w:r>
        <w:rPr>
          <w:i/>
          <w:color w:val="231F20"/>
          <w:spacing w:val="-9"/>
        </w:rPr>
        <w:t> </w:t>
      </w:r>
      <w:r>
        <w:rPr>
          <w:i/>
          <w:color w:val="231F20"/>
        </w:rPr>
        <w:t>an</w:t>
      </w:r>
      <w:r>
        <w:rPr>
          <w:i/>
          <w:color w:val="231F20"/>
          <w:spacing w:val="-9"/>
        </w:rPr>
        <w:t> </w:t>
      </w:r>
      <w:r>
        <w:rPr>
          <w:i/>
          <w:color w:val="231F20"/>
        </w:rPr>
        <w:t>Era</w:t>
      </w:r>
      <w:r>
        <w:rPr>
          <w:i/>
          <w:color w:val="231F20"/>
          <w:spacing w:val="-9"/>
        </w:rPr>
        <w:t> </w:t>
      </w:r>
      <w:r>
        <w:rPr>
          <w:i/>
          <w:color w:val="231F20"/>
        </w:rPr>
        <w:t>of</w:t>
      </w:r>
      <w:r>
        <w:rPr>
          <w:i/>
          <w:color w:val="231F20"/>
          <w:spacing w:val="-5"/>
        </w:rPr>
        <w:t> </w:t>
      </w:r>
      <w:r>
        <w:rPr>
          <w:i/>
          <w:color w:val="231F20"/>
        </w:rPr>
        <w:t>Relative</w:t>
      </w:r>
      <w:r>
        <w:rPr>
          <w:i/>
          <w:color w:val="231F20"/>
          <w:spacing w:val="-9"/>
        </w:rPr>
        <w:t> </w:t>
      </w:r>
      <w:r>
        <w:rPr>
          <w:i/>
          <w:color w:val="231F20"/>
          <w:spacing w:val="-3"/>
        </w:rPr>
        <w:t>Price</w:t>
      </w:r>
      <w:r>
        <w:rPr>
          <w:i/>
          <w:color w:val="231F20"/>
          <w:spacing w:val="-9"/>
        </w:rPr>
        <w:t> </w:t>
      </w:r>
      <w:r>
        <w:rPr>
          <w:i/>
          <w:color w:val="231F20"/>
        </w:rPr>
        <w:t>Shocks.</w:t>
      </w:r>
      <w:r>
        <w:rPr>
          <w:i/>
          <w:color w:val="231F20"/>
          <w:spacing w:val="-9"/>
        </w:rPr>
        <w:t> </w:t>
      </w:r>
      <w:r>
        <w:rPr>
          <w:color w:val="231F20"/>
        </w:rPr>
        <w:t>Sydney,</w:t>
      </w:r>
      <w:r>
        <w:rPr>
          <w:color w:val="231F20"/>
          <w:spacing w:val="-16"/>
        </w:rPr>
        <w:t> </w:t>
      </w:r>
      <w:r>
        <w:rPr>
          <w:color w:val="231F20"/>
        </w:rPr>
        <w:t>17–18</w:t>
      </w:r>
      <w:r>
        <w:rPr>
          <w:color w:val="231F20"/>
          <w:spacing w:val="-13"/>
        </w:rPr>
        <w:t> </w:t>
      </w:r>
      <w:r>
        <w:rPr>
          <w:color w:val="231F20"/>
        </w:rPr>
        <w:t>August.</w:t>
      </w:r>
    </w:p>
    <w:p>
      <w:pPr>
        <w:spacing w:line="259" w:lineRule="auto" w:before="0"/>
        <w:ind w:left="841" w:right="115" w:hanging="738"/>
        <w:jc w:val="both"/>
        <w:rPr>
          <w:sz w:val="21"/>
        </w:rPr>
      </w:pPr>
      <w:r>
        <w:rPr>
          <w:color w:val="231F20"/>
          <w:w w:val="105"/>
          <w:sz w:val="21"/>
        </w:rPr>
        <w:t>Lohmann,</w:t>
      </w:r>
      <w:r>
        <w:rPr>
          <w:color w:val="231F20"/>
          <w:spacing w:val="-21"/>
          <w:w w:val="105"/>
          <w:sz w:val="21"/>
        </w:rPr>
        <w:t> </w:t>
      </w:r>
      <w:r>
        <w:rPr>
          <w:color w:val="231F20"/>
          <w:w w:val="105"/>
          <w:sz w:val="21"/>
        </w:rPr>
        <w:t>S.</w:t>
      </w:r>
      <w:r>
        <w:rPr>
          <w:color w:val="231F20"/>
          <w:spacing w:val="-21"/>
          <w:w w:val="105"/>
          <w:sz w:val="21"/>
        </w:rPr>
        <w:t> </w:t>
      </w:r>
      <w:r>
        <w:rPr>
          <w:color w:val="231F20"/>
          <w:w w:val="105"/>
          <w:sz w:val="21"/>
        </w:rPr>
        <w:t>(1992).</w:t>
      </w:r>
      <w:r>
        <w:rPr>
          <w:color w:val="231F20"/>
          <w:spacing w:val="-21"/>
          <w:w w:val="105"/>
          <w:sz w:val="21"/>
        </w:rPr>
        <w:t> </w:t>
      </w:r>
      <w:r>
        <w:rPr>
          <w:color w:val="231F20"/>
          <w:w w:val="105"/>
          <w:sz w:val="21"/>
        </w:rPr>
        <w:t>“Optimal</w:t>
      </w:r>
      <w:r>
        <w:rPr>
          <w:color w:val="231F20"/>
          <w:spacing w:val="-16"/>
          <w:w w:val="105"/>
          <w:sz w:val="21"/>
        </w:rPr>
        <w:t> </w:t>
      </w:r>
      <w:r>
        <w:rPr>
          <w:color w:val="231F20"/>
          <w:w w:val="105"/>
          <w:sz w:val="21"/>
        </w:rPr>
        <w:t>Commitment</w:t>
      </w:r>
      <w:r>
        <w:rPr>
          <w:color w:val="231F20"/>
          <w:spacing w:val="-16"/>
          <w:w w:val="105"/>
          <w:sz w:val="21"/>
        </w:rPr>
        <w:t> </w:t>
      </w:r>
      <w:r>
        <w:rPr>
          <w:color w:val="231F20"/>
          <w:w w:val="105"/>
          <w:sz w:val="21"/>
        </w:rPr>
        <w:t>in</w:t>
      </w:r>
      <w:r>
        <w:rPr>
          <w:color w:val="231F20"/>
          <w:spacing w:val="-16"/>
          <w:w w:val="105"/>
          <w:sz w:val="21"/>
        </w:rPr>
        <w:t> </w:t>
      </w:r>
      <w:r>
        <w:rPr>
          <w:color w:val="231F20"/>
          <w:w w:val="105"/>
          <w:sz w:val="21"/>
        </w:rPr>
        <w:t>Monetary</w:t>
      </w:r>
      <w:r>
        <w:rPr>
          <w:color w:val="231F20"/>
          <w:spacing w:val="-16"/>
          <w:w w:val="105"/>
          <w:sz w:val="21"/>
        </w:rPr>
        <w:t> </w:t>
      </w:r>
      <w:r>
        <w:rPr>
          <w:color w:val="231F20"/>
          <w:spacing w:val="-3"/>
          <w:w w:val="105"/>
          <w:sz w:val="21"/>
        </w:rPr>
        <w:t>Policy:</w:t>
      </w:r>
      <w:r>
        <w:rPr>
          <w:color w:val="231F20"/>
          <w:spacing w:val="-16"/>
          <w:w w:val="105"/>
          <w:sz w:val="21"/>
        </w:rPr>
        <w:t> </w:t>
      </w:r>
      <w:r>
        <w:rPr>
          <w:color w:val="231F20"/>
          <w:w w:val="105"/>
          <w:sz w:val="21"/>
        </w:rPr>
        <w:t>Credibili- ty</w:t>
      </w:r>
      <w:r>
        <w:rPr>
          <w:color w:val="231F20"/>
          <w:spacing w:val="-41"/>
          <w:w w:val="105"/>
          <w:sz w:val="21"/>
        </w:rPr>
        <w:t> </w:t>
      </w:r>
      <w:r>
        <w:rPr>
          <w:color w:val="231F20"/>
          <w:w w:val="105"/>
          <w:sz w:val="21"/>
        </w:rPr>
        <w:t>versus</w:t>
      </w:r>
      <w:r>
        <w:rPr>
          <w:color w:val="231F20"/>
          <w:spacing w:val="-41"/>
          <w:w w:val="105"/>
          <w:sz w:val="21"/>
        </w:rPr>
        <w:t> </w:t>
      </w:r>
      <w:r>
        <w:rPr>
          <w:color w:val="231F20"/>
          <w:spacing w:val="-3"/>
          <w:w w:val="105"/>
          <w:sz w:val="21"/>
        </w:rPr>
        <w:t>Flexibility”.</w:t>
      </w:r>
      <w:r>
        <w:rPr>
          <w:color w:val="231F20"/>
          <w:spacing w:val="-44"/>
          <w:w w:val="105"/>
          <w:sz w:val="21"/>
        </w:rPr>
        <w:t> </w:t>
      </w:r>
      <w:r>
        <w:rPr>
          <w:i/>
          <w:color w:val="231F20"/>
          <w:w w:val="105"/>
          <w:sz w:val="21"/>
        </w:rPr>
        <w:t>American</w:t>
      </w:r>
      <w:r>
        <w:rPr>
          <w:i/>
          <w:color w:val="231F20"/>
          <w:spacing w:val="-41"/>
          <w:w w:val="105"/>
          <w:sz w:val="21"/>
        </w:rPr>
        <w:t> </w:t>
      </w:r>
      <w:r>
        <w:rPr>
          <w:i/>
          <w:color w:val="231F20"/>
          <w:w w:val="105"/>
          <w:sz w:val="21"/>
        </w:rPr>
        <w:t>Economic</w:t>
      </w:r>
      <w:r>
        <w:rPr>
          <w:i/>
          <w:color w:val="231F20"/>
          <w:spacing w:val="-41"/>
          <w:w w:val="105"/>
          <w:sz w:val="21"/>
        </w:rPr>
        <w:t> </w:t>
      </w:r>
      <w:r>
        <w:rPr>
          <w:i/>
          <w:color w:val="231F20"/>
          <w:w w:val="105"/>
          <w:sz w:val="21"/>
        </w:rPr>
        <w:t>Review,</w:t>
      </w:r>
      <w:r>
        <w:rPr>
          <w:i/>
          <w:color w:val="231F20"/>
          <w:spacing w:val="-44"/>
          <w:w w:val="105"/>
          <w:sz w:val="21"/>
        </w:rPr>
        <w:t> </w:t>
      </w:r>
      <w:r>
        <w:rPr>
          <w:i/>
          <w:color w:val="231F20"/>
          <w:w w:val="105"/>
          <w:sz w:val="21"/>
        </w:rPr>
        <w:t>82</w:t>
      </w:r>
      <w:r>
        <w:rPr>
          <w:color w:val="231F20"/>
          <w:w w:val="105"/>
          <w:sz w:val="21"/>
        </w:rPr>
        <w:t>,</w:t>
      </w:r>
      <w:r>
        <w:rPr>
          <w:color w:val="231F20"/>
          <w:spacing w:val="-44"/>
          <w:w w:val="105"/>
          <w:sz w:val="21"/>
        </w:rPr>
        <w:t> </w:t>
      </w:r>
      <w:r>
        <w:rPr>
          <w:color w:val="231F20"/>
          <w:w w:val="105"/>
          <w:sz w:val="21"/>
        </w:rPr>
        <w:t>273–86.</w:t>
      </w:r>
    </w:p>
    <w:p>
      <w:pPr>
        <w:spacing w:line="259" w:lineRule="auto" w:before="0"/>
        <w:ind w:left="841" w:right="115" w:hanging="738"/>
        <w:jc w:val="both"/>
        <w:rPr>
          <w:sz w:val="21"/>
        </w:rPr>
      </w:pPr>
      <w:r>
        <w:rPr>
          <w:color w:val="231F20"/>
          <w:w w:val="105"/>
          <w:sz w:val="21"/>
        </w:rPr>
        <w:t>Maguirre,</w:t>
      </w:r>
      <w:r>
        <w:rPr>
          <w:color w:val="231F20"/>
          <w:spacing w:val="-41"/>
          <w:w w:val="105"/>
          <w:sz w:val="21"/>
        </w:rPr>
        <w:t> </w:t>
      </w:r>
      <w:r>
        <w:rPr>
          <w:color w:val="231F20"/>
          <w:w w:val="105"/>
          <w:sz w:val="21"/>
        </w:rPr>
        <w:t>S.,</w:t>
      </w:r>
      <w:r>
        <w:rPr>
          <w:color w:val="231F20"/>
          <w:spacing w:val="-41"/>
          <w:w w:val="105"/>
          <w:sz w:val="21"/>
        </w:rPr>
        <w:t> </w:t>
      </w:r>
      <w:r>
        <w:rPr>
          <w:color w:val="231F20"/>
          <w:w w:val="105"/>
          <w:sz w:val="21"/>
        </w:rPr>
        <w:t>y</w:t>
      </w:r>
      <w:r>
        <w:rPr>
          <w:color w:val="231F20"/>
          <w:spacing w:val="-37"/>
          <w:w w:val="105"/>
          <w:sz w:val="21"/>
        </w:rPr>
        <w:t> </w:t>
      </w:r>
      <w:r>
        <w:rPr>
          <w:color w:val="231F20"/>
          <w:spacing w:val="-2"/>
          <w:w w:val="105"/>
          <w:sz w:val="21"/>
        </w:rPr>
        <w:t>Hardy,</w:t>
      </w:r>
      <w:r>
        <w:rPr>
          <w:color w:val="231F20"/>
          <w:spacing w:val="-41"/>
          <w:w w:val="105"/>
          <w:sz w:val="21"/>
        </w:rPr>
        <w:t> </w:t>
      </w:r>
      <w:r>
        <w:rPr>
          <w:color w:val="231F20"/>
          <w:w w:val="105"/>
          <w:sz w:val="21"/>
        </w:rPr>
        <w:t>C.</w:t>
      </w:r>
      <w:r>
        <w:rPr>
          <w:color w:val="231F20"/>
          <w:spacing w:val="-41"/>
          <w:w w:val="105"/>
          <w:sz w:val="21"/>
        </w:rPr>
        <w:t> </w:t>
      </w:r>
      <w:r>
        <w:rPr>
          <w:color w:val="231F20"/>
          <w:w w:val="105"/>
          <w:sz w:val="21"/>
        </w:rPr>
        <w:t>(2009).</w:t>
      </w:r>
      <w:r>
        <w:rPr>
          <w:color w:val="231F20"/>
          <w:spacing w:val="-41"/>
          <w:w w:val="105"/>
          <w:sz w:val="21"/>
        </w:rPr>
        <w:t> </w:t>
      </w:r>
      <w:r>
        <w:rPr>
          <w:color w:val="231F20"/>
          <w:w w:val="105"/>
          <w:sz w:val="21"/>
        </w:rPr>
        <w:t>“Discourse</w:t>
      </w:r>
      <w:r>
        <w:rPr>
          <w:color w:val="231F20"/>
          <w:spacing w:val="-37"/>
          <w:w w:val="105"/>
          <w:sz w:val="21"/>
        </w:rPr>
        <w:t> </w:t>
      </w:r>
      <w:r>
        <w:rPr>
          <w:color w:val="231F20"/>
          <w:w w:val="105"/>
          <w:sz w:val="21"/>
        </w:rPr>
        <w:t>and</w:t>
      </w:r>
      <w:r>
        <w:rPr>
          <w:color w:val="231F20"/>
          <w:spacing w:val="-37"/>
          <w:w w:val="105"/>
          <w:sz w:val="21"/>
        </w:rPr>
        <w:t> </w:t>
      </w:r>
      <w:r>
        <w:rPr>
          <w:color w:val="231F20"/>
          <w:w w:val="105"/>
          <w:sz w:val="21"/>
        </w:rPr>
        <w:t>deinstitutionalization:</w:t>
      </w:r>
      <w:r>
        <w:rPr>
          <w:color w:val="231F20"/>
          <w:spacing w:val="-40"/>
          <w:w w:val="105"/>
          <w:sz w:val="21"/>
        </w:rPr>
        <w:t> </w:t>
      </w:r>
      <w:r>
        <w:rPr>
          <w:color w:val="231F20"/>
          <w:w w:val="105"/>
          <w:sz w:val="21"/>
        </w:rPr>
        <w:t>The decline of </w:t>
      </w:r>
      <w:r>
        <w:rPr>
          <w:color w:val="231F20"/>
          <w:spacing w:val="-7"/>
          <w:w w:val="105"/>
          <w:sz w:val="21"/>
        </w:rPr>
        <w:t>DDT”. </w:t>
      </w:r>
      <w:r>
        <w:rPr>
          <w:i/>
          <w:color w:val="231F20"/>
          <w:w w:val="105"/>
          <w:sz w:val="21"/>
        </w:rPr>
        <w:t>Academy of Management Journal, 52</w:t>
      </w:r>
      <w:r>
        <w:rPr>
          <w:color w:val="231F20"/>
          <w:w w:val="105"/>
          <w:sz w:val="21"/>
        </w:rPr>
        <w:t>(1), 148- 178.</w:t>
      </w:r>
    </w:p>
    <w:p>
      <w:pPr>
        <w:spacing w:line="259" w:lineRule="auto" w:before="0"/>
        <w:ind w:left="841" w:right="115" w:hanging="738"/>
        <w:jc w:val="both"/>
        <w:rPr>
          <w:sz w:val="21"/>
        </w:rPr>
      </w:pPr>
      <w:r>
        <w:rPr>
          <w:color w:val="231F20"/>
          <w:sz w:val="21"/>
        </w:rPr>
        <w:t>Manasse, </w:t>
      </w:r>
      <w:r>
        <w:rPr>
          <w:color w:val="231F20"/>
          <w:spacing w:val="-16"/>
          <w:sz w:val="21"/>
        </w:rPr>
        <w:t>P. </w:t>
      </w:r>
      <w:r>
        <w:rPr>
          <w:color w:val="231F20"/>
          <w:sz w:val="21"/>
        </w:rPr>
        <w:t>(2006). </w:t>
      </w:r>
      <w:r>
        <w:rPr>
          <w:i/>
          <w:color w:val="231F20"/>
          <w:sz w:val="21"/>
        </w:rPr>
        <w:t>Procyclical Fiscal </w:t>
      </w:r>
      <w:r>
        <w:rPr>
          <w:i/>
          <w:color w:val="231F20"/>
          <w:spacing w:val="-3"/>
          <w:sz w:val="21"/>
        </w:rPr>
        <w:t>Policy: </w:t>
      </w:r>
      <w:r>
        <w:rPr>
          <w:i/>
          <w:color w:val="231F20"/>
          <w:sz w:val="21"/>
        </w:rPr>
        <w:t>Shocks, Rules, and Institu- </w:t>
      </w:r>
      <w:r>
        <w:rPr>
          <w:i/>
          <w:color w:val="231F20"/>
          <w:sz w:val="21"/>
        </w:rPr>
        <w:t>tions—A</w:t>
      </w:r>
      <w:r>
        <w:rPr>
          <w:i/>
          <w:color w:val="231F20"/>
          <w:spacing w:val="-16"/>
          <w:sz w:val="21"/>
        </w:rPr>
        <w:t> </w:t>
      </w:r>
      <w:r>
        <w:rPr>
          <w:i/>
          <w:color w:val="231F20"/>
          <w:sz w:val="21"/>
        </w:rPr>
        <w:t>View</w:t>
      </w:r>
      <w:r>
        <w:rPr>
          <w:i/>
          <w:color w:val="231F20"/>
          <w:spacing w:val="-8"/>
          <w:sz w:val="21"/>
        </w:rPr>
        <w:t> </w:t>
      </w:r>
      <w:r>
        <w:rPr>
          <w:i/>
          <w:color w:val="231F20"/>
          <w:sz w:val="21"/>
        </w:rPr>
        <w:t>from</w:t>
      </w:r>
      <w:r>
        <w:rPr>
          <w:i/>
          <w:color w:val="231F20"/>
          <w:spacing w:val="-8"/>
          <w:sz w:val="21"/>
        </w:rPr>
        <w:t> </w:t>
      </w:r>
      <w:r>
        <w:rPr>
          <w:i/>
          <w:color w:val="231F20"/>
          <w:sz w:val="21"/>
        </w:rPr>
        <w:t>MARS.</w:t>
      </w:r>
      <w:r>
        <w:rPr>
          <w:i/>
          <w:color w:val="231F20"/>
          <w:spacing w:val="-8"/>
          <w:sz w:val="21"/>
        </w:rPr>
        <w:t> </w:t>
      </w:r>
      <w:r>
        <w:rPr>
          <w:color w:val="231F20"/>
          <w:sz w:val="21"/>
        </w:rPr>
        <w:t>IMF</w:t>
      </w:r>
      <w:r>
        <w:rPr>
          <w:color w:val="231F20"/>
          <w:spacing w:val="-11"/>
          <w:sz w:val="21"/>
        </w:rPr>
        <w:t> </w:t>
      </w:r>
      <w:r>
        <w:rPr>
          <w:color w:val="231F20"/>
          <w:sz w:val="21"/>
        </w:rPr>
        <w:t>Working</w:t>
      </w:r>
      <w:r>
        <w:rPr>
          <w:color w:val="231F20"/>
          <w:spacing w:val="-8"/>
          <w:sz w:val="21"/>
        </w:rPr>
        <w:t> </w:t>
      </w:r>
      <w:r>
        <w:rPr>
          <w:color w:val="231F20"/>
          <w:spacing w:val="-3"/>
          <w:sz w:val="21"/>
        </w:rPr>
        <w:t>Paper</w:t>
      </w:r>
      <w:r>
        <w:rPr>
          <w:color w:val="231F20"/>
          <w:spacing w:val="-8"/>
          <w:sz w:val="21"/>
        </w:rPr>
        <w:t> </w:t>
      </w:r>
      <w:r>
        <w:rPr>
          <w:color w:val="231F20"/>
          <w:sz w:val="21"/>
        </w:rPr>
        <w:t>06/27</w:t>
      </w:r>
      <w:r>
        <w:rPr>
          <w:color w:val="231F20"/>
          <w:spacing w:val="-8"/>
          <w:sz w:val="21"/>
        </w:rPr>
        <w:t> </w:t>
      </w:r>
      <w:r>
        <w:rPr>
          <w:color w:val="231F20"/>
          <w:sz w:val="21"/>
        </w:rPr>
        <w:t>(Washington: International  Monetary</w:t>
      </w:r>
      <w:r>
        <w:rPr>
          <w:color w:val="231F20"/>
          <w:spacing w:val="13"/>
          <w:sz w:val="21"/>
        </w:rPr>
        <w:t> </w:t>
      </w:r>
      <w:r>
        <w:rPr>
          <w:color w:val="231F20"/>
          <w:sz w:val="21"/>
        </w:rPr>
        <w:t>Fund).</w:t>
      </w:r>
    </w:p>
    <w:p>
      <w:pPr>
        <w:spacing w:line="259" w:lineRule="auto" w:before="0"/>
        <w:ind w:left="841" w:right="115" w:hanging="738"/>
        <w:jc w:val="both"/>
        <w:rPr>
          <w:sz w:val="21"/>
        </w:rPr>
      </w:pPr>
      <w:r>
        <w:rPr>
          <w:color w:val="231F20"/>
          <w:w w:val="105"/>
          <w:sz w:val="21"/>
        </w:rPr>
        <w:t>Manasse,</w:t>
      </w:r>
      <w:r>
        <w:rPr>
          <w:color w:val="231F20"/>
          <w:spacing w:val="-38"/>
          <w:w w:val="105"/>
          <w:sz w:val="21"/>
        </w:rPr>
        <w:t> </w:t>
      </w:r>
      <w:r>
        <w:rPr>
          <w:color w:val="231F20"/>
          <w:spacing w:val="-16"/>
          <w:w w:val="105"/>
          <w:sz w:val="21"/>
        </w:rPr>
        <w:t>P.</w:t>
      </w:r>
      <w:r>
        <w:rPr>
          <w:color w:val="231F20"/>
          <w:spacing w:val="-38"/>
          <w:w w:val="105"/>
          <w:sz w:val="21"/>
        </w:rPr>
        <w:t> </w:t>
      </w:r>
      <w:r>
        <w:rPr>
          <w:color w:val="231F20"/>
          <w:w w:val="105"/>
          <w:sz w:val="21"/>
        </w:rPr>
        <w:t>(2007).</w:t>
      </w:r>
      <w:r>
        <w:rPr>
          <w:color w:val="231F20"/>
          <w:spacing w:val="-38"/>
          <w:w w:val="105"/>
          <w:sz w:val="21"/>
        </w:rPr>
        <w:t> </w:t>
      </w:r>
      <w:r>
        <w:rPr>
          <w:color w:val="231F20"/>
          <w:w w:val="105"/>
          <w:sz w:val="21"/>
        </w:rPr>
        <w:t>“Deficit</w:t>
      </w:r>
      <w:r>
        <w:rPr>
          <w:color w:val="231F20"/>
          <w:spacing w:val="-35"/>
          <w:w w:val="105"/>
          <w:sz w:val="21"/>
        </w:rPr>
        <w:t> </w:t>
      </w:r>
      <w:r>
        <w:rPr>
          <w:color w:val="231F20"/>
          <w:w w:val="105"/>
          <w:sz w:val="21"/>
        </w:rPr>
        <w:t>Limits</w:t>
      </w:r>
      <w:r>
        <w:rPr>
          <w:color w:val="231F20"/>
          <w:spacing w:val="-35"/>
          <w:w w:val="105"/>
          <w:sz w:val="21"/>
        </w:rPr>
        <w:t> </w:t>
      </w:r>
      <w:r>
        <w:rPr>
          <w:color w:val="231F20"/>
          <w:w w:val="105"/>
          <w:sz w:val="21"/>
        </w:rPr>
        <w:t>and</w:t>
      </w:r>
      <w:r>
        <w:rPr>
          <w:color w:val="231F20"/>
          <w:spacing w:val="-35"/>
          <w:w w:val="105"/>
          <w:sz w:val="21"/>
        </w:rPr>
        <w:t> </w:t>
      </w:r>
      <w:r>
        <w:rPr>
          <w:color w:val="231F20"/>
          <w:w w:val="105"/>
          <w:sz w:val="21"/>
        </w:rPr>
        <w:t>Fiscal</w:t>
      </w:r>
      <w:r>
        <w:rPr>
          <w:color w:val="231F20"/>
          <w:spacing w:val="-35"/>
          <w:w w:val="105"/>
          <w:sz w:val="21"/>
        </w:rPr>
        <w:t> </w:t>
      </w:r>
      <w:r>
        <w:rPr>
          <w:color w:val="231F20"/>
          <w:w w:val="105"/>
          <w:sz w:val="21"/>
        </w:rPr>
        <w:t>Rules</w:t>
      </w:r>
      <w:r>
        <w:rPr>
          <w:color w:val="231F20"/>
          <w:spacing w:val="-35"/>
          <w:w w:val="105"/>
          <w:sz w:val="21"/>
        </w:rPr>
        <w:t> </w:t>
      </w:r>
      <w:r>
        <w:rPr>
          <w:color w:val="231F20"/>
          <w:w w:val="105"/>
          <w:sz w:val="21"/>
        </w:rPr>
        <w:t>for</w:t>
      </w:r>
      <w:r>
        <w:rPr>
          <w:color w:val="231F20"/>
          <w:spacing w:val="-35"/>
          <w:w w:val="105"/>
          <w:sz w:val="21"/>
        </w:rPr>
        <w:t> </w:t>
      </w:r>
      <w:r>
        <w:rPr>
          <w:color w:val="231F20"/>
          <w:spacing w:val="-3"/>
          <w:w w:val="105"/>
          <w:sz w:val="21"/>
        </w:rPr>
        <w:t>Dummies”.</w:t>
      </w:r>
      <w:r>
        <w:rPr>
          <w:color w:val="231F20"/>
          <w:spacing w:val="-38"/>
          <w:w w:val="105"/>
          <w:sz w:val="21"/>
        </w:rPr>
        <w:t> </w:t>
      </w:r>
      <w:r>
        <w:rPr>
          <w:i/>
          <w:color w:val="231F20"/>
          <w:w w:val="105"/>
          <w:sz w:val="21"/>
        </w:rPr>
        <w:t>Interna- </w:t>
      </w:r>
      <w:r>
        <w:rPr>
          <w:i/>
          <w:color w:val="231F20"/>
          <w:w w:val="105"/>
          <w:sz w:val="21"/>
        </w:rPr>
        <w:t>tional</w:t>
      </w:r>
      <w:r>
        <w:rPr>
          <w:i/>
          <w:color w:val="231F20"/>
          <w:spacing w:val="-34"/>
          <w:w w:val="105"/>
          <w:sz w:val="21"/>
        </w:rPr>
        <w:t> </w:t>
      </w:r>
      <w:r>
        <w:rPr>
          <w:i/>
          <w:color w:val="231F20"/>
          <w:w w:val="105"/>
          <w:sz w:val="21"/>
        </w:rPr>
        <w:t>Monetary</w:t>
      </w:r>
      <w:r>
        <w:rPr>
          <w:i/>
          <w:color w:val="231F20"/>
          <w:spacing w:val="-34"/>
          <w:w w:val="105"/>
          <w:sz w:val="21"/>
        </w:rPr>
        <w:t> </w:t>
      </w:r>
      <w:r>
        <w:rPr>
          <w:i/>
          <w:color w:val="231F20"/>
          <w:w w:val="105"/>
          <w:sz w:val="21"/>
        </w:rPr>
        <w:t>Fund,</w:t>
      </w:r>
      <w:r>
        <w:rPr>
          <w:i/>
          <w:color w:val="231F20"/>
          <w:spacing w:val="-38"/>
          <w:w w:val="105"/>
          <w:sz w:val="21"/>
        </w:rPr>
        <w:t> </w:t>
      </w:r>
      <w:r>
        <w:rPr>
          <w:i/>
          <w:color w:val="231F20"/>
          <w:w w:val="105"/>
          <w:sz w:val="21"/>
        </w:rPr>
        <w:t>54</w:t>
      </w:r>
      <w:r>
        <w:rPr>
          <w:color w:val="231F20"/>
          <w:w w:val="105"/>
          <w:sz w:val="21"/>
        </w:rPr>
        <w:t>(3),</w:t>
      </w:r>
      <w:r>
        <w:rPr>
          <w:color w:val="231F20"/>
          <w:spacing w:val="-38"/>
          <w:w w:val="105"/>
          <w:sz w:val="21"/>
        </w:rPr>
        <w:t> </w:t>
      </w:r>
      <w:r>
        <w:rPr>
          <w:color w:val="231F20"/>
          <w:w w:val="105"/>
          <w:sz w:val="21"/>
        </w:rPr>
        <w:t>455-473.</w:t>
      </w:r>
    </w:p>
    <w:p>
      <w:pPr>
        <w:spacing w:line="259" w:lineRule="auto" w:before="0"/>
        <w:ind w:left="841" w:right="109" w:hanging="738"/>
        <w:jc w:val="both"/>
        <w:rPr>
          <w:sz w:val="21"/>
        </w:rPr>
      </w:pPr>
      <w:r>
        <w:rPr>
          <w:color w:val="231F20"/>
          <w:w w:val="105"/>
          <w:sz w:val="21"/>
        </w:rPr>
        <w:t>Manheim,</w:t>
      </w:r>
      <w:r>
        <w:rPr>
          <w:color w:val="231F20"/>
          <w:spacing w:val="-42"/>
          <w:w w:val="105"/>
          <w:sz w:val="21"/>
        </w:rPr>
        <w:t> </w:t>
      </w:r>
      <w:r>
        <w:rPr>
          <w:color w:val="231F20"/>
          <w:w w:val="105"/>
          <w:sz w:val="21"/>
        </w:rPr>
        <w:t>J.,</w:t>
      </w:r>
      <w:r>
        <w:rPr>
          <w:color w:val="231F20"/>
          <w:spacing w:val="-41"/>
          <w:w w:val="105"/>
          <w:sz w:val="21"/>
        </w:rPr>
        <w:t> </w:t>
      </w:r>
      <w:r>
        <w:rPr>
          <w:color w:val="231F20"/>
          <w:w w:val="105"/>
          <w:sz w:val="21"/>
        </w:rPr>
        <w:t>y</w:t>
      </w:r>
      <w:r>
        <w:rPr>
          <w:color w:val="231F20"/>
          <w:spacing w:val="-37"/>
          <w:w w:val="105"/>
          <w:sz w:val="21"/>
        </w:rPr>
        <w:t> </w:t>
      </w:r>
      <w:r>
        <w:rPr>
          <w:color w:val="231F20"/>
          <w:w w:val="105"/>
          <w:sz w:val="21"/>
        </w:rPr>
        <w:t>Rich,</w:t>
      </w:r>
      <w:r>
        <w:rPr>
          <w:color w:val="231F20"/>
          <w:spacing w:val="-41"/>
          <w:w w:val="105"/>
          <w:sz w:val="21"/>
        </w:rPr>
        <w:t> </w:t>
      </w:r>
      <w:r>
        <w:rPr>
          <w:color w:val="231F20"/>
          <w:w w:val="105"/>
          <w:sz w:val="21"/>
        </w:rPr>
        <w:t>R.</w:t>
      </w:r>
      <w:r>
        <w:rPr>
          <w:color w:val="231F20"/>
          <w:spacing w:val="-41"/>
          <w:w w:val="105"/>
          <w:sz w:val="21"/>
        </w:rPr>
        <w:t> </w:t>
      </w:r>
      <w:r>
        <w:rPr>
          <w:color w:val="231F20"/>
          <w:w w:val="105"/>
          <w:sz w:val="21"/>
        </w:rPr>
        <w:t>(1999).</w:t>
      </w:r>
      <w:r>
        <w:rPr>
          <w:color w:val="231F20"/>
          <w:spacing w:val="-41"/>
          <w:w w:val="105"/>
          <w:sz w:val="21"/>
        </w:rPr>
        <w:t> </w:t>
      </w:r>
      <w:r>
        <w:rPr>
          <w:color w:val="231F20"/>
          <w:w w:val="105"/>
          <w:sz w:val="21"/>
        </w:rPr>
        <w:t>“Construcción</w:t>
      </w:r>
      <w:r>
        <w:rPr>
          <w:color w:val="231F20"/>
          <w:spacing w:val="-37"/>
          <w:w w:val="105"/>
          <w:sz w:val="21"/>
        </w:rPr>
        <w:t> </w:t>
      </w:r>
      <w:r>
        <w:rPr>
          <w:color w:val="231F20"/>
          <w:w w:val="105"/>
          <w:sz w:val="21"/>
        </w:rPr>
        <w:t>de</w:t>
      </w:r>
      <w:r>
        <w:rPr>
          <w:color w:val="231F20"/>
          <w:spacing w:val="-37"/>
          <w:w w:val="105"/>
          <w:sz w:val="21"/>
        </w:rPr>
        <w:t> </w:t>
      </w:r>
      <w:r>
        <w:rPr>
          <w:color w:val="231F20"/>
          <w:w w:val="105"/>
          <w:sz w:val="21"/>
        </w:rPr>
        <w:t>la</w:t>
      </w:r>
      <w:r>
        <w:rPr>
          <w:color w:val="231F20"/>
          <w:spacing w:val="-37"/>
          <w:w w:val="105"/>
          <w:sz w:val="21"/>
        </w:rPr>
        <w:t> </w:t>
      </w:r>
      <w:r>
        <w:rPr>
          <w:color w:val="231F20"/>
          <w:w w:val="105"/>
          <w:sz w:val="21"/>
        </w:rPr>
        <w:t>teoría”</w:t>
      </w:r>
      <w:r>
        <w:rPr>
          <w:color w:val="231F20"/>
          <w:spacing w:val="-37"/>
          <w:w w:val="105"/>
          <w:sz w:val="21"/>
        </w:rPr>
        <w:t> </w:t>
      </w:r>
      <w:r>
        <w:rPr>
          <w:color w:val="231F20"/>
          <w:w w:val="105"/>
          <w:sz w:val="21"/>
        </w:rPr>
        <w:t>en:</w:t>
      </w:r>
      <w:r>
        <w:rPr>
          <w:color w:val="231F20"/>
          <w:spacing w:val="-37"/>
          <w:w w:val="105"/>
          <w:sz w:val="21"/>
        </w:rPr>
        <w:t> </w:t>
      </w:r>
      <w:r>
        <w:rPr>
          <w:i/>
          <w:color w:val="231F20"/>
          <w:w w:val="105"/>
          <w:sz w:val="21"/>
        </w:rPr>
        <w:t>Análisis</w:t>
      </w:r>
      <w:r>
        <w:rPr>
          <w:i/>
          <w:color w:val="231F20"/>
          <w:spacing w:val="-37"/>
          <w:w w:val="105"/>
          <w:sz w:val="21"/>
        </w:rPr>
        <w:t> </w:t>
      </w:r>
      <w:r>
        <w:rPr>
          <w:i/>
          <w:color w:val="231F20"/>
          <w:w w:val="105"/>
          <w:sz w:val="21"/>
        </w:rPr>
        <w:t>polí- </w:t>
      </w:r>
      <w:r>
        <w:rPr>
          <w:i/>
          <w:color w:val="231F20"/>
          <w:w w:val="105"/>
          <w:sz w:val="21"/>
        </w:rPr>
        <w:t>tico</w:t>
      </w:r>
      <w:r>
        <w:rPr>
          <w:i/>
          <w:color w:val="231F20"/>
          <w:spacing w:val="-20"/>
          <w:w w:val="105"/>
          <w:sz w:val="21"/>
        </w:rPr>
        <w:t> </w:t>
      </w:r>
      <w:r>
        <w:rPr>
          <w:i/>
          <w:color w:val="231F20"/>
          <w:w w:val="105"/>
          <w:sz w:val="21"/>
        </w:rPr>
        <w:t>empírico.</w:t>
      </w:r>
      <w:r>
        <w:rPr>
          <w:i/>
          <w:color w:val="231F20"/>
          <w:spacing w:val="-25"/>
          <w:w w:val="105"/>
          <w:sz w:val="21"/>
        </w:rPr>
        <w:t> </w:t>
      </w:r>
      <w:r>
        <w:rPr>
          <w:i/>
          <w:color w:val="231F20"/>
          <w:w w:val="105"/>
          <w:sz w:val="21"/>
        </w:rPr>
        <w:t>Métodos</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investigación</w:t>
      </w:r>
      <w:r>
        <w:rPr>
          <w:i/>
          <w:color w:val="231F20"/>
          <w:spacing w:val="-20"/>
          <w:w w:val="105"/>
          <w:sz w:val="21"/>
        </w:rPr>
        <w:t> </w:t>
      </w:r>
      <w:r>
        <w:rPr>
          <w:i/>
          <w:color w:val="231F20"/>
          <w:w w:val="105"/>
          <w:sz w:val="21"/>
        </w:rPr>
        <w:t>en</w:t>
      </w:r>
      <w:r>
        <w:rPr>
          <w:i/>
          <w:color w:val="231F20"/>
          <w:spacing w:val="-20"/>
          <w:w w:val="105"/>
          <w:sz w:val="21"/>
        </w:rPr>
        <w:t> </w:t>
      </w:r>
      <w:r>
        <w:rPr>
          <w:i/>
          <w:color w:val="231F20"/>
          <w:w w:val="105"/>
          <w:sz w:val="21"/>
        </w:rPr>
        <w:t>ciencia</w:t>
      </w:r>
      <w:r>
        <w:rPr>
          <w:i/>
          <w:color w:val="231F20"/>
          <w:spacing w:val="-20"/>
          <w:w w:val="105"/>
          <w:sz w:val="21"/>
        </w:rPr>
        <w:t> </w:t>
      </w:r>
      <w:r>
        <w:rPr>
          <w:i/>
          <w:color w:val="231F20"/>
          <w:w w:val="105"/>
          <w:sz w:val="21"/>
        </w:rPr>
        <w:t>política</w:t>
      </w:r>
      <w:r>
        <w:rPr>
          <w:i/>
          <w:color w:val="231F20"/>
          <w:spacing w:val="-20"/>
          <w:w w:val="105"/>
          <w:sz w:val="21"/>
        </w:rPr>
        <w:t> </w:t>
      </w:r>
      <w:r>
        <w:rPr>
          <w:color w:val="231F20"/>
          <w:w w:val="105"/>
          <w:sz w:val="21"/>
        </w:rPr>
        <w:t>(págs. 29-33).</w:t>
      </w:r>
      <w:r>
        <w:rPr>
          <w:color w:val="231F20"/>
          <w:spacing w:val="-37"/>
          <w:w w:val="105"/>
          <w:sz w:val="21"/>
        </w:rPr>
        <w:t> </w:t>
      </w:r>
      <w:r>
        <w:rPr>
          <w:color w:val="231F20"/>
          <w:w w:val="105"/>
          <w:sz w:val="21"/>
        </w:rPr>
        <w:t>Madrid:</w:t>
      </w:r>
      <w:r>
        <w:rPr>
          <w:color w:val="231F20"/>
          <w:spacing w:val="-35"/>
          <w:w w:val="105"/>
          <w:sz w:val="21"/>
        </w:rPr>
        <w:t> </w:t>
      </w:r>
      <w:r>
        <w:rPr>
          <w:color w:val="231F20"/>
          <w:w w:val="105"/>
          <w:sz w:val="21"/>
        </w:rPr>
        <w:t>Alianza</w:t>
      </w:r>
      <w:r>
        <w:rPr>
          <w:color w:val="231F20"/>
          <w:spacing w:val="-33"/>
          <w:w w:val="105"/>
          <w:sz w:val="21"/>
        </w:rPr>
        <w:t> </w:t>
      </w:r>
      <w:r>
        <w:rPr>
          <w:color w:val="231F20"/>
          <w:w w:val="105"/>
          <w:sz w:val="21"/>
        </w:rPr>
        <w:t>Universidad</w:t>
      </w:r>
      <w:r>
        <w:rPr>
          <w:color w:val="231F20"/>
          <w:spacing w:val="-36"/>
          <w:w w:val="105"/>
          <w:sz w:val="21"/>
        </w:rPr>
        <w:t> </w:t>
      </w:r>
      <w:r>
        <w:rPr>
          <w:color w:val="231F20"/>
          <w:spacing w:val="-4"/>
          <w:w w:val="105"/>
          <w:sz w:val="21"/>
        </w:rPr>
        <w:t>Textos.</w:t>
      </w:r>
    </w:p>
    <w:p>
      <w:pPr>
        <w:spacing w:line="259" w:lineRule="auto" w:before="0"/>
        <w:ind w:left="841" w:right="115" w:hanging="738"/>
        <w:jc w:val="both"/>
        <w:rPr>
          <w:i/>
          <w:sz w:val="21"/>
        </w:rPr>
      </w:pPr>
      <w:r>
        <w:rPr>
          <w:color w:val="231F20"/>
          <w:w w:val="105"/>
          <w:sz w:val="21"/>
        </w:rPr>
        <w:t>Medas,</w:t>
      </w:r>
      <w:r>
        <w:rPr>
          <w:color w:val="231F20"/>
          <w:spacing w:val="-30"/>
          <w:w w:val="105"/>
          <w:sz w:val="21"/>
        </w:rPr>
        <w:t> </w:t>
      </w:r>
      <w:r>
        <w:rPr>
          <w:color w:val="231F20"/>
          <w:spacing w:val="-11"/>
          <w:w w:val="105"/>
          <w:sz w:val="21"/>
        </w:rPr>
        <w:t>P.,</w:t>
      </w:r>
      <w:r>
        <w:rPr>
          <w:color w:val="231F20"/>
          <w:spacing w:val="-30"/>
          <w:w w:val="105"/>
          <w:sz w:val="21"/>
        </w:rPr>
        <w:t> </w:t>
      </w:r>
      <w:r>
        <w:rPr>
          <w:color w:val="231F20"/>
          <w:w w:val="105"/>
          <w:sz w:val="21"/>
        </w:rPr>
        <w:t>y</w:t>
      </w:r>
      <w:r>
        <w:rPr>
          <w:color w:val="231F20"/>
          <w:spacing w:val="-26"/>
          <w:w w:val="105"/>
          <w:sz w:val="21"/>
        </w:rPr>
        <w:t> </w:t>
      </w:r>
      <w:r>
        <w:rPr>
          <w:color w:val="231F20"/>
          <w:w w:val="105"/>
          <w:sz w:val="21"/>
        </w:rPr>
        <w:t>Zakharova,</w:t>
      </w:r>
      <w:r>
        <w:rPr>
          <w:color w:val="231F20"/>
          <w:spacing w:val="-30"/>
          <w:w w:val="105"/>
          <w:sz w:val="21"/>
        </w:rPr>
        <w:t> </w:t>
      </w:r>
      <w:r>
        <w:rPr>
          <w:color w:val="231F20"/>
          <w:spacing w:val="-6"/>
          <w:w w:val="105"/>
          <w:sz w:val="21"/>
        </w:rPr>
        <w:t>D.</w:t>
      </w:r>
      <w:r>
        <w:rPr>
          <w:color w:val="231F20"/>
          <w:spacing w:val="-30"/>
          <w:w w:val="105"/>
          <w:sz w:val="21"/>
        </w:rPr>
        <w:t> </w:t>
      </w:r>
      <w:r>
        <w:rPr>
          <w:color w:val="231F20"/>
          <w:w w:val="105"/>
          <w:sz w:val="21"/>
        </w:rPr>
        <w:t>(2009).</w:t>
      </w:r>
      <w:r>
        <w:rPr>
          <w:color w:val="231F20"/>
          <w:spacing w:val="-30"/>
          <w:w w:val="105"/>
          <w:sz w:val="21"/>
        </w:rPr>
        <w:t> </w:t>
      </w:r>
      <w:r>
        <w:rPr>
          <w:color w:val="231F20"/>
          <w:spacing w:val="-8"/>
          <w:w w:val="105"/>
          <w:sz w:val="21"/>
        </w:rPr>
        <w:t>“A</w:t>
      </w:r>
      <w:r>
        <w:rPr>
          <w:color w:val="231F20"/>
          <w:spacing w:val="-28"/>
          <w:w w:val="105"/>
          <w:sz w:val="21"/>
        </w:rPr>
        <w:t> </w:t>
      </w:r>
      <w:r>
        <w:rPr>
          <w:color w:val="231F20"/>
          <w:w w:val="105"/>
          <w:sz w:val="21"/>
        </w:rPr>
        <w:t>Primer</w:t>
      </w:r>
      <w:r>
        <w:rPr>
          <w:color w:val="231F20"/>
          <w:spacing w:val="-26"/>
          <w:w w:val="105"/>
          <w:sz w:val="21"/>
        </w:rPr>
        <w:t> </w:t>
      </w:r>
      <w:r>
        <w:rPr>
          <w:color w:val="231F20"/>
          <w:w w:val="105"/>
          <w:sz w:val="21"/>
        </w:rPr>
        <w:t>on</w:t>
      </w:r>
      <w:r>
        <w:rPr>
          <w:color w:val="231F20"/>
          <w:spacing w:val="-26"/>
          <w:w w:val="105"/>
          <w:sz w:val="21"/>
        </w:rPr>
        <w:t> </w:t>
      </w:r>
      <w:r>
        <w:rPr>
          <w:color w:val="231F20"/>
          <w:w w:val="105"/>
          <w:sz w:val="21"/>
        </w:rPr>
        <w:t>Fiscal</w:t>
      </w:r>
      <w:r>
        <w:rPr>
          <w:color w:val="231F20"/>
          <w:spacing w:val="-28"/>
          <w:w w:val="105"/>
          <w:sz w:val="21"/>
        </w:rPr>
        <w:t> </w:t>
      </w:r>
      <w:r>
        <w:rPr>
          <w:color w:val="231F20"/>
          <w:w w:val="105"/>
          <w:sz w:val="21"/>
        </w:rPr>
        <w:t>Analysis</w:t>
      </w:r>
      <w:r>
        <w:rPr>
          <w:color w:val="231F20"/>
          <w:spacing w:val="-26"/>
          <w:w w:val="105"/>
          <w:sz w:val="21"/>
        </w:rPr>
        <w:t> </w:t>
      </w:r>
      <w:r>
        <w:rPr>
          <w:color w:val="231F20"/>
          <w:w w:val="105"/>
          <w:sz w:val="21"/>
        </w:rPr>
        <w:t>in</w:t>
      </w:r>
      <w:r>
        <w:rPr>
          <w:color w:val="231F20"/>
          <w:spacing w:val="-26"/>
          <w:w w:val="105"/>
          <w:sz w:val="21"/>
        </w:rPr>
        <w:t> </w:t>
      </w:r>
      <w:r>
        <w:rPr>
          <w:color w:val="231F20"/>
          <w:w w:val="105"/>
          <w:sz w:val="21"/>
        </w:rPr>
        <w:t>Oil-Pro- ducing</w:t>
      </w:r>
      <w:r>
        <w:rPr>
          <w:color w:val="231F20"/>
          <w:spacing w:val="-14"/>
          <w:w w:val="105"/>
          <w:sz w:val="21"/>
        </w:rPr>
        <w:t> </w:t>
      </w:r>
      <w:r>
        <w:rPr>
          <w:color w:val="231F20"/>
          <w:spacing w:val="-3"/>
          <w:w w:val="105"/>
          <w:sz w:val="21"/>
        </w:rPr>
        <w:t>Countries”.</w:t>
      </w:r>
      <w:r>
        <w:rPr>
          <w:color w:val="231F20"/>
          <w:spacing w:val="-21"/>
          <w:w w:val="105"/>
          <w:sz w:val="21"/>
        </w:rPr>
        <w:t> </w:t>
      </w:r>
      <w:r>
        <w:rPr>
          <w:i/>
          <w:color w:val="231F20"/>
          <w:spacing w:val="-6"/>
          <w:w w:val="105"/>
          <w:sz w:val="21"/>
        </w:rPr>
        <w:t>IMF,</w:t>
      </w:r>
      <w:r>
        <w:rPr>
          <w:i/>
          <w:color w:val="231F20"/>
          <w:spacing w:val="-22"/>
          <w:w w:val="105"/>
          <w:sz w:val="21"/>
        </w:rPr>
        <w:t> </w:t>
      </w:r>
      <w:r>
        <w:rPr>
          <w:i/>
          <w:color w:val="231F20"/>
          <w:w w:val="105"/>
          <w:sz w:val="21"/>
        </w:rPr>
        <w:t>WP/09/56</w:t>
      </w:r>
      <w:r>
        <w:rPr>
          <w:i/>
          <w:color w:val="231F20"/>
          <w:spacing w:val="-14"/>
          <w:w w:val="105"/>
          <w:sz w:val="21"/>
        </w:rPr>
        <w:t> </w:t>
      </w:r>
      <w:r>
        <w:rPr>
          <w:i/>
          <w:color w:val="231F20"/>
          <w:w w:val="105"/>
          <w:sz w:val="21"/>
        </w:rPr>
        <w:t>pp.</w:t>
      </w:r>
      <w:r>
        <w:rPr>
          <w:i/>
          <w:color w:val="231F20"/>
          <w:spacing w:val="-21"/>
          <w:w w:val="105"/>
          <w:sz w:val="21"/>
        </w:rPr>
        <w:t> </w:t>
      </w:r>
      <w:r>
        <w:rPr>
          <w:i/>
          <w:color w:val="231F20"/>
          <w:w w:val="105"/>
          <w:sz w:val="21"/>
        </w:rPr>
        <w:t>1</w:t>
      </w:r>
      <w:r>
        <w:rPr>
          <w:i/>
          <w:color w:val="231F20"/>
          <w:spacing w:val="-14"/>
          <w:w w:val="105"/>
          <w:sz w:val="21"/>
        </w:rPr>
        <w:t> </w:t>
      </w:r>
      <w:r>
        <w:rPr>
          <w:i/>
          <w:color w:val="231F20"/>
          <w:w w:val="105"/>
          <w:sz w:val="21"/>
        </w:rPr>
        <w:t>-41.</w:t>
      </w:r>
    </w:p>
    <w:p>
      <w:pPr>
        <w:spacing w:line="259" w:lineRule="auto" w:before="0"/>
        <w:ind w:left="841" w:right="115" w:hanging="738"/>
        <w:jc w:val="both"/>
        <w:rPr>
          <w:i/>
          <w:sz w:val="21"/>
        </w:rPr>
      </w:pPr>
      <w:r>
        <w:rPr>
          <w:color w:val="231F20"/>
          <w:w w:val="105"/>
          <w:sz w:val="21"/>
        </w:rPr>
        <w:t>Medina,</w:t>
      </w:r>
      <w:r>
        <w:rPr>
          <w:color w:val="231F20"/>
          <w:spacing w:val="-33"/>
          <w:w w:val="105"/>
          <w:sz w:val="21"/>
        </w:rPr>
        <w:t> </w:t>
      </w:r>
      <w:r>
        <w:rPr>
          <w:color w:val="231F20"/>
          <w:w w:val="105"/>
          <w:sz w:val="21"/>
        </w:rPr>
        <w:t>L.</w:t>
      </w:r>
      <w:r>
        <w:rPr>
          <w:color w:val="231F20"/>
          <w:spacing w:val="-33"/>
          <w:w w:val="105"/>
          <w:sz w:val="21"/>
        </w:rPr>
        <w:t> </w:t>
      </w:r>
      <w:r>
        <w:rPr>
          <w:color w:val="231F20"/>
          <w:w w:val="105"/>
          <w:sz w:val="21"/>
        </w:rPr>
        <w:t>(2010).</w:t>
      </w:r>
      <w:r>
        <w:rPr>
          <w:color w:val="231F20"/>
          <w:spacing w:val="-33"/>
          <w:w w:val="105"/>
          <w:sz w:val="21"/>
        </w:rPr>
        <w:t> </w:t>
      </w:r>
      <w:r>
        <w:rPr>
          <w:i/>
          <w:color w:val="231F20"/>
          <w:w w:val="105"/>
          <w:sz w:val="21"/>
        </w:rPr>
        <w:t>The</w:t>
      </w:r>
      <w:r>
        <w:rPr>
          <w:i/>
          <w:color w:val="231F20"/>
          <w:spacing w:val="-28"/>
          <w:w w:val="105"/>
          <w:sz w:val="21"/>
        </w:rPr>
        <w:t> </w:t>
      </w:r>
      <w:r>
        <w:rPr>
          <w:i/>
          <w:color w:val="231F20"/>
          <w:w w:val="105"/>
          <w:sz w:val="21"/>
        </w:rPr>
        <w:t>dynamic</w:t>
      </w:r>
      <w:r>
        <w:rPr>
          <w:i/>
          <w:color w:val="231F20"/>
          <w:spacing w:val="-28"/>
          <w:w w:val="105"/>
          <w:sz w:val="21"/>
        </w:rPr>
        <w:t> </w:t>
      </w:r>
      <w:r>
        <w:rPr>
          <w:i/>
          <w:color w:val="231F20"/>
          <w:w w:val="105"/>
          <w:sz w:val="21"/>
        </w:rPr>
        <w:t>effects</w:t>
      </w:r>
      <w:r>
        <w:rPr>
          <w:i/>
          <w:color w:val="231F20"/>
          <w:spacing w:val="-28"/>
          <w:w w:val="105"/>
          <w:sz w:val="21"/>
        </w:rPr>
        <w:t> </w:t>
      </w:r>
      <w:r>
        <w:rPr>
          <w:i/>
          <w:color w:val="231F20"/>
          <w:w w:val="105"/>
          <w:sz w:val="21"/>
        </w:rPr>
        <w:t>on</w:t>
      </w:r>
      <w:r>
        <w:rPr>
          <w:i/>
          <w:color w:val="231F20"/>
          <w:spacing w:val="-28"/>
          <w:w w:val="105"/>
          <w:sz w:val="21"/>
        </w:rPr>
        <w:t> </w:t>
      </w:r>
      <w:r>
        <w:rPr>
          <w:i/>
          <w:color w:val="231F20"/>
          <w:w w:val="105"/>
          <w:sz w:val="21"/>
        </w:rPr>
        <w:t>commodity</w:t>
      </w:r>
      <w:r>
        <w:rPr>
          <w:i/>
          <w:color w:val="231F20"/>
          <w:spacing w:val="-28"/>
          <w:w w:val="105"/>
          <w:sz w:val="21"/>
        </w:rPr>
        <w:t> </w:t>
      </w:r>
      <w:r>
        <w:rPr>
          <w:i/>
          <w:color w:val="231F20"/>
          <w:w w:val="105"/>
          <w:sz w:val="21"/>
        </w:rPr>
        <w:t>prices</w:t>
      </w:r>
      <w:r>
        <w:rPr>
          <w:i/>
          <w:color w:val="231F20"/>
          <w:spacing w:val="-28"/>
          <w:w w:val="105"/>
          <w:sz w:val="21"/>
        </w:rPr>
        <w:t> </w:t>
      </w:r>
      <w:r>
        <w:rPr>
          <w:i/>
          <w:color w:val="231F20"/>
          <w:w w:val="105"/>
          <w:sz w:val="21"/>
        </w:rPr>
        <w:t>on</w:t>
      </w:r>
      <w:r>
        <w:rPr>
          <w:i/>
          <w:color w:val="231F20"/>
          <w:spacing w:val="-28"/>
          <w:w w:val="105"/>
          <w:sz w:val="21"/>
        </w:rPr>
        <w:t> </w:t>
      </w:r>
      <w:r>
        <w:rPr>
          <w:i/>
          <w:color w:val="231F20"/>
          <w:w w:val="105"/>
          <w:sz w:val="21"/>
        </w:rPr>
        <w:t>fiscal</w:t>
      </w:r>
      <w:r>
        <w:rPr>
          <w:i/>
          <w:color w:val="231F20"/>
          <w:spacing w:val="-28"/>
          <w:w w:val="105"/>
          <w:sz w:val="21"/>
        </w:rPr>
        <w:t> </w:t>
      </w:r>
      <w:r>
        <w:rPr>
          <w:i/>
          <w:color w:val="231F20"/>
          <w:w w:val="105"/>
          <w:sz w:val="21"/>
        </w:rPr>
        <w:t>per- </w:t>
      </w:r>
      <w:r>
        <w:rPr>
          <w:i/>
          <w:color w:val="231F20"/>
          <w:w w:val="105"/>
          <w:sz w:val="21"/>
        </w:rPr>
        <w:t>formances</w:t>
      </w:r>
      <w:r>
        <w:rPr>
          <w:i/>
          <w:color w:val="231F20"/>
          <w:spacing w:val="-35"/>
          <w:w w:val="105"/>
          <w:sz w:val="21"/>
        </w:rPr>
        <w:t> </w:t>
      </w:r>
      <w:r>
        <w:rPr>
          <w:i/>
          <w:color w:val="231F20"/>
          <w:w w:val="105"/>
          <w:sz w:val="21"/>
        </w:rPr>
        <w:t>in</w:t>
      </w:r>
      <w:r>
        <w:rPr>
          <w:i/>
          <w:color w:val="231F20"/>
          <w:spacing w:val="-35"/>
          <w:w w:val="105"/>
          <w:sz w:val="21"/>
        </w:rPr>
        <w:t> </w:t>
      </w:r>
      <w:r>
        <w:rPr>
          <w:i/>
          <w:color w:val="231F20"/>
          <w:w w:val="105"/>
          <w:sz w:val="21"/>
        </w:rPr>
        <w:t>Latin</w:t>
      </w:r>
      <w:r>
        <w:rPr>
          <w:i/>
          <w:color w:val="231F20"/>
          <w:spacing w:val="-37"/>
          <w:w w:val="105"/>
          <w:sz w:val="21"/>
        </w:rPr>
        <w:t> </w:t>
      </w:r>
      <w:r>
        <w:rPr>
          <w:i/>
          <w:color w:val="231F20"/>
          <w:w w:val="105"/>
          <w:sz w:val="21"/>
        </w:rPr>
        <w:t>America</w:t>
      </w:r>
      <w:r>
        <w:rPr>
          <w:color w:val="231F20"/>
          <w:w w:val="105"/>
          <w:sz w:val="21"/>
        </w:rPr>
        <w:t>.</w:t>
      </w:r>
      <w:r>
        <w:rPr>
          <w:color w:val="231F20"/>
          <w:spacing w:val="-39"/>
          <w:w w:val="105"/>
          <w:sz w:val="21"/>
        </w:rPr>
        <w:t> </w:t>
      </w:r>
      <w:r>
        <w:rPr>
          <w:i/>
          <w:color w:val="231F20"/>
          <w:spacing w:val="-6"/>
          <w:w w:val="105"/>
          <w:sz w:val="21"/>
        </w:rPr>
        <w:t>IMF,</w:t>
      </w:r>
      <w:r>
        <w:rPr>
          <w:i/>
          <w:color w:val="231F20"/>
          <w:spacing w:val="-40"/>
          <w:w w:val="105"/>
          <w:sz w:val="21"/>
        </w:rPr>
        <w:t> </w:t>
      </w:r>
      <w:r>
        <w:rPr>
          <w:i/>
          <w:color w:val="231F20"/>
          <w:w w:val="105"/>
          <w:sz w:val="21"/>
        </w:rPr>
        <w:t>WP/10/192.</w:t>
      </w:r>
    </w:p>
    <w:p>
      <w:pPr>
        <w:pStyle w:val="BodyText"/>
        <w:spacing w:line="259" w:lineRule="auto"/>
        <w:ind w:left="841" w:right="115" w:hanging="738"/>
        <w:jc w:val="both"/>
      </w:pPr>
      <w:r>
        <w:rPr>
          <w:color w:val="231F20"/>
          <w:w w:val="105"/>
        </w:rPr>
        <w:t>Mehlum,</w:t>
      </w:r>
      <w:r>
        <w:rPr>
          <w:color w:val="231F20"/>
          <w:spacing w:val="-29"/>
          <w:w w:val="105"/>
        </w:rPr>
        <w:t> </w:t>
      </w:r>
      <w:r>
        <w:rPr>
          <w:color w:val="231F20"/>
          <w:w w:val="105"/>
        </w:rPr>
        <w:t>H.,</w:t>
      </w:r>
      <w:r>
        <w:rPr>
          <w:color w:val="231F20"/>
          <w:spacing w:val="-29"/>
          <w:w w:val="105"/>
        </w:rPr>
        <w:t> </w:t>
      </w:r>
      <w:r>
        <w:rPr>
          <w:color w:val="231F20"/>
          <w:w w:val="105"/>
        </w:rPr>
        <w:t>Moene,</w:t>
      </w:r>
      <w:r>
        <w:rPr>
          <w:color w:val="231F20"/>
          <w:spacing w:val="-29"/>
          <w:w w:val="105"/>
        </w:rPr>
        <w:t> </w:t>
      </w:r>
      <w:r>
        <w:rPr>
          <w:color w:val="231F20"/>
          <w:w w:val="105"/>
        </w:rPr>
        <w:t>K.,</w:t>
      </w:r>
      <w:r>
        <w:rPr>
          <w:color w:val="231F20"/>
          <w:spacing w:val="-29"/>
          <w:w w:val="105"/>
        </w:rPr>
        <w:t> </w:t>
      </w:r>
      <w:r>
        <w:rPr>
          <w:color w:val="231F20"/>
          <w:w w:val="105"/>
        </w:rPr>
        <w:t>y</w:t>
      </w:r>
      <w:r>
        <w:rPr>
          <w:color w:val="231F20"/>
          <w:spacing w:val="-29"/>
          <w:w w:val="105"/>
        </w:rPr>
        <w:t> </w:t>
      </w:r>
      <w:r>
        <w:rPr>
          <w:color w:val="231F20"/>
          <w:spacing w:val="-3"/>
          <w:w w:val="105"/>
        </w:rPr>
        <w:t>Torvik,</w:t>
      </w:r>
      <w:r>
        <w:rPr>
          <w:color w:val="231F20"/>
          <w:spacing w:val="-29"/>
          <w:w w:val="105"/>
        </w:rPr>
        <w:t> </w:t>
      </w:r>
      <w:r>
        <w:rPr>
          <w:color w:val="231F20"/>
          <w:w w:val="105"/>
        </w:rPr>
        <w:t>R.</w:t>
      </w:r>
      <w:r>
        <w:rPr>
          <w:color w:val="231F20"/>
          <w:spacing w:val="-29"/>
          <w:w w:val="105"/>
        </w:rPr>
        <w:t> </w:t>
      </w:r>
      <w:r>
        <w:rPr>
          <w:color w:val="231F20"/>
          <w:w w:val="105"/>
        </w:rPr>
        <w:t>(2006).</w:t>
      </w:r>
      <w:r>
        <w:rPr>
          <w:color w:val="231F20"/>
          <w:spacing w:val="-29"/>
          <w:w w:val="105"/>
        </w:rPr>
        <w:t> </w:t>
      </w:r>
      <w:r>
        <w:rPr>
          <w:color w:val="231F20"/>
          <w:w w:val="105"/>
        </w:rPr>
        <w:t>“Institutions</w:t>
      </w:r>
      <w:r>
        <w:rPr>
          <w:color w:val="231F20"/>
          <w:spacing w:val="-26"/>
          <w:w w:val="105"/>
        </w:rPr>
        <w:t> </w:t>
      </w:r>
      <w:r>
        <w:rPr>
          <w:color w:val="231F20"/>
          <w:w w:val="105"/>
        </w:rPr>
        <w:t>and</w:t>
      </w:r>
      <w:r>
        <w:rPr>
          <w:color w:val="231F20"/>
          <w:spacing w:val="-26"/>
          <w:w w:val="105"/>
        </w:rPr>
        <w:t> </w:t>
      </w:r>
      <w:r>
        <w:rPr>
          <w:color w:val="231F20"/>
          <w:w w:val="105"/>
        </w:rPr>
        <w:t>the</w:t>
      </w:r>
      <w:r>
        <w:rPr>
          <w:color w:val="231F20"/>
          <w:spacing w:val="-26"/>
          <w:w w:val="105"/>
        </w:rPr>
        <w:t> </w:t>
      </w:r>
      <w:r>
        <w:rPr>
          <w:color w:val="231F20"/>
          <w:w w:val="105"/>
        </w:rPr>
        <w:t>Resource </w:t>
      </w:r>
      <w:r>
        <w:rPr>
          <w:color w:val="231F20"/>
          <w:spacing w:val="-4"/>
          <w:w w:val="105"/>
        </w:rPr>
        <w:t>Curse”.</w:t>
      </w:r>
      <w:r>
        <w:rPr>
          <w:color w:val="231F20"/>
          <w:spacing w:val="-39"/>
          <w:w w:val="105"/>
        </w:rPr>
        <w:t> </w:t>
      </w:r>
      <w:r>
        <w:rPr>
          <w:i/>
          <w:color w:val="231F20"/>
          <w:w w:val="105"/>
        </w:rPr>
        <w:t>The</w:t>
      </w:r>
      <w:r>
        <w:rPr>
          <w:i/>
          <w:color w:val="231F20"/>
          <w:spacing w:val="-36"/>
          <w:w w:val="105"/>
        </w:rPr>
        <w:t> </w:t>
      </w:r>
      <w:r>
        <w:rPr>
          <w:i/>
          <w:color w:val="231F20"/>
          <w:w w:val="105"/>
        </w:rPr>
        <w:t>economic</w:t>
      </w:r>
      <w:r>
        <w:rPr>
          <w:i/>
          <w:color w:val="231F20"/>
          <w:spacing w:val="-37"/>
          <w:w w:val="105"/>
        </w:rPr>
        <w:t> </w:t>
      </w:r>
      <w:r>
        <w:rPr>
          <w:i/>
          <w:color w:val="231F20"/>
          <w:w w:val="105"/>
        </w:rPr>
        <w:t>Journal</w:t>
      </w:r>
      <w:r>
        <w:rPr>
          <w:color w:val="231F20"/>
          <w:w w:val="105"/>
        </w:rPr>
        <w:t>,</w:t>
      </w:r>
      <w:r>
        <w:rPr>
          <w:color w:val="231F20"/>
          <w:spacing w:val="-39"/>
          <w:w w:val="105"/>
        </w:rPr>
        <w:t> </w:t>
      </w:r>
      <w:r>
        <w:rPr>
          <w:color w:val="231F20"/>
          <w:w w:val="105"/>
        </w:rPr>
        <w:t>1-20.</w:t>
      </w:r>
    </w:p>
    <w:p>
      <w:pPr>
        <w:spacing w:line="259" w:lineRule="auto" w:before="0"/>
        <w:ind w:left="841" w:right="115" w:hanging="738"/>
        <w:jc w:val="both"/>
        <w:rPr>
          <w:sz w:val="21"/>
        </w:rPr>
      </w:pPr>
      <w:r>
        <w:rPr>
          <w:color w:val="231F20"/>
          <w:w w:val="105"/>
          <w:sz w:val="21"/>
        </w:rPr>
        <w:t>Olson,</w:t>
      </w:r>
      <w:r>
        <w:rPr>
          <w:color w:val="231F20"/>
          <w:spacing w:val="-13"/>
          <w:w w:val="105"/>
          <w:sz w:val="21"/>
        </w:rPr>
        <w:t> </w:t>
      </w:r>
      <w:r>
        <w:rPr>
          <w:color w:val="231F20"/>
          <w:w w:val="105"/>
          <w:sz w:val="21"/>
        </w:rPr>
        <w:t>M.</w:t>
      </w:r>
      <w:r>
        <w:rPr>
          <w:color w:val="231F20"/>
          <w:spacing w:val="-13"/>
          <w:w w:val="105"/>
          <w:sz w:val="21"/>
        </w:rPr>
        <w:t> </w:t>
      </w:r>
      <w:r>
        <w:rPr>
          <w:color w:val="231F20"/>
          <w:w w:val="105"/>
          <w:sz w:val="21"/>
        </w:rPr>
        <w:t>(1969).</w:t>
      </w:r>
      <w:r>
        <w:rPr>
          <w:color w:val="231F20"/>
          <w:spacing w:val="-17"/>
          <w:w w:val="105"/>
          <w:sz w:val="21"/>
        </w:rPr>
        <w:t> </w:t>
      </w:r>
      <w:r>
        <w:rPr>
          <w:color w:val="231F20"/>
          <w:w w:val="105"/>
          <w:sz w:val="21"/>
        </w:rPr>
        <w:t>The</w:t>
      </w:r>
      <w:r>
        <w:rPr>
          <w:color w:val="231F20"/>
          <w:spacing w:val="-8"/>
          <w:w w:val="105"/>
          <w:sz w:val="21"/>
        </w:rPr>
        <w:t> </w:t>
      </w:r>
      <w:r>
        <w:rPr>
          <w:color w:val="231F20"/>
          <w:w w:val="105"/>
          <w:sz w:val="21"/>
        </w:rPr>
        <w:t>Logic</w:t>
      </w:r>
      <w:r>
        <w:rPr>
          <w:color w:val="231F20"/>
          <w:spacing w:val="-8"/>
          <w:w w:val="105"/>
          <w:sz w:val="21"/>
        </w:rPr>
        <w:t> </w:t>
      </w:r>
      <w:r>
        <w:rPr>
          <w:color w:val="231F20"/>
          <w:w w:val="105"/>
          <w:sz w:val="21"/>
        </w:rPr>
        <w:t>of</w:t>
      </w:r>
      <w:r>
        <w:rPr>
          <w:color w:val="231F20"/>
          <w:spacing w:val="-3"/>
          <w:w w:val="105"/>
          <w:sz w:val="21"/>
        </w:rPr>
        <w:t> </w:t>
      </w:r>
      <w:r>
        <w:rPr>
          <w:color w:val="231F20"/>
          <w:w w:val="105"/>
          <w:sz w:val="21"/>
        </w:rPr>
        <w:t>Collective</w:t>
      </w:r>
      <w:r>
        <w:rPr>
          <w:color w:val="231F20"/>
          <w:spacing w:val="-11"/>
          <w:w w:val="105"/>
          <w:sz w:val="21"/>
        </w:rPr>
        <w:t> </w:t>
      </w:r>
      <w:r>
        <w:rPr>
          <w:color w:val="231F20"/>
          <w:w w:val="105"/>
          <w:sz w:val="21"/>
        </w:rPr>
        <w:t>Actions:</w:t>
      </w:r>
      <w:r>
        <w:rPr>
          <w:color w:val="231F20"/>
          <w:spacing w:val="-8"/>
          <w:w w:val="105"/>
          <w:sz w:val="21"/>
        </w:rPr>
        <w:t> </w:t>
      </w:r>
      <w:r>
        <w:rPr>
          <w:color w:val="231F20"/>
          <w:w w:val="105"/>
          <w:sz w:val="21"/>
        </w:rPr>
        <w:t>Public</w:t>
      </w:r>
      <w:r>
        <w:rPr>
          <w:color w:val="231F20"/>
          <w:spacing w:val="-8"/>
          <w:w w:val="105"/>
          <w:sz w:val="21"/>
        </w:rPr>
        <w:t> </w:t>
      </w:r>
      <w:r>
        <w:rPr>
          <w:color w:val="231F20"/>
          <w:w w:val="105"/>
          <w:sz w:val="21"/>
        </w:rPr>
        <w:t>Goods</w:t>
      </w:r>
      <w:r>
        <w:rPr>
          <w:color w:val="231F20"/>
          <w:spacing w:val="-8"/>
          <w:w w:val="105"/>
          <w:sz w:val="21"/>
        </w:rPr>
        <w:t> </w:t>
      </w:r>
      <w:r>
        <w:rPr>
          <w:color w:val="231F20"/>
          <w:w w:val="105"/>
          <w:sz w:val="21"/>
        </w:rPr>
        <w:t>and</w:t>
      </w:r>
      <w:r>
        <w:rPr>
          <w:color w:val="231F20"/>
          <w:spacing w:val="-8"/>
          <w:w w:val="105"/>
          <w:sz w:val="21"/>
        </w:rPr>
        <w:t> </w:t>
      </w:r>
      <w:r>
        <w:rPr>
          <w:color w:val="231F20"/>
          <w:w w:val="105"/>
          <w:sz w:val="21"/>
        </w:rPr>
        <w:t>the Theory</w:t>
      </w:r>
      <w:r>
        <w:rPr>
          <w:color w:val="231F20"/>
          <w:spacing w:val="-38"/>
          <w:w w:val="105"/>
          <w:sz w:val="21"/>
        </w:rPr>
        <w:t> </w:t>
      </w:r>
      <w:r>
        <w:rPr>
          <w:color w:val="231F20"/>
          <w:w w:val="105"/>
          <w:sz w:val="21"/>
        </w:rPr>
        <w:t>of</w:t>
      </w:r>
      <w:r>
        <w:rPr>
          <w:color w:val="231F20"/>
          <w:spacing w:val="-36"/>
          <w:w w:val="105"/>
          <w:sz w:val="21"/>
        </w:rPr>
        <w:t> </w:t>
      </w:r>
      <w:r>
        <w:rPr>
          <w:color w:val="231F20"/>
          <w:w w:val="105"/>
          <w:sz w:val="21"/>
        </w:rPr>
        <w:t>Groups.</w:t>
      </w:r>
      <w:r>
        <w:rPr>
          <w:color w:val="231F20"/>
          <w:spacing w:val="-41"/>
          <w:w w:val="105"/>
          <w:sz w:val="21"/>
        </w:rPr>
        <w:t> </w:t>
      </w:r>
      <w:r>
        <w:rPr>
          <w:i/>
          <w:color w:val="231F20"/>
          <w:w w:val="105"/>
          <w:sz w:val="21"/>
        </w:rPr>
        <w:t>Cambridge:</w:t>
      </w:r>
      <w:r>
        <w:rPr>
          <w:i/>
          <w:color w:val="231F20"/>
          <w:spacing w:val="-38"/>
          <w:w w:val="105"/>
          <w:sz w:val="21"/>
        </w:rPr>
        <w:t> </w:t>
      </w:r>
      <w:r>
        <w:rPr>
          <w:i/>
          <w:color w:val="231F20"/>
          <w:w w:val="105"/>
          <w:sz w:val="21"/>
        </w:rPr>
        <w:t>Harvard</w:t>
      </w:r>
      <w:r>
        <w:rPr>
          <w:i/>
          <w:color w:val="231F20"/>
          <w:spacing w:val="-38"/>
          <w:w w:val="105"/>
          <w:sz w:val="21"/>
        </w:rPr>
        <w:t> </w:t>
      </w:r>
      <w:r>
        <w:rPr>
          <w:i/>
          <w:color w:val="231F20"/>
          <w:w w:val="105"/>
          <w:sz w:val="21"/>
        </w:rPr>
        <w:t>University</w:t>
      </w:r>
      <w:r>
        <w:rPr>
          <w:i/>
          <w:color w:val="231F20"/>
          <w:spacing w:val="-38"/>
          <w:w w:val="105"/>
          <w:sz w:val="21"/>
        </w:rPr>
        <w:t> </w:t>
      </w:r>
      <w:r>
        <w:rPr>
          <w:i/>
          <w:color w:val="231F20"/>
          <w:spacing w:val="-3"/>
          <w:w w:val="105"/>
          <w:sz w:val="21"/>
        </w:rPr>
        <w:t>Press</w:t>
      </w:r>
      <w:r>
        <w:rPr>
          <w:color w:val="231F20"/>
          <w:spacing w:val="-3"/>
          <w:w w:val="105"/>
          <w:sz w:val="21"/>
        </w:rPr>
        <w:t>.</w:t>
      </w: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80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200</w:t>
        <w:tab/>
      </w:r>
      <w:r>
        <w:rPr>
          <w:rFonts w:ascii="Calibri" w:hAnsi="Calibri"/>
          <w:color w:val="6D6E71"/>
          <w:sz w:val="15"/>
        </w:rPr>
        <w:t>Roger Alejandro Banegas Rivero y Reyna Vergara </w:t>
      </w:r>
      <w:r>
        <w:rPr>
          <w:rFonts w:ascii="Calibri" w:hAnsi="Calibri"/>
          <w:color w:val="6D6E71"/>
          <w:spacing w:val="16"/>
          <w:sz w:val="15"/>
        </w:rPr>
        <w:t> </w:t>
      </w:r>
      <w:r>
        <w:rPr>
          <w:rFonts w:ascii="Calibri" w:hAnsi="Calibri"/>
          <w:color w:val="6D6E71"/>
          <w:sz w:val="15"/>
        </w:rPr>
        <w:t>González</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410" w:right="-12" w:firstLine="338"/>
        <w:jc w:val="left"/>
        <w:rPr>
          <w:rFonts w:ascii="Lucida Sans Unicode" w:hAnsi="Lucida Sans Unicode"/>
          <w:sz w:val="14"/>
        </w:rPr>
      </w:pPr>
      <w:r>
        <w:rPr/>
        <w:pict>
          <v:line style="position:absolute;mso-position-horizontal-relative:page;mso-position-vertical-relative:paragraph;z-index:7144" from="384.061005pt,-25.331028pt" to="384.061005pt,9.534822pt" stroked="true" strokeweight=".3pt" strokecolor="#231f20">
            <w10:wrap type="none"/>
          </v:line>
        </w:pict>
      </w:r>
      <w:r>
        <w:rPr>
          <w:rFonts w:ascii="Lucida Sans Unicode" w:hAnsi="Lucida Sans Unicode"/>
          <w:color w:val="6D6E71"/>
          <w:sz w:val="14"/>
        </w:rPr>
        <w:t>VIII. Rol InstItucIonal del gobIeRno en dependencIa de RecuRsos natuRales: ImplementacIón de Regla  fIscal</w:t>
      </w:r>
    </w:p>
    <w:p>
      <w:pPr>
        <w:spacing w:before="59"/>
        <w:ind w:left="338" w:right="0" w:firstLine="0"/>
        <w:jc w:val="left"/>
        <w:rPr>
          <w:sz w:val="20"/>
        </w:rPr>
      </w:pPr>
      <w:r>
        <w:rPr/>
        <w:br w:type="column"/>
      </w:r>
      <w:r>
        <w:rPr>
          <w:color w:val="414042"/>
          <w:sz w:val="20"/>
        </w:rPr>
        <w:t>201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spacing w:line="259" w:lineRule="auto" w:before="57"/>
        <w:ind w:left="854" w:right="121" w:hanging="737"/>
        <w:jc w:val="both"/>
        <w:rPr>
          <w:sz w:val="21"/>
        </w:rPr>
      </w:pPr>
      <w:r>
        <w:rPr>
          <w:color w:val="231F20"/>
          <w:sz w:val="21"/>
        </w:rPr>
        <w:t>Ossowski,</w:t>
      </w:r>
      <w:r>
        <w:rPr>
          <w:color w:val="231F20"/>
          <w:spacing w:val="-11"/>
          <w:sz w:val="21"/>
        </w:rPr>
        <w:t> </w:t>
      </w:r>
      <w:r>
        <w:rPr>
          <w:color w:val="231F20"/>
          <w:sz w:val="21"/>
        </w:rPr>
        <w:t>R.,</w:t>
      </w:r>
      <w:r>
        <w:rPr>
          <w:color w:val="231F20"/>
          <w:spacing w:val="-16"/>
          <w:sz w:val="21"/>
        </w:rPr>
        <w:t> </w:t>
      </w:r>
      <w:r>
        <w:rPr>
          <w:color w:val="231F20"/>
          <w:sz w:val="21"/>
        </w:rPr>
        <w:t>Villafuerte,</w:t>
      </w:r>
      <w:r>
        <w:rPr>
          <w:color w:val="231F20"/>
          <w:spacing w:val="-11"/>
          <w:sz w:val="21"/>
        </w:rPr>
        <w:t> </w:t>
      </w:r>
      <w:r>
        <w:rPr>
          <w:color w:val="231F20"/>
          <w:sz w:val="21"/>
        </w:rPr>
        <w:t>M.,</w:t>
      </w:r>
      <w:r>
        <w:rPr>
          <w:color w:val="231F20"/>
          <w:spacing w:val="-11"/>
          <w:sz w:val="21"/>
        </w:rPr>
        <w:t> </w:t>
      </w:r>
      <w:r>
        <w:rPr>
          <w:color w:val="231F20"/>
          <w:sz w:val="21"/>
        </w:rPr>
        <w:t>Medas,</w:t>
      </w:r>
      <w:r>
        <w:rPr>
          <w:color w:val="231F20"/>
          <w:spacing w:val="-11"/>
          <w:sz w:val="21"/>
        </w:rPr>
        <w:t> P., </w:t>
      </w:r>
      <w:r>
        <w:rPr>
          <w:color w:val="231F20"/>
          <w:sz w:val="21"/>
        </w:rPr>
        <w:t>y</w:t>
      </w:r>
      <w:r>
        <w:rPr>
          <w:color w:val="231F20"/>
          <w:spacing w:val="-10"/>
          <w:sz w:val="21"/>
        </w:rPr>
        <w:t> </w:t>
      </w:r>
      <w:r>
        <w:rPr>
          <w:color w:val="231F20"/>
          <w:sz w:val="21"/>
        </w:rPr>
        <w:t>Thomas,</w:t>
      </w:r>
      <w:r>
        <w:rPr>
          <w:color w:val="231F20"/>
          <w:spacing w:val="-17"/>
          <w:sz w:val="21"/>
        </w:rPr>
        <w:t> </w:t>
      </w:r>
      <w:r>
        <w:rPr>
          <w:color w:val="231F20"/>
          <w:spacing w:val="-9"/>
          <w:sz w:val="21"/>
        </w:rPr>
        <w:t>T.</w:t>
      </w:r>
      <w:r>
        <w:rPr>
          <w:color w:val="231F20"/>
          <w:spacing w:val="-11"/>
          <w:sz w:val="21"/>
        </w:rPr>
        <w:t> </w:t>
      </w:r>
      <w:r>
        <w:rPr>
          <w:color w:val="231F20"/>
          <w:sz w:val="21"/>
        </w:rPr>
        <w:t>(2008).</w:t>
      </w:r>
      <w:r>
        <w:rPr>
          <w:color w:val="231F20"/>
          <w:spacing w:val="-12"/>
          <w:sz w:val="21"/>
        </w:rPr>
        <w:t> </w:t>
      </w:r>
      <w:r>
        <w:rPr>
          <w:i/>
          <w:color w:val="231F20"/>
          <w:sz w:val="21"/>
        </w:rPr>
        <w:t>Managing</w:t>
      </w:r>
      <w:r>
        <w:rPr>
          <w:i/>
          <w:color w:val="231F20"/>
          <w:spacing w:val="-5"/>
          <w:sz w:val="21"/>
        </w:rPr>
        <w:t> </w:t>
      </w:r>
      <w:r>
        <w:rPr>
          <w:i/>
          <w:color w:val="231F20"/>
          <w:sz w:val="21"/>
        </w:rPr>
        <w:t>the </w:t>
      </w:r>
      <w:r>
        <w:rPr>
          <w:i/>
          <w:color w:val="231F20"/>
          <w:sz w:val="21"/>
        </w:rPr>
        <w:t>Oil</w:t>
      </w:r>
      <w:r>
        <w:rPr>
          <w:i/>
          <w:color w:val="231F20"/>
          <w:spacing w:val="-10"/>
          <w:sz w:val="21"/>
        </w:rPr>
        <w:t> </w:t>
      </w:r>
      <w:r>
        <w:rPr>
          <w:i/>
          <w:color w:val="231F20"/>
          <w:sz w:val="21"/>
        </w:rPr>
        <w:t>Revenue</w:t>
      </w:r>
      <w:r>
        <w:rPr>
          <w:i/>
          <w:color w:val="231F20"/>
          <w:spacing w:val="-10"/>
          <w:sz w:val="21"/>
        </w:rPr>
        <w:t> </w:t>
      </w:r>
      <w:r>
        <w:rPr>
          <w:i/>
          <w:color w:val="231F20"/>
          <w:sz w:val="21"/>
        </w:rPr>
        <w:t>Boom:</w:t>
      </w:r>
      <w:r>
        <w:rPr>
          <w:i/>
          <w:color w:val="231F20"/>
          <w:spacing w:val="-17"/>
          <w:sz w:val="21"/>
        </w:rPr>
        <w:t> </w:t>
      </w:r>
      <w:r>
        <w:rPr>
          <w:i/>
          <w:color w:val="231F20"/>
          <w:sz w:val="21"/>
        </w:rPr>
        <w:t>The</w:t>
      </w:r>
      <w:r>
        <w:rPr>
          <w:i/>
          <w:color w:val="231F20"/>
          <w:spacing w:val="-10"/>
          <w:sz w:val="21"/>
        </w:rPr>
        <w:t> </w:t>
      </w:r>
      <w:r>
        <w:rPr>
          <w:i/>
          <w:color w:val="231F20"/>
          <w:sz w:val="21"/>
        </w:rPr>
        <w:t>Role</w:t>
      </w:r>
      <w:r>
        <w:rPr>
          <w:i/>
          <w:color w:val="231F20"/>
          <w:spacing w:val="-10"/>
          <w:sz w:val="21"/>
        </w:rPr>
        <w:t> </w:t>
      </w:r>
      <w:r>
        <w:rPr>
          <w:i/>
          <w:color w:val="231F20"/>
          <w:sz w:val="21"/>
        </w:rPr>
        <w:t>of</w:t>
      </w:r>
      <w:r>
        <w:rPr>
          <w:i/>
          <w:color w:val="231F20"/>
          <w:spacing w:val="-5"/>
          <w:sz w:val="21"/>
        </w:rPr>
        <w:t> </w:t>
      </w:r>
      <w:r>
        <w:rPr>
          <w:i/>
          <w:color w:val="231F20"/>
          <w:sz w:val="21"/>
        </w:rPr>
        <w:t>Fiscal</w:t>
      </w:r>
      <w:r>
        <w:rPr>
          <w:i/>
          <w:color w:val="231F20"/>
          <w:spacing w:val="-10"/>
          <w:sz w:val="21"/>
        </w:rPr>
        <w:t> </w:t>
      </w:r>
      <w:r>
        <w:rPr>
          <w:i/>
          <w:color w:val="231F20"/>
          <w:sz w:val="21"/>
        </w:rPr>
        <w:t>Institutions.</w:t>
      </w:r>
      <w:r>
        <w:rPr>
          <w:i/>
          <w:color w:val="231F20"/>
          <w:spacing w:val="-10"/>
          <w:sz w:val="21"/>
        </w:rPr>
        <w:t> </w:t>
      </w:r>
      <w:r>
        <w:rPr>
          <w:color w:val="231F20"/>
          <w:sz w:val="21"/>
        </w:rPr>
        <w:t>IMF</w:t>
      </w:r>
      <w:r>
        <w:rPr>
          <w:color w:val="231F20"/>
          <w:spacing w:val="-10"/>
          <w:sz w:val="21"/>
        </w:rPr>
        <w:t> </w:t>
      </w:r>
      <w:r>
        <w:rPr>
          <w:color w:val="231F20"/>
          <w:sz w:val="21"/>
        </w:rPr>
        <w:t>occasionaly paper Nº</w:t>
      </w:r>
      <w:r>
        <w:rPr>
          <w:color w:val="231F20"/>
          <w:spacing w:val="44"/>
          <w:sz w:val="21"/>
        </w:rPr>
        <w:t> </w:t>
      </w:r>
      <w:r>
        <w:rPr>
          <w:color w:val="231F20"/>
          <w:sz w:val="21"/>
        </w:rPr>
        <w:t>260.</w:t>
      </w:r>
    </w:p>
    <w:p>
      <w:pPr>
        <w:spacing w:line="259" w:lineRule="auto" w:before="0"/>
        <w:ind w:left="854" w:right="121" w:hanging="738"/>
        <w:jc w:val="both"/>
        <w:rPr>
          <w:sz w:val="21"/>
        </w:rPr>
      </w:pPr>
      <w:r>
        <w:rPr>
          <w:color w:val="231F20"/>
          <w:sz w:val="21"/>
        </w:rPr>
        <w:t>Parkín,</w:t>
      </w:r>
      <w:r>
        <w:rPr>
          <w:color w:val="231F20"/>
          <w:spacing w:val="-14"/>
          <w:sz w:val="21"/>
        </w:rPr>
        <w:t> </w:t>
      </w:r>
      <w:r>
        <w:rPr>
          <w:color w:val="231F20"/>
          <w:sz w:val="21"/>
        </w:rPr>
        <w:t>M.,</w:t>
      </w:r>
      <w:r>
        <w:rPr>
          <w:color w:val="231F20"/>
          <w:spacing w:val="-14"/>
          <w:sz w:val="21"/>
        </w:rPr>
        <w:t> </w:t>
      </w:r>
      <w:r>
        <w:rPr>
          <w:color w:val="231F20"/>
          <w:sz w:val="21"/>
        </w:rPr>
        <w:t>y</w:t>
      </w:r>
      <w:r>
        <w:rPr>
          <w:color w:val="231F20"/>
          <w:spacing w:val="-6"/>
          <w:sz w:val="21"/>
        </w:rPr>
        <w:t> </w:t>
      </w:r>
      <w:r>
        <w:rPr>
          <w:color w:val="231F20"/>
          <w:sz w:val="21"/>
        </w:rPr>
        <w:t>Loría,</w:t>
      </w:r>
      <w:r>
        <w:rPr>
          <w:color w:val="231F20"/>
          <w:spacing w:val="-14"/>
          <w:sz w:val="21"/>
        </w:rPr>
        <w:t> </w:t>
      </w:r>
      <w:r>
        <w:rPr>
          <w:color w:val="231F20"/>
          <w:sz w:val="21"/>
        </w:rPr>
        <w:t>E.</w:t>
      </w:r>
      <w:r>
        <w:rPr>
          <w:color w:val="231F20"/>
          <w:spacing w:val="-14"/>
          <w:sz w:val="21"/>
        </w:rPr>
        <w:t> </w:t>
      </w:r>
      <w:r>
        <w:rPr>
          <w:color w:val="231F20"/>
          <w:sz w:val="21"/>
        </w:rPr>
        <w:t>(2010).</w:t>
      </w:r>
      <w:r>
        <w:rPr>
          <w:color w:val="231F20"/>
          <w:spacing w:val="-14"/>
          <w:sz w:val="21"/>
        </w:rPr>
        <w:t> </w:t>
      </w:r>
      <w:r>
        <w:rPr>
          <w:color w:val="231F20"/>
          <w:sz w:val="21"/>
        </w:rPr>
        <w:t>En</w:t>
      </w:r>
      <w:r>
        <w:rPr>
          <w:color w:val="231F20"/>
          <w:spacing w:val="-6"/>
          <w:sz w:val="21"/>
        </w:rPr>
        <w:t> </w:t>
      </w:r>
      <w:r>
        <w:rPr>
          <w:i/>
          <w:color w:val="231F20"/>
          <w:sz w:val="21"/>
        </w:rPr>
        <w:t>Microeconomía</w:t>
      </w:r>
      <w:r>
        <w:rPr>
          <w:i/>
          <w:color w:val="231F20"/>
          <w:spacing w:val="-6"/>
          <w:sz w:val="21"/>
        </w:rPr>
        <w:t> </w:t>
      </w:r>
      <w:r>
        <w:rPr>
          <w:i/>
          <w:color w:val="231F20"/>
          <w:sz w:val="21"/>
        </w:rPr>
        <w:t>versión</w:t>
      </w:r>
      <w:r>
        <w:rPr>
          <w:i/>
          <w:color w:val="231F20"/>
          <w:spacing w:val="-6"/>
          <w:sz w:val="21"/>
        </w:rPr>
        <w:t> </w:t>
      </w:r>
      <w:r>
        <w:rPr>
          <w:i/>
          <w:color w:val="231F20"/>
          <w:sz w:val="21"/>
        </w:rPr>
        <w:t>para</w:t>
      </w:r>
      <w:r>
        <w:rPr>
          <w:i/>
          <w:color w:val="231F20"/>
          <w:spacing w:val="-6"/>
          <w:sz w:val="21"/>
        </w:rPr>
        <w:t> </w:t>
      </w:r>
      <w:r>
        <w:rPr>
          <w:i/>
          <w:color w:val="231F20"/>
          <w:sz w:val="21"/>
        </w:rPr>
        <w:t>Lationaméri- </w:t>
      </w:r>
      <w:r>
        <w:rPr>
          <w:i/>
          <w:color w:val="231F20"/>
          <w:sz w:val="21"/>
        </w:rPr>
        <w:t>ca. </w:t>
      </w:r>
      <w:r>
        <w:rPr>
          <w:color w:val="231F20"/>
          <w:sz w:val="21"/>
        </w:rPr>
        <w:t>Naucalpan de Juárez, Estado de México:</w:t>
      </w:r>
      <w:r>
        <w:rPr>
          <w:color w:val="231F20"/>
          <w:spacing w:val="47"/>
          <w:sz w:val="21"/>
        </w:rPr>
        <w:t> </w:t>
      </w:r>
      <w:r>
        <w:rPr>
          <w:color w:val="231F20"/>
          <w:sz w:val="21"/>
        </w:rPr>
        <w:t>Pearson-education.</w:t>
      </w:r>
    </w:p>
    <w:p>
      <w:pPr>
        <w:spacing w:line="259" w:lineRule="auto" w:before="0"/>
        <w:ind w:left="77" w:right="115" w:firstLine="0"/>
        <w:jc w:val="right"/>
        <w:rPr>
          <w:sz w:val="21"/>
        </w:rPr>
      </w:pPr>
      <w:r>
        <w:rPr>
          <w:color w:val="231F20"/>
          <w:spacing w:val="-4"/>
          <w:w w:val="105"/>
          <w:sz w:val="21"/>
        </w:rPr>
        <w:t>Popper,</w:t>
      </w:r>
      <w:r>
        <w:rPr>
          <w:color w:val="231F20"/>
          <w:spacing w:val="-32"/>
          <w:w w:val="105"/>
          <w:sz w:val="21"/>
        </w:rPr>
        <w:t> </w:t>
      </w:r>
      <w:r>
        <w:rPr>
          <w:color w:val="231F20"/>
          <w:w w:val="105"/>
          <w:sz w:val="21"/>
        </w:rPr>
        <w:t>K.</w:t>
      </w:r>
      <w:r>
        <w:rPr>
          <w:color w:val="231F20"/>
          <w:spacing w:val="-32"/>
          <w:w w:val="105"/>
          <w:sz w:val="21"/>
        </w:rPr>
        <w:t> </w:t>
      </w:r>
      <w:r>
        <w:rPr>
          <w:color w:val="231F20"/>
          <w:w w:val="105"/>
          <w:sz w:val="21"/>
        </w:rPr>
        <w:t>(1973).</w:t>
      </w:r>
      <w:r>
        <w:rPr>
          <w:color w:val="231F20"/>
          <w:spacing w:val="-32"/>
          <w:w w:val="105"/>
          <w:sz w:val="21"/>
        </w:rPr>
        <w:t> </w:t>
      </w:r>
      <w:r>
        <w:rPr>
          <w:i/>
          <w:color w:val="231F20"/>
          <w:w w:val="105"/>
          <w:sz w:val="21"/>
        </w:rPr>
        <w:t>La</w:t>
      </w:r>
      <w:r>
        <w:rPr>
          <w:i/>
          <w:color w:val="231F20"/>
          <w:spacing w:val="-28"/>
          <w:w w:val="105"/>
          <w:sz w:val="21"/>
        </w:rPr>
        <w:t> </w:t>
      </w:r>
      <w:r>
        <w:rPr>
          <w:i/>
          <w:color w:val="231F20"/>
          <w:w w:val="105"/>
          <w:sz w:val="21"/>
        </w:rPr>
        <w:t>lógica</w:t>
      </w:r>
      <w:r>
        <w:rPr>
          <w:i/>
          <w:color w:val="231F20"/>
          <w:spacing w:val="-28"/>
          <w:w w:val="105"/>
          <w:sz w:val="21"/>
        </w:rPr>
        <w:t> </w:t>
      </w:r>
      <w:r>
        <w:rPr>
          <w:i/>
          <w:color w:val="231F20"/>
          <w:w w:val="105"/>
          <w:sz w:val="21"/>
        </w:rPr>
        <w:t>de</w:t>
      </w:r>
      <w:r>
        <w:rPr>
          <w:i/>
          <w:color w:val="231F20"/>
          <w:spacing w:val="-28"/>
          <w:w w:val="105"/>
          <w:sz w:val="21"/>
        </w:rPr>
        <w:t> </w:t>
      </w:r>
      <w:r>
        <w:rPr>
          <w:i/>
          <w:color w:val="231F20"/>
          <w:w w:val="105"/>
          <w:sz w:val="21"/>
        </w:rPr>
        <w:t>la</w:t>
      </w:r>
      <w:r>
        <w:rPr>
          <w:i/>
          <w:color w:val="231F20"/>
          <w:spacing w:val="-28"/>
          <w:w w:val="105"/>
          <w:sz w:val="21"/>
        </w:rPr>
        <w:t> </w:t>
      </w:r>
      <w:r>
        <w:rPr>
          <w:i/>
          <w:color w:val="231F20"/>
          <w:w w:val="105"/>
          <w:sz w:val="21"/>
        </w:rPr>
        <w:t>investigación</w:t>
      </w:r>
      <w:r>
        <w:rPr>
          <w:i/>
          <w:color w:val="231F20"/>
          <w:spacing w:val="-28"/>
          <w:w w:val="105"/>
          <w:sz w:val="21"/>
        </w:rPr>
        <w:t> </w:t>
      </w:r>
      <w:r>
        <w:rPr>
          <w:i/>
          <w:color w:val="231F20"/>
          <w:w w:val="105"/>
          <w:sz w:val="21"/>
        </w:rPr>
        <w:t>científica.</w:t>
      </w:r>
      <w:r>
        <w:rPr>
          <w:i/>
          <w:color w:val="231F20"/>
          <w:spacing w:val="-28"/>
          <w:w w:val="105"/>
          <w:sz w:val="21"/>
        </w:rPr>
        <w:t> </w:t>
      </w:r>
      <w:r>
        <w:rPr>
          <w:color w:val="231F20"/>
          <w:w w:val="105"/>
          <w:sz w:val="21"/>
        </w:rPr>
        <w:t>Madrid:</w:t>
      </w:r>
      <w:r>
        <w:rPr>
          <w:color w:val="231F20"/>
          <w:spacing w:val="-31"/>
          <w:w w:val="105"/>
          <w:sz w:val="21"/>
        </w:rPr>
        <w:t> </w:t>
      </w:r>
      <w:r>
        <w:rPr>
          <w:color w:val="231F20"/>
          <w:spacing w:val="-3"/>
          <w:w w:val="105"/>
          <w:sz w:val="21"/>
        </w:rPr>
        <w:t>Tecnos.</w:t>
      </w:r>
      <w:r>
        <w:rPr>
          <w:color w:val="231F20"/>
          <w:w w:val="100"/>
          <w:sz w:val="21"/>
        </w:rPr>
        <w:t> </w:t>
      </w:r>
      <w:r>
        <w:rPr>
          <w:color w:val="231F20"/>
          <w:spacing w:val="-4"/>
          <w:w w:val="105"/>
          <w:sz w:val="21"/>
        </w:rPr>
        <w:t>Popper,</w:t>
      </w:r>
      <w:r>
        <w:rPr>
          <w:color w:val="231F20"/>
          <w:spacing w:val="-10"/>
          <w:w w:val="105"/>
          <w:sz w:val="21"/>
        </w:rPr>
        <w:t> </w:t>
      </w:r>
      <w:r>
        <w:rPr>
          <w:color w:val="231F20"/>
          <w:w w:val="105"/>
          <w:sz w:val="21"/>
        </w:rPr>
        <w:t>K.</w:t>
      </w:r>
      <w:r>
        <w:rPr>
          <w:color w:val="231F20"/>
          <w:spacing w:val="-10"/>
          <w:w w:val="105"/>
          <w:sz w:val="21"/>
        </w:rPr>
        <w:t> </w:t>
      </w:r>
      <w:r>
        <w:rPr>
          <w:color w:val="231F20"/>
          <w:w w:val="105"/>
          <w:sz w:val="21"/>
        </w:rPr>
        <w:t>(1975).</w:t>
      </w:r>
      <w:r>
        <w:rPr>
          <w:color w:val="231F20"/>
          <w:spacing w:val="-10"/>
          <w:w w:val="105"/>
          <w:sz w:val="21"/>
        </w:rPr>
        <w:t> </w:t>
      </w:r>
      <w:r>
        <w:rPr>
          <w:color w:val="231F20"/>
          <w:w w:val="105"/>
          <w:sz w:val="21"/>
        </w:rPr>
        <w:t>“La</w:t>
      </w:r>
      <w:r>
        <w:rPr>
          <w:color w:val="231F20"/>
          <w:spacing w:val="-5"/>
          <w:w w:val="105"/>
          <w:sz w:val="21"/>
        </w:rPr>
        <w:t> </w:t>
      </w:r>
      <w:r>
        <w:rPr>
          <w:color w:val="231F20"/>
          <w:w w:val="105"/>
          <w:sz w:val="21"/>
        </w:rPr>
        <w:t>ciencia</w:t>
      </w:r>
      <w:r>
        <w:rPr>
          <w:color w:val="231F20"/>
          <w:spacing w:val="-5"/>
          <w:w w:val="105"/>
          <w:sz w:val="21"/>
        </w:rPr>
        <w:t> </w:t>
      </w:r>
      <w:r>
        <w:rPr>
          <w:color w:val="231F20"/>
          <w:w w:val="105"/>
          <w:sz w:val="21"/>
        </w:rPr>
        <w:t>normal</w:t>
      </w:r>
      <w:r>
        <w:rPr>
          <w:color w:val="231F20"/>
          <w:spacing w:val="-5"/>
          <w:w w:val="105"/>
          <w:sz w:val="21"/>
        </w:rPr>
        <w:t> </w:t>
      </w:r>
      <w:r>
        <w:rPr>
          <w:color w:val="231F20"/>
          <w:w w:val="105"/>
          <w:sz w:val="21"/>
        </w:rPr>
        <w:t>y</w:t>
      </w:r>
      <w:r>
        <w:rPr>
          <w:color w:val="231F20"/>
          <w:spacing w:val="-5"/>
          <w:w w:val="105"/>
          <w:sz w:val="21"/>
        </w:rPr>
        <w:t> </w:t>
      </w:r>
      <w:r>
        <w:rPr>
          <w:color w:val="231F20"/>
          <w:w w:val="105"/>
          <w:sz w:val="21"/>
        </w:rPr>
        <w:t>sus</w:t>
      </w:r>
      <w:r>
        <w:rPr>
          <w:color w:val="231F20"/>
          <w:spacing w:val="-5"/>
          <w:w w:val="105"/>
          <w:sz w:val="21"/>
        </w:rPr>
        <w:t> </w:t>
      </w:r>
      <w:r>
        <w:rPr>
          <w:color w:val="231F20"/>
          <w:w w:val="105"/>
          <w:sz w:val="21"/>
        </w:rPr>
        <w:t>peligros”</w:t>
      </w:r>
      <w:r>
        <w:rPr>
          <w:color w:val="231F20"/>
          <w:spacing w:val="-5"/>
          <w:w w:val="105"/>
          <w:sz w:val="21"/>
        </w:rPr>
        <w:t> </w:t>
      </w:r>
      <w:r>
        <w:rPr>
          <w:color w:val="231F20"/>
          <w:w w:val="105"/>
          <w:sz w:val="21"/>
        </w:rPr>
        <w:t>en:</w:t>
      </w:r>
      <w:r>
        <w:rPr>
          <w:color w:val="231F20"/>
          <w:spacing w:val="-5"/>
          <w:w w:val="105"/>
          <w:sz w:val="21"/>
        </w:rPr>
        <w:t> </w:t>
      </w:r>
      <w:r>
        <w:rPr>
          <w:color w:val="231F20"/>
          <w:w w:val="105"/>
          <w:sz w:val="21"/>
        </w:rPr>
        <w:t>L.</w:t>
      </w:r>
      <w:r>
        <w:rPr>
          <w:color w:val="231F20"/>
          <w:spacing w:val="-10"/>
          <w:w w:val="105"/>
          <w:sz w:val="21"/>
        </w:rPr>
        <w:t> </w:t>
      </w:r>
      <w:r>
        <w:rPr>
          <w:color w:val="231F20"/>
          <w:spacing w:val="-4"/>
          <w:w w:val="105"/>
          <w:sz w:val="21"/>
        </w:rPr>
        <w:t>y.</w:t>
      </w:r>
      <w:r>
        <w:rPr>
          <w:color w:val="231F20"/>
          <w:spacing w:val="-10"/>
          <w:w w:val="105"/>
          <w:sz w:val="21"/>
        </w:rPr>
        <w:t> </w:t>
      </w:r>
      <w:r>
        <w:rPr>
          <w:color w:val="231F20"/>
          <w:w w:val="105"/>
          <w:sz w:val="21"/>
        </w:rPr>
        <w:t>Musgrave</w:t>
      </w:r>
      <w:r>
        <w:rPr>
          <w:color w:val="231F20"/>
          <w:w w:val="98"/>
          <w:sz w:val="21"/>
        </w:rPr>
        <w:t> </w:t>
      </w:r>
      <w:r>
        <w:rPr>
          <w:color w:val="231F20"/>
          <w:w w:val="105"/>
          <w:sz w:val="21"/>
        </w:rPr>
        <w:t>(Ed.),</w:t>
      </w:r>
      <w:r>
        <w:rPr>
          <w:color w:val="231F20"/>
          <w:spacing w:val="-34"/>
          <w:w w:val="105"/>
          <w:sz w:val="21"/>
        </w:rPr>
        <w:t> </w:t>
      </w:r>
      <w:r>
        <w:rPr>
          <w:i/>
          <w:color w:val="231F20"/>
          <w:w w:val="105"/>
          <w:sz w:val="21"/>
        </w:rPr>
        <w:t>La</w:t>
      </w:r>
      <w:r>
        <w:rPr>
          <w:i/>
          <w:color w:val="231F20"/>
          <w:spacing w:val="-31"/>
          <w:w w:val="105"/>
          <w:sz w:val="21"/>
        </w:rPr>
        <w:t> </w:t>
      </w:r>
      <w:r>
        <w:rPr>
          <w:i/>
          <w:color w:val="231F20"/>
          <w:w w:val="105"/>
          <w:sz w:val="21"/>
        </w:rPr>
        <w:t>crítica</w:t>
      </w:r>
      <w:r>
        <w:rPr>
          <w:i/>
          <w:color w:val="231F20"/>
          <w:spacing w:val="-31"/>
          <w:w w:val="105"/>
          <w:sz w:val="21"/>
        </w:rPr>
        <w:t> </w:t>
      </w:r>
      <w:r>
        <w:rPr>
          <w:i/>
          <w:color w:val="231F20"/>
          <w:w w:val="105"/>
          <w:sz w:val="21"/>
        </w:rPr>
        <w:t>y</w:t>
      </w:r>
      <w:r>
        <w:rPr>
          <w:i/>
          <w:color w:val="231F20"/>
          <w:spacing w:val="-31"/>
          <w:w w:val="105"/>
          <w:sz w:val="21"/>
        </w:rPr>
        <w:t> </w:t>
      </w:r>
      <w:r>
        <w:rPr>
          <w:i/>
          <w:color w:val="231F20"/>
          <w:w w:val="105"/>
          <w:sz w:val="21"/>
        </w:rPr>
        <w:t>el</w:t>
      </w:r>
      <w:r>
        <w:rPr>
          <w:i/>
          <w:color w:val="231F20"/>
          <w:spacing w:val="-31"/>
          <w:w w:val="105"/>
          <w:sz w:val="21"/>
        </w:rPr>
        <w:t> </w:t>
      </w:r>
      <w:r>
        <w:rPr>
          <w:i/>
          <w:color w:val="231F20"/>
          <w:w w:val="105"/>
          <w:sz w:val="21"/>
        </w:rPr>
        <w:t>desarrollo</w:t>
      </w:r>
      <w:r>
        <w:rPr>
          <w:i/>
          <w:color w:val="231F20"/>
          <w:spacing w:val="-31"/>
          <w:w w:val="105"/>
          <w:sz w:val="21"/>
        </w:rPr>
        <w:t> </w:t>
      </w:r>
      <w:r>
        <w:rPr>
          <w:i/>
          <w:color w:val="231F20"/>
          <w:w w:val="105"/>
          <w:sz w:val="21"/>
        </w:rPr>
        <w:t>del</w:t>
      </w:r>
      <w:r>
        <w:rPr>
          <w:i/>
          <w:color w:val="231F20"/>
          <w:spacing w:val="-31"/>
          <w:w w:val="105"/>
          <w:sz w:val="21"/>
        </w:rPr>
        <w:t> </w:t>
      </w:r>
      <w:r>
        <w:rPr>
          <w:i/>
          <w:color w:val="231F20"/>
          <w:w w:val="105"/>
          <w:sz w:val="21"/>
        </w:rPr>
        <w:t>conocimiento</w:t>
      </w:r>
      <w:r>
        <w:rPr>
          <w:i/>
          <w:color w:val="231F20"/>
          <w:spacing w:val="-31"/>
          <w:w w:val="105"/>
          <w:sz w:val="21"/>
        </w:rPr>
        <w:t> </w:t>
      </w:r>
      <w:r>
        <w:rPr>
          <w:color w:val="231F20"/>
          <w:w w:val="105"/>
          <w:sz w:val="21"/>
        </w:rPr>
        <w:t>(pág.</w:t>
      </w:r>
      <w:r>
        <w:rPr>
          <w:color w:val="231F20"/>
          <w:spacing w:val="-34"/>
          <w:w w:val="105"/>
          <w:sz w:val="21"/>
        </w:rPr>
        <w:t> </w:t>
      </w:r>
      <w:r>
        <w:rPr>
          <w:color w:val="231F20"/>
          <w:w w:val="105"/>
          <w:sz w:val="21"/>
        </w:rPr>
        <w:t>156).</w:t>
      </w:r>
      <w:r>
        <w:rPr>
          <w:color w:val="231F20"/>
          <w:spacing w:val="-34"/>
          <w:w w:val="105"/>
          <w:sz w:val="21"/>
        </w:rPr>
        <w:t> </w:t>
      </w:r>
      <w:r>
        <w:rPr>
          <w:color w:val="231F20"/>
          <w:w w:val="105"/>
          <w:sz w:val="21"/>
        </w:rPr>
        <w:t>Barce-</w:t>
      </w:r>
    </w:p>
    <w:p>
      <w:pPr>
        <w:pStyle w:val="BodyText"/>
        <w:spacing w:line="241" w:lineRule="exact"/>
        <w:ind w:left="854" w:right="114"/>
      </w:pPr>
      <w:r>
        <w:rPr>
          <w:color w:val="231F20"/>
          <w:w w:val="105"/>
        </w:rPr>
        <w:t>lona: Grijalbo.</w:t>
      </w:r>
    </w:p>
    <w:p>
      <w:pPr>
        <w:spacing w:line="259" w:lineRule="auto" w:before="18"/>
        <w:ind w:left="56" w:right="115" w:hanging="1"/>
        <w:jc w:val="right"/>
        <w:rPr>
          <w:sz w:val="21"/>
        </w:rPr>
      </w:pPr>
      <w:r>
        <w:rPr>
          <w:color w:val="231F20"/>
          <w:sz w:val="21"/>
        </w:rPr>
        <w:t>Robinson, J., Torvik, R., y Verdier, T. (2006). “Political foundations of the</w:t>
      </w:r>
      <w:r>
        <w:rPr>
          <w:color w:val="231F20"/>
          <w:w w:val="105"/>
          <w:sz w:val="21"/>
        </w:rPr>
        <w:t> </w:t>
      </w:r>
      <w:r>
        <w:rPr>
          <w:color w:val="231F20"/>
          <w:sz w:val="21"/>
        </w:rPr>
        <w:t>resource curse”. </w:t>
      </w:r>
      <w:r>
        <w:rPr>
          <w:i/>
          <w:color w:val="231F20"/>
          <w:sz w:val="21"/>
        </w:rPr>
        <w:t>Journal of Development Economics, 79</w:t>
      </w:r>
      <w:r>
        <w:rPr>
          <w:color w:val="231F20"/>
          <w:sz w:val="21"/>
        </w:rPr>
        <w:t>, 447-468.</w:t>
      </w:r>
      <w:r>
        <w:rPr>
          <w:color w:val="231F20"/>
          <w:w w:val="102"/>
          <w:sz w:val="21"/>
        </w:rPr>
        <w:t> </w:t>
      </w:r>
      <w:r>
        <w:rPr>
          <w:color w:val="231F20"/>
          <w:sz w:val="21"/>
        </w:rPr>
        <w:t>Rodríguez, L. (2011). </w:t>
      </w:r>
      <w:r>
        <w:rPr>
          <w:i/>
          <w:color w:val="231F20"/>
          <w:sz w:val="21"/>
        </w:rPr>
        <w:t>Reglas fiscales e instituciones presupuestales. </w:t>
      </w:r>
      <w:r>
        <w:rPr>
          <w:color w:val="231F20"/>
          <w:sz w:val="21"/>
        </w:rPr>
        <w:t>ODE-</w:t>
      </w:r>
    </w:p>
    <w:p>
      <w:pPr>
        <w:pStyle w:val="BodyText"/>
        <w:spacing w:line="241" w:lineRule="exact"/>
        <w:ind w:left="854" w:right="114"/>
      </w:pPr>
      <w:r>
        <w:rPr>
          <w:color w:val="231F20"/>
          <w:w w:val="105"/>
        </w:rPr>
        <w:t>ON, núm. 6. pg. 43-70.</w:t>
      </w:r>
    </w:p>
    <w:p>
      <w:pPr>
        <w:spacing w:line="259" w:lineRule="auto" w:before="18"/>
        <w:ind w:left="854" w:right="121" w:hanging="738"/>
        <w:jc w:val="both"/>
        <w:rPr>
          <w:sz w:val="21"/>
        </w:rPr>
      </w:pPr>
      <w:r>
        <w:rPr>
          <w:color w:val="231F20"/>
          <w:w w:val="105"/>
          <w:sz w:val="21"/>
        </w:rPr>
        <w:t>Sachs,</w:t>
      </w:r>
      <w:r>
        <w:rPr>
          <w:color w:val="231F20"/>
          <w:spacing w:val="-37"/>
          <w:w w:val="105"/>
          <w:sz w:val="21"/>
        </w:rPr>
        <w:t> </w:t>
      </w:r>
      <w:r>
        <w:rPr>
          <w:color w:val="231F20"/>
          <w:w w:val="105"/>
          <w:sz w:val="21"/>
        </w:rPr>
        <w:t>J.,</w:t>
      </w:r>
      <w:r>
        <w:rPr>
          <w:color w:val="231F20"/>
          <w:spacing w:val="-36"/>
          <w:w w:val="105"/>
          <w:sz w:val="21"/>
        </w:rPr>
        <w:t> </w:t>
      </w:r>
      <w:r>
        <w:rPr>
          <w:color w:val="231F20"/>
          <w:w w:val="105"/>
          <w:sz w:val="21"/>
        </w:rPr>
        <w:t>y</w:t>
      </w:r>
      <w:r>
        <w:rPr>
          <w:color w:val="231F20"/>
          <w:spacing w:val="-34"/>
          <w:w w:val="105"/>
          <w:sz w:val="21"/>
        </w:rPr>
        <w:t> </w:t>
      </w:r>
      <w:r>
        <w:rPr>
          <w:color w:val="231F20"/>
          <w:spacing w:val="-3"/>
          <w:w w:val="105"/>
          <w:sz w:val="21"/>
        </w:rPr>
        <w:t>Warner,</w:t>
      </w:r>
      <w:r>
        <w:rPr>
          <w:color w:val="231F20"/>
          <w:spacing w:val="-39"/>
          <w:w w:val="105"/>
          <w:sz w:val="21"/>
        </w:rPr>
        <w:t> </w:t>
      </w:r>
      <w:r>
        <w:rPr>
          <w:color w:val="231F20"/>
          <w:w w:val="105"/>
          <w:sz w:val="21"/>
        </w:rPr>
        <w:t>A.</w:t>
      </w:r>
      <w:r>
        <w:rPr>
          <w:color w:val="231F20"/>
          <w:spacing w:val="-36"/>
          <w:w w:val="105"/>
          <w:sz w:val="21"/>
        </w:rPr>
        <w:t> </w:t>
      </w:r>
      <w:r>
        <w:rPr>
          <w:color w:val="231F20"/>
          <w:w w:val="105"/>
          <w:sz w:val="21"/>
        </w:rPr>
        <w:t>(1995).</w:t>
      </w:r>
      <w:r>
        <w:rPr>
          <w:color w:val="231F20"/>
          <w:spacing w:val="-36"/>
          <w:w w:val="105"/>
          <w:sz w:val="21"/>
        </w:rPr>
        <w:t> </w:t>
      </w:r>
      <w:r>
        <w:rPr>
          <w:color w:val="231F20"/>
          <w:w w:val="105"/>
          <w:sz w:val="21"/>
        </w:rPr>
        <w:t>“Natural</w:t>
      </w:r>
      <w:r>
        <w:rPr>
          <w:color w:val="231F20"/>
          <w:spacing w:val="-33"/>
          <w:w w:val="105"/>
          <w:sz w:val="21"/>
        </w:rPr>
        <w:t> </w:t>
      </w:r>
      <w:r>
        <w:rPr>
          <w:color w:val="231F20"/>
          <w:w w:val="105"/>
          <w:sz w:val="21"/>
        </w:rPr>
        <w:t>resource</w:t>
      </w:r>
      <w:r>
        <w:rPr>
          <w:color w:val="231F20"/>
          <w:spacing w:val="-33"/>
          <w:w w:val="105"/>
          <w:sz w:val="21"/>
        </w:rPr>
        <w:t> </w:t>
      </w:r>
      <w:r>
        <w:rPr>
          <w:color w:val="231F20"/>
          <w:w w:val="105"/>
          <w:sz w:val="21"/>
        </w:rPr>
        <w:t>abundance</w:t>
      </w:r>
      <w:r>
        <w:rPr>
          <w:color w:val="231F20"/>
          <w:spacing w:val="-33"/>
          <w:w w:val="105"/>
          <w:sz w:val="21"/>
        </w:rPr>
        <w:t> </w:t>
      </w:r>
      <w:r>
        <w:rPr>
          <w:color w:val="231F20"/>
          <w:w w:val="105"/>
          <w:sz w:val="21"/>
        </w:rPr>
        <w:t>and</w:t>
      </w:r>
      <w:r>
        <w:rPr>
          <w:color w:val="231F20"/>
          <w:spacing w:val="-33"/>
          <w:w w:val="105"/>
          <w:sz w:val="21"/>
        </w:rPr>
        <w:t> </w:t>
      </w:r>
      <w:r>
        <w:rPr>
          <w:color w:val="231F20"/>
          <w:w w:val="105"/>
          <w:sz w:val="21"/>
        </w:rPr>
        <w:t>econom- ic</w:t>
      </w:r>
      <w:r>
        <w:rPr>
          <w:color w:val="231F20"/>
          <w:spacing w:val="-28"/>
          <w:w w:val="105"/>
          <w:sz w:val="21"/>
        </w:rPr>
        <w:t> </w:t>
      </w:r>
      <w:r>
        <w:rPr>
          <w:color w:val="231F20"/>
          <w:spacing w:val="-4"/>
          <w:w w:val="105"/>
          <w:sz w:val="21"/>
        </w:rPr>
        <w:t>growth”.</w:t>
      </w:r>
      <w:r>
        <w:rPr>
          <w:color w:val="231F20"/>
          <w:spacing w:val="-33"/>
          <w:w w:val="105"/>
          <w:sz w:val="21"/>
        </w:rPr>
        <w:t> </w:t>
      </w:r>
      <w:r>
        <w:rPr>
          <w:i/>
          <w:color w:val="231F20"/>
          <w:w w:val="105"/>
          <w:sz w:val="21"/>
        </w:rPr>
        <w:t>NBER</w:t>
      </w:r>
      <w:r>
        <w:rPr>
          <w:i/>
          <w:color w:val="231F20"/>
          <w:spacing w:val="-30"/>
          <w:w w:val="105"/>
          <w:sz w:val="21"/>
        </w:rPr>
        <w:t> </w:t>
      </w:r>
      <w:r>
        <w:rPr>
          <w:i/>
          <w:color w:val="231F20"/>
          <w:w w:val="105"/>
          <w:sz w:val="21"/>
        </w:rPr>
        <w:t>Working</w:t>
      </w:r>
      <w:r>
        <w:rPr>
          <w:i/>
          <w:color w:val="231F20"/>
          <w:spacing w:val="-28"/>
          <w:w w:val="105"/>
          <w:sz w:val="21"/>
        </w:rPr>
        <w:t> </w:t>
      </w:r>
      <w:r>
        <w:rPr>
          <w:i/>
          <w:color w:val="231F20"/>
          <w:spacing w:val="-3"/>
          <w:w w:val="105"/>
          <w:sz w:val="21"/>
        </w:rPr>
        <w:t>Paper</w:t>
      </w:r>
      <w:r>
        <w:rPr>
          <w:i/>
          <w:color w:val="231F20"/>
          <w:spacing w:val="-28"/>
          <w:w w:val="105"/>
          <w:sz w:val="21"/>
        </w:rPr>
        <w:t> </w:t>
      </w:r>
      <w:r>
        <w:rPr>
          <w:i/>
          <w:color w:val="231F20"/>
          <w:w w:val="105"/>
          <w:sz w:val="21"/>
        </w:rPr>
        <w:t>No.</w:t>
      </w:r>
      <w:r>
        <w:rPr>
          <w:i/>
          <w:color w:val="231F20"/>
          <w:spacing w:val="-33"/>
          <w:w w:val="105"/>
          <w:sz w:val="21"/>
        </w:rPr>
        <w:t> </w:t>
      </w:r>
      <w:r>
        <w:rPr>
          <w:i/>
          <w:color w:val="231F20"/>
          <w:w w:val="105"/>
          <w:sz w:val="21"/>
        </w:rPr>
        <w:t>5398</w:t>
      </w:r>
      <w:r>
        <w:rPr>
          <w:color w:val="231F20"/>
          <w:w w:val="105"/>
          <w:sz w:val="21"/>
        </w:rPr>
        <w:t>.</w:t>
      </w:r>
    </w:p>
    <w:p>
      <w:pPr>
        <w:pStyle w:val="BodyText"/>
        <w:spacing w:line="259" w:lineRule="auto"/>
        <w:ind w:left="117" w:right="112"/>
      </w:pPr>
      <w:r>
        <w:rPr>
          <w:color w:val="231F20"/>
        </w:rPr>
        <w:t>Salvatore, </w:t>
      </w:r>
      <w:r>
        <w:rPr>
          <w:color w:val="231F20"/>
          <w:spacing w:val="-6"/>
        </w:rPr>
        <w:t>D. </w:t>
      </w:r>
      <w:r>
        <w:rPr>
          <w:color w:val="231F20"/>
        </w:rPr>
        <w:t>(2009). </w:t>
      </w:r>
      <w:r>
        <w:rPr>
          <w:i/>
          <w:color w:val="231F20"/>
        </w:rPr>
        <w:t>Microeconomía </w:t>
      </w:r>
      <w:r>
        <w:rPr>
          <w:color w:val="231F20"/>
        </w:rPr>
        <w:t>(4ta. ed.). México: Mc Graw Hill. Schick,</w:t>
      </w:r>
      <w:r>
        <w:rPr>
          <w:color w:val="231F20"/>
          <w:spacing w:val="-23"/>
        </w:rPr>
        <w:t> </w:t>
      </w:r>
      <w:r>
        <w:rPr>
          <w:color w:val="231F20"/>
        </w:rPr>
        <w:t>A.</w:t>
      </w:r>
      <w:r>
        <w:rPr>
          <w:color w:val="231F20"/>
          <w:spacing w:val="-19"/>
        </w:rPr>
        <w:t> </w:t>
      </w:r>
      <w:r>
        <w:rPr>
          <w:color w:val="231F20"/>
        </w:rPr>
        <w:t>(2010).</w:t>
      </w:r>
      <w:r>
        <w:rPr>
          <w:color w:val="231F20"/>
          <w:spacing w:val="-19"/>
        </w:rPr>
        <w:t> </w:t>
      </w:r>
      <w:r>
        <w:rPr>
          <w:color w:val="231F20"/>
        </w:rPr>
        <w:t>“Post-Crisis</w:t>
      </w:r>
      <w:r>
        <w:rPr>
          <w:color w:val="231F20"/>
          <w:spacing w:val="-13"/>
        </w:rPr>
        <w:t> </w:t>
      </w:r>
      <w:r>
        <w:rPr>
          <w:color w:val="231F20"/>
        </w:rPr>
        <w:t>Fiscal</w:t>
      </w:r>
      <w:r>
        <w:rPr>
          <w:color w:val="231F20"/>
          <w:spacing w:val="-13"/>
        </w:rPr>
        <w:t> </w:t>
      </w:r>
      <w:r>
        <w:rPr>
          <w:color w:val="231F20"/>
        </w:rPr>
        <w:t>Rules:</w:t>
      </w:r>
      <w:r>
        <w:rPr>
          <w:color w:val="231F20"/>
          <w:spacing w:val="-13"/>
        </w:rPr>
        <w:t> </w:t>
      </w:r>
      <w:r>
        <w:rPr>
          <w:color w:val="231F20"/>
        </w:rPr>
        <w:t>Stabilising</w:t>
      </w:r>
      <w:r>
        <w:rPr>
          <w:color w:val="231F20"/>
          <w:spacing w:val="-13"/>
        </w:rPr>
        <w:t> </w:t>
      </w:r>
      <w:r>
        <w:rPr>
          <w:color w:val="231F20"/>
        </w:rPr>
        <w:t>Public</w:t>
      </w:r>
      <w:r>
        <w:rPr>
          <w:color w:val="231F20"/>
          <w:spacing w:val="-13"/>
        </w:rPr>
        <w:t> </w:t>
      </w:r>
      <w:r>
        <w:rPr>
          <w:color w:val="231F20"/>
        </w:rPr>
        <w:t>Finance</w:t>
      </w:r>
      <w:r>
        <w:rPr>
          <w:color w:val="231F20"/>
          <w:spacing w:val="-13"/>
        </w:rPr>
        <w:t> </w:t>
      </w:r>
      <w:r>
        <w:rPr>
          <w:color w:val="231F20"/>
        </w:rPr>
        <w:t>while</w:t>
      </w:r>
    </w:p>
    <w:p>
      <w:pPr>
        <w:spacing w:line="259" w:lineRule="auto" w:before="0"/>
        <w:ind w:left="854" w:right="109" w:firstLine="0"/>
        <w:jc w:val="left"/>
        <w:rPr>
          <w:sz w:val="21"/>
        </w:rPr>
      </w:pPr>
      <w:r>
        <w:rPr>
          <w:color w:val="231F20"/>
          <w:w w:val="105"/>
          <w:sz w:val="21"/>
        </w:rPr>
        <w:t>Responding</w:t>
      </w:r>
      <w:r>
        <w:rPr>
          <w:color w:val="231F20"/>
          <w:spacing w:val="-28"/>
          <w:w w:val="105"/>
          <w:sz w:val="21"/>
        </w:rPr>
        <w:t> </w:t>
      </w:r>
      <w:r>
        <w:rPr>
          <w:color w:val="231F20"/>
          <w:w w:val="105"/>
          <w:sz w:val="21"/>
        </w:rPr>
        <w:t>to</w:t>
      </w:r>
      <w:r>
        <w:rPr>
          <w:color w:val="231F20"/>
          <w:spacing w:val="-28"/>
          <w:w w:val="105"/>
          <w:sz w:val="21"/>
        </w:rPr>
        <w:t> </w:t>
      </w:r>
      <w:r>
        <w:rPr>
          <w:color w:val="231F20"/>
          <w:w w:val="105"/>
          <w:sz w:val="21"/>
        </w:rPr>
        <w:t>Economic</w:t>
      </w:r>
      <w:r>
        <w:rPr>
          <w:color w:val="231F20"/>
          <w:spacing w:val="-31"/>
          <w:w w:val="105"/>
          <w:sz w:val="21"/>
        </w:rPr>
        <w:t> </w:t>
      </w:r>
      <w:r>
        <w:rPr>
          <w:color w:val="231F20"/>
          <w:spacing w:val="-3"/>
          <w:w w:val="105"/>
          <w:sz w:val="21"/>
        </w:rPr>
        <w:t>Aftershocks”.</w:t>
      </w:r>
      <w:r>
        <w:rPr>
          <w:color w:val="231F20"/>
          <w:spacing w:val="-33"/>
          <w:w w:val="105"/>
          <w:sz w:val="21"/>
        </w:rPr>
        <w:t> </w:t>
      </w:r>
      <w:r>
        <w:rPr>
          <w:i/>
          <w:color w:val="231F20"/>
          <w:w w:val="105"/>
          <w:sz w:val="21"/>
        </w:rPr>
        <w:t>OECD</w:t>
      </w:r>
      <w:r>
        <w:rPr>
          <w:i/>
          <w:color w:val="231F20"/>
          <w:spacing w:val="-31"/>
          <w:w w:val="105"/>
          <w:sz w:val="21"/>
        </w:rPr>
        <w:t> </w:t>
      </w:r>
      <w:r>
        <w:rPr>
          <w:i/>
          <w:color w:val="231F20"/>
          <w:w w:val="105"/>
          <w:sz w:val="21"/>
        </w:rPr>
        <w:t>Journal</w:t>
      </w:r>
      <w:r>
        <w:rPr>
          <w:i/>
          <w:color w:val="231F20"/>
          <w:spacing w:val="-28"/>
          <w:w w:val="105"/>
          <w:sz w:val="21"/>
        </w:rPr>
        <w:t> </w:t>
      </w:r>
      <w:r>
        <w:rPr>
          <w:i/>
          <w:color w:val="231F20"/>
          <w:w w:val="105"/>
          <w:sz w:val="21"/>
        </w:rPr>
        <w:t>on</w:t>
      </w:r>
      <w:r>
        <w:rPr>
          <w:i/>
          <w:color w:val="231F20"/>
          <w:spacing w:val="-28"/>
          <w:w w:val="105"/>
          <w:sz w:val="21"/>
        </w:rPr>
        <w:t> </w:t>
      </w:r>
      <w:r>
        <w:rPr>
          <w:i/>
          <w:color w:val="231F20"/>
          <w:w w:val="105"/>
          <w:sz w:val="21"/>
        </w:rPr>
        <w:t>Budget- </w:t>
      </w:r>
      <w:r>
        <w:rPr>
          <w:i/>
          <w:color w:val="231F20"/>
          <w:w w:val="105"/>
          <w:sz w:val="21"/>
        </w:rPr>
        <w:t>ing,</w:t>
      </w:r>
      <w:r>
        <w:rPr>
          <w:i/>
          <w:color w:val="231F20"/>
          <w:spacing w:val="-37"/>
          <w:w w:val="105"/>
          <w:sz w:val="21"/>
        </w:rPr>
        <w:t> </w:t>
      </w:r>
      <w:r>
        <w:rPr>
          <w:i/>
          <w:color w:val="231F20"/>
          <w:w w:val="105"/>
          <w:sz w:val="21"/>
        </w:rPr>
        <w:t>10</w:t>
      </w:r>
      <w:r>
        <w:rPr>
          <w:color w:val="231F20"/>
          <w:w w:val="105"/>
          <w:sz w:val="21"/>
        </w:rPr>
        <w:t>(2),</w:t>
      </w:r>
      <w:r>
        <w:rPr>
          <w:color w:val="231F20"/>
          <w:spacing w:val="-37"/>
          <w:w w:val="105"/>
          <w:sz w:val="21"/>
        </w:rPr>
        <w:t> </w:t>
      </w:r>
      <w:r>
        <w:rPr>
          <w:color w:val="231F20"/>
          <w:w w:val="105"/>
          <w:sz w:val="21"/>
        </w:rPr>
        <w:t>35-51.</w:t>
      </w:r>
    </w:p>
    <w:p>
      <w:pPr>
        <w:spacing w:line="259" w:lineRule="auto" w:before="0"/>
        <w:ind w:left="854" w:right="121" w:hanging="738"/>
        <w:jc w:val="both"/>
        <w:rPr>
          <w:sz w:val="21"/>
        </w:rPr>
      </w:pPr>
      <w:r>
        <w:rPr>
          <w:color w:val="231F20"/>
          <w:sz w:val="21"/>
        </w:rPr>
        <w:t>Scott, R., y Davis, G. (2007). “Organization of the environment” en </w:t>
      </w:r>
      <w:r>
        <w:rPr>
          <w:i/>
          <w:color w:val="231F20"/>
          <w:sz w:val="21"/>
        </w:rPr>
        <w:t>Orga- </w:t>
      </w:r>
      <w:r>
        <w:rPr>
          <w:i/>
          <w:color w:val="231F20"/>
          <w:sz w:val="21"/>
        </w:rPr>
        <w:t>nizations and Organizing. Rational, natural, and open system per- spectives. </w:t>
      </w:r>
      <w:r>
        <w:rPr>
          <w:color w:val="231F20"/>
          <w:sz w:val="21"/>
        </w:rPr>
        <w:t>Pearson-Prentice Hall: Upper Saddle River.</w:t>
      </w:r>
    </w:p>
    <w:p>
      <w:pPr>
        <w:spacing w:line="259" w:lineRule="auto" w:before="0"/>
        <w:ind w:left="854" w:right="115" w:hanging="738"/>
        <w:jc w:val="both"/>
        <w:rPr>
          <w:sz w:val="21"/>
        </w:rPr>
      </w:pPr>
      <w:r>
        <w:rPr>
          <w:color w:val="231F20"/>
          <w:spacing w:val="-4"/>
          <w:w w:val="105"/>
          <w:sz w:val="21"/>
        </w:rPr>
        <w:t>Talvi,</w:t>
      </w:r>
      <w:r>
        <w:rPr>
          <w:color w:val="231F20"/>
          <w:spacing w:val="-26"/>
          <w:w w:val="105"/>
          <w:sz w:val="21"/>
        </w:rPr>
        <w:t> </w:t>
      </w:r>
      <w:r>
        <w:rPr>
          <w:color w:val="231F20"/>
          <w:w w:val="105"/>
          <w:sz w:val="21"/>
        </w:rPr>
        <w:t>E.,</w:t>
      </w:r>
      <w:r>
        <w:rPr>
          <w:color w:val="231F20"/>
          <w:spacing w:val="-26"/>
          <w:w w:val="105"/>
          <w:sz w:val="21"/>
        </w:rPr>
        <w:t> </w:t>
      </w:r>
      <w:r>
        <w:rPr>
          <w:color w:val="231F20"/>
          <w:w w:val="105"/>
          <w:sz w:val="21"/>
        </w:rPr>
        <w:t>y</w:t>
      </w:r>
      <w:r>
        <w:rPr>
          <w:color w:val="231F20"/>
          <w:spacing w:val="-25"/>
          <w:w w:val="105"/>
          <w:sz w:val="21"/>
        </w:rPr>
        <w:t> </w:t>
      </w:r>
      <w:r>
        <w:rPr>
          <w:color w:val="231F20"/>
          <w:w w:val="105"/>
          <w:sz w:val="21"/>
        </w:rPr>
        <w:t>Végh,</w:t>
      </w:r>
      <w:r>
        <w:rPr>
          <w:color w:val="231F20"/>
          <w:spacing w:val="-26"/>
          <w:w w:val="105"/>
          <w:sz w:val="21"/>
        </w:rPr>
        <w:t> </w:t>
      </w:r>
      <w:r>
        <w:rPr>
          <w:color w:val="231F20"/>
          <w:w w:val="105"/>
          <w:sz w:val="21"/>
        </w:rPr>
        <w:t>C.</w:t>
      </w:r>
      <w:r>
        <w:rPr>
          <w:color w:val="231F20"/>
          <w:spacing w:val="-26"/>
          <w:w w:val="105"/>
          <w:sz w:val="21"/>
        </w:rPr>
        <w:t> </w:t>
      </w:r>
      <w:r>
        <w:rPr>
          <w:color w:val="231F20"/>
          <w:w w:val="105"/>
          <w:sz w:val="21"/>
        </w:rPr>
        <w:t>(2005).</w:t>
      </w:r>
      <w:r>
        <w:rPr>
          <w:color w:val="231F20"/>
          <w:spacing w:val="-26"/>
          <w:w w:val="105"/>
          <w:sz w:val="21"/>
        </w:rPr>
        <w:t> </w:t>
      </w:r>
      <w:r>
        <w:rPr>
          <w:color w:val="231F20"/>
          <w:spacing w:val="-5"/>
          <w:w w:val="105"/>
          <w:sz w:val="21"/>
        </w:rPr>
        <w:t>“Tax</w:t>
      </w:r>
      <w:r>
        <w:rPr>
          <w:color w:val="231F20"/>
          <w:spacing w:val="-22"/>
          <w:w w:val="105"/>
          <w:sz w:val="21"/>
        </w:rPr>
        <w:t> </w:t>
      </w:r>
      <w:r>
        <w:rPr>
          <w:color w:val="231F20"/>
          <w:w w:val="105"/>
          <w:sz w:val="21"/>
        </w:rPr>
        <w:t>base</w:t>
      </w:r>
      <w:r>
        <w:rPr>
          <w:color w:val="231F20"/>
          <w:spacing w:val="-22"/>
          <w:w w:val="105"/>
          <w:sz w:val="21"/>
        </w:rPr>
        <w:t> </w:t>
      </w:r>
      <w:r>
        <w:rPr>
          <w:color w:val="231F20"/>
          <w:w w:val="105"/>
          <w:sz w:val="21"/>
        </w:rPr>
        <w:t>variability</w:t>
      </w:r>
      <w:r>
        <w:rPr>
          <w:color w:val="231F20"/>
          <w:spacing w:val="-22"/>
          <w:w w:val="105"/>
          <w:sz w:val="21"/>
        </w:rPr>
        <w:t> </w:t>
      </w:r>
      <w:r>
        <w:rPr>
          <w:color w:val="231F20"/>
          <w:w w:val="105"/>
          <w:sz w:val="21"/>
        </w:rPr>
        <w:t>and</w:t>
      </w:r>
      <w:r>
        <w:rPr>
          <w:color w:val="231F20"/>
          <w:spacing w:val="-22"/>
          <w:w w:val="105"/>
          <w:sz w:val="21"/>
        </w:rPr>
        <w:t> </w:t>
      </w:r>
      <w:r>
        <w:rPr>
          <w:color w:val="231F20"/>
          <w:w w:val="105"/>
          <w:sz w:val="21"/>
        </w:rPr>
        <w:t>procyclical</w:t>
      </w:r>
      <w:r>
        <w:rPr>
          <w:color w:val="231F20"/>
          <w:spacing w:val="-22"/>
          <w:w w:val="105"/>
          <w:sz w:val="21"/>
        </w:rPr>
        <w:t> </w:t>
      </w:r>
      <w:r>
        <w:rPr>
          <w:color w:val="231F20"/>
          <w:w w:val="105"/>
          <w:sz w:val="21"/>
        </w:rPr>
        <w:t>fiscal</w:t>
      </w:r>
      <w:r>
        <w:rPr>
          <w:color w:val="231F20"/>
          <w:spacing w:val="-22"/>
          <w:w w:val="105"/>
          <w:sz w:val="21"/>
        </w:rPr>
        <w:t> </w:t>
      </w:r>
      <w:r>
        <w:rPr>
          <w:color w:val="231F20"/>
          <w:w w:val="105"/>
          <w:sz w:val="21"/>
        </w:rPr>
        <w:t>pol- icy</w:t>
      </w:r>
      <w:r>
        <w:rPr>
          <w:color w:val="231F20"/>
          <w:spacing w:val="-14"/>
          <w:w w:val="105"/>
          <w:sz w:val="21"/>
        </w:rPr>
        <w:t> </w:t>
      </w:r>
      <w:r>
        <w:rPr>
          <w:color w:val="231F20"/>
          <w:w w:val="105"/>
          <w:sz w:val="21"/>
        </w:rPr>
        <w:t>in</w:t>
      </w:r>
      <w:r>
        <w:rPr>
          <w:color w:val="231F20"/>
          <w:spacing w:val="-14"/>
          <w:w w:val="105"/>
          <w:sz w:val="21"/>
        </w:rPr>
        <w:t> </w:t>
      </w:r>
      <w:r>
        <w:rPr>
          <w:color w:val="231F20"/>
          <w:w w:val="105"/>
          <w:sz w:val="21"/>
        </w:rPr>
        <w:t>developing</w:t>
      </w:r>
      <w:r>
        <w:rPr>
          <w:color w:val="231F20"/>
          <w:spacing w:val="-14"/>
          <w:w w:val="105"/>
          <w:sz w:val="21"/>
        </w:rPr>
        <w:t> </w:t>
      </w:r>
      <w:r>
        <w:rPr>
          <w:color w:val="231F20"/>
          <w:spacing w:val="-3"/>
          <w:w w:val="105"/>
          <w:sz w:val="21"/>
        </w:rPr>
        <w:t>countries”.</w:t>
      </w:r>
      <w:r>
        <w:rPr>
          <w:color w:val="231F20"/>
          <w:spacing w:val="-20"/>
          <w:w w:val="105"/>
          <w:sz w:val="21"/>
        </w:rPr>
        <w:t> </w:t>
      </w:r>
      <w:r>
        <w:rPr>
          <w:i/>
          <w:color w:val="231F20"/>
          <w:w w:val="105"/>
          <w:sz w:val="21"/>
        </w:rPr>
        <w:t>Journal</w:t>
      </w:r>
      <w:r>
        <w:rPr>
          <w:i/>
          <w:color w:val="231F20"/>
          <w:spacing w:val="-14"/>
          <w:w w:val="105"/>
          <w:sz w:val="21"/>
        </w:rPr>
        <w:t> </w:t>
      </w:r>
      <w:r>
        <w:rPr>
          <w:i/>
          <w:color w:val="231F20"/>
          <w:w w:val="105"/>
          <w:sz w:val="21"/>
        </w:rPr>
        <w:t>of</w:t>
      </w:r>
      <w:r>
        <w:rPr>
          <w:i/>
          <w:color w:val="231F20"/>
          <w:spacing w:val="-9"/>
          <w:w w:val="105"/>
          <w:sz w:val="21"/>
        </w:rPr>
        <w:t> </w:t>
      </w:r>
      <w:r>
        <w:rPr>
          <w:i/>
          <w:color w:val="231F20"/>
          <w:w w:val="105"/>
          <w:sz w:val="21"/>
        </w:rPr>
        <w:t>Development</w:t>
      </w:r>
      <w:r>
        <w:rPr>
          <w:i/>
          <w:color w:val="231F20"/>
          <w:spacing w:val="-14"/>
          <w:w w:val="105"/>
          <w:sz w:val="21"/>
        </w:rPr>
        <w:t> </w:t>
      </w:r>
      <w:r>
        <w:rPr>
          <w:i/>
          <w:color w:val="231F20"/>
          <w:w w:val="105"/>
          <w:sz w:val="21"/>
        </w:rPr>
        <w:t>Economics, </w:t>
      </w:r>
      <w:r>
        <w:rPr>
          <w:i/>
          <w:color w:val="231F20"/>
          <w:w w:val="105"/>
          <w:sz w:val="21"/>
        </w:rPr>
        <w:t>78</w:t>
      </w:r>
      <w:r>
        <w:rPr>
          <w:color w:val="231F20"/>
          <w:w w:val="105"/>
          <w:sz w:val="21"/>
        </w:rPr>
        <w:t>,</w:t>
      </w:r>
      <w:r>
        <w:rPr>
          <w:color w:val="231F20"/>
          <w:spacing w:val="-44"/>
          <w:w w:val="105"/>
          <w:sz w:val="21"/>
        </w:rPr>
        <w:t> </w:t>
      </w:r>
      <w:r>
        <w:rPr>
          <w:color w:val="231F20"/>
          <w:w w:val="105"/>
          <w:sz w:val="21"/>
        </w:rPr>
        <w:t>156–</w:t>
      </w:r>
      <w:r>
        <w:rPr>
          <w:color w:val="231F20"/>
          <w:spacing w:val="-41"/>
          <w:w w:val="105"/>
          <w:sz w:val="21"/>
        </w:rPr>
        <w:t> </w:t>
      </w:r>
      <w:r>
        <w:rPr>
          <w:color w:val="231F20"/>
          <w:w w:val="105"/>
          <w:sz w:val="21"/>
        </w:rPr>
        <w:t>190.</w:t>
      </w:r>
    </w:p>
    <w:p>
      <w:pPr>
        <w:spacing w:line="259" w:lineRule="auto" w:before="0"/>
        <w:ind w:left="854" w:right="121" w:hanging="738"/>
        <w:jc w:val="both"/>
        <w:rPr>
          <w:sz w:val="21"/>
        </w:rPr>
      </w:pPr>
      <w:r>
        <w:rPr>
          <w:color w:val="231F20"/>
          <w:spacing w:val="-4"/>
          <w:w w:val="105"/>
          <w:sz w:val="21"/>
        </w:rPr>
        <w:t>Teece,</w:t>
      </w:r>
      <w:r>
        <w:rPr>
          <w:color w:val="231F20"/>
          <w:spacing w:val="-42"/>
          <w:w w:val="105"/>
          <w:sz w:val="21"/>
        </w:rPr>
        <w:t> </w:t>
      </w:r>
      <w:r>
        <w:rPr>
          <w:color w:val="231F20"/>
          <w:spacing w:val="-4"/>
          <w:w w:val="105"/>
          <w:sz w:val="21"/>
        </w:rPr>
        <w:t>D.,</w:t>
      </w:r>
      <w:r>
        <w:rPr>
          <w:color w:val="231F20"/>
          <w:spacing w:val="-42"/>
          <w:w w:val="105"/>
          <w:sz w:val="21"/>
        </w:rPr>
        <w:t> </w:t>
      </w:r>
      <w:r>
        <w:rPr>
          <w:color w:val="231F20"/>
          <w:w w:val="105"/>
          <w:sz w:val="21"/>
        </w:rPr>
        <w:t>Pisano,</w:t>
      </w:r>
      <w:r>
        <w:rPr>
          <w:color w:val="231F20"/>
          <w:spacing w:val="-42"/>
          <w:w w:val="105"/>
          <w:sz w:val="21"/>
        </w:rPr>
        <w:t> </w:t>
      </w:r>
      <w:r>
        <w:rPr>
          <w:color w:val="231F20"/>
          <w:w w:val="105"/>
          <w:sz w:val="21"/>
        </w:rPr>
        <w:t>G.,</w:t>
      </w:r>
      <w:r>
        <w:rPr>
          <w:color w:val="231F20"/>
          <w:spacing w:val="-42"/>
          <w:w w:val="105"/>
          <w:sz w:val="21"/>
        </w:rPr>
        <w:t> </w:t>
      </w:r>
      <w:r>
        <w:rPr>
          <w:color w:val="231F20"/>
          <w:w w:val="105"/>
          <w:sz w:val="21"/>
        </w:rPr>
        <w:t>y</w:t>
      </w:r>
      <w:r>
        <w:rPr>
          <w:color w:val="231F20"/>
          <w:spacing w:val="-38"/>
          <w:w w:val="105"/>
          <w:sz w:val="21"/>
        </w:rPr>
        <w:t> </w:t>
      </w:r>
      <w:r>
        <w:rPr>
          <w:color w:val="231F20"/>
          <w:w w:val="105"/>
          <w:sz w:val="21"/>
        </w:rPr>
        <w:t>Shuen,</w:t>
      </w:r>
      <w:r>
        <w:rPr>
          <w:color w:val="231F20"/>
          <w:spacing w:val="-43"/>
          <w:w w:val="105"/>
          <w:sz w:val="21"/>
        </w:rPr>
        <w:t> </w:t>
      </w:r>
      <w:r>
        <w:rPr>
          <w:color w:val="231F20"/>
          <w:w w:val="105"/>
          <w:sz w:val="21"/>
        </w:rPr>
        <w:t>A.</w:t>
      </w:r>
      <w:r>
        <w:rPr>
          <w:color w:val="231F20"/>
          <w:spacing w:val="-42"/>
          <w:w w:val="105"/>
          <w:sz w:val="21"/>
        </w:rPr>
        <w:t> </w:t>
      </w:r>
      <w:r>
        <w:rPr>
          <w:color w:val="231F20"/>
          <w:w w:val="105"/>
          <w:sz w:val="21"/>
        </w:rPr>
        <w:t>(1997).</w:t>
      </w:r>
      <w:r>
        <w:rPr>
          <w:color w:val="231F20"/>
          <w:spacing w:val="-42"/>
          <w:w w:val="105"/>
          <w:sz w:val="21"/>
        </w:rPr>
        <w:t> </w:t>
      </w:r>
      <w:r>
        <w:rPr>
          <w:color w:val="231F20"/>
          <w:w w:val="105"/>
          <w:sz w:val="21"/>
        </w:rPr>
        <w:t>“Dynamic</w:t>
      </w:r>
      <w:r>
        <w:rPr>
          <w:color w:val="231F20"/>
          <w:spacing w:val="-38"/>
          <w:w w:val="105"/>
          <w:sz w:val="21"/>
        </w:rPr>
        <w:t> </w:t>
      </w:r>
      <w:r>
        <w:rPr>
          <w:color w:val="231F20"/>
          <w:w w:val="105"/>
          <w:sz w:val="21"/>
        </w:rPr>
        <w:t>capabilities</w:t>
      </w:r>
      <w:r>
        <w:rPr>
          <w:color w:val="231F20"/>
          <w:spacing w:val="-38"/>
          <w:w w:val="105"/>
          <w:sz w:val="21"/>
        </w:rPr>
        <w:t> </w:t>
      </w:r>
      <w:r>
        <w:rPr>
          <w:color w:val="231F20"/>
          <w:w w:val="105"/>
          <w:sz w:val="21"/>
        </w:rPr>
        <w:t>and</w:t>
      </w:r>
      <w:r>
        <w:rPr>
          <w:color w:val="231F20"/>
          <w:spacing w:val="-38"/>
          <w:w w:val="105"/>
          <w:sz w:val="21"/>
        </w:rPr>
        <w:t> </w:t>
      </w:r>
      <w:r>
        <w:rPr>
          <w:color w:val="231F20"/>
          <w:w w:val="105"/>
          <w:sz w:val="21"/>
        </w:rPr>
        <w:t>strate- gic</w:t>
      </w:r>
      <w:r>
        <w:rPr>
          <w:color w:val="231F20"/>
          <w:spacing w:val="-35"/>
          <w:w w:val="105"/>
          <w:sz w:val="21"/>
        </w:rPr>
        <w:t> </w:t>
      </w:r>
      <w:r>
        <w:rPr>
          <w:color w:val="231F20"/>
          <w:w w:val="105"/>
          <w:sz w:val="21"/>
        </w:rPr>
        <w:t>management”.</w:t>
      </w:r>
      <w:r>
        <w:rPr>
          <w:color w:val="231F20"/>
          <w:spacing w:val="-38"/>
          <w:w w:val="105"/>
          <w:sz w:val="21"/>
        </w:rPr>
        <w:t> </w:t>
      </w:r>
      <w:r>
        <w:rPr>
          <w:i/>
          <w:color w:val="231F20"/>
          <w:w w:val="105"/>
          <w:sz w:val="21"/>
        </w:rPr>
        <w:t>Strategic</w:t>
      </w:r>
      <w:r>
        <w:rPr>
          <w:i/>
          <w:color w:val="231F20"/>
          <w:spacing w:val="-35"/>
          <w:w w:val="105"/>
          <w:sz w:val="21"/>
        </w:rPr>
        <w:t> </w:t>
      </w:r>
      <w:r>
        <w:rPr>
          <w:i/>
          <w:color w:val="231F20"/>
          <w:w w:val="105"/>
          <w:sz w:val="21"/>
        </w:rPr>
        <w:t>Managment</w:t>
      </w:r>
      <w:r>
        <w:rPr>
          <w:i/>
          <w:color w:val="231F20"/>
          <w:spacing w:val="-36"/>
          <w:w w:val="105"/>
          <w:sz w:val="21"/>
        </w:rPr>
        <w:t> </w:t>
      </w:r>
      <w:r>
        <w:rPr>
          <w:i/>
          <w:color w:val="231F20"/>
          <w:w w:val="105"/>
          <w:sz w:val="21"/>
        </w:rPr>
        <w:t>Journal,</w:t>
      </w:r>
      <w:r>
        <w:rPr>
          <w:i/>
          <w:color w:val="231F20"/>
          <w:spacing w:val="-38"/>
          <w:w w:val="105"/>
          <w:sz w:val="21"/>
        </w:rPr>
        <w:t> </w:t>
      </w:r>
      <w:r>
        <w:rPr>
          <w:i/>
          <w:color w:val="231F20"/>
          <w:w w:val="105"/>
          <w:sz w:val="21"/>
        </w:rPr>
        <w:t>18</w:t>
      </w:r>
      <w:r>
        <w:rPr>
          <w:color w:val="231F20"/>
          <w:w w:val="105"/>
          <w:sz w:val="21"/>
        </w:rPr>
        <w:t>(7),</w:t>
      </w:r>
      <w:r>
        <w:rPr>
          <w:color w:val="231F20"/>
          <w:spacing w:val="-38"/>
          <w:w w:val="105"/>
          <w:sz w:val="21"/>
        </w:rPr>
        <w:t> </w:t>
      </w:r>
      <w:r>
        <w:rPr>
          <w:color w:val="231F20"/>
          <w:w w:val="105"/>
          <w:sz w:val="21"/>
        </w:rPr>
        <w:t>509-533.</w:t>
      </w:r>
    </w:p>
    <w:p>
      <w:pPr>
        <w:spacing w:line="259" w:lineRule="auto" w:before="0"/>
        <w:ind w:left="854" w:right="121" w:hanging="738"/>
        <w:jc w:val="both"/>
        <w:rPr>
          <w:sz w:val="21"/>
        </w:rPr>
      </w:pPr>
      <w:r>
        <w:rPr>
          <w:color w:val="231F20"/>
          <w:sz w:val="21"/>
        </w:rPr>
        <w:t>Van der Ploeg, F., y Venables, A. (2009). “Harnessing Windfall Revenues: Optimal Policies for Resource-Rich Developing Economies”. </w:t>
      </w:r>
      <w:r>
        <w:rPr>
          <w:i/>
          <w:color w:val="231F20"/>
          <w:sz w:val="21"/>
        </w:rPr>
        <w:t>CE- </w:t>
      </w:r>
      <w:r>
        <w:rPr>
          <w:i/>
          <w:color w:val="231F20"/>
          <w:sz w:val="21"/>
        </w:rPr>
        <w:t>SIFO Working Paper  2571, Category 1: Public Finance</w:t>
      </w:r>
      <w:r>
        <w:rPr>
          <w:color w:val="231F20"/>
          <w:sz w:val="21"/>
        </w:rPr>
        <w:t>.</w:t>
      </w:r>
    </w:p>
    <w:p>
      <w:pPr>
        <w:spacing w:line="259" w:lineRule="auto" w:before="0"/>
        <w:ind w:left="854" w:right="121" w:hanging="738"/>
        <w:jc w:val="both"/>
        <w:rPr>
          <w:i/>
          <w:sz w:val="21"/>
        </w:rPr>
      </w:pPr>
      <w:r>
        <w:rPr>
          <w:color w:val="231F20"/>
          <w:sz w:val="21"/>
        </w:rPr>
        <w:t>Venables,</w:t>
      </w:r>
      <w:r>
        <w:rPr>
          <w:color w:val="231F20"/>
          <w:spacing w:val="-16"/>
          <w:sz w:val="21"/>
        </w:rPr>
        <w:t> </w:t>
      </w:r>
      <w:r>
        <w:rPr>
          <w:color w:val="231F20"/>
          <w:sz w:val="21"/>
        </w:rPr>
        <w:t>A.</w:t>
      </w:r>
      <w:r>
        <w:rPr>
          <w:color w:val="231F20"/>
          <w:spacing w:val="-11"/>
          <w:sz w:val="21"/>
        </w:rPr>
        <w:t> </w:t>
      </w:r>
      <w:r>
        <w:rPr>
          <w:color w:val="231F20"/>
          <w:sz w:val="21"/>
        </w:rPr>
        <w:t>(2010).</w:t>
      </w:r>
      <w:r>
        <w:rPr>
          <w:color w:val="231F20"/>
          <w:spacing w:val="-11"/>
          <w:sz w:val="21"/>
        </w:rPr>
        <w:t> </w:t>
      </w:r>
      <w:r>
        <w:rPr>
          <w:color w:val="231F20"/>
          <w:sz w:val="21"/>
        </w:rPr>
        <w:t>“Resource</w:t>
      </w:r>
      <w:r>
        <w:rPr>
          <w:color w:val="231F20"/>
          <w:spacing w:val="-4"/>
          <w:sz w:val="21"/>
        </w:rPr>
        <w:t> </w:t>
      </w:r>
      <w:r>
        <w:rPr>
          <w:color w:val="231F20"/>
          <w:sz w:val="21"/>
        </w:rPr>
        <w:t>rents;</w:t>
      </w:r>
      <w:r>
        <w:rPr>
          <w:color w:val="231F20"/>
          <w:spacing w:val="-4"/>
          <w:sz w:val="21"/>
        </w:rPr>
        <w:t> </w:t>
      </w:r>
      <w:r>
        <w:rPr>
          <w:color w:val="231F20"/>
          <w:sz w:val="21"/>
        </w:rPr>
        <w:t>when</w:t>
      </w:r>
      <w:r>
        <w:rPr>
          <w:color w:val="231F20"/>
          <w:spacing w:val="-4"/>
          <w:sz w:val="21"/>
        </w:rPr>
        <w:t> </w:t>
      </w:r>
      <w:r>
        <w:rPr>
          <w:color w:val="231F20"/>
          <w:sz w:val="21"/>
        </w:rPr>
        <w:t>to</w:t>
      </w:r>
      <w:r>
        <w:rPr>
          <w:color w:val="231F20"/>
          <w:spacing w:val="-4"/>
          <w:sz w:val="21"/>
        </w:rPr>
        <w:t> </w:t>
      </w:r>
      <w:r>
        <w:rPr>
          <w:color w:val="231F20"/>
          <w:sz w:val="21"/>
        </w:rPr>
        <w:t>spent</w:t>
      </w:r>
      <w:r>
        <w:rPr>
          <w:color w:val="231F20"/>
          <w:spacing w:val="-4"/>
          <w:sz w:val="21"/>
        </w:rPr>
        <w:t> </w:t>
      </w:r>
      <w:r>
        <w:rPr>
          <w:color w:val="231F20"/>
          <w:sz w:val="21"/>
        </w:rPr>
        <w:t>and</w:t>
      </w:r>
      <w:r>
        <w:rPr>
          <w:color w:val="231F20"/>
          <w:spacing w:val="-4"/>
          <w:sz w:val="21"/>
        </w:rPr>
        <w:t> </w:t>
      </w:r>
      <w:r>
        <w:rPr>
          <w:color w:val="231F20"/>
          <w:sz w:val="21"/>
        </w:rPr>
        <w:t>how</w:t>
      </w:r>
      <w:r>
        <w:rPr>
          <w:color w:val="231F20"/>
          <w:spacing w:val="-4"/>
          <w:sz w:val="21"/>
        </w:rPr>
        <w:t> </w:t>
      </w:r>
      <w:r>
        <w:rPr>
          <w:color w:val="231F20"/>
          <w:sz w:val="21"/>
        </w:rPr>
        <w:t>to</w:t>
      </w:r>
      <w:r>
        <w:rPr>
          <w:color w:val="231F20"/>
          <w:spacing w:val="-4"/>
          <w:sz w:val="21"/>
        </w:rPr>
        <w:t> </w:t>
      </w:r>
      <w:r>
        <w:rPr>
          <w:color w:val="231F20"/>
          <w:spacing w:val="-5"/>
          <w:sz w:val="21"/>
        </w:rPr>
        <w:t>save”.</w:t>
      </w:r>
      <w:r>
        <w:rPr>
          <w:color w:val="231F20"/>
          <w:spacing w:val="-11"/>
          <w:sz w:val="21"/>
        </w:rPr>
        <w:t> </w:t>
      </w:r>
      <w:r>
        <w:rPr>
          <w:i/>
          <w:color w:val="231F20"/>
          <w:sz w:val="21"/>
        </w:rPr>
        <w:t>Ox- </w:t>
      </w:r>
      <w:r>
        <w:rPr>
          <w:i/>
          <w:color w:val="231F20"/>
          <w:sz w:val="21"/>
        </w:rPr>
        <w:t>ford Centre for the Analysis of Resource Rich Countries,</w:t>
      </w:r>
      <w:r>
        <w:rPr>
          <w:i/>
          <w:color w:val="231F20"/>
          <w:spacing w:val="43"/>
          <w:sz w:val="21"/>
        </w:rPr>
        <w:t> </w:t>
      </w:r>
      <w:r>
        <w:rPr>
          <w:i/>
          <w:color w:val="231F20"/>
          <w:sz w:val="21"/>
        </w:rPr>
        <w:t>13/5/10.</w:t>
      </w:r>
    </w:p>
    <w:p>
      <w:pPr>
        <w:spacing w:line="259" w:lineRule="auto" w:before="0"/>
        <w:ind w:left="854" w:right="121" w:hanging="738"/>
        <w:jc w:val="both"/>
        <w:rPr>
          <w:sz w:val="21"/>
        </w:rPr>
      </w:pPr>
      <w:r>
        <w:rPr>
          <w:color w:val="231F20"/>
          <w:w w:val="105"/>
          <w:sz w:val="21"/>
        </w:rPr>
        <w:t>Villafuerte,</w:t>
      </w:r>
      <w:r>
        <w:rPr>
          <w:color w:val="231F20"/>
          <w:spacing w:val="-36"/>
          <w:w w:val="105"/>
          <w:sz w:val="21"/>
        </w:rPr>
        <w:t> </w:t>
      </w:r>
      <w:r>
        <w:rPr>
          <w:color w:val="231F20"/>
          <w:w w:val="105"/>
          <w:sz w:val="21"/>
        </w:rPr>
        <w:t>M.,</w:t>
      </w:r>
      <w:r>
        <w:rPr>
          <w:color w:val="231F20"/>
          <w:spacing w:val="-36"/>
          <w:w w:val="105"/>
          <w:sz w:val="21"/>
        </w:rPr>
        <w:t> </w:t>
      </w:r>
      <w:r>
        <w:rPr>
          <w:color w:val="231F20"/>
          <w:w w:val="105"/>
          <w:sz w:val="21"/>
        </w:rPr>
        <w:t>López,</w:t>
      </w:r>
      <w:r>
        <w:rPr>
          <w:color w:val="231F20"/>
          <w:spacing w:val="-36"/>
          <w:w w:val="105"/>
          <w:sz w:val="21"/>
        </w:rPr>
        <w:t> </w:t>
      </w:r>
      <w:r>
        <w:rPr>
          <w:color w:val="231F20"/>
          <w:spacing w:val="-11"/>
          <w:w w:val="105"/>
          <w:sz w:val="21"/>
        </w:rPr>
        <w:t>P.,</w:t>
      </w:r>
      <w:r>
        <w:rPr>
          <w:color w:val="231F20"/>
          <w:spacing w:val="-36"/>
          <w:w w:val="105"/>
          <w:sz w:val="21"/>
        </w:rPr>
        <w:t> </w:t>
      </w:r>
      <w:r>
        <w:rPr>
          <w:color w:val="231F20"/>
          <w:w w:val="105"/>
          <w:sz w:val="21"/>
        </w:rPr>
        <w:t>y</w:t>
      </w:r>
      <w:r>
        <w:rPr>
          <w:color w:val="231F20"/>
          <w:spacing w:val="-33"/>
          <w:w w:val="105"/>
          <w:sz w:val="21"/>
        </w:rPr>
        <w:t> </w:t>
      </w:r>
      <w:r>
        <w:rPr>
          <w:color w:val="231F20"/>
          <w:w w:val="105"/>
          <w:sz w:val="21"/>
        </w:rPr>
        <w:t>Ossowski,</w:t>
      </w:r>
      <w:r>
        <w:rPr>
          <w:color w:val="231F20"/>
          <w:spacing w:val="-36"/>
          <w:w w:val="105"/>
          <w:sz w:val="21"/>
        </w:rPr>
        <w:t> </w:t>
      </w:r>
      <w:r>
        <w:rPr>
          <w:color w:val="231F20"/>
          <w:w w:val="105"/>
          <w:sz w:val="21"/>
        </w:rPr>
        <w:t>R.</w:t>
      </w:r>
      <w:r>
        <w:rPr>
          <w:color w:val="231F20"/>
          <w:spacing w:val="-36"/>
          <w:w w:val="105"/>
          <w:sz w:val="21"/>
        </w:rPr>
        <w:t> </w:t>
      </w:r>
      <w:r>
        <w:rPr>
          <w:color w:val="231F20"/>
          <w:w w:val="105"/>
          <w:sz w:val="21"/>
        </w:rPr>
        <w:t>(2011).</w:t>
      </w:r>
      <w:r>
        <w:rPr>
          <w:color w:val="231F20"/>
          <w:spacing w:val="-36"/>
          <w:w w:val="105"/>
          <w:sz w:val="21"/>
        </w:rPr>
        <w:t> </w:t>
      </w:r>
      <w:r>
        <w:rPr>
          <w:i/>
          <w:color w:val="231F20"/>
          <w:w w:val="105"/>
          <w:sz w:val="21"/>
        </w:rPr>
        <w:t>Riding</w:t>
      </w:r>
      <w:r>
        <w:rPr>
          <w:i/>
          <w:color w:val="231F20"/>
          <w:spacing w:val="-33"/>
          <w:w w:val="105"/>
          <w:sz w:val="21"/>
        </w:rPr>
        <w:t> </w:t>
      </w:r>
      <w:r>
        <w:rPr>
          <w:i/>
          <w:color w:val="231F20"/>
          <w:w w:val="105"/>
          <w:sz w:val="21"/>
        </w:rPr>
        <w:t>the</w:t>
      </w:r>
      <w:r>
        <w:rPr>
          <w:i/>
          <w:color w:val="231F20"/>
          <w:spacing w:val="-33"/>
          <w:w w:val="105"/>
          <w:sz w:val="21"/>
        </w:rPr>
        <w:t> </w:t>
      </w:r>
      <w:r>
        <w:rPr>
          <w:i/>
          <w:color w:val="231F20"/>
          <w:w w:val="105"/>
          <w:sz w:val="21"/>
        </w:rPr>
        <w:t>Roller</w:t>
      </w:r>
      <w:r>
        <w:rPr>
          <w:i/>
          <w:color w:val="231F20"/>
          <w:spacing w:val="-33"/>
          <w:w w:val="105"/>
          <w:sz w:val="21"/>
        </w:rPr>
        <w:t> </w:t>
      </w:r>
      <w:r>
        <w:rPr>
          <w:i/>
          <w:color w:val="231F20"/>
          <w:w w:val="105"/>
          <w:sz w:val="21"/>
        </w:rPr>
        <w:t>Coaster: </w:t>
      </w:r>
      <w:r>
        <w:rPr>
          <w:i/>
          <w:color w:val="231F20"/>
          <w:w w:val="105"/>
          <w:sz w:val="21"/>
        </w:rPr>
        <w:t>Fiscal</w:t>
      </w:r>
      <w:r>
        <w:rPr>
          <w:i/>
          <w:color w:val="231F20"/>
          <w:spacing w:val="-17"/>
          <w:w w:val="105"/>
          <w:sz w:val="21"/>
        </w:rPr>
        <w:t> </w:t>
      </w:r>
      <w:r>
        <w:rPr>
          <w:i/>
          <w:color w:val="231F20"/>
          <w:w w:val="105"/>
          <w:sz w:val="21"/>
        </w:rPr>
        <w:t>policies</w:t>
      </w:r>
      <w:r>
        <w:rPr>
          <w:i/>
          <w:color w:val="231F20"/>
          <w:spacing w:val="-17"/>
          <w:w w:val="105"/>
          <w:sz w:val="21"/>
        </w:rPr>
        <w:t> </w:t>
      </w:r>
      <w:r>
        <w:rPr>
          <w:i/>
          <w:color w:val="231F20"/>
          <w:w w:val="105"/>
          <w:sz w:val="21"/>
        </w:rPr>
        <w:t>of</w:t>
      </w:r>
      <w:r>
        <w:rPr>
          <w:i/>
          <w:color w:val="231F20"/>
          <w:spacing w:val="-13"/>
          <w:w w:val="105"/>
          <w:sz w:val="21"/>
        </w:rPr>
        <w:t> </w:t>
      </w:r>
      <w:r>
        <w:rPr>
          <w:i/>
          <w:color w:val="231F20"/>
          <w:w w:val="105"/>
          <w:sz w:val="21"/>
        </w:rPr>
        <w:t>non-nonrenewable</w:t>
      </w:r>
      <w:r>
        <w:rPr>
          <w:i/>
          <w:color w:val="231F20"/>
          <w:spacing w:val="-17"/>
          <w:w w:val="105"/>
          <w:sz w:val="21"/>
        </w:rPr>
        <w:t> </w:t>
      </w:r>
      <w:r>
        <w:rPr>
          <w:i/>
          <w:color w:val="231F20"/>
          <w:w w:val="105"/>
          <w:sz w:val="21"/>
        </w:rPr>
        <w:t>resources</w:t>
      </w:r>
      <w:r>
        <w:rPr>
          <w:i/>
          <w:color w:val="231F20"/>
          <w:spacing w:val="-17"/>
          <w:w w:val="105"/>
          <w:sz w:val="21"/>
        </w:rPr>
        <w:t> </w:t>
      </w:r>
      <w:r>
        <w:rPr>
          <w:i/>
          <w:color w:val="231F20"/>
          <w:w w:val="105"/>
          <w:sz w:val="21"/>
        </w:rPr>
        <w:t>exporters</w:t>
      </w:r>
      <w:r>
        <w:rPr>
          <w:i/>
          <w:color w:val="231F20"/>
          <w:spacing w:val="-17"/>
          <w:w w:val="105"/>
          <w:sz w:val="21"/>
        </w:rPr>
        <w:t> </w:t>
      </w:r>
      <w:r>
        <w:rPr>
          <w:i/>
          <w:color w:val="231F20"/>
          <w:w w:val="105"/>
          <w:sz w:val="21"/>
        </w:rPr>
        <w:t>in</w:t>
      </w:r>
      <w:r>
        <w:rPr>
          <w:i/>
          <w:color w:val="231F20"/>
          <w:spacing w:val="-17"/>
          <w:w w:val="105"/>
          <w:sz w:val="21"/>
        </w:rPr>
        <w:t> </w:t>
      </w:r>
      <w:r>
        <w:rPr>
          <w:i/>
          <w:color w:val="231F20"/>
          <w:w w:val="105"/>
          <w:sz w:val="21"/>
        </w:rPr>
        <w:t>Latin American</w:t>
      </w:r>
      <w:r>
        <w:rPr>
          <w:i/>
          <w:color w:val="231F20"/>
          <w:spacing w:val="-20"/>
          <w:w w:val="105"/>
          <w:sz w:val="21"/>
        </w:rPr>
        <w:t> </w:t>
      </w:r>
      <w:r>
        <w:rPr>
          <w:i/>
          <w:color w:val="231F20"/>
          <w:w w:val="105"/>
          <w:sz w:val="21"/>
        </w:rPr>
        <w:t>and</w:t>
      </w:r>
      <w:r>
        <w:rPr>
          <w:i/>
          <w:color w:val="231F20"/>
          <w:spacing w:val="-20"/>
          <w:w w:val="105"/>
          <w:sz w:val="21"/>
        </w:rPr>
        <w:t> </w:t>
      </w:r>
      <w:r>
        <w:rPr>
          <w:i/>
          <w:color w:val="231F20"/>
          <w:w w:val="105"/>
          <w:sz w:val="21"/>
        </w:rPr>
        <w:t>the</w:t>
      </w:r>
      <w:r>
        <w:rPr>
          <w:i/>
          <w:color w:val="231F20"/>
          <w:spacing w:val="-20"/>
          <w:w w:val="105"/>
          <w:sz w:val="21"/>
        </w:rPr>
        <w:t> </w:t>
      </w:r>
      <w:r>
        <w:rPr>
          <w:i/>
          <w:color w:val="231F20"/>
          <w:w w:val="105"/>
          <w:sz w:val="21"/>
        </w:rPr>
        <w:t>Caribbean.</w:t>
      </w:r>
      <w:r>
        <w:rPr>
          <w:i/>
          <w:color w:val="231F20"/>
          <w:spacing w:val="-20"/>
          <w:w w:val="105"/>
          <w:sz w:val="21"/>
        </w:rPr>
        <w:t> </w:t>
      </w:r>
      <w:r>
        <w:rPr>
          <w:color w:val="231F20"/>
          <w:w w:val="105"/>
          <w:sz w:val="21"/>
        </w:rPr>
        <w:t>Banco</w:t>
      </w:r>
      <w:r>
        <w:rPr>
          <w:color w:val="231F20"/>
          <w:spacing w:val="-20"/>
          <w:w w:val="105"/>
          <w:sz w:val="21"/>
        </w:rPr>
        <w:t> </w:t>
      </w:r>
      <w:r>
        <w:rPr>
          <w:color w:val="231F20"/>
          <w:w w:val="105"/>
          <w:sz w:val="21"/>
        </w:rPr>
        <w:t>Central</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Chile,</w:t>
      </w:r>
      <w:r>
        <w:rPr>
          <w:color w:val="231F20"/>
          <w:spacing w:val="-24"/>
          <w:w w:val="105"/>
          <w:sz w:val="21"/>
        </w:rPr>
        <w:t> </w:t>
      </w:r>
      <w:r>
        <w:rPr>
          <w:color w:val="231F20"/>
          <w:w w:val="105"/>
          <w:sz w:val="21"/>
        </w:rPr>
        <w:t>Documen- tos de trabajo Nº</w:t>
      </w:r>
      <w:r>
        <w:rPr>
          <w:color w:val="231F20"/>
          <w:spacing w:val="-42"/>
          <w:w w:val="105"/>
          <w:sz w:val="21"/>
        </w:rPr>
        <w:t> </w:t>
      </w:r>
      <w:r>
        <w:rPr>
          <w:color w:val="231F20"/>
          <w:w w:val="105"/>
          <w:sz w:val="21"/>
        </w:rPr>
        <w:t>609.</w:t>
      </w:r>
    </w:p>
    <w:p>
      <w:pPr>
        <w:spacing w:line="259" w:lineRule="auto" w:before="0"/>
        <w:ind w:left="854" w:right="121" w:hanging="738"/>
        <w:jc w:val="both"/>
        <w:rPr>
          <w:sz w:val="21"/>
        </w:rPr>
      </w:pPr>
      <w:r>
        <w:rPr>
          <w:color w:val="231F20"/>
          <w:sz w:val="21"/>
        </w:rPr>
        <w:t>Williamson, </w:t>
      </w:r>
      <w:r>
        <w:rPr>
          <w:color w:val="231F20"/>
          <w:spacing w:val="-6"/>
          <w:sz w:val="21"/>
        </w:rPr>
        <w:t>O. </w:t>
      </w:r>
      <w:r>
        <w:rPr>
          <w:color w:val="231F20"/>
          <w:sz w:val="21"/>
        </w:rPr>
        <w:t>(1996). </w:t>
      </w:r>
      <w:r>
        <w:rPr>
          <w:i/>
          <w:color w:val="231F20"/>
          <w:sz w:val="21"/>
        </w:rPr>
        <w:t>The Mechanisms of Governance</w:t>
      </w:r>
      <w:r>
        <w:rPr>
          <w:color w:val="231F20"/>
          <w:sz w:val="21"/>
        </w:rPr>
        <w:t>. New </w:t>
      </w:r>
      <w:r>
        <w:rPr>
          <w:color w:val="231F20"/>
          <w:spacing w:val="-4"/>
          <w:sz w:val="21"/>
        </w:rPr>
        <w:t>York: </w:t>
      </w:r>
      <w:r>
        <w:rPr>
          <w:color w:val="231F20"/>
          <w:sz w:val="21"/>
        </w:rPr>
        <w:t>Oxford University </w:t>
      </w:r>
      <w:r>
        <w:rPr>
          <w:color w:val="231F20"/>
          <w:spacing w:val="-3"/>
          <w:sz w:val="21"/>
        </w:rPr>
        <w:t>Press.</w:t>
      </w:r>
    </w:p>
    <w:p>
      <w:pPr>
        <w:spacing w:after="0" w:line="259" w:lineRule="auto"/>
        <w:jc w:val="both"/>
        <w:rPr>
          <w:sz w:val="21"/>
        </w:rPr>
        <w:sectPr>
          <w:type w:val="continuous"/>
          <w:pgSz w:w="9640" w:h="13890"/>
          <w:pgMar w:top="130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4695">
            <wp:simplePos x="0" y="0"/>
            <wp:positionH relativeFrom="page">
              <wp:posOffset>7200</wp:posOffset>
            </wp:positionH>
            <wp:positionV relativeFrom="page">
              <wp:posOffset>0</wp:posOffset>
            </wp:positionV>
            <wp:extent cx="6112802" cy="8819997"/>
            <wp:effectExtent l="0" t="0" r="0" b="0"/>
            <wp:wrapNone/>
            <wp:docPr id="47" name="image11.png" descr=""/>
            <wp:cNvGraphicFramePr>
              <a:graphicFrameLocks noChangeAspect="1"/>
            </wp:cNvGraphicFramePr>
            <a:graphic>
              <a:graphicData uri="http://schemas.openxmlformats.org/drawingml/2006/picture">
                <pic:pic>
                  <pic:nvPicPr>
                    <pic:cNvPr id="48"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8"/>
        </w:rPr>
      </w:pPr>
    </w:p>
    <w:p>
      <w:pPr>
        <w:pStyle w:val="Heading1"/>
        <w:numPr>
          <w:ilvl w:val="0"/>
          <w:numId w:val="55"/>
        </w:numPr>
        <w:tabs>
          <w:tab w:pos="1746" w:val="left" w:leader="none"/>
        </w:tabs>
        <w:spacing w:line="288" w:lineRule="exact" w:before="38" w:after="0"/>
        <w:ind w:left="469" w:right="3344" w:firstLine="949"/>
        <w:jc w:val="right"/>
        <w:rPr>
          <w:color w:val="FFFFFF"/>
        </w:rPr>
      </w:pPr>
      <w:r>
        <w:rPr>
          <w:color w:val="FFFFFF"/>
          <w:w w:val="105"/>
        </w:rPr>
        <w:t>ADMINISTRACIÓN</w:t>
      </w:r>
      <w:r>
        <w:rPr>
          <w:color w:val="FFFFFF"/>
          <w:spacing w:val="-5"/>
          <w:w w:val="105"/>
        </w:rPr>
        <w:t> </w:t>
      </w:r>
      <w:r>
        <w:rPr>
          <w:color w:val="FFFFFF"/>
          <w:w w:val="105"/>
        </w:rPr>
        <w:t>DE</w:t>
      </w:r>
      <w:r>
        <w:rPr>
          <w:color w:val="FFFFFF"/>
          <w:w w:val="108"/>
        </w:rPr>
        <w:t> </w:t>
      </w:r>
      <w:r>
        <w:rPr>
          <w:color w:val="FFFFFF"/>
          <w:w w:val="105"/>
        </w:rPr>
        <w:t>RIESftOS A </w:t>
      </w:r>
      <w:r>
        <w:rPr>
          <w:color w:val="FFFFFF"/>
          <w:spacing w:val="-5"/>
          <w:w w:val="105"/>
        </w:rPr>
        <w:t>TRAVÉS</w:t>
      </w:r>
      <w:r>
        <w:rPr>
          <w:color w:val="FFFFFF"/>
          <w:spacing w:val="24"/>
          <w:w w:val="105"/>
        </w:rPr>
        <w:t> </w:t>
      </w:r>
      <w:r>
        <w:rPr>
          <w:color w:val="FFFFFF"/>
          <w:w w:val="105"/>
        </w:rPr>
        <w:t>DE</w:t>
      </w:r>
      <w:r>
        <w:rPr>
          <w:color w:val="FFFFFF"/>
          <w:spacing w:val="25"/>
          <w:w w:val="105"/>
        </w:rPr>
        <w:t> </w:t>
      </w:r>
      <w:r>
        <w:rPr>
          <w:color w:val="FFFFFF"/>
          <w:w w:val="105"/>
        </w:rPr>
        <w:t>OPCIONES</w:t>
      </w:r>
      <w:r>
        <w:rPr>
          <w:color w:val="FFFFFF"/>
          <w:w w:val="107"/>
        </w:rPr>
        <w:t> </w:t>
      </w:r>
      <w:r>
        <w:rPr>
          <w:color w:val="FFFFFF"/>
          <w:w w:val="105"/>
        </w:rPr>
        <w:t>SOBRE TIPO DE</w:t>
      </w:r>
      <w:r>
        <w:rPr>
          <w:color w:val="FFFFFF"/>
          <w:spacing w:val="38"/>
          <w:w w:val="105"/>
        </w:rPr>
        <w:t> </w:t>
      </w:r>
      <w:r>
        <w:rPr>
          <w:color w:val="FFFFFF"/>
          <w:w w:val="105"/>
        </w:rPr>
        <w:t>CAMBIO</w:t>
      </w:r>
    </w:p>
    <w:p>
      <w:pPr>
        <w:spacing w:line="288" w:lineRule="exact" w:before="0"/>
        <w:ind w:left="2003" w:right="3344" w:hanging="650"/>
        <w:jc w:val="right"/>
        <w:rPr>
          <w:rFonts w:ascii="Calibri" w:hAnsi="Calibri"/>
          <w:sz w:val="24"/>
        </w:rPr>
      </w:pPr>
      <w:r>
        <w:rPr>
          <w:rFonts w:ascii="Calibri" w:hAnsi="Calibri"/>
          <w:color w:val="FFFFFF"/>
          <w:w w:val="105"/>
          <w:sz w:val="24"/>
        </w:rPr>
        <w:t>PESO</w:t>
      </w:r>
      <w:r>
        <w:rPr>
          <w:rFonts w:ascii="Calibri" w:hAnsi="Calibri"/>
          <w:color w:val="FFFFFF"/>
          <w:spacing w:val="51"/>
          <w:w w:val="105"/>
          <w:sz w:val="24"/>
        </w:rPr>
        <w:t> </w:t>
      </w:r>
      <w:r>
        <w:rPr>
          <w:rFonts w:ascii="Calibri" w:hAnsi="Calibri"/>
          <w:color w:val="FFFFFF"/>
          <w:w w:val="105"/>
          <w:sz w:val="24"/>
        </w:rPr>
        <w:t>MEXICANO-DÓLAR</w:t>
      </w:r>
      <w:r>
        <w:rPr>
          <w:rFonts w:ascii="Calibri" w:hAnsi="Calibri"/>
          <w:color w:val="FFFFFF"/>
          <w:w w:val="108"/>
          <w:sz w:val="24"/>
        </w:rPr>
        <w:t> </w:t>
      </w:r>
      <w:r>
        <w:rPr>
          <w:rFonts w:ascii="Calibri" w:hAnsi="Calibri"/>
          <w:color w:val="FFFFFF"/>
          <w:spacing w:val="-2"/>
          <w:w w:val="105"/>
          <w:sz w:val="24"/>
        </w:rPr>
        <w:t>ESTADOUNIDENSE</w:t>
      </w:r>
    </w:p>
    <w:p>
      <w:pPr>
        <w:pStyle w:val="Heading3"/>
        <w:spacing w:before="143"/>
      </w:pPr>
      <w:r>
        <w:rPr>
          <w:color w:val="FFFFFF"/>
          <w:w w:val="105"/>
        </w:rPr>
        <w:t>María de Lourdes Nájera López Máximo Augusto Agüero Granados</w:t>
      </w:r>
    </w:p>
    <w:p>
      <w:pPr>
        <w:spacing w:after="0"/>
        <w:sectPr>
          <w:pgSz w:w="9640" w:h="13890"/>
          <w:pgMar w:top="1300" w:bottom="280" w:left="1340" w:right="102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spacing w:before="54"/>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15"/>
        <w:jc w:val="both"/>
      </w:pPr>
      <w:r>
        <w:rPr/>
        <w:pict>
          <v:shape style="position:absolute;margin-left:82.667099pt;margin-top:13.282507pt;width:31.2pt;height:51pt;mso-position-horizontal-relative:page;mso-position-vertical-relative:paragraph;z-index:7192"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L</w:t>
                  </w:r>
                </w:p>
              </w:txbxContent>
            </v:textbox>
            <w10:wrap type="none"/>
          </v:shape>
        </w:pict>
      </w:r>
      <w:r>
        <w:rPr>
          <w:color w:val="231F20"/>
          <w:w w:val="105"/>
        </w:rPr>
        <w:t>a</w:t>
      </w:r>
      <w:r>
        <w:rPr>
          <w:color w:val="231F20"/>
          <w:spacing w:val="-15"/>
          <w:w w:val="105"/>
        </w:rPr>
        <w:t> </w:t>
      </w:r>
      <w:r>
        <w:rPr>
          <w:color w:val="231F20"/>
          <w:w w:val="105"/>
        </w:rPr>
        <w:t>administración</w:t>
      </w:r>
      <w:r>
        <w:rPr>
          <w:color w:val="231F20"/>
          <w:spacing w:val="-15"/>
          <w:w w:val="105"/>
        </w:rPr>
        <w:t> </w:t>
      </w:r>
      <w:r>
        <w:rPr>
          <w:color w:val="231F20"/>
          <w:w w:val="105"/>
        </w:rPr>
        <w:t>de</w:t>
      </w:r>
      <w:r>
        <w:rPr>
          <w:color w:val="231F20"/>
          <w:spacing w:val="-15"/>
          <w:w w:val="105"/>
        </w:rPr>
        <w:t> </w:t>
      </w:r>
      <w:r>
        <w:rPr>
          <w:color w:val="231F20"/>
          <w:w w:val="105"/>
        </w:rPr>
        <w:t>riesgos,</w:t>
      </w:r>
      <w:r>
        <w:rPr>
          <w:color w:val="231F20"/>
          <w:spacing w:val="-21"/>
          <w:w w:val="105"/>
        </w:rPr>
        <w:t> </w:t>
      </w:r>
      <w:r>
        <w:rPr>
          <w:color w:val="231F20"/>
          <w:w w:val="105"/>
        </w:rPr>
        <w:t>particularmente</w:t>
      </w:r>
      <w:r>
        <w:rPr>
          <w:color w:val="231F20"/>
          <w:spacing w:val="-15"/>
          <w:w w:val="105"/>
        </w:rPr>
        <w:t> </w:t>
      </w:r>
      <w:r>
        <w:rPr>
          <w:color w:val="231F20"/>
          <w:w w:val="105"/>
        </w:rPr>
        <w:t>las</w:t>
      </w:r>
      <w:r>
        <w:rPr>
          <w:color w:val="231F20"/>
          <w:spacing w:val="-15"/>
          <w:w w:val="105"/>
        </w:rPr>
        <w:t> </w:t>
      </w:r>
      <w:r>
        <w:rPr>
          <w:color w:val="231F20"/>
          <w:w w:val="105"/>
        </w:rPr>
        <w:t>opciones,</w:t>
      </w:r>
      <w:r>
        <w:rPr>
          <w:color w:val="231F20"/>
          <w:spacing w:val="-21"/>
          <w:w w:val="105"/>
        </w:rPr>
        <w:t> </w:t>
      </w:r>
      <w:r>
        <w:rPr>
          <w:color w:val="231F20"/>
          <w:w w:val="105"/>
        </w:rPr>
        <w:t>se ha</w:t>
      </w:r>
      <w:r>
        <w:rPr>
          <w:color w:val="231F20"/>
          <w:spacing w:val="-7"/>
          <w:w w:val="105"/>
        </w:rPr>
        <w:t> </w:t>
      </w:r>
      <w:r>
        <w:rPr>
          <w:color w:val="231F20"/>
          <w:w w:val="105"/>
        </w:rPr>
        <w:t>convertido</w:t>
      </w:r>
      <w:r>
        <w:rPr>
          <w:color w:val="231F20"/>
          <w:spacing w:val="-7"/>
          <w:w w:val="105"/>
        </w:rPr>
        <w:t> </w:t>
      </w:r>
      <w:r>
        <w:rPr>
          <w:color w:val="231F20"/>
          <w:w w:val="105"/>
        </w:rPr>
        <w:t>en</w:t>
      </w:r>
      <w:r>
        <w:rPr>
          <w:color w:val="231F20"/>
          <w:spacing w:val="-7"/>
          <w:w w:val="105"/>
        </w:rPr>
        <w:t> </w:t>
      </w:r>
      <w:r>
        <w:rPr>
          <w:color w:val="231F20"/>
          <w:w w:val="105"/>
        </w:rPr>
        <w:t>una</w:t>
      </w:r>
      <w:r>
        <w:rPr>
          <w:color w:val="231F20"/>
          <w:spacing w:val="-7"/>
          <w:w w:val="105"/>
        </w:rPr>
        <w:t> </w:t>
      </w:r>
      <w:r>
        <w:rPr>
          <w:color w:val="231F20"/>
          <w:w w:val="105"/>
        </w:rPr>
        <w:t>característica</w:t>
      </w:r>
      <w:r>
        <w:rPr>
          <w:color w:val="231F20"/>
          <w:spacing w:val="-7"/>
          <w:w w:val="105"/>
        </w:rPr>
        <w:t> </w:t>
      </w:r>
      <w:r>
        <w:rPr>
          <w:color w:val="231F20"/>
          <w:w w:val="105"/>
        </w:rPr>
        <w:t>general</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mercados financieros.</w:t>
      </w:r>
      <w:r>
        <w:rPr>
          <w:color w:val="231F20"/>
          <w:spacing w:val="-32"/>
          <w:w w:val="105"/>
        </w:rPr>
        <w:t> </w:t>
      </w:r>
      <w:r>
        <w:rPr>
          <w:color w:val="231F20"/>
          <w:w w:val="105"/>
        </w:rPr>
        <w:t>Es</w:t>
      </w:r>
      <w:r>
        <w:rPr>
          <w:color w:val="231F20"/>
          <w:spacing w:val="-27"/>
          <w:w w:val="105"/>
        </w:rPr>
        <w:t> </w:t>
      </w:r>
      <w:r>
        <w:rPr>
          <w:color w:val="231F20"/>
          <w:w w:val="105"/>
        </w:rPr>
        <w:t>por</w:t>
      </w:r>
      <w:r>
        <w:rPr>
          <w:color w:val="231F20"/>
          <w:spacing w:val="-27"/>
          <w:w w:val="105"/>
        </w:rPr>
        <w:t> </w:t>
      </w:r>
      <w:r>
        <w:rPr>
          <w:color w:val="231F20"/>
          <w:w w:val="105"/>
        </w:rPr>
        <w:t>ello</w:t>
      </w:r>
      <w:r>
        <w:rPr>
          <w:color w:val="231F20"/>
          <w:spacing w:val="-27"/>
          <w:w w:val="105"/>
        </w:rPr>
        <w:t> </w:t>
      </w:r>
      <w:r>
        <w:rPr>
          <w:color w:val="231F20"/>
          <w:w w:val="105"/>
        </w:rPr>
        <w:t>que</w:t>
      </w:r>
      <w:r>
        <w:rPr>
          <w:color w:val="231F20"/>
          <w:spacing w:val="-27"/>
          <w:w w:val="105"/>
        </w:rPr>
        <w:t> </w:t>
      </w:r>
      <w:r>
        <w:rPr>
          <w:color w:val="231F20"/>
          <w:w w:val="105"/>
        </w:rPr>
        <w:t>en</w:t>
      </w:r>
      <w:r>
        <w:rPr>
          <w:color w:val="231F20"/>
          <w:spacing w:val="-27"/>
          <w:w w:val="105"/>
        </w:rPr>
        <w:t> </w:t>
      </w:r>
      <w:r>
        <w:rPr>
          <w:color w:val="231F20"/>
          <w:w w:val="105"/>
        </w:rPr>
        <w:t>este</w:t>
      </w:r>
      <w:r>
        <w:rPr>
          <w:color w:val="231F20"/>
          <w:spacing w:val="-27"/>
          <w:w w:val="105"/>
        </w:rPr>
        <w:t> </w:t>
      </w:r>
      <w:r>
        <w:rPr>
          <w:color w:val="231F20"/>
          <w:w w:val="105"/>
        </w:rPr>
        <w:t>trabajo</w:t>
      </w:r>
      <w:r>
        <w:rPr>
          <w:color w:val="231F20"/>
          <w:spacing w:val="-27"/>
          <w:w w:val="105"/>
        </w:rPr>
        <w:t> </w:t>
      </w:r>
      <w:r>
        <w:rPr>
          <w:color w:val="231F20"/>
          <w:w w:val="105"/>
        </w:rPr>
        <w:t>se</w:t>
      </w:r>
      <w:r>
        <w:rPr>
          <w:color w:val="231F20"/>
          <w:spacing w:val="-27"/>
          <w:w w:val="105"/>
        </w:rPr>
        <w:t> </w:t>
      </w:r>
      <w:r>
        <w:rPr>
          <w:color w:val="231F20"/>
          <w:w w:val="105"/>
        </w:rPr>
        <w:t>examina</w:t>
      </w:r>
      <w:r>
        <w:rPr>
          <w:color w:val="231F20"/>
          <w:spacing w:val="-27"/>
          <w:w w:val="105"/>
        </w:rPr>
        <w:t> </w:t>
      </w:r>
      <w:r>
        <w:rPr>
          <w:color w:val="231F20"/>
          <w:w w:val="105"/>
        </w:rPr>
        <w:t>el</w:t>
      </w:r>
      <w:r>
        <w:rPr>
          <w:color w:val="231F20"/>
          <w:spacing w:val="-27"/>
          <w:w w:val="105"/>
        </w:rPr>
        <w:t> </w:t>
      </w:r>
      <w:r>
        <w:rPr>
          <w:color w:val="231F20"/>
          <w:w w:val="105"/>
        </w:rPr>
        <w:t>com- portamiento del precio de la opción bajo modelos con</w:t>
      </w:r>
      <w:r>
        <w:rPr>
          <w:color w:val="231F20"/>
          <w:spacing w:val="-23"/>
          <w:w w:val="105"/>
        </w:rPr>
        <w:t> </w:t>
      </w:r>
      <w:r>
        <w:rPr>
          <w:color w:val="231F20"/>
          <w:w w:val="105"/>
        </w:rPr>
        <w:t>volati- lidad</w:t>
      </w:r>
      <w:r>
        <w:rPr>
          <w:color w:val="231F20"/>
          <w:spacing w:val="-13"/>
          <w:w w:val="105"/>
        </w:rPr>
        <w:t> </w:t>
      </w:r>
      <w:r>
        <w:rPr>
          <w:color w:val="231F20"/>
          <w:w w:val="105"/>
        </w:rPr>
        <w:t>constante</w:t>
      </w:r>
      <w:r>
        <w:rPr>
          <w:color w:val="231F20"/>
          <w:spacing w:val="-13"/>
          <w:w w:val="105"/>
        </w:rPr>
        <w:t> </w:t>
      </w:r>
      <w:r>
        <w:rPr>
          <w:color w:val="231F20"/>
          <w:w w:val="105"/>
        </w:rPr>
        <w:t>(Black-Scholes,</w:t>
      </w:r>
      <w:r>
        <w:rPr>
          <w:color w:val="231F20"/>
          <w:spacing w:val="-16"/>
          <w:w w:val="105"/>
        </w:rPr>
        <w:t> </w:t>
      </w:r>
      <w:r>
        <w:rPr>
          <w:color w:val="231F20"/>
          <w:w w:val="105"/>
        </w:rPr>
        <w:t>1973)</w:t>
      </w:r>
      <w:r>
        <w:rPr>
          <w:color w:val="231F20"/>
          <w:spacing w:val="-13"/>
          <w:w w:val="105"/>
        </w:rPr>
        <w:t> </w:t>
      </w:r>
      <w:r>
        <w:rPr>
          <w:color w:val="231F20"/>
          <w:w w:val="105"/>
        </w:rPr>
        <w:t>y</w:t>
      </w:r>
      <w:r>
        <w:rPr>
          <w:color w:val="231F20"/>
          <w:spacing w:val="-13"/>
          <w:w w:val="105"/>
        </w:rPr>
        <w:t> </w:t>
      </w:r>
      <w:r>
        <w:rPr>
          <w:color w:val="231F20"/>
          <w:w w:val="105"/>
        </w:rPr>
        <w:t>estocástica</w:t>
      </w:r>
      <w:r>
        <w:rPr>
          <w:color w:val="231F20"/>
          <w:spacing w:val="-13"/>
          <w:w w:val="105"/>
        </w:rPr>
        <w:t> </w:t>
      </w:r>
      <w:r>
        <w:rPr>
          <w:color w:val="231F20"/>
          <w:w w:val="105"/>
        </w:rPr>
        <w:t>(Heston,</w:t>
      </w:r>
    </w:p>
    <w:p>
      <w:pPr>
        <w:pStyle w:val="BodyText"/>
        <w:spacing w:line="259" w:lineRule="auto"/>
        <w:ind w:left="117" w:right="121"/>
        <w:jc w:val="both"/>
      </w:pPr>
      <w:r>
        <w:rPr>
          <w:color w:val="231F20"/>
          <w:w w:val="105"/>
        </w:rPr>
        <w:t>1993) para reducir el riesgo de mercado. A partir de una muestra</w:t>
      </w:r>
      <w:r>
        <w:rPr>
          <w:color w:val="231F20"/>
          <w:spacing w:val="-36"/>
          <w:w w:val="105"/>
        </w:rPr>
        <w:t> </w:t>
      </w:r>
      <w:r>
        <w:rPr>
          <w:color w:val="231F20"/>
          <w:w w:val="105"/>
        </w:rPr>
        <w:t>diaria durante</w:t>
      </w:r>
      <w:r>
        <w:rPr>
          <w:color w:val="231F20"/>
          <w:spacing w:val="-18"/>
          <w:w w:val="105"/>
        </w:rPr>
        <w:t> </w:t>
      </w:r>
      <w:r>
        <w:rPr>
          <w:color w:val="231F20"/>
          <w:w w:val="105"/>
        </w:rPr>
        <w:t>el</w:t>
      </w:r>
      <w:r>
        <w:rPr>
          <w:color w:val="231F20"/>
          <w:spacing w:val="-18"/>
          <w:w w:val="105"/>
        </w:rPr>
        <w:t> </w:t>
      </w:r>
      <w:r>
        <w:rPr>
          <w:color w:val="231F20"/>
          <w:w w:val="105"/>
        </w:rPr>
        <w:t>periodo</w:t>
      </w:r>
      <w:r>
        <w:rPr>
          <w:color w:val="231F20"/>
          <w:spacing w:val="-18"/>
          <w:w w:val="105"/>
        </w:rPr>
        <w:t> </w:t>
      </w:r>
      <w:r>
        <w:rPr>
          <w:color w:val="231F20"/>
          <w:w w:val="105"/>
        </w:rPr>
        <w:t>2003</w:t>
      </w:r>
      <w:r>
        <w:rPr>
          <w:color w:val="231F20"/>
          <w:spacing w:val="-18"/>
          <w:w w:val="105"/>
        </w:rPr>
        <w:t> </w:t>
      </w:r>
      <w:r>
        <w:rPr>
          <w:color w:val="231F20"/>
          <w:w w:val="105"/>
        </w:rPr>
        <w:t>a</w:t>
      </w:r>
      <w:r>
        <w:rPr>
          <w:color w:val="231F20"/>
          <w:spacing w:val="-18"/>
          <w:w w:val="105"/>
        </w:rPr>
        <w:t> </w:t>
      </w:r>
      <w:r>
        <w:rPr>
          <w:color w:val="231F20"/>
          <w:w w:val="105"/>
        </w:rPr>
        <w:t>2012</w:t>
      </w:r>
      <w:r>
        <w:rPr>
          <w:color w:val="231F20"/>
          <w:spacing w:val="-18"/>
          <w:w w:val="105"/>
        </w:rPr>
        <w:t> </w:t>
      </w:r>
      <w:r>
        <w:rPr>
          <w:color w:val="231F20"/>
          <w:w w:val="105"/>
        </w:rPr>
        <w:t>se</w:t>
      </w:r>
      <w:r>
        <w:rPr>
          <w:color w:val="231F20"/>
          <w:spacing w:val="-18"/>
          <w:w w:val="105"/>
        </w:rPr>
        <w:t> </w:t>
      </w:r>
      <w:r>
        <w:rPr>
          <w:color w:val="231F20"/>
          <w:w w:val="105"/>
        </w:rPr>
        <w:t>estimaron</w:t>
      </w:r>
      <w:r>
        <w:rPr>
          <w:color w:val="231F20"/>
          <w:spacing w:val="-18"/>
          <w:w w:val="105"/>
        </w:rPr>
        <w:t> </w:t>
      </w:r>
      <w:r>
        <w:rPr>
          <w:color w:val="231F20"/>
          <w:w w:val="105"/>
        </w:rPr>
        <w:t>los</w:t>
      </w:r>
      <w:r>
        <w:rPr>
          <w:color w:val="231F20"/>
          <w:spacing w:val="-18"/>
          <w:w w:val="105"/>
        </w:rPr>
        <w:t> </w:t>
      </w:r>
      <w:r>
        <w:rPr>
          <w:color w:val="231F20"/>
          <w:w w:val="105"/>
        </w:rPr>
        <w:t>parámetros</w:t>
      </w:r>
      <w:r>
        <w:rPr>
          <w:color w:val="231F20"/>
          <w:spacing w:val="-18"/>
          <w:w w:val="105"/>
        </w:rPr>
        <w:t> </w:t>
      </w:r>
      <w:r>
        <w:rPr>
          <w:color w:val="231F20"/>
          <w:w w:val="105"/>
        </w:rPr>
        <w:t>del</w:t>
      </w:r>
      <w:r>
        <w:rPr>
          <w:color w:val="231F20"/>
          <w:spacing w:val="-18"/>
          <w:w w:val="105"/>
        </w:rPr>
        <w:t> </w:t>
      </w:r>
      <w:r>
        <w:rPr>
          <w:color w:val="231F20"/>
          <w:w w:val="105"/>
        </w:rPr>
        <w:t>proceso de volatilidad estocástica y se calculó la prima de riesgo para</w:t>
      </w:r>
      <w:r>
        <w:rPr>
          <w:color w:val="231F20"/>
          <w:spacing w:val="-13"/>
          <w:w w:val="105"/>
        </w:rPr>
        <w:t> </w:t>
      </w:r>
      <w:r>
        <w:rPr>
          <w:color w:val="231F20"/>
          <w:w w:val="105"/>
        </w:rPr>
        <w:t>opciones del tipo de cambio peso mexicano-dólar estadounidense negociado en el</w:t>
      </w:r>
      <w:r>
        <w:rPr>
          <w:color w:val="231F20"/>
          <w:spacing w:val="-21"/>
          <w:w w:val="105"/>
        </w:rPr>
        <w:t> </w:t>
      </w:r>
      <w:r>
        <w:rPr>
          <w:color w:val="231F20"/>
          <w:w w:val="105"/>
        </w:rPr>
        <w:t>mercado</w:t>
      </w:r>
      <w:r>
        <w:rPr>
          <w:color w:val="231F20"/>
          <w:spacing w:val="-21"/>
          <w:w w:val="105"/>
        </w:rPr>
        <w:t> </w:t>
      </w:r>
      <w:r>
        <w:rPr>
          <w:color w:val="231F20"/>
          <w:w w:val="105"/>
        </w:rPr>
        <w:t>mexicano</w:t>
      </w:r>
      <w:r>
        <w:rPr>
          <w:color w:val="231F20"/>
          <w:spacing w:val="-21"/>
          <w:w w:val="105"/>
        </w:rPr>
        <w:t> </w:t>
      </w:r>
      <w:r>
        <w:rPr>
          <w:color w:val="231F20"/>
          <w:w w:val="105"/>
        </w:rPr>
        <w:t>de</w:t>
      </w:r>
      <w:r>
        <w:rPr>
          <w:color w:val="231F20"/>
          <w:spacing w:val="-21"/>
          <w:w w:val="105"/>
        </w:rPr>
        <w:t> </w:t>
      </w:r>
      <w:r>
        <w:rPr>
          <w:color w:val="231F20"/>
          <w:w w:val="105"/>
        </w:rPr>
        <w:t>derivados.</w:t>
      </w:r>
      <w:r>
        <w:rPr>
          <w:color w:val="231F20"/>
          <w:spacing w:val="-26"/>
          <w:w w:val="105"/>
        </w:rPr>
        <w:t> </w:t>
      </w:r>
      <w:r>
        <w:rPr>
          <w:color w:val="231F20"/>
          <w:w w:val="105"/>
        </w:rPr>
        <w:t>Los</w:t>
      </w:r>
      <w:r>
        <w:rPr>
          <w:color w:val="231F20"/>
          <w:spacing w:val="-21"/>
          <w:w w:val="105"/>
        </w:rPr>
        <w:t> </w:t>
      </w:r>
      <w:r>
        <w:rPr>
          <w:color w:val="231F20"/>
          <w:w w:val="105"/>
        </w:rPr>
        <w:t>análisis</w:t>
      </w:r>
      <w:r>
        <w:rPr>
          <w:color w:val="231F20"/>
          <w:spacing w:val="-21"/>
          <w:w w:val="105"/>
        </w:rPr>
        <w:t> </w:t>
      </w:r>
      <w:r>
        <w:rPr>
          <w:color w:val="231F20"/>
          <w:w w:val="105"/>
        </w:rPr>
        <w:t>muestran</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modelo de</w:t>
      </w:r>
      <w:r>
        <w:rPr>
          <w:color w:val="231F20"/>
          <w:spacing w:val="-18"/>
          <w:w w:val="105"/>
        </w:rPr>
        <w:t> </w:t>
      </w:r>
      <w:r>
        <w:rPr>
          <w:color w:val="231F20"/>
          <w:w w:val="105"/>
        </w:rPr>
        <w:t>Heston</w:t>
      </w:r>
      <w:r>
        <w:rPr>
          <w:color w:val="231F20"/>
          <w:spacing w:val="-18"/>
          <w:w w:val="105"/>
        </w:rPr>
        <w:t> </w:t>
      </w:r>
      <w:r>
        <w:rPr>
          <w:color w:val="231F20"/>
          <w:w w:val="105"/>
        </w:rPr>
        <w:t>(1993)</w:t>
      </w:r>
      <w:r>
        <w:rPr>
          <w:color w:val="231F20"/>
          <w:spacing w:val="-18"/>
          <w:w w:val="105"/>
        </w:rPr>
        <w:t> </w:t>
      </w:r>
      <w:r>
        <w:rPr>
          <w:color w:val="231F20"/>
          <w:w w:val="105"/>
        </w:rPr>
        <w:t>otorga</w:t>
      </w:r>
      <w:r>
        <w:rPr>
          <w:color w:val="231F20"/>
          <w:spacing w:val="-18"/>
          <w:w w:val="105"/>
        </w:rPr>
        <w:t> </w:t>
      </w:r>
      <w:r>
        <w:rPr>
          <w:color w:val="231F20"/>
          <w:w w:val="105"/>
        </w:rPr>
        <w:t>precios</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opciones</w:t>
      </w:r>
      <w:r>
        <w:rPr>
          <w:color w:val="231F20"/>
          <w:spacing w:val="-18"/>
          <w:w w:val="105"/>
        </w:rPr>
        <w:t> </w:t>
      </w:r>
      <w:r>
        <w:rPr>
          <w:i/>
          <w:color w:val="231F20"/>
          <w:w w:val="105"/>
        </w:rPr>
        <w:t>call</w:t>
      </w:r>
      <w:r>
        <w:rPr>
          <w:i/>
          <w:color w:val="231F20"/>
          <w:spacing w:val="-18"/>
          <w:w w:val="105"/>
        </w:rPr>
        <w:t> </w:t>
      </w:r>
      <w:r>
        <w:rPr>
          <w:color w:val="231F20"/>
          <w:w w:val="105"/>
        </w:rPr>
        <w:t>y</w:t>
      </w:r>
      <w:r>
        <w:rPr>
          <w:color w:val="231F20"/>
          <w:spacing w:val="-18"/>
          <w:w w:val="105"/>
        </w:rPr>
        <w:t> </w:t>
      </w:r>
      <w:r>
        <w:rPr>
          <w:i/>
          <w:color w:val="231F20"/>
          <w:w w:val="105"/>
        </w:rPr>
        <w:t>put</w:t>
      </w:r>
      <w:r>
        <w:rPr>
          <w:i/>
          <w:color w:val="231F20"/>
          <w:spacing w:val="-18"/>
          <w:w w:val="105"/>
        </w:rPr>
        <w:t> </w:t>
      </w:r>
      <w:r>
        <w:rPr>
          <w:color w:val="231F20"/>
          <w:w w:val="105"/>
        </w:rPr>
        <w:t>más</w:t>
      </w:r>
      <w:r>
        <w:rPr>
          <w:color w:val="231F20"/>
          <w:spacing w:val="-18"/>
          <w:w w:val="105"/>
        </w:rPr>
        <w:t> </w:t>
      </w:r>
      <w:r>
        <w:rPr>
          <w:color w:val="231F20"/>
          <w:w w:val="105"/>
        </w:rPr>
        <w:t>próximos a</w:t>
      </w:r>
      <w:r>
        <w:rPr>
          <w:color w:val="231F20"/>
          <w:spacing w:val="-15"/>
          <w:w w:val="105"/>
        </w:rPr>
        <w:t> </w:t>
      </w:r>
      <w:r>
        <w:rPr>
          <w:color w:val="231F20"/>
          <w:w w:val="105"/>
        </w:rPr>
        <w:t>los</w:t>
      </w:r>
      <w:r>
        <w:rPr>
          <w:color w:val="231F20"/>
          <w:spacing w:val="-15"/>
          <w:w w:val="105"/>
        </w:rPr>
        <w:t> </w:t>
      </w:r>
      <w:r>
        <w:rPr>
          <w:color w:val="231F20"/>
          <w:w w:val="105"/>
        </w:rPr>
        <w:t>precios</w:t>
      </w:r>
      <w:r>
        <w:rPr>
          <w:color w:val="231F20"/>
          <w:spacing w:val="-15"/>
          <w:w w:val="105"/>
        </w:rPr>
        <w:t> </w:t>
      </w:r>
      <w:r>
        <w:rPr>
          <w:color w:val="231F20"/>
          <w:w w:val="105"/>
        </w:rPr>
        <w:t>del</w:t>
      </w:r>
      <w:r>
        <w:rPr>
          <w:color w:val="231F20"/>
          <w:spacing w:val="-15"/>
          <w:w w:val="105"/>
        </w:rPr>
        <w:t> </w:t>
      </w:r>
      <w:r>
        <w:rPr>
          <w:color w:val="231F20"/>
          <w:w w:val="105"/>
        </w:rPr>
        <w:t>mercado.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1"/>
        <w:jc w:val="both"/>
      </w:pPr>
      <w:r>
        <w:rPr>
          <w:color w:val="231F20"/>
          <w:w w:val="105"/>
        </w:rPr>
        <w:t>Los mercados de opciones han sido testigos de un crecimiento</w:t>
      </w:r>
      <w:r>
        <w:rPr>
          <w:color w:val="231F20"/>
          <w:spacing w:val="-23"/>
          <w:w w:val="105"/>
        </w:rPr>
        <w:t> </w:t>
      </w:r>
      <w:r>
        <w:rPr>
          <w:color w:val="231F20"/>
          <w:w w:val="105"/>
        </w:rPr>
        <w:t>notable en</w:t>
      </w:r>
      <w:r>
        <w:rPr>
          <w:color w:val="231F20"/>
          <w:spacing w:val="-12"/>
          <w:w w:val="105"/>
        </w:rPr>
        <w:t> </w:t>
      </w:r>
      <w:r>
        <w:rPr>
          <w:color w:val="231F20"/>
          <w:w w:val="105"/>
        </w:rPr>
        <w:t>la</w:t>
      </w:r>
      <w:r>
        <w:rPr>
          <w:color w:val="231F20"/>
          <w:spacing w:val="-12"/>
          <w:w w:val="105"/>
        </w:rPr>
        <w:t> </w:t>
      </w:r>
      <w:r>
        <w:rPr>
          <w:color w:val="231F20"/>
          <w:w w:val="105"/>
        </w:rPr>
        <w:t>última</w:t>
      </w:r>
      <w:r>
        <w:rPr>
          <w:color w:val="231F20"/>
          <w:spacing w:val="-12"/>
          <w:w w:val="105"/>
        </w:rPr>
        <w:t> </w:t>
      </w:r>
      <w:r>
        <w:rPr>
          <w:color w:val="231F20"/>
          <w:w w:val="105"/>
        </w:rPr>
        <w:t>década,</w:t>
      </w:r>
      <w:r>
        <w:rPr>
          <w:color w:val="231F20"/>
          <w:spacing w:val="-18"/>
          <w:w w:val="105"/>
        </w:rPr>
        <w:t> </w:t>
      </w:r>
      <w:r>
        <w:rPr>
          <w:color w:val="231F20"/>
          <w:w w:val="105"/>
        </w:rPr>
        <w:t>aunque</w:t>
      </w:r>
      <w:r>
        <w:rPr>
          <w:color w:val="231F20"/>
          <w:spacing w:val="-12"/>
          <w:w w:val="105"/>
        </w:rPr>
        <w:t> </w:t>
      </w:r>
      <w:r>
        <w:rPr>
          <w:color w:val="231F20"/>
          <w:w w:val="105"/>
        </w:rPr>
        <w:t>los</w:t>
      </w:r>
      <w:r>
        <w:rPr>
          <w:color w:val="231F20"/>
          <w:spacing w:val="-12"/>
          <w:w w:val="105"/>
        </w:rPr>
        <w:t> </w:t>
      </w:r>
      <w:r>
        <w:rPr>
          <w:color w:val="231F20"/>
          <w:w w:val="105"/>
        </w:rPr>
        <w:t>mercados</w:t>
      </w:r>
      <w:r>
        <w:rPr>
          <w:color w:val="231F20"/>
          <w:spacing w:val="-12"/>
          <w:w w:val="105"/>
        </w:rPr>
        <w:t> </w:t>
      </w:r>
      <w:r>
        <w:rPr>
          <w:color w:val="231F20"/>
          <w:w w:val="105"/>
        </w:rPr>
        <w:t>de</w:t>
      </w:r>
      <w:r>
        <w:rPr>
          <w:color w:val="231F20"/>
          <w:spacing w:val="-12"/>
          <w:w w:val="105"/>
        </w:rPr>
        <w:t> </w:t>
      </w:r>
      <w:r>
        <w:rPr>
          <w:color w:val="231F20"/>
          <w:w w:val="105"/>
        </w:rPr>
        <w:t>opciones</w:t>
      </w:r>
      <w:r>
        <w:rPr>
          <w:color w:val="231F20"/>
          <w:spacing w:val="-12"/>
          <w:w w:val="105"/>
        </w:rPr>
        <w:t> </w:t>
      </w:r>
      <w:r>
        <w:rPr>
          <w:color w:val="231F20"/>
          <w:w w:val="105"/>
        </w:rPr>
        <w:t>híbridos</w:t>
      </w:r>
      <w:r>
        <w:rPr>
          <w:color w:val="231F20"/>
          <w:spacing w:val="-12"/>
          <w:w w:val="105"/>
        </w:rPr>
        <w:t> </w:t>
      </w:r>
      <w:r>
        <w:rPr>
          <w:color w:val="231F20"/>
          <w:w w:val="105"/>
        </w:rPr>
        <w:t>que</w:t>
      </w:r>
      <w:r>
        <w:rPr>
          <w:color w:val="231F20"/>
          <w:spacing w:val="-12"/>
          <w:w w:val="105"/>
        </w:rPr>
        <w:t> </w:t>
      </w:r>
      <w:r>
        <w:rPr>
          <w:color w:val="231F20"/>
          <w:w w:val="105"/>
        </w:rPr>
        <w:t>de- penden</w:t>
      </w:r>
      <w:r>
        <w:rPr>
          <w:color w:val="231F20"/>
          <w:spacing w:val="-6"/>
          <w:w w:val="105"/>
        </w:rPr>
        <w:t> </w:t>
      </w:r>
      <w:r>
        <w:rPr>
          <w:color w:val="231F20"/>
          <w:w w:val="105"/>
        </w:rPr>
        <w:t>de</w:t>
      </w:r>
      <w:r>
        <w:rPr>
          <w:color w:val="231F20"/>
          <w:spacing w:val="-6"/>
          <w:w w:val="105"/>
        </w:rPr>
        <w:t> </w:t>
      </w:r>
      <w:r>
        <w:rPr>
          <w:color w:val="231F20"/>
          <w:w w:val="105"/>
        </w:rPr>
        <w:t>múltiples</w:t>
      </w:r>
      <w:r>
        <w:rPr>
          <w:color w:val="231F20"/>
          <w:spacing w:val="-6"/>
          <w:w w:val="105"/>
        </w:rPr>
        <w:t> </w:t>
      </w:r>
      <w:r>
        <w:rPr>
          <w:color w:val="231F20"/>
          <w:w w:val="105"/>
        </w:rPr>
        <w:t>activos</w:t>
      </w:r>
      <w:r>
        <w:rPr>
          <w:color w:val="231F20"/>
          <w:spacing w:val="-6"/>
          <w:w w:val="105"/>
        </w:rPr>
        <w:t> </w:t>
      </w:r>
      <w:r>
        <w:rPr>
          <w:color w:val="231F20"/>
          <w:w w:val="105"/>
        </w:rPr>
        <w:t>subyacentes</w:t>
      </w:r>
      <w:r>
        <w:rPr>
          <w:color w:val="231F20"/>
          <w:spacing w:val="-6"/>
          <w:w w:val="105"/>
        </w:rPr>
        <w:t> </w:t>
      </w:r>
      <w:r>
        <w:rPr>
          <w:color w:val="231F20"/>
          <w:w w:val="105"/>
        </w:rPr>
        <w:t>ya</w:t>
      </w:r>
      <w:r>
        <w:rPr>
          <w:color w:val="231F20"/>
          <w:spacing w:val="-6"/>
          <w:w w:val="105"/>
        </w:rPr>
        <w:t> </w:t>
      </w:r>
      <w:r>
        <w:rPr>
          <w:color w:val="231F20"/>
          <w:w w:val="105"/>
        </w:rPr>
        <w:t>son</w:t>
      </w:r>
      <w:r>
        <w:rPr>
          <w:color w:val="231F20"/>
          <w:spacing w:val="-6"/>
          <w:w w:val="105"/>
        </w:rPr>
        <w:t> </w:t>
      </w:r>
      <w:r>
        <w:rPr>
          <w:color w:val="231F20"/>
          <w:w w:val="105"/>
        </w:rPr>
        <w:t>de</w:t>
      </w:r>
      <w:r>
        <w:rPr>
          <w:color w:val="231F20"/>
          <w:spacing w:val="-6"/>
          <w:w w:val="105"/>
        </w:rPr>
        <w:t> </w:t>
      </w:r>
      <w:r>
        <w:rPr>
          <w:color w:val="231F20"/>
          <w:w w:val="105"/>
        </w:rPr>
        <w:t>gran</w:t>
      </w:r>
      <w:r>
        <w:rPr>
          <w:color w:val="231F20"/>
          <w:spacing w:val="-6"/>
          <w:w w:val="105"/>
        </w:rPr>
        <w:t> </w:t>
      </w:r>
      <w:r>
        <w:rPr>
          <w:color w:val="231F20"/>
          <w:w w:val="105"/>
        </w:rPr>
        <w:t>relevancia.</w:t>
      </w:r>
      <w:r>
        <w:rPr>
          <w:color w:val="231F20"/>
          <w:spacing w:val="-11"/>
          <w:w w:val="105"/>
        </w:rPr>
        <w:t> </w:t>
      </w:r>
      <w:r>
        <w:rPr>
          <w:color w:val="231F20"/>
          <w:w w:val="105"/>
        </w:rPr>
        <w:t>La volatilidad</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precios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activos</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crisis</w:t>
      </w:r>
      <w:r>
        <w:rPr>
          <w:color w:val="231F20"/>
          <w:spacing w:val="-13"/>
          <w:w w:val="105"/>
        </w:rPr>
        <w:t> </w:t>
      </w:r>
      <w:r>
        <w:rPr>
          <w:color w:val="231F20"/>
          <w:w w:val="105"/>
        </w:rPr>
        <w:t>financiera</w:t>
      </w:r>
      <w:r>
        <w:rPr>
          <w:color w:val="231F20"/>
          <w:spacing w:val="-13"/>
          <w:w w:val="105"/>
        </w:rPr>
        <w:t> </w:t>
      </w:r>
      <w:r>
        <w:rPr>
          <w:color w:val="231F20"/>
          <w:w w:val="105"/>
        </w:rPr>
        <w:t>mundial</w:t>
      </w:r>
      <w:r>
        <w:rPr>
          <w:color w:val="231F20"/>
          <w:spacing w:val="-13"/>
          <w:w w:val="105"/>
        </w:rPr>
        <w:t> </w:t>
      </w:r>
      <w:r>
        <w:rPr>
          <w:color w:val="231F20"/>
          <w:w w:val="105"/>
        </w:rPr>
        <w:t>de 2008</w:t>
      </w:r>
      <w:r>
        <w:rPr>
          <w:color w:val="231F20"/>
          <w:spacing w:val="-17"/>
          <w:w w:val="105"/>
        </w:rPr>
        <w:t> </w:t>
      </w:r>
      <w:r>
        <w:rPr>
          <w:color w:val="231F20"/>
          <w:w w:val="105"/>
        </w:rPr>
        <w:t>es</w:t>
      </w:r>
      <w:r>
        <w:rPr>
          <w:color w:val="231F20"/>
          <w:spacing w:val="-17"/>
          <w:w w:val="105"/>
        </w:rPr>
        <w:t> </w:t>
      </w:r>
      <w:r>
        <w:rPr>
          <w:color w:val="231F20"/>
          <w:w w:val="105"/>
        </w:rPr>
        <w:t>un</w:t>
      </w:r>
      <w:r>
        <w:rPr>
          <w:color w:val="231F20"/>
          <w:spacing w:val="-17"/>
          <w:w w:val="105"/>
        </w:rPr>
        <w:t> </w:t>
      </w:r>
      <w:r>
        <w:rPr>
          <w:color w:val="231F20"/>
          <w:w w:val="105"/>
        </w:rPr>
        <w:t>ejemplo</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efectos</w:t>
      </w:r>
      <w:r>
        <w:rPr>
          <w:color w:val="231F20"/>
          <w:spacing w:val="-17"/>
          <w:w w:val="105"/>
        </w:rPr>
        <w:t> </w:t>
      </w:r>
      <w:r>
        <w:rPr>
          <w:color w:val="231F20"/>
          <w:w w:val="105"/>
        </w:rPr>
        <w:t>de</w:t>
      </w:r>
      <w:r>
        <w:rPr>
          <w:color w:val="231F20"/>
          <w:spacing w:val="-17"/>
          <w:w w:val="105"/>
        </w:rPr>
        <w:t> </w:t>
      </w:r>
      <w:r>
        <w:rPr>
          <w:color w:val="231F20"/>
          <w:w w:val="105"/>
        </w:rPr>
        <w:t>riesgo</w:t>
      </w:r>
      <w:r>
        <w:rPr>
          <w:color w:val="231F20"/>
          <w:spacing w:val="-17"/>
          <w:w w:val="105"/>
        </w:rPr>
        <w:t> </w:t>
      </w:r>
      <w:r>
        <w:rPr>
          <w:color w:val="231F20"/>
          <w:w w:val="105"/>
        </w:rPr>
        <w:t>de</w:t>
      </w:r>
      <w:r>
        <w:rPr>
          <w:color w:val="231F20"/>
          <w:spacing w:val="-17"/>
          <w:w w:val="105"/>
        </w:rPr>
        <w:t> </w:t>
      </w:r>
      <w:r>
        <w:rPr>
          <w:color w:val="231F20"/>
          <w:w w:val="105"/>
        </w:rPr>
        <w:t>mercado.</w:t>
      </w:r>
      <w:r>
        <w:rPr>
          <w:color w:val="231F20"/>
          <w:spacing w:val="-23"/>
          <w:w w:val="105"/>
        </w:rPr>
        <w:t> </w:t>
      </w:r>
      <w:r>
        <w:rPr>
          <w:color w:val="231F20"/>
          <w:w w:val="105"/>
        </w:rPr>
        <w:t>En</w:t>
      </w:r>
      <w:r>
        <w:rPr>
          <w:color w:val="231F20"/>
          <w:spacing w:val="-17"/>
          <w:w w:val="105"/>
        </w:rPr>
        <w:t> </w:t>
      </w:r>
      <w:r>
        <w:rPr>
          <w:color w:val="231F20"/>
          <w:w w:val="105"/>
        </w:rPr>
        <w:t>general,</w:t>
      </w:r>
      <w:r>
        <w:rPr>
          <w:color w:val="231F20"/>
          <w:spacing w:val="-23"/>
          <w:w w:val="105"/>
        </w:rPr>
        <w:t> </w:t>
      </w:r>
      <w:r>
        <w:rPr>
          <w:color w:val="231F20"/>
          <w:w w:val="105"/>
        </w:rPr>
        <w:t>los modelos para obtener el precio de la opción no consideran todos los factores de riesgo que intervienen en el mercado. Los modelos para la gestión</w:t>
      </w:r>
      <w:r>
        <w:rPr>
          <w:color w:val="231F20"/>
          <w:spacing w:val="-4"/>
          <w:w w:val="105"/>
        </w:rPr>
        <w:t> </w:t>
      </w:r>
      <w:r>
        <w:rPr>
          <w:color w:val="231F20"/>
          <w:w w:val="105"/>
        </w:rPr>
        <w:t>de</w:t>
      </w:r>
      <w:r>
        <w:rPr>
          <w:color w:val="231F20"/>
          <w:spacing w:val="-4"/>
          <w:w w:val="105"/>
        </w:rPr>
        <w:t> </w:t>
      </w:r>
      <w:r>
        <w:rPr>
          <w:color w:val="231F20"/>
          <w:w w:val="105"/>
        </w:rPr>
        <w:t>precios</w:t>
      </w:r>
      <w:r>
        <w:rPr>
          <w:color w:val="231F20"/>
          <w:spacing w:val="-4"/>
          <w:w w:val="105"/>
        </w:rPr>
        <w:t> </w:t>
      </w:r>
      <w:r>
        <w:rPr>
          <w:color w:val="231F20"/>
          <w:w w:val="105"/>
        </w:rPr>
        <w:t>y</w:t>
      </w:r>
      <w:r>
        <w:rPr>
          <w:color w:val="231F20"/>
          <w:spacing w:val="-4"/>
          <w:w w:val="105"/>
        </w:rPr>
        <w:t> </w:t>
      </w:r>
      <w:r>
        <w:rPr>
          <w:color w:val="231F20"/>
          <w:w w:val="105"/>
        </w:rPr>
        <w:t>cobertura</w:t>
      </w:r>
      <w:r>
        <w:rPr>
          <w:color w:val="231F20"/>
          <w:spacing w:val="-4"/>
          <w:w w:val="105"/>
        </w:rPr>
        <w:t> </w:t>
      </w:r>
      <w:r>
        <w:rPr>
          <w:color w:val="231F20"/>
          <w:w w:val="105"/>
        </w:rPr>
        <w:t>de</w:t>
      </w:r>
      <w:r>
        <w:rPr>
          <w:color w:val="231F20"/>
          <w:spacing w:val="-4"/>
          <w:w w:val="105"/>
        </w:rPr>
        <w:t> </w:t>
      </w:r>
      <w:r>
        <w:rPr>
          <w:color w:val="231F20"/>
          <w:w w:val="105"/>
        </w:rPr>
        <w:t>riesgos</w:t>
      </w:r>
      <w:r>
        <w:rPr>
          <w:color w:val="231F20"/>
          <w:spacing w:val="-4"/>
          <w:w w:val="105"/>
        </w:rPr>
        <w:t> </w:t>
      </w:r>
      <w:r>
        <w:rPr>
          <w:color w:val="231F20"/>
          <w:w w:val="105"/>
        </w:rPr>
        <w:t>deberán,</w:t>
      </w:r>
      <w:r>
        <w:rPr>
          <w:color w:val="231F20"/>
          <w:spacing w:val="-9"/>
          <w:w w:val="105"/>
        </w:rPr>
        <w:t> </w:t>
      </w:r>
      <w:r>
        <w:rPr>
          <w:color w:val="231F20"/>
          <w:w w:val="105"/>
        </w:rPr>
        <w:t>al</w:t>
      </w:r>
      <w:r>
        <w:rPr>
          <w:color w:val="231F20"/>
          <w:spacing w:val="-4"/>
          <w:w w:val="105"/>
        </w:rPr>
        <w:t> </w:t>
      </w:r>
      <w:r>
        <w:rPr>
          <w:color w:val="231F20"/>
          <w:w w:val="105"/>
        </w:rPr>
        <w:t>menos,</w:t>
      </w:r>
      <w:r>
        <w:rPr>
          <w:color w:val="231F20"/>
          <w:spacing w:val="-9"/>
          <w:w w:val="105"/>
        </w:rPr>
        <w:t> </w:t>
      </w:r>
      <w:r>
        <w:rPr>
          <w:color w:val="231F20"/>
          <w:w w:val="105"/>
        </w:rPr>
        <w:t>ser</w:t>
      </w:r>
      <w:r>
        <w:rPr>
          <w:color w:val="231F20"/>
          <w:spacing w:val="-4"/>
          <w:w w:val="105"/>
        </w:rPr>
        <w:t> </w:t>
      </w:r>
      <w:r>
        <w:rPr>
          <w:color w:val="231F20"/>
          <w:w w:val="105"/>
        </w:rPr>
        <w:t>capa- ces</w:t>
      </w:r>
      <w:r>
        <w:rPr>
          <w:color w:val="231F20"/>
          <w:spacing w:val="-18"/>
          <w:w w:val="105"/>
        </w:rPr>
        <w:t> </w:t>
      </w:r>
      <w:r>
        <w:rPr>
          <w:color w:val="231F20"/>
          <w:w w:val="105"/>
        </w:rPr>
        <w:t>de</w:t>
      </w:r>
      <w:r>
        <w:rPr>
          <w:color w:val="231F20"/>
          <w:spacing w:val="-18"/>
          <w:w w:val="105"/>
        </w:rPr>
        <w:t> </w:t>
      </w:r>
      <w:r>
        <w:rPr>
          <w:color w:val="231F20"/>
          <w:w w:val="105"/>
        </w:rPr>
        <w:t>hacer</w:t>
      </w:r>
      <w:r>
        <w:rPr>
          <w:color w:val="231F20"/>
          <w:spacing w:val="-18"/>
          <w:w w:val="105"/>
        </w:rPr>
        <w:t> </w:t>
      </w:r>
      <w:r>
        <w:rPr>
          <w:color w:val="231F20"/>
          <w:w w:val="105"/>
        </w:rPr>
        <w:t>frente</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riesgos</w:t>
      </w:r>
      <w:r>
        <w:rPr>
          <w:color w:val="231F20"/>
          <w:spacing w:val="-18"/>
          <w:w w:val="105"/>
        </w:rPr>
        <w:t> </w:t>
      </w:r>
      <w:r>
        <w:rPr>
          <w:color w:val="231F20"/>
          <w:w w:val="105"/>
        </w:rPr>
        <w:t>de</w:t>
      </w:r>
      <w:r>
        <w:rPr>
          <w:color w:val="231F20"/>
          <w:spacing w:val="-18"/>
          <w:w w:val="105"/>
        </w:rPr>
        <w:t> </w:t>
      </w:r>
      <w:r>
        <w:rPr>
          <w:color w:val="231F20"/>
          <w:w w:val="105"/>
        </w:rPr>
        <w:t>mercado.</w:t>
      </w:r>
    </w:p>
    <w:p>
      <w:pPr>
        <w:spacing w:after="0" w:line="259" w:lineRule="auto"/>
        <w:jc w:val="both"/>
        <w:sectPr>
          <w:pgSz w:w="9640" w:h="13890"/>
          <w:pgMar w:top="1300" w:bottom="280" w:left="1300" w:right="1180"/>
        </w:sectPr>
      </w:pPr>
    </w:p>
    <w:p>
      <w:pPr>
        <w:pStyle w:val="BodyText"/>
        <w:spacing w:line="259" w:lineRule="auto" w:before="120"/>
        <w:ind w:left="103" w:right="110"/>
        <w:jc w:val="both"/>
      </w:pPr>
      <w:r>
        <w:rPr>
          <w:color w:val="231F20"/>
          <w:w w:val="105"/>
        </w:rPr>
        <w:t>Un</w:t>
      </w:r>
      <w:r>
        <w:rPr>
          <w:color w:val="231F20"/>
          <w:spacing w:val="-16"/>
          <w:w w:val="105"/>
        </w:rPr>
        <w:t> </w:t>
      </w:r>
      <w:r>
        <w:rPr>
          <w:color w:val="231F20"/>
          <w:w w:val="105"/>
        </w:rPr>
        <w:t>modelo</w:t>
      </w:r>
      <w:r>
        <w:rPr>
          <w:color w:val="231F20"/>
          <w:spacing w:val="-16"/>
          <w:w w:val="105"/>
        </w:rPr>
        <w:t> </w:t>
      </w:r>
      <w:r>
        <w:rPr>
          <w:color w:val="231F20"/>
          <w:w w:val="105"/>
        </w:rPr>
        <w:t>de</w:t>
      </w:r>
      <w:r>
        <w:rPr>
          <w:color w:val="231F20"/>
          <w:spacing w:val="-16"/>
          <w:w w:val="105"/>
        </w:rPr>
        <w:t> </w:t>
      </w:r>
      <w:r>
        <w:rPr>
          <w:color w:val="231F20"/>
          <w:w w:val="105"/>
        </w:rPr>
        <w:t>valoración</w:t>
      </w:r>
      <w:r>
        <w:rPr>
          <w:color w:val="231F20"/>
          <w:spacing w:val="-16"/>
          <w:w w:val="105"/>
        </w:rPr>
        <w:t> </w:t>
      </w:r>
      <w:r>
        <w:rPr>
          <w:color w:val="231F20"/>
          <w:w w:val="105"/>
        </w:rPr>
        <w:t>de</w:t>
      </w:r>
      <w:r>
        <w:rPr>
          <w:color w:val="231F20"/>
          <w:spacing w:val="-16"/>
          <w:w w:val="105"/>
        </w:rPr>
        <w:t> </w:t>
      </w:r>
      <w:r>
        <w:rPr>
          <w:color w:val="231F20"/>
          <w:w w:val="105"/>
        </w:rPr>
        <w:t>opciones</w:t>
      </w:r>
      <w:r>
        <w:rPr>
          <w:color w:val="231F20"/>
          <w:spacing w:val="-16"/>
          <w:w w:val="105"/>
        </w:rPr>
        <w:t> </w:t>
      </w:r>
      <w:r>
        <w:rPr>
          <w:color w:val="231F20"/>
          <w:w w:val="105"/>
        </w:rPr>
        <w:t>se</w:t>
      </w:r>
      <w:r>
        <w:rPr>
          <w:color w:val="231F20"/>
          <w:spacing w:val="-16"/>
          <w:w w:val="105"/>
        </w:rPr>
        <w:t> </w:t>
      </w:r>
      <w:r>
        <w:rPr>
          <w:color w:val="231F20"/>
          <w:w w:val="105"/>
        </w:rPr>
        <w:t>puede</w:t>
      </w:r>
      <w:r>
        <w:rPr>
          <w:color w:val="231F20"/>
          <w:spacing w:val="-16"/>
          <w:w w:val="105"/>
        </w:rPr>
        <w:t> </w:t>
      </w:r>
      <w:r>
        <w:rPr>
          <w:color w:val="231F20"/>
          <w:spacing w:val="-3"/>
          <w:w w:val="105"/>
        </w:rPr>
        <w:t>interpretar</w:t>
      </w:r>
      <w:r>
        <w:rPr>
          <w:color w:val="231F20"/>
          <w:spacing w:val="-16"/>
          <w:w w:val="105"/>
        </w:rPr>
        <w:t> </w:t>
      </w:r>
      <w:r>
        <w:rPr>
          <w:color w:val="231F20"/>
          <w:w w:val="105"/>
        </w:rPr>
        <w:t>como</w:t>
      </w:r>
      <w:r>
        <w:rPr>
          <w:color w:val="231F20"/>
          <w:spacing w:val="-16"/>
          <w:w w:val="105"/>
        </w:rPr>
        <w:t> </w:t>
      </w:r>
      <w:r>
        <w:rPr>
          <w:color w:val="231F20"/>
          <w:w w:val="105"/>
        </w:rPr>
        <w:t>un</w:t>
      </w:r>
      <w:r>
        <w:rPr>
          <w:color w:val="231F20"/>
          <w:spacing w:val="-16"/>
          <w:w w:val="105"/>
        </w:rPr>
        <w:t> </w:t>
      </w:r>
      <w:r>
        <w:rPr>
          <w:color w:val="231F20"/>
          <w:w w:val="105"/>
        </w:rPr>
        <w:t>mé- todo</w:t>
      </w:r>
      <w:r>
        <w:rPr>
          <w:color w:val="231F20"/>
          <w:spacing w:val="-20"/>
          <w:w w:val="105"/>
        </w:rPr>
        <w:t> </w:t>
      </w:r>
      <w:r>
        <w:rPr>
          <w:color w:val="231F20"/>
          <w:w w:val="105"/>
        </w:rPr>
        <w:t>de</w:t>
      </w:r>
      <w:r>
        <w:rPr>
          <w:color w:val="231F20"/>
          <w:spacing w:val="-20"/>
          <w:w w:val="105"/>
        </w:rPr>
        <w:t> </w:t>
      </w:r>
      <w:r>
        <w:rPr>
          <w:color w:val="231F20"/>
          <w:spacing w:val="-3"/>
          <w:w w:val="105"/>
        </w:rPr>
        <w:t>extrapolación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precios</w:t>
      </w:r>
      <w:r>
        <w:rPr>
          <w:color w:val="231F20"/>
          <w:spacing w:val="-20"/>
          <w:w w:val="105"/>
        </w:rPr>
        <w:t> </w:t>
      </w:r>
      <w:r>
        <w:rPr>
          <w:color w:val="231F20"/>
          <w:w w:val="105"/>
        </w:rPr>
        <w:t>de</w:t>
      </w:r>
      <w:r>
        <w:rPr>
          <w:color w:val="231F20"/>
          <w:spacing w:val="-20"/>
          <w:w w:val="105"/>
        </w:rPr>
        <w:t> </w:t>
      </w:r>
      <w:r>
        <w:rPr>
          <w:color w:val="231F20"/>
          <w:w w:val="105"/>
        </w:rPr>
        <w:t>instrumentos</w:t>
      </w:r>
      <w:r>
        <w:rPr>
          <w:color w:val="231F20"/>
          <w:spacing w:val="-20"/>
          <w:w w:val="105"/>
        </w:rPr>
        <w:t> </w:t>
      </w:r>
      <w:r>
        <w:rPr>
          <w:color w:val="231F20"/>
          <w:w w:val="105"/>
        </w:rPr>
        <w:t>simples.</w:t>
      </w:r>
      <w:r>
        <w:rPr>
          <w:color w:val="231F20"/>
          <w:spacing w:val="-26"/>
          <w:w w:val="105"/>
        </w:rPr>
        <w:t> </w:t>
      </w:r>
      <w:r>
        <w:rPr>
          <w:color w:val="231F20"/>
          <w:w w:val="105"/>
        </w:rPr>
        <w:t>Un</w:t>
      </w:r>
      <w:r>
        <w:rPr>
          <w:color w:val="231F20"/>
          <w:spacing w:val="-20"/>
          <w:w w:val="105"/>
        </w:rPr>
        <w:t> </w:t>
      </w:r>
      <w:r>
        <w:rPr>
          <w:color w:val="231F20"/>
          <w:spacing w:val="-3"/>
          <w:w w:val="105"/>
        </w:rPr>
        <w:t>requisi- </w:t>
      </w:r>
      <w:r>
        <w:rPr>
          <w:color w:val="231F20"/>
          <w:w w:val="105"/>
        </w:rPr>
        <w:t>to</w:t>
      </w:r>
      <w:r>
        <w:rPr>
          <w:color w:val="231F20"/>
          <w:spacing w:val="-22"/>
          <w:w w:val="105"/>
        </w:rPr>
        <w:t> </w:t>
      </w:r>
      <w:r>
        <w:rPr>
          <w:color w:val="231F20"/>
          <w:w w:val="105"/>
        </w:rPr>
        <w:t>necesario</w:t>
      </w:r>
      <w:r>
        <w:rPr>
          <w:color w:val="231F20"/>
          <w:spacing w:val="-22"/>
          <w:w w:val="105"/>
        </w:rPr>
        <w:t> </w:t>
      </w:r>
      <w:r>
        <w:rPr>
          <w:color w:val="231F20"/>
          <w:w w:val="105"/>
        </w:rPr>
        <w:t>para</w:t>
      </w:r>
      <w:r>
        <w:rPr>
          <w:color w:val="231F20"/>
          <w:spacing w:val="-22"/>
          <w:w w:val="105"/>
        </w:rPr>
        <w:t> </w:t>
      </w:r>
      <w:r>
        <w:rPr>
          <w:color w:val="231F20"/>
          <w:w w:val="105"/>
        </w:rPr>
        <w:t>que</w:t>
      </w:r>
      <w:r>
        <w:rPr>
          <w:color w:val="231F20"/>
          <w:spacing w:val="-22"/>
          <w:w w:val="105"/>
        </w:rPr>
        <w:t> </w:t>
      </w:r>
      <w:r>
        <w:rPr>
          <w:color w:val="231F20"/>
          <w:w w:val="105"/>
        </w:rPr>
        <w:t>tal</w:t>
      </w:r>
      <w:r>
        <w:rPr>
          <w:color w:val="231F20"/>
          <w:spacing w:val="-22"/>
          <w:w w:val="105"/>
        </w:rPr>
        <w:t> </w:t>
      </w:r>
      <w:r>
        <w:rPr>
          <w:color w:val="231F20"/>
          <w:spacing w:val="-3"/>
          <w:w w:val="105"/>
        </w:rPr>
        <w:t>extrapolación</w:t>
      </w:r>
      <w:r>
        <w:rPr>
          <w:color w:val="231F20"/>
          <w:spacing w:val="-22"/>
          <w:w w:val="105"/>
        </w:rPr>
        <w:t> </w:t>
      </w:r>
      <w:r>
        <w:rPr>
          <w:color w:val="231F20"/>
          <w:w w:val="105"/>
        </w:rPr>
        <w:t>tenga</w:t>
      </w:r>
      <w:r>
        <w:rPr>
          <w:color w:val="231F20"/>
          <w:spacing w:val="-22"/>
          <w:w w:val="105"/>
        </w:rPr>
        <w:t> </w:t>
      </w:r>
      <w:r>
        <w:rPr>
          <w:color w:val="231F20"/>
          <w:w w:val="105"/>
        </w:rPr>
        <w:t>sentido</w:t>
      </w:r>
      <w:r>
        <w:rPr>
          <w:color w:val="231F20"/>
          <w:spacing w:val="-22"/>
          <w:w w:val="105"/>
        </w:rPr>
        <w:t> </w:t>
      </w:r>
      <w:r>
        <w:rPr>
          <w:color w:val="231F20"/>
          <w:w w:val="105"/>
        </w:rPr>
        <w:t>es</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spacing w:val="-3"/>
          <w:w w:val="105"/>
        </w:rPr>
        <w:t>precio</w:t>
      </w:r>
      <w:r>
        <w:rPr>
          <w:color w:val="231F20"/>
          <w:spacing w:val="-22"/>
          <w:w w:val="105"/>
        </w:rPr>
        <w:t> </w:t>
      </w:r>
      <w:r>
        <w:rPr>
          <w:color w:val="231F20"/>
          <w:spacing w:val="-2"/>
          <w:w w:val="105"/>
        </w:rPr>
        <w:t>por </w:t>
      </w:r>
      <w:r>
        <w:rPr>
          <w:color w:val="231F20"/>
          <w:w w:val="105"/>
        </w:rPr>
        <w:t>medio</w:t>
      </w:r>
      <w:r>
        <w:rPr>
          <w:color w:val="231F20"/>
          <w:spacing w:val="-24"/>
          <w:w w:val="105"/>
        </w:rPr>
        <w:t> </w:t>
      </w:r>
      <w:r>
        <w:rPr>
          <w:color w:val="231F20"/>
          <w:w w:val="105"/>
        </w:rPr>
        <w:t>de</w:t>
      </w:r>
      <w:r>
        <w:rPr>
          <w:color w:val="231F20"/>
          <w:spacing w:val="-24"/>
          <w:w w:val="105"/>
        </w:rPr>
        <w:t> </w:t>
      </w:r>
      <w:r>
        <w:rPr>
          <w:color w:val="231F20"/>
          <w:w w:val="105"/>
        </w:rPr>
        <w:t>estos</w:t>
      </w:r>
      <w:r>
        <w:rPr>
          <w:color w:val="231F20"/>
          <w:spacing w:val="-24"/>
          <w:w w:val="105"/>
        </w:rPr>
        <w:t> </w:t>
      </w:r>
      <w:r>
        <w:rPr>
          <w:color w:val="231F20"/>
          <w:w w:val="105"/>
        </w:rPr>
        <w:t>modelos</w:t>
      </w:r>
      <w:r>
        <w:rPr>
          <w:color w:val="231F20"/>
          <w:spacing w:val="-24"/>
          <w:w w:val="105"/>
        </w:rPr>
        <w:t> </w:t>
      </w:r>
      <w:r>
        <w:rPr>
          <w:color w:val="231F20"/>
          <w:w w:val="105"/>
        </w:rPr>
        <w:t>se</w:t>
      </w:r>
      <w:r>
        <w:rPr>
          <w:color w:val="231F20"/>
          <w:spacing w:val="-24"/>
          <w:w w:val="105"/>
        </w:rPr>
        <w:t> </w:t>
      </w:r>
      <w:r>
        <w:rPr>
          <w:color w:val="231F20"/>
          <w:spacing w:val="-3"/>
          <w:w w:val="105"/>
        </w:rPr>
        <w:t>aproxime</w:t>
      </w:r>
      <w:r>
        <w:rPr>
          <w:color w:val="231F20"/>
          <w:spacing w:val="-24"/>
          <w:w w:val="105"/>
        </w:rPr>
        <w:t> </w:t>
      </w:r>
      <w:r>
        <w:rPr>
          <w:color w:val="231F20"/>
          <w:w w:val="105"/>
        </w:rPr>
        <w:t>al</w:t>
      </w:r>
      <w:r>
        <w:rPr>
          <w:color w:val="231F20"/>
          <w:spacing w:val="-24"/>
          <w:w w:val="105"/>
        </w:rPr>
        <w:t> </w:t>
      </w:r>
      <w:r>
        <w:rPr>
          <w:color w:val="231F20"/>
          <w:spacing w:val="-3"/>
          <w:w w:val="105"/>
        </w:rPr>
        <w:t>precio</w:t>
      </w:r>
      <w:r>
        <w:rPr>
          <w:color w:val="231F20"/>
          <w:spacing w:val="-24"/>
          <w:w w:val="105"/>
        </w:rPr>
        <w:t> </w:t>
      </w:r>
      <w:r>
        <w:rPr>
          <w:color w:val="231F20"/>
          <w:w w:val="105"/>
        </w:rPr>
        <w:t>de</w:t>
      </w:r>
      <w:r>
        <w:rPr>
          <w:color w:val="231F20"/>
          <w:spacing w:val="-24"/>
          <w:w w:val="105"/>
        </w:rPr>
        <w:t> </w:t>
      </w:r>
      <w:r>
        <w:rPr>
          <w:color w:val="231F20"/>
          <w:spacing w:val="-3"/>
          <w:w w:val="105"/>
        </w:rPr>
        <w:t>mercado.</w:t>
      </w:r>
      <w:r>
        <w:rPr>
          <w:color w:val="231F20"/>
          <w:spacing w:val="-29"/>
          <w:w w:val="105"/>
        </w:rPr>
        <w:t> </w:t>
      </w:r>
      <w:r>
        <w:rPr>
          <w:color w:val="231F20"/>
          <w:w w:val="105"/>
        </w:rPr>
        <w:t>Éste</w:t>
      </w:r>
      <w:r>
        <w:rPr>
          <w:color w:val="231F20"/>
          <w:spacing w:val="-24"/>
          <w:w w:val="105"/>
        </w:rPr>
        <w:t> </w:t>
      </w:r>
      <w:r>
        <w:rPr>
          <w:color w:val="231F20"/>
          <w:w w:val="105"/>
        </w:rPr>
        <w:t>no</w:t>
      </w:r>
      <w:r>
        <w:rPr>
          <w:color w:val="231F20"/>
          <w:spacing w:val="-24"/>
          <w:w w:val="105"/>
        </w:rPr>
        <w:t> </w:t>
      </w:r>
      <w:r>
        <w:rPr>
          <w:color w:val="231F20"/>
          <w:spacing w:val="-2"/>
          <w:w w:val="105"/>
        </w:rPr>
        <w:t>era</w:t>
      </w:r>
      <w:r>
        <w:rPr>
          <w:color w:val="231F20"/>
          <w:spacing w:val="-24"/>
          <w:w w:val="105"/>
        </w:rPr>
        <w:t> </w:t>
      </w:r>
      <w:r>
        <w:rPr>
          <w:color w:val="231F20"/>
          <w:w w:val="105"/>
        </w:rPr>
        <w:t>el caso</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modelo</w:t>
      </w:r>
      <w:r>
        <w:rPr>
          <w:color w:val="231F20"/>
          <w:spacing w:val="-24"/>
          <w:w w:val="105"/>
        </w:rPr>
        <w:t> </w:t>
      </w:r>
      <w:r>
        <w:rPr>
          <w:color w:val="231F20"/>
          <w:w w:val="105"/>
        </w:rPr>
        <w:t>de</w:t>
      </w:r>
      <w:r>
        <w:rPr>
          <w:color w:val="231F20"/>
          <w:spacing w:val="-24"/>
          <w:w w:val="105"/>
        </w:rPr>
        <w:t> </w:t>
      </w:r>
      <w:r>
        <w:rPr>
          <w:color w:val="231F20"/>
          <w:w w:val="105"/>
        </w:rPr>
        <w:t>Black</w:t>
      </w:r>
      <w:r>
        <w:rPr>
          <w:color w:val="231F20"/>
          <w:spacing w:val="-24"/>
          <w:w w:val="105"/>
        </w:rPr>
        <w:t> </w:t>
      </w:r>
      <w:r>
        <w:rPr>
          <w:color w:val="231F20"/>
          <w:w w:val="105"/>
        </w:rPr>
        <w:t>y</w:t>
      </w:r>
      <w:r>
        <w:rPr>
          <w:color w:val="231F20"/>
          <w:spacing w:val="-24"/>
          <w:w w:val="105"/>
        </w:rPr>
        <w:t> </w:t>
      </w:r>
      <w:r>
        <w:rPr>
          <w:color w:val="231F20"/>
          <w:w w:val="105"/>
        </w:rPr>
        <w:t>Scholes</w:t>
      </w:r>
      <w:r>
        <w:rPr>
          <w:color w:val="231F20"/>
          <w:spacing w:val="-24"/>
          <w:w w:val="105"/>
        </w:rPr>
        <w:t> </w:t>
      </w:r>
      <w:r>
        <w:rPr>
          <w:color w:val="231F20"/>
          <w:w w:val="105"/>
        </w:rPr>
        <w:t>(1973)</w:t>
      </w:r>
      <w:r>
        <w:rPr>
          <w:color w:val="231F20"/>
          <w:spacing w:val="-24"/>
          <w:w w:val="105"/>
        </w:rPr>
        <w:t> </w:t>
      </w:r>
      <w:r>
        <w:rPr>
          <w:color w:val="231F20"/>
          <w:w w:val="105"/>
        </w:rPr>
        <w:t>y</w:t>
      </w:r>
      <w:r>
        <w:rPr>
          <w:color w:val="231F20"/>
          <w:spacing w:val="-24"/>
          <w:w w:val="105"/>
        </w:rPr>
        <w:t> </w:t>
      </w:r>
      <w:r>
        <w:rPr>
          <w:color w:val="231F20"/>
          <w:w w:val="105"/>
        </w:rPr>
        <w:t>algunos</w:t>
      </w:r>
      <w:r>
        <w:rPr>
          <w:color w:val="231F20"/>
          <w:spacing w:val="-24"/>
          <w:w w:val="105"/>
        </w:rPr>
        <w:t> </w:t>
      </w:r>
      <w:r>
        <w:rPr>
          <w:color w:val="231F20"/>
          <w:w w:val="105"/>
        </w:rPr>
        <w:t>de</w:t>
      </w:r>
      <w:r>
        <w:rPr>
          <w:color w:val="231F20"/>
          <w:spacing w:val="-24"/>
          <w:w w:val="105"/>
        </w:rPr>
        <w:t> </w:t>
      </w:r>
      <w:r>
        <w:rPr>
          <w:color w:val="231F20"/>
          <w:w w:val="105"/>
        </w:rPr>
        <w:t>sus</w:t>
      </w:r>
      <w:r>
        <w:rPr>
          <w:color w:val="231F20"/>
          <w:spacing w:val="-24"/>
          <w:w w:val="105"/>
        </w:rPr>
        <w:t> </w:t>
      </w:r>
      <w:r>
        <w:rPr>
          <w:color w:val="231F20"/>
          <w:w w:val="105"/>
        </w:rPr>
        <w:t>supuestos como</w:t>
      </w:r>
      <w:r>
        <w:rPr>
          <w:color w:val="231F20"/>
          <w:spacing w:val="-18"/>
          <w:w w:val="105"/>
        </w:rPr>
        <w:t> </w:t>
      </w:r>
      <w:r>
        <w:rPr>
          <w:color w:val="231F20"/>
          <w:w w:val="105"/>
        </w:rPr>
        <w:t>la</w:t>
      </w:r>
      <w:r>
        <w:rPr>
          <w:color w:val="231F20"/>
          <w:spacing w:val="-18"/>
          <w:w w:val="105"/>
        </w:rPr>
        <w:t> </w:t>
      </w:r>
      <w:r>
        <w:rPr>
          <w:color w:val="231F20"/>
          <w:w w:val="105"/>
        </w:rPr>
        <w:t>volatilidad</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tasa</w:t>
      </w:r>
      <w:r>
        <w:rPr>
          <w:color w:val="231F20"/>
          <w:spacing w:val="-18"/>
          <w:w w:val="105"/>
        </w:rPr>
        <w:t> </w:t>
      </w:r>
      <w:r>
        <w:rPr>
          <w:color w:val="231F20"/>
          <w:w w:val="105"/>
        </w:rPr>
        <w:t>de</w:t>
      </w:r>
      <w:r>
        <w:rPr>
          <w:color w:val="231F20"/>
          <w:spacing w:val="-18"/>
          <w:w w:val="105"/>
        </w:rPr>
        <w:t> </w:t>
      </w:r>
      <w:r>
        <w:rPr>
          <w:color w:val="231F20"/>
          <w:spacing w:val="-3"/>
          <w:w w:val="105"/>
        </w:rPr>
        <w:t>interés</w:t>
      </w:r>
      <w:r>
        <w:rPr>
          <w:color w:val="231F20"/>
          <w:spacing w:val="-18"/>
          <w:w w:val="105"/>
        </w:rPr>
        <w:t> </w:t>
      </w:r>
      <w:r>
        <w:rPr>
          <w:color w:val="231F20"/>
          <w:w w:val="105"/>
        </w:rPr>
        <w:t>constantes</w:t>
      </w:r>
      <w:r>
        <w:rPr>
          <w:color w:val="231F20"/>
          <w:spacing w:val="-18"/>
          <w:w w:val="105"/>
        </w:rPr>
        <w:t> </w:t>
      </w:r>
      <w:r>
        <w:rPr>
          <w:color w:val="231F20"/>
          <w:w w:val="105"/>
        </w:rPr>
        <w:t>eran</w:t>
      </w:r>
      <w:r>
        <w:rPr>
          <w:color w:val="231F20"/>
          <w:spacing w:val="-18"/>
          <w:w w:val="105"/>
        </w:rPr>
        <w:t> </w:t>
      </w:r>
      <w:r>
        <w:rPr>
          <w:color w:val="231F20"/>
          <w:spacing w:val="-3"/>
          <w:w w:val="105"/>
        </w:rPr>
        <w:t>inapropiados.</w:t>
      </w:r>
      <w:r>
        <w:rPr>
          <w:color w:val="231F20"/>
          <w:spacing w:val="-22"/>
          <w:w w:val="105"/>
        </w:rPr>
        <w:t> </w:t>
      </w:r>
      <w:r>
        <w:rPr>
          <w:color w:val="231F20"/>
          <w:spacing w:val="-7"/>
          <w:w w:val="105"/>
        </w:rPr>
        <w:t>Por </w:t>
      </w:r>
      <w:r>
        <w:rPr>
          <w:color w:val="231F20"/>
          <w:w w:val="105"/>
        </w:rPr>
        <w:t>lo</w:t>
      </w:r>
      <w:r>
        <w:rPr>
          <w:color w:val="231F20"/>
          <w:spacing w:val="-10"/>
          <w:w w:val="105"/>
        </w:rPr>
        <w:t> </w:t>
      </w:r>
      <w:r>
        <w:rPr>
          <w:color w:val="231F20"/>
          <w:spacing w:val="-2"/>
          <w:w w:val="105"/>
        </w:rPr>
        <w:t>tanto,</w:t>
      </w:r>
      <w:r>
        <w:rPr>
          <w:color w:val="231F20"/>
          <w:spacing w:val="-15"/>
          <w:w w:val="105"/>
        </w:rPr>
        <w:t> </w:t>
      </w:r>
      <w:r>
        <w:rPr>
          <w:color w:val="231F20"/>
          <w:w w:val="105"/>
        </w:rPr>
        <w:t>gran</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investigación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administración</w:t>
      </w:r>
      <w:r>
        <w:rPr>
          <w:color w:val="231F20"/>
          <w:spacing w:val="-10"/>
          <w:w w:val="105"/>
        </w:rPr>
        <w:t> </w:t>
      </w:r>
      <w:r>
        <w:rPr>
          <w:color w:val="231F20"/>
          <w:w w:val="105"/>
        </w:rPr>
        <w:t>de</w:t>
      </w:r>
      <w:r>
        <w:rPr>
          <w:color w:val="231F20"/>
          <w:spacing w:val="-10"/>
          <w:w w:val="105"/>
        </w:rPr>
        <w:t> </w:t>
      </w:r>
      <w:r>
        <w:rPr>
          <w:color w:val="231F20"/>
          <w:w w:val="105"/>
        </w:rPr>
        <w:t>riesgos</w:t>
      </w:r>
      <w:r>
        <w:rPr>
          <w:color w:val="231F20"/>
          <w:spacing w:val="-10"/>
          <w:w w:val="105"/>
        </w:rPr>
        <w:t> </w:t>
      </w:r>
      <w:r>
        <w:rPr>
          <w:color w:val="231F20"/>
          <w:w w:val="105"/>
        </w:rPr>
        <w:t>e ingeniería</w:t>
      </w:r>
      <w:r>
        <w:rPr>
          <w:color w:val="231F20"/>
          <w:spacing w:val="-28"/>
          <w:w w:val="105"/>
        </w:rPr>
        <w:t> </w:t>
      </w:r>
      <w:r>
        <w:rPr>
          <w:color w:val="231F20"/>
          <w:w w:val="105"/>
        </w:rPr>
        <w:t>financiera</w:t>
      </w:r>
      <w:r>
        <w:rPr>
          <w:color w:val="231F20"/>
          <w:spacing w:val="-28"/>
          <w:w w:val="105"/>
        </w:rPr>
        <w:t> </w:t>
      </w:r>
      <w:r>
        <w:rPr>
          <w:color w:val="231F20"/>
          <w:w w:val="105"/>
        </w:rPr>
        <w:t>se</w:t>
      </w:r>
      <w:r>
        <w:rPr>
          <w:color w:val="231F20"/>
          <w:spacing w:val="-28"/>
          <w:w w:val="105"/>
        </w:rPr>
        <w:t> </w:t>
      </w:r>
      <w:r>
        <w:rPr>
          <w:color w:val="231F20"/>
          <w:w w:val="105"/>
        </w:rPr>
        <w:t>ha</w:t>
      </w:r>
      <w:r>
        <w:rPr>
          <w:color w:val="231F20"/>
          <w:spacing w:val="-28"/>
          <w:w w:val="105"/>
        </w:rPr>
        <w:t> </w:t>
      </w:r>
      <w:r>
        <w:rPr>
          <w:color w:val="231F20"/>
          <w:w w:val="105"/>
        </w:rPr>
        <w:t>concentrado</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spacing w:val="-3"/>
          <w:w w:val="105"/>
        </w:rPr>
        <w:t>desarrollo</w:t>
      </w:r>
      <w:r>
        <w:rPr>
          <w:color w:val="231F20"/>
          <w:spacing w:val="-28"/>
          <w:w w:val="105"/>
        </w:rPr>
        <w:t> </w:t>
      </w:r>
      <w:r>
        <w:rPr>
          <w:color w:val="231F20"/>
          <w:w w:val="105"/>
        </w:rPr>
        <w:t>de</w:t>
      </w:r>
      <w:r>
        <w:rPr>
          <w:color w:val="231F20"/>
          <w:spacing w:val="-28"/>
          <w:w w:val="105"/>
        </w:rPr>
        <w:t> </w:t>
      </w:r>
      <w:r>
        <w:rPr>
          <w:color w:val="231F20"/>
          <w:w w:val="105"/>
        </w:rPr>
        <w:t>modelos</w:t>
      </w:r>
      <w:r>
        <w:rPr>
          <w:color w:val="231F20"/>
          <w:spacing w:val="-28"/>
          <w:w w:val="105"/>
        </w:rPr>
        <w:t> </w:t>
      </w:r>
      <w:r>
        <w:rPr>
          <w:color w:val="231F20"/>
          <w:spacing w:val="-3"/>
          <w:w w:val="105"/>
        </w:rPr>
        <w:t>alter- </w:t>
      </w:r>
      <w:r>
        <w:rPr>
          <w:color w:val="231F20"/>
          <w:w w:val="105"/>
        </w:rPr>
        <w:t>nativos;</w:t>
      </w:r>
      <w:r>
        <w:rPr>
          <w:color w:val="231F20"/>
          <w:spacing w:val="-30"/>
          <w:w w:val="105"/>
        </w:rPr>
        <w:t> </w:t>
      </w:r>
      <w:r>
        <w:rPr>
          <w:color w:val="231F20"/>
          <w:w w:val="105"/>
        </w:rPr>
        <w:t>en</w:t>
      </w:r>
      <w:r>
        <w:rPr>
          <w:color w:val="231F20"/>
          <w:spacing w:val="-30"/>
          <w:w w:val="105"/>
        </w:rPr>
        <w:t> </w:t>
      </w:r>
      <w:r>
        <w:rPr>
          <w:color w:val="231F20"/>
          <w:w w:val="105"/>
        </w:rPr>
        <w:t>especial</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dinámica</w:t>
      </w:r>
      <w:r>
        <w:rPr>
          <w:color w:val="231F20"/>
          <w:spacing w:val="-30"/>
          <w:w w:val="105"/>
        </w:rPr>
        <w:t> </w:t>
      </w:r>
      <w:r>
        <w:rPr>
          <w:color w:val="231F20"/>
          <w:w w:val="105"/>
        </w:rPr>
        <w:t>de</w:t>
      </w:r>
      <w:r>
        <w:rPr>
          <w:color w:val="231F20"/>
          <w:spacing w:val="-30"/>
          <w:w w:val="105"/>
        </w:rPr>
        <w:t> </w:t>
      </w:r>
      <w:r>
        <w:rPr>
          <w:color w:val="231F20"/>
          <w:spacing w:val="-3"/>
          <w:w w:val="105"/>
        </w:rPr>
        <w:t>precios</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activos</w:t>
      </w:r>
      <w:r>
        <w:rPr>
          <w:color w:val="231F20"/>
          <w:spacing w:val="-30"/>
          <w:w w:val="105"/>
        </w:rPr>
        <w:t> </w:t>
      </w:r>
      <w:r>
        <w:rPr>
          <w:color w:val="231F20"/>
          <w:spacing w:val="-2"/>
          <w:w w:val="105"/>
        </w:rPr>
        <w:t>subyacentes, </w:t>
      </w:r>
      <w:r>
        <w:rPr>
          <w:color w:val="231F20"/>
          <w:w w:val="105"/>
        </w:rPr>
        <w:t>de</w:t>
      </w:r>
      <w:r>
        <w:rPr>
          <w:color w:val="231F20"/>
          <w:spacing w:val="-17"/>
          <w:w w:val="105"/>
        </w:rPr>
        <w:t> </w:t>
      </w:r>
      <w:r>
        <w:rPr>
          <w:color w:val="231F20"/>
          <w:w w:val="105"/>
        </w:rPr>
        <w:t>tal</w:t>
      </w:r>
      <w:r>
        <w:rPr>
          <w:color w:val="231F20"/>
          <w:spacing w:val="-17"/>
          <w:w w:val="105"/>
        </w:rPr>
        <w:t> </w:t>
      </w:r>
      <w:r>
        <w:rPr>
          <w:color w:val="231F20"/>
          <w:spacing w:val="-2"/>
          <w:w w:val="105"/>
        </w:rPr>
        <w:t>manera</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spacing w:val="-3"/>
          <w:w w:val="105"/>
        </w:rPr>
        <w:t>precios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opciones</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spacing w:val="-3"/>
          <w:w w:val="105"/>
        </w:rPr>
        <w:t>naturaleza</w:t>
      </w:r>
      <w:r>
        <w:rPr>
          <w:color w:val="231F20"/>
          <w:spacing w:val="-17"/>
          <w:w w:val="105"/>
        </w:rPr>
        <w:t> </w:t>
      </w:r>
      <w:r>
        <w:rPr>
          <w:color w:val="231F20"/>
          <w:w w:val="105"/>
        </w:rPr>
        <w:t>estocástica del</w:t>
      </w:r>
      <w:r>
        <w:rPr>
          <w:color w:val="231F20"/>
          <w:spacing w:val="-32"/>
          <w:w w:val="105"/>
        </w:rPr>
        <w:t> </w:t>
      </w:r>
      <w:r>
        <w:rPr>
          <w:color w:val="231F20"/>
          <w:w w:val="105"/>
        </w:rPr>
        <w:t>activo</w:t>
      </w:r>
      <w:r>
        <w:rPr>
          <w:color w:val="231F20"/>
          <w:spacing w:val="-32"/>
          <w:w w:val="105"/>
        </w:rPr>
        <w:t> </w:t>
      </w:r>
      <w:r>
        <w:rPr>
          <w:color w:val="231F20"/>
          <w:w w:val="105"/>
        </w:rPr>
        <w:t>subyacente</w:t>
      </w:r>
      <w:r>
        <w:rPr>
          <w:color w:val="231F20"/>
          <w:spacing w:val="-32"/>
          <w:w w:val="105"/>
        </w:rPr>
        <w:t> </w:t>
      </w:r>
      <w:r>
        <w:rPr>
          <w:color w:val="231F20"/>
          <w:w w:val="105"/>
        </w:rPr>
        <w:t>se</w:t>
      </w:r>
      <w:r>
        <w:rPr>
          <w:color w:val="231F20"/>
          <w:spacing w:val="-32"/>
          <w:w w:val="105"/>
        </w:rPr>
        <w:t> </w:t>
      </w:r>
      <w:r>
        <w:rPr>
          <w:color w:val="231F20"/>
          <w:w w:val="105"/>
        </w:rPr>
        <w:t>combinan</w:t>
      </w:r>
      <w:r>
        <w:rPr>
          <w:color w:val="231F20"/>
          <w:spacing w:val="-32"/>
          <w:w w:val="105"/>
        </w:rPr>
        <w:t> </w:t>
      </w:r>
      <w:r>
        <w:rPr>
          <w:color w:val="231F20"/>
          <w:w w:val="105"/>
        </w:rPr>
        <w:t>de</w:t>
      </w:r>
      <w:r>
        <w:rPr>
          <w:color w:val="231F20"/>
          <w:spacing w:val="-32"/>
          <w:w w:val="105"/>
        </w:rPr>
        <w:t> </w:t>
      </w:r>
      <w:r>
        <w:rPr>
          <w:color w:val="231F20"/>
          <w:w w:val="105"/>
        </w:rPr>
        <w:t>forma</w:t>
      </w:r>
      <w:r>
        <w:rPr>
          <w:color w:val="231F20"/>
          <w:spacing w:val="-32"/>
          <w:w w:val="105"/>
        </w:rPr>
        <w:t> </w:t>
      </w:r>
      <w:r>
        <w:rPr>
          <w:color w:val="231F20"/>
          <w:w w:val="105"/>
        </w:rPr>
        <w:t>más</w:t>
      </w:r>
      <w:r>
        <w:rPr>
          <w:color w:val="231F20"/>
          <w:spacing w:val="-32"/>
          <w:w w:val="105"/>
        </w:rPr>
        <w:t> </w:t>
      </w:r>
      <w:r>
        <w:rPr>
          <w:color w:val="231F20"/>
          <w:w w:val="105"/>
        </w:rPr>
        <w:t>adecuada.</w:t>
      </w:r>
    </w:p>
    <w:p>
      <w:pPr>
        <w:pStyle w:val="BodyText"/>
        <w:spacing w:line="259" w:lineRule="auto"/>
        <w:ind w:left="103" w:right="115" w:firstLine="567"/>
        <w:jc w:val="both"/>
      </w:pPr>
      <w:r>
        <w:rPr>
          <w:color w:val="231F20"/>
          <w:w w:val="105"/>
        </w:rPr>
        <w:t>Algunos</w:t>
      </w:r>
      <w:r>
        <w:rPr>
          <w:color w:val="231F20"/>
          <w:spacing w:val="-16"/>
          <w:w w:val="105"/>
        </w:rPr>
        <w:t> </w:t>
      </w:r>
      <w:r>
        <w:rPr>
          <w:color w:val="231F20"/>
          <w:w w:val="105"/>
        </w:rPr>
        <w:t>postulados</w:t>
      </w:r>
      <w:r>
        <w:rPr>
          <w:color w:val="231F20"/>
          <w:spacing w:val="-16"/>
          <w:w w:val="105"/>
        </w:rPr>
        <w:t> </w:t>
      </w:r>
      <w:r>
        <w:rPr>
          <w:color w:val="231F20"/>
          <w:w w:val="105"/>
        </w:rPr>
        <w:t>del</w:t>
      </w:r>
      <w:r>
        <w:rPr>
          <w:color w:val="231F20"/>
          <w:spacing w:val="-16"/>
          <w:w w:val="105"/>
        </w:rPr>
        <w:t> </w:t>
      </w:r>
      <w:r>
        <w:rPr>
          <w:color w:val="231F20"/>
          <w:w w:val="105"/>
        </w:rPr>
        <w:t>modelo</w:t>
      </w:r>
      <w:r>
        <w:rPr>
          <w:color w:val="231F20"/>
          <w:spacing w:val="-16"/>
          <w:w w:val="105"/>
        </w:rPr>
        <w:t> </w:t>
      </w:r>
      <w:r>
        <w:rPr>
          <w:color w:val="231F20"/>
          <w:w w:val="105"/>
        </w:rPr>
        <w:t>de</w:t>
      </w:r>
      <w:r>
        <w:rPr>
          <w:color w:val="231F20"/>
          <w:spacing w:val="-16"/>
          <w:w w:val="105"/>
        </w:rPr>
        <w:t> </w:t>
      </w:r>
      <w:r>
        <w:rPr>
          <w:color w:val="231F20"/>
          <w:w w:val="105"/>
        </w:rPr>
        <w:t>Black</w:t>
      </w:r>
      <w:r>
        <w:rPr>
          <w:color w:val="231F20"/>
          <w:spacing w:val="-16"/>
          <w:w w:val="105"/>
        </w:rPr>
        <w:t> </w:t>
      </w:r>
      <w:r>
        <w:rPr>
          <w:color w:val="231F20"/>
          <w:w w:val="105"/>
        </w:rPr>
        <w:t>y</w:t>
      </w:r>
      <w:r>
        <w:rPr>
          <w:color w:val="231F20"/>
          <w:spacing w:val="-16"/>
          <w:w w:val="105"/>
        </w:rPr>
        <w:t> </w:t>
      </w:r>
      <w:r>
        <w:rPr>
          <w:color w:val="231F20"/>
          <w:w w:val="105"/>
        </w:rPr>
        <w:t>Scholes</w:t>
      </w:r>
      <w:r>
        <w:rPr>
          <w:color w:val="231F20"/>
          <w:spacing w:val="-16"/>
          <w:w w:val="105"/>
        </w:rPr>
        <w:t> </w:t>
      </w:r>
      <w:r>
        <w:rPr>
          <w:color w:val="231F20"/>
          <w:w w:val="105"/>
        </w:rPr>
        <w:t>(1973),</w:t>
      </w:r>
      <w:r>
        <w:rPr>
          <w:color w:val="231F20"/>
          <w:spacing w:val="-22"/>
          <w:w w:val="105"/>
        </w:rPr>
        <w:t> </w:t>
      </w:r>
      <w:r>
        <w:rPr>
          <w:color w:val="231F20"/>
          <w:w w:val="105"/>
        </w:rPr>
        <w:t>al</w:t>
      </w:r>
      <w:r>
        <w:rPr>
          <w:color w:val="231F20"/>
          <w:spacing w:val="-16"/>
          <w:w w:val="105"/>
        </w:rPr>
        <w:t> </w:t>
      </w:r>
      <w:r>
        <w:rPr>
          <w:color w:val="231F20"/>
          <w:w w:val="105"/>
        </w:rPr>
        <w:t>igual que la volatilidad y las tasas de interés constantes, no encuentran jus- tificación en los mercados financieros. En particular, desde el </w:t>
      </w:r>
      <w:r>
        <w:rPr>
          <w:i/>
          <w:color w:val="231F20"/>
          <w:w w:val="105"/>
        </w:rPr>
        <w:t>crash</w:t>
      </w:r>
      <w:r>
        <w:rPr>
          <w:i/>
          <w:color w:val="231F20"/>
          <w:spacing w:val="-26"/>
          <w:w w:val="105"/>
        </w:rPr>
        <w:t> </w:t>
      </w:r>
      <w:r>
        <w:rPr>
          <w:color w:val="231F20"/>
          <w:w w:val="105"/>
        </w:rPr>
        <w:t>del índice SyP 500 en 1987 surge una serie de modelos complejos con el propósito de mejorar las especificaciones del modelo antes menciona- do.</w:t>
      </w:r>
      <w:r>
        <w:rPr>
          <w:color w:val="231F20"/>
          <w:spacing w:val="-32"/>
          <w:w w:val="105"/>
        </w:rPr>
        <w:t> </w:t>
      </w:r>
      <w:r>
        <w:rPr>
          <w:color w:val="231F20"/>
          <w:spacing w:val="-5"/>
          <w:w w:val="105"/>
        </w:rPr>
        <w:t>Tales</w:t>
      </w:r>
      <w:r>
        <w:rPr>
          <w:color w:val="231F20"/>
          <w:spacing w:val="-21"/>
          <w:w w:val="105"/>
        </w:rPr>
        <w:t> </w:t>
      </w:r>
      <w:r>
        <w:rPr>
          <w:color w:val="231F20"/>
          <w:w w:val="105"/>
        </w:rPr>
        <w:t>modelos</w:t>
      </w:r>
      <w:r>
        <w:rPr>
          <w:color w:val="231F20"/>
          <w:spacing w:val="-21"/>
          <w:w w:val="105"/>
        </w:rPr>
        <w:t> </w:t>
      </w:r>
      <w:r>
        <w:rPr>
          <w:color w:val="231F20"/>
          <w:w w:val="105"/>
        </w:rPr>
        <w:t>complejos</w:t>
      </w:r>
      <w:r>
        <w:rPr>
          <w:color w:val="231F20"/>
          <w:spacing w:val="-21"/>
          <w:w w:val="105"/>
        </w:rPr>
        <w:t> </w:t>
      </w:r>
      <w:r>
        <w:rPr>
          <w:color w:val="231F20"/>
          <w:w w:val="105"/>
        </w:rPr>
        <w:t>relajan</w:t>
      </w:r>
      <w:r>
        <w:rPr>
          <w:color w:val="231F20"/>
          <w:spacing w:val="-21"/>
          <w:w w:val="105"/>
        </w:rPr>
        <w:t> </w:t>
      </w:r>
      <w:r>
        <w:rPr>
          <w:color w:val="231F20"/>
          <w:w w:val="105"/>
        </w:rPr>
        <w:t>el</w:t>
      </w:r>
      <w:r>
        <w:rPr>
          <w:color w:val="231F20"/>
          <w:spacing w:val="-21"/>
          <w:w w:val="105"/>
        </w:rPr>
        <w:t> </w:t>
      </w:r>
      <w:r>
        <w:rPr>
          <w:color w:val="231F20"/>
          <w:w w:val="105"/>
        </w:rPr>
        <w:t>supuesto</w:t>
      </w:r>
      <w:r>
        <w:rPr>
          <w:color w:val="231F20"/>
          <w:spacing w:val="-21"/>
          <w:w w:val="105"/>
        </w:rPr>
        <w:t> </w:t>
      </w:r>
      <w:r>
        <w:rPr>
          <w:color w:val="231F20"/>
          <w:w w:val="105"/>
        </w:rPr>
        <w:t>de</w:t>
      </w:r>
      <w:r>
        <w:rPr>
          <w:color w:val="231F20"/>
          <w:spacing w:val="-21"/>
          <w:w w:val="105"/>
        </w:rPr>
        <w:t> </w:t>
      </w:r>
      <w:r>
        <w:rPr>
          <w:color w:val="231F20"/>
          <w:w w:val="105"/>
        </w:rPr>
        <w:t>volatilidad</w:t>
      </w:r>
      <w:r>
        <w:rPr>
          <w:color w:val="231F20"/>
          <w:spacing w:val="-21"/>
          <w:w w:val="105"/>
        </w:rPr>
        <w:t> </w:t>
      </w:r>
      <w:r>
        <w:rPr>
          <w:color w:val="231F20"/>
          <w:w w:val="105"/>
        </w:rPr>
        <w:t>constante e incorporan el fenómeno de volatilidad estocástica, proporcionando el precio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opción</w:t>
      </w:r>
      <w:r>
        <w:rPr>
          <w:color w:val="231F20"/>
          <w:spacing w:val="-10"/>
          <w:w w:val="105"/>
        </w:rPr>
        <w:t> </w:t>
      </w:r>
      <w:r>
        <w:rPr>
          <w:color w:val="231F20"/>
          <w:w w:val="105"/>
        </w:rPr>
        <w:t>más</w:t>
      </w:r>
      <w:r>
        <w:rPr>
          <w:color w:val="231F20"/>
          <w:spacing w:val="-10"/>
          <w:w w:val="105"/>
        </w:rPr>
        <w:t> </w:t>
      </w:r>
      <w:r>
        <w:rPr>
          <w:color w:val="231F20"/>
          <w:w w:val="105"/>
        </w:rPr>
        <w:t>real</w:t>
      </w:r>
      <w:r>
        <w:rPr>
          <w:color w:val="231F20"/>
          <w:spacing w:val="-10"/>
          <w:w w:val="105"/>
        </w:rPr>
        <w:t> </w:t>
      </w:r>
      <w:r>
        <w:rPr>
          <w:color w:val="231F20"/>
          <w:w w:val="105"/>
        </w:rPr>
        <w:t>respecto</w:t>
      </w:r>
      <w:r>
        <w:rPr>
          <w:color w:val="231F20"/>
          <w:spacing w:val="-10"/>
          <w:w w:val="105"/>
        </w:rPr>
        <w:t> </w:t>
      </w:r>
      <w:r>
        <w:rPr>
          <w:color w:val="231F20"/>
          <w:w w:val="105"/>
        </w:rPr>
        <w:t>al</w:t>
      </w:r>
      <w:r>
        <w:rPr>
          <w:color w:val="231F20"/>
          <w:spacing w:val="-10"/>
          <w:w w:val="105"/>
        </w:rPr>
        <w:t> </w:t>
      </w:r>
      <w:r>
        <w:rPr>
          <w:color w:val="231F20"/>
          <w:w w:val="105"/>
        </w:rPr>
        <w:t>precio</w:t>
      </w:r>
      <w:r>
        <w:rPr>
          <w:color w:val="231F20"/>
          <w:spacing w:val="-10"/>
          <w:w w:val="105"/>
        </w:rPr>
        <w:t> </w:t>
      </w:r>
      <w:r>
        <w:rPr>
          <w:color w:val="231F20"/>
          <w:w w:val="105"/>
        </w:rPr>
        <w:t>del</w:t>
      </w:r>
      <w:r>
        <w:rPr>
          <w:color w:val="231F20"/>
          <w:spacing w:val="-10"/>
          <w:w w:val="105"/>
        </w:rPr>
        <w:t> </w:t>
      </w:r>
      <w:r>
        <w:rPr>
          <w:color w:val="231F20"/>
          <w:w w:val="105"/>
        </w:rPr>
        <w:t>mercado.</w:t>
      </w:r>
    </w:p>
    <w:p>
      <w:pPr>
        <w:pStyle w:val="BodyText"/>
        <w:spacing w:line="259" w:lineRule="auto"/>
        <w:ind w:left="103" w:right="114" w:firstLine="567"/>
        <w:jc w:val="both"/>
      </w:pPr>
      <w:r>
        <w:rPr>
          <w:color w:val="231F20"/>
          <w:w w:val="105"/>
        </w:rPr>
        <w:t>El uso de opciones sobre tipo de cambio disminuye el riesgo ge- nerado</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mercados</w:t>
      </w:r>
      <w:r>
        <w:rPr>
          <w:color w:val="231F20"/>
          <w:spacing w:val="-9"/>
          <w:w w:val="105"/>
        </w:rPr>
        <w:t> </w:t>
      </w:r>
      <w:r>
        <w:rPr>
          <w:color w:val="231F20"/>
          <w:w w:val="105"/>
        </w:rPr>
        <w:t>financieros</w:t>
      </w:r>
      <w:r>
        <w:rPr>
          <w:color w:val="231F20"/>
          <w:spacing w:val="-9"/>
          <w:w w:val="105"/>
        </w:rPr>
        <w:t> </w:t>
      </w:r>
      <w:r>
        <w:rPr>
          <w:color w:val="231F20"/>
          <w:w w:val="105"/>
        </w:rPr>
        <w:t>por</w:t>
      </w:r>
      <w:r>
        <w:rPr>
          <w:color w:val="231F20"/>
          <w:spacing w:val="-9"/>
          <w:w w:val="105"/>
        </w:rPr>
        <w:t> </w:t>
      </w:r>
      <w:r>
        <w:rPr>
          <w:color w:val="231F20"/>
          <w:w w:val="105"/>
        </w:rPr>
        <w:t>fluctuaciones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principales variables macroeconómicas, a través de mecanismos de cobertura en periodos de extrema volatilidad (Chesney y Scott, 1989). Hasta el mo- mento, no existe un modelo que considere el tipo de cambio y la</w:t>
      </w:r>
      <w:r>
        <w:rPr>
          <w:color w:val="231F20"/>
          <w:spacing w:val="-36"/>
          <w:w w:val="105"/>
        </w:rPr>
        <w:t> </w:t>
      </w:r>
      <w:r>
        <w:rPr>
          <w:color w:val="231F20"/>
          <w:w w:val="105"/>
        </w:rPr>
        <w:t>volati- lidad del precio del activo subyacente estocástico para valuar el precio de</w:t>
      </w:r>
      <w:r>
        <w:rPr>
          <w:color w:val="231F20"/>
          <w:spacing w:val="-21"/>
          <w:w w:val="105"/>
        </w:rPr>
        <w:t> </w:t>
      </w:r>
      <w:r>
        <w:rPr>
          <w:color w:val="231F20"/>
          <w:w w:val="105"/>
        </w:rPr>
        <w:t>una</w:t>
      </w:r>
      <w:r>
        <w:rPr>
          <w:color w:val="231F20"/>
          <w:spacing w:val="-21"/>
          <w:w w:val="105"/>
        </w:rPr>
        <w:t> </w:t>
      </w:r>
      <w:r>
        <w:rPr>
          <w:color w:val="231F20"/>
          <w:w w:val="105"/>
        </w:rPr>
        <w:t>opción</w:t>
      </w:r>
      <w:r>
        <w:rPr>
          <w:color w:val="231F20"/>
          <w:spacing w:val="-21"/>
          <w:w w:val="105"/>
        </w:rPr>
        <w:t> </w:t>
      </w:r>
      <w:r>
        <w:rPr>
          <w:color w:val="231F20"/>
          <w:w w:val="105"/>
        </w:rPr>
        <w:t>sobre</w:t>
      </w:r>
      <w:r>
        <w:rPr>
          <w:color w:val="231F20"/>
          <w:spacing w:val="-21"/>
          <w:w w:val="105"/>
        </w:rPr>
        <w:t> </w:t>
      </w:r>
      <w:r>
        <w:rPr>
          <w:color w:val="231F20"/>
          <w:w w:val="105"/>
        </w:rPr>
        <w:t>divisas</w:t>
      </w:r>
      <w:r>
        <w:rPr>
          <w:color w:val="231F20"/>
          <w:spacing w:val="-21"/>
          <w:w w:val="105"/>
        </w:rPr>
        <w:t> </w:t>
      </w:r>
      <w:r>
        <w:rPr>
          <w:color w:val="231F20"/>
          <w:w w:val="105"/>
        </w:rPr>
        <w:t>en</w:t>
      </w:r>
      <w:r>
        <w:rPr>
          <w:color w:val="231F20"/>
          <w:spacing w:val="-21"/>
          <w:w w:val="105"/>
        </w:rPr>
        <w:t> </w:t>
      </w:r>
      <w:r>
        <w:rPr>
          <w:color w:val="231F20"/>
          <w:w w:val="105"/>
        </w:rPr>
        <w:t>México.</w:t>
      </w:r>
      <w:r>
        <w:rPr>
          <w:color w:val="231F20"/>
          <w:spacing w:val="-32"/>
          <w:w w:val="105"/>
        </w:rPr>
        <w:t> </w:t>
      </w:r>
      <w:r>
        <w:rPr>
          <w:color w:val="231F20"/>
          <w:spacing w:val="-7"/>
          <w:w w:val="105"/>
        </w:rPr>
        <w:t>Tal</w:t>
      </w:r>
      <w:r>
        <w:rPr>
          <w:color w:val="231F20"/>
          <w:spacing w:val="-21"/>
          <w:w w:val="105"/>
        </w:rPr>
        <w:t> </w:t>
      </w:r>
      <w:r>
        <w:rPr>
          <w:color w:val="231F20"/>
          <w:w w:val="105"/>
        </w:rPr>
        <w:t>modelo</w:t>
      </w:r>
      <w:r>
        <w:rPr>
          <w:color w:val="231F20"/>
          <w:spacing w:val="-21"/>
          <w:w w:val="105"/>
        </w:rPr>
        <w:t> </w:t>
      </w:r>
      <w:r>
        <w:rPr>
          <w:color w:val="231F20"/>
          <w:w w:val="105"/>
        </w:rPr>
        <w:t>ayudaría</w:t>
      </w:r>
      <w:r>
        <w:rPr>
          <w:color w:val="231F20"/>
          <w:spacing w:val="-21"/>
          <w:w w:val="105"/>
        </w:rPr>
        <w:t> </w:t>
      </w:r>
      <w:r>
        <w:rPr>
          <w:color w:val="231F20"/>
          <w:w w:val="105"/>
        </w:rPr>
        <w:t>a</w:t>
      </w:r>
      <w:r>
        <w:rPr>
          <w:color w:val="231F20"/>
          <w:spacing w:val="-21"/>
          <w:w w:val="105"/>
        </w:rPr>
        <w:t> </w:t>
      </w:r>
      <w:r>
        <w:rPr>
          <w:color w:val="231F20"/>
          <w:w w:val="105"/>
        </w:rPr>
        <w:t>reducir</w:t>
      </w:r>
      <w:r>
        <w:rPr>
          <w:color w:val="231F20"/>
          <w:spacing w:val="-21"/>
          <w:w w:val="105"/>
        </w:rPr>
        <w:t> </w:t>
      </w:r>
      <w:r>
        <w:rPr>
          <w:color w:val="231F20"/>
          <w:w w:val="105"/>
        </w:rPr>
        <w:t>los riesgos</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enfrentan</w:t>
      </w:r>
      <w:r>
        <w:rPr>
          <w:color w:val="231F20"/>
          <w:spacing w:val="-5"/>
          <w:w w:val="105"/>
        </w:rPr>
        <w:t> </w:t>
      </w:r>
      <w:r>
        <w:rPr>
          <w:color w:val="231F20"/>
          <w:w w:val="105"/>
        </w:rPr>
        <w:t>los</w:t>
      </w:r>
      <w:r>
        <w:rPr>
          <w:color w:val="231F20"/>
          <w:spacing w:val="-5"/>
          <w:w w:val="105"/>
        </w:rPr>
        <w:t> </w:t>
      </w:r>
      <w:r>
        <w:rPr>
          <w:color w:val="231F20"/>
          <w:w w:val="105"/>
        </w:rPr>
        <w:t>agentes</w:t>
      </w:r>
      <w:r>
        <w:rPr>
          <w:color w:val="231F20"/>
          <w:spacing w:val="-5"/>
          <w:w w:val="105"/>
        </w:rPr>
        <w:t> </w:t>
      </w:r>
      <w:r>
        <w:rPr>
          <w:color w:val="231F20"/>
          <w:w w:val="105"/>
        </w:rPr>
        <w:t>económicos</w:t>
      </w:r>
      <w:r>
        <w:rPr>
          <w:color w:val="231F20"/>
          <w:spacing w:val="-5"/>
          <w:w w:val="105"/>
        </w:rPr>
        <w:t> </w:t>
      </w:r>
      <w:r>
        <w:rPr>
          <w:color w:val="231F20"/>
          <w:w w:val="105"/>
        </w:rPr>
        <w:t>e</w:t>
      </w:r>
      <w:r>
        <w:rPr>
          <w:color w:val="231F20"/>
          <w:spacing w:val="-5"/>
          <w:w w:val="105"/>
        </w:rPr>
        <w:t> </w:t>
      </w:r>
      <w:r>
        <w:rPr>
          <w:color w:val="231F20"/>
          <w:w w:val="105"/>
        </w:rPr>
        <w:t>inversionistas ante</w:t>
      </w:r>
      <w:r>
        <w:rPr>
          <w:color w:val="231F20"/>
          <w:spacing w:val="-20"/>
          <w:w w:val="105"/>
        </w:rPr>
        <w:t> </w:t>
      </w:r>
      <w:r>
        <w:rPr>
          <w:color w:val="231F20"/>
          <w:w w:val="105"/>
        </w:rPr>
        <w:t>fenómenos</w:t>
      </w:r>
      <w:r>
        <w:rPr>
          <w:color w:val="231F20"/>
          <w:spacing w:val="-20"/>
          <w:w w:val="105"/>
        </w:rPr>
        <w:t> </w:t>
      </w:r>
      <w:r>
        <w:rPr>
          <w:color w:val="231F20"/>
          <w:w w:val="105"/>
        </w:rPr>
        <w:t>económicos</w:t>
      </w:r>
      <w:r>
        <w:rPr>
          <w:color w:val="231F20"/>
          <w:spacing w:val="-20"/>
          <w:w w:val="105"/>
        </w:rPr>
        <w:t> </w:t>
      </w:r>
      <w:r>
        <w:rPr>
          <w:color w:val="231F20"/>
          <w:w w:val="105"/>
        </w:rPr>
        <w:t>globalizados.</w:t>
      </w:r>
    </w:p>
    <w:p>
      <w:pPr>
        <w:pStyle w:val="BodyText"/>
        <w:spacing w:line="259" w:lineRule="auto"/>
        <w:ind w:left="103" w:right="108" w:firstLine="567"/>
        <w:jc w:val="both"/>
      </w:pPr>
      <w:r>
        <w:rPr>
          <w:color w:val="231F20"/>
          <w:w w:val="105"/>
        </w:rPr>
        <w:t>Es</w:t>
      </w:r>
      <w:r>
        <w:rPr>
          <w:color w:val="231F20"/>
          <w:spacing w:val="-19"/>
          <w:w w:val="105"/>
        </w:rPr>
        <w:t> </w:t>
      </w:r>
      <w:r>
        <w:rPr>
          <w:color w:val="231F20"/>
          <w:w w:val="105"/>
        </w:rPr>
        <w:t>por</w:t>
      </w:r>
      <w:r>
        <w:rPr>
          <w:color w:val="231F20"/>
          <w:spacing w:val="-19"/>
          <w:w w:val="105"/>
        </w:rPr>
        <w:t> </w:t>
      </w:r>
      <w:r>
        <w:rPr>
          <w:color w:val="231F20"/>
          <w:w w:val="105"/>
        </w:rPr>
        <w:t>ello</w:t>
      </w:r>
      <w:r>
        <w:rPr>
          <w:color w:val="231F20"/>
          <w:spacing w:val="-19"/>
          <w:w w:val="105"/>
        </w:rPr>
        <w:t> </w:t>
      </w:r>
      <w:r>
        <w:rPr>
          <w:color w:val="231F20"/>
          <w:w w:val="105"/>
        </w:rPr>
        <w:t>que</w:t>
      </w:r>
      <w:r>
        <w:rPr>
          <w:color w:val="231F20"/>
          <w:spacing w:val="-19"/>
          <w:w w:val="105"/>
        </w:rPr>
        <w:t> </w:t>
      </w:r>
      <w:r>
        <w:rPr>
          <w:color w:val="231F20"/>
          <w:w w:val="105"/>
        </w:rPr>
        <w:t>el</w:t>
      </w:r>
      <w:r>
        <w:rPr>
          <w:color w:val="231F20"/>
          <w:spacing w:val="-19"/>
          <w:w w:val="105"/>
        </w:rPr>
        <w:t> </w:t>
      </w:r>
      <w:r>
        <w:rPr>
          <w:color w:val="231F20"/>
          <w:w w:val="105"/>
        </w:rPr>
        <w:t>objetivo</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trabajo</w:t>
      </w:r>
      <w:r>
        <w:rPr>
          <w:color w:val="231F20"/>
          <w:spacing w:val="-19"/>
          <w:w w:val="105"/>
        </w:rPr>
        <w:t> </w:t>
      </w:r>
      <w:r>
        <w:rPr>
          <w:color w:val="231F20"/>
          <w:w w:val="105"/>
        </w:rPr>
        <w:t>es</w:t>
      </w:r>
      <w:r>
        <w:rPr>
          <w:color w:val="231F20"/>
          <w:spacing w:val="-19"/>
          <w:w w:val="105"/>
        </w:rPr>
        <w:t> </w:t>
      </w:r>
      <w:r>
        <w:rPr>
          <w:color w:val="231F20"/>
          <w:w w:val="105"/>
        </w:rPr>
        <w:t>calcular</w:t>
      </w:r>
      <w:r>
        <w:rPr>
          <w:color w:val="231F20"/>
          <w:spacing w:val="-19"/>
          <w:w w:val="105"/>
        </w:rPr>
        <w:t> </w:t>
      </w:r>
      <w:r>
        <w:rPr>
          <w:color w:val="231F20"/>
          <w:w w:val="105"/>
        </w:rPr>
        <w:t>el</w:t>
      </w:r>
      <w:r>
        <w:rPr>
          <w:color w:val="231F20"/>
          <w:spacing w:val="-19"/>
          <w:w w:val="105"/>
        </w:rPr>
        <w:t> </w:t>
      </w:r>
      <w:r>
        <w:rPr>
          <w:color w:val="231F20"/>
          <w:w w:val="105"/>
        </w:rPr>
        <w:t>precio</w:t>
      </w:r>
      <w:r>
        <w:rPr>
          <w:color w:val="231F20"/>
          <w:spacing w:val="-19"/>
          <w:w w:val="105"/>
        </w:rPr>
        <w:t> </w:t>
      </w:r>
      <w:r>
        <w:rPr>
          <w:color w:val="231F20"/>
          <w:w w:val="105"/>
        </w:rPr>
        <w:t>de</w:t>
      </w:r>
      <w:r>
        <w:rPr>
          <w:color w:val="231F20"/>
          <w:spacing w:val="-19"/>
          <w:w w:val="105"/>
        </w:rPr>
        <w:t> </w:t>
      </w:r>
      <w:r>
        <w:rPr>
          <w:color w:val="231F20"/>
          <w:w w:val="105"/>
        </w:rPr>
        <w:t>la opción</w:t>
      </w:r>
      <w:r>
        <w:rPr>
          <w:color w:val="231F20"/>
          <w:spacing w:val="-22"/>
          <w:w w:val="105"/>
        </w:rPr>
        <w:t> </w:t>
      </w:r>
      <w:r>
        <w:rPr>
          <w:color w:val="231F20"/>
          <w:w w:val="105"/>
        </w:rPr>
        <w:t>con</w:t>
      </w:r>
      <w:r>
        <w:rPr>
          <w:color w:val="231F20"/>
          <w:spacing w:val="-22"/>
          <w:w w:val="105"/>
        </w:rPr>
        <w:t> </w:t>
      </w:r>
      <w:r>
        <w:rPr>
          <w:color w:val="231F20"/>
          <w:w w:val="105"/>
        </w:rPr>
        <w:t>volatilidad</w:t>
      </w:r>
      <w:r>
        <w:rPr>
          <w:color w:val="231F20"/>
          <w:spacing w:val="-22"/>
          <w:w w:val="105"/>
        </w:rPr>
        <w:t> </w:t>
      </w:r>
      <w:r>
        <w:rPr>
          <w:color w:val="231F20"/>
          <w:w w:val="105"/>
        </w:rPr>
        <w:t>estocástica</w:t>
      </w:r>
      <w:r>
        <w:rPr>
          <w:color w:val="231F20"/>
          <w:spacing w:val="-22"/>
          <w:w w:val="105"/>
        </w:rPr>
        <w:t> </w:t>
      </w:r>
      <w:r>
        <w:rPr>
          <w:color w:val="231F20"/>
          <w:w w:val="105"/>
        </w:rPr>
        <w:t>partiendo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estimación</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pará- metros del modelo de Heston por medio del algoritmo de</w:t>
      </w:r>
      <w:r>
        <w:rPr>
          <w:color w:val="231F20"/>
          <w:spacing w:val="-31"/>
          <w:w w:val="105"/>
        </w:rPr>
        <w:t> </w:t>
      </w:r>
      <w:r>
        <w:rPr>
          <w:color w:val="231F20"/>
          <w:w w:val="105"/>
        </w:rPr>
        <w:t>Nelder-Mead, así</w:t>
      </w:r>
      <w:r>
        <w:rPr>
          <w:color w:val="231F20"/>
          <w:spacing w:val="-18"/>
          <w:w w:val="105"/>
        </w:rPr>
        <w:t> </w:t>
      </w:r>
      <w:r>
        <w:rPr>
          <w:color w:val="231F20"/>
          <w:w w:val="105"/>
        </w:rPr>
        <w:t>como</w:t>
      </w:r>
      <w:r>
        <w:rPr>
          <w:color w:val="231F20"/>
          <w:spacing w:val="-18"/>
          <w:w w:val="105"/>
        </w:rPr>
        <w:t> </w:t>
      </w:r>
      <w:r>
        <w:rPr>
          <w:color w:val="231F20"/>
          <w:w w:val="105"/>
        </w:rPr>
        <w:t>obtener</w:t>
      </w:r>
      <w:r>
        <w:rPr>
          <w:color w:val="231F20"/>
          <w:spacing w:val="-18"/>
          <w:w w:val="105"/>
        </w:rPr>
        <w:t> </w:t>
      </w:r>
      <w:r>
        <w:rPr>
          <w:color w:val="231F20"/>
          <w:w w:val="105"/>
        </w:rPr>
        <w:t>los</w:t>
      </w:r>
      <w:r>
        <w:rPr>
          <w:color w:val="231F20"/>
          <w:spacing w:val="-18"/>
          <w:w w:val="105"/>
        </w:rPr>
        <w:t> </w:t>
      </w:r>
      <w:r>
        <w:rPr>
          <w:color w:val="231F20"/>
          <w:w w:val="105"/>
        </w:rPr>
        <w:t>precios</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modelo</w:t>
      </w:r>
      <w:r>
        <w:rPr>
          <w:color w:val="231F20"/>
          <w:spacing w:val="-18"/>
          <w:w w:val="105"/>
        </w:rPr>
        <w:t> </w:t>
      </w:r>
      <w:r>
        <w:rPr>
          <w:color w:val="231F20"/>
          <w:w w:val="105"/>
        </w:rPr>
        <w:t>de</w:t>
      </w:r>
      <w:r>
        <w:rPr>
          <w:color w:val="231F20"/>
          <w:spacing w:val="-18"/>
          <w:w w:val="105"/>
        </w:rPr>
        <w:t> </w:t>
      </w:r>
      <w:r>
        <w:rPr>
          <w:color w:val="231F20"/>
          <w:w w:val="105"/>
        </w:rPr>
        <w:t>Black</w:t>
      </w:r>
      <w:r>
        <w:rPr>
          <w:color w:val="231F20"/>
          <w:spacing w:val="-18"/>
          <w:w w:val="105"/>
        </w:rPr>
        <w:t> </w:t>
      </w:r>
      <w:r>
        <w:rPr>
          <w:color w:val="231F20"/>
          <w:w w:val="105"/>
        </w:rPr>
        <w:t>y</w:t>
      </w:r>
      <w:r>
        <w:rPr>
          <w:color w:val="231F20"/>
          <w:spacing w:val="-18"/>
          <w:w w:val="105"/>
        </w:rPr>
        <w:t> </w:t>
      </w:r>
      <w:r>
        <w:rPr>
          <w:color w:val="231F20"/>
          <w:w w:val="105"/>
        </w:rPr>
        <w:t>Scholes</w:t>
      </w:r>
      <w:r>
        <w:rPr>
          <w:color w:val="231F20"/>
          <w:spacing w:val="-18"/>
          <w:w w:val="105"/>
        </w:rPr>
        <w:t> </w:t>
      </w:r>
      <w:r>
        <w:rPr>
          <w:color w:val="231F20"/>
          <w:w w:val="105"/>
        </w:rPr>
        <w:t>y</w:t>
      </w:r>
      <w:r>
        <w:rPr>
          <w:color w:val="231F20"/>
          <w:spacing w:val="-18"/>
          <w:w w:val="105"/>
        </w:rPr>
        <w:t> </w:t>
      </w:r>
      <w:r>
        <w:rPr>
          <w:color w:val="231F20"/>
          <w:w w:val="105"/>
        </w:rPr>
        <w:t>compa- rar</w:t>
      </w:r>
      <w:r>
        <w:rPr>
          <w:color w:val="231F20"/>
          <w:spacing w:val="-14"/>
          <w:w w:val="105"/>
        </w:rPr>
        <w:t> </w:t>
      </w:r>
      <w:r>
        <w:rPr>
          <w:color w:val="231F20"/>
          <w:w w:val="105"/>
        </w:rPr>
        <w:t>los</w:t>
      </w:r>
      <w:r>
        <w:rPr>
          <w:color w:val="231F20"/>
          <w:spacing w:val="-14"/>
          <w:w w:val="105"/>
        </w:rPr>
        <w:t> </w:t>
      </w:r>
      <w:r>
        <w:rPr>
          <w:color w:val="231F20"/>
          <w:w w:val="105"/>
        </w:rPr>
        <w:t>resultados</w:t>
      </w:r>
      <w:r>
        <w:rPr>
          <w:color w:val="231F20"/>
          <w:spacing w:val="-14"/>
          <w:w w:val="105"/>
        </w:rPr>
        <w:t> </w:t>
      </w:r>
      <w:r>
        <w:rPr>
          <w:color w:val="231F20"/>
          <w:w w:val="105"/>
        </w:rPr>
        <w:t>de</w:t>
      </w:r>
      <w:r>
        <w:rPr>
          <w:color w:val="231F20"/>
          <w:spacing w:val="-14"/>
          <w:w w:val="105"/>
        </w:rPr>
        <w:t> </w:t>
      </w:r>
      <w:r>
        <w:rPr>
          <w:color w:val="231F20"/>
          <w:w w:val="105"/>
        </w:rPr>
        <w:t>ambos</w:t>
      </w:r>
      <w:r>
        <w:rPr>
          <w:color w:val="231F20"/>
          <w:spacing w:val="-14"/>
          <w:w w:val="105"/>
        </w:rPr>
        <w:t> </w:t>
      </w:r>
      <w:r>
        <w:rPr>
          <w:color w:val="231F20"/>
          <w:w w:val="105"/>
        </w:rPr>
        <w:t>modelos</w:t>
      </w:r>
      <w:r>
        <w:rPr>
          <w:color w:val="231F20"/>
          <w:spacing w:val="-14"/>
          <w:w w:val="105"/>
        </w:rPr>
        <w:t> </w:t>
      </w:r>
      <w:r>
        <w:rPr>
          <w:color w:val="231F20"/>
          <w:w w:val="105"/>
        </w:rPr>
        <w:t>con</w:t>
      </w:r>
      <w:r>
        <w:rPr>
          <w:color w:val="231F20"/>
          <w:spacing w:val="-14"/>
          <w:w w:val="105"/>
        </w:rPr>
        <w:t> </w:t>
      </w:r>
      <w:r>
        <w:rPr>
          <w:color w:val="231F20"/>
          <w:w w:val="105"/>
        </w:rPr>
        <w:t>los</w:t>
      </w:r>
      <w:r>
        <w:rPr>
          <w:color w:val="231F20"/>
          <w:spacing w:val="-14"/>
          <w:w w:val="105"/>
        </w:rPr>
        <w:t> </w:t>
      </w:r>
      <w:r>
        <w:rPr>
          <w:color w:val="231F20"/>
          <w:w w:val="105"/>
        </w:rPr>
        <w:t>del</w:t>
      </w:r>
      <w:r>
        <w:rPr>
          <w:color w:val="231F20"/>
          <w:spacing w:val="-14"/>
          <w:w w:val="105"/>
        </w:rPr>
        <w:t> </w:t>
      </w:r>
      <w:r>
        <w:rPr>
          <w:color w:val="231F20"/>
          <w:w w:val="105"/>
        </w:rPr>
        <w:t>mercado.</w:t>
      </w:r>
    </w:p>
    <w:p>
      <w:pPr>
        <w:pStyle w:val="BodyText"/>
        <w:spacing w:line="259" w:lineRule="auto"/>
        <w:ind w:left="103" w:right="115" w:firstLine="567"/>
        <w:jc w:val="both"/>
      </w:pPr>
      <w:r>
        <w:rPr>
          <w:color w:val="231F20"/>
          <w:w w:val="105"/>
        </w:rPr>
        <w:t>El</w:t>
      </w:r>
      <w:r>
        <w:rPr>
          <w:color w:val="231F20"/>
          <w:spacing w:val="-29"/>
          <w:w w:val="105"/>
        </w:rPr>
        <w:t> </w:t>
      </w:r>
      <w:r>
        <w:rPr>
          <w:color w:val="231F20"/>
          <w:w w:val="105"/>
        </w:rPr>
        <w:t>trabajo</w:t>
      </w:r>
      <w:r>
        <w:rPr>
          <w:color w:val="231F20"/>
          <w:spacing w:val="-29"/>
          <w:w w:val="105"/>
        </w:rPr>
        <w:t> </w:t>
      </w:r>
      <w:r>
        <w:rPr>
          <w:color w:val="231F20"/>
          <w:w w:val="105"/>
        </w:rPr>
        <w:t>se</w:t>
      </w:r>
      <w:r>
        <w:rPr>
          <w:color w:val="231F20"/>
          <w:spacing w:val="-29"/>
          <w:w w:val="105"/>
        </w:rPr>
        <w:t> </w:t>
      </w:r>
      <w:r>
        <w:rPr>
          <w:color w:val="231F20"/>
          <w:w w:val="105"/>
        </w:rPr>
        <w:t>organiza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siguiente</w:t>
      </w:r>
      <w:r>
        <w:rPr>
          <w:color w:val="231F20"/>
          <w:spacing w:val="-29"/>
          <w:w w:val="105"/>
        </w:rPr>
        <w:t> </w:t>
      </w:r>
      <w:r>
        <w:rPr>
          <w:color w:val="231F20"/>
          <w:w w:val="105"/>
        </w:rPr>
        <w:t>manera.</w:t>
      </w:r>
      <w:r>
        <w:rPr>
          <w:color w:val="231F20"/>
          <w:spacing w:val="-34"/>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primera</w:t>
      </w:r>
      <w:r>
        <w:rPr>
          <w:color w:val="231F20"/>
          <w:spacing w:val="-29"/>
          <w:w w:val="105"/>
        </w:rPr>
        <w:t> </w:t>
      </w:r>
      <w:r>
        <w:rPr>
          <w:color w:val="231F20"/>
          <w:w w:val="105"/>
        </w:rPr>
        <w:t>sección se presenta el estudio de los modelos de precios de las opciones con volatilidad</w:t>
      </w:r>
      <w:r>
        <w:rPr>
          <w:color w:val="231F20"/>
          <w:spacing w:val="-27"/>
          <w:w w:val="105"/>
        </w:rPr>
        <w:t> </w:t>
      </w:r>
      <w:r>
        <w:rPr>
          <w:color w:val="231F20"/>
          <w:w w:val="105"/>
        </w:rPr>
        <w:t>constante</w:t>
      </w:r>
      <w:r>
        <w:rPr>
          <w:color w:val="231F20"/>
          <w:spacing w:val="-27"/>
          <w:w w:val="105"/>
        </w:rPr>
        <w:t> </w:t>
      </w:r>
      <w:r>
        <w:rPr>
          <w:color w:val="231F20"/>
          <w:w w:val="105"/>
        </w:rPr>
        <w:t>y</w:t>
      </w:r>
      <w:r>
        <w:rPr>
          <w:color w:val="231F20"/>
          <w:spacing w:val="-27"/>
          <w:w w:val="105"/>
        </w:rPr>
        <w:t> </w:t>
      </w:r>
      <w:r>
        <w:rPr>
          <w:color w:val="231F20"/>
          <w:w w:val="105"/>
        </w:rPr>
        <w:t>estocástica.</w:t>
      </w:r>
      <w:r>
        <w:rPr>
          <w:color w:val="231F20"/>
          <w:spacing w:val="-34"/>
          <w:w w:val="105"/>
        </w:rPr>
        <w:t> </w:t>
      </w:r>
      <w:r>
        <w:rPr>
          <w:color w:val="231F20"/>
          <w:w w:val="105"/>
        </w:rPr>
        <w:t>A</w:t>
      </w:r>
      <w:r>
        <w:rPr>
          <w:color w:val="231F20"/>
          <w:spacing w:val="-30"/>
          <w:w w:val="105"/>
        </w:rPr>
        <w:t> </w:t>
      </w:r>
      <w:r>
        <w:rPr>
          <w:color w:val="231F20"/>
          <w:w w:val="105"/>
        </w:rPr>
        <w:t>continuación</w:t>
      </w:r>
      <w:r>
        <w:rPr>
          <w:color w:val="231F20"/>
          <w:spacing w:val="-27"/>
          <w:w w:val="105"/>
        </w:rPr>
        <w:t> </w:t>
      </w:r>
      <w:r>
        <w:rPr>
          <w:color w:val="231F20"/>
          <w:w w:val="105"/>
        </w:rPr>
        <w:t>se</w:t>
      </w:r>
      <w:r>
        <w:rPr>
          <w:color w:val="231F20"/>
          <w:spacing w:val="-27"/>
          <w:w w:val="105"/>
        </w:rPr>
        <w:t> </w:t>
      </w:r>
      <w:r>
        <w:rPr>
          <w:color w:val="231F20"/>
          <w:w w:val="105"/>
        </w:rPr>
        <w:t>describen</w:t>
      </w:r>
      <w:r>
        <w:rPr>
          <w:color w:val="231F20"/>
          <w:spacing w:val="-27"/>
          <w:w w:val="105"/>
        </w:rPr>
        <w:t> </w:t>
      </w:r>
      <w:r>
        <w:rPr>
          <w:color w:val="231F20"/>
          <w:w w:val="105"/>
        </w:rPr>
        <w:t>los</w:t>
      </w:r>
      <w:r>
        <w:rPr>
          <w:color w:val="231F20"/>
          <w:spacing w:val="-27"/>
          <w:w w:val="105"/>
        </w:rPr>
        <w:t> </w:t>
      </w:r>
      <w:r>
        <w:rPr>
          <w:color w:val="231F20"/>
          <w:w w:val="105"/>
        </w:rPr>
        <w:t>datos y</w:t>
      </w:r>
      <w:r>
        <w:rPr>
          <w:color w:val="231F20"/>
          <w:spacing w:val="-11"/>
          <w:w w:val="105"/>
        </w:rPr>
        <w:t> </w:t>
      </w:r>
      <w:r>
        <w:rPr>
          <w:color w:val="231F20"/>
          <w:w w:val="105"/>
        </w:rPr>
        <w:t>sus</w:t>
      </w:r>
      <w:r>
        <w:rPr>
          <w:color w:val="231F20"/>
          <w:spacing w:val="-11"/>
          <w:w w:val="105"/>
        </w:rPr>
        <w:t> </w:t>
      </w:r>
      <w:r>
        <w:rPr>
          <w:color w:val="231F20"/>
          <w:w w:val="105"/>
        </w:rPr>
        <w:t>características.</w:t>
      </w:r>
      <w:r>
        <w:rPr>
          <w:color w:val="231F20"/>
          <w:spacing w:val="-15"/>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sección</w:t>
      </w:r>
      <w:r>
        <w:rPr>
          <w:color w:val="231F20"/>
          <w:spacing w:val="-11"/>
          <w:w w:val="105"/>
        </w:rPr>
        <w:t> </w:t>
      </w:r>
      <w:r>
        <w:rPr>
          <w:color w:val="231F20"/>
          <w:w w:val="105"/>
        </w:rPr>
        <w:t>siguiente</w:t>
      </w:r>
      <w:r>
        <w:rPr>
          <w:color w:val="231F20"/>
          <w:spacing w:val="-11"/>
          <w:w w:val="105"/>
        </w:rPr>
        <w:t> </w:t>
      </w:r>
      <w:r>
        <w:rPr>
          <w:color w:val="231F20"/>
          <w:w w:val="105"/>
        </w:rPr>
        <w:t>se</w:t>
      </w:r>
      <w:r>
        <w:rPr>
          <w:color w:val="231F20"/>
          <w:spacing w:val="-11"/>
          <w:w w:val="105"/>
        </w:rPr>
        <w:t> </w:t>
      </w:r>
      <w:r>
        <w:rPr>
          <w:color w:val="231F20"/>
          <w:w w:val="105"/>
        </w:rPr>
        <w:t>estiman</w:t>
      </w:r>
      <w:r>
        <w:rPr>
          <w:color w:val="231F20"/>
          <w:spacing w:val="-11"/>
          <w:w w:val="105"/>
        </w:rPr>
        <w:t> </w:t>
      </w:r>
      <w:r>
        <w:rPr>
          <w:color w:val="231F20"/>
          <w:w w:val="105"/>
        </w:rPr>
        <w:t>los</w:t>
      </w:r>
      <w:r>
        <w:rPr>
          <w:color w:val="231F20"/>
          <w:spacing w:val="-11"/>
          <w:w w:val="105"/>
        </w:rPr>
        <w:t> </w:t>
      </w:r>
      <w:r>
        <w:rPr>
          <w:color w:val="231F20"/>
          <w:w w:val="105"/>
        </w:rPr>
        <w:t>parámetros del modelo de Heston (1993) y posteriormente se obtiene la prima de la</w:t>
      </w:r>
      <w:r>
        <w:rPr>
          <w:color w:val="231F20"/>
          <w:spacing w:val="-5"/>
          <w:w w:val="105"/>
        </w:rPr>
        <w:t> </w:t>
      </w:r>
      <w:r>
        <w:rPr>
          <w:color w:val="231F20"/>
          <w:w w:val="105"/>
        </w:rPr>
        <w:t>opción</w:t>
      </w:r>
      <w:r>
        <w:rPr>
          <w:color w:val="231F20"/>
          <w:spacing w:val="-5"/>
          <w:w w:val="105"/>
        </w:rPr>
        <w:t> </w:t>
      </w:r>
      <w:r>
        <w:rPr>
          <w:color w:val="231F20"/>
          <w:w w:val="105"/>
        </w:rPr>
        <w:t>partiendo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modelos</w:t>
      </w:r>
      <w:r>
        <w:rPr>
          <w:color w:val="231F20"/>
          <w:spacing w:val="-5"/>
          <w:w w:val="105"/>
        </w:rPr>
        <w:t> </w:t>
      </w:r>
      <w:r>
        <w:rPr>
          <w:color w:val="231F20"/>
          <w:w w:val="105"/>
        </w:rPr>
        <w:t>de</w:t>
      </w:r>
      <w:r>
        <w:rPr>
          <w:color w:val="231F20"/>
          <w:spacing w:val="-5"/>
          <w:w w:val="105"/>
        </w:rPr>
        <w:t> </w:t>
      </w:r>
      <w:r>
        <w:rPr>
          <w:color w:val="231F20"/>
          <w:w w:val="105"/>
        </w:rPr>
        <w:t>Black</w:t>
      </w:r>
      <w:r>
        <w:rPr>
          <w:color w:val="231F20"/>
          <w:spacing w:val="-5"/>
          <w:w w:val="105"/>
        </w:rPr>
        <w:t> </w:t>
      </w:r>
      <w:r>
        <w:rPr>
          <w:color w:val="231F20"/>
          <w:w w:val="105"/>
        </w:rPr>
        <w:t>y</w:t>
      </w:r>
      <w:r>
        <w:rPr>
          <w:color w:val="231F20"/>
          <w:spacing w:val="-5"/>
          <w:w w:val="105"/>
        </w:rPr>
        <w:t> </w:t>
      </w:r>
      <w:r>
        <w:rPr>
          <w:color w:val="231F20"/>
          <w:w w:val="105"/>
        </w:rPr>
        <w:t>Scholes</w:t>
      </w:r>
      <w:r>
        <w:rPr>
          <w:color w:val="231F20"/>
          <w:spacing w:val="-5"/>
          <w:w w:val="105"/>
        </w:rPr>
        <w:t> </w:t>
      </w:r>
      <w:r>
        <w:rPr>
          <w:color w:val="231F20"/>
          <w:w w:val="105"/>
        </w:rPr>
        <w:t>(1973)</w:t>
      </w:r>
      <w:r>
        <w:rPr>
          <w:color w:val="231F20"/>
          <w:spacing w:val="-5"/>
          <w:w w:val="105"/>
        </w:rPr>
        <w:t> </w:t>
      </w:r>
      <w:r>
        <w:rPr>
          <w:color w:val="231F20"/>
          <w:w w:val="105"/>
        </w:rPr>
        <w:t>y</w:t>
      </w:r>
      <w:r>
        <w:rPr>
          <w:color w:val="231F20"/>
          <w:spacing w:val="-5"/>
          <w:w w:val="105"/>
        </w:rPr>
        <w:t> </w:t>
      </w:r>
      <w:r>
        <w:rPr>
          <w:color w:val="231F20"/>
          <w:w w:val="105"/>
        </w:rPr>
        <w:t>Heston (1993) de donde se analizan los resultados. Finalmente se discuten</w:t>
      </w:r>
      <w:r>
        <w:rPr>
          <w:color w:val="231F20"/>
          <w:spacing w:val="-36"/>
          <w:w w:val="105"/>
        </w:rPr>
        <w:t> </w:t>
      </w:r>
      <w:r>
        <w:rPr>
          <w:color w:val="231F20"/>
          <w:w w:val="105"/>
        </w:rPr>
        <w:t>las conclusiones</w:t>
      </w:r>
      <w:r>
        <w:rPr>
          <w:color w:val="231F20"/>
          <w:spacing w:val="-24"/>
          <w:w w:val="105"/>
        </w:rPr>
        <w:t> </w:t>
      </w:r>
      <w:r>
        <w:rPr>
          <w:color w:val="231F20"/>
          <w:w w:val="105"/>
        </w:rPr>
        <w:t>y</w:t>
      </w:r>
      <w:r>
        <w:rPr>
          <w:color w:val="231F20"/>
          <w:spacing w:val="-24"/>
          <w:w w:val="105"/>
        </w:rPr>
        <w:t> </w:t>
      </w:r>
      <w:r>
        <w:rPr>
          <w:color w:val="231F20"/>
          <w:w w:val="105"/>
        </w:rPr>
        <w:t>recomendaciones</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estudio.</w:t>
      </w:r>
    </w:p>
    <w:p>
      <w:pPr>
        <w:pStyle w:val="BodyText"/>
        <w:rPr>
          <w:sz w:val="20"/>
        </w:rPr>
      </w:pPr>
    </w:p>
    <w:p>
      <w:pPr>
        <w:pStyle w:val="BodyText"/>
        <w:rPr>
          <w:sz w:val="20"/>
        </w:rPr>
      </w:pPr>
    </w:p>
    <w:p>
      <w:pPr>
        <w:pStyle w:val="BodyText"/>
        <w:rPr>
          <w:sz w:val="20"/>
        </w:rPr>
      </w:pPr>
    </w:p>
    <w:p>
      <w:pPr>
        <w:pStyle w:val="BodyText"/>
        <w:spacing w:before="9"/>
        <w:rPr>
          <w:sz w:val="2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71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206</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240"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207</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rPr>
          <w:sz w:val="19"/>
        </w:rPr>
      </w:pPr>
    </w:p>
    <w:p>
      <w:pPr>
        <w:pStyle w:val="Heading2"/>
        <w:spacing w:before="55"/>
        <w:ind w:right="114"/>
        <w:jc w:val="left"/>
      </w:pPr>
      <w:r>
        <w:rPr>
          <w:color w:val="231F20"/>
        </w:rPr>
        <w:t>Antecedentes de los modelos de opciones</w:t>
      </w:r>
    </w:p>
    <w:p>
      <w:pPr>
        <w:pStyle w:val="BodyText"/>
        <w:rPr>
          <w:b/>
          <w:sz w:val="22"/>
        </w:rPr>
      </w:pPr>
    </w:p>
    <w:p>
      <w:pPr>
        <w:pStyle w:val="BodyText"/>
        <w:spacing w:line="259" w:lineRule="auto" w:before="160"/>
        <w:ind w:left="77" w:right="116"/>
        <w:jc w:val="right"/>
      </w:pPr>
      <w:r>
        <w:rPr>
          <w:color w:val="231F20"/>
          <w:w w:val="105"/>
        </w:rPr>
        <w:t>Existen estudios que han demostrado que el modelo de</w:t>
      </w:r>
      <w:r>
        <w:rPr>
          <w:color w:val="231F20"/>
          <w:spacing w:val="43"/>
          <w:w w:val="105"/>
        </w:rPr>
        <w:t> </w:t>
      </w:r>
      <w:r>
        <w:rPr>
          <w:color w:val="231F20"/>
          <w:w w:val="105"/>
        </w:rPr>
        <w:t>valoración</w:t>
      </w:r>
      <w:r>
        <w:rPr>
          <w:color w:val="231F20"/>
          <w:spacing w:val="4"/>
          <w:w w:val="105"/>
        </w:rPr>
        <w:t> </w:t>
      </w:r>
      <w:r>
        <w:rPr>
          <w:color w:val="231F20"/>
          <w:w w:val="105"/>
        </w:rPr>
        <w:t>de</w:t>
      </w:r>
      <w:r>
        <w:rPr>
          <w:color w:val="231F20"/>
          <w:spacing w:val="-2"/>
          <w:w w:val="108"/>
        </w:rPr>
        <w:t> </w:t>
      </w:r>
      <w:r>
        <w:rPr>
          <w:color w:val="231F20"/>
          <w:w w:val="105"/>
        </w:rPr>
        <w:t>opciones</w:t>
      </w:r>
      <w:r>
        <w:rPr>
          <w:color w:val="231F20"/>
          <w:spacing w:val="-27"/>
          <w:w w:val="105"/>
        </w:rPr>
        <w:t> </w:t>
      </w:r>
      <w:r>
        <w:rPr>
          <w:color w:val="231F20"/>
          <w:w w:val="105"/>
        </w:rPr>
        <w:t>de</w:t>
      </w:r>
      <w:r>
        <w:rPr>
          <w:color w:val="231F20"/>
          <w:spacing w:val="-27"/>
          <w:w w:val="105"/>
        </w:rPr>
        <w:t> </w:t>
      </w:r>
      <w:r>
        <w:rPr>
          <w:color w:val="231F20"/>
          <w:w w:val="105"/>
        </w:rPr>
        <w:t>Black</w:t>
      </w:r>
      <w:r>
        <w:rPr>
          <w:color w:val="231F20"/>
          <w:spacing w:val="-27"/>
          <w:w w:val="105"/>
        </w:rPr>
        <w:t> </w:t>
      </w:r>
      <w:r>
        <w:rPr>
          <w:color w:val="231F20"/>
          <w:w w:val="105"/>
        </w:rPr>
        <w:t>y</w:t>
      </w:r>
      <w:r>
        <w:rPr>
          <w:color w:val="231F20"/>
          <w:spacing w:val="-27"/>
          <w:w w:val="105"/>
        </w:rPr>
        <w:t> </w:t>
      </w:r>
      <w:r>
        <w:rPr>
          <w:color w:val="231F20"/>
          <w:w w:val="105"/>
        </w:rPr>
        <w:t>Scholes</w:t>
      </w:r>
      <w:r>
        <w:rPr>
          <w:color w:val="231F20"/>
          <w:spacing w:val="-27"/>
          <w:w w:val="105"/>
        </w:rPr>
        <w:t> </w:t>
      </w:r>
      <w:r>
        <w:rPr>
          <w:color w:val="231F20"/>
          <w:w w:val="105"/>
        </w:rPr>
        <w:t>(BS</w:t>
      </w:r>
      <w:r>
        <w:rPr>
          <w:color w:val="231F20"/>
          <w:spacing w:val="-27"/>
          <w:w w:val="105"/>
        </w:rPr>
        <w:t> </w:t>
      </w:r>
      <w:r>
        <w:rPr>
          <w:color w:val="231F20"/>
          <w:w w:val="105"/>
        </w:rPr>
        <w:t>en</w:t>
      </w:r>
      <w:r>
        <w:rPr>
          <w:color w:val="231F20"/>
          <w:spacing w:val="-27"/>
          <w:w w:val="105"/>
        </w:rPr>
        <w:t> </w:t>
      </w:r>
      <w:r>
        <w:rPr>
          <w:color w:val="231F20"/>
          <w:w w:val="105"/>
        </w:rPr>
        <w:t>adelante)</w:t>
      </w:r>
      <w:r>
        <w:rPr>
          <w:color w:val="231F20"/>
          <w:spacing w:val="-27"/>
          <w:w w:val="105"/>
        </w:rPr>
        <w:t> </w:t>
      </w:r>
      <w:r>
        <w:rPr>
          <w:color w:val="231F20"/>
          <w:w w:val="105"/>
        </w:rPr>
        <w:t>está</w:t>
      </w:r>
      <w:r>
        <w:rPr>
          <w:color w:val="231F20"/>
          <w:spacing w:val="-27"/>
          <w:w w:val="105"/>
        </w:rPr>
        <w:t> </w:t>
      </w:r>
      <w:r>
        <w:rPr>
          <w:color w:val="231F20"/>
          <w:w w:val="105"/>
        </w:rPr>
        <w:t>sujeto</w:t>
      </w:r>
      <w:r>
        <w:rPr>
          <w:color w:val="231F20"/>
          <w:spacing w:val="-27"/>
          <w:w w:val="105"/>
        </w:rPr>
        <w:t> </w:t>
      </w:r>
      <w:r>
        <w:rPr>
          <w:color w:val="231F20"/>
          <w:w w:val="105"/>
        </w:rPr>
        <w:t>a</w:t>
      </w:r>
      <w:r>
        <w:rPr>
          <w:color w:val="231F20"/>
          <w:spacing w:val="-27"/>
          <w:w w:val="105"/>
        </w:rPr>
        <w:t> </w:t>
      </w:r>
      <w:r>
        <w:rPr>
          <w:color w:val="231F20"/>
          <w:w w:val="105"/>
        </w:rPr>
        <w:t>sesgos</w:t>
      </w:r>
      <w:r>
        <w:rPr>
          <w:color w:val="231F20"/>
          <w:spacing w:val="-27"/>
          <w:w w:val="105"/>
        </w:rPr>
        <w:t> </w:t>
      </w:r>
      <w:r>
        <w:rPr>
          <w:color w:val="231F20"/>
          <w:w w:val="105"/>
        </w:rPr>
        <w:t>siste-</w:t>
      </w:r>
      <w:r>
        <w:rPr>
          <w:color w:val="231F20"/>
          <w:w w:val="96"/>
        </w:rPr>
        <w:t> </w:t>
      </w:r>
      <w:r>
        <w:rPr>
          <w:color w:val="231F20"/>
          <w:w w:val="105"/>
        </w:rPr>
        <w:t>máticos, originados por la violación del supuesto de normalidad</w:t>
      </w:r>
      <w:r>
        <w:rPr>
          <w:color w:val="231F20"/>
          <w:spacing w:val="18"/>
          <w:w w:val="105"/>
        </w:rPr>
        <w:t> </w:t>
      </w:r>
      <w:r>
        <w:rPr>
          <w:color w:val="231F20"/>
          <w:w w:val="105"/>
        </w:rPr>
        <w:t>en</w:t>
      </w:r>
      <w:r>
        <w:rPr>
          <w:color w:val="231F20"/>
          <w:spacing w:val="2"/>
          <w:w w:val="105"/>
        </w:rPr>
        <w:t> </w:t>
      </w:r>
      <w:r>
        <w:rPr>
          <w:color w:val="231F20"/>
          <w:spacing w:val="-2"/>
          <w:w w:val="105"/>
        </w:rPr>
        <w:t>los</w:t>
      </w:r>
      <w:r>
        <w:rPr>
          <w:color w:val="231F20"/>
          <w:spacing w:val="-2"/>
          <w:w w:val="102"/>
        </w:rPr>
        <w:t> </w:t>
      </w:r>
      <w:r>
        <w:rPr>
          <w:color w:val="231F20"/>
          <w:spacing w:val="-3"/>
          <w:w w:val="105"/>
        </w:rPr>
        <w:t>rendimientos</w:t>
      </w:r>
      <w:r>
        <w:rPr>
          <w:color w:val="231F20"/>
          <w:spacing w:val="-28"/>
          <w:w w:val="105"/>
        </w:rPr>
        <w:t> </w:t>
      </w:r>
      <w:r>
        <w:rPr>
          <w:color w:val="231F20"/>
          <w:w w:val="105"/>
        </w:rPr>
        <w:t>del</w:t>
      </w:r>
      <w:r>
        <w:rPr>
          <w:color w:val="231F20"/>
          <w:spacing w:val="-28"/>
          <w:w w:val="105"/>
        </w:rPr>
        <w:t> </w:t>
      </w:r>
      <w:r>
        <w:rPr>
          <w:color w:val="231F20"/>
          <w:w w:val="105"/>
        </w:rPr>
        <w:t>activo</w:t>
      </w:r>
      <w:r>
        <w:rPr>
          <w:color w:val="231F20"/>
          <w:spacing w:val="-28"/>
          <w:w w:val="105"/>
        </w:rPr>
        <w:t> </w:t>
      </w:r>
      <w:r>
        <w:rPr>
          <w:color w:val="231F20"/>
          <w:w w:val="105"/>
        </w:rPr>
        <w:t>subyacente</w:t>
      </w:r>
      <w:r>
        <w:rPr>
          <w:color w:val="231F20"/>
          <w:spacing w:val="-28"/>
          <w:w w:val="105"/>
        </w:rPr>
        <w:t> </w:t>
      </w:r>
      <w:r>
        <w:rPr>
          <w:color w:val="231F20"/>
          <w:w w:val="105"/>
        </w:rPr>
        <w:t>(Melino</w:t>
      </w:r>
      <w:r>
        <w:rPr>
          <w:color w:val="231F20"/>
          <w:spacing w:val="-28"/>
          <w:w w:val="105"/>
        </w:rPr>
        <w:t> </w:t>
      </w:r>
      <w:r>
        <w:rPr>
          <w:color w:val="231F20"/>
          <w:w w:val="105"/>
        </w:rPr>
        <w:t>y</w:t>
      </w:r>
      <w:r>
        <w:rPr>
          <w:color w:val="231F20"/>
          <w:spacing w:val="-32"/>
          <w:w w:val="105"/>
        </w:rPr>
        <w:t> </w:t>
      </w:r>
      <w:r>
        <w:rPr>
          <w:color w:val="231F20"/>
          <w:spacing w:val="-4"/>
          <w:w w:val="105"/>
        </w:rPr>
        <w:t>Turnbull,</w:t>
      </w:r>
      <w:r>
        <w:rPr>
          <w:color w:val="231F20"/>
          <w:spacing w:val="-32"/>
          <w:w w:val="105"/>
        </w:rPr>
        <w:t> </w:t>
      </w:r>
      <w:r>
        <w:rPr>
          <w:color w:val="231F20"/>
          <w:w w:val="105"/>
        </w:rPr>
        <w:t>1990;</w:t>
      </w:r>
      <w:r>
        <w:rPr>
          <w:color w:val="231F20"/>
          <w:spacing w:val="-28"/>
          <w:w w:val="105"/>
        </w:rPr>
        <w:t> </w:t>
      </w:r>
      <w:r>
        <w:rPr>
          <w:color w:val="231F20"/>
          <w:w w:val="105"/>
        </w:rPr>
        <w:t>Day</w:t>
      </w:r>
      <w:r>
        <w:rPr>
          <w:color w:val="231F20"/>
          <w:spacing w:val="-28"/>
          <w:w w:val="105"/>
        </w:rPr>
        <w:t> </w:t>
      </w:r>
      <w:r>
        <w:rPr>
          <w:color w:val="231F20"/>
          <w:w w:val="105"/>
        </w:rPr>
        <w:t>y</w:t>
      </w:r>
      <w:r>
        <w:rPr>
          <w:color w:val="231F20"/>
          <w:spacing w:val="-28"/>
          <w:w w:val="105"/>
        </w:rPr>
        <w:t> </w:t>
      </w:r>
      <w:r>
        <w:rPr>
          <w:color w:val="231F20"/>
          <w:spacing w:val="-3"/>
          <w:w w:val="105"/>
        </w:rPr>
        <w:t>Lewis,</w:t>
      </w:r>
      <w:r>
        <w:rPr>
          <w:color w:val="231F20"/>
          <w:spacing w:val="-2"/>
          <w:w w:val="99"/>
        </w:rPr>
        <w:t> </w:t>
      </w:r>
      <w:r>
        <w:rPr>
          <w:color w:val="231F20"/>
          <w:w w:val="105"/>
        </w:rPr>
        <w:t>1992; Rubinstein, 1994; Bakshi </w:t>
      </w:r>
      <w:r>
        <w:rPr>
          <w:i/>
          <w:color w:val="231F20"/>
          <w:w w:val="105"/>
        </w:rPr>
        <w:t>et al</w:t>
      </w:r>
      <w:r>
        <w:rPr>
          <w:color w:val="231F20"/>
          <w:w w:val="105"/>
        </w:rPr>
        <w:t>., 1997; Nandi, 1998;</w:t>
      </w:r>
      <w:r>
        <w:rPr>
          <w:color w:val="231F20"/>
          <w:spacing w:val="6"/>
          <w:w w:val="105"/>
        </w:rPr>
        <w:t> </w:t>
      </w:r>
      <w:r>
        <w:rPr>
          <w:color w:val="231F20"/>
          <w:spacing w:val="-2"/>
          <w:w w:val="105"/>
        </w:rPr>
        <w:t>Bates,</w:t>
      </w:r>
      <w:r>
        <w:rPr>
          <w:color w:val="231F20"/>
          <w:spacing w:val="-3"/>
          <w:w w:val="105"/>
        </w:rPr>
        <w:t> </w:t>
      </w:r>
      <w:r>
        <w:rPr>
          <w:color w:val="231F20"/>
          <w:w w:val="105"/>
        </w:rPr>
        <w:t>1996,</w:t>
      </w:r>
      <w:r>
        <w:rPr>
          <w:color w:val="231F20"/>
          <w:spacing w:val="-2"/>
          <w:w w:val="103"/>
        </w:rPr>
        <w:t> </w:t>
      </w:r>
      <w:r>
        <w:rPr>
          <w:color w:val="231F20"/>
          <w:w w:val="105"/>
        </w:rPr>
        <w:t>2000,</w:t>
      </w:r>
      <w:r>
        <w:rPr>
          <w:color w:val="231F20"/>
          <w:spacing w:val="-30"/>
          <w:w w:val="105"/>
        </w:rPr>
        <w:t> </w:t>
      </w:r>
      <w:r>
        <w:rPr>
          <w:color w:val="231F20"/>
          <w:w w:val="105"/>
        </w:rPr>
        <w:t>2003;</w:t>
      </w:r>
      <w:r>
        <w:rPr>
          <w:color w:val="231F20"/>
          <w:spacing w:val="-26"/>
          <w:w w:val="105"/>
        </w:rPr>
        <w:t> </w:t>
      </w:r>
      <w:r>
        <w:rPr>
          <w:color w:val="231F20"/>
          <w:w w:val="105"/>
        </w:rPr>
        <w:t>y</w:t>
      </w:r>
      <w:r>
        <w:rPr>
          <w:color w:val="231F20"/>
          <w:spacing w:val="-26"/>
          <w:w w:val="105"/>
        </w:rPr>
        <w:t> </w:t>
      </w:r>
      <w:r>
        <w:rPr>
          <w:color w:val="231F20"/>
          <w:w w:val="105"/>
        </w:rPr>
        <w:t>Lin</w:t>
      </w:r>
      <w:r>
        <w:rPr>
          <w:color w:val="231F20"/>
          <w:spacing w:val="-26"/>
          <w:w w:val="105"/>
        </w:rPr>
        <w:t> </w:t>
      </w:r>
      <w:r>
        <w:rPr>
          <w:i/>
          <w:color w:val="231F20"/>
          <w:w w:val="105"/>
        </w:rPr>
        <w:t>et</w:t>
      </w:r>
      <w:r>
        <w:rPr>
          <w:i/>
          <w:color w:val="231F20"/>
          <w:spacing w:val="-26"/>
          <w:w w:val="105"/>
        </w:rPr>
        <w:t> </w:t>
      </w:r>
      <w:r>
        <w:rPr>
          <w:i/>
          <w:color w:val="231F20"/>
          <w:w w:val="105"/>
        </w:rPr>
        <w:t>al</w:t>
      </w:r>
      <w:r>
        <w:rPr>
          <w:color w:val="231F20"/>
          <w:w w:val="105"/>
        </w:rPr>
        <w:t>.,</w:t>
      </w:r>
      <w:r>
        <w:rPr>
          <w:color w:val="231F20"/>
          <w:spacing w:val="-30"/>
          <w:w w:val="105"/>
        </w:rPr>
        <w:t> </w:t>
      </w:r>
      <w:r>
        <w:rPr>
          <w:color w:val="231F20"/>
          <w:w w:val="105"/>
        </w:rPr>
        <w:t>2001).</w:t>
      </w:r>
      <w:r>
        <w:rPr>
          <w:color w:val="231F20"/>
          <w:spacing w:val="-30"/>
          <w:w w:val="105"/>
        </w:rPr>
        <w:t> </w:t>
      </w:r>
      <w:r>
        <w:rPr>
          <w:color w:val="231F20"/>
          <w:w w:val="105"/>
        </w:rPr>
        <w:t>Empíricamente</w:t>
      </w:r>
      <w:r>
        <w:rPr>
          <w:color w:val="231F20"/>
          <w:spacing w:val="-26"/>
          <w:w w:val="105"/>
        </w:rPr>
        <w:t> </w:t>
      </w:r>
      <w:r>
        <w:rPr>
          <w:color w:val="231F20"/>
          <w:w w:val="105"/>
        </w:rPr>
        <w:t>la</w:t>
      </w:r>
      <w:r>
        <w:rPr>
          <w:color w:val="231F20"/>
          <w:spacing w:val="-26"/>
          <w:w w:val="105"/>
        </w:rPr>
        <w:t> </w:t>
      </w:r>
      <w:r>
        <w:rPr>
          <w:color w:val="231F20"/>
          <w:w w:val="105"/>
        </w:rPr>
        <w:t>asimetría</w:t>
      </w:r>
      <w:r>
        <w:rPr>
          <w:color w:val="231F20"/>
          <w:spacing w:val="-26"/>
          <w:w w:val="105"/>
        </w:rPr>
        <w:t> </w:t>
      </w:r>
      <w:r>
        <w:rPr>
          <w:color w:val="231F20"/>
          <w:w w:val="105"/>
        </w:rPr>
        <w:t>negativa</w:t>
      </w:r>
      <w:r>
        <w:rPr>
          <w:color w:val="231F20"/>
          <w:spacing w:val="-26"/>
          <w:w w:val="105"/>
        </w:rPr>
        <w:t> </w:t>
      </w:r>
      <w:r>
        <w:rPr>
          <w:color w:val="231F20"/>
          <w:w w:val="105"/>
        </w:rPr>
        <w:t>hace</w:t>
      </w:r>
      <w:r>
        <w:rPr>
          <w:color w:val="231F20"/>
          <w:spacing w:val="-2"/>
          <w:w w:val="100"/>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spacing w:val="-3"/>
          <w:w w:val="105"/>
        </w:rPr>
        <w:t>precio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opción</w:t>
      </w:r>
      <w:r>
        <w:rPr>
          <w:color w:val="231F20"/>
          <w:spacing w:val="-22"/>
          <w:w w:val="105"/>
        </w:rPr>
        <w:t> </w:t>
      </w:r>
      <w:r>
        <w:rPr>
          <w:color w:val="231F20"/>
          <w:w w:val="105"/>
        </w:rPr>
        <w:t>fuera</w:t>
      </w:r>
      <w:r>
        <w:rPr>
          <w:color w:val="231F20"/>
          <w:spacing w:val="-22"/>
          <w:w w:val="105"/>
        </w:rPr>
        <w:t> </w:t>
      </w:r>
      <w:r>
        <w:rPr>
          <w:color w:val="231F20"/>
          <w:w w:val="105"/>
        </w:rPr>
        <w:t>del</w:t>
      </w:r>
      <w:r>
        <w:rPr>
          <w:color w:val="231F20"/>
          <w:spacing w:val="-22"/>
          <w:w w:val="105"/>
        </w:rPr>
        <w:t> </w:t>
      </w:r>
      <w:r>
        <w:rPr>
          <w:color w:val="231F20"/>
          <w:spacing w:val="-3"/>
          <w:w w:val="105"/>
        </w:rPr>
        <w:t>dinero</w:t>
      </w:r>
      <w:r>
        <w:rPr>
          <w:color w:val="231F20"/>
          <w:spacing w:val="-22"/>
          <w:w w:val="105"/>
        </w:rPr>
        <w:t> </w:t>
      </w:r>
      <w:r>
        <w:rPr>
          <w:color w:val="231F20"/>
          <w:spacing w:val="-3"/>
          <w:w w:val="105"/>
        </w:rPr>
        <w:t>(OTM,</w:t>
      </w:r>
      <w:r>
        <w:rPr>
          <w:color w:val="231F20"/>
          <w:spacing w:val="-27"/>
          <w:w w:val="105"/>
        </w:rPr>
        <w:t> </w:t>
      </w:r>
      <w:r>
        <w:rPr>
          <w:color w:val="231F20"/>
          <w:w w:val="105"/>
        </w:rPr>
        <w:t>por</w:t>
      </w:r>
      <w:r>
        <w:rPr>
          <w:color w:val="231F20"/>
          <w:spacing w:val="-22"/>
          <w:w w:val="105"/>
        </w:rPr>
        <w:t> </w:t>
      </w:r>
      <w:r>
        <w:rPr>
          <w:color w:val="231F20"/>
          <w:w w:val="105"/>
        </w:rPr>
        <w:t>sus</w:t>
      </w:r>
      <w:r>
        <w:rPr>
          <w:color w:val="231F20"/>
          <w:spacing w:val="-22"/>
          <w:w w:val="105"/>
        </w:rPr>
        <w:t> </w:t>
      </w:r>
      <w:r>
        <w:rPr>
          <w:color w:val="231F20"/>
          <w:w w:val="105"/>
        </w:rPr>
        <w:t>siglas</w:t>
      </w:r>
      <w:r>
        <w:rPr>
          <w:color w:val="231F20"/>
          <w:spacing w:val="-22"/>
          <w:w w:val="105"/>
        </w:rPr>
        <w:t> </w:t>
      </w:r>
      <w:r>
        <w:rPr>
          <w:color w:val="231F20"/>
          <w:w w:val="105"/>
        </w:rPr>
        <w:t>en</w:t>
      </w:r>
      <w:r>
        <w:rPr>
          <w:color w:val="231F20"/>
          <w:spacing w:val="-22"/>
          <w:w w:val="105"/>
        </w:rPr>
        <w:t> </w:t>
      </w:r>
      <w:r>
        <w:rPr>
          <w:color w:val="231F20"/>
          <w:w w:val="105"/>
        </w:rPr>
        <w:t>inglés)</w:t>
      </w:r>
      <w:r>
        <w:rPr>
          <w:color w:val="231F20"/>
          <w:spacing w:val="-2"/>
          <w:w w:val="102"/>
        </w:rPr>
        <w:t> </w:t>
      </w:r>
      <w:r>
        <w:rPr>
          <w:color w:val="231F20"/>
          <w:spacing w:val="-3"/>
          <w:w w:val="105"/>
        </w:rPr>
        <w:t>presente</w:t>
      </w:r>
      <w:r>
        <w:rPr>
          <w:color w:val="231F20"/>
          <w:spacing w:val="-26"/>
          <w:w w:val="105"/>
        </w:rPr>
        <w:t> </w:t>
      </w:r>
      <w:r>
        <w:rPr>
          <w:color w:val="231F20"/>
          <w:spacing w:val="-2"/>
          <w:w w:val="105"/>
        </w:rPr>
        <w:t>sesgo,</w:t>
      </w:r>
      <w:r>
        <w:rPr>
          <w:color w:val="231F20"/>
          <w:spacing w:val="-30"/>
          <w:w w:val="105"/>
        </w:rPr>
        <w:t> </w:t>
      </w:r>
      <w:r>
        <w:rPr>
          <w:color w:val="231F20"/>
          <w:w w:val="105"/>
        </w:rPr>
        <w:t>mientras</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spacing w:val="-2"/>
          <w:w w:val="105"/>
        </w:rPr>
        <w:t>leptocurtosis</w:t>
      </w:r>
      <w:r>
        <w:rPr>
          <w:color w:val="231F20"/>
          <w:spacing w:val="-26"/>
          <w:w w:val="105"/>
        </w:rPr>
        <w:t> </w:t>
      </w:r>
      <w:r>
        <w:rPr>
          <w:color w:val="231F20"/>
          <w:spacing w:val="-3"/>
          <w:w w:val="105"/>
        </w:rPr>
        <w:t>incrementa</w:t>
      </w:r>
      <w:r>
        <w:rPr>
          <w:color w:val="231F20"/>
          <w:spacing w:val="-26"/>
          <w:w w:val="105"/>
        </w:rPr>
        <w:t> </w:t>
      </w:r>
      <w:r>
        <w:rPr>
          <w:color w:val="231F20"/>
          <w:w w:val="105"/>
        </w:rPr>
        <w:t>los</w:t>
      </w:r>
      <w:r>
        <w:rPr>
          <w:color w:val="231F20"/>
          <w:spacing w:val="-26"/>
          <w:w w:val="105"/>
        </w:rPr>
        <w:t> </w:t>
      </w:r>
      <w:r>
        <w:rPr>
          <w:color w:val="231F20"/>
          <w:spacing w:val="-3"/>
          <w:w w:val="105"/>
        </w:rPr>
        <w:t>precios</w:t>
      </w:r>
      <w:r>
        <w:rPr>
          <w:color w:val="231F20"/>
          <w:spacing w:val="-26"/>
          <w:w w:val="105"/>
        </w:rPr>
        <w:t> </w:t>
      </w:r>
      <w:r>
        <w:rPr>
          <w:color w:val="231F20"/>
          <w:w w:val="105"/>
        </w:rPr>
        <w:t>para</w:t>
      </w:r>
      <w:r>
        <w:rPr>
          <w:color w:val="231F20"/>
          <w:w w:val="96"/>
        </w:rPr>
        <w:t> </w:t>
      </w:r>
      <w:r>
        <w:rPr>
          <w:color w:val="231F20"/>
          <w:w w:val="105"/>
        </w:rPr>
        <w:t>opciones</w:t>
      </w:r>
      <w:r>
        <w:rPr>
          <w:color w:val="231F20"/>
          <w:spacing w:val="-9"/>
          <w:w w:val="105"/>
        </w:rPr>
        <w:t> </w:t>
      </w:r>
      <w:r>
        <w:rPr>
          <w:color w:val="231F20"/>
          <w:w w:val="105"/>
        </w:rPr>
        <w:t>muy</w:t>
      </w:r>
      <w:r>
        <w:rPr>
          <w:color w:val="231F20"/>
          <w:spacing w:val="-9"/>
          <w:w w:val="105"/>
        </w:rPr>
        <w:t> </w:t>
      </w:r>
      <w:r>
        <w:rPr>
          <w:color w:val="231F20"/>
          <w:spacing w:val="-3"/>
          <w:w w:val="105"/>
        </w:rPr>
        <w:t>profundas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dinero</w:t>
      </w:r>
      <w:r>
        <w:rPr>
          <w:color w:val="231F20"/>
          <w:spacing w:val="-9"/>
          <w:w w:val="105"/>
        </w:rPr>
        <w:t> </w:t>
      </w:r>
      <w:r>
        <w:rPr>
          <w:color w:val="231F20"/>
          <w:w w:val="105"/>
        </w:rPr>
        <w:t>(ITM,</w:t>
      </w:r>
      <w:r>
        <w:rPr>
          <w:color w:val="231F20"/>
          <w:spacing w:val="-14"/>
          <w:w w:val="105"/>
        </w:rPr>
        <w:t> </w:t>
      </w:r>
      <w:r>
        <w:rPr>
          <w:color w:val="231F20"/>
          <w:w w:val="105"/>
        </w:rPr>
        <w:t>por</w:t>
      </w:r>
      <w:r>
        <w:rPr>
          <w:color w:val="231F20"/>
          <w:spacing w:val="-9"/>
          <w:w w:val="105"/>
        </w:rPr>
        <w:t> </w:t>
      </w:r>
      <w:r>
        <w:rPr>
          <w:color w:val="231F20"/>
          <w:w w:val="105"/>
        </w:rPr>
        <w:t>sus</w:t>
      </w:r>
      <w:r>
        <w:rPr>
          <w:color w:val="231F20"/>
          <w:spacing w:val="-9"/>
          <w:w w:val="105"/>
        </w:rPr>
        <w:t> </w:t>
      </w:r>
      <w:r>
        <w:rPr>
          <w:color w:val="231F20"/>
          <w:w w:val="105"/>
        </w:rPr>
        <w:t>siglas</w:t>
      </w:r>
      <w:r>
        <w:rPr>
          <w:color w:val="231F20"/>
          <w:spacing w:val="-9"/>
          <w:w w:val="105"/>
        </w:rPr>
        <w:t> </w:t>
      </w:r>
      <w:r>
        <w:rPr>
          <w:color w:val="231F20"/>
          <w:w w:val="105"/>
        </w:rPr>
        <w:t>en</w:t>
      </w:r>
      <w:r>
        <w:rPr>
          <w:color w:val="231F20"/>
          <w:spacing w:val="-9"/>
          <w:w w:val="105"/>
        </w:rPr>
        <w:t> </w:t>
      </w:r>
      <w:r>
        <w:rPr>
          <w:color w:val="231F20"/>
          <w:w w:val="105"/>
        </w:rPr>
        <w:t>inglés),</w:t>
      </w:r>
      <w:r>
        <w:rPr>
          <w:color w:val="231F20"/>
          <w:spacing w:val="-14"/>
          <w:w w:val="105"/>
        </w:rPr>
        <w:t> </w:t>
      </w:r>
      <w:r>
        <w:rPr>
          <w:color w:val="231F20"/>
          <w:spacing w:val="-2"/>
          <w:w w:val="105"/>
        </w:rPr>
        <w:t>así</w:t>
      </w:r>
      <w:r>
        <w:rPr>
          <w:color w:val="231F20"/>
          <w:spacing w:val="-2"/>
          <w:w w:val="92"/>
        </w:rPr>
        <w:t> </w:t>
      </w:r>
      <w:r>
        <w:rPr>
          <w:color w:val="231F20"/>
          <w:w w:val="105"/>
        </w:rPr>
        <w:t>como</w:t>
      </w:r>
      <w:r>
        <w:rPr>
          <w:color w:val="231F20"/>
          <w:spacing w:val="-7"/>
          <w:w w:val="105"/>
        </w:rPr>
        <w:t> </w:t>
      </w:r>
      <w:r>
        <w:rPr>
          <w:color w:val="231F20"/>
          <w:w w:val="105"/>
        </w:rPr>
        <w:t>también</w:t>
      </w:r>
      <w:r>
        <w:rPr>
          <w:color w:val="231F20"/>
          <w:spacing w:val="-7"/>
          <w:w w:val="105"/>
        </w:rPr>
        <w:t> </w:t>
      </w:r>
      <w:r>
        <w:rPr>
          <w:color w:val="231F20"/>
          <w:w w:val="105"/>
        </w:rPr>
        <w:t>para</w:t>
      </w:r>
      <w:r>
        <w:rPr>
          <w:color w:val="231F20"/>
          <w:spacing w:val="-7"/>
          <w:w w:val="105"/>
        </w:rPr>
        <w:t> </w:t>
      </w:r>
      <w:r>
        <w:rPr>
          <w:color w:val="231F20"/>
          <w:w w:val="105"/>
        </w:rPr>
        <w:t>las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spacing w:val="-2"/>
          <w:w w:val="105"/>
        </w:rPr>
        <w:t>encuentran</w:t>
      </w:r>
      <w:r>
        <w:rPr>
          <w:color w:val="231F20"/>
          <w:spacing w:val="-7"/>
          <w:w w:val="105"/>
        </w:rPr>
        <w:t> </w:t>
      </w:r>
      <w:r>
        <w:rPr>
          <w:color w:val="231F20"/>
          <w:w w:val="105"/>
        </w:rPr>
        <w:t>fuera</w:t>
      </w:r>
      <w:r>
        <w:rPr>
          <w:color w:val="231F20"/>
          <w:spacing w:val="-7"/>
          <w:w w:val="105"/>
        </w:rPr>
        <w:t> </w:t>
      </w:r>
      <w:r>
        <w:rPr>
          <w:color w:val="231F20"/>
          <w:w w:val="105"/>
        </w:rPr>
        <w:t>del</w:t>
      </w:r>
      <w:r>
        <w:rPr>
          <w:color w:val="231F20"/>
          <w:spacing w:val="-7"/>
          <w:w w:val="105"/>
        </w:rPr>
        <w:t> </w:t>
      </w:r>
      <w:r>
        <w:rPr>
          <w:color w:val="231F20"/>
          <w:spacing w:val="-3"/>
          <w:w w:val="105"/>
        </w:rPr>
        <w:t>dinero,</w:t>
      </w:r>
      <w:r>
        <w:rPr>
          <w:color w:val="231F20"/>
          <w:spacing w:val="-13"/>
          <w:w w:val="105"/>
        </w:rPr>
        <w:t> </w:t>
      </w:r>
      <w:r>
        <w:rPr>
          <w:color w:val="231F20"/>
          <w:w w:val="105"/>
        </w:rPr>
        <w:t>y</w:t>
      </w:r>
      <w:r>
        <w:rPr>
          <w:color w:val="231F20"/>
          <w:spacing w:val="-7"/>
          <w:w w:val="105"/>
        </w:rPr>
        <w:t> </w:t>
      </w:r>
      <w:r>
        <w:rPr>
          <w:color w:val="231F20"/>
          <w:spacing w:val="-3"/>
          <w:w w:val="105"/>
        </w:rPr>
        <w:t>reduce</w:t>
      </w:r>
      <w:r>
        <w:rPr>
          <w:color w:val="231F20"/>
          <w:spacing w:val="-7"/>
          <w:w w:val="105"/>
        </w:rPr>
        <w:t> </w:t>
      </w:r>
      <w:r>
        <w:rPr>
          <w:color w:val="231F20"/>
          <w:spacing w:val="-2"/>
          <w:w w:val="105"/>
        </w:rPr>
        <w:t>los</w:t>
      </w:r>
      <w:r>
        <w:rPr>
          <w:color w:val="231F20"/>
          <w:spacing w:val="-2"/>
          <w:w w:val="102"/>
        </w:rPr>
        <w:t> </w:t>
      </w:r>
      <w:r>
        <w:rPr>
          <w:color w:val="231F20"/>
          <w:spacing w:val="-3"/>
          <w:w w:val="105"/>
        </w:rPr>
        <w:t>precios</w:t>
      </w:r>
      <w:r>
        <w:rPr>
          <w:color w:val="231F20"/>
          <w:spacing w:val="-28"/>
          <w:w w:val="105"/>
        </w:rPr>
        <w:t> </w:t>
      </w:r>
      <w:r>
        <w:rPr>
          <w:color w:val="231F20"/>
          <w:w w:val="105"/>
        </w:rPr>
        <w:t>para</w:t>
      </w:r>
      <w:r>
        <w:rPr>
          <w:color w:val="231F20"/>
          <w:spacing w:val="-28"/>
          <w:w w:val="105"/>
        </w:rPr>
        <w:t> </w:t>
      </w:r>
      <w:r>
        <w:rPr>
          <w:color w:val="231F20"/>
          <w:w w:val="105"/>
        </w:rPr>
        <w:t>las</w:t>
      </w:r>
      <w:r>
        <w:rPr>
          <w:color w:val="231F20"/>
          <w:spacing w:val="-28"/>
          <w:w w:val="105"/>
        </w:rPr>
        <w:t> </w:t>
      </w:r>
      <w:r>
        <w:rPr>
          <w:color w:val="231F20"/>
          <w:w w:val="105"/>
        </w:rPr>
        <w:t>opciones</w:t>
      </w:r>
      <w:r>
        <w:rPr>
          <w:color w:val="231F20"/>
          <w:spacing w:val="-28"/>
          <w:w w:val="105"/>
        </w:rPr>
        <w:t> </w:t>
      </w:r>
      <w:r>
        <w:rPr>
          <w:color w:val="231F20"/>
          <w:spacing w:val="-3"/>
          <w:w w:val="105"/>
        </w:rPr>
        <w:t>cerca</w:t>
      </w:r>
      <w:r>
        <w:rPr>
          <w:color w:val="231F20"/>
          <w:spacing w:val="-28"/>
          <w:w w:val="105"/>
        </w:rPr>
        <w:t> </w:t>
      </w:r>
      <w:r>
        <w:rPr>
          <w:color w:val="231F20"/>
          <w:w w:val="105"/>
        </w:rPr>
        <w:t>del</w:t>
      </w:r>
      <w:r>
        <w:rPr>
          <w:color w:val="231F20"/>
          <w:spacing w:val="-28"/>
          <w:w w:val="105"/>
        </w:rPr>
        <w:t> </w:t>
      </w:r>
      <w:r>
        <w:rPr>
          <w:color w:val="231F20"/>
          <w:spacing w:val="-3"/>
          <w:w w:val="105"/>
        </w:rPr>
        <w:t>dinero</w:t>
      </w:r>
      <w:r>
        <w:rPr>
          <w:color w:val="231F20"/>
          <w:spacing w:val="-28"/>
          <w:w w:val="105"/>
        </w:rPr>
        <w:t> </w:t>
      </w:r>
      <w:r>
        <w:rPr>
          <w:color w:val="231F20"/>
          <w:spacing w:val="-4"/>
          <w:w w:val="105"/>
        </w:rPr>
        <w:t>(ATM,</w:t>
      </w:r>
      <w:r>
        <w:rPr>
          <w:color w:val="231F20"/>
          <w:spacing w:val="-33"/>
          <w:w w:val="105"/>
        </w:rPr>
        <w:t> </w:t>
      </w:r>
      <w:r>
        <w:rPr>
          <w:color w:val="231F20"/>
          <w:w w:val="105"/>
        </w:rPr>
        <w:t>por</w:t>
      </w:r>
      <w:r>
        <w:rPr>
          <w:color w:val="231F20"/>
          <w:spacing w:val="-28"/>
          <w:w w:val="105"/>
        </w:rPr>
        <w:t> </w:t>
      </w:r>
      <w:r>
        <w:rPr>
          <w:color w:val="231F20"/>
          <w:w w:val="105"/>
        </w:rPr>
        <w:t>sus</w:t>
      </w:r>
      <w:r>
        <w:rPr>
          <w:color w:val="231F20"/>
          <w:spacing w:val="-28"/>
          <w:w w:val="105"/>
        </w:rPr>
        <w:t> </w:t>
      </w:r>
      <w:r>
        <w:rPr>
          <w:color w:val="231F20"/>
          <w:w w:val="105"/>
        </w:rPr>
        <w:t>siglas</w:t>
      </w:r>
      <w:r>
        <w:rPr>
          <w:color w:val="231F20"/>
          <w:spacing w:val="-28"/>
          <w:w w:val="105"/>
        </w:rPr>
        <w:t> </w:t>
      </w:r>
      <w:r>
        <w:rPr>
          <w:color w:val="231F20"/>
          <w:w w:val="105"/>
        </w:rPr>
        <w:t>en</w:t>
      </w:r>
      <w:r>
        <w:rPr>
          <w:color w:val="231F20"/>
          <w:spacing w:val="-28"/>
          <w:w w:val="105"/>
        </w:rPr>
        <w:t> </w:t>
      </w:r>
      <w:r>
        <w:rPr>
          <w:color w:val="231F20"/>
          <w:w w:val="105"/>
        </w:rPr>
        <w:t>inglés).</w:t>
      </w:r>
    </w:p>
    <w:p>
      <w:pPr>
        <w:pStyle w:val="BodyText"/>
        <w:spacing w:line="259" w:lineRule="auto"/>
        <w:ind w:left="117" w:right="115" w:firstLine="567"/>
        <w:jc w:val="right"/>
      </w:pPr>
      <w:r>
        <w:rPr>
          <w:color w:val="231F20"/>
          <w:spacing w:val="-5"/>
          <w:w w:val="105"/>
        </w:rPr>
        <w:t>Para</w:t>
      </w:r>
      <w:r>
        <w:rPr>
          <w:color w:val="231F20"/>
          <w:spacing w:val="-8"/>
          <w:w w:val="105"/>
        </w:rPr>
        <w:t> </w:t>
      </w:r>
      <w:r>
        <w:rPr>
          <w:color w:val="231F20"/>
          <w:w w:val="105"/>
        </w:rPr>
        <w:t>mejorar</w:t>
      </w:r>
      <w:r>
        <w:rPr>
          <w:color w:val="231F20"/>
          <w:spacing w:val="-8"/>
          <w:w w:val="105"/>
        </w:rPr>
        <w:t> </w:t>
      </w:r>
      <w:r>
        <w:rPr>
          <w:color w:val="231F20"/>
          <w:w w:val="105"/>
        </w:rPr>
        <w:t>la</w:t>
      </w:r>
      <w:r>
        <w:rPr>
          <w:color w:val="231F20"/>
          <w:spacing w:val="-8"/>
          <w:w w:val="105"/>
        </w:rPr>
        <w:t> </w:t>
      </w:r>
      <w:r>
        <w:rPr>
          <w:color w:val="231F20"/>
          <w:spacing w:val="-3"/>
          <w:w w:val="105"/>
        </w:rPr>
        <w:t>precisión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spacing w:val="-3"/>
          <w:w w:val="105"/>
        </w:rPr>
        <w:t>precios</w:t>
      </w:r>
      <w:r>
        <w:rPr>
          <w:color w:val="231F20"/>
          <w:spacing w:val="-8"/>
          <w:w w:val="105"/>
        </w:rPr>
        <w:t> </w:t>
      </w:r>
      <w:r>
        <w:rPr>
          <w:color w:val="231F20"/>
          <w:w w:val="105"/>
        </w:rPr>
        <w:t>los</w:t>
      </w:r>
      <w:r>
        <w:rPr>
          <w:color w:val="231F20"/>
          <w:spacing w:val="-8"/>
          <w:w w:val="105"/>
        </w:rPr>
        <w:t> </w:t>
      </w:r>
      <w:r>
        <w:rPr>
          <w:color w:val="231F20"/>
          <w:w w:val="105"/>
        </w:rPr>
        <w:t>modelos</w:t>
      </w:r>
      <w:r>
        <w:rPr>
          <w:color w:val="231F20"/>
          <w:spacing w:val="-8"/>
          <w:w w:val="105"/>
        </w:rPr>
        <w:t> </w:t>
      </w:r>
      <w:r>
        <w:rPr>
          <w:color w:val="231F20"/>
          <w:w w:val="105"/>
        </w:rPr>
        <w:t>de</w:t>
      </w:r>
      <w:r>
        <w:rPr>
          <w:color w:val="231F20"/>
          <w:spacing w:val="-8"/>
          <w:w w:val="105"/>
        </w:rPr>
        <w:t> </w:t>
      </w:r>
      <w:r>
        <w:rPr>
          <w:color w:val="231F20"/>
          <w:spacing w:val="-3"/>
          <w:w w:val="105"/>
        </w:rPr>
        <w:t>valoración</w:t>
      </w:r>
      <w:r>
        <w:rPr>
          <w:color w:val="231F20"/>
          <w:spacing w:val="-2"/>
          <w:w w:val="103"/>
        </w:rPr>
        <w:t> </w:t>
      </w:r>
      <w:r>
        <w:rPr>
          <w:color w:val="231F20"/>
          <w:w w:val="105"/>
        </w:rPr>
        <w:t>de</w:t>
      </w:r>
      <w:r>
        <w:rPr>
          <w:color w:val="231F20"/>
          <w:spacing w:val="-5"/>
          <w:w w:val="105"/>
        </w:rPr>
        <w:t> </w:t>
      </w:r>
      <w:r>
        <w:rPr>
          <w:color w:val="231F20"/>
          <w:w w:val="105"/>
        </w:rPr>
        <w:t>opciones</w:t>
      </w:r>
      <w:r>
        <w:rPr>
          <w:color w:val="231F20"/>
          <w:spacing w:val="-5"/>
          <w:w w:val="105"/>
        </w:rPr>
        <w:t> </w:t>
      </w:r>
      <w:r>
        <w:rPr>
          <w:color w:val="231F20"/>
          <w:w w:val="105"/>
        </w:rPr>
        <w:t>con</w:t>
      </w:r>
      <w:r>
        <w:rPr>
          <w:color w:val="231F20"/>
          <w:spacing w:val="-5"/>
          <w:w w:val="105"/>
        </w:rPr>
        <w:t> </w:t>
      </w:r>
      <w:r>
        <w:rPr>
          <w:color w:val="231F20"/>
          <w:w w:val="105"/>
        </w:rPr>
        <w:t>volatilidad</w:t>
      </w:r>
      <w:r>
        <w:rPr>
          <w:color w:val="231F20"/>
          <w:spacing w:val="-5"/>
          <w:w w:val="105"/>
        </w:rPr>
        <w:t> </w:t>
      </w:r>
      <w:r>
        <w:rPr>
          <w:color w:val="231F20"/>
          <w:w w:val="105"/>
        </w:rPr>
        <w:t>estocástica</w:t>
      </w:r>
      <w:r>
        <w:rPr>
          <w:color w:val="231F20"/>
          <w:spacing w:val="-5"/>
          <w:w w:val="105"/>
        </w:rPr>
        <w:t> </w:t>
      </w:r>
      <w:r>
        <w:rPr>
          <w:color w:val="231F20"/>
          <w:spacing w:val="-12"/>
          <w:w w:val="105"/>
        </w:rPr>
        <w:t>(P.</w:t>
      </w:r>
      <w:r>
        <w:rPr>
          <w:color w:val="231F20"/>
          <w:spacing w:val="-10"/>
          <w:w w:val="105"/>
        </w:rPr>
        <w:t> </w:t>
      </w:r>
      <w:r>
        <w:rPr>
          <w:color w:val="231F20"/>
          <w:w w:val="105"/>
        </w:rPr>
        <w:t>ej.</w:t>
      </w:r>
      <w:r>
        <w:rPr>
          <w:color w:val="231F20"/>
          <w:spacing w:val="-10"/>
          <w:w w:val="105"/>
        </w:rPr>
        <w:t> </w:t>
      </w:r>
      <w:r>
        <w:rPr>
          <w:color w:val="231F20"/>
          <w:w w:val="105"/>
        </w:rPr>
        <w:t>Hull</w:t>
      </w:r>
      <w:r>
        <w:rPr>
          <w:color w:val="231F20"/>
          <w:spacing w:val="-5"/>
          <w:w w:val="105"/>
        </w:rPr>
        <w:t> </w:t>
      </w:r>
      <w:r>
        <w:rPr>
          <w:color w:val="231F20"/>
          <w:w w:val="105"/>
        </w:rPr>
        <w:t>y</w:t>
      </w:r>
      <w:r>
        <w:rPr>
          <w:color w:val="231F20"/>
          <w:spacing w:val="-7"/>
          <w:w w:val="105"/>
        </w:rPr>
        <w:t> </w:t>
      </w:r>
      <w:r>
        <w:rPr>
          <w:color w:val="231F20"/>
          <w:w w:val="105"/>
        </w:rPr>
        <w:t>White,</w:t>
      </w:r>
      <w:r>
        <w:rPr>
          <w:color w:val="231F20"/>
          <w:spacing w:val="-10"/>
          <w:w w:val="105"/>
        </w:rPr>
        <w:t> </w:t>
      </w:r>
      <w:r>
        <w:rPr>
          <w:color w:val="231F20"/>
          <w:w w:val="105"/>
        </w:rPr>
        <w:t>1987;</w:t>
      </w:r>
      <w:r>
        <w:rPr>
          <w:color w:val="231F20"/>
          <w:spacing w:val="-5"/>
          <w:w w:val="105"/>
        </w:rPr>
        <w:t> </w:t>
      </w:r>
      <w:r>
        <w:rPr>
          <w:color w:val="231F20"/>
          <w:spacing w:val="-3"/>
          <w:w w:val="105"/>
        </w:rPr>
        <w:t>Scott,</w:t>
      </w:r>
      <w:r>
        <w:rPr>
          <w:color w:val="231F20"/>
          <w:spacing w:val="-2"/>
          <w:w w:val="103"/>
        </w:rPr>
        <w:t> </w:t>
      </w:r>
      <w:r>
        <w:rPr>
          <w:color w:val="231F20"/>
          <w:w w:val="105"/>
        </w:rPr>
        <w:t>1987;</w:t>
      </w:r>
      <w:r>
        <w:rPr>
          <w:color w:val="231F20"/>
          <w:spacing w:val="-12"/>
          <w:w w:val="105"/>
        </w:rPr>
        <w:t> </w:t>
      </w:r>
      <w:r>
        <w:rPr>
          <w:color w:val="231F20"/>
          <w:w w:val="105"/>
        </w:rPr>
        <w:t>Wiggins,</w:t>
      </w:r>
      <w:r>
        <w:rPr>
          <w:color w:val="231F20"/>
          <w:spacing w:val="-15"/>
          <w:w w:val="105"/>
        </w:rPr>
        <w:t> </w:t>
      </w:r>
      <w:r>
        <w:rPr>
          <w:color w:val="231F20"/>
          <w:w w:val="105"/>
        </w:rPr>
        <w:t>1987;</w:t>
      </w:r>
      <w:r>
        <w:rPr>
          <w:color w:val="231F20"/>
          <w:spacing w:val="-10"/>
          <w:w w:val="105"/>
        </w:rPr>
        <w:t> </w:t>
      </w:r>
      <w:r>
        <w:rPr>
          <w:color w:val="231F20"/>
          <w:w w:val="105"/>
        </w:rPr>
        <w:t>Melino</w:t>
      </w:r>
      <w:r>
        <w:rPr>
          <w:color w:val="231F20"/>
          <w:spacing w:val="-10"/>
          <w:w w:val="105"/>
        </w:rPr>
        <w:t> </w:t>
      </w:r>
      <w:r>
        <w:rPr>
          <w:color w:val="231F20"/>
          <w:w w:val="105"/>
        </w:rPr>
        <w:t>y</w:t>
      </w:r>
      <w:r>
        <w:rPr>
          <w:color w:val="231F20"/>
          <w:spacing w:val="-14"/>
          <w:w w:val="105"/>
        </w:rPr>
        <w:t> </w:t>
      </w:r>
      <w:r>
        <w:rPr>
          <w:color w:val="231F20"/>
          <w:spacing w:val="-4"/>
          <w:w w:val="105"/>
        </w:rPr>
        <w:t>Turnbull,</w:t>
      </w:r>
      <w:r>
        <w:rPr>
          <w:color w:val="231F20"/>
          <w:spacing w:val="-15"/>
          <w:w w:val="105"/>
        </w:rPr>
        <w:t> </w:t>
      </w:r>
      <w:r>
        <w:rPr>
          <w:color w:val="231F20"/>
          <w:w w:val="105"/>
        </w:rPr>
        <w:t>1990;</w:t>
      </w:r>
      <w:r>
        <w:rPr>
          <w:color w:val="231F20"/>
          <w:spacing w:val="-10"/>
          <w:w w:val="105"/>
        </w:rPr>
        <w:t> </w:t>
      </w:r>
      <w:r>
        <w:rPr>
          <w:color w:val="231F20"/>
          <w:w w:val="105"/>
        </w:rPr>
        <w:t>Heston,</w:t>
      </w:r>
      <w:r>
        <w:rPr>
          <w:color w:val="231F20"/>
          <w:spacing w:val="-15"/>
          <w:w w:val="105"/>
        </w:rPr>
        <w:t> </w:t>
      </w:r>
      <w:r>
        <w:rPr>
          <w:color w:val="231F20"/>
          <w:w w:val="105"/>
        </w:rPr>
        <w:t>1993)</w:t>
      </w:r>
      <w:r>
        <w:rPr>
          <w:color w:val="231F20"/>
          <w:spacing w:val="-10"/>
          <w:w w:val="105"/>
        </w:rPr>
        <w:t> </w:t>
      </w:r>
      <w:r>
        <w:rPr>
          <w:color w:val="231F20"/>
          <w:spacing w:val="-3"/>
          <w:w w:val="105"/>
        </w:rPr>
        <w:t>incorporan</w:t>
      </w:r>
      <w:r>
        <w:rPr>
          <w:color w:val="231F20"/>
          <w:spacing w:val="-2"/>
          <w:w w:val="100"/>
        </w:rPr>
        <w:t> </w:t>
      </w:r>
      <w:r>
        <w:rPr>
          <w:color w:val="231F20"/>
          <w:w w:val="105"/>
        </w:rPr>
        <w:t>la</w:t>
      </w:r>
      <w:r>
        <w:rPr>
          <w:color w:val="231F20"/>
          <w:spacing w:val="-14"/>
          <w:w w:val="105"/>
        </w:rPr>
        <w:t> </w:t>
      </w:r>
      <w:r>
        <w:rPr>
          <w:color w:val="231F20"/>
          <w:spacing w:val="-2"/>
          <w:w w:val="105"/>
        </w:rPr>
        <w:t>leptocurtosis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spacing w:val="-3"/>
          <w:w w:val="105"/>
        </w:rPr>
        <w:t>rendimientos</w:t>
      </w:r>
      <w:r>
        <w:rPr>
          <w:color w:val="231F20"/>
          <w:spacing w:val="-14"/>
          <w:w w:val="105"/>
        </w:rPr>
        <w:t> </w:t>
      </w:r>
      <w:r>
        <w:rPr>
          <w:color w:val="231F20"/>
          <w:w w:val="105"/>
        </w:rPr>
        <w:t>del</w:t>
      </w:r>
      <w:r>
        <w:rPr>
          <w:color w:val="231F20"/>
          <w:spacing w:val="-14"/>
          <w:w w:val="105"/>
        </w:rPr>
        <w:t> </w:t>
      </w:r>
      <w:r>
        <w:rPr>
          <w:color w:val="231F20"/>
          <w:w w:val="105"/>
        </w:rPr>
        <w:t>activo</w:t>
      </w:r>
      <w:r>
        <w:rPr>
          <w:color w:val="231F20"/>
          <w:spacing w:val="-14"/>
          <w:w w:val="105"/>
        </w:rPr>
        <w:t> </w:t>
      </w:r>
      <w:r>
        <w:rPr>
          <w:color w:val="231F20"/>
          <w:w w:val="105"/>
        </w:rPr>
        <w:t>subyacente.</w:t>
      </w:r>
      <w:r>
        <w:rPr>
          <w:color w:val="231F20"/>
          <w:spacing w:val="-22"/>
          <w:w w:val="105"/>
        </w:rPr>
        <w:t> </w:t>
      </w:r>
      <w:r>
        <w:rPr>
          <w:color w:val="231F20"/>
          <w:spacing w:val="-5"/>
          <w:w w:val="105"/>
        </w:rPr>
        <w:t>También</w:t>
      </w:r>
      <w:r>
        <w:rPr>
          <w:color w:val="231F20"/>
          <w:spacing w:val="-14"/>
          <w:w w:val="105"/>
        </w:rPr>
        <w:t> </w:t>
      </w:r>
      <w:r>
        <w:rPr>
          <w:color w:val="231F20"/>
          <w:w w:val="105"/>
        </w:rPr>
        <w:t>sus-</w:t>
      </w:r>
      <w:r>
        <w:rPr>
          <w:color w:val="231F20"/>
          <w:w w:val="96"/>
        </w:rPr>
        <w:t> </w:t>
      </w:r>
      <w:r>
        <w:rPr>
          <w:color w:val="231F20"/>
          <w:w w:val="105"/>
        </w:rPr>
        <w:t>tentan</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fijación</w:t>
      </w:r>
      <w:r>
        <w:rPr>
          <w:color w:val="231F20"/>
          <w:spacing w:val="-19"/>
          <w:w w:val="105"/>
        </w:rPr>
        <w:t> </w:t>
      </w:r>
      <w:r>
        <w:rPr>
          <w:color w:val="231F20"/>
          <w:w w:val="105"/>
        </w:rPr>
        <w:t>de</w:t>
      </w:r>
      <w:r>
        <w:rPr>
          <w:color w:val="231F20"/>
          <w:spacing w:val="-19"/>
          <w:w w:val="105"/>
        </w:rPr>
        <w:t> </w:t>
      </w:r>
      <w:r>
        <w:rPr>
          <w:color w:val="231F20"/>
          <w:w w:val="105"/>
        </w:rPr>
        <w:t>dichos</w:t>
      </w:r>
      <w:r>
        <w:rPr>
          <w:color w:val="231F20"/>
          <w:spacing w:val="-19"/>
          <w:w w:val="105"/>
        </w:rPr>
        <w:t> </w:t>
      </w:r>
      <w:r>
        <w:rPr>
          <w:color w:val="231F20"/>
          <w:spacing w:val="-3"/>
          <w:w w:val="105"/>
        </w:rPr>
        <w:t>precios</w:t>
      </w:r>
      <w:r>
        <w:rPr>
          <w:color w:val="231F20"/>
          <w:spacing w:val="-19"/>
          <w:w w:val="105"/>
        </w:rPr>
        <w:t> </w:t>
      </w:r>
      <w:r>
        <w:rPr>
          <w:color w:val="231F20"/>
          <w:w w:val="105"/>
        </w:rPr>
        <w:t>se</w:t>
      </w:r>
      <w:r>
        <w:rPr>
          <w:color w:val="231F20"/>
          <w:spacing w:val="-19"/>
          <w:w w:val="105"/>
        </w:rPr>
        <w:t> </w:t>
      </w:r>
      <w:r>
        <w:rPr>
          <w:color w:val="231F20"/>
          <w:w w:val="105"/>
        </w:rPr>
        <w:t>deriva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procesos</w:t>
      </w:r>
      <w:r>
        <w:rPr>
          <w:color w:val="231F20"/>
          <w:spacing w:val="-19"/>
          <w:w w:val="105"/>
        </w:rPr>
        <w:t> </w:t>
      </w:r>
      <w:r>
        <w:rPr>
          <w:color w:val="231F20"/>
          <w:w w:val="105"/>
        </w:rPr>
        <w:t>de</w:t>
      </w:r>
      <w:r>
        <w:rPr>
          <w:color w:val="231F20"/>
          <w:spacing w:val="-19"/>
          <w:w w:val="105"/>
        </w:rPr>
        <w:t> </w:t>
      </w:r>
      <w:r>
        <w:rPr>
          <w:color w:val="231F20"/>
          <w:w w:val="105"/>
        </w:rPr>
        <w:t>difu-</w:t>
      </w:r>
      <w:r>
        <w:rPr>
          <w:color w:val="231F20"/>
          <w:w w:val="96"/>
        </w:rPr>
        <w:t> </w:t>
      </w:r>
      <w:r>
        <w:rPr>
          <w:color w:val="231F20"/>
          <w:w w:val="105"/>
        </w:rPr>
        <w:t>sión</w:t>
      </w:r>
      <w:r>
        <w:rPr>
          <w:color w:val="231F20"/>
          <w:spacing w:val="-8"/>
          <w:w w:val="105"/>
        </w:rPr>
        <w:t> </w:t>
      </w:r>
      <w:r>
        <w:rPr>
          <w:color w:val="231F20"/>
          <w:w w:val="105"/>
        </w:rPr>
        <w:t>del</w:t>
      </w:r>
      <w:r>
        <w:rPr>
          <w:color w:val="231F20"/>
          <w:spacing w:val="-8"/>
          <w:w w:val="105"/>
        </w:rPr>
        <w:t> </w:t>
      </w:r>
      <w:r>
        <w:rPr>
          <w:color w:val="231F20"/>
          <w:spacing w:val="-3"/>
          <w:w w:val="105"/>
        </w:rPr>
        <w:t>precio</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2"/>
          <w:w w:val="105"/>
        </w:rPr>
        <w:t>volatilidad,</w:t>
      </w:r>
      <w:r>
        <w:rPr>
          <w:color w:val="231F20"/>
          <w:spacing w:val="-14"/>
          <w:w w:val="105"/>
        </w:rPr>
        <w:t> </w:t>
      </w:r>
      <w:r>
        <w:rPr>
          <w:color w:val="231F20"/>
          <w:w w:val="105"/>
        </w:rPr>
        <w:t>además</w:t>
      </w:r>
      <w:r>
        <w:rPr>
          <w:color w:val="231F20"/>
          <w:spacing w:val="-8"/>
          <w:w w:val="105"/>
        </w:rPr>
        <w:t> </w:t>
      </w:r>
      <w:r>
        <w:rPr>
          <w:color w:val="231F20"/>
          <w:w w:val="105"/>
        </w:rPr>
        <w:t>de</w:t>
      </w:r>
      <w:r>
        <w:rPr>
          <w:color w:val="231F20"/>
          <w:spacing w:val="-8"/>
          <w:w w:val="105"/>
        </w:rPr>
        <w:t> </w:t>
      </w:r>
      <w:r>
        <w:rPr>
          <w:color w:val="231F20"/>
          <w:spacing w:val="-2"/>
          <w:w w:val="105"/>
        </w:rPr>
        <w:t>considerar</w:t>
      </w:r>
      <w:r>
        <w:rPr>
          <w:color w:val="231F20"/>
          <w:spacing w:val="-8"/>
          <w:w w:val="105"/>
        </w:rPr>
        <w:t> </w:t>
      </w:r>
      <w:r>
        <w:rPr>
          <w:color w:val="231F20"/>
          <w:w w:val="105"/>
        </w:rPr>
        <w:t>una</w:t>
      </w:r>
      <w:r>
        <w:rPr>
          <w:color w:val="231F20"/>
          <w:spacing w:val="-8"/>
          <w:w w:val="105"/>
        </w:rPr>
        <w:t> </w:t>
      </w:r>
      <w:r>
        <w:rPr>
          <w:color w:val="231F20"/>
          <w:spacing w:val="-3"/>
          <w:w w:val="105"/>
        </w:rPr>
        <w:t>correlación</w:t>
      </w:r>
      <w:r>
        <w:rPr>
          <w:color w:val="231F20"/>
          <w:spacing w:val="-2"/>
          <w:w w:val="104"/>
        </w:rPr>
        <w:t> </w:t>
      </w:r>
      <w:r>
        <w:rPr>
          <w:color w:val="231F20"/>
          <w:w w:val="105"/>
        </w:rPr>
        <w:t>nula</w:t>
      </w:r>
      <w:r>
        <w:rPr>
          <w:color w:val="231F20"/>
          <w:spacing w:val="-21"/>
          <w:w w:val="105"/>
        </w:rPr>
        <w:t> </w:t>
      </w:r>
      <w:r>
        <w:rPr>
          <w:color w:val="231F20"/>
          <w:spacing w:val="-3"/>
          <w:w w:val="105"/>
        </w:rPr>
        <w:t>entre</w:t>
      </w:r>
      <w:r>
        <w:rPr>
          <w:color w:val="231F20"/>
          <w:spacing w:val="-21"/>
          <w:w w:val="105"/>
        </w:rPr>
        <w:t> </w:t>
      </w:r>
      <w:r>
        <w:rPr>
          <w:color w:val="231F20"/>
          <w:w w:val="105"/>
        </w:rPr>
        <w:t>el</w:t>
      </w:r>
      <w:r>
        <w:rPr>
          <w:color w:val="231F20"/>
          <w:spacing w:val="-21"/>
          <w:w w:val="105"/>
        </w:rPr>
        <w:t> </w:t>
      </w:r>
      <w:r>
        <w:rPr>
          <w:color w:val="231F20"/>
          <w:spacing w:val="-3"/>
          <w:w w:val="105"/>
        </w:rPr>
        <w:t>rendimiento</w:t>
      </w:r>
      <w:r>
        <w:rPr>
          <w:color w:val="231F20"/>
          <w:spacing w:val="-21"/>
          <w:w w:val="105"/>
        </w:rPr>
        <w:t> </w:t>
      </w:r>
      <w:r>
        <w:rPr>
          <w:color w:val="231F20"/>
          <w:w w:val="105"/>
        </w:rPr>
        <w:t>del</w:t>
      </w:r>
      <w:r>
        <w:rPr>
          <w:color w:val="231F20"/>
          <w:spacing w:val="-21"/>
          <w:w w:val="105"/>
        </w:rPr>
        <w:t> </w:t>
      </w:r>
      <w:r>
        <w:rPr>
          <w:color w:val="231F20"/>
          <w:spacing w:val="-3"/>
          <w:w w:val="105"/>
        </w:rPr>
        <w:t>precio</w:t>
      </w:r>
      <w:r>
        <w:rPr>
          <w:color w:val="231F20"/>
          <w:spacing w:val="-21"/>
          <w:w w:val="105"/>
        </w:rPr>
        <w:t> </w:t>
      </w:r>
      <w:r>
        <w:rPr>
          <w:color w:val="231F20"/>
          <w:w w:val="105"/>
        </w:rPr>
        <w:t>del</w:t>
      </w:r>
      <w:r>
        <w:rPr>
          <w:color w:val="231F20"/>
          <w:spacing w:val="-21"/>
          <w:w w:val="105"/>
        </w:rPr>
        <w:t> </w:t>
      </w:r>
      <w:r>
        <w:rPr>
          <w:color w:val="231F20"/>
          <w:w w:val="105"/>
        </w:rPr>
        <w:t>activo</w:t>
      </w:r>
      <w:r>
        <w:rPr>
          <w:color w:val="231F20"/>
          <w:spacing w:val="-21"/>
          <w:w w:val="105"/>
        </w:rPr>
        <w:t> </w:t>
      </w:r>
      <w:r>
        <w:rPr>
          <w:color w:val="231F20"/>
          <w:w w:val="105"/>
        </w:rPr>
        <w:t>subyacente</w:t>
      </w:r>
      <w:r>
        <w:rPr>
          <w:color w:val="231F20"/>
          <w:spacing w:val="-21"/>
          <w:w w:val="105"/>
        </w:rPr>
        <w:t> </w:t>
      </w:r>
      <w:r>
        <w:rPr>
          <w:color w:val="231F20"/>
          <w:w w:val="105"/>
        </w:rPr>
        <w:t>y</w:t>
      </w:r>
      <w:r>
        <w:rPr>
          <w:color w:val="231F20"/>
          <w:spacing w:val="-21"/>
          <w:w w:val="105"/>
        </w:rPr>
        <w:t> </w:t>
      </w:r>
      <w:r>
        <w:rPr>
          <w:color w:val="231F20"/>
          <w:w w:val="105"/>
        </w:rPr>
        <w:t>su</w:t>
      </w:r>
      <w:r>
        <w:rPr>
          <w:color w:val="231F20"/>
          <w:spacing w:val="-21"/>
          <w:w w:val="105"/>
        </w:rPr>
        <w:t> </w:t>
      </w:r>
      <w:r>
        <w:rPr>
          <w:color w:val="231F20"/>
          <w:spacing w:val="-3"/>
          <w:w w:val="105"/>
        </w:rPr>
        <w:t>volatilidad.</w:t>
      </w:r>
      <w:r>
        <w:rPr>
          <w:color w:val="231F20"/>
          <w:spacing w:val="-2"/>
          <w:w w:val="108"/>
        </w:rPr>
        <w:t> </w:t>
      </w:r>
      <w:r>
        <w:rPr>
          <w:color w:val="231F20"/>
          <w:w w:val="105"/>
        </w:rPr>
        <w:t>Con base en el proceso de Scott, Ornstein-Uhlenbeck</w:t>
      </w:r>
      <w:r>
        <w:rPr>
          <w:color w:val="231F20"/>
          <w:spacing w:val="4"/>
          <w:w w:val="105"/>
        </w:rPr>
        <w:t> </w:t>
      </w:r>
      <w:r>
        <w:rPr>
          <w:color w:val="231F20"/>
          <w:w w:val="105"/>
        </w:rPr>
        <w:t>(1987)</w:t>
      </w:r>
      <w:r>
        <w:rPr>
          <w:color w:val="231F20"/>
          <w:spacing w:val="1"/>
          <w:w w:val="105"/>
        </w:rPr>
        <w:t> </w:t>
      </w:r>
      <w:r>
        <w:rPr>
          <w:color w:val="231F20"/>
          <w:w w:val="105"/>
        </w:rPr>
        <w:t>ex-</w:t>
      </w:r>
      <w:r>
        <w:rPr>
          <w:color w:val="231F20"/>
          <w:w w:val="96"/>
        </w:rPr>
        <w:t> </w:t>
      </w:r>
      <w:r>
        <w:rPr>
          <w:color w:val="231F20"/>
          <w:w w:val="105"/>
        </w:rPr>
        <w:t>tiende el modelo de Hull y White (1987) al especificar la dinámica</w:t>
      </w:r>
      <w:r>
        <w:rPr>
          <w:color w:val="231F20"/>
          <w:spacing w:val="-11"/>
          <w:w w:val="105"/>
        </w:rPr>
        <w:t> </w:t>
      </w:r>
      <w:r>
        <w:rPr>
          <w:color w:val="231F20"/>
          <w:w w:val="105"/>
        </w:rPr>
        <w:t>de</w:t>
      </w:r>
      <w:r>
        <w:rPr>
          <w:color w:val="231F20"/>
          <w:spacing w:val="-1"/>
          <w:w w:val="105"/>
        </w:rPr>
        <w:t> </w:t>
      </w:r>
      <w:r>
        <w:rPr>
          <w:color w:val="231F20"/>
          <w:w w:val="105"/>
        </w:rPr>
        <w:t>la</w:t>
      </w:r>
      <w:r>
        <w:rPr>
          <w:color w:val="231F20"/>
          <w:w w:val="100"/>
        </w:rPr>
        <w:t> </w:t>
      </w:r>
      <w:r>
        <w:rPr>
          <w:color w:val="231F20"/>
          <w:w w:val="105"/>
        </w:rPr>
        <w:t>volatilidad</w:t>
      </w:r>
      <w:r>
        <w:rPr>
          <w:color w:val="231F20"/>
          <w:spacing w:val="-24"/>
          <w:w w:val="105"/>
        </w:rPr>
        <w:t> </w:t>
      </w:r>
      <w:r>
        <w:rPr>
          <w:color w:val="231F20"/>
          <w:w w:val="105"/>
        </w:rPr>
        <w:t>estocástica</w:t>
      </w:r>
      <w:r>
        <w:rPr>
          <w:color w:val="231F20"/>
          <w:spacing w:val="-24"/>
          <w:w w:val="105"/>
        </w:rPr>
        <w:t> </w:t>
      </w:r>
      <w:r>
        <w:rPr>
          <w:color w:val="231F20"/>
          <w:w w:val="105"/>
        </w:rPr>
        <w:t>como</w:t>
      </w:r>
      <w:r>
        <w:rPr>
          <w:color w:val="231F20"/>
          <w:spacing w:val="-24"/>
          <w:w w:val="105"/>
        </w:rPr>
        <w:t> </w:t>
      </w:r>
      <w:r>
        <w:rPr>
          <w:color w:val="231F20"/>
          <w:w w:val="105"/>
        </w:rPr>
        <w:t>un</w:t>
      </w:r>
      <w:r>
        <w:rPr>
          <w:color w:val="231F20"/>
          <w:spacing w:val="-24"/>
          <w:w w:val="105"/>
        </w:rPr>
        <w:t> </w:t>
      </w:r>
      <w:r>
        <w:rPr>
          <w:color w:val="231F20"/>
          <w:w w:val="105"/>
        </w:rPr>
        <w:t>proceso</w:t>
      </w:r>
      <w:r>
        <w:rPr>
          <w:color w:val="231F20"/>
          <w:spacing w:val="-24"/>
          <w:w w:val="105"/>
        </w:rPr>
        <w:t> </w:t>
      </w:r>
      <w:r>
        <w:rPr>
          <w:color w:val="231F20"/>
          <w:w w:val="105"/>
        </w:rPr>
        <w:t>de</w:t>
      </w:r>
      <w:r>
        <w:rPr>
          <w:color w:val="231F20"/>
          <w:spacing w:val="-24"/>
          <w:w w:val="105"/>
        </w:rPr>
        <w:t> </w:t>
      </w:r>
      <w:r>
        <w:rPr>
          <w:color w:val="231F20"/>
          <w:w w:val="105"/>
        </w:rPr>
        <w:t>reversión</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media.</w:t>
      </w:r>
      <w:r>
        <w:rPr>
          <w:color w:val="231F20"/>
          <w:spacing w:val="-32"/>
          <w:w w:val="105"/>
        </w:rPr>
        <w:t> </w:t>
      </w:r>
      <w:r>
        <w:rPr>
          <w:color w:val="231F20"/>
          <w:w w:val="105"/>
        </w:rPr>
        <w:t>Wiggins</w:t>
      </w:r>
      <w:r>
        <w:rPr>
          <w:color w:val="231F20"/>
          <w:w w:val="105"/>
        </w:rPr>
        <w:t> </w:t>
      </w:r>
      <w:r>
        <w:rPr>
          <w:color w:val="231F20"/>
          <w:w w:val="105"/>
        </w:rPr>
        <w:t>(1987)</w:t>
      </w:r>
      <w:r>
        <w:rPr>
          <w:color w:val="231F20"/>
          <w:spacing w:val="-7"/>
          <w:w w:val="105"/>
        </w:rPr>
        <w:t> </w:t>
      </w:r>
      <w:r>
        <w:rPr>
          <w:color w:val="231F20"/>
          <w:w w:val="105"/>
        </w:rPr>
        <w:t>incorpora</w:t>
      </w:r>
      <w:r>
        <w:rPr>
          <w:color w:val="231F20"/>
          <w:spacing w:val="-7"/>
          <w:w w:val="105"/>
        </w:rPr>
        <w:t> </w:t>
      </w:r>
      <w:r>
        <w:rPr>
          <w:color w:val="231F20"/>
          <w:w w:val="105"/>
        </w:rPr>
        <w:t>el</w:t>
      </w:r>
      <w:r>
        <w:rPr>
          <w:color w:val="231F20"/>
          <w:spacing w:val="-7"/>
          <w:w w:val="105"/>
        </w:rPr>
        <w:t> </w:t>
      </w:r>
      <w:r>
        <w:rPr>
          <w:color w:val="231F20"/>
          <w:w w:val="105"/>
        </w:rPr>
        <w:t>factor</w:t>
      </w:r>
      <w:r>
        <w:rPr>
          <w:color w:val="231F20"/>
          <w:spacing w:val="-7"/>
          <w:w w:val="105"/>
        </w:rPr>
        <w:t> </w:t>
      </w:r>
      <w:r>
        <w:rPr>
          <w:color w:val="231F20"/>
          <w:w w:val="105"/>
        </w:rPr>
        <w:t>de</w:t>
      </w:r>
      <w:r>
        <w:rPr>
          <w:color w:val="231F20"/>
          <w:spacing w:val="-7"/>
          <w:w w:val="105"/>
        </w:rPr>
        <w:t> </w:t>
      </w:r>
      <w:r>
        <w:rPr>
          <w:color w:val="231F20"/>
          <w:w w:val="105"/>
        </w:rPr>
        <w:t>riesgo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volatilidad</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rendimientos</w:t>
      </w:r>
      <w:r>
        <w:rPr>
          <w:color w:val="231F20"/>
          <w:w w:val="105"/>
        </w:rPr>
        <w:t> </w:t>
      </w:r>
      <w:r>
        <w:rPr>
          <w:color w:val="231F20"/>
          <w:w w:val="105"/>
        </w:rPr>
        <w:t>del precio del activo subyacente. La principal limitación de</w:t>
      </w:r>
      <w:r>
        <w:rPr>
          <w:color w:val="231F20"/>
          <w:spacing w:val="-4"/>
          <w:w w:val="105"/>
        </w:rPr>
        <w:t> </w:t>
      </w:r>
      <w:r>
        <w:rPr>
          <w:color w:val="231F20"/>
          <w:w w:val="105"/>
        </w:rPr>
        <w:t>los modelos</w:t>
      </w:r>
      <w:r>
        <w:rPr>
          <w:color w:val="231F20"/>
          <w:w w:val="106"/>
        </w:rPr>
        <w:t> </w:t>
      </w:r>
      <w:r>
        <w:rPr>
          <w:color w:val="231F20"/>
          <w:w w:val="105"/>
        </w:rPr>
        <w:t>de Hull y White (1987), Scott (987) y Wiggins (1987) es el</w:t>
      </w:r>
      <w:r>
        <w:rPr>
          <w:color w:val="231F20"/>
          <w:spacing w:val="19"/>
          <w:w w:val="105"/>
        </w:rPr>
        <w:t> </w:t>
      </w:r>
      <w:r>
        <w:rPr>
          <w:color w:val="231F20"/>
          <w:w w:val="105"/>
        </w:rPr>
        <w:t>supuesto</w:t>
      </w:r>
      <w:r>
        <w:rPr>
          <w:color w:val="231F20"/>
          <w:spacing w:val="2"/>
          <w:w w:val="105"/>
        </w:rPr>
        <w:t> </w:t>
      </w:r>
      <w:r>
        <w:rPr>
          <w:color w:val="231F20"/>
          <w:w w:val="105"/>
        </w:rPr>
        <w:t>de</w:t>
      </w:r>
      <w:r>
        <w:rPr>
          <w:color w:val="231F20"/>
          <w:w w:val="108"/>
        </w:rPr>
        <w:t> </w:t>
      </w:r>
      <w:r>
        <w:rPr>
          <w:color w:val="231F20"/>
          <w:w w:val="105"/>
        </w:rPr>
        <w:t>correlación</w:t>
      </w:r>
      <w:r>
        <w:rPr>
          <w:color w:val="231F20"/>
          <w:spacing w:val="-6"/>
          <w:w w:val="105"/>
        </w:rPr>
        <w:t> </w:t>
      </w:r>
      <w:r>
        <w:rPr>
          <w:color w:val="231F20"/>
          <w:w w:val="105"/>
        </w:rPr>
        <w:t>nula</w:t>
      </w:r>
      <w:r>
        <w:rPr>
          <w:color w:val="231F20"/>
          <w:spacing w:val="-6"/>
          <w:w w:val="105"/>
        </w:rPr>
        <w:t> </w:t>
      </w:r>
      <w:r>
        <w:rPr>
          <w:color w:val="231F20"/>
          <w:w w:val="105"/>
        </w:rPr>
        <w:t>entre</w:t>
      </w:r>
      <w:r>
        <w:rPr>
          <w:color w:val="231F20"/>
          <w:spacing w:val="-6"/>
          <w:w w:val="105"/>
        </w:rPr>
        <w:t> </w:t>
      </w:r>
      <w:r>
        <w:rPr>
          <w:color w:val="231F20"/>
          <w:w w:val="105"/>
        </w:rPr>
        <w:t>el</w:t>
      </w:r>
      <w:r>
        <w:rPr>
          <w:color w:val="231F20"/>
          <w:spacing w:val="-6"/>
          <w:w w:val="105"/>
        </w:rPr>
        <w:t> </w:t>
      </w:r>
      <w:r>
        <w:rPr>
          <w:color w:val="231F20"/>
          <w:w w:val="105"/>
        </w:rPr>
        <w:t>rendimiento</w:t>
      </w:r>
      <w:r>
        <w:rPr>
          <w:color w:val="231F20"/>
          <w:spacing w:val="-6"/>
          <w:w w:val="105"/>
        </w:rPr>
        <w:t> </w:t>
      </w:r>
      <w:r>
        <w:rPr>
          <w:color w:val="231F20"/>
          <w:w w:val="105"/>
        </w:rPr>
        <w:t>del</w:t>
      </w:r>
      <w:r>
        <w:rPr>
          <w:color w:val="231F20"/>
          <w:spacing w:val="-6"/>
          <w:w w:val="105"/>
        </w:rPr>
        <w:t> </w:t>
      </w:r>
      <w:r>
        <w:rPr>
          <w:color w:val="231F20"/>
          <w:w w:val="105"/>
        </w:rPr>
        <w:t>activo</w:t>
      </w:r>
      <w:r>
        <w:rPr>
          <w:color w:val="231F20"/>
          <w:spacing w:val="-6"/>
          <w:w w:val="105"/>
        </w:rPr>
        <w:t> </w:t>
      </w:r>
      <w:r>
        <w:rPr>
          <w:color w:val="231F20"/>
          <w:w w:val="105"/>
        </w:rPr>
        <w:t>subyacente</w:t>
      </w:r>
      <w:r>
        <w:rPr>
          <w:color w:val="231F20"/>
          <w:spacing w:val="-6"/>
          <w:w w:val="105"/>
        </w:rPr>
        <w:t> </w:t>
      </w:r>
      <w:r>
        <w:rPr>
          <w:color w:val="231F20"/>
          <w:w w:val="105"/>
        </w:rPr>
        <w:t>y</w:t>
      </w:r>
      <w:r>
        <w:rPr>
          <w:color w:val="231F20"/>
          <w:spacing w:val="-6"/>
          <w:w w:val="105"/>
        </w:rPr>
        <w:t> </w:t>
      </w:r>
      <w:r>
        <w:rPr>
          <w:color w:val="231F20"/>
          <w:w w:val="105"/>
        </w:rPr>
        <w:t>su</w:t>
      </w:r>
      <w:r>
        <w:rPr>
          <w:color w:val="231F20"/>
          <w:spacing w:val="-6"/>
          <w:w w:val="105"/>
        </w:rPr>
        <w:t> </w:t>
      </w:r>
      <w:r>
        <w:rPr>
          <w:color w:val="231F20"/>
          <w:w w:val="105"/>
        </w:rPr>
        <w:t>volatili-</w:t>
      </w:r>
      <w:r>
        <w:rPr>
          <w:color w:val="231F20"/>
          <w:w w:val="96"/>
        </w:rPr>
        <w:t> </w:t>
      </w:r>
      <w:r>
        <w:rPr>
          <w:color w:val="231F20"/>
          <w:w w:val="105"/>
        </w:rPr>
        <w:t>dad.</w:t>
      </w:r>
      <w:r>
        <w:rPr>
          <w:color w:val="231F20"/>
          <w:spacing w:val="-22"/>
          <w:w w:val="105"/>
        </w:rPr>
        <w:t> </w:t>
      </w:r>
      <w:r>
        <w:rPr>
          <w:color w:val="231F20"/>
          <w:w w:val="105"/>
        </w:rPr>
        <w:t>Siguiendo</w:t>
      </w:r>
      <w:r>
        <w:rPr>
          <w:color w:val="231F20"/>
          <w:spacing w:val="-16"/>
          <w:w w:val="105"/>
        </w:rPr>
        <w:t> </w:t>
      </w:r>
      <w:r>
        <w:rPr>
          <w:color w:val="231F20"/>
          <w:w w:val="105"/>
        </w:rPr>
        <w:t>los</w:t>
      </w:r>
      <w:r>
        <w:rPr>
          <w:color w:val="231F20"/>
          <w:spacing w:val="-16"/>
          <w:w w:val="105"/>
        </w:rPr>
        <w:t> </w:t>
      </w:r>
      <w:r>
        <w:rPr>
          <w:color w:val="231F20"/>
          <w:w w:val="105"/>
        </w:rPr>
        <w:t>estudios</w:t>
      </w:r>
      <w:r>
        <w:rPr>
          <w:color w:val="231F20"/>
          <w:spacing w:val="-16"/>
          <w:w w:val="105"/>
        </w:rPr>
        <w:t> </w:t>
      </w:r>
      <w:r>
        <w:rPr>
          <w:color w:val="231F20"/>
          <w:w w:val="105"/>
        </w:rPr>
        <w:t>de</w:t>
      </w:r>
      <w:r>
        <w:rPr>
          <w:color w:val="231F20"/>
          <w:spacing w:val="-16"/>
          <w:w w:val="105"/>
        </w:rPr>
        <w:t> </w:t>
      </w:r>
      <w:r>
        <w:rPr>
          <w:color w:val="231F20"/>
          <w:w w:val="105"/>
        </w:rPr>
        <w:t>Garman</w:t>
      </w:r>
      <w:r>
        <w:rPr>
          <w:color w:val="231F20"/>
          <w:spacing w:val="-16"/>
          <w:w w:val="105"/>
        </w:rPr>
        <w:t> </w:t>
      </w:r>
      <w:r>
        <w:rPr>
          <w:color w:val="231F20"/>
          <w:w w:val="105"/>
        </w:rPr>
        <w:t>y</w:t>
      </w:r>
      <w:r>
        <w:rPr>
          <w:color w:val="231F20"/>
          <w:spacing w:val="-16"/>
          <w:w w:val="105"/>
        </w:rPr>
        <w:t> </w:t>
      </w:r>
      <w:r>
        <w:rPr>
          <w:color w:val="231F20"/>
          <w:w w:val="105"/>
        </w:rPr>
        <w:t>Kohlhagen</w:t>
      </w:r>
      <w:r>
        <w:rPr>
          <w:color w:val="231F20"/>
          <w:spacing w:val="-16"/>
          <w:w w:val="105"/>
        </w:rPr>
        <w:t> </w:t>
      </w:r>
      <w:r>
        <w:rPr>
          <w:color w:val="231F20"/>
          <w:w w:val="105"/>
        </w:rPr>
        <w:t>(1983),</w:t>
      </w:r>
      <w:r>
        <w:rPr>
          <w:color w:val="231F20"/>
          <w:spacing w:val="-22"/>
          <w:w w:val="105"/>
        </w:rPr>
        <w:t> </w:t>
      </w:r>
      <w:r>
        <w:rPr>
          <w:color w:val="231F20"/>
          <w:w w:val="105"/>
        </w:rPr>
        <w:t>Biger</w:t>
      </w:r>
      <w:r>
        <w:rPr>
          <w:color w:val="231F20"/>
          <w:spacing w:val="-16"/>
          <w:w w:val="105"/>
        </w:rPr>
        <w:t> </w:t>
      </w:r>
      <w:r>
        <w:rPr>
          <w:color w:val="231F20"/>
          <w:w w:val="105"/>
        </w:rPr>
        <w:t>y</w:t>
      </w:r>
      <w:r>
        <w:rPr>
          <w:color w:val="231F20"/>
          <w:spacing w:val="-16"/>
          <w:w w:val="105"/>
        </w:rPr>
        <w:t> </w:t>
      </w:r>
      <w:r>
        <w:rPr>
          <w:color w:val="231F20"/>
          <w:w w:val="105"/>
        </w:rPr>
        <w:t>Hull</w:t>
      </w:r>
      <w:r>
        <w:rPr>
          <w:color w:val="231F20"/>
          <w:w w:val="104"/>
        </w:rPr>
        <w:t> </w:t>
      </w:r>
      <w:r>
        <w:rPr>
          <w:color w:val="231F20"/>
          <w:w w:val="105"/>
        </w:rPr>
        <w:t>(1983),</w:t>
      </w:r>
      <w:r>
        <w:rPr>
          <w:color w:val="231F20"/>
          <w:spacing w:val="-31"/>
          <w:w w:val="105"/>
        </w:rPr>
        <w:t> </w:t>
      </w:r>
      <w:r>
        <w:rPr>
          <w:color w:val="231F20"/>
          <w:w w:val="105"/>
        </w:rPr>
        <w:t>Chesney</w:t>
      </w:r>
      <w:r>
        <w:rPr>
          <w:color w:val="231F20"/>
          <w:spacing w:val="-26"/>
          <w:w w:val="105"/>
        </w:rPr>
        <w:t> </w:t>
      </w:r>
      <w:r>
        <w:rPr>
          <w:color w:val="231F20"/>
          <w:w w:val="105"/>
        </w:rPr>
        <w:t>y</w:t>
      </w:r>
      <w:r>
        <w:rPr>
          <w:color w:val="231F20"/>
          <w:spacing w:val="-26"/>
          <w:w w:val="105"/>
        </w:rPr>
        <w:t> </w:t>
      </w:r>
      <w:r>
        <w:rPr>
          <w:color w:val="231F20"/>
          <w:w w:val="105"/>
        </w:rPr>
        <w:t>Scott</w:t>
      </w:r>
      <w:r>
        <w:rPr>
          <w:color w:val="231F20"/>
          <w:spacing w:val="-26"/>
          <w:w w:val="105"/>
        </w:rPr>
        <w:t> </w:t>
      </w:r>
      <w:r>
        <w:rPr>
          <w:color w:val="231F20"/>
          <w:w w:val="105"/>
        </w:rPr>
        <w:t>(1989)</w:t>
      </w:r>
      <w:r>
        <w:rPr>
          <w:color w:val="231F20"/>
          <w:spacing w:val="-26"/>
          <w:w w:val="105"/>
        </w:rPr>
        <w:t> </w:t>
      </w:r>
      <w:r>
        <w:rPr>
          <w:color w:val="231F20"/>
          <w:w w:val="105"/>
        </w:rPr>
        <w:t>modifican</w:t>
      </w:r>
      <w:r>
        <w:rPr>
          <w:color w:val="231F20"/>
          <w:spacing w:val="-26"/>
          <w:w w:val="105"/>
        </w:rPr>
        <w:t> </w:t>
      </w:r>
      <w:r>
        <w:rPr>
          <w:color w:val="231F20"/>
          <w:w w:val="105"/>
        </w:rPr>
        <w:t>el</w:t>
      </w:r>
      <w:r>
        <w:rPr>
          <w:color w:val="231F20"/>
          <w:spacing w:val="-26"/>
          <w:w w:val="105"/>
        </w:rPr>
        <w:t> </w:t>
      </w:r>
      <w:r>
        <w:rPr>
          <w:color w:val="231F20"/>
          <w:w w:val="105"/>
        </w:rPr>
        <w:t>modelo</w:t>
      </w:r>
      <w:r>
        <w:rPr>
          <w:color w:val="231F20"/>
          <w:spacing w:val="-26"/>
          <w:w w:val="105"/>
        </w:rPr>
        <w:t> </w:t>
      </w:r>
      <w:r>
        <w:rPr>
          <w:color w:val="231F20"/>
          <w:w w:val="105"/>
        </w:rPr>
        <w:t>de</w:t>
      </w:r>
      <w:r>
        <w:rPr>
          <w:color w:val="231F20"/>
          <w:spacing w:val="-26"/>
          <w:w w:val="105"/>
        </w:rPr>
        <w:t> </w:t>
      </w:r>
      <w:r>
        <w:rPr>
          <w:color w:val="231F20"/>
          <w:w w:val="105"/>
        </w:rPr>
        <w:t>BS</w:t>
      </w:r>
      <w:r>
        <w:rPr>
          <w:color w:val="231F20"/>
          <w:spacing w:val="-26"/>
          <w:w w:val="105"/>
        </w:rPr>
        <w:t> </w:t>
      </w:r>
      <w:r>
        <w:rPr>
          <w:color w:val="231F20"/>
          <w:w w:val="105"/>
        </w:rPr>
        <w:t>para</w:t>
      </w:r>
      <w:r>
        <w:rPr>
          <w:color w:val="231F20"/>
          <w:spacing w:val="-26"/>
          <w:w w:val="105"/>
        </w:rPr>
        <w:t> </w:t>
      </w:r>
      <w:r>
        <w:rPr>
          <w:color w:val="231F20"/>
          <w:w w:val="105"/>
        </w:rPr>
        <w:t>opciones</w:t>
      </w:r>
      <w:r>
        <w:rPr>
          <w:color w:val="231F20"/>
          <w:w w:val="105"/>
        </w:rPr>
        <w:t> </w:t>
      </w:r>
      <w:r>
        <w:rPr>
          <w:color w:val="231F20"/>
          <w:w w:val="105"/>
        </w:rPr>
        <w:t>sobre divisas considerando volatilidad estocástica. Analizan</w:t>
      </w:r>
      <w:r>
        <w:rPr>
          <w:color w:val="231F20"/>
          <w:spacing w:val="26"/>
          <w:w w:val="105"/>
        </w:rPr>
        <w:t> </w:t>
      </w:r>
      <w:r>
        <w:rPr>
          <w:color w:val="231F20"/>
          <w:w w:val="105"/>
        </w:rPr>
        <w:t>la</w:t>
      </w:r>
      <w:r>
        <w:rPr>
          <w:color w:val="231F20"/>
          <w:spacing w:val="5"/>
          <w:w w:val="105"/>
        </w:rPr>
        <w:t> </w:t>
      </w:r>
      <w:r>
        <w:rPr>
          <w:color w:val="231F20"/>
          <w:w w:val="105"/>
        </w:rPr>
        <w:t>paridad</w:t>
      </w:r>
      <w:r>
        <w:rPr>
          <w:color w:val="231F20"/>
          <w:w w:val="107"/>
        </w:rPr>
        <w:t> </w:t>
      </w:r>
      <w:r>
        <w:rPr>
          <w:color w:val="231F20"/>
          <w:w w:val="105"/>
        </w:rPr>
        <w:t>franco</w:t>
      </w:r>
      <w:r>
        <w:rPr>
          <w:color w:val="231F20"/>
          <w:spacing w:val="-8"/>
          <w:w w:val="105"/>
        </w:rPr>
        <w:t> </w:t>
      </w:r>
      <w:r>
        <w:rPr>
          <w:color w:val="231F20"/>
          <w:w w:val="105"/>
        </w:rPr>
        <w:t>suizo/dólar</w:t>
      </w:r>
      <w:r>
        <w:rPr>
          <w:color w:val="231F20"/>
          <w:spacing w:val="-8"/>
          <w:w w:val="105"/>
        </w:rPr>
        <w:t> </w:t>
      </w:r>
      <w:r>
        <w:rPr>
          <w:color w:val="231F20"/>
          <w:w w:val="105"/>
        </w:rPr>
        <w:t>estadounidense</w:t>
      </w:r>
      <w:r>
        <w:rPr>
          <w:color w:val="231F20"/>
          <w:spacing w:val="-8"/>
          <w:w w:val="105"/>
        </w:rPr>
        <w:t> </w:t>
      </w:r>
      <w:r>
        <w:rPr>
          <w:color w:val="231F20"/>
          <w:w w:val="105"/>
        </w:rPr>
        <w:t>con</w:t>
      </w:r>
      <w:r>
        <w:rPr>
          <w:color w:val="231F20"/>
          <w:spacing w:val="-8"/>
          <w:w w:val="105"/>
        </w:rPr>
        <w:t> </w:t>
      </w:r>
      <w:r>
        <w:rPr>
          <w:color w:val="231F20"/>
          <w:w w:val="105"/>
        </w:rPr>
        <w:t>datos</w:t>
      </w:r>
      <w:r>
        <w:rPr>
          <w:color w:val="231F20"/>
          <w:spacing w:val="-8"/>
          <w:w w:val="105"/>
        </w:rPr>
        <w:t> </w:t>
      </w:r>
      <w:r>
        <w:rPr>
          <w:color w:val="231F20"/>
          <w:w w:val="105"/>
        </w:rPr>
        <w:t>de</w:t>
      </w:r>
      <w:r>
        <w:rPr>
          <w:color w:val="231F20"/>
          <w:spacing w:val="-8"/>
          <w:w w:val="105"/>
        </w:rPr>
        <w:t> </w:t>
      </w:r>
      <w:r>
        <w:rPr>
          <w:color w:val="231F20"/>
          <w:w w:val="105"/>
        </w:rPr>
        <w:t>opciones</w:t>
      </w:r>
      <w:r>
        <w:rPr>
          <w:color w:val="231F20"/>
          <w:spacing w:val="-8"/>
          <w:w w:val="105"/>
        </w:rPr>
        <w:t> </w:t>
      </w:r>
      <w:r>
        <w:rPr>
          <w:color w:val="231F20"/>
          <w:w w:val="105"/>
        </w:rPr>
        <w:t>sobre</w:t>
      </w:r>
      <w:r>
        <w:rPr>
          <w:color w:val="231F20"/>
          <w:spacing w:val="-8"/>
          <w:w w:val="105"/>
        </w:rPr>
        <w:t> </w:t>
      </w:r>
      <w:r>
        <w:rPr>
          <w:color w:val="231F20"/>
          <w:w w:val="105"/>
        </w:rPr>
        <w:t>divisas</w:t>
      </w:r>
      <w:r>
        <w:rPr>
          <w:color w:val="231F20"/>
          <w:w w:val="99"/>
        </w:rPr>
        <w:t> </w:t>
      </w:r>
      <w:r>
        <w:rPr>
          <w:color w:val="231F20"/>
          <w:w w:val="105"/>
        </w:rPr>
        <w:t>negociadas</w:t>
      </w:r>
      <w:r>
        <w:rPr>
          <w:color w:val="231F20"/>
          <w:spacing w:val="-27"/>
          <w:w w:val="105"/>
        </w:rPr>
        <w:t> </w:t>
      </w:r>
      <w:r>
        <w:rPr>
          <w:color w:val="231F20"/>
          <w:w w:val="105"/>
        </w:rPr>
        <w:t>por</w:t>
      </w:r>
      <w:r>
        <w:rPr>
          <w:color w:val="231F20"/>
          <w:spacing w:val="-27"/>
          <w:w w:val="105"/>
        </w:rPr>
        <w:t> </w:t>
      </w:r>
      <w:r>
        <w:rPr>
          <w:color w:val="231F20"/>
          <w:w w:val="105"/>
        </w:rPr>
        <w:t>Credit</w:t>
      </w:r>
      <w:r>
        <w:rPr>
          <w:color w:val="231F20"/>
          <w:spacing w:val="-27"/>
          <w:w w:val="105"/>
        </w:rPr>
        <w:t> </w:t>
      </w:r>
      <w:r>
        <w:rPr>
          <w:color w:val="231F20"/>
          <w:w w:val="105"/>
        </w:rPr>
        <w:t>Suisse</w:t>
      </w:r>
      <w:r>
        <w:rPr>
          <w:color w:val="231F20"/>
          <w:spacing w:val="-27"/>
          <w:w w:val="105"/>
        </w:rPr>
        <w:t> </w:t>
      </w:r>
      <w:r>
        <w:rPr>
          <w:color w:val="231F20"/>
          <w:w w:val="105"/>
        </w:rPr>
        <w:t>First</w:t>
      </w:r>
      <w:r>
        <w:rPr>
          <w:color w:val="231F20"/>
          <w:spacing w:val="-27"/>
          <w:w w:val="105"/>
        </w:rPr>
        <w:t> </w:t>
      </w:r>
      <w:r>
        <w:rPr>
          <w:color w:val="231F20"/>
          <w:w w:val="105"/>
        </w:rPr>
        <w:t>Boston</w:t>
      </w:r>
      <w:r>
        <w:rPr>
          <w:color w:val="231F20"/>
          <w:spacing w:val="-27"/>
          <w:w w:val="105"/>
        </w:rPr>
        <w:t> </w:t>
      </w:r>
      <w:r>
        <w:rPr>
          <w:color w:val="231F20"/>
          <w:w w:val="105"/>
        </w:rPr>
        <w:t>(CSFB)</w:t>
      </w:r>
      <w:r>
        <w:rPr>
          <w:color w:val="231F20"/>
          <w:spacing w:val="-27"/>
          <w:w w:val="105"/>
        </w:rPr>
        <w:t> </w:t>
      </w:r>
      <w:r>
        <w:rPr>
          <w:color w:val="231F20"/>
          <w:w w:val="105"/>
        </w:rPr>
        <w:t>de</w:t>
      </w:r>
      <w:r>
        <w:rPr>
          <w:color w:val="231F20"/>
          <w:spacing w:val="-27"/>
          <w:w w:val="105"/>
        </w:rPr>
        <w:t> </w:t>
      </w:r>
      <w:r>
        <w:rPr>
          <w:color w:val="231F20"/>
          <w:w w:val="105"/>
        </w:rPr>
        <w:t>Ginebra,</w:t>
      </w:r>
      <w:r>
        <w:rPr>
          <w:color w:val="231F20"/>
          <w:spacing w:val="-31"/>
          <w:w w:val="105"/>
        </w:rPr>
        <w:t> </w:t>
      </w:r>
      <w:r>
        <w:rPr>
          <w:color w:val="231F20"/>
          <w:w w:val="105"/>
        </w:rPr>
        <w:t>Suiza,</w:t>
      </w:r>
      <w:r>
        <w:rPr>
          <w:color w:val="231F20"/>
          <w:spacing w:val="-31"/>
          <w:w w:val="105"/>
        </w:rPr>
        <w:t> </w:t>
      </w:r>
      <w:r>
        <w:rPr>
          <w:color w:val="231F20"/>
          <w:w w:val="105"/>
        </w:rPr>
        <w:t>ob-</w:t>
      </w:r>
      <w:r>
        <w:rPr>
          <w:color w:val="231F20"/>
          <w:w w:val="96"/>
        </w:rPr>
        <w:t> </w:t>
      </w:r>
      <w:r>
        <w:rPr>
          <w:color w:val="231F20"/>
          <w:w w:val="105"/>
        </w:rPr>
        <w:t>teniendo</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w w:val="105"/>
        </w:rPr>
        <w:t>volatilidad</w:t>
      </w:r>
      <w:r>
        <w:rPr>
          <w:color w:val="231F20"/>
          <w:spacing w:val="-22"/>
          <w:w w:val="105"/>
        </w:rPr>
        <w:t> </w:t>
      </w:r>
      <w:r>
        <w:rPr>
          <w:color w:val="231F20"/>
          <w:w w:val="105"/>
        </w:rPr>
        <w:t>estocástica</w:t>
      </w:r>
      <w:r>
        <w:rPr>
          <w:color w:val="231F20"/>
          <w:spacing w:val="-22"/>
          <w:w w:val="105"/>
        </w:rPr>
        <w:t> </w:t>
      </w:r>
      <w:r>
        <w:rPr>
          <w:color w:val="231F20"/>
          <w:w w:val="105"/>
        </w:rPr>
        <w:t>sigue</w:t>
      </w:r>
      <w:r>
        <w:rPr>
          <w:color w:val="231F20"/>
          <w:spacing w:val="-22"/>
          <w:w w:val="105"/>
        </w:rPr>
        <w:t> </w:t>
      </w:r>
      <w:r>
        <w:rPr>
          <w:color w:val="231F20"/>
          <w:w w:val="105"/>
        </w:rPr>
        <w:t>un</w:t>
      </w:r>
      <w:r>
        <w:rPr>
          <w:color w:val="231F20"/>
          <w:spacing w:val="-22"/>
          <w:w w:val="105"/>
        </w:rPr>
        <w:t> </w:t>
      </w:r>
      <w:r>
        <w:rPr>
          <w:color w:val="231F20"/>
          <w:w w:val="105"/>
        </w:rPr>
        <w:t>proceso</w:t>
      </w:r>
      <w:r>
        <w:rPr>
          <w:color w:val="231F20"/>
          <w:spacing w:val="-22"/>
          <w:w w:val="105"/>
        </w:rPr>
        <w:t> </w:t>
      </w:r>
      <w:r>
        <w:rPr>
          <w:color w:val="231F20"/>
          <w:w w:val="105"/>
        </w:rPr>
        <w:t>de</w:t>
      </w:r>
      <w:r>
        <w:rPr>
          <w:color w:val="231F20"/>
          <w:spacing w:val="-22"/>
          <w:w w:val="105"/>
        </w:rPr>
        <w:t> </w:t>
      </w:r>
      <w:r>
        <w:rPr>
          <w:color w:val="231F20"/>
          <w:w w:val="105"/>
        </w:rPr>
        <w:t>reversión</w:t>
      </w:r>
      <w:r>
        <w:rPr>
          <w:color w:val="231F20"/>
          <w:spacing w:val="-22"/>
          <w:w w:val="105"/>
        </w:rPr>
        <w:t> </w:t>
      </w:r>
      <w:r>
        <w:rPr>
          <w:color w:val="231F20"/>
          <w:w w:val="105"/>
        </w:rPr>
        <w:t>a</w:t>
      </w:r>
      <w:r>
        <w:rPr>
          <w:color w:val="231F20"/>
          <w:spacing w:val="-22"/>
          <w:w w:val="105"/>
        </w:rPr>
        <w:t> </w:t>
      </w:r>
      <w:r>
        <w:rPr>
          <w:color w:val="231F20"/>
          <w:w w:val="105"/>
        </w:rPr>
        <w:t>la</w:t>
      </w:r>
    </w:p>
    <w:p>
      <w:pPr>
        <w:pStyle w:val="BodyText"/>
        <w:spacing w:line="245" w:lineRule="exact"/>
        <w:ind w:left="117" w:right="114"/>
      </w:pPr>
      <w:r>
        <w:rPr>
          <w:color w:val="231F20"/>
          <w:w w:val="105"/>
        </w:rPr>
        <w:t>media que considera una caminata aleatoria 1n</w:t>
      </w:r>
      <w:r>
        <w:rPr>
          <w:rFonts w:ascii="Times New Roman" w:hAnsi="Times New Roman"/>
          <w:i/>
          <w:color w:val="231F20"/>
          <w:w w:val="105"/>
          <w:sz w:val="22"/>
        </w:rPr>
        <w:t>σ</w:t>
      </w:r>
      <w:r>
        <w:rPr>
          <w:color w:val="231F20"/>
          <w:w w:val="105"/>
        </w:rPr>
        <w:t>.</w:t>
      </w:r>
    </w:p>
    <w:p>
      <w:pPr>
        <w:pStyle w:val="BodyText"/>
        <w:spacing w:line="259" w:lineRule="auto" w:before="15"/>
        <w:ind w:left="117" w:right="121" w:firstLine="567"/>
        <w:jc w:val="both"/>
      </w:pPr>
      <w:r>
        <w:rPr>
          <w:color w:val="231F20"/>
          <w:w w:val="105"/>
        </w:rPr>
        <w:t>Mellino</w:t>
      </w:r>
      <w:r>
        <w:rPr>
          <w:color w:val="231F20"/>
          <w:spacing w:val="-20"/>
          <w:w w:val="105"/>
        </w:rPr>
        <w:t> </w:t>
      </w:r>
      <w:r>
        <w:rPr>
          <w:color w:val="231F20"/>
          <w:w w:val="105"/>
        </w:rPr>
        <w:t>y</w:t>
      </w:r>
      <w:r>
        <w:rPr>
          <w:color w:val="231F20"/>
          <w:spacing w:val="-24"/>
          <w:w w:val="105"/>
        </w:rPr>
        <w:t> </w:t>
      </w:r>
      <w:r>
        <w:rPr>
          <w:color w:val="231F20"/>
          <w:spacing w:val="-3"/>
          <w:w w:val="105"/>
        </w:rPr>
        <w:t>Turnbull</w:t>
      </w:r>
      <w:r>
        <w:rPr>
          <w:color w:val="231F20"/>
          <w:spacing w:val="-20"/>
          <w:w w:val="105"/>
        </w:rPr>
        <w:t> </w:t>
      </w:r>
      <w:r>
        <w:rPr>
          <w:color w:val="231F20"/>
          <w:w w:val="105"/>
        </w:rPr>
        <w:t>(1990)</w:t>
      </w:r>
      <w:r>
        <w:rPr>
          <w:color w:val="231F20"/>
          <w:spacing w:val="-20"/>
          <w:w w:val="105"/>
        </w:rPr>
        <w:t> </w:t>
      </w:r>
      <w:r>
        <w:rPr>
          <w:color w:val="231F20"/>
          <w:w w:val="105"/>
        </w:rPr>
        <w:t>calculan</w:t>
      </w:r>
      <w:r>
        <w:rPr>
          <w:color w:val="231F20"/>
          <w:spacing w:val="-20"/>
          <w:w w:val="105"/>
        </w:rPr>
        <w:t> </w:t>
      </w:r>
      <w:r>
        <w:rPr>
          <w:color w:val="231F20"/>
          <w:w w:val="105"/>
        </w:rPr>
        <w:t>los</w:t>
      </w:r>
      <w:r>
        <w:rPr>
          <w:color w:val="231F20"/>
          <w:spacing w:val="-20"/>
          <w:w w:val="105"/>
        </w:rPr>
        <w:t> </w:t>
      </w:r>
      <w:r>
        <w:rPr>
          <w:color w:val="231F20"/>
          <w:w w:val="105"/>
        </w:rPr>
        <w:t>precios</w:t>
      </w:r>
      <w:r>
        <w:rPr>
          <w:color w:val="231F20"/>
          <w:spacing w:val="-20"/>
          <w:w w:val="105"/>
        </w:rPr>
        <w:t> </w:t>
      </w:r>
      <w:r>
        <w:rPr>
          <w:color w:val="231F20"/>
          <w:w w:val="105"/>
        </w:rPr>
        <w:t>para</w:t>
      </w:r>
      <w:r>
        <w:rPr>
          <w:color w:val="231F20"/>
          <w:spacing w:val="-20"/>
          <w:w w:val="105"/>
        </w:rPr>
        <w:t> </w:t>
      </w:r>
      <w:r>
        <w:rPr>
          <w:color w:val="231F20"/>
          <w:w w:val="105"/>
        </w:rPr>
        <w:t>las</w:t>
      </w:r>
      <w:r>
        <w:rPr>
          <w:color w:val="231F20"/>
          <w:spacing w:val="-20"/>
          <w:w w:val="105"/>
        </w:rPr>
        <w:t> </w:t>
      </w:r>
      <w:r>
        <w:rPr>
          <w:color w:val="231F20"/>
          <w:w w:val="105"/>
        </w:rPr>
        <w:t>opciones</w:t>
      </w:r>
      <w:r>
        <w:rPr>
          <w:color w:val="231F20"/>
          <w:spacing w:val="-20"/>
          <w:w w:val="105"/>
        </w:rPr>
        <w:t> </w:t>
      </w:r>
      <w:r>
        <w:rPr>
          <w:color w:val="231F20"/>
          <w:w w:val="105"/>
        </w:rPr>
        <w:t>so- bre</w:t>
      </w:r>
      <w:r>
        <w:rPr>
          <w:color w:val="231F20"/>
          <w:spacing w:val="-21"/>
          <w:w w:val="105"/>
        </w:rPr>
        <w:t> </w:t>
      </w:r>
      <w:r>
        <w:rPr>
          <w:color w:val="231F20"/>
          <w:w w:val="105"/>
        </w:rPr>
        <w:t>el</w:t>
      </w:r>
      <w:r>
        <w:rPr>
          <w:color w:val="231F20"/>
          <w:spacing w:val="-21"/>
          <w:w w:val="105"/>
        </w:rPr>
        <w:t> </w:t>
      </w:r>
      <w:r>
        <w:rPr>
          <w:color w:val="231F20"/>
          <w:w w:val="105"/>
        </w:rPr>
        <w:t>tipo</w:t>
      </w:r>
      <w:r>
        <w:rPr>
          <w:color w:val="231F20"/>
          <w:spacing w:val="-21"/>
          <w:w w:val="105"/>
        </w:rPr>
        <w:t> </w:t>
      </w:r>
      <w:r>
        <w:rPr>
          <w:color w:val="231F20"/>
          <w:w w:val="105"/>
        </w:rPr>
        <w:t>de</w:t>
      </w:r>
      <w:r>
        <w:rPr>
          <w:color w:val="231F20"/>
          <w:spacing w:val="-21"/>
          <w:w w:val="105"/>
        </w:rPr>
        <w:t> </w:t>
      </w:r>
      <w:r>
        <w:rPr>
          <w:color w:val="231F20"/>
          <w:w w:val="105"/>
        </w:rPr>
        <w:t>cambio</w:t>
      </w:r>
      <w:r>
        <w:rPr>
          <w:color w:val="231F20"/>
          <w:spacing w:val="-21"/>
          <w:w w:val="105"/>
        </w:rPr>
        <w:t> </w:t>
      </w:r>
      <w:r>
        <w:rPr>
          <w:color w:val="231F20"/>
          <w:w w:val="105"/>
        </w:rPr>
        <w:t>dólar</w:t>
      </w:r>
      <w:r>
        <w:rPr>
          <w:color w:val="231F20"/>
          <w:spacing w:val="-21"/>
          <w:w w:val="105"/>
        </w:rPr>
        <w:t> </w:t>
      </w:r>
      <w:r>
        <w:rPr>
          <w:color w:val="231F20"/>
          <w:w w:val="105"/>
        </w:rPr>
        <w:t>estadounidense/dólar</w:t>
      </w:r>
      <w:r>
        <w:rPr>
          <w:color w:val="231F20"/>
          <w:spacing w:val="-21"/>
          <w:w w:val="105"/>
        </w:rPr>
        <w:t> </w:t>
      </w:r>
      <w:r>
        <w:rPr>
          <w:color w:val="231F20"/>
          <w:w w:val="105"/>
        </w:rPr>
        <w:t>canadiense</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Bolsa de</w:t>
      </w:r>
      <w:r>
        <w:rPr>
          <w:color w:val="231F20"/>
          <w:spacing w:val="-42"/>
          <w:w w:val="105"/>
        </w:rPr>
        <w:t> </w:t>
      </w:r>
      <w:r>
        <w:rPr>
          <w:color w:val="231F20"/>
          <w:w w:val="105"/>
        </w:rPr>
        <w:t>Filadelfia</w:t>
      </w:r>
      <w:r>
        <w:rPr>
          <w:color w:val="231F20"/>
          <w:spacing w:val="-42"/>
          <w:w w:val="105"/>
        </w:rPr>
        <w:t> </w:t>
      </w:r>
      <w:r>
        <w:rPr>
          <w:color w:val="231F20"/>
          <w:w w:val="105"/>
        </w:rPr>
        <w:t>(PHLX)</w:t>
      </w:r>
      <w:r>
        <w:rPr>
          <w:color w:val="231F20"/>
          <w:spacing w:val="-42"/>
          <w:w w:val="105"/>
        </w:rPr>
        <w:t> </w:t>
      </w:r>
      <w:r>
        <w:rPr>
          <w:color w:val="231F20"/>
          <w:w w:val="105"/>
        </w:rPr>
        <w:t>con</w:t>
      </w:r>
      <w:r>
        <w:rPr>
          <w:color w:val="231F20"/>
          <w:spacing w:val="-42"/>
          <w:w w:val="105"/>
        </w:rPr>
        <w:t> </w:t>
      </w:r>
      <w:r>
        <w:rPr>
          <w:color w:val="231F20"/>
          <w:w w:val="105"/>
        </w:rPr>
        <w:t>volatilidad</w:t>
      </w:r>
      <w:r>
        <w:rPr>
          <w:color w:val="231F20"/>
          <w:spacing w:val="-42"/>
          <w:w w:val="105"/>
        </w:rPr>
        <w:t> </w:t>
      </w:r>
      <w:r>
        <w:rPr>
          <w:color w:val="231F20"/>
          <w:w w:val="105"/>
        </w:rPr>
        <w:t>estocástica.</w:t>
      </w:r>
      <w:r>
        <w:rPr>
          <w:color w:val="231F20"/>
          <w:spacing w:val="-45"/>
          <w:w w:val="105"/>
        </w:rPr>
        <w:t> </w:t>
      </w:r>
      <w:r>
        <w:rPr>
          <w:color w:val="231F20"/>
          <w:w w:val="105"/>
        </w:rPr>
        <w:t>Ellos</w:t>
      </w:r>
      <w:r>
        <w:rPr>
          <w:color w:val="231F20"/>
          <w:spacing w:val="-42"/>
          <w:w w:val="105"/>
        </w:rPr>
        <w:t> </w:t>
      </w:r>
      <w:r>
        <w:rPr>
          <w:color w:val="231F20"/>
          <w:w w:val="105"/>
        </w:rPr>
        <w:t>observan</w:t>
      </w:r>
      <w:r>
        <w:rPr>
          <w:color w:val="231F20"/>
          <w:spacing w:val="-42"/>
          <w:w w:val="105"/>
        </w:rPr>
        <w:t> </w:t>
      </w:r>
      <w:r>
        <w:rPr>
          <w:color w:val="231F20"/>
          <w:w w:val="105"/>
        </w:rPr>
        <w:t>la</w:t>
      </w:r>
      <w:r>
        <w:rPr>
          <w:color w:val="231F20"/>
          <w:spacing w:val="-42"/>
          <w:w w:val="105"/>
        </w:rPr>
        <w:t> </w:t>
      </w:r>
      <w:r>
        <w:rPr>
          <w:color w:val="231F20"/>
          <w:w w:val="105"/>
        </w:rPr>
        <w:t>carencia de</w:t>
      </w:r>
      <w:r>
        <w:rPr>
          <w:color w:val="231F20"/>
          <w:spacing w:val="-10"/>
          <w:w w:val="105"/>
        </w:rPr>
        <w:t> </w:t>
      </w:r>
      <w:r>
        <w:rPr>
          <w:color w:val="231F20"/>
          <w:w w:val="105"/>
        </w:rPr>
        <w:t>sesgo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precio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opción</w:t>
      </w:r>
      <w:r>
        <w:rPr>
          <w:color w:val="231F20"/>
          <w:spacing w:val="-10"/>
          <w:w w:val="105"/>
        </w:rPr>
        <w:t> </w:t>
      </w:r>
      <w:r>
        <w:rPr>
          <w:i/>
          <w:color w:val="231F20"/>
          <w:w w:val="105"/>
        </w:rPr>
        <w:t>call</w:t>
      </w:r>
      <w:r>
        <w:rPr>
          <w:i/>
          <w:color w:val="231F20"/>
          <w:spacing w:val="-14"/>
          <w:w w:val="105"/>
        </w:rPr>
        <w:t> </w:t>
      </w:r>
      <w:r>
        <w:rPr>
          <w:color w:val="231F20"/>
          <w:spacing w:val="-4"/>
          <w:w w:val="105"/>
        </w:rPr>
        <w:t>ATM,</w:t>
      </w:r>
      <w:r>
        <w:rPr>
          <w:color w:val="231F20"/>
          <w:spacing w:val="-16"/>
          <w:w w:val="105"/>
        </w:rPr>
        <w:t> </w:t>
      </w:r>
      <w:r>
        <w:rPr>
          <w:color w:val="231F20"/>
          <w:w w:val="105"/>
        </w:rPr>
        <w:t>pero</w:t>
      </w:r>
      <w:r>
        <w:rPr>
          <w:color w:val="231F20"/>
          <w:spacing w:val="-10"/>
          <w:w w:val="105"/>
        </w:rPr>
        <w:t> </w:t>
      </w:r>
      <w:r>
        <w:rPr>
          <w:color w:val="231F20"/>
          <w:w w:val="105"/>
        </w:rPr>
        <w:t>sobrevaloran</w:t>
      </w:r>
      <w:r>
        <w:rPr>
          <w:color w:val="231F20"/>
          <w:spacing w:val="-10"/>
          <w:w w:val="105"/>
        </w:rPr>
        <w:t> </w:t>
      </w:r>
      <w:r>
        <w:rPr>
          <w:color w:val="231F20"/>
          <w:w w:val="105"/>
        </w:rPr>
        <w:t>el</w:t>
      </w:r>
      <w:r>
        <w:rPr>
          <w:color w:val="231F20"/>
          <w:spacing w:val="-10"/>
          <w:w w:val="105"/>
        </w:rPr>
        <w:t> </w:t>
      </w:r>
      <w:r>
        <w:rPr>
          <w:color w:val="231F20"/>
          <w:w w:val="105"/>
        </w:rPr>
        <w:t>precio de</w:t>
      </w:r>
      <w:r>
        <w:rPr>
          <w:color w:val="231F20"/>
          <w:spacing w:val="-9"/>
          <w:w w:val="105"/>
        </w:rPr>
        <w:t> </w:t>
      </w:r>
      <w:r>
        <w:rPr>
          <w:color w:val="231F20"/>
          <w:w w:val="105"/>
        </w:rPr>
        <w:t>la</w:t>
      </w:r>
      <w:r>
        <w:rPr>
          <w:color w:val="231F20"/>
          <w:spacing w:val="-9"/>
          <w:w w:val="105"/>
        </w:rPr>
        <w:t> </w:t>
      </w:r>
      <w:r>
        <w:rPr>
          <w:color w:val="231F20"/>
          <w:w w:val="105"/>
        </w:rPr>
        <w:t>opción</w:t>
      </w:r>
      <w:r>
        <w:rPr>
          <w:color w:val="231F20"/>
          <w:spacing w:val="-9"/>
          <w:w w:val="105"/>
        </w:rPr>
        <w:t> </w:t>
      </w:r>
      <w:r>
        <w:rPr>
          <w:i/>
          <w:color w:val="231F20"/>
          <w:w w:val="105"/>
        </w:rPr>
        <w:t>put</w:t>
      </w:r>
      <w:r>
        <w:rPr>
          <w:i/>
          <w:color w:val="231F20"/>
          <w:spacing w:val="-9"/>
          <w:w w:val="105"/>
        </w:rPr>
        <w:t> </w:t>
      </w:r>
      <w:r>
        <w:rPr>
          <w:color w:val="231F20"/>
          <w:w w:val="105"/>
        </w:rPr>
        <w:t>OTM.</w:t>
      </w:r>
      <w:r>
        <w:rPr>
          <w:color w:val="231F20"/>
          <w:spacing w:val="-14"/>
          <w:w w:val="105"/>
        </w:rPr>
        <w:t> </w:t>
      </w:r>
      <w:r>
        <w:rPr>
          <w:color w:val="231F20"/>
          <w:w w:val="105"/>
        </w:rPr>
        <w:t>En</w:t>
      </w:r>
      <w:r>
        <w:rPr>
          <w:color w:val="231F20"/>
          <w:spacing w:val="-9"/>
          <w:w w:val="105"/>
        </w:rPr>
        <w:t> </w:t>
      </w:r>
      <w:r>
        <w:rPr>
          <w:color w:val="231F20"/>
          <w:w w:val="105"/>
        </w:rPr>
        <w:t>consecuencia,</w:t>
      </w:r>
      <w:r>
        <w:rPr>
          <w:color w:val="231F20"/>
          <w:spacing w:val="-14"/>
          <w:w w:val="105"/>
        </w:rPr>
        <w:t> </w:t>
      </w:r>
      <w:r>
        <w:rPr>
          <w:color w:val="231F20"/>
          <w:w w:val="105"/>
        </w:rPr>
        <w:t>la</w:t>
      </w:r>
      <w:r>
        <w:rPr>
          <w:color w:val="231F20"/>
          <w:spacing w:val="-9"/>
          <w:w w:val="105"/>
        </w:rPr>
        <w:t> </w:t>
      </w:r>
      <w:r>
        <w:rPr>
          <w:color w:val="231F20"/>
          <w:w w:val="105"/>
        </w:rPr>
        <w:t>evidencia</w:t>
      </w:r>
      <w:r>
        <w:rPr>
          <w:color w:val="231F20"/>
          <w:spacing w:val="-9"/>
          <w:w w:val="105"/>
        </w:rPr>
        <w:t> </w:t>
      </w:r>
      <w:r>
        <w:rPr>
          <w:color w:val="231F20"/>
          <w:w w:val="105"/>
        </w:rPr>
        <w:t>empírica</w:t>
      </w:r>
      <w:r>
        <w:rPr>
          <w:color w:val="231F20"/>
          <w:spacing w:val="-9"/>
          <w:w w:val="105"/>
        </w:rPr>
        <w:t> </w:t>
      </w:r>
      <w:r>
        <w:rPr>
          <w:color w:val="231F20"/>
          <w:w w:val="105"/>
        </w:rPr>
        <w:t>confirma que los modelos de valuación que asumen volatilidad estocástica me- joran significativamente la estimación de los precios de las opciones a diferencia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modelos</w:t>
      </w:r>
      <w:r>
        <w:rPr>
          <w:color w:val="231F20"/>
          <w:spacing w:val="-10"/>
          <w:w w:val="105"/>
        </w:rPr>
        <w:t> </w:t>
      </w:r>
      <w:r>
        <w:rPr>
          <w:color w:val="231F20"/>
          <w:w w:val="105"/>
        </w:rPr>
        <w:t>con</w:t>
      </w:r>
      <w:r>
        <w:rPr>
          <w:color w:val="231F20"/>
          <w:spacing w:val="-10"/>
          <w:w w:val="105"/>
        </w:rPr>
        <w:t> </w:t>
      </w:r>
      <w:r>
        <w:rPr>
          <w:color w:val="231F20"/>
          <w:w w:val="105"/>
        </w:rPr>
        <w:t>volatilidad</w:t>
      </w:r>
      <w:r>
        <w:rPr>
          <w:color w:val="231F20"/>
          <w:spacing w:val="-10"/>
          <w:w w:val="105"/>
        </w:rPr>
        <w:t> </w:t>
      </w:r>
      <w:r>
        <w:rPr>
          <w:color w:val="231F20"/>
          <w:w w:val="105"/>
        </w:rPr>
        <w:t>constante.</w:t>
      </w:r>
    </w:p>
    <w:p>
      <w:pPr>
        <w:spacing w:after="0" w:line="259" w:lineRule="auto"/>
        <w:jc w:val="both"/>
        <w:sectPr>
          <w:type w:val="continuous"/>
          <w:pgSz w:w="9640" w:h="13890"/>
          <w:pgMar w:top="1300" w:bottom="280" w:left="1300" w:right="1180"/>
        </w:sectPr>
      </w:pPr>
    </w:p>
    <w:p>
      <w:pPr>
        <w:pStyle w:val="BodyText"/>
        <w:spacing w:line="259" w:lineRule="auto" w:before="120"/>
        <w:ind w:left="103" w:right="109"/>
        <w:jc w:val="both"/>
      </w:pPr>
      <w:r>
        <w:rPr>
          <w:color w:val="231F20"/>
          <w:w w:val="105"/>
        </w:rPr>
        <w:t>En</w:t>
      </w:r>
      <w:r>
        <w:rPr>
          <w:color w:val="231F20"/>
          <w:spacing w:val="-31"/>
          <w:w w:val="105"/>
        </w:rPr>
        <w:t> </w:t>
      </w:r>
      <w:r>
        <w:rPr>
          <w:color w:val="231F20"/>
          <w:w w:val="105"/>
        </w:rPr>
        <w:t>el</w:t>
      </w:r>
      <w:r>
        <w:rPr>
          <w:color w:val="231F20"/>
          <w:spacing w:val="-31"/>
          <w:w w:val="105"/>
        </w:rPr>
        <w:t> </w:t>
      </w:r>
      <w:r>
        <w:rPr>
          <w:color w:val="231F20"/>
          <w:w w:val="105"/>
        </w:rPr>
        <w:t>mismo</w:t>
      </w:r>
      <w:r>
        <w:rPr>
          <w:color w:val="231F20"/>
          <w:spacing w:val="-31"/>
          <w:w w:val="105"/>
        </w:rPr>
        <w:t> </w:t>
      </w:r>
      <w:r>
        <w:rPr>
          <w:color w:val="231F20"/>
          <w:w w:val="105"/>
        </w:rPr>
        <w:t>orden</w:t>
      </w:r>
      <w:r>
        <w:rPr>
          <w:color w:val="231F20"/>
          <w:spacing w:val="-31"/>
          <w:w w:val="105"/>
        </w:rPr>
        <w:t> </w:t>
      </w:r>
      <w:r>
        <w:rPr>
          <w:color w:val="231F20"/>
          <w:w w:val="105"/>
        </w:rPr>
        <w:t>de</w:t>
      </w:r>
      <w:r>
        <w:rPr>
          <w:color w:val="231F20"/>
          <w:spacing w:val="-31"/>
          <w:w w:val="105"/>
        </w:rPr>
        <w:t> </w:t>
      </w:r>
      <w:r>
        <w:rPr>
          <w:color w:val="231F20"/>
          <w:w w:val="105"/>
        </w:rPr>
        <w:t>ideas,</w:t>
      </w:r>
      <w:r>
        <w:rPr>
          <w:color w:val="231F20"/>
          <w:spacing w:val="-35"/>
          <w:w w:val="105"/>
        </w:rPr>
        <w:t> </w:t>
      </w:r>
      <w:r>
        <w:rPr>
          <w:color w:val="231F20"/>
          <w:w w:val="105"/>
        </w:rPr>
        <w:t>los</w:t>
      </w:r>
      <w:r>
        <w:rPr>
          <w:color w:val="231F20"/>
          <w:spacing w:val="-31"/>
          <w:w w:val="105"/>
        </w:rPr>
        <w:t> </w:t>
      </w:r>
      <w:r>
        <w:rPr>
          <w:color w:val="231F20"/>
          <w:w w:val="105"/>
        </w:rPr>
        <w:t>estudios</w:t>
      </w:r>
      <w:r>
        <w:rPr>
          <w:color w:val="231F20"/>
          <w:spacing w:val="-31"/>
          <w:w w:val="105"/>
        </w:rPr>
        <w:t> </w:t>
      </w:r>
      <w:r>
        <w:rPr>
          <w:color w:val="231F20"/>
          <w:w w:val="105"/>
        </w:rPr>
        <w:t>de</w:t>
      </w:r>
      <w:r>
        <w:rPr>
          <w:color w:val="231F20"/>
          <w:spacing w:val="-31"/>
          <w:w w:val="105"/>
        </w:rPr>
        <w:t> </w:t>
      </w:r>
      <w:r>
        <w:rPr>
          <w:color w:val="231F20"/>
          <w:w w:val="105"/>
        </w:rPr>
        <w:t>Das</w:t>
      </w:r>
      <w:r>
        <w:rPr>
          <w:color w:val="231F20"/>
          <w:spacing w:val="-31"/>
          <w:w w:val="105"/>
        </w:rPr>
        <w:t> </w:t>
      </w:r>
      <w:r>
        <w:rPr>
          <w:color w:val="231F20"/>
          <w:w w:val="105"/>
        </w:rPr>
        <w:t>y</w:t>
      </w:r>
      <w:r>
        <w:rPr>
          <w:color w:val="231F20"/>
          <w:spacing w:val="-31"/>
          <w:w w:val="105"/>
        </w:rPr>
        <w:t> </w:t>
      </w:r>
      <w:r>
        <w:rPr>
          <w:color w:val="231F20"/>
          <w:w w:val="105"/>
        </w:rPr>
        <w:t>Sundaram</w:t>
      </w:r>
      <w:r>
        <w:rPr>
          <w:color w:val="231F20"/>
          <w:spacing w:val="-31"/>
          <w:w w:val="105"/>
        </w:rPr>
        <w:t> </w:t>
      </w:r>
      <w:r>
        <w:rPr>
          <w:color w:val="231F20"/>
          <w:w w:val="105"/>
        </w:rPr>
        <w:t>(1999),</w:t>
      </w:r>
      <w:r>
        <w:rPr>
          <w:color w:val="231F20"/>
          <w:spacing w:val="-35"/>
          <w:w w:val="105"/>
        </w:rPr>
        <w:t> </w:t>
      </w:r>
      <w:r>
        <w:rPr>
          <w:color w:val="231F20"/>
          <w:w w:val="105"/>
        </w:rPr>
        <w:t>Hes- ton</w:t>
      </w:r>
      <w:r>
        <w:rPr>
          <w:color w:val="231F20"/>
          <w:spacing w:val="-26"/>
          <w:w w:val="105"/>
        </w:rPr>
        <w:t> </w:t>
      </w:r>
      <w:r>
        <w:rPr>
          <w:color w:val="231F20"/>
          <w:w w:val="105"/>
        </w:rPr>
        <w:t>(1993),</w:t>
      </w:r>
      <w:r>
        <w:rPr>
          <w:color w:val="231F20"/>
          <w:spacing w:val="-31"/>
          <w:w w:val="105"/>
        </w:rPr>
        <w:t> </w:t>
      </w:r>
      <w:r>
        <w:rPr>
          <w:color w:val="231F20"/>
          <w:w w:val="105"/>
        </w:rPr>
        <w:t>Bates</w:t>
      </w:r>
      <w:r>
        <w:rPr>
          <w:color w:val="231F20"/>
          <w:spacing w:val="-26"/>
          <w:w w:val="105"/>
        </w:rPr>
        <w:t> </w:t>
      </w:r>
      <w:r>
        <w:rPr>
          <w:color w:val="231F20"/>
          <w:w w:val="105"/>
        </w:rPr>
        <w:t>(1996)</w:t>
      </w:r>
      <w:r>
        <w:rPr>
          <w:color w:val="231F20"/>
          <w:spacing w:val="-26"/>
          <w:w w:val="105"/>
        </w:rPr>
        <w:t> </w:t>
      </w:r>
      <w:r>
        <w:rPr>
          <w:color w:val="231F20"/>
          <w:w w:val="105"/>
        </w:rPr>
        <w:t>y</w:t>
      </w:r>
      <w:r>
        <w:rPr>
          <w:color w:val="231F20"/>
          <w:spacing w:val="-26"/>
          <w:w w:val="105"/>
        </w:rPr>
        <w:t> </w:t>
      </w:r>
      <w:r>
        <w:rPr>
          <w:color w:val="231F20"/>
          <w:w w:val="105"/>
        </w:rPr>
        <w:t>Bakshi</w:t>
      </w:r>
      <w:r>
        <w:rPr>
          <w:color w:val="231F20"/>
          <w:spacing w:val="-27"/>
          <w:w w:val="105"/>
        </w:rPr>
        <w:t> </w:t>
      </w:r>
      <w:r>
        <w:rPr>
          <w:i/>
          <w:color w:val="231F20"/>
          <w:w w:val="105"/>
        </w:rPr>
        <w:t>et</w:t>
      </w:r>
      <w:r>
        <w:rPr>
          <w:i/>
          <w:color w:val="231F20"/>
          <w:spacing w:val="-26"/>
          <w:w w:val="105"/>
        </w:rPr>
        <w:t> </w:t>
      </w:r>
      <w:r>
        <w:rPr>
          <w:i/>
          <w:color w:val="231F20"/>
          <w:w w:val="105"/>
        </w:rPr>
        <w:t>al</w:t>
      </w:r>
      <w:r>
        <w:rPr>
          <w:color w:val="231F20"/>
          <w:w w:val="105"/>
        </w:rPr>
        <w:t>.</w:t>
      </w:r>
      <w:r>
        <w:rPr>
          <w:color w:val="231F20"/>
          <w:spacing w:val="-31"/>
          <w:w w:val="105"/>
        </w:rPr>
        <w:t> </w:t>
      </w:r>
      <w:r>
        <w:rPr>
          <w:color w:val="231F20"/>
          <w:w w:val="105"/>
        </w:rPr>
        <w:t>(1997)</w:t>
      </w:r>
      <w:r>
        <w:rPr>
          <w:color w:val="231F20"/>
          <w:spacing w:val="-26"/>
          <w:w w:val="105"/>
        </w:rPr>
        <w:t> </w:t>
      </w:r>
      <w:r>
        <w:rPr>
          <w:color w:val="231F20"/>
          <w:w w:val="105"/>
        </w:rPr>
        <w:t>argumentan</w:t>
      </w:r>
      <w:r>
        <w:rPr>
          <w:color w:val="231F20"/>
          <w:spacing w:val="-26"/>
          <w:w w:val="105"/>
        </w:rPr>
        <w:t> </w:t>
      </w:r>
      <w:r>
        <w:rPr>
          <w:color w:val="231F20"/>
          <w:w w:val="105"/>
        </w:rPr>
        <w:t>que</w:t>
      </w:r>
      <w:r>
        <w:rPr>
          <w:color w:val="231F20"/>
          <w:spacing w:val="-26"/>
          <w:w w:val="105"/>
        </w:rPr>
        <w:t> </w:t>
      </w:r>
      <w:r>
        <w:rPr>
          <w:color w:val="231F20"/>
          <w:w w:val="105"/>
        </w:rPr>
        <w:t>la</w:t>
      </w:r>
      <w:r>
        <w:rPr>
          <w:color w:val="231F20"/>
          <w:spacing w:val="-26"/>
          <w:w w:val="105"/>
        </w:rPr>
        <w:t> </w:t>
      </w:r>
      <w:r>
        <w:rPr>
          <w:color w:val="231F20"/>
          <w:w w:val="105"/>
        </w:rPr>
        <w:t>correla- ción</w:t>
      </w:r>
      <w:r>
        <w:rPr>
          <w:color w:val="231F20"/>
          <w:spacing w:val="-11"/>
          <w:w w:val="105"/>
        </w:rPr>
        <w:t> </w:t>
      </w:r>
      <w:r>
        <w:rPr>
          <w:color w:val="231F20"/>
          <w:w w:val="105"/>
        </w:rPr>
        <w:t>entre</w:t>
      </w:r>
      <w:r>
        <w:rPr>
          <w:color w:val="231F20"/>
          <w:spacing w:val="-11"/>
          <w:w w:val="105"/>
        </w:rPr>
        <w:t> </w:t>
      </w:r>
      <w:r>
        <w:rPr>
          <w:color w:val="231F20"/>
          <w:w w:val="105"/>
        </w:rPr>
        <w:t>el</w:t>
      </w:r>
      <w:r>
        <w:rPr>
          <w:color w:val="231F20"/>
          <w:spacing w:val="-11"/>
          <w:w w:val="105"/>
        </w:rPr>
        <w:t> </w:t>
      </w:r>
      <w:r>
        <w:rPr>
          <w:color w:val="231F20"/>
          <w:w w:val="105"/>
        </w:rPr>
        <w:t>rendimiento</w:t>
      </w:r>
      <w:r>
        <w:rPr>
          <w:color w:val="231F20"/>
          <w:spacing w:val="-11"/>
          <w:w w:val="105"/>
        </w:rPr>
        <w:t> </w:t>
      </w:r>
      <w:r>
        <w:rPr>
          <w:color w:val="231F20"/>
          <w:w w:val="105"/>
        </w:rPr>
        <w:t>del</w:t>
      </w:r>
      <w:r>
        <w:rPr>
          <w:color w:val="231F20"/>
          <w:spacing w:val="-11"/>
          <w:w w:val="105"/>
        </w:rPr>
        <w:t> </w:t>
      </w:r>
      <w:r>
        <w:rPr>
          <w:color w:val="231F20"/>
          <w:w w:val="105"/>
        </w:rPr>
        <w:t>activo</w:t>
      </w:r>
      <w:r>
        <w:rPr>
          <w:color w:val="231F20"/>
          <w:spacing w:val="-11"/>
          <w:w w:val="105"/>
        </w:rPr>
        <w:t> </w:t>
      </w:r>
      <w:r>
        <w:rPr>
          <w:color w:val="231F20"/>
          <w:w w:val="105"/>
        </w:rPr>
        <w:t>subyacente</w:t>
      </w:r>
      <w:r>
        <w:rPr>
          <w:color w:val="231F20"/>
          <w:spacing w:val="-11"/>
          <w:w w:val="105"/>
        </w:rPr>
        <w:t> </w:t>
      </w:r>
      <w:r>
        <w:rPr>
          <w:color w:val="231F20"/>
          <w:w w:val="105"/>
        </w:rPr>
        <w:t>y</w:t>
      </w:r>
      <w:r>
        <w:rPr>
          <w:color w:val="231F20"/>
          <w:spacing w:val="-11"/>
          <w:w w:val="105"/>
        </w:rPr>
        <w:t> </w:t>
      </w:r>
      <w:r>
        <w:rPr>
          <w:color w:val="231F20"/>
          <w:w w:val="105"/>
        </w:rPr>
        <w:t>su</w:t>
      </w:r>
      <w:r>
        <w:rPr>
          <w:color w:val="231F20"/>
          <w:spacing w:val="-11"/>
          <w:w w:val="105"/>
        </w:rPr>
        <w:t> </w:t>
      </w:r>
      <w:r>
        <w:rPr>
          <w:color w:val="231F20"/>
          <w:w w:val="105"/>
        </w:rPr>
        <w:t>volatilidad</w:t>
      </w:r>
      <w:r>
        <w:rPr>
          <w:color w:val="231F20"/>
          <w:spacing w:val="-11"/>
          <w:w w:val="105"/>
        </w:rPr>
        <w:t> </w:t>
      </w:r>
      <w:r>
        <w:rPr>
          <w:color w:val="231F20"/>
          <w:w w:val="105"/>
        </w:rPr>
        <w:t>presenta efectos a la asimetría y la leptocurtosis de la distribución de los rendi- mientos</w:t>
      </w:r>
      <w:r>
        <w:rPr>
          <w:color w:val="231F20"/>
          <w:spacing w:val="-27"/>
          <w:w w:val="105"/>
        </w:rPr>
        <w:t> </w:t>
      </w:r>
      <w:r>
        <w:rPr>
          <w:color w:val="231F20"/>
          <w:w w:val="105"/>
        </w:rPr>
        <w:t>del</w:t>
      </w:r>
      <w:r>
        <w:rPr>
          <w:color w:val="231F20"/>
          <w:spacing w:val="-27"/>
          <w:w w:val="105"/>
        </w:rPr>
        <w:t> </w:t>
      </w:r>
      <w:r>
        <w:rPr>
          <w:color w:val="231F20"/>
          <w:w w:val="105"/>
        </w:rPr>
        <w:t>activo</w:t>
      </w:r>
      <w:r>
        <w:rPr>
          <w:color w:val="231F20"/>
          <w:spacing w:val="-27"/>
          <w:w w:val="105"/>
        </w:rPr>
        <w:t> </w:t>
      </w:r>
      <w:r>
        <w:rPr>
          <w:color w:val="231F20"/>
          <w:w w:val="105"/>
        </w:rPr>
        <w:t>subyacente.</w:t>
      </w:r>
      <w:r>
        <w:rPr>
          <w:color w:val="231F20"/>
          <w:spacing w:val="-32"/>
          <w:w w:val="105"/>
        </w:rPr>
        <w:t> </w:t>
      </w:r>
      <w:r>
        <w:rPr>
          <w:color w:val="231F20"/>
          <w:w w:val="105"/>
        </w:rPr>
        <w:t>Esta</w:t>
      </w:r>
      <w:r>
        <w:rPr>
          <w:color w:val="231F20"/>
          <w:spacing w:val="-27"/>
          <w:w w:val="105"/>
        </w:rPr>
        <w:t> </w:t>
      </w:r>
      <w:r>
        <w:rPr>
          <w:color w:val="231F20"/>
          <w:w w:val="105"/>
        </w:rPr>
        <w:t>correlación</w:t>
      </w:r>
      <w:r>
        <w:rPr>
          <w:color w:val="231F20"/>
          <w:spacing w:val="-27"/>
          <w:w w:val="105"/>
        </w:rPr>
        <w:t> </w:t>
      </w:r>
      <w:r>
        <w:rPr>
          <w:color w:val="231F20"/>
          <w:w w:val="105"/>
        </w:rPr>
        <w:t>es</w:t>
      </w:r>
      <w:r>
        <w:rPr>
          <w:color w:val="231F20"/>
          <w:spacing w:val="-27"/>
          <w:w w:val="105"/>
        </w:rPr>
        <w:t> </w:t>
      </w:r>
      <w:r>
        <w:rPr>
          <w:color w:val="231F20"/>
          <w:w w:val="105"/>
        </w:rPr>
        <w:t>importante</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expli- cación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asimetría,</w:t>
      </w:r>
      <w:r>
        <w:rPr>
          <w:color w:val="231F20"/>
          <w:spacing w:val="-15"/>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afecta</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precios</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opciones</w:t>
      </w:r>
      <w:r>
        <w:rPr>
          <w:color w:val="231F20"/>
          <w:spacing w:val="-14"/>
          <w:w w:val="105"/>
        </w:rPr>
        <w:t> </w:t>
      </w:r>
      <w:r>
        <w:rPr>
          <w:color w:val="231F20"/>
          <w:spacing w:val="-4"/>
          <w:w w:val="105"/>
        </w:rPr>
        <w:t>ATM. </w:t>
      </w:r>
      <w:r>
        <w:rPr>
          <w:color w:val="231F20"/>
          <w:w w:val="105"/>
        </w:rPr>
        <w:t>Es</w:t>
      </w:r>
      <w:r>
        <w:rPr>
          <w:color w:val="231F20"/>
          <w:spacing w:val="-22"/>
          <w:w w:val="105"/>
        </w:rPr>
        <w:t> </w:t>
      </w:r>
      <w:r>
        <w:rPr>
          <w:color w:val="231F20"/>
          <w:w w:val="105"/>
        </w:rPr>
        <w:t>relevante</w:t>
      </w:r>
      <w:r>
        <w:rPr>
          <w:color w:val="231F20"/>
          <w:spacing w:val="-22"/>
          <w:w w:val="105"/>
        </w:rPr>
        <w:t> </w:t>
      </w:r>
      <w:r>
        <w:rPr>
          <w:color w:val="231F20"/>
          <w:w w:val="105"/>
        </w:rPr>
        <w:t>mencionar</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modelo</w:t>
      </w:r>
      <w:r>
        <w:rPr>
          <w:color w:val="231F20"/>
          <w:spacing w:val="-22"/>
          <w:w w:val="105"/>
        </w:rPr>
        <w:t> </w:t>
      </w:r>
      <w:r>
        <w:rPr>
          <w:color w:val="231F20"/>
          <w:w w:val="105"/>
        </w:rPr>
        <w:t>de</w:t>
      </w:r>
      <w:r>
        <w:rPr>
          <w:color w:val="231F20"/>
          <w:spacing w:val="-22"/>
          <w:w w:val="105"/>
        </w:rPr>
        <w:t> </w:t>
      </w:r>
      <w:r>
        <w:rPr>
          <w:color w:val="231F20"/>
          <w:w w:val="105"/>
        </w:rPr>
        <w:t>Heston</w:t>
      </w:r>
      <w:r>
        <w:rPr>
          <w:color w:val="231F20"/>
          <w:spacing w:val="-22"/>
          <w:w w:val="105"/>
        </w:rPr>
        <w:t> </w:t>
      </w:r>
      <w:r>
        <w:rPr>
          <w:color w:val="231F20"/>
          <w:w w:val="105"/>
        </w:rPr>
        <w:t>subvalora</w:t>
      </w:r>
      <w:r>
        <w:rPr>
          <w:color w:val="231F20"/>
          <w:spacing w:val="-22"/>
          <w:w w:val="105"/>
        </w:rPr>
        <w:t> </w:t>
      </w:r>
      <w:r>
        <w:rPr>
          <w:color w:val="231F20"/>
          <w:w w:val="105"/>
        </w:rPr>
        <w:t>las</w:t>
      </w:r>
      <w:r>
        <w:rPr>
          <w:color w:val="231F20"/>
          <w:spacing w:val="-22"/>
          <w:w w:val="105"/>
        </w:rPr>
        <w:t> </w:t>
      </w:r>
      <w:r>
        <w:rPr>
          <w:color w:val="231F20"/>
          <w:w w:val="105"/>
        </w:rPr>
        <w:t>opciones </w:t>
      </w:r>
      <w:r>
        <w:rPr>
          <w:color w:val="231F20"/>
          <w:spacing w:val="-5"/>
          <w:w w:val="105"/>
        </w:rPr>
        <w:t>ATM</w:t>
      </w:r>
      <w:r>
        <w:rPr>
          <w:color w:val="231F20"/>
          <w:spacing w:val="-18"/>
          <w:w w:val="105"/>
        </w:rPr>
        <w:t> </w:t>
      </w:r>
      <w:r>
        <w:rPr>
          <w:color w:val="231F20"/>
          <w:w w:val="105"/>
        </w:rPr>
        <w:t>y</w:t>
      </w:r>
      <w:r>
        <w:rPr>
          <w:color w:val="231F20"/>
          <w:spacing w:val="-18"/>
          <w:w w:val="105"/>
        </w:rPr>
        <w:t> </w:t>
      </w:r>
      <w:r>
        <w:rPr>
          <w:color w:val="231F20"/>
          <w:w w:val="105"/>
        </w:rPr>
        <w:t>ITM,</w:t>
      </w:r>
      <w:r>
        <w:rPr>
          <w:color w:val="231F20"/>
          <w:spacing w:val="-23"/>
          <w:w w:val="105"/>
        </w:rPr>
        <w:t> </w:t>
      </w:r>
      <w:r>
        <w:rPr>
          <w:color w:val="231F20"/>
          <w:w w:val="105"/>
        </w:rPr>
        <w:t>mientras</w:t>
      </w:r>
      <w:r>
        <w:rPr>
          <w:color w:val="231F20"/>
          <w:spacing w:val="-18"/>
          <w:w w:val="105"/>
        </w:rPr>
        <w:t> </w:t>
      </w:r>
      <w:r>
        <w:rPr>
          <w:color w:val="231F20"/>
          <w:w w:val="105"/>
        </w:rPr>
        <w:t>que</w:t>
      </w:r>
      <w:r>
        <w:rPr>
          <w:color w:val="231F20"/>
          <w:spacing w:val="-18"/>
          <w:w w:val="105"/>
        </w:rPr>
        <w:t> </w:t>
      </w:r>
      <w:r>
        <w:rPr>
          <w:color w:val="231F20"/>
          <w:w w:val="105"/>
        </w:rPr>
        <w:t>tiende</w:t>
      </w:r>
      <w:r>
        <w:rPr>
          <w:color w:val="231F20"/>
          <w:spacing w:val="-18"/>
          <w:w w:val="105"/>
        </w:rPr>
        <w:t> </w:t>
      </w:r>
      <w:r>
        <w:rPr>
          <w:color w:val="231F20"/>
          <w:w w:val="105"/>
        </w:rPr>
        <w:t>a</w:t>
      </w:r>
      <w:r>
        <w:rPr>
          <w:color w:val="231F20"/>
          <w:spacing w:val="-18"/>
          <w:w w:val="105"/>
        </w:rPr>
        <w:t> </w:t>
      </w:r>
      <w:r>
        <w:rPr>
          <w:color w:val="231F20"/>
          <w:w w:val="105"/>
        </w:rPr>
        <w:t>sobrevalorar</w:t>
      </w:r>
      <w:r>
        <w:rPr>
          <w:color w:val="231F20"/>
          <w:spacing w:val="-18"/>
          <w:w w:val="105"/>
        </w:rPr>
        <w:t> </w:t>
      </w:r>
      <w:r>
        <w:rPr>
          <w:color w:val="231F20"/>
          <w:w w:val="105"/>
        </w:rPr>
        <w:t>las</w:t>
      </w:r>
      <w:r>
        <w:rPr>
          <w:color w:val="231F20"/>
          <w:spacing w:val="-18"/>
          <w:w w:val="105"/>
        </w:rPr>
        <w:t> </w:t>
      </w:r>
      <w:r>
        <w:rPr>
          <w:color w:val="231F20"/>
          <w:w w:val="105"/>
        </w:rPr>
        <w:t>opciones</w:t>
      </w:r>
      <w:r>
        <w:rPr>
          <w:color w:val="231F20"/>
          <w:spacing w:val="-18"/>
          <w:w w:val="105"/>
        </w:rPr>
        <w:t> </w:t>
      </w:r>
      <w:r>
        <w:rPr>
          <w:color w:val="231F20"/>
          <w:w w:val="105"/>
        </w:rPr>
        <w:t>OTM.</w:t>
      </w:r>
      <w:r>
        <w:rPr>
          <w:color w:val="231F20"/>
          <w:spacing w:val="-23"/>
          <w:w w:val="105"/>
        </w:rPr>
        <w:t> </w:t>
      </w:r>
      <w:r>
        <w:rPr>
          <w:color w:val="231F20"/>
          <w:w w:val="105"/>
        </w:rPr>
        <w:t>Dicho modelo quedó demostrado teóricamente, y una vez que se analizaron sus</w:t>
      </w:r>
      <w:r>
        <w:rPr>
          <w:color w:val="231F20"/>
          <w:spacing w:val="-13"/>
          <w:w w:val="105"/>
        </w:rPr>
        <w:t> </w:t>
      </w:r>
      <w:r>
        <w:rPr>
          <w:color w:val="231F20"/>
          <w:w w:val="105"/>
        </w:rPr>
        <w:t>alcances</w:t>
      </w:r>
      <w:r>
        <w:rPr>
          <w:color w:val="231F20"/>
          <w:spacing w:val="-13"/>
          <w:w w:val="105"/>
        </w:rPr>
        <w:t> </w:t>
      </w:r>
      <w:r>
        <w:rPr>
          <w:color w:val="231F20"/>
          <w:w w:val="105"/>
        </w:rPr>
        <w:t>es</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más</w:t>
      </w:r>
      <w:r>
        <w:rPr>
          <w:color w:val="231F20"/>
          <w:spacing w:val="-13"/>
          <w:w w:val="105"/>
        </w:rPr>
        <w:t> </w:t>
      </w:r>
      <w:r>
        <w:rPr>
          <w:color w:val="231F20"/>
          <w:w w:val="105"/>
        </w:rPr>
        <w:t>utilizados</w:t>
      </w:r>
      <w:r>
        <w:rPr>
          <w:color w:val="231F20"/>
          <w:spacing w:val="-13"/>
          <w:w w:val="105"/>
        </w:rPr>
        <w:t> </w:t>
      </w:r>
      <w:r>
        <w:rPr>
          <w:color w:val="231F20"/>
          <w:w w:val="105"/>
        </w:rPr>
        <w:t>para</w:t>
      </w:r>
      <w:r>
        <w:rPr>
          <w:color w:val="231F20"/>
          <w:spacing w:val="-13"/>
          <w:w w:val="105"/>
        </w:rPr>
        <w:t> </w:t>
      </w:r>
      <w:r>
        <w:rPr>
          <w:color w:val="231F20"/>
          <w:w w:val="105"/>
        </w:rPr>
        <w:t>valuar</w:t>
      </w:r>
      <w:r>
        <w:rPr>
          <w:color w:val="231F20"/>
          <w:spacing w:val="-13"/>
          <w:w w:val="105"/>
        </w:rPr>
        <w:t> </w:t>
      </w:r>
      <w:r>
        <w:rPr>
          <w:color w:val="231F20"/>
          <w:w w:val="105"/>
        </w:rPr>
        <w:t>el</w:t>
      </w:r>
      <w:r>
        <w:rPr>
          <w:color w:val="231F20"/>
          <w:spacing w:val="-13"/>
          <w:w w:val="105"/>
        </w:rPr>
        <w:t> </w:t>
      </w:r>
      <w:r>
        <w:rPr>
          <w:color w:val="231F20"/>
          <w:w w:val="105"/>
        </w:rPr>
        <w:t>precio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op- ción</w:t>
      </w:r>
      <w:r>
        <w:rPr>
          <w:color w:val="231F20"/>
          <w:spacing w:val="-32"/>
          <w:w w:val="105"/>
        </w:rPr>
        <w:t> </w:t>
      </w:r>
      <w:r>
        <w:rPr>
          <w:color w:val="231F20"/>
          <w:w w:val="105"/>
        </w:rPr>
        <w:t>de</w:t>
      </w:r>
      <w:r>
        <w:rPr>
          <w:color w:val="231F20"/>
          <w:spacing w:val="-32"/>
          <w:w w:val="105"/>
        </w:rPr>
        <w:t> </w:t>
      </w:r>
      <w:r>
        <w:rPr>
          <w:color w:val="231F20"/>
          <w:w w:val="105"/>
        </w:rPr>
        <w:t>varios</w:t>
      </w:r>
      <w:r>
        <w:rPr>
          <w:color w:val="231F20"/>
          <w:spacing w:val="-32"/>
          <w:w w:val="105"/>
        </w:rPr>
        <w:t> </w:t>
      </w:r>
      <w:r>
        <w:rPr>
          <w:color w:val="231F20"/>
          <w:w w:val="105"/>
        </w:rPr>
        <w:t>activos</w:t>
      </w:r>
      <w:r>
        <w:rPr>
          <w:color w:val="231F20"/>
          <w:spacing w:val="-32"/>
          <w:w w:val="105"/>
        </w:rPr>
        <w:t> </w:t>
      </w:r>
      <w:r>
        <w:rPr>
          <w:color w:val="231F20"/>
          <w:w w:val="105"/>
        </w:rPr>
        <w:t>subyacentes.</w:t>
      </w:r>
    </w:p>
    <w:p>
      <w:pPr>
        <w:pStyle w:val="BodyText"/>
        <w:spacing w:line="259" w:lineRule="auto"/>
        <w:ind w:left="103" w:right="115" w:firstLine="567"/>
        <w:jc w:val="both"/>
      </w:pPr>
      <w:r>
        <w:rPr>
          <w:color w:val="231F20"/>
          <w:w w:val="105"/>
        </w:rPr>
        <w:t>Guo (1998) empíricamente estudió los parámetros en el proceso de</w:t>
      </w:r>
      <w:r>
        <w:rPr>
          <w:color w:val="231F20"/>
          <w:spacing w:val="-7"/>
          <w:w w:val="105"/>
        </w:rPr>
        <w:t> </w:t>
      </w:r>
      <w:r>
        <w:rPr>
          <w:color w:val="231F20"/>
          <w:w w:val="105"/>
        </w:rPr>
        <w:t>variación</w:t>
      </w:r>
      <w:r>
        <w:rPr>
          <w:color w:val="231F20"/>
          <w:spacing w:val="-7"/>
          <w:w w:val="105"/>
        </w:rPr>
        <w:t> </w:t>
      </w:r>
      <w:r>
        <w:rPr>
          <w:color w:val="231F20"/>
          <w:w w:val="105"/>
        </w:rPr>
        <w:t>neutral</w:t>
      </w:r>
      <w:r>
        <w:rPr>
          <w:color w:val="231F20"/>
          <w:spacing w:val="-7"/>
          <w:w w:val="105"/>
        </w:rPr>
        <w:t> </w:t>
      </w:r>
      <w:r>
        <w:rPr>
          <w:color w:val="231F20"/>
          <w:w w:val="105"/>
        </w:rPr>
        <w:t>al</w:t>
      </w:r>
      <w:r>
        <w:rPr>
          <w:color w:val="231F20"/>
          <w:spacing w:val="-7"/>
          <w:w w:val="105"/>
        </w:rPr>
        <w:t> </w:t>
      </w:r>
      <w:r>
        <w:rPr>
          <w:color w:val="231F20"/>
          <w:w w:val="105"/>
        </w:rPr>
        <w:t>riesgo</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precio</w:t>
      </w:r>
      <w:r>
        <w:rPr>
          <w:color w:val="231F20"/>
          <w:spacing w:val="-7"/>
          <w:w w:val="105"/>
        </w:rPr>
        <w:t> </w:t>
      </w:r>
      <w:r>
        <w:rPr>
          <w:color w:val="231F20"/>
          <w:w w:val="105"/>
        </w:rPr>
        <w:t>de</w:t>
      </w:r>
      <w:r>
        <w:rPr>
          <w:color w:val="231F20"/>
          <w:spacing w:val="-7"/>
          <w:w w:val="105"/>
        </w:rPr>
        <w:t> </w:t>
      </w:r>
      <w:r>
        <w:rPr>
          <w:color w:val="231F20"/>
          <w:w w:val="105"/>
        </w:rPr>
        <w:t>riesgo</w:t>
      </w:r>
      <w:r>
        <w:rPr>
          <w:color w:val="231F20"/>
          <w:spacing w:val="-7"/>
          <w:w w:val="105"/>
        </w:rPr>
        <w:t> </w:t>
      </w:r>
      <w:r>
        <w:rPr>
          <w:color w:val="231F20"/>
          <w:w w:val="105"/>
        </w:rPr>
        <w:t>de</w:t>
      </w:r>
      <w:r>
        <w:rPr>
          <w:color w:val="231F20"/>
          <w:spacing w:val="-7"/>
          <w:w w:val="105"/>
        </w:rPr>
        <w:t> </w:t>
      </w:r>
      <w:r>
        <w:rPr>
          <w:color w:val="231F20"/>
          <w:w w:val="105"/>
        </w:rPr>
        <w:t>mercado</w:t>
      </w:r>
      <w:r>
        <w:rPr>
          <w:color w:val="231F20"/>
          <w:spacing w:val="-7"/>
          <w:w w:val="105"/>
        </w:rPr>
        <w:t> </w:t>
      </w:r>
      <w:r>
        <w:rPr>
          <w:color w:val="231F20"/>
          <w:w w:val="105"/>
        </w:rPr>
        <w:t>de</w:t>
      </w:r>
      <w:r>
        <w:rPr>
          <w:color w:val="231F20"/>
          <w:spacing w:val="-7"/>
          <w:w w:val="105"/>
        </w:rPr>
        <w:t> </w:t>
      </w:r>
      <w:r>
        <w:rPr>
          <w:color w:val="231F20"/>
          <w:w w:val="105"/>
        </w:rPr>
        <w:t>varia- ción</w:t>
      </w:r>
      <w:r>
        <w:rPr>
          <w:color w:val="231F20"/>
          <w:spacing w:val="-22"/>
          <w:w w:val="105"/>
        </w:rPr>
        <w:t> </w:t>
      </w:r>
      <w:r>
        <w:rPr>
          <w:color w:val="231F20"/>
          <w:w w:val="105"/>
        </w:rPr>
        <w:t>implícita</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w w:val="105"/>
        </w:rPr>
        <w:t>opciones</w:t>
      </w:r>
      <w:r>
        <w:rPr>
          <w:color w:val="231F20"/>
          <w:spacing w:val="-22"/>
          <w:w w:val="105"/>
        </w:rPr>
        <w:t> </w:t>
      </w:r>
      <w:r>
        <w:rPr>
          <w:color w:val="231F20"/>
          <w:w w:val="105"/>
        </w:rPr>
        <w:t>sobre</w:t>
      </w:r>
      <w:r>
        <w:rPr>
          <w:color w:val="231F20"/>
          <w:spacing w:val="-22"/>
          <w:w w:val="105"/>
        </w:rPr>
        <w:t> </w:t>
      </w:r>
      <w:r>
        <w:rPr>
          <w:color w:val="231F20"/>
          <w:w w:val="105"/>
        </w:rPr>
        <w:t>divisas</w:t>
      </w:r>
      <w:r>
        <w:rPr>
          <w:color w:val="231F20"/>
          <w:spacing w:val="-22"/>
          <w:w w:val="105"/>
        </w:rPr>
        <w:t> </w:t>
      </w:r>
      <w:r>
        <w:rPr>
          <w:color w:val="231F20"/>
          <w:w w:val="105"/>
        </w:rPr>
        <w:t>en</w:t>
      </w:r>
      <w:r>
        <w:rPr>
          <w:color w:val="231F20"/>
          <w:spacing w:val="-22"/>
          <w:w w:val="105"/>
        </w:rPr>
        <w:t> </w:t>
      </w:r>
      <w:r>
        <w:rPr>
          <w:color w:val="231F20"/>
          <w:w w:val="105"/>
        </w:rPr>
        <w:t>PHLX</w:t>
      </w:r>
      <w:r>
        <w:rPr>
          <w:color w:val="231F20"/>
          <w:spacing w:val="-24"/>
          <w:w w:val="105"/>
        </w:rPr>
        <w:t> </w:t>
      </w:r>
      <w:r>
        <w:rPr>
          <w:color w:val="231F20"/>
          <w:w w:val="105"/>
        </w:rPr>
        <w:t>basado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mode- lo</w:t>
      </w:r>
      <w:r>
        <w:rPr>
          <w:color w:val="231F20"/>
          <w:spacing w:val="-24"/>
          <w:w w:val="105"/>
        </w:rPr>
        <w:t> </w:t>
      </w:r>
      <w:r>
        <w:rPr>
          <w:color w:val="231F20"/>
          <w:w w:val="105"/>
        </w:rPr>
        <w:t>de</w:t>
      </w:r>
      <w:r>
        <w:rPr>
          <w:color w:val="231F20"/>
          <w:spacing w:val="-24"/>
          <w:w w:val="105"/>
        </w:rPr>
        <w:t> </w:t>
      </w:r>
      <w:r>
        <w:rPr>
          <w:color w:val="231F20"/>
          <w:w w:val="105"/>
        </w:rPr>
        <w:t>Heston</w:t>
      </w:r>
      <w:r>
        <w:rPr>
          <w:color w:val="231F20"/>
          <w:spacing w:val="-24"/>
          <w:w w:val="105"/>
        </w:rPr>
        <w:t> </w:t>
      </w:r>
      <w:r>
        <w:rPr>
          <w:color w:val="231F20"/>
          <w:w w:val="105"/>
        </w:rPr>
        <w:t>(1993).</w:t>
      </w:r>
      <w:r>
        <w:rPr>
          <w:color w:val="231F20"/>
          <w:spacing w:val="-30"/>
          <w:w w:val="105"/>
        </w:rPr>
        <w:t> </w:t>
      </w:r>
      <w:r>
        <w:rPr>
          <w:color w:val="231F20"/>
          <w:w w:val="105"/>
        </w:rPr>
        <w:t>Encontró</w:t>
      </w:r>
      <w:r>
        <w:rPr>
          <w:color w:val="231F20"/>
          <w:spacing w:val="-24"/>
          <w:w w:val="105"/>
        </w:rPr>
        <w:t> </w:t>
      </w:r>
      <w:r>
        <w:rPr>
          <w:color w:val="231F20"/>
          <w:w w:val="105"/>
        </w:rPr>
        <w:t>una</w:t>
      </w:r>
      <w:r>
        <w:rPr>
          <w:color w:val="231F20"/>
          <w:spacing w:val="-24"/>
          <w:w w:val="105"/>
        </w:rPr>
        <w:t> </w:t>
      </w:r>
      <w:r>
        <w:rPr>
          <w:color w:val="231F20"/>
          <w:w w:val="105"/>
        </w:rPr>
        <w:t>correlación</w:t>
      </w:r>
      <w:r>
        <w:rPr>
          <w:color w:val="231F20"/>
          <w:spacing w:val="-24"/>
          <w:w w:val="105"/>
        </w:rPr>
        <w:t> </w:t>
      </w:r>
      <w:r>
        <w:rPr>
          <w:color w:val="231F20"/>
          <w:w w:val="105"/>
        </w:rPr>
        <w:t>diferente</w:t>
      </w:r>
      <w:r>
        <w:rPr>
          <w:color w:val="231F20"/>
          <w:spacing w:val="-24"/>
          <w:w w:val="105"/>
        </w:rPr>
        <w:t> </w:t>
      </w:r>
      <w:r>
        <w:rPr>
          <w:color w:val="231F20"/>
          <w:w w:val="105"/>
        </w:rPr>
        <w:t>de</w:t>
      </w:r>
      <w:r>
        <w:rPr>
          <w:color w:val="231F20"/>
          <w:spacing w:val="-24"/>
          <w:w w:val="105"/>
        </w:rPr>
        <w:t> </w:t>
      </w:r>
      <w:r>
        <w:rPr>
          <w:color w:val="231F20"/>
          <w:w w:val="105"/>
        </w:rPr>
        <w:t>cero,</w:t>
      </w:r>
      <w:r>
        <w:rPr>
          <w:color w:val="231F20"/>
          <w:spacing w:val="-30"/>
          <w:w w:val="105"/>
        </w:rPr>
        <w:t> </w:t>
      </w:r>
      <w:r>
        <w:rPr>
          <w:color w:val="231F20"/>
          <w:w w:val="105"/>
        </w:rPr>
        <w:t>el</w:t>
      </w:r>
      <w:r>
        <w:rPr>
          <w:color w:val="231F20"/>
          <w:spacing w:val="-24"/>
          <w:w w:val="105"/>
        </w:rPr>
        <w:t> </w:t>
      </w:r>
      <w:r>
        <w:rPr>
          <w:color w:val="231F20"/>
          <w:w w:val="105"/>
        </w:rPr>
        <w:t>precio variable en el tiempo y de magnitud suficiente como para entender la compensación por riesgo de variación de un componente suficiente de la</w:t>
      </w:r>
      <w:r>
        <w:rPr>
          <w:color w:val="231F20"/>
          <w:spacing w:val="-12"/>
          <w:w w:val="105"/>
        </w:rPr>
        <w:t> </w:t>
      </w:r>
      <w:r>
        <w:rPr>
          <w:color w:val="231F20"/>
          <w:w w:val="105"/>
        </w:rPr>
        <w:t>prima</w:t>
      </w:r>
      <w:r>
        <w:rPr>
          <w:color w:val="231F20"/>
          <w:spacing w:val="-12"/>
          <w:w w:val="105"/>
        </w:rPr>
        <w:t> </w:t>
      </w:r>
      <w:r>
        <w:rPr>
          <w:color w:val="231F20"/>
          <w:w w:val="105"/>
        </w:rPr>
        <w:t>de</w:t>
      </w:r>
      <w:r>
        <w:rPr>
          <w:color w:val="231F20"/>
          <w:spacing w:val="-12"/>
          <w:w w:val="105"/>
        </w:rPr>
        <w:t> </w:t>
      </w:r>
      <w:r>
        <w:rPr>
          <w:color w:val="231F20"/>
          <w:w w:val="105"/>
        </w:rPr>
        <w:t>riesgo</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mercado</w:t>
      </w:r>
      <w:r>
        <w:rPr>
          <w:color w:val="231F20"/>
          <w:spacing w:val="-12"/>
          <w:w w:val="105"/>
        </w:rPr>
        <w:t> </w:t>
      </w:r>
      <w:r>
        <w:rPr>
          <w:color w:val="231F20"/>
          <w:w w:val="105"/>
        </w:rPr>
        <w:t>de</w:t>
      </w:r>
      <w:r>
        <w:rPr>
          <w:color w:val="231F20"/>
          <w:spacing w:val="-12"/>
          <w:w w:val="105"/>
        </w:rPr>
        <w:t> </w:t>
      </w:r>
      <w:r>
        <w:rPr>
          <w:color w:val="231F20"/>
          <w:w w:val="105"/>
        </w:rPr>
        <w:t>divisas.</w:t>
      </w:r>
    </w:p>
    <w:p>
      <w:pPr>
        <w:pStyle w:val="BodyText"/>
        <w:spacing w:line="259" w:lineRule="auto"/>
        <w:ind w:left="104" w:right="114" w:firstLine="566"/>
        <w:jc w:val="both"/>
      </w:pPr>
      <w:r>
        <w:rPr>
          <w:color w:val="231F20"/>
          <w:w w:val="105"/>
        </w:rPr>
        <w:t>Lin </w:t>
      </w:r>
      <w:r>
        <w:rPr>
          <w:i/>
          <w:color w:val="231F20"/>
          <w:w w:val="105"/>
        </w:rPr>
        <w:t>et al</w:t>
      </w:r>
      <w:r>
        <w:rPr>
          <w:color w:val="231F20"/>
          <w:w w:val="105"/>
        </w:rPr>
        <w:t>. (2001) estudiaron de manera empírica cómo el modelo de Heston (1993) reduce los errores en los precios de las opciones del índice</w:t>
      </w:r>
      <w:r>
        <w:rPr>
          <w:color w:val="231F20"/>
          <w:spacing w:val="-31"/>
          <w:w w:val="105"/>
        </w:rPr>
        <w:t> </w:t>
      </w:r>
      <w:r>
        <w:rPr>
          <w:color w:val="231F20"/>
          <w:w w:val="105"/>
        </w:rPr>
        <w:t>FTSE</w:t>
      </w:r>
      <w:r>
        <w:rPr>
          <w:color w:val="231F20"/>
          <w:spacing w:val="-31"/>
          <w:w w:val="105"/>
        </w:rPr>
        <w:t> </w:t>
      </w:r>
      <w:r>
        <w:rPr>
          <w:color w:val="231F20"/>
          <w:w w:val="105"/>
        </w:rPr>
        <w:t>100.</w:t>
      </w:r>
      <w:r>
        <w:rPr>
          <w:color w:val="231F20"/>
          <w:spacing w:val="-35"/>
          <w:w w:val="105"/>
        </w:rPr>
        <w:t> </w:t>
      </w:r>
      <w:r>
        <w:rPr>
          <w:color w:val="231F20"/>
          <w:w w:val="105"/>
        </w:rPr>
        <w:t>Bakshi</w:t>
      </w:r>
      <w:r>
        <w:rPr>
          <w:color w:val="231F20"/>
          <w:spacing w:val="-31"/>
          <w:w w:val="105"/>
        </w:rPr>
        <w:t> </w:t>
      </w:r>
      <w:r>
        <w:rPr>
          <w:i/>
          <w:color w:val="231F20"/>
          <w:w w:val="105"/>
        </w:rPr>
        <w:t>et</w:t>
      </w:r>
      <w:r>
        <w:rPr>
          <w:i/>
          <w:color w:val="231F20"/>
          <w:spacing w:val="-31"/>
          <w:w w:val="105"/>
        </w:rPr>
        <w:t> </w:t>
      </w:r>
      <w:r>
        <w:rPr>
          <w:i/>
          <w:color w:val="231F20"/>
          <w:w w:val="105"/>
        </w:rPr>
        <w:t>al</w:t>
      </w:r>
      <w:r>
        <w:rPr>
          <w:color w:val="231F20"/>
          <w:w w:val="105"/>
        </w:rPr>
        <w:t>.</w:t>
      </w:r>
      <w:r>
        <w:rPr>
          <w:color w:val="231F20"/>
          <w:spacing w:val="-35"/>
          <w:w w:val="105"/>
        </w:rPr>
        <w:t> </w:t>
      </w:r>
      <w:r>
        <w:rPr>
          <w:color w:val="231F20"/>
          <w:w w:val="105"/>
        </w:rPr>
        <w:t>(1997)</w:t>
      </w:r>
      <w:r>
        <w:rPr>
          <w:color w:val="231F20"/>
          <w:spacing w:val="-31"/>
          <w:w w:val="105"/>
        </w:rPr>
        <w:t> </w:t>
      </w:r>
      <w:r>
        <w:rPr>
          <w:color w:val="231F20"/>
          <w:w w:val="105"/>
        </w:rPr>
        <w:t>han</w:t>
      </w:r>
      <w:r>
        <w:rPr>
          <w:color w:val="231F20"/>
          <w:spacing w:val="-31"/>
          <w:w w:val="105"/>
        </w:rPr>
        <w:t> </w:t>
      </w:r>
      <w:r>
        <w:rPr>
          <w:color w:val="231F20"/>
          <w:w w:val="105"/>
        </w:rPr>
        <w:t>evaluado</w:t>
      </w:r>
      <w:r>
        <w:rPr>
          <w:color w:val="231F20"/>
          <w:spacing w:val="-31"/>
          <w:w w:val="105"/>
        </w:rPr>
        <w:t> </w:t>
      </w:r>
      <w:r>
        <w:rPr>
          <w:color w:val="231F20"/>
          <w:w w:val="105"/>
        </w:rPr>
        <w:t>empíricamente</w:t>
      </w:r>
      <w:r>
        <w:rPr>
          <w:color w:val="231F20"/>
          <w:spacing w:val="-31"/>
          <w:w w:val="105"/>
        </w:rPr>
        <w:t> </w:t>
      </w:r>
      <w:r>
        <w:rPr>
          <w:color w:val="231F20"/>
          <w:w w:val="105"/>
        </w:rPr>
        <w:t>el</w:t>
      </w:r>
      <w:r>
        <w:rPr>
          <w:color w:val="231F20"/>
          <w:spacing w:val="-31"/>
          <w:w w:val="105"/>
        </w:rPr>
        <w:t> </w:t>
      </w:r>
      <w:r>
        <w:rPr>
          <w:color w:val="231F20"/>
          <w:w w:val="105"/>
        </w:rPr>
        <w:t>pre- cio de la opción sobre divisa bajo modelos de volatilidad constante y con</w:t>
      </w:r>
      <w:r>
        <w:rPr>
          <w:color w:val="231F20"/>
          <w:spacing w:val="-16"/>
          <w:w w:val="105"/>
        </w:rPr>
        <w:t> </w:t>
      </w:r>
      <w:r>
        <w:rPr>
          <w:color w:val="231F20"/>
          <w:w w:val="105"/>
        </w:rPr>
        <w:t>volatilidad</w:t>
      </w:r>
      <w:r>
        <w:rPr>
          <w:color w:val="231F20"/>
          <w:spacing w:val="-16"/>
          <w:w w:val="105"/>
        </w:rPr>
        <w:t> </w:t>
      </w:r>
      <w:r>
        <w:rPr>
          <w:color w:val="231F20"/>
          <w:w w:val="105"/>
        </w:rPr>
        <w:t>estocástica</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Bolsa</w:t>
      </w:r>
      <w:r>
        <w:rPr>
          <w:color w:val="231F20"/>
          <w:spacing w:val="-16"/>
          <w:w w:val="105"/>
        </w:rPr>
        <w:t> </w:t>
      </w:r>
      <w:r>
        <w:rPr>
          <w:color w:val="231F20"/>
          <w:w w:val="105"/>
        </w:rPr>
        <w:t>de</w:t>
      </w:r>
      <w:r>
        <w:rPr>
          <w:color w:val="231F20"/>
          <w:spacing w:val="-16"/>
          <w:w w:val="105"/>
        </w:rPr>
        <w:t> </w:t>
      </w:r>
      <w:r>
        <w:rPr>
          <w:color w:val="231F20"/>
          <w:w w:val="105"/>
        </w:rPr>
        <w:t>Filadelfia</w:t>
      </w:r>
      <w:r>
        <w:rPr>
          <w:color w:val="231F20"/>
          <w:spacing w:val="-16"/>
          <w:w w:val="105"/>
        </w:rPr>
        <w:t> </w:t>
      </w:r>
      <w:r>
        <w:rPr>
          <w:color w:val="231F20"/>
          <w:w w:val="105"/>
        </w:rPr>
        <w:t>(PHLX),</w:t>
      </w:r>
      <w:r>
        <w:rPr>
          <w:color w:val="231F20"/>
          <w:spacing w:val="-20"/>
          <w:w w:val="105"/>
        </w:rPr>
        <w:t> </w:t>
      </w:r>
      <w:r>
        <w:rPr>
          <w:color w:val="231F20"/>
          <w:w w:val="105"/>
        </w:rPr>
        <w:t>incluidas</w:t>
      </w:r>
      <w:r>
        <w:rPr>
          <w:color w:val="231F20"/>
          <w:spacing w:val="-16"/>
          <w:w w:val="105"/>
        </w:rPr>
        <w:t> </w:t>
      </w:r>
      <w:r>
        <w:rPr>
          <w:color w:val="231F20"/>
          <w:w w:val="105"/>
        </w:rPr>
        <w:t>las opciones</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libra</w:t>
      </w:r>
      <w:r>
        <w:rPr>
          <w:color w:val="231F20"/>
          <w:spacing w:val="-31"/>
          <w:w w:val="105"/>
        </w:rPr>
        <w:t> </w:t>
      </w:r>
      <w:r>
        <w:rPr>
          <w:color w:val="231F20"/>
          <w:w w:val="105"/>
        </w:rPr>
        <w:t>esterlina,</w:t>
      </w:r>
      <w:r>
        <w:rPr>
          <w:color w:val="231F20"/>
          <w:spacing w:val="-35"/>
          <w:w w:val="105"/>
        </w:rPr>
        <w:t> </w:t>
      </w:r>
      <w:r>
        <w:rPr>
          <w:color w:val="231F20"/>
          <w:w w:val="105"/>
        </w:rPr>
        <w:t>marcos</w:t>
      </w:r>
      <w:r>
        <w:rPr>
          <w:color w:val="231F20"/>
          <w:spacing w:val="-31"/>
          <w:w w:val="105"/>
        </w:rPr>
        <w:t> </w:t>
      </w:r>
      <w:r>
        <w:rPr>
          <w:color w:val="231F20"/>
          <w:w w:val="105"/>
        </w:rPr>
        <w:t>alemanes,</w:t>
      </w:r>
      <w:r>
        <w:rPr>
          <w:color w:val="231F20"/>
          <w:spacing w:val="-35"/>
          <w:w w:val="105"/>
        </w:rPr>
        <w:t> </w:t>
      </w:r>
      <w:r>
        <w:rPr>
          <w:color w:val="231F20"/>
          <w:w w:val="105"/>
        </w:rPr>
        <w:t>el</w:t>
      </w:r>
      <w:r>
        <w:rPr>
          <w:color w:val="231F20"/>
          <w:spacing w:val="-31"/>
          <w:w w:val="105"/>
        </w:rPr>
        <w:t> </w:t>
      </w:r>
      <w:r>
        <w:rPr>
          <w:color w:val="231F20"/>
          <w:w w:val="105"/>
        </w:rPr>
        <w:t>yen</w:t>
      </w:r>
      <w:r>
        <w:rPr>
          <w:color w:val="231F20"/>
          <w:spacing w:val="-31"/>
          <w:w w:val="105"/>
        </w:rPr>
        <w:t> </w:t>
      </w:r>
      <w:r>
        <w:rPr>
          <w:color w:val="231F20"/>
          <w:w w:val="105"/>
        </w:rPr>
        <w:t>japonés</w:t>
      </w:r>
      <w:r>
        <w:rPr>
          <w:color w:val="231F20"/>
          <w:spacing w:val="-31"/>
          <w:w w:val="105"/>
        </w:rPr>
        <w:t> </w:t>
      </w:r>
      <w:r>
        <w:rPr>
          <w:color w:val="231F20"/>
          <w:w w:val="105"/>
        </w:rPr>
        <w:t>y</w:t>
      </w:r>
      <w:r>
        <w:rPr>
          <w:color w:val="231F20"/>
          <w:spacing w:val="-31"/>
          <w:w w:val="105"/>
        </w:rPr>
        <w:t> </w:t>
      </w:r>
      <w:r>
        <w:rPr>
          <w:color w:val="231F20"/>
          <w:w w:val="105"/>
        </w:rPr>
        <w:t>el</w:t>
      </w:r>
      <w:r>
        <w:rPr>
          <w:color w:val="231F20"/>
          <w:spacing w:val="-31"/>
          <w:w w:val="105"/>
        </w:rPr>
        <w:t> </w:t>
      </w:r>
      <w:r>
        <w:rPr>
          <w:color w:val="231F20"/>
          <w:w w:val="105"/>
        </w:rPr>
        <w:t>franco suizo durante el periodo de 1994 a 2001. </w:t>
      </w:r>
      <w:r>
        <w:rPr>
          <w:color w:val="231F20"/>
          <w:spacing w:val="-3"/>
          <w:w w:val="105"/>
        </w:rPr>
        <w:t>También </w:t>
      </w:r>
      <w:r>
        <w:rPr>
          <w:color w:val="231F20"/>
          <w:w w:val="105"/>
        </w:rPr>
        <w:t>extraen los</w:t>
      </w:r>
      <w:r>
        <w:rPr>
          <w:color w:val="231F20"/>
          <w:spacing w:val="-15"/>
          <w:w w:val="105"/>
        </w:rPr>
        <w:t> </w:t>
      </w:r>
      <w:r>
        <w:rPr>
          <w:color w:val="231F20"/>
          <w:w w:val="105"/>
        </w:rPr>
        <w:t>paráme- tros</w:t>
      </w:r>
      <w:r>
        <w:rPr>
          <w:color w:val="231F20"/>
          <w:spacing w:val="-11"/>
          <w:w w:val="105"/>
        </w:rPr>
        <w:t> </w:t>
      </w:r>
      <w:r>
        <w:rPr>
          <w:color w:val="231F20"/>
          <w:w w:val="105"/>
        </w:rPr>
        <w:t>implícitos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modelo</w:t>
      </w:r>
      <w:r>
        <w:rPr>
          <w:color w:val="231F20"/>
          <w:spacing w:val="-11"/>
          <w:w w:val="105"/>
        </w:rPr>
        <w:t> </w:t>
      </w:r>
      <w:r>
        <w:rPr>
          <w:color w:val="231F20"/>
          <w:w w:val="105"/>
        </w:rPr>
        <w:t>de</w:t>
      </w:r>
      <w:r>
        <w:rPr>
          <w:color w:val="231F20"/>
          <w:spacing w:val="-11"/>
          <w:w w:val="105"/>
        </w:rPr>
        <w:t> </w:t>
      </w:r>
      <w:r>
        <w:rPr>
          <w:color w:val="231F20"/>
          <w:w w:val="105"/>
        </w:rPr>
        <w:t>Heston</w:t>
      </w:r>
      <w:r>
        <w:rPr>
          <w:color w:val="231F20"/>
          <w:spacing w:val="-11"/>
          <w:w w:val="105"/>
        </w:rPr>
        <w:t> </w:t>
      </w:r>
      <w:r>
        <w:rPr>
          <w:color w:val="231F20"/>
          <w:w w:val="105"/>
        </w:rPr>
        <w:t>(1993)</w:t>
      </w:r>
      <w:r>
        <w:rPr>
          <w:color w:val="231F20"/>
          <w:spacing w:val="-11"/>
          <w:w w:val="105"/>
        </w:rPr>
        <w:t> </w:t>
      </w:r>
      <w:r>
        <w:rPr>
          <w:color w:val="231F20"/>
          <w:w w:val="105"/>
        </w:rPr>
        <w:t>al</w:t>
      </w:r>
      <w:r>
        <w:rPr>
          <w:color w:val="231F20"/>
          <w:spacing w:val="-11"/>
          <w:w w:val="105"/>
        </w:rPr>
        <w:t> </w:t>
      </w:r>
      <w:r>
        <w:rPr>
          <w:color w:val="231F20"/>
          <w:w w:val="105"/>
        </w:rPr>
        <w:t>permitir</w:t>
      </w:r>
      <w:r>
        <w:rPr>
          <w:color w:val="231F20"/>
          <w:spacing w:val="-11"/>
          <w:w w:val="105"/>
        </w:rPr>
        <w:t> </w:t>
      </w:r>
      <w:r>
        <w:rPr>
          <w:color w:val="231F20"/>
          <w:w w:val="105"/>
        </w:rPr>
        <w:t>una</w:t>
      </w:r>
      <w:r>
        <w:rPr>
          <w:color w:val="231F20"/>
          <w:spacing w:val="-11"/>
          <w:w w:val="105"/>
        </w:rPr>
        <w:t> </w:t>
      </w:r>
      <w:r>
        <w:rPr>
          <w:color w:val="231F20"/>
          <w:w w:val="105"/>
        </w:rPr>
        <w:t>correlación cero</w:t>
      </w:r>
      <w:r>
        <w:rPr>
          <w:color w:val="231F20"/>
          <w:spacing w:val="-11"/>
          <w:w w:val="105"/>
        </w:rPr>
        <w:t> </w:t>
      </w:r>
      <w:r>
        <w:rPr>
          <w:color w:val="231F20"/>
          <w:w w:val="105"/>
        </w:rPr>
        <w:t>entre</w:t>
      </w:r>
      <w:r>
        <w:rPr>
          <w:color w:val="231F20"/>
          <w:spacing w:val="-11"/>
          <w:w w:val="105"/>
        </w:rPr>
        <w:t> </w:t>
      </w:r>
      <w:r>
        <w:rPr>
          <w:color w:val="231F20"/>
          <w:w w:val="105"/>
        </w:rPr>
        <w:t>la</w:t>
      </w:r>
      <w:r>
        <w:rPr>
          <w:color w:val="231F20"/>
          <w:spacing w:val="-11"/>
          <w:w w:val="105"/>
        </w:rPr>
        <w:t> </w:t>
      </w:r>
      <w:r>
        <w:rPr>
          <w:color w:val="231F20"/>
          <w:w w:val="105"/>
        </w:rPr>
        <w:t>volatilidad</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rendimiento</w:t>
      </w:r>
      <w:r>
        <w:rPr>
          <w:color w:val="231F20"/>
          <w:spacing w:val="-11"/>
          <w:w w:val="105"/>
        </w:rPr>
        <w:t> </w:t>
      </w:r>
      <w:r>
        <w:rPr>
          <w:color w:val="231F20"/>
          <w:w w:val="105"/>
        </w:rPr>
        <w:t>del</w:t>
      </w:r>
      <w:r>
        <w:rPr>
          <w:color w:val="231F20"/>
          <w:spacing w:val="-11"/>
          <w:w w:val="105"/>
        </w:rPr>
        <w:t> </w:t>
      </w:r>
      <w:r>
        <w:rPr>
          <w:color w:val="231F20"/>
          <w:w w:val="105"/>
        </w:rPr>
        <w:t>activo</w:t>
      </w:r>
      <w:r>
        <w:rPr>
          <w:color w:val="231F20"/>
          <w:spacing w:val="-11"/>
          <w:w w:val="105"/>
        </w:rPr>
        <w:t> </w:t>
      </w:r>
      <w:r>
        <w:rPr>
          <w:color w:val="231F20"/>
          <w:w w:val="105"/>
        </w:rPr>
        <w:t>subyacente.</w:t>
      </w:r>
    </w:p>
    <w:p>
      <w:pPr>
        <w:pStyle w:val="BodyText"/>
        <w:spacing w:line="259" w:lineRule="auto"/>
        <w:ind w:left="104" w:right="114" w:firstLine="567"/>
        <w:jc w:val="both"/>
      </w:pPr>
      <w:r>
        <w:rPr>
          <w:color w:val="231F20"/>
          <w:w w:val="105"/>
        </w:rPr>
        <w:t>Dado lo anterior, la hipótesis a probar en este trabajo es que el precio de la opción sobre el tipo de cambio peso mexicano-dólar esta- dounidense, que considera aquellos efectos inesperados del mercado en la volatilidad estocástica, otorga un precio más justo.</w:t>
      </w:r>
    </w:p>
    <w:p>
      <w:pPr>
        <w:pStyle w:val="BodyText"/>
        <w:rPr>
          <w:sz w:val="20"/>
        </w:rPr>
      </w:pPr>
    </w:p>
    <w:p>
      <w:pPr>
        <w:pStyle w:val="BodyText"/>
        <w:spacing w:before="7"/>
        <w:rPr>
          <w:sz w:val="18"/>
        </w:rPr>
      </w:pPr>
    </w:p>
    <w:p>
      <w:pPr>
        <w:pStyle w:val="Heading2"/>
        <w:ind w:left="103"/>
      </w:pPr>
      <w:r>
        <w:rPr>
          <w:color w:val="231F20"/>
        </w:rPr>
        <w:t>Modelos de precios de opciones sobre tipo de cambio</w:t>
      </w:r>
    </w:p>
    <w:p>
      <w:pPr>
        <w:pStyle w:val="BodyText"/>
        <w:rPr>
          <w:b/>
          <w:sz w:val="22"/>
        </w:rPr>
      </w:pPr>
    </w:p>
    <w:p>
      <w:pPr>
        <w:pStyle w:val="BodyText"/>
        <w:spacing w:line="259" w:lineRule="auto" w:before="160"/>
        <w:ind w:left="103" w:right="114"/>
        <w:jc w:val="both"/>
      </w:pPr>
      <w:r>
        <w:rPr>
          <w:color w:val="231F20"/>
          <w:w w:val="105"/>
        </w:rPr>
        <w:t>Black</w:t>
      </w:r>
      <w:r>
        <w:rPr>
          <w:color w:val="231F20"/>
          <w:spacing w:val="-25"/>
          <w:w w:val="105"/>
        </w:rPr>
        <w:t> </w:t>
      </w:r>
      <w:r>
        <w:rPr>
          <w:color w:val="231F20"/>
          <w:w w:val="105"/>
        </w:rPr>
        <w:t>y</w:t>
      </w:r>
      <w:r>
        <w:rPr>
          <w:color w:val="231F20"/>
          <w:spacing w:val="-25"/>
          <w:w w:val="105"/>
        </w:rPr>
        <w:t> </w:t>
      </w:r>
      <w:r>
        <w:rPr>
          <w:color w:val="231F20"/>
          <w:w w:val="105"/>
        </w:rPr>
        <w:t>Scholes</w:t>
      </w:r>
      <w:r>
        <w:rPr>
          <w:color w:val="231F20"/>
          <w:spacing w:val="-25"/>
          <w:w w:val="105"/>
        </w:rPr>
        <w:t> </w:t>
      </w:r>
      <w:r>
        <w:rPr>
          <w:color w:val="231F20"/>
          <w:w w:val="105"/>
        </w:rPr>
        <w:t>(1973)</w:t>
      </w:r>
      <w:r>
        <w:rPr>
          <w:color w:val="231F20"/>
          <w:spacing w:val="-25"/>
          <w:w w:val="105"/>
        </w:rPr>
        <w:t> </w:t>
      </w:r>
      <w:r>
        <w:rPr>
          <w:color w:val="231F20"/>
          <w:w w:val="105"/>
        </w:rPr>
        <w:t>obtienen</w:t>
      </w:r>
      <w:r>
        <w:rPr>
          <w:color w:val="231F20"/>
          <w:spacing w:val="-25"/>
          <w:w w:val="105"/>
        </w:rPr>
        <w:t> </w:t>
      </w:r>
      <w:r>
        <w:rPr>
          <w:color w:val="231F20"/>
          <w:w w:val="105"/>
        </w:rPr>
        <w:t>una</w:t>
      </w:r>
      <w:r>
        <w:rPr>
          <w:color w:val="231F20"/>
          <w:spacing w:val="-25"/>
          <w:w w:val="105"/>
        </w:rPr>
        <w:t> </w:t>
      </w:r>
      <w:r>
        <w:rPr>
          <w:color w:val="231F20"/>
          <w:w w:val="105"/>
        </w:rPr>
        <w:t>ecuación</w:t>
      </w:r>
      <w:r>
        <w:rPr>
          <w:color w:val="231F20"/>
          <w:spacing w:val="-25"/>
          <w:w w:val="105"/>
        </w:rPr>
        <w:t> </w:t>
      </w:r>
      <w:r>
        <w:rPr>
          <w:color w:val="231F20"/>
          <w:w w:val="105"/>
        </w:rPr>
        <w:t>diferencial</w:t>
      </w:r>
      <w:r>
        <w:rPr>
          <w:color w:val="231F20"/>
          <w:spacing w:val="-25"/>
          <w:w w:val="105"/>
        </w:rPr>
        <w:t> </w:t>
      </w:r>
      <w:r>
        <w:rPr>
          <w:color w:val="231F20"/>
          <w:w w:val="105"/>
        </w:rPr>
        <w:t>parcial</w:t>
      </w:r>
      <w:r>
        <w:rPr>
          <w:color w:val="231F20"/>
          <w:spacing w:val="-25"/>
          <w:w w:val="105"/>
        </w:rPr>
        <w:t> </w:t>
      </w:r>
      <w:r>
        <w:rPr>
          <w:color w:val="231F20"/>
          <w:w w:val="105"/>
        </w:rPr>
        <w:t>parabó- lica</w:t>
      </w:r>
      <w:r>
        <w:rPr>
          <w:color w:val="231F20"/>
          <w:spacing w:val="-7"/>
          <w:w w:val="105"/>
        </w:rPr>
        <w:t> </w:t>
      </w:r>
      <w:r>
        <w:rPr>
          <w:color w:val="231F20"/>
          <w:w w:val="105"/>
        </w:rPr>
        <w:t>lineal</w:t>
      </w:r>
      <w:r>
        <w:rPr>
          <w:color w:val="231F20"/>
          <w:spacing w:val="-7"/>
          <w:w w:val="105"/>
        </w:rPr>
        <w:t> </w:t>
      </w:r>
      <w:r>
        <w:rPr>
          <w:color w:val="231F20"/>
          <w:w w:val="105"/>
        </w:rPr>
        <w:t>cuya</w:t>
      </w:r>
      <w:r>
        <w:rPr>
          <w:color w:val="231F20"/>
          <w:spacing w:val="-7"/>
          <w:w w:val="105"/>
        </w:rPr>
        <w:t> </w:t>
      </w:r>
      <w:r>
        <w:rPr>
          <w:color w:val="231F20"/>
          <w:w w:val="105"/>
        </w:rPr>
        <w:t>solución</w:t>
      </w:r>
      <w:r>
        <w:rPr>
          <w:color w:val="231F20"/>
          <w:spacing w:val="-7"/>
          <w:w w:val="105"/>
        </w:rPr>
        <w:t> </w:t>
      </w:r>
      <w:r>
        <w:rPr>
          <w:color w:val="231F20"/>
          <w:w w:val="105"/>
        </w:rPr>
        <w:t>es</w:t>
      </w:r>
      <w:r>
        <w:rPr>
          <w:color w:val="231F20"/>
          <w:spacing w:val="-7"/>
          <w:w w:val="105"/>
        </w:rPr>
        <w:t> </w:t>
      </w:r>
      <w:r>
        <w:rPr>
          <w:color w:val="231F20"/>
          <w:w w:val="105"/>
        </w:rPr>
        <w:t>el</w:t>
      </w:r>
      <w:r>
        <w:rPr>
          <w:color w:val="231F20"/>
          <w:spacing w:val="-7"/>
          <w:w w:val="105"/>
        </w:rPr>
        <w:t> </w:t>
      </w:r>
      <w:r>
        <w:rPr>
          <w:color w:val="231F20"/>
          <w:w w:val="105"/>
        </w:rPr>
        <w:t>precio</w:t>
      </w:r>
      <w:r>
        <w:rPr>
          <w:color w:val="231F20"/>
          <w:spacing w:val="-7"/>
          <w:w w:val="105"/>
        </w:rPr>
        <w:t> </w:t>
      </w:r>
      <w:r>
        <w:rPr>
          <w:color w:val="231F20"/>
          <w:w w:val="105"/>
        </w:rPr>
        <w:t>de</w:t>
      </w:r>
      <w:r>
        <w:rPr>
          <w:color w:val="231F20"/>
          <w:spacing w:val="-7"/>
          <w:w w:val="105"/>
        </w:rPr>
        <w:t> </w:t>
      </w:r>
      <w:r>
        <w:rPr>
          <w:color w:val="231F20"/>
          <w:w w:val="105"/>
        </w:rPr>
        <w:t>una</w:t>
      </w:r>
      <w:r>
        <w:rPr>
          <w:color w:val="231F20"/>
          <w:spacing w:val="-7"/>
          <w:w w:val="105"/>
        </w:rPr>
        <w:t> </w:t>
      </w:r>
      <w:r>
        <w:rPr>
          <w:color w:val="231F20"/>
          <w:w w:val="105"/>
        </w:rPr>
        <w:t>opción</w:t>
      </w:r>
      <w:r>
        <w:rPr>
          <w:color w:val="231F20"/>
          <w:spacing w:val="-7"/>
          <w:w w:val="105"/>
        </w:rPr>
        <w:t> </w:t>
      </w:r>
      <w:r>
        <w:rPr>
          <w:color w:val="231F20"/>
          <w:w w:val="105"/>
        </w:rPr>
        <w:t>europea.</w:t>
      </w:r>
      <w:r>
        <w:rPr>
          <w:color w:val="231F20"/>
          <w:spacing w:val="-12"/>
          <w:w w:val="105"/>
        </w:rPr>
        <w:t> </w:t>
      </w:r>
      <w:r>
        <w:rPr>
          <w:color w:val="231F20"/>
          <w:w w:val="105"/>
        </w:rPr>
        <w:t>Esta</w:t>
      </w:r>
      <w:r>
        <w:rPr>
          <w:color w:val="231F20"/>
          <w:spacing w:val="-7"/>
          <w:w w:val="105"/>
        </w:rPr>
        <w:t> </w:t>
      </w:r>
      <w:r>
        <w:rPr>
          <w:color w:val="231F20"/>
          <w:w w:val="105"/>
        </w:rPr>
        <w:t>ecua- ción</w:t>
      </w:r>
      <w:r>
        <w:rPr>
          <w:color w:val="231F20"/>
          <w:spacing w:val="-18"/>
          <w:w w:val="105"/>
        </w:rPr>
        <w:t> </w:t>
      </w:r>
      <w:r>
        <w:rPr>
          <w:color w:val="231F20"/>
          <w:w w:val="105"/>
        </w:rPr>
        <w:t>es</w:t>
      </w:r>
      <w:r>
        <w:rPr>
          <w:color w:val="231F20"/>
          <w:spacing w:val="-18"/>
          <w:w w:val="105"/>
        </w:rPr>
        <w:t> </w:t>
      </w:r>
      <w:r>
        <w:rPr>
          <w:color w:val="231F20"/>
          <w:w w:val="105"/>
        </w:rPr>
        <w:t>muy</w:t>
      </w:r>
      <w:r>
        <w:rPr>
          <w:color w:val="231F20"/>
          <w:spacing w:val="-18"/>
          <w:w w:val="105"/>
        </w:rPr>
        <w:t> </w:t>
      </w:r>
      <w:r>
        <w:rPr>
          <w:color w:val="231F20"/>
          <w:w w:val="105"/>
        </w:rPr>
        <w:t>popular</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sector</w:t>
      </w:r>
      <w:r>
        <w:rPr>
          <w:color w:val="231F20"/>
          <w:spacing w:val="-18"/>
          <w:w w:val="105"/>
        </w:rPr>
        <w:t> </w:t>
      </w:r>
      <w:r>
        <w:rPr>
          <w:color w:val="231F20"/>
          <w:w w:val="105"/>
        </w:rPr>
        <w:t>financiero</w:t>
      </w:r>
      <w:r>
        <w:rPr>
          <w:color w:val="231F20"/>
          <w:spacing w:val="-18"/>
          <w:w w:val="105"/>
        </w:rPr>
        <w:t> </w:t>
      </w:r>
      <w:r>
        <w:rPr>
          <w:color w:val="231F20"/>
          <w:w w:val="105"/>
        </w:rPr>
        <w:t>pues</w:t>
      </w:r>
      <w:r>
        <w:rPr>
          <w:color w:val="231F20"/>
          <w:spacing w:val="-18"/>
          <w:w w:val="105"/>
        </w:rPr>
        <w:t> </w:t>
      </w:r>
      <w:r>
        <w:rPr>
          <w:color w:val="231F20"/>
          <w:w w:val="105"/>
        </w:rPr>
        <w:t>representa</w:t>
      </w:r>
      <w:r>
        <w:rPr>
          <w:color w:val="231F20"/>
          <w:spacing w:val="-18"/>
          <w:w w:val="105"/>
        </w:rPr>
        <w:t> </w:t>
      </w:r>
      <w:r>
        <w:rPr>
          <w:color w:val="231F20"/>
          <w:w w:val="105"/>
        </w:rPr>
        <w:t>la</w:t>
      </w:r>
      <w:r>
        <w:rPr>
          <w:color w:val="231F20"/>
          <w:spacing w:val="-18"/>
          <w:w w:val="105"/>
        </w:rPr>
        <w:t> </w:t>
      </w:r>
      <w:r>
        <w:rPr>
          <w:color w:val="231F20"/>
          <w:w w:val="105"/>
        </w:rPr>
        <w:t>base</w:t>
      </w:r>
      <w:r>
        <w:rPr>
          <w:color w:val="231F20"/>
          <w:spacing w:val="-18"/>
          <w:w w:val="105"/>
        </w:rPr>
        <w:t> </w:t>
      </w:r>
      <w:r>
        <w:rPr>
          <w:color w:val="231F20"/>
          <w:w w:val="105"/>
        </w:rPr>
        <w:t>para valuar</w:t>
      </w:r>
      <w:r>
        <w:rPr>
          <w:color w:val="231F20"/>
          <w:spacing w:val="-33"/>
          <w:w w:val="105"/>
        </w:rPr>
        <w:t> </w:t>
      </w:r>
      <w:r>
        <w:rPr>
          <w:color w:val="231F20"/>
          <w:w w:val="105"/>
        </w:rPr>
        <w:t>diversos</w:t>
      </w:r>
      <w:r>
        <w:rPr>
          <w:color w:val="231F20"/>
          <w:spacing w:val="-33"/>
          <w:w w:val="105"/>
        </w:rPr>
        <w:t> </w:t>
      </w:r>
      <w:r>
        <w:rPr>
          <w:color w:val="231F20"/>
          <w:w w:val="105"/>
        </w:rPr>
        <w:t>productos</w:t>
      </w:r>
      <w:r>
        <w:rPr>
          <w:color w:val="231F20"/>
          <w:spacing w:val="-33"/>
          <w:w w:val="105"/>
        </w:rPr>
        <w:t> </w:t>
      </w:r>
      <w:r>
        <w:rPr>
          <w:color w:val="231F20"/>
          <w:w w:val="105"/>
        </w:rPr>
        <w:t>derivados.</w:t>
      </w:r>
      <w:r>
        <w:rPr>
          <w:color w:val="231F20"/>
          <w:spacing w:val="-37"/>
          <w:w w:val="105"/>
        </w:rPr>
        <w:t> </w:t>
      </w:r>
      <w:r>
        <w:rPr>
          <w:color w:val="231F20"/>
          <w:spacing w:val="-4"/>
          <w:w w:val="105"/>
        </w:rPr>
        <w:t>Para</w:t>
      </w:r>
      <w:r>
        <w:rPr>
          <w:color w:val="231F20"/>
          <w:spacing w:val="-33"/>
          <w:w w:val="105"/>
        </w:rPr>
        <w:t> </w:t>
      </w:r>
      <w:r>
        <w:rPr>
          <w:color w:val="231F20"/>
          <w:w w:val="105"/>
        </w:rPr>
        <w:t>diferentes</w:t>
      </w:r>
      <w:r>
        <w:rPr>
          <w:color w:val="231F20"/>
          <w:spacing w:val="-33"/>
          <w:w w:val="105"/>
        </w:rPr>
        <w:t> </w:t>
      </w:r>
      <w:r>
        <w:rPr>
          <w:color w:val="231F20"/>
          <w:w w:val="105"/>
        </w:rPr>
        <w:t>condiciones</w:t>
      </w:r>
      <w:r>
        <w:rPr>
          <w:color w:val="231F20"/>
          <w:spacing w:val="-33"/>
          <w:w w:val="105"/>
        </w:rPr>
        <w:t> </w:t>
      </w:r>
      <w:r>
        <w:rPr>
          <w:color w:val="231F20"/>
          <w:w w:val="105"/>
        </w:rPr>
        <w:t>de</w:t>
      </w:r>
      <w:r>
        <w:rPr>
          <w:color w:val="231F20"/>
          <w:spacing w:val="-33"/>
          <w:w w:val="105"/>
        </w:rPr>
        <w:t> </w:t>
      </w:r>
      <w:r>
        <w:rPr>
          <w:color w:val="231F20"/>
          <w:w w:val="105"/>
        </w:rPr>
        <w:t>fron- tera,</w:t>
      </w:r>
      <w:r>
        <w:rPr>
          <w:color w:val="231F20"/>
          <w:spacing w:val="-34"/>
          <w:w w:val="105"/>
        </w:rPr>
        <w:t> </w:t>
      </w:r>
      <w:r>
        <w:rPr>
          <w:color w:val="231F20"/>
          <w:w w:val="105"/>
        </w:rPr>
        <w:t>sus</w:t>
      </w:r>
      <w:r>
        <w:rPr>
          <w:color w:val="231F20"/>
          <w:spacing w:val="-30"/>
          <w:w w:val="105"/>
        </w:rPr>
        <w:t> </w:t>
      </w:r>
      <w:r>
        <w:rPr>
          <w:color w:val="231F20"/>
          <w:w w:val="105"/>
        </w:rPr>
        <w:t>soluciones</w:t>
      </w:r>
      <w:r>
        <w:rPr>
          <w:color w:val="231F20"/>
          <w:spacing w:val="-30"/>
          <w:w w:val="105"/>
        </w:rPr>
        <w:t> </w:t>
      </w:r>
      <w:r>
        <w:rPr>
          <w:color w:val="231F20"/>
          <w:w w:val="105"/>
        </w:rPr>
        <w:t>representan</w:t>
      </w:r>
      <w:r>
        <w:rPr>
          <w:color w:val="231F20"/>
          <w:spacing w:val="-30"/>
          <w:w w:val="105"/>
        </w:rPr>
        <w:t> </w:t>
      </w:r>
      <w:r>
        <w:rPr>
          <w:color w:val="231F20"/>
          <w:w w:val="105"/>
        </w:rPr>
        <w:t>los</w:t>
      </w:r>
      <w:r>
        <w:rPr>
          <w:color w:val="231F20"/>
          <w:spacing w:val="-30"/>
          <w:w w:val="105"/>
        </w:rPr>
        <w:t> </w:t>
      </w:r>
      <w:r>
        <w:rPr>
          <w:color w:val="231F20"/>
          <w:w w:val="105"/>
        </w:rPr>
        <w:t>precios</w:t>
      </w:r>
      <w:r>
        <w:rPr>
          <w:color w:val="231F20"/>
          <w:spacing w:val="-30"/>
          <w:w w:val="105"/>
        </w:rPr>
        <w:t> </w:t>
      </w:r>
      <w:r>
        <w:rPr>
          <w:color w:val="231F20"/>
          <w:w w:val="105"/>
        </w:rPr>
        <w:t>de</w:t>
      </w:r>
      <w:r>
        <w:rPr>
          <w:color w:val="231F20"/>
          <w:spacing w:val="-30"/>
          <w:w w:val="105"/>
        </w:rPr>
        <w:t> </w:t>
      </w:r>
      <w:r>
        <w:rPr>
          <w:color w:val="231F20"/>
          <w:w w:val="105"/>
        </w:rPr>
        <w:t>derivados</w:t>
      </w:r>
      <w:r>
        <w:rPr>
          <w:color w:val="231F20"/>
          <w:spacing w:val="-30"/>
          <w:w w:val="105"/>
        </w:rPr>
        <w:t> </w:t>
      </w:r>
      <w:r>
        <w:rPr>
          <w:color w:val="231F20"/>
          <w:w w:val="105"/>
        </w:rPr>
        <w:t>financieros</w:t>
      </w:r>
      <w:r>
        <w:rPr>
          <w:color w:val="231F20"/>
          <w:spacing w:val="-30"/>
          <w:w w:val="105"/>
        </w:rPr>
        <w:t> </w:t>
      </w:r>
      <w:r>
        <w:rPr>
          <w:color w:val="231F20"/>
          <w:w w:val="105"/>
        </w:rPr>
        <w:t>que se</w:t>
      </w:r>
      <w:r>
        <w:rPr>
          <w:color w:val="231F20"/>
          <w:spacing w:val="-12"/>
          <w:w w:val="105"/>
        </w:rPr>
        <w:t> </w:t>
      </w:r>
      <w:r>
        <w:rPr>
          <w:color w:val="231F20"/>
          <w:w w:val="105"/>
        </w:rPr>
        <w:t>encuentran</w:t>
      </w:r>
      <w:r>
        <w:rPr>
          <w:color w:val="231F20"/>
          <w:spacing w:val="-12"/>
          <w:w w:val="105"/>
        </w:rPr>
        <w:t> </w:t>
      </w:r>
      <w:r>
        <w:rPr>
          <w:color w:val="231F20"/>
          <w:w w:val="105"/>
        </w:rPr>
        <w:t>disponibles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mercado.</w:t>
      </w:r>
      <w:r>
        <w:rPr>
          <w:color w:val="231F20"/>
          <w:spacing w:val="-18"/>
          <w:w w:val="105"/>
        </w:rPr>
        <w:t> </w:t>
      </w:r>
      <w:r>
        <w:rPr>
          <w:color w:val="231F20"/>
          <w:w w:val="105"/>
        </w:rPr>
        <w:t>Suponen</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volatilidad</w:t>
      </w:r>
      <w:r>
        <w:rPr>
          <w:color w:val="231F20"/>
          <w:spacing w:val="-12"/>
          <w:w w:val="105"/>
        </w:rPr>
        <w:t> </w:t>
      </w:r>
      <w:r>
        <w:rPr>
          <w:color w:val="231F20"/>
          <w:w w:val="105"/>
        </w:rPr>
        <w:t>de los</w:t>
      </w:r>
      <w:r>
        <w:rPr>
          <w:color w:val="231F20"/>
          <w:spacing w:val="-24"/>
          <w:w w:val="105"/>
        </w:rPr>
        <w:t> </w:t>
      </w:r>
      <w:r>
        <w:rPr>
          <w:color w:val="231F20"/>
          <w:w w:val="105"/>
        </w:rPr>
        <w:t>rendimientos</w:t>
      </w:r>
      <w:r>
        <w:rPr>
          <w:color w:val="231F20"/>
          <w:spacing w:val="-24"/>
          <w:w w:val="105"/>
        </w:rPr>
        <w:t> </w:t>
      </w:r>
      <w:r>
        <w:rPr>
          <w:color w:val="231F20"/>
          <w:w w:val="105"/>
        </w:rPr>
        <w:t>es</w:t>
      </w:r>
      <w:r>
        <w:rPr>
          <w:color w:val="231F20"/>
          <w:spacing w:val="-24"/>
          <w:w w:val="105"/>
        </w:rPr>
        <w:t> </w:t>
      </w:r>
      <w:r>
        <w:rPr>
          <w:color w:val="231F20"/>
          <w:w w:val="105"/>
        </w:rPr>
        <w:t>constante</w:t>
      </w:r>
      <w:r>
        <w:rPr>
          <w:color w:val="231F20"/>
          <w:spacing w:val="-24"/>
          <w:w w:val="105"/>
        </w:rPr>
        <w:t> </w:t>
      </w:r>
      <w:r>
        <w:rPr>
          <w:color w:val="231F20"/>
          <w:w w:val="105"/>
        </w:rPr>
        <w:t>y</w:t>
      </w:r>
      <w:r>
        <w:rPr>
          <w:color w:val="231F20"/>
          <w:spacing w:val="-24"/>
          <w:w w:val="105"/>
        </w:rPr>
        <w:t> </w:t>
      </w:r>
      <w:r>
        <w:rPr>
          <w:color w:val="231F20"/>
          <w:w w:val="105"/>
        </w:rPr>
        <w:t>utilizan</w:t>
      </w:r>
      <w:r>
        <w:rPr>
          <w:color w:val="231F20"/>
          <w:spacing w:val="-24"/>
          <w:w w:val="105"/>
        </w:rPr>
        <w:t> </w:t>
      </w:r>
      <w:r>
        <w:rPr>
          <w:color w:val="231F20"/>
          <w:w w:val="105"/>
        </w:rPr>
        <w:t>el</w:t>
      </w:r>
      <w:r>
        <w:rPr>
          <w:color w:val="231F20"/>
          <w:spacing w:val="-24"/>
          <w:w w:val="105"/>
        </w:rPr>
        <w:t> </w:t>
      </w:r>
      <w:r>
        <w:rPr>
          <w:color w:val="231F20"/>
          <w:w w:val="105"/>
        </w:rPr>
        <w:t>concepto</w:t>
      </w:r>
      <w:r>
        <w:rPr>
          <w:color w:val="231F20"/>
          <w:spacing w:val="-24"/>
          <w:w w:val="105"/>
        </w:rPr>
        <w:t> </w:t>
      </w:r>
      <w:r>
        <w:rPr>
          <w:color w:val="231F20"/>
          <w:w w:val="105"/>
        </w:rPr>
        <w:t>de</w:t>
      </w:r>
      <w:r>
        <w:rPr>
          <w:color w:val="231F20"/>
          <w:spacing w:val="-24"/>
          <w:w w:val="105"/>
        </w:rPr>
        <w:t> </w:t>
      </w:r>
      <w:r>
        <w:rPr>
          <w:color w:val="231F20"/>
          <w:w w:val="105"/>
        </w:rPr>
        <w:t>cobertura</w:t>
      </w:r>
      <w:r>
        <w:rPr>
          <w:color w:val="231F20"/>
          <w:spacing w:val="-24"/>
          <w:w w:val="105"/>
        </w:rPr>
        <w:t> </w:t>
      </w:r>
      <w:r>
        <w:rPr>
          <w:color w:val="231F20"/>
          <w:w w:val="105"/>
        </w:rPr>
        <w:t>a</w:t>
      </w:r>
      <w:r>
        <w:rPr>
          <w:color w:val="231F20"/>
          <w:spacing w:val="-24"/>
          <w:w w:val="105"/>
        </w:rPr>
        <w:t> </w:t>
      </w:r>
      <w:r>
        <w:rPr>
          <w:color w:val="231F20"/>
          <w:w w:val="105"/>
        </w:rPr>
        <w:t>través</w:t>
      </w:r>
    </w:p>
    <w:p>
      <w:pPr>
        <w:pStyle w:val="BodyText"/>
        <w:rPr>
          <w:sz w:val="20"/>
        </w:rPr>
      </w:pPr>
    </w:p>
    <w:p>
      <w:pPr>
        <w:pStyle w:val="BodyText"/>
        <w:rPr>
          <w:sz w:val="20"/>
        </w:rPr>
      </w:pPr>
    </w:p>
    <w:p>
      <w:pPr>
        <w:pStyle w:val="BodyText"/>
        <w:rPr>
          <w:sz w:val="19"/>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66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208</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20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28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209</w:t>
      </w:r>
    </w:p>
    <w:p>
      <w:pPr>
        <w:spacing w:after="0"/>
        <w:jc w:val="left"/>
        <w:rPr>
          <w:sz w:val="20"/>
        </w:rPr>
        <w:sectPr>
          <w:type w:val="continuous"/>
          <w:pgSz w:w="9640" w:h="13890"/>
          <w:pgMar w:top="1300" w:bottom="280" w:left="1300" w:right="1200"/>
          <w:cols w:num="2" w:equalWidth="0">
            <w:col w:w="6261" w:space="40"/>
            <w:col w:w="839"/>
          </w:cols>
        </w:sectPr>
      </w:pPr>
    </w:p>
    <w:p>
      <w:pPr>
        <w:pStyle w:val="BodyText"/>
        <w:rPr>
          <w:sz w:val="20"/>
        </w:rPr>
      </w:pPr>
    </w:p>
    <w:p>
      <w:pPr>
        <w:pStyle w:val="BodyText"/>
        <w:rPr>
          <w:sz w:val="20"/>
        </w:rPr>
      </w:pPr>
    </w:p>
    <w:p>
      <w:pPr>
        <w:pStyle w:val="BodyText"/>
        <w:spacing w:line="259" w:lineRule="auto"/>
        <w:ind w:left="117" w:right="101"/>
        <w:jc w:val="both"/>
      </w:pPr>
      <w:r>
        <w:rPr>
          <w:color w:val="231F20"/>
          <w:w w:val="105"/>
        </w:rPr>
        <w:t>de un portafolio libre de riesgo, siendo así un modelo de equilibrio. El supuesto principal es que el precio del activo subyacente es conocido por el movimiento browniano geométrico</w:t>
      </w:r>
    </w:p>
    <w:p>
      <w:pPr>
        <w:pStyle w:val="BodyText"/>
        <w:spacing w:before="9"/>
        <w:rPr>
          <w:sz w:val="22"/>
        </w:rPr>
      </w:pPr>
    </w:p>
    <w:p>
      <w:pPr>
        <w:spacing w:before="0"/>
        <w:ind w:left="967" w:right="17" w:firstLine="0"/>
        <w:jc w:val="left"/>
        <w:rPr>
          <w:sz w:val="21"/>
        </w:rPr>
      </w:pPr>
      <w:r>
        <w:rPr/>
        <w:drawing>
          <wp:inline distT="0" distB="0" distL="0" distR="0">
            <wp:extent cx="2231997" cy="179933"/>
            <wp:effectExtent l="0" t="0" r="0" b="0"/>
            <wp:docPr id="49" name="image66.jpeg" descr=""/>
            <wp:cNvGraphicFramePr>
              <a:graphicFrameLocks noChangeAspect="1"/>
            </wp:cNvGraphicFramePr>
            <a:graphic>
              <a:graphicData uri="http://schemas.openxmlformats.org/drawingml/2006/picture">
                <pic:pic>
                  <pic:nvPicPr>
                    <pic:cNvPr id="50" name="image66.jpeg"/>
                    <pic:cNvPicPr/>
                  </pic:nvPicPr>
                  <pic:blipFill>
                    <a:blip r:embed="rId90" cstate="print"/>
                    <a:stretch>
                      <a:fillRect/>
                    </a:stretch>
                  </pic:blipFill>
                  <pic:spPr>
                    <a:xfrm>
                      <a:off x="0" y="0"/>
                      <a:ext cx="2231997" cy="179933"/>
                    </a:xfrm>
                    <a:prstGeom prst="rect">
                      <a:avLst/>
                    </a:prstGeom>
                  </pic:spPr>
                </pic:pic>
              </a:graphicData>
            </a:graphic>
          </wp:inline>
        </w:drawing>
      </w:r>
      <w:r>
        <w:rPr/>
      </w:r>
      <w:r>
        <w:rPr>
          <w:rFonts w:ascii="Times New Roman"/>
          <w:sz w:val="20"/>
        </w:rPr>
        <w:t>                                            </w:t>
      </w:r>
      <w:r>
        <w:rPr>
          <w:color w:val="231F20"/>
          <w:sz w:val="21"/>
        </w:rPr>
        <w:t>(1)</w:t>
      </w:r>
    </w:p>
    <w:p>
      <w:pPr>
        <w:pStyle w:val="BodyText"/>
        <w:spacing w:line="260" w:lineRule="exact" w:before="177"/>
        <w:ind w:left="117" w:right="101"/>
        <w:jc w:val="both"/>
      </w:pPr>
      <w:r>
        <w:rPr>
          <w:color w:val="231F20"/>
          <w:w w:val="105"/>
        </w:rPr>
        <w:t>El</w:t>
      </w:r>
      <w:r>
        <w:rPr>
          <w:color w:val="231F20"/>
          <w:spacing w:val="-12"/>
          <w:w w:val="105"/>
        </w:rPr>
        <w:t> </w:t>
      </w:r>
      <w:r>
        <w:rPr>
          <w:color w:val="231F20"/>
          <w:w w:val="105"/>
        </w:rPr>
        <w:t>valor</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opción</w:t>
      </w:r>
      <w:r>
        <w:rPr>
          <w:color w:val="231F20"/>
          <w:spacing w:val="-12"/>
          <w:w w:val="105"/>
        </w:rPr>
        <w:t> </w:t>
      </w:r>
      <w:r>
        <w:rPr>
          <w:i/>
          <w:color w:val="231F20"/>
          <w:w w:val="105"/>
        </w:rPr>
        <w:t>call</w:t>
      </w:r>
      <w:r>
        <w:rPr>
          <w:i/>
          <w:color w:val="231F20"/>
          <w:spacing w:val="-12"/>
          <w:w w:val="105"/>
        </w:rPr>
        <w:t> </w:t>
      </w:r>
      <w:r>
        <w:rPr>
          <w:color w:val="231F20"/>
          <w:w w:val="105"/>
        </w:rPr>
        <w:t>europea</w:t>
      </w:r>
      <w:r>
        <w:rPr>
          <w:color w:val="231F20"/>
          <w:spacing w:val="-12"/>
          <w:w w:val="105"/>
        </w:rPr>
        <w:t> </w:t>
      </w:r>
      <w:r>
        <w:rPr>
          <w:color w:val="231F20"/>
          <w:w w:val="105"/>
        </w:rPr>
        <w:t>está</w:t>
      </w:r>
      <w:r>
        <w:rPr>
          <w:color w:val="231F20"/>
          <w:spacing w:val="-12"/>
          <w:w w:val="105"/>
        </w:rPr>
        <w:t> </w:t>
      </w:r>
      <w:r>
        <w:rPr>
          <w:color w:val="231F20"/>
          <w:w w:val="105"/>
        </w:rPr>
        <w:t>en</w:t>
      </w:r>
      <w:r>
        <w:rPr>
          <w:color w:val="231F20"/>
          <w:spacing w:val="-12"/>
          <w:w w:val="105"/>
        </w:rPr>
        <w:t> </w:t>
      </w:r>
      <w:r>
        <w:rPr>
          <w:color w:val="231F20"/>
          <w:w w:val="105"/>
        </w:rPr>
        <w:t>función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diferentes</w:t>
      </w:r>
      <w:r>
        <w:rPr>
          <w:color w:val="231F20"/>
          <w:spacing w:val="-12"/>
          <w:w w:val="105"/>
        </w:rPr>
        <w:t> </w:t>
      </w:r>
      <w:r>
        <w:rPr>
          <w:color w:val="231F20"/>
          <w:w w:val="105"/>
        </w:rPr>
        <w:t>pa- rámetros</w:t>
      </w:r>
      <w:r>
        <w:rPr>
          <w:color w:val="231F20"/>
          <w:spacing w:val="-21"/>
          <w:w w:val="105"/>
        </w:rPr>
        <w:t> </w:t>
      </w:r>
      <w:r>
        <w:rPr>
          <w:color w:val="231F20"/>
          <w:w w:val="105"/>
        </w:rPr>
        <w:t>que</w:t>
      </w:r>
      <w:r>
        <w:rPr>
          <w:color w:val="231F20"/>
          <w:spacing w:val="-21"/>
          <w:w w:val="105"/>
        </w:rPr>
        <w:t> </w:t>
      </w:r>
      <w:r>
        <w:rPr>
          <w:color w:val="231F20"/>
          <w:w w:val="105"/>
        </w:rPr>
        <w:t>intervienen</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términos</w:t>
      </w:r>
      <w:r>
        <w:rPr>
          <w:color w:val="231F20"/>
          <w:spacing w:val="-21"/>
          <w:w w:val="105"/>
        </w:rPr>
        <w:t> </w:t>
      </w:r>
      <w:r>
        <w:rPr>
          <w:color w:val="231F20"/>
          <w:w w:val="105"/>
        </w:rPr>
        <w:t>del</w:t>
      </w:r>
      <w:r>
        <w:rPr>
          <w:color w:val="231F20"/>
          <w:spacing w:val="-21"/>
          <w:w w:val="105"/>
        </w:rPr>
        <w:t> </w:t>
      </w:r>
      <w:r>
        <w:rPr>
          <w:color w:val="231F20"/>
          <w:w w:val="105"/>
        </w:rPr>
        <w:t>contrato,</w:t>
      </w:r>
      <w:r>
        <w:rPr>
          <w:color w:val="231F20"/>
          <w:spacing w:val="-27"/>
          <w:w w:val="105"/>
        </w:rPr>
        <w:t> </w:t>
      </w:r>
      <w:r>
        <w:rPr>
          <w:color w:val="231F20"/>
          <w:w w:val="105"/>
        </w:rPr>
        <w:t>tales</w:t>
      </w:r>
      <w:r>
        <w:rPr>
          <w:color w:val="231F20"/>
          <w:spacing w:val="-21"/>
          <w:w w:val="105"/>
        </w:rPr>
        <w:t> </w:t>
      </w:r>
      <w:r>
        <w:rPr>
          <w:color w:val="231F20"/>
          <w:w w:val="105"/>
        </w:rPr>
        <w:t>como:</w:t>
      </w:r>
      <w:r>
        <w:rPr>
          <w:color w:val="231F20"/>
          <w:spacing w:val="-21"/>
          <w:w w:val="105"/>
        </w:rPr>
        <w:t> </w:t>
      </w:r>
      <w:r>
        <w:rPr>
          <w:color w:val="231F20"/>
          <w:w w:val="105"/>
        </w:rPr>
        <w:t>el</w:t>
      </w:r>
      <w:r>
        <w:rPr>
          <w:color w:val="231F20"/>
          <w:spacing w:val="-21"/>
          <w:w w:val="105"/>
        </w:rPr>
        <w:t> </w:t>
      </w:r>
      <w:r>
        <w:rPr>
          <w:color w:val="231F20"/>
          <w:w w:val="105"/>
        </w:rPr>
        <w:t>pre- cio</w:t>
      </w:r>
      <w:r>
        <w:rPr>
          <w:color w:val="231F20"/>
          <w:spacing w:val="-3"/>
          <w:w w:val="105"/>
        </w:rPr>
        <w:t> </w:t>
      </w:r>
      <w:r>
        <w:rPr>
          <w:color w:val="231F20"/>
          <w:w w:val="105"/>
        </w:rPr>
        <w:t>del</w:t>
      </w:r>
      <w:r>
        <w:rPr>
          <w:color w:val="231F20"/>
          <w:spacing w:val="-3"/>
          <w:w w:val="105"/>
        </w:rPr>
        <w:t> </w:t>
      </w:r>
      <w:r>
        <w:rPr>
          <w:color w:val="231F20"/>
          <w:w w:val="105"/>
        </w:rPr>
        <w:t>ejercicio</w:t>
      </w:r>
      <w:r>
        <w:rPr>
          <w:color w:val="231F20"/>
          <w:spacing w:val="-3"/>
          <w:w w:val="105"/>
        </w:rPr>
        <w:t> </w:t>
      </w:r>
      <w:r>
        <w:rPr>
          <w:color w:val="231F20"/>
          <w:w w:val="105"/>
        </w:rPr>
        <w:t>(</w:t>
      </w:r>
      <w:r>
        <w:rPr>
          <w:rFonts w:ascii="Times New Roman" w:hAnsi="Times New Roman"/>
          <w:i/>
          <w:color w:val="231F20"/>
          <w:w w:val="105"/>
        </w:rPr>
        <w:t>K</w:t>
      </w:r>
      <w:r>
        <w:rPr>
          <w:color w:val="231F20"/>
          <w:w w:val="105"/>
        </w:rPr>
        <w:t>),</w:t>
      </w:r>
      <w:r>
        <w:rPr>
          <w:color w:val="231F20"/>
          <w:spacing w:val="-8"/>
          <w:w w:val="105"/>
        </w:rPr>
        <w:t> </w:t>
      </w:r>
      <w:r>
        <w:rPr>
          <w:color w:val="231F20"/>
          <w:w w:val="105"/>
        </w:rPr>
        <w:t>la</w:t>
      </w:r>
      <w:r>
        <w:rPr>
          <w:color w:val="231F20"/>
          <w:spacing w:val="-3"/>
          <w:w w:val="105"/>
        </w:rPr>
        <w:t> </w:t>
      </w:r>
      <w:r>
        <w:rPr>
          <w:color w:val="231F20"/>
          <w:w w:val="105"/>
        </w:rPr>
        <w:t>fecha</w:t>
      </w:r>
      <w:r>
        <w:rPr>
          <w:color w:val="231F20"/>
          <w:spacing w:val="-3"/>
          <w:w w:val="105"/>
        </w:rPr>
        <w:t> </w:t>
      </w:r>
      <w:r>
        <w:rPr>
          <w:color w:val="231F20"/>
          <w:w w:val="105"/>
        </w:rPr>
        <w:t>de</w:t>
      </w:r>
      <w:r>
        <w:rPr>
          <w:color w:val="231F20"/>
          <w:spacing w:val="-3"/>
          <w:w w:val="105"/>
        </w:rPr>
        <w:t> </w:t>
      </w:r>
      <w:r>
        <w:rPr>
          <w:color w:val="231F20"/>
          <w:w w:val="105"/>
        </w:rPr>
        <w:t>vencimiento</w:t>
      </w:r>
      <w:r>
        <w:rPr>
          <w:color w:val="231F20"/>
          <w:spacing w:val="-3"/>
          <w:w w:val="105"/>
        </w:rPr>
        <w:t> </w:t>
      </w:r>
      <w:r>
        <w:rPr>
          <w:color w:val="231F20"/>
          <w:w w:val="105"/>
        </w:rPr>
        <w:t>(</w:t>
      </w:r>
      <w:r>
        <w:rPr>
          <w:rFonts w:ascii="Times New Roman" w:hAnsi="Times New Roman"/>
          <w:i/>
          <w:color w:val="231F20"/>
          <w:w w:val="105"/>
        </w:rPr>
        <w:t>T</w:t>
      </w:r>
      <w:r>
        <w:rPr>
          <w:rFonts w:ascii="Times New Roman" w:hAnsi="Times New Roman"/>
          <w:i/>
          <w:color w:val="231F20"/>
          <w:spacing w:val="-35"/>
          <w:w w:val="105"/>
        </w:rPr>
        <w:t> </w:t>
      </w:r>
      <w:r>
        <w:rPr>
          <w:color w:val="231F20"/>
          <w:w w:val="105"/>
        </w:rPr>
        <w:t>),</w:t>
      </w:r>
      <w:r>
        <w:rPr>
          <w:color w:val="231F20"/>
          <w:spacing w:val="-8"/>
          <w:w w:val="105"/>
        </w:rPr>
        <w:t> </w:t>
      </w:r>
      <w:r>
        <w:rPr>
          <w:color w:val="231F20"/>
          <w:w w:val="105"/>
        </w:rPr>
        <w:t>el</w:t>
      </w:r>
      <w:r>
        <w:rPr>
          <w:color w:val="231F20"/>
          <w:spacing w:val="-3"/>
          <w:w w:val="105"/>
        </w:rPr>
        <w:t> </w:t>
      </w:r>
      <w:r>
        <w:rPr>
          <w:color w:val="231F20"/>
          <w:w w:val="105"/>
        </w:rPr>
        <w:t>precio</w:t>
      </w:r>
      <w:r>
        <w:rPr>
          <w:color w:val="231F20"/>
          <w:spacing w:val="-3"/>
          <w:w w:val="105"/>
        </w:rPr>
        <w:t> </w:t>
      </w:r>
      <w:r>
        <w:rPr>
          <w:color w:val="231F20"/>
          <w:w w:val="105"/>
        </w:rPr>
        <w:t>de</w:t>
      </w:r>
      <w:r>
        <w:rPr>
          <w:color w:val="231F20"/>
          <w:spacing w:val="-3"/>
          <w:w w:val="105"/>
        </w:rPr>
        <w:t> </w:t>
      </w:r>
      <w:r>
        <w:rPr>
          <w:color w:val="231F20"/>
          <w:w w:val="105"/>
        </w:rPr>
        <w:t>contado</w:t>
      </w:r>
      <w:r>
        <w:rPr>
          <w:color w:val="231F20"/>
          <w:spacing w:val="-3"/>
          <w:w w:val="105"/>
        </w:rPr>
        <w:t> </w:t>
      </w:r>
      <w:r>
        <w:rPr>
          <w:color w:val="231F20"/>
          <w:w w:val="105"/>
        </w:rPr>
        <w:t>o </w:t>
      </w:r>
      <w:r>
        <w:rPr>
          <w:i/>
          <w:color w:val="231F20"/>
          <w:w w:val="105"/>
        </w:rPr>
        <w:t>spot</w:t>
      </w:r>
      <w:r>
        <w:rPr>
          <w:i/>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momento</w:t>
      </w:r>
      <w:r>
        <w:rPr>
          <w:color w:val="231F20"/>
          <w:spacing w:val="-14"/>
          <w:w w:val="105"/>
        </w:rPr>
        <w:t> </w:t>
      </w:r>
      <w:r>
        <w:rPr>
          <w:color w:val="231F20"/>
          <w:w w:val="105"/>
        </w:rPr>
        <w:t>en</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establece</w:t>
      </w:r>
      <w:r>
        <w:rPr>
          <w:color w:val="231F20"/>
          <w:spacing w:val="-14"/>
          <w:w w:val="105"/>
        </w:rPr>
        <w:t> </w:t>
      </w:r>
      <w:r>
        <w:rPr>
          <w:color w:val="231F20"/>
          <w:w w:val="105"/>
        </w:rPr>
        <w:t>el</w:t>
      </w:r>
      <w:r>
        <w:rPr>
          <w:color w:val="231F20"/>
          <w:spacing w:val="-14"/>
          <w:w w:val="105"/>
        </w:rPr>
        <w:t> </w:t>
      </w:r>
      <w:r>
        <w:rPr>
          <w:color w:val="231F20"/>
          <w:w w:val="105"/>
        </w:rPr>
        <w:t>contrato</w:t>
      </w:r>
      <w:r>
        <w:rPr>
          <w:color w:val="231F20"/>
          <w:spacing w:val="-14"/>
          <w:w w:val="105"/>
        </w:rPr>
        <w:t> </w:t>
      </w:r>
      <w:r>
        <w:rPr>
          <w:color w:val="231F20"/>
          <w:w w:val="105"/>
        </w:rPr>
        <w:t>(</w:t>
      </w:r>
      <w:r>
        <w:rPr>
          <w:rFonts w:ascii="Times New Roman" w:hAnsi="Times New Roman"/>
          <w:i/>
          <w:color w:val="231F20"/>
          <w:w w:val="105"/>
        </w:rPr>
        <w:t>S</w:t>
      </w:r>
      <w:r>
        <w:rPr>
          <w:rFonts w:ascii="Times New Roman" w:hAnsi="Times New Roman"/>
          <w:i/>
          <w:color w:val="231F20"/>
          <w:w w:val="105"/>
          <w:position w:val="-6"/>
          <w:sz w:val="12"/>
        </w:rPr>
        <w:t>t</w:t>
      </w:r>
      <w:r>
        <w:rPr>
          <w:color w:val="231F20"/>
          <w:w w:val="105"/>
        </w:rPr>
        <w:t>),</w:t>
      </w:r>
      <w:r>
        <w:rPr>
          <w:color w:val="231F20"/>
          <w:spacing w:val="-19"/>
          <w:w w:val="105"/>
        </w:rPr>
        <w:t> </w:t>
      </w:r>
      <w:r>
        <w:rPr>
          <w:color w:val="231F20"/>
          <w:w w:val="105"/>
        </w:rPr>
        <w:t>la</w:t>
      </w:r>
      <w:r>
        <w:rPr>
          <w:color w:val="231F20"/>
          <w:spacing w:val="-14"/>
          <w:w w:val="105"/>
        </w:rPr>
        <w:t> </w:t>
      </w:r>
      <w:r>
        <w:rPr>
          <w:color w:val="231F20"/>
          <w:w w:val="105"/>
        </w:rPr>
        <w:t>volatilidad</w:t>
      </w:r>
      <w:r>
        <w:rPr>
          <w:color w:val="231F20"/>
          <w:spacing w:val="-14"/>
          <w:w w:val="105"/>
        </w:rPr>
        <w:t> </w:t>
      </w:r>
      <w:r>
        <w:rPr>
          <w:color w:val="231F20"/>
          <w:w w:val="105"/>
        </w:rPr>
        <w:t>(</w:t>
      </w:r>
      <w:r>
        <w:rPr>
          <w:rFonts w:ascii="Times New Roman" w:hAnsi="Times New Roman"/>
          <w:i/>
          <w:color w:val="231F20"/>
          <w:w w:val="105"/>
          <w:sz w:val="24"/>
        </w:rPr>
        <w:t>σ</w:t>
      </w:r>
      <w:r>
        <w:rPr>
          <w:color w:val="231F20"/>
          <w:w w:val="105"/>
        </w:rPr>
        <w:t>) y</w:t>
      </w:r>
      <w:r>
        <w:rPr>
          <w:color w:val="231F20"/>
          <w:spacing w:val="-17"/>
          <w:w w:val="105"/>
        </w:rPr>
        <w:t> </w:t>
      </w:r>
      <w:r>
        <w:rPr>
          <w:color w:val="231F20"/>
          <w:w w:val="105"/>
        </w:rPr>
        <w:t>la</w:t>
      </w:r>
      <w:r>
        <w:rPr>
          <w:color w:val="231F20"/>
          <w:spacing w:val="-17"/>
          <w:w w:val="105"/>
        </w:rPr>
        <w:t> </w:t>
      </w:r>
      <w:r>
        <w:rPr>
          <w:color w:val="231F20"/>
          <w:w w:val="105"/>
        </w:rPr>
        <w:t>tasa</w:t>
      </w:r>
      <w:r>
        <w:rPr>
          <w:color w:val="231F20"/>
          <w:spacing w:val="-17"/>
          <w:w w:val="105"/>
        </w:rPr>
        <w:t> </w:t>
      </w:r>
      <w:r>
        <w:rPr>
          <w:color w:val="231F20"/>
          <w:w w:val="105"/>
        </w:rPr>
        <w:t>de</w:t>
      </w:r>
      <w:r>
        <w:rPr>
          <w:color w:val="231F20"/>
          <w:spacing w:val="-17"/>
          <w:w w:val="105"/>
        </w:rPr>
        <w:t> </w:t>
      </w:r>
      <w:r>
        <w:rPr>
          <w:color w:val="231F20"/>
          <w:w w:val="105"/>
        </w:rPr>
        <w:t>interés</w:t>
      </w:r>
      <w:r>
        <w:rPr>
          <w:color w:val="231F20"/>
          <w:spacing w:val="-17"/>
          <w:w w:val="105"/>
        </w:rPr>
        <w:t> </w:t>
      </w:r>
      <w:r>
        <w:rPr>
          <w:color w:val="231F20"/>
          <w:w w:val="105"/>
        </w:rPr>
        <w:t>libre</w:t>
      </w:r>
      <w:r>
        <w:rPr>
          <w:color w:val="231F20"/>
          <w:spacing w:val="-17"/>
          <w:w w:val="105"/>
        </w:rPr>
        <w:t> </w:t>
      </w:r>
      <w:r>
        <w:rPr>
          <w:color w:val="231F20"/>
          <w:w w:val="105"/>
        </w:rPr>
        <w:t>de</w:t>
      </w:r>
      <w:r>
        <w:rPr>
          <w:color w:val="231F20"/>
          <w:spacing w:val="-17"/>
          <w:w w:val="105"/>
        </w:rPr>
        <w:t> </w:t>
      </w:r>
      <w:r>
        <w:rPr>
          <w:color w:val="231F20"/>
          <w:w w:val="105"/>
        </w:rPr>
        <w:t>riesgo</w:t>
      </w:r>
      <w:r>
        <w:rPr>
          <w:color w:val="231F20"/>
          <w:spacing w:val="-17"/>
          <w:w w:val="105"/>
        </w:rPr>
        <w:t> </w:t>
      </w:r>
      <w:r>
        <w:rPr>
          <w:color w:val="231F20"/>
          <w:w w:val="105"/>
        </w:rPr>
        <w:t>(</w:t>
      </w:r>
      <w:r>
        <w:rPr>
          <w:rFonts w:ascii="Times New Roman" w:hAnsi="Times New Roman"/>
          <w:i/>
          <w:color w:val="231F20"/>
          <w:w w:val="105"/>
        </w:rPr>
        <w:t>r</w:t>
      </w:r>
      <w:r>
        <w:rPr>
          <w:color w:val="231F20"/>
          <w:w w:val="105"/>
        </w:rPr>
        <w:t>).</w:t>
      </w:r>
    </w:p>
    <w:p>
      <w:pPr>
        <w:pStyle w:val="BodyText"/>
        <w:spacing w:line="260" w:lineRule="exact"/>
        <w:ind w:left="117" w:right="101" w:firstLine="567"/>
        <w:jc w:val="both"/>
      </w:pPr>
      <w:r>
        <w:rPr>
          <w:color w:val="231F20"/>
        </w:rPr>
        <w:t>La ecuación </w:t>
      </w:r>
      <w:r>
        <w:rPr>
          <w:color w:val="231F20"/>
          <w:spacing w:val="-3"/>
        </w:rPr>
        <w:t>diferencial </w:t>
      </w:r>
      <w:r>
        <w:rPr>
          <w:color w:val="231F20"/>
        </w:rPr>
        <w:t>estocástica que </w:t>
      </w:r>
      <w:r>
        <w:rPr>
          <w:color w:val="231F20"/>
          <w:spacing w:val="-3"/>
        </w:rPr>
        <w:t>expresa </w:t>
      </w:r>
      <w:r>
        <w:rPr>
          <w:color w:val="231F20"/>
        </w:rPr>
        <w:t>la trayectoria diná- mica</w:t>
      </w:r>
      <w:r>
        <w:rPr>
          <w:color w:val="231F20"/>
          <w:spacing w:val="-13"/>
        </w:rPr>
        <w:t> </w:t>
      </w:r>
      <w:r>
        <w:rPr>
          <w:color w:val="231F20"/>
        </w:rPr>
        <w:t>del</w:t>
      </w:r>
      <w:r>
        <w:rPr>
          <w:color w:val="231F20"/>
          <w:spacing w:val="-13"/>
        </w:rPr>
        <w:t> </w:t>
      </w:r>
      <w:r>
        <w:rPr>
          <w:color w:val="231F20"/>
        </w:rPr>
        <w:t>activo</w:t>
      </w:r>
      <w:r>
        <w:rPr>
          <w:color w:val="231F20"/>
          <w:spacing w:val="-13"/>
        </w:rPr>
        <w:t> </w:t>
      </w:r>
      <w:r>
        <w:rPr>
          <w:color w:val="231F20"/>
        </w:rPr>
        <w:t>subyacente</w:t>
      </w:r>
      <w:r>
        <w:rPr>
          <w:color w:val="231F20"/>
          <w:spacing w:val="-13"/>
        </w:rPr>
        <w:t> </w:t>
      </w:r>
      <w:r>
        <w:rPr>
          <w:color w:val="231F20"/>
        </w:rPr>
        <w:t>se</w:t>
      </w:r>
      <w:r>
        <w:rPr>
          <w:color w:val="231F20"/>
          <w:spacing w:val="-13"/>
        </w:rPr>
        <w:t> </w:t>
      </w:r>
      <w:r>
        <w:rPr>
          <w:color w:val="231F20"/>
        </w:rPr>
        <w:t>define</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ecuación</w:t>
      </w:r>
      <w:r>
        <w:rPr>
          <w:color w:val="231F20"/>
          <w:spacing w:val="-13"/>
        </w:rPr>
        <w:t> </w:t>
      </w:r>
      <w:r>
        <w:rPr>
          <w:color w:val="231F20"/>
        </w:rPr>
        <w:t>(1),</w:t>
      </w:r>
      <w:r>
        <w:rPr>
          <w:color w:val="231F20"/>
          <w:spacing w:val="-19"/>
        </w:rPr>
        <w:t> </w:t>
      </w:r>
      <w:r>
        <w:rPr>
          <w:color w:val="231F20"/>
        </w:rPr>
        <w:t>en</w:t>
      </w:r>
      <w:r>
        <w:rPr>
          <w:color w:val="231F20"/>
          <w:spacing w:val="-13"/>
        </w:rPr>
        <w:t> </w:t>
      </w:r>
      <w:r>
        <w:rPr>
          <w:color w:val="231F20"/>
        </w:rPr>
        <w:t>la</w:t>
      </w:r>
      <w:r>
        <w:rPr>
          <w:color w:val="231F20"/>
          <w:spacing w:val="-13"/>
        </w:rPr>
        <w:t> </w:t>
      </w:r>
      <w:r>
        <w:rPr>
          <w:color w:val="231F20"/>
        </w:rPr>
        <w:t>cual</w:t>
      </w:r>
      <w:r>
        <w:rPr>
          <w:color w:val="231F20"/>
          <w:spacing w:val="-6"/>
        </w:rPr>
        <w:t> </w:t>
      </w:r>
      <w:r>
        <w:rPr>
          <w:rFonts w:ascii="Times New Roman" w:hAnsi="Times New Roman"/>
          <w:i/>
          <w:color w:val="231F20"/>
          <w:sz w:val="24"/>
        </w:rPr>
        <w:t>μ</w:t>
      </w:r>
      <w:r>
        <w:rPr>
          <w:rFonts w:ascii="Times New Roman" w:hAnsi="Times New Roman"/>
          <w:i/>
          <w:color w:val="231F20"/>
          <w:spacing w:val="-8"/>
          <w:sz w:val="24"/>
        </w:rPr>
        <w:t> </w:t>
      </w:r>
      <w:r>
        <w:rPr>
          <w:color w:val="231F20"/>
        </w:rPr>
        <w:t>es</w:t>
      </w:r>
      <w:r>
        <w:rPr>
          <w:color w:val="231F20"/>
          <w:spacing w:val="-13"/>
        </w:rPr>
        <w:t> </w:t>
      </w:r>
      <w:r>
        <w:rPr>
          <w:color w:val="231F20"/>
          <w:spacing w:val="-2"/>
        </w:rPr>
        <w:t>una </w:t>
      </w:r>
      <w:r>
        <w:rPr>
          <w:color w:val="231F20"/>
        </w:rPr>
        <w:t>medida de cambio del </w:t>
      </w:r>
      <w:r>
        <w:rPr>
          <w:color w:val="231F20"/>
          <w:spacing w:val="-3"/>
        </w:rPr>
        <w:t>crecimiento promedio </w:t>
      </w:r>
      <w:r>
        <w:rPr>
          <w:color w:val="231F20"/>
        </w:rPr>
        <w:t>del </w:t>
      </w:r>
      <w:r>
        <w:rPr>
          <w:color w:val="231F20"/>
          <w:spacing w:val="-3"/>
        </w:rPr>
        <w:t>precio </w:t>
      </w:r>
      <w:r>
        <w:rPr>
          <w:color w:val="231F20"/>
        </w:rPr>
        <w:t>del activo subya- cente, también llamada tendencia instantánea (</w:t>
      </w:r>
      <w:r>
        <w:rPr>
          <w:i/>
          <w:color w:val="231F20"/>
        </w:rPr>
        <w:t>drift</w:t>
      </w:r>
      <w:r>
        <w:rPr>
          <w:color w:val="231F20"/>
        </w:rPr>
        <w:t>). La otra parte </w:t>
      </w:r>
      <w:r>
        <w:rPr>
          <w:color w:val="231F20"/>
          <w:spacing w:val="-2"/>
        </w:rPr>
        <w:t>modela </w:t>
      </w:r>
      <w:r>
        <w:rPr>
          <w:color w:val="231F20"/>
        </w:rPr>
        <w:t>la </w:t>
      </w:r>
      <w:r>
        <w:rPr>
          <w:color w:val="231F20"/>
          <w:spacing w:val="-3"/>
        </w:rPr>
        <w:t>aleatoriedad </w:t>
      </w:r>
      <w:r>
        <w:rPr>
          <w:color w:val="231F20"/>
        </w:rPr>
        <w:t>en el cambio del </w:t>
      </w:r>
      <w:r>
        <w:rPr>
          <w:color w:val="231F20"/>
          <w:spacing w:val="-3"/>
        </w:rPr>
        <w:t>precio </w:t>
      </w:r>
      <w:r>
        <w:rPr>
          <w:color w:val="231F20"/>
        </w:rPr>
        <w:t>de </w:t>
      </w:r>
      <w:r>
        <w:rPr>
          <w:rFonts w:ascii="Times New Roman" w:hAnsi="Times New Roman"/>
          <w:i/>
          <w:color w:val="231F20"/>
        </w:rPr>
        <w:t>S</w:t>
      </w:r>
      <w:r>
        <w:rPr>
          <w:rFonts w:ascii="Times New Roman" w:hAnsi="Times New Roman"/>
          <w:i/>
          <w:color w:val="231F20"/>
          <w:position w:val="-6"/>
          <w:sz w:val="12"/>
        </w:rPr>
        <w:t>t </w:t>
      </w:r>
      <w:r>
        <w:rPr>
          <w:color w:val="231F20"/>
        </w:rPr>
        <w:t>en </w:t>
      </w:r>
      <w:r>
        <w:rPr>
          <w:color w:val="231F20"/>
          <w:spacing w:val="-3"/>
        </w:rPr>
        <w:t>respuesta </w:t>
      </w:r>
      <w:r>
        <w:rPr>
          <w:color w:val="231F20"/>
        </w:rPr>
        <w:t>a efectos </w:t>
      </w:r>
      <w:r>
        <w:rPr>
          <w:color w:val="231F20"/>
          <w:spacing w:val="-3"/>
        </w:rPr>
        <w:t>exter- </w:t>
      </w:r>
      <w:r>
        <w:rPr>
          <w:color w:val="231F20"/>
        </w:rPr>
        <w:t>nos </w:t>
      </w:r>
      <w:r>
        <w:rPr>
          <w:color w:val="231F20"/>
          <w:spacing w:val="-12"/>
        </w:rPr>
        <w:t>(P. </w:t>
      </w:r>
      <w:r>
        <w:rPr>
          <w:color w:val="231F20"/>
        </w:rPr>
        <w:t>ej. fenómenos o noticias inesperadas). Así </w:t>
      </w:r>
      <w:r>
        <w:rPr>
          <w:rFonts w:ascii="Times New Roman" w:hAnsi="Times New Roman"/>
          <w:i/>
          <w:color w:val="231F20"/>
          <w:sz w:val="24"/>
        </w:rPr>
        <w:t>σ </w:t>
      </w:r>
      <w:r>
        <w:rPr>
          <w:color w:val="231F20"/>
        </w:rPr>
        <w:t>es la </w:t>
      </w:r>
      <w:r>
        <w:rPr>
          <w:color w:val="231F20"/>
          <w:spacing w:val="-2"/>
        </w:rPr>
        <w:t>volatilidad, que </w:t>
      </w:r>
      <w:r>
        <w:rPr>
          <w:color w:val="231F20"/>
        </w:rPr>
        <w:t>mide la desviación estándar del </w:t>
      </w:r>
      <w:r>
        <w:rPr>
          <w:color w:val="231F20"/>
          <w:spacing w:val="-3"/>
        </w:rPr>
        <w:t>rendimiento </w:t>
      </w:r>
      <w:r>
        <w:rPr>
          <w:color w:val="231F20"/>
        </w:rPr>
        <w:t>del activo  </w:t>
      </w:r>
      <w:r>
        <w:rPr>
          <w:color w:val="231F20"/>
          <w:spacing w:val="40"/>
        </w:rPr>
        <w:t> </w:t>
      </w:r>
      <w:r>
        <w:rPr>
          <w:color w:val="231F20"/>
          <w:spacing w:val="-2"/>
        </w:rPr>
        <w:t>riesgoso.</w:t>
      </w:r>
    </w:p>
    <w:p>
      <w:pPr>
        <w:pStyle w:val="BodyText"/>
        <w:spacing w:line="259" w:lineRule="auto" w:before="11"/>
        <w:ind w:left="117" w:right="102" w:firstLine="567"/>
        <w:jc w:val="both"/>
      </w:pPr>
      <w:r>
        <w:rPr>
          <w:color w:val="231F20"/>
        </w:rPr>
        <w:t>La solución a (1) es el llamado precio del activo subyacente que se muestra como</w:t>
      </w:r>
    </w:p>
    <w:p>
      <w:pPr>
        <w:spacing w:before="149"/>
        <w:ind w:left="967" w:right="17" w:firstLine="0"/>
        <w:jc w:val="left"/>
        <w:rPr>
          <w:sz w:val="21"/>
        </w:rPr>
      </w:pPr>
      <w:r>
        <w:rPr/>
        <w:drawing>
          <wp:inline distT="0" distB="0" distL="0" distR="0">
            <wp:extent cx="1183093" cy="382422"/>
            <wp:effectExtent l="0" t="0" r="0" b="0"/>
            <wp:docPr id="51" name="image67.jpeg" descr=""/>
            <wp:cNvGraphicFramePr>
              <a:graphicFrameLocks noChangeAspect="1"/>
            </wp:cNvGraphicFramePr>
            <a:graphic>
              <a:graphicData uri="http://schemas.openxmlformats.org/drawingml/2006/picture">
                <pic:pic>
                  <pic:nvPicPr>
                    <pic:cNvPr id="52" name="image67.jpeg"/>
                    <pic:cNvPicPr/>
                  </pic:nvPicPr>
                  <pic:blipFill>
                    <a:blip r:embed="rId91" cstate="print"/>
                    <a:stretch>
                      <a:fillRect/>
                    </a:stretch>
                  </pic:blipFill>
                  <pic:spPr>
                    <a:xfrm>
                      <a:off x="0" y="0"/>
                      <a:ext cx="1183093" cy="382422"/>
                    </a:xfrm>
                    <a:prstGeom prst="rect">
                      <a:avLst/>
                    </a:prstGeom>
                  </pic:spPr>
                </pic:pic>
              </a:graphicData>
            </a:graphic>
          </wp:inline>
        </w:drawing>
      </w:r>
      <w:r>
        <w:rPr/>
      </w:r>
      <w:r>
        <w:rPr>
          <w:rFonts w:ascii="Times New Roman"/>
          <w:sz w:val="20"/>
        </w:rPr>
        <w:t>                                                                             </w:t>
      </w:r>
      <w:r>
        <w:rPr>
          <w:color w:val="231F20"/>
          <w:sz w:val="21"/>
        </w:rPr>
        <w:t>(2)</w:t>
      </w:r>
    </w:p>
    <w:p>
      <w:pPr>
        <w:pStyle w:val="BodyText"/>
        <w:spacing w:line="260" w:lineRule="exact" w:before="177"/>
        <w:ind w:left="117" w:right="101" w:hanging="1"/>
        <w:jc w:val="both"/>
        <w:rPr>
          <w:rFonts w:ascii="Times New Roman" w:hAnsi="Times New Roman"/>
          <w:sz w:val="22"/>
        </w:rPr>
      </w:pPr>
      <w:r>
        <w:rPr>
          <w:color w:val="231F20"/>
          <w:w w:val="105"/>
        </w:rPr>
        <w:t>Donde </w:t>
      </w:r>
      <w:r>
        <w:rPr>
          <w:rFonts w:ascii="Times New Roman" w:hAnsi="Times New Roman"/>
          <w:i/>
          <w:color w:val="231F20"/>
          <w:w w:val="105"/>
          <w:sz w:val="22"/>
        </w:rPr>
        <w:t>W </w:t>
      </w:r>
      <w:r>
        <w:rPr>
          <w:rFonts w:ascii="Times New Roman" w:hAnsi="Times New Roman"/>
          <w:color w:val="231F20"/>
          <w:w w:val="105"/>
          <w:sz w:val="22"/>
        </w:rPr>
        <w:t>= </w:t>
      </w:r>
      <w:r>
        <w:rPr>
          <w:color w:val="231F20"/>
          <w:w w:val="105"/>
        </w:rPr>
        <w:t>(</w:t>
      </w:r>
      <w:r>
        <w:rPr>
          <w:rFonts w:ascii="Times New Roman" w:hAnsi="Times New Roman"/>
          <w:i/>
          <w:color w:val="231F20"/>
          <w:w w:val="105"/>
          <w:sz w:val="22"/>
        </w:rPr>
        <w:t>W</w:t>
      </w:r>
      <w:r>
        <w:rPr>
          <w:rFonts w:ascii="Times New Roman" w:hAnsi="Times New Roman"/>
          <w:i/>
          <w:color w:val="231F20"/>
          <w:w w:val="105"/>
          <w:position w:val="-4"/>
          <w:sz w:val="13"/>
        </w:rPr>
        <w:t>t </w:t>
      </w:r>
      <w:r>
        <w:rPr>
          <w:rFonts w:ascii="Times New Roman" w:hAnsi="Times New Roman"/>
          <w:i/>
          <w:color w:val="231F20"/>
          <w:w w:val="105"/>
          <w:sz w:val="22"/>
        </w:rPr>
        <w:t>, t ≥ </w:t>
      </w:r>
      <w:r>
        <w:rPr>
          <w:rFonts w:ascii="Times New Roman" w:hAnsi="Times New Roman"/>
          <w:i/>
          <w:color w:val="231F20"/>
          <w:spacing w:val="8"/>
          <w:w w:val="105"/>
          <w:sz w:val="22"/>
        </w:rPr>
        <w:t>0</w:t>
      </w:r>
      <w:r>
        <w:rPr>
          <w:color w:val="231F20"/>
          <w:spacing w:val="8"/>
          <w:w w:val="105"/>
        </w:rPr>
        <w:t>) </w:t>
      </w:r>
      <w:r>
        <w:rPr>
          <w:color w:val="231F20"/>
          <w:w w:val="105"/>
        </w:rPr>
        <w:t>es un movimiento browniano estándar y</w:t>
      </w:r>
      <w:r>
        <w:rPr>
          <w:color w:val="231F20"/>
          <w:spacing w:val="-40"/>
          <w:w w:val="105"/>
        </w:rPr>
        <w:t> </w:t>
      </w:r>
      <w:r>
        <w:rPr>
          <w:rFonts w:ascii="Times New Roman" w:hAnsi="Times New Roman"/>
          <w:i/>
          <w:color w:val="231F20"/>
          <w:w w:val="105"/>
          <w:sz w:val="22"/>
        </w:rPr>
        <w:t>S</w:t>
      </w:r>
      <w:r>
        <w:rPr>
          <w:rFonts w:ascii="Times New Roman" w:hAnsi="Times New Roman"/>
          <w:i/>
          <w:color w:val="231F20"/>
          <w:w w:val="105"/>
          <w:position w:val="-6"/>
          <w:sz w:val="13"/>
        </w:rPr>
        <w:t>0 </w:t>
      </w:r>
      <w:r>
        <w:rPr>
          <w:color w:val="231F20"/>
          <w:w w:val="105"/>
        </w:rPr>
        <w:t>repre- senta</w:t>
      </w:r>
      <w:r>
        <w:rPr>
          <w:color w:val="231F20"/>
          <w:spacing w:val="-5"/>
          <w:w w:val="105"/>
        </w:rPr>
        <w:t> </w:t>
      </w:r>
      <w:r>
        <w:rPr>
          <w:color w:val="231F20"/>
          <w:w w:val="105"/>
        </w:rPr>
        <w:t>el</w:t>
      </w:r>
      <w:r>
        <w:rPr>
          <w:color w:val="231F20"/>
          <w:spacing w:val="-5"/>
          <w:w w:val="105"/>
        </w:rPr>
        <w:t> </w:t>
      </w:r>
      <w:r>
        <w:rPr>
          <w:color w:val="231F20"/>
          <w:w w:val="105"/>
        </w:rPr>
        <w:t>precio</w:t>
      </w:r>
      <w:r>
        <w:rPr>
          <w:color w:val="231F20"/>
          <w:spacing w:val="-5"/>
          <w:w w:val="105"/>
        </w:rPr>
        <w:t> </w:t>
      </w:r>
      <w:r>
        <w:rPr>
          <w:color w:val="231F20"/>
          <w:w w:val="105"/>
        </w:rPr>
        <w:t>inicial</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acción;</w:t>
      </w:r>
      <w:r>
        <w:rPr>
          <w:color w:val="231F20"/>
          <w:spacing w:val="-5"/>
          <w:w w:val="105"/>
        </w:rPr>
        <w:t> </w:t>
      </w:r>
      <w:r>
        <w:rPr>
          <w:color w:val="231F20"/>
          <w:w w:val="105"/>
        </w:rPr>
        <w:t>y</w:t>
      </w:r>
      <w:r>
        <w:rPr>
          <w:color w:val="231F20"/>
          <w:spacing w:val="-5"/>
          <w:w w:val="105"/>
        </w:rPr>
        <w:t> </w:t>
      </w:r>
      <w:r>
        <w:rPr>
          <w:color w:val="231F20"/>
          <w:w w:val="105"/>
        </w:rPr>
        <w:t>es</w:t>
      </w:r>
      <w:r>
        <w:rPr>
          <w:color w:val="231F20"/>
          <w:spacing w:val="-5"/>
          <w:w w:val="105"/>
        </w:rPr>
        <w:t> </w:t>
      </w:r>
      <w:r>
        <w:rPr>
          <w:color w:val="231F20"/>
          <w:w w:val="105"/>
        </w:rPr>
        <w:t>una</w:t>
      </w:r>
      <w:r>
        <w:rPr>
          <w:color w:val="231F20"/>
          <w:spacing w:val="-4"/>
          <w:w w:val="105"/>
        </w:rPr>
        <w:t> </w:t>
      </w:r>
      <w:r>
        <w:rPr>
          <w:color w:val="231F20"/>
          <w:w w:val="105"/>
        </w:rPr>
        <w:t>variable</w:t>
      </w:r>
      <w:r>
        <w:rPr>
          <w:color w:val="231F20"/>
          <w:spacing w:val="-5"/>
          <w:w w:val="105"/>
        </w:rPr>
        <w:t> </w:t>
      </w:r>
      <w:r>
        <w:rPr>
          <w:color w:val="231F20"/>
          <w:w w:val="105"/>
        </w:rPr>
        <w:t>aleatoria</w:t>
      </w:r>
      <w:r>
        <w:rPr>
          <w:color w:val="231F20"/>
          <w:spacing w:val="-5"/>
          <w:w w:val="105"/>
        </w:rPr>
        <w:t> </w:t>
      </w:r>
      <w:r>
        <w:rPr>
          <w:color w:val="231F20"/>
          <w:w w:val="105"/>
        </w:rPr>
        <w:t>cuadrada integrable</w:t>
      </w:r>
      <w:r>
        <w:rPr>
          <w:color w:val="231F20"/>
          <w:spacing w:val="-6"/>
          <w:w w:val="105"/>
        </w:rPr>
        <w:t> </w:t>
      </w:r>
      <w:r>
        <w:rPr>
          <w:color w:val="231F20"/>
          <w:w w:val="105"/>
        </w:rPr>
        <w:t>e</w:t>
      </w:r>
      <w:r>
        <w:rPr>
          <w:color w:val="231F20"/>
          <w:spacing w:val="-6"/>
          <w:w w:val="105"/>
        </w:rPr>
        <w:t> </w:t>
      </w:r>
      <w:r>
        <w:rPr>
          <w:color w:val="231F20"/>
          <w:w w:val="105"/>
        </w:rPr>
        <w:t>independiente</w:t>
      </w:r>
      <w:r>
        <w:rPr>
          <w:color w:val="231F20"/>
          <w:spacing w:val="-6"/>
          <w:w w:val="105"/>
        </w:rPr>
        <w:t> </w:t>
      </w:r>
      <w:r>
        <w:rPr>
          <w:color w:val="231F20"/>
          <w:w w:val="105"/>
        </w:rPr>
        <w:t>del</w:t>
      </w:r>
      <w:r>
        <w:rPr>
          <w:color w:val="231F20"/>
          <w:spacing w:val="-6"/>
          <w:w w:val="105"/>
        </w:rPr>
        <w:t> </w:t>
      </w:r>
      <w:r>
        <w:rPr>
          <w:color w:val="231F20"/>
          <w:w w:val="105"/>
        </w:rPr>
        <w:t>proceso</w:t>
      </w:r>
      <w:r>
        <w:rPr>
          <w:color w:val="231F20"/>
          <w:spacing w:val="-6"/>
          <w:w w:val="105"/>
        </w:rPr>
        <w:t> </w:t>
      </w:r>
      <w:r>
        <w:rPr>
          <w:color w:val="231F20"/>
          <w:w w:val="105"/>
        </w:rPr>
        <w:t>de</w:t>
      </w:r>
      <w:r>
        <w:rPr>
          <w:color w:val="231F20"/>
          <w:spacing w:val="-9"/>
          <w:w w:val="105"/>
        </w:rPr>
        <w:t> </w:t>
      </w:r>
      <w:r>
        <w:rPr>
          <w:color w:val="231F20"/>
          <w:w w:val="105"/>
        </w:rPr>
        <w:t>Wiener</w:t>
      </w:r>
      <w:r>
        <w:rPr>
          <w:color w:val="231F20"/>
          <w:spacing w:val="-6"/>
          <w:w w:val="105"/>
        </w:rPr>
        <w:t> </w:t>
      </w:r>
      <w:r>
        <w:rPr>
          <w:color w:val="231F20"/>
          <w:w w:val="105"/>
        </w:rPr>
        <w:t>(</w:t>
      </w:r>
      <w:r>
        <w:rPr>
          <w:rFonts w:ascii="Times New Roman" w:hAnsi="Times New Roman"/>
          <w:i/>
          <w:color w:val="231F20"/>
          <w:w w:val="105"/>
          <w:sz w:val="22"/>
        </w:rPr>
        <w:t>W</w:t>
      </w:r>
      <w:r>
        <w:rPr>
          <w:rFonts w:ascii="Times New Roman" w:hAnsi="Times New Roman"/>
          <w:i/>
          <w:color w:val="231F20"/>
          <w:spacing w:val="-29"/>
          <w:w w:val="105"/>
          <w:sz w:val="22"/>
        </w:rPr>
        <w:t> </w:t>
      </w:r>
      <w:r>
        <w:rPr>
          <w:color w:val="231F20"/>
          <w:w w:val="105"/>
        </w:rPr>
        <w:t>)</w:t>
      </w:r>
      <w:r>
        <w:rPr>
          <w:rFonts w:ascii="Times New Roman" w:hAnsi="Times New Roman"/>
          <w:color w:val="231F20"/>
          <w:w w:val="105"/>
          <w:sz w:val="22"/>
        </w:rPr>
        <w:t>.</w:t>
      </w:r>
    </w:p>
    <w:p>
      <w:pPr>
        <w:pStyle w:val="BodyText"/>
        <w:spacing w:line="260" w:lineRule="exact"/>
        <w:ind w:left="117" w:right="101" w:firstLine="566"/>
        <w:jc w:val="both"/>
      </w:pPr>
      <w:r>
        <w:rPr>
          <w:color w:val="231F20"/>
          <w:w w:val="105"/>
        </w:rPr>
        <w:t>Considerando la función </w:t>
      </w:r>
      <w:r>
        <w:rPr>
          <w:rFonts w:ascii="Times New Roman" w:hAnsi="Times New Roman"/>
          <w:i/>
          <w:color w:val="231F20"/>
          <w:w w:val="105"/>
          <w:sz w:val="22"/>
        </w:rPr>
        <w:t>C </w:t>
      </w:r>
      <w:r>
        <w:rPr>
          <w:color w:val="231F20"/>
          <w:w w:val="105"/>
        </w:rPr>
        <w:t>(</w:t>
      </w:r>
      <w:r>
        <w:rPr>
          <w:rFonts w:ascii="Times New Roman" w:hAnsi="Times New Roman"/>
          <w:i/>
          <w:color w:val="231F20"/>
          <w:w w:val="105"/>
          <w:sz w:val="22"/>
        </w:rPr>
        <w:t>S</w:t>
      </w:r>
      <w:r>
        <w:rPr>
          <w:rFonts w:ascii="Times New Roman" w:hAnsi="Times New Roman"/>
          <w:i/>
          <w:color w:val="231F20"/>
          <w:w w:val="105"/>
          <w:position w:val="-4"/>
          <w:sz w:val="13"/>
        </w:rPr>
        <w:t>t </w:t>
      </w:r>
      <w:r>
        <w:rPr>
          <w:rFonts w:ascii="Times New Roman" w:hAnsi="Times New Roman"/>
          <w:i/>
          <w:color w:val="231F20"/>
          <w:w w:val="105"/>
          <w:sz w:val="22"/>
        </w:rPr>
        <w:t>, </w:t>
      </w:r>
      <w:r>
        <w:rPr>
          <w:rFonts w:ascii="Times New Roman" w:hAnsi="Times New Roman"/>
          <w:i/>
          <w:color w:val="231F20"/>
          <w:spacing w:val="8"/>
          <w:w w:val="105"/>
          <w:sz w:val="22"/>
        </w:rPr>
        <w:t>t</w:t>
      </w:r>
      <w:r>
        <w:rPr>
          <w:color w:val="231F20"/>
          <w:spacing w:val="8"/>
          <w:w w:val="105"/>
        </w:rPr>
        <w:t>) </w:t>
      </w:r>
      <w:r>
        <w:rPr>
          <w:color w:val="231F20"/>
          <w:w w:val="105"/>
        </w:rPr>
        <w:t>que representa el precio de</w:t>
      </w:r>
      <w:r>
        <w:rPr>
          <w:color w:val="231F20"/>
          <w:spacing w:val="-21"/>
          <w:w w:val="105"/>
        </w:rPr>
        <w:t> </w:t>
      </w:r>
      <w:r>
        <w:rPr>
          <w:color w:val="231F20"/>
          <w:w w:val="105"/>
        </w:rPr>
        <w:t>una opción</w:t>
      </w:r>
      <w:r>
        <w:rPr>
          <w:color w:val="231F20"/>
          <w:spacing w:val="-21"/>
          <w:w w:val="105"/>
        </w:rPr>
        <w:t> </w:t>
      </w:r>
      <w:r>
        <w:rPr>
          <w:i/>
          <w:color w:val="231F20"/>
          <w:w w:val="105"/>
        </w:rPr>
        <w:t>call</w:t>
      </w:r>
      <w:r>
        <w:rPr>
          <w:i/>
          <w:color w:val="231F20"/>
          <w:spacing w:val="-21"/>
          <w:w w:val="105"/>
        </w:rPr>
        <w:t> </w:t>
      </w:r>
      <w:r>
        <w:rPr>
          <w:color w:val="231F20"/>
          <w:w w:val="105"/>
        </w:rPr>
        <w:t>europea</w:t>
      </w:r>
      <w:r>
        <w:rPr>
          <w:color w:val="231F20"/>
          <w:spacing w:val="-21"/>
          <w:w w:val="105"/>
        </w:rPr>
        <w:t> </w:t>
      </w:r>
      <w:r>
        <w:rPr>
          <w:color w:val="231F20"/>
          <w:w w:val="105"/>
        </w:rPr>
        <w:t>a</w:t>
      </w:r>
      <w:r>
        <w:rPr>
          <w:color w:val="231F20"/>
          <w:spacing w:val="-21"/>
          <w:w w:val="105"/>
        </w:rPr>
        <w:t> </w:t>
      </w:r>
      <w:r>
        <w:rPr>
          <w:color w:val="231F20"/>
          <w:w w:val="105"/>
        </w:rPr>
        <w:t>través</w:t>
      </w:r>
      <w:r>
        <w:rPr>
          <w:color w:val="231F20"/>
          <w:spacing w:val="-21"/>
          <w:w w:val="105"/>
        </w:rPr>
        <w:t> </w:t>
      </w:r>
      <w:r>
        <w:rPr>
          <w:color w:val="231F20"/>
          <w:w w:val="105"/>
        </w:rPr>
        <w:t>del</w:t>
      </w:r>
      <w:r>
        <w:rPr>
          <w:color w:val="231F20"/>
          <w:spacing w:val="-21"/>
          <w:w w:val="105"/>
        </w:rPr>
        <w:t> </w:t>
      </w:r>
      <w:r>
        <w:rPr>
          <w:color w:val="231F20"/>
          <w:w w:val="105"/>
        </w:rPr>
        <w:t>tiempo</w:t>
      </w:r>
      <w:r>
        <w:rPr>
          <w:color w:val="231F20"/>
          <w:spacing w:val="-18"/>
          <w:w w:val="105"/>
        </w:rPr>
        <w:t> </w:t>
      </w:r>
      <w:r>
        <w:rPr>
          <w:rFonts w:ascii="Times New Roman" w:hAnsi="Times New Roman"/>
          <w:i/>
          <w:color w:val="231F20"/>
          <w:w w:val="105"/>
          <w:sz w:val="22"/>
        </w:rPr>
        <w:t>t</w:t>
      </w:r>
      <w:r>
        <w:rPr>
          <w:color w:val="231F20"/>
          <w:w w:val="105"/>
        </w:rPr>
        <w:t>,</w:t>
      </w:r>
      <w:r>
        <w:rPr>
          <w:color w:val="231F20"/>
          <w:spacing w:val="-37"/>
          <w:w w:val="105"/>
        </w:rPr>
        <w:t> </w:t>
      </w:r>
      <w:r>
        <w:rPr>
          <w:color w:val="231F20"/>
          <w:w w:val="105"/>
        </w:rPr>
        <w:t>Black</w:t>
      </w:r>
      <w:r>
        <w:rPr>
          <w:color w:val="231F20"/>
          <w:spacing w:val="-21"/>
          <w:w w:val="105"/>
        </w:rPr>
        <w:t> </w:t>
      </w:r>
      <w:r>
        <w:rPr>
          <w:color w:val="231F20"/>
          <w:w w:val="105"/>
        </w:rPr>
        <w:t>y</w:t>
      </w:r>
      <w:r>
        <w:rPr>
          <w:color w:val="231F20"/>
          <w:spacing w:val="-21"/>
          <w:w w:val="105"/>
        </w:rPr>
        <w:t> </w:t>
      </w:r>
      <w:r>
        <w:rPr>
          <w:color w:val="231F20"/>
          <w:w w:val="105"/>
        </w:rPr>
        <w:t>Scholes</w:t>
      </w:r>
      <w:r>
        <w:rPr>
          <w:color w:val="231F20"/>
          <w:spacing w:val="-21"/>
          <w:w w:val="105"/>
        </w:rPr>
        <w:t> </w:t>
      </w:r>
      <w:r>
        <w:rPr>
          <w:color w:val="231F20"/>
          <w:w w:val="105"/>
        </w:rPr>
        <w:t>llegan</w:t>
      </w:r>
      <w:r>
        <w:rPr>
          <w:color w:val="231F20"/>
          <w:spacing w:val="-21"/>
          <w:w w:val="105"/>
        </w:rPr>
        <w:t> </w:t>
      </w:r>
      <w:r>
        <w:rPr>
          <w:color w:val="231F20"/>
          <w:w w:val="105"/>
        </w:rPr>
        <w:t>al</w:t>
      </w:r>
      <w:r>
        <w:rPr>
          <w:color w:val="231F20"/>
          <w:spacing w:val="-21"/>
          <w:w w:val="105"/>
        </w:rPr>
        <w:t> </w:t>
      </w:r>
      <w:r>
        <w:rPr>
          <w:color w:val="231F20"/>
          <w:w w:val="105"/>
        </w:rPr>
        <w:t>precio de la opción de compra</w:t>
      </w:r>
      <w:r>
        <w:rPr>
          <w:color w:val="231F20"/>
          <w:spacing w:val="-40"/>
          <w:w w:val="105"/>
        </w:rPr>
        <w:t> </w:t>
      </w:r>
      <w:r>
        <w:rPr>
          <w:color w:val="231F20"/>
          <w:w w:val="105"/>
        </w:rPr>
        <w:t>(</w:t>
      </w:r>
      <w:r>
        <w:rPr>
          <w:i/>
          <w:color w:val="231F20"/>
          <w:w w:val="105"/>
        </w:rPr>
        <w:t>call</w:t>
      </w:r>
      <w:r>
        <w:rPr>
          <w:color w:val="231F20"/>
          <w:w w:val="105"/>
        </w:rPr>
        <w:t>):</w:t>
      </w:r>
    </w:p>
    <w:p>
      <w:pPr>
        <w:spacing w:before="160"/>
        <w:ind w:left="967" w:right="17" w:firstLine="0"/>
        <w:jc w:val="left"/>
        <w:rPr>
          <w:sz w:val="21"/>
        </w:rPr>
      </w:pPr>
      <w:r>
        <w:rPr>
          <w:position w:val="-18"/>
        </w:rPr>
        <w:drawing>
          <wp:inline distT="0" distB="0" distL="0" distR="0">
            <wp:extent cx="2253597" cy="289822"/>
            <wp:effectExtent l="0" t="0" r="0" b="0"/>
            <wp:docPr id="53" name="image68.jpeg" descr=""/>
            <wp:cNvGraphicFramePr>
              <a:graphicFrameLocks noChangeAspect="1"/>
            </wp:cNvGraphicFramePr>
            <a:graphic>
              <a:graphicData uri="http://schemas.openxmlformats.org/drawingml/2006/picture">
                <pic:pic>
                  <pic:nvPicPr>
                    <pic:cNvPr id="54" name="image68.jpeg"/>
                    <pic:cNvPicPr/>
                  </pic:nvPicPr>
                  <pic:blipFill>
                    <a:blip r:embed="rId92" cstate="print"/>
                    <a:stretch>
                      <a:fillRect/>
                    </a:stretch>
                  </pic:blipFill>
                  <pic:spPr>
                    <a:xfrm>
                      <a:off x="0" y="0"/>
                      <a:ext cx="2253597" cy="289822"/>
                    </a:xfrm>
                    <a:prstGeom prst="rect">
                      <a:avLst/>
                    </a:prstGeom>
                  </pic:spPr>
                </pic:pic>
              </a:graphicData>
            </a:graphic>
          </wp:inline>
        </w:drawing>
      </w:r>
      <w:r>
        <w:rPr>
          <w:position w:val="-18"/>
        </w:rPr>
      </w:r>
      <w:r>
        <w:rPr>
          <w:rFonts w:ascii="Times New Roman"/>
          <w:sz w:val="20"/>
        </w:rPr>
        <w:t>                                            </w:t>
      </w:r>
      <w:r>
        <w:rPr>
          <w:color w:val="231F20"/>
          <w:sz w:val="21"/>
        </w:rPr>
        <w:t>(3)</w:t>
      </w:r>
    </w:p>
    <w:p>
      <w:pPr>
        <w:pStyle w:val="BodyText"/>
        <w:spacing w:before="87"/>
        <w:ind w:left="117"/>
        <w:jc w:val="both"/>
      </w:pPr>
      <w:r>
        <w:rPr/>
        <w:drawing>
          <wp:anchor distT="0" distB="0" distL="0" distR="0" allowOverlap="1" layoutInCell="1" locked="0" behindDoc="0" simplePos="0" relativeHeight="7312">
            <wp:simplePos x="0" y="0"/>
            <wp:positionH relativeFrom="page">
              <wp:posOffset>1440002</wp:posOffset>
            </wp:positionH>
            <wp:positionV relativeFrom="paragraph">
              <wp:posOffset>320342</wp:posOffset>
            </wp:positionV>
            <wp:extent cx="1549400" cy="501129"/>
            <wp:effectExtent l="0" t="0" r="0" b="0"/>
            <wp:wrapNone/>
            <wp:docPr id="55" name="image69.jpeg" descr=""/>
            <wp:cNvGraphicFramePr>
              <a:graphicFrameLocks noChangeAspect="1"/>
            </wp:cNvGraphicFramePr>
            <a:graphic>
              <a:graphicData uri="http://schemas.openxmlformats.org/drawingml/2006/picture">
                <pic:pic>
                  <pic:nvPicPr>
                    <pic:cNvPr id="56" name="image69.jpeg"/>
                    <pic:cNvPicPr/>
                  </pic:nvPicPr>
                  <pic:blipFill>
                    <a:blip r:embed="rId93" cstate="print"/>
                    <a:stretch>
                      <a:fillRect/>
                    </a:stretch>
                  </pic:blipFill>
                  <pic:spPr>
                    <a:xfrm>
                      <a:off x="0" y="0"/>
                      <a:ext cx="1549400" cy="501129"/>
                    </a:xfrm>
                    <a:prstGeom prst="rect">
                      <a:avLst/>
                    </a:prstGeom>
                  </pic:spPr>
                </pic:pic>
              </a:graphicData>
            </a:graphic>
          </wp:anchor>
        </w:drawing>
      </w:r>
      <w:r>
        <w:rPr>
          <w:color w:val="231F20"/>
          <w:w w:val="105"/>
        </w:rPr>
        <w:t>Siendo </w:t>
      </w:r>
      <w:r>
        <w:rPr>
          <w:rFonts w:ascii="Times New Roman" w:hAnsi="Times New Roman"/>
          <w:i/>
          <w:color w:val="231F20"/>
          <w:w w:val="105"/>
          <w:sz w:val="22"/>
        </w:rPr>
        <w:t>N </w:t>
      </w:r>
      <w:r>
        <w:rPr>
          <w:color w:val="231F20"/>
          <w:w w:val="105"/>
        </w:rPr>
        <w:t>(</w:t>
      </w:r>
      <w:r>
        <w:rPr>
          <w:rFonts w:ascii="Times New Roman" w:hAnsi="Times New Roman"/>
          <w:b/>
          <w:color w:val="231F20"/>
          <w:w w:val="105"/>
          <w:position w:val="-1"/>
          <w:sz w:val="22"/>
        </w:rPr>
        <w:t>·</w:t>
      </w:r>
      <w:r>
        <w:rPr>
          <w:color w:val="231F20"/>
          <w:w w:val="105"/>
        </w:rPr>
        <w:t>) la distribución normal de probabilidad:</w:t>
      </w:r>
    </w:p>
    <w:p>
      <w:pPr>
        <w:pStyle w:val="BodyText"/>
        <w:rPr>
          <w:sz w:val="24"/>
        </w:rPr>
      </w:pPr>
    </w:p>
    <w:p>
      <w:pPr>
        <w:pStyle w:val="BodyText"/>
        <w:rPr>
          <w:sz w:val="24"/>
        </w:rPr>
      </w:pPr>
    </w:p>
    <w:p>
      <w:pPr>
        <w:pStyle w:val="BodyText"/>
        <w:spacing w:before="195"/>
        <w:ind w:left="103" w:right="137"/>
        <w:jc w:val="right"/>
      </w:pPr>
      <w:r>
        <w:rPr>
          <w:color w:val="231F20"/>
          <w:w w:val="95"/>
        </w:rPr>
        <w:t>(4)</w:t>
      </w:r>
    </w:p>
    <w:p>
      <w:pPr>
        <w:pStyle w:val="BodyText"/>
        <w:spacing w:before="4"/>
        <w:rPr>
          <w:sz w:val="16"/>
        </w:rPr>
      </w:pPr>
    </w:p>
    <w:p>
      <w:pPr>
        <w:pStyle w:val="BodyText"/>
        <w:ind w:left="117"/>
        <w:jc w:val="both"/>
      </w:pPr>
      <w:r>
        <w:rPr>
          <w:color w:val="231F20"/>
          <w:w w:val="105"/>
        </w:rPr>
        <w:t>Además:</w:t>
      </w:r>
    </w:p>
    <w:p>
      <w:pPr>
        <w:pStyle w:val="BodyText"/>
        <w:spacing w:before="6"/>
        <w:rPr>
          <w:sz w:val="17"/>
        </w:rPr>
      </w:pPr>
    </w:p>
    <w:p>
      <w:pPr>
        <w:spacing w:before="0"/>
        <w:ind w:left="967" w:right="17" w:firstLine="0"/>
        <w:jc w:val="left"/>
        <w:rPr>
          <w:sz w:val="21"/>
        </w:rPr>
      </w:pPr>
      <w:r>
        <w:rPr/>
        <w:drawing>
          <wp:inline distT="0" distB="0" distL="0" distR="0">
            <wp:extent cx="1711797" cy="563930"/>
            <wp:effectExtent l="0" t="0" r="0" b="0"/>
            <wp:docPr id="57" name="image70.jpeg" descr=""/>
            <wp:cNvGraphicFramePr>
              <a:graphicFrameLocks noChangeAspect="1"/>
            </wp:cNvGraphicFramePr>
            <a:graphic>
              <a:graphicData uri="http://schemas.openxmlformats.org/drawingml/2006/picture">
                <pic:pic>
                  <pic:nvPicPr>
                    <pic:cNvPr id="58" name="image70.jpeg"/>
                    <pic:cNvPicPr/>
                  </pic:nvPicPr>
                  <pic:blipFill>
                    <a:blip r:embed="rId94" cstate="print"/>
                    <a:stretch>
                      <a:fillRect/>
                    </a:stretch>
                  </pic:blipFill>
                  <pic:spPr>
                    <a:xfrm>
                      <a:off x="0" y="0"/>
                      <a:ext cx="1711797" cy="563930"/>
                    </a:xfrm>
                    <a:prstGeom prst="rect">
                      <a:avLst/>
                    </a:prstGeom>
                  </pic:spPr>
                </pic:pic>
              </a:graphicData>
            </a:graphic>
          </wp:inline>
        </w:drawing>
      </w:r>
      <w:r>
        <w:rPr/>
      </w:r>
      <w:r>
        <w:rPr>
          <w:rFonts w:ascii="Times New Roman"/>
          <w:sz w:val="20"/>
        </w:rPr>
        <w:t>                                                                </w:t>
      </w:r>
      <w:r>
        <w:rPr>
          <w:color w:val="231F20"/>
          <w:sz w:val="21"/>
        </w:rPr>
        <w:t>y</w:t>
      </w:r>
    </w:p>
    <w:p>
      <w:pPr>
        <w:spacing w:after="0"/>
        <w:jc w:val="left"/>
        <w:rPr>
          <w:sz w:val="21"/>
        </w:rPr>
        <w:sectPr>
          <w:type w:val="continuous"/>
          <w:pgSz w:w="9640" w:h="13890"/>
          <w:pgMar w:top="1300" w:bottom="280" w:left="1300" w:right="1200"/>
        </w:sectPr>
      </w:pPr>
    </w:p>
    <w:p>
      <w:pPr>
        <w:pStyle w:val="BodyText"/>
        <w:spacing w:before="4"/>
        <w:rPr>
          <w:sz w:val="9"/>
        </w:rPr>
      </w:pPr>
    </w:p>
    <w:p>
      <w:pPr>
        <w:pStyle w:val="BodyText"/>
        <w:ind w:left="103"/>
        <w:rPr>
          <w:sz w:val="20"/>
        </w:rPr>
      </w:pPr>
      <w:r>
        <w:rPr>
          <w:sz w:val="20"/>
        </w:rPr>
        <w:drawing>
          <wp:inline distT="0" distB="0" distL="0" distR="0">
            <wp:extent cx="1142394" cy="390144"/>
            <wp:effectExtent l="0" t="0" r="0" b="0"/>
            <wp:docPr id="59" name="image71.jpeg" descr=""/>
            <wp:cNvGraphicFramePr>
              <a:graphicFrameLocks noChangeAspect="1"/>
            </wp:cNvGraphicFramePr>
            <a:graphic>
              <a:graphicData uri="http://schemas.openxmlformats.org/drawingml/2006/picture">
                <pic:pic>
                  <pic:nvPicPr>
                    <pic:cNvPr id="60" name="image71.jpeg"/>
                    <pic:cNvPicPr/>
                  </pic:nvPicPr>
                  <pic:blipFill>
                    <a:blip r:embed="rId95" cstate="print"/>
                    <a:stretch>
                      <a:fillRect/>
                    </a:stretch>
                  </pic:blipFill>
                  <pic:spPr>
                    <a:xfrm>
                      <a:off x="0" y="0"/>
                      <a:ext cx="1142394" cy="390144"/>
                    </a:xfrm>
                    <a:prstGeom prst="rect">
                      <a:avLst/>
                    </a:prstGeom>
                  </pic:spPr>
                </pic:pic>
              </a:graphicData>
            </a:graphic>
          </wp:inline>
        </w:drawing>
      </w:r>
      <w:r>
        <w:rPr>
          <w:sz w:val="20"/>
        </w:rPr>
      </w:r>
    </w:p>
    <w:p>
      <w:pPr>
        <w:pStyle w:val="BodyText"/>
        <w:spacing w:before="3"/>
        <w:rPr>
          <w:sz w:val="15"/>
        </w:rPr>
      </w:pPr>
    </w:p>
    <w:p>
      <w:pPr>
        <w:pStyle w:val="BodyText"/>
        <w:spacing w:line="260" w:lineRule="exact" w:before="46"/>
        <w:ind w:left="103" w:right="112"/>
        <w:jc w:val="both"/>
      </w:pPr>
      <w:r>
        <w:rPr>
          <w:color w:val="231F20"/>
          <w:w w:val="105"/>
        </w:rPr>
        <w:t>Finalmente, usando la propiedad simétrica de la distribución </w:t>
      </w:r>
      <w:r>
        <w:rPr>
          <w:color w:val="231F20"/>
          <w:spacing w:val="2"/>
          <w:w w:val="105"/>
        </w:rPr>
        <w:t>normal   </w:t>
      </w:r>
      <w:r>
        <w:rPr>
          <w:rFonts w:ascii="Times New Roman" w:hAnsi="Times New Roman"/>
          <w:color w:val="231F20"/>
          <w:w w:val="105"/>
          <w:sz w:val="22"/>
        </w:rPr>
        <w:t>(</w:t>
      </w:r>
      <w:r>
        <w:rPr>
          <w:color w:val="231F20"/>
          <w:w w:val="105"/>
        </w:rPr>
        <w:t>1</w:t>
      </w:r>
      <w:r>
        <w:rPr>
          <w:color w:val="231F20"/>
          <w:spacing w:val="-1"/>
          <w:w w:val="105"/>
        </w:rPr>
        <w:t> </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i/>
          <w:color w:val="231F20"/>
          <w:w w:val="105"/>
          <w:sz w:val="22"/>
        </w:rPr>
        <w:t>N</w:t>
      </w:r>
      <w:r>
        <w:rPr>
          <w:rFonts w:ascii="Times New Roman" w:hAnsi="Times New Roman"/>
          <w:i/>
          <w:color w:val="231F20"/>
          <w:spacing w:val="3"/>
          <w:w w:val="105"/>
          <w:sz w:val="22"/>
        </w:rPr>
        <w:t> </w:t>
      </w:r>
      <w:r>
        <w:rPr>
          <w:rFonts w:ascii="Times New Roman" w:hAnsi="Times New Roman"/>
          <w:color w:val="231F20"/>
          <w:w w:val="105"/>
          <w:sz w:val="22"/>
        </w:rPr>
        <w:t>(</w:t>
      </w:r>
      <w:r>
        <w:rPr>
          <w:rFonts w:ascii="Times New Roman" w:hAnsi="Times New Roman"/>
          <w:i/>
          <w:color w:val="231F20"/>
          <w:w w:val="105"/>
          <w:sz w:val="22"/>
        </w:rPr>
        <w:t>d</w:t>
      </w:r>
      <w:r>
        <w:rPr>
          <w:rFonts w:ascii="Times New Roman" w:hAnsi="Times New Roman"/>
          <w:color w:val="231F20"/>
          <w:w w:val="105"/>
          <w:position w:val="-4"/>
          <w:sz w:val="13"/>
        </w:rPr>
        <w:t>1</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i/>
          <w:color w:val="231F20"/>
          <w:w w:val="105"/>
          <w:sz w:val="22"/>
        </w:rPr>
        <w:t>N</w:t>
      </w:r>
      <w:r>
        <w:rPr>
          <w:rFonts w:ascii="Times New Roman" w:hAnsi="Times New Roman"/>
          <w:i/>
          <w:color w:val="231F20"/>
          <w:spacing w:val="3"/>
          <w:w w:val="105"/>
          <w:sz w:val="22"/>
        </w:rPr>
        <w:t> </w:t>
      </w:r>
      <w:r>
        <w:rPr>
          <w:rFonts w:ascii="Times New Roman" w:hAnsi="Times New Roman"/>
          <w:color w:val="231F20"/>
          <w:w w:val="105"/>
          <w:sz w:val="22"/>
        </w:rPr>
        <w:t>(-</w:t>
      </w:r>
      <w:r>
        <w:rPr>
          <w:rFonts w:ascii="Times New Roman" w:hAnsi="Times New Roman"/>
          <w:i/>
          <w:color w:val="231F20"/>
          <w:w w:val="105"/>
          <w:sz w:val="22"/>
        </w:rPr>
        <w:t>d</w:t>
      </w:r>
      <w:r>
        <w:rPr>
          <w:rFonts w:ascii="Times New Roman" w:hAnsi="Times New Roman"/>
          <w:i/>
          <w:color w:val="231F20"/>
          <w:spacing w:val="-34"/>
          <w:w w:val="105"/>
          <w:sz w:val="22"/>
        </w:rPr>
        <w:t> </w:t>
      </w:r>
      <w:r>
        <w:rPr>
          <w:rFonts w:ascii="Times New Roman" w:hAnsi="Times New Roman"/>
          <w:color w:val="231F20"/>
          <w:w w:val="105"/>
          <w:sz w:val="22"/>
        </w:rPr>
        <w:t>)</w:t>
      </w:r>
      <w:r>
        <w:rPr>
          <w:color w:val="231F20"/>
          <w:w w:val="105"/>
        </w:rPr>
        <w:t>,</w:t>
      </w:r>
      <w:r>
        <w:rPr>
          <w:color w:val="231F20"/>
          <w:spacing w:val="-9"/>
          <w:w w:val="105"/>
        </w:rPr>
        <w:t> </w:t>
      </w:r>
      <w:r>
        <w:rPr>
          <w:color w:val="231F20"/>
          <w:w w:val="105"/>
        </w:rPr>
        <w:t>se</w:t>
      </w:r>
      <w:r>
        <w:rPr>
          <w:color w:val="231F20"/>
          <w:spacing w:val="-3"/>
          <w:w w:val="105"/>
        </w:rPr>
        <w:t> </w:t>
      </w:r>
      <w:r>
        <w:rPr>
          <w:color w:val="231F20"/>
          <w:w w:val="105"/>
        </w:rPr>
        <w:t>llega</w:t>
      </w:r>
      <w:r>
        <w:rPr>
          <w:color w:val="231F20"/>
          <w:spacing w:val="-3"/>
          <w:w w:val="105"/>
        </w:rPr>
        <w:t> </w:t>
      </w:r>
      <w:r>
        <w:rPr>
          <w:color w:val="231F20"/>
          <w:w w:val="105"/>
        </w:rPr>
        <w:t>a</w:t>
      </w:r>
      <w:r>
        <w:rPr>
          <w:color w:val="231F20"/>
          <w:spacing w:val="-3"/>
          <w:w w:val="105"/>
        </w:rPr>
        <w:t> </w:t>
      </w:r>
      <w:r>
        <w:rPr>
          <w:color w:val="231F20"/>
          <w:w w:val="105"/>
        </w:rPr>
        <w:t>la</w:t>
      </w:r>
      <w:r>
        <w:rPr>
          <w:color w:val="231F20"/>
          <w:spacing w:val="-3"/>
          <w:w w:val="105"/>
        </w:rPr>
        <w:t> </w:t>
      </w:r>
      <w:r>
        <w:rPr>
          <w:color w:val="231F20"/>
          <w:w w:val="105"/>
        </w:rPr>
        <w:t>expresión</w:t>
      </w:r>
      <w:r>
        <w:rPr>
          <w:color w:val="231F20"/>
          <w:spacing w:val="-3"/>
          <w:w w:val="105"/>
        </w:rPr>
        <w:t> </w:t>
      </w:r>
      <w:r>
        <w:rPr>
          <w:color w:val="231F20"/>
          <w:w w:val="105"/>
        </w:rPr>
        <w:t>para</w:t>
      </w:r>
      <w:r>
        <w:rPr>
          <w:color w:val="231F20"/>
          <w:spacing w:val="-3"/>
          <w:w w:val="105"/>
        </w:rPr>
        <w:t> </w:t>
      </w:r>
      <w:r>
        <w:rPr>
          <w:color w:val="231F20"/>
          <w:w w:val="105"/>
        </w:rPr>
        <w:t>calcular</w:t>
      </w:r>
      <w:r>
        <w:rPr>
          <w:color w:val="231F20"/>
          <w:spacing w:val="-3"/>
          <w:w w:val="105"/>
        </w:rPr>
        <w:t> </w:t>
      </w:r>
      <w:r>
        <w:rPr>
          <w:color w:val="231F20"/>
          <w:w w:val="105"/>
        </w:rPr>
        <w:t>el</w:t>
      </w:r>
      <w:r>
        <w:rPr>
          <w:color w:val="231F20"/>
          <w:spacing w:val="-3"/>
          <w:w w:val="105"/>
        </w:rPr>
        <w:t> </w:t>
      </w:r>
      <w:r>
        <w:rPr>
          <w:color w:val="231F20"/>
          <w:w w:val="105"/>
        </w:rPr>
        <w:t>precio</w:t>
      </w:r>
      <w:r>
        <w:rPr>
          <w:color w:val="231F20"/>
          <w:spacing w:val="-3"/>
          <w:w w:val="105"/>
        </w:rPr>
        <w:t> </w:t>
      </w:r>
      <w:r>
        <w:rPr>
          <w:color w:val="231F20"/>
          <w:w w:val="105"/>
        </w:rPr>
        <w:t>de</w:t>
      </w:r>
      <w:r>
        <w:rPr>
          <w:color w:val="231F20"/>
          <w:spacing w:val="-3"/>
          <w:w w:val="105"/>
        </w:rPr>
        <w:t> </w:t>
      </w:r>
      <w:r>
        <w:rPr>
          <w:color w:val="231F20"/>
          <w:w w:val="105"/>
        </w:rPr>
        <w:t>la opción</w:t>
      </w:r>
      <w:r>
        <w:rPr>
          <w:color w:val="231F20"/>
          <w:spacing w:val="23"/>
          <w:w w:val="105"/>
        </w:rPr>
        <w:t> </w:t>
      </w:r>
      <w:r>
        <w:rPr>
          <w:i/>
          <w:color w:val="231F20"/>
          <w:w w:val="105"/>
        </w:rPr>
        <w:t>put</w:t>
      </w:r>
      <w:r>
        <w:rPr>
          <w:color w:val="231F20"/>
          <w:w w:val="105"/>
        </w:rPr>
        <w:t>:</w:t>
      </w:r>
    </w:p>
    <w:p>
      <w:pPr>
        <w:pStyle w:val="BodyText"/>
        <w:spacing w:before="7"/>
        <w:rPr>
          <w:sz w:val="17"/>
        </w:rPr>
      </w:pPr>
    </w:p>
    <w:p>
      <w:pPr>
        <w:spacing w:before="0"/>
        <w:ind w:left="954" w:right="17" w:firstLine="0"/>
        <w:jc w:val="left"/>
        <w:rPr>
          <w:sz w:val="21"/>
        </w:rPr>
      </w:pPr>
      <w:r>
        <w:rPr/>
        <w:drawing>
          <wp:inline distT="0" distB="0" distL="0" distR="0">
            <wp:extent cx="2381490" cy="253415"/>
            <wp:effectExtent l="0" t="0" r="0" b="0"/>
            <wp:docPr id="61" name="image72.jpeg" descr=""/>
            <wp:cNvGraphicFramePr>
              <a:graphicFrameLocks noChangeAspect="1"/>
            </wp:cNvGraphicFramePr>
            <a:graphic>
              <a:graphicData uri="http://schemas.openxmlformats.org/drawingml/2006/picture">
                <pic:pic>
                  <pic:nvPicPr>
                    <pic:cNvPr id="62" name="image72.jpeg"/>
                    <pic:cNvPicPr/>
                  </pic:nvPicPr>
                  <pic:blipFill>
                    <a:blip r:embed="rId96" cstate="print"/>
                    <a:stretch>
                      <a:fillRect/>
                    </a:stretch>
                  </pic:blipFill>
                  <pic:spPr>
                    <a:xfrm>
                      <a:off x="0" y="0"/>
                      <a:ext cx="2381490" cy="253415"/>
                    </a:xfrm>
                    <a:prstGeom prst="rect">
                      <a:avLst/>
                    </a:prstGeom>
                  </pic:spPr>
                </pic:pic>
              </a:graphicData>
            </a:graphic>
          </wp:inline>
        </w:drawing>
      </w:r>
      <w:r>
        <w:rPr/>
      </w:r>
      <w:r>
        <w:rPr>
          <w:rFonts w:ascii="Times New Roman"/>
          <w:sz w:val="20"/>
        </w:rPr>
        <w:t>                                        </w:t>
      </w:r>
      <w:r>
        <w:rPr>
          <w:color w:val="231F20"/>
          <w:sz w:val="21"/>
        </w:rPr>
        <w:t>(5)</w:t>
      </w:r>
    </w:p>
    <w:p>
      <w:pPr>
        <w:pStyle w:val="BodyText"/>
        <w:spacing w:line="259" w:lineRule="auto" w:before="188"/>
        <w:ind w:left="103" w:right="115"/>
        <w:jc w:val="both"/>
      </w:pPr>
      <w:r>
        <w:rPr>
          <w:color w:val="231F20"/>
          <w:w w:val="105"/>
        </w:rPr>
        <w:t>Uno de los supuestos clave en la derivación del precio de una opción europea es la distribución de probabilidad que siguen los precios del activo subyacente durante la vigencia de la opción. En el caso del mo- delo</w:t>
      </w:r>
      <w:r>
        <w:rPr>
          <w:color w:val="231F20"/>
          <w:spacing w:val="-6"/>
          <w:w w:val="105"/>
        </w:rPr>
        <w:t> </w:t>
      </w:r>
      <w:r>
        <w:rPr>
          <w:color w:val="231F20"/>
          <w:w w:val="105"/>
        </w:rPr>
        <w:t>de</w:t>
      </w:r>
      <w:r>
        <w:rPr>
          <w:color w:val="231F20"/>
          <w:spacing w:val="-6"/>
          <w:w w:val="105"/>
        </w:rPr>
        <w:t> </w:t>
      </w:r>
      <w:r>
        <w:rPr>
          <w:color w:val="231F20"/>
          <w:w w:val="105"/>
        </w:rPr>
        <w:t>BS</w:t>
      </w:r>
      <w:r>
        <w:rPr>
          <w:color w:val="231F20"/>
          <w:spacing w:val="-6"/>
          <w:w w:val="105"/>
        </w:rPr>
        <w:t> </w:t>
      </w:r>
      <w:r>
        <w:rPr>
          <w:color w:val="231F20"/>
          <w:w w:val="105"/>
        </w:rPr>
        <w:t>se</w:t>
      </w:r>
      <w:r>
        <w:rPr>
          <w:color w:val="231F20"/>
          <w:spacing w:val="-6"/>
          <w:w w:val="105"/>
        </w:rPr>
        <w:t> </w:t>
      </w:r>
      <w:r>
        <w:rPr>
          <w:color w:val="231F20"/>
          <w:w w:val="105"/>
        </w:rPr>
        <w:t>asume</w:t>
      </w:r>
      <w:r>
        <w:rPr>
          <w:color w:val="231F20"/>
          <w:spacing w:val="-6"/>
          <w:w w:val="105"/>
        </w:rPr>
        <w:t> </w:t>
      </w:r>
      <w:r>
        <w:rPr>
          <w:color w:val="231F20"/>
          <w:w w:val="105"/>
        </w:rPr>
        <w:t>una</w:t>
      </w:r>
      <w:r>
        <w:rPr>
          <w:color w:val="231F20"/>
          <w:spacing w:val="-6"/>
          <w:w w:val="105"/>
        </w:rPr>
        <w:t> </w:t>
      </w:r>
      <w:r>
        <w:rPr>
          <w:color w:val="231F20"/>
          <w:w w:val="105"/>
        </w:rPr>
        <w:t>distribución</w:t>
      </w:r>
      <w:r>
        <w:rPr>
          <w:color w:val="231F20"/>
          <w:spacing w:val="-6"/>
          <w:w w:val="105"/>
        </w:rPr>
        <w:t> </w:t>
      </w:r>
      <w:r>
        <w:rPr>
          <w:color w:val="231F20"/>
          <w:w w:val="105"/>
        </w:rPr>
        <w:t>lognormal.</w:t>
      </w:r>
      <w:r>
        <w:rPr>
          <w:color w:val="231F20"/>
          <w:spacing w:val="-15"/>
          <w:w w:val="105"/>
        </w:rPr>
        <w:t> </w:t>
      </w:r>
      <w:r>
        <w:rPr>
          <w:color w:val="231F20"/>
          <w:w w:val="105"/>
        </w:rPr>
        <w:t>Ante</w:t>
      </w:r>
      <w:r>
        <w:rPr>
          <w:color w:val="231F20"/>
          <w:spacing w:val="-6"/>
          <w:w w:val="105"/>
        </w:rPr>
        <w:t> </w:t>
      </w:r>
      <w:r>
        <w:rPr>
          <w:color w:val="231F20"/>
          <w:w w:val="105"/>
        </w:rPr>
        <w:t>esto,</w:t>
      </w:r>
      <w:r>
        <w:rPr>
          <w:color w:val="231F20"/>
          <w:spacing w:val="-12"/>
          <w:w w:val="105"/>
        </w:rPr>
        <w:t> </w:t>
      </w:r>
      <w:r>
        <w:rPr>
          <w:color w:val="231F20"/>
          <w:w w:val="105"/>
        </w:rPr>
        <w:t>Hull</w:t>
      </w:r>
      <w:r>
        <w:rPr>
          <w:color w:val="231F20"/>
          <w:spacing w:val="-6"/>
          <w:w w:val="105"/>
        </w:rPr>
        <w:t> </w:t>
      </w:r>
      <w:r>
        <w:rPr>
          <w:color w:val="231F20"/>
          <w:w w:val="105"/>
        </w:rPr>
        <w:t>(1996) discute</w:t>
      </w:r>
      <w:r>
        <w:rPr>
          <w:color w:val="231F20"/>
          <w:spacing w:val="-14"/>
          <w:w w:val="105"/>
        </w:rPr>
        <w:t> </w:t>
      </w:r>
      <w:r>
        <w:rPr>
          <w:color w:val="231F20"/>
          <w:w w:val="105"/>
        </w:rPr>
        <w:t>el</w:t>
      </w:r>
      <w:r>
        <w:rPr>
          <w:color w:val="231F20"/>
          <w:spacing w:val="-14"/>
          <w:w w:val="105"/>
        </w:rPr>
        <w:t> </w:t>
      </w:r>
      <w:r>
        <w:rPr>
          <w:color w:val="231F20"/>
          <w:w w:val="105"/>
        </w:rPr>
        <w:t>sesgo</w:t>
      </w:r>
      <w:r>
        <w:rPr>
          <w:color w:val="231F20"/>
          <w:spacing w:val="-14"/>
          <w:w w:val="105"/>
        </w:rPr>
        <w:t> </w:t>
      </w:r>
      <w:r>
        <w:rPr>
          <w:color w:val="231F20"/>
          <w:w w:val="105"/>
        </w:rPr>
        <w:t>que</w:t>
      </w:r>
      <w:r>
        <w:rPr>
          <w:color w:val="231F20"/>
          <w:spacing w:val="-14"/>
          <w:w w:val="105"/>
        </w:rPr>
        <w:t> </w:t>
      </w:r>
      <w:r>
        <w:rPr>
          <w:color w:val="231F20"/>
          <w:w w:val="105"/>
        </w:rPr>
        <w:t>presenta</w:t>
      </w:r>
      <w:r>
        <w:rPr>
          <w:color w:val="231F20"/>
          <w:spacing w:val="-14"/>
          <w:w w:val="105"/>
        </w:rPr>
        <w:t> </w:t>
      </w:r>
      <w:r>
        <w:rPr>
          <w:color w:val="231F20"/>
          <w:w w:val="105"/>
        </w:rPr>
        <w:t>el</w:t>
      </w:r>
      <w:r>
        <w:rPr>
          <w:color w:val="231F20"/>
          <w:spacing w:val="-14"/>
          <w:w w:val="105"/>
        </w:rPr>
        <w:t> </w:t>
      </w:r>
      <w:r>
        <w:rPr>
          <w:color w:val="231F20"/>
          <w:w w:val="105"/>
        </w:rPr>
        <w:t>precio</w:t>
      </w:r>
      <w:r>
        <w:rPr>
          <w:color w:val="231F20"/>
          <w:spacing w:val="-14"/>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w w:val="105"/>
        </w:rPr>
        <w:t>opción</w:t>
      </w:r>
      <w:r>
        <w:rPr>
          <w:color w:val="231F20"/>
          <w:spacing w:val="-14"/>
          <w:w w:val="105"/>
        </w:rPr>
        <w:t> </w:t>
      </w:r>
      <w:r>
        <w:rPr>
          <w:color w:val="231F20"/>
          <w:w w:val="105"/>
        </w:rPr>
        <w:t>europea</w:t>
      </w:r>
      <w:r>
        <w:rPr>
          <w:color w:val="231F20"/>
          <w:spacing w:val="-14"/>
          <w:w w:val="105"/>
        </w:rPr>
        <w:t> </w:t>
      </w:r>
      <w:r>
        <w:rPr>
          <w:color w:val="231F20"/>
          <w:w w:val="105"/>
        </w:rPr>
        <w:t>al</w:t>
      </w:r>
      <w:r>
        <w:rPr>
          <w:color w:val="231F20"/>
          <w:spacing w:val="-14"/>
          <w:w w:val="105"/>
        </w:rPr>
        <w:t> </w:t>
      </w:r>
      <w:r>
        <w:rPr>
          <w:color w:val="231F20"/>
          <w:w w:val="105"/>
        </w:rPr>
        <w:t>utilizar la fórmula de BS cuando la verdadera distribución del precio del activo subyacente, al momento de expiración de la opción, difiere de la distri- bución</w:t>
      </w:r>
      <w:r>
        <w:rPr>
          <w:color w:val="231F20"/>
          <w:spacing w:val="20"/>
          <w:w w:val="105"/>
        </w:rPr>
        <w:t> </w:t>
      </w:r>
      <w:r>
        <w:rPr>
          <w:color w:val="231F20"/>
          <w:w w:val="105"/>
        </w:rPr>
        <w:t>lognormal.</w:t>
      </w:r>
    </w:p>
    <w:p>
      <w:pPr>
        <w:pStyle w:val="BodyText"/>
        <w:spacing w:line="259" w:lineRule="auto"/>
        <w:ind w:left="103" w:right="114" w:firstLine="567"/>
        <w:jc w:val="both"/>
      </w:pPr>
      <w:r>
        <w:rPr>
          <w:color w:val="231F20"/>
          <w:spacing w:val="-6"/>
          <w:w w:val="105"/>
        </w:rPr>
        <w:t>Por </w:t>
      </w:r>
      <w:r>
        <w:rPr>
          <w:color w:val="231F20"/>
          <w:w w:val="105"/>
        </w:rPr>
        <w:t>otro lado, estudios como el de Bollerslev </w:t>
      </w:r>
      <w:r>
        <w:rPr>
          <w:i/>
          <w:color w:val="231F20"/>
          <w:w w:val="105"/>
        </w:rPr>
        <w:t>et al</w:t>
      </w:r>
      <w:r>
        <w:rPr>
          <w:color w:val="231F20"/>
          <w:w w:val="105"/>
        </w:rPr>
        <w:t>. (1992) y</w:t>
      </w:r>
      <w:r>
        <w:rPr>
          <w:color w:val="231F20"/>
          <w:spacing w:val="-32"/>
          <w:w w:val="105"/>
        </w:rPr>
        <w:t> </w:t>
      </w:r>
      <w:r>
        <w:rPr>
          <w:color w:val="231F20"/>
          <w:w w:val="105"/>
        </w:rPr>
        <w:t>Hsieh (1989) indican que la volatilidad del tipo de cambio sigue un proceso estocástico. En concreto, las colas de la distribución calculada con los precios de mercado diarios son más gordas que los de la distribución logarítmica</w:t>
      </w:r>
      <w:r>
        <w:rPr>
          <w:color w:val="231F20"/>
          <w:spacing w:val="-25"/>
          <w:w w:val="105"/>
        </w:rPr>
        <w:t> </w:t>
      </w:r>
      <w:r>
        <w:rPr>
          <w:color w:val="231F20"/>
          <w:w w:val="105"/>
        </w:rPr>
        <w:t>normal</w:t>
      </w:r>
      <w:r>
        <w:rPr>
          <w:color w:val="231F20"/>
          <w:spacing w:val="-25"/>
          <w:w w:val="105"/>
        </w:rPr>
        <w:t> </w:t>
      </w:r>
      <w:r>
        <w:rPr>
          <w:color w:val="231F20"/>
          <w:w w:val="105"/>
        </w:rPr>
        <w:t>exhibiendo</w:t>
      </w:r>
      <w:r>
        <w:rPr>
          <w:color w:val="231F20"/>
          <w:spacing w:val="-25"/>
          <w:w w:val="105"/>
        </w:rPr>
        <w:t> </w:t>
      </w:r>
      <w:r>
        <w:rPr>
          <w:color w:val="231F20"/>
          <w:w w:val="105"/>
        </w:rPr>
        <w:t>leptocurtosis</w:t>
      </w:r>
      <w:r>
        <w:rPr>
          <w:color w:val="231F20"/>
          <w:spacing w:val="-25"/>
          <w:w w:val="105"/>
        </w:rPr>
        <w:t> </w:t>
      </w:r>
      <w:r>
        <w:rPr>
          <w:color w:val="231F20"/>
          <w:w w:val="105"/>
        </w:rPr>
        <w:t>(Gesser</w:t>
      </w:r>
      <w:r>
        <w:rPr>
          <w:color w:val="231F20"/>
          <w:spacing w:val="-25"/>
          <w:w w:val="105"/>
        </w:rPr>
        <w:t> </w:t>
      </w:r>
      <w:r>
        <w:rPr>
          <w:color w:val="231F20"/>
          <w:w w:val="105"/>
        </w:rPr>
        <w:t>y</w:t>
      </w:r>
      <w:r>
        <w:rPr>
          <w:color w:val="231F20"/>
          <w:spacing w:val="-25"/>
          <w:w w:val="105"/>
        </w:rPr>
        <w:t> </w:t>
      </w:r>
      <w:r>
        <w:rPr>
          <w:color w:val="231F20"/>
          <w:spacing w:val="-3"/>
          <w:w w:val="105"/>
        </w:rPr>
        <w:t>Poncet,</w:t>
      </w:r>
      <w:r>
        <w:rPr>
          <w:color w:val="231F20"/>
          <w:spacing w:val="-29"/>
          <w:w w:val="105"/>
        </w:rPr>
        <w:t> </w:t>
      </w:r>
      <w:r>
        <w:rPr>
          <w:color w:val="231F20"/>
          <w:w w:val="105"/>
        </w:rPr>
        <w:t>1997).</w:t>
      </w:r>
      <w:r>
        <w:rPr>
          <w:color w:val="231F20"/>
          <w:spacing w:val="-29"/>
          <w:w w:val="105"/>
        </w:rPr>
        <w:t> </w:t>
      </w:r>
      <w:r>
        <w:rPr>
          <w:color w:val="231F20"/>
          <w:spacing w:val="-6"/>
          <w:w w:val="105"/>
        </w:rPr>
        <w:t>Por </w:t>
      </w:r>
      <w:r>
        <w:rPr>
          <w:color w:val="231F20"/>
          <w:w w:val="105"/>
        </w:rPr>
        <w:t>lo</w:t>
      </w:r>
      <w:r>
        <w:rPr>
          <w:color w:val="231F20"/>
          <w:spacing w:val="-10"/>
          <w:w w:val="105"/>
        </w:rPr>
        <w:t> </w:t>
      </w:r>
      <w:r>
        <w:rPr>
          <w:color w:val="231F20"/>
          <w:w w:val="105"/>
        </w:rPr>
        <w:t>tanto,</w:t>
      </w:r>
      <w:r>
        <w:rPr>
          <w:color w:val="231F20"/>
          <w:spacing w:val="-17"/>
          <w:w w:val="105"/>
        </w:rPr>
        <w:t> </w:t>
      </w:r>
      <w:r>
        <w:rPr>
          <w:color w:val="231F20"/>
          <w:w w:val="105"/>
        </w:rPr>
        <w:t>la</w:t>
      </w:r>
      <w:r>
        <w:rPr>
          <w:color w:val="231F20"/>
          <w:spacing w:val="-10"/>
          <w:w w:val="105"/>
        </w:rPr>
        <w:t> </w:t>
      </w:r>
      <w:r>
        <w:rPr>
          <w:color w:val="231F20"/>
          <w:w w:val="105"/>
        </w:rPr>
        <w:t>volatilidad</w:t>
      </w:r>
      <w:r>
        <w:rPr>
          <w:color w:val="231F20"/>
          <w:spacing w:val="-10"/>
          <w:w w:val="105"/>
        </w:rPr>
        <w:t> </w:t>
      </w:r>
      <w:r>
        <w:rPr>
          <w:color w:val="231F20"/>
          <w:w w:val="105"/>
        </w:rPr>
        <w:t>estimada</w:t>
      </w:r>
      <w:r>
        <w:rPr>
          <w:color w:val="231F20"/>
          <w:spacing w:val="-10"/>
          <w:w w:val="105"/>
        </w:rPr>
        <w:t> </w:t>
      </w:r>
      <w:r>
        <w:rPr>
          <w:color w:val="231F20"/>
          <w:w w:val="105"/>
        </w:rPr>
        <w:t>a</w:t>
      </w:r>
      <w:r>
        <w:rPr>
          <w:color w:val="231F20"/>
          <w:spacing w:val="-10"/>
          <w:w w:val="105"/>
        </w:rPr>
        <w:t> </w:t>
      </w:r>
      <w:r>
        <w:rPr>
          <w:color w:val="231F20"/>
          <w:w w:val="105"/>
        </w:rPr>
        <w:t>partir</w:t>
      </w:r>
      <w:r>
        <w:rPr>
          <w:color w:val="231F20"/>
          <w:spacing w:val="-10"/>
          <w:w w:val="105"/>
        </w:rPr>
        <w:t> </w:t>
      </w:r>
      <w:r>
        <w:rPr>
          <w:color w:val="231F20"/>
          <w:w w:val="105"/>
        </w:rPr>
        <w:t>del</w:t>
      </w:r>
      <w:r>
        <w:rPr>
          <w:color w:val="231F20"/>
          <w:spacing w:val="-10"/>
          <w:w w:val="105"/>
        </w:rPr>
        <w:t> </w:t>
      </w:r>
      <w:r>
        <w:rPr>
          <w:color w:val="231F20"/>
          <w:w w:val="105"/>
        </w:rPr>
        <w:t>supuesto</w:t>
      </w:r>
      <w:r>
        <w:rPr>
          <w:color w:val="231F20"/>
          <w:spacing w:val="-10"/>
          <w:w w:val="105"/>
        </w:rPr>
        <w:t> </w:t>
      </w:r>
      <w:r>
        <w:rPr>
          <w:color w:val="231F20"/>
          <w:w w:val="105"/>
        </w:rPr>
        <w:t>de</w:t>
      </w:r>
      <w:r>
        <w:rPr>
          <w:color w:val="231F20"/>
          <w:spacing w:val="-10"/>
          <w:w w:val="105"/>
        </w:rPr>
        <w:t> </w:t>
      </w:r>
      <w:r>
        <w:rPr>
          <w:color w:val="231F20"/>
          <w:w w:val="105"/>
        </w:rPr>
        <w:t>volatilidad</w:t>
      </w:r>
      <w:r>
        <w:rPr>
          <w:color w:val="231F20"/>
          <w:spacing w:val="-10"/>
          <w:w w:val="105"/>
        </w:rPr>
        <w:t> </w:t>
      </w:r>
      <w:r>
        <w:rPr>
          <w:color w:val="231F20"/>
          <w:w w:val="105"/>
        </w:rPr>
        <w:t>cons- tante</w:t>
      </w:r>
      <w:r>
        <w:rPr>
          <w:color w:val="231F20"/>
          <w:spacing w:val="-16"/>
          <w:w w:val="105"/>
        </w:rPr>
        <w:t> </w:t>
      </w:r>
      <w:r>
        <w:rPr>
          <w:color w:val="231F20"/>
          <w:w w:val="105"/>
        </w:rPr>
        <w:t>de</w:t>
      </w:r>
      <w:r>
        <w:rPr>
          <w:color w:val="231F20"/>
          <w:spacing w:val="-16"/>
          <w:w w:val="105"/>
        </w:rPr>
        <w:t> </w:t>
      </w:r>
      <w:r>
        <w:rPr>
          <w:color w:val="231F20"/>
          <w:w w:val="105"/>
        </w:rPr>
        <w:t>BS</w:t>
      </w:r>
      <w:r>
        <w:rPr>
          <w:color w:val="231F20"/>
          <w:spacing w:val="-16"/>
          <w:w w:val="105"/>
        </w:rPr>
        <w:t> </w:t>
      </w:r>
      <w:r>
        <w:rPr>
          <w:color w:val="231F20"/>
          <w:w w:val="105"/>
        </w:rPr>
        <w:t>será</w:t>
      </w:r>
      <w:r>
        <w:rPr>
          <w:color w:val="231F20"/>
          <w:spacing w:val="-16"/>
          <w:w w:val="105"/>
        </w:rPr>
        <w:t> </w:t>
      </w:r>
      <w:r>
        <w:rPr>
          <w:color w:val="231F20"/>
          <w:w w:val="105"/>
        </w:rPr>
        <w:t>una</w:t>
      </w:r>
      <w:r>
        <w:rPr>
          <w:color w:val="231F20"/>
          <w:spacing w:val="-16"/>
          <w:w w:val="105"/>
        </w:rPr>
        <w:t> </w:t>
      </w:r>
      <w:r>
        <w:rPr>
          <w:color w:val="231F20"/>
          <w:w w:val="105"/>
        </w:rPr>
        <w:t>estimación</w:t>
      </w:r>
      <w:r>
        <w:rPr>
          <w:color w:val="231F20"/>
          <w:spacing w:val="-16"/>
          <w:w w:val="105"/>
        </w:rPr>
        <w:t> </w:t>
      </w:r>
      <w:r>
        <w:rPr>
          <w:color w:val="231F20"/>
          <w:w w:val="105"/>
        </w:rPr>
        <w:t>sesgada.</w:t>
      </w:r>
      <w:r>
        <w:rPr>
          <w:color w:val="231F20"/>
          <w:spacing w:val="-23"/>
          <w:w w:val="105"/>
        </w:rPr>
        <w:t> </w:t>
      </w:r>
      <w:r>
        <w:rPr>
          <w:color w:val="231F20"/>
          <w:w w:val="105"/>
        </w:rPr>
        <w:t>Varios</w:t>
      </w:r>
      <w:r>
        <w:rPr>
          <w:color w:val="231F20"/>
          <w:spacing w:val="-16"/>
          <w:w w:val="105"/>
        </w:rPr>
        <w:t> </w:t>
      </w:r>
      <w:r>
        <w:rPr>
          <w:color w:val="231F20"/>
          <w:w w:val="105"/>
        </w:rPr>
        <w:t>modelos</w:t>
      </w:r>
      <w:r>
        <w:rPr>
          <w:color w:val="231F20"/>
          <w:spacing w:val="-16"/>
          <w:w w:val="105"/>
        </w:rPr>
        <w:t> </w:t>
      </w:r>
      <w:r>
        <w:rPr>
          <w:color w:val="231F20"/>
          <w:w w:val="105"/>
        </w:rPr>
        <w:t>de</w:t>
      </w:r>
      <w:r>
        <w:rPr>
          <w:color w:val="231F20"/>
          <w:spacing w:val="-16"/>
          <w:w w:val="105"/>
        </w:rPr>
        <w:t> </w:t>
      </w:r>
      <w:r>
        <w:rPr>
          <w:color w:val="231F20"/>
          <w:w w:val="105"/>
        </w:rPr>
        <w:t>volatilidad estocástica de valoración de opciones (Hull y White, 1987; Scot, 1987; Wiggins, 1987; Melino y </w:t>
      </w:r>
      <w:r>
        <w:rPr>
          <w:color w:val="231F20"/>
          <w:spacing w:val="-3"/>
          <w:w w:val="105"/>
        </w:rPr>
        <w:t>Turnbull, </w:t>
      </w:r>
      <w:r>
        <w:rPr>
          <w:color w:val="231F20"/>
          <w:w w:val="105"/>
        </w:rPr>
        <w:t>1991; Heston, 1993; Bates, 1996) se han</w:t>
      </w:r>
      <w:r>
        <w:rPr>
          <w:color w:val="231F20"/>
          <w:spacing w:val="-18"/>
          <w:w w:val="105"/>
        </w:rPr>
        <w:t> </w:t>
      </w:r>
      <w:r>
        <w:rPr>
          <w:color w:val="231F20"/>
          <w:w w:val="105"/>
        </w:rPr>
        <w:t>desarrollado</w:t>
      </w:r>
      <w:r>
        <w:rPr>
          <w:color w:val="231F20"/>
          <w:spacing w:val="-18"/>
          <w:w w:val="105"/>
        </w:rPr>
        <w:t> </w:t>
      </w:r>
      <w:r>
        <w:rPr>
          <w:color w:val="231F20"/>
          <w:w w:val="105"/>
        </w:rPr>
        <w:t>para</w:t>
      </w:r>
      <w:r>
        <w:rPr>
          <w:color w:val="231F20"/>
          <w:spacing w:val="-18"/>
          <w:w w:val="105"/>
        </w:rPr>
        <w:t> </w:t>
      </w:r>
      <w:r>
        <w:rPr>
          <w:color w:val="231F20"/>
          <w:w w:val="105"/>
        </w:rPr>
        <w:t>resolver</w:t>
      </w:r>
      <w:r>
        <w:rPr>
          <w:color w:val="231F20"/>
          <w:spacing w:val="-18"/>
          <w:w w:val="105"/>
        </w:rPr>
        <w:t> </w:t>
      </w:r>
      <w:r>
        <w:rPr>
          <w:color w:val="231F20"/>
          <w:w w:val="105"/>
        </w:rPr>
        <w:t>el</w:t>
      </w:r>
      <w:r>
        <w:rPr>
          <w:color w:val="231F20"/>
          <w:spacing w:val="-18"/>
          <w:w w:val="105"/>
        </w:rPr>
        <w:t> </w:t>
      </w:r>
      <w:r>
        <w:rPr>
          <w:color w:val="231F20"/>
          <w:w w:val="105"/>
        </w:rPr>
        <w:t>supuesto</w:t>
      </w:r>
      <w:r>
        <w:rPr>
          <w:color w:val="231F20"/>
          <w:spacing w:val="-18"/>
          <w:w w:val="105"/>
        </w:rPr>
        <w:t> </w:t>
      </w:r>
      <w:r>
        <w:rPr>
          <w:color w:val="231F20"/>
          <w:w w:val="105"/>
        </w:rPr>
        <w:t>irrealista</w:t>
      </w:r>
      <w:r>
        <w:rPr>
          <w:color w:val="231F20"/>
          <w:spacing w:val="-18"/>
          <w:w w:val="105"/>
        </w:rPr>
        <w:t> </w:t>
      </w:r>
      <w:r>
        <w:rPr>
          <w:color w:val="231F20"/>
          <w:w w:val="105"/>
        </w:rPr>
        <w:t>de</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volatilidad de</w:t>
      </w:r>
      <w:r>
        <w:rPr>
          <w:color w:val="231F20"/>
          <w:spacing w:val="-19"/>
          <w:w w:val="105"/>
        </w:rPr>
        <w:t> </w:t>
      </w:r>
      <w:r>
        <w:rPr>
          <w:color w:val="231F20"/>
          <w:w w:val="105"/>
        </w:rPr>
        <w:t>los</w:t>
      </w:r>
      <w:r>
        <w:rPr>
          <w:color w:val="231F20"/>
          <w:spacing w:val="-19"/>
          <w:w w:val="105"/>
        </w:rPr>
        <w:t> </w:t>
      </w:r>
      <w:r>
        <w:rPr>
          <w:color w:val="231F20"/>
          <w:w w:val="105"/>
        </w:rPr>
        <w:t>rendimientos</w:t>
      </w:r>
      <w:r>
        <w:rPr>
          <w:color w:val="231F20"/>
          <w:spacing w:val="-19"/>
          <w:w w:val="105"/>
        </w:rPr>
        <w:t> </w:t>
      </w:r>
      <w:r>
        <w:rPr>
          <w:color w:val="231F20"/>
          <w:w w:val="105"/>
        </w:rPr>
        <w:t>es</w:t>
      </w:r>
      <w:r>
        <w:rPr>
          <w:color w:val="231F20"/>
          <w:spacing w:val="-19"/>
          <w:w w:val="105"/>
        </w:rPr>
        <w:t> </w:t>
      </w:r>
      <w:r>
        <w:rPr>
          <w:color w:val="231F20"/>
          <w:w w:val="105"/>
        </w:rPr>
        <w:t>constante.</w:t>
      </w:r>
    </w:p>
    <w:p>
      <w:pPr>
        <w:pStyle w:val="BodyText"/>
        <w:spacing w:line="259" w:lineRule="auto"/>
        <w:ind w:left="103" w:right="115" w:firstLine="567"/>
        <w:jc w:val="both"/>
      </w:pPr>
      <w:r>
        <w:rPr>
          <w:color w:val="231F20"/>
          <w:w w:val="105"/>
        </w:rPr>
        <w:t>En este trabajo se adopta el modelo de volatilidad estocástica de Heston</w:t>
      </w:r>
      <w:r>
        <w:rPr>
          <w:color w:val="231F20"/>
          <w:spacing w:val="-8"/>
          <w:w w:val="105"/>
        </w:rPr>
        <w:t> </w:t>
      </w:r>
      <w:r>
        <w:rPr>
          <w:color w:val="231F20"/>
          <w:w w:val="105"/>
        </w:rPr>
        <w:t>(1993)</w:t>
      </w:r>
      <w:r>
        <w:rPr>
          <w:color w:val="231F20"/>
          <w:spacing w:val="-8"/>
          <w:w w:val="105"/>
        </w:rPr>
        <w:t> </w:t>
      </w:r>
      <w:r>
        <w:rPr>
          <w:color w:val="231F20"/>
          <w:w w:val="105"/>
        </w:rPr>
        <w:t>para</w:t>
      </w:r>
      <w:r>
        <w:rPr>
          <w:color w:val="231F20"/>
          <w:spacing w:val="-8"/>
          <w:w w:val="105"/>
        </w:rPr>
        <w:t> </w:t>
      </w:r>
      <w:r>
        <w:rPr>
          <w:color w:val="231F20"/>
          <w:w w:val="105"/>
        </w:rPr>
        <w:t>investigar</w:t>
      </w:r>
      <w:r>
        <w:rPr>
          <w:color w:val="231F20"/>
          <w:spacing w:val="-8"/>
          <w:w w:val="105"/>
        </w:rPr>
        <w:t> </w:t>
      </w:r>
      <w:r>
        <w:rPr>
          <w:color w:val="231F20"/>
          <w:w w:val="105"/>
        </w:rPr>
        <w:t>su</w:t>
      </w:r>
      <w:r>
        <w:rPr>
          <w:color w:val="231F20"/>
          <w:spacing w:val="-8"/>
          <w:w w:val="105"/>
        </w:rPr>
        <w:t> </w:t>
      </w:r>
      <w:r>
        <w:rPr>
          <w:color w:val="231F20"/>
          <w:w w:val="105"/>
        </w:rPr>
        <w:t>desempeño</w:t>
      </w:r>
      <w:r>
        <w:rPr>
          <w:color w:val="231F20"/>
          <w:spacing w:val="-8"/>
          <w:w w:val="105"/>
        </w:rPr>
        <w:t> </w:t>
      </w:r>
      <w:r>
        <w:rPr>
          <w:color w:val="231F20"/>
          <w:w w:val="105"/>
        </w:rPr>
        <w:t>en</w:t>
      </w:r>
      <w:r>
        <w:rPr>
          <w:color w:val="231F20"/>
          <w:spacing w:val="-8"/>
          <w:w w:val="105"/>
        </w:rPr>
        <w:t> </w:t>
      </w:r>
      <w:r>
        <w:rPr>
          <w:color w:val="231F20"/>
          <w:w w:val="105"/>
        </w:rPr>
        <w:t>relación</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modelo de</w:t>
      </w:r>
      <w:r>
        <w:rPr>
          <w:color w:val="231F20"/>
          <w:spacing w:val="-7"/>
          <w:w w:val="105"/>
        </w:rPr>
        <w:t> </w:t>
      </w:r>
      <w:r>
        <w:rPr>
          <w:color w:val="231F20"/>
          <w:w w:val="105"/>
        </w:rPr>
        <w:t>Black</w:t>
      </w:r>
      <w:r>
        <w:rPr>
          <w:color w:val="231F20"/>
          <w:spacing w:val="-7"/>
          <w:w w:val="105"/>
        </w:rPr>
        <w:t> </w:t>
      </w:r>
      <w:r>
        <w:rPr>
          <w:color w:val="231F20"/>
          <w:w w:val="105"/>
        </w:rPr>
        <w:t>y</w:t>
      </w:r>
      <w:r>
        <w:rPr>
          <w:color w:val="231F20"/>
          <w:spacing w:val="-7"/>
          <w:w w:val="105"/>
        </w:rPr>
        <w:t> </w:t>
      </w:r>
      <w:r>
        <w:rPr>
          <w:color w:val="231F20"/>
          <w:w w:val="105"/>
        </w:rPr>
        <w:t>Scholes</w:t>
      </w:r>
      <w:r>
        <w:rPr>
          <w:color w:val="231F20"/>
          <w:spacing w:val="-7"/>
          <w:w w:val="105"/>
        </w:rPr>
        <w:t> </w:t>
      </w:r>
      <w:r>
        <w:rPr>
          <w:color w:val="231F20"/>
          <w:w w:val="105"/>
        </w:rPr>
        <w:t>(1973)</w:t>
      </w:r>
      <w:r>
        <w:rPr>
          <w:color w:val="231F20"/>
          <w:spacing w:val="-7"/>
          <w:w w:val="105"/>
        </w:rPr>
        <w:t> </w:t>
      </w:r>
      <w:r>
        <w:rPr>
          <w:color w:val="231F20"/>
          <w:w w:val="105"/>
        </w:rPr>
        <w:t>y</w:t>
      </w:r>
      <w:r>
        <w:rPr>
          <w:color w:val="231F20"/>
          <w:spacing w:val="-7"/>
          <w:w w:val="105"/>
        </w:rPr>
        <w:t> </w:t>
      </w:r>
      <w:r>
        <w:rPr>
          <w:color w:val="231F20"/>
          <w:w w:val="105"/>
        </w:rPr>
        <w:t>explorar</w:t>
      </w:r>
      <w:r>
        <w:rPr>
          <w:color w:val="231F20"/>
          <w:spacing w:val="-7"/>
          <w:w w:val="105"/>
        </w:rPr>
        <w:t> </w:t>
      </w:r>
      <w:r>
        <w:rPr>
          <w:color w:val="231F20"/>
          <w:w w:val="105"/>
        </w:rPr>
        <w:t>el</w:t>
      </w:r>
      <w:r>
        <w:rPr>
          <w:color w:val="231F20"/>
          <w:spacing w:val="-7"/>
          <w:w w:val="105"/>
        </w:rPr>
        <w:t> </w:t>
      </w:r>
      <w:r>
        <w:rPr>
          <w:color w:val="231F20"/>
          <w:w w:val="105"/>
        </w:rPr>
        <w:t>proceso</w:t>
      </w:r>
      <w:r>
        <w:rPr>
          <w:color w:val="231F20"/>
          <w:spacing w:val="-7"/>
          <w:w w:val="105"/>
        </w:rPr>
        <w:t> </w:t>
      </w:r>
      <w:r>
        <w:rPr>
          <w:color w:val="231F20"/>
          <w:w w:val="105"/>
        </w:rPr>
        <w:t>de</w:t>
      </w:r>
      <w:r>
        <w:rPr>
          <w:color w:val="231F20"/>
          <w:spacing w:val="-7"/>
          <w:w w:val="105"/>
        </w:rPr>
        <w:t> </w:t>
      </w:r>
      <w:r>
        <w:rPr>
          <w:color w:val="231F20"/>
          <w:w w:val="105"/>
        </w:rPr>
        <w:t>tipo</w:t>
      </w:r>
      <w:r>
        <w:rPr>
          <w:color w:val="231F20"/>
          <w:spacing w:val="-7"/>
          <w:w w:val="105"/>
        </w:rPr>
        <w:t> </w:t>
      </w:r>
      <w:r>
        <w:rPr>
          <w:color w:val="231F20"/>
          <w:w w:val="105"/>
        </w:rPr>
        <w:t>de</w:t>
      </w:r>
      <w:r>
        <w:rPr>
          <w:color w:val="231F20"/>
          <w:spacing w:val="-7"/>
          <w:w w:val="105"/>
        </w:rPr>
        <w:t> </w:t>
      </w:r>
      <w:r>
        <w:rPr>
          <w:color w:val="231F20"/>
          <w:w w:val="105"/>
        </w:rPr>
        <w:t>cambio</w:t>
      </w:r>
      <w:r>
        <w:rPr>
          <w:color w:val="231F20"/>
          <w:spacing w:val="-7"/>
          <w:w w:val="105"/>
        </w:rPr>
        <w:t> </w:t>
      </w:r>
      <w:r>
        <w:rPr>
          <w:color w:val="231F20"/>
          <w:w w:val="105"/>
        </w:rPr>
        <w:t>en</w:t>
      </w:r>
      <w:r>
        <w:rPr>
          <w:color w:val="231F20"/>
          <w:spacing w:val="-7"/>
          <w:w w:val="105"/>
        </w:rPr>
        <w:t> </w:t>
      </w:r>
      <w:r>
        <w:rPr>
          <w:color w:val="231F20"/>
          <w:w w:val="105"/>
        </w:rPr>
        <w:t>la estimación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parámetros</w:t>
      </w:r>
      <w:r>
        <w:rPr>
          <w:color w:val="231F20"/>
          <w:spacing w:val="-11"/>
          <w:w w:val="105"/>
        </w:rPr>
        <w:t> </w:t>
      </w:r>
      <w:r>
        <w:rPr>
          <w:color w:val="231F20"/>
          <w:w w:val="105"/>
        </w:rPr>
        <w:t>del</w:t>
      </w:r>
      <w:r>
        <w:rPr>
          <w:color w:val="231F20"/>
          <w:spacing w:val="-11"/>
          <w:w w:val="105"/>
        </w:rPr>
        <w:t> </w:t>
      </w:r>
      <w:r>
        <w:rPr>
          <w:color w:val="231F20"/>
          <w:w w:val="105"/>
        </w:rPr>
        <w:t>modelo</w:t>
      </w:r>
      <w:r>
        <w:rPr>
          <w:color w:val="231F20"/>
          <w:spacing w:val="-11"/>
          <w:w w:val="105"/>
        </w:rPr>
        <w:t> </w:t>
      </w:r>
      <w:r>
        <w:rPr>
          <w:color w:val="231F20"/>
          <w:w w:val="105"/>
        </w:rPr>
        <w:t>de</w:t>
      </w:r>
      <w:r>
        <w:rPr>
          <w:color w:val="231F20"/>
          <w:spacing w:val="-11"/>
          <w:w w:val="105"/>
        </w:rPr>
        <w:t> </w:t>
      </w:r>
      <w:r>
        <w:rPr>
          <w:color w:val="231F20"/>
          <w:w w:val="105"/>
        </w:rPr>
        <w:t>Heston.</w:t>
      </w:r>
    </w:p>
    <w:p>
      <w:pPr>
        <w:pStyle w:val="BodyText"/>
        <w:spacing w:line="259" w:lineRule="auto"/>
        <w:ind w:left="103" w:right="109" w:firstLine="567"/>
        <w:jc w:val="both"/>
      </w:pPr>
      <w:r>
        <w:rPr>
          <w:color w:val="231F20"/>
          <w:w w:val="105"/>
        </w:rPr>
        <w:t>Al</w:t>
      </w:r>
      <w:r>
        <w:rPr>
          <w:color w:val="231F20"/>
          <w:spacing w:val="-6"/>
          <w:w w:val="105"/>
        </w:rPr>
        <w:t> </w:t>
      </w:r>
      <w:r>
        <w:rPr>
          <w:color w:val="231F20"/>
          <w:w w:val="105"/>
        </w:rPr>
        <w:t>sostener</w:t>
      </w:r>
      <w:r>
        <w:rPr>
          <w:color w:val="231F20"/>
          <w:spacing w:val="-6"/>
          <w:w w:val="105"/>
        </w:rPr>
        <w:t> </w:t>
      </w:r>
      <w:r>
        <w:rPr>
          <w:color w:val="231F20"/>
          <w:w w:val="105"/>
        </w:rPr>
        <w:t>el</w:t>
      </w:r>
      <w:r>
        <w:rPr>
          <w:color w:val="231F20"/>
          <w:spacing w:val="-6"/>
          <w:w w:val="105"/>
        </w:rPr>
        <w:t> </w:t>
      </w:r>
      <w:r>
        <w:rPr>
          <w:color w:val="231F20"/>
          <w:w w:val="105"/>
        </w:rPr>
        <w:t>supuesto</w:t>
      </w:r>
      <w:r>
        <w:rPr>
          <w:color w:val="231F20"/>
          <w:spacing w:val="-6"/>
          <w:w w:val="105"/>
        </w:rPr>
        <w:t> </w:t>
      </w:r>
      <w:r>
        <w:rPr>
          <w:color w:val="231F20"/>
          <w:w w:val="105"/>
        </w:rPr>
        <w:t>de</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correlación</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volatilidad</w:t>
      </w:r>
      <w:r>
        <w:rPr>
          <w:color w:val="231F20"/>
          <w:spacing w:val="-6"/>
          <w:w w:val="105"/>
        </w:rPr>
        <w:t> </w:t>
      </w:r>
      <w:r>
        <w:rPr>
          <w:color w:val="231F20"/>
          <w:w w:val="105"/>
        </w:rPr>
        <w:t>y el</w:t>
      </w:r>
      <w:r>
        <w:rPr>
          <w:color w:val="231F20"/>
          <w:spacing w:val="-16"/>
          <w:w w:val="105"/>
        </w:rPr>
        <w:t> </w:t>
      </w:r>
      <w:r>
        <w:rPr>
          <w:color w:val="231F20"/>
          <w:w w:val="105"/>
        </w:rPr>
        <w:t>rendimiento</w:t>
      </w:r>
      <w:r>
        <w:rPr>
          <w:color w:val="231F20"/>
          <w:spacing w:val="-16"/>
          <w:w w:val="105"/>
        </w:rPr>
        <w:t> </w:t>
      </w:r>
      <w:r>
        <w:rPr>
          <w:color w:val="231F20"/>
          <w:w w:val="105"/>
        </w:rPr>
        <w:t>al</w:t>
      </w:r>
      <w:r>
        <w:rPr>
          <w:color w:val="231F20"/>
          <w:spacing w:val="-16"/>
          <w:w w:val="105"/>
        </w:rPr>
        <w:t> </w:t>
      </w:r>
      <w:r>
        <w:rPr>
          <w:color w:val="231F20"/>
          <w:w w:val="105"/>
        </w:rPr>
        <w:t>contado</w:t>
      </w:r>
      <w:r>
        <w:rPr>
          <w:color w:val="231F20"/>
          <w:spacing w:val="-16"/>
          <w:w w:val="105"/>
        </w:rPr>
        <w:t> </w:t>
      </w:r>
      <w:r>
        <w:rPr>
          <w:color w:val="231F20"/>
          <w:w w:val="105"/>
        </w:rPr>
        <w:t>es</w:t>
      </w:r>
      <w:r>
        <w:rPr>
          <w:color w:val="231F20"/>
          <w:spacing w:val="-16"/>
          <w:w w:val="105"/>
        </w:rPr>
        <w:t> </w:t>
      </w:r>
      <w:r>
        <w:rPr>
          <w:color w:val="231F20"/>
          <w:w w:val="105"/>
        </w:rPr>
        <w:t>cero,</w:t>
      </w:r>
      <w:r>
        <w:rPr>
          <w:color w:val="231F20"/>
          <w:spacing w:val="-23"/>
          <w:w w:val="105"/>
        </w:rPr>
        <w:t> </w:t>
      </w:r>
      <w:r>
        <w:rPr>
          <w:color w:val="231F20"/>
          <w:w w:val="105"/>
        </w:rPr>
        <w:t>Heston</w:t>
      </w:r>
      <w:r>
        <w:rPr>
          <w:color w:val="231F20"/>
          <w:spacing w:val="-16"/>
          <w:w w:val="105"/>
        </w:rPr>
        <w:t> </w:t>
      </w:r>
      <w:r>
        <w:rPr>
          <w:color w:val="231F20"/>
          <w:w w:val="105"/>
        </w:rPr>
        <w:t>(1993)</w:t>
      </w:r>
      <w:r>
        <w:rPr>
          <w:color w:val="231F20"/>
          <w:spacing w:val="-16"/>
          <w:w w:val="105"/>
        </w:rPr>
        <w:t> </w:t>
      </w:r>
      <w:r>
        <w:rPr>
          <w:color w:val="231F20"/>
          <w:w w:val="105"/>
        </w:rPr>
        <w:t>obtuvo</w:t>
      </w:r>
      <w:r>
        <w:rPr>
          <w:color w:val="231F20"/>
          <w:spacing w:val="-16"/>
          <w:w w:val="105"/>
        </w:rPr>
        <w:t> </w:t>
      </w:r>
      <w:r>
        <w:rPr>
          <w:color w:val="231F20"/>
          <w:w w:val="105"/>
        </w:rPr>
        <w:t>una</w:t>
      </w:r>
      <w:r>
        <w:rPr>
          <w:color w:val="231F20"/>
          <w:spacing w:val="-16"/>
          <w:w w:val="105"/>
        </w:rPr>
        <w:t> </w:t>
      </w:r>
      <w:r>
        <w:rPr>
          <w:color w:val="231F20"/>
          <w:w w:val="105"/>
        </w:rPr>
        <w:t>solución</w:t>
      </w:r>
      <w:r>
        <w:rPr>
          <w:color w:val="231F20"/>
          <w:spacing w:val="-16"/>
          <w:w w:val="105"/>
        </w:rPr>
        <w:t> </w:t>
      </w:r>
      <w:r>
        <w:rPr>
          <w:color w:val="231F20"/>
          <w:w w:val="105"/>
        </w:rPr>
        <w:t>de forma</w:t>
      </w:r>
      <w:r>
        <w:rPr>
          <w:color w:val="231F20"/>
          <w:spacing w:val="-18"/>
          <w:w w:val="105"/>
        </w:rPr>
        <w:t> </w:t>
      </w:r>
      <w:r>
        <w:rPr>
          <w:color w:val="231F20"/>
          <w:w w:val="105"/>
        </w:rPr>
        <w:t>cerrada</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opción</w:t>
      </w:r>
      <w:r>
        <w:rPr>
          <w:color w:val="231F20"/>
          <w:spacing w:val="-18"/>
          <w:w w:val="105"/>
        </w:rPr>
        <w:t> </w:t>
      </w:r>
      <w:r>
        <w:rPr>
          <w:color w:val="231F20"/>
          <w:w w:val="105"/>
        </w:rPr>
        <w:t>europea</w:t>
      </w:r>
      <w:r>
        <w:rPr>
          <w:color w:val="231F20"/>
          <w:spacing w:val="-18"/>
          <w:w w:val="105"/>
        </w:rPr>
        <w:t> </w:t>
      </w:r>
      <w:r>
        <w:rPr>
          <w:color w:val="231F20"/>
          <w:w w:val="105"/>
        </w:rPr>
        <w:t>sobre</w:t>
      </w:r>
      <w:r>
        <w:rPr>
          <w:color w:val="231F20"/>
          <w:spacing w:val="-18"/>
          <w:w w:val="105"/>
        </w:rPr>
        <w:t> </w:t>
      </w:r>
      <w:r>
        <w:rPr>
          <w:color w:val="231F20"/>
          <w:w w:val="105"/>
        </w:rPr>
        <w:t>un</w:t>
      </w:r>
      <w:r>
        <w:rPr>
          <w:color w:val="231F20"/>
          <w:spacing w:val="-18"/>
          <w:w w:val="105"/>
        </w:rPr>
        <w:t> </w:t>
      </w:r>
      <w:r>
        <w:rPr>
          <w:color w:val="231F20"/>
          <w:w w:val="105"/>
        </w:rPr>
        <w:t>activo</w:t>
      </w:r>
      <w:r>
        <w:rPr>
          <w:color w:val="231F20"/>
          <w:spacing w:val="-18"/>
          <w:w w:val="105"/>
        </w:rPr>
        <w:t> </w:t>
      </w:r>
      <w:r>
        <w:rPr>
          <w:color w:val="231F20"/>
          <w:w w:val="105"/>
        </w:rPr>
        <w:t>subyacente,</w:t>
      </w:r>
      <w:r>
        <w:rPr>
          <w:color w:val="231F20"/>
          <w:spacing w:val="-23"/>
          <w:w w:val="105"/>
        </w:rPr>
        <w:t> </w:t>
      </w:r>
      <w:r>
        <w:rPr>
          <w:color w:val="231F20"/>
          <w:w w:val="105"/>
        </w:rPr>
        <w:t>inclu- yendo</w:t>
      </w:r>
      <w:r>
        <w:rPr>
          <w:color w:val="231F20"/>
          <w:spacing w:val="-9"/>
          <w:w w:val="105"/>
        </w:rPr>
        <w:t> </w:t>
      </w:r>
      <w:r>
        <w:rPr>
          <w:color w:val="231F20"/>
          <w:w w:val="105"/>
        </w:rPr>
        <w:t>acciones,</w:t>
      </w:r>
      <w:r>
        <w:rPr>
          <w:color w:val="231F20"/>
          <w:spacing w:val="-14"/>
          <w:w w:val="105"/>
        </w:rPr>
        <w:t> </w:t>
      </w:r>
      <w:r>
        <w:rPr>
          <w:color w:val="231F20"/>
          <w:w w:val="105"/>
        </w:rPr>
        <w:t>divisas</w:t>
      </w:r>
      <w:r>
        <w:rPr>
          <w:color w:val="231F20"/>
          <w:spacing w:val="-9"/>
          <w:w w:val="105"/>
        </w:rPr>
        <w:t> </w:t>
      </w:r>
      <w:r>
        <w:rPr>
          <w:color w:val="231F20"/>
          <w:w w:val="105"/>
        </w:rPr>
        <w:t>y</w:t>
      </w:r>
      <w:r>
        <w:rPr>
          <w:color w:val="231F20"/>
          <w:spacing w:val="-9"/>
          <w:w w:val="105"/>
        </w:rPr>
        <w:t> </w:t>
      </w:r>
      <w:r>
        <w:rPr>
          <w:color w:val="231F20"/>
          <w:w w:val="105"/>
        </w:rPr>
        <w:t>bonos</w:t>
      </w:r>
      <w:r>
        <w:rPr>
          <w:color w:val="231F20"/>
          <w:spacing w:val="-9"/>
          <w:w w:val="105"/>
        </w:rPr>
        <w:t> </w:t>
      </w:r>
      <w:r>
        <w:rPr>
          <w:color w:val="231F20"/>
          <w:w w:val="105"/>
        </w:rPr>
        <w:t>con</w:t>
      </w:r>
      <w:r>
        <w:rPr>
          <w:color w:val="231F20"/>
          <w:spacing w:val="-9"/>
          <w:w w:val="105"/>
        </w:rPr>
        <w:t> </w:t>
      </w:r>
      <w:r>
        <w:rPr>
          <w:color w:val="231F20"/>
          <w:w w:val="105"/>
        </w:rPr>
        <w:t>una</w:t>
      </w:r>
      <w:r>
        <w:rPr>
          <w:color w:val="231F20"/>
          <w:spacing w:val="-9"/>
          <w:w w:val="105"/>
        </w:rPr>
        <w:t> </w:t>
      </w:r>
      <w:r>
        <w:rPr>
          <w:color w:val="231F20"/>
          <w:w w:val="105"/>
        </w:rPr>
        <w:t>reversión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media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raíz cuadrada de volatilidad estocástica. </w:t>
      </w:r>
      <w:r>
        <w:rPr>
          <w:color w:val="231F20"/>
          <w:spacing w:val="-3"/>
          <w:w w:val="105"/>
        </w:rPr>
        <w:t>También </w:t>
      </w:r>
      <w:r>
        <w:rPr>
          <w:color w:val="231F20"/>
          <w:w w:val="105"/>
        </w:rPr>
        <w:t>afirmó que la correlación entre</w:t>
      </w:r>
      <w:r>
        <w:rPr>
          <w:color w:val="231F20"/>
          <w:spacing w:val="-20"/>
          <w:w w:val="105"/>
        </w:rPr>
        <w:t> </w:t>
      </w:r>
      <w:r>
        <w:rPr>
          <w:color w:val="231F20"/>
          <w:w w:val="105"/>
        </w:rPr>
        <w:t>los</w:t>
      </w:r>
      <w:r>
        <w:rPr>
          <w:color w:val="231F20"/>
          <w:spacing w:val="-20"/>
          <w:w w:val="105"/>
        </w:rPr>
        <w:t> </w:t>
      </w:r>
      <w:r>
        <w:rPr>
          <w:color w:val="231F20"/>
          <w:w w:val="105"/>
        </w:rPr>
        <w:t>rendimientos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activos</w:t>
      </w:r>
      <w:r>
        <w:rPr>
          <w:color w:val="231F20"/>
          <w:spacing w:val="-20"/>
          <w:w w:val="105"/>
        </w:rPr>
        <w:t> </w:t>
      </w:r>
      <w:r>
        <w:rPr>
          <w:color w:val="231F20"/>
          <w:w w:val="105"/>
        </w:rPr>
        <w:t>subyacentes</w:t>
      </w:r>
      <w:r>
        <w:rPr>
          <w:color w:val="231F20"/>
          <w:spacing w:val="-20"/>
          <w:w w:val="105"/>
        </w:rPr>
        <w:t> </w:t>
      </w:r>
      <w:r>
        <w:rPr>
          <w:color w:val="231F20"/>
          <w:w w:val="105"/>
        </w:rPr>
        <w:t>y</w:t>
      </w:r>
      <w:r>
        <w:rPr>
          <w:color w:val="231F20"/>
          <w:spacing w:val="-20"/>
          <w:w w:val="105"/>
        </w:rPr>
        <w:t> </w:t>
      </w:r>
      <w:r>
        <w:rPr>
          <w:color w:val="231F20"/>
          <w:w w:val="105"/>
        </w:rPr>
        <w:t>su</w:t>
      </w:r>
      <w:r>
        <w:rPr>
          <w:color w:val="231F20"/>
          <w:spacing w:val="-20"/>
          <w:w w:val="105"/>
        </w:rPr>
        <w:t> </w:t>
      </w:r>
      <w:r>
        <w:rPr>
          <w:color w:val="231F20"/>
          <w:w w:val="105"/>
        </w:rPr>
        <w:t>volatilidad</w:t>
      </w:r>
      <w:r>
        <w:rPr>
          <w:color w:val="231F20"/>
          <w:spacing w:val="-20"/>
          <w:w w:val="105"/>
        </w:rPr>
        <w:t> </w:t>
      </w:r>
      <w:r>
        <w:rPr>
          <w:color w:val="231F20"/>
          <w:w w:val="105"/>
        </w:rPr>
        <w:t>afecta- ron a la asimetría y leptocurtosis de la distribución de los rendimientos del activo subyacente. En dicho modelo el proceso de difusión para el precio</w:t>
      </w:r>
      <w:r>
        <w:rPr>
          <w:color w:val="231F20"/>
          <w:spacing w:val="-20"/>
          <w:w w:val="105"/>
        </w:rPr>
        <w:t> </w:t>
      </w:r>
      <w:r>
        <w:rPr>
          <w:color w:val="231F20"/>
          <w:w w:val="105"/>
        </w:rPr>
        <w:t>del</w:t>
      </w:r>
      <w:r>
        <w:rPr>
          <w:color w:val="231F20"/>
          <w:spacing w:val="-20"/>
          <w:w w:val="105"/>
        </w:rPr>
        <w:t> </w:t>
      </w:r>
      <w:r>
        <w:rPr>
          <w:color w:val="231F20"/>
          <w:w w:val="105"/>
        </w:rPr>
        <w:t>activo</w:t>
      </w:r>
      <w:r>
        <w:rPr>
          <w:color w:val="231F20"/>
          <w:spacing w:val="-20"/>
          <w:w w:val="105"/>
        </w:rPr>
        <w:t> </w:t>
      </w:r>
      <w:r>
        <w:rPr>
          <w:color w:val="231F20"/>
          <w:w w:val="105"/>
        </w:rPr>
        <w:t>subyacente</w:t>
      </w:r>
      <w:r>
        <w:rPr>
          <w:color w:val="231F20"/>
          <w:spacing w:val="-20"/>
          <w:w w:val="105"/>
        </w:rPr>
        <w:t> </w:t>
      </w:r>
      <w:r>
        <w:rPr>
          <w:color w:val="231F20"/>
          <w:w w:val="105"/>
        </w:rPr>
        <w:t>es</w:t>
      </w:r>
      <w:r>
        <w:rPr>
          <w:color w:val="231F20"/>
          <w:spacing w:val="-20"/>
          <w:w w:val="105"/>
        </w:rPr>
        <w:t> </w:t>
      </w:r>
      <w:r>
        <w:rPr>
          <w:color w:val="231F20"/>
          <w:w w:val="105"/>
        </w:rPr>
        <w:t>análogo</w:t>
      </w:r>
      <w:r>
        <w:rPr>
          <w:color w:val="231F20"/>
          <w:spacing w:val="-20"/>
          <w:w w:val="105"/>
        </w:rPr>
        <w:t> </w:t>
      </w:r>
      <w:r>
        <w:rPr>
          <w:color w:val="231F20"/>
          <w:w w:val="105"/>
        </w:rPr>
        <w:t>al</w:t>
      </w:r>
      <w:r>
        <w:rPr>
          <w:color w:val="231F20"/>
          <w:spacing w:val="-20"/>
          <w:w w:val="105"/>
        </w:rPr>
        <w:t> </w:t>
      </w:r>
      <w:r>
        <w:rPr>
          <w:color w:val="231F20"/>
          <w:w w:val="105"/>
        </w:rPr>
        <w:t>proceso</w:t>
      </w:r>
      <w:r>
        <w:rPr>
          <w:color w:val="231F20"/>
          <w:spacing w:val="-20"/>
          <w:w w:val="105"/>
        </w:rPr>
        <w:t> </w:t>
      </w:r>
      <w:r>
        <w:rPr>
          <w:color w:val="231F20"/>
          <w:w w:val="105"/>
        </w:rPr>
        <w:t>del</w:t>
      </w:r>
      <w:r>
        <w:rPr>
          <w:color w:val="231F20"/>
          <w:spacing w:val="-20"/>
          <w:w w:val="105"/>
        </w:rPr>
        <w:t> </w:t>
      </w:r>
      <w:r>
        <w:rPr>
          <w:color w:val="231F20"/>
          <w:w w:val="105"/>
        </w:rPr>
        <w:t>modelo</w:t>
      </w:r>
      <w:r>
        <w:rPr>
          <w:color w:val="231F20"/>
          <w:spacing w:val="-20"/>
          <w:w w:val="105"/>
        </w:rPr>
        <w:t> </w:t>
      </w:r>
      <w:r>
        <w:rPr>
          <w:color w:val="231F20"/>
          <w:w w:val="105"/>
        </w:rPr>
        <w:t>BS,</w:t>
      </w:r>
      <w:r>
        <w:rPr>
          <w:color w:val="231F20"/>
          <w:spacing w:val="-26"/>
          <w:w w:val="105"/>
        </w:rPr>
        <w:t> </w:t>
      </w:r>
      <w:r>
        <w:rPr>
          <w:color w:val="231F20"/>
          <w:w w:val="105"/>
        </w:rPr>
        <w:t>salvo en</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volatilidad</w:t>
      </w:r>
      <w:r>
        <w:rPr>
          <w:color w:val="231F20"/>
          <w:spacing w:val="-15"/>
          <w:w w:val="105"/>
        </w:rPr>
        <w:t> </w:t>
      </w:r>
      <w:r>
        <w:rPr>
          <w:color w:val="231F20"/>
          <w:w w:val="105"/>
        </w:rPr>
        <w:t>también</w:t>
      </w:r>
      <w:r>
        <w:rPr>
          <w:color w:val="231F20"/>
          <w:spacing w:val="-15"/>
          <w:w w:val="105"/>
        </w:rPr>
        <w:t> </w:t>
      </w:r>
      <w:r>
        <w:rPr>
          <w:color w:val="231F20"/>
          <w:w w:val="105"/>
        </w:rPr>
        <w:t>sigue</w:t>
      </w:r>
      <w:r>
        <w:rPr>
          <w:color w:val="231F20"/>
          <w:spacing w:val="-15"/>
          <w:w w:val="105"/>
        </w:rPr>
        <w:t> </w:t>
      </w:r>
      <w:r>
        <w:rPr>
          <w:color w:val="231F20"/>
          <w:w w:val="105"/>
        </w:rPr>
        <w:t>un</w:t>
      </w:r>
      <w:r>
        <w:rPr>
          <w:color w:val="231F20"/>
          <w:spacing w:val="-15"/>
          <w:w w:val="105"/>
        </w:rPr>
        <w:t> </w:t>
      </w:r>
      <w:r>
        <w:rPr>
          <w:color w:val="231F20"/>
          <w:w w:val="105"/>
        </w:rPr>
        <w:t>proceso</w:t>
      </w:r>
      <w:r>
        <w:rPr>
          <w:color w:val="231F20"/>
          <w:spacing w:val="-15"/>
          <w:w w:val="105"/>
        </w:rPr>
        <w:t> </w:t>
      </w:r>
      <w:r>
        <w:rPr>
          <w:color w:val="231F20"/>
          <w:w w:val="105"/>
        </w:rPr>
        <w:t>estocástico.</w:t>
      </w:r>
      <w:r>
        <w:rPr>
          <w:color w:val="231F20"/>
          <w:spacing w:val="-20"/>
          <w:w w:val="105"/>
        </w:rPr>
        <w:t> </w:t>
      </w:r>
      <w:r>
        <w:rPr>
          <w:color w:val="231F20"/>
          <w:w w:val="105"/>
        </w:rPr>
        <w:t>En</w:t>
      </w:r>
      <w:r>
        <w:rPr>
          <w:color w:val="231F20"/>
          <w:spacing w:val="-15"/>
          <w:w w:val="105"/>
        </w:rPr>
        <w:t> </w:t>
      </w:r>
      <w:r>
        <w:rPr>
          <w:color w:val="231F20"/>
          <w:w w:val="105"/>
        </w:rPr>
        <w:t>concreto,</w:t>
      </w:r>
    </w:p>
    <w:p>
      <w:pPr>
        <w:pStyle w:val="BodyText"/>
        <w:rPr>
          <w:sz w:val="20"/>
        </w:rPr>
      </w:pPr>
    </w:p>
    <w:p>
      <w:pPr>
        <w:pStyle w:val="BodyText"/>
        <w:rPr>
          <w:sz w:val="20"/>
        </w:rPr>
      </w:pPr>
    </w:p>
    <w:p>
      <w:pPr>
        <w:pStyle w:val="BodyText"/>
        <w:spacing w:before="7"/>
        <w:rPr>
          <w:sz w:val="16"/>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59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210</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40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211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before="57"/>
        <w:ind w:left="117" w:right="121"/>
        <w:jc w:val="both"/>
      </w:pPr>
      <w:r>
        <w:rPr>
          <w:color w:val="231F20"/>
          <w:w w:val="105"/>
        </w:rPr>
        <w:t>Heston</w:t>
      </w:r>
      <w:r>
        <w:rPr>
          <w:color w:val="231F20"/>
          <w:spacing w:val="-13"/>
          <w:w w:val="105"/>
        </w:rPr>
        <w:t> </w:t>
      </w:r>
      <w:r>
        <w:rPr>
          <w:color w:val="231F20"/>
          <w:w w:val="105"/>
        </w:rPr>
        <w:t>(1993)</w:t>
      </w:r>
      <w:r>
        <w:rPr>
          <w:color w:val="231F20"/>
          <w:spacing w:val="-13"/>
          <w:w w:val="105"/>
        </w:rPr>
        <w:t> </w:t>
      </w:r>
      <w:r>
        <w:rPr>
          <w:color w:val="231F20"/>
          <w:w w:val="105"/>
        </w:rPr>
        <w:t>postuló</w:t>
      </w:r>
      <w:r>
        <w:rPr>
          <w:color w:val="231F20"/>
          <w:spacing w:val="-13"/>
          <w:w w:val="105"/>
        </w:rPr>
        <w:t> </w:t>
      </w:r>
      <w:r>
        <w:rPr>
          <w:color w:val="231F20"/>
          <w:w w:val="105"/>
        </w:rPr>
        <w:t>un</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3"/>
          <w:w w:val="105"/>
        </w:rPr>
        <w:t> </w:t>
      </w:r>
      <w:r>
        <w:rPr>
          <w:color w:val="231F20"/>
          <w:w w:val="105"/>
        </w:rPr>
        <w:t>Ornstein-Unlenbeck</w:t>
      </w:r>
      <w:r>
        <w:rPr>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volati- lidad</w:t>
      </w:r>
      <w:r>
        <w:rPr>
          <w:color w:val="231F20"/>
          <w:spacing w:val="-15"/>
          <w:w w:val="105"/>
        </w:rPr>
        <w:t> </w:t>
      </w:r>
      <w:r>
        <w:rPr>
          <w:color w:val="231F20"/>
          <w:w w:val="105"/>
        </w:rPr>
        <w:t>instantánea</w:t>
      </w:r>
      <w:r>
        <w:rPr>
          <w:color w:val="231F20"/>
          <w:spacing w:val="-15"/>
          <w:w w:val="105"/>
        </w:rPr>
        <w:t> </w:t>
      </w:r>
      <w:r>
        <w:rPr>
          <w:color w:val="231F20"/>
          <w:w w:val="105"/>
        </w:rPr>
        <w:t>del</w:t>
      </w:r>
      <w:r>
        <w:rPr>
          <w:color w:val="231F20"/>
          <w:spacing w:val="-15"/>
          <w:w w:val="105"/>
        </w:rPr>
        <w:t> </w:t>
      </w:r>
      <w:r>
        <w:rPr>
          <w:color w:val="231F20"/>
          <w:w w:val="105"/>
        </w:rPr>
        <w:t>activo</w:t>
      </w:r>
      <w:r>
        <w:rPr>
          <w:color w:val="231F20"/>
          <w:spacing w:val="-9"/>
          <w:w w:val="105"/>
        </w:rPr>
        <w:t> </w:t>
      </w:r>
      <w:r>
        <w:rPr>
          <w:color w:val="231F20"/>
          <w:spacing w:val="-1"/>
          <w:w w:val="102"/>
          <w:position w:val="-6"/>
        </w:rPr>
        <w:drawing>
          <wp:inline distT="0" distB="0" distL="0" distR="0">
            <wp:extent cx="257860" cy="182457"/>
            <wp:effectExtent l="0" t="0" r="0" b="0"/>
            <wp:docPr id="63" name="image73.jpeg" descr=""/>
            <wp:cNvGraphicFramePr>
              <a:graphicFrameLocks noChangeAspect="1"/>
            </wp:cNvGraphicFramePr>
            <a:graphic>
              <a:graphicData uri="http://schemas.openxmlformats.org/drawingml/2006/picture">
                <pic:pic>
                  <pic:nvPicPr>
                    <pic:cNvPr id="64" name="image73.jpeg"/>
                    <pic:cNvPicPr/>
                  </pic:nvPicPr>
                  <pic:blipFill>
                    <a:blip r:embed="rId97" cstate="print"/>
                    <a:stretch>
                      <a:fillRect/>
                    </a:stretch>
                  </pic:blipFill>
                  <pic:spPr>
                    <a:xfrm>
                      <a:off x="0" y="0"/>
                      <a:ext cx="257860" cy="182457"/>
                    </a:xfrm>
                    <a:prstGeom prst="rect">
                      <a:avLst/>
                    </a:prstGeom>
                  </pic:spPr>
                </pic:pic>
              </a:graphicData>
            </a:graphic>
          </wp:inline>
        </w:drawing>
      </w:r>
      <w:r>
        <w:rPr>
          <w:color w:val="231F20"/>
          <w:spacing w:val="-1"/>
          <w:w w:val="102"/>
          <w:position w:val="-6"/>
        </w:rPr>
      </w:r>
      <w:r>
        <w:rPr>
          <w:color w:val="231F20"/>
          <w:w w:val="105"/>
        </w:rPr>
        <w:t>:</w:t>
      </w:r>
    </w:p>
    <w:p>
      <w:pPr>
        <w:spacing w:before="140"/>
        <w:ind w:left="967" w:right="114" w:firstLine="0"/>
        <w:jc w:val="left"/>
        <w:rPr>
          <w:sz w:val="21"/>
        </w:rPr>
      </w:pPr>
      <w:r>
        <w:rPr/>
        <w:drawing>
          <wp:inline distT="0" distB="0" distL="0" distR="0">
            <wp:extent cx="1553298" cy="307846"/>
            <wp:effectExtent l="0" t="0" r="0" b="0"/>
            <wp:docPr id="65" name="image74.jpeg" descr=""/>
            <wp:cNvGraphicFramePr>
              <a:graphicFrameLocks noChangeAspect="1"/>
            </wp:cNvGraphicFramePr>
            <a:graphic>
              <a:graphicData uri="http://schemas.openxmlformats.org/drawingml/2006/picture">
                <pic:pic>
                  <pic:nvPicPr>
                    <pic:cNvPr id="66" name="image74.jpeg"/>
                    <pic:cNvPicPr/>
                  </pic:nvPicPr>
                  <pic:blipFill>
                    <a:blip r:embed="rId98" cstate="print"/>
                    <a:stretch>
                      <a:fillRect/>
                    </a:stretch>
                  </pic:blipFill>
                  <pic:spPr>
                    <a:xfrm>
                      <a:off x="0" y="0"/>
                      <a:ext cx="1553298" cy="307846"/>
                    </a:xfrm>
                    <a:prstGeom prst="rect">
                      <a:avLst/>
                    </a:prstGeom>
                  </pic:spPr>
                </pic:pic>
              </a:graphicData>
            </a:graphic>
          </wp:inline>
        </w:drawing>
      </w:r>
      <w:r>
        <w:rPr/>
      </w:r>
      <w:r>
        <w:rPr>
          <w:rFonts w:ascii="Times New Roman"/>
          <w:sz w:val="20"/>
        </w:rPr>
        <w:t>                                                                  </w:t>
      </w:r>
      <w:r>
        <w:rPr>
          <w:color w:val="231F20"/>
          <w:sz w:val="21"/>
        </w:rPr>
        <w:t>(6)</w:t>
      </w:r>
    </w:p>
    <w:p>
      <w:pPr>
        <w:spacing w:before="337"/>
        <w:ind w:left="967" w:right="114" w:firstLine="0"/>
        <w:jc w:val="left"/>
        <w:rPr>
          <w:sz w:val="21"/>
        </w:rPr>
      </w:pPr>
      <w:r>
        <w:rPr/>
        <w:drawing>
          <wp:inline distT="0" distB="0" distL="0" distR="0">
            <wp:extent cx="1735605" cy="329180"/>
            <wp:effectExtent l="0" t="0" r="0" b="0"/>
            <wp:docPr id="67" name="image75.jpeg" descr=""/>
            <wp:cNvGraphicFramePr>
              <a:graphicFrameLocks noChangeAspect="1"/>
            </wp:cNvGraphicFramePr>
            <a:graphic>
              <a:graphicData uri="http://schemas.openxmlformats.org/drawingml/2006/picture">
                <pic:pic>
                  <pic:nvPicPr>
                    <pic:cNvPr id="68" name="image75.jpeg"/>
                    <pic:cNvPicPr/>
                  </pic:nvPicPr>
                  <pic:blipFill>
                    <a:blip r:embed="rId99" cstate="print"/>
                    <a:stretch>
                      <a:fillRect/>
                    </a:stretch>
                  </pic:blipFill>
                  <pic:spPr>
                    <a:xfrm>
                      <a:off x="0" y="0"/>
                      <a:ext cx="1735605" cy="329180"/>
                    </a:xfrm>
                    <a:prstGeom prst="rect">
                      <a:avLst/>
                    </a:prstGeom>
                  </pic:spPr>
                </pic:pic>
              </a:graphicData>
            </a:graphic>
          </wp:inline>
        </w:drawing>
      </w:r>
      <w:r>
        <w:rPr/>
      </w:r>
      <w:r>
        <w:rPr>
          <w:rFonts w:ascii="Times New Roman"/>
          <w:sz w:val="20"/>
        </w:rPr>
        <w:t>                                                            </w:t>
      </w:r>
      <w:r>
        <w:rPr>
          <w:color w:val="231F20"/>
          <w:sz w:val="21"/>
        </w:rPr>
        <w:t>(7)</w:t>
      </w:r>
    </w:p>
    <w:p>
      <w:pPr>
        <w:pStyle w:val="BodyText"/>
        <w:spacing w:line="260" w:lineRule="exact" w:before="177"/>
        <w:ind w:left="117" w:right="121"/>
        <w:jc w:val="both"/>
      </w:pPr>
      <w:r>
        <w:rPr/>
        <w:pict>
          <v:shape style="position:absolute;margin-left:237.951797pt;margin-top:57.888538pt;width:23.95pt;height:5.85pt;mso-position-horizontal-relative:page;mso-position-vertical-relative:paragraph;z-index:-240448" type="#_x0000_t202" filled="false" stroked="false">
            <v:textbox inset="0,0,0,0">
              <w:txbxContent>
                <w:p>
                  <w:pPr>
                    <w:tabs>
                      <w:tab w:pos="446" w:val="left" w:leader="none"/>
                    </w:tabs>
                    <w:spacing w:line="117" w:lineRule="exact" w:before="0"/>
                    <w:ind w:left="0" w:right="0" w:firstLine="0"/>
                    <w:jc w:val="left"/>
                    <w:rPr>
                      <w:rFonts w:ascii="Times New Roman"/>
                      <w:i/>
                      <w:sz w:val="11"/>
                    </w:rPr>
                  </w:pPr>
                  <w:r>
                    <w:rPr>
                      <w:rFonts w:ascii="Times New Roman"/>
                      <w:i/>
                      <w:color w:val="231F20"/>
                      <w:w w:val="105"/>
                      <w:sz w:val="11"/>
                    </w:rPr>
                    <w:t>t</w:t>
                    <w:tab/>
                    <w:t>t</w:t>
                  </w:r>
                </w:p>
              </w:txbxContent>
            </v:textbox>
            <w10:wrap type="none"/>
          </v:shape>
        </w:pict>
      </w:r>
      <w:r>
        <w:rPr>
          <w:color w:val="231F20"/>
          <w:w w:val="105"/>
        </w:rPr>
        <w:t>Donde </w:t>
      </w:r>
      <w:r>
        <w:rPr>
          <w:rFonts w:ascii="Times New Roman" w:hAnsi="Times New Roman"/>
          <w:i/>
          <w:color w:val="231F20"/>
          <w:w w:val="105"/>
          <w:sz w:val="22"/>
        </w:rPr>
        <w:t>dW</w:t>
      </w:r>
      <w:r>
        <w:rPr>
          <w:rFonts w:ascii="Times New Roman" w:hAnsi="Times New Roman"/>
          <w:i/>
          <w:color w:val="231F20"/>
          <w:w w:val="105"/>
          <w:position w:val="-4"/>
          <w:sz w:val="13"/>
        </w:rPr>
        <w:t>S</w:t>
      </w:r>
      <w:r>
        <w:rPr>
          <w:rFonts w:ascii="Times New Roman" w:hAnsi="Times New Roman"/>
          <w:i/>
          <w:color w:val="231F20"/>
          <w:w w:val="105"/>
          <w:position w:val="-8"/>
          <w:sz w:val="11"/>
        </w:rPr>
        <w:t>t </w:t>
      </w:r>
      <w:r>
        <w:rPr>
          <w:color w:val="231F20"/>
          <w:w w:val="105"/>
        </w:rPr>
        <w:t>y </w:t>
      </w:r>
      <w:r>
        <w:rPr>
          <w:rFonts w:ascii="Times New Roman" w:hAnsi="Times New Roman"/>
          <w:i/>
          <w:color w:val="231F20"/>
          <w:w w:val="105"/>
          <w:sz w:val="22"/>
        </w:rPr>
        <w:t>dW</w:t>
      </w:r>
      <w:r>
        <w:rPr>
          <w:rFonts w:ascii="Times New Roman" w:hAnsi="Times New Roman"/>
          <w:i/>
          <w:color w:val="231F20"/>
          <w:w w:val="105"/>
          <w:position w:val="-4"/>
          <w:sz w:val="13"/>
        </w:rPr>
        <w:t>σ</w:t>
      </w:r>
      <w:r>
        <w:rPr>
          <w:rFonts w:ascii="Times New Roman" w:hAnsi="Times New Roman"/>
          <w:i/>
          <w:color w:val="231F20"/>
          <w:w w:val="105"/>
          <w:position w:val="-8"/>
          <w:sz w:val="11"/>
        </w:rPr>
        <w:t>t </w:t>
      </w:r>
      <w:r>
        <w:rPr>
          <w:color w:val="231F20"/>
          <w:w w:val="105"/>
        </w:rPr>
        <w:t>son procesos de Wiener bajo la medida de</w:t>
      </w:r>
      <w:r>
        <w:rPr>
          <w:color w:val="231F20"/>
          <w:spacing w:val="-25"/>
          <w:w w:val="105"/>
        </w:rPr>
        <w:t> </w:t>
      </w:r>
      <w:r>
        <w:rPr>
          <w:color w:val="231F20"/>
          <w:w w:val="105"/>
        </w:rPr>
        <w:t>probabili- dad</w:t>
      </w:r>
      <w:r>
        <w:rPr>
          <w:color w:val="231F20"/>
          <w:spacing w:val="-7"/>
          <w:w w:val="105"/>
        </w:rPr>
        <w:t> </w:t>
      </w:r>
      <w:r>
        <w:rPr>
          <w:color w:val="231F20"/>
          <w:w w:val="105"/>
        </w:rPr>
        <w:t>real</w:t>
      </w:r>
      <w:r>
        <w:rPr>
          <w:color w:val="231F20"/>
          <w:spacing w:val="-7"/>
          <w:w w:val="105"/>
        </w:rPr>
        <w:t> </w:t>
      </w:r>
      <w:r>
        <w:rPr>
          <w:rFonts w:ascii="Times New Roman" w:hAnsi="Times New Roman"/>
          <w:i/>
          <w:color w:val="231F20"/>
          <w:w w:val="105"/>
          <w:sz w:val="22"/>
        </w:rPr>
        <w:t>P</w:t>
      </w:r>
      <w:r>
        <w:rPr>
          <w:rFonts w:ascii="Times New Roman" w:hAnsi="Times New Roman"/>
          <w:i/>
          <w:color w:val="231F20"/>
          <w:spacing w:val="-4"/>
          <w:w w:val="105"/>
          <w:sz w:val="22"/>
        </w:rPr>
        <w:t> </w:t>
      </w:r>
      <w:r>
        <w:rPr>
          <w:color w:val="231F20"/>
          <w:w w:val="105"/>
        </w:rPr>
        <w:t>y</w:t>
      </w:r>
      <w:r>
        <w:rPr>
          <w:color w:val="231F20"/>
          <w:spacing w:val="-7"/>
          <w:w w:val="105"/>
        </w:rPr>
        <w:t> </w:t>
      </w:r>
      <w:r>
        <w:rPr>
          <w:rFonts w:ascii="Times New Roman" w:hAnsi="Times New Roman"/>
          <w:i/>
          <w:color w:val="231F20"/>
          <w:w w:val="105"/>
          <w:sz w:val="22"/>
        </w:rPr>
        <w:t>μ</w:t>
      </w:r>
      <w:r>
        <w:rPr>
          <w:rFonts w:ascii="Times New Roman" w:hAnsi="Times New Roman"/>
          <w:i/>
          <w:color w:val="231F20"/>
          <w:spacing w:val="-4"/>
          <w:w w:val="105"/>
          <w:sz w:val="22"/>
        </w:rPr>
        <w:t> </w:t>
      </w:r>
      <w:r>
        <w:rPr>
          <w:color w:val="231F20"/>
          <w:w w:val="105"/>
        </w:rPr>
        <w:t>representa</w:t>
      </w:r>
      <w:r>
        <w:rPr>
          <w:color w:val="231F20"/>
          <w:spacing w:val="-7"/>
          <w:w w:val="105"/>
        </w:rPr>
        <w:t> </w:t>
      </w:r>
      <w:r>
        <w:rPr>
          <w:color w:val="231F20"/>
          <w:w w:val="105"/>
        </w:rPr>
        <w:t>la</w:t>
      </w:r>
      <w:r>
        <w:rPr>
          <w:color w:val="231F20"/>
          <w:spacing w:val="-7"/>
          <w:w w:val="105"/>
        </w:rPr>
        <w:t> </w:t>
      </w:r>
      <w:r>
        <w:rPr>
          <w:color w:val="231F20"/>
          <w:w w:val="105"/>
        </w:rPr>
        <w:t>tasa</w:t>
      </w:r>
      <w:r>
        <w:rPr>
          <w:color w:val="231F20"/>
          <w:spacing w:val="-7"/>
          <w:w w:val="105"/>
        </w:rPr>
        <w:t> </w:t>
      </w:r>
      <w:r>
        <w:rPr>
          <w:color w:val="231F20"/>
          <w:w w:val="105"/>
        </w:rPr>
        <w:t>de</w:t>
      </w:r>
      <w:r>
        <w:rPr>
          <w:color w:val="231F20"/>
          <w:spacing w:val="-7"/>
          <w:w w:val="105"/>
        </w:rPr>
        <w:t> </w:t>
      </w:r>
      <w:r>
        <w:rPr>
          <w:color w:val="231F20"/>
          <w:w w:val="105"/>
        </w:rPr>
        <w:t>crecimiento</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proceso</w:t>
      </w:r>
      <w:r>
        <w:rPr>
          <w:color w:val="231F20"/>
          <w:spacing w:val="-7"/>
          <w:w w:val="105"/>
        </w:rPr>
        <w:t> </w:t>
      </w:r>
      <w:r>
        <w:rPr>
          <w:color w:val="231F20"/>
          <w:w w:val="105"/>
        </w:rPr>
        <w:t>corres- pondiente</w:t>
      </w:r>
      <w:r>
        <w:rPr>
          <w:color w:val="231F20"/>
          <w:spacing w:val="-14"/>
          <w:w w:val="105"/>
        </w:rPr>
        <w:t> </w:t>
      </w:r>
      <w:r>
        <w:rPr>
          <w:color w:val="231F20"/>
          <w:w w:val="105"/>
        </w:rPr>
        <w:t>al</w:t>
      </w:r>
      <w:r>
        <w:rPr>
          <w:color w:val="231F20"/>
          <w:spacing w:val="-14"/>
          <w:w w:val="105"/>
        </w:rPr>
        <w:t> </w:t>
      </w:r>
      <w:r>
        <w:rPr>
          <w:color w:val="231F20"/>
          <w:w w:val="105"/>
        </w:rPr>
        <w:t>precio</w:t>
      </w:r>
      <w:r>
        <w:rPr>
          <w:color w:val="231F20"/>
          <w:spacing w:val="-14"/>
          <w:w w:val="105"/>
        </w:rPr>
        <w:t> </w:t>
      </w:r>
      <w:r>
        <w:rPr>
          <w:color w:val="231F20"/>
          <w:w w:val="105"/>
        </w:rPr>
        <w:t>del</w:t>
      </w:r>
      <w:r>
        <w:rPr>
          <w:color w:val="231F20"/>
          <w:spacing w:val="-14"/>
          <w:w w:val="105"/>
        </w:rPr>
        <w:t> </w:t>
      </w:r>
      <w:r>
        <w:rPr>
          <w:color w:val="231F20"/>
          <w:w w:val="105"/>
        </w:rPr>
        <w:t>activo</w:t>
      </w:r>
      <w:r>
        <w:rPr>
          <w:color w:val="231F20"/>
          <w:spacing w:val="-14"/>
          <w:w w:val="105"/>
        </w:rPr>
        <w:t> </w:t>
      </w:r>
      <w:r>
        <w:rPr>
          <w:color w:val="231F20"/>
          <w:w w:val="105"/>
        </w:rPr>
        <w:t>subyacente.</w:t>
      </w:r>
      <w:r>
        <w:rPr>
          <w:color w:val="231F20"/>
          <w:spacing w:val="-23"/>
          <w:w w:val="105"/>
        </w:rPr>
        <w:t> </w:t>
      </w:r>
      <w:r>
        <w:rPr>
          <w:color w:val="231F20"/>
          <w:w w:val="105"/>
        </w:rPr>
        <w:t>Ambos</w:t>
      </w:r>
      <w:r>
        <w:rPr>
          <w:color w:val="231F20"/>
          <w:spacing w:val="-14"/>
          <w:w w:val="105"/>
        </w:rPr>
        <w:t> </w:t>
      </w:r>
      <w:r>
        <w:rPr>
          <w:color w:val="231F20"/>
          <w:w w:val="105"/>
        </w:rPr>
        <w:t>procesos</w:t>
      </w:r>
      <w:r>
        <w:rPr>
          <w:color w:val="231F20"/>
          <w:spacing w:val="-14"/>
          <w:w w:val="105"/>
        </w:rPr>
        <w:t> </w:t>
      </w:r>
      <w:r>
        <w:rPr>
          <w:color w:val="231F20"/>
          <w:w w:val="105"/>
        </w:rPr>
        <w:t>están</w:t>
      </w:r>
      <w:r>
        <w:rPr>
          <w:color w:val="231F20"/>
          <w:spacing w:val="-14"/>
          <w:w w:val="105"/>
        </w:rPr>
        <w:t> </w:t>
      </w:r>
      <w:r>
        <w:rPr>
          <w:color w:val="231F20"/>
          <w:w w:val="105"/>
        </w:rPr>
        <w:t>corre- lacionados</w:t>
      </w:r>
      <w:r>
        <w:rPr>
          <w:color w:val="231F20"/>
          <w:w w:val="105"/>
          <w:position w:val="7"/>
          <w:sz w:val="12"/>
        </w:rPr>
        <w:t>1</w:t>
      </w:r>
      <w:r>
        <w:rPr>
          <w:color w:val="231F20"/>
          <w:spacing w:val="16"/>
          <w:w w:val="105"/>
          <w:position w:val="7"/>
          <w:sz w:val="12"/>
        </w:rPr>
        <w:t> </w:t>
      </w:r>
      <w:r>
        <w:rPr>
          <w:color w:val="231F20"/>
          <w:w w:val="105"/>
        </w:rPr>
        <w:t>de</w:t>
      </w:r>
      <w:r>
        <w:rPr>
          <w:color w:val="231F20"/>
          <w:spacing w:val="-9"/>
          <w:w w:val="105"/>
        </w:rPr>
        <w:t> </w:t>
      </w:r>
      <w:r>
        <w:rPr>
          <w:color w:val="231F20"/>
          <w:w w:val="105"/>
        </w:rPr>
        <w:t>tal</w:t>
      </w:r>
      <w:r>
        <w:rPr>
          <w:color w:val="231F20"/>
          <w:spacing w:val="-9"/>
          <w:w w:val="105"/>
        </w:rPr>
        <w:t> </w:t>
      </w:r>
      <w:r>
        <w:rPr>
          <w:color w:val="231F20"/>
          <w:w w:val="105"/>
        </w:rPr>
        <w:t>manera</w:t>
      </w:r>
      <w:r>
        <w:rPr>
          <w:color w:val="231F20"/>
          <w:spacing w:val="-9"/>
          <w:w w:val="105"/>
        </w:rPr>
        <w:t> </w:t>
      </w:r>
      <w:r>
        <w:rPr>
          <w:color w:val="231F20"/>
          <w:w w:val="105"/>
        </w:rPr>
        <w:t>que</w:t>
      </w:r>
      <w:r>
        <w:rPr>
          <w:color w:val="231F20"/>
          <w:spacing w:val="-9"/>
          <w:w w:val="105"/>
        </w:rPr>
        <w:t> </w:t>
      </w:r>
      <w:r>
        <w:rPr>
          <w:rFonts w:ascii="Times New Roman" w:hAnsi="Times New Roman"/>
          <w:i/>
          <w:color w:val="231F20"/>
          <w:w w:val="105"/>
          <w:sz w:val="22"/>
        </w:rPr>
        <w:t>dW</w:t>
      </w:r>
      <w:r>
        <w:rPr>
          <w:rFonts w:ascii="Times New Roman" w:hAnsi="Times New Roman"/>
          <w:i/>
          <w:color w:val="231F20"/>
          <w:w w:val="105"/>
          <w:position w:val="-4"/>
          <w:sz w:val="13"/>
        </w:rPr>
        <w:t>S</w:t>
      </w:r>
      <w:r>
        <w:rPr>
          <w:rFonts w:ascii="Times New Roman" w:hAnsi="Times New Roman"/>
          <w:i/>
          <w:color w:val="231F20"/>
          <w:spacing w:val="13"/>
          <w:w w:val="105"/>
          <w:position w:val="-4"/>
          <w:sz w:val="13"/>
        </w:rPr>
        <w:t> </w:t>
      </w:r>
      <w:r>
        <w:rPr>
          <w:rFonts w:ascii="Times New Roman" w:hAnsi="Times New Roman"/>
          <w:i/>
          <w:color w:val="231F20"/>
          <w:w w:val="105"/>
          <w:sz w:val="22"/>
        </w:rPr>
        <w:t>dW</w:t>
      </w:r>
      <w:r>
        <w:rPr>
          <w:rFonts w:ascii="Times New Roman" w:hAnsi="Times New Roman"/>
          <w:i/>
          <w:color w:val="231F20"/>
          <w:w w:val="105"/>
          <w:position w:val="-4"/>
          <w:sz w:val="13"/>
        </w:rPr>
        <w:t>σ</w:t>
      </w:r>
      <w:r>
        <w:rPr>
          <w:rFonts w:ascii="Times New Roman" w:hAnsi="Times New Roman"/>
          <w:i/>
          <w:color w:val="231F20"/>
          <w:spacing w:val="-6"/>
          <w:w w:val="105"/>
          <w:position w:val="-4"/>
          <w:sz w:val="13"/>
        </w:rPr>
        <w:t> </w:t>
      </w:r>
      <w:r>
        <w:rPr>
          <w:rFonts w:ascii="Times New Roman" w:hAnsi="Times New Roman"/>
          <w:color w:val="231F20"/>
          <w:w w:val="105"/>
          <w:sz w:val="22"/>
        </w:rPr>
        <w:t>=</w:t>
      </w:r>
      <w:r>
        <w:rPr>
          <w:rFonts w:ascii="Times New Roman" w:hAnsi="Times New Roman"/>
          <w:color w:val="231F20"/>
          <w:spacing w:val="-4"/>
          <w:w w:val="105"/>
          <w:sz w:val="22"/>
        </w:rPr>
        <w:t> </w:t>
      </w:r>
      <w:r>
        <w:rPr>
          <w:rFonts w:ascii="Times New Roman" w:hAnsi="Times New Roman"/>
          <w:i/>
          <w:color w:val="231F20"/>
          <w:w w:val="105"/>
          <w:sz w:val="22"/>
        </w:rPr>
        <w:t>ρdt</w:t>
      </w:r>
      <w:r>
        <w:rPr>
          <w:color w:val="231F20"/>
          <w:w w:val="105"/>
        </w:rPr>
        <w:t>.</w:t>
      </w:r>
      <w:r>
        <w:rPr>
          <w:color w:val="231F20"/>
          <w:spacing w:val="-19"/>
          <w:w w:val="105"/>
        </w:rPr>
        <w:t> </w:t>
      </w:r>
      <w:r>
        <w:rPr>
          <w:color w:val="231F20"/>
          <w:w w:val="105"/>
        </w:rPr>
        <w:t>Aplicando</w:t>
      </w:r>
      <w:r>
        <w:rPr>
          <w:color w:val="231F20"/>
          <w:spacing w:val="-9"/>
          <w:w w:val="105"/>
        </w:rPr>
        <w:t> </w:t>
      </w:r>
      <w:r>
        <w:rPr>
          <w:color w:val="231F20"/>
          <w:w w:val="105"/>
        </w:rPr>
        <w:t>el</w:t>
      </w:r>
      <w:r>
        <w:rPr>
          <w:color w:val="231F20"/>
          <w:spacing w:val="-9"/>
          <w:w w:val="105"/>
        </w:rPr>
        <w:t> </w:t>
      </w:r>
      <w:r>
        <w:rPr>
          <w:color w:val="231F20"/>
          <w:w w:val="105"/>
        </w:rPr>
        <w:t>lema</w:t>
      </w:r>
      <w:r>
        <w:rPr>
          <w:color w:val="231F20"/>
          <w:spacing w:val="-9"/>
          <w:w w:val="105"/>
        </w:rPr>
        <w:t> </w:t>
      </w:r>
      <w:r>
        <w:rPr>
          <w:color w:val="231F20"/>
          <w:w w:val="105"/>
        </w:rPr>
        <w:t>de</w:t>
      </w:r>
      <w:r>
        <w:rPr>
          <w:color w:val="231F20"/>
          <w:spacing w:val="-9"/>
          <w:w w:val="105"/>
        </w:rPr>
        <w:t> </w:t>
      </w:r>
      <w:r>
        <w:rPr>
          <w:color w:val="231F20"/>
          <w:w w:val="105"/>
        </w:rPr>
        <w:t>Ito</w:t>
      </w:r>
      <w:r>
        <w:rPr>
          <w:color w:val="231F20"/>
          <w:spacing w:val="-9"/>
          <w:w w:val="105"/>
        </w:rPr>
        <w:t> </w:t>
      </w:r>
      <w:r>
        <w:rPr>
          <w:color w:val="231F20"/>
          <w:w w:val="105"/>
        </w:rPr>
        <w:t>a la</w:t>
      </w:r>
      <w:r>
        <w:rPr>
          <w:color w:val="231F20"/>
          <w:spacing w:val="-26"/>
          <w:w w:val="105"/>
        </w:rPr>
        <w:t> </w:t>
      </w:r>
      <w:r>
        <w:rPr>
          <w:color w:val="231F20"/>
          <w:w w:val="105"/>
        </w:rPr>
        <w:t>ecuación</w:t>
      </w:r>
      <w:r>
        <w:rPr>
          <w:color w:val="231F20"/>
          <w:spacing w:val="-26"/>
          <w:w w:val="105"/>
        </w:rPr>
        <w:t> </w:t>
      </w:r>
      <w:r>
        <w:rPr>
          <w:color w:val="231F20"/>
          <w:w w:val="105"/>
        </w:rPr>
        <w:t>(7)</w:t>
      </w:r>
      <w:r>
        <w:rPr>
          <w:color w:val="231F20"/>
          <w:spacing w:val="-26"/>
          <w:w w:val="105"/>
        </w:rPr>
        <w:t> </w:t>
      </w:r>
      <w:r>
        <w:rPr>
          <w:color w:val="231F20"/>
          <w:w w:val="105"/>
        </w:rPr>
        <w:t>se</w:t>
      </w:r>
      <w:r>
        <w:rPr>
          <w:color w:val="231F20"/>
          <w:spacing w:val="-26"/>
          <w:w w:val="105"/>
        </w:rPr>
        <w:t> </w:t>
      </w:r>
      <w:r>
        <w:rPr>
          <w:color w:val="231F20"/>
          <w:w w:val="105"/>
        </w:rPr>
        <w:t>tiene</w:t>
      </w:r>
      <w:r>
        <w:rPr>
          <w:color w:val="231F20"/>
          <w:spacing w:val="-26"/>
          <w:w w:val="105"/>
        </w:rPr>
        <w:t> </w:t>
      </w:r>
      <w:r>
        <w:rPr>
          <w:color w:val="231F20"/>
          <w:w w:val="105"/>
        </w:rPr>
        <w:t>el</w:t>
      </w:r>
      <w:r>
        <w:rPr>
          <w:color w:val="231F20"/>
          <w:spacing w:val="-26"/>
          <w:w w:val="105"/>
        </w:rPr>
        <w:t> </w:t>
      </w:r>
      <w:r>
        <w:rPr>
          <w:color w:val="231F20"/>
          <w:w w:val="105"/>
        </w:rPr>
        <w:t>siguiente</w:t>
      </w:r>
      <w:r>
        <w:rPr>
          <w:color w:val="231F20"/>
          <w:spacing w:val="-26"/>
          <w:w w:val="105"/>
        </w:rPr>
        <w:t> </w:t>
      </w:r>
      <w:r>
        <w:rPr>
          <w:color w:val="231F20"/>
          <w:w w:val="105"/>
        </w:rPr>
        <w:t>proceso</w:t>
      </w:r>
      <w:r>
        <w:rPr>
          <w:color w:val="231F20"/>
          <w:spacing w:val="-26"/>
          <w:w w:val="105"/>
        </w:rPr>
        <w:t> </w:t>
      </w:r>
      <w:r>
        <w:rPr>
          <w:color w:val="231F20"/>
          <w:w w:val="105"/>
        </w:rPr>
        <w:t>para</w:t>
      </w:r>
      <w:r>
        <w:rPr>
          <w:color w:val="231F20"/>
          <w:spacing w:val="-26"/>
          <w:w w:val="105"/>
        </w:rPr>
        <w:t> </w:t>
      </w:r>
      <w:r>
        <w:rPr>
          <w:color w:val="231F20"/>
          <w:w w:val="105"/>
        </w:rPr>
        <w:t>la</w:t>
      </w:r>
      <w:r>
        <w:rPr>
          <w:color w:val="231F20"/>
          <w:spacing w:val="-26"/>
          <w:w w:val="105"/>
        </w:rPr>
        <w:t> </w:t>
      </w:r>
      <w:r>
        <w:rPr>
          <w:color w:val="231F20"/>
          <w:w w:val="105"/>
        </w:rPr>
        <w:t>varianza</w:t>
      </w:r>
      <w:r>
        <w:rPr>
          <w:color w:val="231F20"/>
          <w:spacing w:val="-26"/>
          <w:w w:val="105"/>
        </w:rPr>
        <w:t> </w:t>
      </w:r>
      <w:r>
        <w:rPr>
          <w:color w:val="231F20"/>
          <w:w w:val="105"/>
        </w:rPr>
        <w:t>instantánea:</w:t>
      </w:r>
    </w:p>
    <w:p>
      <w:pPr>
        <w:pStyle w:val="BodyText"/>
        <w:spacing w:before="9"/>
        <w:rPr>
          <w:sz w:val="26"/>
        </w:rPr>
      </w:pPr>
    </w:p>
    <w:p>
      <w:pPr>
        <w:pStyle w:val="BodyText"/>
        <w:spacing w:before="57"/>
        <w:ind w:left="77" w:right="157"/>
        <w:jc w:val="right"/>
      </w:pPr>
      <w:r>
        <w:rPr/>
        <w:pict>
          <v:group style="position:absolute;margin-left:113.386002pt;margin-top:-7.411629pt;width:161.2pt;height:49.65pt;mso-position-horizontal-relative:page;mso-position-vertical-relative:paragraph;z-index:-240496" coordorigin="2268,-148" coordsize="3224,993">
            <v:shape style="position:absolute;left:2268;top:-148;width:3224;height:402" type="#_x0000_t75" stroked="false">
              <v:imagedata r:id="rId100" o:title=""/>
            </v:shape>
            <v:shape style="position:absolute;left:2491;top:276;width:592;height:568" type="#_x0000_t75" stroked="false">
              <v:imagedata r:id="rId101" o:title=""/>
            </v:shape>
            <w10:wrap type="none"/>
          </v:group>
        </w:pict>
      </w:r>
      <w:r>
        <w:rPr>
          <w:color w:val="231F20"/>
          <w:w w:val="95"/>
        </w:rPr>
        <w:t>(8)</w:t>
      </w:r>
    </w:p>
    <w:p>
      <w:pPr>
        <w:pStyle w:val="BodyText"/>
        <w:spacing w:before="7"/>
        <w:rPr>
          <w:sz w:val="15"/>
        </w:rPr>
      </w:pPr>
    </w:p>
    <w:p>
      <w:pPr>
        <w:pStyle w:val="BodyText"/>
        <w:tabs>
          <w:tab w:pos="1840" w:val="left" w:leader="none"/>
        </w:tabs>
        <w:spacing w:line="249" w:lineRule="auto"/>
        <w:ind w:left="117" w:right="121"/>
        <w:jc w:val="both"/>
      </w:pPr>
      <w:r>
        <w:rPr>
          <w:color w:val="231F20"/>
          <w:w w:val="105"/>
        </w:rPr>
        <w:t>Con </w:t>
      </w:r>
      <w:r>
        <w:rPr>
          <w:rFonts w:ascii="Times New Roman" w:hAnsi="Times New Roman"/>
          <w:i/>
          <w:color w:val="231F20"/>
          <w:w w:val="105"/>
          <w:sz w:val="22"/>
        </w:rPr>
        <w:t>κ</w:t>
      </w:r>
      <w:r>
        <w:rPr>
          <w:rFonts w:ascii="Times New Roman" w:hAnsi="Times New Roman"/>
          <w:i/>
          <w:color w:val="231F20"/>
          <w:spacing w:val="-49"/>
          <w:w w:val="105"/>
          <w:sz w:val="22"/>
        </w:rPr>
        <w:t> </w:t>
      </w:r>
      <w:r>
        <w:rPr>
          <w:rFonts w:ascii="Times New Roman" w:hAnsi="Times New Roman"/>
          <w:color w:val="231F20"/>
          <w:w w:val="105"/>
          <w:sz w:val="22"/>
        </w:rPr>
        <w:t>=</w:t>
      </w:r>
      <w:r>
        <w:rPr>
          <w:rFonts w:ascii="Times New Roman" w:hAnsi="Times New Roman"/>
          <w:color w:val="231F20"/>
          <w:spacing w:val="-35"/>
          <w:w w:val="105"/>
          <w:sz w:val="22"/>
        </w:rPr>
        <w:t> </w:t>
      </w:r>
      <w:r>
        <w:rPr>
          <w:color w:val="231F20"/>
          <w:w w:val="105"/>
        </w:rPr>
        <w:t>2</w:t>
      </w:r>
      <w:r>
        <w:rPr>
          <w:rFonts w:ascii="Times New Roman" w:hAnsi="Times New Roman"/>
          <w:i/>
          <w:color w:val="231F20"/>
          <w:w w:val="105"/>
          <w:sz w:val="22"/>
        </w:rPr>
        <w:t>β</w:t>
      </w:r>
      <w:r>
        <w:rPr>
          <w:color w:val="231F20"/>
          <w:w w:val="105"/>
        </w:rPr>
        <w:t>,</w:t>
        <w:tab/>
        <w:t>y</w:t>
      </w:r>
      <w:r>
        <w:rPr>
          <w:color w:val="231F20"/>
          <w:spacing w:val="-13"/>
          <w:w w:val="105"/>
        </w:rPr>
        <w:t> </w:t>
      </w:r>
      <w:r>
        <w:rPr>
          <w:rFonts w:ascii="Times New Roman" w:hAnsi="Times New Roman"/>
          <w:i/>
          <w:color w:val="231F20"/>
          <w:w w:val="105"/>
          <w:sz w:val="22"/>
        </w:rPr>
        <w:t>σ</w:t>
      </w:r>
      <w:r>
        <w:rPr>
          <w:rFonts w:ascii="Times New Roman" w:hAnsi="Times New Roman"/>
          <w:i/>
          <w:color w:val="231F20"/>
          <w:spacing w:val="-34"/>
          <w:w w:val="105"/>
          <w:sz w:val="22"/>
        </w:rPr>
        <w:t> </w:t>
      </w:r>
      <w:r>
        <w:rPr>
          <w:rFonts w:ascii="Times New Roman" w:hAnsi="Times New Roman"/>
          <w:color w:val="231F20"/>
          <w:w w:val="105"/>
          <w:sz w:val="22"/>
        </w:rPr>
        <w:t>=</w:t>
      </w:r>
      <w:r>
        <w:rPr>
          <w:rFonts w:ascii="Times New Roman" w:hAnsi="Times New Roman"/>
          <w:color w:val="231F20"/>
          <w:spacing w:val="-34"/>
          <w:w w:val="105"/>
          <w:sz w:val="22"/>
        </w:rPr>
        <w:t> </w:t>
      </w:r>
      <w:r>
        <w:rPr>
          <w:color w:val="231F20"/>
          <w:w w:val="105"/>
        </w:rPr>
        <w:t>2</w:t>
      </w:r>
      <w:r>
        <w:rPr>
          <w:rFonts w:ascii="Times New Roman" w:hAnsi="Times New Roman"/>
          <w:i/>
          <w:color w:val="231F20"/>
          <w:w w:val="105"/>
          <w:sz w:val="22"/>
        </w:rPr>
        <w:t>δ</w:t>
      </w:r>
      <w:r>
        <w:rPr>
          <w:color w:val="231F20"/>
          <w:w w:val="105"/>
        </w:rPr>
        <w:t>.</w:t>
      </w:r>
      <w:r>
        <w:rPr>
          <w:color w:val="231F20"/>
          <w:spacing w:val="-19"/>
          <w:w w:val="105"/>
        </w:rPr>
        <w:t> </w:t>
      </w:r>
      <w:r>
        <w:rPr>
          <w:color w:val="231F20"/>
          <w:w w:val="105"/>
        </w:rPr>
        <w:t>El</w:t>
      </w:r>
      <w:r>
        <w:rPr>
          <w:color w:val="231F20"/>
          <w:spacing w:val="-13"/>
          <w:w w:val="105"/>
        </w:rPr>
        <w:t> </w:t>
      </w:r>
      <w:r>
        <w:rPr>
          <w:color w:val="231F20"/>
          <w:w w:val="105"/>
        </w:rPr>
        <w:t>parámetro</w:t>
      </w:r>
      <w:r>
        <w:rPr>
          <w:color w:val="231F20"/>
          <w:spacing w:val="-13"/>
          <w:w w:val="105"/>
        </w:rPr>
        <w:t> </w:t>
      </w:r>
      <w:r>
        <w:rPr>
          <w:rFonts w:ascii="Times New Roman" w:hAnsi="Times New Roman"/>
          <w:i/>
          <w:color w:val="231F20"/>
          <w:w w:val="105"/>
          <w:sz w:val="22"/>
        </w:rPr>
        <w:t>θ</w:t>
      </w:r>
      <w:r>
        <w:rPr>
          <w:rFonts w:ascii="Times New Roman" w:hAnsi="Times New Roman"/>
          <w:i/>
          <w:color w:val="231F20"/>
          <w:spacing w:val="-9"/>
          <w:w w:val="105"/>
          <w:sz w:val="22"/>
        </w:rPr>
        <w:t> </w:t>
      </w:r>
      <w:r>
        <w:rPr>
          <w:color w:val="231F20"/>
          <w:w w:val="105"/>
        </w:rPr>
        <w:t>representa</w:t>
      </w:r>
      <w:r>
        <w:rPr>
          <w:color w:val="231F20"/>
          <w:spacing w:val="-13"/>
          <w:w w:val="105"/>
        </w:rPr>
        <w:t> </w:t>
      </w:r>
      <w:r>
        <w:rPr>
          <w:color w:val="231F20"/>
          <w:w w:val="105"/>
        </w:rPr>
        <w:t>el</w:t>
      </w:r>
      <w:r>
        <w:rPr>
          <w:color w:val="231F20"/>
          <w:spacing w:val="-13"/>
          <w:w w:val="105"/>
        </w:rPr>
        <w:t> </w:t>
      </w:r>
      <w:r>
        <w:rPr>
          <w:color w:val="231F20"/>
          <w:w w:val="105"/>
        </w:rPr>
        <w:t>nivel</w:t>
      </w:r>
      <w:r>
        <w:rPr>
          <w:color w:val="231F20"/>
          <w:spacing w:val="-13"/>
          <w:w w:val="105"/>
        </w:rPr>
        <w:t> </w:t>
      </w:r>
      <w:r>
        <w:rPr>
          <w:color w:val="231F20"/>
          <w:w w:val="105"/>
        </w:rPr>
        <w:t>medio</w:t>
      </w:r>
      <w:r>
        <w:rPr>
          <w:color w:val="231F20"/>
          <w:spacing w:val="-13"/>
          <w:w w:val="105"/>
        </w:rPr>
        <w:t> </w:t>
      </w:r>
      <w:r>
        <w:rPr>
          <w:color w:val="231F20"/>
          <w:w w:val="105"/>
        </w:rPr>
        <w:t>de</w:t>
      </w:r>
      <w:r>
        <w:rPr>
          <w:color w:val="231F20"/>
          <w:spacing w:val="-13"/>
          <w:w w:val="105"/>
        </w:rPr>
        <w:t> </w:t>
      </w:r>
      <w:r>
        <w:rPr>
          <w:color w:val="231F20"/>
          <w:w w:val="105"/>
        </w:rPr>
        <w:t>la</w:t>
      </w:r>
      <w:r>
        <w:rPr>
          <w:color w:val="231F20"/>
          <w:w w:val="100"/>
        </w:rPr>
        <w:t> </w:t>
      </w:r>
      <w:r>
        <w:rPr>
          <w:color w:val="231F20"/>
          <w:w w:val="105"/>
        </w:rPr>
        <w:t>varianza</w:t>
      </w:r>
      <w:r>
        <w:rPr>
          <w:color w:val="231F20"/>
          <w:spacing w:val="-15"/>
          <w:w w:val="105"/>
        </w:rPr>
        <w:t> </w:t>
      </w:r>
      <w:r>
        <w:rPr>
          <w:color w:val="231F20"/>
          <w:w w:val="105"/>
        </w:rPr>
        <w:t>de</w:t>
      </w:r>
      <w:r>
        <w:rPr>
          <w:color w:val="231F20"/>
          <w:spacing w:val="-15"/>
          <w:w w:val="105"/>
        </w:rPr>
        <w:t> </w:t>
      </w:r>
      <w:r>
        <w:rPr>
          <w:color w:val="231F20"/>
          <w:w w:val="105"/>
        </w:rPr>
        <w:t>largo</w:t>
      </w:r>
      <w:r>
        <w:rPr>
          <w:color w:val="231F20"/>
          <w:spacing w:val="-15"/>
          <w:w w:val="105"/>
        </w:rPr>
        <w:t> </w:t>
      </w:r>
      <w:r>
        <w:rPr>
          <w:color w:val="231F20"/>
          <w:w w:val="105"/>
        </w:rPr>
        <w:t>plazo,</w:t>
      </w:r>
      <w:r>
        <w:rPr>
          <w:color w:val="231F20"/>
          <w:spacing w:val="-21"/>
          <w:w w:val="105"/>
        </w:rPr>
        <w:t> </w:t>
      </w:r>
      <w:r>
        <w:rPr>
          <w:color w:val="231F20"/>
          <w:w w:val="105"/>
        </w:rPr>
        <w:t>mientras</w:t>
      </w:r>
      <w:r>
        <w:rPr>
          <w:color w:val="231F20"/>
          <w:spacing w:val="-15"/>
          <w:w w:val="105"/>
        </w:rPr>
        <w:t> </w:t>
      </w:r>
      <w:r>
        <w:rPr>
          <w:color w:val="231F20"/>
          <w:w w:val="105"/>
        </w:rPr>
        <w:t>que</w:t>
      </w:r>
      <w:r>
        <w:rPr>
          <w:color w:val="231F20"/>
          <w:spacing w:val="-15"/>
          <w:w w:val="105"/>
        </w:rPr>
        <w:t> </w:t>
      </w:r>
      <w:r>
        <w:rPr>
          <w:rFonts w:ascii="Times New Roman" w:hAnsi="Times New Roman"/>
          <w:i/>
          <w:color w:val="231F20"/>
          <w:w w:val="105"/>
          <w:sz w:val="22"/>
        </w:rPr>
        <w:t>κ</w:t>
      </w:r>
      <w:r>
        <w:rPr>
          <w:rFonts w:ascii="Times New Roman" w:hAnsi="Times New Roman"/>
          <w:i/>
          <w:color w:val="231F20"/>
          <w:spacing w:val="-12"/>
          <w:w w:val="105"/>
          <w:sz w:val="22"/>
        </w:rPr>
        <w:t> </w:t>
      </w:r>
      <w:r>
        <w:rPr>
          <w:color w:val="231F20"/>
          <w:w w:val="105"/>
        </w:rPr>
        <w:t>recoge</w:t>
      </w:r>
      <w:r>
        <w:rPr>
          <w:color w:val="231F20"/>
          <w:spacing w:val="-15"/>
          <w:w w:val="105"/>
        </w:rPr>
        <w:t> </w:t>
      </w:r>
      <w:r>
        <w:rPr>
          <w:color w:val="231F20"/>
          <w:w w:val="105"/>
        </w:rPr>
        <w:t>la</w:t>
      </w:r>
      <w:r>
        <w:rPr>
          <w:color w:val="231F20"/>
          <w:spacing w:val="-15"/>
          <w:w w:val="105"/>
        </w:rPr>
        <w:t> </w:t>
      </w:r>
      <w:r>
        <w:rPr>
          <w:color w:val="231F20"/>
          <w:w w:val="105"/>
        </w:rPr>
        <w:t>velocidad</w:t>
      </w:r>
      <w:r>
        <w:rPr>
          <w:color w:val="231F20"/>
          <w:spacing w:val="-15"/>
          <w:w w:val="105"/>
        </w:rPr>
        <w:t> </w:t>
      </w:r>
      <w:r>
        <w:rPr>
          <w:color w:val="231F20"/>
          <w:w w:val="105"/>
        </w:rPr>
        <w:t>de</w:t>
      </w:r>
      <w:r>
        <w:rPr>
          <w:color w:val="231F20"/>
          <w:spacing w:val="-15"/>
          <w:w w:val="105"/>
        </w:rPr>
        <w:t> </w:t>
      </w:r>
      <w:r>
        <w:rPr>
          <w:color w:val="231F20"/>
          <w:w w:val="105"/>
        </w:rPr>
        <w:t>reversión a la</w:t>
      </w:r>
      <w:r>
        <w:rPr>
          <w:color w:val="231F20"/>
          <w:spacing w:val="-39"/>
          <w:w w:val="105"/>
        </w:rPr>
        <w:t> </w:t>
      </w:r>
      <w:r>
        <w:rPr>
          <w:color w:val="231F20"/>
          <w:w w:val="105"/>
        </w:rPr>
        <w:t>media.</w:t>
      </w:r>
    </w:p>
    <w:p>
      <w:pPr>
        <w:pStyle w:val="BodyText"/>
        <w:spacing w:line="252" w:lineRule="auto" w:before="9"/>
        <w:ind w:left="117" w:right="115" w:firstLine="567"/>
        <w:jc w:val="both"/>
      </w:pPr>
      <w:r>
        <w:rPr/>
        <w:drawing>
          <wp:anchor distT="0" distB="0" distL="0" distR="0" allowOverlap="1" layoutInCell="1" locked="0" behindDoc="1" simplePos="0" relativeHeight="268194983">
            <wp:simplePos x="0" y="0"/>
            <wp:positionH relativeFrom="page">
              <wp:posOffset>4349940</wp:posOffset>
            </wp:positionH>
            <wp:positionV relativeFrom="paragraph">
              <wp:posOffset>305568</wp:posOffset>
            </wp:positionV>
            <wp:extent cx="207137" cy="182448"/>
            <wp:effectExtent l="0" t="0" r="0" b="0"/>
            <wp:wrapNone/>
            <wp:docPr id="69" name="image78.jpeg" descr=""/>
            <wp:cNvGraphicFramePr>
              <a:graphicFrameLocks noChangeAspect="1"/>
            </wp:cNvGraphicFramePr>
            <a:graphic>
              <a:graphicData uri="http://schemas.openxmlformats.org/drawingml/2006/picture">
                <pic:pic>
                  <pic:nvPicPr>
                    <pic:cNvPr id="70" name="image78.jpeg"/>
                    <pic:cNvPicPr/>
                  </pic:nvPicPr>
                  <pic:blipFill>
                    <a:blip r:embed="rId102" cstate="print"/>
                    <a:stretch>
                      <a:fillRect/>
                    </a:stretch>
                  </pic:blipFill>
                  <pic:spPr>
                    <a:xfrm>
                      <a:off x="0" y="0"/>
                      <a:ext cx="207137" cy="182448"/>
                    </a:xfrm>
                    <a:prstGeom prst="rect">
                      <a:avLst/>
                    </a:prstGeom>
                  </pic:spPr>
                </pic:pic>
              </a:graphicData>
            </a:graphic>
          </wp:anchor>
        </w:drawing>
      </w:r>
      <w:r>
        <w:rPr>
          <w:color w:val="231F20"/>
          <w:w w:val="105"/>
        </w:rPr>
        <w:t>Cabe destacar que la parte determinista del proceso correspon- diente a la varianza instantánea es asintóticamente estable para </w:t>
      </w:r>
      <w:r>
        <w:rPr>
          <w:rFonts w:ascii="Times New Roman" w:hAnsi="Times New Roman"/>
          <w:i/>
          <w:color w:val="231F20"/>
          <w:w w:val="105"/>
          <w:sz w:val="22"/>
        </w:rPr>
        <w:t>κ </w:t>
      </w:r>
      <w:r>
        <w:rPr>
          <w:rFonts w:ascii="Times New Roman" w:hAnsi="Times New Roman"/>
          <w:color w:val="231F20"/>
          <w:w w:val="105"/>
          <w:sz w:val="20"/>
        </w:rPr>
        <w:t>˃ </w:t>
      </w:r>
      <w:r>
        <w:rPr>
          <w:color w:val="231F20"/>
          <w:w w:val="105"/>
        </w:rPr>
        <w:t>0, mientras que </w:t>
      </w:r>
      <w:r>
        <w:rPr>
          <w:rFonts w:ascii="Times New Roman" w:hAnsi="Times New Roman"/>
          <w:i/>
          <w:color w:val="231F20"/>
          <w:w w:val="105"/>
          <w:sz w:val="22"/>
        </w:rPr>
        <w:t>σ </w:t>
      </w:r>
      <w:r>
        <w:rPr>
          <w:color w:val="231F20"/>
          <w:w w:val="105"/>
        </w:rPr>
        <w:t>representa la volatilidad de la varianza  . La presen-  cia</w:t>
      </w:r>
      <w:r>
        <w:rPr>
          <w:color w:val="231F20"/>
          <w:spacing w:val="-6"/>
          <w:w w:val="105"/>
        </w:rPr>
        <w:t> </w:t>
      </w:r>
      <w:r>
        <w:rPr>
          <w:color w:val="231F20"/>
          <w:w w:val="105"/>
        </w:rPr>
        <w:t>de</w:t>
      </w:r>
      <w:r>
        <w:rPr>
          <w:color w:val="231F20"/>
          <w:spacing w:val="-6"/>
          <w:w w:val="105"/>
        </w:rPr>
        <w:t> </w:t>
      </w:r>
      <w:r>
        <w:rPr>
          <w:color w:val="231F20"/>
          <w:w w:val="105"/>
        </w:rPr>
        <w:t>este</w:t>
      </w:r>
      <w:r>
        <w:rPr>
          <w:color w:val="231F20"/>
          <w:spacing w:val="-6"/>
          <w:w w:val="105"/>
        </w:rPr>
        <w:t> </w:t>
      </w:r>
      <w:r>
        <w:rPr>
          <w:color w:val="231F20"/>
          <w:w w:val="105"/>
        </w:rPr>
        <w:t>parámetro</w:t>
      </w:r>
      <w:r>
        <w:rPr>
          <w:color w:val="231F20"/>
          <w:spacing w:val="-6"/>
          <w:w w:val="105"/>
        </w:rPr>
        <w:t> </w:t>
      </w:r>
      <w:r>
        <w:rPr>
          <w:color w:val="231F20"/>
          <w:w w:val="105"/>
        </w:rPr>
        <w:t>hace</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modelo</w:t>
      </w:r>
      <w:r>
        <w:rPr>
          <w:color w:val="231F20"/>
          <w:spacing w:val="-6"/>
          <w:w w:val="105"/>
        </w:rPr>
        <w:t> </w:t>
      </w:r>
      <w:r>
        <w:rPr>
          <w:color w:val="231F20"/>
          <w:w w:val="105"/>
        </w:rPr>
        <w:t>se</w:t>
      </w:r>
      <w:r>
        <w:rPr>
          <w:color w:val="231F20"/>
          <w:spacing w:val="-6"/>
          <w:w w:val="105"/>
        </w:rPr>
        <w:t> </w:t>
      </w:r>
      <w:r>
        <w:rPr>
          <w:color w:val="231F20"/>
          <w:w w:val="105"/>
        </w:rPr>
        <w:t>adecue</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valoración</w:t>
      </w:r>
      <w:r>
        <w:rPr>
          <w:color w:val="231F20"/>
          <w:spacing w:val="-6"/>
          <w:w w:val="105"/>
        </w:rPr>
        <w:t> </w:t>
      </w:r>
      <w:r>
        <w:rPr>
          <w:color w:val="231F20"/>
          <w:w w:val="105"/>
        </w:rPr>
        <w:t>de productos</w:t>
      </w:r>
      <w:r>
        <w:rPr>
          <w:color w:val="231F20"/>
          <w:spacing w:val="-11"/>
          <w:w w:val="105"/>
        </w:rPr>
        <w:t> </w:t>
      </w:r>
      <w:r>
        <w:rPr>
          <w:color w:val="231F20"/>
          <w:w w:val="105"/>
        </w:rPr>
        <w:t>derivados</w:t>
      </w:r>
      <w:r>
        <w:rPr>
          <w:color w:val="231F20"/>
          <w:spacing w:val="-11"/>
          <w:w w:val="105"/>
        </w:rPr>
        <w:t> </w:t>
      </w:r>
      <w:r>
        <w:rPr>
          <w:color w:val="231F20"/>
          <w:w w:val="105"/>
        </w:rPr>
        <w:t>sensibles</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volatilidad</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volatilidad,</w:t>
      </w:r>
      <w:r>
        <w:rPr>
          <w:color w:val="231F20"/>
          <w:spacing w:val="-18"/>
          <w:w w:val="105"/>
        </w:rPr>
        <w:t> </w:t>
      </w:r>
      <w:r>
        <w:rPr>
          <w:color w:val="231F20"/>
          <w:w w:val="105"/>
        </w:rPr>
        <w:t>y</w:t>
      </w:r>
      <w:r>
        <w:rPr>
          <w:color w:val="231F20"/>
          <w:spacing w:val="-11"/>
          <w:w w:val="105"/>
        </w:rPr>
        <w:t> </w:t>
      </w:r>
      <w:r>
        <w:rPr>
          <w:color w:val="231F20"/>
          <w:w w:val="105"/>
        </w:rPr>
        <w:t>cuando </w:t>
      </w:r>
      <w:r>
        <w:rPr>
          <w:rFonts w:ascii="Times New Roman" w:hAnsi="Times New Roman"/>
          <w:i/>
          <w:color w:val="231F20"/>
          <w:w w:val="105"/>
          <w:sz w:val="22"/>
        </w:rPr>
        <w:t>σ</w:t>
      </w:r>
      <w:r>
        <w:rPr>
          <w:rFonts w:ascii="Times New Roman" w:hAnsi="Times New Roman"/>
          <w:i/>
          <w:color w:val="231F20"/>
          <w:spacing w:val="-31"/>
          <w:w w:val="105"/>
          <w:sz w:val="22"/>
        </w:rPr>
        <w:t> </w:t>
      </w:r>
      <w:r>
        <w:rPr>
          <w:rFonts w:ascii="Times New Roman" w:hAnsi="Times New Roman"/>
          <w:color w:val="231F20"/>
          <w:w w:val="105"/>
          <w:sz w:val="22"/>
        </w:rPr>
        <w:t>=</w:t>
      </w:r>
      <w:r>
        <w:rPr>
          <w:rFonts w:ascii="Times New Roman" w:hAnsi="Times New Roman"/>
          <w:color w:val="231F20"/>
          <w:spacing w:val="-31"/>
          <w:w w:val="105"/>
          <w:sz w:val="22"/>
        </w:rPr>
        <w:t> </w:t>
      </w:r>
      <w:r>
        <w:rPr>
          <w:color w:val="231F20"/>
          <w:w w:val="105"/>
        </w:rPr>
        <w:t>0</w:t>
      </w:r>
      <w:r>
        <w:rPr>
          <w:color w:val="231F20"/>
          <w:spacing w:val="-10"/>
          <w:w w:val="105"/>
        </w:rPr>
        <w:t> </w:t>
      </w:r>
      <w:r>
        <w:rPr>
          <w:color w:val="231F20"/>
          <w:w w:val="105"/>
        </w:rPr>
        <w:t>la</w:t>
      </w:r>
      <w:r>
        <w:rPr>
          <w:color w:val="231F20"/>
          <w:spacing w:val="-10"/>
          <w:w w:val="105"/>
        </w:rPr>
        <w:t> </w:t>
      </w:r>
      <w:r>
        <w:rPr>
          <w:color w:val="231F20"/>
          <w:w w:val="105"/>
        </w:rPr>
        <w:t>volatilidad</w:t>
      </w:r>
      <w:r>
        <w:rPr>
          <w:color w:val="231F20"/>
          <w:spacing w:val="-10"/>
          <w:w w:val="105"/>
        </w:rPr>
        <w:t> </w:t>
      </w:r>
      <w:r>
        <w:rPr>
          <w:color w:val="231F20"/>
          <w:w w:val="105"/>
        </w:rPr>
        <w:t>es</w:t>
      </w:r>
      <w:r>
        <w:rPr>
          <w:color w:val="231F20"/>
          <w:spacing w:val="-10"/>
          <w:w w:val="105"/>
        </w:rPr>
        <w:t> </w:t>
      </w:r>
      <w:r>
        <w:rPr>
          <w:color w:val="231F20"/>
          <w:w w:val="105"/>
        </w:rPr>
        <w:t>una</w:t>
      </w:r>
      <w:r>
        <w:rPr>
          <w:color w:val="231F20"/>
          <w:spacing w:val="-10"/>
          <w:w w:val="105"/>
        </w:rPr>
        <w:t> </w:t>
      </w:r>
      <w:r>
        <w:rPr>
          <w:color w:val="231F20"/>
          <w:w w:val="105"/>
        </w:rPr>
        <w:t>función</w:t>
      </w:r>
      <w:r>
        <w:rPr>
          <w:color w:val="231F20"/>
          <w:spacing w:val="-10"/>
          <w:w w:val="105"/>
        </w:rPr>
        <w:t> </w:t>
      </w:r>
      <w:r>
        <w:rPr>
          <w:color w:val="231F20"/>
          <w:w w:val="105"/>
        </w:rPr>
        <w:t>determinista</w:t>
      </w:r>
      <w:r>
        <w:rPr>
          <w:color w:val="231F20"/>
          <w:spacing w:val="-10"/>
          <w:w w:val="105"/>
        </w:rPr>
        <w:t> </w:t>
      </w:r>
      <w:r>
        <w:rPr>
          <w:color w:val="231F20"/>
          <w:w w:val="105"/>
        </w:rPr>
        <w:t>del</w:t>
      </w:r>
      <w:r>
        <w:rPr>
          <w:color w:val="231F20"/>
          <w:spacing w:val="-10"/>
          <w:w w:val="105"/>
        </w:rPr>
        <w:t> </w:t>
      </w:r>
      <w:r>
        <w:rPr>
          <w:color w:val="231F20"/>
          <w:w w:val="105"/>
        </w:rPr>
        <w:t>tiempo.</w:t>
      </w:r>
    </w:p>
    <w:p>
      <w:pPr>
        <w:pStyle w:val="BodyText"/>
        <w:spacing w:line="259" w:lineRule="auto" w:before="3"/>
        <w:ind w:left="117" w:right="121" w:firstLine="567"/>
        <w:jc w:val="both"/>
      </w:pPr>
      <w:r>
        <w:rPr>
          <w:color w:val="231F20"/>
          <w:w w:val="105"/>
        </w:rPr>
        <w:t>Por el teorema de Girsanov el proceso correspondiente a la evo- lución del activo subyacente, bajo la medida de probabilidad neutral al riesgo, está dado por:</w:t>
      </w:r>
    </w:p>
    <w:p>
      <w:pPr>
        <w:spacing w:before="149"/>
        <w:ind w:left="77" w:right="157" w:firstLine="0"/>
        <w:jc w:val="right"/>
        <w:rPr>
          <w:sz w:val="21"/>
        </w:rPr>
      </w:pPr>
      <w:r>
        <w:rPr/>
        <w:drawing>
          <wp:inline distT="0" distB="0" distL="0" distR="0">
            <wp:extent cx="1284933" cy="395135"/>
            <wp:effectExtent l="0" t="0" r="0" b="0"/>
            <wp:docPr id="71" name="image79.jpeg" descr=""/>
            <wp:cNvGraphicFramePr>
              <a:graphicFrameLocks noChangeAspect="1"/>
            </wp:cNvGraphicFramePr>
            <a:graphic>
              <a:graphicData uri="http://schemas.openxmlformats.org/drawingml/2006/picture">
                <pic:pic>
                  <pic:nvPicPr>
                    <pic:cNvPr id="72" name="image79.jpeg"/>
                    <pic:cNvPicPr/>
                  </pic:nvPicPr>
                  <pic:blipFill>
                    <a:blip r:embed="rId103" cstate="print"/>
                    <a:stretch>
                      <a:fillRect/>
                    </a:stretch>
                  </pic:blipFill>
                  <pic:spPr>
                    <a:xfrm>
                      <a:off x="0" y="0"/>
                      <a:ext cx="1284933" cy="395135"/>
                    </a:xfrm>
                    <a:prstGeom prst="rect">
                      <a:avLst/>
                    </a:prstGeom>
                  </pic:spPr>
                </pic:pic>
              </a:graphicData>
            </a:graphic>
          </wp:inline>
        </w:drawing>
      </w:r>
      <w:r>
        <w:rPr/>
      </w:r>
      <w:r>
        <w:rPr>
          <w:rFonts w:ascii="Times New Roman"/>
          <w:sz w:val="20"/>
        </w:rPr>
        <w:t>                                                                          </w:t>
      </w:r>
      <w:r>
        <w:rPr>
          <w:color w:val="231F20"/>
          <w:w w:val="95"/>
          <w:sz w:val="21"/>
        </w:rPr>
        <w:t>(9)</w:t>
      </w:r>
    </w:p>
    <w:p>
      <w:pPr>
        <w:pStyle w:val="BodyText"/>
        <w:spacing w:line="260" w:lineRule="exact" w:before="177"/>
        <w:ind w:left="117" w:right="121"/>
        <w:jc w:val="both"/>
      </w:pPr>
      <w:r>
        <w:rPr>
          <w:color w:val="231F20"/>
          <w:w w:val="105"/>
        </w:rPr>
        <w:t>Siendo</w:t>
      </w:r>
      <w:r>
        <w:rPr>
          <w:color w:val="231F20"/>
          <w:spacing w:val="-13"/>
          <w:w w:val="105"/>
        </w:rPr>
        <w:t> </w:t>
      </w:r>
      <w:r>
        <w:rPr>
          <w:rFonts w:ascii="Times New Roman" w:hAnsi="Times New Roman"/>
          <w:i/>
          <w:color w:val="231F20"/>
          <w:w w:val="105"/>
          <w:sz w:val="22"/>
        </w:rPr>
        <w:t>W</w:t>
      </w:r>
      <w:r>
        <w:rPr>
          <w:rFonts w:ascii="Times New Roman" w:hAnsi="Times New Roman"/>
          <w:i/>
          <w:color w:val="231F20"/>
          <w:w w:val="105"/>
          <w:position w:val="-4"/>
          <w:sz w:val="13"/>
        </w:rPr>
        <w:t>S</w:t>
      </w:r>
      <w:r>
        <w:rPr>
          <w:rFonts w:ascii="Times New Roman" w:hAnsi="Times New Roman"/>
          <w:i/>
          <w:color w:val="231F20"/>
          <w:w w:val="105"/>
          <w:position w:val="-8"/>
          <w:sz w:val="11"/>
        </w:rPr>
        <w:t>t</w:t>
      </w:r>
      <w:r>
        <w:rPr>
          <w:rFonts w:ascii="Times New Roman" w:hAnsi="Times New Roman"/>
          <w:i/>
          <w:color w:val="231F20"/>
          <w:spacing w:val="19"/>
          <w:w w:val="105"/>
          <w:position w:val="-8"/>
          <w:sz w:val="11"/>
        </w:rPr>
        <w:t> </w:t>
      </w:r>
      <w:r>
        <w:rPr>
          <w:color w:val="231F20"/>
          <w:w w:val="105"/>
        </w:rPr>
        <w:t>un</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7"/>
          <w:w w:val="105"/>
        </w:rPr>
        <w:t> </w:t>
      </w:r>
      <w:r>
        <w:rPr>
          <w:color w:val="231F20"/>
          <w:w w:val="105"/>
        </w:rPr>
        <w:t>Wiener</w:t>
      </w:r>
      <w:r>
        <w:rPr>
          <w:color w:val="231F20"/>
          <w:spacing w:val="-13"/>
          <w:w w:val="105"/>
        </w:rPr>
        <w:t> </w:t>
      </w:r>
      <w:r>
        <w:rPr>
          <w:color w:val="231F20"/>
          <w:w w:val="105"/>
        </w:rPr>
        <w:t>bajo</w:t>
      </w:r>
      <w:r>
        <w:rPr>
          <w:color w:val="231F20"/>
          <w:spacing w:val="-13"/>
          <w:w w:val="105"/>
        </w:rPr>
        <w:t> </w:t>
      </w:r>
      <w:r>
        <w:rPr>
          <w:color w:val="231F20"/>
          <w:w w:val="105"/>
        </w:rPr>
        <w:t>la</w:t>
      </w:r>
      <w:r>
        <w:rPr>
          <w:color w:val="231F20"/>
          <w:spacing w:val="-13"/>
          <w:w w:val="105"/>
        </w:rPr>
        <w:t> </w:t>
      </w:r>
      <w:r>
        <w:rPr>
          <w:color w:val="231F20"/>
          <w:w w:val="105"/>
        </w:rPr>
        <w:t>medida</w:t>
      </w:r>
      <w:r>
        <w:rPr>
          <w:color w:val="231F20"/>
          <w:spacing w:val="-13"/>
          <w:w w:val="105"/>
        </w:rPr>
        <w:t> </w:t>
      </w:r>
      <w:r>
        <w:rPr>
          <w:color w:val="231F20"/>
          <w:w w:val="105"/>
        </w:rPr>
        <w:t>de</w:t>
      </w:r>
      <w:r>
        <w:rPr>
          <w:color w:val="231F20"/>
          <w:spacing w:val="-13"/>
          <w:w w:val="105"/>
        </w:rPr>
        <w:t> </w:t>
      </w:r>
      <w:r>
        <w:rPr>
          <w:color w:val="231F20"/>
          <w:w w:val="105"/>
        </w:rPr>
        <w:t>probabilidad</w:t>
      </w:r>
      <w:r>
        <w:rPr>
          <w:color w:val="231F20"/>
          <w:spacing w:val="-13"/>
          <w:w w:val="105"/>
        </w:rPr>
        <w:t> </w:t>
      </w:r>
      <w:r>
        <w:rPr>
          <w:color w:val="231F20"/>
          <w:w w:val="105"/>
        </w:rPr>
        <w:t>neutral al</w:t>
      </w:r>
      <w:r>
        <w:rPr>
          <w:color w:val="231F20"/>
          <w:spacing w:val="-27"/>
          <w:w w:val="105"/>
        </w:rPr>
        <w:t> </w:t>
      </w:r>
      <w:r>
        <w:rPr>
          <w:color w:val="231F20"/>
          <w:w w:val="105"/>
        </w:rPr>
        <w:t>riesgo</w:t>
      </w:r>
      <w:r>
        <w:rPr>
          <w:color w:val="231F20"/>
          <w:spacing w:val="-27"/>
          <w:w w:val="105"/>
        </w:rPr>
        <w:t> </w:t>
      </w:r>
      <w:r>
        <w:rPr>
          <w:rFonts w:ascii="Times New Roman" w:hAnsi="Times New Roman"/>
          <w:i/>
          <w:color w:val="231F20"/>
          <w:w w:val="105"/>
          <w:sz w:val="22"/>
        </w:rPr>
        <w:t>Q</w:t>
      </w:r>
      <w:r>
        <w:rPr>
          <w:color w:val="231F20"/>
          <w:w w:val="105"/>
        </w:rPr>
        <w:t>.</w:t>
      </w:r>
      <w:r>
        <w:rPr>
          <w:color w:val="231F20"/>
          <w:spacing w:val="-32"/>
          <w:w w:val="105"/>
        </w:rPr>
        <w:t> </w:t>
      </w:r>
      <w:r>
        <w:rPr>
          <w:color w:val="231F20"/>
          <w:w w:val="105"/>
        </w:rPr>
        <w:t>Si</w:t>
      </w:r>
      <w:r>
        <w:rPr>
          <w:color w:val="231F20"/>
          <w:spacing w:val="-27"/>
          <w:w w:val="105"/>
        </w:rPr>
        <w:t> </w:t>
      </w:r>
      <w:r>
        <w:rPr>
          <w:color w:val="231F20"/>
          <w:w w:val="105"/>
        </w:rPr>
        <w:t>se</w:t>
      </w:r>
      <w:r>
        <w:rPr>
          <w:color w:val="231F20"/>
          <w:spacing w:val="-27"/>
          <w:w w:val="105"/>
        </w:rPr>
        <w:t> </w:t>
      </w:r>
      <w:r>
        <w:rPr>
          <w:color w:val="231F20"/>
          <w:w w:val="105"/>
        </w:rPr>
        <w:t>utiliza</w:t>
      </w:r>
      <w:r>
        <w:rPr>
          <w:color w:val="231F20"/>
          <w:spacing w:val="-27"/>
          <w:w w:val="105"/>
        </w:rPr>
        <w:t> </w:t>
      </w:r>
      <w:r>
        <w:rPr>
          <w:color w:val="231F20"/>
          <w:w w:val="105"/>
        </w:rPr>
        <w:t>nuevamente</w:t>
      </w:r>
      <w:r>
        <w:rPr>
          <w:color w:val="231F20"/>
          <w:spacing w:val="-27"/>
          <w:w w:val="105"/>
        </w:rPr>
        <w:t> </w:t>
      </w:r>
      <w:r>
        <w:rPr>
          <w:color w:val="231F20"/>
          <w:w w:val="105"/>
        </w:rPr>
        <w:t>el</w:t>
      </w:r>
      <w:r>
        <w:rPr>
          <w:color w:val="231F20"/>
          <w:spacing w:val="-27"/>
          <w:w w:val="105"/>
        </w:rPr>
        <w:t> </w:t>
      </w:r>
      <w:r>
        <w:rPr>
          <w:color w:val="231F20"/>
          <w:w w:val="105"/>
        </w:rPr>
        <w:t>teorema</w:t>
      </w:r>
      <w:r>
        <w:rPr>
          <w:color w:val="231F20"/>
          <w:spacing w:val="-27"/>
          <w:w w:val="105"/>
        </w:rPr>
        <w:t> </w:t>
      </w:r>
      <w:r>
        <w:rPr>
          <w:color w:val="231F20"/>
          <w:w w:val="105"/>
        </w:rPr>
        <w:t>de</w:t>
      </w:r>
      <w:r>
        <w:rPr>
          <w:color w:val="231F20"/>
          <w:spacing w:val="-27"/>
          <w:w w:val="105"/>
        </w:rPr>
        <w:t> </w:t>
      </w:r>
      <w:r>
        <w:rPr>
          <w:color w:val="231F20"/>
          <w:w w:val="105"/>
        </w:rPr>
        <w:t>Girsanov</w:t>
      </w:r>
      <w:r>
        <w:rPr>
          <w:color w:val="231F20"/>
          <w:spacing w:val="-27"/>
          <w:w w:val="105"/>
        </w:rPr>
        <w:t> </w:t>
      </w:r>
      <w:r>
        <w:rPr>
          <w:color w:val="231F20"/>
          <w:w w:val="105"/>
        </w:rPr>
        <w:t>es</w:t>
      </w:r>
      <w:r>
        <w:rPr>
          <w:color w:val="231F20"/>
          <w:spacing w:val="-27"/>
          <w:w w:val="105"/>
        </w:rPr>
        <w:t> </w:t>
      </w:r>
      <w:r>
        <w:rPr>
          <w:color w:val="231F20"/>
          <w:w w:val="105"/>
        </w:rPr>
        <w:t>inmediato escribir</w:t>
      </w:r>
      <w:r>
        <w:rPr>
          <w:color w:val="231F20"/>
          <w:spacing w:val="-19"/>
          <w:w w:val="105"/>
        </w:rPr>
        <w:t> </w:t>
      </w:r>
      <w:r>
        <w:rPr>
          <w:color w:val="231F20"/>
          <w:w w:val="105"/>
        </w:rPr>
        <w:t>la</w:t>
      </w:r>
      <w:r>
        <w:rPr>
          <w:color w:val="231F20"/>
          <w:spacing w:val="-19"/>
          <w:w w:val="105"/>
        </w:rPr>
        <w:t> </w:t>
      </w:r>
      <w:r>
        <w:rPr>
          <w:color w:val="231F20"/>
          <w:w w:val="105"/>
        </w:rPr>
        <w:t>ecuación</w:t>
      </w:r>
      <w:r>
        <w:rPr>
          <w:color w:val="231F20"/>
          <w:spacing w:val="-19"/>
          <w:w w:val="105"/>
        </w:rPr>
        <w:t> </w:t>
      </w:r>
      <w:r>
        <w:rPr>
          <w:color w:val="231F20"/>
          <w:w w:val="105"/>
        </w:rPr>
        <w:t>(8)</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siguiente</w:t>
      </w:r>
      <w:r>
        <w:rPr>
          <w:color w:val="231F20"/>
          <w:spacing w:val="-19"/>
          <w:w w:val="105"/>
        </w:rPr>
        <w:t> </w:t>
      </w:r>
      <w:r>
        <w:rPr>
          <w:color w:val="231F20"/>
          <w:w w:val="105"/>
        </w:rPr>
        <w:t>manera:</w:t>
      </w:r>
    </w:p>
    <w:p>
      <w:pPr>
        <w:pStyle w:val="BodyText"/>
        <w:spacing w:before="6"/>
        <w:rPr>
          <w:sz w:val="13"/>
        </w:rPr>
      </w:pPr>
      <w:r>
        <w:rPr/>
        <w:drawing>
          <wp:anchor distT="0" distB="0" distL="0" distR="0" allowOverlap="1" layoutInCell="1" locked="0" behindDoc="0" simplePos="0" relativeHeight="7360">
            <wp:simplePos x="0" y="0"/>
            <wp:positionH relativeFrom="page">
              <wp:posOffset>1440002</wp:posOffset>
            </wp:positionH>
            <wp:positionV relativeFrom="paragraph">
              <wp:posOffset>123966</wp:posOffset>
            </wp:positionV>
            <wp:extent cx="3152473" cy="428625"/>
            <wp:effectExtent l="0" t="0" r="0" b="0"/>
            <wp:wrapTopAndBottom/>
            <wp:docPr id="73" name="image80.jpeg" descr=""/>
            <wp:cNvGraphicFramePr>
              <a:graphicFrameLocks noChangeAspect="1"/>
            </wp:cNvGraphicFramePr>
            <a:graphic>
              <a:graphicData uri="http://schemas.openxmlformats.org/drawingml/2006/picture">
                <pic:pic>
                  <pic:nvPicPr>
                    <pic:cNvPr id="74" name="image80.jpeg"/>
                    <pic:cNvPicPr/>
                  </pic:nvPicPr>
                  <pic:blipFill>
                    <a:blip r:embed="rId104" cstate="print"/>
                    <a:stretch>
                      <a:fillRect/>
                    </a:stretch>
                  </pic:blipFill>
                  <pic:spPr>
                    <a:xfrm>
                      <a:off x="0" y="0"/>
                      <a:ext cx="3152473" cy="428625"/>
                    </a:xfrm>
                    <a:prstGeom prst="rect">
                      <a:avLst/>
                    </a:prstGeom>
                  </pic:spPr>
                </pic:pic>
              </a:graphicData>
            </a:graphic>
          </wp:anchor>
        </w:drawing>
      </w:r>
    </w:p>
    <w:p>
      <w:pPr>
        <w:pStyle w:val="BodyText"/>
        <w:rPr>
          <w:sz w:val="20"/>
        </w:rPr>
      </w:pPr>
    </w:p>
    <w:p>
      <w:pPr>
        <w:pStyle w:val="BodyText"/>
        <w:spacing w:before="3"/>
        <w:rPr>
          <w:sz w:val="19"/>
        </w:rPr>
      </w:pPr>
      <w:r>
        <w:rPr/>
        <w:pict>
          <v:line style="position:absolute;mso-position-horizontal-relative:page;mso-position-vertical-relative:paragraph;z-index:7384;mso-wrap-distance-left:0;mso-wrap-distance-right:0" from="70.866096pt,13.181857pt" to="184.252096pt,13.181857pt" stroked="true" strokeweight=".25pt" strokecolor="#231f20">
            <w10:wrap type="topAndBottom"/>
          </v:line>
        </w:pict>
      </w:r>
    </w:p>
    <w:p>
      <w:pPr>
        <w:spacing w:line="194" w:lineRule="exact" w:before="8"/>
        <w:ind w:left="117" w:right="0" w:firstLine="0"/>
        <w:jc w:val="both"/>
        <w:rPr>
          <w:rFonts w:ascii="Calibri" w:hAnsi="Calibri"/>
          <w:sz w:val="16"/>
        </w:rPr>
      </w:pPr>
      <w:r>
        <w:rPr>
          <w:rFonts w:ascii="Calibri" w:hAnsi="Calibri"/>
          <w:color w:val="414042"/>
          <w:position w:val="5"/>
          <w:sz w:val="9"/>
        </w:rPr>
        <w:t>1      </w:t>
      </w:r>
      <w:r>
        <w:rPr>
          <w:rFonts w:ascii="Calibri" w:hAnsi="Calibri"/>
          <w:color w:val="414042"/>
          <w:sz w:val="16"/>
        </w:rPr>
        <w:t>La mayor diferencia entre los modelos de Hull y White (1987) y el de Heston (1993) es la  especificación</w:t>
      </w:r>
    </w:p>
    <w:p>
      <w:pPr>
        <w:spacing w:line="194" w:lineRule="exact" w:before="0"/>
        <w:ind w:left="117" w:right="0" w:firstLine="0"/>
        <w:jc w:val="both"/>
        <w:rPr>
          <w:rFonts w:ascii="Calibri" w:hAnsi="Calibri"/>
          <w:sz w:val="16"/>
        </w:rPr>
      </w:pPr>
      <w:r>
        <w:rPr>
          <w:rFonts w:ascii="Calibri" w:hAnsi="Calibri"/>
          <w:color w:val="414042"/>
          <w:w w:val="105"/>
          <w:sz w:val="16"/>
        </w:rPr>
        <w:t>de la correlación.</w:t>
      </w:r>
    </w:p>
    <w:p>
      <w:pPr>
        <w:spacing w:after="0" w:line="194" w:lineRule="exact"/>
        <w:jc w:val="both"/>
        <w:rPr>
          <w:rFonts w:ascii="Calibri" w:hAnsi="Calibri"/>
          <w:sz w:val="16"/>
        </w:rPr>
        <w:sectPr>
          <w:type w:val="continuous"/>
          <w:pgSz w:w="9640" w:h="13890"/>
          <w:pgMar w:top="1300" w:bottom="280" w:left="1300" w:right="1180"/>
        </w:sectPr>
      </w:pPr>
    </w:p>
    <w:p>
      <w:pPr>
        <w:pStyle w:val="BodyText"/>
        <w:spacing w:before="120"/>
        <w:ind w:left="103" w:right="17"/>
      </w:pPr>
      <w:r>
        <w:rPr>
          <w:color w:val="231F20"/>
          <w:w w:val="105"/>
        </w:rPr>
        <w:t>Simplificando,</w:t>
      </w:r>
      <w:r>
        <w:rPr>
          <w:color w:val="231F20"/>
          <w:spacing w:val="-50"/>
          <w:w w:val="105"/>
        </w:rPr>
        <w:t> </w:t>
      </w:r>
      <w:r>
        <w:rPr>
          <w:color w:val="231F20"/>
          <w:w w:val="105"/>
        </w:rPr>
        <w:t>se tiene:</w:t>
      </w:r>
    </w:p>
    <w:p>
      <w:pPr>
        <w:pStyle w:val="BodyText"/>
        <w:rPr>
          <w:sz w:val="20"/>
        </w:rPr>
      </w:pPr>
    </w:p>
    <w:p>
      <w:pPr>
        <w:pStyle w:val="BodyText"/>
        <w:spacing w:before="9"/>
        <w:rPr>
          <w:sz w:val="28"/>
        </w:rPr>
      </w:pPr>
    </w:p>
    <w:p>
      <w:pPr>
        <w:pStyle w:val="BodyText"/>
        <w:spacing w:before="57"/>
        <w:ind w:left="103" w:right="142"/>
        <w:jc w:val="right"/>
      </w:pPr>
      <w:r>
        <w:rPr/>
        <w:pict>
          <v:group style="position:absolute;margin-left:100.769997pt;margin-top:-19.701019pt;width:243.95pt;height:65.5pt;mso-position-horizontal-relative:page;mso-position-vertical-relative:paragraph;z-index:-240400" coordorigin="2015,-394" coordsize="4879,1310">
            <v:shape style="position:absolute;left:2154;top:-394;width:3541;height:648" type="#_x0000_t75" stroked="false">
              <v:imagedata r:id="rId105" o:title=""/>
            </v:shape>
            <v:shape style="position:absolute;left:2015;top:336;width:2690;height:580" type="#_x0000_t75" stroked="false">
              <v:imagedata r:id="rId106" o:title=""/>
            </v:shape>
            <v:shape style="position:absolute;left:4706;top:263;width:2188;height:599" type="#_x0000_t75" stroked="false">
              <v:imagedata r:id="rId107" o:title=""/>
            </v:shape>
            <w10:wrap type="none"/>
          </v:group>
        </w:pict>
      </w:r>
      <w:r>
        <w:rPr>
          <w:color w:val="231F20"/>
        </w:rPr>
        <w:t>(10)</w:t>
      </w:r>
    </w:p>
    <w:p>
      <w:pPr>
        <w:pStyle w:val="BodyText"/>
        <w:spacing w:before="6"/>
        <w:rPr>
          <w:sz w:val="25"/>
        </w:rPr>
      </w:pPr>
    </w:p>
    <w:p>
      <w:pPr>
        <w:pStyle w:val="BodyText"/>
        <w:tabs>
          <w:tab w:pos="5693" w:val="left" w:leader="none"/>
        </w:tabs>
        <w:ind w:left="103"/>
        <w:jc w:val="both"/>
        <w:rPr>
          <w:rFonts w:ascii="Times New Roman"/>
          <w:i/>
          <w:sz w:val="13"/>
        </w:rPr>
      </w:pPr>
      <w:r>
        <w:rPr/>
        <w:pict>
          <v:shape style="position:absolute;margin-left:405.759186pt;margin-top:7.768569pt;width:5.3pt;height:8pt;mso-position-horizontal-relative:page;mso-position-vertical-relative:paragraph;z-index:-240376" type="#_x0000_t202" filled="false" stroked="false">
            <v:textbox inset="0,0,0,0">
              <w:txbxContent>
                <w:p>
                  <w:pPr>
                    <w:spacing w:line="157" w:lineRule="exact" w:before="0"/>
                    <w:ind w:left="0" w:right="-9" w:firstLine="0"/>
                    <w:jc w:val="left"/>
                    <w:rPr>
                      <w:rFonts w:ascii="Times New Roman" w:hAnsi="Times New Roman"/>
                      <w:i/>
                      <w:sz w:val="11"/>
                    </w:rPr>
                  </w:pPr>
                  <w:r>
                    <w:rPr>
                      <w:rFonts w:ascii="Times New Roman" w:hAnsi="Times New Roman"/>
                      <w:i/>
                      <w:color w:val="231F20"/>
                      <w:sz w:val="13"/>
                    </w:rPr>
                    <w:t>σ</w:t>
                  </w:r>
                  <w:r>
                    <w:rPr>
                      <w:rFonts w:ascii="Times New Roman" w:hAnsi="Times New Roman"/>
                      <w:i/>
                      <w:color w:val="231F20"/>
                      <w:position w:val="-2"/>
                      <w:sz w:val="11"/>
                    </w:rPr>
                    <w:t>t</w:t>
                  </w:r>
                </w:p>
              </w:txbxContent>
            </v:textbox>
            <w10:wrap type="none"/>
          </v:shape>
        </w:pict>
      </w:r>
      <w:r>
        <w:rPr>
          <w:color w:val="231F20"/>
          <w:w w:val="105"/>
        </w:rPr>
        <w:t>Donde,</w:t>
        <w:tab/>
        <w:t>;  siendo</w:t>
      </w:r>
      <w:r>
        <w:rPr>
          <w:color w:val="231F20"/>
          <w:spacing w:val="47"/>
          <w:w w:val="105"/>
        </w:rPr>
        <w:t> </w:t>
      </w:r>
      <w:r>
        <w:rPr>
          <w:rFonts w:ascii="Times New Roman"/>
          <w:i/>
          <w:color w:val="231F20"/>
          <w:spacing w:val="13"/>
          <w:w w:val="105"/>
          <w:sz w:val="22"/>
        </w:rPr>
        <w:t>W</w:t>
      </w:r>
      <w:r>
        <w:rPr>
          <w:rFonts w:ascii="Times New Roman"/>
          <w:i/>
          <w:color w:val="231F20"/>
          <w:spacing w:val="13"/>
          <w:w w:val="105"/>
          <w:position w:val="7"/>
          <w:sz w:val="13"/>
        </w:rPr>
        <w:t>Q</w:t>
      </w:r>
    </w:p>
    <w:p>
      <w:pPr>
        <w:pStyle w:val="BodyText"/>
        <w:spacing w:before="15"/>
        <w:ind w:left="103"/>
        <w:jc w:val="both"/>
      </w:pPr>
      <w:r>
        <w:rPr>
          <w:color w:val="231F20"/>
          <w:w w:val="105"/>
        </w:rPr>
        <w:t>un proceso de Wiener bajo la medida de probabilidad neutral al  riesgo</w:t>
      </w:r>
    </w:p>
    <w:p>
      <w:pPr>
        <w:pStyle w:val="BodyText"/>
        <w:spacing w:line="260" w:lineRule="exact" w:before="7"/>
        <w:ind w:left="103" w:right="115"/>
        <w:jc w:val="both"/>
      </w:pPr>
      <w:r>
        <w:rPr>
          <w:rFonts w:ascii="Times New Roman" w:hAnsi="Times New Roman"/>
          <w:i/>
          <w:color w:val="231F20"/>
          <w:w w:val="105"/>
          <w:sz w:val="22"/>
        </w:rPr>
        <w:t>Q</w:t>
      </w:r>
      <w:r>
        <w:rPr>
          <w:color w:val="231F20"/>
          <w:w w:val="105"/>
        </w:rPr>
        <w:t>.</w:t>
      </w:r>
      <w:r>
        <w:rPr>
          <w:color w:val="231F20"/>
          <w:spacing w:val="-16"/>
          <w:w w:val="105"/>
        </w:rPr>
        <w:t> </w:t>
      </w:r>
      <w:r>
        <w:rPr>
          <w:color w:val="231F20"/>
          <w:w w:val="105"/>
        </w:rPr>
        <w:t>Los</w:t>
      </w:r>
      <w:r>
        <w:rPr>
          <w:color w:val="231F20"/>
          <w:spacing w:val="-10"/>
          <w:w w:val="105"/>
        </w:rPr>
        <w:t> </w:t>
      </w:r>
      <w:r>
        <w:rPr>
          <w:color w:val="231F20"/>
          <w:w w:val="105"/>
        </w:rPr>
        <w:t>parámetros</w:t>
      </w:r>
      <w:r>
        <w:rPr>
          <w:color w:val="231F20"/>
          <w:spacing w:val="-10"/>
          <w:w w:val="105"/>
        </w:rPr>
        <w:t> </w:t>
      </w:r>
      <w:r>
        <w:rPr>
          <w:rFonts w:ascii="Times New Roman" w:hAnsi="Times New Roman"/>
          <w:i/>
          <w:color w:val="231F20"/>
          <w:w w:val="105"/>
          <w:sz w:val="22"/>
        </w:rPr>
        <w:t>θ</w:t>
      </w:r>
      <w:r>
        <w:rPr>
          <w:rFonts w:ascii="Times New Roman" w:hAnsi="Times New Roman"/>
          <w:color w:val="231F20"/>
          <w:w w:val="105"/>
          <w:sz w:val="22"/>
        </w:rPr>
        <w:t>*</w:t>
      </w:r>
      <w:r>
        <w:rPr>
          <w:rFonts w:ascii="Times New Roman" w:hAnsi="Times New Roman"/>
          <w:color w:val="231F20"/>
          <w:spacing w:val="-7"/>
          <w:w w:val="105"/>
          <w:sz w:val="22"/>
        </w:rPr>
        <w:t> </w:t>
      </w:r>
      <w:r>
        <w:rPr>
          <w:color w:val="231F20"/>
          <w:w w:val="105"/>
        </w:rPr>
        <w:t>y</w:t>
      </w:r>
      <w:r>
        <w:rPr>
          <w:color w:val="231F20"/>
          <w:spacing w:val="-10"/>
          <w:w w:val="105"/>
        </w:rPr>
        <w:t> </w:t>
      </w:r>
      <w:r>
        <w:rPr>
          <w:rFonts w:ascii="Times New Roman" w:hAnsi="Times New Roman"/>
          <w:i/>
          <w:color w:val="231F20"/>
          <w:w w:val="105"/>
        </w:rPr>
        <w:t>κ</w:t>
      </w:r>
      <w:r>
        <w:rPr>
          <w:rFonts w:ascii="Times New Roman" w:hAnsi="Times New Roman"/>
          <w:color w:val="231F20"/>
          <w:w w:val="105"/>
        </w:rPr>
        <w:t>*</w:t>
      </w:r>
      <w:r>
        <w:rPr>
          <w:rFonts w:ascii="Times New Roman" w:hAnsi="Times New Roman"/>
          <w:color w:val="231F20"/>
          <w:spacing w:val="-4"/>
          <w:w w:val="105"/>
        </w:rPr>
        <w:t> </w:t>
      </w:r>
      <w:r>
        <w:rPr>
          <w:color w:val="231F20"/>
          <w:w w:val="105"/>
        </w:rPr>
        <w:t>representan</w:t>
      </w:r>
      <w:r>
        <w:rPr>
          <w:color w:val="231F20"/>
          <w:spacing w:val="-10"/>
          <w:w w:val="105"/>
        </w:rPr>
        <w:t> </w:t>
      </w:r>
      <w:r>
        <w:rPr>
          <w:color w:val="231F20"/>
          <w:w w:val="105"/>
        </w:rPr>
        <w:t>la</w:t>
      </w:r>
      <w:r>
        <w:rPr>
          <w:color w:val="231F20"/>
          <w:spacing w:val="-10"/>
          <w:w w:val="105"/>
        </w:rPr>
        <w:t> </w:t>
      </w:r>
      <w:r>
        <w:rPr>
          <w:color w:val="231F20"/>
          <w:w w:val="105"/>
        </w:rPr>
        <w:t>varianza</w:t>
      </w:r>
      <w:r>
        <w:rPr>
          <w:color w:val="231F20"/>
          <w:spacing w:val="-10"/>
          <w:w w:val="105"/>
        </w:rPr>
        <w:t> </w:t>
      </w:r>
      <w:r>
        <w:rPr>
          <w:color w:val="231F20"/>
          <w:w w:val="105"/>
        </w:rPr>
        <w:t>media</w:t>
      </w:r>
      <w:r>
        <w:rPr>
          <w:color w:val="231F20"/>
          <w:spacing w:val="-10"/>
          <w:w w:val="105"/>
        </w:rPr>
        <w:t> </w:t>
      </w:r>
      <w:r>
        <w:rPr>
          <w:color w:val="231F20"/>
          <w:w w:val="105"/>
        </w:rPr>
        <w:t>de</w:t>
      </w:r>
      <w:r>
        <w:rPr>
          <w:color w:val="231F20"/>
          <w:spacing w:val="-10"/>
          <w:w w:val="105"/>
        </w:rPr>
        <w:t> </w:t>
      </w:r>
      <w:r>
        <w:rPr>
          <w:color w:val="231F20"/>
          <w:w w:val="105"/>
        </w:rPr>
        <w:t>largo</w:t>
      </w:r>
      <w:r>
        <w:rPr>
          <w:color w:val="231F20"/>
          <w:spacing w:val="-10"/>
          <w:w w:val="105"/>
        </w:rPr>
        <w:t> </w:t>
      </w:r>
      <w:r>
        <w:rPr>
          <w:color w:val="231F20"/>
          <w:w w:val="105"/>
        </w:rPr>
        <w:t>plazo y la velocidad de reversión a la misma bajo la medida de probabilidad neutral al riesgo, respectivamente. </w:t>
      </w:r>
      <w:r>
        <w:rPr>
          <w:color w:val="231F20"/>
          <w:spacing w:val="3"/>
          <w:w w:val="105"/>
        </w:rPr>
        <w:t>Utilizando estos </w:t>
      </w:r>
      <w:r>
        <w:rPr>
          <w:color w:val="231F20"/>
          <w:spacing w:val="2"/>
          <w:w w:val="105"/>
        </w:rPr>
        <w:t>parámetros </w:t>
      </w:r>
      <w:r>
        <w:rPr>
          <w:color w:val="231F20"/>
          <w:w w:val="105"/>
        </w:rPr>
        <w:t>se </w:t>
      </w:r>
      <w:r>
        <w:rPr>
          <w:color w:val="231F20"/>
          <w:spacing w:val="3"/>
          <w:w w:val="105"/>
        </w:rPr>
        <w:t>tie- </w:t>
      </w:r>
      <w:r>
        <w:rPr>
          <w:color w:val="231F20"/>
          <w:spacing w:val="2"/>
          <w:w w:val="105"/>
        </w:rPr>
        <w:t>ne: </w:t>
      </w:r>
      <w:r>
        <w:rPr>
          <w:rFonts w:ascii="Times New Roman" w:hAnsi="Times New Roman"/>
          <w:i/>
          <w:color w:val="231F20"/>
          <w:w w:val="105"/>
          <w:sz w:val="22"/>
        </w:rPr>
        <w:t>b</w:t>
      </w:r>
      <w:r>
        <w:rPr>
          <w:i/>
          <w:color w:val="231F20"/>
          <w:w w:val="105"/>
          <w:position w:val="-4"/>
          <w:sz w:val="12"/>
        </w:rPr>
        <w:t>1 </w:t>
      </w:r>
      <w:r>
        <w:rPr>
          <w:rFonts w:ascii="Times New Roman" w:hAnsi="Times New Roman"/>
          <w:i/>
          <w:color w:val="231F20"/>
          <w:w w:val="105"/>
          <w:sz w:val="22"/>
        </w:rPr>
        <w:t>= κ* </w:t>
      </w:r>
      <w:r>
        <w:rPr>
          <w:rFonts w:ascii="Times New Roman" w:hAnsi="Times New Roman"/>
          <w:i/>
          <w:color w:val="231F20"/>
          <w:spacing w:val="3"/>
          <w:w w:val="105"/>
          <w:sz w:val="22"/>
        </w:rPr>
        <w:t>-ρσ</w:t>
      </w:r>
      <w:r>
        <w:rPr>
          <w:rFonts w:ascii="Times New Roman" w:hAnsi="Times New Roman"/>
          <w:color w:val="231F20"/>
          <w:spacing w:val="3"/>
          <w:w w:val="105"/>
          <w:sz w:val="22"/>
        </w:rPr>
        <w:t>, </w:t>
      </w:r>
      <w:r>
        <w:rPr>
          <w:rFonts w:ascii="Times New Roman" w:hAnsi="Times New Roman"/>
          <w:i/>
          <w:color w:val="231F20"/>
          <w:w w:val="105"/>
          <w:sz w:val="22"/>
        </w:rPr>
        <w:t>b</w:t>
      </w:r>
      <w:r>
        <w:rPr>
          <w:i/>
          <w:color w:val="231F20"/>
          <w:w w:val="105"/>
          <w:position w:val="-4"/>
          <w:sz w:val="12"/>
        </w:rPr>
        <w:t>2 </w:t>
      </w:r>
      <w:r>
        <w:rPr>
          <w:rFonts w:ascii="Times New Roman" w:hAnsi="Times New Roman"/>
          <w:i/>
          <w:color w:val="231F20"/>
          <w:w w:val="105"/>
          <w:sz w:val="22"/>
        </w:rPr>
        <w:t>= κ* </w:t>
      </w:r>
      <w:r>
        <w:rPr>
          <w:color w:val="231F20"/>
          <w:w w:val="105"/>
        </w:rPr>
        <w:t>; por tanto, bajo la medida de probabilidad neu- tral al riesgo el parámetro </w:t>
      </w:r>
      <w:r>
        <w:rPr>
          <w:rFonts w:ascii="Times New Roman" w:hAnsi="Times New Roman"/>
          <w:i/>
          <w:color w:val="231F20"/>
          <w:w w:val="105"/>
          <w:sz w:val="22"/>
        </w:rPr>
        <w:t>λ </w:t>
      </w:r>
      <w:r>
        <w:rPr>
          <w:color w:val="231F20"/>
          <w:w w:val="105"/>
        </w:rPr>
        <w:t>desaparece de la fórmula de valoración de opciones europeas. Este hecho supone una ventaja para la</w:t>
      </w:r>
      <w:r>
        <w:rPr>
          <w:color w:val="231F20"/>
          <w:spacing w:val="-15"/>
          <w:w w:val="105"/>
        </w:rPr>
        <w:t> </w:t>
      </w:r>
      <w:r>
        <w:rPr>
          <w:color w:val="231F20"/>
          <w:w w:val="105"/>
        </w:rPr>
        <w:t>calibración del</w:t>
      </w:r>
      <w:r>
        <w:rPr>
          <w:color w:val="231F20"/>
          <w:spacing w:val="-12"/>
          <w:w w:val="105"/>
        </w:rPr>
        <w:t> </w:t>
      </w:r>
      <w:r>
        <w:rPr>
          <w:color w:val="231F20"/>
          <w:w w:val="105"/>
        </w:rPr>
        <w:t>modelo,</w:t>
      </w:r>
      <w:r>
        <w:rPr>
          <w:color w:val="231F20"/>
          <w:spacing w:val="-17"/>
          <w:w w:val="105"/>
        </w:rPr>
        <w:t> </w:t>
      </w:r>
      <w:r>
        <w:rPr>
          <w:color w:val="231F20"/>
          <w:w w:val="105"/>
        </w:rPr>
        <w:t>ya</w:t>
      </w:r>
      <w:r>
        <w:rPr>
          <w:color w:val="231F20"/>
          <w:spacing w:val="-12"/>
          <w:w w:val="105"/>
        </w:rPr>
        <w:t> </w:t>
      </w:r>
      <w:r>
        <w:rPr>
          <w:color w:val="231F20"/>
          <w:w w:val="105"/>
        </w:rPr>
        <w:t>que</w:t>
      </w:r>
      <w:r>
        <w:rPr>
          <w:color w:val="231F20"/>
          <w:spacing w:val="-12"/>
          <w:w w:val="105"/>
        </w:rPr>
        <w:t> </w:t>
      </w:r>
      <w:r>
        <w:rPr>
          <w:color w:val="231F20"/>
          <w:w w:val="105"/>
        </w:rPr>
        <w:t>hay</w:t>
      </w:r>
      <w:r>
        <w:rPr>
          <w:color w:val="231F20"/>
          <w:spacing w:val="-12"/>
          <w:w w:val="105"/>
        </w:rPr>
        <w:t> </w:t>
      </w:r>
      <w:r>
        <w:rPr>
          <w:color w:val="231F20"/>
          <w:w w:val="105"/>
        </w:rPr>
        <w:t>que</w:t>
      </w:r>
      <w:r>
        <w:rPr>
          <w:color w:val="231F20"/>
          <w:spacing w:val="-12"/>
          <w:w w:val="105"/>
        </w:rPr>
        <w:t> </w:t>
      </w:r>
      <w:r>
        <w:rPr>
          <w:color w:val="231F20"/>
          <w:w w:val="105"/>
        </w:rPr>
        <w:t>estimar</w:t>
      </w:r>
      <w:r>
        <w:rPr>
          <w:color w:val="231F20"/>
          <w:spacing w:val="-12"/>
          <w:w w:val="105"/>
        </w:rPr>
        <w:t> </w:t>
      </w:r>
      <w:r>
        <w:rPr>
          <w:color w:val="231F20"/>
          <w:w w:val="105"/>
        </w:rPr>
        <w:t>un</w:t>
      </w:r>
      <w:r>
        <w:rPr>
          <w:color w:val="231F20"/>
          <w:spacing w:val="-12"/>
          <w:w w:val="105"/>
        </w:rPr>
        <w:t> </w:t>
      </w:r>
      <w:r>
        <w:rPr>
          <w:color w:val="231F20"/>
          <w:w w:val="105"/>
        </w:rPr>
        <w:t>parámetro</w:t>
      </w:r>
      <w:r>
        <w:rPr>
          <w:color w:val="231F20"/>
          <w:spacing w:val="-12"/>
          <w:w w:val="105"/>
        </w:rPr>
        <w:t> </w:t>
      </w:r>
      <w:r>
        <w:rPr>
          <w:color w:val="231F20"/>
          <w:w w:val="105"/>
        </w:rPr>
        <w:t>menos</w:t>
      </w:r>
      <w:r>
        <w:rPr>
          <w:color w:val="231F20"/>
          <w:spacing w:val="-12"/>
          <w:w w:val="105"/>
        </w:rPr>
        <w:t> </w:t>
      </w:r>
      <w:r>
        <w:rPr>
          <w:color w:val="231F20"/>
          <w:w w:val="105"/>
        </w:rPr>
        <w:t>para</w:t>
      </w:r>
      <w:r>
        <w:rPr>
          <w:color w:val="231F20"/>
          <w:spacing w:val="-12"/>
          <w:w w:val="105"/>
        </w:rPr>
        <w:t> </w:t>
      </w:r>
      <w:r>
        <w:rPr>
          <w:color w:val="231F20"/>
          <w:w w:val="105"/>
        </w:rPr>
        <w:t>ajustar</w:t>
      </w:r>
      <w:r>
        <w:rPr>
          <w:color w:val="231F20"/>
          <w:spacing w:val="-12"/>
          <w:w w:val="105"/>
        </w:rPr>
        <w:t> </w:t>
      </w:r>
      <w:r>
        <w:rPr>
          <w:color w:val="231F20"/>
          <w:w w:val="105"/>
        </w:rPr>
        <w:t>el modelo</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datos</w:t>
      </w:r>
      <w:r>
        <w:rPr>
          <w:color w:val="231F20"/>
          <w:spacing w:val="-10"/>
          <w:w w:val="105"/>
        </w:rPr>
        <w:t> </w:t>
      </w:r>
      <w:r>
        <w:rPr>
          <w:color w:val="231F20"/>
          <w:w w:val="105"/>
        </w:rPr>
        <w:t>de</w:t>
      </w:r>
      <w:r>
        <w:rPr>
          <w:color w:val="231F20"/>
          <w:spacing w:val="-10"/>
          <w:w w:val="105"/>
        </w:rPr>
        <w:t> </w:t>
      </w:r>
      <w:r>
        <w:rPr>
          <w:color w:val="231F20"/>
          <w:w w:val="105"/>
        </w:rPr>
        <w:t>mercado.</w:t>
      </w:r>
    </w:p>
    <w:p>
      <w:pPr>
        <w:pStyle w:val="BodyText"/>
        <w:spacing w:before="11"/>
        <w:ind w:left="103" w:right="114" w:firstLine="567"/>
        <w:jc w:val="both"/>
      </w:pPr>
      <w:r>
        <w:rPr>
          <w:color w:val="231F20"/>
          <w:w w:val="105"/>
        </w:rPr>
        <w:t>En general, si la función de densidad de probabilidad neutral al riesgo del precio es </w:t>
      </w:r>
      <w:r>
        <w:rPr>
          <w:rFonts w:ascii="Times New Roman" w:hAnsi="Times New Roman"/>
          <w:i/>
          <w:color w:val="231F20"/>
          <w:w w:val="105"/>
          <w:sz w:val="22"/>
        </w:rPr>
        <w:t>f </w:t>
      </w:r>
      <w:r>
        <w:rPr>
          <w:rFonts w:ascii="Times New Roman" w:hAnsi="Times New Roman"/>
          <w:color w:val="231F20"/>
          <w:w w:val="105"/>
          <w:sz w:val="22"/>
        </w:rPr>
        <w:t>(</w:t>
      </w:r>
      <w:r>
        <w:rPr>
          <w:rFonts w:ascii="Times New Roman" w:hAnsi="Times New Roman"/>
          <w:i/>
          <w:color w:val="231F20"/>
          <w:w w:val="105"/>
          <w:sz w:val="22"/>
        </w:rPr>
        <w:t>S</w:t>
      </w:r>
      <w:r>
        <w:rPr>
          <w:rFonts w:ascii="Times New Roman" w:hAnsi="Times New Roman"/>
          <w:i/>
          <w:color w:val="231F20"/>
          <w:w w:val="105"/>
          <w:position w:val="-4"/>
          <w:sz w:val="13"/>
        </w:rPr>
        <w:t>τ </w:t>
      </w:r>
      <w:r>
        <w:rPr>
          <w:rFonts w:ascii="Times New Roman" w:hAnsi="Times New Roman"/>
          <w:color w:val="231F20"/>
          <w:w w:val="105"/>
          <w:sz w:val="22"/>
        </w:rPr>
        <w:t>)</w:t>
      </w:r>
      <w:r>
        <w:rPr>
          <w:color w:val="231F20"/>
          <w:w w:val="105"/>
        </w:rPr>
        <w:t>, el precio de ejercicio </w:t>
      </w:r>
      <w:r>
        <w:rPr>
          <w:rFonts w:ascii="Times New Roman" w:hAnsi="Times New Roman"/>
          <w:color w:val="231F20"/>
          <w:w w:val="105"/>
          <w:sz w:val="22"/>
        </w:rPr>
        <w:t>K </w:t>
      </w:r>
      <w:r>
        <w:rPr>
          <w:color w:val="231F20"/>
          <w:w w:val="105"/>
        </w:rPr>
        <w:t>al momento de ven- cimiento</w:t>
      </w:r>
      <w:r>
        <w:rPr>
          <w:color w:val="231F20"/>
          <w:spacing w:val="-4"/>
          <w:w w:val="105"/>
        </w:rPr>
        <w:t> </w:t>
      </w:r>
      <w:r>
        <w:rPr>
          <w:color w:val="231F20"/>
          <w:w w:val="105"/>
        </w:rPr>
        <w:t>es</w:t>
      </w:r>
      <w:r>
        <w:rPr>
          <w:color w:val="231F20"/>
          <w:spacing w:val="-4"/>
          <w:w w:val="105"/>
        </w:rPr>
        <w:t> </w:t>
      </w:r>
      <w:r>
        <w:rPr>
          <w:rFonts w:ascii="Times New Roman" w:hAnsi="Times New Roman"/>
          <w:i/>
          <w:color w:val="231F20"/>
          <w:spacing w:val="13"/>
          <w:w w:val="105"/>
          <w:sz w:val="22"/>
        </w:rPr>
        <w:t>τ=</w:t>
      </w:r>
      <w:r>
        <w:rPr>
          <w:rFonts w:ascii="Times New Roman" w:hAnsi="Times New Roman"/>
          <w:i/>
          <w:color w:val="231F20"/>
          <w:spacing w:val="-33"/>
          <w:w w:val="105"/>
          <w:sz w:val="22"/>
        </w:rPr>
        <w:t> </w:t>
      </w:r>
      <w:r>
        <w:rPr>
          <w:rFonts w:ascii="Times New Roman" w:hAnsi="Times New Roman"/>
          <w:i/>
          <w:color w:val="231F20"/>
          <w:w w:val="105"/>
          <w:sz w:val="22"/>
        </w:rPr>
        <w:t>T</w:t>
      </w:r>
      <w:r>
        <w:rPr>
          <w:rFonts w:ascii="Times New Roman" w:hAnsi="Times New Roman"/>
          <w:i/>
          <w:color w:val="231F20"/>
          <w:spacing w:val="-1"/>
          <w:w w:val="105"/>
          <w:sz w:val="22"/>
        </w:rPr>
        <w:t> </w:t>
      </w:r>
      <w:r>
        <w:rPr>
          <w:rFonts w:ascii="Times New Roman" w:hAnsi="Times New Roman"/>
          <w:i/>
          <w:color w:val="231F20"/>
          <w:w w:val="105"/>
          <w:sz w:val="22"/>
        </w:rPr>
        <w:t>-</w:t>
      </w:r>
      <w:r>
        <w:rPr>
          <w:rFonts w:ascii="Times New Roman" w:hAnsi="Times New Roman"/>
          <w:i/>
          <w:color w:val="231F20"/>
          <w:spacing w:val="3"/>
          <w:w w:val="105"/>
          <w:sz w:val="22"/>
        </w:rPr>
        <w:t> </w:t>
      </w:r>
      <w:r>
        <w:rPr>
          <w:rFonts w:ascii="Times New Roman" w:hAnsi="Times New Roman"/>
          <w:i/>
          <w:color w:val="231F20"/>
          <w:w w:val="105"/>
          <w:sz w:val="22"/>
        </w:rPr>
        <w:t>t</w:t>
      </w:r>
      <w:r>
        <w:rPr>
          <w:color w:val="231F20"/>
          <w:w w:val="105"/>
        </w:rPr>
        <w:t>,</w:t>
      </w:r>
      <w:r>
        <w:rPr>
          <w:color w:val="231F20"/>
          <w:spacing w:val="-10"/>
          <w:w w:val="105"/>
        </w:rPr>
        <w:t> </w:t>
      </w:r>
      <w:r>
        <w:rPr>
          <w:color w:val="231F20"/>
          <w:w w:val="105"/>
        </w:rPr>
        <w:t>entonces</w:t>
      </w:r>
      <w:r>
        <w:rPr>
          <w:color w:val="231F20"/>
          <w:spacing w:val="-4"/>
          <w:w w:val="105"/>
        </w:rPr>
        <w:t> </w:t>
      </w:r>
      <w:r>
        <w:rPr>
          <w:color w:val="231F20"/>
          <w:w w:val="105"/>
        </w:rPr>
        <w:t>el</w:t>
      </w:r>
      <w:r>
        <w:rPr>
          <w:color w:val="231F20"/>
          <w:spacing w:val="-4"/>
          <w:w w:val="105"/>
        </w:rPr>
        <w:t> </w:t>
      </w:r>
      <w:r>
        <w:rPr>
          <w:color w:val="231F20"/>
          <w:w w:val="105"/>
        </w:rPr>
        <w:t>precio</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opción</w:t>
      </w:r>
      <w:r>
        <w:rPr>
          <w:color w:val="231F20"/>
          <w:spacing w:val="-4"/>
          <w:w w:val="105"/>
        </w:rPr>
        <w:t> </w:t>
      </w:r>
      <w:r>
        <w:rPr>
          <w:i/>
          <w:color w:val="231F20"/>
          <w:w w:val="105"/>
        </w:rPr>
        <w:t>call</w:t>
      </w:r>
      <w:r>
        <w:rPr>
          <w:i/>
          <w:color w:val="231F20"/>
          <w:spacing w:val="-4"/>
          <w:w w:val="105"/>
        </w:rPr>
        <w:t> </w:t>
      </w:r>
      <w:r>
        <w:rPr>
          <w:color w:val="231F20"/>
          <w:w w:val="105"/>
        </w:rPr>
        <w:t>europea</w:t>
      </w:r>
      <w:r>
        <w:rPr>
          <w:color w:val="231F20"/>
          <w:spacing w:val="-4"/>
          <w:w w:val="105"/>
        </w:rPr>
        <w:t> </w:t>
      </w:r>
      <w:r>
        <w:rPr>
          <w:color w:val="231F20"/>
          <w:w w:val="105"/>
        </w:rPr>
        <w:t>está dado por la</w:t>
      </w:r>
      <w:r>
        <w:rPr>
          <w:color w:val="231F20"/>
          <w:spacing w:val="-11"/>
          <w:w w:val="105"/>
        </w:rPr>
        <w:t> </w:t>
      </w:r>
      <w:r>
        <w:rPr>
          <w:color w:val="231F20"/>
          <w:w w:val="105"/>
        </w:rPr>
        <w:t>expresión:</w:t>
      </w:r>
    </w:p>
    <w:p>
      <w:pPr>
        <w:spacing w:before="167"/>
        <w:ind w:left="954" w:right="17" w:firstLine="0"/>
        <w:jc w:val="left"/>
        <w:rPr>
          <w:sz w:val="21"/>
        </w:rPr>
      </w:pPr>
      <w:r>
        <w:rPr/>
        <w:drawing>
          <wp:inline distT="0" distB="0" distL="0" distR="0">
            <wp:extent cx="1897434" cy="390143"/>
            <wp:effectExtent l="0" t="0" r="0" b="0"/>
            <wp:docPr id="75" name="image84.jpeg" descr=""/>
            <wp:cNvGraphicFramePr>
              <a:graphicFrameLocks noChangeAspect="1"/>
            </wp:cNvGraphicFramePr>
            <a:graphic>
              <a:graphicData uri="http://schemas.openxmlformats.org/drawingml/2006/picture">
                <pic:pic>
                  <pic:nvPicPr>
                    <pic:cNvPr id="76" name="image84.jpeg"/>
                    <pic:cNvPicPr/>
                  </pic:nvPicPr>
                  <pic:blipFill>
                    <a:blip r:embed="rId108" cstate="print"/>
                    <a:stretch>
                      <a:fillRect/>
                    </a:stretch>
                  </pic:blipFill>
                  <pic:spPr>
                    <a:xfrm>
                      <a:off x="0" y="0"/>
                      <a:ext cx="1897434" cy="390143"/>
                    </a:xfrm>
                    <a:prstGeom prst="rect">
                      <a:avLst/>
                    </a:prstGeom>
                  </pic:spPr>
                </pic:pic>
              </a:graphicData>
            </a:graphic>
          </wp:inline>
        </w:drawing>
      </w:r>
      <w:r>
        <w:rPr/>
      </w:r>
      <w:r>
        <w:rPr>
          <w:rFonts w:ascii="Times New Roman"/>
          <w:sz w:val="20"/>
        </w:rPr>
        <w:t>                                                     </w:t>
      </w:r>
      <w:r>
        <w:rPr>
          <w:color w:val="231F20"/>
          <w:spacing w:val="-3"/>
          <w:sz w:val="21"/>
        </w:rPr>
        <w:t>(11)</w:t>
      </w:r>
    </w:p>
    <w:p>
      <w:pPr>
        <w:pStyle w:val="BodyText"/>
        <w:spacing w:line="260" w:lineRule="exact" w:before="177"/>
        <w:ind w:left="103" w:right="114"/>
        <w:jc w:val="both"/>
      </w:pPr>
      <w:r>
        <w:rPr>
          <w:color w:val="231F20"/>
          <w:w w:val="105"/>
        </w:rPr>
        <w:t>Heston</w:t>
      </w:r>
      <w:r>
        <w:rPr>
          <w:color w:val="231F20"/>
          <w:spacing w:val="-27"/>
          <w:w w:val="105"/>
        </w:rPr>
        <w:t> </w:t>
      </w:r>
      <w:r>
        <w:rPr>
          <w:color w:val="231F20"/>
          <w:w w:val="105"/>
        </w:rPr>
        <w:t>(1993)</w:t>
      </w:r>
      <w:r>
        <w:rPr>
          <w:color w:val="231F20"/>
          <w:spacing w:val="-27"/>
          <w:w w:val="105"/>
        </w:rPr>
        <w:t> </w:t>
      </w:r>
      <w:r>
        <w:rPr>
          <w:color w:val="231F20"/>
          <w:w w:val="105"/>
        </w:rPr>
        <w:t>deriva</w:t>
      </w:r>
      <w:r>
        <w:rPr>
          <w:color w:val="231F20"/>
          <w:spacing w:val="-27"/>
          <w:w w:val="105"/>
        </w:rPr>
        <w:t> </w:t>
      </w:r>
      <w:r>
        <w:rPr>
          <w:color w:val="231F20"/>
          <w:w w:val="105"/>
        </w:rPr>
        <w:t>la</w:t>
      </w:r>
      <w:r>
        <w:rPr>
          <w:color w:val="231F20"/>
          <w:spacing w:val="-27"/>
          <w:w w:val="105"/>
        </w:rPr>
        <w:t> </w:t>
      </w:r>
      <w:r>
        <w:rPr>
          <w:color w:val="231F20"/>
          <w:w w:val="105"/>
        </w:rPr>
        <w:t>función</w:t>
      </w:r>
      <w:r>
        <w:rPr>
          <w:color w:val="231F20"/>
          <w:spacing w:val="-27"/>
          <w:w w:val="105"/>
        </w:rPr>
        <w:t> </w:t>
      </w:r>
      <w:r>
        <w:rPr>
          <w:color w:val="231F20"/>
          <w:w w:val="105"/>
        </w:rPr>
        <w:t>de</w:t>
      </w:r>
      <w:r>
        <w:rPr>
          <w:color w:val="231F20"/>
          <w:spacing w:val="-27"/>
          <w:w w:val="105"/>
        </w:rPr>
        <w:t> </w:t>
      </w:r>
      <w:r>
        <w:rPr>
          <w:color w:val="231F20"/>
          <w:w w:val="105"/>
        </w:rPr>
        <w:t>densidad</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ecuaciones</w:t>
      </w:r>
      <w:r>
        <w:rPr>
          <w:color w:val="231F20"/>
          <w:spacing w:val="-27"/>
          <w:w w:val="105"/>
        </w:rPr>
        <w:t> </w:t>
      </w:r>
      <w:r>
        <w:rPr>
          <w:color w:val="231F20"/>
          <w:w w:val="105"/>
        </w:rPr>
        <w:t>(10)</w:t>
      </w:r>
      <w:r>
        <w:rPr>
          <w:color w:val="231F20"/>
          <w:spacing w:val="-27"/>
          <w:w w:val="105"/>
        </w:rPr>
        <w:t> </w:t>
      </w:r>
      <w:r>
        <w:rPr>
          <w:color w:val="231F20"/>
          <w:w w:val="105"/>
        </w:rPr>
        <w:t>y</w:t>
      </w:r>
      <w:r>
        <w:rPr>
          <w:color w:val="231F20"/>
          <w:spacing w:val="-27"/>
          <w:w w:val="105"/>
        </w:rPr>
        <w:t> </w:t>
      </w:r>
      <w:r>
        <w:rPr>
          <w:color w:val="231F20"/>
          <w:w w:val="105"/>
        </w:rPr>
        <w:t>(11) invirtiendo</w:t>
      </w:r>
      <w:r>
        <w:rPr>
          <w:color w:val="231F20"/>
          <w:spacing w:val="-8"/>
          <w:w w:val="105"/>
        </w:rPr>
        <w:t> </w:t>
      </w:r>
      <w:r>
        <w:rPr>
          <w:color w:val="231F20"/>
          <w:w w:val="105"/>
        </w:rPr>
        <w:t>la</w:t>
      </w:r>
      <w:r>
        <w:rPr>
          <w:color w:val="231F20"/>
          <w:spacing w:val="-8"/>
          <w:w w:val="105"/>
        </w:rPr>
        <w:t> </w:t>
      </w:r>
      <w:r>
        <w:rPr>
          <w:color w:val="231F20"/>
          <w:w w:val="105"/>
        </w:rPr>
        <w:t>transformada</w:t>
      </w:r>
      <w:r>
        <w:rPr>
          <w:color w:val="231F20"/>
          <w:spacing w:val="-8"/>
          <w:w w:val="105"/>
        </w:rPr>
        <w:t> </w:t>
      </w:r>
      <w:r>
        <w:rPr>
          <w:color w:val="231F20"/>
          <w:w w:val="105"/>
        </w:rPr>
        <w:t>de</w:t>
      </w:r>
      <w:r>
        <w:rPr>
          <w:color w:val="231F20"/>
          <w:spacing w:val="-8"/>
          <w:w w:val="105"/>
        </w:rPr>
        <w:t> </w:t>
      </w:r>
      <w:r>
        <w:rPr>
          <w:color w:val="231F20"/>
          <w:w w:val="105"/>
        </w:rPr>
        <w:t>Fourier</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función</w:t>
      </w:r>
      <w:r>
        <w:rPr>
          <w:color w:val="231F20"/>
          <w:spacing w:val="-8"/>
          <w:w w:val="105"/>
        </w:rPr>
        <w:t> </w:t>
      </w:r>
      <w:r>
        <w:rPr>
          <w:color w:val="231F20"/>
          <w:w w:val="105"/>
        </w:rPr>
        <w:t>de</w:t>
      </w:r>
      <w:r>
        <w:rPr>
          <w:color w:val="231F20"/>
          <w:spacing w:val="-8"/>
          <w:w w:val="105"/>
        </w:rPr>
        <w:t> </w:t>
      </w:r>
      <w:r>
        <w:rPr>
          <w:color w:val="231F20"/>
          <w:w w:val="105"/>
        </w:rPr>
        <w:t>densidad</w:t>
      </w:r>
      <w:r>
        <w:rPr>
          <w:color w:val="231F20"/>
          <w:spacing w:val="-8"/>
          <w:w w:val="105"/>
        </w:rPr>
        <w:t> </w:t>
      </w:r>
      <w:r>
        <w:rPr>
          <w:color w:val="231F20"/>
          <w:w w:val="105"/>
        </w:rPr>
        <w:t>lognor- mal</w:t>
      </w:r>
      <w:r>
        <w:rPr>
          <w:color w:val="231F20"/>
          <w:spacing w:val="-18"/>
          <w:w w:val="105"/>
        </w:rPr>
        <w:t> </w:t>
      </w:r>
      <w:r>
        <w:rPr>
          <w:color w:val="231F20"/>
          <w:w w:val="105"/>
        </w:rPr>
        <w:t>de</w:t>
      </w:r>
      <w:r>
        <w:rPr>
          <w:color w:val="231F20"/>
          <w:spacing w:val="-18"/>
          <w:w w:val="105"/>
        </w:rPr>
        <w:t> </w:t>
      </w:r>
      <w:r>
        <w:rPr>
          <w:rFonts w:ascii="Times New Roman" w:hAnsi="Times New Roman"/>
          <w:i/>
          <w:color w:val="231F20"/>
          <w:w w:val="105"/>
          <w:sz w:val="22"/>
        </w:rPr>
        <w:t>S</w:t>
      </w:r>
      <w:r>
        <w:rPr>
          <w:rFonts w:ascii="Times New Roman" w:hAnsi="Times New Roman"/>
          <w:i/>
          <w:color w:val="231F20"/>
          <w:w w:val="105"/>
          <w:position w:val="-4"/>
          <w:sz w:val="13"/>
        </w:rPr>
        <w:t>τ</w:t>
      </w:r>
      <w:r>
        <w:rPr>
          <w:rFonts w:ascii="Times New Roman" w:hAnsi="Times New Roman"/>
          <w:i/>
          <w:color w:val="231F20"/>
          <w:spacing w:val="-21"/>
          <w:w w:val="105"/>
          <w:position w:val="-4"/>
          <w:sz w:val="13"/>
        </w:rPr>
        <w:t> </w:t>
      </w:r>
      <w:r>
        <w:rPr>
          <w:color w:val="231F20"/>
          <w:w w:val="105"/>
        </w:rPr>
        <w:t>,</w:t>
      </w:r>
      <w:r>
        <w:rPr>
          <w:color w:val="231F20"/>
          <w:spacing w:val="-23"/>
          <w:w w:val="105"/>
        </w:rPr>
        <w:t> </w:t>
      </w:r>
      <w:r>
        <w:rPr>
          <w:color w:val="231F20"/>
          <w:w w:val="105"/>
        </w:rPr>
        <w:t>condicionada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variación</w:t>
      </w:r>
      <w:r>
        <w:rPr>
          <w:color w:val="231F20"/>
          <w:spacing w:val="-18"/>
          <w:w w:val="105"/>
        </w:rPr>
        <w:t> </w:t>
      </w:r>
      <w:r>
        <w:rPr>
          <w:color w:val="231F20"/>
          <w:w w:val="105"/>
        </w:rPr>
        <w:t>media</w:t>
      </w:r>
      <w:r>
        <w:rPr>
          <w:color w:val="231F20"/>
          <w:spacing w:val="-18"/>
          <w:w w:val="105"/>
        </w:rPr>
        <w:t> </w:t>
      </w:r>
      <w:r>
        <w:rPr>
          <w:color w:val="231F20"/>
          <w:w w:val="105"/>
        </w:rPr>
        <w:t>y</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densidad</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varian- za media. La derivación se basa en las propiedades de la distribución condicional</w:t>
      </w:r>
      <w:r>
        <w:rPr>
          <w:color w:val="231F20"/>
          <w:spacing w:val="-17"/>
          <w:w w:val="105"/>
        </w:rPr>
        <w:t> </w:t>
      </w:r>
      <w:r>
        <w:rPr>
          <w:color w:val="231F20"/>
          <w:w w:val="105"/>
        </w:rPr>
        <w:t>e</w:t>
      </w:r>
      <w:r>
        <w:rPr>
          <w:color w:val="231F20"/>
          <w:spacing w:val="-17"/>
          <w:w w:val="105"/>
        </w:rPr>
        <w:t> </w:t>
      </w:r>
      <w:r>
        <w:rPr>
          <w:color w:val="231F20"/>
          <w:w w:val="105"/>
        </w:rPr>
        <w:t>implica</w:t>
      </w:r>
      <w:r>
        <w:rPr>
          <w:color w:val="231F20"/>
          <w:spacing w:val="-17"/>
          <w:w w:val="105"/>
        </w:rPr>
        <w:t> </w:t>
      </w:r>
      <w:r>
        <w:rPr>
          <w:color w:val="231F20"/>
          <w:w w:val="105"/>
        </w:rPr>
        <w:t>la</w:t>
      </w:r>
      <w:r>
        <w:rPr>
          <w:color w:val="231F20"/>
          <w:spacing w:val="-17"/>
          <w:w w:val="105"/>
        </w:rPr>
        <w:t> </w:t>
      </w:r>
      <w:r>
        <w:rPr>
          <w:color w:val="231F20"/>
          <w:w w:val="105"/>
        </w:rPr>
        <w:t>integración</w:t>
      </w:r>
      <w:r>
        <w:rPr>
          <w:color w:val="231F20"/>
          <w:spacing w:val="-17"/>
          <w:w w:val="105"/>
        </w:rPr>
        <w:t> </w:t>
      </w:r>
      <w:r>
        <w:rPr>
          <w:color w:val="231F20"/>
          <w:w w:val="105"/>
        </w:rPr>
        <w:t>numérica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función</w:t>
      </w:r>
      <w:r>
        <w:rPr>
          <w:color w:val="231F20"/>
          <w:spacing w:val="-17"/>
          <w:w w:val="105"/>
        </w:rPr>
        <w:t> </w:t>
      </w:r>
      <w:r>
        <w:rPr>
          <w:color w:val="231F20"/>
          <w:w w:val="105"/>
        </w:rPr>
        <w:t>característica del proceso de probabilidad. </w:t>
      </w:r>
      <w:r>
        <w:rPr>
          <w:color w:val="231F20"/>
          <w:spacing w:val="-6"/>
          <w:w w:val="105"/>
        </w:rPr>
        <w:t>Por </w:t>
      </w:r>
      <w:r>
        <w:rPr>
          <w:color w:val="231F20"/>
          <w:w w:val="105"/>
        </w:rPr>
        <w:t>lo tanto, el precio de una opción </w:t>
      </w:r>
      <w:r>
        <w:rPr>
          <w:i/>
          <w:color w:val="231F20"/>
          <w:w w:val="105"/>
        </w:rPr>
        <w:t>call </w:t>
      </w:r>
      <w:r>
        <w:rPr>
          <w:color w:val="231F20"/>
          <w:w w:val="105"/>
        </w:rPr>
        <w:t>europea</w:t>
      </w:r>
      <w:r>
        <w:rPr>
          <w:color w:val="231F20"/>
          <w:spacing w:val="-12"/>
          <w:w w:val="105"/>
        </w:rPr>
        <w:t> </w:t>
      </w:r>
      <w:r>
        <w:rPr>
          <w:color w:val="231F20"/>
          <w:w w:val="105"/>
        </w:rPr>
        <w:t>sobre</w:t>
      </w:r>
      <w:r>
        <w:rPr>
          <w:color w:val="231F20"/>
          <w:spacing w:val="-12"/>
          <w:w w:val="105"/>
        </w:rPr>
        <w:t> </w:t>
      </w:r>
      <w:r>
        <w:rPr>
          <w:color w:val="231F20"/>
          <w:w w:val="105"/>
        </w:rPr>
        <w:t>divisa</w:t>
      </w:r>
      <w:r>
        <w:rPr>
          <w:color w:val="231F20"/>
          <w:spacing w:val="-12"/>
          <w:w w:val="105"/>
        </w:rPr>
        <w:t> </w:t>
      </w:r>
      <w:r>
        <w:rPr>
          <w:color w:val="231F20"/>
          <w:w w:val="105"/>
        </w:rPr>
        <w:t>está</w:t>
      </w:r>
      <w:r>
        <w:rPr>
          <w:color w:val="231F20"/>
          <w:spacing w:val="-12"/>
          <w:w w:val="105"/>
        </w:rPr>
        <w:t> </w:t>
      </w:r>
      <w:r>
        <w:rPr>
          <w:color w:val="231F20"/>
          <w:w w:val="105"/>
        </w:rPr>
        <w:t>dado</w:t>
      </w:r>
      <w:r>
        <w:rPr>
          <w:color w:val="231F20"/>
          <w:spacing w:val="-12"/>
          <w:w w:val="105"/>
        </w:rPr>
        <w:t> </w:t>
      </w:r>
      <w:r>
        <w:rPr>
          <w:color w:val="231F20"/>
          <w:w w:val="105"/>
        </w:rPr>
        <w:t>por:</w:t>
      </w:r>
    </w:p>
    <w:p>
      <w:pPr>
        <w:spacing w:before="160"/>
        <w:ind w:left="954" w:right="17" w:firstLine="0"/>
        <w:jc w:val="left"/>
        <w:rPr>
          <w:sz w:val="21"/>
        </w:rPr>
      </w:pPr>
      <w:r>
        <w:rPr/>
        <w:drawing>
          <wp:inline distT="0" distB="0" distL="0" distR="0">
            <wp:extent cx="1469136" cy="316992"/>
            <wp:effectExtent l="0" t="0" r="0" b="0"/>
            <wp:docPr id="77" name="image85.jpeg" descr=""/>
            <wp:cNvGraphicFramePr>
              <a:graphicFrameLocks noChangeAspect="1"/>
            </wp:cNvGraphicFramePr>
            <a:graphic>
              <a:graphicData uri="http://schemas.openxmlformats.org/drawingml/2006/picture">
                <pic:pic>
                  <pic:nvPicPr>
                    <pic:cNvPr id="78" name="image85.jpeg"/>
                    <pic:cNvPicPr/>
                  </pic:nvPicPr>
                  <pic:blipFill>
                    <a:blip r:embed="rId109" cstate="print"/>
                    <a:stretch>
                      <a:fillRect/>
                    </a:stretch>
                  </pic:blipFill>
                  <pic:spPr>
                    <a:xfrm>
                      <a:off x="0" y="0"/>
                      <a:ext cx="1469136" cy="316992"/>
                    </a:xfrm>
                    <a:prstGeom prst="rect">
                      <a:avLst/>
                    </a:prstGeom>
                  </pic:spPr>
                </pic:pic>
              </a:graphicData>
            </a:graphic>
          </wp:inline>
        </w:drawing>
      </w:r>
      <w:r>
        <w:rPr/>
      </w:r>
      <w:r>
        <w:rPr>
          <w:rFonts w:ascii="Times New Roman"/>
          <w:sz w:val="20"/>
        </w:rPr>
        <w:t>                                                                   </w:t>
      </w:r>
      <w:r>
        <w:rPr>
          <w:color w:val="231F20"/>
          <w:sz w:val="21"/>
        </w:rPr>
        <w:t>(12)</w:t>
      </w:r>
    </w:p>
    <w:p>
      <w:pPr>
        <w:pStyle w:val="BodyText"/>
        <w:spacing w:line="242" w:lineRule="auto" w:before="188"/>
        <w:ind w:left="103" w:right="115"/>
        <w:jc w:val="both"/>
      </w:pPr>
      <w:r>
        <w:rPr>
          <w:color w:val="231F20"/>
          <w:w w:val="105"/>
        </w:rPr>
        <w:t>Nótese que la expresión para el valor de la opción </w:t>
      </w:r>
      <w:r>
        <w:rPr>
          <w:i/>
          <w:color w:val="231F20"/>
          <w:w w:val="105"/>
        </w:rPr>
        <w:t>call </w:t>
      </w:r>
      <w:r>
        <w:rPr>
          <w:color w:val="231F20"/>
          <w:w w:val="105"/>
        </w:rPr>
        <w:t>europea de la ecuación</w:t>
      </w:r>
      <w:r>
        <w:rPr>
          <w:color w:val="231F20"/>
          <w:spacing w:val="-27"/>
          <w:w w:val="105"/>
        </w:rPr>
        <w:t> </w:t>
      </w:r>
      <w:r>
        <w:rPr>
          <w:color w:val="231F20"/>
          <w:w w:val="105"/>
        </w:rPr>
        <w:t>anterior</w:t>
      </w:r>
      <w:r>
        <w:rPr>
          <w:color w:val="231F20"/>
          <w:spacing w:val="-27"/>
          <w:w w:val="105"/>
        </w:rPr>
        <w:t> </w:t>
      </w:r>
      <w:r>
        <w:rPr>
          <w:color w:val="231F20"/>
          <w:w w:val="105"/>
        </w:rPr>
        <w:t>es</w:t>
      </w:r>
      <w:r>
        <w:rPr>
          <w:color w:val="231F20"/>
          <w:spacing w:val="-27"/>
          <w:w w:val="105"/>
        </w:rPr>
        <w:t> </w:t>
      </w:r>
      <w:r>
        <w:rPr>
          <w:color w:val="231F20"/>
          <w:w w:val="105"/>
        </w:rPr>
        <w:t>análoga</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fórmula</w:t>
      </w:r>
      <w:r>
        <w:rPr>
          <w:color w:val="231F20"/>
          <w:spacing w:val="-27"/>
          <w:w w:val="105"/>
        </w:rPr>
        <w:t> </w:t>
      </w:r>
      <w:r>
        <w:rPr>
          <w:color w:val="231F20"/>
          <w:w w:val="105"/>
        </w:rPr>
        <w:t>de</w:t>
      </w:r>
      <w:r>
        <w:rPr>
          <w:color w:val="231F20"/>
          <w:spacing w:val="-27"/>
          <w:w w:val="105"/>
        </w:rPr>
        <w:t> </w:t>
      </w:r>
      <w:r>
        <w:rPr>
          <w:color w:val="231F20"/>
          <w:w w:val="105"/>
        </w:rPr>
        <w:t>BS.</w:t>
      </w:r>
      <w:r>
        <w:rPr>
          <w:color w:val="231F20"/>
          <w:spacing w:val="-31"/>
          <w:w w:val="105"/>
        </w:rPr>
        <w:t> </w:t>
      </w:r>
      <w:r>
        <w:rPr>
          <w:color w:val="231F20"/>
          <w:w w:val="105"/>
        </w:rPr>
        <w:t>Heston</w:t>
      </w:r>
      <w:r>
        <w:rPr>
          <w:color w:val="231F20"/>
          <w:spacing w:val="-27"/>
          <w:w w:val="105"/>
        </w:rPr>
        <w:t> </w:t>
      </w:r>
      <w:r>
        <w:rPr>
          <w:color w:val="231F20"/>
          <w:w w:val="105"/>
        </w:rPr>
        <w:t>(1993)</w:t>
      </w:r>
      <w:r>
        <w:rPr>
          <w:color w:val="231F20"/>
          <w:spacing w:val="-27"/>
          <w:w w:val="105"/>
        </w:rPr>
        <w:t> </w:t>
      </w:r>
      <w:r>
        <w:rPr>
          <w:color w:val="231F20"/>
          <w:w w:val="105"/>
        </w:rPr>
        <w:t>demostró que</w:t>
      </w:r>
      <w:r>
        <w:rPr>
          <w:color w:val="231F20"/>
          <w:spacing w:val="-21"/>
          <w:w w:val="105"/>
        </w:rPr>
        <w:t> </w:t>
      </w:r>
      <w:r>
        <w:rPr>
          <w:color w:val="231F20"/>
          <w:w w:val="105"/>
        </w:rPr>
        <w:t>las</w:t>
      </w:r>
      <w:r>
        <w:rPr>
          <w:color w:val="231F20"/>
          <w:spacing w:val="-21"/>
          <w:w w:val="105"/>
        </w:rPr>
        <w:t> </w:t>
      </w:r>
      <w:r>
        <w:rPr>
          <w:color w:val="231F20"/>
          <w:w w:val="105"/>
        </w:rPr>
        <w:t>funciones</w:t>
      </w:r>
      <w:r>
        <w:rPr>
          <w:color w:val="231F20"/>
          <w:spacing w:val="-21"/>
          <w:w w:val="105"/>
        </w:rPr>
        <w:t> </w:t>
      </w:r>
      <w:r>
        <w:rPr>
          <w:rFonts w:ascii="Times New Roman" w:hAnsi="Times New Roman"/>
          <w:i/>
          <w:color w:val="231F20"/>
          <w:w w:val="105"/>
          <w:sz w:val="22"/>
        </w:rPr>
        <w:t>P</w:t>
      </w:r>
      <w:r>
        <w:rPr>
          <w:rFonts w:ascii="Times New Roman" w:hAnsi="Times New Roman"/>
          <w:i/>
          <w:color w:val="231F20"/>
          <w:w w:val="105"/>
          <w:position w:val="-4"/>
          <w:sz w:val="13"/>
        </w:rPr>
        <w:t>j</w:t>
      </w:r>
      <w:r>
        <w:rPr>
          <w:rFonts w:ascii="Times New Roman" w:hAnsi="Times New Roman"/>
          <w:i/>
          <w:color w:val="231F20"/>
          <w:spacing w:val="7"/>
          <w:w w:val="105"/>
          <w:position w:val="-4"/>
          <w:sz w:val="13"/>
        </w:rPr>
        <w:t> </w:t>
      </w:r>
      <w:r>
        <w:rPr>
          <w:color w:val="231F20"/>
          <w:w w:val="105"/>
        </w:rPr>
        <w:t>para</w:t>
      </w:r>
      <w:r>
        <w:rPr>
          <w:color w:val="231F20"/>
          <w:spacing w:val="-21"/>
          <w:w w:val="105"/>
        </w:rPr>
        <w:t> </w:t>
      </w:r>
      <w:r>
        <w:rPr>
          <w:rFonts w:ascii="Times New Roman" w:hAnsi="Times New Roman"/>
          <w:i/>
          <w:color w:val="231F20"/>
          <w:w w:val="105"/>
          <w:sz w:val="22"/>
        </w:rPr>
        <w:t>j</w:t>
      </w:r>
      <w:r>
        <w:rPr>
          <w:rFonts w:ascii="Times New Roman" w:hAnsi="Times New Roman"/>
          <w:i/>
          <w:color w:val="231F20"/>
          <w:spacing w:val="-16"/>
          <w:w w:val="105"/>
          <w:sz w:val="22"/>
        </w:rPr>
        <w:t> </w:t>
      </w:r>
      <w:r>
        <w:rPr>
          <w:rFonts w:ascii="Times New Roman" w:hAnsi="Times New Roman"/>
          <w:color w:val="231F20"/>
          <w:w w:val="105"/>
          <w:sz w:val="22"/>
        </w:rPr>
        <w:t>=</w:t>
      </w:r>
      <w:r>
        <w:rPr>
          <w:rFonts w:ascii="Times New Roman" w:hAnsi="Times New Roman"/>
          <w:color w:val="231F20"/>
          <w:spacing w:val="-16"/>
          <w:w w:val="105"/>
          <w:sz w:val="22"/>
        </w:rPr>
        <w:t> </w:t>
      </w:r>
      <w:r>
        <w:rPr>
          <w:color w:val="231F20"/>
          <w:w w:val="105"/>
        </w:rPr>
        <w:t>1,</w:t>
      </w:r>
      <w:r>
        <w:rPr>
          <w:color w:val="231F20"/>
          <w:spacing w:val="-27"/>
          <w:w w:val="105"/>
        </w:rPr>
        <w:t> </w:t>
      </w:r>
      <w:r>
        <w:rPr>
          <w:color w:val="231F20"/>
          <w:w w:val="105"/>
        </w:rPr>
        <w:t>2</w:t>
      </w:r>
      <w:r>
        <w:rPr>
          <w:color w:val="231F20"/>
          <w:spacing w:val="-19"/>
          <w:w w:val="105"/>
        </w:rPr>
        <w:t> </w:t>
      </w:r>
      <w:r>
        <w:rPr>
          <w:color w:val="231F20"/>
          <w:w w:val="105"/>
        </w:rPr>
        <w:t>pueden</w:t>
      </w:r>
      <w:r>
        <w:rPr>
          <w:color w:val="231F20"/>
          <w:spacing w:val="-21"/>
          <w:w w:val="105"/>
        </w:rPr>
        <w:t> </w:t>
      </w:r>
      <w:r>
        <w:rPr>
          <w:color w:val="231F20"/>
          <w:w w:val="105"/>
        </w:rPr>
        <w:t>obtenerse</w:t>
      </w:r>
      <w:r>
        <w:rPr>
          <w:color w:val="231F20"/>
          <w:spacing w:val="-21"/>
          <w:w w:val="105"/>
        </w:rPr>
        <w:t> </w:t>
      </w:r>
      <w:r>
        <w:rPr>
          <w:color w:val="231F20"/>
          <w:w w:val="105"/>
        </w:rPr>
        <w:t>a</w:t>
      </w:r>
      <w:r>
        <w:rPr>
          <w:color w:val="231F20"/>
          <w:spacing w:val="-21"/>
          <w:w w:val="105"/>
        </w:rPr>
        <w:t> </w:t>
      </w:r>
      <w:r>
        <w:rPr>
          <w:color w:val="231F20"/>
          <w:w w:val="105"/>
        </w:rPr>
        <w:t>partir</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transfor- mada</w:t>
      </w:r>
      <w:r>
        <w:rPr>
          <w:color w:val="231F20"/>
          <w:spacing w:val="-15"/>
          <w:w w:val="105"/>
        </w:rPr>
        <w:t> </w:t>
      </w:r>
      <w:r>
        <w:rPr>
          <w:color w:val="231F20"/>
          <w:w w:val="105"/>
        </w:rPr>
        <w:t>inversa</w:t>
      </w:r>
      <w:r>
        <w:rPr>
          <w:color w:val="231F20"/>
          <w:spacing w:val="-15"/>
          <w:w w:val="105"/>
        </w:rPr>
        <w:t> </w:t>
      </w:r>
      <w:r>
        <w:rPr>
          <w:color w:val="231F20"/>
          <w:w w:val="105"/>
        </w:rPr>
        <w:t>de</w:t>
      </w:r>
      <w:r>
        <w:rPr>
          <w:color w:val="231F20"/>
          <w:spacing w:val="-15"/>
          <w:w w:val="105"/>
        </w:rPr>
        <w:t> </w:t>
      </w:r>
      <w:r>
        <w:rPr>
          <w:color w:val="231F20"/>
          <w:w w:val="105"/>
        </w:rPr>
        <w:t>Fourier</w:t>
      </w:r>
      <w:r>
        <w:rPr>
          <w:color w:val="231F20"/>
          <w:spacing w:val="-15"/>
          <w:w w:val="105"/>
        </w:rPr>
        <w:t> </w:t>
      </w:r>
      <w:r>
        <w:rPr>
          <w:color w:val="231F20"/>
          <w:w w:val="105"/>
        </w:rPr>
        <w:t>y</w:t>
      </w:r>
      <w:r>
        <w:rPr>
          <w:color w:val="231F20"/>
          <w:spacing w:val="-15"/>
          <w:w w:val="105"/>
        </w:rPr>
        <w:t> </w:t>
      </w:r>
      <w:r>
        <w:rPr>
          <w:color w:val="231F20"/>
          <w:w w:val="105"/>
        </w:rPr>
        <w:t>deriva</w:t>
      </w:r>
      <w:r>
        <w:rPr>
          <w:color w:val="231F20"/>
          <w:spacing w:val="-15"/>
          <w:w w:val="105"/>
        </w:rPr>
        <w:t> </w:t>
      </w:r>
      <w:r>
        <w:rPr>
          <w:color w:val="231F20"/>
          <w:w w:val="105"/>
        </w:rPr>
        <w:t>la</w:t>
      </w:r>
      <w:r>
        <w:rPr>
          <w:color w:val="231F20"/>
          <w:spacing w:val="-15"/>
          <w:w w:val="105"/>
        </w:rPr>
        <w:t> </w:t>
      </w:r>
      <w:r>
        <w:rPr>
          <w:color w:val="231F20"/>
          <w:w w:val="105"/>
        </w:rPr>
        <w:t>función</w:t>
      </w:r>
      <w:r>
        <w:rPr>
          <w:color w:val="231F20"/>
          <w:spacing w:val="-15"/>
          <w:w w:val="105"/>
        </w:rPr>
        <w:t> </w:t>
      </w:r>
      <w:r>
        <w:rPr>
          <w:color w:val="231F20"/>
          <w:w w:val="105"/>
        </w:rPr>
        <w:t>de</w:t>
      </w:r>
      <w:r>
        <w:rPr>
          <w:color w:val="231F20"/>
          <w:spacing w:val="-15"/>
          <w:w w:val="105"/>
        </w:rPr>
        <w:t> </w:t>
      </w:r>
      <w:r>
        <w:rPr>
          <w:color w:val="231F20"/>
          <w:w w:val="105"/>
        </w:rPr>
        <w:t>densidad</w:t>
      </w:r>
      <w:r>
        <w:rPr>
          <w:color w:val="231F20"/>
          <w:spacing w:val="-15"/>
          <w:w w:val="105"/>
        </w:rPr>
        <w:t> </w:t>
      </w:r>
      <w:r>
        <w:rPr>
          <w:rFonts w:ascii="Times New Roman" w:hAnsi="Times New Roman"/>
          <w:i/>
          <w:color w:val="231F20"/>
          <w:w w:val="105"/>
          <w:sz w:val="22"/>
        </w:rPr>
        <w:t>P</w:t>
      </w:r>
      <w:r>
        <w:rPr>
          <w:rFonts w:ascii="Times New Roman" w:hAnsi="Times New Roman"/>
          <w:i/>
          <w:color w:val="231F20"/>
          <w:w w:val="105"/>
          <w:position w:val="-4"/>
          <w:sz w:val="13"/>
        </w:rPr>
        <w:t>j</w:t>
      </w:r>
      <w:r>
        <w:rPr>
          <w:color w:val="231F20"/>
          <w:w w:val="105"/>
        </w:rPr>
        <w:t>:</w:t>
      </w:r>
    </w:p>
    <w:p>
      <w:pPr>
        <w:spacing w:before="131"/>
        <w:ind w:left="954" w:right="17" w:firstLine="0"/>
        <w:jc w:val="left"/>
        <w:rPr>
          <w:sz w:val="21"/>
        </w:rPr>
      </w:pPr>
      <w:r>
        <w:rPr/>
        <w:drawing>
          <wp:inline distT="0" distB="0" distL="0" distR="0">
            <wp:extent cx="1922246" cy="606549"/>
            <wp:effectExtent l="0" t="0" r="0" b="0"/>
            <wp:docPr id="79" name="image86.png" descr=""/>
            <wp:cNvGraphicFramePr>
              <a:graphicFrameLocks noChangeAspect="1"/>
            </wp:cNvGraphicFramePr>
            <a:graphic>
              <a:graphicData uri="http://schemas.openxmlformats.org/drawingml/2006/picture">
                <pic:pic>
                  <pic:nvPicPr>
                    <pic:cNvPr id="80" name="image86.png"/>
                    <pic:cNvPicPr/>
                  </pic:nvPicPr>
                  <pic:blipFill>
                    <a:blip r:embed="rId110" cstate="print"/>
                    <a:stretch>
                      <a:fillRect/>
                    </a:stretch>
                  </pic:blipFill>
                  <pic:spPr>
                    <a:xfrm>
                      <a:off x="0" y="0"/>
                      <a:ext cx="1922246" cy="606549"/>
                    </a:xfrm>
                    <a:prstGeom prst="rect">
                      <a:avLst/>
                    </a:prstGeom>
                  </pic:spPr>
                </pic:pic>
              </a:graphicData>
            </a:graphic>
          </wp:inline>
        </w:drawing>
      </w:r>
      <w:r>
        <w:rPr/>
      </w:r>
      <w:r>
        <w:rPr>
          <w:rFonts w:ascii="Times New Roman"/>
          <w:sz w:val="20"/>
        </w:rPr>
        <w:t>                                                    </w:t>
      </w:r>
      <w:r>
        <w:rPr>
          <w:color w:val="231F20"/>
          <w:sz w:val="21"/>
        </w:rPr>
        <w:t>(13)</w:t>
      </w:r>
    </w:p>
    <w:p>
      <w:pPr>
        <w:pStyle w:val="BodyText"/>
        <w:rPr>
          <w:sz w:val="20"/>
        </w:rPr>
      </w:pPr>
    </w:p>
    <w:p>
      <w:pPr>
        <w:pStyle w:val="BodyText"/>
        <w:rPr>
          <w:sz w:val="20"/>
        </w:rPr>
      </w:pPr>
    </w:p>
    <w:p>
      <w:pPr>
        <w:pStyle w:val="BodyText"/>
        <w:spacing w:before="2"/>
        <w:rPr>
          <w:sz w:val="24"/>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4042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212</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64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213</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5" w:after="1"/>
        <w:rPr>
          <w:sz w:val="13"/>
        </w:rPr>
      </w:pPr>
    </w:p>
    <w:p>
      <w:pPr>
        <w:pStyle w:val="BodyText"/>
        <w:spacing w:line="20" w:lineRule="exact"/>
        <w:ind w:left="1197"/>
        <w:rPr>
          <w:sz w:val="2"/>
        </w:rPr>
      </w:pPr>
      <w:r>
        <w:rPr>
          <w:sz w:val="2"/>
        </w:rPr>
        <w:pict>
          <v:group style="width:9.3pt;height:.4pt;mso-position-horizontal-relative:char;mso-position-vertical-relative:line" coordorigin="0,0" coordsize="186,8">
            <v:line style="position:absolute" from="4,4" to="182,4" stroked="true" strokeweight=".4pt" strokecolor="#231f20"/>
          </v:group>
        </w:pict>
      </w:r>
      <w:r>
        <w:rPr>
          <w:sz w:val="2"/>
        </w:rPr>
      </w:r>
    </w:p>
    <w:p>
      <w:pPr>
        <w:pStyle w:val="BodyText"/>
        <w:spacing w:line="218" w:lineRule="auto"/>
        <w:ind w:left="117" w:right="121" w:hanging="1"/>
        <w:jc w:val="both"/>
      </w:pPr>
      <w:r>
        <w:rPr/>
        <w:drawing>
          <wp:anchor distT="0" distB="0" distL="0" distR="0" allowOverlap="1" layoutInCell="1" locked="0" behindDoc="0" simplePos="0" relativeHeight="7600">
            <wp:simplePos x="0" y="0"/>
            <wp:positionH relativeFrom="page">
              <wp:posOffset>1440002</wp:posOffset>
            </wp:positionH>
            <wp:positionV relativeFrom="paragraph">
              <wp:posOffset>418459</wp:posOffset>
            </wp:positionV>
            <wp:extent cx="3473990" cy="2526792"/>
            <wp:effectExtent l="0" t="0" r="0" b="0"/>
            <wp:wrapTopAndBottom/>
            <wp:docPr id="81" name="image87.png" descr=""/>
            <wp:cNvGraphicFramePr>
              <a:graphicFrameLocks noChangeAspect="1"/>
            </wp:cNvGraphicFramePr>
            <a:graphic>
              <a:graphicData uri="http://schemas.openxmlformats.org/drawingml/2006/picture">
                <pic:pic>
                  <pic:nvPicPr>
                    <pic:cNvPr id="82" name="image87.png"/>
                    <pic:cNvPicPr/>
                  </pic:nvPicPr>
                  <pic:blipFill>
                    <a:blip r:embed="rId111" cstate="print"/>
                    <a:stretch>
                      <a:fillRect/>
                    </a:stretch>
                  </pic:blipFill>
                  <pic:spPr>
                    <a:xfrm>
                      <a:off x="0" y="0"/>
                      <a:ext cx="3473990" cy="2526792"/>
                    </a:xfrm>
                    <a:prstGeom prst="rect">
                      <a:avLst/>
                    </a:prstGeom>
                  </pic:spPr>
                </pic:pic>
              </a:graphicData>
            </a:graphic>
          </wp:anchor>
        </w:drawing>
      </w:r>
      <w:r>
        <w:rPr>
          <w:color w:val="231F20"/>
        </w:rPr>
        <w:t>Donde </w:t>
      </w:r>
      <w:r>
        <w:rPr>
          <w:rFonts w:ascii="Times New Roman" w:hAnsi="Times New Roman"/>
          <w:i/>
          <w:color w:val="231F20"/>
          <w:sz w:val="22"/>
        </w:rPr>
        <w:t>i </w:t>
      </w:r>
      <w:r>
        <w:rPr>
          <w:rFonts w:ascii="Times New Roman" w:hAnsi="Times New Roman"/>
          <w:color w:val="231F20"/>
          <w:sz w:val="22"/>
        </w:rPr>
        <w:t>= √-</w:t>
      </w:r>
      <w:r>
        <w:rPr>
          <w:color w:val="231F20"/>
        </w:rPr>
        <w:t>1 y </w:t>
      </w:r>
      <w:r>
        <w:rPr>
          <w:rFonts w:ascii="Times New Roman" w:hAnsi="Times New Roman"/>
          <w:i/>
          <w:color w:val="231F20"/>
          <w:sz w:val="22"/>
        </w:rPr>
        <w:t>f</w:t>
      </w:r>
      <w:r>
        <w:rPr>
          <w:rFonts w:ascii="Times New Roman" w:hAnsi="Times New Roman"/>
          <w:i/>
          <w:color w:val="231F20"/>
          <w:position w:val="-4"/>
          <w:sz w:val="13"/>
        </w:rPr>
        <w:t>j </w:t>
      </w:r>
      <w:r>
        <w:rPr>
          <w:color w:val="231F20"/>
        </w:rPr>
        <w:t>para </w:t>
      </w:r>
      <w:r>
        <w:rPr>
          <w:rFonts w:ascii="Times New Roman" w:hAnsi="Times New Roman"/>
          <w:i/>
          <w:color w:val="0F395F"/>
          <w:sz w:val="22"/>
        </w:rPr>
        <w:t>j</w:t>
      </w:r>
      <w:r>
        <w:rPr>
          <w:rFonts w:ascii="Times New Roman" w:hAnsi="Times New Roman"/>
          <w:color w:val="0F395F"/>
          <w:sz w:val="22"/>
        </w:rPr>
        <w:t>=</w:t>
      </w:r>
      <w:r>
        <w:rPr>
          <w:color w:val="0F395F"/>
        </w:rPr>
        <w:t>1</w:t>
      </w:r>
      <w:r>
        <w:rPr>
          <w:color w:val="231F20"/>
        </w:rPr>
        <w:t>, 2 son las funciones características correspon- dientes a </w:t>
      </w:r>
      <w:r>
        <w:rPr>
          <w:rFonts w:ascii="Times New Roman" w:hAnsi="Times New Roman"/>
          <w:i/>
          <w:color w:val="0F395F"/>
          <w:sz w:val="22"/>
        </w:rPr>
        <w:t>P</w:t>
      </w:r>
      <w:r>
        <w:rPr>
          <w:rFonts w:ascii="Times New Roman" w:hAnsi="Times New Roman"/>
          <w:i/>
          <w:color w:val="0F395F"/>
          <w:position w:val="-6"/>
          <w:sz w:val="13"/>
        </w:rPr>
        <w:t>j  </w:t>
      </w:r>
      <w:r>
        <w:rPr>
          <w:color w:val="231F20"/>
        </w:rPr>
        <w:t>y toman la siguiente  forma:</w:t>
      </w:r>
    </w:p>
    <w:p>
      <w:pPr>
        <w:spacing w:line="260" w:lineRule="exact" w:before="193"/>
        <w:ind w:left="117" w:right="121" w:firstLine="0"/>
        <w:jc w:val="both"/>
        <w:rPr>
          <w:sz w:val="21"/>
        </w:rPr>
      </w:pPr>
      <w:r>
        <w:rPr>
          <w:color w:val="231F20"/>
          <w:w w:val="105"/>
          <w:sz w:val="21"/>
        </w:rPr>
        <w:t>Siendo</w:t>
      </w:r>
      <w:r>
        <w:rPr>
          <w:color w:val="231F20"/>
          <w:spacing w:val="-9"/>
          <w:w w:val="105"/>
          <w:sz w:val="21"/>
        </w:rPr>
        <w:t> </w:t>
      </w:r>
      <w:r>
        <w:rPr>
          <w:rFonts w:ascii="Times New Roman" w:hAnsi="Times New Roman"/>
          <w:i/>
          <w:color w:val="231F20"/>
          <w:w w:val="105"/>
          <w:sz w:val="22"/>
        </w:rPr>
        <w:t>u</w:t>
      </w:r>
      <w:r>
        <w:rPr>
          <w:rFonts w:ascii="Times New Roman" w:hAnsi="Times New Roman"/>
          <w:color w:val="231F20"/>
          <w:w w:val="105"/>
          <w:position w:val="-4"/>
          <w:sz w:val="13"/>
        </w:rPr>
        <w:t>1</w:t>
      </w:r>
      <w:r>
        <w:rPr>
          <w:rFonts w:ascii="Times New Roman" w:hAnsi="Times New Roman"/>
          <w:color w:val="231F20"/>
          <w:w w:val="105"/>
          <w:sz w:val="22"/>
        </w:rPr>
        <w:t>=</w:t>
      </w:r>
      <w:r>
        <w:rPr>
          <w:rFonts w:ascii="Times New Roman" w:hAnsi="Times New Roman"/>
          <w:color w:val="231F20"/>
          <w:spacing w:val="-35"/>
          <w:w w:val="105"/>
          <w:sz w:val="22"/>
        </w:rPr>
        <w:t> </w:t>
      </w:r>
      <w:r>
        <w:rPr>
          <w:rFonts w:ascii="Times New Roman" w:hAnsi="Times New Roman"/>
          <w:color w:val="231F20"/>
          <w:w w:val="105"/>
          <w:sz w:val="22"/>
        </w:rPr>
        <w:t>½</w:t>
      </w:r>
      <w:r>
        <w:rPr>
          <w:color w:val="231F20"/>
          <w:w w:val="105"/>
          <w:sz w:val="21"/>
        </w:rPr>
        <w:t>,</w:t>
      </w:r>
      <w:r>
        <w:rPr>
          <w:color w:val="231F20"/>
          <w:spacing w:val="-6"/>
          <w:w w:val="105"/>
          <w:sz w:val="21"/>
        </w:rPr>
        <w:t> </w:t>
      </w:r>
      <w:r>
        <w:rPr>
          <w:rFonts w:ascii="Times New Roman" w:hAnsi="Times New Roman"/>
          <w:i/>
          <w:color w:val="231F20"/>
          <w:w w:val="105"/>
          <w:sz w:val="22"/>
        </w:rPr>
        <w:t>u</w:t>
      </w:r>
      <w:r>
        <w:rPr>
          <w:color w:val="231F20"/>
          <w:w w:val="105"/>
          <w:position w:val="-4"/>
          <w:sz w:val="12"/>
        </w:rPr>
        <w:t>2</w:t>
      </w:r>
      <w:r>
        <w:rPr>
          <w:rFonts w:ascii="Times New Roman" w:hAnsi="Times New Roman"/>
          <w:color w:val="231F20"/>
          <w:w w:val="105"/>
          <w:sz w:val="22"/>
        </w:rPr>
        <w:t>=</w:t>
      </w:r>
      <w:r>
        <w:rPr>
          <w:rFonts w:ascii="Times New Roman" w:hAnsi="Times New Roman"/>
          <w:color w:val="231F20"/>
          <w:spacing w:val="-35"/>
          <w:w w:val="105"/>
          <w:sz w:val="22"/>
        </w:rPr>
        <w:t> </w:t>
      </w:r>
      <w:r>
        <w:rPr>
          <w:rFonts w:ascii="Times New Roman" w:hAnsi="Times New Roman"/>
          <w:color w:val="231F20"/>
          <w:w w:val="105"/>
          <w:sz w:val="22"/>
        </w:rPr>
        <w:t>-½,</w:t>
      </w:r>
      <w:r>
        <w:rPr>
          <w:rFonts w:ascii="Times New Roman" w:hAnsi="Times New Roman"/>
          <w:color w:val="231F20"/>
          <w:spacing w:val="-3"/>
          <w:w w:val="105"/>
          <w:sz w:val="22"/>
        </w:rPr>
        <w:t> </w:t>
      </w:r>
      <w:r>
        <w:rPr>
          <w:rFonts w:ascii="Times New Roman" w:hAnsi="Times New Roman"/>
          <w:i/>
          <w:color w:val="231F20"/>
          <w:w w:val="105"/>
          <w:sz w:val="22"/>
        </w:rPr>
        <w:t>b</w:t>
      </w:r>
      <w:r>
        <w:rPr>
          <w:rFonts w:ascii="Times New Roman" w:hAnsi="Times New Roman"/>
          <w:color w:val="231F20"/>
          <w:w w:val="105"/>
          <w:position w:val="-6"/>
          <w:sz w:val="13"/>
        </w:rPr>
        <w:t>1</w:t>
      </w:r>
      <w:r>
        <w:rPr>
          <w:rFonts w:ascii="Times New Roman" w:hAnsi="Times New Roman"/>
          <w:i/>
          <w:color w:val="231F20"/>
          <w:w w:val="105"/>
          <w:sz w:val="22"/>
        </w:rPr>
        <w:t>=κ</w:t>
      </w:r>
      <w:r>
        <w:rPr>
          <w:rFonts w:ascii="Times New Roman" w:hAnsi="Times New Roman"/>
          <w:i/>
          <w:color w:val="231F20"/>
          <w:spacing w:val="-3"/>
          <w:w w:val="105"/>
          <w:sz w:val="22"/>
        </w:rPr>
        <w:t> </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i/>
          <w:color w:val="231F20"/>
          <w:w w:val="105"/>
          <w:sz w:val="22"/>
        </w:rPr>
        <w:t>λ</w:t>
      </w:r>
      <w:r>
        <w:rPr>
          <w:rFonts w:ascii="Times New Roman" w:hAnsi="Times New Roman"/>
          <w:i/>
          <w:color w:val="231F20"/>
          <w:spacing w:val="-3"/>
          <w:w w:val="105"/>
          <w:sz w:val="22"/>
        </w:rPr>
        <w:t> </w:t>
      </w:r>
      <w:r>
        <w:rPr>
          <w:rFonts w:ascii="Times New Roman" w:hAnsi="Times New Roman"/>
          <w:i/>
          <w:color w:val="231F20"/>
          <w:w w:val="105"/>
          <w:sz w:val="22"/>
        </w:rPr>
        <w:t>-ρσ</w:t>
      </w:r>
      <w:r>
        <w:rPr>
          <w:rFonts w:ascii="Times New Roman" w:hAnsi="Times New Roman"/>
          <w:i/>
          <w:color w:val="231F20"/>
          <w:spacing w:val="53"/>
          <w:w w:val="105"/>
          <w:sz w:val="22"/>
        </w:rPr>
        <w:t> </w:t>
      </w:r>
      <w:r>
        <w:rPr>
          <w:color w:val="231F20"/>
          <w:w w:val="105"/>
          <w:sz w:val="21"/>
        </w:rPr>
        <w:t>y</w:t>
      </w:r>
      <w:r>
        <w:rPr>
          <w:color w:val="231F20"/>
          <w:spacing w:val="-6"/>
          <w:w w:val="105"/>
          <w:sz w:val="21"/>
        </w:rPr>
        <w:t> </w:t>
      </w:r>
      <w:r>
        <w:rPr>
          <w:rFonts w:ascii="Times New Roman" w:hAnsi="Times New Roman"/>
          <w:i/>
          <w:color w:val="231F20"/>
          <w:w w:val="105"/>
          <w:sz w:val="22"/>
        </w:rPr>
        <w:t>b</w:t>
      </w:r>
      <w:r>
        <w:rPr>
          <w:color w:val="231F20"/>
          <w:w w:val="105"/>
          <w:position w:val="-4"/>
          <w:sz w:val="12"/>
        </w:rPr>
        <w:t>2</w:t>
      </w:r>
      <w:r>
        <w:rPr>
          <w:color w:val="231F20"/>
          <w:spacing w:val="-5"/>
          <w:w w:val="105"/>
          <w:position w:val="-4"/>
          <w:sz w:val="12"/>
        </w:rPr>
        <w:t> </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i/>
          <w:color w:val="231F20"/>
          <w:w w:val="105"/>
          <w:sz w:val="22"/>
        </w:rPr>
        <w:t>κ</w:t>
      </w:r>
      <w:r>
        <w:rPr>
          <w:rFonts w:ascii="Times New Roman" w:hAnsi="Times New Roman"/>
          <w:i/>
          <w:color w:val="231F20"/>
          <w:spacing w:val="-3"/>
          <w:w w:val="105"/>
          <w:sz w:val="22"/>
        </w:rPr>
        <w:t> </w:t>
      </w:r>
      <w:r>
        <w:rPr>
          <w:rFonts w:ascii="Times New Roman" w:hAnsi="Times New Roman"/>
          <w:color w:val="231F20"/>
          <w:w w:val="105"/>
          <w:sz w:val="22"/>
        </w:rPr>
        <w:t>+</w:t>
      </w:r>
      <w:r>
        <w:rPr>
          <w:rFonts w:ascii="Times New Roman" w:hAnsi="Times New Roman"/>
          <w:color w:val="231F20"/>
          <w:spacing w:val="-3"/>
          <w:w w:val="105"/>
          <w:sz w:val="22"/>
        </w:rPr>
        <w:t> </w:t>
      </w:r>
      <w:r>
        <w:rPr>
          <w:rFonts w:ascii="Times New Roman" w:hAnsi="Times New Roman"/>
          <w:i/>
          <w:color w:val="231F20"/>
          <w:w w:val="105"/>
          <w:sz w:val="22"/>
        </w:rPr>
        <w:t>λ</w:t>
      </w:r>
      <w:r>
        <w:rPr>
          <w:color w:val="231F20"/>
          <w:w w:val="105"/>
          <w:sz w:val="21"/>
        </w:rPr>
        <w:t>;</w:t>
      </w:r>
      <w:r>
        <w:rPr>
          <w:color w:val="231F20"/>
          <w:spacing w:val="-9"/>
          <w:w w:val="105"/>
          <w:sz w:val="21"/>
        </w:rPr>
        <w:t> </w:t>
      </w:r>
      <w:r>
        <w:rPr>
          <w:color w:val="231F20"/>
          <w:w w:val="105"/>
          <w:sz w:val="21"/>
        </w:rPr>
        <w:t>por</w:t>
      </w:r>
      <w:r>
        <w:rPr>
          <w:color w:val="231F20"/>
          <w:spacing w:val="-9"/>
          <w:w w:val="105"/>
          <w:sz w:val="21"/>
        </w:rPr>
        <w:t> </w:t>
      </w:r>
      <w:r>
        <w:rPr>
          <w:color w:val="231F20"/>
          <w:w w:val="105"/>
          <w:sz w:val="21"/>
        </w:rPr>
        <w:t>tanto,</w:t>
      </w:r>
      <w:r>
        <w:rPr>
          <w:color w:val="231F20"/>
          <w:spacing w:val="-14"/>
          <w:w w:val="105"/>
          <w:sz w:val="21"/>
        </w:rPr>
        <w:t> </w:t>
      </w:r>
      <w:r>
        <w:rPr>
          <w:color w:val="231F20"/>
          <w:w w:val="105"/>
          <w:sz w:val="21"/>
        </w:rPr>
        <w:t>para</w:t>
      </w:r>
      <w:r>
        <w:rPr>
          <w:color w:val="231F20"/>
          <w:spacing w:val="-9"/>
          <w:w w:val="105"/>
          <w:sz w:val="21"/>
        </w:rPr>
        <w:t> </w:t>
      </w:r>
      <w:r>
        <w:rPr>
          <w:color w:val="231F20"/>
          <w:w w:val="105"/>
          <w:sz w:val="21"/>
        </w:rPr>
        <w:t>calcular</w:t>
      </w:r>
      <w:r>
        <w:rPr>
          <w:color w:val="231F20"/>
          <w:spacing w:val="-9"/>
          <w:w w:val="105"/>
          <w:sz w:val="21"/>
        </w:rPr>
        <w:t> </w:t>
      </w:r>
      <w:r>
        <w:rPr>
          <w:color w:val="231F20"/>
          <w:w w:val="105"/>
          <w:sz w:val="21"/>
        </w:rPr>
        <w:t>el precio de una opción </w:t>
      </w:r>
      <w:r>
        <w:rPr>
          <w:i/>
          <w:color w:val="231F20"/>
          <w:w w:val="105"/>
          <w:sz w:val="21"/>
        </w:rPr>
        <w:t>call </w:t>
      </w:r>
      <w:r>
        <w:rPr>
          <w:color w:val="231F20"/>
          <w:w w:val="105"/>
          <w:sz w:val="21"/>
        </w:rPr>
        <w:t>europea utilizando la fórmula de la </w:t>
      </w:r>
      <w:r>
        <w:rPr>
          <w:color w:val="231F20"/>
          <w:spacing w:val="30"/>
          <w:w w:val="105"/>
          <w:sz w:val="21"/>
        </w:rPr>
        <w:t> </w:t>
      </w:r>
      <w:r>
        <w:rPr>
          <w:color w:val="231F20"/>
          <w:w w:val="105"/>
          <w:sz w:val="21"/>
        </w:rPr>
        <w:t>ecuación</w:t>
      </w:r>
    </w:p>
    <w:p>
      <w:pPr>
        <w:pStyle w:val="BodyText"/>
        <w:spacing w:line="259" w:lineRule="auto" w:before="11"/>
        <w:ind w:left="117" w:right="121"/>
        <w:jc w:val="both"/>
      </w:pPr>
      <w:r>
        <w:rPr>
          <w:color w:val="231F20"/>
          <w:w w:val="105"/>
        </w:rPr>
        <w:t>(12)</w:t>
      </w:r>
      <w:r>
        <w:rPr>
          <w:color w:val="231F20"/>
          <w:spacing w:val="-10"/>
          <w:w w:val="105"/>
        </w:rPr>
        <w:t> </w:t>
      </w:r>
      <w:r>
        <w:rPr>
          <w:color w:val="231F20"/>
          <w:w w:val="105"/>
        </w:rPr>
        <w:t>es</w:t>
      </w:r>
      <w:r>
        <w:rPr>
          <w:color w:val="231F20"/>
          <w:spacing w:val="-10"/>
          <w:w w:val="105"/>
        </w:rPr>
        <w:t> </w:t>
      </w:r>
      <w:r>
        <w:rPr>
          <w:color w:val="231F20"/>
          <w:w w:val="105"/>
        </w:rPr>
        <w:t>necesario</w:t>
      </w:r>
      <w:r>
        <w:rPr>
          <w:color w:val="231F20"/>
          <w:spacing w:val="-10"/>
          <w:w w:val="105"/>
        </w:rPr>
        <w:t> </w:t>
      </w:r>
      <w:r>
        <w:rPr>
          <w:color w:val="231F20"/>
          <w:w w:val="105"/>
        </w:rPr>
        <w:t>evaluar</w:t>
      </w:r>
      <w:r>
        <w:rPr>
          <w:color w:val="231F20"/>
          <w:spacing w:val="-10"/>
          <w:w w:val="105"/>
        </w:rPr>
        <w:t> </w:t>
      </w:r>
      <w:r>
        <w:rPr>
          <w:color w:val="231F20"/>
          <w:w w:val="105"/>
        </w:rPr>
        <w:t>las</w:t>
      </w:r>
      <w:r>
        <w:rPr>
          <w:color w:val="231F20"/>
          <w:spacing w:val="-10"/>
          <w:w w:val="105"/>
        </w:rPr>
        <w:t> </w:t>
      </w:r>
      <w:r>
        <w:rPr>
          <w:color w:val="231F20"/>
          <w:w w:val="105"/>
        </w:rPr>
        <w:t>dos</w:t>
      </w:r>
      <w:r>
        <w:rPr>
          <w:color w:val="231F20"/>
          <w:spacing w:val="-10"/>
          <w:w w:val="105"/>
        </w:rPr>
        <w:t> </w:t>
      </w:r>
      <w:r>
        <w:rPr>
          <w:color w:val="231F20"/>
          <w:w w:val="105"/>
        </w:rPr>
        <w:t>integrales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parte</w:t>
      </w:r>
      <w:r>
        <w:rPr>
          <w:color w:val="231F20"/>
          <w:spacing w:val="-10"/>
          <w:w w:val="105"/>
        </w:rPr>
        <w:t> </w:t>
      </w:r>
      <w:r>
        <w:rPr>
          <w:color w:val="231F20"/>
          <w:w w:val="105"/>
        </w:rPr>
        <w:t>real</w:t>
      </w:r>
      <w:r>
        <w:rPr>
          <w:color w:val="231F20"/>
          <w:spacing w:val="-10"/>
          <w:w w:val="105"/>
        </w:rPr>
        <w:t> </w:t>
      </w:r>
      <w:r>
        <w:rPr>
          <w:color w:val="231F20"/>
          <w:w w:val="105"/>
        </w:rPr>
        <w:t>de</w:t>
      </w:r>
      <w:r>
        <w:rPr>
          <w:color w:val="231F20"/>
          <w:spacing w:val="-10"/>
          <w:w w:val="105"/>
        </w:rPr>
        <w:t> </w:t>
      </w:r>
      <w:r>
        <w:rPr>
          <w:color w:val="231F20"/>
          <w:w w:val="105"/>
        </w:rPr>
        <w:t>números complejos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expresión</w:t>
      </w:r>
      <w:r>
        <w:rPr>
          <w:color w:val="231F20"/>
          <w:spacing w:val="-18"/>
          <w:w w:val="105"/>
        </w:rPr>
        <w:t> </w:t>
      </w:r>
      <w:r>
        <w:rPr>
          <w:color w:val="231F20"/>
          <w:w w:val="105"/>
        </w:rPr>
        <w:t>(13).</w:t>
      </w:r>
    </w:p>
    <w:p>
      <w:pPr>
        <w:pStyle w:val="BodyText"/>
        <w:spacing w:line="259" w:lineRule="auto"/>
        <w:ind w:left="117" w:right="121" w:firstLine="567"/>
        <w:jc w:val="both"/>
      </w:pPr>
      <w:r>
        <w:rPr>
          <w:color w:val="231F20"/>
          <w:spacing w:val="-3"/>
          <w:w w:val="105"/>
        </w:rPr>
        <w:t>Teniendo</w:t>
      </w:r>
      <w:r>
        <w:rPr>
          <w:color w:val="231F20"/>
          <w:spacing w:val="-9"/>
          <w:w w:val="105"/>
        </w:rPr>
        <w:t> </w:t>
      </w:r>
      <w:r>
        <w:rPr>
          <w:color w:val="231F20"/>
          <w:w w:val="105"/>
        </w:rPr>
        <w:t>en</w:t>
      </w:r>
      <w:r>
        <w:rPr>
          <w:color w:val="231F20"/>
          <w:spacing w:val="-9"/>
          <w:w w:val="105"/>
        </w:rPr>
        <w:t> </w:t>
      </w:r>
      <w:r>
        <w:rPr>
          <w:color w:val="231F20"/>
          <w:w w:val="105"/>
        </w:rPr>
        <w:t>cuenta</w:t>
      </w:r>
      <w:r>
        <w:rPr>
          <w:color w:val="231F20"/>
          <w:spacing w:val="-9"/>
          <w:w w:val="105"/>
        </w:rPr>
        <w:t> </w:t>
      </w:r>
      <w:r>
        <w:rPr>
          <w:color w:val="231F20"/>
          <w:w w:val="105"/>
        </w:rPr>
        <w:t>la</w:t>
      </w:r>
      <w:r>
        <w:rPr>
          <w:color w:val="231F20"/>
          <w:spacing w:val="-9"/>
          <w:w w:val="105"/>
        </w:rPr>
        <w:t> </w:t>
      </w:r>
      <w:r>
        <w:rPr>
          <w:color w:val="231F20"/>
          <w:w w:val="105"/>
        </w:rPr>
        <w:t>condición</w:t>
      </w:r>
      <w:r>
        <w:rPr>
          <w:color w:val="231F20"/>
          <w:spacing w:val="-9"/>
          <w:w w:val="105"/>
        </w:rPr>
        <w:t> </w:t>
      </w:r>
      <w:r>
        <w:rPr>
          <w:color w:val="231F20"/>
          <w:w w:val="105"/>
        </w:rPr>
        <w:t>de</w:t>
      </w:r>
      <w:r>
        <w:rPr>
          <w:color w:val="231F20"/>
          <w:spacing w:val="-9"/>
          <w:w w:val="105"/>
        </w:rPr>
        <w:t> </w:t>
      </w:r>
      <w:r>
        <w:rPr>
          <w:color w:val="231F20"/>
          <w:w w:val="105"/>
        </w:rPr>
        <w:t>no-arbitraje</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precio</w:t>
      </w:r>
      <w:r>
        <w:rPr>
          <w:color w:val="231F20"/>
          <w:spacing w:val="-9"/>
          <w:w w:val="105"/>
        </w:rPr>
        <w:t> </w:t>
      </w:r>
      <w:r>
        <w:rPr>
          <w:color w:val="231F20"/>
          <w:w w:val="105"/>
        </w:rPr>
        <w:t>de</w:t>
      </w:r>
      <w:r>
        <w:rPr>
          <w:color w:val="231F20"/>
          <w:spacing w:val="-9"/>
          <w:w w:val="105"/>
        </w:rPr>
        <w:t> </w:t>
      </w:r>
      <w:r>
        <w:rPr>
          <w:color w:val="231F20"/>
          <w:w w:val="105"/>
        </w:rPr>
        <w:t>una opción</w:t>
      </w:r>
      <w:r>
        <w:rPr>
          <w:color w:val="231F20"/>
          <w:spacing w:val="-18"/>
          <w:w w:val="105"/>
        </w:rPr>
        <w:t> </w:t>
      </w:r>
      <w:r>
        <w:rPr>
          <w:i/>
          <w:color w:val="231F20"/>
          <w:w w:val="105"/>
        </w:rPr>
        <w:t>call</w:t>
      </w:r>
      <w:r>
        <w:rPr>
          <w:i/>
          <w:color w:val="231F20"/>
          <w:spacing w:val="-18"/>
          <w:w w:val="105"/>
        </w:rPr>
        <w:t> </w:t>
      </w:r>
      <w:r>
        <w:rPr>
          <w:color w:val="231F20"/>
          <w:w w:val="105"/>
        </w:rPr>
        <w:t>(C),</w:t>
      </w:r>
      <w:r>
        <w:rPr>
          <w:color w:val="231F20"/>
          <w:spacing w:val="-24"/>
          <w:w w:val="105"/>
        </w:rPr>
        <w:t> </w:t>
      </w:r>
      <w:r>
        <w:rPr>
          <w:color w:val="231F20"/>
          <w:w w:val="105"/>
        </w:rPr>
        <w:t>además</w:t>
      </w:r>
      <w:r>
        <w:rPr>
          <w:color w:val="231F20"/>
          <w:spacing w:val="-18"/>
          <w:w w:val="105"/>
        </w:rPr>
        <w:t> </w:t>
      </w:r>
      <w:r>
        <w:rPr>
          <w:color w:val="231F20"/>
          <w:w w:val="105"/>
        </w:rPr>
        <w:t>usando</w:t>
      </w:r>
      <w:r>
        <w:rPr>
          <w:color w:val="231F20"/>
          <w:spacing w:val="-18"/>
          <w:w w:val="105"/>
        </w:rPr>
        <w:t> </w:t>
      </w:r>
      <w:r>
        <w:rPr>
          <w:color w:val="231F20"/>
          <w:w w:val="105"/>
        </w:rPr>
        <w:t>la</w:t>
      </w:r>
      <w:r>
        <w:rPr>
          <w:color w:val="231F20"/>
          <w:spacing w:val="-18"/>
          <w:w w:val="105"/>
        </w:rPr>
        <w:t> </w:t>
      </w:r>
      <w:r>
        <w:rPr>
          <w:color w:val="231F20"/>
          <w:w w:val="105"/>
        </w:rPr>
        <w:t>paridad</w:t>
      </w:r>
      <w:r>
        <w:rPr>
          <w:color w:val="231F20"/>
          <w:spacing w:val="-18"/>
          <w:w w:val="105"/>
        </w:rPr>
        <w:t> </w:t>
      </w:r>
      <w:r>
        <w:rPr>
          <w:i/>
          <w:color w:val="231F20"/>
          <w:w w:val="105"/>
        </w:rPr>
        <w:t>put-call</w:t>
      </w:r>
      <w:r>
        <w:rPr>
          <w:i/>
          <w:color w:val="231F20"/>
          <w:spacing w:val="-18"/>
          <w:w w:val="105"/>
        </w:rPr>
        <w:t> </w:t>
      </w:r>
      <w:r>
        <w:rPr>
          <w:color w:val="231F20"/>
          <w:w w:val="105"/>
        </w:rPr>
        <w:t>para</w:t>
      </w:r>
      <w:r>
        <w:rPr>
          <w:color w:val="231F20"/>
          <w:spacing w:val="-18"/>
          <w:w w:val="105"/>
        </w:rPr>
        <w:t> </w:t>
      </w:r>
      <w:r>
        <w:rPr>
          <w:color w:val="231F20"/>
          <w:w w:val="105"/>
        </w:rPr>
        <w:t>obtener</w:t>
      </w:r>
      <w:r>
        <w:rPr>
          <w:color w:val="231F20"/>
          <w:spacing w:val="-18"/>
          <w:w w:val="105"/>
        </w:rPr>
        <w:t> </w:t>
      </w:r>
      <w:r>
        <w:rPr>
          <w:color w:val="231F20"/>
          <w:w w:val="105"/>
        </w:rPr>
        <w:t>el</w:t>
      </w:r>
      <w:r>
        <w:rPr>
          <w:color w:val="231F20"/>
          <w:spacing w:val="-18"/>
          <w:w w:val="105"/>
        </w:rPr>
        <w:t> </w:t>
      </w:r>
      <w:r>
        <w:rPr>
          <w:color w:val="231F20"/>
          <w:w w:val="105"/>
        </w:rPr>
        <w:t>precio de opción </w:t>
      </w:r>
      <w:r>
        <w:rPr>
          <w:i/>
          <w:color w:val="231F20"/>
          <w:w w:val="105"/>
        </w:rPr>
        <w:t>put </w:t>
      </w:r>
      <w:r>
        <w:rPr>
          <w:color w:val="231F20"/>
          <w:w w:val="105"/>
        </w:rPr>
        <w:t>europea, se</w:t>
      </w:r>
      <w:r>
        <w:rPr>
          <w:color w:val="231F20"/>
          <w:spacing w:val="-38"/>
          <w:w w:val="105"/>
        </w:rPr>
        <w:t> </w:t>
      </w:r>
      <w:r>
        <w:rPr>
          <w:color w:val="231F20"/>
          <w:w w:val="105"/>
        </w:rPr>
        <w:t>tiene:</w:t>
      </w:r>
    </w:p>
    <w:p>
      <w:pPr>
        <w:spacing w:before="149"/>
        <w:ind w:left="967" w:right="114" w:firstLine="0"/>
        <w:jc w:val="left"/>
        <w:rPr>
          <w:sz w:val="21"/>
        </w:rPr>
      </w:pPr>
      <w:r>
        <w:rPr/>
        <w:drawing>
          <wp:inline distT="0" distB="0" distL="0" distR="0">
            <wp:extent cx="1474197" cy="268217"/>
            <wp:effectExtent l="0" t="0" r="0" b="0"/>
            <wp:docPr id="83" name="image88.png" descr=""/>
            <wp:cNvGraphicFramePr>
              <a:graphicFrameLocks noChangeAspect="1"/>
            </wp:cNvGraphicFramePr>
            <a:graphic>
              <a:graphicData uri="http://schemas.openxmlformats.org/drawingml/2006/picture">
                <pic:pic>
                  <pic:nvPicPr>
                    <pic:cNvPr id="84" name="image88.png"/>
                    <pic:cNvPicPr/>
                  </pic:nvPicPr>
                  <pic:blipFill>
                    <a:blip r:embed="rId112" cstate="print"/>
                    <a:stretch>
                      <a:fillRect/>
                    </a:stretch>
                  </pic:blipFill>
                  <pic:spPr>
                    <a:xfrm>
                      <a:off x="0" y="0"/>
                      <a:ext cx="1474197" cy="268217"/>
                    </a:xfrm>
                    <a:prstGeom prst="rect">
                      <a:avLst/>
                    </a:prstGeom>
                  </pic:spPr>
                </pic:pic>
              </a:graphicData>
            </a:graphic>
          </wp:inline>
        </w:drawing>
      </w:r>
      <w:r>
        <w:rPr/>
      </w:r>
      <w:r>
        <w:rPr>
          <w:rFonts w:ascii="Times New Roman"/>
          <w:sz w:val="20"/>
        </w:rPr>
        <w:t>                                                                  </w:t>
      </w:r>
      <w:r>
        <w:rPr>
          <w:color w:val="231F20"/>
          <w:sz w:val="21"/>
        </w:rPr>
        <w:t>(14)</w:t>
      </w:r>
    </w:p>
    <w:p>
      <w:pPr>
        <w:pStyle w:val="Heading2"/>
        <w:spacing w:before="406"/>
      </w:pPr>
      <w:r>
        <w:rPr>
          <w:color w:val="231F20"/>
        </w:rPr>
        <w:t>Estimación de parámetros y cálculo de prima de riesgo</w:t>
      </w:r>
    </w:p>
    <w:p>
      <w:pPr>
        <w:pStyle w:val="BodyText"/>
        <w:rPr>
          <w:b/>
          <w:sz w:val="22"/>
        </w:rPr>
      </w:pPr>
    </w:p>
    <w:p>
      <w:pPr>
        <w:pStyle w:val="BodyText"/>
        <w:spacing w:before="2"/>
        <w:rPr>
          <w:b/>
          <w:sz w:val="18"/>
        </w:rPr>
      </w:pPr>
    </w:p>
    <w:p>
      <w:pPr>
        <w:spacing w:before="0"/>
        <w:ind w:left="117" w:right="0" w:firstLine="0"/>
        <w:jc w:val="both"/>
        <w:rPr>
          <w:i/>
          <w:sz w:val="21"/>
        </w:rPr>
      </w:pPr>
      <w:r>
        <w:rPr>
          <w:i/>
          <w:color w:val="231F20"/>
          <w:sz w:val="21"/>
        </w:rPr>
        <w:t>Muestra y datos</w:t>
      </w:r>
    </w:p>
    <w:p>
      <w:pPr>
        <w:pStyle w:val="BodyText"/>
        <w:spacing w:before="4"/>
        <w:rPr>
          <w:i/>
          <w:sz w:val="16"/>
        </w:rPr>
      </w:pPr>
    </w:p>
    <w:p>
      <w:pPr>
        <w:pStyle w:val="BodyText"/>
        <w:spacing w:line="259" w:lineRule="auto"/>
        <w:ind w:left="117" w:right="117"/>
        <w:jc w:val="both"/>
      </w:pPr>
      <w:r>
        <w:rPr>
          <w:color w:val="231F20"/>
          <w:spacing w:val="-4"/>
          <w:w w:val="105"/>
        </w:rPr>
        <w:t>Para</w:t>
      </w:r>
      <w:r>
        <w:rPr>
          <w:color w:val="231F20"/>
          <w:spacing w:val="-25"/>
          <w:w w:val="105"/>
        </w:rPr>
        <w:t> </w:t>
      </w:r>
      <w:r>
        <w:rPr>
          <w:color w:val="231F20"/>
          <w:w w:val="105"/>
        </w:rPr>
        <w:t>la</w:t>
      </w:r>
      <w:r>
        <w:rPr>
          <w:color w:val="231F20"/>
          <w:spacing w:val="-25"/>
          <w:w w:val="105"/>
        </w:rPr>
        <w:t> </w:t>
      </w:r>
      <w:r>
        <w:rPr>
          <w:color w:val="231F20"/>
          <w:w w:val="105"/>
        </w:rPr>
        <w:t>valuación</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primas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opciones</w:t>
      </w:r>
      <w:r>
        <w:rPr>
          <w:color w:val="231F20"/>
          <w:spacing w:val="-25"/>
          <w:w w:val="105"/>
        </w:rPr>
        <w:t> </w:t>
      </w:r>
      <w:r>
        <w:rPr>
          <w:color w:val="231F20"/>
          <w:w w:val="105"/>
        </w:rPr>
        <w:t>sobre</w:t>
      </w:r>
      <w:r>
        <w:rPr>
          <w:color w:val="231F20"/>
          <w:spacing w:val="-25"/>
          <w:w w:val="105"/>
        </w:rPr>
        <w:t> </w:t>
      </w:r>
      <w:r>
        <w:rPr>
          <w:color w:val="231F20"/>
          <w:w w:val="105"/>
        </w:rPr>
        <w:t>tipo</w:t>
      </w:r>
      <w:r>
        <w:rPr>
          <w:color w:val="231F20"/>
          <w:spacing w:val="-25"/>
          <w:w w:val="105"/>
        </w:rPr>
        <w:t> </w:t>
      </w:r>
      <w:r>
        <w:rPr>
          <w:color w:val="231F20"/>
          <w:w w:val="105"/>
        </w:rPr>
        <w:t>de</w:t>
      </w:r>
      <w:r>
        <w:rPr>
          <w:color w:val="231F20"/>
          <w:spacing w:val="-25"/>
          <w:w w:val="105"/>
        </w:rPr>
        <w:t> </w:t>
      </w:r>
      <w:r>
        <w:rPr>
          <w:color w:val="231F20"/>
          <w:w w:val="105"/>
        </w:rPr>
        <w:t>cambio</w:t>
      </w:r>
      <w:r>
        <w:rPr>
          <w:color w:val="231F20"/>
          <w:spacing w:val="-25"/>
          <w:w w:val="105"/>
        </w:rPr>
        <w:t> </w:t>
      </w:r>
      <w:r>
        <w:rPr>
          <w:color w:val="231F20"/>
          <w:w w:val="105"/>
        </w:rPr>
        <w:t>bajo los</w:t>
      </w:r>
      <w:r>
        <w:rPr>
          <w:color w:val="231F20"/>
          <w:spacing w:val="-6"/>
          <w:w w:val="105"/>
        </w:rPr>
        <w:t> </w:t>
      </w:r>
      <w:r>
        <w:rPr>
          <w:color w:val="231F20"/>
          <w:w w:val="105"/>
        </w:rPr>
        <w:t>modelos</w:t>
      </w:r>
      <w:r>
        <w:rPr>
          <w:color w:val="231F20"/>
          <w:spacing w:val="-6"/>
          <w:w w:val="105"/>
        </w:rPr>
        <w:t> </w:t>
      </w:r>
      <w:r>
        <w:rPr>
          <w:color w:val="231F20"/>
          <w:w w:val="105"/>
        </w:rPr>
        <w:t>de</w:t>
      </w:r>
      <w:r>
        <w:rPr>
          <w:color w:val="231F20"/>
          <w:spacing w:val="-6"/>
          <w:w w:val="105"/>
        </w:rPr>
        <w:t> </w:t>
      </w:r>
      <w:r>
        <w:rPr>
          <w:color w:val="231F20"/>
          <w:w w:val="105"/>
        </w:rPr>
        <w:t>Black-Scholes</w:t>
      </w:r>
      <w:r>
        <w:rPr>
          <w:color w:val="231F20"/>
          <w:spacing w:val="-6"/>
          <w:w w:val="105"/>
        </w:rPr>
        <w:t> </w:t>
      </w:r>
      <w:r>
        <w:rPr>
          <w:color w:val="231F20"/>
          <w:w w:val="105"/>
        </w:rPr>
        <w:t>(1973)</w:t>
      </w:r>
      <w:r>
        <w:rPr>
          <w:color w:val="231F20"/>
          <w:spacing w:val="-6"/>
          <w:w w:val="105"/>
        </w:rPr>
        <w:t> </w:t>
      </w:r>
      <w:r>
        <w:rPr>
          <w:color w:val="231F20"/>
          <w:w w:val="105"/>
        </w:rPr>
        <w:t>y</w:t>
      </w:r>
      <w:r>
        <w:rPr>
          <w:color w:val="231F20"/>
          <w:spacing w:val="-6"/>
          <w:w w:val="105"/>
        </w:rPr>
        <w:t> </w:t>
      </w:r>
      <w:r>
        <w:rPr>
          <w:color w:val="231F20"/>
          <w:w w:val="105"/>
        </w:rPr>
        <w:t>Heston</w:t>
      </w:r>
      <w:r>
        <w:rPr>
          <w:color w:val="231F20"/>
          <w:spacing w:val="-6"/>
          <w:w w:val="105"/>
        </w:rPr>
        <w:t> </w:t>
      </w:r>
      <w:r>
        <w:rPr>
          <w:color w:val="231F20"/>
          <w:w w:val="105"/>
        </w:rPr>
        <w:t>(1993),</w:t>
      </w:r>
      <w:r>
        <w:rPr>
          <w:color w:val="231F20"/>
          <w:spacing w:val="-10"/>
          <w:w w:val="105"/>
        </w:rPr>
        <w:t> </w:t>
      </w:r>
      <w:r>
        <w:rPr>
          <w:color w:val="231F20"/>
          <w:w w:val="105"/>
        </w:rPr>
        <w:t>se</w:t>
      </w:r>
      <w:r>
        <w:rPr>
          <w:color w:val="231F20"/>
          <w:spacing w:val="-6"/>
          <w:w w:val="105"/>
        </w:rPr>
        <w:t> </w:t>
      </w:r>
      <w:r>
        <w:rPr>
          <w:color w:val="231F20"/>
          <w:w w:val="105"/>
        </w:rPr>
        <w:t>utilizan</w:t>
      </w:r>
      <w:r>
        <w:rPr>
          <w:color w:val="231F20"/>
          <w:spacing w:val="-6"/>
          <w:w w:val="105"/>
        </w:rPr>
        <w:t> </w:t>
      </w:r>
      <w:r>
        <w:rPr>
          <w:color w:val="231F20"/>
          <w:w w:val="105"/>
        </w:rPr>
        <w:t>datos que corresponden a los precios diarios del tipo de cambio spot peso mexicano-dólar</w:t>
      </w:r>
      <w:r>
        <w:rPr>
          <w:color w:val="231F20"/>
          <w:spacing w:val="-15"/>
          <w:w w:val="105"/>
        </w:rPr>
        <w:t> </w:t>
      </w:r>
      <w:r>
        <w:rPr>
          <w:color w:val="231F20"/>
          <w:w w:val="105"/>
        </w:rPr>
        <w:t>estadounidense</w:t>
      </w:r>
      <w:r>
        <w:rPr>
          <w:color w:val="231F20"/>
          <w:spacing w:val="-15"/>
          <w:w w:val="105"/>
        </w:rPr>
        <w:t> </w:t>
      </w:r>
      <w:r>
        <w:rPr>
          <w:color w:val="231F20"/>
          <w:w w:val="105"/>
        </w:rPr>
        <w:t>y</w:t>
      </w:r>
      <w:r>
        <w:rPr>
          <w:color w:val="231F20"/>
          <w:spacing w:val="-15"/>
          <w:w w:val="105"/>
        </w:rPr>
        <w:t> </w:t>
      </w:r>
      <w:r>
        <w:rPr>
          <w:color w:val="231F20"/>
          <w:w w:val="105"/>
        </w:rPr>
        <w:t>las</w:t>
      </w:r>
      <w:r>
        <w:rPr>
          <w:color w:val="231F20"/>
          <w:spacing w:val="-15"/>
          <w:w w:val="105"/>
        </w:rPr>
        <w:t> </w:t>
      </w:r>
      <w:r>
        <w:rPr>
          <w:color w:val="231F20"/>
          <w:w w:val="105"/>
        </w:rPr>
        <w:t>tasas</w:t>
      </w:r>
      <w:r>
        <w:rPr>
          <w:color w:val="231F20"/>
          <w:spacing w:val="-15"/>
          <w:w w:val="105"/>
        </w:rPr>
        <w:t> </w:t>
      </w:r>
      <w:r>
        <w:rPr>
          <w:color w:val="231F20"/>
          <w:w w:val="105"/>
        </w:rPr>
        <w:t>de</w:t>
      </w:r>
      <w:r>
        <w:rPr>
          <w:color w:val="231F20"/>
          <w:spacing w:val="-15"/>
          <w:w w:val="105"/>
        </w:rPr>
        <w:t> </w:t>
      </w:r>
      <w:r>
        <w:rPr>
          <w:color w:val="231F20"/>
          <w:w w:val="105"/>
        </w:rPr>
        <w:t>interés</w:t>
      </w:r>
      <w:r>
        <w:rPr>
          <w:color w:val="231F20"/>
          <w:spacing w:val="-15"/>
          <w:w w:val="105"/>
        </w:rPr>
        <w:t> </w:t>
      </w:r>
      <w:r>
        <w:rPr>
          <w:color w:val="231F20"/>
          <w:w w:val="105"/>
        </w:rPr>
        <w:t>libre</w:t>
      </w:r>
      <w:r>
        <w:rPr>
          <w:color w:val="231F20"/>
          <w:spacing w:val="-15"/>
          <w:w w:val="105"/>
        </w:rPr>
        <w:t> </w:t>
      </w:r>
      <w:r>
        <w:rPr>
          <w:color w:val="231F20"/>
          <w:w w:val="105"/>
        </w:rPr>
        <w:t>de</w:t>
      </w:r>
      <w:r>
        <w:rPr>
          <w:color w:val="231F20"/>
          <w:spacing w:val="-15"/>
          <w:w w:val="105"/>
        </w:rPr>
        <w:t> </w:t>
      </w:r>
      <w:r>
        <w:rPr>
          <w:color w:val="231F20"/>
          <w:w w:val="105"/>
        </w:rPr>
        <w:t>riesgo</w:t>
      </w:r>
      <w:r>
        <w:rPr>
          <w:color w:val="231F20"/>
          <w:spacing w:val="-15"/>
          <w:w w:val="105"/>
        </w:rPr>
        <w:t> </w:t>
      </w:r>
      <w:r>
        <w:rPr>
          <w:color w:val="231F20"/>
          <w:w w:val="105"/>
        </w:rPr>
        <w:t>del mercado </w:t>
      </w:r>
      <w:r>
        <w:rPr>
          <w:color w:val="231F20"/>
          <w:spacing w:val="3"/>
          <w:w w:val="105"/>
        </w:rPr>
        <w:t>secundario </w:t>
      </w:r>
      <w:r>
        <w:rPr>
          <w:color w:val="231F20"/>
          <w:w w:val="105"/>
        </w:rPr>
        <w:t>a 91 </w:t>
      </w:r>
      <w:r>
        <w:rPr>
          <w:color w:val="231F20"/>
          <w:spacing w:val="3"/>
          <w:w w:val="105"/>
        </w:rPr>
        <w:t>días. </w:t>
      </w:r>
      <w:r>
        <w:rPr>
          <w:color w:val="231F20"/>
          <w:spacing w:val="2"/>
          <w:w w:val="105"/>
        </w:rPr>
        <w:t>Como referencia </w:t>
      </w:r>
      <w:r>
        <w:rPr>
          <w:color w:val="231F20"/>
          <w:w w:val="105"/>
        </w:rPr>
        <w:t>se </w:t>
      </w:r>
      <w:r>
        <w:rPr>
          <w:color w:val="231F20"/>
          <w:spacing w:val="3"/>
          <w:w w:val="105"/>
        </w:rPr>
        <w:t>utiliza </w:t>
      </w:r>
      <w:r>
        <w:rPr>
          <w:color w:val="231F20"/>
          <w:w w:val="105"/>
        </w:rPr>
        <w:t>la </w:t>
      </w:r>
      <w:r>
        <w:rPr>
          <w:color w:val="231F20"/>
          <w:spacing w:val="3"/>
          <w:w w:val="105"/>
        </w:rPr>
        <w:t>tasa </w:t>
      </w:r>
      <w:r>
        <w:rPr>
          <w:color w:val="231F20"/>
          <w:spacing w:val="4"/>
          <w:w w:val="105"/>
        </w:rPr>
        <w:t>de </w:t>
      </w:r>
      <w:r>
        <w:rPr>
          <w:color w:val="231F20"/>
          <w:spacing w:val="3"/>
          <w:w w:val="105"/>
        </w:rPr>
        <w:t>CETES</w:t>
      </w:r>
      <w:r>
        <w:rPr>
          <w:color w:val="231F20"/>
          <w:spacing w:val="3"/>
          <w:w w:val="105"/>
          <w:position w:val="7"/>
          <w:sz w:val="12"/>
        </w:rPr>
        <w:t>2</w:t>
      </w:r>
      <w:r>
        <w:rPr>
          <w:color w:val="231F20"/>
          <w:spacing w:val="3"/>
          <w:w w:val="105"/>
        </w:rPr>
        <w:t>.</w:t>
      </w:r>
      <w:r>
        <w:rPr>
          <w:color w:val="231F20"/>
          <w:spacing w:val="-22"/>
          <w:w w:val="105"/>
        </w:rPr>
        <w:t> </w:t>
      </w:r>
      <w:r>
        <w:rPr>
          <w:color w:val="231F20"/>
          <w:spacing w:val="2"/>
          <w:w w:val="105"/>
        </w:rPr>
        <w:t>Ambas</w:t>
      </w:r>
      <w:r>
        <w:rPr>
          <w:color w:val="231F20"/>
          <w:spacing w:val="-21"/>
          <w:w w:val="105"/>
        </w:rPr>
        <w:t> </w:t>
      </w:r>
      <w:r>
        <w:rPr>
          <w:color w:val="231F20"/>
          <w:w w:val="105"/>
        </w:rPr>
        <w:t>series</w:t>
      </w:r>
      <w:r>
        <w:rPr>
          <w:color w:val="231F20"/>
          <w:spacing w:val="-21"/>
          <w:w w:val="105"/>
        </w:rPr>
        <w:t> </w:t>
      </w:r>
      <w:r>
        <w:rPr>
          <w:color w:val="231F20"/>
          <w:w w:val="105"/>
        </w:rPr>
        <w:t>financieras</w:t>
      </w:r>
      <w:r>
        <w:rPr>
          <w:color w:val="231F20"/>
          <w:spacing w:val="-21"/>
          <w:w w:val="105"/>
        </w:rPr>
        <w:t> </w:t>
      </w:r>
      <w:r>
        <w:rPr>
          <w:color w:val="231F20"/>
          <w:w w:val="105"/>
        </w:rPr>
        <w:t>fueron</w:t>
      </w:r>
      <w:r>
        <w:rPr>
          <w:color w:val="231F20"/>
          <w:spacing w:val="-21"/>
          <w:w w:val="105"/>
        </w:rPr>
        <w:t> </w:t>
      </w:r>
      <w:r>
        <w:rPr>
          <w:color w:val="231F20"/>
          <w:w w:val="105"/>
        </w:rPr>
        <w:t>obtenidas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base</w:t>
      </w:r>
      <w:r>
        <w:rPr>
          <w:color w:val="231F20"/>
          <w:spacing w:val="-21"/>
          <w:w w:val="105"/>
        </w:rPr>
        <w:t> </w:t>
      </w:r>
      <w:r>
        <w:rPr>
          <w:color w:val="231F20"/>
          <w:w w:val="105"/>
        </w:rPr>
        <w:t>de</w:t>
      </w:r>
      <w:r>
        <w:rPr>
          <w:color w:val="231F20"/>
          <w:spacing w:val="-21"/>
          <w:w w:val="105"/>
        </w:rPr>
        <w:t> </w:t>
      </w:r>
      <w:r>
        <w:rPr>
          <w:color w:val="231F20"/>
          <w:w w:val="105"/>
        </w:rPr>
        <w:t>datos</w:t>
      </w:r>
    </w:p>
    <w:p>
      <w:pPr>
        <w:pStyle w:val="BodyText"/>
        <w:spacing w:before="10"/>
        <w:rPr>
          <w:sz w:val="17"/>
        </w:rPr>
      </w:pPr>
      <w:r>
        <w:rPr/>
        <w:pict>
          <v:line style="position:absolute;mso-position-horizontal-relative:page;mso-position-vertical-relative:paragraph;z-index:7624;mso-wrap-distance-left:0;mso-wrap-distance-right:0" from="70.866096pt,12.370063pt" to="184.252096pt,12.370063pt" stroked="true" strokeweight=".25pt" strokecolor="#231f20">
            <w10:wrap type="topAndBottom"/>
          </v:line>
        </w:pict>
      </w:r>
    </w:p>
    <w:p>
      <w:pPr>
        <w:spacing w:line="192" w:lineRule="exact" w:before="7"/>
        <w:ind w:left="117" w:right="121" w:hanging="1"/>
        <w:jc w:val="both"/>
        <w:rPr>
          <w:rFonts w:ascii="Calibri" w:hAnsi="Calibri"/>
          <w:sz w:val="16"/>
        </w:rPr>
      </w:pPr>
      <w:r>
        <w:rPr>
          <w:rFonts w:ascii="Calibri" w:hAnsi="Calibri"/>
          <w:color w:val="414042"/>
          <w:w w:val="105"/>
          <w:position w:val="5"/>
          <w:sz w:val="9"/>
        </w:rPr>
        <w:t>2 </w:t>
      </w:r>
      <w:r>
        <w:rPr>
          <w:rFonts w:ascii="Calibri" w:hAnsi="Calibri"/>
          <w:color w:val="414042"/>
          <w:w w:val="105"/>
          <w:sz w:val="16"/>
        </w:rPr>
        <w:t>Los Certificados de la Tesorería de la Federación (CETES) son el instrumento de deuda bursátil más antiguo</w:t>
      </w:r>
      <w:r>
        <w:rPr>
          <w:rFonts w:ascii="Calibri" w:hAnsi="Calibri"/>
          <w:color w:val="414042"/>
          <w:spacing w:val="-19"/>
          <w:w w:val="105"/>
          <w:sz w:val="16"/>
        </w:rPr>
        <w:t> </w:t>
      </w:r>
      <w:r>
        <w:rPr>
          <w:rFonts w:ascii="Calibri" w:hAnsi="Calibri"/>
          <w:color w:val="414042"/>
          <w:w w:val="105"/>
          <w:sz w:val="16"/>
        </w:rPr>
        <w:t>emitido</w:t>
      </w:r>
      <w:r>
        <w:rPr>
          <w:rFonts w:ascii="Calibri" w:hAnsi="Calibri"/>
          <w:color w:val="414042"/>
          <w:spacing w:val="-19"/>
          <w:w w:val="105"/>
          <w:sz w:val="16"/>
        </w:rPr>
        <w:t> </w:t>
      </w:r>
      <w:r>
        <w:rPr>
          <w:rFonts w:ascii="Calibri" w:hAnsi="Calibri"/>
          <w:color w:val="414042"/>
          <w:w w:val="105"/>
          <w:sz w:val="16"/>
        </w:rPr>
        <w:t>por</w:t>
      </w:r>
      <w:r>
        <w:rPr>
          <w:rFonts w:ascii="Calibri" w:hAnsi="Calibri"/>
          <w:color w:val="414042"/>
          <w:spacing w:val="-19"/>
          <w:w w:val="105"/>
          <w:sz w:val="16"/>
        </w:rPr>
        <w:t> </w:t>
      </w:r>
      <w:r>
        <w:rPr>
          <w:rFonts w:ascii="Calibri" w:hAnsi="Calibri"/>
          <w:color w:val="414042"/>
          <w:w w:val="105"/>
          <w:sz w:val="16"/>
        </w:rPr>
        <w:t>el</w:t>
      </w:r>
      <w:r>
        <w:rPr>
          <w:rFonts w:ascii="Calibri" w:hAnsi="Calibri"/>
          <w:color w:val="414042"/>
          <w:spacing w:val="-19"/>
          <w:w w:val="105"/>
          <w:sz w:val="16"/>
        </w:rPr>
        <w:t> </w:t>
      </w:r>
      <w:r>
        <w:rPr>
          <w:rFonts w:ascii="Calibri" w:hAnsi="Calibri"/>
          <w:color w:val="414042"/>
          <w:w w:val="105"/>
          <w:sz w:val="16"/>
        </w:rPr>
        <w:t>gobierno</w:t>
      </w:r>
      <w:r>
        <w:rPr>
          <w:rFonts w:ascii="Calibri" w:hAnsi="Calibri"/>
          <w:color w:val="414042"/>
          <w:spacing w:val="-19"/>
          <w:w w:val="105"/>
          <w:sz w:val="16"/>
        </w:rPr>
        <w:t> </w:t>
      </w:r>
      <w:r>
        <w:rPr>
          <w:rFonts w:ascii="Calibri" w:hAnsi="Calibri"/>
          <w:color w:val="414042"/>
          <w:w w:val="105"/>
          <w:sz w:val="16"/>
        </w:rPr>
        <w:t>federal.</w:t>
      </w:r>
      <w:r>
        <w:rPr>
          <w:rFonts w:ascii="Calibri" w:hAnsi="Calibri"/>
          <w:color w:val="414042"/>
          <w:spacing w:val="-19"/>
          <w:w w:val="105"/>
          <w:sz w:val="16"/>
        </w:rPr>
        <w:t> </w:t>
      </w:r>
      <w:r>
        <w:rPr>
          <w:rFonts w:ascii="Calibri" w:hAnsi="Calibri"/>
          <w:color w:val="414042"/>
          <w:w w:val="105"/>
          <w:sz w:val="16"/>
        </w:rPr>
        <w:t>Se</w:t>
      </w:r>
      <w:r>
        <w:rPr>
          <w:rFonts w:ascii="Calibri" w:hAnsi="Calibri"/>
          <w:color w:val="414042"/>
          <w:spacing w:val="-19"/>
          <w:w w:val="105"/>
          <w:sz w:val="16"/>
        </w:rPr>
        <w:t> </w:t>
      </w:r>
      <w:r>
        <w:rPr>
          <w:rFonts w:ascii="Calibri" w:hAnsi="Calibri"/>
          <w:color w:val="414042"/>
          <w:w w:val="105"/>
          <w:sz w:val="16"/>
        </w:rPr>
        <w:t>emitieron</w:t>
      </w:r>
      <w:r>
        <w:rPr>
          <w:rFonts w:ascii="Calibri" w:hAnsi="Calibri"/>
          <w:color w:val="414042"/>
          <w:spacing w:val="-19"/>
          <w:w w:val="105"/>
          <w:sz w:val="16"/>
        </w:rPr>
        <w:t> </w:t>
      </w:r>
      <w:r>
        <w:rPr>
          <w:rFonts w:ascii="Calibri" w:hAnsi="Calibri"/>
          <w:color w:val="414042"/>
          <w:w w:val="105"/>
          <w:sz w:val="16"/>
        </w:rPr>
        <w:t>por</w:t>
      </w:r>
      <w:r>
        <w:rPr>
          <w:rFonts w:ascii="Calibri" w:hAnsi="Calibri"/>
          <w:color w:val="414042"/>
          <w:spacing w:val="-19"/>
          <w:w w:val="105"/>
          <w:sz w:val="16"/>
        </w:rPr>
        <w:t> </w:t>
      </w:r>
      <w:r>
        <w:rPr>
          <w:rFonts w:ascii="Calibri" w:hAnsi="Calibri"/>
          <w:color w:val="414042"/>
          <w:w w:val="105"/>
          <w:sz w:val="16"/>
        </w:rPr>
        <w:t>primera</w:t>
      </w:r>
      <w:r>
        <w:rPr>
          <w:rFonts w:ascii="Calibri" w:hAnsi="Calibri"/>
          <w:color w:val="414042"/>
          <w:spacing w:val="-20"/>
          <w:w w:val="105"/>
          <w:sz w:val="16"/>
        </w:rPr>
        <w:t> </w:t>
      </w:r>
      <w:r>
        <w:rPr>
          <w:rFonts w:ascii="Calibri" w:hAnsi="Calibri"/>
          <w:color w:val="414042"/>
          <w:w w:val="105"/>
          <w:sz w:val="16"/>
        </w:rPr>
        <w:t>vez</w:t>
      </w:r>
      <w:r>
        <w:rPr>
          <w:rFonts w:ascii="Calibri" w:hAnsi="Calibri"/>
          <w:color w:val="414042"/>
          <w:spacing w:val="-19"/>
          <w:w w:val="105"/>
          <w:sz w:val="16"/>
        </w:rPr>
        <w:t> </w:t>
      </w:r>
      <w:r>
        <w:rPr>
          <w:rFonts w:ascii="Calibri" w:hAnsi="Calibri"/>
          <w:color w:val="414042"/>
          <w:w w:val="105"/>
          <w:sz w:val="16"/>
        </w:rPr>
        <w:t>en</w:t>
      </w:r>
      <w:r>
        <w:rPr>
          <w:rFonts w:ascii="Calibri" w:hAnsi="Calibri"/>
          <w:color w:val="414042"/>
          <w:spacing w:val="-19"/>
          <w:w w:val="105"/>
          <w:sz w:val="16"/>
        </w:rPr>
        <w:t> </w:t>
      </w:r>
      <w:r>
        <w:rPr>
          <w:rFonts w:ascii="Calibri" w:hAnsi="Calibri"/>
          <w:color w:val="414042"/>
          <w:w w:val="105"/>
          <w:sz w:val="16"/>
        </w:rPr>
        <w:t>enero</w:t>
      </w:r>
      <w:r>
        <w:rPr>
          <w:rFonts w:ascii="Calibri" w:hAnsi="Calibri"/>
          <w:color w:val="414042"/>
          <w:spacing w:val="-19"/>
          <w:w w:val="105"/>
          <w:sz w:val="16"/>
        </w:rPr>
        <w:t> </w:t>
      </w:r>
      <w:r>
        <w:rPr>
          <w:rFonts w:ascii="Calibri" w:hAnsi="Calibri"/>
          <w:color w:val="414042"/>
          <w:w w:val="105"/>
          <w:sz w:val="16"/>
        </w:rPr>
        <w:t>de</w:t>
      </w:r>
      <w:r>
        <w:rPr>
          <w:rFonts w:ascii="Calibri" w:hAnsi="Calibri"/>
          <w:color w:val="414042"/>
          <w:spacing w:val="-19"/>
          <w:w w:val="105"/>
          <w:sz w:val="16"/>
        </w:rPr>
        <w:t> </w:t>
      </w:r>
      <w:r>
        <w:rPr>
          <w:rFonts w:ascii="Calibri" w:hAnsi="Calibri"/>
          <w:color w:val="414042"/>
          <w:w w:val="105"/>
          <w:sz w:val="16"/>
        </w:rPr>
        <w:t>1978</w:t>
      </w:r>
      <w:r>
        <w:rPr>
          <w:rFonts w:ascii="Calibri" w:hAnsi="Calibri"/>
          <w:color w:val="414042"/>
          <w:spacing w:val="-20"/>
          <w:w w:val="105"/>
          <w:sz w:val="16"/>
        </w:rPr>
        <w:t> </w:t>
      </w:r>
      <w:r>
        <w:rPr>
          <w:rFonts w:ascii="Calibri" w:hAnsi="Calibri"/>
          <w:color w:val="414042"/>
          <w:w w:val="105"/>
          <w:sz w:val="16"/>
        </w:rPr>
        <w:t>y</w:t>
      </w:r>
      <w:r>
        <w:rPr>
          <w:rFonts w:ascii="Calibri" w:hAnsi="Calibri"/>
          <w:color w:val="414042"/>
          <w:spacing w:val="-19"/>
          <w:w w:val="105"/>
          <w:sz w:val="16"/>
        </w:rPr>
        <w:t> </w:t>
      </w:r>
      <w:r>
        <w:rPr>
          <w:rFonts w:ascii="Calibri" w:hAnsi="Calibri"/>
          <w:color w:val="414042"/>
          <w:w w:val="105"/>
          <w:sz w:val="16"/>
        </w:rPr>
        <w:t>desde</w:t>
      </w:r>
      <w:r>
        <w:rPr>
          <w:rFonts w:ascii="Calibri" w:hAnsi="Calibri"/>
          <w:color w:val="414042"/>
          <w:spacing w:val="-19"/>
          <w:w w:val="105"/>
          <w:sz w:val="16"/>
        </w:rPr>
        <w:t> </w:t>
      </w:r>
      <w:r>
        <w:rPr>
          <w:rFonts w:ascii="Calibri" w:hAnsi="Calibri"/>
          <w:color w:val="414042"/>
          <w:w w:val="105"/>
          <w:sz w:val="16"/>
        </w:rPr>
        <w:t>entonces constituyen</w:t>
      </w:r>
      <w:r>
        <w:rPr>
          <w:rFonts w:ascii="Calibri" w:hAnsi="Calibri"/>
          <w:color w:val="414042"/>
          <w:spacing w:val="-11"/>
          <w:w w:val="105"/>
          <w:sz w:val="16"/>
        </w:rPr>
        <w:t> </w:t>
      </w:r>
      <w:r>
        <w:rPr>
          <w:rFonts w:ascii="Calibri" w:hAnsi="Calibri"/>
          <w:color w:val="414042"/>
          <w:w w:val="105"/>
          <w:sz w:val="16"/>
        </w:rPr>
        <w:t>un</w:t>
      </w:r>
      <w:r>
        <w:rPr>
          <w:rFonts w:ascii="Calibri" w:hAnsi="Calibri"/>
          <w:color w:val="414042"/>
          <w:spacing w:val="-11"/>
          <w:w w:val="105"/>
          <w:sz w:val="16"/>
        </w:rPr>
        <w:t> </w:t>
      </w:r>
      <w:r>
        <w:rPr>
          <w:rFonts w:ascii="Calibri" w:hAnsi="Calibri"/>
          <w:color w:val="414042"/>
          <w:w w:val="105"/>
          <w:sz w:val="16"/>
        </w:rPr>
        <w:t>pilar</w:t>
      </w:r>
      <w:r>
        <w:rPr>
          <w:rFonts w:ascii="Calibri" w:hAnsi="Calibri"/>
          <w:color w:val="414042"/>
          <w:spacing w:val="-11"/>
          <w:w w:val="105"/>
          <w:sz w:val="16"/>
        </w:rPr>
        <w:t> </w:t>
      </w:r>
      <w:r>
        <w:rPr>
          <w:rFonts w:ascii="Calibri" w:hAnsi="Calibri"/>
          <w:color w:val="414042"/>
          <w:w w:val="105"/>
          <w:sz w:val="16"/>
        </w:rPr>
        <w:t>fundamental</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el</w:t>
      </w:r>
      <w:r>
        <w:rPr>
          <w:rFonts w:ascii="Calibri" w:hAnsi="Calibri"/>
          <w:color w:val="414042"/>
          <w:spacing w:val="-11"/>
          <w:w w:val="105"/>
          <w:sz w:val="16"/>
        </w:rPr>
        <w:t> </w:t>
      </w:r>
      <w:r>
        <w:rPr>
          <w:rFonts w:ascii="Calibri" w:hAnsi="Calibri"/>
          <w:color w:val="414042"/>
          <w:w w:val="105"/>
          <w:sz w:val="16"/>
        </w:rPr>
        <w:t>desarrollo</w:t>
      </w:r>
      <w:r>
        <w:rPr>
          <w:rFonts w:ascii="Calibri" w:hAnsi="Calibri"/>
          <w:color w:val="414042"/>
          <w:spacing w:val="-11"/>
          <w:w w:val="105"/>
          <w:sz w:val="16"/>
        </w:rPr>
        <w:t> </w:t>
      </w:r>
      <w:r>
        <w:rPr>
          <w:rFonts w:ascii="Calibri" w:hAnsi="Calibri"/>
          <w:color w:val="414042"/>
          <w:w w:val="105"/>
          <w:sz w:val="16"/>
        </w:rPr>
        <w:t>del</w:t>
      </w:r>
      <w:r>
        <w:rPr>
          <w:rFonts w:ascii="Calibri" w:hAnsi="Calibri"/>
          <w:color w:val="414042"/>
          <w:spacing w:val="-11"/>
          <w:w w:val="105"/>
          <w:sz w:val="16"/>
        </w:rPr>
        <w:t> </w:t>
      </w:r>
      <w:r>
        <w:rPr>
          <w:rFonts w:ascii="Calibri" w:hAnsi="Calibri"/>
          <w:color w:val="414042"/>
          <w:w w:val="105"/>
          <w:sz w:val="16"/>
        </w:rPr>
        <w:t>mercado</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dinero</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México.</w:t>
      </w:r>
      <w:r>
        <w:rPr>
          <w:rFonts w:ascii="Calibri" w:hAnsi="Calibri"/>
          <w:color w:val="414042"/>
          <w:spacing w:val="-11"/>
          <w:w w:val="105"/>
          <w:sz w:val="16"/>
        </w:rPr>
        <w:t> </w:t>
      </w:r>
      <w:r>
        <w:rPr>
          <w:rFonts w:ascii="Calibri" w:hAnsi="Calibri"/>
          <w:color w:val="414042"/>
          <w:w w:val="105"/>
          <w:sz w:val="16"/>
        </w:rPr>
        <w:t>Estos</w:t>
      </w:r>
      <w:r>
        <w:rPr>
          <w:rFonts w:ascii="Calibri" w:hAnsi="Calibri"/>
          <w:color w:val="414042"/>
          <w:spacing w:val="-11"/>
          <w:w w:val="105"/>
          <w:sz w:val="16"/>
        </w:rPr>
        <w:t> </w:t>
      </w:r>
      <w:r>
        <w:rPr>
          <w:rFonts w:ascii="Calibri" w:hAnsi="Calibri"/>
          <w:color w:val="414042"/>
          <w:w w:val="105"/>
          <w:sz w:val="16"/>
        </w:rPr>
        <w:t>títulos</w:t>
      </w:r>
      <w:r>
        <w:rPr>
          <w:rFonts w:ascii="Calibri" w:hAnsi="Calibri"/>
          <w:color w:val="414042"/>
          <w:spacing w:val="-11"/>
          <w:w w:val="105"/>
          <w:sz w:val="16"/>
        </w:rPr>
        <w:t> </w:t>
      </w:r>
      <w:r>
        <w:rPr>
          <w:rFonts w:ascii="Calibri" w:hAnsi="Calibri"/>
          <w:color w:val="414042"/>
          <w:w w:val="105"/>
          <w:sz w:val="16"/>
        </w:rPr>
        <w:t>perte-</w:t>
      </w:r>
    </w:p>
    <w:p>
      <w:pPr>
        <w:spacing w:after="0" w:line="192" w:lineRule="exact"/>
        <w:jc w:val="both"/>
        <w:rPr>
          <w:rFonts w:ascii="Calibri" w:hAnsi="Calibri"/>
          <w:sz w:val="16"/>
        </w:rPr>
        <w:sectPr>
          <w:type w:val="continuous"/>
          <w:pgSz w:w="9640" w:h="13890"/>
          <w:pgMar w:top="1300" w:bottom="280" w:left="1300" w:right="1180"/>
        </w:sectPr>
      </w:pPr>
    </w:p>
    <w:p>
      <w:pPr>
        <w:pStyle w:val="BodyText"/>
        <w:spacing w:line="259" w:lineRule="auto" w:before="49"/>
        <w:ind w:left="115" w:right="100"/>
        <w:jc w:val="both"/>
      </w:pPr>
      <w:r>
        <w:rPr>
          <w:color w:val="231F20"/>
          <w:w w:val="105"/>
        </w:rPr>
        <w:t>DataStream</w:t>
      </w:r>
      <w:r>
        <w:rPr>
          <w:color w:val="231F20"/>
          <w:spacing w:val="-16"/>
          <w:w w:val="105"/>
        </w:rPr>
        <w:t> </w:t>
      </w:r>
      <w:r>
        <w:rPr>
          <w:color w:val="231F20"/>
          <w:w w:val="105"/>
        </w:rPr>
        <w:t>para</w:t>
      </w:r>
      <w:r>
        <w:rPr>
          <w:color w:val="231F20"/>
          <w:spacing w:val="-16"/>
          <w:w w:val="105"/>
        </w:rPr>
        <w:t> </w:t>
      </w:r>
      <w:r>
        <w:rPr>
          <w:color w:val="231F20"/>
          <w:w w:val="105"/>
        </w:rPr>
        <w:t>el</w:t>
      </w:r>
      <w:r>
        <w:rPr>
          <w:color w:val="231F20"/>
          <w:spacing w:val="-16"/>
          <w:w w:val="105"/>
        </w:rPr>
        <w:t> </w:t>
      </w:r>
      <w:r>
        <w:rPr>
          <w:color w:val="231F20"/>
          <w:w w:val="105"/>
        </w:rPr>
        <w:t>periodo</w:t>
      </w:r>
      <w:r>
        <w:rPr>
          <w:color w:val="231F20"/>
          <w:spacing w:val="-16"/>
          <w:w w:val="105"/>
        </w:rPr>
        <w:t> </w:t>
      </w:r>
      <w:r>
        <w:rPr>
          <w:color w:val="231F20"/>
          <w:w w:val="105"/>
        </w:rPr>
        <w:t>del</w:t>
      </w:r>
      <w:r>
        <w:rPr>
          <w:color w:val="231F20"/>
          <w:spacing w:val="-16"/>
          <w:w w:val="105"/>
        </w:rPr>
        <w:t> </w:t>
      </w:r>
      <w:r>
        <w:rPr>
          <w:color w:val="231F20"/>
          <w:w w:val="105"/>
        </w:rPr>
        <w:t>14</w:t>
      </w:r>
      <w:r>
        <w:rPr>
          <w:color w:val="231F20"/>
          <w:spacing w:val="-16"/>
          <w:w w:val="105"/>
        </w:rPr>
        <w:t> </w:t>
      </w:r>
      <w:r>
        <w:rPr>
          <w:color w:val="231F20"/>
          <w:w w:val="105"/>
        </w:rPr>
        <w:t>de</w:t>
      </w:r>
      <w:r>
        <w:rPr>
          <w:color w:val="231F20"/>
          <w:spacing w:val="-16"/>
          <w:w w:val="105"/>
        </w:rPr>
        <w:t> </w:t>
      </w:r>
      <w:r>
        <w:rPr>
          <w:color w:val="231F20"/>
          <w:w w:val="105"/>
        </w:rPr>
        <w:t>abril</w:t>
      </w:r>
      <w:r>
        <w:rPr>
          <w:color w:val="231F20"/>
          <w:spacing w:val="-16"/>
          <w:w w:val="105"/>
        </w:rPr>
        <w:t> </w:t>
      </w:r>
      <w:r>
        <w:rPr>
          <w:color w:val="231F20"/>
          <w:w w:val="105"/>
        </w:rPr>
        <w:t>de</w:t>
      </w:r>
      <w:r>
        <w:rPr>
          <w:color w:val="231F20"/>
          <w:spacing w:val="-16"/>
          <w:w w:val="105"/>
        </w:rPr>
        <w:t> </w:t>
      </w:r>
      <w:r>
        <w:rPr>
          <w:color w:val="231F20"/>
          <w:w w:val="105"/>
        </w:rPr>
        <w:t>2003</w:t>
      </w:r>
      <w:r>
        <w:rPr>
          <w:color w:val="231F20"/>
          <w:spacing w:val="-16"/>
          <w:w w:val="105"/>
        </w:rPr>
        <w:t> </w:t>
      </w:r>
      <w:r>
        <w:rPr>
          <w:color w:val="231F20"/>
          <w:w w:val="105"/>
        </w:rPr>
        <w:t>al</w:t>
      </w:r>
      <w:r>
        <w:rPr>
          <w:color w:val="231F20"/>
          <w:spacing w:val="-16"/>
          <w:w w:val="105"/>
        </w:rPr>
        <w:t> </w:t>
      </w:r>
      <w:r>
        <w:rPr>
          <w:color w:val="231F20"/>
          <w:w w:val="105"/>
        </w:rPr>
        <w:t>31</w:t>
      </w:r>
      <w:r>
        <w:rPr>
          <w:color w:val="231F20"/>
          <w:spacing w:val="-16"/>
          <w:w w:val="105"/>
        </w:rPr>
        <w:t> </w:t>
      </w:r>
      <w:r>
        <w:rPr>
          <w:color w:val="231F20"/>
          <w:w w:val="105"/>
        </w:rPr>
        <w:t>de</w:t>
      </w:r>
      <w:r>
        <w:rPr>
          <w:color w:val="231F20"/>
          <w:spacing w:val="-16"/>
          <w:w w:val="105"/>
        </w:rPr>
        <w:t> </w:t>
      </w:r>
      <w:r>
        <w:rPr>
          <w:color w:val="231F20"/>
          <w:w w:val="105"/>
        </w:rPr>
        <w:t>diciembre</w:t>
      </w:r>
      <w:r>
        <w:rPr>
          <w:color w:val="231F20"/>
          <w:spacing w:val="-16"/>
          <w:w w:val="105"/>
        </w:rPr>
        <w:t> </w:t>
      </w:r>
      <w:r>
        <w:rPr>
          <w:color w:val="231F20"/>
          <w:w w:val="105"/>
        </w:rPr>
        <w:t>de 2012,</w:t>
      </w:r>
      <w:r>
        <w:rPr>
          <w:color w:val="231F20"/>
          <w:spacing w:val="-24"/>
          <w:w w:val="105"/>
        </w:rPr>
        <w:t> </w:t>
      </w:r>
      <w:r>
        <w:rPr>
          <w:color w:val="231F20"/>
          <w:spacing w:val="5"/>
          <w:w w:val="105"/>
        </w:rPr>
        <w:t>totalizando</w:t>
      </w:r>
      <w:r>
        <w:rPr>
          <w:color w:val="231F20"/>
          <w:spacing w:val="-8"/>
          <w:w w:val="105"/>
        </w:rPr>
        <w:t> </w:t>
      </w:r>
      <w:r>
        <w:rPr>
          <w:color w:val="231F20"/>
          <w:spacing w:val="4"/>
          <w:w w:val="105"/>
        </w:rPr>
        <w:t>2322</w:t>
      </w:r>
      <w:r>
        <w:rPr>
          <w:color w:val="231F20"/>
          <w:spacing w:val="-8"/>
          <w:w w:val="105"/>
        </w:rPr>
        <w:t> </w:t>
      </w:r>
      <w:r>
        <w:rPr>
          <w:color w:val="231F20"/>
          <w:spacing w:val="5"/>
          <w:w w:val="105"/>
        </w:rPr>
        <w:t>observaciones</w:t>
      </w:r>
      <w:r>
        <w:rPr>
          <w:color w:val="231F20"/>
          <w:spacing w:val="-8"/>
          <w:w w:val="105"/>
        </w:rPr>
        <w:t> </w:t>
      </w:r>
      <w:r>
        <w:rPr>
          <w:color w:val="231F20"/>
          <w:spacing w:val="3"/>
          <w:w w:val="105"/>
        </w:rPr>
        <w:t>de</w:t>
      </w:r>
      <w:r>
        <w:rPr>
          <w:color w:val="231F20"/>
          <w:spacing w:val="-8"/>
          <w:w w:val="105"/>
        </w:rPr>
        <w:t> </w:t>
      </w:r>
      <w:r>
        <w:rPr>
          <w:color w:val="231F20"/>
          <w:spacing w:val="4"/>
          <w:w w:val="105"/>
        </w:rPr>
        <w:t>cada</w:t>
      </w:r>
      <w:r>
        <w:rPr>
          <w:color w:val="231F20"/>
          <w:spacing w:val="-8"/>
          <w:w w:val="105"/>
        </w:rPr>
        <w:t> </w:t>
      </w:r>
      <w:r>
        <w:rPr>
          <w:color w:val="231F20"/>
          <w:spacing w:val="4"/>
          <w:w w:val="105"/>
        </w:rPr>
        <w:t>serie</w:t>
      </w:r>
      <w:r>
        <w:rPr>
          <w:color w:val="231F20"/>
          <w:spacing w:val="-8"/>
          <w:w w:val="105"/>
        </w:rPr>
        <w:t> </w:t>
      </w:r>
      <w:r>
        <w:rPr>
          <w:color w:val="231F20"/>
          <w:spacing w:val="5"/>
          <w:w w:val="105"/>
        </w:rPr>
        <w:t>financiera.</w:t>
      </w:r>
      <w:r>
        <w:rPr>
          <w:color w:val="231F20"/>
          <w:spacing w:val="-13"/>
          <w:w w:val="105"/>
        </w:rPr>
        <w:t> </w:t>
      </w:r>
      <w:r>
        <w:rPr>
          <w:color w:val="231F20"/>
          <w:spacing w:val="3"/>
          <w:w w:val="105"/>
        </w:rPr>
        <w:t>El</w:t>
      </w:r>
      <w:r>
        <w:rPr>
          <w:color w:val="231F20"/>
          <w:spacing w:val="-8"/>
          <w:w w:val="105"/>
        </w:rPr>
        <w:t> </w:t>
      </w:r>
      <w:r>
        <w:rPr>
          <w:color w:val="231F20"/>
          <w:spacing w:val="4"/>
          <w:w w:val="105"/>
        </w:rPr>
        <w:t>ini- cio </w:t>
      </w:r>
      <w:r>
        <w:rPr>
          <w:color w:val="231F20"/>
          <w:spacing w:val="3"/>
          <w:w w:val="105"/>
        </w:rPr>
        <w:t>de la </w:t>
      </w:r>
      <w:r>
        <w:rPr>
          <w:color w:val="231F20"/>
          <w:w w:val="105"/>
        </w:rPr>
        <w:t>muestra está determinado por la disponibilidad de los datos y el</w:t>
      </w:r>
      <w:r>
        <w:rPr>
          <w:color w:val="231F20"/>
          <w:spacing w:val="-15"/>
          <w:w w:val="105"/>
        </w:rPr>
        <w:t> </w:t>
      </w:r>
      <w:r>
        <w:rPr>
          <w:color w:val="231F20"/>
          <w:w w:val="105"/>
        </w:rPr>
        <w:t>fin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muestra</w:t>
      </w:r>
      <w:r>
        <w:rPr>
          <w:color w:val="231F20"/>
          <w:spacing w:val="-15"/>
          <w:w w:val="105"/>
        </w:rPr>
        <w:t> </w:t>
      </w:r>
      <w:r>
        <w:rPr>
          <w:color w:val="231F20"/>
          <w:w w:val="105"/>
        </w:rPr>
        <w:t>corresponde</w:t>
      </w:r>
      <w:r>
        <w:rPr>
          <w:color w:val="231F20"/>
          <w:spacing w:val="-15"/>
          <w:w w:val="105"/>
        </w:rPr>
        <w:t> </w:t>
      </w:r>
      <w:r>
        <w:rPr>
          <w:color w:val="231F20"/>
          <w:w w:val="105"/>
        </w:rPr>
        <w:t>al</w:t>
      </w:r>
      <w:r>
        <w:rPr>
          <w:color w:val="231F20"/>
          <w:spacing w:val="-15"/>
          <w:w w:val="105"/>
        </w:rPr>
        <w:t> </w:t>
      </w:r>
      <w:r>
        <w:rPr>
          <w:color w:val="231F20"/>
          <w:w w:val="105"/>
        </w:rPr>
        <w:t>último</w:t>
      </w:r>
      <w:r>
        <w:rPr>
          <w:color w:val="231F20"/>
          <w:spacing w:val="-15"/>
          <w:w w:val="105"/>
        </w:rPr>
        <w:t> </w:t>
      </w:r>
      <w:r>
        <w:rPr>
          <w:color w:val="231F20"/>
          <w:w w:val="105"/>
        </w:rPr>
        <w:t>día</w:t>
      </w:r>
      <w:r>
        <w:rPr>
          <w:color w:val="231F20"/>
          <w:spacing w:val="-15"/>
          <w:w w:val="105"/>
        </w:rPr>
        <w:t> </w:t>
      </w:r>
      <w:r>
        <w:rPr>
          <w:color w:val="231F20"/>
          <w:w w:val="105"/>
        </w:rPr>
        <w:t>hábil</w:t>
      </w:r>
      <w:r>
        <w:rPr>
          <w:color w:val="231F20"/>
          <w:spacing w:val="-15"/>
          <w:w w:val="105"/>
        </w:rPr>
        <w:t> </w:t>
      </w:r>
      <w:r>
        <w:rPr>
          <w:color w:val="231F20"/>
          <w:w w:val="105"/>
        </w:rPr>
        <w:t>de</w:t>
      </w:r>
      <w:r>
        <w:rPr>
          <w:color w:val="231F20"/>
          <w:spacing w:val="-15"/>
          <w:w w:val="105"/>
        </w:rPr>
        <w:t> </w:t>
      </w:r>
      <w:r>
        <w:rPr>
          <w:color w:val="231F20"/>
          <w:w w:val="105"/>
        </w:rPr>
        <w:t>diciembre</w:t>
      </w:r>
      <w:r>
        <w:rPr>
          <w:color w:val="231F20"/>
          <w:spacing w:val="-15"/>
          <w:w w:val="105"/>
        </w:rPr>
        <w:t> </w:t>
      </w:r>
      <w:r>
        <w:rPr>
          <w:color w:val="231F20"/>
          <w:w w:val="105"/>
        </w:rPr>
        <w:t>de</w:t>
      </w:r>
      <w:r>
        <w:rPr>
          <w:color w:val="231F20"/>
          <w:spacing w:val="-15"/>
          <w:w w:val="105"/>
        </w:rPr>
        <w:t> </w:t>
      </w:r>
      <w:r>
        <w:rPr>
          <w:color w:val="231F20"/>
          <w:w w:val="105"/>
        </w:rPr>
        <w:t>2012, con</w:t>
      </w:r>
      <w:r>
        <w:rPr>
          <w:color w:val="231F20"/>
          <w:spacing w:val="-14"/>
          <w:w w:val="105"/>
        </w:rPr>
        <w:t> </w:t>
      </w:r>
      <w:r>
        <w:rPr>
          <w:color w:val="231F20"/>
          <w:w w:val="105"/>
        </w:rPr>
        <w:t>el</w:t>
      </w:r>
      <w:r>
        <w:rPr>
          <w:color w:val="231F20"/>
          <w:spacing w:val="-14"/>
          <w:w w:val="105"/>
        </w:rPr>
        <w:t> </w:t>
      </w:r>
      <w:r>
        <w:rPr>
          <w:color w:val="231F20"/>
          <w:w w:val="105"/>
        </w:rPr>
        <w:t>propósito</w:t>
      </w:r>
      <w:r>
        <w:rPr>
          <w:color w:val="231F20"/>
          <w:spacing w:val="-14"/>
          <w:w w:val="105"/>
        </w:rPr>
        <w:t> </w:t>
      </w:r>
      <w:r>
        <w:rPr>
          <w:color w:val="231F20"/>
          <w:w w:val="105"/>
        </w:rPr>
        <w:t>de</w:t>
      </w:r>
      <w:r>
        <w:rPr>
          <w:color w:val="231F20"/>
          <w:spacing w:val="-14"/>
          <w:w w:val="105"/>
        </w:rPr>
        <w:t> </w:t>
      </w:r>
      <w:r>
        <w:rPr>
          <w:color w:val="231F20"/>
          <w:w w:val="105"/>
        </w:rPr>
        <w:t>considerar</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de</w:t>
      </w:r>
      <w:r>
        <w:rPr>
          <w:color w:val="231F20"/>
          <w:spacing w:val="-14"/>
          <w:w w:val="105"/>
        </w:rPr>
        <w:t> </w:t>
      </w:r>
      <w:r>
        <w:rPr>
          <w:color w:val="231F20"/>
          <w:w w:val="105"/>
        </w:rPr>
        <w:t>alta</w:t>
      </w:r>
      <w:r>
        <w:rPr>
          <w:color w:val="231F20"/>
          <w:spacing w:val="-14"/>
          <w:w w:val="105"/>
        </w:rPr>
        <w:t> </w:t>
      </w:r>
      <w:r>
        <w:rPr>
          <w:color w:val="231F20"/>
          <w:w w:val="105"/>
        </w:rPr>
        <w:t>volatilidad</w:t>
      </w:r>
      <w:r>
        <w:rPr>
          <w:color w:val="231F20"/>
          <w:spacing w:val="-14"/>
          <w:w w:val="105"/>
        </w:rPr>
        <w:t> </w:t>
      </w:r>
      <w:r>
        <w:rPr>
          <w:color w:val="231F20"/>
          <w:w w:val="105"/>
        </w:rPr>
        <w:t>asociada</w:t>
      </w:r>
      <w:r>
        <w:rPr>
          <w:color w:val="231F20"/>
          <w:spacing w:val="-14"/>
          <w:w w:val="105"/>
        </w:rPr>
        <w:t> </w:t>
      </w:r>
      <w:r>
        <w:rPr>
          <w:color w:val="231F20"/>
          <w:w w:val="105"/>
        </w:rPr>
        <w:t>con la</w:t>
      </w:r>
      <w:r>
        <w:rPr>
          <w:color w:val="231F20"/>
          <w:spacing w:val="-24"/>
          <w:w w:val="105"/>
        </w:rPr>
        <w:t> </w:t>
      </w:r>
      <w:r>
        <w:rPr>
          <w:color w:val="231F20"/>
          <w:w w:val="105"/>
        </w:rPr>
        <w:t>crisis</w:t>
      </w:r>
      <w:r>
        <w:rPr>
          <w:color w:val="231F20"/>
          <w:spacing w:val="-24"/>
          <w:w w:val="105"/>
        </w:rPr>
        <w:t> </w:t>
      </w:r>
      <w:r>
        <w:rPr>
          <w:color w:val="231F20"/>
          <w:w w:val="105"/>
        </w:rPr>
        <w:t>financiera</w:t>
      </w:r>
      <w:r>
        <w:rPr>
          <w:color w:val="231F20"/>
          <w:spacing w:val="-24"/>
          <w:w w:val="105"/>
        </w:rPr>
        <w:t> </w:t>
      </w:r>
      <w:r>
        <w:rPr>
          <w:color w:val="231F20"/>
          <w:w w:val="105"/>
        </w:rPr>
        <w:t>global.</w:t>
      </w:r>
    </w:p>
    <w:p>
      <w:pPr>
        <w:pStyle w:val="BodyText"/>
        <w:spacing w:line="259" w:lineRule="auto"/>
        <w:ind w:left="115" w:right="105" w:firstLine="567"/>
        <w:jc w:val="both"/>
      </w:pPr>
      <w:r>
        <w:rPr>
          <w:color w:val="231F20"/>
          <w:spacing w:val="-4"/>
          <w:w w:val="105"/>
        </w:rPr>
        <w:t>Para</w:t>
      </w:r>
      <w:r>
        <w:rPr>
          <w:color w:val="231F20"/>
          <w:spacing w:val="-23"/>
          <w:w w:val="105"/>
        </w:rPr>
        <w:t> </w:t>
      </w:r>
      <w:r>
        <w:rPr>
          <w:color w:val="231F20"/>
          <w:w w:val="105"/>
        </w:rPr>
        <w:t>calibrar</w:t>
      </w:r>
      <w:r>
        <w:rPr>
          <w:color w:val="231F20"/>
          <w:spacing w:val="-23"/>
          <w:w w:val="105"/>
        </w:rPr>
        <w:t> </w:t>
      </w:r>
      <w:r>
        <w:rPr>
          <w:color w:val="231F20"/>
          <w:w w:val="105"/>
        </w:rPr>
        <w:t>los</w:t>
      </w:r>
      <w:r>
        <w:rPr>
          <w:color w:val="231F20"/>
          <w:spacing w:val="-23"/>
          <w:w w:val="105"/>
        </w:rPr>
        <w:t> </w:t>
      </w:r>
      <w:r>
        <w:rPr>
          <w:color w:val="231F20"/>
          <w:w w:val="105"/>
        </w:rPr>
        <w:t>modelos</w:t>
      </w:r>
      <w:r>
        <w:rPr>
          <w:color w:val="231F20"/>
          <w:spacing w:val="-23"/>
          <w:w w:val="105"/>
        </w:rPr>
        <w:t> </w:t>
      </w:r>
      <w:r>
        <w:rPr>
          <w:color w:val="231F20"/>
          <w:w w:val="105"/>
        </w:rPr>
        <w:t>de</w:t>
      </w:r>
      <w:r>
        <w:rPr>
          <w:color w:val="231F20"/>
          <w:spacing w:val="-23"/>
          <w:w w:val="105"/>
        </w:rPr>
        <w:t> </w:t>
      </w:r>
      <w:r>
        <w:rPr>
          <w:color w:val="231F20"/>
          <w:w w:val="105"/>
        </w:rPr>
        <w:t>opciones</w:t>
      </w:r>
      <w:r>
        <w:rPr>
          <w:color w:val="231F20"/>
          <w:spacing w:val="-23"/>
          <w:w w:val="105"/>
        </w:rPr>
        <w:t> </w:t>
      </w:r>
      <w:r>
        <w:rPr>
          <w:color w:val="231F20"/>
          <w:w w:val="105"/>
        </w:rPr>
        <w:t>se</w:t>
      </w:r>
      <w:r>
        <w:rPr>
          <w:color w:val="231F20"/>
          <w:spacing w:val="-23"/>
          <w:w w:val="105"/>
        </w:rPr>
        <w:t> </w:t>
      </w:r>
      <w:r>
        <w:rPr>
          <w:color w:val="231F20"/>
          <w:w w:val="105"/>
        </w:rPr>
        <w:t>cuenta</w:t>
      </w:r>
      <w:r>
        <w:rPr>
          <w:color w:val="231F20"/>
          <w:spacing w:val="-23"/>
          <w:w w:val="105"/>
        </w:rPr>
        <w:t> </w:t>
      </w:r>
      <w:r>
        <w:rPr>
          <w:color w:val="231F20"/>
          <w:w w:val="105"/>
        </w:rPr>
        <w:t>con</w:t>
      </w:r>
      <w:r>
        <w:rPr>
          <w:color w:val="231F20"/>
          <w:spacing w:val="-23"/>
          <w:w w:val="105"/>
        </w:rPr>
        <w:t> </w:t>
      </w:r>
      <w:r>
        <w:rPr>
          <w:color w:val="231F20"/>
          <w:w w:val="105"/>
        </w:rPr>
        <w:t>precios</w:t>
      </w:r>
      <w:r>
        <w:rPr>
          <w:color w:val="231F20"/>
          <w:spacing w:val="-23"/>
          <w:w w:val="105"/>
        </w:rPr>
        <w:t> </w:t>
      </w:r>
      <w:r>
        <w:rPr>
          <w:color w:val="231F20"/>
          <w:w w:val="105"/>
        </w:rPr>
        <w:t>de</w:t>
      </w:r>
      <w:r>
        <w:rPr>
          <w:color w:val="231F20"/>
          <w:spacing w:val="-23"/>
          <w:w w:val="105"/>
        </w:rPr>
        <w:t> </w:t>
      </w:r>
      <w:r>
        <w:rPr>
          <w:color w:val="231F20"/>
          <w:w w:val="105"/>
        </w:rPr>
        <w:t>cie- rre</w:t>
      </w:r>
      <w:r>
        <w:rPr>
          <w:color w:val="231F20"/>
          <w:spacing w:val="-9"/>
          <w:w w:val="105"/>
        </w:rPr>
        <w:t> </w:t>
      </w:r>
      <w:r>
        <w:rPr>
          <w:color w:val="231F20"/>
          <w:w w:val="105"/>
        </w:rPr>
        <w:t>diarios</w:t>
      </w:r>
      <w:r>
        <w:rPr>
          <w:color w:val="231F20"/>
          <w:spacing w:val="-9"/>
          <w:w w:val="105"/>
        </w:rPr>
        <w:t> </w:t>
      </w:r>
      <w:r>
        <w:rPr>
          <w:color w:val="231F20"/>
          <w:w w:val="105"/>
        </w:rPr>
        <w:t>del</w:t>
      </w:r>
      <w:r>
        <w:rPr>
          <w:color w:val="231F20"/>
          <w:spacing w:val="-9"/>
          <w:w w:val="105"/>
        </w:rPr>
        <w:t> </w:t>
      </w:r>
      <w:r>
        <w:rPr>
          <w:color w:val="231F20"/>
          <w:w w:val="105"/>
        </w:rPr>
        <w:t>mercado</w:t>
      </w:r>
      <w:r>
        <w:rPr>
          <w:color w:val="231F20"/>
          <w:spacing w:val="-9"/>
          <w:w w:val="105"/>
        </w:rPr>
        <w:t> </w:t>
      </w:r>
      <w:r>
        <w:rPr>
          <w:color w:val="231F20"/>
          <w:w w:val="105"/>
        </w:rPr>
        <w:t>de</w:t>
      </w:r>
      <w:r>
        <w:rPr>
          <w:color w:val="231F20"/>
          <w:spacing w:val="-9"/>
          <w:w w:val="105"/>
        </w:rPr>
        <w:t> </w:t>
      </w:r>
      <w:r>
        <w:rPr>
          <w:color w:val="231F20"/>
          <w:w w:val="105"/>
        </w:rPr>
        <w:t>opciones</w:t>
      </w:r>
      <w:r>
        <w:rPr>
          <w:color w:val="231F20"/>
          <w:spacing w:val="-9"/>
          <w:w w:val="105"/>
        </w:rPr>
        <w:t> </w:t>
      </w:r>
      <w:r>
        <w:rPr>
          <w:i/>
          <w:color w:val="231F20"/>
          <w:w w:val="105"/>
        </w:rPr>
        <w:t>call</w:t>
      </w:r>
      <w:r>
        <w:rPr>
          <w:i/>
          <w:color w:val="231F20"/>
          <w:spacing w:val="-9"/>
          <w:w w:val="105"/>
        </w:rPr>
        <w:t> </w:t>
      </w:r>
      <w:r>
        <w:rPr>
          <w:color w:val="231F20"/>
          <w:w w:val="105"/>
        </w:rPr>
        <w:t>y</w:t>
      </w:r>
      <w:r>
        <w:rPr>
          <w:color w:val="231F20"/>
          <w:spacing w:val="-9"/>
          <w:w w:val="105"/>
        </w:rPr>
        <w:t> </w:t>
      </w:r>
      <w:r>
        <w:rPr>
          <w:i/>
          <w:color w:val="231F20"/>
          <w:w w:val="105"/>
        </w:rPr>
        <w:t>put</w:t>
      </w:r>
      <w:r>
        <w:rPr>
          <w:i/>
          <w:color w:val="231F20"/>
          <w:spacing w:val="-9"/>
          <w:w w:val="105"/>
        </w:rPr>
        <w:t> </w:t>
      </w:r>
      <w:r>
        <w:rPr>
          <w:color w:val="231F20"/>
          <w:w w:val="105"/>
        </w:rPr>
        <w:t>sobre</w:t>
      </w:r>
      <w:r>
        <w:rPr>
          <w:color w:val="231F20"/>
          <w:spacing w:val="-9"/>
          <w:w w:val="105"/>
        </w:rPr>
        <w:t> </w:t>
      </w:r>
      <w:r>
        <w:rPr>
          <w:color w:val="231F20"/>
          <w:w w:val="105"/>
        </w:rPr>
        <w:t>tipo</w:t>
      </w:r>
      <w:r>
        <w:rPr>
          <w:color w:val="231F20"/>
          <w:spacing w:val="-9"/>
          <w:w w:val="105"/>
        </w:rPr>
        <w:t> </w:t>
      </w:r>
      <w:r>
        <w:rPr>
          <w:color w:val="231F20"/>
          <w:w w:val="105"/>
        </w:rPr>
        <w:t>de</w:t>
      </w:r>
      <w:r>
        <w:rPr>
          <w:color w:val="231F20"/>
          <w:spacing w:val="-9"/>
          <w:w w:val="105"/>
        </w:rPr>
        <w:t> </w:t>
      </w:r>
      <w:r>
        <w:rPr>
          <w:color w:val="231F20"/>
          <w:w w:val="105"/>
        </w:rPr>
        <w:t>cambio</w:t>
      </w:r>
      <w:r>
        <w:rPr>
          <w:color w:val="231F20"/>
          <w:spacing w:val="-9"/>
          <w:w w:val="105"/>
        </w:rPr>
        <w:t> </w:t>
      </w:r>
      <w:r>
        <w:rPr>
          <w:color w:val="231F20"/>
          <w:w w:val="105"/>
        </w:rPr>
        <w:t>peso mexicano-dólar estadounidense (mx/usd, en adelante), que registra el mercado</w:t>
      </w:r>
      <w:r>
        <w:rPr>
          <w:color w:val="231F20"/>
          <w:spacing w:val="-18"/>
          <w:w w:val="105"/>
        </w:rPr>
        <w:t> </w:t>
      </w:r>
      <w:r>
        <w:rPr>
          <w:color w:val="231F20"/>
          <w:w w:val="105"/>
        </w:rPr>
        <w:t>mexicano</w:t>
      </w:r>
      <w:r>
        <w:rPr>
          <w:color w:val="231F20"/>
          <w:spacing w:val="-18"/>
          <w:w w:val="105"/>
        </w:rPr>
        <w:t> </w:t>
      </w:r>
      <w:r>
        <w:rPr>
          <w:color w:val="231F20"/>
          <w:w w:val="105"/>
        </w:rPr>
        <w:t>de</w:t>
      </w:r>
      <w:r>
        <w:rPr>
          <w:color w:val="231F20"/>
          <w:spacing w:val="-18"/>
          <w:w w:val="105"/>
        </w:rPr>
        <w:t> </w:t>
      </w:r>
      <w:r>
        <w:rPr>
          <w:color w:val="231F20"/>
          <w:w w:val="105"/>
        </w:rPr>
        <w:t>derivados</w:t>
      </w:r>
      <w:r>
        <w:rPr>
          <w:color w:val="231F20"/>
          <w:spacing w:val="-18"/>
          <w:w w:val="105"/>
        </w:rPr>
        <w:t> </w:t>
      </w:r>
      <w:r>
        <w:rPr>
          <w:color w:val="231F20"/>
          <w:w w:val="105"/>
        </w:rPr>
        <w:t>(MexDer)</w:t>
      </w:r>
      <w:r>
        <w:rPr>
          <w:color w:val="231F20"/>
          <w:spacing w:val="-18"/>
          <w:w w:val="105"/>
        </w:rPr>
        <w:t> </w:t>
      </w:r>
      <w:r>
        <w:rPr>
          <w:color w:val="231F20"/>
          <w:w w:val="105"/>
        </w:rPr>
        <w:t>de</w:t>
      </w:r>
      <w:r>
        <w:rPr>
          <w:color w:val="231F20"/>
          <w:spacing w:val="-18"/>
          <w:w w:val="105"/>
        </w:rPr>
        <w:t> </w:t>
      </w:r>
      <w:r>
        <w:rPr>
          <w:color w:val="231F20"/>
          <w:w w:val="105"/>
        </w:rPr>
        <w:t>lunes</w:t>
      </w:r>
      <w:r>
        <w:rPr>
          <w:color w:val="231F20"/>
          <w:spacing w:val="-18"/>
          <w:w w:val="105"/>
        </w:rPr>
        <w:t> </w:t>
      </w:r>
      <w:r>
        <w:rPr>
          <w:color w:val="231F20"/>
          <w:w w:val="105"/>
        </w:rPr>
        <w:t>a</w:t>
      </w:r>
      <w:r>
        <w:rPr>
          <w:color w:val="231F20"/>
          <w:spacing w:val="-18"/>
          <w:w w:val="105"/>
        </w:rPr>
        <w:t> </w:t>
      </w:r>
      <w:r>
        <w:rPr>
          <w:color w:val="231F20"/>
          <w:w w:val="105"/>
        </w:rPr>
        <w:t>viernes</w:t>
      </w:r>
      <w:r>
        <w:rPr>
          <w:color w:val="231F20"/>
          <w:spacing w:val="-18"/>
          <w:w w:val="105"/>
        </w:rPr>
        <w:t> </w:t>
      </w:r>
      <w:r>
        <w:rPr>
          <w:color w:val="231F20"/>
          <w:w w:val="105"/>
        </w:rPr>
        <w:t>con</w:t>
      </w:r>
      <w:r>
        <w:rPr>
          <w:color w:val="231F20"/>
          <w:spacing w:val="-18"/>
          <w:w w:val="105"/>
        </w:rPr>
        <w:t> </w:t>
      </w:r>
      <w:r>
        <w:rPr>
          <w:color w:val="231F20"/>
          <w:w w:val="105"/>
        </w:rPr>
        <w:t>fechas de vencimiento cada tres meses (14 de marzo, 13 de junio, 19 de sep- tiembre y 19 de diciembre), considerando también el precio de ejercicio (</w:t>
      </w:r>
      <w:r>
        <w:rPr>
          <w:i/>
          <w:color w:val="231F20"/>
          <w:w w:val="105"/>
        </w:rPr>
        <w:t>strike</w:t>
      </w:r>
      <w:r>
        <w:rPr>
          <w:color w:val="231F20"/>
          <w:w w:val="105"/>
        </w:rPr>
        <w:t>)</w:t>
      </w:r>
      <w:r>
        <w:rPr>
          <w:color w:val="231F20"/>
          <w:spacing w:val="-26"/>
          <w:w w:val="105"/>
        </w:rPr>
        <w:t> </w:t>
      </w:r>
      <w:r>
        <w:rPr>
          <w:color w:val="231F20"/>
          <w:w w:val="105"/>
        </w:rPr>
        <w:t>y</w:t>
      </w:r>
      <w:r>
        <w:rPr>
          <w:color w:val="231F20"/>
          <w:spacing w:val="-26"/>
          <w:w w:val="105"/>
        </w:rPr>
        <w:t> </w:t>
      </w:r>
      <w:r>
        <w:rPr>
          <w:color w:val="231F20"/>
          <w:w w:val="105"/>
        </w:rPr>
        <w:t>de</w:t>
      </w:r>
      <w:r>
        <w:rPr>
          <w:color w:val="231F20"/>
          <w:spacing w:val="-26"/>
          <w:w w:val="105"/>
        </w:rPr>
        <w:t> </w:t>
      </w:r>
      <w:r>
        <w:rPr>
          <w:color w:val="231F20"/>
          <w:w w:val="105"/>
        </w:rPr>
        <w:t>contado</w:t>
      </w:r>
      <w:r>
        <w:rPr>
          <w:color w:val="231F20"/>
          <w:spacing w:val="-26"/>
          <w:w w:val="105"/>
        </w:rPr>
        <w:t> </w:t>
      </w:r>
      <w:r>
        <w:rPr>
          <w:color w:val="231F20"/>
          <w:w w:val="105"/>
        </w:rPr>
        <w:t>(</w:t>
      </w:r>
      <w:r>
        <w:rPr>
          <w:i/>
          <w:color w:val="231F20"/>
          <w:w w:val="105"/>
        </w:rPr>
        <w:t>spot</w:t>
      </w:r>
      <w:r>
        <w:rPr>
          <w:color w:val="231F20"/>
          <w:w w:val="105"/>
        </w:rPr>
        <w:t>).</w:t>
      </w:r>
    </w:p>
    <w:p>
      <w:pPr>
        <w:spacing w:before="162"/>
        <w:ind w:left="115" w:right="0" w:firstLine="0"/>
        <w:jc w:val="both"/>
        <w:rPr>
          <w:i/>
          <w:sz w:val="21"/>
        </w:rPr>
      </w:pPr>
      <w:r>
        <w:rPr>
          <w:i/>
          <w:color w:val="231F20"/>
          <w:w w:val="105"/>
          <w:sz w:val="21"/>
        </w:rPr>
        <w:t>Análisis preliminar de los datos</w:t>
      </w:r>
    </w:p>
    <w:p>
      <w:pPr>
        <w:pStyle w:val="BodyText"/>
        <w:spacing w:before="4"/>
        <w:rPr>
          <w:i/>
          <w:sz w:val="16"/>
        </w:rPr>
      </w:pPr>
    </w:p>
    <w:p>
      <w:pPr>
        <w:pStyle w:val="BodyText"/>
        <w:spacing w:line="259" w:lineRule="auto"/>
        <w:ind w:left="115" w:right="101"/>
        <w:jc w:val="both"/>
      </w:pPr>
      <w:r>
        <w:rPr>
          <w:color w:val="231F20"/>
          <w:w w:val="105"/>
        </w:rPr>
        <w:t>Reconocer que el tipo de cambio está determinado por varios factores económicos,</w:t>
      </w:r>
      <w:r>
        <w:rPr>
          <w:color w:val="231F20"/>
          <w:spacing w:val="-31"/>
          <w:w w:val="105"/>
        </w:rPr>
        <w:t> </w:t>
      </w:r>
      <w:r>
        <w:rPr>
          <w:color w:val="231F20"/>
          <w:w w:val="105"/>
        </w:rPr>
        <w:t>entre</w:t>
      </w:r>
      <w:r>
        <w:rPr>
          <w:color w:val="231F20"/>
          <w:spacing w:val="-25"/>
          <w:w w:val="105"/>
        </w:rPr>
        <w:t> </w:t>
      </w:r>
      <w:r>
        <w:rPr>
          <w:color w:val="231F20"/>
          <w:w w:val="105"/>
        </w:rPr>
        <w:t>ellos</w:t>
      </w:r>
      <w:r>
        <w:rPr>
          <w:color w:val="231F20"/>
          <w:spacing w:val="-25"/>
          <w:w w:val="105"/>
        </w:rPr>
        <w:t> </w:t>
      </w:r>
      <w:r>
        <w:rPr>
          <w:color w:val="231F20"/>
          <w:w w:val="105"/>
        </w:rPr>
        <w:t>la</w:t>
      </w:r>
      <w:r>
        <w:rPr>
          <w:color w:val="231F20"/>
          <w:spacing w:val="-25"/>
          <w:w w:val="105"/>
        </w:rPr>
        <w:t> </w:t>
      </w:r>
      <w:r>
        <w:rPr>
          <w:color w:val="231F20"/>
          <w:w w:val="105"/>
        </w:rPr>
        <w:t>tasa</w:t>
      </w:r>
      <w:r>
        <w:rPr>
          <w:color w:val="231F20"/>
          <w:spacing w:val="-25"/>
          <w:w w:val="105"/>
        </w:rPr>
        <w:t> </w:t>
      </w:r>
      <w:r>
        <w:rPr>
          <w:color w:val="231F20"/>
          <w:w w:val="105"/>
        </w:rPr>
        <w:t>de</w:t>
      </w:r>
      <w:r>
        <w:rPr>
          <w:color w:val="231F20"/>
          <w:spacing w:val="-25"/>
          <w:w w:val="105"/>
        </w:rPr>
        <w:t> </w:t>
      </w:r>
      <w:r>
        <w:rPr>
          <w:color w:val="231F20"/>
          <w:w w:val="105"/>
        </w:rPr>
        <w:t>interés,</w:t>
      </w:r>
      <w:r>
        <w:rPr>
          <w:color w:val="231F20"/>
          <w:spacing w:val="-31"/>
          <w:w w:val="105"/>
        </w:rPr>
        <w:t> </w:t>
      </w:r>
      <w:r>
        <w:rPr>
          <w:color w:val="231F20"/>
          <w:w w:val="105"/>
        </w:rPr>
        <w:t>ha</w:t>
      </w:r>
      <w:r>
        <w:rPr>
          <w:color w:val="231F20"/>
          <w:spacing w:val="-25"/>
          <w:w w:val="105"/>
        </w:rPr>
        <w:t> </w:t>
      </w:r>
      <w:r>
        <w:rPr>
          <w:color w:val="231F20"/>
          <w:w w:val="105"/>
        </w:rPr>
        <w:t>generado</w:t>
      </w:r>
      <w:r>
        <w:rPr>
          <w:color w:val="231F20"/>
          <w:spacing w:val="-25"/>
          <w:w w:val="105"/>
        </w:rPr>
        <w:t> </w:t>
      </w:r>
      <w:r>
        <w:rPr>
          <w:color w:val="231F20"/>
          <w:w w:val="105"/>
        </w:rPr>
        <w:t>y</w:t>
      </w:r>
      <w:r>
        <w:rPr>
          <w:color w:val="231F20"/>
          <w:spacing w:val="-25"/>
          <w:w w:val="105"/>
        </w:rPr>
        <w:t> </w:t>
      </w:r>
      <w:r>
        <w:rPr>
          <w:color w:val="231F20"/>
          <w:w w:val="105"/>
        </w:rPr>
        <w:t>despertado</w:t>
      </w:r>
      <w:r>
        <w:rPr>
          <w:color w:val="231F20"/>
          <w:spacing w:val="-25"/>
          <w:w w:val="105"/>
        </w:rPr>
        <w:t> </w:t>
      </w:r>
      <w:r>
        <w:rPr>
          <w:color w:val="231F20"/>
          <w:w w:val="105"/>
        </w:rPr>
        <w:t>gran preocupación</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toma</w:t>
      </w:r>
      <w:r>
        <w:rPr>
          <w:color w:val="231F20"/>
          <w:spacing w:val="-17"/>
          <w:w w:val="105"/>
        </w:rPr>
        <w:t> </w:t>
      </w:r>
      <w:r>
        <w:rPr>
          <w:color w:val="231F20"/>
          <w:w w:val="105"/>
        </w:rPr>
        <w:t>de</w:t>
      </w:r>
      <w:r>
        <w:rPr>
          <w:color w:val="231F20"/>
          <w:spacing w:val="-17"/>
          <w:w w:val="105"/>
        </w:rPr>
        <w:t> </w:t>
      </w:r>
      <w:r>
        <w:rPr>
          <w:color w:val="231F20"/>
          <w:w w:val="105"/>
        </w:rPr>
        <w:t>decisiones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administradores</w:t>
      </w:r>
      <w:r>
        <w:rPr>
          <w:color w:val="231F20"/>
          <w:spacing w:val="-17"/>
          <w:w w:val="105"/>
        </w:rPr>
        <w:t> </w:t>
      </w:r>
      <w:r>
        <w:rPr>
          <w:color w:val="231F20"/>
          <w:w w:val="105"/>
        </w:rPr>
        <w:t>de</w:t>
      </w:r>
      <w:r>
        <w:rPr>
          <w:color w:val="231F20"/>
          <w:spacing w:val="-17"/>
          <w:w w:val="105"/>
        </w:rPr>
        <w:t> </w:t>
      </w:r>
      <w:r>
        <w:rPr>
          <w:color w:val="231F20"/>
          <w:w w:val="105"/>
        </w:rPr>
        <w:t>riesgo, </w:t>
      </w:r>
      <w:r>
        <w:rPr>
          <w:color w:val="231F20"/>
        </w:rPr>
        <w:t>inversionistas, agentes económicos y analistas</w:t>
      </w:r>
      <w:r>
        <w:rPr>
          <w:color w:val="231F20"/>
          <w:spacing w:val="48"/>
        </w:rPr>
        <w:t> </w:t>
      </w:r>
      <w:r>
        <w:rPr>
          <w:color w:val="231F20"/>
        </w:rPr>
        <w:t>financieros.</w:t>
      </w:r>
    </w:p>
    <w:p>
      <w:pPr>
        <w:pStyle w:val="BodyText"/>
        <w:spacing w:line="259" w:lineRule="auto"/>
        <w:ind w:left="115" w:right="106" w:firstLine="567"/>
        <w:jc w:val="both"/>
      </w:pPr>
      <w:r>
        <w:rPr>
          <w:color w:val="231F20"/>
          <w:w w:val="105"/>
        </w:rPr>
        <w:t>La figura 1 muestra una tendencia dinámica del tipo de cambio y las tasas de interés libre de riesgo durante el periodo de estudio. Como puede</w:t>
      </w:r>
      <w:r>
        <w:rPr>
          <w:color w:val="231F20"/>
          <w:spacing w:val="-10"/>
          <w:w w:val="105"/>
        </w:rPr>
        <w:t> </w:t>
      </w:r>
      <w:r>
        <w:rPr>
          <w:color w:val="231F20"/>
          <w:w w:val="105"/>
        </w:rPr>
        <w:t>verse</w:t>
      </w:r>
      <w:r>
        <w:rPr>
          <w:color w:val="231F20"/>
          <w:spacing w:val="-10"/>
          <w:w w:val="105"/>
        </w:rPr>
        <w:t> </w:t>
      </w:r>
      <w:r>
        <w:rPr>
          <w:color w:val="231F20"/>
          <w:w w:val="105"/>
        </w:rPr>
        <w:t>existen</w:t>
      </w:r>
      <w:r>
        <w:rPr>
          <w:color w:val="231F20"/>
          <w:spacing w:val="-10"/>
          <w:w w:val="105"/>
        </w:rPr>
        <w:t> </w:t>
      </w:r>
      <w:r>
        <w:rPr>
          <w:color w:val="231F20"/>
          <w:w w:val="105"/>
        </w:rPr>
        <w:t>épocas</w:t>
      </w:r>
      <w:r>
        <w:rPr>
          <w:color w:val="231F20"/>
          <w:spacing w:val="-10"/>
          <w:w w:val="105"/>
        </w:rPr>
        <w:t> </w:t>
      </w:r>
      <w:r>
        <w:rPr>
          <w:color w:val="231F20"/>
          <w:w w:val="105"/>
        </w:rPr>
        <w:t>de</w:t>
      </w:r>
      <w:r>
        <w:rPr>
          <w:color w:val="231F20"/>
          <w:spacing w:val="-10"/>
          <w:w w:val="105"/>
        </w:rPr>
        <w:t> </w:t>
      </w:r>
      <w:r>
        <w:rPr>
          <w:color w:val="231F20"/>
          <w:w w:val="105"/>
        </w:rPr>
        <w:t>alta</w:t>
      </w:r>
      <w:r>
        <w:rPr>
          <w:color w:val="231F20"/>
          <w:spacing w:val="-10"/>
          <w:w w:val="105"/>
        </w:rPr>
        <w:t> </w:t>
      </w:r>
      <w:r>
        <w:rPr>
          <w:color w:val="231F20"/>
          <w:w w:val="105"/>
        </w:rPr>
        <w:t>volatilidad</w:t>
      </w:r>
      <w:r>
        <w:rPr>
          <w:color w:val="231F20"/>
          <w:spacing w:val="-10"/>
          <w:w w:val="105"/>
        </w:rPr>
        <w:t> </w:t>
      </w:r>
      <w:r>
        <w:rPr>
          <w:color w:val="231F20"/>
          <w:w w:val="105"/>
        </w:rPr>
        <w:t>para</w:t>
      </w:r>
      <w:r>
        <w:rPr>
          <w:color w:val="231F20"/>
          <w:spacing w:val="-10"/>
          <w:w w:val="105"/>
        </w:rPr>
        <w:t> </w:t>
      </w:r>
      <w:r>
        <w:rPr>
          <w:color w:val="231F20"/>
          <w:w w:val="105"/>
        </w:rPr>
        <w:t>ambas</w:t>
      </w:r>
      <w:r>
        <w:rPr>
          <w:color w:val="231F20"/>
          <w:spacing w:val="-10"/>
          <w:w w:val="105"/>
        </w:rPr>
        <w:t> </w:t>
      </w:r>
      <w:r>
        <w:rPr>
          <w:color w:val="231F20"/>
          <w:w w:val="105"/>
        </w:rPr>
        <w:t>variables</w:t>
      </w:r>
      <w:r>
        <w:rPr>
          <w:color w:val="231F20"/>
          <w:spacing w:val="-10"/>
          <w:w w:val="105"/>
        </w:rPr>
        <w:t> </w:t>
      </w:r>
      <w:r>
        <w:rPr>
          <w:color w:val="231F20"/>
          <w:w w:val="105"/>
        </w:rPr>
        <w:t>de- bido</w:t>
      </w:r>
      <w:r>
        <w:rPr>
          <w:color w:val="231F20"/>
          <w:spacing w:val="-8"/>
          <w:w w:val="105"/>
        </w:rPr>
        <w:t> </w:t>
      </w:r>
      <w:r>
        <w:rPr>
          <w:color w:val="231F20"/>
          <w:w w:val="105"/>
        </w:rPr>
        <w:t>a</w:t>
      </w:r>
      <w:r>
        <w:rPr>
          <w:color w:val="231F20"/>
          <w:spacing w:val="-8"/>
          <w:w w:val="105"/>
        </w:rPr>
        <w:t> </w:t>
      </w:r>
      <w:r>
        <w:rPr>
          <w:color w:val="231F20"/>
          <w:w w:val="105"/>
        </w:rPr>
        <w:t>procesos</w:t>
      </w:r>
      <w:r>
        <w:rPr>
          <w:color w:val="231F20"/>
          <w:spacing w:val="-8"/>
          <w:w w:val="105"/>
        </w:rPr>
        <w:t> </w:t>
      </w:r>
      <w:r>
        <w:rPr>
          <w:color w:val="231F20"/>
          <w:w w:val="105"/>
        </w:rPr>
        <w:t>de</w:t>
      </w:r>
      <w:r>
        <w:rPr>
          <w:color w:val="231F20"/>
          <w:spacing w:val="-8"/>
          <w:w w:val="105"/>
        </w:rPr>
        <w:t> </w:t>
      </w:r>
      <w:r>
        <w:rPr>
          <w:color w:val="231F20"/>
          <w:w w:val="105"/>
        </w:rPr>
        <w:t>crisis</w:t>
      </w:r>
      <w:r>
        <w:rPr>
          <w:color w:val="231F20"/>
          <w:spacing w:val="-8"/>
          <w:w w:val="105"/>
        </w:rPr>
        <w:t> </w:t>
      </w:r>
      <w:r>
        <w:rPr>
          <w:color w:val="231F20"/>
          <w:w w:val="105"/>
        </w:rPr>
        <w:t>financieras</w:t>
      </w:r>
      <w:r>
        <w:rPr>
          <w:color w:val="231F20"/>
          <w:spacing w:val="-8"/>
          <w:w w:val="105"/>
        </w:rPr>
        <w:t> </w:t>
      </w:r>
      <w:r>
        <w:rPr>
          <w:color w:val="231F20"/>
          <w:w w:val="105"/>
        </w:rPr>
        <w:t>que</w:t>
      </w:r>
      <w:r>
        <w:rPr>
          <w:color w:val="231F20"/>
          <w:spacing w:val="-8"/>
          <w:w w:val="105"/>
        </w:rPr>
        <w:t> </w:t>
      </w:r>
      <w:r>
        <w:rPr>
          <w:color w:val="231F20"/>
          <w:w w:val="105"/>
        </w:rPr>
        <w:t>afectan</w:t>
      </w:r>
      <w:r>
        <w:rPr>
          <w:color w:val="231F20"/>
          <w:spacing w:val="-8"/>
          <w:w w:val="105"/>
        </w:rPr>
        <w:t> </w:t>
      </w:r>
      <w:r>
        <w:rPr>
          <w:color w:val="231F20"/>
          <w:w w:val="105"/>
        </w:rPr>
        <w:t>en</w:t>
      </w:r>
      <w:r>
        <w:rPr>
          <w:color w:val="231F20"/>
          <w:spacing w:val="-8"/>
          <w:w w:val="105"/>
        </w:rPr>
        <w:t> </w:t>
      </w:r>
      <w:r>
        <w:rPr>
          <w:color w:val="231F20"/>
          <w:w w:val="105"/>
        </w:rPr>
        <w:t>mayor</w:t>
      </w:r>
      <w:r>
        <w:rPr>
          <w:color w:val="231F20"/>
          <w:spacing w:val="-8"/>
          <w:w w:val="105"/>
        </w:rPr>
        <w:t> </w:t>
      </w:r>
      <w:r>
        <w:rPr>
          <w:color w:val="231F20"/>
          <w:w w:val="105"/>
        </w:rPr>
        <w:t>medida</w:t>
      </w:r>
      <w:r>
        <w:rPr>
          <w:color w:val="231F20"/>
          <w:spacing w:val="-8"/>
          <w:w w:val="105"/>
        </w:rPr>
        <w:t> </w:t>
      </w:r>
      <w:r>
        <w:rPr>
          <w:color w:val="231F20"/>
          <w:w w:val="105"/>
        </w:rPr>
        <w:t>a</w:t>
      </w:r>
      <w:r>
        <w:rPr>
          <w:color w:val="231F20"/>
          <w:spacing w:val="-8"/>
          <w:w w:val="105"/>
        </w:rPr>
        <w:t> </w:t>
      </w:r>
      <w:r>
        <w:rPr>
          <w:color w:val="231F20"/>
          <w:w w:val="105"/>
        </w:rPr>
        <w:t>las </w:t>
      </w:r>
      <w:r>
        <w:rPr>
          <w:color w:val="231F20"/>
        </w:rPr>
        <w:t>economías</w:t>
      </w:r>
      <w:r>
        <w:rPr>
          <w:color w:val="231F20"/>
          <w:spacing w:val="53"/>
        </w:rPr>
        <w:t> </w:t>
      </w:r>
      <w:r>
        <w:rPr>
          <w:color w:val="231F20"/>
        </w:rPr>
        <w:t>emergentes.</w:t>
      </w:r>
    </w:p>
    <w:p>
      <w:pPr>
        <w:pStyle w:val="BodyText"/>
        <w:spacing w:before="7"/>
        <w:rPr>
          <w:sz w:val="23"/>
        </w:rPr>
      </w:pPr>
    </w:p>
    <w:p>
      <w:pPr>
        <w:spacing w:before="0"/>
        <w:ind w:left="890" w:right="0" w:firstLine="0"/>
        <w:jc w:val="left"/>
        <w:rPr>
          <w:sz w:val="18"/>
        </w:rPr>
      </w:pPr>
      <w:r>
        <w:rPr/>
        <w:drawing>
          <wp:anchor distT="0" distB="0" distL="0" distR="0" allowOverlap="1" layoutInCell="1" locked="0" behindDoc="0" simplePos="0" relativeHeight="7672">
            <wp:simplePos x="0" y="0"/>
            <wp:positionH relativeFrom="page">
              <wp:posOffset>1284617</wp:posOffset>
            </wp:positionH>
            <wp:positionV relativeFrom="paragraph">
              <wp:posOffset>218902</wp:posOffset>
            </wp:positionV>
            <wp:extent cx="3458314" cy="1911095"/>
            <wp:effectExtent l="0" t="0" r="0" b="0"/>
            <wp:wrapTopAndBottom/>
            <wp:docPr id="85" name="image89.jpeg" descr=""/>
            <wp:cNvGraphicFramePr>
              <a:graphicFrameLocks noChangeAspect="1"/>
            </wp:cNvGraphicFramePr>
            <a:graphic>
              <a:graphicData uri="http://schemas.openxmlformats.org/drawingml/2006/picture">
                <pic:pic>
                  <pic:nvPicPr>
                    <pic:cNvPr id="86" name="image89.jpeg"/>
                    <pic:cNvPicPr/>
                  </pic:nvPicPr>
                  <pic:blipFill>
                    <a:blip r:embed="rId113" cstate="print"/>
                    <a:stretch>
                      <a:fillRect/>
                    </a:stretch>
                  </pic:blipFill>
                  <pic:spPr>
                    <a:xfrm>
                      <a:off x="0" y="0"/>
                      <a:ext cx="3458314" cy="1911095"/>
                    </a:xfrm>
                    <a:prstGeom prst="rect">
                      <a:avLst/>
                    </a:prstGeom>
                  </pic:spPr>
                </pic:pic>
              </a:graphicData>
            </a:graphic>
          </wp:anchor>
        </w:drawing>
      </w:r>
      <w:r>
        <w:rPr>
          <w:color w:val="231F20"/>
          <w:w w:val="105"/>
          <w:sz w:val="18"/>
        </w:rPr>
        <w:t>Figura 1. Tipo de cambio mx/usd y tasas de interés libre de riesgo</w:t>
      </w:r>
    </w:p>
    <w:p>
      <w:pPr>
        <w:spacing w:before="87"/>
        <w:ind w:left="115" w:right="0" w:firstLine="0"/>
        <w:jc w:val="both"/>
        <w:rPr>
          <w:sz w:val="16"/>
        </w:rPr>
      </w:pPr>
      <w:r>
        <w:rPr>
          <w:color w:val="231F20"/>
          <w:w w:val="105"/>
          <w:sz w:val="16"/>
        </w:rPr>
        <w:t>Fuente: Elaboración propia con datos de DataStream</w:t>
      </w:r>
    </w:p>
    <w:p>
      <w:pPr>
        <w:pStyle w:val="BodyText"/>
        <w:spacing w:before="3"/>
        <w:rPr>
          <w:sz w:val="22"/>
        </w:rPr>
      </w:pPr>
      <w:r>
        <w:rPr/>
        <w:pict>
          <v:line style="position:absolute;mso-position-horizontal-relative:page;mso-position-vertical-relative:paragraph;z-index:7696;mso-wrap-distance-left:0;mso-wrap-distance-right:0" from="63.779499pt,14.896889pt" to="177.165499pt,14.896889pt" stroked="true" strokeweight=".25pt" strokecolor="#231f20">
            <w10:wrap type="topAndBottom"/>
          </v:line>
        </w:pict>
      </w:r>
    </w:p>
    <w:p>
      <w:pPr>
        <w:spacing w:line="192" w:lineRule="exact" w:before="7"/>
        <w:ind w:left="115" w:right="106" w:firstLine="0"/>
        <w:jc w:val="both"/>
        <w:rPr>
          <w:rFonts w:ascii="Calibri" w:hAnsi="Calibri"/>
          <w:sz w:val="16"/>
        </w:rPr>
      </w:pPr>
      <w:r>
        <w:rPr>
          <w:rFonts w:ascii="Calibri" w:hAnsi="Calibri"/>
          <w:color w:val="414042"/>
          <w:w w:val="105"/>
          <w:sz w:val="16"/>
        </w:rPr>
        <w:t>necen</w:t>
      </w:r>
      <w:r>
        <w:rPr>
          <w:rFonts w:ascii="Calibri" w:hAnsi="Calibri"/>
          <w:color w:val="414042"/>
          <w:spacing w:val="-6"/>
          <w:w w:val="105"/>
          <w:sz w:val="16"/>
        </w:rPr>
        <w:t> </w:t>
      </w:r>
      <w:r>
        <w:rPr>
          <w:rFonts w:ascii="Calibri" w:hAnsi="Calibri"/>
          <w:color w:val="414042"/>
          <w:w w:val="105"/>
          <w:sz w:val="16"/>
        </w:rPr>
        <w:t>a</w:t>
      </w:r>
      <w:r>
        <w:rPr>
          <w:rFonts w:ascii="Calibri" w:hAnsi="Calibri"/>
          <w:color w:val="414042"/>
          <w:spacing w:val="-6"/>
          <w:w w:val="105"/>
          <w:sz w:val="16"/>
        </w:rPr>
        <w:t> </w:t>
      </w:r>
      <w:r>
        <w:rPr>
          <w:rFonts w:ascii="Calibri" w:hAnsi="Calibri"/>
          <w:color w:val="414042"/>
          <w:w w:val="105"/>
          <w:sz w:val="16"/>
        </w:rPr>
        <w:t>la</w:t>
      </w:r>
      <w:r>
        <w:rPr>
          <w:rFonts w:ascii="Calibri" w:hAnsi="Calibri"/>
          <w:color w:val="414042"/>
          <w:spacing w:val="-6"/>
          <w:w w:val="105"/>
          <w:sz w:val="16"/>
        </w:rPr>
        <w:t> </w:t>
      </w:r>
      <w:r>
        <w:rPr>
          <w:rFonts w:ascii="Calibri" w:hAnsi="Calibri"/>
          <w:color w:val="414042"/>
          <w:w w:val="105"/>
          <w:sz w:val="16"/>
        </w:rPr>
        <w:t>familia</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los</w:t>
      </w:r>
      <w:r>
        <w:rPr>
          <w:rFonts w:ascii="Calibri" w:hAnsi="Calibri"/>
          <w:color w:val="414042"/>
          <w:spacing w:val="-6"/>
          <w:w w:val="105"/>
          <w:sz w:val="16"/>
        </w:rPr>
        <w:t> </w:t>
      </w:r>
      <w:r>
        <w:rPr>
          <w:rFonts w:ascii="Calibri" w:hAnsi="Calibri"/>
          <w:color w:val="414042"/>
          <w:w w:val="105"/>
          <w:sz w:val="16"/>
        </w:rPr>
        <w:t>bonos</w:t>
      </w:r>
      <w:r>
        <w:rPr>
          <w:rFonts w:ascii="Calibri" w:hAnsi="Calibri"/>
          <w:color w:val="414042"/>
          <w:spacing w:val="-6"/>
          <w:w w:val="105"/>
          <w:sz w:val="16"/>
        </w:rPr>
        <w:t> </w:t>
      </w:r>
      <w:r>
        <w:rPr>
          <w:rFonts w:ascii="Calibri" w:hAnsi="Calibri"/>
          <w:color w:val="414042"/>
          <w:w w:val="105"/>
          <w:sz w:val="16"/>
        </w:rPr>
        <w:t>cupón</w:t>
      </w:r>
      <w:r>
        <w:rPr>
          <w:rFonts w:ascii="Calibri" w:hAnsi="Calibri"/>
          <w:color w:val="414042"/>
          <w:spacing w:val="-6"/>
          <w:w w:val="105"/>
          <w:sz w:val="16"/>
        </w:rPr>
        <w:t> </w:t>
      </w:r>
      <w:r>
        <w:rPr>
          <w:rFonts w:ascii="Calibri" w:hAnsi="Calibri"/>
          <w:color w:val="414042"/>
          <w:w w:val="105"/>
          <w:sz w:val="16"/>
        </w:rPr>
        <w:t>cero.</w:t>
      </w:r>
      <w:r>
        <w:rPr>
          <w:rFonts w:ascii="Calibri" w:hAnsi="Calibri"/>
          <w:color w:val="414042"/>
          <w:spacing w:val="-6"/>
          <w:w w:val="105"/>
          <w:sz w:val="16"/>
        </w:rPr>
        <w:t> </w:t>
      </w:r>
      <w:r>
        <w:rPr>
          <w:rFonts w:ascii="Calibri" w:hAnsi="Calibri"/>
          <w:color w:val="414042"/>
          <w:w w:val="105"/>
          <w:sz w:val="16"/>
        </w:rPr>
        <w:t>Esto</w:t>
      </w:r>
      <w:r>
        <w:rPr>
          <w:rFonts w:ascii="Calibri" w:hAnsi="Calibri"/>
          <w:color w:val="414042"/>
          <w:spacing w:val="-6"/>
          <w:w w:val="105"/>
          <w:sz w:val="16"/>
        </w:rPr>
        <w:t> </w:t>
      </w:r>
      <w:r>
        <w:rPr>
          <w:rFonts w:ascii="Calibri" w:hAnsi="Calibri"/>
          <w:color w:val="414042"/>
          <w:w w:val="105"/>
          <w:sz w:val="16"/>
        </w:rPr>
        <w:t>es,</w:t>
      </w:r>
      <w:r>
        <w:rPr>
          <w:rFonts w:ascii="Calibri" w:hAnsi="Calibri"/>
          <w:color w:val="414042"/>
          <w:spacing w:val="-6"/>
          <w:w w:val="105"/>
          <w:sz w:val="16"/>
        </w:rPr>
        <w:t> </w:t>
      </w:r>
      <w:r>
        <w:rPr>
          <w:rFonts w:ascii="Calibri" w:hAnsi="Calibri"/>
          <w:color w:val="414042"/>
          <w:w w:val="105"/>
          <w:sz w:val="16"/>
        </w:rPr>
        <w:t>que</w:t>
      </w:r>
      <w:r>
        <w:rPr>
          <w:rFonts w:ascii="Calibri" w:hAnsi="Calibri"/>
          <w:color w:val="414042"/>
          <w:spacing w:val="-6"/>
          <w:w w:val="105"/>
          <w:sz w:val="16"/>
        </w:rPr>
        <w:t> </w:t>
      </w:r>
      <w:r>
        <w:rPr>
          <w:rFonts w:ascii="Calibri" w:hAnsi="Calibri"/>
          <w:color w:val="414042"/>
          <w:w w:val="105"/>
          <w:sz w:val="16"/>
        </w:rPr>
        <w:t>se</w:t>
      </w:r>
      <w:r>
        <w:rPr>
          <w:rFonts w:ascii="Calibri" w:hAnsi="Calibri"/>
          <w:color w:val="414042"/>
          <w:spacing w:val="-6"/>
          <w:w w:val="105"/>
          <w:sz w:val="16"/>
        </w:rPr>
        <w:t> </w:t>
      </w:r>
      <w:r>
        <w:rPr>
          <w:rFonts w:ascii="Calibri" w:hAnsi="Calibri"/>
          <w:color w:val="414042"/>
          <w:w w:val="105"/>
          <w:sz w:val="16"/>
        </w:rPr>
        <w:t>comercializan</w:t>
      </w:r>
      <w:r>
        <w:rPr>
          <w:rFonts w:ascii="Calibri" w:hAnsi="Calibri"/>
          <w:color w:val="414042"/>
          <w:spacing w:val="-6"/>
          <w:w w:val="105"/>
          <w:sz w:val="16"/>
        </w:rPr>
        <w:t> </w:t>
      </w:r>
      <w:r>
        <w:rPr>
          <w:rFonts w:ascii="Calibri" w:hAnsi="Calibri"/>
          <w:color w:val="414042"/>
          <w:w w:val="105"/>
          <w:sz w:val="16"/>
        </w:rPr>
        <w:t>a</w:t>
      </w:r>
      <w:r>
        <w:rPr>
          <w:rFonts w:ascii="Calibri" w:hAnsi="Calibri"/>
          <w:color w:val="414042"/>
          <w:spacing w:val="-6"/>
          <w:w w:val="105"/>
          <w:sz w:val="16"/>
        </w:rPr>
        <w:t> </w:t>
      </w:r>
      <w:r>
        <w:rPr>
          <w:rFonts w:ascii="Calibri" w:hAnsi="Calibri"/>
          <w:color w:val="414042"/>
          <w:w w:val="105"/>
          <w:sz w:val="16"/>
        </w:rPr>
        <w:t>descuento</w:t>
      </w:r>
      <w:r>
        <w:rPr>
          <w:rFonts w:ascii="Calibri" w:hAnsi="Calibri"/>
          <w:color w:val="414042"/>
          <w:spacing w:val="-6"/>
          <w:w w:val="105"/>
          <w:sz w:val="16"/>
        </w:rPr>
        <w:t> </w:t>
      </w:r>
      <w:r>
        <w:rPr>
          <w:rFonts w:ascii="Calibri" w:hAnsi="Calibri"/>
          <w:color w:val="414042"/>
          <w:w w:val="105"/>
          <w:sz w:val="16"/>
        </w:rPr>
        <w:t>(por</w:t>
      </w:r>
      <w:r>
        <w:rPr>
          <w:rFonts w:ascii="Calibri" w:hAnsi="Calibri"/>
          <w:color w:val="414042"/>
          <w:spacing w:val="-6"/>
          <w:w w:val="105"/>
          <w:sz w:val="16"/>
        </w:rPr>
        <w:t> </w:t>
      </w:r>
      <w:r>
        <w:rPr>
          <w:rFonts w:ascii="Calibri" w:hAnsi="Calibri"/>
          <w:color w:val="414042"/>
          <w:w w:val="105"/>
          <w:sz w:val="16"/>
        </w:rPr>
        <w:t>debajo</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su valor</w:t>
      </w:r>
      <w:r>
        <w:rPr>
          <w:rFonts w:ascii="Calibri" w:hAnsi="Calibri"/>
          <w:color w:val="414042"/>
          <w:spacing w:val="-6"/>
          <w:w w:val="105"/>
          <w:sz w:val="16"/>
        </w:rPr>
        <w:t> </w:t>
      </w:r>
      <w:r>
        <w:rPr>
          <w:rFonts w:ascii="Calibri" w:hAnsi="Calibri"/>
          <w:color w:val="414042"/>
          <w:w w:val="105"/>
          <w:sz w:val="16"/>
        </w:rPr>
        <w:t>nominal),</w:t>
      </w:r>
      <w:r>
        <w:rPr>
          <w:rFonts w:ascii="Calibri" w:hAnsi="Calibri"/>
          <w:color w:val="414042"/>
          <w:spacing w:val="-6"/>
          <w:w w:val="105"/>
          <w:sz w:val="16"/>
        </w:rPr>
        <w:t> </w:t>
      </w:r>
      <w:r>
        <w:rPr>
          <w:rFonts w:ascii="Calibri" w:hAnsi="Calibri"/>
          <w:color w:val="414042"/>
          <w:w w:val="105"/>
          <w:sz w:val="16"/>
        </w:rPr>
        <w:t>no</w:t>
      </w:r>
      <w:r>
        <w:rPr>
          <w:rFonts w:ascii="Calibri" w:hAnsi="Calibri"/>
          <w:color w:val="414042"/>
          <w:spacing w:val="-6"/>
          <w:w w:val="105"/>
          <w:sz w:val="16"/>
        </w:rPr>
        <w:t> </w:t>
      </w:r>
      <w:r>
        <w:rPr>
          <w:rFonts w:ascii="Calibri" w:hAnsi="Calibri"/>
          <w:color w:val="414042"/>
          <w:w w:val="105"/>
          <w:sz w:val="16"/>
        </w:rPr>
        <w:t>devienen</w:t>
      </w:r>
      <w:r>
        <w:rPr>
          <w:rFonts w:ascii="Calibri" w:hAnsi="Calibri"/>
          <w:color w:val="414042"/>
          <w:spacing w:val="-6"/>
          <w:w w:val="105"/>
          <w:sz w:val="16"/>
        </w:rPr>
        <w:t> </w:t>
      </w:r>
      <w:r>
        <w:rPr>
          <w:rFonts w:ascii="Calibri" w:hAnsi="Calibri"/>
          <w:color w:val="414042"/>
          <w:w w:val="105"/>
          <w:sz w:val="16"/>
        </w:rPr>
        <w:t>intereses</w:t>
      </w:r>
      <w:r>
        <w:rPr>
          <w:rFonts w:ascii="Calibri" w:hAnsi="Calibri"/>
          <w:color w:val="414042"/>
          <w:spacing w:val="-6"/>
          <w:w w:val="105"/>
          <w:sz w:val="16"/>
        </w:rPr>
        <w:t> </w:t>
      </w:r>
      <w:r>
        <w:rPr>
          <w:rFonts w:ascii="Calibri" w:hAnsi="Calibri"/>
          <w:color w:val="414042"/>
          <w:w w:val="105"/>
          <w:sz w:val="16"/>
        </w:rPr>
        <w:t>en</w:t>
      </w:r>
      <w:r>
        <w:rPr>
          <w:rFonts w:ascii="Calibri" w:hAnsi="Calibri"/>
          <w:color w:val="414042"/>
          <w:spacing w:val="-6"/>
          <w:w w:val="105"/>
          <w:sz w:val="16"/>
        </w:rPr>
        <w:t> </w:t>
      </w:r>
      <w:r>
        <w:rPr>
          <w:rFonts w:ascii="Calibri" w:hAnsi="Calibri"/>
          <w:color w:val="414042"/>
          <w:w w:val="105"/>
          <w:sz w:val="16"/>
        </w:rPr>
        <w:t>el</w:t>
      </w:r>
      <w:r>
        <w:rPr>
          <w:rFonts w:ascii="Calibri" w:hAnsi="Calibri"/>
          <w:color w:val="414042"/>
          <w:spacing w:val="-6"/>
          <w:w w:val="105"/>
          <w:sz w:val="16"/>
        </w:rPr>
        <w:t> </w:t>
      </w:r>
      <w:r>
        <w:rPr>
          <w:rFonts w:ascii="Calibri" w:hAnsi="Calibri"/>
          <w:color w:val="414042"/>
          <w:w w:val="105"/>
          <w:sz w:val="16"/>
        </w:rPr>
        <w:t>transcurso</w:t>
      </w:r>
      <w:r>
        <w:rPr>
          <w:rFonts w:ascii="Calibri" w:hAnsi="Calibri"/>
          <w:color w:val="414042"/>
          <w:spacing w:val="-6"/>
          <w:w w:val="105"/>
          <w:sz w:val="16"/>
        </w:rPr>
        <w:t> </w:t>
      </w:r>
      <w:r>
        <w:rPr>
          <w:rFonts w:ascii="Calibri" w:hAnsi="Calibri"/>
          <w:color w:val="414042"/>
          <w:w w:val="105"/>
          <w:sz w:val="16"/>
        </w:rPr>
        <w:t>de</w:t>
      </w:r>
      <w:r>
        <w:rPr>
          <w:rFonts w:ascii="Calibri" w:hAnsi="Calibri"/>
          <w:color w:val="414042"/>
          <w:spacing w:val="-6"/>
          <w:w w:val="105"/>
          <w:sz w:val="16"/>
        </w:rPr>
        <w:t> </w:t>
      </w:r>
      <w:r>
        <w:rPr>
          <w:rFonts w:ascii="Calibri" w:hAnsi="Calibri"/>
          <w:color w:val="414042"/>
          <w:w w:val="105"/>
          <w:sz w:val="16"/>
        </w:rPr>
        <w:t>su</w:t>
      </w:r>
      <w:r>
        <w:rPr>
          <w:rFonts w:ascii="Calibri" w:hAnsi="Calibri"/>
          <w:color w:val="414042"/>
          <w:spacing w:val="-8"/>
          <w:w w:val="105"/>
          <w:sz w:val="16"/>
        </w:rPr>
        <w:t> </w:t>
      </w:r>
      <w:r>
        <w:rPr>
          <w:rFonts w:ascii="Calibri" w:hAnsi="Calibri"/>
          <w:color w:val="414042"/>
          <w:w w:val="105"/>
          <w:sz w:val="16"/>
        </w:rPr>
        <w:t>vida</w:t>
      </w:r>
      <w:r>
        <w:rPr>
          <w:rFonts w:ascii="Calibri" w:hAnsi="Calibri"/>
          <w:color w:val="414042"/>
          <w:spacing w:val="-8"/>
          <w:w w:val="105"/>
          <w:sz w:val="16"/>
        </w:rPr>
        <w:t> </w:t>
      </w:r>
      <w:r>
        <w:rPr>
          <w:rFonts w:ascii="Calibri" w:hAnsi="Calibri"/>
          <w:color w:val="414042"/>
          <w:w w:val="105"/>
          <w:sz w:val="16"/>
        </w:rPr>
        <w:t>y</w:t>
      </w:r>
      <w:r>
        <w:rPr>
          <w:rFonts w:ascii="Calibri" w:hAnsi="Calibri"/>
          <w:color w:val="414042"/>
          <w:spacing w:val="-6"/>
          <w:w w:val="105"/>
          <w:sz w:val="16"/>
        </w:rPr>
        <w:t> </w:t>
      </w:r>
      <w:r>
        <w:rPr>
          <w:rFonts w:ascii="Calibri" w:hAnsi="Calibri"/>
          <w:color w:val="414042"/>
          <w:w w:val="105"/>
          <w:sz w:val="16"/>
        </w:rPr>
        <w:t>liquidan</w:t>
      </w:r>
      <w:r>
        <w:rPr>
          <w:rFonts w:ascii="Calibri" w:hAnsi="Calibri"/>
          <w:color w:val="414042"/>
          <w:spacing w:val="-6"/>
          <w:w w:val="105"/>
          <w:sz w:val="16"/>
        </w:rPr>
        <w:t> </w:t>
      </w:r>
      <w:r>
        <w:rPr>
          <w:rFonts w:ascii="Calibri" w:hAnsi="Calibri"/>
          <w:color w:val="414042"/>
          <w:w w:val="105"/>
          <w:sz w:val="16"/>
        </w:rPr>
        <w:t>su</w:t>
      </w:r>
      <w:r>
        <w:rPr>
          <w:rFonts w:ascii="Calibri" w:hAnsi="Calibri"/>
          <w:color w:val="414042"/>
          <w:spacing w:val="-8"/>
          <w:w w:val="105"/>
          <w:sz w:val="16"/>
        </w:rPr>
        <w:t> </w:t>
      </w:r>
      <w:r>
        <w:rPr>
          <w:rFonts w:ascii="Calibri" w:hAnsi="Calibri"/>
          <w:color w:val="414042"/>
          <w:w w:val="105"/>
          <w:sz w:val="16"/>
        </w:rPr>
        <w:t>valor</w:t>
      </w:r>
      <w:r>
        <w:rPr>
          <w:rFonts w:ascii="Calibri" w:hAnsi="Calibri"/>
          <w:color w:val="414042"/>
          <w:spacing w:val="-6"/>
          <w:w w:val="105"/>
          <w:sz w:val="16"/>
        </w:rPr>
        <w:t> </w:t>
      </w:r>
      <w:r>
        <w:rPr>
          <w:rFonts w:ascii="Calibri" w:hAnsi="Calibri"/>
          <w:color w:val="414042"/>
          <w:w w:val="105"/>
          <w:sz w:val="16"/>
        </w:rPr>
        <w:t>nominal</w:t>
      </w:r>
      <w:r>
        <w:rPr>
          <w:rFonts w:ascii="Calibri" w:hAnsi="Calibri"/>
          <w:color w:val="414042"/>
          <w:spacing w:val="-6"/>
          <w:w w:val="105"/>
          <w:sz w:val="16"/>
        </w:rPr>
        <w:t> </w:t>
      </w:r>
      <w:r>
        <w:rPr>
          <w:rFonts w:ascii="Calibri" w:hAnsi="Calibri"/>
          <w:color w:val="414042"/>
          <w:w w:val="105"/>
          <w:sz w:val="16"/>
        </w:rPr>
        <w:t>en</w:t>
      </w:r>
      <w:r>
        <w:rPr>
          <w:rFonts w:ascii="Calibri" w:hAnsi="Calibri"/>
          <w:color w:val="414042"/>
          <w:spacing w:val="-6"/>
          <w:w w:val="105"/>
          <w:sz w:val="16"/>
        </w:rPr>
        <w:t> </w:t>
      </w:r>
      <w:r>
        <w:rPr>
          <w:rFonts w:ascii="Calibri" w:hAnsi="Calibri"/>
          <w:color w:val="414042"/>
          <w:w w:val="105"/>
          <w:sz w:val="16"/>
        </w:rPr>
        <w:t>la</w:t>
      </w:r>
      <w:r>
        <w:rPr>
          <w:rFonts w:ascii="Calibri" w:hAnsi="Calibri"/>
          <w:color w:val="414042"/>
          <w:spacing w:val="-6"/>
          <w:w w:val="105"/>
          <w:sz w:val="16"/>
        </w:rPr>
        <w:t> </w:t>
      </w:r>
      <w:r>
        <w:rPr>
          <w:rFonts w:ascii="Calibri" w:hAnsi="Calibri"/>
          <w:color w:val="414042"/>
          <w:w w:val="105"/>
          <w:sz w:val="16"/>
        </w:rPr>
        <w:t>fecha de</w:t>
      </w:r>
      <w:r>
        <w:rPr>
          <w:rFonts w:ascii="Calibri" w:hAnsi="Calibri"/>
          <w:color w:val="414042"/>
          <w:spacing w:val="-21"/>
          <w:w w:val="105"/>
          <w:sz w:val="16"/>
        </w:rPr>
        <w:t> </w:t>
      </w:r>
      <w:r>
        <w:rPr>
          <w:rFonts w:ascii="Calibri" w:hAnsi="Calibri"/>
          <w:color w:val="414042"/>
          <w:w w:val="105"/>
          <w:sz w:val="16"/>
        </w:rPr>
        <w:t>vencimiento</w:t>
      </w:r>
      <w:r>
        <w:rPr>
          <w:rFonts w:ascii="Calibri" w:hAnsi="Calibri"/>
          <w:color w:val="414042"/>
          <w:spacing w:val="-19"/>
          <w:w w:val="105"/>
          <w:sz w:val="16"/>
        </w:rPr>
        <w:t> </w:t>
      </w:r>
      <w:r>
        <w:rPr>
          <w:rFonts w:ascii="Calibri" w:hAnsi="Calibri"/>
          <w:color w:val="414042"/>
          <w:w w:val="105"/>
          <w:sz w:val="16"/>
        </w:rPr>
        <w:t>(Banxico,</w:t>
      </w:r>
      <w:r>
        <w:rPr>
          <w:rFonts w:ascii="Calibri" w:hAnsi="Calibri"/>
          <w:color w:val="414042"/>
          <w:spacing w:val="-19"/>
          <w:w w:val="105"/>
          <w:sz w:val="16"/>
        </w:rPr>
        <w:t> </w:t>
      </w:r>
      <w:r>
        <w:rPr>
          <w:rFonts w:ascii="Calibri" w:hAnsi="Calibri"/>
          <w:color w:val="414042"/>
          <w:w w:val="105"/>
          <w:sz w:val="16"/>
        </w:rPr>
        <w:t>2005).</w:t>
      </w:r>
    </w:p>
    <w:p>
      <w:pPr>
        <w:pStyle w:val="BodyText"/>
        <w:rPr>
          <w:rFonts w:ascii="Calibri"/>
          <w:sz w:val="20"/>
        </w:rPr>
      </w:pPr>
    </w:p>
    <w:p>
      <w:pPr>
        <w:pStyle w:val="BodyText"/>
        <w:spacing w:before="2"/>
        <w:rPr>
          <w:rFonts w:ascii="Calibri"/>
          <w:sz w:val="28"/>
        </w:rPr>
      </w:pPr>
    </w:p>
    <w:p>
      <w:pPr>
        <w:tabs>
          <w:tab w:pos="1357" w:val="left" w:leader="none"/>
        </w:tabs>
        <w:spacing w:before="71"/>
        <w:ind w:left="252" w:right="0" w:firstLine="0"/>
        <w:jc w:val="left"/>
        <w:rPr>
          <w:rFonts w:ascii="Calibri" w:hAnsi="Calibri"/>
          <w:sz w:val="15"/>
        </w:rPr>
      </w:pPr>
      <w:r>
        <w:rPr/>
        <w:pict>
          <v:group style="position:absolute;margin-left:101.817299pt;margin-top:-16.749887pt;width:17.850pt;height:56.5pt;mso-position-horizontal-relative:page;mso-position-vertical-relative:paragraph;z-index:-240208"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214</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160" w:right="128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76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215</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21"/>
        <w:jc w:val="both"/>
      </w:pPr>
      <w:r>
        <w:rPr>
          <w:color w:val="231F20"/>
          <w:spacing w:val="-7"/>
          <w:w w:val="105"/>
        </w:rPr>
        <w:t>Tal </w:t>
      </w:r>
      <w:r>
        <w:rPr>
          <w:color w:val="231F20"/>
          <w:w w:val="105"/>
        </w:rPr>
        <w:t>como puede apreciarse, el comportamiento de las tasas de interés libre de riesgo es inverso al del tipo de cambio a través del tiempo de- bido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reducción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tasa</w:t>
      </w:r>
      <w:r>
        <w:rPr>
          <w:color w:val="231F20"/>
          <w:spacing w:val="-7"/>
          <w:w w:val="105"/>
        </w:rPr>
        <w:t> </w:t>
      </w:r>
      <w:r>
        <w:rPr>
          <w:color w:val="231F20"/>
          <w:w w:val="105"/>
        </w:rPr>
        <w:t>de</w:t>
      </w:r>
      <w:r>
        <w:rPr>
          <w:color w:val="231F20"/>
          <w:spacing w:val="-7"/>
          <w:w w:val="105"/>
        </w:rPr>
        <w:t> </w:t>
      </w:r>
      <w:r>
        <w:rPr>
          <w:color w:val="231F20"/>
          <w:w w:val="105"/>
        </w:rPr>
        <w:t>interés</w:t>
      </w:r>
      <w:r>
        <w:rPr>
          <w:color w:val="231F20"/>
          <w:spacing w:val="-7"/>
          <w:w w:val="105"/>
        </w:rPr>
        <w:t> </w:t>
      </w:r>
      <w:r>
        <w:rPr>
          <w:color w:val="231F20"/>
          <w:w w:val="105"/>
        </w:rPr>
        <w:t>de</w:t>
      </w:r>
      <w:r>
        <w:rPr>
          <w:color w:val="231F20"/>
          <w:spacing w:val="-7"/>
          <w:w w:val="105"/>
        </w:rPr>
        <w:t> </w:t>
      </w:r>
      <w:r>
        <w:rPr>
          <w:color w:val="231F20"/>
          <w:w w:val="105"/>
        </w:rPr>
        <w:t>Estados</w:t>
      </w:r>
      <w:r>
        <w:rPr>
          <w:color w:val="231F20"/>
          <w:spacing w:val="-7"/>
          <w:w w:val="105"/>
        </w:rPr>
        <w:t> </w:t>
      </w:r>
      <w:r>
        <w:rPr>
          <w:color w:val="231F20"/>
          <w:w w:val="105"/>
        </w:rPr>
        <w:t>Unidos</w:t>
      </w:r>
      <w:r>
        <w:rPr>
          <w:color w:val="231F20"/>
          <w:spacing w:val="-7"/>
          <w:w w:val="105"/>
        </w:rPr>
        <w:t> </w:t>
      </w:r>
      <w:r>
        <w:rPr>
          <w:color w:val="231F20"/>
          <w:spacing w:val="-3"/>
          <w:w w:val="105"/>
        </w:rPr>
        <w:t>(</w:t>
      </w:r>
      <w:r>
        <w:rPr>
          <w:i/>
          <w:color w:val="231F20"/>
          <w:spacing w:val="-3"/>
          <w:w w:val="105"/>
        </w:rPr>
        <w:t>T-Bill</w:t>
      </w:r>
      <w:r>
        <w:rPr>
          <w:color w:val="231F20"/>
          <w:spacing w:val="-3"/>
          <w:w w:val="105"/>
        </w:rPr>
        <w:t>)</w:t>
      </w:r>
      <w:r>
        <w:rPr>
          <w:color w:val="231F20"/>
          <w:spacing w:val="-7"/>
          <w:w w:val="105"/>
        </w:rPr>
        <w:t> </w:t>
      </w:r>
      <w:r>
        <w:rPr>
          <w:color w:val="231F20"/>
          <w:w w:val="105"/>
        </w:rPr>
        <w:t>y</w:t>
      </w:r>
      <w:r>
        <w:rPr>
          <w:color w:val="231F20"/>
          <w:spacing w:val="-7"/>
          <w:w w:val="105"/>
        </w:rPr>
        <w:t> </w:t>
      </w:r>
      <w:r>
        <w:rPr>
          <w:color w:val="231F20"/>
          <w:w w:val="105"/>
        </w:rPr>
        <w:t>los movimientos del tipo de cambio. Otro aspecto fundamental a tomar en cuenta</w:t>
      </w:r>
      <w:r>
        <w:rPr>
          <w:color w:val="231F20"/>
          <w:spacing w:val="-15"/>
          <w:w w:val="105"/>
        </w:rPr>
        <w:t> </w:t>
      </w:r>
      <w:r>
        <w:rPr>
          <w:color w:val="231F20"/>
          <w:w w:val="105"/>
        </w:rPr>
        <w:t>es</w:t>
      </w:r>
      <w:r>
        <w:rPr>
          <w:color w:val="231F20"/>
          <w:spacing w:val="-15"/>
          <w:w w:val="105"/>
        </w:rPr>
        <w:t> </w:t>
      </w:r>
      <w:r>
        <w:rPr>
          <w:color w:val="231F20"/>
          <w:w w:val="105"/>
        </w:rPr>
        <w:t>que</w:t>
      </w:r>
      <w:r>
        <w:rPr>
          <w:color w:val="231F20"/>
          <w:spacing w:val="-15"/>
          <w:w w:val="105"/>
        </w:rPr>
        <w:t> </w:t>
      </w:r>
      <w:r>
        <w:rPr>
          <w:color w:val="231F20"/>
          <w:w w:val="105"/>
        </w:rPr>
        <w:t>a</w:t>
      </w:r>
      <w:r>
        <w:rPr>
          <w:color w:val="231F20"/>
          <w:spacing w:val="-15"/>
          <w:w w:val="105"/>
        </w:rPr>
        <w:t> </w:t>
      </w:r>
      <w:r>
        <w:rPr>
          <w:color w:val="231F20"/>
          <w:w w:val="105"/>
        </w:rPr>
        <w:t>pesar</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política</w:t>
      </w:r>
      <w:r>
        <w:rPr>
          <w:color w:val="231F20"/>
          <w:spacing w:val="-15"/>
          <w:w w:val="105"/>
        </w:rPr>
        <w:t> </w:t>
      </w:r>
      <w:r>
        <w:rPr>
          <w:color w:val="231F20"/>
          <w:w w:val="105"/>
        </w:rPr>
        <w:t>monetaria</w:t>
      </w:r>
      <w:r>
        <w:rPr>
          <w:color w:val="231F20"/>
          <w:spacing w:val="-15"/>
          <w:w w:val="105"/>
        </w:rPr>
        <w:t> </w:t>
      </w:r>
      <w:r>
        <w:rPr>
          <w:color w:val="231F20"/>
          <w:w w:val="105"/>
        </w:rPr>
        <w:t>de</w:t>
      </w:r>
      <w:r>
        <w:rPr>
          <w:color w:val="231F20"/>
          <w:spacing w:val="-15"/>
          <w:w w:val="105"/>
        </w:rPr>
        <w:t> </w:t>
      </w:r>
      <w:r>
        <w:rPr>
          <w:color w:val="231F20"/>
          <w:w w:val="105"/>
        </w:rPr>
        <w:t>corte</w:t>
      </w:r>
      <w:r>
        <w:rPr>
          <w:color w:val="231F20"/>
          <w:spacing w:val="-15"/>
          <w:w w:val="105"/>
        </w:rPr>
        <w:t> </w:t>
      </w:r>
      <w:r>
        <w:rPr>
          <w:color w:val="231F20"/>
          <w:w w:val="105"/>
        </w:rPr>
        <w:t>restrictivo</w:t>
      </w:r>
      <w:r>
        <w:rPr>
          <w:color w:val="231F20"/>
          <w:spacing w:val="-15"/>
          <w:w w:val="105"/>
        </w:rPr>
        <w:t> </w:t>
      </w:r>
      <w:r>
        <w:rPr>
          <w:color w:val="231F20"/>
          <w:w w:val="105"/>
        </w:rPr>
        <w:t>la</w:t>
      </w:r>
      <w:r>
        <w:rPr>
          <w:color w:val="231F20"/>
          <w:spacing w:val="-15"/>
          <w:w w:val="105"/>
        </w:rPr>
        <w:t> </w:t>
      </w:r>
      <w:r>
        <w:rPr>
          <w:color w:val="231F20"/>
          <w:w w:val="105"/>
        </w:rPr>
        <w:t>tasa de interés interna se ha reducido. </w:t>
      </w:r>
      <w:r>
        <w:rPr>
          <w:color w:val="231F20"/>
          <w:spacing w:val="-6"/>
          <w:w w:val="105"/>
        </w:rPr>
        <w:t>Por </w:t>
      </w:r>
      <w:r>
        <w:rPr>
          <w:color w:val="231F20"/>
          <w:w w:val="105"/>
        </w:rPr>
        <w:t>ejemplo, la volatilidad diaria de la tasa de interés de corto plazo en México disminuyó sustancialmente cuando el Banco de México transitó del régimen de objetivos de</w:t>
      </w:r>
      <w:r>
        <w:rPr>
          <w:color w:val="231F20"/>
          <w:spacing w:val="-41"/>
          <w:w w:val="105"/>
        </w:rPr>
        <w:t> </w:t>
      </w:r>
      <w:r>
        <w:rPr>
          <w:color w:val="231F20"/>
          <w:w w:val="105"/>
        </w:rPr>
        <w:t>saldos acumulados (el corto</w:t>
      </w:r>
      <w:r>
        <w:rPr>
          <w:color w:val="231F20"/>
          <w:w w:val="105"/>
          <w:position w:val="7"/>
          <w:sz w:val="12"/>
        </w:rPr>
        <w:t>3</w:t>
      </w:r>
      <w:r>
        <w:rPr>
          <w:color w:val="231F20"/>
          <w:w w:val="105"/>
        </w:rPr>
        <w:t>) al de saldos diarios (o de tasa de interés) el 22 de abril de 2004; no obstante, en 2006 el dinamismo de los mercados financieros</w:t>
      </w:r>
      <w:r>
        <w:rPr>
          <w:color w:val="231F20"/>
          <w:spacing w:val="-19"/>
          <w:w w:val="105"/>
        </w:rPr>
        <w:t> </w:t>
      </w:r>
      <w:r>
        <w:rPr>
          <w:color w:val="231F20"/>
          <w:w w:val="105"/>
        </w:rPr>
        <w:t>internacionales</w:t>
      </w:r>
      <w:r>
        <w:rPr>
          <w:color w:val="231F20"/>
          <w:spacing w:val="-19"/>
          <w:w w:val="105"/>
        </w:rPr>
        <w:t> </w:t>
      </w:r>
      <w:r>
        <w:rPr>
          <w:color w:val="231F20"/>
          <w:w w:val="105"/>
        </w:rPr>
        <w:t>en</w:t>
      </w:r>
      <w:r>
        <w:rPr>
          <w:color w:val="231F20"/>
          <w:spacing w:val="-19"/>
          <w:w w:val="105"/>
        </w:rPr>
        <w:t> </w:t>
      </w:r>
      <w:r>
        <w:rPr>
          <w:color w:val="231F20"/>
          <w:w w:val="105"/>
        </w:rPr>
        <w:t>países</w:t>
      </w:r>
      <w:r>
        <w:rPr>
          <w:color w:val="231F20"/>
          <w:spacing w:val="-19"/>
          <w:w w:val="105"/>
        </w:rPr>
        <w:t> </w:t>
      </w:r>
      <w:r>
        <w:rPr>
          <w:color w:val="231F20"/>
          <w:w w:val="105"/>
        </w:rPr>
        <w:t>emergentes</w:t>
      </w:r>
      <w:r>
        <w:rPr>
          <w:color w:val="231F20"/>
          <w:spacing w:val="-19"/>
          <w:w w:val="105"/>
        </w:rPr>
        <w:t> </w:t>
      </w:r>
      <w:r>
        <w:rPr>
          <w:color w:val="231F20"/>
          <w:w w:val="105"/>
        </w:rPr>
        <w:t>permitieron</w:t>
      </w:r>
      <w:r>
        <w:rPr>
          <w:color w:val="231F20"/>
          <w:spacing w:val="-19"/>
          <w:w w:val="105"/>
        </w:rPr>
        <w:t> </w:t>
      </w:r>
      <w:r>
        <w:rPr>
          <w:color w:val="231F20"/>
          <w:w w:val="105"/>
        </w:rPr>
        <w:t>que</w:t>
      </w:r>
      <w:r>
        <w:rPr>
          <w:color w:val="231F20"/>
          <w:spacing w:val="-19"/>
          <w:w w:val="105"/>
        </w:rPr>
        <w:t> </w:t>
      </w:r>
      <w:r>
        <w:rPr>
          <w:color w:val="231F20"/>
          <w:w w:val="105"/>
        </w:rPr>
        <w:t>conti- nuaran</w:t>
      </w:r>
      <w:r>
        <w:rPr>
          <w:color w:val="231F20"/>
          <w:spacing w:val="-30"/>
          <w:w w:val="105"/>
        </w:rPr>
        <w:t> </w:t>
      </w:r>
      <w:r>
        <w:rPr>
          <w:color w:val="231F20"/>
          <w:w w:val="105"/>
        </w:rPr>
        <w:t>a</w:t>
      </w:r>
      <w:r>
        <w:rPr>
          <w:color w:val="231F20"/>
          <w:spacing w:val="-30"/>
          <w:w w:val="105"/>
        </w:rPr>
        <w:t> </w:t>
      </w:r>
      <w:r>
        <w:rPr>
          <w:color w:val="231F20"/>
          <w:w w:val="105"/>
        </w:rPr>
        <w:t>niveles</w:t>
      </w:r>
      <w:r>
        <w:rPr>
          <w:color w:val="231F20"/>
          <w:spacing w:val="-30"/>
          <w:w w:val="105"/>
        </w:rPr>
        <w:t> </w:t>
      </w:r>
      <w:r>
        <w:rPr>
          <w:color w:val="231F20"/>
          <w:w w:val="105"/>
        </w:rPr>
        <w:t>históricamente</w:t>
      </w:r>
      <w:r>
        <w:rPr>
          <w:color w:val="231F20"/>
          <w:spacing w:val="-30"/>
          <w:w w:val="105"/>
        </w:rPr>
        <w:t> </w:t>
      </w:r>
      <w:r>
        <w:rPr>
          <w:color w:val="231F20"/>
          <w:w w:val="105"/>
        </w:rPr>
        <w:t>bajos.</w:t>
      </w:r>
    </w:p>
    <w:p>
      <w:pPr>
        <w:pStyle w:val="BodyText"/>
        <w:spacing w:line="259" w:lineRule="auto"/>
        <w:ind w:left="117" w:right="115" w:firstLine="567"/>
        <w:jc w:val="both"/>
      </w:pPr>
      <w:r>
        <w:rPr>
          <w:color w:val="231F20"/>
          <w:w w:val="105"/>
        </w:rPr>
        <w:t>Sin</w:t>
      </w:r>
      <w:r>
        <w:rPr>
          <w:color w:val="231F20"/>
          <w:spacing w:val="-18"/>
          <w:w w:val="105"/>
        </w:rPr>
        <w:t> </w:t>
      </w:r>
      <w:r>
        <w:rPr>
          <w:color w:val="231F20"/>
          <w:w w:val="105"/>
        </w:rPr>
        <w:t>embargo,</w:t>
      </w:r>
      <w:r>
        <w:rPr>
          <w:color w:val="231F20"/>
          <w:spacing w:val="-23"/>
          <w:w w:val="105"/>
        </w:rPr>
        <w:t> </w:t>
      </w:r>
      <w:r>
        <w:rPr>
          <w:color w:val="231F20"/>
          <w:w w:val="105"/>
        </w:rPr>
        <w:t>los</w:t>
      </w:r>
      <w:r>
        <w:rPr>
          <w:color w:val="231F20"/>
          <w:spacing w:val="-18"/>
          <w:w w:val="105"/>
        </w:rPr>
        <w:t> </w:t>
      </w:r>
      <w:r>
        <w:rPr>
          <w:color w:val="231F20"/>
          <w:w w:val="105"/>
        </w:rPr>
        <w:t>problemas</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mercados</w:t>
      </w:r>
      <w:r>
        <w:rPr>
          <w:color w:val="231F20"/>
          <w:spacing w:val="-18"/>
          <w:w w:val="105"/>
        </w:rPr>
        <w:t> </w:t>
      </w:r>
      <w:r>
        <w:rPr>
          <w:color w:val="231F20"/>
          <w:w w:val="105"/>
        </w:rPr>
        <w:t>financieros</w:t>
      </w:r>
      <w:r>
        <w:rPr>
          <w:color w:val="231F20"/>
          <w:spacing w:val="-18"/>
          <w:w w:val="105"/>
        </w:rPr>
        <w:t> </w:t>
      </w:r>
      <w:r>
        <w:rPr>
          <w:color w:val="231F20"/>
          <w:w w:val="105"/>
        </w:rPr>
        <w:t>se</w:t>
      </w:r>
      <w:r>
        <w:rPr>
          <w:color w:val="231F20"/>
          <w:spacing w:val="-18"/>
          <w:w w:val="105"/>
        </w:rPr>
        <w:t> </w:t>
      </w:r>
      <w:r>
        <w:rPr>
          <w:color w:val="231F20"/>
          <w:w w:val="105"/>
        </w:rPr>
        <w:t>vieron agravados por la quiebra de Lehman Brothers en septiembre de 2008. Ante esto, la tasa de interés se incrementó en 25 puntos base para los meses de junio, julio y agosto, con lo que aumentó de 7.607 a 8.309 % (manteniéndose</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nivel</w:t>
      </w:r>
      <w:r>
        <w:rPr>
          <w:color w:val="231F20"/>
          <w:spacing w:val="-15"/>
          <w:w w:val="105"/>
        </w:rPr>
        <w:t> </w:t>
      </w:r>
      <w:r>
        <w:rPr>
          <w:color w:val="231F20"/>
          <w:w w:val="105"/>
        </w:rPr>
        <w:t>hasta</w:t>
      </w:r>
      <w:r>
        <w:rPr>
          <w:color w:val="231F20"/>
          <w:spacing w:val="-15"/>
          <w:w w:val="105"/>
        </w:rPr>
        <w:t> </w:t>
      </w:r>
      <w:r>
        <w:rPr>
          <w:color w:val="231F20"/>
          <w:w w:val="105"/>
        </w:rPr>
        <w:t>noviembre).</w:t>
      </w:r>
      <w:r>
        <w:rPr>
          <w:color w:val="231F20"/>
          <w:spacing w:val="-20"/>
          <w:w w:val="105"/>
        </w:rPr>
        <w:t> </w:t>
      </w:r>
      <w:r>
        <w:rPr>
          <w:color w:val="231F20"/>
          <w:w w:val="105"/>
        </w:rPr>
        <w:t>El</w:t>
      </w:r>
      <w:r>
        <w:rPr>
          <w:color w:val="231F20"/>
          <w:spacing w:val="-15"/>
          <w:w w:val="105"/>
        </w:rPr>
        <w:t> </w:t>
      </w:r>
      <w:r>
        <w:rPr>
          <w:color w:val="231F20"/>
          <w:w w:val="105"/>
        </w:rPr>
        <w:t>fuerte</w:t>
      </w:r>
      <w:r>
        <w:rPr>
          <w:color w:val="231F20"/>
          <w:spacing w:val="-15"/>
          <w:w w:val="105"/>
        </w:rPr>
        <w:t> </w:t>
      </w:r>
      <w:r>
        <w:rPr>
          <w:color w:val="231F20"/>
          <w:w w:val="105"/>
        </w:rPr>
        <w:t>incremento</w:t>
      </w:r>
      <w:r>
        <w:rPr>
          <w:color w:val="231F20"/>
          <w:spacing w:val="-15"/>
          <w:w w:val="105"/>
        </w:rPr>
        <w:t> </w:t>
      </w:r>
      <w:r>
        <w:rPr>
          <w:color w:val="231F20"/>
          <w:w w:val="105"/>
        </w:rPr>
        <w:t>en la</w:t>
      </w:r>
      <w:r>
        <w:rPr>
          <w:color w:val="231F20"/>
          <w:spacing w:val="-28"/>
          <w:w w:val="105"/>
        </w:rPr>
        <w:t> </w:t>
      </w:r>
      <w:r>
        <w:rPr>
          <w:color w:val="231F20"/>
          <w:w w:val="105"/>
        </w:rPr>
        <w:t>aversión</w:t>
      </w:r>
      <w:r>
        <w:rPr>
          <w:color w:val="231F20"/>
          <w:spacing w:val="-28"/>
          <w:w w:val="105"/>
        </w:rPr>
        <w:t> </w:t>
      </w:r>
      <w:r>
        <w:rPr>
          <w:color w:val="231F20"/>
          <w:w w:val="105"/>
        </w:rPr>
        <w:t>al</w:t>
      </w:r>
      <w:r>
        <w:rPr>
          <w:color w:val="231F20"/>
          <w:spacing w:val="-28"/>
          <w:w w:val="105"/>
        </w:rPr>
        <w:t> </w:t>
      </w:r>
      <w:r>
        <w:rPr>
          <w:color w:val="231F20"/>
          <w:w w:val="105"/>
        </w:rPr>
        <w:t>riesgo</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mercados</w:t>
      </w:r>
      <w:r>
        <w:rPr>
          <w:color w:val="231F20"/>
          <w:spacing w:val="-28"/>
          <w:w w:val="105"/>
        </w:rPr>
        <w:t> </w:t>
      </w:r>
      <w:r>
        <w:rPr>
          <w:color w:val="231F20"/>
          <w:w w:val="105"/>
        </w:rPr>
        <w:t>financieros</w:t>
      </w:r>
      <w:r>
        <w:rPr>
          <w:color w:val="231F20"/>
          <w:spacing w:val="-28"/>
          <w:w w:val="105"/>
        </w:rPr>
        <w:t> </w:t>
      </w:r>
      <w:r>
        <w:rPr>
          <w:color w:val="231F20"/>
          <w:w w:val="105"/>
        </w:rPr>
        <w:t>internacionales</w:t>
      </w:r>
      <w:r>
        <w:rPr>
          <w:color w:val="231F20"/>
          <w:spacing w:val="-28"/>
          <w:w w:val="105"/>
        </w:rPr>
        <w:t> </w:t>
      </w:r>
      <w:r>
        <w:rPr>
          <w:color w:val="231F20"/>
          <w:w w:val="105"/>
        </w:rPr>
        <w:t>provocó una alta volatilidad del tipo de cambio en las economías emergentes, entre ellas México, con depreciación de 44.70 % (desde 9 de marzo</w:t>
      </w:r>
      <w:r>
        <w:rPr>
          <w:color w:val="231F20"/>
          <w:spacing w:val="-37"/>
          <w:w w:val="105"/>
        </w:rPr>
        <w:t> </w:t>
      </w:r>
      <w:r>
        <w:rPr>
          <w:color w:val="231F20"/>
          <w:w w:val="105"/>
        </w:rPr>
        <w:t>de 2008</w:t>
      </w:r>
      <w:r>
        <w:rPr>
          <w:color w:val="231F20"/>
          <w:spacing w:val="-16"/>
          <w:w w:val="105"/>
        </w:rPr>
        <w:t> </w:t>
      </w:r>
      <w:r>
        <w:rPr>
          <w:color w:val="231F20"/>
          <w:w w:val="105"/>
        </w:rPr>
        <w:t>al</w:t>
      </w:r>
      <w:r>
        <w:rPr>
          <w:color w:val="231F20"/>
          <w:spacing w:val="-16"/>
          <w:w w:val="105"/>
        </w:rPr>
        <w:t> </w:t>
      </w:r>
      <w:r>
        <w:rPr>
          <w:color w:val="231F20"/>
          <w:w w:val="105"/>
        </w:rPr>
        <w:t>mismo</w:t>
      </w:r>
      <w:r>
        <w:rPr>
          <w:color w:val="231F20"/>
          <w:spacing w:val="-16"/>
          <w:w w:val="105"/>
        </w:rPr>
        <w:t> </w:t>
      </w:r>
      <w:r>
        <w:rPr>
          <w:color w:val="231F20"/>
          <w:w w:val="105"/>
        </w:rPr>
        <w:t>día</w:t>
      </w:r>
      <w:r>
        <w:rPr>
          <w:color w:val="231F20"/>
          <w:spacing w:val="-16"/>
          <w:w w:val="105"/>
        </w:rPr>
        <w:t> </w:t>
      </w:r>
      <w:r>
        <w:rPr>
          <w:color w:val="231F20"/>
          <w:w w:val="105"/>
        </w:rPr>
        <w:t>de</w:t>
      </w:r>
      <w:r>
        <w:rPr>
          <w:color w:val="231F20"/>
          <w:spacing w:val="-16"/>
          <w:w w:val="105"/>
        </w:rPr>
        <w:t> </w:t>
      </w:r>
      <w:r>
        <w:rPr>
          <w:color w:val="231F20"/>
          <w:w w:val="105"/>
        </w:rPr>
        <w:t>2009).</w:t>
      </w:r>
    </w:p>
    <w:p>
      <w:pPr>
        <w:pStyle w:val="BodyText"/>
        <w:spacing w:line="259" w:lineRule="auto"/>
        <w:ind w:left="117" w:right="121" w:firstLine="567"/>
        <w:jc w:val="both"/>
      </w:pPr>
      <w:r>
        <w:rPr>
          <w:color w:val="231F20"/>
          <w:spacing w:val="-3"/>
          <w:w w:val="105"/>
        </w:rPr>
        <w:t>Finalmente, </w:t>
      </w:r>
      <w:r>
        <w:rPr>
          <w:color w:val="231F20"/>
          <w:w w:val="105"/>
        </w:rPr>
        <w:t>las tasas de </w:t>
      </w:r>
      <w:r>
        <w:rPr>
          <w:color w:val="231F20"/>
          <w:spacing w:val="-3"/>
          <w:w w:val="105"/>
        </w:rPr>
        <w:t>interés </w:t>
      </w:r>
      <w:r>
        <w:rPr>
          <w:color w:val="231F20"/>
          <w:w w:val="105"/>
        </w:rPr>
        <w:t>y el tipo de cambio </w:t>
      </w:r>
      <w:r>
        <w:rPr>
          <w:color w:val="231F20"/>
          <w:spacing w:val="-3"/>
          <w:w w:val="105"/>
        </w:rPr>
        <w:t>experimentan </w:t>
      </w:r>
      <w:r>
        <w:rPr>
          <w:color w:val="231F20"/>
          <w:w w:val="105"/>
        </w:rPr>
        <w:t>gran</w:t>
      </w:r>
      <w:r>
        <w:rPr>
          <w:color w:val="231F20"/>
          <w:spacing w:val="-31"/>
          <w:w w:val="105"/>
        </w:rPr>
        <w:t> </w:t>
      </w:r>
      <w:r>
        <w:rPr>
          <w:color w:val="231F20"/>
          <w:spacing w:val="-2"/>
          <w:w w:val="105"/>
        </w:rPr>
        <w:t>volatilidad,</w:t>
      </w:r>
      <w:r>
        <w:rPr>
          <w:color w:val="231F20"/>
          <w:spacing w:val="-36"/>
          <w:w w:val="105"/>
        </w:rPr>
        <w:t> </w:t>
      </w:r>
      <w:r>
        <w:rPr>
          <w:color w:val="231F20"/>
          <w:spacing w:val="-3"/>
          <w:w w:val="105"/>
        </w:rPr>
        <w:t>registrando</w:t>
      </w:r>
      <w:r>
        <w:rPr>
          <w:color w:val="231F20"/>
          <w:spacing w:val="-31"/>
          <w:w w:val="105"/>
        </w:rPr>
        <w:t> </w:t>
      </w:r>
      <w:r>
        <w:rPr>
          <w:color w:val="231F20"/>
          <w:w w:val="105"/>
        </w:rPr>
        <w:t>continuas</w:t>
      </w:r>
      <w:r>
        <w:rPr>
          <w:color w:val="231F20"/>
          <w:spacing w:val="-31"/>
          <w:w w:val="105"/>
        </w:rPr>
        <w:t> </w:t>
      </w:r>
      <w:r>
        <w:rPr>
          <w:color w:val="231F20"/>
          <w:w w:val="105"/>
        </w:rPr>
        <w:t>alzas</w:t>
      </w:r>
      <w:r>
        <w:rPr>
          <w:color w:val="231F20"/>
          <w:spacing w:val="-31"/>
          <w:w w:val="105"/>
        </w:rPr>
        <w:t> </w:t>
      </w:r>
      <w:r>
        <w:rPr>
          <w:color w:val="231F20"/>
          <w:w w:val="105"/>
        </w:rPr>
        <w:t>y</w:t>
      </w:r>
      <w:r>
        <w:rPr>
          <w:color w:val="231F20"/>
          <w:spacing w:val="-31"/>
          <w:w w:val="105"/>
        </w:rPr>
        <w:t> </w:t>
      </w:r>
      <w:r>
        <w:rPr>
          <w:color w:val="231F20"/>
          <w:w w:val="105"/>
        </w:rPr>
        <w:t>bajas.</w:t>
      </w:r>
      <w:r>
        <w:rPr>
          <w:color w:val="231F20"/>
          <w:spacing w:val="-40"/>
          <w:w w:val="105"/>
        </w:rPr>
        <w:t> </w:t>
      </w:r>
      <w:r>
        <w:rPr>
          <w:color w:val="231F20"/>
          <w:spacing w:val="-8"/>
          <w:w w:val="105"/>
        </w:rPr>
        <w:t>Tal</w:t>
      </w:r>
      <w:r>
        <w:rPr>
          <w:color w:val="231F20"/>
          <w:spacing w:val="-31"/>
          <w:w w:val="105"/>
        </w:rPr>
        <w:t> </w:t>
      </w:r>
      <w:r>
        <w:rPr>
          <w:color w:val="231F20"/>
          <w:w w:val="105"/>
        </w:rPr>
        <w:t>volatilidad</w:t>
      </w:r>
      <w:r>
        <w:rPr>
          <w:color w:val="231F20"/>
          <w:spacing w:val="-31"/>
          <w:w w:val="105"/>
        </w:rPr>
        <w:t> </w:t>
      </w:r>
      <w:r>
        <w:rPr>
          <w:color w:val="231F20"/>
          <w:spacing w:val="-3"/>
          <w:w w:val="105"/>
        </w:rPr>
        <w:t>generó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participantes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mercados</w:t>
      </w:r>
      <w:r>
        <w:rPr>
          <w:color w:val="231F20"/>
          <w:spacing w:val="-16"/>
          <w:w w:val="105"/>
        </w:rPr>
        <w:t> </w:t>
      </w:r>
      <w:r>
        <w:rPr>
          <w:color w:val="231F20"/>
          <w:spacing w:val="-3"/>
          <w:w w:val="105"/>
        </w:rPr>
        <w:t>financieros</w:t>
      </w:r>
      <w:r>
        <w:rPr>
          <w:color w:val="231F20"/>
          <w:spacing w:val="-16"/>
          <w:w w:val="105"/>
        </w:rPr>
        <w:t> </w:t>
      </w:r>
      <w:r>
        <w:rPr>
          <w:color w:val="231F20"/>
          <w:w w:val="105"/>
        </w:rPr>
        <w:t>adoptaran</w:t>
      </w:r>
      <w:r>
        <w:rPr>
          <w:color w:val="231F20"/>
          <w:spacing w:val="-16"/>
          <w:w w:val="105"/>
        </w:rPr>
        <w:t> </w:t>
      </w:r>
      <w:r>
        <w:rPr>
          <w:color w:val="231F20"/>
          <w:w w:val="105"/>
        </w:rPr>
        <w:t>nuevos</w:t>
      </w:r>
      <w:r>
        <w:rPr>
          <w:color w:val="231F20"/>
          <w:spacing w:val="-16"/>
          <w:w w:val="105"/>
        </w:rPr>
        <w:t> </w:t>
      </w:r>
      <w:r>
        <w:rPr>
          <w:color w:val="231F20"/>
          <w:w w:val="105"/>
        </w:rPr>
        <w:t>ins- trumentos</w:t>
      </w:r>
      <w:r>
        <w:rPr>
          <w:color w:val="231F20"/>
          <w:spacing w:val="-25"/>
          <w:w w:val="105"/>
        </w:rPr>
        <w:t> </w:t>
      </w:r>
      <w:r>
        <w:rPr>
          <w:color w:val="231F20"/>
          <w:w w:val="105"/>
        </w:rPr>
        <w:t>híbridos,</w:t>
      </w:r>
      <w:r>
        <w:rPr>
          <w:color w:val="231F20"/>
          <w:spacing w:val="-30"/>
          <w:w w:val="105"/>
        </w:rPr>
        <w:t> </w:t>
      </w:r>
      <w:r>
        <w:rPr>
          <w:color w:val="231F20"/>
          <w:w w:val="105"/>
        </w:rPr>
        <w:t>tales</w:t>
      </w:r>
      <w:r>
        <w:rPr>
          <w:color w:val="231F20"/>
          <w:spacing w:val="-25"/>
          <w:w w:val="105"/>
        </w:rPr>
        <w:t> </w:t>
      </w:r>
      <w:r>
        <w:rPr>
          <w:color w:val="231F20"/>
          <w:w w:val="105"/>
        </w:rPr>
        <w:t>como</w:t>
      </w:r>
      <w:r>
        <w:rPr>
          <w:color w:val="231F20"/>
          <w:spacing w:val="-25"/>
          <w:w w:val="105"/>
        </w:rPr>
        <w:t> </w:t>
      </w:r>
      <w:r>
        <w:rPr>
          <w:color w:val="231F20"/>
          <w:w w:val="105"/>
        </w:rPr>
        <w:t>las</w:t>
      </w:r>
      <w:r>
        <w:rPr>
          <w:color w:val="231F20"/>
          <w:spacing w:val="-25"/>
          <w:w w:val="105"/>
        </w:rPr>
        <w:t> </w:t>
      </w:r>
      <w:r>
        <w:rPr>
          <w:color w:val="231F20"/>
          <w:w w:val="105"/>
        </w:rPr>
        <w:t>opciones</w:t>
      </w:r>
      <w:r>
        <w:rPr>
          <w:color w:val="231F20"/>
          <w:spacing w:val="-25"/>
          <w:w w:val="105"/>
        </w:rPr>
        <w:t> </w:t>
      </w:r>
      <w:r>
        <w:rPr>
          <w:color w:val="231F20"/>
          <w:spacing w:val="-3"/>
          <w:w w:val="105"/>
        </w:rPr>
        <w:t>sobre</w:t>
      </w:r>
      <w:r>
        <w:rPr>
          <w:color w:val="231F20"/>
          <w:spacing w:val="-25"/>
          <w:w w:val="105"/>
        </w:rPr>
        <w:t> </w:t>
      </w:r>
      <w:r>
        <w:rPr>
          <w:color w:val="231F20"/>
          <w:w w:val="105"/>
        </w:rPr>
        <w:t>tipo</w:t>
      </w:r>
      <w:r>
        <w:rPr>
          <w:color w:val="231F20"/>
          <w:spacing w:val="-25"/>
          <w:w w:val="105"/>
        </w:rPr>
        <w:t> </w:t>
      </w:r>
      <w:r>
        <w:rPr>
          <w:color w:val="231F20"/>
          <w:w w:val="105"/>
        </w:rPr>
        <w:t>de</w:t>
      </w:r>
      <w:r>
        <w:rPr>
          <w:color w:val="231F20"/>
          <w:spacing w:val="-25"/>
          <w:w w:val="105"/>
        </w:rPr>
        <w:t> </w:t>
      </w:r>
      <w:r>
        <w:rPr>
          <w:color w:val="231F20"/>
          <w:w w:val="105"/>
        </w:rPr>
        <w:t>cambio</w:t>
      </w:r>
      <w:r>
        <w:rPr>
          <w:color w:val="231F20"/>
          <w:spacing w:val="-25"/>
          <w:w w:val="105"/>
        </w:rPr>
        <w:t> </w:t>
      </w:r>
      <w:r>
        <w:rPr>
          <w:color w:val="231F20"/>
          <w:w w:val="105"/>
        </w:rPr>
        <w:t>y</w:t>
      </w:r>
      <w:r>
        <w:rPr>
          <w:color w:val="231F20"/>
          <w:spacing w:val="-25"/>
          <w:w w:val="105"/>
        </w:rPr>
        <w:t> </w:t>
      </w:r>
      <w:r>
        <w:rPr>
          <w:color w:val="231F20"/>
          <w:w w:val="105"/>
        </w:rPr>
        <w:t>tasas de</w:t>
      </w:r>
      <w:r>
        <w:rPr>
          <w:color w:val="231F20"/>
          <w:spacing w:val="-21"/>
          <w:w w:val="105"/>
        </w:rPr>
        <w:t> </w:t>
      </w:r>
      <w:r>
        <w:rPr>
          <w:color w:val="231F20"/>
          <w:spacing w:val="-3"/>
          <w:w w:val="105"/>
        </w:rPr>
        <w:t>interés,</w:t>
      </w:r>
      <w:r>
        <w:rPr>
          <w:color w:val="231F20"/>
          <w:spacing w:val="-25"/>
          <w:w w:val="105"/>
        </w:rPr>
        <w:t> </w:t>
      </w:r>
      <w:r>
        <w:rPr>
          <w:color w:val="231F20"/>
          <w:w w:val="105"/>
        </w:rPr>
        <w:t>ambas</w:t>
      </w:r>
      <w:r>
        <w:rPr>
          <w:color w:val="231F20"/>
          <w:spacing w:val="-21"/>
          <w:w w:val="105"/>
        </w:rPr>
        <w:t> </w:t>
      </w:r>
      <w:r>
        <w:rPr>
          <w:color w:val="231F20"/>
          <w:w w:val="105"/>
        </w:rPr>
        <w:t>estocásticas,</w:t>
      </w:r>
      <w:r>
        <w:rPr>
          <w:color w:val="231F20"/>
          <w:spacing w:val="-25"/>
          <w:w w:val="105"/>
        </w:rPr>
        <w:t> </w:t>
      </w:r>
      <w:r>
        <w:rPr>
          <w:color w:val="231F20"/>
          <w:w w:val="105"/>
        </w:rPr>
        <w:t>para</w:t>
      </w:r>
      <w:r>
        <w:rPr>
          <w:color w:val="231F20"/>
          <w:spacing w:val="-21"/>
          <w:w w:val="105"/>
        </w:rPr>
        <w:t> </w:t>
      </w:r>
      <w:r>
        <w:rPr>
          <w:color w:val="231F20"/>
          <w:w w:val="105"/>
        </w:rPr>
        <w:t>cubrirse</w:t>
      </w:r>
      <w:r>
        <w:rPr>
          <w:color w:val="231F20"/>
          <w:spacing w:val="-21"/>
          <w:w w:val="105"/>
        </w:rPr>
        <w:t> </w:t>
      </w:r>
      <w:r>
        <w:rPr>
          <w:color w:val="231F20"/>
          <w:w w:val="105"/>
        </w:rPr>
        <w:t>del</w:t>
      </w:r>
      <w:r>
        <w:rPr>
          <w:color w:val="231F20"/>
          <w:spacing w:val="-21"/>
          <w:w w:val="105"/>
        </w:rPr>
        <w:t> </w:t>
      </w:r>
      <w:r>
        <w:rPr>
          <w:color w:val="231F20"/>
          <w:w w:val="105"/>
        </w:rPr>
        <w:t>riesgo</w:t>
      </w:r>
      <w:r>
        <w:rPr>
          <w:color w:val="231F20"/>
          <w:spacing w:val="-21"/>
          <w:w w:val="105"/>
        </w:rPr>
        <w:t> </w:t>
      </w:r>
      <w:r>
        <w:rPr>
          <w:color w:val="231F20"/>
          <w:w w:val="105"/>
        </w:rPr>
        <w:t>cambiario</w:t>
      </w:r>
      <w:r>
        <w:rPr>
          <w:color w:val="231F20"/>
          <w:spacing w:val="-21"/>
          <w:w w:val="105"/>
        </w:rPr>
        <w:t> </w:t>
      </w:r>
      <w:r>
        <w:rPr>
          <w:color w:val="231F20"/>
          <w:w w:val="105"/>
        </w:rPr>
        <w:t>y</w:t>
      </w:r>
      <w:r>
        <w:rPr>
          <w:color w:val="231F20"/>
          <w:spacing w:val="-21"/>
          <w:w w:val="105"/>
        </w:rPr>
        <w:t> </w:t>
      </w:r>
      <w:r>
        <w:rPr>
          <w:color w:val="231F20"/>
          <w:w w:val="105"/>
        </w:rPr>
        <w:t>miti- gar</w:t>
      </w:r>
      <w:r>
        <w:rPr>
          <w:color w:val="231F20"/>
          <w:spacing w:val="-11"/>
          <w:w w:val="105"/>
        </w:rPr>
        <w:t> </w:t>
      </w:r>
      <w:r>
        <w:rPr>
          <w:color w:val="231F20"/>
          <w:w w:val="105"/>
        </w:rPr>
        <w:t>los</w:t>
      </w:r>
      <w:r>
        <w:rPr>
          <w:color w:val="231F20"/>
          <w:spacing w:val="-11"/>
          <w:w w:val="105"/>
        </w:rPr>
        <w:t> </w:t>
      </w:r>
      <w:r>
        <w:rPr>
          <w:color w:val="231F20"/>
          <w:w w:val="105"/>
        </w:rPr>
        <w:t>efectos</w:t>
      </w:r>
      <w:r>
        <w:rPr>
          <w:color w:val="231F20"/>
          <w:spacing w:val="-11"/>
          <w:w w:val="105"/>
        </w:rPr>
        <w:t> </w:t>
      </w:r>
      <w:r>
        <w:rPr>
          <w:color w:val="231F20"/>
          <w:w w:val="105"/>
        </w:rPr>
        <w:t>ante</w:t>
      </w:r>
      <w:r>
        <w:rPr>
          <w:color w:val="231F20"/>
          <w:spacing w:val="-11"/>
          <w:w w:val="105"/>
        </w:rPr>
        <w:t> </w:t>
      </w:r>
      <w:r>
        <w:rPr>
          <w:color w:val="231F20"/>
          <w:w w:val="105"/>
        </w:rPr>
        <w:t>crisis</w:t>
      </w:r>
      <w:r>
        <w:rPr>
          <w:color w:val="231F20"/>
          <w:spacing w:val="-11"/>
          <w:w w:val="105"/>
        </w:rPr>
        <w:t> </w:t>
      </w:r>
      <w:r>
        <w:rPr>
          <w:color w:val="231F20"/>
          <w:spacing w:val="-3"/>
          <w:w w:val="105"/>
        </w:rPr>
        <w:t>imprevistas.</w:t>
      </w:r>
      <w:r>
        <w:rPr>
          <w:color w:val="231F20"/>
          <w:spacing w:val="-16"/>
          <w:w w:val="105"/>
        </w:rPr>
        <w:t> </w:t>
      </w:r>
      <w:r>
        <w:rPr>
          <w:color w:val="231F20"/>
          <w:spacing w:val="-7"/>
          <w:w w:val="105"/>
        </w:rPr>
        <w:t>Por</w:t>
      </w:r>
      <w:r>
        <w:rPr>
          <w:color w:val="231F20"/>
          <w:spacing w:val="-11"/>
          <w:w w:val="105"/>
        </w:rPr>
        <w:t> </w:t>
      </w:r>
      <w:r>
        <w:rPr>
          <w:color w:val="231F20"/>
          <w:w w:val="105"/>
        </w:rPr>
        <w:t>lo</w:t>
      </w:r>
      <w:r>
        <w:rPr>
          <w:color w:val="231F20"/>
          <w:spacing w:val="-11"/>
          <w:w w:val="105"/>
        </w:rPr>
        <w:t> </w:t>
      </w:r>
      <w:r>
        <w:rPr>
          <w:color w:val="231F20"/>
          <w:spacing w:val="-2"/>
          <w:w w:val="105"/>
        </w:rPr>
        <w:t>tanto,</w:t>
      </w:r>
      <w:r>
        <w:rPr>
          <w:color w:val="231F20"/>
          <w:spacing w:val="-16"/>
          <w:w w:val="105"/>
        </w:rPr>
        <w:t> </w:t>
      </w:r>
      <w:r>
        <w:rPr>
          <w:color w:val="231F20"/>
          <w:w w:val="105"/>
        </w:rPr>
        <w:t>es</w:t>
      </w:r>
      <w:r>
        <w:rPr>
          <w:color w:val="231F20"/>
          <w:spacing w:val="-11"/>
          <w:w w:val="105"/>
        </w:rPr>
        <w:t> </w:t>
      </w:r>
      <w:r>
        <w:rPr>
          <w:color w:val="231F20"/>
          <w:w w:val="105"/>
        </w:rPr>
        <w:t>necesario</w:t>
      </w:r>
      <w:r>
        <w:rPr>
          <w:color w:val="231F20"/>
          <w:spacing w:val="-11"/>
          <w:w w:val="105"/>
        </w:rPr>
        <w:t> </w:t>
      </w:r>
      <w:r>
        <w:rPr>
          <w:color w:val="231F20"/>
          <w:w w:val="105"/>
        </w:rPr>
        <w:t>estimar los</w:t>
      </w:r>
      <w:r>
        <w:rPr>
          <w:color w:val="231F20"/>
          <w:spacing w:val="-17"/>
          <w:w w:val="105"/>
        </w:rPr>
        <w:t> </w:t>
      </w:r>
      <w:r>
        <w:rPr>
          <w:color w:val="231F20"/>
          <w:spacing w:val="-3"/>
          <w:w w:val="105"/>
        </w:rPr>
        <w:t>parámetros</w:t>
      </w:r>
      <w:r>
        <w:rPr>
          <w:color w:val="231F20"/>
          <w:spacing w:val="-17"/>
          <w:w w:val="105"/>
        </w:rPr>
        <w:t> </w:t>
      </w:r>
      <w:r>
        <w:rPr>
          <w:color w:val="231F20"/>
          <w:w w:val="105"/>
        </w:rPr>
        <w:t>del</w:t>
      </w:r>
      <w:r>
        <w:rPr>
          <w:color w:val="231F20"/>
          <w:spacing w:val="-17"/>
          <w:w w:val="105"/>
        </w:rPr>
        <w:t> </w:t>
      </w:r>
      <w:r>
        <w:rPr>
          <w:color w:val="231F20"/>
          <w:w w:val="105"/>
        </w:rPr>
        <w:t>modelo</w:t>
      </w:r>
      <w:r>
        <w:rPr>
          <w:color w:val="231F20"/>
          <w:spacing w:val="-17"/>
          <w:w w:val="105"/>
        </w:rPr>
        <w:t> </w:t>
      </w:r>
      <w:r>
        <w:rPr>
          <w:color w:val="231F20"/>
          <w:w w:val="105"/>
        </w:rPr>
        <w:t>de</w:t>
      </w:r>
      <w:r>
        <w:rPr>
          <w:color w:val="231F20"/>
          <w:spacing w:val="-17"/>
          <w:w w:val="105"/>
        </w:rPr>
        <w:t> </w:t>
      </w:r>
      <w:r>
        <w:rPr>
          <w:color w:val="231F20"/>
          <w:w w:val="105"/>
        </w:rPr>
        <w:t>dos</w:t>
      </w:r>
      <w:r>
        <w:rPr>
          <w:color w:val="231F20"/>
          <w:spacing w:val="-17"/>
          <w:w w:val="105"/>
        </w:rPr>
        <w:t> </w:t>
      </w:r>
      <w:r>
        <w:rPr>
          <w:color w:val="231F20"/>
          <w:spacing w:val="-3"/>
          <w:w w:val="105"/>
        </w:rPr>
        <w:t>factores</w:t>
      </w:r>
      <w:r>
        <w:rPr>
          <w:color w:val="231F20"/>
          <w:spacing w:val="-17"/>
          <w:w w:val="105"/>
        </w:rPr>
        <w:t> </w:t>
      </w:r>
      <w:r>
        <w:rPr>
          <w:color w:val="231F20"/>
          <w:w w:val="105"/>
        </w:rPr>
        <w:t>y</w:t>
      </w:r>
      <w:r>
        <w:rPr>
          <w:color w:val="231F20"/>
          <w:spacing w:val="-17"/>
          <w:w w:val="105"/>
        </w:rPr>
        <w:t> </w:t>
      </w:r>
      <w:r>
        <w:rPr>
          <w:color w:val="231F20"/>
          <w:w w:val="105"/>
        </w:rPr>
        <w:t>calcular</w:t>
      </w:r>
      <w:r>
        <w:rPr>
          <w:color w:val="231F20"/>
          <w:spacing w:val="-17"/>
          <w:w w:val="105"/>
        </w:rPr>
        <w:t> </w:t>
      </w:r>
      <w:r>
        <w:rPr>
          <w:color w:val="231F20"/>
          <w:w w:val="105"/>
        </w:rPr>
        <w:t>la</w:t>
      </w:r>
      <w:r>
        <w:rPr>
          <w:color w:val="231F20"/>
          <w:spacing w:val="-17"/>
          <w:w w:val="105"/>
        </w:rPr>
        <w:t> </w:t>
      </w:r>
      <w:r>
        <w:rPr>
          <w:color w:val="231F20"/>
          <w:w w:val="105"/>
        </w:rPr>
        <w:t>prima</w:t>
      </w:r>
      <w:r>
        <w:rPr>
          <w:color w:val="231F20"/>
          <w:spacing w:val="-17"/>
          <w:w w:val="105"/>
        </w:rPr>
        <w:t> </w:t>
      </w:r>
      <w:r>
        <w:rPr>
          <w:color w:val="231F20"/>
          <w:w w:val="105"/>
        </w:rPr>
        <w:t>de</w:t>
      </w:r>
      <w:r>
        <w:rPr>
          <w:color w:val="231F20"/>
          <w:spacing w:val="-17"/>
          <w:w w:val="105"/>
        </w:rPr>
        <w:t> </w:t>
      </w:r>
      <w:r>
        <w:rPr>
          <w:color w:val="231F20"/>
          <w:w w:val="105"/>
        </w:rPr>
        <w:t>riesgo.</w:t>
      </w:r>
    </w:p>
    <w:p>
      <w:pPr>
        <w:spacing w:before="162"/>
        <w:ind w:left="117" w:right="0" w:firstLine="0"/>
        <w:jc w:val="both"/>
        <w:rPr>
          <w:i/>
          <w:sz w:val="21"/>
        </w:rPr>
      </w:pPr>
      <w:r>
        <w:rPr>
          <w:i/>
          <w:color w:val="231F20"/>
          <w:w w:val="105"/>
          <w:sz w:val="21"/>
        </w:rPr>
        <w:t>Análisis estadístico de los datos</w:t>
      </w:r>
    </w:p>
    <w:p>
      <w:pPr>
        <w:pStyle w:val="BodyText"/>
        <w:spacing w:before="4"/>
        <w:rPr>
          <w:i/>
          <w:sz w:val="16"/>
        </w:rPr>
      </w:pPr>
    </w:p>
    <w:p>
      <w:pPr>
        <w:pStyle w:val="BodyText"/>
        <w:spacing w:line="259" w:lineRule="auto"/>
        <w:ind w:left="117" w:right="120"/>
        <w:jc w:val="both"/>
      </w:pPr>
      <w:r>
        <w:rPr>
          <w:color w:val="231F20"/>
          <w:w w:val="105"/>
        </w:rPr>
        <w:t>En la figura 2 se muestran las estadísticas básicas de los</w:t>
      </w:r>
      <w:r>
        <w:rPr>
          <w:color w:val="231F20"/>
          <w:spacing w:val="-9"/>
          <w:w w:val="105"/>
        </w:rPr>
        <w:t> </w:t>
      </w:r>
      <w:r>
        <w:rPr>
          <w:color w:val="231F20"/>
          <w:w w:val="105"/>
        </w:rPr>
        <w:t>rendimientos del</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cambio</w:t>
      </w:r>
      <w:r>
        <w:rPr>
          <w:color w:val="231F20"/>
          <w:spacing w:val="-11"/>
          <w:w w:val="105"/>
        </w:rPr>
        <w:t> </w:t>
      </w:r>
      <w:r>
        <w:rPr>
          <w:color w:val="231F20"/>
          <w:w w:val="105"/>
        </w:rPr>
        <w:t>mx/usd,</w:t>
      </w:r>
      <w:r>
        <w:rPr>
          <w:color w:val="231F20"/>
          <w:spacing w:val="-18"/>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cambios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tasas</w:t>
      </w:r>
      <w:r>
        <w:rPr>
          <w:color w:val="231F20"/>
          <w:spacing w:val="-11"/>
          <w:w w:val="105"/>
        </w:rPr>
        <w:t> </w:t>
      </w:r>
      <w:r>
        <w:rPr>
          <w:color w:val="231F20"/>
          <w:w w:val="105"/>
        </w:rPr>
        <w:t>de</w:t>
      </w:r>
      <w:r>
        <w:rPr>
          <w:color w:val="231F20"/>
          <w:spacing w:val="-11"/>
          <w:w w:val="105"/>
        </w:rPr>
        <w:t> </w:t>
      </w:r>
      <w:r>
        <w:rPr>
          <w:color w:val="231F20"/>
          <w:w w:val="105"/>
        </w:rPr>
        <w:t>interés</w:t>
      </w:r>
      <w:r>
        <w:rPr>
          <w:color w:val="231F20"/>
          <w:spacing w:val="-11"/>
          <w:w w:val="105"/>
        </w:rPr>
        <w:t> </w:t>
      </w:r>
      <w:r>
        <w:rPr>
          <w:color w:val="231F20"/>
          <w:w w:val="105"/>
        </w:rPr>
        <w:t>libre</w:t>
      </w:r>
      <w:r>
        <w:rPr>
          <w:color w:val="231F20"/>
          <w:spacing w:val="-11"/>
          <w:w w:val="105"/>
        </w:rPr>
        <w:t> </w:t>
      </w:r>
      <w:r>
        <w:rPr>
          <w:color w:val="231F20"/>
          <w:w w:val="105"/>
        </w:rPr>
        <w:t>de riesgo a 91 días. El tipo de cambio presenta un rendimiento promedio de 0.0000841 pesos por dólar, observándose el 9 de marzo de 2009</w:t>
      </w:r>
      <w:r>
        <w:rPr>
          <w:color w:val="231F20"/>
          <w:spacing w:val="-17"/>
          <w:w w:val="105"/>
        </w:rPr>
        <w:t> </w:t>
      </w:r>
      <w:r>
        <w:rPr>
          <w:color w:val="231F20"/>
          <w:w w:val="105"/>
        </w:rPr>
        <w:t>el valor máximo de 0.0667, un mínimo de -0.0576 el 4 de agosto de</w:t>
      </w:r>
      <w:r>
        <w:rPr>
          <w:color w:val="231F20"/>
          <w:spacing w:val="-20"/>
          <w:w w:val="105"/>
        </w:rPr>
        <w:t> </w:t>
      </w:r>
      <w:r>
        <w:rPr>
          <w:color w:val="231F20"/>
          <w:w w:val="105"/>
        </w:rPr>
        <w:t>2008 y</w:t>
      </w:r>
      <w:r>
        <w:rPr>
          <w:color w:val="231F20"/>
          <w:spacing w:val="-9"/>
          <w:w w:val="105"/>
        </w:rPr>
        <w:t> </w:t>
      </w:r>
      <w:r>
        <w:rPr>
          <w:color w:val="231F20"/>
          <w:w w:val="105"/>
        </w:rPr>
        <w:t>una</w:t>
      </w:r>
      <w:r>
        <w:rPr>
          <w:color w:val="231F20"/>
          <w:spacing w:val="-9"/>
          <w:w w:val="105"/>
        </w:rPr>
        <w:t> </w:t>
      </w:r>
      <w:r>
        <w:rPr>
          <w:color w:val="231F20"/>
          <w:w w:val="105"/>
        </w:rPr>
        <w:t>desviación</w:t>
      </w:r>
      <w:r>
        <w:rPr>
          <w:color w:val="231F20"/>
          <w:spacing w:val="-9"/>
          <w:w w:val="105"/>
        </w:rPr>
        <w:t> </w:t>
      </w:r>
      <w:r>
        <w:rPr>
          <w:color w:val="231F20"/>
          <w:w w:val="105"/>
        </w:rPr>
        <w:t>estándar</w:t>
      </w:r>
      <w:r>
        <w:rPr>
          <w:color w:val="231F20"/>
          <w:spacing w:val="-9"/>
          <w:w w:val="105"/>
        </w:rPr>
        <w:t> </w:t>
      </w:r>
      <w:r>
        <w:rPr>
          <w:color w:val="231F20"/>
          <w:w w:val="105"/>
        </w:rPr>
        <w:t>de</w:t>
      </w:r>
      <w:r>
        <w:rPr>
          <w:color w:val="231F20"/>
          <w:spacing w:val="-9"/>
          <w:w w:val="105"/>
        </w:rPr>
        <w:t> </w:t>
      </w:r>
      <w:r>
        <w:rPr>
          <w:color w:val="231F20"/>
          <w:w w:val="105"/>
        </w:rPr>
        <w:t>0.007048</w:t>
      </w:r>
      <w:r>
        <w:rPr>
          <w:color w:val="231F20"/>
          <w:spacing w:val="-9"/>
          <w:w w:val="105"/>
        </w:rPr>
        <w:t> </w:t>
      </w:r>
      <w:r>
        <w:rPr>
          <w:color w:val="231F20"/>
          <w:w w:val="105"/>
        </w:rPr>
        <w:t>pesos</w:t>
      </w:r>
      <w:r>
        <w:rPr>
          <w:color w:val="231F20"/>
          <w:spacing w:val="-9"/>
          <w:w w:val="105"/>
        </w:rPr>
        <w:t> </w:t>
      </w:r>
      <w:r>
        <w:rPr>
          <w:color w:val="231F20"/>
          <w:w w:val="105"/>
        </w:rPr>
        <w:t>por</w:t>
      </w:r>
      <w:r>
        <w:rPr>
          <w:color w:val="231F20"/>
          <w:spacing w:val="-9"/>
          <w:w w:val="105"/>
        </w:rPr>
        <w:t> </w:t>
      </w:r>
      <w:r>
        <w:rPr>
          <w:color w:val="231F20"/>
          <w:w w:val="105"/>
        </w:rPr>
        <w:t>dólar.</w:t>
      </w:r>
      <w:r>
        <w:rPr>
          <w:color w:val="231F20"/>
          <w:spacing w:val="-14"/>
          <w:w w:val="105"/>
        </w:rPr>
        <w:t> </w:t>
      </w:r>
      <w:r>
        <w:rPr>
          <w:color w:val="231F20"/>
          <w:w w:val="105"/>
        </w:rPr>
        <w:t>Respecto</w:t>
      </w:r>
      <w:r>
        <w:rPr>
          <w:color w:val="231F20"/>
          <w:spacing w:val="-9"/>
          <w:w w:val="105"/>
        </w:rPr>
        <w:t> </w:t>
      </w:r>
      <w:r>
        <w:rPr>
          <w:color w:val="231F20"/>
          <w:w w:val="105"/>
        </w:rPr>
        <w:t>a</w:t>
      </w:r>
      <w:r>
        <w:rPr>
          <w:color w:val="231F20"/>
          <w:spacing w:val="-9"/>
          <w:w w:val="105"/>
        </w:rPr>
        <w:t> </w:t>
      </w:r>
      <w:r>
        <w:rPr>
          <w:color w:val="231F20"/>
          <w:w w:val="105"/>
        </w:rPr>
        <w:t>los cambios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tasa</w:t>
      </w:r>
      <w:r>
        <w:rPr>
          <w:color w:val="231F20"/>
          <w:spacing w:val="-10"/>
          <w:w w:val="105"/>
        </w:rPr>
        <w:t> </w:t>
      </w:r>
      <w:r>
        <w:rPr>
          <w:color w:val="231F20"/>
          <w:w w:val="105"/>
        </w:rPr>
        <w:t>de</w:t>
      </w:r>
      <w:r>
        <w:rPr>
          <w:color w:val="231F20"/>
          <w:spacing w:val="-10"/>
          <w:w w:val="105"/>
        </w:rPr>
        <w:t> </w:t>
      </w:r>
      <w:r>
        <w:rPr>
          <w:color w:val="231F20"/>
          <w:w w:val="105"/>
        </w:rPr>
        <w:t>interés</w:t>
      </w:r>
      <w:r>
        <w:rPr>
          <w:color w:val="231F20"/>
          <w:spacing w:val="-10"/>
          <w:w w:val="105"/>
        </w:rPr>
        <w:t> </w:t>
      </w:r>
      <w:r>
        <w:rPr>
          <w:color w:val="231F20"/>
          <w:w w:val="105"/>
        </w:rPr>
        <w:t>libre</w:t>
      </w:r>
      <w:r>
        <w:rPr>
          <w:color w:val="231F20"/>
          <w:spacing w:val="-10"/>
          <w:w w:val="105"/>
        </w:rPr>
        <w:t> </w:t>
      </w:r>
      <w:r>
        <w:rPr>
          <w:color w:val="231F20"/>
          <w:w w:val="105"/>
        </w:rPr>
        <w:t>de</w:t>
      </w:r>
      <w:r>
        <w:rPr>
          <w:color w:val="231F20"/>
          <w:spacing w:val="-10"/>
          <w:w w:val="105"/>
        </w:rPr>
        <w:t> </w:t>
      </w:r>
      <w:r>
        <w:rPr>
          <w:color w:val="231F20"/>
          <w:w w:val="105"/>
        </w:rPr>
        <w:t>riesgo,</w:t>
      </w:r>
      <w:r>
        <w:rPr>
          <w:color w:val="231F20"/>
          <w:spacing w:val="-15"/>
          <w:w w:val="105"/>
        </w:rPr>
        <w:t> </w:t>
      </w:r>
      <w:r>
        <w:rPr>
          <w:color w:val="231F20"/>
          <w:w w:val="105"/>
        </w:rPr>
        <w:t>medida</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CETES</w:t>
      </w:r>
      <w:r>
        <w:rPr>
          <w:color w:val="231F20"/>
          <w:w w:val="105"/>
          <w:position w:val="7"/>
          <w:sz w:val="12"/>
        </w:rPr>
        <w:t>4</w:t>
      </w:r>
      <w:r>
        <w:rPr>
          <w:color w:val="231F20"/>
          <w:w w:val="105"/>
        </w:rPr>
        <w:t>,</w:t>
      </w:r>
      <w:r>
        <w:rPr>
          <w:color w:val="231F20"/>
          <w:spacing w:val="-15"/>
          <w:w w:val="105"/>
        </w:rPr>
        <w:t> </w:t>
      </w:r>
      <w:r>
        <w:rPr>
          <w:color w:val="231F20"/>
          <w:w w:val="105"/>
        </w:rPr>
        <w:t>el valor</w:t>
      </w:r>
      <w:r>
        <w:rPr>
          <w:color w:val="231F20"/>
          <w:spacing w:val="-13"/>
          <w:w w:val="105"/>
        </w:rPr>
        <w:t> </w:t>
      </w:r>
      <w:r>
        <w:rPr>
          <w:color w:val="231F20"/>
          <w:w w:val="105"/>
        </w:rPr>
        <w:t>medio</w:t>
      </w:r>
      <w:r>
        <w:rPr>
          <w:color w:val="231F20"/>
          <w:spacing w:val="-13"/>
          <w:w w:val="105"/>
        </w:rPr>
        <w:t> </w:t>
      </w:r>
      <w:r>
        <w:rPr>
          <w:color w:val="231F20"/>
          <w:w w:val="105"/>
        </w:rPr>
        <w:t>es</w:t>
      </w:r>
      <w:r>
        <w:rPr>
          <w:color w:val="231F20"/>
          <w:spacing w:val="-13"/>
          <w:w w:val="105"/>
        </w:rPr>
        <w:t> </w:t>
      </w:r>
      <w:r>
        <w:rPr>
          <w:color w:val="231F20"/>
          <w:w w:val="105"/>
        </w:rPr>
        <w:t>de</w:t>
      </w:r>
      <w:r>
        <w:rPr>
          <w:color w:val="231F20"/>
          <w:spacing w:val="-13"/>
          <w:w w:val="105"/>
        </w:rPr>
        <w:t> </w:t>
      </w:r>
      <w:r>
        <w:rPr>
          <w:color w:val="231F20"/>
          <w:w w:val="105"/>
        </w:rPr>
        <w:t>-0.000015</w:t>
      </w:r>
      <w:r>
        <w:rPr>
          <w:color w:val="231F20"/>
          <w:spacing w:val="-13"/>
          <w:w w:val="105"/>
        </w:rPr>
        <w:t> </w:t>
      </w:r>
      <w:r>
        <w:rPr>
          <w:color w:val="231F20"/>
          <w:w w:val="105"/>
        </w:rPr>
        <w:t>puntos</w:t>
      </w:r>
      <w:r>
        <w:rPr>
          <w:color w:val="231F20"/>
          <w:spacing w:val="-13"/>
          <w:w w:val="105"/>
        </w:rPr>
        <w:t> </w:t>
      </w:r>
      <w:r>
        <w:rPr>
          <w:color w:val="231F20"/>
          <w:w w:val="105"/>
        </w:rPr>
        <w:t>porcentuales,</w:t>
      </w:r>
      <w:r>
        <w:rPr>
          <w:color w:val="231F20"/>
          <w:spacing w:val="-19"/>
          <w:w w:val="105"/>
        </w:rPr>
        <w:t> </w:t>
      </w:r>
      <w:r>
        <w:rPr>
          <w:color w:val="231F20"/>
          <w:w w:val="105"/>
        </w:rPr>
        <w:t>presentando</w:t>
      </w:r>
      <w:r>
        <w:rPr>
          <w:color w:val="231F20"/>
          <w:spacing w:val="-13"/>
          <w:w w:val="105"/>
        </w:rPr>
        <w:t> </w:t>
      </w:r>
      <w:r>
        <w:rPr>
          <w:color w:val="231F20"/>
          <w:w w:val="105"/>
        </w:rPr>
        <w:t>un</w:t>
      </w:r>
      <w:r>
        <w:rPr>
          <w:color w:val="231F20"/>
          <w:spacing w:val="-13"/>
          <w:w w:val="105"/>
        </w:rPr>
        <w:t> </w:t>
      </w:r>
      <w:r>
        <w:rPr>
          <w:color w:val="231F20"/>
          <w:w w:val="105"/>
        </w:rPr>
        <w:t>valor máximo</w:t>
      </w:r>
      <w:r>
        <w:rPr>
          <w:color w:val="231F20"/>
          <w:spacing w:val="-6"/>
          <w:w w:val="105"/>
        </w:rPr>
        <w:t> </w:t>
      </w:r>
      <w:r>
        <w:rPr>
          <w:color w:val="231F20"/>
          <w:w w:val="105"/>
        </w:rPr>
        <w:t>de</w:t>
      </w:r>
      <w:r>
        <w:rPr>
          <w:color w:val="231F20"/>
          <w:spacing w:val="-6"/>
          <w:w w:val="105"/>
        </w:rPr>
        <w:t> </w:t>
      </w:r>
      <w:r>
        <w:rPr>
          <w:color w:val="231F20"/>
          <w:w w:val="105"/>
        </w:rPr>
        <w:t>0.004182</w:t>
      </w:r>
      <w:r>
        <w:rPr>
          <w:color w:val="231F20"/>
          <w:spacing w:val="-6"/>
          <w:w w:val="105"/>
        </w:rPr>
        <w:t> </w:t>
      </w:r>
      <w:r>
        <w:rPr>
          <w:color w:val="231F20"/>
          <w:w w:val="105"/>
        </w:rPr>
        <w:t>el</w:t>
      </w:r>
      <w:r>
        <w:rPr>
          <w:color w:val="231F20"/>
          <w:spacing w:val="-6"/>
          <w:w w:val="105"/>
        </w:rPr>
        <w:t> </w:t>
      </w:r>
      <w:r>
        <w:rPr>
          <w:color w:val="231F20"/>
          <w:w w:val="105"/>
        </w:rPr>
        <w:t>día</w:t>
      </w:r>
      <w:r>
        <w:rPr>
          <w:color w:val="231F20"/>
          <w:spacing w:val="-6"/>
          <w:w w:val="105"/>
        </w:rPr>
        <w:t> </w:t>
      </w:r>
      <w:r>
        <w:rPr>
          <w:color w:val="231F20"/>
          <w:w w:val="105"/>
        </w:rPr>
        <w:t>2</w:t>
      </w:r>
      <w:r>
        <w:rPr>
          <w:color w:val="231F20"/>
          <w:spacing w:val="-6"/>
          <w:w w:val="105"/>
        </w:rPr>
        <w:t> </w:t>
      </w:r>
      <w:r>
        <w:rPr>
          <w:color w:val="231F20"/>
          <w:w w:val="105"/>
        </w:rPr>
        <w:t>de</w:t>
      </w:r>
      <w:r>
        <w:rPr>
          <w:color w:val="231F20"/>
          <w:spacing w:val="-6"/>
          <w:w w:val="105"/>
        </w:rPr>
        <w:t> </w:t>
      </w:r>
      <w:r>
        <w:rPr>
          <w:color w:val="231F20"/>
          <w:w w:val="105"/>
        </w:rPr>
        <w:t>mayo</w:t>
      </w:r>
      <w:r>
        <w:rPr>
          <w:color w:val="231F20"/>
          <w:spacing w:val="-6"/>
          <w:w w:val="105"/>
        </w:rPr>
        <w:t> </w:t>
      </w:r>
      <w:r>
        <w:rPr>
          <w:color w:val="231F20"/>
          <w:w w:val="105"/>
        </w:rPr>
        <w:t>de</w:t>
      </w:r>
      <w:r>
        <w:rPr>
          <w:color w:val="231F20"/>
          <w:spacing w:val="-6"/>
          <w:w w:val="105"/>
        </w:rPr>
        <w:t> </w:t>
      </w:r>
      <w:r>
        <w:rPr>
          <w:color w:val="231F20"/>
          <w:w w:val="105"/>
        </w:rPr>
        <w:t>2005</w:t>
      </w:r>
      <w:r>
        <w:rPr>
          <w:color w:val="231F20"/>
          <w:spacing w:val="-6"/>
          <w:w w:val="105"/>
        </w:rPr>
        <w:t> </w:t>
      </w:r>
      <w:r>
        <w:rPr>
          <w:color w:val="231F20"/>
          <w:w w:val="105"/>
        </w:rPr>
        <w:t>y</w:t>
      </w:r>
      <w:r>
        <w:rPr>
          <w:color w:val="231F20"/>
          <w:spacing w:val="-6"/>
          <w:w w:val="105"/>
        </w:rPr>
        <w:t> </w:t>
      </w:r>
      <w:r>
        <w:rPr>
          <w:color w:val="231F20"/>
          <w:w w:val="105"/>
        </w:rPr>
        <w:t>un</w:t>
      </w:r>
      <w:r>
        <w:rPr>
          <w:color w:val="231F20"/>
          <w:spacing w:val="-6"/>
          <w:w w:val="105"/>
        </w:rPr>
        <w:t> </w:t>
      </w:r>
      <w:r>
        <w:rPr>
          <w:color w:val="231F20"/>
          <w:w w:val="105"/>
        </w:rPr>
        <w:t>mínimo</w:t>
      </w:r>
      <w:r>
        <w:rPr>
          <w:color w:val="231F20"/>
          <w:spacing w:val="-6"/>
          <w:w w:val="105"/>
        </w:rPr>
        <w:t> </w:t>
      </w:r>
      <w:r>
        <w:rPr>
          <w:color w:val="231F20"/>
          <w:w w:val="105"/>
        </w:rPr>
        <w:t>de</w:t>
      </w:r>
      <w:r>
        <w:rPr>
          <w:color w:val="231F20"/>
          <w:spacing w:val="-6"/>
          <w:w w:val="105"/>
        </w:rPr>
        <w:t> </w:t>
      </w:r>
      <w:r>
        <w:rPr>
          <w:color w:val="231F20"/>
          <w:w w:val="105"/>
        </w:rPr>
        <w:t>-0.0065</w:t>
      </w:r>
    </w:p>
    <w:p>
      <w:pPr>
        <w:pStyle w:val="BodyText"/>
        <w:spacing w:before="5"/>
        <w:rPr>
          <w:sz w:val="18"/>
        </w:rPr>
      </w:pPr>
      <w:r>
        <w:rPr/>
        <w:pict>
          <v:line style="position:absolute;mso-position-horizontal-relative:page;mso-position-vertical-relative:paragraph;z-index:7744;mso-wrap-distance-left:0;mso-wrap-distance-right:0" from="70.866096pt,12.686462pt" to="184.252096pt,12.686462pt" stroked="true" strokeweight=".25pt" strokecolor="#231f20">
            <w10:wrap type="topAndBottom"/>
          </v:line>
        </w:pict>
      </w:r>
    </w:p>
    <w:p>
      <w:pPr>
        <w:spacing w:line="192" w:lineRule="exact" w:before="7"/>
        <w:ind w:left="117" w:right="0" w:firstLine="0"/>
        <w:jc w:val="left"/>
        <w:rPr>
          <w:rFonts w:ascii="Calibri" w:hAnsi="Calibri"/>
          <w:sz w:val="16"/>
        </w:rPr>
      </w:pPr>
      <w:r>
        <w:rPr>
          <w:rFonts w:ascii="Calibri" w:hAnsi="Calibri"/>
          <w:color w:val="414042"/>
          <w:w w:val="105"/>
          <w:position w:val="5"/>
          <w:sz w:val="9"/>
        </w:rPr>
        <w:t>3 </w:t>
      </w:r>
      <w:r>
        <w:rPr>
          <w:rFonts w:ascii="Calibri" w:hAnsi="Calibri"/>
          <w:color w:val="414042"/>
          <w:w w:val="105"/>
          <w:sz w:val="16"/>
        </w:rPr>
        <w:t>El corto es una señal de restricción monetaria, la cual interpreta el sistema bancario como una inten- ción firme de limitar la demanda de dinero y evitar presiones inflacionarias.</w:t>
      </w:r>
    </w:p>
    <w:p>
      <w:pPr>
        <w:spacing w:before="1"/>
        <w:ind w:left="117" w:right="114" w:firstLine="0"/>
        <w:jc w:val="left"/>
        <w:rPr>
          <w:rFonts w:ascii="Calibri" w:hAnsi="Calibri"/>
          <w:sz w:val="16"/>
        </w:rPr>
      </w:pPr>
      <w:r>
        <w:rPr>
          <w:rFonts w:ascii="Calibri" w:hAnsi="Calibri"/>
          <w:color w:val="414042"/>
          <w:position w:val="5"/>
          <w:sz w:val="9"/>
        </w:rPr>
        <w:t>4      </w:t>
      </w:r>
      <w:r>
        <w:rPr>
          <w:rFonts w:ascii="Calibri" w:hAnsi="Calibri"/>
          <w:color w:val="414042"/>
          <w:sz w:val="16"/>
        </w:rPr>
        <w:t>CETES a 91 días, ya que representan el menor riesgo de insolvencia y el mayor  rendimiento.</w:t>
      </w:r>
    </w:p>
    <w:p>
      <w:pPr>
        <w:spacing w:after="0"/>
        <w:jc w:val="left"/>
        <w:rPr>
          <w:rFonts w:ascii="Calibri" w:hAnsi="Calibri"/>
          <w:sz w:val="16"/>
        </w:rPr>
        <w:sectPr>
          <w:type w:val="continuous"/>
          <w:pgSz w:w="9640" w:h="13890"/>
          <w:pgMar w:top="1300" w:bottom="280" w:left="1300" w:right="1180"/>
        </w:sectPr>
      </w:pPr>
    </w:p>
    <w:p>
      <w:pPr>
        <w:pStyle w:val="BodyText"/>
        <w:spacing w:line="259" w:lineRule="auto" w:before="120"/>
        <w:ind w:left="103" w:right="114"/>
        <w:jc w:val="both"/>
      </w:pPr>
      <w:r>
        <w:rPr>
          <w:color w:val="231F20"/>
          <w:w w:val="105"/>
        </w:rPr>
        <w:t>puntos</w:t>
      </w:r>
      <w:r>
        <w:rPr>
          <w:color w:val="231F20"/>
          <w:spacing w:val="-7"/>
          <w:w w:val="105"/>
        </w:rPr>
        <w:t> </w:t>
      </w:r>
      <w:r>
        <w:rPr>
          <w:color w:val="231F20"/>
          <w:w w:val="105"/>
        </w:rPr>
        <w:t>porcentuales</w:t>
      </w:r>
      <w:r>
        <w:rPr>
          <w:color w:val="231F20"/>
          <w:spacing w:val="-7"/>
          <w:w w:val="105"/>
        </w:rPr>
        <w:t> </w:t>
      </w:r>
      <w:r>
        <w:rPr>
          <w:color w:val="231F20"/>
          <w:w w:val="105"/>
        </w:rPr>
        <w:t>el</w:t>
      </w:r>
      <w:r>
        <w:rPr>
          <w:color w:val="231F20"/>
          <w:spacing w:val="-7"/>
          <w:w w:val="105"/>
        </w:rPr>
        <w:t> </w:t>
      </w:r>
      <w:r>
        <w:rPr>
          <w:color w:val="231F20"/>
          <w:w w:val="105"/>
        </w:rPr>
        <w:t>19</w:t>
      </w:r>
      <w:r>
        <w:rPr>
          <w:color w:val="231F20"/>
          <w:spacing w:val="-7"/>
          <w:w w:val="105"/>
        </w:rPr>
        <w:t> </w:t>
      </w:r>
      <w:r>
        <w:rPr>
          <w:color w:val="231F20"/>
          <w:w w:val="105"/>
        </w:rPr>
        <w:t>de</w:t>
      </w:r>
      <w:r>
        <w:rPr>
          <w:color w:val="231F20"/>
          <w:spacing w:val="-7"/>
          <w:w w:val="105"/>
        </w:rPr>
        <w:t> </w:t>
      </w:r>
      <w:r>
        <w:rPr>
          <w:color w:val="231F20"/>
          <w:w w:val="105"/>
        </w:rPr>
        <w:t>diciembre</w:t>
      </w:r>
      <w:r>
        <w:rPr>
          <w:color w:val="231F20"/>
          <w:spacing w:val="-7"/>
          <w:w w:val="105"/>
        </w:rPr>
        <w:t> </w:t>
      </w:r>
      <w:r>
        <w:rPr>
          <w:color w:val="231F20"/>
          <w:w w:val="105"/>
        </w:rPr>
        <w:t>de</w:t>
      </w:r>
      <w:r>
        <w:rPr>
          <w:color w:val="231F20"/>
          <w:spacing w:val="-7"/>
          <w:w w:val="105"/>
        </w:rPr>
        <w:t> </w:t>
      </w:r>
      <w:r>
        <w:rPr>
          <w:color w:val="231F20"/>
          <w:w w:val="105"/>
        </w:rPr>
        <w:t>2012;</w:t>
      </w:r>
      <w:r>
        <w:rPr>
          <w:color w:val="231F20"/>
          <w:spacing w:val="-7"/>
          <w:w w:val="105"/>
        </w:rPr>
        <w:t> </w:t>
      </w:r>
      <w:r>
        <w:rPr>
          <w:color w:val="231F20"/>
          <w:w w:val="105"/>
        </w:rPr>
        <w:t>en</w:t>
      </w:r>
      <w:r>
        <w:rPr>
          <w:color w:val="231F20"/>
          <w:spacing w:val="-7"/>
          <w:w w:val="105"/>
        </w:rPr>
        <w:t> </w:t>
      </w:r>
      <w:r>
        <w:rPr>
          <w:color w:val="231F20"/>
          <w:w w:val="105"/>
        </w:rPr>
        <w:t>cuanto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desvia- ción</w:t>
      </w:r>
      <w:r>
        <w:rPr>
          <w:color w:val="231F20"/>
          <w:spacing w:val="-14"/>
          <w:w w:val="105"/>
        </w:rPr>
        <w:t> </w:t>
      </w:r>
      <w:r>
        <w:rPr>
          <w:color w:val="231F20"/>
          <w:w w:val="105"/>
        </w:rPr>
        <w:t>estándar,</w:t>
      </w:r>
      <w:r>
        <w:rPr>
          <w:color w:val="231F20"/>
          <w:spacing w:val="-21"/>
          <w:w w:val="105"/>
        </w:rPr>
        <w:t> </w:t>
      </w:r>
      <w:r>
        <w:rPr>
          <w:color w:val="231F20"/>
          <w:w w:val="105"/>
        </w:rPr>
        <w:t>para</w:t>
      </w:r>
      <w:r>
        <w:rPr>
          <w:color w:val="231F20"/>
          <w:spacing w:val="-14"/>
          <w:w w:val="105"/>
        </w:rPr>
        <w:t> </w:t>
      </w:r>
      <w:r>
        <w:rPr>
          <w:color w:val="231F20"/>
          <w:w w:val="105"/>
        </w:rPr>
        <w:t>los</w:t>
      </w:r>
      <w:r>
        <w:rPr>
          <w:color w:val="231F20"/>
          <w:spacing w:val="-14"/>
          <w:w w:val="105"/>
        </w:rPr>
        <w:t> </w:t>
      </w:r>
      <w:r>
        <w:rPr>
          <w:color w:val="231F20"/>
          <w:w w:val="105"/>
        </w:rPr>
        <w:t>rendimientos</w:t>
      </w:r>
      <w:r>
        <w:rPr>
          <w:color w:val="231F20"/>
          <w:spacing w:val="-14"/>
          <w:w w:val="105"/>
        </w:rPr>
        <w:t> </w:t>
      </w:r>
      <w:r>
        <w:rPr>
          <w:color w:val="231F20"/>
          <w:w w:val="105"/>
        </w:rPr>
        <w:t>del</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cambio</w:t>
      </w:r>
      <w:r>
        <w:rPr>
          <w:color w:val="231F20"/>
          <w:spacing w:val="-14"/>
          <w:w w:val="105"/>
        </w:rPr>
        <w:t> </w:t>
      </w:r>
      <w:r>
        <w:rPr>
          <w:color w:val="231F20"/>
          <w:w w:val="105"/>
        </w:rPr>
        <w:t>es</w:t>
      </w:r>
      <w:r>
        <w:rPr>
          <w:color w:val="231F20"/>
          <w:spacing w:val="-14"/>
          <w:w w:val="105"/>
        </w:rPr>
        <w:t> </w:t>
      </w:r>
      <w:r>
        <w:rPr>
          <w:color w:val="231F20"/>
          <w:w w:val="105"/>
        </w:rPr>
        <w:t>mayor</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de los</w:t>
      </w:r>
      <w:r>
        <w:rPr>
          <w:color w:val="231F20"/>
          <w:spacing w:val="-26"/>
          <w:w w:val="105"/>
        </w:rPr>
        <w:t> </w:t>
      </w:r>
      <w:r>
        <w:rPr>
          <w:color w:val="231F20"/>
          <w:w w:val="105"/>
        </w:rPr>
        <w:t>cambios</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tasas</w:t>
      </w:r>
      <w:r>
        <w:rPr>
          <w:color w:val="231F20"/>
          <w:spacing w:val="-26"/>
          <w:w w:val="105"/>
        </w:rPr>
        <w:t> </w:t>
      </w:r>
      <w:r>
        <w:rPr>
          <w:color w:val="231F20"/>
          <w:w w:val="105"/>
        </w:rPr>
        <w:t>de</w:t>
      </w:r>
      <w:r>
        <w:rPr>
          <w:color w:val="231F20"/>
          <w:spacing w:val="-26"/>
          <w:w w:val="105"/>
        </w:rPr>
        <w:t> </w:t>
      </w:r>
      <w:r>
        <w:rPr>
          <w:color w:val="231F20"/>
          <w:w w:val="105"/>
        </w:rPr>
        <w:t>interés</w:t>
      </w:r>
      <w:r>
        <w:rPr>
          <w:color w:val="231F20"/>
          <w:spacing w:val="-26"/>
          <w:w w:val="105"/>
        </w:rPr>
        <w:t> </w:t>
      </w:r>
      <w:r>
        <w:rPr>
          <w:color w:val="231F20"/>
          <w:w w:val="105"/>
        </w:rPr>
        <w:t>(0.007048</w:t>
      </w:r>
      <w:r>
        <w:rPr>
          <w:color w:val="231F20"/>
          <w:spacing w:val="-26"/>
          <w:w w:val="105"/>
        </w:rPr>
        <w:t> </w:t>
      </w:r>
      <w:r>
        <w:rPr>
          <w:color w:val="231F20"/>
          <w:w w:val="105"/>
        </w:rPr>
        <w:t>pesos</w:t>
      </w:r>
      <w:r>
        <w:rPr>
          <w:color w:val="231F20"/>
          <w:spacing w:val="-26"/>
          <w:w w:val="105"/>
        </w:rPr>
        <w:t> </w:t>
      </w:r>
      <w:r>
        <w:rPr>
          <w:color w:val="231F20"/>
          <w:w w:val="105"/>
        </w:rPr>
        <w:t>por</w:t>
      </w:r>
      <w:r>
        <w:rPr>
          <w:color w:val="231F20"/>
          <w:spacing w:val="-26"/>
          <w:w w:val="105"/>
        </w:rPr>
        <w:t> </w:t>
      </w:r>
      <w:r>
        <w:rPr>
          <w:color w:val="231F20"/>
          <w:w w:val="105"/>
        </w:rPr>
        <w:t>dólar</w:t>
      </w:r>
      <w:r>
        <w:rPr>
          <w:color w:val="231F20"/>
          <w:spacing w:val="-26"/>
          <w:w w:val="105"/>
        </w:rPr>
        <w:t> </w:t>
      </w:r>
      <w:r>
        <w:rPr>
          <w:color w:val="231F20"/>
          <w:w w:val="105"/>
        </w:rPr>
        <w:t>y</w:t>
      </w:r>
      <w:r>
        <w:rPr>
          <w:color w:val="231F20"/>
          <w:spacing w:val="-26"/>
          <w:w w:val="105"/>
        </w:rPr>
        <w:t> </w:t>
      </w:r>
      <w:r>
        <w:rPr>
          <w:color w:val="231F20"/>
          <w:w w:val="105"/>
        </w:rPr>
        <w:t>0.000639 puntos</w:t>
      </w:r>
      <w:r>
        <w:rPr>
          <w:color w:val="231F20"/>
          <w:spacing w:val="-38"/>
          <w:w w:val="105"/>
        </w:rPr>
        <w:t> </w:t>
      </w:r>
      <w:r>
        <w:rPr>
          <w:color w:val="231F20"/>
          <w:w w:val="105"/>
        </w:rPr>
        <w:t>porcentuales).</w:t>
      </w:r>
    </w:p>
    <w:p>
      <w:pPr>
        <w:pStyle w:val="BodyText"/>
        <w:spacing w:before="2"/>
      </w:pPr>
    </w:p>
    <w:p>
      <w:pPr>
        <w:spacing w:before="0"/>
        <w:ind w:left="572" w:right="17" w:firstLine="0"/>
        <w:jc w:val="left"/>
        <w:rPr>
          <w:sz w:val="18"/>
        </w:rPr>
      </w:pPr>
      <w:r>
        <w:rPr/>
        <w:drawing>
          <wp:anchor distT="0" distB="0" distL="0" distR="0" allowOverlap="1" layoutInCell="1" locked="0" behindDoc="0" simplePos="0" relativeHeight="7792">
            <wp:simplePos x="0" y="0"/>
            <wp:positionH relativeFrom="page">
              <wp:posOffset>1608000</wp:posOffset>
            </wp:positionH>
            <wp:positionV relativeFrom="paragraph">
              <wp:posOffset>209692</wp:posOffset>
            </wp:positionV>
            <wp:extent cx="2831306" cy="4662678"/>
            <wp:effectExtent l="0" t="0" r="0" b="0"/>
            <wp:wrapTopAndBottom/>
            <wp:docPr id="87" name="image90.jpeg" descr=""/>
            <wp:cNvGraphicFramePr>
              <a:graphicFrameLocks noChangeAspect="1"/>
            </wp:cNvGraphicFramePr>
            <a:graphic>
              <a:graphicData uri="http://schemas.openxmlformats.org/drawingml/2006/picture">
                <pic:pic>
                  <pic:nvPicPr>
                    <pic:cNvPr id="88" name="image90.jpeg"/>
                    <pic:cNvPicPr/>
                  </pic:nvPicPr>
                  <pic:blipFill>
                    <a:blip r:embed="rId114" cstate="print"/>
                    <a:stretch>
                      <a:fillRect/>
                    </a:stretch>
                  </pic:blipFill>
                  <pic:spPr>
                    <a:xfrm>
                      <a:off x="0" y="0"/>
                      <a:ext cx="2831306" cy="4662678"/>
                    </a:xfrm>
                    <a:prstGeom prst="rect">
                      <a:avLst/>
                    </a:prstGeom>
                  </pic:spPr>
                </pic:pic>
              </a:graphicData>
            </a:graphic>
          </wp:anchor>
        </w:drawing>
      </w:r>
      <w:r>
        <w:rPr>
          <w:color w:val="231F20"/>
          <w:w w:val="105"/>
          <w:sz w:val="18"/>
        </w:rPr>
        <w:t>Figura 2. Resumen estadístico de las variables (14/04/2003-31/12/2012)</w:t>
      </w:r>
    </w:p>
    <w:p>
      <w:pPr>
        <w:spacing w:before="71"/>
        <w:ind w:left="103" w:right="0" w:firstLine="0"/>
        <w:jc w:val="both"/>
        <w:rPr>
          <w:sz w:val="16"/>
        </w:rPr>
      </w:pPr>
      <w:r>
        <w:rPr>
          <w:color w:val="231F20"/>
          <w:w w:val="105"/>
          <w:sz w:val="16"/>
        </w:rPr>
        <w:t>Fuente: Elaboración propia con datos de DataStream en Eviews.</w:t>
      </w:r>
    </w:p>
    <w:p>
      <w:pPr>
        <w:spacing w:line="249" w:lineRule="auto" w:before="64"/>
        <w:ind w:left="103" w:right="110" w:firstLine="0"/>
        <w:jc w:val="both"/>
        <w:rPr>
          <w:sz w:val="16"/>
        </w:rPr>
      </w:pPr>
      <w:r>
        <w:rPr>
          <w:color w:val="231F20"/>
          <w:spacing w:val="-3"/>
          <w:sz w:val="16"/>
        </w:rPr>
        <w:t>NOTA: </w:t>
      </w:r>
      <w:r>
        <w:rPr>
          <w:color w:val="231F20"/>
          <w:sz w:val="16"/>
        </w:rPr>
        <w:t>Las estadísticas básicas son expresadas en porcentajes para el periodo del 14 de abril  de 2003 al 31 de diciembre de 2012. ADF representa la prueba de Dickey Fuller Aumentada; DF-GLS es la prueba de Dickey Fuller con eliminación de la tendencia como lo proponen Ellio- tt-Rothenberg</w:t>
      </w:r>
      <w:r>
        <w:rPr>
          <w:color w:val="231F20"/>
          <w:spacing w:val="-3"/>
          <w:sz w:val="16"/>
        </w:rPr>
        <w:t> </w:t>
      </w:r>
      <w:r>
        <w:rPr>
          <w:color w:val="231F20"/>
          <w:sz w:val="16"/>
        </w:rPr>
        <w:t>y</w:t>
      </w:r>
      <w:r>
        <w:rPr>
          <w:color w:val="231F20"/>
          <w:spacing w:val="-3"/>
          <w:sz w:val="16"/>
        </w:rPr>
        <w:t> </w:t>
      </w:r>
      <w:r>
        <w:rPr>
          <w:color w:val="231F20"/>
          <w:sz w:val="16"/>
        </w:rPr>
        <w:t>Stock</w:t>
      </w:r>
      <w:r>
        <w:rPr>
          <w:color w:val="231F20"/>
          <w:spacing w:val="-3"/>
          <w:sz w:val="16"/>
        </w:rPr>
        <w:t> </w:t>
      </w:r>
      <w:r>
        <w:rPr>
          <w:color w:val="231F20"/>
          <w:sz w:val="16"/>
        </w:rPr>
        <w:t>(1996)</w:t>
      </w:r>
      <w:r>
        <w:rPr>
          <w:color w:val="231F20"/>
          <w:spacing w:val="-3"/>
          <w:sz w:val="16"/>
        </w:rPr>
        <w:t> </w:t>
      </w:r>
      <w:r>
        <w:rPr>
          <w:color w:val="231F20"/>
          <w:sz w:val="16"/>
        </w:rPr>
        <w:t>más</w:t>
      </w:r>
      <w:r>
        <w:rPr>
          <w:color w:val="231F20"/>
          <w:spacing w:val="-3"/>
          <w:sz w:val="16"/>
        </w:rPr>
        <w:t> </w:t>
      </w:r>
      <w:r>
        <w:rPr>
          <w:color w:val="231F20"/>
          <w:sz w:val="16"/>
        </w:rPr>
        <w:t>conocida</w:t>
      </w:r>
      <w:r>
        <w:rPr>
          <w:color w:val="231F20"/>
          <w:spacing w:val="-3"/>
          <w:sz w:val="16"/>
        </w:rPr>
        <w:t> </w:t>
      </w:r>
      <w:r>
        <w:rPr>
          <w:color w:val="231F20"/>
          <w:sz w:val="16"/>
        </w:rPr>
        <w:t>como</w:t>
      </w:r>
      <w:r>
        <w:rPr>
          <w:color w:val="231F20"/>
          <w:spacing w:val="-3"/>
          <w:sz w:val="16"/>
        </w:rPr>
        <w:t> </w:t>
      </w:r>
      <w:r>
        <w:rPr>
          <w:color w:val="231F20"/>
          <w:sz w:val="16"/>
        </w:rPr>
        <w:t>(ERS);</w:t>
      </w:r>
      <w:r>
        <w:rPr>
          <w:color w:val="231F20"/>
          <w:spacing w:val="-3"/>
          <w:sz w:val="16"/>
        </w:rPr>
        <w:t> </w:t>
      </w:r>
      <w:r>
        <w:rPr>
          <w:color w:val="231F20"/>
          <w:sz w:val="16"/>
        </w:rPr>
        <w:t>y</w:t>
      </w:r>
      <w:r>
        <w:rPr>
          <w:color w:val="231F20"/>
          <w:spacing w:val="-3"/>
          <w:sz w:val="16"/>
        </w:rPr>
        <w:t> </w:t>
      </w:r>
      <w:r>
        <w:rPr>
          <w:color w:val="231F20"/>
          <w:sz w:val="16"/>
        </w:rPr>
        <w:t>PP</w:t>
      </w:r>
      <w:r>
        <w:rPr>
          <w:color w:val="231F20"/>
          <w:spacing w:val="-3"/>
          <w:sz w:val="16"/>
        </w:rPr>
        <w:t> </w:t>
      </w:r>
      <w:r>
        <w:rPr>
          <w:color w:val="231F20"/>
          <w:sz w:val="16"/>
        </w:rPr>
        <w:t>indica</w:t>
      </w:r>
      <w:r>
        <w:rPr>
          <w:color w:val="231F20"/>
          <w:spacing w:val="-3"/>
          <w:sz w:val="16"/>
        </w:rPr>
        <w:t> </w:t>
      </w:r>
      <w:r>
        <w:rPr>
          <w:color w:val="231F20"/>
          <w:sz w:val="16"/>
        </w:rPr>
        <w:t>la</w:t>
      </w:r>
      <w:r>
        <w:rPr>
          <w:color w:val="231F20"/>
          <w:spacing w:val="-3"/>
          <w:sz w:val="16"/>
        </w:rPr>
        <w:t> </w:t>
      </w:r>
      <w:r>
        <w:rPr>
          <w:color w:val="231F20"/>
          <w:sz w:val="16"/>
        </w:rPr>
        <w:t>prueba</w:t>
      </w:r>
      <w:r>
        <w:rPr>
          <w:color w:val="231F20"/>
          <w:spacing w:val="-3"/>
          <w:sz w:val="16"/>
        </w:rPr>
        <w:t> </w:t>
      </w:r>
      <w:r>
        <w:rPr>
          <w:color w:val="231F20"/>
          <w:sz w:val="16"/>
        </w:rPr>
        <w:t>de</w:t>
      </w:r>
      <w:r>
        <w:rPr>
          <w:color w:val="231F20"/>
          <w:spacing w:val="-3"/>
          <w:sz w:val="16"/>
        </w:rPr>
        <w:t> </w:t>
      </w:r>
      <w:r>
        <w:rPr>
          <w:color w:val="231F20"/>
          <w:sz w:val="16"/>
        </w:rPr>
        <w:t>Phillips-Perron. Estas pruebas tienen el propósito de verificar si las series son estacionarias. </w:t>
      </w:r>
      <w:r>
        <w:rPr>
          <w:color w:val="231F20"/>
          <w:spacing w:val="-4"/>
          <w:sz w:val="16"/>
        </w:rPr>
        <w:t>Todas </w:t>
      </w:r>
      <w:r>
        <w:rPr>
          <w:color w:val="231F20"/>
          <w:sz w:val="16"/>
        </w:rPr>
        <w:t>las variables son analizadas a un nivel de significancia de</w:t>
      </w:r>
      <w:r>
        <w:rPr>
          <w:color w:val="231F20"/>
          <w:spacing w:val="23"/>
          <w:sz w:val="16"/>
        </w:rPr>
        <w:t> </w:t>
      </w:r>
      <w:r>
        <w:rPr>
          <w:color w:val="231F20"/>
          <w:sz w:val="16"/>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11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216</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260" w:right="1140"/>
        </w:sectPr>
      </w:pPr>
    </w:p>
    <w:p>
      <w:pPr>
        <w:spacing w:line="180" w:lineRule="exact" w:before="61"/>
        <w:ind w:left="2209" w:right="-10" w:firstLine="628"/>
        <w:jc w:val="left"/>
        <w:rPr>
          <w:rFonts w:ascii="Lucida Sans Unicode" w:hAnsi="Lucida Sans Unicode"/>
          <w:sz w:val="14"/>
        </w:rPr>
      </w:pPr>
      <w:r>
        <w:rPr/>
        <w:pict>
          <v:line style="position:absolute;mso-position-horizontal-relative:page;mso-position-vertical-relative:paragraph;z-index:7864"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217</w:t>
      </w:r>
    </w:p>
    <w:p>
      <w:pPr>
        <w:spacing w:after="0"/>
        <w:jc w:val="left"/>
        <w:rPr>
          <w:sz w:val="20"/>
        </w:rPr>
        <w:sectPr>
          <w:type w:val="continuous"/>
          <w:pgSz w:w="9640" w:h="13890"/>
          <w:pgMar w:top="1300" w:bottom="280" w:left="1260" w:right="1140"/>
          <w:cols w:num="2" w:equalWidth="0">
            <w:col w:w="6301" w:space="40"/>
            <w:col w:w="899"/>
          </w:cols>
        </w:sectPr>
      </w:pPr>
    </w:p>
    <w:p>
      <w:pPr>
        <w:pStyle w:val="BodyText"/>
        <w:rPr>
          <w:sz w:val="20"/>
        </w:rPr>
      </w:pPr>
    </w:p>
    <w:p>
      <w:pPr>
        <w:pStyle w:val="BodyText"/>
        <w:spacing w:before="8"/>
        <w:rPr>
          <w:sz w:val="18"/>
        </w:rPr>
      </w:pPr>
    </w:p>
    <w:p>
      <w:pPr>
        <w:pStyle w:val="BodyText"/>
        <w:spacing w:line="259" w:lineRule="auto" w:before="57"/>
        <w:ind w:left="119" w:right="120"/>
        <w:jc w:val="both"/>
      </w:pPr>
      <w:r>
        <w:rPr>
          <w:color w:val="231F20"/>
          <w:w w:val="105"/>
        </w:rPr>
        <w:t>La </w:t>
      </w:r>
      <w:r>
        <w:rPr>
          <w:color w:val="231F20"/>
          <w:spacing w:val="-3"/>
          <w:w w:val="105"/>
        </w:rPr>
        <w:t>serie </w:t>
      </w:r>
      <w:r>
        <w:rPr>
          <w:color w:val="231F20"/>
          <w:w w:val="105"/>
        </w:rPr>
        <w:t>de los </w:t>
      </w:r>
      <w:r>
        <w:rPr>
          <w:color w:val="231F20"/>
          <w:spacing w:val="-3"/>
          <w:w w:val="105"/>
        </w:rPr>
        <w:t>rendimientos </w:t>
      </w:r>
      <w:r>
        <w:rPr>
          <w:color w:val="231F20"/>
          <w:w w:val="105"/>
        </w:rPr>
        <w:t>es </w:t>
      </w:r>
      <w:r>
        <w:rPr>
          <w:color w:val="231F20"/>
          <w:spacing w:val="-3"/>
          <w:w w:val="105"/>
        </w:rPr>
        <w:t>positivamente sesgada; </w:t>
      </w:r>
      <w:r>
        <w:rPr>
          <w:color w:val="231F20"/>
          <w:w w:val="105"/>
        </w:rPr>
        <w:t>en </w:t>
      </w:r>
      <w:r>
        <w:rPr>
          <w:color w:val="231F20"/>
          <w:spacing w:val="-3"/>
          <w:w w:val="105"/>
        </w:rPr>
        <w:t>cambio </w:t>
      </w:r>
      <w:r>
        <w:rPr>
          <w:color w:val="231F20"/>
          <w:w w:val="105"/>
        </w:rPr>
        <w:t>la </w:t>
      </w:r>
      <w:r>
        <w:rPr>
          <w:color w:val="231F20"/>
          <w:spacing w:val="-3"/>
          <w:w w:val="105"/>
        </w:rPr>
        <w:t>de </w:t>
      </w:r>
      <w:r>
        <w:rPr>
          <w:color w:val="231F20"/>
          <w:w w:val="105"/>
        </w:rPr>
        <w:t>las</w:t>
      </w:r>
      <w:r>
        <w:rPr>
          <w:color w:val="231F20"/>
          <w:spacing w:val="-21"/>
          <w:w w:val="105"/>
        </w:rPr>
        <w:t> </w:t>
      </w:r>
      <w:r>
        <w:rPr>
          <w:color w:val="231F20"/>
          <w:spacing w:val="-3"/>
          <w:w w:val="105"/>
        </w:rPr>
        <w:t>tasas</w:t>
      </w:r>
      <w:r>
        <w:rPr>
          <w:color w:val="231F20"/>
          <w:spacing w:val="-21"/>
          <w:w w:val="105"/>
        </w:rPr>
        <w:t> </w:t>
      </w:r>
      <w:r>
        <w:rPr>
          <w:color w:val="231F20"/>
          <w:w w:val="105"/>
        </w:rPr>
        <w:t>de</w:t>
      </w:r>
      <w:r>
        <w:rPr>
          <w:color w:val="231F20"/>
          <w:spacing w:val="-21"/>
          <w:w w:val="105"/>
        </w:rPr>
        <w:t> </w:t>
      </w:r>
      <w:r>
        <w:rPr>
          <w:color w:val="231F20"/>
          <w:spacing w:val="-3"/>
          <w:w w:val="105"/>
        </w:rPr>
        <w:t>interés</w:t>
      </w:r>
      <w:r>
        <w:rPr>
          <w:color w:val="231F20"/>
          <w:spacing w:val="-21"/>
          <w:w w:val="105"/>
        </w:rPr>
        <w:t> </w:t>
      </w:r>
      <w:r>
        <w:rPr>
          <w:color w:val="231F20"/>
          <w:w w:val="105"/>
        </w:rPr>
        <w:t>su</w:t>
      </w:r>
      <w:r>
        <w:rPr>
          <w:color w:val="231F20"/>
          <w:spacing w:val="-21"/>
          <w:w w:val="105"/>
        </w:rPr>
        <w:t> </w:t>
      </w:r>
      <w:r>
        <w:rPr>
          <w:color w:val="231F20"/>
          <w:spacing w:val="-3"/>
          <w:w w:val="105"/>
        </w:rPr>
        <w:t>sesgo</w:t>
      </w:r>
      <w:r>
        <w:rPr>
          <w:color w:val="231F20"/>
          <w:spacing w:val="-21"/>
          <w:w w:val="105"/>
        </w:rPr>
        <w:t> </w:t>
      </w:r>
      <w:r>
        <w:rPr>
          <w:color w:val="231F20"/>
          <w:w w:val="105"/>
        </w:rPr>
        <w:t>es</w:t>
      </w:r>
      <w:r>
        <w:rPr>
          <w:color w:val="231F20"/>
          <w:spacing w:val="-21"/>
          <w:w w:val="105"/>
        </w:rPr>
        <w:t> </w:t>
      </w:r>
      <w:r>
        <w:rPr>
          <w:color w:val="231F20"/>
          <w:spacing w:val="-4"/>
          <w:w w:val="105"/>
        </w:rPr>
        <w:t>negativo,</w:t>
      </w:r>
      <w:r>
        <w:rPr>
          <w:color w:val="231F20"/>
          <w:spacing w:val="-25"/>
          <w:w w:val="105"/>
        </w:rPr>
        <w:t> </w:t>
      </w:r>
      <w:r>
        <w:rPr>
          <w:color w:val="231F20"/>
          <w:spacing w:val="-3"/>
          <w:w w:val="105"/>
        </w:rPr>
        <w:t>exhibiendo</w:t>
      </w:r>
      <w:r>
        <w:rPr>
          <w:color w:val="231F20"/>
          <w:spacing w:val="-21"/>
          <w:w w:val="105"/>
        </w:rPr>
        <w:t> </w:t>
      </w:r>
      <w:r>
        <w:rPr>
          <w:color w:val="231F20"/>
          <w:spacing w:val="-3"/>
          <w:w w:val="105"/>
        </w:rPr>
        <w:t>ambas</w:t>
      </w:r>
      <w:r>
        <w:rPr>
          <w:color w:val="231F20"/>
          <w:spacing w:val="-21"/>
          <w:w w:val="105"/>
        </w:rPr>
        <w:t> </w:t>
      </w:r>
      <w:r>
        <w:rPr>
          <w:color w:val="231F20"/>
          <w:spacing w:val="-3"/>
          <w:w w:val="105"/>
        </w:rPr>
        <w:t>series</w:t>
      </w:r>
      <w:r>
        <w:rPr>
          <w:color w:val="231F20"/>
          <w:spacing w:val="-21"/>
          <w:w w:val="105"/>
        </w:rPr>
        <w:t> </w:t>
      </w:r>
      <w:r>
        <w:rPr>
          <w:color w:val="231F20"/>
          <w:spacing w:val="-4"/>
          <w:w w:val="105"/>
        </w:rPr>
        <w:t>exceso </w:t>
      </w:r>
      <w:r>
        <w:rPr>
          <w:color w:val="231F20"/>
          <w:w w:val="105"/>
        </w:rPr>
        <w:t>de</w:t>
      </w:r>
      <w:r>
        <w:rPr>
          <w:color w:val="231F20"/>
          <w:spacing w:val="-18"/>
          <w:w w:val="105"/>
        </w:rPr>
        <w:t> </w:t>
      </w:r>
      <w:r>
        <w:rPr>
          <w:color w:val="231F20"/>
          <w:spacing w:val="-3"/>
          <w:w w:val="105"/>
        </w:rPr>
        <w:t>curtosis,</w:t>
      </w:r>
      <w:r>
        <w:rPr>
          <w:color w:val="231F20"/>
          <w:spacing w:val="-23"/>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spacing w:val="-3"/>
          <w:w w:val="105"/>
        </w:rPr>
        <w:t>significa</w:t>
      </w:r>
      <w:r>
        <w:rPr>
          <w:color w:val="231F20"/>
          <w:spacing w:val="-18"/>
          <w:w w:val="105"/>
        </w:rPr>
        <w:t> </w:t>
      </w:r>
      <w:r>
        <w:rPr>
          <w:color w:val="231F20"/>
          <w:spacing w:val="-3"/>
          <w:w w:val="105"/>
        </w:rPr>
        <w:t>propiedades</w:t>
      </w:r>
      <w:r>
        <w:rPr>
          <w:color w:val="231F20"/>
          <w:spacing w:val="-18"/>
          <w:w w:val="105"/>
        </w:rPr>
        <w:t> </w:t>
      </w:r>
      <w:r>
        <w:rPr>
          <w:color w:val="231F20"/>
          <w:w w:val="105"/>
        </w:rPr>
        <w:t>de</w:t>
      </w:r>
      <w:r>
        <w:rPr>
          <w:color w:val="231F20"/>
          <w:spacing w:val="-18"/>
          <w:w w:val="105"/>
        </w:rPr>
        <w:t> </w:t>
      </w:r>
      <w:r>
        <w:rPr>
          <w:color w:val="231F20"/>
          <w:spacing w:val="-3"/>
          <w:w w:val="105"/>
        </w:rPr>
        <w:t>colas</w:t>
      </w:r>
      <w:r>
        <w:rPr>
          <w:color w:val="231F20"/>
          <w:spacing w:val="-18"/>
          <w:w w:val="105"/>
        </w:rPr>
        <w:t> </w:t>
      </w:r>
      <w:r>
        <w:rPr>
          <w:color w:val="231F20"/>
          <w:w w:val="105"/>
        </w:rPr>
        <w:t>más</w:t>
      </w:r>
      <w:r>
        <w:rPr>
          <w:color w:val="231F20"/>
          <w:spacing w:val="-18"/>
          <w:w w:val="105"/>
        </w:rPr>
        <w:t> </w:t>
      </w:r>
      <w:r>
        <w:rPr>
          <w:color w:val="231F20"/>
          <w:spacing w:val="-3"/>
          <w:w w:val="105"/>
        </w:rPr>
        <w:t>pesadas</w:t>
      </w:r>
      <w:r>
        <w:rPr>
          <w:color w:val="231F20"/>
          <w:spacing w:val="-18"/>
          <w:w w:val="105"/>
        </w:rPr>
        <w:t> </w:t>
      </w:r>
      <w:r>
        <w:rPr>
          <w:color w:val="231F20"/>
          <w:w w:val="105"/>
        </w:rPr>
        <w:t>o</w:t>
      </w:r>
      <w:r>
        <w:rPr>
          <w:color w:val="231F20"/>
          <w:spacing w:val="-18"/>
          <w:w w:val="105"/>
        </w:rPr>
        <w:t> </w:t>
      </w:r>
      <w:r>
        <w:rPr>
          <w:color w:val="231F20"/>
          <w:spacing w:val="-3"/>
          <w:w w:val="105"/>
        </w:rPr>
        <w:t>anchas</w:t>
      </w:r>
      <w:r>
        <w:rPr>
          <w:color w:val="231F20"/>
          <w:spacing w:val="-18"/>
          <w:w w:val="105"/>
        </w:rPr>
        <w:t> </w:t>
      </w:r>
      <w:r>
        <w:rPr>
          <w:color w:val="231F20"/>
          <w:w w:val="105"/>
        </w:rPr>
        <w:t>y </w:t>
      </w:r>
      <w:r>
        <w:rPr>
          <w:color w:val="231F20"/>
          <w:spacing w:val="-3"/>
          <w:w w:val="105"/>
        </w:rPr>
        <w:t>largas</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spacing w:val="-3"/>
          <w:w w:val="105"/>
        </w:rPr>
        <w:t>distribución</w:t>
      </w:r>
      <w:r>
        <w:rPr>
          <w:color w:val="231F20"/>
          <w:spacing w:val="-19"/>
          <w:w w:val="105"/>
        </w:rPr>
        <w:t> </w:t>
      </w:r>
      <w:r>
        <w:rPr>
          <w:color w:val="231F20"/>
          <w:spacing w:val="-3"/>
          <w:w w:val="105"/>
        </w:rPr>
        <w:t>normal,</w:t>
      </w:r>
      <w:r>
        <w:rPr>
          <w:color w:val="231F20"/>
          <w:spacing w:val="-24"/>
          <w:w w:val="105"/>
        </w:rPr>
        <w:t> </w:t>
      </w:r>
      <w:r>
        <w:rPr>
          <w:color w:val="231F20"/>
          <w:spacing w:val="-3"/>
          <w:w w:val="105"/>
        </w:rPr>
        <w:t>específicamente</w:t>
      </w:r>
      <w:r>
        <w:rPr>
          <w:color w:val="231F20"/>
          <w:spacing w:val="-19"/>
          <w:w w:val="105"/>
        </w:rPr>
        <w:t> </w:t>
      </w:r>
      <w:r>
        <w:rPr>
          <w:color w:val="231F20"/>
          <w:w w:val="105"/>
        </w:rPr>
        <w:t>la</w:t>
      </w:r>
      <w:r>
        <w:rPr>
          <w:color w:val="231F20"/>
          <w:spacing w:val="-19"/>
          <w:w w:val="105"/>
        </w:rPr>
        <w:t> </w:t>
      </w:r>
      <w:r>
        <w:rPr>
          <w:color w:val="231F20"/>
          <w:spacing w:val="-3"/>
          <w:w w:val="105"/>
        </w:rPr>
        <w:t>cola</w:t>
      </w:r>
      <w:r>
        <w:rPr>
          <w:color w:val="231F20"/>
          <w:spacing w:val="-19"/>
          <w:w w:val="105"/>
        </w:rPr>
        <w:t> </w:t>
      </w:r>
      <w:r>
        <w:rPr>
          <w:color w:val="231F20"/>
          <w:spacing w:val="-3"/>
          <w:w w:val="105"/>
        </w:rPr>
        <w:t>derecha</w:t>
      </w:r>
      <w:r>
        <w:rPr>
          <w:color w:val="231F20"/>
          <w:spacing w:val="-19"/>
          <w:w w:val="105"/>
        </w:rPr>
        <w:t> </w:t>
      </w:r>
      <w:r>
        <w:rPr>
          <w:color w:val="231F20"/>
          <w:spacing w:val="-3"/>
          <w:w w:val="105"/>
        </w:rPr>
        <w:t>para</w:t>
      </w:r>
      <w:r>
        <w:rPr>
          <w:color w:val="231F20"/>
          <w:spacing w:val="-19"/>
          <w:w w:val="105"/>
        </w:rPr>
        <w:t> </w:t>
      </w:r>
      <w:r>
        <w:rPr>
          <w:color w:val="231F20"/>
          <w:spacing w:val="-3"/>
          <w:w w:val="105"/>
        </w:rPr>
        <w:t>los rendimientos</w:t>
      </w:r>
      <w:r>
        <w:rPr>
          <w:color w:val="231F20"/>
          <w:spacing w:val="-27"/>
          <w:w w:val="105"/>
        </w:rPr>
        <w:t> </w:t>
      </w:r>
      <w:r>
        <w:rPr>
          <w:color w:val="231F20"/>
          <w:w w:val="105"/>
        </w:rPr>
        <w:t>del</w:t>
      </w:r>
      <w:r>
        <w:rPr>
          <w:color w:val="231F20"/>
          <w:spacing w:val="-27"/>
          <w:w w:val="105"/>
        </w:rPr>
        <w:t> </w:t>
      </w:r>
      <w:r>
        <w:rPr>
          <w:color w:val="231F20"/>
          <w:spacing w:val="-3"/>
          <w:w w:val="105"/>
        </w:rPr>
        <w:t>tipo</w:t>
      </w:r>
      <w:r>
        <w:rPr>
          <w:color w:val="231F20"/>
          <w:spacing w:val="-27"/>
          <w:w w:val="105"/>
        </w:rPr>
        <w:t> </w:t>
      </w:r>
      <w:r>
        <w:rPr>
          <w:color w:val="231F20"/>
          <w:w w:val="105"/>
        </w:rPr>
        <w:t>de</w:t>
      </w:r>
      <w:r>
        <w:rPr>
          <w:color w:val="231F20"/>
          <w:spacing w:val="-27"/>
          <w:w w:val="105"/>
        </w:rPr>
        <w:t> </w:t>
      </w:r>
      <w:r>
        <w:rPr>
          <w:color w:val="231F20"/>
          <w:spacing w:val="-3"/>
          <w:w w:val="105"/>
        </w:rPr>
        <w:t>cambio</w:t>
      </w:r>
      <w:r>
        <w:rPr>
          <w:color w:val="231F20"/>
          <w:spacing w:val="-27"/>
          <w:w w:val="105"/>
        </w:rPr>
        <w:t> </w:t>
      </w:r>
      <w:r>
        <w:rPr>
          <w:color w:val="231F20"/>
          <w:w w:val="105"/>
        </w:rPr>
        <w:t>y</w:t>
      </w:r>
      <w:r>
        <w:rPr>
          <w:color w:val="231F20"/>
          <w:spacing w:val="-27"/>
          <w:w w:val="105"/>
        </w:rPr>
        <w:t> </w:t>
      </w:r>
      <w:r>
        <w:rPr>
          <w:color w:val="231F20"/>
          <w:w w:val="105"/>
        </w:rPr>
        <w:t>la</w:t>
      </w:r>
      <w:r>
        <w:rPr>
          <w:color w:val="231F20"/>
          <w:spacing w:val="-27"/>
          <w:w w:val="105"/>
        </w:rPr>
        <w:t> </w:t>
      </w:r>
      <w:r>
        <w:rPr>
          <w:color w:val="231F20"/>
          <w:spacing w:val="-3"/>
          <w:w w:val="105"/>
        </w:rPr>
        <w:t>cola</w:t>
      </w:r>
      <w:r>
        <w:rPr>
          <w:color w:val="231F20"/>
          <w:spacing w:val="-27"/>
          <w:w w:val="105"/>
        </w:rPr>
        <w:t> </w:t>
      </w:r>
      <w:r>
        <w:rPr>
          <w:color w:val="231F20"/>
          <w:spacing w:val="-3"/>
          <w:w w:val="105"/>
        </w:rPr>
        <w:t>izquierda</w:t>
      </w:r>
      <w:r>
        <w:rPr>
          <w:color w:val="231F20"/>
          <w:spacing w:val="-27"/>
          <w:w w:val="105"/>
        </w:rPr>
        <w:t> </w:t>
      </w:r>
      <w:r>
        <w:rPr>
          <w:color w:val="231F20"/>
          <w:spacing w:val="-3"/>
          <w:w w:val="105"/>
        </w:rPr>
        <w:t>para</w:t>
      </w:r>
      <w:r>
        <w:rPr>
          <w:color w:val="231F20"/>
          <w:spacing w:val="-27"/>
          <w:w w:val="105"/>
        </w:rPr>
        <w:t> </w:t>
      </w:r>
      <w:r>
        <w:rPr>
          <w:color w:val="231F20"/>
          <w:w w:val="105"/>
        </w:rPr>
        <w:t>las</w:t>
      </w:r>
      <w:r>
        <w:rPr>
          <w:color w:val="231F20"/>
          <w:spacing w:val="-27"/>
          <w:w w:val="105"/>
        </w:rPr>
        <w:t> </w:t>
      </w:r>
      <w:r>
        <w:rPr>
          <w:color w:val="231F20"/>
          <w:spacing w:val="-3"/>
          <w:w w:val="105"/>
        </w:rPr>
        <w:t>tasas</w:t>
      </w:r>
      <w:r>
        <w:rPr>
          <w:color w:val="231F20"/>
          <w:spacing w:val="-27"/>
          <w:w w:val="105"/>
        </w:rPr>
        <w:t> </w:t>
      </w:r>
      <w:r>
        <w:rPr>
          <w:color w:val="231F20"/>
          <w:w w:val="105"/>
        </w:rPr>
        <w:t>de</w:t>
      </w:r>
      <w:r>
        <w:rPr>
          <w:color w:val="231F20"/>
          <w:spacing w:val="-27"/>
          <w:w w:val="105"/>
        </w:rPr>
        <w:t> </w:t>
      </w:r>
      <w:r>
        <w:rPr>
          <w:color w:val="231F20"/>
          <w:spacing w:val="-4"/>
          <w:w w:val="105"/>
        </w:rPr>
        <w:t>interés. </w:t>
      </w:r>
      <w:r>
        <w:rPr>
          <w:color w:val="231F20"/>
          <w:w w:val="105"/>
        </w:rPr>
        <w:t>El</w:t>
      </w:r>
      <w:r>
        <w:rPr>
          <w:color w:val="231F20"/>
          <w:spacing w:val="-15"/>
          <w:w w:val="105"/>
        </w:rPr>
        <w:t> </w:t>
      </w:r>
      <w:r>
        <w:rPr>
          <w:color w:val="231F20"/>
          <w:w w:val="105"/>
        </w:rPr>
        <w:t>signo</w:t>
      </w:r>
      <w:r>
        <w:rPr>
          <w:color w:val="231F20"/>
          <w:spacing w:val="-15"/>
          <w:w w:val="105"/>
        </w:rPr>
        <w:t> </w:t>
      </w:r>
      <w:r>
        <w:rPr>
          <w:color w:val="231F20"/>
          <w:w w:val="105"/>
        </w:rPr>
        <w:t>positivo</w:t>
      </w:r>
      <w:r>
        <w:rPr>
          <w:color w:val="231F20"/>
          <w:spacing w:val="-15"/>
          <w:w w:val="105"/>
        </w:rPr>
        <w:t> </w:t>
      </w:r>
      <w:r>
        <w:rPr>
          <w:color w:val="231F20"/>
          <w:w w:val="105"/>
        </w:rPr>
        <w:t>del</w:t>
      </w:r>
      <w:r>
        <w:rPr>
          <w:color w:val="231F20"/>
          <w:spacing w:val="-15"/>
          <w:w w:val="105"/>
        </w:rPr>
        <w:t> </w:t>
      </w:r>
      <w:r>
        <w:rPr>
          <w:color w:val="231F20"/>
          <w:w w:val="105"/>
        </w:rPr>
        <w:t>coeficiente</w:t>
      </w:r>
      <w:r>
        <w:rPr>
          <w:color w:val="231F20"/>
          <w:spacing w:val="-15"/>
          <w:w w:val="105"/>
        </w:rPr>
        <w:t> </w:t>
      </w:r>
      <w:r>
        <w:rPr>
          <w:color w:val="231F20"/>
          <w:w w:val="105"/>
        </w:rPr>
        <w:t>de</w:t>
      </w:r>
      <w:r>
        <w:rPr>
          <w:color w:val="231F20"/>
          <w:spacing w:val="-15"/>
          <w:w w:val="105"/>
        </w:rPr>
        <w:t> </w:t>
      </w:r>
      <w:r>
        <w:rPr>
          <w:color w:val="231F20"/>
          <w:w w:val="105"/>
        </w:rPr>
        <w:t>sesgo</w:t>
      </w:r>
      <w:r>
        <w:rPr>
          <w:color w:val="231F20"/>
          <w:spacing w:val="-15"/>
          <w:w w:val="105"/>
        </w:rPr>
        <w:t> </w:t>
      </w:r>
      <w:r>
        <w:rPr>
          <w:color w:val="231F20"/>
          <w:w w:val="105"/>
        </w:rPr>
        <w:t>revela</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rendimientos</w:t>
      </w:r>
      <w:r>
        <w:rPr>
          <w:color w:val="231F20"/>
          <w:spacing w:val="-15"/>
          <w:w w:val="105"/>
        </w:rPr>
        <w:t> </w:t>
      </w:r>
      <w:r>
        <w:rPr>
          <w:color w:val="231F20"/>
          <w:w w:val="105"/>
        </w:rPr>
        <w:t>ex- tremos</w:t>
      </w:r>
      <w:r>
        <w:rPr>
          <w:color w:val="231F20"/>
          <w:spacing w:val="-15"/>
          <w:w w:val="105"/>
        </w:rPr>
        <w:t> </w:t>
      </w:r>
      <w:r>
        <w:rPr>
          <w:color w:val="231F20"/>
          <w:w w:val="105"/>
        </w:rPr>
        <w:t>positivos</w:t>
      </w:r>
      <w:r>
        <w:rPr>
          <w:color w:val="231F20"/>
          <w:spacing w:val="-16"/>
          <w:w w:val="105"/>
        </w:rPr>
        <w:t> </w:t>
      </w:r>
      <w:r>
        <w:rPr>
          <w:color w:val="231F20"/>
          <w:w w:val="105"/>
        </w:rPr>
        <w:t>(un</w:t>
      </w:r>
      <w:r>
        <w:rPr>
          <w:color w:val="231F20"/>
          <w:spacing w:val="-16"/>
          <w:w w:val="105"/>
        </w:rPr>
        <w:t> </w:t>
      </w:r>
      <w:r>
        <w:rPr>
          <w:color w:val="231F20"/>
          <w:w w:val="105"/>
        </w:rPr>
        <w:t>aumento</w:t>
      </w:r>
      <w:r>
        <w:rPr>
          <w:color w:val="231F20"/>
          <w:spacing w:val="-16"/>
          <w:w w:val="105"/>
        </w:rPr>
        <w:t> </w:t>
      </w:r>
      <w:r>
        <w:rPr>
          <w:color w:val="231F20"/>
          <w:w w:val="105"/>
        </w:rPr>
        <w:t>del</w:t>
      </w:r>
      <w:r>
        <w:rPr>
          <w:color w:val="231F20"/>
          <w:spacing w:val="-16"/>
          <w:w w:val="105"/>
        </w:rPr>
        <w:t> </w:t>
      </w:r>
      <w:r>
        <w:rPr>
          <w:color w:val="231F20"/>
          <w:w w:val="105"/>
        </w:rPr>
        <w:t>precio</w:t>
      </w:r>
      <w:r>
        <w:rPr>
          <w:color w:val="231F20"/>
          <w:spacing w:val="-16"/>
          <w:w w:val="105"/>
        </w:rPr>
        <w:t> </w:t>
      </w:r>
      <w:r>
        <w:rPr>
          <w:color w:val="231F20"/>
          <w:w w:val="105"/>
        </w:rPr>
        <w:t>del</w:t>
      </w:r>
      <w:r>
        <w:rPr>
          <w:color w:val="231F20"/>
          <w:spacing w:val="-16"/>
          <w:w w:val="105"/>
        </w:rPr>
        <w:t> </w:t>
      </w:r>
      <w:r>
        <w:rPr>
          <w:color w:val="231F20"/>
          <w:w w:val="105"/>
        </w:rPr>
        <w:t>peso</w:t>
      </w:r>
      <w:r>
        <w:rPr>
          <w:color w:val="231F20"/>
          <w:spacing w:val="-16"/>
          <w:w w:val="105"/>
        </w:rPr>
        <w:t> </w:t>
      </w:r>
      <w:r>
        <w:rPr>
          <w:color w:val="231F20"/>
          <w:w w:val="105"/>
        </w:rPr>
        <w:t>mexicano</w:t>
      </w:r>
      <w:r>
        <w:rPr>
          <w:color w:val="231F20"/>
          <w:spacing w:val="-16"/>
          <w:w w:val="105"/>
        </w:rPr>
        <w:t> </w:t>
      </w:r>
      <w:r>
        <w:rPr>
          <w:color w:val="231F20"/>
          <w:w w:val="105"/>
        </w:rPr>
        <w:t>con</w:t>
      </w:r>
      <w:r>
        <w:rPr>
          <w:color w:val="231F20"/>
          <w:spacing w:val="-16"/>
          <w:w w:val="105"/>
        </w:rPr>
        <w:t> </w:t>
      </w:r>
      <w:r>
        <w:rPr>
          <w:color w:val="231F20"/>
          <w:w w:val="105"/>
        </w:rPr>
        <w:t>respecto al dólar estadounidense), tienen mayor probabilidad de ocurrir que los rendimientos</w:t>
      </w:r>
      <w:r>
        <w:rPr>
          <w:color w:val="231F20"/>
          <w:spacing w:val="-18"/>
          <w:w w:val="105"/>
        </w:rPr>
        <w:t> </w:t>
      </w:r>
      <w:r>
        <w:rPr>
          <w:color w:val="231F20"/>
          <w:w w:val="105"/>
        </w:rPr>
        <w:t>negativos;</w:t>
      </w:r>
      <w:r>
        <w:rPr>
          <w:color w:val="231F20"/>
          <w:spacing w:val="-18"/>
          <w:w w:val="105"/>
        </w:rPr>
        <w:t> </w:t>
      </w:r>
      <w:r>
        <w:rPr>
          <w:color w:val="231F20"/>
          <w:w w:val="105"/>
        </w:rPr>
        <w:t>no</w:t>
      </w:r>
      <w:r>
        <w:rPr>
          <w:color w:val="231F20"/>
          <w:spacing w:val="-18"/>
          <w:w w:val="105"/>
        </w:rPr>
        <w:t> </w:t>
      </w:r>
      <w:r>
        <w:rPr>
          <w:color w:val="231F20"/>
          <w:w w:val="105"/>
        </w:rPr>
        <w:t>obstante,</w:t>
      </w:r>
      <w:r>
        <w:rPr>
          <w:color w:val="231F20"/>
          <w:spacing w:val="-23"/>
          <w:w w:val="105"/>
        </w:rPr>
        <w:t> </w:t>
      </w:r>
      <w:r>
        <w:rPr>
          <w:color w:val="231F20"/>
          <w:w w:val="105"/>
        </w:rPr>
        <w:t>para</w:t>
      </w:r>
      <w:r>
        <w:rPr>
          <w:color w:val="231F20"/>
          <w:spacing w:val="-18"/>
          <w:w w:val="105"/>
        </w:rPr>
        <w:t> </w:t>
      </w:r>
      <w:r>
        <w:rPr>
          <w:color w:val="231F20"/>
          <w:w w:val="105"/>
        </w:rPr>
        <w:t>los</w:t>
      </w:r>
      <w:r>
        <w:rPr>
          <w:color w:val="231F20"/>
          <w:spacing w:val="-18"/>
          <w:w w:val="105"/>
        </w:rPr>
        <w:t> </w:t>
      </w:r>
      <w:r>
        <w:rPr>
          <w:color w:val="231F20"/>
          <w:w w:val="105"/>
        </w:rPr>
        <w:t>cambios</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tasas</w:t>
      </w:r>
      <w:r>
        <w:rPr>
          <w:color w:val="231F20"/>
          <w:spacing w:val="-18"/>
          <w:w w:val="105"/>
        </w:rPr>
        <w:t> </w:t>
      </w:r>
      <w:r>
        <w:rPr>
          <w:color w:val="231F20"/>
          <w:w w:val="105"/>
        </w:rPr>
        <w:t>de</w:t>
      </w:r>
      <w:r>
        <w:rPr>
          <w:color w:val="231F20"/>
          <w:spacing w:val="-18"/>
          <w:w w:val="105"/>
        </w:rPr>
        <w:t> </w:t>
      </w:r>
      <w:r>
        <w:rPr>
          <w:color w:val="231F20"/>
          <w:w w:val="105"/>
        </w:rPr>
        <w:t>in- terés</w:t>
      </w:r>
      <w:r>
        <w:rPr>
          <w:color w:val="231F20"/>
          <w:spacing w:val="-17"/>
          <w:w w:val="105"/>
        </w:rPr>
        <w:t> </w:t>
      </w:r>
      <w:r>
        <w:rPr>
          <w:color w:val="231F20"/>
          <w:w w:val="105"/>
        </w:rPr>
        <w:t>libre</w:t>
      </w:r>
      <w:r>
        <w:rPr>
          <w:color w:val="231F20"/>
          <w:spacing w:val="-17"/>
          <w:w w:val="105"/>
        </w:rPr>
        <w:t> </w:t>
      </w:r>
      <w:r>
        <w:rPr>
          <w:color w:val="231F20"/>
          <w:w w:val="105"/>
        </w:rPr>
        <w:t>de</w:t>
      </w:r>
      <w:r>
        <w:rPr>
          <w:color w:val="231F20"/>
          <w:spacing w:val="-17"/>
          <w:w w:val="105"/>
        </w:rPr>
        <w:t> </w:t>
      </w:r>
      <w:r>
        <w:rPr>
          <w:color w:val="231F20"/>
          <w:w w:val="105"/>
        </w:rPr>
        <w:t>riesgo,</w:t>
      </w:r>
      <w:r>
        <w:rPr>
          <w:color w:val="231F20"/>
          <w:spacing w:val="-23"/>
          <w:w w:val="105"/>
        </w:rPr>
        <w:t> </w:t>
      </w:r>
      <w:r>
        <w:rPr>
          <w:color w:val="231F20"/>
          <w:w w:val="105"/>
        </w:rPr>
        <w:t>en</w:t>
      </w:r>
      <w:r>
        <w:rPr>
          <w:color w:val="231F20"/>
          <w:spacing w:val="-17"/>
          <w:w w:val="105"/>
        </w:rPr>
        <w:t> </w:t>
      </w:r>
      <w:r>
        <w:rPr>
          <w:color w:val="231F20"/>
          <w:w w:val="105"/>
        </w:rPr>
        <w:t>donde</w:t>
      </w:r>
      <w:r>
        <w:rPr>
          <w:color w:val="231F20"/>
          <w:spacing w:val="-17"/>
          <w:w w:val="105"/>
        </w:rPr>
        <w:t> </w:t>
      </w:r>
      <w:r>
        <w:rPr>
          <w:color w:val="231F20"/>
          <w:w w:val="105"/>
        </w:rPr>
        <w:t>los</w:t>
      </w:r>
      <w:r>
        <w:rPr>
          <w:color w:val="231F20"/>
          <w:spacing w:val="-17"/>
          <w:w w:val="105"/>
        </w:rPr>
        <w:t> </w:t>
      </w:r>
      <w:r>
        <w:rPr>
          <w:color w:val="231F20"/>
          <w:w w:val="105"/>
        </w:rPr>
        <w:t>valores</w:t>
      </w:r>
      <w:r>
        <w:rPr>
          <w:color w:val="231F20"/>
          <w:spacing w:val="-17"/>
          <w:w w:val="105"/>
        </w:rPr>
        <w:t> </w:t>
      </w:r>
      <w:r>
        <w:rPr>
          <w:color w:val="231F20"/>
          <w:w w:val="105"/>
        </w:rPr>
        <w:t>extremos</w:t>
      </w:r>
      <w:r>
        <w:rPr>
          <w:color w:val="231F20"/>
          <w:spacing w:val="-17"/>
          <w:w w:val="105"/>
        </w:rPr>
        <w:t> </w:t>
      </w:r>
      <w:r>
        <w:rPr>
          <w:color w:val="231F20"/>
          <w:w w:val="105"/>
        </w:rPr>
        <w:t>negativos</w:t>
      </w:r>
      <w:r>
        <w:rPr>
          <w:color w:val="231F20"/>
          <w:spacing w:val="-17"/>
          <w:w w:val="105"/>
        </w:rPr>
        <w:t> </w:t>
      </w:r>
      <w:r>
        <w:rPr>
          <w:color w:val="231F20"/>
          <w:w w:val="105"/>
        </w:rPr>
        <w:t>(reducción de las tasas) tienen mayor probabilidad de ocurrencia que los cambios extremos</w:t>
      </w:r>
      <w:r>
        <w:rPr>
          <w:color w:val="231F20"/>
          <w:spacing w:val="-20"/>
          <w:w w:val="105"/>
        </w:rPr>
        <w:t> </w:t>
      </w:r>
      <w:r>
        <w:rPr>
          <w:color w:val="231F20"/>
          <w:w w:val="105"/>
        </w:rPr>
        <w:t>positivos.</w:t>
      </w:r>
      <w:r>
        <w:rPr>
          <w:color w:val="231F20"/>
          <w:spacing w:val="-27"/>
          <w:w w:val="105"/>
        </w:rPr>
        <w:t> </w:t>
      </w:r>
      <w:r>
        <w:rPr>
          <w:color w:val="231F20"/>
          <w:w w:val="105"/>
        </w:rPr>
        <w:t>Asimismo,</w:t>
      </w:r>
      <w:r>
        <w:rPr>
          <w:color w:val="231F20"/>
          <w:spacing w:val="-24"/>
          <w:w w:val="105"/>
        </w:rPr>
        <w:t> </w:t>
      </w:r>
      <w:r>
        <w:rPr>
          <w:color w:val="231F20"/>
          <w:w w:val="105"/>
        </w:rPr>
        <w:t>el</w:t>
      </w:r>
      <w:r>
        <w:rPr>
          <w:color w:val="231F20"/>
          <w:spacing w:val="-20"/>
          <w:w w:val="105"/>
        </w:rPr>
        <w:t> </w:t>
      </w:r>
      <w:r>
        <w:rPr>
          <w:color w:val="231F20"/>
          <w:w w:val="105"/>
        </w:rPr>
        <w:t>valor-</w:t>
      </w:r>
      <w:r>
        <w:rPr>
          <w:i/>
          <w:color w:val="231F20"/>
          <w:w w:val="105"/>
        </w:rPr>
        <w:t>p</w:t>
      </w:r>
      <w:r>
        <w:rPr>
          <w:i/>
          <w:color w:val="231F20"/>
          <w:spacing w:val="-20"/>
          <w:w w:val="105"/>
        </w:rPr>
        <w:t> </w:t>
      </w:r>
      <w:r>
        <w:rPr>
          <w:color w:val="231F20"/>
          <w:w w:val="105"/>
        </w:rPr>
        <w:t>del</w:t>
      </w:r>
      <w:r>
        <w:rPr>
          <w:color w:val="231F20"/>
          <w:spacing w:val="-20"/>
          <w:w w:val="105"/>
        </w:rPr>
        <w:t> </w:t>
      </w:r>
      <w:r>
        <w:rPr>
          <w:color w:val="231F20"/>
          <w:w w:val="105"/>
        </w:rPr>
        <w:t>estadístico</w:t>
      </w:r>
      <w:r>
        <w:rPr>
          <w:color w:val="231F20"/>
          <w:spacing w:val="-21"/>
          <w:w w:val="105"/>
        </w:rPr>
        <w:t> </w:t>
      </w:r>
      <w:r>
        <w:rPr>
          <w:color w:val="231F20"/>
          <w:w w:val="105"/>
        </w:rPr>
        <w:t>Jarque-Bera</w:t>
      </w:r>
      <w:r>
        <w:rPr>
          <w:color w:val="231F20"/>
          <w:spacing w:val="-20"/>
          <w:w w:val="105"/>
        </w:rPr>
        <w:t> </w:t>
      </w:r>
      <w:r>
        <w:rPr>
          <w:color w:val="231F20"/>
          <w:w w:val="105"/>
        </w:rPr>
        <w:t>indi- ca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hipótesis</w:t>
      </w:r>
      <w:r>
        <w:rPr>
          <w:color w:val="231F20"/>
          <w:spacing w:val="-13"/>
          <w:w w:val="105"/>
        </w:rPr>
        <w:t> </w:t>
      </w:r>
      <w:r>
        <w:rPr>
          <w:color w:val="231F20"/>
          <w:w w:val="105"/>
        </w:rPr>
        <w:t>nula</w:t>
      </w:r>
      <w:r>
        <w:rPr>
          <w:color w:val="231F20"/>
          <w:spacing w:val="-13"/>
          <w:w w:val="105"/>
        </w:rPr>
        <w:t> </w:t>
      </w:r>
      <w:r>
        <w:rPr>
          <w:color w:val="231F20"/>
          <w:w w:val="105"/>
        </w:rPr>
        <w:t>de</w:t>
      </w:r>
      <w:r>
        <w:rPr>
          <w:color w:val="231F20"/>
          <w:spacing w:val="-13"/>
          <w:w w:val="105"/>
        </w:rPr>
        <w:t> </w:t>
      </w:r>
      <w:r>
        <w:rPr>
          <w:color w:val="231F20"/>
          <w:w w:val="105"/>
        </w:rPr>
        <w:t>normalidad</w:t>
      </w:r>
      <w:r>
        <w:rPr>
          <w:color w:val="231F20"/>
          <w:spacing w:val="-13"/>
          <w:w w:val="105"/>
        </w:rPr>
        <w:t> </w:t>
      </w:r>
      <w:r>
        <w:rPr>
          <w:color w:val="231F20"/>
          <w:w w:val="105"/>
        </w:rPr>
        <w:t>es</w:t>
      </w:r>
      <w:r>
        <w:rPr>
          <w:color w:val="231F20"/>
          <w:spacing w:val="-13"/>
          <w:w w:val="105"/>
        </w:rPr>
        <w:t> </w:t>
      </w:r>
      <w:r>
        <w:rPr>
          <w:color w:val="231F20"/>
          <w:w w:val="105"/>
        </w:rPr>
        <w:t>rechazada</w:t>
      </w:r>
      <w:r>
        <w:rPr>
          <w:color w:val="231F20"/>
          <w:spacing w:val="-13"/>
          <w:w w:val="105"/>
        </w:rPr>
        <w:t> </w:t>
      </w:r>
      <w:r>
        <w:rPr>
          <w:color w:val="231F20"/>
          <w:w w:val="105"/>
        </w:rPr>
        <w:t>a</w:t>
      </w:r>
      <w:r>
        <w:rPr>
          <w:color w:val="231F20"/>
          <w:spacing w:val="-13"/>
          <w:w w:val="105"/>
        </w:rPr>
        <w:t> </w:t>
      </w:r>
      <w:r>
        <w:rPr>
          <w:color w:val="231F20"/>
          <w:w w:val="105"/>
        </w:rPr>
        <w:t>un</w:t>
      </w:r>
      <w:r>
        <w:rPr>
          <w:color w:val="231F20"/>
          <w:spacing w:val="-13"/>
          <w:w w:val="105"/>
        </w:rPr>
        <w:t> </w:t>
      </w:r>
      <w:r>
        <w:rPr>
          <w:color w:val="231F20"/>
          <w:w w:val="105"/>
        </w:rPr>
        <w:t>nivel</w:t>
      </w:r>
      <w:r>
        <w:rPr>
          <w:color w:val="231F20"/>
          <w:spacing w:val="-13"/>
          <w:w w:val="105"/>
        </w:rPr>
        <w:t> </w:t>
      </w:r>
      <w:r>
        <w:rPr>
          <w:color w:val="231F20"/>
          <w:w w:val="105"/>
        </w:rPr>
        <w:t>de</w:t>
      </w:r>
      <w:r>
        <w:rPr>
          <w:color w:val="231F20"/>
          <w:spacing w:val="-13"/>
          <w:w w:val="105"/>
        </w:rPr>
        <w:t> </w:t>
      </w:r>
      <w:r>
        <w:rPr>
          <w:color w:val="231F20"/>
          <w:w w:val="105"/>
        </w:rPr>
        <w:t>signifi- cancia</w:t>
      </w:r>
      <w:r>
        <w:rPr>
          <w:color w:val="231F20"/>
          <w:spacing w:val="-34"/>
          <w:w w:val="105"/>
        </w:rPr>
        <w:t> </w:t>
      </w:r>
      <w:r>
        <w:rPr>
          <w:color w:val="231F20"/>
          <w:w w:val="105"/>
        </w:rPr>
        <w:t>de</w:t>
      </w:r>
      <w:r>
        <w:rPr>
          <w:color w:val="231F20"/>
          <w:spacing w:val="-34"/>
          <w:w w:val="105"/>
        </w:rPr>
        <w:t> </w:t>
      </w:r>
      <w:r>
        <w:rPr>
          <w:color w:val="231F20"/>
          <w:w w:val="105"/>
        </w:rPr>
        <w:t>5%.</w:t>
      </w:r>
    </w:p>
    <w:p>
      <w:pPr>
        <w:pStyle w:val="BodyText"/>
        <w:spacing w:line="254" w:lineRule="auto"/>
        <w:ind w:left="119" w:right="123" w:firstLine="567"/>
        <w:jc w:val="both"/>
      </w:pPr>
      <w:r>
        <w:rPr>
          <w:color w:val="231F20"/>
        </w:rPr>
        <w:t>El análisis estadístico del tipo de cambio y de los cambios de las tasas de interés mostraron series heteroscedásticas</w:t>
      </w:r>
      <w:r>
        <w:rPr>
          <w:color w:val="231F20"/>
          <w:position w:val="7"/>
          <w:sz w:val="12"/>
        </w:rPr>
        <w:t>5 </w:t>
      </w:r>
      <w:r>
        <w:rPr>
          <w:color w:val="231F20"/>
        </w:rPr>
        <w:t>y se comprueba la hipótesis de que ambas variables presentan volatilidad estocástica. </w:t>
      </w:r>
      <w:r>
        <w:rPr>
          <w:color w:val="231F20"/>
          <w:spacing w:val="-6"/>
        </w:rPr>
        <w:t>Por     </w:t>
      </w:r>
      <w:r>
        <w:rPr>
          <w:color w:val="231F20"/>
        </w:rPr>
        <w:t>lo tanto, se trabajó con los rendimientos del tipo de cambio y los cam-   bios de las tasas de interés, las cuales evidencian un comportamiento ho- mogéneo a través de la prueba de White, en la que </w:t>
      </w:r>
      <w:r>
        <w:rPr>
          <w:rFonts w:ascii="Times New Roman" w:hAnsi="Times New Roman"/>
          <w:i/>
          <w:color w:val="231F20"/>
          <w:sz w:val="22"/>
        </w:rPr>
        <w:t>N*R</w:t>
      </w:r>
      <w:r>
        <w:rPr>
          <w:color w:val="231F20"/>
          <w:position w:val="7"/>
          <w:sz w:val="12"/>
        </w:rPr>
        <w:t>2 </w:t>
      </w:r>
      <w:r>
        <w:rPr>
          <w:rFonts w:ascii="Times New Roman" w:hAnsi="Times New Roman"/>
          <w:color w:val="231F20"/>
          <w:sz w:val="22"/>
        </w:rPr>
        <w:t>= </w:t>
      </w:r>
      <w:r>
        <w:rPr>
          <w:color w:val="231F20"/>
        </w:rPr>
        <w:t>0.154837 y 0.154837 </w:t>
      </w:r>
      <w:r>
        <w:rPr>
          <w:rFonts w:ascii="Times New Roman" w:hAnsi="Times New Roman"/>
          <w:color w:val="231F20"/>
          <w:sz w:val="22"/>
        </w:rPr>
        <w:t>&gt;</w:t>
      </w:r>
      <w:r>
        <w:rPr>
          <w:rFonts w:ascii="Times New Roman" w:hAnsi="Times New Roman"/>
          <w:i/>
          <w:color w:val="231F20"/>
          <w:sz w:val="22"/>
        </w:rPr>
        <w:t>χ </w:t>
      </w:r>
      <w:r>
        <w:rPr>
          <w:color w:val="231F20"/>
          <w:position w:val="7"/>
          <w:sz w:val="12"/>
        </w:rPr>
        <w:t>2 </w:t>
      </w:r>
      <w:r>
        <w:rPr>
          <w:rFonts w:ascii="Times New Roman" w:hAnsi="Times New Roman"/>
          <w:color w:val="231F20"/>
          <w:sz w:val="22"/>
        </w:rPr>
        <w:t>= </w:t>
      </w:r>
      <w:r>
        <w:rPr>
          <w:color w:val="231F20"/>
        </w:rPr>
        <w:t>3.841, cuya probabilidad significativa de 92.56% y 92.55% mayor a 5%, para los rendimientos del tipo de cambio y los cambios de las tasas de interés,</w:t>
      </w:r>
      <w:r>
        <w:rPr>
          <w:color w:val="231F20"/>
          <w:spacing w:val="29"/>
        </w:rPr>
        <w:t> </w:t>
      </w:r>
      <w:r>
        <w:rPr>
          <w:color w:val="231F20"/>
        </w:rPr>
        <w:t>respectivamente.</w:t>
      </w:r>
    </w:p>
    <w:p>
      <w:pPr>
        <w:pStyle w:val="BodyText"/>
        <w:spacing w:line="256" w:lineRule="auto" w:before="4"/>
        <w:ind w:left="119" w:right="117" w:firstLine="567"/>
        <w:jc w:val="both"/>
      </w:pPr>
      <w:r>
        <w:rPr>
          <w:color w:val="231F20"/>
          <w:w w:val="105"/>
        </w:rPr>
        <w:t>En</w:t>
      </w:r>
      <w:r>
        <w:rPr>
          <w:color w:val="231F20"/>
          <w:spacing w:val="-8"/>
          <w:w w:val="105"/>
        </w:rPr>
        <w:t> </w:t>
      </w:r>
      <w:r>
        <w:rPr>
          <w:color w:val="231F20"/>
          <w:w w:val="105"/>
        </w:rPr>
        <w:t>cuanto</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resultados</w:t>
      </w:r>
      <w:r>
        <w:rPr>
          <w:color w:val="231F20"/>
          <w:spacing w:val="-8"/>
          <w:w w:val="105"/>
        </w:rPr>
        <w:t> </w:t>
      </w:r>
      <w:r>
        <w:rPr>
          <w:color w:val="231F20"/>
          <w:w w:val="105"/>
        </w:rPr>
        <w:t>del</w:t>
      </w:r>
      <w:r>
        <w:rPr>
          <w:color w:val="231F20"/>
          <w:spacing w:val="-8"/>
          <w:w w:val="105"/>
        </w:rPr>
        <w:t> </w:t>
      </w:r>
      <w:r>
        <w:rPr>
          <w:color w:val="231F20"/>
          <w:w w:val="105"/>
        </w:rPr>
        <w:t>análisis</w:t>
      </w:r>
      <w:r>
        <w:rPr>
          <w:color w:val="231F20"/>
          <w:spacing w:val="-8"/>
          <w:w w:val="105"/>
        </w:rPr>
        <w:t> </w:t>
      </w:r>
      <w:r>
        <w:rPr>
          <w:color w:val="231F20"/>
          <w:w w:val="105"/>
        </w:rPr>
        <w:t>de</w:t>
      </w:r>
      <w:r>
        <w:rPr>
          <w:color w:val="231F20"/>
          <w:spacing w:val="-8"/>
          <w:w w:val="105"/>
        </w:rPr>
        <w:t> </w:t>
      </w:r>
      <w:r>
        <w:rPr>
          <w:color w:val="231F20"/>
          <w:w w:val="105"/>
        </w:rPr>
        <w:t>estacionalidad</w:t>
      </w:r>
      <w:r>
        <w:rPr>
          <w:color w:val="231F20"/>
          <w:spacing w:val="-8"/>
          <w:w w:val="105"/>
        </w:rPr>
        <w:t> </w:t>
      </w:r>
      <w:r>
        <w:rPr>
          <w:color w:val="231F20"/>
          <w:w w:val="105"/>
        </w:rPr>
        <w:t>la</w:t>
      </w:r>
      <w:r>
        <w:rPr>
          <w:color w:val="231F20"/>
          <w:spacing w:val="-8"/>
          <w:w w:val="105"/>
        </w:rPr>
        <w:t> </w:t>
      </w:r>
      <w:r>
        <w:rPr>
          <w:color w:val="231F20"/>
          <w:w w:val="105"/>
        </w:rPr>
        <w:t>hipóte- sis</w:t>
      </w:r>
      <w:r>
        <w:rPr>
          <w:color w:val="231F20"/>
          <w:spacing w:val="-19"/>
          <w:w w:val="105"/>
        </w:rPr>
        <w:t> </w:t>
      </w:r>
      <w:r>
        <w:rPr>
          <w:color w:val="231F20"/>
          <w:w w:val="105"/>
        </w:rPr>
        <w:t>nula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manejó</w:t>
      </w:r>
      <w:r>
        <w:rPr>
          <w:color w:val="231F20"/>
          <w:spacing w:val="-19"/>
          <w:w w:val="105"/>
        </w:rPr>
        <w:t> </w:t>
      </w:r>
      <w:r>
        <w:rPr>
          <w:color w:val="231F20"/>
          <w:w w:val="105"/>
        </w:rPr>
        <w:t>para</w:t>
      </w:r>
      <w:r>
        <w:rPr>
          <w:color w:val="231F20"/>
          <w:spacing w:val="-19"/>
          <w:w w:val="105"/>
        </w:rPr>
        <w:t> </w:t>
      </w:r>
      <w:r>
        <w:rPr>
          <w:color w:val="231F20"/>
          <w:w w:val="105"/>
        </w:rPr>
        <w:t>las</w:t>
      </w:r>
      <w:r>
        <w:rPr>
          <w:color w:val="231F20"/>
          <w:spacing w:val="-19"/>
          <w:w w:val="105"/>
        </w:rPr>
        <w:t> </w:t>
      </w:r>
      <w:r>
        <w:rPr>
          <w:color w:val="231F20"/>
          <w:w w:val="105"/>
        </w:rPr>
        <w:t>pruebas</w:t>
      </w:r>
      <w:r>
        <w:rPr>
          <w:color w:val="231F20"/>
          <w:spacing w:val="-21"/>
          <w:w w:val="105"/>
        </w:rPr>
        <w:t> </w:t>
      </w:r>
      <w:r>
        <w:rPr>
          <w:color w:val="231F20"/>
          <w:spacing w:val="-6"/>
          <w:w w:val="105"/>
        </w:rPr>
        <w:t>ADF,</w:t>
      </w:r>
      <w:r>
        <w:rPr>
          <w:color w:val="231F20"/>
          <w:spacing w:val="-23"/>
          <w:w w:val="105"/>
        </w:rPr>
        <w:t> </w:t>
      </w:r>
      <w:r>
        <w:rPr>
          <w:color w:val="231F20"/>
          <w:w w:val="105"/>
        </w:rPr>
        <w:t>DF-GLS</w:t>
      </w:r>
      <w:r>
        <w:rPr>
          <w:color w:val="231F20"/>
          <w:spacing w:val="-19"/>
          <w:w w:val="105"/>
        </w:rPr>
        <w:t> </w:t>
      </w:r>
      <w:r>
        <w:rPr>
          <w:color w:val="231F20"/>
          <w:w w:val="105"/>
        </w:rPr>
        <w:t>y</w:t>
      </w:r>
      <w:r>
        <w:rPr>
          <w:color w:val="231F20"/>
          <w:spacing w:val="-19"/>
          <w:w w:val="105"/>
        </w:rPr>
        <w:t> </w:t>
      </w:r>
      <w:r>
        <w:rPr>
          <w:color w:val="231F20"/>
          <w:w w:val="105"/>
        </w:rPr>
        <w:t>PP</w:t>
      </w:r>
      <w:r>
        <w:rPr>
          <w:color w:val="231F20"/>
          <w:spacing w:val="-19"/>
          <w:w w:val="105"/>
        </w:rPr>
        <w:t> </w:t>
      </w:r>
      <w:r>
        <w:rPr>
          <w:color w:val="231F20"/>
          <w:w w:val="105"/>
        </w:rPr>
        <w:t>es</w:t>
      </w:r>
      <w:r>
        <w:rPr>
          <w:color w:val="231F20"/>
          <w:spacing w:val="-19"/>
          <w:w w:val="105"/>
        </w:rPr>
        <w:t> </w:t>
      </w:r>
      <w:r>
        <w:rPr>
          <w:color w:val="231F20"/>
          <w:w w:val="105"/>
        </w:rPr>
        <w:t>la</w:t>
      </w:r>
      <w:r>
        <w:rPr>
          <w:color w:val="231F20"/>
          <w:spacing w:val="-19"/>
          <w:w w:val="105"/>
        </w:rPr>
        <w:t> </w:t>
      </w:r>
      <w:r>
        <w:rPr>
          <w:color w:val="231F20"/>
          <w:w w:val="105"/>
        </w:rPr>
        <w:t>existen- cia de raíz unitaria, es decir, la serie no es estacionaria (Maddala y</w:t>
      </w:r>
      <w:r>
        <w:rPr>
          <w:color w:val="231F20"/>
          <w:spacing w:val="-38"/>
          <w:w w:val="105"/>
        </w:rPr>
        <w:t> </w:t>
      </w:r>
      <w:r>
        <w:rPr>
          <w:color w:val="231F20"/>
          <w:w w:val="105"/>
        </w:rPr>
        <w:t>Kim, 1998). Las pruebas aplicadas a los rendimientos del tipo de cambio</w:t>
      </w:r>
      <w:r>
        <w:rPr>
          <w:color w:val="231F20"/>
          <w:spacing w:val="-27"/>
          <w:w w:val="105"/>
        </w:rPr>
        <w:t> </w:t>
      </w:r>
      <w:r>
        <w:rPr>
          <w:color w:val="231F20"/>
          <w:w w:val="105"/>
        </w:rPr>
        <w:t>mx/ usd</w:t>
      </w:r>
      <w:r>
        <w:rPr>
          <w:color w:val="231F20"/>
          <w:spacing w:val="-12"/>
          <w:w w:val="105"/>
        </w:rPr>
        <w:t> </w:t>
      </w:r>
      <w:r>
        <w:rPr>
          <w:color w:val="231F20"/>
          <w:w w:val="105"/>
        </w:rPr>
        <w:t>muestran</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i/>
          <w:color w:val="231F20"/>
          <w:w w:val="105"/>
        </w:rPr>
        <w:t>t</w:t>
      </w:r>
      <w:r>
        <w:rPr>
          <w:color w:val="231F20"/>
          <w:w w:val="105"/>
        </w:rPr>
        <w:t>-estadístico</w:t>
      </w:r>
      <w:r>
        <w:rPr>
          <w:color w:val="231F20"/>
          <w:spacing w:val="-12"/>
          <w:w w:val="105"/>
        </w:rPr>
        <w:t> </w:t>
      </w:r>
      <w:r>
        <w:rPr>
          <w:color w:val="231F20"/>
          <w:w w:val="105"/>
        </w:rPr>
        <w:t>es</w:t>
      </w:r>
      <w:r>
        <w:rPr>
          <w:color w:val="231F20"/>
          <w:spacing w:val="-12"/>
          <w:w w:val="105"/>
        </w:rPr>
        <w:t> </w:t>
      </w:r>
      <w:r>
        <w:rPr>
          <w:color w:val="231F20"/>
          <w:w w:val="105"/>
        </w:rPr>
        <w:t>mayor</w:t>
      </w:r>
      <w:r>
        <w:rPr>
          <w:color w:val="231F20"/>
          <w:spacing w:val="-12"/>
          <w:w w:val="105"/>
        </w:rPr>
        <w:t> </w:t>
      </w:r>
      <w:r>
        <w:rPr>
          <w:color w:val="231F20"/>
          <w:w w:val="105"/>
        </w:rPr>
        <w:t>en</w:t>
      </w:r>
      <w:r>
        <w:rPr>
          <w:color w:val="231F20"/>
          <w:spacing w:val="-12"/>
          <w:w w:val="105"/>
        </w:rPr>
        <w:t> </w:t>
      </w:r>
      <w:r>
        <w:rPr>
          <w:color w:val="231F20"/>
          <w:w w:val="105"/>
        </w:rPr>
        <w:t>todos</w:t>
      </w:r>
      <w:r>
        <w:rPr>
          <w:color w:val="231F20"/>
          <w:spacing w:val="-12"/>
          <w:w w:val="105"/>
        </w:rPr>
        <w:t> </w:t>
      </w:r>
      <w:r>
        <w:rPr>
          <w:color w:val="231F20"/>
          <w:w w:val="105"/>
        </w:rPr>
        <w:t>los</w:t>
      </w:r>
      <w:r>
        <w:rPr>
          <w:color w:val="231F20"/>
          <w:spacing w:val="-12"/>
          <w:w w:val="105"/>
        </w:rPr>
        <w:t> </w:t>
      </w:r>
      <w:r>
        <w:rPr>
          <w:color w:val="231F20"/>
          <w:w w:val="105"/>
        </w:rPr>
        <w:t>casos</w:t>
      </w:r>
      <w:r>
        <w:rPr>
          <w:color w:val="231F20"/>
          <w:spacing w:val="-12"/>
          <w:w w:val="105"/>
        </w:rPr>
        <w:t> </w:t>
      </w:r>
      <w:r>
        <w:rPr>
          <w:color w:val="231F20"/>
          <w:w w:val="105"/>
        </w:rPr>
        <w:t>al</w:t>
      </w:r>
      <w:r>
        <w:rPr>
          <w:color w:val="231F20"/>
          <w:spacing w:val="-12"/>
          <w:w w:val="105"/>
        </w:rPr>
        <w:t> </w:t>
      </w:r>
      <w:r>
        <w:rPr>
          <w:i/>
          <w:color w:val="231F20"/>
          <w:w w:val="105"/>
        </w:rPr>
        <w:t>t</w:t>
      </w:r>
      <w:r>
        <w:rPr>
          <w:color w:val="231F20"/>
          <w:w w:val="105"/>
        </w:rPr>
        <w:t>-crítico </w:t>
      </w:r>
      <w:r>
        <w:rPr>
          <w:rFonts w:ascii="Times New Roman" w:hAnsi="Times New Roman"/>
          <w:color w:val="231F20"/>
          <w:w w:val="105"/>
          <w:sz w:val="22"/>
        </w:rPr>
        <w:t>(|-</w:t>
      </w:r>
      <w:r>
        <w:rPr>
          <w:color w:val="231F20"/>
          <w:w w:val="105"/>
        </w:rPr>
        <w:t>2.565959</w:t>
      </w:r>
      <w:r>
        <w:rPr>
          <w:rFonts w:ascii="Times New Roman" w:hAnsi="Times New Roman"/>
          <w:color w:val="231F20"/>
          <w:w w:val="105"/>
          <w:sz w:val="22"/>
        </w:rPr>
        <w:t>|,</w:t>
      </w:r>
      <w:r>
        <w:rPr>
          <w:rFonts w:ascii="Times New Roman" w:hAnsi="Times New Roman"/>
          <w:color w:val="231F20"/>
          <w:spacing w:val="-7"/>
          <w:w w:val="105"/>
          <w:sz w:val="22"/>
        </w:rPr>
        <w:t> </w:t>
      </w:r>
      <w:r>
        <w:rPr>
          <w:rFonts w:ascii="Times New Roman" w:hAnsi="Times New Roman"/>
          <w:color w:val="231F20"/>
          <w:w w:val="105"/>
          <w:sz w:val="22"/>
        </w:rPr>
        <w:t>|-</w:t>
      </w:r>
      <w:r>
        <w:rPr>
          <w:color w:val="231F20"/>
          <w:w w:val="105"/>
        </w:rPr>
        <w:t>1.94096</w:t>
      </w:r>
      <w:r>
        <w:rPr>
          <w:rFonts w:ascii="Times New Roman" w:hAnsi="Times New Roman"/>
          <w:color w:val="231F20"/>
          <w:w w:val="105"/>
          <w:sz w:val="22"/>
        </w:rPr>
        <w:t>|</w:t>
      </w:r>
      <w:r>
        <w:rPr>
          <w:rFonts w:ascii="Times New Roman" w:hAnsi="Times New Roman"/>
          <w:color w:val="231F20"/>
          <w:spacing w:val="-7"/>
          <w:w w:val="105"/>
          <w:sz w:val="22"/>
        </w:rPr>
        <w:t> </w:t>
      </w:r>
      <w:r>
        <w:rPr>
          <w:color w:val="231F20"/>
          <w:w w:val="105"/>
        </w:rPr>
        <w:t>y</w:t>
      </w:r>
      <w:r>
        <w:rPr>
          <w:color w:val="231F20"/>
          <w:spacing w:val="-10"/>
          <w:w w:val="105"/>
        </w:rPr>
        <w:t> </w:t>
      </w:r>
      <w:r>
        <w:rPr>
          <w:rFonts w:ascii="Times New Roman" w:hAnsi="Times New Roman"/>
          <w:color w:val="231F20"/>
          <w:w w:val="105"/>
          <w:sz w:val="22"/>
        </w:rPr>
        <w:t>|-</w:t>
      </w:r>
      <w:r>
        <w:rPr>
          <w:color w:val="231F20"/>
          <w:w w:val="105"/>
        </w:rPr>
        <w:t>1.616608</w:t>
      </w:r>
      <w:r>
        <w:rPr>
          <w:rFonts w:ascii="Times New Roman" w:hAnsi="Times New Roman"/>
          <w:color w:val="231F20"/>
          <w:w w:val="105"/>
          <w:sz w:val="22"/>
        </w:rPr>
        <w:t>|)</w:t>
      </w:r>
      <w:r>
        <w:rPr>
          <w:rFonts w:ascii="Times New Roman" w:hAnsi="Times New Roman"/>
          <w:color w:val="231F20"/>
          <w:spacing w:val="-7"/>
          <w:w w:val="105"/>
          <w:sz w:val="22"/>
        </w:rPr>
        <w:t> </w:t>
      </w:r>
      <w:r>
        <w:rPr>
          <w:color w:val="231F20"/>
          <w:w w:val="105"/>
        </w:rPr>
        <w:t>para</w:t>
      </w:r>
      <w:r>
        <w:rPr>
          <w:color w:val="231F20"/>
          <w:spacing w:val="-15"/>
          <w:w w:val="105"/>
        </w:rPr>
        <w:t> </w:t>
      </w:r>
      <w:r>
        <w:rPr>
          <w:color w:val="231F20"/>
          <w:w w:val="105"/>
        </w:rPr>
        <w:t>ADF;</w:t>
      </w:r>
      <w:r>
        <w:rPr>
          <w:color w:val="231F20"/>
          <w:spacing w:val="-12"/>
          <w:w w:val="105"/>
        </w:rPr>
        <w:t> </w:t>
      </w:r>
      <w:r>
        <w:rPr>
          <w:rFonts w:ascii="Times New Roman" w:hAnsi="Times New Roman"/>
          <w:color w:val="231F20"/>
          <w:w w:val="105"/>
          <w:sz w:val="22"/>
        </w:rPr>
        <w:t>(|-</w:t>
      </w:r>
      <w:r>
        <w:rPr>
          <w:color w:val="231F20"/>
          <w:w w:val="105"/>
        </w:rPr>
        <w:t>3.48</w:t>
      </w:r>
      <w:r>
        <w:rPr>
          <w:rFonts w:ascii="Times New Roman" w:hAnsi="Times New Roman"/>
          <w:color w:val="231F20"/>
          <w:w w:val="105"/>
          <w:sz w:val="22"/>
        </w:rPr>
        <w:t>|,</w:t>
      </w:r>
      <w:r>
        <w:rPr>
          <w:rFonts w:ascii="Times New Roman" w:hAnsi="Times New Roman"/>
          <w:color w:val="231F20"/>
          <w:spacing w:val="-7"/>
          <w:w w:val="105"/>
          <w:sz w:val="22"/>
        </w:rPr>
        <w:t> </w:t>
      </w:r>
      <w:r>
        <w:rPr>
          <w:rFonts w:ascii="Times New Roman" w:hAnsi="Times New Roman"/>
          <w:color w:val="231F20"/>
          <w:w w:val="105"/>
          <w:sz w:val="22"/>
        </w:rPr>
        <w:t>|-</w:t>
      </w:r>
      <w:r>
        <w:rPr>
          <w:color w:val="231F20"/>
          <w:w w:val="105"/>
        </w:rPr>
        <w:t>2.89</w:t>
      </w:r>
      <w:r>
        <w:rPr>
          <w:rFonts w:ascii="Times New Roman" w:hAnsi="Times New Roman"/>
          <w:color w:val="231F20"/>
          <w:w w:val="105"/>
          <w:sz w:val="22"/>
        </w:rPr>
        <w:t>|</w:t>
      </w:r>
      <w:r>
        <w:rPr>
          <w:rFonts w:ascii="Times New Roman" w:hAnsi="Times New Roman"/>
          <w:color w:val="231F20"/>
          <w:spacing w:val="-7"/>
          <w:w w:val="105"/>
          <w:sz w:val="22"/>
        </w:rPr>
        <w:t> </w:t>
      </w:r>
      <w:r>
        <w:rPr>
          <w:color w:val="231F20"/>
          <w:w w:val="105"/>
        </w:rPr>
        <w:t>y</w:t>
      </w:r>
      <w:r>
        <w:rPr>
          <w:color w:val="231F20"/>
          <w:spacing w:val="-10"/>
          <w:w w:val="105"/>
        </w:rPr>
        <w:t> </w:t>
      </w:r>
      <w:r>
        <w:rPr>
          <w:rFonts w:ascii="Times New Roman" w:hAnsi="Times New Roman"/>
          <w:color w:val="231F20"/>
          <w:w w:val="105"/>
          <w:sz w:val="22"/>
        </w:rPr>
        <w:t>|-</w:t>
      </w:r>
      <w:r>
        <w:rPr>
          <w:color w:val="231F20"/>
          <w:w w:val="105"/>
        </w:rPr>
        <w:t>2.57</w:t>
      </w:r>
      <w:r>
        <w:rPr>
          <w:rFonts w:ascii="Times New Roman" w:hAnsi="Times New Roman"/>
          <w:color w:val="231F20"/>
          <w:w w:val="105"/>
          <w:sz w:val="22"/>
        </w:rPr>
        <w:t>|) </w:t>
      </w:r>
      <w:r>
        <w:rPr>
          <w:color w:val="231F20"/>
          <w:w w:val="105"/>
        </w:rPr>
        <w:t>para</w:t>
      </w:r>
      <w:r>
        <w:rPr>
          <w:color w:val="231F20"/>
          <w:spacing w:val="-17"/>
          <w:w w:val="105"/>
        </w:rPr>
        <w:t> </w:t>
      </w:r>
      <w:r>
        <w:rPr>
          <w:color w:val="231F20"/>
          <w:w w:val="105"/>
        </w:rPr>
        <w:t>DF-GLS;</w:t>
      </w:r>
      <w:r>
        <w:rPr>
          <w:color w:val="231F20"/>
          <w:spacing w:val="-17"/>
          <w:w w:val="105"/>
        </w:rPr>
        <w:t> </w:t>
      </w:r>
      <w:r>
        <w:rPr>
          <w:color w:val="231F20"/>
          <w:w w:val="105"/>
        </w:rPr>
        <w:t>y</w:t>
      </w:r>
      <w:r>
        <w:rPr>
          <w:color w:val="231F20"/>
          <w:spacing w:val="-17"/>
          <w:w w:val="105"/>
        </w:rPr>
        <w:t> </w:t>
      </w:r>
      <w:r>
        <w:rPr>
          <w:rFonts w:ascii="Times New Roman" w:hAnsi="Times New Roman"/>
          <w:color w:val="231F20"/>
          <w:w w:val="105"/>
          <w:sz w:val="22"/>
        </w:rPr>
        <w:t>(|-</w:t>
      </w:r>
      <w:r>
        <w:rPr>
          <w:color w:val="231F20"/>
          <w:w w:val="105"/>
        </w:rPr>
        <w:t>3.96</w:t>
      </w:r>
      <w:r>
        <w:rPr>
          <w:rFonts w:ascii="Times New Roman" w:hAnsi="Times New Roman"/>
          <w:color w:val="231F20"/>
          <w:w w:val="105"/>
          <w:sz w:val="22"/>
        </w:rPr>
        <w:t>|,</w:t>
      </w:r>
      <w:r>
        <w:rPr>
          <w:rFonts w:ascii="Times New Roman" w:hAnsi="Times New Roman"/>
          <w:color w:val="231F20"/>
          <w:spacing w:val="-11"/>
          <w:w w:val="105"/>
          <w:sz w:val="22"/>
        </w:rPr>
        <w:t> </w:t>
      </w:r>
      <w:r>
        <w:rPr>
          <w:rFonts w:ascii="Times New Roman" w:hAnsi="Times New Roman"/>
          <w:color w:val="231F20"/>
          <w:w w:val="105"/>
          <w:sz w:val="22"/>
        </w:rPr>
        <w:t>|-</w:t>
      </w:r>
      <w:r>
        <w:rPr>
          <w:color w:val="231F20"/>
          <w:w w:val="105"/>
        </w:rPr>
        <w:t>3.41175</w:t>
      </w:r>
      <w:r>
        <w:rPr>
          <w:rFonts w:ascii="Times New Roman" w:hAnsi="Times New Roman"/>
          <w:color w:val="231F20"/>
          <w:w w:val="105"/>
          <w:sz w:val="22"/>
        </w:rPr>
        <w:t>|</w:t>
      </w:r>
      <w:r>
        <w:rPr>
          <w:rFonts w:ascii="Times New Roman" w:hAnsi="Times New Roman"/>
          <w:color w:val="231F20"/>
          <w:spacing w:val="-11"/>
          <w:w w:val="105"/>
          <w:sz w:val="22"/>
        </w:rPr>
        <w:t> </w:t>
      </w:r>
      <w:r>
        <w:rPr>
          <w:color w:val="231F20"/>
          <w:w w:val="105"/>
        </w:rPr>
        <w:t>y</w:t>
      </w:r>
      <w:r>
        <w:rPr>
          <w:color w:val="231F20"/>
          <w:spacing w:val="-15"/>
          <w:w w:val="105"/>
        </w:rPr>
        <w:t> </w:t>
      </w:r>
      <w:r>
        <w:rPr>
          <w:rFonts w:ascii="Times New Roman" w:hAnsi="Times New Roman"/>
          <w:color w:val="231F20"/>
          <w:w w:val="105"/>
          <w:sz w:val="22"/>
        </w:rPr>
        <w:t>|-</w:t>
      </w:r>
      <w:r>
        <w:rPr>
          <w:color w:val="231F20"/>
          <w:w w:val="105"/>
        </w:rPr>
        <w:t>3.12776</w:t>
      </w:r>
      <w:r>
        <w:rPr>
          <w:rFonts w:ascii="Times New Roman" w:hAnsi="Times New Roman"/>
          <w:color w:val="231F20"/>
          <w:w w:val="105"/>
          <w:sz w:val="22"/>
        </w:rPr>
        <w:t>|)</w:t>
      </w:r>
      <w:r>
        <w:rPr>
          <w:rFonts w:ascii="Times New Roman" w:hAnsi="Times New Roman"/>
          <w:color w:val="231F20"/>
          <w:spacing w:val="-14"/>
          <w:w w:val="105"/>
          <w:sz w:val="22"/>
        </w:rPr>
        <w:t> </w:t>
      </w:r>
      <w:r>
        <w:rPr>
          <w:color w:val="231F20"/>
          <w:w w:val="105"/>
        </w:rPr>
        <w:t>para</w:t>
      </w:r>
      <w:r>
        <w:rPr>
          <w:color w:val="231F20"/>
          <w:spacing w:val="-17"/>
          <w:w w:val="105"/>
        </w:rPr>
        <w:t> </w:t>
      </w:r>
      <w:r>
        <w:rPr>
          <w:color w:val="231F20"/>
          <w:spacing w:val="-11"/>
          <w:w w:val="105"/>
        </w:rPr>
        <w:t>PP,</w:t>
      </w:r>
      <w:r>
        <w:rPr>
          <w:color w:val="231F20"/>
          <w:spacing w:val="-21"/>
          <w:w w:val="105"/>
        </w:rPr>
        <w:t> </w:t>
      </w:r>
      <w:r>
        <w:rPr>
          <w:color w:val="231F20"/>
          <w:w w:val="105"/>
        </w:rPr>
        <w:t>a</w:t>
      </w:r>
      <w:r>
        <w:rPr>
          <w:color w:val="231F20"/>
          <w:spacing w:val="-17"/>
          <w:w w:val="105"/>
        </w:rPr>
        <w:t> </w:t>
      </w:r>
      <w:r>
        <w:rPr>
          <w:color w:val="231F20"/>
          <w:w w:val="105"/>
        </w:rPr>
        <w:t>1%,</w:t>
      </w:r>
      <w:r>
        <w:rPr>
          <w:color w:val="231F20"/>
          <w:spacing w:val="-21"/>
          <w:w w:val="105"/>
        </w:rPr>
        <w:t> </w:t>
      </w:r>
      <w:r>
        <w:rPr>
          <w:color w:val="231F20"/>
          <w:w w:val="105"/>
        </w:rPr>
        <w:t>5%</w:t>
      </w:r>
      <w:r>
        <w:rPr>
          <w:color w:val="231F20"/>
          <w:spacing w:val="-17"/>
          <w:w w:val="105"/>
        </w:rPr>
        <w:t> </w:t>
      </w:r>
      <w:r>
        <w:rPr>
          <w:color w:val="231F20"/>
          <w:w w:val="105"/>
        </w:rPr>
        <w:t>y</w:t>
      </w:r>
      <w:r>
        <w:rPr>
          <w:color w:val="231F20"/>
          <w:spacing w:val="-17"/>
          <w:w w:val="105"/>
        </w:rPr>
        <w:t> </w:t>
      </w:r>
      <w:r>
        <w:rPr>
          <w:color w:val="231F20"/>
          <w:w w:val="105"/>
        </w:rPr>
        <w:t>10% nivel</w:t>
      </w:r>
      <w:r>
        <w:rPr>
          <w:color w:val="231F20"/>
          <w:spacing w:val="-7"/>
          <w:w w:val="105"/>
        </w:rPr>
        <w:t> </w:t>
      </w:r>
      <w:r>
        <w:rPr>
          <w:color w:val="231F20"/>
          <w:w w:val="105"/>
        </w:rPr>
        <w:t>de</w:t>
      </w:r>
      <w:r>
        <w:rPr>
          <w:color w:val="231F20"/>
          <w:spacing w:val="-7"/>
          <w:w w:val="105"/>
        </w:rPr>
        <w:t> </w:t>
      </w:r>
      <w:r>
        <w:rPr>
          <w:color w:val="231F20"/>
          <w:w w:val="105"/>
        </w:rPr>
        <w:t>significancia</w:t>
      </w:r>
      <w:r>
        <w:rPr>
          <w:color w:val="231F20"/>
          <w:spacing w:val="-7"/>
          <w:w w:val="105"/>
        </w:rPr>
        <w:t> </w:t>
      </w:r>
      <w:r>
        <w:rPr>
          <w:color w:val="231F20"/>
          <w:w w:val="105"/>
        </w:rPr>
        <w:t>respectivamente.</w:t>
      </w:r>
      <w:r>
        <w:rPr>
          <w:color w:val="231F20"/>
          <w:spacing w:val="-15"/>
          <w:w w:val="105"/>
        </w:rPr>
        <w:t> </w:t>
      </w:r>
      <w:r>
        <w:rPr>
          <w:color w:val="231F20"/>
          <w:spacing w:val="-3"/>
          <w:w w:val="105"/>
        </w:rPr>
        <w:t>También</w:t>
      </w:r>
      <w:r>
        <w:rPr>
          <w:color w:val="231F20"/>
          <w:spacing w:val="-7"/>
          <w:w w:val="105"/>
        </w:rPr>
        <w:t> </w:t>
      </w:r>
      <w:r>
        <w:rPr>
          <w:color w:val="231F20"/>
          <w:w w:val="105"/>
        </w:rPr>
        <w:t>se</w:t>
      </w:r>
      <w:r>
        <w:rPr>
          <w:color w:val="231F20"/>
          <w:spacing w:val="-7"/>
          <w:w w:val="105"/>
        </w:rPr>
        <w:t> </w:t>
      </w:r>
      <w:r>
        <w:rPr>
          <w:color w:val="231F20"/>
          <w:w w:val="105"/>
        </w:rPr>
        <w:t>resalta</w:t>
      </w:r>
      <w:r>
        <w:rPr>
          <w:color w:val="231F20"/>
          <w:spacing w:val="-7"/>
          <w:w w:val="105"/>
        </w:rPr>
        <w:t> </w:t>
      </w:r>
      <w:r>
        <w:rPr>
          <w:color w:val="231F20"/>
          <w:w w:val="105"/>
        </w:rPr>
        <w:t>que</w:t>
      </w:r>
      <w:r>
        <w:rPr>
          <w:color w:val="231F20"/>
          <w:spacing w:val="-7"/>
          <w:w w:val="105"/>
        </w:rPr>
        <w:t> </w:t>
      </w:r>
      <w:r>
        <w:rPr>
          <w:color w:val="231F20"/>
          <w:w w:val="105"/>
        </w:rPr>
        <w:t>todas</w:t>
      </w:r>
      <w:r>
        <w:rPr>
          <w:color w:val="231F20"/>
          <w:spacing w:val="-7"/>
          <w:w w:val="105"/>
        </w:rPr>
        <w:t> </w:t>
      </w:r>
      <w:r>
        <w:rPr>
          <w:color w:val="231F20"/>
          <w:w w:val="105"/>
        </w:rPr>
        <w:t>las pruebas presentan una probabilidad menor a 5% nivel de significancia. Finalmente se confirma que las series no presentan raíz unitaria, es</w:t>
      </w:r>
      <w:r>
        <w:rPr>
          <w:color w:val="231F20"/>
          <w:spacing w:val="-25"/>
          <w:w w:val="105"/>
        </w:rPr>
        <w:t> </w:t>
      </w:r>
      <w:r>
        <w:rPr>
          <w:color w:val="231F20"/>
          <w:w w:val="105"/>
        </w:rPr>
        <w:t>de- </w:t>
      </w:r>
      <w:r>
        <w:rPr>
          <w:color w:val="231F20"/>
          <w:spacing w:val="-3"/>
          <w:w w:val="105"/>
        </w:rPr>
        <w:t>cir,</w:t>
      </w:r>
      <w:r>
        <w:rPr>
          <w:color w:val="231F20"/>
          <w:spacing w:val="-26"/>
          <w:w w:val="105"/>
        </w:rPr>
        <w:t> </w:t>
      </w:r>
      <w:r>
        <w:rPr>
          <w:color w:val="231F20"/>
          <w:w w:val="105"/>
        </w:rPr>
        <w:t>son</w:t>
      </w:r>
      <w:r>
        <w:rPr>
          <w:color w:val="231F20"/>
          <w:spacing w:val="-22"/>
          <w:w w:val="105"/>
        </w:rPr>
        <w:t> </w:t>
      </w:r>
      <w:r>
        <w:rPr>
          <w:color w:val="231F20"/>
          <w:w w:val="105"/>
        </w:rPr>
        <w:t>series</w:t>
      </w:r>
      <w:r>
        <w:rPr>
          <w:color w:val="231F20"/>
          <w:spacing w:val="-22"/>
          <w:w w:val="105"/>
        </w:rPr>
        <w:t> </w:t>
      </w:r>
      <w:r>
        <w:rPr>
          <w:color w:val="231F20"/>
          <w:w w:val="105"/>
        </w:rPr>
        <w:t>estacionarias,</w:t>
      </w:r>
      <w:r>
        <w:rPr>
          <w:color w:val="231F20"/>
          <w:spacing w:val="-26"/>
          <w:w w:val="105"/>
        </w:rPr>
        <w:t> </w:t>
      </w:r>
      <w:r>
        <w:rPr>
          <w:color w:val="231F20"/>
          <w:w w:val="105"/>
        </w:rPr>
        <w:t>por</w:t>
      </w:r>
      <w:r>
        <w:rPr>
          <w:color w:val="231F20"/>
          <w:spacing w:val="-22"/>
          <w:w w:val="105"/>
        </w:rPr>
        <w:t> </w:t>
      </w:r>
      <w:r>
        <w:rPr>
          <w:color w:val="231F20"/>
          <w:w w:val="105"/>
        </w:rPr>
        <w:t>lo</w:t>
      </w:r>
      <w:r>
        <w:rPr>
          <w:color w:val="231F20"/>
          <w:spacing w:val="-22"/>
          <w:w w:val="105"/>
        </w:rPr>
        <w:t> </w:t>
      </w:r>
      <w:r>
        <w:rPr>
          <w:color w:val="231F20"/>
          <w:w w:val="105"/>
        </w:rPr>
        <w:t>tanto</w:t>
      </w:r>
      <w:r>
        <w:rPr>
          <w:color w:val="231F20"/>
          <w:spacing w:val="-22"/>
          <w:w w:val="105"/>
        </w:rPr>
        <w:t> </w:t>
      </w:r>
      <w:r>
        <w:rPr>
          <w:color w:val="231F20"/>
          <w:w w:val="105"/>
        </w:rPr>
        <w:t>las</w:t>
      </w:r>
      <w:r>
        <w:rPr>
          <w:color w:val="231F20"/>
          <w:spacing w:val="-22"/>
          <w:w w:val="105"/>
        </w:rPr>
        <w:t> </w:t>
      </w:r>
      <w:r>
        <w:rPr>
          <w:color w:val="231F20"/>
          <w:w w:val="105"/>
        </w:rPr>
        <w:t>estimaciones</w:t>
      </w:r>
      <w:r>
        <w:rPr>
          <w:color w:val="231F20"/>
          <w:spacing w:val="-22"/>
          <w:w w:val="105"/>
        </w:rPr>
        <w:t> </w:t>
      </w:r>
      <w:r>
        <w:rPr>
          <w:color w:val="231F20"/>
          <w:w w:val="105"/>
        </w:rPr>
        <w:t>con</w:t>
      </w:r>
      <w:r>
        <w:rPr>
          <w:color w:val="231F20"/>
          <w:spacing w:val="-22"/>
          <w:w w:val="105"/>
        </w:rPr>
        <w:t> </w:t>
      </w:r>
      <w:r>
        <w:rPr>
          <w:color w:val="231F20"/>
          <w:w w:val="105"/>
        </w:rPr>
        <w:t>estos</w:t>
      </w:r>
      <w:r>
        <w:rPr>
          <w:color w:val="231F20"/>
          <w:spacing w:val="-22"/>
          <w:w w:val="105"/>
        </w:rPr>
        <w:t> </w:t>
      </w:r>
      <w:r>
        <w:rPr>
          <w:color w:val="231F20"/>
          <w:w w:val="105"/>
        </w:rPr>
        <w:t>datos otorgan resultados</w:t>
      </w:r>
      <w:r>
        <w:rPr>
          <w:color w:val="231F20"/>
          <w:spacing w:val="-46"/>
          <w:w w:val="105"/>
        </w:rPr>
        <w:t> </w:t>
      </w:r>
      <w:r>
        <w:rPr>
          <w:color w:val="231F20"/>
          <w:w w:val="105"/>
        </w:rPr>
        <w:t>confiables.</w:t>
      </w:r>
    </w:p>
    <w:p>
      <w:pPr>
        <w:spacing w:before="164"/>
        <w:ind w:left="119" w:right="0" w:firstLine="0"/>
        <w:jc w:val="both"/>
        <w:rPr>
          <w:i/>
          <w:sz w:val="21"/>
        </w:rPr>
      </w:pPr>
      <w:r>
        <w:rPr>
          <w:i/>
          <w:color w:val="231F20"/>
          <w:w w:val="105"/>
          <w:sz w:val="21"/>
        </w:rPr>
        <w:t>Estimación de los parámetros del modelo de Heston</w:t>
      </w:r>
    </w:p>
    <w:p>
      <w:pPr>
        <w:pStyle w:val="BodyText"/>
        <w:spacing w:before="4"/>
        <w:rPr>
          <w:i/>
          <w:sz w:val="16"/>
        </w:rPr>
      </w:pPr>
    </w:p>
    <w:p>
      <w:pPr>
        <w:pStyle w:val="BodyText"/>
        <w:spacing w:line="259" w:lineRule="auto"/>
        <w:ind w:left="119" w:right="123"/>
        <w:jc w:val="both"/>
      </w:pPr>
      <w:r>
        <w:rPr>
          <w:color w:val="231F20"/>
          <w:w w:val="105"/>
        </w:rPr>
        <w:t>La</w:t>
      </w:r>
      <w:r>
        <w:rPr>
          <w:color w:val="231F20"/>
          <w:spacing w:val="-13"/>
          <w:w w:val="105"/>
        </w:rPr>
        <w:t> </w:t>
      </w:r>
      <w:r>
        <w:rPr>
          <w:color w:val="231F20"/>
          <w:w w:val="105"/>
        </w:rPr>
        <w:t>evidencia</w:t>
      </w:r>
      <w:r>
        <w:rPr>
          <w:color w:val="231F20"/>
          <w:spacing w:val="-13"/>
          <w:w w:val="105"/>
        </w:rPr>
        <w:t> </w:t>
      </w:r>
      <w:r>
        <w:rPr>
          <w:color w:val="231F20"/>
          <w:w w:val="105"/>
        </w:rPr>
        <w:t>empírica</w:t>
      </w:r>
      <w:r>
        <w:rPr>
          <w:color w:val="231F20"/>
          <w:spacing w:val="-13"/>
          <w:w w:val="105"/>
        </w:rPr>
        <w:t> </w:t>
      </w:r>
      <w:r>
        <w:rPr>
          <w:color w:val="231F20"/>
          <w:w w:val="105"/>
        </w:rPr>
        <w:t>respecto</w:t>
      </w:r>
      <w:r>
        <w:rPr>
          <w:color w:val="231F20"/>
          <w:spacing w:val="-13"/>
          <w:w w:val="105"/>
        </w:rPr>
        <w:t> </w:t>
      </w:r>
      <w:r>
        <w:rPr>
          <w:color w:val="231F20"/>
          <w:w w:val="105"/>
        </w:rPr>
        <w:t>a</w:t>
      </w:r>
      <w:r>
        <w:rPr>
          <w:color w:val="231F20"/>
          <w:spacing w:val="-13"/>
          <w:w w:val="105"/>
        </w:rPr>
        <w:t> </w:t>
      </w:r>
      <w:r>
        <w:rPr>
          <w:color w:val="231F20"/>
          <w:w w:val="105"/>
        </w:rPr>
        <w:t>estimación</w:t>
      </w:r>
      <w:r>
        <w:rPr>
          <w:color w:val="231F20"/>
          <w:spacing w:val="-13"/>
          <w:w w:val="105"/>
        </w:rPr>
        <w:t> </w:t>
      </w:r>
      <w:r>
        <w:rPr>
          <w:color w:val="231F20"/>
          <w:w w:val="105"/>
        </w:rPr>
        <w:t>de</w:t>
      </w:r>
      <w:r>
        <w:rPr>
          <w:color w:val="231F20"/>
          <w:spacing w:val="-13"/>
          <w:w w:val="105"/>
        </w:rPr>
        <w:t> </w:t>
      </w:r>
      <w:r>
        <w:rPr>
          <w:color w:val="231F20"/>
          <w:w w:val="105"/>
        </w:rPr>
        <w:t>parámetros</w:t>
      </w:r>
      <w:r>
        <w:rPr>
          <w:color w:val="231F20"/>
          <w:spacing w:val="-13"/>
          <w:w w:val="105"/>
        </w:rPr>
        <w:t> </w:t>
      </w:r>
      <w:r>
        <w:rPr>
          <w:color w:val="231F20"/>
          <w:w w:val="105"/>
        </w:rPr>
        <w:t>de</w:t>
      </w:r>
      <w:r>
        <w:rPr>
          <w:color w:val="231F20"/>
          <w:spacing w:val="-13"/>
          <w:w w:val="105"/>
        </w:rPr>
        <w:t> </w:t>
      </w:r>
      <w:r>
        <w:rPr>
          <w:color w:val="231F20"/>
          <w:w w:val="105"/>
        </w:rPr>
        <w:t>procesos de difusión, muestra que los métodos utilizados no son</w:t>
      </w:r>
      <w:r>
        <w:rPr>
          <w:color w:val="231F20"/>
          <w:spacing w:val="51"/>
          <w:w w:val="105"/>
        </w:rPr>
        <w:t> </w:t>
      </w:r>
      <w:r>
        <w:rPr>
          <w:color w:val="231F20"/>
          <w:w w:val="105"/>
        </w:rPr>
        <w:t>completamente</w:t>
      </w:r>
    </w:p>
    <w:p>
      <w:pPr>
        <w:pStyle w:val="BodyText"/>
        <w:rPr>
          <w:sz w:val="20"/>
        </w:rPr>
      </w:pPr>
    </w:p>
    <w:p>
      <w:pPr>
        <w:pStyle w:val="BodyText"/>
        <w:spacing w:before="8"/>
        <w:rPr>
          <w:sz w:val="11"/>
        </w:rPr>
      </w:pPr>
      <w:r>
        <w:rPr/>
        <w:pict>
          <v:line style="position:absolute;mso-position-horizontal-relative:page;mso-position-vertical-relative:paragraph;z-index:7840;mso-wrap-distance-left:0;mso-wrap-distance-right:0" from="68.976402pt,8.807638pt" to="182.362402pt,8.807638pt" stroked="true" strokeweight=".25pt" strokecolor="#231f20">
            <w10:wrap type="topAndBottom"/>
          </v:line>
        </w:pict>
      </w:r>
    </w:p>
    <w:p>
      <w:pPr>
        <w:spacing w:line="192" w:lineRule="exact" w:before="75"/>
        <w:ind w:left="119" w:right="224" w:firstLine="0"/>
        <w:jc w:val="left"/>
        <w:rPr>
          <w:rFonts w:ascii="Calibri" w:hAnsi="Calibri"/>
          <w:sz w:val="16"/>
        </w:rPr>
      </w:pPr>
      <w:r>
        <w:rPr>
          <w:rFonts w:ascii="Calibri" w:hAnsi="Calibri"/>
          <w:color w:val="414042"/>
          <w:position w:val="5"/>
          <w:sz w:val="9"/>
        </w:rPr>
        <w:t>5    </w:t>
      </w:r>
      <w:r>
        <w:rPr>
          <w:rFonts w:ascii="Calibri" w:hAnsi="Calibri"/>
          <w:color w:val="414042"/>
          <w:sz w:val="16"/>
        </w:rPr>
        <w:t>Se rechazó la </w:t>
      </w:r>
      <w:r>
        <w:rPr>
          <w:rFonts w:ascii="Times New Roman" w:hAnsi="Times New Roman"/>
          <w:i/>
          <w:color w:val="414042"/>
          <w:sz w:val="16"/>
        </w:rPr>
        <w:t>H</w:t>
      </w:r>
      <w:r>
        <w:rPr>
          <w:rFonts w:ascii="Times New Roman" w:hAnsi="Times New Roman"/>
          <w:color w:val="414042"/>
          <w:position w:val="-2"/>
          <w:sz w:val="9"/>
        </w:rPr>
        <w:t>0</w:t>
      </w:r>
      <w:r>
        <w:rPr>
          <w:rFonts w:ascii="Times New Roman" w:hAnsi="Times New Roman"/>
          <w:color w:val="414042"/>
          <w:sz w:val="16"/>
        </w:rPr>
        <w:t>: </w:t>
      </w:r>
      <w:r>
        <w:rPr>
          <w:rFonts w:ascii="Times New Roman" w:hAnsi="Times New Roman"/>
          <w:i/>
          <w:color w:val="414042"/>
          <w:sz w:val="16"/>
        </w:rPr>
        <w:t>σ </w:t>
      </w:r>
      <w:r>
        <w:rPr>
          <w:rFonts w:ascii="Times New Roman" w:hAnsi="Times New Roman"/>
          <w:color w:val="414042"/>
          <w:position w:val="5"/>
          <w:sz w:val="9"/>
        </w:rPr>
        <w:t>2</w:t>
      </w:r>
      <w:r>
        <w:rPr>
          <w:rFonts w:ascii="Times New Roman" w:hAnsi="Times New Roman"/>
          <w:i/>
          <w:color w:val="414042"/>
          <w:position w:val="-2"/>
          <w:sz w:val="9"/>
        </w:rPr>
        <w:t>i </w:t>
      </w:r>
      <w:r>
        <w:rPr>
          <w:rFonts w:ascii="Times New Roman" w:hAnsi="Times New Roman"/>
          <w:color w:val="414042"/>
          <w:sz w:val="16"/>
        </w:rPr>
        <w:t>= </w:t>
      </w:r>
      <w:r>
        <w:rPr>
          <w:rFonts w:ascii="Times New Roman" w:hAnsi="Times New Roman"/>
          <w:i/>
          <w:color w:val="414042"/>
          <w:sz w:val="16"/>
        </w:rPr>
        <w:t>σ  </w:t>
      </w:r>
      <w:r>
        <w:rPr>
          <w:rFonts w:ascii="Calibri" w:hAnsi="Calibri"/>
          <w:color w:val="414042"/>
          <w:sz w:val="16"/>
        </w:rPr>
        <w:t>(la serie es homogénea), aplicando la prueba White, dado que </w:t>
      </w:r>
      <w:r>
        <w:rPr>
          <w:rFonts w:ascii="Times New Roman" w:hAnsi="Times New Roman"/>
          <w:i/>
          <w:color w:val="414042"/>
          <w:sz w:val="16"/>
        </w:rPr>
        <w:t>N</w:t>
      </w:r>
      <w:r>
        <w:rPr>
          <w:rFonts w:ascii="Times New Roman" w:hAnsi="Times New Roman"/>
          <w:color w:val="414042"/>
          <w:sz w:val="16"/>
        </w:rPr>
        <w:t>*</w:t>
      </w:r>
      <w:r>
        <w:rPr>
          <w:rFonts w:ascii="Times New Roman" w:hAnsi="Times New Roman"/>
          <w:i/>
          <w:color w:val="414042"/>
          <w:sz w:val="16"/>
        </w:rPr>
        <w:t>R</w:t>
      </w:r>
      <w:r>
        <w:rPr>
          <w:rFonts w:ascii="Times New Roman" w:hAnsi="Times New Roman"/>
          <w:color w:val="414042"/>
          <w:position w:val="5"/>
          <w:sz w:val="9"/>
        </w:rPr>
        <w:t>2</w:t>
      </w:r>
      <w:r>
        <w:rPr>
          <w:rFonts w:ascii="Times New Roman" w:hAnsi="Times New Roman"/>
          <w:color w:val="414042"/>
          <w:sz w:val="16"/>
        </w:rPr>
        <w:t>=</w:t>
      </w:r>
      <w:r>
        <w:rPr>
          <w:rFonts w:ascii="Calibri" w:hAnsi="Calibri"/>
          <w:color w:val="414042"/>
          <w:sz w:val="16"/>
        </w:rPr>
        <w:t>73.944</w:t>
      </w:r>
      <w:r>
        <w:rPr>
          <w:rFonts w:ascii="Times New Roman" w:hAnsi="Times New Roman"/>
          <w:color w:val="414042"/>
          <w:sz w:val="16"/>
        </w:rPr>
        <w:t>&gt;    </w:t>
      </w:r>
      <w:r>
        <w:rPr>
          <w:rFonts w:ascii="Times New Roman" w:hAnsi="Times New Roman"/>
          <w:i/>
          <w:color w:val="414042"/>
          <w:sz w:val="16"/>
        </w:rPr>
        <w:t>χ  </w:t>
      </w:r>
      <w:r>
        <w:rPr>
          <w:rFonts w:ascii="Times New Roman" w:hAnsi="Times New Roman"/>
          <w:color w:val="414042"/>
          <w:position w:val="5"/>
          <w:sz w:val="9"/>
        </w:rPr>
        <w:t>2 </w:t>
      </w:r>
      <w:r>
        <w:rPr>
          <w:rFonts w:ascii="Times New Roman" w:hAnsi="Times New Roman"/>
          <w:color w:val="414042"/>
          <w:sz w:val="16"/>
        </w:rPr>
        <w:t>= </w:t>
      </w:r>
      <w:r>
        <w:rPr>
          <w:rFonts w:ascii="Calibri" w:hAnsi="Calibri"/>
          <w:color w:val="414042"/>
          <w:sz w:val="16"/>
        </w:rPr>
        <w:t>3.841 y con una probabilidad menor a</w:t>
      </w:r>
      <w:r>
        <w:rPr>
          <w:rFonts w:ascii="Calibri" w:hAnsi="Calibri"/>
          <w:color w:val="414042"/>
          <w:spacing w:val="-5"/>
          <w:sz w:val="16"/>
        </w:rPr>
        <w:t> </w:t>
      </w:r>
      <w:r>
        <w:rPr>
          <w:rFonts w:ascii="Calibri" w:hAnsi="Calibri"/>
          <w:color w:val="414042"/>
          <w:sz w:val="16"/>
        </w:rPr>
        <w:t>0.05.</w:t>
      </w:r>
    </w:p>
    <w:p>
      <w:pPr>
        <w:spacing w:after="0" w:line="192" w:lineRule="exact"/>
        <w:jc w:val="left"/>
        <w:rPr>
          <w:rFonts w:ascii="Calibri" w:hAnsi="Calibri"/>
          <w:sz w:val="16"/>
        </w:rPr>
        <w:sectPr>
          <w:type w:val="continuous"/>
          <w:pgSz w:w="9640" w:h="13890"/>
          <w:pgMar w:top="1300" w:bottom="280" w:left="1260" w:right="1140"/>
        </w:sectPr>
      </w:pPr>
    </w:p>
    <w:p>
      <w:pPr>
        <w:pStyle w:val="BodyText"/>
        <w:spacing w:line="259" w:lineRule="auto" w:before="120"/>
        <w:ind w:left="103" w:right="115"/>
        <w:jc w:val="both"/>
      </w:pPr>
      <w:r>
        <w:rPr>
          <w:color w:val="231F20"/>
          <w:w w:val="105"/>
        </w:rPr>
        <w:t>eficientes para los diferentes escenarios de estudio. Cabe señalar que en</w:t>
      </w:r>
      <w:r>
        <w:rPr>
          <w:color w:val="231F20"/>
          <w:spacing w:val="-9"/>
          <w:w w:val="105"/>
        </w:rPr>
        <w:t> </w:t>
      </w:r>
      <w:r>
        <w:rPr>
          <w:color w:val="231F20"/>
          <w:w w:val="105"/>
        </w:rPr>
        <w:t>cuanto</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estimación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parámetros</w:t>
      </w:r>
      <w:r>
        <w:rPr>
          <w:color w:val="231F20"/>
          <w:spacing w:val="-9"/>
          <w:w w:val="105"/>
        </w:rPr>
        <w:t> </w:t>
      </w:r>
      <w:r>
        <w:rPr>
          <w:color w:val="231F20"/>
          <w:w w:val="105"/>
        </w:rPr>
        <w:t>del</w:t>
      </w:r>
      <w:r>
        <w:rPr>
          <w:color w:val="231F20"/>
          <w:spacing w:val="-9"/>
          <w:w w:val="105"/>
        </w:rPr>
        <w:t> </w:t>
      </w:r>
      <w:r>
        <w:rPr>
          <w:color w:val="231F20"/>
          <w:w w:val="105"/>
        </w:rPr>
        <w:t>modelo</w:t>
      </w:r>
      <w:r>
        <w:rPr>
          <w:color w:val="231F20"/>
          <w:spacing w:val="-9"/>
          <w:w w:val="105"/>
        </w:rPr>
        <w:t> </w:t>
      </w:r>
      <w:r>
        <w:rPr>
          <w:color w:val="231F20"/>
          <w:w w:val="105"/>
        </w:rPr>
        <w:t>del</w:t>
      </w:r>
      <w:r>
        <w:rPr>
          <w:color w:val="231F20"/>
          <w:spacing w:val="-9"/>
          <w:w w:val="105"/>
        </w:rPr>
        <w:t> </w:t>
      </w:r>
      <w:r>
        <w:rPr>
          <w:color w:val="231F20"/>
          <w:w w:val="105"/>
        </w:rPr>
        <w:t>precio</w:t>
      </w:r>
      <w:r>
        <w:rPr>
          <w:color w:val="231F20"/>
          <w:spacing w:val="-9"/>
          <w:w w:val="105"/>
        </w:rPr>
        <w:t> </w:t>
      </w:r>
      <w:r>
        <w:rPr>
          <w:color w:val="231F20"/>
          <w:w w:val="105"/>
        </w:rPr>
        <w:t>de</w:t>
      </w:r>
      <w:r>
        <w:rPr>
          <w:color w:val="231F20"/>
          <w:spacing w:val="-9"/>
          <w:w w:val="105"/>
        </w:rPr>
        <w:t> </w:t>
      </w:r>
      <w:r>
        <w:rPr>
          <w:color w:val="231F20"/>
          <w:w w:val="105"/>
        </w:rPr>
        <w:t>la opción</w:t>
      </w:r>
      <w:r>
        <w:rPr>
          <w:color w:val="231F20"/>
          <w:spacing w:val="-13"/>
          <w:w w:val="105"/>
        </w:rPr>
        <w:t> </w:t>
      </w:r>
      <w:r>
        <w:rPr>
          <w:color w:val="231F20"/>
          <w:w w:val="105"/>
        </w:rPr>
        <w:t>con</w:t>
      </w:r>
      <w:r>
        <w:rPr>
          <w:color w:val="231F20"/>
          <w:spacing w:val="-13"/>
          <w:w w:val="105"/>
        </w:rPr>
        <w:t> </w:t>
      </w:r>
      <w:r>
        <w:rPr>
          <w:color w:val="231F20"/>
          <w:w w:val="105"/>
        </w:rPr>
        <w:t>volatilidad</w:t>
      </w:r>
      <w:r>
        <w:rPr>
          <w:color w:val="231F20"/>
          <w:spacing w:val="-13"/>
          <w:w w:val="105"/>
        </w:rPr>
        <w:t> </w:t>
      </w:r>
      <w:r>
        <w:rPr>
          <w:color w:val="231F20"/>
          <w:w w:val="105"/>
        </w:rPr>
        <w:t>estocástica,</w:t>
      </w:r>
      <w:r>
        <w:rPr>
          <w:color w:val="231F20"/>
          <w:spacing w:val="-18"/>
          <w:w w:val="105"/>
        </w:rPr>
        <w:t> </w:t>
      </w:r>
      <w:r>
        <w:rPr>
          <w:color w:val="231F20"/>
          <w:w w:val="105"/>
        </w:rPr>
        <w:t>Harvey</w:t>
      </w:r>
      <w:r>
        <w:rPr>
          <w:color w:val="231F20"/>
          <w:spacing w:val="-13"/>
          <w:w w:val="105"/>
        </w:rPr>
        <w:t> </w:t>
      </w:r>
      <w:r>
        <w:rPr>
          <w:i/>
          <w:color w:val="231F20"/>
          <w:w w:val="105"/>
        </w:rPr>
        <w:t>et</w:t>
      </w:r>
      <w:r>
        <w:rPr>
          <w:i/>
          <w:color w:val="231F20"/>
          <w:spacing w:val="-13"/>
          <w:w w:val="105"/>
        </w:rPr>
        <w:t> </w:t>
      </w:r>
      <w:r>
        <w:rPr>
          <w:i/>
          <w:color w:val="231F20"/>
          <w:w w:val="105"/>
        </w:rPr>
        <w:t>al</w:t>
      </w:r>
      <w:r>
        <w:rPr>
          <w:color w:val="231F20"/>
          <w:w w:val="105"/>
        </w:rPr>
        <w:t>.</w:t>
      </w:r>
      <w:r>
        <w:rPr>
          <w:color w:val="231F20"/>
          <w:spacing w:val="-18"/>
          <w:w w:val="105"/>
        </w:rPr>
        <w:t> </w:t>
      </w:r>
      <w:r>
        <w:rPr>
          <w:color w:val="231F20"/>
          <w:w w:val="105"/>
        </w:rPr>
        <w:t>(1994)</w:t>
      </w:r>
      <w:r>
        <w:rPr>
          <w:color w:val="231F20"/>
          <w:spacing w:val="-13"/>
          <w:w w:val="105"/>
        </w:rPr>
        <w:t> </w:t>
      </w:r>
      <w:r>
        <w:rPr>
          <w:color w:val="231F20"/>
          <w:w w:val="105"/>
        </w:rPr>
        <w:t>proponen</w:t>
      </w:r>
      <w:r>
        <w:rPr>
          <w:color w:val="231F20"/>
          <w:spacing w:val="-13"/>
          <w:w w:val="105"/>
        </w:rPr>
        <w:t> </w:t>
      </w:r>
      <w:r>
        <w:rPr>
          <w:color w:val="231F20"/>
          <w:w w:val="105"/>
        </w:rPr>
        <w:t>usar</w:t>
      </w:r>
      <w:r>
        <w:rPr>
          <w:color w:val="231F20"/>
          <w:spacing w:val="-13"/>
          <w:w w:val="105"/>
        </w:rPr>
        <w:t> </w:t>
      </w:r>
      <w:r>
        <w:rPr>
          <w:color w:val="231F20"/>
          <w:w w:val="105"/>
        </w:rPr>
        <w:t>el filtro</w:t>
      </w:r>
      <w:r>
        <w:rPr>
          <w:color w:val="231F20"/>
          <w:spacing w:val="-17"/>
          <w:w w:val="105"/>
        </w:rPr>
        <w:t> </w:t>
      </w:r>
      <w:r>
        <w:rPr>
          <w:color w:val="231F20"/>
          <w:w w:val="105"/>
        </w:rPr>
        <w:t>de</w:t>
      </w:r>
      <w:r>
        <w:rPr>
          <w:color w:val="231F20"/>
          <w:spacing w:val="-17"/>
          <w:w w:val="105"/>
        </w:rPr>
        <w:t> </w:t>
      </w:r>
      <w:r>
        <w:rPr>
          <w:color w:val="231F20"/>
          <w:w w:val="105"/>
        </w:rPr>
        <w:t>Kalman</w:t>
      </w:r>
      <w:r>
        <w:rPr>
          <w:color w:val="231F20"/>
          <w:spacing w:val="-17"/>
          <w:w w:val="105"/>
        </w:rPr>
        <w:t> </w:t>
      </w:r>
      <w:r>
        <w:rPr>
          <w:color w:val="231F20"/>
          <w:w w:val="105"/>
        </w:rPr>
        <w:t>de</w:t>
      </w:r>
      <w:r>
        <w:rPr>
          <w:color w:val="231F20"/>
          <w:spacing w:val="-17"/>
          <w:w w:val="105"/>
        </w:rPr>
        <w:t> </w:t>
      </w:r>
      <w:r>
        <w:rPr>
          <w:color w:val="231F20"/>
          <w:w w:val="105"/>
        </w:rPr>
        <w:t>forma</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obtengan</w:t>
      </w:r>
      <w:r>
        <w:rPr>
          <w:color w:val="231F20"/>
          <w:spacing w:val="-17"/>
          <w:w w:val="105"/>
        </w:rPr>
        <w:t> </w:t>
      </w:r>
      <w:r>
        <w:rPr>
          <w:color w:val="231F20"/>
          <w:w w:val="105"/>
        </w:rPr>
        <w:t>los</w:t>
      </w:r>
      <w:r>
        <w:rPr>
          <w:color w:val="231F20"/>
          <w:spacing w:val="-17"/>
          <w:w w:val="105"/>
        </w:rPr>
        <w:t> </w:t>
      </w:r>
      <w:r>
        <w:rPr>
          <w:color w:val="231F20"/>
          <w:w w:val="105"/>
        </w:rPr>
        <w:t>valores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parámetros maximizando la función de verosimilitud. El problema es que este esti- mador</w:t>
      </w:r>
      <w:r>
        <w:rPr>
          <w:color w:val="231F20"/>
          <w:spacing w:val="-17"/>
          <w:w w:val="105"/>
        </w:rPr>
        <w:t> </w:t>
      </w:r>
      <w:r>
        <w:rPr>
          <w:color w:val="231F20"/>
          <w:w w:val="105"/>
        </w:rPr>
        <w:t>de</w:t>
      </w:r>
      <w:r>
        <w:rPr>
          <w:color w:val="231F20"/>
          <w:spacing w:val="-17"/>
          <w:w w:val="105"/>
        </w:rPr>
        <w:t> </w:t>
      </w:r>
      <w:r>
        <w:rPr>
          <w:color w:val="231F20"/>
          <w:w w:val="105"/>
        </w:rPr>
        <w:t>cuasi-máxima</w:t>
      </w:r>
      <w:r>
        <w:rPr>
          <w:color w:val="231F20"/>
          <w:spacing w:val="-17"/>
          <w:w w:val="105"/>
        </w:rPr>
        <w:t> </w:t>
      </w:r>
      <w:r>
        <w:rPr>
          <w:color w:val="231F20"/>
          <w:w w:val="105"/>
        </w:rPr>
        <w:t>verosimilitud,</w:t>
      </w:r>
      <w:r>
        <w:rPr>
          <w:color w:val="231F20"/>
          <w:spacing w:val="-22"/>
          <w:w w:val="105"/>
        </w:rPr>
        <w:t> </w:t>
      </w:r>
      <w:r>
        <w:rPr>
          <w:color w:val="231F20"/>
          <w:w w:val="105"/>
        </w:rPr>
        <w:t>a</w:t>
      </w:r>
      <w:r>
        <w:rPr>
          <w:color w:val="231F20"/>
          <w:spacing w:val="-17"/>
          <w:w w:val="105"/>
        </w:rPr>
        <w:t> </w:t>
      </w:r>
      <w:r>
        <w:rPr>
          <w:color w:val="231F20"/>
          <w:w w:val="105"/>
        </w:rPr>
        <w:t>pesar</w:t>
      </w:r>
      <w:r>
        <w:rPr>
          <w:color w:val="231F20"/>
          <w:spacing w:val="-17"/>
          <w:w w:val="105"/>
        </w:rPr>
        <w:t> </w:t>
      </w:r>
      <w:r>
        <w:rPr>
          <w:color w:val="231F20"/>
          <w:w w:val="105"/>
        </w:rPr>
        <w:t>de</w:t>
      </w:r>
      <w:r>
        <w:rPr>
          <w:color w:val="231F20"/>
          <w:spacing w:val="-17"/>
          <w:w w:val="105"/>
        </w:rPr>
        <w:t> </w:t>
      </w:r>
      <w:r>
        <w:rPr>
          <w:color w:val="231F20"/>
          <w:w w:val="105"/>
        </w:rPr>
        <w:t>ser</w:t>
      </w:r>
      <w:r>
        <w:rPr>
          <w:color w:val="231F20"/>
          <w:spacing w:val="-17"/>
          <w:w w:val="105"/>
        </w:rPr>
        <w:t> </w:t>
      </w:r>
      <w:r>
        <w:rPr>
          <w:color w:val="231F20"/>
          <w:w w:val="105"/>
        </w:rPr>
        <w:t>consistente</w:t>
      </w:r>
      <w:r>
        <w:rPr>
          <w:color w:val="231F20"/>
          <w:spacing w:val="-17"/>
          <w:w w:val="105"/>
        </w:rPr>
        <w:t> </w:t>
      </w:r>
      <w:r>
        <w:rPr>
          <w:color w:val="231F20"/>
          <w:w w:val="105"/>
        </w:rPr>
        <w:t>y</w:t>
      </w:r>
      <w:r>
        <w:rPr>
          <w:color w:val="231F20"/>
          <w:spacing w:val="-17"/>
          <w:w w:val="105"/>
        </w:rPr>
        <w:t> </w:t>
      </w:r>
      <w:r>
        <w:rPr>
          <w:color w:val="231F20"/>
          <w:w w:val="105"/>
        </w:rPr>
        <w:t>tener buenas</w:t>
      </w:r>
      <w:r>
        <w:rPr>
          <w:color w:val="231F20"/>
          <w:spacing w:val="-22"/>
          <w:w w:val="105"/>
        </w:rPr>
        <w:t> </w:t>
      </w:r>
      <w:r>
        <w:rPr>
          <w:color w:val="231F20"/>
          <w:w w:val="105"/>
        </w:rPr>
        <w:t>propiedades</w:t>
      </w:r>
      <w:r>
        <w:rPr>
          <w:color w:val="231F20"/>
          <w:spacing w:val="-22"/>
          <w:w w:val="105"/>
        </w:rPr>
        <w:t> </w:t>
      </w:r>
      <w:r>
        <w:rPr>
          <w:color w:val="231F20"/>
          <w:w w:val="105"/>
        </w:rPr>
        <w:t>con</w:t>
      </w:r>
      <w:r>
        <w:rPr>
          <w:color w:val="231F20"/>
          <w:spacing w:val="-22"/>
          <w:w w:val="105"/>
        </w:rPr>
        <w:t> </w:t>
      </w:r>
      <w:r>
        <w:rPr>
          <w:color w:val="231F20"/>
          <w:w w:val="105"/>
        </w:rPr>
        <w:t>muestras</w:t>
      </w:r>
      <w:r>
        <w:rPr>
          <w:color w:val="231F20"/>
          <w:spacing w:val="-22"/>
          <w:w w:val="105"/>
        </w:rPr>
        <w:t> </w:t>
      </w:r>
      <w:r>
        <w:rPr>
          <w:color w:val="231F20"/>
          <w:w w:val="105"/>
        </w:rPr>
        <w:t>grandes,</w:t>
      </w:r>
      <w:r>
        <w:rPr>
          <w:color w:val="231F20"/>
          <w:spacing w:val="-27"/>
          <w:w w:val="105"/>
        </w:rPr>
        <w:t> </w:t>
      </w:r>
      <w:r>
        <w:rPr>
          <w:color w:val="231F20"/>
          <w:w w:val="105"/>
        </w:rPr>
        <w:t>no</w:t>
      </w:r>
      <w:r>
        <w:rPr>
          <w:color w:val="231F20"/>
          <w:spacing w:val="-22"/>
          <w:w w:val="105"/>
        </w:rPr>
        <w:t> </w:t>
      </w:r>
      <w:r>
        <w:rPr>
          <w:color w:val="231F20"/>
          <w:w w:val="105"/>
        </w:rPr>
        <w:t>se</w:t>
      </w:r>
      <w:r>
        <w:rPr>
          <w:color w:val="231F20"/>
          <w:spacing w:val="-22"/>
          <w:w w:val="105"/>
        </w:rPr>
        <w:t> </w:t>
      </w:r>
      <w:r>
        <w:rPr>
          <w:color w:val="231F20"/>
          <w:w w:val="105"/>
        </w:rPr>
        <w:t>comporta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misma manera</w:t>
      </w:r>
      <w:r>
        <w:rPr>
          <w:color w:val="231F20"/>
          <w:spacing w:val="-37"/>
          <w:w w:val="105"/>
        </w:rPr>
        <w:t> </w:t>
      </w:r>
      <w:r>
        <w:rPr>
          <w:color w:val="231F20"/>
          <w:w w:val="105"/>
        </w:rPr>
        <w:t>con</w:t>
      </w:r>
      <w:r>
        <w:rPr>
          <w:color w:val="231F20"/>
          <w:spacing w:val="-37"/>
          <w:w w:val="105"/>
        </w:rPr>
        <w:t> </w:t>
      </w:r>
      <w:r>
        <w:rPr>
          <w:color w:val="231F20"/>
          <w:w w:val="105"/>
        </w:rPr>
        <w:t>muestras</w:t>
      </w:r>
      <w:r>
        <w:rPr>
          <w:color w:val="231F20"/>
          <w:spacing w:val="-37"/>
          <w:w w:val="105"/>
        </w:rPr>
        <w:t> </w:t>
      </w:r>
      <w:r>
        <w:rPr>
          <w:color w:val="231F20"/>
          <w:w w:val="105"/>
        </w:rPr>
        <w:t>pequeñas.</w:t>
      </w:r>
    </w:p>
    <w:p>
      <w:pPr>
        <w:pStyle w:val="BodyText"/>
        <w:spacing w:line="259" w:lineRule="auto"/>
        <w:ind w:left="104" w:right="109" w:firstLine="566"/>
        <w:jc w:val="both"/>
      </w:pPr>
      <w:r>
        <w:rPr>
          <w:color w:val="231F20"/>
          <w:w w:val="105"/>
        </w:rPr>
        <w:t>Kim</w:t>
      </w:r>
      <w:r>
        <w:rPr>
          <w:color w:val="231F20"/>
          <w:spacing w:val="-30"/>
          <w:w w:val="105"/>
        </w:rPr>
        <w:t> </w:t>
      </w:r>
      <w:r>
        <w:rPr>
          <w:i/>
          <w:color w:val="231F20"/>
          <w:w w:val="105"/>
        </w:rPr>
        <w:t>et</w:t>
      </w:r>
      <w:r>
        <w:rPr>
          <w:i/>
          <w:color w:val="231F20"/>
          <w:spacing w:val="-30"/>
          <w:w w:val="105"/>
        </w:rPr>
        <w:t> </w:t>
      </w:r>
      <w:r>
        <w:rPr>
          <w:i/>
          <w:color w:val="231F20"/>
          <w:w w:val="105"/>
        </w:rPr>
        <w:t>al</w:t>
      </w:r>
      <w:r>
        <w:rPr>
          <w:color w:val="231F20"/>
          <w:w w:val="105"/>
        </w:rPr>
        <w:t>.</w:t>
      </w:r>
      <w:r>
        <w:rPr>
          <w:color w:val="231F20"/>
          <w:spacing w:val="-35"/>
          <w:w w:val="105"/>
        </w:rPr>
        <w:t> </w:t>
      </w:r>
      <w:r>
        <w:rPr>
          <w:color w:val="231F20"/>
          <w:w w:val="105"/>
        </w:rPr>
        <w:t>(1993)</w:t>
      </w:r>
      <w:r>
        <w:rPr>
          <w:color w:val="231F20"/>
          <w:spacing w:val="-30"/>
          <w:w w:val="105"/>
        </w:rPr>
        <w:t> </w:t>
      </w:r>
      <w:r>
        <w:rPr>
          <w:color w:val="231F20"/>
          <w:spacing w:val="-3"/>
          <w:w w:val="105"/>
        </w:rPr>
        <w:t>proponen</w:t>
      </w:r>
      <w:r>
        <w:rPr>
          <w:color w:val="231F20"/>
          <w:spacing w:val="-30"/>
          <w:w w:val="105"/>
        </w:rPr>
        <w:t> </w:t>
      </w:r>
      <w:r>
        <w:rPr>
          <w:color w:val="231F20"/>
          <w:w w:val="105"/>
        </w:rPr>
        <w:t>en</w:t>
      </w:r>
      <w:r>
        <w:rPr>
          <w:color w:val="231F20"/>
          <w:spacing w:val="-30"/>
          <w:w w:val="105"/>
        </w:rPr>
        <w:t> </w:t>
      </w:r>
      <w:r>
        <w:rPr>
          <w:color w:val="231F20"/>
          <w:w w:val="105"/>
        </w:rPr>
        <w:t>un</w:t>
      </w:r>
      <w:r>
        <w:rPr>
          <w:color w:val="231F20"/>
          <w:spacing w:val="-30"/>
          <w:w w:val="105"/>
        </w:rPr>
        <w:t> </w:t>
      </w:r>
      <w:r>
        <w:rPr>
          <w:color w:val="231F20"/>
          <w:w w:val="105"/>
        </w:rPr>
        <w:t>artículo</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que</w:t>
      </w:r>
      <w:r>
        <w:rPr>
          <w:color w:val="231F20"/>
          <w:spacing w:val="-30"/>
          <w:w w:val="105"/>
        </w:rPr>
        <w:t> </w:t>
      </w:r>
      <w:r>
        <w:rPr>
          <w:color w:val="231F20"/>
          <w:w w:val="105"/>
        </w:rPr>
        <w:t>analizan</w:t>
      </w:r>
      <w:r>
        <w:rPr>
          <w:color w:val="231F20"/>
          <w:spacing w:val="-30"/>
          <w:w w:val="105"/>
        </w:rPr>
        <w:t> </w:t>
      </w:r>
      <w:r>
        <w:rPr>
          <w:color w:val="231F20"/>
          <w:w w:val="105"/>
        </w:rPr>
        <w:t>los</w:t>
      </w:r>
      <w:r>
        <w:rPr>
          <w:color w:val="231F20"/>
          <w:spacing w:val="-30"/>
          <w:w w:val="105"/>
        </w:rPr>
        <w:t> </w:t>
      </w:r>
      <w:r>
        <w:rPr>
          <w:color w:val="231F20"/>
          <w:w w:val="105"/>
        </w:rPr>
        <w:t>tipos de</w:t>
      </w:r>
      <w:r>
        <w:rPr>
          <w:color w:val="231F20"/>
          <w:spacing w:val="-9"/>
          <w:w w:val="105"/>
        </w:rPr>
        <w:t> </w:t>
      </w:r>
      <w:r>
        <w:rPr>
          <w:color w:val="231F20"/>
          <w:w w:val="105"/>
        </w:rPr>
        <w:t>cambio</w:t>
      </w:r>
      <w:r>
        <w:rPr>
          <w:color w:val="231F20"/>
          <w:spacing w:val="-9"/>
          <w:w w:val="105"/>
        </w:rPr>
        <w:t> </w:t>
      </w:r>
      <w:r>
        <w:rPr>
          <w:color w:val="231F20"/>
          <w:w w:val="105"/>
        </w:rPr>
        <w:t>del</w:t>
      </w:r>
      <w:r>
        <w:rPr>
          <w:color w:val="231F20"/>
          <w:spacing w:val="-9"/>
          <w:w w:val="105"/>
        </w:rPr>
        <w:t> </w:t>
      </w:r>
      <w:r>
        <w:rPr>
          <w:color w:val="231F20"/>
          <w:w w:val="105"/>
        </w:rPr>
        <w:t>Reino</w:t>
      </w:r>
      <w:r>
        <w:rPr>
          <w:color w:val="231F20"/>
          <w:spacing w:val="-9"/>
          <w:w w:val="105"/>
        </w:rPr>
        <w:t> </w:t>
      </w:r>
      <w:r>
        <w:rPr>
          <w:color w:val="231F20"/>
          <w:spacing w:val="-2"/>
          <w:w w:val="105"/>
        </w:rPr>
        <w:t>Unido,</w:t>
      </w:r>
      <w:r>
        <w:rPr>
          <w:color w:val="231F20"/>
          <w:spacing w:val="-18"/>
          <w:w w:val="105"/>
        </w:rPr>
        <w:t> </w:t>
      </w:r>
      <w:r>
        <w:rPr>
          <w:color w:val="231F20"/>
          <w:w w:val="105"/>
        </w:rPr>
        <w:t>Alemania,</w:t>
      </w:r>
      <w:r>
        <w:rPr>
          <w:color w:val="231F20"/>
          <w:spacing w:val="-17"/>
          <w:w w:val="105"/>
        </w:rPr>
        <w:t> </w:t>
      </w:r>
      <w:r>
        <w:rPr>
          <w:color w:val="231F20"/>
          <w:w w:val="105"/>
        </w:rPr>
        <w:t>Japón</w:t>
      </w:r>
      <w:r>
        <w:rPr>
          <w:color w:val="231F20"/>
          <w:spacing w:val="-9"/>
          <w:w w:val="105"/>
        </w:rPr>
        <w:t> </w:t>
      </w:r>
      <w:r>
        <w:rPr>
          <w:color w:val="231F20"/>
          <w:w w:val="105"/>
        </w:rPr>
        <w:t>y</w:t>
      </w:r>
      <w:r>
        <w:rPr>
          <w:color w:val="231F20"/>
          <w:spacing w:val="-9"/>
          <w:w w:val="105"/>
        </w:rPr>
        <w:t> </w:t>
      </w:r>
      <w:r>
        <w:rPr>
          <w:color w:val="231F20"/>
          <w:w w:val="105"/>
        </w:rPr>
        <w:t>Suiza,</w:t>
      </w:r>
      <w:r>
        <w:rPr>
          <w:color w:val="231F20"/>
          <w:spacing w:val="-14"/>
          <w:w w:val="105"/>
        </w:rPr>
        <w:t> </w:t>
      </w:r>
      <w:r>
        <w:rPr>
          <w:color w:val="231F20"/>
          <w:w w:val="105"/>
        </w:rPr>
        <w:t>un</w:t>
      </w:r>
      <w:r>
        <w:rPr>
          <w:color w:val="231F20"/>
          <w:spacing w:val="-9"/>
          <w:w w:val="105"/>
        </w:rPr>
        <w:t> </w:t>
      </w:r>
      <w:r>
        <w:rPr>
          <w:color w:val="231F20"/>
          <w:w w:val="105"/>
        </w:rPr>
        <w:t>nuevo</w:t>
      </w:r>
      <w:r>
        <w:rPr>
          <w:color w:val="231F20"/>
          <w:spacing w:val="-9"/>
          <w:w w:val="105"/>
        </w:rPr>
        <w:t> </w:t>
      </w:r>
      <w:r>
        <w:rPr>
          <w:color w:val="231F20"/>
          <w:spacing w:val="-2"/>
          <w:w w:val="105"/>
        </w:rPr>
        <w:t>método </w:t>
      </w:r>
      <w:r>
        <w:rPr>
          <w:color w:val="231F20"/>
          <w:w w:val="105"/>
        </w:rPr>
        <w:t>de</w:t>
      </w:r>
      <w:r>
        <w:rPr>
          <w:color w:val="231F20"/>
          <w:spacing w:val="-21"/>
          <w:w w:val="105"/>
        </w:rPr>
        <w:t> </w:t>
      </w:r>
      <w:r>
        <w:rPr>
          <w:color w:val="231F20"/>
          <w:w w:val="105"/>
        </w:rPr>
        <w:t>estimación</w:t>
      </w:r>
      <w:r>
        <w:rPr>
          <w:color w:val="231F20"/>
          <w:spacing w:val="-21"/>
          <w:w w:val="105"/>
        </w:rPr>
        <w:t> </w:t>
      </w:r>
      <w:r>
        <w:rPr>
          <w:color w:val="231F20"/>
          <w:w w:val="105"/>
        </w:rPr>
        <w:t>basado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algoritmo</w:t>
      </w:r>
      <w:r>
        <w:rPr>
          <w:color w:val="231F20"/>
          <w:spacing w:val="-21"/>
          <w:w w:val="105"/>
        </w:rPr>
        <w:t> </w:t>
      </w:r>
      <w:r>
        <w:rPr>
          <w:color w:val="231F20"/>
          <w:w w:val="105"/>
        </w:rPr>
        <w:t>Montecarlo</w:t>
      </w:r>
      <w:r>
        <w:rPr>
          <w:color w:val="231F20"/>
          <w:spacing w:val="-21"/>
          <w:w w:val="105"/>
        </w:rPr>
        <w:t> </w:t>
      </w:r>
      <w:r>
        <w:rPr>
          <w:color w:val="231F20"/>
          <w:w w:val="105"/>
        </w:rPr>
        <w:t>de</w:t>
      </w:r>
      <w:r>
        <w:rPr>
          <w:color w:val="231F20"/>
          <w:spacing w:val="-21"/>
          <w:w w:val="105"/>
        </w:rPr>
        <w:t> </w:t>
      </w:r>
      <w:r>
        <w:rPr>
          <w:color w:val="231F20"/>
          <w:w w:val="105"/>
        </w:rPr>
        <w:t>cadenas</w:t>
      </w:r>
      <w:r>
        <w:rPr>
          <w:color w:val="231F20"/>
          <w:spacing w:val="-21"/>
          <w:w w:val="105"/>
        </w:rPr>
        <w:t> </w:t>
      </w:r>
      <w:r>
        <w:rPr>
          <w:color w:val="231F20"/>
          <w:w w:val="105"/>
        </w:rPr>
        <w:t>de</w:t>
      </w:r>
      <w:r>
        <w:rPr>
          <w:color w:val="231F20"/>
          <w:spacing w:val="-21"/>
          <w:w w:val="105"/>
        </w:rPr>
        <w:t> </w:t>
      </w:r>
      <w:r>
        <w:rPr>
          <w:color w:val="231F20"/>
          <w:spacing w:val="-3"/>
          <w:w w:val="105"/>
        </w:rPr>
        <w:t>Markov </w:t>
      </w:r>
      <w:r>
        <w:rPr>
          <w:color w:val="231F20"/>
          <w:w w:val="105"/>
        </w:rPr>
        <w:t>(MCMC</w:t>
      </w:r>
      <w:r>
        <w:rPr>
          <w:color w:val="231F20"/>
          <w:spacing w:val="-31"/>
          <w:w w:val="105"/>
        </w:rPr>
        <w:t> </w:t>
      </w:r>
      <w:r>
        <w:rPr>
          <w:color w:val="231F20"/>
          <w:w w:val="105"/>
        </w:rPr>
        <w:t>por</w:t>
      </w:r>
      <w:r>
        <w:rPr>
          <w:color w:val="231F20"/>
          <w:spacing w:val="-31"/>
          <w:w w:val="105"/>
        </w:rPr>
        <w:t> </w:t>
      </w:r>
      <w:r>
        <w:rPr>
          <w:color w:val="231F20"/>
          <w:w w:val="105"/>
        </w:rPr>
        <w:t>su</w:t>
      </w:r>
      <w:r>
        <w:rPr>
          <w:color w:val="231F20"/>
          <w:spacing w:val="-31"/>
          <w:w w:val="105"/>
        </w:rPr>
        <w:t> </w:t>
      </w:r>
      <w:r>
        <w:rPr>
          <w:color w:val="231F20"/>
          <w:spacing w:val="-3"/>
          <w:w w:val="105"/>
        </w:rPr>
        <w:t>acrónimo</w:t>
      </w:r>
      <w:r>
        <w:rPr>
          <w:color w:val="231F20"/>
          <w:spacing w:val="-31"/>
          <w:w w:val="105"/>
        </w:rPr>
        <w:t> </w:t>
      </w:r>
      <w:r>
        <w:rPr>
          <w:color w:val="231F20"/>
          <w:w w:val="105"/>
        </w:rPr>
        <w:t>en</w:t>
      </w:r>
      <w:r>
        <w:rPr>
          <w:color w:val="231F20"/>
          <w:spacing w:val="-31"/>
          <w:w w:val="105"/>
        </w:rPr>
        <w:t> </w:t>
      </w:r>
      <w:r>
        <w:rPr>
          <w:color w:val="231F20"/>
          <w:w w:val="105"/>
        </w:rPr>
        <w:t>inglés),</w:t>
      </w:r>
      <w:r>
        <w:rPr>
          <w:color w:val="231F20"/>
          <w:spacing w:val="-37"/>
          <w:w w:val="105"/>
        </w:rPr>
        <w:t> </w:t>
      </w:r>
      <w:r>
        <w:rPr>
          <w:color w:val="231F20"/>
          <w:w w:val="105"/>
        </w:rPr>
        <w:t>con</w:t>
      </w:r>
      <w:r>
        <w:rPr>
          <w:color w:val="231F20"/>
          <w:spacing w:val="-31"/>
          <w:w w:val="105"/>
        </w:rPr>
        <w:t> </w:t>
      </w:r>
      <w:r>
        <w:rPr>
          <w:color w:val="231F20"/>
          <w:w w:val="105"/>
        </w:rPr>
        <w:t>el</w:t>
      </w:r>
      <w:r>
        <w:rPr>
          <w:color w:val="231F20"/>
          <w:spacing w:val="-31"/>
          <w:w w:val="105"/>
        </w:rPr>
        <w:t> </w:t>
      </w:r>
      <w:r>
        <w:rPr>
          <w:color w:val="231F20"/>
          <w:w w:val="105"/>
        </w:rPr>
        <w:t>cual</w:t>
      </w:r>
      <w:r>
        <w:rPr>
          <w:color w:val="231F20"/>
          <w:spacing w:val="-31"/>
          <w:w w:val="105"/>
        </w:rPr>
        <w:t> </w:t>
      </w:r>
      <w:r>
        <w:rPr>
          <w:color w:val="231F20"/>
          <w:w w:val="105"/>
        </w:rPr>
        <w:t>consiguen</w:t>
      </w:r>
      <w:r>
        <w:rPr>
          <w:color w:val="231F20"/>
          <w:spacing w:val="-31"/>
          <w:w w:val="105"/>
        </w:rPr>
        <w:t> </w:t>
      </w:r>
      <w:r>
        <w:rPr>
          <w:color w:val="231F20"/>
          <w:w w:val="105"/>
        </w:rPr>
        <w:t>una</w:t>
      </w:r>
      <w:r>
        <w:rPr>
          <w:color w:val="231F20"/>
          <w:spacing w:val="-31"/>
          <w:w w:val="105"/>
        </w:rPr>
        <w:t> </w:t>
      </w:r>
      <w:r>
        <w:rPr>
          <w:color w:val="231F20"/>
          <w:spacing w:val="-2"/>
          <w:w w:val="105"/>
        </w:rPr>
        <w:t>mejora</w:t>
      </w:r>
      <w:r>
        <w:rPr>
          <w:color w:val="231F20"/>
          <w:spacing w:val="-31"/>
          <w:w w:val="105"/>
        </w:rPr>
        <w:t> </w:t>
      </w:r>
      <w:r>
        <w:rPr>
          <w:color w:val="231F20"/>
          <w:spacing w:val="-2"/>
          <w:w w:val="105"/>
        </w:rPr>
        <w:t>muy </w:t>
      </w:r>
      <w:r>
        <w:rPr>
          <w:color w:val="231F20"/>
          <w:w w:val="105"/>
        </w:rPr>
        <w:t>significativa</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eficiencia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estimación</w:t>
      </w:r>
      <w:r>
        <w:rPr>
          <w:color w:val="231F20"/>
          <w:spacing w:val="-16"/>
          <w:w w:val="105"/>
        </w:rPr>
        <w:t> </w:t>
      </w:r>
      <w:r>
        <w:rPr>
          <w:color w:val="231F20"/>
          <w:spacing w:val="-3"/>
          <w:w w:val="105"/>
        </w:rPr>
        <w:t>introduciendo</w:t>
      </w:r>
      <w:r>
        <w:rPr>
          <w:color w:val="231F20"/>
          <w:spacing w:val="-16"/>
          <w:w w:val="105"/>
        </w:rPr>
        <w:t> </w:t>
      </w:r>
      <w:r>
        <w:rPr>
          <w:color w:val="231F20"/>
          <w:w w:val="105"/>
        </w:rPr>
        <w:t>una</w:t>
      </w:r>
      <w:r>
        <w:rPr>
          <w:color w:val="231F20"/>
          <w:spacing w:val="-16"/>
          <w:w w:val="105"/>
        </w:rPr>
        <w:t> </w:t>
      </w:r>
      <w:r>
        <w:rPr>
          <w:color w:val="231F20"/>
          <w:spacing w:val="-3"/>
          <w:w w:val="105"/>
        </w:rPr>
        <w:t>reponde- </w:t>
      </w:r>
      <w:r>
        <w:rPr>
          <w:color w:val="231F20"/>
          <w:spacing w:val="-2"/>
          <w:w w:val="105"/>
        </w:rPr>
        <w:t>ración</w:t>
      </w:r>
      <w:r>
        <w:rPr>
          <w:color w:val="231F20"/>
          <w:spacing w:val="-11"/>
          <w:w w:val="105"/>
        </w:rPr>
        <w:t> </w:t>
      </w:r>
      <w:r>
        <w:rPr>
          <w:color w:val="231F20"/>
          <w:w w:val="105"/>
        </w:rPr>
        <w:t>final</w:t>
      </w:r>
      <w:r>
        <w:rPr>
          <w:color w:val="231F20"/>
          <w:spacing w:val="-11"/>
          <w:w w:val="105"/>
        </w:rPr>
        <w:t> </w:t>
      </w:r>
      <w:r>
        <w:rPr>
          <w:color w:val="231F20"/>
          <w:w w:val="105"/>
        </w:rPr>
        <w:t>que</w:t>
      </w:r>
      <w:r>
        <w:rPr>
          <w:color w:val="231F20"/>
          <w:spacing w:val="-11"/>
          <w:w w:val="105"/>
        </w:rPr>
        <w:t> </w:t>
      </w:r>
      <w:r>
        <w:rPr>
          <w:color w:val="231F20"/>
          <w:w w:val="105"/>
        </w:rPr>
        <w:t>facilita</w:t>
      </w:r>
      <w:r>
        <w:rPr>
          <w:color w:val="231F20"/>
          <w:spacing w:val="-11"/>
          <w:w w:val="105"/>
        </w:rPr>
        <w:t> </w:t>
      </w:r>
      <w:r>
        <w:rPr>
          <w:color w:val="231F20"/>
          <w:w w:val="105"/>
        </w:rPr>
        <w:t>una</w:t>
      </w:r>
      <w:r>
        <w:rPr>
          <w:color w:val="231F20"/>
          <w:spacing w:val="-11"/>
          <w:w w:val="105"/>
        </w:rPr>
        <w:t> </w:t>
      </w:r>
      <w:r>
        <w:rPr>
          <w:color w:val="231F20"/>
          <w:w w:val="105"/>
        </w:rPr>
        <w:t>muestra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spacing w:val="-3"/>
          <w:w w:val="105"/>
        </w:rPr>
        <w:t>propia</w:t>
      </w:r>
      <w:r>
        <w:rPr>
          <w:color w:val="231F20"/>
          <w:spacing w:val="-11"/>
          <w:w w:val="105"/>
        </w:rPr>
        <w:t> </w:t>
      </w:r>
      <w:r>
        <w:rPr>
          <w:color w:val="231F20"/>
          <w:w w:val="105"/>
        </w:rPr>
        <w:t>función</w:t>
      </w:r>
      <w:r>
        <w:rPr>
          <w:color w:val="231F20"/>
          <w:spacing w:val="-11"/>
          <w:w w:val="105"/>
        </w:rPr>
        <w:t> </w:t>
      </w:r>
      <w:r>
        <w:rPr>
          <w:color w:val="231F20"/>
          <w:w w:val="105"/>
        </w:rPr>
        <w:t>de</w:t>
      </w:r>
      <w:r>
        <w:rPr>
          <w:color w:val="231F20"/>
          <w:spacing w:val="-11"/>
          <w:w w:val="105"/>
        </w:rPr>
        <w:t> </w:t>
      </w:r>
      <w:r>
        <w:rPr>
          <w:color w:val="231F20"/>
          <w:w w:val="105"/>
        </w:rPr>
        <w:t>densidad</w:t>
      </w:r>
      <w:r>
        <w:rPr>
          <w:color w:val="231F20"/>
          <w:spacing w:val="-11"/>
          <w:w w:val="105"/>
        </w:rPr>
        <w:t> </w:t>
      </w:r>
      <w:r>
        <w:rPr>
          <w:color w:val="231F20"/>
          <w:w w:val="105"/>
        </w:rPr>
        <w:t>de los</w:t>
      </w:r>
      <w:r>
        <w:rPr>
          <w:color w:val="231F20"/>
          <w:spacing w:val="-30"/>
          <w:w w:val="105"/>
        </w:rPr>
        <w:t> </w:t>
      </w:r>
      <w:r>
        <w:rPr>
          <w:color w:val="231F20"/>
          <w:spacing w:val="-3"/>
          <w:w w:val="105"/>
        </w:rPr>
        <w:t>parámetros.</w:t>
      </w:r>
      <w:r>
        <w:rPr>
          <w:color w:val="231F20"/>
          <w:spacing w:val="-34"/>
          <w:w w:val="105"/>
        </w:rPr>
        <w:t> </w:t>
      </w:r>
      <w:r>
        <w:rPr>
          <w:color w:val="231F20"/>
          <w:w w:val="105"/>
        </w:rPr>
        <w:t>Esta</w:t>
      </w:r>
      <w:r>
        <w:rPr>
          <w:color w:val="231F20"/>
          <w:spacing w:val="-30"/>
          <w:w w:val="105"/>
        </w:rPr>
        <w:t> </w:t>
      </w:r>
      <w:r>
        <w:rPr>
          <w:color w:val="231F20"/>
          <w:w w:val="105"/>
        </w:rPr>
        <w:t>metodología</w:t>
      </w:r>
      <w:r>
        <w:rPr>
          <w:color w:val="231F20"/>
          <w:spacing w:val="-30"/>
          <w:w w:val="105"/>
        </w:rPr>
        <w:t> </w:t>
      </w:r>
      <w:r>
        <w:rPr>
          <w:color w:val="231F20"/>
          <w:w w:val="105"/>
        </w:rPr>
        <w:t>es</w:t>
      </w:r>
      <w:r>
        <w:rPr>
          <w:color w:val="231F20"/>
          <w:spacing w:val="-30"/>
          <w:w w:val="105"/>
        </w:rPr>
        <w:t> </w:t>
      </w:r>
      <w:r>
        <w:rPr>
          <w:color w:val="231F20"/>
          <w:w w:val="105"/>
        </w:rPr>
        <w:t>utilizada</w:t>
      </w:r>
      <w:r>
        <w:rPr>
          <w:color w:val="231F20"/>
          <w:spacing w:val="-30"/>
          <w:w w:val="105"/>
        </w:rPr>
        <w:t> </w:t>
      </w:r>
      <w:r>
        <w:rPr>
          <w:color w:val="231F20"/>
          <w:w w:val="105"/>
        </w:rPr>
        <w:t>por</w:t>
      </w:r>
      <w:r>
        <w:rPr>
          <w:color w:val="231F20"/>
          <w:spacing w:val="-32"/>
          <w:w w:val="105"/>
        </w:rPr>
        <w:t> </w:t>
      </w:r>
      <w:r>
        <w:rPr>
          <w:color w:val="231F20"/>
          <w:spacing w:val="-2"/>
          <w:w w:val="105"/>
        </w:rPr>
        <w:t>Arranz</w:t>
      </w:r>
      <w:r>
        <w:rPr>
          <w:color w:val="231F20"/>
          <w:spacing w:val="-30"/>
          <w:w w:val="105"/>
        </w:rPr>
        <w:t> </w:t>
      </w:r>
      <w:r>
        <w:rPr>
          <w:color w:val="231F20"/>
          <w:w w:val="105"/>
        </w:rPr>
        <w:t>e</w:t>
      </w:r>
      <w:r>
        <w:rPr>
          <w:color w:val="231F20"/>
          <w:spacing w:val="-30"/>
          <w:w w:val="105"/>
        </w:rPr>
        <w:t> </w:t>
      </w:r>
      <w:r>
        <w:rPr>
          <w:color w:val="231F20"/>
          <w:w w:val="105"/>
        </w:rPr>
        <w:t>Iglesias</w:t>
      </w:r>
      <w:r>
        <w:rPr>
          <w:color w:val="231F20"/>
          <w:spacing w:val="-30"/>
          <w:w w:val="105"/>
        </w:rPr>
        <w:t> </w:t>
      </w:r>
      <w:r>
        <w:rPr>
          <w:color w:val="231F20"/>
          <w:spacing w:val="-2"/>
          <w:w w:val="105"/>
        </w:rPr>
        <w:t>(2005) </w:t>
      </w:r>
      <w:r>
        <w:rPr>
          <w:color w:val="231F20"/>
          <w:w w:val="105"/>
        </w:rPr>
        <w:t>para</w:t>
      </w:r>
      <w:r>
        <w:rPr>
          <w:color w:val="231F20"/>
          <w:spacing w:val="-32"/>
          <w:w w:val="105"/>
        </w:rPr>
        <w:t> </w:t>
      </w:r>
      <w:r>
        <w:rPr>
          <w:color w:val="231F20"/>
          <w:spacing w:val="-3"/>
          <w:w w:val="105"/>
        </w:rPr>
        <w:t>realizar</w:t>
      </w:r>
      <w:r>
        <w:rPr>
          <w:color w:val="231F20"/>
          <w:spacing w:val="-32"/>
          <w:w w:val="105"/>
        </w:rPr>
        <w:t> </w:t>
      </w:r>
      <w:r>
        <w:rPr>
          <w:color w:val="231F20"/>
          <w:w w:val="105"/>
        </w:rPr>
        <w:t>un</w:t>
      </w:r>
      <w:r>
        <w:rPr>
          <w:color w:val="231F20"/>
          <w:spacing w:val="-32"/>
          <w:w w:val="105"/>
        </w:rPr>
        <w:t> </w:t>
      </w:r>
      <w:r>
        <w:rPr>
          <w:color w:val="231F20"/>
          <w:w w:val="105"/>
        </w:rPr>
        <w:t>análisis</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tipos</w:t>
      </w:r>
      <w:r>
        <w:rPr>
          <w:color w:val="231F20"/>
          <w:spacing w:val="-32"/>
          <w:w w:val="105"/>
        </w:rPr>
        <w:t> </w:t>
      </w:r>
      <w:r>
        <w:rPr>
          <w:color w:val="231F20"/>
          <w:w w:val="105"/>
        </w:rPr>
        <w:t>de</w:t>
      </w:r>
      <w:r>
        <w:rPr>
          <w:color w:val="231F20"/>
          <w:spacing w:val="-32"/>
          <w:w w:val="105"/>
        </w:rPr>
        <w:t> </w:t>
      </w:r>
      <w:r>
        <w:rPr>
          <w:color w:val="231F20"/>
          <w:w w:val="105"/>
        </w:rPr>
        <w:t>cambio</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economía</w:t>
      </w:r>
      <w:r>
        <w:rPr>
          <w:color w:val="231F20"/>
          <w:spacing w:val="-32"/>
          <w:w w:val="105"/>
        </w:rPr>
        <w:t> </w:t>
      </w:r>
      <w:r>
        <w:rPr>
          <w:color w:val="231F20"/>
          <w:w w:val="105"/>
        </w:rPr>
        <w:t>mexicana</w:t>
      </w:r>
      <w:r>
        <w:rPr>
          <w:color w:val="231F20"/>
          <w:spacing w:val="-32"/>
          <w:w w:val="105"/>
        </w:rPr>
        <w:t> </w:t>
      </w:r>
      <w:r>
        <w:rPr>
          <w:color w:val="231F20"/>
          <w:w w:val="105"/>
        </w:rPr>
        <w:t>y la</w:t>
      </w:r>
      <w:r>
        <w:rPr>
          <w:color w:val="231F20"/>
          <w:spacing w:val="-26"/>
          <w:w w:val="105"/>
        </w:rPr>
        <w:t> </w:t>
      </w:r>
      <w:r>
        <w:rPr>
          <w:color w:val="231F20"/>
          <w:w w:val="105"/>
        </w:rPr>
        <w:t>comparan</w:t>
      </w:r>
      <w:r>
        <w:rPr>
          <w:color w:val="231F20"/>
          <w:spacing w:val="-26"/>
          <w:w w:val="105"/>
        </w:rPr>
        <w:t> </w:t>
      </w:r>
      <w:r>
        <w:rPr>
          <w:color w:val="231F20"/>
          <w:w w:val="105"/>
        </w:rPr>
        <w:t>con</w:t>
      </w:r>
      <w:r>
        <w:rPr>
          <w:color w:val="231F20"/>
          <w:spacing w:val="-26"/>
          <w:w w:val="105"/>
        </w:rPr>
        <w:t> </w:t>
      </w:r>
      <w:r>
        <w:rPr>
          <w:color w:val="231F20"/>
          <w:w w:val="105"/>
        </w:rPr>
        <w:t>los</w:t>
      </w:r>
      <w:r>
        <w:rPr>
          <w:color w:val="231F20"/>
          <w:spacing w:val="-26"/>
          <w:w w:val="105"/>
        </w:rPr>
        <w:t> </w:t>
      </w:r>
      <w:r>
        <w:rPr>
          <w:color w:val="231F20"/>
          <w:w w:val="105"/>
        </w:rPr>
        <w:t>tipos</w:t>
      </w:r>
      <w:r>
        <w:rPr>
          <w:color w:val="231F20"/>
          <w:spacing w:val="-26"/>
          <w:w w:val="105"/>
        </w:rPr>
        <w:t> </w:t>
      </w:r>
      <w:r>
        <w:rPr>
          <w:color w:val="231F20"/>
          <w:w w:val="105"/>
        </w:rPr>
        <w:t>de</w:t>
      </w:r>
      <w:r>
        <w:rPr>
          <w:color w:val="231F20"/>
          <w:spacing w:val="-26"/>
          <w:w w:val="105"/>
        </w:rPr>
        <w:t> </w:t>
      </w:r>
      <w:r>
        <w:rPr>
          <w:color w:val="231F20"/>
          <w:w w:val="105"/>
        </w:rPr>
        <w:t>cambio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2"/>
          <w:w w:val="105"/>
        </w:rPr>
        <w:t>República</w:t>
      </w:r>
      <w:r>
        <w:rPr>
          <w:color w:val="231F20"/>
          <w:spacing w:val="-26"/>
          <w:w w:val="105"/>
        </w:rPr>
        <w:t> </w:t>
      </w:r>
      <w:r>
        <w:rPr>
          <w:color w:val="231F20"/>
          <w:w w:val="105"/>
        </w:rPr>
        <w:t>Sudafricana,</w:t>
      </w:r>
      <w:r>
        <w:rPr>
          <w:color w:val="231F20"/>
          <w:spacing w:val="-32"/>
          <w:w w:val="105"/>
        </w:rPr>
        <w:t> </w:t>
      </w:r>
      <w:r>
        <w:rPr>
          <w:color w:val="231F20"/>
          <w:w w:val="105"/>
        </w:rPr>
        <w:t>Norue- ga</w:t>
      </w:r>
      <w:r>
        <w:rPr>
          <w:color w:val="231F20"/>
          <w:spacing w:val="-31"/>
          <w:w w:val="105"/>
        </w:rPr>
        <w:t> </w:t>
      </w:r>
      <w:r>
        <w:rPr>
          <w:color w:val="231F20"/>
          <w:w w:val="105"/>
        </w:rPr>
        <w:t>y</w:t>
      </w:r>
      <w:r>
        <w:rPr>
          <w:color w:val="231F20"/>
          <w:spacing w:val="-31"/>
          <w:w w:val="105"/>
        </w:rPr>
        <w:t> </w:t>
      </w:r>
      <w:r>
        <w:rPr>
          <w:color w:val="231F20"/>
          <w:w w:val="105"/>
        </w:rPr>
        <w:t>Reino</w:t>
      </w:r>
      <w:r>
        <w:rPr>
          <w:color w:val="231F20"/>
          <w:spacing w:val="-31"/>
          <w:w w:val="105"/>
        </w:rPr>
        <w:t> </w:t>
      </w:r>
      <w:r>
        <w:rPr>
          <w:color w:val="231F20"/>
          <w:spacing w:val="-2"/>
          <w:w w:val="105"/>
        </w:rPr>
        <w:t>Unido,</w:t>
      </w:r>
      <w:r>
        <w:rPr>
          <w:color w:val="231F20"/>
          <w:spacing w:val="-35"/>
          <w:w w:val="105"/>
        </w:rPr>
        <w:t> </w:t>
      </w:r>
      <w:r>
        <w:rPr>
          <w:color w:val="231F20"/>
          <w:w w:val="105"/>
        </w:rPr>
        <w:t>con</w:t>
      </w:r>
      <w:r>
        <w:rPr>
          <w:color w:val="231F20"/>
          <w:spacing w:val="-31"/>
          <w:w w:val="105"/>
        </w:rPr>
        <w:t> </w:t>
      </w:r>
      <w:r>
        <w:rPr>
          <w:color w:val="231F20"/>
          <w:w w:val="105"/>
        </w:rPr>
        <w:t>un</w:t>
      </w:r>
      <w:r>
        <w:rPr>
          <w:color w:val="231F20"/>
          <w:spacing w:val="-31"/>
          <w:w w:val="105"/>
        </w:rPr>
        <w:t> </w:t>
      </w:r>
      <w:r>
        <w:rPr>
          <w:color w:val="231F20"/>
          <w:w w:val="105"/>
        </w:rPr>
        <w:t>enfoque</w:t>
      </w:r>
      <w:r>
        <w:rPr>
          <w:color w:val="231F20"/>
          <w:spacing w:val="-31"/>
          <w:w w:val="105"/>
        </w:rPr>
        <w:t> </w:t>
      </w:r>
      <w:r>
        <w:rPr>
          <w:color w:val="231F20"/>
          <w:w w:val="105"/>
        </w:rPr>
        <w:t>de</w:t>
      </w:r>
      <w:r>
        <w:rPr>
          <w:color w:val="231F20"/>
          <w:spacing w:val="-31"/>
          <w:w w:val="105"/>
        </w:rPr>
        <w:t> </w:t>
      </w:r>
      <w:r>
        <w:rPr>
          <w:color w:val="231F20"/>
          <w:w w:val="105"/>
        </w:rPr>
        <w:t>volatilidad</w:t>
      </w:r>
      <w:r>
        <w:rPr>
          <w:color w:val="231F20"/>
          <w:spacing w:val="-31"/>
          <w:w w:val="105"/>
        </w:rPr>
        <w:t> </w:t>
      </w:r>
      <w:r>
        <w:rPr>
          <w:color w:val="231F20"/>
          <w:w w:val="105"/>
        </w:rPr>
        <w:t>estocástica,</w:t>
      </w:r>
      <w:r>
        <w:rPr>
          <w:color w:val="231F20"/>
          <w:spacing w:val="-35"/>
          <w:w w:val="105"/>
        </w:rPr>
        <w:t> </w:t>
      </w:r>
      <w:r>
        <w:rPr>
          <w:color w:val="231F20"/>
          <w:w w:val="105"/>
        </w:rPr>
        <w:t>concluyendo que</w:t>
      </w:r>
      <w:r>
        <w:rPr>
          <w:color w:val="231F20"/>
          <w:spacing w:val="-23"/>
          <w:w w:val="105"/>
        </w:rPr>
        <w:t> </w:t>
      </w:r>
      <w:r>
        <w:rPr>
          <w:color w:val="231F20"/>
          <w:w w:val="105"/>
        </w:rPr>
        <w:t>el</w:t>
      </w:r>
      <w:r>
        <w:rPr>
          <w:color w:val="231F20"/>
          <w:spacing w:val="-23"/>
          <w:w w:val="105"/>
        </w:rPr>
        <w:t> </w:t>
      </w:r>
      <w:r>
        <w:rPr>
          <w:color w:val="231F20"/>
          <w:w w:val="105"/>
        </w:rPr>
        <w:t>comportamiento</w:t>
      </w:r>
      <w:r>
        <w:rPr>
          <w:color w:val="231F20"/>
          <w:spacing w:val="-23"/>
          <w:w w:val="105"/>
        </w:rPr>
        <w:t> </w:t>
      </w:r>
      <w:r>
        <w:rPr>
          <w:color w:val="231F20"/>
          <w:w w:val="105"/>
        </w:rPr>
        <w:t>más</w:t>
      </w:r>
      <w:r>
        <w:rPr>
          <w:color w:val="231F20"/>
          <w:spacing w:val="-23"/>
          <w:w w:val="105"/>
        </w:rPr>
        <w:t> </w:t>
      </w:r>
      <w:r>
        <w:rPr>
          <w:color w:val="231F20"/>
          <w:spacing w:val="-3"/>
          <w:w w:val="105"/>
        </w:rPr>
        <w:t>errático</w:t>
      </w:r>
      <w:r>
        <w:rPr>
          <w:color w:val="231F20"/>
          <w:spacing w:val="-23"/>
          <w:w w:val="105"/>
        </w:rPr>
        <w:t> </w:t>
      </w:r>
      <w:r>
        <w:rPr>
          <w:color w:val="231F20"/>
          <w:w w:val="105"/>
        </w:rPr>
        <w:t>del</w:t>
      </w:r>
      <w:r>
        <w:rPr>
          <w:color w:val="231F20"/>
          <w:spacing w:val="-23"/>
          <w:w w:val="105"/>
        </w:rPr>
        <w:t> </w:t>
      </w:r>
      <w:r>
        <w:rPr>
          <w:color w:val="231F20"/>
          <w:w w:val="105"/>
        </w:rPr>
        <w:t>tipo</w:t>
      </w:r>
      <w:r>
        <w:rPr>
          <w:color w:val="231F20"/>
          <w:spacing w:val="-23"/>
          <w:w w:val="105"/>
        </w:rPr>
        <w:t> </w:t>
      </w:r>
      <w:r>
        <w:rPr>
          <w:color w:val="231F20"/>
          <w:w w:val="105"/>
        </w:rPr>
        <w:t>de</w:t>
      </w:r>
      <w:r>
        <w:rPr>
          <w:color w:val="231F20"/>
          <w:spacing w:val="-23"/>
          <w:w w:val="105"/>
        </w:rPr>
        <w:t> </w:t>
      </w:r>
      <w:r>
        <w:rPr>
          <w:color w:val="231F20"/>
          <w:w w:val="105"/>
        </w:rPr>
        <w:t>cambio</w:t>
      </w:r>
      <w:r>
        <w:rPr>
          <w:color w:val="231F20"/>
          <w:spacing w:val="-23"/>
          <w:w w:val="105"/>
        </w:rPr>
        <w:t> </w:t>
      </w:r>
      <w:r>
        <w:rPr>
          <w:color w:val="231F20"/>
          <w:w w:val="105"/>
        </w:rPr>
        <w:t>es</w:t>
      </w:r>
      <w:r>
        <w:rPr>
          <w:color w:val="231F20"/>
          <w:spacing w:val="-23"/>
          <w:w w:val="105"/>
        </w:rPr>
        <w:t> </w:t>
      </w:r>
      <w:r>
        <w:rPr>
          <w:color w:val="231F20"/>
          <w:w w:val="105"/>
        </w:rPr>
        <w:t>el</w:t>
      </w:r>
      <w:r>
        <w:rPr>
          <w:color w:val="231F20"/>
          <w:spacing w:val="-23"/>
          <w:w w:val="105"/>
        </w:rPr>
        <w:t> </w:t>
      </w:r>
      <w:r>
        <w:rPr>
          <w:color w:val="231F20"/>
          <w:w w:val="105"/>
        </w:rPr>
        <w:t>de</w:t>
      </w:r>
      <w:r>
        <w:rPr>
          <w:color w:val="231F20"/>
          <w:spacing w:val="-23"/>
          <w:w w:val="105"/>
        </w:rPr>
        <w:t> </w:t>
      </w:r>
      <w:r>
        <w:rPr>
          <w:color w:val="231F20"/>
          <w:w w:val="105"/>
        </w:rPr>
        <w:t>Noruega. </w:t>
      </w:r>
      <w:r>
        <w:rPr>
          <w:color w:val="231F20"/>
          <w:spacing w:val="-2"/>
          <w:w w:val="105"/>
        </w:rPr>
        <w:t>Asimismo,</w:t>
      </w:r>
      <w:r>
        <w:rPr>
          <w:color w:val="231F20"/>
          <w:spacing w:val="-33"/>
          <w:w w:val="105"/>
        </w:rPr>
        <w:t> </w:t>
      </w:r>
      <w:r>
        <w:rPr>
          <w:color w:val="231F20"/>
          <w:spacing w:val="-3"/>
          <w:w w:val="105"/>
        </w:rPr>
        <w:t>Eraker</w:t>
      </w:r>
      <w:r>
        <w:rPr>
          <w:color w:val="231F20"/>
          <w:spacing w:val="-28"/>
          <w:w w:val="105"/>
        </w:rPr>
        <w:t> </w:t>
      </w:r>
      <w:r>
        <w:rPr>
          <w:color w:val="231F20"/>
          <w:w w:val="105"/>
        </w:rPr>
        <w:t>(2001)</w:t>
      </w:r>
      <w:r>
        <w:rPr>
          <w:color w:val="231F20"/>
          <w:spacing w:val="-28"/>
          <w:w w:val="105"/>
        </w:rPr>
        <w:t> </w:t>
      </w:r>
      <w:r>
        <w:rPr>
          <w:color w:val="231F20"/>
          <w:w w:val="105"/>
        </w:rPr>
        <w:t>trabaja</w:t>
      </w:r>
      <w:r>
        <w:rPr>
          <w:color w:val="231F20"/>
          <w:spacing w:val="-28"/>
          <w:w w:val="105"/>
        </w:rPr>
        <w:t> </w:t>
      </w:r>
      <w:r>
        <w:rPr>
          <w:color w:val="231F20"/>
          <w:w w:val="105"/>
        </w:rPr>
        <w:t>con</w:t>
      </w:r>
      <w:r>
        <w:rPr>
          <w:color w:val="231F20"/>
          <w:spacing w:val="-28"/>
          <w:w w:val="105"/>
        </w:rPr>
        <w:t> </w:t>
      </w:r>
      <w:r>
        <w:rPr>
          <w:color w:val="231F20"/>
          <w:w w:val="105"/>
        </w:rPr>
        <w:t>el</w:t>
      </w:r>
      <w:r>
        <w:rPr>
          <w:color w:val="231F20"/>
          <w:spacing w:val="-28"/>
          <w:w w:val="105"/>
        </w:rPr>
        <w:t> </w:t>
      </w:r>
      <w:r>
        <w:rPr>
          <w:color w:val="231F20"/>
          <w:w w:val="105"/>
        </w:rPr>
        <w:t>método</w:t>
      </w:r>
      <w:r>
        <w:rPr>
          <w:color w:val="231F20"/>
          <w:spacing w:val="-28"/>
          <w:w w:val="105"/>
        </w:rPr>
        <w:t> </w:t>
      </w:r>
      <w:r>
        <w:rPr>
          <w:color w:val="231F20"/>
          <w:w w:val="105"/>
        </w:rPr>
        <w:t>MCMC</w:t>
      </w:r>
      <w:r>
        <w:rPr>
          <w:color w:val="231F20"/>
          <w:spacing w:val="-28"/>
          <w:w w:val="105"/>
        </w:rPr>
        <w:t> </w:t>
      </w:r>
      <w:r>
        <w:rPr>
          <w:color w:val="231F20"/>
          <w:w w:val="105"/>
        </w:rPr>
        <w:t>para</w:t>
      </w:r>
      <w:r>
        <w:rPr>
          <w:color w:val="231F20"/>
          <w:spacing w:val="-28"/>
          <w:w w:val="105"/>
        </w:rPr>
        <w:t> </w:t>
      </w:r>
      <w:r>
        <w:rPr>
          <w:color w:val="231F20"/>
          <w:w w:val="105"/>
        </w:rPr>
        <w:t>la</w:t>
      </w:r>
      <w:r>
        <w:rPr>
          <w:color w:val="231F20"/>
          <w:spacing w:val="-28"/>
          <w:w w:val="105"/>
        </w:rPr>
        <w:t> </w:t>
      </w:r>
      <w:r>
        <w:rPr>
          <w:color w:val="231F20"/>
          <w:w w:val="105"/>
        </w:rPr>
        <w:t>estimación de</w:t>
      </w:r>
      <w:r>
        <w:rPr>
          <w:color w:val="231F20"/>
          <w:spacing w:val="-16"/>
          <w:w w:val="105"/>
        </w:rPr>
        <w:t> </w:t>
      </w:r>
      <w:r>
        <w:rPr>
          <w:color w:val="231F20"/>
          <w:spacing w:val="-3"/>
          <w:w w:val="105"/>
        </w:rPr>
        <w:t>parámetros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spacing w:val="-3"/>
          <w:w w:val="105"/>
        </w:rPr>
        <w:t>procesos</w:t>
      </w:r>
      <w:r>
        <w:rPr>
          <w:color w:val="231F20"/>
          <w:spacing w:val="-16"/>
          <w:w w:val="105"/>
        </w:rPr>
        <w:t> </w:t>
      </w:r>
      <w:r>
        <w:rPr>
          <w:color w:val="231F20"/>
          <w:w w:val="105"/>
        </w:rPr>
        <w:t>de</w:t>
      </w:r>
      <w:r>
        <w:rPr>
          <w:color w:val="231F20"/>
          <w:spacing w:val="-16"/>
          <w:w w:val="105"/>
        </w:rPr>
        <w:t> </w:t>
      </w:r>
      <w:r>
        <w:rPr>
          <w:color w:val="231F20"/>
          <w:w w:val="105"/>
        </w:rPr>
        <w:t>difusión</w:t>
      </w:r>
      <w:r>
        <w:rPr>
          <w:color w:val="231F20"/>
          <w:spacing w:val="-16"/>
          <w:w w:val="105"/>
        </w:rPr>
        <w:t> </w:t>
      </w:r>
      <w:r>
        <w:rPr>
          <w:color w:val="231F20"/>
          <w:w w:val="105"/>
        </w:rPr>
        <w:t>a</w:t>
      </w:r>
      <w:r>
        <w:rPr>
          <w:color w:val="231F20"/>
          <w:spacing w:val="-16"/>
          <w:w w:val="105"/>
        </w:rPr>
        <w:t> </w:t>
      </w:r>
      <w:r>
        <w:rPr>
          <w:color w:val="231F20"/>
          <w:spacing w:val="-2"/>
          <w:w w:val="105"/>
        </w:rPr>
        <w:t>partir</w:t>
      </w:r>
      <w:r>
        <w:rPr>
          <w:color w:val="231F20"/>
          <w:spacing w:val="-16"/>
          <w:w w:val="105"/>
        </w:rPr>
        <w:t> </w:t>
      </w:r>
      <w:r>
        <w:rPr>
          <w:color w:val="231F20"/>
          <w:w w:val="105"/>
        </w:rPr>
        <w:t>de</w:t>
      </w:r>
      <w:r>
        <w:rPr>
          <w:color w:val="231F20"/>
          <w:spacing w:val="-16"/>
          <w:w w:val="105"/>
        </w:rPr>
        <w:t> </w:t>
      </w:r>
      <w:r>
        <w:rPr>
          <w:color w:val="231F20"/>
          <w:w w:val="105"/>
        </w:rPr>
        <w:t>observaciones</w:t>
      </w:r>
      <w:r>
        <w:rPr>
          <w:color w:val="231F20"/>
          <w:spacing w:val="-16"/>
          <w:w w:val="105"/>
        </w:rPr>
        <w:t> </w:t>
      </w:r>
      <w:r>
        <w:rPr>
          <w:color w:val="231F20"/>
          <w:w w:val="105"/>
        </w:rPr>
        <w:t>dis- </w:t>
      </w:r>
      <w:r>
        <w:rPr>
          <w:color w:val="231F20"/>
          <w:spacing w:val="-3"/>
          <w:w w:val="105"/>
        </w:rPr>
        <w:t>cretas.</w:t>
      </w:r>
      <w:r>
        <w:rPr>
          <w:color w:val="231F20"/>
          <w:spacing w:val="-39"/>
          <w:w w:val="105"/>
        </w:rPr>
        <w:t> </w:t>
      </w:r>
      <w:r>
        <w:rPr>
          <w:color w:val="231F20"/>
          <w:w w:val="105"/>
        </w:rPr>
        <w:t>Este</w:t>
      </w:r>
      <w:r>
        <w:rPr>
          <w:color w:val="231F20"/>
          <w:spacing w:val="-35"/>
          <w:w w:val="105"/>
        </w:rPr>
        <w:t> </w:t>
      </w:r>
      <w:r>
        <w:rPr>
          <w:color w:val="231F20"/>
          <w:w w:val="105"/>
        </w:rPr>
        <w:t>trabajo</w:t>
      </w:r>
      <w:r>
        <w:rPr>
          <w:color w:val="231F20"/>
          <w:spacing w:val="-35"/>
          <w:w w:val="105"/>
        </w:rPr>
        <w:t> </w:t>
      </w:r>
      <w:r>
        <w:rPr>
          <w:color w:val="231F20"/>
          <w:w w:val="105"/>
        </w:rPr>
        <w:t>se</w:t>
      </w:r>
      <w:r>
        <w:rPr>
          <w:color w:val="231F20"/>
          <w:spacing w:val="-35"/>
          <w:w w:val="105"/>
        </w:rPr>
        <w:t> </w:t>
      </w:r>
      <w:r>
        <w:rPr>
          <w:color w:val="231F20"/>
          <w:w w:val="105"/>
        </w:rPr>
        <w:t>aplica</w:t>
      </w:r>
      <w:r>
        <w:rPr>
          <w:color w:val="231F20"/>
          <w:spacing w:val="-35"/>
          <w:w w:val="105"/>
        </w:rPr>
        <w:t> </w:t>
      </w:r>
      <w:r>
        <w:rPr>
          <w:color w:val="231F20"/>
          <w:w w:val="105"/>
        </w:rPr>
        <w:t>a</w:t>
      </w:r>
      <w:r>
        <w:rPr>
          <w:color w:val="231F20"/>
          <w:spacing w:val="-35"/>
          <w:w w:val="105"/>
        </w:rPr>
        <w:t> </w:t>
      </w:r>
      <w:r>
        <w:rPr>
          <w:color w:val="231F20"/>
          <w:w w:val="105"/>
        </w:rPr>
        <w:t>la</w:t>
      </w:r>
      <w:r>
        <w:rPr>
          <w:color w:val="231F20"/>
          <w:spacing w:val="-35"/>
          <w:w w:val="105"/>
        </w:rPr>
        <w:t> </w:t>
      </w:r>
      <w:r>
        <w:rPr>
          <w:color w:val="231F20"/>
          <w:w w:val="105"/>
        </w:rPr>
        <w:t>estimación</w:t>
      </w:r>
      <w:r>
        <w:rPr>
          <w:color w:val="231F20"/>
          <w:spacing w:val="-35"/>
          <w:w w:val="105"/>
        </w:rPr>
        <w:t> </w:t>
      </w:r>
      <w:r>
        <w:rPr>
          <w:color w:val="231F20"/>
          <w:w w:val="105"/>
        </w:rPr>
        <w:t>de</w:t>
      </w:r>
      <w:r>
        <w:rPr>
          <w:color w:val="231F20"/>
          <w:spacing w:val="-35"/>
          <w:w w:val="105"/>
        </w:rPr>
        <w:t> </w:t>
      </w:r>
      <w:r>
        <w:rPr>
          <w:color w:val="231F20"/>
          <w:spacing w:val="-3"/>
          <w:w w:val="105"/>
        </w:rPr>
        <w:t>parámetros</w:t>
      </w:r>
      <w:r>
        <w:rPr>
          <w:color w:val="231F20"/>
          <w:spacing w:val="-35"/>
          <w:w w:val="105"/>
        </w:rPr>
        <w:t> </w:t>
      </w:r>
      <w:r>
        <w:rPr>
          <w:color w:val="231F20"/>
          <w:w w:val="105"/>
        </w:rPr>
        <w:t>en</w:t>
      </w:r>
      <w:r>
        <w:rPr>
          <w:color w:val="231F20"/>
          <w:spacing w:val="-35"/>
          <w:w w:val="105"/>
        </w:rPr>
        <w:t> </w:t>
      </w:r>
      <w:r>
        <w:rPr>
          <w:color w:val="231F20"/>
          <w:w w:val="105"/>
        </w:rPr>
        <w:t>modelos</w:t>
      </w:r>
      <w:r>
        <w:rPr>
          <w:color w:val="231F20"/>
          <w:spacing w:val="-35"/>
          <w:w w:val="105"/>
        </w:rPr>
        <w:t> </w:t>
      </w:r>
      <w:r>
        <w:rPr>
          <w:color w:val="231F20"/>
          <w:w w:val="105"/>
        </w:rPr>
        <w:t>de tasa de </w:t>
      </w:r>
      <w:r>
        <w:rPr>
          <w:color w:val="231F20"/>
          <w:spacing w:val="-3"/>
          <w:w w:val="105"/>
        </w:rPr>
        <w:t>interés </w:t>
      </w:r>
      <w:r>
        <w:rPr>
          <w:color w:val="231F20"/>
          <w:w w:val="105"/>
        </w:rPr>
        <w:t>de uno y dos </w:t>
      </w:r>
      <w:r>
        <w:rPr>
          <w:color w:val="231F20"/>
          <w:spacing w:val="-3"/>
          <w:w w:val="105"/>
        </w:rPr>
        <w:t>factores </w:t>
      </w:r>
      <w:r>
        <w:rPr>
          <w:color w:val="231F20"/>
          <w:w w:val="105"/>
        </w:rPr>
        <w:t>con un componente de </w:t>
      </w:r>
      <w:r>
        <w:rPr>
          <w:color w:val="231F20"/>
          <w:spacing w:val="-3"/>
          <w:w w:val="105"/>
        </w:rPr>
        <w:t>volatilidad </w:t>
      </w:r>
      <w:r>
        <w:rPr>
          <w:color w:val="231F20"/>
          <w:w w:val="105"/>
        </w:rPr>
        <w:t>estocástica.</w:t>
      </w:r>
      <w:r>
        <w:rPr>
          <w:color w:val="231F20"/>
          <w:spacing w:val="-44"/>
          <w:w w:val="105"/>
        </w:rPr>
        <w:t> </w:t>
      </w:r>
      <w:r>
        <w:rPr>
          <w:color w:val="231F20"/>
          <w:w w:val="105"/>
        </w:rPr>
        <w:t>El</w:t>
      </w:r>
      <w:r>
        <w:rPr>
          <w:color w:val="231F20"/>
          <w:spacing w:val="-42"/>
          <w:w w:val="105"/>
        </w:rPr>
        <w:t> </w:t>
      </w:r>
      <w:r>
        <w:rPr>
          <w:color w:val="231F20"/>
          <w:w w:val="105"/>
        </w:rPr>
        <w:t>modelo</w:t>
      </w:r>
      <w:r>
        <w:rPr>
          <w:color w:val="231F20"/>
          <w:spacing w:val="-42"/>
          <w:w w:val="105"/>
        </w:rPr>
        <w:t> </w:t>
      </w:r>
      <w:r>
        <w:rPr>
          <w:color w:val="231F20"/>
          <w:w w:val="105"/>
        </w:rPr>
        <w:t>captura</w:t>
      </w:r>
      <w:r>
        <w:rPr>
          <w:color w:val="231F20"/>
          <w:spacing w:val="-42"/>
          <w:w w:val="105"/>
        </w:rPr>
        <w:t> </w:t>
      </w:r>
      <w:r>
        <w:rPr>
          <w:color w:val="231F20"/>
          <w:w w:val="105"/>
        </w:rPr>
        <w:t>grandes</w:t>
      </w:r>
      <w:r>
        <w:rPr>
          <w:color w:val="231F20"/>
          <w:spacing w:val="-42"/>
          <w:w w:val="105"/>
        </w:rPr>
        <w:t> </w:t>
      </w:r>
      <w:r>
        <w:rPr>
          <w:color w:val="231F20"/>
          <w:spacing w:val="-3"/>
          <w:w w:val="105"/>
        </w:rPr>
        <w:t>errores</w:t>
      </w:r>
      <w:r>
        <w:rPr>
          <w:color w:val="231F20"/>
          <w:spacing w:val="-42"/>
          <w:w w:val="105"/>
        </w:rPr>
        <w:t> </w:t>
      </w:r>
      <w:r>
        <w:rPr>
          <w:color w:val="231F20"/>
          <w:w w:val="105"/>
        </w:rPr>
        <w:t>para</w:t>
      </w:r>
      <w:r>
        <w:rPr>
          <w:color w:val="231F20"/>
          <w:spacing w:val="-42"/>
          <w:w w:val="105"/>
        </w:rPr>
        <w:t> </w:t>
      </w:r>
      <w:r>
        <w:rPr>
          <w:color w:val="231F20"/>
          <w:w w:val="105"/>
        </w:rPr>
        <w:t>muestras</w:t>
      </w:r>
      <w:r>
        <w:rPr>
          <w:color w:val="231F20"/>
          <w:spacing w:val="-42"/>
          <w:w w:val="105"/>
        </w:rPr>
        <w:t> </w:t>
      </w:r>
      <w:r>
        <w:rPr>
          <w:color w:val="231F20"/>
          <w:w w:val="105"/>
        </w:rPr>
        <w:t>pequeñas</w:t>
      </w:r>
      <w:r>
        <w:rPr>
          <w:color w:val="231F20"/>
          <w:spacing w:val="-42"/>
          <w:w w:val="105"/>
        </w:rPr>
        <w:t> </w:t>
      </w:r>
      <w:r>
        <w:rPr>
          <w:color w:val="231F20"/>
          <w:w w:val="105"/>
        </w:rPr>
        <w:t>y el</w:t>
      </w:r>
      <w:r>
        <w:rPr>
          <w:color w:val="231F20"/>
          <w:spacing w:val="-26"/>
          <w:w w:val="105"/>
        </w:rPr>
        <w:t> </w:t>
      </w:r>
      <w:r>
        <w:rPr>
          <w:color w:val="231F20"/>
          <w:w w:val="105"/>
        </w:rPr>
        <w:t>modelo</w:t>
      </w:r>
      <w:r>
        <w:rPr>
          <w:color w:val="231F20"/>
          <w:spacing w:val="-26"/>
          <w:w w:val="105"/>
        </w:rPr>
        <w:t> </w:t>
      </w:r>
      <w:r>
        <w:rPr>
          <w:color w:val="231F20"/>
          <w:w w:val="105"/>
        </w:rPr>
        <w:t>de</w:t>
      </w:r>
      <w:r>
        <w:rPr>
          <w:color w:val="231F20"/>
          <w:spacing w:val="-26"/>
          <w:w w:val="105"/>
        </w:rPr>
        <w:t> </w:t>
      </w:r>
      <w:r>
        <w:rPr>
          <w:color w:val="231F20"/>
          <w:w w:val="105"/>
        </w:rPr>
        <w:t>volatilidad</w:t>
      </w:r>
      <w:r>
        <w:rPr>
          <w:color w:val="231F20"/>
          <w:spacing w:val="-26"/>
          <w:w w:val="105"/>
        </w:rPr>
        <w:t> </w:t>
      </w:r>
      <w:r>
        <w:rPr>
          <w:color w:val="231F20"/>
          <w:w w:val="105"/>
        </w:rPr>
        <w:t>estocástica</w:t>
      </w:r>
      <w:r>
        <w:rPr>
          <w:color w:val="231F20"/>
          <w:spacing w:val="-26"/>
          <w:w w:val="105"/>
        </w:rPr>
        <w:t> </w:t>
      </w:r>
      <w:r>
        <w:rPr>
          <w:color w:val="231F20"/>
          <w:spacing w:val="-3"/>
          <w:w w:val="105"/>
        </w:rPr>
        <w:t>proporciona</w:t>
      </w:r>
      <w:r>
        <w:rPr>
          <w:color w:val="231F20"/>
          <w:spacing w:val="-26"/>
          <w:w w:val="105"/>
        </w:rPr>
        <w:t> </w:t>
      </w:r>
      <w:r>
        <w:rPr>
          <w:color w:val="231F20"/>
          <w:w w:val="105"/>
        </w:rPr>
        <w:t>estimaciones</w:t>
      </w:r>
      <w:r>
        <w:rPr>
          <w:color w:val="231F20"/>
          <w:spacing w:val="-26"/>
          <w:w w:val="105"/>
        </w:rPr>
        <w:t> </w:t>
      </w:r>
      <w:r>
        <w:rPr>
          <w:color w:val="231F20"/>
          <w:w w:val="105"/>
        </w:rPr>
        <w:t>más</w:t>
      </w:r>
      <w:r>
        <w:rPr>
          <w:color w:val="231F20"/>
          <w:spacing w:val="-26"/>
          <w:w w:val="105"/>
        </w:rPr>
        <w:t> </w:t>
      </w:r>
      <w:r>
        <w:rPr>
          <w:color w:val="231F20"/>
          <w:spacing w:val="-3"/>
          <w:w w:val="105"/>
        </w:rPr>
        <w:t>preci- </w:t>
      </w:r>
      <w:r>
        <w:rPr>
          <w:color w:val="231F20"/>
          <w:w w:val="105"/>
        </w:rPr>
        <w:t>sas</w:t>
      </w:r>
      <w:r>
        <w:rPr>
          <w:color w:val="231F20"/>
          <w:spacing w:val="-23"/>
          <w:w w:val="105"/>
        </w:rPr>
        <w:t> </w:t>
      </w:r>
      <w:r>
        <w:rPr>
          <w:color w:val="231F20"/>
          <w:w w:val="105"/>
        </w:rPr>
        <w:t>para</w:t>
      </w:r>
      <w:r>
        <w:rPr>
          <w:color w:val="231F20"/>
          <w:spacing w:val="-23"/>
          <w:w w:val="105"/>
        </w:rPr>
        <w:t> </w:t>
      </w:r>
      <w:r>
        <w:rPr>
          <w:color w:val="231F20"/>
          <w:w w:val="105"/>
        </w:rPr>
        <w:t>cualquier</w:t>
      </w:r>
      <w:r>
        <w:rPr>
          <w:color w:val="231F20"/>
          <w:spacing w:val="-23"/>
          <w:w w:val="105"/>
        </w:rPr>
        <w:t> </w:t>
      </w:r>
      <w:r>
        <w:rPr>
          <w:color w:val="231F20"/>
          <w:w w:val="105"/>
        </w:rPr>
        <w:t>tipo</w:t>
      </w:r>
      <w:r>
        <w:rPr>
          <w:color w:val="231F20"/>
          <w:spacing w:val="-23"/>
          <w:w w:val="105"/>
        </w:rPr>
        <w:t> </w:t>
      </w:r>
      <w:r>
        <w:rPr>
          <w:color w:val="231F20"/>
          <w:w w:val="105"/>
        </w:rPr>
        <w:t>de</w:t>
      </w:r>
      <w:r>
        <w:rPr>
          <w:color w:val="231F20"/>
          <w:spacing w:val="-23"/>
          <w:w w:val="105"/>
        </w:rPr>
        <w:t> </w:t>
      </w:r>
      <w:r>
        <w:rPr>
          <w:color w:val="231F20"/>
          <w:w w:val="105"/>
        </w:rPr>
        <w:t>tamaño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muestra.</w:t>
      </w:r>
    </w:p>
    <w:p>
      <w:pPr>
        <w:pStyle w:val="BodyText"/>
        <w:spacing w:line="259" w:lineRule="auto"/>
        <w:ind w:left="104" w:right="114" w:firstLine="567"/>
        <w:jc w:val="both"/>
      </w:pPr>
      <w:r>
        <w:rPr>
          <w:color w:val="231F20"/>
          <w:spacing w:val="-3"/>
          <w:w w:val="105"/>
        </w:rPr>
        <w:t>También</w:t>
      </w:r>
      <w:r>
        <w:rPr>
          <w:color w:val="231F20"/>
          <w:spacing w:val="-14"/>
          <w:w w:val="105"/>
        </w:rPr>
        <w:t> </w:t>
      </w:r>
      <w:r>
        <w:rPr>
          <w:color w:val="231F20"/>
          <w:w w:val="105"/>
        </w:rPr>
        <w:t>existen</w:t>
      </w:r>
      <w:r>
        <w:rPr>
          <w:color w:val="231F20"/>
          <w:spacing w:val="-14"/>
          <w:w w:val="105"/>
        </w:rPr>
        <w:t> </w:t>
      </w:r>
      <w:r>
        <w:rPr>
          <w:color w:val="231F20"/>
          <w:w w:val="105"/>
        </w:rPr>
        <w:t>los</w:t>
      </w:r>
      <w:r>
        <w:rPr>
          <w:color w:val="231F20"/>
          <w:spacing w:val="-14"/>
          <w:w w:val="105"/>
        </w:rPr>
        <w:t> </w:t>
      </w:r>
      <w:r>
        <w:rPr>
          <w:color w:val="231F20"/>
          <w:w w:val="105"/>
        </w:rPr>
        <w:t>métodos</w:t>
      </w:r>
      <w:r>
        <w:rPr>
          <w:color w:val="231F20"/>
          <w:spacing w:val="-14"/>
          <w:w w:val="105"/>
        </w:rPr>
        <w:t> </w:t>
      </w:r>
      <w:r>
        <w:rPr>
          <w:color w:val="231F20"/>
          <w:w w:val="105"/>
        </w:rPr>
        <w:t>no</w:t>
      </w:r>
      <w:r>
        <w:rPr>
          <w:color w:val="231F20"/>
          <w:spacing w:val="-14"/>
          <w:w w:val="105"/>
        </w:rPr>
        <w:t> </w:t>
      </w:r>
      <w:r>
        <w:rPr>
          <w:color w:val="231F20"/>
          <w:w w:val="105"/>
        </w:rPr>
        <w:t>paramétricos</w:t>
      </w:r>
      <w:r>
        <w:rPr>
          <w:color w:val="231F20"/>
          <w:spacing w:val="-14"/>
          <w:w w:val="105"/>
        </w:rPr>
        <w:t> </w:t>
      </w:r>
      <w:r>
        <w:rPr>
          <w:color w:val="231F20"/>
          <w:w w:val="105"/>
        </w:rPr>
        <w:t>los</w:t>
      </w:r>
      <w:r>
        <w:rPr>
          <w:color w:val="231F20"/>
          <w:spacing w:val="-14"/>
          <w:w w:val="105"/>
        </w:rPr>
        <w:t> </w:t>
      </w:r>
      <w:r>
        <w:rPr>
          <w:color w:val="231F20"/>
          <w:w w:val="105"/>
        </w:rPr>
        <w:t>cuales</w:t>
      </w:r>
      <w:r>
        <w:rPr>
          <w:color w:val="231F20"/>
          <w:spacing w:val="-14"/>
          <w:w w:val="105"/>
        </w:rPr>
        <w:t> </w:t>
      </w:r>
      <w:r>
        <w:rPr>
          <w:color w:val="231F20"/>
          <w:w w:val="105"/>
        </w:rPr>
        <w:t>permiten la evaluación conjunta de las dinámicas de los rendimientos del activo subyacente y la volatilidad con procesos de difusión, considerando los efectos de apalancamiento no lineales y saltos en los rendimientos y  la volatilidad con intensidades altas (Andersen </w:t>
      </w:r>
      <w:r>
        <w:rPr>
          <w:i/>
          <w:color w:val="231F20"/>
          <w:w w:val="105"/>
        </w:rPr>
        <w:t>et al</w:t>
      </w:r>
      <w:r>
        <w:rPr>
          <w:color w:val="231F20"/>
          <w:w w:val="105"/>
        </w:rPr>
        <w:t>., 2010; Mykland y Zhang,</w:t>
      </w:r>
      <w:r>
        <w:rPr>
          <w:color w:val="231F20"/>
          <w:spacing w:val="-28"/>
          <w:w w:val="105"/>
        </w:rPr>
        <w:t> </w:t>
      </w:r>
      <w:r>
        <w:rPr>
          <w:color w:val="231F20"/>
          <w:w w:val="105"/>
        </w:rPr>
        <w:t>2009;</w:t>
      </w:r>
      <w:r>
        <w:rPr>
          <w:color w:val="231F20"/>
          <w:spacing w:val="-24"/>
          <w:w w:val="105"/>
        </w:rPr>
        <w:t> </w:t>
      </w:r>
      <w:r>
        <w:rPr>
          <w:color w:val="231F20"/>
          <w:w w:val="105"/>
        </w:rPr>
        <w:t>Bollerslev</w:t>
      </w:r>
      <w:r>
        <w:rPr>
          <w:color w:val="231F20"/>
          <w:spacing w:val="-24"/>
          <w:w w:val="105"/>
        </w:rPr>
        <w:t> </w:t>
      </w:r>
      <w:r>
        <w:rPr>
          <w:color w:val="231F20"/>
          <w:w w:val="105"/>
        </w:rPr>
        <w:t>y</w:t>
      </w:r>
      <w:r>
        <w:rPr>
          <w:color w:val="231F20"/>
          <w:spacing w:val="-24"/>
          <w:w w:val="105"/>
        </w:rPr>
        <w:t> </w:t>
      </w:r>
      <w:r>
        <w:rPr>
          <w:color w:val="231F20"/>
          <w:w w:val="105"/>
        </w:rPr>
        <w:t>Zhou,</w:t>
      </w:r>
      <w:r>
        <w:rPr>
          <w:color w:val="231F20"/>
          <w:spacing w:val="-28"/>
          <w:w w:val="105"/>
        </w:rPr>
        <w:t> </w:t>
      </w:r>
      <w:r>
        <w:rPr>
          <w:color w:val="231F20"/>
          <w:w w:val="105"/>
        </w:rPr>
        <w:t>2002;</w:t>
      </w:r>
      <w:r>
        <w:rPr>
          <w:color w:val="231F20"/>
          <w:spacing w:val="-24"/>
          <w:w w:val="105"/>
        </w:rPr>
        <w:t> </w:t>
      </w:r>
      <w:r>
        <w:rPr>
          <w:color w:val="231F20"/>
          <w:w w:val="105"/>
        </w:rPr>
        <w:t>Corradi</w:t>
      </w:r>
      <w:r>
        <w:rPr>
          <w:color w:val="231F20"/>
          <w:spacing w:val="-24"/>
          <w:w w:val="105"/>
        </w:rPr>
        <w:t> </w:t>
      </w:r>
      <w:r>
        <w:rPr>
          <w:color w:val="231F20"/>
          <w:w w:val="105"/>
        </w:rPr>
        <w:t>y</w:t>
      </w:r>
      <w:r>
        <w:rPr>
          <w:color w:val="231F20"/>
          <w:spacing w:val="-24"/>
          <w:w w:val="105"/>
        </w:rPr>
        <w:t> </w:t>
      </w:r>
      <w:r>
        <w:rPr>
          <w:color w:val="231F20"/>
          <w:w w:val="105"/>
        </w:rPr>
        <w:t>Distaso,</w:t>
      </w:r>
      <w:r>
        <w:rPr>
          <w:color w:val="231F20"/>
          <w:spacing w:val="-28"/>
          <w:w w:val="105"/>
        </w:rPr>
        <w:t> </w:t>
      </w:r>
      <w:r>
        <w:rPr>
          <w:color w:val="231F20"/>
          <w:w w:val="105"/>
        </w:rPr>
        <w:t>2006).</w:t>
      </w:r>
      <w:r>
        <w:rPr>
          <w:color w:val="231F20"/>
          <w:spacing w:val="-28"/>
          <w:w w:val="105"/>
        </w:rPr>
        <w:t> </w:t>
      </w:r>
      <w:r>
        <w:rPr>
          <w:color w:val="231F20"/>
          <w:w w:val="105"/>
        </w:rPr>
        <w:t>Los</w:t>
      </w:r>
      <w:r>
        <w:rPr>
          <w:color w:val="231F20"/>
          <w:spacing w:val="-24"/>
          <w:w w:val="105"/>
        </w:rPr>
        <w:t> </w:t>
      </w:r>
      <w:r>
        <w:rPr>
          <w:color w:val="231F20"/>
          <w:w w:val="105"/>
        </w:rPr>
        <w:t>estu- dios en tiempo discreto son modelos teóricos matemáticos densos</w:t>
      </w:r>
      <w:r>
        <w:rPr>
          <w:color w:val="231F20"/>
          <w:spacing w:val="-14"/>
          <w:w w:val="105"/>
        </w:rPr>
        <w:t> </w:t>
      </w:r>
      <w:r>
        <w:rPr>
          <w:color w:val="231F20"/>
          <w:w w:val="105"/>
        </w:rPr>
        <w:t>que tienen como base el cálculo infinitesimal y aún no se han aplicado en algún</w:t>
      </w:r>
      <w:r>
        <w:rPr>
          <w:color w:val="231F20"/>
          <w:spacing w:val="-33"/>
          <w:w w:val="105"/>
        </w:rPr>
        <w:t> </w:t>
      </w:r>
      <w:r>
        <w:rPr>
          <w:color w:val="231F20"/>
          <w:w w:val="105"/>
        </w:rPr>
        <w:t>mercado</w:t>
      </w:r>
      <w:r>
        <w:rPr>
          <w:color w:val="231F20"/>
          <w:spacing w:val="-33"/>
          <w:w w:val="105"/>
        </w:rPr>
        <w:t> </w:t>
      </w:r>
      <w:r>
        <w:rPr>
          <w:color w:val="231F20"/>
          <w:w w:val="105"/>
        </w:rPr>
        <w:t>(Kanaya</w:t>
      </w:r>
      <w:r>
        <w:rPr>
          <w:color w:val="231F20"/>
          <w:spacing w:val="-33"/>
          <w:w w:val="105"/>
        </w:rPr>
        <w:t> </w:t>
      </w:r>
      <w:r>
        <w:rPr>
          <w:color w:val="231F20"/>
          <w:w w:val="105"/>
        </w:rPr>
        <w:t>y</w:t>
      </w:r>
      <w:r>
        <w:rPr>
          <w:color w:val="231F20"/>
          <w:spacing w:val="-33"/>
          <w:w w:val="105"/>
        </w:rPr>
        <w:t> </w:t>
      </w:r>
      <w:r>
        <w:rPr>
          <w:color w:val="231F20"/>
          <w:w w:val="105"/>
        </w:rPr>
        <w:t>Kristensen,</w:t>
      </w:r>
      <w:r>
        <w:rPr>
          <w:color w:val="231F20"/>
          <w:spacing w:val="-37"/>
          <w:w w:val="105"/>
        </w:rPr>
        <w:t> </w:t>
      </w:r>
      <w:r>
        <w:rPr>
          <w:color w:val="231F20"/>
          <w:w w:val="105"/>
        </w:rPr>
        <w:t>2010;</w:t>
      </w:r>
      <w:r>
        <w:rPr>
          <w:color w:val="231F20"/>
          <w:spacing w:val="-33"/>
          <w:w w:val="105"/>
        </w:rPr>
        <w:t> </w:t>
      </w:r>
      <w:r>
        <w:rPr>
          <w:color w:val="231F20"/>
          <w:w w:val="105"/>
        </w:rPr>
        <w:t>Comte</w:t>
      </w:r>
      <w:r>
        <w:rPr>
          <w:color w:val="231F20"/>
          <w:spacing w:val="-33"/>
          <w:w w:val="105"/>
        </w:rPr>
        <w:t> </w:t>
      </w:r>
      <w:r>
        <w:rPr>
          <w:color w:val="231F20"/>
          <w:w w:val="105"/>
        </w:rPr>
        <w:t>y</w:t>
      </w:r>
      <w:r>
        <w:rPr>
          <w:color w:val="231F20"/>
          <w:spacing w:val="-33"/>
          <w:w w:val="105"/>
        </w:rPr>
        <w:t> </w:t>
      </w:r>
      <w:r>
        <w:rPr>
          <w:color w:val="231F20"/>
          <w:w w:val="105"/>
        </w:rPr>
        <w:t>Renault,</w:t>
      </w:r>
      <w:r>
        <w:rPr>
          <w:color w:val="231F20"/>
          <w:spacing w:val="-37"/>
          <w:w w:val="105"/>
        </w:rPr>
        <w:t> </w:t>
      </w:r>
      <w:r>
        <w:rPr>
          <w:color w:val="231F20"/>
          <w:w w:val="105"/>
        </w:rPr>
        <w:t>2010).</w:t>
      </w:r>
    </w:p>
    <w:p>
      <w:pPr>
        <w:pStyle w:val="BodyText"/>
        <w:spacing w:line="259" w:lineRule="auto"/>
        <w:ind w:left="104" w:right="114" w:firstLine="567"/>
        <w:jc w:val="both"/>
      </w:pPr>
      <w:r>
        <w:rPr>
          <w:color w:val="231F20"/>
          <w:w w:val="105"/>
        </w:rPr>
        <w:t>Cabe destacar que la literatura copiosa sobre los modelos</w:t>
      </w:r>
      <w:r>
        <w:rPr>
          <w:color w:val="231F20"/>
          <w:spacing w:val="-31"/>
          <w:w w:val="105"/>
        </w:rPr>
        <w:t> </w:t>
      </w:r>
      <w:r>
        <w:rPr>
          <w:color w:val="231F20"/>
          <w:w w:val="105"/>
        </w:rPr>
        <w:t>ARCH y GARCH aborda implícitamente la cuestión de la estimación óptima de</w:t>
      </w:r>
      <w:r>
        <w:rPr>
          <w:color w:val="231F20"/>
          <w:spacing w:val="-12"/>
          <w:w w:val="105"/>
        </w:rPr>
        <w:t> </w:t>
      </w:r>
      <w:r>
        <w:rPr>
          <w:color w:val="231F20"/>
          <w:w w:val="105"/>
        </w:rPr>
        <w:t>varianzas</w:t>
      </w:r>
      <w:r>
        <w:rPr>
          <w:color w:val="231F20"/>
          <w:spacing w:val="-12"/>
          <w:w w:val="105"/>
        </w:rPr>
        <w:t> </w:t>
      </w:r>
      <w:r>
        <w:rPr>
          <w:color w:val="231F20"/>
          <w:w w:val="105"/>
        </w:rPr>
        <w:t>condicionales</w:t>
      </w:r>
      <w:r>
        <w:rPr>
          <w:color w:val="231F20"/>
          <w:spacing w:val="-12"/>
          <w:w w:val="105"/>
        </w:rPr>
        <w:t> </w:t>
      </w:r>
      <w:r>
        <w:rPr>
          <w:color w:val="231F20"/>
          <w:w w:val="105"/>
        </w:rPr>
        <w:t>cuando</w:t>
      </w:r>
      <w:r>
        <w:rPr>
          <w:color w:val="231F20"/>
          <w:spacing w:val="-12"/>
          <w:w w:val="105"/>
        </w:rPr>
        <w:t> </w:t>
      </w:r>
      <w:r>
        <w:rPr>
          <w:color w:val="231F20"/>
          <w:w w:val="105"/>
        </w:rPr>
        <w:t>la</w:t>
      </w:r>
      <w:r>
        <w:rPr>
          <w:color w:val="231F20"/>
          <w:spacing w:val="-12"/>
          <w:w w:val="105"/>
        </w:rPr>
        <w:t> </w:t>
      </w:r>
      <w:r>
        <w:rPr>
          <w:color w:val="231F20"/>
          <w:w w:val="105"/>
        </w:rPr>
        <w:t>volatilidad</w:t>
      </w:r>
      <w:r>
        <w:rPr>
          <w:color w:val="231F20"/>
          <w:spacing w:val="-12"/>
          <w:w w:val="105"/>
        </w:rPr>
        <w:t> </w:t>
      </w:r>
      <w:r>
        <w:rPr>
          <w:color w:val="231F20"/>
          <w:w w:val="105"/>
        </w:rPr>
        <w:t>es</w:t>
      </w:r>
      <w:r>
        <w:rPr>
          <w:color w:val="231F20"/>
          <w:spacing w:val="-12"/>
          <w:w w:val="105"/>
        </w:rPr>
        <w:t> </w:t>
      </w:r>
      <w:r>
        <w:rPr>
          <w:color w:val="231F20"/>
          <w:w w:val="105"/>
        </w:rPr>
        <w:t>estocástica.</w:t>
      </w:r>
      <w:r>
        <w:rPr>
          <w:color w:val="231F20"/>
          <w:spacing w:val="-17"/>
          <w:w w:val="105"/>
        </w:rPr>
        <w:t> </w:t>
      </w:r>
      <w:r>
        <w:rPr>
          <w:color w:val="231F20"/>
          <w:w w:val="105"/>
        </w:rPr>
        <w:t>El</w:t>
      </w:r>
      <w:r>
        <w:rPr>
          <w:color w:val="231F20"/>
          <w:spacing w:val="-12"/>
          <w:w w:val="105"/>
        </w:rPr>
        <w:t> </w:t>
      </w:r>
      <w:r>
        <w:rPr>
          <w:color w:val="231F20"/>
          <w:w w:val="105"/>
        </w:rPr>
        <w:t>valor potencial de estos métodos para mercados de opciones es examinado por Engle </w:t>
      </w:r>
      <w:r>
        <w:rPr>
          <w:i/>
          <w:color w:val="231F20"/>
          <w:w w:val="105"/>
        </w:rPr>
        <w:t>et al</w:t>
      </w:r>
      <w:r>
        <w:rPr>
          <w:color w:val="231F20"/>
          <w:w w:val="105"/>
        </w:rPr>
        <w:t>. (1993), quienes llevan a cabo un juego de negociación de</w:t>
      </w:r>
      <w:r>
        <w:rPr>
          <w:color w:val="231F20"/>
          <w:spacing w:val="-7"/>
          <w:w w:val="105"/>
        </w:rPr>
        <w:t> </w:t>
      </w:r>
      <w:r>
        <w:rPr>
          <w:color w:val="231F20"/>
          <w:w w:val="105"/>
        </w:rPr>
        <w:t>la</w:t>
      </w:r>
      <w:r>
        <w:rPr>
          <w:color w:val="231F20"/>
          <w:spacing w:val="-7"/>
          <w:w w:val="105"/>
        </w:rPr>
        <w:t> </w:t>
      </w:r>
      <w:r>
        <w:rPr>
          <w:color w:val="231F20"/>
          <w:w w:val="105"/>
        </w:rPr>
        <w:t>sensibilidad</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volatilidad</w:t>
      </w:r>
      <w:r>
        <w:rPr>
          <w:color w:val="231F20"/>
          <w:spacing w:val="-7"/>
          <w:w w:val="105"/>
        </w:rPr>
        <w:t> </w:t>
      </w:r>
      <w:r>
        <w:rPr>
          <w:color w:val="231F20"/>
          <w:w w:val="105"/>
        </w:rPr>
        <w:t>entre</w:t>
      </w:r>
      <w:r>
        <w:rPr>
          <w:color w:val="231F20"/>
          <w:spacing w:val="-7"/>
          <w:w w:val="105"/>
        </w:rPr>
        <w:t> </w:t>
      </w:r>
      <w:r>
        <w:rPr>
          <w:color w:val="231F20"/>
          <w:w w:val="105"/>
        </w:rPr>
        <w:t>operadores</w:t>
      </w:r>
      <w:r>
        <w:rPr>
          <w:color w:val="231F20"/>
          <w:spacing w:val="-7"/>
          <w:w w:val="105"/>
        </w:rPr>
        <w:t> </w:t>
      </w:r>
      <w:r>
        <w:rPr>
          <w:color w:val="231F20"/>
          <w:w w:val="105"/>
        </w:rPr>
        <w:t>ficticios</w:t>
      </w:r>
      <w:r>
        <w:rPr>
          <w:color w:val="231F20"/>
          <w:spacing w:val="-7"/>
          <w:w w:val="105"/>
        </w:rPr>
        <w:t> </w:t>
      </w:r>
      <w:r>
        <w:rPr>
          <w:color w:val="231F20"/>
          <w:w w:val="105"/>
        </w:rPr>
        <w:t>que</w:t>
      </w:r>
      <w:r>
        <w:rPr>
          <w:color w:val="231F20"/>
          <w:spacing w:val="-7"/>
          <w:w w:val="105"/>
        </w:rPr>
        <w:t> </w:t>
      </w:r>
      <w:r>
        <w:rPr>
          <w:color w:val="231F20"/>
          <w:w w:val="105"/>
        </w:rPr>
        <w:t>utilizan técnicas</w:t>
      </w:r>
      <w:r>
        <w:rPr>
          <w:color w:val="231F20"/>
          <w:spacing w:val="-11"/>
          <w:w w:val="105"/>
        </w:rPr>
        <w:t> </w:t>
      </w:r>
      <w:r>
        <w:rPr>
          <w:color w:val="231F20"/>
          <w:w w:val="105"/>
        </w:rPr>
        <w:t>alternativas</w:t>
      </w:r>
      <w:r>
        <w:rPr>
          <w:color w:val="231F20"/>
          <w:spacing w:val="-11"/>
          <w:w w:val="105"/>
        </w:rPr>
        <w:t> </w:t>
      </w:r>
      <w:r>
        <w:rPr>
          <w:color w:val="231F20"/>
          <w:w w:val="105"/>
        </w:rPr>
        <w:t>de</w:t>
      </w:r>
      <w:r>
        <w:rPr>
          <w:color w:val="231F20"/>
          <w:spacing w:val="-11"/>
          <w:w w:val="105"/>
        </w:rPr>
        <w:t> </w:t>
      </w:r>
      <w:r>
        <w:rPr>
          <w:color w:val="231F20"/>
          <w:w w:val="105"/>
        </w:rPr>
        <w:t>previsión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varianza.</w:t>
      </w:r>
      <w:r>
        <w:rPr>
          <w:color w:val="231F20"/>
          <w:spacing w:val="-19"/>
          <w:w w:val="105"/>
        </w:rPr>
        <w:t> </w:t>
      </w:r>
      <w:r>
        <w:rPr>
          <w:color w:val="231F20"/>
          <w:w w:val="105"/>
        </w:rPr>
        <w:t>Aplicando</w:t>
      </w:r>
      <w:r>
        <w:rPr>
          <w:color w:val="231F20"/>
          <w:spacing w:val="-11"/>
          <w:w w:val="105"/>
        </w:rPr>
        <w:t> </w:t>
      </w:r>
      <w:r>
        <w:rPr>
          <w:color w:val="231F20"/>
          <w:w w:val="105"/>
        </w:rPr>
        <w:t>su</w:t>
      </w:r>
      <w:r>
        <w:rPr>
          <w:color w:val="231F20"/>
          <w:spacing w:val="-11"/>
          <w:w w:val="105"/>
        </w:rPr>
        <w:t> </w:t>
      </w:r>
      <w:r>
        <w:rPr>
          <w:color w:val="231F20"/>
          <w:w w:val="105"/>
        </w:rPr>
        <w:t>estudio</w:t>
      </w:r>
      <w:r>
        <w:rPr>
          <w:color w:val="231F20"/>
          <w:spacing w:val="-11"/>
          <w:w w:val="105"/>
        </w:rPr>
        <w:t> </w:t>
      </w:r>
      <w:r>
        <w:rPr>
          <w:color w:val="231F20"/>
          <w:w w:val="105"/>
        </w:rPr>
        <w:t>a</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4004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218</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7912"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219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9"/>
        <w:rPr>
          <w:sz w:val="18"/>
        </w:rPr>
      </w:pPr>
    </w:p>
    <w:p>
      <w:pPr>
        <w:pStyle w:val="BodyText"/>
        <w:spacing w:line="259" w:lineRule="auto"/>
        <w:ind w:left="117" w:right="115"/>
      </w:pPr>
      <w:r>
        <w:rPr>
          <w:color w:val="231F20"/>
          <w:w w:val="105"/>
        </w:rPr>
        <w:t>índices en un periodo de 1968 a 1991 descubren que para un GARCH (1,1)</w:t>
      </w:r>
      <w:r>
        <w:rPr>
          <w:color w:val="231F20"/>
          <w:spacing w:val="-18"/>
          <w:w w:val="105"/>
        </w:rPr>
        <w:t> </w:t>
      </w:r>
      <w:r>
        <w:rPr>
          <w:color w:val="231F20"/>
          <w:w w:val="105"/>
        </w:rPr>
        <w:t>sus</w:t>
      </w:r>
      <w:r>
        <w:rPr>
          <w:color w:val="231F20"/>
          <w:spacing w:val="-18"/>
          <w:w w:val="105"/>
        </w:rPr>
        <w:t> </w:t>
      </w:r>
      <w:r>
        <w:rPr>
          <w:color w:val="231F20"/>
          <w:w w:val="105"/>
        </w:rPr>
        <w:t>resultados</w:t>
      </w:r>
      <w:r>
        <w:rPr>
          <w:color w:val="231F20"/>
          <w:spacing w:val="-18"/>
          <w:w w:val="105"/>
        </w:rPr>
        <w:t> </w:t>
      </w:r>
      <w:r>
        <w:rPr>
          <w:color w:val="231F20"/>
          <w:w w:val="105"/>
        </w:rPr>
        <w:t>se</w:t>
      </w:r>
      <w:r>
        <w:rPr>
          <w:color w:val="231F20"/>
          <w:spacing w:val="-18"/>
          <w:w w:val="105"/>
        </w:rPr>
        <w:t> </w:t>
      </w:r>
      <w:r>
        <w:rPr>
          <w:color w:val="231F20"/>
          <w:w w:val="105"/>
        </w:rPr>
        <w:t>ven</w:t>
      </w:r>
      <w:r>
        <w:rPr>
          <w:color w:val="231F20"/>
          <w:spacing w:val="-18"/>
          <w:w w:val="105"/>
        </w:rPr>
        <w:t> </w:t>
      </w:r>
      <w:r>
        <w:rPr>
          <w:color w:val="231F20"/>
          <w:w w:val="105"/>
        </w:rPr>
        <w:t>afectados</w:t>
      </w:r>
      <w:r>
        <w:rPr>
          <w:color w:val="231F20"/>
          <w:spacing w:val="-18"/>
          <w:w w:val="105"/>
        </w:rPr>
        <w:t> </w:t>
      </w:r>
      <w:r>
        <w:rPr>
          <w:color w:val="231F20"/>
          <w:w w:val="105"/>
        </w:rPr>
        <w:t>por</w:t>
      </w:r>
      <w:r>
        <w:rPr>
          <w:color w:val="231F20"/>
          <w:spacing w:val="-18"/>
          <w:w w:val="105"/>
        </w:rPr>
        <w:t> </w:t>
      </w:r>
      <w:r>
        <w:rPr>
          <w:color w:val="231F20"/>
          <w:w w:val="105"/>
        </w:rPr>
        <w:t>la</w:t>
      </w:r>
      <w:r>
        <w:rPr>
          <w:color w:val="231F20"/>
          <w:spacing w:val="-18"/>
          <w:w w:val="105"/>
        </w:rPr>
        <w:t> </w:t>
      </w:r>
      <w:r>
        <w:rPr>
          <w:color w:val="231F20"/>
          <w:w w:val="105"/>
        </w:rPr>
        <w:t>crisis</w:t>
      </w:r>
      <w:r>
        <w:rPr>
          <w:color w:val="231F20"/>
          <w:spacing w:val="-18"/>
          <w:w w:val="105"/>
        </w:rPr>
        <w:t> </w:t>
      </w:r>
      <w:r>
        <w:rPr>
          <w:color w:val="231F20"/>
          <w:w w:val="105"/>
        </w:rPr>
        <w:t>bursátil</w:t>
      </w:r>
      <w:r>
        <w:rPr>
          <w:color w:val="231F20"/>
          <w:spacing w:val="-18"/>
          <w:w w:val="105"/>
        </w:rPr>
        <w:t> </w:t>
      </w:r>
      <w:r>
        <w:rPr>
          <w:color w:val="231F20"/>
          <w:w w:val="105"/>
        </w:rPr>
        <w:t>de</w:t>
      </w:r>
      <w:r>
        <w:rPr>
          <w:color w:val="231F20"/>
          <w:spacing w:val="-18"/>
          <w:w w:val="105"/>
        </w:rPr>
        <w:t> </w:t>
      </w:r>
      <w:r>
        <w:rPr>
          <w:color w:val="231F20"/>
          <w:w w:val="105"/>
        </w:rPr>
        <w:t>1987,</w:t>
      </w:r>
      <w:r>
        <w:rPr>
          <w:color w:val="231F20"/>
          <w:spacing w:val="-23"/>
          <w:w w:val="105"/>
        </w:rPr>
        <w:t> </w:t>
      </w:r>
      <w:r>
        <w:rPr>
          <w:color w:val="231F20"/>
          <w:w w:val="105"/>
        </w:rPr>
        <w:t>por</w:t>
      </w:r>
      <w:r>
        <w:rPr>
          <w:color w:val="231F20"/>
          <w:spacing w:val="-18"/>
          <w:w w:val="105"/>
        </w:rPr>
        <w:t> </w:t>
      </w:r>
      <w:r>
        <w:rPr>
          <w:color w:val="231F20"/>
          <w:w w:val="105"/>
        </w:rPr>
        <w:t>lo que</w:t>
      </w:r>
      <w:r>
        <w:rPr>
          <w:color w:val="231F20"/>
          <w:spacing w:val="-16"/>
          <w:w w:val="105"/>
        </w:rPr>
        <w:t> </w:t>
      </w:r>
      <w:r>
        <w:rPr>
          <w:color w:val="231F20"/>
          <w:w w:val="105"/>
        </w:rPr>
        <w:t>este</w:t>
      </w:r>
      <w:r>
        <w:rPr>
          <w:color w:val="231F20"/>
          <w:spacing w:val="-16"/>
          <w:w w:val="105"/>
        </w:rPr>
        <w:t> </w:t>
      </w:r>
      <w:r>
        <w:rPr>
          <w:color w:val="231F20"/>
          <w:w w:val="105"/>
        </w:rPr>
        <w:t>tipo</w:t>
      </w:r>
      <w:r>
        <w:rPr>
          <w:color w:val="231F20"/>
          <w:spacing w:val="-16"/>
          <w:w w:val="105"/>
        </w:rPr>
        <w:t> </w:t>
      </w:r>
      <w:r>
        <w:rPr>
          <w:color w:val="231F20"/>
          <w:w w:val="105"/>
        </w:rPr>
        <w:t>de</w:t>
      </w:r>
      <w:r>
        <w:rPr>
          <w:color w:val="231F20"/>
          <w:spacing w:val="-16"/>
          <w:w w:val="105"/>
        </w:rPr>
        <w:t> </w:t>
      </w:r>
      <w:r>
        <w:rPr>
          <w:color w:val="231F20"/>
          <w:w w:val="105"/>
        </w:rPr>
        <w:t>estimaciones</w:t>
      </w:r>
      <w:r>
        <w:rPr>
          <w:color w:val="231F20"/>
          <w:spacing w:val="-16"/>
          <w:w w:val="105"/>
        </w:rPr>
        <w:t> </w:t>
      </w:r>
      <w:r>
        <w:rPr>
          <w:color w:val="231F20"/>
          <w:w w:val="105"/>
        </w:rPr>
        <w:t>se</w:t>
      </w:r>
      <w:r>
        <w:rPr>
          <w:color w:val="231F20"/>
          <w:spacing w:val="-16"/>
          <w:w w:val="105"/>
        </w:rPr>
        <w:t> </w:t>
      </w:r>
      <w:r>
        <w:rPr>
          <w:color w:val="231F20"/>
          <w:w w:val="105"/>
        </w:rPr>
        <w:t>considera</w:t>
      </w:r>
      <w:r>
        <w:rPr>
          <w:color w:val="231F20"/>
          <w:spacing w:val="-16"/>
          <w:w w:val="105"/>
        </w:rPr>
        <w:t> </w:t>
      </w:r>
      <w:r>
        <w:rPr>
          <w:color w:val="231F20"/>
          <w:w w:val="105"/>
        </w:rPr>
        <w:t>bueno</w:t>
      </w:r>
      <w:r>
        <w:rPr>
          <w:color w:val="231F20"/>
          <w:spacing w:val="-16"/>
          <w:w w:val="105"/>
        </w:rPr>
        <w:t> </w:t>
      </w:r>
      <w:r>
        <w:rPr>
          <w:color w:val="231F20"/>
          <w:w w:val="105"/>
        </w:rPr>
        <w:t>sólo</w:t>
      </w:r>
      <w:r>
        <w:rPr>
          <w:color w:val="231F20"/>
          <w:spacing w:val="-16"/>
          <w:w w:val="105"/>
        </w:rPr>
        <w:t> </w:t>
      </w:r>
      <w:r>
        <w:rPr>
          <w:color w:val="231F20"/>
          <w:w w:val="105"/>
        </w:rPr>
        <w:t>para</w:t>
      </w:r>
      <w:r>
        <w:rPr>
          <w:color w:val="231F20"/>
          <w:spacing w:val="-16"/>
          <w:w w:val="105"/>
        </w:rPr>
        <w:t> </w:t>
      </w:r>
      <w:r>
        <w:rPr>
          <w:color w:val="231F20"/>
          <w:w w:val="105"/>
        </w:rPr>
        <w:t>periodos</w:t>
      </w:r>
      <w:r>
        <w:rPr>
          <w:color w:val="231F20"/>
          <w:spacing w:val="-16"/>
          <w:w w:val="105"/>
        </w:rPr>
        <w:t> </w:t>
      </w:r>
      <w:r>
        <w:rPr>
          <w:color w:val="231F20"/>
          <w:w w:val="105"/>
        </w:rPr>
        <w:t>en los</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se</w:t>
      </w:r>
      <w:r>
        <w:rPr>
          <w:color w:val="231F20"/>
          <w:spacing w:val="-17"/>
          <w:w w:val="105"/>
        </w:rPr>
        <w:t> </w:t>
      </w:r>
      <w:r>
        <w:rPr>
          <w:color w:val="231F20"/>
          <w:w w:val="105"/>
        </w:rPr>
        <w:t>presenten</w:t>
      </w:r>
      <w:r>
        <w:rPr>
          <w:color w:val="231F20"/>
          <w:spacing w:val="-17"/>
          <w:w w:val="105"/>
        </w:rPr>
        <w:t> </w:t>
      </w:r>
      <w:r>
        <w:rPr>
          <w:color w:val="231F20"/>
          <w:w w:val="105"/>
        </w:rPr>
        <w:t>grandes</w:t>
      </w:r>
      <w:r>
        <w:rPr>
          <w:color w:val="231F20"/>
          <w:spacing w:val="-17"/>
          <w:w w:val="105"/>
        </w:rPr>
        <w:t> </w:t>
      </w:r>
      <w:r>
        <w:rPr>
          <w:color w:val="231F20"/>
          <w:w w:val="105"/>
        </w:rPr>
        <w:t>fenómenos</w:t>
      </w:r>
      <w:r>
        <w:rPr>
          <w:color w:val="231F20"/>
          <w:spacing w:val="-17"/>
          <w:w w:val="105"/>
        </w:rPr>
        <w:t> </w:t>
      </w:r>
      <w:r>
        <w:rPr>
          <w:color w:val="231F20"/>
          <w:w w:val="105"/>
        </w:rPr>
        <w:t>económicos</w:t>
      </w:r>
      <w:r>
        <w:rPr>
          <w:color w:val="231F20"/>
          <w:spacing w:val="-17"/>
          <w:w w:val="105"/>
        </w:rPr>
        <w:t> </w:t>
      </w:r>
      <w:r>
        <w:rPr>
          <w:color w:val="231F20"/>
          <w:w w:val="105"/>
        </w:rPr>
        <w:t>o</w:t>
      </w:r>
      <w:r>
        <w:rPr>
          <w:color w:val="231F20"/>
          <w:spacing w:val="-17"/>
          <w:w w:val="105"/>
        </w:rPr>
        <w:t> </w:t>
      </w:r>
      <w:r>
        <w:rPr>
          <w:color w:val="231F20"/>
          <w:w w:val="105"/>
        </w:rPr>
        <w:t>financieros. Es</w:t>
      </w:r>
      <w:r>
        <w:rPr>
          <w:color w:val="231F20"/>
          <w:spacing w:val="-14"/>
          <w:w w:val="105"/>
        </w:rPr>
        <w:t> </w:t>
      </w:r>
      <w:r>
        <w:rPr>
          <w:color w:val="231F20"/>
          <w:w w:val="105"/>
        </w:rPr>
        <w:t>importante</w:t>
      </w:r>
      <w:r>
        <w:rPr>
          <w:color w:val="231F20"/>
          <w:spacing w:val="-14"/>
          <w:w w:val="105"/>
        </w:rPr>
        <w:t> </w:t>
      </w:r>
      <w:r>
        <w:rPr>
          <w:color w:val="231F20"/>
          <w:w w:val="105"/>
        </w:rPr>
        <w:t>mencionar</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evidencia</w:t>
      </w:r>
      <w:r>
        <w:rPr>
          <w:color w:val="231F20"/>
          <w:spacing w:val="-14"/>
          <w:w w:val="105"/>
        </w:rPr>
        <w:t> </w:t>
      </w:r>
      <w:r>
        <w:rPr>
          <w:color w:val="231F20"/>
          <w:w w:val="105"/>
        </w:rPr>
        <w:t>empírica</w:t>
      </w:r>
      <w:r>
        <w:rPr>
          <w:color w:val="231F20"/>
          <w:spacing w:val="-14"/>
          <w:w w:val="105"/>
        </w:rPr>
        <w:t> </w:t>
      </w:r>
      <w:r>
        <w:rPr>
          <w:color w:val="231F20"/>
          <w:w w:val="105"/>
        </w:rPr>
        <w:t>sobre</w:t>
      </w:r>
      <w:r>
        <w:rPr>
          <w:color w:val="231F20"/>
          <w:spacing w:val="-14"/>
          <w:w w:val="105"/>
        </w:rPr>
        <w:t> </w:t>
      </w:r>
      <w:r>
        <w:rPr>
          <w:color w:val="231F20"/>
          <w:w w:val="105"/>
        </w:rPr>
        <w:t>el</w:t>
      </w:r>
      <w:r>
        <w:rPr>
          <w:color w:val="231F20"/>
          <w:spacing w:val="-14"/>
          <w:w w:val="105"/>
        </w:rPr>
        <w:t> </w:t>
      </w:r>
      <w:r>
        <w:rPr>
          <w:color w:val="231F20"/>
          <w:w w:val="105"/>
        </w:rPr>
        <w:t>uso</w:t>
      </w:r>
      <w:r>
        <w:rPr>
          <w:color w:val="231F20"/>
          <w:spacing w:val="-14"/>
          <w:w w:val="105"/>
        </w:rPr>
        <w:t> </w:t>
      </w:r>
      <w:r>
        <w:rPr>
          <w:color w:val="231F20"/>
          <w:w w:val="105"/>
        </w:rPr>
        <w:t>de</w:t>
      </w:r>
      <w:r>
        <w:rPr>
          <w:color w:val="231F20"/>
          <w:spacing w:val="-14"/>
          <w:w w:val="105"/>
        </w:rPr>
        <w:t> </w:t>
      </w:r>
      <w:r>
        <w:rPr>
          <w:color w:val="231F20"/>
          <w:w w:val="105"/>
        </w:rPr>
        <w:t>esta técnica</w:t>
      </w:r>
      <w:r>
        <w:rPr>
          <w:color w:val="231F20"/>
          <w:spacing w:val="-14"/>
          <w:w w:val="105"/>
        </w:rPr>
        <w:t> </w:t>
      </w:r>
      <w:r>
        <w:rPr>
          <w:color w:val="231F20"/>
          <w:w w:val="105"/>
        </w:rPr>
        <w:t>de</w:t>
      </w:r>
      <w:r>
        <w:rPr>
          <w:color w:val="231F20"/>
          <w:spacing w:val="-14"/>
          <w:w w:val="105"/>
        </w:rPr>
        <w:t> </w:t>
      </w:r>
      <w:r>
        <w:rPr>
          <w:color w:val="231F20"/>
          <w:w w:val="105"/>
        </w:rPr>
        <w:t>estimación</w:t>
      </w:r>
      <w:r>
        <w:rPr>
          <w:color w:val="231F20"/>
          <w:spacing w:val="-14"/>
          <w:w w:val="105"/>
        </w:rPr>
        <w:t> </w:t>
      </w:r>
      <w:r>
        <w:rPr>
          <w:color w:val="231F20"/>
          <w:w w:val="105"/>
        </w:rPr>
        <w:t>(modelos</w:t>
      </w:r>
      <w:r>
        <w:rPr>
          <w:color w:val="231F20"/>
          <w:spacing w:val="-17"/>
          <w:w w:val="105"/>
        </w:rPr>
        <w:t> </w:t>
      </w:r>
      <w:r>
        <w:rPr>
          <w:color w:val="231F20"/>
          <w:w w:val="105"/>
        </w:rPr>
        <w:t>ARCH</w:t>
      </w:r>
      <w:r>
        <w:rPr>
          <w:color w:val="231F20"/>
          <w:spacing w:val="-14"/>
          <w:w w:val="105"/>
        </w:rPr>
        <w:t> </w:t>
      </w:r>
      <w:r>
        <w:rPr>
          <w:color w:val="231F20"/>
          <w:w w:val="105"/>
        </w:rPr>
        <w:t>y</w:t>
      </w:r>
      <w:r>
        <w:rPr>
          <w:color w:val="231F20"/>
          <w:spacing w:val="-14"/>
          <w:w w:val="105"/>
        </w:rPr>
        <w:t> </w:t>
      </w:r>
      <w:r>
        <w:rPr>
          <w:color w:val="231F20"/>
          <w:w w:val="105"/>
        </w:rPr>
        <w:t>GARCH)</w:t>
      </w:r>
      <w:r>
        <w:rPr>
          <w:color w:val="231F20"/>
          <w:spacing w:val="-14"/>
          <w:w w:val="105"/>
        </w:rPr>
        <w:t> </w:t>
      </w:r>
      <w:r>
        <w:rPr>
          <w:color w:val="231F20"/>
          <w:w w:val="105"/>
        </w:rPr>
        <w:t>reporta</w:t>
      </w:r>
      <w:r>
        <w:rPr>
          <w:color w:val="231F20"/>
          <w:spacing w:val="-14"/>
          <w:w w:val="105"/>
        </w:rPr>
        <w:t> </w:t>
      </w:r>
      <w:r>
        <w:rPr>
          <w:color w:val="231F20"/>
          <w:w w:val="105"/>
        </w:rPr>
        <w:t>errores</w:t>
      </w:r>
      <w:r>
        <w:rPr>
          <w:color w:val="231F20"/>
          <w:spacing w:val="-14"/>
          <w:w w:val="105"/>
        </w:rPr>
        <w:t> </w:t>
      </w:r>
      <w:r>
        <w:rPr>
          <w:color w:val="231F20"/>
          <w:w w:val="105"/>
        </w:rPr>
        <w:t>consi- derables sobre la valoración del precio de las opciones (Whaley, 1982; Sterk,</w:t>
      </w:r>
      <w:r>
        <w:rPr>
          <w:color w:val="231F20"/>
          <w:spacing w:val="-12"/>
          <w:w w:val="105"/>
        </w:rPr>
        <w:t> </w:t>
      </w:r>
      <w:r>
        <w:rPr>
          <w:color w:val="231F20"/>
          <w:w w:val="105"/>
        </w:rPr>
        <w:t>1983;</w:t>
      </w:r>
      <w:r>
        <w:rPr>
          <w:color w:val="231F20"/>
          <w:spacing w:val="-7"/>
          <w:w w:val="105"/>
        </w:rPr>
        <w:t> </w:t>
      </w:r>
      <w:r>
        <w:rPr>
          <w:color w:val="231F20"/>
          <w:w w:val="105"/>
        </w:rPr>
        <w:t>Geske</w:t>
      </w:r>
      <w:r>
        <w:rPr>
          <w:color w:val="231F20"/>
          <w:spacing w:val="-7"/>
          <w:w w:val="105"/>
        </w:rPr>
        <w:t> </w:t>
      </w:r>
      <w:r>
        <w:rPr>
          <w:color w:val="231F20"/>
          <w:w w:val="105"/>
        </w:rPr>
        <w:t>y</w:t>
      </w:r>
      <w:r>
        <w:rPr>
          <w:color w:val="231F20"/>
          <w:spacing w:val="-7"/>
          <w:w w:val="105"/>
        </w:rPr>
        <w:t> </w:t>
      </w:r>
      <w:r>
        <w:rPr>
          <w:color w:val="231F20"/>
          <w:w w:val="105"/>
        </w:rPr>
        <w:t>Roll,</w:t>
      </w:r>
      <w:r>
        <w:rPr>
          <w:color w:val="231F20"/>
          <w:spacing w:val="-12"/>
          <w:w w:val="105"/>
        </w:rPr>
        <w:t> </w:t>
      </w:r>
      <w:r>
        <w:rPr>
          <w:color w:val="231F20"/>
          <w:w w:val="105"/>
        </w:rPr>
        <w:t>1984).</w:t>
      </w:r>
      <w:r>
        <w:rPr>
          <w:color w:val="231F20"/>
          <w:spacing w:val="-12"/>
          <w:w w:val="105"/>
        </w:rPr>
        <w:t> </w:t>
      </w:r>
      <w:r>
        <w:rPr>
          <w:color w:val="231F20"/>
          <w:w w:val="105"/>
        </w:rPr>
        <w:t>Estudios</w:t>
      </w:r>
      <w:r>
        <w:rPr>
          <w:color w:val="231F20"/>
          <w:spacing w:val="-7"/>
          <w:w w:val="105"/>
        </w:rPr>
        <w:t> </w:t>
      </w:r>
      <w:r>
        <w:rPr>
          <w:color w:val="231F20"/>
          <w:w w:val="105"/>
        </w:rPr>
        <w:t>como</w:t>
      </w:r>
      <w:r>
        <w:rPr>
          <w:color w:val="231F20"/>
          <w:spacing w:val="-7"/>
          <w:w w:val="105"/>
        </w:rPr>
        <w:t> </w:t>
      </w:r>
      <w:r>
        <w:rPr>
          <w:color w:val="231F20"/>
          <w:w w:val="105"/>
        </w:rPr>
        <w:t>los</w:t>
      </w:r>
      <w:r>
        <w:rPr>
          <w:color w:val="231F20"/>
          <w:spacing w:val="-7"/>
          <w:w w:val="105"/>
        </w:rPr>
        <w:t> </w:t>
      </w:r>
      <w:r>
        <w:rPr>
          <w:color w:val="231F20"/>
          <w:w w:val="105"/>
        </w:rPr>
        <w:t>de</w:t>
      </w:r>
      <w:r>
        <w:rPr>
          <w:color w:val="231F20"/>
          <w:spacing w:val="-9"/>
          <w:w w:val="105"/>
        </w:rPr>
        <w:t> </w:t>
      </w:r>
      <w:r>
        <w:rPr>
          <w:color w:val="231F20"/>
          <w:w w:val="105"/>
        </w:rPr>
        <w:t>Wiggins</w:t>
      </w:r>
      <w:r>
        <w:rPr>
          <w:color w:val="231F20"/>
          <w:spacing w:val="-7"/>
          <w:w w:val="105"/>
        </w:rPr>
        <w:t> </w:t>
      </w:r>
      <w:r>
        <w:rPr>
          <w:color w:val="231F20"/>
          <w:w w:val="105"/>
        </w:rPr>
        <w:t>(1987), Nelson (1990) y Schwert (1990) demuestran que los rendimientos de los activos están correlacionados negativamente con los cambios en  la volatilidad y que están mejor diseñados para estimar los parámetros de modelos de precios de opciones en tiempo discreto (Nelson, 1991). </w:t>
      </w:r>
      <w:r>
        <w:rPr>
          <w:color w:val="231F20"/>
          <w:spacing w:val="-3"/>
          <w:w w:val="105"/>
        </w:rPr>
        <w:t>También</w:t>
      </w:r>
      <w:r>
        <w:rPr>
          <w:color w:val="231F20"/>
          <w:spacing w:val="-26"/>
          <w:w w:val="105"/>
        </w:rPr>
        <w:t> </w:t>
      </w:r>
      <w:r>
        <w:rPr>
          <w:color w:val="231F20"/>
          <w:w w:val="105"/>
        </w:rPr>
        <w:t>Nelson</w:t>
      </w:r>
      <w:r>
        <w:rPr>
          <w:color w:val="231F20"/>
          <w:spacing w:val="-26"/>
          <w:w w:val="105"/>
        </w:rPr>
        <w:t> </w:t>
      </w:r>
      <w:r>
        <w:rPr>
          <w:color w:val="231F20"/>
          <w:w w:val="105"/>
        </w:rPr>
        <w:t>y</w:t>
      </w:r>
      <w:r>
        <w:rPr>
          <w:color w:val="231F20"/>
          <w:spacing w:val="-26"/>
          <w:w w:val="105"/>
        </w:rPr>
        <w:t> </w:t>
      </w:r>
      <w:r>
        <w:rPr>
          <w:color w:val="231F20"/>
          <w:w w:val="105"/>
        </w:rPr>
        <w:t>Cao</w:t>
      </w:r>
      <w:r>
        <w:rPr>
          <w:color w:val="231F20"/>
          <w:spacing w:val="-26"/>
          <w:w w:val="105"/>
        </w:rPr>
        <w:t> </w:t>
      </w:r>
      <w:r>
        <w:rPr>
          <w:color w:val="231F20"/>
          <w:w w:val="105"/>
        </w:rPr>
        <w:t>(1992)</w:t>
      </w:r>
      <w:r>
        <w:rPr>
          <w:color w:val="231F20"/>
          <w:spacing w:val="-26"/>
          <w:w w:val="105"/>
        </w:rPr>
        <w:t> </w:t>
      </w:r>
      <w:r>
        <w:rPr>
          <w:color w:val="231F20"/>
          <w:w w:val="105"/>
        </w:rPr>
        <w:t>encuentran</w:t>
      </w:r>
      <w:r>
        <w:rPr>
          <w:color w:val="231F20"/>
          <w:spacing w:val="-26"/>
          <w:w w:val="105"/>
        </w:rPr>
        <w:t> </w:t>
      </w:r>
      <w:r>
        <w:rPr>
          <w:color w:val="231F20"/>
          <w:w w:val="105"/>
        </w:rPr>
        <w:t>que</w:t>
      </w:r>
      <w:r>
        <w:rPr>
          <w:color w:val="231F20"/>
          <w:spacing w:val="-26"/>
          <w:w w:val="105"/>
        </w:rPr>
        <w:t> </w:t>
      </w:r>
      <w:r>
        <w:rPr>
          <w:color w:val="231F20"/>
          <w:w w:val="105"/>
        </w:rPr>
        <w:t>el</w:t>
      </w:r>
      <w:r>
        <w:rPr>
          <w:color w:val="231F20"/>
          <w:spacing w:val="-26"/>
          <w:w w:val="105"/>
        </w:rPr>
        <w:t> </w:t>
      </w:r>
      <w:r>
        <w:rPr>
          <w:color w:val="231F20"/>
          <w:w w:val="105"/>
        </w:rPr>
        <w:t>modelo</w:t>
      </w:r>
      <w:r>
        <w:rPr>
          <w:color w:val="231F20"/>
          <w:spacing w:val="-26"/>
          <w:w w:val="105"/>
        </w:rPr>
        <w:t> </w:t>
      </w:r>
      <w:r>
        <w:rPr>
          <w:color w:val="231F20"/>
          <w:w w:val="105"/>
        </w:rPr>
        <w:t>GARCH</w:t>
      </w:r>
      <w:r>
        <w:rPr>
          <w:color w:val="231F20"/>
          <w:spacing w:val="-26"/>
          <w:w w:val="105"/>
        </w:rPr>
        <w:t> </w:t>
      </w:r>
      <w:r>
        <w:rPr>
          <w:color w:val="231F20"/>
          <w:w w:val="105"/>
        </w:rPr>
        <w:t>obtiene mayores</w:t>
      </w:r>
      <w:r>
        <w:rPr>
          <w:color w:val="231F20"/>
          <w:spacing w:val="-25"/>
          <w:w w:val="105"/>
        </w:rPr>
        <w:t> </w:t>
      </w:r>
      <w:r>
        <w:rPr>
          <w:color w:val="231F20"/>
          <w:w w:val="105"/>
        </w:rPr>
        <w:t>rendimientos</w:t>
      </w:r>
      <w:r>
        <w:rPr>
          <w:color w:val="231F20"/>
          <w:spacing w:val="-25"/>
          <w:w w:val="105"/>
        </w:rPr>
        <w:t> </w:t>
      </w:r>
      <w:r>
        <w:rPr>
          <w:color w:val="231F20"/>
          <w:w w:val="105"/>
        </w:rPr>
        <w:t>con</w:t>
      </w:r>
      <w:r>
        <w:rPr>
          <w:color w:val="231F20"/>
          <w:spacing w:val="-25"/>
          <w:w w:val="105"/>
        </w:rPr>
        <w:t> </w:t>
      </w:r>
      <w:r>
        <w:rPr>
          <w:color w:val="231F20"/>
          <w:w w:val="105"/>
        </w:rPr>
        <w:t>respecto</w:t>
      </w:r>
      <w:r>
        <w:rPr>
          <w:color w:val="231F20"/>
          <w:spacing w:val="-25"/>
          <w:w w:val="105"/>
        </w:rPr>
        <w:t> </w:t>
      </w:r>
      <w:r>
        <w:rPr>
          <w:color w:val="231F20"/>
          <w:w w:val="105"/>
        </w:rPr>
        <w:t>al</w:t>
      </w:r>
      <w:r>
        <w:rPr>
          <w:color w:val="231F20"/>
          <w:spacing w:val="-25"/>
          <w:w w:val="105"/>
        </w:rPr>
        <w:t> </w:t>
      </w:r>
      <w:r>
        <w:rPr>
          <w:color w:val="231F20"/>
          <w:w w:val="105"/>
        </w:rPr>
        <w:t>modelo</w:t>
      </w:r>
      <w:r>
        <w:rPr>
          <w:color w:val="231F20"/>
          <w:spacing w:val="-25"/>
          <w:w w:val="105"/>
        </w:rPr>
        <w:t> </w:t>
      </w:r>
      <w:r>
        <w:rPr>
          <w:color w:val="231F20"/>
          <w:w w:val="105"/>
        </w:rPr>
        <w:t>BS</w:t>
      </w:r>
      <w:r>
        <w:rPr>
          <w:color w:val="231F20"/>
          <w:spacing w:val="-25"/>
          <w:w w:val="105"/>
        </w:rPr>
        <w:t> </w:t>
      </w:r>
      <w:r>
        <w:rPr>
          <w:color w:val="231F20"/>
          <w:w w:val="105"/>
        </w:rPr>
        <w:t>para</w:t>
      </w:r>
      <w:r>
        <w:rPr>
          <w:color w:val="231F20"/>
          <w:spacing w:val="-25"/>
          <w:w w:val="105"/>
        </w:rPr>
        <w:t> </w:t>
      </w:r>
      <w:r>
        <w:rPr>
          <w:color w:val="231F20"/>
          <w:w w:val="105"/>
        </w:rPr>
        <w:t>opciones</w:t>
      </w:r>
      <w:r>
        <w:rPr>
          <w:color w:val="231F20"/>
          <w:spacing w:val="-25"/>
          <w:w w:val="105"/>
        </w:rPr>
        <w:t> </w:t>
      </w:r>
      <w:r>
        <w:rPr>
          <w:color w:val="231F20"/>
          <w:w w:val="105"/>
        </w:rPr>
        <w:t>sobre</w:t>
      </w:r>
      <w:r>
        <w:rPr>
          <w:color w:val="231F20"/>
          <w:spacing w:val="-25"/>
          <w:w w:val="105"/>
        </w:rPr>
        <w:t> </w:t>
      </w:r>
      <w:r>
        <w:rPr>
          <w:color w:val="231F20"/>
          <w:w w:val="105"/>
        </w:rPr>
        <w:t>el marco</w:t>
      </w:r>
      <w:r>
        <w:rPr>
          <w:color w:val="231F20"/>
          <w:spacing w:val="-14"/>
          <w:w w:val="105"/>
        </w:rPr>
        <w:t> </w:t>
      </w:r>
      <w:r>
        <w:rPr>
          <w:color w:val="231F20"/>
          <w:w w:val="105"/>
        </w:rPr>
        <w:t>alemán</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mercado</w:t>
      </w:r>
      <w:r>
        <w:rPr>
          <w:color w:val="231F20"/>
          <w:spacing w:val="-14"/>
          <w:w w:val="105"/>
        </w:rPr>
        <w:t> </w:t>
      </w:r>
      <w:r>
        <w:rPr>
          <w:color w:val="231F20"/>
          <w:w w:val="105"/>
        </w:rPr>
        <w:t>de</w:t>
      </w:r>
      <w:r>
        <w:rPr>
          <w:color w:val="231F20"/>
          <w:spacing w:val="-14"/>
          <w:w w:val="105"/>
        </w:rPr>
        <w:t> </w:t>
      </w:r>
      <w:r>
        <w:rPr>
          <w:color w:val="231F20"/>
          <w:w w:val="105"/>
        </w:rPr>
        <w:t>Chicago</w:t>
      </w:r>
      <w:r>
        <w:rPr>
          <w:color w:val="231F20"/>
          <w:spacing w:val="-14"/>
          <w:w w:val="105"/>
        </w:rPr>
        <w:t> </w:t>
      </w:r>
      <w:r>
        <w:rPr>
          <w:color w:val="231F20"/>
          <w:w w:val="105"/>
        </w:rPr>
        <w:t>durante</w:t>
      </w:r>
      <w:r>
        <w:rPr>
          <w:color w:val="231F20"/>
          <w:spacing w:val="-14"/>
          <w:w w:val="105"/>
        </w:rPr>
        <w:t> </w:t>
      </w:r>
      <w:r>
        <w:rPr>
          <w:color w:val="231F20"/>
          <w:w w:val="105"/>
        </w:rPr>
        <w:t>el</w:t>
      </w:r>
      <w:r>
        <w:rPr>
          <w:color w:val="231F20"/>
          <w:spacing w:val="-14"/>
          <w:w w:val="105"/>
        </w:rPr>
        <w:t> </w:t>
      </w:r>
      <w:r>
        <w:rPr>
          <w:color w:val="231F20"/>
          <w:w w:val="105"/>
        </w:rPr>
        <w:t>periodo</w:t>
      </w:r>
      <w:r>
        <w:rPr>
          <w:color w:val="231F20"/>
          <w:spacing w:val="-14"/>
          <w:w w:val="105"/>
        </w:rPr>
        <w:t> </w:t>
      </w:r>
      <w:r>
        <w:rPr>
          <w:color w:val="231F20"/>
          <w:w w:val="105"/>
        </w:rPr>
        <w:t>1987-1989; resultados</w:t>
      </w:r>
      <w:r>
        <w:rPr>
          <w:color w:val="231F20"/>
          <w:spacing w:val="-23"/>
          <w:w w:val="105"/>
        </w:rPr>
        <w:t> </w:t>
      </w:r>
      <w:r>
        <w:rPr>
          <w:color w:val="231F20"/>
          <w:w w:val="105"/>
        </w:rPr>
        <w:t>semejantes</w:t>
      </w:r>
      <w:r>
        <w:rPr>
          <w:color w:val="231F20"/>
          <w:spacing w:val="-23"/>
          <w:w w:val="105"/>
        </w:rPr>
        <w:t> </w:t>
      </w:r>
      <w:r>
        <w:rPr>
          <w:color w:val="231F20"/>
          <w:w w:val="105"/>
        </w:rPr>
        <w:t>obtuvieron</w:t>
      </w:r>
      <w:r>
        <w:rPr>
          <w:color w:val="231F20"/>
          <w:spacing w:val="-23"/>
          <w:w w:val="105"/>
        </w:rPr>
        <w:t> </w:t>
      </w:r>
      <w:r>
        <w:rPr>
          <w:color w:val="231F20"/>
          <w:w w:val="105"/>
        </w:rPr>
        <w:t>Myers</w:t>
      </w:r>
      <w:r>
        <w:rPr>
          <w:color w:val="231F20"/>
          <w:spacing w:val="-23"/>
          <w:w w:val="105"/>
        </w:rPr>
        <w:t> </w:t>
      </w:r>
      <w:r>
        <w:rPr>
          <w:color w:val="231F20"/>
          <w:w w:val="105"/>
        </w:rPr>
        <w:t>y</w:t>
      </w:r>
      <w:r>
        <w:rPr>
          <w:color w:val="231F20"/>
          <w:spacing w:val="-23"/>
          <w:w w:val="105"/>
        </w:rPr>
        <w:t> </w:t>
      </w:r>
      <w:r>
        <w:rPr>
          <w:color w:val="231F20"/>
          <w:w w:val="105"/>
        </w:rPr>
        <w:t>Hanson</w:t>
      </w:r>
      <w:r>
        <w:rPr>
          <w:color w:val="231F20"/>
          <w:spacing w:val="-23"/>
          <w:w w:val="105"/>
        </w:rPr>
        <w:t> </w:t>
      </w:r>
      <w:r>
        <w:rPr>
          <w:color w:val="231F20"/>
          <w:w w:val="105"/>
        </w:rPr>
        <w:t>(1993)</w:t>
      </w:r>
      <w:r>
        <w:rPr>
          <w:color w:val="231F20"/>
          <w:spacing w:val="-23"/>
          <w:w w:val="105"/>
        </w:rPr>
        <w:t> </w:t>
      </w:r>
      <w:r>
        <w:rPr>
          <w:color w:val="231F20"/>
          <w:w w:val="105"/>
        </w:rPr>
        <w:t>para</w:t>
      </w:r>
      <w:r>
        <w:rPr>
          <w:color w:val="231F20"/>
          <w:spacing w:val="-23"/>
          <w:w w:val="105"/>
        </w:rPr>
        <w:t> </w:t>
      </w:r>
      <w:r>
        <w:rPr>
          <w:color w:val="231F20"/>
          <w:w w:val="105"/>
        </w:rPr>
        <w:t>opciones sobre</w:t>
      </w:r>
      <w:r>
        <w:rPr>
          <w:color w:val="231F20"/>
          <w:spacing w:val="-18"/>
          <w:w w:val="105"/>
        </w:rPr>
        <w:t> </w:t>
      </w:r>
      <w:r>
        <w:rPr>
          <w:color w:val="231F20"/>
          <w:w w:val="105"/>
        </w:rPr>
        <w:t>futuros</w:t>
      </w:r>
      <w:r>
        <w:rPr>
          <w:color w:val="231F20"/>
          <w:spacing w:val="-18"/>
          <w:w w:val="105"/>
        </w:rPr>
        <w:t> </w:t>
      </w:r>
      <w:r>
        <w:rPr>
          <w:color w:val="231F20"/>
          <w:w w:val="105"/>
        </w:rPr>
        <w:t>de</w:t>
      </w:r>
      <w:r>
        <w:rPr>
          <w:color w:val="231F20"/>
          <w:spacing w:val="-18"/>
          <w:w w:val="105"/>
        </w:rPr>
        <w:t> </w:t>
      </w:r>
      <w:r>
        <w:rPr>
          <w:color w:val="231F20"/>
          <w:w w:val="105"/>
        </w:rPr>
        <w:t>soya</w:t>
      </w:r>
      <w:r>
        <w:rPr>
          <w:color w:val="231F20"/>
          <w:spacing w:val="-18"/>
          <w:w w:val="105"/>
        </w:rPr>
        <w:t> </w:t>
      </w:r>
      <w:r>
        <w:rPr>
          <w:color w:val="231F20"/>
          <w:w w:val="105"/>
        </w:rPr>
        <w:t>y</w:t>
      </w:r>
      <w:r>
        <w:rPr>
          <w:color w:val="231F20"/>
          <w:spacing w:val="-20"/>
          <w:w w:val="105"/>
        </w:rPr>
        <w:t> </w:t>
      </w:r>
      <w:r>
        <w:rPr>
          <w:color w:val="231F20"/>
          <w:w w:val="105"/>
        </w:rPr>
        <w:t>Amin</w:t>
      </w:r>
      <w:r>
        <w:rPr>
          <w:color w:val="231F20"/>
          <w:spacing w:val="-18"/>
          <w:w w:val="105"/>
        </w:rPr>
        <w:t> </w:t>
      </w:r>
      <w:r>
        <w:rPr>
          <w:color w:val="231F20"/>
          <w:w w:val="105"/>
        </w:rPr>
        <w:t>y</w:t>
      </w:r>
      <w:r>
        <w:rPr>
          <w:color w:val="231F20"/>
          <w:spacing w:val="-18"/>
          <w:w w:val="105"/>
        </w:rPr>
        <w:t> </w:t>
      </w:r>
      <w:r>
        <w:rPr>
          <w:color w:val="231F20"/>
          <w:w w:val="105"/>
        </w:rPr>
        <w:t>Ng</w:t>
      </w:r>
      <w:r>
        <w:rPr>
          <w:color w:val="231F20"/>
          <w:spacing w:val="-18"/>
          <w:w w:val="105"/>
        </w:rPr>
        <w:t> </w:t>
      </w:r>
      <w:r>
        <w:rPr>
          <w:color w:val="231F20"/>
          <w:w w:val="105"/>
        </w:rPr>
        <w:t>(1994)</w:t>
      </w:r>
      <w:r>
        <w:rPr>
          <w:color w:val="231F20"/>
          <w:spacing w:val="-18"/>
          <w:w w:val="105"/>
        </w:rPr>
        <w:t> </w:t>
      </w:r>
      <w:r>
        <w:rPr>
          <w:color w:val="231F20"/>
          <w:w w:val="105"/>
        </w:rPr>
        <w:t>para</w:t>
      </w:r>
      <w:r>
        <w:rPr>
          <w:color w:val="231F20"/>
          <w:spacing w:val="-18"/>
          <w:w w:val="105"/>
        </w:rPr>
        <w:t> </w:t>
      </w:r>
      <w:r>
        <w:rPr>
          <w:color w:val="231F20"/>
          <w:w w:val="105"/>
        </w:rPr>
        <w:t>opciones</w:t>
      </w:r>
      <w:r>
        <w:rPr>
          <w:color w:val="231F20"/>
          <w:spacing w:val="-18"/>
          <w:w w:val="105"/>
        </w:rPr>
        <w:t> </w:t>
      </w:r>
      <w:r>
        <w:rPr>
          <w:color w:val="231F20"/>
          <w:w w:val="105"/>
        </w:rPr>
        <w:t>sobre</w:t>
      </w:r>
      <w:r>
        <w:rPr>
          <w:color w:val="231F20"/>
          <w:spacing w:val="-18"/>
          <w:w w:val="105"/>
        </w:rPr>
        <w:t> </w:t>
      </w:r>
      <w:r>
        <w:rPr>
          <w:color w:val="231F20"/>
          <w:w w:val="105"/>
        </w:rPr>
        <w:t>acciones. En general los modelos GARCH muestran mejores predicciones en</w:t>
      </w:r>
      <w:r>
        <w:rPr>
          <w:color w:val="231F20"/>
          <w:spacing w:val="-21"/>
          <w:w w:val="105"/>
        </w:rPr>
        <w:t> </w:t>
      </w:r>
      <w:r>
        <w:rPr>
          <w:color w:val="231F20"/>
          <w:w w:val="105"/>
        </w:rPr>
        <w:t>los precios</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opciones</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modelo</w:t>
      </w:r>
      <w:r>
        <w:rPr>
          <w:color w:val="231F20"/>
          <w:spacing w:val="-16"/>
          <w:w w:val="105"/>
        </w:rPr>
        <w:t> </w:t>
      </w:r>
      <w:r>
        <w:rPr>
          <w:color w:val="231F20"/>
          <w:w w:val="105"/>
        </w:rPr>
        <w:t>BS,</w:t>
      </w:r>
      <w:r>
        <w:rPr>
          <w:color w:val="231F20"/>
          <w:spacing w:val="-22"/>
          <w:w w:val="105"/>
        </w:rPr>
        <w:t> </w:t>
      </w:r>
      <w:r>
        <w:rPr>
          <w:color w:val="231F20"/>
          <w:w w:val="105"/>
        </w:rPr>
        <w:t>pero</w:t>
      </w:r>
      <w:r>
        <w:rPr>
          <w:color w:val="231F20"/>
          <w:spacing w:val="-16"/>
          <w:w w:val="105"/>
        </w:rPr>
        <w:t> </w:t>
      </w:r>
      <w:r>
        <w:rPr>
          <w:color w:val="231F20"/>
          <w:w w:val="105"/>
        </w:rPr>
        <w:t>para</w:t>
      </w:r>
      <w:r>
        <w:rPr>
          <w:color w:val="231F20"/>
          <w:spacing w:val="-16"/>
          <w:w w:val="105"/>
        </w:rPr>
        <w:t> </w:t>
      </w:r>
      <w:r>
        <w:rPr>
          <w:color w:val="231F20"/>
          <w:w w:val="105"/>
        </w:rPr>
        <w:t>tiempo</w:t>
      </w:r>
      <w:r>
        <w:rPr>
          <w:color w:val="231F20"/>
          <w:spacing w:val="-16"/>
          <w:w w:val="105"/>
        </w:rPr>
        <w:t> </w:t>
      </w:r>
      <w:r>
        <w:rPr>
          <w:color w:val="231F20"/>
          <w:w w:val="105"/>
        </w:rPr>
        <w:t>continuo</w:t>
      </w:r>
      <w:r>
        <w:rPr>
          <w:color w:val="231F20"/>
          <w:spacing w:val="-16"/>
          <w:w w:val="105"/>
        </w:rPr>
        <w:t> </w:t>
      </w:r>
      <w:r>
        <w:rPr>
          <w:color w:val="231F20"/>
          <w:w w:val="105"/>
        </w:rPr>
        <w:t>no son</w:t>
      </w:r>
      <w:r>
        <w:rPr>
          <w:color w:val="231F20"/>
          <w:spacing w:val="-30"/>
          <w:w w:val="105"/>
        </w:rPr>
        <w:t> </w:t>
      </w:r>
      <w:r>
        <w:rPr>
          <w:color w:val="231F20"/>
          <w:w w:val="105"/>
        </w:rPr>
        <w:t>tan</w:t>
      </w:r>
      <w:r>
        <w:rPr>
          <w:color w:val="231F20"/>
          <w:spacing w:val="-30"/>
          <w:w w:val="105"/>
        </w:rPr>
        <w:t> </w:t>
      </w:r>
      <w:r>
        <w:rPr>
          <w:color w:val="231F20"/>
          <w:w w:val="105"/>
        </w:rPr>
        <w:t>eficientes.</w:t>
      </w:r>
    </w:p>
    <w:p>
      <w:pPr>
        <w:pStyle w:val="BodyText"/>
        <w:spacing w:line="259" w:lineRule="auto"/>
        <w:ind w:left="117" w:right="115" w:firstLine="567"/>
        <w:jc w:val="both"/>
      </w:pPr>
      <w:r>
        <w:rPr>
          <w:color w:val="231F20"/>
          <w:w w:val="105"/>
        </w:rPr>
        <w:t>Otra técnica para estimar los parámetros de los precios de las opciones con volatilidad estocástica es el método generalizado de mo- mentos propuesto por Hansen (1982) (GMM, por sus siglas en inglés); calculando</w:t>
      </w:r>
      <w:r>
        <w:rPr>
          <w:color w:val="231F20"/>
          <w:spacing w:val="-13"/>
          <w:w w:val="105"/>
        </w:rPr>
        <w:t> </w:t>
      </w:r>
      <w:r>
        <w:rPr>
          <w:color w:val="231F20"/>
          <w:w w:val="105"/>
        </w:rPr>
        <w:t>los</w:t>
      </w:r>
      <w:r>
        <w:rPr>
          <w:color w:val="231F20"/>
          <w:spacing w:val="-13"/>
          <w:w w:val="105"/>
        </w:rPr>
        <w:t> </w:t>
      </w:r>
      <w:r>
        <w:rPr>
          <w:color w:val="231F20"/>
          <w:w w:val="105"/>
        </w:rPr>
        <w:t>errores</w:t>
      </w:r>
      <w:r>
        <w:rPr>
          <w:color w:val="231F20"/>
          <w:spacing w:val="-13"/>
          <w:w w:val="105"/>
        </w:rPr>
        <w:t> </w:t>
      </w:r>
      <w:r>
        <w:rPr>
          <w:color w:val="231F20"/>
          <w:w w:val="105"/>
        </w:rPr>
        <w:t>estándar</w:t>
      </w:r>
      <w:r>
        <w:rPr>
          <w:color w:val="231F20"/>
          <w:spacing w:val="-13"/>
          <w:w w:val="105"/>
        </w:rPr>
        <w:t> </w:t>
      </w:r>
      <w:r>
        <w:rPr>
          <w:color w:val="231F20"/>
          <w:w w:val="105"/>
        </w:rPr>
        <w:t>bastante</w:t>
      </w:r>
      <w:r>
        <w:rPr>
          <w:color w:val="231F20"/>
          <w:spacing w:val="-13"/>
          <w:w w:val="105"/>
        </w:rPr>
        <w:t> </w:t>
      </w:r>
      <w:r>
        <w:rPr>
          <w:color w:val="231F20"/>
          <w:w w:val="105"/>
        </w:rPr>
        <w:t>pequeños</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estimaciones de</w:t>
      </w:r>
      <w:r>
        <w:rPr>
          <w:color w:val="231F20"/>
          <w:spacing w:val="-23"/>
          <w:w w:val="105"/>
        </w:rPr>
        <w:t> </w:t>
      </w:r>
      <w:r>
        <w:rPr>
          <w:color w:val="231F20"/>
          <w:w w:val="105"/>
        </w:rPr>
        <w:t>los</w:t>
      </w:r>
      <w:r>
        <w:rPr>
          <w:color w:val="231F20"/>
          <w:spacing w:val="-23"/>
          <w:w w:val="105"/>
        </w:rPr>
        <w:t> </w:t>
      </w:r>
      <w:r>
        <w:rPr>
          <w:color w:val="231F20"/>
          <w:w w:val="105"/>
        </w:rPr>
        <w:t>parámetros</w:t>
      </w:r>
      <w:r>
        <w:rPr>
          <w:color w:val="231F20"/>
          <w:spacing w:val="-23"/>
          <w:w w:val="105"/>
        </w:rPr>
        <w:t> </w:t>
      </w:r>
      <w:r>
        <w:rPr>
          <w:color w:val="231F20"/>
          <w:spacing w:val="-3"/>
          <w:w w:val="105"/>
        </w:rPr>
        <w:t>(Taylor</w:t>
      </w:r>
      <w:r>
        <w:rPr>
          <w:color w:val="231F20"/>
          <w:spacing w:val="-23"/>
          <w:w w:val="105"/>
        </w:rPr>
        <w:t> </w:t>
      </w:r>
      <w:r>
        <w:rPr>
          <w:color w:val="231F20"/>
          <w:w w:val="105"/>
        </w:rPr>
        <w:t>y</w:t>
      </w:r>
      <w:r>
        <w:rPr>
          <w:color w:val="231F20"/>
          <w:spacing w:val="-26"/>
          <w:w w:val="105"/>
        </w:rPr>
        <w:t> </w:t>
      </w:r>
      <w:r>
        <w:rPr>
          <w:color w:val="231F20"/>
          <w:w w:val="105"/>
        </w:rPr>
        <w:t>Xu,</w:t>
      </w:r>
      <w:r>
        <w:rPr>
          <w:color w:val="231F20"/>
          <w:spacing w:val="-29"/>
          <w:w w:val="105"/>
        </w:rPr>
        <w:t> </w:t>
      </w:r>
      <w:r>
        <w:rPr>
          <w:color w:val="231F20"/>
          <w:w w:val="105"/>
        </w:rPr>
        <w:t>1994;</w:t>
      </w:r>
      <w:r>
        <w:rPr>
          <w:color w:val="231F20"/>
          <w:spacing w:val="-23"/>
          <w:w w:val="105"/>
        </w:rPr>
        <w:t> </w:t>
      </w:r>
      <w:r>
        <w:rPr>
          <w:color w:val="231F20"/>
          <w:w w:val="105"/>
        </w:rPr>
        <w:t>Fleming,</w:t>
      </w:r>
      <w:r>
        <w:rPr>
          <w:color w:val="231F20"/>
          <w:spacing w:val="-29"/>
          <w:w w:val="105"/>
        </w:rPr>
        <w:t> </w:t>
      </w:r>
      <w:r>
        <w:rPr>
          <w:color w:val="231F20"/>
          <w:w w:val="105"/>
        </w:rPr>
        <w:t>1994).</w:t>
      </w:r>
      <w:r>
        <w:rPr>
          <w:color w:val="231F20"/>
          <w:spacing w:val="-30"/>
          <w:w w:val="105"/>
        </w:rPr>
        <w:t> </w:t>
      </w:r>
      <w:r>
        <w:rPr>
          <w:color w:val="231F20"/>
          <w:w w:val="105"/>
        </w:rPr>
        <w:t>Wiggins</w:t>
      </w:r>
      <w:r>
        <w:rPr>
          <w:color w:val="231F20"/>
          <w:spacing w:val="-23"/>
          <w:w w:val="105"/>
        </w:rPr>
        <w:t> </w:t>
      </w:r>
      <w:r>
        <w:rPr>
          <w:color w:val="231F20"/>
          <w:w w:val="105"/>
        </w:rPr>
        <w:t>(1987)</w:t>
      </w:r>
      <w:r>
        <w:rPr>
          <w:color w:val="231F20"/>
          <w:spacing w:val="-23"/>
          <w:w w:val="105"/>
        </w:rPr>
        <w:t> </w:t>
      </w:r>
      <w:r>
        <w:rPr>
          <w:color w:val="231F20"/>
          <w:w w:val="105"/>
        </w:rPr>
        <w:t>en- cuentra resultados bastantes sensibles para muestras de 2, 4 u 8 días. Scott</w:t>
      </w:r>
      <w:r>
        <w:rPr>
          <w:color w:val="231F20"/>
          <w:spacing w:val="-15"/>
          <w:w w:val="105"/>
        </w:rPr>
        <w:t> </w:t>
      </w:r>
      <w:r>
        <w:rPr>
          <w:color w:val="231F20"/>
          <w:w w:val="105"/>
        </w:rPr>
        <w:t>(1987),</w:t>
      </w:r>
      <w:r>
        <w:rPr>
          <w:color w:val="231F20"/>
          <w:spacing w:val="-19"/>
          <w:w w:val="105"/>
        </w:rPr>
        <w:t> </w:t>
      </w:r>
      <w:r>
        <w:rPr>
          <w:color w:val="231F20"/>
          <w:w w:val="105"/>
        </w:rPr>
        <w:t>Chesney</w:t>
      </w:r>
      <w:r>
        <w:rPr>
          <w:color w:val="231F20"/>
          <w:spacing w:val="-15"/>
          <w:w w:val="105"/>
        </w:rPr>
        <w:t> </w:t>
      </w:r>
      <w:r>
        <w:rPr>
          <w:color w:val="231F20"/>
          <w:w w:val="105"/>
        </w:rPr>
        <w:t>y</w:t>
      </w:r>
      <w:r>
        <w:rPr>
          <w:color w:val="231F20"/>
          <w:spacing w:val="-15"/>
          <w:w w:val="105"/>
        </w:rPr>
        <w:t> </w:t>
      </w:r>
      <w:r>
        <w:rPr>
          <w:color w:val="231F20"/>
          <w:w w:val="105"/>
        </w:rPr>
        <w:t>Scott</w:t>
      </w:r>
      <w:r>
        <w:rPr>
          <w:color w:val="231F20"/>
          <w:spacing w:val="-15"/>
          <w:w w:val="105"/>
        </w:rPr>
        <w:t> </w:t>
      </w:r>
      <w:r>
        <w:rPr>
          <w:color w:val="231F20"/>
          <w:w w:val="105"/>
        </w:rPr>
        <w:t>(1989)</w:t>
      </w:r>
      <w:r>
        <w:rPr>
          <w:color w:val="231F20"/>
          <w:spacing w:val="-15"/>
          <w:w w:val="105"/>
        </w:rPr>
        <w:t> </w:t>
      </w:r>
      <w:r>
        <w:rPr>
          <w:color w:val="231F20"/>
          <w:w w:val="105"/>
        </w:rPr>
        <w:t>y</w:t>
      </w:r>
      <w:r>
        <w:rPr>
          <w:color w:val="231F20"/>
          <w:spacing w:val="-18"/>
          <w:w w:val="105"/>
        </w:rPr>
        <w:t> </w:t>
      </w:r>
      <w:r>
        <w:rPr>
          <w:color w:val="231F20"/>
          <w:w w:val="105"/>
        </w:rPr>
        <w:t>Aït-Sahalia</w:t>
      </w:r>
      <w:r>
        <w:rPr>
          <w:color w:val="231F20"/>
          <w:spacing w:val="-15"/>
          <w:w w:val="105"/>
        </w:rPr>
        <w:t> </w:t>
      </w:r>
      <w:r>
        <w:rPr>
          <w:color w:val="231F20"/>
          <w:w w:val="105"/>
        </w:rPr>
        <w:t>y</w:t>
      </w:r>
      <w:r>
        <w:rPr>
          <w:color w:val="231F20"/>
          <w:spacing w:val="-15"/>
          <w:w w:val="105"/>
        </w:rPr>
        <w:t> </w:t>
      </w:r>
      <w:r>
        <w:rPr>
          <w:color w:val="231F20"/>
          <w:w w:val="105"/>
        </w:rPr>
        <w:t>Kimmel</w:t>
      </w:r>
      <w:r>
        <w:rPr>
          <w:color w:val="231F20"/>
          <w:spacing w:val="-15"/>
          <w:w w:val="105"/>
        </w:rPr>
        <w:t> </w:t>
      </w:r>
      <w:r>
        <w:rPr>
          <w:color w:val="231F20"/>
          <w:w w:val="105"/>
        </w:rPr>
        <w:t>(2007)</w:t>
      </w:r>
      <w:r>
        <w:rPr>
          <w:color w:val="231F20"/>
          <w:spacing w:val="-15"/>
          <w:w w:val="105"/>
        </w:rPr>
        <w:t> </w:t>
      </w:r>
      <w:r>
        <w:rPr>
          <w:color w:val="231F20"/>
          <w:w w:val="105"/>
        </w:rPr>
        <w:t>indi- can</w:t>
      </w:r>
      <w:r>
        <w:rPr>
          <w:color w:val="231F20"/>
          <w:spacing w:val="-13"/>
          <w:w w:val="105"/>
        </w:rPr>
        <w:t> </w:t>
      </w:r>
      <w:r>
        <w:rPr>
          <w:color w:val="231F20"/>
          <w:w w:val="105"/>
        </w:rPr>
        <w:t>una</w:t>
      </w:r>
      <w:r>
        <w:rPr>
          <w:color w:val="231F20"/>
          <w:spacing w:val="-13"/>
          <w:w w:val="105"/>
        </w:rPr>
        <w:t> </w:t>
      </w:r>
      <w:r>
        <w:rPr>
          <w:color w:val="231F20"/>
          <w:w w:val="105"/>
        </w:rPr>
        <w:t>considerable</w:t>
      </w:r>
      <w:r>
        <w:rPr>
          <w:color w:val="231F20"/>
          <w:spacing w:val="-13"/>
          <w:w w:val="105"/>
        </w:rPr>
        <w:t> </w:t>
      </w:r>
      <w:r>
        <w:rPr>
          <w:color w:val="231F20"/>
          <w:w w:val="105"/>
        </w:rPr>
        <w:t>imprecisión</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momento</w:t>
      </w:r>
      <w:r>
        <w:rPr>
          <w:color w:val="231F20"/>
          <w:spacing w:val="-13"/>
          <w:w w:val="105"/>
        </w:rPr>
        <w:t> </w:t>
      </w:r>
      <w:r>
        <w:rPr>
          <w:color w:val="231F20"/>
          <w:w w:val="105"/>
        </w:rPr>
        <w:t>de</w:t>
      </w:r>
      <w:r>
        <w:rPr>
          <w:color w:val="231F20"/>
          <w:spacing w:val="-13"/>
          <w:w w:val="105"/>
        </w:rPr>
        <w:t> </w:t>
      </w:r>
      <w:r>
        <w:rPr>
          <w:color w:val="231F20"/>
          <w:w w:val="105"/>
        </w:rPr>
        <w:t>calcular</w:t>
      </w:r>
      <w:r>
        <w:rPr>
          <w:color w:val="231F20"/>
          <w:spacing w:val="-13"/>
          <w:w w:val="105"/>
        </w:rPr>
        <w:t> </w:t>
      </w:r>
      <w:r>
        <w:rPr>
          <w:color w:val="231F20"/>
          <w:w w:val="105"/>
        </w:rPr>
        <w:t>los</w:t>
      </w:r>
      <w:r>
        <w:rPr>
          <w:color w:val="231F20"/>
          <w:spacing w:val="-13"/>
          <w:w w:val="105"/>
        </w:rPr>
        <w:t> </w:t>
      </w:r>
      <w:r>
        <w:rPr>
          <w:color w:val="231F20"/>
          <w:w w:val="105"/>
        </w:rPr>
        <w:t>precios con</w:t>
      </w:r>
      <w:r>
        <w:rPr>
          <w:color w:val="231F20"/>
          <w:spacing w:val="-11"/>
          <w:w w:val="105"/>
        </w:rPr>
        <w:t> </w:t>
      </w:r>
      <w:r>
        <w:rPr>
          <w:color w:val="231F20"/>
          <w:w w:val="105"/>
        </w:rPr>
        <w:t>los</w:t>
      </w:r>
      <w:r>
        <w:rPr>
          <w:color w:val="231F20"/>
          <w:spacing w:val="-11"/>
          <w:w w:val="105"/>
        </w:rPr>
        <w:t> </w:t>
      </w:r>
      <w:r>
        <w:rPr>
          <w:color w:val="231F20"/>
          <w:w w:val="105"/>
        </w:rPr>
        <w:t>parámetros</w:t>
      </w:r>
      <w:r>
        <w:rPr>
          <w:color w:val="231F20"/>
          <w:spacing w:val="-11"/>
          <w:w w:val="105"/>
        </w:rPr>
        <w:t> </w:t>
      </w:r>
      <w:r>
        <w:rPr>
          <w:color w:val="231F20"/>
          <w:w w:val="105"/>
        </w:rPr>
        <w:t>estimados</w:t>
      </w:r>
      <w:r>
        <w:rPr>
          <w:color w:val="231F20"/>
          <w:spacing w:val="-11"/>
          <w:w w:val="105"/>
        </w:rPr>
        <w:t> </w:t>
      </w:r>
      <w:r>
        <w:rPr>
          <w:color w:val="231F20"/>
          <w:spacing w:val="-3"/>
          <w:w w:val="105"/>
        </w:rPr>
        <w:t>(Eraker,</w:t>
      </w:r>
      <w:r>
        <w:rPr>
          <w:color w:val="231F20"/>
          <w:spacing w:val="-16"/>
          <w:w w:val="105"/>
        </w:rPr>
        <w:t> </w:t>
      </w:r>
      <w:r>
        <w:rPr>
          <w:color w:val="231F20"/>
          <w:w w:val="105"/>
        </w:rPr>
        <w:t>2001;</w:t>
      </w:r>
      <w:r>
        <w:rPr>
          <w:color w:val="231F20"/>
          <w:spacing w:val="-13"/>
          <w:w w:val="105"/>
        </w:rPr>
        <w:t> </w:t>
      </w:r>
      <w:r>
        <w:rPr>
          <w:color w:val="231F20"/>
          <w:w w:val="105"/>
        </w:rPr>
        <w:t>Jacquier</w:t>
      </w:r>
      <w:r>
        <w:rPr>
          <w:color w:val="231F20"/>
          <w:spacing w:val="-11"/>
          <w:w w:val="105"/>
        </w:rPr>
        <w:t> </w:t>
      </w:r>
      <w:r>
        <w:rPr>
          <w:i/>
          <w:color w:val="231F20"/>
          <w:w w:val="105"/>
        </w:rPr>
        <w:t>et</w:t>
      </w:r>
      <w:r>
        <w:rPr>
          <w:i/>
          <w:color w:val="231F20"/>
          <w:spacing w:val="-11"/>
          <w:w w:val="105"/>
        </w:rPr>
        <w:t> </w:t>
      </w:r>
      <w:r>
        <w:rPr>
          <w:i/>
          <w:color w:val="231F20"/>
          <w:w w:val="105"/>
        </w:rPr>
        <w:t>al</w:t>
      </w:r>
      <w:r>
        <w:rPr>
          <w:color w:val="231F20"/>
          <w:w w:val="105"/>
        </w:rPr>
        <w:t>.,</w:t>
      </w:r>
      <w:r>
        <w:rPr>
          <w:color w:val="231F20"/>
          <w:spacing w:val="-16"/>
          <w:w w:val="105"/>
        </w:rPr>
        <w:t> </w:t>
      </w:r>
      <w:r>
        <w:rPr>
          <w:color w:val="231F20"/>
          <w:w w:val="105"/>
        </w:rPr>
        <w:t>2004).</w:t>
      </w:r>
      <w:r>
        <w:rPr>
          <w:color w:val="231F20"/>
          <w:spacing w:val="-16"/>
          <w:w w:val="105"/>
        </w:rPr>
        <w:t> </w:t>
      </w:r>
      <w:r>
        <w:rPr>
          <w:color w:val="231F20"/>
          <w:w w:val="105"/>
        </w:rPr>
        <w:t>Más tarde,</w:t>
      </w:r>
      <w:r>
        <w:rPr>
          <w:color w:val="231F20"/>
          <w:spacing w:val="-16"/>
          <w:w w:val="105"/>
        </w:rPr>
        <w:t> </w:t>
      </w:r>
      <w:r>
        <w:rPr>
          <w:color w:val="231F20"/>
          <w:w w:val="105"/>
        </w:rPr>
        <w:t>Melino</w:t>
      </w:r>
      <w:r>
        <w:rPr>
          <w:color w:val="231F20"/>
          <w:spacing w:val="-10"/>
          <w:w w:val="105"/>
        </w:rPr>
        <w:t> </w:t>
      </w:r>
      <w:r>
        <w:rPr>
          <w:color w:val="231F20"/>
          <w:w w:val="105"/>
        </w:rPr>
        <w:t>y</w:t>
      </w:r>
      <w:r>
        <w:rPr>
          <w:color w:val="231F20"/>
          <w:spacing w:val="-15"/>
          <w:w w:val="105"/>
        </w:rPr>
        <w:t> </w:t>
      </w:r>
      <w:r>
        <w:rPr>
          <w:color w:val="231F20"/>
          <w:spacing w:val="-3"/>
          <w:w w:val="105"/>
        </w:rPr>
        <w:t>Turnbull</w:t>
      </w:r>
      <w:r>
        <w:rPr>
          <w:color w:val="231F20"/>
          <w:spacing w:val="-10"/>
          <w:w w:val="105"/>
        </w:rPr>
        <w:t> </w:t>
      </w:r>
      <w:r>
        <w:rPr>
          <w:color w:val="231F20"/>
          <w:w w:val="105"/>
        </w:rPr>
        <w:t>(1990)</w:t>
      </w:r>
      <w:r>
        <w:rPr>
          <w:color w:val="231F20"/>
          <w:spacing w:val="-10"/>
          <w:w w:val="105"/>
        </w:rPr>
        <w:t> </w:t>
      </w:r>
      <w:r>
        <w:rPr>
          <w:color w:val="231F20"/>
          <w:w w:val="105"/>
        </w:rPr>
        <w:t>encontraron</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modelo</w:t>
      </w:r>
      <w:r>
        <w:rPr>
          <w:color w:val="231F20"/>
          <w:spacing w:val="-10"/>
          <w:w w:val="105"/>
        </w:rPr>
        <w:t> </w:t>
      </w:r>
      <w:r>
        <w:rPr>
          <w:color w:val="231F20"/>
          <w:w w:val="105"/>
        </w:rPr>
        <w:t>de</w:t>
      </w:r>
      <w:r>
        <w:rPr>
          <w:color w:val="231F20"/>
          <w:spacing w:val="-10"/>
          <w:w w:val="105"/>
        </w:rPr>
        <w:t> </w:t>
      </w:r>
      <w:r>
        <w:rPr>
          <w:color w:val="231F20"/>
          <w:w w:val="105"/>
        </w:rPr>
        <w:t>volatilidad estocástica redujo el error en la predicción de los precios del dólar ca- nadiense</w:t>
      </w:r>
      <w:r>
        <w:rPr>
          <w:color w:val="231F20"/>
          <w:spacing w:val="-8"/>
          <w:w w:val="105"/>
        </w:rPr>
        <w:t> </w:t>
      </w:r>
      <w:r>
        <w:rPr>
          <w:color w:val="231F20"/>
          <w:w w:val="105"/>
        </w:rPr>
        <w:t>durante</w:t>
      </w:r>
      <w:r>
        <w:rPr>
          <w:color w:val="231F20"/>
          <w:spacing w:val="-8"/>
          <w:w w:val="105"/>
        </w:rPr>
        <w:t> </w:t>
      </w:r>
      <w:r>
        <w:rPr>
          <w:color w:val="231F20"/>
          <w:w w:val="105"/>
        </w:rPr>
        <w:t>1983-1985,</w:t>
      </w:r>
      <w:r>
        <w:rPr>
          <w:color w:val="231F20"/>
          <w:spacing w:val="-13"/>
          <w:w w:val="105"/>
        </w:rPr>
        <w:t> </w:t>
      </w:r>
      <w:r>
        <w:rPr>
          <w:color w:val="231F20"/>
          <w:w w:val="105"/>
        </w:rPr>
        <w:t>en</w:t>
      </w:r>
      <w:r>
        <w:rPr>
          <w:color w:val="231F20"/>
          <w:spacing w:val="-8"/>
          <w:w w:val="105"/>
        </w:rPr>
        <w:t> </w:t>
      </w:r>
      <w:r>
        <w:rPr>
          <w:color w:val="231F20"/>
          <w:w w:val="105"/>
        </w:rPr>
        <w:t>relación</w:t>
      </w:r>
      <w:r>
        <w:rPr>
          <w:color w:val="231F20"/>
          <w:spacing w:val="-8"/>
          <w:w w:val="105"/>
        </w:rPr>
        <w:t> </w:t>
      </w:r>
      <w:r>
        <w:rPr>
          <w:color w:val="231F20"/>
          <w:w w:val="105"/>
        </w:rPr>
        <w:t>al</w:t>
      </w:r>
      <w:r>
        <w:rPr>
          <w:color w:val="231F20"/>
          <w:spacing w:val="-8"/>
          <w:w w:val="105"/>
        </w:rPr>
        <w:t> </w:t>
      </w:r>
      <w:r>
        <w:rPr>
          <w:color w:val="231F20"/>
          <w:w w:val="105"/>
        </w:rPr>
        <w:t>modelo</w:t>
      </w:r>
      <w:r>
        <w:rPr>
          <w:color w:val="231F20"/>
          <w:spacing w:val="-8"/>
          <w:w w:val="105"/>
        </w:rPr>
        <w:t> </w:t>
      </w:r>
      <w:r>
        <w:rPr>
          <w:color w:val="231F20"/>
          <w:w w:val="105"/>
        </w:rPr>
        <w:t>BS.</w:t>
      </w:r>
      <w:r>
        <w:rPr>
          <w:color w:val="231F20"/>
          <w:spacing w:val="-13"/>
          <w:w w:val="105"/>
        </w:rPr>
        <w:t> </w:t>
      </w:r>
      <w:r>
        <w:rPr>
          <w:color w:val="231F20"/>
          <w:w w:val="105"/>
        </w:rPr>
        <w:t>La</w:t>
      </w:r>
      <w:r>
        <w:rPr>
          <w:color w:val="231F20"/>
          <w:spacing w:val="-8"/>
          <w:w w:val="105"/>
        </w:rPr>
        <w:t> </w:t>
      </w:r>
      <w:r>
        <w:rPr>
          <w:color w:val="231F20"/>
          <w:w w:val="105"/>
        </w:rPr>
        <w:t>mayor</w:t>
      </w:r>
      <w:r>
        <w:rPr>
          <w:color w:val="231F20"/>
          <w:spacing w:val="-8"/>
          <w:w w:val="105"/>
        </w:rPr>
        <w:t> </w:t>
      </w:r>
      <w:r>
        <w:rPr>
          <w:color w:val="231F20"/>
          <w:w w:val="105"/>
        </w:rPr>
        <w:t>parte de</w:t>
      </w:r>
      <w:r>
        <w:rPr>
          <w:color w:val="231F20"/>
          <w:spacing w:val="-12"/>
          <w:w w:val="105"/>
        </w:rPr>
        <w:t> </w:t>
      </w:r>
      <w:r>
        <w:rPr>
          <w:color w:val="231F20"/>
          <w:w w:val="105"/>
        </w:rPr>
        <w:t>la</w:t>
      </w:r>
      <w:r>
        <w:rPr>
          <w:color w:val="231F20"/>
          <w:spacing w:val="-12"/>
          <w:w w:val="105"/>
        </w:rPr>
        <w:t> </w:t>
      </w:r>
      <w:r>
        <w:rPr>
          <w:color w:val="231F20"/>
          <w:w w:val="105"/>
        </w:rPr>
        <w:t>mejora</w:t>
      </w:r>
      <w:r>
        <w:rPr>
          <w:color w:val="231F20"/>
          <w:spacing w:val="-12"/>
          <w:w w:val="105"/>
        </w:rPr>
        <w:t> </w:t>
      </w:r>
      <w:r>
        <w:rPr>
          <w:color w:val="231F20"/>
          <w:w w:val="105"/>
        </w:rPr>
        <w:t>la</w:t>
      </w:r>
      <w:r>
        <w:rPr>
          <w:color w:val="231F20"/>
          <w:spacing w:val="-12"/>
          <w:w w:val="105"/>
        </w:rPr>
        <w:t> </w:t>
      </w:r>
      <w:r>
        <w:rPr>
          <w:color w:val="231F20"/>
          <w:w w:val="105"/>
        </w:rPr>
        <w:t>atribuyen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estimación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parámetros</w:t>
      </w:r>
      <w:r>
        <w:rPr>
          <w:color w:val="231F20"/>
          <w:spacing w:val="-12"/>
          <w:w w:val="105"/>
        </w:rPr>
        <w:t> </w:t>
      </w:r>
      <w:r>
        <w:rPr>
          <w:color w:val="231F20"/>
          <w:w w:val="105"/>
        </w:rPr>
        <w:t>del</w:t>
      </w:r>
      <w:r>
        <w:rPr>
          <w:color w:val="231F20"/>
          <w:spacing w:val="-12"/>
          <w:w w:val="105"/>
        </w:rPr>
        <w:t> </w:t>
      </w:r>
      <w:r>
        <w:rPr>
          <w:color w:val="231F20"/>
          <w:w w:val="105"/>
        </w:rPr>
        <w:t>modelo.</w:t>
      </w:r>
    </w:p>
    <w:p>
      <w:pPr>
        <w:pStyle w:val="BodyText"/>
        <w:spacing w:line="259" w:lineRule="auto"/>
        <w:ind w:left="117" w:right="121" w:firstLine="567"/>
        <w:jc w:val="both"/>
      </w:pPr>
      <w:r>
        <w:rPr>
          <w:color w:val="231F20"/>
          <w:w w:val="105"/>
        </w:rPr>
        <w:t>En</w:t>
      </w:r>
      <w:r>
        <w:rPr>
          <w:color w:val="231F20"/>
          <w:spacing w:val="-15"/>
          <w:w w:val="105"/>
        </w:rPr>
        <w:t> </w:t>
      </w:r>
      <w:r>
        <w:rPr>
          <w:color w:val="231F20"/>
          <w:w w:val="105"/>
        </w:rPr>
        <w:t>esta</w:t>
      </w:r>
      <w:r>
        <w:rPr>
          <w:color w:val="231F20"/>
          <w:spacing w:val="-15"/>
          <w:w w:val="105"/>
        </w:rPr>
        <w:t> </w:t>
      </w:r>
      <w:r>
        <w:rPr>
          <w:color w:val="231F20"/>
          <w:w w:val="105"/>
        </w:rPr>
        <w:t>dinámica</w:t>
      </w:r>
      <w:r>
        <w:rPr>
          <w:color w:val="231F20"/>
          <w:spacing w:val="-15"/>
          <w:w w:val="105"/>
        </w:rPr>
        <w:t> </w:t>
      </w:r>
      <w:r>
        <w:rPr>
          <w:color w:val="231F20"/>
          <w:w w:val="105"/>
        </w:rPr>
        <w:t>también</w:t>
      </w:r>
      <w:r>
        <w:rPr>
          <w:color w:val="231F20"/>
          <w:spacing w:val="-15"/>
          <w:w w:val="105"/>
        </w:rPr>
        <w:t> </w:t>
      </w:r>
      <w:r>
        <w:rPr>
          <w:color w:val="231F20"/>
          <w:w w:val="105"/>
        </w:rPr>
        <w:t>existen</w:t>
      </w:r>
      <w:r>
        <w:rPr>
          <w:color w:val="231F20"/>
          <w:spacing w:val="-15"/>
          <w:w w:val="105"/>
        </w:rPr>
        <w:t> </w:t>
      </w:r>
      <w:r>
        <w:rPr>
          <w:color w:val="231F20"/>
          <w:w w:val="105"/>
        </w:rPr>
        <w:t>métodos</w:t>
      </w:r>
      <w:r>
        <w:rPr>
          <w:color w:val="231F20"/>
          <w:spacing w:val="-15"/>
          <w:w w:val="105"/>
        </w:rPr>
        <w:t> </w:t>
      </w:r>
      <w:r>
        <w:rPr>
          <w:color w:val="231F20"/>
          <w:w w:val="105"/>
        </w:rPr>
        <w:t>multivariantes</w:t>
      </w:r>
      <w:r>
        <w:rPr>
          <w:color w:val="231F20"/>
          <w:spacing w:val="-15"/>
          <w:w w:val="105"/>
        </w:rPr>
        <w:t> </w:t>
      </w:r>
      <w:r>
        <w:rPr>
          <w:color w:val="231F20"/>
          <w:w w:val="105"/>
        </w:rPr>
        <w:t>como</w:t>
      </w:r>
      <w:r>
        <w:rPr>
          <w:color w:val="231F20"/>
          <w:spacing w:val="-15"/>
          <w:w w:val="105"/>
        </w:rPr>
        <w:t> </w:t>
      </w:r>
      <w:r>
        <w:rPr>
          <w:color w:val="231F20"/>
          <w:w w:val="105"/>
        </w:rPr>
        <w:t>el de</w:t>
      </w:r>
      <w:r>
        <w:rPr>
          <w:color w:val="231F20"/>
          <w:spacing w:val="-11"/>
          <w:w w:val="105"/>
        </w:rPr>
        <w:t> </w:t>
      </w:r>
      <w:r>
        <w:rPr>
          <w:color w:val="231F20"/>
          <w:w w:val="105"/>
        </w:rPr>
        <w:t>Nelder-Mead</w:t>
      </w:r>
      <w:r>
        <w:rPr>
          <w:color w:val="231F20"/>
          <w:spacing w:val="-11"/>
          <w:w w:val="105"/>
        </w:rPr>
        <w:t> </w:t>
      </w:r>
      <w:r>
        <w:rPr>
          <w:color w:val="231F20"/>
          <w:w w:val="105"/>
        </w:rPr>
        <w:t>que</w:t>
      </w:r>
      <w:r>
        <w:rPr>
          <w:color w:val="231F20"/>
          <w:spacing w:val="-11"/>
          <w:w w:val="105"/>
        </w:rPr>
        <w:t> </w:t>
      </w:r>
      <w:r>
        <w:rPr>
          <w:color w:val="231F20"/>
          <w:w w:val="105"/>
        </w:rPr>
        <w:t>produce</w:t>
      </w:r>
      <w:r>
        <w:rPr>
          <w:color w:val="231F20"/>
          <w:spacing w:val="-11"/>
          <w:w w:val="105"/>
        </w:rPr>
        <w:t> </w:t>
      </w:r>
      <w:r>
        <w:rPr>
          <w:color w:val="231F20"/>
          <w:w w:val="105"/>
        </w:rPr>
        <w:t>óptimos</w:t>
      </w:r>
      <w:r>
        <w:rPr>
          <w:color w:val="231F20"/>
          <w:spacing w:val="-11"/>
          <w:w w:val="105"/>
        </w:rPr>
        <w:t> </w:t>
      </w:r>
      <w:r>
        <w:rPr>
          <w:color w:val="231F20"/>
          <w:w w:val="105"/>
        </w:rPr>
        <w:t>globales</w:t>
      </w:r>
      <w:r>
        <w:rPr>
          <w:color w:val="231F20"/>
          <w:spacing w:val="-11"/>
          <w:w w:val="105"/>
        </w:rPr>
        <w:t> </w:t>
      </w:r>
      <w:r>
        <w:rPr>
          <w:color w:val="231F20"/>
          <w:w w:val="105"/>
        </w:rPr>
        <w:t>para</w:t>
      </w:r>
      <w:r>
        <w:rPr>
          <w:color w:val="231F20"/>
          <w:spacing w:val="-11"/>
          <w:w w:val="105"/>
        </w:rPr>
        <w:t> </w:t>
      </w:r>
      <w:r>
        <w:rPr>
          <w:color w:val="231F20"/>
          <w:w w:val="105"/>
        </w:rPr>
        <w:t>funciones</w:t>
      </w:r>
      <w:r>
        <w:rPr>
          <w:color w:val="231F20"/>
          <w:spacing w:val="-11"/>
          <w:w w:val="105"/>
        </w:rPr>
        <w:t> </w:t>
      </w:r>
      <w:r>
        <w:rPr>
          <w:color w:val="231F20"/>
          <w:w w:val="105"/>
        </w:rPr>
        <w:t>no</w:t>
      </w:r>
      <w:r>
        <w:rPr>
          <w:color w:val="231F20"/>
          <w:spacing w:val="-11"/>
          <w:w w:val="105"/>
        </w:rPr>
        <w:t> </w:t>
      </w:r>
      <w:r>
        <w:rPr>
          <w:color w:val="231F20"/>
          <w:w w:val="105"/>
        </w:rPr>
        <w:t>linea- les</w:t>
      </w:r>
      <w:r>
        <w:rPr>
          <w:color w:val="231F20"/>
          <w:spacing w:val="-7"/>
          <w:w w:val="105"/>
        </w:rPr>
        <w:t> </w:t>
      </w:r>
      <w:r>
        <w:rPr>
          <w:color w:val="231F20"/>
          <w:w w:val="105"/>
        </w:rPr>
        <w:t>(Himmelblau,</w:t>
      </w:r>
      <w:r>
        <w:rPr>
          <w:color w:val="231F20"/>
          <w:spacing w:val="-13"/>
          <w:w w:val="105"/>
        </w:rPr>
        <w:t> </w:t>
      </w:r>
      <w:r>
        <w:rPr>
          <w:color w:val="231F20"/>
          <w:w w:val="105"/>
        </w:rPr>
        <w:t>1992;</w:t>
      </w:r>
      <w:r>
        <w:rPr>
          <w:color w:val="231F20"/>
          <w:spacing w:val="-7"/>
          <w:w w:val="105"/>
        </w:rPr>
        <w:t> </w:t>
      </w:r>
      <w:r>
        <w:rPr>
          <w:color w:val="231F20"/>
          <w:w w:val="105"/>
        </w:rPr>
        <w:t>Rastrigin,</w:t>
      </w:r>
      <w:r>
        <w:rPr>
          <w:color w:val="231F20"/>
          <w:spacing w:val="-13"/>
          <w:w w:val="105"/>
        </w:rPr>
        <w:t> </w:t>
      </w:r>
      <w:r>
        <w:rPr>
          <w:color w:val="231F20"/>
          <w:w w:val="105"/>
        </w:rPr>
        <w:t>1975)</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presente</w:t>
      </w:r>
      <w:r>
        <w:rPr>
          <w:color w:val="231F20"/>
          <w:spacing w:val="-7"/>
          <w:w w:val="105"/>
        </w:rPr>
        <w:t> </w:t>
      </w:r>
      <w:r>
        <w:rPr>
          <w:color w:val="231F20"/>
          <w:w w:val="105"/>
        </w:rPr>
        <w:t>estudio</w:t>
      </w:r>
      <w:r>
        <w:rPr>
          <w:color w:val="231F20"/>
          <w:spacing w:val="-7"/>
          <w:w w:val="105"/>
        </w:rPr>
        <w:t> </w:t>
      </w:r>
      <w:r>
        <w:rPr>
          <w:color w:val="231F20"/>
          <w:w w:val="105"/>
        </w:rPr>
        <w:t>se emplean</w:t>
      </w:r>
      <w:r>
        <w:rPr>
          <w:color w:val="231F20"/>
          <w:spacing w:val="-8"/>
          <w:w w:val="105"/>
        </w:rPr>
        <w:t> </w:t>
      </w:r>
      <w:r>
        <w:rPr>
          <w:color w:val="231F20"/>
          <w:w w:val="105"/>
        </w:rPr>
        <w:t>para</w:t>
      </w:r>
      <w:r>
        <w:rPr>
          <w:color w:val="231F20"/>
          <w:spacing w:val="-8"/>
          <w:w w:val="105"/>
        </w:rPr>
        <w:t> </w:t>
      </w:r>
      <w:r>
        <w:rPr>
          <w:color w:val="231F20"/>
          <w:w w:val="105"/>
        </w:rPr>
        <w:t>estimar</w:t>
      </w:r>
      <w:r>
        <w:rPr>
          <w:color w:val="231F20"/>
          <w:spacing w:val="-8"/>
          <w:w w:val="105"/>
        </w:rPr>
        <w:t> </w:t>
      </w:r>
      <w:r>
        <w:rPr>
          <w:color w:val="231F20"/>
          <w:w w:val="105"/>
        </w:rPr>
        <w:t>los</w:t>
      </w:r>
      <w:r>
        <w:rPr>
          <w:color w:val="231F20"/>
          <w:spacing w:val="-8"/>
          <w:w w:val="105"/>
        </w:rPr>
        <w:t> </w:t>
      </w:r>
      <w:r>
        <w:rPr>
          <w:color w:val="231F20"/>
          <w:w w:val="105"/>
        </w:rPr>
        <w:t>parámetros</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sistema</w:t>
      </w:r>
      <w:r>
        <w:rPr>
          <w:color w:val="231F20"/>
          <w:spacing w:val="-8"/>
          <w:w w:val="105"/>
        </w:rPr>
        <w:t> </w:t>
      </w:r>
      <w:r>
        <w:rPr>
          <w:color w:val="231F20"/>
          <w:w w:val="105"/>
        </w:rPr>
        <w:t>de</w:t>
      </w:r>
      <w:r>
        <w:rPr>
          <w:color w:val="231F20"/>
          <w:spacing w:val="-8"/>
          <w:w w:val="105"/>
        </w:rPr>
        <w:t> </w:t>
      </w:r>
      <w:r>
        <w:rPr>
          <w:color w:val="231F20"/>
          <w:w w:val="105"/>
        </w:rPr>
        <w:t>dos</w:t>
      </w:r>
      <w:r>
        <w:rPr>
          <w:color w:val="231F20"/>
          <w:spacing w:val="-8"/>
          <w:w w:val="105"/>
        </w:rPr>
        <w:t> </w:t>
      </w:r>
      <w:r>
        <w:rPr>
          <w:color w:val="231F20"/>
          <w:w w:val="105"/>
        </w:rPr>
        <w:t>ecuaciones diferenciales</w:t>
      </w:r>
      <w:r>
        <w:rPr>
          <w:color w:val="231F20"/>
          <w:spacing w:val="-13"/>
          <w:w w:val="105"/>
        </w:rPr>
        <w:t> </w:t>
      </w:r>
      <w:r>
        <w:rPr>
          <w:color w:val="231F20"/>
          <w:w w:val="105"/>
        </w:rPr>
        <w:t>estocásticas</w:t>
      </w:r>
      <w:r>
        <w:rPr>
          <w:color w:val="231F20"/>
          <w:spacing w:val="-13"/>
          <w:w w:val="105"/>
        </w:rPr>
        <w:t> </w:t>
      </w:r>
      <w:r>
        <w:rPr>
          <w:color w:val="231F20"/>
          <w:w w:val="105"/>
        </w:rPr>
        <w:t>con</w:t>
      </w:r>
      <w:r>
        <w:rPr>
          <w:color w:val="231F20"/>
          <w:spacing w:val="-13"/>
          <w:w w:val="105"/>
        </w:rPr>
        <w:t> </w:t>
      </w:r>
      <w:r>
        <w:rPr>
          <w:color w:val="231F20"/>
          <w:w w:val="105"/>
        </w:rPr>
        <w:t>cinco</w:t>
      </w:r>
      <w:r>
        <w:rPr>
          <w:color w:val="231F20"/>
          <w:spacing w:val="-13"/>
          <w:w w:val="105"/>
        </w:rPr>
        <w:t> </w:t>
      </w:r>
      <w:r>
        <w:rPr>
          <w:color w:val="231F20"/>
          <w:w w:val="105"/>
        </w:rPr>
        <w:t>variables.</w:t>
      </w:r>
      <w:r>
        <w:rPr>
          <w:color w:val="231F20"/>
          <w:spacing w:val="-18"/>
          <w:w w:val="105"/>
        </w:rPr>
        <w:t> </w:t>
      </w:r>
      <w:r>
        <w:rPr>
          <w:color w:val="231F20"/>
          <w:w w:val="105"/>
        </w:rPr>
        <w:t>La</w:t>
      </w:r>
      <w:r>
        <w:rPr>
          <w:color w:val="231F20"/>
          <w:spacing w:val="-13"/>
          <w:w w:val="105"/>
        </w:rPr>
        <w:t> </w:t>
      </w:r>
      <w:r>
        <w:rPr>
          <w:color w:val="231F20"/>
          <w:w w:val="105"/>
        </w:rPr>
        <w:t>programación</w:t>
      </w:r>
      <w:r>
        <w:rPr>
          <w:color w:val="231F20"/>
          <w:spacing w:val="-13"/>
          <w:w w:val="105"/>
        </w:rPr>
        <w:t> </w:t>
      </w:r>
      <w:r>
        <w:rPr>
          <w:color w:val="231F20"/>
          <w:w w:val="105"/>
        </w:rPr>
        <w:t>del</w:t>
      </w:r>
      <w:r>
        <w:rPr>
          <w:color w:val="231F20"/>
          <w:spacing w:val="-13"/>
          <w:w w:val="105"/>
        </w:rPr>
        <w:t> </w:t>
      </w:r>
      <w:r>
        <w:rPr>
          <w:color w:val="231F20"/>
          <w:w w:val="105"/>
        </w:rPr>
        <w:t>mé- todo es compleja y es por esta razón que en las finanzas es escasa la evidencia empírica sobre el uso del mismo. No obstante, en el área de ciencias</w:t>
      </w:r>
      <w:r>
        <w:rPr>
          <w:color w:val="231F20"/>
          <w:spacing w:val="-29"/>
          <w:w w:val="105"/>
        </w:rPr>
        <w:t> </w:t>
      </w:r>
      <w:r>
        <w:rPr>
          <w:color w:val="231F20"/>
          <w:w w:val="105"/>
        </w:rPr>
        <w:t>exactas</w:t>
      </w:r>
      <w:r>
        <w:rPr>
          <w:color w:val="231F20"/>
          <w:spacing w:val="-29"/>
          <w:w w:val="105"/>
        </w:rPr>
        <w:t> </w:t>
      </w:r>
      <w:r>
        <w:rPr>
          <w:color w:val="231F20"/>
          <w:w w:val="105"/>
        </w:rPr>
        <w:t>se</w:t>
      </w:r>
      <w:r>
        <w:rPr>
          <w:color w:val="231F20"/>
          <w:spacing w:val="-29"/>
          <w:w w:val="105"/>
        </w:rPr>
        <w:t> </w:t>
      </w:r>
      <w:r>
        <w:rPr>
          <w:color w:val="231F20"/>
          <w:w w:val="105"/>
        </w:rPr>
        <w:t>muestra</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método</w:t>
      </w:r>
      <w:r>
        <w:rPr>
          <w:color w:val="231F20"/>
          <w:spacing w:val="-29"/>
          <w:w w:val="105"/>
        </w:rPr>
        <w:t> </w:t>
      </w:r>
      <w:r>
        <w:rPr>
          <w:color w:val="231F20"/>
          <w:w w:val="105"/>
        </w:rPr>
        <w:t>de</w:t>
      </w:r>
      <w:r>
        <w:rPr>
          <w:color w:val="231F20"/>
          <w:spacing w:val="-29"/>
          <w:w w:val="105"/>
        </w:rPr>
        <w:t> </w:t>
      </w:r>
      <w:r>
        <w:rPr>
          <w:color w:val="231F20"/>
          <w:w w:val="105"/>
        </w:rPr>
        <w:t>Nelder-Mead</w:t>
      </w:r>
      <w:r>
        <w:rPr>
          <w:color w:val="231F20"/>
          <w:spacing w:val="-29"/>
          <w:w w:val="105"/>
        </w:rPr>
        <w:t> </w:t>
      </w:r>
      <w:r>
        <w:rPr>
          <w:color w:val="231F20"/>
          <w:w w:val="105"/>
        </w:rPr>
        <w:t>es</w:t>
      </w:r>
      <w:r>
        <w:rPr>
          <w:color w:val="231F20"/>
          <w:spacing w:val="-29"/>
          <w:w w:val="105"/>
        </w:rPr>
        <w:t> </w:t>
      </w:r>
      <w:r>
        <w:rPr>
          <w:color w:val="231F20"/>
          <w:w w:val="105"/>
        </w:rPr>
        <w:t>altamente efectivo</w:t>
      </w:r>
      <w:r>
        <w:rPr>
          <w:color w:val="231F20"/>
          <w:spacing w:val="-26"/>
          <w:w w:val="105"/>
        </w:rPr>
        <w:t> </w:t>
      </w:r>
      <w:r>
        <w:rPr>
          <w:color w:val="231F20"/>
          <w:w w:val="105"/>
        </w:rPr>
        <w:t>para</w:t>
      </w:r>
      <w:r>
        <w:rPr>
          <w:color w:val="231F20"/>
          <w:spacing w:val="-26"/>
          <w:w w:val="105"/>
        </w:rPr>
        <w:t> </w:t>
      </w:r>
      <w:r>
        <w:rPr>
          <w:color w:val="231F20"/>
          <w:w w:val="105"/>
        </w:rPr>
        <w:t>encontrar</w:t>
      </w:r>
      <w:r>
        <w:rPr>
          <w:color w:val="231F20"/>
          <w:spacing w:val="-26"/>
          <w:w w:val="105"/>
        </w:rPr>
        <w:t> </w:t>
      </w:r>
      <w:r>
        <w:rPr>
          <w:color w:val="231F20"/>
          <w:w w:val="105"/>
        </w:rPr>
        <w:t>óptimos</w:t>
      </w:r>
      <w:r>
        <w:rPr>
          <w:color w:val="231F20"/>
          <w:spacing w:val="-26"/>
          <w:w w:val="105"/>
        </w:rPr>
        <w:t> </w:t>
      </w:r>
      <w:r>
        <w:rPr>
          <w:color w:val="231F20"/>
          <w:w w:val="105"/>
        </w:rPr>
        <w:t>globales</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función</w:t>
      </w:r>
      <w:r>
        <w:rPr>
          <w:color w:val="231F20"/>
          <w:spacing w:val="-26"/>
          <w:w w:val="105"/>
        </w:rPr>
        <w:t> </w:t>
      </w:r>
      <w:r>
        <w:rPr>
          <w:color w:val="231F20"/>
          <w:w w:val="105"/>
        </w:rPr>
        <w:t>(Martínez,</w:t>
      </w:r>
      <w:r>
        <w:rPr>
          <w:color w:val="231F20"/>
          <w:spacing w:val="-31"/>
          <w:w w:val="105"/>
        </w:rPr>
        <w:t> </w:t>
      </w:r>
      <w:r>
        <w:rPr>
          <w:color w:val="231F20"/>
          <w:w w:val="105"/>
        </w:rPr>
        <w:t>2001; Lagarias</w:t>
      </w:r>
      <w:r>
        <w:rPr>
          <w:color w:val="231F20"/>
          <w:spacing w:val="-40"/>
          <w:w w:val="105"/>
        </w:rPr>
        <w:t> </w:t>
      </w:r>
      <w:r>
        <w:rPr>
          <w:i/>
          <w:color w:val="231F20"/>
          <w:w w:val="105"/>
        </w:rPr>
        <w:t>et</w:t>
      </w:r>
      <w:r>
        <w:rPr>
          <w:i/>
          <w:color w:val="231F20"/>
          <w:spacing w:val="-40"/>
          <w:w w:val="105"/>
        </w:rPr>
        <w:t> </w:t>
      </w:r>
      <w:r>
        <w:rPr>
          <w:i/>
          <w:color w:val="231F20"/>
          <w:w w:val="105"/>
        </w:rPr>
        <w:t>al</w:t>
      </w:r>
      <w:r>
        <w:rPr>
          <w:color w:val="231F20"/>
          <w:w w:val="105"/>
        </w:rPr>
        <w:t>.,</w:t>
      </w:r>
      <w:r>
        <w:rPr>
          <w:color w:val="231F20"/>
          <w:spacing w:val="-43"/>
          <w:w w:val="105"/>
        </w:rPr>
        <w:t> </w:t>
      </w:r>
      <w:r>
        <w:rPr>
          <w:color w:val="231F20"/>
          <w:w w:val="105"/>
        </w:rPr>
        <w:t>1998).</w:t>
      </w:r>
    </w:p>
    <w:p>
      <w:pPr>
        <w:spacing w:after="0" w:line="259" w:lineRule="auto"/>
        <w:jc w:val="both"/>
        <w:sectPr>
          <w:type w:val="continuous"/>
          <w:pgSz w:w="9640" w:h="13890"/>
          <w:pgMar w:top="1300" w:bottom="280" w:left="1300" w:right="1180"/>
        </w:sectPr>
      </w:pPr>
    </w:p>
    <w:p>
      <w:pPr>
        <w:pStyle w:val="BodyText"/>
        <w:spacing w:line="256" w:lineRule="auto" w:before="92"/>
        <w:ind w:left="103" w:right="115"/>
        <w:jc w:val="both"/>
      </w:pPr>
      <w:r>
        <w:rPr/>
        <w:drawing>
          <wp:anchor distT="0" distB="0" distL="0" distR="0" allowOverlap="1" layoutInCell="1" locked="0" behindDoc="1" simplePos="0" relativeHeight="268195487">
            <wp:simplePos x="0" y="0"/>
            <wp:positionH relativeFrom="page">
              <wp:posOffset>828001</wp:posOffset>
            </wp:positionH>
            <wp:positionV relativeFrom="paragraph">
              <wp:posOffset>894673</wp:posOffset>
            </wp:positionV>
            <wp:extent cx="247650" cy="150324"/>
            <wp:effectExtent l="0" t="0" r="0" b="0"/>
            <wp:wrapNone/>
            <wp:docPr id="89" name="image91.png" descr=""/>
            <wp:cNvGraphicFramePr>
              <a:graphicFrameLocks noChangeAspect="1"/>
            </wp:cNvGraphicFramePr>
            <a:graphic>
              <a:graphicData uri="http://schemas.openxmlformats.org/drawingml/2006/picture">
                <pic:pic>
                  <pic:nvPicPr>
                    <pic:cNvPr id="90" name="image91.png"/>
                    <pic:cNvPicPr/>
                  </pic:nvPicPr>
                  <pic:blipFill>
                    <a:blip r:embed="rId115" cstate="print"/>
                    <a:stretch>
                      <a:fillRect/>
                    </a:stretch>
                  </pic:blipFill>
                  <pic:spPr>
                    <a:xfrm>
                      <a:off x="0" y="0"/>
                      <a:ext cx="247650" cy="150324"/>
                    </a:xfrm>
                    <a:prstGeom prst="rect">
                      <a:avLst/>
                    </a:prstGeom>
                  </pic:spPr>
                </pic:pic>
              </a:graphicData>
            </a:graphic>
          </wp:anchor>
        </w:drawing>
      </w:r>
      <w:r>
        <w:rPr>
          <w:color w:val="231F20"/>
          <w:w w:val="105"/>
        </w:rPr>
        <w:t>En</w:t>
      </w:r>
      <w:r>
        <w:rPr>
          <w:color w:val="231F20"/>
          <w:spacing w:val="-25"/>
          <w:w w:val="105"/>
        </w:rPr>
        <w:t> </w:t>
      </w:r>
      <w:r>
        <w:rPr>
          <w:color w:val="231F20"/>
          <w:spacing w:val="-3"/>
          <w:w w:val="105"/>
        </w:rPr>
        <w:t>este</w:t>
      </w:r>
      <w:r>
        <w:rPr>
          <w:color w:val="231F20"/>
          <w:spacing w:val="-25"/>
          <w:w w:val="105"/>
        </w:rPr>
        <w:t> </w:t>
      </w:r>
      <w:r>
        <w:rPr>
          <w:color w:val="231F20"/>
          <w:spacing w:val="-4"/>
          <w:w w:val="105"/>
        </w:rPr>
        <w:t>sentido,</w:t>
      </w:r>
      <w:r>
        <w:rPr>
          <w:color w:val="231F20"/>
          <w:spacing w:val="-30"/>
          <w:w w:val="105"/>
        </w:rPr>
        <w:t> </w:t>
      </w:r>
      <w:r>
        <w:rPr>
          <w:color w:val="231F20"/>
          <w:spacing w:val="-4"/>
          <w:w w:val="105"/>
        </w:rPr>
        <w:t>para</w:t>
      </w:r>
      <w:r>
        <w:rPr>
          <w:color w:val="231F20"/>
          <w:spacing w:val="-25"/>
          <w:w w:val="105"/>
        </w:rPr>
        <w:t> </w:t>
      </w:r>
      <w:r>
        <w:rPr>
          <w:color w:val="231F20"/>
          <w:spacing w:val="-3"/>
          <w:w w:val="105"/>
        </w:rPr>
        <w:t>una</w:t>
      </w:r>
      <w:r>
        <w:rPr>
          <w:color w:val="231F20"/>
          <w:spacing w:val="-25"/>
          <w:w w:val="105"/>
        </w:rPr>
        <w:t> </w:t>
      </w:r>
      <w:r>
        <w:rPr>
          <w:color w:val="231F20"/>
          <w:spacing w:val="-4"/>
          <w:w w:val="105"/>
        </w:rPr>
        <w:t>mejor</w:t>
      </w:r>
      <w:r>
        <w:rPr>
          <w:color w:val="231F20"/>
          <w:spacing w:val="-25"/>
          <w:w w:val="105"/>
        </w:rPr>
        <w:t> </w:t>
      </w:r>
      <w:r>
        <w:rPr>
          <w:color w:val="231F20"/>
          <w:spacing w:val="-4"/>
          <w:w w:val="105"/>
        </w:rPr>
        <w:t>valuación</w:t>
      </w:r>
      <w:r>
        <w:rPr>
          <w:color w:val="231F20"/>
          <w:spacing w:val="-25"/>
          <w:w w:val="105"/>
        </w:rPr>
        <w:t> </w:t>
      </w:r>
      <w:r>
        <w:rPr>
          <w:color w:val="231F20"/>
          <w:w w:val="105"/>
        </w:rPr>
        <w:t>de</w:t>
      </w:r>
      <w:r>
        <w:rPr>
          <w:color w:val="231F20"/>
          <w:spacing w:val="-25"/>
          <w:w w:val="105"/>
        </w:rPr>
        <w:t> </w:t>
      </w:r>
      <w:r>
        <w:rPr>
          <w:color w:val="231F20"/>
          <w:spacing w:val="-3"/>
          <w:w w:val="105"/>
        </w:rPr>
        <w:t>los</w:t>
      </w:r>
      <w:r>
        <w:rPr>
          <w:color w:val="231F20"/>
          <w:spacing w:val="-25"/>
          <w:w w:val="105"/>
        </w:rPr>
        <w:t> </w:t>
      </w:r>
      <w:r>
        <w:rPr>
          <w:color w:val="231F20"/>
          <w:spacing w:val="-4"/>
          <w:w w:val="105"/>
        </w:rPr>
        <w:t>precios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spacing w:val="-4"/>
          <w:w w:val="105"/>
        </w:rPr>
        <w:t>opción</w:t>
      </w:r>
      <w:r>
        <w:rPr>
          <w:color w:val="231F20"/>
          <w:spacing w:val="-25"/>
          <w:w w:val="105"/>
        </w:rPr>
        <w:t> </w:t>
      </w:r>
      <w:r>
        <w:rPr>
          <w:color w:val="231F20"/>
          <w:spacing w:val="-4"/>
          <w:w w:val="105"/>
        </w:rPr>
        <w:t>sobre </w:t>
      </w:r>
      <w:r>
        <w:rPr>
          <w:color w:val="231F20"/>
          <w:spacing w:val="-3"/>
          <w:w w:val="105"/>
        </w:rPr>
        <w:t>tipo</w:t>
      </w:r>
      <w:r>
        <w:rPr>
          <w:color w:val="231F20"/>
          <w:spacing w:val="-8"/>
          <w:w w:val="105"/>
        </w:rPr>
        <w:t> </w:t>
      </w:r>
      <w:r>
        <w:rPr>
          <w:color w:val="231F20"/>
          <w:w w:val="105"/>
        </w:rPr>
        <w:t>de</w:t>
      </w:r>
      <w:r>
        <w:rPr>
          <w:color w:val="231F20"/>
          <w:spacing w:val="-8"/>
          <w:w w:val="105"/>
        </w:rPr>
        <w:t> </w:t>
      </w:r>
      <w:r>
        <w:rPr>
          <w:color w:val="231F20"/>
          <w:spacing w:val="-4"/>
          <w:w w:val="105"/>
        </w:rPr>
        <w:t>cambio</w:t>
      </w:r>
      <w:r>
        <w:rPr>
          <w:color w:val="231F20"/>
          <w:spacing w:val="-8"/>
          <w:w w:val="105"/>
        </w:rPr>
        <w:t> </w:t>
      </w:r>
      <w:r>
        <w:rPr>
          <w:color w:val="231F20"/>
          <w:spacing w:val="-4"/>
          <w:w w:val="105"/>
        </w:rPr>
        <w:t>mx/usd</w:t>
      </w:r>
      <w:r>
        <w:rPr>
          <w:color w:val="231F20"/>
          <w:spacing w:val="-8"/>
          <w:w w:val="105"/>
        </w:rPr>
        <w:t> </w:t>
      </w:r>
      <w:r>
        <w:rPr>
          <w:color w:val="231F20"/>
          <w:w w:val="105"/>
        </w:rPr>
        <w:t>a</w:t>
      </w:r>
      <w:r>
        <w:rPr>
          <w:color w:val="231F20"/>
          <w:spacing w:val="-8"/>
          <w:w w:val="105"/>
        </w:rPr>
        <w:t> </w:t>
      </w:r>
      <w:r>
        <w:rPr>
          <w:color w:val="231F20"/>
          <w:spacing w:val="-4"/>
          <w:w w:val="105"/>
        </w:rPr>
        <w:t>través</w:t>
      </w:r>
      <w:r>
        <w:rPr>
          <w:color w:val="231F20"/>
          <w:spacing w:val="-8"/>
          <w:w w:val="105"/>
        </w:rPr>
        <w:t> </w:t>
      </w:r>
      <w:r>
        <w:rPr>
          <w:color w:val="231F20"/>
          <w:spacing w:val="-3"/>
          <w:w w:val="105"/>
        </w:rPr>
        <w:t>del</w:t>
      </w:r>
      <w:r>
        <w:rPr>
          <w:color w:val="231F20"/>
          <w:spacing w:val="-8"/>
          <w:w w:val="105"/>
        </w:rPr>
        <w:t> </w:t>
      </w:r>
      <w:r>
        <w:rPr>
          <w:color w:val="231F20"/>
          <w:spacing w:val="-4"/>
          <w:w w:val="105"/>
        </w:rPr>
        <w:t>modelo</w:t>
      </w:r>
      <w:r>
        <w:rPr>
          <w:color w:val="231F20"/>
          <w:spacing w:val="-8"/>
          <w:w w:val="105"/>
        </w:rPr>
        <w:t> </w:t>
      </w:r>
      <w:r>
        <w:rPr>
          <w:color w:val="231F20"/>
          <w:w w:val="105"/>
        </w:rPr>
        <w:t>de</w:t>
      </w:r>
      <w:r>
        <w:rPr>
          <w:color w:val="231F20"/>
          <w:spacing w:val="-8"/>
          <w:w w:val="105"/>
        </w:rPr>
        <w:t> </w:t>
      </w:r>
      <w:r>
        <w:rPr>
          <w:color w:val="231F20"/>
          <w:spacing w:val="-4"/>
          <w:w w:val="105"/>
        </w:rPr>
        <w:t>Heston,</w:t>
      </w:r>
      <w:r>
        <w:rPr>
          <w:color w:val="231F20"/>
          <w:spacing w:val="-14"/>
          <w:w w:val="105"/>
        </w:rPr>
        <w:t> </w:t>
      </w:r>
      <w:r>
        <w:rPr>
          <w:color w:val="231F20"/>
          <w:w w:val="105"/>
        </w:rPr>
        <w:t>se</w:t>
      </w:r>
      <w:r>
        <w:rPr>
          <w:color w:val="231F20"/>
          <w:spacing w:val="-8"/>
          <w:w w:val="105"/>
        </w:rPr>
        <w:t> </w:t>
      </w:r>
      <w:r>
        <w:rPr>
          <w:color w:val="231F20"/>
          <w:spacing w:val="-4"/>
          <w:w w:val="105"/>
        </w:rPr>
        <w:t>estiman</w:t>
      </w:r>
      <w:r>
        <w:rPr>
          <w:color w:val="231F20"/>
          <w:spacing w:val="-8"/>
          <w:w w:val="105"/>
        </w:rPr>
        <w:t> </w:t>
      </w:r>
      <w:r>
        <w:rPr>
          <w:color w:val="231F20"/>
          <w:spacing w:val="-3"/>
          <w:w w:val="105"/>
        </w:rPr>
        <w:t>los</w:t>
      </w:r>
      <w:r>
        <w:rPr>
          <w:color w:val="231F20"/>
          <w:spacing w:val="-8"/>
          <w:w w:val="105"/>
        </w:rPr>
        <w:t> </w:t>
      </w:r>
      <w:r>
        <w:rPr>
          <w:color w:val="231F20"/>
          <w:spacing w:val="-3"/>
          <w:w w:val="105"/>
        </w:rPr>
        <w:t>pa- </w:t>
      </w:r>
      <w:r>
        <w:rPr>
          <w:color w:val="231F20"/>
          <w:spacing w:val="-5"/>
          <w:w w:val="105"/>
        </w:rPr>
        <w:t>rámetros </w:t>
      </w:r>
      <w:r>
        <w:rPr>
          <w:color w:val="231F20"/>
          <w:w w:val="105"/>
        </w:rPr>
        <w:t>de </w:t>
      </w:r>
      <w:r>
        <w:rPr>
          <w:color w:val="231F20"/>
          <w:spacing w:val="-3"/>
          <w:w w:val="105"/>
        </w:rPr>
        <w:t>los </w:t>
      </w:r>
      <w:r>
        <w:rPr>
          <w:color w:val="231F20"/>
          <w:spacing w:val="-4"/>
          <w:w w:val="105"/>
        </w:rPr>
        <w:t>procesos </w:t>
      </w:r>
      <w:r>
        <w:rPr>
          <w:color w:val="231F20"/>
          <w:w w:val="105"/>
        </w:rPr>
        <w:t>de </w:t>
      </w:r>
      <w:r>
        <w:rPr>
          <w:color w:val="231F20"/>
          <w:spacing w:val="-4"/>
          <w:w w:val="105"/>
        </w:rPr>
        <w:t>difusión </w:t>
      </w:r>
      <w:r>
        <w:rPr>
          <w:color w:val="231F20"/>
          <w:spacing w:val="-3"/>
          <w:w w:val="105"/>
        </w:rPr>
        <w:t>por </w:t>
      </w:r>
      <w:r>
        <w:rPr>
          <w:color w:val="231F20"/>
          <w:w w:val="105"/>
        </w:rPr>
        <w:t>el </w:t>
      </w:r>
      <w:r>
        <w:rPr>
          <w:color w:val="231F20"/>
          <w:spacing w:val="-4"/>
          <w:w w:val="105"/>
        </w:rPr>
        <w:t>método numérico simplex no lineal</w:t>
      </w:r>
      <w:r>
        <w:rPr>
          <w:color w:val="231F20"/>
          <w:spacing w:val="-14"/>
          <w:w w:val="105"/>
        </w:rPr>
        <w:t> </w:t>
      </w:r>
      <w:r>
        <w:rPr>
          <w:color w:val="231F20"/>
          <w:w w:val="105"/>
        </w:rPr>
        <w:t>de</w:t>
      </w:r>
      <w:r>
        <w:rPr>
          <w:color w:val="231F20"/>
          <w:spacing w:val="-14"/>
          <w:w w:val="105"/>
        </w:rPr>
        <w:t> </w:t>
      </w:r>
      <w:r>
        <w:rPr>
          <w:color w:val="231F20"/>
          <w:spacing w:val="-5"/>
          <w:w w:val="105"/>
        </w:rPr>
        <w:t>Nerlder-Mead.</w:t>
      </w:r>
      <w:r>
        <w:rPr>
          <w:color w:val="231F20"/>
          <w:spacing w:val="-21"/>
          <w:w w:val="105"/>
        </w:rPr>
        <w:t> </w:t>
      </w:r>
      <w:r>
        <w:rPr>
          <w:color w:val="231F20"/>
          <w:spacing w:val="-3"/>
          <w:w w:val="105"/>
        </w:rPr>
        <w:t>Esta</w:t>
      </w:r>
      <w:r>
        <w:rPr>
          <w:color w:val="231F20"/>
          <w:spacing w:val="-14"/>
          <w:w w:val="105"/>
        </w:rPr>
        <w:t> </w:t>
      </w:r>
      <w:r>
        <w:rPr>
          <w:color w:val="231F20"/>
          <w:spacing w:val="-4"/>
          <w:w w:val="105"/>
        </w:rPr>
        <w:t>forma</w:t>
      </w:r>
      <w:r>
        <w:rPr>
          <w:color w:val="231F20"/>
          <w:spacing w:val="-14"/>
          <w:w w:val="105"/>
        </w:rPr>
        <w:t> </w:t>
      </w:r>
      <w:r>
        <w:rPr>
          <w:color w:val="231F20"/>
          <w:spacing w:val="-4"/>
          <w:w w:val="105"/>
        </w:rPr>
        <w:t>empírica</w:t>
      </w:r>
      <w:r>
        <w:rPr>
          <w:color w:val="231F20"/>
          <w:spacing w:val="-14"/>
          <w:w w:val="105"/>
        </w:rPr>
        <w:t> </w:t>
      </w:r>
      <w:r>
        <w:rPr>
          <w:color w:val="231F20"/>
          <w:w w:val="105"/>
        </w:rPr>
        <w:t>de</w:t>
      </w:r>
      <w:r>
        <w:rPr>
          <w:color w:val="231F20"/>
          <w:spacing w:val="-14"/>
          <w:w w:val="105"/>
        </w:rPr>
        <w:t> </w:t>
      </w:r>
      <w:r>
        <w:rPr>
          <w:color w:val="231F20"/>
          <w:spacing w:val="-4"/>
          <w:w w:val="105"/>
        </w:rPr>
        <w:t>estimación</w:t>
      </w:r>
      <w:r>
        <w:rPr>
          <w:color w:val="231F20"/>
          <w:spacing w:val="-14"/>
          <w:w w:val="105"/>
        </w:rPr>
        <w:t> </w:t>
      </w:r>
      <w:r>
        <w:rPr>
          <w:color w:val="231F20"/>
          <w:spacing w:val="-4"/>
          <w:w w:val="105"/>
        </w:rPr>
        <w:t>exige</w:t>
      </w:r>
      <w:r>
        <w:rPr>
          <w:color w:val="231F20"/>
          <w:spacing w:val="-14"/>
          <w:w w:val="105"/>
        </w:rPr>
        <w:t> </w:t>
      </w:r>
      <w:r>
        <w:rPr>
          <w:color w:val="231F20"/>
          <w:spacing w:val="-3"/>
          <w:w w:val="105"/>
        </w:rPr>
        <w:t>una</w:t>
      </w:r>
      <w:r>
        <w:rPr>
          <w:color w:val="231F20"/>
          <w:spacing w:val="-14"/>
          <w:w w:val="105"/>
        </w:rPr>
        <w:t> </w:t>
      </w:r>
      <w:r>
        <w:rPr>
          <w:color w:val="231F20"/>
          <w:spacing w:val="-3"/>
          <w:w w:val="105"/>
        </w:rPr>
        <w:t>bús- </w:t>
      </w:r>
      <w:r>
        <w:rPr>
          <w:color w:val="231F20"/>
          <w:spacing w:val="-4"/>
          <w:w w:val="105"/>
        </w:rPr>
        <w:t>queda</w:t>
      </w:r>
      <w:r>
        <w:rPr>
          <w:color w:val="231F20"/>
          <w:spacing w:val="-12"/>
          <w:w w:val="105"/>
        </w:rPr>
        <w:t> </w:t>
      </w:r>
      <w:r>
        <w:rPr>
          <w:color w:val="231F20"/>
          <w:spacing w:val="-4"/>
          <w:w w:val="105"/>
        </w:rPr>
        <w:t>intensa</w:t>
      </w:r>
      <w:r>
        <w:rPr>
          <w:color w:val="231F20"/>
          <w:spacing w:val="-12"/>
          <w:w w:val="105"/>
        </w:rPr>
        <w:t> </w:t>
      </w:r>
      <w:r>
        <w:rPr>
          <w:color w:val="231F20"/>
          <w:w w:val="105"/>
        </w:rPr>
        <w:t>de</w:t>
      </w:r>
      <w:r>
        <w:rPr>
          <w:color w:val="231F20"/>
          <w:spacing w:val="-12"/>
          <w:w w:val="105"/>
        </w:rPr>
        <w:t> </w:t>
      </w:r>
      <w:r>
        <w:rPr>
          <w:color w:val="231F20"/>
          <w:spacing w:val="-4"/>
          <w:w w:val="105"/>
        </w:rPr>
        <w:t>vectores</w:t>
      </w:r>
      <w:r>
        <w:rPr>
          <w:color w:val="231F20"/>
          <w:spacing w:val="-12"/>
          <w:w w:val="105"/>
        </w:rPr>
        <w:t> </w:t>
      </w:r>
      <w:r>
        <w:rPr>
          <w:color w:val="231F20"/>
          <w:w w:val="105"/>
        </w:rPr>
        <w:t>de</w:t>
      </w:r>
      <w:r>
        <w:rPr>
          <w:color w:val="231F20"/>
          <w:spacing w:val="-12"/>
          <w:w w:val="105"/>
        </w:rPr>
        <w:t> </w:t>
      </w:r>
      <w:r>
        <w:rPr>
          <w:color w:val="231F20"/>
          <w:spacing w:val="-5"/>
          <w:w w:val="105"/>
        </w:rPr>
        <w:t>parámetros,</w:t>
      </w:r>
      <w:r>
        <w:rPr>
          <w:color w:val="231F20"/>
          <w:spacing w:val="-18"/>
          <w:w w:val="105"/>
        </w:rPr>
        <w:t> </w:t>
      </w:r>
      <w:r>
        <w:rPr>
          <w:color w:val="231F20"/>
          <w:spacing w:val="-4"/>
          <w:w w:val="105"/>
        </w:rPr>
        <w:t>tales</w:t>
      </w:r>
      <w:r>
        <w:rPr>
          <w:color w:val="231F20"/>
          <w:spacing w:val="-12"/>
          <w:w w:val="105"/>
        </w:rPr>
        <w:t> </w:t>
      </w:r>
      <w:r>
        <w:rPr>
          <w:color w:val="231F20"/>
          <w:spacing w:val="-3"/>
          <w:w w:val="105"/>
        </w:rPr>
        <w:t>como</w:t>
      </w:r>
      <w:r>
        <w:rPr>
          <w:color w:val="231F20"/>
          <w:spacing w:val="-11"/>
          <w:w w:val="105"/>
        </w:rPr>
        <w:t> </w:t>
      </w:r>
      <w:r>
        <w:rPr>
          <w:rFonts w:ascii="Times New Roman" w:hAnsi="Times New Roman"/>
          <w:i/>
          <w:color w:val="231F20"/>
          <w:w w:val="105"/>
          <w:sz w:val="22"/>
        </w:rPr>
        <w:t>х</w:t>
      </w:r>
      <w:r>
        <w:rPr>
          <w:i/>
          <w:color w:val="231F20"/>
          <w:w w:val="105"/>
          <w:position w:val="-4"/>
          <w:sz w:val="12"/>
        </w:rPr>
        <w:t>0</w:t>
      </w:r>
      <w:r>
        <w:rPr>
          <w:i/>
          <w:color w:val="231F20"/>
          <w:spacing w:val="-16"/>
          <w:w w:val="105"/>
          <w:position w:val="-4"/>
          <w:sz w:val="12"/>
        </w:rPr>
        <w:t> </w:t>
      </w:r>
      <w:r>
        <w:rPr>
          <w:rFonts w:ascii="Times New Roman" w:hAnsi="Times New Roman"/>
          <w:color w:val="231F20"/>
          <w:spacing w:val="10"/>
          <w:w w:val="105"/>
          <w:sz w:val="22"/>
        </w:rPr>
        <w:t>=</w:t>
      </w:r>
      <w:r>
        <w:rPr>
          <w:color w:val="231F20"/>
          <w:spacing w:val="10"/>
          <w:w w:val="105"/>
        </w:rPr>
        <w:t>(</w:t>
      </w:r>
      <w:r>
        <w:rPr>
          <w:color w:val="231F20"/>
          <w:spacing w:val="-44"/>
          <w:w w:val="105"/>
        </w:rPr>
        <w:t> </w:t>
      </w:r>
      <w:r>
        <w:rPr>
          <w:rFonts w:ascii="Times New Roman" w:hAnsi="Times New Roman"/>
          <w:i/>
          <w:color w:val="231F20"/>
          <w:spacing w:val="-2"/>
          <w:w w:val="105"/>
          <w:sz w:val="22"/>
        </w:rPr>
        <w:t>μ</w:t>
      </w:r>
      <w:r>
        <w:rPr>
          <w:i/>
          <w:color w:val="231F20"/>
          <w:spacing w:val="-2"/>
          <w:w w:val="105"/>
          <w:position w:val="-4"/>
          <w:sz w:val="12"/>
        </w:rPr>
        <w:t>0</w:t>
      </w:r>
      <w:r>
        <w:rPr>
          <w:rFonts w:ascii="Times New Roman" w:hAnsi="Times New Roman"/>
          <w:color w:val="231F20"/>
          <w:spacing w:val="-2"/>
          <w:w w:val="105"/>
          <w:sz w:val="22"/>
        </w:rPr>
        <w:t>,</w:t>
      </w:r>
      <w:r>
        <w:rPr>
          <w:rFonts w:ascii="Times New Roman" w:hAnsi="Times New Roman"/>
          <w:color w:val="231F20"/>
          <w:spacing w:val="-7"/>
          <w:w w:val="105"/>
          <w:sz w:val="22"/>
        </w:rPr>
        <w:t> </w:t>
      </w:r>
      <w:r>
        <w:rPr>
          <w:rFonts w:ascii="Times New Roman" w:hAnsi="Times New Roman"/>
          <w:i/>
          <w:color w:val="231F20"/>
          <w:spacing w:val="-2"/>
          <w:w w:val="105"/>
          <w:sz w:val="22"/>
        </w:rPr>
        <w:t>θ</w:t>
      </w:r>
      <w:r>
        <w:rPr>
          <w:i/>
          <w:color w:val="231F20"/>
          <w:spacing w:val="-2"/>
          <w:w w:val="105"/>
          <w:position w:val="-4"/>
          <w:sz w:val="12"/>
        </w:rPr>
        <w:t>0</w:t>
      </w:r>
      <w:r>
        <w:rPr>
          <w:rFonts w:ascii="Times New Roman" w:hAnsi="Times New Roman"/>
          <w:color w:val="231F20"/>
          <w:spacing w:val="-2"/>
          <w:w w:val="105"/>
          <w:sz w:val="22"/>
        </w:rPr>
        <w:t>,</w:t>
      </w:r>
      <w:r>
        <w:rPr>
          <w:rFonts w:ascii="Times New Roman" w:hAnsi="Times New Roman"/>
          <w:color w:val="231F20"/>
          <w:spacing w:val="-7"/>
          <w:w w:val="105"/>
          <w:sz w:val="22"/>
        </w:rPr>
        <w:t> </w:t>
      </w:r>
      <w:r>
        <w:rPr>
          <w:rFonts w:ascii="Times New Roman" w:hAnsi="Times New Roman"/>
          <w:i/>
          <w:color w:val="231F20"/>
          <w:spacing w:val="-2"/>
          <w:w w:val="105"/>
          <w:sz w:val="22"/>
        </w:rPr>
        <w:t>σ</w:t>
      </w:r>
      <w:r>
        <w:rPr>
          <w:i/>
          <w:color w:val="231F20"/>
          <w:spacing w:val="-2"/>
          <w:w w:val="105"/>
          <w:position w:val="-4"/>
          <w:sz w:val="12"/>
        </w:rPr>
        <w:t>0</w:t>
      </w:r>
      <w:r>
        <w:rPr>
          <w:rFonts w:ascii="Times New Roman" w:hAnsi="Times New Roman"/>
          <w:color w:val="231F20"/>
          <w:spacing w:val="-2"/>
          <w:w w:val="105"/>
          <w:sz w:val="22"/>
        </w:rPr>
        <w:t>,</w:t>
      </w:r>
      <w:r>
        <w:rPr>
          <w:rFonts w:ascii="Times New Roman" w:hAnsi="Times New Roman"/>
          <w:color w:val="231F20"/>
          <w:spacing w:val="-7"/>
          <w:w w:val="105"/>
          <w:sz w:val="22"/>
        </w:rPr>
        <w:t> </w:t>
      </w:r>
      <w:r>
        <w:rPr>
          <w:rFonts w:ascii="Times New Roman" w:hAnsi="Times New Roman"/>
          <w:i/>
          <w:color w:val="231F20"/>
          <w:spacing w:val="-2"/>
          <w:w w:val="105"/>
          <w:sz w:val="22"/>
        </w:rPr>
        <w:t>κ</w:t>
      </w:r>
      <w:r>
        <w:rPr>
          <w:i/>
          <w:color w:val="231F20"/>
          <w:spacing w:val="-2"/>
          <w:w w:val="105"/>
          <w:position w:val="-4"/>
          <w:sz w:val="12"/>
        </w:rPr>
        <w:t>0</w:t>
      </w:r>
      <w:r>
        <w:rPr>
          <w:rFonts w:ascii="Times New Roman" w:hAnsi="Times New Roman"/>
          <w:color w:val="231F20"/>
          <w:spacing w:val="-2"/>
          <w:w w:val="105"/>
          <w:sz w:val="22"/>
        </w:rPr>
        <w:t>,</w:t>
      </w:r>
      <w:r>
        <w:rPr>
          <w:rFonts w:ascii="Times New Roman" w:hAnsi="Times New Roman"/>
          <w:color w:val="231F20"/>
          <w:spacing w:val="-7"/>
          <w:w w:val="105"/>
          <w:sz w:val="22"/>
        </w:rPr>
        <w:t> </w:t>
      </w:r>
      <w:r>
        <w:rPr>
          <w:rFonts w:ascii="Times New Roman" w:hAnsi="Times New Roman"/>
          <w:i/>
          <w:color w:val="231F20"/>
          <w:spacing w:val="-2"/>
          <w:w w:val="105"/>
          <w:sz w:val="22"/>
        </w:rPr>
        <w:t>ρ</w:t>
      </w:r>
      <w:r>
        <w:rPr>
          <w:i/>
          <w:color w:val="231F20"/>
          <w:spacing w:val="-2"/>
          <w:w w:val="105"/>
          <w:position w:val="-4"/>
          <w:sz w:val="12"/>
        </w:rPr>
        <w:t>0</w:t>
      </w:r>
      <w:r>
        <w:rPr>
          <w:color w:val="231F20"/>
          <w:spacing w:val="-2"/>
          <w:w w:val="105"/>
        </w:rPr>
        <w:t>)</w:t>
      </w:r>
    </w:p>
    <w:p>
      <w:pPr>
        <w:pStyle w:val="BodyText"/>
        <w:spacing w:line="235" w:lineRule="exact"/>
        <w:ind w:left="104" w:right="17" w:firstLine="386"/>
      </w:pPr>
      <w:r>
        <w:rPr>
          <w:color w:val="231F20"/>
          <w:w w:val="105"/>
        </w:rPr>
        <w:t>.</w:t>
      </w:r>
      <w:r>
        <w:rPr>
          <w:color w:val="231F20"/>
          <w:spacing w:val="-25"/>
          <w:w w:val="105"/>
        </w:rPr>
        <w:t> </w:t>
      </w:r>
      <w:r>
        <w:rPr>
          <w:color w:val="231F20"/>
          <w:spacing w:val="-5"/>
          <w:w w:val="105"/>
        </w:rPr>
        <w:t>Primeramente</w:t>
      </w:r>
      <w:r>
        <w:rPr>
          <w:color w:val="231F20"/>
          <w:spacing w:val="-20"/>
          <w:w w:val="105"/>
        </w:rPr>
        <w:t> </w:t>
      </w:r>
      <w:r>
        <w:rPr>
          <w:color w:val="231F20"/>
          <w:w w:val="105"/>
        </w:rPr>
        <w:t>se</w:t>
      </w:r>
      <w:r>
        <w:rPr>
          <w:color w:val="231F20"/>
          <w:spacing w:val="-20"/>
          <w:w w:val="105"/>
        </w:rPr>
        <w:t> </w:t>
      </w:r>
      <w:r>
        <w:rPr>
          <w:color w:val="231F20"/>
          <w:spacing w:val="-4"/>
          <w:w w:val="105"/>
        </w:rPr>
        <w:t>establece</w:t>
      </w:r>
      <w:r>
        <w:rPr>
          <w:color w:val="231F20"/>
          <w:spacing w:val="-20"/>
          <w:w w:val="105"/>
        </w:rPr>
        <w:t> </w:t>
      </w:r>
      <w:r>
        <w:rPr>
          <w:color w:val="231F20"/>
          <w:w w:val="105"/>
        </w:rPr>
        <w:t>un</w:t>
      </w:r>
      <w:r>
        <w:rPr>
          <w:color w:val="231F20"/>
          <w:spacing w:val="-20"/>
          <w:w w:val="105"/>
        </w:rPr>
        <w:t> </w:t>
      </w:r>
      <w:r>
        <w:rPr>
          <w:color w:val="231F20"/>
          <w:spacing w:val="-4"/>
          <w:w w:val="105"/>
        </w:rPr>
        <w:t>vector</w:t>
      </w:r>
      <w:r>
        <w:rPr>
          <w:color w:val="231F20"/>
          <w:spacing w:val="-20"/>
          <w:w w:val="105"/>
        </w:rPr>
        <w:t> </w:t>
      </w:r>
      <w:r>
        <w:rPr>
          <w:rFonts w:ascii="Times New Roman" w:hAnsi="Times New Roman"/>
          <w:i/>
          <w:color w:val="231F20"/>
          <w:w w:val="105"/>
          <w:sz w:val="22"/>
        </w:rPr>
        <w:t>х</w:t>
      </w:r>
      <w:r>
        <w:rPr>
          <w:i/>
          <w:color w:val="231F20"/>
          <w:w w:val="105"/>
          <w:position w:val="-4"/>
          <w:sz w:val="12"/>
        </w:rPr>
        <w:t>0</w:t>
      </w:r>
      <w:r>
        <w:rPr>
          <w:i/>
          <w:color w:val="231F20"/>
          <w:spacing w:val="7"/>
          <w:w w:val="105"/>
          <w:position w:val="-4"/>
          <w:sz w:val="12"/>
        </w:rPr>
        <w:t> </w:t>
      </w:r>
      <w:r>
        <w:rPr>
          <w:color w:val="231F20"/>
          <w:spacing w:val="-3"/>
          <w:w w:val="105"/>
        </w:rPr>
        <w:t>que</w:t>
      </w:r>
      <w:r>
        <w:rPr>
          <w:color w:val="231F20"/>
          <w:spacing w:val="-20"/>
          <w:w w:val="105"/>
        </w:rPr>
        <w:t> </w:t>
      </w:r>
      <w:r>
        <w:rPr>
          <w:color w:val="231F20"/>
          <w:spacing w:val="-4"/>
          <w:w w:val="105"/>
        </w:rPr>
        <w:t>sirve</w:t>
      </w:r>
      <w:r>
        <w:rPr>
          <w:color w:val="231F20"/>
          <w:spacing w:val="-20"/>
          <w:w w:val="105"/>
        </w:rPr>
        <w:t> </w:t>
      </w:r>
      <w:r>
        <w:rPr>
          <w:color w:val="231F20"/>
          <w:w w:val="105"/>
        </w:rPr>
        <w:t>de</w:t>
      </w:r>
      <w:r>
        <w:rPr>
          <w:color w:val="231F20"/>
          <w:spacing w:val="-20"/>
          <w:w w:val="105"/>
        </w:rPr>
        <w:t> </w:t>
      </w:r>
      <w:r>
        <w:rPr>
          <w:color w:val="231F20"/>
          <w:spacing w:val="-4"/>
          <w:w w:val="105"/>
        </w:rPr>
        <w:t>semilla</w:t>
      </w:r>
      <w:r>
        <w:rPr>
          <w:color w:val="231F20"/>
          <w:spacing w:val="-20"/>
          <w:w w:val="105"/>
        </w:rPr>
        <w:t> </w:t>
      </w:r>
      <w:r>
        <w:rPr>
          <w:color w:val="231F20"/>
          <w:w w:val="105"/>
        </w:rPr>
        <w:t>y</w:t>
      </w:r>
      <w:r>
        <w:rPr>
          <w:color w:val="231F20"/>
          <w:spacing w:val="-20"/>
          <w:w w:val="105"/>
        </w:rPr>
        <w:t> </w:t>
      </w:r>
      <w:r>
        <w:rPr>
          <w:color w:val="231F20"/>
          <w:spacing w:val="-4"/>
          <w:w w:val="105"/>
        </w:rPr>
        <w:t>orienta</w:t>
      </w:r>
    </w:p>
    <w:p>
      <w:pPr>
        <w:pStyle w:val="BodyText"/>
        <w:spacing w:line="259" w:lineRule="auto"/>
        <w:ind w:left="104" w:right="118"/>
        <w:jc w:val="both"/>
      </w:pPr>
      <w:r>
        <w:rPr>
          <w:color w:val="231F20"/>
          <w:w w:val="105"/>
        </w:rPr>
        <w:t>el</w:t>
      </w:r>
      <w:r>
        <w:rPr>
          <w:color w:val="231F20"/>
          <w:spacing w:val="-19"/>
          <w:w w:val="105"/>
        </w:rPr>
        <w:t> </w:t>
      </w:r>
      <w:r>
        <w:rPr>
          <w:color w:val="231F20"/>
          <w:spacing w:val="-4"/>
          <w:w w:val="105"/>
        </w:rPr>
        <w:t>algoritmo</w:t>
      </w:r>
      <w:r>
        <w:rPr>
          <w:color w:val="231F20"/>
          <w:spacing w:val="-19"/>
          <w:w w:val="105"/>
        </w:rPr>
        <w:t> </w:t>
      </w:r>
      <w:r>
        <w:rPr>
          <w:color w:val="231F20"/>
          <w:w w:val="105"/>
        </w:rPr>
        <w:t>de</w:t>
      </w:r>
      <w:r>
        <w:rPr>
          <w:color w:val="231F20"/>
          <w:spacing w:val="-19"/>
          <w:w w:val="105"/>
        </w:rPr>
        <w:t> </w:t>
      </w:r>
      <w:r>
        <w:rPr>
          <w:color w:val="231F20"/>
          <w:spacing w:val="-5"/>
          <w:w w:val="105"/>
        </w:rPr>
        <w:t>Nelder-Mead</w:t>
      </w:r>
      <w:r>
        <w:rPr>
          <w:color w:val="231F20"/>
          <w:spacing w:val="-19"/>
          <w:w w:val="105"/>
        </w:rPr>
        <w:t> </w:t>
      </w:r>
      <w:r>
        <w:rPr>
          <w:color w:val="231F20"/>
          <w:spacing w:val="-4"/>
          <w:w w:val="105"/>
        </w:rPr>
        <w:t>hacia</w:t>
      </w:r>
      <w:r>
        <w:rPr>
          <w:color w:val="231F20"/>
          <w:spacing w:val="-19"/>
          <w:w w:val="105"/>
        </w:rPr>
        <w:t> </w:t>
      </w:r>
      <w:r>
        <w:rPr>
          <w:color w:val="231F20"/>
          <w:w w:val="105"/>
        </w:rPr>
        <w:t>la</w:t>
      </w:r>
      <w:r>
        <w:rPr>
          <w:color w:val="231F20"/>
          <w:spacing w:val="-19"/>
          <w:w w:val="105"/>
        </w:rPr>
        <w:t> </w:t>
      </w:r>
      <w:r>
        <w:rPr>
          <w:color w:val="231F20"/>
          <w:spacing w:val="-4"/>
          <w:w w:val="105"/>
        </w:rPr>
        <w:t>búsqueda</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spacing w:val="-4"/>
          <w:w w:val="105"/>
        </w:rPr>
        <w:t>mínimo</w:t>
      </w:r>
      <w:r>
        <w:rPr>
          <w:color w:val="231F20"/>
          <w:spacing w:val="-19"/>
          <w:w w:val="105"/>
        </w:rPr>
        <w:t> </w:t>
      </w:r>
      <w:r>
        <w:rPr>
          <w:color w:val="231F20"/>
          <w:spacing w:val="-4"/>
          <w:w w:val="105"/>
        </w:rPr>
        <w:t>local</w:t>
      </w:r>
      <w:r>
        <w:rPr>
          <w:color w:val="231F20"/>
          <w:spacing w:val="-19"/>
          <w:w w:val="105"/>
        </w:rPr>
        <w:t> </w:t>
      </w:r>
      <w:r>
        <w:rPr>
          <w:color w:val="231F20"/>
          <w:spacing w:val="-3"/>
          <w:w w:val="105"/>
        </w:rPr>
        <w:t>con</w:t>
      </w:r>
      <w:r>
        <w:rPr>
          <w:color w:val="231F20"/>
          <w:spacing w:val="-19"/>
          <w:w w:val="105"/>
        </w:rPr>
        <w:t> </w:t>
      </w:r>
      <w:r>
        <w:rPr>
          <w:color w:val="231F20"/>
          <w:spacing w:val="-4"/>
          <w:w w:val="105"/>
        </w:rPr>
        <w:t>las características</w:t>
      </w:r>
      <w:r>
        <w:rPr>
          <w:color w:val="231F20"/>
          <w:spacing w:val="-19"/>
          <w:w w:val="105"/>
        </w:rPr>
        <w:t> </w:t>
      </w:r>
      <w:r>
        <w:rPr>
          <w:color w:val="231F20"/>
          <w:spacing w:val="-5"/>
          <w:w w:val="105"/>
        </w:rPr>
        <w:t>particulares</w:t>
      </w:r>
      <w:r>
        <w:rPr>
          <w:color w:val="231F20"/>
          <w:spacing w:val="-19"/>
          <w:w w:val="105"/>
        </w:rPr>
        <w:t> </w:t>
      </w:r>
      <w:r>
        <w:rPr>
          <w:color w:val="231F20"/>
          <w:w w:val="105"/>
        </w:rPr>
        <w:t>de</w:t>
      </w:r>
      <w:r>
        <w:rPr>
          <w:color w:val="231F20"/>
          <w:spacing w:val="-19"/>
          <w:w w:val="105"/>
        </w:rPr>
        <w:t> </w:t>
      </w:r>
      <w:r>
        <w:rPr>
          <w:color w:val="231F20"/>
          <w:spacing w:val="-3"/>
          <w:w w:val="105"/>
        </w:rPr>
        <w:t>los</w:t>
      </w:r>
      <w:r>
        <w:rPr>
          <w:color w:val="231F20"/>
          <w:spacing w:val="-19"/>
          <w:w w:val="105"/>
        </w:rPr>
        <w:t> </w:t>
      </w:r>
      <w:r>
        <w:rPr>
          <w:color w:val="231F20"/>
          <w:spacing w:val="-4"/>
          <w:w w:val="105"/>
        </w:rPr>
        <w:t>rendimientos</w:t>
      </w:r>
      <w:r>
        <w:rPr>
          <w:color w:val="231F20"/>
          <w:spacing w:val="-19"/>
          <w:w w:val="105"/>
        </w:rPr>
        <w:t> </w:t>
      </w:r>
      <w:r>
        <w:rPr>
          <w:color w:val="231F20"/>
          <w:spacing w:val="-3"/>
          <w:w w:val="105"/>
        </w:rPr>
        <w:t>del</w:t>
      </w:r>
      <w:r>
        <w:rPr>
          <w:color w:val="231F20"/>
          <w:spacing w:val="-19"/>
          <w:w w:val="105"/>
        </w:rPr>
        <w:t> </w:t>
      </w:r>
      <w:r>
        <w:rPr>
          <w:color w:val="231F20"/>
          <w:spacing w:val="-3"/>
          <w:w w:val="105"/>
        </w:rPr>
        <w:t>tipo</w:t>
      </w:r>
      <w:r>
        <w:rPr>
          <w:color w:val="231F20"/>
          <w:spacing w:val="-19"/>
          <w:w w:val="105"/>
        </w:rPr>
        <w:t> </w:t>
      </w:r>
      <w:r>
        <w:rPr>
          <w:color w:val="231F20"/>
          <w:w w:val="105"/>
        </w:rPr>
        <w:t>de</w:t>
      </w:r>
      <w:r>
        <w:rPr>
          <w:color w:val="231F20"/>
          <w:spacing w:val="-19"/>
          <w:w w:val="105"/>
        </w:rPr>
        <w:t> </w:t>
      </w:r>
      <w:r>
        <w:rPr>
          <w:color w:val="231F20"/>
          <w:spacing w:val="-4"/>
          <w:w w:val="105"/>
        </w:rPr>
        <w:t>cambio.</w:t>
      </w:r>
    </w:p>
    <w:p>
      <w:pPr>
        <w:pStyle w:val="BodyText"/>
        <w:spacing w:line="252" w:lineRule="auto"/>
        <w:ind w:left="103" w:right="109" w:firstLine="567"/>
        <w:jc w:val="both"/>
      </w:pPr>
      <w:r>
        <w:rPr>
          <w:color w:val="231F20"/>
          <w:w w:val="105"/>
        </w:rPr>
        <w:t>En la figura 2 para la serie de los rendimientos del tipo de cam- bio (en adelante denominada </w:t>
      </w:r>
      <w:r>
        <w:rPr>
          <w:rFonts w:ascii="Times New Roman" w:hAnsi="Times New Roman" w:cs="Times New Roman" w:eastAsia="Times New Roman"/>
          <w:i/>
          <w:color w:val="231F20"/>
          <w:w w:val="105"/>
          <w:sz w:val="22"/>
          <w:szCs w:val="22"/>
        </w:rPr>
        <w:t>ϕ </w:t>
      </w:r>
      <w:r>
        <w:rPr>
          <w:color w:val="231F20"/>
          <w:w w:val="105"/>
        </w:rPr>
        <w:t>(</w:t>
      </w:r>
      <w:r>
        <w:rPr>
          <w:rFonts w:ascii="Times New Roman" w:hAnsi="Times New Roman" w:cs="Times New Roman" w:eastAsia="Times New Roman"/>
          <w:i/>
          <w:color w:val="231F20"/>
          <w:w w:val="105"/>
          <w:sz w:val="22"/>
          <w:szCs w:val="22"/>
        </w:rPr>
        <w:t>t</w:t>
      </w:r>
      <w:r>
        <w:rPr>
          <w:color w:val="231F20"/>
          <w:w w:val="105"/>
        </w:rPr>
        <w:t>)), puede observase el valor max       </w:t>
      </w:r>
      <w:r>
        <w:rPr>
          <w:rFonts w:ascii="Times New Roman" w:hAnsi="Times New Roman" w:cs="Times New Roman" w:eastAsia="Times New Roman"/>
          <w:i/>
          <w:color w:val="231F20"/>
          <w:w w:val="105"/>
          <w:sz w:val="22"/>
          <w:szCs w:val="22"/>
        </w:rPr>
        <w:t>ϕ</w:t>
      </w:r>
      <w:r>
        <w:rPr>
          <w:rFonts w:ascii="Times New Roman" w:hAnsi="Times New Roman" w:cs="Times New Roman" w:eastAsia="Times New Roman"/>
          <w:i/>
          <w:color w:val="231F20"/>
          <w:spacing w:val="-38"/>
          <w:w w:val="105"/>
          <w:sz w:val="22"/>
          <w:szCs w:val="22"/>
        </w:rPr>
        <w:t> </w:t>
      </w:r>
      <w:r>
        <w:rPr>
          <w:color w:val="231F20"/>
          <w:w w:val="105"/>
        </w:rPr>
        <w:t>(</w:t>
      </w:r>
      <w:r>
        <w:rPr>
          <w:rFonts w:ascii="Times New Roman" w:hAnsi="Times New Roman" w:cs="Times New Roman" w:eastAsia="Times New Roman"/>
          <w:i/>
          <w:color w:val="231F20"/>
          <w:w w:val="105"/>
          <w:sz w:val="22"/>
          <w:szCs w:val="22"/>
        </w:rPr>
        <w:t>t</w:t>
      </w:r>
      <w:r>
        <w:rPr>
          <w:color w:val="231F20"/>
          <w:w w:val="105"/>
        </w:rPr>
        <w:t>)</w:t>
      </w:r>
      <w:r>
        <w:rPr>
          <w:color w:val="231F20"/>
          <w:spacing w:val="-41"/>
          <w:w w:val="105"/>
        </w:rPr>
        <w:t> </w:t>
      </w:r>
      <w:r>
        <w:rPr>
          <w:rFonts w:ascii="Times New Roman" w:hAnsi="Times New Roman" w:cs="Times New Roman" w:eastAsia="Times New Roman"/>
          <w:color w:val="231F20"/>
          <w:w w:val="105"/>
          <w:sz w:val="22"/>
          <w:szCs w:val="22"/>
        </w:rPr>
        <w:t>=</w:t>
      </w:r>
      <w:r>
        <w:rPr>
          <w:rFonts w:ascii="Times New Roman" w:hAnsi="Times New Roman" w:cs="Times New Roman" w:eastAsia="Times New Roman"/>
          <w:color w:val="231F20"/>
          <w:spacing w:val="-38"/>
          <w:w w:val="105"/>
          <w:sz w:val="22"/>
          <w:szCs w:val="22"/>
        </w:rPr>
        <w:t> </w:t>
      </w:r>
      <w:r>
        <w:rPr>
          <w:color w:val="231F20"/>
          <w:w w:val="105"/>
        </w:rPr>
        <w:t>0.066684</w:t>
      </w:r>
      <w:r>
        <w:rPr>
          <w:color w:val="231F20"/>
          <w:spacing w:val="-18"/>
          <w:w w:val="105"/>
        </w:rPr>
        <w:t> </w:t>
      </w:r>
      <w:r>
        <w:rPr>
          <w:color w:val="231F20"/>
          <w:w w:val="105"/>
        </w:rPr>
        <w:t>y</w:t>
      </w:r>
      <w:r>
        <w:rPr>
          <w:color w:val="231F20"/>
          <w:spacing w:val="-18"/>
          <w:w w:val="105"/>
        </w:rPr>
        <w:t> </w:t>
      </w:r>
      <w:r>
        <w:rPr>
          <w:color w:val="231F20"/>
          <w:w w:val="105"/>
        </w:rPr>
        <w:t>min</w:t>
      </w:r>
      <w:r>
        <w:rPr>
          <w:color w:val="231F20"/>
          <w:spacing w:val="-41"/>
          <w:w w:val="105"/>
        </w:rPr>
        <w:t> </w:t>
      </w:r>
      <w:r>
        <w:rPr>
          <w:rFonts w:ascii="Times New Roman" w:hAnsi="Times New Roman" w:cs="Times New Roman" w:eastAsia="Times New Roman"/>
          <w:i/>
          <w:color w:val="231F20"/>
          <w:w w:val="105"/>
          <w:sz w:val="22"/>
          <w:szCs w:val="22"/>
        </w:rPr>
        <w:t>ϕ</w:t>
      </w:r>
      <w:r>
        <w:rPr>
          <w:rFonts w:ascii="Times New Roman" w:hAnsi="Times New Roman" w:cs="Times New Roman" w:eastAsia="Times New Roman"/>
          <w:i/>
          <w:color w:val="231F20"/>
          <w:spacing w:val="-38"/>
          <w:w w:val="105"/>
          <w:sz w:val="22"/>
          <w:szCs w:val="22"/>
        </w:rPr>
        <w:t> </w:t>
      </w:r>
      <w:r>
        <w:rPr>
          <w:color w:val="231F20"/>
          <w:w w:val="105"/>
        </w:rPr>
        <w:t>(</w:t>
      </w:r>
      <w:r>
        <w:rPr>
          <w:rFonts w:ascii="Times New Roman" w:hAnsi="Times New Roman" w:cs="Times New Roman" w:eastAsia="Times New Roman"/>
          <w:color w:val="231F20"/>
          <w:w w:val="105"/>
          <w:sz w:val="22"/>
          <w:szCs w:val="22"/>
        </w:rPr>
        <w:t>t</w:t>
      </w:r>
      <w:r>
        <w:rPr>
          <w:color w:val="231F20"/>
          <w:w w:val="105"/>
        </w:rPr>
        <w:t>)</w:t>
      </w:r>
      <w:r>
        <w:rPr>
          <w:color w:val="231F20"/>
          <w:spacing w:val="-41"/>
          <w:w w:val="105"/>
        </w:rPr>
        <w:t> </w:t>
      </w:r>
      <w:r>
        <w:rPr>
          <w:rFonts w:ascii="Times New Roman" w:hAnsi="Times New Roman" w:cs="Times New Roman" w:eastAsia="Times New Roman"/>
          <w:color w:val="231F20"/>
          <w:w w:val="105"/>
          <w:sz w:val="22"/>
          <w:szCs w:val="22"/>
        </w:rPr>
        <w:t>=</w:t>
      </w:r>
      <w:r>
        <w:rPr>
          <w:rFonts w:ascii="Times New Roman" w:hAnsi="Times New Roman" w:cs="Times New Roman" w:eastAsia="Times New Roman"/>
          <w:color w:val="231F20"/>
          <w:spacing w:val="-38"/>
          <w:w w:val="105"/>
          <w:sz w:val="22"/>
          <w:szCs w:val="22"/>
        </w:rPr>
        <w:t> </w:t>
      </w:r>
      <w:r>
        <w:rPr>
          <w:rFonts w:ascii="Times New Roman" w:hAnsi="Times New Roman" w:cs="Times New Roman" w:eastAsia="Times New Roman"/>
          <w:color w:val="231F20"/>
          <w:w w:val="105"/>
          <w:sz w:val="22"/>
          <w:szCs w:val="22"/>
        </w:rPr>
        <w:t>-</w:t>
      </w:r>
      <w:r>
        <w:rPr>
          <w:color w:val="231F20"/>
          <w:w w:val="105"/>
        </w:rPr>
        <w:t>0.057561.</w:t>
      </w:r>
      <w:r>
        <w:rPr>
          <w:color w:val="231F20"/>
          <w:spacing w:val="-25"/>
          <w:w w:val="105"/>
        </w:rPr>
        <w:t> </w:t>
      </w:r>
      <w:r>
        <w:rPr>
          <w:color w:val="231F20"/>
          <w:w w:val="105"/>
        </w:rPr>
        <w:t>Con</w:t>
      </w:r>
      <w:r>
        <w:rPr>
          <w:color w:val="231F20"/>
          <w:spacing w:val="-20"/>
          <w:w w:val="105"/>
        </w:rPr>
        <w:t> </w:t>
      </w:r>
      <w:r>
        <w:rPr>
          <w:color w:val="231F20"/>
          <w:w w:val="105"/>
        </w:rPr>
        <w:t>dichos</w:t>
      </w:r>
      <w:r>
        <w:rPr>
          <w:color w:val="231F20"/>
          <w:spacing w:val="-20"/>
          <w:w w:val="105"/>
        </w:rPr>
        <w:t> </w:t>
      </w:r>
      <w:r>
        <w:rPr>
          <w:color w:val="231F20"/>
          <w:w w:val="105"/>
        </w:rPr>
        <w:t>valores</w:t>
      </w:r>
      <w:r>
        <w:rPr>
          <w:color w:val="231F20"/>
          <w:spacing w:val="-20"/>
          <w:w w:val="105"/>
        </w:rPr>
        <w:t> </w:t>
      </w:r>
      <w:r>
        <w:rPr>
          <w:color w:val="231F20"/>
          <w:w w:val="105"/>
        </w:rPr>
        <w:t>se</w:t>
      </w:r>
      <w:r>
        <w:rPr>
          <w:color w:val="231F20"/>
          <w:spacing w:val="-20"/>
          <w:w w:val="105"/>
        </w:rPr>
        <w:t> </w:t>
      </w:r>
      <w:r>
        <w:rPr>
          <w:color w:val="231F20"/>
          <w:w w:val="105"/>
        </w:rPr>
        <w:t>conforma</w:t>
      </w:r>
      <w:r>
        <w:rPr>
          <w:color w:val="231F20"/>
          <w:spacing w:val="-20"/>
          <w:w w:val="105"/>
        </w:rPr>
        <w:t> </w:t>
      </w:r>
      <w:r>
        <w:rPr>
          <w:color w:val="231F20"/>
          <w:w w:val="105"/>
        </w:rPr>
        <w:t>el intervalo</w:t>
      </w:r>
      <w:r>
        <w:rPr>
          <w:color w:val="231F20"/>
          <w:spacing w:val="-26"/>
          <w:w w:val="105"/>
        </w:rPr>
        <w:t> </w:t>
      </w:r>
      <w:r>
        <w:rPr>
          <w:color w:val="231F20"/>
          <w:w w:val="105"/>
        </w:rPr>
        <w:t>para</w:t>
      </w:r>
      <w:r>
        <w:rPr>
          <w:color w:val="231F20"/>
          <w:spacing w:val="-26"/>
          <w:w w:val="105"/>
        </w:rPr>
        <w:t> </w:t>
      </w:r>
      <w:r>
        <w:rPr>
          <w:color w:val="231F20"/>
          <w:w w:val="105"/>
        </w:rPr>
        <w:t>el</w:t>
      </w:r>
      <w:r>
        <w:rPr>
          <w:color w:val="231F20"/>
          <w:spacing w:val="-26"/>
          <w:w w:val="105"/>
        </w:rPr>
        <w:t> </w:t>
      </w:r>
      <w:r>
        <w:rPr>
          <w:color w:val="231F20"/>
          <w:w w:val="105"/>
        </w:rPr>
        <w:t>cual</w:t>
      </w:r>
      <w:r>
        <w:rPr>
          <w:color w:val="231F20"/>
          <w:spacing w:val="-26"/>
          <w:w w:val="105"/>
        </w:rPr>
        <w:t> </w:t>
      </w:r>
      <w:r>
        <w:rPr>
          <w:color w:val="231F20"/>
          <w:w w:val="105"/>
        </w:rPr>
        <w:t>la</w:t>
      </w:r>
      <w:r>
        <w:rPr>
          <w:color w:val="231F20"/>
          <w:spacing w:val="-26"/>
          <w:w w:val="105"/>
        </w:rPr>
        <w:t> </w:t>
      </w:r>
      <w:r>
        <w:rPr>
          <w:color w:val="231F20"/>
          <w:w w:val="105"/>
        </w:rPr>
        <w:t>tasa</w:t>
      </w:r>
      <w:r>
        <w:rPr>
          <w:color w:val="231F20"/>
          <w:spacing w:val="-26"/>
          <w:w w:val="105"/>
        </w:rPr>
        <w:t> </w:t>
      </w:r>
      <w:r>
        <w:rPr>
          <w:color w:val="231F20"/>
          <w:w w:val="105"/>
        </w:rPr>
        <w:t>de</w:t>
      </w:r>
      <w:r>
        <w:rPr>
          <w:color w:val="231F20"/>
          <w:spacing w:val="-26"/>
          <w:w w:val="105"/>
        </w:rPr>
        <w:t> </w:t>
      </w:r>
      <w:r>
        <w:rPr>
          <w:color w:val="231F20"/>
          <w:w w:val="105"/>
        </w:rPr>
        <w:t>crecimiento</w:t>
      </w:r>
      <w:r>
        <w:rPr>
          <w:color w:val="231F20"/>
          <w:spacing w:val="-26"/>
          <w:w w:val="105"/>
        </w:rPr>
        <w:t> </w:t>
      </w:r>
      <w:r>
        <w:rPr>
          <w:color w:val="231F20"/>
          <w:w w:val="105"/>
        </w:rPr>
        <w:t>(parámetro</w:t>
      </w:r>
      <w:r>
        <w:rPr>
          <w:color w:val="231F20"/>
          <w:spacing w:val="-23"/>
          <w:w w:val="105"/>
        </w:rPr>
        <w:t> </w:t>
      </w:r>
      <w:r>
        <w:rPr>
          <w:rFonts w:ascii="Times New Roman" w:hAnsi="Times New Roman" w:cs="Times New Roman" w:eastAsia="Times New Roman"/>
          <w:i/>
          <w:color w:val="231F20"/>
          <w:w w:val="105"/>
          <w:sz w:val="22"/>
          <w:szCs w:val="22"/>
        </w:rPr>
        <w:t>μ</w:t>
      </w:r>
      <w:r>
        <w:rPr>
          <w:color w:val="231F20"/>
          <w:w w:val="105"/>
        </w:rPr>
        <w:t>)</w:t>
      </w:r>
      <w:r>
        <w:rPr>
          <w:color w:val="231F20"/>
          <w:spacing w:val="-26"/>
          <w:w w:val="105"/>
        </w:rPr>
        <w:t> </w:t>
      </w:r>
      <w:r>
        <w:rPr>
          <w:color w:val="231F20"/>
          <w:w w:val="105"/>
        </w:rPr>
        <w:t>para</w:t>
      </w:r>
      <w:r>
        <w:rPr>
          <w:color w:val="231F20"/>
          <w:spacing w:val="-26"/>
          <w:w w:val="105"/>
        </w:rPr>
        <w:t> </w:t>
      </w:r>
      <w:r>
        <w:rPr>
          <w:color w:val="231F20"/>
          <w:w w:val="105"/>
        </w:rPr>
        <w:t>el</w:t>
      </w:r>
      <w:r>
        <w:rPr>
          <w:color w:val="231F20"/>
          <w:spacing w:val="-26"/>
          <w:w w:val="105"/>
        </w:rPr>
        <w:t> </w:t>
      </w:r>
      <w:r>
        <w:rPr>
          <w:color w:val="231F20"/>
          <w:w w:val="105"/>
        </w:rPr>
        <w:t>proceso de difusión correspondiente al precio del activo subyacente es válido. Dicho</w:t>
      </w:r>
      <w:r>
        <w:rPr>
          <w:color w:val="231F20"/>
          <w:spacing w:val="-11"/>
          <w:w w:val="105"/>
        </w:rPr>
        <w:t> </w:t>
      </w:r>
      <w:r>
        <w:rPr>
          <w:color w:val="231F20"/>
          <w:w w:val="105"/>
        </w:rPr>
        <w:t>intervalo</w:t>
      </w:r>
      <w:r>
        <w:rPr>
          <w:color w:val="231F20"/>
          <w:spacing w:val="-11"/>
          <w:w w:val="105"/>
        </w:rPr>
        <w:t> </w:t>
      </w:r>
      <w:r>
        <w:rPr>
          <w:color w:val="231F20"/>
          <w:w w:val="105"/>
        </w:rPr>
        <w:t>es</w:t>
      </w:r>
      <w:r>
        <w:rPr>
          <w:color w:val="231F20"/>
          <w:spacing w:val="-11"/>
          <w:w w:val="105"/>
        </w:rPr>
        <w:t> </w:t>
      </w:r>
      <w:r>
        <w:rPr>
          <w:color w:val="231F20"/>
          <w:w w:val="105"/>
        </w:rPr>
        <w:t>[-15.0234,</w:t>
      </w:r>
      <w:r>
        <w:rPr>
          <w:color w:val="231F20"/>
          <w:spacing w:val="-18"/>
          <w:w w:val="105"/>
        </w:rPr>
        <w:t> </w:t>
      </w:r>
      <w:r>
        <w:rPr>
          <w:color w:val="231F20"/>
          <w:w w:val="105"/>
        </w:rPr>
        <w:t>17.40452],</w:t>
      </w:r>
      <w:r>
        <w:rPr>
          <w:color w:val="231F20"/>
          <w:spacing w:val="-18"/>
          <w:w w:val="105"/>
        </w:rPr>
        <w:t> </w:t>
      </w:r>
      <w:r>
        <w:rPr>
          <w:color w:val="231F20"/>
          <w:w w:val="105"/>
        </w:rPr>
        <w:t>obtenido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valores</w:t>
      </w:r>
      <w:r>
        <w:rPr>
          <w:color w:val="231F20"/>
          <w:spacing w:val="-11"/>
          <w:w w:val="105"/>
        </w:rPr>
        <w:t> </w:t>
      </w:r>
      <w:r>
        <w:rPr>
          <w:color w:val="231F20"/>
          <w:w w:val="105"/>
        </w:rPr>
        <w:t>mínimo y</w:t>
      </w:r>
      <w:r>
        <w:rPr>
          <w:color w:val="231F20"/>
          <w:spacing w:val="-5"/>
          <w:w w:val="105"/>
        </w:rPr>
        <w:t> </w:t>
      </w:r>
      <w:r>
        <w:rPr>
          <w:color w:val="231F20"/>
          <w:w w:val="105"/>
        </w:rPr>
        <w:t>máximo</w:t>
      </w:r>
      <w:r>
        <w:rPr>
          <w:color w:val="231F20"/>
          <w:spacing w:val="-5"/>
          <w:w w:val="105"/>
        </w:rPr>
        <w:t> </w:t>
      </w:r>
      <w:r>
        <w:rPr>
          <w:color w:val="231F20"/>
          <w:w w:val="105"/>
        </w:rPr>
        <w:t>multiplicados</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promedio</w:t>
      </w:r>
      <w:r>
        <w:rPr>
          <w:color w:val="231F20"/>
          <w:spacing w:val="-5"/>
          <w:w w:val="105"/>
        </w:rPr>
        <w:t> </w:t>
      </w:r>
      <w:r>
        <w:rPr>
          <w:color w:val="231F20"/>
          <w:w w:val="105"/>
        </w:rPr>
        <w:t>de</w:t>
      </w:r>
      <w:r>
        <w:rPr>
          <w:color w:val="231F20"/>
          <w:spacing w:val="-5"/>
          <w:w w:val="105"/>
        </w:rPr>
        <w:t> </w:t>
      </w:r>
      <w:r>
        <w:rPr>
          <w:color w:val="231F20"/>
          <w:w w:val="105"/>
        </w:rPr>
        <w:t>días</w:t>
      </w:r>
      <w:r>
        <w:rPr>
          <w:color w:val="231F20"/>
          <w:spacing w:val="-5"/>
          <w:w w:val="105"/>
        </w:rPr>
        <w:t> </w:t>
      </w:r>
      <w:r>
        <w:rPr>
          <w:color w:val="231F20"/>
          <w:w w:val="105"/>
        </w:rPr>
        <w:t>hábiles</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año</w:t>
      </w:r>
      <w:r>
        <w:rPr>
          <w:color w:val="231F20"/>
          <w:spacing w:val="-5"/>
          <w:w w:val="105"/>
        </w:rPr>
        <w:t> </w:t>
      </w:r>
      <w:r>
        <w:rPr>
          <w:color w:val="231F20"/>
          <w:w w:val="105"/>
        </w:rPr>
        <w:t>para el período seleccionado: 261 días. </w:t>
      </w:r>
      <w:r>
        <w:rPr>
          <w:color w:val="231F20"/>
          <w:spacing w:val="-6"/>
          <w:w w:val="105"/>
        </w:rPr>
        <w:t>Por </w:t>
      </w:r>
      <w:r>
        <w:rPr>
          <w:color w:val="231F20"/>
          <w:w w:val="105"/>
        </w:rPr>
        <w:t>tanto, para formar la semilla </w:t>
      </w:r>
      <w:r>
        <w:rPr>
          <w:color w:val="231F20"/>
          <w:spacing w:val="24"/>
          <w:w w:val="105"/>
        </w:rPr>
        <w:t> </w:t>
      </w:r>
      <w:r>
        <w:rPr>
          <w:rFonts w:ascii="Times New Roman" w:hAnsi="Times New Roman" w:cs="Times New Roman" w:eastAsia="Times New Roman"/>
          <w:i/>
          <w:color w:val="231F20"/>
          <w:w w:val="105"/>
          <w:sz w:val="22"/>
          <w:szCs w:val="22"/>
        </w:rPr>
        <w:t>х</w:t>
      </w:r>
      <w:r>
        <w:rPr>
          <w:color w:val="231F20"/>
          <w:w w:val="105"/>
          <w:position w:val="-4"/>
          <w:sz w:val="12"/>
          <w:szCs w:val="12"/>
        </w:rPr>
        <w:t>0</w:t>
      </w:r>
      <w:r>
        <w:rPr>
          <w:color w:val="231F20"/>
          <w:w w:val="105"/>
        </w:rPr>
        <w:t>,</w:t>
      </w:r>
    </w:p>
    <w:p>
      <w:pPr>
        <w:pStyle w:val="BodyText"/>
        <w:spacing w:line="236" w:lineRule="exact"/>
        <w:ind w:left="103" w:hanging="1"/>
        <w:jc w:val="both"/>
      </w:pPr>
      <w:r>
        <w:rPr>
          <w:color w:val="231F20"/>
        </w:rPr>
        <w:t>resulta coherente elegir como </w:t>
      </w:r>
      <w:r>
        <w:rPr>
          <w:rFonts w:ascii="Times New Roman" w:hAnsi="Times New Roman" w:cs="Times New Roman" w:eastAsia="Times New Roman"/>
          <w:i/>
          <w:color w:val="231F20"/>
        </w:rPr>
        <w:t>μ</w:t>
      </w:r>
      <w:r>
        <w:rPr>
          <w:color w:val="231F20"/>
          <w:position w:val="-4"/>
          <w:sz w:val="12"/>
          <w:szCs w:val="12"/>
        </w:rPr>
        <w:t>0  </w:t>
      </w:r>
      <w:r>
        <w:rPr>
          <w:color w:val="231F20"/>
        </w:rPr>
        <w:t>la media anualizada de la serie </w:t>
      </w:r>
      <w:r>
        <w:rPr>
          <w:rFonts w:ascii="Times New Roman" w:hAnsi="Times New Roman" w:cs="Times New Roman" w:eastAsia="Times New Roman"/>
          <w:i/>
          <w:color w:val="231F20"/>
          <w:sz w:val="22"/>
          <w:szCs w:val="22"/>
        </w:rPr>
        <w:t>ϕ </w:t>
      </w:r>
      <w:r>
        <w:rPr>
          <w:rFonts w:ascii="Times New Roman" w:hAnsi="Times New Roman" w:cs="Times New Roman" w:eastAsia="Times New Roman"/>
          <w:color w:val="231F20"/>
          <w:sz w:val="22"/>
          <w:szCs w:val="22"/>
        </w:rPr>
        <w:t>(</w:t>
      </w:r>
      <w:r>
        <w:rPr>
          <w:rFonts w:ascii="Times New Roman" w:hAnsi="Times New Roman" w:cs="Times New Roman" w:eastAsia="Times New Roman"/>
          <w:i/>
          <w:color w:val="231F20"/>
          <w:sz w:val="22"/>
          <w:szCs w:val="22"/>
        </w:rPr>
        <w:t>t</w:t>
      </w:r>
      <w:r>
        <w:rPr>
          <w:rFonts w:ascii="Times New Roman" w:hAnsi="Times New Roman" w:cs="Times New Roman" w:eastAsia="Times New Roman"/>
          <w:color w:val="231F20"/>
          <w:sz w:val="22"/>
          <w:szCs w:val="22"/>
        </w:rPr>
        <w:t>)</w:t>
      </w:r>
      <w:r>
        <w:rPr>
          <w:color w:val="231F20"/>
        </w:rPr>
        <w:t>, esto</w:t>
      </w:r>
    </w:p>
    <w:p>
      <w:pPr>
        <w:pStyle w:val="BodyText"/>
        <w:ind w:left="103" w:right="114"/>
        <w:jc w:val="both"/>
      </w:pPr>
      <w:r>
        <w:rPr>
          <w:color w:val="231F20"/>
        </w:rPr>
        <w:t>es </w:t>
      </w:r>
      <w:r>
        <w:rPr>
          <w:rFonts w:ascii="Times New Roman" w:hAnsi="Times New Roman" w:cs="Times New Roman" w:eastAsia="Times New Roman"/>
          <w:i/>
          <w:color w:val="231F20"/>
          <w:sz w:val="22"/>
          <w:szCs w:val="22"/>
        </w:rPr>
        <w:t>μ</w:t>
      </w:r>
      <w:r>
        <w:rPr>
          <w:color w:val="231F20"/>
          <w:position w:val="-4"/>
          <w:sz w:val="12"/>
          <w:szCs w:val="12"/>
        </w:rPr>
        <w:t>0 </w:t>
      </w:r>
      <w:r>
        <w:rPr>
          <w:rFonts w:ascii="Times New Roman" w:hAnsi="Times New Roman" w:cs="Times New Roman" w:eastAsia="Times New Roman"/>
          <w:color w:val="231F20"/>
          <w:sz w:val="22"/>
          <w:szCs w:val="22"/>
        </w:rPr>
        <w:t>= </w:t>
      </w:r>
      <w:r>
        <w:rPr>
          <w:color w:val="231F20"/>
        </w:rPr>
        <w:t>0.0000841</w:t>
      </w:r>
      <w:r>
        <w:rPr>
          <w:rFonts w:ascii="Times New Roman" w:hAnsi="Times New Roman" w:cs="Times New Roman" w:eastAsia="Times New Roman"/>
          <w:color w:val="231F20"/>
          <w:sz w:val="22"/>
          <w:szCs w:val="22"/>
        </w:rPr>
        <w:t>* </w:t>
      </w:r>
      <w:r>
        <w:rPr>
          <w:color w:val="231F20"/>
        </w:rPr>
        <w:t>261 = 0.02195010. De manera similar para el paráme- tro </w:t>
      </w:r>
      <w:r>
        <w:rPr>
          <w:rFonts w:ascii="Times New Roman" w:hAnsi="Times New Roman" w:cs="Times New Roman" w:eastAsia="Times New Roman"/>
          <w:i/>
          <w:color w:val="231F20"/>
        </w:rPr>
        <w:t>θ</w:t>
      </w:r>
      <w:r>
        <w:rPr>
          <w:color w:val="231F20"/>
        </w:rPr>
        <w:t>, que es la media de la varianza anualizada de los rendimientos del tipo de cambio a largo plazo y, debido a las simulaciones, se elige como intervalo de búsqueda [0</w:t>
      </w:r>
      <w:r>
        <w:rPr>
          <w:rFonts w:ascii="Times New Roman" w:hAnsi="Times New Roman" w:cs="Times New Roman" w:eastAsia="Times New Roman"/>
          <w:color w:val="231F20"/>
          <w:sz w:val="22"/>
          <w:szCs w:val="22"/>
        </w:rPr>
        <w:t>, </w:t>
      </w:r>
      <w:r>
        <w:rPr>
          <w:rFonts w:ascii="Times New Roman" w:hAnsi="Times New Roman" w:cs="Times New Roman" w:eastAsia="Times New Roman"/>
          <w:i/>
          <w:color w:val="231F20"/>
          <w:sz w:val="22"/>
          <w:szCs w:val="22"/>
        </w:rPr>
        <w:t>ɑ</w:t>
      </w:r>
      <w:r>
        <w:rPr>
          <w:color w:val="231F20"/>
        </w:rPr>
        <w:t>], donde </w:t>
      </w:r>
      <w:r>
        <w:rPr>
          <w:rFonts w:ascii="Times New Roman" w:hAnsi="Times New Roman" w:cs="Times New Roman" w:eastAsia="Times New Roman"/>
          <w:i/>
          <w:color w:val="231F20"/>
          <w:sz w:val="22"/>
          <w:szCs w:val="22"/>
        </w:rPr>
        <w:t>ɑ </w:t>
      </w:r>
      <w:r>
        <w:rPr>
          <w:rFonts w:ascii="Times New Roman" w:hAnsi="Times New Roman" w:cs="Times New Roman" w:eastAsia="Times New Roman"/>
          <w:color w:val="231F20"/>
          <w:sz w:val="22"/>
          <w:szCs w:val="22"/>
        </w:rPr>
        <w:t>= </w:t>
      </w:r>
      <w:r>
        <w:rPr>
          <w:color w:val="231F20"/>
        </w:rPr>
        <w:t>max (</w:t>
      </w:r>
      <w:r>
        <w:rPr>
          <w:rFonts w:ascii="Times New Roman" w:hAnsi="Times New Roman" w:cs="Times New Roman" w:eastAsia="Times New Roman"/>
          <w:i/>
          <w:color w:val="231F20"/>
          <w:sz w:val="22"/>
          <w:szCs w:val="22"/>
        </w:rPr>
        <w:t>ϕ </w:t>
      </w:r>
      <w:r>
        <w:rPr>
          <w:color w:val="231F20"/>
        </w:rPr>
        <w:t>(</w:t>
      </w:r>
      <w:r>
        <w:rPr>
          <w:rFonts w:ascii="Times New Roman" w:hAnsi="Times New Roman" w:cs="Times New Roman" w:eastAsia="Times New Roman"/>
          <w:i/>
          <w:color w:val="231F20"/>
          <w:sz w:val="22"/>
          <w:szCs w:val="22"/>
        </w:rPr>
        <w:t>t</w:t>
      </w:r>
      <w:r>
        <w:rPr>
          <w:color w:val="231F20"/>
        </w:rPr>
        <w:t>))</w:t>
      </w:r>
      <w:r>
        <w:rPr>
          <w:color w:val="231F20"/>
          <w:position w:val="7"/>
          <w:sz w:val="12"/>
          <w:szCs w:val="12"/>
        </w:rPr>
        <w:t>2 </w:t>
      </w:r>
      <w:r>
        <w:rPr>
          <w:rFonts w:ascii="Times New Roman" w:hAnsi="Times New Roman" w:cs="Times New Roman" w:eastAsia="Times New Roman"/>
          <w:color w:val="231F20"/>
          <w:sz w:val="22"/>
          <w:szCs w:val="22"/>
        </w:rPr>
        <w:t>* </w:t>
      </w:r>
      <w:r>
        <w:rPr>
          <w:color w:val="231F20"/>
        </w:rPr>
        <w:t>261 </w:t>
      </w:r>
      <w:r>
        <w:rPr>
          <w:rFonts w:ascii="Times New Roman" w:hAnsi="Times New Roman" w:cs="Times New Roman" w:eastAsia="Times New Roman"/>
          <w:color w:val="231F20"/>
          <w:sz w:val="22"/>
          <w:szCs w:val="22"/>
        </w:rPr>
        <w:t>= </w:t>
      </w:r>
      <w:r>
        <w:rPr>
          <w:color w:val="231F20"/>
        </w:rPr>
        <w:t>(0.066684)</w:t>
      </w:r>
      <w:r>
        <w:rPr>
          <w:color w:val="231F20"/>
          <w:position w:val="7"/>
          <w:sz w:val="12"/>
          <w:szCs w:val="12"/>
        </w:rPr>
        <w:t>2 </w:t>
      </w:r>
      <w:r>
        <w:rPr>
          <w:rFonts w:ascii="Times New Roman" w:hAnsi="Times New Roman" w:cs="Times New Roman" w:eastAsia="Times New Roman"/>
          <w:color w:val="231F20"/>
          <w:sz w:val="22"/>
          <w:szCs w:val="22"/>
        </w:rPr>
        <w:t>* </w:t>
      </w:r>
      <w:r>
        <w:rPr>
          <w:color w:val="231F20"/>
        </w:rPr>
        <w:t>261 </w:t>
      </w:r>
      <w:r>
        <w:rPr>
          <w:rFonts w:ascii="Times New Roman" w:hAnsi="Times New Roman" w:cs="Times New Roman" w:eastAsia="Times New Roman"/>
          <w:color w:val="231F20"/>
          <w:sz w:val="22"/>
          <w:szCs w:val="22"/>
        </w:rPr>
        <w:t>= </w:t>
      </w:r>
      <w:r>
        <w:rPr>
          <w:color w:val="231F20"/>
        </w:rPr>
        <w:t>1.160603</w:t>
      </w:r>
      <w:r>
        <w:rPr>
          <w:i/>
          <w:color w:val="231F20"/>
        </w:rPr>
        <w:t>, </w:t>
      </w:r>
      <w:r>
        <w:rPr>
          <w:color w:val="231F20"/>
        </w:rPr>
        <w:t>y como parámetro semilla del vector </w:t>
      </w:r>
      <w:r>
        <w:rPr>
          <w:rFonts w:ascii="Times New Roman" w:hAnsi="Times New Roman" w:cs="Times New Roman" w:eastAsia="Times New Roman"/>
          <w:i/>
          <w:color w:val="231F20"/>
          <w:sz w:val="22"/>
          <w:szCs w:val="22"/>
        </w:rPr>
        <w:t>х</w:t>
      </w:r>
      <w:r>
        <w:rPr>
          <w:rFonts w:ascii="Times New Roman" w:hAnsi="Times New Roman" w:cs="Times New Roman" w:eastAsia="Times New Roman"/>
          <w:color w:val="231F20"/>
          <w:position w:val="-4"/>
          <w:sz w:val="13"/>
          <w:szCs w:val="13"/>
        </w:rPr>
        <w:t>0</w:t>
      </w:r>
      <w:r>
        <w:rPr>
          <w:color w:val="231F20"/>
        </w:rPr>
        <w:t>, se propone la varianza anualizada de </w:t>
      </w:r>
      <w:r>
        <w:rPr>
          <w:rFonts w:ascii="Times New Roman" w:hAnsi="Times New Roman" w:cs="Times New Roman" w:eastAsia="Times New Roman"/>
          <w:i/>
          <w:color w:val="231F20"/>
          <w:sz w:val="22"/>
          <w:szCs w:val="22"/>
        </w:rPr>
        <w:t>ϕ </w:t>
      </w:r>
      <w:r>
        <w:rPr>
          <w:color w:val="231F20"/>
        </w:rPr>
        <w:t>(</w:t>
      </w:r>
      <w:r>
        <w:rPr>
          <w:rFonts w:ascii="Times New Roman" w:hAnsi="Times New Roman" w:cs="Times New Roman" w:eastAsia="Times New Roman"/>
          <w:i/>
          <w:color w:val="231F20"/>
          <w:sz w:val="22"/>
          <w:szCs w:val="22"/>
        </w:rPr>
        <w:t>t</w:t>
      </w:r>
      <w:r>
        <w:rPr>
          <w:color w:val="231F20"/>
        </w:rPr>
        <w:t>), es decir, </w:t>
      </w:r>
      <w:r>
        <w:rPr>
          <w:rFonts w:ascii="Times New Roman" w:hAnsi="Times New Roman" w:cs="Times New Roman" w:eastAsia="Times New Roman"/>
          <w:i/>
          <w:color w:val="231F20"/>
          <w:sz w:val="22"/>
          <w:szCs w:val="22"/>
        </w:rPr>
        <w:t>θ</w:t>
      </w:r>
      <w:r>
        <w:rPr>
          <w:color w:val="231F20"/>
          <w:position w:val="-4"/>
          <w:sz w:val="12"/>
          <w:szCs w:val="12"/>
        </w:rPr>
        <w:t>0</w:t>
      </w:r>
      <w:r>
        <w:rPr>
          <w:rFonts w:ascii="Times New Roman" w:hAnsi="Times New Roman" w:cs="Times New Roman" w:eastAsia="Times New Roman"/>
          <w:i/>
          <w:color w:val="231F20"/>
          <w:sz w:val="22"/>
          <w:szCs w:val="22"/>
        </w:rPr>
        <w:t>= </w:t>
      </w:r>
      <w:r>
        <w:rPr>
          <w:color w:val="231F20"/>
        </w:rPr>
        <w:t>0.0000497 </w:t>
      </w:r>
      <w:r>
        <w:rPr>
          <w:rFonts w:ascii="Times New Roman" w:hAnsi="Times New Roman" w:cs="Times New Roman" w:eastAsia="Times New Roman"/>
          <w:color w:val="231F20"/>
          <w:sz w:val="22"/>
          <w:szCs w:val="22"/>
        </w:rPr>
        <w:t>* </w:t>
      </w:r>
      <w:r>
        <w:rPr>
          <w:color w:val="231F20"/>
        </w:rPr>
        <w:t>261 </w:t>
      </w:r>
      <w:r>
        <w:rPr>
          <w:rFonts w:ascii="Times New Roman" w:hAnsi="Times New Roman" w:cs="Times New Roman" w:eastAsia="Times New Roman"/>
          <w:color w:val="231F20"/>
          <w:sz w:val="22"/>
          <w:szCs w:val="22"/>
        </w:rPr>
        <w:t>= </w:t>
      </w:r>
      <w:r>
        <w:rPr>
          <w:color w:val="231F20"/>
        </w:rPr>
        <w:t>0.01296867.</w:t>
      </w:r>
    </w:p>
    <w:p>
      <w:pPr>
        <w:pStyle w:val="BodyText"/>
        <w:spacing w:line="237" w:lineRule="auto"/>
        <w:ind w:left="103" w:right="109" w:firstLine="567"/>
        <w:jc w:val="both"/>
      </w:pPr>
      <w:r>
        <w:rPr>
          <w:color w:val="231F20"/>
          <w:spacing w:val="-4"/>
          <w:w w:val="105"/>
        </w:rPr>
        <w:t>Para </w:t>
      </w:r>
      <w:r>
        <w:rPr>
          <w:color w:val="231F20"/>
          <w:w w:val="105"/>
        </w:rPr>
        <w:t>determinar el intervalo de </w:t>
      </w:r>
      <w:r>
        <w:rPr>
          <w:rFonts w:ascii="Times New Roman" w:hAnsi="Times New Roman"/>
          <w:i/>
          <w:color w:val="231F20"/>
          <w:w w:val="105"/>
        </w:rPr>
        <w:t>σ </w:t>
      </w:r>
      <w:r>
        <w:rPr>
          <w:color w:val="231F20"/>
          <w:w w:val="105"/>
        </w:rPr>
        <w:t>se obtuvo por simulación que el intervalo</w:t>
      </w:r>
      <w:r>
        <w:rPr>
          <w:color w:val="231F20"/>
          <w:spacing w:val="-6"/>
          <w:w w:val="105"/>
        </w:rPr>
        <w:t> </w:t>
      </w:r>
      <w:r>
        <w:rPr>
          <w:color w:val="231F20"/>
          <w:w w:val="105"/>
        </w:rPr>
        <w:t>adecuado</w:t>
      </w:r>
      <w:r>
        <w:rPr>
          <w:color w:val="231F20"/>
          <w:spacing w:val="-6"/>
          <w:w w:val="105"/>
        </w:rPr>
        <w:t> </w:t>
      </w:r>
      <w:r>
        <w:rPr>
          <w:color w:val="231F20"/>
          <w:w w:val="105"/>
        </w:rPr>
        <w:t>era</w:t>
      </w:r>
      <w:r>
        <w:rPr>
          <w:color w:val="231F20"/>
          <w:spacing w:val="-6"/>
          <w:w w:val="105"/>
        </w:rPr>
        <w:t> </w:t>
      </w:r>
      <w:r>
        <w:rPr>
          <w:color w:val="231F20"/>
          <w:w w:val="105"/>
        </w:rPr>
        <w:t>(0,1]</w:t>
      </w:r>
      <w:r>
        <w:rPr>
          <w:color w:val="231F20"/>
          <w:spacing w:val="-6"/>
          <w:w w:val="105"/>
        </w:rPr>
        <w:t> </w:t>
      </w:r>
      <w:r>
        <w:rPr>
          <w:color w:val="231F20"/>
          <w:w w:val="105"/>
        </w:rPr>
        <w:t>en</w:t>
      </w:r>
      <w:r>
        <w:rPr>
          <w:color w:val="231F20"/>
          <w:spacing w:val="-6"/>
          <w:w w:val="105"/>
        </w:rPr>
        <w:t> </w:t>
      </w:r>
      <w:r>
        <w:rPr>
          <w:color w:val="231F20"/>
          <w:w w:val="105"/>
        </w:rPr>
        <w:t>vista</w:t>
      </w:r>
      <w:r>
        <w:rPr>
          <w:color w:val="231F20"/>
          <w:spacing w:val="-6"/>
          <w:w w:val="105"/>
        </w:rPr>
        <w:t> </w:t>
      </w:r>
      <w:r>
        <w:rPr>
          <w:color w:val="231F20"/>
          <w:w w:val="105"/>
        </w:rPr>
        <w:t>que</w:t>
      </w:r>
      <w:r>
        <w:rPr>
          <w:color w:val="231F20"/>
          <w:spacing w:val="-6"/>
          <w:w w:val="105"/>
        </w:rPr>
        <w:t> </w:t>
      </w:r>
      <w:r>
        <w:rPr>
          <w:color w:val="231F20"/>
          <w:w w:val="105"/>
        </w:rPr>
        <w:t>debía</w:t>
      </w:r>
      <w:r>
        <w:rPr>
          <w:color w:val="231F20"/>
          <w:spacing w:val="-6"/>
          <w:w w:val="105"/>
        </w:rPr>
        <w:t> </w:t>
      </w:r>
      <w:r>
        <w:rPr>
          <w:color w:val="231F20"/>
          <w:w w:val="105"/>
        </w:rPr>
        <w:t>ser</w:t>
      </w:r>
      <w:r>
        <w:rPr>
          <w:color w:val="231F20"/>
          <w:spacing w:val="-6"/>
          <w:w w:val="105"/>
        </w:rPr>
        <w:t> </w:t>
      </w:r>
      <w:r>
        <w:rPr>
          <w:color w:val="231F20"/>
          <w:w w:val="105"/>
        </w:rPr>
        <w:t>positivo</w:t>
      </w:r>
      <w:r>
        <w:rPr>
          <w:color w:val="231F20"/>
          <w:spacing w:val="-6"/>
          <w:w w:val="105"/>
        </w:rPr>
        <w:t> </w:t>
      </w:r>
      <w:r>
        <w:rPr>
          <w:color w:val="231F20"/>
          <w:w w:val="105"/>
        </w:rPr>
        <w:t>por</w:t>
      </w:r>
      <w:r>
        <w:rPr>
          <w:color w:val="231F20"/>
          <w:spacing w:val="-6"/>
          <w:w w:val="105"/>
        </w:rPr>
        <w:t> </w:t>
      </w:r>
      <w:r>
        <w:rPr>
          <w:color w:val="231F20"/>
          <w:w w:val="105"/>
        </w:rPr>
        <w:t>tratarse de la volatilidad de la volatilidad </w:t>
      </w:r>
      <w:r>
        <w:rPr>
          <w:rFonts w:ascii="Times New Roman" w:hAnsi="Times New Roman"/>
          <w:i/>
          <w:color w:val="231F20"/>
          <w:w w:val="105"/>
          <w:sz w:val="22"/>
        </w:rPr>
        <w:t>v</w:t>
      </w:r>
      <w:r>
        <w:rPr>
          <w:rFonts w:ascii="Times New Roman" w:hAnsi="Times New Roman"/>
          <w:i/>
          <w:color w:val="231F20"/>
          <w:w w:val="105"/>
          <w:position w:val="-4"/>
          <w:sz w:val="13"/>
        </w:rPr>
        <w:t>t </w:t>
      </w:r>
      <w:r>
        <w:rPr>
          <w:color w:val="231F20"/>
          <w:w w:val="105"/>
        </w:rPr>
        <w:t>del modelo de Heston (1993). </w:t>
      </w:r>
      <w:r>
        <w:rPr>
          <w:color w:val="231F20"/>
          <w:spacing w:val="-4"/>
          <w:w w:val="105"/>
        </w:rPr>
        <w:t>Para </w:t>
      </w:r>
      <w:r>
        <w:rPr>
          <w:color w:val="231F20"/>
          <w:w w:val="105"/>
        </w:rPr>
        <w:t>el parámetro </w:t>
      </w:r>
      <w:r>
        <w:rPr>
          <w:rFonts w:ascii="Times New Roman" w:hAnsi="Times New Roman"/>
          <w:i/>
          <w:color w:val="231F20"/>
          <w:w w:val="105"/>
          <w:sz w:val="22"/>
        </w:rPr>
        <w:t>σ</w:t>
      </w:r>
      <w:r>
        <w:rPr>
          <w:color w:val="231F20"/>
          <w:w w:val="105"/>
          <w:position w:val="-4"/>
          <w:sz w:val="12"/>
        </w:rPr>
        <w:t>0 </w:t>
      </w:r>
      <w:r>
        <w:rPr>
          <w:color w:val="231F20"/>
          <w:w w:val="105"/>
        </w:rPr>
        <w:t>de </w:t>
      </w:r>
      <w:r>
        <w:rPr>
          <w:rFonts w:ascii="Times New Roman" w:hAnsi="Times New Roman"/>
          <w:i/>
          <w:color w:val="231F20"/>
          <w:w w:val="105"/>
          <w:sz w:val="22"/>
        </w:rPr>
        <w:t>х</w:t>
      </w:r>
      <w:r>
        <w:rPr>
          <w:color w:val="231F20"/>
          <w:w w:val="105"/>
          <w:position w:val="-4"/>
          <w:sz w:val="12"/>
        </w:rPr>
        <w:t>0 </w:t>
      </w:r>
      <w:r>
        <w:rPr>
          <w:color w:val="231F20"/>
          <w:w w:val="105"/>
        </w:rPr>
        <w:t>se eligió </w:t>
      </w:r>
      <w:r>
        <w:rPr>
          <w:rFonts w:ascii="Times New Roman" w:hAnsi="Times New Roman"/>
          <w:i/>
          <w:color w:val="231F20"/>
          <w:w w:val="105"/>
          <w:sz w:val="22"/>
        </w:rPr>
        <w:t>σ</w:t>
      </w:r>
      <w:r>
        <w:rPr>
          <w:color w:val="231F20"/>
          <w:w w:val="105"/>
          <w:position w:val="-4"/>
          <w:sz w:val="12"/>
        </w:rPr>
        <w:t>0 </w:t>
      </w:r>
      <w:r>
        <w:rPr>
          <w:rFonts w:ascii="Times New Roman" w:hAnsi="Times New Roman"/>
          <w:color w:val="231F20"/>
          <w:w w:val="105"/>
          <w:sz w:val="22"/>
        </w:rPr>
        <w:t>= </w:t>
      </w:r>
      <w:r>
        <w:rPr>
          <w:color w:val="231F20"/>
          <w:w w:val="105"/>
        </w:rPr>
        <w:t>0.00094 </w:t>
      </w:r>
      <w:r>
        <w:rPr>
          <w:rFonts w:ascii="Times New Roman" w:hAnsi="Times New Roman"/>
          <w:color w:val="231F20"/>
          <w:w w:val="105"/>
          <w:sz w:val="22"/>
        </w:rPr>
        <w:t>* </w:t>
      </w:r>
      <w:r>
        <w:rPr>
          <w:rFonts w:ascii="Times New Roman" w:hAnsi="Times New Roman"/>
          <w:color w:val="231F20"/>
          <w:w w:val="105"/>
        </w:rPr>
        <w:t>261 </w:t>
      </w:r>
      <w:r>
        <w:rPr>
          <w:rFonts w:ascii="Times New Roman" w:hAnsi="Times New Roman"/>
          <w:color w:val="231F20"/>
          <w:w w:val="105"/>
          <w:sz w:val="22"/>
        </w:rPr>
        <w:t>= </w:t>
      </w:r>
      <w:r>
        <w:rPr>
          <w:color w:val="231F20"/>
          <w:w w:val="105"/>
        </w:rPr>
        <w:t>0.245340 a partir</w:t>
      </w:r>
      <w:r>
        <w:rPr>
          <w:color w:val="231F20"/>
          <w:spacing w:val="-29"/>
          <w:w w:val="105"/>
        </w:rPr>
        <w:t> </w:t>
      </w:r>
      <w:r>
        <w:rPr>
          <w:color w:val="231F20"/>
          <w:w w:val="105"/>
        </w:rPr>
        <w:t>del cálculo de la volatilidad de la volatilidad de los rendimientos de la</w:t>
      </w:r>
      <w:r>
        <w:rPr>
          <w:color w:val="231F20"/>
          <w:spacing w:val="10"/>
          <w:w w:val="105"/>
        </w:rPr>
        <w:t> </w:t>
      </w:r>
      <w:r>
        <w:rPr>
          <w:color w:val="231F20"/>
          <w:w w:val="105"/>
        </w:rPr>
        <w:t>serie</w:t>
      </w:r>
    </w:p>
    <w:p>
      <w:pPr>
        <w:pStyle w:val="BodyText"/>
        <w:spacing w:line="260" w:lineRule="exact" w:before="8"/>
        <w:ind w:left="103" w:right="109"/>
        <w:jc w:val="both"/>
      </w:pPr>
      <w:r>
        <w:rPr>
          <w:color w:val="231F20"/>
          <w:w w:val="105"/>
        </w:rPr>
        <w:t>seleccionada</w:t>
      </w:r>
      <w:r>
        <w:rPr>
          <w:color w:val="231F20"/>
          <w:spacing w:val="-30"/>
          <w:w w:val="105"/>
        </w:rPr>
        <w:t> </w:t>
      </w:r>
      <w:r>
        <w:rPr>
          <w:color w:val="231F20"/>
          <w:w w:val="105"/>
        </w:rPr>
        <w:t>y</w:t>
      </w:r>
      <w:r>
        <w:rPr>
          <w:color w:val="231F20"/>
          <w:spacing w:val="-30"/>
          <w:w w:val="105"/>
        </w:rPr>
        <w:t> </w:t>
      </w:r>
      <w:r>
        <w:rPr>
          <w:color w:val="231F20"/>
          <w:w w:val="105"/>
        </w:rPr>
        <w:t>anualizada.</w:t>
      </w:r>
      <w:r>
        <w:rPr>
          <w:color w:val="231F20"/>
          <w:spacing w:val="-34"/>
          <w:w w:val="105"/>
        </w:rPr>
        <w:t> </w:t>
      </w:r>
      <w:r>
        <w:rPr>
          <w:color w:val="231F20"/>
          <w:spacing w:val="-4"/>
          <w:w w:val="105"/>
        </w:rPr>
        <w:t>Para</w:t>
      </w:r>
      <w:r>
        <w:rPr>
          <w:color w:val="231F20"/>
          <w:spacing w:val="-30"/>
          <w:w w:val="105"/>
        </w:rPr>
        <w:t> </w:t>
      </w:r>
      <w:r>
        <w:rPr>
          <w:rFonts w:ascii="Times New Roman" w:hAnsi="Times New Roman"/>
          <w:i/>
          <w:color w:val="231F20"/>
          <w:w w:val="105"/>
        </w:rPr>
        <w:t>κ</w:t>
      </w:r>
      <w:r>
        <w:rPr>
          <w:color w:val="231F20"/>
          <w:w w:val="105"/>
        </w:rPr>
        <w:t>,</w:t>
      </w:r>
      <w:r>
        <w:rPr>
          <w:color w:val="231F20"/>
          <w:spacing w:val="-34"/>
          <w:w w:val="105"/>
        </w:rPr>
        <w:t> </w:t>
      </w:r>
      <w:r>
        <w:rPr>
          <w:color w:val="231F20"/>
          <w:w w:val="105"/>
        </w:rPr>
        <w:t>de</w:t>
      </w:r>
      <w:r>
        <w:rPr>
          <w:color w:val="231F20"/>
          <w:spacing w:val="-30"/>
          <w:w w:val="105"/>
        </w:rPr>
        <w:t> </w:t>
      </w:r>
      <w:r>
        <w:rPr>
          <w:color w:val="231F20"/>
          <w:w w:val="105"/>
        </w:rPr>
        <w:t>acuerdo</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literatura</w:t>
      </w:r>
      <w:r>
        <w:rPr>
          <w:color w:val="231F20"/>
          <w:spacing w:val="-30"/>
          <w:w w:val="105"/>
        </w:rPr>
        <w:t> </w:t>
      </w:r>
      <w:r>
        <w:rPr>
          <w:color w:val="231F20"/>
          <w:w w:val="105"/>
        </w:rPr>
        <w:t>(Bakshi</w:t>
      </w:r>
      <w:r>
        <w:rPr>
          <w:color w:val="231F20"/>
          <w:spacing w:val="-30"/>
          <w:w w:val="105"/>
        </w:rPr>
        <w:t> </w:t>
      </w:r>
      <w:r>
        <w:rPr>
          <w:i/>
          <w:color w:val="231F20"/>
          <w:w w:val="105"/>
        </w:rPr>
        <w:t>et</w:t>
      </w:r>
      <w:r>
        <w:rPr>
          <w:i/>
          <w:color w:val="231F20"/>
          <w:spacing w:val="-30"/>
          <w:w w:val="105"/>
        </w:rPr>
        <w:t> </w:t>
      </w:r>
      <w:r>
        <w:rPr>
          <w:i/>
          <w:color w:val="231F20"/>
          <w:w w:val="105"/>
        </w:rPr>
        <w:t>al</w:t>
      </w:r>
      <w:r>
        <w:rPr>
          <w:color w:val="231F20"/>
          <w:w w:val="105"/>
        </w:rPr>
        <w:t>., 1997;</w:t>
      </w:r>
      <w:r>
        <w:rPr>
          <w:color w:val="231F20"/>
          <w:spacing w:val="-26"/>
          <w:w w:val="105"/>
        </w:rPr>
        <w:t> </w:t>
      </w:r>
      <w:r>
        <w:rPr>
          <w:color w:val="231F20"/>
          <w:w w:val="105"/>
        </w:rPr>
        <w:t>Grajales,</w:t>
      </w:r>
      <w:r>
        <w:rPr>
          <w:color w:val="231F20"/>
          <w:spacing w:val="-31"/>
          <w:w w:val="105"/>
        </w:rPr>
        <w:t> </w:t>
      </w:r>
      <w:r>
        <w:rPr>
          <w:color w:val="231F20"/>
          <w:w w:val="105"/>
        </w:rPr>
        <w:t>2006),</w:t>
      </w:r>
      <w:r>
        <w:rPr>
          <w:color w:val="231F20"/>
          <w:spacing w:val="-31"/>
          <w:w w:val="105"/>
        </w:rPr>
        <w:t> </w:t>
      </w:r>
      <w:r>
        <w:rPr>
          <w:color w:val="231F20"/>
          <w:w w:val="105"/>
        </w:rPr>
        <w:t>se</w:t>
      </w:r>
      <w:r>
        <w:rPr>
          <w:color w:val="231F20"/>
          <w:spacing w:val="-26"/>
          <w:w w:val="105"/>
        </w:rPr>
        <w:t> </w:t>
      </w:r>
      <w:r>
        <w:rPr>
          <w:color w:val="231F20"/>
          <w:w w:val="105"/>
        </w:rPr>
        <w:t>elige</w:t>
      </w:r>
      <w:r>
        <w:rPr>
          <w:color w:val="231F20"/>
          <w:spacing w:val="-26"/>
          <w:w w:val="105"/>
        </w:rPr>
        <w:t> </w:t>
      </w:r>
      <w:r>
        <w:rPr>
          <w:color w:val="231F20"/>
          <w:w w:val="105"/>
        </w:rPr>
        <w:t>el</w:t>
      </w:r>
      <w:r>
        <w:rPr>
          <w:color w:val="231F20"/>
          <w:spacing w:val="-26"/>
          <w:w w:val="105"/>
        </w:rPr>
        <w:t> </w:t>
      </w:r>
      <w:r>
        <w:rPr>
          <w:color w:val="231F20"/>
          <w:w w:val="105"/>
        </w:rPr>
        <w:t>intervalo</w:t>
      </w:r>
      <w:r>
        <w:rPr>
          <w:color w:val="231F20"/>
          <w:spacing w:val="-26"/>
          <w:w w:val="105"/>
        </w:rPr>
        <w:t> </w:t>
      </w:r>
      <w:r>
        <w:rPr>
          <w:color w:val="231F20"/>
          <w:w w:val="105"/>
        </w:rPr>
        <w:t>(0,</w:t>
      </w:r>
      <w:r>
        <w:rPr>
          <w:color w:val="231F20"/>
          <w:spacing w:val="-31"/>
          <w:w w:val="105"/>
        </w:rPr>
        <w:t> </w:t>
      </w:r>
      <w:r>
        <w:rPr>
          <w:rFonts w:ascii="Times New Roman" w:hAnsi="Times New Roman"/>
          <w:color w:val="231F20"/>
          <w:w w:val="105"/>
          <w:sz w:val="22"/>
        </w:rPr>
        <w:t>∞</w:t>
      </w:r>
      <w:r>
        <w:rPr>
          <w:color w:val="231F20"/>
          <w:w w:val="105"/>
        </w:rPr>
        <w:t>)</w:t>
      </w:r>
      <w:r>
        <w:rPr>
          <w:color w:val="231F20"/>
          <w:spacing w:val="-26"/>
          <w:w w:val="105"/>
        </w:rPr>
        <w:t> </w:t>
      </w:r>
      <w:r>
        <w:rPr>
          <w:color w:val="231F20"/>
          <w:w w:val="105"/>
        </w:rPr>
        <w:t>consistente</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hecho de que en el modelo de Heston </w:t>
      </w:r>
      <w:r>
        <w:rPr>
          <w:rFonts w:ascii="Times New Roman" w:hAnsi="Times New Roman"/>
          <w:i/>
          <w:color w:val="231F20"/>
          <w:w w:val="105"/>
        </w:rPr>
        <w:t>κ </w:t>
      </w:r>
      <w:r>
        <w:rPr>
          <w:color w:val="231F20"/>
          <w:w w:val="105"/>
        </w:rPr>
        <w:t>corresponde a la velocidad con que la</w:t>
      </w:r>
      <w:r>
        <w:rPr>
          <w:color w:val="231F20"/>
          <w:spacing w:val="-9"/>
          <w:w w:val="105"/>
        </w:rPr>
        <w:t> </w:t>
      </w:r>
      <w:r>
        <w:rPr>
          <w:color w:val="231F20"/>
          <w:w w:val="105"/>
        </w:rPr>
        <w:t>varianza</w:t>
      </w:r>
      <w:r>
        <w:rPr>
          <w:color w:val="231F20"/>
          <w:spacing w:val="-9"/>
          <w:w w:val="105"/>
        </w:rPr>
        <w:t> </w:t>
      </w:r>
      <w:r>
        <w:rPr>
          <w:rFonts w:ascii="Times New Roman" w:hAnsi="Times New Roman"/>
          <w:i/>
          <w:color w:val="231F20"/>
          <w:w w:val="105"/>
          <w:sz w:val="22"/>
        </w:rPr>
        <w:t>v</w:t>
      </w:r>
      <w:r>
        <w:rPr>
          <w:rFonts w:ascii="Times New Roman" w:hAnsi="Times New Roman"/>
          <w:i/>
          <w:color w:val="231F20"/>
          <w:w w:val="105"/>
          <w:position w:val="-4"/>
          <w:sz w:val="13"/>
        </w:rPr>
        <w:t>t</w:t>
      </w:r>
      <w:r>
        <w:rPr>
          <w:rFonts w:ascii="Times New Roman" w:hAnsi="Times New Roman"/>
          <w:i/>
          <w:color w:val="231F20"/>
          <w:spacing w:val="17"/>
          <w:w w:val="105"/>
          <w:position w:val="-4"/>
          <w:sz w:val="13"/>
        </w:rPr>
        <w:t> </w:t>
      </w:r>
      <w:r>
        <w:rPr>
          <w:color w:val="231F20"/>
          <w:w w:val="105"/>
        </w:rPr>
        <w:t>retorna</w:t>
      </w:r>
      <w:r>
        <w:rPr>
          <w:color w:val="231F20"/>
          <w:spacing w:val="-9"/>
          <w:w w:val="105"/>
        </w:rPr>
        <w:t> </w:t>
      </w:r>
      <w:r>
        <w:rPr>
          <w:color w:val="231F20"/>
          <w:w w:val="105"/>
        </w:rPr>
        <w:t>a</w:t>
      </w:r>
      <w:r>
        <w:rPr>
          <w:color w:val="231F20"/>
          <w:spacing w:val="-9"/>
          <w:w w:val="105"/>
        </w:rPr>
        <w:t> </w:t>
      </w:r>
      <w:r>
        <w:rPr>
          <w:color w:val="231F20"/>
          <w:w w:val="105"/>
        </w:rPr>
        <w:t>su</w:t>
      </w:r>
      <w:r>
        <w:rPr>
          <w:color w:val="231F20"/>
          <w:spacing w:val="-9"/>
          <w:w w:val="105"/>
        </w:rPr>
        <w:t> </w:t>
      </w:r>
      <w:r>
        <w:rPr>
          <w:color w:val="231F20"/>
          <w:w w:val="105"/>
        </w:rPr>
        <w:t>media</w:t>
      </w:r>
      <w:r>
        <w:rPr>
          <w:color w:val="231F20"/>
          <w:spacing w:val="-9"/>
          <w:w w:val="105"/>
        </w:rPr>
        <w:t> </w:t>
      </w:r>
      <w:r>
        <w:rPr>
          <w:color w:val="231F20"/>
          <w:w w:val="105"/>
        </w:rPr>
        <w:t>de</w:t>
      </w:r>
      <w:r>
        <w:rPr>
          <w:color w:val="231F20"/>
          <w:spacing w:val="-9"/>
          <w:w w:val="105"/>
        </w:rPr>
        <w:t> </w:t>
      </w:r>
      <w:r>
        <w:rPr>
          <w:color w:val="231F20"/>
          <w:w w:val="105"/>
        </w:rPr>
        <w:t>largo</w:t>
      </w:r>
      <w:r>
        <w:rPr>
          <w:color w:val="231F20"/>
          <w:spacing w:val="-9"/>
          <w:w w:val="105"/>
        </w:rPr>
        <w:t> </w:t>
      </w:r>
      <w:r>
        <w:rPr>
          <w:color w:val="231F20"/>
          <w:w w:val="105"/>
        </w:rPr>
        <w:t>plazo</w:t>
      </w:r>
      <w:r>
        <w:rPr>
          <w:color w:val="231F20"/>
          <w:spacing w:val="-9"/>
          <w:w w:val="105"/>
        </w:rPr>
        <w:t> </w:t>
      </w:r>
      <w:r>
        <w:rPr>
          <w:rFonts w:ascii="Times New Roman" w:hAnsi="Times New Roman"/>
          <w:i/>
          <w:color w:val="231F20"/>
          <w:w w:val="105"/>
          <w:sz w:val="22"/>
        </w:rPr>
        <w:t>θ</w:t>
      </w:r>
      <w:r>
        <w:rPr>
          <w:rFonts w:ascii="Times New Roman" w:hAnsi="Times New Roman"/>
          <w:i/>
          <w:color w:val="231F20"/>
          <w:spacing w:val="-6"/>
          <w:w w:val="105"/>
          <w:sz w:val="22"/>
        </w:rPr>
        <w:t> </w:t>
      </w:r>
      <w:r>
        <w:rPr>
          <w:color w:val="231F20"/>
          <w:spacing w:val="-4"/>
          <w:w w:val="105"/>
        </w:rPr>
        <w:t>y,</w:t>
      </w:r>
      <w:r>
        <w:rPr>
          <w:color w:val="231F20"/>
          <w:spacing w:val="-15"/>
          <w:w w:val="105"/>
        </w:rPr>
        <w:t> </w:t>
      </w:r>
      <w:r>
        <w:rPr>
          <w:color w:val="231F20"/>
          <w:w w:val="105"/>
        </w:rPr>
        <w:t>por</w:t>
      </w:r>
      <w:r>
        <w:rPr>
          <w:color w:val="231F20"/>
          <w:spacing w:val="-9"/>
          <w:w w:val="105"/>
        </w:rPr>
        <w:t> </w:t>
      </w:r>
      <w:r>
        <w:rPr>
          <w:color w:val="231F20"/>
          <w:w w:val="105"/>
        </w:rPr>
        <w:t>consiguiente,</w:t>
      </w:r>
      <w:r>
        <w:rPr>
          <w:color w:val="231F20"/>
          <w:spacing w:val="-15"/>
          <w:w w:val="105"/>
        </w:rPr>
        <w:t> </w:t>
      </w:r>
      <w:r>
        <w:rPr>
          <w:color w:val="231F20"/>
          <w:w w:val="105"/>
        </w:rPr>
        <w:t>se hace que </w:t>
      </w:r>
      <w:r>
        <w:rPr>
          <w:rFonts w:ascii="Times New Roman" w:hAnsi="Times New Roman"/>
          <w:i/>
          <w:color w:val="231F20"/>
          <w:w w:val="105"/>
        </w:rPr>
        <w:t>κ </w:t>
      </w:r>
      <w:r>
        <w:rPr>
          <w:color w:val="231F20"/>
          <w:w w:val="105"/>
        </w:rPr>
        <w:t>asuma valores positivos tanto para mercados</w:t>
      </w:r>
      <w:r>
        <w:rPr>
          <w:color w:val="231F20"/>
          <w:spacing w:val="-39"/>
          <w:w w:val="105"/>
        </w:rPr>
        <w:t> </w:t>
      </w:r>
      <w:r>
        <w:rPr>
          <w:color w:val="231F20"/>
          <w:w w:val="105"/>
        </w:rPr>
        <w:t>desarrollados como para mercados emergentes. Se elige </w:t>
      </w:r>
      <w:r>
        <w:rPr>
          <w:rFonts w:ascii="Times New Roman" w:hAnsi="Times New Roman"/>
          <w:i/>
          <w:color w:val="231F20"/>
          <w:w w:val="105"/>
          <w:sz w:val="22"/>
        </w:rPr>
        <w:t>κ</w:t>
      </w:r>
      <w:r>
        <w:rPr>
          <w:color w:val="231F20"/>
          <w:w w:val="105"/>
          <w:position w:val="-4"/>
          <w:sz w:val="12"/>
        </w:rPr>
        <w:t>0 </w:t>
      </w:r>
      <w:r>
        <w:rPr>
          <w:rFonts w:ascii="Times New Roman" w:hAnsi="Times New Roman"/>
          <w:color w:val="231F20"/>
          <w:w w:val="105"/>
          <w:sz w:val="22"/>
        </w:rPr>
        <w:t>= </w:t>
      </w:r>
      <w:r>
        <w:rPr>
          <w:color w:val="231F20"/>
          <w:w w:val="105"/>
        </w:rPr>
        <w:t>4 obtenido de la expe- rimentación con el modelo simulado. Finalmente, el parámetro </w:t>
      </w:r>
      <w:r>
        <w:rPr>
          <w:rFonts w:ascii="Times New Roman" w:hAnsi="Times New Roman"/>
          <w:i/>
          <w:color w:val="231F20"/>
          <w:w w:val="105"/>
          <w:sz w:val="22"/>
        </w:rPr>
        <w:t>ρ </w:t>
      </w:r>
      <w:r>
        <w:rPr>
          <w:color w:val="231F20"/>
          <w:w w:val="105"/>
        </w:rPr>
        <w:t>de</w:t>
      </w:r>
      <w:r>
        <w:rPr>
          <w:color w:val="231F20"/>
          <w:spacing w:val="-25"/>
          <w:w w:val="105"/>
        </w:rPr>
        <w:t> </w:t>
      </w:r>
      <w:r>
        <w:rPr>
          <w:color w:val="231F20"/>
          <w:w w:val="105"/>
        </w:rPr>
        <w:t>co- rrelación</w:t>
      </w:r>
      <w:r>
        <w:rPr>
          <w:color w:val="231F20"/>
          <w:spacing w:val="-17"/>
          <w:w w:val="105"/>
        </w:rPr>
        <w:t> </w:t>
      </w:r>
      <w:r>
        <w:rPr>
          <w:color w:val="231F20"/>
          <w:w w:val="105"/>
        </w:rPr>
        <w:t>tiene</w:t>
      </w:r>
      <w:r>
        <w:rPr>
          <w:color w:val="231F20"/>
          <w:spacing w:val="-17"/>
          <w:w w:val="105"/>
        </w:rPr>
        <w:t> </w:t>
      </w:r>
      <w:r>
        <w:rPr>
          <w:color w:val="231F20"/>
          <w:w w:val="105"/>
        </w:rPr>
        <w:t>su</w:t>
      </w:r>
      <w:r>
        <w:rPr>
          <w:color w:val="231F20"/>
          <w:spacing w:val="-17"/>
          <w:w w:val="105"/>
        </w:rPr>
        <w:t> </w:t>
      </w:r>
      <w:r>
        <w:rPr>
          <w:color w:val="231F20"/>
          <w:w w:val="105"/>
        </w:rPr>
        <w:t>intervalo</w:t>
      </w:r>
      <w:r>
        <w:rPr>
          <w:color w:val="231F20"/>
          <w:spacing w:val="-17"/>
          <w:w w:val="105"/>
        </w:rPr>
        <w:t> </w:t>
      </w:r>
      <w:r>
        <w:rPr>
          <w:color w:val="231F20"/>
          <w:w w:val="105"/>
        </w:rPr>
        <w:t>natural</w:t>
      </w:r>
      <w:r>
        <w:rPr>
          <w:color w:val="231F20"/>
          <w:spacing w:val="-17"/>
          <w:w w:val="105"/>
        </w:rPr>
        <w:t> </w:t>
      </w:r>
      <w:r>
        <w:rPr>
          <w:color w:val="231F20"/>
          <w:w w:val="105"/>
        </w:rPr>
        <w:t>[-1,1]</w:t>
      </w:r>
      <w:r>
        <w:rPr>
          <w:color w:val="231F20"/>
          <w:spacing w:val="-17"/>
          <w:w w:val="105"/>
        </w:rPr>
        <w:t> </w:t>
      </w:r>
      <w:r>
        <w:rPr>
          <w:color w:val="231F20"/>
          <w:w w:val="105"/>
        </w:rPr>
        <w:t>y</w:t>
      </w:r>
      <w:r>
        <w:rPr>
          <w:color w:val="231F20"/>
          <w:spacing w:val="-17"/>
          <w:w w:val="105"/>
        </w:rPr>
        <w:t> </w:t>
      </w:r>
      <w:r>
        <w:rPr>
          <w:color w:val="231F20"/>
          <w:w w:val="105"/>
        </w:rPr>
        <w:t>para</w:t>
      </w:r>
      <w:r>
        <w:rPr>
          <w:color w:val="231F20"/>
          <w:spacing w:val="-17"/>
          <w:w w:val="105"/>
        </w:rPr>
        <w:t> </w:t>
      </w:r>
      <w:r>
        <w:rPr>
          <w:color w:val="231F20"/>
          <w:w w:val="105"/>
        </w:rPr>
        <w:t>la</w:t>
      </w:r>
      <w:r>
        <w:rPr>
          <w:color w:val="231F20"/>
          <w:spacing w:val="-17"/>
          <w:w w:val="105"/>
        </w:rPr>
        <w:t> </w:t>
      </w:r>
      <w:r>
        <w:rPr>
          <w:color w:val="231F20"/>
          <w:w w:val="105"/>
        </w:rPr>
        <w:t>componente</w:t>
      </w:r>
      <w:r>
        <w:rPr>
          <w:color w:val="231F20"/>
          <w:spacing w:val="-17"/>
          <w:w w:val="105"/>
        </w:rPr>
        <w:t> </w:t>
      </w:r>
      <w:r>
        <w:rPr>
          <w:rFonts w:ascii="Times New Roman" w:hAnsi="Times New Roman"/>
          <w:i/>
          <w:color w:val="231F20"/>
          <w:w w:val="105"/>
          <w:sz w:val="22"/>
        </w:rPr>
        <w:t>ρ</w:t>
      </w:r>
      <w:r>
        <w:rPr>
          <w:color w:val="231F20"/>
          <w:w w:val="105"/>
          <w:position w:val="-4"/>
          <w:sz w:val="12"/>
        </w:rPr>
        <w:t>0</w:t>
      </w:r>
      <w:r>
        <w:rPr>
          <w:color w:val="231F20"/>
          <w:spacing w:val="9"/>
          <w:w w:val="105"/>
          <w:position w:val="-4"/>
          <w:sz w:val="12"/>
        </w:rPr>
        <w:t> </w:t>
      </w:r>
      <w:r>
        <w:rPr>
          <w:color w:val="231F20"/>
          <w:w w:val="105"/>
        </w:rPr>
        <w:t>de</w:t>
      </w:r>
      <w:r>
        <w:rPr>
          <w:color w:val="231F20"/>
          <w:spacing w:val="-17"/>
          <w:w w:val="105"/>
        </w:rPr>
        <w:t> </w:t>
      </w:r>
      <w:r>
        <w:rPr>
          <w:rFonts w:ascii="Times New Roman" w:hAnsi="Times New Roman"/>
          <w:i/>
          <w:color w:val="231F20"/>
          <w:w w:val="105"/>
          <w:sz w:val="22"/>
        </w:rPr>
        <w:t>х</w:t>
      </w:r>
      <w:r>
        <w:rPr>
          <w:color w:val="231F20"/>
          <w:w w:val="105"/>
          <w:position w:val="-4"/>
          <w:sz w:val="12"/>
        </w:rPr>
        <w:t>0</w:t>
      </w:r>
      <w:r>
        <w:rPr>
          <w:color w:val="231F20"/>
          <w:spacing w:val="9"/>
          <w:w w:val="105"/>
          <w:position w:val="-4"/>
          <w:sz w:val="12"/>
        </w:rPr>
        <w:t> </w:t>
      </w:r>
      <w:r>
        <w:rPr>
          <w:color w:val="231F20"/>
          <w:w w:val="105"/>
        </w:rPr>
        <w:t>se eligió</w:t>
      </w:r>
      <w:r>
        <w:rPr>
          <w:color w:val="231F20"/>
          <w:spacing w:val="-1"/>
          <w:w w:val="105"/>
        </w:rPr>
        <w:t> </w:t>
      </w:r>
      <w:r>
        <w:rPr>
          <w:rFonts w:ascii="Times New Roman" w:hAnsi="Times New Roman"/>
          <w:i/>
          <w:color w:val="231F20"/>
          <w:w w:val="105"/>
          <w:sz w:val="22"/>
        </w:rPr>
        <w:t>ρ</w:t>
      </w:r>
      <w:r>
        <w:rPr>
          <w:color w:val="231F20"/>
          <w:w w:val="105"/>
          <w:position w:val="-4"/>
          <w:sz w:val="12"/>
        </w:rPr>
        <w:t>0</w:t>
      </w:r>
      <w:r>
        <w:rPr>
          <w:color w:val="231F20"/>
          <w:spacing w:val="-20"/>
          <w:w w:val="105"/>
          <w:position w:val="-4"/>
          <w:sz w:val="12"/>
        </w:rPr>
        <w:t> </w:t>
      </w:r>
      <w:r>
        <w:rPr>
          <w:rFonts w:ascii="Times New Roman" w:hAnsi="Times New Roman"/>
          <w:color w:val="231F20"/>
          <w:w w:val="105"/>
          <w:sz w:val="22"/>
        </w:rPr>
        <w:t>=</w:t>
      </w:r>
      <w:r>
        <w:rPr>
          <w:rFonts w:ascii="Times New Roman" w:hAnsi="Times New Roman"/>
          <w:color w:val="231F20"/>
          <w:spacing w:val="-30"/>
          <w:w w:val="105"/>
          <w:sz w:val="22"/>
        </w:rPr>
        <w:t> </w:t>
      </w:r>
      <w:r>
        <w:rPr>
          <w:color w:val="231F20"/>
          <w:w w:val="105"/>
        </w:rPr>
        <w:t>0.15236133</w:t>
      </w:r>
      <w:r>
        <w:rPr>
          <w:color w:val="231F20"/>
          <w:spacing w:val="-1"/>
          <w:w w:val="105"/>
        </w:rPr>
        <w:t> </w:t>
      </w:r>
      <w:r>
        <w:rPr>
          <w:color w:val="231F20"/>
          <w:w w:val="105"/>
        </w:rPr>
        <w:t>obtenido</w:t>
      </w:r>
      <w:r>
        <w:rPr>
          <w:color w:val="231F20"/>
          <w:spacing w:val="-1"/>
          <w:w w:val="105"/>
        </w:rPr>
        <w:t> </w:t>
      </w:r>
      <w:r>
        <w:rPr>
          <w:color w:val="231F20"/>
          <w:w w:val="105"/>
        </w:rPr>
        <w:t>de</w:t>
      </w:r>
      <w:r>
        <w:rPr>
          <w:color w:val="231F20"/>
          <w:spacing w:val="-1"/>
          <w:w w:val="105"/>
        </w:rPr>
        <w:t> </w:t>
      </w:r>
      <w:r>
        <w:rPr>
          <w:color w:val="231F20"/>
          <w:w w:val="105"/>
        </w:rPr>
        <w:t>la</w:t>
      </w:r>
      <w:r>
        <w:rPr>
          <w:color w:val="231F20"/>
          <w:spacing w:val="-1"/>
          <w:w w:val="105"/>
        </w:rPr>
        <w:t> </w:t>
      </w:r>
      <w:r>
        <w:rPr>
          <w:color w:val="231F20"/>
          <w:w w:val="105"/>
        </w:rPr>
        <w:t>correlación</w:t>
      </w:r>
      <w:r>
        <w:rPr>
          <w:color w:val="231F20"/>
          <w:spacing w:val="-1"/>
          <w:w w:val="105"/>
        </w:rPr>
        <w:t> </w:t>
      </w:r>
      <w:r>
        <w:rPr>
          <w:color w:val="231F20"/>
          <w:w w:val="105"/>
        </w:rPr>
        <w:t>entre</w:t>
      </w:r>
      <w:r>
        <w:rPr>
          <w:color w:val="231F20"/>
          <w:spacing w:val="-1"/>
          <w:w w:val="105"/>
        </w:rPr>
        <w:t> </w:t>
      </w:r>
      <w:r>
        <w:rPr>
          <w:color w:val="231F20"/>
          <w:w w:val="105"/>
        </w:rPr>
        <w:t>los</w:t>
      </w:r>
      <w:r>
        <w:rPr>
          <w:color w:val="231F20"/>
          <w:spacing w:val="-1"/>
          <w:w w:val="105"/>
        </w:rPr>
        <w:t> </w:t>
      </w:r>
      <w:r>
        <w:rPr>
          <w:color w:val="231F20"/>
          <w:w w:val="105"/>
        </w:rPr>
        <w:t>rendimientos y</w:t>
      </w:r>
      <w:r>
        <w:rPr>
          <w:color w:val="231F20"/>
          <w:spacing w:val="-5"/>
          <w:w w:val="105"/>
        </w:rPr>
        <w:t> </w:t>
      </w:r>
      <w:r>
        <w:rPr>
          <w:color w:val="231F20"/>
          <w:w w:val="105"/>
        </w:rPr>
        <w:t>la</w:t>
      </w:r>
      <w:r>
        <w:rPr>
          <w:color w:val="231F20"/>
          <w:spacing w:val="-5"/>
          <w:w w:val="105"/>
        </w:rPr>
        <w:t> </w:t>
      </w:r>
      <w:r>
        <w:rPr>
          <w:color w:val="231F20"/>
          <w:w w:val="105"/>
        </w:rPr>
        <w:t>volatilidad</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cambios</w:t>
      </w:r>
      <w:r>
        <w:rPr>
          <w:color w:val="231F20"/>
          <w:spacing w:val="-5"/>
          <w:w w:val="105"/>
        </w:rPr>
        <w:t> </w:t>
      </w:r>
      <w:r>
        <w:rPr>
          <w:color w:val="231F20"/>
          <w:w w:val="105"/>
        </w:rPr>
        <w:t>del</w:t>
      </w:r>
      <w:r>
        <w:rPr>
          <w:color w:val="231F20"/>
          <w:spacing w:val="-5"/>
          <w:w w:val="105"/>
        </w:rPr>
        <w:t> </w:t>
      </w:r>
      <w:r>
        <w:rPr>
          <w:color w:val="231F20"/>
          <w:w w:val="105"/>
        </w:rPr>
        <w:t>tipo</w:t>
      </w:r>
      <w:r>
        <w:rPr>
          <w:color w:val="231F20"/>
          <w:spacing w:val="-5"/>
          <w:w w:val="105"/>
        </w:rPr>
        <w:t> </w:t>
      </w:r>
      <w:r>
        <w:rPr>
          <w:color w:val="231F20"/>
          <w:w w:val="105"/>
        </w:rPr>
        <w:t>de</w:t>
      </w:r>
      <w:r>
        <w:rPr>
          <w:color w:val="231F20"/>
          <w:spacing w:val="-5"/>
          <w:w w:val="105"/>
        </w:rPr>
        <w:t> </w:t>
      </w:r>
      <w:r>
        <w:rPr>
          <w:color w:val="231F20"/>
          <w:w w:val="105"/>
        </w:rPr>
        <w:t>cambio.</w:t>
      </w:r>
    </w:p>
    <w:p>
      <w:pPr>
        <w:pStyle w:val="BodyText"/>
        <w:spacing w:line="260" w:lineRule="exact"/>
        <w:ind w:left="103" w:right="115" w:firstLine="567"/>
        <w:jc w:val="both"/>
      </w:pPr>
      <w:r>
        <w:rPr>
          <w:color w:val="231F20"/>
          <w:w w:val="105"/>
        </w:rPr>
        <w:t>De acuerdo con lo anterior, el dominio de la función </w:t>
      </w:r>
      <w:r>
        <w:rPr>
          <w:rFonts w:ascii="Times New Roman" w:hAnsi="Times New Roman"/>
          <w:color w:val="231F20"/>
          <w:w w:val="105"/>
          <w:sz w:val="22"/>
        </w:rPr>
        <w:t>Ψ </w:t>
      </w:r>
      <w:r>
        <w:rPr>
          <w:color w:val="231F20"/>
          <w:w w:val="105"/>
        </w:rPr>
        <w:t>(</w:t>
      </w:r>
      <w:r>
        <w:rPr>
          <w:rFonts w:ascii="Times New Roman" w:hAnsi="Times New Roman"/>
          <w:i/>
          <w:color w:val="231F20"/>
          <w:w w:val="105"/>
          <w:sz w:val="22"/>
        </w:rPr>
        <w:t>х</w:t>
      </w:r>
      <w:r>
        <w:rPr>
          <w:i/>
          <w:color w:val="231F20"/>
          <w:w w:val="105"/>
          <w:position w:val="-4"/>
          <w:sz w:val="12"/>
        </w:rPr>
        <w:t>0</w:t>
      </w:r>
      <w:r>
        <w:rPr>
          <w:color w:val="231F20"/>
          <w:w w:val="105"/>
        </w:rPr>
        <w:t>) origi- </w:t>
      </w:r>
      <w:r>
        <w:rPr>
          <w:color w:val="231F20"/>
        </w:rPr>
        <w:t>nalmente  </w:t>
      </w:r>
      <w:r>
        <w:rPr>
          <w:color w:val="231F20"/>
          <w:spacing w:val="5"/>
          <w:position w:val="-5"/>
        </w:rPr>
        <w:drawing>
          <wp:inline distT="0" distB="0" distL="0" distR="0">
            <wp:extent cx="134111" cy="176771"/>
            <wp:effectExtent l="0" t="0" r="0" b="0"/>
            <wp:docPr id="91" name="image92.png" descr=""/>
            <wp:cNvGraphicFramePr>
              <a:graphicFrameLocks noChangeAspect="1"/>
            </wp:cNvGraphicFramePr>
            <a:graphic>
              <a:graphicData uri="http://schemas.openxmlformats.org/drawingml/2006/picture">
                <pic:pic>
                  <pic:nvPicPr>
                    <pic:cNvPr id="92" name="image92.png"/>
                    <pic:cNvPicPr/>
                  </pic:nvPicPr>
                  <pic:blipFill>
                    <a:blip r:embed="rId116" cstate="print"/>
                    <a:stretch>
                      <a:fillRect/>
                    </a:stretch>
                  </pic:blipFill>
                  <pic:spPr>
                    <a:xfrm>
                      <a:off x="0" y="0"/>
                      <a:ext cx="134111" cy="176771"/>
                    </a:xfrm>
                    <a:prstGeom prst="rect">
                      <a:avLst/>
                    </a:prstGeom>
                  </pic:spPr>
                </pic:pic>
              </a:graphicData>
            </a:graphic>
          </wp:inline>
        </w:drawing>
      </w:r>
      <w:r>
        <w:rPr>
          <w:color w:val="231F20"/>
          <w:spacing w:val="5"/>
          <w:position w:val="-5"/>
        </w:rPr>
      </w:r>
      <w:r>
        <w:rPr>
          <w:color w:val="231F20"/>
          <w:w w:val="105"/>
          <w:position w:val="7"/>
          <w:sz w:val="12"/>
        </w:rPr>
        <w:t>5 </w:t>
      </w:r>
      <w:r>
        <w:rPr>
          <w:color w:val="231F20"/>
          <w:w w:val="105"/>
        </w:rPr>
        <w:t>para el modelo de Heston, puede restringirse al producto cartesiano:</w:t>
      </w:r>
      <w:r>
        <w:rPr>
          <w:color w:val="231F20"/>
          <w:spacing w:val="-24"/>
          <w:w w:val="105"/>
        </w:rPr>
        <w:t> </w:t>
      </w:r>
      <w:r>
        <w:rPr>
          <w:color w:val="231F20"/>
          <w:w w:val="105"/>
        </w:rPr>
        <w:t>[-15.0234,</w:t>
      </w:r>
      <w:r>
        <w:rPr>
          <w:color w:val="231F20"/>
          <w:spacing w:val="-29"/>
          <w:w w:val="105"/>
        </w:rPr>
        <w:t> </w:t>
      </w:r>
      <w:r>
        <w:rPr>
          <w:color w:val="231F20"/>
          <w:w w:val="105"/>
        </w:rPr>
        <w:t>17.40452]</w:t>
      </w:r>
      <w:r>
        <w:rPr>
          <w:color w:val="231F20"/>
          <w:spacing w:val="-24"/>
          <w:w w:val="105"/>
        </w:rPr>
        <w:t> </w:t>
      </w:r>
      <w:r>
        <w:rPr>
          <w:color w:val="231F20"/>
          <w:w w:val="105"/>
        </w:rPr>
        <w:t>×</w:t>
      </w:r>
      <w:r>
        <w:rPr>
          <w:color w:val="231F20"/>
          <w:spacing w:val="-24"/>
          <w:w w:val="105"/>
        </w:rPr>
        <w:t> </w:t>
      </w:r>
      <w:r>
        <w:rPr>
          <w:color w:val="231F20"/>
          <w:w w:val="105"/>
        </w:rPr>
        <w:t>[0,</w:t>
      </w:r>
      <w:r>
        <w:rPr>
          <w:color w:val="231F20"/>
          <w:spacing w:val="-29"/>
          <w:w w:val="105"/>
        </w:rPr>
        <w:t> </w:t>
      </w:r>
      <w:r>
        <w:rPr>
          <w:color w:val="231F20"/>
          <w:w w:val="105"/>
        </w:rPr>
        <w:t>1.160603]</w:t>
      </w:r>
      <w:r>
        <w:rPr>
          <w:color w:val="231F20"/>
          <w:spacing w:val="-24"/>
          <w:w w:val="105"/>
        </w:rPr>
        <w:t> </w:t>
      </w:r>
      <w:r>
        <w:rPr>
          <w:color w:val="231F20"/>
          <w:w w:val="105"/>
        </w:rPr>
        <w:t>×</w:t>
      </w:r>
      <w:r>
        <w:rPr>
          <w:color w:val="231F20"/>
          <w:spacing w:val="-24"/>
          <w:w w:val="105"/>
        </w:rPr>
        <w:t> </w:t>
      </w:r>
      <w:r>
        <w:rPr>
          <w:color w:val="231F20"/>
          <w:w w:val="105"/>
        </w:rPr>
        <w:t>(0,</w:t>
      </w:r>
      <w:r>
        <w:rPr>
          <w:color w:val="231F20"/>
          <w:spacing w:val="-29"/>
          <w:w w:val="105"/>
        </w:rPr>
        <w:t> </w:t>
      </w:r>
      <w:r>
        <w:rPr>
          <w:color w:val="231F20"/>
          <w:w w:val="105"/>
        </w:rPr>
        <w:t>1]</w:t>
      </w:r>
      <w:r>
        <w:rPr>
          <w:color w:val="231F20"/>
          <w:spacing w:val="-24"/>
          <w:w w:val="105"/>
        </w:rPr>
        <w:t> </w:t>
      </w:r>
      <w:r>
        <w:rPr>
          <w:color w:val="231F20"/>
          <w:w w:val="105"/>
        </w:rPr>
        <w:t>×</w:t>
      </w:r>
      <w:r>
        <w:rPr>
          <w:color w:val="231F20"/>
          <w:spacing w:val="-24"/>
          <w:w w:val="105"/>
        </w:rPr>
        <w:t> </w:t>
      </w:r>
      <w:r>
        <w:rPr>
          <w:color w:val="231F20"/>
          <w:w w:val="105"/>
        </w:rPr>
        <w:t>(0,</w:t>
      </w:r>
      <w:r>
        <w:rPr>
          <w:color w:val="231F20"/>
          <w:spacing w:val="-29"/>
          <w:w w:val="105"/>
        </w:rPr>
        <w:t> </w:t>
      </w:r>
      <w:r>
        <w:rPr>
          <w:rFonts w:ascii="Times New Roman" w:hAnsi="Times New Roman"/>
          <w:color w:val="231F20"/>
          <w:w w:val="105"/>
          <w:sz w:val="22"/>
        </w:rPr>
        <w:t>∞</w:t>
      </w:r>
      <w:r>
        <w:rPr>
          <w:color w:val="231F20"/>
          <w:w w:val="105"/>
        </w:rPr>
        <w:t>)</w:t>
      </w:r>
      <w:r>
        <w:rPr>
          <w:color w:val="231F20"/>
          <w:spacing w:val="-24"/>
          <w:w w:val="105"/>
        </w:rPr>
        <w:t> </w:t>
      </w:r>
      <w:r>
        <w:rPr>
          <w:color w:val="231F20"/>
          <w:w w:val="105"/>
        </w:rPr>
        <w:t>×</w:t>
      </w:r>
      <w:r>
        <w:rPr>
          <w:color w:val="231F20"/>
          <w:spacing w:val="-24"/>
          <w:w w:val="105"/>
        </w:rPr>
        <w:t> </w:t>
      </w:r>
      <w:r>
        <w:rPr>
          <w:color w:val="231F20"/>
          <w:w w:val="105"/>
        </w:rPr>
        <w:t>[-1,1]</w:t>
      </w:r>
      <w:r>
        <w:rPr>
          <w:color w:val="231F20"/>
          <w:spacing w:val="-24"/>
          <w:w w:val="105"/>
        </w:rPr>
        <w:t> </w:t>
      </w:r>
      <w:r>
        <w:rPr>
          <w:color w:val="231F20"/>
          <w:w w:val="105"/>
        </w:rPr>
        <w:t>lo</w:t>
      </w:r>
    </w:p>
    <w:p>
      <w:pPr>
        <w:pStyle w:val="BodyText"/>
        <w:spacing w:line="247" w:lineRule="auto" w:before="2"/>
        <w:ind w:left="103" w:right="109" w:hanging="1"/>
        <w:jc w:val="both"/>
      </w:pPr>
      <w:r>
        <w:rPr>
          <w:color w:val="231F20"/>
          <w:w w:val="105"/>
        </w:rPr>
        <w:t>cual</w:t>
      </w:r>
      <w:r>
        <w:rPr>
          <w:color w:val="231F20"/>
          <w:spacing w:val="-13"/>
          <w:w w:val="105"/>
        </w:rPr>
        <w:t> </w:t>
      </w:r>
      <w:r>
        <w:rPr>
          <w:color w:val="231F20"/>
          <w:w w:val="105"/>
        </w:rPr>
        <w:t>es</w:t>
      </w:r>
      <w:r>
        <w:rPr>
          <w:color w:val="231F20"/>
          <w:spacing w:val="-13"/>
          <w:w w:val="105"/>
        </w:rPr>
        <w:t> </w:t>
      </w:r>
      <w:r>
        <w:rPr>
          <w:color w:val="231F20"/>
          <w:w w:val="105"/>
        </w:rPr>
        <w:t>resultado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intervalos</w:t>
      </w:r>
      <w:r>
        <w:rPr>
          <w:color w:val="231F20"/>
          <w:spacing w:val="-13"/>
          <w:w w:val="105"/>
        </w:rPr>
        <w:t> </w:t>
      </w:r>
      <w:r>
        <w:rPr>
          <w:color w:val="231F20"/>
          <w:w w:val="105"/>
        </w:rPr>
        <w:t>para</w:t>
      </w:r>
      <w:r>
        <w:rPr>
          <w:color w:val="231F20"/>
          <w:spacing w:val="-13"/>
          <w:w w:val="105"/>
        </w:rPr>
        <w:t> </w:t>
      </w:r>
      <w:r>
        <w:rPr>
          <w:color w:val="231F20"/>
          <w:w w:val="105"/>
        </w:rPr>
        <w:t>cada</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parámetros</w:t>
      </w:r>
      <w:r>
        <w:rPr>
          <w:color w:val="231F20"/>
          <w:spacing w:val="-13"/>
          <w:w w:val="105"/>
        </w:rPr>
        <w:t> </w:t>
      </w:r>
      <w:r>
        <w:rPr>
          <w:rFonts w:ascii="Times New Roman" w:hAnsi="Times New Roman"/>
          <w:i/>
          <w:color w:val="231F20"/>
          <w:w w:val="105"/>
          <w:sz w:val="22"/>
        </w:rPr>
        <w:t>μ</w:t>
      </w:r>
      <w:r>
        <w:rPr>
          <w:color w:val="231F20"/>
          <w:w w:val="105"/>
        </w:rPr>
        <w:t>,</w:t>
      </w:r>
      <w:r>
        <w:rPr>
          <w:color w:val="231F20"/>
          <w:spacing w:val="-19"/>
          <w:w w:val="105"/>
        </w:rPr>
        <w:t> </w:t>
      </w:r>
      <w:r>
        <w:rPr>
          <w:rFonts w:ascii="Times New Roman" w:hAnsi="Times New Roman"/>
          <w:color w:val="231F20"/>
          <w:w w:val="105"/>
          <w:sz w:val="22"/>
        </w:rPr>
        <w:t>θ</w:t>
      </w:r>
      <w:r>
        <w:rPr>
          <w:color w:val="231F20"/>
          <w:w w:val="105"/>
        </w:rPr>
        <w:t>, </w:t>
      </w:r>
      <w:r>
        <w:rPr>
          <w:rFonts w:ascii="Times New Roman" w:hAnsi="Times New Roman"/>
          <w:color w:val="231F20"/>
          <w:w w:val="105"/>
          <w:sz w:val="22"/>
        </w:rPr>
        <w:t>σ</w:t>
      </w:r>
      <w:r>
        <w:rPr>
          <w:color w:val="231F20"/>
          <w:w w:val="105"/>
        </w:rPr>
        <w:t>,</w:t>
      </w:r>
      <w:r>
        <w:rPr>
          <w:color w:val="231F20"/>
          <w:spacing w:val="-20"/>
          <w:w w:val="105"/>
        </w:rPr>
        <w:t> </w:t>
      </w:r>
      <w:r>
        <w:rPr>
          <w:rFonts w:ascii="Times New Roman" w:hAnsi="Times New Roman"/>
          <w:color w:val="231F20"/>
          <w:w w:val="105"/>
          <w:sz w:val="22"/>
        </w:rPr>
        <w:t>κ</w:t>
      </w:r>
      <w:r>
        <w:rPr>
          <w:color w:val="231F20"/>
          <w:w w:val="105"/>
        </w:rPr>
        <w:t>,</w:t>
      </w:r>
      <w:r>
        <w:rPr>
          <w:color w:val="231F20"/>
          <w:spacing w:val="-20"/>
          <w:w w:val="105"/>
        </w:rPr>
        <w:t> </w:t>
      </w:r>
      <w:r>
        <w:rPr>
          <w:color w:val="231F20"/>
          <w:w w:val="105"/>
        </w:rPr>
        <w:t>y</w:t>
      </w:r>
      <w:r>
        <w:rPr>
          <w:color w:val="231F20"/>
          <w:spacing w:val="-13"/>
          <w:w w:val="105"/>
        </w:rPr>
        <w:t> </w:t>
      </w:r>
      <w:r>
        <w:rPr>
          <w:rFonts w:ascii="Times New Roman" w:hAnsi="Times New Roman"/>
          <w:color w:val="231F20"/>
          <w:w w:val="105"/>
          <w:sz w:val="22"/>
        </w:rPr>
        <w:t>ρ</w:t>
      </w:r>
      <w:r>
        <w:rPr>
          <w:rFonts w:ascii="Times New Roman" w:hAnsi="Times New Roman"/>
          <w:color w:val="231F20"/>
          <w:spacing w:val="-10"/>
          <w:w w:val="105"/>
          <w:sz w:val="22"/>
        </w:rPr>
        <w:t> </w:t>
      </w:r>
      <w:r>
        <w:rPr>
          <w:color w:val="231F20"/>
          <w:w w:val="105"/>
        </w:rPr>
        <w:t>proporcionados</w:t>
      </w:r>
      <w:r>
        <w:rPr>
          <w:color w:val="231F20"/>
          <w:spacing w:val="-13"/>
          <w:w w:val="105"/>
        </w:rPr>
        <w:t> </w:t>
      </w:r>
      <w:r>
        <w:rPr>
          <w:color w:val="231F20"/>
          <w:w w:val="105"/>
        </w:rPr>
        <w:t>anteriormente.</w:t>
      </w:r>
    </w:p>
    <w:p>
      <w:pPr>
        <w:pStyle w:val="BodyText"/>
        <w:rPr>
          <w:sz w:val="20"/>
        </w:rPr>
      </w:pPr>
    </w:p>
    <w:p>
      <w:pPr>
        <w:pStyle w:val="BodyText"/>
        <w:spacing w:before="8"/>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999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220</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8032"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221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9"/>
        <w:rPr>
          <w:sz w:val="17"/>
        </w:rPr>
      </w:pPr>
    </w:p>
    <w:p>
      <w:pPr>
        <w:pStyle w:val="BodyText"/>
        <w:spacing w:line="260" w:lineRule="exact"/>
        <w:ind w:left="117" w:right="115"/>
        <w:jc w:val="both"/>
      </w:pPr>
      <w:r>
        <w:rPr>
          <w:color w:val="231F20"/>
          <w:w w:val="105"/>
        </w:rPr>
        <w:t>En</w:t>
      </w:r>
      <w:r>
        <w:rPr>
          <w:color w:val="231F20"/>
          <w:spacing w:val="-25"/>
          <w:w w:val="105"/>
        </w:rPr>
        <w:t> </w:t>
      </w:r>
      <w:r>
        <w:rPr>
          <w:color w:val="231F20"/>
          <w:w w:val="105"/>
        </w:rPr>
        <w:t>seguida,</w:t>
      </w:r>
      <w:r>
        <w:rPr>
          <w:color w:val="231F20"/>
          <w:spacing w:val="-30"/>
          <w:w w:val="105"/>
        </w:rPr>
        <w:t> </w:t>
      </w:r>
      <w:r>
        <w:rPr>
          <w:color w:val="231F20"/>
          <w:w w:val="105"/>
        </w:rPr>
        <w:t>se</w:t>
      </w:r>
      <w:r>
        <w:rPr>
          <w:color w:val="231F20"/>
          <w:spacing w:val="-25"/>
          <w:w w:val="105"/>
        </w:rPr>
        <w:t> </w:t>
      </w:r>
      <w:r>
        <w:rPr>
          <w:color w:val="231F20"/>
          <w:w w:val="105"/>
        </w:rPr>
        <w:t>inician</w:t>
      </w:r>
      <w:r>
        <w:rPr>
          <w:color w:val="231F20"/>
          <w:spacing w:val="-25"/>
          <w:w w:val="105"/>
        </w:rPr>
        <w:t> </w:t>
      </w:r>
      <w:r>
        <w:rPr>
          <w:color w:val="231F20"/>
          <w:w w:val="105"/>
        </w:rPr>
        <w:t>las</w:t>
      </w:r>
      <w:r>
        <w:rPr>
          <w:color w:val="231F20"/>
          <w:spacing w:val="-25"/>
          <w:w w:val="105"/>
        </w:rPr>
        <w:t> </w:t>
      </w:r>
      <w:r>
        <w:rPr>
          <w:color w:val="231F20"/>
          <w:w w:val="105"/>
        </w:rPr>
        <w:t>iteraciones</w:t>
      </w:r>
      <w:r>
        <w:rPr>
          <w:color w:val="231F20"/>
          <w:spacing w:val="-25"/>
          <w:w w:val="105"/>
        </w:rPr>
        <w:t> </w:t>
      </w:r>
      <w:r>
        <w:rPr>
          <w:color w:val="231F20"/>
          <w:w w:val="105"/>
        </w:rPr>
        <w:t>del</w:t>
      </w:r>
      <w:r>
        <w:rPr>
          <w:color w:val="231F20"/>
          <w:spacing w:val="-25"/>
          <w:w w:val="105"/>
        </w:rPr>
        <w:t> </w:t>
      </w:r>
      <w:r>
        <w:rPr>
          <w:color w:val="231F20"/>
          <w:w w:val="105"/>
        </w:rPr>
        <w:t>algoritmo</w:t>
      </w:r>
      <w:r>
        <w:rPr>
          <w:color w:val="231F20"/>
          <w:spacing w:val="-25"/>
          <w:w w:val="105"/>
        </w:rPr>
        <w:t> </w:t>
      </w:r>
      <w:r>
        <w:rPr>
          <w:color w:val="231F20"/>
          <w:w w:val="105"/>
        </w:rPr>
        <w:t>de</w:t>
      </w:r>
      <w:r>
        <w:rPr>
          <w:color w:val="231F20"/>
          <w:spacing w:val="-25"/>
          <w:w w:val="105"/>
        </w:rPr>
        <w:t> </w:t>
      </w:r>
      <w:r>
        <w:rPr>
          <w:color w:val="231F20"/>
          <w:w w:val="105"/>
        </w:rPr>
        <w:t>Nelder-Mead</w:t>
      </w:r>
      <w:r>
        <w:rPr>
          <w:color w:val="231F20"/>
          <w:w w:val="105"/>
          <w:position w:val="7"/>
          <w:sz w:val="12"/>
        </w:rPr>
        <w:t>6</w:t>
      </w:r>
      <w:r>
        <w:rPr>
          <w:color w:val="231F20"/>
          <w:spacing w:val="2"/>
          <w:w w:val="105"/>
          <w:position w:val="7"/>
          <w:sz w:val="12"/>
        </w:rPr>
        <w:t> </w:t>
      </w:r>
      <w:r>
        <w:rPr>
          <w:color w:val="231F20"/>
          <w:w w:val="105"/>
        </w:rPr>
        <w:t>dan- do como valores iniciales al vector </w:t>
      </w:r>
      <w:r>
        <w:rPr>
          <w:rFonts w:ascii="Times New Roman" w:hAnsi="Times New Roman"/>
          <w:i/>
          <w:color w:val="231F20"/>
          <w:w w:val="105"/>
          <w:sz w:val="22"/>
        </w:rPr>
        <w:t>х</w:t>
      </w:r>
      <w:r>
        <w:rPr>
          <w:i/>
          <w:color w:val="231F20"/>
          <w:w w:val="105"/>
          <w:position w:val="-4"/>
          <w:sz w:val="12"/>
        </w:rPr>
        <w:t>0 </w:t>
      </w:r>
      <w:r>
        <w:rPr>
          <w:color w:val="231F20"/>
          <w:w w:val="105"/>
        </w:rPr>
        <w:t>para el modelo de Heston, pre- sentándose los parámetros estimados en la figura 3.</w:t>
      </w:r>
      <w:r>
        <w:rPr>
          <w:color w:val="231F20"/>
          <w:spacing w:val="-43"/>
          <w:w w:val="105"/>
        </w:rPr>
        <w:t> </w:t>
      </w:r>
      <w:r>
        <w:rPr>
          <w:color w:val="231F20"/>
          <w:w w:val="105"/>
        </w:rPr>
        <w:t>Con el objetivo de probar</w:t>
      </w:r>
      <w:r>
        <w:rPr>
          <w:color w:val="231F20"/>
          <w:spacing w:val="-27"/>
          <w:w w:val="105"/>
        </w:rPr>
        <w:t> </w:t>
      </w:r>
      <w:r>
        <w:rPr>
          <w:color w:val="231F20"/>
          <w:w w:val="105"/>
        </w:rPr>
        <w:t>la</w:t>
      </w:r>
      <w:r>
        <w:rPr>
          <w:color w:val="231F20"/>
          <w:spacing w:val="-27"/>
          <w:w w:val="105"/>
        </w:rPr>
        <w:t> </w:t>
      </w:r>
      <w:r>
        <w:rPr>
          <w:color w:val="231F20"/>
          <w:w w:val="105"/>
        </w:rPr>
        <w:t>consistencia</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parámetros</w:t>
      </w:r>
      <w:r>
        <w:rPr>
          <w:color w:val="231F20"/>
          <w:spacing w:val="-27"/>
          <w:w w:val="105"/>
        </w:rPr>
        <w:t> </w:t>
      </w:r>
      <w:r>
        <w:rPr>
          <w:color w:val="231F20"/>
          <w:w w:val="105"/>
        </w:rPr>
        <w:t>se</w:t>
      </w:r>
      <w:r>
        <w:rPr>
          <w:color w:val="231F20"/>
          <w:spacing w:val="-27"/>
          <w:w w:val="105"/>
        </w:rPr>
        <w:t> </w:t>
      </w:r>
      <w:r>
        <w:rPr>
          <w:color w:val="231F20"/>
          <w:w w:val="105"/>
        </w:rPr>
        <w:t>realiza</w:t>
      </w:r>
      <w:r>
        <w:rPr>
          <w:color w:val="231F20"/>
          <w:spacing w:val="-27"/>
          <w:w w:val="105"/>
        </w:rPr>
        <w:t> </w:t>
      </w:r>
      <w:r>
        <w:rPr>
          <w:color w:val="231F20"/>
          <w:w w:val="105"/>
        </w:rPr>
        <w:t>la</w:t>
      </w:r>
      <w:r>
        <w:rPr>
          <w:color w:val="231F20"/>
          <w:spacing w:val="-27"/>
          <w:w w:val="105"/>
        </w:rPr>
        <w:t> </w:t>
      </w:r>
      <w:r>
        <w:rPr>
          <w:color w:val="231F20"/>
          <w:w w:val="105"/>
        </w:rPr>
        <w:t>estimación</w:t>
      </w:r>
      <w:r>
        <w:rPr>
          <w:color w:val="231F20"/>
          <w:spacing w:val="-27"/>
          <w:w w:val="105"/>
        </w:rPr>
        <w:t> </w:t>
      </w:r>
      <w:r>
        <w:rPr>
          <w:color w:val="231F20"/>
          <w:w w:val="105"/>
        </w:rPr>
        <w:t>para</w:t>
      </w:r>
      <w:r>
        <w:rPr>
          <w:color w:val="231F20"/>
          <w:spacing w:val="-27"/>
          <w:w w:val="105"/>
        </w:rPr>
        <w:t> </w:t>
      </w:r>
      <w:r>
        <w:rPr>
          <w:color w:val="231F20"/>
          <w:w w:val="105"/>
        </w:rPr>
        <w:t>da- tos</w:t>
      </w:r>
      <w:r>
        <w:rPr>
          <w:color w:val="231F20"/>
          <w:spacing w:val="-39"/>
          <w:w w:val="105"/>
        </w:rPr>
        <w:t> </w:t>
      </w:r>
      <w:r>
        <w:rPr>
          <w:color w:val="231F20"/>
          <w:w w:val="105"/>
        </w:rPr>
        <w:t>diarios</w:t>
      </w:r>
      <w:r>
        <w:rPr>
          <w:color w:val="231F20"/>
          <w:spacing w:val="-39"/>
          <w:w w:val="105"/>
        </w:rPr>
        <w:t> </w:t>
      </w:r>
      <w:r>
        <w:rPr>
          <w:color w:val="231F20"/>
          <w:w w:val="105"/>
        </w:rPr>
        <w:t>(2321),</w:t>
      </w:r>
      <w:r>
        <w:rPr>
          <w:color w:val="231F20"/>
          <w:spacing w:val="-42"/>
          <w:w w:val="105"/>
        </w:rPr>
        <w:t> </w:t>
      </w:r>
      <w:r>
        <w:rPr>
          <w:color w:val="231F20"/>
          <w:w w:val="105"/>
        </w:rPr>
        <w:t>semanales</w:t>
      </w:r>
      <w:r>
        <w:rPr>
          <w:color w:val="231F20"/>
          <w:spacing w:val="-39"/>
          <w:w w:val="105"/>
        </w:rPr>
        <w:t> </w:t>
      </w:r>
      <w:r>
        <w:rPr>
          <w:color w:val="231F20"/>
          <w:w w:val="105"/>
        </w:rPr>
        <w:t>(497),</w:t>
      </w:r>
      <w:r>
        <w:rPr>
          <w:color w:val="231F20"/>
          <w:spacing w:val="-42"/>
          <w:w w:val="105"/>
        </w:rPr>
        <w:t> </w:t>
      </w:r>
      <w:r>
        <w:rPr>
          <w:color w:val="231F20"/>
          <w:w w:val="105"/>
        </w:rPr>
        <w:t>quincenales</w:t>
      </w:r>
      <w:r>
        <w:rPr>
          <w:color w:val="231F20"/>
          <w:spacing w:val="-39"/>
          <w:w w:val="105"/>
        </w:rPr>
        <w:t> </w:t>
      </w:r>
      <w:r>
        <w:rPr>
          <w:color w:val="231F20"/>
          <w:w w:val="105"/>
        </w:rPr>
        <w:t>(247)</w:t>
      </w:r>
      <w:r>
        <w:rPr>
          <w:color w:val="231F20"/>
          <w:spacing w:val="-39"/>
          <w:w w:val="105"/>
        </w:rPr>
        <w:t> </w:t>
      </w:r>
      <w:r>
        <w:rPr>
          <w:color w:val="231F20"/>
          <w:w w:val="105"/>
        </w:rPr>
        <w:t>y</w:t>
      </w:r>
      <w:r>
        <w:rPr>
          <w:color w:val="231F20"/>
          <w:spacing w:val="-39"/>
          <w:w w:val="105"/>
        </w:rPr>
        <w:t> </w:t>
      </w:r>
      <w:r>
        <w:rPr>
          <w:color w:val="231F20"/>
          <w:w w:val="105"/>
        </w:rPr>
        <w:t>mensuales</w:t>
      </w:r>
      <w:r>
        <w:rPr>
          <w:color w:val="231F20"/>
          <w:spacing w:val="-39"/>
          <w:w w:val="105"/>
        </w:rPr>
        <w:t> </w:t>
      </w:r>
      <w:r>
        <w:rPr>
          <w:color w:val="231F20"/>
          <w:w w:val="105"/>
        </w:rPr>
        <w:t>(123), tomando los días miércoles para los últimos tres periodos, además de realizar</w:t>
      </w:r>
      <w:r>
        <w:rPr>
          <w:color w:val="231F20"/>
          <w:spacing w:val="-7"/>
          <w:w w:val="105"/>
        </w:rPr>
        <w:t> </w:t>
      </w:r>
      <w:r>
        <w:rPr>
          <w:color w:val="231F20"/>
          <w:w w:val="105"/>
        </w:rPr>
        <w:t>el</w:t>
      </w:r>
      <w:r>
        <w:rPr>
          <w:color w:val="231F20"/>
          <w:spacing w:val="-7"/>
          <w:w w:val="105"/>
        </w:rPr>
        <w:t> </w:t>
      </w:r>
      <w:r>
        <w:rPr>
          <w:color w:val="231F20"/>
          <w:w w:val="105"/>
        </w:rPr>
        <w:t>análisis</w:t>
      </w:r>
      <w:r>
        <w:rPr>
          <w:color w:val="231F20"/>
          <w:spacing w:val="-7"/>
          <w:w w:val="105"/>
        </w:rPr>
        <w:t> </w:t>
      </w:r>
      <w:r>
        <w:rPr>
          <w:color w:val="231F20"/>
          <w:w w:val="105"/>
        </w:rPr>
        <w:t>para</w:t>
      </w:r>
      <w:r>
        <w:rPr>
          <w:color w:val="231F20"/>
          <w:spacing w:val="-7"/>
          <w:w w:val="105"/>
        </w:rPr>
        <w:t> </w:t>
      </w:r>
      <w:r>
        <w:rPr>
          <w:color w:val="231F20"/>
          <w:w w:val="105"/>
        </w:rPr>
        <w:t>tres</w:t>
      </w:r>
      <w:r>
        <w:rPr>
          <w:color w:val="231F20"/>
          <w:spacing w:val="-7"/>
          <w:w w:val="105"/>
        </w:rPr>
        <w:t> </w:t>
      </w:r>
      <w:r>
        <w:rPr>
          <w:color w:val="231F20"/>
          <w:w w:val="105"/>
        </w:rPr>
        <w:t>periodos:</w:t>
      </w:r>
      <w:r>
        <w:rPr>
          <w:color w:val="231F20"/>
          <w:spacing w:val="-7"/>
          <w:w w:val="105"/>
        </w:rPr>
        <w:t> </w:t>
      </w:r>
      <w:r>
        <w:rPr>
          <w:color w:val="231F20"/>
          <w:w w:val="105"/>
        </w:rPr>
        <w:t>el</w:t>
      </w:r>
      <w:r>
        <w:rPr>
          <w:color w:val="231F20"/>
          <w:spacing w:val="-7"/>
          <w:w w:val="105"/>
        </w:rPr>
        <w:t> </w:t>
      </w:r>
      <w:r>
        <w:rPr>
          <w:color w:val="231F20"/>
          <w:w w:val="105"/>
        </w:rPr>
        <w:t>primero,</w:t>
      </w:r>
      <w:r>
        <w:rPr>
          <w:color w:val="231F20"/>
          <w:spacing w:val="-13"/>
          <w:w w:val="105"/>
        </w:rPr>
        <w:t> </w:t>
      </w:r>
      <w:r>
        <w:rPr>
          <w:color w:val="231F20"/>
          <w:w w:val="105"/>
        </w:rPr>
        <w:t>considerado</w:t>
      </w:r>
      <w:r>
        <w:rPr>
          <w:color w:val="231F20"/>
          <w:spacing w:val="-7"/>
          <w:w w:val="105"/>
        </w:rPr>
        <w:t> </w:t>
      </w:r>
      <w:r>
        <w:rPr>
          <w:color w:val="231F20"/>
          <w:w w:val="105"/>
        </w:rPr>
        <w:t>del</w:t>
      </w:r>
      <w:r>
        <w:rPr>
          <w:color w:val="231F20"/>
          <w:spacing w:val="-7"/>
          <w:w w:val="105"/>
        </w:rPr>
        <w:t> </w:t>
      </w:r>
      <w:r>
        <w:rPr>
          <w:color w:val="231F20"/>
          <w:w w:val="105"/>
        </w:rPr>
        <w:t>14</w:t>
      </w:r>
      <w:r>
        <w:rPr>
          <w:color w:val="231F20"/>
          <w:spacing w:val="-7"/>
          <w:w w:val="105"/>
        </w:rPr>
        <w:t> </w:t>
      </w:r>
      <w:r>
        <w:rPr>
          <w:color w:val="231F20"/>
          <w:w w:val="105"/>
        </w:rPr>
        <w:t>de abril</w:t>
      </w:r>
      <w:r>
        <w:rPr>
          <w:color w:val="231F20"/>
          <w:spacing w:val="-13"/>
          <w:w w:val="105"/>
        </w:rPr>
        <w:t> </w:t>
      </w:r>
      <w:r>
        <w:rPr>
          <w:color w:val="231F20"/>
          <w:w w:val="105"/>
        </w:rPr>
        <w:t>de</w:t>
      </w:r>
      <w:r>
        <w:rPr>
          <w:color w:val="231F20"/>
          <w:spacing w:val="-13"/>
          <w:w w:val="105"/>
        </w:rPr>
        <w:t> </w:t>
      </w:r>
      <w:r>
        <w:rPr>
          <w:color w:val="231F20"/>
          <w:w w:val="105"/>
        </w:rPr>
        <w:t>2003</w:t>
      </w:r>
      <w:r>
        <w:rPr>
          <w:color w:val="231F20"/>
          <w:spacing w:val="-13"/>
          <w:w w:val="105"/>
        </w:rPr>
        <w:t> </w:t>
      </w:r>
      <w:r>
        <w:rPr>
          <w:color w:val="231F20"/>
          <w:w w:val="105"/>
        </w:rPr>
        <w:t>al</w:t>
      </w:r>
      <w:r>
        <w:rPr>
          <w:color w:val="231F20"/>
          <w:spacing w:val="-13"/>
          <w:w w:val="105"/>
        </w:rPr>
        <w:t> </w:t>
      </w:r>
      <w:r>
        <w:rPr>
          <w:color w:val="231F20"/>
          <w:w w:val="105"/>
        </w:rPr>
        <w:t>4</w:t>
      </w:r>
      <w:r>
        <w:rPr>
          <w:color w:val="231F20"/>
          <w:spacing w:val="-13"/>
          <w:w w:val="105"/>
        </w:rPr>
        <w:t> </w:t>
      </w:r>
      <w:r>
        <w:rPr>
          <w:color w:val="231F20"/>
          <w:w w:val="105"/>
        </w:rPr>
        <w:t>de</w:t>
      </w:r>
      <w:r>
        <w:rPr>
          <w:color w:val="231F20"/>
          <w:spacing w:val="-13"/>
          <w:w w:val="105"/>
        </w:rPr>
        <w:t> </w:t>
      </w:r>
      <w:r>
        <w:rPr>
          <w:color w:val="231F20"/>
          <w:w w:val="105"/>
        </w:rPr>
        <w:t>agosto</w:t>
      </w:r>
      <w:r>
        <w:rPr>
          <w:color w:val="231F20"/>
          <w:spacing w:val="-13"/>
          <w:w w:val="105"/>
        </w:rPr>
        <w:t> </w:t>
      </w:r>
      <w:r>
        <w:rPr>
          <w:color w:val="231F20"/>
          <w:w w:val="105"/>
        </w:rPr>
        <w:t>de</w:t>
      </w:r>
      <w:r>
        <w:rPr>
          <w:color w:val="231F20"/>
          <w:spacing w:val="-13"/>
          <w:w w:val="105"/>
        </w:rPr>
        <w:t> </w:t>
      </w:r>
      <w:r>
        <w:rPr>
          <w:color w:val="231F20"/>
          <w:w w:val="105"/>
        </w:rPr>
        <w:t>2008,</w:t>
      </w:r>
      <w:r>
        <w:rPr>
          <w:color w:val="231F20"/>
          <w:spacing w:val="-19"/>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se</w:t>
      </w:r>
      <w:r>
        <w:rPr>
          <w:color w:val="231F20"/>
          <w:spacing w:val="-13"/>
          <w:w w:val="105"/>
        </w:rPr>
        <w:t> </w:t>
      </w:r>
      <w:r>
        <w:rPr>
          <w:color w:val="231F20"/>
          <w:w w:val="105"/>
        </w:rPr>
        <w:t>presenta</w:t>
      </w:r>
      <w:r>
        <w:rPr>
          <w:color w:val="231F20"/>
          <w:spacing w:val="-13"/>
          <w:w w:val="105"/>
        </w:rPr>
        <w:t> </w:t>
      </w:r>
      <w:r>
        <w:rPr>
          <w:color w:val="231F20"/>
          <w:w w:val="105"/>
        </w:rPr>
        <w:t>una</w:t>
      </w:r>
      <w:r>
        <w:rPr>
          <w:color w:val="231F20"/>
          <w:spacing w:val="-13"/>
          <w:w w:val="105"/>
        </w:rPr>
        <w:t> </w:t>
      </w:r>
      <w:r>
        <w:rPr>
          <w:color w:val="231F20"/>
          <w:w w:val="105"/>
        </w:rPr>
        <w:t>estabili- dad relativa del tipo de cambio; el segundo, a partir del 5 de agosto de 2008</w:t>
      </w:r>
      <w:r>
        <w:rPr>
          <w:color w:val="231F20"/>
          <w:spacing w:val="-8"/>
          <w:w w:val="105"/>
        </w:rPr>
        <w:t> </w:t>
      </w:r>
      <w:r>
        <w:rPr>
          <w:color w:val="231F20"/>
          <w:w w:val="105"/>
        </w:rPr>
        <w:t>al</w:t>
      </w:r>
      <w:r>
        <w:rPr>
          <w:color w:val="231F20"/>
          <w:spacing w:val="-8"/>
          <w:w w:val="105"/>
        </w:rPr>
        <w:t> </w:t>
      </w:r>
      <w:r>
        <w:rPr>
          <w:color w:val="231F20"/>
          <w:w w:val="105"/>
        </w:rPr>
        <w:t>31</w:t>
      </w:r>
      <w:r>
        <w:rPr>
          <w:color w:val="231F20"/>
          <w:spacing w:val="-8"/>
          <w:w w:val="105"/>
        </w:rPr>
        <w:t> </w:t>
      </w:r>
      <w:r>
        <w:rPr>
          <w:color w:val="231F20"/>
          <w:w w:val="105"/>
        </w:rPr>
        <w:t>de</w:t>
      </w:r>
      <w:r>
        <w:rPr>
          <w:color w:val="231F20"/>
          <w:spacing w:val="-8"/>
          <w:w w:val="105"/>
        </w:rPr>
        <w:t> </w:t>
      </w:r>
      <w:r>
        <w:rPr>
          <w:color w:val="231F20"/>
          <w:w w:val="105"/>
        </w:rPr>
        <w:t>diciembre</w:t>
      </w:r>
      <w:r>
        <w:rPr>
          <w:color w:val="231F20"/>
          <w:spacing w:val="-8"/>
          <w:w w:val="105"/>
        </w:rPr>
        <w:t> </w:t>
      </w:r>
      <w:r>
        <w:rPr>
          <w:color w:val="231F20"/>
          <w:w w:val="105"/>
        </w:rPr>
        <w:t>de</w:t>
      </w:r>
      <w:r>
        <w:rPr>
          <w:color w:val="231F20"/>
          <w:spacing w:val="-8"/>
          <w:w w:val="105"/>
        </w:rPr>
        <w:t> </w:t>
      </w:r>
      <w:r>
        <w:rPr>
          <w:color w:val="231F20"/>
          <w:w w:val="105"/>
        </w:rPr>
        <w:t>2012,</w:t>
      </w:r>
      <w:r>
        <w:rPr>
          <w:color w:val="231F20"/>
          <w:spacing w:val="-15"/>
          <w:w w:val="105"/>
        </w:rPr>
        <w:t> </w:t>
      </w:r>
      <w:r>
        <w:rPr>
          <w:color w:val="231F20"/>
          <w:w w:val="105"/>
        </w:rPr>
        <w:t>principalmente</w:t>
      </w:r>
      <w:r>
        <w:rPr>
          <w:color w:val="231F20"/>
          <w:spacing w:val="-8"/>
          <w:w w:val="105"/>
        </w:rPr>
        <w:t> </w:t>
      </w:r>
      <w:r>
        <w:rPr>
          <w:color w:val="231F20"/>
          <w:w w:val="105"/>
        </w:rPr>
        <w:t>porque</w:t>
      </w:r>
      <w:r>
        <w:rPr>
          <w:color w:val="231F20"/>
          <w:spacing w:val="-8"/>
          <w:w w:val="105"/>
        </w:rPr>
        <w:t> </w:t>
      </w:r>
      <w:r>
        <w:rPr>
          <w:color w:val="231F20"/>
          <w:w w:val="105"/>
        </w:rPr>
        <w:t>fue</w:t>
      </w:r>
      <w:r>
        <w:rPr>
          <w:color w:val="231F20"/>
          <w:spacing w:val="-8"/>
          <w:w w:val="105"/>
        </w:rPr>
        <w:t> </w:t>
      </w:r>
      <w:r>
        <w:rPr>
          <w:color w:val="231F20"/>
          <w:w w:val="105"/>
        </w:rPr>
        <w:t>un</w:t>
      </w:r>
      <w:r>
        <w:rPr>
          <w:color w:val="231F20"/>
          <w:spacing w:val="-8"/>
          <w:w w:val="105"/>
        </w:rPr>
        <w:t> </w:t>
      </w:r>
      <w:r>
        <w:rPr>
          <w:color w:val="231F20"/>
          <w:w w:val="105"/>
        </w:rPr>
        <w:t>periodo de</w:t>
      </w:r>
      <w:r>
        <w:rPr>
          <w:color w:val="231F20"/>
          <w:spacing w:val="-19"/>
          <w:w w:val="105"/>
        </w:rPr>
        <w:t> </w:t>
      </w:r>
      <w:r>
        <w:rPr>
          <w:color w:val="231F20"/>
          <w:w w:val="105"/>
        </w:rPr>
        <w:t>extrema</w:t>
      </w:r>
      <w:r>
        <w:rPr>
          <w:color w:val="231F20"/>
          <w:spacing w:val="-19"/>
          <w:w w:val="105"/>
        </w:rPr>
        <w:t> </w:t>
      </w:r>
      <w:r>
        <w:rPr>
          <w:color w:val="231F20"/>
          <w:w w:val="105"/>
        </w:rPr>
        <w:t>turbulencia</w:t>
      </w:r>
      <w:r>
        <w:rPr>
          <w:color w:val="231F20"/>
          <w:spacing w:val="-19"/>
          <w:w w:val="105"/>
        </w:rPr>
        <w:t> </w:t>
      </w:r>
      <w:r>
        <w:rPr>
          <w:color w:val="231F20"/>
          <w:w w:val="105"/>
        </w:rPr>
        <w:t>e</w:t>
      </w:r>
      <w:r>
        <w:rPr>
          <w:color w:val="231F20"/>
          <w:spacing w:val="-19"/>
          <w:w w:val="105"/>
        </w:rPr>
        <w:t> </w:t>
      </w:r>
      <w:r>
        <w:rPr>
          <w:color w:val="231F20"/>
          <w:w w:val="105"/>
        </w:rPr>
        <w:t>inestabilidad</w:t>
      </w:r>
      <w:r>
        <w:rPr>
          <w:color w:val="231F20"/>
          <w:spacing w:val="-19"/>
          <w:w w:val="105"/>
        </w:rPr>
        <w:t> </w:t>
      </w:r>
      <w:r>
        <w:rPr>
          <w:color w:val="231F20"/>
          <w:w w:val="105"/>
        </w:rPr>
        <w:t>financiera,</w:t>
      </w:r>
      <w:r>
        <w:rPr>
          <w:color w:val="231F20"/>
          <w:spacing w:val="-26"/>
          <w:w w:val="105"/>
        </w:rPr>
        <w:t> </w:t>
      </w:r>
      <w:r>
        <w:rPr>
          <w:color w:val="231F20"/>
          <w:w w:val="105"/>
        </w:rPr>
        <w:t>sobre</w:t>
      </w:r>
      <w:r>
        <w:rPr>
          <w:color w:val="231F20"/>
          <w:spacing w:val="-19"/>
          <w:w w:val="105"/>
        </w:rPr>
        <w:t> </w:t>
      </w:r>
      <w:r>
        <w:rPr>
          <w:color w:val="231F20"/>
          <w:w w:val="105"/>
        </w:rPr>
        <w:t>todo</w:t>
      </w:r>
      <w:r>
        <w:rPr>
          <w:color w:val="231F20"/>
          <w:spacing w:val="-19"/>
          <w:w w:val="105"/>
        </w:rPr>
        <w:t> </w:t>
      </w:r>
      <w:r>
        <w:rPr>
          <w:color w:val="231F20"/>
          <w:w w:val="105"/>
        </w:rPr>
        <w:t>el</w:t>
      </w:r>
      <w:r>
        <w:rPr>
          <w:color w:val="231F20"/>
          <w:spacing w:val="-19"/>
          <w:w w:val="105"/>
        </w:rPr>
        <w:t> </w:t>
      </w:r>
      <w:r>
        <w:rPr>
          <w:color w:val="231F20"/>
          <w:w w:val="105"/>
        </w:rPr>
        <w:t>año</w:t>
      </w:r>
      <w:r>
        <w:rPr>
          <w:color w:val="231F20"/>
          <w:spacing w:val="-19"/>
          <w:w w:val="105"/>
        </w:rPr>
        <w:t> </w:t>
      </w:r>
      <w:r>
        <w:rPr>
          <w:color w:val="231F20"/>
          <w:w w:val="105"/>
        </w:rPr>
        <w:t>2009 debido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crisis</w:t>
      </w:r>
      <w:r>
        <w:rPr>
          <w:color w:val="231F20"/>
          <w:spacing w:val="-16"/>
          <w:w w:val="105"/>
        </w:rPr>
        <w:t> </w:t>
      </w:r>
      <w:r>
        <w:rPr>
          <w:color w:val="231F20"/>
          <w:w w:val="105"/>
        </w:rPr>
        <w:t>mundial;</w:t>
      </w:r>
      <w:r>
        <w:rPr>
          <w:color w:val="231F20"/>
          <w:spacing w:val="-16"/>
          <w:w w:val="105"/>
        </w:rPr>
        <w:t> </w:t>
      </w:r>
      <w:r>
        <w:rPr>
          <w:color w:val="231F20"/>
          <w:w w:val="105"/>
        </w:rPr>
        <w:t>y</w:t>
      </w:r>
      <w:r>
        <w:rPr>
          <w:color w:val="231F20"/>
          <w:spacing w:val="-16"/>
          <w:w w:val="105"/>
        </w:rPr>
        <w:t> </w:t>
      </w:r>
      <w:r>
        <w:rPr>
          <w:color w:val="231F20"/>
          <w:w w:val="105"/>
        </w:rPr>
        <w:t>finalmente</w:t>
      </w:r>
      <w:r>
        <w:rPr>
          <w:color w:val="231F20"/>
          <w:spacing w:val="-16"/>
          <w:w w:val="105"/>
        </w:rPr>
        <w:t> </w:t>
      </w:r>
      <w:r>
        <w:rPr>
          <w:color w:val="231F20"/>
          <w:w w:val="105"/>
        </w:rPr>
        <w:t>un</w:t>
      </w:r>
      <w:r>
        <w:rPr>
          <w:color w:val="231F20"/>
          <w:spacing w:val="-16"/>
          <w:w w:val="105"/>
        </w:rPr>
        <w:t> </w:t>
      </w:r>
      <w:r>
        <w:rPr>
          <w:color w:val="231F20"/>
          <w:w w:val="105"/>
        </w:rPr>
        <w:t>tercero</w:t>
      </w:r>
      <w:r>
        <w:rPr>
          <w:color w:val="231F20"/>
          <w:spacing w:val="-16"/>
          <w:w w:val="105"/>
        </w:rPr>
        <w:t> </w:t>
      </w:r>
      <w:r>
        <w:rPr>
          <w:color w:val="231F20"/>
          <w:w w:val="105"/>
        </w:rPr>
        <w:t>que</w:t>
      </w:r>
      <w:r>
        <w:rPr>
          <w:color w:val="231F20"/>
          <w:spacing w:val="-16"/>
          <w:w w:val="105"/>
        </w:rPr>
        <w:t> </w:t>
      </w:r>
      <w:r>
        <w:rPr>
          <w:color w:val="231F20"/>
          <w:w w:val="105"/>
        </w:rPr>
        <w:t>abarca</w:t>
      </w:r>
      <w:r>
        <w:rPr>
          <w:color w:val="231F20"/>
          <w:spacing w:val="-16"/>
          <w:w w:val="105"/>
        </w:rPr>
        <w:t> </w:t>
      </w:r>
      <w:r>
        <w:rPr>
          <w:color w:val="231F20"/>
          <w:w w:val="105"/>
        </w:rPr>
        <w:t>la</w:t>
      </w:r>
      <w:r>
        <w:rPr>
          <w:color w:val="231F20"/>
          <w:spacing w:val="-16"/>
          <w:w w:val="105"/>
        </w:rPr>
        <w:t> </w:t>
      </w:r>
      <w:r>
        <w:rPr>
          <w:color w:val="231F20"/>
          <w:w w:val="105"/>
        </w:rPr>
        <w:t>muestra total del estudio, comprendido del 14 de abril de 2003 al 31 de diciem- bre de</w:t>
      </w:r>
      <w:r>
        <w:rPr>
          <w:color w:val="231F20"/>
          <w:spacing w:val="-13"/>
          <w:w w:val="105"/>
        </w:rPr>
        <w:t> </w:t>
      </w:r>
      <w:r>
        <w:rPr>
          <w:color w:val="231F20"/>
          <w:w w:val="105"/>
        </w:rPr>
        <w:t>2012.</w:t>
      </w:r>
    </w:p>
    <w:p>
      <w:pPr>
        <w:pStyle w:val="BodyText"/>
        <w:spacing w:before="2"/>
        <w:rPr>
          <w:sz w:val="22"/>
        </w:rPr>
      </w:pPr>
    </w:p>
    <w:p>
      <w:pPr>
        <w:spacing w:before="0"/>
        <w:ind w:left="691" w:right="692" w:firstLine="0"/>
        <w:jc w:val="center"/>
        <w:rPr>
          <w:sz w:val="18"/>
        </w:rPr>
      </w:pPr>
      <w:r>
        <w:rPr/>
        <w:drawing>
          <wp:anchor distT="0" distB="0" distL="0" distR="0" allowOverlap="1" layoutInCell="1" locked="0" behindDoc="0" simplePos="0" relativeHeight="7984">
            <wp:simplePos x="0" y="0"/>
            <wp:positionH relativeFrom="page">
              <wp:posOffset>899998</wp:posOffset>
            </wp:positionH>
            <wp:positionV relativeFrom="paragraph">
              <wp:posOffset>209697</wp:posOffset>
            </wp:positionV>
            <wp:extent cx="4420457" cy="3629025"/>
            <wp:effectExtent l="0" t="0" r="0" b="0"/>
            <wp:wrapTopAndBottom/>
            <wp:docPr id="93" name="image93.jpeg" descr=""/>
            <wp:cNvGraphicFramePr>
              <a:graphicFrameLocks noChangeAspect="1"/>
            </wp:cNvGraphicFramePr>
            <a:graphic>
              <a:graphicData uri="http://schemas.openxmlformats.org/drawingml/2006/picture">
                <pic:pic>
                  <pic:nvPicPr>
                    <pic:cNvPr id="94" name="image93.jpeg"/>
                    <pic:cNvPicPr/>
                  </pic:nvPicPr>
                  <pic:blipFill>
                    <a:blip r:embed="rId117" cstate="print"/>
                    <a:stretch>
                      <a:fillRect/>
                    </a:stretch>
                  </pic:blipFill>
                  <pic:spPr>
                    <a:xfrm>
                      <a:off x="0" y="0"/>
                      <a:ext cx="4420457" cy="3629025"/>
                    </a:xfrm>
                    <a:prstGeom prst="rect">
                      <a:avLst/>
                    </a:prstGeom>
                  </pic:spPr>
                </pic:pic>
              </a:graphicData>
            </a:graphic>
          </wp:anchor>
        </w:drawing>
      </w:r>
      <w:r>
        <w:rPr>
          <w:color w:val="231F20"/>
          <w:w w:val="105"/>
          <w:sz w:val="18"/>
        </w:rPr>
        <w:t>Figura 3. Estimación de los parámetros del modelo de Heston.</w:t>
      </w:r>
    </w:p>
    <w:p>
      <w:pPr>
        <w:spacing w:before="33"/>
        <w:ind w:left="117" w:right="0" w:firstLine="0"/>
        <w:jc w:val="both"/>
        <w:rPr>
          <w:sz w:val="16"/>
        </w:rPr>
      </w:pPr>
      <w:r>
        <w:rPr>
          <w:color w:val="231F20"/>
          <w:w w:val="105"/>
          <w:sz w:val="16"/>
        </w:rPr>
        <w:t>Fuente: Elaboración propia.</w:t>
      </w:r>
    </w:p>
    <w:p>
      <w:pPr>
        <w:spacing w:line="343" w:lineRule="auto" w:before="64"/>
        <w:ind w:left="117" w:right="121" w:firstLine="0"/>
        <w:jc w:val="both"/>
        <w:rPr>
          <w:sz w:val="16"/>
        </w:rPr>
      </w:pPr>
      <w:r>
        <w:rPr/>
        <w:pict>
          <v:line style="position:absolute;mso-position-horizontal-relative:page;mso-position-vertical-relative:paragraph;z-index:8008;mso-wrap-distance-left:0;mso-wrap-distance-right:0" from="70.866096pt,36.547504pt" to="184.252096pt,36.547504pt" stroked="true" strokeweight=".25pt" strokecolor="#231f20">
            <w10:wrap type="topAndBottom"/>
          </v:line>
        </w:pict>
      </w:r>
      <w:r>
        <w:rPr>
          <w:color w:val="231F20"/>
          <w:spacing w:val="-4"/>
          <w:w w:val="105"/>
          <w:sz w:val="16"/>
        </w:rPr>
        <w:t>NOTA:</w:t>
      </w:r>
      <w:r>
        <w:rPr>
          <w:color w:val="231F20"/>
          <w:spacing w:val="-6"/>
          <w:w w:val="105"/>
          <w:sz w:val="16"/>
        </w:rPr>
        <w:t> </w:t>
      </w:r>
      <w:r>
        <w:rPr>
          <w:color w:val="231F20"/>
          <w:w w:val="105"/>
          <w:sz w:val="16"/>
        </w:rPr>
        <w:t>Se</w:t>
      </w:r>
      <w:r>
        <w:rPr>
          <w:color w:val="231F20"/>
          <w:spacing w:val="-6"/>
          <w:w w:val="105"/>
          <w:sz w:val="16"/>
        </w:rPr>
        <w:t> </w:t>
      </w:r>
      <w:r>
        <w:rPr>
          <w:color w:val="231F20"/>
          <w:w w:val="105"/>
          <w:sz w:val="16"/>
        </w:rPr>
        <w:t>realizaron</w:t>
      </w:r>
      <w:r>
        <w:rPr>
          <w:color w:val="231F20"/>
          <w:spacing w:val="-6"/>
          <w:w w:val="105"/>
          <w:sz w:val="16"/>
        </w:rPr>
        <w:t> </w:t>
      </w:r>
      <w:r>
        <w:rPr>
          <w:color w:val="231F20"/>
          <w:w w:val="105"/>
          <w:sz w:val="16"/>
        </w:rPr>
        <w:t>100</w:t>
      </w:r>
      <w:r>
        <w:rPr>
          <w:color w:val="231F20"/>
          <w:spacing w:val="-6"/>
          <w:w w:val="105"/>
          <w:sz w:val="16"/>
        </w:rPr>
        <w:t> </w:t>
      </w:r>
      <w:r>
        <w:rPr>
          <w:color w:val="231F20"/>
          <w:w w:val="105"/>
          <w:sz w:val="16"/>
        </w:rPr>
        <w:t>ejecuciones</w:t>
      </w:r>
      <w:r>
        <w:rPr>
          <w:color w:val="231F20"/>
          <w:spacing w:val="-6"/>
          <w:w w:val="105"/>
          <w:sz w:val="16"/>
        </w:rPr>
        <w:t> </w:t>
      </w:r>
      <w:r>
        <w:rPr>
          <w:color w:val="231F20"/>
          <w:w w:val="105"/>
          <w:sz w:val="16"/>
        </w:rPr>
        <w:t>del</w:t>
      </w:r>
      <w:r>
        <w:rPr>
          <w:color w:val="231F20"/>
          <w:spacing w:val="-6"/>
          <w:w w:val="105"/>
          <w:sz w:val="16"/>
        </w:rPr>
        <w:t> </w:t>
      </w:r>
      <w:r>
        <w:rPr>
          <w:color w:val="231F20"/>
          <w:w w:val="105"/>
          <w:sz w:val="16"/>
        </w:rPr>
        <w:t>algoritmo</w:t>
      </w:r>
      <w:r>
        <w:rPr>
          <w:color w:val="231F20"/>
          <w:spacing w:val="-6"/>
          <w:w w:val="105"/>
          <w:sz w:val="16"/>
        </w:rPr>
        <w:t> </w:t>
      </w:r>
      <w:r>
        <w:rPr>
          <w:color w:val="231F20"/>
          <w:w w:val="105"/>
          <w:sz w:val="16"/>
        </w:rPr>
        <w:t>de</w:t>
      </w:r>
      <w:r>
        <w:rPr>
          <w:color w:val="231F20"/>
          <w:spacing w:val="-6"/>
          <w:w w:val="105"/>
          <w:sz w:val="16"/>
        </w:rPr>
        <w:t> </w:t>
      </w:r>
      <w:r>
        <w:rPr>
          <w:color w:val="231F20"/>
          <w:w w:val="105"/>
          <w:sz w:val="16"/>
        </w:rPr>
        <w:t>Nelder-Mead</w:t>
      </w:r>
      <w:r>
        <w:rPr>
          <w:color w:val="231F20"/>
          <w:spacing w:val="-6"/>
          <w:w w:val="105"/>
          <w:sz w:val="16"/>
        </w:rPr>
        <w:t> </w:t>
      </w:r>
      <w:r>
        <w:rPr>
          <w:color w:val="231F20"/>
          <w:w w:val="105"/>
          <w:sz w:val="16"/>
        </w:rPr>
        <w:t>mostrando</w:t>
      </w:r>
      <w:r>
        <w:rPr>
          <w:color w:val="231F20"/>
          <w:spacing w:val="-6"/>
          <w:w w:val="105"/>
          <w:sz w:val="16"/>
        </w:rPr>
        <w:t> </w:t>
      </w:r>
      <w:r>
        <w:rPr>
          <w:color w:val="231F20"/>
          <w:w w:val="105"/>
          <w:sz w:val="16"/>
        </w:rPr>
        <w:t>sólo</w:t>
      </w:r>
      <w:r>
        <w:rPr>
          <w:color w:val="231F20"/>
          <w:spacing w:val="-6"/>
          <w:w w:val="105"/>
          <w:sz w:val="16"/>
        </w:rPr>
        <w:t> </w:t>
      </w:r>
      <w:r>
        <w:rPr>
          <w:color w:val="231F20"/>
          <w:w w:val="105"/>
          <w:sz w:val="16"/>
        </w:rPr>
        <w:t>los</w:t>
      </w:r>
      <w:r>
        <w:rPr>
          <w:color w:val="231F20"/>
          <w:spacing w:val="-6"/>
          <w:w w:val="105"/>
          <w:sz w:val="16"/>
        </w:rPr>
        <w:t> </w:t>
      </w:r>
      <w:r>
        <w:rPr>
          <w:color w:val="231F20"/>
          <w:w w:val="105"/>
          <w:sz w:val="16"/>
        </w:rPr>
        <w:t>resul- tados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primera</w:t>
      </w:r>
      <w:r>
        <w:rPr>
          <w:color w:val="231F20"/>
          <w:spacing w:val="-16"/>
          <w:w w:val="105"/>
          <w:sz w:val="16"/>
        </w:rPr>
        <w:t> </w:t>
      </w:r>
      <w:r>
        <w:rPr>
          <w:color w:val="231F20"/>
          <w:w w:val="105"/>
          <w:sz w:val="16"/>
        </w:rPr>
        <w:t>y</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las</w:t>
      </w:r>
      <w:r>
        <w:rPr>
          <w:color w:val="231F20"/>
          <w:spacing w:val="-16"/>
          <w:w w:val="105"/>
          <w:sz w:val="16"/>
        </w:rPr>
        <w:t> </w:t>
      </w:r>
      <w:r>
        <w:rPr>
          <w:color w:val="231F20"/>
          <w:w w:val="105"/>
          <w:sz w:val="16"/>
        </w:rPr>
        <w:t>tres</w:t>
      </w:r>
      <w:r>
        <w:rPr>
          <w:color w:val="231F20"/>
          <w:spacing w:val="-16"/>
          <w:w w:val="105"/>
          <w:sz w:val="16"/>
        </w:rPr>
        <w:t> </w:t>
      </w:r>
      <w:r>
        <w:rPr>
          <w:color w:val="231F20"/>
          <w:w w:val="105"/>
          <w:sz w:val="16"/>
        </w:rPr>
        <w:t>últimas</w:t>
      </w:r>
      <w:r>
        <w:rPr>
          <w:color w:val="231F20"/>
          <w:spacing w:val="-16"/>
          <w:w w:val="105"/>
          <w:sz w:val="16"/>
        </w:rPr>
        <w:t> </w:t>
      </w:r>
      <w:r>
        <w:rPr>
          <w:color w:val="231F20"/>
          <w:w w:val="105"/>
          <w:sz w:val="16"/>
        </w:rPr>
        <w:t>ejecuciones.</w:t>
      </w:r>
      <w:r>
        <w:rPr>
          <w:color w:val="231F20"/>
          <w:spacing w:val="-20"/>
          <w:w w:val="105"/>
          <w:sz w:val="16"/>
        </w:rPr>
        <w:t> </w:t>
      </w:r>
      <w:r>
        <w:rPr>
          <w:rFonts w:ascii="Times New Roman" w:hAnsi="Times New Roman"/>
          <w:color w:val="231F20"/>
          <w:w w:val="105"/>
          <w:sz w:val="16"/>
        </w:rPr>
        <w:t>Ψ</w:t>
      </w:r>
      <w:r>
        <w:rPr>
          <w:rFonts w:ascii="Times New Roman" w:hAnsi="Times New Roman"/>
          <w:color w:val="231F20"/>
          <w:spacing w:val="1"/>
          <w:w w:val="105"/>
          <w:sz w:val="16"/>
        </w:rPr>
        <w:t> </w:t>
      </w:r>
      <w:r>
        <w:rPr>
          <w:color w:val="231F20"/>
          <w:w w:val="105"/>
          <w:sz w:val="16"/>
        </w:rPr>
        <w:t>(</w:t>
      </w:r>
      <w:r>
        <w:rPr>
          <w:rFonts w:ascii="Times New Roman" w:hAnsi="Times New Roman"/>
          <w:i/>
          <w:color w:val="231F20"/>
          <w:w w:val="105"/>
          <w:sz w:val="16"/>
        </w:rPr>
        <w:t>х</w:t>
      </w:r>
      <w:r>
        <w:rPr>
          <w:color w:val="231F20"/>
          <w:w w:val="105"/>
          <w:position w:val="-2"/>
          <w:sz w:val="9"/>
        </w:rPr>
        <w:t>0</w:t>
      </w:r>
      <w:r>
        <w:rPr>
          <w:color w:val="231F20"/>
          <w:w w:val="105"/>
          <w:sz w:val="16"/>
        </w:rPr>
        <w:t>)</w:t>
      </w:r>
      <w:r>
        <w:rPr>
          <w:color w:val="231F20"/>
          <w:spacing w:val="-16"/>
          <w:w w:val="105"/>
          <w:sz w:val="16"/>
        </w:rPr>
        <w:t> </w:t>
      </w:r>
      <w:r>
        <w:rPr>
          <w:color w:val="231F20"/>
          <w:w w:val="105"/>
          <w:sz w:val="16"/>
        </w:rPr>
        <w:t>es</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función</w:t>
      </w:r>
      <w:r>
        <w:rPr>
          <w:color w:val="231F20"/>
          <w:spacing w:val="-16"/>
          <w:w w:val="105"/>
          <w:sz w:val="16"/>
        </w:rPr>
        <w:t> </w:t>
      </w:r>
      <w:r>
        <w:rPr>
          <w:color w:val="231F20"/>
          <w:w w:val="105"/>
          <w:sz w:val="16"/>
        </w:rPr>
        <w:t>objetivo</w:t>
      </w:r>
      <w:r>
        <w:rPr>
          <w:color w:val="231F20"/>
          <w:spacing w:val="-16"/>
          <w:w w:val="105"/>
          <w:sz w:val="16"/>
        </w:rPr>
        <w:t> </w:t>
      </w:r>
      <w:r>
        <w:rPr>
          <w:color w:val="231F20"/>
          <w:w w:val="105"/>
          <w:sz w:val="16"/>
        </w:rPr>
        <w:t>que</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emplea</w:t>
      </w:r>
    </w:p>
    <w:p>
      <w:pPr>
        <w:spacing w:before="8"/>
        <w:ind w:left="117" w:right="114" w:firstLine="0"/>
        <w:jc w:val="left"/>
        <w:rPr>
          <w:rFonts w:ascii="Calibri" w:hAnsi="Calibri"/>
          <w:sz w:val="16"/>
        </w:rPr>
      </w:pPr>
      <w:r>
        <w:rPr>
          <w:rFonts w:ascii="Calibri" w:hAnsi="Calibri"/>
          <w:color w:val="414042"/>
          <w:w w:val="105"/>
          <w:position w:val="5"/>
          <w:sz w:val="9"/>
        </w:rPr>
        <w:t>6    </w:t>
      </w:r>
      <w:r>
        <w:rPr>
          <w:rFonts w:ascii="Calibri" w:hAnsi="Calibri"/>
          <w:color w:val="414042"/>
          <w:w w:val="105"/>
          <w:sz w:val="16"/>
        </w:rPr>
        <w:t>Que se programó en Matlab.</w:t>
      </w:r>
    </w:p>
    <w:p>
      <w:pPr>
        <w:spacing w:after="0"/>
        <w:jc w:val="left"/>
        <w:rPr>
          <w:rFonts w:ascii="Calibri" w:hAnsi="Calibri"/>
          <w:sz w:val="16"/>
        </w:rPr>
        <w:sectPr>
          <w:type w:val="continuous"/>
          <w:pgSz w:w="9640" w:h="13890"/>
          <w:pgMar w:top="1300" w:bottom="280" w:left="1300" w:right="1180"/>
        </w:sectPr>
      </w:pPr>
    </w:p>
    <w:p>
      <w:pPr>
        <w:spacing w:line="249" w:lineRule="auto" w:before="117"/>
        <w:ind w:left="103" w:right="135" w:firstLine="0"/>
        <w:jc w:val="both"/>
        <w:rPr>
          <w:sz w:val="16"/>
        </w:rPr>
      </w:pPr>
      <w:r>
        <w:rPr>
          <w:color w:val="231F20"/>
          <w:w w:val="105"/>
          <w:sz w:val="16"/>
        </w:rPr>
        <w:t>para</w:t>
      </w:r>
      <w:r>
        <w:rPr>
          <w:color w:val="231F20"/>
          <w:spacing w:val="-3"/>
          <w:w w:val="105"/>
          <w:sz w:val="16"/>
        </w:rPr>
        <w:t> </w:t>
      </w:r>
      <w:r>
        <w:rPr>
          <w:color w:val="231F20"/>
          <w:w w:val="105"/>
          <w:sz w:val="16"/>
        </w:rPr>
        <w:t>estimar</w:t>
      </w:r>
      <w:r>
        <w:rPr>
          <w:color w:val="231F20"/>
          <w:spacing w:val="-3"/>
          <w:w w:val="105"/>
          <w:sz w:val="16"/>
        </w:rPr>
        <w:t> </w:t>
      </w:r>
      <w:r>
        <w:rPr>
          <w:color w:val="231F20"/>
          <w:w w:val="105"/>
          <w:sz w:val="16"/>
        </w:rPr>
        <w:t>los</w:t>
      </w:r>
      <w:r>
        <w:rPr>
          <w:color w:val="231F20"/>
          <w:spacing w:val="-3"/>
          <w:w w:val="105"/>
          <w:sz w:val="16"/>
        </w:rPr>
        <w:t> </w:t>
      </w:r>
      <w:r>
        <w:rPr>
          <w:color w:val="231F20"/>
          <w:w w:val="105"/>
          <w:sz w:val="16"/>
        </w:rPr>
        <w:t>parámetros</w:t>
      </w:r>
      <w:r>
        <w:rPr>
          <w:color w:val="231F20"/>
          <w:spacing w:val="-3"/>
          <w:w w:val="105"/>
          <w:sz w:val="16"/>
        </w:rPr>
        <w:t> </w:t>
      </w:r>
      <w:r>
        <w:rPr>
          <w:color w:val="231F20"/>
          <w:w w:val="105"/>
          <w:sz w:val="16"/>
        </w:rPr>
        <w:t>de</w:t>
      </w:r>
      <w:r>
        <w:rPr>
          <w:color w:val="231F20"/>
          <w:spacing w:val="-3"/>
          <w:w w:val="105"/>
          <w:sz w:val="16"/>
        </w:rPr>
        <w:t> </w:t>
      </w:r>
      <w:r>
        <w:rPr>
          <w:color w:val="231F20"/>
          <w:w w:val="105"/>
          <w:sz w:val="16"/>
        </w:rPr>
        <w:t>la</w:t>
      </w:r>
      <w:r>
        <w:rPr>
          <w:color w:val="231F20"/>
          <w:spacing w:val="-3"/>
          <w:w w:val="105"/>
          <w:sz w:val="16"/>
        </w:rPr>
        <w:t> </w:t>
      </w:r>
      <w:r>
        <w:rPr>
          <w:color w:val="231F20"/>
          <w:w w:val="105"/>
          <w:sz w:val="16"/>
        </w:rPr>
        <w:t>serie</w:t>
      </w:r>
      <w:r>
        <w:rPr>
          <w:color w:val="231F20"/>
          <w:spacing w:val="-3"/>
          <w:w w:val="105"/>
          <w:sz w:val="16"/>
        </w:rPr>
        <w:t> </w:t>
      </w:r>
      <w:r>
        <w:rPr>
          <w:color w:val="231F20"/>
          <w:w w:val="105"/>
          <w:sz w:val="16"/>
        </w:rPr>
        <w:t>de</w:t>
      </w:r>
      <w:r>
        <w:rPr>
          <w:color w:val="231F20"/>
          <w:spacing w:val="-3"/>
          <w:w w:val="105"/>
          <w:sz w:val="16"/>
        </w:rPr>
        <w:t> </w:t>
      </w:r>
      <w:r>
        <w:rPr>
          <w:color w:val="231F20"/>
          <w:w w:val="105"/>
          <w:sz w:val="16"/>
        </w:rPr>
        <w:t>rendimientos</w:t>
      </w:r>
      <w:r>
        <w:rPr>
          <w:color w:val="231F20"/>
          <w:spacing w:val="-3"/>
          <w:w w:val="105"/>
          <w:sz w:val="16"/>
        </w:rPr>
        <w:t> </w:t>
      </w:r>
      <w:r>
        <w:rPr>
          <w:color w:val="231F20"/>
          <w:w w:val="105"/>
          <w:sz w:val="16"/>
        </w:rPr>
        <w:t>de</w:t>
      </w:r>
      <w:r>
        <w:rPr>
          <w:color w:val="231F20"/>
          <w:spacing w:val="-3"/>
          <w:w w:val="105"/>
          <w:sz w:val="16"/>
        </w:rPr>
        <w:t> </w:t>
      </w:r>
      <w:r>
        <w:rPr>
          <w:color w:val="231F20"/>
          <w:w w:val="105"/>
          <w:sz w:val="16"/>
        </w:rPr>
        <w:t>los</w:t>
      </w:r>
      <w:r>
        <w:rPr>
          <w:color w:val="231F20"/>
          <w:spacing w:val="-3"/>
          <w:w w:val="105"/>
          <w:sz w:val="16"/>
        </w:rPr>
        <w:t> </w:t>
      </w:r>
      <w:r>
        <w:rPr>
          <w:color w:val="231F20"/>
          <w:w w:val="105"/>
          <w:sz w:val="16"/>
        </w:rPr>
        <w:t>precios</w:t>
      </w:r>
      <w:r>
        <w:rPr>
          <w:color w:val="231F20"/>
          <w:spacing w:val="-3"/>
          <w:w w:val="105"/>
          <w:sz w:val="16"/>
        </w:rPr>
        <w:t> </w:t>
      </w:r>
      <w:r>
        <w:rPr>
          <w:color w:val="231F20"/>
          <w:w w:val="105"/>
          <w:sz w:val="16"/>
        </w:rPr>
        <w:t>del</w:t>
      </w:r>
      <w:r>
        <w:rPr>
          <w:color w:val="231F20"/>
          <w:spacing w:val="-3"/>
          <w:w w:val="105"/>
          <w:sz w:val="16"/>
        </w:rPr>
        <w:t> </w:t>
      </w:r>
      <w:r>
        <w:rPr>
          <w:color w:val="231F20"/>
          <w:w w:val="105"/>
          <w:sz w:val="16"/>
        </w:rPr>
        <w:t>tipo</w:t>
      </w:r>
      <w:r>
        <w:rPr>
          <w:color w:val="231F20"/>
          <w:spacing w:val="-3"/>
          <w:w w:val="105"/>
          <w:sz w:val="16"/>
        </w:rPr>
        <w:t> </w:t>
      </w:r>
      <w:r>
        <w:rPr>
          <w:color w:val="231F20"/>
          <w:w w:val="105"/>
          <w:sz w:val="16"/>
        </w:rPr>
        <w:t>de</w:t>
      </w:r>
      <w:r>
        <w:rPr>
          <w:color w:val="231F20"/>
          <w:spacing w:val="-3"/>
          <w:w w:val="105"/>
          <w:sz w:val="16"/>
        </w:rPr>
        <w:t> </w:t>
      </w:r>
      <w:r>
        <w:rPr>
          <w:color w:val="231F20"/>
          <w:w w:val="105"/>
          <w:sz w:val="16"/>
        </w:rPr>
        <w:t>cambio,</w:t>
      </w:r>
      <w:r>
        <w:rPr>
          <w:color w:val="231F20"/>
          <w:spacing w:val="-7"/>
          <w:w w:val="105"/>
          <w:sz w:val="16"/>
        </w:rPr>
        <w:t> </w:t>
      </w:r>
      <w:r>
        <w:rPr>
          <w:color w:val="231F20"/>
          <w:w w:val="105"/>
          <w:sz w:val="16"/>
        </w:rPr>
        <w:t>to- mando</w:t>
      </w:r>
      <w:r>
        <w:rPr>
          <w:color w:val="231F20"/>
          <w:spacing w:val="-6"/>
          <w:w w:val="105"/>
          <w:sz w:val="16"/>
        </w:rPr>
        <w:t> </w:t>
      </w:r>
      <w:r>
        <w:rPr>
          <w:color w:val="231F20"/>
          <w:w w:val="105"/>
          <w:sz w:val="16"/>
        </w:rPr>
        <w:t>valor</w:t>
      </w:r>
      <w:r>
        <w:rPr>
          <w:color w:val="231F20"/>
          <w:spacing w:val="-6"/>
          <w:w w:val="105"/>
          <w:sz w:val="16"/>
        </w:rPr>
        <w:t> </w:t>
      </w:r>
      <w:r>
        <w:rPr>
          <w:color w:val="231F20"/>
          <w:w w:val="105"/>
          <w:sz w:val="16"/>
        </w:rPr>
        <w:t>igual</w:t>
      </w:r>
      <w:r>
        <w:rPr>
          <w:color w:val="231F20"/>
          <w:spacing w:val="-6"/>
          <w:w w:val="105"/>
          <w:sz w:val="16"/>
        </w:rPr>
        <w:t> </w:t>
      </w:r>
      <w:r>
        <w:rPr>
          <w:color w:val="231F20"/>
          <w:w w:val="105"/>
          <w:sz w:val="16"/>
        </w:rPr>
        <w:t>a</w:t>
      </w:r>
      <w:r>
        <w:rPr>
          <w:color w:val="231F20"/>
          <w:spacing w:val="-6"/>
          <w:w w:val="105"/>
          <w:sz w:val="16"/>
        </w:rPr>
        <w:t> </w:t>
      </w:r>
      <w:r>
        <w:rPr>
          <w:color w:val="231F20"/>
          <w:w w:val="105"/>
          <w:sz w:val="16"/>
        </w:rPr>
        <w:t>1</w:t>
      </w:r>
      <w:r>
        <w:rPr>
          <w:color w:val="231F20"/>
          <w:spacing w:val="-6"/>
          <w:w w:val="105"/>
          <w:sz w:val="16"/>
        </w:rPr>
        <w:t> </w:t>
      </w:r>
      <w:r>
        <w:rPr>
          <w:color w:val="231F20"/>
          <w:w w:val="105"/>
          <w:sz w:val="16"/>
        </w:rPr>
        <w:t>cuando</w:t>
      </w:r>
      <w:r>
        <w:rPr>
          <w:color w:val="231F20"/>
          <w:spacing w:val="-6"/>
          <w:w w:val="105"/>
          <w:sz w:val="16"/>
        </w:rPr>
        <w:t> </w:t>
      </w:r>
      <w:r>
        <w:rPr>
          <w:color w:val="231F20"/>
          <w:w w:val="105"/>
          <w:sz w:val="16"/>
        </w:rPr>
        <w:t>se</w:t>
      </w:r>
      <w:r>
        <w:rPr>
          <w:color w:val="231F20"/>
          <w:spacing w:val="-6"/>
          <w:w w:val="105"/>
          <w:sz w:val="16"/>
        </w:rPr>
        <w:t> </w:t>
      </w:r>
      <w:r>
        <w:rPr>
          <w:color w:val="231F20"/>
          <w:w w:val="105"/>
          <w:sz w:val="16"/>
        </w:rPr>
        <w:t>ha</w:t>
      </w:r>
      <w:r>
        <w:rPr>
          <w:color w:val="231F20"/>
          <w:spacing w:val="-6"/>
          <w:w w:val="105"/>
          <w:sz w:val="16"/>
        </w:rPr>
        <w:t> </w:t>
      </w:r>
      <w:r>
        <w:rPr>
          <w:color w:val="231F20"/>
          <w:w w:val="105"/>
          <w:sz w:val="16"/>
        </w:rPr>
        <w:t>encontrado</w:t>
      </w:r>
      <w:r>
        <w:rPr>
          <w:color w:val="231F20"/>
          <w:spacing w:val="-6"/>
          <w:w w:val="105"/>
          <w:sz w:val="16"/>
        </w:rPr>
        <w:t> </w:t>
      </w:r>
      <w:r>
        <w:rPr>
          <w:color w:val="231F20"/>
          <w:w w:val="105"/>
          <w:sz w:val="16"/>
        </w:rPr>
        <w:t>un</w:t>
      </w:r>
      <w:r>
        <w:rPr>
          <w:color w:val="231F20"/>
          <w:spacing w:val="-6"/>
          <w:w w:val="105"/>
          <w:sz w:val="16"/>
        </w:rPr>
        <w:t> </w:t>
      </w:r>
      <w:r>
        <w:rPr>
          <w:color w:val="231F20"/>
          <w:w w:val="105"/>
          <w:sz w:val="16"/>
        </w:rPr>
        <w:t>óptimo</w:t>
      </w:r>
      <w:r>
        <w:rPr>
          <w:color w:val="231F20"/>
          <w:spacing w:val="-6"/>
          <w:w w:val="105"/>
          <w:sz w:val="16"/>
        </w:rPr>
        <w:t> </w:t>
      </w:r>
      <w:r>
        <w:rPr>
          <w:color w:val="231F20"/>
          <w:w w:val="105"/>
          <w:sz w:val="16"/>
        </w:rPr>
        <w:t>local.</w:t>
      </w:r>
      <w:r>
        <w:rPr>
          <w:color w:val="231F20"/>
          <w:spacing w:val="-10"/>
          <w:w w:val="105"/>
          <w:sz w:val="16"/>
        </w:rPr>
        <w:t> </w:t>
      </w:r>
      <w:r>
        <w:rPr>
          <w:color w:val="231F20"/>
          <w:w w:val="105"/>
          <w:sz w:val="16"/>
        </w:rPr>
        <w:t>Siendo</w:t>
      </w:r>
      <w:r>
        <w:rPr>
          <w:color w:val="231F20"/>
          <w:spacing w:val="-6"/>
          <w:w w:val="105"/>
          <w:sz w:val="16"/>
        </w:rPr>
        <w:t> </w:t>
      </w:r>
      <w:r>
        <w:rPr>
          <w:rFonts w:ascii="Times New Roman" w:hAnsi="Times New Roman"/>
          <w:i/>
          <w:color w:val="231F20"/>
          <w:w w:val="105"/>
          <w:sz w:val="16"/>
        </w:rPr>
        <w:t>h</w:t>
      </w:r>
      <w:r>
        <w:rPr>
          <w:rFonts w:ascii="Times New Roman" w:hAnsi="Times New Roman"/>
          <w:i/>
          <w:color w:val="231F20"/>
          <w:w w:val="105"/>
          <w:position w:val="-2"/>
          <w:sz w:val="9"/>
        </w:rPr>
        <w:t>i</w:t>
      </w:r>
      <w:r>
        <w:rPr>
          <w:rFonts w:ascii="Times New Roman" w:hAnsi="Times New Roman"/>
          <w:i/>
          <w:color w:val="231F20"/>
          <w:spacing w:val="17"/>
          <w:w w:val="105"/>
          <w:position w:val="-2"/>
          <w:sz w:val="9"/>
        </w:rPr>
        <w:t> </w:t>
      </w:r>
      <w:r>
        <w:rPr>
          <w:color w:val="231F20"/>
          <w:w w:val="105"/>
          <w:sz w:val="16"/>
        </w:rPr>
        <w:t>un</w:t>
      </w:r>
      <w:r>
        <w:rPr>
          <w:color w:val="231F20"/>
          <w:spacing w:val="-6"/>
          <w:w w:val="105"/>
          <w:sz w:val="16"/>
        </w:rPr>
        <w:t> </w:t>
      </w:r>
      <w:r>
        <w:rPr>
          <w:color w:val="231F20"/>
          <w:w w:val="105"/>
          <w:sz w:val="16"/>
        </w:rPr>
        <w:t>valor</w:t>
      </w:r>
      <w:r>
        <w:rPr>
          <w:color w:val="231F20"/>
          <w:spacing w:val="-6"/>
          <w:w w:val="105"/>
          <w:sz w:val="16"/>
        </w:rPr>
        <w:t> </w:t>
      </w:r>
      <w:r>
        <w:rPr>
          <w:color w:val="231F20"/>
          <w:w w:val="105"/>
          <w:sz w:val="16"/>
        </w:rPr>
        <w:t>de</w:t>
      </w:r>
      <w:r>
        <w:rPr>
          <w:color w:val="231F20"/>
          <w:spacing w:val="-6"/>
          <w:w w:val="105"/>
          <w:sz w:val="16"/>
        </w:rPr>
        <w:t> </w:t>
      </w:r>
      <w:r>
        <w:rPr>
          <w:color w:val="231F20"/>
          <w:w w:val="105"/>
          <w:sz w:val="16"/>
        </w:rPr>
        <w:t>entrada</w:t>
      </w:r>
    </w:p>
    <w:p>
      <w:pPr>
        <w:spacing w:line="285" w:lineRule="auto" w:before="56"/>
        <w:ind w:left="103" w:right="135" w:firstLine="0"/>
        <w:jc w:val="both"/>
        <w:rPr>
          <w:sz w:val="16"/>
        </w:rPr>
      </w:pPr>
      <w:r>
        <w:rPr>
          <w:color w:val="231F20"/>
          <w:w w:val="105"/>
          <w:sz w:val="16"/>
        </w:rPr>
        <w:t>al</w:t>
      </w:r>
      <w:r>
        <w:rPr>
          <w:color w:val="231F20"/>
          <w:spacing w:val="-16"/>
          <w:w w:val="105"/>
          <w:sz w:val="16"/>
        </w:rPr>
        <w:t> </w:t>
      </w:r>
      <w:r>
        <w:rPr>
          <w:color w:val="231F20"/>
          <w:w w:val="105"/>
          <w:sz w:val="16"/>
        </w:rPr>
        <w:t>vector</w:t>
      </w:r>
      <w:r>
        <w:rPr>
          <w:color w:val="231F20"/>
          <w:spacing w:val="-16"/>
          <w:w w:val="105"/>
          <w:sz w:val="16"/>
        </w:rPr>
        <w:t> </w:t>
      </w:r>
      <w:r>
        <w:rPr>
          <w:rFonts w:ascii="Times New Roman" w:hAnsi="Times New Roman"/>
          <w:color w:val="231F20"/>
          <w:w w:val="105"/>
          <w:sz w:val="16"/>
        </w:rPr>
        <w:t>Ʌ:</w:t>
      </w:r>
      <w:r>
        <w:rPr>
          <w:rFonts w:ascii="Times New Roman" w:hAnsi="Times New Roman"/>
          <w:color w:val="231F20"/>
          <w:spacing w:val="-11"/>
          <w:w w:val="105"/>
          <w:sz w:val="16"/>
        </w:rPr>
        <w:t> </w:t>
      </w:r>
      <w:r>
        <w:rPr>
          <w:rFonts w:ascii="Times New Roman" w:hAnsi="Times New Roman"/>
          <w:i/>
          <w:color w:val="231F20"/>
          <w:w w:val="105"/>
          <w:sz w:val="16"/>
        </w:rPr>
        <w:t>R</w:t>
      </w:r>
      <w:r>
        <w:rPr>
          <w:rFonts w:ascii="Times New Roman" w:hAnsi="Times New Roman"/>
          <w:i/>
          <w:color w:val="231F20"/>
          <w:w w:val="105"/>
          <w:position w:val="-4"/>
          <w:sz w:val="13"/>
        </w:rPr>
        <w:t>mxm</w:t>
      </w:r>
      <w:r>
        <w:rPr>
          <w:rFonts w:ascii="Times New Roman" w:hAnsi="Times New Roman"/>
          <w:i/>
          <w:color w:val="231F20"/>
          <w:w w:val="105"/>
          <w:sz w:val="16"/>
        </w:rPr>
        <w:t>→R</w:t>
      </w:r>
      <w:r>
        <w:rPr>
          <w:rFonts w:ascii="Times New Roman" w:hAnsi="Times New Roman"/>
          <w:i/>
          <w:color w:val="231F20"/>
          <w:w w:val="105"/>
          <w:position w:val="-4"/>
          <w:sz w:val="13"/>
        </w:rPr>
        <w:t>m</w:t>
      </w:r>
      <w:r>
        <w:rPr>
          <w:rFonts w:ascii="Times New Roman" w:hAnsi="Times New Roman"/>
          <w:i/>
          <w:color w:val="231F20"/>
          <w:spacing w:val="-3"/>
          <w:w w:val="105"/>
          <w:position w:val="-4"/>
          <w:sz w:val="13"/>
        </w:rPr>
        <w:t> </w:t>
      </w:r>
      <w:r>
        <w:rPr>
          <w:color w:val="231F20"/>
          <w:w w:val="105"/>
          <w:sz w:val="16"/>
        </w:rPr>
        <w:t>en</w:t>
      </w:r>
      <w:r>
        <w:rPr>
          <w:color w:val="231F20"/>
          <w:spacing w:val="-16"/>
          <w:w w:val="105"/>
          <w:sz w:val="16"/>
        </w:rPr>
        <w:t> </w:t>
      </w:r>
      <w:r>
        <w:rPr>
          <w:color w:val="231F20"/>
          <w:w w:val="105"/>
          <w:sz w:val="16"/>
        </w:rPr>
        <w:t>cada</w:t>
      </w:r>
      <w:r>
        <w:rPr>
          <w:color w:val="231F20"/>
          <w:spacing w:val="-16"/>
          <w:w w:val="105"/>
          <w:sz w:val="16"/>
        </w:rPr>
        <w:t> </w:t>
      </w:r>
      <w:r>
        <w:rPr>
          <w:color w:val="231F20"/>
          <w:w w:val="105"/>
          <w:sz w:val="16"/>
        </w:rPr>
        <w:t>iteración,</w:t>
      </w:r>
      <w:r>
        <w:rPr>
          <w:color w:val="231F20"/>
          <w:spacing w:val="-19"/>
          <w:w w:val="105"/>
          <w:sz w:val="16"/>
        </w:rPr>
        <w:t> </w:t>
      </w:r>
      <w:r>
        <w:rPr>
          <w:color w:val="231F20"/>
          <w:w w:val="105"/>
          <w:sz w:val="16"/>
        </w:rPr>
        <w:t>realizando</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prueba</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bondad</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ajuste</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Kolmogo- rov-Smirnov</w:t>
      </w:r>
      <w:r>
        <w:rPr>
          <w:color w:val="231F20"/>
          <w:spacing w:val="-19"/>
          <w:w w:val="105"/>
          <w:sz w:val="16"/>
        </w:rPr>
        <w:t> </w:t>
      </w:r>
      <w:r>
        <w:rPr>
          <w:color w:val="231F20"/>
          <w:w w:val="105"/>
          <w:sz w:val="16"/>
        </w:rPr>
        <w:t>(KS)</w:t>
      </w:r>
      <w:r>
        <w:rPr>
          <w:color w:val="231F20"/>
          <w:spacing w:val="-19"/>
          <w:w w:val="105"/>
          <w:sz w:val="16"/>
        </w:rPr>
        <w:t> </w:t>
      </w:r>
      <w:r>
        <w:rPr>
          <w:color w:val="231F20"/>
          <w:w w:val="105"/>
          <w:sz w:val="16"/>
        </w:rPr>
        <w:t>con</w:t>
      </w:r>
      <w:r>
        <w:rPr>
          <w:color w:val="231F20"/>
          <w:spacing w:val="-19"/>
          <w:w w:val="105"/>
          <w:sz w:val="16"/>
        </w:rPr>
        <w:t> </w:t>
      </w:r>
      <w:r>
        <w:rPr>
          <w:rFonts w:ascii="Times New Roman" w:hAnsi="Times New Roman"/>
          <w:i/>
          <w:color w:val="231F20"/>
          <w:w w:val="105"/>
          <w:sz w:val="16"/>
        </w:rPr>
        <w:t>p</w:t>
      </w:r>
      <w:r>
        <w:rPr>
          <w:rFonts w:ascii="Times New Roman" w:hAnsi="Times New Roman"/>
          <w:color w:val="231F20"/>
          <w:w w:val="105"/>
          <w:position w:val="-4"/>
          <w:sz w:val="13"/>
        </w:rPr>
        <w:t>i</w:t>
      </w:r>
      <w:r>
        <w:rPr>
          <w:rFonts w:ascii="Times New Roman" w:hAnsi="Times New Roman"/>
          <w:color w:val="231F20"/>
          <w:spacing w:val="-21"/>
          <w:w w:val="105"/>
          <w:position w:val="-4"/>
          <w:sz w:val="13"/>
        </w:rPr>
        <w:t> </w:t>
      </w:r>
      <w:r>
        <w:rPr>
          <w:rFonts w:ascii="Times New Roman" w:hAnsi="Times New Roman"/>
          <w:color w:val="231F20"/>
          <w:w w:val="105"/>
          <w:sz w:val="16"/>
        </w:rPr>
        <w:t>=</w:t>
      </w:r>
      <w:r>
        <w:rPr>
          <w:rFonts w:ascii="Times New Roman" w:hAnsi="Times New Roman"/>
          <w:color w:val="231F20"/>
          <w:spacing w:val="-30"/>
          <w:w w:val="105"/>
          <w:sz w:val="16"/>
        </w:rPr>
        <w:t> </w:t>
      </w:r>
      <w:r>
        <w:rPr>
          <w:color w:val="231F20"/>
          <w:w w:val="105"/>
          <w:sz w:val="16"/>
        </w:rPr>
        <w:t>valor</w:t>
      </w:r>
      <w:r>
        <w:rPr>
          <w:color w:val="231F20"/>
          <w:spacing w:val="-19"/>
          <w:w w:val="105"/>
          <w:sz w:val="16"/>
        </w:rPr>
        <w:t> </w:t>
      </w:r>
      <w:r>
        <w:rPr>
          <w:rFonts w:ascii="Times New Roman" w:hAnsi="Times New Roman"/>
          <w:color w:val="231F20"/>
          <w:w w:val="105"/>
          <w:sz w:val="16"/>
        </w:rPr>
        <w:t>-</w:t>
      </w:r>
      <w:r>
        <w:rPr>
          <w:rFonts w:ascii="Times New Roman" w:hAnsi="Times New Roman"/>
          <w:color w:val="231F20"/>
          <w:spacing w:val="-14"/>
          <w:w w:val="105"/>
          <w:sz w:val="16"/>
        </w:rPr>
        <w:t> </w:t>
      </w:r>
      <w:r>
        <w:rPr>
          <w:rFonts w:ascii="Times New Roman" w:hAnsi="Times New Roman"/>
          <w:i/>
          <w:color w:val="231F20"/>
          <w:w w:val="105"/>
          <w:sz w:val="16"/>
        </w:rPr>
        <w:t>p</w:t>
      </w:r>
      <w:r>
        <w:rPr>
          <w:color w:val="231F20"/>
          <w:w w:val="105"/>
          <w:sz w:val="16"/>
        </w:rPr>
        <w:t>,</w:t>
      </w:r>
      <w:r>
        <w:rPr>
          <w:color w:val="231F20"/>
          <w:spacing w:val="-23"/>
          <w:w w:val="105"/>
          <w:sz w:val="16"/>
        </w:rPr>
        <w:t> </w:t>
      </w:r>
      <w:r>
        <w:rPr>
          <w:color w:val="231F20"/>
          <w:w w:val="105"/>
          <w:sz w:val="16"/>
        </w:rPr>
        <w:t>en</w:t>
      </w:r>
      <w:r>
        <w:rPr>
          <w:color w:val="231F20"/>
          <w:spacing w:val="-19"/>
          <w:w w:val="105"/>
          <w:sz w:val="16"/>
        </w:rPr>
        <w:t> </w:t>
      </w:r>
      <w:r>
        <w:rPr>
          <w:color w:val="231F20"/>
          <w:w w:val="105"/>
          <w:sz w:val="16"/>
        </w:rPr>
        <w:t>donde</w:t>
      </w:r>
      <w:r>
        <w:rPr>
          <w:color w:val="231F20"/>
          <w:spacing w:val="-19"/>
          <w:w w:val="105"/>
          <w:sz w:val="16"/>
        </w:rPr>
        <w:t> </w:t>
      </w:r>
      <w:r>
        <w:rPr>
          <w:color w:val="231F20"/>
          <w:w w:val="105"/>
          <w:sz w:val="16"/>
        </w:rPr>
        <w:t>si</w:t>
      </w:r>
      <w:r>
        <w:rPr>
          <w:color w:val="231F20"/>
          <w:spacing w:val="-19"/>
          <w:w w:val="105"/>
          <w:sz w:val="16"/>
        </w:rPr>
        <w:t> </w:t>
      </w:r>
      <w:r>
        <w:rPr>
          <w:rFonts w:ascii="Times New Roman" w:hAnsi="Times New Roman"/>
          <w:i/>
          <w:color w:val="231F20"/>
          <w:w w:val="105"/>
          <w:sz w:val="16"/>
        </w:rPr>
        <w:t>p</w:t>
      </w:r>
      <w:r>
        <w:rPr>
          <w:rFonts w:ascii="Times New Roman" w:hAnsi="Times New Roman"/>
          <w:color w:val="231F20"/>
          <w:w w:val="105"/>
          <w:position w:val="-4"/>
          <w:sz w:val="13"/>
        </w:rPr>
        <w:t>i</w:t>
      </w:r>
      <w:r>
        <w:rPr>
          <w:rFonts w:ascii="Times New Roman" w:hAnsi="Times New Roman"/>
          <w:color w:val="231F20"/>
          <w:spacing w:val="-12"/>
          <w:w w:val="105"/>
          <w:position w:val="-4"/>
          <w:sz w:val="13"/>
        </w:rPr>
        <w:t> </w:t>
      </w:r>
      <w:r>
        <w:rPr>
          <w:rFonts w:ascii="Times New Roman" w:hAnsi="Times New Roman"/>
          <w:color w:val="231F20"/>
          <w:w w:val="105"/>
          <w:sz w:val="16"/>
        </w:rPr>
        <w:t>≥</w:t>
      </w:r>
      <w:r>
        <w:rPr>
          <w:rFonts w:ascii="Times New Roman" w:hAnsi="Times New Roman"/>
          <w:color w:val="231F20"/>
          <w:spacing w:val="-15"/>
          <w:w w:val="105"/>
          <w:sz w:val="16"/>
        </w:rPr>
        <w:t> </w:t>
      </w:r>
      <w:r>
        <w:rPr>
          <w:color w:val="231F20"/>
          <w:w w:val="105"/>
          <w:sz w:val="16"/>
        </w:rPr>
        <w:t>0.05</w:t>
      </w:r>
      <w:r>
        <w:rPr>
          <w:color w:val="231F20"/>
          <w:spacing w:val="-19"/>
          <w:w w:val="105"/>
          <w:sz w:val="16"/>
        </w:rPr>
        <w:t> </w:t>
      </w:r>
      <w:r>
        <w:rPr>
          <w:color w:val="231F20"/>
          <w:w w:val="105"/>
          <w:sz w:val="16"/>
        </w:rPr>
        <w:t>no</w:t>
      </w:r>
      <w:r>
        <w:rPr>
          <w:color w:val="231F20"/>
          <w:spacing w:val="-19"/>
          <w:w w:val="105"/>
          <w:sz w:val="16"/>
        </w:rPr>
        <w:t> </w:t>
      </w:r>
      <w:r>
        <w:rPr>
          <w:color w:val="231F20"/>
          <w:w w:val="105"/>
          <w:sz w:val="16"/>
        </w:rPr>
        <w:t>se</w:t>
      </w:r>
      <w:r>
        <w:rPr>
          <w:color w:val="231F20"/>
          <w:spacing w:val="-19"/>
          <w:w w:val="105"/>
          <w:sz w:val="16"/>
        </w:rPr>
        <w:t> </w:t>
      </w:r>
      <w:r>
        <w:rPr>
          <w:color w:val="231F20"/>
          <w:w w:val="105"/>
          <w:sz w:val="16"/>
        </w:rPr>
        <w:t>rechaza</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hipótesis</w:t>
      </w:r>
      <w:r>
        <w:rPr>
          <w:color w:val="231F20"/>
          <w:spacing w:val="-19"/>
          <w:w w:val="105"/>
          <w:sz w:val="16"/>
        </w:rPr>
        <w:t> </w:t>
      </w:r>
      <w:r>
        <w:rPr>
          <w:color w:val="231F20"/>
          <w:w w:val="105"/>
          <w:sz w:val="16"/>
        </w:rPr>
        <w:t>nula</w:t>
      </w:r>
      <w:r>
        <w:rPr>
          <w:color w:val="231F20"/>
          <w:spacing w:val="-19"/>
          <w:w w:val="105"/>
          <w:sz w:val="16"/>
        </w:rPr>
        <w:t> </w:t>
      </w:r>
      <w:r>
        <w:rPr>
          <w:rFonts w:ascii="Times New Roman" w:hAnsi="Times New Roman"/>
          <w:i/>
          <w:color w:val="231F20"/>
          <w:w w:val="105"/>
          <w:sz w:val="16"/>
        </w:rPr>
        <w:t>H</w:t>
      </w:r>
      <w:r>
        <w:rPr>
          <w:color w:val="231F20"/>
          <w:w w:val="105"/>
          <w:position w:val="-2"/>
          <w:sz w:val="9"/>
        </w:rPr>
        <w:t>0</w:t>
      </w:r>
      <w:r>
        <w:rPr>
          <w:color w:val="231F20"/>
          <w:spacing w:val="2"/>
          <w:w w:val="105"/>
          <w:position w:val="-2"/>
          <w:sz w:val="9"/>
        </w:rPr>
        <w:t> </w:t>
      </w:r>
      <w:r>
        <w:rPr>
          <w:color w:val="231F20"/>
          <w:w w:val="105"/>
          <w:sz w:val="16"/>
        </w:rPr>
        <w:t>y</w:t>
      </w:r>
      <w:r>
        <w:rPr>
          <w:color w:val="231F20"/>
          <w:spacing w:val="-19"/>
          <w:w w:val="105"/>
          <w:sz w:val="16"/>
        </w:rPr>
        <w:t> </w:t>
      </w:r>
      <w:r>
        <w:rPr>
          <w:rFonts w:ascii="Times New Roman" w:hAnsi="Times New Roman"/>
          <w:i/>
          <w:color w:val="231F20"/>
          <w:w w:val="105"/>
          <w:sz w:val="16"/>
        </w:rPr>
        <w:t>h</w:t>
      </w:r>
      <w:r>
        <w:rPr>
          <w:rFonts w:ascii="Times New Roman" w:hAnsi="Times New Roman"/>
          <w:i/>
          <w:color w:val="231F20"/>
          <w:w w:val="105"/>
          <w:position w:val="-2"/>
          <w:sz w:val="9"/>
        </w:rPr>
        <w:t>i</w:t>
      </w:r>
      <w:r>
        <w:rPr>
          <w:rFonts w:ascii="Times New Roman" w:hAnsi="Times New Roman"/>
          <w:i/>
          <w:color w:val="231F20"/>
          <w:spacing w:val="-8"/>
          <w:w w:val="105"/>
          <w:position w:val="-2"/>
          <w:sz w:val="9"/>
        </w:rPr>
        <w:t> </w:t>
      </w:r>
      <w:r>
        <w:rPr>
          <w:rFonts w:ascii="Times New Roman" w:hAnsi="Times New Roman"/>
          <w:color w:val="231F20"/>
          <w:w w:val="105"/>
          <w:sz w:val="16"/>
        </w:rPr>
        <w:t>=</w:t>
      </w:r>
      <w:r>
        <w:rPr>
          <w:rFonts w:ascii="Times New Roman" w:hAnsi="Times New Roman"/>
          <w:color w:val="231F20"/>
          <w:spacing w:val="-15"/>
          <w:w w:val="105"/>
          <w:sz w:val="16"/>
        </w:rPr>
        <w:t> </w:t>
      </w:r>
      <w:r>
        <w:rPr>
          <w:color w:val="231F20"/>
          <w:w w:val="105"/>
          <w:sz w:val="16"/>
        </w:rPr>
        <w:t>0;</w:t>
      </w:r>
    </w:p>
    <w:p>
      <w:pPr>
        <w:spacing w:line="204" w:lineRule="auto" w:before="16"/>
        <w:ind w:left="103" w:right="135" w:firstLine="0"/>
        <w:jc w:val="both"/>
        <w:rPr>
          <w:sz w:val="16"/>
        </w:rPr>
      </w:pPr>
      <w:r>
        <w:rPr>
          <w:color w:val="231F20"/>
          <w:w w:val="105"/>
          <w:sz w:val="16"/>
        </w:rPr>
        <w:t>pero</w:t>
      </w:r>
      <w:r>
        <w:rPr>
          <w:color w:val="231F20"/>
          <w:spacing w:val="-13"/>
          <w:w w:val="105"/>
          <w:sz w:val="16"/>
        </w:rPr>
        <w:t> </w:t>
      </w:r>
      <w:r>
        <w:rPr>
          <w:color w:val="231F20"/>
          <w:w w:val="105"/>
          <w:sz w:val="16"/>
        </w:rPr>
        <w:t>si</w:t>
      </w:r>
      <w:r>
        <w:rPr>
          <w:color w:val="231F20"/>
          <w:spacing w:val="-13"/>
          <w:w w:val="105"/>
          <w:sz w:val="16"/>
        </w:rPr>
        <w:t> </w:t>
      </w:r>
      <w:r>
        <w:rPr>
          <w:rFonts w:ascii="Times New Roman" w:hAnsi="Times New Roman"/>
          <w:i/>
          <w:color w:val="231F20"/>
          <w:w w:val="105"/>
          <w:sz w:val="16"/>
        </w:rPr>
        <w:t>p</w:t>
      </w:r>
      <w:r>
        <w:rPr>
          <w:rFonts w:ascii="Times New Roman" w:hAnsi="Times New Roman"/>
          <w:color w:val="231F20"/>
          <w:w w:val="105"/>
          <w:position w:val="-4"/>
          <w:sz w:val="13"/>
        </w:rPr>
        <w:t>i</w:t>
      </w:r>
      <w:r>
        <w:rPr>
          <w:rFonts w:ascii="Times New Roman" w:hAnsi="Times New Roman"/>
          <w:color w:val="231F20"/>
          <w:spacing w:val="-7"/>
          <w:w w:val="105"/>
          <w:position w:val="-4"/>
          <w:sz w:val="13"/>
        </w:rPr>
        <w:t> </w:t>
      </w:r>
      <w:r>
        <w:rPr>
          <w:rFonts w:ascii="Times New Roman" w:hAnsi="Times New Roman"/>
          <w:color w:val="231F20"/>
          <w:w w:val="105"/>
          <w:sz w:val="16"/>
        </w:rPr>
        <w:t>≤</w:t>
      </w:r>
      <w:r>
        <w:rPr>
          <w:rFonts w:ascii="Times New Roman" w:hAnsi="Times New Roman"/>
          <w:color w:val="231F20"/>
          <w:spacing w:val="-8"/>
          <w:w w:val="105"/>
          <w:sz w:val="16"/>
        </w:rPr>
        <w:t> </w:t>
      </w:r>
      <w:r>
        <w:rPr>
          <w:color w:val="231F20"/>
          <w:w w:val="105"/>
          <w:sz w:val="16"/>
        </w:rPr>
        <w:t>0.05</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rechaza</w:t>
      </w:r>
      <w:r>
        <w:rPr>
          <w:color w:val="231F20"/>
          <w:spacing w:val="-13"/>
          <w:w w:val="105"/>
          <w:sz w:val="16"/>
        </w:rPr>
        <w:t> </w:t>
      </w:r>
      <w:r>
        <w:rPr>
          <w:rFonts w:ascii="Times New Roman" w:hAnsi="Times New Roman"/>
          <w:i/>
          <w:color w:val="231F20"/>
          <w:w w:val="105"/>
          <w:sz w:val="16"/>
        </w:rPr>
        <w:t>H</w:t>
      </w:r>
      <w:r>
        <w:rPr>
          <w:color w:val="231F20"/>
          <w:w w:val="105"/>
          <w:position w:val="-2"/>
          <w:sz w:val="9"/>
        </w:rPr>
        <w:t>0</w:t>
      </w:r>
      <w:r>
        <w:rPr>
          <w:color w:val="231F20"/>
          <w:spacing w:val="8"/>
          <w:w w:val="105"/>
          <w:position w:val="-2"/>
          <w:sz w:val="9"/>
        </w:rPr>
        <w:t> </w:t>
      </w:r>
      <w:r>
        <w:rPr>
          <w:color w:val="231F20"/>
          <w:w w:val="105"/>
          <w:sz w:val="16"/>
        </w:rPr>
        <w:t>y</w:t>
      </w:r>
      <w:r>
        <w:rPr>
          <w:color w:val="231F20"/>
          <w:spacing w:val="-13"/>
          <w:w w:val="105"/>
          <w:sz w:val="16"/>
        </w:rPr>
        <w:t> </w:t>
      </w:r>
      <w:r>
        <w:rPr>
          <w:rFonts w:ascii="Times New Roman" w:hAnsi="Times New Roman"/>
          <w:i/>
          <w:color w:val="231F20"/>
          <w:w w:val="105"/>
          <w:sz w:val="16"/>
        </w:rPr>
        <w:t>h</w:t>
      </w:r>
      <w:r>
        <w:rPr>
          <w:rFonts w:ascii="Times New Roman" w:hAnsi="Times New Roman"/>
          <w:i/>
          <w:color w:val="231F20"/>
          <w:w w:val="105"/>
          <w:position w:val="-2"/>
          <w:sz w:val="9"/>
        </w:rPr>
        <w:t>i</w:t>
      </w:r>
      <w:r>
        <w:rPr>
          <w:rFonts w:ascii="Times New Roman" w:hAnsi="Times New Roman"/>
          <w:i/>
          <w:color w:val="231F20"/>
          <w:spacing w:val="-4"/>
          <w:w w:val="105"/>
          <w:position w:val="-2"/>
          <w:sz w:val="9"/>
        </w:rPr>
        <w:t> </w:t>
      </w:r>
      <w:r>
        <w:rPr>
          <w:rFonts w:ascii="Times New Roman" w:hAnsi="Times New Roman"/>
          <w:color w:val="231F20"/>
          <w:w w:val="105"/>
          <w:sz w:val="16"/>
        </w:rPr>
        <w:t>=</w:t>
      </w:r>
      <w:r>
        <w:rPr>
          <w:rFonts w:ascii="Times New Roman" w:hAnsi="Times New Roman"/>
          <w:color w:val="231F20"/>
          <w:spacing w:val="-8"/>
          <w:w w:val="105"/>
          <w:sz w:val="16"/>
        </w:rPr>
        <w:t> </w:t>
      </w:r>
      <w:r>
        <w:rPr>
          <w:color w:val="231F20"/>
          <w:w w:val="105"/>
          <w:sz w:val="16"/>
        </w:rPr>
        <w:t>1.</w:t>
      </w:r>
      <w:r>
        <w:rPr>
          <w:color w:val="231F20"/>
          <w:spacing w:val="-19"/>
          <w:w w:val="105"/>
          <w:sz w:val="16"/>
        </w:rPr>
        <w:t> </w:t>
      </w:r>
      <w:r>
        <w:rPr>
          <w:color w:val="231F20"/>
          <w:w w:val="105"/>
          <w:sz w:val="16"/>
        </w:rPr>
        <w:t>Y</w:t>
      </w:r>
      <w:r>
        <w:rPr>
          <w:color w:val="231F20"/>
          <w:spacing w:val="-16"/>
          <w:w w:val="105"/>
          <w:sz w:val="16"/>
        </w:rPr>
        <w:t> </w:t>
      </w:r>
      <w:r>
        <w:rPr>
          <w:rFonts w:ascii="Times New Roman" w:hAnsi="Times New Roman"/>
          <w:i/>
          <w:color w:val="231F20"/>
          <w:w w:val="105"/>
          <w:sz w:val="16"/>
        </w:rPr>
        <w:t>S</w:t>
      </w:r>
      <w:r>
        <w:rPr>
          <w:rFonts w:ascii="Times New Roman" w:hAnsi="Times New Roman"/>
          <w:i/>
          <w:color w:val="231F20"/>
          <w:w w:val="105"/>
          <w:position w:val="-2"/>
          <w:sz w:val="9"/>
        </w:rPr>
        <w:t>i</w:t>
      </w:r>
      <w:r>
        <w:rPr>
          <w:rFonts w:ascii="Times New Roman" w:hAnsi="Times New Roman"/>
          <w:i/>
          <w:color w:val="231F20"/>
          <w:spacing w:val="10"/>
          <w:w w:val="105"/>
          <w:position w:val="-2"/>
          <w:sz w:val="9"/>
        </w:rPr>
        <w:t> </w:t>
      </w:r>
      <w:r>
        <w:rPr>
          <w:color w:val="231F20"/>
          <w:w w:val="105"/>
          <w:sz w:val="16"/>
        </w:rPr>
        <w:t>es</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desviación</w:t>
      </w:r>
      <w:r>
        <w:rPr>
          <w:color w:val="231F20"/>
          <w:spacing w:val="-13"/>
          <w:w w:val="105"/>
          <w:sz w:val="16"/>
        </w:rPr>
        <w:t> </w:t>
      </w:r>
      <w:r>
        <w:rPr>
          <w:color w:val="231F20"/>
          <w:w w:val="105"/>
          <w:sz w:val="16"/>
        </w:rPr>
        <w:t>estándar</w:t>
      </w:r>
      <w:r>
        <w:rPr>
          <w:color w:val="231F20"/>
          <w:spacing w:val="-13"/>
          <w:w w:val="105"/>
          <w:sz w:val="16"/>
        </w:rPr>
        <w:t> </w:t>
      </w:r>
      <w:r>
        <w:rPr>
          <w:color w:val="231F20"/>
          <w:w w:val="105"/>
          <w:sz w:val="16"/>
        </w:rPr>
        <w:t>muestral</w:t>
      </w:r>
      <w:r>
        <w:rPr>
          <w:color w:val="231F20"/>
          <w:spacing w:val="-13"/>
          <w:w w:val="105"/>
          <w:sz w:val="16"/>
        </w:rPr>
        <w:t> </w:t>
      </w:r>
      <w:r>
        <w:rPr>
          <w:color w:val="231F20"/>
          <w:w w:val="105"/>
          <w:sz w:val="16"/>
        </w:rPr>
        <w:t>para</w:t>
      </w:r>
      <w:r>
        <w:rPr>
          <w:color w:val="231F20"/>
          <w:spacing w:val="-13"/>
          <w:w w:val="105"/>
          <w:sz w:val="16"/>
        </w:rPr>
        <w:t> </w:t>
      </w:r>
      <w:r>
        <w:rPr>
          <w:color w:val="231F20"/>
          <w:w w:val="105"/>
          <w:sz w:val="16"/>
        </w:rPr>
        <w:t>aproximar</w:t>
      </w:r>
      <w:r>
        <w:rPr>
          <w:color w:val="231F20"/>
          <w:spacing w:val="-13"/>
          <w:w w:val="105"/>
          <w:sz w:val="16"/>
        </w:rPr>
        <w:t> </w:t>
      </w:r>
      <w:r>
        <w:rPr>
          <w:color w:val="231F20"/>
          <w:w w:val="105"/>
          <w:sz w:val="16"/>
        </w:rPr>
        <w:t>la desviación</w:t>
      </w:r>
      <w:r>
        <w:rPr>
          <w:color w:val="231F20"/>
          <w:spacing w:val="-20"/>
          <w:w w:val="105"/>
          <w:sz w:val="16"/>
        </w:rPr>
        <w:t> </w:t>
      </w:r>
      <w:r>
        <w:rPr>
          <w:color w:val="231F20"/>
          <w:w w:val="105"/>
          <w:sz w:val="16"/>
        </w:rPr>
        <w:t>estándar</w:t>
      </w:r>
      <w:r>
        <w:rPr>
          <w:color w:val="231F20"/>
          <w:spacing w:val="-20"/>
          <w:w w:val="105"/>
          <w:sz w:val="16"/>
        </w:rPr>
        <w:t> </w:t>
      </w:r>
      <w:r>
        <w:rPr>
          <w:color w:val="231F20"/>
          <w:w w:val="105"/>
          <w:sz w:val="16"/>
        </w:rPr>
        <w:t>poblacional</w:t>
      </w:r>
      <w:r>
        <w:rPr>
          <w:color w:val="231F20"/>
          <w:spacing w:val="-20"/>
          <w:w w:val="105"/>
          <w:sz w:val="16"/>
        </w:rPr>
        <w:t> </w:t>
      </w:r>
      <w:r>
        <w:rPr>
          <w:rFonts w:ascii="Times New Roman" w:hAnsi="Times New Roman"/>
          <w:i/>
          <w:color w:val="231F20"/>
          <w:w w:val="105"/>
          <w:sz w:val="16"/>
        </w:rPr>
        <w:t>σ</w:t>
      </w:r>
      <w:r>
        <w:rPr>
          <w:rFonts w:ascii="Times New Roman" w:hAnsi="Times New Roman"/>
          <w:i/>
          <w:color w:val="231F20"/>
          <w:w w:val="105"/>
          <w:position w:val="-2"/>
          <w:sz w:val="9"/>
        </w:rPr>
        <w:t>pob</w:t>
      </w:r>
      <w:r>
        <w:rPr>
          <w:rFonts w:ascii="Times New Roman" w:hAnsi="Times New Roman"/>
          <w:i/>
          <w:color w:val="231F20"/>
          <w:spacing w:val="-17"/>
          <w:w w:val="105"/>
          <w:position w:val="-2"/>
          <w:sz w:val="9"/>
        </w:rPr>
        <w:t> </w:t>
      </w:r>
      <w:r>
        <w:rPr>
          <w:color w:val="231F20"/>
          <w:w w:val="105"/>
          <w:sz w:val="16"/>
        </w:rPr>
        <w:t>,</w:t>
      </w:r>
      <w:r>
        <w:rPr>
          <w:color w:val="231F20"/>
          <w:spacing w:val="-23"/>
          <w:w w:val="105"/>
          <w:sz w:val="16"/>
        </w:rPr>
        <w:t> </w:t>
      </w:r>
      <w:r>
        <w:rPr>
          <w:color w:val="231F20"/>
          <w:w w:val="105"/>
          <w:sz w:val="16"/>
        </w:rPr>
        <w:t>que</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este</w:t>
      </w:r>
      <w:r>
        <w:rPr>
          <w:color w:val="231F20"/>
          <w:spacing w:val="-20"/>
          <w:w w:val="105"/>
          <w:sz w:val="16"/>
        </w:rPr>
        <w:t> </w:t>
      </w:r>
      <w:r>
        <w:rPr>
          <w:color w:val="231F20"/>
          <w:w w:val="105"/>
          <w:sz w:val="16"/>
        </w:rPr>
        <w:t>caso</w:t>
      </w:r>
      <w:r>
        <w:rPr>
          <w:color w:val="231F20"/>
          <w:spacing w:val="-20"/>
          <w:w w:val="105"/>
          <w:sz w:val="16"/>
        </w:rPr>
        <w:t> </w:t>
      </w:r>
      <w:r>
        <w:rPr>
          <w:color w:val="231F20"/>
          <w:w w:val="105"/>
          <w:sz w:val="16"/>
        </w:rPr>
        <w:t>es</w:t>
      </w:r>
      <w:r>
        <w:rPr>
          <w:color w:val="231F20"/>
          <w:spacing w:val="-20"/>
          <w:w w:val="105"/>
          <w:sz w:val="16"/>
        </w:rPr>
        <w:t> </w:t>
      </w:r>
      <w:r>
        <w:rPr>
          <w:color w:val="231F20"/>
          <w:w w:val="105"/>
          <w:sz w:val="16"/>
        </w:rPr>
        <w:t>desconocida</w:t>
      </w:r>
      <w:r>
        <w:rPr>
          <w:color w:val="231F20"/>
          <w:spacing w:val="-20"/>
          <w:w w:val="105"/>
          <w:sz w:val="16"/>
        </w:rPr>
        <w:t> </w:t>
      </w:r>
      <w:r>
        <w:rPr>
          <w:color w:val="231F20"/>
          <w:w w:val="105"/>
          <w:sz w:val="16"/>
        </w:rPr>
        <w:t>para</w:t>
      </w:r>
      <w:r>
        <w:rPr>
          <w:color w:val="231F20"/>
          <w:spacing w:val="-20"/>
          <w:w w:val="105"/>
          <w:sz w:val="16"/>
        </w:rPr>
        <w:t> </w:t>
      </w:r>
      <w:r>
        <w:rPr>
          <w:color w:val="231F20"/>
          <w:w w:val="105"/>
          <w:sz w:val="16"/>
        </w:rPr>
        <w:t>obtener</w:t>
      </w:r>
      <w:r>
        <w:rPr>
          <w:color w:val="231F20"/>
          <w:spacing w:val="-20"/>
          <w:w w:val="105"/>
          <w:sz w:val="16"/>
        </w:rPr>
        <w:t> </w:t>
      </w:r>
      <w:r>
        <w:rPr>
          <w:color w:val="231F20"/>
          <w:w w:val="105"/>
          <w:sz w:val="16"/>
        </w:rPr>
        <w:t>el</w:t>
      </w:r>
      <w:r>
        <w:rPr>
          <w:color w:val="231F20"/>
          <w:spacing w:val="-20"/>
          <w:w w:val="105"/>
          <w:sz w:val="16"/>
        </w:rPr>
        <w:t> </w:t>
      </w:r>
      <w:r>
        <w:rPr>
          <w:color w:val="231F20"/>
          <w:w w:val="105"/>
          <w:sz w:val="16"/>
        </w:rPr>
        <w:t>estadísti- co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prueba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bondad</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ajuste</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Kolmogorov-Smirnov</w:t>
      </w:r>
      <w:r>
        <w:rPr>
          <w:color w:val="231F20"/>
          <w:spacing w:val="-10"/>
          <w:w w:val="105"/>
          <w:sz w:val="16"/>
        </w:rPr>
        <w:t> </w:t>
      </w:r>
      <w:r>
        <w:rPr>
          <w:color w:val="231F20"/>
          <w:spacing w:val="-7"/>
          <w:position w:val="-14"/>
          <w:sz w:val="16"/>
        </w:rPr>
        <w:drawing>
          <wp:inline distT="0" distB="0" distL="0" distR="0">
            <wp:extent cx="678256" cy="308758"/>
            <wp:effectExtent l="0" t="0" r="0" b="0"/>
            <wp:docPr id="95" name="image94.png" descr=""/>
            <wp:cNvGraphicFramePr>
              <a:graphicFrameLocks noChangeAspect="1"/>
            </wp:cNvGraphicFramePr>
            <a:graphic>
              <a:graphicData uri="http://schemas.openxmlformats.org/drawingml/2006/picture">
                <pic:pic>
                  <pic:nvPicPr>
                    <pic:cNvPr id="96" name="image94.png"/>
                    <pic:cNvPicPr/>
                  </pic:nvPicPr>
                  <pic:blipFill>
                    <a:blip r:embed="rId118" cstate="print"/>
                    <a:stretch>
                      <a:fillRect/>
                    </a:stretch>
                  </pic:blipFill>
                  <pic:spPr>
                    <a:xfrm>
                      <a:off x="0" y="0"/>
                      <a:ext cx="678256" cy="308758"/>
                    </a:xfrm>
                    <a:prstGeom prst="rect">
                      <a:avLst/>
                    </a:prstGeom>
                  </pic:spPr>
                </pic:pic>
              </a:graphicData>
            </a:graphic>
          </wp:inline>
        </w:drawing>
      </w:r>
      <w:r>
        <w:rPr>
          <w:color w:val="231F20"/>
          <w:spacing w:val="-7"/>
          <w:position w:val="-14"/>
          <w:sz w:val="16"/>
        </w:rPr>
      </w:r>
      <w:r>
        <w:rPr>
          <w:color w:val="231F20"/>
          <w:w w:val="105"/>
          <w:sz w:val="16"/>
        </w:rPr>
        <w:t>.</w:t>
      </w:r>
    </w:p>
    <w:p>
      <w:pPr>
        <w:pStyle w:val="BodyText"/>
        <w:spacing w:line="235" w:lineRule="auto" w:before="198"/>
        <w:ind w:left="103" w:right="135"/>
        <w:jc w:val="both"/>
      </w:pPr>
      <w:r>
        <w:rPr>
          <w:color w:val="231F20"/>
          <w:spacing w:val="-3"/>
        </w:rPr>
        <w:t>También </w:t>
      </w:r>
      <w:r>
        <w:rPr>
          <w:color w:val="231F20"/>
        </w:rPr>
        <w:t>se aprecia el valor de la función objetivo </w:t>
      </w:r>
      <w:r>
        <w:rPr>
          <w:rFonts w:ascii="Times New Roman" w:hAnsi="Times New Roman"/>
          <w:color w:val="231F20"/>
          <w:sz w:val="22"/>
        </w:rPr>
        <w:t>Ψ </w:t>
      </w:r>
      <w:r>
        <w:rPr>
          <w:color w:val="231F20"/>
        </w:rPr>
        <w:t>(</w:t>
      </w:r>
      <w:r>
        <w:rPr>
          <w:rFonts w:ascii="Times New Roman" w:hAnsi="Times New Roman"/>
          <w:i/>
          <w:color w:val="231F20"/>
          <w:sz w:val="22"/>
        </w:rPr>
        <w:t>х</w:t>
      </w:r>
      <w:r>
        <w:rPr>
          <w:color w:val="231F20"/>
          <w:position w:val="-4"/>
          <w:sz w:val="12"/>
        </w:rPr>
        <w:t>0</w:t>
      </w:r>
      <w:r>
        <w:rPr>
          <w:color w:val="231F20"/>
        </w:rPr>
        <w:t>) para valores ini- ciales dados al vector de parámetros </w:t>
      </w:r>
      <w:r>
        <w:rPr>
          <w:rFonts w:ascii="Times New Roman" w:hAnsi="Times New Roman"/>
          <w:i/>
          <w:color w:val="231F20"/>
          <w:spacing w:val="3"/>
          <w:sz w:val="22"/>
        </w:rPr>
        <w:t>х</w:t>
      </w:r>
      <w:r>
        <w:rPr>
          <w:color w:val="231F20"/>
          <w:spacing w:val="3"/>
          <w:position w:val="-4"/>
          <w:sz w:val="12"/>
        </w:rPr>
        <w:t>0</w:t>
      </w:r>
      <w:r>
        <w:rPr>
          <w:color w:val="231F20"/>
          <w:spacing w:val="3"/>
        </w:rPr>
        <w:t>, </w:t>
      </w:r>
      <w:r>
        <w:rPr>
          <w:color w:val="231F20"/>
        </w:rPr>
        <w:t>con </w:t>
      </w:r>
      <w:r>
        <w:rPr>
          <w:rFonts w:ascii="Times New Roman" w:hAnsi="Times New Roman"/>
          <w:i/>
          <w:color w:val="231F20"/>
          <w:sz w:val="22"/>
        </w:rPr>
        <w:t>m </w:t>
      </w:r>
      <w:r>
        <w:rPr>
          <w:rFonts w:ascii="Times New Roman" w:hAnsi="Times New Roman"/>
          <w:color w:val="231F20"/>
          <w:sz w:val="22"/>
        </w:rPr>
        <w:t>= </w:t>
      </w:r>
      <w:r>
        <w:rPr>
          <w:color w:val="231F20"/>
        </w:rPr>
        <w:t>1000 trayectorias de los rendimientos y con </w:t>
      </w:r>
      <w:r>
        <w:rPr>
          <w:rFonts w:ascii="Times New Roman" w:hAnsi="Times New Roman"/>
          <w:i/>
          <w:color w:val="231F20"/>
          <w:sz w:val="22"/>
        </w:rPr>
        <w:t>n </w:t>
      </w:r>
      <w:r>
        <w:rPr>
          <w:rFonts w:ascii="Times New Roman" w:hAnsi="Times New Roman"/>
          <w:color w:val="231F20"/>
          <w:sz w:val="22"/>
        </w:rPr>
        <w:t>= </w:t>
      </w:r>
      <w:r>
        <w:rPr>
          <w:color w:val="231F20"/>
        </w:rPr>
        <w:t>2321 datos. Cabe mencionar que la primera eje- cución del algoritmo fue con 1117 iteraciones proporcionando un valor    de </w:t>
      </w:r>
      <w:r>
        <w:rPr>
          <w:rFonts w:ascii="Times New Roman" w:hAnsi="Times New Roman"/>
          <w:color w:val="231F20"/>
          <w:sz w:val="22"/>
        </w:rPr>
        <w:t>Ψ </w:t>
      </w:r>
      <w:r>
        <w:rPr>
          <w:color w:val="231F20"/>
        </w:rPr>
        <w:t>(</w:t>
      </w:r>
      <w:r>
        <w:rPr>
          <w:rFonts w:ascii="Times New Roman" w:hAnsi="Times New Roman"/>
          <w:i/>
          <w:color w:val="231F20"/>
          <w:sz w:val="22"/>
        </w:rPr>
        <w:t>х</w:t>
      </w:r>
      <w:r>
        <w:rPr>
          <w:color w:val="231F20"/>
          <w:position w:val="-4"/>
          <w:sz w:val="12"/>
        </w:rPr>
        <w:t>0</w:t>
      </w:r>
      <w:r>
        <w:rPr>
          <w:color w:val="231F20"/>
        </w:rPr>
        <w:t>) igual a 0.42 para converger a un óptimo local; en seguida se eje- cuta otra vez el algoritmo con los nuevos valores del vector </w:t>
      </w:r>
      <w:r>
        <w:rPr>
          <w:rFonts w:ascii="Times New Roman" w:hAnsi="Times New Roman"/>
          <w:i/>
          <w:color w:val="231F20"/>
          <w:sz w:val="22"/>
        </w:rPr>
        <w:t>х</w:t>
      </w:r>
      <w:r>
        <w:rPr>
          <w:color w:val="231F20"/>
          <w:position w:val="-4"/>
          <w:sz w:val="12"/>
        </w:rPr>
        <w:t>0 </w:t>
      </w:r>
      <w:r>
        <w:rPr>
          <w:color w:val="231F20"/>
        </w:rPr>
        <w:t>obtenidos de la ejecución anterior y así sucesivamente hasta alcanzar un óptimo local que corresponde cuando </w:t>
      </w:r>
      <w:r>
        <w:rPr>
          <w:rFonts w:ascii="Times New Roman" w:hAnsi="Times New Roman"/>
          <w:color w:val="231F20"/>
          <w:sz w:val="22"/>
        </w:rPr>
        <w:t>Ψ </w:t>
      </w:r>
      <w:r>
        <w:rPr>
          <w:color w:val="231F20"/>
        </w:rPr>
        <w:t>(</w:t>
      </w:r>
      <w:r>
        <w:rPr>
          <w:rFonts w:ascii="Times New Roman" w:hAnsi="Times New Roman"/>
          <w:i/>
          <w:color w:val="231F20"/>
          <w:sz w:val="22"/>
        </w:rPr>
        <w:t>х</w:t>
      </w:r>
      <w:r>
        <w:rPr>
          <w:color w:val="231F20"/>
          <w:position w:val="-4"/>
          <w:sz w:val="12"/>
        </w:rPr>
        <w:t>0</w:t>
      </w:r>
      <w:r>
        <w:rPr>
          <w:color w:val="231F20"/>
        </w:rPr>
        <w:t>) toma un valor igual a  </w:t>
      </w:r>
      <w:r>
        <w:rPr>
          <w:color w:val="231F20"/>
          <w:spacing w:val="30"/>
        </w:rPr>
        <w:t> </w:t>
      </w:r>
      <w:r>
        <w:rPr>
          <w:color w:val="231F20"/>
        </w:rPr>
        <w:t>1.</w:t>
      </w:r>
    </w:p>
    <w:p>
      <w:pPr>
        <w:pStyle w:val="BodyText"/>
        <w:spacing w:line="256" w:lineRule="auto"/>
        <w:ind w:left="103" w:right="134" w:firstLine="567"/>
        <w:jc w:val="both"/>
      </w:pPr>
      <w:r>
        <w:rPr>
          <w:color w:val="231F20"/>
          <w:w w:val="105"/>
        </w:rPr>
        <w:t>La segunda columna muestra los resultados de la primera ejecu- ción;</w:t>
      </w:r>
      <w:r>
        <w:rPr>
          <w:color w:val="231F20"/>
          <w:spacing w:val="-28"/>
          <w:w w:val="105"/>
        </w:rPr>
        <w:t> </w:t>
      </w:r>
      <w:r>
        <w:rPr>
          <w:color w:val="231F20"/>
          <w:w w:val="105"/>
        </w:rPr>
        <w:t>de</w:t>
      </w:r>
      <w:r>
        <w:rPr>
          <w:color w:val="231F20"/>
          <w:spacing w:val="-28"/>
          <w:w w:val="105"/>
        </w:rPr>
        <w:t> </w:t>
      </w:r>
      <w:r>
        <w:rPr>
          <w:color w:val="231F20"/>
          <w:w w:val="105"/>
        </w:rPr>
        <w:t>la</w:t>
      </w:r>
      <w:r>
        <w:rPr>
          <w:color w:val="231F20"/>
          <w:spacing w:val="-28"/>
          <w:w w:val="105"/>
        </w:rPr>
        <w:t> </w:t>
      </w:r>
      <w:r>
        <w:rPr>
          <w:color w:val="231F20"/>
          <w:w w:val="105"/>
        </w:rPr>
        <w:t>tercera</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quinta</w:t>
      </w:r>
      <w:r>
        <w:rPr>
          <w:color w:val="231F20"/>
          <w:spacing w:val="-28"/>
          <w:w w:val="105"/>
        </w:rPr>
        <w:t> </w:t>
      </w:r>
      <w:r>
        <w:rPr>
          <w:color w:val="231F20"/>
          <w:w w:val="105"/>
        </w:rPr>
        <w:t>se</w:t>
      </w:r>
      <w:r>
        <w:rPr>
          <w:color w:val="231F20"/>
          <w:spacing w:val="-28"/>
          <w:w w:val="105"/>
        </w:rPr>
        <w:t> </w:t>
      </w:r>
      <w:r>
        <w:rPr>
          <w:color w:val="231F20"/>
          <w:w w:val="105"/>
        </w:rPr>
        <w:t>exponen</w:t>
      </w:r>
      <w:r>
        <w:rPr>
          <w:color w:val="231F20"/>
          <w:spacing w:val="-28"/>
          <w:w w:val="105"/>
        </w:rPr>
        <w:t> </w:t>
      </w:r>
      <w:r>
        <w:rPr>
          <w:color w:val="231F20"/>
          <w:w w:val="105"/>
        </w:rPr>
        <w:t>los</w:t>
      </w:r>
      <w:r>
        <w:rPr>
          <w:color w:val="231F20"/>
          <w:spacing w:val="-28"/>
          <w:w w:val="105"/>
        </w:rPr>
        <w:t> </w:t>
      </w:r>
      <w:r>
        <w:rPr>
          <w:color w:val="231F20"/>
          <w:w w:val="105"/>
        </w:rPr>
        <w:t>resultados</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tres</w:t>
      </w:r>
      <w:r>
        <w:rPr>
          <w:color w:val="231F20"/>
          <w:spacing w:val="-28"/>
          <w:w w:val="105"/>
        </w:rPr>
        <w:t> </w:t>
      </w:r>
      <w:r>
        <w:rPr>
          <w:color w:val="231F20"/>
          <w:w w:val="105"/>
        </w:rPr>
        <w:t>últimas ejecuciones</w:t>
      </w:r>
      <w:r>
        <w:rPr>
          <w:color w:val="231F20"/>
          <w:spacing w:val="-17"/>
          <w:w w:val="105"/>
        </w:rPr>
        <w:t> </w:t>
      </w:r>
      <w:r>
        <w:rPr>
          <w:color w:val="231F20"/>
          <w:w w:val="105"/>
        </w:rPr>
        <w:t>observando</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número</w:t>
      </w:r>
      <w:r>
        <w:rPr>
          <w:color w:val="231F20"/>
          <w:spacing w:val="-17"/>
          <w:w w:val="105"/>
        </w:rPr>
        <w:t> </w:t>
      </w:r>
      <w:r>
        <w:rPr>
          <w:color w:val="231F20"/>
          <w:w w:val="105"/>
        </w:rPr>
        <w:t>de</w:t>
      </w:r>
      <w:r>
        <w:rPr>
          <w:color w:val="231F20"/>
          <w:spacing w:val="-17"/>
          <w:w w:val="105"/>
        </w:rPr>
        <w:t> </w:t>
      </w:r>
      <w:r>
        <w:rPr>
          <w:color w:val="231F20"/>
          <w:w w:val="105"/>
        </w:rPr>
        <w:t>iteraciones</w:t>
      </w:r>
      <w:r>
        <w:rPr>
          <w:color w:val="231F20"/>
          <w:spacing w:val="-17"/>
          <w:w w:val="105"/>
        </w:rPr>
        <w:t> </w:t>
      </w:r>
      <w:r>
        <w:rPr>
          <w:color w:val="231F20"/>
          <w:w w:val="105"/>
        </w:rPr>
        <w:t>se</w:t>
      </w:r>
      <w:r>
        <w:rPr>
          <w:color w:val="231F20"/>
          <w:spacing w:val="-17"/>
          <w:w w:val="105"/>
        </w:rPr>
        <w:t> </w:t>
      </w:r>
      <w:r>
        <w:rPr>
          <w:color w:val="231F20"/>
          <w:w w:val="105"/>
        </w:rPr>
        <w:t>reduce</w:t>
      </w:r>
      <w:r>
        <w:rPr>
          <w:color w:val="231F20"/>
          <w:spacing w:val="-17"/>
          <w:w w:val="105"/>
        </w:rPr>
        <w:t> </w:t>
      </w:r>
      <w:r>
        <w:rPr>
          <w:color w:val="231F20"/>
          <w:w w:val="105"/>
        </w:rPr>
        <w:t>confor- me</w:t>
      </w:r>
      <w:r>
        <w:rPr>
          <w:color w:val="231F20"/>
          <w:spacing w:val="-12"/>
          <w:w w:val="105"/>
        </w:rPr>
        <w:t> </w:t>
      </w:r>
      <w:r>
        <w:rPr>
          <w:color w:val="231F20"/>
          <w:w w:val="105"/>
        </w:rPr>
        <w:t>aumenta</w:t>
      </w:r>
      <w:r>
        <w:rPr>
          <w:color w:val="231F20"/>
          <w:spacing w:val="-12"/>
          <w:w w:val="105"/>
        </w:rPr>
        <w:t> </w:t>
      </w:r>
      <w:r>
        <w:rPr>
          <w:color w:val="231F20"/>
          <w:w w:val="105"/>
        </w:rPr>
        <w:t>el</w:t>
      </w:r>
      <w:r>
        <w:rPr>
          <w:color w:val="231F20"/>
          <w:spacing w:val="-12"/>
          <w:w w:val="105"/>
        </w:rPr>
        <w:t> </w:t>
      </w:r>
      <w:r>
        <w:rPr>
          <w:color w:val="231F20"/>
          <w:w w:val="105"/>
        </w:rPr>
        <w:t>número</w:t>
      </w:r>
      <w:r>
        <w:rPr>
          <w:color w:val="231F20"/>
          <w:spacing w:val="-12"/>
          <w:w w:val="105"/>
        </w:rPr>
        <w:t> </w:t>
      </w:r>
      <w:r>
        <w:rPr>
          <w:color w:val="231F20"/>
          <w:w w:val="105"/>
        </w:rPr>
        <w:t>de</w:t>
      </w:r>
      <w:r>
        <w:rPr>
          <w:color w:val="231F20"/>
          <w:spacing w:val="-12"/>
          <w:w w:val="105"/>
        </w:rPr>
        <w:t> </w:t>
      </w:r>
      <w:r>
        <w:rPr>
          <w:color w:val="231F20"/>
          <w:w w:val="105"/>
        </w:rPr>
        <w:t>ejecuciones,</w:t>
      </w:r>
      <w:r>
        <w:rPr>
          <w:color w:val="231F20"/>
          <w:spacing w:val="-18"/>
          <w:w w:val="105"/>
        </w:rPr>
        <w:t> </w:t>
      </w:r>
      <w:r>
        <w:rPr>
          <w:color w:val="231F20"/>
          <w:w w:val="105"/>
        </w:rPr>
        <w:t>debido</w:t>
      </w:r>
      <w:r>
        <w:rPr>
          <w:color w:val="231F20"/>
          <w:spacing w:val="-12"/>
          <w:w w:val="105"/>
        </w:rPr>
        <w:t> </w:t>
      </w:r>
      <w:r>
        <w:rPr>
          <w:color w:val="231F20"/>
          <w:w w:val="105"/>
        </w:rPr>
        <w:t>a</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va</w:t>
      </w:r>
      <w:r>
        <w:rPr>
          <w:color w:val="231F20"/>
          <w:spacing w:val="-12"/>
          <w:w w:val="105"/>
        </w:rPr>
        <w:t> </w:t>
      </w:r>
      <w:r>
        <w:rPr>
          <w:color w:val="231F20"/>
          <w:w w:val="105"/>
        </w:rPr>
        <w:t>acercando</w:t>
      </w:r>
      <w:r>
        <w:rPr>
          <w:color w:val="231F20"/>
          <w:spacing w:val="-12"/>
          <w:w w:val="105"/>
        </w:rPr>
        <w:t> </w:t>
      </w:r>
      <w:r>
        <w:rPr>
          <w:color w:val="231F20"/>
          <w:w w:val="105"/>
        </w:rPr>
        <w:t>a un</w:t>
      </w:r>
      <w:r>
        <w:rPr>
          <w:color w:val="231F20"/>
          <w:spacing w:val="-14"/>
          <w:w w:val="105"/>
        </w:rPr>
        <w:t> </w:t>
      </w:r>
      <w:r>
        <w:rPr>
          <w:color w:val="231F20"/>
          <w:w w:val="105"/>
        </w:rPr>
        <w:t>óptimo</w:t>
      </w:r>
      <w:r>
        <w:rPr>
          <w:color w:val="231F20"/>
          <w:spacing w:val="-14"/>
          <w:w w:val="105"/>
        </w:rPr>
        <w:t> </w:t>
      </w:r>
      <w:r>
        <w:rPr>
          <w:color w:val="231F20"/>
          <w:w w:val="105"/>
        </w:rPr>
        <w:t>local.</w:t>
      </w:r>
      <w:r>
        <w:rPr>
          <w:color w:val="231F20"/>
          <w:spacing w:val="-19"/>
          <w:w w:val="105"/>
        </w:rPr>
        <w:t> </w:t>
      </w:r>
      <w:r>
        <w:rPr>
          <w:color w:val="231F20"/>
          <w:spacing w:val="-6"/>
          <w:w w:val="105"/>
        </w:rPr>
        <w:t>Por</w:t>
      </w:r>
      <w:r>
        <w:rPr>
          <w:color w:val="231F20"/>
          <w:spacing w:val="-14"/>
          <w:w w:val="105"/>
        </w:rPr>
        <w:t> </w:t>
      </w:r>
      <w:r>
        <w:rPr>
          <w:color w:val="231F20"/>
          <w:w w:val="105"/>
        </w:rPr>
        <w:t>ejemplo,</w:t>
      </w:r>
      <w:r>
        <w:rPr>
          <w:color w:val="231F20"/>
          <w:spacing w:val="-19"/>
          <w:w w:val="105"/>
        </w:rPr>
        <w:t> </w:t>
      </w:r>
      <w:r>
        <w:rPr>
          <w:color w:val="231F20"/>
          <w:w w:val="105"/>
        </w:rPr>
        <w:t>la</w:t>
      </w:r>
      <w:r>
        <w:rPr>
          <w:color w:val="231F20"/>
          <w:spacing w:val="-14"/>
          <w:w w:val="105"/>
        </w:rPr>
        <w:t> </w:t>
      </w:r>
      <w:r>
        <w:rPr>
          <w:color w:val="231F20"/>
          <w:w w:val="105"/>
        </w:rPr>
        <w:t>penúltima</w:t>
      </w:r>
      <w:r>
        <w:rPr>
          <w:color w:val="231F20"/>
          <w:spacing w:val="-14"/>
          <w:w w:val="105"/>
        </w:rPr>
        <w:t> </w:t>
      </w:r>
      <w:r>
        <w:rPr>
          <w:color w:val="231F20"/>
          <w:w w:val="105"/>
        </w:rPr>
        <w:t>ejecución</w:t>
      </w:r>
      <w:r>
        <w:rPr>
          <w:color w:val="231F20"/>
          <w:spacing w:val="-14"/>
          <w:w w:val="105"/>
        </w:rPr>
        <w:t> </w:t>
      </w:r>
      <w:r>
        <w:rPr>
          <w:color w:val="231F20"/>
          <w:w w:val="105"/>
        </w:rPr>
        <w:t>realizó</w:t>
      </w:r>
      <w:r>
        <w:rPr>
          <w:color w:val="231F20"/>
          <w:spacing w:val="-14"/>
          <w:w w:val="105"/>
        </w:rPr>
        <w:t> </w:t>
      </w:r>
      <w:r>
        <w:rPr>
          <w:color w:val="231F20"/>
          <w:w w:val="105"/>
        </w:rPr>
        <w:t>144</w:t>
      </w:r>
      <w:r>
        <w:rPr>
          <w:color w:val="231F20"/>
          <w:spacing w:val="-14"/>
          <w:w w:val="105"/>
        </w:rPr>
        <w:t> </w:t>
      </w:r>
      <w:r>
        <w:rPr>
          <w:color w:val="231F20"/>
          <w:w w:val="105"/>
        </w:rPr>
        <w:t>iteracio- nes</w:t>
      </w:r>
      <w:r>
        <w:rPr>
          <w:color w:val="231F20"/>
          <w:spacing w:val="-10"/>
          <w:w w:val="105"/>
        </w:rPr>
        <w:t> </w:t>
      </w:r>
      <w:r>
        <w:rPr>
          <w:color w:val="231F20"/>
          <w:w w:val="105"/>
        </w:rPr>
        <w:t>con</w:t>
      </w:r>
      <w:r>
        <w:rPr>
          <w:color w:val="231F20"/>
          <w:spacing w:val="-10"/>
          <w:w w:val="105"/>
        </w:rPr>
        <w:t> </w:t>
      </w:r>
      <w:r>
        <w:rPr>
          <w:rFonts w:ascii="Times New Roman" w:hAnsi="Times New Roman"/>
          <w:color w:val="231F20"/>
          <w:w w:val="105"/>
          <w:sz w:val="22"/>
        </w:rPr>
        <w:t>Ψ</w:t>
      </w:r>
      <w:r>
        <w:rPr>
          <w:rFonts w:ascii="Times New Roman" w:hAnsi="Times New Roman"/>
          <w:color w:val="231F20"/>
          <w:spacing w:val="-7"/>
          <w:w w:val="105"/>
          <w:sz w:val="22"/>
        </w:rPr>
        <w:t> </w:t>
      </w:r>
      <w:r>
        <w:rPr>
          <w:color w:val="231F20"/>
          <w:w w:val="105"/>
        </w:rPr>
        <w:t>(</w:t>
      </w:r>
      <w:r>
        <w:rPr>
          <w:rFonts w:ascii="Times New Roman" w:hAnsi="Times New Roman"/>
          <w:i/>
          <w:color w:val="231F20"/>
          <w:w w:val="105"/>
          <w:sz w:val="22"/>
        </w:rPr>
        <w:t>х</w:t>
      </w:r>
      <w:r>
        <w:rPr>
          <w:color w:val="231F20"/>
          <w:w w:val="105"/>
          <w:position w:val="-4"/>
          <w:sz w:val="12"/>
        </w:rPr>
        <w:t>0</w:t>
      </w:r>
      <w:r>
        <w:rPr>
          <w:color w:val="231F20"/>
          <w:w w:val="105"/>
        </w:rPr>
        <w:t>)</w:t>
      </w:r>
      <w:r>
        <w:rPr>
          <w:color w:val="231F20"/>
          <w:spacing w:val="-35"/>
          <w:w w:val="105"/>
        </w:rPr>
        <w:t> </w:t>
      </w:r>
      <w:r>
        <w:rPr>
          <w:color w:val="231F20"/>
          <w:w w:val="105"/>
        </w:rPr>
        <w:t>=</w:t>
      </w:r>
      <w:r>
        <w:rPr>
          <w:color w:val="231F20"/>
          <w:spacing w:val="-35"/>
          <w:w w:val="105"/>
        </w:rPr>
        <w:t> </w:t>
      </w:r>
      <w:r>
        <w:rPr>
          <w:color w:val="231F20"/>
          <w:w w:val="105"/>
        </w:rPr>
        <w:t>99%</w:t>
      </w:r>
      <w:r>
        <w:rPr>
          <w:color w:val="231F20"/>
          <w:spacing w:val="-10"/>
          <w:w w:val="105"/>
        </w:rPr>
        <w:t> </w:t>
      </w:r>
      <w:r>
        <w:rPr>
          <w:color w:val="231F20"/>
          <w:w w:val="105"/>
        </w:rPr>
        <w:t>de</w:t>
      </w:r>
      <w:r>
        <w:rPr>
          <w:color w:val="231F20"/>
          <w:spacing w:val="-10"/>
          <w:w w:val="105"/>
        </w:rPr>
        <w:t> </w:t>
      </w:r>
      <w:r>
        <w:rPr>
          <w:color w:val="231F20"/>
          <w:w w:val="105"/>
        </w:rPr>
        <w:t>probabilidad</w:t>
      </w:r>
      <w:r>
        <w:rPr>
          <w:color w:val="231F20"/>
          <w:spacing w:val="-10"/>
          <w:w w:val="105"/>
        </w:rPr>
        <w:t> </w:t>
      </w:r>
      <w:r>
        <w:rPr>
          <w:color w:val="231F20"/>
          <w:w w:val="105"/>
        </w:rPr>
        <w:t>de</w:t>
      </w:r>
      <w:r>
        <w:rPr>
          <w:color w:val="231F20"/>
          <w:spacing w:val="-10"/>
          <w:w w:val="105"/>
        </w:rPr>
        <w:t> </w:t>
      </w:r>
      <w:r>
        <w:rPr>
          <w:color w:val="231F20"/>
          <w:w w:val="105"/>
        </w:rPr>
        <w:t>haber</w:t>
      </w:r>
      <w:r>
        <w:rPr>
          <w:color w:val="231F20"/>
          <w:spacing w:val="-10"/>
          <w:w w:val="105"/>
        </w:rPr>
        <w:t> </w:t>
      </w:r>
      <w:r>
        <w:rPr>
          <w:color w:val="231F20"/>
          <w:w w:val="105"/>
        </w:rPr>
        <w:t>encontrado</w:t>
      </w:r>
      <w:r>
        <w:rPr>
          <w:color w:val="231F20"/>
          <w:spacing w:val="-10"/>
          <w:w w:val="105"/>
        </w:rPr>
        <w:t> </w:t>
      </w:r>
      <w:r>
        <w:rPr>
          <w:color w:val="231F20"/>
          <w:w w:val="105"/>
        </w:rPr>
        <w:t>un</w:t>
      </w:r>
      <w:r>
        <w:rPr>
          <w:color w:val="231F20"/>
          <w:spacing w:val="-10"/>
          <w:w w:val="105"/>
        </w:rPr>
        <w:t> </w:t>
      </w:r>
      <w:r>
        <w:rPr>
          <w:color w:val="231F20"/>
          <w:w w:val="105"/>
        </w:rPr>
        <w:t>óptimo</w:t>
      </w:r>
      <w:r>
        <w:rPr>
          <w:color w:val="231F20"/>
          <w:spacing w:val="-10"/>
          <w:w w:val="105"/>
        </w:rPr>
        <w:t> </w:t>
      </w:r>
      <w:r>
        <w:rPr>
          <w:color w:val="231F20"/>
          <w:w w:val="105"/>
        </w:rPr>
        <w:t>lo-</w:t>
      </w:r>
    </w:p>
    <w:p>
      <w:pPr>
        <w:pStyle w:val="BodyText"/>
        <w:spacing w:line="237" w:lineRule="exact"/>
        <w:ind w:left="104" w:hanging="1"/>
        <w:jc w:val="both"/>
      </w:pPr>
      <w:r>
        <w:rPr>
          <w:color w:val="231F20"/>
          <w:w w:val="105"/>
        </w:rPr>
        <w:t>cal,</w:t>
      </w:r>
      <w:r>
        <w:rPr>
          <w:color w:val="231F20"/>
          <w:spacing w:val="-19"/>
          <w:w w:val="105"/>
        </w:rPr>
        <w:t> </w:t>
      </w:r>
      <w:r>
        <w:rPr>
          <w:color w:val="231F20"/>
          <w:w w:val="105"/>
        </w:rPr>
        <w:t>pero</w:t>
      </w:r>
      <w:r>
        <w:rPr>
          <w:color w:val="231F20"/>
          <w:spacing w:val="-13"/>
          <w:w w:val="105"/>
        </w:rPr>
        <w:t> </w:t>
      </w:r>
      <w:r>
        <w:rPr>
          <w:color w:val="231F20"/>
          <w:w w:val="105"/>
        </w:rPr>
        <w:t>con</w:t>
      </w:r>
      <w:r>
        <w:rPr>
          <w:color w:val="231F20"/>
          <w:spacing w:val="-13"/>
          <w:w w:val="105"/>
        </w:rPr>
        <w:t> </w:t>
      </w:r>
      <w:r>
        <w:rPr>
          <w:rFonts w:ascii="Times New Roman" w:hAnsi="Times New Roman"/>
          <w:i/>
          <w:color w:val="231F20"/>
          <w:w w:val="105"/>
          <w:sz w:val="22"/>
        </w:rPr>
        <w:t>h</w:t>
      </w:r>
      <w:r>
        <w:rPr>
          <w:rFonts w:ascii="Times New Roman" w:hAnsi="Times New Roman"/>
          <w:i/>
          <w:color w:val="231F20"/>
          <w:w w:val="105"/>
          <w:position w:val="-4"/>
          <w:sz w:val="12"/>
        </w:rPr>
        <w:t>i</w:t>
      </w:r>
      <w:r>
        <w:rPr>
          <w:rFonts w:ascii="Times New Roman" w:hAnsi="Times New Roman"/>
          <w:i/>
          <w:color w:val="231F20"/>
          <w:spacing w:val="-5"/>
          <w:w w:val="105"/>
          <w:position w:val="-4"/>
          <w:sz w:val="12"/>
        </w:rPr>
        <w:t> </w:t>
      </w:r>
      <w:r>
        <w:rPr>
          <w:rFonts w:ascii="Times New Roman" w:hAnsi="Times New Roman"/>
          <w:color w:val="231F20"/>
          <w:w w:val="105"/>
        </w:rPr>
        <w:t>=</w:t>
      </w:r>
      <w:r>
        <w:rPr>
          <w:rFonts w:ascii="Times New Roman" w:hAnsi="Times New Roman"/>
          <w:color w:val="231F20"/>
          <w:spacing w:val="-9"/>
          <w:w w:val="105"/>
        </w:rPr>
        <w:t> </w:t>
      </w:r>
      <w:r>
        <w:rPr>
          <w:color w:val="231F20"/>
          <w:w w:val="105"/>
        </w:rPr>
        <w:t>1;</w:t>
      </w:r>
      <w:r>
        <w:rPr>
          <w:color w:val="231F20"/>
          <w:spacing w:val="-13"/>
          <w:w w:val="105"/>
        </w:rPr>
        <w:t> </w:t>
      </w:r>
      <w:r>
        <w:rPr>
          <w:color w:val="231F20"/>
          <w:w w:val="105"/>
        </w:rPr>
        <w:t>es</w:t>
      </w:r>
      <w:r>
        <w:rPr>
          <w:color w:val="231F20"/>
          <w:spacing w:val="-13"/>
          <w:w w:val="105"/>
        </w:rPr>
        <w:t> </w:t>
      </w:r>
      <w:r>
        <w:rPr>
          <w:color w:val="231F20"/>
          <w:w w:val="105"/>
        </w:rPr>
        <w:t>por</w:t>
      </w:r>
      <w:r>
        <w:rPr>
          <w:color w:val="231F20"/>
          <w:spacing w:val="-13"/>
          <w:w w:val="105"/>
        </w:rPr>
        <w:t> </w:t>
      </w:r>
      <w:r>
        <w:rPr>
          <w:color w:val="231F20"/>
          <w:w w:val="105"/>
        </w:rPr>
        <w:t>ello</w:t>
      </w:r>
      <w:r>
        <w:rPr>
          <w:color w:val="231F20"/>
          <w:spacing w:val="-13"/>
          <w:w w:val="105"/>
        </w:rPr>
        <w:t> </w:t>
      </w:r>
      <w:r>
        <w:rPr>
          <w:color w:val="231F20"/>
          <w:w w:val="105"/>
        </w:rPr>
        <w:t>que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siguiente</w:t>
      </w:r>
      <w:r>
        <w:rPr>
          <w:color w:val="231F20"/>
          <w:spacing w:val="-13"/>
          <w:w w:val="105"/>
        </w:rPr>
        <w:t> </w:t>
      </w:r>
      <w:r>
        <w:rPr>
          <w:color w:val="231F20"/>
          <w:w w:val="105"/>
        </w:rPr>
        <w:t>ejecución</w:t>
      </w:r>
      <w:r>
        <w:rPr>
          <w:color w:val="231F20"/>
          <w:spacing w:val="-13"/>
          <w:w w:val="105"/>
        </w:rPr>
        <w:t> </w:t>
      </w:r>
      <w:r>
        <w:rPr>
          <w:color w:val="231F20"/>
          <w:w w:val="105"/>
        </w:rPr>
        <w:t>con</w:t>
      </w:r>
      <w:r>
        <w:rPr>
          <w:color w:val="231F20"/>
          <w:spacing w:val="-13"/>
          <w:w w:val="105"/>
        </w:rPr>
        <w:t> </w:t>
      </w:r>
      <w:r>
        <w:rPr>
          <w:color w:val="231F20"/>
          <w:w w:val="105"/>
        </w:rPr>
        <w:t>tan</w:t>
      </w:r>
      <w:r>
        <w:rPr>
          <w:color w:val="231F20"/>
          <w:spacing w:val="-13"/>
          <w:w w:val="105"/>
        </w:rPr>
        <w:t> </w:t>
      </w:r>
      <w:r>
        <w:rPr>
          <w:color w:val="231F20"/>
          <w:w w:val="105"/>
        </w:rPr>
        <w:t>sólo</w:t>
      </w:r>
    </w:p>
    <w:p>
      <w:pPr>
        <w:pStyle w:val="BodyText"/>
        <w:spacing w:line="242" w:lineRule="auto"/>
        <w:ind w:left="103" w:right="134"/>
        <w:jc w:val="both"/>
      </w:pPr>
      <w:r>
        <w:rPr>
          <w:color w:val="231F20"/>
          <w:w w:val="105"/>
        </w:rPr>
        <w:t>13</w:t>
      </w:r>
      <w:r>
        <w:rPr>
          <w:color w:val="231F20"/>
          <w:spacing w:val="-10"/>
          <w:w w:val="105"/>
        </w:rPr>
        <w:t> </w:t>
      </w:r>
      <w:r>
        <w:rPr>
          <w:color w:val="231F20"/>
          <w:w w:val="105"/>
        </w:rPr>
        <w:t>iteraciones</w:t>
      </w:r>
      <w:r>
        <w:rPr>
          <w:color w:val="231F20"/>
          <w:spacing w:val="-11"/>
          <w:w w:val="105"/>
        </w:rPr>
        <w:t> </w:t>
      </w:r>
      <w:r>
        <w:rPr>
          <w:rFonts w:ascii="Times New Roman" w:hAnsi="Times New Roman"/>
          <w:color w:val="231F20"/>
          <w:w w:val="105"/>
          <w:sz w:val="22"/>
        </w:rPr>
        <w:t>Ψ</w:t>
      </w:r>
      <w:r>
        <w:rPr>
          <w:rFonts w:ascii="Times New Roman" w:hAnsi="Times New Roman"/>
          <w:color w:val="231F20"/>
          <w:spacing w:val="-6"/>
          <w:w w:val="105"/>
          <w:sz w:val="22"/>
        </w:rPr>
        <w:t> </w:t>
      </w:r>
      <w:r>
        <w:rPr>
          <w:color w:val="231F20"/>
          <w:w w:val="105"/>
        </w:rPr>
        <w:t>(</w:t>
      </w:r>
      <w:r>
        <w:rPr>
          <w:rFonts w:ascii="Times New Roman" w:hAnsi="Times New Roman"/>
          <w:i/>
          <w:color w:val="231F20"/>
          <w:w w:val="105"/>
          <w:sz w:val="22"/>
        </w:rPr>
        <w:t>х</w:t>
      </w:r>
      <w:r>
        <w:rPr>
          <w:color w:val="231F20"/>
          <w:w w:val="105"/>
          <w:position w:val="-4"/>
          <w:sz w:val="12"/>
        </w:rPr>
        <w:t>0</w:t>
      </w:r>
      <w:r>
        <w:rPr>
          <w:color w:val="231F20"/>
          <w:w w:val="105"/>
        </w:rPr>
        <w:t>)</w:t>
      </w:r>
      <w:r>
        <w:rPr>
          <w:color w:val="231F20"/>
          <w:spacing w:val="-10"/>
          <w:w w:val="105"/>
        </w:rPr>
        <w:t> </w:t>
      </w:r>
      <w:r>
        <w:rPr>
          <w:color w:val="231F20"/>
          <w:w w:val="105"/>
        </w:rPr>
        <w:t>toma</w:t>
      </w:r>
      <w:r>
        <w:rPr>
          <w:color w:val="231F20"/>
          <w:spacing w:val="-10"/>
          <w:w w:val="105"/>
        </w:rPr>
        <w:t> </w:t>
      </w:r>
      <w:r>
        <w:rPr>
          <w:color w:val="231F20"/>
          <w:w w:val="105"/>
        </w:rPr>
        <w:t>el</w:t>
      </w:r>
      <w:r>
        <w:rPr>
          <w:color w:val="231F20"/>
          <w:spacing w:val="-10"/>
          <w:w w:val="105"/>
        </w:rPr>
        <w:t> </w:t>
      </w:r>
      <w:r>
        <w:rPr>
          <w:color w:val="231F20"/>
          <w:w w:val="105"/>
        </w:rPr>
        <w:t>valor</w:t>
      </w:r>
      <w:r>
        <w:rPr>
          <w:color w:val="231F20"/>
          <w:spacing w:val="-10"/>
          <w:w w:val="105"/>
        </w:rPr>
        <w:t> </w:t>
      </w:r>
      <w:r>
        <w:rPr>
          <w:color w:val="231F20"/>
          <w:w w:val="105"/>
        </w:rPr>
        <w:t>de</w:t>
      </w:r>
      <w:r>
        <w:rPr>
          <w:color w:val="231F20"/>
          <w:spacing w:val="-10"/>
          <w:w w:val="105"/>
        </w:rPr>
        <w:t> </w:t>
      </w:r>
      <w:r>
        <w:rPr>
          <w:color w:val="231F20"/>
          <w:w w:val="105"/>
        </w:rPr>
        <w:t>1</w:t>
      </w:r>
      <w:r>
        <w:rPr>
          <w:color w:val="231F20"/>
          <w:spacing w:val="-10"/>
          <w:w w:val="105"/>
        </w:rPr>
        <w:t> </w:t>
      </w:r>
      <w:r>
        <w:rPr>
          <w:color w:val="231F20"/>
          <w:w w:val="105"/>
        </w:rPr>
        <w:t>(100%)</w:t>
      </w:r>
      <w:r>
        <w:rPr>
          <w:color w:val="231F20"/>
          <w:spacing w:val="-10"/>
          <w:w w:val="105"/>
        </w:rPr>
        <w:t> </w:t>
      </w:r>
      <w:r>
        <w:rPr>
          <w:color w:val="231F20"/>
          <w:w w:val="105"/>
        </w:rPr>
        <w:t>y</w:t>
      </w:r>
      <w:r>
        <w:rPr>
          <w:color w:val="231F20"/>
          <w:spacing w:val="-10"/>
          <w:w w:val="105"/>
        </w:rPr>
        <w:t> </w:t>
      </w:r>
      <w:r>
        <w:rPr>
          <w:color w:val="231F20"/>
          <w:w w:val="105"/>
        </w:rPr>
        <w:t>es</w:t>
      </w:r>
      <w:r>
        <w:rPr>
          <w:color w:val="231F20"/>
          <w:spacing w:val="-10"/>
          <w:w w:val="105"/>
        </w:rPr>
        <w:t> </w:t>
      </w:r>
      <w:r>
        <w:rPr>
          <w:color w:val="231F20"/>
          <w:w w:val="105"/>
        </w:rPr>
        <w:t>donde</w:t>
      </w:r>
      <w:r>
        <w:rPr>
          <w:color w:val="231F20"/>
          <w:spacing w:val="-10"/>
          <w:w w:val="105"/>
        </w:rPr>
        <w:t> </w:t>
      </w:r>
      <w:r>
        <w:rPr>
          <w:color w:val="231F20"/>
          <w:w w:val="105"/>
        </w:rPr>
        <w:t>se</w:t>
      </w:r>
      <w:r>
        <w:rPr>
          <w:color w:val="231F20"/>
          <w:spacing w:val="-10"/>
          <w:w w:val="105"/>
        </w:rPr>
        <w:t> </w:t>
      </w:r>
      <w:r>
        <w:rPr>
          <w:color w:val="231F20"/>
          <w:w w:val="105"/>
        </w:rPr>
        <w:t>encuentra el vector de parámetros óptimo para el modelo de Heston, tal como se aprecia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siguiente</w:t>
      </w:r>
      <w:r>
        <w:rPr>
          <w:color w:val="231F20"/>
          <w:spacing w:val="-19"/>
          <w:w w:val="105"/>
        </w:rPr>
        <w:t> </w:t>
      </w:r>
      <w:r>
        <w:rPr>
          <w:color w:val="231F20"/>
          <w:w w:val="105"/>
        </w:rPr>
        <w:t>expresión:</w:t>
      </w:r>
    </w:p>
    <w:p>
      <w:pPr>
        <w:pStyle w:val="BodyText"/>
        <w:spacing w:before="3"/>
        <w:rPr>
          <w:sz w:val="19"/>
        </w:rPr>
      </w:pPr>
      <w:r>
        <w:rPr/>
        <w:drawing>
          <wp:anchor distT="0" distB="0" distL="0" distR="0" allowOverlap="1" layoutInCell="1" locked="0" behindDoc="0" simplePos="0" relativeHeight="8056">
            <wp:simplePos x="0" y="0"/>
            <wp:positionH relativeFrom="page">
              <wp:posOffset>1007999</wp:posOffset>
            </wp:positionH>
            <wp:positionV relativeFrom="paragraph">
              <wp:posOffset>165856</wp:posOffset>
            </wp:positionV>
            <wp:extent cx="4287012" cy="364617"/>
            <wp:effectExtent l="0" t="0" r="0" b="0"/>
            <wp:wrapTopAndBottom/>
            <wp:docPr id="97" name="image95.png" descr=""/>
            <wp:cNvGraphicFramePr>
              <a:graphicFrameLocks noChangeAspect="1"/>
            </wp:cNvGraphicFramePr>
            <a:graphic>
              <a:graphicData uri="http://schemas.openxmlformats.org/drawingml/2006/picture">
                <pic:pic>
                  <pic:nvPicPr>
                    <pic:cNvPr id="98" name="image95.png"/>
                    <pic:cNvPicPr/>
                  </pic:nvPicPr>
                  <pic:blipFill>
                    <a:blip r:embed="rId119" cstate="print"/>
                    <a:stretch>
                      <a:fillRect/>
                    </a:stretch>
                  </pic:blipFill>
                  <pic:spPr>
                    <a:xfrm>
                      <a:off x="0" y="0"/>
                      <a:ext cx="4287012" cy="364617"/>
                    </a:xfrm>
                    <a:prstGeom prst="rect">
                      <a:avLst/>
                    </a:prstGeom>
                  </pic:spPr>
                </pic:pic>
              </a:graphicData>
            </a:graphic>
          </wp:anchor>
        </w:drawing>
      </w:r>
    </w:p>
    <w:p>
      <w:pPr>
        <w:pStyle w:val="BodyText"/>
        <w:spacing w:before="10"/>
        <w:rPr>
          <w:sz w:val="24"/>
        </w:rPr>
      </w:pPr>
    </w:p>
    <w:p>
      <w:pPr>
        <w:pStyle w:val="BodyText"/>
        <w:ind w:left="103" w:right="127"/>
        <w:jc w:val="both"/>
      </w:pP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columnas</w:t>
      </w:r>
      <w:r>
        <w:rPr>
          <w:color w:val="231F20"/>
          <w:spacing w:val="-8"/>
          <w:w w:val="105"/>
        </w:rPr>
        <w:t> </w:t>
      </w:r>
      <w:r>
        <w:rPr>
          <w:color w:val="231F20"/>
          <w:w w:val="105"/>
        </w:rPr>
        <w:t>tres</w:t>
      </w:r>
      <w:r>
        <w:rPr>
          <w:color w:val="231F20"/>
          <w:spacing w:val="-8"/>
          <w:w w:val="105"/>
        </w:rPr>
        <w:t> </w:t>
      </w:r>
      <w:r>
        <w:rPr>
          <w:color w:val="231F20"/>
          <w:w w:val="105"/>
        </w:rPr>
        <w:t>y</w:t>
      </w:r>
      <w:r>
        <w:rPr>
          <w:color w:val="231F20"/>
          <w:spacing w:val="-8"/>
          <w:w w:val="105"/>
        </w:rPr>
        <w:t> </w:t>
      </w:r>
      <w:r>
        <w:rPr>
          <w:color w:val="231F20"/>
          <w:w w:val="105"/>
        </w:rPr>
        <w:t>cuatro</w:t>
      </w:r>
      <w:r>
        <w:rPr>
          <w:color w:val="231F20"/>
          <w:spacing w:val="-8"/>
          <w:w w:val="105"/>
        </w:rPr>
        <w:t> </w:t>
      </w:r>
      <w:r>
        <w:rPr>
          <w:color w:val="231F20"/>
          <w:w w:val="105"/>
        </w:rPr>
        <w:t>(últimas</w:t>
      </w:r>
      <w:r>
        <w:rPr>
          <w:color w:val="231F20"/>
          <w:spacing w:val="-8"/>
          <w:w w:val="105"/>
        </w:rPr>
        <w:t> </w:t>
      </w:r>
      <w:r>
        <w:rPr>
          <w:color w:val="231F20"/>
          <w:w w:val="105"/>
        </w:rPr>
        <w:t>dos</w:t>
      </w:r>
      <w:r>
        <w:rPr>
          <w:color w:val="231F20"/>
          <w:spacing w:val="-8"/>
          <w:w w:val="105"/>
        </w:rPr>
        <w:t> </w:t>
      </w:r>
      <w:r>
        <w:rPr>
          <w:color w:val="231F20"/>
          <w:w w:val="105"/>
        </w:rPr>
        <w:t>estimaciones</w:t>
      </w:r>
      <w:r>
        <w:rPr>
          <w:color w:val="231F20"/>
          <w:spacing w:val="-8"/>
          <w:w w:val="105"/>
        </w:rPr>
        <w:t> </w:t>
      </w:r>
      <w:r>
        <w:rPr>
          <w:color w:val="231F20"/>
          <w:w w:val="105"/>
        </w:rPr>
        <w:t>antes</w:t>
      </w:r>
      <w:r>
        <w:rPr>
          <w:color w:val="231F20"/>
          <w:spacing w:val="-8"/>
          <w:w w:val="105"/>
        </w:rPr>
        <w:t> </w:t>
      </w:r>
      <w:r>
        <w:rPr>
          <w:color w:val="231F20"/>
          <w:w w:val="105"/>
        </w:rPr>
        <w:t>de</w:t>
      </w:r>
      <w:r>
        <w:rPr>
          <w:color w:val="231F20"/>
          <w:spacing w:val="-8"/>
          <w:w w:val="105"/>
        </w:rPr>
        <w:t> </w:t>
      </w:r>
      <w:r>
        <w:rPr>
          <w:color w:val="231F20"/>
          <w:w w:val="105"/>
        </w:rPr>
        <w:t>llegar al óptimo) el algoritmo realizó 143 y 144 iteraciones; muestran cómo la hipótesis nula </w:t>
      </w:r>
      <w:r>
        <w:rPr>
          <w:rFonts w:ascii="Times New Roman" w:hAnsi="Times New Roman"/>
          <w:i/>
          <w:color w:val="231F20"/>
          <w:w w:val="105"/>
          <w:sz w:val="22"/>
        </w:rPr>
        <w:t>H</w:t>
      </w:r>
      <w:r>
        <w:rPr>
          <w:color w:val="231F20"/>
          <w:w w:val="105"/>
          <w:position w:val="-4"/>
          <w:sz w:val="12"/>
        </w:rPr>
        <w:t>0 </w:t>
      </w:r>
      <w:r>
        <w:rPr>
          <w:color w:val="231F20"/>
          <w:w w:val="105"/>
        </w:rPr>
        <w:t>es rechazada por la prueba Kolmogorov-Smirnov, ya que el valor tomado por </w:t>
      </w:r>
      <w:r>
        <w:rPr>
          <w:rFonts w:ascii="Times New Roman" w:hAnsi="Times New Roman"/>
          <w:i/>
          <w:color w:val="231F20"/>
          <w:w w:val="105"/>
          <w:sz w:val="22"/>
        </w:rPr>
        <w:t>h</w:t>
      </w:r>
      <w:r>
        <w:rPr>
          <w:color w:val="231F20"/>
          <w:w w:val="105"/>
          <w:position w:val="-4"/>
          <w:sz w:val="12"/>
        </w:rPr>
        <w:t>1 </w:t>
      </w:r>
      <w:r>
        <w:rPr>
          <w:color w:val="231F20"/>
          <w:w w:val="105"/>
        </w:rPr>
        <w:t>es igual a 1 para los respectivos valores de </w:t>
      </w:r>
      <w:r>
        <w:rPr>
          <w:rFonts w:ascii="Times New Roman" w:hAnsi="Times New Roman"/>
          <w:i/>
          <w:color w:val="231F20"/>
          <w:w w:val="105"/>
          <w:sz w:val="22"/>
        </w:rPr>
        <w:t>s</w:t>
      </w:r>
      <w:r>
        <w:rPr>
          <w:color w:val="231F20"/>
          <w:w w:val="105"/>
          <w:position w:val="-4"/>
          <w:sz w:val="12"/>
        </w:rPr>
        <w:t>1</w:t>
      </w:r>
      <w:r>
        <w:rPr>
          <w:color w:val="231F20"/>
          <w:spacing w:val="12"/>
          <w:w w:val="105"/>
          <w:position w:val="-4"/>
          <w:sz w:val="12"/>
        </w:rPr>
        <w:t> </w:t>
      </w:r>
      <w:r>
        <w:rPr>
          <w:color w:val="231F20"/>
          <w:w w:val="105"/>
        </w:rPr>
        <w:t>y</w:t>
      </w:r>
      <w:r>
        <w:rPr>
          <w:color w:val="231F20"/>
          <w:spacing w:val="-14"/>
          <w:w w:val="105"/>
        </w:rPr>
        <w:t> </w:t>
      </w:r>
      <w:r>
        <w:rPr>
          <w:rFonts w:ascii="Times New Roman" w:hAnsi="Times New Roman"/>
          <w:i/>
          <w:color w:val="231F20"/>
          <w:w w:val="105"/>
          <w:sz w:val="22"/>
        </w:rPr>
        <w:t>p</w:t>
      </w:r>
      <w:r>
        <w:rPr>
          <w:color w:val="231F20"/>
          <w:w w:val="105"/>
          <w:position w:val="-4"/>
          <w:sz w:val="12"/>
        </w:rPr>
        <w:t>1</w:t>
      </w:r>
      <w:r>
        <w:rPr>
          <w:color w:val="231F20"/>
          <w:spacing w:val="12"/>
          <w:w w:val="105"/>
          <w:position w:val="-4"/>
          <w:sz w:val="12"/>
        </w:rPr>
        <w:t> </w:t>
      </w:r>
      <w:r>
        <w:rPr>
          <w:color w:val="231F20"/>
          <w:w w:val="105"/>
        </w:rPr>
        <w:t>(</w:t>
      </w:r>
      <w:r>
        <w:rPr>
          <w:i/>
          <w:color w:val="231F20"/>
          <w:w w:val="105"/>
        </w:rPr>
        <w:t>valor-p</w:t>
      </w:r>
      <w:r>
        <w:rPr>
          <w:i/>
          <w:color w:val="231F20"/>
          <w:spacing w:val="-14"/>
          <w:w w:val="105"/>
        </w:rPr>
        <w:t> </w:t>
      </w:r>
      <w:r>
        <w:rPr>
          <w:color w:val="231F20"/>
          <w:w w:val="105"/>
        </w:rPr>
        <w:t>menor</w:t>
      </w:r>
      <w:r>
        <w:rPr>
          <w:color w:val="231F20"/>
          <w:spacing w:val="-14"/>
          <w:w w:val="105"/>
        </w:rPr>
        <w:t> </w:t>
      </w:r>
      <w:r>
        <w:rPr>
          <w:color w:val="231F20"/>
          <w:w w:val="105"/>
        </w:rPr>
        <w:t>a</w:t>
      </w:r>
      <w:r>
        <w:rPr>
          <w:color w:val="231F20"/>
          <w:spacing w:val="-14"/>
          <w:w w:val="105"/>
        </w:rPr>
        <w:t> </w:t>
      </w:r>
      <w:r>
        <w:rPr>
          <w:color w:val="231F20"/>
          <w:w w:val="105"/>
        </w:rPr>
        <w:t>0.05)</w:t>
      </w:r>
      <w:r>
        <w:rPr>
          <w:color w:val="231F20"/>
          <w:spacing w:val="-14"/>
          <w:w w:val="105"/>
        </w:rPr>
        <w:t> </w:t>
      </w:r>
      <w:r>
        <w:rPr>
          <w:color w:val="231F20"/>
          <w:w w:val="105"/>
        </w:rPr>
        <w:t>anotados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conjunto</w:t>
      </w:r>
      <w:r>
        <w:rPr>
          <w:color w:val="231F20"/>
          <w:spacing w:val="-14"/>
          <w:w w:val="105"/>
        </w:rPr>
        <w:t> </w:t>
      </w:r>
      <w:r>
        <w:rPr>
          <w:color w:val="231F20"/>
          <w:w w:val="105"/>
        </w:rPr>
        <w:t>{</w:t>
      </w:r>
      <w:r>
        <w:rPr>
          <w:rFonts w:ascii="Times New Roman" w:hAnsi="Times New Roman"/>
          <w:i/>
          <w:color w:val="231F20"/>
          <w:w w:val="105"/>
          <w:sz w:val="22"/>
        </w:rPr>
        <w:t>s</w:t>
      </w:r>
      <w:r>
        <w:rPr>
          <w:color w:val="231F20"/>
          <w:w w:val="105"/>
          <w:position w:val="-4"/>
          <w:sz w:val="12"/>
        </w:rPr>
        <w:t>1</w:t>
      </w:r>
      <w:r>
        <w:rPr>
          <w:color w:val="231F20"/>
          <w:w w:val="105"/>
        </w:rPr>
        <w:t>,</w:t>
      </w:r>
      <w:r>
        <w:rPr>
          <w:color w:val="231F20"/>
          <w:spacing w:val="-20"/>
          <w:w w:val="105"/>
        </w:rPr>
        <w:t> </w:t>
      </w:r>
      <w:r>
        <w:rPr>
          <w:rFonts w:ascii="Times New Roman" w:hAnsi="Times New Roman"/>
          <w:i/>
          <w:color w:val="231F20"/>
          <w:w w:val="105"/>
          <w:sz w:val="22"/>
        </w:rPr>
        <w:t>p</w:t>
      </w:r>
      <w:r>
        <w:rPr>
          <w:color w:val="231F20"/>
          <w:w w:val="105"/>
          <w:position w:val="-4"/>
          <w:sz w:val="12"/>
        </w:rPr>
        <w:t>1</w:t>
      </w:r>
      <w:r>
        <w:rPr>
          <w:color w:val="231F20"/>
          <w:w w:val="105"/>
        </w:rPr>
        <w:t>,</w:t>
      </w:r>
      <w:r>
        <w:rPr>
          <w:color w:val="231F20"/>
          <w:spacing w:val="-20"/>
          <w:w w:val="105"/>
        </w:rPr>
        <w:t> </w:t>
      </w:r>
      <w:r>
        <w:rPr>
          <w:rFonts w:ascii="Times New Roman" w:hAnsi="Times New Roman"/>
          <w:i/>
          <w:color w:val="231F20"/>
          <w:w w:val="105"/>
          <w:sz w:val="22"/>
        </w:rPr>
        <w:t>h</w:t>
      </w:r>
      <w:r>
        <w:rPr>
          <w:color w:val="231F20"/>
          <w:w w:val="105"/>
          <w:position w:val="-4"/>
          <w:sz w:val="12"/>
        </w:rPr>
        <w:t>1</w:t>
      </w:r>
      <w:r>
        <w:rPr>
          <w:color w:val="231F20"/>
          <w:w w:val="105"/>
        </w:rPr>
        <w:t>};</w:t>
      </w:r>
      <w:r>
        <w:rPr>
          <w:color w:val="231F20"/>
          <w:spacing w:val="-14"/>
          <w:w w:val="105"/>
        </w:rPr>
        <w:t> </w:t>
      </w:r>
      <w:r>
        <w:rPr>
          <w:color w:val="231F20"/>
          <w:w w:val="105"/>
        </w:rPr>
        <w:t>excepto cuando encuentra el óptimo local (la quinta columna) con el valor de </w:t>
      </w:r>
      <w:r>
        <w:rPr>
          <w:rFonts w:ascii="Times New Roman" w:hAnsi="Times New Roman"/>
          <w:i/>
          <w:color w:val="231F20"/>
          <w:w w:val="105"/>
          <w:sz w:val="22"/>
        </w:rPr>
        <w:t>h</w:t>
      </w:r>
      <w:r>
        <w:rPr>
          <w:color w:val="231F20"/>
          <w:w w:val="105"/>
          <w:position w:val="-4"/>
          <w:sz w:val="12"/>
        </w:rPr>
        <w:t>1 </w:t>
      </w:r>
      <w:r>
        <w:rPr>
          <w:color w:val="231F20"/>
          <w:w w:val="105"/>
        </w:rPr>
        <w:t>igual</w:t>
      </w:r>
      <w:r>
        <w:rPr>
          <w:color w:val="231F20"/>
          <w:spacing w:val="-5"/>
          <w:w w:val="105"/>
        </w:rPr>
        <w:t> </w:t>
      </w:r>
      <w:r>
        <w:rPr>
          <w:color w:val="231F20"/>
          <w:w w:val="105"/>
        </w:rPr>
        <w:t>a</w:t>
      </w:r>
      <w:r>
        <w:rPr>
          <w:color w:val="231F20"/>
          <w:spacing w:val="-5"/>
          <w:w w:val="105"/>
        </w:rPr>
        <w:t> </w:t>
      </w:r>
      <w:r>
        <w:rPr>
          <w:color w:val="231F20"/>
          <w:w w:val="105"/>
        </w:rPr>
        <w:t>0</w:t>
      </w:r>
      <w:r>
        <w:rPr>
          <w:color w:val="231F20"/>
          <w:spacing w:val="-5"/>
          <w:w w:val="105"/>
        </w:rPr>
        <w:t> </w:t>
      </w:r>
      <w:r>
        <w:rPr>
          <w:color w:val="231F20"/>
          <w:w w:val="105"/>
        </w:rPr>
        <w:t>y</w:t>
      </w:r>
      <w:r>
        <w:rPr>
          <w:color w:val="231F20"/>
          <w:spacing w:val="-5"/>
          <w:w w:val="105"/>
        </w:rPr>
        <w:t> </w:t>
      </w:r>
      <w:r>
        <w:rPr>
          <w:i/>
          <w:color w:val="231F20"/>
          <w:w w:val="105"/>
        </w:rPr>
        <w:t>valor-p</w:t>
      </w:r>
      <w:r>
        <w:rPr>
          <w:i/>
          <w:color w:val="231F20"/>
          <w:spacing w:val="-5"/>
          <w:w w:val="105"/>
        </w:rPr>
        <w:t> </w:t>
      </w:r>
      <w:r>
        <w:rPr>
          <w:color w:val="231F20"/>
          <w:w w:val="105"/>
        </w:rPr>
        <w:t>mayor</w:t>
      </w:r>
      <w:r>
        <w:rPr>
          <w:color w:val="231F20"/>
          <w:spacing w:val="-5"/>
          <w:w w:val="105"/>
        </w:rPr>
        <w:t> </w:t>
      </w:r>
      <w:r>
        <w:rPr>
          <w:color w:val="231F20"/>
          <w:w w:val="105"/>
        </w:rPr>
        <w:t>a</w:t>
      </w:r>
      <w:r>
        <w:rPr>
          <w:color w:val="231F20"/>
          <w:spacing w:val="-5"/>
          <w:w w:val="105"/>
        </w:rPr>
        <w:t> </w:t>
      </w:r>
      <w:r>
        <w:rPr>
          <w:color w:val="231F20"/>
          <w:w w:val="105"/>
        </w:rPr>
        <w:t>0.05,</w:t>
      </w:r>
      <w:r>
        <w:rPr>
          <w:color w:val="231F20"/>
          <w:spacing w:val="-10"/>
          <w:w w:val="105"/>
        </w:rPr>
        <w:t> </w:t>
      </w:r>
      <w:r>
        <w:rPr>
          <w:color w:val="231F20"/>
          <w:w w:val="105"/>
        </w:rPr>
        <w:t>con</w:t>
      </w:r>
      <w:r>
        <w:rPr>
          <w:color w:val="231F20"/>
          <w:spacing w:val="-5"/>
          <w:w w:val="105"/>
        </w:rPr>
        <w:t> </w:t>
      </w:r>
      <w:r>
        <w:rPr>
          <w:color w:val="231F20"/>
          <w:w w:val="105"/>
        </w:rPr>
        <w:t>lo</w:t>
      </w:r>
      <w:r>
        <w:rPr>
          <w:color w:val="231F20"/>
          <w:spacing w:val="-5"/>
          <w:w w:val="105"/>
        </w:rPr>
        <w:t> </w:t>
      </w:r>
      <w:r>
        <w:rPr>
          <w:color w:val="231F20"/>
          <w:w w:val="105"/>
        </w:rPr>
        <w:t>cual</w:t>
      </w:r>
      <w:r>
        <w:rPr>
          <w:color w:val="231F20"/>
          <w:spacing w:val="-5"/>
          <w:w w:val="105"/>
        </w:rPr>
        <w:t> </w:t>
      </w:r>
      <w:r>
        <w:rPr>
          <w:color w:val="231F20"/>
          <w:w w:val="105"/>
        </w:rPr>
        <w:t>se</w:t>
      </w:r>
      <w:r>
        <w:rPr>
          <w:color w:val="231F20"/>
          <w:spacing w:val="-5"/>
          <w:w w:val="105"/>
        </w:rPr>
        <w:t> </w:t>
      </w:r>
      <w:r>
        <w:rPr>
          <w:color w:val="231F20"/>
          <w:w w:val="105"/>
        </w:rPr>
        <w:t>acepta</w:t>
      </w:r>
      <w:r>
        <w:rPr>
          <w:color w:val="231F20"/>
          <w:spacing w:val="-5"/>
          <w:w w:val="105"/>
        </w:rPr>
        <w:t> </w:t>
      </w:r>
      <w:r>
        <w:rPr>
          <w:color w:val="231F20"/>
          <w:w w:val="105"/>
        </w:rPr>
        <w:t>la</w:t>
      </w:r>
      <w:r>
        <w:rPr>
          <w:color w:val="231F20"/>
          <w:spacing w:val="-5"/>
          <w:w w:val="105"/>
        </w:rPr>
        <w:t> </w:t>
      </w:r>
      <w:r>
        <w:rPr>
          <w:color w:val="231F20"/>
          <w:w w:val="105"/>
        </w:rPr>
        <w:t>hipótesis</w:t>
      </w:r>
      <w:r>
        <w:rPr>
          <w:color w:val="231F20"/>
          <w:spacing w:val="-5"/>
          <w:w w:val="105"/>
        </w:rPr>
        <w:t> </w:t>
      </w:r>
      <w:r>
        <w:rPr>
          <w:color w:val="231F20"/>
          <w:w w:val="105"/>
        </w:rPr>
        <w:t>nula, es decir, que los rendimientos reales y teóricos provienen de la misma distribución  de</w:t>
      </w:r>
      <w:r>
        <w:rPr>
          <w:color w:val="231F20"/>
          <w:spacing w:val="23"/>
          <w:w w:val="105"/>
        </w:rPr>
        <w:t> </w:t>
      </w:r>
      <w:r>
        <w:rPr>
          <w:color w:val="231F20"/>
          <w:w w:val="105"/>
        </w:rPr>
        <w:t>probabilidad.</w:t>
      </w:r>
    </w:p>
    <w:p>
      <w:pPr>
        <w:pStyle w:val="BodyText"/>
        <w:spacing w:line="260" w:lineRule="exact" w:before="7"/>
        <w:ind w:left="103" w:right="129" w:firstLine="567"/>
        <w:jc w:val="both"/>
      </w:pPr>
      <w:r>
        <w:rPr>
          <w:color w:val="231F20"/>
          <w:w w:val="105"/>
        </w:rPr>
        <w:t>Debido</w:t>
      </w:r>
      <w:r>
        <w:rPr>
          <w:color w:val="231F20"/>
          <w:spacing w:val="-12"/>
          <w:w w:val="105"/>
        </w:rPr>
        <w:t> </w:t>
      </w:r>
      <w:r>
        <w:rPr>
          <w:color w:val="231F20"/>
          <w:w w:val="105"/>
        </w:rPr>
        <w:t>a</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función</w:t>
      </w:r>
      <w:r>
        <w:rPr>
          <w:color w:val="231F20"/>
          <w:spacing w:val="-12"/>
          <w:w w:val="105"/>
        </w:rPr>
        <w:t> </w:t>
      </w:r>
      <w:r>
        <w:rPr>
          <w:rFonts w:ascii="Times New Roman" w:hAnsi="Times New Roman"/>
          <w:i/>
          <w:color w:val="231F20"/>
          <w:w w:val="105"/>
          <w:sz w:val="22"/>
        </w:rPr>
        <w:t>ψ</w:t>
      </w:r>
      <w:r>
        <w:rPr>
          <w:rFonts w:ascii="Times New Roman" w:hAnsi="Times New Roman"/>
          <w:i/>
          <w:color w:val="231F20"/>
          <w:spacing w:val="-33"/>
          <w:w w:val="105"/>
          <w:sz w:val="22"/>
        </w:rPr>
        <w:t> </w:t>
      </w:r>
      <w:r>
        <w:rPr>
          <w:color w:val="231F20"/>
          <w:w w:val="105"/>
        </w:rPr>
        <w:t>(</w:t>
      </w:r>
      <w:r>
        <w:rPr>
          <w:rFonts w:ascii="Times New Roman" w:hAnsi="Times New Roman"/>
          <w:i/>
          <w:color w:val="231F20"/>
          <w:w w:val="105"/>
          <w:sz w:val="22"/>
        </w:rPr>
        <w:t>x</w:t>
      </w:r>
      <w:r>
        <w:rPr>
          <w:color w:val="231F20"/>
          <w:w w:val="105"/>
        </w:rPr>
        <w:t>)</w:t>
      </w:r>
      <w:r>
        <w:rPr>
          <w:color w:val="231F20"/>
          <w:spacing w:val="-12"/>
          <w:w w:val="105"/>
        </w:rPr>
        <w:t> </w:t>
      </w:r>
      <w:r>
        <w:rPr>
          <w:color w:val="231F20"/>
          <w:w w:val="105"/>
        </w:rPr>
        <w:t>es</w:t>
      </w:r>
      <w:r>
        <w:rPr>
          <w:color w:val="231F20"/>
          <w:spacing w:val="-12"/>
          <w:w w:val="105"/>
        </w:rPr>
        <w:t> </w:t>
      </w:r>
      <w:r>
        <w:rPr>
          <w:color w:val="231F20"/>
          <w:w w:val="105"/>
        </w:rPr>
        <w:t>estimada</w:t>
      </w:r>
      <w:r>
        <w:rPr>
          <w:color w:val="231F20"/>
          <w:spacing w:val="-12"/>
          <w:w w:val="105"/>
        </w:rPr>
        <w:t> </w:t>
      </w:r>
      <w:r>
        <w:rPr>
          <w:color w:val="231F20"/>
          <w:w w:val="105"/>
        </w:rPr>
        <w:t>se</w:t>
      </w:r>
      <w:r>
        <w:rPr>
          <w:color w:val="231F20"/>
          <w:spacing w:val="-12"/>
          <w:w w:val="105"/>
        </w:rPr>
        <w:t> </w:t>
      </w:r>
      <w:r>
        <w:rPr>
          <w:color w:val="231F20"/>
          <w:w w:val="105"/>
        </w:rPr>
        <w:t>valida</w:t>
      </w:r>
      <w:r>
        <w:rPr>
          <w:color w:val="231F20"/>
          <w:spacing w:val="-12"/>
          <w:w w:val="105"/>
        </w:rPr>
        <w:t> </w:t>
      </w:r>
      <w:r>
        <w:rPr>
          <w:color w:val="231F20"/>
          <w:w w:val="105"/>
        </w:rPr>
        <w:t>la</w:t>
      </w:r>
      <w:r>
        <w:rPr>
          <w:color w:val="231F20"/>
          <w:spacing w:val="-12"/>
          <w:w w:val="105"/>
        </w:rPr>
        <w:t> </w:t>
      </w:r>
      <w:r>
        <w:rPr>
          <w:color w:val="231F20"/>
          <w:w w:val="105"/>
        </w:rPr>
        <w:t>probabilidad de</w:t>
      </w:r>
      <w:r>
        <w:rPr>
          <w:color w:val="231F20"/>
          <w:spacing w:val="-13"/>
          <w:w w:val="105"/>
        </w:rPr>
        <w:t> </w:t>
      </w:r>
      <w:r>
        <w:rPr>
          <w:color w:val="231F20"/>
          <w:w w:val="105"/>
        </w:rPr>
        <w:t>rechazo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hipótesis</w:t>
      </w:r>
      <w:r>
        <w:rPr>
          <w:color w:val="231F20"/>
          <w:spacing w:val="-13"/>
          <w:w w:val="105"/>
        </w:rPr>
        <w:t> </w:t>
      </w:r>
      <w:r>
        <w:rPr>
          <w:color w:val="231F20"/>
          <w:w w:val="105"/>
        </w:rPr>
        <w:t>nula</w:t>
      </w:r>
      <w:r>
        <w:rPr>
          <w:color w:val="231F20"/>
          <w:spacing w:val="-14"/>
          <w:w w:val="105"/>
        </w:rPr>
        <w:t> </w:t>
      </w:r>
      <w:r>
        <w:rPr>
          <w:rFonts w:ascii="Times New Roman" w:hAnsi="Times New Roman"/>
          <w:i/>
          <w:color w:val="231F20"/>
          <w:w w:val="105"/>
          <w:sz w:val="22"/>
        </w:rPr>
        <w:t>H</w:t>
      </w:r>
      <w:r>
        <w:rPr>
          <w:i/>
          <w:color w:val="231F20"/>
          <w:w w:val="105"/>
          <w:position w:val="-4"/>
          <w:sz w:val="12"/>
        </w:rPr>
        <w:t>0</w:t>
      </w:r>
      <w:r>
        <w:rPr>
          <w:i/>
          <w:color w:val="231F20"/>
          <w:spacing w:val="13"/>
          <w:w w:val="105"/>
          <w:position w:val="-4"/>
          <w:sz w:val="12"/>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prueba</w:t>
      </w:r>
      <w:r>
        <w:rPr>
          <w:color w:val="231F20"/>
          <w:spacing w:val="-14"/>
          <w:w w:val="105"/>
        </w:rPr>
        <w:t> </w:t>
      </w:r>
      <w:r>
        <w:rPr>
          <w:color w:val="231F20"/>
          <w:w w:val="105"/>
        </w:rPr>
        <w:t>de</w:t>
      </w:r>
      <w:r>
        <w:rPr>
          <w:color w:val="231F20"/>
          <w:spacing w:val="-14"/>
          <w:w w:val="105"/>
        </w:rPr>
        <w:t> </w:t>
      </w:r>
      <w:r>
        <w:rPr>
          <w:color w:val="231F20"/>
          <w:w w:val="105"/>
        </w:rPr>
        <w:t>Kolmogorov-Smirnov cuando</w:t>
      </w:r>
      <w:r>
        <w:rPr>
          <w:color w:val="231F20"/>
          <w:spacing w:val="-24"/>
          <w:w w:val="105"/>
        </w:rPr>
        <w:t> </w:t>
      </w:r>
      <w:r>
        <w:rPr>
          <w:color w:val="231F20"/>
          <w:w w:val="105"/>
        </w:rPr>
        <w:t>se</w:t>
      </w:r>
      <w:r>
        <w:rPr>
          <w:color w:val="231F20"/>
          <w:spacing w:val="-24"/>
          <w:w w:val="105"/>
        </w:rPr>
        <w:t> </w:t>
      </w:r>
      <w:r>
        <w:rPr>
          <w:color w:val="231F20"/>
          <w:w w:val="105"/>
        </w:rPr>
        <w:t>efectúa</w:t>
      </w:r>
      <w:r>
        <w:rPr>
          <w:color w:val="231F20"/>
          <w:spacing w:val="-24"/>
          <w:w w:val="105"/>
        </w:rPr>
        <w:t> </w:t>
      </w:r>
      <w:r>
        <w:rPr>
          <w:color w:val="231F20"/>
          <w:w w:val="105"/>
        </w:rPr>
        <w:t>un</w:t>
      </w:r>
      <w:r>
        <w:rPr>
          <w:color w:val="231F20"/>
          <w:spacing w:val="-24"/>
          <w:w w:val="105"/>
        </w:rPr>
        <w:t> </w:t>
      </w:r>
      <w:r>
        <w:rPr>
          <w:color w:val="231F20"/>
          <w:w w:val="105"/>
        </w:rPr>
        <w:t>número</w:t>
      </w:r>
      <w:r>
        <w:rPr>
          <w:color w:val="231F20"/>
          <w:spacing w:val="-24"/>
          <w:w w:val="105"/>
        </w:rPr>
        <w:t> </w:t>
      </w:r>
      <w:r>
        <w:rPr>
          <w:color w:val="231F20"/>
          <w:w w:val="105"/>
        </w:rPr>
        <w:t>considerable</w:t>
      </w:r>
      <w:r>
        <w:rPr>
          <w:color w:val="231F20"/>
          <w:spacing w:val="-24"/>
          <w:w w:val="105"/>
        </w:rPr>
        <w:t> </w:t>
      </w:r>
      <w:r>
        <w:rPr>
          <w:color w:val="231F20"/>
          <w:w w:val="105"/>
        </w:rPr>
        <w:t>de</w:t>
      </w:r>
      <w:r>
        <w:rPr>
          <w:color w:val="231F20"/>
          <w:spacing w:val="-24"/>
          <w:w w:val="105"/>
        </w:rPr>
        <w:t> </w:t>
      </w:r>
      <w:r>
        <w:rPr>
          <w:color w:val="231F20"/>
          <w:w w:val="105"/>
        </w:rPr>
        <w:t>reproducciones</w:t>
      </w:r>
      <w:r>
        <w:rPr>
          <w:color w:val="231F20"/>
          <w:spacing w:val="-24"/>
          <w:w w:val="105"/>
        </w:rPr>
        <w:t> </w:t>
      </w:r>
      <w:r>
        <w:rPr>
          <w:color w:val="231F20"/>
          <w:w w:val="105"/>
        </w:rPr>
        <w:t>de</w:t>
      </w:r>
      <w:r>
        <w:rPr>
          <w:color w:val="231F20"/>
          <w:spacing w:val="-23"/>
          <w:w w:val="105"/>
        </w:rPr>
        <w:t> </w:t>
      </w:r>
      <w:r>
        <w:rPr>
          <w:rFonts w:ascii="Times New Roman" w:hAnsi="Times New Roman"/>
          <w:i/>
          <w:color w:val="231F20"/>
          <w:w w:val="105"/>
          <w:sz w:val="22"/>
        </w:rPr>
        <w:t>ψ</w:t>
      </w:r>
      <w:r>
        <w:rPr>
          <w:rFonts w:ascii="Times New Roman" w:hAnsi="Times New Roman"/>
          <w:i/>
          <w:color w:val="231F20"/>
          <w:spacing w:val="-36"/>
          <w:w w:val="105"/>
          <w:sz w:val="22"/>
        </w:rPr>
        <w:t> </w:t>
      </w:r>
      <w:r>
        <w:rPr>
          <w:color w:val="231F20"/>
          <w:w w:val="105"/>
        </w:rPr>
        <w:t>(</w:t>
      </w:r>
      <w:r>
        <w:rPr>
          <w:rFonts w:ascii="Times New Roman" w:hAnsi="Times New Roman"/>
          <w:i/>
          <w:color w:val="231F20"/>
          <w:w w:val="105"/>
          <w:sz w:val="22"/>
        </w:rPr>
        <w:t>x</w:t>
      </w:r>
      <w:r>
        <w:rPr>
          <w:rFonts w:ascii="Times New Roman" w:hAnsi="Times New Roman"/>
          <w:i/>
          <w:color w:val="231F20"/>
          <w:w w:val="105"/>
          <w:position w:val="-4"/>
          <w:sz w:val="13"/>
        </w:rPr>
        <w:t>opt</w:t>
      </w:r>
      <w:r>
        <w:rPr>
          <w:color w:val="231F20"/>
          <w:w w:val="105"/>
        </w:rPr>
        <w:t>).</w:t>
      </w:r>
    </w:p>
    <w:p>
      <w:pPr>
        <w:pStyle w:val="BodyText"/>
        <w:rPr>
          <w:sz w:val="20"/>
        </w:rPr>
      </w:pPr>
    </w:p>
    <w:p>
      <w:pPr>
        <w:pStyle w:val="BodyText"/>
        <w:rPr>
          <w:sz w:val="20"/>
        </w:rPr>
      </w:pPr>
    </w:p>
    <w:p>
      <w:pPr>
        <w:pStyle w:val="BodyText"/>
        <w:spacing w:before="1"/>
        <w:rPr>
          <w:sz w:val="20"/>
        </w:rPr>
      </w:pPr>
    </w:p>
    <w:p>
      <w:pPr>
        <w:tabs>
          <w:tab w:pos="1317" w:val="left" w:leader="none"/>
        </w:tabs>
        <w:spacing w:before="71"/>
        <w:ind w:left="212" w:right="114" w:firstLine="0"/>
        <w:jc w:val="left"/>
        <w:rPr>
          <w:rFonts w:ascii="Calibri" w:hAnsi="Calibri"/>
          <w:sz w:val="15"/>
        </w:rPr>
      </w:pPr>
      <w:r>
        <w:rPr/>
        <w:pict>
          <v:group style="position:absolute;margin-left:101.817299pt;margin-top:-16.749887pt;width:17.850pt;height:56.5pt;mso-position-horizontal-relative:page;mso-position-vertical-relative:paragraph;z-index:-239848"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222</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28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280" w:right="1140"/>
        </w:sectPr>
      </w:pPr>
    </w:p>
    <w:p>
      <w:pPr>
        <w:spacing w:line="180" w:lineRule="exact" w:before="61"/>
        <w:ind w:left="2189" w:right="-10" w:firstLine="628"/>
        <w:jc w:val="left"/>
        <w:rPr>
          <w:rFonts w:ascii="Lucida Sans Unicode" w:hAnsi="Lucida Sans Unicode"/>
          <w:sz w:val="14"/>
        </w:rPr>
      </w:pPr>
      <w:r>
        <w:rPr/>
        <w:pict>
          <v:line style="position:absolute;mso-position-horizontal-relative:page;mso-position-vertical-relative:paragraph;z-index:812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223</w:t>
      </w:r>
    </w:p>
    <w:p>
      <w:pPr>
        <w:spacing w:after="0"/>
        <w:jc w:val="left"/>
        <w:rPr>
          <w:sz w:val="20"/>
        </w:rPr>
        <w:sectPr>
          <w:type w:val="continuous"/>
          <w:pgSz w:w="9640" w:h="13890"/>
          <w:pgMar w:top="1300" w:bottom="280" w:left="1280" w:right="1140"/>
          <w:cols w:num="2" w:equalWidth="0">
            <w:col w:w="6281" w:space="40"/>
            <w:col w:w="899"/>
          </w:cols>
        </w:sectPr>
      </w:pPr>
    </w:p>
    <w:p>
      <w:pPr>
        <w:pStyle w:val="BodyText"/>
        <w:rPr>
          <w:sz w:val="20"/>
        </w:rPr>
      </w:pPr>
    </w:p>
    <w:p>
      <w:pPr>
        <w:pStyle w:val="BodyText"/>
        <w:spacing w:before="1"/>
        <w:rPr>
          <w:sz w:val="18"/>
        </w:rPr>
      </w:pPr>
    </w:p>
    <w:p>
      <w:pPr>
        <w:pStyle w:val="BodyText"/>
        <w:spacing w:line="259" w:lineRule="auto" w:before="57"/>
        <w:ind w:left="108" w:right="119"/>
        <w:jc w:val="both"/>
      </w:pPr>
      <w:r>
        <w:rPr/>
        <w:drawing>
          <wp:anchor distT="0" distB="0" distL="0" distR="0" allowOverlap="1" layoutInCell="1" locked="0" behindDoc="1" simplePos="0" relativeHeight="268195679">
            <wp:simplePos x="0" y="0"/>
            <wp:positionH relativeFrom="page">
              <wp:posOffset>882002</wp:posOffset>
            </wp:positionH>
            <wp:positionV relativeFrom="paragraph">
              <wp:posOffset>500623</wp:posOffset>
            </wp:positionV>
            <wp:extent cx="1481963" cy="274688"/>
            <wp:effectExtent l="0" t="0" r="0" b="0"/>
            <wp:wrapNone/>
            <wp:docPr id="99" name="image96.png" descr=""/>
            <wp:cNvGraphicFramePr>
              <a:graphicFrameLocks noChangeAspect="1"/>
            </wp:cNvGraphicFramePr>
            <a:graphic>
              <a:graphicData uri="http://schemas.openxmlformats.org/drawingml/2006/picture">
                <pic:pic>
                  <pic:nvPicPr>
                    <pic:cNvPr id="100" name="image96.png"/>
                    <pic:cNvPicPr/>
                  </pic:nvPicPr>
                  <pic:blipFill>
                    <a:blip r:embed="rId120" cstate="print"/>
                    <a:stretch>
                      <a:fillRect/>
                    </a:stretch>
                  </pic:blipFill>
                  <pic:spPr>
                    <a:xfrm>
                      <a:off x="0" y="0"/>
                      <a:ext cx="1481963" cy="274688"/>
                    </a:xfrm>
                    <a:prstGeom prst="rect">
                      <a:avLst/>
                    </a:prstGeom>
                  </pic:spPr>
                </pic:pic>
              </a:graphicData>
            </a:graphic>
          </wp:anchor>
        </w:drawing>
      </w:r>
      <w:r>
        <w:rPr>
          <w:color w:val="231F20"/>
          <w:spacing w:val="-4"/>
          <w:w w:val="105"/>
        </w:rPr>
        <w:t>Para</w:t>
      </w:r>
      <w:r>
        <w:rPr>
          <w:color w:val="231F20"/>
          <w:spacing w:val="-22"/>
          <w:w w:val="105"/>
        </w:rPr>
        <w:t> </w:t>
      </w:r>
      <w:r>
        <w:rPr>
          <w:color w:val="231F20"/>
          <w:w w:val="105"/>
        </w:rPr>
        <w:t>lograr</w:t>
      </w:r>
      <w:r>
        <w:rPr>
          <w:color w:val="231F20"/>
          <w:spacing w:val="-22"/>
          <w:w w:val="105"/>
        </w:rPr>
        <w:t> </w:t>
      </w:r>
      <w:r>
        <w:rPr>
          <w:color w:val="231F20"/>
          <w:w w:val="105"/>
        </w:rPr>
        <w:t>esto</w:t>
      </w:r>
      <w:r>
        <w:rPr>
          <w:color w:val="231F20"/>
          <w:spacing w:val="-22"/>
          <w:w w:val="105"/>
        </w:rPr>
        <w:t> </w:t>
      </w:r>
      <w:r>
        <w:rPr>
          <w:color w:val="231F20"/>
          <w:w w:val="105"/>
        </w:rPr>
        <w:t>se</w:t>
      </w:r>
      <w:r>
        <w:rPr>
          <w:color w:val="231F20"/>
          <w:spacing w:val="-22"/>
          <w:w w:val="105"/>
        </w:rPr>
        <w:t> </w:t>
      </w:r>
      <w:r>
        <w:rPr>
          <w:color w:val="231F20"/>
          <w:w w:val="105"/>
        </w:rPr>
        <w:t>realizaron</w:t>
      </w:r>
      <w:r>
        <w:rPr>
          <w:color w:val="231F20"/>
          <w:spacing w:val="-22"/>
          <w:w w:val="105"/>
        </w:rPr>
        <w:t> </w:t>
      </w:r>
      <w:r>
        <w:rPr>
          <w:color w:val="231F20"/>
          <w:w w:val="105"/>
        </w:rPr>
        <w:t>100</w:t>
      </w:r>
      <w:r>
        <w:rPr>
          <w:color w:val="231F20"/>
          <w:spacing w:val="-22"/>
          <w:w w:val="105"/>
        </w:rPr>
        <w:t> </w:t>
      </w:r>
      <w:r>
        <w:rPr>
          <w:color w:val="231F20"/>
          <w:w w:val="105"/>
        </w:rPr>
        <w:t>ejecuciones</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mismo</w:t>
      </w:r>
      <w:r>
        <w:rPr>
          <w:color w:val="231F20"/>
          <w:spacing w:val="-22"/>
          <w:w w:val="105"/>
        </w:rPr>
        <w:t> </w:t>
      </w:r>
      <w:r>
        <w:rPr>
          <w:color w:val="231F20"/>
          <w:w w:val="105"/>
        </w:rPr>
        <w:t>experimento</w:t>
      </w:r>
      <w:r>
        <w:rPr>
          <w:color w:val="231F20"/>
          <w:spacing w:val="-22"/>
          <w:w w:val="105"/>
        </w:rPr>
        <w:t> </w:t>
      </w:r>
      <w:r>
        <w:rPr>
          <w:color w:val="231F20"/>
          <w:w w:val="105"/>
        </w:rPr>
        <w:t>se repitó</w:t>
      </w:r>
      <w:r>
        <w:rPr>
          <w:color w:val="231F20"/>
          <w:spacing w:val="-23"/>
          <w:w w:val="105"/>
        </w:rPr>
        <w:t> </w:t>
      </w:r>
      <w:r>
        <w:rPr>
          <w:color w:val="231F20"/>
          <w:w w:val="105"/>
        </w:rPr>
        <w:t>50</w:t>
      </w:r>
      <w:r>
        <w:rPr>
          <w:color w:val="231F20"/>
          <w:spacing w:val="-23"/>
          <w:w w:val="105"/>
        </w:rPr>
        <w:t> </w:t>
      </w:r>
      <w:r>
        <w:rPr>
          <w:color w:val="231F20"/>
          <w:w w:val="105"/>
        </w:rPr>
        <w:t>veces</w:t>
      </w:r>
      <w:r>
        <w:rPr>
          <w:color w:val="231F20"/>
          <w:spacing w:val="-23"/>
          <w:w w:val="105"/>
        </w:rPr>
        <w:t> </w:t>
      </w:r>
      <w:r>
        <w:rPr>
          <w:color w:val="231F20"/>
          <w:w w:val="105"/>
        </w:rPr>
        <w:t>(mayor</w:t>
      </w:r>
      <w:r>
        <w:rPr>
          <w:color w:val="231F20"/>
          <w:spacing w:val="-23"/>
          <w:w w:val="105"/>
        </w:rPr>
        <w:t> </w:t>
      </w:r>
      <w:r>
        <w:rPr>
          <w:color w:val="231F20"/>
          <w:w w:val="105"/>
        </w:rPr>
        <w:t>a</w:t>
      </w:r>
      <w:r>
        <w:rPr>
          <w:color w:val="231F20"/>
          <w:spacing w:val="-23"/>
          <w:w w:val="105"/>
        </w:rPr>
        <w:t> </w:t>
      </w:r>
      <w:r>
        <w:rPr>
          <w:color w:val="231F20"/>
          <w:w w:val="105"/>
        </w:rPr>
        <w:t>30)</w:t>
      </w:r>
      <w:r>
        <w:rPr>
          <w:color w:val="231F20"/>
          <w:spacing w:val="-23"/>
          <w:w w:val="105"/>
        </w:rPr>
        <w:t> </w:t>
      </w:r>
      <w:r>
        <w:rPr>
          <w:color w:val="231F20"/>
          <w:w w:val="105"/>
        </w:rPr>
        <w:t>con</w:t>
      </w:r>
      <w:r>
        <w:rPr>
          <w:color w:val="231F20"/>
          <w:spacing w:val="-23"/>
          <w:w w:val="105"/>
        </w:rPr>
        <w:t> </w:t>
      </w:r>
      <w:r>
        <w:rPr>
          <w:color w:val="231F20"/>
          <w:w w:val="105"/>
        </w:rPr>
        <w:t>el</w:t>
      </w:r>
      <w:r>
        <w:rPr>
          <w:color w:val="231F20"/>
          <w:spacing w:val="-23"/>
          <w:w w:val="105"/>
        </w:rPr>
        <w:t> </w:t>
      </w:r>
      <w:r>
        <w:rPr>
          <w:color w:val="231F20"/>
          <w:w w:val="105"/>
        </w:rPr>
        <w:t>propósito</w:t>
      </w:r>
      <w:r>
        <w:rPr>
          <w:color w:val="231F20"/>
          <w:spacing w:val="-23"/>
          <w:w w:val="105"/>
        </w:rPr>
        <w:t> </w:t>
      </w:r>
      <w:r>
        <w:rPr>
          <w:color w:val="231F20"/>
          <w:w w:val="105"/>
        </w:rPr>
        <w:t>de</w:t>
      </w:r>
      <w:r>
        <w:rPr>
          <w:color w:val="231F20"/>
          <w:spacing w:val="-23"/>
          <w:w w:val="105"/>
        </w:rPr>
        <w:t> </w:t>
      </w:r>
      <w:r>
        <w:rPr>
          <w:color w:val="231F20"/>
          <w:w w:val="105"/>
        </w:rPr>
        <w:t>hacer</w:t>
      </w:r>
      <w:r>
        <w:rPr>
          <w:color w:val="231F20"/>
          <w:spacing w:val="-23"/>
          <w:w w:val="105"/>
        </w:rPr>
        <w:t> </w:t>
      </w:r>
      <w:r>
        <w:rPr>
          <w:color w:val="231F20"/>
          <w:w w:val="105"/>
        </w:rPr>
        <w:t>la</w:t>
      </w:r>
      <w:r>
        <w:rPr>
          <w:color w:val="231F20"/>
          <w:spacing w:val="-23"/>
          <w:w w:val="105"/>
        </w:rPr>
        <w:t> </w:t>
      </w:r>
      <w:r>
        <w:rPr>
          <w:color w:val="231F20"/>
          <w:w w:val="105"/>
        </w:rPr>
        <w:t>nueva</w:t>
      </w:r>
      <w:r>
        <w:rPr>
          <w:color w:val="231F20"/>
          <w:spacing w:val="-23"/>
          <w:w w:val="105"/>
        </w:rPr>
        <w:t> </w:t>
      </w:r>
      <w:r>
        <w:rPr>
          <w:color w:val="231F20"/>
          <w:w w:val="105"/>
        </w:rPr>
        <w:t>prueba</w:t>
      </w:r>
      <w:r>
        <w:rPr>
          <w:color w:val="231F20"/>
          <w:spacing w:val="-23"/>
          <w:w w:val="105"/>
        </w:rPr>
        <w:t> </w:t>
      </w:r>
      <w:r>
        <w:rPr>
          <w:color w:val="231F20"/>
          <w:w w:val="105"/>
        </w:rPr>
        <w:t>de hipótesis</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forma</w:t>
      </w:r>
      <w:r>
        <w:rPr>
          <w:color w:val="231F20"/>
          <w:spacing w:val="-11"/>
          <w:w w:val="105"/>
        </w:rPr>
        <w:t> </w:t>
      </w:r>
      <w:r>
        <w:rPr>
          <w:color w:val="231F20"/>
          <w:w w:val="105"/>
        </w:rPr>
        <w:t>como</w:t>
      </w:r>
      <w:r>
        <w:rPr>
          <w:color w:val="231F20"/>
          <w:spacing w:val="-11"/>
          <w:w w:val="105"/>
        </w:rPr>
        <w:t> </w:t>
      </w:r>
      <w:r>
        <w:rPr>
          <w:color w:val="231F20"/>
          <w:w w:val="105"/>
        </w:rPr>
        <w:t>se</w:t>
      </w:r>
      <w:r>
        <w:rPr>
          <w:color w:val="231F20"/>
          <w:spacing w:val="-11"/>
          <w:w w:val="105"/>
        </w:rPr>
        <w:t> </w:t>
      </w:r>
      <w:r>
        <w:rPr>
          <w:color w:val="231F20"/>
          <w:w w:val="105"/>
        </w:rPr>
        <w:t>distribuye</w:t>
      </w:r>
      <w:r>
        <w:rPr>
          <w:color w:val="231F20"/>
          <w:spacing w:val="-11"/>
          <w:w w:val="105"/>
        </w:rPr>
        <w:t> </w:t>
      </w:r>
      <w:r>
        <w:rPr>
          <w:color w:val="231F20"/>
          <w:w w:val="105"/>
        </w:rPr>
        <w:t>el</w:t>
      </w:r>
      <w:r>
        <w:rPr>
          <w:color w:val="231F20"/>
          <w:spacing w:val="-11"/>
          <w:w w:val="105"/>
        </w:rPr>
        <w:t> </w:t>
      </w:r>
      <w:r>
        <w:rPr>
          <w:color w:val="231F20"/>
          <w:w w:val="105"/>
        </w:rPr>
        <w:t>conjunto</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50</w:t>
      </w:r>
      <w:r>
        <w:rPr>
          <w:color w:val="231F20"/>
          <w:spacing w:val="-11"/>
          <w:w w:val="105"/>
        </w:rPr>
        <w:t> </w:t>
      </w:r>
      <w:r>
        <w:rPr>
          <w:color w:val="231F20"/>
          <w:w w:val="105"/>
        </w:rPr>
        <w:t>medias</w:t>
      </w:r>
    </w:p>
    <w:p>
      <w:pPr>
        <w:pStyle w:val="BodyText"/>
        <w:rPr>
          <w:sz w:val="20"/>
        </w:rPr>
      </w:pPr>
    </w:p>
    <w:p>
      <w:pPr>
        <w:pStyle w:val="BodyText"/>
        <w:spacing w:line="275" w:lineRule="exact" w:before="191"/>
        <w:ind w:left="675"/>
      </w:pPr>
      <w:r>
        <w:rPr/>
        <w:drawing>
          <wp:anchor distT="0" distB="0" distL="0" distR="0" allowOverlap="1" layoutInCell="1" locked="0" behindDoc="1" simplePos="0" relativeHeight="268195703">
            <wp:simplePos x="0" y="0"/>
            <wp:positionH relativeFrom="page">
              <wp:posOffset>882002</wp:posOffset>
            </wp:positionH>
            <wp:positionV relativeFrom="paragraph">
              <wp:posOffset>244599</wp:posOffset>
            </wp:positionV>
            <wp:extent cx="410400" cy="280207"/>
            <wp:effectExtent l="0" t="0" r="0" b="0"/>
            <wp:wrapNone/>
            <wp:docPr id="101" name="image97.png" descr=""/>
            <wp:cNvGraphicFramePr>
              <a:graphicFrameLocks noChangeAspect="1"/>
            </wp:cNvGraphicFramePr>
            <a:graphic>
              <a:graphicData uri="http://schemas.openxmlformats.org/drawingml/2006/picture">
                <pic:pic>
                  <pic:nvPicPr>
                    <pic:cNvPr id="102" name="image97.png"/>
                    <pic:cNvPicPr/>
                  </pic:nvPicPr>
                  <pic:blipFill>
                    <a:blip r:embed="rId121" cstate="print"/>
                    <a:stretch>
                      <a:fillRect/>
                    </a:stretch>
                  </pic:blipFill>
                  <pic:spPr>
                    <a:xfrm>
                      <a:off x="0" y="0"/>
                      <a:ext cx="410400" cy="280207"/>
                    </a:xfrm>
                    <a:prstGeom prst="rect">
                      <a:avLst/>
                    </a:prstGeom>
                  </pic:spPr>
                </pic:pic>
              </a:graphicData>
            </a:graphic>
          </wp:anchor>
        </w:drawing>
      </w:r>
      <w:r>
        <w:rPr>
          <w:color w:val="231F20"/>
          <w:w w:val="105"/>
        </w:rPr>
        <w:t>Por lo anterior, la nueva hipótesis nula </w:t>
      </w:r>
      <w:r>
        <w:rPr>
          <w:rFonts w:ascii="Times New Roman" w:hAnsi="Times New Roman"/>
          <w:i/>
          <w:color w:val="231F20"/>
          <w:w w:val="105"/>
          <w:sz w:val="22"/>
        </w:rPr>
        <w:t>H</w:t>
      </w:r>
      <w:r>
        <w:rPr>
          <w:color w:val="231F20"/>
          <w:w w:val="105"/>
          <w:position w:val="-4"/>
          <w:sz w:val="12"/>
        </w:rPr>
        <w:t>0 </w:t>
      </w:r>
      <w:r>
        <w:rPr>
          <w:color w:val="231F20"/>
          <w:w w:val="105"/>
        </w:rPr>
        <w:t>se formula para la media</w:t>
      </w:r>
    </w:p>
    <w:p>
      <w:pPr>
        <w:pStyle w:val="BodyText"/>
        <w:spacing w:line="235" w:lineRule="exact"/>
        <w:ind w:left="755"/>
      </w:pPr>
      <w:r>
        <w:rPr/>
        <w:pict>
          <v:group style="position:absolute;margin-left:140.070007pt;margin-top:1.272827pt;width:236.5pt;height:27.55pt;mso-position-horizontal-relative:page;mso-position-vertical-relative:paragraph;z-index:8224" coordorigin="2801,25" coordsize="4730,551">
            <v:shape style="position:absolute;left:2801;top:25;width:4729;height:550" type="#_x0000_t75" stroked="false">
              <v:imagedata r:id="rId122" o:title=""/>
            </v:shape>
            <v:shape style="position:absolute;left:5090;top:247;width:103;height:210" type="#_x0000_t202" filled="false" stroked="false">
              <v:textbox inset="0,0,0,0">
                <w:txbxContent>
                  <w:p>
                    <w:pPr>
                      <w:spacing w:line="198" w:lineRule="exact" w:before="0"/>
                      <w:ind w:left="0" w:right="0" w:firstLine="0"/>
                      <w:jc w:val="left"/>
                      <w:rPr>
                        <w:sz w:val="21"/>
                      </w:rPr>
                    </w:pPr>
                    <w:r>
                      <w:rPr>
                        <w:color w:val="231F20"/>
                        <w:w w:val="97"/>
                        <w:sz w:val="21"/>
                      </w:rPr>
                      <w:t>y</w:t>
                    </w:r>
                  </w:p>
                </w:txbxContent>
              </v:textbox>
              <w10:wrap type="none"/>
            </v:shape>
            <w10:wrap type="none"/>
          </v:group>
        </w:pict>
      </w:r>
      <w:r>
        <w:rPr>
          <w:color w:val="231F20"/>
          <w:w w:val="107"/>
        </w:rPr>
        <w:t>:</w:t>
      </w:r>
    </w:p>
    <w:p>
      <w:pPr>
        <w:pStyle w:val="BodyText"/>
        <w:rPr>
          <w:sz w:val="20"/>
        </w:rPr>
      </w:pPr>
    </w:p>
    <w:p>
      <w:pPr>
        <w:pStyle w:val="BodyText"/>
        <w:rPr>
          <w:sz w:val="19"/>
        </w:rPr>
      </w:pPr>
    </w:p>
    <w:p>
      <w:pPr>
        <w:pStyle w:val="BodyText"/>
        <w:spacing w:line="259" w:lineRule="auto"/>
        <w:ind w:left="108" w:right="119"/>
        <w:jc w:val="both"/>
      </w:pPr>
      <w:r>
        <w:rPr/>
        <w:drawing>
          <wp:anchor distT="0" distB="0" distL="0" distR="0" allowOverlap="1" layoutInCell="1" locked="0" behindDoc="0" simplePos="0" relativeHeight="8104">
            <wp:simplePos x="0" y="0"/>
            <wp:positionH relativeFrom="page">
              <wp:posOffset>2524332</wp:posOffset>
            </wp:positionH>
            <wp:positionV relativeFrom="paragraph">
              <wp:posOffset>549693</wp:posOffset>
            </wp:positionV>
            <wp:extent cx="1185672" cy="563879"/>
            <wp:effectExtent l="0" t="0" r="0" b="0"/>
            <wp:wrapTopAndBottom/>
            <wp:docPr id="103" name="image99.png" descr=""/>
            <wp:cNvGraphicFramePr>
              <a:graphicFrameLocks noChangeAspect="1"/>
            </wp:cNvGraphicFramePr>
            <a:graphic>
              <a:graphicData uri="http://schemas.openxmlformats.org/drawingml/2006/picture">
                <pic:pic>
                  <pic:nvPicPr>
                    <pic:cNvPr id="104" name="image99.png"/>
                    <pic:cNvPicPr/>
                  </pic:nvPicPr>
                  <pic:blipFill>
                    <a:blip r:embed="rId123" cstate="print"/>
                    <a:stretch>
                      <a:fillRect/>
                    </a:stretch>
                  </pic:blipFill>
                  <pic:spPr>
                    <a:xfrm>
                      <a:off x="0" y="0"/>
                      <a:ext cx="1185672" cy="563879"/>
                    </a:xfrm>
                    <a:prstGeom prst="rect">
                      <a:avLst/>
                    </a:prstGeom>
                  </pic:spPr>
                </pic:pic>
              </a:graphicData>
            </a:graphic>
          </wp:anchor>
        </w:drawing>
      </w:r>
      <w:r>
        <w:rPr>
          <w:color w:val="231F20"/>
          <w:w w:val="105"/>
        </w:rPr>
        <w:t>lo cual se diseña considerando los resultados empíricos muestrales ob- tenidos de 50 repeticiones. Valiéndose del teorema de límite central se obtiene el estadístico para la prueba de hipótesis</w:t>
      </w:r>
    </w:p>
    <w:p>
      <w:pPr>
        <w:pStyle w:val="BodyText"/>
        <w:tabs>
          <w:tab w:pos="1081" w:val="left" w:leader="none"/>
        </w:tabs>
        <w:spacing w:line="260" w:lineRule="exact" w:before="26"/>
        <w:ind w:left="108" w:right="119"/>
        <w:jc w:val="both"/>
      </w:pPr>
      <w:r>
        <w:rPr>
          <w:color w:val="231F20"/>
          <w:w w:val="105"/>
        </w:rPr>
        <w:t>donde</w:t>
      </w:r>
      <w:r>
        <w:rPr>
          <w:color w:val="231F20"/>
          <w:spacing w:val="-5"/>
          <w:w w:val="105"/>
        </w:rPr>
        <w:t> </w:t>
      </w:r>
      <w:r>
        <w:rPr>
          <w:color w:val="231F20"/>
          <w:w w:val="105"/>
        </w:rPr>
        <w:t>se</w:t>
      </w:r>
      <w:r>
        <w:rPr>
          <w:color w:val="231F20"/>
          <w:spacing w:val="-5"/>
          <w:w w:val="105"/>
        </w:rPr>
        <w:t> </w:t>
      </w:r>
      <w:r>
        <w:rPr>
          <w:color w:val="231F20"/>
          <w:w w:val="105"/>
        </w:rPr>
        <w:t>indica</w:t>
      </w:r>
      <w:r>
        <w:rPr>
          <w:color w:val="231F20"/>
          <w:spacing w:val="-5"/>
          <w:w w:val="105"/>
        </w:rPr>
        <w:t> </w:t>
      </w:r>
      <w:r>
        <w:rPr>
          <w:color w:val="231F20"/>
          <w:w w:val="105"/>
        </w:rPr>
        <w:t>la</w:t>
      </w:r>
      <w:r>
        <w:rPr>
          <w:color w:val="231F20"/>
          <w:spacing w:val="-5"/>
          <w:w w:val="105"/>
        </w:rPr>
        <w:t> </w:t>
      </w:r>
      <w:r>
        <w:rPr>
          <w:color w:val="231F20"/>
          <w:w w:val="105"/>
        </w:rPr>
        <w:t>desviación</w:t>
      </w:r>
      <w:r>
        <w:rPr>
          <w:color w:val="231F20"/>
          <w:spacing w:val="-5"/>
          <w:w w:val="105"/>
        </w:rPr>
        <w:t> </w:t>
      </w:r>
      <w:r>
        <w:rPr>
          <w:color w:val="231F20"/>
          <w:w w:val="105"/>
        </w:rPr>
        <w:t>estándar</w:t>
      </w:r>
      <w:r>
        <w:rPr>
          <w:color w:val="231F20"/>
          <w:spacing w:val="-5"/>
          <w:w w:val="105"/>
        </w:rPr>
        <w:t> </w:t>
      </w:r>
      <w:r>
        <w:rPr>
          <w:color w:val="231F20"/>
          <w:w w:val="105"/>
        </w:rPr>
        <w:t>muestral</w:t>
      </w:r>
      <w:r>
        <w:rPr>
          <w:color w:val="231F20"/>
          <w:spacing w:val="-5"/>
          <w:w w:val="105"/>
        </w:rPr>
        <w:t> </w:t>
      </w:r>
      <w:r>
        <w:rPr>
          <w:rFonts w:ascii="Times New Roman" w:hAnsi="Times New Roman"/>
          <w:i/>
          <w:color w:val="231F20"/>
          <w:w w:val="105"/>
          <w:sz w:val="22"/>
        </w:rPr>
        <w:t>s</w:t>
      </w:r>
      <w:r>
        <w:rPr>
          <w:color w:val="231F20"/>
          <w:w w:val="105"/>
        </w:rPr>
        <w:t>,</w:t>
      </w:r>
      <w:r>
        <w:rPr>
          <w:color w:val="231F20"/>
          <w:spacing w:val="-10"/>
          <w:w w:val="105"/>
        </w:rPr>
        <w:t> </w:t>
      </w:r>
      <w:r>
        <w:rPr>
          <w:color w:val="231F20"/>
          <w:w w:val="105"/>
        </w:rPr>
        <w:t>que</w:t>
      </w:r>
      <w:r>
        <w:rPr>
          <w:color w:val="231F20"/>
          <w:spacing w:val="-5"/>
          <w:w w:val="105"/>
        </w:rPr>
        <w:t> </w:t>
      </w:r>
      <w:r>
        <w:rPr>
          <w:color w:val="231F20"/>
          <w:w w:val="105"/>
        </w:rPr>
        <w:t>aproxima</w:t>
      </w:r>
      <w:r>
        <w:rPr>
          <w:color w:val="231F20"/>
          <w:spacing w:val="-5"/>
          <w:w w:val="105"/>
        </w:rPr>
        <w:t> </w:t>
      </w:r>
      <w:r>
        <w:rPr>
          <w:color w:val="231F20"/>
          <w:w w:val="105"/>
        </w:rPr>
        <w:t>la</w:t>
      </w:r>
      <w:r>
        <w:rPr>
          <w:color w:val="231F20"/>
          <w:spacing w:val="-5"/>
          <w:w w:val="105"/>
        </w:rPr>
        <w:t> </w:t>
      </w:r>
      <w:r>
        <w:rPr>
          <w:color w:val="231F20"/>
          <w:w w:val="105"/>
        </w:rPr>
        <w:t>des- viación</w:t>
      </w:r>
      <w:r>
        <w:rPr>
          <w:color w:val="231F20"/>
          <w:spacing w:val="-28"/>
          <w:w w:val="105"/>
        </w:rPr>
        <w:t> </w:t>
      </w:r>
      <w:r>
        <w:rPr>
          <w:color w:val="231F20"/>
          <w:w w:val="105"/>
        </w:rPr>
        <w:t>estándar</w:t>
      </w:r>
      <w:r>
        <w:rPr>
          <w:color w:val="231F20"/>
          <w:spacing w:val="-28"/>
          <w:w w:val="105"/>
        </w:rPr>
        <w:t> </w:t>
      </w:r>
      <w:r>
        <w:rPr>
          <w:color w:val="231F20"/>
          <w:w w:val="105"/>
        </w:rPr>
        <w:t>poblacional</w:t>
      </w:r>
      <w:r>
        <w:rPr>
          <w:color w:val="231F20"/>
          <w:spacing w:val="-28"/>
          <w:w w:val="105"/>
        </w:rPr>
        <w:t> </w:t>
      </w:r>
      <w:r>
        <w:rPr>
          <w:rFonts w:ascii="Times New Roman" w:hAnsi="Times New Roman"/>
          <w:i/>
          <w:color w:val="231F20"/>
          <w:w w:val="105"/>
          <w:sz w:val="22"/>
        </w:rPr>
        <w:t>σ</w:t>
      </w:r>
      <w:r>
        <w:rPr>
          <w:rFonts w:ascii="Times New Roman" w:hAnsi="Times New Roman"/>
          <w:i/>
          <w:color w:val="231F20"/>
          <w:w w:val="105"/>
          <w:position w:val="-4"/>
          <w:sz w:val="13"/>
        </w:rPr>
        <w:t>pob</w:t>
      </w:r>
      <w:r>
        <w:rPr>
          <w:rFonts w:ascii="Times New Roman" w:hAnsi="Times New Roman"/>
          <w:i/>
          <w:color w:val="231F20"/>
          <w:spacing w:val="-23"/>
          <w:w w:val="105"/>
          <w:position w:val="-4"/>
          <w:sz w:val="13"/>
        </w:rPr>
        <w:t> </w:t>
      </w:r>
      <w:r>
        <w:rPr>
          <w:color w:val="231F20"/>
          <w:w w:val="105"/>
        </w:rPr>
        <w:t>,</w:t>
      </w:r>
      <w:r>
        <w:rPr>
          <w:color w:val="231F20"/>
          <w:spacing w:val="-34"/>
          <w:w w:val="105"/>
        </w:rPr>
        <w:t> </w:t>
      </w:r>
      <w:r>
        <w:rPr>
          <w:color w:val="231F20"/>
          <w:w w:val="105"/>
        </w:rPr>
        <w:t>que</w:t>
      </w:r>
      <w:r>
        <w:rPr>
          <w:color w:val="231F20"/>
          <w:spacing w:val="-28"/>
          <w:w w:val="105"/>
        </w:rPr>
        <w:t> </w:t>
      </w:r>
      <w:r>
        <w:rPr>
          <w:color w:val="231F20"/>
          <w:w w:val="105"/>
        </w:rPr>
        <w:t>en</w:t>
      </w:r>
      <w:r>
        <w:rPr>
          <w:color w:val="231F20"/>
          <w:spacing w:val="-28"/>
          <w:w w:val="105"/>
        </w:rPr>
        <w:t> </w:t>
      </w:r>
      <w:r>
        <w:rPr>
          <w:color w:val="231F20"/>
          <w:w w:val="105"/>
        </w:rPr>
        <w:t>este</w:t>
      </w:r>
      <w:r>
        <w:rPr>
          <w:color w:val="231F20"/>
          <w:spacing w:val="-28"/>
          <w:w w:val="105"/>
        </w:rPr>
        <w:t> </w:t>
      </w:r>
      <w:r>
        <w:rPr>
          <w:color w:val="231F20"/>
          <w:w w:val="105"/>
        </w:rPr>
        <w:t>caso</w:t>
      </w:r>
      <w:r>
        <w:rPr>
          <w:color w:val="231F20"/>
          <w:spacing w:val="-28"/>
          <w:w w:val="105"/>
        </w:rPr>
        <w:t> </w:t>
      </w:r>
      <w:r>
        <w:rPr>
          <w:color w:val="231F20"/>
          <w:w w:val="105"/>
        </w:rPr>
        <w:t>es</w:t>
      </w:r>
      <w:r>
        <w:rPr>
          <w:color w:val="231F20"/>
          <w:spacing w:val="-28"/>
          <w:w w:val="105"/>
        </w:rPr>
        <w:t> </w:t>
      </w:r>
      <w:r>
        <w:rPr>
          <w:color w:val="231F20"/>
          <w:w w:val="105"/>
        </w:rPr>
        <w:t>desconocida.</w:t>
      </w:r>
      <w:r>
        <w:rPr>
          <w:color w:val="231F20"/>
          <w:spacing w:val="-34"/>
          <w:w w:val="105"/>
        </w:rPr>
        <w:t> </w:t>
      </w:r>
      <w:r>
        <w:rPr>
          <w:color w:val="231F20"/>
          <w:w w:val="105"/>
        </w:rPr>
        <w:t>El</w:t>
      </w:r>
      <w:r>
        <w:rPr>
          <w:color w:val="231F20"/>
          <w:spacing w:val="-28"/>
          <w:w w:val="105"/>
        </w:rPr>
        <w:t> </w:t>
      </w:r>
      <w:r>
        <w:rPr>
          <w:color w:val="231F20"/>
          <w:w w:val="105"/>
        </w:rPr>
        <w:t>cál- culo</w:t>
      </w:r>
      <w:r>
        <w:rPr>
          <w:color w:val="231F20"/>
          <w:spacing w:val="-14"/>
          <w:w w:val="105"/>
        </w:rPr>
        <w:t> </w:t>
      </w:r>
      <w:r>
        <w:rPr>
          <w:color w:val="231F20"/>
          <w:w w:val="105"/>
        </w:rPr>
        <w:t>de</w:t>
      </w:r>
      <w:r>
        <w:rPr>
          <w:color w:val="231F20"/>
          <w:spacing w:val="-14"/>
          <w:w w:val="105"/>
        </w:rPr>
        <w:t> </w:t>
      </w:r>
      <w:r>
        <w:rPr>
          <w:rFonts w:ascii="Times New Roman" w:hAnsi="Times New Roman"/>
          <w:i/>
          <w:color w:val="231F20"/>
          <w:w w:val="105"/>
          <w:sz w:val="22"/>
        </w:rPr>
        <w:t>s</w:t>
      </w:r>
      <w:r>
        <w:rPr>
          <w:rFonts w:ascii="Times New Roman" w:hAnsi="Times New Roman"/>
          <w:i/>
          <w:color w:val="231F20"/>
          <w:spacing w:val="-11"/>
          <w:w w:val="105"/>
          <w:sz w:val="22"/>
        </w:rPr>
        <w:t> </w:t>
      </w:r>
      <w:r>
        <w:rPr>
          <w:color w:val="231F20"/>
          <w:w w:val="105"/>
        </w:rPr>
        <w:t>se</w:t>
      </w:r>
      <w:r>
        <w:rPr>
          <w:color w:val="231F20"/>
          <w:spacing w:val="-14"/>
          <w:w w:val="105"/>
        </w:rPr>
        <w:t> </w:t>
      </w:r>
      <w:r>
        <w:rPr>
          <w:color w:val="231F20"/>
          <w:w w:val="105"/>
        </w:rPr>
        <w:t>hace</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forma</w:t>
      </w:r>
      <w:r>
        <w:rPr>
          <w:color w:val="231F20"/>
          <w:spacing w:val="-14"/>
          <w:w w:val="105"/>
        </w:rPr>
        <w:t> </w:t>
      </w:r>
      <w:r>
        <w:rPr>
          <w:color w:val="231F20"/>
          <w:w w:val="105"/>
        </w:rPr>
        <w:t>ordinaria</w:t>
      </w:r>
      <w:r>
        <w:rPr>
          <w:color w:val="231F20"/>
          <w:spacing w:val="-14"/>
          <w:w w:val="105"/>
        </w:rPr>
        <w:t> </w:t>
      </w:r>
      <w:r>
        <w:rPr>
          <w:color w:val="231F20"/>
          <w:w w:val="105"/>
        </w:rPr>
        <w:t>a</w:t>
      </w:r>
      <w:r>
        <w:rPr>
          <w:color w:val="231F20"/>
          <w:spacing w:val="-14"/>
          <w:w w:val="105"/>
        </w:rPr>
        <w:t> </w:t>
      </w:r>
      <w:r>
        <w:rPr>
          <w:color w:val="231F20"/>
          <w:w w:val="105"/>
        </w:rPr>
        <w:t>partir</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50</w:t>
      </w:r>
      <w:r>
        <w:rPr>
          <w:color w:val="231F20"/>
          <w:spacing w:val="-14"/>
          <w:w w:val="105"/>
        </w:rPr>
        <w:t> </w:t>
      </w:r>
      <w:r>
        <w:rPr>
          <w:color w:val="231F20"/>
          <w:w w:val="105"/>
        </w:rPr>
        <w:t>medias</w:t>
      </w:r>
      <w:r>
        <w:rPr>
          <w:color w:val="231F20"/>
          <w:spacing w:val="-14"/>
          <w:w w:val="105"/>
        </w:rPr>
        <w:t> </w:t>
      </w:r>
      <w:r>
        <w:rPr>
          <w:color w:val="231F20"/>
          <w:w w:val="105"/>
        </w:rPr>
        <w:t>muestra- les</w:t>
        <w:tab/>
        <w:t>.</w:t>
      </w:r>
      <w:r>
        <w:rPr>
          <w:color w:val="231F20"/>
          <w:spacing w:val="-19"/>
          <w:w w:val="105"/>
        </w:rPr>
        <w:t> </w:t>
      </w:r>
      <w:r>
        <w:rPr>
          <w:color w:val="231F20"/>
          <w:w w:val="105"/>
        </w:rPr>
        <w:t>La</w:t>
      </w:r>
      <w:r>
        <w:rPr>
          <w:color w:val="231F20"/>
          <w:spacing w:val="-14"/>
          <w:w w:val="105"/>
        </w:rPr>
        <w:t> </w:t>
      </w:r>
      <w:r>
        <w:rPr>
          <w:color w:val="231F20"/>
          <w:w w:val="105"/>
        </w:rPr>
        <w:t>prueba</w:t>
      </w:r>
      <w:r>
        <w:rPr>
          <w:color w:val="231F20"/>
          <w:spacing w:val="-14"/>
          <w:w w:val="105"/>
        </w:rPr>
        <w:t> </w:t>
      </w:r>
      <w:r>
        <w:rPr>
          <w:color w:val="231F20"/>
          <w:w w:val="105"/>
        </w:rPr>
        <w:t>de</w:t>
      </w:r>
      <w:r>
        <w:rPr>
          <w:color w:val="231F20"/>
          <w:spacing w:val="-14"/>
          <w:w w:val="105"/>
        </w:rPr>
        <w:t> </w:t>
      </w:r>
      <w:r>
        <w:rPr>
          <w:color w:val="231F20"/>
          <w:w w:val="105"/>
        </w:rPr>
        <w:t>hipótesis</w:t>
      </w:r>
      <w:r>
        <w:rPr>
          <w:color w:val="231F20"/>
          <w:spacing w:val="-14"/>
          <w:w w:val="105"/>
        </w:rPr>
        <w:t> </w:t>
      </w:r>
      <w:r>
        <w:rPr>
          <w:color w:val="231F20"/>
          <w:w w:val="105"/>
        </w:rPr>
        <w:t>se</w:t>
      </w:r>
      <w:r>
        <w:rPr>
          <w:color w:val="231F20"/>
          <w:spacing w:val="-14"/>
          <w:w w:val="105"/>
        </w:rPr>
        <w:t> </w:t>
      </w:r>
      <w:r>
        <w:rPr>
          <w:color w:val="231F20"/>
          <w:w w:val="105"/>
        </w:rPr>
        <w:t>efectúa</w:t>
      </w:r>
      <w:r>
        <w:rPr>
          <w:color w:val="231F20"/>
          <w:spacing w:val="-14"/>
          <w:w w:val="105"/>
        </w:rPr>
        <w:t> </w:t>
      </w:r>
      <w:r>
        <w:rPr>
          <w:color w:val="231F20"/>
          <w:w w:val="105"/>
        </w:rPr>
        <w:t>para</w:t>
      </w:r>
      <w:r>
        <w:rPr>
          <w:color w:val="231F20"/>
          <w:spacing w:val="-14"/>
          <w:w w:val="105"/>
        </w:rPr>
        <w:t> </w:t>
      </w:r>
      <w:r>
        <w:rPr>
          <w:color w:val="231F20"/>
          <w:w w:val="105"/>
        </w:rPr>
        <w:t>mostrar</w:t>
      </w:r>
      <w:r>
        <w:rPr>
          <w:color w:val="231F20"/>
          <w:spacing w:val="-14"/>
          <w:w w:val="105"/>
        </w:rPr>
        <w:t> </w:t>
      </w:r>
      <w:r>
        <w:rPr>
          <w:color w:val="231F20"/>
          <w:w w:val="105"/>
        </w:rPr>
        <w:t>que</w:t>
      </w:r>
      <w:r>
        <w:rPr>
          <w:color w:val="231F20"/>
          <w:spacing w:val="-14"/>
          <w:w w:val="105"/>
        </w:rPr>
        <w:t> </w:t>
      </w:r>
      <w:r>
        <w:rPr>
          <w:color w:val="231F20"/>
          <w:w w:val="105"/>
        </w:rPr>
        <w:t>las</w:t>
      </w:r>
      <w:r>
        <w:rPr>
          <w:color w:val="231F20"/>
          <w:spacing w:val="-14"/>
          <w:w w:val="105"/>
        </w:rPr>
        <w:t> </w:t>
      </w:r>
      <w:r>
        <w:rPr>
          <w:color w:val="231F20"/>
          <w:w w:val="105"/>
        </w:rPr>
        <w:t>series</w:t>
      </w:r>
      <w:r>
        <w:rPr>
          <w:color w:val="231F20"/>
          <w:w w:val="99"/>
        </w:rPr>
        <w:t> </w:t>
      </w:r>
      <w:r>
        <w:rPr>
          <w:color w:val="231F20"/>
          <w:w w:val="105"/>
        </w:rPr>
        <w:t>reales y simuladas de los rendimientos por el modelo de Heston</w:t>
      </w:r>
      <w:r>
        <w:rPr>
          <w:color w:val="231F20"/>
          <w:spacing w:val="-18"/>
          <w:w w:val="105"/>
        </w:rPr>
        <w:t> </w:t>
      </w:r>
      <w:r>
        <w:rPr>
          <w:color w:val="231F20"/>
          <w:w w:val="105"/>
        </w:rPr>
        <w:t>provie- nen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misma</w:t>
      </w:r>
      <w:r>
        <w:rPr>
          <w:color w:val="231F20"/>
          <w:spacing w:val="-9"/>
          <w:w w:val="105"/>
        </w:rPr>
        <w:t> </w:t>
      </w:r>
      <w:r>
        <w:rPr>
          <w:color w:val="231F20"/>
          <w:w w:val="105"/>
        </w:rPr>
        <w:t>distribución</w:t>
      </w:r>
      <w:r>
        <w:rPr>
          <w:color w:val="231F20"/>
          <w:spacing w:val="-9"/>
          <w:w w:val="105"/>
        </w:rPr>
        <w:t> </w:t>
      </w:r>
      <w:r>
        <w:rPr>
          <w:color w:val="231F20"/>
          <w:w w:val="105"/>
        </w:rPr>
        <w:t>de</w:t>
      </w:r>
      <w:r>
        <w:rPr>
          <w:color w:val="231F20"/>
          <w:spacing w:val="-9"/>
          <w:w w:val="105"/>
        </w:rPr>
        <w:t> </w:t>
      </w:r>
      <w:r>
        <w:rPr>
          <w:color w:val="231F20"/>
          <w:w w:val="105"/>
        </w:rPr>
        <w:t>probabilidad</w:t>
      </w:r>
      <w:r>
        <w:rPr>
          <w:color w:val="231F20"/>
          <w:spacing w:val="-9"/>
          <w:w w:val="105"/>
        </w:rPr>
        <w:t> </w:t>
      </w:r>
      <w:r>
        <w:rPr>
          <w:color w:val="231F20"/>
          <w:w w:val="105"/>
        </w:rPr>
        <w:t>según</w:t>
      </w:r>
      <w:r>
        <w:rPr>
          <w:color w:val="231F20"/>
          <w:spacing w:val="-9"/>
          <w:w w:val="105"/>
        </w:rPr>
        <w:t> </w:t>
      </w:r>
      <w:r>
        <w:rPr>
          <w:color w:val="231F20"/>
          <w:w w:val="105"/>
        </w:rPr>
        <w:t>la</w:t>
      </w:r>
      <w:r>
        <w:rPr>
          <w:color w:val="231F20"/>
          <w:spacing w:val="-9"/>
          <w:w w:val="105"/>
        </w:rPr>
        <w:t> </w:t>
      </w:r>
      <w:r>
        <w:rPr>
          <w:color w:val="231F20"/>
          <w:w w:val="105"/>
        </w:rPr>
        <w:t>prueba</w:t>
      </w:r>
      <w:r>
        <w:rPr>
          <w:color w:val="231F20"/>
          <w:spacing w:val="-9"/>
          <w:w w:val="105"/>
        </w:rPr>
        <w:t> </w:t>
      </w:r>
      <w:r>
        <w:rPr>
          <w:color w:val="231F20"/>
          <w:w w:val="105"/>
        </w:rPr>
        <w:t>de</w:t>
      </w:r>
      <w:r>
        <w:rPr>
          <w:color w:val="231F20"/>
          <w:spacing w:val="-9"/>
          <w:w w:val="105"/>
        </w:rPr>
        <w:t> </w:t>
      </w:r>
      <w:r>
        <w:rPr>
          <w:color w:val="231F20"/>
          <w:w w:val="105"/>
        </w:rPr>
        <w:t>Kolmo- gorov-Smirnov</w:t>
      </w:r>
      <w:r>
        <w:rPr>
          <w:color w:val="231F20"/>
          <w:spacing w:val="-18"/>
          <w:w w:val="105"/>
        </w:rPr>
        <w:t> </w:t>
      </w:r>
      <w:r>
        <w:rPr>
          <w:color w:val="231F20"/>
          <w:w w:val="105"/>
        </w:rPr>
        <w:t>a</w:t>
      </w:r>
      <w:r>
        <w:rPr>
          <w:color w:val="231F20"/>
          <w:spacing w:val="-18"/>
          <w:w w:val="105"/>
        </w:rPr>
        <w:t> </w:t>
      </w:r>
      <w:r>
        <w:rPr>
          <w:color w:val="231F20"/>
          <w:w w:val="105"/>
        </w:rPr>
        <w:t>un</w:t>
      </w:r>
      <w:r>
        <w:rPr>
          <w:color w:val="231F20"/>
          <w:spacing w:val="-18"/>
          <w:w w:val="105"/>
        </w:rPr>
        <w:t> </w:t>
      </w:r>
      <w:r>
        <w:rPr>
          <w:color w:val="231F20"/>
          <w:w w:val="105"/>
        </w:rPr>
        <w:t>nivel</w:t>
      </w:r>
      <w:r>
        <w:rPr>
          <w:color w:val="231F20"/>
          <w:spacing w:val="-18"/>
          <w:w w:val="105"/>
        </w:rPr>
        <w:t> </w:t>
      </w:r>
      <w:r>
        <w:rPr>
          <w:color w:val="231F20"/>
          <w:w w:val="105"/>
        </w:rPr>
        <w:t>de</w:t>
      </w:r>
      <w:r>
        <w:rPr>
          <w:color w:val="231F20"/>
          <w:spacing w:val="-18"/>
          <w:w w:val="105"/>
        </w:rPr>
        <w:t> </w:t>
      </w:r>
      <w:r>
        <w:rPr>
          <w:color w:val="231F20"/>
          <w:w w:val="105"/>
        </w:rPr>
        <w:t>significancia</w:t>
      </w:r>
      <w:r>
        <w:rPr>
          <w:color w:val="231F20"/>
          <w:spacing w:val="-18"/>
          <w:w w:val="105"/>
        </w:rPr>
        <w:t> </w:t>
      </w:r>
      <w:r>
        <w:rPr>
          <w:color w:val="231F20"/>
          <w:w w:val="105"/>
        </w:rPr>
        <w:t>de</w:t>
      </w:r>
      <w:r>
        <w:rPr>
          <w:color w:val="231F20"/>
          <w:spacing w:val="-18"/>
          <w:w w:val="105"/>
        </w:rPr>
        <w:t> </w:t>
      </w:r>
      <w:r>
        <w:rPr>
          <w:color w:val="231F20"/>
          <w:w w:val="105"/>
        </w:rPr>
        <w:t>0.05.</w:t>
      </w:r>
    </w:p>
    <w:p>
      <w:pPr>
        <w:pStyle w:val="BodyText"/>
        <w:spacing w:line="286" w:lineRule="exact"/>
        <w:ind w:left="675"/>
      </w:pPr>
      <w:r>
        <w:rPr/>
        <w:drawing>
          <wp:anchor distT="0" distB="0" distL="0" distR="0" allowOverlap="1" layoutInCell="1" locked="0" behindDoc="1" simplePos="0" relativeHeight="268195775">
            <wp:simplePos x="0" y="0"/>
            <wp:positionH relativeFrom="page">
              <wp:posOffset>1089146</wp:posOffset>
            </wp:positionH>
            <wp:positionV relativeFrom="paragraph">
              <wp:posOffset>-684029</wp:posOffset>
            </wp:positionV>
            <wp:extent cx="410393" cy="254747"/>
            <wp:effectExtent l="0" t="0" r="0" b="0"/>
            <wp:wrapNone/>
            <wp:docPr id="105" name="image100.png" descr=""/>
            <wp:cNvGraphicFramePr>
              <a:graphicFrameLocks noChangeAspect="1"/>
            </wp:cNvGraphicFramePr>
            <a:graphic>
              <a:graphicData uri="http://schemas.openxmlformats.org/drawingml/2006/picture">
                <pic:pic>
                  <pic:nvPicPr>
                    <pic:cNvPr id="106" name="image100.png"/>
                    <pic:cNvPicPr/>
                  </pic:nvPicPr>
                  <pic:blipFill>
                    <a:blip r:embed="rId124" cstate="print"/>
                    <a:stretch>
                      <a:fillRect/>
                    </a:stretch>
                  </pic:blipFill>
                  <pic:spPr>
                    <a:xfrm>
                      <a:off x="0" y="0"/>
                      <a:ext cx="410393" cy="254747"/>
                    </a:xfrm>
                    <a:prstGeom prst="rect">
                      <a:avLst/>
                    </a:prstGeom>
                  </pic:spPr>
                </pic:pic>
              </a:graphicData>
            </a:graphic>
          </wp:anchor>
        </w:drawing>
      </w:r>
      <w:r>
        <w:rPr>
          <w:color w:val="231F20"/>
          <w:w w:val="105"/>
        </w:rPr>
        <w:t>De las 50 reproducciones de </w:t>
      </w:r>
      <w:r>
        <w:rPr>
          <w:rFonts w:ascii="Times New Roman" w:hAnsi="Times New Roman"/>
          <w:i/>
          <w:color w:val="231F20"/>
          <w:w w:val="105"/>
          <w:sz w:val="22"/>
        </w:rPr>
        <w:t>ψ  </w:t>
      </w:r>
      <w:r>
        <w:rPr>
          <w:color w:val="231F20"/>
          <w:w w:val="105"/>
        </w:rPr>
        <w:t>(</w:t>
      </w:r>
      <w:r>
        <w:rPr>
          <w:rFonts w:ascii="Times New Roman" w:hAnsi="Times New Roman"/>
          <w:i/>
          <w:color w:val="231F20"/>
          <w:w w:val="105"/>
          <w:sz w:val="22"/>
        </w:rPr>
        <w:t>x</w:t>
      </w:r>
      <w:r>
        <w:rPr>
          <w:rFonts w:ascii="Times New Roman" w:hAnsi="Times New Roman"/>
          <w:i/>
          <w:color w:val="231F20"/>
          <w:w w:val="105"/>
          <w:position w:val="-4"/>
          <w:sz w:val="13"/>
        </w:rPr>
        <w:t>opt</w:t>
      </w:r>
      <w:r>
        <w:rPr>
          <w:color w:val="231F20"/>
          <w:w w:val="105"/>
        </w:rPr>
        <w:t>) se obtiene  </w:t>
      </w:r>
      <w:r>
        <w:rPr>
          <w:color w:val="231F20"/>
          <w:spacing w:val="-14"/>
          <w:position w:val="-9"/>
        </w:rPr>
        <w:drawing>
          <wp:inline distT="0" distB="0" distL="0" distR="0">
            <wp:extent cx="410400" cy="254746"/>
            <wp:effectExtent l="0" t="0" r="0" b="0"/>
            <wp:docPr id="107" name="image100.png" descr=""/>
            <wp:cNvGraphicFramePr>
              <a:graphicFrameLocks noChangeAspect="1"/>
            </wp:cNvGraphicFramePr>
            <a:graphic>
              <a:graphicData uri="http://schemas.openxmlformats.org/drawingml/2006/picture">
                <pic:pic>
                  <pic:nvPicPr>
                    <pic:cNvPr id="108" name="image100.png"/>
                    <pic:cNvPicPr/>
                  </pic:nvPicPr>
                  <pic:blipFill>
                    <a:blip r:embed="rId124" cstate="print"/>
                    <a:stretch>
                      <a:fillRect/>
                    </a:stretch>
                  </pic:blipFill>
                  <pic:spPr>
                    <a:xfrm>
                      <a:off x="0" y="0"/>
                      <a:ext cx="410400" cy="254746"/>
                    </a:xfrm>
                    <a:prstGeom prst="rect">
                      <a:avLst/>
                    </a:prstGeom>
                  </pic:spPr>
                </pic:pic>
              </a:graphicData>
            </a:graphic>
          </wp:inline>
        </w:drawing>
      </w:r>
      <w:r>
        <w:rPr>
          <w:color w:val="231F20"/>
          <w:spacing w:val="-14"/>
          <w:position w:val="-9"/>
        </w:rPr>
      </w:r>
      <w:r>
        <w:rPr>
          <w:rFonts w:ascii="Times New Roman" w:hAnsi="Times New Roman"/>
          <w:color w:val="231F20"/>
          <w:w w:val="105"/>
          <w:sz w:val="22"/>
        </w:rPr>
        <w:t>= </w:t>
      </w:r>
      <w:r>
        <w:rPr>
          <w:color w:val="231F20"/>
          <w:w w:val="105"/>
        </w:rPr>
        <w:t>0.86   </w:t>
      </w:r>
      <w:r>
        <w:rPr>
          <w:color w:val="231F20"/>
          <w:spacing w:val="43"/>
          <w:w w:val="105"/>
        </w:rPr>
        <w:t> </w:t>
      </w:r>
      <w:r>
        <w:rPr>
          <w:color w:val="231F20"/>
          <w:w w:val="105"/>
        </w:rPr>
        <w:t>y</w:t>
      </w:r>
    </w:p>
    <w:p>
      <w:pPr>
        <w:pStyle w:val="BodyText"/>
        <w:spacing w:line="229" w:lineRule="exact"/>
        <w:ind w:left="108"/>
        <w:jc w:val="both"/>
      </w:pPr>
      <w:r>
        <w:rPr>
          <w:rFonts w:ascii="Times New Roman"/>
          <w:i/>
          <w:color w:val="231F20"/>
          <w:sz w:val="22"/>
        </w:rPr>
        <w:t>s </w:t>
      </w:r>
      <w:r>
        <w:rPr>
          <w:rFonts w:ascii="Times New Roman"/>
          <w:color w:val="231F20"/>
          <w:sz w:val="22"/>
        </w:rPr>
        <w:t>= </w:t>
      </w:r>
      <w:r>
        <w:rPr>
          <w:color w:val="231F20"/>
        </w:rPr>
        <w:t>0.084885, sustituyendo</w:t>
      </w:r>
    </w:p>
    <w:p>
      <w:pPr>
        <w:pStyle w:val="BodyText"/>
        <w:spacing w:before="1"/>
        <w:rPr>
          <w:sz w:val="14"/>
        </w:rPr>
      </w:pPr>
    </w:p>
    <w:p>
      <w:pPr>
        <w:spacing w:before="72"/>
        <w:ind w:left="108" w:right="0" w:firstLine="3484"/>
        <w:jc w:val="left"/>
        <w:rPr>
          <w:sz w:val="21"/>
        </w:rPr>
      </w:pPr>
      <w:r>
        <w:rPr/>
        <w:drawing>
          <wp:anchor distT="0" distB="0" distL="0" distR="0" allowOverlap="1" layoutInCell="1" locked="0" behindDoc="1" simplePos="0" relativeHeight="268195799">
            <wp:simplePos x="0" y="0"/>
            <wp:positionH relativeFrom="page">
              <wp:posOffset>1242000</wp:posOffset>
            </wp:positionH>
            <wp:positionV relativeFrom="paragraph">
              <wp:posOffset>-52899</wp:posOffset>
            </wp:positionV>
            <wp:extent cx="1846392" cy="373063"/>
            <wp:effectExtent l="0" t="0" r="0" b="0"/>
            <wp:wrapNone/>
            <wp:docPr id="109" name="image101.png" descr=""/>
            <wp:cNvGraphicFramePr>
              <a:graphicFrameLocks noChangeAspect="1"/>
            </wp:cNvGraphicFramePr>
            <a:graphic>
              <a:graphicData uri="http://schemas.openxmlformats.org/drawingml/2006/picture">
                <pic:pic>
                  <pic:nvPicPr>
                    <pic:cNvPr id="110" name="image101.png"/>
                    <pic:cNvPicPr/>
                  </pic:nvPicPr>
                  <pic:blipFill>
                    <a:blip r:embed="rId125" cstate="print"/>
                    <a:stretch>
                      <a:fillRect/>
                    </a:stretch>
                  </pic:blipFill>
                  <pic:spPr>
                    <a:xfrm>
                      <a:off x="0" y="0"/>
                      <a:ext cx="1846392" cy="373063"/>
                    </a:xfrm>
                    <a:prstGeom prst="rect">
                      <a:avLst/>
                    </a:prstGeom>
                  </pic:spPr>
                </pic:pic>
              </a:graphicData>
            </a:graphic>
          </wp:anchor>
        </w:drawing>
      </w:r>
      <w:r>
        <w:rPr/>
        <w:pict>
          <v:line style="position:absolute;mso-position-horizontal-relative:page;mso-position-vertical-relative:paragraph;z-index:-239632" from="314.078705pt,5.851045pt" to="320.314705pt,5.851045pt" stroked="true" strokeweight=".6pt" strokecolor="#231f20">
            <w10:wrap type="none"/>
          </v:line>
        </w:pict>
      </w:r>
      <w:r>
        <w:rPr/>
        <w:pict>
          <v:line style="position:absolute;mso-position-horizontal-relative:page;mso-position-vertical-relative:paragraph;z-index:-239608" from="358.185791pt,5.851045pt" to="364.421791pt,5.851045pt" stroked="true" strokeweight=".6pt" strokecolor="#231f20">
            <w10:wrap type="none"/>
          </v:line>
        </w:pict>
      </w:r>
      <w:r>
        <w:rPr>
          <w:color w:val="231F20"/>
          <w:sz w:val="21"/>
        </w:rPr>
        <w:t>y  </w:t>
      </w:r>
      <w:r>
        <w:rPr>
          <w:rFonts w:ascii="Times New Roman" w:hAnsi="Times New Roman"/>
          <w:i/>
          <w:color w:val="231F20"/>
          <w:sz w:val="22"/>
        </w:rPr>
        <w:t>z</w:t>
      </w:r>
      <w:r>
        <w:rPr>
          <w:rFonts w:ascii="Times New Roman" w:hAnsi="Times New Roman"/>
          <w:i/>
          <w:color w:val="231F20"/>
          <w:position w:val="-4"/>
          <w:sz w:val="13"/>
        </w:rPr>
        <w:t>crítico </w:t>
      </w:r>
      <w:r>
        <w:rPr>
          <w:rFonts w:ascii="Times New Roman" w:hAnsi="Times New Roman"/>
          <w:color w:val="231F20"/>
          <w:sz w:val="22"/>
        </w:rPr>
        <w:t>= </w:t>
      </w:r>
      <w:r>
        <w:rPr>
          <w:color w:val="231F20"/>
          <w:sz w:val="21"/>
        </w:rPr>
        <w:t>1.36/√</w:t>
      </w:r>
      <w:r>
        <w:rPr>
          <w:rFonts w:ascii="Times New Roman" w:hAnsi="Times New Roman"/>
          <w:i/>
          <w:color w:val="231F20"/>
          <w:sz w:val="22"/>
        </w:rPr>
        <w:t>n </w:t>
      </w:r>
      <w:r>
        <w:rPr>
          <w:rFonts w:ascii="Times New Roman" w:hAnsi="Times New Roman"/>
          <w:color w:val="231F20"/>
          <w:sz w:val="22"/>
        </w:rPr>
        <w:t>= </w:t>
      </w:r>
      <w:r>
        <w:rPr>
          <w:color w:val="231F20"/>
          <w:sz w:val="21"/>
        </w:rPr>
        <w:t>1.36/√50 </w:t>
      </w:r>
      <w:r>
        <w:rPr>
          <w:rFonts w:ascii="Times New Roman" w:hAnsi="Times New Roman"/>
          <w:color w:val="231F20"/>
          <w:sz w:val="22"/>
        </w:rPr>
        <w:t>= </w:t>
      </w:r>
      <w:r>
        <w:rPr>
          <w:color w:val="231F20"/>
          <w:sz w:val="21"/>
        </w:rPr>
        <w:t>0.19233</w:t>
      </w:r>
    </w:p>
    <w:p>
      <w:pPr>
        <w:pStyle w:val="BodyText"/>
        <w:spacing w:line="260" w:lineRule="exact" w:before="200"/>
        <w:ind w:left="108" w:right="118" w:hanging="1"/>
        <w:jc w:val="both"/>
      </w:pPr>
      <w:r>
        <w:rPr>
          <w:color w:val="231F20"/>
          <w:spacing w:val="-4"/>
          <w:w w:val="105"/>
        </w:rPr>
        <w:t>(Pérez</w:t>
      </w:r>
      <w:r>
        <w:rPr>
          <w:color w:val="231F20"/>
          <w:spacing w:val="-5"/>
          <w:w w:val="105"/>
        </w:rPr>
        <w:t> </w:t>
      </w:r>
      <w:r>
        <w:rPr>
          <w:color w:val="231F20"/>
          <w:w w:val="105"/>
        </w:rPr>
        <w:t>y</w:t>
      </w:r>
      <w:r>
        <w:rPr>
          <w:color w:val="231F20"/>
          <w:spacing w:val="-7"/>
          <w:w w:val="105"/>
        </w:rPr>
        <w:t> </w:t>
      </w:r>
      <w:r>
        <w:rPr>
          <w:color w:val="231F20"/>
          <w:w w:val="105"/>
        </w:rPr>
        <w:t>Jesús,</w:t>
      </w:r>
      <w:r>
        <w:rPr>
          <w:color w:val="231F20"/>
          <w:spacing w:val="-10"/>
          <w:w w:val="105"/>
        </w:rPr>
        <w:t> </w:t>
      </w:r>
      <w:r>
        <w:rPr>
          <w:color w:val="231F20"/>
          <w:w w:val="105"/>
        </w:rPr>
        <w:t>2011),</w:t>
      </w:r>
      <w:r>
        <w:rPr>
          <w:color w:val="231F20"/>
          <w:spacing w:val="-10"/>
          <w:w w:val="105"/>
        </w:rPr>
        <w:t> </w:t>
      </w:r>
      <w:r>
        <w:rPr>
          <w:color w:val="231F20"/>
          <w:w w:val="105"/>
        </w:rPr>
        <w:t>por</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con</w:t>
      </w:r>
      <w:r>
        <w:rPr>
          <w:color w:val="231F20"/>
          <w:spacing w:val="-5"/>
          <w:w w:val="105"/>
        </w:rPr>
        <w:t> </w:t>
      </w:r>
      <w:r>
        <w:rPr>
          <w:rFonts w:ascii="Times New Roman" w:hAnsi="Times New Roman"/>
          <w:i/>
          <w:color w:val="231F20"/>
          <w:w w:val="105"/>
          <w:sz w:val="22"/>
        </w:rPr>
        <w:t>z</w:t>
      </w:r>
      <w:r>
        <w:rPr>
          <w:rFonts w:ascii="Times New Roman" w:hAnsi="Times New Roman"/>
          <w:i/>
          <w:color w:val="231F20"/>
          <w:spacing w:val="-17"/>
          <w:w w:val="105"/>
          <w:sz w:val="22"/>
        </w:rPr>
        <w:t> </w:t>
      </w:r>
      <w:r>
        <w:rPr>
          <w:rFonts w:ascii="Times New Roman" w:hAnsi="Times New Roman"/>
          <w:color w:val="231F20"/>
          <w:w w:val="105"/>
        </w:rPr>
        <w:t>&gt;</w:t>
      </w:r>
      <w:r>
        <w:rPr>
          <w:rFonts w:ascii="Times New Roman" w:hAnsi="Times New Roman"/>
          <w:color w:val="231F20"/>
          <w:spacing w:val="-14"/>
          <w:w w:val="105"/>
        </w:rPr>
        <w:t> </w:t>
      </w:r>
      <w:r>
        <w:rPr>
          <w:rFonts w:ascii="Times New Roman" w:hAnsi="Times New Roman"/>
          <w:i/>
          <w:color w:val="231F20"/>
          <w:w w:val="105"/>
          <w:sz w:val="22"/>
        </w:rPr>
        <w:t>z</w:t>
      </w:r>
      <w:r>
        <w:rPr>
          <w:rFonts w:ascii="Times New Roman" w:hAnsi="Times New Roman"/>
          <w:i/>
          <w:color w:val="231F20"/>
          <w:w w:val="105"/>
          <w:position w:val="-4"/>
          <w:sz w:val="13"/>
        </w:rPr>
        <w:t>crítico</w:t>
      </w:r>
      <w:r>
        <w:rPr>
          <w:rFonts w:ascii="Times New Roman" w:hAnsi="Times New Roman"/>
          <w:i/>
          <w:color w:val="231F20"/>
          <w:spacing w:val="22"/>
          <w:w w:val="105"/>
          <w:position w:val="-4"/>
          <w:sz w:val="13"/>
        </w:rPr>
        <w:t> </w:t>
      </w:r>
      <w:r>
        <w:rPr>
          <w:color w:val="231F20"/>
          <w:w w:val="105"/>
        </w:rPr>
        <w:t>no</w:t>
      </w:r>
      <w:r>
        <w:rPr>
          <w:color w:val="231F20"/>
          <w:spacing w:val="-5"/>
          <w:w w:val="105"/>
        </w:rPr>
        <w:t> </w:t>
      </w:r>
      <w:r>
        <w:rPr>
          <w:color w:val="231F20"/>
          <w:w w:val="105"/>
        </w:rPr>
        <w:t>se</w:t>
      </w:r>
      <w:r>
        <w:rPr>
          <w:color w:val="231F20"/>
          <w:spacing w:val="-5"/>
          <w:w w:val="105"/>
        </w:rPr>
        <w:t> </w:t>
      </w:r>
      <w:r>
        <w:rPr>
          <w:color w:val="231F20"/>
          <w:w w:val="105"/>
        </w:rPr>
        <w:t>rechaza</w:t>
      </w:r>
      <w:r>
        <w:rPr>
          <w:color w:val="231F20"/>
          <w:spacing w:val="-5"/>
          <w:w w:val="105"/>
        </w:rPr>
        <w:t> </w:t>
      </w:r>
      <w:r>
        <w:rPr>
          <w:color w:val="231F20"/>
          <w:w w:val="105"/>
        </w:rPr>
        <w:t>la</w:t>
      </w:r>
      <w:r>
        <w:rPr>
          <w:color w:val="231F20"/>
          <w:spacing w:val="-5"/>
          <w:w w:val="105"/>
        </w:rPr>
        <w:t> </w:t>
      </w:r>
      <w:r>
        <w:rPr>
          <w:color w:val="231F20"/>
          <w:w w:val="105"/>
        </w:rPr>
        <w:t>hipótesis nula,</w:t>
      </w:r>
      <w:r>
        <w:rPr>
          <w:color w:val="231F20"/>
          <w:spacing w:val="-19"/>
          <w:w w:val="105"/>
        </w:rPr>
        <w:t> </w:t>
      </w:r>
      <w:r>
        <w:rPr>
          <w:color w:val="231F20"/>
          <w:w w:val="105"/>
        </w:rPr>
        <w:t>indicando</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serie</w:t>
      </w:r>
      <w:r>
        <w:rPr>
          <w:color w:val="231F20"/>
          <w:spacing w:val="-14"/>
          <w:w w:val="105"/>
        </w:rPr>
        <w:t> </w:t>
      </w:r>
      <w:r>
        <w:rPr>
          <w:color w:val="231F20"/>
          <w:w w:val="105"/>
        </w:rPr>
        <w:t>real</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simulada</w:t>
      </w:r>
      <w:r>
        <w:rPr>
          <w:color w:val="231F20"/>
          <w:spacing w:val="-14"/>
          <w:w w:val="105"/>
        </w:rPr>
        <w:t> </w:t>
      </w:r>
      <w:r>
        <w:rPr>
          <w:color w:val="231F20"/>
          <w:w w:val="105"/>
        </w:rPr>
        <w:t>provienen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misma</w:t>
      </w:r>
      <w:r>
        <w:rPr>
          <w:color w:val="231F20"/>
          <w:spacing w:val="-14"/>
          <w:w w:val="105"/>
        </w:rPr>
        <w:t> </w:t>
      </w:r>
      <w:r>
        <w:rPr>
          <w:color w:val="231F20"/>
          <w:w w:val="105"/>
        </w:rPr>
        <w:t>dis- tribución de probabilidad, además de que el vector óptimo de paráme- tros para el periodo de estabilidad se alcanza con 13 iteraciones con</w:t>
      </w:r>
      <w:r>
        <w:rPr>
          <w:color w:val="231F20"/>
          <w:spacing w:val="-33"/>
          <w:w w:val="105"/>
        </w:rPr>
        <w:t> </w:t>
      </w:r>
      <w:r>
        <w:rPr>
          <w:color w:val="231F20"/>
          <w:w w:val="105"/>
        </w:rPr>
        <w:t>un </w:t>
      </w:r>
      <w:r>
        <w:rPr>
          <w:i/>
          <w:color w:val="231F20"/>
          <w:w w:val="105"/>
        </w:rPr>
        <w:t>valor-p</w:t>
      </w:r>
      <w:r>
        <w:rPr>
          <w:i/>
          <w:color w:val="231F20"/>
          <w:spacing w:val="-27"/>
          <w:w w:val="105"/>
        </w:rPr>
        <w:t> </w:t>
      </w:r>
      <w:r>
        <w:rPr>
          <w:color w:val="231F20"/>
          <w:w w:val="105"/>
        </w:rPr>
        <w:t>mayor</w:t>
      </w:r>
      <w:r>
        <w:rPr>
          <w:color w:val="231F20"/>
          <w:spacing w:val="-27"/>
          <w:w w:val="105"/>
        </w:rPr>
        <w:t> </w:t>
      </w:r>
      <w:r>
        <w:rPr>
          <w:color w:val="231F20"/>
          <w:w w:val="105"/>
        </w:rPr>
        <w:t>a</w:t>
      </w:r>
      <w:r>
        <w:rPr>
          <w:color w:val="231F20"/>
          <w:spacing w:val="-27"/>
          <w:w w:val="105"/>
        </w:rPr>
        <w:t> </w:t>
      </w:r>
      <w:r>
        <w:rPr>
          <w:color w:val="231F20"/>
          <w:w w:val="105"/>
        </w:rPr>
        <w:t>0.05.</w:t>
      </w:r>
    </w:p>
    <w:p>
      <w:pPr>
        <w:pStyle w:val="BodyText"/>
        <w:spacing w:line="260" w:lineRule="exact"/>
        <w:ind w:left="108" w:right="113" w:firstLine="567"/>
        <w:jc w:val="both"/>
      </w:pPr>
      <w:r>
        <w:rPr>
          <w:color w:val="231F20"/>
          <w:w w:val="105"/>
        </w:rPr>
        <w:t>En</w:t>
      </w:r>
      <w:r>
        <w:rPr>
          <w:color w:val="231F20"/>
          <w:spacing w:val="-10"/>
          <w:w w:val="105"/>
        </w:rPr>
        <w:t> </w:t>
      </w:r>
      <w:r>
        <w:rPr>
          <w:color w:val="231F20"/>
          <w:w w:val="105"/>
        </w:rPr>
        <w:t>cuanto</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parámetros</w:t>
      </w:r>
      <w:r>
        <w:rPr>
          <w:color w:val="231F20"/>
          <w:spacing w:val="-10"/>
          <w:w w:val="105"/>
        </w:rPr>
        <w:t> </w:t>
      </w:r>
      <w:r>
        <w:rPr>
          <w:color w:val="231F20"/>
          <w:w w:val="105"/>
        </w:rPr>
        <w:t>estimados</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periodos</w:t>
      </w:r>
      <w:r>
        <w:rPr>
          <w:color w:val="231F20"/>
          <w:spacing w:val="-10"/>
          <w:w w:val="105"/>
        </w:rPr>
        <w:t> </w:t>
      </w:r>
      <w:r>
        <w:rPr>
          <w:color w:val="231F20"/>
          <w:w w:val="105"/>
        </w:rPr>
        <w:t>semanales, quincenales</w:t>
      </w:r>
      <w:r>
        <w:rPr>
          <w:color w:val="231F20"/>
          <w:spacing w:val="-22"/>
          <w:w w:val="105"/>
        </w:rPr>
        <w:t> </w:t>
      </w:r>
      <w:r>
        <w:rPr>
          <w:color w:val="231F20"/>
          <w:w w:val="105"/>
        </w:rPr>
        <w:t>y</w:t>
      </w:r>
      <w:r>
        <w:rPr>
          <w:color w:val="231F20"/>
          <w:spacing w:val="-22"/>
          <w:w w:val="105"/>
        </w:rPr>
        <w:t> </w:t>
      </w:r>
      <w:r>
        <w:rPr>
          <w:color w:val="231F20"/>
          <w:w w:val="105"/>
        </w:rPr>
        <w:t>mensuales</w:t>
      </w:r>
      <w:r>
        <w:rPr>
          <w:color w:val="231F20"/>
          <w:spacing w:val="-22"/>
          <w:w w:val="105"/>
        </w:rPr>
        <w:t> </w:t>
      </w:r>
      <w:r>
        <w:rPr>
          <w:color w:val="231F20"/>
          <w:w w:val="105"/>
        </w:rPr>
        <w:t>(columnas</w:t>
      </w:r>
      <w:r>
        <w:rPr>
          <w:color w:val="231F20"/>
          <w:spacing w:val="-22"/>
          <w:w w:val="105"/>
        </w:rPr>
        <w:t> </w:t>
      </w:r>
      <w:r>
        <w:rPr>
          <w:color w:val="231F20"/>
          <w:w w:val="105"/>
        </w:rPr>
        <w:t>seis,</w:t>
      </w:r>
      <w:r>
        <w:rPr>
          <w:color w:val="231F20"/>
          <w:spacing w:val="-26"/>
          <w:w w:val="105"/>
        </w:rPr>
        <w:t> </w:t>
      </w:r>
      <w:r>
        <w:rPr>
          <w:color w:val="231F20"/>
          <w:w w:val="105"/>
        </w:rPr>
        <w:t>siete</w:t>
      </w:r>
      <w:r>
        <w:rPr>
          <w:color w:val="231F20"/>
          <w:spacing w:val="-22"/>
          <w:w w:val="105"/>
        </w:rPr>
        <w:t> </w:t>
      </w:r>
      <w:r>
        <w:rPr>
          <w:color w:val="231F20"/>
          <w:w w:val="105"/>
        </w:rPr>
        <w:t>y</w:t>
      </w:r>
      <w:r>
        <w:rPr>
          <w:color w:val="231F20"/>
          <w:spacing w:val="-22"/>
          <w:w w:val="105"/>
        </w:rPr>
        <w:t> </w:t>
      </w:r>
      <w:r>
        <w:rPr>
          <w:color w:val="231F20"/>
          <w:w w:val="105"/>
        </w:rPr>
        <w:t>ocho</w:t>
      </w:r>
      <w:r>
        <w:rPr>
          <w:color w:val="231F20"/>
          <w:spacing w:val="-22"/>
          <w:w w:val="105"/>
        </w:rPr>
        <w:t> </w:t>
      </w:r>
      <w:r>
        <w:rPr>
          <w:color w:val="231F20"/>
          <w:w w:val="105"/>
        </w:rPr>
        <w:t>con</w:t>
      </w:r>
      <w:r>
        <w:rPr>
          <w:color w:val="231F20"/>
          <w:spacing w:val="-22"/>
          <w:w w:val="105"/>
        </w:rPr>
        <w:t> </w:t>
      </w:r>
      <w:r>
        <w:rPr>
          <w:color w:val="231F20"/>
          <w:w w:val="105"/>
        </w:rPr>
        <w:t>497,</w:t>
      </w:r>
      <w:r>
        <w:rPr>
          <w:color w:val="231F20"/>
          <w:spacing w:val="-26"/>
          <w:w w:val="105"/>
        </w:rPr>
        <w:t> </w:t>
      </w:r>
      <w:r>
        <w:rPr>
          <w:color w:val="231F20"/>
          <w:w w:val="105"/>
        </w:rPr>
        <w:t>247</w:t>
      </w:r>
      <w:r>
        <w:rPr>
          <w:color w:val="231F20"/>
          <w:spacing w:val="-22"/>
          <w:w w:val="105"/>
        </w:rPr>
        <w:t> </w:t>
      </w:r>
      <w:r>
        <w:rPr>
          <w:color w:val="231F20"/>
          <w:w w:val="105"/>
        </w:rPr>
        <w:t>y</w:t>
      </w:r>
      <w:r>
        <w:rPr>
          <w:color w:val="231F20"/>
          <w:spacing w:val="-22"/>
          <w:w w:val="105"/>
        </w:rPr>
        <w:t> </w:t>
      </w:r>
      <w:r>
        <w:rPr>
          <w:color w:val="231F20"/>
          <w:w w:val="105"/>
        </w:rPr>
        <w:t>123 datos,</w:t>
      </w:r>
      <w:r>
        <w:rPr>
          <w:color w:val="231F20"/>
          <w:spacing w:val="-14"/>
          <w:w w:val="105"/>
        </w:rPr>
        <w:t> </w:t>
      </w:r>
      <w:r>
        <w:rPr>
          <w:color w:val="231F20"/>
          <w:w w:val="105"/>
        </w:rPr>
        <w:t>respectivamente)</w:t>
      </w:r>
      <w:r>
        <w:rPr>
          <w:color w:val="231F20"/>
          <w:spacing w:val="-10"/>
          <w:w w:val="105"/>
        </w:rPr>
        <w:t> </w:t>
      </w:r>
      <w:r>
        <w:rPr>
          <w:color w:val="231F20"/>
          <w:w w:val="105"/>
        </w:rPr>
        <w:t>sólo</w:t>
      </w:r>
      <w:r>
        <w:rPr>
          <w:color w:val="231F20"/>
          <w:spacing w:val="-10"/>
          <w:w w:val="105"/>
        </w:rPr>
        <w:t> </w:t>
      </w:r>
      <w:r>
        <w:rPr>
          <w:color w:val="231F20"/>
          <w:w w:val="105"/>
        </w:rPr>
        <w:t>se</w:t>
      </w:r>
      <w:r>
        <w:rPr>
          <w:color w:val="231F20"/>
          <w:spacing w:val="-10"/>
          <w:w w:val="105"/>
        </w:rPr>
        <w:t> </w:t>
      </w:r>
      <w:r>
        <w:rPr>
          <w:color w:val="231F20"/>
          <w:w w:val="105"/>
        </w:rPr>
        <w:t>muestran</w:t>
      </w:r>
      <w:r>
        <w:rPr>
          <w:color w:val="231F20"/>
          <w:spacing w:val="-10"/>
          <w:w w:val="105"/>
        </w:rPr>
        <w:t> </w:t>
      </w:r>
      <w:r>
        <w:rPr>
          <w:color w:val="231F20"/>
          <w:w w:val="105"/>
        </w:rPr>
        <w:t>las</w:t>
      </w:r>
      <w:r>
        <w:rPr>
          <w:color w:val="231F20"/>
          <w:spacing w:val="-10"/>
          <w:w w:val="105"/>
        </w:rPr>
        <w:t> </w:t>
      </w:r>
      <w:r>
        <w:rPr>
          <w:color w:val="231F20"/>
          <w:w w:val="105"/>
        </w:rPr>
        <w:t>últimas</w:t>
      </w:r>
      <w:r>
        <w:rPr>
          <w:color w:val="231F20"/>
          <w:spacing w:val="-10"/>
          <w:w w:val="105"/>
        </w:rPr>
        <w:t> </w:t>
      </w:r>
      <w:r>
        <w:rPr>
          <w:color w:val="231F20"/>
          <w:w w:val="105"/>
        </w:rPr>
        <w:t>ejecuciones</w:t>
      </w:r>
      <w:r>
        <w:rPr>
          <w:color w:val="231F20"/>
          <w:spacing w:val="-10"/>
          <w:w w:val="105"/>
        </w:rPr>
        <w:t> </w:t>
      </w:r>
      <w:r>
        <w:rPr>
          <w:color w:val="231F20"/>
          <w:w w:val="105"/>
        </w:rPr>
        <w:t>en</w:t>
      </w:r>
      <w:r>
        <w:rPr>
          <w:color w:val="231F20"/>
          <w:spacing w:val="-10"/>
          <w:w w:val="105"/>
        </w:rPr>
        <w:t> </w:t>
      </w:r>
      <w:r>
        <w:rPr>
          <w:color w:val="231F20"/>
          <w:w w:val="105"/>
        </w:rPr>
        <w:t>las que</w:t>
      </w:r>
      <w:r>
        <w:rPr>
          <w:color w:val="231F20"/>
          <w:spacing w:val="-10"/>
          <w:w w:val="105"/>
        </w:rPr>
        <w:t> </w:t>
      </w:r>
      <w:r>
        <w:rPr>
          <w:color w:val="231F20"/>
          <w:w w:val="105"/>
        </w:rPr>
        <w:t>se</w:t>
      </w:r>
      <w:r>
        <w:rPr>
          <w:color w:val="231F20"/>
          <w:spacing w:val="-10"/>
          <w:w w:val="105"/>
        </w:rPr>
        <w:t> </w:t>
      </w:r>
      <w:r>
        <w:rPr>
          <w:color w:val="231F20"/>
          <w:w w:val="105"/>
        </w:rPr>
        <w:t>obtiene</w:t>
      </w:r>
      <w:r>
        <w:rPr>
          <w:color w:val="231F20"/>
          <w:spacing w:val="-10"/>
          <w:w w:val="105"/>
        </w:rPr>
        <w:t> </w:t>
      </w:r>
      <w:r>
        <w:rPr>
          <w:color w:val="231F20"/>
          <w:w w:val="105"/>
        </w:rPr>
        <w:t>un</w:t>
      </w:r>
      <w:r>
        <w:rPr>
          <w:color w:val="231F20"/>
          <w:spacing w:val="-10"/>
          <w:w w:val="105"/>
        </w:rPr>
        <w:t> </w:t>
      </w:r>
      <w:r>
        <w:rPr>
          <w:color w:val="231F20"/>
          <w:w w:val="105"/>
        </w:rPr>
        <w:t>óptimo</w:t>
      </w:r>
      <w:r>
        <w:rPr>
          <w:color w:val="231F20"/>
          <w:spacing w:val="-10"/>
          <w:w w:val="105"/>
        </w:rPr>
        <w:t> </w:t>
      </w:r>
      <w:r>
        <w:rPr>
          <w:color w:val="231F20"/>
          <w:w w:val="105"/>
        </w:rPr>
        <w:t>local,</w:t>
      </w:r>
      <w:r>
        <w:rPr>
          <w:color w:val="231F20"/>
          <w:spacing w:val="-18"/>
          <w:w w:val="105"/>
        </w:rPr>
        <w:t> </w:t>
      </w:r>
      <w:r>
        <w:rPr>
          <w:color w:val="231F20"/>
          <w:w w:val="105"/>
        </w:rPr>
        <w:t>tomando</w:t>
      </w:r>
      <w:r>
        <w:rPr>
          <w:color w:val="231F20"/>
          <w:spacing w:val="-10"/>
          <w:w w:val="105"/>
        </w:rPr>
        <w:t> </w:t>
      </w:r>
      <w:r>
        <w:rPr>
          <w:color w:val="231F20"/>
          <w:w w:val="105"/>
        </w:rPr>
        <w:t>como</w:t>
      </w:r>
      <w:r>
        <w:rPr>
          <w:color w:val="231F20"/>
          <w:spacing w:val="-10"/>
          <w:w w:val="105"/>
        </w:rPr>
        <w:t> </w:t>
      </w:r>
      <w:r>
        <w:rPr>
          <w:color w:val="231F20"/>
          <w:w w:val="105"/>
        </w:rPr>
        <w:t>vector</w:t>
      </w:r>
      <w:r>
        <w:rPr>
          <w:color w:val="231F20"/>
          <w:spacing w:val="-10"/>
          <w:w w:val="105"/>
        </w:rPr>
        <w:t> </w:t>
      </w:r>
      <w:r>
        <w:rPr>
          <w:color w:val="231F20"/>
          <w:w w:val="105"/>
        </w:rPr>
        <w:t>semilla</w:t>
      </w:r>
      <w:r>
        <w:rPr>
          <w:color w:val="231F20"/>
          <w:spacing w:val="-11"/>
          <w:w w:val="105"/>
        </w:rPr>
        <w:t> </w:t>
      </w:r>
      <w:r>
        <w:rPr>
          <w:rFonts w:ascii="Times New Roman" w:hAnsi="Times New Roman"/>
          <w:i/>
          <w:color w:val="231F20"/>
          <w:w w:val="105"/>
          <w:sz w:val="22"/>
        </w:rPr>
        <w:t>х</w:t>
      </w:r>
      <w:r>
        <w:rPr>
          <w:color w:val="231F20"/>
          <w:w w:val="105"/>
          <w:position w:val="-4"/>
          <w:sz w:val="12"/>
        </w:rPr>
        <w:t>0</w:t>
      </w:r>
      <w:r>
        <w:rPr>
          <w:color w:val="231F20"/>
          <w:spacing w:val="16"/>
          <w:w w:val="105"/>
          <w:position w:val="-4"/>
          <w:sz w:val="12"/>
        </w:rPr>
        <w:t> </w:t>
      </w:r>
      <w:r>
        <w:rPr>
          <w:color w:val="231F20"/>
          <w:w w:val="105"/>
        </w:rPr>
        <w:t>al</w:t>
      </w:r>
      <w:r>
        <w:rPr>
          <w:color w:val="231F20"/>
          <w:spacing w:val="-10"/>
          <w:w w:val="105"/>
        </w:rPr>
        <w:t> </w:t>
      </w:r>
      <w:r>
        <w:rPr>
          <w:color w:val="231F20"/>
          <w:w w:val="105"/>
        </w:rPr>
        <w:t>vector óptimo para valores diarios y con tan sólo 13 iteraciones se converge</w:t>
      </w:r>
      <w:r>
        <w:rPr>
          <w:color w:val="231F20"/>
          <w:spacing w:val="-17"/>
          <w:w w:val="105"/>
        </w:rPr>
        <w:t> </w:t>
      </w:r>
      <w:r>
        <w:rPr>
          <w:color w:val="231F20"/>
          <w:w w:val="105"/>
        </w:rPr>
        <w:t>al óptimo</w:t>
      </w:r>
      <w:r>
        <w:rPr>
          <w:color w:val="231F20"/>
          <w:spacing w:val="-11"/>
          <w:w w:val="105"/>
        </w:rPr>
        <w:t> </w:t>
      </w:r>
      <w:r>
        <w:rPr>
          <w:color w:val="231F20"/>
          <w:w w:val="105"/>
        </w:rPr>
        <w:t>local.</w:t>
      </w:r>
      <w:r>
        <w:rPr>
          <w:color w:val="231F20"/>
          <w:spacing w:val="-17"/>
          <w:w w:val="105"/>
        </w:rPr>
        <w:t> </w:t>
      </w:r>
      <w:r>
        <w:rPr>
          <w:color w:val="231F20"/>
          <w:spacing w:val="-4"/>
          <w:w w:val="105"/>
        </w:rPr>
        <w:t>Para</w:t>
      </w:r>
      <w:r>
        <w:rPr>
          <w:color w:val="231F20"/>
          <w:spacing w:val="-11"/>
          <w:w w:val="105"/>
        </w:rPr>
        <w:t> </w:t>
      </w:r>
      <w:r>
        <w:rPr>
          <w:color w:val="231F20"/>
          <w:w w:val="105"/>
        </w:rPr>
        <w:t>cada</w:t>
      </w:r>
      <w:r>
        <w:rPr>
          <w:color w:val="231F20"/>
          <w:spacing w:val="-11"/>
          <w:w w:val="105"/>
        </w:rPr>
        <w:t> </w:t>
      </w:r>
      <w:r>
        <w:rPr>
          <w:color w:val="231F20"/>
          <w:w w:val="105"/>
        </w:rPr>
        <w:t>período</w:t>
      </w:r>
      <w:r>
        <w:rPr>
          <w:color w:val="231F20"/>
          <w:spacing w:val="-11"/>
          <w:w w:val="105"/>
        </w:rPr>
        <w:t> </w:t>
      </w:r>
      <w:r>
        <w:rPr>
          <w:color w:val="231F20"/>
          <w:w w:val="105"/>
        </w:rPr>
        <w:t>de</w:t>
      </w:r>
      <w:r>
        <w:rPr>
          <w:color w:val="231F20"/>
          <w:spacing w:val="-11"/>
          <w:w w:val="105"/>
        </w:rPr>
        <w:t> </w:t>
      </w:r>
      <w:r>
        <w:rPr>
          <w:color w:val="231F20"/>
          <w:w w:val="105"/>
        </w:rPr>
        <w:t>análisis</w:t>
      </w:r>
      <w:r>
        <w:rPr>
          <w:color w:val="231F20"/>
          <w:spacing w:val="-11"/>
          <w:w w:val="105"/>
        </w:rPr>
        <w:t> </w:t>
      </w:r>
      <w:r>
        <w:rPr>
          <w:color w:val="231F20"/>
          <w:w w:val="105"/>
        </w:rPr>
        <w:t>se</w:t>
      </w:r>
      <w:r>
        <w:rPr>
          <w:color w:val="231F20"/>
          <w:spacing w:val="-11"/>
          <w:w w:val="105"/>
        </w:rPr>
        <w:t> </w:t>
      </w:r>
      <w:r>
        <w:rPr>
          <w:color w:val="231F20"/>
          <w:w w:val="105"/>
        </w:rPr>
        <w:t>comprueba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modelo es</w:t>
      </w:r>
      <w:r>
        <w:rPr>
          <w:color w:val="231F20"/>
          <w:spacing w:val="-16"/>
          <w:w w:val="105"/>
        </w:rPr>
        <w:t> </w:t>
      </w:r>
      <w:r>
        <w:rPr>
          <w:color w:val="231F20"/>
          <w:w w:val="105"/>
        </w:rPr>
        <w:t>consistente,</w:t>
      </w:r>
      <w:r>
        <w:rPr>
          <w:color w:val="231F20"/>
          <w:spacing w:val="-21"/>
          <w:w w:val="105"/>
        </w:rPr>
        <w:t> </w:t>
      </w:r>
      <w:r>
        <w:rPr>
          <w:color w:val="231F20"/>
          <w:w w:val="105"/>
        </w:rPr>
        <w:t>además</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rechaza</w:t>
      </w:r>
      <w:r>
        <w:rPr>
          <w:color w:val="231F20"/>
          <w:spacing w:val="-16"/>
          <w:w w:val="105"/>
        </w:rPr>
        <w:t> </w:t>
      </w:r>
      <w:r>
        <w:rPr>
          <w:color w:val="231F20"/>
          <w:w w:val="105"/>
        </w:rPr>
        <w:t>la</w:t>
      </w:r>
      <w:r>
        <w:rPr>
          <w:color w:val="231F20"/>
          <w:spacing w:val="-16"/>
          <w:w w:val="105"/>
        </w:rPr>
        <w:t> </w:t>
      </w:r>
      <w:r>
        <w:rPr>
          <w:color w:val="231F20"/>
          <w:w w:val="105"/>
        </w:rPr>
        <w:t>hipótesis</w:t>
      </w:r>
      <w:r>
        <w:rPr>
          <w:color w:val="231F20"/>
          <w:spacing w:val="-16"/>
          <w:w w:val="105"/>
        </w:rPr>
        <w:t> </w:t>
      </w:r>
      <w:r>
        <w:rPr>
          <w:color w:val="231F20"/>
          <w:w w:val="105"/>
        </w:rPr>
        <w:t>nula,</w:t>
      </w:r>
      <w:r>
        <w:rPr>
          <w:color w:val="231F20"/>
          <w:spacing w:val="-21"/>
          <w:w w:val="105"/>
        </w:rPr>
        <w:t> </w:t>
      </w:r>
      <w:r>
        <w:rPr>
          <w:color w:val="231F20"/>
          <w:w w:val="105"/>
        </w:rPr>
        <w:t>lo</w:t>
      </w:r>
      <w:r>
        <w:rPr>
          <w:color w:val="231F20"/>
          <w:spacing w:val="-16"/>
          <w:w w:val="105"/>
        </w:rPr>
        <w:t> </w:t>
      </w:r>
      <w:r>
        <w:rPr>
          <w:color w:val="231F20"/>
          <w:w w:val="105"/>
        </w:rPr>
        <w:t>cual</w:t>
      </w:r>
      <w:r>
        <w:rPr>
          <w:color w:val="231F20"/>
          <w:spacing w:val="-16"/>
          <w:w w:val="105"/>
        </w:rPr>
        <w:t> </w:t>
      </w:r>
      <w:r>
        <w:rPr>
          <w:color w:val="231F20"/>
          <w:w w:val="105"/>
        </w:rPr>
        <w:t>se muestra</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prueba</w:t>
      </w:r>
      <w:r>
        <w:rPr>
          <w:color w:val="231F20"/>
          <w:spacing w:val="-16"/>
          <w:w w:val="105"/>
        </w:rPr>
        <w:t> </w:t>
      </w:r>
      <w:r>
        <w:rPr>
          <w:color w:val="231F20"/>
          <w:w w:val="105"/>
        </w:rPr>
        <w:t>de</w:t>
      </w:r>
      <w:r>
        <w:rPr>
          <w:color w:val="231F20"/>
          <w:spacing w:val="-16"/>
          <w:w w:val="105"/>
        </w:rPr>
        <w:t> </w:t>
      </w:r>
      <w:r>
        <w:rPr>
          <w:color w:val="231F20"/>
          <w:w w:val="105"/>
        </w:rPr>
        <w:t>hipótesis</w:t>
      </w:r>
      <w:r>
        <w:rPr>
          <w:color w:val="231F20"/>
          <w:spacing w:val="-16"/>
          <w:w w:val="105"/>
        </w:rPr>
        <w:t> </w:t>
      </w:r>
      <w:r>
        <w:rPr>
          <w:rFonts w:ascii="Times New Roman" w:hAnsi="Times New Roman"/>
          <w:i/>
          <w:color w:val="231F20"/>
          <w:w w:val="105"/>
          <w:sz w:val="22"/>
        </w:rPr>
        <w:t>z</w:t>
      </w:r>
      <w:r>
        <w:rPr>
          <w:rFonts w:ascii="Times New Roman" w:hAnsi="Times New Roman"/>
          <w:i/>
          <w:color w:val="231F20"/>
          <w:spacing w:val="-12"/>
          <w:w w:val="105"/>
          <w:sz w:val="22"/>
        </w:rPr>
        <w:t> </w:t>
      </w:r>
      <w:r>
        <w:rPr>
          <w:color w:val="231F20"/>
          <w:w w:val="105"/>
        </w:rPr>
        <w:t>(fila</w:t>
      </w:r>
      <w:r>
        <w:rPr>
          <w:color w:val="231F20"/>
          <w:spacing w:val="-16"/>
          <w:w w:val="105"/>
        </w:rPr>
        <w:t> </w:t>
      </w:r>
      <w:r>
        <w:rPr>
          <w:color w:val="231F20"/>
          <w:w w:val="105"/>
        </w:rPr>
        <w:t>11).</w:t>
      </w:r>
      <w:r>
        <w:rPr>
          <w:color w:val="231F20"/>
          <w:spacing w:val="-22"/>
          <w:w w:val="105"/>
        </w:rPr>
        <w:t> </w:t>
      </w:r>
      <w:r>
        <w:rPr>
          <w:color w:val="231F20"/>
          <w:spacing w:val="-6"/>
          <w:w w:val="105"/>
        </w:rPr>
        <w:t>Por</w:t>
      </w:r>
      <w:r>
        <w:rPr>
          <w:color w:val="231F20"/>
          <w:spacing w:val="-16"/>
          <w:w w:val="105"/>
        </w:rPr>
        <w:t> </w:t>
      </w:r>
      <w:r>
        <w:rPr>
          <w:color w:val="231F20"/>
          <w:w w:val="105"/>
        </w:rPr>
        <w:t>lo</w:t>
      </w:r>
      <w:r>
        <w:rPr>
          <w:color w:val="231F20"/>
          <w:spacing w:val="-16"/>
          <w:w w:val="105"/>
        </w:rPr>
        <w:t> </w:t>
      </w:r>
      <w:r>
        <w:rPr>
          <w:color w:val="231F20"/>
          <w:w w:val="105"/>
        </w:rPr>
        <w:t>tanto,</w:t>
      </w:r>
      <w:r>
        <w:rPr>
          <w:color w:val="231F20"/>
          <w:spacing w:val="-22"/>
          <w:w w:val="105"/>
        </w:rPr>
        <w:t> </w:t>
      </w:r>
      <w:r>
        <w:rPr>
          <w:color w:val="231F20"/>
          <w:w w:val="105"/>
        </w:rPr>
        <w:t>los</w:t>
      </w:r>
      <w:r>
        <w:rPr>
          <w:color w:val="231F20"/>
          <w:spacing w:val="-16"/>
          <w:w w:val="105"/>
        </w:rPr>
        <w:t> </w:t>
      </w:r>
      <w:r>
        <w:rPr>
          <w:color w:val="231F20"/>
          <w:w w:val="105"/>
        </w:rPr>
        <w:t>parámetros estimados</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modelo</w:t>
      </w:r>
      <w:r>
        <w:rPr>
          <w:color w:val="231F20"/>
          <w:spacing w:val="-8"/>
          <w:w w:val="105"/>
        </w:rPr>
        <w:t> </w:t>
      </w:r>
      <w:r>
        <w:rPr>
          <w:color w:val="231F20"/>
          <w:w w:val="105"/>
        </w:rPr>
        <w:t>de</w:t>
      </w:r>
      <w:r>
        <w:rPr>
          <w:color w:val="231F20"/>
          <w:spacing w:val="-8"/>
          <w:w w:val="105"/>
        </w:rPr>
        <w:t> </w:t>
      </w:r>
      <w:r>
        <w:rPr>
          <w:color w:val="231F20"/>
          <w:w w:val="105"/>
        </w:rPr>
        <w:t>Heston</w:t>
      </w:r>
      <w:r>
        <w:rPr>
          <w:color w:val="231F20"/>
          <w:spacing w:val="-8"/>
          <w:w w:val="105"/>
        </w:rPr>
        <w:t> </w:t>
      </w:r>
      <w:r>
        <w:rPr>
          <w:color w:val="231F20"/>
          <w:w w:val="105"/>
        </w:rPr>
        <w:t>son</w:t>
      </w:r>
      <w:r>
        <w:rPr>
          <w:color w:val="231F20"/>
          <w:spacing w:val="-8"/>
          <w:w w:val="105"/>
        </w:rPr>
        <w:t> </w:t>
      </w:r>
      <w:r>
        <w:rPr>
          <w:color w:val="231F20"/>
          <w:w w:val="105"/>
        </w:rPr>
        <w:t>confiables</w:t>
      </w:r>
      <w:r>
        <w:rPr>
          <w:color w:val="231F20"/>
          <w:spacing w:val="-8"/>
          <w:w w:val="105"/>
        </w:rPr>
        <w:t> </w:t>
      </w:r>
      <w:r>
        <w:rPr>
          <w:color w:val="231F20"/>
          <w:w w:val="105"/>
        </w:rPr>
        <w:t>para</w:t>
      </w:r>
      <w:r>
        <w:rPr>
          <w:color w:val="231F20"/>
          <w:spacing w:val="-8"/>
          <w:w w:val="105"/>
        </w:rPr>
        <w:t> </w:t>
      </w:r>
      <w:r>
        <w:rPr>
          <w:color w:val="231F20"/>
          <w:w w:val="105"/>
        </w:rPr>
        <w:t>obtener</w:t>
      </w:r>
      <w:r>
        <w:rPr>
          <w:color w:val="231F20"/>
          <w:spacing w:val="-8"/>
          <w:w w:val="105"/>
        </w:rPr>
        <w:t> </w:t>
      </w:r>
      <w:r>
        <w:rPr>
          <w:color w:val="231F20"/>
          <w:w w:val="105"/>
        </w:rPr>
        <w:t>el</w:t>
      </w:r>
      <w:r>
        <w:rPr>
          <w:color w:val="231F20"/>
          <w:spacing w:val="-8"/>
          <w:w w:val="105"/>
        </w:rPr>
        <w:t> </w:t>
      </w:r>
      <w:r>
        <w:rPr>
          <w:color w:val="231F20"/>
          <w:w w:val="105"/>
        </w:rPr>
        <w:t>pre- cio teórico de la opción </w:t>
      </w:r>
      <w:r>
        <w:rPr>
          <w:i/>
          <w:color w:val="231F20"/>
          <w:w w:val="105"/>
        </w:rPr>
        <w:t>call </w:t>
      </w:r>
      <w:r>
        <w:rPr>
          <w:color w:val="231F20"/>
          <w:w w:val="105"/>
        </w:rPr>
        <w:t>y</w:t>
      </w:r>
      <w:r>
        <w:rPr>
          <w:color w:val="231F20"/>
          <w:spacing w:val="-34"/>
          <w:w w:val="105"/>
        </w:rPr>
        <w:t> </w:t>
      </w:r>
      <w:r>
        <w:rPr>
          <w:i/>
          <w:color w:val="231F20"/>
          <w:w w:val="105"/>
        </w:rPr>
        <w:t>put</w:t>
      </w:r>
      <w:r>
        <w:rPr>
          <w:color w:val="231F20"/>
          <w:w w:val="105"/>
        </w:rPr>
        <w:t>.</w:t>
      </w:r>
    </w:p>
    <w:p>
      <w:pPr>
        <w:spacing w:after="0" w:line="260" w:lineRule="exact"/>
        <w:jc w:val="both"/>
        <w:sectPr>
          <w:type w:val="continuous"/>
          <w:pgSz w:w="9640" w:h="13890"/>
          <w:pgMar w:top="1300" w:bottom="280" w:left="1280" w:right="1140"/>
        </w:sectPr>
      </w:pPr>
    </w:p>
    <w:p>
      <w:pPr>
        <w:pStyle w:val="BodyText"/>
        <w:spacing w:line="254" w:lineRule="auto" w:before="120"/>
        <w:ind w:left="103" w:right="110"/>
        <w:jc w:val="right"/>
      </w:pPr>
      <w:r>
        <w:rPr>
          <w:color w:val="231F20"/>
          <w:spacing w:val="-7"/>
          <w:w w:val="105"/>
        </w:rPr>
        <w:t>Por </w:t>
      </w:r>
      <w:r>
        <w:rPr>
          <w:color w:val="231F20"/>
          <w:w w:val="105"/>
        </w:rPr>
        <w:t>otra </w:t>
      </w:r>
      <w:r>
        <w:rPr>
          <w:color w:val="231F20"/>
          <w:spacing w:val="-2"/>
          <w:w w:val="105"/>
        </w:rPr>
        <w:t>parte, </w:t>
      </w:r>
      <w:r>
        <w:rPr>
          <w:color w:val="231F20"/>
          <w:w w:val="105"/>
        </w:rPr>
        <w:t>basado en el </w:t>
      </w:r>
      <w:r>
        <w:rPr>
          <w:color w:val="231F20"/>
          <w:spacing w:val="-3"/>
          <w:w w:val="105"/>
        </w:rPr>
        <w:t>proceso </w:t>
      </w:r>
      <w:r>
        <w:rPr>
          <w:color w:val="231F20"/>
          <w:w w:val="105"/>
        </w:rPr>
        <w:t>de</w:t>
      </w:r>
      <w:r>
        <w:rPr>
          <w:color w:val="231F20"/>
          <w:spacing w:val="33"/>
          <w:w w:val="105"/>
        </w:rPr>
        <w:t> </w:t>
      </w:r>
      <w:r>
        <w:rPr>
          <w:color w:val="231F20"/>
          <w:w w:val="105"/>
        </w:rPr>
        <w:t>Ornstein-Uhlenbeck,</w:t>
      </w:r>
      <w:r>
        <w:rPr>
          <w:color w:val="231F20"/>
          <w:spacing w:val="19"/>
          <w:w w:val="105"/>
        </w:rPr>
        <w:t> </w:t>
      </w:r>
      <w:r>
        <w:rPr>
          <w:color w:val="231F20"/>
          <w:spacing w:val="-2"/>
          <w:w w:val="105"/>
        </w:rPr>
        <w:t>Heston</w:t>
      </w:r>
      <w:r>
        <w:rPr>
          <w:color w:val="231F20"/>
          <w:spacing w:val="-2"/>
          <w:w w:val="102"/>
        </w:rPr>
        <w:t> </w:t>
      </w:r>
      <w:r>
        <w:rPr>
          <w:color w:val="231F20"/>
          <w:w w:val="105"/>
        </w:rPr>
        <w:t>(1993)</w:t>
      </w:r>
      <w:r>
        <w:rPr>
          <w:color w:val="231F20"/>
          <w:spacing w:val="-32"/>
          <w:w w:val="105"/>
        </w:rPr>
        <w:t> </w:t>
      </w:r>
      <w:r>
        <w:rPr>
          <w:color w:val="231F20"/>
          <w:w w:val="105"/>
        </w:rPr>
        <w:t>especifica</w:t>
      </w:r>
      <w:r>
        <w:rPr>
          <w:color w:val="231F20"/>
          <w:spacing w:val="-32"/>
          <w:w w:val="105"/>
        </w:rPr>
        <w:t> </w:t>
      </w:r>
      <w:r>
        <w:rPr>
          <w:color w:val="231F20"/>
          <w:w w:val="105"/>
        </w:rPr>
        <w:t>la</w:t>
      </w:r>
      <w:r>
        <w:rPr>
          <w:color w:val="231F20"/>
          <w:spacing w:val="-32"/>
          <w:w w:val="105"/>
        </w:rPr>
        <w:t> </w:t>
      </w:r>
      <w:r>
        <w:rPr>
          <w:color w:val="231F20"/>
          <w:w w:val="105"/>
        </w:rPr>
        <w:t>dinámica</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w w:val="105"/>
        </w:rPr>
        <w:t>volatilidad</w:t>
      </w:r>
      <w:r>
        <w:rPr>
          <w:color w:val="231F20"/>
          <w:spacing w:val="-32"/>
          <w:w w:val="105"/>
        </w:rPr>
        <w:t> </w:t>
      </w:r>
      <w:r>
        <w:rPr>
          <w:color w:val="231F20"/>
          <w:w w:val="105"/>
        </w:rPr>
        <w:t>estocástica</w:t>
      </w:r>
      <w:r>
        <w:rPr>
          <w:color w:val="231F20"/>
          <w:spacing w:val="-32"/>
          <w:w w:val="105"/>
        </w:rPr>
        <w:t> </w:t>
      </w:r>
      <w:r>
        <w:rPr>
          <w:color w:val="231F20"/>
          <w:w w:val="105"/>
        </w:rPr>
        <w:t>como</w:t>
      </w:r>
      <w:r>
        <w:rPr>
          <w:color w:val="231F20"/>
          <w:spacing w:val="-32"/>
          <w:w w:val="105"/>
        </w:rPr>
        <w:t> </w:t>
      </w:r>
      <w:r>
        <w:rPr>
          <w:color w:val="231F20"/>
          <w:w w:val="105"/>
        </w:rPr>
        <w:t>un</w:t>
      </w:r>
      <w:r>
        <w:rPr>
          <w:color w:val="231F20"/>
          <w:spacing w:val="-32"/>
          <w:w w:val="105"/>
        </w:rPr>
        <w:t> </w:t>
      </w:r>
      <w:r>
        <w:rPr>
          <w:color w:val="231F20"/>
          <w:spacing w:val="-3"/>
          <w:w w:val="105"/>
        </w:rPr>
        <w:t>proce-</w:t>
      </w:r>
      <w:r>
        <w:rPr>
          <w:color w:val="231F20"/>
          <w:w w:val="96"/>
        </w:rPr>
        <w:t> </w:t>
      </w:r>
      <w:r>
        <w:rPr>
          <w:color w:val="231F20"/>
          <w:w w:val="105"/>
        </w:rPr>
        <w:t>so</w:t>
      </w:r>
      <w:r>
        <w:rPr>
          <w:color w:val="231F20"/>
          <w:spacing w:val="-23"/>
          <w:w w:val="105"/>
        </w:rPr>
        <w:t> </w:t>
      </w:r>
      <w:r>
        <w:rPr>
          <w:color w:val="231F20"/>
          <w:w w:val="105"/>
        </w:rPr>
        <w:t>de</w:t>
      </w:r>
      <w:r>
        <w:rPr>
          <w:color w:val="231F20"/>
          <w:spacing w:val="-23"/>
          <w:w w:val="105"/>
        </w:rPr>
        <w:t> </w:t>
      </w:r>
      <w:r>
        <w:rPr>
          <w:color w:val="231F20"/>
          <w:spacing w:val="-3"/>
          <w:w w:val="105"/>
        </w:rPr>
        <w:t>reversión</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media,</w:t>
      </w:r>
      <w:r>
        <w:rPr>
          <w:color w:val="231F20"/>
          <w:spacing w:val="-28"/>
          <w:w w:val="105"/>
        </w:rPr>
        <w:t> </w:t>
      </w:r>
      <w:r>
        <w:rPr>
          <w:color w:val="231F20"/>
          <w:w w:val="105"/>
        </w:rPr>
        <w:t>el</w:t>
      </w:r>
      <w:r>
        <w:rPr>
          <w:color w:val="231F20"/>
          <w:spacing w:val="-23"/>
          <w:w w:val="105"/>
        </w:rPr>
        <w:t> </w:t>
      </w:r>
      <w:r>
        <w:rPr>
          <w:color w:val="231F20"/>
          <w:w w:val="105"/>
        </w:rPr>
        <w:t>cual</w:t>
      </w:r>
      <w:r>
        <w:rPr>
          <w:color w:val="231F20"/>
          <w:spacing w:val="-23"/>
          <w:w w:val="105"/>
        </w:rPr>
        <w:t> </w:t>
      </w:r>
      <w:r>
        <w:rPr>
          <w:color w:val="231F20"/>
          <w:w w:val="105"/>
        </w:rPr>
        <w:t>es</w:t>
      </w:r>
      <w:r>
        <w:rPr>
          <w:color w:val="231F20"/>
          <w:spacing w:val="-23"/>
          <w:w w:val="105"/>
        </w:rPr>
        <w:t> </w:t>
      </w:r>
      <w:r>
        <w:rPr>
          <w:color w:val="231F20"/>
          <w:spacing w:val="-3"/>
          <w:w w:val="105"/>
        </w:rPr>
        <w:t>controlado</w:t>
      </w:r>
      <w:r>
        <w:rPr>
          <w:color w:val="231F20"/>
          <w:spacing w:val="-23"/>
          <w:w w:val="105"/>
        </w:rPr>
        <w:t> </w:t>
      </w:r>
      <w:r>
        <w:rPr>
          <w:color w:val="231F20"/>
          <w:w w:val="105"/>
        </w:rPr>
        <w:t>básicamente</w:t>
      </w:r>
      <w:r>
        <w:rPr>
          <w:color w:val="231F20"/>
          <w:spacing w:val="-23"/>
          <w:w w:val="105"/>
        </w:rPr>
        <w:t> </w:t>
      </w:r>
      <w:r>
        <w:rPr>
          <w:color w:val="231F20"/>
          <w:w w:val="105"/>
        </w:rPr>
        <w:t>por</w:t>
      </w:r>
      <w:r>
        <w:rPr>
          <w:color w:val="231F20"/>
          <w:spacing w:val="-23"/>
          <w:w w:val="105"/>
        </w:rPr>
        <w:t> </w:t>
      </w:r>
      <w:r>
        <w:rPr>
          <w:color w:val="231F20"/>
          <w:spacing w:val="-3"/>
          <w:w w:val="105"/>
        </w:rPr>
        <w:t>tres</w:t>
      </w:r>
      <w:r>
        <w:rPr>
          <w:color w:val="231F20"/>
          <w:spacing w:val="-23"/>
          <w:w w:val="105"/>
        </w:rPr>
        <w:t> </w:t>
      </w:r>
      <w:r>
        <w:rPr>
          <w:color w:val="231F20"/>
          <w:w w:val="105"/>
        </w:rPr>
        <w:t>pa-</w:t>
      </w:r>
      <w:r>
        <w:rPr>
          <w:color w:val="231F20"/>
          <w:w w:val="96"/>
        </w:rPr>
        <w:t> </w:t>
      </w:r>
      <w:r>
        <w:rPr>
          <w:color w:val="231F20"/>
          <w:spacing w:val="-3"/>
          <w:w w:val="105"/>
        </w:rPr>
        <w:t>rámetros:</w:t>
      </w:r>
      <w:r>
        <w:rPr>
          <w:color w:val="231F20"/>
          <w:spacing w:val="-8"/>
          <w:w w:val="105"/>
        </w:rPr>
        <w:t> </w:t>
      </w:r>
      <w:r>
        <w:rPr>
          <w:color w:val="231F20"/>
          <w:w w:val="105"/>
        </w:rPr>
        <w:t>la</w:t>
      </w:r>
      <w:r>
        <w:rPr>
          <w:color w:val="231F20"/>
          <w:spacing w:val="-8"/>
          <w:w w:val="105"/>
        </w:rPr>
        <w:t> </w:t>
      </w:r>
      <w:r>
        <w:rPr>
          <w:color w:val="231F20"/>
          <w:w w:val="105"/>
        </w:rPr>
        <w:t>media</w:t>
      </w:r>
      <w:r>
        <w:rPr>
          <w:color w:val="231F20"/>
          <w:spacing w:val="-8"/>
          <w:w w:val="105"/>
        </w:rPr>
        <w:t> </w:t>
      </w:r>
      <w:r>
        <w:rPr>
          <w:color w:val="231F20"/>
          <w:w w:val="105"/>
        </w:rPr>
        <w:t>de</w:t>
      </w:r>
      <w:r>
        <w:rPr>
          <w:color w:val="231F20"/>
          <w:spacing w:val="-8"/>
          <w:w w:val="105"/>
        </w:rPr>
        <w:t> </w:t>
      </w:r>
      <w:r>
        <w:rPr>
          <w:color w:val="231F20"/>
          <w:spacing w:val="-3"/>
          <w:w w:val="105"/>
        </w:rPr>
        <w:t>largo</w:t>
      </w:r>
      <w:r>
        <w:rPr>
          <w:color w:val="231F20"/>
          <w:spacing w:val="-8"/>
          <w:w w:val="105"/>
        </w:rPr>
        <w:t> </w:t>
      </w:r>
      <w:r>
        <w:rPr>
          <w:color w:val="231F20"/>
          <w:w w:val="105"/>
        </w:rPr>
        <w:t>plazo</w:t>
      </w:r>
      <w:r>
        <w:rPr>
          <w:color w:val="231F20"/>
          <w:spacing w:val="-8"/>
          <w:w w:val="105"/>
        </w:rPr>
        <w:t> </w:t>
      </w:r>
      <w:r>
        <w:rPr>
          <w:color w:val="231F20"/>
          <w:w w:val="105"/>
        </w:rPr>
        <w:t>(</w:t>
      </w:r>
      <w:r>
        <w:rPr>
          <w:rFonts w:ascii="Times New Roman" w:hAnsi="Times New Roman"/>
          <w:i/>
          <w:color w:val="231F20"/>
          <w:w w:val="105"/>
          <w:sz w:val="22"/>
        </w:rPr>
        <w:t>θ </w:t>
      </w:r>
      <w:r>
        <w:rPr>
          <w:color w:val="231F20"/>
          <w:w w:val="105"/>
        </w:rPr>
        <w:t>)</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que</w:t>
      </w:r>
      <w:r>
        <w:rPr>
          <w:color w:val="231F20"/>
          <w:spacing w:val="-8"/>
          <w:w w:val="105"/>
        </w:rPr>
        <w:t> </w:t>
      </w:r>
      <w:r>
        <w:rPr>
          <w:color w:val="231F20"/>
          <w:spacing w:val="-3"/>
          <w:w w:val="105"/>
        </w:rPr>
        <w:t>revierte</w:t>
      </w:r>
      <w:r>
        <w:rPr>
          <w:color w:val="231F20"/>
          <w:spacing w:val="-8"/>
          <w:w w:val="105"/>
        </w:rPr>
        <w:t> </w:t>
      </w:r>
      <w:r>
        <w:rPr>
          <w:color w:val="231F20"/>
          <w:w w:val="105"/>
        </w:rPr>
        <w:t>la</w:t>
      </w:r>
      <w:r>
        <w:rPr>
          <w:color w:val="231F20"/>
          <w:spacing w:val="-8"/>
          <w:w w:val="105"/>
        </w:rPr>
        <w:t> </w:t>
      </w:r>
      <w:r>
        <w:rPr>
          <w:color w:val="231F20"/>
          <w:spacing w:val="-2"/>
          <w:w w:val="105"/>
        </w:rPr>
        <w:t>volatilidad,</w:t>
      </w:r>
      <w:r>
        <w:rPr>
          <w:color w:val="231F20"/>
          <w:spacing w:val="-13"/>
          <w:w w:val="105"/>
        </w:rPr>
        <w:t> </w:t>
      </w:r>
      <w:r>
        <w:rPr>
          <w:color w:val="231F20"/>
          <w:w w:val="105"/>
        </w:rPr>
        <w:t>la</w:t>
      </w:r>
      <w:r>
        <w:rPr>
          <w:color w:val="231F20"/>
          <w:spacing w:val="-2"/>
          <w:w w:val="100"/>
        </w:rPr>
        <w:t> </w:t>
      </w:r>
      <w:r>
        <w:rPr>
          <w:color w:val="231F20"/>
          <w:w w:val="105"/>
        </w:rPr>
        <w:t>velocidad</w:t>
      </w:r>
      <w:r>
        <w:rPr>
          <w:color w:val="231F20"/>
          <w:spacing w:val="-31"/>
          <w:w w:val="105"/>
        </w:rPr>
        <w:t> </w:t>
      </w:r>
      <w:r>
        <w:rPr>
          <w:color w:val="231F20"/>
          <w:w w:val="105"/>
        </w:rPr>
        <w:t>de</w:t>
      </w:r>
      <w:r>
        <w:rPr>
          <w:color w:val="231F20"/>
          <w:spacing w:val="-31"/>
          <w:w w:val="105"/>
        </w:rPr>
        <w:t> </w:t>
      </w:r>
      <w:r>
        <w:rPr>
          <w:color w:val="231F20"/>
          <w:spacing w:val="-3"/>
          <w:w w:val="105"/>
        </w:rPr>
        <w:t>reversión</w:t>
      </w:r>
      <w:r>
        <w:rPr>
          <w:color w:val="231F20"/>
          <w:spacing w:val="-31"/>
          <w:w w:val="105"/>
        </w:rPr>
        <w:t> </w:t>
      </w:r>
      <w:r>
        <w:rPr>
          <w:color w:val="231F20"/>
          <w:w w:val="105"/>
        </w:rPr>
        <w:t>(</w:t>
      </w:r>
      <w:r>
        <w:rPr>
          <w:rFonts w:ascii="Times New Roman" w:hAnsi="Times New Roman"/>
          <w:i/>
          <w:color w:val="231F20"/>
          <w:w w:val="105"/>
          <w:sz w:val="22"/>
        </w:rPr>
        <w:t>κ</w:t>
      </w:r>
      <w:r>
        <w:rPr>
          <w:color w:val="231F20"/>
          <w:w w:val="105"/>
        </w:rPr>
        <w:t>)</w:t>
      </w:r>
      <w:r>
        <w:rPr>
          <w:color w:val="231F20"/>
          <w:spacing w:val="-31"/>
          <w:w w:val="105"/>
        </w:rPr>
        <w:t> </w:t>
      </w:r>
      <w:r>
        <w:rPr>
          <w:color w:val="231F20"/>
          <w:w w:val="105"/>
        </w:rPr>
        <w:t>y</w:t>
      </w:r>
      <w:r>
        <w:rPr>
          <w:color w:val="231F20"/>
          <w:spacing w:val="-31"/>
          <w:w w:val="105"/>
        </w:rPr>
        <w:t> </w:t>
      </w:r>
      <w:r>
        <w:rPr>
          <w:color w:val="231F20"/>
          <w:w w:val="105"/>
        </w:rPr>
        <w:t>el</w:t>
      </w:r>
      <w:r>
        <w:rPr>
          <w:color w:val="231F20"/>
          <w:spacing w:val="-31"/>
          <w:w w:val="105"/>
        </w:rPr>
        <w:t> </w:t>
      </w:r>
      <w:r>
        <w:rPr>
          <w:color w:val="231F20"/>
          <w:w w:val="105"/>
        </w:rPr>
        <w:t>coeficiente</w:t>
      </w:r>
      <w:r>
        <w:rPr>
          <w:color w:val="231F20"/>
          <w:spacing w:val="-31"/>
          <w:w w:val="105"/>
        </w:rPr>
        <w:t> </w:t>
      </w:r>
      <w:r>
        <w:rPr>
          <w:color w:val="231F20"/>
          <w:w w:val="105"/>
        </w:rPr>
        <w:t>de</w:t>
      </w:r>
      <w:r>
        <w:rPr>
          <w:color w:val="231F20"/>
          <w:spacing w:val="-31"/>
          <w:w w:val="105"/>
        </w:rPr>
        <w:t> </w:t>
      </w:r>
      <w:r>
        <w:rPr>
          <w:color w:val="231F20"/>
          <w:w w:val="105"/>
        </w:rPr>
        <w:t>variación</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volatilidad</w:t>
      </w:r>
      <w:r>
        <w:rPr>
          <w:color w:val="231F20"/>
          <w:spacing w:val="-31"/>
          <w:w w:val="105"/>
        </w:rPr>
        <w:t> </w:t>
      </w:r>
      <w:r>
        <w:rPr>
          <w:color w:val="231F20"/>
          <w:w w:val="105"/>
        </w:rPr>
        <w:t>(</w:t>
      </w:r>
      <w:r>
        <w:rPr>
          <w:rFonts w:ascii="Times New Roman" w:hAnsi="Times New Roman"/>
          <w:i/>
          <w:color w:val="231F20"/>
          <w:w w:val="105"/>
          <w:sz w:val="22"/>
        </w:rPr>
        <w:t>σ</w:t>
      </w:r>
      <w:r>
        <w:rPr>
          <w:color w:val="231F20"/>
          <w:w w:val="105"/>
        </w:rPr>
        <w:t>).</w:t>
      </w:r>
    </w:p>
    <w:p>
      <w:pPr>
        <w:pStyle w:val="BodyText"/>
        <w:spacing w:line="256" w:lineRule="auto"/>
        <w:ind w:left="103" w:right="109" w:firstLine="567"/>
        <w:jc w:val="both"/>
      </w:pPr>
      <w:r>
        <w:rPr>
          <w:color w:val="231F20"/>
          <w:w w:val="105"/>
        </w:rPr>
        <w:t>En dicho modelo el coeficiente </w:t>
      </w:r>
      <w:r>
        <w:rPr>
          <w:rFonts w:ascii="Times New Roman" w:hAnsi="Times New Roman"/>
          <w:i/>
          <w:color w:val="231F20"/>
          <w:w w:val="105"/>
          <w:sz w:val="22"/>
        </w:rPr>
        <w:t>σ </w:t>
      </w:r>
      <w:r>
        <w:rPr>
          <w:color w:val="231F20"/>
          <w:w w:val="105"/>
        </w:rPr>
        <w:t>para las tres etapas analizadas con</w:t>
      </w:r>
      <w:r>
        <w:rPr>
          <w:color w:val="231F20"/>
          <w:spacing w:val="-17"/>
          <w:w w:val="105"/>
        </w:rPr>
        <w:t> </w:t>
      </w:r>
      <w:r>
        <w:rPr>
          <w:color w:val="231F20"/>
          <w:w w:val="105"/>
        </w:rPr>
        <w:t>datos</w:t>
      </w:r>
      <w:r>
        <w:rPr>
          <w:color w:val="231F20"/>
          <w:spacing w:val="-17"/>
          <w:w w:val="105"/>
        </w:rPr>
        <w:t> </w:t>
      </w:r>
      <w:r>
        <w:rPr>
          <w:color w:val="231F20"/>
          <w:w w:val="105"/>
        </w:rPr>
        <w:t>diarios</w:t>
      </w:r>
      <w:r>
        <w:rPr>
          <w:color w:val="231F20"/>
          <w:spacing w:val="-17"/>
          <w:w w:val="105"/>
        </w:rPr>
        <w:t> </w:t>
      </w:r>
      <w:r>
        <w:rPr>
          <w:color w:val="231F20"/>
          <w:w w:val="105"/>
        </w:rPr>
        <w:t>(0.056459,</w:t>
      </w:r>
      <w:r>
        <w:rPr>
          <w:color w:val="231F20"/>
          <w:spacing w:val="-22"/>
          <w:w w:val="105"/>
        </w:rPr>
        <w:t> </w:t>
      </w:r>
      <w:r>
        <w:rPr>
          <w:color w:val="231F20"/>
          <w:w w:val="105"/>
        </w:rPr>
        <w:t>0.284991</w:t>
      </w:r>
      <w:r>
        <w:rPr>
          <w:color w:val="231F20"/>
          <w:spacing w:val="-17"/>
          <w:w w:val="105"/>
        </w:rPr>
        <w:t> </w:t>
      </w:r>
      <w:r>
        <w:rPr>
          <w:color w:val="231F20"/>
          <w:w w:val="105"/>
        </w:rPr>
        <w:t>y</w:t>
      </w:r>
      <w:r>
        <w:rPr>
          <w:color w:val="231F20"/>
          <w:spacing w:val="-17"/>
          <w:w w:val="105"/>
        </w:rPr>
        <w:t> </w:t>
      </w:r>
      <w:r>
        <w:rPr>
          <w:color w:val="231F20"/>
          <w:w w:val="105"/>
        </w:rPr>
        <w:t>0.286069,</w:t>
      </w:r>
      <w:r>
        <w:rPr>
          <w:color w:val="231F20"/>
          <w:spacing w:val="-22"/>
          <w:w w:val="105"/>
        </w:rPr>
        <w:t> </w:t>
      </w:r>
      <w:r>
        <w:rPr>
          <w:color w:val="231F20"/>
          <w:w w:val="105"/>
        </w:rPr>
        <w:t>respectivamente)</w:t>
      </w:r>
      <w:r>
        <w:rPr>
          <w:color w:val="231F20"/>
          <w:spacing w:val="-17"/>
          <w:w w:val="105"/>
        </w:rPr>
        <w:t> </w:t>
      </w:r>
      <w:r>
        <w:rPr>
          <w:color w:val="231F20"/>
          <w:w w:val="105"/>
        </w:rPr>
        <w:t>re- fleja</w:t>
      </w:r>
      <w:r>
        <w:rPr>
          <w:color w:val="231F20"/>
          <w:spacing w:val="-13"/>
          <w:w w:val="105"/>
        </w:rPr>
        <w:t> </w:t>
      </w:r>
      <w:r>
        <w:rPr>
          <w:color w:val="231F20"/>
          <w:w w:val="105"/>
        </w:rPr>
        <w:t>una</w:t>
      </w:r>
      <w:r>
        <w:rPr>
          <w:color w:val="231F20"/>
          <w:spacing w:val="-13"/>
          <w:w w:val="105"/>
        </w:rPr>
        <w:t> </w:t>
      </w:r>
      <w:r>
        <w:rPr>
          <w:color w:val="231F20"/>
          <w:w w:val="105"/>
        </w:rPr>
        <w:t>volatilidad</w:t>
      </w:r>
      <w:r>
        <w:rPr>
          <w:color w:val="231F20"/>
          <w:spacing w:val="-13"/>
          <w:w w:val="105"/>
        </w:rPr>
        <w:t> </w:t>
      </w:r>
      <w:r>
        <w:rPr>
          <w:color w:val="231F20"/>
          <w:w w:val="105"/>
        </w:rPr>
        <w:t>más</w:t>
      </w:r>
      <w:r>
        <w:rPr>
          <w:color w:val="231F20"/>
          <w:spacing w:val="-13"/>
          <w:w w:val="105"/>
        </w:rPr>
        <w:t> </w:t>
      </w:r>
      <w:r>
        <w:rPr>
          <w:color w:val="231F20"/>
          <w:w w:val="105"/>
        </w:rPr>
        <w:t>extrema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w w:val="105"/>
        </w:rPr>
        <w:t>de</w:t>
      </w:r>
      <w:r>
        <w:rPr>
          <w:color w:val="231F20"/>
          <w:spacing w:val="-13"/>
          <w:w w:val="105"/>
        </w:rPr>
        <w:t> </w:t>
      </w:r>
      <w:r>
        <w:rPr>
          <w:color w:val="231F20"/>
          <w:w w:val="105"/>
        </w:rPr>
        <w:t>inestabilidad</w:t>
      </w:r>
      <w:r>
        <w:rPr>
          <w:color w:val="231F20"/>
          <w:spacing w:val="-13"/>
          <w:w w:val="105"/>
        </w:rPr>
        <w:t> </w:t>
      </w:r>
      <w:r>
        <w:rPr>
          <w:color w:val="231F20"/>
          <w:w w:val="105"/>
        </w:rPr>
        <w:t>financie- ra (como era de esperarse) y el periodo desde 2003 a 2012, con estos valores se corrobora que el mercado presenta movimientos extremos, sobretodo en periodos de crisis; en cambio, para el periodo de estabili- dad,</w:t>
      </w:r>
      <w:r>
        <w:rPr>
          <w:color w:val="231F20"/>
          <w:spacing w:val="-22"/>
          <w:w w:val="105"/>
        </w:rPr>
        <w:t> </w:t>
      </w:r>
      <w:r>
        <w:rPr>
          <w:rFonts w:ascii="Times New Roman" w:hAnsi="Times New Roman"/>
          <w:i/>
          <w:color w:val="231F20"/>
          <w:w w:val="105"/>
          <w:sz w:val="22"/>
        </w:rPr>
        <w:t>σ</w:t>
      </w:r>
      <w:r>
        <w:rPr>
          <w:rFonts w:ascii="Times New Roman" w:hAnsi="Times New Roman"/>
          <w:i/>
          <w:color w:val="231F20"/>
          <w:spacing w:val="-13"/>
          <w:w w:val="105"/>
          <w:sz w:val="22"/>
        </w:rPr>
        <w:t> </w:t>
      </w:r>
      <w:r>
        <w:rPr>
          <w:color w:val="231F20"/>
          <w:w w:val="105"/>
        </w:rPr>
        <w:t>es</w:t>
      </w:r>
      <w:r>
        <w:rPr>
          <w:color w:val="231F20"/>
          <w:spacing w:val="-16"/>
          <w:w w:val="105"/>
        </w:rPr>
        <w:t> </w:t>
      </w:r>
      <w:r>
        <w:rPr>
          <w:color w:val="231F20"/>
          <w:w w:val="105"/>
        </w:rPr>
        <w:t>mucho</w:t>
      </w:r>
      <w:r>
        <w:rPr>
          <w:color w:val="231F20"/>
          <w:spacing w:val="-16"/>
          <w:w w:val="105"/>
        </w:rPr>
        <w:t> </w:t>
      </w:r>
      <w:r>
        <w:rPr>
          <w:color w:val="231F20"/>
          <w:w w:val="105"/>
        </w:rPr>
        <w:t>menor,</w:t>
      </w:r>
      <w:r>
        <w:rPr>
          <w:color w:val="231F20"/>
          <w:spacing w:val="-22"/>
          <w:w w:val="105"/>
        </w:rPr>
        <w:t> </w:t>
      </w:r>
      <w:r>
        <w:rPr>
          <w:color w:val="231F20"/>
          <w:w w:val="105"/>
        </w:rPr>
        <w:t>es</w:t>
      </w:r>
      <w:r>
        <w:rPr>
          <w:color w:val="231F20"/>
          <w:spacing w:val="-16"/>
          <w:w w:val="105"/>
        </w:rPr>
        <w:t> </w:t>
      </w:r>
      <w:r>
        <w:rPr>
          <w:color w:val="231F20"/>
          <w:w w:val="105"/>
        </w:rPr>
        <w:t>decir,</w:t>
      </w:r>
      <w:r>
        <w:rPr>
          <w:color w:val="231F20"/>
          <w:spacing w:val="-22"/>
          <w:w w:val="105"/>
        </w:rPr>
        <w:t> </w:t>
      </w:r>
      <w:r>
        <w:rPr>
          <w:color w:val="231F20"/>
          <w:w w:val="105"/>
        </w:rPr>
        <w:t>presenta</w:t>
      </w:r>
      <w:r>
        <w:rPr>
          <w:color w:val="231F20"/>
          <w:spacing w:val="-16"/>
          <w:w w:val="105"/>
        </w:rPr>
        <w:t> </w:t>
      </w:r>
      <w:r>
        <w:rPr>
          <w:color w:val="231F20"/>
          <w:w w:val="105"/>
        </w:rPr>
        <w:t>menor</w:t>
      </w:r>
      <w:r>
        <w:rPr>
          <w:color w:val="231F20"/>
          <w:spacing w:val="-16"/>
          <w:w w:val="105"/>
        </w:rPr>
        <w:t> </w:t>
      </w:r>
      <w:r>
        <w:rPr>
          <w:color w:val="231F20"/>
          <w:w w:val="105"/>
        </w:rPr>
        <w:t>volatilidad.</w:t>
      </w:r>
    </w:p>
    <w:p>
      <w:pPr>
        <w:pStyle w:val="BodyText"/>
        <w:spacing w:line="256" w:lineRule="auto"/>
        <w:ind w:left="103" w:right="110" w:firstLine="567"/>
        <w:jc w:val="both"/>
      </w:pPr>
      <w:r>
        <w:rPr>
          <w:color w:val="231F20"/>
          <w:w w:val="105"/>
        </w:rPr>
        <w:t>En</w:t>
      </w:r>
      <w:r>
        <w:rPr>
          <w:color w:val="231F20"/>
          <w:spacing w:val="-15"/>
          <w:w w:val="105"/>
        </w:rPr>
        <w:t> </w:t>
      </w:r>
      <w:r>
        <w:rPr>
          <w:color w:val="231F20"/>
          <w:w w:val="105"/>
        </w:rPr>
        <w:t>cuanto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velocidad</w:t>
      </w:r>
      <w:r>
        <w:rPr>
          <w:color w:val="231F20"/>
          <w:spacing w:val="-15"/>
          <w:w w:val="105"/>
        </w:rPr>
        <w:t> </w:t>
      </w:r>
      <w:r>
        <w:rPr>
          <w:color w:val="231F20"/>
          <w:w w:val="105"/>
        </w:rPr>
        <w:t>de</w:t>
      </w:r>
      <w:r>
        <w:rPr>
          <w:color w:val="231F20"/>
          <w:spacing w:val="-15"/>
          <w:w w:val="105"/>
        </w:rPr>
        <w:t> </w:t>
      </w:r>
      <w:r>
        <w:rPr>
          <w:color w:val="231F20"/>
          <w:w w:val="105"/>
        </w:rPr>
        <w:t>reversión</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media,</w:t>
      </w:r>
      <w:r>
        <w:rPr>
          <w:color w:val="231F20"/>
          <w:spacing w:val="-19"/>
          <w:w w:val="105"/>
        </w:rPr>
        <w:t> </w:t>
      </w:r>
      <w:r>
        <w:rPr>
          <w:color w:val="231F20"/>
          <w:w w:val="105"/>
        </w:rPr>
        <w:t>para</w:t>
      </w:r>
      <w:r>
        <w:rPr>
          <w:color w:val="231F20"/>
          <w:spacing w:val="-15"/>
          <w:w w:val="105"/>
        </w:rPr>
        <w:t> </w:t>
      </w:r>
      <w:r>
        <w:rPr>
          <w:color w:val="231F20"/>
          <w:w w:val="105"/>
        </w:rPr>
        <w:t>las</w:t>
      </w:r>
      <w:r>
        <w:rPr>
          <w:color w:val="231F20"/>
          <w:spacing w:val="-15"/>
          <w:w w:val="105"/>
        </w:rPr>
        <w:t> </w:t>
      </w:r>
      <w:r>
        <w:rPr>
          <w:color w:val="231F20"/>
          <w:w w:val="105"/>
        </w:rPr>
        <w:t>tres</w:t>
      </w:r>
      <w:r>
        <w:rPr>
          <w:color w:val="231F20"/>
          <w:spacing w:val="-15"/>
          <w:w w:val="105"/>
        </w:rPr>
        <w:t> </w:t>
      </w:r>
      <w:r>
        <w:rPr>
          <w:color w:val="231F20"/>
          <w:w w:val="105"/>
        </w:rPr>
        <w:t>eta- pas</w:t>
      </w:r>
      <w:r>
        <w:rPr>
          <w:color w:val="231F20"/>
          <w:spacing w:val="-15"/>
          <w:w w:val="105"/>
        </w:rPr>
        <w:t> </w:t>
      </w:r>
      <w:r>
        <w:rPr>
          <w:color w:val="231F20"/>
          <w:w w:val="105"/>
        </w:rPr>
        <w:t>se</w:t>
      </w:r>
      <w:r>
        <w:rPr>
          <w:color w:val="231F20"/>
          <w:spacing w:val="-15"/>
          <w:w w:val="105"/>
        </w:rPr>
        <w:t> </w:t>
      </w:r>
      <w:r>
        <w:rPr>
          <w:color w:val="231F20"/>
          <w:w w:val="105"/>
        </w:rPr>
        <w:t>obtienen</w:t>
      </w:r>
      <w:r>
        <w:rPr>
          <w:color w:val="231F20"/>
          <w:spacing w:val="-15"/>
          <w:w w:val="105"/>
        </w:rPr>
        <w:t> </w:t>
      </w:r>
      <w:r>
        <w:rPr>
          <w:color w:val="231F20"/>
          <w:w w:val="105"/>
        </w:rPr>
        <w:t>los</w:t>
      </w:r>
      <w:r>
        <w:rPr>
          <w:color w:val="231F20"/>
          <w:spacing w:val="-15"/>
          <w:w w:val="105"/>
        </w:rPr>
        <w:t> </w:t>
      </w:r>
      <w:r>
        <w:rPr>
          <w:color w:val="231F20"/>
          <w:w w:val="105"/>
        </w:rPr>
        <w:t>siguientes</w:t>
      </w:r>
      <w:r>
        <w:rPr>
          <w:color w:val="231F20"/>
          <w:spacing w:val="-15"/>
          <w:w w:val="105"/>
        </w:rPr>
        <w:t> </w:t>
      </w:r>
      <w:r>
        <w:rPr>
          <w:color w:val="231F20"/>
          <w:w w:val="105"/>
        </w:rPr>
        <w:t>valores:</w:t>
      </w:r>
      <w:r>
        <w:rPr>
          <w:color w:val="231F20"/>
          <w:spacing w:val="-16"/>
          <w:w w:val="105"/>
        </w:rPr>
        <w:t> </w:t>
      </w:r>
      <w:r>
        <w:rPr>
          <w:rFonts w:ascii="Times New Roman" w:hAnsi="Times New Roman"/>
          <w:i/>
          <w:color w:val="231F20"/>
          <w:w w:val="105"/>
          <w:sz w:val="22"/>
        </w:rPr>
        <w:t>κ</w:t>
      </w:r>
      <w:r>
        <w:rPr>
          <w:rFonts w:ascii="Times New Roman" w:hAnsi="Times New Roman"/>
          <w:i/>
          <w:color w:val="231F20"/>
          <w:spacing w:val="-38"/>
          <w:w w:val="105"/>
          <w:sz w:val="22"/>
        </w:rPr>
        <w:t> </w:t>
      </w:r>
      <w:r>
        <w:rPr>
          <w:rFonts w:ascii="Times New Roman" w:hAnsi="Times New Roman"/>
          <w:color w:val="231F20"/>
          <w:w w:val="105"/>
          <w:sz w:val="22"/>
        </w:rPr>
        <w:t>=</w:t>
      </w:r>
      <w:r>
        <w:rPr>
          <w:rFonts w:ascii="Times New Roman" w:hAnsi="Times New Roman"/>
          <w:color w:val="231F20"/>
          <w:spacing w:val="-38"/>
          <w:w w:val="105"/>
          <w:sz w:val="22"/>
        </w:rPr>
        <w:t> </w:t>
      </w:r>
      <w:r>
        <w:rPr>
          <w:color w:val="231F20"/>
          <w:w w:val="105"/>
        </w:rPr>
        <w:t>4.40397,</w:t>
      </w:r>
      <w:r>
        <w:rPr>
          <w:color w:val="231F20"/>
          <w:spacing w:val="-21"/>
          <w:w w:val="105"/>
        </w:rPr>
        <w:t> </w:t>
      </w:r>
      <w:r>
        <w:rPr>
          <w:color w:val="231F20"/>
          <w:w w:val="105"/>
        </w:rPr>
        <w:t>9.16316</w:t>
      </w:r>
      <w:r>
        <w:rPr>
          <w:color w:val="231F20"/>
          <w:spacing w:val="-15"/>
          <w:w w:val="105"/>
        </w:rPr>
        <w:t> </w:t>
      </w:r>
      <w:r>
        <w:rPr>
          <w:color w:val="231F20"/>
          <w:w w:val="105"/>
        </w:rPr>
        <w:t>y</w:t>
      </w:r>
      <w:r>
        <w:rPr>
          <w:color w:val="231F20"/>
          <w:spacing w:val="-15"/>
          <w:w w:val="105"/>
        </w:rPr>
        <w:t> </w:t>
      </w:r>
      <w:r>
        <w:rPr>
          <w:color w:val="231F20"/>
          <w:w w:val="105"/>
        </w:rPr>
        <w:t>4.524628, respectivamente, provocando una gran variación de los precios, sobre todo en el periodo en el cual estalló la crisis mundial. Así se corrobora que</w:t>
      </w:r>
      <w:r>
        <w:rPr>
          <w:color w:val="231F20"/>
          <w:spacing w:val="-13"/>
          <w:w w:val="105"/>
        </w:rPr>
        <w:t> </w:t>
      </w:r>
      <w:r>
        <w:rPr>
          <w:color w:val="231F20"/>
          <w:w w:val="105"/>
        </w:rPr>
        <w:t>existe</w:t>
      </w:r>
      <w:r>
        <w:rPr>
          <w:color w:val="231F20"/>
          <w:spacing w:val="-13"/>
          <w:w w:val="105"/>
        </w:rPr>
        <w:t> </w:t>
      </w:r>
      <w:r>
        <w:rPr>
          <w:color w:val="231F20"/>
          <w:w w:val="105"/>
        </w:rPr>
        <w:t>una</w:t>
      </w:r>
      <w:r>
        <w:rPr>
          <w:color w:val="231F20"/>
          <w:spacing w:val="-13"/>
          <w:w w:val="105"/>
        </w:rPr>
        <w:t> </w:t>
      </w:r>
      <w:r>
        <w:rPr>
          <w:color w:val="231F20"/>
          <w:w w:val="105"/>
        </w:rPr>
        <w:t>alta</w:t>
      </w:r>
      <w:r>
        <w:rPr>
          <w:color w:val="231F20"/>
          <w:spacing w:val="-13"/>
          <w:w w:val="105"/>
        </w:rPr>
        <w:t> </w:t>
      </w:r>
      <w:r>
        <w:rPr>
          <w:color w:val="231F20"/>
          <w:w w:val="105"/>
        </w:rPr>
        <w:t>volatilidad</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periodo</w:t>
      </w:r>
      <w:r>
        <w:rPr>
          <w:color w:val="231F20"/>
          <w:spacing w:val="-13"/>
          <w:w w:val="105"/>
        </w:rPr>
        <w:t> </w:t>
      </w:r>
      <w:r>
        <w:rPr>
          <w:color w:val="231F20"/>
          <w:w w:val="105"/>
        </w:rPr>
        <w:t>de</w:t>
      </w:r>
      <w:r>
        <w:rPr>
          <w:color w:val="231F20"/>
          <w:spacing w:val="-13"/>
          <w:w w:val="105"/>
        </w:rPr>
        <w:t> </w:t>
      </w:r>
      <w:r>
        <w:rPr>
          <w:color w:val="231F20"/>
          <w:w w:val="105"/>
        </w:rPr>
        <w:t>agosto</w:t>
      </w:r>
      <w:r>
        <w:rPr>
          <w:color w:val="231F20"/>
          <w:spacing w:val="-13"/>
          <w:w w:val="105"/>
        </w:rPr>
        <w:t> </w:t>
      </w:r>
      <w:r>
        <w:rPr>
          <w:color w:val="231F20"/>
          <w:w w:val="105"/>
        </w:rPr>
        <w:t>de</w:t>
      </w:r>
      <w:r>
        <w:rPr>
          <w:color w:val="231F20"/>
          <w:spacing w:val="-13"/>
          <w:w w:val="105"/>
        </w:rPr>
        <w:t> </w:t>
      </w:r>
      <w:r>
        <w:rPr>
          <w:color w:val="231F20"/>
          <w:w w:val="105"/>
        </w:rPr>
        <w:t>2008</w:t>
      </w:r>
      <w:r>
        <w:rPr>
          <w:color w:val="231F20"/>
          <w:spacing w:val="-13"/>
          <w:w w:val="105"/>
        </w:rPr>
        <w:t> </w:t>
      </w:r>
      <w:r>
        <w:rPr>
          <w:color w:val="231F20"/>
          <w:w w:val="105"/>
        </w:rPr>
        <w:t>a</w:t>
      </w:r>
      <w:r>
        <w:rPr>
          <w:color w:val="231F20"/>
          <w:spacing w:val="-13"/>
          <w:w w:val="105"/>
        </w:rPr>
        <w:t> </w:t>
      </w:r>
      <w:r>
        <w:rPr>
          <w:color w:val="231F20"/>
          <w:w w:val="105"/>
        </w:rPr>
        <w:t>diciem- bre de 2012. Se sustenta con ello que es idóneo el modelo de Heston, el cual considera volatilidad estocástica para calcular los precios de la opción para el tipo de cambio</w:t>
      </w:r>
      <w:r>
        <w:rPr>
          <w:color w:val="231F20"/>
          <w:spacing w:val="-7"/>
          <w:w w:val="105"/>
        </w:rPr>
        <w:t> </w:t>
      </w:r>
      <w:r>
        <w:rPr>
          <w:color w:val="231F20"/>
          <w:w w:val="105"/>
        </w:rPr>
        <w:t>mx/usd.</w:t>
      </w:r>
    </w:p>
    <w:p>
      <w:pPr>
        <w:pStyle w:val="BodyText"/>
        <w:spacing w:line="256" w:lineRule="auto" w:before="2"/>
        <w:ind w:left="103" w:right="110" w:firstLine="567"/>
        <w:jc w:val="both"/>
      </w:pPr>
      <w:r>
        <w:rPr>
          <w:color w:val="231F20"/>
          <w:spacing w:val="-6"/>
          <w:w w:val="105"/>
        </w:rPr>
        <w:t>Por </w:t>
      </w:r>
      <w:r>
        <w:rPr>
          <w:color w:val="231F20"/>
          <w:w w:val="105"/>
        </w:rPr>
        <w:t>lo anterior, cabe señalar que en comparación con las conclu- siones</w:t>
      </w:r>
      <w:r>
        <w:rPr>
          <w:color w:val="231F20"/>
          <w:spacing w:val="-6"/>
          <w:w w:val="105"/>
        </w:rPr>
        <w:t> </w:t>
      </w:r>
      <w:r>
        <w:rPr>
          <w:color w:val="231F20"/>
          <w:w w:val="105"/>
        </w:rPr>
        <w:t>de</w:t>
      </w:r>
      <w:r>
        <w:rPr>
          <w:color w:val="231F20"/>
          <w:spacing w:val="-6"/>
          <w:w w:val="105"/>
        </w:rPr>
        <w:t> </w:t>
      </w:r>
      <w:r>
        <w:rPr>
          <w:color w:val="231F20"/>
          <w:w w:val="105"/>
        </w:rPr>
        <w:t>Guo</w:t>
      </w:r>
      <w:r>
        <w:rPr>
          <w:color w:val="231F20"/>
          <w:spacing w:val="-6"/>
          <w:w w:val="105"/>
        </w:rPr>
        <w:t> </w:t>
      </w:r>
      <w:r>
        <w:rPr>
          <w:color w:val="231F20"/>
          <w:w w:val="105"/>
        </w:rPr>
        <w:t>(1998)</w:t>
      </w:r>
      <w:r>
        <w:rPr>
          <w:color w:val="231F20"/>
          <w:spacing w:val="-6"/>
          <w:w w:val="105"/>
        </w:rPr>
        <w:t> </w:t>
      </w:r>
      <w:r>
        <w:rPr>
          <w:color w:val="231F20"/>
          <w:w w:val="105"/>
        </w:rPr>
        <w:t>sobre</w:t>
      </w:r>
      <w:r>
        <w:rPr>
          <w:color w:val="231F20"/>
          <w:spacing w:val="-6"/>
          <w:w w:val="105"/>
        </w:rPr>
        <w:t> </w:t>
      </w:r>
      <w:r>
        <w:rPr>
          <w:color w:val="231F20"/>
          <w:w w:val="105"/>
        </w:rPr>
        <w:t>el</w:t>
      </w:r>
      <w:r>
        <w:rPr>
          <w:color w:val="231F20"/>
          <w:spacing w:val="-6"/>
          <w:w w:val="105"/>
        </w:rPr>
        <w:t> </w:t>
      </w:r>
      <w:r>
        <w:rPr>
          <w:color w:val="231F20"/>
          <w:w w:val="105"/>
        </w:rPr>
        <w:t>marco</w:t>
      </w:r>
      <w:r>
        <w:rPr>
          <w:color w:val="231F20"/>
          <w:spacing w:val="-6"/>
          <w:w w:val="105"/>
        </w:rPr>
        <w:t> </w:t>
      </w:r>
      <w:r>
        <w:rPr>
          <w:color w:val="231F20"/>
          <w:w w:val="105"/>
        </w:rPr>
        <w:t>alemán</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comercializa</w:t>
      </w:r>
      <w:r>
        <w:rPr>
          <w:color w:val="231F20"/>
          <w:spacing w:val="-6"/>
          <w:w w:val="105"/>
        </w:rPr>
        <w:t> </w:t>
      </w:r>
      <w:r>
        <w:rPr>
          <w:color w:val="231F20"/>
          <w:w w:val="105"/>
        </w:rPr>
        <w:t>en</w:t>
      </w:r>
      <w:r>
        <w:rPr>
          <w:color w:val="231F20"/>
          <w:spacing w:val="-6"/>
          <w:w w:val="105"/>
        </w:rPr>
        <w:t> </w:t>
      </w:r>
      <w:r>
        <w:rPr>
          <w:color w:val="231F20"/>
          <w:w w:val="105"/>
        </w:rPr>
        <w:t>el PHLX</w:t>
      </w:r>
      <w:r>
        <w:rPr>
          <w:color w:val="231F20"/>
          <w:spacing w:val="-7"/>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periodo</w:t>
      </w:r>
      <w:r>
        <w:rPr>
          <w:color w:val="231F20"/>
          <w:spacing w:val="-4"/>
          <w:w w:val="105"/>
        </w:rPr>
        <w:t> </w:t>
      </w:r>
      <w:r>
        <w:rPr>
          <w:color w:val="231F20"/>
          <w:w w:val="105"/>
        </w:rPr>
        <w:t>de</w:t>
      </w:r>
      <w:r>
        <w:rPr>
          <w:color w:val="231F20"/>
          <w:spacing w:val="-4"/>
          <w:w w:val="105"/>
        </w:rPr>
        <w:t> </w:t>
      </w:r>
      <w:r>
        <w:rPr>
          <w:color w:val="231F20"/>
          <w:w w:val="105"/>
        </w:rPr>
        <w:t>1987</w:t>
      </w:r>
      <w:r>
        <w:rPr>
          <w:color w:val="231F20"/>
          <w:spacing w:val="-4"/>
          <w:w w:val="105"/>
        </w:rPr>
        <w:t> </w:t>
      </w:r>
      <w:r>
        <w:rPr>
          <w:color w:val="231F20"/>
          <w:w w:val="105"/>
        </w:rPr>
        <w:t>a</w:t>
      </w:r>
      <w:r>
        <w:rPr>
          <w:color w:val="231F20"/>
          <w:spacing w:val="-4"/>
          <w:w w:val="105"/>
        </w:rPr>
        <w:t> </w:t>
      </w:r>
      <w:r>
        <w:rPr>
          <w:color w:val="231F20"/>
          <w:w w:val="105"/>
        </w:rPr>
        <w:t>1992</w:t>
      </w:r>
      <w:r>
        <w:rPr>
          <w:color w:val="231F20"/>
          <w:spacing w:val="-4"/>
          <w:w w:val="105"/>
        </w:rPr>
        <w:t> </w:t>
      </w:r>
      <w:r>
        <w:rPr>
          <w:color w:val="231F20"/>
          <w:w w:val="105"/>
        </w:rPr>
        <w:t>(que</w:t>
      </w:r>
      <w:r>
        <w:rPr>
          <w:color w:val="231F20"/>
          <w:spacing w:val="-4"/>
          <w:w w:val="105"/>
        </w:rPr>
        <w:t> </w:t>
      </w:r>
      <w:r>
        <w:rPr>
          <w:color w:val="231F20"/>
          <w:w w:val="105"/>
        </w:rPr>
        <w:t>presentaba</w:t>
      </w:r>
      <w:r>
        <w:rPr>
          <w:color w:val="231F20"/>
          <w:spacing w:val="-4"/>
          <w:w w:val="105"/>
        </w:rPr>
        <w:t> </w:t>
      </w:r>
      <w:r>
        <w:rPr>
          <w:color w:val="231F20"/>
          <w:w w:val="105"/>
        </w:rPr>
        <w:t>alta</w:t>
      </w:r>
      <w:r>
        <w:rPr>
          <w:color w:val="231F20"/>
          <w:spacing w:val="-4"/>
          <w:w w:val="105"/>
        </w:rPr>
        <w:t> </w:t>
      </w:r>
      <w:r>
        <w:rPr>
          <w:color w:val="231F20"/>
          <w:w w:val="105"/>
        </w:rPr>
        <w:t>volatilidad), la</w:t>
      </w:r>
      <w:r>
        <w:rPr>
          <w:color w:val="231F20"/>
          <w:spacing w:val="-12"/>
          <w:w w:val="105"/>
        </w:rPr>
        <w:t> </w:t>
      </w:r>
      <w:r>
        <w:rPr>
          <w:color w:val="231F20"/>
          <w:w w:val="105"/>
        </w:rPr>
        <w:t>estimación</w:t>
      </w:r>
      <w:r>
        <w:rPr>
          <w:color w:val="231F20"/>
          <w:spacing w:val="-12"/>
          <w:w w:val="105"/>
        </w:rPr>
        <w:t> </w:t>
      </w:r>
      <w:r>
        <w:rPr>
          <w:color w:val="231F20"/>
          <w:w w:val="105"/>
        </w:rPr>
        <w:t>del</w:t>
      </w:r>
      <w:r>
        <w:rPr>
          <w:color w:val="231F20"/>
          <w:spacing w:val="-12"/>
          <w:w w:val="105"/>
        </w:rPr>
        <w:t> </w:t>
      </w:r>
      <w:r>
        <w:rPr>
          <w:color w:val="231F20"/>
          <w:w w:val="105"/>
        </w:rPr>
        <w:t>parámetro</w:t>
      </w:r>
      <w:r>
        <w:rPr>
          <w:color w:val="231F20"/>
          <w:spacing w:val="-12"/>
          <w:w w:val="105"/>
        </w:rPr>
        <w:t> </w:t>
      </w:r>
      <w:r>
        <w:rPr>
          <w:color w:val="231F20"/>
          <w:w w:val="105"/>
        </w:rPr>
        <w:t>(</w:t>
      </w:r>
      <w:r>
        <w:rPr>
          <w:rFonts w:ascii="Times New Roman" w:hAnsi="Times New Roman"/>
          <w:i/>
          <w:color w:val="231F20"/>
          <w:w w:val="105"/>
          <w:sz w:val="22"/>
        </w:rPr>
        <w:t>κ</w:t>
      </w:r>
      <w:r>
        <w:rPr>
          <w:color w:val="231F20"/>
          <w:w w:val="105"/>
        </w:rPr>
        <w:t>)</w:t>
      </w:r>
      <w:r>
        <w:rPr>
          <w:color w:val="231F20"/>
          <w:spacing w:val="-12"/>
          <w:w w:val="105"/>
        </w:rPr>
        <w:t> </w:t>
      </w:r>
      <w:r>
        <w:rPr>
          <w:color w:val="231F20"/>
          <w:w w:val="105"/>
        </w:rPr>
        <w:t>obtuvo</w:t>
      </w:r>
      <w:r>
        <w:rPr>
          <w:color w:val="231F20"/>
          <w:spacing w:val="-12"/>
          <w:w w:val="105"/>
        </w:rPr>
        <w:t> </w:t>
      </w:r>
      <w:r>
        <w:rPr>
          <w:color w:val="231F20"/>
          <w:w w:val="105"/>
        </w:rPr>
        <w:t>un</w:t>
      </w:r>
      <w:r>
        <w:rPr>
          <w:color w:val="231F20"/>
          <w:spacing w:val="-12"/>
          <w:w w:val="105"/>
        </w:rPr>
        <w:t> </w:t>
      </w:r>
      <w:r>
        <w:rPr>
          <w:color w:val="231F20"/>
          <w:w w:val="105"/>
        </w:rPr>
        <w:t>valor</w:t>
      </w:r>
      <w:r>
        <w:rPr>
          <w:color w:val="231F20"/>
          <w:spacing w:val="-12"/>
          <w:w w:val="105"/>
        </w:rPr>
        <w:t> </w:t>
      </w:r>
      <w:r>
        <w:rPr>
          <w:color w:val="231F20"/>
          <w:w w:val="105"/>
        </w:rPr>
        <w:t>promedio</w:t>
      </w:r>
      <w:r>
        <w:rPr>
          <w:color w:val="231F20"/>
          <w:spacing w:val="-12"/>
          <w:w w:val="105"/>
        </w:rPr>
        <w:t> </w:t>
      </w:r>
      <w:r>
        <w:rPr>
          <w:color w:val="231F20"/>
          <w:w w:val="105"/>
        </w:rPr>
        <w:t>de</w:t>
      </w:r>
      <w:r>
        <w:rPr>
          <w:color w:val="231F20"/>
          <w:spacing w:val="-12"/>
          <w:w w:val="105"/>
        </w:rPr>
        <w:t> </w:t>
      </w:r>
      <w:r>
        <w:rPr>
          <w:color w:val="231F20"/>
          <w:w w:val="105"/>
        </w:rPr>
        <w:t>8.1663;</w:t>
      </w:r>
      <w:r>
        <w:rPr>
          <w:color w:val="231F20"/>
          <w:spacing w:val="-12"/>
          <w:w w:val="105"/>
        </w:rPr>
        <w:t> </w:t>
      </w:r>
      <w:r>
        <w:rPr>
          <w:color w:val="231F20"/>
          <w:w w:val="105"/>
        </w:rPr>
        <w:t>así también,</w:t>
      </w:r>
      <w:r>
        <w:rPr>
          <w:color w:val="231F20"/>
          <w:spacing w:val="-20"/>
          <w:w w:val="105"/>
        </w:rPr>
        <w:t> </w:t>
      </w:r>
      <w:r>
        <w:rPr>
          <w:color w:val="231F20"/>
          <w:w w:val="105"/>
        </w:rPr>
        <w:t>Bakshi</w:t>
      </w:r>
      <w:r>
        <w:rPr>
          <w:color w:val="231F20"/>
          <w:spacing w:val="-14"/>
          <w:w w:val="105"/>
        </w:rPr>
        <w:t> </w:t>
      </w:r>
      <w:r>
        <w:rPr>
          <w:i/>
          <w:color w:val="231F20"/>
          <w:w w:val="105"/>
        </w:rPr>
        <w:t>et</w:t>
      </w:r>
      <w:r>
        <w:rPr>
          <w:i/>
          <w:color w:val="231F20"/>
          <w:spacing w:val="-14"/>
          <w:w w:val="105"/>
        </w:rPr>
        <w:t> </w:t>
      </w:r>
      <w:r>
        <w:rPr>
          <w:i/>
          <w:color w:val="231F20"/>
          <w:w w:val="105"/>
        </w:rPr>
        <w:t>al</w:t>
      </w:r>
      <w:r>
        <w:rPr>
          <w:i/>
          <w:color w:val="231F20"/>
          <w:spacing w:val="-14"/>
          <w:w w:val="105"/>
        </w:rPr>
        <w:t> </w:t>
      </w:r>
      <w:r>
        <w:rPr>
          <w:color w:val="231F20"/>
          <w:w w:val="105"/>
        </w:rPr>
        <w:t>(1997)</w:t>
      </w:r>
      <w:r>
        <w:rPr>
          <w:color w:val="231F20"/>
          <w:spacing w:val="-14"/>
          <w:w w:val="105"/>
        </w:rPr>
        <w:t> </w:t>
      </w:r>
      <w:r>
        <w:rPr>
          <w:color w:val="231F20"/>
          <w:w w:val="105"/>
        </w:rPr>
        <w:t>encontraron</w:t>
      </w:r>
      <w:r>
        <w:rPr>
          <w:color w:val="231F20"/>
          <w:spacing w:val="-14"/>
          <w:w w:val="105"/>
        </w:rPr>
        <w:t> </w:t>
      </w:r>
      <w:r>
        <w:rPr>
          <w:color w:val="231F20"/>
          <w:w w:val="105"/>
        </w:rPr>
        <w:t>dicho</w:t>
      </w:r>
      <w:r>
        <w:rPr>
          <w:color w:val="231F20"/>
          <w:spacing w:val="-14"/>
          <w:w w:val="105"/>
        </w:rPr>
        <w:t> </w:t>
      </w:r>
      <w:r>
        <w:rPr>
          <w:color w:val="231F20"/>
          <w:w w:val="105"/>
        </w:rPr>
        <w:t>valor</w:t>
      </w:r>
      <w:r>
        <w:rPr>
          <w:color w:val="231F20"/>
          <w:spacing w:val="-14"/>
          <w:w w:val="105"/>
        </w:rPr>
        <w:t> </w:t>
      </w:r>
      <w:r>
        <w:rPr>
          <w:color w:val="231F20"/>
          <w:w w:val="105"/>
        </w:rPr>
        <w:t>de</w:t>
      </w:r>
      <w:r>
        <w:rPr>
          <w:color w:val="231F20"/>
          <w:spacing w:val="-14"/>
          <w:w w:val="105"/>
        </w:rPr>
        <w:t> </w:t>
      </w:r>
      <w:r>
        <w:rPr>
          <w:color w:val="231F20"/>
          <w:w w:val="105"/>
        </w:rPr>
        <w:t>1.15</w:t>
      </w:r>
      <w:r>
        <w:rPr>
          <w:color w:val="231F20"/>
          <w:spacing w:val="-14"/>
          <w:w w:val="105"/>
        </w:rPr>
        <w:t> </w:t>
      </w:r>
      <w:r>
        <w:rPr>
          <w:color w:val="231F20"/>
          <w:w w:val="105"/>
        </w:rPr>
        <w:t>para</w:t>
      </w:r>
      <w:r>
        <w:rPr>
          <w:color w:val="231F20"/>
          <w:spacing w:val="-14"/>
          <w:w w:val="105"/>
        </w:rPr>
        <w:t> </w:t>
      </w:r>
      <w:r>
        <w:rPr>
          <w:color w:val="231F20"/>
          <w:w w:val="105"/>
        </w:rPr>
        <w:t>opcio- nes</w:t>
      </w:r>
      <w:r>
        <w:rPr>
          <w:color w:val="231F20"/>
          <w:spacing w:val="-19"/>
          <w:w w:val="105"/>
        </w:rPr>
        <w:t> </w:t>
      </w:r>
      <w:r>
        <w:rPr>
          <w:color w:val="231F20"/>
          <w:w w:val="105"/>
        </w:rPr>
        <w:t>sobre</w:t>
      </w:r>
      <w:r>
        <w:rPr>
          <w:color w:val="231F20"/>
          <w:spacing w:val="-19"/>
          <w:w w:val="105"/>
        </w:rPr>
        <w:t> </w:t>
      </w:r>
      <w:r>
        <w:rPr>
          <w:color w:val="231F20"/>
          <w:w w:val="105"/>
        </w:rPr>
        <w:t>el</w:t>
      </w:r>
      <w:r>
        <w:rPr>
          <w:color w:val="231F20"/>
          <w:spacing w:val="-19"/>
          <w:w w:val="105"/>
        </w:rPr>
        <w:t> </w:t>
      </w:r>
      <w:r>
        <w:rPr>
          <w:color w:val="231F20"/>
          <w:w w:val="105"/>
        </w:rPr>
        <w:t>índice</w:t>
      </w:r>
      <w:r>
        <w:rPr>
          <w:color w:val="231F20"/>
          <w:spacing w:val="-19"/>
          <w:w w:val="105"/>
        </w:rPr>
        <w:t> </w:t>
      </w:r>
      <w:r>
        <w:rPr>
          <w:color w:val="231F20"/>
          <w:w w:val="105"/>
        </w:rPr>
        <w:t>SyP500</w:t>
      </w:r>
      <w:r>
        <w:rPr>
          <w:color w:val="231F20"/>
          <w:spacing w:val="-19"/>
          <w:w w:val="105"/>
        </w:rPr>
        <w:t> </w:t>
      </w:r>
      <w:r>
        <w:rPr>
          <w:color w:val="231F20"/>
          <w:w w:val="105"/>
        </w:rPr>
        <w:t>para</w:t>
      </w:r>
      <w:r>
        <w:rPr>
          <w:color w:val="231F20"/>
          <w:spacing w:val="-19"/>
          <w:w w:val="105"/>
        </w:rPr>
        <w:t> </w:t>
      </w:r>
      <w:r>
        <w:rPr>
          <w:color w:val="231F20"/>
          <w:w w:val="105"/>
        </w:rPr>
        <w:t>el</w:t>
      </w:r>
      <w:r>
        <w:rPr>
          <w:color w:val="231F20"/>
          <w:spacing w:val="-19"/>
          <w:w w:val="105"/>
        </w:rPr>
        <w:t> </w:t>
      </w:r>
      <w:r>
        <w:rPr>
          <w:color w:val="231F20"/>
          <w:w w:val="105"/>
        </w:rPr>
        <w:t>periodo</w:t>
      </w:r>
      <w:r>
        <w:rPr>
          <w:color w:val="231F20"/>
          <w:spacing w:val="-19"/>
          <w:w w:val="105"/>
        </w:rPr>
        <w:t> </w:t>
      </w:r>
      <w:r>
        <w:rPr>
          <w:color w:val="231F20"/>
          <w:w w:val="105"/>
        </w:rPr>
        <w:t>1988-1991,</w:t>
      </w:r>
      <w:r>
        <w:rPr>
          <w:color w:val="231F20"/>
          <w:spacing w:val="-24"/>
          <w:w w:val="105"/>
        </w:rPr>
        <w:t> </w:t>
      </w:r>
      <w:r>
        <w:rPr>
          <w:color w:val="231F20"/>
          <w:w w:val="105"/>
        </w:rPr>
        <w:t>similar</w:t>
      </w:r>
      <w:r>
        <w:rPr>
          <w:color w:val="231F20"/>
          <w:spacing w:val="-19"/>
          <w:w w:val="105"/>
        </w:rPr>
        <w:t> </w:t>
      </w:r>
      <w:r>
        <w:rPr>
          <w:color w:val="231F20"/>
          <w:w w:val="105"/>
        </w:rPr>
        <w:t>al</w:t>
      </w:r>
      <w:r>
        <w:rPr>
          <w:color w:val="231F20"/>
          <w:spacing w:val="-19"/>
          <w:w w:val="105"/>
        </w:rPr>
        <w:t> </w:t>
      </w:r>
      <w:r>
        <w:rPr>
          <w:color w:val="231F20"/>
          <w:w w:val="105"/>
        </w:rPr>
        <w:t>resulta- do</w:t>
      </w:r>
      <w:r>
        <w:rPr>
          <w:color w:val="231F20"/>
          <w:spacing w:val="-15"/>
          <w:w w:val="105"/>
        </w:rPr>
        <w:t> </w:t>
      </w:r>
      <w:r>
        <w:rPr>
          <w:color w:val="231F20"/>
          <w:w w:val="105"/>
        </w:rPr>
        <w:t>reportado</w:t>
      </w:r>
      <w:r>
        <w:rPr>
          <w:color w:val="231F20"/>
          <w:spacing w:val="-15"/>
          <w:w w:val="105"/>
        </w:rPr>
        <w:t> </w:t>
      </w:r>
      <w:r>
        <w:rPr>
          <w:color w:val="231F20"/>
          <w:w w:val="105"/>
        </w:rPr>
        <w:t>por</w:t>
      </w:r>
      <w:r>
        <w:rPr>
          <w:color w:val="231F20"/>
          <w:spacing w:val="-15"/>
          <w:w w:val="105"/>
        </w:rPr>
        <w:t> </w:t>
      </w:r>
      <w:r>
        <w:rPr>
          <w:color w:val="231F20"/>
          <w:w w:val="105"/>
        </w:rPr>
        <w:t>Nandi</w:t>
      </w:r>
      <w:r>
        <w:rPr>
          <w:color w:val="231F20"/>
          <w:spacing w:val="-15"/>
          <w:w w:val="105"/>
        </w:rPr>
        <w:t> </w:t>
      </w:r>
      <w:r>
        <w:rPr>
          <w:color w:val="231F20"/>
          <w:w w:val="105"/>
        </w:rPr>
        <w:t>(1998)</w:t>
      </w:r>
      <w:r>
        <w:rPr>
          <w:color w:val="231F20"/>
          <w:spacing w:val="-15"/>
          <w:w w:val="105"/>
        </w:rPr>
        <w:t> </w:t>
      </w:r>
      <w:r>
        <w:rPr>
          <w:color w:val="231F20"/>
          <w:w w:val="105"/>
        </w:rPr>
        <w:t>para</w:t>
      </w:r>
      <w:r>
        <w:rPr>
          <w:color w:val="231F20"/>
          <w:spacing w:val="-15"/>
          <w:w w:val="105"/>
        </w:rPr>
        <w:t> </w:t>
      </w:r>
      <w:r>
        <w:rPr>
          <w:color w:val="231F20"/>
          <w:w w:val="105"/>
        </w:rPr>
        <w:t>opciones</w:t>
      </w:r>
      <w:r>
        <w:rPr>
          <w:color w:val="231F20"/>
          <w:spacing w:val="-15"/>
          <w:w w:val="105"/>
        </w:rPr>
        <w:t> </w:t>
      </w:r>
      <w:r>
        <w:rPr>
          <w:color w:val="231F20"/>
          <w:w w:val="105"/>
        </w:rPr>
        <w:t>sobre</w:t>
      </w:r>
      <w:r>
        <w:rPr>
          <w:color w:val="231F20"/>
          <w:spacing w:val="-15"/>
          <w:w w:val="105"/>
        </w:rPr>
        <w:t> </w:t>
      </w:r>
      <w:r>
        <w:rPr>
          <w:color w:val="231F20"/>
          <w:w w:val="105"/>
        </w:rPr>
        <w:t>futuros,</w:t>
      </w:r>
      <w:r>
        <w:rPr>
          <w:color w:val="231F20"/>
          <w:spacing w:val="-21"/>
          <w:w w:val="105"/>
        </w:rPr>
        <w:t> </w:t>
      </w:r>
      <w:r>
        <w:rPr>
          <w:color w:val="231F20"/>
          <w:w w:val="105"/>
        </w:rPr>
        <w:t>siendo</w:t>
      </w:r>
      <w:r>
        <w:rPr>
          <w:color w:val="231F20"/>
          <w:spacing w:val="-15"/>
          <w:w w:val="105"/>
        </w:rPr>
        <w:t> </w:t>
      </w:r>
      <w:r>
        <w:rPr>
          <w:color w:val="231F20"/>
          <w:w w:val="105"/>
        </w:rPr>
        <w:t>igual a 3.29 para periodos de estabilidad en el mercado. Como puede apre- ciarse,</w:t>
      </w:r>
      <w:r>
        <w:rPr>
          <w:color w:val="231F20"/>
          <w:spacing w:val="-24"/>
          <w:w w:val="105"/>
        </w:rPr>
        <w:t> </w:t>
      </w:r>
      <w:r>
        <w:rPr>
          <w:color w:val="231F20"/>
          <w:w w:val="105"/>
        </w:rPr>
        <w:t>los</w:t>
      </w:r>
      <w:r>
        <w:rPr>
          <w:color w:val="231F20"/>
          <w:spacing w:val="-19"/>
          <w:w w:val="105"/>
        </w:rPr>
        <w:t> </w:t>
      </w:r>
      <w:r>
        <w:rPr>
          <w:color w:val="231F20"/>
          <w:w w:val="105"/>
        </w:rPr>
        <w:t>resultados</w:t>
      </w:r>
      <w:r>
        <w:rPr>
          <w:color w:val="231F20"/>
          <w:spacing w:val="-19"/>
          <w:w w:val="105"/>
        </w:rPr>
        <w:t> </w:t>
      </w:r>
      <w:r>
        <w:rPr>
          <w:color w:val="231F20"/>
          <w:w w:val="105"/>
        </w:rPr>
        <w:t>del</w:t>
      </w:r>
      <w:r>
        <w:rPr>
          <w:color w:val="231F20"/>
          <w:spacing w:val="-19"/>
          <w:w w:val="105"/>
        </w:rPr>
        <w:t> </w:t>
      </w:r>
      <w:r>
        <w:rPr>
          <w:color w:val="231F20"/>
          <w:w w:val="105"/>
        </w:rPr>
        <w:t>estudio</w:t>
      </w:r>
      <w:r>
        <w:rPr>
          <w:color w:val="231F20"/>
          <w:spacing w:val="-19"/>
          <w:w w:val="105"/>
        </w:rPr>
        <w:t> </w:t>
      </w:r>
      <w:r>
        <w:rPr>
          <w:color w:val="231F20"/>
          <w:w w:val="105"/>
        </w:rPr>
        <w:t>en</w:t>
      </w:r>
      <w:r>
        <w:rPr>
          <w:color w:val="231F20"/>
          <w:spacing w:val="-19"/>
          <w:w w:val="105"/>
        </w:rPr>
        <w:t> </w:t>
      </w:r>
      <w:r>
        <w:rPr>
          <w:color w:val="231F20"/>
          <w:w w:val="105"/>
        </w:rPr>
        <w:t>periodos</w:t>
      </w:r>
      <w:r>
        <w:rPr>
          <w:color w:val="231F20"/>
          <w:spacing w:val="-19"/>
          <w:w w:val="105"/>
        </w:rPr>
        <w:t> </w:t>
      </w:r>
      <w:r>
        <w:rPr>
          <w:color w:val="231F20"/>
          <w:w w:val="105"/>
        </w:rPr>
        <w:t>de</w:t>
      </w:r>
      <w:r>
        <w:rPr>
          <w:color w:val="231F20"/>
          <w:spacing w:val="-19"/>
          <w:w w:val="105"/>
        </w:rPr>
        <w:t> </w:t>
      </w:r>
      <w:r>
        <w:rPr>
          <w:color w:val="231F20"/>
          <w:w w:val="105"/>
        </w:rPr>
        <w:t>alta</w:t>
      </w:r>
      <w:r>
        <w:rPr>
          <w:color w:val="231F20"/>
          <w:spacing w:val="-19"/>
          <w:w w:val="105"/>
        </w:rPr>
        <w:t> </w:t>
      </w:r>
      <w:r>
        <w:rPr>
          <w:color w:val="231F20"/>
          <w:w w:val="105"/>
        </w:rPr>
        <w:t>volatilidad</w:t>
      </w:r>
      <w:r>
        <w:rPr>
          <w:color w:val="231F20"/>
          <w:spacing w:val="-19"/>
          <w:w w:val="105"/>
        </w:rPr>
        <w:t> </w:t>
      </w:r>
      <w:r>
        <w:rPr>
          <w:color w:val="231F20"/>
          <w:w w:val="105"/>
        </w:rPr>
        <w:t>y</w:t>
      </w:r>
      <w:r>
        <w:rPr>
          <w:color w:val="231F20"/>
          <w:spacing w:val="-19"/>
          <w:w w:val="105"/>
        </w:rPr>
        <w:t> </w:t>
      </w:r>
      <w:r>
        <w:rPr>
          <w:color w:val="231F20"/>
          <w:w w:val="105"/>
        </w:rPr>
        <w:t>relativa estabilidad</w:t>
      </w:r>
      <w:r>
        <w:rPr>
          <w:color w:val="231F20"/>
          <w:spacing w:val="-8"/>
          <w:w w:val="105"/>
        </w:rPr>
        <w:t> </w:t>
      </w:r>
      <w:r>
        <w:rPr>
          <w:color w:val="231F20"/>
          <w:w w:val="105"/>
        </w:rPr>
        <w:t>son</w:t>
      </w:r>
      <w:r>
        <w:rPr>
          <w:color w:val="231F20"/>
          <w:spacing w:val="-8"/>
          <w:w w:val="105"/>
        </w:rPr>
        <w:t> </w:t>
      </w:r>
      <w:r>
        <w:rPr>
          <w:color w:val="231F20"/>
          <w:w w:val="105"/>
        </w:rPr>
        <w:t>semejantes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ha</w:t>
      </w:r>
      <w:r>
        <w:rPr>
          <w:color w:val="231F20"/>
          <w:spacing w:val="-8"/>
          <w:w w:val="105"/>
        </w:rPr>
        <w:t> </w:t>
      </w:r>
      <w:r>
        <w:rPr>
          <w:color w:val="231F20"/>
          <w:w w:val="105"/>
        </w:rPr>
        <w:t>otorgado</w:t>
      </w:r>
      <w:r>
        <w:rPr>
          <w:color w:val="231F20"/>
          <w:spacing w:val="-8"/>
          <w:w w:val="105"/>
        </w:rPr>
        <w:t> </w:t>
      </w:r>
      <w:r>
        <w:rPr>
          <w:color w:val="231F20"/>
          <w:w w:val="105"/>
        </w:rPr>
        <w:t>la</w:t>
      </w:r>
      <w:r>
        <w:rPr>
          <w:color w:val="231F20"/>
          <w:spacing w:val="-8"/>
          <w:w w:val="105"/>
        </w:rPr>
        <w:t> </w:t>
      </w:r>
      <w:r>
        <w:rPr>
          <w:color w:val="231F20"/>
          <w:w w:val="105"/>
        </w:rPr>
        <w:t>evidencia</w:t>
      </w:r>
      <w:r>
        <w:rPr>
          <w:color w:val="231F20"/>
          <w:spacing w:val="-8"/>
          <w:w w:val="105"/>
        </w:rPr>
        <w:t> </w:t>
      </w:r>
      <w:r>
        <w:rPr>
          <w:color w:val="231F20"/>
          <w:w w:val="105"/>
        </w:rPr>
        <w:t>empírica para</w:t>
      </w:r>
      <w:r>
        <w:rPr>
          <w:color w:val="231F20"/>
          <w:spacing w:val="-35"/>
          <w:w w:val="105"/>
        </w:rPr>
        <w:t> </w:t>
      </w:r>
      <w:r>
        <w:rPr>
          <w:color w:val="231F20"/>
          <w:w w:val="105"/>
        </w:rPr>
        <w:t>mercados</w:t>
      </w:r>
      <w:r>
        <w:rPr>
          <w:color w:val="231F20"/>
          <w:spacing w:val="-35"/>
          <w:w w:val="105"/>
        </w:rPr>
        <w:t> </w:t>
      </w:r>
      <w:r>
        <w:rPr>
          <w:color w:val="231F20"/>
          <w:w w:val="105"/>
        </w:rPr>
        <w:t>desarrollados.</w:t>
      </w:r>
    </w:p>
    <w:p>
      <w:pPr>
        <w:pStyle w:val="BodyText"/>
        <w:spacing w:line="256" w:lineRule="auto"/>
        <w:ind w:left="103" w:right="110" w:firstLine="567"/>
        <w:jc w:val="both"/>
      </w:pPr>
      <w:r>
        <w:rPr>
          <w:color w:val="231F20"/>
          <w:w w:val="105"/>
        </w:rPr>
        <w:t>Respecto a los coeficientes de correlación (</w:t>
      </w:r>
      <w:r>
        <w:rPr>
          <w:rFonts w:ascii="Times New Roman" w:hAnsi="Times New Roman"/>
          <w:i/>
          <w:color w:val="231F20"/>
          <w:w w:val="105"/>
          <w:sz w:val="22"/>
        </w:rPr>
        <w:t>ρ</w:t>
      </w:r>
      <w:r>
        <w:rPr>
          <w:color w:val="231F20"/>
          <w:w w:val="105"/>
        </w:rPr>
        <w:t>) que responden a la asimetría positiva de la distribución de los rendimientos del tipo de cambio y la volatilidad, se estiman dando valores iguales a 0.084656, 0.126987 y 0.208646 para los tres periodos en estudio (los valores se incrementan por el número de datos considerados). Dichos resultados muestran</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modelo</w:t>
      </w:r>
      <w:r>
        <w:rPr>
          <w:color w:val="231F20"/>
          <w:spacing w:val="-10"/>
          <w:w w:val="105"/>
        </w:rPr>
        <w:t> </w:t>
      </w:r>
      <w:r>
        <w:rPr>
          <w:color w:val="231F20"/>
          <w:w w:val="105"/>
        </w:rPr>
        <w:t>de</w:t>
      </w:r>
      <w:r>
        <w:rPr>
          <w:color w:val="231F20"/>
          <w:spacing w:val="-10"/>
          <w:w w:val="105"/>
        </w:rPr>
        <w:t> </w:t>
      </w:r>
      <w:r>
        <w:rPr>
          <w:color w:val="231F20"/>
          <w:w w:val="105"/>
        </w:rPr>
        <w:t>volatilidad</w:t>
      </w:r>
      <w:r>
        <w:rPr>
          <w:color w:val="231F20"/>
          <w:spacing w:val="-10"/>
          <w:w w:val="105"/>
        </w:rPr>
        <w:t> </w:t>
      </w:r>
      <w:r>
        <w:rPr>
          <w:color w:val="231F20"/>
          <w:w w:val="105"/>
        </w:rPr>
        <w:t>estocástica</w:t>
      </w:r>
      <w:r>
        <w:rPr>
          <w:color w:val="231F20"/>
          <w:spacing w:val="-10"/>
          <w:w w:val="105"/>
        </w:rPr>
        <w:t> </w:t>
      </w:r>
      <w:r>
        <w:rPr>
          <w:color w:val="231F20"/>
          <w:w w:val="105"/>
        </w:rPr>
        <w:t>de</w:t>
      </w:r>
      <w:r>
        <w:rPr>
          <w:color w:val="231F20"/>
          <w:spacing w:val="-10"/>
          <w:w w:val="105"/>
        </w:rPr>
        <w:t> </w:t>
      </w:r>
      <w:r>
        <w:rPr>
          <w:color w:val="231F20"/>
          <w:w w:val="105"/>
        </w:rPr>
        <w:t>Heston</w:t>
      </w:r>
      <w:r>
        <w:rPr>
          <w:color w:val="231F20"/>
          <w:spacing w:val="-10"/>
          <w:w w:val="105"/>
        </w:rPr>
        <w:t> </w:t>
      </w:r>
      <w:r>
        <w:rPr>
          <w:color w:val="231F20"/>
          <w:w w:val="105"/>
        </w:rPr>
        <w:t>proporcio- na</w:t>
      </w:r>
      <w:r>
        <w:rPr>
          <w:color w:val="231F20"/>
          <w:spacing w:val="-16"/>
          <w:w w:val="105"/>
        </w:rPr>
        <w:t> </w:t>
      </w:r>
      <w:r>
        <w:rPr>
          <w:color w:val="231F20"/>
          <w:w w:val="105"/>
        </w:rPr>
        <w:t>una</w:t>
      </w:r>
      <w:r>
        <w:rPr>
          <w:color w:val="231F20"/>
          <w:spacing w:val="-16"/>
          <w:w w:val="105"/>
        </w:rPr>
        <w:t> </w:t>
      </w:r>
      <w:r>
        <w:rPr>
          <w:color w:val="231F20"/>
          <w:w w:val="105"/>
        </w:rPr>
        <w:t>estructura</w:t>
      </w:r>
      <w:r>
        <w:rPr>
          <w:color w:val="231F20"/>
          <w:spacing w:val="-16"/>
          <w:w w:val="105"/>
        </w:rPr>
        <w:t> </w:t>
      </w:r>
      <w:r>
        <w:rPr>
          <w:color w:val="231F20"/>
          <w:w w:val="105"/>
        </w:rPr>
        <w:t>flexible</w:t>
      </w:r>
      <w:r>
        <w:rPr>
          <w:color w:val="231F20"/>
          <w:spacing w:val="-16"/>
          <w:w w:val="105"/>
        </w:rPr>
        <w:t> </w:t>
      </w:r>
      <w:r>
        <w:rPr>
          <w:color w:val="231F20"/>
          <w:w w:val="105"/>
        </w:rPr>
        <w:t>para</w:t>
      </w:r>
      <w:r>
        <w:rPr>
          <w:color w:val="231F20"/>
          <w:spacing w:val="-16"/>
          <w:w w:val="105"/>
        </w:rPr>
        <w:t> </w:t>
      </w:r>
      <w:r>
        <w:rPr>
          <w:color w:val="231F20"/>
          <w:w w:val="105"/>
        </w:rPr>
        <w:t>tomar</w:t>
      </w:r>
      <w:r>
        <w:rPr>
          <w:color w:val="231F20"/>
          <w:spacing w:val="-16"/>
          <w:w w:val="105"/>
        </w:rPr>
        <w:t> </w:t>
      </w:r>
      <w:r>
        <w:rPr>
          <w:color w:val="231F20"/>
          <w:w w:val="105"/>
        </w:rPr>
        <w:t>en</w:t>
      </w:r>
      <w:r>
        <w:rPr>
          <w:color w:val="231F20"/>
          <w:spacing w:val="-16"/>
          <w:w w:val="105"/>
        </w:rPr>
        <w:t> </w:t>
      </w:r>
      <w:r>
        <w:rPr>
          <w:color w:val="231F20"/>
          <w:w w:val="105"/>
        </w:rPr>
        <w:t>cuenta</w:t>
      </w:r>
      <w:r>
        <w:rPr>
          <w:color w:val="231F20"/>
          <w:spacing w:val="-16"/>
          <w:w w:val="105"/>
        </w:rPr>
        <w:t> </w:t>
      </w:r>
      <w:r>
        <w:rPr>
          <w:color w:val="231F20"/>
          <w:w w:val="105"/>
        </w:rPr>
        <w:t>tanto</w:t>
      </w:r>
      <w:r>
        <w:rPr>
          <w:color w:val="231F20"/>
          <w:spacing w:val="-16"/>
          <w:w w:val="105"/>
        </w:rPr>
        <w:t> </w:t>
      </w:r>
      <w:r>
        <w:rPr>
          <w:color w:val="231F20"/>
          <w:w w:val="105"/>
        </w:rPr>
        <w:t>la</w:t>
      </w:r>
      <w:r>
        <w:rPr>
          <w:color w:val="231F20"/>
          <w:spacing w:val="-16"/>
          <w:w w:val="105"/>
        </w:rPr>
        <w:t> </w:t>
      </w:r>
      <w:r>
        <w:rPr>
          <w:color w:val="231F20"/>
          <w:w w:val="105"/>
        </w:rPr>
        <w:t>asimetría</w:t>
      </w:r>
      <w:r>
        <w:rPr>
          <w:color w:val="231F20"/>
          <w:spacing w:val="-16"/>
          <w:w w:val="105"/>
        </w:rPr>
        <w:t> </w:t>
      </w:r>
      <w:r>
        <w:rPr>
          <w:color w:val="231F20"/>
          <w:w w:val="105"/>
        </w:rPr>
        <w:t>y</w:t>
      </w:r>
      <w:r>
        <w:rPr>
          <w:color w:val="231F20"/>
          <w:spacing w:val="-16"/>
          <w:w w:val="105"/>
        </w:rPr>
        <w:t> </w:t>
      </w:r>
      <w:r>
        <w:rPr>
          <w:color w:val="231F20"/>
          <w:w w:val="105"/>
        </w:rPr>
        <w:t>efec- tos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leptocurtosis</w:t>
      </w:r>
      <w:r>
        <w:rPr>
          <w:color w:val="231F20"/>
          <w:spacing w:val="-5"/>
          <w:w w:val="105"/>
        </w:rPr>
        <w:t> </w:t>
      </w:r>
      <w:r>
        <w:rPr>
          <w:color w:val="231F20"/>
          <w:w w:val="105"/>
        </w:rPr>
        <w:t>sobre</w:t>
      </w:r>
      <w:r>
        <w:rPr>
          <w:color w:val="231F20"/>
          <w:spacing w:val="-5"/>
          <w:w w:val="105"/>
        </w:rPr>
        <w:t> </w:t>
      </w:r>
      <w:r>
        <w:rPr>
          <w:color w:val="231F20"/>
          <w:w w:val="105"/>
        </w:rPr>
        <w:t>la</w:t>
      </w:r>
      <w:r>
        <w:rPr>
          <w:color w:val="231F20"/>
          <w:spacing w:val="-5"/>
          <w:w w:val="105"/>
        </w:rPr>
        <w:t> </w:t>
      </w:r>
      <w:r>
        <w:rPr>
          <w:color w:val="231F20"/>
          <w:w w:val="105"/>
        </w:rPr>
        <w:t>distribución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rendimientos</w:t>
      </w:r>
      <w:r>
        <w:rPr>
          <w:color w:val="231F20"/>
          <w:spacing w:val="-5"/>
          <w:w w:val="105"/>
        </w:rPr>
        <w:t> </w:t>
      </w:r>
      <w:r>
        <w:rPr>
          <w:color w:val="231F20"/>
          <w:w w:val="105"/>
        </w:rPr>
        <w:t>del</w:t>
      </w:r>
      <w:r>
        <w:rPr>
          <w:color w:val="231F20"/>
          <w:spacing w:val="-5"/>
          <w:w w:val="105"/>
        </w:rPr>
        <w:t> </w:t>
      </w:r>
      <w:r>
        <w:rPr>
          <w:color w:val="231F20"/>
          <w:w w:val="105"/>
        </w:rPr>
        <w:t>acti- vo</w:t>
      </w:r>
      <w:r>
        <w:rPr>
          <w:color w:val="231F20"/>
          <w:spacing w:val="-29"/>
          <w:w w:val="105"/>
        </w:rPr>
        <w:t> </w:t>
      </w:r>
      <w:r>
        <w:rPr>
          <w:color w:val="231F20"/>
          <w:w w:val="105"/>
        </w:rPr>
        <w:t>subyacente</w:t>
      </w:r>
      <w:r>
        <w:rPr>
          <w:color w:val="231F20"/>
          <w:spacing w:val="-29"/>
          <w:w w:val="105"/>
        </w:rPr>
        <w:t> </w:t>
      </w:r>
      <w:r>
        <w:rPr>
          <w:color w:val="231F20"/>
          <w:spacing w:val="-4"/>
          <w:w w:val="105"/>
        </w:rPr>
        <w:t>y,</w:t>
      </w:r>
      <w:r>
        <w:rPr>
          <w:color w:val="231F20"/>
          <w:spacing w:val="-33"/>
          <w:w w:val="105"/>
        </w:rPr>
        <w:t> </w:t>
      </w:r>
      <w:r>
        <w:rPr>
          <w:color w:val="231F20"/>
          <w:w w:val="105"/>
        </w:rPr>
        <w:t>como</w:t>
      </w:r>
      <w:r>
        <w:rPr>
          <w:color w:val="231F20"/>
          <w:spacing w:val="-29"/>
          <w:w w:val="105"/>
        </w:rPr>
        <w:t> </w:t>
      </w:r>
      <w:r>
        <w:rPr>
          <w:color w:val="231F20"/>
          <w:w w:val="105"/>
        </w:rPr>
        <w:t>son</w:t>
      </w:r>
      <w:r>
        <w:rPr>
          <w:color w:val="231F20"/>
          <w:spacing w:val="-29"/>
          <w:w w:val="105"/>
        </w:rPr>
        <w:t> </w:t>
      </w:r>
      <w:r>
        <w:rPr>
          <w:color w:val="231F20"/>
          <w:w w:val="105"/>
        </w:rPr>
        <w:t>mayores</w:t>
      </w:r>
      <w:r>
        <w:rPr>
          <w:color w:val="231F20"/>
          <w:spacing w:val="-29"/>
          <w:w w:val="105"/>
        </w:rPr>
        <w:t> </w:t>
      </w:r>
      <w:r>
        <w:rPr>
          <w:color w:val="231F20"/>
          <w:w w:val="105"/>
        </w:rPr>
        <w:t>a</w:t>
      </w:r>
      <w:r>
        <w:rPr>
          <w:color w:val="231F20"/>
          <w:spacing w:val="-29"/>
          <w:w w:val="105"/>
        </w:rPr>
        <w:t> </w:t>
      </w:r>
      <w:r>
        <w:rPr>
          <w:color w:val="231F20"/>
          <w:w w:val="105"/>
        </w:rPr>
        <w:t>cero,</w:t>
      </w:r>
      <w:r>
        <w:rPr>
          <w:color w:val="231F20"/>
          <w:spacing w:val="-33"/>
          <w:w w:val="105"/>
        </w:rPr>
        <w:t> </w:t>
      </w:r>
      <w:r>
        <w:rPr>
          <w:color w:val="231F20"/>
          <w:w w:val="105"/>
        </w:rPr>
        <w:t>anuncian</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volatilidad</w:t>
      </w:r>
      <w:r>
        <w:rPr>
          <w:color w:val="231F20"/>
          <w:spacing w:val="-29"/>
          <w:w w:val="105"/>
        </w:rPr>
        <w:t> </w:t>
      </w:r>
      <w:r>
        <w:rPr>
          <w:color w:val="231F20"/>
          <w:w w:val="105"/>
        </w:rPr>
        <w:t>se incrementa</w:t>
      </w:r>
      <w:r>
        <w:rPr>
          <w:color w:val="231F20"/>
          <w:spacing w:val="-14"/>
          <w:w w:val="105"/>
        </w:rPr>
        <w:t> </w:t>
      </w:r>
      <w:r>
        <w:rPr>
          <w:color w:val="231F20"/>
          <w:w w:val="105"/>
        </w:rPr>
        <w:t>a</w:t>
      </w:r>
      <w:r>
        <w:rPr>
          <w:color w:val="231F20"/>
          <w:spacing w:val="-14"/>
          <w:w w:val="105"/>
        </w:rPr>
        <w:t> </w:t>
      </w:r>
      <w:r>
        <w:rPr>
          <w:color w:val="231F20"/>
          <w:w w:val="105"/>
        </w:rPr>
        <w:t>medida</w:t>
      </w:r>
      <w:r>
        <w:rPr>
          <w:color w:val="231F20"/>
          <w:spacing w:val="-14"/>
          <w:w w:val="105"/>
        </w:rPr>
        <w:t> </w:t>
      </w:r>
      <w:r>
        <w:rPr>
          <w:color w:val="231F20"/>
          <w:w w:val="105"/>
        </w:rPr>
        <w:t>que</w:t>
      </w:r>
      <w:r>
        <w:rPr>
          <w:color w:val="231F20"/>
          <w:spacing w:val="-14"/>
          <w:w w:val="105"/>
        </w:rPr>
        <w:t> </w:t>
      </w:r>
      <w:r>
        <w:rPr>
          <w:color w:val="231F20"/>
          <w:w w:val="105"/>
        </w:rPr>
        <w:t>aumenta</w:t>
      </w:r>
      <w:r>
        <w:rPr>
          <w:color w:val="231F20"/>
          <w:spacing w:val="-14"/>
          <w:w w:val="105"/>
        </w:rPr>
        <w:t> </w:t>
      </w:r>
      <w:r>
        <w:rPr>
          <w:color w:val="231F20"/>
          <w:w w:val="105"/>
        </w:rPr>
        <w:t>el</w:t>
      </w:r>
      <w:r>
        <w:rPr>
          <w:color w:val="231F20"/>
          <w:spacing w:val="-14"/>
          <w:w w:val="105"/>
        </w:rPr>
        <w:t> </w:t>
      </w:r>
      <w:r>
        <w:rPr>
          <w:color w:val="231F20"/>
          <w:w w:val="105"/>
        </w:rPr>
        <w:t>precio</w:t>
      </w:r>
      <w:r>
        <w:rPr>
          <w:color w:val="231F20"/>
          <w:spacing w:val="-14"/>
          <w:w w:val="105"/>
        </w:rPr>
        <w:t> </w:t>
      </w:r>
      <w:r>
        <w:rPr>
          <w:color w:val="231F20"/>
          <w:w w:val="105"/>
        </w:rPr>
        <w:t>del</w:t>
      </w:r>
      <w:r>
        <w:rPr>
          <w:color w:val="231F20"/>
          <w:spacing w:val="-14"/>
          <w:w w:val="105"/>
        </w:rPr>
        <w:t> </w:t>
      </w:r>
      <w:r>
        <w:rPr>
          <w:color w:val="231F20"/>
          <w:w w:val="105"/>
        </w:rPr>
        <w:t>activo</w:t>
      </w:r>
      <w:r>
        <w:rPr>
          <w:color w:val="231F20"/>
          <w:spacing w:val="-14"/>
          <w:w w:val="105"/>
        </w:rPr>
        <w:t> </w:t>
      </w:r>
      <w:r>
        <w:rPr>
          <w:color w:val="231F20"/>
          <w:w w:val="105"/>
        </w:rPr>
        <w:t>subyacente.</w:t>
      </w:r>
    </w:p>
    <w:p>
      <w:pPr>
        <w:pStyle w:val="BodyText"/>
        <w:rPr>
          <w:sz w:val="20"/>
        </w:rPr>
      </w:pPr>
    </w:p>
    <w:p>
      <w:pPr>
        <w:pStyle w:val="BodyText"/>
        <w:rPr>
          <w:sz w:val="20"/>
        </w:rPr>
      </w:pPr>
    </w:p>
    <w:p>
      <w:pPr>
        <w:pStyle w:val="BodyText"/>
        <w:rPr>
          <w:sz w:val="20"/>
        </w:rPr>
      </w:pPr>
    </w:p>
    <w:p>
      <w:pPr>
        <w:pStyle w:val="BodyText"/>
        <w:spacing w:before="10"/>
        <w:rPr>
          <w:sz w:val="27"/>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9584"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224</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8392"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225</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spacing w:before="57"/>
        <w:ind w:left="117" w:right="0" w:firstLine="0"/>
        <w:jc w:val="both"/>
        <w:rPr>
          <w:i/>
          <w:sz w:val="21"/>
        </w:rPr>
      </w:pPr>
      <w:r>
        <w:rPr>
          <w:i/>
          <w:color w:val="231F20"/>
          <w:w w:val="105"/>
          <w:sz w:val="21"/>
        </w:rPr>
        <w:t>Valuación del precio de la opción sobre tipo de cambio</w:t>
      </w:r>
    </w:p>
    <w:p>
      <w:pPr>
        <w:pStyle w:val="BodyText"/>
        <w:spacing w:before="4"/>
        <w:rPr>
          <w:i/>
          <w:sz w:val="16"/>
        </w:rPr>
      </w:pPr>
    </w:p>
    <w:p>
      <w:pPr>
        <w:pStyle w:val="BodyText"/>
        <w:spacing w:line="259" w:lineRule="auto"/>
        <w:ind w:left="117" w:right="115"/>
        <w:jc w:val="both"/>
      </w:pPr>
      <w:r>
        <w:rPr>
          <w:color w:val="231F20"/>
          <w:w w:val="105"/>
        </w:rPr>
        <w:t>Una vez obtenidos los parámetros óptimos se procede a calcular la</w:t>
      </w:r>
      <w:r>
        <w:rPr>
          <w:color w:val="231F20"/>
          <w:spacing w:val="-36"/>
          <w:w w:val="105"/>
        </w:rPr>
        <w:t> </w:t>
      </w:r>
      <w:r>
        <w:rPr>
          <w:color w:val="231F20"/>
          <w:w w:val="105"/>
        </w:rPr>
        <w:t>pri- ma de la opción </w:t>
      </w:r>
      <w:r>
        <w:rPr>
          <w:i/>
          <w:color w:val="231F20"/>
          <w:w w:val="105"/>
        </w:rPr>
        <w:t>call </w:t>
      </w:r>
      <w:r>
        <w:rPr>
          <w:color w:val="231F20"/>
          <w:w w:val="105"/>
        </w:rPr>
        <w:t>y </w:t>
      </w:r>
      <w:r>
        <w:rPr>
          <w:i/>
          <w:color w:val="231F20"/>
          <w:w w:val="105"/>
        </w:rPr>
        <w:t>put </w:t>
      </w:r>
      <w:r>
        <w:rPr>
          <w:color w:val="231F20"/>
          <w:w w:val="105"/>
        </w:rPr>
        <w:t>(expresión 3 y 5 respectivamente) por me- dio de los modelos de Black-Scholes (1973) para considerar</w:t>
      </w:r>
      <w:r>
        <w:rPr>
          <w:color w:val="231F20"/>
          <w:spacing w:val="-25"/>
          <w:w w:val="105"/>
        </w:rPr>
        <w:t> </w:t>
      </w:r>
      <w:r>
        <w:rPr>
          <w:color w:val="231F20"/>
          <w:w w:val="105"/>
        </w:rPr>
        <w:t>volatilidad constante</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Heston</w:t>
      </w:r>
      <w:r>
        <w:rPr>
          <w:color w:val="231F20"/>
          <w:spacing w:val="-18"/>
          <w:w w:val="105"/>
        </w:rPr>
        <w:t> </w:t>
      </w:r>
      <w:r>
        <w:rPr>
          <w:color w:val="231F20"/>
          <w:w w:val="105"/>
        </w:rPr>
        <w:t>(1993)</w:t>
      </w:r>
      <w:r>
        <w:rPr>
          <w:color w:val="231F20"/>
          <w:spacing w:val="-18"/>
          <w:w w:val="105"/>
        </w:rPr>
        <w:t> </w:t>
      </w:r>
      <w:r>
        <w:rPr>
          <w:color w:val="231F20"/>
          <w:w w:val="105"/>
        </w:rPr>
        <w:t>con</w:t>
      </w:r>
      <w:r>
        <w:rPr>
          <w:color w:val="231F20"/>
          <w:spacing w:val="-18"/>
          <w:w w:val="105"/>
        </w:rPr>
        <w:t> </w:t>
      </w:r>
      <w:r>
        <w:rPr>
          <w:color w:val="231F20"/>
          <w:w w:val="105"/>
        </w:rPr>
        <w:t>volatilidad</w:t>
      </w:r>
      <w:r>
        <w:rPr>
          <w:color w:val="231F20"/>
          <w:spacing w:val="-18"/>
          <w:w w:val="105"/>
        </w:rPr>
        <w:t> </w:t>
      </w:r>
      <w:r>
        <w:rPr>
          <w:color w:val="231F20"/>
          <w:w w:val="105"/>
        </w:rPr>
        <w:t>estocástica</w:t>
      </w:r>
      <w:r>
        <w:rPr>
          <w:color w:val="231F20"/>
          <w:spacing w:val="-18"/>
          <w:w w:val="105"/>
        </w:rPr>
        <w:t> </w:t>
      </w:r>
      <w:r>
        <w:rPr>
          <w:color w:val="231F20"/>
          <w:w w:val="105"/>
        </w:rPr>
        <w:t>(expresión</w:t>
      </w:r>
      <w:r>
        <w:rPr>
          <w:color w:val="231F20"/>
          <w:spacing w:val="-18"/>
          <w:w w:val="105"/>
        </w:rPr>
        <w:t> </w:t>
      </w:r>
      <w:r>
        <w:rPr>
          <w:color w:val="231F20"/>
          <w:w w:val="105"/>
        </w:rPr>
        <w:t>12</w:t>
      </w:r>
      <w:r>
        <w:rPr>
          <w:color w:val="231F20"/>
          <w:spacing w:val="-18"/>
          <w:w w:val="105"/>
        </w:rPr>
        <w:t> </w:t>
      </w:r>
      <w:r>
        <w:rPr>
          <w:color w:val="231F20"/>
          <w:w w:val="105"/>
        </w:rPr>
        <w:t>y 14 respectivamente) para los cuatro vencimientos con los que opera el MexDer</w:t>
      </w:r>
      <w:r>
        <w:rPr>
          <w:color w:val="231F20"/>
          <w:spacing w:val="-4"/>
          <w:w w:val="105"/>
        </w:rPr>
        <w:t> </w:t>
      </w:r>
      <w:r>
        <w:rPr>
          <w:color w:val="231F20"/>
          <w:w w:val="105"/>
        </w:rPr>
        <w:t>(marzo,</w:t>
      </w:r>
      <w:r>
        <w:rPr>
          <w:color w:val="231F20"/>
          <w:spacing w:val="-10"/>
          <w:w w:val="105"/>
        </w:rPr>
        <w:t> </w:t>
      </w:r>
      <w:r>
        <w:rPr>
          <w:color w:val="231F20"/>
          <w:w w:val="105"/>
        </w:rPr>
        <w:t>junio,</w:t>
      </w:r>
      <w:r>
        <w:rPr>
          <w:color w:val="231F20"/>
          <w:spacing w:val="-10"/>
          <w:w w:val="105"/>
        </w:rPr>
        <w:t> </w:t>
      </w:r>
      <w:r>
        <w:rPr>
          <w:color w:val="231F20"/>
          <w:w w:val="105"/>
        </w:rPr>
        <w:t>septiembre</w:t>
      </w:r>
      <w:r>
        <w:rPr>
          <w:color w:val="231F20"/>
          <w:spacing w:val="-4"/>
          <w:w w:val="105"/>
        </w:rPr>
        <w:t> </w:t>
      </w:r>
      <w:r>
        <w:rPr>
          <w:color w:val="231F20"/>
          <w:w w:val="105"/>
        </w:rPr>
        <w:t>y</w:t>
      </w:r>
      <w:r>
        <w:rPr>
          <w:color w:val="231F20"/>
          <w:spacing w:val="-4"/>
          <w:w w:val="105"/>
        </w:rPr>
        <w:t> </w:t>
      </w:r>
      <w:r>
        <w:rPr>
          <w:color w:val="231F20"/>
          <w:w w:val="105"/>
        </w:rPr>
        <w:t>diciembre),</w:t>
      </w:r>
      <w:r>
        <w:rPr>
          <w:color w:val="231F20"/>
          <w:spacing w:val="-10"/>
          <w:w w:val="105"/>
        </w:rPr>
        <w:t> </w:t>
      </w:r>
      <w:r>
        <w:rPr>
          <w:color w:val="231F20"/>
          <w:w w:val="105"/>
        </w:rPr>
        <w:t>para</w:t>
      </w:r>
      <w:r>
        <w:rPr>
          <w:color w:val="231F20"/>
          <w:spacing w:val="-4"/>
          <w:w w:val="105"/>
        </w:rPr>
        <w:t> </w:t>
      </w:r>
      <w:r>
        <w:rPr>
          <w:color w:val="231F20"/>
          <w:w w:val="105"/>
        </w:rPr>
        <w:t>el</w:t>
      </w:r>
      <w:r>
        <w:rPr>
          <w:color w:val="231F20"/>
          <w:spacing w:val="-4"/>
          <w:w w:val="105"/>
        </w:rPr>
        <w:t> </w:t>
      </w:r>
      <w:r>
        <w:rPr>
          <w:color w:val="231F20"/>
          <w:w w:val="105"/>
        </w:rPr>
        <w:t>periodo</w:t>
      </w:r>
      <w:r>
        <w:rPr>
          <w:color w:val="231F20"/>
          <w:spacing w:val="-4"/>
          <w:w w:val="105"/>
        </w:rPr>
        <w:t> </w:t>
      </w:r>
      <w:r>
        <w:rPr>
          <w:color w:val="231F20"/>
          <w:w w:val="105"/>
        </w:rPr>
        <w:t>total</w:t>
      </w:r>
      <w:r>
        <w:rPr>
          <w:color w:val="231F20"/>
          <w:spacing w:val="-4"/>
          <w:w w:val="105"/>
        </w:rPr>
        <w:t> </w:t>
      </w:r>
      <w:r>
        <w:rPr>
          <w:color w:val="231F20"/>
          <w:w w:val="105"/>
        </w:rPr>
        <w:t>de la muestra (del 14 de abril de 2003 al 31 de diciembre de 2012) con un precio spot de 12.8985 mx/usd considerando ocho precios de ejercicio (</w:t>
      </w:r>
      <w:r>
        <w:rPr>
          <w:i/>
          <w:color w:val="231F20"/>
          <w:w w:val="105"/>
        </w:rPr>
        <w:t>strike</w:t>
      </w:r>
      <w:r>
        <w:rPr>
          <w:color w:val="231F20"/>
          <w:w w:val="105"/>
        </w:rPr>
        <w:t>) que van de 12.00 a 12.70 pesos para opciones </w:t>
      </w:r>
      <w:r>
        <w:rPr>
          <w:i/>
          <w:color w:val="231F20"/>
          <w:w w:val="105"/>
        </w:rPr>
        <w:t>call </w:t>
      </w:r>
      <w:r>
        <w:rPr>
          <w:color w:val="231F20"/>
          <w:w w:val="105"/>
        </w:rPr>
        <w:t>dentro del dinero (ITM) </w:t>
      </w:r>
      <w:r>
        <w:rPr>
          <w:i/>
          <w:color w:val="231F20"/>
          <w:w w:val="105"/>
        </w:rPr>
        <w:t>y put </w:t>
      </w:r>
      <w:r>
        <w:rPr>
          <w:color w:val="231F20"/>
          <w:w w:val="105"/>
        </w:rPr>
        <w:t>fuera del dinero (OTM) respectivamente. En</w:t>
      </w:r>
      <w:r>
        <w:rPr>
          <w:color w:val="231F20"/>
          <w:spacing w:val="-17"/>
          <w:w w:val="105"/>
        </w:rPr>
        <w:t> </w:t>
      </w:r>
      <w:r>
        <w:rPr>
          <w:color w:val="231F20"/>
          <w:w w:val="105"/>
        </w:rPr>
        <w:t>cambio, para</w:t>
      </w:r>
      <w:r>
        <w:rPr>
          <w:color w:val="231F20"/>
          <w:spacing w:val="-11"/>
          <w:w w:val="105"/>
        </w:rPr>
        <w:t> </w:t>
      </w:r>
      <w:r>
        <w:rPr>
          <w:color w:val="231F20"/>
          <w:w w:val="105"/>
        </w:rPr>
        <w:t>opciones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dinero</w:t>
      </w:r>
      <w:r>
        <w:rPr>
          <w:color w:val="231F20"/>
          <w:spacing w:val="-11"/>
          <w:w w:val="105"/>
        </w:rPr>
        <w:t> </w:t>
      </w:r>
      <w:r>
        <w:rPr>
          <w:color w:val="231F20"/>
          <w:spacing w:val="-3"/>
          <w:w w:val="105"/>
        </w:rPr>
        <w:t>(ATM)</w:t>
      </w:r>
      <w:r>
        <w:rPr>
          <w:color w:val="231F20"/>
          <w:spacing w:val="-11"/>
          <w:w w:val="105"/>
        </w:rPr>
        <w:t> </w:t>
      </w:r>
      <w:r>
        <w:rPr>
          <w:color w:val="231F20"/>
          <w:w w:val="105"/>
        </w:rPr>
        <w:t>se</w:t>
      </w:r>
      <w:r>
        <w:rPr>
          <w:color w:val="231F20"/>
          <w:spacing w:val="-11"/>
          <w:w w:val="105"/>
        </w:rPr>
        <w:t> </w:t>
      </w:r>
      <w:r>
        <w:rPr>
          <w:color w:val="231F20"/>
          <w:w w:val="105"/>
        </w:rPr>
        <w:t>tienen</w:t>
      </w:r>
      <w:r>
        <w:rPr>
          <w:color w:val="231F20"/>
          <w:spacing w:val="-11"/>
          <w:w w:val="105"/>
        </w:rPr>
        <w:t> </w:t>
      </w:r>
      <w:r>
        <w:rPr>
          <w:color w:val="231F20"/>
          <w:w w:val="105"/>
        </w:rPr>
        <w:t>sólo</w:t>
      </w:r>
      <w:r>
        <w:rPr>
          <w:color w:val="231F20"/>
          <w:spacing w:val="-11"/>
          <w:w w:val="105"/>
        </w:rPr>
        <w:t> </w:t>
      </w:r>
      <w:r>
        <w:rPr>
          <w:color w:val="231F20"/>
          <w:w w:val="105"/>
        </w:rPr>
        <w:t>dos</w:t>
      </w:r>
      <w:r>
        <w:rPr>
          <w:color w:val="231F20"/>
          <w:spacing w:val="-11"/>
          <w:w w:val="105"/>
        </w:rPr>
        <w:t> </w:t>
      </w:r>
      <w:r>
        <w:rPr>
          <w:color w:val="231F20"/>
          <w:w w:val="105"/>
        </w:rPr>
        <w:t>precios</w:t>
      </w:r>
      <w:r>
        <w:rPr>
          <w:color w:val="231F20"/>
          <w:spacing w:val="-11"/>
          <w:w w:val="105"/>
        </w:rPr>
        <w:t> </w:t>
      </w:r>
      <w:r>
        <w:rPr>
          <w:color w:val="231F20"/>
          <w:w w:val="105"/>
        </w:rPr>
        <w:t>de</w:t>
      </w:r>
      <w:r>
        <w:rPr>
          <w:color w:val="231F20"/>
          <w:spacing w:val="-11"/>
          <w:w w:val="105"/>
        </w:rPr>
        <w:t> </w:t>
      </w:r>
      <w:r>
        <w:rPr>
          <w:color w:val="231F20"/>
          <w:w w:val="105"/>
        </w:rPr>
        <w:t>ejercicio con</w:t>
      </w:r>
      <w:r>
        <w:rPr>
          <w:color w:val="231F20"/>
          <w:spacing w:val="-26"/>
          <w:w w:val="105"/>
        </w:rPr>
        <w:t> </w:t>
      </w:r>
      <w:r>
        <w:rPr>
          <w:color w:val="231F20"/>
          <w:w w:val="105"/>
        </w:rPr>
        <w:t>valores</w:t>
      </w:r>
      <w:r>
        <w:rPr>
          <w:color w:val="231F20"/>
          <w:spacing w:val="-26"/>
          <w:w w:val="105"/>
        </w:rPr>
        <w:t> </w:t>
      </w:r>
      <w:r>
        <w:rPr>
          <w:color w:val="231F20"/>
          <w:w w:val="105"/>
        </w:rPr>
        <w:t>de</w:t>
      </w:r>
      <w:r>
        <w:rPr>
          <w:color w:val="231F20"/>
          <w:spacing w:val="-26"/>
          <w:w w:val="105"/>
        </w:rPr>
        <w:t> </w:t>
      </w:r>
      <w:r>
        <w:rPr>
          <w:color w:val="231F20"/>
          <w:w w:val="105"/>
        </w:rPr>
        <w:t>12.80</w:t>
      </w:r>
      <w:r>
        <w:rPr>
          <w:color w:val="231F20"/>
          <w:spacing w:val="-26"/>
          <w:w w:val="105"/>
        </w:rPr>
        <w:t> </w:t>
      </w:r>
      <w:r>
        <w:rPr>
          <w:color w:val="231F20"/>
          <w:w w:val="105"/>
        </w:rPr>
        <w:t>y</w:t>
      </w:r>
      <w:r>
        <w:rPr>
          <w:color w:val="231F20"/>
          <w:spacing w:val="-26"/>
          <w:w w:val="105"/>
        </w:rPr>
        <w:t> </w:t>
      </w:r>
      <w:r>
        <w:rPr>
          <w:color w:val="231F20"/>
          <w:w w:val="105"/>
        </w:rPr>
        <w:t>12.90</w:t>
      </w:r>
      <w:r>
        <w:rPr>
          <w:color w:val="231F20"/>
          <w:spacing w:val="-26"/>
          <w:w w:val="105"/>
        </w:rPr>
        <w:t> </w:t>
      </w:r>
      <w:r>
        <w:rPr>
          <w:color w:val="231F20"/>
          <w:w w:val="105"/>
        </w:rPr>
        <w:t>pesos.</w:t>
      </w:r>
      <w:r>
        <w:rPr>
          <w:color w:val="231F20"/>
          <w:spacing w:val="-34"/>
          <w:w w:val="105"/>
        </w:rPr>
        <w:t> </w:t>
      </w:r>
      <w:r>
        <w:rPr>
          <w:color w:val="231F20"/>
          <w:spacing w:val="-3"/>
          <w:w w:val="105"/>
        </w:rPr>
        <w:t>También</w:t>
      </w:r>
      <w:r>
        <w:rPr>
          <w:color w:val="231F20"/>
          <w:spacing w:val="-26"/>
          <w:w w:val="105"/>
        </w:rPr>
        <w:t> </w:t>
      </w:r>
      <w:r>
        <w:rPr>
          <w:color w:val="231F20"/>
          <w:w w:val="105"/>
        </w:rPr>
        <w:t>se</w:t>
      </w:r>
      <w:r>
        <w:rPr>
          <w:color w:val="231F20"/>
          <w:spacing w:val="-26"/>
          <w:w w:val="105"/>
        </w:rPr>
        <w:t> </w:t>
      </w:r>
      <w:r>
        <w:rPr>
          <w:color w:val="231F20"/>
          <w:w w:val="105"/>
        </w:rPr>
        <w:t>valúan</w:t>
      </w:r>
      <w:r>
        <w:rPr>
          <w:color w:val="231F20"/>
          <w:spacing w:val="-26"/>
          <w:w w:val="105"/>
        </w:rPr>
        <w:t> </w:t>
      </w:r>
      <w:r>
        <w:rPr>
          <w:color w:val="231F20"/>
          <w:w w:val="105"/>
        </w:rPr>
        <w:t>opciones</w:t>
      </w:r>
      <w:r>
        <w:rPr>
          <w:color w:val="231F20"/>
          <w:spacing w:val="-26"/>
          <w:w w:val="105"/>
        </w:rPr>
        <w:t> </w:t>
      </w:r>
      <w:r>
        <w:rPr>
          <w:i/>
          <w:color w:val="231F20"/>
          <w:w w:val="105"/>
        </w:rPr>
        <w:t>call</w:t>
      </w:r>
      <w:r>
        <w:rPr>
          <w:i/>
          <w:color w:val="231F20"/>
          <w:spacing w:val="-26"/>
          <w:w w:val="105"/>
        </w:rPr>
        <w:t> </w:t>
      </w:r>
      <w:r>
        <w:rPr>
          <w:color w:val="231F20"/>
          <w:w w:val="105"/>
        </w:rPr>
        <w:t>fue- ra</w:t>
      </w:r>
      <w:r>
        <w:rPr>
          <w:color w:val="231F20"/>
          <w:spacing w:val="-12"/>
          <w:w w:val="105"/>
        </w:rPr>
        <w:t> </w:t>
      </w:r>
      <w:r>
        <w:rPr>
          <w:color w:val="231F20"/>
          <w:w w:val="105"/>
        </w:rPr>
        <w:t>del</w:t>
      </w:r>
      <w:r>
        <w:rPr>
          <w:color w:val="231F20"/>
          <w:spacing w:val="-12"/>
          <w:w w:val="105"/>
        </w:rPr>
        <w:t> </w:t>
      </w:r>
      <w:r>
        <w:rPr>
          <w:color w:val="231F20"/>
          <w:w w:val="105"/>
        </w:rPr>
        <w:t>dinero</w:t>
      </w:r>
      <w:r>
        <w:rPr>
          <w:color w:val="231F20"/>
          <w:spacing w:val="-12"/>
          <w:w w:val="105"/>
        </w:rPr>
        <w:t> </w:t>
      </w:r>
      <w:r>
        <w:rPr>
          <w:color w:val="231F20"/>
          <w:w w:val="105"/>
        </w:rPr>
        <w:t>(OTM)</w:t>
      </w:r>
      <w:r>
        <w:rPr>
          <w:color w:val="231F20"/>
          <w:spacing w:val="-12"/>
          <w:w w:val="105"/>
        </w:rPr>
        <w:t> </w:t>
      </w:r>
      <w:r>
        <w:rPr>
          <w:color w:val="231F20"/>
          <w:w w:val="105"/>
        </w:rPr>
        <w:t>con</w:t>
      </w:r>
      <w:r>
        <w:rPr>
          <w:color w:val="231F20"/>
          <w:spacing w:val="-12"/>
          <w:w w:val="105"/>
        </w:rPr>
        <w:t> </w:t>
      </w:r>
      <w:r>
        <w:rPr>
          <w:color w:val="231F20"/>
          <w:w w:val="105"/>
        </w:rPr>
        <w:t>los</w:t>
      </w:r>
      <w:r>
        <w:rPr>
          <w:color w:val="231F20"/>
          <w:spacing w:val="-12"/>
          <w:w w:val="105"/>
        </w:rPr>
        <w:t> </w:t>
      </w:r>
      <w:r>
        <w:rPr>
          <w:color w:val="231F20"/>
          <w:w w:val="105"/>
        </w:rPr>
        <w:t>precios</w:t>
      </w:r>
      <w:r>
        <w:rPr>
          <w:color w:val="231F20"/>
          <w:spacing w:val="-12"/>
          <w:w w:val="105"/>
        </w:rPr>
        <w:t> </w:t>
      </w:r>
      <w:r>
        <w:rPr>
          <w:color w:val="231F20"/>
          <w:w w:val="105"/>
        </w:rPr>
        <w:t>de</w:t>
      </w:r>
      <w:r>
        <w:rPr>
          <w:color w:val="231F20"/>
          <w:spacing w:val="-12"/>
          <w:w w:val="105"/>
        </w:rPr>
        <w:t> </w:t>
      </w:r>
      <w:r>
        <w:rPr>
          <w:color w:val="231F20"/>
          <w:w w:val="105"/>
        </w:rPr>
        <w:t>ejercicio</w:t>
      </w:r>
      <w:r>
        <w:rPr>
          <w:color w:val="231F20"/>
          <w:spacing w:val="-12"/>
          <w:w w:val="105"/>
        </w:rPr>
        <w:t> </w:t>
      </w:r>
      <w:r>
        <w:rPr>
          <w:color w:val="231F20"/>
          <w:w w:val="105"/>
        </w:rPr>
        <w:t>que</w:t>
      </w:r>
      <w:r>
        <w:rPr>
          <w:color w:val="231F20"/>
          <w:spacing w:val="-12"/>
          <w:w w:val="105"/>
        </w:rPr>
        <w:t> </w:t>
      </w:r>
      <w:r>
        <w:rPr>
          <w:color w:val="231F20"/>
          <w:w w:val="105"/>
        </w:rPr>
        <w:t>son</w:t>
      </w:r>
      <w:r>
        <w:rPr>
          <w:color w:val="231F20"/>
          <w:spacing w:val="-12"/>
          <w:w w:val="105"/>
        </w:rPr>
        <w:t> </w:t>
      </w:r>
      <w:r>
        <w:rPr>
          <w:color w:val="231F20"/>
          <w:w w:val="105"/>
        </w:rPr>
        <w:t>de</w:t>
      </w:r>
      <w:r>
        <w:rPr>
          <w:color w:val="231F20"/>
          <w:spacing w:val="-12"/>
          <w:w w:val="105"/>
        </w:rPr>
        <w:t> </w:t>
      </w:r>
      <w:r>
        <w:rPr>
          <w:color w:val="231F20"/>
          <w:w w:val="105"/>
        </w:rPr>
        <w:t>13.0</w:t>
      </w:r>
      <w:r>
        <w:rPr>
          <w:color w:val="231F20"/>
          <w:spacing w:val="-12"/>
          <w:w w:val="105"/>
        </w:rPr>
        <w:t> </w:t>
      </w:r>
      <w:r>
        <w:rPr>
          <w:color w:val="231F20"/>
          <w:w w:val="105"/>
        </w:rPr>
        <w:t>a</w:t>
      </w:r>
      <w:r>
        <w:rPr>
          <w:color w:val="231F20"/>
          <w:spacing w:val="-12"/>
          <w:w w:val="105"/>
        </w:rPr>
        <w:t> </w:t>
      </w:r>
      <w:r>
        <w:rPr>
          <w:color w:val="231F20"/>
          <w:w w:val="105"/>
        </w:rPr>
        <w:t>13.90 pesos, y muy profundamente fuera del dinero para valores de 14.00 </w:t>
      </w:r>
      <w:r>
        <w:rPr>
          <w:color w:val="231F20"/>
          <w:spacing w:val="34"/>
          <w:w w:val="105"/>
        </w:rPr>
        <w:t> </w:t>
      </w:r>
      <w:r>
        <w:rPr>
          <w:color w:val="231F20"/>
          <w:w w:val="105"/>
        </w:rPr>
        <w:t>a</w:t>
      </w:r>
    </w:p>
    <w:p>
      <w:pPr>
        <w:pStyle w:val="BodyText"/>
        <w:spacing w:line="259" w:lineRule="auto"/>
        <w:ind w:left="117" w:right="121"/>
        <w:jc w:val="both"/>
      </w:pPr>
      <w:r>
        <w:rPr>
          <w:color w:val="231F20"/>
          <w:w w:val="105"/>
        </w:rPr>
        <w:t>15.00</w:t>
      </w:r>
      <w:r>
        <w:rPr>
          <w:color w:val="231F20"/>
          <w:spacing w:val="-14"/>
          <w:w w:val="105"/>
        </w:rPr>
        <w:t> </w:t>
      </w:r>
      <w:r>
        <w:rPr>
          <w:color w:val="231F20"/>
          <w:w w:val="105"/>
        </w:rPr>
        <w:t>pesos.</w:t>
      </w:r>
      <w:r>
        <w:rPr>
          <w:color w:val="231F20"/>
          <w:spacing w:val="-20"/>
          <w:w w:val="105"/>
        </w:rPr>
        <w:t> </w:t>
      </w:r>
      <w:r>
        <w:rPr>
          <w:color w:val="231F20"/>
          <w:w w:val="105"/>
        </w:rPr>
        <w:t>De</w:t>
      </w:r>
      <w:r>
        <w:rPr>
          <w:color w:val="231F20"/>
          <w:spacing w:val="-14"/>
          <w:w w:val="105"/>
        </w:rPr>
        <w:t> </w:t>
      </w:r>
      <w:r>
        <w:rPr>
          <w:color w:val="231F20"/>
          <w:w w:val="105"/>
        </w:rPr>
        <w:t>igual</w:t>
      </w:r>
      <w:r>
        <w:rPr>
          <w:color w:val="231F20"/>
          <w:spacing w:val="-14"/>
          <w:w w:val="105"/>
        </w:rPr>
        <w:t> </w:t>
      </w:r>
      <w:r>
        <w:rPr>
          <w:color w:val="231F20"/>
          <w:w w:val="105"/>
        </w:rPr>
        <w:t>manera,</w:t>
      </w:r>
      <w:r>
        <w:rPr>
          <w:color w:val="231F20"/>
          <w:spacing w:val="-20"/>
          <w:w w:val="105"/>
        </w:rPr>
        <w:t> </w:t>
      </w:r>
      <w:r>
        <w:rPr>
          <w:color w:val="231F20"/>
          <w:w w:val="105"/>
        </w:rPr>
        <w:t>para</w:t>
      </w:r>
      <w:r>
        <w:rPr>
          <w:color w:val="231F20"/>
          <w:spacing w:val="-14"/>
          <w:w w:val="105"/>
        </w:rPr>
        <w:t> </w:t>
      </w:r>
      <w:r>
        <w:rPr>
          <w:color w:val="231F20"/>
          <w:w w:val="105"/>
        </w:rPr>
        <w:t>los</w:t>
      </w:r>
      <w:r>
        <w:rPr>
          <w:color w:val="231F20"/>
          <w:spacing w:val="-14"/>
          <w:w w:val="105"/>
        </w:rPr>
        <w:t> </w:t>
      </w:r>
      <w:r>
        <w:rPr>
          <w:color w:val="231F20"/>
          <w:w w:val="105"/>
        </w:rPr>
        <w:t>precios</w:t>
      </w:r>
      <w:r>
        <w:rPr>
          <w:color w:val="231F20"/>
          <w:spacing w:val="-14"/>
          <w:w w:val="105"/>
        </w:rPr>
        <w:t> </w:t>
      </w:r>
      <w:r>
        <w:rPr>
          <w:color w:val="231F20"/>
          <w:w w:val="105"/>
        </w:rPr>
        <w:t>de</w:t>
      </w:r>
      <w:r>
        <w:rPr>
          <w:color w:val="231F20"/>
          <w:spacing w:val="-14"/>
          <w:w w:val="105"/>
        </w:rPr>
        <w:t> </w:t>
      </w:r>
      <w:r>
        <w:rPr>
          <w:color w:val="231F20"/>
          <w:w w:val="105"/>
        </w:rPr>
        <w:t>ejercicio,</w:t>
      </w:r>
      <w:r>
        <w:rPr>
          <w:color w:val="231F20"/>
          <w:spacing w:val="-20"/>
          <w:w w:val="105"/>
        </w:rPr>
        <w:t> </w:t>
      </w:r>
      <w:r>
        <w:rPr>
          <w:color w:val="231F20"/>
          <w:w w:val="105"/>
        </w:rPr>
        <w:t>con</w:t>
      </w:r>
      <w:r>
        <w:rPr>
          <w:color w:val="231F20"/>
          <w:spacing w:val="-14"/>
          <w:w w:val="105"/>
        </w:rPr>
        <w:t> </w:t>
      </w:r>
      <w:r>
        <w:rPr>
          <w:color w:val="231F20"/>
          <w:w w:val="105"/>
        </w:rPr>
        <w:t>los</w:t>
      </w:r>
      <w:r>
        <w:rPr>
          <w:color w:val="231F20"/>
          <w:spacing w:val="-14"/>
          <w:w w:val="105"/>
        </w:rPr>
        <w:t> </w:t>
      </w:r>
      <w:r>
        <w:rPr>
          <w:color w:val="231F20"/>
          <w:w w:val="105"/>
        </w:rPr>
        <w:t>mis- mos</w:t>
      </w:r>
      <w:r>
        <w:rPr>
          <w:color w:val="231F20"/>
          <w:spacing w:val="-16"/>
          <w:w w:val="105"/>
        </w:rPr>
        <w:t> </w:t>
      </w:r>
      <w:r>
        <w:rPr>
          <w:color w:val="231F20"/>
          <w:w w:val="105"/>
        </w:rPr>
        <w:t>precios</w:t>
      </w:r>
      <w:r>
        <w:rPr>
          <w:color w:val="231F20"/>
          <w:spacing w:val="-16"/>
          <w:w w:val="105"/>
        </w:rPr>
        <w:t> </w:t>
      </w:r>
      <w:r>
        <w:rPr>
          <w:color w:val="231F20"/>
          <w:w w:val="105"/>
        </w:rPr>
        <w:t>del</w:t>
      </w:r>
      <w:r>
        <w:rPr>
          <w:color w:val="231F20"/>
          <w:spacing w:val="-16"/>
          <w:w w:val="105"/>
        </w:rPr>
        <w:t> </w:t>
      </w:r>
      <w:r>
        <w:rPr>
          <w:color w:val="231F20"/>
          <w:w w:val="105"/>
        </w:rPr>
        <w:t>activo</w:t>
      </w:r>
      <w:r>
        <w:rPr>
          <w:color w:val="231F20"/>
          <w:spacing w:val="-16"/>
          <w:w w:val="105"/>
        </w:rPr>
        <w:t> </w:t>
      </w:r>
      <w:r>
        <w:rPr>
          <w:color w:val="231F20"/>
          <w:w w:val="105"/>
        </w:rPr>
        <w:t>subyacente,</w:t>
      </w:r>
      <w:r>
        <w:rPr>
          <w:color w:val="231F20"/>
          <w:spacing w:val="-21"/>
          <w:w w:val="105"/>
        </w:rPr>
        <w:t> </w:t>
      </w:r>
      <w:r>
        <w:rPr>
          <w:color w:val="231F20"/>
          <w:w w:val="105"/>
        </w:rPr>
        <w:t>se</w:t>
      </w:r>
      <w:r>
        <w:rPr>
          <w:color w:val="231F20"/>
          <w:spacing w:val="-16"/>
          <w:w w:val="105"/>
        </w:rPr>
        <w:t> </w:t>
      </w:r>
      <w:r>
        <w:rPr>
          <w:color w:val="231F20"/>
          <w:w w:val="105"/>
        </w:rPr>
        <w:t>tienen</w:t>
      </w:r>
      <w:r>
        <w:rPr>
          <w:color w:val="231F20"/>
          <w:spacing w:val="-16"/>
          <w:w w:val="105"/>
        </w:rPr>
        <w:t> </w:t>
      </w:r>
      <w:r>
        <w:rPr>
          <w:color w:val="231F20"/>
          <w:w w:val="105"/>
        </w:rPr>
        <w:t>las</w:t>
      </w:r>
      <w:r>
        <w:rPr>
          <w:color w:val="231F20"/>
          <w:spacing w:val="-16"/>
          <w:w w:val="105"/>
        </w:rPr>
        <w:t> </w:t>
      </w:r>
      <w:r>
        <w:rPr>
          <w:color w:val="231F20"/>
          <w:w w:val="105"/>
        </w:rPr>
        <w:t>opciones</w:t>
      </w:r>
      <w:r>
        <w:rPr>
          <w:color w:val="231F20"/>
          <w:spacing w:val="-16"/>
          <w:w w:val="105"/>
        </w:rPr>
        <w:t> </w:t>
      </w:r>
      <w:r>
        <w:rPr>
          <w:i/>
          <w:color w:val="231F20"/>
          <w:w w:val="105"/>
        </w:rPr>
        <w:t>put</w:t>
      </w:r>
      <w:r>
        <w:rPr>
          <w:i/>
          <w:color w:val="231F20"/>
          <w:spacing w:val="-16"/>
          <w:w w:val="105"/>
        </w:rPr>
        <w:t> </w:t>
      </w:r>
      <w:r>
        <w:rPr>
          <w:color w:val="231F20"/>
          <w:w w:val="105"/>
        </w:rPr>
        <w:t>dentro</w:t>
      </w:r>
      <w:r>
        <w:rPr>
          <w:color w:val="231F20"/>
          <w:spacing w:val="-16"/>
          <w:w w:val="105"/>
        </w:rPr>
        <w:t> </w:t>
      </w:r>
      <w:r>
        <w:rPr>
          <w:color w:val="231F20"/>
          <w:w w:val="105"/>
        </w:rPr>
        <w:t>del dinero</w:t>
      </w:r>
      <w:r>
        <w:rPr>
          <w:color w:val="231F20"/>
          <w:spacing w:val="-8"/>
          <w:w w:val="105"/>
        </w:rPr>
        <w:t> </w:t>
      </w:r>
      <w:r>
        <w:rPr>
          <w:color w:val="231F20"/>
          <w:w w:val="105"/>
        </w:rPr>
        <w:t>(ITM)</w:t>
      </w:r>
      <w:r>
        <w:rPr>
          <w:color w:val="231F20"/>
          <w:spacing w:val="-8"/>
          <w:w w:val="105"/>
        </w:rPr>
        <w:t> </w:t>
      </w:r>
      <w:r>
        <w:rPr>
          <w:color w:val="231F20"/>
          <w:w w:val="105"/>
        </w:rPr>
        <w:t>y</w:t>
      </w:r>
      <w:r>
        <w:rPr>
          <w:color w:val="231F20"/>
          <w:spacing w:val="-8"/>
          <w:w w:val="105"/>
        </w:rPr>
        <w:t> </w:t>
      </w:r>
      <w:r>
        <w:rPr>
          <w:color w:val="231F20"/>
          <w:w w:val="105"/>
        </w:rPr>
        <w:t>muy</w:t>
      </w:r>
      <w:r>
        <w:rPr>
          <w:color w:val="231F20"/>
          <w:spacing w:val="-8"/>
          <w:w w:val="105"/>
        </w:rPr>
        <w:t> </w:t>
      </w:r>
      <w:r>
        <w:rPr>
          <w:color w:val="231F20"/>
          <w:w w:val="105"/>
        </w:rPr>
        <w:t>profundamente</w:t>
      </w:r>
      <w:r>
        <w:rPr>
          <w:color w:val="231F20"/>
          <w:spacing w:val="-8"/>
          <w:w w:val="105"/>
        </w:rPr>
        <w:t> </w:t>
      </w:r>
      <w:r>
        <w:rPr>
          <w:color w:val="231F20"/>
          <w:w w:val="105"/>
        </w:rPr>
        <w:t>dentro</w:t>
      </w:r>
      <w:r>
        <w:rPr>
          <w:color w:val="231F20"/>
          <w:spacing w:val="-8"/>
          <w:w w:val="105"/>
        </w:rPr>
        <w:t> </w:t>
      </w:r>
      <w:r>
        <w:rPr>
          <w:color w:val="231F20"/>
          <w:w w:val="105"/>
        </w:rPr>
        <w:t>del</w:t>
      </w:r>
      <w:r>
        <w:rPr>
          <w:color w:val="231F20"/>
          <w:spacing w:val="-8"/>
          <w:w w:val="105"/>
        </w:rPr>
        <w:t> </w:t>
      </w:r>
      <w:r>
        <w:rPr>
          <w:color w:val="231F20"/>
          <w:w w:val="105"/>
        </w:rPr>
        <w:t>dinero.</w:t>
      </w:r>
    </w:p>
    <w:p>
      <w:pPr>
        <w:pStyle w:val="BodyText"/>
        <w:spacing w:line="249" w:lineRule="auto"/>
        <w:ind w:left="117" w:right="115" w:firstLine="567"/>
        <w:jc w:val="both"/>
      </w:pPr>
      <w:r>
        <w:rPr>
          <w:color w:val="231F20"/>
          <w:w w:val="105"/>
        </w:rPr>
        <w:t>En seguida se da inicio a las iteraciones del algoritmo de Nel- der-Mead</w:t>
      </w:r>
      <w:r>
        <w:rPr>
          <w:color w:val="231F20"/>
          <w:w w:val="105"/>
          <w:position w:val="7"/>
          <w:sz w:val="12"/>
        </w:rPr>
        <w:t>7 </w:t>
      </w:r>
      <w:r>
        <w:rPr>
          <w:color w:val="231F20"/>
          <w:w w:val="105"/>
        </w:rPr>
        <w:t>con valores iniciales al vector </w:t>
      </w:r>
      <w:r>
        <w:rPr>
          <w:rFonts w:ascii="Times New Roman" w:hAnsi="Times New Roman"/>
          <w:i/>
          <w:color w:val="231F20"/>
          <w:w w:val="105"/>
          <w:sz w:val="22"/>
        </w:rPr>
        <w:t>х</w:t>
      </w:r>
      <w:r>
        <w:rPr>
          <w:color w:val="231F20"/>
          <w:w w:val="105"/>
          <w:position w:val="-4"/>
          <w:sz w:val="12"/>
        </w:rPr>
        <w:t>0 </w:t>
      </w:r>
      <w:r>
        <w:rPr>
          <w:color w:val="231F20"/>
          <w:w w:val="105"/>
        </w:rPr>
        <w:t>para el modelo de Heston, presentándose</w:t>
      </w:r>
      <w:r>
        <w:rPr>
          <w:color w:val="231F20"/>
          <w:spacing w:val="-5"/>
          <w:w w:val="105"/>
        </w:rPr>
        <w:t> </w:t>
      </w:r>
      <w:r>
        <w:rPr>
          <w:color w:val="231F20"/>
          <w:w w:val="105"/>
        </w:rPr>
        <w:t>los</w:t>
      </w:r>
      <w:r>
        <w:rPr>
          <w:color w:val="231F20"/>
          <w:spacing w:val="-5"/>
          <w:w w:val="105"/>
        </w:rPr>
        <w:t> </w:t>
      </w:r>
      <w:r>
        <w:rPr>
          <w:color w:val="231F20"/>
          <w:w w:val="105"/>
        </w:rPr>
        <w:t>parámetros</w:t>
      </w:r>
      <w:r>
        <w:rPr>
          <w:color w:val="231F20"/>
          <w:spacing w:val="-5"/>
          <w:w w:val="105"/>
        </w:rPr>
        <w:t> </w:t>
      </w:r>
      <w:r>
        <w:rPr>
          <w:color w:val="231F20"/>
          <w:w w:val="105"/>
        </w:rPr>
        <w:t>estimados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figura</w:t>
      </w:r>
      <w:r>
        <w:rPr>
          <w:color w:val="231F20"/>
          <w:spacing w:val="-5"/>
          <w:w w:val="105"/>
        </w:rPr>
        <w:t> </w:t>
      </w:r>
      <w:r>
        <w:rPr>
          <w:color w:val="231F20"/>
          <w:w w:val="105"/>
        </w:rPr>
        <w:t>3.</w:t>
      </w:r>
      <w:r>
        <w:rPr>
          <w:color w:val="231F20"/>
          <w:spacing w:val="-11"/>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objetivo de</w:t>
      </w:r>
      <w:r>
        <w:rPr>
          <w:color w:val="231F20"/>
          <w:spacing w:val="-21"/>
          <w:w w:val="105"/>
        </w:rPr>
        <w:t> </w:t>
      </w:r>
      <w:r>
        <w:rPr>
          <w:color w:val="231F20"/>
          <w:w w:val="105"/>
        </w:rPr>
        <w:t>probar</w:t>
      </w:r>
      <w:r>
        <w:rPr>
          <w:color w:val="231F20"/>
          <w:spacing w:val="-21"/>
          <w:w w:val="105"/>
        </w:rPr>
        <w:t> </w:t>
      </w:r>
      <w:r>
        <w:rPr>
          <w:color w:val="231F20"/>
          <w:w w:val="105"/>
        </w:rPr>
        <w:t>la</w:t>
      </w:r>
      <w:r>
        <w:rPr>
          <w:color w:val="231F20"/>
          <w:spacing w:val="-21"/>
          <w:w w:val="105"/>
        </w:rPr>
        <w:t> </w:t>
      </w:r>
      <w:r>
        <w:rPr>
          <w:color w:val="231F20"/>
          <w:w w:val="105"/>
        </w:rPr>
        <w:t>consistencia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parámetros</w:t>
      </w:r>
      <w:r>
        <w:rPr>
          <w:color w:val="231F20"/>
          <w:spacing w:val="-21"/>
          <w:w w:val="105"/>
        </w:rPr>
        <w:t> </w:t>
      </w:r>
      <w:r>
        <w:rPr>
          <w:color w:val="231F20"/>
          <w:w w:val="105"/>
        </w:rPr>
        <w:t>se</w:t>
      </w:r>
      <w:r>
        <w:rPr>
          <w:color w:val="231F20"/>
          <w:spacing w:val="-21"/>
          <w:w w:val="105"/>
        </w:rPr>
        <w:t> </w:t>
      </w:r>
      <w:r>
        <w:rPr>
          <w:color w:val="231F20"/>
          <w:w w:val="105"/>
        </w:rPr>
        <w:t>realiza</w:t>
      </w:r>
      <w:r>
        <w:rPr>
          <w:color w:val="231F20"/>
          <w:spacing w:val="-21"/>
          <w:w w:val="105"/>
        </w:rPr>
        <w:t> </w:t>
      </w:r>
      <w:r>
        <w:rPr>
          <w:color w:val="231F20"/>
          <w:w w:val="105"/>
        </w:rPr>
        <w:t>la</w:t>
      </w:r>
      <w:r>
        <w:rPr>
          <w:color w:val="231F20"/>
          <w:spacing w:val="-21"/>
          <w:w w:val="105"/>
        </w:rPr>
        <w:t> </w:t>
      </w:r>
      <w:r>
        <w:rPr>
          <w:color w:val="231F20"/>
          <w:w w:val="105"/>
        </w:rPr>
        <w:t>estimación</w:t>
      </w:r>
      <w:r>
        <w:rPr>
          <w:color w:val="231F20"/>
          <w:spacing w:val="-21"/>
          <w:w w:val="105"/>
        </w:rPr>
        <w:t> </w:t>
      </w:r>
      <w:r>
        <w:rPr>
          <w:color w:val="231F20"/>
          <w:w w:val="105"/>
        </w:rPr>
        <w:t>para datos diarios (2321), semanales (497), quincenales (247) y mensuales (123),</w:t>
      </w:r>
      <w:r>
        <w:rPr>
          <w:color w:val="231F20"/>
          <w:spacing w:val="-30"/>
          <w:w w:val="105"/>
        </w:rPr>
        <w:t> </w:t>
      </w:r>
      <w:r>
        <w:rPr>
          <w:color w:val="231F20"/>
          <w:w w:val="105"/>
        </w:rPr>
        <w:t>tomando</w:t>
      </w:r>
      <w:r>
        <w:rPr>
          <w:color w:val="231F20"/>
          <w:spacing w:val="-25"/>
          <w:w w:val="105"/>
        </w:rPr>
        <w:t> </w:t>
      </w:r>
      <w:r>
        <w:rPr>
          <w:color w:val="231F20"/>
          <w:w w:val="105"/>
        </w:rPr>
        <w:t>los</w:t>
      </w:r>
      <w:r>
        <w:rPr>
          <w:color w:val="231F20"/>
          <w:spacing w:val="-25"/>
          <w:w w:val="105"/>
        </w:rPr>
        <w:t> </w:t>
      </w:r>
      <w:r>
        <w:rPr>
          <w:color w:val="231F20"/>
          <w:w w:val="105"/>
        </w:rPr>
        <w:t>días</w:t>
      </w:r>
      <w:r>
        <w:rPr>
          <w:color w:val="231F20"/>
          <w:spacing w:val="-25"/>
          <w:w w:val="105"/>
        </w:rPr>
        <w:t> </w:t>
      </w:r>
      <w:r>
        <w:rPr>
          <w:color w:val="231F20"/>
          <w:w w:val="105"/>
        </w:rPr>
        <w:t>miércoles</w:t>
      </w:r>
      <w:r>
        <w:rPr>
          <w:color w:val="231F20"/>
          <w:spacing w:val="-25"/>
          <w:w w:val="105"/>
        </w:rPr>
        <w:t> </w:t>
      </w:r>
      <w:r>
        <w:rPr>
          <w:color w:val="231F20"/>
          <w:w w:val="105"/>
        </w:rPr>
        <w:t>para</w:t>
      </w:r>
      <w:r>
        <w:rPr>
          <w:color w:val="231F20"/>
          <w:spacing w:val="-25"/>
          <w:w w:val="105"/>
        </w:rPr>
        <w:t> </w:t>
      </w:r>
      <w:r>
        <w:rPr>
          <w:color w:val="231F20"/>
          <w:w w:val="105"/>
        </w:rPr>
        <w:t>los</w:t>
      </w:r>
      <w:r>
        <w:rPr>
          <w:color w:val="231F20"/>
          <w:spacing w:val="-25"/>
          <w:w w:val="105"/>
        </w:rPr>
        <w:t> </w:t>
      </w:r>
      <w:r>
        <w:rPr>
          <w:color w:val="231F20"/>
          <w:w w:val="105"/>
        </w:rPr>
        <w:t>últimos</w:t>
      </w:r>
      <w:r>
        <w:rPr>
          <w:color w:val="231F20"/>
          <w:spacing w:val="-25"/>
          <w:w w:val="105"/>
        </w:rPr>
        <w:t> </w:t>
      </w:r>
      <w:r>
        <w:rPr>
          <w:color w:val="231F20"/>
          <w:w w:val="105"/>
        </w:rPr>
        <w:t>tres</w:t>
      </w:r>
      <w:r>
        <w:rPr>
          <w:color w:val="231F20"/>
          <w:spacing w:val="-25"/>
          <w:w w:val="105"/>
        </w:rPr>
        <w:t> </w:t>
      </w:r>
      <w:r>
        <w:rPr>
          <w:color w:val="231F20"/>
          <w:w w:val="105"/>
        </w:rPr>
        <w:t>periodos,</w:t>
      </w:r>
      <w:r>
        <w:rPr>
          <w:color w:val="231F20"/>
          <w:spacing w:val="-30"/>
          <w:w w:val="105"/>
        </w:rPr>
        <w:t> </w:t>
      </w:r>
      <w:r>
        <w:rPr>
          <w:color w:val="231F20"/>
          <w:w w:val="105"/>
        </w:rPr>
        <w:t>además</w:t>
      </w:r>
    </w:p>
    <w:p>
      <w:pPr>
        <w:pStyle w:val="BodyText"/>
        <w:spacing w:line="259" w:lineRule="auto" w:before="9"/>
        <w:ind w:left="117" w:right="115"/>
        <w:jc w:val="both"/>
      </w:pPr>
      <w:r>
        <w:rPr>
          <w:color w:val="231F20"/>
          <w:w w:val="105"/>
        </w:rPr>
        <w:t>de</w:t>
      </w:r>
      <w:r>
        <w:rPr>
          <w:color w:val="231F20"/>
          <w:spacing w:val="-7"/>
          <w:w w:val="105"/>
        </w:rPr>
        <w:t> </w:t>
      </w:r>
      <w:r>
        <w:rPr>
          <w:color w:val="231F20"/>
          <w:w w:val="105"/>
        </w:rPr>
        <w:t>realizar</w:t>
      </w:r>
      <w:r>
        <w:rPr>
          <w:color w:val="231F20"/>
          <w:spacing w:val="-7"/>
          <w:w w:val="105"/>
        </w:rPr>
        <w:t> </w:t>
      </w:r>
      <w:r>
        <w:rPr>
          <w:color w:val="231F20"/>
          <w:w w:val="105"/>
        </w:rPr>
        <w:t>el</w:t>
      </w:r>
      <w:r>
        <w:rPr>
          <w:color w:val="231F20"/>
          <w:spacing w:val="-7"/>
          <w:w w:val="105"/>
        </w:rPr>
        <w:t> </w:t>
      </w:r>
      <w:r>
        <w:rPr>
          <w:color w:val="231F20"/>
          <w:w w:val="105"/>
        </w:rPr>
        <w:t>análisis</w:t>
      </w:r>
      <w:r>
        <w:rPr>
          <w:color w:val="231F20"/>
          <w:spacing w:val="-7"/>
          <w:w w:val="105"/>
        </w:rPr>
        <w:t> </w:t>
      </w:r>
      <w:r>
        <w:rPr>
          <w:color w:val="231F20"/>
          <w:w w:val="105"/>
        </w:rPr>
        <w:t>para</w:t>
      </w:r>
      <w:r>
        <w:rPr>
          <w:color w:val="231F20"/>
          <w:spacing w:val="-7"/>
          <w:w w:val="105"/>
        </w:rPr>
        <w:t> </w:t>
      </w:r>
      <w:r>
        <w:rPr>
          <w:color w:val="231F20"/>
          <w:w w:val="105"/>
        </w:rPr>
        <w:t>tres</w:t>
      </w:r>
      <w:r>
        <w:rPr>
          <w:color w:val="231F20"/>
          <w:spacing w:val="-7"/>
          <w:w w:val="105"/>
        </w:rPr>
        <w:t> </w:t>
      </w:r>
      <w:r>
        <w:rPr>
          <w:color w:val="231F20"/>
          <w:w w:val="105"/>
        </w:rPr>
        <w:t>periodos:</w:t>
      </w:r>
      <w:r>
        <w:rPr>
          <w:color w:val="231F20"/>
          <w:spacing w:val="-7"/>
          <w:w w:val="105"/>
        </w:rPr>
        <w:t> </w:t>
      </w:r>
      <w:r>
        <w:rPr>
          <w:color w:val="231F20"/>
          <w:w w:val="105"/>
        </w:rPr>
        <w:t>el</w:t>
      </w:r>
      <w:r>
        <w:rPr>
          <w:color w:val="231F20"/>
          <w:spacing w:val="-7"/>
          <w:w w:val="105"/>
        </w:rPr>
        <w:t> </w:t>
      </w:r>
      <w:r>
        <w:rPr>
          <w:color w:val="231F20"/>
          <w:w w:val="105"/>
        </w:rPr>
        <w:t>primero,</w:t>
      </w:r>
      <w:r>
        <w:rPr>
          <w:color w:val="231F20"/>
          <w:spacing w:val="-13"/>
          <w:w w:val="105"/>
        </w:rPr>
        <w:t> </w:t>
      </w:r>
      <w:r>
        <w:rPr>
          <w:color w:val="231F20"/>
          <w:w w:val="105"/>
        </w:rPr>
        <w:t>considerado</w:t>
      </w:r>
      <w:r>
        <w:rPr>
          <w:color w:val="231F20"/>
          <w:spacing w:val="-7"/>
          <w:w w:val="105"/>
        </w:rPr>
        <w:t> </w:t>
      </w:r>
      <w:r>
        <w:rPr>
          <w:color w:val="231F20"/>
          <w:w w:val="105"/>
        </w:rPr>
        <w:t>del</w:t>
      </w:r>
      <w:r>
        <w:rPr>
          <w:color w:val="231F20"/>
          <w:spacing w:val="-7"/>
          <w:w w:val="105"/>
        </w:rPr>
        <w:t> </w:t>
      </w:r>
      <w:r>
        <w:rPr>
          <w:color w:val="231F20"/>
          <w:w w:val="105"/>
        </w:rPr>
        <w:t>14 de</w:t>
      </w:r>
      <w:r>
        <w:rPr>
          <w:color w:val="231F20"/>
          <w:spacing w:val="-15"/>
          <w:w w:val="105"/>
        </w:rPr>
        <w:t> </w:t>
      </w:r>
      <w:r>
        <w:rPr>
          <w:color w:val="231F20"/>
          <w:w w:val="105"/>
        </w:rPr>
        <w:t>abril</w:t>
      </w:r>
      <w:r>
        <w:rPr>
          <w:color w:val="231F20"/>
          <w:spacing w:val="-15"/>
          <w:w w:val="105"/>
        </w:rPr>
        <w:t> </w:t>
      </w:r>
      <w:r>
        <w:rPr>
          <w:color w:val="231F20"/>
          <w:w w:val="105"/>
        </w:rPr>
        <w:t>de</w:t>
      </w:r>
      <w:r>
        <w:rPr>
          <w:color w:val="231F20"/>
          <w:spacing w:val="-15"/>
          <w:w w:val="105"/>
        </w:rPr>
        <w:t> </w:t>
      </w:r>
      <w:r>
        <w:rPr>
          <w:color w:val="231F20"/>
          <w:w w:val="105"/>
        </w:rPr>
        <w:t>2003</w:t>
      </w:r>
      <w:r>
        <w:rPr>
          <w:color w:val="231F20"/>
          <w:spacing w:val="-15"/>
          <w:w w:val="105"/>
        </w:rPr>
        <w:t> </w:t>
      </w:r>
      <w:r>
        <w:rPr>
          <w:color w:val="231F20"/>
          <w:w w:val="105"/>
        </w:rPr>
        <w:t>al</w:t>
      </w:r>
      <w:r>
        <w:rPr>
          <w:color w:val="231F20"/>
          <w:spacing w:val="-15"/>
          <w:w w:val="105"/>
        </w:rPr>
        <w:t> </w:t>
      </w:r>
      <w:r>
        <w:rPr>
          <w:color w:val="231F20"/>
          <w:w w:val="105"/>
        </w:rPr>
        <w:t>4</w:t>
      </w:r>
      <w:r>
        <w:rPr>
          <w:color w:val="231F20"/>
          <w:spacing w:val="-15"/>
          <w:w w:val="105"/>
        </w:rPr>
        <w:t> </w:t>
      </w:r>
      <w:r>
        <w:rPr>
          <w:color w:val="231F20"/>
          <w:w w:val="105"/>
        </w:rPr>
        <w:t>de</w:t>
      </w:r>
      <w:r>
        <w:rPr>
          <w:color w:val="231F20"/>
          <w:spacing w:val="-15"/>
          <w:w w:val="105"/>
        </w:rPr>
        <w:t> </w:t>
      </w:r>
      <w:r>
        <w:rPr>
          <w:color w:val="231F20"/>
          <w:w w:val="105"/>
        </w:rPr>
        <w:t>agosto</w:t>
      </w:r>
      <w:r>
        <w:rPr>
          <w:color w:val="231F20"/>
          <w:spacing w:val="-15"/>
          <w:w w:val="105"/>
        </w:rPr>
        <w:t> </w:t>
      </w:r>
      <w:r>
        <w:rPr>
          <w:color w:val="231F20"/>
          <w:w w:val="105"/>
        </w:rPr>
        <w:t>de</w:t>
      </w:r>
      <w:r>
        <w:rPr>
          <w:color w:val="231F20"/>
          <w:spacing w:val="-15"/>
          <w:w w:val="105"/>
        </w:rPr>
        <w:t> </w:t>
      </w:r>
      <w:r>
        <w:rPr>
          <w:color w:val="231F20"/>
          <w:w w:val="105"/>
        </w:rPr>
        <w:t>2008,</w:t>
      </w:r>
      <w:r>
        <w:rPr>
          <w:color w:val="231F20"/>
          <w:spacing w:val="-20"/>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se</w:t>
      </w:r>
      <w:r>
        <w:rPr>
          <w:color w:val="231F20"/>
          <w:spacing w:val="-15"/>
          <w:w w:val="105"/>
        </w:rPr>
        <w:t> </w:t>
      </w:r>
      <w:r>
        <w:rPr>
          <w:color w:val="231F20"/>
          <w:w w:val="105"/>
        </w:rPr>
        <w:t>presenta</w:t>
      </w:r>
      <w:r>
        <w:rPr>
          <w:color w:val="231F20"/>
          <w:spacing w:val="-15"/>
          <w:w w:val="105"/>
        </w:rPr>
        <w:t> </w:t>
      </w:r>
      <w:r>
        <w:rPr>
          <w:color w:val="231F20"/>
          <w:w w:val="105"/>
        </w:rPr>
        <w:t>una</w:t>
      </w:r>
      <w:r>
        <w:rPr>
          <w:color w:val="231F20"/>
          <w:spacing w:val="-15"/>
          <w:w w:val="105"/>
        </w:rPr>
        <w:t> </w:t>
      </w:r>
      <w:r>
        <w:rPr>
          <w:color w:val="231F20"/>
          <w:w w:val="105"/>
        </w:rPr>
        <w:t>esta- bilidad relativa del tipo de cambio; el segundo, a partir del 5 de agosto de 2008 al 31 de diciembre de 2012 porque fue un periodo de extrema turbulencia</w:t>
      </w:r>
      <w:r>
        <w:rPr>
          <w:color w:val="231F20"/>
          <w:spacing w:val="-16"/>
          <w:w w:val="105"/>
        </w:rPr>
        <w:t> </w:t>
      </w:r>
      <w:r>
        <w:rPr>
          <w:color w:val="231F20"/>
          <w:w w:val="105"/>
        </w:rPr>
        <w:t>e</w:t>
      </w:r>
      <w:r>
        <w:rPr>
          <w:color w:val="231F20"/>
          <w:spacing w:val="-16"/>
          <w:w w:val="105"/>
        </w:rPr>
        <w:t> </w:t>
      </w:r>
      <w:r>
        <w:rPr>
          <w:color w:val="231F20"/>
          <w:w w:val="105"/>
        </w:rPr>
        <w:t>inestabilidad</w:t>
      </w:r>
      <w:r>
        <w:rPr>
          <w:color w:val="231F20"/>
          <w:spacing w:val="-16"/>
          <w:w w:val="105"/>
        </w:rPr>
        <w:t> </w:t>
      </w:r>
      <w:r>
        <w:rPr>
          <w:color w:val="231F20"/>
          <w:w w:val="105"/>
        </w:rPr>
        <w:t>financiera,</w:t>
      </w:r>
      <w:r>
        <w:rPr>
          <w:color w:val="231F20"/>
          <w:spacing w:val="-23"/>
          <w:w w:val="105"/>
        </w:rPr>
        <w:t> </w:t>
      </w:r>
      <w:r>
        <w:rPr>
          <w:color w:val="231F20"/>
          <w:w w:val="105"/>
        </w:rPr>
        <w:t>sobre</w:t>
      </w:r>
      <w:r>
        <w:rPr>
          <w:color w:val="231F20"/>
          <w:spacing w:val="-16"/>
          <w:w w:val="105"/>
        </w:rPr>
        <w:t> </w:t>
      </w:r>
      <w:r>
        <w:rPr>
          <w:color w:val="231F20"/>
          <w:w w:val="105"/>
        </w:rPr>
        <w:t>todo</w:t>
      </w:r>
      <w:r>
        <w:rPr>
          <w:color w:val="231F20"/>
          <w:spacing w:val="-16"/>
          <w:w w:val="105"/>
        </w:rPr>
        <w:t> </w:t>
      </w:r>
      <w:r>
        <w:rPr>
          <w:color w:val="231F20"/>
          <w:w w:val="105"/>
        </w:rPr>
        <w:t>el</w:t>
      </w:r>
      <w:r>
        <w:rPr>
          <w:color w:val="231F20"/>
          <w:spacing w:val="-16"/>
          <w:w w:val="105"/>
        </w:rPr>
        <w:t> </w:t>
      </w:r>
      <w:r>
        <w:rPr>
          <w:color w:val="231F20"/>
          <w:w w:val="105"/>
        </w:rPr>
        <w:t>año</w:t>
      </w:r>
      <w:r>
        <w:rPr>
          <w:color w:val="231F20"/>
          <w:spacing w:val="-16"/>
          <w:w w:val="105"/>
        </w:rPr>
        <w:t> </w:t>
      </w:r>
      <w:r>
        <w:rPr>
          <w:color w:val="231F20"/>
          <w:w w:val="105"/>
        </w:rPr>
        <w:t>2009</w:t>
      </w:r>
      <w:r>
        <w:rPr>
          <w:color w:val="231F20"/>
          <w:spacing w:val="-16"/>
          <w:w w:val="105"/>
        </w:rPr>
        <w:t> </w:t>
      </w:r>
      <w:r>
        <w:rPr>
          <w:color w:val="231F20"/>
          <w:w w:val="105"/>
        </w:rPr>
        <w:t>debido</w:t>
      </w:r>
      <w:r>
        <w:rPr>
          <w:color w:val="231F20"/>
          <w:spacing w:val="-16"/>
          <w:w w:val="105"/>
        </w:rPr>
        <w:t> </w:t>
      </w:r>
      <w:r>
        <w:rPr>
          <w:color w:val="231F20"/>
          <w:w w:val="105"/>
        </w:rPr>
        <w:t>a</w:t>
      </w:r>
      <w:r>
        <w:rPr>
          <w:color w:val="231F20"/>
          <w:spacing w:val="-16"/>
          <w:w w:val="105"/>
        </w:rPr>
        <w:t> </w:t>
      </w:r>
      <w:r>
        <w:rPr>
          <w:color w:val="231F20"/>
          <w:w w:val="105"/>
        </w:rPr>
        <w:t>la crisis</w:t>
      </w:r>
      <w:r>
        <w:rPr>
          <w:color w:val="231F20"/>
          <w:spacing w:val="-21"/>
          <w:w w:val="105"/>
        </w:rPr>
        <w:t> </w:t>
      </w:r>
      <w:r>
        <w:rPr>
          <w:color w:val="231F20"/>
          <w:w w:val="105"/>
        </w:rPr>
        <w:t>mundial;</w:t>
      </w:r>
      <w:r>
        <w:rPr>
          <w:color w:val="231F20"/>
          <w:spacing w:val="-21"/>
          <w:w w:val="105"/>
        </w:rPr>
        <w:t> </w:t>
      </w:r>
      <w:r>
        <w:rPr>
          <w:color w:val="231F20"/>
          <w:w w:val="105"/>
        </w:rPr>
        <w:t>y</w:t>
      </w:r>
      <w:r>
        <w:rPr>
          <w:color w:val="231F20"/>
          <w:spacing w:val="-21"/>
          <w:w w:val="105"/>
        </w:rPr>
        <w:t> </w:t>
      </w:r>
      <w:r>
        <w:rPr>
          <w:color w:val="231F20"/>
          <w:w w:val="105"/>
        </w:rPr>
        <w:t>finalmente</w:t>
      </w:r>
      <w:r>
        <w:rPr>
          <w:color w:val="231F20"/>
          <w:spacing w:val="-21"/>
          <w:w w:val="105"/>
        </w:rPr>
        <w:t> </w:t>
      </w:r>
      <w:r>
        <w:rPr>
          <w:color w:val="231F20"/>
          <w:w w:val="105"/>
        </w:rPr>
        <w:t>un</w:t>
      </w:r>
      <w:r>
        <w:rPr>
          <w:color w:val="231F20"/>
          <w:spacing w:val="-21"/>
          <w:w w:val="105"/>
        </w:rPr>
        <w:t> </w:t>
      </w:r>
      <w:r>
        <w:rPr>
          <w:color w:val="231F20"/>
          <w:w w:val="105"/>
        </w:rPr>
        <w:t>tercero</w:t>
      </w:r>
      <w:r>
        <w:rPr>
          <w:color w:val="231F20"/>
          <w:spacing w:val="-21"/>
          <w:w w:val="105"/>
        </w:rPr>
        <w:t> </w:t>
      </w:r>
      <w:r>
        <w:rPr>
          <w:color w:val="231F20"/>
          <w:w w:val="105"/>
        </w:rPr>
        <w:t>que</w:t>
      </w:r>
      <w:r>
        <w:rPr>
          <w:color w:val="231F20"/>
          <w:spacing w:val="-21"/>
          <w:w w:val="105"/>
        </w:rPr>
        <w:t> </w:t>
      </w:r>
      <w:r>
        <w:rPr>
          <w:color w:val="231F20"/>
          <w:w w:val="105"/>
        </w:rPr>
        <w:t>abarca</w:t>
      </w:r>
      <w:r>
        <w:rPr>
          <w:color w:val="231F20"/>
          <w:spacing w:val="-21"/>
          <w:w w:val="105"/>
        </w:rPr>
        <w:t> </w:t>
      </w:r>
      <w:r>
        <w:rPr>
          <w:color w:val="231F20"/>
          <w:w w:val="105"/>
        </w:rPr>
        <w:t>la</w:t>
      </w:r>
      <w:r>
        <w:rPr>
          <w:color w:val="231F20"/>
          <w:spacing w:val="-21"/>
          <w:w w:val="105"/>
        </w:rPr>
        <w:t> </w:t>
      </w:r>
      <w:r>
        <w:rPr>
          <w:color w:val="231F20"/>
          <w:w w:val="105"/>
        </w:rPr>
        <w:t>muestra</w:t>
      </w:r>
      <w:r>
        <w:rPr>
          <w:color w:val="231F20"/>
          <w:spacing w:val="-21"/>
          <w:w w:val="105"/>
        </w:rPr>
        <w:t> </w:t>
      </w:r>
      <w:r>
        <w:rPr>
          <w:color w:val="231F20"/>
          <w:w w:val="105"/>
        </w:rPr>
        <w:t>total</w:t>
      </w:r>
      <w:r>
        <w:rPr>
          <w:color w:val="231F20"/>
          <w:spacing w:val="-21"/>
          <w:w w:val="105"/>
        </w:rPr>
        <w:t> </w:t>
      </w:r>
      <w:r>
        <w:rPr>
          <w:color w:val="231F20"/>
          <w:w w:val="105"/>
        </w:rPr>
        <w:t>del</w:t>
      </w:r>
      <w:r>
        <w:rPr>
          <w:color w:val="231F20"/>
          <w:spacing w:val="-21"/>
          <w:w w:val="105"/>
        </w:rPr>
        <w:t> </w:t>
      </w:r>
      <w:r>
        <w:rPr>
          <w:color w:val="231F20"/>
          <w:w w:val="105"/>
        </w:rPr>
        <w:t>es- tudio,</w:t>
      </w:r>
      <w:r>
        <w:rPr>
          <w:color w:val="231F20"/>
          <w:spacing w:val="-11"/>
          <w:w w:val="105"/>
        </w:rPr>
        <w:t> </w:t>
      </w:r>
      <w:r>
        <w:rPr>
          <w:color w:val="231F20"/>
          <w:w w:val="105"/>
        </w:rPr>
        <w:t>comprendido</w:t>
      </w:r>
      <w:r>
        <w:rPr>
          <w:color w:val="231F20"/>
          <w:spacing w:val="-4"/>
          <w:w w:val="105"/>
        </w:rPr>
        <w:t> </w:t>
      </w:r>
      <w:r>
        <w:rPr>
          <w:color w:val="231F20"/>
          <w:w w:val="105"/>
        </w:rPr>
        <w:t>del</w:t>
      </w:r>
      <w:r>
        <w:rPr>
          <w:color w:val="231F20"/>
          <w:spacing w:val="-4"/>
          <w:w w:val="105"/>
        </w:rPr>
        <w:t> </w:t>
      </w:r>
      <w:r>
        <w:rPr>
          <w:color w:val="231F20"/>
          <w:w w:val="105"/>
        </w:rPr>
        <w:t>14</w:t>
      </w:r>
      <w:r>
        <w:rPr>
          <w:color w:val="231F20"/>
          <w:spacing w:val="-3"/>
          <w:w w:val="105"/>
        </w:rPr>
        <w:t> </w:t>
      </w:r>
      <w:r>
        <w:rPr>
          <w:color w:val="231F20"/>
          <w:w w:val="105"/>
        </w:rPr>
        <w:t>de</w:t>
      </w:r>
      <w:r>
        <w:rPr>
          <w:color w:val="231F20"/>
          <w:spacing w:val="-4"/>
          <w:w w:val="105"/>
        </w:rPr>
        <w:t> </w:t>
      </w:r>
      <w:r>
        <w:rPr>
          <w:color w:val="231F20"/>
          <w:w w:val="105"/>
        </w:rPr>
        <w:t>abril</w:t>
      </w:r>
      <w:r>
        <w:rPr>
          <w:color w:val="231F20"/>
          <w:spacing w:val="-3"/>
          <w:w w:val="105"/>
        </w:rPr>
        <w:t> </w:t>
      </w:r>
      <w:r>
        <w:rPr>
          <w:color w:val="231F20"/>
          <w:w w:val="105"/>
        </w:rPr>
        <w:t>de</w:t>
      </w:r>
      <w:r>
        <w:rPr>
          <w:color w:val="231F20"/>
          <w:spacing w:val="-4"/>
          <w:w w:val="105"/>
        </w:rPr>
        <w:t> </w:t>
      </w:r>
      <w:r>
        <w:rPr>
          <w:color w:val="231F20"/>
          <w:w w:val="105"/>
        </w:rPr>
        <w:t>2003</w:t>
      </w:r>
      <w:r>
        <w:rPr>
          <w:color w:val="231F20"/>
          <w:spacing w:val="-4"/>
          <w:w w:val="105"/>
        </w:rPr>
        <w:t> </w:t>
      </w:r>
      <w:r>
        <w:rPr>
          <w:color w:val="231F20"/>
          <w:w w:val="105"/>
        </w:rPr>
        <w:t>al</w:t>
      </w:r>
      <w:r>
        <w:rPr>
          <w:color w:val="231F20"/>
          <w:spacing w:val="-3"/>
          <w:w w:val="105"/>
        </w:rPr>
        <w:t> </w:t>
      </w:r>
      <w:r>
        <w:rPr>
          <w:color w:val="231F20"/>
          <w:w w:val="105"/>
        </w:rPr>
        <w:t>31</w:t>
      </w:r>
      <w:r>
        <w:rPr>
          <w:color w:val="231F20"/>
          <w:spacing w:val="-4"/>
          <w:w w:val="105"/>
        </w:rPr>
        <w:t> </w:t>
      </w:r>
      <w:r>
        <w:rPr>
          <w:color w:val="231F20"/>
          <w:w w:val="105"/>
        </w:rPr>
        <w:t>de</w:t>
      </w:r>
      <w:r>
        <w:rPr>
          <w:color w:val="231F20"/>
          <w:spacing w:val="-4"/>
          <w:w w:val="105"/>
        </w:rPr>
        <w:t> </w:t>
      </w:r>
      <w:r>
        <w:rPr>
          <w:color w:val="231F20"/>
          <w:w w:val="105"/>
        </w:rPr>
        <w:t>diciembre</w:t>
      </w:r>
      <w:r>
        <w:rPr>
          <w:color w:val="231F20"/>
          <w:spacing w:val="-4"/>
          <w:w w:val="105"/>
        </w:rPr>
        <w:t> </w:t>
      </w:r>
      <w:r>
        <w:rPr>
          <w:color w:val="231F20"/>
          <w:w w:val="105"/>
        </w:rPr>
        <w:t>de</w:t>
      </w:r>
      <w:r>
        <w:rPr>
          <w:color w:val="231F20"/>
          <w:spacing w:val="-3"/>
          <w:w w:val="105"/>
        </w:rPr>
        <w:t> </w:t>
      </w:r>
      <w:r>
        <w:rPr>
          <w:color w:val="231F20"/>
          <w:w w:val="105"/>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r>
        <w:rPr/>
        <w:pict>
          <v:line style="position:absolute;mso-position-horizontal-relative:page;mso-position-vertical-relative:paragraph;z-index:8368;mso-wrap-distance-left:0;mso-wrap-distance-right:0" from="70.866096pt,16.009134pt" to="184.252096pt,16.009134pt" stroked="true" strokeweight=".25pt" strokecolor="#231f20">
            <w10:wrap type="topAndBottom"/>
          </v:line>
        </w:pict>
      </w:r>
    </w:p>
    <w:p>
      <w:pPr>
        <w:spacing w:before="8"/>
        <w:ind w:left="117" w:right="114" w:firstLine="0"/>
        <w:jc w:val="left"/>
        <w:rPr>
          <w:rFonts w:ascii="Calibri" w:hAnsi="Calibri"/>
          <w:sz w:val="16"/>
        </w:rPr>
      </w:pPr>
      <w:r>
        <w:rPr>
          <w:rFonts w:ascii="Calibri" w:hAnsi="Calibri"/>
          <w:color w:val="414042"/>
          <w:position w:val="5"/>
          <w:sz w:val="9"/>
        </w:rPr>
        <w:t>7      </w:t>
      </w:r>
      <w:r>
        <w:rPr>
          <w:rFonts w:ascii="Calibri" w:hAnsi="Calibri"/>
          <w:color w:val="414042"/>
          <w:sz w:val="16"/>
        </w:rPr>
        <w:t>Que se programó en Matlab.</w:t>
      </w:r>
    </w:p>
    <w:p>
      <w:pPr>
        <w:spacing w:after="0"/>
        <w:jc w:val="left"/>
        <w:rPr>
          <w:rFonts w:ascii="Calibri" w:hAnsi="Calibri"/>
          <w:sz w:val="16"/>
        </w:rPr>
        <w:sectPr>
          <w:type w:val="continuous"/>
          <w:pgSz w:w="9640" w:h="13890"/>
          <w:pgMar w:top="1300" w:bottom="280" w:left="1300" w:right="1180"/>
        </w:sectPr>
      </w:pPr>
    </w:p>
    <w:p>
      <w:pPr>
        <w:spacing w:before="118"/>
        <w:ind w:left="989" w:right="17" w:firstLine="0"/>
        <w:jc w:val="left"/>
        <w:rPr>
          <w:sz w:val="18"/>
        </w:rPr>
      </w:pPr>
      <w:r>
        <w:rPr/>
        <w:drawing>
          <wp:anchor distT="0" distB="0" distL="0" distR="0" allowOverlap="1" layoutInCell="1" locked="0" behindDoc="0" simplePos="0" relativeHeight="8416">
            <wp:simplePos x="0" y="0"/>
            <wp:positionH relativeFrom="page">
              <wp:posOffset>828001</wp:posOffset>
            </wp:positionH>
            <wp:positionV relativeFrom="paragraph">
              <wp:posOffset>284621</wp:posOffset>
            </wp:positionV>
            <wp:extent cx="4394506" cy="3331273"/>
            <wp:effectExtent l="0" t="0" r="0" b="0"/>
            <wp:wrapTopAndBottom/>
            <wp:docPr id="111" name="image102.png" descr=""/>
            <wp:cNvGraphicFramePr>
              <a:graphicFrameLocks noChangeAspect="1"/>
            </wp:cNvGraphicFramePr>
            <a:graphic>
              <a:graphicData uri="http://schemas.openxmlformats.org/drawingml/2006/picture">
                <pic:pic>
                  <pic:nvPicPr>
                    <pic:cNvPr id="112" name="image102.png"/>
                    <pic:cNvPicPr/>
                  </pic:nvPicPr>
                  <pic:blipFill>
                    <a:blip r:embed="rId126" cstate="print"/>
                    <a:stretch>
                      <a:fillRect/>
                    </a:stretch>
                  </pic:blipFill>
                  <pic:spPr>
                    <a:xfrm>
                      <a:off x="0" y="0"/>
                      <a:ext cx="4394506" cy="3331273"/>
                    </a:xfrm>
                    <a:prstGeom prst="rect">
                      <a:avLst/>
                    </a:prstGeom>
                  </pic:spPr>
                </pic:pic>
              </a:graphicData>
            </a:graphic>
          </wp:anchor>
        </w:drawing>
      </w:r>
      <w:r>
        <w:rPr>
          <w:color w:val="231F20"/>
          <w:w w:val="105"/>
          <w:sz w:val="18"/>
        </w:rPr>
        <w:t>Figura 4. Prima de la opción </w:t>
      </w:r>
      <w:r>
        <w:rPr>
          <w:i/>
          <w:color w:val="231F20"/>
          <w:w w:val="105"/>
          <w:sz w:val="18"/>
        </w:rPr>
        <w:t>call </w:t>
      </w:r>
      <w:r>
        <w:rPr>
          <w:color w:val="231F20"/>
          <w:w w:val="105"/>
          <w:sz w:val="18"/>
        </w:rPr>
        <w:t>sobre tipo de cambio mx/usd.</w:t>
      </w:r>
    </w:p>
    <w:p>
      <w:pPr>
        <w:spacing w:before="66"/>
        <w:ind w:left="103" w:right="0" w:firstLine="0"/>
        <w:jc w:val="both"/>
        <w:rPr>
          <w:sz w:val="16"/>
        </w:rPr>
      </w:pPr>
      <w:r>
        <w:rPr>
          <w:color w:val="231F20"/>
          <w:w w:val="105"/>
          <w:sz w:val="16"/>
        </w:rPr>
        <w:t>Fuente: Elaboración propia</w:t>
      </w:r>
    </w:p>
    <w:p>
      <w:pPr>
        <w:spacing w:line="249" w:lineRule="auto" w:before="64"/>
        <w:ind w:left="103" w:right="115" w:firstLine="0"/>
        <w:jc w:val="both"/>
        <w:rPr>
          <w:sz w:val="16"/>
        </w:rPr>
      </w:pPr>
      <w:r>
        <w:rPr>
          <w:color w:val="231F20"/>
          <w:spacing w:val="-4"/>
          <w:w w:val="105"/>
          <w:sz w:val="16"/>
        </w:rPr>
        <w:t>NOTA:</w:t>
      </w:r>
      <w:r>
        <w:rPr>
          <w:color w:val="231F20"/>
          <w:spacing w:val="-5"/>
          <w:w w:val="105"/>
          <w:sz w:val="16"/>
        </w:rPr>
        <w:t> </w:t>
      </w:r>
      <w:r>
        <w:rPr>
          <w:color w:val="231F20"/>
          <w:w w:val="105"/>
          <w:sz w:val="16"/>
        </w:rPr>
        <w:t>La</w:t>
      </w:r>
      <w:r>
        <w:rPr>
          <w:color w:val="231F20"/>
          <w:spacing w:val="-5"/>
          <w:w w:val="105"/>
          <w:sz w:val="16"/>
        </w:rPr>
        <w:t> </w:t>
      </w:r>
      <w:r>
        <w:rPr>
          <w:color w:val="231F20"/>
          <w:w w:val="105"/>
          <w:sz w:val="16"/>
        </w:rPr>
        <w:t>prima</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opción</w:t>
      </w:r>
      <w:r>
        <w:rPr>
          <w:color w:val="231F20"/>
          <w:spacing w:val="-5"/>
          <w:w w:val="105"/>
          <w:sz w:val="16"/>
        </w:rPr>
        <w:t> </w:t>
      </w:r>
      <w:r>
        <w:rPr>
          <w:color w:val="231F20"/>
          <w:w w:val="105"/>
          <w:sz w:val="16"/>
        </w:rPr>
        <w:t>que</w:t>
      </w:r>
      <w:r>
        <w:rPr>
          <w:color w:val="231F20"/>
          <w:spacing w:val="-5"/>
          <w:w w:val="105"/>
          <w:sz w:val="16"/>
        </w:rPr>
        <w:t> </w:t>
      </w:r>
      <w:r>
        <w:rPr>
          <w:color w:val="231F20"/>
          <w:w w:val="105"/>
          <w:sz w:val="16"/>
        </w:rPr>
        <w:t>otorga</w:t>
      </w:r>
      <w:r>
        <w:rPr>
          <w:color w:val="231F20"/>
          <w:spacing w:val="-5"/>
          <w:w w:val="105"/>
          <w:sz w:val="16"/>
        </w:rPr>
        <w:t> </w:t>
      </w:r>
      <w:r>
        <w:rPr>
          <w:color w:val="231F20"/>
          <w:w w:val="105"/>
          <w:sz w:val="16"/>
        </w:rPr>
        <w:t>el</w:t>
      </w:r>
      <w:r>
        <w:rPr>
          <w:color w:val="231F20"/>
          <w:spacing w:val="-5"/>
          <w:w w:val="105"/>
          <w:sz w:val="16"/>
        </w:rPr>
        <w:t> </w:t>
      </w:r>
      <w:r>
        <w:rPr>
          <w:color w:val="231F20"/>
          <w:w w:val="105"/>
          <w:sz w:val="16"/>
        </w:rPr>
        <w:t>modelo</w:t>
      </w:r>
      <w:r>
        <w:rPr>
          <w:color w:val="231F20"/>
          <w:spacing w:val="-5"/>
          <w:w w:val="105"/>
          <w:sz w:val="16"/>
        </w:rPr>
        <w:t> </w:t>
      </w:r>
      <w:r>
        <w:rPr>
          <w:color w:val="231F20"/>
          <w:w w:val="105"/>
          <w:sz w:val="16"/>
        </w:rPr>
        <w:t>de</w:t>
      </w:r>
      <w:r>
        <w:rPr>
          <w:color w:val="231F20"/>
          <w:spacing w:val="-5"/>
          <w:w w:val="105"/>
          <w:sz w:val="16"/>
        </w:rPr>
        <w:t> </w:t>
      </w:r>
      <w:r>
        <w:rPr>
          <w:color w:val="231F20"/>
          <w:w w:val="105"/>
          <w:sz w:val="16"/>
        </w:rPr>
        <w:t>volatilidad</w:t>
      </w:r>
      <w:r>
        <w:rPr>
          <w:color w:val="231F20"/>
          <w:spacing w:val="-5"/>
          <w:w w:val="105"/>
          <w:sz w:val="16"/>
        </w:rPr>
        <w:t> </w:t>
      </w:r>
      <w:r>
        <w:rPr>
          <w:color w:val="231F20"/>
          <w:w w:val="105"/>
          <w:sz w:val="16"/>
        </w:rPr>
        <w:t>estocástica</w:t>
      </w:r>
      <w:r>
        <w:rPr>
          <w:color w:val="231F20"/>
          <w:spacing w:val="-5"/>
          <w:w w:val="105"/>
          <w:sz w:val="16"/>
        </w:rPr>
        <w:t> </w:t>
      </w:r>
      <w:r>
        <w:rPr>
          <w:color w:val="231F20"/>
          <w:w w:val="105"/>
          <w:sz w:val="16"/>
        </w:rPr>
        <w:t>se</w:t>
      </w:r>
      <w:r>
        <w:rPr>
          <w:color w:val="231F20"/>
          <w:spacing w:val="-5"/>
          <w:w w:val="105"/>
          <w:sz w:val="16"/>
        </w:rPr>
        <w:t> </w:t>
      </w:r>
      <w:r>
        <w:rPr>
          <w:color w:val="231F20"/>
          <w:w w:val="105"/>
          <w:sz w:val="16"/>
        </w:rPr>
        <w:t>aproxima</w:t>
      </w:r>
      <w:r>
        <w:rPr>
          <w:color w:val="231F20"/>
          <w:spacing w:val="-5"/>
          <w:w w:val="105"/>
          <w:sz w:val="16"/>
        </w:rPr>
        <w:t> </w:t>
      </w:r>
      <w:r>
        <w:rPr>
          <w:color w:val="231F20"/>
          <w:w w:val="105"/>
          <w:sz w:val="16"/>
        </w:rPr>
        <w:t>con gran</w:t>
      </w:r>
      <w:r>
        <w:rPr>
          <w:color w:val="231F20"/>
          <w:spacing w:val="-15"/>
          <w:w w:val="105"/>
          <w:sz w:val="16"/>
        </w:rPr>
        <w:t> </w:t>
      </w:r>
      <w:r>
        <w:rPr>
          <w:color w:val="231F20"/>
          <w:w w:val="105"/>
          <w:sz w:val="16"/>
        </w:rPr>
        <w:t>exactitud</w:t>
      </w:r>
      <w:r>
        <w:rPr>
          <w:color w:val="231F20"/>
          <w:spacing w:val="-15"/>
          <w:w w:val="105"/>
          <w:sz w:val="16"/>
        </w:rPr>
        <w:t> </w:t>
      </w:r>
      <w:r>
        <w:rPr>
          <w:color w:val="231F20"/>
          <w:w w:val="105"/>
          <w:sz w:val="16"/>
        </w:rPr>
        <w:t>al</w:t>
      </w:r>
      <w:r>
        <w:rPr>
          <w:color w:val="231F20"/>
          <w:spacing w:val="-15"/>
          <w:w w:val="105"/>
          <w:sz w:val="16"/>
        </w:rPr>
        <w:t> </w:t>
      </w:r>
      <w:r>
        <w:rPr>
          <w:color w:val="231F20"/>
          <w:w w:val="105"/>
          <w:sz w:val="16"/>
        </w:rPr>
        <w:t>precio</w:t>
      </w:r>
      <w:r>
        <w:rPr>
          <w:color w:val="231F20"/>
          <w:spacing w:val="-15"/>
          <w:w w:val="105"/>
          <w:sz w:val="16"/>
        </w:rPr>
        <w:t> </w:t>
      </w:r>
      <w:r>
        <w:rPr>
          <w:color w:val="231F20"/>
          <w:w w:val="105"/>
          <w:sz w:val="16"/>
        </w:rPr>
        <w:t>del</w:t>
      </w:r>
      <w:r>
        <w:rPr>
          <w:color w:val="231F20"/>
          <w:spacing w:val="-15"/>
          <w:w w:val="105"/>
          <w:sz w:val="16"/>
        </w:rPr>
        <w:t> </w:t>
      </w:r>
      <w:r>
        <w:rPr>
          <w:color w:val="231F20"/>
          <w:w w:val="105"/>
          <w:sz w:val="16"/>
        </w:rPr>
        <w:t>mercado,</w:t>
      </w:r>
      <w:r>
        <w:rPr>
          <w:color w:val="231F20"/>
          <w:spacing w:val="-20"/>
          <w:w w:val="105"/>
          <w:sz w:val="16"/>
        </w:rPr>
        <w:t> </w:t>
      </w:r>
      <w:r>
        <w:rPr>
          <w:color w:val="231F20"/>
          <w:w w:val="105"/>
          <w:sz w:val="16"/>
        </w:rPr>
        <w:t>no</w:t>
      </w:r>
      <w:r>
        <w:rPr>
          <w:color w:val="231F20"/>
          <w:spacing w:val="-15"/>
          <w:w w:val="105"/>
          <w:sz w:val="16"/>
        </w:rPr>
        <w:t> </w:t>
      </w:r>
      <w:r>
        <w:rPr>
          <w:color w:val="231F20"/>
          <w:w w:val="105"/>
          <w:sz w:val="16"/>
        </w:rPr>
        <w:t>así</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precios</w:t>
      </w:r>
      <w:r>
        <w:rPr>
          <w:color w:val="231F20"/>
          <w:spacing w:val="-15"/>
          <w:w w:val="105"/>
          <w:sz w:val="16"/>
        </w:rPr>
        <w:t> </w:t>
      </w:r>
      <w:r>
        <w:rPr>
          <w:color w:val="231F20"/>
          <w:w w:val="105"/>
          <w:sz w:val="16"/>
        </w:rPr>
        <w:t>obtenidos</w:t>
      </w:r>
      <w:r>
        <w:rPr>
          <w:color w:val="231F20"/>
          <w:spacing w:val="-15"/>
          <w:w w:val="105"/>
          <w:sz w:val="16"/>
        </w:rPr>
        <w:t> </w:t>
      </w:r>
      <w:r>
        <w:rPr>
          <w:color w:val="231F20"/>
          <w:w w:val="105"/>
          <w:sz w:val="16"/>
        </w:rPr>
        <w:t>a</w:t>
      </w:r>
      <w:r>
        <w:rPr>
          <w:color w:val="231F20"/>
          <w:spacing w:val="-15"/>
          <w:w w:val="105"/>
          <w:sz w:val="16"/>
        </w:rPr>
        <w:t> </w:t>
      </w:r>
      <w:r>
        <w:rPr>
          <w:color w:val="231F20"/>
          <w:w w:val="105"/>
          <w:sz w:val="16"/>
        </w:rPr>
        <w:t>partir</w:t>
      </w:r>
      <w:r>
        <w:rPr>
          <w:color w:val="231F20"/>
          <w:spacing w:val="-15"/>
          <w:w w:val="105"/>
          <w:sz w:val="16"/>
        </w:rPr>
        <w:t> </w:t>
      </w:r>
      <w:r>
        <w:rPr>
          <w:color w:val="231F20"/>
          <w:w w:val="105"/>
          <w:sz w:val="16"/>
        </w:rPr>
        <w:t>del</w:t>
      </w:r>
      <w:r>
        <w:rPr>
          <w:color w:val="231F20"/>
          <w:spacing w:val="-15"/>
          <w:w w:val="105"/>
          <w:sz w:val="16"/>
        </w:rPr>
        <w:t> </w:t>
      </w:r>
      <w:r>
        <w:rPr>
          <w:color w:val="231F20"/>
          <w:w w:val="105"/>
          <w:sz w:val="16"/>
        </w:rPr>
        <w:t>modelo</w:t>
      </w:r>
      <w:r>
        <w:rPr>
          <w:color w:val="231F20"/>
          <w:spacing w:val="-15"/>
          <w:w w:val="105"/>
          <w:sz w:val="16"/>
        </w:rPr>
        <w:t> </w:t>
      </w:r>
      <w:r>
        <w:rPr>
          <w:color w:val="231F20"/>
          <w:w w:val="105"/>
          <w:sz w:val="16"/>
        </w:rPr>
        <w:t>con</w:t>
      </w:r>
      <w:r>
        <w:rPr>
          <w:color w:val="231F20"/>
          <w:spacing w:val="-15"/>
          <w:w w:val="105"/>
          <w:sz w:val="16"/>
        </w:rPr>
        <w:t> </w:t>
      </w:r>
      <w:r>
        <w:rPr>
          <w:color w:val="231F20"/>
          <w:w w:val="105"/>
          <w:sz w:val="16"/>
        </w:rPr>
        <w:t>volati- </w:t>
      </w:r>
      <w:r>
        <w:rPr>
          <w:color w:val="231F20"/>
          <w:sz w:val="16"/>
        </w:rPr>
        <w:t>lidad constante (Black-Scholes,</w:t>
      </w:r>
      <w:r>
        <w:rPr>
          <w:color w:val="231F20"/>
          <w:spacing w:val="-23"/>
          <w:sz w:val="16"/>
        </w:rPr>
        <w:t> </w:t>
      </w:r>
      <w:r>
        <w:rPr>
          <w:color w:val="231F20"/>
          <w:sz w:val="16"/>
        </w:rPr>
        <w:t>1973).</w:t>
      </w:r>
    </w:p>
    <w:p>
      <w:pPr>
        <w:pStyle w:val="BodyText"/>
        <w:rPr>
          <w:sz w:val="16"/>
        </w:rPr>
      </w:pPr>
    </w:p>
    <w:p>
      <w:pPr>
        <w:pStyle w:val="BodyText"/>
        <w:spacing w:line="259" w:lineRule="auto" w:before="98"/>
        <w:ind w:left="103" w:right="115"/>
        <w:jc w:val="both"/>
      </w:pP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figuras</w:t>
      </w:r>
      <w:r>
        <w:rPr>
          <w:color w:val="231F20"/>
          <w:spacing w:val="-16"/>
          <w:w w:val="105"/>
        </w:rPr>
        <w:t> </w:t>
      </w:r>
      <w:r>
        <w:rPr>
          <w:color w:val="231F20"/>
          <w:w w:val="105"/>
        </w:rPr>
        <w:t>4</w:t>
      </w:r>
      <w:r>
        <w:rPr>
          <w:color w:val="231F20"/>
          <w:spacing w:val="-16"/>
          <w:w w:val="105"/>
        </w:rPr>
        <w:t> </w:t>
      </w:r>
      <w:r>
        <w:rPr>
          <w:color w:val="231F20"/>
          <w:w w:val="105"/>
        </w:rPr>
        <w:t>y</w:t>
      </w:r>
      <w:r>
        <w:rPr>
          <w:color w:val="231F20"/>
          <w:spacing w:val="-16"/>
          <w:w w:val="105"/>
        </w:rPr>
        <w:t> </w:t>
      </w:r>
      <w:r>
        <w:rPr>
          <w:color w:val="231F20"/>
          <w:w w:val="105"/>
        </w:rPr>
        <w:t>5</w:t>
      </w:r>
      <w:r>
        <w:rPr>
          <w:color w:val="231F20"/>
          <w:spacing w:val="-16"/>
          <w:w w:val="105"/>
        </w:rPr>
        <w:t> </w:t>
      </w:r>
      <w:r>
        <w:rPr>
          <w:color w:val="231F20"/>
          <w:w w:val="105"/>
        </w:rPr>
        <w:t>se</w:t>
      </w:r>
      <w:r>
        <w:rPr>
          <w:color w:val="231F20"/>
          <w:spacing w:val="-16"/>
          <w:w w:val="105"/>
        </w:rPr>
        <w:t> </w:t>
      </w:r>
      <w:r>
        <w:rPr>
          <w:color w:val="231F20"/>
          <w:w w:val="105"/>
        </w:rPr>
        <w:t>corrobora</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supuestos</w:t>
      </w:r>
      <w:r>
        <w:rPr>
          <w:color w:val="231F20"/>
          <w:spacing w:val="-16"/>
          <w:w w:val="105"/>
        </w:rPr>
        <w:t> </w:t>
      </w:r>
      <w:r>
        <w:rPr>
          <w:color w:val="231F20"/>
          <w:w w:val="105"/>
        </w:rPr>
        <w:t>de</w:t>
      </w:r>
      <w:r>
        <w:rPr>
          <w:color w:val="231F20"/>
          <w:spacing w:val="-16"/>
          <w:w w:val="105"/>
        </w:rPr>
        <w:t> </w:t>
      </w:r>
      <w:r>
        <w:rPr>
          <w:color w:val="231F20"/>
          <w:w w:val="105"/>
        </w:rPr>
        <w:t>volatilidad</w:t>
      </w:r>
      <w:r>
        <w:rPr>
          <w:color w:val="231F20"/>
          <w:spacing w:val="-16"/>
          <w:w w:val="105"/>
        </w:rPr>
        <w:t> </w:t>
      </w:r>
      <w:r>
        <w:rPr>
          <w:color w:val="231F20"/>
          <w:w w:val="105"/>
        </w:rPr>
        <w:t>y</w:t>
      </w:r>
      <w:r>
        <w:rPr>
          <w:color w:val="231F20"/>
          <w:spacing w:val="-16"/>
          <w:w w:val="105"/>
        </w:rPr>
        <w:t> </w:t>
      </w:r>
      <w:r>
        <w:rPr>
          <w:color w:val="231F20"/>
          <w:w w:val="105"/>
        </w:rPr>
        <w:t>tasas de</w:t>
      </w:r>
      <w:r>
        <w:rPr>
          <w:color w:val="231F20"/>
          <w:spacing w:val="-8"/>
          <w:w w:val="105"/>
        </w:rPr>
        <w:t> </w:t>
      </w:r>
      <w:r>
        <w:rPr>
          <w:color w:val="231F20"/>
          <w:w w:val="105"/>
        </w:rPr>
        <w:t>interés</w:t>
      </w:r>
      <w:r>
        <w:rPr>
          <w:color w:val="231F20"/>
          <w:spacing w:val="-8"/>
          <w:w w:val="105"/>
        </w:rPr>
        <w:t> </w:t>
      </w:r>
      <w:r>
        <w:rPr>
          <w:color w:val="231F20"/>
          <w:w w:val="105"/>
        </w:rPr>
        <w:t>constantes</w:t>
      </w:r>
      <w:r>
        <w:rPr>
          <w:color w:val="231F20"/>
          <w:spacing w:val="-8"/>
          <w:w w:val="105"/>
        </w:rPr>
        <w:t> </w:t>
      </w:r>
      <w:r>
        <w:rPr>
          <w:color w:val="231F20"/>
          <w:w w:val="105"/>
        </w:rPr>
        <w:t>establecidos</w:t>
      </w:r>
      <w:r>
        <w:rPr>
          <w:color w:val="231F20"/>
          <w:spacing w:val="-8"/>
          <w:w w:val="105"/>
        </w:rPr>
        <w:t> </w:t>
      </w:r>
      <w:r>
        <w:rPr>
          <w:color w:val="231F20"/>
          <w:w w:val="105"/>
        </w:rPr>
        <w:t>por</w:t>
      </w:r>
      <w:r>
        <w:rPr>
          <w:color w:val="231F20"/>
          <w:spacing w:val="-8"/>
          <w:w w:val="105"/>
        </w:rPr>
        <w:t> </w:t>
      </w:r>
      <w:r>
        <w:rPr>
          <w:color w:val="231F20"/>
          <w:w w:val="105"/>
        </w:rPr>
        <w:t>Black-Scholes</w:t>
      </w:r>
      <w:r>
        <w:rPr>
          <w:color w:val="231F20"/>
          <w:spacing w:val="-8"/>
          <w:w w:val="105"/>
        </w:rPr>
        <w:t> </w:t>
      </w:r>
      <w:r>
        <w:rPr>
          <w:color w:val="231F20"/>
          <w:w w:val="105"/>
        </w:rPr>
        <w:t>para</w:t>
      </w:r>
      <w:r>
        <w:rPr>
          <w:color w:val="231F20"/>
          <w:spacing w:val="-8"/>
          <w:w w:val="105"/>
        </w:rPr>
        <w:t> </w:t>
      </w:r>
      <w:r>
        <w:rPr>
          <w:color w:val="231F20"/>
          <w:w w:val="105"/>
        </w:rPr>
        <w:t>opciones</w:t>
      </w:r>
      <w:r>
        <w:rPr>
          <w:color w:val="231F20"/>
          <w:spacing w:val="-8"/>
          <w:w w:val="105"/>
        </w:rPr>
        <w:t> </w:t>
      </w:r>
      <w:r>
        <w:rPr>
          <w:color w:val="231F20"/>
          <w:w w:val="105"/>
        </w:rPr>
        <w:t>de tipo de cambio mx/usd, no contribuyen a tener un precio justo</w:t>
      </w:r>
      <w:r>
        <w:rPr>
          <w:color w:val="231F20"/>
          <w:spacing w:val="-19"/>
          <w:w w:val="105"/>
        </w:rPr>
        <w:t> </w:t>
      </w:r>
      <w:r>
        <w:rPr>
          <w:color w:val="231F20"/>
          <w:w w:val="105"/>
        </w:rPr>
        <w:t>respecto al</w:t>
      </w:r>
      <w:r>
        <w:rPr>
          <w:color w:val="231F20"/>
          <w:spacing w:val="-10"/>
          <w:w w:val="105"/>
        </w:rPr>
        <w:t> </w:t>
      </w:r>
      <w:r>
        <w:rPr>
          <w:color w:val="231F20"/>
          <w:w w:val="105"/>
        </w:rPr>
        <w:t>precio</w:t>
      </w:r>
      <w:r>
        <w:rPr>
          <w:color w:val="231F20"/>
          <w:spacing w:val="-10"/>
          <w:w w:val="105"/>
        </w:rPr>
        <w:t> </w:t>
      </w:r>
      <w:r>
        <w:rPr>
          <w:color w:val="231F20"/>
          <w:w w:val="105"/>
        </w:rPr>
        <w:t>de</w:t>
      </w:r>
      <w:r>
        <w:rPr>
          <w:color w:val="231F20"/>
          <w:spacing w:val="-10"/>
          <w:w w:val="105"/>
        </w:rPr>
        <w:t> </w:t>
      </w:r>
      <w:r>
        <w:rPr>
          <w:color w:val="231F20"/>
          <w:w w:val="105"/>
        </w:rPr>
        <w:t>mercado;</w:t>
      </w:r>
      <w:r>
        <w:rPr>
          <w:color w:val="231F20"/>
          <w:spacing w:val="-10"/>
          <w:w w:val="105"/>
        </w:rPr>
        <w:t> </w:t>
      </w:r>
      <w:r>
        <w:rPr>
          <w:color w:val="231F20"/>
          <w:w w:val="105"/>
        </w:rPr>
        <w:t>empíricamente</w:t>
      </w:r>
      <w:r>
        <w:rPr>
          <w:color w:val="231F20"/>
          <w:spacing w:val="-10"/>
          <w:w w:val="105"/>
        </w:rPr>
        <w:t> </w:t>
      </w:r>
      <w:r>
        <w:rPr>
          <w:color w:val="231F20"/>
          <w:w w:val="105"/>
        </w:rPr>
        <w:t>se</w:t>
      </w:r>
      <w:r>
        <w:rPr>
          <w:color w:val="231F20"/>
          <w:spacing w:val="-10"/>
          <w:w w:val="105"/>
        </w:rPr>
        <w:t> </w:t>
      </w:r>
      <w:r>
        <w:rPr>
          <w:color w:val="231F20"/>
          <w:w w:val="105"/>
        </w:rPr>
        <w:t>calibró</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31</w:t>
      </w:r>
      <w:r>
        <w:rPr>
          <w:color w:val="231F20"/>
          <w:spacing w:val="-10"/>
          <w:w w:val="105"/>
        </w:rPr>
        <w:t> </w:t>
      </w:r>
      <w:r>
        <w:rPr>
          <w:color w:val="231F20"/>
          <w:w w:val="105"/>
        </w:rPr>
        <w:t>de</w:t>
      </w:r>
      <w:r>
        <w:rPr>
          <w:color w:val="231F20"/>
          <w:spacing w:val="-10"/>
          <w:w w:val="105"/>
        </w:rPr>
        <w:t> </w:t>
      </w:r>
      <w:r>
        <w:rPr>
          <w:color w:val="231F20"/>
          <w:w w:val="105"/>
        </w:rPr>
        <w:t>diciembre de</w:t>
      </w:r>
      <w:r>
        <w:rPr>
          <w:color w:val="231F20"/>
          <w:spacing w:val="-6"/>
          <w:w w:val="105"/>
        </w:rPr>
        <w:t> </w:t>
      </w:r>
      <w:r>
        <w:rPr>
          <w:color w:val="231F20"/>
          <w:w w:val="105"/>
        </w:rPr>
        <w:t>2012,</w:t>
      </w:r>
      <w:r>
        <w:rPr>
          <w:color w:val="231F20"/>
          <w:spacing w:val="-13"/>
          <w:w w:val="105"/>
        </w:rPr>
        <w:t> </w:t>
      </w:r>
      <w:r>
        <w:rPr>
          <w:color w:val="231F20"/>
          <w:w w:val="105"/>
        </w:rPr>
        <w:t>con</w:t>
      </w:r>
      <w:r>
        <w:rPr>
          <w:color w:val="231F20"/>
          <w:spacing w:val="-6"/>
          <w:w w:val="105"/>
        </w:rPr>
        <w:t> </w:t>
      </w:r>
      <w:r>
        <w:rPr>
          <w:color w:val="231F20"/>
          <w:w w:val="105"/>
        </w:rPr>
        <w:t>valor</w:t>
      </w:r>
      <w:r>
        <w:rPr>
          <w:color w:val="231F20"/>
          <w:spacing w:val="-6"/>
          <w:w w:val="105"/>
        </w:rPr>
        <w:t> </w:t>
      </w:r>
      <w:r>
        <w:rPr>
          <w:color w:val="231F20"/>
          <w:w w:val="105"/>
        </w:rPr>
        <w:t>del</w:t>
      </w:r>
      <w:r>
        <w:rPr>
          <w:color w:val="231F20"/>
          <w:spacing w:val="-6"/>
          <w:w w:val="105"/>
        </w:rPr>
        <w:t> </w:t>
      </w:r>
      <w:r>
        <w:rPr>
          <w:color w:val="231F20"/>
          <w:w w:val="105"/>
        </w:rPr>
        <w:t>tipo</w:t>
      </w:r>
      <w:r>
        <w:rPr>
          <w:color w:val="231F20"/>
          <w:spacing w:val="-6"/>
          <w:w w:val="105"/>
        </w:rPr>
        <w:t> </w:t>
      </w:r>
      <w:r>
        <w:rPr>
          <w:color w:val="231F20"/>
          <w:w w:val="105"/>
        </w:rPr>
        <w:t>de</w:t>
      </w:r>
      <w:r>
        <w:rPr>
          <w:color w:val="231F20"/>
          <w:spacing w:val="-6"/>
          <w:w w:val="105"/>
        </w:rPr>
        <w:t> </w:t>
      </w:r>
      <w:r>
        <w:rPr>
          <w:color w:val="231F20"/>
          <w:w w:val="105"/>
        </w:rPr>
        <w:t>cambio</w:t>
      </w:r>
      <w:r>
        <w:rPr>
          <w:color w:val="231F20"/>
          <w:spacing w:val="-6"/>
          <w:w w:val="105"/>
        </w:rPr>
        <w:t> </w:t>
      </w:r>
      <w:r>
        <w:rPr>
          <w:color w:val="231F20"/>
          <w:w w:val="105"/>
        </w:rPr>
        <w:t>de</w:t>
      </w:r>
      <w:r>
        <w:rPr>
          <w:color w:val="231F20"/>
          <w:spacing w:val="-6"/>
          <w:w w:val="105"/>
        </w:rPr>
        <w:t> </w:t>
      </w:r>
      <w:r>
        <w:rPr>
          <w:color w:val="231F20"/>
          <w:w w:val="105"/>
        </w:rPr>
        <w:t>12.8985</w:t>
      </w:r>
      <w:r>
        <w:rPr>
          <w:color w:val="231F20"/>
          <w:spacing w:val="-6"/>
          <w:w w:val="105"/>
        </w:rPr>
        <w:t> </w:t>
      </w:r>
      <w:r>
        <w:rPr>
          <w:color w:val="231F20"/>
          <w:w w:val="105"/>
        </w:rPr>
        <w:t>mx/usd.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39488"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226</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8488"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227</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rPr>
          <w:sz w:val="18"/>
        </w:rPr>
      </w:pPr>
    </w:p>
    <w:p>
      <w:pPr>
        <w:spacing w:line="249" w:lineRule="auto" w:before="64"/>
        <w:ind w:left="2794" w:right="1014" w:hanging="1771"/>
        <w:jc w:val="left"/>
        <w:rPr>
          <w:sz w:val="18"/>
        </w:rPr>
      </w:pPr>
      <w:r>
        <w:rPr/>
        <w:drawing>
          <wp:anchor distT="0" distB="0" distL="0" distR="0" allowOverlap="1" layoutInCell="1" locked="0" behindDoc="0" simplePos="0" relativeHeight="8464">
            <wp:simplePos x="0" y="0"/>
            <wp:positionH relativeFrom="page">
              <wp:posOffset>917999</wp:posOffset>
            </wp:positionH>
            <wp:positionV relativeFrom="paragraph">
              <wp:posOffset>387491</wp:posOffset>
            </wp:positionV>
            <wp:extent cx="4381281" cy="3583781"/>
            <wp:effectExtent l="0" t="0" r="0" b="0"/>
            <wp:wrapTopAndBottom/>
            <wp:docPr id="113" name="image103.png" descr=""/>
            <wp:cNvGraphicFramePr>
              <a:graphicFrameLocks noChangeAspect="1"/>
            </wp:cNvGraphicFramePr>
            <a:graphic>
              <a:graphicData uri="http://schemas.openxmlformats.org/drawingml/2006/picture">
                <pic:pic>
                  <pic:nvPicPr>
                    <pic:cNvPr id="114" name="image103.png"/>
                    <pic:cNvPicPr/>
                  </pic:nvPicPr>
                  <pic:blipFill>
                    <a:blip r:embed="rId127" cstate="print"/>
                    <a:stretch>
                      <a:fillRect/>
                    </a:stretch>
                  </pic:blipFill>
                  <pic:spPr>
                    <a:xfrm>
                      <a:off x="0" y="0"/>
                      <a:ext cx="4381281" cy="3583781"/>
                    </a:xfrm>
                    <a:prstGeom prst="rect">
                      <a:avLst/>
                    </a:prstGeom>
                  </pic:spPr>
                </pic:pic>
              </a:graphicData>
            </a:graphic>
          </wp:anchor>
        </w:drawing>
      </w:r>
      <w:r>
        <w:rPr>
          <w:color w:val="231F20"/>
          <w:w w:val="110"/>
          <w:sz w:val="18"/>
        </w:rPr>
        <w:t>Figura</w:t>
      </w:r>
      <w:r>
        <w:rPr>
          <w:color w:val="231F20"/>
          <w:spacing w:val="-28"/>
          <w:w w:val="110"/>
          <w:sz w:val="18"/>
        </w:rPr>
        <w:t> </w:t>
      </w:r>
      <w:r>
        <w:rPr>
          <w:color w:val="231F20"/>
          <w:w w:val="110"/>
          <w:sz w:val="18"/>
        </w:rPr>
        <w:t>5.</w:t>
      </w:r>
      <w:r>
        <w:rPr>
          <w:color w:val="231F20"/>
          <w:spacing w:val="-32"/>
          <w:w w:val="110"/>
          <w:sz w:val="18"/>
        </w:rPr>
        <w:t> </w:t>
      </w:r>
      <w:r>
        <w:rPr>
          <w:color w:val="231F20"/>
          <w:w w:val="110"/>
          <w:sz w:val="18"/>
        </w:rPr>
        <w:t>Prima</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la</w:t>
      </w:r>
      <w:r>
        <w:rPr>
          <w:color w:val="231F20"/>
          <w:spacing w:val="-28"/>
          <w:w w:val="110"/>
          <w:sz w:val="18"/>
        </w:rPr>
        <w:t> </w:t>
      </w:r>
      <w:r>
        <w:rPr>
          <w:color w:val="231F20"/>
          <w:w w:val="110"/>
          <w:sz w:val="18"/>
        </w:rPr>
        <w:t>opción</w:t>
      </w:r>
      <w:r>
        <w:rPr>
          <w:color w:val="231F20"/>
          <w:spacing w:val="-28"/>
          <w:w w:val="110"/>
          <w:sz w:val="18"/>
        </w:rPr>
        <w:t> </w:t>
      </w:r>
      <w:r>
        <w:rPr>
          <w:i/>
          <w:color w:val="231F20"/>
          <w:w w:val="110"/>
          <w:sz w:val="18"/>
        </w:rPr>
        <w:t>call</w:t>
      </w:r>
      <w:r>
        <w:rPr>
          <w:i/>
          <w:color w:val="231F20"/>
          <w:spacing w:val="-28"/>
          <w:w w:val="110"/>
          <w:sz w:val="18"/>
        </w:rPr>
        <w:t> </w:t>
      </w:r>
      <w:r>
        <w:rPr>
          <w:color w:val="231F20"/>
          <w:w w:val="110"/>
          <w:sz w:val="18"/>
        </w:rPr>
        <w:t>sobre</w:t>
      </w:r>
      <w:r>
        <w:rPr>
          <w:color w:val="231F20"/>
          <w:spacing w:val="-28"/>
          <w:w w:val="110"/>
          <w:sz w:val="18"/>
        </w:rPr>
        <w:t> </w:t>
      </w:r>
      <w:r>
        <w:rPr>
          <w:color w:val="231F20"/>
          <w:w w:val="110"/>
          <w:sz w:val="18"/>
        </w:rPr>
        <w:t>tipo</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cambio</w:t>
      </w:r>
      <w:r>
        <w:rPr>
          <w:color w:val="231F20"/>
          <w:spacing w:val="-28"/>
          <w:w w:val="110"/>
          <w:sz w:val="18"/>
        </w:rPr>
        <w:t> </w:t>
      </w:r>
      <w:r>
        <w:rPr>
          <w:color w:val="231F20"/>
          <w:w w:val="110"/>
          <w:sz w:val="18"/>
        </w:rPr>
        <w:t>mx/usd con</w:t>
      </w:r>
      <w:r>
        <w:rPr>
          <w:color w:val="231F20"/>
          <w:spacing w:val="-34"/>
          <w:w w:val="110"/>
          <w:sz w:val="18"/>
        </w:rPr>
        <w:t> </w:t>
      </w:r>
      <w:r>
        <w:rPr>
          <w:color w:val="231F20"/>
          <w:w w:val="110"/>
          <w:sz w:val="18"/>
        </w:rPr>
        <w:t>alta</w:t>
      </w:r>
      <w:r>
        <w:rPr>
          <w:color w:val="231F20"/>
          <w:spacing w:val="-34"/>
          <w:w w:val="110"/>
          <w:sz w:val="18"/>
        </w:rPr>
        <w:t> </w:t>
      </w:r>
      <w:r>
        <w:rPr>
          <w:color w:val="231F20"/>
          <w:w w:val="110"/>
          <w:sz w:val="18"/>
        </w:rPr>
        <w:t>volatilidad</w:t>
      </w:r>
    </w:p>
    <w:p>
      <w:pPr>
        <w:spacing w:before="60"/>
        <w:ind w:left="117" w:right="0" w:firstLine="0"/>
        <w:jc w:val="both"/>
        <w:rPr>
          <w:sz w:val="16"/>
        </w:rPr>
      </w:pPr>
      <w:r>
        <w:rPr>
          <w:color w:val="231F20"/>
          <w:w w:val="105"/>
          <w:sz w:val="16"/>
        </w:rPr>
        <w:t>Fuente: Elaboración propia.</w:t>
      </w:r>
    </w:p>
    <w:p>
      <w:pPr>
        <w:spacing w:line="249" w:lineRule="auto" w:before="64"/>
        <w:ind w:left="117" w:right="121" w:firstLine="0"/>
        <w:jc w:val="both"/>
        <w:rPr>
          <w:sz w:val="16"/>
        </w:rPr>
      </w:pPr>
      <w:r>
        <w:rPr>
          <w:color w:val="231F20"/>
          <w:spacing w:val="-4"/>
          <w:w w:val="105"/>
          <w:sz w:val="16"/>
        </w:rPr>
        <w:t>NOTA:</w:t>
      </w:r>
      <w:r>
        <w:rPr>
          <w:color w:val="231F20"/>
          <w:spacing w:val="-5"/>
          <w:w w:val="105"/>
          <w:sz w:val="16"/>
        </w:rPr>
        <w:t> </w:t>
      </w:r>
      <w:r>
        <w:rPr>
          <w:color w:val="231F20"/>
          <w:w w:val="105"/>
          <w:sz w:val="16"/>
        </w:rPr>
        <w:t>La</w:t>
      </w:r>
      <w:r>
        <w:rPr>
          <w:color w:val="231F20"/>
          <w:spacing w:val="-5"/>
          <w:w w:val="105"/>
          <w:sz w:val="16"/>
        </w:rPr>
        <w:t> </w:t>
      </w:r>
      <w:r>
        <w:rPr>
          <w:color w:val="231F20"/>
          <w:w w:val="105"/>
          <w:sz w:val="16"/>
        </w:rPr>
        <w:t>prima</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opción</w:t>
      </w:r>
      <w:r>
        <w:rPr>
          <w:color w:val="231F20"/>
          <w:spacing w:val="-5"/>
          <w:w w:val="105"/>
          <w:sz w:val="16"/>
        </w:rPr>
        <w:t> </w:t>
      </w:r>
      <w:r>
        <w:rPr>
          <w:color w:val="231F20"/>
          <w:w w:val="105"/>
          <w:sz w:val="16"/>
        </w:rPr>
        <w:t>que</w:t>
      </w:r>
      <w:r>
        <w:rPr>
          <w:color w:val="231F20"/>
          <w:spacing w:val="-5"/>
          <w:w w:val="105"/>
          <w:sz w:val="16"/>
        </w:rPr>
        <w:t> </w:t>
      </w:r>
      <w:r>
        <w:rPr>
          <w:color w:val="231F20"/>
          <w:w w:val="105"/>
          <w:sz w:val="16"/>
        </w:rPr>
        <w:t>otorga</w:t>
      </w:r>
      <w:r>
        <w:rPr>
          <w:color w:val="231F20"/>
          <w:spacing w:val="-5"/>
          <w:w w:val="105"/>
          <w:sz w:val="16"/>
        </w:rPr>
        <w:t> </w:t>
      </w:r>
      <w:r>
        <w:rPr>
          <w:color w:val="231F20"/>
          <w:w w:val="105"/>
          <w:sz w:val="16"/>
        </w:rPr>
        <w:t>el</w:t>
      </w:r>
      <w:r>
        <w:rPr>
          <w:color w:val="231F20"/>
          <w:spacing w:val="-5"/>
          <w:w w:val="105"/>
          <w:sz w:val="16"/>
        </w:rPr>
        <w:t> </w:t>
      </w:r>
      <w:r>
        <w:rPr>
          <w:color w:val="231F20"/>
          <w:w w:val="105"/>
          <w:sz w:val="16"/>
        </w:rPr>
        <w:t>modelo</w:t>
      </w:r>
      <w:r>
        <w:rPr>
          <w:color w:val="231F20"/>
          <w:spacing w:val="-5"/>
          <w:w w:val="105"/>
          <w:sz w:val="16"/>
        </w:rPr>
        <w:t> </w:t>
      </w:r>
      <w:r>
        <w:rPr>
          <w:color w:val="231F20"/>
          <w:w w:val="105"/>
          <w:sz w:val="16"/>
        </w:rPr>
        <w:t>de</w:t>
      </w:r>
      <w:r>
        <w:rPr>
          <w:color w:val="231F20"/>
          <w:spacing w:val="-5"/>
          <w:w w:val="105"/>
          <w:sz w:val="16"/>
        </w:rPr>
        <w:t> </w:t>
      </w:r>
      <w:r>
        <w:rPr>
          <w:color w:val="231F20"/>
          <w:w w:val="105"/>
          <w:sz w:val="16"/>
        </w:rPr>
        <w:t>volatilidad</w:t>
      </w:r>
      <w:r>
        <w:rPr>
          <w:color w:val="231F20"/>
          <w:spacing w:val="-5"/>
          <w:w w:val="105"/>
          <w:sz w:val="16"/>
        </w:rPr>
        <w:t> </w:t>
      </w:r>
      <w:r>
        <w:rPr>
          <w:color w:val="231F20"/>
          <w:w w:val="105"/>
          <w:sz w:val="16"/>
        </w:rPr>
        <w:t>estocástica</w:t>
      </w:r>
      <w:r>
        <w:rPr>
          <w:color w:val="231F20"/>
          <w:spacing w:val="-5"/>
          <w:w w:val="105"/>
          <w:sz w:val="16"/>
        </w:rPr>
        <w:t> </w:t>
      </w:r>
      <w:r>
        <w:rPr>
          <w:color w:val="231F20"/>
          <w:w w:val="105"/>
          <w:sz w:val="16"/>
        </w:rPr>
        <w:t>se</w:t>
      </w:r>
      <w:r>
        <w:rPr>
          <w:color w:val="231F20"/>
          <w:spacing w:val="-5"/>
          <w:w w:val="105"/>
          <w:sz w:val="16"/>
        </w:rPr>
        <w:t> </w:t>
      </w:r>
      <w:r>
        <w:rPr>
          <w:color w:val="231F20"/>
          <w:w w:val="105"/>
          <w:sz w:val="16"/>
        </w:rPr>
        <w:t>aproxima</w:t>
      </w:r>
      <w:r>
        <w:rPr>
          <w:color w:val="231F20"/>
          <w:spacing w:val="-5"/>
          <w:w w:val="105"/>
          <w:sz w:val="16"/>
        </w:rPr>
        <w:t> </w:t>
      </w:r>
      <w:r>
        <w:rPr>
          <w:color w:val="231F20"/>
          <w:w w:val="105"/>
          <w:sz w:val="16"/>
        </w:rPr>
        <w:t>con gran</w:t>
      </w:r>
      <w:r>
        <w:rPr>
          <w:color w:val="231F20"/>
          <w:spacing w:val="-15"/>
          <w:w w:val="105"/>
          <w:sz w:val="16"/>
        </w:rPr>
        <w:t> </w:t>
      </w:r>
      <w:r>
        <w:rPr>
          <w:color w:val="231F20"/>
          <w:w w:val="105"/>
          <w:sz w:val="16"/>
        </w:rPr>
        <w:t>exactitud</w:t>
      </w:r>
      <w:r>
        <w:rPr>
          <w:color w:val="231F20"/>
          <w:spacing w:val="-15"/>
          <w:w w:val="105"/>
          <w:sz w:val="16"/>
        </w:rPr>
        <w:t> </w:t>
      </w:r>
      <w:r>
        <w:rPr>
          <w:color w:val="231F20"/>
          <w:w w:val="105"/>
          <w:sz w:val="16"/>
        </w:rPr>
        <w:t>al</w:t>
      </w:r>
      <w:r>
        <w:rPr>
          <w:color w:val="231F20"/>
          <w:spacing w:val="-15"/>
          <w:w w:val="105"/>
          <w:sz w:val="16"/>
        </w:rPr>
        <w:t> </w:t>
      </w:r>
      <w:r>
        <w:rPr>
          <w:color w:val="231F20"/>
          <w:w w:val="105"/>
          <w:sz w:val="16"/>
        </w:rPr>
        <w:t>precio</w:t>
      </w:r>
      <w:r>
        <w:rPr>
          <w:color w:val="231F20"/>
          <w:spacing w:val="-15"/>
          <w:w w:val="105"/>
          <w:sz w:val="16"/>
        </w:rPr>
        <w:t> </w:t>
      </w:r>
      <w:r>
        <w:rPr>
          <w:color w:val="231F20"/>
          <w:w w:val="105"/>
          <w:sz w:val="16"/>
        </w:rPr>
        <w:t>del</w:t>
      </w:r>
      <w:r>
        <w:rPr>
          <w:color w:val="231F20"/>
          <w:spacing w:val="-15"/>
          <w:w w:val="105"/>
          <w:sz w:val="16"/>
        </w:rPr>
        <w:t> </w:t>
      </w:r>
      <w:r>
        <w:rPr>
          <w:color w:val="231F20"/>
          <w:w w:val="105"/>
          <w:sz w:val="16"/>
        </w:rPr>
        <w:t>mercado,</w:t>
      </w:r>
      <w:r>
        <w:rPr>
          <w:color w:val="231F20"/>
          <w:spacing w:val="-20"/>
          <w:w w:val="105"/>
          <w:sz w:val="16"/>
        </w:rPr>
        <w:t> </w:t>
      </w:r>
      <w:r>
        <w:rPr>
          <w:color w:val="231F20"/>
          <w:w w:val="105"/>
          <w:sz w:val="16"/>
        </w:rPr>
        <w:t>no</w:t>
      </w:r>
      <w:r>
        <w:rPr>
          <w:color w:val="231F20"/>
          <w:spacing w:val="-15"/>
          <w:w w:val="105"/>
          <w:sz w:val="16"/>
        </w:rPr>
        <w:t> </w:t>
      </w:r>
      <w:r>
        <w:rPr>
          <w:color w:val="231F20"/>
          <w:w w:val="105"/>
          <w:sz w:val="16"/>
        </w:rPr>
        <w:t>así</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precios</w:t>
      </w:r>
      <w:r>
        <w:rPr>
          <w:color w:val="231F20"/>
          <w:spacing w:val="-15"/>
          <w:w w:val="105"/>
          <w:sz w:val="16"/>
        </w:rPr>
        <w:t> </w:t>
      </w:r>
      <w:r>
        <w:rPr>
          <w:color w:val="231F20"/>
          <w:w w:val="105"/>
          <w:sz w:val="16"/>
        </w:rPr>
        <w:t>obtenidos</w:t>
      </w:r>
      <w:r>
        <w:rPr>
          <w:color w:val="231F20"/>
          <w:spacing w:val="-15"/>
          <w:w w:val="105"/>
          <w:sz w:val="16"/>
        </w:rPr>
        <w:t> </w:t>
      </w:r>
      <w:r>
        <w:rPr>
          <w:color w:val="231F20"/>
          <w:w w:val="105"/>
          <w:sz w:val="16"/>
        </w:rPr>
        <w:t>a</w:t>
      </w:r>
      <w:r>
        <w:rPr>
          <w:color w:val="231F20"/>
          <w:spacing w:val="-15"/>
          <w:w w:val="105"/>
          <w:sz w:val="16"/>
        </w:rPr>
        <w:t> </w:t>
      </w:r>
      <w:r>
        <w:rPr>
          <w:color w:val="231F20"/>
          <w:w w:val="105"/>
          <w:sz w:val="16"/>
        </w:rPr>
        <w:t>partir</w:t>
      </w:r>
      <w:r>
        <w:rPr>
          <w:color w:val="231F20"/>
          <w:spacing w:val="-15"/>
          <w:w w:val="105"/>
          <w:sz w:val="16"/>
        </w:rPr>
        <w:t> </w:t>
      </w:r>
      <w:r>
        <w:rPr>
          <w:color w:val="231F20"/>
          <w:w w:val="105"/>
          <w:sz w:val="16"/>
        </w:rPr>
        <w:t>del</w:t>
      </w:r>
      <w:r>
        <w:rPr>
          <w:color w:val="231F20"/>
          <w:spacing w:val="-15"/>
          <w:w w:val="105"/>
          <w:sz w:val="16"/>
        </w:rPr>
        <w:t> </w:t>
      </w:r>
      <w:r>
        <w:rPr>
          <w:color w:val="231F20"/>
          <w:w w:val="105"/>
          <w:sz w:val="16"/>
        </w:rPr>
        <w:t>modelo</w:t>
      </w:r>
      <w:r>
        <w:rPr>
          <w:color w:val="231F20"/>
          <w:spacing w:val="-15"/>
          <w:w w:val="105"/>
          <w:sz w:val="16"/>
        </w:rPr>
        <w:t> </w:t>
      </w:r>
      <w:r>
        <w:rPr>
          <w:color w:val="231F20"/>
          <w:w w:val="105"/>
          <w:sz w:val="16"/>
        </w:rPr>
        <w:t>con</w:t>
      </w:r>
      <w:r>
        <w:rPr>
          <w:color w:val="231F20"/>
          <w:spacing w:val="-15"/>
          <w:w w:val="105"/>
          <w:sz w:val="16"/>
        </w:rPr>
        <w:t> </w:t>
      </w:r>
      <w:r>
        <w:rPr>
          <w:color w:val="231F20"/>
          <w:w w:val="105"/>
          <w:sz w:val="16"/>
        </w:rPr>
        <w:t>volati- </w:t>
      </w:r>
      <w:r>
        <w:rPr>
          <w:color w:val="231F20"/>
          <w:sz w:val="16"/>
        </w:rPr>
        <w:t>lidad constante (Black-Scholes,</w:t>
      </w:r>
      <w:r>
        <w:rPr>
          <w:color w:val="231F20"/>
          <w:spacing w:val="-23"/>
          <w:sz w:val="16"/>
        </w:rPr>
        <w:t> </w:t>
      </w:r>
      <w:r>
        <w:rPr>
          <w:color w:val="231F20"/>
          <w:sz w:val="16"/>
        </w:rPr>
        <w:t>1973).</w:t>
      </w:r>
    </w:p>
    <w:p>
      <w:pPr>
        <w:pStyle w:val="BodyText"/>
        <w:rPr>
          <w:sz w:val="16"/>
        </w:rPr>
      </w:pPr>
    </w:p>
    <w:p>
      <w:pPr>
        <w:pStyle w:val="BodyText"/>
        <w:spacing w:line="259" w:lineRule="auto" w:before="98"/>
        <w:ind w:left="117" w:right="115"/>
        <w:jc w:val="both"/>
      </w:pPr>
      <w:r>
        <w:rPr>
          <w:color w:val="231F20"/>
          <w:w w:val="105"/>
        </w:rPr>
        <w:t>Se</w:t>
      </w:r>
      <w:r>
        <w:rPr>
          <w:color w:val="231F20"/>
          <w:spacing w:val="-25"/>
          <w:w w:val="105"/>
        </w:rPr>
        <w:t> </w:t>
      </w:r>
      <w:r>
        <w:rPr>
          <w:color w:val="231F20"/>
          <w:w w:val="105"/>
        </w:rPr>
        <w:t>aprecia</w:t>
      </w:r>
      <w:r>
        <w:rPr>
          <w:color w:val="231F20"/>
          <w:spacing w:val="-25"/>
          <w:w w:val="105"/>
        </w:rPr>
        <w:t> </w:t>
      </w:r>
      <w:r>
        <w:rPr>
          <w:color w:val="231F20"/>
          <w:w w:val="105"/>
        </w:rPr>
        <w:t>que</w:t>
      </w:r>
      <w:r>
        <w:rPr>
          <w:color w:val="231F20"/>
          <w:spacing w:val="-25"/>
          <w:w w:val="105"/>
        </w:rPr>
        <w:t> </w:t>
      </w:r>
      <w:r>
        <w:rPr>
          <w:color w:val="231F20"/>
          <w:w w:val="105"/>
        </w:rPr>
        <w:t>Black-Scholes</w:t>
      </w:r>
      <w:r>
        <w:rPr>
          <w:color w:val="231F20"/>
          <w:spacing w:val="-25"/>
          <w:w w:val="105"/>
        </w:rPr>
        <w:t> </w:t>
      </w:r>
      <w:r>
        <w:rPr>
          <w:color w:val="231F20"/>
          <w:w w:val="105"/>
        </w:rPr>
        <w:t>sobrevalora</w:t>
      </w:r>
      <w:r>
        <w:rPr>
          <w:color w:val="231F20"/>
          <w:spacing w:val="-25"/>
          <w:w w:val="105"/>
        </w:rPr>
        <w:t> </w:t>
      </w:r>
      <w:r>
        <w:rPr>
          <w:color w:val="231F20"/>
          <w:w w:val="105"/>
        </w:rPr>
        <w:t>las</w:t>
      </w:r>
      <w:r>
        <w:rPr>
          <w:color w:val="231F20"/>
          <w:spacing w:val="-25"/>
          <w:w w:val="105"/>
        </w:rPr>
        <w:t> </w:t>
      </w:r>
      <w:r>
        <w:rPr>
          <w:color w:val="231F20"/>
          <w:w w:val="105"/>
        </w:rPr>
        <w:t>opciones</w:t>
      </w:r>
      <w:r>
        <w:rPr>
          <w:color w:val="231F20"/>
          <w:spacing w:val="-25"/>
          <w:w w:val="105"/>
        </w:rPr>
        <w:t> </w:t>
      </w:r>
      <w:r>
        <w:rPr>
          <w:i/>
          <w:color w:val="231F20"/>
          <w:w w:val="105"/>
        </w:rPr>
        <w:t>call</w:t>
      </w:r>
      <w:r>
        <w:rPr>
          <w:i/>
          <w:color w:val="231F20"/>
          <w:spacing w:val="-25"/>
          <w:w w:val="105"/>
        </w:rPr>
        <w:t> </w:t>
      </w:r>
      <w:r>
        <w:rPr>
          <w:color w:val="231F20"/>
          <w:w w:val="105"/>
        </w:rPr>
        <w:t>y</w:t>
      </w:r>
      <w:r>
        <w:rPr>
          <w:color w:val="231F20"/>
          <w:spacing w:val="-25"/>
          <w:w w:val="105"/>
        </w:rPr>
        <w:t> </w:t>
      </w:r>
      <w:r>
        <w:rPr>
          <w:i/>
          <w:color w:val="231F20"/>
          <w:w w:val="105"/>
        </w:rPr>
        <w:t>put</w:t>
      </w:r>
      <w:r>
        <w:rPr>
          <w:i/>
          <w:color w:val="231F20"/>
          <w:spacing w:val="-25"/>
          <w:w w:val="105"/>
        </w:rPr>
        <w:t> </w:t>
      </w:r>
      <w:r>
        <w:rPr>
          <w:color w:val="231F20"/>
          <w:w w:val="105"/>
        </w:rPr>
        <w:t>sobreel tipo</w:t>
      </w:r>
      <w:r>
        <w:rPr>
          <w:color w:val="231F20"/>
          <w:spacing w:val="-14"/>
          <w:w w:val="105"/>
        </w:rPr>
        <w:t> </w:t>
      </w:r>
      <w:r>
        <w:rPr>
          <w:color w:val="231F20"/>
          <w:w w:val="105"/>
        </w:rPr>
        <w:t>de</w:t>
      </w:r>
      <w:r>
        <w:rPr>
          <w:color w:val="231F20"/>
          <w:spacing w:val="-14"/>
          <w:w w:val="105"/>
        </w:rPr>
        <w:t> </w:t>
      </w:r>
      <w:r>
        <w:rPr>
          <w:color w:val="231F20"/>
          <w:w w:val="105"/>
        </w:rPr>
        <w:t>cambio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mercado</w:t>
      </w:r>
      <w:r>
        <w:rPr>
          <w:color w:val="231F20"/>
          <w:spacing w:val="-14"/>
          <w:w w:val="105"/>
        </w:rPr>
        <w:t> </w:t>
      </w:r>
      <w:r>
        <w:rPr>
          <w:color w:val="231F20"/>
          <w:w w:val="105"/>
        </w:rPr>
        <w:t>mexicano</w:t>
      </w:r>
      <w:r>
        <w:rPr>
          <w:color w:val="231F20"/>
          <w:spacing w:val="-14"/>
          <w:w w:val="105"/>
        </w:rPr>
        <w:t> </w:t>
      </w:r>
      <w:r>
        <w:rPr>
          <w:color w:val="231F20"/>
          <w:w w:val="105"/>
        </w:rPr>
        <w:t>para</w:t>
      </w:r>
      <w:r>
        <w:rPr>
          <w:color w:val="231F20"/>
          <w:spacing w:val="-14"/>
          <w:w w:val="105"/>
        </w:rPr>
        <w:t> </w:t>
      </w:r>
      <w:r>
        <w:rPr>
          <w:color w:val="231F20"/>
          <w:w w:val="105"/>
        </w:rPr>
        <w:t>todos</w:t>
      </w:r>
      <w:r>
        <w:rPr>
          <w:color w:val="231F20"/>
          <w:spacing w:val="-14"/>
          <w:w w:val="105"/>
        </w:rPr>
        <w:t> </w:t>
      </w:r>
      <w:r>
        <w:rPr>
          <w:color w:val="231F20"/>
          <w:w w:val="105"/>
        </w:rPr>
        <w:t>los</w:t>
      </w:r>
      <w:r>
        <w:rPr>
          <w:color w:val="231F20"/>
          <w:spacing w:val="-14"/>
          <w:w w:val="105"/>
        </w:rPr>
        <w:t> </w:t>
      </w:r>
      <w:r>
        <w:rPr>
          <w:color w:val="231F20"/>
          <w:w w:val="105"/>
        </w:rPr>
        <w:t>vencimientos,</w:t>
      </w:r>
      <w:r>
        <w:rPr>
          <w:color w:val="231F20"/>
          <w:spacing w:val="-20"/>
          <w:w w:val="105"/>
        </w:rPr>
        <w:t> </w:t>
      </w:r>
      <w:r>
        <w:rPr>
          <w:color w:val="231F20"/>
          <w:w w:val="105"/>
        </w:rPr>
        <w:t>en mayor</w:t>
      </w:r>
      <w:r>
        <w:rPr>
          <w:color w:val="231F20"/>
          <w:spacing w:val="-9"/>
          <w:w w:val="105"/>
        </w:rPr>
        <w:t> </w:t>
      </w:r>
      <w:r>
        <w:rPr>
          <w:color w:val="231F20"/>
          <w:w w:val="105"/>
        </w:rPr>
        <w:t>medida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plazo</w:t>
      </w:r>
      <w:r>
        <w:rPr>
          <w:color w:val="231F20"/>
          <w:spacing w:val="-9"/>
          <w:w w:val="105"/>
        </w:rPr>
        <w:t> </w:t>
      </w:r>
      <w:r>
        <w:rPr>
          <w:color w:val="231F20"/>
          <w:w w:val="105"/>
        </w:rPr>
        <w:t>más</w:t>
      </w:r>
      <w:r>
        <w:rPr>
          <w:color w:val="231F20"/>
          <w:spacing w:val="-9"/>
          <w:w w:val="105"/>
        </w:rPr>
        <w:t> </w:t>
      </w:r>
      <w:r>
        <w:rPr>
          <w:color w:val="231F20"/>
          <w:w w:val="105"/>
        </w:rPr>
        <w:t>tarde</w:t>
      </w:r>
      <w:r>
        <w:rPr>
          <w:color w:val="231F20"/>
          <w:spacing w:val="-9"/>
          <w:w w:val="105"/>
        </w:rPr>
        <w:t> </w:t>
      </w:r>
      <w:r>
        <w:rPr>
          <w:color w:val="231F20"/>
          <w:w w:val="105"/>
        </w:rPr>
        <w:t>a</w:t>
      </w:r>
      <w:r>
        <w:rPr>
          <w:color w:val="231F20"/>
          <w:spacing w:val="-9"/>
          <w:w w:val="105"/>
        </w:rPr>
        <w:t> </w:t>
      </w:r>
      <w:r>
        <w:rPr>
          <w:color w:val="231F20"/>
          <w:w w:val="105"/>
        </w:rPr>
        <w:t>vencer</w:t>
      </w:r>
      <w:r>
        <w:rPr>
          <w:color w:val="231F20"/>
          <w:spacing w:val="-9"/>
          <w:w w:val="105"/>
        </w:rPr>
        <w:t> </w:t>
      </w:r>
      <w:r>
        <w:rPr>
          <w:color w:val="231F20"/>
          <w:w w:val="105"/>
        </w:rPr>
        <w:t>(diciembre</w:t>
      </w:r>
      <w:r>
        <w:rPr>
          <w:color w:val="231F20"/>
          <w:spacing w:val="-9"/>
          <w:w w:val="105"/>
        </w:rPr>
        <w:t> </w:t>
      </w:r>
      <w:r>
        <w:rPr>
          <w:color w:val="231F20"/>
          <w:w w:val="105"/>
        </w:rPr>
        <w:t>con</w:t>
      </w:r>
      <w:r>
        <w:rPr>
          <w:color w:val="231F20"/>
          <w:spacing w:val="-9"/>
          <w:w w:val="105"/>
        </w:rPr>
        <w:t> </w:t>
      </w:r>
      <w:r>
        <w:rPr>
          <w:color w:val="231F20"/>
          <w:w w:val="105"/>
        </w:rPr>
        <w:t>346</w:t>
      </w:r>
      <w:r>
        <w:rPr>
          <w:color w:val="231F20"/>
          <w:spacing w:val="-9"/>
          <w:w w:val="105"/>
        </w:rPr>
        <w:t> </w:t>
      </w:r>
      <w:r>
        <w:rPr>
          <w:color w:val="231F20"/>
          <w:w w:val="105"/>
        </w:rPr>
        <w:t>días), pagando en promedio 50.93 centavos más que el precio de mercado para </w:t>
      </w:r>
      <w:r>
        <w:rPr>
          <w:i/>
          <w:color w:val="231F20"/>
          <w:w w:val="105"/>
        </w:rPr>
        <w:t>call </w:t>
      </w:r>
      <w:r>
        <w:rPr>
          <w:color w:val="231F20"/>
          <w:w w:val="105"/>
        </w:rPr>
        <w:t>y 88.55 para opciones </w:t>
      </w:r>
      <w:r>
        <w:rPr>
          <w:i/>
          <w:color w:val="231F20"/>
          <w:w w:val="105"/>
        </w:rPr>
        <w:t>put</w:t>
      </w:r>
      <w:r>
        <w:rPr>
          <w:color w:val="231F20"/>
          <w:w w:val="105"/>
        </w:rPr>
        <w:t>. Heston, por su parte, para el mis- mo</w:t>
      </w:r>
      <w:r>
        <w:rPr>
          <w:color w:val="231F20"/>
          <w:spacing w:val="-19"/>
          <w:w w:val="105"/>
        </w:rPr>
        <w:t> </w:t>
      </w:r>
      <w:r>
        <w:rPr>
          <w:color w:val="231F20"/>
          <w:w w:val="105"/>
        </w:rPr>
        <w:t>periodo</w:t>
      </w:r>
      <w:r>
        <w:rPr>
          <w:color w:val="231F20"/>
          <w:spacing w:val="-19"/>
          <w:w w:val="105"/>
        </w:rPr>
        <w:t> </w:t>
      </w:r>
      <w:r>
        <w:rPr>
          <w:color w:val="231F20"/>
          <w:w w:val="105"/>
        </w:rPr>
        <w:t>de</w:t>
      </w:r>
      <w:r>
        <w:rPr>
          <w:color w:val="231F20"/>
          <w:spacing w:val="-19"/>
          <w:w w:val="105"/>
        </w:rPr>
        <w:t> </w:t>
      </w:r>
      <w:r>
        <w:rPr>
          <w:color w:val="231F20"/>
          <w:w w:val="105"/>
        </w:rPr>
        <w:t>vencimiento</w:t>
      </w:r>
      <w:r>
        <w:rPr>
          <w:color w:val="231F20"/>
          <w:spacing w:val="-19"/>
          <w:w w:val="105"/>
        </w:rPr>
        <w:t> </w:t>
      </w:r>
      <w:r>
        <w:rPr>
          <w:color w:val="231F20"/>
          <w:w w:val="105"/>
        </w:rPr>
        <w:t>subvalora</w:t>
      </w:r>
      <w:r>
        <w:rPr>
          <w:color w:val="231F20"/>
          <w:spacing w:val="-19"/>
          <w:w w:val="105"/>
        </w:rPr>
        <w:t> </w:t>
      </w:r>
      <w:r>
        <w:rPr>
          <w:color w:val="231F20"/>
          <w:w w:val="105"/>
        </w:rPr>
        <w:t>opciones</w:t>
      </w:r>
      <w:r>
        <w:rPr>
          <w:color w:val="231F20"/>
          <w:spacing w:val="-19"/>
          <w:w w:val="105"/>
        </w:rPr>
        <w:t> </w:t>
      </w:r>
      <w:r>
        <w:rPr>
          <w:i/>
          <w:color w:val="231F20"/>
          <w:w w:val="105"/>
        </w:rPr>
        <w:t>call</w:t>
      </w:r>
      <w:r>
        <w:rPr>
          <w:i/>
          <w:color w:val="231F20"/>
          <w:spacing w:val="-19"/>
          <w:w w:val="105"/>
        </w:rPr>
        <w:t> </w:t>
      </w:r>
      <w:r>
        <w:rPr>
          <w:color w:val="231F20"/>
          <w:w w:val="105"/>
        </w:rPr>
        <w:t>y</w:t>
      </w:r>
      <w:r>
        <w:rPr>
          <w:color w:val="231F20"/>
          <w:spacing w:val="-19"/>
          <w:w w:val="105"/>
        </w:rPr>
        <w:t> </w:t>
      </w:r>
      <w:r>
        <w:rPr>
          <w:color w:val="231F20"/>
          <w:w w:val="105"/>
        </w:rPr>
        <w:t>sobrevalora</w:t>
      </w:r>
      <w:r>
        <w:rPr>
          <w:color w:val="231F20"/>
          <w:spacing w:val="-19"/>
          <w:w w:val="105"/>
        </w:rPr>
        <w:t> </w:t>
      </w:r>
      <w:r>
        <w:rPr>
          <w:color w:val="231F20"/>
          <w:w w:val="105"/>
        </w:rPr>
        <w:t>las</w:t>
      </w:r>
      <w:r>
        <w:rPr>
          <w:color w:val="231F20"/>
          <w:spacing w:val="-19"/>
          <w:w w:val="105"/>
        </w:rPr>
        <w:t> </w:t>
      </w:r>
      <w:r>
        <w:rPr>
          <w:i/>
          <w:color w:val="231F20"/>
          <w:w w:val="105"/>
        </w:rPr>
        <w:t>put </w:t>
      </w:r>
      <w:r>
        <w:rPr>
          <w:color w:val="231F20"/>
          <w:w w:val="105"/>
        </w:rPr>
        <w:t>dentro del dinero con un error promedio de 0.1 centavos por abajo del precio</w:t>
      </w:r>
      <w:r>
        <w:rPr>
          <w:color w:val="231F20"/>
          <w:spacing w:val="-21"/>
          <w:w w:val="105"/>
        </w:rPr>
        <w:t> </w:t>
      </w:r>
      <w:r>
        <w:rPr>
          <w:color w:val="231F20"/>
          <w:w w:val="105"/>
        </w:rPr>
        <w:t>del</w:t>
      </w:r>
      <w:r>
        <w:rPr>
          <w:color w:val="231F20"/>
          <w:spacing w:val="-21"/>
          <w:w w:val="105"/>
        </w:rPr>
        <w:t> </w:t>
      </w:r>
      <w:r>
        <w:rPr>
          <w:color w:val="231F20"/>
          <w:w w:val="105"/>
        </w:rPr>
        <w:t>mercado</w:t>
      </w:r>
      <w:r>
        <w:rPr>
          <w:color w:val="231F20"/>
          <w:spacing w:val="-21"/>
          <w:w w:val="105"/>
        </w:rPr>
        <w:t> </w:t>
      </w:r>
      <w:r>
        <w:rPr>
          <w:color w:val="231F20"/>
          <w:w w:val="105"/>
        </w:rPr>
        <w:t>para</w:t>
      </w:r>
      <w:r>
        <w:rPr>
          <w:color w:val="231F20"/>
          <w:spacing w:val="-21"/>
          <w:w w:val="105"/>
        </w:rPr>
        <w:t> </w:t>
      </w:r>
      <w:r>
        <w:rPr>
          <w:i/>
          <w:color w:val="231F20"/>
          <w:w w:val="105"/>
        </w:rPr>
        <w:t>call</w:t>
      </w:r>
      <w:r>
        <w:rPr>
          <w:i/>
          <w:color w:val="231F20"/>
          <w:spacing w:val="-21"/>
          <w:w w:val="105"/>
        </w:rPr>
        <w:t> </w:t>
      </w:r>
      <w:r>
        <w:rPr>
          <w:color w:val="231F20"/>
          <w:w w:val="105"/>
        </w:rPr>
        <w:t>y</w:t>
      </w:r>
      <w:r>
        <w:rPr>
          <w:color w:val="231F20"/>
          <w:spacing w:val="-21"/>
          <w:w w:val="105"/>
        </w:rPr>
        <w:t> </w:t>
      </w:r>
      <w:r>
        <w:rPr>
          <w:color w:val="231F20"/>
          <w:w w:val="105"/>
        </w:rPr>
        <w:t>con</w:t>
      </w:r>
      <w:r>
        <w:rPr>
          <w:color w:val="231F20"/>
          <w:spacing w:val="-21"/>
          <w:w w:val="105"/>
        </w:rPr>
        <w:t> </w:t>
      </w:r>
      <w:r>
        <w:rPr>
          <w:color w:val="231F20"/>
          <w:w w:val="105"/>
        </w:rPr>
        <w:t>0.03</w:t>
      </w:r>
      <w:r>
        <w:rPr>
          <w:color w:val="231F20"/>
          <w:spacing w:val="-21"/>
          <w:w w:val="105"/>
        </w:rPr>
        <w:t> </w:t>
      </w:r>
      <w:r>
        <w:rPr>
          <w:color w:val="231F20"/>
          <w:w w:val="105"/>
        </w:rPr>
        <w:t>centavos</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i/>
          <w:color w:val="231F20"/>
          <w:w w:val="105"/>
        </w:rPr>
        <w:t>put,</w:t>
      </w:r>
      <w:r>
        <w:rPr>
          <w:i/>
          <w:color w:val="231F20"/>
          <w:spacing w:val="-26"/>
          <w:w w:val="105"/>
        </w:rPr>
        <w:t> </w:t>
      </w:r>
      <w:r>
        <w:rPr>
          <w:color w:val="231F20"/>
          <w:w w:val="105"/>
        </w:rPr>
        <w:t>más</w:t>
      </w:r>
      <w:r>
        <w:rPr>
          <w:color w:val="231F20"/>
          <w:spacing w:val="-21"/>
          <w:w w:val="105"/>
        </w:rPr>
        <w:t> </w:t>
      </w:r>
      <w:r>
        <w:rPr>
          <w:color w:val="231F20"/>
          <w:w w:val="105"/>
        </w:rPr>
        <w:t>que</w:t>
      </w:r>
      <w:r>
        <w:rPr>
          <w:color w:val="231F20"/>
          <w:spacing w:val="-21"/>
          <w:w w:val="105"/>
        </w:rPr>
        <w:t> </w:t>
      </w:r>
      <w:r>
        <w:rPr>
          <w:color w:val="231F20"/>
          <w:w w:val="105"/>
        </w:rPr>
        <w:t>el precio</w:t>
      </w:r>
      <w:r>
        <w:rPr>
          <w:color w:val="231F20"/>
          <w:spacing w:val="-24"/>
          <w:w w:val="105"/>
        </w:rPr>
        <w:t> </w:t>
      </w:r>
      <w:r>
        <w:rPr>
          <w:color w:val="231F20"/>
          <w:w w:val="105"/>
        </w:rPr>
        <w:t>del</w:t>
      </w:r>
      <w:r>
        <w:rPr>
          <w:color w:val="231F20"/>
          <w:spacing w:val="-24"/>
          <w:w w:val="105"/>
        </w:rPr>
        <w:t> </w:t>
      </w:r>
      <w:r>
        <w:rPr>
          <w:color w:val="231F20"/>
          <w:w w:val="105"/>
        </w:rPr>
        <w:t>mercado,</w:t>
      </w:r>
      <w:r>
        <w:rPr>
          <w:color w:val="231F20"/>
          <w:spacing w:val="-30"/>
          <w:w w:val="105"/>
        </w:rPr>
        <w:t> </w:t>
      </w:r>
      <w:r>
        <w:rPr>
          <w:color w:val="231F20"/>
          <w:w w:val="105"/>
        </w:rPr>
        <w:t>observando</w:t>
      </w:r>
      <w:r>
        <w:rPr>
          <w:color w:val="231F20"/>
          <w:spacing w:val="-24"/>
          <w:w w:val="105"/>
        </w:rPr>
        <w:t> </w:t>
      </w:r>
      <w:r>
        <w:rPr>
          <w:color w:val="231F20"/>
          <w:w w:val="105"/>
        </w:rPr>
        <w:t>una</w:t>
      </w:r>
      <w:r>
        <w:rPr>
          <w:color w:val="231F20"/>
          <w:spacing w:val="-24"/>
          <w:w w:val="105"/>
        </w:rPr>
        <w:t> </w:t>
      </w:r>
      <w:r>
        <w:rPr>
          <w:color w:val="231F20"/>
          <w:w w:val="105"/>
        </w:rPr>
        <w:t>variación</w:t>
      </w:r>
      <w:r>
        <w:rPr>
          <w:color w:val="231F20"/>
          <w:spacing w:val="-24"/>
          <w:w w:val="105"/>
        </w:rPr>
        <w:t> </w:t>
      </w:r>
      <w:r>
        <w:rPr>
          <w:color w:val="231F20"/>
          <w:w w:val="105"/>
        </w:rPr>
        <w:t>mínima</w:t>
      </w:r>
      <w:r>
        <w:rPr>
          <w:color w:val="231F20"/>
          <w:spacing w:val="-24"/>
          <w:w w:val="105"/>
        </w:rPr>
        <w:t> </w:t>
      </w:r>
      <w:r>
        <w:rPr>
          <w:color w:val="231F20"/>
          <w:w w:val="105"/>
        </w:rPr>
        <w:t>con</w:t>
      </w:r>
      <w:r>
        <w:rPr>
          <w:color w:val="231F20"/>
          <w:spacing w:val="-24"/>
          <w:w w:val="105"/>
        </w:rPr>
        <w:t> </w:t>
      </w:r>
      <w:r>
        <w:rPr>
          <w:color w:val="231F20"/>
          <w:w w:val="105"/>
        </w:rPr>
        <w:t>respecto</w:t>
      </w:r>
      <w:r>
        <w:rPr>
          <w:color w:val="231F20"/>
          <w:spacing w:val="-24"/>
          <w:w w:val="105"/>
        </w:rPr>
        <w:t> </w:t>
      </w:r>
      <w:r>
        <w:rPr>
          <w:color w:val="231F20"/>
          <w:w w:val="105"/>
        </w:rPr>
        <w:t>a</w:t>
      </w:r>
      <w:r>
        <w:rPr>
          <w:color w:val="231F20"/>
          <w:spacing w:val="-24"/>
          <w:w w:val="105"/>
        </w:rPr>
        <w:t> </w:t>
      </w:r>
      <w:r>
        <w:rPr>
          <w:color w:val="231F20"/>
          <w:w w:val="105"/>
        </w:rPr>
        <w:t>los precios</w:t>
      </w:r>
      <w:r>
        <w:rPr>
          <w:color w:val="231F20"/>
          <w:spacing w:val="-25"/>
          <w:w w:val="105"/>
        </w:rPr>
        <w:t> </w:t>
      </w:r>
      <w:r>
        <w:rPr>
          <w:color w:val="231F20"/>
          <w:w w:val="105"/>
        </w:rPr>
        <w:t>de</w:t>
      </w:r>
      <w:r>
        <w:rPr>
          <w:color w:val="231F20"/>
          <w:spacing w:val="-25"/>
          <w:w w:val="105"/>
        </w:rPr>
        <w:t> </w:t>
      </w:r>
      <w:r>
        <w:rPr>
          <w:color w:val="231F20"/>
          <w:w w:val="105"/>
        </w:rPr>
        <w:t>Black-Scholes.</w:t>
      </w:r>
      <w:r>
        <w:rPr>
          <w:color w:val="231F20"/>
          <w:spacing w:val="-29"/>
          <w:w w:val="105"/>
        </w:rPr>
        <w:t> </w:t>
      </w:r>
      <w:r>
        <w:rPr>
          <w:color w:val="231F20"/>
          <w:w w:val="105"/>
        </w:rPr>
        <w:t>De</w:t>
      </w:r>
      <w:r>
        <w:rPr>
          <w:color w:val="231F20"/>
          <w:spacing w:val="-25"/>
          <w:w w:val="105"/>
        </w:rPr>
        <w:t> </w:t>
      </w:r>
      <w:r>
        <w:rPr>
          <w:color w:val="231F20"/>
          <w:w w:val="105"/>
        </w:rPr>
        <w:t>manera</w:t>
      </w:r>
      <w:r>
        <w:rPr>
          <w:color w:val="231F20"/>
          <w:spacing w:val="-25"/>
          <w:w w:val="105"/>
        </w:rPr>
        <w:t> </w:t>
      </w:r>
      <w:r>
        <w:rPr>
          <w:color w:val="231F20"/>
          <w:w w:val="105"/>
        </w:rPr>
        <w:t>general,</w:t>
      </w:r>
      <w:r>
        <w:rPr>
          <w:color w:val="231F20"/>
          <w:spacing w:val="-29"/>
          <w:w w:val="105"/>
        </w:rPr>
        <w:t> </w:t>
      </w:r>
      <w:r>
        <w:rPr>
          <w:color w:val="231F20"/>
          <w:w w:val="105"/>
        </w:rPr>
        <w:t>para</w:t>
      </w:r>
      <w:r>
        <w:rPr>
          <w:color w:val="231F20"/>
          <w:spacing w:val="-25"/>
          <w:w w:val="105"/>
        </w:rPr>
        <w:t> </w:t>
      </w:r>
      <w:r>
        <w:rPr>
          <w:color w:val="231F20"/>
          <w:w w:val="105"/>
        </w:rPr>
        <w:t>opciones</w:t>
      </w:r>
      <w:r>
        <w:rPr>
          <w:color w:val="231F20"/>
          <w:spacing w:val="-25"/>
          <w:w w:val="105"/>
        </w:rPr>
        <w:t> </w:t>
      </w:r>
      <w:r>
        <w:rPr>
          <w:i/>
          <w:color w:val="231F20"/>
          <w:w w:val="105"/>
        </w:rPr>
        <w:t>call</w:t>
      </w:r>
      <w:r>
        <w:rPr>
          <w:i/>
          <w:color w:val="231F20"/>
          <w:spacing w:val="-25"/>
          <w:w w:val="105"/>
        </w:rPr>
        <w:t> </w:t>
      </w:r>
      <w:r>
        <w:rPr>
          <w:color w:val="231F20"/>
          <w:w w:val="105"/>
        </w:rPr>
        <w:t>Heston presenta el menor error con valor de 0.14 centavos menos que las del mercado en opciones muy profundamente fuera del dinero y con 0.15 centavos</w:t>
      </w:r>
      <w:r>
        <w:rPr>
          <w:color w:val="231F20"/>
          <w:spacing w:val="-19"/>
          <w:w w:val="105"/>
        </w:rPr>
        <w:t> </w:t>
      </w:r>
      <w:r>
        <w:rPr>
          <w:color w:val="231F20"/>
          <w:w w:val="105"/>
        </w:rPr>
        <w:t>fuera</w:t>
      </w:r>
      <w:r>
        <w:rPr>
          <w:color w:val="231F20"/>
          <w:spacing w:val="-19"/>
          <w:w w:val="105"/>
        </w:rPr>
        <w:t> </w:t>
      </w:r>
      <w:r>
        <w:rPr>
          <w:color w:val="231F20"/>
          <w:w w:val="105"/>
        </w:rPr>
        <w:t>del</w:t>
      </w:r>
      <w:r>
        <w:rPr>
          <w:color w:val="231F20"/>
          <w:spacing w:val="-19"/>
          <w:w w:val="105"/>
        </w:rPr>
        <w:t> </w:t>
      </w:r>
      <w:r>
        <w:rPr>
          <w:color w:val="231F20"/>
          <w:w w:val="105"/>
        </w:rPr>
        <w:t>dinero.</w:t>
      </w:r>
    </w:p>
    <w:p>
      <w:pPr>
        <w:spacing w:after="0" w:line="259" w:lineRule="auto"/>
        <w:jc w:val="both"/>
        <w:sectPr>
          <w:type w:val="continuous"/>
          <w:pgSz w:w="9640" w:h="13890"/>
          <w:pgMar w:top="1300" w:bottom="280" w:left="1300" w:right="1180"/>
        </w:sectPr>
      </w:pPr>
    </w:p>
    <w:p>
      <w:pPr>
        <w:pStyle w:val="BodyText"/>
        <w:spacing w:line="259" w:lineRule="auto" w:before="120"/>
        <w:ind w:left="103" w:right="115"/>
        <w:jc w:val="both"/>
      </w:pP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contexto,</w:t>
      </w:r>
      <w:r>
        <w:rPr>
          <w:color w:val="231F20"/>
          <w:spacing w:val="-17"/>
          <w:w w:val="105"/>
        </w:rPr>
        <w:t> </w:t>
      </w:r>
      <w:r>
        <w:rPr>
          <w:color w:val="231F20"/>
          <w:w w:val="105"/>
        </w:rPr>
        <w:t>para</w:t>
      </w:r>
      <w:r>
        <w:rPr>
          <w:color w:val="231F20"/>
          <w:spacing w:val="-12"/>
          <w:w w:val="105"/>
        </w:rPr>
        <w:t> </w:t>
      </w:r>
      <w:r>
        <w:rPr>
          <w:color w:val="231F20"/>
          <w:w w:val="105"/>
        </w:rPr>
        <w:t>opciones</w:t>
      </w:r>
      <w:r>
        <w:rPr>
          <w:color w:val="231F20"/>
          <w:spacing w:val="-15"/>
          <w:w w:val="105"/>
        </w:rPr>
        <w:t> </w:t>
      </w:r>
      <w:r>
        <w:rPr>
          <w:color w:val="231F20"/>
          <w:spacing w:val="-5"/>
          <w:w w:val="105"/>
        </w:rPr>
        <w:t>ATM</w:t>
      </w:r>
      <w:r>
        <w:rPr>
          <w:color w:val="231F20"/>
          <w:spacing w:val="-12"/>
          <w:w w:val="105"/>
        </w:rPr>
        <w:t> </w:t>
      </w:r>
      <w:r>
        <w:rPr>
          <w:color w:val="231F20"/>
          <w:w w:val="105"/>
        </w:rPr>
        <w:t>se</w:t>
      </w:r>
      <w:r>
        <w:rPr>
          <w:color w:val="231F20"/>
          <w:spacing w:val="-12"/>
          <w:w w:val="105"/>
        </w:rPr>
        <w:t> </w:t>
      </w:r>
      <w:r>
        <w:rPr>
          <w:color w:val="231F20"/>
          <w:w w:val="105"/>
        </w:rPr>
        <w:t>presentan</w:t>
      </w:r>
      <w:r>
        <w:rPr>
          <w:color w:val="231F20"/>
          <w:spacing w:val="-12"/>
          <w:w w:val="105"/>
        </w:rPr>
        <w:t> </w:t>
      </w:r>
      <w:r>
        <w:rPr>
          <w:color w:val="231F20"/>
          <w:w w:val="105"/>
        </w:rPr>
        <w:t>para</w:t>
      </w:r>
      <w:r>
        <w:rPr>
          <w:color w:val="231F20"/>
          <w:spacing w:val="-12"/>
          <w:w w:val="105"/>
        </w:rPr>
        <w:t> </w:t>
      </w:r>
      <w:r>
        <w:rPr>
          <w:color w:val="231F20"/>
          <w:w w:val="105"/>
        </w:rPr>
        <w:t>dos</w:t>
      </w:r>
      <w:r>
        <w:rPr>
          <w:color w:val="231F20"/>
          <w:spacing w:val="-12"/>
          <w:w w:val="105"/>
        </w:rPr>
        <w:t> </w:t>
      </w:r>
      <w:r>
        <w:rPr>
          <w:color w:val="231F20"/>
          <w:w w:val="105"/>
        </w:rPr>
        <w:t>precios</w:t>
      </w:r>
      <w:r>
        <w:rPr>
          <w:color w:val="231F20"/>
          <w:spacing w:val="-12"/>
          <w:w w:val="105"/>
        </w:rPr>
        <w:t> </w:t>
      </w:r>
      <w:r>
        <w:rPr>
          <w:color w:val="231F20"/>
          <w:w w:val="105"/>
        </w:rPr>
        <w:t>del ejercicio (12.80 y 12.90 mx/usd) con errores de 0.038 y 0.024</w:t>
      </w:r>
      <w:r>
        <w:rPr>
          <w:color w:val="231F20"/>
          <w:spacing w:val="-37"/>
          <w:w w:val="105"/>
        </w:rPr>
        <w:t> </w:t>
      </w:r>
      <w:r>
        <w:rPr>
          <w:color w:val="231F20"/>
          <w:w w:val="105"/>
        </w:rPr>
        <w:t>centavos para</w:t>
      </w:r>
      <w:r>
        <w:rPr>
          <w:color w:val="231F20"/>
          <w:spacing w:val="-22"/>
          <w:w w:val="105"/>
        </w:rPr>
        <w:t> </w:t>
      </w:r>
      <w:r>
        <w:rPr>
          <w:i/>
          <w:color w:val="231F20"/>
          <w:w w:val="105"/>
        </w:rPr>
        <w:t>call</w:t>
      </w:r>
      <w:r>
        <w:rPr>
          <w:i/>
          <w:color w:val="231F20"/>
          <w:spacing w:val="-22"/>
          <w:w w:val="105"/>
        </w:rPr>
        <w:t> </w:t>
      </w:r>
      <w:r>
        <w:rPr>
          <w:color w:val="231F20"/>
          <w:w w:val="105"/>
        </w:rPr>
        <w:t>y</w:t>
      </w:r>
      <w:r>
        <w:rPr>
          <w:color w:val="231F20"/>
          <w:spacing w:val="-22"/>
          <w:w w:val="105"/>
        </w:rPr>
        <w:t> </w:t>
      </w:r>
      <w:r>
        <w:rPr>
          <w:i/>
          <w:color w:val="231F20"/>
          <w:w w:val="105"/>
        </w:rPr>
        <w:t>put</w:t>
      </w:r>
      <w:r>
        <w:rPr>
          <w:i/>
          <w:color w:val="231F20"/>
          <w:spacing w:val="-22"/>
          <w:w w:val="105"/>
        </w:rPr>
        <w:t> </w:t>
      </w:r>
      <w:r>
        <w:rPr>
          <w:color w:val="231F20"/>
          <w:w w:val="105"/>
        </w:rPr>
        <w:t>respectivamente.</w:t>
      </w:r>
    </w:p>
    <w:p>
      <w:pPr>
        <w:pStyle w:val="BodyText"/>
        <w:spacing w:line="259" w:lineRule="auto"/>
        <w:ind w:left="103" w:right="114" w:firstLine="567"/>
        <w:jc w:val="both"/>
      </w:pPr>
      <w:r>
        <w:rPr>
          <w:color w:val="231F20"/>
          <w:spacing w:val="-4"/>
          <w:w w:val="105"/>
        </w:rPr>
        <w:t>Para</w:t>
      </w:r>
      <w:r>
        <w:rPr>
          <w:color w:val="231F20"/>
          <w:spacing w:val="-8"/>
          <w:w w:val="105"/>
        </w:rPr>
        <w:t> </w:t>
      </w:r>
      <w:r>
        <w:rPr>
          <w:color w:val="231F20"/>
          <w:w w:val="105"/>
        </w:rPr>
        <w:t>este</w:t>
      </w:r>
      <w:r>
        <w:rPr>
          <w:color w:val="231F20"/>
          <w:spacing w:val="-8"/>
          <w:w w:val="105"/>
        </w:rPr>
        <w:t> </w:t>
      </w:r>
      <w:r>
        <w:rPr>
          <w:color w:val="231F20"/>
          <w:w w:val="105"/>
        </w:rPr>
        <w:t>periodo</w:t>
      </w:r>
      <w:r>
        <w:rPr>
          <w:color w:val="231F20"/>
          <w:spacing w:val="-8"/>
          <w:w w:val="105"/>
        </w:rPr>
        <w:t> </w:t>
      </w:r>
      <w:r>
        <w:rPr>
          <w:color w:val="231F20"/>
          <w:w w:val="105"/>
        </w:rPr>
        <w:t>los</w:t>
      </w:r>
      <w:r>
        <w:rPr>
          <w:color w:val="231F20"/>
          <w:spacing w:val="-8"/>
          <w:w w:val="105"/>
        </w:rPr>
        <w:t> </w:t>
      </w:r>
      <w:r>
        <w:rPr>
          <w:color w:val="231F20"/>
          <w:w w:val="105"/>
        </w:rPr>
        <w:t>modelos</w:t>
      </w:r>
      <w:r>
        <w:rPr>
          <w:color w:val="231F20"/>
          <w:spacing w:val="-8"/>
          <w:w w:val="105"/>
        </w:rPr>
        <w:t> </w:t>
      </w:r>
      <w:r>
        <w:rPr>
          <w:color w:val="231F20"/>
          <w:w w:val="105"/>
        </w:rPr>
        <w:t>proporcionan</w:t>
      </w:r>
      <w:r>
        <w:rPr>
          <w:color w:val="231F20"/>
          <w:spacing w:val="-8"/>
          <w:w w:val="105"/>
        </w:rPr>
        <w:t> </w:t>
      </w:r>
      <w:r>
        <w:rPr>
          <w:color w:val="231F20"/>
          <w:w w:val="105"/>
        </w:rPr>
        <w:t>la</w:t>
      </w:r>
      <w:r>
        <w:rPr>
          <w:color w:val="231F20"/>
          <w:spacing w:val="-8"/>
          <w:w w:val="105"/>
        </w:rPr>
        <w:t> </w:t>
      </w:r>
      <w:r>
        <w:rPr>
          <w:color w:val="231F20"/>
          <w:w w:val="105"/>
        </w:rPr>
        <w:t>asimetría</w:t>
      </w:r>
      <w:r>
        <w:rPr>
          <w:color w:val="231F20"/>
          <w:spacing w:val="-8"/>
          <w:w w:val="105"/>
        </w:rPr>
        <w:t> </w:t>
      </w:r>
      <w:r>
        <w:rPr>
          <w:color w:val="231F20"/>
          <w:w w:val="105"/>
        </w:rPr>
        <w:t>negativa y platicúrtica para opciones </w:t>
      </w:r>
      <w:r>
        <w:rPr>
          <w:i/>
          <w:color w:val="231F20"/>
          <w:w w:val="105"/>
        </w:rPr>
        <w:t>call </w:t>
      </w:r>
      <w:r>
        <w:rPr>
          <w:color w:val="231F20"/>
          <w:w w:val="105"/>
        </w:rPr>
        <w:t>dentro del dinero (ITM) y en el dinero </w:t>
      </w:r>
      <w:r>
        <w:rPr>
          <w:color w:val="231F20"/>
          <w:spacing w:val="-3"/>
          <w:w w:val="105"/>
        </w:rPr>
        <w:t>(ATM),</w:t>
      </w:r>
      <w:r>
        <w:rPr>
          <w:color w:val="231F20"/>
          <w:spacing w:val="-18"/>
          <w:w w:val="105"/>
        </w:rPr>
        <w:t> </w:t>
      </w:r>
      <w:r>
        <w:rPr>
          <w:color w:val="231F20"/>
          <w:w w:val="105"/>
        </w:rPr>
        <w:t>lo</w:t>
      </w:r>
      <w:r>
        <w:rPr>
          <w:color w:val="231F20"/>
          <w:spacing w:val="-13"/>
          <w:w w:val="105"/>
        </w:rPr>
        <w:t> </w:t>
      </w:r>
      <w:r>
        <w:rPr>
          <w:color w:val="231F20"/>
          <w:w w:val="105"/>
        </w:rPr>
        <w:t>cual</w:t>
      </w:r>
      <w:r>
        <w:rPr>
          <w:color w:val="231F20"/>
          <w:spacing w:val="-13"/>
          <w:w w:val="105"/>
        </w:rPr>
        <w:t> </w:t>
      </w:r>
      <w:r>
        <w:rPr>
          <w:color w:val="231F20"/>
          <w:w w:val="105"/>
        </w:rPr>
        <w:t>hace</w:t>
      </w:r>
      <w:r>
        <w:rPr>
          <w:color w:val="231F20"/>
          <w:spacing w:val="-13"/>
          <w:w w:val="105"/>
        </w:rPr>
        <w:t> </w:t>
      </w:r>
      <w:r>
        <w:rPr>
          <w:color w:val="231F20"/>
          <w:w w:val="105"/>
        </w:rPr>
        <w:t>que</w:t>
      </w:r>
      <w:r>
        <w:rPr>
          <w:color w:val="231F20"/>
          <w:spacing w:val="-13"/>
          <w:w w:val="105"/>
        </w:rPr>
        <w:t> </w:t>
      </w:r>
      <w:r>
        <w:rPr>
          <w:color w:val="231F20"/>
          <w:w w:val="105"/>
        </w:rPr>
        <w:t>presenten</w:t>
      </w:r>
      <w:r>
        <w:rPr>
          <w:color w:val="231F20"/>
          <w:spacing w:val="-13"/>
          <w:w w:val="105"/>
        </w:rPr>
        <w:t> </w:t>
      </w:r>
      <w:r>
        <w:rPr>
          <w:color w:val="231F20"/>
          <w:w w:val="105"/>
        </w:rPr>
        <w:t>sesgo.</w:t>
      </w:r>
      <w:r>
        <w:rPr>
          <w:color w:val="231F20"/>
          <w:spacing w:val="-18"/>
          <w:w w:val="105"/>
        </w:rPr>
        <w:t> </w:t>
      </w:r>
      <w:r>
        <w:rPr>
          <w:color w:val="231F20"/>
          <w:w w:val="105"/>
        </w:rPr>
        <w:t>Esto</w:t>
      </w:r>
      <w:r>
        <w:rPr>
          <w:color w:val="231F20"/>
          <w:spacing w:val="-13"/>
          <w:w w:val="105"/>
        </w:rPr>
        <w:t> </w:t>
      </w:r>
      <w:r>
        <w:rPr>
          <w:color w:val="231F20"/>
          <w:w w:val="105"/>
        </w:rPr>
        <w:t>significa</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densidad está más concentrada alrededor de los precios más altos, reflejando el hecho de que más participantes del mercado esperan que los precios estén</w:t>
      </w:r>
      <w:r>
        <w:rPr>
          <w:color w:val="231F20"/>
          <w:spacing w:val="-12"/>
          <w:w w:val="105"/>
        </w:rPr>
        <w:t> </w:t>
      </w:r>
      <w:r>
        <w:rPr>
          <w:color w:val="231F20"/>
          <w:w w:val="105"/>
        </w:rPr>
        <w:t>por</w:t>
      </w:r>
      <w:r>
        <w:rPr>
          <w:color w:val="231F20"/>
          <w:spacing w:val="-12"/>
          <w:w w:val="105"/>
        </w:rPr>
        <w:t> </w:t>
      </w:r>
      <w:r>
        <w:rPr>
          <w:color w:val="231F20"/>
          <w:w w:val="105"/>
        </w:rPr>
        <w:t>encima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media.</w:t>
      </w:r>
    </w:p>
    <w:p>
      <w:pPr>
        <w:pStyle w:val="BodyText"/>
        <w:spacing w:line="259" w:lineRule="auto"/>
        <w:ind w:left="103" w:right="108" w:firstLine="567"/>
        <w:jc w:val="both"/>
      </w:pPr>
      <w:r>
        <w:rPr>
          <w:color w:val="231F20"/>
          <w:w w:val="105"/>
        </w:rPr>
        <w:t>Sin embargo, para opciones profundamente fuera del dinero, donde</w:t>
      </w:r>
      <w:r>
        <w:rPr>
          <w:color w:val="231F20"/>
          <w:spacing w:val="-5"/>
          <w:w w:val="105"/>
        </w:rPr>
        <w:t> </w:t>
      </w:r>
      <w:r>
        <w:rPr>
          <w:color w:val="231F20"/>
          <w:w w:val="105"/>
        </w:rPr>
        <w:t>Heston</w:t>
      </w:r>
      <w:r>
        <w:rPr>
          <w:color w:val="231F20"/>
          <w:spacing w:val="-5"/>
          <w:w w:val="105"/>
        </w:rPr>
        <w:t> </w:t>
      </w:r>
      <w:r>
        <w:rPr>
          <w:color w:val="231F20"/>
          <w:w w:val="105"/>
        </w:rPr>
        <w:t>presenta</w:t>
      </w:r>
      <w:r>
        <w:rPr>
          <w:color w:val="231F20"/>
          <w:spacing w:val="-5"/>
          <w:w w:val="105"/>
        </w:rPr>
        <w:t> </w:t>
      </w:r>
      <w:r>
        <w:rPr>
          <w:color w:val="231F20"/>
          <w:w w:val="105"/>
        </w:rPr>
        <w:t>una</w:t>
      </w:r>
      <w:r>
        <w:rPr>
          <w:color w:val="231F20"/>
          <w:spacing w:val="-5"/>
          <w:w w:val="105"/>
        </w:rPr>
        <w:t> </w:t>
      </w:r>
      <w:r>
        <w:rPr>
          <w:color w:val="231F20"/>
          <w:w w:val="105"/>
        </w:rPr>
        <w:t>asimetría</w:t>
      </w:r>
      <w:r>
        <w:rPr>
          <w:color w:val="231F20"/>
          <w:spacing w:val="-5"/>
          <w:w w:val="105"/>
        </w:rPr>
        <w:t> </w:t>
      </w:r>
      <w:r>
        <w:rPr>
          <w:color w:val="231F20"/>
          <w:w w:val="105"/>
        </w:rPr>
        <w:t>positiva,</w:t>
      </w:r>
      <w:r>
        <w:rPr>
          <w:color w:val="231F20"/>
          <w:spacing w:val="-11"/>
          <w:w w:val="105"/>
        </w:rPr>
        <w:t> </w:t>
      </w:r>
      <w:r>
        <w:rPr>
          <w:color w:val="231F20"/>
          <w:w w:val="105"/>
        </w:rPr>
        <w:t>se</w:t>
      </w:r>
      <w:r>
        <w:rPr>
          <w:color w:val="231F20"/>
          <w:spacing w:val="-5"/>
          <w:w w:val="105"/>
        </w:rPr>
        <w:t> </w:t>
      </w:r>
      <w:r>
        <w:rPr>
          <w:color w:val="231F20"/>
          <w:w w:val="105"/>
        </w:rPr>
        <w:t>indica</w:t>
      </w:r>
      <w:r>
        <w:rPr>
          <w:color w:val="231F20"/>
          <w:spacing w:val="-5"/>
          <w:w w:val="105"/>
        </w:rPr>
        <w:t> </w:t>
      </w:r>
      <w:r>
        <w:rPr>
          <w:color w:val="231F20"/>
          <w:w w:val="105"/>
        </w:rPr>
        <w:t>que</w:t>
      </w:r>
      <w:r>
        <w:rPr>
          <w:color w:val="231F20"/>
          <w:spacing w:val="-5"/>
          <w:w w:val="105"/>
        </w:rPr>
        <w:t> </w:t>
      </w:r>
      <w:r>
        <w:rPr>
          <w:color w:val="231F20"/>
          <w:w w:val="105"/>
        </w:rPr>
        <w:t>más</w:t>
      </w:r>
      <w:r>
        <w:rPr>
          <w:color w:val="231F20"/>
          <w:spacing w:val="-5"/>
          <w:w w:val="105"/>
        </w:rPr>
        <w:t> </w:t>
      </w:r>
      <w:r>
        <w:rPr>
          <w:color w:val="231F20"/>
          <w:w w:val="105"/>
        </w:rPr>
        <w:t>parti- cipantes en el mercado esperan que los precios de las opciones sobre tipo de cambio mx/usd se sitúen por debajo de la media, es decir, me- nores</w:t>
      </w:r>
      <w:r>
        <w:rPr>
          <w:color w:val="231F20"/>
          <w:spacing w:val="-10"/>
          <w:w w:val="105"/>
        </w:rPr>
        <w:t> </w:t>
      </w:r>
      <w:r>
        <w:rPr>
          <w:color w:val="231F20"/>
          <w:w w:val="105"/>
        </w:rPr>
        <w:t>de</w:t>
      </w:r>
      <w:r>
        <w:rPr>
          <w:color w:val="231F20"/>
          <w:spacing w:val="-10"/>
          <w:w w:val="105"/>
        </w:rPr>
        <w:t> </w:t>
      </w:r>
      <w:r>
        <w:rPr>
          <w:color w:val="231F20"/>
          <w:w w:val="105"/>
        </w:rPr>
        <w:t>20.2</w:t>
      </w:r>
      <w:r>
        <w:rPr>
          <w:color w:val="231F20"/>
          <w:spacing w:val="-10"/>
          <w:w w:val="105"/>
        </w:rPr>
        <w:t> </w:t>
      </w:r>
      <w:r>
        <w:rPr>
          <w:color w:val="231F20"/>
          <w:w w:val="105"/>
        </w:rPr>
        <w:t>centavos,</w:t>
      </w:r>
      <w:r>
        <w:rPr>
          <w:color w:val="231F20"/>
          <w:spacing w:val="-16"/>
          <w:w w:val="105"/>
        </w:rPr>
        <w:t> </w:t>
      </w:r>
      <w:r>
        <w:rPr>
          <w:color w:val="231F20"/>
          <w:w w:val="105"/>
        </w:rPr>
        <w:t>pero</w:t>
      </w:r>
      <w:r>
        <w:rPr>
          <w:color w:val="231F20"/>
          <w:spacing w:val="-10"/>
          <w:w w:val="105"/>
        </w:rPr>
        <w:t> </w:t>
      </w:r>
      <w:r>
        <w:rPr>
          <w:color w:val="231F20"/>
          <w:w w:val="105"/>
        </w:rPr>
        <w:t>son</w:t>
      </w:r>
      <w:r>
        <w:rPr>
          <w:color w:val="231F20"/>
          <w:spacing w:val="-10"/>
          <w:w w:val="105"/>
        </w:rPr>
        <w:t> </w:t>
      </w:r>
      <w:r>
        <w:rPr>
          <w:color w:val="231F20"/>
          <w:w w:val="105"/>
        </w:rPr>
        <w:t>más</w:t>
      </w:r>
      <w:r>
        <w:rPr>
          <w:color w:val="231F20"/>
          <w:spacing w:val="-10"/>
          <w:w w:val="105"/>
        </w:rPr>
        <w:t> </w:t>
      </w:r>
      <w:r>
        <w:rPr>
          <w:color w:val="231F20"/>
          <w:w w:val="105"/>
        </w:rPr>
        <w:t>variables</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curtosis</w:t>
      </w:r>
      <w:r>
        <w:rPr>
          <w:color w:val="231F20"/>
          <w:spacing w:val="-10"/>
          <w:w w:val="105"/>
        </w:rPr>
        <w:t> </w:t>
      </w:r>
      <w:r>
        <w:rPr>
          <w:color w:val="231F20"/>
          <w:w w:val="105"/>
        </w:rPr>
        <w:t>negativa que</w:t>
      </w:r>
      <w:r>
        <w:rPr>
          <w:color w:val="231F20"/>
          <w:spacing w:val="-14"/>
          <w:w w:val="105"/>
        </w:rPr>
        <w:t> </w:t>
      </w:r>
      <w:r>
        <w:rPr>
          <w:color w:val="231F20"/>
          <w:w w:val="105"/>
        </w:rPr>
        <w:t>presentan.</w:t>
      </w:r>
    </w:p>
    <w:p>
      <w:pPr>
        <w:pStyle w:val="BodyText"/>
        <w:spacing w:line="259" w:lineRule="auto"/>
        <w:ind w:left="103" w:right="114" w:firstLine="567"/>
        <w:jc w:val="both"/>
      </w:pPr>
      <w:r>
        <w:rPr>
          <w:color w:val="231F20"/>
          <w:w w:val="105"/>
        </w:rPr>
        <w:t>En</w:t>
      </w:r>
      <w:r>
        <w:rPr>
          <w:color w:val="231F20"/>
          <w:spacing w:val="-25"/>
          <w:w w:val="105"/>
        </w:rPr>
        <w:t> </w:t>
      </w:r>
      <w:r>
        <w:rPr>
          <w:color w:val="231F20"/>
          <w:w w:val="105"/>
        </w:rPr>
        <w:t>general,</w:t>
      </w:r>
      <w:r>
        <w:rPr>
          <w:color w:val="231F20"/>
          <w:spacing w:val="-30"/>
          <w:w w:val="105"/>
        </w:rPr>
        <w:t> </w:t>
      </w:r>
      <w:r>
        <w:rPr>
          <w:color w:val="231F20"/>
          <w:w w:val="105"/>
        </w:rPr>
        <w:t>se</w:t>
      </w:r>
      <w:r>
        <w:rPr>
          <w:color w:val="231F20"/>
          <w:spacing w:val="-25"/>
          <w:w w:val="105"/>
        </w:rPr>
        <w:t> </w:t>
      </w:r>
      <w:r>
        <w:rPr>
          <w:color w:val="231F20"/>
          <w:w w:val="105"/>
        </w:rPr>
        <w:t>tiene</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precios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opciones</w:t>
      </w:r>
      <w:r>
        <w:rPr>
          <w:color w:val="231F20"/>
          <w:spacing w:val="-25"/>
          <w:w w:val="105"/>
        </w:rPr>
        <w:t> </w:t>
      </w:r>
      <w:r>
        <w:rPr>
          <w:i/>
          <w:color w:val="231F20"/>
          <w:w w:val="105"/>
        </w:rPr>
        <w:t>call</w:t>
      </w:r>
      <w:r>
        <w:rPr>
          <w:i/>
          <w:color w:val="231F20"/>
          <w:spacing w:val="-25"/>
          <w:w w:val="105"/>
        </w:rPr>
        <w:t> </w:t>
      </w:r>
      <w:r>
        <w:rPr>
          <w:color w:val="231F20"/>
          <w:w w:val="105"/>
        </w:rPr>
        <w:t>se</w:t>
      </w:r>
      <w:r>
        <w:rPr>
          <w:color w:val="231F20"/>
          <w:spacing w:val="-25"/>
          <w:w w:val="105"/>
        </w:rPr>
        <w:t> </w:t>
      </w:r>
      <w:r>
        <w:rPr>
          <w:color w:val="231F20"/>
          <w:w w:val="105"/>
        </w:rPr>
        <w:t>reducen conforme se llega a la fecha de vencimiento del contrato, así también cuando los precios de ejercicio (</w:t>
      </w:r>
      <w:r>
        <w:rPr>
          <w:i/>
          <w:color w:val="231F20"/>
          <w:w w:val="105"/>
        </w:rPr>
        <w:t>strike</w:t>
      </w:r>
      <w:r>
        <w:rPr>
          <w:color w:val="231F20"/>
          <w:w w:val="105"/>
        </w:rPr>
        <w:t>) incrementan, siendo de manera inversa para opciones </w:t>
      </w:r>
      <w:r>
        <w:rPr>
          <w:i/>
          <w:color w:val="231F20"/>
          <w:w w:val="105"/>
        </w:rPr>
        <w:t>put</w:t>
      </w:r>
      <w:r>
        <w:rPr>
          <w:color w:val="231F20"/>
          <w:w w:val="105"/>
        </w:rPr>
        <w:t>. Cabe destacar que los resultados</w:t>
      </w:r>
      <w:r>
        <w:rPr>
          <w:color w:val="231F20"/>
          <w:spacing w:val="-40"/>
          <w:w w:val="105"/>
        </w:rPr>
        <w:t> </w:t>
      </w:r>
      <w:r>
        <w:rPr>
          <w:color w:val="231F20"/>
          <w:w w:val="105"/>
        </w:rPr>
        <w:t>obtenidos informan</w:t>
      </w:r>
      <w:r>
        <w:rPr>
          <w:color w:val="231F20"/>
          <w:spacing w:val="-15"/>
          <w:w w:val="105"/>
        </w:rPr>
        <w:t> </w:t>
      </w:r>
      <w:r>
        <w:rPr>
          <w:color w:val="231F20"/>
          <w:w w:val="105"/>
        </w:rPr>
        <w:t>sobre</w:t>
      </w:r>
      <w:r>
        <w:rPr>
          <w:color w:val="231F20"/>
          <w:spacing w:val="-15"/>
          <w:w w:val="105"/>
        </w:rPr>
        <w:t> </w:t>
      </w:r>
      <w:r>
        <w:rPr>
          <w:color w:val="231F20"/>
          <w:w w:val="105"/>
        </w:rPr>
        <w:t>el</w:t>
      </w:r>
      <w:r>
        <w:rPr>
          <w:color w:val="231F20"/>
          <w:spacing w:val="-15"/>
          <w:w w:val="105"/>
        </w:rPr>
        <w:t> </w:t>
      </w:r>
      <w:r>
        <w:rPr>
          <w:color w:val="231F20"/>
          <w:w w:val="105"/>
        </w:rPr>
        <w:t>buen</w:t>
      </w:r>
      <w:r>
        <w:rPr>
          <w:color w:val="231F20"/>
          <w:spacing w:val="-15"/>
          <w:w w:val="105"/>
        </w:rPr>
        <w:t> </w:t>
      </w:r>
      <w:r>
        <w:rPr>
          <w:color w:val="231F20"/>
          <w:w w:val="105"/>
        </w:rPr>
        <w:t>funcionamiento</w:t>
      </w:r>
      <w:r>
        <w:rPr>
          <w:color w:val="231F20"/>
          <w:spacing w:val="-15"/>
          <w:w w:val="105"/>
        </w:rPr>
        <w:t> </w:t>
      </w:r>
      <w:r>
        <w:rPr>
          <w:color w:val="231F20"/>
          <w:w w:val="105"/>
        </w:rPr>
        <w:t>del</w:t>
      </w:r>
      <w:r>
        <w:rPr>
          <w:color w:val="231F20"/>
          <w:spacing w:val="-15"/>
          <w:w w:val="105"/>
        </w:rPr>
        <w:t> </w:t>
      </w:r>
      <w:r>
        <w:rPr>
          <w:color w:val="231F20"/>
          <w:w w:val="105"/>
        </w:rPr>
        <w:t>modelo</w:t>
      </w:r>
      <w:r>
        <w:rPr>
          <w:color w:val="231F20"/>
          <w:spacing w:val="-15"/>
          <w:w w:val="105"/>
        </w:rPr>
        <w:t> </w:t>
      </w:r>
      <w:r>
        <w:rPr>
          <w:color w:val="231F20"/>
          <w:w w:val="105"/>
        </w:rPr>
        <w:t>de</w:t>
      </w:r>
      <w:r>
        <w:rPr>
          <w:color w:val="231F20"/>
          <w:spacing w:val="-15"/>
          <w:w w:val="105"/>
        </w:rPr>
        <w:t> </w:t>
      </w:r>
      <w:r>
        <w:rPr>
          <w:color w:val="231F20"/>
          <w:w w:val="105"/>
        </w:rPr>
        <w:t>Heston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mer- cado</w:t>
      </w:r>
      <w:r>
        <w:rPr>
          <w:color w:val="231F20"/>
          <w:spacing w:val="-24"/>
          <w:w w:val="105"/>
        </w:rPr>
        <w:t> </w:t>
      </w:r>
      <w:r>
        <w:rPr>
          <w:color w:val="231F20"/>
          <w:w w:val="105"/>
        </w:rPr>
        <w:t>mexicano,</w:t>
      </w:r>
      <w:r>
        <w:rPr>
          <w:color w:val="231F20"/>
          <w:spacing w:val="-30"/>
          <w:w w:val="105"/>
        </w:rPr>
        <w:t> </w:t>
      </w:r>
      <w:r>
        <w:rPr>
          <w:color w:val="231F20"/>
          <w:w w:val="105"/>
        </w:rPr>
        <w:t>el</w:t>
      </w:r>
      <w:r>
        <w:rPr>
          <w:color w:val="231F20"/>
          <w:spacing w:val="-24"/>
          <w:w w:val="105"/>
        </w:rPr>
        <w:t> </w:t>
      </w:r>
      <w:r>
        <w:rPr>
          <w:color w:val="231F20"/>
          <w:w w:val="105"/>
        </w:rPr>
        <w:t>cual</w:t>
      </w:r>
      <w:r>
        <w:rPr>
          <w:color w:val="231F20"/>
          <w:spacing w:val="-24"/>
          <w:w w:val="105"/>
        </w:rPr>
        <w:t> </w:t>
      </w:r>
      <w:r>
        <w:rPr>
          <w:color w:val="231F20"/>
          <w:w w:val="105"/>
        </w:rPr>
        <w:t>otorga</w:t>
      </w:r>
      <w:r>
        <w:rPr>
          <w:color w:val="231F20"/>
          <w:spacing w:val="-24"/>
          <w:w w:val="105"/>
        </w:rPr>
        <w:t> </w:t>
      </w:r>
      <w:r>
        <w:rPr>
          <w:color w:val="231F20"/>
          <w:w w:val="105"/>
        </w:rPr>
        <w:t>precios</w:t>
      </w:r>
      <w:r>
        <w:rPr>
          <w:color w:val="231F20"/>
          <w:spacing w:val="-24"/>
          <w:w w:val="105"/>
        </w:rPr>
        <w:t> </w:t>
      </w:r>
      <w:r>
        <w:rPr>
          <w:color w:val="231F20"/>
          <w:w w:val="105"/>
        </w:rPr>
        <w:t>teóricos</w:t>
      </w:r>
      <w:r>
        <w:rPr>
          <w:color w:val="231F20"/>
          <w:spacing w:val="-24"/>
          <w:w w:val="105"/>
        </w:rPr>
        <w:t> </w:t>
      </w:r>
      <w:r>
        <w:rPr>
          <w:color w:val="231F20"/>
          <w:w w:val="105"/>
        </w:rPr>
        <w:t>con</w:t>
      </w:r>
      <w:r>
        <w:rPr>
          <w:color w:val="231F20"/>
          <w:spacing w:val="-24"/>
          <w:w w:val="105"/>
        </w:rPr>
        <w:t> </w:t>
      </w:r>
      <w:r>
        <w:rPr>
          <w:color w:val="231F20"/>
          <w:w w:val="105"/>
        </w:rPr>
        <w:t>valores</w:t>
      </w:r>
      <w:r>
        <w:rPr>
          <w:color w:val="231F20"/>
          <w:spacing w:val="-24"/>
          <w:w w:val="105"/>
        </w:rPr>
        <w:t> </w:t>
      </w:r>
      <w:r>
        <w:rPr>
          <w:color w:val="231F20"/>
          <w:w w:val="105"/>
        </w:rPr>
        <w:t>más</w:t>
      </w:r>
      <w:r>
        <w:rPr>
          <w:color w:val="231F20"/>
          <w:spacing w:val="-24"/>
          <w:w w:val="105"/>
        </w:rPr>
        <w:t> </w:t>
      </w:r>
      <w:r>
        <w:rPr>
          <w:color w:val="231F20"/>
          <w:w w:val="105"/>
        </w:rPr>
        <w:t>próximos a</w:t>
      </w:r>
      <w:r>
        <w:rPr>
          <w:color w:val="231F20"/>
          <w:spacing w:val="-13"/>
          <w:w w:val="105"/>
        </w:rPr>
        <w:t> </w:t>
      </w:r>
      <w:r>
        <w:rPr>
          <w:color w:val="231F20"/>
          <w:w w:val="105"/>
        </w:rPr>
        <w:t>los</w:t>
      </w:r>
      <w:r>
        <w:rPr>
          <w:color w:val="231F20"/>
          <w:spacing w:val="-13"/>
          <w:w w:val="105"/>
        </w:rPr>
        <w:t> </w:t>
      </w:r>
      <w:r>
        <w:rPr>
          <w:color w:val="231F20"/>
          <w:w w:val="105"/>
        </w:rPr>
        <w:t>del</w:t>
      </w:r>
      <w:r>
        <w:rPr>
          <w:color w:val="231F20"/>
          <w:spacing w:val="-13"/>
          <w:w w:val="105"/>
        </w:rPr>
        <w:t> </w:t>
      </w:r>
      <w:r>
        <w:rPr>
          <w:color w:val="231F20"/>
          <w:w w:val="105"/>
        </w:rPr>
        <w:t>mercado</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obtenidos</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modelo</w:t>
      </w:r>
      <w:r>
        <w:rPr>
          <w:color w:val="231F20"/>
          <w:spacing w:val="-13"/>
          <w:w w:val="105"/>
        </w:rPr>
        <w:t> </w:t>
      </w:r>
      <w:r>
        <w:rPr>
          <w:color w:val="231F20"/>
          <w:w w:val="105"/>
        </w:rPr>
        <w:t>de</w:t>
      </w:r>
      <w:r>
        <w:rPr>
          <w:color w:val="231F20"/>
          <w:spacing w:val="-13"/>
          <w:w w:val="105"/>
        </w:rPr>
        <w:t> </w:t>
      </w:r>
      <w:r>
        <w:rPr>
          <w:color w:val="231F20"/>
          <w:w w:val="105"/>
        </w:rPr>
        <w:t>Black-Scholes.</w:t>
      </w:r>
    </w:p>
    <w:p>
      <w:pPr>
        <w:pStyle w:val="BodyText"/>
        <w:rPr>
          <w:sz w:val="20"/>
        </w:rPr>
      </w:pPr>
    </w:p>
    <w:p>
      <w:pPr>
        <w:pStyle w:val="BodyText"/>
        <w:spacing w:before="7"/>
        <w:rPr>
          <w:sz w:val="18"/>
        </w:rPr>
      </w:pPr>
    </w:p>
    <w:p>
      <w:pPr>
        <w:pStyle w:val="Heading2"/>
        <w:ind w:left="103"/>
      </w:pPr>
      <w:r>
        <w:rPr>
          <w:color w:val="231F20"/>
        </w:rPr>
        <w:t>Conclusiones</w:t>
      </w:r>
    </w:p>
    <w:p>
      <w:pPr>
        <w:pStyle w:val="BodyText"/>
        <w:rPr>
          <w:b/>
          <w:sz w:val="22"/>
        </w:rPr>
      </w:pPr>
    </w:p>
    <w:p>
      <w:pPr>
        <w:pStyle w:val="BodyText"/>
        <w:spacing w:line="259" w:lineRule="auto" w:before="160"/>
        <w:ind w:left="103" w:right="115"/>
        <w:jc w:val="both"/>
      </w:pPr>
      <w:r>
        <w:rPr>
          <w:color w:val="231F20"/>
          <w:w w:val="105"/>
        </w:rPr>
        <w:t>Utilizando</w:t>
      </w:r>
      <w:r>
        <w:rPr>
          <w:color w:val="231F20"/>
          <w:spacing w:val="-14"/>
          <w:w w:val="105"/>
        </w:rPr>
        <w:t> </w:t>
      </w:r>
      <w:r>
        <w:rPr>
          <w:color w:val="231F20"/>
          <w:w w:val="105"/>
        </w:rPr>
        <w:t>una</w:t>
      </w:r>
      <w:r>
        <w:rPr>
          <w:color w:val="231F20"/>
          <w:spacing w:val="-14"/>
          <w:w w:val="105"/>
        </w:rPr>
        <w:t> </w:t>
      </w:r>
      <w:r>
        <w:rPr>
          <w:color w:val="231F20"/>
          <w:w w:val="105"/>
        </w:rPr>
        <w:t>muestra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opciones</w:t>
      </w:r>
      <w:r>
        <w:rPr>
          <w:color w:val="231F20"/>
          <w:spacing w:val="-14"/>
          <w:w w:val="105"/>
        </w:rPr>
        <w:t> </w:t>
      </w:r>
      <w:r>
        <w:rPr>
          <w:color w:val="231F20"/>
          <w:w w:val="105"/>
        </w:rPr>
        <w:t>sobre</w:t>
      </w:r>
      <w:r>
        <w:rPr>
          <w:color w:val="231F20"/>
          <w:spacing w:val="-14"/>
          <w:w w:val="105"/>
        </w:rPr>
        <w:t> </w:t>
      </w:r>
      <w:r>
        <w:rPr>
          <w:color w:val="231F20"/>
          <w:w w:val="105"/>
        </w:rPr>
        <w:t>divisas</w:t>
      </w:r>
      <w:r>
        <w:rPr>
          <w:color w:val="231F20"/>
          <w:spacing w:val="-14"/>
          <w:w w:val="105"/>
        </w:rPr>
        <w:t> </w:t>
      </w:r>
      <w:r>
        <w:rPr>
          <w:color w:val="231F20"/>
          <w:w w:val="105"/>
        </w:rPr>
        <w:t>del</w:t>
      </w:r>
      <w:r>
        <w:rPr>
          <w:color w:val="231F20"/>
          <w:spacing w:val="-14"/>
          <w:w w:val="105"/>
        </w:rPr>
        <w:t> </w:t>
      </w:r>
      <w:r>
        <w:rPr>
          <w:color w:val="231F20"/>
          <w:w w:val="105"/>
        </w:rPr>
        <w:t>MexDer</w:t>
      </w:r>
      <w:r>
        <w:rPr>
          <w:color w:val="231F20"/>
          <w:spacing w:val="-14"/>
          <w:w w:val="105"/>
        </w:rPr>
        <w:t> </w:t>
      </w:r>
      <w:r>
        <w:rPr>
          <w:color w:val="231F20"/>
          <w:w w:val="105"/>
        </w:rPr>
        <w:t>se</w:t>
      </w:r>
      <w:r>
        <w:rPr>
          <w:color w:val="231F20"/>
          <w:spacing w:val="-14"/>
          <w:w w:val="105"/>
        </w:rPr>
        <w:t> </w:t>
      </w:r>
      <w:r>
        <w:rPr>
          <w:color w:val="231F20"/>
          <w:w w:val="105"/>
        </w:rPr>
        <w:t>en- contró que teniendo en cuenta la asimetría y la curtosis del activo sub- yacente, mejora significativamente la exactitud de la valoración de los precios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opciones</w:t>
      </w:r>
      <w:r>
        <w:rPr>
          <w:color w:val="231F20"/>
          <w:spacing w:val="-15"/>
          <w:w w:val="105"/>
        </w:rPr>
        <w:t> </w:t>
      </w:r>
      <w:r>
        <w:rPr>
          <w:color w:val="231F20"/>
          <w:w w:val="105"/>
        </w:rPr>
        <w:t>especialmente</w:t>
      </w:r>
      <w:r>
        <w:rPr>
          <w:color w:val="231F20"/>
          <w:spacing w:val="-15"/>
          <w:w w:val="105"/>
        </w:rPr>
        <w:t> </w:t>
      </w:r>
      <w:r>
        <w:rPr>
          <w:color w:val="231F20"/>
          <w:w w:val="105"/>
        </w:rPr>
        <w:t>para</w:t>
      </w:r>
      <w:r>
        <w:rPr>
          <w:color w:val="231F20"/>
          <w:spacing w:val="-15"/>
          <w:w w:val="105"/>
        </w:rPr>
        <w:t> </w:t>
      </w:r>
      <w:r>
        <w:rPr>
          <w:color w:val="231F20"/>
          <w:w w:val="105"/>
        </w:rPr>
        <w:t>opciones</w:t>
      </w:r>
      <w:r>
        <w:rPr>
          <w:color w:val="231F20"/>
          <w:spacing w:val="-15"/>
          <w:w w:val="105"/>
        </w:rPr>
        <w:t> </w:t>
      </w:r>
      <w:r>
        <w:rPr>
          <w:color w:val="231F20"/>
          <w:w w:val="105"/>
        </w:rPr>
        <w:t>fuera</w:t>
      </w:r>
      <w:r>
        <w:rPr>
          <w:color w:val="231F20"/>
          <w:spacing w:val="-15"/>
          <w:w w:val="105"/>
        </w:rPr>
        <w:t> </w:t>
      </w:r>
      <w:r>
        <w:rPr>
          <w:color w:val="231F20"/>
          <w:w w:val="105"/>
        </w:rPr>
        <w:t>del</w:t>
      </w:r>
      <w:r>
        <w:rPr>
          <w:color w:val="231F20"/>
          <w:spacing w:val="-15"/>
          <w:w w:val="105"/>
        </w:rPr>
        <w:t> </w:t>
      </w:r>
      <w:r>
        <w:rPr>
          <w:color w:val="231F20"/>
          <w:w w:val="105"/>
        </w:rPr>
        <w:t>dinero.</w:t>
      </w:r>
    </w:p>
    <w:p>
      <w:pPr>
        <w:pStyle w:val="BodyText"/>
        <w:spacing w:line="259" w:lineRule="auto"/>
        <w:ind w:left="103" w:right="109" w:firstLine="567"/>
        <w:jc w:val="both"/>
      </w:pPr>
      <w:r>
        <w:rPr>
          <w:color w:val="231F20"/>
          <w:w w:val="105"/>
        </w:rPr>
        <w:t>Ante</w:t>
      </w:r>
      <w:r>
        <w:rPr>
          <w:color w:val="231F20"/>
          <w:spacing w:val="-15"/>
          <w:w w:val="105"/>
        </w:rPr>
        <w:t> </w:t>
      </w:r>
      <w:r>
        <w:rPr>
          <w:color w:val="231F20"/>
          <w:w w:val="105"/>
        </w:rPr>
        <w:t>esto,</w:t>
      </w:r>
      <w:r>
        <w:rPr>
          <w:color w:val="231F20"/>
          <w:spacing w:val="-20"/>
          <w:w w:val="105"/>
        </w:rPr>
        <w:t> </w:t>
      </w:r>
      <w:r>
        <w:rPr>
          <w:color w:val="231F20"/>
          <w:w w:val="105"/>
        </w:rPr>
        <w:t>se</w:t>
      </w:r>
      <w:r>
        <w:rPr>
          <w:color w:val="231F20"/>
          <w:spacing w:val="-15"/>
          <w:w w:val="105"/>
        </w:rPr>
        <w:t> </w:t>
      </w:r>
      <w:r>
        <w:rPr>
          <w:color w:val="231F20"/>
          <w:w w:val="105"/>
        </w:rPr>
        <w:t>tienen</w:t>
      </w:r>
      <w:r>
        <w:rPr>
          <w:color w:val="231F20"/>
          <w:spacing w:val="-15"/>
          <w:w w:val="105"/>
        </w:rPr>
        <w:t> </w:t>
      </w:r>
      <w:r>
        <w:rPr>
          <w:color w:val="231F20"/>
          <w:w w:val="105"/>
        </w:rPr>
        <w:t>dos</w:t>
      </w:r>
      <w:r>
        <w:rPr>
          <w:color w:val="231F20"/>
          <w:spacing w:val="-15"/>
          <w:w w:val="105"/>
        </w:rPr>
        <w:t> </w:t>
      </w:r>
      <w:r>
        <w:rPr>
          <w:color w:val="231F20"/>
          <w:w w:val="105"/>
        </w:rPr>
        <w:t>aportaciones</w:t>
      </w:r>
      <w:r>
        <w:rPr>
          <w:color w:val="231F20"/>
          <w:spacing w:val="-15"/>
          <w:w w:val="105"/>
        </w:rPr>
        <w:t> </w:t>
      </w:r>
      <w:r>
        <w:rPr>
          <w:color w:val="231F20"/>
          <w:w w:val="105"/>
        </w:rPr>
        <w:t>importantes</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trabajo. </w:t>
      </w:r>
      <w:r>
        <w:rPr>
          <w:color w:val="231F20"/>
          <w:spacing w:val="-3"/>
          <w:w w:val="105"/>
        </w:rPr>
        <w:t>Primero,</w:t>
      </w:r>
      <w:r>
        <w:rPr>
          <w:color w:val="231F20"/>
          <w:spacing w:val="-24"/>
          <w:w w:val="105"/>
        </w:rPr>
        <w:t> </w:t>
      </w:r>
      <w:r>
        <w:rPr>
          <w:color w:val="231F20"/>
          <w:w w:val="105"/>
        </w:rPr>
        <w:t>la</w:t>
      </w:r>
      <w:r>
        <w:rPr>
          <w:color w:val="231F20"/>
          <w:spacing w:val="-18"/>
          <w:w w:val="105"/>
        </w:rPr>
        <w:t> </w:t>
      </w:r>
      <w:r>
        <w:rPr>
          <w:color w:val="231F20"/>
          <w:w w:val="105"/>
        </w:rPr>
        <w:t>estimación</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parámetros</w:t>
      </w:r>
      <w:r>
        <w:rPr>
          <w:color w:val="231F20"/>
          <w:spacing w:val="-18"/>
          <w:w w:val="105"/>
        </w:rPr>
        <w:t> </w:t>
      </w:r>
      <w:r>
        <w:rPr>
          <w:color w:val="231F20"/>
          <w:w w:val="105"/>
        </w:rPr>
        <w:t>del</w:t>
      </w:r>
      <w:r>
        <w:rPr>
          <w:color w:val="231F20"/>
          <w:spacing w:val="-18"/>
          <w:w w:val="105"/>
        </w:rPr>
        <w:t> </w:t>
      </w:r>
      <w:r>
        <w:rPr>
          <w:color w:val="231F20"/>
          <w:w w:val="105"/>
        </w:rPr>
        <w:t>modelo</w:t>
      </w:r>
      <w:r>
        <w:rPr>
          <w:color w:val="231F20"/>
          <w:spacing w:val="-18"/>
          <w:w w:val="105"/>
        </w:rPr>
        <w:t> </w:t>
      </w:r>
      <w:r>
        <w:rPr>
          <w:color w:val="231F20"/>
          <w:w w:val="105"/>
        </w:rPr>
        <w:t>de</w:t>
      </w:r>
      <w:r>
        <w:rPr>
          <w:color w:val="231F20"/>
          <w:spacing w:val="-18"/>
          <w:w w:val="105"/>
        </w:rPr>
        <w:t> </w:t>
      </w:r>
      <w:r>
        <w:rPr>
          <w:color w:val="231F20"/>
          <w:w w:val="105"/>
        </w:rPr>
        <w:t>Heston</w:t>
      </w:r>
      <w:r>
        <w:rPr>
          <w:color w:val="231F20"/>
          <w:spacing w:val="-18"/>
          <w:w w:val="105"/>
        </w:rPr>
        <w:t> </w:t>
      </w:r>
      <w:r>
        <w:rPr>
          <w:color w:val="231F20"/>
          <w:w w:val="105"/>
        </w:rPr>
        <w:t>que</w:t>
      </w:r>
      <w:r>
        <w:rPr>
          <w:color w:val="231F20"/>
          <w:spacing w:val="-18"/>
          <w:w w:val="105"/>
        </w:rPr>
        <w:t> </w:t>
      </w:r>
      <w:r>
        <w:rPr>
          <w:color w:val="231F20"/>
          <w:w w:val="105"/>
        </w:rPr>
        <w:t>con- sidera volatilidad estocástica por medio del algoritmo Nelder-Mead,</w:t>
      </w:r>
      <w:r>
        <w:rPr>
          <w:color w:val="231F20"/>
          <w:spacing w:val="-38"/>
          <w:w w:val="105"/>
        </w:rPr>
        <w:t> </w:t>
      </w:r>
      <w:r>
        <w:rPr>
          <w:color w:val="231F20"/>
          <w:w w:val="105"/>
        </w:rPr>
        <w:t>ob- teniendo resultados consistentes y calibrados para la obtención de</w:t>
      </w:r>
      <w:r>
        <w:rPr>
          <w:color w:val="231F20"/>
          <w:spacing w:val="-24"/>
          <w:w w:val="105"/>
        </w:rPr>
        <w:t> </w:t>
      </w:r>
      <w:r>
        <w:rPr>
          <w:color w:val="231F20"/>
          <w:w w:val="105"/>
        </w:rPr>
        <w:t>una prima más justa de la opción.En segundo lugar, se valuaron precios</w:t>
      </w:r>
      <w:r>
        <w:rPr>
          <w:color w:val="231F20"/>
          <w:spacing w:val="-29"/>
          <w:w w:val="105"/>
        </w:rPr>
        <w:t> </w:t>
      </w:r>
      <w:r>
        <w:rPr>
          <w:color w:val="231F20"/>
          <w:w w:val="105"/>
        </w:rPr>
        <w:t>de opciones</w:t>
      </w:r>
      <w:r>
        <w:rPr>
          <w:color w:val="231F20"/>
          <w:spacing w:val="-16"/>
          <w:w w:val="105"/>
        </w:rPr>
        <w:t> </w:t>
      </w:r>
      <w:r>
        <w:rPr>
          <w:color w:val="231F20"/>
          <w:w w:val="105"/>
        </w:rPr>
        <w:t>sobre</w:t>
      </w:r>
      <w:r>
        <w:rPr>
          <w:color w:val="231F20"/>
          <w:spacing w:val="-16"/>
          <w:w w:val="105"/>
        </w:rPr>
        <w:t> </w:t>
      </w:r>
      <w:r>
        <w:rPr>
          <w:color w:val="231F20"/>
          <w:w w:val="105"/>
        </w:rPr>
        <w:t>divisas</w:t>
      </w:r>
      <w:r>
        <w:rPr>
          <w:color w:val="231F20"/>
          <w:spacing w:val="-16"/>
          <w:w w:val="105"/>
        </w:rPr>
        <w:t> </w:t>
      </w:r>
      <w:r>
        <w:rPr>
          <w:color w:val="231F20"/>
          <w:w w:val="105"/>
        </w:rPr>
        <w:t>peso</w:t>
      </w:r>
      <w:r>
        <w:rPr>
          <w:color w:val="231F20"/>
          <w:spacing w:val="-16"/>
          <w:w w:val="105"/>
        </w:rPr>
        <w:t> </w:t>
      </w:r>
      <w:r>
        <w:rPr>
          <w:color w:val="231F20"/>
          <w:w w:val="105"/>
        </w:rPr>
        <w:t>mexicano-dólar</w:t>
      </w:r>
      <w:r>
        <w:rPr>
          <w:color w:val="231F20"/>
          <w:spacing w:val="-16"/>
          <w:w w:val="105"/>
        </w:rPr>
        <w:t> </w:t>
      </w:r>
      <w:r>
        <w:rPr>
          <w:color w:val="231F20"/>
          <w:w w:val="105"/>
        </w:rPr>
        <w:t>estadounidense</w:t>
      </w:r>
      <w:r>
        <w:rPr>
          <w:color w:val="231F20"/>
          <w:spacing w:val="-16"/>
          <w:w w:val="105"/>
        </w:rPr>
        <w:t> </w:t>
      </w:r>
      <w:r>
        <w:rPr>
          <w:color w:val="231F20"/>
          <w:w w:val="105"/>
        </w:rPr>
        <w:t>que</w:t>
      </w:r>
      <w:r>
        <w:rPr>
          <w:color w:val="231F20"/>
          <w:spacing w:val="-16"/>
          <w:w w:val="105"/>
        </w:rPr>
        <w:t> </w:t>
      </w:r>
      <w:r>
        <w:rPr>
          <w:color w:val="231F20"/>
          <w:w w:val="105"/>
        </w:rPr>
        <w:t>cotiza en</w:t>
      </w:r>
      <w:r>
        <w:rPr>
          <w:color w:val="231F20"/>
          <w:spacing w:val="-29"/>
          <w:w w:val="105"/>
        </w:rPr>
        <w:t> </w:t>
      </w:r>
      <w:r>
        <w:rPr>
          <w:color w:val="231F20"/>
          <w:w w:val="105"/>
        </w:rPr>
        <w:t>el</w:t>
      </w:r>
      <w:r>
        <w:rPr>
          <w:color w:val="231F20"/>
          <w:spacing w:val="-29"/>
          <w:w w:val="105"/>
        </w:rPr>
        <w:t> </w:t>
      </w:r>
      <w:r>
        <w:rPr>
          <w:color w:val="231F20"/>
          <w:w w:val="105"/>
        </w:rPr>
        <w:t>MexDer</w:t>
      </w:r>
      <w:r>
        <w:rPr>
          <w:color w:val="231F20"/>
          <w:spacing w:val="-29"/>
          <w:w w:val="105"/>
        </w:rPr>
        <w:t> </w:t>
      </w:r>
      <w:r>
        <w:rPr>
          <w:color w:val="231F20"/>
          <w:w w:val="105"/>
        </w:rPr>
        <w:t>a</w:t>
      </w:r>
      <w:r>
        <w:rPr>
          <w:color w:val="231F20"/>
          <w:spacing w:val="-29"/>
          <w:w w:val="105"/>
        </w:rPr>
        <w:t> </w:t>
      </w:r>
      <w:r>
        <w:rPr>
          <w:color w:val="231F20"/>
          <w:w w:val="105"/>
        </w:rPr>
        <w:t>través</w:t>
      </w:r>
      <w:r>
        <w:rPr>
          <w:color w:val="231F20"/>
          <w:spacing w:val="-29"/>
          <w:w w:val="105"/>
        </w:rPr>
        <w:t> </w:t>
      </w:r>
      <w:r>
        <w:rPr>
          <w:color w:val="231F20"/>
          <w:w w:val="105"/>
        </w:rPr>
        <w:t>del</w:t>
      </w:r>
      <w:r>
        <w:rPr>
          <w:color w:val="231F20"/>
          <w:spacing w:val="-29"/>
          <w:w w:val="105"/>
        </w:rPr>
        <w:t> </w:t>
      </w:r>
      <w:r>
        <w:rPr>
          <w:color w:val="231F20"/>
          <w:w w:val="105"/>
        </w:rPr>
        <w:t>modelo</w:t>
      </w:r>
      <w:r>
        <w:rPr>
          <w:color w:val="231F20"/>
          <w:spacing w:val="-29"/>
          <w:w w:val="105"/>
        </w:rPr>
        <w:t> </w:t>
      </w:r>
      <w:r>
        <w:rPr>
          <w:color w:val="231F20"/>
          <w:w w:val="105"/>
        </w:rPr>
        <w:t>de</w:t>
      </w:r>
      <w:r>
        <w:rPr>
          <w:color w:val="231F20"/>
          <w:spacing w:val="-29"/>
          <w:w w:val="105"/>
        </w:rPr>
        <w:t> </w:t>
      </w:r>
      <w:r>
        <w:rPr>
          <w:color w:val="231F20"/>
          <w:w w:val="105"/>
        </w:rPr>
        <w:t>Black-Scholes</w:t>
      </w:r>
      <w:r>
        <w:rPr>
          <w:color w:val="231F20"/>
          <w:spacing w:val="-29"/>
          <w:w w:val="105"/>
        </w:rPr>
        <w:t> </w:t>
      </w:r>
      <w:r>
        <w:rPr>
          <w:color w:val="231F20"/>
          <w:w w:val="105"/>
        </w:rPr>
        <w:t>(1973)</w:t>
      </w:r>
      <w:r>
        <w:rPr>
          <w:color w:val="231F20"/>
          <w:spacing w:val="-29"/>
          <w:w w:val="105"/>
        </w:rPr>
        <w:t> </w:t>
      </w:r>
      <w:r>
        <w:rPr>
          <w:color w:val="231F20"/>
          <w:w w:val="105"/>
        </w:rPr>
        <w:t>con</w:t>
      </w:r>
      <w:r>
        <w:rPr>
          <w:color w:val="231F20"/>
          <w:spacing w:val="-29"/>
          <w:w w:val="105"/>
        </w:rPr>
        <w:t> </w:t>
      </w:r>
      <w:r>
        <w:rPr>
          <w:color w:val="231F20"/>
          <w:w w:val="105"/>
        </w:rPr>
        <w:t>volatilidad constante</w:t>
      </w:r>
      <w:r>
        <w:rPr>
          <w:color w:val="231F20"/>
          <w:spacing w:val="-25"/>
          <w:w w:val="105"/>
        </w:rPr>
        <w:t> </w:t>
      </w:r>
      <w:r>
        <w:rPr>
          <w:color w:val="231F20"/>
          <w:w w:val="105"/>
        </w:rPr>
        <w:t>y</w:t>
      </w:r>
      <w:r>
        <w:rPr>
          <w:color w:val="231F20"/>
          <w:spacing w:val="-25"/>
          <w:w w:val="105"/>
        </w:rPr>
        <w:t> </w:t>
      </w:r>
      <w:r>
        <w:rPr>
          <w:color w:val="231F20"/>
          <w:w w:val="105"/>
        </w:rPr>
        <w:t>del</w:t>
      </w:r>
      <w:r>
        <w:rPr>
          <w:color w:val="231F20"/>
          <w:spacing w:val="-25"/>
          <w:w w:val="105"/>
        </w:rPr>
        <w:t> </w:t>
      </w:r>
      <w:r>
        <w:rPr>
          <w:color w:val="231F20"/>
          <w:w w:val="105"/>
        </w:rPr>
        <w:t>modelo</w:t>
      </w:r>
      <w:r>
        <w:rPr>
          <w:color w:val="231F20"/>
          <w:spacing w:val="-25"/>
          <w:w w:val="105"/>
        </w:rPr>
        <w:t> </w:t>
      </w:r>
      <w:r>
        <w:rPr>
          <w:color w:val="231F20"/>
          <w:w w:val="105"/>
        </w:rPr>
        <w:t>de</w:t>
      </w:r>
      <w:r>
        <w:rPr>
          <w:color w:val="231F20"/>
          <w:spacing w:val="-25"/>
          <w:w w:val="105"/>
        </w:rPr>
        <w:t> </w:t>
      </w:r>
      <w:r>
        <w:rPr>
          <w:color w:val="231F20"/>
          <w:w w:val="105"/>
        </w:rPr>
        <w:t>Heston</w:t>
      </w:r>
      <w:r>
        <w:rPr>
          <w:color w:val="231F20"/>
          <w:spacing w:val="-25"/>
          <w:w w:val="105"/>
        </w:rPr>
        <w:t> </w:t>
      </w:r>
      <w:r>
        <w:rPr>
          <w:color w:val="231F20"/>
          <w:w w:val="105"/>
        </w:rPr>
        <w:t>(1993)</w:t>
      </w:r>
      <w:r>
        <w:rPr>
          <w:color w:val="231F20"/>
          <w:spacing w:val="-25"/>
          <w:w w:val="105"/>
        </w:rPr>
        <w:t> </w:t>
      </w:r>
      <w:r>
        <w:rPr>
          <w:color w:val="231F20"/>
          <w:w w:val="105"/>
        </w:rPr>
        <w:t>con</w:t>
      </w:r>
      <w:r>
        <w:rPr>
          <w:color w:val="231F20"/>
          <w:spacing w:val="-25"/>
          <w:w w:val="105"/>
        </w:rPr>
        <w:t> </w:t>
      </w:r>
      <w:r>
        <w:rPr>
          <w:color w:val="231F20"/>
          <w:w w:val="105"/>
        </w:rPr>
        <w:t>volatilidad</w:t>
      </w:r>
      <w:r>
        <w:rPr>
          <w:color w:val="231F20"/>
          <w:spacing w:val="-25"/>
          <w:w w:val="105"/>
        </w:rPr>
        <w:t> </w:t>
      </w:r>
      <w:r>
        <w:rPr>
          <w:color w:val="231F20"/>
          <w:w w:val="105"/>
        </w:rPr>
        <w:t>estocástica</w:t>
      </w:r>
      <w:r>
        <w:rPr>
          <w:color w:val="231F20"/>
          <w:spacing w:val="-25"/>
          <w:w w:val="105"/>
        </w:rPr>
        <w:t> </w:t>
      </w:r>
      <w:r>
        <w:rPr>
          <w:color w:val="231F20"/>
          <w:w w:val="105"/>
        </w:rPr>
        <w:t>para verificar</w:t>
      </w:r>
      <w:r>
        <w:rPr>
          <w:color w:val="231F20"/>
          <w:spacing w:val="-36"/>
          <w:w w:val="105"/>
        </w:rPr>
        <w:t> </w:t>
      </w:r>
      <w:r>
        <w:rPr>
          <w:color w:val="231F20"/>
          <w:w w:val="105"/>
        </w:rPr>
        <w:t>su</w:t>
      </w:r>
      <w:r>
        <w:rPr>
          <w:color w:val="231F20"/>
          <w:spacing w:val="-36"/>
          <w:w w:val="105"/>
        </w:rPr>
        <w:t> </w:t>
      </w:r>
      <w:r>
        <w:rPr>
          <w:color w:val="231F20"/>
          <w:w w:val="105"/>
        </w:rPr>
        <w:t>eficiencia.</w:t>
      </w:r>
    </w:p>
    <w:p>
      <w:pPr>
        <w:pStyle w:val="BodyText"/>
        <w:spacing w:line="259" w:lineRule="auto"/>
        <w:ind w:left="103" w:right="114" w:firstLine="567"/>
        <w:jc w:val="both"/>
      </w:pPr>
      <w:r>
        <w:rPr>
          <w:color w:val="231F20"/>
          <w:w w:val="105"/>
        </w:rPr>
        <w:t>Respecto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parámetros</w:t>
      </w:r>
      <w:r>
        <w:rPr>
          <w:color w:val="231F20"/>
          <w:spacing w:val="-13"/>
          <w:w w:val="105"/>
        </w:rPr>
        <w:t> </w:t>
      </w:r>
      <w:r>
        <w:rPr>
          <w:color w:val="231F20"/>
          <w:w w:val="105"/>
        </w:rPr>
        <w:t>estimados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modelo</w:t>
      </w:r>
      <w:r>
        <w:rPr>
          <w:color w:val="231F20"/>
          <w:spacing w:val="-13"/>
          <w:w w:val="105"/>
        </w:rPr>
        <w:t> </w:t>
      </w:r>
      <w:r>
        <w:rPr>
          <w:color w:val="231F20"/>
          <w:w w:val="105"/>
        </w:rPr>
        <w:t>de</w:t>
      </w:r>
      <w:r>
        <w:rPr>
          <w:color w:val="231F20"/>
          <w:spacing w:val="-13"/>
          <w:w w:val="105"/>
        </w:rPr>
        <w:t> </w:t>
      </w:r>
      <w:r>
        <w:rPr>
          <w:color w:val="231F20"/>
          <w:w w:val="105"/>
        </w:rPr>
        <w:t>Heston</w:t>
      </w:r>
      <w:r>
        <w:rPr>
          <w:color w:val="231F20"/>
          <w:spacing w:val="-13"/>
          <w:w w:val="105"/>
        </w:rPr>
        <w:t> </w:t>
      </w:r>
      <w:r>
        <w:rPr>
          <w:color w:val="231F20"/>
          <w:w w:val="105"/>
        </w:rPr>
        <w:t>pa- rece</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velocidad</w:t>
      </w:r>
      <w:r>
        <w:rPr>
          <w:color w:val="231F20"/>
          <w:spacing w:val="-12"/>
          <w:w w:val="105"/>
        </w:rPr>
        <w:t> </w:t>
      </w:r>
      <w:r>
        <w:rPr>
          <w:color w:val="231F20"/>
          <w:w w:val="105"/>
        </w:rPr>
        <w:t>de</w:t>
      </w:r>
      <w:r>
        <w:rPr>
          <w:color w:val="231F20"/>
          <w:spacing w:val="-12"/>
          <w:w w:val="105"/>
        </w:rPr>
        <w:t> </w:t>
      </w:r>
      <w:r>
        <w:rPr>
          <w:color w:val="231F20"/>
          <w:w w:val="105"/>
        </w:rPr>
        <w:t>reversión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media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volatilidad</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mer- cado</w:t>
      </w:r>
      <w:r>
        <w:rPr>
          <w:color w:val="231F20"/>
          <w:spacing w:val="-30"/>
          <w:w w:val="105"/>
        </w:rPr>
        <w:t> </w:t>
      </w:r>
      <w:r>
        <w:rPr>
          <w:color w:val="231F20"/>
          <w:w w:val="105"/>
        </w:rPr>
        <w:t>de</w:t>
      </w:r>
      <w:r>
        <w:rPr>
          <w:color w:val="231F20"/>
          <w:spacing w:val="-30"/>
          <w:w w:val="105"/>
        </w:rPr>
        <w:t> </w:t>
      </w:r>
      <w:r>
        <w:rPr>
          <w:color w:val="231F20"/>
          <w:w w:val="105"/>
        </w:rPr>
        <w:t>divisas</w:t>
      </w:r>
      <w:r>
        <w:rPr>
          <w:color w:val="231F20"/>
          <w:spacing w:val="-30"/>
          <w:w w:val="105"/>
        </w:rPr>
        <w:t> </w:t>
      </w:r>
      <w:r>
        <w:rPr>
          <w:color w:val="231F20"/>
          <w:w w:val="105"/>
        </w:rPr>
        <w:t>es</w:t>
      </w:r>
      <w:r>
        <w:rPr>
          <w:color w:val="231F20"/>
          <w:spacing w:val="-30"/>
          <w:w w:val="105"/>
        </w:rPr>
        <w:t> </w:t>
      </w:r>
      <w:r>
        <w:rPr>
          <w:color w:val="231F20"/>
          <w:w w:val="105"/>
        </w:rPr>
        <w:t>más</w:t>
      </w:r>
      <w:r>
        <w:rPr>
          <w:color w:val="231F20"/>
          <w:spacing w:val="-30"/>
          <w:w w:val="105"/>
        </w:rPr>
        <w:t> </w:t>
      </w:r>
      <w:r>
        <w:rPr>
          <w:color w:val="231F20"/>
          <w:w w:val="105"/>
        </w:rPr>
        <w:t>rápida</w:t>
      </w:r>
      <w:r>
        <w:rPr>
          <w:color w:val="231F20"/>
          <w:spacing w:val="-30"/>
          <w:w w:val="105"/>
        </w:rPr>
        <w:t> </w:t>
      </w:r>
      <w:r>
        <w:rPr>
          <w:color w:val="231F20"/>
          <w:w w:val="105"/>
        </w:rPr>
        <w:t>que</w:t>
      </w:r>
      <w:r>
        <w:rPr>
          <w:color w:val="231F20"/>
          <w:spacing w:val="-30"/>
          <w:w w:val="105"/>
        </w:rPr>
        <w:t> </w:t>
      </w:r>
      <w:r>
        <w:rPr>
          <w:color w:val="231F20"/>
          <w:w w:val="105"/>
        </w:rPr>
        <w:t>en</w:t>
      </w:r>
      <w:r>
        <w:rPr>
          <w:color w:val="231F20"/>
          <w:spacing w:val="-30"/>
          <w:w w:val="105"/>
        </w:rPr>
        <w:t> </w:t>
      </w:r>
      <w:r>
        <w:rPr>
          <w:color w:val="231F20"/>
          <w:w w:val="105"/>
        </w:rPr>
        <w:t>los</w:t>
      </w:r>
      <w:r>
        <w:rPr>
          <w:color w:val="231F20"/>
          <w:spacing w:val="-30"/>
          <w:w w:val="105"/>
        </w:rPr>
        <w:t> </w:t>
      </w:r>
      <w:r>
        <w:rPr>
          <w:color w:val="231F20"/>
          <w:w w:val="105"/>
        </w:rPr>
        <w:t>mercados</w:t>
      </w:r>
      <w:r>
        <w:rPr>
          <w:color w:val="231F20"/>
          <w:spacing w:val="-30"/>
          <w:w w:val="105"/>
        </w:rPr>
        <w:t> </w:t>
      </w:r>
      <w:r>
        <w:rPr>
          <w:color w:val="231F20"/>
          <w:w w:val="105"/>
        </w:rPr>
        <w:t>bursátiles</w:t>
      </w:r>
      <w:r>
        <w:rPr>
          <w:color w:val="231F20"/>
          <w:spacing w:val="-30"/>
          <w:w w:val="105"/>
        </w:rPr>
        <w:t> </w:t>
      </w:r>
      <w:r>
        <w:rPr>
          <w:color w:val="231F20"/>
          <w:w w:val="105"/>
        </w:rPr>
        <w:t>propuestos</w:t>
      </w:r>
    </w:p>
    <w:p>
      <w:pPr>
        <w:pStyle w:val="BodyText"/>
        <w:rPr>
          <w:sz w:val="20"/>
        </w:rPr>
      </w:pPr>
    </w:p>
    <w:p>
      <w:pPr>
        <w:pStyle w:val="BodyText"/>
        <w:rPr>
          <w:sz w:val="20"/>
        </w:rPr>
      </w:pPr>
    </w:p>
    <w:p>
      <w:pPr>
        <w:pStyle w:val="BodyText"/>
        <w:rPr>
          <w:sz w:val="19"/>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941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228</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8536"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229</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117" w:right="115"/>
        <w:jc w:val="both"/>
      </w:pPr>
      <w:r>
        <w:rPr>
          <w:color w:val="231F20"/>
          <w:w w:val="105"/>
        </w:rPr>
        <w:t>por</w:t>
      </w:r>
      <w:r>
        <w:rPr>
          <w:color w:val="231F20"/>
          <w:spacing w:val="-11"/>
          <w:w w:val="105"/>
        </w:rPr>
        <w:t> </w:t>
      </w:r>
      <w:r>
        <w:rPr>
          <w:color w:val="231F20"/>
          <w:w w:val="105"/>
        </w:rPr>
        <w:t>Bakshi</w:t>
      </w:r>
      <w:r>
        <w:rPr>
          <w:color w:val="231F20"/>
          <w:spacing w:val="-11"/>
          <w:w w:val="105"/>
        </w:rPr>
        <w:t> </w:t>
      </w:r>
      <w:r>
        <w:rPr>
          <w:i/>
          <w:color w:val="231F20"/>
          <w:w w:val="105"/>
        </w:rPr>
        <w:t>et</w:t>
      </w:r>
      <w:r>
        <w:rPr>
          <w:i/>
          <w:color w:val="231F20"/>
          <w:spacing w:val="-11"/>
          <w:w w:val="105"/>
        </w:rPr>
        <w:t> </w:t>
      </w:r>
      <w:r>
        <w:rPr>
          <w:i/>
          <w:color w:val="231F20"/>
          <w:w w:val="105"/>
        </w:rPr>
        <w:t>al</w:t>
      </w:r>
      <w:r>
        <w:rPr>
          <w:i/>
          <w:color w:val="231F20"/>
          <w:spacing w:val="-11"/>
          <w:w w:val="105"/>
        </w:rPr>
        <w:t> </w:t>
      </w:r>
      <w:r>
        <w:rPr>
          <w:color w:val="231F20"/>
          <w:w w:val="105"/>
        </w:rPr>
        <w:t>(1997)</w:t>
      </w:r>
      <w:r>
        <w:rPr>
          <w:color w:val="231F20"/>
          <w:spacing w:val="-11"/>
          <w:w w:val="105"/>
        </w:rPr>
        <w:t> </w:t>
      </w:r>
      <w:r>
        <w:rPr>
          <w:color w:val="231F20"/>
          <w:w w:val="105"/>
        </w:rPr>
        <w:t>y</w:t>
      </w:r>
      <w:r>
        <w:rPr>
          <w:color w:val="231F20"/>
          <w:spacing w:val="-11"/>
          <w:w w:val="105"/>
        </w:rPr>
        <w:t> </w:t>
      </w:r>
      <w:r>
        <w:rPr>
          <w:color w:val="231F20"/>
          <w:w w:val="105"/>
        </w:rPr>
        <w:t>Bates</w:t>
      </w:r>
      <w:r>
        <w:rPr>
          <w:color w:val="231F20"/>
          <w:spacing w:val="-11"/>
          <w:w w:val="105"/>
        </w:rPr>
        <w:t> </w:t>
      </w:r>
      <w:r>
        <w:rPr>
          <w:color w:val="231F20"/>
          <w:w w:val="105"/>
        </w:rPr>
        <w:t>(2000)</w:t>
      </w:r>
      <w:r>
        <w:rPr>
          <w:color w:val="231F20"/>
          <w:spacing w:val="-11"/>
          <w:w w:val="105"/>
        </w:rPr>
        <w:t> </w:t>
      </w:r>
      <w:r>
        <w:rPr>
          <w:color w:val="231F20"/>
          <w:w w:val="105"/>
        </w:rPr>
        <w:t>para</w:t>
      </w:r>
      <w:r>
        <w:rPr>
          <w:color w:val="231F20"/>
          <w:spacing w:val="-11"/>
          <w:w w:val="105"/>
        </w:rPr>
        <w:t> </w:t>
      </w:r>
      <w:r>
        <w:rPr>
          <w:color w:val="231F20"/>
          <w:w w:val="105"/>
        </w:rPr>
        <w:t>opciones</w:t>
      </w:r>
      <w:r>
        <w:rPr>
          <w:color w:val="231F20"/>
          <w:spacing w:val="-11"/>
          <w:w w:val="105"/>
        </w:rPr>
        <w:t> </w:t>
      </w:r>
      <w:r>
        <w:rPr>
          <w:color w:val="231F20"/>
          <w:w w:val="105"/>
        </w:rPr>
        <w:t>de</w:t>
      </w:r>
      <w:r>
        <w:rPr>
          <w:color w:val="231F20"/>
          <w:spacing w:val="-11"/>
          <w:w w:val="105"/>
        </w:rPr>
        <w:t> </w:t>
      </w:r>
      <w:r>
        <w:rPr>
          <w:color w:val="231F20"/>
          <w:w w:val="105"/>
        </w:rPr>
        <w:t>futuros</w:t>
      </w:r>
      <w:r>
        <w:rPr>
          <w:color w:val="231F20"/>
          <w:spacing w:val="-11"/>
          <w:w w:val="105"/>
        </w:rPr>
        <w:t> </w:t>
      </w:r>
      <w:r>
        <w:rPr>
          <w:color w:val="231F20"/>
          <w:w w:val="105"/>
        </w:rPr>
        <w:t>sobre</w:t>
      </w:r>
      <w:r>
        <w:rPr>
          <w:color w:val="231F20"/>
          <w:spacing w:val="-11"/>
          <w:w w:val="105"/>
        </w:rPr>
        <w:t> </w:t>
      </w:r>
      <w:r>
        <w:rPr>
          <w:color w:val="231F20"/>
          <w:w w:val="105"/>
        </w:rPr>
        <w:t>el índice</w:t>
      </w:r>
      <w:r>
        <w:rPr>
          <w:color w:val="231F20"/>
          <w:spacing w:val="-29"/>
          <w:w w:val="105"/>
        </w:rPr>
        <w:t> </w:t>
      </w:r>
      <w:r>
        <w:rPr>
          <w:color w:val="231F20"/>
          <w:w w:val="105"/>
        </w:rPr>
        <w:t>SyP500.</w:t>
      </w:r>
      <w:r>
        <w:rPr>
          <w:color w:val="231F20"/>
          <w:spacing w:val="-33"/>
          <w:w w:val="105"/>
        </w:rPr>
        <w:t> </w:t>
      </w:r>
      <w:r>
        <w:rPr>
          <w:color w:val="231F20"/>
          <w:w w:val="105"/>
        </w:rPr>
        <w:t>Se</w:t>
      </w:r>
      <w:r>
        <w:rPr>
          <w:color w:val="231F20"/>
          <w:spacing w:val="-29"/>
          <w:w w:val="105"/>
        </w:rPr>
        <w:t> </w:t>
      </w:r>
      <w:r>
        <w:rPr>
          <w:color w:val="231F20"/>
          <w:w w:val="105"/>
        </w:rPr>
        <w:t>considera</w:t>
      </w:r>
      <w:r>
        <w:rPr>
          <w:color w:val="231F20"/>
          <w:spacing w:val="-29"/>
          <w:w w:val="105"/>
        </w:rPr>
        <w:t> </w:t>
      </w:r>
      <w:r>
        <w:rPr>
          <w:color w:val="231F20"/>
          <w:w w:val="105"/>
        </w:rPr>
        <w:t>que</w:t>
      </w:r>
      <w:r>
        <w:rPr>
          <w:color w:val="231F20"/>
          <w:spacing w:val="-29"/>
          <w:w w:val="105"/>
        </w:rPr>
        <w:t> </w:t>
      </w:r>
      <w:r>
        <w:rPr>
          <w:color w:val="231F20"/>
          <w:w w:val="105"/>
        </w:rPr>
        <w:t>la</w:t>
      </w:r>
      <w:r>
        <w:rPr>
          <w:color w:val="231F20"/>
          <w:spacing w:val="-29"/>
          <w:w w:val="105"/>
        </w:rPr>
        <w:t> </w:t>
      </w:r>
      <w:r>
        <w:rPr>
          <w:color w:val="231F20"/>
          <w:w w:val="105"/>
        </w:rPr>
        <w:t>divergencia</w:t>
      </w:r>
      <w:r>
        <w:rPr>
          <w:color w:val="231F20"/>
          <w:spacing w:val="-29"/>
          <w:w w:val="105"/>
        </w:rPr>
        <w:t> </w:t>
      </w:r>
      <w:r>
        <w:rPr>
          <w:color w:val="231F20"/>
          <w:w w:val="105"/>
        </w:rPr>
        <w:t>puede</w:t>
      </w:r>
      <w:r>
        <w:rPr>
          <w:color w:val="231F20"/>
          <w:spacing w:val="-29"/>
          <w:w w:val="105"/>
        </w:rPr>
        <w:t> </w:t>
      </w:r>
      <w:r>
        <w:rPr>
          <w:color w:val="231F20"/>
          <w:w w:val="105"/>
        </w:rPr>
        <w:t>ser</w:t>
      </w:r>
      <w:r>
        <w:rPr>
          <w:color w:val="231F20"/>
          <w:spacing w:val="-29"/>
          <w:w w:val="105"/>
        </w:rPr>
        <w:t> </w:t>
      </w:r>
      <w:r>
        <w:rPr>
          <w:color w:val="231F20"/>
          <w:w w:val="105"/>
        </w:rPr>
        <w:t>causada</w:t>
      </w:r>
      <w:r>
        <w:rPr>
          <w:color w:val="231F20"/>
          <w:spacing w:val="-29"/>
          <w:w w:val="105"/>
        </w:rPr>
        <w:t> </w:t>
      </w:r>
      <w:r>
        <w:rPr>
          <w:color w:val="231F20"/>
          <w:w w:val="105"/>
        </w:rPr>
        <w:t>por</w:t>
      </w:r>
      <w:r>
        <w:rPr>
          <w:color w:val="231F20"/>
          <w:spacing w:val="-29"/>
          <w:w w:val="105"/>
        </w:rPr>
        <w:t> </w:t>
      </w:r>
      <w:r>
        <w:rPr>
          <w:color w:val="231F20"/>
          <w:w w:val="105"/>
        </w:rPr>
        <w:t>el grado</w:t>
      </w:r>
      <w:r>
        <w:rPr>
          <w:color w:val="231F20"/>
          <w:spacing w:val="-8"/>
          <w:w w:val="105"/>
        </w:rPr>
        <w:t> </w:t>
      </w:r>
      <w:r>
        <w:rPr>
          <w:color w:val="231F20"/>
          <w:w w:val="105"/>
        </w:rPr>
        <w:t>de</w:t>
      </w:r>
      <w:r>
        <w:rPr>
          <w:color w:val="231F20"/>
          <w:spacing w:val="-8"/>
          <w:w w:val="105"/>
        </w:rPr>
        <w:t> </w:t>
      </w:r>
      <w:r>
        <w:rPr>
          <w:color w:val="231F20"/>
          <w:w w:val="105"/>
        </w:rPr>
        <w:t>eficiencia</w:t>
      </w:r>
      <w:r>
        <w:rPr>
          <w:color w:val="231F20"/>
          <w:spacing w:val="-8"/>
          <w:w w:val="105"/>
        </w:rPr>
        <w:t> </w:t>
      </w:r>
      <w:r>
        <w:rPr>
          <w:color w:val="231F20"/>
          <w:w w:val="105"/>
        </w:rPr>
        <w:t>del</w:t>
      </w:r>
      <w:r>
        <w:rPr>
          <w:color w:val="231F20"/>
          <w:spacing w:val="-8"/>
          <w:w w:val="105"/>
        </w:rPr>
        <w:t> </w:t>
      </w:r>
      <w:r>
        <w:rPr>
          <w:color w:val="231F20"/>
          <w:w w:val="105"/>
        </w:rPr>
        <w:t>mercado</w:t>
      </w:r>
      <w:r>
        <w:rPr>
          <w:color w:val="231F20"/>
          <w:spacing w:val="-8"/>
          <w:w w:val="105"/>
        </w:rPr>
        <w:t> </w:t>
      </w:r>
      <w:r>
        <w:rPr>
          <w:color w:val="231F20"/>
          <w:w w:val="105"/>
        </w:rPr>
        <w:t>de</w:t>
      </w:r>
      <w:r>
        <w:rPr>
          <w:color w:val="231F20"/>
          <w:spacing w:val="-8"/>
          <w:w w:val="105"/>
        </w:rPr>
        <w:t> </w:t>
      </w:r>
      <w:r>
        <w:rPr>
          <w:color w:val="231F20"/>
          <w:w w:val="105"/>
        </w:rPr>
        <w:t>valores</w:t>
      </w:r>
      <w:r>
        <w:rPr>
          <w:color w:val="231F20"/>
          <w:spacing w:val="-8"/>
          <w:w w:val="105"/>
        </w:rPr>
        <w:t> </w:t>
      </w:r>
      <w:r>
        <w:rPr>
          <w:color w:val="231F20"/>
          <w:w w:val="105"/>
        </w:rPr>
        <w:t>que</w:t>
      </w:r>
      <w:r>
        <w:rPr>
          <w:color w:val="231F20"/>
          <w:spacing w:val="-8"/>
          <w:w w:val="105"/>
        </w:rPr>
        <w:t> </w:t>
      </w:r>
      <w:r>
        <w:rPr>
          <w:color w:val="231F20"/>
          <w:w w:val="105"/>
        </w:rPr>
        <w:t>es</w:t>
      </w:r>
      <w:r>
        <w:rPr>
          <w:color w:val="231F20"/>
          <w:spacing w:val="-8"/>
          <w:w w:val="105"/>
        </w:rPr>
        <w:t> </w:t>
      </w:r>
      <w:r>
        <w:rPr>
          <w:color w:val="231F20"/>
          <w:w w:val="105"/>
        </w:rPr>
        <w:t>diferente</w:t>
      </w:r>
      <w:r>
        <w:rPr>
          <w:color w:val="231F20"/>
          <w:spacing w:val="-8"/>
          <w:w w:val="105"/>
        </w:rPr>
        <w:t> </w:t>
      </w:r>
      <w:r>
        <w:rPr>
          <w:color w:val="231F20"/>
          <w:w w:val="105"/>
        </w:rPr>
        <w:t>al</w:t>
      </w:r>
      <w:r>
        <w:rPr>
          <w:color w:val="231F20"/>
          <w:spacing w:val="-8"/>
          <w:w w:val="105"/>
        </w:rPr>
        <w:t> </w:t>
      </w:r>
      <w:r>
        <w:rPr>
          <w:color w:val="231F20"/>
          <w:w w:val="105"/>
        </w:rPr>
        <w:t>mercado de</w:t>
      </w:r>
      <w:r>
        <w:rPr>
          <w:color w:val="231F20"/>
          <w:spacing w:val="-16"/>
          <w:w w:val="105"/>
        </w:rPr>
        <w:t> </w:t>
      </w:r>
      <w:r>
        <w:rPr>
          <w:color w:val="231F20"/>
          <w:w w:val="105"/>
        </w:rPr>
        <w:t>divisas.</w:t>
      </w:r>
      <w:r>
        <w:rPr>
          <w:color w:val="231F20"/>
          <w:spacing w:val="-21"/>
          <w:w w:val="105"/>
        </w:rPr>
        <w:t> </w:t>
      </w:r>
      <w:r>
        <w:rPr>
          <w:color w:val="231F20"/>
          <w:w w:val="105"/>
        </w:rPr>
        <w:t>En</w:t>
      </w:r>
      <w:r>
        <w:rPr>
          <w:color w:val="231F20"/>
          <w:spacing w:val="-16"/>
          <w:w w:val="105"/>
        </w:rPr>
        <w:t> </w:t>
      </w:r>
      <w:r>
        <w:rPr>
          <w:color w:val="231F20"/>
          <w:w w:val="105"/>
        </w:rPr>
        <w:t>cuanto</w:t>
      </w:r>
      <w:r>
        <w:rPr>
          <w:color w:val="231F20"/>
          <w:spacing w:val="-16"/>
          <w:w w:val="105"/>
        </w:rPr>
        <w:t> </w:t>
      </w:r>
      <w:r>
        <w:rPr>
          <w:color w:val="231F20"/>
          <w:w w:val="105"/>
        </w:rPr>
        <w:t>al</w:t>
      </w:r>
      <w:r>
        <w:rPr>
          <w:color w:val="231F20"/>
          <w:spacing w:val="-16"/>
          <w:w w:val="105"/>
        </w:rPr>
        <w:t> </w:t>
      </w:r>
      <w:r>
        <w:rPr>
          <w:color w:val="231F20"/>
          <w:w w:val="105"/>
        </w:rPr>
        <w:t>parámetro</w:t>
      </w:r>
      <w:r>
        <w:rPr>
          <w:color w:val="231F20"/>
          <w:spacing w:val="-16"/>
          <w:w w:val="105"/>
        </w:rPr>
        <w:t> </w:t>
      </w:r>
      <w:r>
        <w:rPr>
          <w:color w:val="231F20"/>
          <w:w w:val="105"/>
        </w:rPr>
        <w:t>de</w:t>
      </w:r>
      <w:r>
        <w:rPr>
          <w:color w:val="231F20"/>
          <w:spacing w:val="-16"/>
          <w:w w:val="105"/>
        </w:rPr>
        <w:t> </w:t>
      </w:r>
      <w:r>
        <w:rPr>
          <w:color w:val="231F20"/>
          <w:w w:val="105"/>
        </w:rPr>
        <w:t>correlación</w:t>
      </w:r>
      <w:r>
        <w:rPr>
          <w:color w:val="231F20"/>
          <w:spacing w:val="-16"/>
          <w:w w:val="105"/>
        </w:rPr>
        <w:t> </w:t>
      </w:r>
      <w:r>
        <w:rPr>
          <w:color w:val="231F20"/>
          <w:w w:val="105"/>
        </w:rPr>
        <w:t>negativa</w:t>
      </w:r>
      <w:r>
        <w:rPr>
          <w:color w:val="231F20"/>
          <w:spacing w:val="-16"/>
          <w:w w:val="105"/>
        </w:rPr>
        <w:t> </w:t>
      </w:r>
      <w:r>
        <w:rPr>
          <w:color w:val="231F20"/>
          <w:w w:val="105"/>
        </w:rPr>
        <w:t>se</w:t>
      </w:r>
      <w:r>
        <w:rPr>
          <w:color w:val="231F20"/>
          <w:spacing w:val="-16"/>
          <w:w w:val="105"/>
        </w:rPr>
        <w:t> </w:t>
      </w:r>
      <w:r>
        <w:rPr>
          <w:color w:val="231F20"/>
          <w:w w:val="105"/>
        </w:rPr>
        <w:t>encuentra que</w:t>
      </w:r>
      <w:r>
        <w:rPr>
          <w:color w:val="231F20"/>
          <w:spacing w:val="-26"/>
          <w:w w:val="105"/>
        </w:rPr>
        <w:t> </w:t>
      </w:r>
      <w:r>
        <w:rPr>
          <w:color w:val="231F20"/>
          <w:w w:val="105"/>
        </w:rPr>
        <w:t>los</w:t>
      </w:r>
      <w:r>
        <w:rPr>
          <w:color w:val="231F20"/>
          <w:spacing w:val="-26"/>
          <w:w w:val="105"/>
        </w:rPr>
        <w:t> </w:t>
      </w:r>
      <w:r>
        <w:rPr>
          <w:color w:val="231F20"/>
          <w:w w:val="105"/>
        </w:rPr>
        <w:t>estudios</w:t>
      </w:r>
      <w:r>
        <w:rPr>
          <w:color w:val="231F20"/>
          <w:spacing w:val="-26"/>
          <w:w w:val="105"/>
        </w:rPr>
        <w:t> </w:t>
      </w:r>
      <w:r>
        <w:rPr>
          <w:color w:val="231F20"/>
          <w:w w:val="105"/>
        </w:rPr>
        <w:t>anteriores</w:t>
      </w:r>
      <w:r>
        <w:rPr>
          <w:color w:val="231F20"/>
          <w:spacing w:val="-26"/>
          <w:w w:val="105"/>
        </w:rPr>
        <w:t> </w:t>
      </w:r>
      <w:r>
        <w:rPr>
          <w:color w:val="231F20"/>
          <w:w w:val="105"/>
        </w:rPr>
        <w:t>sobre</w:t>
      </w:r>
      <w:r>
        <w:rPr>
          <w:color w:val="231F20"/>
          <w:spacing w:val="-26"/>
          <w:w w:val="105"/>
        </w:rPr>
        <w:t> </w:t>
      </w:r>
      <w:r>
        <w:rPr>
          <w:color w:val="231F20"/>
          <w:w w:val="105"/>
        </w:rPr>
        <w:t>los</w:t>
      </w:r>
      <w:r>
        <w:rPr>
          <w:color w:val="231F20"/>
          <w:spacing w:val="-26"/>
          <w:w w:val="105"/>
        </w:rPr>
        <w:t> </w:t>
      </w:r>
      <w:r>
        <w:rPr>
          <w:color w:val="231F20"/>
          <w:w w:val="105"/>
        </w:rPr>
        <w:t>mercados</w:t>
      </w:r>
      <w:r>
        <w:rPr>
          <w:color w:val="231F20"/>
          <w:spacing w:val="-26"/>
          <w:w w:val="105"/>
        </w:rPr>
        <w:t> </w:t>
      </w:r>
      <w:r>
        <w:rPr>
          <w:color w:val="231F20"/>
          <w:w w:val="105"/>
        </w:rPr>
        <w:t>de</w:t>
      </w:r>
      <w:r>
        <w:rPr>
          <w:color w:val="231F20"/>
          <w:spacing w:val="-26"/>
          <w:w w:val="105"/>
        </w:rPr>
        <w:t> </w:t>
      </w:r>
      <w:r>
        <w:rPr>
          <w:color w:val="231F20"/>
          <w:w w:val="105"/>
        </w:rPr>
        <w:t>valores</w:t>
      </w:r>
      <w:r>
        <w:rPr>
          <w:color w:val="231F20"/>
          <w:spacing w:val="-26"/>
          <w:w w:val="105"/>
        </w:rPr>
        <w:t> </w:t>
      </w:r>
      <w:r>
        <w:rPr>
          <w:color w:val="231F20"/>
          <w:w w:val="105"/>
        </w:rPr>
        <w:t>sufren</w:t>
      </w:r>
      <w:r>
        <w:rPr>
          <w:color w:val="231F20"/>
          <w:spacing w:val="-26"/>
          <w:w w:val="105"/>
        </w:rPr>
        <w:t> </w:t>
      </w:r>
      <w:r>
        <w:rPr>
          <w:color w:val="231F20"/>
          <w:w w:val="105"/>
        </w:rPr>
        <w:t>más</w:t>
      </w:r>
      <w:r>
        <w:rPr>
          <w:color w:val="231F20"/>
          <w:spacing w:val="-26"/>
          <w:w w:val="105"/>
        </w:rPr>
        <w:t> </w:t>
      </w:r>
      <w:r>
        <w:rPr>
          <w:color w:val="231F20"/>
          <w:w w:val="105"/>
        </w:rPr>
        <w:t>los efectos</w:t>
      </w:r>
      <w:r>
        <w:rPr>
          <w:color w:val="231F20"/>
          <w:spacing w:val="-6"/>
          <w:w w:val="105"/>
        </w:rPr>
        <w:t> </w:t>
      </w:r>
      <w:r>
        <w:rPr>
          <w:color w:val="231F20"/>
          <w:w w:val="105"/>
        </w:rPr>
        <w:t>de</w:t>
      </w:r>
      <w:r>
        <w:rPr>
          <w:color w:val="231F20"/>
          <w:spacing w:val="-6"/>
          <w:w w:val="105"/>
        </w:rPr>
        <w:t> </w:t>
      </w:r>
      <w:r>
        <w:rPr>
          <w:color w:val="231F20"/>
          <w:w w:val="105"/>
        </w:rPr>
        <w:t>asimetría</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del</w:t>
      </w:r>
      <w:r>
        <w:rPr>
          <w:color w:val="231F20"/>
          <w:spacing w:val="-6"/>
          <w:w w:val="105"/>
        </w:rPr>
        <w:t> </w:t>
      </w:r>
      <w:r>
        <w:rPr>
          <w:color w:val="231F20"/>
          <w:w w:val="105"/>
        </w:rPr>
        <w:t>mercado</w:t>
      </w:r>
      <w:r>
        <w:rPr>
          <w:color w:val="231F20"/>
          <w:spacing w:val="-6"/>
          <w:w w:val="105"/>
        </w:rPr>
        <w:t> </w:t>
      </w:r>
      <w:r>
        <w:rPr>
          <w:color w:val="231F20"/>
          <w:w w:val="105"/>
        </w:rPr>
        <w:t>de</w:t>
      </w:r>
      <w:r>
        <w:rPr>
          <w:color w:val="231F20"/>
          <w:spacing w:val="-6"/>
          <w:w w:val="105"/>
        </w:rPr>
        <w:t> </w:t>
      </w:r>
      <w:r>
        <w:rPr>
          <w:color w:val="231F20"/>
          <w:w w:val="105"/>
        </w:rPr>
        <w:t>divisas.</w:t>
      </w:r>
      <w:r>
        <w:rPr>
          <w:color w:val="231F20"/>
          <w:spacing w:val="-11"/>
          <w:w w:val="105"/>
        </w:rPr>
        <w:t> </w:t>
      </w:r>
      <w:r>
        <w:rPr>
          <w:color w:val="231F20"/>
          <w:w w:val="105"/>
        </w:rPr>
        <w:t>Una</w:t>
      </w:r>
      <w:r>
        <w:rPr>
          <w:color w:val="231F20"/>
          <w:spacing w:val="-6"/>
          <w:w w:val="105"/>
        </w:rPr>
        <w:t> </w:t>
      </w:r>
      <w:r>
        <w:rPr>
          <w:color w:val="231F20"/>
          <w:w w:val="105"/>
        </w:rPr>
        <w:t>posible</w:t>
      </w:r>
      <w:r>
        <w:rPr>
          <w:color w:val="231F20"/>
          <w:spacing w:val="-6"/>
          <w:w w:val="105"/>
        </w:rPr>
        <w:t> </w:t>
      </w:r>
      <w:r>
        <w:rPr>
          <w:color w:val="231F20"/>
          <w:w w:val="105"/>
        </w:rPr>
        <w:t>razón para explicar esta diferencia entre el mercado de acciones y el merca- do</w:t>
      </w:r>
      <w:r>
        <w:rPr>
          <w:color w:val="231F20"/>
          <w:spacing w:val="-7"/>
          <w:w w:val="105"/>
        </w:rPr>
        <w:t> </w:t>
      </w:r>
      <w:r>
        <w:rPr>
          <w:color w:val="231F20"/>
          <w:w w:val="105"/>
        </w:rPr>
        <w:t>de</w:t>
      </w:r>
      <w:r>
        <w:rPr>
          <w:color w:val="231F20"/>
          <w:spacing w:val="-7"/>
          <w:w w:val="105"/>
        </w:rPr>
        <w:t> </w:t>
      </w:r>
      <w:r>
        <w:rPr>
          <w:color w:val="231F20"/>
          <w:w w:val="105"/>
        </w:rPr>
        <w:t>divisas</w:t>
      </w:r>
      <w:r>
        <w:rPr>
          <w:color w:val="231F20"/>
          <w:spacing w:val="-7"/>
          <w:w w:val="105"/>
        </w:rPr>
        <w:t> </w:t>
      </w:r>
      <w:r>
        <w:rPr>
          <w:color w:val="231F20"/>
          <w:w w:val="105"/>
        </w:rPr>
        <w:t>se</w:t>
      </w:r>
      <w:r>
        <w:rPr>
          <w:color w:val="231F20"/>
          <w:spacing w:val="-7"/>
          <w:w w:val="105"/>
        </w:rPr>
        <w:t> </w:t>
      </w:r>
      <w:r>
        <w:rPr>
          <w:color w:val="231F20"/>
          <w:w w:val="105"/>
        </w:rPr>
        <w:t>puede</w:t>
      </w:r>
      <w:r>
        <w:rPr>
          <w:color w:val="231F20"/>
          <w:spacing w:val="-7"/>
          <w:w w:val="105"/>
        </w:rPr>
        <w:t> </w:t>
      </w:r>
      <w:r>
        <w:rPr>
          <w:color w:val="231F20"/>
          <w:w w:val="105"/>
        </w:rPr>
        <w:t>atribuir</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característica</w:t>
      </w:r>
      <w:r>
        <w:rPr>
          <w:color w:val="231F20"/>
          <w:spacing w:val="-7"/>
          <w:w w:val="105"/>
        </w:rPr>
        <w:t> </w:t>
      </w:r>
      <w:r>
        <w:rPr>
          <w:color w:val="231F20"/>
          <w:w w:val="105"/>
        </w:rPr>
        <w:t>del</w:t>
      </w:r>
      <w:r>
        <w:rPr>
          <w:color w:val="231F20"/>
          <w:spacing w:val="-7"/>
          <w:w w:val="105"/>
        </w:rPr>
        <w:t> </w:t>
      </w:r>
      <w:r>
        <w:rPr>
          <w:color w:val="231F20"/>
          <w:w w:val="105"/>
        </w:rPr>
        <w:t>“efecto</w:t>
      </w:r>
      <w:r>
        <w:rPr>
          <w:color w:val="231F20"/>
          <w:spacing w:val="-7"/>
          <w:w w:val="105"/>
        </w:rPr>
        <w:t> </w:t>
      </w:r>
      <w:r>
        <w:rPr>
          <w:color w:val="231F20"/>
          <w:spacing w:val="-3"/>
          <w:w w:val="105"/>
        </w:rPr>
        <w:t>tendencia”, </w:t>
      </w:r>
      <w:r>
        <w:rPr>
          <w:color w:val="231F20"/>
          <w:w w:val="105"/>
        </w:rPr>
        <w:t>especialmente</w:t>
      </w:r>
      <w:r>
        <w:rPr>
          <w:color w:val="231F20"/>
          <w:spacing w:val="-6"/>
          <w:w w:val="105"/>
        </w:rPr>
        <w:t> </w:t>
      </w:r>
      <w:r>
        <w:rPr>
          <w:color w:val="231F20"/>
          <w:w w:val="105"/>
        </w:rPr>
        <w:t>involucrado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mercado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baja.</w:t>
      </w:r>
      <w:r>
        <w:rPr>
          <w:color w:val="231F20"/>
          <w:spacing w:val="-16"/>
          <w:w w:val="105"/>
        </w:rPr>
        <w:t> </w:t>
      </w:r>
      <w:r>
        <w:rPr>
          <w:color w:val="231F20"/>
          <w:spacing w:val="-3"/>
          <w:w w:val="105"/>
        </w:rPr>
        <w:t>También</w:t>
      </w:r>
      <w:r>
        <w:rPr>
          <w:color w:val="231F20"/>
          <w:spacing w:val="-6"/>
          <w:w w:val="105"/>
        </w:rPr>
        <w:t> </w:t>
      </w:r>
      <w:r>
        <w:rPr>
          <w:color w:val="231F20"/>
          <w:w w:val="105"/>
        </w:rPr>
        <w:t>podría</w:t>
      </w:r>
      <w:r>
        <w:rPr>
          <w:color w:val="231F20"/>
          <w:spacing w:val="-6"/>
          <w:w w:val="105"/>
        </w:rPr>
        <w:t> </w:t>
      </w:r>
      <w:r>
        <w:rPr>
          <w:color w:val="231F20"/>
          <w:w w:val="105"/>
        </w:rPr>
        <w:t>ser apoyado</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tipo</w:t>
      </w:r>
      <w:r>
        <w:rPr>
          <w:color w:val="231F20"/>
          <w:spacing w:val="-5"/>
          <w:w w:val="105"/>
        </w:rPr>
        <w:t> </w:t>
      </w:r>
      <w:r>
        <w:rPr>
          <w:color w:val="231F20"/>
          <w:w w:val="105"/>
        </w:rPr>
        <w:t>de</w:t>
      </w:r>
      <w:r>
        <w:rPr>
          <w:color w:val="231F20"/>
          <w:spacing w:val="-5"/>
          <w:w w:val="105"/>
        </w:rPr>
        <w:t> </w:t>
      </w:r>
      <w:r>
        <w:rPr>
          <w:color w:val="231F20"/>
          <w:w w:val="105"/>
        </w:rPr>
        <w:t>cambio</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estudie,</w:t>
      </w:r>
      <w:r>
        <w:rPr>
          <w:color w:val="231F20"/>
          <w:spacing w:val="-12"/>
          <w:w w:val="105"/>
        </w:rPr>
        <w:t> </w:t>
      </w:r>
      <w:r>
        <w:rPr>
          <w:color w:val="231F20"/>
          <w:w w:val="105"/>
        </w:rPr>
        <w:t>ya</w:t>
      </w:r>
      <w:r>
        <w:rPr>
          <w:color w:val="231F20"/>
          <w:spacing w:val="-5"/>
          <w:w w:val="105"/>
        </w:rPr>
        <w:t> </w:t>
      </w:r>
      <w:r>
        <w:rPr>
          <w:color w:val="231F20"/>
          <w:w w:val="105"/>
        </w:rPr>
        <w:t>que</w:t>
      </w:r>
      <w:r>
        <w:rPr>
          <w:color w:val="231F20"/>
          <w:spacing w:val="-5"/>
          <w:w w:val="105"/>
        </w:rPr>
        <w:t> </w:t>
      </w:r>
      <w:r>
        <w:rPr>
          <w:color w:val="231F20"/>
          <w:w w:val="105"/>
        </w:rPr>
        <w:t>establece</w:t>
      </w:r>
      <w:r>
        <w:rPr>
          <w:color w:val="231F20"/>
          <w:spacing w:val="-5"/>
          <w:w w:val="105"/>
        </w:rPr>
        <w:t> </w:t>
      </w:r>
      <w:r>
        <w:rPr>
          <w:color w:val="231F20"/>
          <w:w w:val="105"/>
        </w:rPr>
        <w:t>que</w:t>
      </w:r>
      <w:r>
        <w:rPr>
          <w:color w:val="231F20"/>
          <w:spacing w:val="-5"/>
          <w:w w:val="105"/>
        </w:rPr>
        <w:t> </w:t>
      </w:r>
      <w:r>
        <w:rPr>
          <w:color w:val="231F20"/>
          <w:w w:val="105"/>
        </w:rPr>
        <w:t>no existen</w:t>
      </w:r>
      <w:r>
        <w:rPr>
          <w:color w:val="231F20"/>
          <w:spacing w:val="-21"/>
          <w:w w:val="105"/>
        </w:rPr>
        <w:t> </w:t>
      </w:r>
      <w:r>
        <w:rPr>
          <w:color w:val="231F20"/>
          <w:w w:val="105"/>
        </w:rPr>
        <w:t>valores</w:t>
      </w:r>
      <w:r>
        <w:rPr>
          <w:color w:val="231F20"/>
          <w:spacing w:val="-21"/>
          <w:w w:val="105"/>
        </w:rPr>
        <w:t> </w:t>
      </w:r>
      <w:r>
        <w:rPr>
          <w:color w:val="231F20"/>
          <w:w w:val="105"/>
        </w:rPr>
        <w:t>extremos</w:t>
      </w:r>
      <w:r>
        <w:rPr>
          <w:color w:val="231F20"/>
          <w:spacing w:val="-21"/>
          <w:w w:val="105"/>
        </w:rPr>
        <w:t> </w:t>
      </w:r>
      <w:r>
        <w:rPr>
          <w:color w:val="231F20"/>
          <w:w w:val="105"/>
        </w:rPr>
        <w:t>para</w:t>
      </w:r>
      <w:r>
        <w:rPr>
          <w:color w:val="231F20"/>
          <w:spacing w:val="-21"/>
          <w:w w:val="105"/>
        </w:rPr>
        <w:t> </w:t>
      </w:r>
      <w:r>
        <w:rPr>
          <w:color w:val="231F20"/>
          <w:w w:val="105"/>
        </w:rPr>
        <w:t>los</w:t>
      </w:r>
      <w:r>
        <w:rPr>
          <w:color w:val="231F20"/>
          <w:spacing w:val="-21"/>
          <w:w w:val="105"/>
        </w:rPr>
        <w:t> </w:t>
      </w:r>
      <w:r>
        <w:rPr>
          <w:color w:val="231F20"/>
          <w:w w:val="105"/>
        </w:rPr>
        <w:t>rendimientos</w:t>
      </w:r>
      <w:r>
        <w:rPr>
          <w:color w:val="231F20"/>
          <w:spacing w:val="-21"/>
          <w:w w:val="105"/>
        </w:rPr>
        <w:t> </w:t>
      </w:r>
      <w:r>
        <w:rPr>
          <w:color w:val="231F20"/>
          <w:w w:val="105"/>
        </w:rPr>
        <w:t>del</w:t>
      </w:r>
      <w:r>
        <w:rPr>
          <w:color w:val="231F20"/>
          <w:spacing w:val="-21"/>
          <w:w w:val="105"/>
        </w:rPr>
        <w:t> </w:t>
      </w:r>
      <w:r>
        <w:rPr>
          <w:color w:val="231F20"/>
          <w:w w:val="105"/>
        </w:rPr>
        <w:t>activo</w:t>
      </w:r>
      <w:r>
        <w:rPr>
          <w:color w:val="231F20"/>
          <w:spacing w:val="-21"/>
          <w:w w:val="105"/>
        </w:rPr>
        <w:t> </w:t>
      </w:r>
      <w:r>
        <w:rPr>
          <w:color w:val="231F20"/>
          <w:w w:val="105"/>
        </w:rPr>
        <w:t>subyacente</w:t>
      </w:r>
      <w:r>
        <w:rPr>
          <w:color w:val="231F20"/>
          <w:spacing w:val="-21"/>
          <w:w w:val="105"/>
        </w:rPr>
        <w:t> </w:t>
      </w:r>
      <w:r>
        <w:rPr>
          <w:color w:val="231F20"/>
          <w:w w:val="105"/>
        </w:rPr>
        <w:t>en los</w:t>
      </w:r>
      <w:r>
        <w:rPr>
          <w:color w:val="231F20"/>
          <w:spacing w:val="-29"/>
          <w:w w:val="105"/>
        </w:rPr>
        <w:t> </w:t>
      </w:r>
      <w:r>
        <w:rPr>
          <w:color w:val="231F20"/>
          <w:w w:val="105"/>
        </w:rPr>
        <w:t>mercados</w:t>
      </w:r>
      <w:r>
        <w:rPr>
          <w:color w:val="231F20"/>
          <w:spacing w:val="-29"/>
          <w:w w:val="105"/>
        </w:rPr>
        <w:t> </w:t>
      </w:r>
      <w:r>
        <w:rPr>
          <w:color w:val="231F20"/>
          <w:w w:val="105"/>
        </w:rPr>
        <w:t>de</w:t>
      </w:r>
      <w:r>
        <w:rPr>
          <w:color w:val="231F20"/>
          <w:spacing w:val="-29"/>
          <w:w w:val="105"/>
        </w:rPr>
        <w:t> </w:t>
      </w:r>
      <w:r>
        <w:rPr>
          <w:color w:val="231F20"/>
          <w:w w:val="105"/>
        </w:rPr>
        <w:t>divisas.</w:t>
      </w:r>
    </w:p>
    <w:p>
      <w:pPr>
        <w:pStyle w:val="BodyText"/>
        <w:spacing w:line="259" w:lineRule="auto"/>
        <w:ind w:left="117" w:right="121" w:firstLine="567"/>
        <w:jc w:val="both"/>
      </w:pPr>
      <w:r>
        <w:rPr>
          <w:color w:val="231F20"/>
          <w:spacing w:val="-6"/>
          <w:w w:val="105"/>
        </w:rPr>
        <w:t>Por </w:t>
      </w:r>
      <w:r>
        <w:rPr>
          <w:color w:val="231F20"/>
          <w:w w:val="105"/>
        </w:rPr>
        <w:t>su parte, el mercado (como cada operador individual) intenta valorar las opciones lo más eficientemente posible dada la información disponible, pero la gran volatilidad del tipo de cambio hace desarrollar modelos</w:t>
      </w:r>
      <w:r>
        <w:rPr>
          <w:color w:val="231F20"/>
          <w:spacing w:val="-14"/>
          <w:w w:val="105"/>
        </w:rPr>
        <w:t> </w:t>
      </w:r>
      <w:r>
        <w:rPr>
          <w:color w:val="231F20"/>
          <w:w w:val="105"/>
        </w:rPr>
        <w:t>dinámicos</w:t>
      </w:r>
      <w:r>
        <w:rPr>
          <w:color w:val="231F20"/>
          <w:spacing w:val="-14"/>
          <w:w w:val="105"/>
        </w:rPr>
        <w:t> </w:t>
      </w:r>
      <w:r>
        <w:rPr>
          <w:color w:val="231F20"/>
          <w:w w:val="105"/>
        </w:rPr>
        <w:t>para</w:t>
      </w:r>
      <w:r>
        <w:rPr>
          <w:color w:val="231F20"/>
          <w:spacing w:val="-14"/>
          <w:w w:val="105"/>
        </w:rPr>
        <w:t> </w:t>
      </w:r>
      <w:r>
        <w:rPr>
          <w:color w:val="231F20"/>
          <w:w w:val="105"/>
        </w:rPr>
        <w:t>tener</w:t>
      </w:r>
      <w:r>
        <w:rPr>
          <w:color w:val="231F20"/>
          <w:spacing w:val="-14"/>
          <w:w w:val="105"/>
        </w:rPr>
        <w:t> </w:t>
      </w:r>
      <w:r>
        <w:rPr>
          <w:color w:val="231F20"/>
          <w:w w:val="105"/>
        </w:rPr>
        <w:t>un</w:t>
      </w:r>
      <w:r>
        <w:rPr>
          <w:color w:val="231F20"/>
          <w:spacing w:val="-14"/>
          <w:w w:val="105"/>
        </w:rPr>
        <w:t> </w:t>
      </w:r>
      <w:r>
        <w:rPr>
          <w:color w:val="231F20"/>
          <w:w w:val="105"/>
        </w:rPr>
        <w:t>mercado</w:t>
      </w:r>
      <w:r>
        <w:rPr>
          <w:color w:val="231F20"/>
          <w:spacing w:val="-14"/>
          <w:w w:val="105"/>
        </w:rPr>
        <w:t> </w:t>
      </w:r>
      <w:r>
        <w:rPr>
          <w:color w:val="231F20"/>
          <w:w w:val="105"/>
        </w:rPr>
        <w:t>más</w:t>
      </w:r>
      <w:r>
        <w:rPr>
          <w:color w:val="231F20"/>
          <w:spacing w:val="-14"/>
          <w:w w:val="105"/>
        </w:rPr>
        <w:t> </w:t>
      </w:r>
      <w:r>
        <w:rPr>
          <w:color w:val="231F20"/>
          <w:w w:val="105"/>
        </w:rPr>
        <w:t>eficiente.</w:t>
      </w:r>
      <w:r>
        <w:rPr>
          <w:color w:val="231F20"/>
          <w:spacing w:val="-19"/>
          <w:w w:val="105"/>
        </w:rPr>
        <w:t> </w:t>
      </w:r>
      <w:r>
        <w:rPr>
          <w:color w:val="231F20"/>
          <w:w w:val="105"/>
        </w:rPr>
        <w:t>Finalmente,</w:t>
      </w:r>
      <w:r>
        <w:rPr>
          <w:color w:val="231F20"/>
          <w:spacing w:val="-19"/>
          <w:w w:val="105"/>
        </w:rPr>
        <w:t> </w:t>
      </w:r>
      <w:r>
        <w:rPr>
          <w:color w:val="231F20"/>
          <w:w w:val="105"/>
        </w:rPr>
        <w:t>la evidencia</w:t>
      </w:r>
      <w:r>
        <w:rPr>
          <w:color w:val="231F20"/>
          <w:spacing w:val="-9"/>
          <w:w w:val="105"/>
        </w:rPr>
        <w:t> </w:t>
      </w:r>
      <w:r>
        <w:rPr>
          <w:color w:val="231F20"/>
          <w:w w:val="105"/>
        </w:rPr>
        <w:t>empírica</w:t>
      </w:r>
      <w:r>
        <w:rPr>
          <w:color w:val="231F20"/>
          <w:spacing w:val="-9"/>
          <w:w w:val="105"/>
        </w:rPr>
        <w:t> </w:t>
      </w:r>
      <w:r>
        <w:rPr>
          <w:color w:val="231F20"/>
          <w:w w:val="105"/>
        </w:rPr>
        <w:t>confirma</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modelos</w:t>
      </w:r>
      <w:r>
        <w:rPr>
          <w:color w:val="231F20"/>
          <w:spacing w:val="-9"/>
          <w:w w:val="105"/>
        </w:rPr>
        <w:t> </w:t>
      </w:r>
      <w:r>
        <w:rPr>
          <w:color w:val="231F20"/>
          <w:w w:val="105"/>
        </w:rPr>
        <w:t>de</w:t>
      </w:r>
      <w:r>
        <w:rPr>
          <w:color w:val="231F20"/>
          <w:spacing w:val="-9"/>
          <w:w w:val="105"/>
        </w:rPr>
        <w:t> </w:t>
      </w:r>
      <w:r>
        <w:rPr>
          <w:color w:val="231F20"/>
          <w:w w:val="105"/>
        </w:rPr>
        <w:t>valuación</w:t>
      </w:r>
      <w:r>
        <w:rPr>
          <w:color w:val="231F20"/>
          <w:spacing w:val="-9"/>
          <w:w w:val="105"/>
        </w:rPr>
        <w:t> </w:t>
      </w:r>
      <w:r>
        <w:rPr>
          <w:color w:val="231F20"/>
          <w:w w:val="105"/>
        </w:rPr>
        <w:t>que</w:t>
      </w:r>
      <w:r>
        <w:rPr>
          <w:color w:val="231F20"/>
          <w:spacing w:val="-9"/>
          <w:w w:val="105"/>
        </w:rPr>
        <w:t> </w:t>
      </w:r>
      <w:r>
        <w:rPr>
          <w:color w:val="231F20"/>
          <w:w w:val="105"/>
        </w:rPr>
        <w:t>asumen volatilidad estocástica mejoran significativamente la estimación de los precios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opciones</w:t>
      </w:r>
      <w:r>
        <w:rPr>
          <w:color w:val="231F20"/>
          <w:spacing w:val="-11"/>
          <w:w w:val="105"/>
        </w:rPr>
        <w:t> </w:t>
      </w:r>
      <w:r>
        <w:rPr>
          <w:color w:val="231F20"/>
          <w:w w:val="105"/>
        </w:rPr>
        <w:t>sobre</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cambio</w:t>
      </w:r>
      <w:r>
        <w:rPr>
          <w:color w:val="231F20"/>
          <w:spacing w:val="-11"/>
          <w:w w:val="105"/>
        </w:rPr>
        <w:t> </w:t>
      </w:r>
      <w:r>
        <w:rPr>
          <w:color w:val="231F20"/>
          <w:w w:val="105"/>
        </w:rPr>
        <w:t>además</w:t>
      </w:r>
      <w:r>
        <w:rPr>
          <w:color w:val="231F20"/>
          <w:spacing w:val="-11"/>
          <w:w w:val="105"/>
        </w:rPr>
        <w:t> </w:t>
      </w:r>
      <w:r>
        <w:rPr>
          <w:color w:val="231F20"/>
          <w:w w:val="105"/>
        </w:rPr>
        <w:t>de</w:t>
      </w:r>
      <w:r>
        <w:rPr>
          <w:color w:val="231F20"/>
          <w:spacing w:val="-11"/>
          <w:w w:val="105"/>
        </w:rPr>
        <w:t> </w:t>
      </w:r>
      <w:r>
        <w:rPr>
          <w:color w:val="231F20"/>
          <w:w w:val="105"/>
        </w:rPr>
        <w:t>considerar</w:t>
      </w:r>
      <w:r>
        <w:rPr>
          <w:color w:val="231F20"/>
          <w:spacing w:val="-11"/>
          <w:w w:val="105"/>
        </w:rPr>
        <w:t> </w:t>
      </w:r>
      <w:r>
        <w:rPr>
          <w:color w:val="231F20"/>
          <w:w w:val="105"/>
        </w:rPr>
        <w:t>vo- latilidad</w:t>
      </w:r>
      <w:r>
        <w:rPr>
          <w:color w:val="231F20"/>
          <w:spacing w:val="-10"/>
          <w:w w:val="105"/>
        </w:rPr>
        <w:t> </w:t>
      </w:r>
      <w:r>
        <w:rPr>
          <w:color w:val="231F20"/>
          <w:w w:val="105"/>
        </w:rPr>
        <w:t>estocástica,</w:t>
      </w:r>
      <w:r>
        <w:rPr>
          <w:color w:val="231F20"/>
          <w:spacing w:val="-16"/>
          <w:w w:val="105"/>
        </w:rPr>
        <w:t> </w:t>
      </w:r>
      <w:r>
        <w:rPr>
          <w:color w:val="231F20"/>
          <w:w w:val="105"/>
        </w:rPr>
        <w:t>ya</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parámetro</w:t>
      </w:r>
      <w:r>
        <w:rPr>
          <w:color w:val="231F20"/>
          <w:spacing w:val="-10"/>
          <w:w w:val="105"/>
        </w:rPr>
        <w:t> </w:t>
      </w:r>
      <w:r>
        <w:rPr>
          <w:color w:val="231F20"/>
          <w:w w:val="105"/>
        </w:rPr>
        <w:t>importante</w:t>
      </w:r>
      <w:r>
        <w:rPr>
          <w:color w:val="231F20"/>
          <w:spacing w:val="-10"/>
          <w:w w:val="105"/>
        </w:rPr>
        <w:t> </w:t>
      </w:r>
      <w:r>
        <w:rPr>
          <w:color w:val="231F20"/>
          <w:w w:val="105"/>
        </w:rPr>
        <w:t>para</w:t>
      </w:r>
      <w:r>
        <w:rPr>
          <w:color w:val="231F20"/>
          <w:spacing w:val="-10"/>
          <w:w w:val="105"/>
        </w:rPr>
        <w:t> </w:t>
      </w:r>
      <w:r>
        <w:rPr>
          <w:color w:val="231F20"/>
          <w:w w:val="105"/>
        </w:rPr>
        <w:t>obtener</w:t>
      </w:r>
      <w:r>
        <w:rPr>
          <w:color w:val="231F20"/>
          <w:spacing w:val="-10"/>
          <w:w w:val="105"/>
        </w:rPr>
        <w:t> </w:t>
      </w:r>
      <w:r>
        <w:rPr>
          <w:color w:val="231F20"/>
          <w:w w:val="105"/>
        </w:rPr>
        <w:t>la prima de opciones sobre tipo de</w:t>
      </w:r>
      <w:r>
        <w:rPr>
          <w:color w:val="231F20"/>
          <w:spacing w:val="-11"/>
          <w:w w:val="105"/>
        </w:rPr>
        <w:t> </w:t>
      </w:r>
      <w:r>
        <w:rPr>
          <w:color w:val="231F20"/>
          <w:w w:val="105"/>
        </w:rPr>
        <w:t>cambio.</w:t>
      </w:r>
    </w:p>
    <w:p>
      <w:pPr>
        <w:pStyle w:val="BodyText"/>
        <w:spacing w:line="259" w:lineRule="auto"/>
        <w:ind w:left="117" w:right="121" w:firstLine="567"/>
        <w:jc w:val="both"/>
      </w:pPr>
      <w:r>
        <w:rPr>
          <w:color w:val="231F20"/>
          <w:w w:val="105"/>
        </w:rPr>
        <w:t>Es</w:t>
      </w:r>
      <w:r>
        <w:rPr>
          <w:color w:val="231F20"/>
          <w:spacing w:val="-19"/>
          <w:w w:val="105"/>
        </w:rPr>
        <w:t> </w:t>
      </w:r>
      <w:r>
        <w:rPr>
          <w:color w:val="231F20"/>
          <w:w w:val="105"/>
        </w:rPr>
        <w:t>importante</w:t>
      </w:r>
      <w:r>
        <w:rPr>
          <w:color w:val="231F20"/>
          <w:spacing w:val="-19"/>
          <w:w w:val="105"/>
        </w:rPr>
        <w:t> </w:t>
      </w:r>
      <w:r>
        <w:rPr>
          <w:color w:val="231F20"/>
          <w:w w:val="105"/>
        </w:rPr>
        <w:t>desarrollar</w:t>
      </w:r>
      <w:r>
        <w:rPr>
          <w:color w:val="231F20"/>
          <w:spacing w:val="-19"/>
          <w:w w:val="105"/>
        </w:rPr>
        <w:t> </w:t>
      </w:r>
      <w:r>
        <w:rPr>
          <w:color w:val="231F20"/>
          <w:w w:val="105"/>
        </w:rPr>
        <w:t>modelos</w:t>
      </w:r>
      <w:r>
        <w:rPr>
          <w:color w:val="231F20"/>
          <w:spacing w:val="-19"/>
          <w:w w:val="105"/>
        </w:rPr>
        <w:t> </w:t>
      </w:r>
      <w:r>
        <w:rPr>
          <w:color w:val="231F20"/>
          <w:w w:val="105"/>
        </w:rPr>
        <w:t>de</w:t>
      </w:r>
      <w:r>
        <w:rPr>
          <w:color w:val="231F20"/>
          <w:spacing w:val="-19"/>
          <w:w w:val="105"/>
        </w:rPr>
        <w:t> </w:t>
      </w:r>
      <w:r>
        <w:rPr>
          <w:color w:val="231F20"/>
          <w:w w:val="105"/>
        </w:rPr>
        <w:t>tres</w:t>
      </w:r>
      <w:r>
        <w:rPr>
          <w:color w:val="231F20"/>
          <w:spacing w:val="-19"/>
          <w:w w:val="105"/>
        </w:rPr>
        <w:t> </w:t>
      </w:r>
      <w:r>
        <w:rPr>
          <w:color w:val="231F20"/>
          <w:w w:val="105"/>
        </w:rPr>
        <w:t>factores</w:t>
      </w:r>
      <w:r>
        <w:rPr>
          <w:color w:val="231F20"/>
          <w:spacing w:val="-19"/>
          <w:w w:val="105"/>
        </w:rPr>
        <w:t> </w:t>
      </w:r>
      <w:r>
        <w:rPr>
          <w:color w:val="231F20"/>
          <w:w w:val="105"/>
        </w:rPr>
        <w:t>sobre</w:t>
      </w:r>
      <w:r>
        <w:rPr>
          <w:color w:val="231F20"/>
          <w:spacing w:val="-19"/>
          <w:w w:val="105"/>
        </w:rPr>
        <w:t> </w:t>
      </w:r>
      <w:r>
        <w:rPr>
          <w:color w:val="231F20"/>
          <w:w w:val="105"/>
        </w:rPr>
        <w:t>opciones de tipo de cambio, es decir, considerar el tipo de cambio, la volatilidad y</w:t>
      </w:r>
      <w:r>
        <w:rPr>
          <w:color w:val="231F20"/>
          <w:spacing w:val="-14"/>
          <w:w w:val="105"/>
        </w:rPr>
        <w:t> </w:t>
      </w:r>
      <w:r>
        <w:rPr>
          <w:color w:val="231F20"/>
          <w:w w:val="105"/>
        </w:rPr>
        <w:t>tasas</w:t>
      </w:r>
      <w:r>
        <w:rPr>
          <w:color w:val="231F20"/>
          <w:spacing w:val="-14"/>
          <w:w w:val="105"/>
        </w:rPr>
        <w:t> </w:t>
      </w:r>
      <w:r>
        <w:rPr>
          <w:color w:val="231F20"/>
          <w:w w:val="105"/>
        </w:rPr>
        <w:t>de</w:t>
      </w:r>
      <w:r>
        <w:rPr>
          <w:color w:val="231F20"/>
          <w:spacing w:val="-14"/>
          <w:w w:val="105"/>
        </w:rPr>
        <w:t> </w:t>
      </w:r>
      <w:r>
        <w:rPr>
          <w:color w:val="231F20"/>
          <w:w w:val="105"/>
        </w:rPr>
        <w:t>interés</w:t>
      </w:r>
      <w:r>
        <w:rPr>
          <w:color w:val="231F20"/>
          <w:spacing w:val="-14"/>
          <w:w w:val="105"/>
        </w:rPr>
        <w:t> </w:t>
      </w:r>
      <w:r>
        <w:rPr>
          <w:color w:val="231F20"/>
          <w:w w:val="105"/>
        </w:rPr>
        <w:t>estocásticas,</w:t>
      </w:r>
      <w:r>
        <w:rPr>
          <w:color w:val="231F20"/>
          <w:spacing w:val="-19"/>
          <w:w w:val="105"/>
        </w:rPr>
        <w:t> </w:t>
      </w:r>
      <w:r>
        <w:rPr>
          <w:color w:val="231F20"/>
          <w:w w:val="105"/>
        </w:rPr>
        <w:t>lo</w:t>
      </w:r>
      <w:r>
        <w:rPr>
          <w:color w:val="231F20"/>
          <w:spacing w:val="-14"/>
          <w:w w:val="105"/>
        </w:rPr>
        <w:t> </w:t>
      </w:r>
      <w:r>
        <w:rPr>
          <w:color w:val="231F20"/>
          <w:w w:val="105"/>
        </w:rPr>
        <w:t>cual</w:t>
      </w:r>
      <w:r>
        <w:rPr>
          <w:color w:val="231F20"/>
          <w:spacing w:val="-14"/>
          <w:w w:val="105"/>
        </w:rPr>
        <w:t> </w:t>
      </w:r>
      <w:r>
        <w:rPr>
          <w:color w:val="231F20"/>
          <w:w w:val="105"/>
        </w:rPr>
        <w:t>se</w:t>
      </w:r>
      <w:r>
        <w:rPr>
          <w:color w:val="231F20"/>
          <w:spacing w:val="-14"/>
          <w:w w:val="105"/>
        </w:rPr>
        <w:t> </w:t>
      </w:r>
      <w:r>
        <w:rPr>
          <w:color w:val="231F20"/>
          <w:w w:val="105"/>
        </w:rPr>
        <w:t>considera</w:t>
      </w:r>
      <w:r>
        <w:rPr>
          <w:color w:val="231F20"/>
          <w:spacing w:val="-14"/>
          <w:w w:val="105"/>
        </w:rPr>
        <w:t> </w:t>
      </w:r>
      <w:r>
        <w:rPr>
          <w:color w:val="231F20"/>
          <w:w w:val="105"/>
        </w:rPr>
        <w:t>el</w:t>
      </w:r>
      <w:r>
        <w:rPr>
          <w:color w:val="231F20"/>
          <w:spacing w:val="-14"/>
          <w:w w:val="105"/>
        </w:rPr>
        <w:t> </w:t>
      </w:r>
      <w:r>
        <w:rPr>
          <w:color w:val="231F20"/>
          <w:w w:val="105"/>
        </w:rPr>
        <w:t>tema</w:t>
      </w:r>
      <w:r>
        <w:rPr>
          <w:color w:val="231F20"/>
          <w:spacing w:val="-14"/>
          <w:w w:val="105"/>
        </w:rPr>
        <w:t> </w:t>
      </w:r>
      <w:r>
        <w:rPr>
          <w:color w:val="231F20"/>
          <w:w w:val="105"/>
        </w:rPr>
        <w:t>para</w:t>
      </w:r>
      <w:r>
        <w:rPr>
          <w:color w:val="231F20"/>
          <w:spacing w:val="-14"/>
          <w:w w:val="105"/>
        </w:rPr>
        <w:t> </w:t>
      </w:r>
      <w:r>
        <w:rPr>
          <w:color w:val="231F20"/>
          <w:w w:val="105"/>
        </w:rPr>
        <w:t>una</w:t>
      </w:r>
      <w:r>
        <w:rPr>
          <w:color w:val="231F20"/>
          <w:spacing w:val="-14"/>
          <w:w w:val="105"/>
        </w:rPr>
        <w:t> </w:t>
      </w:r>
      <w:r>
        <w:rPr>
          <w:color w:val="231F20"/>
          <w:w w:val="105"/>
        </w:rPr>
        <w:t>in- vestigación futura y con ello seguir contribuyendo a la eficiencia de los mercados,</w:t>
      </w:r>
      <w:r>
        <w:rPr>
          <w:color w:val="231F20"/>
          <w:spacing w:val="-26"/>
          <w:w w:val="105"/>
        </w:rPr>
        <w:t> </w:t>
      </w:r>
      <w:r>
        <w:rPr>
          <w:color w:val="231F20"/>
          <w:w w:val="105"/>
        </w:rPr>
        <w:t>en</w:t>
      </w:r>
      <w:r>
        <w:rPr>
          <w:color w:val="231F20"/>
          <w:spacing w:val="-21"/>
          <w:w w:val="105"/>
        </w:rPr>
        <w:t> </w:t>
      </w:r>
      <w:r>
        <w:rPr>
          <w:color w:val="231F20"/>
          <w:w w:val="105"/>
        </w:rPr>
        <w:t>especial</w:t>
      </w:r>
      <w:r>
        <w:rPr>
          <w:color w:val="231F20"/>
          <w:spacing w:val="-21"/>
          <w:w w:val="105"/>
        </w:rPr>
        <w:t> </w:t>
      </w:r>
      <w:r>
        <w:rPr>
          <w:color w:val="231F20"/>
          <w:w w:val="105"/>
        </w:rPr>
        <w:t>el</w:t>
      </w:r>
      <w:r>
        <w:rPr>
          <w:color w:val="231F20"/>
          <w:spacing w:val="-21"/>
          <w:w w:val="105"/>
        </w:rPr>
        <w:t> </w:t>
      </w:r>
      <w:r>
        <w:rPr>
          <w:color w:val="231F20"/>
          <w:w w:val="105"/>
        </w:rPr>
        <w:t>de</w:t>
      </w:r>
      <w:r>
        <w:rPr>
          <w:color w:val="231F20"/>
          <w:spacing w:val="-21"/>
          <w:w w:val="105"/>
        </w:rPr>
        <w:t> </w:t>
      </w:r>
      <w:r>
        <w:rPr>
          <w:color w:val="231F20"/>
          <w:w w:val="105"/>
        </w:rPr>
        <w:t>México.</w:t>
      </w:r>
    </w:p>
    <w:p>
      <w:pPr>
        <w:spacing w:after="0" w:line="259" w:lineRule="auto"/>
        <w:jc w:val="both"/>
        <w:sectPr>
          <w:type w:val="continuous"/>
          <w:pgSz w:w="9640" w:h="13890"/>
          <w:pgMar w:top="1300" w:bottom="280" w:left="1300" w:right="1180"/>
        </w:sectPr>
      </w:pPr>
    </w:p>
    <w:p>
      <w:pPr>
        <w:pStyle w:val="Heading2"/>
        <w:spacing w:before="121"/>
        <w:ind w:left="103" w:right="17"/>
        <w:jc w:val="left"/>
      </w:pPr>
      <w:r>
        <w:rPr>
          <w:color w:val="231F20"/>
        </w:rPr>
        <w:t>Referencias</w:t>
      </w:r>
    </w:p>
    <w:p>
      <w:pPr>
        <w:pStyle w:val="BodyText"/>
        <w:rPr>
          <w:b/>
          <w:sz w:val="22"/>
        </w:rPr>
      </w:pPr>
    </w:p>
    <w:p>
      <w:pPr>
        <w:spacing w:line="259" w:lineRule="auto" w:before="160"/>
        <w:ind w:left="841" w:right="115" w:hanging="738"/>
        <w:jc w:val="both"/>
        <w:rPr>
          <w:sz w:val="21"/>
        </w:rPr>
      </w:pPr>
      <w:r>
        <w:rPr>
          <w:color w:val="231F20"/>
          <w:sz w:val="21"/>
        </w:rPr>
        <w:t>Aït-Sahalia, Y., and Kimmel, R. (2007). Maximum likelihood estimation of stochastic volatility models. </w:t>
      </w:r>
      <w:r>
        <w:rPr>
          <w:i/>
          <w:color w:val="231F20"/>
          <w:sz w:val="21"/>
        </w:rPr>
        <w:t>Journal of Financial Economics</w:t>
      </w:r>
      <w:r>
        <w:rPr>
          <w:color w:val="231F20"/>
          <w:sz w:val="21"/>
        </w:rPr>
        <w:t>, 413– 452.</w:t>
      </w:r>
    </w:p>
    <w:p>
      <w:pPr>
        <w:spacing w:line="259" w:lineRule="auto" w:before="0"/>
        <w:ind w:left="840" w:right="115" w:hanging="737"/>
        <w:jc w:val="both"/>
        <w:rPr>
          <w:sz w:val="21"/>
        </w:rPr>
      </w:pPr>
      <w:r>
        <w:rPr>
          <w:color w:val="231F20"/>
          <w:w w:val="105"/>
          <w:sz w:val="21"/>
        </w:rPr>
        <w:t>Amin,</w:t>
      </w:r>
      <w:r>
        <w:rPr>
          <w:color w:val="231F20"/>
          <w:spacing w:val="-26"/>
          <w:w w:val="105"/>
          <w:sz w:val="21"/>
        </w:rPr>
        <w:t> </w:t>
      </w:r>
      <w:r>
        <w:rPr>
          <w:color w:val="231F20"/>
          <w:w w:val="105"/>
          <w:sz w:val="21"/>
        </w:rPr>
        <w:t>K.</w:t>
      </w:r>
      <w:r>
        <w:rPr>
          <w:color w:val="231F20"/>
          <w:spacing w:val="-26"/>
          <w:w w:val="105"/>
          <w:sz w:val="21"/>
        </w:rPr>
        <w:t> </w:t>
      </w:r>
      <w:r>
        <w:rPr>
          <w:color w:val="231F20"/>
          <w:w w:val="105"/>
          <w:sz w:val="21"/>
        </w:rPr>
        <w:t>I.</w:t>
      </w:r>
      <w:r>
        <w:rPr>
          <w:color w:val="231F20"/>
          <w:spacing w:val="-26"/>
          <w:w w:val="105"/>
          <w:sz w:val="21"/>
        </w:rPr>
        <w:t> </w:t>
      </w:r>
      <w:r>
        <w:rPr>
          <w:color w:val="231F20"/>
          <w:w w:val="105"/>
          <w:sz w:val="21"/>
        </w:rPr>
        <w:t>and</w:t>
      </w:r>
      <w:r>
        <w:rPr>
          <w:color w:val="231F20"/>
          <w:spacing w:val="-24"/>
          <w:w w:val="105"/>
          <w:sz w:val="21"/>
        </w:rPr>
        <w:t> </w:t>
      </w:r>
      <w:r>
        <w:rPr>
          <w:color w:val="231F20"/>
          <w:spacing w:val="-9"/>
          <w:w w:val="105"/>
          <w:sz w:val="21"/>
        </w:rPr>
        <w:t>V.</w:t>
      </w:r>
      <w:r>
        <w:rPr>
          <w:color w:val="231F20"/>
          <w:spacing w:val="-26"/>
          <w:w w:val="105"/>
          <w:sz w:val="21"/>
        </w:rPr>
        <w:t> </w:t>
      </w:r>
      <w:r>
        <w:rPr>
          <w:color w:val="231F20"/>
          <w:w w:val="105"/>
          <w:sz w:val="21"/>
        </w:rPr>
        <w:t>K.</w:t>
      </w:r>
      <w:r>
        <w:rPr>
          <w:color w:val="231F20"/>
          <w:spacing w:val="-26"/>
          <w:w w:val="105"/>
          <w:sz w:val="21"/>
        </w:rPr>
        <w:t> </w:t>
      </w:r>
      <w:r>
        <w:rPr>
          <w:color w:val="231F20"/>
          <w:w w:val="105"/>
          <w:sz w:val="21"/>
        </w:rPr>
        <w:t>Ng.</w:t>
      </w:r>
      <w:r>
        <w:rPr>
          <w:color w:val="231F20"/>
          <w:spacing w:val="-26"/>
          <w:w w:val="105"/>
          <w:sz w:val="21"/>
        </w:rPr>
        <w:t> </w:t>
      </w:r>
      <w:r>
        <w:rPr>
          <w:color w:val="231F20"/>
          <w:w w:val="105"/>
          <w:sz w:val="21"/>
        </w:rPr>
        <w:t>(1994).</w:t>
      </w:r>
      <w:r>
        <w:rPr>
          <w:color w:val="231F20"/>
          <w:spacing w:val="-26"/>
          <w:w w:val="105"/>
          <w:sz w:val="21"/>
        </w:rPr>
        <w:t> </w:t>
      </w:r>
      <w:r>
        <w:rPr>
          <w:i/>
          <w:color w:val="231F20"/>
          <w:w w:val="105"/>
          <w:sz w:val="21"/>
        </w:rPr>
        <w:t>A</w:t>
      </w:r>
      <w:r>
        <w:rPr>
          <w:i/>
          <w:color w:val="231F20"/>
          <w:spacing w:val="-24"/>
          <w:w w:val="105"/>
          <w:sz w:val="21"/>
        </w:rPr>
        <w:t> </w:t>
      </w:r>
      <w:r>
        <w:rPr>
          <w:i/>
          <w:color w:val="231F20"/>
          <w:w w:val="105"/>
          <w:sz w:val="21"/>
        </w:rPr>
        <w:t>comparison</w:t>
      </w:r>
      <w:r>
        <w:rPr>
          <w:i/>
          <w:color w:val="231F20"/>
          <w:spacing w:val="-21"/>
          <w:w w:val="105"/>
          <w:sz w:val="21"/>
        </w:rPr>
        <w:t> </w:t>
      </w:r>
      <w:r>
        <w:rPr>
          <w:i/>
          <w:color w:val="231F20"/>
          <w:w w:val="105"/>
          <w:sz w:val="21"/>
        </w:rPr>
        <w:t>of</w:t>
      </w:r>
      <w:r>
        <w:rPr>
          <w:i/>
          <w:color w:val="231F20"/>
          <w:spacing w:val="-17"/>
          <w:w w:val="105"/>
          <w:sz w:val="21"/>
        </w:rPr>
        <w:t> </w:t>
      </w:r>
      <w:r>
        <w:rPr>
          <w:i/>
          <w:color w:val="231F20"/>
          <w:w w:val="105"/>
          <w:sz w:val="21"/>
        </w:rPr>
        <w:t>predictable</w:t>
      </w:r>
      <w:r>
        <w:rPr>
          <w:i/>
          <w:color w:val="231F20"/>
          <w:spacing w:val="-21"/>
          <w:w w:val="105"/>
          <w:sz w:val="21"/>
        </w:rPr>
        <w:t> </w:t>
      </w:r>
      <w:r>
        <w:rPr>
          <w:i/>
          <w:color w:val="231F20"/>
          <w:w w:val="105"/>
          <w:sz w:val="21"/>
        </w:rPr>
        <w:t>volatility</w:t>
      </w:r>
      <w:r>
        <w:rPr>
          <w:i/>
          <w:color w:val="231F20"/>
          <w:spacing w:val="-21"/>
          <w:w w:val="105"/>
          <w:sz w:val="21"/>
        </w:rPr>
        <w:t> </w:t>
      </w:r>
      <w:r>
        <w:rPr>
          <w:i/>
          <w:color w:val="231F20"/>
          <w:w w:val="105"/>
          <w:sz w:val="21"/>
        </w:rPr>
        <w:t>mo- </w:t>
      </w:r>
      <w:r>
        <w:rPr>
          <w:i/>
          <w:color w:val="231F20"/>
          <w:w w:val="105"/>
          <w:sz w:val="21"/>
        </w:rPr>
        <w:t>dels</w:t>
      </w:r>
      <w:r>
        <w:rPr>
          <w:i/>
          <w:color w:val="231F20"/>
          <w:spacing w:val="-9"/>
          <w:w w:val="105"/>
          <w:sz w:val="21"/>
        </w:rPr>
        <w:t> </w:t>
      </w:r>
      <w:r>
        <w:rPr>
          <w:i/>
          <w:color w:val="231F20"/>
          <w:w w:val="105"/>
          <w:sz w:val="21"/>
        </w:rPr>
        <w:t>using</w:t>
      </w:r>
      <w:r>
        <w:rPr>
          <w:i/>
          <w:color w:val="231F20"/>
          <w:spacing w:val="-9"/>
          <w:w w:val="105"/>
          <w:sz w:val="21"/>
        </w:rPr>
        <w:t> </w:t>
      </w:r>
      <w:r>
        <w:rPr>
          <w:i/>
          <w:color w:val="231F20"/>
          <w:w w:val="105"/>
          <w:sz w:val="21"/>
        </w:rPr>
        <w:t>option</w:t>
      </w:r>
      <w:r>
        <w:rPr>
          <w:i/>
          <w:color w:val="231F20"/>
          <w:spacing w:val="-9"/>
          <w:w w:val="105"/>
          <w:sz w:val="21"/>
        </w:rPr>
        <w:t> </w:t>
      </w:r>
      <w:r>
        <w:rPr>
          <w:i/>
          <w:color w:val="231F20"/>
          <w:w w:val="105"/>
          <w:sz w:val="21"/>
        </w:rPr>
        <w:t>data.</w:t>
      </w:r>
      <w:r>
        <w:rPr>
          <w:i/>
          <w:color w:val="231F20"/>
          <w:spacing w:val="-9"/>
          <w:w w:val="105"/>
          <w:sz w:val="21"/>
        </w:rPr>
        <w:t> </w:t>
      </w:r>
      <w:r>
        <w:rPr>
          <w:color w:val="231F20"/>
          <w:w w:val="105"/>
          <w:sz w:val="21"/>
        </w:rPr>
        <w:t>Research</w:t>
      </w:r>
      <w:r>
        <w:rPr>
          <w:color w:val="231F20"/>
          <w:spacing w:val="-9"/>
          <w:w w:val="105"/>
          <w:sz w:val="21"/>
        </w:rPr>
        <w:t> </w:t>
      </w:r>
      <w:r>
        <w:rPr>
          <w:color w:val="231F20"/>
          <w:w w:val="105"/>
          <w:sz w:val="21"/>
        </w:rPr>
        <w:t>Department</w:t>
      </w:r>
      <w:r>
        <w:rPr>
          <w:color w:val="231F20"/>
          <w:spacing w:val="-9"/>
          <w:w w:val="105"/>
          <w:sz w:val="21"/>
        </w:rPr>
        <w:t> </w:t>
      </w:r>
      <w:r>
        <w:rPr>
          <w:color w:val="231F20"/>
          <w:w w:val="105"/>
          <w:sz w:val="21"/>
        </w:rPr>
        <w:t>working</w:t>
      </w:r>
      <w:r>
        <w:rPr>
          <w:color w:val="231F20"/>
          <w:spacing w:val="-9"/>
          <w:w w:val="105"/>
          <w:sz w:val="21"/>
        </w:rPr>
        <w:t> </w:t>
      </w:r>
      <w:r>
        <w:rPr>
          <w:color w:val="231F20"/>
          <w:w w:val="105"/>
          <w:sz w:val="21"/>
        </w:rPr>
        <w:t>paper,</w:t>
      </w:r>
      <w:r>
        <w:rPr>
          <w:color w:val="231F20"/>
          <w:spacing w:val="-15"/>
          <w:w w:val="105"/>
          <w:sz w:val="21"/>
        </w:rPr>
        <w:t> </w:t>
      </w:r>
      <w:r>
        <w:rPr>
          <w:color w:val="231F20"/>
          <w:w w:val="105"/>
          <w:sz w:val="21"/>
        </w:rPr>
        <w:t>In- ternational Monetary</w:t>
      </w:r>
      <w:r>
        <w:rPr>
          <w:color w:val="231F20"/>
          <w:spacing w:val="-48"/>
          <w:w w:val="105"/>
          <w:sz w:val="21"/>
        </w:rPr>
        <w:t> </w:t>
      </w:r>
      <w:r>
        <w:rPr>
          <w:color w:val="231F20"/>
          <w:w w:val="105"/>
          <w:sz w:val="21"/>
        </w:rPr>
        <w:t>Fund.</w:t>
      </w:r>
    </w:p>
    <w:p>
      <w:pPr>
        <w:spacing w:line="259" w:lineRule="auto" w:before="0"/>
        <w:ind w:left="840" w:right="115" w:hanging="738"/>
        <w:jc w:val="both"/>
        <w:rPr>
          <w:sz w:val="21"/>
        </w:rPr>
      </w:pPr>
      <w:r>
        <w:rPr>
          <w:color w:val="231F20"/>
          <w:sz w:val="21"/>
        </w:rPr>
        <w:t>Andersen, </w:t>
      </w:r>
      <w:r>
        <w:rPr>
          <w:color w:val="231F20"/>
          <w:spacing w:val="-5"/>
          <w:sz w:val="21"/>
        </w:rPr>
        <w:t>T.G. </w:t>
      </w:r>
      <w:r>
        <w:rPr>
          <w:color w:val="231F20"/>
          <w:sz w:val="21"/>
        </w:rPr>
        <w:t>and Sorensen, B. (2010). GMM estimation of a stochas-  tic volatility model: a Monte Carlo Study. </w:t>
      </w:r>
      <w:r>
        <w:rPr>
          <w:i/>
          <w:color w:val="231F20"/>
          <w:sz w:val="21"/>
        </w:rPr>
        <w:t>Journal of Business and </w:t>
      </w:r>
      <w:r>
        <w:rPr>
          <w:i/>
          <w:color w:val="231F20"/>
          <w:sz w:val="21"/>
        </w:rPr>
        <w:t>Economic Statistics. </w:t>
      </w:r>
      <w:r>
        <w:rPr>
          <w:color w:val="231F20"/>
          <w:sz w:val="21"/>
        </w:rPr>
        <w:t>No. 14,</w:t>
      </w:r>
      <w:r>
        <w:rPr>
          <w:color w:val="231F20"/>
          <w:spacing w:val="-43"/>
          <w:sz w:val="21"/>
        </w:rPr>
        <w:t> </w:t>
      </w:r>
      <w:r>
        <w:rPr>
          <w:color w:val="231F20"/>
          <w:sz w:val="21"/>
        </w:rPr>
        <w:t>328–352.</w:t>
      </w:r>
    </w:p>
    <w:p>
      <w:pPr>
        <w:pStyle w:val="BodyText"/>
        <w:spacing w:line="259" w:lineRule="auto"/>
        <w:ind w:left="840" w:right="109" w:hanging="738"/>
        <w:jc w:val="both"/>
      </w:pPr>
      <w:r>
        <w:rPr>
          <w:color w:val="231F20"/>
          <w:w w:val="105"/>
        </w:rPr>
        <w:t>Arranz,</w:t>
      </w:r>
      <w:r>
        <w:rPr>
          <w:color w:val="231F20"/>
          <w:spacing w:val="-27"/>
          <w:w w:val="105"/>
        </w:rPr>
        <w:t> </w:t>
      </w:r>
      <w:r>
        <w:rPr>
          <w:color w:val="231F20"/>
          <w:w w:val="105"/>
        </w:rPr>
        <w:t>M.</w:t>
      </w:r>
      <w:r>
        <w:rPr>
          <w:color w:val="231F20"/>
          <w:spacing w:val="-27"/>
          <w:w w:val="105"/>
        </w:rPr>
        <w:t> </w:t>
      </w:r>
      <w:r>
        <w:rPr>
          <w:color w:val="231F20"/>
          <w:w w:val="105"/>
        </w:rPr>
        <w:t>e</w:t>
      </w:r>
      <w:r>
        <w:rPr>
          <w:color w:val="231F20"/>
          <w:spacing w:val="-22"/>
          <w:w w:val="105"/>
        </w:rPr>
        <w:t> </w:t>
      </w:r>
      <w:r>
        <w:rPr>
          <w:color w:val="231F20"/>
          <w:w w:val="105"/>
        </w:rPr>
        <w:t>Iglesias.</w:t>
      </w:r>
      <w:r>
        <w:rPr>
          <w:color w:val="231F20"/>
          <w:spacing w:val="-27"/>
          <w:w w:val="105"/>
        </w:rPr>
        <w:t> </w:t>
      </w:r>
      <w:r>
        <w:rPr>
          <w:color w:val="231F20"/>
          <w:w w:val="105"/>
        </w:rPr>
        <w:t>M.</w:t>
      </w:r>
      <w:r>
        <w:rPr>
          <w:color w:val="231F20"/>
          <w:spacing w:val="-27"/>
          <w:w w:val="105"/>
        </w:rPr>
        <w:t> </w:t>
      </w:r>
      <w:r>
        <w:rPr>
          <w:color w:val="231F20"/>
          <w:w w:val="105"/>
        </w:rPr>
        <w:t>(2005).</w:t>
      </w:r>
      <w:r>
        <w:rPr>
          <w:color w:val="231F20"/>
          <w:spacing w:val="-30"/>
          <w:w w:val="105"/>
        </w:rPr>
        <w:t> </w:t>
      </w:r>
      <w:r>
        <w:rPr>
          <w:color w:val="231F20"/>
          <w:w w:val="105"/>
        </w:rPr>
        <w:t>Análisis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tipos</w:t>
      </w:r>
      <w:r>
        <w:rPr>
          <w:color w:val="231F20"/>
          <w:spacing w:val="-22"/>
          <w:w w:val="105"/>
        </w:rPr>
        <w:t> </w:t>
      </w:r>
      <w:r>
        <w:rPr>
          <w:color w:val="231F20"/>
          <w:w w:val="105"/>
        </w:rPr>
        <w:t>de</w:t>
      </w:r>
      <w:r>
        <w:rPr>
          <w:color w:val="231F20"/>
          <w:spacing w:val="-22"/>
          <w:w w:val="105"/>
        </w:rPr>
        <w:t> </w:t>
      </w:r>
      <w:r>
        <w:rPr>
          <w:color w:val="231F20"/>
          <w:w w:val="105"/>
        </w:rPr>
        <w:t>cambio</w:t>
      </w:r>
      <w:r>
        <w:rPr>
          <w:color w:val="231F20"/>
          <w:spacing w:val="-22"/>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eco- nomía</w:t>
      </w:r>
      <w:r>
        <w:rPr>
          <w:color w:val="231F20"/>
          <w:spacing w:val="-21"/>
          <w:w w:val="105"/>
        </w:rPr>
        <w:t> </w:t>
      </w:r>
      <w:r>
        <w:rPr>
          <w:color w:val="231F20"/>
          <w:w w:val="105"/>
        </w:rPr>
        <w:t>mexicana</w:t>
      </w:r>
      <w:r>
        <w:rPr>
          <w:color w:val="231F20"/>
          <w:spacing w:val="-21"/>
          <w:w w:val="105"/>
        </w:rPr>
        <w:t> </w:t>
      </w:r>
      <w:r>
        <w:rPr>
          <w:color w:val="231F20"/>
          <w:w w:val="105"/>
        </w:rPr>
        <w:t>y</w:t>
      </w:r>
      <w:r>
        <w:rPr>
          <w:color w:val="231F20"/>
          <w:spacing w:val="-21"/>
          <w:w w:val="105"/>
        </w:rPr>
        <w:t> </w:t>
      </w:r>
      <w:r>
        <w:rPr>
          <w:color w:val="231F20"/>
          <w:w w:val="105"/>
        </w:rPr>
        <w:t>comparación</w:t>
      </w:r>
      <w:r>
        <w:rPr>
          <w:color w:val="231F20"/>
          <w:spacing w:val="-21"/>
          <w:w w:val="105"/>
        </w:rPr>
        <w:t> </w:t>
      </w:r>
      <w:r>
        <w:rPr>
          <w:color w:val="231F20"/>
          <w:w w:val="105"/>
        </w:rPr>
        <w:t>con</w:t>
      </w:r>
      <w:r>
        <w:rPr>
          <w:color w:val="231F20"/>
          <w:spacing w:val="-21"/>
          <w:w w:val="105"/>
        </w:rPr>
        <w:t> </w:t>
      </w:r>
      <w:r>
        <w:rPr>
          <w:color w:val="231F20"/>
          <w:w w:val="105"/>
        </w:rPr>
        <w:t>otros</w:t>
      </w:r>
      <w:r>
        <w:rPr>
          <w:color w:val="231F20"/>
          <w:spacing w:val="-21"/>
          <w:w w:val="105"/>
        </w:rPr>
        <w:t> </w:t>
      </w:r>
      <w:r>
        <w:rPr>
          <w:color w:val="231F20"/>
          <w:w w:val="105"/>
        </w:rPr>
        <w:t>países:</w:t>
      </w:r>
      <w:r>
        <w:rPr>
          <w:color w:val="231F20"/>
          <w:spacing w:val="-21"/>
          <w:w w:val="105"/>
        </w:rPr>
        <w:t> </w:t>
      </w:r>
      <w:r>
        <w:rPr>
          <w:color w:val="231F20"/>
          <w:w w:val="105"/>
        </w:rPr>
        <w:t>Un</w:t>
      </w:r>
      <w:r>
        <w:rPr>
          <w:color w:val="231F20"/>
          <w:spacing w:val="-21"/>
          <w:w w:val="105"/>
        </w:rPr>
        <w:t> </w:t>
      </w:r>
      <w:r>
        <w:rPr>
          <w:color w:val="231F20"/>
          <w:w w:val="105"/>
        </w:rPr>
        <w:t>enfoque</w:t>
      </w:r>
      <w:r>
        <w:rPr>
          <w:color w:val="231F20"/>
          <w:spacing w:val="-21"/>
          <w:w w:val="105"/>
        </w:rPr>
        <w:t> </w:t>
      </w:r>
      <w:r>
        <w:rPr>
          <w:color w:val="231F20"/>
          <w:w w:val="105"/>
        </w:rPr>
        <w:t>de volatilidad</w:t>
      </w:r>
      <w:r>
        <w:rPr>
          <w:color w:val="231F20"/>
          <w:spacing w:val="-37"/>
          <w:w w:val="105"/>
        </w:rPr>
        <w:t> </w:t>
      </w:r>
      <w:r>
        <w:rPr>
          <w:color w:val="231F20"/>
          <w:w w:val="105"/>
        </w:rPr>
        <w:t>estocástica.</w:t>
      </w:r>
      <w:r>
        <w:rPr>
          <w:color w:val="231F20"/>
          <w:spacing w:val="-40"/>
          <w:w w:val="105"/>
        </w:rPr>
        <w:t> </w:t>
      </w:r>
      <w:r>
        <w:rPr>
          <w:i/>
          <w:color w:val="231F20"/>
          <w:w w:val="105"/>
        </w:rPr>
        <w:t>Investigación</w:t>
      </w:r>
      <w:r>
        <w:rPr>
          <w:i/>
          <w:color w:val="231F20"/>
          <w:spacing w:val="-37"/>
          <w:w w:val="105"/>
        </w:rPr>
        <w:t> </w:t>
      </w:r>
      <w:r>
        <w:rPr>
          <w:i/>
          <w:color w:val="231F20"/>
          <w:w w:val="105"/>
        </w:rPr>
        <w:t>Económica</w:t>
      </w:r>
      <w:r>
        <w:rPr>
          <w:color w:val="231F20"/>
          <w:w w:val="105"/>
        </w:rPr>
        <w:t>.</w:t>
      </w:r>
      <w:r>
        <w:rPr>
          <w:color w:val="231F20"/>
          <w:spacing w:val="-42"/>
          <w:w w:val="105"/>
        </w:rPr>
        <w:t> </w:t>
      </w:r>
      <w:r>
        <w:rPr>
          <w:color w:val="231F20"/>
          <w:spacing w:val="-3"/>
          <w:w w:val="105"/>
        </w:rPr>
        <w:t>Vol.</w:t>
      </w:r>
      <w:r>
        <w:rPr>
          <w:color w:val="231F20"/>
          <w:spacing w:val="-40"/>
          <w:w w:val="105"/>
        </w:rPr>
        <w:t> </w:t>
      </w:r>
      <w:r>
        <w:rPr>
          <w:color w:val="231F20"/>
          <w:w w:val="105"/>
        </w:rPr>
        <w:t>64,</w:t>
      </w:r>
      <w:r>
        <w:rPr>
          <w:color w:val="231F20"/>
          <w:spacing w:val="-40"/>
          <w:w w:val="105"/>
        </w:rPr>
        <w:t> </w:t>
      </w:r>
      <w:r>
        <w:rPr>
          <w:color w:val="231F20"/>
          <w:w w:val="105"/>
        </w:rPr>
        <w:t>No.</w:t>
      </w:r>
      <w:r>
        <w:rPr>
          <w:color w:val="231F20"/>
          <w:spacing w:val="-40"/>
          <w:w w:val="105"/>
        </w:rPr>
        <w:t> </w:t>
      </w:r>
      <w:r>
        <w:rPr>
          <w:color w:val="231F20"/>
          <w:w w:val="105"/>
        </w:rPr>
        <w:t>253, 159-169.</w:t>
      </w:r>
    </w:p>
    <w:p>
      <w:pPr>
        <w:pStyle w:val="BodyText"/>
        <w:spacing w:line="259" w:lineRule="auto"/>
        <w:ind w:left="840" w:right="115" w:hanging="738"/>
        <w:jc w:val="both"/>
      </w:pPr>
      <w:r>
        <w:rPr>
          <w:color w:val="231F20"/>
          <w:w w:val="105"/>
        </w:rPr>
        <w:t>Bakshi,</w:t>
      </w:r>
      <w:r>
        <w:rPr>
          <w:color w:val="231F20"/>
          <w:spacing w:val="-20"/>
          <w:w w:val="105"/>
        </w:rPr>
        <w:t> </w:t>
      </w:r>
      <w:r>
        <w:rPr>
          <w:color w:val="231F20"/>
          <w:w w:val="105"/>
        </w:rPr>
        <w:t>G.,</w:t>
      </w:r>
      <w:r>
        <w:rPr>
          <w:color w:val="231F20"/>
          <w:spacing w:val="-20"/>
          <w:w w:val="105"/>
        </w:rPr>
        <w:t> </w:t>
      </w:r>
      <w:r>
        <w:rPr>
          <w:color w:val="231F20"/>
          <w:w w:val="105"/>
        </w:rPr>
        <w:t>Cao,</w:t>
      </w:r>
      <w:r>
        <w:rPr>
          <w:color w:val="231F20"/>
          <w:spacing w:val="-20"/>
          <w:w w:val="105"/>
        </w:rPr>
        <w:t> </w:t>
      </w:r>
      <w:r>
        <w:rPr>
          <w:color w:val="231F20"/>
          <w:w w:val="105"/>
        </w:rPr>
        <w:t>C.</w:t>
      </w:r>
      <w:r>
        <w:rPr>
          <w:color w:val="231F20"/>
          <w:spacing w:val="-20"/>
          <w:w w:val="105"/>
        </w:rPr>
        <w:t> </w:t>
      </w:r>
      <w:r>
        <w:rPr>
          <w:color w:val="231F20"/>
          <w:w w:val="105"/>
        </w:rPr>
        <w:t>and</w:t>
      </w:r>
      <w:r>
        <w:rPr>
          <w:color w:val="231F20"/>
          <w:spacing w:val="-15"/>
          <w:w w:val="105"/>
        </w:rPr>
        <w:t> </w:t>
      </w:r>
      <w:r>
        <w:rPr>
          <w:color w:val="231F20"/>
          <w:w w:val="105"/>
        </w:rPr>
        <w:t>Chen,</w:t>
      </w:r>
      <w:r>
        <w:rPr>
          <w:color w:val="231F20"/>
          <w:spacing w:val="-20"/>
          <w:w w:val="105"/>
        </w:rPr>
        <w:t> </w:t>
      </w:r>
      <w:r>
        <w:rPr>
          <w:color w:val="231F20"/>
          <w:w w:val="105"/>
        </w:rPr>
        <w:t>Z.</w:t>
      </w:r>
      <w:r>
        <w:rPr>
          <w:color w:val="231F20"/>
          <w:spacing w:val="-20"/>
          <w:w w:val="105"/>
        </w:rPr>
        <w:t> </w:t>
      </w:r>
      <w:r>
        <w:rPr>
          <w:color w:val="231F20"/>
          <w:w w:val="105"/>
        </w:rPr>
        <w:t>(1997),</w:t>
      </w:r>
      <w:r>
        <w:rPr>
          <w:color w:val="231F20"/>
          <w:spacing w:val="-20"/>
          <w:w w:val="105"/>
        </w:rPr>
        <w:t> </w:t>
      </w:r>
      <w:r>
        <w:rPr>
          <w:color w:val="231F20"/>
          <w:w w:val="105"/>
        </w:rPr>
        <w:t>Empirical</w:t>
      </w:r>
      <w:r>
        <w:rPr>
          <w:color w:val="231F20"/>
          <w:spacing w:val="-15"/>
          <w:w w:val="105"/>
        </w:rPr>
        <w:t> </w:t>
      </w:r>
      <w:r>
        <w:rPr>
          <w:color w:val="231F20"/>
          <w:w w:val="105"/>
        </w:rPr>
        <w:t>Performance</w:t>
      </w:r>
      <w:r>
        <w:rPr>
          <w:color w:val="231F20"/>
          <w:spacing w:val="-15"/>
          <w:w w:val="105"/>
        </w:rPr>
        <w:t> </w:t>
      </w:r>
      <w:r>
        <w:rPr>
          <w:color w:val="231F20"/>
          <w:w w:val="105"/>
        </w:rPr>
        <w:t>of</w:t>
      </w:r>
      <w:r>
        <w:rPr>
          <w:color w:val="231F20"/>
          <w:spacing w:val="-15"/>
          <w:w w:val="105"/>
        </w:rPr>
        <w:t> </w:t>
      </w:r>
      <w:r>
        <w:rPr>
          <w:color w:val="231F20"/>
          <w:w w:val="105"/>
        </w:rPr>
        <w:t>Alter- native</w:t>
      </w:r>
      <w:r>
        <w:rPr>
          <w:color w:val="231F20"/>
          <w:spacing w:val="-22"/>
          <w:w w:val="105"/>
        </w:rPr>
        <w:t> </w:t>
      </w:r>
      <w:r>
        <w:rPr>
          <w:color w:val="231F20"/>
          <w:w w:val="105"/>
        </w:rPr>
        <w:t>Option</w:t>
      </w:r>
      <w:r>
        <w:rPr>
          <w:color w:val="231F20"/>
          <w:spacing w:val="-22"/>
          <w:w w:val="105"/>
        </w:rPr>
        <w:t> </w:t>
      </w:r>
      <w:r>
        <w:rPr>
          <w:color w:val="231F20"/>
          <w:w w:val="105"/>
        </w:rPr>
        <w:t>Pricing</w:t>
      </w:r>
      <w:r>
        <w:rPr>
          <w:color w:val="231F20"/>
          <w:spacing w:val="-22"/>
          <w:w w:val="105"/>
        </w:rPr>
        <w:t> </w:t>
      </w:r>
      <w:r>
        <w:rPr>
          <w:color w:val="231F20"/>
          <w:w w:val="105"/>
        </w:rPr>
        <w:t>Models.</w:t>
      </w:r>
      <w:r>
        <w:rPr>
          <w:color w:val="231F20"/>
          <w:spacing w:val="-28"/>
          <w:w w:val="105"/>
        </w:rPr>
        <w:t> </w:t>
      </w:r>
      <w:r>
        <w:rPr>
          <w:i/>
          <w:color w:val="231F20"/>
          <w:w w:val="105"/>
        </w:rPr>
        <w:t>Journal</w:t>
      </w:r>
      <w:r>
        <w:rPr>
          <w:i/>
          <w:color w:val="231F20"/>
          <w:spacing w:val="-22"/>
          <w:w w:val="105"/>
        </w:rPr>
        <w:t> </w:t>
      </w:r>
      <w:r>
        <w:rPr>
          <w:i/>
          <w:color w:val="231F20"/>
          <w:w w:val="105"/>
        </w:rPr>
        <w:t>of</w:t>
      </w:r>
      <w:r>
        <w:rPr>
          <w:i/>
          <w:color w:val="231F20"/>
          <w:spacing w:val="-19"/>
          <w:w w:val="105"/>
        </w:rPr>
        <w:t> </w:t>
      </w:r>
      <w:r>
        <w:rPr>
          <w:i/>
          <w:color w:val="231F20"/>
          <w:w w:val="105"/>
        </w:rPr>
        <w:t>Finance</w:t>
      </w:r>
      <w:r>
        <w:rPr>
          <w:color w:val="231F20"/>
          <w:w w:val="105"/>
        </w:rPr>
        <w:t>,</w:t>
      </w:r>
      <w:r>
        <w:rPr>
          <w:color w:val="231F20"/>
          <w:spacing w:val="-28"/>
          <w:w w:val="105"/>
        </w:rPr>
        <w:t> </w:t>
      </w:r>
      <w:r>
        <w:rPr>
          <w:color w:val="231F20"/>
          <w:w w:val="105"/>
        </w:rPr>
        <w:t>52,</w:t>
      </w:r>
      <w:r>
        <w:rPr>
          <w:color w:val="231F20"/>
          <w:spacing w:val="-28"/>
          <w:w w:val="105"/>
        </w:rPr>
        <w:t> </w:t>
      </w:r>
      <w:r>
        <w:rPr>
          <w:color w:val="231F20"/>
          <w:w w:val="105"/>
        </w:rPr>
        <w:t>2003-2049.</w:t>
      </w:r>
    </w:p>
    <w:p>
      <w:pPr>
        <w:spacing w:line="259" w:lineRule="auto" w:before="0"/>
        <w:ind w:left="840" w:right="120" w:hanging="737"/>
        <w:jc w:val="both"/>
        <w:rPr>
          <w:sz w:val="21"/>
        </w:rPr>
      </w:pPr>
      <w:r>
        <w:rPr>
          <w:color w:val="231F20"/>
          <w:w w:val="105"/>
          <w:sz w:val="21"/>
        </w:rPr>
        <w:t>Bates, D. (2003), Empirical Option Pricing: A Retrospection. </w:t>
      </w:r>
      <w:r>
        <w:rPr>
          <w:i/>
          <w:color w:val="231F20"/>
          <w:w w:val="105"/>
          <w:sz w:val="21"/>
        </w:rPr>
        <w:t>Journal of </w:t>
      </w:r>
      <w:r>
        <w:rPr>
          <w:i/>
          <w:color w:val="231F20"/>
          <w:sz w:val="21"/>
        </w:rPr>
        <w:t>Econometrics</w:t>
      </w:r>
      <w:r>
        <w:rPr>
          <w:color w:val="231F20"/>
          <w:sz w:val="21"/>
        </w:rPr>
        <w:t>, 116, 387-404.</w:t>
      </w:r>
    </w:p>
    <w:p>
      <w:pPr>
        <w:pStyle w:val="BodyText"/>
        <w:spacing w:line="241" w:lineRule="exact"/>
        <w:ind w:left="103" w:right="17"/>
      </w:pPr>
      <w:r>
        <w:rPr>
          <w:color w:val="231F20"/>
        </w:rPr>
        <w:t>–––––––</w:t>
      </w:r>
      <w:r>
        <w:rPr>
          <w:color w:val="231F20"/>
          <w:spacing w:val="-26"/>
        </w:rPr>
        <w:t> </w:t>
      </w:r>
      <w:r>
        <w:rPr>
          <w:color w:val="231F20"/>
        </w:rPr>
        <w:t>(2000),</w:t>
      </w:r>
      <w:r>
        <w:rPr>
          <w:color w:val="231F20"/>
          <w:spacing w:val="-30"/>
        </w:rPr>
        <w:t> </w:t>
      </w:r>
      <w:r>
        <w:rPr>
          <w:color w:val="231F20"/>
        </w:rPr>
        <w:t>Post-’87</w:t>
      </w:r>
      <w:r>
        <w:rPr>
          <w:color w:val="231F20"/>
          <w:spacing w:val="-26"/>
        </w:rPr>
        <w:t> </w:t>
      </w:r>
      <w:r>
        <w:rPr>
          <w:color w:val="231F20"/>
        </w:rPr>
        <w:t>Crash</w:t>
      </w:r>
      <w:r>
        <w:rPr>
          <w:color w:val="231F20"/>
          <w:spacing w:val="-26"/>
        </w:rPr>
        <w:t> </w:t>
      </w:r>
      <w:r>
        <w:rPr>
          <w:color w:val="231F20"/>
          <w:spacing w:val="-3"/>
        </w:rPr>
        <w:t>Fears</w:t>
      </w:r>
      <w:r>
        <w:rPr>
          <w:color w:val="231F20"/>
          <w:spacing w:val="-26"/>
        </w:rPr>
        <w:t> </w:t>
      </w:r>
      <w:r>
        <w:rPr>
          <w:color w:val="231F20"/>
        </w:rPr>
        <w:t>in</w:t>
      </w:r>
      <w:r>
        <w:rPr>
          <w:color w:val="231F20"/>
          <w:spacing w:val="-26"/>
        </w:rPr>
        <w:t> </w:t>
      </w:r>
      <w:r>
        <w:rPr>
          <w:color w:val="231F20"/>
        </w:rPr>
        <w:t>the</w:t>
      </w:r>
      <w:r>
        <w:rPr>
          <w:color w:val="231F20"/>
          <w:spacing w:val="-26"/>
        </w:rPr>
        <w:t> </w:t>
      </w:r>
      <w:r>
        <w:rPr>
          <w:color w:val="231F20"/>
        </w:rPr>
        <w:t>SyP</w:t>
      </w:r>
      <w:r>
        <w:rPr>
          <w:color w:val="231F20"/>
          <w:spacing w:val="-26"/>
        </w:rPr>
        <w:t> </w:t>
      </w:r>
      <w:r>
        <w:rPr>
          <w:color w:val="231F20"/>
        </w:rPr>
        <w:t>500</w:t>
      </w:r>
      <w:r>
        <w:rPr>
          <w:color w:val="231F20"/>
          <w:spacing w:val="-26"/>
        </w:rPr>
        <w:t> </w:t>
      </w:r>
      <w:r>
        <w:rPr>
          <w:color w:val="231F20"/>
        </w:rPr>
        <w:t>Futures</w:t>
      </w:r>
      <w:r>
        <w:rPr>
          <w:color w:val="231F20"/>
          <w:spacing w:val="-26"/>
        </w:rPr>
        <w:t> </w:t>
      </w:r>
      <w:r>
        <w:rPr>
          <w:color w:val="231F20"/>
        </w:rPr>
        <w:t>Option</w:t>
      </w:r>
      <w:r>
        <w:rPr>
          <w:color w:val="231F20"/>
          <w:spacing w:val="-26"/>
        </w:rPr>
        <w:t> </w:t>
      </w:r>
      <w:r>
        <w:rPr>
          <w:color w:val="231F20"/>
        </w:rPr>
        <w:t>Market.</w:t>
      </w:r>
    </w:p>
    <w:p>
      <w:pPr>
        <w:spacing w:before="18"/>
        <w:ind w:left="840" w:right="17" w:firstLine="0"/>
        <w:jc w:val="left"/>
        <w:rPr>
          <w:sz w:val="21"/>
        </w:rPr>
      </w:pPr>
      <w:r>
        <w:rPr>
          <w:i/>
          <w:color w:val="231F20"/>
          <w:w w:val="105"/>
          <w:sz w:val="21"/>
        </w:rPr>
        <w:t>Journal of Econometrics</w:t>
      </w:r>
      <w:r>
        <w:rPr>
          <w:color w:val="231F20"/>
          <w:w w:val="105"/>
          <w:sz w:val="21"/>
        </w:rPr>
        <w:t>, 94, 181-238.</w:t>
      </w:r>
    </w:p>
    <w:p>
      <w:pPr>
        <w:pStyle w:val="BodyText"/>
        <w:spacing w:line="259" w:lineRule="auto" w:before="18"/>
        <w:ind w:left="840" w:right="109" w:hanging="738"/>
        <w:jc w:val="both"/>
      </w:pPr>
      <w:r>
        <w:rPr>
          <w:color w:val="231F20"/>
        </w:rPr>
        <w:t>–––––––</w:t>
      </w:r>
      <w:r>
        <w:rPr>
          <w:color w:val="231F20"/>
          <w:spacing w:val="-21"/>
        </w:rPr>
        <w:t> </w:t>
      </w:r>
      <w:r>
        <w:rPr>
          <w:color w:val="231F20"/>
        </w:rPr>
        <w:t>(1996),</w:t>
      </w:r>
      <w:r>
        <w:rPr>
          <w:color w:val="231F20"/>
          <w:spacing w:val="-26"/>
        </w:rPr>
        <w:t> </w:t>
      </w:r>
      <w:r>
        <w:rPr>
          <w:color w:val="231F20"/>
        </w:rPr>
        <w:t>Jumps</w:t>
      </w:r>
      <w:r>
        <w:rPr>
          <w:color w:val="231F20"/>
          <w:spacing w:val="-21"/>
        </w:rPr>
        <w:t> </w:t>
      </w:r>
      <w:r>
        <w:rPr>
          <w:color w:val="231F20"/>
        </w:rPr>
        <w:t>and</w:t>
      </w:r>
      <w:r>
        <w:rPr>
          <w:color w:val="231F20"/>
          <w:spacing w:val="-21"/>
        </w:rPr>
        <w:t> </w:t>
      </w:r>
      <w:r>
        <w:rPr>
          <w:color w:val="231F20"/>
        </w:rPr>
        <w:t>Stochastic</w:t>
      </w:r>
      <w:r>
        <w:rPr>
          <w:color w:val="231F20"/>
          <w:spacing w:val="-23"/>
        </w:rPr>
        <w:t> </w:t>
      </w:r>
      <w:r>
        <w:rPr>
          <w:color w:val="231F20"/>
        </w:rPr>
        <w:t>Volatility:</w:t>
      </w:r>
      <w:r>
        <w:rPr>
          <w:color w:val="231F20"/>
          <w:spacing w:val="-21"/>
        </w:rPr>
        <w:t> </w:t>
      </w:r>
      <w:r>
        <w:rPr>
          <w:color w:val="231F20"/>
        </w:rPr>
        <w:t>Exchange</w:t>
      </w:r>
      <w:r>
        <w:rPr>
          <w:color w:val="231F20"/>
          <w:spacing w:val="-21"/>
        </w:rPr>
        <w:t> </w:t>
      </w:r>
      <w:r>
        <w:rPr>
          <w:color w:val="231F20"/>
        </w:rPr>
        <w:t>Rate</w:t>
      </w:r>
      <w:r>
        <w:rPr>
          <w:color w:val="231F20"/>
          <w:spacing w:val="-21"/>
        </w:rPr>
        <w:t> </w:t>
      </w:r>
      <w:r>
        <w:rPr>
          <w:color w:val="231F20"/>
        </w:rPr>
        <w:t>Processes Implicit in Deutsche Market Options. </w:t>
      </w:r>
      <w:r>
        <w:rPr>
          <w:i/>
          <w:color w:val="231F20"/>
        </w:rPr>
        <w:t>Reviews of Financial Studies</w:t>
      </w:r>
      <w:r>
        <w:rPr>
          <w:color w:val="231F20"/>
        </w:rPr>
        <w:t>, 9,</w:t>
      </w:r>
      <w:r>
        <w:rPr>
          <w:color w:val="231F20"/>
          <w:spacing w:val="6"/>
        </w:rPr>
        <w:t> </w:t>
      </w:r>
      <w:r>
        <w:rPr>
          <w:color w:val="231F20"/>
        </w:rPr>
        <w:t>69-107.</w:t>
      </w:r>
    </w:p>
    <w:p>
      <w:pPr>
        <w:spacing w:line="259" w:lineRule="auto" w:before="0"/>
        <w:ind w:left="840" w:right="115" w:hanging="738"/>
        <w:jc w:val="both"/>
        <w:rPr>
          <w:sz w:val="21"/>
        </w:rPr>
      </w:pPr>
      <w:r>
        <w:rPr>
          <w:color w:val="231F20"/>
          <w:sz w:val="21"/>
        </w:rPr>
        <w:t>Biger, N. and Hull, J. (1983). </w:t>
      </w:r>
      <w:r>
        <w:rPr>
          <w:i/>
          <w:color w:val="231F20"/>
          <w:sz w:val="21"/>
        </w:rPr>
        <w:t>The Valuation of Currency Options</w:t>
      </w:r>
      <w:r>
        <w:rPr>
          <w:color w:val="231F20"/>
          <w:sz w:val="21"/>
        </w:rPr>
        <w:t>. York Uni- versity. Canada.</w:t>
      </w:r>
    </w:p>
    <w:p>
      <w:pPr>
        <w:spacing w:line="259" w:lineRule="auto" w:before="0"/>
        <w:ind w:left="840" w:right="115" w:hanging="738"/>
        <w:jc w:val="both"/>
        <w:rPr>
          <w:sz w:val="21"/>
        </w:rPr>
      </w:pPr>
      <w:r>
        <w:rPr>
          <w:color w:val="231F20"/>
          <w:w w:val="105"/>
          <w:sz w:val="21"/>
        </w:rPr>
        <w:t>Black,</w:t>
      </w:r>
      <w:r>
        <w:rPr>
          <w:color w:val="231F20"/>
          <w:spacing w:val="-12"/>
          <w:w w:val="105"/>
          <w:sz w:val="21"/>
        </w:rPr>
        <w:t> </w:t>
      </w:r>
      <w:r>
        <w:rPr>
          <w:color w:val="231F20"/>
          <w:spacing w:val="-11"/>
          <w:w w:val="105"/>
          <w:sz w:val="21"/>
        </w:rPr>
        <w:t>F.</w:t>
      </w:r>
      <w:r>
        <w:rPr>
          <w:color w:val="231F20"/>
          <w:spacing w:val="-12"/>
          <w:w w:val="105"/>
          <w:sz w:val="21"/>
        </w:rPr>
        <w:t> </w:t>
      </w:r>
      <w:r>
        <w:rPr>
          <w:color w:val="231F20"/>
          <w:w w:val="105"/>
          <w:sz w:val="21"/>
        </w:rPr>
        <w:t>and</w:t>
      </w:r>
      <w:r>
        <w:rPr>
          <w:color w:val="231F20"/>
          <w:spacing w:val="-7"/>
          <w:w w:val="105"/>
          <w:sz w:val="21"/>
        </w:rPr>
        <w:t> </w:t>
      </w:r>
      <w:r>
        <w:rPr>
          <w:color w:val="231F20"/>
          <w:w w:val="105"/>
          <w:sz w:val="21"/>
        </w:rPr>
        <w:t>Scholes,</w:t>
      </w:r>
      <w:r>
        <w:rPr>
          <w:color w:val="231F20"/>
          <w:spacing w:val="-12"/>
          <w:w w:val="105"/>
          <w:sz w:val="21"/>
        </w:rPr>
        <w:t> </w:t>
      </w:r>
      <w:r>
        <w:rPr>
          <w:color w:val="231F20"/>
          <w:w w:val="105"/>
          <w:sz w:val="21"/>
        </w:rPr>
        <w:t>M.,</w:t>
      </w:r>
      <w:r>
        <w:rPr>
          <w:color w:val="231F20"/>
          <w:spacing w:val="-12"/>
          <w:w w:val="105"/>
          <w:sz w:val="21"/>
        </w:rPr>
        <w:t> </w:t>
      </w:r>
      <w:r>
        <w:rPr>
          <w:color w:val="231F20"/>
          <w:w w:val="105"/>
          <w:sz w:val="21"/>
        </w:rPr>
        <w:t>(1973),</w:t>
      </w:r>
      <w:r>
        <w:rPr>
          <w:color w:val="231F20"/>
          <w:spacing w:val="-17"/>
          <w:w w:val="105"/>
          <w:sz w:val="21"/>
        </w:rPr>
        <w:t> </w:t>
      </w:r>
      <w:r>
        <w:rPr>
          <w:color w:val="231F20"/>
          <w:w w:val="105"/>
          <w:sz w:val="21"/>
        </w:rPr>
        <w:t>The</w:t>
      </w:r>
      <w:r>
        <w:rPr>
          <w:color w:val="231F20"/>
          <w:spacing w:val="-7"/>
          <w:w w:val="105"/>
          <w:sz w:val="21"/>
        </w:rPr>
        <w:t> </w:t>
      </w:r>
      <w:r>
        <w:rPr>
          <w:color w:val="231F20"/>
          <w:w w:val="105"/>
          <w:sz w:val="21"/>
        </w:rPr>
        <w:t>Pricing</w:t>
      </w:r>
      <w:r>
        <w:rPr>
          <w:color w:val="231F20"/>
          <w:spacing w:val="-7"/>
          <w:w w:val="105"/>
          <w:sz w:val="21"/>
        </w:rPr>
        <w:t> </w:t>
      </w:r>
      <w:r>
        <w:rPr>
          <w:color w:val="231F20"/>
          <w:w w:val="105"/>
          <w:sz w:val="21"/>
        </w:rPr>
        <w:t>of</w:t>
      </w:r>
      <w:r>
        <w:rPr>
          <w:color w:val="231F20"/>
          <w:spacing w:val="-4"/>
          <w:w w:val="105"/>
          <w:sz w:val="21"/>
        </w:rPr>
        <w:t> </w:t>
      </w:r>
      <w:r>
        <w:rPr>
          <w:color w:val="231F20"/>
          <w:w w:val="105"/>
          <w:sz w:val="21"/>
        </w:rPr>
        <w:t>Options</w:t>
      </w:r>
      <w:r>
        <w:rPr>
          <w:color w:val="231F20"/>
          <w:spacing w:val="-7"/>
          <w:w w:val="105"/>
          <w:sz w:val="21"/>
        </w:rPr>
        <w:t> </w:t>
      </w:r>
      <w:r>
        <w:rPr>
          <w:color w:val="231F20"/>
          <w:w w:val="105"/>
          <w:sz w:val="21"/>
        </w:rPr>
        <w:t>and</w:t>
      </w:r>
      <w:r>
        <w:rPr>
          <w:color w:val="231F20"/>
          <w:spacing w:val="-7"/>
          <w:w w:val="105"/>
          <w:sz w:val="21"/>
        </w:rPr>
        <w:t> </w:t>
      </w:r>
      <w:r>
        <w:rPr>
          <w:color w:val="231F20"/>
          <w:w w:val="105"/>
          <w:sz w:val="21"/>
        </w:rPr>
        <w:t>Corporate Liabilities.</w:t>
      </w:r>
      <w:r>
        <w:rPr>
          <w:color w:val="231F20"/>
          <w:spacing w:val="-37"/>
          <w:w w:val="105"/>
          <w:sz w:val="21"/>
        </w:rPr>
        <w:t> </w:t>
      </w:r>
      <w:r>
        <w:rPr>
          <w:i/>
          <w:color w:val="231F20"/>
          <w:w w:val="105"/>
          <w:sz w:val="21"/>
        </w:rPr>
        <w:t>Journal</w:t>
      </w:r>
      <w:r>
        <w:rPr>
          <w:i/>
          <w:color w:val="231F20"/>
          <w:spacing w:val="-33"/>
          <w:w w:val="105"/>
          <w:sz w:val="21"/>
        </w:rPr>
        <w:t> </w:t>
      </w:r>
      <w:r>
        <w:rPr>
          <w:i/>
          <w:color w:val="231F20"/>
          <w:w w:val="105"/>
          <w:sz w:val="21"/>
        </w:rPr>
        <w:t>of</w:t>
      </w:r>
      <w:r>
        <w:rPr>
          <w:i/>
          <w:color w:val="231F20"/>
          <w:spacing w:val="-31"/>
          <w:w w:val="105"/>
          <w:sz w:val="21"/>
        </w:rPr>
        <w:t> </w:t>
      </w:r>
      <w:r>
        <w:rPr>
          <w:i/>
          <w:color w:val="231F20"/>
          <w:w w:val="105"/>
          <w:sz w:val="21"/>
        </w:rPr>
        <w:t>Political</w:t>
      </w:r>
      <w:r>
        <w:rPr>
          <w:i/>
          <w:color w:val="231F20"/>
          <w:spacing w:val="-33"/>
          <w:w w:val="105"/>
          <w:sz w:val="21"/>
        </w:rPr>
        <w:t> </w:t>
      </w:r>
      <w:r>
        <w:rPr>
          <w:i/>
          <w:color w:val="231F20"/>
          <w:w w:val="105"/>
          <w:sz w:val="21"/>
        </w:rPr>
        <w:t>Economy</w:t>
      </w:r>
      <w:r>
        <w:rPr>
          <w:color w:val="231F20"/>
          <w:w w:val="105"/>
          <w:sz w:val="21"/>
        </w:rPr>
        <w:t>,</w:t>
      </w:r>
      <w:r>
        <w:rPr>
          <w:color w:val="231F20"/>
          <w:spacing w:val="-37"/>
          <w:w w:val="105"/>
          <w:sz w:val="21"/>
        </w:rPr>
        <w:t> </w:t>
      </w:r>
      <w:r>
        <w:rPr>
          <w:color w:val="231F20"/>
          <w:w w:val="105"/>
          <w:sz w:val="21"/>
        </w:rPr>
        <w:t>81,</w:t>
      </w:r>
      <w:r>
        <w:rPr>
          <w:color w:val="231F20"/>
          <w:spacing w:val="-37"/>
          <w:w w:val="105"/>
          <w:sz w:val="21"/>
        </w:rPr>
        <w:t> </w:t>
      </w:r>
      <w:r>
        <w:rPr>
          <w:color w:val="231F20"/>
          <w:w w:val="105"/>
          <w:sz w:val="21"/>
        </w:rPr>
        <w:t>637-659.</w:t>
      </w:r>
    </w:p>
    <w:p>
      <w:pPr>
        <w:pStyle w:val="BodyText"/>
        <w:spacing w:line="259" w:lineRule="auto"/>
        <w:ind w:left="840" w:right="115" w:hanging="738"/>
        <w:jc w:val="both"/>
      </w:pPr>
      <w:r>
        <w:rPr>
          <w:color w:val="231F20"/>
        </w:rPr>
        <w:t>Bollerslev, T., R. Y. Chou, and K. F. Kroner (1992), ARCH Modeling in Fi- nance: A Review of the Theory and Empirical Evidence. </w:t>
      </w:r>
      <w:r>
        <w:rPr>
          <w:i/>
          <w:color w:val="231F20"/>
        </w:rPr>
        <w:t>Journal of </w:t>
      </w:r>
      <w:r>
        <w:rPr>
          <w:i/>
          <w:color w:val="231F20"/>
        </w:rPr>
        <w:t>Econometrics</w:t>
      </w:r>
      <w:r>
        <w:rPr>
          <w:color w:val="231F20"/>
        </w:rPr>
        <w:t>, 52, 5-59.</w:t>
      </w:r>
    </w:p>
    <w:p>
      <w:pPr>
        <w:pStyle w:val="BodyText"/>
        <w:spacing w:line="259" w:lineRule="auto"/>
        <w:ind w:left="840" w:right="115" w:hanging="738"/>
        <w:jc w:val="both"/>
      </w:pPr>
      <w:r>
        <w:rPr>
          <w:color w:val="231F20"/>
          <w:w w:val="105"/>
        </w:rPr>
        <w:t>Bollerslev,</w:t>
      </w:r>
      <w:r>
        <w:rPr>
          <w:color w:val="231F20"/>
          <w:spacing w:val="-38"/>
          <w:w w:val="105"/>
        </w:rPr>
        <w:t> </w:t>
      </w:r>
      <w:r>
        <w:rPr>
          <w:color w:val="231F20"/>
          <w:spacing w:val="-9"/>
          <w:w w:val="105"/>
        </w:rPr>
        <w:t>T.</w:t>
      </w:r>
      <w:r>
        <w:rPr>
          <w:color w:val="231F20"/>
          <w:spacing w:val="-35"/>
          <w:w w:val="105"/>
        </w:rPr>
        <w:t> </w:t>
      </w:r>
      <w:r>
        <w:rPr>
          <w:color w:val="231F20"/>
          <w:w w:val="105"/>
        </w:rPr>
        <w:t>and</w:t>
      </w:r>
      <w:r>
        <w:rPr>
          <w:color w:val="231F20"/>
          <w:spacing w:val="-31"/>
          <w:w w:val="105"/>
        </w:rPr>
        <w:t> </w:t>
      </w:r>
      <w:r>
        <w:rPr>
          <w:color w:val="231F20"/>
          <w:w w:val="105"/>
        </w:rPr>
        <w:t>Zhou,</w:t>
      </w:r>
      <w:r>
        <w:rPr>
          <w:color w:val="231F20"/>
          <w:spacing w:val="-35"/>
          <w:w w:val="105"/>
        </w:rPr>
        <w:t> </w:t>
      </w:r>
      <w:r>
        <w:rPr>
          <w:color w:val="231F20"/>
          <w:w w:val="105"/>
        </w:rPr>
        <w:t>H.</w:t>
      </w:r>
      <w:r>
        <w:rPr>
          <w:color w:val="231F20"/>
          <w:spacing w:val="-35"/>
          <w:w w:val="105"/>
        </w:rPr>
        <w:t> </w:t>
      </w:r>
      <w:r>
        <w:rPr>
          <w:color w:val="231F20"/>
          <w:w w:val="105"/>
        </w:rPr>
        <w:t>(2002).</w:t>
      </w:r>
      <w:r>
        <w:rPr>
          <w:color w:val="231F20"/>
          <w:spacing w:val="-35"/>
          <w:w w:val="105"/>
        </w:rPr>
        <w:t> </w:t>
      </w:r>
      <w:r>
        <w:rPr>
          <w:color w:val="231F20"/>
          <w:w w:val="105"/>
        </w:rPr>
        <w:t>Estimating</w:t>
      </w:r>
      <w:r>
        <w:rPr>
          <w:color w:val="231F20"/>
          <w:spacing w:val="-31"/>
          <w:w w:val="105"/>
        </w:rPr>
        <w:t> </w:t>
      </w:r>
      <w:r>
        <w:rPr>
          <w:color w:val="231F20"/>
          <w:w w:val="105"/>
        </w:rPr>
        <w:t>stochastic</w:t>
      </w:r>
      <w:r>
        <w:rPr>
          <w:color w:val="231F20"/>
          <w:spacing w:val="-31"/>
          <w:w w:val="105"/>
        </w:rPr>
        <w:t> </w:t>
      </w:r>
      <w:r>
        <w:rPr>
          <w:color w:val="231F20"/>
          <w:w w:val="105"/>
        </w:rPr>
        <w:t>volatility</w:t>
      </w:r>
      <w:r>
        <w:rPr>
          <w:color w:val="231F20"/>
          <w:spacing w:val="-31"/>
          <w:w w:val="105"/>
        </w:rPr>
        <w:t> </w:t>
      </w:r>
      <w:r>
        <w:rPr>
          <w:color w:val="231F20"/>
          <w:w w:val="105"/>
        </w:rPr>
        <w:t>diffusion using</w:t>
      </w:r>
      <w:r>
        <w:rPr>
          <w:color w:val="231F20"/>
          <w:spacing w:val="-23"/>
          <w:w w:val="105"/>
        </w:rPr>
        <w:t> </w:t>
      </w:r>
      <w:r>
        <w:rPr>
          <w:color w:val="231F20"/>
          <w:w w:val="105"/>
        </w:rPr>
        <w:t>conditional</w:t>
      </w:r>
      <w:r>
        <w:rPr>
          <w:color w:val="231F20"/>
          <w:spacing w:val="-23"/>
          <w:w w:val="105"/>
        </w:rPr>
        <w:t> </w:t>
      </w:r>
      <w:r>
        <w:rPr>
          <w:color w:val="231F20"/>
          <w:w w:val="105"/>
        </w:rPr>
        <w:t>moments</w:t>
      </w:r>
      <w:r>
        <w:rPr>
          <w:color w:val="231F20"/>
          <w:spacing w:val="-23"/>
          <w:w w:val="105"/>
        </w:rPr>
        <w:t> </w:t>
      </w:r>
      <w:r>
        <w:rPr>
          <w:color w:val="231F20"/>
          <w:w w:val="105"/>
        </w:rPr>
        <w:t>of</w:t>
      </w:r>
      <w:r>
        <w:rPr>
          <w:color w:val="231F20"/>
          <w:spacing w:val="-18"/>
          <w:w w:val="105"/>
        </w:rPr>
        <w:t> </w:t>
      </w:r>
      <w:r>
        <w:rPr>
          <w:color w:val="231F20"/>
          <w:w w:val="105"/>
        </w:rPr>
        <w:t>integrated</w:t>
      </w:r>
      <w:r>
        <w:rPr>
          <w:color w:val="231F20"/>
          <w:spacing w:val="-23"/>
          <w:w w:val="105"/>
        </w:rPr>
        <w:t> </w:t>
      </w:r>
      <w:r>
        <w:rPr>
          <w:color w:val="231F20"/>
          <w:w w:val="105"/>
        </w:rPr>
        <w:t>volatility.</w:t>
      </w:r>
      <w:r>
        <w:rPr>
          <w:color w:val="231F20"/>
          <w:spacing w:val="-28"/>
          <w:w w:val="105"/>
        </w:rPr>
        <w:t> </w:t>
      </w:r>
      <w:r>
        <w:rPr>
          <w:i/>
          <w:color w:val="231F20"/>
          <w:w w:val="105"/>
        </w:rPr>
        <w:t>Journal</w:t>
      </w:r>
      <w:r>
        <w:rPr>
          <w:i/>
          <w:color w:val="231F20"/>
          <w:spacing w:val="-23"/>
          <w:w w:val="105"/>
        </w:rPr>
        <w:t> </w:t>
      </w:r>
      <w:r>
        <w:rPr>
          <w:i/>
          <w:color w:val="231F20"/>
          <w:w w:val="105"/>
        </w:rPr>
        <w:t>of</w:t>
      </w:r>
      <w:r>
        <w:rPr>
          <w:i/>
          <w:color w:val="231F20"/>
          <w:spacing w:val="-18"/>
          <w:w w:val="105"/>
        </w:rPr>
        <w:t> </w:t>
      </w:r>
      <w:r>
        <w:rPr>
          <w:i/>
          <w:color w:val="231F20"/>
          <w:w w:val="105"/>
        </w:rPr>
        <w:t>Eco- </w:t>
      </w:r>
      <w:r>
        <w:rPr>
          <w:i/>
          <w:color w:val="231F20"/>
          <w:w w:val="105"/>
        </w:rPr>
        <w:t>nometrics</w:t>
      </w:r>
      <w:r>
        <w:rPr>
          <w:color w:val="231F20"/>
          <w:w w:val="105"/>
        </w:rPr>
        <w:t>.</w:t>
      </w:r>
      <w:r>
        <w:rPr>
          <w:color w:val="231F20"/>
          <w:spacing w:val="-34"/>
          <w:w w:val="105"/>
        </w:rPr>
        <w:t> </w:t>
      </w:r>
      <w:r>
        <w:rPr>
          <w:color w:val="231F20"/>
          <w:w w:val="105"/>
        </w:rPr>
        <w:t>No.</w:t>
      </w:r>
      <w:r>
        <w:rPr>
          <w:color w:val="231F20"/>
          <w:spacing w:val="-34"/>
          <w:w w:val="105"/>
        </w:rPr>
        <w:t> </w:t>
      </w:r>
      <w:r>
        <w:rPr>
          <w:color w:val="231F20"/>
          <w:w w:val="105"/>
        </w:rPr>
        <w:t>109,</w:t>
      </w:r>
      <w:r>
        <w:rPr>
          <w:color w:val="231F20"/>
          <w:spacing w:val="-34"/>
          <w:w w:val="105"/>
        </w:rPr>
        <w:t> </w:t>
      </w:r>
      <w:r>
        <w:rPr>
          <w:color w:val="231F20"/>
          <w:w w:val="105"/>
        </w:rPr>
        <w:t>33-65.</w:t>
      </w:r>
    </w:p>
    <w:p>
      <w:pPr>
        <w:spacing w:line="259" w:lineRule="auto" w:before="0"/>
        <w:ind w:left="840" w:right="111" w:hanging="738"/>
        <w:jc w:val="both"/>
        <w:rPr>
          <w:sz w:val="21"/>
        </w:rPr>
      </w:pPr>
      <w:r>
        <w:rPr>
          <w:color w:val="231F20"/>
          <w:sz w:val="21"/>
        </w:rPr>
        <w:t>Chesney M. and L. Scott. (1989). Pricing European Currency Options: A Comparison of the Modified Blanck-Scholes Model and a Ran- dom Variance Model. </w:t>
      </w:r>
      <w:r>
        <w:rPr>
          <w:i/>
          <w:color w:val="231F20"/>
          <w:sz w:val="21"/>
        </w:rPr>
        <w:t>Journal of Financial and Quantitative Analy- </w:t>
      </w:r>
      <w:r>
        <w:rPr>
          <w:i/>
          <w:color w:val="231F20"/>
          <w:sz w:val="21"/>
        </w:rPr>
        <w:t>sis</w:t>
      </w:r>
      <w:r>
        <w:rPr>
          <w:color w:val="231F20"/>
          <w:sz w:val="21"/>
        </w:rPr>
        <w:t>. Vol. 24, No. 3, 267-284.</w:t>
      </w:r>
    </w:p>
    <w:p>
      <w:pPr>
        <w:pStyle w:val="BodyText"/>
        <w:spacing w:line="259" w:lineRule="auto"/>
        <w:ind w:left="840" w:right="115" w:hanging="738"/>
        <w:jc w:val="both"/>
      </w:pPr>
      <w:r>
        <w:rPr>
          <w:color w:val="231F20"/>
          <w:w w:val="105"/>
        </w:rPr>
        <w:t>Comte,</w:t>
      </w:r>
      <w:r>
        <w:rPr>
          <w:color w:val="231F20"/>
          <w:spacing w:val="-27"/>
          <w:w w:val="105"/>
        </w:rPr>
        <w:t> </w:t>
      </w:r>
      <w:r>
        <w:rPr>
          <w:color w:val="231F20"/>
          <w:spacing w:val="-7"/>
          <w:w w:val="105"/>
        </w:rPr>
        <w:t>F.,</w:t>
      </w:r>
      <w:r>
        <w:rPr>
          <w:color w:val="231F20"/>
          <w:spacing w:val="-27"/>
          <w:w w:val="105"/>
        </w:rPr>
        <w:t> </w:t>
      </w:r>
      <w:r>
        <w:rPr>
          <w:color w:val="231F20"/>
          <w:w w:val="105"/>
        </w:rPr>
        <w:t>and</w:t>
      </w:r>
      <w:r>
        <w:rPr>
          <w:color w:val="231F20"/>
          <w:spacing w:val="-23"/>
          <w:w w:val="105"/>
        </w:rPr>
        <w:t> </w:t>
      </w:r>
      <w:r>
        <w:rPr>
          <w:color w:val="231F20"/>
          <w:w w:val="105"/>
        </w:rPr>
        <w:t>E.</w:t>
      </w:r>
      <w:r>
        <w:rPr>
          <w:color w:val="231F20"/>
          <w:spacing w:val="-27"/>
          <w:w w:val="105"/>
        </w:rPr>
        <w:t> </w:t>
      </w:r>
      <w:r>
        <w:rPr>
          <w:color w:val="231F20"/>
          <w:w w:val="105"/>
        </w:rPr>
        <w:t>Renault.</w:t>
      </w:r>
      <w:r>
        <w:rPr>
          <w:color w:val="231F20"/>
          <w:spacing w:val="-27"/>
          <w:w w:val="105"/>
        </w:rPr>
        <w:t> </w:t>
      </w:r>
      <w:r>
        <w:rPr>
          <w:color w:val="231F20"/>
          <w:w w:val="105"/>
        </w:rPr>
        <w:t>(2010).</w:t>
      </w:r>
      <w:r>
        <w:rPr>
          <w:color w:val="231F20"/>
          <w:spacing w:val="-27"/>
          <w:w w:val="105"/>
        </w:rPr>
        <w:t> </w:t>
      </w:r>
      <w:r>
        <w:rPr>
          <w:color w:val="231F20"/>
          <w:w w:val="105"/>
        </w:rPr>
        <w:t>Long</w:t>
      </w:r>
      <w:r>
        <w:rPr>
          <w:color w:val="231F20"/>
          <w:spacing w:val="-23"/>
          <w:w w:val="105"/>
        </w:rPr>
        <w:t> </w:t>
      </w:r>
      <w:r>
        <w:rPr>
          <w:color w:val="231F20"/>
          <w:w w:val="105"/>
        </w:rPr>
        <w:t>Memory</w:t>
      </w:r>
      <w:r>
        <w:rPr>
          <w:color w:val="231F20"/>
          <w:spacing w:val="-23"/>
          <w:w w:val="105"/>
        </w:rPr>
        <w:t> </w:t>
      </w:r>
      <w:r>
        <w:rPr>
          <w:color w:val="231F20"/>
          <w:w w:val="105"/>
        </w:rPr>
        <w:t>in</w:t>
      </w:r>
      <w:r>
        <w:rPr>
          <w:color w:val="231F20"/>
          <w:spacing w:val="-23"/>
          <w:w w:val="105"/>
        </w:rPr>
        <w:t> </w:t>
      </w:r>
      <w:r>
        <w:rPr>
          <w:color w:val="231F20"/>
          <w:w w:val="105"/>
        </w:rPr>
        <w:t>Continuous</w:t>
      </w:r>
      <w:r>
        <w:rPr>
          <w:color w:val="231F20"/>
          <w:spacing w:val="-26"/>
          <w:w w:val="105"/>
        </w:rPr>
        <w:t> </w:t>
      </w:r>
      <w:r>
        <w:rPr>
          <w:color w:val="231F20"/>
          <w:w w:val="105"/>
        </w:rPr>
        <w:t>Time</w:t>
      </w:r>
      <w:r>
        <w:rPr>
          <w:color w:val="231F20"/>
          <w:spacing w:val="-23"/>
          <w:w w:val="105"/>
        </w:rPr>
        <w:t> </w:t>
      </w:r>
      <w:r>
        <w:rPr>
          <w:color w:val="231F20"/>
          <w:w w:val="105"/>
        </w:rPr>
        <w:t>Sto- chastic</w:t>
      </w:r>
      <w:r>
        <w:rPr>
          <w:color w:val="231F20"/>
          <w:spacing w:val="-41"/>
          <w:w w:val="105"/>
        </w:rPr>
        <w:t> </w:t>
      </w:r>
      <w:r>
        <w:rPr>
          <w:color w:val="231F20"/>
          <w:w w:val="105"/>
        </w:rPr>
        <w:t>Volatility</w:t>
      </w:r>
      <w:r>
        <w:rPr>
          <w:color w:val="231F20"/>
          <w:spacing w:val="-39"/>
          <w:w w:val="105"/>
        </w:rPr>
        <w:t> </w:t>
      </w:r>
      <w:r>
        <w:rPr>
          <w:color w:val="231F20"/>
          <w:w w:val="105"/>
        </w:rPr>
        <w:t>Models.</w:t>
      </w:r>
      <w:r>
        <w:rPr>
          <w:color w:val="231F20"/>
          <w:spacing w:val="-42"/>
          <w:w w:val="105"/>
        </w:rPr>
        <w:t> </w:t>
      </w:r>
      <w:r>
        <w:rPr>
          <w:i/>
          <w:color w:val="231F20"/>
          <w:w w:val="105"/>
        </w:rPr>
        <w:t>Mathematical</w:t>
      </w:r>
      <w:r>
        <w:rPr>
          <w:i/>
          <w:color w:val="231F20"/>
          <w:spacing w:val="-39"/>
          <w:w w:val="105"/>
        </w:rPr>
        <w:t> </w:t>
      </w:r>
      <w:r>
        <w:rPr>
          <w:i/>
          <w:color w:val="231F20"/>
          <w:w w:val="105"/>
        </w:rPr>
        <w:t>Finance</w:t>
      </w:r>
      <w:r>
        <w:rPr>
          <w:color w:val="231F20"/>
          <w:w w:val="105"/>
        </w:rPr>
        <w:t>.</w:t>
      </w:r>
      <w:r>
        <w:rPr>
          <w:color w:val="231F20"/>
          <w:spacing w:val="-42"/>
          <w:w w:val="105"/>
        </w:rPr>
        <w:t> </w:t>
      </w:r>
      <w:r>
        <w:rPr>
          <w:color w:val="231F20"/>
          <w:w w:val="105"/>
        </w:rPr>
        <w:t>No.</w:t>
      </w:r>
      <w:r>
        <w:rPr>
          <w:color w:val="231F20"/>
          <w:spacing w:val="-42"/>
          <w:w w:val="105"/>
        </w:rPr>
        <w:t> </w:t>
      </w:r>
      <w:r>
        <w:rPr>
          <w:color w:val="231F20"/>
          <w:w w:val="105"/>
        </w:rPr>
        <w:t>8,</w:t>
      </w:r>
      <w:r>
        <w:rPr>
          <w:color w:val="231F20"/>
          <w:spacing w:val="-42"/>
          <w:w w:val="105"/>
        </w:rPr>
        <w:t> </w:t>
      </w:r>
      <w:r>
        <w:rPr>
          <w:color w:val="231F20"/>
          <w:w w:val="105"/>
        </w:rPr>
        <w:t>291–323.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936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230</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pStyle w:val="ListParagraph"/>
        <w:numPr>
          <w:ilvl w:val="0"/>
          <w:numId w:val="56"/>
        </w:numPr>
        <w:tabs>
          <w:tab w:pos="2982" w:val="left" w:leader="none"/>
        </w:tabs>
        <w:spacing w:line="180" w:lineRule="exact" w:before="61" w:after="0"/>
        <w:ind w:left="2169" w:right="0" w:firstLine="628"/>
        <w:jc w:val="left"/>
        <w:rPr>
          <w:rFonts w:ascii="Lucida Sans Unicode" w:hAnsi="Lucida Sans Unicode"/>
          <w:color w:val="6D6E71"/>
          <w:sz w:val="14"/>
        </w:rPr>
      </w:pPr>
      <w:r>
        <w:rPr/>
        <w:pict>
          <v:line style="position:absolute;mso-position-horizontal-relative:page;mso-position-vertical-relative:paragraph;z-index:8584" from="384.061005pt,-25.331028pt" to="384.061005pt,9.534822pt" stroked="true" strokeweight=".3pt" strokecolor="#231f20">
            <w10:wrap type="none"/>
          </v:line>
        </w:pict>
      </w:r>
      <w:r>
        <w:rPr>
          <w:rFonts w:ascii="Lucida Sans Unicode" w:hAnsi="Lucida Sans Unicode"/>
          <w:color w:val="6D6E71"/>
          <w:sz w:val="14"/>
        </w:rPr>
        <w:t>AdmInIstrAcIón de rIesgos A </w:t>
      </w:r>
      <w:r>
        <w:rPr>
          <w:rFonts w:ascii="Lucida Sans Unicode" w:hAnsi="Lucida Sans Unicode"/>
          <w:color w:val="6D6E71"/>
          <w:spacing w:val="-3"/>
          <w:sz w:val="14"/>
        </w:rPr>
        <w:t>trAvés </w:t>
      </w:r>
      <w:r>
        <w:rPr>
          <w:rFonts w:ascii="Lucida Sans Unicode" w:hAnsi="Lucida Sans Unicode"/>
          <w:color w:val="6D6E71"/>
          <w:sz w:val="14"/>
        </w:rPr>
        <w:t>de 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231</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pStyle w:val="BodyText"/>
        <w:spacing w:line="259" w:lineRule="auto" w:before="57"/>
        <w:ind w:left="854" w:right="121" w:hanging="738"/>
        <w:jc w:val="both"/>
      </w:pPr>
      <w:r>
        <w:rPr>
          <w:color w:val="231F20"/>
          <w:w w:val="105"/>
        </w:rPr>
        <w:t>Corradi, </w:t>
      </w:r>
      <w:r>
        <w:rPr>
          <w:color w:val="231F20"/>
          <w:spacing w:val="-9"/>
          <w:w w:val="105"/>
        </w:rPr>
        <w:t>V. </w:t>
      </w:r>
      <w:r>
        <w:rPr>
          <w:color w:val="231F20"/>
          <w:w w:val="105"/>
        </w:rPr>
        <w:t>and Distaso, </w:t>
      </w:r>
      <w:r>
        <w:rPr>
          <w:color w:val="231F20"/>
          <w:spacing w:val="-7"/>
          <w:w w:val="105"/>
        </w:rPr>
        <w:t>W. </w:t>
      </w:r>
      <w:r>
        <w:rPr>
          <w:color w:val="231F20"/>
          <w:w w:val="105"/>
        </w:rPr>
        <w:t>(2006). Semi-parametric comparison of</w:t>
      </w:r>
      <w:r>
        <w:rPr>
          <w:color w:val="231F20"/>
          <w:spacing w:val="-26"/>
          <w:w w:val="105"/>
        </w:rPr>
        <w:t> </w:t>
      </w:r>
      <w:r>
        <w:rPr>
          <w:color w:val="231F20"/>
          <w:w w:val="105"/>
        </w:rPr>
        <w:t>sto- chastic</w:t>
      </w:r>
      <w:r>
        <w:rPr>
          <w:color w:val="231F20"/>
          <w:spacing w:val="-23"/>
          <w:w w:val="105"/>
        </w:rPr>
        <w:t> </w:t>
      </w:r>
      <w:r>
        <w:rPr>
          <w:color w:val="231F20"/>
          <w:w w:val="105"/>
        </w:rPr>
        <w:t>volatility</w:t>
      </w:r>
      <w:r>
        <w:rPr>
          <w:color w:val="231F20"/>
          <w:spacing w:val="-23"/>
          <w:w w:val="105"/>
        </w:rPr>
        <w:t> </w:t>
      </w:r>
      <w:r>
        <w:rPr>
          <w:color w:val="231F20"/>
          <w:w w:val="105"/>
        </w:rPr>
        <w:t>models</w:t>
      </w:r>
      <w:r>
        <w:rPr>
          <w:color w:val="231F20"/>
          <w:spacing w:val="-23"/>
          <w:w w:val="105"/>
        </w:rPr>
        <w:t> </w:t>
      </w:r>
      <w:r>
        <w:rPr>
          <w:color w:val="231F20"/>
          <w:w w:val="105"/>
        </w:rPr>
        <w:t>using</w:t>
      </w:r>
      <w:r>
        <w:rPr>
          <w:color w:val="231F20"/>
          <w:spacing w:val="-23"/>
          <w:w w:val="105"/>
        </w:rPr>
        <w:t> </w:t>
      </w:r>
      <w:r>
        <w:rPr>
          <w:color w:val="231F20"/>
          <w:w w:val="105"/>
        </w:rPr>
        <w:t>realized</w:t>
      </w:r>
      <w:r>
        <w:rPr>
          <w:color w:val="231F20"/>
          <w:spacing w:val="-23"/>
          <w:w w:val="105"/>
        </w:rPr>
        <w:t> </w:t>
      </w:r>
      <w:r>
        <w:rPr>
          <w:color w:val="231F20"/>
          <w:w w:val="105"/>
        </w:rPr>
        <w:t>measures.</w:t>
      </w:r>
      <w:r>
        <w:rPr>
          <w:color w:val="231F20"/>
          <w:spacing w:val="-27"/>
          <w:w w:val="105"/>
        </w:rPr>
        <w:t> </w:t>
      </w:r>
      <w:r>
        <w:rPr>
          <w:i/>
          <w:color w:val="231F20"/>
          <w:w w:val="105"/>
        </w:rPr>
        <w:t>Review</w:t>
      </w:r>
      <w:r>
        <w:rPr>
          <w:i/>
          <w:color w:val="231F20"/>
          <w:spacing w:val="-23"/>
          <w:w w:val="105"/>
        </w:rPr>
        <w:t> </w:t>
      </w:r>
      <w:r>
        <w:rPr>
          <w:i/>
          <w:color w:val="231F20"/>
          <w:w w:val="105"/>
        </w:rPr>
        <w:t>of</w:t>
      </w:r>
      <w:r>
        <w:rPr>
          <w:i/>
          <w:color w:val="231F20"/>
          <w:spacing w:val="-20"/>
          <w:w w:val="105"/>
        </w:rPr>
        <w:t> </w:t>
      </w:r>
      <w:r>
        <w:rPr>
          <w:i/>
          <w:color w:val="231F20"/>
          <w:w w:val="105"/>
        </w:rPr>
        <w:t>Eco- </w:t>
      </w:r>
      <w:r>
        <w:rPr>
          <w:i/>
          <w:color w:val="231F20"/>
          <w:w w:val="105"/>
        </w:rPr>
        <w:t>nomic</w:t>
      </w:r>
      <w:r>
        <w:rPr>
          <w:i/>
          <w:color w:val="231F20"/>
          <w:spacing w:val="-33"/>
          <w:w w:val="105"/>
        </w:rPr>
        <w:t> </w:t>
      </w:r>
      <w:r>
        <w:rPr>
          <w:i/>
          <w:color w:val="231F20"/>
          <w:w w:val="105"/>
        </w:rPr>
        <w:t>Studies</w:t>
      </w:r>
      <w:r>
        <w:rPr>
          <w:color w:val="231F20"/>
          <w:w w:val="105"/>
        </w:rPr>
        <w:t>,</w:t>
      </w:r>
      <w:r>
        <w:rPr>
          <w:color w:val="231F20"/>
          <w:spacing w:val="-38"/>
          <w:w w:val="105"/>
        </w:rPr>
        <w:t> </w:t>
      </w:r>
      <w:r>
        <w:rPr>
          <w:color w:val="231F20"/>
          <w:spacing w:val="-3"/>
          <w:w w:val="105"/>
        </w:rPr>
        <w:t>Vol.</w:t>
      </w:r>
      <w:r>
        <w:rPr>
          <w:color w:val="231F20"/>
          <w:spacing w:val="-36"/>
          <w:w w:val="105"/>
        </w:rPr>
        <w:t> </w:t>
      </w:r>
      <w:r>
        <w:rPr>
          <w:color w:val="231F20"/>
          <w:w w:val="105"/>
        </w:rPr>
        <w:t>73,</w:t>
      </w:r>
      <w:r>
        <w:rPr>
          <w:color w:val="231F20"/>
          <w:spacing w:val="-36"/>
          <w:w w:val="105"/>
        </w:rPr>
        <w:t> </w:t>
      </w:r>
      <w:r>
        <w:rPr>
          <w:color w:val="231F20"/>
          <w:w w:val="105"/>
        </w:rPr>
        <w:t>635-667.</w:t>
      </w:r>
    </w:p>
    <w:p>
      <w:pPr>
        <w:spacing w:line="259" w:lineRule="auto" w:before="0"/>
        <w:ind w:left="854" w:right="115" w:hanging="738"/>
        <w:jc w:val="both"/>
        <w:rPr>
          <w:sz w:val="21"/>
        </w:rPr>
      </w:pPr>
      <w:r>
        <w:rPr>
          <w:color w:val="231F20"/>
          <w:w w:val="105"/>
          <w:sz w:val="21"/>
        </w:rPr>
        <w:t>Das,</w:t>
      </w:r>
      <w:r>
        <w:rPr>
          <w:color w:val="231F20"/>
          <w:spacing w:val="-26"/>
          <w:w w:val="105"/>
          <w:sz w:val="21"/>
        </w:rPr>
        <w:t> </w:t>
      </w:r>
      <w:r>
        <w:rPr>
          <w:color w:val="231F20"/>
          <w:w w:val="105"/>
          <w:sz w:val="21"/>
        </w:rPr>
        <w:t>S.</w:t>
      </w:r>
      <w:r>
        <w:rPr>
          <w:color w:val="231F20"/>
          <w:spacing w:val="-26"/>
          <w:w w:val="105"/>
          <w:sz w:val="21"/>
        </w:rPr>
        <w:t> </w:t>
      </w:r>
      <w:r>
        <w:rPr>
          <w:color w:val="231F20"/>
          <w:w w:val="105"/>
          <w:sz w:val="21"/>
        </w:rPr>
        <w:t>and</w:t>
      </w:r>
      <w:r>
        <w:rPr>
          <w:color w:val="231F20"/>
          <w:spacing w:val="-23"/>
          <w:w w:val="105"/>
          <w:sz w:val="21"/>
        </w:rPr>
        <w:t> </w:t>
      </w:r>
      <w:r>
        <w:rPr>
          <w:color w:val="231F20"/>
          <w:w w:val="105"/>
          <w:sz w:val="21"/>
        </w:rPr>
        <w:t>R.</w:t>
      </w:r>
      <w:r>
        <w:rPr>
          <w:color w:val="231F20"/>
          <w:spacing w:val="-26"/>
          <w:w w:val="105"/>
          <w:sz w:val="21"/>
        </w:rPr>
        <w:t> </w:t>
      </w:r>
      <w:r>
        <w:rPr>
          <w:color w:val="231F20"/>
          <w:w w:val="105"/>
          <w:sz w:val="21"/>
        </w:rPr>
        <w:t>Sundaram.</w:t>
      </w:r>
      <w:r>
        <w:rPr>
          <w:color w:val="231F20"/>
          <w:spacing w:val="-26"/>
          <w:w w:val="105"/>
          <w:sz w:val="21"/>
        </w:rPr>
        <w:t> </w:t>
      </w:r>
      <w:r>
        <w:rPr>
          <w:color w:val="231F20"/>
          <w:w w:val="105"/>
          <w:sz w:val="21"/>
        </w:rPr>
        <w:t>(1999).</w:t>
      </w:r>
      <w:r>
        <w:rPr>
          <w:color w:val="231F20"/>
          <w:spacing w:val="-26"/>
          <w:w w:val="105"/>
          <w:sz w:val="21"/>
        </w:rPr>
        <w:t> </w:t>
      </w:r>
      <w:r>
        <w:rPr>
          <w:color w:val="231F20"/>
          <w:w w:val="105"/>
          <w:sz w:val="21"/>
        </w:rPr>
        <w:t>Of</w:t>
      </w:r>
      <w:r>
        <w:rPr>
          <w:color w:val="231F20"/>
          <w:spacing w:val="-20"/>
          <w:w w:val="105"/>
          <w:sz w:val="21"/>
        </w:rPr>
        <w:t> </w:t>
      </w:r>
      <w:r>
        <w:rPr>
          <w:color w:val="231F20"/>
          <w:w w:val="105"/>
          <w:sz w:val="21"/>
        </w:rPr>
        <w:t>Smiles</w:t>
      </w:r>
      <w:r>
        <w:rPr>
          <w:color w:val="231F20"/>
          <w:spacing w:val="-23"/>
          <w:w w:val="105"/>
          <w:sz w:val="21"/>
        </w:rPr>
        <w:t> </w:t>
      </w:r>
      <w:r>
        <w:rPr>
          <w:color w:val="231F20"/>
          <w:w w:val="105"/>
          <w:sz w:val="21"/>
        </w:rPr>
        <w:t>and</w:t>
      </w:r>
      <w:r>
        <w:rPr>
          <w:color w:val="231F20"/>
          <w:spacing w:val="-23"/>
          <w:w w:val="105"/>
          <w:sz w:val="21"/>
        </w:rPr>
        <w:t> </w:t>
      </w:r>
      <w:r>
        <w:rPr>
          <w:color w:val="231F20"/>
          <w:w w:val="105"/>
          <w:sz w:val="21"/>
        </w:rPr>
        <w:t>smirks:</w:t>
      </w:r>
      <w:r>
        <w:rPr>
          <w:color w:val="231F20"/>
          <w:spacing w:val="-25"/>
          <w:w w:val="105"/>
          <w:sz w:val="21"/>
        </w:rPr>
        <w:t> </w:t>
      </w:r>
      <w:r>
        <w:rPr>
          <w:color w:val="231F20"/>
          <w:w w:val="105"/>
          <w:sz w:val="21"/>
        </w:rPr>
        <w:t>A</w:t>
      </w:r>
      <w:r>
        <w:rPr>
          <w:color w:val="231F20"/>
          <w:spacing w:val="-25"/>
          <w:w w:val="105"/>
          <w:sz w:val="21"/>
        </w:rPr>
        <w:t> </w:t>
      </w:r>
      <w:r>
        <w:rPr>
          <w:color w:val="231F20"/>
          <w:w w:val="105"/>
          <w:sz w:val="21"/>
        </w:rPr>
        <w:t>term-structure perspective. </w:t>
      </w:r>
      <w:r>
        <w:rPr>
          <w:i/>
          <w:color w:val="231F20"/>
          <w:w w:val="105"/>
          <w:sz w:val="21"/>
        </w:rPr>
        <w:t>Journal of Financial and Quantitative Analysis</w:t>
      </w:r>
      <w:r>
        <w:rPr>
          <w:color w:val="231F20"/>
          <w:w w:val="105"/>
          <w:sz w:val="21"/>
        </w:rPr>
        <w:t>,</w:t>
      </w:r>
      <w:r>
        <w:rPr>
          <w:color w:val="231F20"/>
          <w:spacing w:val="-19"/>
          <w:w w:val="105"/>
          <w:sz w:val="21"/>
        </w:rPr>
        <w:t> </w:t>
      </w:r>
      <w:r>
        <w:rPr>
          <w:color w:val="231F20"/>
          <w:spacing w:val="-3"/>
          <w:w w:val="105"/>
          <w:sz w:val="21"/>
        </w:rPr>
        <w:t>Vol. </w:t>
      </w:r>
      <w:r>
        <w:rPr>
          <w:color w:val="231F20"/>
          <w:w w:val="105"/>
          <w:sz w:val="21"/>
        </w:rPr>
        <w:t>34,</w:t>
      </w:r>
      <w:r>
        <w:rPr>
          <w:color w:val="231F20"/>
          <w:spacing w:val="-43"/>
          <w:w w:val="105"/>
          <w:sz w:val="21"/>
        </w:rPr>
        <w:t> </w:t>
      </w:r>
      <w:r>
        <w:rPr>
          <w:color w:val="231F20"/>
          <w:w w:val="105"/>
          <w:sz w:val="21"/>
        </w:rPr>
        <w:t>211-239.</w:t>
      </w:r>
    </w:p>
    <w:p>
      <w:pPr>
        <w:pStyle w:val="BodyText"/>
        <w:spacing w:line="259" w:lineRule="auto"/>
        <w:ind w:left="854" w:right="115" w:hanging="738"/>
        <w:jc w:val="both"/>
      </w:pPr>
      <w:r>
        <w:rPr>
          <w:color w:val="231F20"/>
        </w:rPr>
        <w:t>Day,</w:t>
      </w:r>
      <w:r>
        <w:rPr>
          <w:color w:val="231F20"/>
          <w:spacing w:val="-19"/>
        </w:rPr>
        <w:t> </w:t>
      </w:r>
      <w:r>
        <w:rPr>
          <w:color w:val="231F20"/>
          <w:spacing w:val="-9"/>
        </w:rPr>
        <w:t>T.</w:t>
      </w:r>
      <w:r>
        <w:rPr>
          <w:color w:val="231F20"/>
          <w:spacing w:val="-14"/>
        </w:rPr>
        <w:t> </w:t>
      </w:r>
      <w:r>
        <w:rPr>
          <w:color w:val="231F20"/>
        </w:rPr>
        <w:t>E.,</w:t>
      </w:r>
      <w:r>
        <w:rPr>
          <w:color w:val="231F20"/>
          <w:spacing w:val="-14"/>
        </w:rPr>
        <w:t> </w:t>
      </w:r>
      <w:r>
        <w:rPr>
          <w:color w:val="231F20"/>
        </w:rPr>
        <w:t>and</w:t>
      </w:r>
      <w:r>
        <w:rPr>
          <w:color w:val="231F20"/>
          <w:spacing w:val="-6"/>
        </w:rPr>
        <w:t> </w:t>
      </w:r>
      <w:r>
        <w:rPr>
          <w:color w:val="231F20"/>
        </w:rPr>
        <w:t>Lewis,</w:t>
      </w:r>
      <w:r>
        <w:rPr>
          <w:color w:val="231F20"/>
          <w:spacing w:val="-14"/>
        </w:rPr>
        <w:t> </w:t>
      </w:r>
      <w:r>
        <w:rPr>
          <w:color w:val="231F20"/>
        </w:rPr>
        <w:t>C.</w:t>
      </w:r>
      <w:r>
        <w:rPr>
          <w:color w:val="231F20"/>
          <w:spacing w:val="-14"/>
        </w:rPr>
        <w:t> </w:t>
      </w:r>
      <w:r>
        <w:rPr>
          <w:color w:val="231F20"/>
        </w:rPr>
        <w:t>M.</w:t>
      </w:r>
      <w:r>
        <w:rPr>
          <w:color w:val="231F20"/>
          <w:spacing w:val="-14"/>
        </w:rPr>
        <w:t> </w:t>
      </w:r>
      <w:r>
        <w:rPr>
          <w:color w:val="231F20"/>
        </w:rPr>
        <w:t>(1992),</w:t>
      </w:r>
      <w:r>
        <w:rPr>
          <w:color w:val="231F20"/>
          <w:spacing w:val="-14"/>
        </w:rPr>
        <w:t> </w:t>
      </w:r>
      <w:r>
        <w:rPr>
          <w:color w:val="231F20"/>
        </w:rPr>
        <w:t>Stock</w:t>
      </w:r>
      <w:r>
        <w:rPr>
          <w:color w:val="231F20"/>
          <w:spacing w:val="-6"/>
        </w:rPr>
        <w:t> </w:t>
      </w:r>
      <w:r>
        <w:rPr>
          <w:color w:val="231F20"/>
        </w:rPr>
        <w:t>Market</w:t>
      </w:r>
      <w:r>
        <w:rPr>
          <w:color w:val="231F20"/>
          <w:spacing w:val="-11"/>
        </w:rPr>
        <w:t> </w:t>
      </w:r>
      <w:r>
        <w:rPr>
          <w:color w:val="231F20"/>
        </w:rPr>
        <w:t>Volatility</w:t>
      </w:r>
      <w:r>
        <w:rPr>
          <w:color w:val="231F20"/>
          <w:spacing w:val="-6"/>
        </w:rPr>
        <w:t> </w:t>
      </w:r>
      <w:r>
        <w:rPr>
          <w:color w:val="231F20"/>
        </w:rPr>
        <w:t>and</w:t>
      </w:r>
      <w:r>
        <w:rPr>
          <w:color w:val="231F20"/>
          <w:spacing w:val="-6"/>
        </w:rPr>
        <w:t> </w:t>
      </w:r>
      <w:r>
        <w:rPr>
          <w:color w:val="231F20"/>
        </w:rPr>
        <w:t>the</w:t>
      </w:r>
      <w:r>
        <w:rPr>
          <w:color w:val="231F20"/>
          <w:spacing w:val="-6"/>
        </w:rPr>
        <w:t> </w:t>
      </w:r>
      <w:r>
        <w:rPr>
          <w:color w:val="231F20"/>
        </w:rPr>
        <w:t>Informa- tion Content of Stock Index Options. </w:t>
      </w:r>
      <w:r>
        <w:rPr>
          <w:i/>
          <w:color w:val="231F20"/>
        </w:rPr>
        <w:t>Journal of Econometrics</w:t>
      </w:r>
      <w:r>
        <w:rPr>
          <w:color w:val="231F20"/>
        </w:rPr>
        <w:t>, 52, 267-287.</w:t>
      </w:r>
    </w:p>
    <w:p>
      <w:pPr>
        <w:pStyle w:val="BodyText"/>
        <w:spacing w:line="259" w:lineRule="auto"/>
        <w:ind w:left="854" w:right="121" w:hanging="738"/>
        <w:jc w:val="both"/>
      </w:pPr>
      <w:r>
        <w:rPr>
          <w:color w:val="231F20"/>
        </w:rPr>
        <w:t>Engle,</w:t>
      </w:r>
      <w:r>
        <w:rPr>
          <w:color w:val="231F20"/>
          <w:spacing w:val="-10"/>
        </w:rPr>
        <w:t> </w:t>
      </w:r>
      <w:r>
        <w:rPr>
          <w:color w:val="231F20"/>
        </w:rPr>
        <w:t>R.</w:t>
      </w:r>
      <w:r>
        <w:rPr>
          <w:color w:val="231F20"/>
          <w:spacing w:val="-10"/>
        </w:rPr>
        <w:t> </w:t>
      </w:r>
      <w:r>
        <w:rPr>
          <w:color w:val="231F20"/>
          <w:spacing w:val="-7"/>
        </w:rPr>
        <w:t>F.,</w:t>
      </w:r>
      <w:r>
        <w:rPr>
          <w:color w:val="231F20"/>
          <w:spacing w:val="-15"/>
        </w:rPr>
        <w:t> </w:t>
      </w:r>
      <w:r>
        <w:rPr>
          <w:color w:val="231F20"/>
        </w:rPr>
        <w:t>A.</w:t>
      </w:r>
      <w:r>
        <w:rPr>
          <w:color w:val="231F20"/>
          <w:spacing w:val="-10"/>
        </w:rPr>
        <w:t> </w:t>
      </w:r>
      <w:r>
        <w:rPr>
          <w:color w:val="231F20"/>
        </w:rPr>
        <w:t>Kane</w:t>
      </w:r>
      <w:r>
        <w:rPr>
          <w:color w:val="231F20"/>
          <w:spacing w:val="-2"/>
        </w:rPr>
        <w:t> </w:t>
      </w:r>
      <w:r>
        <w:rPr>
          <w:color w:val="231F20"/>
        </w:rPr>
        <w:t>and</w:t>
      </w:r>
      <w:r>
        <w:rPr>
          <w:color w:val="231F20"/>
          <w:spacing w:val="-5"/>
        </w:rPr>
        <w:t> </w:t>
      </w:r>
      <w:r>
        <w:rPr>
          <w:color w:val="231F20"/>
        </w:rPr>
        <w:t>J.</w:t>
      </w:r>
      <w:r>
        <w:rPr>
          <w:color w:val="231F20"/>
          <w:spacing w:val="-10"/>
        </w:rPr>
        <w:t> </w:t>
      </w:r>
      <w:r>
        <w:rPr>
          <w:color w:val="231F20"/>
        </w:rPr>
        <w:t>Noh.</w:t>
      </w:r>
      <w:r>
        <w:rPr>
          <w:color w:val="231F20"/>
          <w:spacing w:val="-10"/>
        </w:rPr>
        <w:t> </w:t>
      </w:r>
      <w:r>
        <w:rPr>
          <w:color w:val="231F20"/>
        </w:rPr>
        <w:t>(1993).</w:t>
      </w:r>
      <w:r>
        <w:rPr>
          <w:color w:val="231F20"/>
          <w:spacing w:val="-10"/>
        </w:rPr>
        <w:t> </w:t>
      </w:r>
      <w:r>
        <w:rPr>
          <w:color w:val="231F20"/>
        </w:rPr>
        <w:t>Index-option</w:t>
      </w:r>
      <w:r>
        <w:rPr>
          <w:color w:val="231F20"/>
          <w:spacing w:val="-2"/>
        </w:rPr>
        <w:t> </w:t>
      </w:r>
      <w:r>
        <w:rPr>
          <w:color w:val="231F20"/>
        </w:rPr>
        <w:t>pricing</w:t>
      </w:r>
      <w:r>
        <w:rPr>
          <w:color w:val="231F20"/>
          <w:spacing w:val="-2"/>
        </w:rPr>
        <w:t> </w:t>
      </w:r>
      <w:r>
        <w:rPr>
          <w:color w:val="231F20"/>
        </w:rPr>
        <w:t>with</w:t>
      </w:r>
      <w:r>
        <w:rPr>
          <w:color w:val="231F20"/>
          <w:spacing w:val="-2"/>
        </w:rPr>
        <w:t> </w:t>
      </w:r>
      <w:r>
        <w:rPr>
          <w:color w:val="231F20"/>
        </w:rPr>
        <w:t>stochas- tic volatility and the value of accurate variance forecasts. Advan- ces in Futures and Options Research. No. 6,</w:t>
      </w:r>
      <w:r>
        <w:rPr>
          <w:color w:val="231F20"/>
          <w:spacing w:val="-4"/>
        </w:rPr>
        <w:t> </w:t>
      </w:r>
      <w:r>
        <w:rPr>
          <w:color w:val="231F20"/>
        </w:rPr>
        <w:t>393-415.</w:t>
      </w:r>
    </w:p>
    <w:p>
      <w:pPr>
        <w:spacing w:line="259" w:lineRule="auto" w:before="0"/>
        <w:ind w:left="854" w:right="115" w:hanging="738"/>
        <w:jc w:val="both"/>
        <w:rPr>
          <w:sz w:val="21"/>
        </w:rPr>
      </w:pPr>
      <w:r>
        <w:rPr>
          <w:color w:val="231F20"/>
          <w:spacing w:val="-3"/>
          <w:w w:val="105"/>
          <w:sz w:val="21"/>
        </w:rPr>
        <w:t>Eraker, </w:t>
      </w:r>
      <w:r>
        <w:rPr>
          <w:color w:val="231F20"/>
          <w:w w:val="105"/>
          <w:sz w:val="21"/>
        </w:rPr>
        <w:t>B. (2001). “MCMC analysis of diffusion models with application to</w:t>
      </w:r>
      <w:r>
        <w:rPr>
          <w:color w:val="231F20"/>
          <w:spacing w:val="-18"/>
          <w:w w:val="105"/>
          <w:sz w:val="21"/>
        </w:rPr>
        <w:t> </w:t>
      </w:r>
      <w:r>
        <w:rPr>
          <w:color w:val="231F20"/>
          <w:w w:val="105"/>
          <w:sz w:val="21"/>
        </w:rPr>
        <w:t>finance.”</w:t>
      </w:r>
      <w:r>
        <w:rPr>
          <w:color w:val="231F20"/>
          <w:spacing w:val="-18"/>
          <w:w w:val="105"/>
          <w:sz w:val="21"/>
        </w:rPr>
        <w:t> </w:t>
      </w:r>
      <w:r>
        <w:rPr>
          <w:i/>
          <w:color w:val="231F20"/>
          <w:w w:val="105"/>
          <w:sz w:val="21"/>
        </w:rPr>
        <w:t>Journal</w:t>
      </w:r>
      <w:r>
        <w:rPr>
          <w:i/>
          <w:color w:val="231F20"/>
          <w:spacing w:val="-18"/>
          <w:w w:val="105"/>
          <w:sz w:val="21"/>
        </w:rPr>
        <w:t> </w:t>
      </w:r>
      <w:r>
        <w:rPr>
          <w:i/>
          <w:color w:val="231F20"/>
          <w:w w:val="105"/>
          <w:sz w:val="21"/>
        </w:rPr>
        <w:t>of</w:t>
      </w:r>
      <w:r>
        <w:rPr>
          <w:i/>
          <w:color w:val="231F20"/>
          <w:spacing w:val="20"/>
          <w:w w:val="105"/>
          <w:sz w:val="21"/>
        </w:rPr>
        <w:t> </w:t>
      </w:r>
      <w:r>
        <w:rPr>
          <w:i/>
          <w:color w:val="231F20"/>
          <w:w w:val="105"/>
          <w:sz w:val="21"/>
        </w:rPr>
        <w:t>Business</w:t>
      </w:r>
      <w:r>
        <w:rPr>
          <w:i/>
          <w:color w:val="231F20"/>
          <w:spacing w:val="-18"/>
          <w:w w:val="105"/>
          <w:sz w:val="21"/>
        </w:rPr>
        <w:t> </w:t>
      </w:r>
      <w:r>
        <w:rPr>
          <w:i/>
          <w:color w:val="231F20"/>
          <w:w w:val="105"/>
          <w:sz w:val="21"/>
        </w:rPr>
        <w:t>and</w:t>
      </w:r>
      <w:r>
        <w:rPr>
          <w:i/>
          <w:color w:val="231F20"/>
          <w:spacing w:val="-18"/>
          <w:w w:val="105"/>
          <w:sz w:val="21"/>
        </w:rPr>
        <w:t> </w:t>
      </w:r>
      <w:r>
        <w:rPr>
          <w:i/>
          <w:color w:val="231F20"/>
          <w:w w:val="105"/>
          <w:sz w:val="21"/>
        </w:rPr>
        <w:t>Economic</w:t>
      </w:r>
      <w:r>
        <w:rPr>
          <w:i/>
          <w:color w:val="231F20"/>
          <w:spacing w:val="-18"/>
          <w:w w:val="105"/>
          <w:sz w:val="21"/>
        </w:rPr>
        <w:t> </w:t>
      </w:r>
      <w:r>
        <w:rPr>
          <w:i/>
          <w:color w:val="231F20"/>
          <w:w w:val="105"/>
          <w:sz w:val="21"/>
        </w:rPr>
        <w:t>Statistics</w:t>
      </w:r>
      <w:r>
        <w:rPr>
          <w:color w:val="231F20"/>
          <w:w w:val="105"/>
          <w:sz w:val="21"/>
        </w:rPr>
        <w:t>.</w:t>
      </w:r>
      <w:r>
        <w:rPr>
          <w:color w:val="231F20"/>
          <w:spacing w:val="-23"/>
          <w:w w:val="105"/>
          <w:sz w:val="21"/>
        </w:rPr>
        <w:t> </w:t>
      </w:r>
      <w:r>
        <w:rPr>
          <w:color w:val="231F20"/>
          <w:w w:val="105"/>
          <w:sz w:val="21"/>
        </w:rPr>
        <w:t>No.</w:t>
      </w:r>
      <w:r>
        <w:rPr>
          <w:color w:val="231F20"/>
          <w:spacing w:val="-23"/>
          <w:w w:val="105"/>
          <w:sz w:val="21"/>
        </w:rPr>
        <w:t> </w:t>
      </w:r>
      <w:r>
        <w:rPr>
          <w:color w:val="231F20"/>
          <w:w w:val="105"/>
          <w:sz w:val="21"/>
        </w:rPr>
        <w:t>19, 177-191.</w:t>
      </w:r>
    </w:p>
    <w:p>
      <w:pPr>
        <w:spacing w:line="259" w:lineRule="auto" w:before="0"/>
        <w:ind w:left="854" w:right="121" w:hanging="737"/>
        <w:jc w:val="both"/>
        <w:rPr>
          <w:sz w:val="21"/>
        </w:rPr>
      </w:pPr>
      <w:r>
        <w:rPr>
          <w:color w:val="231F20"/>
          <w:sz w:val="21"/>
        </w:rPr>
        <w:t>Fleming, J. (1994). </w:t>
      </w:r>
      <w:r>
        <w:rPr>
          <w:i/>
          <w:color w:val="231F20"/>
          <w:sz w:val="21"/>
        </w:rPr>
        <w:t>The quality of market volatility forecasts implied by</w:t>
      </w:r>
      <w:r>
        <w:rPr>
          <w:i/>
          <w:color w:val="231F20"/>
          <w:spacing w:val="-29"/>
          <w:sz w:val="21"/>
        </w:rPr>
        <w:t> </w:t>
      </w:r>
      <w:r>
        <w:rPr>
          <w:i/>
          <w:color w:val="231F20"/>
          <w:sz w:val="21"/>
        </w:rPr>
        <w:t>SyP </w:t>
      </w:r>
      <w:r>
        <w:rPr>
          <w:i/>
          <w:color w:val="231F20"/>
          <w:sz w:val="21"/>
        </w:rPr>
        <w:t>100 index option prices. </w:t>
      </w:r>
      <w:r>
        <w:rPr>
          <w:color w:val="231F20"/>
          <w:sz w:val="21"/>
        </w:rPr>
        <w:t>Rice University working  </w:t>
      </w:r>
      <w:r>
        <w:rPr>
          <w:color w:val="231F20"/>
          <w:spacing w:val="6"/>
          <w:sz w:val="21"/>
        </w:rPr>
        <w:t> </w:t>
      </w:r>
      <w:r>
        <w:rPr>
          <w:color w:val="231F20"/>
          <w:sz w:val="21"/>
        </w:rPr>
        <w:t>paper.</w:t>
      </w:r>
    </w:p>
    <w:p>
      <w:pPr>
        <w:spacing w:line="259" w:lineRule="auto" w:before="0"/>
        <w:ind w:left="854" w:right="122" w:hanging="738"/>
        <w:jc w:val="both"/>
        <w:rPr>
          <w:sz w:val="21"/>
        </w:rPr>
      </w:pPr>
      <w:r>
        <w:rPr>
          <w:color w:val="231F20"/>
          <w:w w:val="105"/>
          <w:sz w:val="21"/>
        </w:rPr>
        <w:t>Garman, M. B., and Kohlhagen, S.</w:t>
      </w:r>
      <w:r>
        <w:rPr>
          <w:color w:val="231F20"/>
          <w:spacing w:val="-44"/>
          <w:w w:val="105"/>
          <w:sz w:val="21"/>
        </w:rPr>
        <w:t> </w:t>
      </w:r>
      <w:r>
        <w:rPr>
          <w:color w:val="231F20"/>
          <w:spacing w:val="-5"/>
          <w:w w:val="105"/>
          <w:sz w:val="21"/>
        </w:rPr>
        <w:t>W., </w:t>
      </w:r>
      <w:r>
        <w:rPr>
          <w:color w:val="231F20"/>
          <w:w w:val="105"/>
          <w:sz w:val="21"/>
        </w:rPr>
        <w:t>(1983), </w:t>
      </w:r>
      <w:r>
        <w:rPr>
          <w:color w:val="231F20"/>
          <w:spacing w:val="-3"/>
          <w:w w:val="105"/>
          <w:sz w:val="21"/>
        </w:rPr>
        <w:t>Foreign </w:t>
      </w:r>
      <w:r>
        <w:rPr>
          <w:color w:val="231F20"/>
          <w:w w:val="105"/>
          <w:sz w:val="21"/>
        </w:rPr>
        <w:t>Currency Option Values.</w:t>
      </w:r>
      <w:r>
        <w:rPr>
          <w:color w:val="231F20"/>
          <w:spacing w:val="-37"/>
          <w:w w:val="105"/>
          <w:sz w:val="21"/>
        </w:rPr>
        <w:t> </w:t>
      </w:r>
      <w:r>
        <w:rPr>
          <w:i/>
          <w:color w:val="231F20"/>
          <w:w w:val="105"/>
          <w:sz w:val="21"/>
        </w:rPr>
        <w:t>Journal</w:t>
      </w:r>
      <w:r>
        <w:rPr>
          <w:i/>
          <w:color w:val="231F20"/>
          <w:spacing w:val="-33"/>
          <w:w w:val="105"/>
          <w:sz w:val="21"/>
        </w:rPr>
        <w:t> </w:t>
      </w:r>
      <w:r>
        <w:rPr>
          <w:i/>
          <w:color w:val="231F20"/>
          <w:w w:val="105"/>
          <w:sz w:val="21"/>
        </w:rPr>
        <w:t>of</w:t>
      </w:r>
      <w:r>
        <w:rPr>
          <w:i/>
          <w:color w:val="231F20"/>
          <w:spacing w:val="-30"/>
          <w:w w:val="105"/>
          <w:sz w:val="21"/>
        </w:rPr>
        <w:t> </w:t>
      </w:r>
      <w:r>
        <w:rPr>
          <w:i/>
          <w:color w:val="231F20"/>
          <w:w w:val="105"/>
          <w:sz w:val="21"/>
        </w:rPr>
        <w:t>International</w:t>
      </w:r>
      <w:r>
        <w:rPr>
          <w:i/>
          <w:color w:val="231F20"/>
          <w:spacing w:val="-33"/>
          <w:w w:val="105"/>
          <w:sz w:val="21"/>
        </w:rPr>
        <w:t> </w:t>
      </w:r>
      <w:r>
        <w:rPr>
          <w:i/>
          <w:color w:val="231F20"/>
          <w:w w:val="105"/>
          <w:sz w:val="21"/>
        </w:rPr>
        <w:t>Money</w:t>
      </w:r>
      <w:r>
        <w:rPr>
          <w:i/>
          <w:color w:val="231F20"/>
          <w:spacing w:val="-33"/>
          <w:w w:val="105"/>
          <w:sz w:val="21"/>
        </w:rPr>
        <w:t> </w:t>
      </w:r>
      <w:r>
        <w:rPr>
          <w:i/>
          <w:color w:val="231F20"/>
          <w:w w:val="105"/>
          <w:sz w:val="21"/>
        </w:rPr>
        <w:t>and</w:t>
      </w:r>
      <w:r>
        <w:rPr>
          <w:i/>
          <w:color w:val="231F20"/>
          <w:spacing w:val="-33"/>
          <w:w w:val="105"/>
          <w:sz w:val="21"/>
        </w:rPr>
        <w:t> </w:t>
      </w:r>
      <w:r>
        <w:rPr>
          <w:i/>
          <w:color w:val="231F20"/>
          <w:w w:val="105"/>
          <w:sz w:val="21"/>
        </w:rPr>
        <w:t>Finance</w:t>
      </w:r>
      <w:r>
        <w:rPr>
          <w:color w:val="231F20"/>
          <w:w w:val="105"/>
          <w:sz w:val="21"/>
        </w:rPr>
        <w:t>,</w:t>
      </w:r>
      <w:r>
        <w:rPr>
          <w:color w:val="231F20"/>
          <w:spacing w:val="-37"/>
          <w:w w:val="105"/>
          <w:sz w:val="21"/>
        </w:rPr>
        <w:t> </w:t>
      </w:r>
      <w:r>
        <w:rPr>
          <w:color w:val="231F20"/>
          <w:w w:val="105"/>
          <w:sz w:val="21"/>
        </w:rPr>
        <w:t>2,</w:t>
      </w:r>
      <w:r>
        <w:rPr>
          <w:color w:val="231F20"/>
          <w:spacing w:val="-37"/>
          <w:w w:val="105"/>
          <w:sz w:val="21"/>
        </w:rPr>
        <w:t> </w:t>
      </w:r>
      <w:r>
        <w:rPr>
          <w:color w:val="231F20"/>
          <w:w w:val="105"/>
          <w:sz w:val="21"/>
        </w:rPr>
        <w:t>231-237.</w:t>
      </w:r>
    </w:p>
    <w:p>
      <w:pPr>
        <w:pStyle w:val="BodyText"/>
        <w:spacing w:line="259" w:lineRule="auto"/>
        <w:ind w:left="854" w:right="122" w:hanging="738"/>
        <w:jc w:val="both"/>
      </w:pPr>
      <w:r>
        <w:rPr>
          <w:color w:val="231F20"/>
        </w:rPr>
        <w:t>Geske, R. and R. Roll (1984). On valuing American call options with the Black-Scholes European formula. </w:t>
      </w:r>
      <w:r>
        <w:rPr>
          <w:i/>
          <w:color w:val="231F20"/>
        </w:rPr>
        <w:t>Journal of Finance</w:t>
      </w:r>
      <w:r>
        <w:rPr>
          <w:color w:val="231F20"/>
        </w:rPr>
        <w:t>. No. 39, 443- 455.</w:t>
      </w:r>
    </w:p>
    <w:p>
      <w:pPr>
        <w:pStyle w:val="BodyText"/>
        <w:spacing w:line="259" w:lineRule="auto"/>
        <w:ind w:left="854" w:right="121" w:hanging="738"/>
        <w:jc w:val="both"/>
      </w:pPr>
      <w:r>
        <w:rPr>
          <w:color w:val="231F20"/>
          <w:w w:val="105"/>
        </w:rPr>
        <w:t>Gesser,</w:t>
      </w:r>
      <w:r>
        <w:rPr>
          <w:color w:val="231F20"/>
          <w:spacing w:val="-34"/>
          <w:w w:val="105"/>
        </w:rPr>
        <w:t> </w:t>
      </w:r>
      <w:r>
        <w:rPr>
          <w:color w:val="231F20"/>
          <w:spacing w:val="-9"/>
          <w:w w:val="105"/>
        </w:rPr>
        <w:t>V.</w:t>
      </w:r>
      <w:r>
        <w:rPr>
          <w:color w:val="231F20"/>
          <w:spacing w:val="-31"/>
          <w:w w:val="105"/>
        </w:rPr>
        <w:t> </w:t>
      </w:r>
      <w:r>
        <w:rPr>
          <w:color w:val="231F20"/>
          <w:w w:val="105"/>
        </w:rPr>
        <w:t>and</w:t>
      </w:r>
      <w:r>
        <w:rPr>
          <w:color w:val="231F20"/>
          <w:spacing w:val="-28"/>
          <w:w w:val="105"/>
        </w:rPr>
        <w:t> </w:t>
      </w:r>
      <w:r>
        <w:rPr>
          <w:color w:val="231F20"/>
          <w:spacing w:val="-16"/>
          <w:w w:val="105"/>
        </w:rPr>
        <w:t>P.</w:t>
      </w:r>
      <w:r>
        <w:rPr>
          <w:color w:val="231F20"/>
          <w:spacing w:val="-31"/>
          <w:w w:val="105"/>
        </w:rPr>
        <w:t> </w:t>
      </w:r>
      <w:r>
        <w:rPr>
          <w:color w:val="231F20"/>
          <w:spacing w:val="-3"/>
          <w:w w:val="105"/>
        </w:rPr>
        <w:t>Poncet</w:t>
      </w:r>
      <w:r>
        <w:rPr>
          <w:color w:val="231F20"/>
          <w:spacing w:val="-28"/>
          <w:w w:val="105"/>
        </w:rPr>
        <w:t> </w:t>
      </w:r>
      <w:r>
        <w:rPr>
          <w:color w:val="231F20"/>
          <w:w w:val="105"/>
        </w:rPr>
        <w:t>(1997),</w:t>
      </w:r>
      <w:r>
        <w:rPr>
          <w:color w:val="231F20"/>
          <w:spacing w:val="-34"/>
          <w:w w:val="105"/>
        </w:rPr>
        <w:t> </w:t>
      </w:r>
      <w:r>
        <w:rPr>
          <w:color w:val="231F20"/>
          <w:w w:val="105"/>
        </w:rPr>
        <w:t>Volatility</w:t>
      </w:r>
      <w:r>
        <w:rPr>
          <w:color w:val="231F20"/>
          <w:spacing w:val="-28"/>
          <w:w w:val="105"/>
        </w:rPr>
        <w:t> </w:t>
      </w:r>
      <w:r>
        <w:rPr>
          <w:color w:val="231F20"/>
          <w:spacing w:val="-3"/>
          <w:w w:val="105"/>
        </w:rPr>
        <w:t>Patterns:</w:t>
      </w:r>
      <w:r>
        <w:rPr>
          <w:color w:val="231F20"/>
          <w:spacing w:val="-30"/>
          <w:w w:val="105"/>
        </w:rPr>
        <w:t> </w:t>
      </w:r>
      <w:r>
        <w:rPr>
          <w:color w:val="231F20"/>
          <w:w w:val="105"/>
        </w:rPr>
        <w:t>Theory</w:t>
      </w:r>
      <w:r>
        <w:rPr>
          <w:color w:val="231F20"/>
          <w:spacing w:val="-28"/>
          <w:w w:val="105"/>
        </w:rPr>
        <w:t> </w:t>
      </w:r>
      <w:r>
        <w:rPr>
          <w:color w:val="231F20"/>
          <w:w w:val="105"/>
        </w:rPr>
        <w:t>and</w:t>
      </w:r>
      <w:r>
        <w:rPr>
          <w:color w:val="231F20"/>
          <w:spacing w:val="-28"/>
          <w:w w:val="105"/>
        </w:rPr>
        <w:t> </w:t>
      </w:r>
      <w:r>
        <w:rPr>
          <w:color w:val="231F20"/>
          <w:w w:val="105"/>
        </w:rPr>
        <w:t>Some</w:t>
      </w:r>
      <w:r>
        <w:rPr>
          <w:color w:val="231F20"/>
          <w:spacing w:val="-28"/>
          <w:w w:val="105"/>
        </w:rPr>
        <w:t> </w:t>
      </w:r>
      <w:r>
        <w:rPr>
          <w:color w:val="231F20"/>
          <w:w w:val="105"/>
        </w:rPr>
        <w:t>Evi- dence from the Dollar-Mark Option Market. </w:t>
      </w:r>
      <w:r>
        <w:rPr>
          <w:i/>
          <w:color w:val="231F20"/>
          <w:w w:val="105"/>
        </w:rPr>
        <w:t>Journal of Derivati- </w:t>
      </w:r>
      <w:r>
        <w:rPr>
          <w:i/>
          <w:color w:val="231F20"/>
        </w:rPr>
        <w:t>ves</w:t>
      </w:r>
      <w:r>
        <w:rPr>
          <w:color w:val="231F20"/>
        </w:rPr>
        <w:t>, 5,</w:t>
      </w:r>
      <w:r>
        <w:rPr>
          <w:color w:val="231F20"/>
          <w:spacing w:val="-30"/>
        </w:rPr>
        <w:t> </w:t>
      </w:r>
      <w:r>
        <w:rPr>
          <w:color w:val="231F20"/>
        </w:rPr>
        <w:t>46-65.</w:t>
      </w:r>
    </w:p>
    <w:p>
      <w:pPr>
        <w:spacing w:line="259" w:lineRule="auto" w:before="0"/>
        <w:ind w:left="854" w:right="122" w:hanging="738"/>
        <w:jc w:val="both"/>
        <w:rPr>
          <w:sz w:val="21"/>
        </w:rPr>
      </w:pPr>
      <w:r>
        <w:rPr>
          <w:color w:val="231F20"/>
          <w:sz w:val="21"/>
        </w:rPr>
        <w:t>Guo, D. (1998), The Risk Premium of Volatility Implicit in Currency Op- tions. </w:t>
      </w:r>
      <w:r>
        <w:rPr>
          <w:i/>
          <w:color w:val="231F20"/>
          <w:sz w:val="21"/>
        </w:rPr>
        <w:t>Journal of Business y Economic Statistics</w:t>
      </w:r>
      <w:r>
        <w:rPr>
          <w:color w:val="231F20"/>
          <w:sz w:val="21"/>
        </w:rPr>
        <w:t>, 16, 498-507.</w:t>
      </w:r>
    </w:p>
    <w:p>
      <w:pPr>
        <w:pStyle w:val="BodyText"/>
        <w:spacing w:line="259" w:lineRule="auto"/>
        <w:ind w:left="854" w:right="115" w:hanging="738"/>
        <w:jc w:val="both"/>
      </w:pPr>
      <w:r>
        <w:rPr>
          <w:color w:val="231F20"/>
        </w:rPr>
        <w:t>Harvey, A., E. Ruiz and E. Sentana. (1994). Unobserved Component Time Series Models with ARCH Disturbances. </w:t>
      </w:r>
      <w:r>
        <w:rPr>
          <w:i/>
          <w:color w:val="231F20"/>
        </w:rPr>
        <w:t>Journal of Econometrics</w:t>
      </w:r>
      <w:r>
        <w:rPr>
          <w:color w:val="231F20"/>
        </w:rPr>
        <w:t>. No. 52, 62-74.</w:t>
      </w:r>
    </w:p>
    <w:p>
      <w:pPr>
        <w:spacing w:line="259" w:lineRule="auto" w:before="0"/>
        <w:ind w:left="854" w:right="122" w:hanging="738"/>
        <w:jc w:val="both"/>
        <w:rPr>
          <w:sz w:val="21"/>
        </w:rPr>
      </w:pPr>
      <w:r>
        <w:rPr>
          <w:color w:val="231F20"/>
          <w:sz w:val="21"/>
        </w:rPr>
        <w:t>Heston, S. (1993), A Closed Form Solution for Options With Stochastic Volatility. </w:t>
      </w:r>
      <w:r>
        <w:rPr>
          <w:i/>
          <w:color w:val="231F20"/>
          <w:sz w:val="21"/>
        </w:rPr>
        <w:t>Review of Financial Studies</w:t>
      </w:r>
      <w:r>
        <w:rPr>
          <w:color w:val="231F20"/>
          <w:sz w:val="21"/>
        </w:rPr>
        <w:t>, 6, 327-343.</w:t>
      </w:r>
    </w:p>
    <w:p>
      <w:pPr>
        <w:pStyle w:val="BodyText"/>
        <w:spacing w:line="259" w:lineRule="auto"/>
        <w:ind w:left="854" w:right="122" w:hanging="738"/>
        <w:jc w:val="both"/>
      </w:pPr>
      <w:r>
        <w:rPr>
          <w:color w:val="231F20"/>
          <w:w w:val="105"/>
        </w:rPr>
        <w:t>Himmelblau, D. (1992). Applied Nonlinear Programming. McGrow-Hill: New York-London-Toronto.</w:t>
      </w:r>
    </w:p>
    <w:p>
      <w:pPr>
        <w:spacing w:line="259" w:lineRule="auto" w:before="0"/>
        <w:ind w:left="854" w:right="115" w:hanging="738"/>
        <w:jc w:val="both"/>
        <w:rPr>
          <w:sz w:val="21"/>
        </w:rPr>
      </w:pPr>
      <w:r>
        <w:rPr>
          <w:color w:val="231F20"/>
          <w:w w:val="105"/>
          <w:sz w:val="21"/>
        </w:rPr>
        <w:t>Hsieh, </w:t>
      </w:r>
      <w:r>
        <w:rPr>
          <w:color w:val="231F20"/>
          <w:spacing w:val="-6"/>
          <w:w w:val="105"/>
          <w:sz w:val="21"/>
        </w:rPr>
        <w:t>D. </w:t>
      </w:r>
      <w:r>
        <w:rPr>
          <w:color w:val="231F20"/>
          <w:w w:val="105"/>
          <w:sz w:val="21"/>
        </w:rPr>
        <w:t>A. (1989), “Modeling Heteroscedasticity in Daily </w:t>
      </w:r>
      <w:r>
        <w:rPr>
          <w:color w:val="231F20"/>
          <w:spacing w:val="-3"/>
          <w:w w:val="105"/>
          <w:sz w:val="21"/>
        </w:rPr>
        <w:t>Foreign </w:t>
      </w:r>
      <w:r>
        <w:rPr>
          <w:color w:val="231F20"/>
          <w:w w:val="105"/>
          <w:sz w:val="21"/>
        </w:rPr>
        <w:t>Ex- change</w:t>
      </w:r>
      <w:r>
        <w:rPr>
          <w:color w:val="231F20"/>
          <w:spacing w:val="-13"/>
          <w:w w:val="105"/>
          <w:sz w:val="21"/>
        </w:rPr>
        <w:t> </w:t>
      </w:r>
      <w:r>
        <w:rPr>
          <w:color w:val="231F20"/>
          <w:spacing w:val="-4"/>
          <w:w w:val="105"/>
          <w:sz w:val="21"/>
        </w:rPr>
        <w:t>Rates,”</w:t>
      </w:r>
      <w:r>
        <w:rPr>
          <w:color w:val="231F20"/>
          <w:spacing w:val="-13"/>
          <w:w w:val="105"/>
          <w:sz w:val="21"/>
        </w:rPr>
        <w:t> </w:t>
      </w:r>
      <w:r>
        <w:rPr>
          <w:color w:val="231F20"/>
          <w:w w:val="105"/>
          <w:sz w:val="21"/>
        </w:rPr>
        <w:t>en:</w:t>
      </w:r>
      <w:r>
        <w:rPr>
          <w:color w:val="231F20"/>
          <w:spacing w:val="-14"/>
          <w:w w:val="105"/>
          <w:sz w:val="21"/>
        </w:rPr>
        <w:t> </w:t>
      </w:r>
      <w:r>
        <w:rPr>
          <w:i/>
          <w:color w:val="231F20"/>
          <w:w w:val="105"/>
          <w:sz w:val="21"/>
        </w:rPr>
        <w:t>Journal</w:t>
      </w:r>
      <w:r>
        <w:rPr>
          <w:i/>
          <w:color w:val="231F20"/>
          <w:spacing w:val="-13"/>
          <w:w w:val="105"/>
          <w:sz w:val="21"/>
        </w:rPr>
        <w:t> </w:t>
      </w:r>
      <w:r>
        <w:rPr>
          <w:i/>
          <w:color w:val="231F20"/>
          <w:w w:val="105"/>
          <w:sz w:val="21"/>
        </w:rPr>
        <w:t>of</w:t>
      </w:r>
      <w:r>
        <w:rPr>
          <w:i/>
          <w:color w:val="231F20"/>
          <w:spacing w:val="-10"/>
          <w:w w:val="105"/>
          <w:sz w:val="21"/>
        </w:rPr>
        <w:t> </w:t>
      </w:r>
      <w:r>
        <w:rPr>
          <w:i/>
          <w:color w:val="231F20"/>
          <w:w w:val="105"/>
          <w:sz w:val="21"/>
        </w:rPr>
        <w:t>Business</w:t>
      </w:r>
      <w:r>
        <w:rPr>
          <w:i/>
          <w:color w:val="231F20"/>
          <w:spacing w:val="-13"/>
          <w:w w:val="105"/>
          <w:sz w:val="21"/>
        </w:rPr>
        <w:t> </w:t>
      </w:r>
      <w:r>
        <w:rPr>
          <w:i/>
          <w:color w:val="231F20"/>
          <w:w w:val="105"/>
          <w:sz w:val="21"/>
        </w:rPr>
        <w:t>and</w:t>
      </w:r>
      <w:r>
        <w:rPr>
          <w:i/>
          <w:color w:val="231F20"/>
          <w:spacing w:val="-13"/>
          <w:w w:val="105"/>
          <w:sz w:val="21"/>
        </w:rPr>
        <w:t> </w:t>
      </w:r>
      <w:r>
        <w:rPr>
          <w:i/>
          <w:color w:val="231F20"/>
          <w:w w:val="105"/>
          <w:sz w:val="21"/>
        </w:rPr>
        <w:t>Economic</w:t>
      </w:r>
      <w:r>
        <w:rPr>
          <w:i/>
          <w:color w:val="231F20"/>
          <w:spacing w:val="-13"/>
          <w:w w:val="105"/>
          <w:sz w:val="21"/>
        </w:rPr>
        <w:t> </w:t>
      </w:r>
      <w:r>
        <w:rPr>
          <w:i/>
          <w:color w:val="231F20"/>
          <w:w w:val="105"/>
          <w:sz w:val="21"/>
        </w:rPr>
        <w:t>Statistics</w:t>
      </w:r>
      <w:r>
        <w:rPr>
          <w:color w:val="231F20"/>
          <w:w w:val="105"/>
          <w:sz w:val="21"/>
        </w:rPr>
        <w:t>, 7,</w:t>
      </w:r>
      <w:r>
        <w:rPr>
          <w:color w:val="231F20"/>
          <w:spacing w:val="-42"/>
          <w:w w:val="105"/>
          <w:sz w:val="21"/>
        </w:rPr>
        <w:t> </w:t>
      </w:r>
      <w:r>
        <w:rPr>
          <w:color w:val="231F20"/>
          <w:w w:val="105"/>
          <w:sz w:val="21"/>
        </w:rPr>
        <w:t>307-317.</w:t>
      </w:r>
    </w:p>
    <w:p>
      <w:pPr>
        <w:spacing w:line="259" w:lineRule="auto" w:before="0"/>
        <w:ind w:left="854" w:right="122" w:hanging="738"/>
        <w:jc w:val="both"/>
        <w:rPr>
          <w:sz w:val="21"/>
        </w:rPr>
      </w:pPr>
      <w:r>
        <w:rPr>
          <w:color w:val="231F20"/>
          <w:sz w:val="21"/>
        </w:rPr>
        <w:t>Hull, J. C. (2008). </w:t>
      </w:r>
      <w:r>
        <w:rPr>
          <w:i/>
          <w:color w:val="231F20"/>
          <w:sz w:val="21"/>
        </w:rPr>
        <w:t>Options, Futures and Other Derivates</w:t>
      </w:r>
      <w:r>
        <w:rPr>
          <w:color w:val="231F20"/>
          <w:sz w:val="21"/>
        </w:rPr>
        <w:t>. Toronto: Pearson y Prentice Hall.</w:t>
      </w:r>
    </w:p>
    <w:p>
      <w:pPr>
        <w:pStyle w:val="BodyText"/>
        <w:spacing w:line="259" w:lineRule="auto"/>
        <w:ind w:left="854" w:right="115" w:hanging="738"/>
        <w:jc w:val="both"/>
      </w:pPr>
      <w:r>
        <w:rPr>
          <w:color w:val="231F20"/>
        </w:rPr>
        <w:t>Hull, J. C. and A. White (1996). Using Hull-White Interest Rate Trees. J. Derivatives, Vol. 3.</w:t>
      </w:r>
    </w:p>
    <w:p>
      <w:pPr>
        <w:spacing w:after="0" w:line="259" w:lineRule="auto"/>
        <w:jc w:val="both"/>
        <w:sectPr>
          <w:type w:val="continuous"/>
          <w:pgSz w:w="9640" w:h="13890"/>
          <w:pgMar w:top="1300" w:bottom="280" w:left="1300" w:right="1180"/>
        </w:sectPr>
      </w:pPr>
    </w:p>
    <w:p>
      <w:pPr>
        <w:pStyle w:val="BodyText"/>
        <w:spacing w:line="259" w:lineRule="auto" w:before="120"/>
        <w:ind w:left="841" w:right="115" w:hanging="738"/>
        <w:jc w:val="both"/>
      </w:pPr>
      <w:r>
        <w:rPr>
          <w:color w:val="231F20"/>
          <w:w w:val="105"/>
        </w:rPr>
        <w:t>Hull,</w:t>
      </w:r>
      <w:r>
        <w:rPr>
          <w:color w:val="231F20"/>
          <w:spacing w:val="-31"/>
          <w:w w:val="105"/>
        </w:rPr>
        <w:t> </w:t>
      </w:r>
      <w:r>
        <w:rPr>
          <w:color w:val="231F20"/>
          <w:w w:val="105"/>
        </w:rPr>
        <w:t>J.</w:t>
      </w:r>
      <w:r>
        <w:rPr>
          <w:color w:val="231F20"/>
          <w:spacing w:val="-29"/>
          <w:w w:val="105"/>
        </w:rPr>
        <w:t> </w:t>
      </w:r>
      <w:r>
        <w:rPr>
          <w:color w:val="231F20"/>
          <w:w w:val="105"/>
        </w:rPr>
        <w:t>C.</w:t>
      </w:r>
      <w:r>
        <w:rPr>
          <w:color w:val="231F20"/>
          <w:spacing w:val="-29"/>
          <w:w w:val="105"/>
        </w:rPr>
        <w:t> </w:t>
      </w:r>
      <w:r>
        <w:rPr>
          <w:color w:val="231F20"/>
          <w:w w:val="105"/>
        </w:rPr>
        <w:t>and</w:t>
      </w:r>
      <w:r>
        <w:rPr>
          <w:color w:val="231F20"/>
          <w:spacing w:val="-27"/>
          <w:w w:val="105"/>
        </w:rPr>
        <w:t> </w:t>
      </w:r>
      <w:r>
        <w:rPr>
          <w:color w:val="231F20"/>
          <w:w w:val="105"/>
        </w:rPr>
        <w:t>A.</w:t>
      </w:r>
      <w:r>
        <w:rPr>
          <w:color w:val="231F20"/>
          <w:spacing w:val="-31"/>
          <w:w w:val="105"/>
        </w:rPr>
        <w:t> </w:t>
      </w:r>
      <w:r>
        <w:rPr>
          <w:color w:val="231F20"/>
          <w:w w:val="105"/>
        </w:rPr>
        <w:t>White</w:t>
      </w:r>
      <w:r>
        <w:rPr>
          <w:color w:val="231F20"/>
          <w:spacing w:val="-24"/>
          <w:w w:val="105"/>
        </w:rPr>
        <w:t> </w:t>
      </w:r>
      <w:r>
        <w:rPr>
          <w:color w:val="231F20"/>
          <w:w w:val="105"/>
        </w:rPr>
        <w:t>(1987),</w:t>
      </w:r>
      <w:r>
        <w:rPr>
          <w:color w:val="231F20"/>
          <w:spacing w:val="-33"/>
          <w:w w:val="105"/>
        </w:rPr>
        <w:t> </w:t>
      </w:r>
      <w:r>
        <w:rPr>
          <w:color w:val="231F20"/>
          <w:w w:val="105"/>
        </w:rPr>
        <w:t>The</w:t>
      </w:r>
      <w:r>
        <w:rPr>
          <w:color w:val="231F20"/>
          <w:spacing w:val="-24"/>
          <w:w w:val="105"/>
        </w:rPr>
        <w:t> </w:t>
      </w:r>
      <w:r>
        <w:rPr>
          <w:color w:val="231F20"/>
          <w:w w:val="105"/>
        </w:rPr>
        <w:t>Pricing</w:t>
      </w:r>
      <w:r>
        <w:rPr>
          <w:color w:val="231F20"/>
          <w:spacing w:val="-24"/>
          <w:w w:val="105"/>
        </w:rPr>
        <w:t> </w:t>
      </w:r>
      <w:r>
        <w:rPr>
          <w:color w:val="231F20"/>
          <w:w w:val="105"/>
        </w:rPr>
        <w:t>of</w:t>
      </w:r>
      <w:r>
        <w:rPr>
          <w:color w:val="231F20"/>
          <w:spacing w:val="-21"/>
          <w:w w:val="105"/>
        </w:rPr>
        <w:t> </w:t>
      </w:r>
      <w:r>
        <w:rPr>
          <w:color w:val="231F20"/>
          <w:w w:val="105"/>
        </w:rPr>
        <w:t>Options</w:t>
      </w:r>
      <w:r>
        <w:rPr>
          <w:color w:val="231F20"/>
          <w:spacing w:val="-24"/>
          <w:w w:val="105"/>
        </w:rPr>
        <w:t> </w:t>
      </w:r>
      <w:r>
        <w:rPr>
          <w:color w:val="231F20"/>
          <w:w w:val="105"/>
        </w:rPr>
        <w:t>on</w:t>
      </w:r>
      <w:r>
        <w:rPr>
          <w:color w:val="231F20"/>
          <w:spacing w:val="-27"/>
          <w:w w:val="105"/>
        </w:rPr>
        <w:t> </w:t>
      </w:r>
      <w:r>
        <w:rPr>
          <w:color w:val="231F20"/>
          <w:w w:val="105"/>
        </w:rPr>
        <w:t>Assets</w:t>
      </w:r>
      <w:r>
        <w:rPr>
          <w:color w:val="231F20"/>
          <w:spacing w:val="-26"/>
          <w:w w:val="105"/>
        </w:rPr>
        <w:t> </w:t>
      </w:r>
      <w:r>
        <w:rPr>
          <w:color w:val="231F20"/>
          <w:w w:val="105"/>
        </w:rPr>
        <w:t>With</w:t>
      </w:r>
      <w:r>
        <w:rPr>
          <w:color w:val="231F20"/>
          <w:spacing w:val="-24"/>
          <w:w w:val="105"/>
        </w:rPr>
        <w:t> </w:t>
      </w:r>
      <w:r>
        <w:rPr>
          <w:color w:val="231F20"/>
          <w:w w:val="105"/>
        </w:rPr>
        <w:t>Sto- chastic</w:t>
      </w:r>
      <w:r>
        <w:rPr>
          <w:color w:val="231F20"/>
          <w:spacing w:val="-38"/>
          <w:w w:val="105"/>
        </w:rPr>
        <w:t> </w:t>
      </w:r>
      <w:r>
        <w:rPr>
          <w:color w:val="231F20"/>
          <w:w w:val="105"/>
        </w:rPr>
        <w:t>Volatility.</w:t>
      </w:r>
      <w:r>
        <w:rPr>
          <w:color w:val="231F20"/>
          <w:spacing w:val="-39"/>
          <w:w w:val="105"/>
        </w:rPr>
        <w:t> </w:t>
      </w:r>
      <w:r>
        <w:rPr>
          <w:i/>
          <w:color w:val="231F20"/>
          <w:w w:val="105"/>
        </w:rPr>
        <w:t>Journal</w:t>
      </w:r>
      <w:r>
        <w:rPr>
          <w:i/>
          <w:color w:val="231F20"/>
          <w:spacing w:val="-36"/>
          <w:w w:val="105"/>
        </w:rPr>
        <w:t> </w:t>
      </w:r>
      <w:r>
        <w:rPr>
          <w:i/>
          <w:color w:val="231F20"/>
          <w:w w:val="105"/>
        </w:rPr>
        <w:t>of</w:t>
      </w:r>
      <w:r>
        <w:rPr>
          <w:i/>
          <w:color w:val="231F20"/>
          <w:spacing w:val="-33"/>
          <w:w w:val="105"/>
        </w:rPr>
        <w:t> </w:t>
      </w:r>
      <w:r>
        <w:rPr>
          <w:i/>
          <w:color w:val="231F20"/>
          <w:w w:val="105"/>
        </w:rPr>
        <w:t>Finance</w:t>
      </w:r>
      <w:r>
        <w:rPr>
          <w:color w:val="231F20"/>
          <w:w w:val="105"/>
        </w:rPr>
        <w:t>,</w:t>
      </w:r>
      <w:r>
        <w:rPr>
          <w:color w:val="231F20"/>
          <w:spacing w:val="-39"/>
          <w:w w:val="105"/>
        </w:rPr>
        <w:t> </w:t>
      </w:r>
      <w:r>
        <w:rPr>
          <w:color w:val="231F20"/>
          <w:w w:val="105"/>
        </w:rPr>
        <w:t>42,</w:t>
      </w:r>
      <w:r>
        <w:rPr>
          <w:color w:val="231F20"/>
          <w:spacing w:val="-39"/>
          <w:w w:val="105"/>
        </w:rPr>
        <w:t> </w:t>
      </w:r>
      <w:r>
        <w:rPr>
          <w:color w:val="231F20"/>
          <w:w w:val="105"/>
        </w:rPr>
        <w:t>281-300.</w:t>
      </w:r>
    </w:p>
    <w:p>
      <w:pPr>
        <w:pStyle w:val="BodyText"/>
        <w:spacing w:line="259" w:lineRule="auto"/>
        <w:ind w:left="841" w:right="115" w:hanging="738"/>
        <w:jc w:val="both"/>
      </w:pPr>
      <w:r>
        <w:rPr>
          <w:color w:val="231F20"/>
        </w:rPr>
        <w:t>Jacquier, E., </w:t>
      </w:r>
      <w:r>
        <w:rPr>
          <w:color w:val="231F20"/>
          <w:spacing w:val="-3"/>
        </w:rPr>
        <w:t>Polson, </w:t>
      </w:r>
      <w:r>
        <w:rPr>
          <w:color w:val="231F20"/>
        </w:rPr>
        <w:t>N.G., and Rossi, </w:t>
      </w:r>
      <w:r>
        <w:rPr>
          <w:color w:val="231F20"/>
          <w:spacing w:val="-16"/>
        </w:rPr>
        <w:t>P. </w:t>
      </w:r>
      <w:r>
        <w:rPr>
          <w:color w:val="231F20"/>
        </w:rPr>
        <w:t>(2004). Bayesian analysis of sto- chastic volatility models with leverage effect and fat tails. Journal of</w:t>
      </w:r>
      <w:r>
        <w:rPr>
          <w:color w:val="231F20"/>
          <w:spacing w:val="44"/>
        </w:rPr>
        <w:t> </w:t>
      </w:r>
      <w:r>
        <w:rPr>
          <w:color w:val="231F20"/>
        </w:rPr>
        <w:t>Econometrics.</w:t>
      </w:r>
    </w:p>
    <w:p>
      <w:pPr>
        <w:pStyle w:val="BodyText"/>
        <w:spacing w:line="259" w:lineRule="auto"/>
        <w:ind w:left="841" w:right="116" w:hanging="738"/>
        <w:jc w:val="both"/>
      </w:pPr>
      <w:r>
        <w:rPr>
          <w:color w:val="231F20"/>
          <w:w w:val="105"/>
        </w:rPr>
        <w:t>Kanaya,</w:t>
      </w:r>
      <w:r>
        <w:rPr>
          <w:color w:val="231F20"/>
          <w:spacing w:val="-37"/>
          <w:w w:val="105"/>
        </w:rPr>
        <w:t> </w:t>
      </w:r>
      <w:r>
        <w:rPr>
          <w:color w:val="231F20"/>
          <w:w w:val="105"/>
        </w:rPr>
        <w:t>S.</w:t>
      </w:r>
      <w:r>
        <w:rPr>
          <w:color w:val="231F20"/>
          <w:spacing w:val="-37"/>
          <w:w w:val="105"/>
        </w:rPr>
        <w:t> </w:t>
      </w:r>
      <w:r>
        <w:rPr>
          <w:color w:val="231F20"/>
          <w:w w:val="105"/>
        </w:rPr>
        <w:t>and</w:t>
      </w:r>
      <w:r>
        <w:rPr>
          <w:color w:val="231F20"/>
          <w:spacing w:val="-34"/>
          <w:w w:val="105"/>
        </w:rPr>
        <w:t> </w:t>
      </w:r>
      <w:r>
        <w:rPr>
          <w:color w:val="231F20"/>
          <w:w w:val="105"/>
        </w:rPr>
        <w:t>Dennis,</w:t>
      </w:r>
      <w:r>
        <w:rPr>
          <w:color w:val="231F20"/>
          <w:spacing w:val="-37"/>
          <w:w w:val="105"/>
        </w:rPr>
        <w:t> </w:t>
      </w:r>
      <w:r>
        <w:rPr>
          <w:color w:val="231F20"/>
          <w:w w:val="105"/>
        </w:rPr>
        <w:t>Kristensen.</w:t>
      </w:r>
      <w:r>
        <w:rPr>
          <w:color w:val="231F20"/>
          <w:spacing w:val="-37"/>
          <w:w w:val="105"/>
        </w:rPr>
        <w:t> </w:t>
      </w:r>
      <w:r>
        <w:rPr>
          <w:color w:val="231F20"/>
          <w:w w:val="105"/>
        </w:rPr>
        <w:t>(2010).</w:t>
      </w:r>
      <w:r>
        <w:rPr>
          <w:color w:val="231F20"/>
          <w:spacing w:val="-37"/>
          <w:w w:val="105"/>
        </w:rPr>
        <w:t> </w:t>
      </w:r>
      <w:r>
        <w:rPr>
          <w:color w:val="231F20"/>
          <w:w w:val="105"/>
        </w:rPr>
        <w:t>Estimation</w:t>
      </w:r>
      <w:r>
        <w:rPr>
          <w:color w:val="231F20"/>
          <w:spacing w:val="-34"/>
          <w:w w:val="105"/>
        </w:rPr>
        <w:t> </w:t>
      </w:r>
      <w:r>
        <w:rPr>
          <w:color w:val="231F20"/>
          <w:w w:val="105"/>
        </w:rPr>
        <w:t>of</w:t>
      </w:r>
      <w:r>
        <w:rPr>
          <w:color w:val="231F20"/>
          <w:spacing w:val="-32"/>
          <w:w w:val="105"/>
        </w:rPr>
        <w:t> </w:t>
      </w:r>
      <w:r>
        <w:rPr>
          <w:color w:val="231F20"/>
          <w:w w:val="105"/>
        </w:rPr>
        <w:t>Stochastic</w:t>
      </w:r>
      <w:r>
        <w:rPr>
          <w:color w:val="231F20"/>
          <w:spacing w:val="-36"/>
          <w:w w:val="105"/>
        </w:rPr>
        <w:t> </w:t>
      </w:r>
      <w:r>
        <w:rPr>
          <w:color w:val="231F20"/>
          <w:w w:val="105"/>
        </w:rPr>
        <w:t>Vola- tility Models by Nonparametric Filtering. Center for Research in Econometric</w:t>
      </w:r>
      <w:r>
        <w:rPr>
          <w:color w:val="231F20"/>
          <w:spacing w:val="-35"/>
          <w:w w:val="105"/>
        </w:rPr>
        <w:t> </w:t>
      </w:r>
      <w:r>
        <w:rPr>
          <w:color w:val="231F20"/>
          <w:w w:val="105"/>
        </w:rPr>
        <w:t>Analysis</w:t>
      </w:r>
      <w:r>
        <w:rPr>
          <w:color w:val="231F20"/>
          <w:spacing w:val="-32"/>
          <w:w w:val="105"/>
        </w:rPr>
        <w:t> </w:t>
      </w:r>
      <w:r>
        <w:rPr>
          <w:color w:val="231F20"/>
          <w:w w:val="105"/>
        </w:rPr>
        <w:t>of</w:t>
      </w:r>
      <w:r>
        <w:rPr>
          <w:color w:val="231F20"/>
          <w:spacing w:val="-32"/>
          <w:w w:val="105"/>
        </w:rPr>
        <w:t> </w:t>
      </w:r>
      <w:r>
        <w:rPr>
          <w:color w:val="231F20"/>
          <w:w w:val="105"/>
        </w:rPr>
        <w:t>Time</w:t>
      </w:r>
      <w:r>
        <w:rPr>
          <w:color w:val="231F20"/>
          <w:spacing w:val="-32"/>
          <w:w w:val="105"/>
        </w:rPr>
        <w:t> </w:t>
      </w:r>
      <w:r>
        <w:rPr>
          <w:color w:val="231F20"/>
          <w:w w:val="105"/>
        </w:rPr>
        <w:t>Series.</w:t>
      </w:r>
      <w:r>
        <w:rPr>
          <w:color w:val="231F20"/>
          <w:spacing w:val="-36"/>
          <w:w w:val="105"/>
        </w:rPr>
        <w:t> </w:t>
      </w:r>
      <w:r>
        <w:rPr>
          <w:color w:val="231F20"/>
          <w:w w:val="105"/>
        </w:rPr>
        <w:t>No.</w:t>
      </w:r>
      <w:r>
        <w:rPr>
          <w:color w:val="231F20"/>
          <w:spacing w:val="-36"/>
          <w:w w:val="105"/>
        </w:rPr>
        <w:t> </w:t>
      </w:r>
      <w:r>
        <w:rPr>
          <w:color w:val="231F20"/>
          <w:w w:val="105"/>
        </w:rPr>
        <w:t>67.</w:t>
      </w:r>
    </w:p>
    <w:p>
      <w:pPr>
        <w:pStyle w:val="BodyText"/>
        <w:spacing w:line="259" w:lineRule="auto"/>
        <w:ind w:left="841" w:right="108" w:hanging="738"/>
        <w:jc w:val="both"/>
      </w:pPr>
      <w:r>
        <w:rPr>
          <w:color w:val="231F20"/>
        </w:rPr>
        <w:t>Kim, S. and N. Shephard. (1993). “Stochastic volatility: new models and optimal likelihood inference” en: </w:t>
      </w:r>
      <w:r>
        <w:rPr>
          <w:i/>
          <w:color w:val="231F20"/>
        </w:rPr>
        <w:t>Nuffield College working paper</w:t>
      </w:r>
      <w:r>
        <w:rPr>
          <w:color w:val="231F20"/>
        </w:rPr>
        <w:t>, Oxford University.</w:t>
      </w:r>
    </w:p>
    <w:p>
      <w:pPr>
        <w:pStyle w:val="BodyText"/>
        <w:spacing w:line="259" w:lineRule="auto"/>
        <w:ind w:left="841" w:right="108" w:hanging="738"/>
        <w:jc w:val="both"/>
      </w:pPr>
      <w:r>
        <w:rPr>
          <w:color w:val="231F20"/>
          <w:w w:val="105"/>
        </w:rPr>
        <w:t>Lagarias,</w:t>
      </w:r>
      <w:r>
        <w:rPr>
          <w:color w:val="231F20"/>
          <w:spacing w:val="-31"/>
          <w:w w:val="105"/>
        </w:rPr>
        <w:t> </w:t>
      </w:r>
      <w:r>
        <w:rPr>
          <w:color w:val="231F20"/>
          <w:w w:val="105"/>
        </w:rPr>
        <w:t>J.</w:t>
      </w:r>
      <w:r>
        <w:rPr>
          <w:color w:val="231F20"/>
          <w:spacing w:val="-29"/>
          <w:w w:val="105"/>
        </w:rPr>
        <w:t> </w:t>
      </w:r>
      <w:r>
        <w:rPr>
          <w:color w:val="231F20"/>
          <w:w w:val="105"/>
        </w:rPr>
        <w:t>C.</w:t>
      </w:r>
      <w:r>
        <w:rPr>
          <w:color w:val="231F20"/>
          <w:spacing w:val="-29"/>
          <w:w w:val="105"/>
        </w:rPr>
        <w:t> </w:t>
      </w:r>
      <w:r>
        <w:rPr>
          <w:color w:val="231F20"/>
          <w:w w:val="105"/>
        </w:rPr>
        <w:t>and</w:t>
      </w:r>
      <w:r>
        <w:rPr>
          <w:color w:val="231F20"/>
          <w:spacing w:val="-25"/>
          <w:w w:val="105"/>
        </w:rPr>
        <w:t> </w:t>
      </w:r>
      <w:r>
        <w:rPr>
          <w:color w:val="231F20"/>
          <w:w w:val="105"/>
        </w:rPr>
        <w:t>Reeds,</w:t>
      </w:r>
      <w:r>
        <w:rPr>
          <w:color w:val="231F20"/>
          <w:spacing w:val="-31"/>
          <w:w w:val="105"/>
        </w:rPr>
        <w:t> </w:t>
      </w:r>
      <w:r>
        <w:rPr>
          <w:color w:val="231F20"/>
          <w:w w:val="105"/>
        </w:rPr>
        <w:t>J.</w:t>
      </w:r>
      <w:r>
        <w:rPr>
          <w:color w:val="231F20"/>
          <w:spacing w:val="-32"/>
          <w:w w:val="105"/>
        </w:rPr>
        <w:t> </w:t>
      </w:r>
      <w:r>
        <w:rPr>
          <w:color w:val="231F20"/>
          <w:w w:val="105"/>
        </w:rPr>
        <w:t>A.</w:t>
      </w:r>
      <w:r>
        <w:rPr>
          <w:color w:val="231F20"/>
          <w:spacing w:val="-29"/>
          <w:w w:val="105"/>
        </w:rPr>
        <w:t> </w:t>
      </w:r>
      <w:r>
        <w:rPr>
          <w:color w:val="231F20"/>
          <w:w w:val="105"/>
        </w:rPr>
        <w:t>and</w:t>
      </w:r>
      <w:r>
        <w:rPr>
          <w:color w:val="231F20"/>
          <w:spacing w:val="-27"/>
          <w:w w:val="105"/>
        </w:rPr>
        <w:t> </w:t>
      </w:r>
      <w:r>
        <w:rPr>
          <w:color w:val="231F20"/>
          <w:w w:val="105"/>
        </w:rPr>
        <w:t>Wright,</w:t>
      </w:r>
      <w:r>
        <w:rPr>
          <w:color w:val="231F20"/>
          <w:spacing w:val="-29"/>
          <w:w w:val="105"/>
        </w:rPr>
        <w:t> </w:t>
      </w:r>
      <w:r>
        <w:rPr>
          <w:color w:val="231F20"/>
          <w:w w:val="105"/>
        </w:rPr>
        <w:t>M.</w:t>
      </w:r>
      <w:r>
        <w:rPr>
          <w:color w:val="231F20"/>
          <w:spacing w:val="-29"/>
          <w:w w:val="105"/>
        </w:rPr>
        <w:t> </w:t>
      </w:r>
      <w:r>
        <w:rPr>
          <w:color w:val="231F20"/>
          <w:w w:val="105"/>
        </w:rPr>
        <w:t>H.</w:t>
      </w:r>
      <w:r>
        <w:rPr>
          <w:color w:val="231F20"/>
          <w:spacing w:val="-29"/>
          <w:w w:val="105"/>
        </w:rPr>
        <w:t> </w:t>
      </w:r>
      <w:r>
        <w:rPr>
          <w:color w:val="231F20"/>
          <w:w w:val="105"/>
        </w:rPr>
        <w:t>and</w:t>
      </w:r>
      <w:r>
        <w:rPr>
          <w:color w:val="231F20"/>
          <w:spacing w:val="-27"/>
          <w:w w:val="105"/>
        </w:rPr>
        <w:t> </w:t>
      </w:r>
      <w:r>
        <w:rPr>
          <w:color w:val="231F20"/>
          <w:w w:val="105"/>
        </w:rPr>
        <w:t>Wright,</w:t>
      </w:r>
      <w:r>
        <w:rPr>
          <w:color w:val="231F20"/>
          <w:spacing w:val="-29"/>
          <w:w w:val="105"/>
        </w:rPr>
        <w:t> </w:t>
      </w:r>
      <w:r>
        <w:rPr>
          <w:color w:val="231F20"/>
          <w:spacing w:val="-16"/>
          <w:w w:val="105"/>
        </w:rPr>
        <w:t>P.</w:t>
      </w:r>
      <w:r>
        <w:rPr>
          <w:color w:val="231F20"/>
          <w:spacing w:val="-29"/>
          <w:w w:val="105"/>
        </w:rPr>
        <w:t> </w:t>
      </w:r>
      <w:r>
        <w:rPr>
          <w:color w:val="231F20"/>
          <w:w w:val="105"/>
        </w:rPr>
        <w:t>E.</w:t>
      </w:r>
      <w:r>
        <w:rPr>
          <w:color w:val="231F20"/>
          <w:spacing w:val="-29"/>
          <w:w w:val="105"/>
        </w:rPr>
        <w:t> </w:t>
      </w:r>
      <w:r>
        <w:rPr>
          <w:color w:val="231F20"/>
          <w:w w:val="105"/>
        </w:rPr>
        <w:t>(1998). Convergence Properties of the Nelder-Mead Simplex Method  in Low Dimensions. </w:t>
      </w:r>
      <w:r>
        <w:rPr>
          <w:i/>
          <w:color w:val="231F20"/>
          <w:w w:val="105"/>
        </w:rPr>
        <w:t>SIAM Journal of Optimization</w:t>
      </w:r>
      <w:r>
        <w:rPr>
          <w:color w:val="231F20"/>
          <w:w w:val="105"/>
        </w:rPr>
        <w:t>, </w:t>
      </w:r>
      <w:r>
        <w:rPr>
          <w:color w:val="231F20"/>
          <w:spacing w:val="-3"/>
          <w:w w:val="105"/>
        </w:rPr>
        <w:t>Vol. </w:t>
      </w:r>
      <w:r>
        <w:rPr>
          <w:color w:val="231F20"/>
          <w:w w:val="105"/>
        </w:rPr>
        <w:t>9, No.</w:t>
      </w:r>
      <w:r>
        <w:rPr>
          <w:color w:val="231F20"/>
          <w:spacing w:val="-31"/>
          <w:w w:val="105"/>
        </w:rPr>
        <w:t> </w:t>
      </w:r>
      <w:r>
        <w:rPr>
          <w:color w:val="231F20"/>
          <w:w w:val="105"/>
        </w:rPr>
        <w:t>1, 112–147.</w:t>
      </w:r>
    </w:p>
    <w:p>
      <w:pPr>
        <w:pStyle w:val="BodyText"/>
        <w:spacing w:line="259" w:lineRule="auto"/>
        <w:ind w:left="841" w:right="115" w:hanging="738"/>
        <w:jc w:val="both"/>
      </w:pPr>
      <w:r>
        <w:rPr>
          <w:color w:val="231F20"/>
        </w:rPr>
        <w:t>Lin, Y. N., Strong, N., and Xu, X. (2001), Pricing FTSE 100 Index Options Under Stochastic Volatility. </w:t>
      </w:r>
      <w:r>
        <w:rPr>
          <w:i/>
          <w:color w:val="231F20"/>
        </w:rPr>
        <w:t>Journal of Futures Markets</w:t>
      </w:r>
      <w:r>
        <w:rPr>
          <w:color w:val="231F20"/>
        </w:rPr>
        <w:t>, 21, 197- 211.</w:t>
      </w:r>
    </w:p>
    <w:p>
      <w:pPr>
        <w:spacing w:line="259" w:lineRule="auto" w:before="0"/>
        <w:ind w:left="841" w:right="114" w:hanging="737"/>
        <w:jc w:val="both"/>
        <w:rPr>
          <w:sz w:val="21"/>
        </w:rPr>
      </w:pPr>
      <w:r>
        <w:rPr>
          <w:color w:val="231F20"/>
          <w:w w:val="105"/>
          <w:sz w:val="21"/>
        </w:rPr>
        <w:t>Maddala,</w:t>
      </w:r>
      <w:r>
        <w:rPr>
          <w:color w:val="231F20"/>
          <w:spacing w:val="-39"/>
          <w:w w:val="105"/>
          <w:sz w:val="21"/>
        </w:rPr>
        <w:t> </w:t>
      </w:r>
      <w:r>
        <w:rPr>
          <w:color w:val="231F20"/>
          <w:w w:val="105"/>
          <w:sz w:val="21"/>
        </w:rPr>
        <w:t>G.</w:t>
      </w:r>
      <w:r>
        <w:rPr>
          <w:color w:val="231F20"/>
          <w:spacing w:val="-39"/>
          <w:w w:val="105"/>
          <w:sz w:val="21"/>
        </w:rPr>
        <w:t> </w:t>
      </w:r>
      <w:r>
        <w:rPr>
          <w:color w:val="231F20"/>
          <w:w w:val="105"/>
          <w:sz w:val="21"/>
        </w:rPr>
        <w:t>S.</w:t>
      </w:r>
      <w:r>
        <w:rPr>
          <w:color w:val="231F20"/>
          <w:spacing w:val="-39"/>
          <w:w w:val="105"/>
          <w:sz w:val="21"/>
        </w:rPr>
        <w:t> </w:t>
      </w:r>
      <w:r>
        <w:rPr>
          <w:color w:val="231F20"/>
          <w:w w:val="105"/>
          <w:sz w:val="21"/>
        </w:rPr>
        <w:t>y</w:t>
      </w:r>
      <w:r>
        <w:rPr>
          <w:color w:val="231F20"/>
          <w:spacing w:val="-36"/>
          <w:w w:val="105"/>
          <w:sz w:val="21"/>
        </w:rPr>
        <w:t> </w:t>
      </w:r>
      <w:r>
        <w:rPr>
          <w:color w:val="231F20"/>
          <w:w w:val="105"/>
          <w:sz w:val="21"/>
        </w:rPr>
        <w:t>In-Moo,</w:t>
      </w:r>
      <w:r>
        <w:rPr>
          <w:color w:val="231F20"/>
          <w:spacing w:val="-39"/>
          <w:w w:val="105"/>
          <w:sz w:val="21"/>
        </w:rPr>
        <w:t> </w:t>
      </w:r>
      <w:r>
        <w:rPr>
          <w:color w:val="231F20"/>
          <w:w w:val="105"/>
          <w:sz w:val="21"/>
        </w:rPr>
        <w:t>Kim.</w:t>
      </w:r>
      <w:r>
        <w:rPr>
          <w:color w:val="231F20"/>
          <w:spacing w:val="-39"/>
          <w:w w:val="105"/>
          <w:sz w:val="21"/>
        </w:rPr>
        <w:t> </w:t>
      </w:r>
      <w:r>
        <w:rPr>
          <w:color w:val="231F20"/>
          <w:w w:val="105"/>
          <w:sz w:val="21"/>
        </w:rPr>
        <w:t>(1998).</w:t>
      </w:r>
      <w:r>
        <w:rPr>
          <w:color w:val="231F20"/>
          <w:spacing w:val="-39"/>
          <w:w w:val="105"/>
          <w:sz w:val="21"/>
        </w:rPr>
        <w:t> </w:t>
      </w:r>
      <w:r>
        <w:rPr>
          <w:i/>
          <w:color w:val="231F20"/>
          <w:w w:val="105"/>
          <w:sz w:val="21"/>
        </w:rPr>
        <w:t>Unit</w:t>
      </w:r>
      <w:r>
        <w:rPr>
          <w:i/>
          <w:color w:val="231F20"/>
          <w:spacing w:val="-36"/>
          <w:w w:val="105"/>
          <w:sz w:val="21"/>
        </w:rPr>
        <w:t> </w:t>
      </w:r>
      <w:r>
        <w:rPr>
          <w:i/>
          <w:color w:val="231F20"/>
          <w:w w:val="105"/>
          <w:sz w:val="21"/>
        </w:rPr>
        <w:t>Roots,</w:t>
      </w:r>
      <w:r>
        <w:rPr>
          <w:i/>
          <w:color w:val="231F20"/>
          <w:spacing w:val="-39"/>
          <w:w w:val="105"/>
          <w:sz w:val="21"/>
        </w:rPr>
        <w:t> </w:t>
      </w:r>
      <w:r>
        <w:rPr>
          <w:i/>
          <w:color w:val="231F20"/>
          <w:w w:val="105"/>
          <w:sz w:val="21"/>
        </w:rPr>
        <w:t>Contegration,</w:t>
      </w:r>
      <w:r>
        <w:rPr>
          <w:i/>
          <w:color w:val="231F20"/>
          <w:spacing w:val="-39"/>
          <w:w w:val="105"/>
          <w:sz w:val="21"/>
        </w:rPr>
        <w:t> </w:t>
      </w:r>
      <w:r>
        <w:rPr>
          <w:i/>
          <w:color w:val="231F20"/>
          <w:w w:val="105"/>
          <w:sz w:val="21"/>
        </w:rPr>
        <w:t>and</w:t>
      </w:r>
      <w:r>
        <w:rPr>
          <w:i/>
          <w:color w:val="231F20"/>
          <w:spacing w:val="-36"/>
          <w:w w:val="105"/>
          <w:sz w:val="21"/>
        </w:rPr>
        <w:t> </w:t>
      </w:r>
      <w:r>
        <w:rPr>
          <w:i/>
          <w:color w:val="231F20"/>
          <w:w w:val="105"/>
          <w:sz w:val="21"/>
        </w:rPr>
        <w:t>Struc- </w:t>
      </w:r>
      <w:r>
        <w:rPr>
          <w:i/>
          <w:color w:val="231F20"/>
          <w:w w:val="105"/>
          <w:sz w:val="21"/>
        </w:rPr>
        <w:t>tural</w:t>
      </w:r>
      <w:r>
        <w:rPr>
          <w:i/>
          <w:color w:val="231F20"/>
          <w:spacing w:val="-26"/>
          <w:w w:val="105"/>
          <w:sz w:val="21"/>
        </w:rPr>
        <w:t> </w:t>
      </w:r>
      <w:r>
        <w:rPr>
          <w:i/>
          <w:color w:val="231F20"/>
          <w:w w:val="105"/>
          <w:sz w:val="21"/>
        </w:rPr>
        <w:t>Change.</w:t>
      </w:r>
      <w:r>
        <w:rPr>
          <w:i/>
          <w:color w:val="231F20"/>
          <w:spacing w:val="-31"/>
          <w:w w:val="105"/>
          <w:sz w:val="21"/>
        </w:rPr>
        <w:t> </w:t>
      </w:r>
      <w:r>
        <w:rPr>
          <w:color w:val="231F20"/>
          <w:w w:val="105"/>
          <w:sz w:val="21"/>
        </w:rPr>
        <w:t>Cambridge</w:t>
      </w:r>
      <w:r>
        <w:rPr>
          <w:color w:val="231F20"/>
          <w:spacing w:val="-26"/>
          <w:w w:val="105"/>
          <w:sz w:val="21"/>
        </w:rPr>
        <w:t> </w:t>
      </w:r>
      <w:r>
        <w:rPr>
          <w:color w:val="231F20"/>
          <w:w w:val="105"/>
          <w:sz w:val="21"/>
        </w:rPr>
        <w:t>University</w:t>
      </w:r>
      <w:r>
        <w:rPr>
          <w:color w:val="231F20"/>
          <w:spacing w:val="-26"/>
          <w:w w:val="105"/>
          <w:sz w:val="21"/>
        </w:rPr>
        <w:t> </w:t>
      </w:r>
      <w:r>
        <w:rPr>
          <w:color w:val="231F20"/>
          <w:spacing w:val="-3"/>
          <w:w w:val="105"/>
          <w:sz w:val="21"/>
        </w:rPr>
        <w:t>Press.</w:t>
      </w:r>
      <w:r>
        <w:rPr>
          <w:color w:val="231F20"/>
          <w:spacing w:val="-31"/>
          <w:w w:val="105"/>
          <w:sz w:val="21"/>
        </w:rPr>
        <w:t> </w:t>
      </w:r>
      <w:r>
        <w:rPr>
          <w:color w:val="231F20"/>
          <w:w w:val="105"/>
          <w:sz w:val="21"/>
        </w:rPr>
        <w:t>United</w:t>
      </w:r>
      <w:r>
        <w:rPr>
          <w:color w:val="231F20"/>
          <w:spacing w:val="-26"/>
          <w:w w:val="105"/>
          <w:sz w:val="21"/>
        </w:rPr>
        <w:t> </w:t>
      </w:r>
      <w:r>
        <w:rPr>
          <w:color w:val="231F20"/>
          <w:w w:val="105"/>
          <w:sz w:val="21"/>
        </w:rPr>
        <w:t>Kingdom.</w:t>
      </w:r>
    </w:p>
    <w:p>
      <w:pPr>
        <w:pStyle w:val="BodyText"/>
        <w:spacing w:line="259" w:lineRule="auto"/>
        <w:ind w:left="841" w:right="115" w:hanging="738"/>
        <w:jc w:val="both"/>
      </w:pPr>
      <w:r>
        <w:rPr>
          <w:color w:val="231F20"/>
          <w:w w:val="105"/>
        </w:rPr>
        <w:t>Martínez,</w:t>
      </w:r>
      <w:r>
        <w:rPr>
          <w:color w:val="231F20"/>
          <w:spacing w:val="-22"/>
          <w:w w:val="105"/>
        </w:rPr>
        <w:t> </w:t>
      </w:r>
      <w:r>
        <w:rPr>
          <w:color w:val="231F20"/>
          <w:w w:val="105"/>
        </w:rPr>
        <w:t>G.,</w:t>
      </w:r>
      <w:r>
        <w:rPr>
          <w:color w:val="231F20"/>
          <w:spacing w:val="-25"/>
          <w:w w:val="105"/>
        </w:rPr>
        <w:t> </w:t>
      </w:r>
      <w:r>
        <w:rPr>
          <w:color w:val="231F20"/>
          <w:w w:val="105"/>
        </w:rPr>
        <w:t>J.</w:t>
      </w:r>
      <w:r>
        <w:rPr>
          <w:color w:val="231F20"/>
          <w:spacing w:val="-22"/>
          <w:w w:val="105"/>
        </w:rPr>
        <w:t> </w:t>
      </w:r>
      <w:r>
        <w:rPr>
          <w:color w:val="231F20"/>
          <w:w w:val="105"/>
        </w:rPr>
        <w:t>(2001).</w:t>
      </w:r>
      <w:r>
        <w:rPr>
          <w:color w:val="231F20"/>
          <w:spacing w:val="-22"/>
          <w:w w:val="105"/>
        </w:rPr>
        <w:t> </w:t>
      </w:r>
      <w:r>
        <w:rPr>
          <w:color w:val="231F20"/>
          <w:w w:val="105"/>
        </w:rPr>
        <w:t>Optimización</w:t>
      </w:r>
      <w:r>
        <w:rPr>
          <w:color w:val="231F20"/>
          <w:spacing w:val="-18"/>
          <w:w w:val="105"/>
        </w:rPr>
        <w:t> </w:t>
      </w:r>
      <w:r>
        <w:rPr>
          <w:color w:val="231F20"/>
          <w:w w:val="105"/>
        </w:rPr>
        <w:t>y</w:t>
      </w:r>
      <w:r>
        <w:rPr>
          <w:color w:val="231F20"/>
          <w:spacing w:val="-18"/>
          <w:w w:val="105"/>
        </w:rPr>
        <w:t> </w:t>
      </w:r>
      <w:r>
        <w:rPr>
          <w:color w:val="231F20"/>
          <w:w w:val="105"/>
        </w:rPr>
        <w:t>ajuste</w:t>
      </w:r>
      <w:r>
        <w:rPr>
          <w:color w:val="231F20"/>
          <w:spacing w:val="-18"/>
          <w:w w:val="105"/>
        </w:rPr>
        <w:t> </w:t>
      </w:r>
      <w:r>
        <w:rPr>
          <w:color w:val="231F20"/>
          <w:w w:val="105"/>
        </w:rPr>
        <w:t>de</w:t>
      </w:r>
      <w:r>
        <w:rPr>
          <w:color w:val="231F20"/>
          <w:spacing w:val="-18"/>
          <w:w w:val="105"/>
        </w:rPr>
        <w:t> </w:t>
      </w:r>
      <w:r>
        <w:rPr>
          <w:color w:val="231F20"/>
          <w:w w:val="105"/>
        </w:rPr>
        <w:t>parámetros</w:t>
      </w:r>
      <w:r>
        <w:rPr>
          <w:color w:val="231F20"/>
          <w:spacing w:val="-18"/>
          <w:w w:val="105"/>
        </w:rPr>
        <w:t> </w:t>
      </w:r>
      <w:r>
        <w:rPr>
          <w:color w:val="231F20"/>
          <w:w w:val="105"/>
        </w:rPr>
        <w:t>mediante</w:t>
      </w:r>
      <w:r>
        <w:rPr>
          <w:color w:val="231F20"/>
          <w:spacing w:val="-18"/>
          <w:w w:val="105"/>
        </w:rPr>
        <w:t> </w:t>
      </w:r>
      <w:r>
        <w:rPr>
          <w:color w:val="231F20"/>
          <w:w w:val="105"/>
        </w:rPr>
        <w:t>el método</w:t>
      </w:r>
      <w:r>
        <w:rPr>
          <w:color w:val="231F20"/>
          <w:spacing w:val="-20"/>
          <w:w w:val="105"/>
        </w:rPr>
        <w:t> </w:t>
      </w:r>
      <w:r>
        <w:rPr>
          <w:color w:val="231F20"/>
          <w:w w:val="105"/>
        </w:rPr>
        <w:t>simplex</w:t>
      </w:r>
      <w:r>
        <w:rPr>
          <w:color w:val="231F20"/>
          <w:spacing w:val="-20"/>
          <w:w w:val="105"/>
        </w:rPr>
        <w:t> </w:t>
      </w:r>
      <w:r>
        <w:rPr>
          <w:color w:val="231F20"/>
          <w:w w:val="105"/>
        </w:rPr>
        <w:t>(Nelder-Mead),</w:t>
      </w:r>
      <w:r>
        <w:rPr>
          <w:color w:val="231F20"/>
          <w:spacing w:val="-24"/>
          <w:w w:val="105"/>
        </w:rPr>
        <w:t> </w:t>
      </w:r>
      <w:r>
        <w:rPr>
          <w:color w:val="231F20"/>
          <w:w w:val="105"/>
        </w:rPr>
        <w:t>1a</w:t>
      </w:r>
      <w:r>
        <w:rPr>
          <w:color w:val="231F20"/>
          <w:spacing w:val="-20"/>
          <w:w w:val="105"/>
        </w:rPr>
        <w:t> </w:t>
      </w:r>
      <w:r>
        <w:rPr>
          <w:color w:val="231F20"/>
          <w:w w:val="105"/>
        </w:rPr>
        <w:t>Reunión</w:t>
      </w:r>
      <w:r>
        <w:rPr>
          <w:color w:val="231F20"/>
          <w:spacing w:val="-20"/>
          <w:w w:val="105"/>
        </w:rPr>
        <w:t> </w:t>
      </w:r>
      <w:r>
        <w:rPr>
          <w:color w:val="231F20"/>
          <w:w w:val="105"/>
        </w:rPr>
        <w:t>de</w:t>
      </w:r>
      <w:r>
        <w:rPr>
          <w:color w:val="231F20"/>
          <w:spacing w:val="-20"/>
          <w:w w:val="105"/>
        </w:rPr>
        <w:t> </w:t>
      </w:r>
      <w:r>
        <w:rPr>
          <w:color w:val="231F20"/>
          <w:w w:val="105"/>
        </w:rPr>
        <w:t>Usuarios</w:t>
      </w:r>
      <w:r>
        <w:rPr>
          <w:color w:val="231F20"/>
          <w:spacing w:val="-20"/>
          <w:w w:val="105"/>
        </w:rPr>
        <w:t> </w:t>
      </w:r>
      <w:r>
        <w:rPr>
          <w:color w:val="231F20"/>
          <w:w w:val="105"/>
        </w:rPr>
        <w:t>de</w:t>
      </w:r>
      <w:r>
        <w:rPr>
          <w:color w:val="231F20"/>
          <w:spacing w:val="-20"/>
          <w:w w:val="105"/>
        </w:rPr>
        <w:t> </w:t>
      </w:r>
      <w:r>
        <w:rPr>
          <w:color w:val="231F20"/>
          <w:w w:val="105"/>
        </w:rPr>
        <w:t>Eco- </w:t>
      </w:r>
      <w:r>
        <w:rPr>
          <w:color w:val="231F20"/>
          <w:spacing w:val="-3"/>
        </w:rPr>
        <w:t>simPro, UNED, </w:t>
      </w:r>
      <w:r>
        <w:rPr>
          <w:color w:val="231F20"/>
        </w:rPr>
        <w:t>C19,</w:t>
      </w:r>
      <w:r>
        <w:rPr>
          <w:color w:val="231F20"/>
          <w:spacing w:val="-23"/>
        </w:rPr>
        <w:t> </w:t>
      </w:r>
      <w:r>
        <w:rPr>
          <w:color w:val="231F20"/>
        </w:rPr>
        <w:t>3-5.</w:t>
      </w:r>
    </w:p>
    <w:p>
      <w:pPr>
        <w:pStyle w:val="BodyText"/>
        <w:spacing w:line="259" w:lineRule="auto"/>
        <w:ind w:left="841" w:right="115" w:hanging="738"/>
        <w:jc w:val="both"/>
      </w:pPr>
      <w:r>
        <w:rPr>
          <w:color w:val="231F20"/>
        </w:rPr>
        <w:t>Melino, A., and Turnbull, S. (1990), Pricing Foreign Currency Options with Stochastic Volatility.  </w:t>
      </w:r>
      <w:r>
        <w:rPr>
          <w:i/>
          <w:color w:val="231F20"/>
        </w:rPr>
        <w:t>Journal of Econometrics, </w:t>
      </w:r>
      <w:r>
        <w:rPr>
          <w:color w:val="231F20"/>
        </w:rPr>
        <w:t>45, 7-39.</w:t>
      </w:r>
    </w:p>
    <w:p>
      <w:pPr>
        <w:spacing w:line="259" w:lineRule="auto" w:before="0"/>
        <w:ind w:left="841" w:right="115" w:hanging="738"/>
        <w:jc w:val="both"/>
        <w:rPr>
          <w:sz w:val="21"/>
        </w:rPr>
      </w:pPr>
      <w:r>
        <w:rPr>
          <w:color w:val="231F20"/>
          <w:w w:val="105"/>
          <w:sz w:val="21"/>
        </w:rPr>
        <w:t>Myers,</w:t>
      </w:r>
      <w:r>
        <w:rPr>
          <w:color w:val="231F20"/>
          <w:spacing w:val="-11"/>
          <w:w w:val="105"/>
          <w:sz w:val="21"/>
        </w:rPr>
        <w:t> </w:t>
      </w:r>
      <w:r>
        <w:rPr>
          <w:color w:val="231F20"/>
          <w:w w:val="105"/>
          <w:sz w:val="21"/>
        </w:rPr>
        <w:t>R.</w:t>
      </w:r>
      <w:r>
        <w:rPr>
          <w:color w:val="231F20"/>
          <w:spacing w:val="-13"/>
          <w:w w:val="105"/>
          <w:sz w:val="21"/>
        </w:rPr>
        <w:t> </w:t>
      </w:r>
      <w:r>
        <w:rPr>
          <w:color w:val="231F20"/>
          <w:w w:val="105"/>
          <w:sz w:val="21"/>
        </w:rPr>
        <w:t>J.</w:t>
      </w:r>
      <w:r>
        <w:rPr>
          <w:color w:val="231F20"/>
          <w:spacing w:val="-11"/>
          <w:w w:val="105"/>
          <w:sz w:val="21"/>
        </w:rPr>
        <w:t> </w:t>
      </w:r>
      <w:r>
        <w:rPr>
          <w:color w:val="231F20"/>
          <w:w w:val="105"/>
          <w:sz w:val="21"/>
        </w:rPr>
        <w:t>and</w:t>
      </w:r>
      <w:r>
        <w:rPr>
          <w:color w:val="231F20"/>
          <w:spacing w:val="-6"/>
          <w:w w:val="105"/>
          <w:sz w:val="21"/>
        </w:rPr>
        <w:t> </w:t>
      </w:r>
      <w:r>
        <w:rPr>
          <w:color w:val="231F20"/>
          <w:w w:val="105"/>
          <w:sz w:val="21"/>
        </w:rPr>
        <w:t>S.</w:t>
      </w:r>
      <w:r>
        <w:rPr>
          <w:color w:val="231F20"/>
          <w:spacing w:val="-11"/>
          <w:w w:val="105"/>
          <w:sz w:val="21"/>
        </w:rPr>
        <w:t> </w:t>
      </w:r>
      <w:r>
        <w:rPr>
          <w:color w:val="231F20"/>
          <w:spacing w:val="-6"/>
          <w:w w:val="105"/>
          <w:sz w:val="21"/>
        </w:rPr>
        <w:t>D.</w:t>
      </w:r>
      <w:r>
        <w:rPr>
          <w:color w:val="231F20"/>
          <w:spacing w:val="-11"/>
          <w:w w:val="105"/>
          <w:sz w:val="21"/>
        </w:rPr>
        <w:t> </w:t>
      </w:r>
      <w:r>
        <w:rPr>
          <w:color w:val="231F20"/>
          <w:w w:val="105"/>
          <w:sz w:val="21"/>
        </w:rPr>
        <w:t>Hanson.</w:t>
      </w:r>
      <w:r>
        <w:rPr>
          <w:color w:val="231F20"/>
          <w:spacing w:val="-11"/>
          <w:w w:val="105"/>
          <w:sz w:val="21"/>
        </w:rPr>
        <w:t> </w:t>
      </w:r>
      <w:r>
        <w:rPr>
          <w:color w:val="231F20"/>
          <w:w w:val="105"/>
          <w:sz w:val="21"/>
        </w:rPr>
        <w:t>(1993).</w:t>
      </w:r>
      <w:r>
        <w:rPr>
          <w:color w:val="231F20"/>
          <w:spacing w:val="-11"/>
          <w:w w:val="105"/>
          <w:sz w:val="21"/>
        </w:rPr>
        <w:t> </w:t>
      </w:r>
      <w:r>
        <w:rPr>
          <w:color w:val="231F20"/>
          <w:w w:val="105"/>
          <w:sz w:val="21"/>
        </w:rPr>
        <w:t>Pricing</w:t>
      </w:r>
      <w:r>
        <w:rPr>
          <w:color w:val="231F20"/>
          <w:spacing w:val="-6"/>
          <w:w w:val="105"/>
          <w:sz w:val="21"/>
        </w:rPr>
        <w:t> </w:t>
      </w:r>
      <w:r>
        <w:rPr>
          <w:color w:val="231F20"/>
          <w:w w:val="105"/>
          <w:sz w:val="21"/>
        </w:rPr>
        <w:t>commodity</w:t>
      </w:r>
      <w:r>
        <w:rPr>
          <w:color w:val="231F20"/>
          <w:spacing w:val="-6"/>
          <w:w w:val="105"/>
          <w:sz w:val="21"/>
        </w:rPr>
        <w:t> </w:t>
      </w:r>
      <w:r>
        <w:rPr>
          <w:color w:val="231F20"/>
          <w:w w:val="105"/>
          <w:sz w:val="21"/>
        </w:rPr>
        <w:t>options</w:t>
      </w:r>
      <w:r>
        <w:rPr>
          <w:color w:val="231F20"/>
          <w:spacing w:val="-6"/>
          <w:w w:val="105"/>
          <w:sz w:val="21"/>
        </w:rPr>
        <w:t> </w:t>
      </w:r>
      <w:r>
        <w:rPr>
          <w:color w:val="231F20"/>
          <w:w w:val="105"/>
          <w:sz w:val="21"/>
        </w:rPr>
        <w:t>when the</w:t>
      </w:r>
      <w:r>
        <w:rPr>
          <w:color w:val="231F20"/>
          <w:spacing w:val="-18"/>
          <w:w w:val="105"/>
          <w:sz w:val="21"/>
        </w:rPr>
        <w:t> </w:t>
      </w:r>
      <w:r>
        <w:rPr>
          <w:color w:val="231F20"/>
          <w:w w:val="105"/>
          <w:sz w:val="21"/>
        </w:rPr>
        <w:t>underlying</w:t>
      </w:r>
      <w:r>
        <w:rPr>
          <w:color w:val="231F20"/>
          <w:spacing w:val="-18"/>
          <w:w w:val="105"/>
          <w:sz w:val="21"/>
        </w:rPr>
        <w:t> </w:t>
      </w:r>
      <w:r>
        <w:rPr>
          <w:color w:val="231F20"/>
          <w:w w:val="105"/>
          <w:sz w:val="21"/>
        </w:rPr>
        <w:t>futures</w:t>
      </w:r>
      <w:r>
        <w:rPr>
          <w:color w:val="231F20"/>
          <w:spacing w:val="-18"/>
          <w:w w:val="105"/>
          <w:sz w:val="21"/>
        </w:rPr>
        <w:t> </w:t>
      </w:r>
      <w:r>
        <w:rPr>
          <w:color w:val="231F20"/>
          <w:w w:val="105"/>
          <w:sz w:val="21"/>
        </w:rPr>
        <w:t>price</w:t>
      </w:r>
      <w:r>
        <w:rPr>
          <w:color w:val="231F20"/>
          <w:spacing w:val="-18"/>
          <w:w w:val="105"/>
          <w:sz w:val="21"/>
        </w:rPr>
        <w:t> </w:t>
      </w:r>
      <w:r>
        <w:rPr>
          <w:color w:val="231F20"/>
          <w:w w:val="105"/>
          <w:sz w:val="21"/>
        </w:rPr>
        <w:t>exhibits</w:t>
      </w:r>
      <w:r>
        <w:rPr>
          <w:color w:val="231F20"/>
          <w:spacing w:val="-17"/>
          <w:w w:val="105"/>
          <w:sz w:val="21"/>
        </w:rPr>
        <w:t> </w:t>
      </w:r>
      <w:r>
        <w:rPr>
          <w:color w:val="231F20"/>
          <w:w w:val="105"/>
          <w:sz w:val="21"/>
        </w:rPr>
        <w:t>time-varying</w:t>
      </w:r>
      <w:r>
        <w:rPr>
          <w:color w:val="231F20"/>
          <w:spacing w:val="-18"/>
          <w:w w:val="105"/>
          <w:sz w:val="21"/>
        </w:rPr>
        <w:t> </w:t>
      </w:r>
      <w:r>
        <w:rPr>
          <w:color w:val="231F20"/>
          <w:w w:val="105"/>
          <w:sz w:val="21"/>
        </w:rPr>
        <w:t>volatility.</w:t>
      </w:r>
      <w:r>
        <w:rPr>
          <w:color w:val="231F20"/>
          <w:spacing w:val="-23"/>
          <w:w w:val="105"/>
          <w:sz w:val="21"/>
        </w:rPr>
        <w:t> </w:t>
      </w:r>
      <w:r>
        <w:rPr>
          <w:i/>
          <w:color w:val="231F20"/>
          <w:w w:val="105"/>
          <w:sz w:val="21"/>
        </w:rPr>
        <w:t>Amer- </w:t>
      </w:r>
      <w:r>
        <w:rPr>
          <w:i/>
          <w:color w:val="231F20"/>
          <w:w w:val="105"/>
          <w:sz w:val="21"/>
        </w:rPr>
        <w:t>ican</w:t>
      </w:r>
      <w:r>
        <w:rPr>
          <w:i/>
          <w:color w:val="231F20"/>
          <w:spacing w:val="-25"/>
          <w:w w:val="105"/>
          <w:sz w:val="21"/>
        </w:rPr>
        <w:t> </w:t>
      </w:r>
      <w:r>
        <w:rPr>
          <w:i/>
          <w:color w:val="231F20"/>
          <w:w w:val="105"/>
          <w:sz w:val="21"/>
        </w:rPr>
        <w:t>Journal</w:t>
      </w:r>
      <w:r>
        <w:rPr>
          <w:i/>
          <w:color w:val="231F20"/>
          <w:spacing w:val="-22"/>
          <w:w w:val="105"/>
          <w:sz w:val="21"/>
        </w:rPr>
        <w:t> </w:t>
      </w:r>
      <w:r>
        <w:rPr>
          <w:i/>
          <w:color w:val="231F20"/>
          <w:w w:val="105"/>
          <w:sz w:val="21"/>
        </w:rPr>
        <w:t>of</w:t>
      </w:r>
      <w:r>
        <w:rPr>
          <w:i/>
          <w:color w:val="231F20"/>
          <w:spacing w:val="-22"/>
          <w:w w:val="105"/>
          <w:sz w:val="21"/>
        </w:rPr>
        <w:t> </w:t>
      </w:r>
      <w:r>
        <w:rPr>
          <w:i/>
          <w:color w:val="231F20"/>
          <w:w w:val="105"/>
          <w:sz w:val="21"/>
        </w:rPr>
        <w:t>Agricultural</w:t>
      </w:r>
      <w:r>
        <w:rPr>
          <w:i/>
          <w:color w:val="231F20"/>
          <w:spacing w:val="-22"/>
          <w:w w:val="105"/>
          <w:sz w:val="21"/>
        </w:rPr>
        <w:t> </w:t>
      </w:r>
      <w:r>
        <w:rPr>
          <w:i/>
          <w:color w:val="231F20"/>
          <w:w w:val="105"/>
          <w:sz w:val="21"/>
        </w:rPr>
        <w:t>Economics.</w:t>
      </w:r>
      <w:r>
        <w:rPr>
          <w:i/>
          <w:color w:val="231F20"/>
          <w:spacing w:val="-28"/>
          <w:w w:val="105"/>
          <w:sz w:val="21"/>
        </w:rPr>
        <w:t> </w:t>
      </w:r>
      <w:r>
        <w:rPr>
          <w:color w:val="231F20"/>
          <w:w w:val="105"/>
          <w:sz w:val="21"/>
        </w:rPr>
        <w:t>No.</w:t>
      </w:r>
      <w:r>
        <w:rPr>
          <w:color w:val="231F20"/>
          <w:spacing w:val="-28"/>
          <w:w w:val="105"/>
          <w:sz w:val="21"/>
        </w:rPr>
        <w:t> </w:t>
      </w:r>
      <w:r>
        <w:rPr>
          <w:color w:val="231F20"/>
          <w:w w:val="105"/>
          <w:sz w:val="21"/>
        </w:rPr>
        <w:t>75,</w:t>
      </w:r>
      <w:r>
        <w:rPr>
          <w:color w:val="231F20"/>
          <w:spacing w:val="-28"/>
          <w:w w:val="105"/>
          <w:sz w:val="21"/>
        </w:rPr>
        <w:t> </w:t>
      </w:r>
      <w:r>
        <w:rPr>
          <w:color w:val="231F20"/>
          <w:w w:val="105"/>
          <w:sz w:val="21"/>
        </w:rPr>
        <w:t>pp.</w:t>
      </w:r>
      <w:r>
        <w:rPr>
          <w:color w:val="231F20"/>
          <w:spacing w:val="-28"/>
          <w:w w:val="105"/>
          <w:sz w:val="21"/>
        </w:rPr>
        <w:t> </w:t>
      </w:r>
      <w:r>
        <w:rPr>
          <w:color w:val="231F20"/>
          <w:w w:val="105"/>
          <w:sz w:val="21"/>
        </w:rPr>
        <w:t>121-130.</w:t>
      </w:r>
    </w:p>
    <w:p>
      <w:pPr>
        <w:pStyle w:val="BodyText"/>
        <w:spacing w:line="259" w:lineRule="auto"/>
        <w:ind w:left="841" w:right="109" w:hanging="738"/>
        <w:jc w:val="both"/>
      </w:pPr>
      <w:r>
        <w:rPr>
          <w:color w:val="231F20"/>
          <w:w w:val="105"/>
        </w:rPr>
        <w:t>Mykland,</w:t>
      </w:r>
      <w:r>
        <w:rPr>
          <w:color w:val="231F20"/>
          <w:spacing w:val="-40"/>
          <w:w w:val="105"/>
        </w:rPr>
        <w:t> </w:t>
      </w:r>
      <w:r>
        <w:rPr>
          <w:color w:val="231F20"/>
          <w:spacing w:val="-16"/>
          <w:w w:val="105"/>
        </w:rPr>
        <w:t>P.</w:t>
      </w:r>
      <w:r>
        <w:rPr>
          <w:color w:val="231F20"/>
          <w:spacing w:val="-42"/>
          <w:w w:val="105"/>
        </w:rPr>
        <w:t> </w:t>
      </w:r>
      <w:r>
        <w:rPr>
          <w:color w:val="231F20"/>
          <w:w w:val="105"/>
        </w:rPr>
        <w:t>A.,</w:t>
      </w:r>
      <w:r>
        <w:rPr>
          <w:color w:val="231F20"/>
          <w:spacing w:val="-40"/>
          <w:w w:val="105"/>
        </w:rPr>
        <w:t> </w:t>
      </w:r>
      <w:r>
        <w:rPr>
          <w:color w:val="231F20"/>
          <w:w w:val="105"/>
        </w:rPr>
        <w:t>and</w:t>
      </w:r>
      <w:r>
        <w:rPr>
          <w:color w:val="231F20"/>
          <w:spacing w:val="-36"/>
          <w:w w:val="105"/>
        </w:rPr>
        <w:t> </w:t>
      </w:r>
      <w:r>
        <w:rPr>
          <w:color w:val="231F20"/>
          <w:w w:val="105"/>
        </w:rPr>
        <w:t>L.</w:t>
      </w:r>
      <w:r>
        <w:rPr>
          <w:color w:val="231F20"/>
          <w:spacing w:val="-40"/>
          <w:w w:val="105"/>
        </w:rPr>
        <w:t> </w:t>
      </w:r>
      <w:r>
        <w:rPr>
          <w:color w:val="231F20"/>
          <w:w w:val="105"/>
        </w:rPr>
        <w:t>Zhang.</w:t>
      </w:r>
      <w:r>
        <w:rPr>
          <w:color w:val="231F20"/>
          <w:spacing w:val="-40"/>
          <w:w w:val="105"/>
        </w:rPr>
        <w:t> </w:t>
      </w:r>
      <w:r>
        <w:rPr>
          <w:color w:val="231F20"/>
          <w:w w:val="105"/>
        </w:rPr>
        <w:t>(2009).</w:t>
      </w:r>
      <w:r>
        <w:rPr>
          <w:color w:val="231F20"/>
          <w:spacing w:val="-42"/>
          <w:w w:val="105"/>
        </w:rPr>
        <w:t> </w:t>
      </w:r>
      <w:r>
        <w:rPr>
          <w:color w:val="231F20"/>
          <w:w w:val="105"/>
        </w:rPr>
        <w:t>The</w:t>
      </w:r>
      <w:r>
        <w:rPr>
          <w:color w:val="231F20"/>
          <w:spacing w:val="-36"/>
          <w:w w:val="105"/>
        </w:rPr>
        <w:t> </w:t>
      </w:r>
      <w:r>
        <w:rPr>
          <w:color w:val="231F20"/>
          <w:w w:val="105"/>
        </w:rPr>
        <w:t>Econometrics</w:t>
      </w:r>
      <w:r>
        <w:rPr>
          <w:color w:val="231F20"/>
          <w:spacing w:val="-36"/>
          <w:w w:val="105"/>
        </w:rPr>
        <w:t> </w:t>
      </w:r>
      <w:r>
        <w:rPr>
          <w:color w:val="231F20"/>
          <w:w w:val="105"/>
        </w:rPr>
        <w:t>of</w:t>
      </w:r>
      <w:r>
        <w:rPr>
          <w:color w:val="231F20"/>
          <w:spacing w:val="-33"/>
          <w:w w:val="105"/>
        </w:rPr>
        <w:t> </w:t>
      </w:r>
      <w:r>
        <w:rPr>
          <w:color w:val="231F20"/>
          <w:w w:val="105"/>
        </w:rPr>
        <w:t>High</w:t>
      </w:r>
      <w:r>
        <w:rPr>
          <w:color w:val="231F20"/>
          <w:spacing w:val="-36"/>
          <w:w w:val="105"/>
        </w:rPr>
        <w:t> </w:t>
      </w:r>
      <w:r>
        <w:rPr>
          <w:color w:val="231F20"/>
          <w:w w:val="105"/>
        </w:rPr>
        <w:t>Frequency Data,</w:t>
      </w:r>
      <w:r>
        <w:rPr>
          <w:color w:val="231F20"/>
          <w:spacing w:val="-19"/>
          <w:w w:val="105"/>
        </w:rPr>
        <w:t> </w:t>
      </w:r>
      <w:r>
        <w:rPr>
          <w:color w:val="231F20"/>
          <w:w w:val="105"/>
        </w:rPr>
        <w:t>in</w:t>
      </w:r>
      <w:r>
        <w:rPr>
          <w:color w:val="231F20"/>
          <w:spacing w:val="-15"/>
          <w:w w:val="105"/>
        </w:rPr>
        <w:t> </w:t>
      </w:r>
      <w:r>
        <w:rPr>
          <w:color w:val="231F20"/>
          <w:w w:val="105"/>
        </w:rPr>
        <w:t>Statistical</w:t>
      </w:r>
      <w:r>
        <w:rPr>
          <w:color w:val="231F20"/>
          <w:spacing w:val="-15"/>
          <w:w w:val="105"/>
        </w:rPr>
        <w:t> </w:t>
      </w:r>
      <w:r>
        <w:rPr>
          <w:color w:val="231F20"/>
          <w:w w:val="105"/>
        </w:rPr>
        <w:t>Methods</w:t>
      </w:r>
      <w:r>
        <w:rPr>
          <w:color w:val="231F20"/>
          <w:spacing w:val="-15"/>
          <w:w w:val="105"/>
        </w:rPr>
        <w:t> </w:t>
      </w:r>
      <w:r>
        <w:rPr>
          <w:color w:val="231F20"/>
          <w:w w:val="105"/>
        </w:rPr>
        <w:t>for</w:t>
      </w:r>
      <w:r>
        <w:rPr>
          <w:color w:val="231F20"/>
          <w:spacing w:val="-15"/>
          <w:w w:val="105"/>
        </w:rPr>
        <w:t> </w:t>
      </w:r>
      <w:r>
        <w:rPr>
          <w:color w:val="231F20"/>
          <w:w w:val="105"/>
        </w:rPr>
        <w:t>Stochastic</w:t>
      </w:r>
      <w:r>
        <w:rPr>
          <w:color w:val="231F20"/>
          <w:spacing w:val="-15"/>
          <w:w w:val="105"/>
        </w:rPr>
        <w:t> </w:t>
      </w:r>
      <w:r>
        <w:rPr>
          <w:color w:val="231F20"/>
          <w:w w:val="105"/>
        </w:rPr>
        <w:t>Differential</w:t>
      </w:r>
      <w:r>
        <w:rPr>
          <w:color w:val="231F20"/>
          <w:spacing w:val="-15"/>
          <w:w w:val="105"/>
        </w:rPr>
        <w:t> </w:t>
      </w:r>
      <w:r>
        <w:rPr>
          <w:color w:val="231F20"/>
          <w:w w:val="105"/>
        </w:rPr>
        <w:t>Equations, ed.</w:t>
      </w:r>
      <w:r>
        <w:rPr>
          <w:color w:val="231F20"/>
          <w:spacing w:val="-21"/>
          <w:w w:val="105"/>
        </w:rPr>
        <w:t> </w:t>
      </w:r>
      <w:r>
        <w:rPr>
          <w:color w:val="231F20"/>
          <w:w w:val="105"/>
        </w:rPr>
        <w:t>by</w:t>
      </w:r>
      <w:r>
        <w:rPr>
          <w:color w:val="231F20"/>
          <w:spacing w:val="-16"/>
          <w:w w:val="105"/>
        </w:rPr>
        <w:t> </w:t>
      </w:r>
      <w:r>
        <w:rPr>
          <w:color w:val="231F20"/>
          <w:w w:val="105"/>
        </w:rPr>
        <w:t>M.</w:t>
      </w:r>
      <w:r>
        <w:rPr>
          <w:color w:val="231F20"/>
          <w:spacing w:val="-21"/>
          <w:w w:val="105"/>
        </w:rPr>
        <w:t> </w:t>
      </w:r>
      <w:r>
        <w:rPr>
          <w:color w:val="231F20"/>
          <w:spacing w:val="-3"/>
          <w:w w:val="105"/>
        </w:rPr>
        <w:t>Kessler,</w:t>
      </w:r>
      <w:r>
        <w:rPr>
          <w:color w:val="231F20"/>
          <w:spacing w:val="-24"/>
          <w:w w:val="105"/>
        </w:rPr>
        <w:t> </w:t>
      </w:r>
      <w:r>
        <w:rPr>
          <w:color w:val="231F20"/>
          <w:w w:val="105"/>
        </w:rPr>
        <w:t>A.</w:t>
      </w:r>
      <w:r>
        <w:rPr>
          <w:color w:val="231F20"/>
          <w:spacing w:val="-21"/>
          <w:w w:val="105"/>
        </w:rPr>
        <w:t> </w:t>
      </w:r>
      <w:r>
        <w:rPr>
          <w:color w:val="231F20"/>
          <w:w w:val="105"/>
        </w:rPr>
        <w:t>Lindner,</w:t>
      </w:r>
      <w:r>
        <w:rPr>
          <w:color w:val="231F20"/>
          <w:spacing w:val="-21"/>
          <w:w w:val="105"/>
        </w:rPr>
        <w:t> </w:t>
      </w:r>
      <w:r>
        <w:rPr>
          <w:color w:val="231F20"/>
          <w:w w:val="105"/>
        </w:rPr>
        <w:t>and</w:t>
      </w:r>
      <w:r>
        <w:rPr>
          <w:color w:val="231F20"/>
          <w:spacing w:val="-16"/>
          <w:w w:val="105"/>
        </w:rPr>
        <w:t> </w:t>
      </w:r>
      <w:r>
        <w:rPr>
          <w:color w:val="231F20"/>
          <w:w w:val="105"/>
        </w:rPr>
        <w:t>M.</w:t>
      </w:r>
      <w:r>
        <w:rPr>
          <w:color w:val="231F20"/>
          <w:spacing w:val="-21"/>
          <w:w w:val="105"/>
        </w:rPr>
        <w:t> </w:t>
      </w:r>
      <w:r>
        <w:rPr>
          <w:color w:val="231F20"/>
          <w:w w:val="105"/>
        </w:rPr>
        <w:t>Sorensen.</w:t>
      </w:r>
      <w:r>
        <w:rPr>
          <w:color w:val="231F20"/>
          <w:spacing w:val="-21"/>
          <w:w w:val="105"/>
        </w:rPr>
        <w:t> </w:t>
      </w:r>
      <w:r>
        <w:rPr>
          <w:color w:val="231F20"/>
          <w:w w:val="105"/>
        </w:rPr>
        <w:t>New</w:t>
      </w:r>
      <w:r>
        <w:rPr>
          <w:color w:val="231F20"/>
          <w:spacing w:val="-20"/>
          <w:w w:val="105"/>
        </w:rPr>
        <w:t> </w:t>
      </w:r>
      <w:r>
        <w:rPr>
          <w:color w:val="231F20"/>
          <w:spacing w:val="-4"/>
          <w:w w:val="105"/>
        </w:rPr>
        <w:t>York:</w:t>
      </w:r>
      <w:r>
        <w:rPr>
          <w:color w:val="231F20"/>
          <w:spacing w:val="-16"/>
          <w:w w:val="105"/>
        </w:rPr>
        <w:t> </w:t>
      </w:r>
      <w:r>
        <w:rPr>
          <w:color w:val="231F20"/>
          <w:w w:val="105"/>
        </w:rPr>
        <w:t>Chap- man</w:t>
      </w:r>
      <w:r>
        <w:rPr>
          <w:color w:val="231F20"/>
          <w:spacing w:val="-29"/>
          <w:w w:val="105"/>
        </w:rPr>
        <w:t> </w:t>
      </w:r>
      <w:r>
        <w:rPr>
          <w:color w:val="231F20"/>
          <w:w w:val="105"/>
        </w:rPr>
        <w:t>y</w:t>
      </w:r>
      <w:r>
        <w:rPr>
          <w:color w:val="231F20"/>
          <w:spacing w:val="-29"/>
          <w:w w:val="105"/>
        </w:rPr>
        <w:t> </w:t>
      </w:r>
      <w:r>
        <w:rPr>
          <w:color w:val="231F20"/>
          <w:w w:val="105"/>
        </w:rPr>
        <w:t>Hall/CRC</w:t>
      </w:r>
      <w:r>
        <w:rPr>
          <w:color w:val="231F20"/>
          <w:spacing w:val="-29"/>
          <w:w w:val="105"/>
        </w:rPr>
        <w:t> </w:t>
      </w:r>
      <w:r>
        <w:rPr>
          <w:color w:val="231F20"/>
          <w:spacing w:val="-3"/>
          <w:w w:val="105"/>
        </w:rPr>
        <w:t>Press</w:t>
      </w:r>
      <w:r>
        <w:rPr>
          <w:color w:val="231F20"/>
          <w:spacing w:val="-29"/>
          <w:w w:val="105"/>
        </w:rPr>
        <w:t> </w:t>
      </w:r>
      <w:r>
        <w:rPr>
          <w:color w:val="231F20"/>
          <w:w w:val="105"/>
        </w:rPr>
        <w:t>(forthcoming).</w:t>
      </w:r>
      <w:r>
        <w:rPr>
          <w:color w:val="231F20"/>
          <w:spacing w:val="-33"/>
          <w:w w:val="105"/>
        </w:rPr>
        <w:t> </w:t>
      </w:r>
      <w:r>
        <w:rPr>
          <w:color w:val="231F20"/>
          <w:w w:val="105"/>
        </w:rPr>
        <w:t>No.</w:t>
      </w:r>
      <w:r>
        <w:rPr>
          <w:color w:val="231F20"/>
          <w:spacing w:val="-33"/>
          <w:w w:val="105"/>
        </w:rPr>
        <w:t> </w:t>
      </w:r>
      <w:r>
        <w:rPr>
          <w:color w:val="231F20"/>
          <w:w w:val="105"/>
        </w:rPr>
        <w:t>1405,</w:t>
      </w:r>
      <w:r>
        <w:rPr>
          <w:color w:val="231F20"/>
          <w:spacing w:val="-33"/>
          <w:w w:val="105"/>
        </w:rPr>
        <w:t> </w:t>
      </w:r>
      <w:r>
        <w:rPr>
          <w:color w:val="231F20"/>
          <w:w w:val="105"/>
        </w:rPr>
        <w:t>pp.</w:t>
      </w:r>
      <w:r>
        <w:rPr>
          <w:color w:val="231F20"/>
          <w:spacing w:val="-33"/>
          <w:w w:val="105"/>
        </w:rPr>
        <w:t> </w:t>
      </w:r>
      <w:r>
        <w:rPr>
          <w:color w:val="231F20"/>
          <w:w w:val="105"/>
        </w:rPr>
        <w:t>1406-1421.</w:t>
      </w:r>
    </w:p>
    <w:p>
      <w:pPr>
        <w:pStyle w:val="BodyText"/>
        <w:spacing w:line="259" w:lineRule="auto"/>
        <w:ind w:left="841" w:right="114" w:hanging="738"/>
        <w:jc w:val="both"/>
      </w:pPr>
      <w:r>
        <w:rPr>
          <w:color w:val="231F20"/>
          <w:w w:val="105"/>
        </w:rPr>
        <w:t>Nandi,</w:t>
      </w:r>
      <w:r>
        <w:rPr>
          <w:color w:val="231F20"/>
          <w:spacing w:val="-26"/>
          <w:w w:val="105"/>
        </w:rPr>
        <w:t> </w:t>
      </w:r>
      <w:r>
        <w:rPr>
          <w:color w:val="231F20"/>
          <w:w w:val="105"/>
        </w:rPr>
        <w:t>S.</w:t>
      </w:r>
      <w:r>
        <w:rPr>
          <w:color w:val="231F20"/>
          <w:spacing w:val="-26"/>
          <w:w w:val="105"/>
        </w:rPr>
        <w:t> </w:t>
      </w:r>
      <w:r>
        <w:rPr>
          <w:color w:val="231F20"/>
          <w:w w:val="105"/>
        </w:rPr>
        <w:t>(1998),</w:t>
      </w:r>
      <w:r>
        <w:rPr>
          <w:color w:val="231F20"/>
          <w:spacing w:val="-26"/>
          <w:w w:val="105"/>
        </w:rPr>
        <w:t> </w:t>
      </w:r>
      <w:r>
        <w:rPr>
          <w:color w:val="231F20"/>
          <w:w w:val="105"/>
        </w:rPr>
        <w:t>“How</w:t>
      </w:r>
      <w:r>
        <w:rPr>
          <w:color w:val="231F20"/>
          <w:spacing w:val="-21"/>
          <w:w w:val="105"/>
        </w:rPr>
        <w:t> </w:t>
      </w:r>
      <w:r>
        <w:rPr>
          <w:color w:val="231F20"/>
          <w:w w:val="105"/>
        </w:rPr>
        <w:t>Important</w:t>
      </w:r>
      <w:r>
        <w:rPr>
          <w:color w:val="231F20"/>
          <w:spacing w:val="-21"/>
          <w:w w:val="105"/>
        </w:rPr>
        <w:t> </w:t>
      </w:r>
      <w:r>
        <w:rPr>
          <w:color w:val="231F20"/>
          <w:w w:val="105"/>
        </w:rPr>
        <w:t>Is</w:t>
      </w:r>
      <w:r>
        <w:rPr>
          <w:color w:val="231F20"/>
          <w:spacing w:val="-21"/>
          <w:w w:val="105"/>
        </w:rPr>
        <w:t> </w:t>
      </w:r>
      <w:r>
        <w:rPr>
          <w:color w:val="231F20"/>
          <w:w w:val="105"/>
        </w:rPr>
        <w:t>the</w:t>
      </w:r>
      <w:r>
        <w:rPr>
          <w:color w:val="231F20"/>
          <w:spacing w:val="-21"/>
          <w:w w:val="105"/>
        </w:rPr>
        <w:t> </w:t>
      </w:r>
      <w:r>
        <w:rPr>
          <w:color w:val="231F20"/>
          <w:w w:val="105"/>
        </w:rPr>
        <w:t>Correlation</w:t>
      </w:r>
      <w:r>
        <w:rPr>
          <w:color w:val="231F20"/>
          <w:spacing w:val="-21"/>
          <w:w w:val="105"/>
        </w:rPr>
        <w:t> </w:t>
      </w:r>
      <w:r>
        <w:rPr>
          <w:color w:val="231F20"/>
          <w:w w:val="105"/>
        </w:rPr>
        <w:t>between</w:t>
      </w:r>
      <w:r>
        <w:rPr>
          <w:color w:val="231F20"/>
          <w:spacing w:val="-21"/>
          <w:w w:val="105"/>
        </w:rPr>
        <w:t> </w:t>
      </w:r>
      <w:r>
        <w:rPr>
          <w:color w:val="231F20"/>
          <w:w w:val="105"/>
        </w:rPr>
        <w:t>Returns</w:t>
      </w:r>
      <w:r>
        <w:rPr>
          <w:color w:val="231F20"/>
          <w:spacing w:val="-21"/>
          <w:w w:val="105"/>
        </w:rPr>
        <w:t> </w:t>
      </w:r>
      <w:r>
        <w:rPr>
          <w:color w:val="231F20"/>
          <w:w w:val="105"/>
        </w:rPr>
        <w:t>and Volatility</w:t>
      </w:r>
      <w:r>
        <w:rPr>
          <w:color w:val="231F20"/>
          <w:spacing w:val="-33"/>
          <w:w w:val="105"/>
        </w:rPr>
        <w:t> </w:t>
      </w:r>
      <w:r>
        <w:rPr>
          <w:color w:val="231F20"/>
          <w:w w:val="105"/>
        </w:rPr>
        <w:t>in</w:t>
      </w:r>
      <w:r>
        <w:rPr>
          <w:color w:val="231F20"/>
          <w:spacing w:val="-35"/>
          <w:w w:val="105"/>
        </w:rPr>
        <w:t> </w:t>
      </w:r>
      <w:r>
        <w:rPr>
          <w:color w:val="231F20"/>
          <w:w w:val="105"/>
        </w:rPr>
        <w:t>A</w:t>
      </w:r>
      <w:r>
        <w:rPr>
          <w:color w:val="231F20"/>
          <w:spacing w:val="-35"/>
          <w:w w:val="105"/>
        </w:rPr>
        <w:t> </w:t>
      </w:r>
      <w:r>
        <w:rPr>
          <w:color w:val="231F20"/>
          <w:w w:val="105"/>
        </w:rPr>
        <w:t>Stochastic</w:t>
      </w:r>
      <w:r>
        <w:rPr>
          <w:color w:val="231F20"/>
          <w:spacing w:val="-35"/>
          <w:w w:val="105"/>
        </w:rPr>
        <w:t> </w:t>
      </w:r>
      <w:r>
        <w:rPr>
          <w:color w:val="231F20"/>
          <w:w w:val="105"/>
        </w:rPr>
        <w:t>Volatility</w:t>
      </w:r>
      <w:r>
        <w:rPr>
          <w:color w:val="231F20"/>
          <w:spacing w:val="-33"/>
          <w:w w:val="105"/>
        </w:rPr>
        <w:t> </w:t>
      </w:r>
      <w:r>
        <w:rPr>
          <w:color w:val="231F20"/>
          <w:w w:val="105"/>
        </w:rPr>
        <w:t>Model?</w:t>
      </w:r>
      <w:r>
        <w:rPr>
          <w:color w:val="231F20"/>
          <w:spacing w:val="-33"/>
          <w:w w:val="105"/>
        </w:rPr>
        <w:t> </w:t>
      </w:r>
      <w:r>
        <w:rPr>
          <w:color w:val="231F20"/>
          <w:w w:val="105"/>
        </w:rPr>
        <w:t>Empirical</w:t>
      </w:r>
      <w:r>
        <w:rPr>
          <w:color w:val="231F20"/>
          <w:spacing w:val="-33"/>
          <w:w w:val="105"/>
        </w:rPr>
        <w:t> </w:t>
      </w:r>
      <w:r>
        <w:rPr>
          <w:color w:val="231F20"/>
          <w:w w:val="105"/>
        </w:rPr>
        <w:t>Evidence</w:t>
      </w:r>
      <w:r>
        <w:rPr>
          <w:color w:val="231F20"/>
          <w:spacing w:val="-33"/>
          <w:w w:val="105"/>
        </w:rPr>
        <w:t> </w:t>
      </w:r>
      <w:r>
        <w:rPr>
          <w:color w:val="231F20"/>
          <w:w w:val="105"/>
        </w:rPr>
        <w:t>from Pricing</w:t>
      </w:r>
      <w:r>
        <w:rPr>
          <w:color w:val="231F20"/>
          <w:spacing w:val="-9"/>
          <w:w w:val="105"/>
        </w:rPr>
        <w:t> </w:t>
      </w:r>
      <w:r>
        <w:rPr>
          <w:color w:val="231F20"/>
          <w:w w:val="105"/>
        </w:rPr>
        <w:t>and</w:t>
      </w:r>
      <w:r>
        <w:rPr>
          <w:color w:val="231F20"/>
          <w:spacing w:val="-9"/>
          <w:w w:val="105"/>
        </w:rPr>
        <w:t> </w:t>
      </w:r>
      <w:r>
        <w:rPr>
          <w:color w:val="231F20"/>
          <w:w w:val="105"/>
        </w:rPr>
        <w:t>Hedging</w:t>
      </w:r>
      <w:r>
        <w:rPr>
          <w:color w:val="231F20"/>
          <w:spacing w:val="-9"/>
          <w:w w:val="105"/>
        </w:rPr>
        <w:t> </w:t>
      </w:r>
      <w:r>
        <w:rPr>
          <w:color w:val="231F20"/>
          <w:w w:val="105"/>
        </w:rPr>
        <w:t>in</w:t>
      </w:r>
      <w:r>
        <w:rPr>
          <w:color w:val="231F20"/>
          <w:spacing w:val="-9"/>
          <w:w w:val="105"/>
        </w:rPr>
        <w:t> </w:t>
      </w:r>
      <w:r>
        <w:rPr>
          <w:color w:val="231F20"/>
          <w:w w:val="105"/>
        </w:rPr>
        <w:t>the</w:t>
      </w:r>
      <w:r>
        <w:rPr>
          <w:color w:val="231F20"/>
          <w:spacing w:val="-9"/>
          <w:w w:val="105"/>
        </w:rPr>
        <w:t> </w:t>
      </w:r>
      <w:r>
        <w:rPr>
          <w:color w:val="231F20"/>
          <w:w w:val="105"/>
        </w:rPr>
        <w:t>SyP</w:t>
      </w:r>
      <w:r>
        <w:rPr>
          <w:color w:val="231F20"/>
          <w:spacing w:val="-9"/>
          <w:w w:val="105"/>
        </w:rPr>
        <w:t> </w:t>
      </w:r>
      <w:r>
        <w:rPr>
          <w:color w:val="231F20"/>
          <w:w w:val="105"/>
        </w:rPr>
        <w:t>500</w:t>
      </w:r>
      <w:r>
        <w:rPr>
          <w:color w:val="231F20"/>
          <w:spacing w:val="-9"/>
          <w:w w:val="105"/>
        </w:rPr>
        <w:t> </w:t>
      </w:r>
      <w:r>
        <w:rPr>
          <w:color w:val="231F20"/>
          <w:w w:val="105"/>
        </w:rPr>
        <w:t>Index</w:t>
      </w:r>
      <w:r>
        <w:rPr>
          <w:color w:val="231F20"/>
          <w:spacing w:val="-9"/>
          <w:w w:val="105"/>
        </w:rPr>
        <w:t> </w:t>
      </w:r>
      <w:r>
        <w:rPr>
          <w:color w:val="231F20"/>
          <w:w w:val="105"/>
        </w:rPr>
        <w:t>Options</w:t>
      </w:r>
      <w:r>
        <w:rPr>
          <w:color w:val="231F20"/>
          <w:spacing w:val="-9"/>
          <w:w w:val="105"/>
        </w:rPr>
        <w:t> </w:t>
      </w:r>
      <w:r>
        <w:rPr>
          <w:color w:val="231F20"/>
          <w:w w:val="105"/>
        </w:rPr>
        <w:t>Market.</w:t>
      </w:r>
      <w:r>
        <w:rPr>
          <w:color w:val="231F20"/>
          <w:spacing w:val="-15"/>
          <w:w w:val="105"/>
        </w:rPr>
        <w:t> </w:t>
      </w:r>
      <w:r>
        <w:rPr>
          <w:i/>
          <w:color w:val="231F20"/>
          <w:w w:val="105"/>
        </w:rPr>
        <w:t>Jour- </w:t>
      </w:r>
      <w:r>
        <w:rPr>
          <w:i/>
          <w:color w:val="231F20"/>
          <w:w w:val="105"/>
        </w:rPr>
        <w:t>nal</w:t>
      </w:r>
      <w:r>
        <w:rPr>
          <w:i/>
          <w:color w:val="231F20"/>
          <w:spacing w:val="-28"/>
          <w:w w:val="105"/>
        </w:rPr>
        <w:t> </w:t>
      </w:r>
      <w:r>
        <w:rPr>
          <w:i/>
          <w:color w:val="231F20"/>
          <w:w w:val="105"/>
        </w:rPr>
        <w:t>of</w:t>
      </w:r>
      <w:r>
        <w:rPr>
          <w:i/>
          <w:color w:val="231F20"/>
          <w:spacing w:val="-25"/>
          <w:w w:val="105"/>
        </w:rPr>
        <w:t> </w:t>
      </w:r>
      <w:r>
        <w:rPr>
          <w:i/>
          <w:color w:val="231F20"/>
          <w:w w:val="105"/>
        </w:rPr>
        <w:t>Banking</w:t>
      </w:r>
      <w:r>
        <w:rPr>
          <w:i/>
          <w:color w:val="231F20"/>
          <w:spacing w:val="-28"/>
          <w:w w:val="105"/>
        </w:rPr>
        <w:t> </w:t>
      </w:r>
      <w:r>
        <w:rPr>
          <w:i/>
          <w:color w:val="231F20"/>
          <w:w w:val="105"/>
        </w:rPr>
        <w:t>and</w:t>
      </w:r>
      <w:r>
        <w:rPr>
          <w:i/>
          <w:color w:val="231F20"/>
          <w:spacing w:val="-28"/>
          <w:w w:val="105"/>
        </w:rPr>
        <w:t> </w:t>
      </w:r>
      <w:r>
        <w:rPr>
          <w:i/>
          <w:color w:val="231F20"/>
          <w:w w:val="105"/>
        </w:rPr>
        <w:t>Finance</w:t>
      </w:r>
      <w:r>
        <w:rPr>
          <w:color w:val="231F20"/>
          <w:w w:val="105"/>
        </w:rPr>
        <w:t>,</w:t>
      </w:r>
      <w:r>
        <w:rPr>
          <w:color w:val="231F20"/>
          <w:spacing w:val="-33"/>
          <w:w w:val="105"/>
        </w:rPr>
        <w:t> </w:t>
      </w:r>
      <w:r>
        <w:rPr>
          <w:color w:val="231F20"/>
          <w:w w:val="105"/>
        </w:rPr>
        <w:t>22,</w:t>
      </w:r>
      <w:r>
        <w:rPr>
          <w:color w:val="231F20"/>
          <w:spacing w:val="-33"/>
          <w:w w:val="105"/>
        </w:rPr>
        <w:t> </w:t>
      </w:r>
      <w:r>
        <w:rPr>
          <w:color w:val="231F20"/>
          <w:w w:val="105"/>
        </w:rPr>
        <w:t>589-610.</w:t>
      </w:r>
    </w:p>
    <w:p>
      <w:pPr>
        <w:spacing w:line="259" w:lineRule="auto" w:before="0"/>
        <w:ind w:left="841" w:right="120" w:hanging="738"/>
        <w:jc w:val="both"/>
        <w:rPr>
          <w:sz w:val="21"/>
        </w:rPr>
      </w:pPr>
      <w:r>
        <w:rPr>
          <w:color w:val="231F20"/>
          <w:sz w:val="21"/>
        </w:rPr>
        <w:t>Nelson, D. B. (1990). ARCH models as diffusion approximation. </w:t>
      </w:r>
      <w:r>
        <w:rPr>
          <w:i/>
          <w:color w:val="231F20"/>
          <w:sz w:val="21"/>
        </w:rPr>
        <w:t>Journal of </w:t>
      </w:r>
      <w:r>
        <w:rPr>
          <w:i/>
          <w:color w:val="231F20"/>
          <w:sz w:val="21"/>
        </w:rPr>
        <w:t>Econometrics</w:t>
      </w:r>
      <w:r>
        <w:rPr>
          <w:color w:val="231F20"/>
          <w:sz w:val="21"/>
        </w:rPr>
        <w:t>. No. 45, 7-38.</w:t>
      </w:r>
    </w:p>
    <w:p>
      <w:pPr>
        <w:pStyle w:val="BodyText"/>
        <w:spacing w:line="259" w:lineRule="auto"/>
        <w:ind w:left="841" w:right="115" w:hanging="738"/>
        <w:jc w:val="both"/>
      </w:pPr>
      <w:r>
        <w:rPr>
          <w:color w:val="231F20"/>
          <w:w w:val="105"/>
        </w:rPr>
        <w:t>Nelson,</w:t>
      </w:r>
      <w:r>
        <w:rPr>
          <w:color w:val="231F20"/>
          <w:spacing w:val="-38"/>
          <w:w w:val="105"/>
        </w:rPr>
        <w:t> </w:t>
      </w:r>
      <w:r>
        <w:rPr>
          <w:color w:val="231F20"/>
          <w:spacing w:val="-6"/>
          <w:w w:val="105"/>
        </w:rPr>
        <w:t>D.</w:t>
      </w:r>
      <w:r>
        <w:rPr>
          <w:color w:val="231F20"/>
          <w:spacing w:val="-38"/>
          <w:w w:val="105"/>
        </w:rPr>
        <w:t> </w:t>
      </w:r>
      <w:r>
        <w:rPr>
          <w:color w:val="231F20"/>
          <w:w w:val="105"/>
        </w:rPr>
        <w:t>B</w:t>
      </w:r>
      <w:r>
        <w:rPr>
          <w:color w:val="231F20"/>
          <w:spacing w:val="-33"/>
          <w:w w:val="105"/>
        </w:rPr>
        <w:t> </w:t>
      </w:r>
      <w:r>
        <w:rPr>
          <w:color w:val="231F20"/>
          <w:w w:val="105"/>
        </w:rPr>
        <w:t>(1991).</w:t>
      </w:r>
      <w:r>
        <w:rPr>
          <w:color w:val="231F20"/>
          <w:spacing w:val="-38"/>
          <w:w w:val="105"/>
        </w:rPr>
        <w:t> </w:t>
      </w:r>
      <w:r>
        <w:rPr>
          <w:color w:val="231F20"/>
          <w:w w:val="105"/>
        </w:rPr>
        <w:t>Conditional</w:t>
      </w:r>
      <w:r>
        <w:rPr>
          <w:color w:val="231F20"/>
          <w:spacing w:val="-33"/>
          <w:w w:val="105"/>
        </w:rPr>
        <w:t> </w:t>
      </w:r>
      <w:r>
        <w:rPr>
          <w:color w:val="231F20"/>
          <w:w w:val="105"/>
        </w:rPr>
        <w:t>heteroskedasticity</w:t>
      </w:r>
      <w:r>
        <w:rPr>
          <w:color w:val="231F20"/>
          <w:spacing w:val="-33"/>
          <w:w w:val="105"/>
        </w:rPr>
        <w:t> </w:t>
      </w:r>
      <w:r>
        <w:rPr>
          <w:color w:val="231F20"/>
          <w:w w:val="105"/>
        </w:rPr>
        <w:t>in</w:t>
      </w:r>
      <w:r>
        <w:rPr>
          <w:color w:val="231F20"/>
          <w:spacing w:val="-33"/>
          <w:w w:val="105"/>
        </w:rPr>
        <w:t> </w:t>
      </w:r>
      <w:r>
        <w:rPr>
          <w:color w:val="231F20"/>
          <w:w w:val="105"/>
        </w:rPr>
        <w:t>asset</w:t>
      </w:r>
      <w:r>
        <w:rPr>
          <w:color w:val="231F20"/>
          <w:spacing w:val="-33"/>
          <w:w w:val="105"/>
        </w:rPr>
        <w:t> </w:t>
      </w:r>
      <w:r>
        <w:rPr>
          <w:color w:val="231F20"/>
          <w:w w:val="105"/>
        </w:rPr>
        <w:t>returns:</w:t>
      </w:r>
      <w:r>
        <w:rPr>
          <w:color w:val="231F20"/>
          <w:spacing w:val="-33"/>
          <w:w w:val="105"/>
        </w:rPr>
        <w:t> </w:t>
      </w:r>
      <w:r>
        <w:rPr>
          <w:color w:val="231F20"/>
          <w:w w:val="105"/>
        </w:rPr>
        <w:t>a</w:t>
      </w:r>
      <w:r>
        <w:rPr>
          <w:color w:val="231F20"/>
          <w:spacing w:val="-33"/>
          <w:w w:val="105"/>
        </w:rPr>
        <w:t> </w:t>
      </w:r>
      <w:r>
        <w:rPr>
          <w:color w:val="231F20"/>
          <w:w w:val="105"/>
        </w:rPr>
        <w:t>new approach.</w:t>
      </w:r>
      <w:r>
        <w:rPr>
          <w:color w:val="231F20"/>
          <w:spacing w:val="-33"/>
          <w:w w:val="105"/>
        </w:rPr>
        <w:t> </w:t>
      </w:r>
      <w:r>
        <w:rPr>
          <w:color w:val="231F20"/>
          <w:w w:val="105"/>
        </w:rPr>
        <w:t>Econometrica.</w:t>
      </w:r>
      <w:r>
        <w:rPr>
          <w:color w:val="231F20"/>
          <w:spacing w:val="-33"/>
          <w:w w:val="105"/>
        </w:rPr>
        <w:t> </w:t>
      </w:r>
      <w:r>
        <w:rPr>
          <w:color w:val="231F20"/>
          <w:w w:val="105"/>
        </w:rPr>
        <w:t>No.</w:t>
      </w:r>
      <w:r>
        <w:rPr>
          <w:color w:val="231F20"/>
          <w:spacing w:val="-33"/>
          <w:w w:val="105"/>
        </w:rPr>
        <w:t> </w:t>
      </w:r>
      <w:r>
        <w:rPr>
          <w:color w:val="231F20"/>
          <w:w w:val="105"/>
        </w:rPr>
        <w:t>59,</w:t>
      </w:r>
      <w:r>
        <w:rPr>
          <w:color w:val="231F20"/>
          <w:spacing w:val="-33"/>
          <w:w w:val="105"/>
        </w:rPr>
        <w:t> </w:t>
      </w:r>
      <w:r>
        <w:rPr>
          <w:color w:val="231F20"/>
          <w:w w:val="105"/>
        </w:rPr>
        <w:t>347-370.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317" w:val="left" w:leader="none"/>
        </w:tabs>
        <w:spacing w:before="190"/>
        <w:ind w:left="212" w:right="17" w:firstLine="0"/>
        <w:jc w:val="left"/>
        <w:rPr>
          <w:rFonts w:ascii="Calibri" w:hAnsi="Calibri"/>
          <w:sz w:val="15"/>
        </w:rPr>
      </w:pPr>
      <w:r>
        <w:rPr/>
        <w:pict>
          <v:group style="position:absolute;margin-left:101.817299pt;margin-top:-10.799887pt;width:17.850pt;height:56.5pt;mso-position-horizontal-relative:page;mso-position-vertical-relative:paragraph;z-index:-239320" coordorigin="2036,-216" coordsize="357,1130">
            <v:line style="position:absolute" from="2211,194" to="2211,910" stroked="true" strokeweight=".3pt" strokecolor="#231f20"/>
            <v:shape style="position:absolute;left:2036;top:-42;width:356;height:609" type="#_x0000_t75" stroked="false">
              <v:imagedata r:id="rId18" o:title=""/>
            </v:shape>
            <v:shape style="position:absolute;left:2036;top:-216;width:356;height:783" type="#_x0000_t75" stroked="false">
              <v:imagedata r:id="rId19" o:title=""/>
            </v:shape>
            <w10:wrap type="none"/>
          </v:group>
        </w:pict>
      </w:r>
      <w:r>
        <w:rPr>
          <w:color w:val="414042"/>
          <w:position w:val="-5"/>
          <w:sz w:val="20"/>
        </w:rPr>
        <w:t>232</w:t>
        <w:tab/>
      </w:r>
      <w:r>
        <w:rPr>
          <w:rFonts w:ascii="Calibri" w:hAnsi="Calibri"/>
          <w:color w:val="6D6E71"/>
          <w:sz w:val="15"/>
        </w:rPr>
        <w:t>María de Lourdes Najera López y Máximo Augusto Agüero  </w:t>
      </w:r>
      <w:r>
        <w:rPr>
          <w:rFonts w:ascii="Calibri" w:hAnsi="Calibri"/>
          <w:color w:val="6D6E71"/>
          <w:spacing w:val="16"/>
          <w:sz w:val="15"/>
        </w:rPr>
        <w:t> </w:t>
      </w:r>
      <w:r>
        <w:rPr>
          <w:rFonts w:ascii="Calibri" w:hAnsi="Calibri"/>
          <w:color w:val="6D6E71"/>
          <w:sz w:val="15"/>
        </w:rPr>
        <w:t>Granados</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spacing w:after="0"/>
        <w:rPr>
          <w:rFonts w:ascii="Calibri"/>
          <w:sz w:val="20"/>
        </w:rPr>
        <w:sectPr>
          <w:pgSz w:w="9640" w:h="13890"/>
          <w:pgMar w:top="0" w:bottom="280" w:left="1300" w:right="1180"/>
        </w:sectPr>
      </w:pPr>
    </w:p>
    <w:p>
      <w:pPr>
        <w:spacing w:line="180" w:lineRule="exact" w:before="61"/>
        <w:ind w:left="2169" w:right="-10" w:firstLine="628"/>
        <w:jc w:val="left"/>
        <w:rPr>
          <w:rFonts w:ascii="Lucida Sans Unicode" w:hAnsi="Lucida Sans Unicode"/>
          <w:sz w:val="14"/>
        </w:rPr>
      </w:pPr>
      <w:r>
        <w:rPr/>
        <w:pict>
          <v:line style="position:absolute;mso-position-horizontal-relative:page;mso-position-vertical-relative:paragraph;z-index:8632" from="384.061005pt,-25.331028pt" to="384.061005pt,9.534822pt" stroked="true" strokeweight=".3pt" strokecolor="#231f20">
            <w10:wrap type="none"/>
          </v:line>
        </w:pict>
      </w:r>
      <w:r>
        <w:rPr>
          <w:rFonts w:ascii="Lucida Sans Unicode" w:hAnsi="Lucida Sans Unicode"/>
          <w:color w:val="6D6E71"/>
          <w:sz w:val="14"/>
        </w:rPr>
        <w:t>IX. AdmInIstrAcIón de rIesgos A </w:t>
      </w:r>
      <w:r>
        <w:rPr>
          <w:rFonts w:ascii="Lucida Sans Unicode" w:hAnsi="Lucida Sans Unicode"/>
          <w:color w:val="6D6E71"/>
          <w:spacing w:val="-3"/>
          <w:sz w:val="14"/>
        </w:rPr>
        <w:t>trAvés </w:t>
      </w:r>
      <w:r>
        <w:rPr>
          <w:rFonts w:ascii="Lucida Sans Unicode" w:hAnsi="Lucida Sans Unicode"/>
          <w:color w:val="6D6E71"/>
          <w:sz w:val="14"/>
        </w:rPr>
        <w:t>de</w:t>
      </w:r>
      <w:r>
        <w:rPr>
          <w:rFonts w:ascii="Lucida Sans Unicode" w:hAnsi="Lucida Sans Unicode"/>
          <w:color w:val="6D6E71"/>
          <w:spacing w:val="-10"/>
          <w:sz w:val="14"/>
        </w:rPr>
        <w:t> </w:t>
      </w:r>
      <w:r>
        <w:rPr>
          <w:rFonts w:ascii="Lucida Sans Unicode" w:hAnsi="Lucida Sans Unicode"/>
          <w:color w:val="6D6E71"/>
          <w:sz w:val="14"/>
        </w:rPr>
        <w:t>opcIones sobre</w:t>
      </w:r>
      <w:r>
        <w:rPr>
          <w:rFonts w:ascii="Lucida Sans Unicode" w:hAnsi="Lucida Sans Unicode"/>
          <w:color w:val="6D6E71"/>
          <w:spacing w:val="-9"/>
          <w:sz w:val="14"/>
        </w:rPr>
        <w:t> </w:t>
      </w:r>
      <w:r>
        <w:rPr>
          <w:rFonts w:ascii="Lucida Sans Unicode" w:hAnsi="Lucida Sans Unicode"/>
          <w:color w:val="6D6E71"/>
          <w:sz w:val="14"/>
        </w:rPr>
        <w:t>tIpo</w:t>
      </w:r>
      <w:r>
        <w:rPr>
          <w:rFonts w:ascii="Lucida Sans Unicode" w:hAnsi="Lucida Sans Unicode"/>
          <w:color w:val="6D6E71"/>
          <w:spacing w:val="-9"/>
          <w:sz w:val="14"/>
        </w:rPr>
        <w:t> </w:t>
      </w:r>
      <w:r>
        <w:rPr>
          <w:rFonts w:ascii="Lucida Sans Unicode" w:hAnsi="Lucida Sans Unicode"/>
          <w:color w:val="6D6E71"/>
          <w:sz w:val="14"/>
        </w:rPr>
        <w:t>de</w:t>
      </w:r>
      <w:r>
        <w:rPr>
          <w:rFonts w:ascii="Lucida Sans Unicode" w:hAnsi="Lucida Sans Unicode"/>
          <w:color w:val="6D6E71"/>
          <w:spacing w:val="-9"/>
          <w:sz w:val="14"/>
        </w:rPr>
        <w:t> </w:t>
      </w:r>
      <w:r>
        <w:rPr>
          <w:rFonts w:ascii="Lucida Sans Unicode" w:hAnsi="Lucida Sans Unicode"/>
          <w:color w:val="6D6E71"/>
          <w:sz w:val="14"/>
        </w:rPr>
        <w:t>cAmbIo</w:t>
      </w:r>
      <w:r>
        <w:rPr>
          <w:rFonts w:ascii="Lucida Sans Unicode" w:hAnsi="Lucida Sans Unicode"/>
          <w:color w:val="6D6E71"/>
          <w:spacing w:val="-9"/>
          <w:sz w:val="14"/>
        </w:rPr>
        <w:t> </w:t>
      </w:r>
      <w:r>
        <w:rPr>
          <w:rFonts w:ascii="Lucida Sans Unicode" w:hAnsi="Lucida Sans Unicode"/>
          <w:color w:val="6D6E71"/>
          <w:sz w:val="14"/>
        </w:rPr>
        <w:t>peso</w:t>
      </w:r>
      <w:r>
        <w:rPr>
          <w:rFonts w:ascii="Lucida Sans Unicode" w:hAnsi="Lucida Sans Unicode"/>
          <w:color w:val="6D6E71"/>
          <w:spacing w:val="-9"/>
          <w:sz w:val="14"/>
        </w:rPr>
        <w:t> </w:t>
      </w:r>
      <w:r>
        <w:rPr>
          <w:rFonts w:ascii="Lucida Sans Unicode" w:hAnsi="Lucida Sans Unicode"/>
          <w:color w:val="6D6E71"/>
          <w:sz w:val="14"/>
        </w:rPr>
        <w:t>meXIcAno-dólAr</w:t>
      </w:r>
      <w:r>
        <w:rPr>
          <w:rFonts w:ascii="Lucida Sans Unicode" w:hAnsi="Lucida Sans Unicode"/>
          <w:color w:val="6D6E71"/>
          <w:spacing w:val="-9"/>
          <w:sz w:val="14"/>
        </w:rPr>
        <w:t> </w:t>
      </w:r>
      <w:r>
        <w:rPr>
          <w:rFonts w:ascii="Lucida Sans Unicode" w:hAnsi="Lucida Sans Unicode"/>
          <w:color w:val="6D6E71"/>
          <w:sz w:val="14"/>
        </w:rPr>
        <w:t>estAdounIdense</w:t>
      </w:r>
    </w:p>
    <w:p>
      <w:pPr>
        <w:spacing w:before="59"/>
        <w:ind w:left="338" w:right="0" w:firstLine="0"/>
        <w:jc w:val="left"/>
        <w:rPr>
          <w:sz w:val="20"/>
        </w:rPr>
      </w:pPr>
      <w:r>
        <w:rPr/>
        <w:br w:type="column"/>
      </w:r>
      <w:r>
        <w:rPr>
          <w:color w:val="414042"/>
          <w:sz w:val="20"/>
        </w:rPr>
        <w:t>233</w:t>
      </w:r>
    </w:p>
    <w:p>
      <w:pPr>
        <w:spacing w:after="0"/>
        <w:jc w:val="left"/>
        <w:rPr>
          <w:sz w:val="20"/>
        </w:rPr>
        <w:sectPr>
          <w:type w:val="continuous"/>
          <w:pgSz w:w="9640" w:h="13890"/>
          <w:pgMar w:top="1300" w:bottom="280" w:left="1300" w:right="1180"/>
          <w:cols w:num="2" w:equalWidth="0">
            <w:col w:w="6261" w:space="40"/>
            <w:col w:w="859"/>
          </w:cols>
        </w:sectPr>
      </w:pPr>
    </w:p>
    <w:p>
      <w:pPr>
        <w:pStyle w:val="BodyText"/>
        <w:rPr>
          <w:sz w:val="20"/>
        </w:rPr>
      </w:pPr>
    </w:p>
    <w:p>
      <w:pPr>
        <w:pStyle w:val="BodyText"/>
        <w:spacing w:before="8"/>
        <w:rPr>
          <w:sz w:val="18"/>
        </w:rPr>
      </w:pPr>
    </w:p>
    <w:p>
      <w:pPr>
        <w:spacing w:line="259" w:lineRule="auto" w:before="57"/>
        <w:ind w:left="854" w:right="116" w:hanging="738"/>
        <w:jc w:val="both"/>
        <w:rPr>
          <w:sz w:val="21"/>
        </w:rPr>
      </w:pPr>
      <w:r>
        <w:rPr>
          <w:color w:val="231F20"/>
          <w:sz w:val="21"/>
        </w:rPr>
        <w:t>Nelson, D. B. and Cao, C. Q. (1992). Inequality constraints in the univari- ate GARCH model. </w:t>
      </w:r>
      <w:r>
        <w:rPr>
          <w:i/>
          <w:color w:val="231F20"/>
          <w:sz w:val="21"/>
        </w:rPr>
        <w:t>Journal of Business y Economic Statistics</w:t>
      </w:r>
      <w:r>
        <w:rPr>
          <w:color w:val="231F20"/>
          <w:sz w:val="21"/>
        </w:rPr>
        <w:t>, 10, 229-235.</w:t>
      </w:r>
    </w:p>
    <w:p>
      <w:pPr>
        <w:spacing w:line="259" w:lineRule="auto" w:before="0"/>
        <w:ind w:left="854" w:right="122" w:hanging="737"/>
        <w:jc w:val="both"/>
        <w:rPr>
          <w:sz w:val="21"/>
        </w:rPr>
      </w:pPr>
      <w:r>
        <w:rPr>
          <w:color w:val="231F20"/>
          <w:spacing w:val="-4"/>
          <w:sz w:val="21"/>
        </w:rPr>
        <w:t>Pérez,</w:t>
      </w:r>
      <w:r>
        <w:rPr>
          <w:color w:val="231F20"/>
          <w:spacing w:val="-20"/>
          <w:sz w:val="21"/>
        </w:rPr>
        <w:t> </w:t>
      </w:r>
      <w:r>
        <w:rPr>
          <w:color w:val="231F20"/>
          <w:sz w:val="21"/>
        </w:rPr>
        <w:t>R.</w:t>
      </w:r>
      <w:r>
        <w:rPr>
          <w:color w:val="231F20"/>
          <w:spacing w:val="-20"/>
          <w:sz w:val="21"/>
        </w:rPr>
        <w:t> </w:t>
      </w:r>
      <w:r>
        <w:rPr>
          <w:color w:val="231F20"/>
          <w:sz w:val="21"/>
        </w:rPr>
        <w:t>y</w:t>
      </w:r>
      <w:r>
        <w:rPr>
          <w:color w:val="231F20"/>
          <w:spacing w:val="-18"/>
          <w:sz w:val="21"/>
        </w:rPr>
        <w:t> </w:t>
      </w:r>
      <w:r>
        <w:rPr>
          <w:color w:val="231F20"/>
          <w:sz w:val="21"/>
        </w:rPr>
        <w:t>A.,</w:t>
      </w:r>
      <w:r>
        <w:rPr>
          <w:color w:val="231F20"/>
          <w:spacing w:val="-23"/>
          <w:sz w:val="21"/>
        </w:rPr>
        <w:t> </w:t>
      </w:r>
      <w:r>
        <w:rPr>
          <w:color w:val="231F20"/>
          <w:sz w:val="21"/>
        </w:rPr>
        <w:t>Jesús.</w:t>
      </w:r>
      <w:r>
        <w:rPr>
          <w:color w:val="231F20"/>
          <w:spacing w:val="-20"/>
          <w:sz w:val="21"/>
        </w:rPr>
        <w:t> </w:t>
      </w:r>
      <w:r>
        <w:rPr>
          <w:color w:val="231F20"/>
          <w:sz w:val="21"/>
        </w:rPr>
        <w:t>(2011).</w:t>
      </w:r>
      <w:r>
        <w:rPr>
          <w:color w:val="231F20"/>
          <w:spacing w:val="-20"/>
          <w:sz w:val="21"/>
        </w:rPr>
        <w:t> </w:t>
      </w:r>
      <w:r>
        <w:rPr>
          <w:i/>
          <w:color w:val="231F20"/>
          <w:sz w:val="21"/>
        </w:rPr>
        <w:t>Métodos</w:t>
      </w:r>
      <w:r>
        <w:rPr>
          <w:i/>
          <w:color w:val="231F20"/>
          <w:spacing w:val="-14"/>
          <w:sz w:val="21"/>
        </w:rPr>
        <w:t> </w:t>
      </w:r>
      <w:r>
        <w:rPr>
          <w:i/>
          <w:color w:val="231F20"/>
          <w:sz w:val="21"/>
        </w:rPr>
        <w:t>estadísticos</w:t>
      </w:r>
      <w:r>
        <w:rPr>
          <w:i/>
          <w:color w:val="231F20"/>
          <w:spacing w:val="-14"/>
          <w:sz w:val="21"/>
        </w:rPr>
        <w:t> </w:t>
      </w:r>
      <w:r>
        <w:rPr>
          <w:i/>
          <w:color w:val="231F20"/>
          <w:sz w:val="21"/>
        </w:rPr>
        <w:t>para</w:t>
      </w:r>
      <w:r>
        <w:rPr>
          <w:i/>
          <w:color w:val="231F20"/>
          <w:spacing w:val="-14"/>
          <w:sz w:val="21"/>
        </w:rPr>
        <w:t> </w:t>
      </w:r>
      <w:r>
        <w:rPr>
          <w:i/>
          <w:color w:val="231F20"/>
          <w:sz w:val="21"/>
        </w:rPr>
        <w:t>economía</w:t>
      </w:r>
      <w:r>
        <w:rPr>
          <w:i/>
          <w:color w:val="231F20"/>
          <w:spacing w:val="-14"/>
          <w:sz w:val="21"/>
        </w:rPr>
        <w:t> </w:t>
      </w:r>
      <w:r>
        <w:rPr>
          <w:i/>
          <w:color w:val="231F20"/>
          <w:sz w:val="21"/>
        </w:rPr>
        <w:t>y</w:t>
      </w:r>
      <w:r>
        <w:rPr>
          <w:i/>
          <w:color w:val="231F20"/>
          <w:spacing w:val="-14"/>
          <w:sz w:val="21"/>
        </w:rPr>
        <w:t> </w:t>
      </w:r>
      <w:r>
        <w:rPr>
          <w:i/>
          <w:color w:val="231F20"/>
          <w:sz w:val="21"/>
        </w:rPr>
        <w:t>empre- </w:t>
      </w:r>
      <w:r>
        <w:rPr>
          <w:i/>
          <w:color w:val="231F20"/>
          <w:sz w:val="21"/>
        </w:rPr>
        <w:t>sa. </w:t>
      </w:r>
      <w:r>
        <w:rPr>
          <w:color w:val="231F20"/>
          <w:sz w:val="21"/>
        </w:rPr>
        <w:t>Thomson.</w:t>
      </w:r>
      <w:r>
        <w:rPr>
          <w:color w:val="231F20"/>
          <w:spacing w:val="-11"/>
          <w:sz w:val="21"/>
        </w:rPr>
        <w:t> </w:t>
      </w:r>
      <w:r>
        <w:rPr>
          <w:color w:val="231F20"/>
          <w:sz w:val="21"/>
        </w:rPr>
        <w:t>México.</w:t>
      </w:r>
    </w:p>
    <w:p>
      <w:pPr>
        <w:spacing w:line="259" w:lineRule="auto" w:before="0"/>
        <w:ind w:left="117" w:right="120" w:firstLine="0"/>
        <w:jc w:val="left"/>
        <w:rPr>
          <w:i/>
          <w:sz w:val="21"/>
        </w:rPr>
      </w:pPr>
      <w:r>
        <w:rPr>
          <w:color w:val="231F20"/>
          <w:sz w:val="21"/>
        </w:rPr>
        <w:t>Rastrigin, L. (1975). </w:t>
      </w:r>
      <w:r>
        <w:rPr>
          <w:i/>
          <w:color w:val="231F20"/>
          <w:sz w:val="21"/>
        </w:rPr>
        <w:t>Methods of random search</w:t>
      </w:r>
      <w:r>
        <w:rPr>
          <w:color w:val="231F20"/>
          <w:sz w:val="21"/>
        </w:rPr>
        <w:t>. House FML, Moscow. Schwert,</w:t>
      </w:r>
      <w:r>
        <w:rPr>
          <w:color w:val="231F20"/>
          <w:spacing w:val="-17"/>
          <w:sz w:val="21"/>
        </w:rPr>
        <w:t> </w:t>
      </w:r>
      <w:r>
        <w:rPr>
          <w:color w:val="231F20"/>
          <w:sz w:val="21"/>
        </w:rPr>
        <w:t>G.</w:t>
      </w:r>
      <w:r>
        <w:rPr>
          <w:color w:val="231F20"/>
          <w:spacing w:val="-20"/>
          <w:sz w:val="21"/>
        </w:rPr>
        <w:t> </w:t>
      </w:r>
      <w:r>
        <w:rPr>
          <w:color w:val="231F20"/>
          <w:spacing w:val="-7"/>
          <w:sz w:val="21"/>
        </w:rPr>
        <w:t>W.</w:t>
      </w:r>
      <w:r>
        <w:rPr>
          <w:color w:val="231F20"/>
          <w:spacing w:val="-17"/>
          <w:sz w:val="21"/>
        </w:rPr>
        <w:t> </w:t>
      </w:r>
      <w:r>
        <w:rPr>
          <w:color w:val="231F20"/>
          <w:sz w:val="21"/>
        </w:rPr>
        <w:t>(1990).</w:t>
      </w:r>
      <w:r>
        <w:rPr>
          <w:color w:val="231F20"/>
          <w:spacing w:val="-17"/>
          <w:sz w:val="21"/>
        </w:rPr>
        <w:t> </w:t>
      </w:r>
      <w:r>
        <w:rPr>
          <w:color w:val="231F20"/>
          <w:sz w:val="21"/>
        </w:rPr>
        <w:t>Stock</w:t>
      </w:r>
      <w:r>
        <w:rPr>
          <w:color w:val="231F20"/>
          <w:spacing w:val="-10"/>
          <w:sz w:val="21"/>
        </w:rPr>
        <w:t> </w:t>
      </w:r>
      <w:r>
        <w:rPr>
          <w:color w:val="231F20"/>
          <w:sz w:val="21"/>
        </w:rPr>
        <w:t>volatility</w:t>
      </w:r>
      <w:r>
        <w:rPr>
          <w:color w:val="231F20"/>
          <w:spacing w:val="-10"/>
          <w:sz w:val="21"/>
        </w:rPr>
        <w:t> </w:t>
      </w:r>
      <w:r>
        <w:rPr>
          <w:color w:val="231F20"/>
          <w:sz w:val="21"/>
        </w:rPr>
        <w:t>and</w:t>
      </w:r>
      <w:r>
        <w:rPr>
          <w:color w:val="231F20"/>
          <w:spacing w:val="-10"/>
          <w:sz w:val="21"/>
        </w:rPr>
        <w:t> </w:t>
      </w:r>
      <w:r>
        <w:rPr>
          <w:color w:val="231F20"/>
          <w:sz w:val="21"/>
        </w:rPr>
        <w:t>the</w:t>
      </w:r>
      <w:r>
        <w:rPr>
          <w:color w:val="231F20"/>
          <w:spacing w:val="-10"/>
          <w:sz w:val="21"/>
        </w:rPr>
        <w:t> </w:t>
      </w:r>
      <w:r>
        <w:rPr>
          <w:color w:val="231F20"/>
          <w:sz w:val="21"/>
        </w:rPr>
        <w:t>crash</w:t>
      </w:r>
      <w:r>
        <w:rPr>
          <w:color w:val="231F20"/>
          <w:spacing w:val="-10"/>
          <w:sz w:val="21"/>
        </w:rPr>
        <w:t> </w:t>
      </w:r>
      <w:r>
        <w:rPr>
          <w:color w:val="231F20"/>
          <w:sz w:val="21"/>
        </w:rPr>
        <w:t>of</w:t>
      </w:r>
      <w:r>
        <w:rPr>
          <w:color w:val="231F20"/>
          <w:spacing w:val="-4"/>
          <w:sz w:val="21"/>
        </w:rPr>
        <w:t> </w:t>
      </w:r>
      <w:r>
        <w:rPr>
          <w:color w:val="231F20"/>
          <w:sz w:val="21"/>
        </w:rPr>
        <w:t>87.</w:t>
      </w:r>
      <w:r>
        <w:rPr>
          <w:color w:val="231F20"/>
          <w:spacing w:val="-17"/>
          <w:sz w:val="21"/>
        </w:rPr>
        <w:t> </w:t>
      </w:r>
      <w:r>
        <w:rPr>
          <w:i/>
          <w:color w:val="231F20"/>
          <w:sz w:val="21"/>
        </w:rPr>
        <w:t>Review</w:t>
      </w:r>
      <w:r>
        <w:rPr>
          <w:i/>
          <w:color w:val="231F20"/>
          <w:spacing w:val="-10"/>
          <w:sz w:val="21"/>
        </w:rPr>
        <w:t> </w:t>
      </w:r>
      <w:r>
        <w:rPr>
          <w:i/>
          <w:color w:val="231F20"/>
          <w:sz w:val="21"/>
        </w:rPr>
        <w:t>of</w:t>
      </w:r>
      <w:r>
        <w:rPr>
          <w:i/>
          <w:color w:val="231F20"/>
          <w:spacing w:val="-4"/>
          <w:sz w:val="21"/>
        </w:rPr>
        <w:t> </w:t>
      </w:r>
      <w:r>
        <w:rPr>
          <w:i/>
          <w:color w:val="231F20"/>
          <w:sz w:val="21"/>
        </w:rPr>
        <w:t>Finan-</w:t>
      </w:r>
    </w:p>
    <w:p>
      <w:pPr>
        <w:spacing w:line="241" w:lineRule="exact" w:before="0"/>
        <w:ind w:left="854" w:right="114" w:firstLine="0"/>
        <w:jc w:val="left"/>
        <w:rPr>
          <w:sz w:val="21"/>
        </w:rPr>
      </w:pPr>
      <w:r>
        <w:rPr>
          <w:i/>
          <w:color w:val="231F20"/>
          <w:sz w:val="21"/>
        </w:rPr>
        <w:t>cial Studies. </w:t>
      </w:r>
      <w:r>
        <w:rPr>
          <w:color w:val="231F20"/>
          <w:sz w:val="21"/>
        </w:rPr>
        <w:t>No.  3, 77-102.</w:t>
      </w:r>
    </w:p>
    <w:p>
      <w:pPr>
        <w:spacing w:line="259" w:lineRule="auto" w:before="18"/>
        <w:ind w:left="854" w:right="122" w:hanging="738"/>
        <w:jc w:val="both"/>
        <w:rPr>
          <w:sz w:val="21"/>
        </w:rPr>
      </w:pPr>
      <w:r>
        <w:rPr>
          <w:color w:val="231F20"/>
          <w:w w:val="105"/>
          <w:sz w:val="21"/>
        </w:rPr>
        <w:t>Rubinstein,</w:t>
      </w:r>
      <w:r>
        <w:rPr>
          <w:color w:val="231F20"/>
          <w:spacing w:val="-36"/>
          <w:w w:val="105"/>
          <w:sz w:val="21"/>
        </w:rPr>
        <w:t> </w:t>
      </w:r>
      <w:r>
        <w:rPr>
          <w:color w:val="231F20"/>
          <w:w w:val="105"/>
          <w:sz w:val="21"/>
        </w:rPr>
        <w:t>M.</w:t>
      </w:r>
      <w:r>
        <w:rPr>
          <w:color w:val="231F20"/>
          <w:spacing w:val="-36"/>
          <w:w w:val="105"/>
          <w:sz w:val="21"/>
        </w:rPr>
        <w:t> </w:t>
      </w:r>
      <w:r>
        <w:rPr>
          <w:color w:val="231F20"/>
          <w:w w:val="105"/>
          <w:sz w:val="21"/>
        </w:rPr>
        <w:t>(1994),</w:t>
      </w:r>
      <w:r>
        <w:rPr>
          <w:color w:val="231F20"/>
          <w:spacing w:val="-36"/>
          <w:w w:val="105"/>
          <w:sz w:val="21"/>
        </w:rPr>
        <w:t> </w:t>
      </w:r>
      <w:r>
        <w:rPr>
          <w:color w:val="231F20"/>
          <w:w w:val="105"/>
          <w:sz w:val="21"/>
        </w:rPr>
        <w:t>Implied</w:t>
      </w:r>
      <w:r>
        <w:rPr>
          <w:color w:val="231F20"/>
          <w:spacing w:val="-33"/>
          <w:w w:val="105"/>
          <w:sz w:val="21"/>
        </w:rPr>
        <w:t> </w:t>
      </w:r>
      <w:r>
        <w:rPr>
          <w:color w:val="231F20"/>
          <w:w w:val="105"/>
          <w:sz w:val="21"/>
        </w:rPr>
        <w:t>Binomial</w:t>
      </w:r>
      <w:r>
        <w:rPr>
          <w:color w:val="231F20"/>
          <w:spacing w:val="-36"/>
          <w:w w:val="105"/>
          <w:sz w:val="21"/>
        </w:rPr>
        <w:t> </w:t>
      </w:r>
      <w:r>
        <w:rPr>
          <w:color w:val="231F20"/>
          <w:spacing w:val="-4"/>
          <w:w w:val="105"/>
          <w:sz w:val="21"/>
        </w:rPr>
        <w:t>Trees.</w:t>
      </w:r>
      <w:r>
        <w:rPr>
          <w:color w:val="231F20"/>
          <w:spacing w:val="-36"/>
          <w:w w:val="105"/>
          <w:sz w:val="21"/>
        </w:rPr>
        <w:t> </w:t>
      </w:r>
      <w:r>
        <w:rPr>
          <w:i/>
          <w:color w:val="231F20"/>
          <w:w w:val="105"/>
          <w:sz w:val="21"/>
        </w:rPr>
        <w:t>Journal</w:t>
      </w:r>
      <w:r>
        <w:rPr>
          <w:i/>
          <w:color w:val="231F20"/>
          <w:spacing w:val="-33"/>
          <w:w w:val="105"/>
          <w:sz w:val="21"/>
        </w:rPr>
        <w:t> </w:t>
      </w:r>
      <w:r>
        <w:rPr>
          <w:i/>
          <w:color w:val="231F20"/>
          <w:w w:val="105"/>
          <w:sz w:val="21"/>
        </w:rPr>
        <w:t>of</w:t>
      </w:r>
      <w:r>
        <w:rPr>
          <w:i/>
          <w:color w:val="231F20"/>
          <w:spacing w:val="-29"/>
          <w:w w:val="105"/>
          <w:sz w:val="21"/>
        </w:rPr>
        <w:t> </w:t>
      </w:r>
      <w:r>
        <w:rPr>
          <w:i/>
          <w:color w:val="231F20"/>
          <w:w w:val="105"/>
          <w:sz w:val="21"/>
        </w:rPr>
        <w:t>Finance</w:t>
      </w:r>
      <w:r>
        <w:rPr>
          <w:i/>
          <w:color w:val="231F20"/>
          <w:spacing w:val="-33"/>
          <w:w w:val="105"/>
          <w:sz w:val="21"/>
        </w:rPr>
        <w:t> </w:t>
      </w:r>
      <w:r>
        <w:rPr>
          <w:color w:val="231F20"/>
          <w:w w:val="105"/>
          <w:sz w:val="21"/>
        </w:rPr>
        <w:t>49,</w:t>
      </w:r>
      <w:r>
        <w:rPr>
          <w:color w:val="231F20"/>
          <w:spacing w:val="-36"/>
          <w:w w:val="105"/>
          <w:sz w:val="21"/>
        </w:rPr>
        <w:t> </w:t>
      </w:r>
      <w:r>
        <w:rPr>
          <w:color w:val="231F20"/>
          <w:w w:val="105"/>
          <w:sz w:val="21"/>
        </w:rPr>
        <w:t>771- 818.</w:t>
      </w:r>
    </w:p>
    <w:p>
      <w:pPr>
        <w:spacing w:line="259" w:lineRule="auto" w:before="0"/>
        <w:ind w:left="854" w:right="122" w:hanging="738"/>
        <w:jc w:val="both"/>
        <w:rPr>
          <w:sz w:val="21"/>
        </w:rPr>
      </w:pPr>
      <w:r>
        <w:rPr>
          <w:color w:val="231F20"/>
          <w:w w:val="105"/>
          <w:sz w:val="21"/>
        </w:rPr>
        <w:t>Scott,</w:t>
      </w:r>
      <w:r>
        <w:rPr>
          <w:color w:val="231F20"/>
          <w:spacing w:val="-40"/>
          <w:w w:val="105"/>
          <w:sz w:val="21"/>
        </w:rPr>
        <w:t> </w:t>
      </w:r>
      <w:r>
        <w:rPr>
          <w:color w:val="231F20"/>
          <w:w w:val="105"/>
          <w:sz w:val="21"/>
        </w:rPr>
        <w:t>L.</w:t>
      </w:r>
      <w:r>
        <w:rPr>
          <w:color w:val="231F20"/>
          <w:spacing w:val="-40"/>
          <w:w w:val="105"/>
          <w:sz w:val="21"/>
        </w:rPr>
        <w:t> </w:t>
      </w:r>
      <w:r>
        <w:rPr>
          <w:color w:val="231F20"/>
          <w:spacing w:val="-6"/>
          <w:w w:val="105"/>
          <w:sz w:val="21"/>
        </w:rPr>
        <w:t>O.</w:t>
      </w:r>
      <w:r>
        <w:rPr>
          <w:color w:val="231F20"/>
          <w:spacing w:val="-40"/>
          <w:w w:val="105"/>
          <w:sz w:val="21"/>
        </w:rPr>
        <w:t> </w:t>
      </w:r>
      <w:r>
        <w:rPr>
          <w:color w:val="231F20"/>
          <w:w w:val="105"/>
          <w:sz w:val="21"/>
        </w:rPr>
        <w:t>(1987),</w:t>
      </w:r>
      <w:r>
        <w:rPr>
          <w:color w:val="231F20"/>
          <w:spacing w:val="-40"/>
          <w:w w:val="105"/>
          <w:sz w:val="21"/>
        </w:rPr>
        <w:t> </w:t>
      </w:r>
      <w:r>
        <w:rPr>
          <w:color w:val="231F20"/>
          <w:w w:val="105"/>
          <w:sz w:val="21"/>
        </w:rPr>
        <w:t>Option</w:t>
      </w:r>
      <w:r>
        <w:rPr>
          <w:color w:val="231F20"/>
          <w:spacing w:val="-37"/>
          <w:w w:val="105"/>
          <w:sz w:val="21"/>
        </w:rPr>
        <w:t> </w:t>
      </w:r>
      <w:r>
        <w:rPr>
          <w:color w:val="231F20"/>
          <w:w w:val="105"/>
          <w:sz w:val="21"/>
        </w:rPr>
        <w:t>Pricing</w:t>
      </w:r>
      <w:r>
        <w:rPr>
          <w:color w:val="231F20"/>
          <w:spacing w:val="-38"/>
          <w:w w:val="105"/>
          <w:sz w:val="21"/>
        </w:rPr>
        <w:t> </w:t>
      </w:r>
      <w:r>
        <w:rPr>
          <w:color w:val="231F20"/>
          <w:w w:val="105"/>
          <w:sz w:val="21"/>
        </w:rPr>
        <w:t>When</w:t>
      </w:r>
      <w:r>
        <w:rPr>
          <w:color w:val="231F20"/>
          <w:spacing w:val="-37"/>
          <w:w w:val="105"/>
          <w:sz w:val="21"/>
        </w:rPr>
        <w:t> </w:t>
      </w:r>
      <w:r>
        <w:rPr>
          <w:color w:val="231F20"/>
          <w:w w:val="105"/>
          <w:sz w:val="21"/>
        </w:rPr>
        <w:t>the</w:t>
      </w:r>
      <w:r>
        <w:rPr>
          <w:color w:val="231F20"/>
          <w:spacing w:val="-39"/>
          <w:w w:val="105"/>
          <w:sz w:val="21"/>
        </w:rPr>
        <w:t> </w:t>
      </w:r>
      <w:r>
        <w:rPr>
          <w:color w:val="231F20"/>
          <w:w w:val="105"/>
          <w:sz w:val="21"/>
        </w:rPr>
        <w:t>Variance</w:t>
      </w:r>
      <w:r>
        <w:rPr>
          <w:color w:val="231F20"/>
          <w:spacing w:val="-37"/>
          <w:w w:val="105"/>
          <w:sz w:val="21"/>
        </w:rPr>
        <w:t> </w:t>
      </w:r>
      <w:r>
        <w:rPr>
          <w:color w:val="231F20"/>
          <w:w w:val="105"/>
          <w:sz w:val="21"/>
        </w:rPr>
        <w:t>Changes</w:t>
      </w:r>
      <w:r>
        <w:rPr>
          <w:color w:val="231F20"/>
          <w:spacing w:val="-37"/>
          <w:w w:val="105"/>
          <w:sz w:val="21"/>
        </w:rPr>
        <w:t> </w:t>
      </w:r>
      <w:r>
        <w:rPr>
          <w:color w:val="231F20"/>
          <w:w w:val="105"/>
          <w:sz w:val="21"/>
        </w:rPr>
        <w:t>Randomly: Theory,</w:t>
      </w:r>
      <w:r>
        <w:rPr>
          <w:color w:val="231F20"/>
          <w:spacing w:val="-12"/>
          <w:w w:val="105"/>
          <w:sz w:val="21"/>
        </w:rPr>
        <w:t> </w:t>
      </w:r>
      <w:r>
        <w:rPr>
          <w:color w:val="231F20"/>
          <w:w w:val="105"/>
          <w:sz w:val="21"/>
        </w:rPr>
        <w:t>Estimation,</w:t>
      </w:r>
      <w:r>
        <w:rPr>
          <w:color w:val="231F20"/>
          <w:spacing w:val="-12"/>
          <w:w w:val="105"/>
          <w:sz w:val="21"/>
        </w:rPr>
        <w:t> </w:t>
      </w:r>
      <w:r>
        <w:rPr>
          <w:color w:val="231F20"/>
          <w:w w:val="105"/>
          <w:sz w:val="21"/>
        </w:rPr>
        <w:t>and</w:t>
      </w:r>
      <w:r>
        <w:rPr>
          <w:color w:val="231F20"/>
          <w:spacing w:val="-7"/>
          <w:w w:val="105"/>
          <w:sz w:val="21"/>
        </w:rPr>
        <w:t> </w:t>
      </w:r>
      <w:r>
        <w:rPr>
          <w:color w:val="231F20"/>
          <w:w w:val="105"/>
          <w:sz w:val="21"/>
        </w:rPr>
        <w:t>an</w:t>
      </w:r>
      <w:r>
        <w:rPr>
          <w:color w:val="231F20"/>
          <w:spacing w:val="-9"/>
          <w:w w:val="105"/>
          <w:sz w:val="21"/>
        </w:rPr>
        <w:t> </w:t>
      </w:r>
      <w:r>
        <w:rPr>
          <w:color w:val="231F20"/>
          <w:w w:val="105"/>
          <w:sz w:val="21"/>
        </w:rPr>
        <w:t>Application.</w:t>
      </w:r>
      <w:r>
        <w:rPr>
          <w:color w:val="231F20"/>
          <w:spacing w:val="-12"/>
          <w:w w:val="105"/>
          <w:sz w:val="21"/>
        </w:rPr>
        <w:t> </w:t>
      </w:r>
      <w:r>
        <w:rPr>
          <w:i/>
          <w:color w:val="231F20"/>
          <w:w w:val="105"/>
          <w:sz w:val="21"/>
        </w:rPr>
        <w:t>Journal</w:t>
      </w:r>
      <w:r>
        <w:rPr>
          <w:i/>
          <w:color w:val="231F20"/>
          <w:spacing w:val="-7"/>
          <w:w w:val="105"/>
          <w:sz w:val="21"/>
        </w:rPr>
        <w:t> </w:t>
      </w:r>
      <w:r>
        <w:rPr>
          <w:i/>
          <w:color w:val="231F20"/>
          <w:w w:val="105"/>
          <w:sz w:val="21"/>
        </w:rPr>
        <w:t>of</w:t>
      </w:r>
      <w:r>
        <w:rPr>
          <w:i/>
          <w:color w:val="231F20"/>
          <w:spacing w:val="-3"/>
          <w:w w:val="105"/>
          <w:sz w:val="21"/>
        </w:rPr>
        <w:t> </w:t>
      </w:r>
      <w:r>
        <w:rPr>
          <w:i/>
          <w:color w:val="231F20"/>
          <w:w w:val="105"/>
          <w:sz w:val="21"/>
        </w:rPr>
        <w:t>Financial</w:t>
      </w:r>
      <w:r>
        <w:rPr>
          <w:i/>
          <w:color w:val="231F20"/>
          <w:spacing w:val="-7"/>
          <w:w w:val="105"/>
          <w:sz w:val="21"/>
        </w:rPr>
        <w:t> </w:t>
      </w:r>
      <w:r>
        <w:rPr>
          <w:i/>
          <w:color w:val="231F20"/>
          <w:w w:val="105"/>
          <w:sz w:val="21"/>
        </w:rPr>
        <w:t>and </w:t>
      </w:r>
      <w:r>
        <w:rPr>
          <w:i/>
          <w:color w:val="231F20"/>
          <w:sz w:val="21"/>
        </w:rPr>
        <w:t>Quantitative Analysis</w:t>
      </w:r>
      <w:r>
        <w:rPr>
          <w:color w:val="231F20"/>
          <w:sz w:val="21"/>
        </w:rPr>
        <w:t>, 22,</w:t>
      </w:r>
      <w:r>
        <w:rPr>
          <w:color w:val="231F20"/>
          <w:spacing w:val="16"/>
          <w:sz w:val="21"/>
        </w:rPr>
        <w:t> </w:t>
      </w:r>
      <w:r>
        <w:rPr>
          <w:color w:val="231F20"/>
          <w:sz w:val="21"/>
        </w:rPr>
        <w:t>419-439.</w:t>
      </w:r>
    </w:p>
    <w:p>
      <w:pPr>
        <w:spacing w:line="259" w:lineRule="auto" w:before="0"/>
        <w:ind w:left="854" w:right="122" w:hanging="738"/>
        <w:jc w:val="both"/>
        <w:rPr>
          <w:sz w:val="21"/>
        </w:rPr>
      </w:pPr>
      <w:r>
        <w:rPr>
          <w:color w:val="231F20"/>
          <w:w w:val="105"/>
          <w:sz w:val="21"/>
        </w:rPr>
        <w:t>Sterk,</w:t>
      </w:r>
      <w:r>
        <w:rPr>
          <w:color w:val="231F20"/>
          <w:spacing w:val="-44"/>
          <w:w w:val="105"/>
          <w:sz w:val="21"/>
        </w:rPr>
        <w:t> </w:t>
      </w:r>
      <w:r>
        <w:rPr>
          <w:color w:val="231F20"/>
          <w:spacing w:val="-7"/>
          <w:w w:val="105"/>
          <w:sz w:val="21"/>
        </w:rPr>
        <w:t>W.</w:t>
      </w:r>
      <w:r>
        <w:rPr>
          <w:color w:val="231F20"/>
          <w:spacing w:val="-43"/>
          <w:w w:val="105"/>
          <w:sz w:val="21"/>
        </w:rPr>
        <w:t> </w:t>
      </w:r>
      <w:r>
        <w:rPr>
          <w:color w:val="231F20"/>
          <w:w w:val="105"/>
          <w:sz w:val="21"/>
        </w:rPr>
        <w:t>(1983).</w:t>
      </w:r>
      <w:r>
        <w:rPr>
          <w:color w:val="231F20"/>
          <w:spacing w:val="-43"/>
          <w:w w:val="105"/>
          <w:sz w:val="21"/>
        </w:rPr>
        <w:t> </w:t>
      </w:r>
      <w:r>
        <w:rPr>
          <w:color w:val="231F20"/>
          <w:w w:val="105"/>
          <w:sz w:val="21"/>
        </w:rPr>
        <w:t>Comparative</w:t>
      </w:r>
      <w:r>
        <w:rPr>
          <w:color w:val="231F20"/>
          <w:spacing w:val="-40"/>
          <w:w w:val="105"/>
          <w:sz w:val="21"/>
        </w:rPr>
        <w:t> </w:t>
      </w:r>
      <w:r>
        <w:rPr>
          <w:color w:val="231F20"/>
          <w:w w:val="105"/>
          <w:sz w:val="21"/>
        </w:rPr>
        <w:t>performance</w:t>
      </w:r>
      <w:r>
        <w:rPr>
          <w:color w:val="231F20"/>
          <w:spacing w:val="-40"/>
          <w:w w:val="105"/>
          <w:sz w:val="21"/>
        </w:rPr>
        <w:t> </w:t>
      </w:r>
      <w:r>
        <w:rPr>
          <w:color w:val="231F20"/>
          <w:w w:val="105"/>
          <w:sz w:val="21"/>
        </w:rPr>
        <w:t>of</w:t>
      </w:r>
      <w:r>
        <w:rPr>
          <w:color w:val="231F20"/>
          <w:spacing w:val="-37"/>
          <w:w w:val="105"/>
          <w:sz w:val="21"/>
        </w:rPr>
        <w:t> </w:t>
      </w:r>
      <w:r>
        <w:rPr>
          <w:color w:val="231F20"/>
          <w:w w:val="105"/>
          <w:sz w:val="21"/>
        </w:rPr>
        <w:t>the</w:t>
      </w:r>
      <w:r>
        <w:rPr>
          <w:color w:val="231F20"/>
          <w:spacing w:val="-40"/>
          <w:w w:val="105"/>
          <w:sz w:val="21"/>
        </w:rPr>
        <w:t> </w:t>
      </w:r>
      <w:r>
        <w:rPr>
          <w:color w:val="231F20"/>
          <w:w w:val="105"/>
          <w:sz w:val="21"/>
        </w:rPr>
        <w:t>Black-Scholes</w:t>
      </w:r>
      <w:r>
        <w:rPr>
          <w:color w:val="231F20"/>
          <w:spacing w:val="-40"/>
          <w:w w:val="105"/>
          <w:sz w:val="21"/>
        </w:rPr>
        <w:t> </w:t>
      </w:r>
      <w:r>
        <w:rPr>
          <w:color w:val="231F20"/>
          <w:w w:val="105"/>
          <w:sz w:val="21"/>
        </w:rPr>
        <w:t>and</w:t>
      </w:r>
      <w:r>
        <w:rPr>
          <w:color w:val="231F20"/>
          <w:spacing w:val="-40"/>
          <w:w w:val="105"/>
          <w:sz w:val="21"/>
        </w:rPr>
        <w:t> </w:t>
      </w:r>
      <w:r>
        <w:rPr>
          <w:color w:val="231F20"/>
          <w:w w:val="105"/>
          <w:sz w:val="21"/>
        </w:rPr>
        <w:t>Roll- Geske-Whaley option pricing models. </w:t>
      </w:r>
      <w:r>
        <w:rPr>
          <w:i/>
          <w:color w:val="231F20"/>
          <w:w w:val="105"/>
          <w:sz w:val="21"/>
        </w:rPr>
        <w:t>Journal of Financial and </w:t>
      </w:r>
      <w:r>
        <w:rPr>
          <w:i/>
          <w:color w:val="231F20"/>
          <w:w w:val="105"/>
          <w:sz w:val="21"/>
        </w:rPr>
        <w:t>Quantitative</w:t>
      </w:r>
      <w:r>
        <w:rPr>
          <w:i/>
          <w:color w:val="231F20"/>
          <w:spacing w:val="-41"/>
          <w:w w:val="105"/>
          <w:sz w:val="21"/>
        </w:rPr>
        <w:t> </w:t>
      </w:r>
      <w:r>
        <w:rPr>
          <w:i/>
          <w:color w:val="231F20"/>
          <w:w w:val="105"/>
          <w:sz w:val="21"/>
        </w:rPr>
        <w:t>Analysis</w:t>
      </w:r>
      <w:r>
        <w:rPr>
          <w:color w:val="231F20"/>
          <w:w w:val="105"/>
          <w:sz w:val="21"/>
        </w:rPr>
        <w:t>.</w:t>
      </w:r>
      <w:r>
        <w:rPr>
          <w:color w:val="231F20"/>
          <w:spacing w:val="-42"/>
          <w:w w:val="105"/>
          <w:sz w:val="21"/>
        </w:rPr>
        <w:t> </w:t>
      </w:r>
      <w:r>
        <w:rPr>
          <w:color w:val="231F20"/>
          <w:w w:val="105"/>
          <w:sz w:val="21"/>
        </w:rPr>
        <w:t>No.</w:t>
      </w:r>
      <w:r>
        <w:rPr>
          <w:color w:val="231F20"/>
          <w:spacing w:val="-42"/>
          <w:w w:val="105"/>
          <w:sz w:val="21"/>
        </w:rPr>
        <w:t> </w:t>
      </w:r>
      <w:r>
        <w:rPr>
          <w:color w:val="231F20"/>
          <w:w w:val="105"/>
          <w:sz w:val="21"/>
        </w:rPr>
        <w:t>18,</w:t>
      </w:r>
      <w:r>
        <w:rPr>
          <w:color w:val="231F20"/>
          <w:spacing w:val="-42"/>
          <w:w w:val="105"/>
          <w:sz w:val="21"/>
        </w:rPr>
        <w:t> </w:t>
      </w:r>
      <w:r>
        <w:rPr>
          <w:color w:val="231F20"/>
          <w:w w:val="105"/>
          <w:sz w:val="21"/>
        </w:rPr>
        <w:t>345-354.</w:t>
      </w:r>
    </w:p>
    <w:p>
      <w:pPr>
        <w:spacing w:line="259" w:lineRule="auto" w:before="0"/>
        <w:ind w:left="854" w:right="122" w:hanging="738"/>
        <w:jc w:val="both"/>
        <w:rPr>
          <w:sz w:val="21"/>
        </w:rPr>
      </w:pPr>
      <w:r>
        <w:rPr>
          <w:color w:val="231F20"/>
          <w:spacing w:val="-5"/>
          <w:w w:val="105"/>
          <w:sz w:val="21"/>
        </w:rPr>
        <w:t>Taylor,</w:t>
      </w:r>
      <w:r>
        <w:rPr>
          <w:color w:val="231F20"/>
          <w:spacing w:val="-10"/>
          <w:w w:val="105"/>
          <w:sz w:val="21"/>
        </w:rPr>
        <w:t> </w:t>
      </w:r>
      <w:r>
        <w:rPr>
          <w:color w:val="231F20"/>
          <w:w w:val="105"/>
          <w:sz w:val="21"/>
        </w:rPr>
        <w:t>S.</w:t>
      </w:r>
      <w:r>
        <w:rPr>
          <w:color w:val="231F20"/>
          <w:spacing w:val="-12"/>
          <w:w w:val="105"/>
          <w:sz w:val="21"/>
        </w:rPr>
        <w:t> </w:t>
      </w:r>
      <w:r>
        <w:rPr>
          <w:color w:val="231F20"/>
          <w:w w:val="105"/>
          <w:sz w:val="21"/>
        </w:rPr>
        <w:t>J.</w:t>
      </w:r>
      <w:r>
        <w:rPr>
          <w:color w:val="231F20"/>
          <w:spacing w:val="-10"/>
          <w:w w:val="105"/>
          <w:sz w:val="21"/>
        </w:rPr>
        <w:t> </w:t>
      </w:r>
      <w:r>
        <w:rPr>
          <w:color w:val="231F20"/>
          <w:w w:val="105"/>
          <w:sz w:val="21"/>
        </w:rPr>
        <w:t>and</w:t>
      </w:r>
      <w:r>
        <w:rPr>
          <w:color w:val="231F20"/>
          <w:spacing w:val="-7"/>
          <w:w w:val="105"/>
          <w:sz w:val="21"/>
        </w:rPr>
        <w:t> </w:t>
      </w:r>
      <w:r>
        <w:rPr>
          <w:color w:val="231F20"/>
          <w:w w:val="105"/>
          <w:sz w:val="21"/>
        </w:rPr>
        <w:t>X.</w:t>
      </w:r>
      <w:r>
        <w:rPr>
          <w:color w:val="231F20"/>
          <w:spacing w:val="-12"/>
          <w:w w:val="105"/>
          <w:sz w:val="21"/>
        </w:rPr>
        <w:t> </w:t>
      </w:r>
      <w:r>
        <w:rPr>
          <w:color w:val="231F20"/>
          <w:w w:val="105"/>
          <w:sz w:val="21"/>
        </w:rPr>
        <w:t>Xu.</w:t>
      </w:r>
      <w:r>
        <w:rPr>
          <w:color w:val="231F20"/>
          <w:spacing w:val="-10"/>
          <w:w w:val="105"/>
          <w:sz w:val="21"/>
        </w:rPr>
        <w:t> </w:t>
      </w:r>
      <w:r>
        <w:rPr>
          <w:color w:val="231F20"/>
          <w:w w:val="105"/>
          <w:sz w:val="21"/>
        </w:rPr>
        <w:t>(1994).</w:t>
      </w:r>
      <w:r>
        <w:rPr>
          <w:color w:val="231F20"/>
          <w:spacing w:val="-14"/>
          <w:w w:val="105"/>
          <w:sz w:val="21"/>
        </w:rPr>
        <w:t> </w:t>
      </w:r>
      <w:r>
        <w:rPr>
          <w:color w:val="231F20"/>
          <w:w w:val="105"/>
          <w:sz w:val="21"/>
        </w:rPr>
        <w:t>The</w:t>
      </w:r>
      <w:r>
        <w:rPr>
          <w:color w:val="231F20"/>
          <w:spacing w:val="-5"/>
          <w:w w:val="105"/>
          <w:sz w:val="21"/>
        </w:rPr>
        <w:t> </w:t>
      </w:r>
      <w:r>
        <w:rPr>
          <w:color w:val="231F20"/>
          <w:w w:val="105"/>
          <w:sz w:val="21"/>
        </w:rPr>
        <w:t>term</w:t>
      </w:r>
      <w:r>
        <w:rPr>
          <w:color w:val="231F20"/>
          <w:spacing w:val="-5"/>
          <w:w w:val="105"/>
          <w:sz w:val="21"/>
        </w:rPr>
        <w:t> </w:t>
      </w:r>
      <w:r>
        <w:rPr>
          <w:color w:val="231F20"/>
          <w:w w:val="105"/>
          <w:sz w:val="21"/>
        </w:rPr>
        <w:t>structure</w:t>
      </w:r>
      <w:r>
        <w:rPr>
          <w:color w:val="231F20"/>
          <w:spacing w:val="-5"/>
          <w:w w:val="105"/>
          <w:sz w:val="21"/>
        </w:rPr>
        <w:t> </w:t>
      </w:r>
      <w:r>
        <w:rPr>
          <w:color w:val="231F20"/>
          <w:w w:val="105"/>
          <w:sz w:val="21"/>
        </w:rPr>
        <w:t>of</w:t>
      </w:r>
      <w:r>
        <w:rPr>
          <w:color w:val="231F20"/>
          <w:spacing w:val="-1"/>
          <w:w w:val="105"/>
          <w:sz w:val="21"/>
        </w:rPr>
        <w:t> </w:t>
      </w:r>
      <w:r>
        <w:rPr>
          <w:color w:val="231F20"/>
          <w:w w:val="105"/>
          <w:sz w:val="21"/>
        </w:rPr>
        <w:t>volatility</w:t>
      </w:r>
      <w:r>
        <w:rPr>
          <w:color w:val="231F20"/>
          <w:spacing w:val="-5"/>
          <w:w w:val="105"/>
          <w:sz w:val="21"/>
        </w:rPr>
        <w:t> </w:t>
      </w:r>
      <w:r>
        <w:rPr>
          <w:color w:val="231F20"/>
          <w:w w:val="105"/>
          <w:sz w:val="21"/>
        </w:rPr>
        <w:t>implied</w:t>
      </w:r>
      <w:r>
        <w:rPr>
          <w:color w:val="231F20"/>
          <w:spacing w:val="-5"/>
          <w:w w:val="105"/>
          <w:sz w:val="21"/>
        </w:rPr>
        <w:t> </w:t>
      </w:r>
      <w:r>
        <w:rPr>
          <w:color w:val="231F20"/>
          <w:w w:val="105"/>
          <w:sz w:val="21"/>
        </w:rPr>
        <w:t>by foreign exchange options. </w:t>
      </w:r>
      <w:r>
        <w:rPr>
          <w:i/>
          <w:color w:val="231F20"/>
          <w:w w:val="105"/>
          <w:sz w:val="21"/>
        </w:rPr>
        <w:t>Journal of Financial and Quantitative </w:t>
      </w:r>
      <w:r>
        <w:rPr>
          <w:i/>
          <w:color w:val="231F20"/>
          <w:w w:val="105"/>
          <w:sz w:val="21"/>
        </w:rPr>
        <w:t>Analysis</w:t>
      </w:r>
      <w:r>
        <w:rPr>
          <w:color w:val="231F20"/>
          <w:w w:val="105"/>
          <w:sz w:val="21"/>
        </w:rPr>
        <w:t>.</w:t>
      </w:r>
      <w:r>
        <w:rPr>
          <w:color w:val="231F20"/>
          <w:spacing w:val="-44"/>
          <w:w w:val="105"/>
          <w:sz w:val="21"/>
        </w:rPr>
        <w:t> </w:t>
      </w:r>
      <w:r>
        <w:rPr>
          <w:color w:val="231F20"/>
          <w:w w:val="105"/>
          <w:sz w:val="21"/>
        </w:rPr>
        <w:t>No.</w:t>
      </w:r>
      <w:r>
        <w:rPr>
          <w:color w:val="231F20"/>
          <w:spacing w:val="-44"/>
          <w:w w:val="105"/>
          <w:sz w:val="21"/>
        </w:rPr>
        <w:t> </w:t>
      </w:r>
      <w:r>
        <w:rPr>
          <w:color w:val="231F20"/>
          <w:w w:val="105"/>
          <w:sz w:val="21"/>
        </w:rPr>
        <w:t>29,</w:t>
      </w:r>
      <w:r>
        <w:rPr>
          <w:color w:val="231F20"/>
          <w:spacing w:val="-44"/>
          <w:w w:val="105"/>
          <w:sz w:val="21"/>
        </w:rPr>
        <w:t> </w:t>
      </w:r>
      <w:r>
        <w:rPr>
          <w:color w:val="231F20"/>
          <w:w w:val="105"/>
          <w:sz w:val="21"/>
        </w:rPr>
        <w:t>57-74.</w:t>
      </w:r>
    </w:p>
    <w:p>
      <w:pPr>
        <w:spacing w:line="259" w:lineRule="auto" w:before="0"/>
        <w:ind w:left="854" w:right="122" w:hanging="738"/>
        <w:jc w:val="both"/>
        <w:rPr>
          <w:sz w:val="21"/>
        </w:rPr>
      </w:pPr>
      <w:r>
        <w:rPr>
          <w:color w:val="231F20"/>
          <w:w w:val="105"/>
          <w:sz w:val="21"/>
        </w:rPr>
        <w:t>Whaley,</w:t>
      </w:r>
      <w:r>
        <w:rPr>
          <w:color w:val="231F20"/>
          <w:spacing w:val="-29"/>
          <w:w w:val="105"/>
          <w:sz w:val="21"/>
        </w:rPr>
        <w:t> </w:t>
      </w:r>
      <w:r>
        <w:rPr>
          <w:color w:val="231F20"/>
          <w:w w:val="105"/>
          <w:sz w:val="21"/>
        </w:rPr>
        <w:t>R.</w:t>
      </w:r>
      <w:r>
        <w:rPr>
          <w:color w:val="231F20"/>
          <w:spacing w:val="-29"/>
          <w:w w:val="105"/>
          <w:sz w:val="21"/>
        </w:rPr>
        <w:t> </w:t>
      </w:r>
      <w:r>
        <w:rPr>
          <w:color w:val="231F20"/>
          <w:w w:val="105"/>
          <w:sz w:val="21"/>
        </w:rPr>
        <w:t>E.</w:t>
      </w:r>
      <w:r>
        <w:rPr>
          <w:color w:val="231F20"/>
          <w:spacing w:val="-29"/>
          <w:w w:val="105"/>
          <w:sz w:val="21"/>
        </w:rPr>
        <w:t> </w:t>
      </w:r>
      <w:r>
        <w:rPr>
          <w:color w:val="231F20"/>
          <w:w w:val="105"/>
          <w:sz w:val="21"/>
        </w:rPr>
        <w:t>(1982).</w:t>
      </w:r>
      <w:r>
        <w:rPr>
          <w:color w:val="231F20"/>
          <w:spacing w:val="-32"/>
          <w:w w:val="105"/>
          <w:sz w:val="21"/>
        </w:rPr>
        <w:t> </w:t>
      </w:r>
      <w:r>
        <w:rPr>
          <w:color w:val="231F20"/>
          <w:w w:val="105"/>
          <w:sz w:val="21"/>
        </w:rPr>
        <w:t>Valuation</w:t>
      </w:r>
      <w:r>
        <w:rPr>
          <w:color w:val="231F20"/>
          <w:spacing w:val="-25"/>
          <w:w w:val="105"/>
          <w:sz w:val="21"/>
        </w:rPr>
        <w:t> </w:t>
      </w:r>
      <w:r>
        <w:rPr>
          <w:color w:val="231F20"/>
          <w:w w:val="105"/>
          <w:sz w:val="21"/>
        </w:rPr>
        <w:t>of</w:t>
      </w:r>
      <w:r>
        <w:rPr>
          <w:color w:val="231F20"/>
          <w:spacing w:val="-25"/>
          <w:w w:val="105"/>
          <w:sz w:val="21"/>
        </w:rPr>
        <w:t> </w:t>
      </w:r>
      <w:r>
        <w:rPr>
          <w:color w:val="231F20"/>
          <w:w w:val="105"/>
          <w:sz w:val="21"/>
        </w:rPr>
        <w:t>American</w:t>
      </w:r>
      <w:r>
        <w:rPr>
          <w:color w:val="231F20"/>
          <w:spacing w:val="-25"/>
          <w:w w:val="105"/>
          <w:sz w:val="21"/>
        </w:rPr>
        <w:t> </w:t>
      </w:r>
      <w:r>
        <w:rPr>
          <w:color w:val="231F20"/>
          <w:w w:val="105"/>
          <w:sz w:val="21"/>
        </w:rPr>
        <w:t>call</w:t>
      </w:r>
      <w:r>
        <w:rPr>
          <w:color w:val="231F20"/>
          <w:spacing w:val="-25"/>
          <w:w w:val="105"/>
          <w:sz w:val="21"/>
        </w:rPr>
        <w:t> </w:t>
      </w:r>
      <w:r>
        <w:rPr>
          <w:color w:val="231F20"/>
          <w:w w:val="105"/>
          <w:sz w:val="21"/>
        </w:rPr>
        <w:t>options</w:t>
      </w:r>
      <w:r>
        <w:rPr>
          <w:color w:val="231F20"/>
          <w:spacing w:val="-25"/>
          <w:w w:val="105"/>
          <w:sz w:val="21"/>
        </w:rPr>
        <w:t> </w:t>
      </w:r>
      <w:r>
        <w:rPr>
          <w:color w:val="231F20"/>
          <w:w w:val="105"/>
          <w:sz w:val="21"/>
        </w:rPr>
        <w:t>on</w:t>
      </w:r>
      <w:r>
        <w:rPr>
          <w:color w:val="231F20"/>
          <w:spacing w:val="-25"/>
          <w:w w:val="105"/>
          <w:sz w:val="21"/>
        </w:rPr>
        <w:t> </w:t>
      </w:r>
      <w:r>
        <w:rPr>
          <w:color w:val="231F20"/>
          <w:w w:val="105"/>
          <w:sz w:val="21"/>
        </w:rPr>
        <w:t>dividend-pay- ing</w:t>
      </w:r>
      <w:r>
        <w:rPr>
          <w:color w:val="231F20"/>
          <w:spacing w:val="-31"/>
          <w:w w:val="105"/>
          <w:sz w:val="21"/>
        </w:rPr>
        <w:t> </w:t>
      </w:r>
      <w:r>
        <w:rPr>
          <w:color w:val="231F20"/>
          <w:w w:val="105"/>
          <w:sz w:val="21"/>
        </w:rPr>
        <w:t>stocks.</w:t>
      </w:r>
      <w:r>
        <w:rPr>
          <w:color w:val="231F20"/>
          <w:spacing w:val="-35"/>
          <w:w w:val="105"/>
          <w:sz w:val="21"/>
        </w:rPr>
        <w:t> </w:t>
      </w:r>
      <w:r>
        <w:rPr>
          <w:i/>
          <w:color w:val="231F20"/>
          <w:w w:val="105"/>
          <w:sz w:val="21"/>
        </w:rPr>
        <w:t>Journal</w:t>
      </w:r>
      <w:r>
        <w:rPr>
          <w:i/>
          <w:color w:val="231F20"/>
          <w:spacing w:val="-31"/>
          <w:w w:val="105"/>
          <w:sz w:val="21"/>
        </w:rPr>
        <w:t> </w:t>
      </w:r>
      <w:r>
        <w:rPr>
          <w:i/>
          <w:color w:val="231F20"/>
          <w:w w:val="105"/>
          <w:sz w:val="21"/>
        </w:rPr>
        <w:t>of</w:t>
      </w:r>
      <w:r>
        <w:rPr>
          <w:i/>
          <w:color w:val="231F20"/>
          <w:spacing w:val="-28"/>
          <w:w w:val="105"/>
          <w:sz w:val="21"/>
        </w:rPr>
        <w:t> </w:t>
      </w:r>
      <w:r>
        <w:rPr>
          <w:i/>
          <w:color w:val="231F20"/>
          <w:w w:val="105"/>
          <w:sz w:val="21"/>
        </w:rPr>
        <w:t>Financial</w:t>
      </w:r>
      <w:r>
        <w:rPr>
          <w:i/>
          <w:color w:val="231F20"/>
          <w:spacing w:val="-31"/>
          <w:w w:val="105"/>
          <w:sz w:val="21"/>
        </w:rPr>
        <w:t> </w:t>
      </w:r>
      <w:r>
        <w:rPr>
          <w:i/>
          <w:color w:val="231F20"/>
          <w:w w:val="105"/>
          <w:sz w:val="21"/>
        </w:rPr>
        <w:t>Economics</w:t>
      </w:r>
      <w:r>
        <w:rPr>
          <w:color w:val="231F20"/>
          <w:w w:val="105"/>
          <w:sz w:val="21"/>
        </w:rPr>
        <w:t>.</w:t>
      </w:r>
      <w:r>
        <w:rPr>
          <w:color w:val="231F20"/>
          <w:spacing w:val="-35"/>
          <w:w w:val="105"/>
          <w:sz w:val="21"/>
        </w:rPr>
        <w:t> </w:t>
      </w:r>
      <w:r>
        <w:rPr>
          <w:color w:val="231F20"/>
          <w:w w:val="105"/>
          <w:sz w:val="21"/>
        </w:rPr>
        <w:t>No.</w:t>
      </w:r>
      <w:r>
        <w:rPr>
          <w:color w:val="231F20"/>
          <w:spacing w:val="-35"/>
          <w:w w:val="105"/>
          <w:sz w:val="21"/>
        </w:rPr>
        <w:t> </w:t>
      </w:r>
      <w:r>
        <w:rPr>
          <w:color w:val="231F20"/>
          <w:w w:val="105"/>
          <w:sz w:val="21"/>
        </w:rPr>
        <w:t>10,</w:t>
      </w:r>
      <w:r>
        <w:rPr>
          <w:color w:val="231F20"/>
          <w:spacing w:val="-35"/>
          <w:w w:val="105"/>
          <w:sz w:val="21"/>
        </w:rPr>
        <w:t> </w:t>
      </w:r>
      <w:r>
        <w:rPr>
          <w:color w:val="231F20"/>
          <w:w w:val="105"/>
          <w:sz w:val="21"/>
        </w:rPr>
        <w:t>29-58.</w:t>
      </w:r>
    </w:p>
    <w:p>
      <w:pPr>
        <w:spacing w:line="259" w:lineRule="auto" w:before="0"/>
        <w:ind w:left="854" w:right="122" w:hanging="738"/>
        <w:jc w:val="both"/>
        <w:rPr>
          <w:sz w:val="21"/>
        </w:rPr>
      </w:pPr>
      <w:r>
        <w:rPr>
          <w:color w:val="231F20"/>
          <w:sz w:val="21"/>
        </w:rPr>
        <w:t>Wiggins, J. (1987), Option values under stochastic volatility: Theory and empirical estimates. </w:t>
      </w:r>
      <w:r>
        <w:rPr>
          <w:i/>
          <w:color w:val="231F20"/>
          <w:sz w:val="21"/>
        </w:rPr>
        <w:t>Journal of Financial Economics</w:t>
      </w:r>
      <w:r>
        <w:rPr>
          <w:color w:val="231F20"/>
          <w:sz w:val="21"/>
        </w:rPr>
        <w:t>, 19,</w:t>
      </w:r>
      <w:r>
        <w:rPr>
          <w:color w:val="231F20"/>
          <w:spacing w:val="58"/>
          <w:sz w:val="21"/>
        </w:rPr>
        <w:t> </w:t>
      </w:r>
      <w:r>
        <w:rPr>
          <w:color w:val="231F20"/>
          <w:sz w:val="21"/>
        </w:rPr>
        <w:t>351-372.</w:t>
      </w:r>
    </w:p>
    <w:p>
      <w:pPr>
        <w:spacing w:after="0" w:line="259" w:lineRule="auto"/>
        <w:jc w:val="both"/>
        <w:rPr>
          <w:sz w:val="21"/>
        </w:rPr>
        <w:sectPr>
          <w:type w:val="continuous"/>
          <w:pgSz w:w="9640" w:h="13890"/>
          <w:pgMar w:top="1300" w:bottom="280" w:left="1300" w:right="118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r>
        <w:rPr/>
        <w:drawing>
          <wp:anchor distT="0" distB="0" distL="0" distR="0" allowOverlap="1" layoutInCell="1" locked="0" behindDoc="1" simplePos="0" relativeHeight="268196183">
            <wp:simplePos x="0" y="0"/>
            <wp:positionH relativeFrom="page">
              <wp:posOffset>7200</wp:posOffset>
            </wp:positionH>
            <wp:positionV relativeFrom="page">
              <wp:posOffset>0</wp:posOffset>
            </wp:positionV>
            <wp:extent cx="6112802" cy="8819997"/>
            <wp:effectExtent l="0" t="0" r="0" b="0"/>
            <wp:wrapNone/>
            <wp:docPr id="115" name="image11.png" descr=""/>
            <wp:cNvGraphicFramePr>
              <a:graphicFrameLocks noChangeAspect="1"/>
            </wp:cNvGraphicFramePr>
            <a:graphic>
              <a:graphicData uri="http://schemas.openxmlformats.org/drawingml/2006/picture">
                <pic:pic>
                  <pic:nvPicPr>
                    <pic:cNvPr id="116"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9"/>
        </w:rPr>
      </w:pPr>
    </w:p>
    <w:p>
      <w:pPr>
        <w:pStyle w:val="Heading1"/>
        <w:numPr>
          <w:ilvl w:val="0"/>
          <w:numId w:val="56"/>
        </w:numPr>
        <w:tabs>
          <w:tab w:pos="2182" w:val="left" w:leader="none"/>
        </w:tabs>
        <w:spacing w:line="288" w:lineRule="exact" w:before="38" w:after="0"/>
        <w:ind w:left="425" w:right="3024" w:firstLine="1489"/>
        <w:jc w:val="left"/>
        <w:rPr>
          <w:color w:val="FFFFFF"/>
        </w:rPr>
      </w:pPr>
      <w:r>
        <w:rPr>
          <w:color w:val="FFFFFF"/>
          <w:w w:val="105"/>
        </w:rPr>
        <w:t>EL CRECIMIENTO ECONÓMICO REftIONAL A</w:t>
      </w:r>
      <w:r>
        <w:rPr>
          <w:color w:val="FFFFFF"/>
          <w:spacing w:val="27"/>
          <w:w w:val="105"/>
        </w:rPr>
        <w:t> </w:t>
      </w:r>
      <w:r>
        <w:rPr>
          <w:color w:val="FFFFFF"/>
          <w:spacing w:val="-5"/>
          <w:w w:val="105"/>
        </w:rPr>
        <w:t>TRAVÉS</w:t>
      </w:r>
    </w:p>
    <w:p>
      <w:pPr>
        <w:spacing w:before="2"/>
        <w:ind w:left="1942" w:right="2382" w:firstLine="0"/>
        <w:jc w:val="left"/>
        <w:rPr>
          <w:rFonts w:ascii="Calibri"/>
          <w:sz w:val="24"/>
        </w:rPr>
      </w:pPr>
      <w:r>
        <w:rPr>
          <w:rFonts w:ascii="Calibri"/>
          <w:color w:val="FFFFFF"/>
          <w:w w:val="110"/>
          <w:sz w:val="24"/>
        </w:rPr>
        <w:t>DE SUS ENFOQUES</w:t>
      </w:r>
    </w:p>
    <w:p>
      <w:pPr>
        <w:pStyle w:val="Heading3"/>
        <w:spacing w:line="266" w:lineRule="exact" w:before="122"/>
        <w:ind w:right="1037"/>
      </w:pPr>
      <w:r>
        <w:rPr>
          <w:color w:val="FFFFFF"/>
          <w:w w:val="105"/>
        </w:rPr>
        <w:t>Liliana Rendón Rojas</w:t>
      </w:r>
    </w:p>
    <w:p>
      <w:pPr>
        <w:spacing w:line="266" w:lineRule="exact" w:before="0"/>
        <w:ind w:left="3931" w:right="0" w:firstLine="0"/>
        <w:jc w:val="left"/>
        <w:rPr>
          <w:rFonts w:ascii="Calibri" w:hAnsi="Calibri"/>
          <w:sz w:val="22"/>
        </w:rPr>
      </w:pPr>
      <w:r>
        <w:rPr>
          <w:rFonts w:ascii="Calibri" w:hAnsi="Calibri"/>
          <w:color w:val="FFFFFF"/>
          <w:w w:val="105"/>
          <w:sz w:val="22"/>
        </w:rPr>
        <w:t>María del Carmen Salgado Vega</w:t>
      </w:r>
    </w:p>
    <w:p>
      <w:pPr>
        <w:spacing w:after="0" w:line="266" w:lineRule="exact"/>
        <w:jc w:val="left"/>
        <w:rPr>
          <w:rFonts w:ascii="Calibri" w:hAnsi="Calibri"/>
          <w:sz w:val="22"/>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p>
      <w:pPr>
        <w:spacing w:before="55"/>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16"/>
        <w:jc w:val="both"/>
      </w:pPr>
      <w:r>
        <w:rPr/>
        <w:pict>
          <v:shape style="position:absolute;margin-left:82.218903pt;margin-top:13.282686pt;width:31.2pt;height:51pt;mso-position-horizontal-relative:page;mso-position-vertical-relative:paragraph;z-index:8680"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w:t>
      </w:r>
      <w:r>
        <w:rPr>
          <w:color w:val="231F20"/>
          <w:spacing w:val="-24"/>
          <w:w w:val="105"/>
        </w:rPr>
        <w:t> </w:t>
      </w:r>
      <w:r>
        <w:rPr>
          <w:color w:val="231F20"/>
          <w:w w:val="105"/>
        </w:rPr>
        <w:t>objetivo</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capítulo</w:t>
      </w:r>
      <w:r>
        <w:rPr>
          <w:color w:val="231F20"/>
          <w:spacing w:val="-24"/>
          <w:w w:val="105"/>
        </w:rPr>
        <w:t> </w:t>
      </w:r>
      <w:r>
        <w:rPr>
          <w:color w:val="231F20"/>
          <w:w w:val="105"/>
        </w:rPr>
        <w:t>es</w:t>
      </w:r>
      <w:r>
        <w:rPr>
          <w:color w:val="231F20"/>
          <w:spacing w:val="-24"/>
          <w:w w:val="105"/>
        </w:rPr>
        <w:t> </w:t>
      </w:r>
      <w:r>
        <w:rPr>
          <w:color w:val="231F20"/>
          <w:w w:val="105"/>
        </w:rPr>
        <w:t>presentar</w:t>
      </w:r>
      <w:r>
        <w:rPr>
          <w:color w:val="231F20"/>
          <w:spacing w:val="-24"/>
          <w:w w:val="105"/>
        </w:rPr>
        <w:t> </w:t>
      </w:r>
      <w:r>
        <w:rPr>
          <w:color w:val="231F20"/>
          <w:w w:val="105"/>
        </w:rPr>
        <w:t>una</w:t>
      </w:r>
      <w:r>
        <w:rPr>
          <w:color w:val="231F20"/>
          <w:spacing w:val="-24"/>
          <w:w w:val="105"/>
        </w:rPr>
        <w:t> </w:t>
      </w:r>
      <w:r>
        <w:rPr>
          <w:color w:val="231F20"/>
          <w:w w:val="105"/>
        </w:rPr>
        <w:t>revisión</w:t>
      </w:r>
      <w:r>
        <w:rPr>
          <w:color w:val="231F20"/>
          <w:spacing w:val="-24"/>
          <w:w w:val="105"/>
        </w:rPr>
        <w:t> </w:t>
      </w:r>
      <w:r>
        <w:rPr>
          <w:color w:val="231F20"/>
          <w:w w:val="105"/>
        </w:rPr>
        <w:t>de</w:t>
      </w:r>
      <w:r>
        <w:rPr>
          <w:color w:val="231F20"/>
          <w:spacing w:val="-24"/>
          <w:w w:val="105"/>
        </w:rPr>
        <w:t> </w:t>
      </w:r>
      <w:r>
        <w:rPr>
          <w:color w:val="231F20"/>
          <w:w w:val="105"/>
        </w:rPr>
        <w:t>las</w:t>
      </w:r>
      <w:r>
        <w:rPr>
          <w:color w:val="231F20"/>
          <w:spacing w:val="-24"/>
          <w:w w:val="105"/>
        </w:rPr>
        <w:t> </w:t>
      </w:r>
      <w:r>
        <w:rPr>
          <w:color w:val="231F20"/>
          <w:w w:val="105"/>
        </w:rPr>
        <w:t>teo- rías</w:t>
      </w:r>
      <w:r>
        <w:rPr>
          <w:color w:val="231F20"/>
          <w:spacing w:val="-27"/>
          <w:w w:val="105"/>
        </w:rPr>
        <w:t> </w:t>
      </w:r>
      <w:r>
        <w:rPr>
          <w:color w:val="231F20"/>
          <w:w w:val="105"/>
        </w:rPr>
        <w:t>que</w:t>
      </w:r>
      <w:r>
        <w:rPr>
          <w:color w:val="231F20"/>
          <w:spacing w:val="-27"/>
          <w:w w:val="105"/>
        </w:rPr>
        <w:t> </w:t>
      </w:r>
      <w:r>
        <w:rPr>
          <w:color w:val="231F20"/>
          <w:w w:val="105"/>
        </w:rPr>
        <w:t>explican</w:t>
      </w:r>
      <w:r>
        <w:rPr>
          <w:color w:val="231F20"/>
          <w:spacing w:val="-27"/>
          <w:w w:val="105"/>
        </w:rPr>
        <w:t> </w:t>
      </w:r>
      <w:r>
        <w:rPr>
          <w:color w:val="231F20"/>
          <w:w w:val="105"/>
        </w:rPr>
        <w:t>las</w:t>
      </w:r>
      <w:r>
        <w:rPr>
          <w:color w:val="231F20"/>
          <w:spacing w:val="-27"/>
          <w:w w:val="105"/>
        </w:rPr>
        <w:t> </w:t>
      </w:r>
      <w:r>
        <w:rPr>
          <w:color w:val="231F20"/>
          <w:w w:val="105"/>
        </w:rPr>
        <w:t>causas</w:t>
      </w:r>
      <w:r>
        <w:rPr>
          <w:color w:val="231F20"/>
          <w:spacing w:val="-27"/>
          <w:w w:val="105"/>
        </w:rPr>
        <w:t> </w:t>
      </w:r>
      <w:r>
        <w:rPr>
          <w:color w:val="231F20"/>
          <w:w w:val="105"/>
        </w:rPr>
        <w:t>del</w:t>
      </w:r>
      <w:r>
        <w:rPr>
          <w:color w:val="231F20"/>
          <w:spacing w:val="-27"/>
          <w:w w:val="105"/>
        </w:rPr>
        <w:t> </w:t>
      </w:r>
      <w:r>
        <w:rPr>
          <w:color w:val="231F20"/>
          <w:w w:val="105"/>
        </w:rPr>
        <w:t>crecimiento</w:t>
      </w:r>
      <w:r>
        <w:rPr>
          <w:color w:val="231F20"/>
          <w:spacing w:val="-27"/>
          <w:w w:val="105"/>
        </w:rPr>
        <w:t> </w:t>
      </w:r>
      <w:r>
        <w:rPr>
          <w:color w:val="231F20"/>
          <w:w w:val="105"/>
        </w:rPr>
        <w:t>económico</w:t>
      </w:r>
      <w:r>
        <w:rPr>
          <w:color w:val="231F20"/>
          <w:spacing w:val="-27"/>
          <w:w w:val="105"/>
        </w:rPr>
        <w:t> </w:t>
      </w:r>
      <w:r>
        <w:rPr>
          <w:color w:val="231F20"/>
          <w:w w:val="105"/>
        </w:rPr>
        <w:t>regio- nal desde dos enfoques: el de la oferta y el de la demanda. </w:t>
      </w:r>
      <w:r>
        <w:rPr>
          <w:color w:val="231F20"/>
          <w:spacing w:val="-4"/>
          <w:w w:val="105"/>
        </w:rPr>
        <w:t>Para</w:t>
      </w:r>
      <w:r>
        <w:rPr>
          <w:color w:val="231F20"/>
          <w:spacing w:val="-21"/>
          <w:w w:val="105"/>
        </w:rPr>
        <w:t> </w:t>
      </w:r>
      <w:r>
        <w:rPr>
          <w:color w:val="231F20"/>
          <w:w w:val="105"/>
        </w:rPr>
        <w:t>la</w:t>
      </w:r>
      <w:r>
        <w:rPr>
          <w:color w:val="231F20"/>
          <w:spacing w:val="-21"/>
          <w:w w:val="105"/>
        </w:rPr>
        <w:t> </w:t>
      </w:r>
      <w:r>
        <w:rPr>
          <w:color w:val="231F20"/>
          <w:w w:val="105"/>
        </w:rPr>
        <w:t>oferta</w:t>
      </w:r>
      <w:r>
        <w:rPr>
          <w:color w:val="231F20"/>
          <w:spacing w:val="-21"/>
          <w:w w:val="105"/>
        </w:rPr>
        <w:t> </w:t>
      </w:r>
      <w:r>
        <w:rPr>
          <w:color w:val="231F20"/>
          <w:w w:val="105"/>
        </w:rPr>
        <w:t>se</w:t>
      </w:r>
      <w:r>
        <w:rPr>
          <w:color w:val="231F20"/>
          <w:spacing w:val="-21"/>
          <w:w w:val="105"/>
        </w:rPr>
        <w:t> </w:t>
      </w:r>
      <w:r>
        <w:rPr>
          <w:color w:val="231F20"/>
          <w:w w:val="105"/>
        </w:rPr>
        <w:t>exponen</w:t>
      </w:r>
      <w:r>
        <w:rPr>
          <w:color w:val="231F20"/>
          <w:spacing w:val="-21"/>
          <w:w w:val="105"/>
        </w:rPr>
        <w:t> </w:t>
      </w:r>
      <w:r>
        <w:rPr>
          <w:color w:val="231F20"/>
          <w:w w:val="105"/>
        </w:rPr>
        <w:t>las</w:t>
      </w:r>
      <w:r>
        <w:rPr>
          <w:color w:val="231F20"/>
          <w:spacing w:val="-21"/>
          <w:w w:val="105"/>
        </w:rPr>
        <w:t> </w:t>
      </w:r>
      <w:r>
        <w:rPr>
          <w:color w:val="231F20"/>
          <w:w w:val="105"/>
        </w:rPr>
        <w:t>teorías</w:t>
      </w:r>
      <w:r>
        <w:rPr>
          <w:color w:val="231F20"/>
          <w:spacing w:val="-21"/>
          <w:w w:val="105"/>
        </w:rPr>
        <w:t> </w:t>
      </w:r>
      <w:r>
        <w:rPr>
          <w:color w:val="231F20"/>
          <w:w w:val="105"/>
        </w:rPr>
        <w:t>neoclásicas</w:t>
      </w:r>
      <w:r>
        <w:rPr>
          <w:color w:val="231F20"/>
          <w:spacing w:val="-21"/>
          <w:w w:val="105"/>
        </w:rPr>
        <w:t> </w:t>
      </w:r>
      <w:r>
        <w:rPr>
          <w:color w:val="231F20"/>
          <w:w w:val="105"/>
        </w:rPr>
        <w:t>y</w:t>
      </w:r>
      <w:r>
        <w:rPr>
          <w:color w:val="231F20"/>
          <w:spacing w:val="-21"/>
          <w:w w:val="105"/>
        </w:rPr>
        <w:t> </w:t>
      </w:r>
      <w:r>
        <w:rPr>
          <w:color w:val="231F20"/>
          <w:w w:val="105"/>
        </w:rPr>
        <w:t>se</w:t>
      </w:r>
      <w:r>
        <w:rPr>
          <w:color w:val="231F20"/>
          <w:spacing w:val="-21"/>
          <w:w w:val="105"/>
        </w:rPr>
        <w:t> </w:t>
      </w:r>
      <w:r>
        <w:rPr>
          <w:color w:val="231F20"/>
          <w:w w:val="105"/>
        </w:rPr>
        <w:t>plantea el crecimiento mediante modelos agregados en los que   </w:t>
      </w:r>
      <w:r>
        <w:rPr>
          <w:color w:val="231F20"/>
          <w:spacing w:val="27"/>
          <w:w w:val="105"/>
        </w:rPr>
        <w:t> </w:t>
      </w:r>
      <w:r>
        <w:rPr>
          <w:color w:val="231F20"/>
          <w:w w:val="105"/>
        </w:rPr>
        <w:t>el</w:t>
      </w:r>
    </w:p>
    <w:p>
      <w:pPr>
        <w:pStyle w:val="BodyText"/>
        <w:spacing w:line="259" w:lineRule="auto"/>
        <w:ind w:left="117" w:right="121"/>
        <w:jc w:val="both"/>
      </w:pPr>
      <w:r>
        <w:rPr>
          <w:color w:val="231F20"/>
          <w:w w:val="105"/>
        </w:rPr>
        <w:t>ahorro</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cambio</w:t>
      </w:r>
      <w:r>
        <w:rPr>
          <w:color w:val="231F20"/>
          <w:spacing w:val="-16"/>
          <w:w w:val="105"/>
        </w:rPr>
        <w:t> </w:t>
      </w:r>
      <w:r>
        <w:rPr>
          <w:color w:val="231F20"/>
          <w:w w:val="105"/>
        </w:rPr>
        <w:t>tecnológico</w:t>
      </w:r>
      <w:r>
        <w:rPr>
          <w:color w:val="231F20"/>
          <w:spacing w:val="-16"/>
          <w:w w:val="105"/>
        </w:rPr>
        <w:t> </w:t>
      </w:r>
      <w:r>
        <w:rPr>
          <w:color w:val="231F20"/>
          <w:w w:val="105"/>
        </w:rPr>
        <w:t>eran</w:t>
      </w:r>
      <w:r>
        <w:rPr>
          <w:color w:val="231F20"/>
          <w:spacing w:val="-16"/>
          <w:w w:val="105"/>
        </w:rPr>
        <w:t> </w:t>
      </w:r>
      <w:r>
        <w:rPr>
          <w:color w:val="231F20"/>
          <w:w w:val="105"/>
        </w:rPr>
        <w:t>considerados</w:t>
      </w:r>
      <w:r>
        <w:rPr>
          <w:color w:val="231F20"/>
          <w:spacing w:val="-16"/>
          <w:w w:val="105"/>
        </w:rPr>
        <w:t> </w:t>
      </w:r>
      <w:r>
        <w:rPr>
          <w:color w:val="231F20"/>
          <w:w w:val="105"/>
        </w:rPr>
        <w:t>como</w:t>
      </w:r>
      <w:r>
        <w:rPr>
          <w:color w:val="231F20"/>
          <w:spacing w:val="-16"/>
          <w:w w:val="105"/>
        </w:rPr>
        <w:t> </w:t>
      </w:r>
      <w:r>
        <w:rPr>
          <w:color w:val="231F20"/>
          <w:w w:val="105"/>
        </w:rPr>
        <w:t>factores</w:t>
      </w:r>
      <w:r>
        <w:rPr>
          <w:color w:val="231F20"/>
          <w:spacing w:val="-16"/>
          <w:w w:val="105"/>
        </w:rPr>
        <w:t> </w:t>
      </w:r>
      <w:r>
        <w:rPr>
          <w:color w:val="231F20"/>
          <w:w w:val="105"/>
        </w:rPr>
        <w:t>exóge- nos e independientes de la dinámica propia de la economía que impul- saban</w:t>
      </w:r>
      <w:r>
        <w:rPr>
          <w:color w:val="231F20"/>
          <w:spacing w:val="-22"/>
          <w:w w:val="105"/>
        </w:rPr>
        <w:t> </w:t>
      </w:r>
      <w:r>
        <w:rPr>
          <w:color w:val="231F20"/>
          <w:w w:val="105"/>
        </w:rPr>
        <w:t>su</w:t>
      </w:r>
      <w:r>
        <w:rPr>
          <w:color w:val="231F20"/>
          <w:spacing w:val="-22"/>
          <w:w w:val="105"/>
        </w:rPr>
        <w:t> </w:t>
      </w:r>
      <w:r>
        <w:rPr>
          <w:color w:val="231F20"/>
          <w:w w:val="105"/>
        </w:rPr>
        <w:t>crecimiento.</w:t>
      </w:r>
      <w:r>
        <w:rPr>
          <w:color w:val="231F20"/>
          <w:spacing w:val="-27"/>
          <w:w w:val="105"/>
        </w:rPr>
        <w:t> </w:t>
      </w:r>
      <w:r>
        <w:rPr>
          <w:color w:val="231F20"/>
          <w:spacing w:val="-4"/>
          <w:w w:val="105"/>
        </w:rPr>
        <w:t>Para</w:t>
      </w:r>
      <w:r>
        <w:rPr>
          <w:color w:val="231F20"/>
          <w:spacing w:val="-22"/>
          <w:w w:val="105"/>
        </w:rPr>
        <w:t> </w:t>
      </w:r>
      <w:r>
        <w:rPr>
          <w:color w:val="231F20"/>
          <w:w w:val="105"/>
        </w:rPr>
        <w:t>la</w:t>
      </w:r>
      <w:r>
        <w:rPr>
          <w:color w:val="231F20"/>
          <w:spacing w:val="-22"/>
          <w:w w:val="105"/>
        </w:rPr>
        <w:t> </w:t>
      </w:r>
      <w:r>
        <w:rPr>
          <w:color w:val="231F20"/>
          <w:w w:val="105"/>
        </w:rPr>
        <w:t>demanda</w:t>
      </w:r>
      <w:r>
        <w:rPr>
          <w:color w:val="231F20"/>
          <w:spacing w:val="-22"/>
          <w:w w:val="105"/>
        </w:rPr>
        <w:t> </w:t>
      </w:r>
      <w:r>
        <w:rPr>
          <w:color w:val="231F20"/>
          <w:w w:val="105"/>
        </w:rPr>
        <w:t>se</w:t>
      </w:r>
      <w:r>
        <w:rPr>
          <w:color w:val="231F20"/>
          <w:spacing w:val="-22"/>
          <w:w w:val="105"/>
        </w:rPr>
        <w:t> </w:t>
      </w:r>
      <w:r>
        <w:rPr>
          <w:color w:val="231F20"/>
          <w:w w:val="105"/>
        </w:rPr>
        <w:t>retoma</w:t>
      </w:r>
      <w:r>
        <w:rPr>
          <w:color w:val="231F20"/>
          <w:spacing w:val="-22"/>
          <w:w w:val="105"/>
        </w:rPr>
        <w:t> </w:t>
      </w:r>
      <w:r>
        <w:rPr>
          <w:color w:val="231F20"/>
          <w:w w:val="105"/>
        </w:rPr>
        <w:t>la</w:t>
      </w:r>
      <w:r>
        <w:rPr>
          <w:color w:val="231F20"/>
          <w:spacing w:val="-22"/>
          <w:w w:val="105"/>
        </w:rPr>
        <w:t> </w:t>
      </w:r>
      <w:r>
        <w:rPr>
          <w:color w:val="231F20"/>
          <w:w w:val="105"/>
        </w:rPr>
        <w:t>discusión</w:t>
      </w:r>
      <w:r>
        <w:rPr>
          <w:color w:val="231F20"/>
          <w:spacing w:val="-22"/>
          <w:w w:val="105"/>
        </w:rPr>
        <w:t> </w:t>
      </w:r>
      <w:r>
        <w:rPr>
          <w:color w:val="231F20"/>
          <w:w w:val="105"/>
        </w:rPr>
        <w:t>en</w:t>
      </w:r>
      <w:r>
        <w:rPr>
          <w:color w:val="231F20"/>
          <w:spacing w:val="-22"/>
          <w:w w:val="105"/>
        </w:rPr>
        <w:t> </w:t>
      </w:r>
      <w:r>
        <w:rPr>
          <w:color w:val="231F20"/>
          <w:w w:val="105"/>
        </w:rPr>
        <w:t>torno</w:t>
      </w:r>
      <w:r>
        <w:rPr>
          <w:color w:val="231F20"/>
          <w:spacing w:val="-22"/>
          <w:w w:val="105"/>
        </w:rPr>
        <w:t> </w:t>
      </w:r>
      <w:r>
        <w:rPr>
          <w:color w:val="231F20"/>
          <w:w w:val="105"/>
        </w:rPr>
        <w:t>a la</w:t>
      </w:r>
      <w:r>
        <w:rPr>
          <w:color w:val="231F20"/>
          <w:spacing w:val="-16"/>
          <w:w w:val="105"/>
        </w:rPr>
        <w:t> </w:t>
      </w:r>
      <w:r>
        <w:rPr>
          <w:color w:val="231F20"/>
          <w:w w:val="105"/>
        </w:rPr>
        <w:t>visión</w:t>
      </w:r>
      <w:r>
        <w:rPr>
          <w:color w:val="231F20"/>
          <w:spacing w:val="-16"/>
          <w:w w:val="105"/>
        </w:rPr>
        <w:t> </w:t>
      </w:r>
      <w:r>
        <w:rPr>
          <w:color w:val="231F20"/>
          <w:w w:val="105"/>
        </w:rPr>
        <w:t>de</w:t>
      </w:r>
      <w:r>
        <w:rPr>
          <w:color w:val="231F20"/>
          <w:spacing w:val="-16"/>
          <w:w w:val="105"/>
        </w:rPr>
        <w:t> </w:t>
      </w:r>
      <w:r>
        <w:rPr>
          <w:color w:val="231F20"/>
          <w:w w:val="105"/>
        </w:rPr>
        <w:t>Keynes</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Kaldor,</w:t>
      </w:r>
      <w:r>
        <w:rPr>
          <w:color w:val="231F20"/>
          <w:spacing w:val="-22"/>
          <w:w w:val="105"/>
        </w:rPr>
        <w:t> </w:t>
      </w:r>
      <w:r>
        <w:rPr>
          <w:color w:val="231F20"/>
          <w:w w:val="105"/>
        </w:rPr>
        <w:t>donde</w:t>
      </w:r>
      <w:r>
        <w:rPr>
          <w:color w:val="231F20"/>
          <w:spacing w:val="-16"/>
          <w:w w:val="105"/>
        </w:rPr>
        <w:t> </w:t>
      </w:r>
      <w:r>
        <w:rPr>
          <w:color w:val="231F20"/>
          <w:w w:val="105"/>
        </w:rPr>
        <w:t>la</w:t>
      </w:r>
      <w:r>
        <w:rPr>
          <w:color w:val="231F20"/>
          <w:spacing w:val="-16"/>
          <w:w w:val="105"/>
        </w:rPr>
        <w:t> </w:t>
      </w:r>
      <w:r>
        <w:rPr>
          <w:color w:val="231F20"/>
          <w:w w:val="105"/>
        </w:rPr>
        <w:t>demanda</w:t>
      </w:r>
      <w:r>
        <w:rPr>
          <w:color w:val="231F20"/>
          <w:spacing w:val="-16"/>
          <w:w w:val="105"/>
        </w:rPr>
        <w:t> </w:t>
      </w:r>
      <w:r>
        <w:rPr>
          <w:color w:val="231F20"/>
          <w:w w:val="105"/>
        </w:rPr>
        <w:t>externa</w:t>
      </w:r>
      <w:r>
        <w:rPr>
          <w:color w:val="231F20"/>
          <w:spacing w:val="-16"/>
          <w:w w:val="105"/>
        </w:rPr>
        <w:t> </w:t>
      </w:r>
      <w:r>
        <w:rPr>
          <w:color w:val="231F20"/>
          <w:w w:val="105"/>
        </w:rPr>
        <w:t>constituye</w:t>
      </w:r>
      <w:r>
        <w:rPr>
          <w:color w:val="231F20"/>
          <w:spacing w:val="-16"/>
          <w:w w:val="105"/>
        </w:rPr>
        <w:t> </w:t>
      </w:r>
      <w:r>
        <w:rPr>
          <w:color w:val="231F20"/>
          <w:w w:val="105"/>
        </w:rPr>
        <w:t>la fuerza</w:t>
      </w:r>
      <w:r>
        <w:rPr>
          <w:color w:val="231F20"/>
          <w:spacing w:val="-13"/>
          <w:w w:val="105"/>
        </w:rPr>
        <w:t> </w:t>
      </w:r>
      <w:r>
        <w:rPr>
          <w:color w:val="231F20"/>
          <w:w w:val="105"/>
        </w:rPr>
        <w:t>que</w:t>
      </w:r>
      <w:r>
        <w:rPr>
          <w:color w:val="231F20"/>
          <w:spacing w:val="-13"/>
          <w:w w:val="105"/>
        </w:rPr>
        <w:t> </w:t>
      </w:r>
      <w:r>
        <w:rPr>
          <w:color w:val="231F20"/>
          <w:w w:val="105"/>
        </w:rPr>
        <w:t>expande</w:t>
      </w:r>
      <w:r>
        <w:rPr>
          <w:color w:val="231F20"/>
          <w:spacing w:val="-13"/>
          <w:w w:val="105"/>
        </w:rPr>
        <w:t> </w:t>
      </w:r>
      <w:r>
        <w:rPr>
          <w:color w:val="231F20"/>
          <w:w w:val="105"/>
        </w:rPr>
        <w:t>la</w:t>
      </w:r>
      <w:r>
        <w:rPr>
          <w:color w:val="231F20"/>
          <w:spacing w:val="-13"/>
          <w:w w:val="105"/>
        </w:rPr>
        <w:t> </w:t>
      </w:r>
      <w:r>
        <w:rPr>
          <w:color w:val="231F20"/>
          <w:w w:val="105"/>
        </w:rPr>
        <w:t>dinámica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economía</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exporta- ciones,</w:t>
      </w:r>
      <w:r>
        <w:rPr>
          <w:color w:val="231F20"/>
          <w:spacing w:val="-18"/>
          <w:w w:val="105"/>
        </w:rPr>
        <w:t> </w:t>
      </w:r>
      <w:r>
        <w:rPr>
          <w:color w:val="231F20"/>
          <w:w w:val="105"/>
        </w:rPr>
        <w:t>permitiéndole</w:t>
      </w:r>
      <w:r>
        <w:rPr>
          <w:color w:val="231F20"/>
          <w:spacing w:val="-13"/>
          <w:w w:val="105"/>
        </w:rPr>
        <w:t> </w:t>
      </w:r>
      <w:r>
        <w:rPr>
          <w:color w:val="231F20"/>
          <w:w w:val="105"/>
        </w:rPr>
        <w:t>ingresar</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dinámica</w:t>
      </w:r>
      <w:r>
        <w:rPr>
          <w:color w:val="231F20"/>
          <w:spacing w:val="-13"/>
          <w:w w:val="105"/>
        </w:rPr>
        <w:t> </w:t>
      </w:r>
      <w:r>
        <w:rPr>
          <w:color w:val="231F20"/>
          <w:w w:val="105"/>
        </w:rPr>
        <w:t>circular</w:t>
      </w:r>
      <w:r>
        <w:rPr>
          <w:color w:val="231F20"/>
          <w:spacing w:val="-13"/>
          <w:w w:val="105"/>
        </w:rPr>
        <w:t> </w:t>
      </w:r>
      <w:r>
        <w:rPr>
          <w:color w:val="231F20"/>
          <w:w w:val="105"/>
        </w:rPr>
        <w:t>acumulativa.</w:t>
      </w:r>
      <w:r>
        <w:rPr>
          <w:color w:val="231F20"/>
          <w:spacing w:val="-18"/>
          <w:w w:val="105"/>
        </w:rPr>
        <w:t> </w:t>
      </w:r>
      <w:r>
        <w:rPr>
          <w:color w:val="231F20"/>
          <w:w w:val="105"/>
        </w:rPr>
        <w:t>Se concluyó</w:t>
      </w:r>
      <w:r>
        <w:rPr>
          <w:color w:val="231F20"/>
          <w:spacing w:val="-18"/>
          <w:w w:val="105"/>
        </w:rPr>
        <w:t> </w:t>
      </w:r>
      <w:r>
        <w:rPr>
          <w:color w:val="231F20"/>
          <w:w w:val="105"/>
        </w:rPr>
        <w:t>que</w:t>
      </w:r>
      <w:r>
        <w:rPr>
          <w:color w:val="231F20"/>
          <w:spacing w:val="-18"/>
          <w:w w:val="105"/>
        </w:rPr>
        <w:t> </w:t>
      </w:r>
      <w:r>
        <w:rPr>
          <w:color w:val="231F20"/>
          <w:w w:val="105"/>
        </w:rPr>
        <w:t>este</w:t>
      </w:r>
      <w:r>
        <w:rPr>
          <w:color w:val="231F20"/>
          <w:spacing w:val="-18"/>
          <w:w w:val="105"/>
        </w:rPr>
        <w:t> </w:t>
      </w:r>
      <w:r>
        <w:rPr>
          <w:color w:val="231F20"/>
          <w:w w:val="105"/>
        </w:rPr>
        <w:t>marco</w:t>
      </w:r>
      <w:r>
        <w:rPr>
          <w:color w:val="231F20"/>
          <w:spacing w:val="-18"/>
          <w:w w:val="105"/>
        </w:rPr>
        <w:t> </w:t>
      </w:r>
      <w:r>
        <w:rPr>
          <w:color w:val="231F20"/>
          <w:w w:val="105"/>
        </w:rPr>
        <w:t>teórico</w:t>
      </w:r>
      <w:r>
        <w:rPr>
          <w:color w:val="231F20"/>
          <w:spacing w:val="-18"/>
          <w:w w:val="105"/>
        </w:rPr>
        <w:t> </w:t>
      </w:r>
      <w:r>
        <w:rPr>
          <w:color w:val="231F20"/>
          <w:w w:val="105"/>
        </w:rPr>
        <w:t>sirve</w:t>
      </w:r>
      <w:r>
        <w:rPr>
          <w:color w:val="231F20"/>
          <w:spacing w:val="-18"/>
          <w:w w:val="105"/>
        </w:rPr>
        <w:t> </w:t>
      </w:r>
      <w:r>
        <w:rPr>
          <w:color w:val="231F20"/>
          <w:w w:val="105"/>
        </w:rPr>
        <w:t>para</w:t>
      </w:r>
      <w:r>
        <w:rPr>
          <w:color w:val="231F20"/>
          <w:spacing w:val="-18"/>
          <w:w w:val="105"/>
        </w:rPr>
        <w:t> </w:t>
      </w:r>
      <w:r>
        <w:rPr>
          <w:color w:val="231F20"/>
          <w:w w:val="105"/>
        </w:rPr>
        <w:t>explicar</w:t>
      </w:r>
      <w:r>
        <w:rPr>
          <w:color w:val="231F20"/>
          <w:spacing w:val="-18"/>
          <w:w w:val="105"/>
        </w:rPr>
        <w:t> </w:t>
      </w:r>
      <w:r>
        <w:rPr>
          <w:color w:val="231F20"/>
          <w:w w:val="105"/>
        </w:rPr>
        <w:t>cómo</w:t>
      </w:r>
      <w:r>
        <w:rPr>
          <w:color w:val="231F20"/>
          <w:spacing w:val="-18"/>
          <w:w w:val="105"/>
        </w:rPr>
        <w:t> </w:t>
      </w:r>
      <w:r>
        <w:rPr>
          <w:color w:val="231F20"/>
          <w:w w:val="105"/>
        </w:rPr>
        <w:t>algunas</w:t>
      </w:r>
      <w:r>
        <w:rPr>
          <w:color w:val="231F20"/>
          <w:spacing w:val="-18"/>
          <w:w w:val="105"/>
        </w:rPr>
        <w:t> </w:t>
      </w:r>
      <w:r>
        <w:rPr>
          <w:color w:val="231F20"/>
          <w:w w:val="105"/>
        </w:rPr>
        <w:t>regio- nes presentan círculos virtuosos de crecimiento mientras que otras se quedan</w:t>
      </w:r>
      <w:r>
        <w:rPr>
          <w:color w:val="231F20"/>
          <w:spacing w:val="-9"/>
          <w:w w:val="105"/>
        </w:rPr>
        <w:t> </w:t>
      </w:r>
      <w:r>
        <w:rPr>
          <w:color w:val="231F20"/>
          <w:w w:val="105"/>
        </w:rPr>
        <w:t>rezagadas</w:t>
      </w:r>
      <w:r>
        <w:rPr>
          <w:color w:val="231F20"/>
          <w:spacing w:val="-9"/>
          <w:w w:val="105"/>
        </w:rPr>
        <w:t> </w:t>
      </w:r>
      <w:r>
        <w:rPr>
          <w:color w:val="231F20"/>
          <w:w w:val="105"/>
        </w:rPr>
        <w:t>y</w:t>
      </w:r>
      <w:r>
        <w:rPr>
          <w:color w:val="231F20"/>
          <w:spacing w:val="-9"/>
          <w:w w:val="105"/>
        </w:rPr>
        <w:t> </w:t>
      </w:r>
      <w:r>
        <w:rPr>
          <w:color w:val="231F20"/>
          <w:w w:val="105"/>
        </w:rPr>
        <w:t>anegadas</w:t>
      </w:r>
      <w:r>
        <w:rPr>
          <w:color w:val="231F20"/>
          <w:spacing w:val="-9"/>
          <w:w w:val="105"/>
        </w:rPr>
        <w:t> </w:t>
      </w:r>
      <w:r>
        <w:rPr>
          <w:color w:val="231F20"/>
          <w:w w:val="105"/>
        </w:rPr>
        <w:t>en</w:t>
      </w:r>
      <w:r>
        <w:rPr>
          <w:color w:val="231F20"/>
          <w:spacing w:val="-9"/>
          <w:w w:val="105"/>
        </w:rPr>
        <w:t> </w:t>
      </w:r>
      <w:r>
        <w:rPr>
          <w:color w:val="231F20"/>
          <w:w w:val="105"/>
        </w:rPr>
        <w:t>círculos</w:t>
      </w:r>
      <w:r>
        <w:rPr>
          <w:color w:val="231F20"/>
          <w:spacing w:val="-9"/>
          <w:w w:val="105"/>
        </w:rPr>
        <w:t> </w:t>
      </w:r>
      <w:r>
        <w:rPr>
          <w:color w:val="231F20"/>
          <w:w w:val="105"/>
        </w:rPr>
        <w:t>viciosos,</w:t>
      </w:r>
      <w:r>
        <w:rPr>
          <w:color w:val="231F20"/>
          <w:spacing w:val="-14"/>
          <w:w w:val="105"/>
        </w:rPr>
        <w:t> </w:t>
      </w:r>
      <w:r>
        <w:rPr>
          <w:color w:val="231F20"/>
          <w:w w:val="105"/>
        </w:rPr>
        <w:t>agravando</w:t>
      </w:r>
      <w:r>
        <w:rPr>
          <w:color w:val="231F20"/>
          <w:spacing w:val="-9"/>
          <w:w w:val="105"/>
        </w:rPr>
        <w:t> </w:t>
      </w:r>
      <w:r>
        <w:rPr>
          <w:color w:val="231F20"/>
          <w:w w:val="105"/>
        </w:rPr>
        <w:t>las</w:t>
      </w:r>
      <w:r>
        <w:rPr>
          <w:color w:val="231F20"/>
          <w:spacing w:val="-9"/>
          <w:w w:val="105"/>
        </w:rPr>
        <w:t> </w:t>
      </w:r>
      <w:r>
        <w:rPr>
          <w:color w:val="231F20"/>
          <w:w w:val="105"/>
        </w:rPr>
        <w:t>dife- rencias</w:t>
      </w:r>
      <w:r>
        <w:rPr>
          <w:color w:val="231F20"/>
          <w:spacing w:val="-21"/>
          <w:w w:val="105"/>
        </w:rPr>
        <w:t> </w:t>
      </w:r>
      <w:r>
        <w:rPr>
          <w:color w:val="231F20"/>
          <w:w w:val="105"/>
        </w:rPr>
        <w:t>de</w:t>
      </w:r>
      <w:r>
        <w:rPr>
          <w:color w:val="231F20"/>
          <w:spacing w:val="-21"/>
          <w:w w:val="105"/>
        </w:rPr>
        <w:t> </w:t>
      </w:r>
      <w:r>
        <w:rPr>
          <w:color w:val="231F20"/>
          <w:w w:val="105"/>
        </w:rPr>
        <w:t>ingreso</w:t>
      </w:r>
      <w:r>
        <w:rPr>
          <w:color w:val="231F20"/>
          <w:spacing w:val="-21"/>
          <w:w w:val="105"/>
        </w:rPr>
        <w:t> </w:t>
      </w:r>
      <w:r>
        <w:rPr>
          <w:color w:val="231F20"/>
          <w:w w:val="105"/>
        </w:rPr>
        <w:t>y</w:t>
      </w:r>
      <w:r>
        <w:rPr>
          <w:color w:val="231F20"/>
          <w:spacing w:val="-21"/>
          <w:w w:val="105"/>
        </w:rPr>
        <w:t> </w:t>
      </w:r>
      <w:r>
        <w:rPr>
          <w:color w:val="231F20"/>
          <w:w w:val="105"/>
        </w:rPr>
        <w:t>desarrollo.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1"/>
        <w:jc w:val="both"/>
      </w:pPr>
      <w:r>
        <w:rPr>
          <w:color w:val="231F20"/>
          <w:w w:val="105"/>
        </w:rPr>
        <w:t>Las desigualdades regionales se han agudizado en el mundo y la bús- queda</w:t>
      </w:r>
      <w:r>
        <w:rPr>
          <w:color w:val="231F20"/>
          <w:spacing w:val="-16"/>
          <w:w w:val="105"/>
        </w:rPr>
        <w:t> </w:t>
      </w:r>
      <w:r>
        <w:rPr>
          <w:color w:val="231F20"/>
          <w:w w:val="105"/>
        </w:rPr>
        <w:t>de</w:t>
      </w:r>
      <w:r>
        <w:rPr>
          <w:color w:val="231F20"/>
          <w:spacing w:val="-16"/>
          <w:w w:val="105"/>
        </w:rPr>
        <w:t> </w:t>
      </w:r>
      <w:r>
        <w:rPr>
          <w:color w:val="231F20"/>
          <w:w w:val="105"/>
        </w:rPr>
        <w:t>estrategias</w:t>
      </w:r>
      <w:r>
        <w:rPr>
          <w:color w:val="231F20"/>
          <w:spacing w:val="-16"/>
          <w:w w:val="105"/>
        </w:rPr>
        <w:t> </w:t>
      </w:r>
      <w:r>
        <w:rPr>
          <w:color w:val="231F20"/>
          <w:w w:val="105"/>
        </w:rPr>
        <w:t>para</w:t>
      </w:r>
      <w:r>
        <w:rPr>
          <w:color w:val="231F20"/>
          <w:spacing w:val="-16"/>
          <w:w w:val="105"/>
        </w:rPr>
        <w:t> </w:t>
      </w:r>
      <w:r>
        <w:rPr>
          <w:color w:val="231F20"/>
          <w:w w:val="105"/>
        </w:rPr>
        <w:t>aminorar</w:t>
      </w:r>
      <w:r>
        <w:rPr>
          <w:color w:val="231F20"/>
          <w:spacing w:val="-16"/>
          <w:w w:val="105"/>
        </w:rPr>
        <w:t> </w:t>
      </w:r>
      <w:r>
        <w:rPr>
          <w:color w:val="231F20"/>
          <w:w w:val="105"/>
        </w:rPr>
        <w:t>este</w:t>
      </w:r>
      <w:r>
        <w:rPr>
          <w:color w:val="231F20"/>
          <w:spacing w:val="-16"/>
          <w:w w:val="105"/>
        </w:rPr>
        <w:t> </w:t>
      </w:r>
      <w:r>
        <w:rPr>
          <w:color w:val="231F20"/>
          <w:w w:val="105"/>
        </w:rPr>
        <w:t>problema</w:t>
      </w:r>
      <w:r>
        <w:rPr>
          <w:color w:val="231F20"/>
          <w:spacing w:val="-16"/>
          <w:w w:val="105"/>
        </w:rPr>
        <w:t> </w:t>
      </w:r>
      <w:r>
        <w:rPr>
          <w:color w:val="231F20"/>
          <w:w w:val="105"/>
        </w:rPr>
        <w:t>está</w:t>
      </w:r>
      <w:r>
        <w:rPr>
          <w:color w:val="231F20"/>
          <w:spacing w:val="-16"/>
          <w:w w:val="105"/>
        </w:rPr>
        <w:t> </w:t>
      </w:r>
      <w:r>
        <w:rPr>
          <w:color w:val="231F20"/>
          <w:w w:val="105"/>
        </w:rPr>
        <w:t>enfocada</w:t>
      </w:r>
      <w:r>
        <w:rPr>
          <w:color w:val="231F20"/>
          <w:spacing w:val="-16"/>
          <w:w w:val="105"/>
        </w:rPr>
        <w:t> </w:t>
      </w:r>
      <w:r>
        <w:rPr>
          <w:color w:val="231F20"/>
          <w:w w:val="105"/>
        </w:rPr>
        <w:t>a</w:t>
      </w:r>
      <w:r>
        <w:rPr>
          <w:color w:val="231F20"/>
          <w:spacing w:val="-16"/>
          <w:w w:val="105"/>
        </w:rPr>
        <w:t> </w:t>
      </w:r>
      <w:r>
        <w:rPr>
          <w:color w:val="231F20"/>
          <w:w w:val="105"/>
        </w:rPr>
        <w:t>ace- lerar</w:t>
      </w:r>
      <w:r>
        <w:rPr>
          <w:color w:val="231F20"/>
          <w:spacing w:val="-17"/>
          <w:w w:val="105"/>
        </w:rPr>
        <w:t> </w:t>
      </w:r>
      <w:r>
        <w:rPr>
          <w:color w:val="231F20"/>
          <w:w w:val="105"/>
        </w:rPr>
        <w:t>el</w:t>
      </w:r>
      <w:r>
        <w:rPr>
          <w:color w:val="231F20"/>
          <w:spacing w:val="-17"/>
          <w:w w:val="105"/>
        </w:rPr>
        <w:t> </w:t>
      </w:r>
      <w:r>
        <w:rPr>
          <w:color w:val="231F20"/>
          <w:w w:val="105"/>
        </w:rPr>
        <w:t>crecimiento</w:t>
      </w:r>
      <w:r>
        <w:rPr>
          <w:color w:val="231F20"/>
          <w:spacing w:val="-17"/>
          <w:w w:val="105"/>
        </w:rPr>
        <w:t> </w:t>
      </w:r>
      <w:r>
        <w:rPr>
          <w:color w:val="231F20"/>
          <w:w w:val="105"/>
        </w:rPr>
        <w:t>económico</w:t>
      </w:r>
      <w:r>
        <w:rPr>
          <w:color w:val="231F20"/>
          <w:spacing w:val="-17"/>
          <w:w w:val="105"/>
        </w:rPr>
        <w:t> </w:t>
      </w:r>
      <w:r>
        <w:rPr>
          <w:color w:val="231F20"/>
          <w:w w:val="105"/>
        </w:rPr>
        <w:t>y</w:t>
      </w:r>
      <w:r>
        <w:rPr>
          <w:color w:val="231F20"/>
          <w:spacing w:val="-17"/>
          <w:w w:val="105"/>
        </w:rPr>
        <w:t> </w:t>
      </w:r>
      <w:r>
        <w:rPr>
          <w:color w:val="231F20"/>
          <w:w w:val="105"/>
        </w:rPr>
        <w:t>reducir</w:t>
      </w:r>
      <w:r>
        <w:rPr>
          <w:color w:val="231F20"/>
          <w:spacing w:val="-17"/>
          <w:w w:val="105"/>
        </w:rPr>
        <w:t> </w:t>
      </w:r>
      <w:r>
        <w:rPr>
          <w:color w:val="231F20"/>
          <w:w w:val="105"/>
        </w:rPr>
        <w:t>los</w:t>
      </w:r>
      <w:r>
        <w:rPr>
          <w:color w:val="231F20"/>
          <w:spacing w:val="-17"/>
          <w:w w:val="105"/>
        </w:rPr>
        <w:t> </w:t>
      </w:r>
      <w:r>
        <w:rPr>
          <w:color w:val="231F20"/>
          <w:w w:val="105"/>
        </w:rPr>
        <w:t>desequilibrios.</w:t>
      </w:r>
      <w:r>
        <w:rPr>
          <w:color w:val="231F20"/>
          <w:spacing w:val="-23"/>
          <w:w w:val="105"/>
        </w:rPr>
        <w:t> </w:t>
      </w:r>
      <w:r>
        <w:rPr>
          <w:color w:val="231F20"/>
          <w:w w:val="105"/>
        </w:rPr>
        <w:t>Éstos</w:t>
      </w:r>
      <w:r>
        <w:rPr>
          <w:color w:val="231F20"/>
          <w:spacing w:val="-17"/>
          <w:w w:val="105"/>
        </w:rPr>
        <w:t> </w:t>
      </w:r>
      <w:r>
        <w:rPr>
          <w:color w:val="231F20"/>
          <w:w w:val="105"/>
        </w:rPr>
        <w:t>son</w:t>
      </w:r>
      <w:r>
        <w:rPr>
          <w:color w:val="231F20"/>
          <w:spacing w:val="-17"/>
          <w:w w:val="105"/>
        </w:rPr>
        <w:t> </w:t>
      </w:r>
      <w:r>
        <w:rPr>
          <w:color w:val="231F20"/>
          <w:w w:val="105"/>
        </w:rPr>
        <w:t>los retos</w:t>
      </w:r>
      <w:r>
        <w:rPr>
          <w:color w:val="231F20"/>
          <w:spacing w:val="-7"/>
          <w:w w:val="105"/>
        </w:rPr>
        <w:t> </w:t>
      </w:r>
      <w:r>
        <w:rPr>
          <w:color w:val="231F20"/>
          <w:w w:val="105"/>
        </w:rPr>
        <w:t>principales</w:t>
      </w:r>
      <w:r>
        <w:rPr>
          <w:color w:val="231F20"/>
          <w:spacing w:val="-7"/>
          <w:w w:val="105"/>
        </w:rPr>
        <w:t> </w:t>
      </w:r>
      <w:r>
        <w:rPr>
          <w:color w:val="231F20"/>
          <w:w w:val="105"/>
        </w:rPr>
        <w:t>a</w:t>
      </w:r>
      <w:r>
        <w:rPr>
          <w:color w:val="231F20"/>
          <w:spacing w:val="-7"/>
          <w:w w:val="105"/>
        </w:rPr>
        <w:t> </w:t>
      </w:r>
      <w:r>
        <w:rPr>
          <w:color w:val="231F20"/>
          <w:w w:val="105"/>
        </w:rPr>
        <w:t>enfrentar</w:t>
      </w:r>
      <w:r>
        <w:rPr>
          <w:color w:val="231F20"/>
          <w:spacing w:val="-7"/>
          <w:w w:val="105"/>
        </w:rPr>
        <w:t> </w:t>
      </w:r>
      <w:r>
        <w:rPr>
          <w:color w:val="231F20"/>
          <w:w w:val="105"/>
        </w:rPr>
        <w:t>por</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todos</w:t>
      </w:r>
      <w:r>
        <w:rPr>
          <w:color w:val="231F20"/>
          <w:spacing w:val="-7"/>
          <w:w w:val="105"/>
        </w:rPr>
        <w:t> </w:t>
      </w:r>
      <w:r>
        <w:rPr>
          <w:color w:val="231F20"/>
          <w:w w:val="105"/>
        </w:rPr>
        <w:t>los</w:t>
      </w:r>
      <w:r>
        <w:rPr>
          <w:color w:val="231F20"/>
          <w:spacing w:val="-7"/>
          <w:w w:val="105"/>
        </w:rPr>
        <w:t> </w:t>
      </w:r>
      <w:r>
        <w:rPr>
          <w:color w:val="231F20"/>
          <w:w w:val="105"/>
        </w:rPr>
        <w:t>actores</w:t>
      </w:r>
      <w:r>
        <w:rPr>
          <w:color w:val="231F20"/>
          <w:spacing w:val="-7"/>
          <w:w w:val="105"/>
        </w:rPr>
        <w:t> </w:t>
      </w:r>
      <w:r>
        <w:rPr>
          <w:color w:val="231F20"/>
          <w:w w:val="105"/>
        </w:rPr>
        <w:t>que</w:t>
      </w:r>
      <w:r>
        <w:rPr>
          <w:color w:val="231F20"/>
          <w:spacing w:val="-7"/>
          <w:w w:val="105"/>
        </w:rPr>
        <w:t> </w:t>
      </w:r>
      <w:r>
        <w:rPr>
          <w:color w:val="231F20"/>
          <w:w w:val="105"/>
        </w:rPr>
        <w:t>intervie- nen</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economía.</w:t>
      </w:r>
      <w:r>
        <w:rPr>
          <w:color w:val="231F20"/>
          <w:spacing w:val="-9"/>
          <w:w w:val="105"/>
        </w:rPr>
        <w:t> </w:t>
      </w:r>
      <w:r>
        <w:rPr>
          <w:color w:val="231F20"/>
          <w:w w:val="105"/>
        </w:rPr>
        <w:t>Entonces,</w:t>
      </w:r>
      <w:r>
        <w:rPr>
          <w:color w:val="231F20"/>
          <w:spacing w:val="-9"/>
          <w:w w:val="105"/>
        </w:rPr>
        <w:t> </w:t>
      </w:r>
      <w:r>
        <w:rPr>
          <w:color w:val="231F20"/>
          <w:w w:val="105"/>
        </w:rPr>
        <w:t>es</w:t>
      </w:r>
      <w:r>
        <w:rPr>
          <w:color w:val="231F20"/>
          <w:spacing w:val="-5"/>
          <w:w w:val="105"/>
        </w:rPr>
        <w:t> </w:t>
      </w:r>
      <w:r>
        <w:rPr>
          <w:color w:val="231F20"/>
          <w:w w:val="105"/>
        </w:rPr>
        <w:t>necesaria</w:t>
      </w:r>
      <w:r>
        <w:rPr>
          <w:color w:val="231F20"/>
          <w:spacing w:val="-5"/>
          <w:w w:val="105"/>
        </w:rPr>
        <w:t> </w:t>
      </w:r>
      <w:r>
        <w:rPr>
          <w:color w:val="231F20"/>
          <w:w w:val="105"/>
        </w:rPr>
        <w:t>la</w:t>
      </w:r>
      <w:r>
        <w:rPr>
          <w:color w:val="231F20"/>
          <w:spacing w:val="-5"/>
          <w:w w:val="105"/>
        </w:rPr>
        <w:t> </w:t>
      </w:r>
      <w:r>
        <w:rPr>
          <w:color w:val="231F20"/>
          <w:w w:val="105"/>
        </w:rPr>
        <w:t>elaboración</w:t>
      </w:r>
      <w:r>
        <w:rPr>
          <w:color w:val="231F20"/>
          <w:spacing w:val="-5"/>
          <w:w w:val="105"/>
        </w:rPr>
        <w:t> </w:t>
      </w:r>
      <w:r>
        <w:rPr>
          <w:color w:val="231F20"/>
          <w:w w:val="105"/>
        </w:rPr>
        <w:t>de</w:t>
      </w:r>
      <w:r>
        <w:rPr>
          <w:color w:val="231F20"/>
          <w:spacing w:val="-5"/>
          <w:w w:val="105"/>
        </w:rPr>
        <w:t> </w:t>
      </w:r>
      <w:r>
        <w:rPr>
          <w:color w:val="231F20"/>
          <w:w w:val="105"/>
        </w:rPr>
        <w:t>políticas públicas</w:t>
      </w:r>
      <w:r>
        <w:rPr>
          <w:color w:val="231F20"/>
          <w:spacing w:val="-34"/>
          <w:w w:val="105"/>
        </w:rPr>
        <w:t> </w:t>
      </w:r>
      <w:r>
        <w:rPr>
          <w:color w:val="231F20"/>
          <w:w w:val="105"/>
        </w:rPr>
        <w:t>orientadas</w:t>
      </w:r>
      <w:r>
        <w:rPr>
          <w:color w:val="231F20"/>
          <w:spacing w:val="-34"/>
          <w:w w:val="105"/>
        </w:rPr>
        <w:t> </w:t>
      </w:r>
      <w:r>
        <w:rPr>
          <w:color w:val="231F20"/>
          <w:w w:val="105"/>
        </w:rPr>
        <w:t>a</w:t>
      </w:r>
      <w:r>
        <w:rPr>
          <w:color w:val="231F20"/>
          <w:spacing w:val="-34"/>
          <w:w w:val="105"/>
        </w:rPr>
        <w:t> </w:t>
      </w:r>
      <w:r>
        <w:rPr>
          <w:color w:val="231F20"/>
          <w:w w:val="105"/>
        </w:rPr>
        <w:t>impulsar</w:t>
      </w:r>
      <w:r>
        <w:rPr>
          <w:color w:val="231F20"/>
          <w:spacing w:val="-34"/>
          <w:w w:val="105"/>
        </w:rPr>
        <w:t> </w:t>
      </w:r>
      <w:r>
        <w:rPr>
          <w:color w:val="231F20"/>
          <w:w w:val="105"/>
        </w:rPr>
        <w:t>el</w:t>
      </w:r>
      <w:r>
        <w:rPr>
          <w:color w:val="231F20"/>
          <w:spacing w:val="-34"/>
          <w:w w:val="105"/>
        </w:rPr>
        <w:t> </w:t>
      </w:r>
      <w:r>
        <w:rPr>
          <w:color w:val="231F20"/>
          <w:w w:val="105"/>
        </w:rPr>
        <w:t>desarrollo</w:t>
      </w:r>
      <w:r>
        <w:rPr>
          <w:color w:val="231F20"/>
          <w:spacing w:val="-34"/>
          <w:w w:val="105"/>
        </w:rPr>
        <w:t> </w:t>
      </w:r>
      <w:r>
        <w:rPr>
          <w:color w:val="231F20"/>
          <w:w w:val="105"/>
        </w:rPr>
        <w:t>de</w:t>
      </w:r>
      <w:r>
        <w:rPr>
          <w:color w:val="231F20"/>
          <w:spacing w:val="-34"/>
          <w:w w:val="105"/>
        </w:rPr>
        <w:t> </w:t>
      </w:r>
      <w:r>
        <w:rPr>
          <w:color w:val="231F20"/>
          <w:w w:val="105"/>
        </w:rPr>
        <w:t>las</w:t>
      </w:r>
      <w:r>
        <w:rPr>
          <w:color w:val="231F20"/>
          <w:spacing w:val="-34"/>
          <w:w w:val="105"/>
        </w:rPr>
        <w:t> </w:t>
      </w:r>
      <w:r>
        <w:rPr>
          <w:color w:val="231F20"/>
          <w:w w:val="105"/>
        </w:rPr>
        <w:t>zonas</w:t>
      </w:r>
      <w:r>
        <w:rPr>
          <w:color w:val="231F20"/>
          <w:spacing w:val="-34"/>
          <w:w w:val="105"/>
        </w:rPr>
        <w:t> </w:t>
      </w:r>
      <w:r>
        <w:rPr>
          <w:color w:val="231F20"/>
          <w:w w:val="105"/>
        </w:rPr>
        <w:t>más</w:t>
      </w:r>
      <w:r>
        <w:rPr>
          <w:color w:val="231F20"/>
          <w:spacing w:val="-34"/>
          <w:w w:val="105"/>
        </w:rPr>
        <w:t> </w:t>
      </w:r>
      <w:r>
        <w:rPr>
          <w:color w:val="231F20"/>
          <w:w w:val="105"/>
        </w:rPr>
        <w:t>rezagadas</w:t>
      </w:r>
      <w:r>
        <w:rPr>
          <w:color w:val="231F20"/>
          <w:spacing w:val="-34"/>
          <w:w w:val="105"/>
        </w:rPr>
        <w:t> </w:t>
      </w:r>
      <w:r>
        <w:rPr>
          <w:color w:val="231F20"/>
          <w:w w:val="105"/>
        </w:rPr>
        <w:t>y</w:t>
      </w:r>
    </w:p>
    <w:p>
      <w:pPr>
        <w:spacing w:after="0" w:line="259" w:lineRule="auto"/>
        <w:jc w:val="both"/>
        <w:sectPr>
          <w:pgSz w:w="9640" w:h="13890"/>
          <w:pgMar w:top="1300" w:bottom="280" w:left="1300" w:right="1180"/>
        </w:sectPr>
      </w:pPr>
    </w:p>
    <w:p>
      <w:pPr>
        <w:pStyle w:val="BodyText"/>
        <w:spacing w:line="259" w:lineRule="auto" w:before="92"/>
        <w:ind w:left="103" w:right="115"/>
        <w:jc w:val="both"/>
      </w:pPr>
      <w:r>
        <w:rPr>
          <w:color w:val="231F20"/>
          <w:w w:val="105"/>
        </w:rPr>
        <w:t>lograr</w:t>
      </w:r>
      <w:r>
        <w:rPr>
          <w:color w:val="231F20"/>
          <w:spacing w:val="-17"/>
          <w:w w:val="105"/>
        </w:rPr>
        <w:t> </w:t>
      </w:r>
      <w:r>
        <w:rPr>
          <w:color w:val="231F20"/>
          <w:w w:val="105"/>
        </w:rPr>
        <w:t>las</w:t>
      </w:r>
      <w:r>
        <w:rPr>
          <w:color w:val="231F20"/>
          <w:spacing w:val="-17"/>
          <w:w w:val="105"/>
        </w:rPr>
        <w:t> </w:t>
      </w:r>
      <w:r>
        <w:rPr>
          <w:color w:val="231F20"/>
          <w:w w:val="105"/>
        </w:rPr>
        <w:t>condiciones</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estado</w:t>
      </w:r>
      <w:r>
        <w:rPr>
          <w:color w:val="231F20"/>
          <w:spacing w:val="-17"/>
          <w:w w:val="105"/>
        </w:rPr>
        <w:t> </w:t>
      </w:r>
      <w:r>
        <w:rPr>
          <w:color w:val="231F20"/>
          <w:w w:val="105"/>
        </w:rPr>
        <w:t>más</w:t>
      </w:r>
      <w:r>
        <w:rPr>
          <w:color w:val="231F20"/>
          <w:spacing w:val="-17"/>
          <w:w w:val="105"/>
        </w:rPr>
        <w:t> </w:t>
      </w:r>
      <w:r>
        <w:rPr>
          <w:color w:val="231F20"/>
          <w:w w:val="105"/>
        </w:rPr>
        <w:t>homogéneo.</w:t>
      </w:r>
      <w:r>
        <w:rPr>
          <w:color w:val="231F20"/>
          <w:spacing w:val="-22"/>
          <w:w w:val="105"/>
        </w:rPr>
        <w:t> </w:t>
      </w:r>
      <w:r>
        <w:rPr>
          <w:color w:val="231F20"/>
          <w:spacing w:val="-4"/>
          <w:w w:val="105"/>
        </w:rPr>
        <w:t>Para</w:t>
      </w:r>
      <w:r>
        <w:rPr>
          <w:color w:val="231F20"/>
          <w:spacing w:val="-17"/>
          <w:w w:val="105"/>
        </w:rPr>
        <w:t> </w:t>
      </w:r>
      <w:r>
        <w:rPr>
          <w:color w:val="231F20"/>
          <w:w w:val="105"/>
        </w:rPr>
        <w:t>construir</w:t>
      </w:r>
      <w:r>
        <w:rPr>
          <w:color w:val="231F20"/>
          <w:spacing w:val="-17"/>
          <w:w w:val="105"/>
        </w:rPr>
        <w:t> </w:t>
      </w:r>
      <w:r>
        <w:rPr>
          <w:color w:val="231F20"/>
          <w:w w:val="105"/>
        </w:rPr>
        <w:t>una aportación</w:t>
      </w:r>
      <w:r>
        <w:rPr>
          <w:color w:val="231F20"/>
          <w:spacing w:val="-4"/>
          <w:w w:val="105"/>
        </w:rPr>
        <w:t> </w:t>
      </w:r>
      <w:r>
        <w:rPr>
          <w:color w:val="231F20"/>
          <w:w w:val="105"/>
        </w:rPr>
        <w:t>al</w:t>
      </w:r>
      <w:r>
        <w:rPr>
          <w:color w:val="231F20"/>
          <w:spacing w:val="-4"/>
          <w:w w:val="105"/>
        </w:rPr>
        <w:t> </w:t>
      </w:r>
      <w:r>
        <w:rPr>
          <w:color w:val="231F20"/>
          <w:w w:val="105"/>
        </w:rPr>
        <w:t>respecto,</w:t>
      </w:r>
      <w:r>
        <w:rPr>
          <w:color w:val="231F20"/>
          <w:spacing w:val="-10"/>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capítulo</w:t>
      </w:r>
      <w:r>
        <w:rPr>
          <w:color w:val="231F20"/>
          <w:spacing w:val="-4"/>
          <w:w w:val="105"/>
        </w:rPr>
        <w:t> </w:t>
      </w:r>
      <w:r>
        <w:rPr>
          <w:color w:val="231F20"/>
          <w:w w:val="105"/>
        </w:rPr>
        <w:t>se</w:t>
      </w:r>
      <w:r>
        <w:rPr>
          <w:color w:val="231F20"/>
          <w:spacing w:val="-4"/>
          <w:w w:val="105"/>
        </w:rPr>
        <w:t> </w:t>
      </w:r>
      <w:r>
        <w:rPr>
          <w:color w:val="231F20"/>
          <w:w w:val="105"/>
        </w:rPr>
        <w:t>presenta</w:t>
      </w:r>
      <w:r>
        <w:rPr>
          <w:color w:val="231F20"/>
          <w:spacing w:val="-4"/>
          <w:w w:val="105"/>
        </w:rPr>
        <w:t> </w:t>
      </w:r>
      <w:r>
        <w:rPr>
          <w:color w:val="231F20"/>
          <w:w w:val="105"/>
        </w:rPr>
        <w:t>una</w:t>
      </w:r>
      <w:r>
        <w:rPr>
          <w:color w:val="231F20"/>
          <w:spacing w:val="-4"/>
          <w:w w:val="105"/>
        </w:rPr>
        <w:t> </w:t>
      </w:r>
      <w:r>
        <w:rPr>
          <w:color w:val="231F20"/>
          <w:w w:val="105"/>
        </w:rPr>
        <w:t>revisión</w:t>
      </w:r>
      <w:r>
        <w:rPr>
          <w:color w:val="231F20"/>
          <w:spacing w:val="-4"/>
          <w:w w:val="105"/>
        </w:rPr>
        <w:t> </w:t>
      </w:r>
      <w:r>
        <w:rPr>
          <w:color w:val="231F20"/>
          <w:w w:val="105"/>
        </w:rPr>
        <w:t>de</w:t>
      </w:r>
      <w:r>
        <w:rPr>
          <w:color w:val="231F20"/>
          <w:spacing w:val="-4"/>
          <w:w w:val="105"/>
        </w:rPr>
        <w:t> </w:t>
      </w:r>
      <w:r>
        <w:rPr>
          <w:color w:val="231F20"/>
          <w:w w:val="105"/>
        </w:rPr>
        <w:t>las teorías</w:t>
      </w:r>
      <w:r>
        <w:rPr>
          <w:color w:val="231F20"/>
          <w:spacing w:val="-16"/>
          <w:w w:val="105"/>
        </w:rPr>
        <w:t> </w:t>
      </w:r>
      <w:r>
        <w:rPr>
          <w:color w:val="231F20"/>
          <w:w w:val="105"/>
        </w:rPr>
        <w:t>del</w:t>
      </w:r>
      <w:r>
        <w:rPr>
          <w:color w:val="231F20"/>
          <w:spacing w:val="-16"/>
          <w:w w:val="105"/>
        </w:rPr>
        <w:t> </w:t>
      </w:r>
      <w:r>
        <w:rPr>
          <w:color w:val="231F20"/>
          <w:w w:val="105"/>
        </w:rPr>
        <w:t>crecimiento</w:t>
      </w:r>
      <w:r>
        <w:rPr>
          <w:color w:val="231F20"/>
          <w:spacing w:val="-16"/>
          <w:w w:val="105"/>
        </w:rPr>
        <w:t> </w:t>
      </w:r>
      <w:r>
        <w:rPr>
          <w:color w:val="231F20"/>
          <w:w w:val="105"/>
        </w:rPr>
        <w:t>económico</w:t>
      </w:r>
      <w:r>
        <w:rPr>
          <w:color w:val="231F20"/>
          <w:spacing w:val="-16"/>
          <w:w w:val="105"/>
        </w:rPr>
        <w:t> </w:t>
      </w:r>
      <w:r>
        <w:rPr>
          <w:color w:val="231F20"/>
          <w:w w:val="105"/>
        </w:rPr>
        <w:t>regional,</w:t>
      </w:r>
      <w:r>
        <w:rPr>
          <w:color w:val="231F20"/>
          <w:spacing w:val="-23"/>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finalidad</w:t>
      </w:r>
      <w:r>
        <w:rPr>
          <w:color w:val="231F20"/>
          <w:spacing w:val="-16"/>
          <w:w w:val="105"/>
        </w:rPr>
        <w:t> </w:t>
      </w:r>
      <w:r>
        <w:rPr>
          <w:color w:val="231F20"/>
          <w:w w:val="105"/>
        </w:rPr>
        <w:t>de</w:t>
      </w:r>
      <w:r>
        <w:rPr>
          <w:color w:val="231F20"/>
          <w:spacing w:val="-16"/>
          <w:w w:val="105"/>
        </w:rPr>
        <w:t> </w:t>
      </w:r>
      <w:r>
        <w:rPr>
          <w:color w:val="231F20"/>
          <w:w w:val="105"/>
        </w:rPr>
        <w:t>sustentar el</w:t>
      </w:r>
      <w:r>
        <w:rPr>
          <w:color w:val="231F20"/>
          <w:spacing w:val="-10"/>
          <w:w w:val="105"/>
        </w:rPr>
        <w:t> </w:t>
      </w:r>
      <w:r>
        <w:rPr>
          <w:color w:val="231F20"/>
          <w:w w:val="105"/>
        </w:rPr>
        <w:t>estudio</w:t>
      </w:r>
      <w:r>
        <w:rPr>
          <w:color w:val="231F20"/>
          <w:spacing w:val="-10"/>
          <w:w w:val="105"/>
        </w:rPr>
        <w:t> </w:t>
      </w:r>
      <w:r>
        <w:rPr>
          <w:color w:val="231F20"/>
          <w:w w:val="105"/>
        </w:rPr>
        <w:t>del</w:t>
      </w:r>
      <w:r>
        <w:rPr>
          <w:color w:val="231F20"/>
          <w:spacing w:val="-10"/>
          <w:w w:val="105"/>
        </w:rPr>
        <w:t> </w:t>
      </w:r>
      <w:r>
        <w:rPr>
          <w:color w:val="231F20"/>
          <w:w w:val="105"/>
        </w:rPr>
        <w:t>crecimiento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regiones.</w:t>
      </w:r>
    </w:p>
    <w:p>
      <w:pPr>
        <w:pStyle w:val="BodyText"/>
        <w:spacing w:line="259" w:lineRule="auto"/>
        <w:ind w:left="103" w:right="115" w:firstLine="567"/>
        <w:jc w:val="both"/>
      </w:pPr>
      <w:r>
        <w:rPr>
          <w:color w:val="231F20"/>
          <w:w w:val="105"/>
        </w:rPr>
        <w:t>De acuerdo con Capello (2007) hay dos grupos de teorías para abordar</w:t>
      </w:r>
      <w:r>
        <w:rPr>
          <w:color w:val="231F20"/>
          <w:spacing w:val="-16"/>
          <w:w w:val="105"/>
        </w:rPr>
        <w:t> </w:t>
      </w:r>
      <w:r>
        <w:rPr>
          <w:color w:val="231F20"/>
          <w:w w:val="105"/>
        </w:rPr>
        <w:t>la</w:t>
      </w:r>
      <w:r>
        <w:rPr>
          <w:color w:val="231F20"/>
          <w:spacing w:val="-16"/>
          <w:w w:val="105"/>
        </w:rPr>
        <w:t> </w:t>
      </w:r>
      <w:r>
        <w:rPr>
          <w:color w:val="231F20"/>
          <w:w w:val="105"/>
        </w:rPr>
        <w:t>economía</w:t>
      </w:r>
      <w:r>
        <w:rPr>
          <w:color w:val="231F20"/>
          <w:spacing w:val="-16"/>
          <w:w w:val="105"/>
        </w:rPr>
        <w:t> </w:t>
      </w:r>
      <w:r>
        <w:rPr>
          <w:color w:val="231F20"/>
          <w:w w:val="105"/>
        </w:rPr>
        <w:t>regional:</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teorías</w:t>
      </w:r>
      <w:r>
        <w:rPr>
          <w:color w:val="231F20"/>
          <w:spacing w:val="-16"/>
          <w:w w:val="105"/>
        </w:rPr>
        <w:t> </w:t>
      </w:r>
      <w:r>
        <w:rPr>
          <w:color w:val="231F20"/>
          <w:w w:val="105"/>
        </w:rPr>
        <w:t>de</w:t>
      </w:r>
      <w:r>
        <w:rPr>
          <w:color w:val="231F20"/>
          <w:spacing w:val="-16"/>
          <w:w w:val="105"/>
        </w:rPr>
        <w:t> </w:t>
      </w:r>
      <w:r>
        <w:rPr>
          <w:color w:val="231F20"/>
          <w:w w:val="105"/>
        </w:rPr>
        <w:t>localización</w:t>
      </w:r>
      <w:r>
        <w:rPr>
          <w:color w:val="231F20"/>
          <w:spacing w:val="-16"/>
          <w:w w:val="105"/>
        </w:rPr>
        <w:t> </w:t>
      </w:r>
      <w:r>
        <w:rPr>
          <w:color w:val="231F20"/>
          <w:w w:val="105"/>
        </w:rPr>
        <w:t>que</w:t>
      </w:r>
      <w:r>
        <w:rPr>
          <w:color w:val="231F20"/>
          <w:spacing w:val="-16"/>
          <w:w w:val="105"/>
        </w:rPr>
        <w:t> </w:t>
      </w:r>
      <w:r>
        <w:rPr>
          <w:color w:val="231F20"/>
          <w:w w:val="105"/>
        </w:rPr>
        <w:t>explican los</w:t>
      </w:r>
      <w:r>
        <w:rPr>
          <w:color w:val="231F20"/>
          <w:spacing w:val="-14"/>
          <w:w w:val="105"/>
        </w:rPr>
        <w:t> </w:t>
      </w:r>
      <w:r>
        <w:rPr>
          <w:color w:val="231F20"/>
          <w:w w:val="105"/>
        </w:rPr>
        <w:t>mecanismos</w:t>
      </w:r>
      <w:r>
        <w:rPr>
          <w:color w:val="231F20"/>
          <w:spacing w:val="-14"/>
          <w:w w:val="105"/>
        </w:rPr>
        <w:t> </w:t>
      </w:r>
      <w:r>
        <w:rPr>
          <w:color w:val="231F20"/>
          <w:w w:val="105"/>
        </w:rPr>
        <w:t>económicos</w:t>
      </w:r>
      <w:r>
        <w:rPr>
          <w:color w:val="231F20"/>
          <w:spacing w:val="-14"/>
          <w:w w:val="105"/>
        </w:rPr>
        <w:t> </w:t>
      </w:r>
      <w:r>
        <w:rPr>
          <w:color w:val="231F20"/>
          <w:w w:val="105"/>
        </w:rPr>
        <w:t>que</w:t>
      </w:r>
      <w:r>
        <w:rPr>
          <w:color w:val="231F20"/>
          <w:spacing w:val="-14"/>
          <w:w w:val="105"/>
        </w:rPr>
        <w:t> </w:t>
      </w:r>
      <w:r>
        <w:rPr>
          <w:color w:val="231F20"/>
          <w:w w:val="105"/>
        </w:rPr>
        <w:t>distribuyen</w:t>
      </w:r>
      <w:r>
        <w:rPr>
          <w:color w:val="231F20"/>
          <w:spacing w:val="-14"/>
          <w:w w:val="105"/>
        </w:rPr>
        <w:t> </w:t>
      </w:r>
      <w:r>
        <w:rPr>
          <w:color w:val="231F20"/>
          <w:w w:val="105"/>
        </w:rPr>
        <w:t>las</w:t>
      </w:r>
      <w:r>
        <w:rPr>
          <w:color w:val="231F20"/>
          <w:spacing w:val="-14"/>
          <w:w w:val="105"/>
        </w:rPr>
        <w:t> </w:t>
      </w:r>
      <w:r>
        <w:rPr>
          <w:color w:val="231F20"/>
          <w:w w:val="105"/>
        </w:rPr>
        <w:t>actividades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espa- cio,</w:t>
      </w:r>
      <w:r>
        <w:rPr>
          <w:color w:val="231F20"/>
          <w:spacing w:val="-24"/>
          <w:w w:val="105"/>
        </w:rPr>
        <w:t> </w:t>
      </w:r>
      <w:r>
        <w:rPr>
          <w:color w:val="231F20"/>
          <w:w w:val="105"/>
        </w:rPr>
        <w:t>y</w:t>
      </w:r>
      <w:r>
        <w:rPr>
          <w:color w:val="231F20"/>
          <w:spacing w:val="-18"/>
          <w:w w:val="105"/>
        </w:rPr>
        <w:t> </w:t>
      </w:r>
      <w:r>
        <w:rPr>
          <w:color w:val="231F20"/>
          <w:w w:val="105"/>
        </w:rPr>
        <w:t>b)</w:t>
      </w:r>
      <w:r>
        <w:rPr>
          <w:color w:val="231F20"/>
          <w:spacing w:val="-18"/>
          <w:w w:val="105"/>
        </w:rPr>
        <w:t> </w:t>
      </w:r>
      <w:r>
        <w:rPr>
          <w:color w:val="231F20"/>
          <w:w w:val="105"/>
        </w:rPr>
        <w:t>las</w:t>
      </w:r>
      <w:r>
        <w:rPr>
          <w:color w:val="231F20"/>
          <w:spacing w:val="-18"/>
          <w:w w:val="105"/>
        </w:rPr>
        <w:t> </w:t>
      </w:r>
      <w:r>
        <w:rPr>
          <w:color w:val="231F20"/>
          <w:w w:val="105"/>
        </w:rPr>
        <w:t>teorías</w:t>
      </w:r>
      <w:r>
        <w:rPr>
          <w:color w:val="231F20"/>
          <w:spacing w:val="-18"/>
          <w:w w:val="105"/>
        </w:rPr>
        <w:t> </w:t>
      </w:r>
      <w:r>
        <w:rPr>
          <w:color w:val="231F20"/>
          <w:w w:val="105"/>
        </w:rPr>
        <w:t>de</w:t>
      </w:r>
      <w:r>
        <w:rPr>
          <w:color w:val="231F20"/>
          <w:spacing w:val="-18"/>
          <w:w w:val="105"/>
        </w:rPr>
        <w:t> </w:t>
      </w:r>
      <w:r>
        <w:rPr>
          <w:color w:val="231F20"/>
          <w:w w:val="105"/>
        </w:rPr>
        <w:t>crecimiento</w:t>
      </w:r>
      <w:r>
        <w:rPr>
          <w:color w:val="231F20"/>
          <w:spacing w:val="-18"/>
          <w:w w:val="105"/>
        </w:rPr>
        <w:t> </w:t>
      </w:r>
      <w:r>
        <w:rPr>
          <w:color w:val="231F20"/>
          <w:w w:val="105"/>
        </w:rPr>
        <w:t>y</w:t>
      </w:r>
      <w:r>
        <w:rPr>
          <w:color w:val="231F20"/>
          <w:spacing w:val="-18"/>
          <w:w w:val="105"/>
        </w:rPr>
        <w:t> </w:t>
      </w:r>
      <w:r>
        <w:rPr>
          <w:color w:val="231F20"/>
          <w:w w:val="105"/>
        </w:rPr>
        <w:t>desarrollo.</w:t>
      </w:r>
    </w:p>
    <w:p>
      <w:pPr>
        <w:pStyle w:val="BodyText"/>
        <w:spacing w:line="259" w:lineRule="auto"/>
        <w:ind w:left="103" w:right="106" w:firstLine="567"/>
        <w:jc w:val="right"/>
      </w:pPr>
      <w:r>
        <w:rPr>
          <w:color w:val="231F20"/>
          <w:w w:val="105"/>
        </w:rPr>
        <w:t>Las teorías de la localización buscan explicar la</w:t>
      </w:r>
      <w:r>
        <w:rPr>
          <w:color w:val="231F20"/>
          <w:spacing w:val="16"/>
          <w:w w:val="105"/>
        </w:rPr>
        <w:t> </w:t>
      </w:r>
      <w:r>
        <w:rPr>
          <w:color w:val="231F20"/>
          <w:w w:val="105"/>
        </w:rPr>
        <w:t>distribución</w:t>
      </w:r>
      <w:r>
        <w:rPr>
          <w:color w:val="231F20"/>
          <w:spacing w:val="17"/>
          <w:w w:val="105"/>
        </w:rPr>
        <w:t> </w:t>
      </w:r>
      <w:r>
        <w:rPr>
          <w:color w:val="231F20"/>
          <w:w w:val="105"/>
        </w:rPr>
        <w:t>de</w:t>
      </w:r>
      <w:r>
        <w:rPr>
          <w:color w:val="231F20"/>
          <w:spacing w:val="-2"/>
          <w:w w:val="108"/>
        </w:rPr>
        <w:t> </w:t>
      </w:r>
      <w:r>
        <w:rPr>
          <w:color w:val="231F20"/>
          <w:w w:val="105"/>
        </w:rPr>
        <w:t>las actividades en el espacio, identificando los </w:t>
      </w:r>
      <w:r>
        <w:rPr>
          <w:color w:val="231F20"/>
          <w:spacing w:val="-3"/>
          <w:w w:val="105"/>
        </w:rPr>
        <w:t>factores </w:t>
      </w:r>
      <w:r>
        <w:rPr>
          <w:color w:val="231F20"/>
          <w:w w:val="105"/>
        </w:rPr>
        <w:t>que</w:t>
      </w:r>
      <w:r>
        <w:rPr>
          <w:color w:val="231F20"/>
          <w:spacing w:val="-27"/>
          <w:w w:val="105"/>
        </w:rPr>
        <w:t> </w:t>
      </w:r>
      <w:r>
        <w:rPr>
          <w:color w:val="231F20"/>
          <w:w w:val="105"/>
        </w:rPr>
        <w:t>influyen</w:t>
      </w:r>
      <w:r>
        <w:rPr>
          <w:color w:val="231F20"/>
          <w:spacing w:val="-3"/>
          <w:w w:val="105"/>
        </w:rPr>
        <w:t> </w:t>
      </w:r>
      <w:r>
        <w:rPr>
          <w:color w:val="231F20"/>
          <w:w w:val="105"/>
        </w:rPr>
        <w:t>en</w:t>
      </w:r>
      <w:r>
        <w:rPr>
          <w:color w:val="231F20"/>
          <w:spacing w:val="-2"/>
          <w:w w:val="103"/>
        </w:rPr>
        <w:t> </w:t>
      </w:r>
      <w:r>
        <w:rPr>
          <w:color w:val="231F20"/>
          <w:w w:val="105"/>
        </w:rPr>
        <w:t>las</w:t>
      </w:r>
      <w:r>
        <w:rPr>
          <w:color w:val="231F20"/>
          <w:spacing w:val="-20"/>
          <w:w w:val="105"/>
        </w:rPr>
        <w:t> </w:t>
      </w:r>
      <w:r>
        <w:rPr>
          <w:color w:val="231F20"/>
          <w:w w:val="105"/>
        </w:rPr>
        <w:t>elecciones</w:t>
      </w:r>
      <w:r>
        <w:rPr>
          <w:color w:val="231F20"/>
          <w:spacing w:val="-20"/>
          <w:w w:val="105"/>
        </w:rPr>
        <w:t> </w:t>
      </w:r>
      <w:r>
        <w:rPr>
          <w:color w:val="231F20"/>
          <w:w w:val="105"/>
        </w:rPr>
        <w:t>de</w:t>
      </w:r>
      <w:r>
        <w:rPr>
          <w:color w:val="231F20"/>
          <w:spacing w:val="-20"/>
          <w:w w:val="105"/>
        </w:rPr>
        <w:t> </w:t>
      </w:r>
      <w:r>
        <w:rPr>
          <w:color w:val="231F20"/>
          <w:w w:val="105"/>
        </w:rPr>
        <w:t>localización</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industrias,</w:t>
      </w:r>
      <w:r>
        <w:rPr>
          <w:color w:val="231F20"/>
          <w:spacing w:val="-24"/>
          <w:w w:val="105"/>
        </w:rPr>
        <w:t> </w:t>
      </w:r>
      <w:r>
        <w:rPr>
          <w:color w:val="231F20"/>
          <w:w w:val="105"/>
        </w:rPr>
        <w:t>tales</w:t>
      </w:r>
      <w:r>
        <w:rPr>
          <w:color w:val="231F20"/>
          <w:spacing w:val="-20"/>
          <w:w w:val="105"/>
        </w:rPr>
        <w:t> </w:t>
      </w:r>
      <w:r>
        <w:rPr>
          <w:color w:val="231F20"/>
          <w:w w:val="105"/>
        </w:rPr>
        <w:t>como</w:t>
      </w:r>
      <w:r>
        <w:rPr>
          <w:color w:val="231F20"/>
          <w:spacing w:val="-20"/>
          <w:w w:val="105"/>
        </w:rPr>
        <w:t> </w:t>
      </w:r>
      <w:r>
        <w:rPr>
          <w:color w:val="231F20"/>
          <w:w w:val="105"/>
        </w:rPr>
        <w:t>los</w:t>
      </w:r>
      <w:r>
        <w:rPr>
          <w:color w:val="231F20"/>
          <w:spacing w:val="-20"/>
          <w:w w:val="105"/>
        </w:rPr>
        <w:t> </w:t>
      </w:r>
      <w:r>
        <w:rPr>
          <w:color w:val="231F20"/>
          <w:w w:val="105"/>
        </w:rPr>
        <w:t>costos</w:t>
      </w:r>
      <w:r>
        <w:rPr>
          <w:color w:val="231F20"/>
          <w:spacing w:val="-20"/>
          <w:w w:val="105"/>
        </w:rPr>
        <w:t> </w:t>
      </w:r>
      <w:r>
        <w:rPr>
          <w:color w:val="231F20"/>
          <w:w w:val="105"/>
        </w:rPr>
        <w:t>de</w:t>
      </w:r>
      <w:r>
        <w:rPr>
          <w:color w:val="231F20"/>
          <w:spacing w:val="-2"/>
          <w:w w:val="108"/>
        </w:rPr>
        <w:t> </w:t>
      </w:r>
      <w:r>
        <w:rPr>
          <w:color w:val="231F20"/>
          <w:spacing w:val="-3"/>
          <w:w w:val="105"/>
        </w:rPr>
        <w:t>transporte</w:t>
      </w:r>
      <w:r>
        <w:rPr>
          <w:color w:val="231F20"/>
          <w:spacing w:val="-36"/>
          <w:w w:val="105"/>
        </w:rPr>
        <w:t> </w:t>
      </w:r>
      <w:r>
        <w:rPr>
          <w:color w:val="231F20"/>
          <w:w w:val="105"/>
        </w:rPr>
        <w:t>los</w:t>
      </w:r>
      <w:r>
        <w:rPr>
          <w:color w:val="231F20"/>
          <w:spacing w:val="-36"/>
          <w:w w:val="105"/>
        </w:rPr>
        <w:t> </w:t>
      </w:r>
      <w:r>
        <w:rPr>
          <w:color w:val="231F20"/>
          <w:w w:val="105"/>
        </w:rPr>
        <w:t>cuales</w:t>
      </w:r>
      <w:r>
        <w:rPr>
          <w:color w:val="231F20"/>
          <w:spacing w:val="-36"/>
          <w:w w:val="105"/>
        </w:rPr>
        <w:t> </w:t>
      </w:r>
      <w:r>
        <w:rPr>
          <w:color w:val="231F20"/>
          <w:w w:val="105"/>
        </w:rPr>
        <w:t>distribuyen</w:t>
      </w:r>
      <w:r>
        <w:rPr>
          <w:color w:val="231F20"/>
          <w:spacing w:val="-36"/>
          <w:w w:val="105"/>
        </w:rPr>
        <w:t> </w:t>
      </w:r>
      <w:r>
        <w:rPr>
          <w:color w:val="231F20"/>
          <w:w w:val="105"/>
        </w:rPr>
        <w:t>las</w:t>
      </w:r>
      <w:r>
        <w:rPr>
          <w:color w:val="231F20"/>
          <w:spacing w:val="-36"/>
          <w:w w:val="105"/>
        </w:rPr>
        <w:t> </w:t>
      </w:r>
      <w:r>
        <w:rPr>
          <w:color w:val="231F20"/>
          <w:w w:val="105"/>
        </w:rPr>
        <w:t>actividades</w:t>
      </w:r>
      <w:r>
        <w:rPr>
          <w:color w:val="231F20"/>
          <w:spacing w:val="-36"/>
          <w:w w:val="105"/>
        </w:rPr>
        <w:t> </w:t>
      </w:r>
      <w:r>
        <w:rPr>
          <w:color w:val="231F20"/>
          <w:w w:val="105"/>
        </w:rPr>
        <w:t>en</w:t>
      </w:r>
      <w:r>
        <w:rPr>
          <w:color w:val="231F20"/>
          <w:spacing w:val="-36"/>
          <w:w w:val="105"/>
        </w:rPr>
        <w:t> </w:t>
      </w:r>
      <w:r>
        <w:rPr>
          <w:color w:val="231F20"/>
          <w:w w:val="105"/>
        </w:rPr>
        <w:t>el</w:t>
      </w:r>
      <w:r>
        <w:rPr>
          <w:color w:val="231F20"/>
          <w:spacing w:val="-36"/>
          <w:w w:val="105"/>
        </w:rPr>
        <w:t> </w:t>
      </w:r>
      <w:r>
        <w:rPr>
          <w:color w:val="231F20"/>
          <w:w w:val="105"/>
        </w:rPr>
        <w:t>espacio</w:t>
      </w:r>
      <w:r>
        <w:rPr>
          <w:color w:val="231F20"/>
          <w:spacing w:val="-36"/>
          <w:w w:val="105"/>
        </w:rPr>
        <w:t> </w:t>
      </w:r>
      <w:r>
        <w:rPr>
          <w:color w:val="231F20"/>
          <w:w w:val="105"/>
        </w:rPr>
        <w:t>y</w:t>
      </w:r>
      <w:r>
        <w:rPr>
          <w:color w:val="231F20"/>
          <w:spacing w:val="-36"/>
          <w:w w:val="105"/>
        </w:rPr>
        <w:t> </w:t>
      </w:r>
      <w:r>
        <w:rPr>
          <w:color w:val="231F20"/>
          <w:w w:val="105"/>
        </w:rPr>
        <w:t>las</w:t>
      </w:r>
      <w:r>
        <w:rPr>
          <w:color w:val="231F20"/>
          <w:spacing w:val="-36"/>
          <w:w w:val="105"/>
        </w:rPr>
        <w:t> </w:t>
      </w:r>
      <w:r>
        <w:rPr>
          <w:color w:val="231F20"/>
          <w:w w:val="105"/>
        </w:rPr>
        <w:t>econo-</w:t>
      </w:r>
      <w:r>
        <w:rPr>
          <w:color w:val="231F20"/>
          <w:w w:val="96"/>
        </w:rPr>
        <w:t> </w:t>
      </w:r>
      <w:r>
        <w:rPr>
          <w:color w:val="231F20"/>
          <w:w w:val="105"/>
        </w:rPr>
        <w:t>mías</w:t>
      </w:r>
      <w:r>
        <w:rPr>
          <w:color w:val="231F20"/>
          <w:spacing w:val="-29"/>
          <w:w w:val="105"/>
        </w:rPr>
        <w:t> </w:t>
      </w:r>
      <w:r>
        <w:rPr>
          <w:color w:val="231F20"/>
          <w:w w:val="105"/>
        </w:rPr>
        <w:t>de</w:t>
      </w:r>
      <w:r>
        <w:rPr>
          <w:color w:val="231F20"/>
          <w:spacing w:val="-29"/>
          <w:w w:val="105"/>
        </w:rPr>
        <w:t> </w:t>
      </w:r>
      <w:r>
        <w:rPr>
          <w:color w:val="231F20"/>
          <w:spacing w:val="-2"/>
          <w:w w:val="105"/>
        </w:rPr>
        <w:t>aglomeración</w:t>
      </w:r>
      <w:r>
        <w:rPr>
          <w:color w:val="231F20"/>
          <w:spacing w:val="-29"/>
          <w:w w:val="105"/>
        </w:rPr>
        <w:t> </w:t>
      </w:r>
      <w:r>
        <w:rPr>
          <w:color w:val="231F20"/>
          <w:w w:val="105"/>
        </w:rPr>
        <w:t>que</w:t>
      </w:r>
      <w:r>
        <w:rPr>
          <w:color w:val="231F20"/>
          <w:spacing w:val="-29"/>
          <w:w w:val="105"/>
        </w:rPr>
        <w:t> </w:t>
      </w:r>
      <w:r>
        <w:rPr>
          <w:color w:val="231F20"/>
          <w:w w:val="105"/>
        </w:rPr>
        <w:t>empujan</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spacing w:val="-2"/>
          <w:w w:val="105"/>
        </w:rPr>
        <w:t>concentración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spacing w:val="-2"/>
          <w:w w:val="105"/>
        </w:rPr>
        <w:t>actividades.</w:t>
      </w:r>
      <w:r>
        <w:rPr>
          <w:color w:val="231F20"/>
          <w:spacing w:val="-2"/>
          <w:w w:val="102"/>
        </w:rPr>
        <w:t> </w:t>
      </w:r>
      <w:r>
        <w:rPr>
          <w:color w:val="231F20"/>
          <w:w w:val="105"/>
        </w:rPr>
        <w:t>Están,</w:t>
      </w:r>
      <w:r>
        <w:rPr>
          <w:color w:val="231F20"/>
          <w:spacing w:val="-12"/>
          <w:w w:val="105"/>
        </w:rPr>
        <w:t> </w:t>
      </w:r>
      <w:r>
        <w:rPr>
          <w:color w:val="231F20"/>
          <w:w w:val="105"/>
        </w:rPr>
        <w:t>por</w:t>
      </w:r>
      <w:r>
        <w:rPr>
          <w:color w:val="231F20"/>
          <w:spacing w:val="-6"/>
          <w:w w:val="105"/>
        </w:rPr>
        <w:t> </w:t>
      </w:r>
      <w:r>
        <w:rPr>
          <w:color w:val="231F20"/>
          <w:w w:val="105"/>
        </w:rPr>
        <w:t>otro</w:t>
      </w:r>
      <w:r>
        <w:rPr>
          <w:color w:val="231F20"/>
          <w:spacing w:val="-6"/>
          <w:w w:val="105"/>
        </w:rPr>
        <w:t> </w:t>
      </w:r>
      <w:r>
        <w:rPr>
          <w:color w:val="231F20"/>
          <w:w w:val="105"/>
        </w:rPr>
        <w:t>lado,</w:t>
      </w:r>
      <w:r>
        <w:rPr>
          <w:color w:val="231F20"/>
          <w:spacing w:val="-12"/>
          <w:w w:val="105"/>
        </w:rPr>
        <w:t> </w:t>
      </w:r>
      <w:r>
        <w:rPr>
          <w:color w:val="231F20"/>
          <w:w w:val="105"/>
        </w:rPr>
        <w:t>las</w:t>
      </w:r>
      <w:r>
        <w:rPr>
          <w:color w:val="231F20"/>
          <w:spacing w:val="-6"/>
          <w:w w:val="105"/>
        </w:rPr>
        <w:t> </w:t>
      </w:r>
      <w:r>
        <w:rPr>
          <w:color w:val="231F20"/>
          <w:w w:val="105"/>
        </w:rPr>
        <w:t>teorías</w:t>
      </w:r>
      <w:r>
        <w:rPr>
          <w:color w:val="231F20"/>
          <w:spacing w:val="-6"/>
          <w:w w:val="105"/>
        </w:rPr>
        <w:t> </w:t>
      </w:r>
      <w:r>
        <w:rPr>
          <w:color w:val="231F20"/>
          <w:w w:val="105"/>
        </w:rPr>
        <w:t>del</w:t>
      </w:r>
      <w:r>
        <w:rPr>
          <w:color w:val="231F20"/>
          <w:spacing w:val="-6"/>
          <w:w w:val="105"/>
        </w:rPr>
        <w:t> </w:t>
      </w:r>
      <w:r>
        <w:rPr>
          <w:color w:val="231F20"/>
          <w:w w:val="105"/>
        </w:rPr>
        <w:t>crecimiento</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enfocan</w:t>
      </w:r>
      <w:r>
        <w:rPr>
          <w:color w:val="231F20"/>
          <w:spacing w:val="-6"/>
          <w:w w:val="105"/>
        </w:rPr>
        <w:t> </w:t>
      </w:r>
      <w:r>
        <w:rPr>
          <w:color w:val="231F20"/>
          <w:w w:val="105"/>
        </w:rPr>
        <w:t>al</w:t>
      </w:r>
      <w:r>
        <w:rPr>
          <w:color w:val="231F20"/>
          <w:spacing w:val="2"/>
          <w:w w:val="100"/>
        </w:rPr>
        <w:t> </w:t>
      </w:r>
      <w:r>
        <w:rPr>
          <w:color w:val="231F20"/>
          <w:w w:val="105"/>
        </w:rPr>
        <w:t>estudio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razones</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fuentes</w:t>
      </w:r>
      <w:r>
        <w:rPr>
          <w:color w:val="231F20"/>
          <w:spacing w:val="-7"/>
          <w:w w:val="105"/>
        </w:rPr>
        <w:t> </w:t>
      </w:r>
      <w:r>
        <w:rPr>
          <w:color w:val="231F20"/>
          <w:w w:val="105"/>
        </w:rPr>
        <w:t>del</w:t>
      </w:r>
      <w:r>
        <w:rPr>
          <w:color w:val="231F20"/>
          <w:spacing w:val="-7"/>
          <w:w w:val="105"/>
        </w:rPr>
        <w:t> </w:t>
      </w:r>
      <w:r>
        <w:rPr>
          <w:color w:val="231F20"/>
          <w:w w:val="105"/>
        </w:rPr>
        <w:t>crecimiento</w:t>
      </w:r>
      <w:r>
        <w:rPr>
          <w:color w:val="231F20"/>
          <w:spacing w:val="-7"/>
          <w:w w:val="105"/>
        </w:rPr>
        <w:t> </w:t>
      </w:r>
      <w:r>
        <w:rPr>
          <w:color w:val="231F20"/>
          <w:w w:val="105"/>
        </w:rPr>
        <w:t>regional.</w:t>
      </w:r>
      <w:r>
        <w:rPr>
          <w:color w:val="231F20"/>
          <w:spacing w:val="-14"/>
          <w:w w:val="105"/>
        </w:rPr>
        <w:t> </w:t>
      </w:r>
      <w:r>
        <w:rPr>
          <w:color w:val="231F20"/>
          <w:w w:val="105"/>
        </w:rPr>
        <w:t>Dentro</w:t>
      </w:r>
      <w:r>
        <w:rPr>
          <w:color w:val="231F20"/>
          <w:w w:val="109"/>
        </w:rPr>
        <w:t> </w:t>
      </w:r>
      <w:r>
        <w:rPr>
          <w:color w:val="231F20"/>
          <w:w w:val="105"/>
        </w:rPr>
        <w:t>de este ámbito coexisten dos enfoques diferentes: las teorías</w:t>
      </w:r>
      <w:r>
        <w:rPr>
          <w:color w:val="231F20"/>
          <w:spacing w:val="24"/>
          <w:w w:val="105"/>
        </w:rPr>
        <w:t> </w:t>
      </w:r>
      <w:r>
        <w:rPr>
          <w:color w:val="231F20"/>
          <w:w w:val="105"/>
        </w:rPr>
        <w:t>de</w:t>
      </w:r>
      <w:r>
        <w:rPr>
          <w:color w:val="231F20"/>
          <w:spacing w:val="16"/>
          <w:w w:val="105"/>
        </w:rPr>
        <w:t> </w:t>
      </w:r>
      <w:r>
        <w:rPr>
          <w:color w:val="231F20"/>
          <w:w w:val="105"/>
        </w:rPr>
        <w:t>cre-</w:t>
      </w:r>
      <w:r>
        <w:rPr>
          <w:color w:val="231F20"/>
          <w:w w:val="96"/>
        </w:rPr>
        <w:t> </w:t>
      </w:r>
      <w:r>
        <w:rPr>
          <w:color w:val="231F20"/>
          <w:w w:val="105"/>
        </w:rPr>
        <w:t>cimiento regional y las teorías de desarrollo regional. Las</w:t>
      </w:r>
      <w:r>
        <w:rPr>
          <w:color w:val="231F20"/>
          <w:spacing w:val="40"/>
          <w:w w:val="105"/>
        </w:rPr>
        <w:t> </w:t>
      </w:r>
      <w:r>
        <w:rPr>
          <w:color w:val="231F20"/>
          <w:w w:val="105"/>
        </w:rPr>
        <w:t>primeras</w:t>
      </w:r>
      <w:r>
        <w:rPr>
          <w:color w:val="231F20"/>
          <w:spacing w:val="12"/>
          <w:w w:val="105"/>
        </w:rPr>
        <w:t> </w:t>
      </w:r>
      <w:r>
        <w:rPr>
          <w:color w:val="231F20"/>
          <w:w w:val="105"/>
        </w:rPr>
        <w:t>se</w:t>
      </w:r>
      <w:r>
        <w:rPr>
          <w:color w:val="231F20"/>
          <w:spacing w:val="2"/>
          <w:w w:val="96"/>
        </w:rPr>
        <w:t> </w:t>
      </w:r>
      <w:r>
        <w:rPr>
          <w:color w:val="231F20"/>
          <w:w w:val="105"/>
        </w:rPr>
        <w:t>enfocan a la distribución del ingreso en el territorio y al estudio</w:t>
      </w:r>
      <w:r>
        <w:rPr>
          <w:color w:val="231F20"/>
          <w:spacing w:val="18"/>
          <w:w w:val="105"/>
        </w:rPr>
        <w:t> </w:t>
      </w:r>
      <w:r>
        <w:rPr>
          <w:color w:val="231F20"/>
          <w:w w:val="105"/>
        </w:rPr>
        <w:t>de</w:t>
      </w:r>
      <w:r>
        <w:rPr>
          <w:color w:val="231F20"/>
          <w:spacing w:val="11"/>
          <w:w w:val="105"/>
        </w:rPr>
        <w:t> </w:t>
      </w:r>
      <w:r>
        <w:rPr>
          <w:color w:val="231F20"/>
          <w:spacing w:val="2"/>
          <w:w w:val="105"/>
        </w:rPr>
        <w:t>las</w:t>
      </w:r>
      <w:r>
        <w:rPr>
          <w:color w:val="231F20"/>
          <w:spacing w:val="2"/>
          <w:w w:val="96"/>
        </w:rPr>
        <w:t> </w:t>
      </w:r>
      <w:r>
        <w:rPr>
          <w:color w:val="231F20"/>
          <w:w w:val="105"/>
        </w:rPr>
        <w:t>razones y de las fuentes del crecimiento regional sostenido</w:t>
      </w:r>
      <w:r>
        <w:rPr>
          <w:color w:val="231F20"/>
          <w:spacing w:val="53"/>
          <w:w w:val="105"/>
        </w:rPr>
        <w:t> </w:t>
      </w:r>
      <w:r>
        <w:rPr>
          <w:color w:val="231F20"/>
          <w:w w:val="105"/>
        </w:rPr>
        <w:t>y</w:t>
      </w:r>
      <w:r>
        <w:rPr>
          <w:color w:val="231F20"/>
          <w:spacing w:val="12"/>
          <w:w w:val="105"/>
        </w:rPr>
        <w:t> </w:t>
      </w:r>
      <w:r>
        <w:rPr>
          <w:color w:val="231F20"/>
          <w:w w:val="105"/>
        </w:rPr>
        <w:t>estable.</w:t>
      </w:r>
      <w:r>
        <w:rPr>
          <w:color w:val="231F20"/>
          <w:spacing w:val="2"/>
          <w:w w:val="102"/>
        </w:rPr>
        <w:t> </w:t>
      </w:r>
      <w:r>
        <w:rPr>
          <w:color w:val="231F20"/>
          <w:w w:val="105"/>
        </w:rPr>
        <w:t>Las segundas adoptan un enfoque micro-territorial</w:t>
      </w:r>
      <w:r>
        <w:rPr>
          <w:color w:val="231F20"/>
          <w:spacing w:val="58"/>
          <w:w w:val="105"/>
        </w:rPr>
        <w:t> </w:t>
      </w:r>
      <w:r>
        <w:rPr>
          <w:color w:val="231F20"/>
          <w:w w:val="105"/>
        </w:rPr>
        <w:t>y</w:t>
      </w:r>
      <w:r>
        <w:rPr>
          <w:color w:val="231F20"/>
          <w:spacing w:val="19"/>
          <w:w w:val="105"/>
        </w:rPr>
        <w:t> </w:t>
      </w:r>
      <w:r>
        <w:rPr>
          <w:color w:val="231F20"/>
          <w:w w:val="105"/>
        </w:rPr>
        <w:t>micro-comporta-</w:t>
      </w:r>
      <w:r>
        <w:rPr>
          <w:color w:val="231F20"/>
          <w:w w:val="96"/>
        </w:rPr>
        <w:t> </w:t>
      </w:r>
      <w:r>
        <w:rPr>
          <w:color w:val="231F20"/>
          <w:w w:val="105"/>
        </w:rPr>
        <w:t>mental. Se llaman teorías de desarrollo porque su finalidad</w:t>
      </w:r>
      <w:r>
        <w:rPr>
          <w:color w:val="231F20"/>
          <w:spacing w:val="9"/>
          <w:w w:val="105"/>
        </w:rPr>
        <w:t> </w:t>
      </w:r>
      <w:r>
        <w:rPr>
          <w:color w:val="231F20"/>
          <w:w w:val="105"/>
        </w:rPr>
        <w:t>es</w:t>
      </w:r>
      <w:r>
        <w:rPr>
          <w:color w:val="231F20"/>
          <w:spacing w:val="8"/>
          <w:w w:val="105"/>
        </w:rPr>
        <w:t> </w:t>
      </w:r>
      <w:r>
        <w:rPr>
          <w:color w:val="231F20"/>
          <w:w w:val="105"/>
        </w:rPr>
        <w:t>identifi-</w:t>
      </w:r>
      <w:r>
        <w:rPr>
          <w:color w:val="231F20"/>
          <w:w w:val="96"/>
        </w:rPr>
        <w:t> </w:t>
      </w:r>
      <w:r>
        <w:rPr>
          <w:color w:val="231F20"/>
          <w:w w:val="105"/>
        </w:rPr>
        <w:t>car</w:t>
      </w:r>
      <w:r>
        <w:rPr>
          <w:color w:val="231F20"/>
          <w:spacing w:val="-6"/>
          <w:w w:val="105"/>
        </w:rPr>
        <w:t> </w:t>
      </w:r>
      <w:r>
        <w:rPr>
          <w:color w:val="231F20"/>
          <w:w w:val="105"/>
        </w:rPr>
        <w:t>todos</w:t>
      </w:r>
      <w:r>
        <w:rPr>
          <w:color w:val="231F20"/>
          <w:spacing w:val="-6"/>
          <w:w w:val="105"/>
        </w:rPr>
        <w:t> </w:t>
      </w:r>
      <w:r>
        <w:rPr>
          <w:color w:val="231F20"/>
          <w:w w:val="105"/>
        </w:rPr>
        <w:t>los</w:t>
      </w:r>
      <w:r>
        <w:rPr>
          <w:color w:val="231F20"/>
          <w:spacing w:val="-6"/>
          <w:w w:val="105"/>
        </w:rPr>
        <w:t> </w:t>
      </w:r>
      <w:r>
        <w:rPr>
          <w:color w:val="231F20"/>
          <w:w w:val="105"/>
        </w:rPr>
        <w:t>elementos</w:t>
      </w:r>
      <w:r>
        <w:rPr>
          <w:color w:val="231F20"/>
          <w:spacing w:val="-6"/>
          <w:w w:val="105"/>
        </w:rPr>
        <w:t> </w:t>
      </w:r>
      <w:r>
        <w:rPr>
          <w:color w:val="231F20"/>
          <w:w w:val="105"/>
        </w:rPr>
        <w:t>tangibles</w:t>
      </w:r>
      <w:r>
        <w:rPr>
          <w:color w:val="231F20"/>
          <w:spacing w:val="-6"/>
          <w:w w:val="105"/>
        </w:rPr>
        <w:t> </w:t>
      </w:r>
      <w:r>
        <w:rPr>
          <w:color w:val="231F20"/>
          <w:w w:val="105"/>
        </w:rPr>
        <w:t>e</w:t>
      </w:r>
      <w:r>
        <w:rPr>
          <w:color w:val="231F20"/>
          <w:spacing w:val="-6"/>
          <w:w w:val="105"/>
        </w:rPr>
        <w:t> </w:t>
      </w:r>
      <w:r>
        <w:rPr>
          <w:color w:val="231F20"/>
          <w:w w:val="105"/>
        </w:rPr>
        <w:t>intangibles</w:t>
      </w:r>
      <w:r>
        <w:rPr>
          <w:color w:val="231F20"/>
          <w:spacing w:val="-6"/>
          <w:w w:val="105"/>
        </w:rPr>
        <w:t> </w:t>
      </w:r>
      <w:r>
        <w:rPr>
          <w:color w:val="231F20"/>
          <w:w w:val="105"/>
        </w:rPr>
        <w:t>del</w:t>
      </w:r>
      <w:r>
        <w:rPr>
          <w:color w:val="231F20"/>
          <w:spacing w:val="-6"/>
          <w:w w:val="105"/>
        </w:rPr>
        <w:t> </w:t>
      </w:r>
      <w:r>
        <w:rPr>
          <w:color w:val="231F20"/>
          <w:w w:val="105"/>
        </w:rPr>
        <w:t>proceso</w:t>
      </w:r>
      <w:r>
        <w:rPr>
          <w:color w:val="231F20"/>
          <w:spacing w:val="-6"/>
          <w:w w:val="105"/>
        </w:rPr>
        <w:t> </w:t>
      </w:r>
      <w:r>
        <w:rPr>
          <w:color w:val="231F20"/>
          <w:w w:val="105"/>
        </w:rPr>
        <w:t>de</w:t>
      </w:r>
      <w:r>
        <w:rPr>
          <w:color w:val="231F20"/>
          <w:spacing w:val="-6"/>
          <w:w w:val="105"/>
        </w:rPr>
        <w:t> </w:t>
      </w:r>
      <w:r>
        <w:rPr>
          <w:color w:val="231F20"/>
          <w:w w:val="105"/>
        </w:rPr>
        <w:t>desarro-</w:t>
      </w:r>
    </w:p>
    <w:p>
      <w:pPr>
        <w:pStyle w:val="BodyText"/>
        <w:spacing w:line="241" w:lineRule="exact"/>
        <w:ind w:left="103"/>
        <w:jc w:val="both"/>
      </w:pPr>
      <w:r>
        <w:rPr>
          <w:color w:val="231F20"/>
          <w:w w:val="105"/>
        </w:rPr>
        <w:t>llo (Capello, 2007).</w:t>
      </w:r>
    </w:p>
    <w:p>
      <w:pPr>
        <w:pStyle w:val="BodyText"/>
        <w:spacing w:line="259" w:lineRule="auto" w:before="18"/>
        <w:ind w:left="103" w:right="115" w:firstLine="567"/>
        <w:jc w:val="right"/>
      </w:pPr>
      <w:r>
        <w:rPr>
          <w:color w:val="231F20"/>
          <w:spacing w:val="-2"/>
          <w:w w:val="105"/>
        </w:rPr>
        <w:t>Con</w:t>
      </w:r>
      <w:r>
        <w:rPr>
          <w:color w:val="231F20"/>
          <w:spacing w:val="-12"/>
          <w:w w:val="105"/>
        </w:rPr>
        <w:t> </w:t>
      </w:r>
      <w:r>
        <w:rPr>
          <w:color w:val="231F20"/>
          <w:w w:val="105"/>
        </w:rPr>
        <w:t>la</w:t>
      </w:r>
      <w:r>
        <w:rPr>
          <w:color w:val="231F20"/>
          <w:spacing w:val="-12"/>
          <w:w w:val="105"/>
        </w:rPr>
        <w:t> </w:t>
      </w:r>
      <w:r>
        <w:rPr>
          <w:color w:val="231F20"/>
          <w:spacing w:val="-3"/>
          <w:w w:val="105"/>
        </w:rPr>
        <w:t>apertura</w:t>
      </w:r>
      <w:r>
        <w:rPr>
          <w:color w:val="231F20"/>
          <w:spacing w:val="-12"/>
          <w:w w:val="105"/>
        </w:rPr>
        <w:t> </w:t>
      </w:r>
      <w:r>
        <w:rPr>
          <w:color w:val="231F20"/>
          <w:spacing w:val="-3"/>
          <w:w w:val="105"/>
        </w:rPr>
        <w:t>comercial,</w:t>
      </w:r>
      <w:r>
        <w:rPr>
          <w:color w:val="231F20"/>
          <w:spacing w:val="-17"/>
          <w:w w:val="105"/>
        </w:rPr>
        <w:t> </w:t>
      </w:r>
      <w:r>
        <w:rPr>
          <w:color w:val="231F20"/>
          <w:w w:val="105"/>
        </w:rPr>
        <w:t>el</w:t>
      </w:r>
      <w:r>
        <w:rPr>
          <w:color w:val="231F20"/>
          <w:spacing w:val="-12"/>
          <w:w w:val="105"/>
        </w:rPr>
        <w:t> </w:t>
      </w:r>
      <w:r>
        <w:rPr>
          <w:color w:val="231F20"/>
          <w:w w:val="105"/>
        </w:rPr>
        <w:t>papel</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spacing w:val="-2"/>
          <w:w w:val="105"/>
        </w:rPr>
        <w:t>manufacturas</w:t>
      </w:r>
      <w:r>
        <w:rPr>
          <w:color w:val="231F20"/>
          <w:spacing w:val="-12"/>
          <w:w w:val="105"/>
        </w:rPr>
        <w:t> </w:t>
      </w:r>
      <w:r>
        <w:rPr>
          <w:color w:val="231F20"/>
          <w:w w:val="105"/>
        </w:rPr>
        <w:t>se</w:t>
      </w:r>
      <w:r>
        <w:rPr>
          <w:color w:val="231F20"/>
          <w:spacing w:val="-12"/>
          <w:w w:val="105"/>
        </w:rPr>
        <w:t> </w:t>
      </w:r>
      <w:r>
        <w:rPr>
          <w:color w:val="231F20"/>
          <w:w w:val="105"/>
        </w:rPr>
        <w:t>vincula</w:t>
      </w:r>
      <w:r>
        <w:rPr>
          <w:color w:val="231F20"/>
          <w:spacing w:val="-2"/>
          <w:w w:val="102"/>
        </w:rPr>
        <w:t> </w:t>
      </w:r>
      <w:r>
        <w:rPr>
          <w:color w:val="231F20"/>
          <w:w w:val="105"/>
        </w:rPr>
        <w:t>de </w:t>
      </w:r>
      <w:r>
        <w:rPr>
          <w:color w:val="231F20"/>
          <w:spacing w:val="-2"/>
          <w:w w:val="105"/>
        </w:rPr>
        <w:t>manera </w:t>
      </w:r>
      <w:r>
        <w:rPr>
          <w:color w:val="231F20"/>
          <w:spacing w:val="-3"/>
          <w:w w:val="105"/>
        </w:rPr>
        <w:t>directa </w:t>
      </w:r>
      <w:r>
        <w:rPr>
          <w:color w:val="231F20"/>
          <w:w w:val="105"/>
        </w:rPr>
        <w:t>con el </w:t>
      </w:r>
      <w:r>
        <w:rPr>
          <w:color w:val="231F20"/>
          <w:spacing w:val="-3"/>
          <w:w w:val="105"/>
        </w:rPr>
        <w:t>mercado </w:t>
      </w:r>
      <w:r>
        <w:rPr>
          <w:color w:val="231F20"/>
          <w:w w:val="105"/>
        </w:rPr>
        <w:t>de bienes, </w:t>
      </w:r>
      <w:r>
        <w:rPr>
          <w:color w:val="231F20"/>
          <w:spacing w:val="-3"/>
          <w:w w:val="105"/>
        </w:rPr>
        <w:t>producto </w:t>
      </w:r>
      <w:r>
        <w:rPr>
          <w:color w:val="231F20"/>
          <w:w w:val="105"/>
        </w:rPr>
        <w:t>de</w:t>
      </w:r>
      <w:r>
        <w:rPr>
          <w:color w:val="231F20"/>
          <w:spacing w:val="42"/>
          <w:w w:val="105"/>
        </w:rPr>
        <w:t> </w:t>
      </w:r>
      <w:r>
        <w:rPr>
          <w:color w:val="231F20"/>
          <w:w w:val="105"/>
        </w:rPr>
        <w:t>la</w:t>
      </w:r>
      <w:r>
        <w:rPr>
          <w:color w:val="231F20"/>
          <w:spacing w:val="16"/>
          <w:w w:val="105"/>
        </w:rPr>
        <w:t> </w:t>
      </w:r>
      <w:r>
        <w:rPr>
          <w:color w:val="231F20"/>
          <w:w w:val="105"/>
        </w:rPr>
        <w:t>industria</w:t>
      </w:r>
      <w:r>
        <w:rPr>
          <w:color w:val="231F20"/>
          <w:spacing w:val="-2"/>
          <w:w w:val="104"/>
        </w:rPr>
        <w:t> </w:t>
      </w:r>
      <w:r>
        <w:rPr>
          <w:color w:val="231F20"/>
          <w:w w:val="105"/>
        </w:rPr>
        <w:t>competitiva que utiliza a la localización como factor determinante</w:t>
      </w:r>
      <w:r>
        <w:rPr>
          <w:color w:val="231F20"/>
          <w:spacing w:val="27"/>
          <w:w w:val="105"/>
        </w:rPr>
        <w:t> </w:t>
      </w:r>
      <w:r>
        <w:rPr>
          <w:color w:val="231F20"/>
          <w:w w:val="105"/>
        </w:rPr>
        <w:t>y</w:t>
      </w:r>
      <w:r>
        <w:rPr>
          <w:color w:val="231F20"/>
          <w:spacing w:val="3"/>
          <w:w w:val="105"/>
        </w:rPr>
        <w:t> </w:t>
      </w:r>
      <w:r>
        <w:rPr>
          <w:color w:val="231F20"/>
          <w:w w:val="105"/>
        </w:rPr>
        <w:t>de</w:t>
      </w:r>
      <w:r>
        <w:rPr>
          <w:color w:val="231F20"/>
          <w:spacing w:val="-2"/>
          <w:w w:val="108"/>
        </w:rPr>
        <w:t> </w:t>
      </w:r>
      <w:r>
        <w:rPr>
          <w:color w:val="231F20"/>
          <w:w w:val="105"/>
        </w:rPr>
        <w:t>fortaleza </w:t>
      </w:r>
      <w:r>
        <w:rPr>
          <w:color w:val="231F20"/>
          <w:spacing w:val="-3"/>
          <w:w w:val="105"/>
        </w:rPr>
        <w:t>frente </w:t>
      </w:r>
      <w:r>
        <w:rPr>
          <w:color w:val="231F20"/>
          <w:w w:val="105"/>
        </w:rPr>
        <w:t>a otras industrias. La </w:t>
      </w:r>
      <w:r>
        <w:rPr>
          <w:color w:val="231F20"/>
          <w:spacing w:val="-3"/>
          <w:w w:val="105"/>
        </w:rPr>
        <w:t>producción </w:t>
      </w:r>
      <w:r>
        <w:rPr>
          <w:color w:val="231F20"/>
          <w:w w:val="105"/>
        </w:rPr>
        <w:t>de dichos bienes</w:t>
      </w:r>
      <w:r>
        <w:rPr>
          <w:color w:val="231F20"/>
          <w:spacing w:val="-40"/>
          <w:w w:val="105"/>
        </w:rPr>
        <w:t> </w:t>
      </w:r>
      <w:r>
        <w:rPr>
          <w:color w:val="231F20"/>
          <w:w w:val="105"/>
        </w:rPr>
        <w:t>es</w:t>
      </w:r>
      <w:r>
        <w:rPr>
          <w:color w:val="231F20"/>
          <w:spacing w:val="-5"/>
          <w:w w:val="105"/>
        </w:rPr>
        <w:t> </w:t>
      </w:r>
      <w:r>
        <w:rPr>
          <w:color w:val="231F20"/>
          <w:w w:val="105"/>
        </w:rPr>
        <w:t>el</w:t>
      </w:r>
      <w:r>
        <w:rPr>
          <w:color w:val="231F20"/>
          <w:spacing w:val="-2"/>
          <w:w w:val="105"/>
        </w:rPr>
        <w:t> </w:t>
      </w:r>
      <w:r>
        <w:rPr>
          <w:color w:val="231F20"/>
          <w:w w:val="105"/>
        </w:rPr>
        <w:t>elemento integrador de las teorías de </w:t>
      </w:r>
      <w:r>
        <w:rPr>
          <w:color w:val="231F20"/>
          <w:spacing w:val="-3"/>
          <w:w w:val="105"/>
        </w:rPr>
        <w:t>crecimiento regional </w:t>
      </w:r>
      <w:r>
        <w:rPr>
          <w:color w:val="231F20"/>
          <w:w w:val="105"/>
        </w:rPr>
        <w:t>y</w:t>
      </w:r>
      <w:r>
        <w:rPr>
          <w:color w:val="231F20"/>
          <w:spacing w:val="-13"/>
          <w:w w:val="105"/>
        </w:rPr>
        <w:t> </w:t>
      </w:r>
      <w:r>
        <w:rPr>
          <w:color w:val="231F20"/>
          <w:w w:val="105"/>
        </w:rPr>
        <w:t>las</w:t>
      </w:r>
      <w:r>
        <w:rPr>
          <w:color w:val="231F20"/>
          <w:spacing w:val="-2"/>
          <w:w w:val="105"/>
        </w:rPr>
        <w:t> </w:t>
      </w:r>
      <w:r>
        <w:rPr>
          <w:color w:val="231F20"/>
          <w:w w:val="105"/>
        </w:rPr>
        <w:t>teorías</w:t>
      </w:r>
      <w:r>
        <w:rPr>
          <w:color w:val="231F20"/>
          <w:spacing w:val="-2"/>
          <w:w w:val="101"/>
        </w:rPr>
        <w:t> </w:t>
      </w:r>
      <w:r>
        <w:rPr>
          <w:color w:val="231F20"/>
          <w:w w:val="105"/>
        </w:rPr>
        <w:t>de </w:t>
      </w:r>
      <w:r>
        <w:rPr>
          <w:color w:val="231F20"/>
          <w:spacing w:val="-3"/>
          <w:w w:val="105"/>
        </w:rPr>
        <w:t>desarrollo regional, </w:t>
      </w:r>
      <w:r>
        <w:rPr>
          <w:color w:val="231F20"/>
          <w:w w:val="105"/>
        </w:rPr>
        <w:t>uniendo por un lado, a los </w:t>
      </w:r>
      <w:r>
        <w:rPr>
          <w:color w:val="231F20"/>
          <w:spacing w:val="-3"/>
          <w:w w:val="105"/>
        </w:rPr>
        <w:t>factores</w:t>
      </w:r>
      <w:r>
        <w:rPr>
          <w:color w:val="231F20"/>
          <w:spacing w:val="-33"/>
          <w:w w:val="105"/>
        </w:rPr>
        <w:t> </w:t>
      </w:r>
      <w:r>
        <w:rPr>
          <w:color w:val="231F20"/>
          <w:w w:val="105"/>
        </w:rPr>
        <w:t>que</w:t>
      </w:r>
      <w:r>
        <w:rPr>
          <w:color w:val="231F20"/>
          <w:spacing w:val="-3"/>
          <w:w w:val="105"/>
        </w:rPr>
        <w:t> propician</w:t>
      </w:r>
      <w:r>
        <w:rPr>
          <w:color w:val="231F20"/>
          <w:spacing w:val="-2"/>
          <w:w w:val="106"/>
        </w:rPr>
        <w:t> </w:t>
      </w:r>
      <w:r>
        <w:rPr>
          <w:color w:val="231F20"/>
          <w:w w:val="105"/>
        </w:rPr>
        <w:t>la oferta </w:t>
      </w:r>
      <w:r>
        <w:rPr>
          <w:color w:val="231F20"/>
          <w:spacing w:val="-5"/>
          <w:w w:val="105"/>
        </w:rPr>
        <w:t>y, </w:t>
      </w:r>
      <w:r>
        <w:rPr>
          <w:color w:val="231F20"/>
          <w:w w:val="105"/>
        </w:rPr>
        <w:t>por el </w:t>
      </w:r>
      <w:r>
        <w:rPr>
          <w:color w:val="231F20"/>
          <w:spacing w:val="-3"/>
          <w:w w:val="105"/>
        </w:rPr>
        <w:t>otro, </w:t>
      </w:r>
      <w:r>
        <w:rPr>
          <w:color w:val="231F20"/>
          <w:w w:val="105"/>
        </w:rPr>
        <w:t>a la economía del </w:t>
      </w:r>
      <w:r>
        <w:rPr>
          <w:color w:val="231F20"/>
          <w:spacing w:val="-3"/>
          <w:w w:val="105"/>
        </w:rPr>
        <w:t>crecimiento </w:t>
      </w:r>
      <w:r>
        <w:rPr>
          <w:color w:val="231F20"/>
          <w:w w:val="105"/>
        </w:rPr>
        <w:t>impulsada</w:t>
      </w:r>
      <w:r>
        <w:rPr>
          <w:color w:val="231F20"/>
          <w:spacing w:val="50"/>
          <w:w w:val="105"/>
        </w:rPr>
        <w:t> </w:t>
      </w:r>
      <w:r>
        <w:rPr>
          <w:color w:val="231F20"/>
          <w:w w:val="105"/>
        </w:rPr>
        <w:t>por</w:t>
      </w:r>
      <w:r>
        <w:rPr>
          <w:color w:val="231F20"/>
          <w:spacing w:val="9"/>
          <w:w w:val="105"/>
        </w:rPr>
        <w:t> </w:t>
      </w:r>
      <w:r>
        <w:rPr>
          <w:color w:val="231F20"/>
          <w:w w:val="105"/>
        </w:rPr>
        <w:t>la</w:t>
      </w:r>
      <w:r>
        <w:rPr>
          <w:color w:val="231F20"/>
          <w:spacing w:val="-2"/>
          <w:w w:val="100"/>
        </w:rPr>
        <w:t> </w:t>
      </w:r>
      <w:r>
        <w:rPr>
          <w:color w:val="231F20"/>
          <w:w w:val="105"/>
        </w:rPr>
        <w:t>demanda.</w:t>
      </w:r>
      <w:r>
        <w:rPr>
          <w:color w:val="231F20"/>
          <w:spacing w:val="-16"/>
          <w:w w:val="105"/>
        </w:rPr>
        <w:t> </w:t>
      </w:r>
      <w:r>
        <w:rPr>
          <w:color w:val="231F20"/>
          <w:w w:val="105"/>
        </w:rPr>
        <w:t>Es</w:t>
      </w:r>
      <w:r>
        <w:rPr>
          <w:color w:val="231F20"/>
          <w:spacing w:val="-11"/>
          <w:w w:val="105"/>
        </w:rPr>
        <w:t> </w:t>
      </w:r>
      <w:r>
        <w:rPr>
          <w:color w:val="231F20"/>
          <w:w w:val="105"/>
        </w:rPr>
        <w:t>así</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integración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teorías</w:t>
      </w:r>
      <w:r>
        <w:rPr>
          <w:color w:val="231F20"/>
          <w:spacing w:val="-11"/>
          <w:w w:val="105"/>
        </w:rPr>
        <w:t> </w:t>
      </w:r>
      <w:r>
        <w:rPr>
          <w:color w:val="231F20"/>
          <w:w w:val="105"/>
        </w:rPr>
        <w:t>de</w:t>
      </w:r>
      <w:r>
        <w:rPr>
          <w:color w:val="231F20"/>
          <w:spacing w:val="-11"/>
          <w:w w:val="105"/>
        </w:rPr>
        <w:t> </w:t>
      </w:r>
      <w:r>
        <w:rPr>
          <w:color w:val="231F20"/>
          <w:w w:val="105"/>
        </w:rPr>
        <w:t>localización</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2"/>
          <w:w w:val="108"/>
        </w:rPr>
        <w:t> </w:t>
      </w:r>
      <w:r>
        <w:rPr>
          <w:color w:val="231F20"/>
          <w:spacing w:val="-3"/>
          <w:w w:val="105"/>
        </w:rPr>
        <w:t>crecimiento regional </w:t>
      </w:r>
      <w:r>
        <w:rPr>
          <w:color w:val="231F20"/>
          <w:w w:val="105"/>
        </w:rPr>
        <w:t>es compleja, </w:t>
      </w:r>
      <w:r>
        <w:rPr>
          <w:color w:val="231F20"/>
          <w:spacing w:val="-3"/>
          <w:w w:val="105"/>
        </w:rPr>
        <w:t>porque </w:t>
      </w:r>
      <w:r>
        <w:rPr>
          <w:color w:val="231F20"/>
          <w:w w:val="105"/>
        </w:rPr>
        <w:t>además del</w:t>
      </w:r>
      <w:r>
        <w:rPr>
          <w:color w:val="231F20"/>
          <w:spacing w:val="13"/>
          <w:w w:val="105"/>
        </w:rPr>
        <w:t> </w:t>
      </w:r>
      <w:r>
        <w:rPr>
          <w:color w:val="231F20"/>
          <w:spacing w:val="-3"/>
          <w:w w:val="105"/>
        </w:rPr>
        <w:t>problema</w:t>
      </w:r>
      <w:r>
        <w:rPr>
          <w:color w:val="231F20"/>
          <w:spacing w:val="44"/>
          <w:w w:val="105"/>
        </w:rPr>
        <w:t> </w:t>
      </w:r>
      <w:r>
        <w:rPr>
          <w:color w:val="231F20"/>
          <w:spacing w:val="-2"/>
          <w:w w:val="105"/>
        </w:rPr>
        <w:t>que</w:t>
      </w:r>
      <w:r>
        <w:rPr>
          <w:color w:val="231F20"/>
          <w:spacing w:val="-2"/>
          <w:w w:val="107"/>
        </w:rPr>
        <w:t> </w:t>
      </w:r>
      <w:r>
        <w:rPr>
          <w:color w:val="231F20"/>
          <w:w w:val="105"/>
        </w:rPr>
        <w:t>plantea</w:t>
      </w:r>
      <w:r>
        <w:rPr>
          <w:color w:val="231F20"/>
          <w:spacing w:val="-8"/>
          <w:w w:val="105"/>
        </w:rPr>
        <w:t> </w:t>
      </w:r>
      <w:r>
        <w:rPr>
          <w:color w:val="231F20"/>
          <w:w w:val="105"/>
        </w:rPr>
        <w:t>la</w:t>
      </w:r>
      <w:r>
        <w:rPr>
          <w:color w:val="231F20"/>
          <w:spacing w:val="-8"/>
          <w:w w:val="105"/>
        </w:rPr>
        <w:t> </w:t>
      </w:r>
      <w:r>
        <w:rPr>
          <w:color w:val="231F20"/>
          <w:spacing w:val="-3"/>
          <w:w w:val="105"/>
        </w:rPr>
        <w:t>agregación,</w:t>
      </w:r>
      <w:r>
        <w:rPr>
          <w:color w:val="231F20"/>
          <w:spacing w:val="-13"/>
          <w:w w:val="105"/>
        </w:rPr>
        <w:t> </w:t>
      </w:r>
      <w:r>
        <w:rPr>
          <w:color w:val="231F20"/>
          <w:w w:val="105"/>
        </w:rPr>
        <w:t>nos</w:t>
      </w:r>
      <w:r>
        <w:rPr>
          <w:color w:val="231F20"/>
          <w:spacing w:val="-8"/>
          <w:w w:val="105"/>
        </w:rPr>
        <w:t> </w:t>
      </w:r>
      <w:r>
        <w:rPr>
          <w:color w:val="231F20"/>
          <w:spacing w:val="-3"/>
          <w:w w:val="105"/>
        </w:rPr>
        <w:t>enfrentamos</w:t>
      </w:r>
      <w:r>
        <w:rPr>
          <w:color w:val="231F20"/>
          <w:spacing w:val="-8"/>
          <w:w w:val="105"/>
        </w:rPr>
        <w:t> </w:t>
      </w:r>
      <w:r>
        <w:rPr>
          <w:color w:val="231F20"/>
          <w:w w:val="105"/>
        </w:rPr>
        <w:t>a</w:t>
      </w:r>
      <w:r>
        <w:rPr>
          <w:color w:val="231F20"/>
          <w:spacing w:val="-8"/>
          <w:w w:val="105"/>
        </w:rPr>
        <w:t> </w:t>
      </w:r>
      <w:r>
        <w:rPr>
          <w:color w:val="231F20"/>
          <w:w w:val="105"/>
        </w:rPr>
        <w:t>dilemas</w:t>
      </w:r>
      <w:r>
        <w:rPr>
          <w:color w:val="231F20"/>
          <w:spacing w:val="-8"/>
          <w:w w:val="105"/>
        </w:rPr>
        <w:t> </w:t>
      </w:r>
      <w:r>
        <w:rPr>
          <w:color w:val="231F20"/>
          <w:w w:val="105"/>
        </w:rPr>
        <w:t>teóricos.</w:t>
      </w:r>
      <w:r>
        <w:rPr>
          <w:color w:val="231F20"/>
          <w:spacing w:val="-13"/>
          <w:w w:val="105"/>
        </w:rPr>
        <w:t> </w:t>
      </w:r>
      <w:r>
        <w:rPr>
          <w:color w:val="231F20"/>
          <w:w w:val="105"/>
        </w:rPr>
        <w:t>La</w:t>
      </w:r>
      <w:r>
        <w:rPr>
          <w:color w:val="231F20"/>
          <w:spacing w:val="-8"/>
          <w:w w:val="105"/>
        </w:rPr>
        <w:t> </w:t>
      </w:r>
      <w:r>
        <w:rPr>
          <w:color w:val="231F20"/>
          <w:w w:val="105"/>
        </w:rPr>
        <w:t>teoría</w:t>
      </w:r>
      <w:r>
        <w:rPr>
          <w:color w:val="231F20"/>
          <w:spacing w:val="-8"/>
          <w:w w:val="105"/>
        </w:rPr>
        <w:t> </w:t>
      </w:r>
      <w:r>
        <w:rPr>
          <w:color w:val="231F20"/>
          <w:w w:val="105"/>
        </w:rPr>
        <w:t>de</w:t>
      </w:r>
      <w:r>
        <w:rPr>
          <w:color w:val="231F20"/>
          <w:spacing w:val="-2"/>
          <w:w w:val="108"/>
        </w:rPr>
        <w:t> </w:t>
      </w:r>
      <w:r>
        <w:rPr>
          <w:color w:val="231F20"/>
          <w:w w:val="105"/>
        </w:rPr>
        <w:t>la</w:t>
      </w:r>
      <w:r>
        <w:rPr>
          <w:color w:val="231F20"/>
          <w:spacing w:val="-18"/>
          <w:w w:val="105"/>
        </w:rPr>
        <w:t> </w:t>
      </w:r>
      <w:r>
        <w:rPr>
          <w:color w:val="231F20"/>
          <w:w w:val="105"/>
        </w:rPr>
        <w:t>localización</w:t>
      </w:r>
      <w:r>
        <w:rPr>
          <w:color w:val="231F20"/>
          <w:spacing w:val="-18"/>
          <w:w w:val="105"/>
        </w:rPr>
        <w:t> </w:t>
      </w:r>
      <w:r>
        <w:rPr>
          <w:color w:val="231F20"/>
          <w:w w:val="105"/>
        </w:rPr>
        <w:t>es,</w:t>
      </w:r>
      <w:r>
        <w:rPr>
          <w:color w:val="231F20"/>
          <w:spacing w:val="-23"/>
          <w:w w:val="105"/>
        </w:rPr>
        <w:t> </w:t>
      </w:r>
      <w:r>
        <w:rPr>
          <w:color w:val="231F20"/>
          <w:w w:val="105"/>
        </w:rPr>
        <w:t>por</w:t>
      </w:r>
      <w:r>
        <w:rPr>
          <w:color w:val="231F20"/>
          <w:spacing w:val="-18"/>
          <w:w w:val="105"/>
        </w:rPr>
        <w:t> </w:t>
      </w:r>
      <w:r>
        <w:rPr>
          <w:color w:val="231F20"/>
          <w:w w:val="105"/>
        </w:rPr>
        <w:t>definición,</w:t>
      </w:r>
      <w:r>
        <w:rPr>
          <w:color w:val="231F20"/>
          <w:spacing w:val="-23"/>
          <w:w w:val="105"/>
        </w:rPr>
        <w:t> </w:t>
      </w:r>
      <w:r>
        <w:rPr>
          <w:color w:val="231F20"/>
          <w:w w:val="105"/>
        </w:rPr>
        <w:t>una</w:t>
      </w:r>
      <w:r>
        <w:rPr>
          <w:color w:val="231F20"/>
          <w:spacing w:val="-18"/>
          <w:w w:val="105"/>
        </w:rPr>
        <w:t> </w:t>
      </w:r>
      <w:r>
        <w:rPr>
          <w:color w:val="231F20"/>
          <w:w w:val="105"/>
        </w:rPr>
        <w:t>teoría</w:t>
      </w:r>
      <w:r>
        <w:rPr>
          <w:color w:val="231F20"/>
          <w:spacing w:val="-18"/>
          <w:w w:val="105"/>
        </w:rPr>
        <w:t> </w:t>
      </w:r>
      <w:r>
        <w:rPr>
          <w:color w:val="231F20"/>
          <w:w w:val="105"/>
        </w:rPr>
        <w:t>espacial;</w:t>
      </w:r>
      <w:r>
        <w:rPr>
          <w:color w:val="231F20"/>
          <w:spacing w:val="-18"/>
          <w:w w:val="105"/>
        </w:rPr>
        <w:t> </w:t>
      </w:r>
      <w:r>
        <w:rPr>
          <w:color w:val="231F20"/>
          <w:w w:val="105"/>
        </w:rPr>
        <w:t>mientras</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spacing w:val="-2"/>
          <w:w w:val="105"/>
        </w:rPr>
        <w:t>del</w:t>
      </w:r>
      <w:r>
        <w:rPr>
          <w:color w:val="231F20"/>
          <w:spacing w:val="-2"/>
          <w:w w:val="109"/>
        </w:rPr>
        <w:t> </w:t>
      </w:r>
      <w:r>
        <w:rPr>
          <w:color w:val="231F20"/>
          <w:spacing w:val="-3"/>
          <w:w w:val="105"/>
        </w:rPr>
        <w:t>crecimiento</w:t>
      </w:r>
      <w:r>
        <w:rPr>
          <w:color w:val="231F20"/>
          <w:spacing w:val="-32"/>
          <w:w w:val="105"/>
        </w:rPr>
        <w:t> </w:t>
      </w:r>
      <w:r>
        <w:rPr>
          <w:color w:val="231F20"/>
          <w:spacing w:val="-3"/>
          <w:w w:val="105"/>
        </w:rPr>
        <w:t>regional</w:t>
      </w:r>
      <w:r>
        <w:rPr>
          <w:color w:val="231F20"/>
          <w:spacing w:val="-32"/>
          <w:w w:val="105"/>
        </w:rPr>
        <w:t> </w:t>
      </w:r>
      <w:r>
        <w:rPr>
          <w:color w:val="231F20"/>
          <w:w w:val="105"/>
        </w:rPr>
        <w:t>se</w:t>
      </w:r>
      <w:r>
        <w:rPr>
          <w:color w:val="231F20"/>
          <w:spacing w:val="-32"/>
          <w:w w:val="105"/>
        </w:rPr>
        <w:t> </w:t>
      </w:r>
      <w:r>
        <w:rPr>
          <w:color w:val="231F20"/>
          <w:w w:val="105"/>
        </w:rPr>
        <w:t>basa</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hipótesis</w:t>
      </w:r>
      <w:r>
        <w:rPr>
          <w:color w:val="231F20"/>
          <w:spacing w:val="-32"/>
          <w:w w:val="105"/>
        </w:rPr>
        <w:t> </w:t>
      </w:r>
      <w:r>
        <w:rPr>
          <w:color w:val="231F20"/>
          <w:w w:val="105"/>
        </w:rPr>
        <w:t>de</w:t>
      </w:r>
      <w:r>
        <w:rPr>
          <w:color w:val="231F20"/>
          <w:spacing w:val="-32"/>
          <w:w w:val="105"/>
        </w:rPr>
        <w:t> </w:t>
      </w:r>
      <w:r>
        <w:rPr>
          <w:color w:val="231F20"/>
          <w:w w:val="105"/>
        </w:rPr>
        <w:t>que</w:t>
      </w:r>
      <w:r>
        <w:rPr>
          <w:color w:val="231F20"/>
          <w:spacing w:val="-32"/>
          <w:w w:val="105"/>
        </w:rPr>
        <w:t> </w:t>
      </w:r>
      <w:r>
        <w:rPr>
          <w:color w:val="231F20"/>
          <w:w w:val="105"/>
        </w:rPr>
        <w:t>el</w:t>
      </w:r>
      <w:r>
        <w:rPr>
          <w:color w:val="231F20"/>
          <w:spacing w:val="-32"/>
          <w:w w:val="105"/>
        </w:rPr>
        <w:t> </w:t>
      </w:r>
      <w:r>
        <w:rPr>
          <w:color w:val="231F20"/>
          <w:w w:val="105"/>
        </w:rPr>
        <w:t>sistema</w:t>
      </w:r>
      <w:r>
        <w:rPr>
          <w:color w:val="231F20"/>
          <w:spacing w:val="-32"/>
          <w:w w:val="105"/>
        </w:rPr>
        <w:t> </w:t>
      </w:r>
      <w:r>
        <w:rPr>
          <w:color w:val="231F20"/>
          <w:w w:val="105"/>
        </w:rPr>
        <w:t>es</w:t>
      </w:r>
      <w:r>
        <w:rPr>
          <w:color w:val="231F20"/>
          <w:spacing w:val="-32"/>
          <w:w w:val="105"/>
        </w:rPr>
        <w:t> </w:t>
      </w:r>
      <w:r>
        <w:rPr>
          <w:color w:val="231F20"/>
          <w:w w:val="105"/>
        </w:rPr>
        <w:t>una</w:t>
      </w:r>
      <w:r>
        <w:rPr>
          <w:color w:val="231F20"/>
          <w:spacing w:val="-32"/>
          <w:w w:val="105"/>
        </w:rPr>
        <w:t> </w:t>
      </w:r>
      <w:r>
        <w:rPr>
          <w:color w:val="231F20"/>
          <w:w w:val="105"/>
        </w:rPr>
        <w:t>serie</w:t>
      </w:r>
      <w:r>
        <w:rPr>
          <w:color w:val="231F20"/>
          <w:spacing w:val="-2"/>
          <w:w w:val="101"/>
        </w:rPr>
        <w:t> </w:t>
      </w:r>
      <w:r>
        <w:rPr>
          <w:color w:val="231F20"/>
          <w:w w:val="105"/>
        </w:rPr>
        <w:t>de</w:t>
      </w:r>
      <w:r>
        <w:rPr>
          <w:color w:val="231F20"/>
          <w:spacing w:val="-37"/>
          <w:w w:val="105"/>
        </w:rPr>
        <w:t> </w:t>
      </w:r>
      <w:r>
        <w:rPr>
          <w:color w:val="231F20"/>
          <w:spacing w:val="-3"/>
          <w:w w:val="105"/>
        </w:rPr>
        <w:t>regiones</w:t>
      </w:r>
      <w:r>
        <w:rPr>
          <w:color w:val="231F20"/>
          <w:spacing w:val="-37"/>
          <w:w w:val="105"/>
        </w:rPr>
        <w:t> </w:t>
      </w:r>
      <w:r>
        <w:rPr>
          <w:color w:val="231F20"/>
          <w:w w:val="105"/>
        </w:rPr>
        <w:t>no</w:t>
      </w:r>
      <w:r>
        <w:rPr>
          <w:color w:val="231F20"/>
          <w:spacing w:val="-37"/>
          <w:w w:val="105"/>
        </w:rPr>
        <w:t> </w:t>
      </w:r>
      <w:r>
        <w:rPr>
          <w:color w:val="231F20"/>
          <w:w w:val="105"/>
        </w:rPr>
        <w:t>espaciales.</w:t>
      </w:r>
      <w:r>
        <w:rPr>
          <w:color w:val="231F20"/>
          <w:spacing w:val="-43"/>
          <w:w w:val="105"/>
        </w:rPr>
        <w:t> </w:t>
      </w:r>
      <w:r>
        <w:rPr>
          <w:color w:val="231F20"/>
          <w:w w:val="105"/>
        </w:rPr>
        <w:t>Además,</w:t>
      </w:r>
      <w:r>
        <w:rPr>
          <w:color w:val="231F20"/>
          <w:spacing w:val="-41"/>
          <w:w w:val="105"/>
        </w:rPr>
        <w:t> </w:t>
      </w:r>
      <w:r>
        <w:rPr>
          <w:color w:val="231F20"/>
          <w:w w:val="105"/>
        </w:rPr>
        <w:t>los</w:t>
      </w:r>
      <w:r>
        <w:rPr>
          <w:color w:val="231F20"/>
          <w:spacing w:val="-37"/>
          <w:w w:val="105"/>
        </w:rPr>
        <w:t> </w:t>
      </w:r>
      <w:r>
        <w:rPr>
          <w:color w:val="231F20"/>
          <w:w w:val="105"/>
        </w:rPr>
        <w:t>modelos</w:t>
      </w:r>
      <w:r>
        <w:rPr>
          <w:color w:val="231F20"/>
          <w:spacing w:val="-37"/>
          <w:w w:val="105"/>
        </w:rPr>
        <w:t> </w:t>
      </w:r>
      <w:r>
        <w:rPr>
          <w:color w:val="231F20"/>
          <w:w w:val="105"/>
        </w:rPr>
        <w:t>de</w:t>
      </w:r>
      <w:r>
        <w:rPr>
          <w:color w:val="231F20"/>
          <w:spacing w:val="-37"/>
          <w:w w:val="105"/>
        </w:rPr>
        <w:t> </w:t>
      </w:r>
      <w:r>
        <w:rPr>
          <w:color w:val="231F20"/>
          <w:w w:val="105"/>
        </w:rPr>
        <w:t>localización</w:t>
      </w:r>
      <w:r>
        <w:rPr>
          <w:color w:val="231F20"/>
          <w:spacing w:val="-37"/>
          <w:w w:val="105"/>
        </w:rPr>
        <w:t> </w:t>
      </w:r>
      <w:r>
        <w:rPr>
          <w:color w:val="231F20"/>
          <w:w w:val="105"/>
        </w:rPr>
        <w:t>son</w:t>
      </w:r>
      <w:r>
        <w:rPr>
          <w:color w:val="231F20"/>
          <w:spacing w:val="-37"/>
          <w:w w:val="105"/>
        </w:rPr>
        <w:t> </w:t>
      </w:r>
      <w:r>
        <w:rPr>
          <w:color w:val="231F20"/>
          <w:w w:val="105"/>
        </w:rPr>
        <w:t>está-</w:t>
      </w:r>
      <w:r>
        <w:rPr>
          <w:color w:val="231F20"/>
          <w:w w:val="96"/>
        </w:rPr>
        <w:t> </w:t>
      </w:r>
      <w:r>
        <w:rPr>
          <w:color w:val="231F20"/>
          <w:w w:val="105"/>
        </w:rPr>
        <w:t>ticos</w:t>
      </w:r>
      <w:r>
        <w:rPr>
          <w:color w:val="231F20"/>
          <w:spacing w:val="-21"/>
          <w:w w:val="105"/>
        </w:rPr>
        <w:t> </w:t>
      </w:r>
      <w:r>
        <w:rPr>
          <w:color w:val="231F20"/>
          <w:w w:val="105"/>
        </w:rPr>
        <w:t>mientras</w:t>
      </w:r>
      <w:r>
        <w:rPr>
          <w:color w:val="231F20"/>
          <w:spacing w:val="-21"/>
          <w:w w:val="105"/>
        </w:rPr>
        <w:t> </w:t>
      </w:r>
      <w:r>
        <w:rPr>
          <w:color w:val="231F20"/>
          <w:w w:val="105"/>
        </w:rPr>
        <w:t>los</w:t>
      </w:r>
      <w:r>
        <w:rPr>
          <w:color w:val="231F20"/>
          <w:spacing w:val="-21"/>
          <w:w w:val="105"/>
        </w:rPr>
        <w:t> </w:t>
      </w:r>
      <w:r>
        <w:rPr>
          <w:color w:val="231F20"/>
          <w:w w:val="105"/>
        </w:rPr>
        <w:t>de</w:t>
      </w:r>
      <w:r>
        <w:rPr>
          <w:color w:val="231F20"/>
          <w:spacing w:val="-21"/>
          <w:w w:val="105"/>
        </w:rPr>
        <w:t> </w:t>
      </w:r>
      <w:r>
        <w:rPr>
          <w:color w:val="231F20"/>
          <w:spacing w:val="-3"/>
          <w:w w:val="105"/>
        </w:rPr>
        <w:t>crecimiento</w:t>
      </w:r>
      <w:r>
        <w:rPr>
          <w:color w:val="231F20"/>
          <w:spacing w:val="-21"/>
          <w:w w:val="105"/>
        </w:rPr>
        <w:t> </w:t>
      </w:r>
      <w:r>
        <w:rPr>
          <w:color w:val="231F20"/>
          <w:spacing w:val="-3"/>
          <w:w w:val="105"/>
        </w:rPr>
        <w:t>regional</w:t>
      </w:r>
      <w:r>
        <w:rPr>
          <w:color w:val="231F20"/>
          <w:spacing w:val="-21"/>
          <w:w w:val="105"/>
        </w:rPr>
        <w:t> </w:t>
      </w:r>
      <w:r>
        <w:rPr>
          <w:color w:val="231F20"/>
          <w:w w:val="105"/>
        </w:rPr>
        <w:t>son</w:t>
      </w:r>
      <w:r>
        <w:rPr>
          <w:color w:val="231F20"/>
          <w:spacing w:val="-21"/>
          <w:w w:val="105"/>
        </w:rPr>
        <w:t> </w:t>
      </w:r>
      <w:r>
        <w:rPr>
          <w:color w:val="231F20"/>
          <w:w w:val="105"/>
        </w:rPr>
        <w:t>dinámicos</w:t>
      </w:r>
      <w:r>
        <w:rPr>
          <w:color w:val="231F20"/>
          <w:spacing w:val="-21"/>
          <w:w w:val="105"/>
        </w:rPr>
        <w:t> </w:t>
      </w:r>
      <w:r>
        <w:rPr>
          <w:color w:val="231F20"/>
          <w:spacing w:val="-3"/>
          <w:w w:val="105"/>
        </w:rPr>
        <w:t>(Capello,</w:t>
      </w:r>
      <w:r>
        <w:rPr>
          <w:color w:val="231F20"/>
          <w:spacing w:val="-27"/>
          <w:w w:val="105"/>
        </w:rPr>
        <w:t> </w:t>
      </w:r>
      <w:r>
        <w:rPr>
          <w:color w:val="231F20"/>
          <w:spacing w:val="-2"/>
          <w:w w:val="105"/>
        </w:rPr>
        <w:t>2006).</w:t>
      </w:r>
    </w:p>
    <w:p>
      <w:pPr>
        <w:pStyle w:val="BodyText"/>
        <w:spacing w:line="259" w:lineRule="auto"/>
        <w:ind w:left="103" w:right="114" w:firstLine="567"/>
        <w:jc w:val="both"/>
      </w:pPr>
      <w:r>
        <w:rPr>
          <w:color w:val="231F20"/>
          <w:w w:val="105"/>
        </w:rPr>
        <w:t>Es preciso enfatizar que las teorías vinculadas con el objetivo de este</w:t>
      </w:r>
      <w:r>
        <w:rPr>
          <w:color w:val="231F20"/>
          <w:spacing w:val="-13"/>
          <w:w w:val="105"/>
        </w:rPr>
        <w:t> </w:t>
      </w:r>
      <w:r>
        <w:rPr>
          <w:color w:val="231F20"/>
          <w:w w:val="105"/>
        </w:rPr>
        <w:t>capítulo</w:t>
      </w:r>
      <w:r>
        <w:rPr>
          <w:color w:val="231F20"/>
          <w:spacing w:val="-13"/>
          <w:w w:val="105"/>
        </w:rPr>
        <w:t> </w:t>
      </w:r>
      <w:r>
        <w:rPr>
          <w:color w:val="231F20"/>
          <w:w w:val="105"/>
        </w:rPr>
        <w:t>se</w:t>
      </w:r>
      <w:r>
        <w:rPr>
          <w:color w:val="231F20"/>
          <w:spacing w:val="-13"/>
          <w:w w:val="105"/>
        </w:rPr>
        <w:t> </w:t>
      </w:r>
      <w:r>
        <w:rPr>
          <w:color w:val="231F20"/>
          <w:w w:val="105"/>
        </w:rPr>
        <w:t>relacionan</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crecimiento</w:t>
      </w:r>
      <w:r>
        <w:rPr>
          <w:color w:val="231F20"/>
          <w:spacing w:val="-13"/>
          <w:w w:val="105"/>
        </w:rPr>
        <w:t> </w:t>
      </w:r>
      <w:r>
        <w:rPr>
          <w:color w:val="231F20"/>
          <w:w w:val="105"/>
        </w:rPr>
        <w:t>económico</w:t>
      </w:r>
      <w:r>
        <w:rPr>
          <w:color w:val="231F20"/>
          <w:spacing w:val="-13"/>
          <w:w w:val="105"/>
        </w:rPr>
        <w:t> </w:t>
      </w:r>
      <w:r>
        <w:rPr>
          <w:color w:val="231F20"/>
          <w:w w:val="105"/>
        </w:rPr>
        <w:t>regional.</w:t>
      </w:r>
      <w:r>
        <w:rPr>
          <w:color w:val="231F20"/>
          <w:spacing w:val="-19"/>
          <w:w w:val="105"/>
        </w:rPr>
        <w:t> </w:t>
      </w:r>
      <w:r>
        <w:rPr>
          <w:color w:val="231F20"/>
          <w:w w:val="105"/>
        </w:rPr>
        <w:t>Den- tro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estudios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economía,</w:t>
      </w:r>
      <w:r>
        <w:rPr>
          <w:color w:val="231F20"/>
          <w:spacing w:val="-13"/>
          <w:w w:val="105"/>
        </w:rPr>
        <w:t> </w:t>
      </w:r>
      <w:r>
        <w:rPr>
          <w:color w:val="231F20"/>
          <w:w w:val="105"/>
        </w:rPr>
        <w:t>el</w:t>
      </w:r>
      <w:r>
        <w:rPr>
          <w:color w:val="231F20"/>
          <w:spacing w:val="-8"/>
          <w:w w:val="105"/>
        </w:rPr>
        <w:t> </w:t>
      </w:r>
      <w:r>
        <w:rPr>
          <w:color w:val="231F20"/>
          <w:w w:val="105"/>
        </w:rPr>
        <w:t>crecimiento</w:t>
      </w:r>
      <w:r>
        <w:rPr>
          <w:color w:val="231F20"/>
          <w:spacing w:val="-8"/>
          <w:w w:val="105"/>
        </w:rPr>
        <w:t> </w:t>
      </w:r>
      <w:r>
        <w:rPr>
          <w:color w:val="231F20"/>
          <w:w w:val="105"/>
        </w:rPr>
        <w:t>económico</w:t>
      </w:r>
      <w:r>
        <w:rPr>
          <w:color w:val="231F20"/>
          <w:spacing w:val="-8"/>
          <w:w w:val="105"/>
        </w:rPr>
        <w:t> </w:t>
      </w:r>
      <w:r>
        <w:rPr>
          <w:color w:val="231F20"/>
          <w:w w:val="105"/>
        </w:rPr>
        <w:t>es</w:t>
      </w:r>
      <w:r>
        <w:rPr>
          <w:color w:val="231F20"/>
          <w:spacing w:val="-8"/>
          <w:w w:val="105"/>
        </w:rPr>
        <w:t> </w:t>
      </w:r>
      <w:r>
        <w:rPr>
          <w:color w:val="231F20"/>
          <w:w w:val="105"/>
        </w:rPr>
        <w:t>uno</w:t>
      </w:r>
      <w:r>
        <w:rPr>
          <w:color w:val="231F20"/>
          <w:spacing w:val="-8"/>
          <w:w w:val="105"/>
        </w:rPr>
        <w:t> </w:t>
      </w:r>
      <w:r>
        <w:rPr>
          <w:color w:val="231F20"/>
          <w:w w:val="105"/>
        </w:rPr>
        <w:t>de los</w:t>
      </w:r>
      <w:r>
        <w:rPr>
          <w:color w:val="231F20"/>
          <w:spacing w:val="-20"/>
          <w:w w:val="105"/>
        </w:rPr>
        <w:t> </w:t>
      </w:r>
      <w:r>
        <w:rPr>
          <w:color w:val="231F20"/>
          <w:w w:val="105"/>
        </w:rPr>
        <w:t>elementos</w:t>
      </w:r>
      <w:r>
        <w:rPr>
          <w:color w:val="231F20"/>
          <w:spacing w:val="-20"/>
          <w:w w:val="105"/>
        </w:rPr>
        <w:t> </w:t>
      </w:r>
      <w:r>
        <w:rPr>
          <w:color w:val="231F20"/>
          <w:w w:val="105"/>
        </w:rPr>
        <w:t>que</w:t>
      </w:r>
      <w:r>
        <w:rPr>
          <w:color w:val="231F20"/>
          <w:spacing w:val="-20"/>
          <w:w w:val="105"/>
        </w:rPr>
        <w:t> </w:t>
      </w:r>
      <w:r>
        <w:rPr>
          <w:color w:val="231F20"/>
          <w:w w:val="105"/>
        </w:rPr>
        <w:t>promueve</w:t>
      </w:r>
      <w:r>
        <w:rPr>
          <w:color w:val="231F20"/>
          <w:spacing w:val="-20"/>
          <w:w w:val="105"/>
        </w:rPr>
        <w:t> </w:t>
      </w:r>
      <w:r>
        <w:rPr>
          <w:color w:val="231F20"/>
          <w:w w:val="105"/>
        </w:rPr>
        <w:t>la</w:t>
      </w:r>
      <w:r>
        <w:rPr>
          <w:color w:val="231F20"/>
          <w:spacing w:val="-20"/>
          <w:w w:val="105"/>
        </w:rPr>
        <w:t> </w:t>
      </w:r>
      <w:r>
        <w:rPr>
          <w:color w:val="231F20"/>
          <w:w w:val="105"/>
        </w:rPr>
        <w:t>discusión</w:t>
      </w:r>
      <w:r>
        <w:rPr>
          <w:color w:val="231F20"/>
          <w:spacing w:val="-20"/>
          <w:w w:val="105"/>
        </w:rPr>
        <w:t> </w:t>
      </w:r>
      <w:r>
        <w:rPr>
          <w:color w:val="231F20"/>
          <w:w w:val="105"/>
        </w:rPr>
        <w:t>teórica</w:t>
      </w:r>
      <w:r>
        <w:rPr>
          <w:color w:val="231F20"/>
          <w:spacing w:val="-20"/>
          <w:w w:val="105"/>
        </w:rPr>
        <w:t> </w:t>
      </w:r>
      <w:r>
        <w:rPr>
          <w:color w:val="231F20"/>
          <w:w w:val="105"/>
        </w:rPr>
        <w:t>sobre</w:t>
      </w:r>
      <w:r>
        <w:rPr>
          <w:color w:val="231F20"/>
          <w:spacing w:val="-20"/>
          <w:w w:val="105"/>
        </w:rPr>
        <w:t> </w:t>
      </w:r>
      <w:r>
        <w:rPr>
          <w:color w:val="231F20"/>
          <w:w w:val="105"/>
        </w:rPr>
        <w:t>qué</w:t>
      </w:r>
      <w:r>
        <w:rPr>
          <w:color w:val="231F20"/>
          <w:spacing w:val="-20"/>
          <w:w w:val="105"/>
        </w:rPr>
        <w:t> </w:t>
      </w:r>
      <w:r>
        <w:rPr>
          <w:color w:val="231F20"/>
          <w:w w:val="105"/>
        </w:rPr>
        <w:t>es</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ge- nera dicho proceso y por qué algunos países logran mayor</w:t>
      </w:r>
      <w:r>
        <w:rPr>
          <w:color w:val="231F20"/>
          <w:spacing w:val="-28"/>
          <w:w w:val="105"/>
        </w:rPr>
        <w:t> </w:t>
      </w:r>
      <w:r>
        <w:rPr>
          <w:color w:val="231F20"/>
          <w:w w:val="105"/>
        </w:rPr>
        <w:t>crecimiento económico que</w:t>
      </w:r>
      <w:r>
        <w:rPr>
          <w:color w:val="231F20"/>
          <w:spacing w:val="-11"/>
          <w:w w:val="105"/>
        </w:rPr>
        <w:t> </w:t>
      </w:r>
      <w:r>
        <w:rPr>
          <w:color w:val="231F20"/>
          <w:w w:val="105"/>
        </w:rPr>
        <w:t>otros.</w:t>
      </w:r>
    </w:p>
    <w:p>
      <w:pPr>
        <w:pStyle w:val="BodyText"/>
        <w:rPr>
          <w:sz w:val="20"/>
        </w:rPr>
      </w:pPr>
    </w:p>
    <w:p>
      <w:pPr>
        <w:pStyle w:val="BodyText"/>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922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238</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9176"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239</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Estos estudios indican que hay un número de variables sociales,</w:t>
      </w:r>
      <w:r>
        <w:rPr>
          <w:color w:val="231F20"/>
          <w:spacing w:val="-11"/>
          <w:w w:val="105"/>
        </w:rPr>
        <w:t> </w:t>
      </w:r>
      <w:r>
        <w:rPr>
          <w:color w:val="231F20"/>
          <w:w w:val="105"/>
        </w:rPr>
        <w:t>políti- cas</w:t>
      </w:r>
      <w:r>
        <w:rPr>
          <w:color w:val="231F20"/>
          <w:spacing w:val="-7"/>
          <w:w w:val="105"/>
        </w:rPr>
        <w:t> </w:t>
      </w:r>
      <w:r>
        <w:rPr>
          <w:color w:val="231F20"/>
          <w:w w:val="105"/>
        </w:rPr>
        <w:t>e</w:t>
      </w:r>
      <w:r>
        <w:rPr>
          <w:color w:val="231F20"/>
          <w:spacing w:val="-7"/>
          <w:w w:val="105"/>
        </w:rPr>
        <w:t> </w:t>
      </w:r>
      <w:r>
        <w:rPr>
          <w:color w:val="231F20"/>
          <w:w w:val="105"/>
        </w:rPr>
        <w:t>institucionales</w:t>
      </w:r>
      <w:r>
        <w:rPr>
          <w:color w:val="231F20"/>
          <w:spacing w:val="-7"/>
          <w:w w:val="105"/>
        </w:rPr>
        <w:t> </w:t>
      </w:r>
      <w:r>
        <w:rPr>
          <w:color w:val="231F20"/>
          <w:w w:val="105"/>
        </w:rPr>
        <w:t>que</w:t>
      </w:r>
      <w:r>
        <w:rPr>
          <w:color w:val="231F20"/>
          <w:spacing w:val="-7"/>
          <w:w w:val="105"/>
        </w:rPr>
        <w:t> </w:t>
      </w:r>
      <w:r>
        <w:rPr>
          <w:color w:val="231F20"/>
          <w:w w:val="105"/>
        </w:rPr>
        <w:t>son</w:t>
      </w:r>
      <w:r>
        <w:rPr>
          <w:color w:val="231F20"/>
          <w:spacing w:val="-7"/>
          <w:w w:val="105"/>
        </w:rPr>
        <w:t> </w:t>
      </w:r>
      <w:r>
        <w:rPr>
          <w:color w:val="231F20"/>
          <w:w w:val="105"/>
        </w:rPr>
        <w:t>importantes</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determinación</w:t>
      </w:r>
      <w:r>
        <w:rPr>
          <w:color w:val="231F20"/>
          <w:spacing w:val="-7"/>
          <w:w w:val="105"/>
        </w:rPr>
        <w:t> </w:t>
      </w:r>
      <w:r>
        <w:rPr>
          <w:color w:val="231F20"/>
          <w:w w:val="105"/>
        </w:rPr>
        <w:t>del</w:t>
      </w:r>
      <w:r>
        <w:rPr>
          <w:color w:val="231F20"/>
          <w:spacing w:val="-7"/>
          <w:w w:val="105"/>
        </w:rPr>
        <w:t> </w:t>
      </w:r>
      <w:r>
        <w:rPr>
          <w:color w:val="231F20"/>
          <w:w w:val="105"/>
        </w:rPr>
        <w:t>creci- miento</w:t>
      </w:r>
      <w:r>
        <w:rPr>
          <w:color w:val="231F20"/>
          <w:spacing w:val="-17"/>
          <w:w w:val="105"/>
        </w:rPr>
        <w:t> </w:t>
      </w:r>
      <w:r>
        <w:rPr>
          <w:color w:val="231F20"/>
          <w:w w:val="105"/>
        </w:rPr>
        <w:t>económico.</w:t>
      </w:r>
      <w:r>
        <w:rPr>
          <w:color w:val="231F20"/>
          <w:spacing w:val="-23"/>
          <w:w w:val="105"/>
        </w:rPr>
        <w:t> </w:t>
      </w:r>
      <w:r>
        <w:rPr>
          <w:color w:val="231F20"/>
          <w:w w:val="105"/>
        </w:rPr>
        <w:t>Muchas</w:t>
      </w:r>
      <w:r>
        <w:rPr>
          <w:color w:val="231F20"/>
          <w:spacing w:val="-17"/>
          <w:w w:val="105"/>
        </w:rPr>
        <w:t> </w:t>
      </w:r>
      <w:r>
        <w:rPr>
          <w:color w:val="231F20"/>
          <w:w w:val="105"/>
        </w:rPr>
        <w:t>de</w:t>
      </w:r>
      <w:r>
        <w:rPr>
          <w:color w:val="231F20"/>
          <w:spacing w:val="-17"/>
          <w:w w:val="105"/>
        </w:rPr>
        <w:t> </w:t>
      </w:r>
      <w:r>
        <w:rPr>
          <w:color w:val="231F20"/>
          <w:w w:val="105"/>
        </w:rPr>
        <w:t>éstas</w:t>
      </w:r>
      <w:r>
        <w:rPr>
          <w:color w:val="231F20"/>
          <w:spacing w:val="-17"/>
          <w:w w:val="105"/>
        </w:rPr>
        <w:t> </w:t>
      </w:r>
      <w:r>
        <w:rPr>
          <w:color w:val="231F20"/>
          <w:w w:val="105"/>
        </w:rPr>
        <w:t>tienden</w:t>
      </w:r>
      <w:r>
        <w:rPr>
          <w:color w:val="231F20"/>
          <w:spacing w:val="-17"/>
          <w:w w:val="105"/>
        </w:rPr>
        <w:t> </w:t>
      </w:r>
      <w:r>
        <w:rPr>
          <w:color w:val="231F20"/>
          <w:w w:val="105"/>
        </w:rPr>
        <w:t>a</w:t>
      </w:r>
      <w:r>
        <w:rPr>
          <w:color w:val="231F20"/>
          <w:spacing w:val="-17"/>
          <w:w w:val="105"/>
        </w:rPr>
        <w:t> </w:t>
      </w:r>
      <w:r>
        <w:rPr>
          <w:color w:val="231F20"/>
          <w:w w:val="105"/>
        </w:rPr>
        <w:t>evolucionar</w:t>
      </w:r>
      <w:r>
        <w:rPr>
          <w:color w:val="231F20"/>
          <w:spacing w:val="-17"/>
          <w:w w:val="105"/>
        </w:rPr>
        <w:t> </w:t>
      </w:r>
      <w:r>
        <w:rPr>
          <w:color w:val="231F20"/>
          <w:w w:val="105"/>
        </w:rPr>
        <w:t>ellas</w:t>
      </w:r>
      <w:r>
        <w:rPr>
          <w:color w:val="231F20"/>
          <w:spacing w:val="-17"/>
          <w:w w:val="105"/>
        </w:rPr>
        <w:t> </w:t>
      </w:r>
      <w:r>
        <w:rPr>
          <w:color w:val="231F20"/>
          <w:w w:val="105"/>
        </w:rPr>
        <w:t>mismas durante el proceso de desarrollo económico y generan cambios como el</w:t>
      </w:r>
      <w:r>
        <w:rPr>
          <w:color w:val="231F20"/>
          <w:spacing w:val="-12"/>
          <w:w w:val="105"/>
        </w:rPr>
        <w:t> </w:t>
      </w:r>
      <w:r>
        <w:rPr>
          <w:color w:val="231F20"/>
          <w:w w:val="105"/>
        </w:rPr>
        <w:t>aumento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indicadores</w:t>
      </w:r>
      <w:r>
        <w:rPr>
          <w:color w:val="231F20"/>
          <w:spacing w:val="-12"/>
          <w:w w:val="105"/>
        </w:rPr>
        <w:t> </w:t>
      </w:r>
      <w:r>
        <w:rPr>
          <w:color w:val="231F20"/>
          <w:w w:val="105"/>
        </w:rPr>
        <w:t>de</w:t>
      </w:r>
      <w:r>
        <w:rPr>
          <w:color w:val="231F20"/>
          <w:spacing w:val="-12"/>
          <w:w w:val="105"/>
        </w:rPr>
        <w:t> </w:t>
      </w:r>
      <w:r>
        <w:rPr>
          <w:color w:val="231F20"/>
          <w:w w:val="105"/>
        </w:rPr>
        <w:t>salud,</w:t>
      </w:r>
      <w:r>
        <w:rPr>
          <w:color w:val="231F20"/>
          <w:spacing w:val="-17"/>
          <w:w w:val="105"/>
        </w:rPr>
        <w:t> </w:t>
      </w:r>
      <w:r>
        <w:rPr>
          <w:color w:val="231F20"/>
          <w:w w:val="105"/>
        </w:rPr>
        <w:t>la</w:t>
      </w:r>
      <w:r>
        <w:rPr>
          <w:color w:val="231F20"/>
          <w:spacing w:val="-12"/>
          <w:w w:val="105"/>
        </w:rPr>
        <w:t> </w:t>
      </w:r>
      <w:r>
        <w:rPr>
          <w:color w:val="231F20"/>
          <w:w w:val="105"/>
        </w:rPr>
        <w:t>reducción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tasa</w:t>
      </w:r>
      <w:r>
        <w:rPr>
          <w:color w:val="231F20"/>
          <w:spacing w:val="-12"/>
          <w:w w:val="105"/>
        </w:rPr>
        <w:t> </w:t>
      </w:r>
      <w:r>
        <w:rPr>
          <w:color w:val="231F20"/>
          <w:w w:val="105"/>
        </w:rPr>
        <w:t>de</w:t>
      </w:r>
      <w:r>
        <w:rPr>
          <w:color w:val="231F20"/>
          <w:spacing w:val="-12"/>
          <w:w w:val="105"/>
        </w:rPr>
        <w:t> </w:t>
      </w:r>
      <w:r>
        <w:rPr>
          <w:color w:val="231F20"/>
          <w:w w:val="105"/>
        </w:rPr>
        <w:t>fertili- dad</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expansión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democracia,</w:t>
      </w:r>
      <w:r>
        <w:rPr>
          <w:color w:val="231F20"/>
          <w:spacing w:val="-13"/>
          <w:w w:val="105"/>
        </w:rPr>
        <w:t> </w:t>
      </w:r>
      <w:r>
        <w:rPr>
          <w:color w:val="231F20"/>
          <w:w w:val="105"/>
        </w:rPr>
        <w:t>que</w:t>
      </w:r>
      <w:r>
        <w:rPr>
          <w:color w:val="231F20"/>
          <w:spacing w:val="-6"/>
          <w:w w:val="105"/>
        </w:rPr>
        <w:t> </w:t>
      </w:r>
      <w:r>
        <w:rPr>
          <w:color w:val="231F20"/>
          <w:w w:val="105"/>
        </w:rPr>
        <w:t>han</w:t>
      </w:r>
      <w:r>
        <w:rPr>
          <w:color w:val="231F20"/>
          <w:spacing w:val="-6"/>
          <w:w w:val="105"/>
        </w:rPr>
        <w:t> </w:t>
      </w:r>
      <w:r>
        <w:rPr>
          <w:color w:val="231F20"/>
          <w:w w:val="105"/>
        </w:rPr>
        <w:t>impulsado</w:t>
      </w:r>
      <w:r>
        <w:rPr>
          <w:color w:val="231F20"/>
          <w:spacing w:val="-6"/>
          <w:w w:val="105"/>
        </w:rPr>
        <w:t> </w:t>
      </w:r>
      <w:r>
        <w:rPr>
          <w:color w:val="231F20"/>
          <w:w w:val="105"/>
        </w:rPr>
        <w:t>el</w:t>
      </w:r>
      <w:r>
        <w:rPr>
          <w:color w:val="231F20"/>
          <w:spacing w:val="-6"/>
          <w:w w:val="105"/>
        </w:rPr>
        <w:t> </w:t>
      </w:r>
      <w:r>
        <w:rPr>
          <w:color w:val="231F20"/>
          <w:w w:val="105"/>
        </w:rPr>
        <w:t>crecimiento económico.</w:t>
      </w:r>
      <w:r>
        <w:rPr>
          <w:color w:val="231F20"/>
          <w:spacing w:val="-16"/>
          <w:w w:val="105"/>
        </w:rPr>
        <w:t> </w:t>
      </w:r>
      <w:r>
        <w:rPr>
          <w:color w:val="231F20"/>
          <w:w w:val="105"/>
        </w:rPr>
        <w:t>Esta</w:t>
      </w:r>
      <w:r>
        <w:rPr>
          <w:color w:val="231F20"/>
          <w:spacing w:val="-11"/>
          <w:w w:val="105"/>
        </w:rPr>
        <w:t> </w:t>
      </w:r>
      <w:r>
        <w:rPr>
          <w:color w:val="231F20"/>
          <w:w w:val="105"/>
        </w:rPr>
        <w:t>dimensión</w:t>
      </w:r>
      <w:r>
        <w:rPr>
          <w:color w:val="231F20"/>
          <w:spacing w:val="-11"/>
          <w:w w:val="105"/>
        </w:rPr>
        <w:t> </w:t>
      </w:r>
      <w:r>
        <w:rPr>
          <w:color w:val="231F20"/>
          <w:w w:val="105"/>
        </w:rPr>
        <w:t>de</w:t>
      </w:r>
      <w:r>
        <w:rPr>
          <w:color w:val="231F20"/>
          <w:spacing w:val="-11"/>
          <w:w w:val="105"/>
        </w:rPr>
        <w:t> </w:t>
      </w:r>
      <w:r>
        <w:rPr>
          <w:color w:val="231F20"/>
          <w:w w:val="105"/>
        </w:rPr>
        <w:t>calidad</w:t>
      </w:r>
      <w:r>
        <w:rPr>
          <w:color w:val="231F20"/>
          <w:spacing w:val="-11"/>
          <w:w w:val="105"/>
        </w:rPr>
        <w:t> </w:t>
      </w:r>
      <w:r>
        <w:rPr>
          <w:color w:val="231F20"/>
          <w:w w:val="105"/>
        </w:rPr>
        <w:t>contrasta</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cantidad</w:t>
      </w:r>
      <w:r>
        <w:rPr>
          <w:color w:val="231F20"/>
          <w:spacing w:val="-11"/>
          <w:w w:val="105"/>
        </w:rPr>
        <w:t> </w:t>
      </w:r>
      <w:r>
        <w:rPr>
          <w:color w:val="231F20"/>
          <w:w w:val="105"/>
        </w:rPr>
        <w:t>de</w:t>
      </w:r>
      <w:r>
        <w:rPr>
          <w:color w:val="231F20"/>
          <w:spacing w:val="-11"/>
          <w:w w:val="105"/>
        </w:rPr>
        <w:t> </w:t>
      </w:r>
      <w:r>
        <w:rPr>
          <w:color w:val="231F20"/>
          <w:w w:val="105"/>
        </w:rPr>
        <w:t>cre- cimiento económico, medida a través del aumento del producto</w:t>
      </w:r>
      <w:r>
        <w:rPr>
          <w:color w:val="231F20"/>
          <w:spacing w:val="-13"/>
          <w:w w:val="105"/>
        </w:rPr>
        <w:t> </w:t>
      </w:r>
      <w:r>
        <w:rPr>
          <w:color w:val="231F20"/>
          <w:w w:val="105"/>
        </w:rPr>
        <w:t>interno bruto</w:t>
      </w:r>
      <w:r>
        <w:rPr>
          <w:color w:val="231F20"/>
          <w:spacing w:val="-22"/>
          <w:w w:val="105"/>
        </w:rPr>
        <w:t> </w:t>
      </w:r>
      <w:r>
        <w:rPr>
          <w:color w:val="231F20"/>
          <w:w w:val="105"/>
        </w:rPr>
        <w:t>(PIB)</w:t>
      </w:r>
      <w:r>
        <w:rPr>
          <w:color w:val="231F20"/>
          <w:spacing w:val="-22"/>
          <w:w w:val="105"/>
        </w:rPr>
        <w:t> </w:t>
      </w:r>
      <w:r>
        <w:rPr>
          <w:i/>
          <w:color w:val="231F20"/>
          <w:w w:val="105"/>
        </w:rPr>
        <w:t>per</w:t>
      </w:r>
      <w:r>
        <w:rPr>
          <w:i/>
          <w:color w:val="231F20"/>
          <w:spacing w:val="-22"/>
          <w:w w:val="105"/>
        </w:rPr>
        <w:t> </w:t>
      </w:r>
      <w:r>
        <w:rPr>
          <w:i/>
          <w:color w:val="231F20"/>
          <w:w w:val="105"/>
        </w:rPr>
        <w:t>cápita</w:t>
      </w:r>
      <w:r>
        <w:rPr>
          <w:i/>
          <w:color w:val="231F20"/>
          <w:spacing w:val="-22"/>
          <w:w w:val="105"/>
        </w:rPr>
        <w:t> </w:t>
      </w:r>
      <w:r>
        <w:rPr>
          <w:color w:val="231F20"/>
          <w:w w:val="105"/>
        </w:rPr>
        <w:t>(Barro,</w:t>
      </w:r>
      <w:r>
        <w:rPr>
          <w:color w:val="231F20"/>
          <w:spacing w:val="-26"/>
          <w:w w:val="105"/>
        </w:rPr>
        <w:t> </w:t>
      </w:r>
      <w:r>
        <w:rPr>
          <w:color w:val="231F20"/>
          <w:w w:val="105"/>
        </w:rPr>
        <w:t>2002).</w:t>
      </w:r>
      <w:r>
        <w:rPr>
          <w:color w:val="231F20"/>
          <w:spacing w:val="-26"/>
          <w:w w:val="105"/>
        </w:rPr>
        <w:t> </w:t>
      </w:r>
      <w:r>
        <w:rPr>
          <w:color w:val="231F20"/>
          <w:spacing w:val="-6"/>
          <w:w w:val="105"/>
        </w:rPr>
        <w:t>Por</w:t>
      </w:r>
      <w:r>
        <w:rPr>
          <w:color w:val="231F20"/>
          <w:spacing w:val="-22"/>
          <w:w w:val="105"/>
        </w:rPr>
        <w:t> </w:t>
      </w:r>
      <w:r>
        <w:rPr>
          <w:color w:val="231F20"/>
          <w:w w:val="105"/>
        </w:rPr>
        <w:t>consecuencia</w:t>
      </w:r>
      <w:r>
        <w:rPr>
          <w:color w:val="231F20"/>
          <w:spacing w:val="-22"/>
          <w:w w:val="105"/>
        </w:rPr>
        <w:t> </w:t>
      </w:r>
      <w:r>
        <w:rPr>
          <w:color w:val="231F20"/>
          <w:w w:val="105"/>
        </w:rPr>
        <w:t>aquí</w:t>
      </w:r>
      <w:r>
        <w:rPr>
          <w:color w:val="231F20"/>
          <w:spacing w:val="-22"/>
          <w:w w:val="105"/>
        </w:rPr>
        <w:t> </w:t>
      </w:r>
      <w:r>
        <w:rPr>
          <w:color w:val="231F20"/>
          <w:w w:val="105"/>
        </w:rPr>
        <w:t>se</w:t>
      </w:r>
      <w:r>
        <w:rPr>
          <w:color w:val="231F20"/>
          <w:spacing w:val="-22"/>
          <w:w w:val="105"/>
        </w:rPr>
        <w:t> </w:t>
      </w:r>
      <w:r>
        <w:rPr>
          <w:color w:val="231F20"/>
          <w:w w:val="105"/>
        </w:rPr>
        <w:t>presentan los</w:t>
      </w:r>
      <w:r>
        <w:rPr>
          <w:color w:val="231F20"/>
          <w:spacing w:val="-13"/>
          <w:w w:val="105"/>
        </w:rPr>
        <w:t> </w:t>
      </w:r>
      <w:r>
        <w:rPr>
          <w:color w:val="231F20"/>
          <w:w w:val="105"/>
        </w:rPr>
        <w:t>principales</w:t>
      </w:r>
      <w:r>
        <w:rPr>
          <w:color w:val="231F20"/>
          <w:spacing w:val="-13"/>
          <w:w w:val="105"/>
        </w:rPr>
        <w:t> </w:t>
      </w:r>
      <w:r>
        <w:rPr>
          <w:color w:val="231F20"/>
          <w:w w:val="105"/>
        </w:rPr>
        <w:t>planteamientos</w:t>
      </w:r>
      <w:r>
        <w:rPr>
          <w:color w:val="231F20"/>
          <w:spacing w:val="-13"/>
          <w:w w:val="105"/>
        </w:rPr>
        <w:t> </w:t>
      </w:r>
      <w:r>
        <w:rPr>
          <w:color w:val="231F20"/>
          <w:w w:val="105"/>
        </w:rPr>
        <w:t>que</w:t>
      </w:r>
      <w:r>
        <w:rPr>
          <w:color w:val="231F20"/>
          <w:spacing w:val="-13"/>
          <w:w w:val="105"/>
        </w:rPr>
        <w:t> </w:t>
      </w:r>
      <w:r>
        <w:rPr>
          <w:color w:val="231F20"/>
          <w:w w:val="105"/>
        </w:rPr>
        <w:t>pretenden</w:t>
      </w:r>
      <w:r>
        <w:rPr>
          <w:color w:val="231F20"/>
          <w:spacing w:val="-13"/>
          <w:w w:val="105"/>
        </w:rPr>
        <w:t> </w:t>
      </w:r>
      <w:r>
        <w:rPr>
          <w:color w:val="231F20"/>
          <w:w w:val="105"/>
        </w:rPr>
        <w:t>describir</w:t>
      </w:r>
      <w:r>
        <w:rPr>
          <w:color w:val="231F20"/>
          <w:spacing w:val="-13"/>
          <w:w w:val="105"/>
        </w:rPr>
        <w:t> </w:t>
      </w:r>
      <w:r>
        <w:rPr>
          <w:color w:val="231F20"/>
          <w:w w:val="105"/>
        </w:rPr>
        <w:t>la</w:t>
      </w:r>
      <w:r>
        <w:rPr>
          <w:color w:val="231F20"/>
          <w:spacing w:val="-13"/>
          <w:w w:val="105"/>
        </w:rPr>
        <w:t> </w:t>
      </w:r>
      <w:r>
        <w:rPr>
          <w:color w:val="231F20"/>
          <w:w w:val="105"/>
        </w:rPr>
        <w:t>naturaleza</w:t>
      </w:r>
      <w:r>
        <w:rPr>
          <w:color w:val="231F20"/>
          <w:spacing w:val="-13"/>
          <w:w w:val="105"/>
        </w:rPr>
        <w:t> </w:t>
      </w:r>
      <w:r>
        <w:rPr>
          <w:color w:val="231F20"/>
          <w:w w:val="105"/>
        </w:rPr>
        <w:t>del crecimiento</w:t>
      </w:r>
      <w:r>
        <w:rPr>
          <w:color w:val="231F20"/>
          <w:spacing w:val="-20"/>
          <w:w w:val="105"/>
        </w:rPr>
        <w:t> </w:t>
      </w:r>
      <w:r>
        <w:rPr>
          <w:color w:val="231F20"/>
          <w:w w:val="105"/>
        </w:rPr>
        <w:t>en</w:t>
      </w:r>
      <w:r>
        <w:rPr>
          <w:color w:val="231F20"/>
          <w:spacing w:val="-20"/>
          <w:w w:val="105"/>
        </w:rPr>
        <w:t> </w:t>
      </w:r>
      <w:r>
        <w:rPr>
          <w:color w:val="231F20"/>
          <w:w w:val="105"/>
        </w:rPr>
        <w:t>determinadas</w:t>
      </w:r>
      <w:r>
        <w:rPr>
          <w:color w:val="231F20"/>
          <w:spacing w:val="-20"/>
          <w:w w:val="105"/>
        </w:rPr>
        <w:t> </w:t>
      </w:r>
      <w:r>
        <w:rPr>
          <w:color w:val="231F20"/>
          <w:w w:val="105"/>
        </w:rPr>
        <w:t>circunstancias</w:t>
      </w:r>
      <w:r>
        <w:rPr>
          <w:color w:val="231F20"/>
          <w:spacing w:val="-20"/>
          <w:w w:val="105"/>
        </w:rPr>
        <w:t> </w:t>
      </w:r>
      <w:r>
        <w:rPr>
          <w:color w:val="231F20"/>
          <w:w w:val="105"/>
        </w:rPr>
        <w:t>de</w:t>
      </w:r>
      <w:r>
        <w:rPr>
          <w:color w:val="231F20"/>
          <w:spacing w:val="-20"/>
          <w:w w:val="105"/>
        </w:rPr>
        <w:t> </w:t>
      </w:r>
      <w:r>
        <w:rPr>
          <w:color w:val="231F20"/>
          <w:w w:val="105"/>
        </w:rPr>
        <w:t>tiempo</w:t>
      </w:r>
      <w:r>
        <w:rPr>
          <w:color w:val="231F20"/>
          <w:spacing w:val="-20"/>
          <w:w w:val="105"/>
        </w:rPr>
        <w:t> </w:t>
      </w:r>
      <w:r>
        <w:rPr>
          <w:color w:val="231F20"/>
          <w:w w:val="105"/>
        </w:rPr>
        <w:t>y</w:t>
      </w:r>
      <w:r>
        <w:rPr>
          <w:color w:val="231F20"/>
          <w:spacing w:val="-20"/>
          <w:w w:val="105"/>
        </w:rPr>
        <w:t> </w:t>
      </w:r>
      <w:r>
        <w:rPr>
          <w:color w:val="231F20"/>
          <w:w w:val="105"/>
        </w:rPr>
        <w:t>espacio.</w:t>
      </w:r>
    </w:p>
    <w:p>
      <w:pPr>
        <w:pStyle w:val="BodyText"/>
        <w:rPr>
          <w:sz w:val="20"/>
        </w:rPr>
      </w:pPr>
    </w:p>
    <w:p>
      <w:pPr>
        <w:pStyle w:val="BodyText"/>
        <w:spacing w:before="7"/>
        <w:rPr>
          <w:sz w:val="18"/>
        </w:rPr>
      </w:pPr>
    </w:p>
    <w:p>
      <w:pPr>
        <w:pStyle w:val="Heading2"/>
      </w:pPr>
      <w:r>
        <w:rPr>
          <w:color w:val="231F20"/>
        </w:rPr>
        <w:t>Antecedentes</w:t>
      </w:r>
    </w:p>
    <w:p>
      <w:pPr>
        <w:pStyle w:val="BodyText"/>
        <w:rPr>
          <w:b/>
          <w:sz w:val="22"/>
        </w:rPr>
      </w:pPr>
    </w:p>
    <w:p>
      <w:pPr>
        <w:pStyle w:val="BodyText"/>
        <w:spacing w:line="259" w:lineRule="auto" w:before="160"/>
        <w:ind w:left="117" w:right="115"/>
        <w:jc w:val="both"/>
      </w:pPr>
      <w:r>
        <w:rPr>
          <w:color w:val="231F20"/>
          <w:w w:val="105"/>
        </w:rPr>
        <w:t>A</w:t>
      </w:r>
      <w:r>
        <w:rPr>
          <w:color w:val="231F20"/>
          <w:spacing w:val="-28"/>
          <w:w w:val="105"/>
        </w:rPr>
        <w:t> </w:t>
      </w:r>
      <w:r>
        <w:rPr>
          <w:color w:val="231F20"/>
          <w:w w:val="105"/>
        </w:rPr>
        <w:t>lo</w:t>
      </w:r>
      <w:r>
        <w:rPr>
          <w:color w:val="231F20"/>
          <w:spacing w:val="-25"/>
          <w:w w:val="105"/>
        </w:rPr>
        <w:t> </w:t>
      </w:r>
      <w:r>
        <w:rPr>
          <w:color w:val="231F20"/>
          <w:w w:val="105"/>
        </w:rPr>
        <w:t>largo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historia</w:t>
      </w:r>
      <w:r>
        <w:rPr>
          <w:color w:val="231F20"/>
          <w:spacing w:val="-25"/>
          <w:w w:val="105"/>
        </w:rPr>
        <w:t> </w:t>
      </w:r>
      <w:r>
        <w:rPr>
          <w:color w:val="231F20"/>
          <w:w w:val="105"/>
        </w:rPr>
        <w:t>económica</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países</w:t>
      </w:r>
      <w:r>
        <w:rPr>
          <w:color w:val="231F20"/>
          <w:spacing w:val="-25"/>
          <w:w w:val="105"/>
        </w:rPr>
        <w:t> </w:t>
      </w:r>
      <w:r>
        <w:rPr>
          <w:color w:val="231F20"/>
          <w:w w:val="105"/>
        </w:rPr>
        <w:t>existen</w:t>
      </w:r>
      <w:r>
        <w:rPr>
          <w:color w:val="231F20"/>
          <w:spacing w:val="-25"/>
          <w:w w:val="105"/>
        </w:rPr>
        <w:t> </w:t>
      </w:r>
      <w:r>
        <w:rPr>
          <w:color w:val="231F20"/>
          <w:w w:val="105"/>
        </w:rPr>
        <w:t>regiones</w:t>
      </w:r>
      <w:r>
        <w:rPr>
          <w:color w:val="231F20"/>
          <w:spacing w:val="-25"/>
          <w:w w:val="105"/>
        </w:rPr>
        <w:t> </w:t>
      </w:r>
      <w:r>
        <w:rPr>
          <w:color w:val="231F20"/>
          <w:w w:val="105"/>
        </w:rPr>
        <w:t>o</w:t>
      </w:r>
      <w:r>
        <w:rPr>
          <w:color w:val="231F20"/>
          <w:spacing w:val="-25"/>
          <w:w w:val="105"/>
        </w:rPr>
        <w:t> </w:t>
      </w:r>
      <w:r>
        <w:rPr>
          <w:color w:val="231F20"/>
          <w:w w:val="105"/>
        </w:rPr>
        <w:t>zonas económicamente</w:t>
      </w:r>
      <w:r>
        <w:rPr>
          <w:color w:val="231F20"/>
          <w:spacing w:val="-12"/>
          <w:w w:val="105"/>
        </w:rPr>
        <w:t> </w:t>
      </w:r>
      <w:r>
        <w:rPr>
          <w:color w:val="231F20"/>
          <w:w w:val="105"/>
        </w:rPr>
        <w:t>productivas</w:t>
      </w:r>
      <w:r>
        <w:rPr>
          <w:color w:val="231F20"/>
          <w:spacing w:val="-12"/>
          <w:w w:val="105"/>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alto</w:t>
      </w:r>
      <w:r>
        <w:rPr>
          <w:color w:val="231F20"/>
          <w:spacing w:val="-12"/>
          <w:w w:val="105"/>
        </w:rPr>
        <w:t> </w:t>
      </w:r>
      <w:r>
        <w:rPr>
          <w:color w:val="231F20"/>
          <w:w w:val="105"/>
        </w:rPr>
        <w:t>crecimiento</w:t>
      </w:r>
      <w:r>
        <w:rPr>
          <w:color w:val="231F20"/>
          <w:spacing w:val="-12"/>
          <w:w w:val="105"/>
        </w:rPr>
        <w:t> </w:t>
      </w:r>
      <w:r>
        <w:rPr>
          <w:color w:val="231F20"/>
          <w:w w:val="105"/>
        </w:rPr>
        <w:t>económico,</w:t>
      </w:r>
      <w:r>
        <w:rPr>
          <w:color w:val="231F20"/>
          <w:spacing w:val="-18"/>
          <w:w w:val="105"/>
        </w:rPr>
        <w:t> </w:t>
      </w:r>
      <w:r>
        <w:rPr>
          <w:color w:val="231F20"/>
          <w:w w:val="105"/>
        </w:rPr>
        <w:t>mien- tras</w:t>
      </w:r>
      <w:r>
        <w:rPr>
          <w:color w:val="231F20"/>
          <w:spacing w:val="-18"/>
          <w:w w:val="105"/>
        </w:rPr>
        <w:t> </w:t>
      </w:r>
      <w:r>
        <w:rPr>
          <w:color w:val="231F20"/>
          <w:w w:val="105"/>
        </w:rPr>
        <w:t>que</w:t>
      </w:r>
      <w:r>
        <w:rPr>
          <w:color w:val="231F20"/>
          <w:spacing w:val="-18"/>
          <w:w w:val="105"/>
        </w:rPr>
        <w:t> </w:t>
      </w:r>
      <w:r>
        <w:rPr>
          <w:color w:val="231F20"/>
          <w:w w:val="105"/>
        </w:rPr>
        <w:t>otras</w:t>
      </w:r>
      <w:r>
        <w:rPr>
          <w:color w:val="231F20"/>
          <w:spacing w:val="-18"/>
          <w:w w:val="105"/>
        </w:rPr>
        <w:t> </w:t>
      </w:r>
      <w:r>
        <w:rPr>
          <w:color w:val="231F20"/>
          <w:w w:val="105"/>
        </w:rPr>
        <w:t>regiones</w:t>
      </w:r>
      <w:r>
        <w:rPr>
          <w:color w:val="231F20"/>
          <w:spacing w:val="-18"/>
          <w:w w:val="105"/>
        </w:rPr>
        <w:t> </w:t>
      </w:r>
      <w:r>
        <w:rPr>
          <w:color w:val="231F20"/>
          <w:w w:val="105"/>
        </w:rPr>
        <w:t>se</w:t>
      </w:r>
      <w:r>
        <w:rPr>
          <w:color w:val="231F20"/>
          <w:spacing w:val="-18"/>
          <w:w w:val="105"/>
        </w:rPr>
        <w:t> </w:t>
      </w:r>
      <w:r>
        <w:rPr>
          <w:color w:val="231F20"/>
          <w:w w:val="105"/>
        </w:rPr>
        <w:t>encuentran</w:t>
      </w:r>
      <w:r>
        <w:rPr>
          <w:color w:val="231F20"/>
          <w:spacing w:val="-18"/>
          <w:w w:val="105"/>
        </w:rPr>
        <w:t> </w:t>
      </w:r>
      <w:r>
        <w:rPr>
          <w:color w:val="231F20"/>
          <w:w w:val="105"/>
        </w:rPr>
        <w:t>rezagadas.</w:t>
      </w:r>
      <w:r>
        <w:rPr>
          <w:color w:val="231F20"/>
          <w:spacing w:val="-23"/>
          <w:w w:val="105"/>
        </w:rPr>
        <w:t> </w:t>
      </w:r>
      <w:r>
        <w:rPr>
          <w:color w:val="231F20"/>
          <w:w w:val="105"/>
        </w:rPr>
        <w:t>Las</w:t>
      </w:r>
      <w:r>
        <w:rPr>
          <w:color w:val="231F20"/>
          <w:spacing w:val="-18"/>
          <w:w w:val="105"/>
        </w:rPr>
        <w:t> </w:t>
      </w:r>
      <w:r>
        <w:rPr>
          <w:color w:val="231F20"/>
          <w:w w:val="105"/>
        </w:rPr>
        <w:t>causas</w:t>
      </w:r>
      <w:r>
        <w:rPr>
          <w:color w:val="231F20"/>
          <w:spacing w:val="-18"/>
          <w:w w:val="105"/>
        </w:rPr>
        <w:t> </w:t>
      </w:r>
      <w:r>
        <w:rPr>
          <w:color w:val="231F20"/>
          <w:w w:val="105"/>
        </w:rPr>
        <w:t>que</w:t>
      </w:r>
      <w:r>
        <w:rPr>
          <w:color w:val="231F20"/>
          <w:spacing w:val="-18"/>
          <w:w w:val="105"/>
        </w:rPr>
        <w:t> </w:t>
      </w:r>
      <w:r>
        <w:rPr>
          <w:color w:val="231F20"/>
          <w:w w:val="105"/>
        </w:rPr>
        <w:t>propi- cian</w:t>
      </w:r>
      <w:r>
        <w:rPr>
          <w:color w:val="231F20"/>
          <w:spacing w:val="-12"/>
          <w:w w:val="105"/>
        </w:rPr>
        <w:t> </w:t>
      </w:r>
      <w:r>
        <w:rPr>
          <w:color w:val="231F20"/>
          <w:w w:val="105"/>
        </w:rPr>
        <w:t>estas</w:t>
      </w:r>
      <w:r>
        <w:rPr>
          <w:color w:val="231F20"/>
          <w:spacing w:val="-12"/>
          <w:w w:val="105"/>
        </w:rPr>
        <w:t> </w:t>
      </w:r>
      <w:r>
        <w:rPr>
          <w:color w:val="231F20"/>
          <w:w w:val="105"/>
        </w:rPr>
        <w:t>desigualdades</w:t>
      </w:r>
      <w:r>
        <w:rPr>
          <w:color w:val="231F20"/>
          <w:spacing w:val="-12"/>
          <w:w w:val="105"/>
        </w:rPr>
        <w:t> </w:t>
      </w:r>
      <w:r>
        <w:rPr>
          <w:color w:val="231F20"/>
          <w:w w:val="105"/>
        </w:rPr>
        <w:t>son</w:t>
      </w:r>
      <w:r>
        <w:rPr>
          <w:color w:val="231F20"/>
          <w:spacing w:val="-12"/>
          <w:w w:val="105"/>
        </w:rPr>
        <w:t> </w:t>
      </w:r>
      <w:r>
        <w:rPr>
          <w:color w:val="231F20"/>
          <w:w w:val="105"/>
        </w:rPr>
        <w:t>multifactoriales,</w:t>
      </w:r>
      <w:r>
        <w:rPr>
          <w:color w:val="231F20"/>
          <w:spacing w:val="-17"/>
          <w:w w:val="105"/>
        </w:rPr>
        <w:t> </w:t>
      </w:r>
      <w:r>
        <w:rPr>
          <w:color w:val="231F20"/>
          <w:w w:val="105"/>
        </w:rPr>
        <w:t>entre</w:t>
      </w:r>
      <w:r>
        <w:rPr>
          <w:color w:val="231F20"/>
          <w:spacing w:val="-12"/>
          <w:w w:val="105"/>
        </w:rPr>
        <w:t> </w:t>
      </w:r>
      <w:r>
        <w:rPr>
          <w:color w:val="231F20"/>
          <w:w w:val="105"/>
        </w:rPr>
        <w:t>las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cuentan: capital</w:t>
      </w:r>
      <w:r>
        <w:rPr>
          <w:color w:val="231F20"/>
          <w:spacing w:val="-13"/>
          <w:w w:val="105"/>
        </w:rPr>
        <w:t> </w:t>
      </w:r>
      <w:r>
        <w:rPr>
          <w:color w:val="231F20"/>
          <w:w w:val="105"/>
        </w:rPr>
        <w:t>físico,</w:t>
      </w:r>
      <w:r>
        <w:rPr>
          <w:color w:val="231F20"/>
          <w:spacing w:val="-18"/>
          <w:w w:val="105"/>
        </w:rPr>
        <w:t> </w:t>
      </w:r>
      <w:r>
        <w:rPr>
          <w:color w:val="231F20"/>
          <w:w w:val="105"/>
        </w:rPr>
        <w:t>capital</w:t>
      </w:r>
      <w:r>
        <w:rPr>
          <w:color w:val="231F20"/>
          <w:spacing w:val="-13"/>
          <w:w w:val="105"/>
        </w:rPr>
        <w:t> </w:t>
      </w:r>
      <w:r>
        <w:rPr>
          <w:color w:val="231F20"/>
          <w:w w:val="105"/>
        </w:rPr>
        <w:t>humano,</w:t>
      </w:r>
      <w:r>
        <w:rPr>
          <w:color w:val="231F20"/>
          <w:spacing w:val="-18"/>
          <w:w w:val="105"/>
        </w:rPr>
        <w:t> </w:t>
      </w:r>
      <w:r>
        <w:rPr>
          <w:color w:val="231F20"/>
          <w:w w:val="105"/>
        </w:rPr>
        <w:t>cambio</w:t>
      </w:r>
      <w:r>
        <w:rPr>
          <w:color w:val="231F20"/>
          <w:spacing w:val="-13"/>
          <w:w w:val="105"/>
        </w:rPr>
        <w:t> </w:t>
      </w:r>
      <w:r>
        <w:rPr>
          <w:color w:val="231F20"/>
          <w:w w:val="105"/>
        </w:rPr>
        <w:t>tecnológico,</w:t>
      </w:r>
      <w:r>
        <w:rPr>
          <w:color w:val="231F20"/>
          <w:spacing w:val="-18"/>
          <w:w w:val="105"/>
        </w:rPr>
        <w:t> </w:t>
      </w:r>
      <w:r>
        <w:rPr>
          <w:color w:val="231F20"/>
          <w:w w:val="105"/>
        </w:rPr>
        <w:t>inversión,</w:t>
      </w:r>
      <w:r>
        <w:rPr>
          <w:color w:val="231F20"/>
          <w:spacing w:val="-18"/>
          <w:w w:val="105"/>
        </w:rPr>
        <w:t> </w:t>
      </w:r>
      <w:r>
        <w:rPr>
          <w:color w:val="231F20"/>
          <w:w w:val="105"/>
        </w:rPr>
        <w:t>estabilidad política, libre comercio, crecimiento de la población, servicios públicos, infraestructura, modernización, especialización productiva y reciente- mente</w:t>
      </w:r>
      <w:r>
        <w:rPr>
          <w:color w:val="231F20"/>
          <w:spacing w:val="-16"/>
          <w:w w:val="105"/>
        </w:rPr>
        <w:t> </w:t>
      </w:r>
      <w:r>
        <w:rPr>
          <w:color w:val="231F20"/>
          <w:w w:val="105"/>
        </w:rPr>
        <w:t>la</w:t>
      </w:r>
      <w:r>
        <w:rPr>
          <w:color w:val="231F20"/>
          <w:spacing w:val="-16"/>
          <w:w w:val="105"/>
        </w:rPr>
        <w:t> </w:t>
      </w:r>
      <w:r>
        <w:rPr>
          <w:color w:val="231F20"/>
          <w:w w:val="105"/>
        </w:rPr>
        <w:t>gobernanza</w:t>
      </w:r>
      <w:r>
        <w:rPr>
          <w:color w:val="231F20"/>
          <w:spacing w:val="-16"/>
          <w:w w:val="105"/>
        </w:rPr>
        <w:t> </w:t>
      </w:r>
      <w:r>
        <w:rPr>
          <w:color w:val="231F20"/>
          <w:w w:val="105"/>
        </w:rPr>
        <w:t>o</w:t>
      </w:r>
      <w:r>
        <w:rPr>
          <w:color w:val="231F20"/>
          <w:spacing w:val="-16"/>
          <w:w w:val="105"/>
        </w:rPr>
        <w:t> </w:t>
      </w:r>
      <w:r>
        <w:rPr>
          <w:color w:val="231F20"/>
          <w:w w:val="105"/>
        </w:rPr>
        <w:t>marco</w:t>
      </w:r>
      <w:r>
        <w:rPr>
          <w:color w:val="231F20"/>
          <w:spacing w:val="-16"/>
          <w:w w:val="105"/>
        </w:rPr>
        <w:t> </w:t>
      </w:r>
      <w:r>
        <w:rPr>
          <w:color w:val="231F20"/>
          <w:w w:val="105"/>
        </w:rPr>
        <w:t>institucional</w:t>
      </w:r>
      <w:r>
        <w:rPr>
          <w:color w:val="231F20"/>
          <w:w w:val="105"/>
          <w:position w:val="7"/>
          <w:sz w:val="12"/>
        </w:rPr>
        <w:t>1</w:t>
      </w:r>
      <w:r>
        <w:rPr>
          <w:color w:val="231F20"/>
          <w:w w:val="105"/>
        </w:rPr>
        <w:t>.</w:t>
      </w:r>
    </w:p>
    <w:p>
      <w:pPr>
        <w:pStyle w:val="BodyText"/>
        <w:spacing w:line="259" w:lineRule="auto"/>
        <w:ind w:left="117" w:right="114" w:firstLine="567"/>
        <w:jc w:val="both"/>
      </w:pPr>
      <w:r>
        <w:rPr>
          <w:color w:val="231F20"/>
          <w:w w:val="105"/>
        </w:rPr>
        <w:t>La teoría del crecimiento y desarrollo es tan antigua como el</w:t>
      </w:r>
      <w:r>
        <w:rPr>
          <w:color w:val="231F20"/>
          <w:spacing w:val="-34"/>
          <w:w w:val="105"/>
        </w:rPr>
        <w:t> </w:t>
      </w:r>
      <w:r>
        <w:rPr>
          <w:color w:val="231F20"/>
          <w:w w:val="105"/>
        </w:rPr>
        <w:t>libro de Adam Smith publicado en 1776: </w:t>
      </w:r>
      <w:r>
        <w:rPr>
          <w:i/>
          <w:color w:val="231F20"/>
          <w:w w:val="105"/>
        </w:rPr>
        <w:t>Investigación sobre la naturaleza y </w:t>
      </w:r>
      <w:r>
        <w:rPr>
          <w:i/>
          <w:color w:val="231F20"/>
          <w:w w:val="105"/>
        </w:rPr>
        <w:t>causas</w:t>
      </w:r>
      <w:r>
        <w:rPr>
          <w:i/>
          <w:color w:val="231F20"/>
          <w:spacing w:val="-9"/>
          <w:w w:val="105"/>
        </w:rPr>
        <w:t> </w:t>
      </w:r>
      <w:r>
        <w:rPr>
          <w:i/>
          <w:color w:val="231F20"/>
          <w:w w:val="105"/>
        </w:rPr>
        <w:t>de</w:t>
      </w:r>
      <w:r>
        <w:rPr>
          <w:i/>
          <w:color w:val="231F20"/>
          <w:spacing w:val="-9"/>
          <w:w w:val="105"/>
        </w:rPr>
        <w:t> </w:t>
      </w:r>
      <w:r>
        <w:rPr>
          <w:i/>
          <w:color w:val="231F20"/>
          <w:w w:val="105"/>
        </w:rPr>
        <w:t>la</w:t>
      </w:r>
      <w:r>
        <w:rPr>
          <w:i/>
          <w:color w:val="231F20"/>
          <w:spacing w:val="-9"/>
          <w:w w:val="105"/>
        </w:rPr>
        <w:t> </w:t>
      </w:r>
      <w:r>
        <w:rPr>
          <w:i/>
          <w:color w:val="231F20"/>
          <w:w w:val="105"/>
        </w:rPr>
        <w:t>riqueza</w:t>
      </w:r>
      <w:r>
        <w:rPr>
          <w:i/>
          <w:color w:val="231F20"/>
          <w:spacing w:val="-9"/>
          <w:w w:val="105"/>
        </w:rPr>
        <w:t> </w:t>
      </w:r>
      <w:r>
        <w:rPr>
          <w:i/>
          <w:color w:val="231F20"/>
          <w:w w:val="105"/>
        </w:rPr>
        <w:t>de</w:t>
      </w:r>
      <w:r>
        <w:rPr>
          <w:i/>
          <w:color w:val="231F20"/>
          <w:spacing w:val="-9"/>
          <w:w w:val="105"/>
        </w:rPr>
        <w:t> </w:t>
      </w:r>
      <w:r>
        <w:rPr>
          <w:i/>
          <w:color w:val="231F20"/>
          <w:w w:val="105"/>
        </w:rPr>
        <w:t>las</w:t>
      </w:r>
      <w:r>
        <w:rPr>
          <w:i/>
          <w:color w:val="231F20"/>
          <w:spacing w:val="-9"/>
          <w:w w:val="105"/>
        </w:rPr>
        <w:t> </w:t>
      </w:r>
      <w:r>
        <w:rPr>
          <w:i/>
          <w:color w:val="231F20"/>
          <w:w w:val="105"/>
        </w:rPr>
        <w:t>naciones.</w:t>
      </w:r>
      <w:r>
        <w:rPr>
          <w:i/>
          <w:color w:val="231F20"/>
          <w:spacing w:val="-10"/>
          <w:w w:val="105"/>
        </w:rPr>
        <w:t> </w:t>
      </w:r>
      <w:r>
        <w:rPr>
          <w:w w:val="105"/>
        </w:rPr>
        <w:t>Smith</w:t>
      </w:r>
      <w:r>
        <w:rPr>
          <w:spacing w:val="-9"/>
          <w:w w:val="105"/>
        </w:rPr>
        <w:t> </w:t>
      </w:r>
      <w:r>
        <w:rPr>
          <w:w w:val="105"/>
        </w:rPr>
        <w:t>sostuvo</w:t>
      </w:r>
      <w:r>
        <w:rPr>
          <w:spacing w:val="-9"/>
          <w:w w:val="105"/>
        </w:rPr>
        <w:t> </w:t>
      </w:r>
      <w:r>
        <w:rPr>
          <w:w w:val="105"/>
        </w:rPr>
        <w:t>que</w:t>
      </w:r>
      <w:r>
        <w:rPr>
          <w:spacing w:val="-9"/>
          <w:w w:val="105"/>
        </w:rPr>
        <w:t> </w:t>
      </w:r>
      <w:r>
        <w:rPr>
          <w:w w:val="105"/>
        </w:rPr>
        <w:t>la</w:t>
      </w:r>
      <w:r>
        <w:rPr>
          <w:spacing w:val="-9"/>
          <w:w w:val="105"/>
        </w:rPr>
        <w:t> </w:t>
      </w:r>
      <w:r>
        <w:rPr>
          <w:w w:val="105"/>
        </w:rPr>
        <w:t>riqueza</w:t>
      </w:r>
      <w:r>
        <w:rPr>
          <w:spacing w:val="-9"/>
          <w:w w:val="105"/>
        </w:rPr>
        <w:t> </w:t>
      </w:r>
      <w:r>
        <w:rPr>
          <w:w w:val="105"/>
        </w:rPr>
        <w:t>pro- cedía</w:t>
      </w:r>
      <w:r>
        <w:rPr>
          <w:spacing w:val="-10"/>
          <w:w w:val="105"/>
        </w:rPr>
        <w:t> </w:t>
      </w:r>
      <w:r>
        <w:rPr>
          <w:w w:val="105"/>
        </w:rPr>
        <w:t>del</w:t>
      </w:r>
      <w:r>
        <w:rPr>
          <w:spacing w:val="-10"/>
          <w:w w:val="105"/>
        </w:rPr>
        <w:t> </w:t>
      </w:r>
      <w:r>
        <w:rPr>
          <w:w w:val="105"/>
        </w:rPr>
        <w:t>trabajo</w:t>
      </w:r>
      <w:r>
        <w:rPr>
          <w:spacing w:val="-10"/>
          <w:w w:val="105"/>
        </w:rPr>
        <w:t> </w:t>
      </w:r>
      <w:r>
        <w:rPr>
          <w:color w:val="231F20"/>
          <w:w w:val="105"/>
        </w:rPr>
        <w:t>debido</w:t>
      </w:r>
      <w:r>
        <w:rPr>
          <w:color w:val="231F20"/>
          <w:spacing w:val="-10"/>
          <w:w w:val="105"/>
        </w:rPr>
        <w:t> </w:t>
      </w:r>
      <w:r>
        <w:rPr>
          <w:color w:val="231F20"/>
          <w:w w:val="105"/>
        </w:rPr>
        <w:t>a</w:t>
      </w:r>
      <w:r>
        <w:rPr>
          <w:color w:val="231F20"/>
          <w:spacing w:val="-10"/>
          <w:w w:val="105"/>
        </w:rPr>
        <w:t> </w:t>
      </w:r>
      <w:r>
        <w:rPr>
          <w:color w:val="231F20"/>
          <w:w w:val="105"/>
        </w:rPr>
        <w:t>que</w:t>
      </w:r>
      <w:r>
        <w:rPr>
          <w:color w:val="231F20"/>
          <w:spacing w:val="-10"/>
          <w:w w:val="105"/>
        </w:rPr>
        <w:t> </w:t>
      </w:r>
      <w:r>
        <w:rPr>
          <w:color w:val="231F20"/>
          <w:w w:val="105"/>
        </w:rPr>
        <w:t>aumenta</w:t>
      </w:r>
      <w:r>
        <w:rPr>
          <w:color w:val="231F20"/>
          <w:spacing w:val="-10"/>
          <w:w w:val="105"/>
        </w:rPr>
        <w:t> </w:t>
      </w:r>
      <w:r>
        <w:rPr>
          <w:color w:val="231F20"/>
          <w:w w:val="105"/>
        </w:rPr>
        <w:t>la</w:t>
      </w:r>
      <w:r>
        <w:rPr>
          <w:color w:val="231F20"/>
          <w:spacing w:val="-10"/>
          <w:w w:val="105"/>
        </w:rPr>
        <w:t> </w:t>
      </w:r>
      <w:r>
        <w:rPr>
          <w:color w:val="231F20"/>
          <w:w w:val="105"/>
        </w:rPr>
        <w:t>destreza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fuerza</w:t>
      </w:r>
      <w:r>
        <w:rPr>
          <w:color w:val="231F20"/>
          <w:spacing w:val="-10"/>
          <w:w w:val="105"/>
        </w:rPr>
        <w:t> </w:t>
      </w:r>
      <w:r>
        <w:rPr>
          <w:color w:val="231F20"/>
          <w:w w:val="105"/>
        </w:rPr>
        <w:t>laboral, ahorra tiempo y permite el empleo de ingenios mecánicos. Una de las contribuciones</w:t>
      </w:r>
      <w:r>
        <w:rPr>
          <w:color w:val="231F20"/>
          <w:spacing w:val="-17"/>
          <w:w w:val="105"/>
        </w:rPr>
        <w:t> </w:t>
      </w:r>
      <w:r>
        <w:rPr>
          <w:color w:val="231F20"/>
          <w:w w:val="105"/>
        </w:rPr>
        <w:t>más</w:t>
      </w:r>
      <w:r>
        <w:rPr>
          <w:color w:val="231F20"/>
          <w:spacing w:val="-17"/>
          <w:w w:val="105"/>
        </w:rPr>
        <w:t> </w:t>
      </w:r>
      <w:r>
        <w:rPr>
          <w:color w:val="231F20"/>
          <w:w w:val="105"/>
        </w:rPr>
        <w:t>importante</w:t>
      </w:r>
      <w:r>
        <w:rPr>
          <w:color w:val="231F20"/>
          <w:spacing w:val="-17"/>
          <w:w w:val="105"/>
        </w:rPr>
        <w:t> </w:t>
      </w:r>
      <w:r>
        <w:rPr>
          <w:color w:val="231F20"/>
          <w:w w:val="105"/>
        </w:rPr>
        <w:t>de</w:t>
      </w:r>
      <w:r>
        <w:rPr>
          <w:color w:val="231F20"/>
          <w:spacing w:val="-17"/>
          <w:w w:val="105"/>
        </w:rPr>
        <w:t> </w:t>
      </w:r>
      <w:r>
        <w:rPr>
          <w:color w:val="231F20"/>
          <w:w w:val="105"/>
        </w:rPr>
        <w:t>Smith</w:t>
      </w:r>
      <w:r>
        <w:rPr>
          <w:color w:val="231F20"/>
          <w:spacing w:val="-17"/>
          <w:w w:val="105"/>
        </w:rPr>
        <w:t> </w:t>
      </w:r>
      <w:r>
        <w:rPr>
          <w:color w:val="231F20"/>
          <w:w w:val="105"/>
        </w:rPr>
        <w:t>fue</w:t>
      </w:r>
      <w:r>
        <w:rPr>
          <w:color w:val="231F20"/>
          <w:spacing w:val="-17"/>
          <w:w w:val="105"/>
        </w:rPr>
        <w:t> </w:t>
      </w:r>
      <w:r>
        <w:rPr>
          <w:color w:val="231F20"/>
          <w:w w:val="105"/>
        </w:rPr>
        <w:t>introducir</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economía</w:t>
      </w:r>
      <w:r>
        <w:rPr>
          <w:color w:val="231F20"/>
          <w:spacing w:val="-17"/>
          <w:w w:val="105"/>
        </w:rPr>
        <w:t> </w:t>
      </w:r>
      <w:r>
        <w:rPr>
          <w:color w:val="231F20"/>
          <w:w w:val="105"/>
        </w:rPr>
        <w:t>la noción</w:t>
      </w:r>
      <w:r>
        <w:rPr>
          <w:color w:val="231F20"/>
          <w:spacing w:val="-16"/>
          <w:w w:val="105"/>
        </w:rPr>
        <w:t> </w:t>
      </w:r>
      <w:r>
        <w:rPr>
          <w:color w:val="231F20"/>
          <w:w w:val="105"/>
        </w:rPr>
        <w:t>de</w:t>
      </w:r>
      <w:r>
        <w:rPr>
          <w:color w:val="231F20"/>
          <w:spacing w:val="-16"/>
          <w:w w:val="105"/>
        </w:rPr>
        <w:t> </w:t>
      </w:r>
      <w:r>
        <w:rPr>
          <w:color w:val="231F20"/>
          <w:w w:val="105"/>
        </w:rPr>
        <w:t>rendimientos</w:t>
      </w:r>
      <w:r>
        <w:rPr>
          <w:color w:val="231F20"/>
          <w:spacing w:val="-16"/>
          <w:w w:val="105"/>
        </w:rPr>
        <w:t> </w:t>
      </w:r>
      <w:r>
        <w:rPr>
          <w:color w:val="231F20"/>
          <w:w w:val="105"/>
        </w:rPr>
        <w:t>decrecientes,</w:t>
      </w:r>
      <w:r>
        <w:rPr>
          <w:color w:val="231F20"/>
          <w:spacing w:val="-23"/>
          <w:w w:val="105"/>
        </w:rPr>
        <w:t> </w:t>
      </w:r>
      <w:r>
        <w:rPr>
          <w:color w:val="231F20"/>
          <w:w w:val="105"/>
        </w:rPr>
        <w:t>concepto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“nueva”</w:t>
      </w:r>
      <w:r>
        <w:rPr>
          <w:color w:val="231F20"/>
          <w:spacing w:val="-16"/>
          <w:w w:val="105"/>
        </w:rPr>
        <w:t> </w:t>
      </w:r>
      <w:r>
        <w:rPr>
          <w:color w:val="231F20"/>
          <w:w w:val="105"/>
        </w:rPr>
        <w:t>teoría</w:t>
      </w:r>
      <w:r>
        <w:rPr>
          <w:color w:val="231F20"/>
          <w:spacing w:val="-16"/>
          <w:w w:val="105"/>
        </w:rPr>
        <w:t> </w:t>
      </w:r>
      <w:r>
        <w:rPr>
          <w:color w:val="231F20"/>
          <w:w w:val="105"/>
        </w:rPr>
        <w:t>del crecimiento (o teoría del crecimiento endógeno) redescubrió reciente- mente</w:t>
      </w:r>
      <w:r>
        <w:rPr>
          <w:color w:val="231F20"/>
          <w:spacing w:val="-15"/>
          <w:w w:val="105"/>
        </w:rPr>
        <w:t> </w:t>
      </w:r>
      <w:r>
        <w:rPr>
          <w:color w:val="231F20"/>
          <w:w w:val="105"/>
        </w:rPr>
        <w:t>(Thirlwall,</w:t>
      </w:r>
      <w:r>
        <w:rPr>
          <w:color w:val="231F20"/>
          <w:spacing w:val="-20"/>
          <w:w w:val="105"/>
        </w:rPr>
        <w:t> </w:t>
      </w:r>
      <w:r>
        <w:rPr>
          <w:color w:val="231F20"/>
          <w:w w:val="105"/>
        </w:rPr>
        <w:t>2003).</w:t>
      </w:r>
      <w:r>
        <w:rPr>
          <w:color w:val="231F20"/>
          <w:spacing w:val="-20"/>
          <w:w w:val="105"/>
        </w:rPr>
        <w:t> </w:t>
      </w:r>
      <w:r>
        <w:rPr>
          <w:color w:val="231F20"/>
          <w:w w:val="105"/>
        </w:rPr>
        <w:t>Otro</w:t>
      </w:r>
      <w:r>
        <w:rPr>
          <w:color w:val="231F20"/>
          <w:spacing w:val="-15"/>
          <w:w w:val="105"/>
        </w:rPr>
        <w:t> </w:t>
      </w:r>
      <w:r>
        <w:rPr>
          <w:color w:val="231F20"/>
          <w:w w:val="105"/>
        </w:rPr>
        <w:t>economista</w:t>
      </w:r>
      <w:r>
        <w:rPr>
          <w:color w:val="231F20"/>
          <w:spacing w:val="-15"/>
          <w:w w:val="105"/>
        </w:rPr>
        <w:t> </w:t>
      </w:r>
      <w:r>
        <w:rPr>
          <w:color w:val="231F20"/>
          <w:w w:val="105"/>
        </w:rPr>
        <w:t>clásico,</w:t>
      </w:r>
      <w:r>
        <w:rPr>
          <w:color w:val="231F20"/>
          <w:spacing w:val="-20"/>
          <w:w w:val="105"/>
        </w:rPr>
        <w:t> </w:t>
      </w:r>
      <w:r>
        <w:rPr>
          <w:color w:val="231F20"/>
          <w:w w:val="105"/>
        </w:rPr>
        <w:t>David</w:t>
      </w:r>
      <w:r>
        <w:rPr>
          <w:color w:val="231F20"/>
          <w:spacing w:val="-15"/>
          <w:w w:val="105"/>
        </w:rPr>
        <w:t> </w:t>
      </w:r>
      <w:r>
        <w:rPr>
          <w:color w:val="231F20"/>
          <w:w w:val="105"/>
        </w:rPr>
        <w:t>Ricardo,</w:t>
      </w:r>
      <w:r>
        <w:rPr>
          <w:color w:val="231F20"/>
          <w:spacing w:val="-20"/>
          <w:w w:val="105"/>
        </w:rPr>
        <w:t> </w:t>
      </w:r>
      <w:r>
        <w:rPr>
          <w:color w:val="231F20"/>
          <w:w w:val="105"/>
        </w:rPr>
        <w:t>publicó en</w:t>
      </w:r>
      <w:r>
        <w:rPr>
          <w:color w:val="231F20"/>
          <w:spacing w:val="-9"/>
          <w:w w:val="105"/>
        </w:rPr>
        <w:t> </w:t>
      </w:r>
      <w:r>
        <w:rPr>
          <w:color w:val="231F20"/>
          <w:w w:val="105"/>
        </w:rPr>
        <w:t>1817</w:t>
      </w:r>
      <w:r>
        <w:rPr>
          <w:color w:val="231F20"/>
          <w:spacing w:val="-9"/>
          <w:w w:val="105"/>
        </w:rPr>
        <w:t> </w:t>
      </w:r>
      <w:r>
        <w:rPr>
          <w:color w:val="231F20"/>
          <w:w w:val="105"/>
        </w:rPr>
        <w:t>su</w:t>
      </w:r>
      <w:r>
        <w:rPr>
          <w:color w:val="231F20"/>
          <w:spacing w:val="-9"/>
          <w:w w:val="105"/>
        </w:rPr>
        <w:t> </w:t>
      </w:r>
      <w:r>
        <w:rPr>
          <w:color w:val="231F20"/>
          <w:w w:val="105"/>
        </w:rPr>
        <w:t>obra</w:t>
      </w:r>
      <w:r>
        <w:rPr>
          <w:color w:val="231F20"/>
          <w:spacing w:val="-9"/>
          <w:w w:val="105"/>
        </w:rPr>
        <w:t> </w:t>
      </w:r>
      <w:r>
        <w:rPr>
          <w:i/>
          <w:color w:val="231F20"/>
          <w:w w:val="105"/>
        </w:rPr>
        <w:t>Principios</w:t>
      </w:r>
      <w:r>
        <w:rPr>
          <w:i/>
          <w:color w:val="231F20"/>
          <w:spacing w:val="-9"/>
          <w:w w:val="105"/>
        </w:rPr>
        <w:t> </w:t>
      </w:r>
      <w:r>
        <w:rPr>
          <w:i/>
          <w:color w:val="231F20"/>
          <w:w w:val="105"/>
        </w:rPr>
        <w:t>de</w:t>
      </w:r>
      <w:r>
        <w:rPr>
          <w:i/>
          <w:color w:val="231F20"/>
          <w:spacing w:val="-9"/>
          <w:w w:val="105"/>
        </w:rPr>
        <w:t> </w:t>
      </w:r>
      <w:r>
        <w:rPr>
          <w:i/>
          <w:color w:val="231F20"/>
          <w:w w:val="105"/>
        </w:rPr>
        <w:t>economía</w:t>
      </w:r>
      <w:r>
        <w:rPr>
          <w:i/>
          <w:color w:val="231F20"/>
          <w:spacing w:val="-9"/>
          <w:w w:val="105"/>
        </w:rPr>
        <w:t> </w:t>
      </w:r>
      <w:r>
        <w:rPr>
          <w:i/>
          <w:color w:val="231F20"/>
          <w:w w:val="105"/>
        </w:rPr>
        <w:t>política</w:t>
      </w:r>
      <w:r>
        <w:rPr>
          <w:i/>
          <w:color w:val="231F20"/>
          <w:spacing w:val="-9"/>
          <w:w w:val="105"/>
        </w:rPr>
        <w:t> </w:t>
      </w:r>
      <w:r>
        <w:rPr>
          <w:i/>
          <w:color w:val="231F20"/>
          <w:w w:val="105"/>
        </w:rPr>
        <w:t>y</w:t>
      </w:r>
      <w:r>
        <w:rPr>
          <w:i/>
          <w:color w:val="231F20"/>
          <w:spacing w:val="-9"/>
          <w:w w:val="105"/>
        </w:rPr>
        <w:t> </w:t>
      </w:r>
      <w:r>
        <w:rPr>
          <w:i/>
          <w:color w:val="231F20"/>
          <w:w w:val="105"/>
        </w:rPr>
        <w:t>tributación,</w:t>
      </w:r>
      <w:r>
        <w:rPr>
          <w:i/>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cual pronosticaba que las economías capitalistas terminarían en un estado estacionario, sin acumulación de capital y por lo tanto, sin crecimiento, debido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rendimientos</w:t>
      </w:r>
      <w:r>
        <w:rPr>
          <w:color w:val="231F20"/>
          <w:spacing w:val="-11"/>
          <w:w w:val="105"/>
        </w:rPr>
        <w:t> </w:t>
      </w:r>
      <w:r>
        <w:rPr>
          <w:color w:val="231F20"/>
          <w:w w:val="105"/>
        </w:rPr>
        <w:t>decrecientes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agricultura.</w:t>
      </w:r>
    </w:p>
    <w:p>
      <w:pPr>
        <w:spacing w:line="259" w:lineRule="auto" w:before="0"/>
        <w:ind w:left="117" w:right="121" w:firstLine="567"/>
        <w:jc w:val="both"/>
        <w:rPr>
          <w:sz w:val="21"/>
        </w:rPr>
      </w:pPr>
      <w:r>
        <w:rPr>
          <w:color w:val="231F20"/>
          <w:w w:val="105"/>
          <w:sz w:val="21"/>
        </w:rPr>
        <w:t>Posteriormente el trabajo de Schumpeter de 1939, </w:t>
      </w:r>
      <w:r>
        <w:rPr>
          <w:i/>
          <w:color w:val="231F20"/>
          <w:w w:val="105"/>
          <w:sz w:val="21"/>
        </w:rPr>
        <w:t>La teoría del </w:t>
      </w:r>
      <w:r>
        <w:rPr>
          <w:i/>
          <w:color w:val="231F20"/>
          <w:w w:val="105"/>
          <w:sz w:val="21"/>
        </w:rPr>
        <w:t>desenvolvimiento</w:t>
      </w:r>
      <w:r>
        <w:rPr>
          <w:i/>
          <w:color w:val="231F20"/>
          <w:spacing w:val="-9"/>
          <w:w w:val="105"/>
          <w:sz w:val="21"/>
        </w:rPr>
        <w:t> </w:t>
      </w:r>
      <w:r>
        <w:rPr>
          <w:i/>
          <w:color w:val="231F20"/>
          <w:w w:val="105"/>
          <w:sz w:val="21"/>
        </w:rPr>
        <w:t>económico,</w:t>
      </w:r>
      <w:r>
        <w:rPr>
          <w:i/>
          <w:color w:val="231F20"/>
          <w:spacing w:val="-9"/>
          <w:w w:val="105"/>
          <w:sz w:val="21"/>
        </w:rPr>
        <w:t> </w:t>
      </w:r>
      <w:r>
        <w:rPr>
          <w:color w:val="231F20"/>
          <w:w w:val="105"/>
          <w:sz w:val="21"/>
        </w:rPr>
        <w:t>postula</w:t>
      </w:r>
      <w:r>
        <w:rPr>
          <w:color w:val="231F20"/>
          <w:spacing w:val="-9"/>
          <w:w w:val="105"/>
          <w:sz w:val="21"/>
        </w:rPr>
        <w:t> </w:t>
      </w:r>
      <w:r>
        <w:rPr>
          <w:color w:val="231F20"/>
          <w:w w:val="105"/>
          <w:sz w:val="21"/>
        </w:rPr>
        <w:t>a</w:t>
      </w:r>
      <w:r>
        <w:rPr>
          <w:color w:val="231F20"/>
          <w:spacing w:val="-9"/>
          <w:w w:val="105"/>
          <w:sz w:val="21"/>
        </w:rPr>
        <w:t> </w:t>
      </w:r>
      <w:r>
        <w:rPr>
          <w:color w:val="231F20"/>
          <w:w w:val="105"/>
          <w:sz w:val="21"/>
        </w:rPr>
        <w:t>la</w:t>
      </w:r>
      <w:r>
        <w:rPr>
          <w:color w:val="231F20"/>
          <w:spacing w:val="-9"/>
          <w:w w:val="105"/>
          <w:sz w:val="21"/>
        </w:rPr>
        <w:t> </w:t>
      </w:r>
      <w:r>
        <w:rPr>
          <w:color w:val="231F20"/>
          <w:w w:val="105"/>
          <w:sz w:val="21"/>
        </w:rPr>
        <w:t>innovación</w:t>
      </w:r>
      <w:r>
        <w:rPr>
          <w:color w:val="231F20"/>
          <w:spacing w:val="-9"/>
          <w:w w:val="105"/>
          <w:sz w:val="21"/>
        </w:rPr>
        <w:t> </w:t>
      </w:r>
      <w:r>
        <w:rPr>
          <w:color w:val="231F20"/>
          <w:w w:val="105"/>
          <w:sz w:val="21"/>
        </w:rPr>
        <w:t>tecnológica</w:t>
      </w:r>
      <w:r>
        <w:rPr>
          <w:color w:val="231F20"/>
          <w:spacing w:val="-9"/>
          <w:w w:val="105"/>
          <w:sz w:val="21"/>
        </w:rPr>
        <w:t> </w:t>
      </w:r>
      <w:r>
        <w:rPr>
          <w:color w:val="231F20"/>
          <w:w w:val="105"/>
          <w:sz w:val="21"/>
        </w:rPr>
        <w:t>como la</w:t>
      </w:r>
      <w:r>
        <w:rPr>
          <w:color w:val="231F20"/>
          <w:spacing w:val="-11"/>
          <w:w w:val="105"/>
          <w:sz w:val="21"/>
        </w:rPr>
        <w:t> </w:t>
      </w:r>
      <w:r>
        <w:rPr>
          <w:color w:val="231F20"/>
          <w:w w:val="105"/>
          <w:sz w:val="21"/>
        </w:rPr>
        <w:t>fuente</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la</w:t>
      </w:r>
      <w:r>
        <w:rPr>
          <w:color w:val="231F20"/>
          <w:spacing w:val="-11"/>
          <w:w w:val="105"/>
          <w:sz w:val="21"/>
        </w:rPr>
        <w:t> </w:t>
      </w:r>
      <w:r>
        <w:rPr>
          <w:color w:val="231F20"/>
          <w:w w:val="105"/>
          <w:sz w:val="21"/>
        </w:rPr>
        <w:t>extensión</w:t>
      </w:r>
      <w:r>
        <w:rPr>
          <w:color w:val="231F20"/>
          <w:spacing w:val="-11"/>
          <w:w w:val="105"/>
          <w:sz w:val="21"/>
        </w:rPr>
        <w:t> </w:t>
      </w:r>
      <w:r>
        <w:rPr>
          <w:color w:val="231F20"/>
          <w:w w:val="105"/>
          <w:sz w:val="21"/>
        </w:rPr>
        <w:t>económica.</w:t>
      </w:r>
      <w:r>
        <w:rPr>
          <w:color w:val="231F20"/>
          <w:spacing w:val="-17"/>
          <w:w w:val="105"/>
          <w:sz w:val="21"/>
        </w:rPr>
        <w:t> </w:t>
      </w:r>
      <w:r>
        <w:rPr>
          <w:color w:val="231F20"/>
          <w:spacing w:val="-6"/>
          <w:w w:val="105"/>
          <w:sz w:val="21"/>
        </w:rPr>
        <w:t>Por</w:t>
      </w:r>
      <w:r>
        <w:rPr>
          <w:color w:val="231F20"/>
          <w:spacing w:val="-11"/>
          <w:w w:val="105"/>
          <w:sz w:val="21"/>
        </w:rPr>
        <w:t> </w:t>
      </w:r>
      <w:r>
        <w:rPr>
          <w:color w:val="231F20"/>
          <w:w w:val="105"/>
          <w:sz w:val="21"/>
        </w:rPr>
        <w:t>otro</w:t>
      </w:r>
      <w:r>
        <w:rPr>
          <w:color w:val="231F20"/>
          <w:spacing w:val="-11"/>
          <w:w w:val="105"/>
          <w:sz w:val="21"/>
        </w:rPr>
        <w:t> </w:t>
      </w:r>
      <w:r>
        <w:rPr>
          <w:color w:val="231F20"/>
          <w:w w:val="105"/>
          <w:sz w:val="21"/>
        </w:rPr>
        <w:t>lado,</w:t>
      </w:r>
      <w:r>
        <w:rPr>
          <w:color w:val="231F20"/>
          <w:spacing w:val="-17"/>
          <w:w w:val="105"/>
          <w:sz w:val="21"/>
        </w:rPr>
        <w:t> </w:t>
      </w:r>
      <w:r>
        <w:rPr>
          <w:color w:val="231F20"/>
          <w:w w:val="105"/>
          <w:sz w:val="21"/>
        </w:rPr>
        <w:t>Carlos</w:t>
      </w:r>
      <w:r>
        <w:rPr>
          <w:color w:val="231F20"/>
          <w:spacing w:val="-11"/>
          <w:w w:val="105"/>
          <w:sz w:val="21"/>
        </w:rPr>
        <w:t> </w:t>
      </w:r>
      <w:r>
        <w:rPr>
          <w:color w:val="231F20"/>
          <w:w w:val="105"/>
          <w:sz w:val="21"/>
        </w:rPr>
        <w:t>Marx</w:t>
      </w:r>
      <w:r>
        <w:rPr>
          <w:color w:val="231F20"/>
          <w:spacing w:val="-11"/>
          <w:w w:val="105"/>
          <w:sz w:val="21"/>
        </w:rPr>
        <w:t> </w:t>
      </w:r>
      <w:r>
        <w:rPr>
          <w:color w:val="231F20"/>
          <w:w w:val="105"/>
          <w:sz w:val="21"/>
        </w:rPr>
        <w:t>también</w:t>
      </w:r>
    </w:p>
    <w:p>
      <w:pPr>
        <w:pStyle w:val="BodyText"/>
        <w:rPr>
          <w:sz w:val="20"/>
        </w:rPr>
      </w:pPr>
    </w:p>
    <w:p>
      <w:pPr>
        <w:pStyle w:val="BodyText"/>
        <w:spacing w:before="3"/>
        <w:rPr>
          <w:sz w:val="15"/>
        </w:rPr>
      </w:pPr>
      <w:r>
        <w:rPr/>
        <w:pict>
          <v:line style="position:absolute;mso-position-horizontal-relative:page;mso-position-vertical-relative:paragraph;z-index:8728;mso-wrap-distance-left:0;mso-wrap-distance-right:0" from="70.866096pt,10.889742pt" to="184.252096pt,10.889742pt" stroked="true" strokeweight=".25pt" strokecolor="#231f20">
            <w10:wrap type="topAndBottom"/>
          </v:line>
        </w:pict>
      </w:r>
    </w:p>
    <w:p>
      <w:pPr>
        <w:spacing w:line="192" w:lineRule="exact" w:before="7"/>
        <w:ind w:left="117" w:right="236" w:hanging="1"/>
        <w:jc w:val="left"/>
        <w:rPr>
          <w:rFonts w:ascii="Calibri" w:hAnsi="Calibri"/>
          <w:sz w:val="16"/>
        </w:rPr>
      </w:pPr>
      <w:r>
        <w:rPr>
          <w:rFonts w:ascii="Calibri" w:hAnsi="Calibri"/>
          <w:color w:val="414042"/>
          <w:position w:val="5"/>
          <w:sz w:val="9"/>
        </w:rPr>
        <w:t>1     </w:t>
      </w:r>
      <w:r>
        <w:rPr>
          <w:rFonts w:ascii="Calibri" w:hAnsi="Calibri"/>
          <w:color w:val="414042"/>
          <w:sz w:val="16"/>
        </w:rPr>
        <w:t>Véanse: Barro y Lee (1994); Sala-i-Martin (2000); Jones (2000); Barro y Sala-i-Martin (2004); Mendoza    y</w:t>
      </w:r>
      <w:r>
        <w:rPr>
          <w:rFonts w:ascii="Calibri" w:hAnsi="Calibri"/>
          <w:color w:val="414042"/>
          <w:spacing w:val="14"/>
          <w:sz w:val="16"/>
        </w:rPr>
        <w:t> </w:t>
      </w:r>
      <w:r>
        <w:rPr>
          <w:rFonts w:ascii="Calibri" w:hAnsi="Calibri"/>
          <w:color w:val="414042"/>
          <w:sz w:val="16"/>
        </w:rPr>
        <w:t>Díaz-Bautista</w:t>
      </w:r>
      <w:r>
        <w:rPr>
          <w:rFonts w:ascii="Calibri" w:hAnsi="Calibri"/>
          <w:color w:val="414042"/>
          <w:spacing w:val="14"/>
          <w:sz w:val="16"/>
        </w:rPr>
        <w:t> </w:t>
      </w:r>
      <w:r>
        <w:rPr>
          <w:rFonts w:ascii="Calibri" w:hAnsi="Calibri"/>
          <w:color w:val="414042"/>
          <w:sz w:val="16"/>
        </w:rPr>
        <w:t>(2006);</w:t>
      </w:r>
      <w:r>
        <w:rPr>
          <w:rFonts w:ascii="Calibri" w:hAnsi="Calibri"/>
          <w:color w:val="414042"/>
          <w:spacing w:val="14"/>
          <w:sz w:val="16"/>
        </w:rPr>
        <w:t> </w:t>
      </w:r>
      <w:r>
        <w:rPr>
          <w:rFonts w:ascii="Calibri" w:hAnsi="Calibri"/>
          <w:color w:val="414042"/>
          <w:sz w:val="16"/>
        </w:rPr>
        <w:t>Loayza</w:t>
      </w:r>
      <w:r>
        <w:rPr>
          <w:rFonts w:ascii="Calibri" w:hAnsi="Calibri"/>
          <w:color w:val="414042"/>
          <w:spacing w:val="13"/>
          <w:sz w:val="16"/>
        </w:rPr>
        <w:t> </w:t>
      </w:r>
      <w:r>
        <w:rPr>
          <w:rFonts w:ascii="Calibri" w:hAnsi="Calibri"/>
          <w:i/>
          <w:color w:val="414042"/>
          <w:sz w:val="16"/>
        </w:rPr>
        <w:t>et</w:t>
      </w:r>
      <w:r>
        <w:rPr>
          <w:rFonts w:ascii="Calibri" w:hAnsi="Calibri"/>
          <w:i/>
          <w:color w:val="414042"/>
          <w:spacing w:val="13"/>
          <w:sz w:val="16"/>
        </w:rPr>
        <w:t> </w:t>
      </w:r>
      <w:r>
        <w:rPr>
          <w:rFonts w:ascii="Calibri" w:hAnsi="Calibri"/>
          <w:i/>
          <w:color w:val="414042"/>
          <w:sz w:val="16"/>
        </w:rPr>
        <w:t>al</w:t>
      </w:r>
      <w:r>
        <w:rPr>
          <w:rFonts w:ascii="Times New Roman" w:hAnsi="Times New Roman"/>
          <w:i/>
          <w:color w:val="414042"/>
          <w:sz w:val="16"/>
        </w:rPr>
        <w:t>.,</w:t>
      </w:r>
      <w:r>
        <w:rPr>
          <w:rFonts w:ascii="Times New Roman" w:hAnsi="Times New Roman"/>
          <w:i/>
          <w:color w:val="414042"/>
          <w:spacing w:val="10"/>
          <w:sz w:val="16"/>
        </w:rPr>
        <w:t> </w:t>
      </w:r>
      <w:r>
        <w:rPr>
          <w:rFonts w:ascii="Calibri" w:hAnsi="Calibri"/>
          <w:color w:val="414042"/>
          <w:sz w:val="16"/>
        </w:rPr>
        <w:t>(2004);</w:t>
      </w:r>
      <w:r>
        <w:rPr>
          <w:rFonts w:ascii="Calibri" w:hAnsi="Calibri"/>
          <w:color w:val="414042"/>
          <w:spacing w:val="14"/>
          <w:sz w:val="16"/>
        </w:rPr>
        <w:t> </w:t>
      </w:r>
      <w:r>
        <w:rPr>
          <w:rFonts w:ascii="Calibri" w:hAnsi="Calibri"/>
          <w:color w:val="414042"/>
          <w:sz w:val="16"/>
        </w:rPr>
        <w:t>Kaldor,</w:t>
      </w:r>
      <w:r>
        <w:rPr>
          <w:rFonts w:ascii="Calibri" w:hAnsi="Calibri"/>
          <w:color w:val="414042"/>
          <w:spacing w:val="14"/>
          <w:sz w:val="16"/>
        </w:rPr>
        <w:t> </w:t>
      </w:r>
      <w:r>
        <w:rPr>
          <w:rFonts w:ascii="Calibri" w:hAnsi="Calibri"/>
          <w:color w:val="414042"/>
          <w:sz w:val="16"/>
        </w:rPr>
        <w:t>(1970)</w:t>
      </w:r>
      <w:r>
        <w:rPr>
          <w:rFonts w:ascii="Calibri" w:hAnsi="Calibri"/>
          <w:color w:val="414042"/>
          <w:spacing w:val="11"/>
          <w:sz w:val="16"/>
        </w:rPr>
        <w:t> </w:t>
      </w:r>
      <w:r>
        <w:rPr>
          <w:rFonts w:ascii="Calibri" w:hAnsi="Calibri"/>
          <w:color w:val="414042"/>
          <w:sz w:val="16"/>
        </w:rPr>
        <w:t>y</w:t>
      </w:r>
      <w:r>
        <w:rPr>
          <w:rFonts w:ascii="Calibri" w:hAnsi="Calibri"/>
          <w:color w:val="414042"/>
          <w:spacing w:val="10"/>
          <w:sz w:val="16"/>
        </w:rPr>
        <w:t> </w:t>
      </w:r>
      <w:r>
        <w:rPr>
          <w:rFonts w:ascii="Calibri" w:hAnsi="Calibri"/>
          <w:color w:val="414042"/>
          <w:sz w:val="16"/>
        </w:rPr>
        <w:t>Thirlwall,</w:t>
      </w:r>
      <w:r>
        <w:rPr>
          <w:rFonts w:ascii="Calibri" w:hAnsi="Calibri"/>
          <w:color w:val="414042"/>
          <w:spacing w:val="14"/>
          <w:sz w:val="16"/>
        </w:rPr>
        <w:t> </w:t>
      </w:r>
      <w:r>
        <w:rPr>
          <w:rFonts w:ascii="Calibri" w:hAnsi="Calibri"/>
          <w:color w:val="414042"/>
          <w:sz w:val="16"/>
        </w:rPr>
        <w:t>(2000).</w:t>
      </w:r>
    </w:p>
    <w:p>
      <w:pPr>
        <w:spacing w:after="0" w:line="192" w:lineRule="exact"/>
        <w:jc w:val="left"/>
        <w:rPr>
          <w:rFonts w:ascii="Calibri" w:hAnsi="Calibri"/>
          <w:sz w:val="16"/>
        </w:rPr>
        <w:sectPr>
          <w:pgSz w:w="9640" w:h="13890"/>
          <w:pgMar w:top="0" w:bottom="280" w:left="1300" w:right="1180"/>
        </w:sectPr>
      </w:pPr>
    </w:p>
    <w:p>
      <w:pPr>
        <w:pStyle w:val="BodyText"/>
        <w:spacing w:line="259" w:lineRule="auto" w:before="120"/>
        <w:ind w:left="103" w:right="115"/>
        <w:jc w:val="both"/>
      </w:pPr>
      <w:r>
        <w:rPr>
          <w:color w:val="231F20"/>
          <w:w w:val="105"/>
        </w:rPr>
        <w:t>introdujo</w:t>
      </w:r>
      <w:r>
        <w:rPr>
          <w:color w:val="231F20"/>
          <w:spacing w:val="-9"/>
          <w:w w:val="105"/>
        </w:rPr>
        <w:t> </w:t>
      </w:r>
      <w:r>
        <w:rPr>
          <w:color w:val="231F20"/>
          <w:w w:val="105"/>
        </w:rPr>
        <w:t>el</w:t>
      </w:r>
      <w:r>
        <w:rPr>
          <w:color w:val="231F20"/>
          <w:spacing w:val="-9"/>
          <w:w w:val="105"/>
        </w:rPr>
        <w:t> </w:t>
      </w:r>
      <w:r>
        <w:rPr>
          <w:color w:val="231F20"/>
          <w:w w:val="105"/>
        </w:rPr>
        <w:t>elemento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innovación</w:t>
      </w:r>
      <w:r>
        <w:rPr>
          <w:color w:val="231F20"/>
          <w:spacing w:val="-9"/>
          <w:w w:val="105"/>
        </w:rPr>
        <w:t> </w:t>
      </w:r>
      <w:r>
        <w:rPr>
          <w:color w:val="231F20"/>
          <w:w w:val="105"/>
        </w:rPr>
        <w:t>tecnológica</w:t>
      </w:r>
      <w:r>
        <w:rPr>
          <w:color w:val="231F20"/>
          <w:spacing w:val="-9"/>
          <w:w w:val="105"/>
        </w:rPr>
        <w:t> </w:t>
      </w:r>
      <w:r>
        <w:rPr>
          <w:color w:val="231F20"/>
          <w:w w:val="105"/>
        </w:rPr>
        <w:t>como</w:t>
      </w:r>
      <w:r>
        <w:rPr>
          <w:color w:val="231F20"/>
          <w:spacing w:val="-9"/>
          <w:w w:val="105"/>
        </w:rPr>
        <w:t> </w:t>
      </w:r>
      <w:r>
        <w:rPr>
          <w:color w:val="231F20"/>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mo- tores</w:t>
      </w:r>
      <w:r>
        <w:rPr>
          <w:color w:val="231F20"/>
          <w:spacing w:val="-18"/>
          <w:w w:val="105"/>
        </w:rPr>
        <w:t> </w:t>
      </w:r>
      <w:r>
        <w:rPr>
          <w:color w:val="231F20"/>
          <w:w w:val="105"/>
        </w:rPr>
        <w:t>del</w:t>
      </w:r>
      <w:r>
        <w:rPr>
          <w:color w:val="231F20"/>
          <w:spacing w:val="-18"/>
          <w:w w:val="105"/>
        </w:rPr>
        <w:t> </w:t>
      </w:r>
      <w:r>
        <w:rPr>
          <w:color w:val="231F20"/>
          <w:w w:val="105"/>
        </w:rPr>
        <w:t>desarrollo</w:t>
      </w:r>
      <w:r>
        <w:rPr>
          <w:color w:val="231F20"/>
          <w:spacing w:val="-18"/>
          <w:w w:val="105"/>
        </w:rPr>
        <w:t> </w:t>
      </w:r>
      <w:r>
        <w:rPr>
          <w:color w:val="231F20"/>
          <w:w w:val="105"/>
        </w:rPr>
        <w:t>capitalista.</w:t>
      </w:r>
    </w:p>
    <w:p>
      <w:pPr>
        <w:pStyle w:val="BodyText"/>
        <w:spacing w:line="259" w:lineRule="auto"/>
        <w:ind w:left="103" w:right="114" w:firstLine="567"/>
        <w:jc w:val="both"/>
      </w:pPr>
      <w:r>
        <w:rPr>
          <w:color w:val="231F20"/>
          <w:w w:val="105"/>
        </w:rPr>
        <w:t>Durante casi 60 años después de la muerte de Marx en 1883, la teoría del crecimiento y del desarrollo permaneció, virtualmente, en el letargo</w:t>
      </w:r>
      <w:r>
        <w:rPr>
          <w:color w:val="231F20"/>
          <w:spacing w:val="-7"/>
          <w:w w:val="105"/>
        </w:rPr>
        <w:t> </w:t>
      </w:r>
      <w:r>
        <w:rPr>
          <w:color w:val="231F20"/>
          <w:w w:val="105"/>
        </w:rPr>
        <w:t>hasta</w:t>
      </w:r>
      <w:r>
        <w:rPr>
          <w:color w:val="231F20"/>
          <w:spacing w:val="-7"/>
          <w:w w:val="105"/>
        </w:rPr>
        <w:t> </w:t>
      </w:r>
      <w:r>
        <w:rPr>
          <w:color w:val="231F20"/>
          <w:w w:val="105"/>
        </w:rPr>
        <w:t>que</w:t>
      </w:r>
      <w:r>
        <w:rPr>
          <w:color w:val="231F20"/>
          <w:spacing w:val="-7"/>
          <w:w w:val="105"/>
        </w:rPr>
        <w:t> </w:t>
      </w:r>
      <w:r>
        <w:rPr>
          <w:color w:val="231F20"/>
          <w:w w:val="105"/>
        </w:rPr>
        <w:t>fue</w:t>
      </w:r>
      <w:r>
        <w:rPr>
          <w:color w:val="231F20"/>
          <w:spacing w:val="-7"/>
          <w:w w:val="105"/>
        </w:rPr>
        <w:t> </w:t>
      </w:r>
      <w:r>
        <w:rPr>
          <w:color w:val="231F20"/>
          <w:w w:val="105"/>
        </w:rPr>
        <w:t>reavivada</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economista</w:t>
      </w:r>
      <w:r>
        <w:rPr>
          <w:color w:val="231F20"/>
          <w:spacing w:val="-7"/>
          <w:w w:val="105"/>
        </w:rPr>
        <w:t> </w:t>
      </w:r>
      <w:r>
        <w:rPr>
          <w:color w:val="231F20"/>
          <w:w w:val="105"/>
        </w:rPr>
        <w:t>británico</w:t>
      </w:r>
      <w:r>
        <w:rPr>
          <w:color w:val="231F20"/>
          <w:spacing w:val="-7"/>
          <w:w w:val="105"/>
        </w:rPr>
        <w:t> </w:t>
      </w:r>
      <w:r>
        <w:rPr>
          <w:color w:val="231F20"/>
          <w:w w:val="105"/>
        </w:rPr>
        <w:t>Roy</w:t>
      </w:r>
      <w:r>
        <w:rPr>
          <w:color w:val="231F20"/>
          <w:spacing w:val="-7"/>
          <w:w w:val="105"/>
        </w:rPr>
        <w:t> </w:t>
      </w:r>
      <w:r>
        <w:rPr>
          <w:color w:val="231F20"/>
          <w:w w:val="105"/>
        </w:rPr>
        <w:t>Harrod en</w:t>
      </w:r>
      <w:r>
        <w:rPr>
          <w:color w:val="231F20"/>
          <w:spacing w:val="-29"/>
          <w:w w:val="105"/>
        </w:rPr>
        <w:t> </w:t>
      </w:r>
      <w:r>
        <w:rPr>
          <w:color w:val="231F20"/>
          <w:w w:val="105"/>
        </w:rPr>
        <w:t>1939</w:t>
      </w:r>
      <w:r>
        <w:rPr>
          <w:color w:val="231F20"/>
          <w:spacing w:val="-29"/>
          <w:w w:val="105"/>
        </w:rPr>
        <w:t> </w:t>
      </w:r>
      <w:r>
        <w:rPr>
          <w:color w:val="231F20"/>
          <w:w w:val="105"/>
        </w:rPr>
        <w:t>con</w:t>
      </w:r>
      <w:r>
        <w:rPr>
          <w:color w:val="231F20"/>
          <w:spacing w:val="-29"/>
          <w:w w:val="105"/>
        </w:rPr>
        <w:t> </w:t>
      </w:r>
      <w:r>
        <w:rPr>
          <w:color w:val="231F20"/>
          <w:w w:val="105"/>
        </w:rPr>
        <w:t>su</w:t>
      </w:r>
      <w:r>
        <w:rPr>
          <w:color w:val="231F20"/>
          <w:spacing w:val="-29"/>
          <w:w w:val="105"/>
        </w:rPr>
        <w:t> </w:t>
      </w:r>
      <w:r>
        <w:rPr>
          <w:color w:val="231F20"/>
          <w:w w:val="105"/>
        </w:rPr>
        <w:t>artículo</w:t>
      </w:r>
      <w:r>
        <w:rPr>
          <w:color w:val="231F20"/>
          <w:spacing w:val="-29"/>
          <w:w w:val="105"/>
        </w:rPr>
        <w:t> </w:t>
      </w:r>
      <w:r>
        <w:rPr>
          <w:color w:val="231F20"/>
          <w:w w:val="105"/>
        </w:rPr>
        <w:t>clásico</w:t>
      </w:r>
      <w:r>
        <w:rPr>
          <w:color w:val="231F20"/>
          <w:spacing w:val="-29"/>
          <w:w w:val="105"/>
        </w:rPr>
        <w:t> </w:t>
      </w:r>
      <w:r>
        <w:rPr>
          <w:color w:val="231F20"/>
          <w:w w:val="105"/>
        </w:rPr>
        <w:t>“Un</w:t>
      </w:r>
      <w:r>
        <w:rPr>
          <w:color w:val="231F20"/>
          <w:spacing w:val="-29"/>
          <w:w w:val="105"/>
        </w:rPr>
        <w:t> </w:t>
      </w:r>
      <w:r>
        <w:rPr>
          <w:color w:val="231F20"/>
          <w:w w:val="105"/>
        </w:rPr>
        <w:t>ensayo</w:t>
      </w:r>
      <w:r>
        <w:rPr>
          <w:color w:val="231F20"/>
          <w:spacing w:val="-29"/>
          <w:w w:val="105"/>
        </w:rPr>
        <w:t> </w:t>
      </w:r>
      <w:r>
        <w:rPr>
          <w:color w:val="231F20"/>
          <w:w w:val="105"/>
        </w:rPr>
        <w:t>sobre</w:t>
      </w:r>
      <w:r>
        <w:rPr>
          <w:color w:val="231F20"/>
          <w:spacing w:val="-29"/>
          <w:w w:val="105"/>
        </w:rPr>
        <w:t> </w:t>
      </w:r>
      <w:r>
        <w:rPr>
          <w:color w:val="231F20"/>
          <w:w w:val="105"/>
        </w:rPr>
        <w:t>teoría</w:t>
      </w:r>
      <w:r>
        <w:rPr>
          <w:color w:val="231F20"/>
          <w:spacing w:val="-29"/>
          <w:w w:val="105"/>
        </w:rPr>
        <w:t> </w:t>
      </w:r>
      <w:r>
        <w:rPr>
          <w:color w:val="231F20"/>
          <w:spacing w:val="-4"/>
          <w:w w:val="105"/>
        </w:rPr>
        <w:t>dinámica”.</w:t>
      </w:r>
      <w:r>
        <w:rPr>
          <w:color w:val="231F20"/>
          <w:spacing w:val="-34"/>
          <w:w w:val="105"/>
        </w:rPr>
        <w:t> </w:t>
      </w:r>
      <w:r>
        <w:rPr>
          <w:color w:val="231F20"/>
          <w:w w:val="105"/>
        </w:rPr>
        <w:t>Harrod condujo a lo que se llamaría posteriormente el modelo de crecimien-  to de Harrod-Domar que establece que todos los países deben</w:t>
      </w:r>
      <w:r>
        <w:rPr>
          <w:color w:val="231F20"/>
          <w:spacing w:val="-11"/>
          <w:w w:val="105"/>
        </w:rPr>
        <w:t> </w:t>
      </w:r>
      <w:r>
        <w:rPr>
          <w:color w:val="231F20"/>
          <w:w w:val="105"/>
        </w:rPr>
        <w:t>ahorrar cierta</w:t>
      </w:r>
      <w:r>
        <w:rPr>
          <w:color w:val="231F20"/>
          <w:spacing w:val="-11"/>
          <w:w w:val="105"/>
        </w:rPr>
        <w:t> </w:t>
      </w:r>
      <w:r>
        <w:rPr>
          <w:color w:val="231F20"/>
          <w:w w:val="105"/>
        </w:rPr>
        <w:t>proporción</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renta</w:t>
      </w:r>
      <w:r>
        <w:rPr>
          <w:color w:val="231F20"/>
          <w:spacing w:val="-11"/>
          <w:w w:val="105"/>
        </w:rPr>
        <w:t> </w:t>
      </w:r>
      <w:r>
        <w:rPr>
          <w:color w:val="231F20"/>
          <w:w w:val="105"/>
        </w:rPr>
        <w:t>nacional</w:t>
      </w:r>
      <w:r>
        <w:rPr>
          <w:color w:val="231F20"/>
          <w:spacing w:val="-11"/>
          <w:w w:val="105"/>
        </w:rPr>
        <w:t> </w:t>
      </w:r>
      <w:r>
        <w:rPr>
          <w:color w:val="231F20"/>
          <w:w w:val="105"/>
        </w:rPr>
        <w:t>para</w:t>
      </w:r>
      <w:r>
        <w:rPr>
          <w:color w:val="231F20"/>
          <w:spacing w:val="-11"/>
          <w:w w:val="105"/>
        </w:rPr>
        <w:t> </w:t>
      </w:r>
      <w:r>
        <w:rPr>
          <w:color w:val="231F20"/>
          <w:w w:val="105"/>
        </w:rPr>
        <w:t>reemplazar</w:t>
      </w:r>
      <w:r>
        <w:rPr>
          <w:color w:val="231F20"/>
          <w:spacing w:val="-11"/>
          <w:w w:val="105"/>
        </w:rPr>
        <w:t> </w:t>
      </w:r>
      <w:r>
        <w:rPr>
          <w:color w:val="231F20"/>
          <w:w w:val="105"/>
        </w:rPr>
        <w:t>todos</w:t>
      </w:r>
      <w:r>
        <w:rPr>
          <w:color w:val="231F20"/>
          <w:spacing w:val="-11"/>
          <w:w w:val="105"/>
        </w:rPr>
        <w:t> </w:t>
      </w:r>
      <w:r>
        <w:rPr>
          <w:color w:val="231F20"/>
          <w:w w:val="105"/>
        </w:rPr>
        <w:t>los</w:t>
      </w:r>
      <w:r>
        <w:rPr>
          <w:color w:val="231F20"/>
          <w:spacing w:val="-11"/>
          <w:w w:val="105"/>
        </w:rPr>
        <w:t> </w:t>
      </w:r>
      <w:r>
        <w:rPr>
          <w:color w:val="231F20"/>
          <w:w w:val="105"/>
        </w:rPr>
        <w:t>bienes de capital que se desgastan y deterioran con el paso del tiempo. </w:t>
      </w:r>
      <w:r>
        <w:rPr>
          <w:color w:val="231F20"/>
          <w:spacing w:val="-5"/>
          <w:w w:val="105"/>
        </w:rPr>
        <w:t>Pero </w:t>
      </w:r>
      <w:r>
        <w:rPr>
          <w:color w:val="231F20"/>
          <w:w w:val="105"/>
        </w:rPr>
        <w:t>para</w:t>
      </w:r>
      <w:r>
        <w:rPr>
          <w:color w:val="231F20"/>
          <w:spacing w:val="-15"/>
          <w:w w:val="105"/>
        </w:rPr>
        <w:t> </w:t>
      </w:r>
      <w:r>
        <w:rPr>
          <w:color w:val="231F20"/>
          <w:spacing w:val="-3"/>
          <w:w w:val="105"/>
        </w:rPr>
        <w:t>crecer,</w:t>
      </w:r>
      <w:r>
        <w:rPr>
          <w:color w:val="231F20"/>
          <w:spacing w:val="-20"/>
          <w:w w:val="105"/>
        </w:rPr>
        <w:t> </w:t>
      </w:r>
      <w:r>
        <w:rPr>
          <w:color w:val="231F20"/>
          <w:w w:val="105"/>
        </w:rPr>
        <w:t>son</w:t>
      </w:r>
      <w:r>
        <w:rPr>
          <w:color w:val="231F20"/>
          <w:spacing w:val="-15"/>
          <w:w w:val="105"/>
        </w:rPr>
        <w:t> </w:t>
      </w:r>
      <w:r>
        <w:rPr>
          <w:color w:val="231F20"/>
          <w:w w:val="105"/>
        </w:rPr>
        <w:t>necesarias</w:t>
      </w:r>
      <w:r>
        <w:rPr>
          <w:color w:val="231F20"/>
          <w:spacing w:val="-15"/>
          <w:w w:val="105"/>
        </w:rPr>
        <w:t> </w:t>
      </w:r>
      <w:r>
        <w:rPr>
          <w:color w:val="231F20"/>
          <w:w w:val="105"/>
        </w:rPr>
        <w:t>nuevas</w:t>
      </w:r>
      <w:r>
        <w:rPr>
          <w:color w:val="231F20"/>
          <w:spacing w:val="-15"/>
          <w:w w:val="105"/>
        </w:rPr>
        <w:t> </w:t>
      </w:r>
      <w:r>
        <w:rPr>
          <w:color w:val="231F20"/>
          <w:w w:val="105"/>
        </w:rPr>
        <w:t>inversiones</w:t>
      </w:r>
      <w:r>
        <w:rPr>
          <w:color w:val="231F20"/>
          <w:spacing w:val="-15"/>
          <w:w w:val="105"/>
        </w:rPr>
        <w:t> </w:t>
      </w:r>
      <w:r>
        <w:rPr>
          <w:color w:val="231F20"/>
          <w:w w:val="105"/>
        </w:rPr>
        <w:t>que</w:t>
      </w:r>
      <w:r>
        <w:rPr>
          <w:color w:val="231F20"/>
          <w:spacing w:val="-15"/>
          <w:w w:val="105"/>
        </w:rPr>
        <w:t> </w:t>
      </w:r>
      <w:r>
        <w:rPr>
          <w:color w:val="231F20"/>
          <w:w w:val="105"/>
        </w:rPr>
        <w:t>aumenten</w:t>
      </w:r>
      <w:r>
        <w:rPr>
          <w:color w:val="231F20"/>
          <w:spacing w:val="-15"/>
          <w:w w:val="105"/>
        </w:rPr>
        <w:t> </w:t>
      </w:r>
      <w:r>
        <w:rPr>
          <w:color w:val="231F20"/>
          <w:w w:val="105"/>
        </w:rPr>
        <w:t>el</w:t>
      </w:r>
      <w:r>
        <w:rPr>
          <w:color w:val="231F20"/>
          <w:spacing w:val="-15"/>
          <w:w w:val="105"/>
        </w:rPr>
        <w:t> </w:t>
      </w:r>
      <w:r>
        <w:rPr>
          <w:color w:val="231F20"/>
          <w:w w:val="105"/>
        </w:rPr>
        <w:t>capital existente,</w:t>
      </w:r>
      <w:r>
        <w:rPr>
          <w:color w:val="231F20"/>
          <w:spacing w:val="-28"/>
          <w:w w:val="105"/>
        </w:rPr>
        <w:t> </w:t>
      </w:r>
      <w:r>
        <w:rPr>
          <w:color w:val="231F20"/>
          <w:w w:val="105"/>
        </w:rPr>
        <w:t>es</w:t>
      </w:r>
      <w:r>
        <w:rPr>
          <w:color w:val="231F20"/>
          <w:spacing w:val="-23"/>
          <w:w w:val="105"/>
        </w:rPr>
        <w:t> </w:t>
      </w:r>
      <w:r>
        <w:rPr>
          <w:color w:val="231F20"/>
          <w:w w:val="105"/>
        </w:rPr>
        <w:t>decir</w:t>
      </w:r>
      <w:r>
        <w:rPr>
          <w:color w:val="231F20"/>
          <w:spacing w:val="-23"/>
          <w:w w:val="105"/>
        </w:rPr>
        <w:t> </w:t>
      </w:r>
      <w:r>
        <w:rPr>
          <w:color w:val="231F20"/>
          <w:w w:val="105"/>
        </w:rPr>
        <w:t>el</w:t>
      </w:r>
      <w:r>
        <w:rPr>
          <w:color w:val="231F20"/>
          <w:spacing w:val="-23"/>
          <w:w w:val="105"/>
        </w:rPr>
        <w:t> </w:t>
      </w:r>
      <w:r>
        <w:rPr>
          <w:color w:val="231F20"/>
          <w:w w:val="105"/>
        </w:rPr>
        <w:t>crecimiento</w:t>
      </w:r>
      <w:r>
        <w:rPr>
          <w:color w:val="231F20"/>
          <w:spacing w:val="-23"/>
          <w:w w:val="105"/>
        </w:rPr>
        <w:t> </w:t>
      </w:r>
      <w:r>
        <w:rPr>
          <w:color w:val="231F20"/>
          <w:w w:val="105"/>
        </w:rPr>
        <w:t>económico</w:t>
      </w:r>
      <w:r>
        <w:rPr>
          <w:color w:val="231F20"/>
          <w:spacing w:val="-23"/>
          <w:w w:val="105"/>
        </w:rPr>
        <w:t> </w:t>
      </w:r>
      <w:r>
        <w:rPr>
          <w:color w:val="231F20"/>
          <w:w w:val="105"/>
        </w:rPr>
        <w:t>es</w:t>
      </w:r>
      <w:r>
        <w:rPr>
          <w:color w:val="231F20"/>
          <w:spacing w:val="-23"/>
          <w:w w:val="105"/>
        </w:rPr>
        <w:t> </w:t>
      </w:r>
      <w:r>
        <w:rPr>
          <w:color w:val="231F20"/>
          <w:w w:val="105"/>
        </w:rPr>
        <w:t>el</w:t>
      </w:r>
      <w:r>
        <w:rPr>
          <w:color w:val="231F20"/>
          <w:spacing w:val="-23"/>
          <w:w w:val="105"/>
        </w:rPr>
        <w:t> </w:t>
      </w:r>
      <w:r>
        <w:rPr>
          <w:color w:val="231F20"/>
          <w:w w:val="105"/>
        </w:rPr>
        <w:t>resultado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absten- ción de consumir en un</w:t>
      </w:r>
      <w:r>
        <w:rPr>
          <w:color w:val="231F20"/>
          <w:spacing w:val="-21"/>
          <w:w w:val="105"/>
        </w:rPr>
        <w:t> </w:t>
      </w:r>
      <w:r>
        <w:rPr>
          <w:color w:val="231F20"/>
          <w:w w:val="105"/>
        </w:rPr>
        <w:t>periodo.</w:t>
      </w:r>
    </w:p>
    <w:p>
      <w:pPr>
        <w:pStyle w:val="BodyText"/>
        <w:spacing w:line="259" w:lineRule="auto"/>
        <w:ind w:left="103" w:right="108" w:firstLine="567"/>
        <w:jc w:val="both"/>
      </w:pPr>
      <w:r>
        <w:rPr>
          <w:color w:val="231F20"/>
          <w:w w:val="105"/>
        </w:rPr>
        <w:t>Si no se ahorrara, no sería posible invertir y no habría expansión alguna. Mientras que el ahorro permite emprender nuevas actividades, expandir las que ya existen o reponer el capital anticuado, la inversión genera</w:t>
      </w:r>
      <w:r>
        <w:rPr>
          <w:color w:val="231F20"/>
          <w:spacing w:val="-18"/>
          <w:w w:val="105"/>
        </w:rPr>
        <w:t> </w:t>
      </w:r>
      <w:r>
        <w:rPr>
          <w:color w:val="231F20"/>
          <w:w w:val="105"/>
        </w:rPr>
        <w:t>una</w:t>
      </w:r>
      <w:r>
        <w:rPr>
          <w:color w:val="231F20"/>
          <w:spacing w:val="-18"/>
          <w:w w:val="105"/>
        </w:rPr>
        <w:t> </w:t>
      </w:r>
      <w:r>
        <w:rPr>
          <w:color w:val="231F20"/>
          <w:w w:val="105"/>
        </w:rPr>
        <w:t>demanda</w:t>
      </w:r>
      <w:r>
        <w:rPr>
          <w:color w:val="231F20"/>
          <w:spacing w:val="-18"/>
          <w:w w:val="105"/>
        </w:rPr>
        <w:t> </w:t>
      </w:r>
      <w:r>
        <w:rPr>
          <w:color w:val="231F20"/>
          <w:w w:val="105"/>
        </w:rPr>
        <w:t>de</w:t>
      </w:r>
      <w:r>
        <w:rPr>
          <w:color w:val="231F20"/>
          <w:spacing w:val="-18"/>
          <w:w w:val="105"/>
        </w:rPr>
        <w:t> </w:t>
      </w:r>
      <w:r>
        <w:rPr>
          <w:color w:val="231F20"/>
          <w:w w:val="105"/>
        </w:rPr>
        <w:t>mercado</w:t>
      </w:r>
      <w:r>
        <w:rPr>
          <w:color w:val="231F20"/>
          <w:spacing w:val="-18"/>
          <w:w w:val="105"/>
        </w:rPr>
        <w:t> </w:t>
      </w:r>
      <w:r>
        <w:rPr>
          <w:color w:val="231F20"/>
          <w:w w:val="105"/>
        </w:rPr>
        <w:t>de</w:t>
      </w:r>
      <w:r>
        <w:rPr>
          <w:color w:val="231F20"/>
          <w:spacing w:val="-18"/>
          <w:w w:val="105"/>
        </w:rPr>
        <w:t> </w:t>
      </w:r>
      <w:r>
        <w:rPr>
          <w:color w:val="231F20"/>
          <w:w w:val="105"/>
        </w:rPr>
        <w:t>bienes</w:t>
      </w:r>
      <w:r>
        <w:rPr>
          <w:color w:val="231F20"/>
          <w:spacing w:val="-18"/>
          <w:w w:val="105"/>
        </w:rPr>
        <w:t> </w:t>
      </w:r>
      <w:r>
        <w:rPr>
          <w:color w:val="231F20"/>
          <w:w w:val="105"/>
        </w:rPr>
        <w:t>de</w:t>
      </w:r>
      <w:r>
        <w:rPr>
          <w:color w:val="231F20"/>
          <w:spacing w:val="-18"/>
          <w:w w:val="105"/>
        </w:rPr>
        <w:t> </w:t>
      </w:r>
      <w:r>
        <w:rPr>
          <w:color w:val="231F20"/>
          <w:w w:val="105"/>
        </w:rPr>
        <w:t>capital.</w:t>
      </w:r>
      <w:r>
        <w:rPr>
          <w:color w:val="231F20"/>
          <w:spacing w:val="-23"/>
          <w:w w:val="105"/>
        </w:rPr>
        <w:t> </w:t>
      </w:r>
      <w:r>
        <w:rPr>
          <w:color w:val="231F20"/>
          <w:w w:val="105"/>
        </w:rPr>
        <w:t>Estos</w:t>
      </w:r>
      <w:r>
        <w:rPr>
          <w:color w:val="231F20"/>
          <w:spacing w:val="-18"/>
          <w:w w:val="105"/>
        </w:rPr>
        <w:t> </w:t>
      </w:r>
      <w:r>
        <w:rPr>
          <w:color w:val="231F20"/>
          <w:w w:val="105"/>
        </w:rPr>
        <w:t>bienes</w:t>
      </w:r>
      <w:r>
        <w:rPr>
          <w:color w:val="231F20"/>
          <w:spacing w:val="-18"/>
          <w:w w:val="105"/>
        </w:rPr>
        <w:t> </w:t>
      </w:r>
      <w:r>
        <w:rPr>
          <w:color w:val="231F20"/>
          <w:w w:val="105"/>
        </w:rPr>
        <w:t>pa- san a engrosar la acumulación de capital de la economía y la dotan de una capacidad aún mayor de producción en el futuro; de esta forma, la economía</w:t>
      </w:r>
      <w:r>
        <w:rPr>
          <w:color w:val="231F20"/>
          <w:spacing w:val="-9"/>
          <w:w w:val="105"/>
        </w:rPr>
        <w:t> </w:t>
      </w:r>
      <w:r>
        <w:rPr>
          <w:color w:val="231F20"/>
          <w:w w:val="105"/>
        </w:rPr>
        <w:t>crece.</w:t>
      </w:r>
      <w:r>
        <w:rPr>
          <w:color w:val="231F20"/>
          <w:spacing w:val="-15"/>
          <w:w w:val="105"/>
        </w:rPr>
        <w:t> </w:t>
      </w:r>
      <w:r>
        <w:rPr>
          <w:color w:val="231F20"/>
          <w:w w:val="105"/>
        </w:rPr>
        <w:t>Éste</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punto</w:t>
      </w:r>
      <w:r>
        <w:rPr>
          <w:color w:val="231F20"/>
          <w:spacing w:val="-9"/>
          <w:w w:val="105"/>
        </w:rPr>
        <w:t> </w:t>
      </w:r>
      <w:r>
        <w:rPr>
          <w:color w:val="231F20"/>
          <w:w w:val="105"/>
        </w:rPr>
        <w:t>de</w:t>
      </w:r>
      <w:r>
        <w:rPr>
          <w:color w:val="231F20"/>
          <w:spacing w:val="-9"/>
          <w:w w:val="105"/>
        </w:rPr>
        <w:t> </w:t>
      </w:r>
      <w:r>
        <w:rPr>
          <w:color w:val="231F20"/>
          <w:w w:val="105"/>
        </w:rPr>
        <w:t>partida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teoría</w:t>
      </w:r>
      <w:r>
        <w:rPr>
          <w:color w:val="231F20"/>
          <w:spacing w:val="-9"/>
          <w:w w:val="105"/>
        </w:rPr>
        <w:t> </w:t>
      </w:r>
      <w:r>
        <w:rPr>
          <w:color w:val="231F20"/>
          <w:w w:val="105"/>
        </w:rPr>
        <w:t>del</w:t>
      </w:r>
      <w:r>
        <w:rPr>
          <w:color w:val="231F20"/>
          <w:spacing w:val="-9"/>
          <w:w w:val="105"/>
        </w:rPr>
        <w:t> </w:t>
      </w:r>
      <w:r>
        <w:rPr>
          <w:color w:val="231F20"/>
          <w:w w:val="105"/>
        </w:rPr>
        <w:t>crecimiento económico</w:t>
      </w:r>
      <w:r>
        <w:rPr>
          <w:color w:val="231F20"/>
          <w:spacing w:val="-27"/>
          <w:w w:val="105"/>
        </w:rPr>
        <w:t> </w:t>
      </w:r>
      <w:r>
        <w:rPr>
          <w:color w:val="231F20"/>
          <w:spacing w:val="-3"/>
          <w:w w:val="105"/>
        </w:rPr>
        <w:t>(Ray,</w:t>
      </w:r>
      <w:r>
        <w:rPr>
          <w:color w:val="231F20"/>
          <w:spacing w:val="-32"/>
          <w:w w:val="105"/>
        </w:rPr>
        <w:t> </w:t>
      </w:r>
      <w:r>
        <w:rPr>
          <w:color w:val="231F20"/>
          <w:w w:val="105"/>
        </w:rPr>
        <w:t>1998).</w:t>
      </w:r>
      <w:r>
        <w:rPr>
          <w:color w:val="231F20"/>
          <w:spacing w:val="-32"/>
          <w:w w:val="105"/>
        </w:rPr>
        <w:t> </w:t>
      </w:r>
      <w:r>
        <w:rPr>
          <w:color w:val="231F20"/>
          <w:w w:val="105"/>
        </w:rPr>
        <w:t>Cabe</w:t>
      </w:r>
      <w:r>
        <w:rPr>
          <w:color w:val="231F20"/>
          <w:spacing w:val="-27"/>
          <w:w w:val="105"/>
        </w:rPr>
        <w:t> </w:t>
      </w:r>
      <w:r>
        <w:rPr>
          <w:color w:val="231F20"/>
          <w:w w:val="105"/>
        </w:rPr>
        <w:t>mencionar</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teoría</w:t>
      </w:r>
      <w:r>
        <w:rPr>
          <w:color w:val="231F20"/>
          <w:spacing w:val="-27"/>
          <w:w w:val="105"/>
        </w:rPr>
        <w:t> </w:t>
      </w:r>
      <w:r>
        <w:rPr>
          <w:color w:val="231F20"/>
          <w:w w:val="105"/>
        </w:rPr>
        <w:t>neoclásica</w:t>
      </w:r>
      <w:r>
        <w:rPr>
          <w:color w:val="231F20"/>
          <w:spacing w:val="-27"/>
          <w:w w:val="105"/>
        </w:rPr>
        <w:t> </w:t>
      </w:r>
      <w:r>
        <w:rPr>
          <w:color w:val="231F20"/>
          <w:w w:val="105"/>
        </w:rPr>
        <w:t>del</w:t>
      </w:r>
      <w:r>
        <w:rPr>
          <w:color w:val="231F20"/>
          <w:spacing w:val="-27"/>
          <w:w w:val="105"/>
        </w:rPr>
        <w:t> </w:t>
      </w:r>
      <w:r>
        <w:rPr>
          <w:color w:val="231F20"/>
          <w:w w:val="105"/>
        </w:rPr>
        <w:t>cre- cimiento nació como una reacción al modelo Harrod-Domar (Thirlwall, 2003),</w:t>
      </w:r>
      <w:r>
        <w:rPr>
          <w:color w:val="231F20"/>
          <w:spacing w:val="-26"/>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se</w:t>
      </w:r>
      <w:r>
        <w:rPr>
          <w:color w:val="231F20"/>
          <w:spacing w:val="-20"/>
          <w:w w:val="105"/>
        </w:rPr>
        <w:t> </w:t>
      </w:r>
      <w:r>
        <w:rPr>
          <w:color w:val="231F20"/>
          <w:w w:val="105"/>
        </w:rPr>
        <w:t>desarrolla</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siguiente</w:t>
      </w:r>
      <w:r>
        <w:rPr>
          <w:color w:val="231F20"/>
          <w:spacing w:val="-20"/>
          <w:w w:val="105"/>
        </w:rPr>
        <w:t> </w:t>
      </w:r>
      <w:r>
        <w:rPr>
          <w:color w:val="231F20"/>
          <w:w w:val="105"/>
        </w:rPr>
        <w:t>apartado.</w:t>
      </w:r>
    </w:p>
    <w:p>
      <w:pPr>
        <w:pStyle w:val="BodyText"/>
        <w:rPr>
          <w:sz w:val="20"/>
        </w:rPr>
      </w:pPr>
    </w:p>
    <w:p>
      <w:pPr>
        <w:pStyle w:val="BodyText"/>
        <w:spacing w:before="7"/>
        <w:rPr>
          <w:sz w:val="18"/>
        </w:rPr>
      </w:pPr>
    </w:p>
    <w:p>
      <w:pPr>
        <w:pStyle w:val="Heading2"/>
        <w:ind w:left="103"/>
      </w:pPr>
      <w:r>
        <w:rPr>
          <w:color w:val="231F20"/>
        </w:rPr>
        <w:t>Modelos de crecimiento. Enfoque de la oferta</w:t>
      </w:r>
    </w:p>
    <w:p>
      <w:pPr>
        <w:pStyle w:val="BodyText"/>
        <w:rPr>
          <w:b/>
          <w:sz w:val="22"/>
        </w:rPr>
      </w:pPr>
    </w:p>
    <w:p>
      <w:pPr>
        <w:pStyle w:val="BodyText"/>
        <w:spacing w:line="259" w:lineRule="auto" w:before="160"/>
        <w:ind w:left="103" w:right="114"/>
        <w:jc w:val="both"/>
      </w:pPr>
      <w:r>
        <w:rPr>
          <w:color w:val="231F20"/>
          <w:w w:val="105"/>
        </w:rPr>
        <w:t>La corriente principal de la teoría del crecimiento económico, desde el lado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oferta,</w:t>
      </w:r>
      <w:r>
        <w:rPr>
          <w:color w:val="231F20"/>
          <w:spacing w:val="-16"/>
          <w:w w:val="105"/>
        </w:rPr>
        <w:t> </w:t>
      </w:r>
      <w:r>
        <w:rPr>
          <w:color w:val="231F20"/>
          <w:w w:val="105"/>
        </w:rPr>
        <w:t>nació</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modelo</w:t>
      </w:r>
      <w:r>
        <w:rPr>
          <w:color w:val="231F20"/>
          <w:spacing w:val="-10"/>
          <w:w w:val="105"/>
        </w:rPr>
        <w:t> </w:t>
      </w:r>
      <w:r>
        <w:rPr>
          <w:color w:val="231F20"/>
          <w:w w:val="105"/>
        </w:rPr>
        <w:t>de</w:t>
      </w:r>
      <w:r>
        <w:rPr>
          <w:color w:val="231F20"/>
          <w:spacing w:val="-10"/>
          <w:w w:val="105"/>
        </w:rPr>
        <w:t> </w:t>
      </w:r>
      <w:r>
        <w:rPr>
          <w:color w:val="231F20"/>
          <w:w w:val="105"/>
        </w:rPr>
        <w:t>Solow</w:t>
      </w:r>
      <w:r>
        <w:rPr>
          <w:color w:val="231F20"/>
          <w:spacing w:val="-10"/>
          <w:w w:val="105"/>
        </w:rPr>
        <w:t> </w:t>
      </w:r>
      <w:r>
        <w:rPr>
          <w:color w:val="231F20"/>
          <w:w w:val="105"/>
        </w:rPr>
        <w:t>(1956).</w:t>
      </w:r>
      <w:r>
        <w:rPr>
          <w:color w:val="231F20"/>
          <w:spacing w:val="-16"/>
          <w:w w:val="105"/>
        </w:rPr>
        <w:t> </w:t>
      </w:r>
      <w:r>
        <w:rPr>
          <w:color w:val="231F20"/>
          <w:w w:val="105"/>
        </w:rPr>
        <w:t>Este</w:t>
      </w:r>
      <w:r>
        <w:rPr>
          <w:color w:val="231F20"/>
          <w:spacing w:val="-10"/>
          <w:w w:val="105"/>
        </w:rPr>
        <w:t> </w:t>
      </w:r>
      <w:r>
        <w:rPr>
          <w:color w:val="231F20"/>
          <w:w w:val="105"/>
        </w:rPr>
        <w:t>modelo</w:t>
      </w:r>
      <w:r>
        <w:rPr>
          <w:color w:val="231F20"/>
          <w:spacing w:val="-10"/>
          <w:w w:val="105"/>
        </w:rPr>
        <w:t> </w:t>
      </w:r>
      <w:r>
        <w:rPr>
          <w:color w:val="231F20"/>
          <w:w w:val="105"/>
        </w:rPr>
        <w:t>tie- ne como componente principal una función de producción agregada,</w:t>
      </w:r>
      <w:r>
        <w:rPr>
          <w:color w:val="231F20"/>
          <w:spacing w:val="-26"/>
          <w:w w:val="105"/>
        </w:rPr>
        <w:t> </w:t>
      </w:r>
      <w:r>
        <w:rPr>
          <w:color w:val="231F20"/>
          <w:w w:val="105"/>
        </w:rPr>
        <w:t>lo cual</w:t>
      </w:r>
      <w:r>
        <w:rPr>
          <w:color w:val="231F20"/>
          <w:spacing w:val="-16"/>
          <w:w w:val="105"/>
        </w:rPr>
        <w:t> </w:t>
      </w:r>
      <w:r>
        <w:rPr>
          <w:color w:val="231F20"/>
          <w:w w:val="105"/>
        </w:rPr>
        <w:t>muestra</w:t>
      </w:r>
      <w:r>
        <w:rPr>
          <w:color w:val="231F20"/>
          <w:spacing w:val="-16"/>
          <w:w w:val="105"/>
        </w:rPr>
        <w:t> </w:t>
      </w:r>
      <w:r>
        <w:rPr>
          <w:color w:val="231F20"/>
          <w:w w:val="105"/>
        </w:rPr>
        <w:t>la</w:t>
      </w:r>
      <w:r>
        <w:rPr>
          <w:color w:val="231F20"/>
          <w:spacing w:val="-16"/>
          <w:w w:val="105"/>
        </w:rPr>
        <w:t> </w:t>
      </w:r>
      <w:r>
        <w:rPr>
          <w:color w:val="231F20"/>
          <w:w w:val="105"/>
        </w:rPr>
        <w:t>relación</w:t>
      </w:r>
      <w:r>
        <w:rPr>
          <w:color w:val="231F20"/>
          <w:spacing w:val="-16"/>
          <w:w w:val="105"/>
        </w:rPr>
        <w:t> </w:t>
      </w:r>
      <w:r>
        <w:rPr>
          <w:color w:val="231F20"/>
          <w:w w:val="105"/>
        </w:rPr>
        <w:t>entre</w:t>
      </w:r>
      <w:r>
        <w:rPr>
          <w:color w:val="231F20"/>
          <w:spacing w:val="-16"/>
          <w:w w:val="105"/>
        </w:rPr>
        <w:t> </w:t>
      </w:r>
      <w:r>
        <w:rPr>
          <w:color w:val="231F20"/>
          <w:w w:val="105"/>
        </w:rPr>
        <w:t>capital</w:t>
      </w:r>
      <w:r>
        <w:rPr>
          <w:color w:val="231F20"/>
          <w:spacing w:val="-16"/>
          <w:w w:val="105"/>
        </w:rPr>
        <w:t> </w:t>
      </w:r>
      <w:r>
        <w:rPr>
          <w:color w:val="231F20"/>
          <w:w w:val="105"/>
        </w:rPr>
        <w:t>y</w:t>
      </w:r>
      <w:r>
        <w:rPr>
          <w:color w:val="231F20"/>
          <w:spacing w:val="-16"/>
          <w:w w:val="105"/>
        </w:rPr>
        <w:t> </w:t>
      </w:r>
      <w:r>
        <w:rPr>
          <w:color w:val="231F20"/>
          <w:w w:val="105"/>
        </w:rPr>
        <w:t>trabajo,</w:t>
      </w:r>
      <w:r>
        <w:rPr>
          <w:color w:val="231F20"/>
          <w:spacing w:val="-23"/>
          <w:w w:val="105"/>
        </w:rPr>
        <w:t> </w:t>
      </w:r>
      <w:r>
        <w:rPr>
          <w:color w:val="231F20"/>
          <w:w w:val="105"/>
        </w:rPr>
        <w:t>teniendo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oferta</w:t>
      </w:r>
      <w:r>
        <w:rPr>
          <w:color w:val="231F20"/>
          <w:spacing w:val="-16"/>
          <w:w w:val="105"/>
        </w:rPr>
        <w:t> </w:t>
      </w:r>
      <w:r>
        <w:rPr>
          <w:color w:val="231F20"/>
          <w:w w:val="105"/>
        </w:rPr>
        <w:t>como el</w:t>
      </w:r>
      <w:r>
        <w:rPr>
          <w:color w:val="231F20"/>
          <w:spacing w:val="-8"/>
          <w:w w:val="105"/>
        </w:rPr>
        <w:t> </w:t>
      </w:r>
      <w:r>
        <w:rPr>
          <w:color w:val="231F20"/>
          <w:w w:val="105"/>
        </w:rPr>
        <w:t>factor</w:t>
      </w:r>
      <w:r>
        <w:rPr>
          <w:color w:val="231F20"/>
          <w:spacing w:val="-8"/>
          <w:w w:val="105"/>
        </w:rPr>
        <w:t> </w:t>
      </w:r>
      <w:r>
        <w:rPr>
          <w:color w:val="231F20"/>
          <w:w w:val="105"/>
        </w:rPr>
        <w:t>crucial</w:t>
      </w:r>
      <w:r>
        <w:rPr>
          <w:color w:val="231F20"/>
          <w:spacing w:val="-8"/>
          <w:w w:val="105"/>
        </w:rPr>
        <w:t> </w:t>
      </w:r>
      <w:r>
        <w:rPr>
          <w:color w:val="231F20"/>
          <w:w w:val="105"/>
        </w:rPr>
        <w:t>que</w:t>
      </w:r>
      <w:r>
        <w:rPr>
          <w:color w:val="231F20"/>
          <w:spacing w:val="-8"/>
          <w:w w:val="105"/>
        </w:rPr>
        <w:t> </w:t>
      </w:r>
      <w:r>
        <w:rPr>
          <w:color w:val="231F20"/>
          <w:w w:val="105"/>
        </w:rPr>
        <w:t>muestra</w:t>
      </w:r>
      <w:r>
        <w:rPr>
          <w:color w:val="231F20"/>
          <w:spacing w:val="-8"/>
          <w:w w:val="105"/>
        </w:rPr>
        <w:t> </w:t>
      </w:r>
      <w:r>
        <w:rPr>
          <w:color w:val="231F20"/>
          <w:w w:val="105"/>
        </w:rPr>
        <w:t>el</w:t>
      </w:r>
      <w:r>
        <w:rPr>
          <w:color w:val="231F20"/>
          <w:spacing w:val="-8"/>
          <w:w w:val="105"/>
        </w:rPr>
        <w:t> </w:t>
      </w:r>
      <w:r>
        <w:rPr>
          <w:color w:val="231F20"/>
          <w:w w:val="105"/>
        </w:rPr>
        <w:t>crecimiento</w:t>
      </w:r>
      <w:r>
        <w:rPr>
          <w:color w:val="231F20"/>
          <w:spacing w:val="-8"/>
          <w:w w:val="105"/>
        </w:rPr>
        <w:t> </w:t>
      </w:r>
      <w:r>
        <w:rPr>
          <w:color w:val="231F20"/>
          <w:w w:val="105"/>
        </w:rPr>
        <w:t>del</w:t>
      </w:r>
      <w:r>
        <w:rPr>
          <w:color w:val="231F20"/>
          <w:spacing w:val="-8"/>
          <w:w w:val="105"/>
        </w:rPr>
        <w:t> </w:t>
      </w:r>
      <w:r>
        <w:rPr>
          <w:color w:val="231F20"/>
          <w:w w:val="105"/>
        </w:rPr>
        <w:t>producto</w:t>
      </w:r>
      <w:r>
        <w:rPr>
          <w:color w:val="231F20"/>
          <w:spacing w:val="-8"/>
          <w:w w:val="105"/>
        </w:rPr>
        <w:t> </w:t>
      </w:r>
      <w:r>
        <w:rPr>
          <w:color w:val="231F20"/>
          <w:w w:val="105"/>
        </w:rPr>
        <w:t>con</w:t>
      </w:r>
      <w:r>
        <w:rPr>
          <w:color w:val="231F20"/>
          <w:spacing w:val="-8"/>
          <w:w w:val="105"/>
        </w:rPr>
        <w:t> </w:t>
      </w:r>
      <w:r>
        <w:rPr>
          <w:color w:val="231F20"/>
          <w:w w:val="105"/>
        </w:rPr>
        <w:t>rendimien- tos crecientes de los factores productivos y rendimientos constantes a escala</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Rosa,</w:t>
      </w:r>
      <w:r>
        <w:rPr>
          <w:color w:val="231F20"/>
          <w:spacing w:val="-34"/>
          <w:w w:val="105"/>
        </w:rPr>
        <w:t> </w:t>
      </w:r>
      <w:r>
        <w:rPr>
          <w:color w:val="231F20"/>
          <w:w w:val="105"/>
        </w:rPr>
        <w:t>2006).</w:t>
      </w:r>
      <w:r>
        <w:rPr>
          <w:color w:val="231F20"/>
          <w:spacing w:val="-34"/>
          <w:w w:val="105"/>
        </w:rPr>
        <w:t> </w:t>
      </w:r>
      <w:r>
        <w:rPr>
          <w:color w:val="231F20"/>
          <w:w w:val="105"/>
        </w:rPr>
        <w:t>Solow</w:t>
      </w:r>
      <w:r>
        <w:rPr>
          <w:color w:val="231F20"/>
          <w:spacing w:val="-29"/>
          <w:w w:val="105"/>
        </w:rPr>
        <w:t> </w:t>
      </w:r>
      <w:r>
        <w:rPr>
          <w:color w:val="231F20"/>
          <w:w w:val="105"/>
        </w:rPr>
        <w:t>abrió</w:t>
      </w:r>
      <w:r>
        <w:rPr>
          <w:color w:val="231F20"/>
          <w:spacing w:val="-29"/>
          <w:w w:val="105"/>
        </w:rPr>
        <w:t> </w:t>
      </w:r>
      <w:r>
        <w:rPr>
          <w:color w:val="231F20"/>
          <w:w w:val="105"/>
        </w:rPr>
        <w:t>paso</w:t>
      </w:r>
      <w:r>
        <w:rPr>
          <w:color w:val="231F20"/>
          <w:spacing w:val="-29"/>
          <w:w w:val="105"/>
        </w:rPr>
        <w:t> </w:t>
      </w:r>
      <w:r>
        <w:rPr>
          <w:color w:val="231F20"/>
          <w:w w:val="105"/>
        </w:rPr>
        <w:t>a</w:t>
      </w:r>
      <w:r>
        <w:rPr>
          <w:color w:val="231F20"/>
          <w:spacing w:val="-29"/>
          <w:w w:val="105"/>
        </w:rPr>
        <w:t> </w:t>
      </w:r>
      <w:r>
        <w:rPr>
          <w:color w:val="231F20"/>
          <w:w w:val="105"/>
        </w:rPr>
        <w:t>una</w:t>
      </w:r>
      <w:r>
        <w:rPr>
          <w:color w:val="231F20"/>
          <w:spacing w:val="-29"/>
          <w:w w:val="105"/>
        </w:rPr>
        <w:t> </w:t>
      </w:r>
      <w:r>
        <w:rPr>
          <w:color w:val="231F20"/>
          <w:w w:val="105"/>
        </w:rPr>
        <w:t>tendencia</w:t>
      </w:r>
      <w:r>
        <w:rPr>
          <w:color w:val="231F20"/>
          <w:spacing w:val="-29"/>
          <w:w w:val="105"/>
        </w:rPr>
        <w:t> </w:t>
      </w:r>
      <w:r>
        <w:rPr>
          <w:color w:val="231F20"/>
          <w:w w:val="105"/>
        </w:rPr>
        <w:t>con</w:t>
      </w:r>
      <w:r>
        <w:rPr>
          <w:color w:val="231F20"/>
          <w:spacing w:val="-29"/>
          <w:w w:val="105"/>
        </w:rPr>
        <w:t> </w:t>
      </w:r>
      <w:r>
        <w:rPr>
          <w:color w:val="231F20"/>
          <w:w w:val="105"/>
        </w:rPr>
        <w:t>enfoque neoclásico,</w:t>
      </w:r>
      <w:r>
        <w:rPr>
          <w:color w:val="231F20"/>
          <w:spacing w:val="-29"/>
          <w:w w:val="105"/>
        </w:rPr>
        <w:t> </w:t>
      </w:r>
      <w:r>
        <w:rPr>
          <w:color w:val="231F20"/>
          <w:w w:val="105"/>
        </w:rPr>
        <w:t>centrada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análisis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oferta.</w:t>
      </w:r>
    </w:p>
    <w:p>
      <w:pPr>
        <w:spacing w:before="162"/>
        <w:ind w:left="103" w:right="0" w:firstLine="0"/>
        <w:jc w:val="both"/>
        <w:rPr>
          <w:i/>
          <w:sz w:val="21"/>
        </w:rPr>
      </w:pPr>
      <w:r>
        <w:rPr>
          <w:i/>
          <w:color w:val="231F20"/>
          <w:w w:val="105"/>
          <w:sz w:val="21"/>
        </w:rPr>
        <w:t>Teoría neoclásica del crecimiento</w:t>
      </w:r>
    </w:p>
    <w:p>
      <w:pPr>
        <w:pStyle w:val="BodyText"/>
        <w:spacing w:before="4"/>
        <w:rPr>
          <w:i/>
          <w:sz w:val="16"/>
        </w:rPr>
      </w:pPr>
    </w:p>
    <w:p>
      <w:pPr>
        <w:pStyle w:val="BodyText"/>
        <w:spacing w:line="259" w:lineRule="auto"/>
        <w:ind w:left="103" w:right="115"/>
        <w:jc w:val="both"/>
      </w:pP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neoclásica</w:t>
      </w:r>
      <w:r>
        <w:rPr>
          <w:color w:val="231F20"/>
          <w:spacing w:val="-10"/>
          <w:w w:val="105"/>
        </w:rPr>
        <w:t> </w:t>
      </w:r>
      <w:r>
        <w:rPr>
          <w:color w:val="231F20"/>
          <w:w w:val="105"/>
        </w:rPr>
        <w:t>del</w:t>
      </w:r>
      <w:r>
        <w:rPr>
          <w:color w:val="231F20"/>
          <w:spacing w:val="-10"/>
          <w:w w:val="105"/>
        </w:rPr>
        <w:t> </w:t>
      </w:r>
      <w:r>
        <w:rPr>
          <w:color w:val="231F20"/>
          <w:w w:val="105"/>
        </w:rPr>
        <w:t>crecimiento</w:t>
      </w:r>
      <w:r>
        <w:rPr>
          <w:color w:val="231F20"/>
          <w:spacing w:val="-10"/>
          <w:w w:val="105"/>
        </w:rPr>
        <w:t> </w:t>
      </w:r>
      <w:r>
        <w:rPr>
          <w:color w:val="231F20"/>
          <w:w w:val="105"/>
        </w:rPr>
        <w:t>forma</w:t>
      </w:r>
      <w:r>
        <w:rPr>
          <w:color w:val="231F20"/>
          <w:spacing w:val="-10"/>
          <w:w w:val="105"/>
        </w:rPr>
        <w:t> </w:t>
      </w:r>
      <w:r>
        <w:rPr>
          <w:color w:val="231F20"/>
          <w:w w:val="105"/>
        </w:rPr>
        <w:t>la</w:t>
      </w:r>
      <w:r>
        <w:rPr>
          <w:color w:val="231F20"/>
          <w:spacing w:val="-10"/>
          <w:w w:val="105"/>
        </w:rPr>
        <w:t> </w:t>
      </w:r>
      <w:r>
        <w:rPr>
          <w:color w:val="231F20"/>
          <w:w w:val="105"/>
        </w:rPr>
        <w:t>base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del</w:t>
      </w:r>
      <w:r>
        <w:rPr>
          <w:color w:val="231F20"/>
          <w:spacing w:val="-10"/>
          <w:w w:val="105"/>
        </w:rPr>
        <w:t> </w:t>
      </w:r>
      <w:r>
        <w:rPr>
          <w:color w:val="231F20"/>
          <w:w w:val="105"/>
        </w:rPr>
        <w:t>creci- miento</w:t>
      </w:r>
      <w:r>
        <w:rPr>
          <w:color w:val="231F20"/>
          <w:spacing w:val="-20"/>
          <w:w w:val="105"/>
        </w:rPr>
        <w:t> </w:t>
      </w:r>
      <w:r>
        <w:rPr>
          <w:color w:val="231F20"/>
          <w:w w:val="105"/>
        </w:rPr>
        <w:t>endógeno;</w:t>
      </w:r>
      <w:r>
        <w:rPr>
          <w:color w:val="231F20"/>
          <w:spacing w:val="-20"/>
          <w:w w:val="105"/>
        </w:rPr>
        <w:t> </w:t>
      </w:r>
      <w:r>
        <w:rPr>
          <w:color w:val="231F20"/>
          <w:w w:val="105"/>
        </w:rPr>
        <w:t>dentro</w:t>
      </w:r>
      <w:r>
        <w:rPr>
          <w:color w:val="231F20"/>
          <w:spacing w:val="-20"/>
          <w:w w:val="105"/>
        </w:rPr>
        <w:t> </w:t>
      </w:r>
      <w:r>
        <w:rPr>
          <w:color w:val="231F20"/>
          <w:w w:val="105"/>
        </w:rPr>
        <w:t>de</w:t>
      </w:r>
      <w:r>
        <w:rPr>
          <w:color w:val="231F20"/>
          <w:spacing w:val="-20"/>
          <w:w w:val="105"/>
        </w:rPr>
        <w:t> </w:t>
      </w:r>
      <w:r>
        <w:rPr>
          <w:color w:val="231F20"/>
          <w:w w:val="105"/>
        </w:rPr>
        <w:t>estas</w:t>
      </w:r>
      <w:r>
        <w:rPr>
          <w:color w:val="231F20"/>
          <w:spacing w:val="-20"/>
          <w:w w:val="105"/>
        </w:rPr>
        <w:t> </w:t>
      </w:r>
      <w:r>
        <w:rPr>
          <w:color w:val="231F20"/>
          <w:w w:val="105"/>
        </w:rPr>
        <w:t>teorías</w:t>
      </w:r>
      <w:r>
        <w:rPr>
          <w:color w:val="231F20"/>
          <w:spacing w:val="-20"/>
          <w:w w:val="105"/>
        </w:rPr>
        <w:t> </w:t>
      </w:r>
      <w:r>
        <w:rPr>
          <w:color w:val="231F20"/>
          <w:w w:val="105"/>
        </w:rPr>
        <w:t>los</w:t>
      </w:r>
      <w:r>
        <w:rPr>
          <w:color w:val="231F20"/>
          <w:spacing w:val="-20"/>
          <w:w w:val="105"/>
        </w:rPr>
        <w:t> </w:t>
      </w:r>
      <w:r>
        <w:rPr>
          <w:color w:val="231F20"/>
          <w:w w:val="105"/>
        </w:rPr>
        <w:t>principales</w:t>
      </w:r>
      <w:r>
        <w:rPr>
          <w:color w:val="231F20"/>
          <w:spacing w:val="-20"/>
          <w:w w:val="105"/>
        </w:rPr>
        <w:t> </w:t>
      </w:r>
      <w:r>
        <w:rPr>
          <w:color w:val="231F20"/>
          <w:w w:val="105"/>
        </w:rPr>
        <w:t>representantes son</w:t>
      </w:r>
      <w:r>
        <w:rPr>
          <w:color w:val="231F20"/>
          <w:spacing w:val="-27"/>
          <w:w w:val="105"/>
        </w:rPr>
        <w:t> </w:t>
      </w:r>
      <w:r>
        <w:rPr>
          <w:color w:val="231F20"/>
          <w:w w:val="105"/>
        </w:rPr>
        <w:t>Solow,</w:t>
      </w:r>
      <w:r>
        <w:rPr>
          <w:color w:val="231F20"/>
          <w:spacing w:val="-32"/>
          <w:w w:val="105"/>
        </w:rPr>
        <w:t> </w:t>
      </w:r>
      <w:r>
        <w:rPr>
          <w:color w:val="231F20"/>
          <w:w w:val="105"/>
        </w:rPr>
        <w:t>Ramsey</w:t>
      </w:r>
      <w:r>
        <w:rPr>
          <w:color w:val="231F20"/>
          <w:spacing w:val="-27"/>
          <w:w w:val="105"/>
        </w:rPr>
        <w:t> </w:t>
      </w:r>
      <w:r>
        <w:rPr>
          <w:color w:val="231F20"/>
          <w:w w:val="105"/>
        </w:rPr>
        <w:t>y</w:t>
      </w:r>
      <w:r>
        <w:rPr>
          <w:color w:val="231F20"/>
          <w:spacing w:val="-27"/>
          <w:w w:val="105"/>
        </w:rPr>
        <w:t> </w:t>
      </w:r>
      <w:r>
        <w:rPr>
          <w:color w:val="231F20"/>
          <w:w w:val="105"/>
        </w:rPr>
        <w:t>Swan,</w:t>
      </w:r>
      <w:r>
        <w:rPr>
          <w:color w:val="231F20"/>
          <w:spacing w:val="-32"/>
          <w:w w:val="105"/>
        </w:rPr>
        <w:t> </w:t>
      </w:r>
      <w:r>
        <w:rPr>
          <w:color w:val="231F20"/>
          <w:w w:val="105"/>
        </w:rPr>
        <w:t>quienes</w:t>
      </w:r>
      <w:r>
        <w:rPr>
          <w:color w:val="231F20"/>
          <w:spacing w:val="-27"/>
          <w:w w:val="105"/>
        </w:rPr>
        <w:t> </w:t>
      </w:r>
      <w:r>
        <w:rPr>
          <w:color w:val="231F20"/>
          <w:w w:val="105"/>
        </w:rPr>
        <w:t>plantean</w:t>
      </w:r>
      <w:r>
        <w:rPr>
          <w:color w:val="231F20"/>
          <w:spacing w:val="-27"/>
          <w:w w:val="105"/>
        </w:rPr>
        <w:t> </w:t>
      </w:r>
      <w:r>
        <w:rPr>
          <w:color w:val="231F20"/>
          <w:w w:val="105"/>
        </w:rPr>
        <w:t>en</w:t>
      </w:r>
      <w:r>
        <w:rPr>
          <w:color w:val="231F20"/>
          <w:spacing w:val="-27"/>
          <w:w w:val="105"/>
        </w:rPr>
        <w:t> </w:t>
      </w:r>
      <w:r>
        <w:rPr>
          <w:color w:val="231F20"/>
          <w:w w:val="105"/>
        </w:rPr>
        <w:t>sus</w:t>
      </w:r>
      <w:r>
        <w:rPr>
          <w:color w:val="231F20"/>
          <w:spacing w:val="-27"/>
          <w:w w:val="105"/>
        </w:rPr>
        <w:t> </w:t>
      </w:r>
      <w:r>
        <w:rPr>
          <w:color w:val="231F20"/>
          <w:w w:val="105"/>
        </w:rPr>
        <w:t>modelos</w:t>
      </w:r>
      <w:r>
        <w:rPr>
          <w:color w:val="231F20"/>
          <w:spacing w:val="-27"/>
          <w:w w:val="105"/>
        </w:rPr>
        <w:t> </w:t>
      </w:r>
      <w:r>
        <w:rPr>
          <w:color w:val="231F20"/>
          <w:w w:val="105"/>
        </w:rPr>
        <w:t>que</w:t>
      </w:r>
      <w:r>
        <w:rPr>
          <w:color w:val="231F20"/>
          <w:spacing w:val="-27"/>
          <w:w w:val="105"/>
        </w:rPr>
        <w:t> </w:t>
      </w:r>
      <w:r>
        <w:rPr>
          <w:color w:val="231F20"/>
          <w:w w:val="105"/>
        </w:rPr>
        <w:t>el</w:t>
      </w:r>
      <w:r>
        <w:rPr>
          <w:color w:val="231F20"/>
          <w:spacing w:val="-27"/>
          <w:w w:val="105"/>
        </w:rPr>
        <w:t> </w:t>
      </w:r>
      <w:r>
        <w:rPr>
          <w:color w:val="231F20"/>
          <w:w w:val="105"/>
        </w:rPr>
        <w:t>cre- cimiento en el largo plazo depende del progreso e innovación </w:t>
      </w:r>
      <w:r>
        <w:rPr>
          <w:color w:val="231F20"/>
          <w:spacing w:val="1"/>
          <w:w w:val="105"/>
        </w:rPr>
        <w:t> </w:t>
      </w:r>
      <w:r>
        <w:rPr>
          <w:color w:val="231F20"/>
          <w:w w:val="105"/>
        </w:rPr>
        <w:t>tecnoló-</w:t>
      </w:r>
    </w:p>
    <w:p>
      <w:pPr>
        <w:pStyle w:val="BodyText"/>
        <w:rPr>
          <w:sz w:val="20"/>
        </w:rPr>
      </w:pPr>
    </w:p>
    <w:p>
      <w:pPr>
        <w:pStyle w:val="BodyText"/>
        <w:rPr>
          <w:sz w:val="20"/>
        </w:rPr>
      </w:pPr>
    </w:p>
    <w:p>
      <w:pPr>
        <w:pStyle w:val="BodyText"/>
        <w:rPr>
          <w:sz w:val="20"/>
        </w:rPr>
      </w:pPr>
    </w:p>
    <w:p>
      <w:pPr>
        <w:pStyle w:val="BodyText"/>
        <w:spacing w:before="5"/>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39152"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240</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9104"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241</w:t>
      </w:r>
    </w:p>
    <w:p>
      <w:pPr>
        <w:pStyle w:val="BodyText"/>
        <w:rPr>
          <w:sz w:val="20"/>
        </w:rPr>
      </w:pPr>
    </w:p>
    <w:p>
      <w:pPr>
        <w:pStyle w:val="BodyText"/>
        <w:rPr>
          <w:sz w:val="20"/>
        </w:rPr>
      </w:pPr>
    </w:p>
    <w:p>
      <w:pPr>
        <w:pStyle w:val="BodyText"/>
        <w:spacing w:line="259" w:lineRule="auto" w:before="176"/>
        <w:ind w:right="115"/>
        <w:jc w:val="right"/>
      </w:pPr>
      <w:r>
        <w:rPr>
          <w:color w:val="231F20"/>
          <w:w w:val="105"/>
        </w:rPr>
        <w:t>gica, rendimientos crecientes del capital, productividad total factorial</w:t>
      </w:r>
      <w:r>
        <w:rPr>
          <w:color w:val="231F20"/>
          <w:w w:val="105"/>
          <w:position w:val="7"/>
          <w:sz w:val="12"/>
        </w:rPr>
        <w:t>2 </w:t>
      </w:r>
      <w:r>
        <w:rPr>
          <w:color w:val="231F20"/>
          <w:w w:val="105"/>
        </w:rPr>
        <w:t>y</w:t>
      </w:r>
      <w:r>
        <w:rPr>
          <w:color w:val="231F20"/>
          <w:w w:val="97"/>
        </w:rPr>
        <w:t> </w:t>
      </w:r>
      <w:r>
        <w:rPr>
          <w:color w:val="231F20"/>
          <w:w w:val="105"/>
        </w:rPr>
        <w:t>también de la tasa de incremento poblacional y depreciación de capital.</w:t>
      </w:r>
      <w:r>
        <w:rPr>
          <w:color w:val="231F20"/>
          <w:w w:val="103"/>
        </w:rPr>
        <w:t> </w:t>
      </w:r>
      <w:r>
        <w:rPr>
          <w:color w:val="231F20"/>
          <w:w w:val="105"/>
        </w:rPr>
        <w:t>El trabajo más importante es el modelo de Robert Solow  (1956),</w:t>
      </w:r>
    </w:p>
    <w:p>
      <w:pPr>
        <w:pStyle w:val="BodyText"/>
        <w:spacing w:line="259" w:lineRule="auto"/>
        <w:ind w:left="117" w:right="115"/>
        <w:jc w:val="both"/>
      </w:pPr>
      <w:r>
        <w:rPr>
          <w:color w:val="231F20"/>
          <w:w w:val="105"/>
        </w:rPr>
        <w:t>el cual describe una función de producción con la sustitución entre dos bienes: capital y trabajo. Se complementa asumiendo que una fracción constante</w:t>
      </w:r>
      <w:r>
        <w:rPr>
          <w:color w:val="231F20"/>
          <w:spacing w:val="-10"/>
          <w:w w:val="105"/>
        </w:rPr>
        <w:t> </w:t>
      </w:r>
      <w:r>
        <w:rPr>
          <w:color w:val="231F20"/>
          <w:w w:val="105"/>
        </w:rPr>
        <w:t>de</w:t>
      </w:r>
      <w:r>
        <w:rPr>
          <w:color w:val="231F20"/>
          <w:spacing w:val="-10"/>
          <w:w w:val="105"/>
        </w:rPr>
        <w:t> </w:t>
      </w:r>
      <w:r>
        <w:rPr>
          <w:color w:val="231F20"/>
          <w:w w:val="105"/>
        </w:rPr>
        <w:t>producción</w:t>
      </w:r>
      <w:r>
        <w:rPr>
          <w:color w:val="231F20"/>
          <w:spacing w:val="-10"/>
          <w:w w:val="105"/>
        </w:rPr>
        <w:t> </w:t>
      </w:r>
      <w:r>
        <w:rPr>
          <w:color w:val="231F20"/>
          <w:w w:val="105"/>
        </w:rPr>
        <w:t>es</w:t>
      </w:r>
      <w:r>
        <w:rPr>
          <w:color w:val="231F20"/>
          <w:spacing w:val="-10"/>
          <w:w w:val="105"/>
        </w:rPr>
        <w:t> </w:t>
      </w:r>
      <w:r>
        <w:rPr>
          <w:color w:val="231F20"/>
          <w:w w:val="105"/>
        </w:rPr>
        <w:t>invertida.</w:t>
      </w:r>
      <w:r>
        <w:rPr>
          <w:color w:val="231F20"/>
          <w:spacing w:val="-16"/>
          <w:w w:val="105"/>
        </w:rPr>
        <w:t> </w:t>
      </w:r>
      <w:r>
        <w:rPr>
          <w:color w:val="231F20"/>
          <w:w w:val="105"/>
        </w:rPr>
        <w:t>Solow</w:t>
      </w:r>
      <w:r>
        <w:rPr>
          <w:color w:val="231F20"/>
          <w:spacing w:val="-10"/>
          <w:w w:val="105"/>
        </w:rPr>
        <w:t> </w:t>
      </w:r>
      <w:r>
        <w:rPr>
          <w:color w:val="231F20"/>
          <w:w w:val="105"/>
        </w:rPr>
        <w:t>plantea</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países</w:t>
      </w:r>
      <w:r>
        <w:rPr>
          <w:color w:val="231F20"/>
          <w:spacing w:val="-10"/>
          <w:w w:val="105"/>
        </w:rPr>
        <w:t> </w:t>
      </w:r>
      <w:r>
        <w:rPr>
          <w:color w:val="231F20"/>
          <w:w w:val="105"/>
        </w:rPr>
        <w:t>que tienen</w:t>
      </w:r>
      <w:r>
        <w:rPr>
          <w:color w:val="231F20"/>
          <w:spacing w:val="-26"/>
          <w:w w:val="105"/>
        </w:rPr>
        <w:t> </w:t>
      </w:r>
      <w:r>
        <w:rPr>
          <w:color w:val="231F20"/>
          <w:w w:val="105"/>
        </w:rPr>
        <w:t>altas</w:t>
      </w:r>
      <w:r>
        <w:rPr>
          <w:color w:val="231F20"/>
          <w:spacing w:val="-26"/>
          <w:w w:val="105"/>
        </w:rPr>
        <w:t> </w:t>
      </w:r>
      <w:r>
        <w:rPr>
          <w:color w:val="231F20"/>
          <w:w w:val="105"/>
        </w:rPr>
        <w:t>tasas</w:t>
      </w:r>
      <w:r>
        <w:rPr>
          <w:color w:val="231F20"/>
          <w:spacing w:val="-26"/>
          <w:w w:val="105"/>
        </w:rPr>
        <w:t> </w:t>
      </w:r>
      <w:r>
        <w:rPr>
          <w:color w:val="231F20"/>
          <w:w w:val="105"/>
        </w:rPr>
        <w:t>de</w:t>
      </w:r>
      <w:r>
        <w:rPr>
          <w:color w:val="231F20"/>
          <w:spacing w:val="-26"/>
          <w:w w:val="105"/>
        </w:rPr>
        <w:t> </w:t>
      </w:r>
      <w:r>
        <w:rPr>
          <w:color w:val="231F20"/>
          <w:w w:val="105"/>
        </w:rPr>
        <w:t>ahorro/inversión</w:t>
      </w:r>
      <w:r>
        <w:rPr>
          <w:color w:val="231F20"/>
          <w:spacing w:val="-26"/>
          <w:w w:val="105"/>
        </w:rPr>
        <w:t> </w:t>
      </w:r>
      <w:r>
        <w:rPr>
          <w:color w:val="231F20"/>
          <w:w w:val="105"/>
        </w:rPr>
        <w:t>tenderán</w:t>
      </w:r>
      <w:r>
        <w:rPr>
          <w:color w:val="231F20"/>
          <w:spacing w:val="-26"/>
          <w:w w:val="105"/>
        </w:rPr>
        <w:t> </w:t>
      </w:r>
      <w:r>
        <w:rPr>
          <w:color w:val="231F20"/>
          <w:w w:val="105"/>
        </w:rPr>
        <w:t>a</w:t>
      </w:r>
      <w:r>
        <w:rPr>
          <w:color w:val="231F20"/>
          <w:spacing w:val="-26"/>
          <w:w w:val="105"/>
        </w:rPr>
        <w:t> </w:t>
      </w:r>
      <w:r>
        <w:rPr>
          <w:color w:val="231F20"/>
          <w:w w:val="105"/>
        </w:rPr>
        <w:t>ser</w:t>
      </w:r>
      <w:r>
        <w:rPr>
          <w:color w:val="231F20"/>
          <w:spacing w:val="-26"/>
          <w:w w:val="105"/>
        </w:rPr>
        <w:t> </w:t>
      </w:r>
      <w:r>
        <w:rPr>
          <w:color w:val="231F20"/>
          <w:w w:val="105"/>
        </w:rPr>
        <w:t>más</w:t>
      </w:r>
      <w:r>
        <w:rPr>
          <w:color w:val="231F20"/>
          <w:spacing w:val="-26"/>
          <w:w w:val="105"/>
        </w:rPr>
        <w:t> </w:t>
      </w:r>
      <w:r>
        <w:rPr>
          <w:color w:val="231F20"/>
          <w:w w:val="105"/>
        </w:rPr>
        <w:t>ricos,</w:t>
      </w:r>
      <w:r>
        <w:rPr>
          <w:color w:val="231F20"/>
          <w:spacing w:val="-31"/>
          <w:w w:val="105"/>
        </w:rPr>
        <w:t> </w:t>
      </w:r>
      <w:r>
        <w:rPr>
          <w:color w:val="231F20"/>
          <w:w w:val="105"/>
        </w:rPr>
        <w:t>acumula- rán</w:t>
      </w:r>
      <w:r>
        <w:rPr>
          <w:color w:val="231F20"/>
          <w:spacing w:val="-27"/>
          <w:w w:val="105"/>
        </w:rPr>
        <w:t> </w:t>
      </w:r>
      <w:r>
        <w:rPr>
          <w:color w:val="231F20"/>
          <w:w w:val="105"/>
        </w:rPr>
        <w:t>más</w:t>
      </w:r>
      <w:r>
        <w:rPr>
          <w:color w:val="231F20"/>
          <w:spacing w:val="-27"/>
          <w:w w:val="105"/>
        </w:rPr>
        <w:t> </w:t>
      </w:r>
      <w:r>
        <w:rPr>
          <w:color w:val="231F20"/>
          <w:w w:val="105"/>
        </w:rPr>
        <w:t>capital</w:t>
      </w:r>
      <w:r>
        <w:rPr>
          <w:color w:val="231F20"/>
          <w:spacing w:val="-27"/>
          <w:w w:val="105"/>
        </w:rPr>
        <w:t> </w:t>
      </w:r>
      <w:r>
        <w:rPr>
          <w:color w:val="231F20"/>
          <w:w w:val="105"/>
        </w:rPr>
        <w:t>por</w:t>
      </w:r>
      <w:r>
        <w:rPr>
          <w:color w:val="231F20"/>
          <w:spacing w:val="-27"/>
          <w:w w:val="105"/>
        </w:rPr>
        <w:t> </w:t>
      </w:r>
      <w:r>
        <w:rPr>
          <w:color w:val="231F20"/>
          <w:w w:val="105"/>
        </w:rPr>
        <w:t>trabajador</w:t>
      </w:r>
      <w:r>
        <w:rPr>
          <w:color w:val="231F20"/>
          <w:spacing w:val="-27"/>
          <w:w w:val="105"/>
        </w:rPr>
        <w:t> </w:t>
      </w:r>
      <w:r>
        <w:rPr>
          <w:color w:val="231F20"/>
          <w:w w:val="105"/>
        </w:rPr>
        <w:t>y</w:t>
      </w:r>
      <w:r>
        <w:rPr>
          <w:color w:val="231F20"/>
          <w:spacing w:val="-27"/>
          <w:w w:val="105"/>
        </w:rPr>
        <w:t> </w:t>
      </w:r>
      <w:r>
        <w:rPr>
          <w:color w:val="231F20"/>
          <w:w w:val="105"/>
        </w:rPr>
        <w:t>los</w:t>
      </w:r>
      <w:r>
        <w:rPr>
          <w:color w:val="231F20"/>
          <w:spacing w:val="-27"/>
          <w:w w:val="105"/>
        </w:rPr>
        <w:t> </w:t>
      </w:r>
      <w:r>
        <w:rPr>
          <w:color w:val="231F20"/>
          <w:w w:val="105"/>
        </w:rPr>
        <w:t>países</w:t>
      </w:r>
      <w:r>
        <w:rPr>
          <w:color w:val="231F20"/>
          <w:spacing w:val="-27"/>
          <w:w w:val="105"/>
        </w:rPr>
        <w:t> </w:t>
      </w:r>
      <w:r>
        <w:rPr>
          <w:color w:val="231F20"/>
          <w:w w:val="105"/>
        </w:rPr>
        <w:t>con</w:t>
      </w:r>
      <w:r>
        <w:rPr>
          <w:color w:val="231F20"/>
          <w:spacing w:val="-27"/>
          <w:w w:val="105"/>
        </w:rPr>
        <w:t> </w:t>
      </w:r>
      <w:r>
        <w:rPr>
          <w:color w:val="231F20"/>
          <w:w w:val="105"/>
        </w:rPr>
        <w:t>más</w:t>
      </w:r>
      <w:r>
        <w:rPr>
          <w:color w:val="231F20"/>
          <w:spacing w:val="-27"/>
          <w:w w:val="105"/>
        </w:rPr>
        <w:t> </w:t>
      </w:r>
      <w:r>
        <w:rPr>
          <w:color w:val="231F20"/>
          <w:w w:val="105"/>
        </w:rPr>
        <w:t>capital</w:t>
      </w:r>
      <w:r>
        <w:rPr>
          <w:color w:val="231F20"/>
          <w:spacing w:val="-27"/>
          <w:w w:val="105"/>
        </w:rPr>
        <w:t> </w:t>
      </w:r>
      <w:r>
        <w:rPr>
          <w:color w:val="231F20"/>
          <w:w w:val="105"/>
        </w:rPr>
        <w:t>por</w:t>
      </w:r>
      <w:r>
        <w:rPr>
          <w:color w:val="231F20"/>
          <w:spacing w:val="-27"/>
          <w:w w:val="105"/>
        </w:rPr>
        <w:t> </w:t>
      </w:r>
      <w:r>
        <w:rPr>
          <w:color w:val="231F20"/>
          <w:w w:val="105"/>
        </w:rPr>
        <w:t>trabajador, tendrán más producción por trabajador. En contraste, las naciones</w:t>
      </w:r>
      <w:r>
        <w:rPr>
          <w:color w:val="231F20"/>
          <w:spacing w:val="-25"/>
          <w:w w:val="105"/>
        </w:rPr>
        <w:t> </w:t>
      </w:r>
      <w:r>
        <w:rPr>
          <w:color w:val="231F20"/>
          <w:w w:val="105"/>
        </w:rPr>
        <w:t>que tienen altas tasas de crecimiento de la población, tenderán a ser más pobres</w:t>
      </w:r>
      <w:r>
        <w:rPr>
          <w:color w:val="231F20"/>
          <w:spacing w:val="-41"/>
          <w:w w:val="105"/>
        </w:rPr>
        <w:t> </w:t>
      </w:r>
      <w:r>
        <w:rPr>
          <w:color w:val="231F20"/>
          <w:w w:val="105"/>
        </w:rPr>
        <w:t>(Jones,</w:t>
      </w:r>
      <w:r>
        <w:rPr>
          <w:color w:val="231F20"/>
          <w:spacing w:val="-44"/>
          <w:w w:val="105"/>
        </w:rPr>
        <w:t> </w:t>
      </w:r>
      <w:r>
        <w:rPr>
          <w:color w:val="231F20"/>
          <w:w w:val="105"/>
        </w:rPr>
        <w:t>2000).</w:t>
      </w:r>
    </w:p>
    <w:p>
      <w:pPr>
        <w:pStyle w:val="BodyText"/>
        <w:spacing w:line="259" w:lineRule="auto"/>
        <w:ind w:left="117" w:right="116" w:firstLine="567"/>
        <w:jc w:val="both"/>
      </w:pPr>
      <w:r>
        <w:rPr>
          <w:color w:val="231F20"/>
          <w:w w:val="105"/>
        </w:rPr>
        <w:t>El giro que imprimió Solow al modelo Harrow-Domar se basa en la</w:t>
      </w:r>
      <w:r>
        <w:rPr>
          <w:color w:val="231F20"/>
          <w:spacing w:val="-11"/>
          <w:w w:val="105"/>
        </w:rPr>
        <w:t> </w:t>
      </w:r>
      <w:r>
        <w:rPr>
          <w:color w:val="231F20"/>
          <w:w w:val="105"/>
        </w:rPr>
        <w:t>ley</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rendimientos</w:t>
      </w:r>
      <w:r>
        <w:rPr>
          <w:color w:val="231F20"/>
          <w:spacing w:val="-11"/>
          <w:w w:val="105"/>
        </w:rPr>
        <w:t> </w:t>
      </w:r>
      <w:r>
        <w:rPr>
          <w:color w:val="231F20"/>
          <w:w w:val="105"/>
        </w:rPr>
        <w:t>decrecientes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factores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producción. El</w:t>
      </w:r>
      <w:r>
        <w:rPr>
          <w:color w:val="231F20"/>
          <w:spacing w:val="-7"/>
          <w:w w:val="105"/>
        </w:rPr>
        <w:t> </w:t>
      </w:r>
      <w:r>
        <w:rPr>
          <w:color w:val="231F20"/>
          <w:w w:val="105"/>
        </w:rPr>
        <w:t>capital</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trabajo</w:t>
      </w:r>
      <w:r>
        <w:rPr>
          <w:color w:val="231F20"/>
          <w:spacing w:val="-7"/>
          <w:w w:val="105"/>
        </w:rPr>
        <w:t> </w:t>
      </w:r>
      <w:r>
        <w:rPr>
          <w:color w:val="231F20"/>
          <w:w w:val="105"/>
        </w:rPr>
        <w:t>generan</w:t>
      </w:r>
      <w:r>
        <w:rPr>
          <w:color w:val="231F20"/>
          <w:spacing w:val="-7"/>
          <w:w w:val="105"/>
        </w:rPr>
        <w:t> </w:t>
      </w:r>
      <w:r>
        <w:rPr>
          <w:color w:val="231F20"/>
          <w:w w:val="105"/>
        </w:rPr>
        <w:t>conjuntamente</w:t>
      </w:r>
      <w:r>
        <w:rPr>
          <w:color w:val="231F20"/>
          <w:spacing w:val="-7"/>
          <w:w w:val="105"/>
        </w:rPr>
        <w:t> </w:t>
      </w:r>
      <w:r>
        <w:rPr>
          <w:color w:val="231F20"/>
          <w:w w:val="105"/>
        </w:rPr>
        <w:t>el</w:t>
      </w:r>
      <w:r>
        <w:rPr>
          <w:color w:val="231F20"/>
          <w:spacing w:val="-7"/>
          <w:w w:val="105"/>
        </w:rPr>
        <w:t> </w:t>
      </w:r>
      <w:r>
        <w:rPr>
          <w:color w:val="231F20"/>
          <w:w w:val="105"/>
        </w:rPr>
        <w:t>producto,</w:t>
      </w:r>
      <w:r>
        <w:rPr>
          <w:color w:val="231F20"/>
          <w:spacing w:val="-13"/>
          <w:w w:val="105"/>
        </w:rPr>
        <w:t> </w:t>
      </w:r>
      <w:r>
        <w:rPr>
          <w:color w:val="231F20"/>
          <w:w w:val="105"/>
        </w:rPr>
        <w:t>si</w:t>
      </w:r>
      <w:r>
        <w:rPr>
          <w:color w:val="231F20"/>
          <w:spacing w:val="-7"/>
          <w:w w:val="105"/>
        </w:rPr>
        <w:t> </w:t>
      </w:r>
      <w:r>
        <w:rPr>
          <w:color w:val="231F20"/>
          <w:w w:val="105"/>
        </w:rPr>
        <w:t>hay</w:t>
      </w:r>
      <w:r>
        <w:rPr>
          <w:color w:val="231F20"/>
          <w:spacing w:val="-7"/>
          <w:w w:val="105"/>
        </w:rPr>
        <w:t> </w:t>
      </w:r>
      <w:r>
        <w:rPr>
          <w:color w:val="231F20"/>
          <w:w w:val="105"/>
        </w:rPr>
        <w:t>mucho capital</w:t>
      </w:r>
      <w:r>
        <w:rPr>
          <w:color w:val="231F20"/>
          <w:spacing w:val="-16"/>
          <w:w w:val="105"/>
        </w:rPr>
        <w:t> </w:t>
      </w:r>
      <w:r>
        <w:rPr>
          <w:color w:val="231F20"/>
          <w:w w:val="105"/>
        </w:rPr>
        <w:t>en</w:t>
      </w:r>
      <w:r>
        <w:rPr>
          <w:color w:val="231F20"/>
          <w:spacing w:val="-16"/>
          <w:w w:val="105"/>
        </w:rPr>
        <w:t> </w:t>
      </w:r>
      <w:r>
        <w:rPr>
          <w:color w:val="231F20"/>
          <w:w w:val="105"/>
        </w:rPr>
        <w:t>relación</w:t>
      </w:r>
      <w:r>
        <w:rPr>
          <w:color w:val="231F20"/>
          <w:spacing w:val="-16"/>
          <w:w w:val="105"/>
        </w:rPr>
        <w:t> </w:t>
      </w:r>
      <w:r>
        <w:rPr>
          <w:color w:val="231F20"/>
          <w:w w:val="105"/>
        </w:rPr>
        <w:t>con</w:t>
      </w:r>
      <w:r>
        <w:rPr>
          <w:color w:val="231F20"/>
          <w:spacing w:val="-16"/>
          <w:w w:val="105"/>
        </w:rPr>
        <w:t> </w:t>
      </w:r>
      <w:r>
        <w:rPr>
          <w:color w:val="231F20"/>
          <w:w w:val="105"/>
        </w:rPr>
        <w:t>el</w:t>
      </w:r>
      <w:r>
        <w:rPr>
          <w:color w:val="231F20"/>
          <w:spacing w:val="-16"/>
          <w:w w:val="105"/>
        </w:rPr>
        <w:t> </w:t>
      </w:r>
      <w:r>
        <w:rPr>
          <w:color w:val="231F20"/>
          <w:w w:val="105"/>
        </w:rPr>
        <w:t>trabajo,</w:t>
      </w:r>
      <w:r>
        <w:rPr>
          <w:color w:val="231F20"/>
          <w:spacing w:val="-21"/>
          <w:w w:val="105"/>
        </w:rPr>
        <w:t> </w:t>
      </w:r>
      <w:r>
        <w:rPr>
          <w:color w:val="231F20"/>
          <w:w w:val="105"/>
        </w:rPr>
        <w:t>se</w:t>
      </w:r>
      <w:r>
        <w:rPr>
          <w:color w:val="231F20"/>
          <w:spacing w:val="-16"/>
          <w:w w:val="105"/>
        </w:rPr>
        <w:t> </w:t>
      </w:r>
      <w:r>
        <w:rPr>
          <w:color w:val="231F20"/>
          <w:w w:val="105"/>
        </w:rPr>
        <w:t>utilizarán</w:t>
      </w:r>
      <w:r>
        <w:rPr>
          <w:color w:val="231F20"/>
          <w:spacing w:val="-16"/>
          <w:w w:val="105"/>
        </w:rPr>
        <w:t> </w:t>
      </w:r>
      <w:r>
        <w:rPr>
          <w:color w:val="231F20"/>
          <w:w w:val="105"/>
        </w:rPr>
        <w:t>métodos</w:t>
      </w:r>
      <w:r>
        <w:rPr>
          <w:color w:val="231F20"/>
          <w:spacing w:val="-16"/>
          <w:w w:val="105"/>
        </w:rPr>
        <w:t> </w:t>
      </w:r>
      <w:r>
        <w:rPr>
          <w:color w:val="231F20"/>
          <w:w w:val="105"/>
        </w:rPr>
        <w:t>intensivos</w:t>
      </w:r>
      <w:r>
        <w:rPr>
          <w:color w:val="231F20"/>
          <w:spacing w:val="-16"/>
          <w:w w:val="105"/>
        </w:rPr>
        <w:t> </w:t>
      </w:r>
      <w:r>
        <w:rPr>
          <w:color w:val="231F20"/>
          <w:w w:val="105"/>
        </w:rPr>
        <w:t>en</w:t>
      </w:r>
      <w:r>
        <w:rPr>
          <w:color w:val="231F20"/>
          <w:spacing w:val="-16"/>
          <w:w w:val="105"/>
        </w:rPr>
        <w:t> </w:t>
      </w:r>
      <w:r>
        <w:rPr>
          <w:color w:val="231F20"/>
          <w:w w:val="105"/>
        </w:rPr>
        <w:t>ca- pital aumentando la relación marginal capital-producto. La inversión es fundamental</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desarrollo</w:t>
      </w:r>
      <w:r>
        <w:rPr>
          <w:color w:val="231F20"/>
          <w:spacing w:val="-25"/>
          <w:w w:val="105"/>
        </w:rPr>
        <w:t> </w:t>
      </w:r>
      <w:r>
        <w:rPr>
          <w:color w:val="231F20"/>
          <w:w w:val="105"/>
        </w:rPr>
        <w:t>económico;</w:t>
      </w:r>
      <w:r>
        <w:rPr>
          <w:color w:val="231F20"/>
          <w:spacing w:val="-25"/>
          <w:w w:val="105"/>
        </w:rPr>
        <w:t> </w:t>
      </w:r>
      <w:r>
        <w:rPr>
          <w:color w:val="231F20"/>
          <w:w w:val="105"/>
        </w:rPr>
        <w:t>las</w:t>
      </w:r>
      <w:r>
        <w:rPr>
          <w:color w:val="231F20"/>
          <w:spacing w:val="-25"/>
          <w:w w:val="105"/>
        </w:rPr>
        <w:t> </w:t>
      </w:r>
      <w:r>
        <w:rPr>
          <w:color w:val="231F20"/>
          <w:w w:val="105"/>
        </w:rPr>
        <w:t>empresas</w:t>
      </w:r>
      <w:r>
        <w:rPr>
          <w:color w:val="231F20"/>
          <w:spacing w:val="-25"/>
          <w:w w:val="105"/>
        </w:rPr>
        <w:t> </w:t>
      </w:r>
      <w:r>
        <w:rPr>
          <w:color w:val="231F20"/>
          <w:w w:val="105"/>
        </w:rPr>
        <w:t>deben</w:t>
      </w:r>
      <w:r>
        <w:rPr>
          <w:color w:val="231F20"/>
          <w:spacing w:val="-25"/>
          <w:w w:val="105"/>
        </w:rPr>
        <w:t> </w:t>
      </w:r>
      <w:r>
        <w:rPr>
          <w:color w:val="231F20"/>
          <w:w w:val="105"/>
        </w:rPr>
        <w:t>conside- rar</w:t>
      </w:r>
      <w:r>
        <w:rPr>
          <w:color w:val="231F20"/>
          <w:spacing w:val="-9"/>
          <w:w w:val="105"/>
        </w:rPr>
        <w:t> </w:t>
      </w:r>
      <w:r>
        <w:rPr>
          <w:color w:val="231F20"/>
          <w:w w:val="105"/>
        </w:rPr>
        <w:t>el</w:t>
      </w:r>
      <w:r>
        <w:rPr>
          <w:color w:val="231F20"/>
          <w:spacing w:val="-9"/>
          <w:w w:val="105"/>
        </w:rPr>
        <w:t> </w:t>
      </w:r>
      <w:r>
        <w:rPr>
          <w:color w:val="231F20"/>
          <w:w w:val="105"/>
        </w:rPr>
        <w:t>incremento</w:t>
      </w:r>
      <w:r>
        <w:rPr>
          <w:color w:val="231F20"/>
          <w:spacing w:val="-9"/>
          <w:w w:val="105"/>
        </w:rPr>
        <w:t> </w:t>
      </w:r>
      <w:r>
        <w:rPr>
          <w:color w:val="231F20"/>
          <w:w w:val="105"/>
        </w:rPr>
        <w:t>del</w:t>
      </w:r>
      <w:r>
        <w:rPr>
          <w:color w:val="231F20"/>
          <w:spacing w:val="-9"/>
          <w:w w:val="105"/>
        </w:rPr>
        <w:t> </w:t>
      </w:r>
      <w:r>
        <w:rPr>
          <w:color w:val="231F20"/>
          <w:w w:val="105"/>
        </w:rPr>
        <w:t>capital</w:t>
      </w:r>
      <w:r>
        <w:rPr>
          <w:color w:val="231F20"/>
          <w:spacing w:val="-9"/>
          <w:w w:val="105"/>
        </w:rPr>
        <w:t> </w:t>
      </w:r>
      <w:r>
        <w:rPr>
          <w:color w:val="231F20"/>
          <w:w w:val="105"/>
        </w:rPr>
        <w:t>para</w:t>
      </w:r>
      <w:r>
        <w:rPr>
          <w:color w:val="231F20"/>
          <w:spacing w:val="-9"/>
          <w:w w:val="105"/>
        </w:rPr>
        <w:t> </w:t>
      </w:r>
      <w:r>
        <w:rPr>
          <w:color w:val="231F20"/>
          <w:w w:val="105"/>
        </w:rPr>
        <w:t>seguir</w:t>
      </w:r>
      <w:r>
        <w:rPr>
          <w:color w:val="231F20"/>
          <w:spacing w:val="-9"/>
          <w:w w:val="105"/>
        </w:rPr>
        <w:t> </w:t>
      </w:r>
      <w:r>
        <w:rPr>
          <w:color w:val="231F20"/>
          <w:w w:val="105"/>
        </w:rPr>
        <w:t>produciendo,</w:t>
      </w:r>
      <w:r>
        <w:rPr>
          <w:color w:val="231F20"/>
          <w:spacing w:val="-15"/>
          <w:w w:val="105"/>
        </w:rPr>
        <w:t> </w:t>
      </w:r>
      <w:r>
        <w:rPr>
          <w:color w:val="231F20"/>
          <w:w w:val="105"/>
        </w:rPr>
        <w:t>generar</w:t>
      </w:r>
      <w:r>
        <w:rPr>
          <w:color w:val="231F20"/>
          <w:spacing w:val="-9"/>
          <w:w w:val="105"/>
        </w:rPr>
        <w:t> </w:t>
      </w:r>
      <w:r>
        <w:rPr>
          <w:color w:val="231F20"/>
          <w:w w:val="105"/>
        </w:rPr>
        <w:t>empleo</w:t>
      </w:r>
      <w:r>
        <w:rPr>
          <w:color w:val="231F20"/>
          <w:spacing w:val="-9"/>
          <w:w w:val="105"/>
        </w:rPr>
        <w:t> </w:t>
      </w:r>
      <w:r>
        <w:rPr>
          <w:color w:val="231F20"/>
          <w:w w:val="105"/>
        </w:rPr>
        <w:t>e incrementar</w:t>
      </w:r>
      <w:r>
        <w:rPr>
          <w:color w:val="231F20"/>
          <w:spacing w:val="-17"/>
          <w:w w:val="105"/>
        </w:rPr>
        <w:t> </w:t>
      </w:r>
      <w:r>
        <w:rPr>
          <w:color w:val="231F20"/>
          <w:w w:val="105"/>
        </w:rPr>
        <w:t>su</w:t>
      </w:r>
      <w:r>
        <w:rPr>
          <w:color w:val="231F20"/>
          <w:spacing w:val="-17"/>
          <w:w w:val="105"/>
        </w:rPr>
        <w:t> </w:t>
      </w:r>
      <w:r>
        <w:rPr>
          <w:color w:val="231F20"/>
          <w:w w:val="105"/>
        </w:rPr>
        <w:t>producción.</w:t>
      </w:r>
      <w:r>
        <w:rPr>
          <w:color w:val="231F20"/>
          <w:spacing w:val="-22"/>
          <w:w w:val="105"/>
        </w:rPr>
        <w:t> </w:t>
      </w:r>
      <w:r>
        <w:rPr>
          <w:color w:val="231F20"/>
          <w:w w:val="105"/>
        </w:rPr>
        <w:t>En</w:t>
      </w:r>
      <w:r>
        <w:rPr>
          <w:color w:val="231F20"/>
          <w:spacing w:val="-17"/>
          <w:w w:val="105"/>
        </w:rPr>
        <w:t> </w:t>
      </w:r>
      <w:r>
        <w:rPr>
          <w:color w:val="231F20"/>
          <w:w w:val="105"/>
        </w:rPr>
        <w:t>este</w:t>
      </w:r>
      <w:r>
        <w:rPr>
          <w:color w:val="231F20"/>
          <w:spacing w:val="-17"/>
          <w:w w:val="105"/>
        </w:rPr>
        <w:t> </w:t>
      </w:r>
      <w:r>
        <w:rPr>
          <w:color w:val="231F20"/>
          <w:w w:val="105"/>
        </w:rPr>
        <w:t>proceso</w:t>
      </w:r>
      <w:r>
        <w:rPr>
          <w:color w:val="231F20"/>
          <w:spacing w:val="-17"/>
          <w:w w:val="105"/>
        </w:rPr>
        <w:t> </w:t>
      </w:r>
      <w:r>
        <w:rPr>
          <w:color w:val="231F20"/>
          <w:w w:val="105"/>
        </w:rPr>
        <w:t>es</w:t>
      </w:r>
      <w:r>
        <w:rPr>
          <w:color w:val="231F20"/>
          <w:spacing w:val="-17"/>
          <w:w w:val="105"/>
        </w:rPr>
        <w:t> </w:t>
      </w:r>
      <w:r>
        <w:rPr>
          <w:color w:val="231F20"/>
          <w:w w:val="105"/>
        </w:rPr>
        <w:t>preciso</w:t>
      </w:r>
      <w:r>
        <w:rPr>
          <w:color w:val="231F20"/>
          <w:spacing w:val="-17"/>
          <w:w w:val="105"/>
        </w:rPr>
        <w:t> </w:t>
      </w:r>
      <w:r>
        <w:rPr>
          <w:color w:val="231F20"/>
          <w:w w:val="105"/>
        </w:rPr>
        <w:t>entender</w:t>
      </w:r>
      <w:r>
        <w:rPr>
          <w:color w:val="231F20"/>
          <w:spacing w:val="-17"/>
          <w:w w:val="105"/>
        </w:rPr>
        <w:t> </w:t>
      </w:r>
      <w:r>
        <w:rPr>
          <w:color w:val="231F20"/>
          <w:w w:val="105"/>
        </w:rPr>
        <w:t>que</w:t>
      </w:r>
      <w:r>
        <w:rPr>
          <w:color w:val="231F20"/>
          <w:spacing w:val="-17"/>
          <w:w w:val="105"/>
        </w:rPr>
        <w:t> </w:t>
      </w:r>
      <w:r>
        <w:rPr>
          <w:color w:val="231F20"/>
          <w:w w:val="105"/>
        </w:rPr>
        <w:t>las instituciones</w:t>
      </w:r>
      <w:r>
        <w:rPr>
          <w:color w:val="231F20"/>
          <w:spacing w:val="-22"/>
          <w:w w:val="105"/>
        </w:rPr>
        <w:t> </w:t>
      </w:r>
      <w:r>
        <w:rPr>
          <w:color w:val="231F20"/>
          <w:w w:val="105"/>
        </w:rPr>
        <w:t>deben</w:t>
      </w:r>
      <w:r>
        <w:rPr>
          <w:color w:val="231F20"/>
          <w:spacing w:val="-22"/>
          <w:w w:val="105"/>
        </w:rPr>
        <w:t> </w:t>
      </w:r>
      <w:r>
        <w:rPr>
          <w:color w:val="231F20"/>
          <w:w w:val="105"/>
        </w:rPr>
        <w:t>coadyuvar</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desarrollo</w:t>
      </w:r>
      <w:r>
        <w:rPr>
          <w:color w:val="231F20"/>
          <w:spacing w:val="-22"/>
          <w:w w:val="105"/>
        </w:rPr>
        <w:t> </w:t>
      </w:r>
      <w:r>
        <w:rPr>
          <w:color w:val="231F20"/>
          <w:w w:val="105"/>
        </w:rPr>
        <w:t>de</w:t>
      </w:r>
      <w:r>
        <w:rPr>
          <w:color w:val="231F20"/>
          <w:spacing w:val="-22"/>
          <w:w w:val="105"/>
        </w:rPr>
        <w:t> </w:t>
      </w:r>
      <w:r>
        <w:rPr>
          <w:color w:val="231F20"/>
          <w:w w:val="105"/>
        </w:rPr>
        <w:t>incentivos</w:t>
      </w:r>
      <w:r>
        <w:rPr>
          <w:color w:val="231F20"/>
          <w:spacing w:val="-22"/>
          <w:w w:val="105"/>
        </w:rPr>
        <w:t> </w:t>
      </w:r>
      <w:r>
        <w:rPr>
          <w:color w:val="231F20"/>
          <w:w w:val="105"/>
        </w:rPr>
        <w:t>y</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me- jores condiciones para la industria a fin de motivar su crecimiento.</w:t>
      </w:r>
      <w:r>
        <w:rPr>
          <w:color w:val="231F20"/>
          <w:spacing w:val="-25"/>
          <w:w w:val="105"/>
        </w:rPr>
        <w:t> </w:t>
      </w:r>
      <w:r>
        <w:rPr>
          <w:color w:val="231F20"/>
          <w:w w:val="105"/>
        </w:rPr>
        <w:t>Otro factor que debe considerar la industria es el desarrollo de innovación constante</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progreso</w:t>
      </w:r>
      <w:r>
        <w:rPr>
          <w:color w:val="231F20"/>
          <w:spacing w:val="-16"/>
          <w:w w:val="105"/>
        </w:rPr>
        <w:t> </w:t>
      </w:r>
      <w:r>
        <w:rPr>
          <w:color w:val="231F20"/>
          <w:w w:val="105"/>
        </w:rPr>
        <w:t>técnico.</w:t>
      </w:r>
    </w:p>
    <w:p>
      <w:pPr>
        <w:spacing w:before="162"/>
        <w:ind w:left="117" w:right="0" w:firstLine="0"/>
        <w:jc w:val="both"/>
        <w:rPr>
          <w:i/>
          <w:sz w:val="21"/>
        </w:rPr>
      </w:pPr>
      <w:r>
        <w:rPr>
          <w:i/>
          <w:color w:val="231F20"/>
          <w:w w:val="105"/>
          <w:sz w:val="21"/>
        </w:rPr>
        <w:t>Nuevas teorías del crecimiento endógeno</w:t>
      </w:r>
    </w:p>
    <w:p>
      <w:pPr>
        <w:pStyle w:val="BodyText"/>
        <w:spacing w:before="4"/>
        <w:rPr>
          <w:i/>
          <w:sz w:val="16"/>
        </w:rPr>
      </w:pPr>
    </w:p>
    <w:p>
      <w:pPr>
        <w:pStyle w:val="BodyText"/>
        <w:spacing w:line="259" w:lineRule="auto"/>
        <w:ind w:left="117" w:right="121"/>
        <w:jc w:val="both"/>
      </w:pPr>
      <w:r>
        <w:rPr>
          <w:color w:val="231F20"/>
          <w:w w:val="105"/>
        </w:rPr>
        <w:t>La teoría neoclásica del crecimiento forma la base de la “nueva” teoría del</w:t>
      </w:r>
      <w:r>
        <w:rPr>
          <w:color w:val="231F20"/>
          <w:spacing w:val="-11"/>
          <w:w w:val="105"/>
        </w:rPr>
        <w:t> </w:t>
      </w:r>
      <w:r>
        <w:rPr>
          <w:color w:val="231F20"/>
          <w:w w:val="105"/>
        </w:rPr>
        <w:t>crecimiento</w:t>
      </w:r>
      <w:r>
        <w:rPr>
          <w:color w:val="231F20"/>
          <w:spacing w:val="-11"/>
          <w:w w:val="105"/>
        </w:rPr>
        <w:t> </w:t>
      </w:r>
      <w:r>
        <w:rPr>
          <w:color w:val="231F20"/>
          <w:w w:val="105"/>
        </w:rPr>
        <w:t>endógeno.</w:t>
      </w:r>
      <w:r>
        <w:rPr>
          <w:color w:val="231F20"/>
          <w:spacing w:val="-16"/>
          <w:w w:val="105"/>
        </w:rPr>
        <w:t> </w:t>
      </w:r>
      <w:r>
        <w:rPr>
          <w:color w:val="231F20"/>
          <w:w w:val="105"/>
        </w:rPr>
        <w:t>Esta</w:t>
      </w:r>
      <w:r>
        <w:rPr>
          <w:color w:val="231F20"/>
          <w:spacing w:val="-11"/>
          <w:w w:val="105"/>
        </w:rPr>
        <w:t> </w:t>
      </w:r>
      <w:r>
        <w:rPr>
          <w:color w:val="231F20"/>
          <w:w w:val="105"/>
        </w:rPr>
        <w:t>teoría</w:t>
      </w:r>
      <w:r>
        <w:rPr>
          <w:color w:val="231F20"/>
          <w:spacing w:val="-11"/>
          <w:w w:val="105"/>
        </w:rPr>
        <w:t> </w:t>
      </w:r>
      <w:r>
        <w:rPr>
          <w:color w:val="231F20"/>
          <w:w w:val="105"/>
        </w:rPr>
        <w:t>postula</w:t>
      </w:r>
      <w:r>
        <w:rPr>
          <w:color w:val="231F20"/>
          <w:spacing w:val="-11"/>
          <w:w w:val="105"/>
        </w:rPr>
        <w:t> </w:t>
      </w:r>
      <w:r>
        <w:rPr>
          <w:color w:val="231F20"/>
          <w:w w:val="105"/>
        </w:rPr>
        <w:t>que</w:t>
      </w:r>
      <w:r>
        <w:rPr>
          <w:color w:val="231F20"/>
          <w:spacing w:val="-11"/>
          <w:w w:val="105"/>
        </w:rPr>
        <w:t> </w:t>
      </w:r>
      <w:r>
        <w:rPr>
          <w:color w:val="231F20"/>
          <w:w w:val="105"/>
        </w:rPr>
        <w:t>existen</w:t>
      </w:r>
      <w:r>
        <w:rPr>
          <w:color w:val="231F20"/>
          <w:spacing w:val="-11"/>
          <w:w w:val="105"/>
        </w:rPr>
        <w:t> </w:t>
      </w:r>
      <w:r>
        <w:rPr>
          <w:color w:val="231F20"/>
          <w:w w:val="105"/>
        </w:rPr>
        <w:t>rendimientos constantes</w:t>
      </w:r>
      <w:r>
        <w:rPr>
          <w:color w:val="231F20"/>
          <w:spacing w:val="-30"/>
          <w:w w:val="105"/>
        </w:rPr>
        <w:t> </w:t>
      </w:r>
      <w:r>
        <w:rPr>
          <w:color w:val="231F20"/>
          <w:w w:val="105"/>
        </w:rPr>
        <w:t>del</w:t>
      </w:r>
      <w:r>
        <w:rPr>
          <w:color w:val="231F20"/>
          <w:spacing w:val="-30"/>
          <w:w w:val="105"/>
        </w:rPr>
        <w:t> </w:t>
      </w:r>
      <w:r>
        <w:rPr>
          <w:color w:val="231F20"/>
          <w:w w:val="105"/>
        </w:rPr>
        <w:t>capital,</w:t>
      </w:r>
      <w:r>
        <w:rPr>
          <w:color w:val="231F20"/>
          <w:spacing w:val="-34"/>
          <w:w w:val="105"/>
        </w:rPr>
        <w:t> </w:t>
      </w:r>
      <w:r>
        <w:rPr>
          <w:color w:val="231F20"/>
          <w:w w:val="105"/>
        </w:rPr>
        <w:t>una</w:t>
      </w:r>
      <w:r>
        <w:rPr>
          <w:color w:val="231F20"/>
          <w:spacing w:val="-30"/>
          <w:w w:val="105"/>
        </w:rPr>
        <w:t> </w:t>
      </w:r>
      <w:r>
        <w:rPr>
          <w:color w:val="231F20"/>
          <w:w w:val="105"/>
        </w:rPr>
        <w:t>mayor</w:t>
      </w:r>
      <w:r>
        <w:rPr>
          <w:color w:val="231F20"/>
          <w:spacing w:val="-30"/>
          <w:w w:val="105"/>
        </w:rPr>
        <w:t> </w:t>
      </w:r>
      <w:r>
        <w:rPr>
          <w:color w:val="231F20"/>
          <w:w w:val="105"/>
        </w:rPr>
        <w:t>razón</w:t>
      </w:r>
      <w:r>
        <w:rPr>
          <w:color w:val="231F20"/>
          <w:spacing w:val="-30"/>
          <w:w w:val="105"/>
        </w:rPr>
        <w:t> </w:t>
      </w:r>
      <w:r>
        <w:rPr>
          <w:color w:val="231F20"/>
          <w:w w:val="105"/>
        </w:rPr>
        <w:t>capital-trabajo</w:t>
      </w:r>
      <w:r>
        <w:rPr>
          <w:color w:val="231F20"/>
          <w:spacing w:val="-30"/>
          <w:w w:val="105"/>
        </w:rPr>
        <w:t> </w:t>
      </w:r>
      <w:r>
        <w:rPr>
          <w:color w:val="231F20"/>
          <w:w w:val="105"/>
        </w:rPr>
        <w:t>será</w:t>
      </w:r>
      <w:r>
        <w:rPr>
          <w:color w:val="231F20"/>
          <w:spacing w:val="-30"/>
          <w:w w:val="105"/>
        </w:rPr>
        <w:t> </w:t>
      </w:r>
      <w:r>
        <w:rPr>
          <w:color w:val="231F20"/>
          <w:w w:val="105"/>
        </w:rPr>
        <w:t>exactamente compensada por más producto per cápita, y la razón capital-producto no</w:t>
      </w:r>
      <w:r>
        <w:rPr>
          <w:color w:val="231F20"/>
          <w:spacing w:val="-16"/>
          <w:w w:val="105"/>
        </w:rPr>
        <w:t> </w:t>
      </w:r>
      <w:r>
        <w:rPr>
          <w:color w:val="231F20"/>
          <w:w w:val="105"/>
        </w:rPr>
        <w:t>será</w:t>
      </w:r>
      <w:r>
        <w:rPr>
          <w:color w:val="231F20"/>
          <w:spacing w:val="-16"/>
          <w:w w:val="105"/>
        </w:rPr>
        <w:t> </w:t>
      </w:r>
      <w:r>
        <w:rPr>
          <w:color w:val="231F20"/>
          <w:w w:val="105"/>
        </w:rPr>
        <w:t>mayor</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ricos</w:t>
      </w:r>
      <w:r>
        <w:rPr>
          <w:color w:val="231F20"/>
          <w:spacing w:val="-16"/>
          <w:w w:val="105"/>
        </w:rPr>
        <w:t> </w:t>
      </w:r>
      <w:r>
        <w:rPr>
          <w:color w:val="231F20"/>
          <w:w w:val="105"/>
        </w:rPr>
        <w:t>en</w:t>
      </w:r>
      <w:r>
        <w:rPr>
          <w:color w:val="231F20"/>
          <w:spacing w:val="-16"/>
          <w:w w:val="105"/>
        </w:rPr>
        <w:t> </w:t>
      </w:r>
      <w:r>
        <w:rPr>
          <w:color w:val="231F20"/>
          <w:w w:val="105"/>
        </w:rPr>
        <w:t>capital</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pobres</w:t>
      </w:r>
      <w:r>
        <w:rPr>
          <w:color w:val="231F20"/>
          <w:spacing w:val="-16"/>
          <w:w w:val="105"/>
        </w:rPr>
        <w:t> </w:t>
      </w:r>
      <w:r>
        <w:rPr>
          <w:color w:val="231F20"/>
          <w:w w:val="105"/>
        </w:rPr>
        <w:t>en capital. La razón ahorro-inversión, por lo tanto, será importante para el crecimiento</w:t>
      </w:r>
      <w:r>
        <w:rPr>
          <w:color w:val="231F20"/>
          <w:spacing w:val="-18"/>
          <w:w w:val="105"/>
        </w:rPr>
        <w:t> </w:t>
      </w:r>
      <w:r>
        <w:rPr>
          <w:color w:val="231F20"/>
          <w:w w:val="105"/>
        </w:rPr>
        <w:t>de</w:t>
      </w:r>
      <w:r>
        <w:rPr>
          <w:color w:val="231F20"/>
          <w:spacing w:val="-18"/>
          <w:w w:val="105"/>
        </w:rPr>
        <w:t> </w:t>
      </w:r>
      <w:r>
        <w:rPr>
          <w:color w:val="231F20"/>
          <w:w w:val="105"/>
        </w:rPr>
        <w:t>largo</w:t>
      </w:r>
      <w:r>
        <w:rPr>
          <w:color w:val="231F20"/>
          <w:spacing w:val="-18"/>
          <w:w w:val="105"/>
        </w:rPr>
        <w:t> </w:t>
      </w:r>
      <w:r>
        <w:rPr>
          <w:color w:val="231F20"/>
          <w:w w:val="105"/>
        </w:rPr>
        <w:t>plazo</w:t>
      </w:r>
      <w:r>
        <w:rPr>
          <w:color w:val="231F20"/>
          <w:spacing w:val="-18"/>
          <w:w w:val="105"/>
        </w:rPr>
        <w:t> </w:t>
      </w:r>
      <w:r>
        <w:rPr>
          <w:color w:val="231F20"/>
          <w:w w:val="105"/>
        </w:rPr>
        <w:t>(Thirlwall,</w:t>
      </w:r>
      <w:r>
        <w:rPr>
          <w:color w:val="231F20"/>
          <w:spacing w:val="-24"/>
          <w:w w:val="105"/>
        </w:rPr>
        <w:t> </w:t>
      </w:r>
      <w:r>
        <w:rPr>
          <w:color w:val="231F20"/>
          <w:w w:val="105"/>
        </w:rPr>
        <w:t>2003).</w:t>
      </w:r>
    </w:p>
    <w:p>
      <w:pPr>
        <w:pStyle w:val="BodyText"/>
        <w:spacing w:line="259" w:lineRule="auto"/>
        <w:ind w:left="117" w:right="115" w:firstLine="567"/>
        <w:jc w:val="both"/>
      </w:pPr>
      <w:r>
        <w:rPr>
          <w:color w:val="231F20"/>
          <w:w w:val="105"/>
        </w:rPr>
        <w:t>El</w:t>
      </w:r>
      <w:r>
        <w:rPr>
          <w:color w:val="231F20"/>
          <w:spacing w:val="-15"/>
          <w:w w:val="105"/>
        </w:rPr>
        <w:t> </w:t>
      </w:r>
      <w:r>
        <w:rPr>
          <w:color w:val="231F20"/>
          <w:w w:val="105"/>
        </w:rPr>
        <w:t>crecimiento</w:t>
      </w:r>
      <w:r>
        <w:rPr>
          <w:color w:val="231F20"/>
          <w:spacing w:val="-15"/>
          <w:w w:val="105"/>
        </w:rPr>
        <w:t> </w:t>
      </w:r>
      <w:r>
        <w:rPr>
          <w:color w:val="231F20"/>
          <w:w w:val="105"/>
        </w:rPr>
        <w:t>es</w:t>
      </w:r>
      <w:r>
        <w:rPr>
          <w:color w:val="231F20"/>
          <w:spacing w:val="-15"/>
          <w:w w:val="105"/>
        </w:rPr>
        <w:t> </w:t>
      </w:r>
      <w:r>
        <w:rPr>
          <w:color w:val="231F20"/>
          <w:w w:val="105"/>
        </w:rPr>
        <w:t>determinado</w:t>
      </w:r>
      <w:r>
        <w:rPr>
          <w:color w:val="231F20"/>
          <w:spacing w:val="-15"/>
          <w:w w:val="105"/>
        </w:rPr>
        <w:t> </w:t>
      </w:r>
      <w:r>
        <w:rPr>
          <w:color w:val="231F20"/>
          <w:w w:val="105"/>
        </w:rPr>
        <w:t>en</w:t>
      </w:r>
      <w:r>
        <w:rPr>
          <w:color w:val="231F20"/>
          <w:spacing w:val="-15"/>
          <w:w w:val="105"/>
        </w:rPr>
        <w:t> </w:t>
      </w:r>
      <w:r>
        <w:rPr>
          <w:color w:val="231F20"/>
          <w:w w:val="105"/>
        </w:rPr>
        <w:t>forma</w:t>
      </w:r>
      <w:r>
        <w:rPr>
          <w:color w:val="231F20"/>
          <w:spacing w:val="-15"/>
          <w:w w:val="105"/>
        </w:rPr>
        <w:t> </w:t>
      </w:r>
      <w:r>
        <w:rPr>
          <w:color w:val="231F20"/>
          <w:w w:val="105"/>
        </w:rPr>
        <w:t>endógena</w:t>
      </w:r>
      <w:r>
        <w:rPr>
          <w:color w:val="231F20"/>
          <w:spacing w:val="-15"/>
          <w:w w:val="105"/>
        </w:rPr>
        <w:t> </w:t>
      </w:r>
      <w:r>
        <w:rPr>
          <w:color w:val="231F20"/>
          <w:w w:val="105"/>
        </w:rPr>
        <w:t>y</w:t>
      </w:r>
      <w:r>
        <w:rPr>
          <w:color w:val="231F20"/>
          <w:spacing w:val="-15"/>
          <w:w w:val="105"/>
        </w:rPr>
        <w:t> </w:t>
      </w:r>
      <w:r>
        <w:rPr>
          <w:color w:val="231F20"/>
          <w:w w:val="105"/>
        </w:rPr>
        <w:t>no</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tasa de crecimiento exógena de la fuerza de trabajo y del progreso</w:t>
      </w:r>
      <w:r>
        <w:rPr>
          <w:color w:val="231F20"/>
          <w:spacing w:val="33"/>
          <w:w w:val="105"/>
        </w:rPr>
        <w:t> </w:t>
      </w:r>
      <w:r>
        <w:rPr>
          <w:color w:val="231F20"/>
          <w:w w:val="105"/>
        </w:rPr>
        <w:t>técnico.</w:t>
      </w:r>
    </w:p>
    <w:p>
      <w:pPr>
        <w:pStyle w:val="BodyText"/>
        <w:rPr>
          <w:sz w:val="20"/>
        </w:rPr>
      </w:pPr>
    </w:p>
    <w:p>
      <w:pPr>
        <w:pStyle w:val="BodyText"/>
        <w:spacing w:before="4"/>
        <w:rPr>
          <w:sz w:val="11"/>
        </w:rPr>
      </w:pPr>
      <w:r>
        <w:rPr/>
        <w:pict>
          <v:line style="position:absolute;mso-position-horizontal-relative:page;mso-position-vertical-relative:paragraph;z-index:8800;mso-wrap-distance-left:0;mso-wrap-distance-right:0" from="70.866096pt,8.614347pt" to="184.252096pt,8.614347pt" stroked="true" strokeweight=".25pt" strokecolor="#231f20">
            <w10:wrap type="topAndBottom"/>
          </v:line>
        </w:pict>
      </w:r>
    </w:p>
    <w:p>
      <w:pPr>
        <w:spacing w:line="192" w:lineRule="exact" w:before="7"/>
        <w:ind w:left="117" w:right="121" w:firstLine="0"/>
        <w:jc w:val="both"/>
        <w:rPr>
          <w:rFonts w:ascii="Calibri" w:hAnsi="Calibri"/>
          <w:sz w:val="16"/>
        </w:rPr>
      </w:pPr>
      <w:r>
        <w:rPr>
          <w:rFonts w:ascii="Calibri" w:hAnsi="Calibri"/>
          <w:color w:val="414042"/>
          <w:position w:val="5"/>
          <w:sz w:val="9"/>
        </w:rPr>
        <w:t>2  </w:t>
      </w:r>
      <w:r>
        <w:rPr>
          <w:rFonts w:ascii="Calibri" w:hAnsi="Calibri"/>
          <w:color w:val="414042"/>
          <w:sz w:val="16"/>
        </w:rPr>
        <w:t>Cuando un factor de la producción se hace más productivo la producción aumenta por unidad de fac-  </w:t>
      </w:r>
      <w:r>
        <w:rPr>
          <w:rFonts w:ascii="Calibri" w:hAnsi="Calibri"/>
          <w:color w:val="414042"/>
          <w:spacing w:val="-4"/>
          <w:sz w:val="16"/>
        </w:rPr>
        <w:t>tor. </w:t>
      </w:r>
      <w:r>
        <w:rPr>
          <w:rFonts w:ascii="Calibri" w:hAnsi="Calibri"/>
          <w:color w:val="414042"/>
          <w:sz w:val="16"/>
        </w:rPr>
        <w:t>En otras palabras, es necesaria una cantidad menor del factor para obtener un producto dado. Si las otras cosas siguen constantes, incluyendo los precios de los factores, el costo por unidad de producto descenderá. La productividad de los recursos de un país gobierna, por tanto, los costos reales y determina la cantidad de recursos que deben emplearse para obtener un resultado dado. De aquí que si el trabajo de un</w:t>
      </w:r>
      <w:r>
        <w:rPr>
          <w:rFonts w:ascii="Calibri" w:hAnsi="Calibri"/>
          <w:color w:val="414042"/>
          <w:spacing w:val="-4"/>
          <w:sz w:val="16"/>
        </w:rPr>
        <w:t> </w:t>
      </w:r>
      <w:r>
        <w:rPr>
          <w:rFonts w:ascii="Calibri" w:hAnsi="Calibri"/>
          <w:color w:val="414042"/>
          <w:sz w:val="16"/>
        </w:rPr>
        <w:t>país</w:t>
      </w:r>
      <w:r>
        <w:rPr>
          <w:rFonts w:ascii="Calibri" w:hAnsi="Calibri"/>
          <w:color w:val="414042"/>
          <w:spacing w:val="-4"/>
          <w:sz w:val="16"/>
        </w:rPr>
        <w:t> </w:t>
      </w:r>
      <w:r>
        <w:rPr>
          <w:rFonts w:ascii="Calibri" w:hAnsi="Calibri"/>
          <w:color w:val="414042"/>
          <w:sz w:val="16"/>
        </w:rPr>
        <w:t>o</w:t>
      </w:r>
      <w:r>
        <w:rPr>
          <w:rFonts w:ascii="Calibri" w:hAnsi="Calibri"/>
          <w:color w:val="414042"/>
          <w:spacing w:val="-4"/>
          <w:sz w:val="16"/>
        </w:rPr>
        <w:t> </w:t>
      </w:r>
      <w:r>
        <w:rPr>
          <w:rFonts w:ascii="Calibri" w:hAnsi="Calibri"/>
          <w:color w:val="414042"/>
          <w:sz w:val="16"/>
        </w:rPr>
        <w:t>empresa</w:t>
      </w:r>
      <w:r>
        <w:rPr>
          <w:rFonts w:ascii="Calibri" w:hAnsi="Calibri"/>
          <w:color w:val="414042"/>
          <w:spacing w:val="-4"/>
          <w:sz w:val="16"/>
        </w:rPr>
        <w:t> </w:t>
      </w:r>
      <w:r>
        <w:rPr>
          <w:rFonts w:ascii="Calibri" w:hAnsi="Calibri"/>
          <w:color w:val="414042"/>
          <w:sz w:val="16"/>
        </w:rPr>
        <w:t>tiene</w:t>
      </w:r>
      <w:r>
        <w:rPr>
          <w:rFonts w:ascii="Calibri" w:hAnsi="Calibri"/>
          <w:color w:val="414042"/>
          <w:spacing w:val="-4"/>
          <w:sz w:val="16"/>
        </w:rPr>
        <w:t> </w:t>
      </w:r>
      <w:r>
        <w:rPr>
          <w:rFonts w:ascii="Calibri" w:hAnsi="Calibri"/>
          <w:color w:val="414042"/>
          <w:sz w:val="16"/>
        </w:rPr>
        <w:t>una</w:t>
      </w:r>
      <w:r>
        <w:rPr>
          <w:rFonts w:ascii="Calibri" w:hAnsi="Calibri"/>
          <w:color w:val="414042"/>
          <w:spacing w:val="-4"/>
          <w:sz w:val="16"/>
        </w:rPr>
        <w:t> </w:t>
      </w:r>
      <w:r>
        <w:rPr>
          <w:rFonts w:ascii="Calibri" w:hAnsi="Calibri"/>
          <w:color w:val="414042"/>
          <w:sz w:val="16"/>
        </w:rPr>
        <w:t>mayor</w:t>
      </w:r>
      <w:r>
        <w:rPr>
          <w:rFonts w:ascii="Calibri" w:hAnsi="Calibri"/>
          <w:color w:val="414042"/>
          <w:spacing w:val="-4"/>
          <w:sz w:val="16"/>
        </w:rPr>
        <w:t> </w:t>
      </w:r>
      <w:r>
        <w:rPr>
          <w:rFonts w:ascii="Calibri" w:hAnsi="Calibri"/>
          <w:color w:val="414042"/>
          <w:sz w:val="16"/>
        </w:rPr>
        <w:t>productividad</w:t>
      </w:r>
      <w:r>
        <w:rPr>
          <w:rFonts w:ascii="Calibri" w:hAnsi="Calibri"/>
          <w:color w:val="414042"/>
          <w:spacing w:val="-4"/>
          <w:sz w:val="16"/>
        </w:rPr>
        <w:t> </w:t>
      </w:r>
      <w:r>
        <w:rPr>
          <w:rFonts w:ascii="Calibri" w:hAnsi="Calibri"/>
          <w:color w:val="414042"/>
          <w:sz w:val="16"/>
        </w:rPr>
        <w:t>que</w:t>
      </w:r>
      <w:r>
        <w:rPr>
          <w:rFonts w:ascii="Calibri" w:hAnsi="Calibri"/>
          <w:color w:val="414042"/>
          <w:spacing w:val="-4"/>
          <w:sz w:val="16"/>
        </w:rPr>
        <w:t> </w:t>
      </w:r>
      <w:r>
        <w:rPr>
          <w:rFonts w:ascii="Calibri" w:hAnsi="Calibri"/>
          <w:color w:val="414042"/>
          <w:sz w:val="16"/>
        </w:rPr>
        <w:t>en</w:t>
      </w:r>
      <w:r>
        <w:rPr>
          <w:rFonts w:ascii="Calibri" w:hAnsi="Calibri"/>
          <w:color w:val="414042"/>
          <w:spacing w:val="-4"/>
          <w:sz w:val="16"/>
        </w:rPr>
        <w:t> </w:t>
      </w:r>
      <w:r>
        <w:rPr>
          <w:rFonts w:ascii="Calibri" w:hAnsi="Calibri"/>
          <w:color w:val="414042"/>
          <w:sz w:val="16"/>
        </w:rPr>
        <w:t>otro</w:t>
      </w:r>
      <w:r>
        <w:rPr>
          <w:rFonts w:ascii="Calibri" w:hAnsi="Calibri"/>
          <w:color w:val="414042"/>
          <w:spacing w:val="-4"/>
          <w:sz w:val="16"/>
        </w:rPr>
        <w:t> </w:t>
      </w:r>
      <w:r>
        <w:rPr>
          <w:rFonts w:ascii="Calibri" w:hAnsi="Calibri"/>
          <w:color w:val="414042"/>
          <w:sz w:val="16"/>
        </w:rPr>
        <w:t>país</w:t>
      </w:r>
      <w:r>
        <w:rPr>
          <w:rFonts w:ascii="Calibri" w:hAnsi="Calibri"/>
          <w:color w:val="414042"/>
          <w:spacing w:val="-4"/>
          <w:sz w:val="16"/>
        </w:rPr>
        <w:t> </w:t>
      </w:r>
      <w:r>
        <w:rPr>
          <w:rFonts w:ascii="Calibri" w:hAnsi="Calibri"/>
          <w:color w:val="414042"/>
          <w:sz w:val="16"/>
        </w:rPr>
        <w:t>o</w:t>
      </w:r>
      <w:r>
        <w:rPr>
          <w:rFonts w:ascii="Calibri" w:hAnsi="Calibri"/>
          <w:color w:val="414042"/>
          <w:spacing w:val="-4"/>
          <w:sz w:val="16"/>
        </w:rPr>
        <w:t> </w:t>
      </w:r>
      <w:r>
        <w:rPr>
          <w:rFonts w:ascii="Calibri" w:hAnsi="Calibri"/>
          <w:color w:val="414042"/>
          <w:sz w:val="16"/>
        </w:rPr>
        <w:t>empresa,</w:t>
      </w:r>
      <w:r>
        <w:rPr>
          <w:rFonts w:ascii="Calibri" w:hAnsi="Calibri"/>
          <w:color w:val="414042"/>
          <w:spacing w:val="-4"/>
          <w:sz w:val="16"/>
        </w:rPr>
        <w:t> </w:t>
      </w:r>
      <w:r>
        <w:rPr>
          <w:rFonts w:ascii="Calibri" w:hAnsi="Calibri"/>
          <w:color w:val="414042"/>
          <w:sz w:val="16"/>
        </w:rPr>
        <w:t>puede</w:t>
      </w:r>
      <w:r>
        <w:rPr>
          <w:rFonts w:ascii="Calibri" w:hAnsi="Calibri"/>
          <w:color w:val="414042"/>
          <w:spacing w:val="-4"/>
          <w:sz w:val="16"/>
        </w:rPr>
        <w:t> </w:t>
      </w:r>
      <w:r>
        <w:rPr>
          <w:rFonts w:ascii="Calibri" w:hAnsi="Calibri"/>
          <w:color w:val="414042"/>
          <w:sz w:val="16"/>
        </w:rPr>
        <w:t>permitirse</w:t>
      </w:r>
      <w:r>
        <w:rPr>
          <w:rFonts w:ascii="Calibri" w:hAnsi="Calibri"/>
          <w:color w:val="414042"/>
          <w:spacing w:val="-4"/>
          <w:sz w:val="16"/>
        </w:rPr>
        <w:t> </w:t>
      </w:r>
      <w:r>
        <w:rPr>
          <w:rFonts w:ascii="Calibri" w:hAnsi="Calibri"/>
          <w:color w:val="414042"/>
          <w:sz w:val="16"/>
        </w:rPr>
        <w:t>ganar</w:t>
      </w:r>
      <w:r>
        <w:rPr>
          <w:rFonts w:ascii="Calibri" w:hAnsi="Calibri"/>
          <w:color w:val="414042"/>
          <w:spacing w:val="-4"/>
          <w:sz w:val="16"/>
        </w:rPr>
        <w:t> </w:t>
      </w:r>
      <w:r>
        <w:rPr>
          <w:rFonts w:ascii="Calibri" w:hAnsi="Calibri"/>
          <w:color w:val="414042"/>
          <w:sz w:val="16"/>
        </w:rPr>
        <w:t>más en términos monetarios sin que ello provoque costos superiores (Seldon y Pennance, 1986: 404). En este sentido, el término productividad está íntimamente ligado con el crecimiento económico, de tal suerte  que</w:t>
      </w:r>
      <w:r>
        <w:rPr>
          <w:rFonts w:ascii="Calibri" w:hAnsi="Calibri"/>
          <w:color w:val="414042"/>
          <w:spacing w:val="-2"/>
          <w:sz w:val="16"/>
        </w:rPr>
        <w:t> </w:t>
      </w:r>
      <w:r>
        <w:rPr>
          <w:rFonts w:ascii="Calibri" w:hAnsi="Calibri"/>
          <w:color w:val="414042"/>
          <w:sz w:val="16"/>
        </w:rPr>
        <w:t>el</w:t>
      </w:r>
      <w:r>
        <w:rPr>
          <w:rFonts w:ascii="Calibri" w:hAnsi="Calibri"/>
          <w:color w:val="414042"/>
          <w:spacing w:val="-2"/>
          <w:sz w:val="16"/>
        </w:rPr>
        <w:t> </w:t>
      </w:r>
      <w:r>
        <w:rPr>
          <w:rFonts w:ascii="Calibri" w:hAnsi="Calibri"/>
          <w:color w:val="414042"/>
          <w:sz w:val="16"/>
        </w:rPr>
        <w:t>progreso</w:t>
      </w:r>
      <w:r>
        <w:rPr>
          <w:rFonts w:ascii="Calibri" w:hAnsi="Calibri"/>
          <w:color w:val="414042"/>
          <w:spacing w:val="-2"/>
          <w:sz w:val="16"/>
        </w:rPr>
        <w:t> </w:t>
      </w:r>
      <w:r>
        <w:rPr>
          <w:rFonts w:ascii="Calibri" w:hAnsi="Calibri"/>
          <w:color w:val="414042"/>
          <w:sz w:val="16"/>
        </w:rPr>
        <w:t>de</w:t>
      </w:r>
      <w:r>
        <w:rPr>
          <w:rFonts w:ascii="Calibri" w:hAnsi="Calibri"/>
          <w:color w:val="414042"/>
          <w:spacing w:val="-2"/>
          <w:sz w:val="16"/>
        </w:rPr>
        <w:t> </w:t>
      </w:r>
      <w:r>
        <w:rPr>
          <w:rFonts w:ascii="Calibri" w:hAnsi="Calibri"/>
          <w:color w:val="414042"/>
          <w:sz w:val="16"/>
        </w:rPr>
        <w:t>un</w:t>
      </w:r>
      <w:r>
        <w:rPr>
          <w:rFonts w:ascii="Calibri" w:hAnsi="Calibri"/>
          <w:color w:val="414042"/>
          <w:spacing w:val="-2"/>
          <w:sz w:val="16"/>
        </w:rPr>
        <w:t> </w:t>
      </w:r>
      <w:r>
        <w:rPr>
          <w:rFonts w:ascii="Calibri" w:hAnsi="Calibri"/>
          <w:color w:val="414042"/>
          <w:sz w:val="16"/>
        </w:rPr>
        <w:t>país</w:t>
      </w:r>
      <w:r>
        <w:rPr>
          <w:rFonts w:ascii="Calibri" w:hAnsi="Calibri"/>
          <w:color w:val="414042"/>
          <w:spacing w:val="-2"/>
          <w:sz w:val="16"/>
        </w:rPr>
        <w:t> </w:t>
      </w:r>
      <w:r>
        <w:rPr>
          <w:rFonts w:ascii="Calibri" w:hAnsi="Calibri"/>
          <w:color w:val="414042"/>
          <w:sz w:val="16"/>
        </w:rPr>
        <w:t>se</w:t>
      </w:r>
      <w:r>
        <w:rPr>
          <w:rFonts w:ascii="Calibri" w:hAnsi="Calibri"/>
          <w:color w:val="414042"/>
          <w:spacing w:val="-2"/>
          <w:sz w:val="16"/>
        </w:rPr>
        <w:t> </w:t>
      </w:r>
      <w:r>
        <w:rPr>
          <w:rFonts w:ascii="Calibri" w:hAnsi="Calibri"/>
          <w:color w:val="414042"/>
          <w:sz w:val="16"/>
        </w:rPr>
        <w:t>determina</w:t>
      </w:r>
      <w:r>
        <w:rPr>
          <w:rFonts w:ascii="Calibri" w:hAnsi="Calibri"/>
          <w:color w:val="414042"/>
          <w:spacing w:val="-2"/>
          <w:sz w:val="16"/>
        </w:rPr>
        <w:t> </w:t>
      </w:r>
      <w:r>
        <w:rPr>
          <w:rFonts w:ascii="Calibri" w:hAnsi="Calibri"/>
          <w:color w:val="414042"/>
          <w:sz w:val="16"/>
        </w:rPr>
        <w:t>en</w:t>
      </w:r>
      <w:r>
        <w:rPr>
          <w:rFonts w:ascii="Calibri" w:hAnsi="Calibri"/>
          <w:color w:val="414042"/>
          <w:spacing w:val="-2"/>
          <w:sz w:val="16"/>
        </w:rPr>
        <w:t> </w:t>
      </w:r>
      <w:r>
        <w:rPr>
          <w:rFonts w:ascii="Calibri" w:hAnsi="Calibri"/>
          <w:color w:val="414042"/>
          <w:sz w:val="16"/>
        </w:rPr>
        <w:t>buena</w:t>
      </w:r>
      <w:r>
        <w:rPr>
          <w:rFonts w:ascii="Calibri" w:hAnsi="Calibri"/>
          <w:color w:val="414042"/>
          <w:spacing w:val="-2"/>
          <w:sz w:val="16"/>
        </w:rPr>
        <w:t> </w:t>
      </w:r>
      <w:r>
        <w:rPr>
          <w:rFonts w:ascii="Calibri" w:hAnsi="Calibri"/>
          <w:color w:val="414042"/>
          <w:sz w:val="16"/>
        </w:rPr>
        <w:t>parte</w:t>
      </w:r>
      <w:r>
        <w:rPr>
          <w:rFonts w:ascii="Calibri" w:hAnsi="Calibri"/>
          <w:color w:val="414042"/>
          <w:spacing w:val="-2"/>
          <w:sz w:val="16"/>
        </w:rPr>
        <w:t> </w:t>
      </w:r>
      <w:r>
        <w:rPr>
          <w:rFonts w:ascii="Calibri" w:hAnsi="Calibri"/>
          <w:color w:val="414042"/>
          <w:sz w:val="16"/>
        </w:rPr>
        <w:t>por</w:t>
      </w:r>
      <w:r>
        <w:rPr>
          <w:rFonts w:ascii="Calibri" w:hAnsi="Calibri"/>
          <w:color w:val="414042"/>
          <w:spacing w:val="-2"/>
          <w:sz w:val="16"/>
        </w:rPr>
        <w:t> </w:t>
      </w:r>
      <w:r>
        <w:rPr>
          <w:rFonts w:ascii="Calibri" w:hAnsi="Calibri"/>
          <w:color w:val="414042"/>
          <w:sz w:val="16"/>
        </w:rPr>
        <w:t>el</w:t>
      </w:r>
      <w:r>
        <w:rPr>
          <w:rFonts w:ascii="Calibri" w:hAnsi="Calibri"/>
          <w:color w:val="414042"/>
          <w:spacing w:val="-2"/>
          <w:sz w:val="16"/>
        </w:rPr>
        <w:t> </w:t>
      </w:r>
      <w:r>
        <w:rPr>
          <w:rFonts w:ascii="Calibri" w:hAnsi="Calibri"/>
          <w:color w:val="414042"/>
          <w:sz w:val="16"/>
        </w:rPr>
        <w:t>mayor</w:t>
      </w:r>
      <w:r>
        <w:rPr>
          <w:rFonts w:ascii="Calibri" w:hAnsi="Calibri"/>
          <w:color w:val="414042"/>
          <w:spacing w:val="-2"/>
          <w:sz w:val="16"/>
        </w:rPr>
        <w:t> </w:t>
      </w:r>
      <w:r>
        <w:rPr>
          <w:rFonts w:ascii="Calibri" w:hAnsi="Calibri"/>
          <w:color w:val="414042"/>
          <w:sz w:val="16"/>
        </w:rPr>
        <w:t>o</w:t>
      </w:r>
      <w:r>
        <w:rPr>
          <w:rFonts w:ascii="Calibri" w:hAnsi="Calibri"/>
          <w:color w:val="414042"/>
          <w:spacing w:val="-2"/>
          <w:sz w:val="16"/>
        </w:rPr>
        <w:t> </w:t>
      </w:r>
      <w:r>
        <w:rPr>
          <w:rFonts w:ascii="Calibri" w:hAnsi="Calibri"/>
          <w:color w:val="414042"/>
          <w:sz w:val="16"/>
        </w:rPr>
        <w:t>menor</w:t>
      </w:r>
      <w:r>
        <w:rPr>
          <w:rFonts w:ascii="Calibri" w:hAnsi="Calibri"/>
          <w:color w:val="414042"/>
          <w:spacing w:val="-2"/>
          <w:sz w:val="16"/>
        </w:rPr>
        <w:t> </w:t>
      </w:r>
      <w:r>
        <w:rPr>
          <w:rFonts w:ascii="Calibri" w:hAnsi="Calibri"/>
          <w:color w:val="414042"/>
          <w:sz w:val="16"/>
        </w:rPr>
        <w:t>grado</w:t>
      </w:r>
      <w:r>
        <w:rPr>
          <w:rFonts w:ascii="Calibri" w:hAnsi="Calibri"/>
          <w:color w:val="414042"/>
          <w:spacing w:val="-2"/>
          <w:sz w:val="16"/>
        </w:rPr>
        <w:t> </w:t>
      </w:r>
      <w:r>
        <w:rPr>
          <w:rFonts w:ascii="Calibri" w:hAnsi="Calibri"/>
          <w:color w:val="414042"/>
          <w:sz w:val="16"/>
        </w:rPr>
        <w:t>de</w:t>
      </w:r>
      <w:r>
        <w:rPr>
          <w:rFonts w:ascii="Calibri" w:hAnsi="Calibri"/>
          <w:color w:val="414042"/>
          <w:spacing w:val="-2"/>
          <w:sz w:val="16"/>
        </w:rPr>
        <w:t> </w:t>
      </w:r>
      <w:r>
        <w:rPr>
          <w:rFonts w:ascii="Calibri" w:hAnsi="Calibri"/>
          <w:color w:val="414042"/>
          <w:sz w:val="16"/>
        </w:rPr>
        <w:t>su</w:t>
      </w:r>
      <w:r>
        <w:rPr>
          <w:rFonts w:ascii="Calibri" w:hAnsi="Calibri"/>
          <w:color w:val="414042"/>
          <w:spacing w:val="-2"/>
          <w:sz w:val="16"/>
        </w:rPr>
        <w:t> </w:t>
      </w:r>
      <w:r>
        <w:rPr>
          <w:rFonts w:ascii="Calibri" w:hAnsi="Calibri"/>
          <w:color w:val="414042"/>
          <w:sz w:val="16"/>
        </w:rPr>
        <w:t>productividad.</w:t>
      </w:r>
    </w:p>
    <w:p>
      <w:pPr>
        <w:spacing w:after="0" w:line="192" w:lineRule="exact"/>
        <w:jc w:val="both"/>
        <w:rPr>
          <w:rFonts w:ascii="Calibri" w:hAnsi="Calibri"/>
          <w:sz w:val="16"/>
        </w:rPr>
        <w:sectPr>
          <w:pgSz w:w="9640" w:h="13890"/>
          <w:pgMar w:top="0" w:bottom="280" w:left="1300" w:right="1180"/>
        </w:sectPr>
      </w:pPr>
    </w:p>
    <w:p>
      <w:pPr>
        <w:pStyle w:val="BodyText"/>
        <w:spacing w:line="259" w:lineRule="auto" w:before="120"/>
        <w:ind w:left="103" w:right="109"/>
        <w:jc w:val="both"/>
      </w:pPr>
      <w:r>
        <w:rPr>
          <w:color w:val="231F20"/>
          <w:w w:val="105"/>
        </w:rPr>
        <w:t>Este</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punto</w:t>
      </w:r>
      <w:r>
        <w:rPr>
          <w:color w:val="231F20"/>
          <w:spacing w:val="-16"/>
          <w:w w:val="105"/>
        </w:rPr>
        <w:t> </w:t>
      </w:r>
      <w:r>
        <w:rPr>
          <w:color w:val="231F20"/>
          <w:w w:val="105"/>
        </w:rPr>
        <w:t>de</w:t>
      </w:r>
      <w:r>
        <w:rPr>
          <w:color w:val="231F20"/>
          <w:spacing w:val="-16"/>
          <w:w w:val="105"/>
        </w:rPr>
        <w:t> </w:t>
      </w:r>
      <w:r>
        <w:rPr>
          <w:color w:val="231F20"/>
          <w:w w:val="105"/>
        </w:rPr>
        <w:t>partida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nueva</w:t>
      </w:r>
      <w:r>
        <w:rPr>
          <w:color w:val="231F20"/>
          <w:spacing w:val="-16"/>
          <w:w w:val="105"/>
        </w:rPr>
        <w:t> </w:t>
      </w:r>
      <w:r>
        <w:rPr>
          <w:color w:val="231F20"/>
          <w:w w:val="105"/>
        </w:rPr>
        <w:t>teoría</w:t>
      </w:r>
      <w:r>
        <w:rPr>
          <w:color w:val="231F20"/>
          <w:spacing w:val="-16"/>
          <w:w w:val="105"/>
        </w:rPr>
        <w:t> </w:t>
      </w:r>
      <w:r>
        <w:rPr>
          <w:color w:val="231F20"/>
          <w:w w:val="105"/>
        </w:rPr>
        <w:t>del</w:t>
      </w:r>
      <w:r>
        <w:rPr>
          <w:color w:val="231F20"/>
          <w:spacing w:val="-16"/>
          <w:w w:val="105"/>
        </w:rPr>
        <w:t> </w:t>
      </w:r>
      <w:r>
        <w:rPr>
          <w:color w:val="231F20"/>
          <w:w w:val="105"/>
        </w:rPr>
        <w:t>crecimiento</w:t>
      </w:r>
      <w:r>
        <w:rPr>
          <w:color w:val="231F20"/>
          <w:spacing w:val="-16"/>
          <w:w w:val="105"/>
        </w:rPr>
        <w:t> </w:t>
      </w:r>
      <w:r>
        <w:rPr>
          <w:color w:val="231F20"/>
          <w:w w:val="105"/>
        </w:rPr>
        <w:t>endógeno, la</w:t>
      </w:r>
      <w:r>
        <w:rPr>
          <w:color w:val="231F20"/>
          <w:spacing w:val="-12"/>
          <w:w w:val="105"/>
        </w:rPr>
        <w:t> </w:t>
      </w:r>
      <w:r>
        <w:rPr>
          <w:color w:val="231F20"/>
          <w:w w:val="105"/>
        </w:rPr>
        <w:t>cual</w:t>
      </w:r>
      <w:r>
        <w:rPr>
          <w:color w:val="231F20"/>
          <w:spacing w:val="-12"/>
          <w:w w:val="105"/>
        </w:rPr>
        <w:t> </w:t>
      </w:r>
      <w:r>
        <w:rPr>
          <w:color w:val="231F20"/>
          <w:w w:val="105"/>
        </w:rPr>
        <w:t>busca</w:t>
      </w:r>
      <w:r>
        <w:rPr>
          <w:color w:val="231F20"/>
          <w:spacing w:val="-12"/>
          <w:w w:val="105"/>
        </w:rPr>
        <w:t> </w:t>
      </w:r>
      <w:r>
        <w:rPr>
          <w:color w:val="231F20"/>
          <w:w w:val="105"/>
        </w:rPr>
        <w:t>una</w:t>
      </w:r>
      <w:r>
        <w:rPr>
          <w:color w:val="231F20"/>
          <w:spacing w:val="-12"/>
          <w:w w:val="105"/>
        </w:rPr>
        <w:t> </w:t>
      </w:r>
      <w:r>
        <w:rPr>
          <w:color w:val="231F20"/>
          <w:w w:val="105"/>
        </w:rPr>
        <w:t>explicación</w:t>
      </w:r>
      <w:r>
        <w:rPr>
          <w:color w:val="231F20"/>
          <w:spacing w:val="-12"/>
          <w:w w:val="105"/>
        </w:rPr>
        <w:t> </w:t>
      </w:r>
      <w:r>
        <w:rPr>
          <w:color w:val="231F20"/>
          <w:w w:val="105"/>
        </w:rPr>
        <w:t>de</w:t>
      </w:r>
      <w:r>
        <w:rPr>
          <w:color w:val="231F20"/>
          <w:spacing w:val="-12"/>
          <w:w w:val="105"/>
        </w:rPr>
        <w:t> </w:t>
      </w:r>
      <w:r>
        <w:rPr>
          <w:color w:val="231F20"/>
          <w:w w:val="105"/>
        </w:rPr>
        <w:t>porqué</w:t>
      </w:r>
      <w:r>
        <w:rPr>
          <w:color w:val="231F20"/>
          <w:spacing w:val="-12"/>
          <w:w w:val="105"/>
        </w:rPr>
        <w:t> </w:t>
      </w:r>
      <w:r>
        <w:rPr>
          <w:color w:val="231F20"/>
          <w:w w:val="105"/>
        </w:rPr>
        <w:t>ha</w:t>
      </w:r>
      <w:r>
        <w:rPr>
          <w:color w:val="231F20"/>
          <w:spacing w:val="-12"/>
          <w:w w:val="105"/>
        </w:rPr>
        <w:t> </w:t>
      </w:r>
      <w:r>
        <w:rPr>
          <w:color w:val="231F20"/>
          <w:w w:val="105"/>
        </w:rPr>
        <w:t>existido</w:t>
      </w:r>
      <w:r>
        <w:rPr>
          <w:color w:val="231F20"/>
          <w:spacing w:val="-12"/>
          <w:w w:val="105"/>
        </w:rPr>
        <w:t> </w:t>
      </w:r>
      <w:r>
        <w:rPr>
          <w:color w:val="231F20"/>
          <w:w w:val="105"/>
        </w:rPr>
        <w:t>una</w:t>
      </w:r>
      <w:r>
        <w:rPr>
          <w:color w:val="231F20"/>
          <w:spacing w:val="-12"/>
          <w:w w:val="105"/>
        </w:rPr>
        <w:t> </w:t>
      </w:r>
      <w:r>
        <w:rPr>
          <w:color w:val="231F20"/>
          <w:w w:val="105"/>
        </w:rPr>
        <w:t>divergencia</w:t>
      </w:r>
      <w:r>
        <w:rPr>
          <w:color w:val="231F20"/>
          <w:spacing w:val="-12"/>
          <w:w w:val="105"/>
        </w:rPr>
        <w:t> </w:t>
      </w:r>
      <w:r>
        <w:rPr>
          <w:color w:val="231F20"/>
          <w:w w:val="105"/>
        </w:rPr>
        <w:t>en- tre</w:t>
      </w:r>
      <w:r>
        <w:rPr>
          <w:color w:val="231F20"/>
          <w:spacing w:val="-19"/>
          <w:w w:val="105"/>
        </w:rPr>
        <w:t> </w:t>
      </w:r>
      <w:r>
        <w:rPr>
          <w:color w:val="231F20"/>
          <w:w w:val="105"/>
        </w:rPr>
        <w:t>los</w:t>
      </w:r>
      <w:r>
        <w:rPr>
          <w:color w:val="231F20"/>
          <w:spacing w:val="-19"/>
          <w:w w:val="105"/>
        </w:rPr>
        <w:t> </w:t>
      </w:r>
      <w:r>
        <w:rPr>
          <w:color w:val="231F20"/>
          <w:w w:val="105"/>
        </w:rPr>
        <w:t>países</w:t>
      </w:r>
      <w:r>
        <w:rPr>
          <w:color w:val="231F20"/>
          <w:spacing w:val="-19"/>
          <w:w w:val="105"/>
        </w:rPr>
        <w:t> </w:t>
      </w:r>
      <w:r>
        <w:rPr>
          <w:color w:val="231F20"/>
          <w:w w:val="105"/>
        </w:rPr>
        <w:t>ricos</w:t>
      </w:r>
      <w:r>
        <w:rPr>
          <w:color w:val="231F20"/>
          <w:spacing w:val="-19"/>
          <w:w w:val="105"/>
        </w:rPr>
        <w:t> </w:t>
      </w:r>
      <w:r>
        <w:rPr>
          <w:color w:val="231F20"/>
          <w:w w:val="105"/>
        </w:rPr>
        <w:t>y</w:t>
      </w:r>
      <w:r>
        <w:rPr>
          <w:color w:val="231F20"/>
          <w:spacing w:val="-19"/>
          <w:w w:val="105"/>
        </w:rPr>
        <w:t> </w:t>
      </w:r>
      <w:r>
        <w:rPr>
          <w:color w:val="231F20"/>
          <w:w w:val="105"/>
        </w:rPr>
        <w:t>pobres</w:t>
      </w:r>
      <w:r>
        <w:rPr>
          <w:color w:val="231F20"/>
          <w:spacing w:val="-19"/>
          <w:w w:val="105"/>
        </w:rPr>
        <w:t> </w:t>
      </w:r>
      <w:r>
        <w:rPr>
          <w:color w:val="231F20"/>
          <w:w w:val="105"/>
        </w:rPr>
        <w:t>a</w:t>
      </w:r>
      <w:r>
        <w:rPr>
          <w:color w:val="231F20"/>
          <w:spacing w:val="-19"/>
          <w:w w:val="105"/>
        </w:rPr>
        <w:t> </w:t>
      </w:r>
      <w:r>
        <w:rPr>
          <w:color w:val="231F20"/>
          <w:w w:val="105"/>
        </w:rPr>
        <w:t>nivel</w:t>
      </w:r>
      <w:r>
        <w:rPr>
          <w:color w:val="231F20"/>
          <w:spacing w:val="-19"/>
          <w:w w:val="105"/>
        </w:rPr>
        <w:t> </w:t>
      </w:r>
      <w:r>
        <w:rPr>
          <w:color w:val="231F20"/>
          <w:w w:val="105"/>
        </w:rPr>
        <w:t>mundial.</w:t>
      </w:r>
    </w:p>
    <w:p>
      <w:pPr>
        <w:pStyle w:val="BodyText"/>
        <w:spacing w:line="259" w:lineRule="auto"/>
        <w:ind w:left="103" w:right="108" w:firstLine="567"/>
        <w:jc w:val="both"/>
      </w:pPr>
      <w:r>
        <w:rPr>
          <w:color w:val="231F20"/>
          <w:w w:val="105"/>
        </w:rPr>
        <w:t>El interés de las teorías del crecimiento endógenas se centra en la naturaleza y el papel del conocimiento en el proceso del crecimiento (Grossman</w:t>
      </w:r>
      <w:r>
        <w:rPr>
          <w:color w:val="231F20"/>
          <w:spacing w:val="-33"/>
          <w:w w:val="105"/>
        </w:rPr>
        <w:t> </w:t>
      </w:r>
      <w:r>
        <w:rPr>
          <w:color w:val="231F20"/>
          <w:w w:val="105"/>
        </w:rPr>
        <w:t>y</w:t>
      </w:r>
      <w:r>
        <w:rPr>
          <w:color w:val="231F20"/>
          <w:spacing w:val="-33"/>
          <w:w w:val="105"/>
        </w:rPr>
        <w:t> </w:t>
      </w:r>
      <w:r>
        <w:rPr>
          <w:color w:val="231F20"/>
          <w:w w:val="105"/>
        </w:rPr>
        <w:t>Helpman,</w:t>
      </w:r>
      <w:r>
        <w:rPr>
          <w:color w:val="231F20"/>
          <w:spacing w:val="-37"/>
          <w:w w:val="105"/>
        </w:rPr>
        <w:t> </w:t>
      </w:r>
      <w:r>
        <w:rPr>
          <w:color w:val="231F20"/>
          <w:w w:val="105"/>
        </w:rPr>
        <w:t>1990</w:t>
      </w:r>
      <w:r>
        <w:rPr>
          <w:color w:val="231F20"/>
          <w:spacing w:val="-33"/>
          <w:w w:val="105"/>
        </w:rPr>
        <w:t> </w:t>
      </w:r>
      <w:r>
        <w:rPr>
          <w:color w:val="231F20"/>
          <w:w w:val="105"/>
        </w:rPr>
        <w:t>y</w:t>
      </w:r>
      <w:r>
        <w:rPr>
          <w:color w:val="231F20"/>
          <w:spacing w:val="-33"/>
          <w:w w:val="105"/>
        </w:rPr>
        <w:t> </w:t>
      </w:r>
      <w:r>
        <w:rPr>
          <w:color w:val="231F20"/>
          <w:w w:val="105"/>
        </w:rPr>
        <w:t>1994).</w:t>
      </w:r>
      <w:r>
        <w:rPr>
          <w:color w:val="231F20"/>
          <w:spacing w:val="-37"/>
          <w:w w:val="105"/>
        </w:rPr>
        <w:t> </w:t>
      </w:r>
      <w:r>
        <w:rPr>
          <w:color w:val="231F20"/>
          <w:w w:val="105"/>
        </w:rPr>
        <w:t>Los</w:t>
      </w:r>
      <w:r>
        <w:rPr>
          <w:color w:val="231F20"/>
          <w:spacing w:val="-33"/>
          <w:w w:val="105"/>
        </w:rPr>
        <w:t> </w:t>
      </w:r>
      <w:r>
        <w:rPr>
          <w:color w:val="231F20"/>
          <w:w w:val="105"/>
        </w:rPr>
        <w:t>agentes</w:t>
      </w:r>
      <w:r>
        <w:rPr>
          <w:color w:val="231F20"/>
          <w:spacing w:val="-33"/>
          <w:w w:val="105"/>
        </w:rPr>
        <w:t> </w:t>
      </w:r>
      <w:r>
        <w:rPr>
          <w:color w:val="231F20"/>
          <w:w w:val="105"/>
        </w:rPr>
        <w:t>invierten</w:t>
      </w:r>
      <w:r>
        <w:rPr>
          <w:color w:val="231F20"/>
          <w:spacing w:val="-33"/>
          <w:w w:val="105"/>
        </w:rPr>
        <w:t> </w:t>
      </w:r>
      <w:r>
        <w:rPr>
          <w:color w:val="231F20"/>
          <w:w w:val="105"/>
        </w:rPr>
        <w:t>recursos</w:t>
      </w:r>
      <w:r>
        <w:rPr>
          <w:color w:val="231F20"/>
          <w:spacing w:val="-33"/>
          <w:w w:val="105"/>
        </w:rPr>
        <w:t> </w:t>
      </w:r>
      <w:r>
        <w:rPr>
          <w:color w:val="231F20"/>
          <w:w w:val="105"/>
        </w:rPr>
        <w:t>en</w:t>
      </w:r>
      <w:r>
        <w:rPr>
          <w:color w:val="231F20"/>
          <w:spacing w:val="-33"/>
          <w:w w:val="105"/>
        </w:rPr>
        <w:t> </w:t>
      </w:r>
      <w:r>
        <w:rPr>
          <w:color w:val="231F20"/>
          <w:w w:val="105"/>
        </w:rPr>
        <w:t>la investigación</w:t>
      </w:r>
      <w:r>
        <w:rPr>
          <w:color w:val="231F20"/>
          <w:spacing w:val="-20"/>
          <w:w w:val="105"/>
        </w:rPr>
        <w:t> </w:t>
      </w:r>
      <w:r>
        <w:rPr>
          <w:color w:val="231F20"/>
          <w:w w:val="105"/>
        </w:rPr>
        <w:t>y</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desarrollo,</w:t>
      </w:r>
      <w:r>
        <w:rPr>
          <w:color w:val="231F20"/>
          <w:spacing w:val="-25"/>
          <w:w w:val="105"/>
        </w:rPr>
        <w:t> </w:t>
      </w:r>
      <w:r>
        <w:rPr>
          <w:color w:val="231F20"/>
          <w:w w:val="105"/>
        </w:rPr>
        <w:t>donde</w:t>
      </w:r>
      <w:r>
        <w:rPr>
          <w:color w:val="231F20"/>
          <w:spacing w:val="-20"/>
          <w:w w:val="105"/>
        </w:rPr>
        <w:t> </w:t>
      </w:r>
      <w:r>
        <w:rPr>
          <w:color w:val="231F20"/>
          <w:w w:val="105"/>
        </w:rPr>
        <w:t>de</w:t>
      </w:r>
      <w:r>
        <w:rPr>
          <w:color w:val="231F20"/>
          <w:spacing w:val="-20"/>
          <w:w w:val="105"/>
        </w:rPr>
        <w:t> </w:t>
      </w:r>
      <w:r>
        <w:rPr>
          <w:color w:val="231F20"/>
          <w:w w:val="105"/>
        </w:rPr>
        <w:t>una</w:t>
      </w:r>
      <w:r>
        <w:rPr>
          <w:color w:val="231F20"/>
          <w:spacing w:val="-20"/>
          <w:w w:val="105"/>
        </w:rPr>
        <w:t> </w:t>
      </w:r>
      <w:r>
        <w:rPr>
          <w:color w:val="231F20"/>
          <w:w w:val="105"/>
        </w:rPr>
        <w:t>máquina</w:t>
      </w:r>
      <w:r>
        <w:rPr>
          <w:color w:val="231F20"/>
          <w:spacing w:val="-20"/>
          <w:w w:val="105"/>
        </w:rPr>
        <w:t> </w:t>
      </w:r>
      <w:r>
        <w:rPr>
          <w:color w:val="231F20"/>
          <w:w w:val="105"/>
        </w:rPr>
        <w:t>no</w:t>
      </w:r>
      <w:r>
        <w:rPr>
          <w:color w:val="231F20"/>
          <w:spacing w:val="-20"/>
          <w:w w:val="105"/>
        </w:rPr>
        <w:t> </w:t>
      </w:r>
      <w:r>
        <w:rPr>
          <w:color w:val="231F20"/>
          <w:w w:val="105"/>
        </w:rPr>
        <w:t>sale</w:t>
      </w:r>
      <w:r>
        <w:rPr>
          <w:color w:val="231F20"/>
          <w:spacing w:val="-20"/>
          <w:w w:val="105"/>
        </w:rPr>
        <w:t> </w:t>
      </w:r>
      <w:r>
        <w:rPr>
          <w:color w:val="231F20"/>
          <w:w w:val="105"/>
        </w:rPr>
        <w:t>solamen- te la producción, sino nuevos conocimientos tecnológicos. Al respecto, Arrow (1962) sostiene que el conocimiento tiene ciertas características peculiares,</w:t>
      </w:r>
      <w:r>
        <w:rPr>
          <w:color w:val="231F20"/>
          <w:spacing w:val="-24"/>
          <w:w w:val="105"/>
        </w:rPr>
        <w:t> </w:t>
      </w:r>
      <w:r>
        <w:rPr>
          <w:color w:val="231F20"/>
          <w:w w:val="105"/>
        </w:rPr>
        <w:t>como</w:t>
      </w:r>
      <w:r>
        <w:rPr>
          <w:color w:val="231F20"/>
          <w:spacing w:val="-19"/>
          <w:w w:val="105"/>
        </w:rPr>
        <w:t> </w:t>
      </w:r>
      <w:r>
        <w:rPr>
          <w:color w:val="231F20"/>
          <w:w w:val="105"/>
        </w:rPr>
        <w:t>el</w:t>
      </w:r>
      <w:r>
        <w:rPr>
          <w:color w:val="231F20"/>
          <w:spacing w:val="-19"/>
          <w:w w:val="105"/>
        </w:rPr>
        <w:t> </w:t>
      </w:r>
      <w:r>
        <w:rPr>
          <w:color w:val="231F20"/>
          <w:w w:val="105"/>
        </w:rPr>
        <w:t>derrame</w:t>
      </w:r>
      <w:r>
        <w:rPr>
          <w:color w:val="231F20"/>
          <w:spacing w:val="-19"/>
          <w:w w:val="105"/>
        </w:rPr>
        <w:t> </w:t>
      </w:r>
      <w:r>
        <w:rPr>
          <w:color w:val="231F20"/>
          <w:w w:val="105"/>
        </w:rPr>
        <w:t>(</w:t>
      </w:r>
      <w:r>
        <w:rPr>
          <w:i/>
          <w:color w:val="231F20"/>
          <w:w w:val="105"/>
        </w:rPr>
        <w:t>spillovers</w:t>
      </w:r>
      <w:r>
        <w:rPr>
          <w:color w:val="231F20"/>
          <w:w w:val="105"/>
        </w:rPr>
        <w:t>)</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manos</w:t>
      </w:r>
      <w:r>
        <w:rPr>
          <w:color w:val="231F20"/>
          <w:spacing w:val="-19"/>
          <w:w w:val="105"/>
        </w:rPr>
        <w:t> </w:t>
      </w:r>
      <w:r>
        <w:rPr>
          <w:color w:val="231F20"/>
          <w:w w:val="105"/>
        </w:rPr>
        <w:t>de</w:t>
      </w:r>
      <w:r>
        <w:rPr>
          <w:color w:val="231F20"/>
          <w:spacing w:val="-19"/>
          <w:w w:val="105"/>
        </w:rPr>
        <w:t> </w:t>
      </w:r>
      <w:r>
        <w:rPr>
          <w:color w:val="231F20"/>
          <w:w w:val="105"/>
        </w:rPr>
        <w:t>otras</w:t>
      </w:r>
      <w:r>
        <w:rPr>
          <w:color w:val="231F20"/>
          <w:spacing w:val="-19"/>
          <w:w w:val="105"/>
        </w:rPr>
        <w:t> </w:t>
      </w:r>
      <w:r>
        <w:rPr>
          <w:color w:val="231F20"/>
          <w:w w:val="105"/>
        </w:rPr>
        <w:t>personas con</w:t>
      </w:r>
      <w:r>
        <w:rPr>
          <w:color w:val="231F20"/>
          <w:spacing w:val="-6"/>
          <w:w w:val="105"/>
        </w:rPr>
        <w:t> </w:t>
      </w:r>
      <w:r>
        <w:rPr>
          <w:color w:val="231F20"/>
          <w:w w:val="105"/>
        </w:rPr>
        <w:t>un</w:t>
      </w:r>
      <w:r>
        <w:rPr>
          <w:color w:val="231F20"/>
          <w:spacing w:val="-6"/>
          <w:w w:val="105"/>
        </w:rPr>
        <w:t> </w:t>
      </w:r>
      <w:r>
        <w:rPr>
          <w:color w:val="231F20"/>
          <w:w w:val="105"/>
        </w:rPr>
        <w:t>costo</w:t>
      </w:r>
      <w:r>
        <w:rPr>
          <w:color w:val="231F20"/>
          <w:spacing w:val="-6"/>
          <w:w w:val="105"/>
        </w:rPr>
        <w:t> </w:t>
      </w:r>
      <w:r>
        <w:rPr>
          <w:color w:val="231F20"/>
          <w:w w:val="105"/>
        </w:rPr>
        <w:t>marginal</w:t>
      </w:r>
      <w:r>
        <w:rPr>
          <w:color w:val="231F20"/>
          <w:spacing w:val="-6"/>
          <w:w w:val="105"/>
        </w:rPr>
        <w:t> </w:t>
      </w:r>
      <w:r>
        <w:rPr>
          <w:color w:val="231F20"/>
          <w:w w:val="105"/>
        </w:rPr>
        <w:t>cercano</w:t>
      </w:r>
      <w:r>
        <w:rPr>
          <w:color w:val="231F20"/>
          <w:spacing w:val="-6"/>
          <w:w w:val="105"/>
        </w:rPr>
        <w:t> </w:t>
      </w:r>
      <w:r>
        <w:rPr>
          <w:color w:val="231F20"/>
          <w:w w:val="105"/>
        </w:rPr>
        <w:t>a</w:t>
      </w:r>
      <w:r>
        <w:rPr>
          <w:color w:val="231F20"/>
          <w:spacing w:val="-6"/>
          <w:w w:val="105"/>
        </w:rPr>
        <w:t> </w:t>
      </w:r>
      <w:r>
        <w:rPr>
          <w:color w:val="231F20"/>
          <w:w w:val="105"/>
        </w:rPr>
        <w:t>cero</w:t>
      </w:r>
      <w:r>
        <w:rPr>
          <w:color w:val="231F20"/>
          <w:w w:val="105"/>
          <w:position w:val="7"/>
          <w:sz w:val="12"/>
        </w:rPr>
        <w:t>3</w:t>
      </w:r>
      <w:r>
        <w:rPr>
          <w:color w:val="231F20"/>
          <w:w w:val="105"/>
        </w:rPr>
        <w:t>.</w:t>
      </w:r>
      <w:r>
        <w:rPr>
          <w:color w:val="231F20"/>
          <w:spacing w:val="-11"/>
          <w:w w:val="105"/>
        </w:rPr>
        <w:t> </w:t>
      </w:r>
      <w:r>
        <w:rPr>
          <w:color w:val="231F20"/>
          <w:w w:val="105"/>
        </w:rPr>
        <w:t>Este</w:t>
      </w:r>
      <w:r>
        <w:rPr>
          <w:color w:val="231F20"/>
          <w:spacing w:val="-6"/>
          <w:w w:val="105"/>
        </w:rPr>
        <w:t> </w:t>
      </w:r>
      <w:r>
        <w:rPr>
          <w:color w:val="231F20"/>
          <w:w w:val="105"/>
        </w:rPr>
        <w:t>proceso</w:t>
      </w:r>
      <w:r>
        <w:rPr>
          <w:color w:val="231F20"/>
          <w:spacing w:val="-6"/>
          <w:w w:val="105"/>
        </w:rPr>
        <w:t> </w:t>
      </w:r>
      <w:r>
        <w:rPr>
          <w:color w:val="231F20"/>
          <w:w w:val="105"/>
        </w:rPr>
        <w:t>de</w:t>
      </w:r>
      <w:r>
        <w:rPr>
          <w:color w:val="231F20"/>
          <w:spacing w:val="-6"/>
          <w:w w:val="105"/>
        </w:rPr>
        <w:t> </w:t>
      </w:r>
      <w:r>
        <w:rPr>
          <w:i/>
          <w:color w:val="231F20"/>
          <w:w w:val="105"/>
        </w:rPr>
        <w:t>spillovers</w:t>
      </w:r>
      <w:r>
        <w:rPr>
          <w:i/>
          <w:color w:val="231F20"/>
          <w:spacing w:val="-6"/>
          <w:w w:val="105"/>
        </w:rPr>
        <w:t> </w:t>
      </w:r>
      <w:r>
        <w:rPr>
          <w:color w:val="231F20"/>
          <w:w w:val="105"/>
        </w:rPr>
        <w:t>en</w:t>
      </w:r>
      <w:r>
        <w:rPr>
          <w:color w:val="231F20"/>
          <w:spacing w:val="-6"/>
          <w:w w:val="105"/>
        </w:rPr>
        <w:t> </w:t>
      </w:r>
      <w:r>
        <w:rPr>
          <w:color w:val="231F20"/>
          <w:w w:val="105"/>
        </w:rPr>
        <w:t>la economía</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3"/>
          <w:w w:val="105"/>
        </w:rPr>
        <w:t> </w:t>
      </w:r>
      <w:r>
        <w:rPr>
          <w:color w:val="231F20"/>
          <w:w w:val="105"/>
        </w:rPr>
        <w:t>fuente</w:t>
      </w:r>
      <w:r>
        <w:rPr>
          <w:color w:val="231F20"/>
          <w:spacing w:val="-13"/>
          <w:w w:val="105"/>
        </w:rPr>
        <w:t> </w:t>
      </w:r>
      <w:r>
        <w:rPr>
          <w:color w:val="231F20"/>
          <w:w w:val="105"/>
        </w:rPr>
        <w:t>que</w:t>
      </w:r>
      <w:r>
        <w:rPr>
          <w:color w:val="231F20"/>
          <w:spacing w:val="-13"/>
          <w:w w:val="105"/>
        </w:rPr>
        <w:t> </w:t>
      </w:r>
      <w:r>
        <w:rPr>
          <w:color w:val="231F20"/>
          <w:w w:val="105"/>
        </w:rPr>
        <w:t>genera</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económico</w:t>
      </w:r>
      <w:r>
        <w:rPr>
          <w:color w:val="231F20"/>
          <w:spacing w:val="-13"/>
          <w:w w:val="105"/>
        </w:rPr>
        <w:t> </w:t>
      </w:r>
      <w:r>
        <w:rPr>
          <w:color w:val="231F20"/>
          <w:w w:val="105"/>
        </w:rPr>
        <w:t>regional.</w:t>
      </w:r>
    </w:p>
    <w:p>
      <w:pPr>
        <w:pStyle w:val="BodyText"/>
        <w:spacing w:line="259" w:lineRule="auto"/>
        <w:ind w:left="103" w:right="108" w:firstLine="567"/>
        <w:jc w:val="both"/>
      </w:pPr>
      <w:r>
        <w:rPr>
          <w:color w:val="231F20"/>
          <w:w w:val="105"/>
        </w:rPr>
        <w:t>Como se mencionó anteriormente, los modelos de crecimiento exógeno</w:t>
      </w:r>
      <w:r>
        <w:rPr>
          <w:color w:val="231F20"/>
          <w:spacing w:val="-15"/>
          <w:w w:val="105"/>
        </w:rPr>
        <w:t> </w:t>
      </w:r>
      <w:r>
        <w:rPr>
          <w:color w:val="231F20"/>
          <w:w w:val="105"/>
        </w:rPr>
        <w:t>tienen</w:t>
      </w:r>
      <w:r>
        <w:rPr>
          <w:color w:val="231F20"/>
          <w:spacing w:val="-15"/>
          <w:w w:val="105"/>
        </w:rPr>
        <w:t> </w:t>
      </w:r>
      <w:r>
        <w:rPr>
          <w:color w:val="231F20"/>
          <w:w w:val="105"/>
        </w:rPr>
        <w:t>la</w:t>
      </w:r>
      <w:r>
        <w:rPr>
          <w:color w:val="231F20"/>
          <w:spacing w:val="-15"/>
          <w:w w:val="105"/>
        </w:rPr>
        <w:t> </w:t>
      </w:r>
      <w:r>
        <w:rPr>
          <w:color w:val="231F20"/>
          <w:w w:val="105"/>
        </w:rPr>
        <w:t>implicación</w:t>
      </w:r>
      <w:r>
        <w:rPr>
          <w:color w:val="231F20"/>
          <w:spacing w:val="-15"/>
          <w:w w:val="105"/>
        </w:rPr>
        <w:t> </w:t>
      </w:r>
      <w:r>
        <w:rPr>
          <w:color w:val="231F20"/>
          <w:w w:val="105"/>
        </w:rPr>
        <w:t>de</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cambios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políticas</w:t>
      </w:r>
      <w:r>
        <w:rPr>
          <w:color w:val="231F20"/>
          <w:spacing w:val="-15"/>
          <w:w w:val="105"/>
        </w:rPr>
        <w:t> </w:t>
      </w:r>
      <w:r>
        <w:rPr>
          <w:color w:val="231F20"/>
          <w:w w:val="105"/>
        </w:rPr>
        <w:t>guber- namentales,</w:t>
      </w:r>
      <w:r>
        <w:rPr>
          <w:color w:val="231F20"/>
          <w:spacing w:val="-18"/>
          <w:w w:val="105"/>
        </w:rPr>
        <w:t> </w:t>
      </w:r>
      <w:r>
        <w:rPr>
          <w:color w:val="231F20"/>
          <w:w w:val="105"/>
        </w:rPr>
        <w:t>como</w:t>
      </w:r>
      <w:r>
        <w:rPr>
          <w:color w:val="231F20"/>
          <w:spacing w:val="-14"/>
          <w:w w:val="105"/>
        </w:rPr>
        <w:t> </w:t>
      </w:r>
      <w:r>
        <w:rPr>
          <w:color w:val="231F20"/>
          <w:w w:val="105"/>
        </w:rPr>
        <w:t>subsidios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investigación</w:t>
      </w:r>
      <w:r>
        <w:rPr>
          <w:color w:val="231F20"/>
          <w:spacing w:val="-14"/>
          <w:w w:val="105"/>
        </w:rPr>
        <w:t> </w:t>
      </w:r>
      <w:r>
        <w:rPr>
          <w:color w:val="231F20"/>
          <w:w w:val="105"/>
        </w:rPr>
        <w:t>o</w:t>
      </w:r>
      <w:r>
        <w:rPr>
          <w:color w:val="231F20"/>
          <w:spacing w:val="-14"/>
          <w:w w:val="105"/>
        </w:rPr>
        <w:t> </w:t>
      </w:r>
      <w:r>
        <w:rPr>
          <w:color w:val="231F20"/>
          <w:w w:val="105"/>
        </w:rPr>
        <w:t>impuestos</w:t>
      </w:r>
      <w:r>
        <w:rPr>
          <w:color w:val="231F20"/>
          <w:spacing w:val="-14"/>
          <w:w w:val="105"/>
        </w:rPr>
        <w:t> </w:t>
      </w:r>
      <w:r>
        <w:rPr>
          <w:color w:val="231F20"/>
          <w:w w:val="105"/>
        </w:rPr>
        <w:t>sobre</w:t>
      </w:r>
      <w:r>
        <w:rPr>
          <w:color w:val="231F20"/>
          <w:spacing w:val="-14"/>
          <w:w w:val="105"/>
        </w:rPr>
        <w:t> </w:t>
      </w:r>
      <w:r>
        <w:rPr>
          <w:color w:val="231F20"/>
          <w:w w:val="105"/>
        </w:rPr>
        <w:t>las</w:t>
      </w:r>
      <w:r>
        <w:rPr>
          <w:color w:val="231F20"/>
          <w:spacing w:val="-14"/>
          <w:w w:val="105"/>
        </w:rPr>
        <w:t> </w:t>
      </w:r>
      <w:r>
        <w:rPr>
          <w:color w:val="231F20"/>
          <w:w w:val="105"/>
        </w:rPr>
        <w:t>in- </w:t>
      </w:r>
      <w:r>
        <w:rPr>
          <w:color w:val="231F20"/>
          <w:spacing w:val="-3"/>
          <w:w w:val="105"/>
        </w:rPr>
        <w:t>versiones,</w:t>
      </w:r>
      <w:r>
        <w:rPr>
          <w:color w:val="231F20"/>
          <w:spacing w:val="-27"/>
          <w:w w:val="105"/>
        </w:rPr>
        <w:t> </w:t>
      </w:r>
      <w:r>
        <w:rPr>
          <w:color w:val="231F20"/>
          <w:spacing w:val="-3"/>
          <w:w w:val="105"/>
        </w:rPr>
        <w:t>generan</w:t>
      </w:r>
      <w:r>
        <w:rPr>
          <w:color w:val="231F20"/>
          <w:spacing w:val="-22"/>
          <w:w w:val="105"/>
        </w:rPr>
        <w:t> </w:t>
      </w:r>
      <w:r>
        <w:rPr>
          <w:color w:val="231F20"/>
          <w:spacing w:val="-3"/>
          <w:w w:val="105"/>
        </w:rPr>
        <w:t>efectos</w:t>
      </w:r>
      <w:r>
        <w:rPr>
          <w:color w:val="231F20"/>
          <w:spacing w:val="-22"/>
          <w:w w:val="105"/>
        </w:rPr>
        <w:t> </w:t>
      </w:r>
      <w:r>
        <w:rPr>
          <w:color w:val="231F20"/>
          <w:w w:val="105"/>
        </w:rPr>
        <w:t>de</w:t>
      </w:r>
      <w:r>
        <w:rPr>
          <w:color w:val="231F20"/>
          <w:spacing w:val="-22"/>
          <w:w w:val="105"/>
        </w:rPr>
        <w:t> </w:t>
      </w:r>
      <w:r>
        <w:rPr>
          <w:color w:val="231F20"/>
          <w:spacing w:val="-3"/>
          <w:w w:val="105"/>
        </w:rPr>
        <w:t>nivel</w:t>
      </w:r>
      <w:r>
        <w:rPr>
          <w:color w:val="231F20"/>
          <w:spacing w:val="-22"/>
          <w:w w:val="105"/>
        </w:rPr>
        <w:t> </w:t>
      </w:r>
      <w:r>
        <w:rPr>
          <w:color w:val="231F20"/>
          <w:spacing w:val="-3"/>
          <w:w w:val="105"/>
        </w:rPr>
        <w:t>pero</w:t>
      </w:r>
      <w:r>
        <w:rPr>
          <w:color w:val="231F20"/>
          <w:spacing w:val="-22"/>
          <w:w w:val="105"/>
        </w:rPr>
        <w:t> </w:t>
      </w:r>
      <w:r>
        <w:rPr>
          <w:color w:val="231F20"/>
          <w:w w:val="105"/>
        </w:rPr>
        <w:t>no</w:t>
      </w:r>
      <w:r>
        <w:rPr>
          <w:color w:val="231F20"/>
          <w:spacing w:val="-22"/>
          <w:w w:val="105"/>
        </w:rPr>
        <w:t> </w:t>
      </w:r>
      <w:r>
        <w:rPr>
          <w:color w:val="231F20"/>
          <w:w w:val="105"/>
        </w:rPr>
        <w:t>de</w:t>
      </w:r>
      <w:r>
        <w:rPr>
          <w:color w:val="231F20"/>
          <w:spacing w:val="-22"/>
          <w:w w:val="105"/>
        </w:rPr>
        <w:t> </w:t>
      </w:r>
      <w:r>
        <w:rPr>
          <w:color w:val="231F20"/>
          <w:spacing w:val="-3"/>
          <w:w w:val="105"/>
        </w:rPr>
        <w:t>crecimiento</w:t>
      </w:r>
      <w:r>
        <w:rPr>
          <w:color w:val="231F20"/>
          <w:spacing w:val="-22"/>
          <w:w w:val="105"/>
        </w:rPr>
        <w:t> </w:t>
      </w:r>
      <w:r>
        <w:rPr>
          <w:color w:val="231F20"/>
          <w:w w:val="105"/>
        </w:rPr>
        <w:t>de</w:t>
      </w:r>
      <w:r>
        <w:rPr>
          <w:color w:val="231F20"/>
          <w:spacing w:val="-22"/>
          <w:w w:val="105"/>
        </w:rPr>
        <w:t> </w:t>
      </w:r>
      <w:r>
        <w:rPr>
          <w:color w:val="231F20"/>
          <w:spacing w:val="-3"/>
          <w:w w:val="105"/>
        </w:rPr>
        <w:t>largo</w:t>
      </w:r>
      <w:r>
        <w:rPr>
          <w:color w:val="231F20"/>
          <w:spacing w:val="-22"/>
          <w:w w:val="105"/>
        </w:rPr>
        <w:t> </w:t>
      </w:r>
      <w:r>
        <w:rPr>
          <w:color w:val="231F20"/>
          <w:spacing w:val="-3"/>
          <w:w w:val="105"/>
        </w:rPr>
        <w:t>plazo. </w:t>
      </w:r>
      <w:r>
        <w:rPr>
          <w:color w:val="231F20"/>
          <w:w w:val="105"/>
        </w:rPr>
        <w:t>Es</w:t>
      </w:r>
      <w:r>
        <w:rPr>
          <w:color w:val="231F20"/>
          <w:spacing w:val="-14"/>
          <w:w w:val="105"/>
        </w:rPr>
        <w:t> </w:t>
      </w:r>
      <w:r>
        <w:rPr>
          <w:color w:val="231F20"/>
          <w:w w:val="105"/>
        </w:rPr>
        <w:t>decir,</w:t>
      </w:r>
      <w:r>
        <w:rPr>
          <w:color w:val="231F20"/>
          <w:spacing w:val="-20"/>
          <w:w w:val="105"/>
        </w:rPr>
        <w:t> </w:t>
      </w:r>
      <w:r>
        <w:rPr>
          <w:color w:val="231F20"/>
          <w:w w:val="105"/>
        </w:rPr>
        <w:t>estas</w:t>
      </w:r>
      <w:r>
        <w:rPr>
          <w:color w:val="231F20"/>
          <w:spacing w:val="-14"/>
          <w:w w:val="105"/>
        </w:rPr>
        <w:t> </w:t>
      </w:r>
      <w:r>
        <w:rPr>
          <w:color w:val="231F20"/>
          <w:w w:val="105"/>
        </w:rPr>
        <w:t>políticas</w:t>
      </w:r>
      <w:r>
        <w:rPr>
          <w:color w:val="231F20"/>
          <w:spacing w:val="-14"/>
          <w:w w:val="105"/>
        </w:rPr>
        <w:t> </w:t>
      </w:r>
      <w:r>
        <w:rPr>
          <w:color w:val="231F20"/>
          <w:w w:val="105"/>
        </w:rPr>
        <w:t>elevan</w:t>
      </w:r>
      <w:r>
        <w:rPr>
          <w:color w:val="231F20"/>
          <w:spacing w:val="-14"/>
          <w:w w:val="105"/>
        </w:rPr>
        <w:t> </w:t>
      </w:r>
      <w:r>
        <w:rPr>
          <w:color w:val="231F20"/>
          <w:w w:val="105"/>
        </w:rPr>
        <w:t>temporalmente</w:t>
      </w:r>
      <w:r>
        <w:rPr>
          <w:color w:val="231F20"/>
          <w:spacing w:val="-14"/>
          <w:w w:val="105"/>
        </w:rPr>
        <w:t> </w:t>
      </w:r>
      <w:r>
        <w:rPr>
          <w:color w:val="231F20"/>
          <w:w w:val="105"/>
        </w:rPr>
        <w:t>la</w:t>
      </w:r>
      <w:r>
        <w:rPr>
          <w:color w:val="231F20"/>
          <w:spacing w:val="-14"/>
          <w:w w:val="105"/>
        </w:rPr>
        <w:t> </w:t>
      </w:r>
      <w:r>
        <w:rPr>
          <w:color w:val="231F20"/>
          <w:w w:val="105"/>
        </w:rPr>
        <w:t>tasa</w:t>
      </w:r>
      <w:r>
        <w:rPr>
          <w:color w:val="231F20"/>
          <w:spacing w:val="-14"/>
          <w:w w:val="105"/>
        </w:rPr>
        <w:t> </w:t>
      </w:r>
      <w:r>
        <w:rPr>
          <w:color w:val="231F20"/>
          <w:w w:val="105"/>
        </w:rPr>
        <w:t>de</w:t>
      </w:r>
      <w:r>
        <w:rPr>
          <w:color w:val="231F20"/>
          <w:spacing w:val="-14"/>
          <w:w w:val="105"/>
        </w:rPr>
        <w:t> </w:t>
      </w:r>
      <w:r>
        <w:rPr>
          <w:color w:val="231F20"/>
          <w:w w:val="105"/>
        </w:rPr>
        <w:t>crecimiento:</w:t>
      </w:r>
      <w:r>
        <w:rPr>
          <w:color w:val="231F20"/>
          <w:spacing w:val="-14"/>
          <w:w w:val="105"/>
        </w:rPr>
        <w:t> </w:t>
      </w:r>
      <w:r>
        <w:rPr>
          <w:color w:val="231F20"/>
          <w:w w:val="105"/>
        </w:rPr>
        <w:t>la economía crece a un nivel más alto de la ruta de crecimiento equilibra- do, pero a largo plazo la tasa de crecimiento regresa a su nivel inicial. Originalmente se usó el término “crecimiento endógeno” para referirse a</w:t>
      </w:r>
      <w:r>
        <w:rPr>
          <w:color w:val="231F20"/>
          <w:spacing w:val="-6"/>
          <w:w w:val="105"/>
        </w:rPr>
        <w:t> </w:t>
      </w:r>
      <w:r>
        <w:rPr>
          <w:color w:val="231F20"/>
          <w:w w:val="105"/>
        </w:rPr>
        <w:t>modelos</w:t>
      </w:r>
      <w:r>
        <w:rPr>
          <w:color w:val="231F20"/>
          <w:spacing w:val="-6"/>
          <w:w w:val="105"/>
        </w:rPr>
        <w:t> </w:t>
      </w:r>
      <w:r>
        <w:rPr>
          <w:color w:val="231F20"/>
          <w:w w:val="105"/>
        </w:rPr>
        <w:t>donde</w:t>
      </w:r>
      <w:r>
        <w:rPr>
          <w:color w:val="231F20"/>
          <w:spacing w:val="-6"/>
          <w:w w:val="105"/>
        </w:rPr>
        <w:t> </w:t>
      </w:r>
      <w:r>
        <w:rPr>
          <w:color w:val="231F20"/>
          <w:w w:val="105"/>
        </w:rPr>
        <w:t>los</w:t>
      </w:r>
      <w:r>
        <w:rPr>
          <w:color w:val="231F20"/>
          <w:spacing w:val="-6"/>
          <w:w w:val="105"/>
        </w:rPr>
        <w:t> </w:t>
      </w:r>
      <w:r>
        <w:rPr>
          <w:color w:val="231F20"/>
          <w:w w:val="105"/>
        </w:rPr>
        <w:t>cambios</w:t>
      </w:r>
      <w:r>
        <w:rPr>
          <w:color w:val="231F20"/>
          <w:spacing w:val="-6"/>
          <w:w w:val="105"/>
        </w:rPr>
        <w:t> </w:t>
      </w:r>
      <w:r>
        <w:rPr>
          <w:color w:val="231F20"/>
          <w:w w:val="105"/>
        </w:rPr>
        <w:t>de</w:t>
      </w:r>
      <w:r>
        <w:rPr>
          <w:color w:val="231F20"/>
          <w:spacing w:val="-6"/>
          <w:w w:val="105"/>
        </w:rPr>
        <w:t> </w:t>
      </w:r>
      <w:r>
        <w:rPr>
          <w:color w:val="231F20"/>
          <w:w w:val="105"/>
        </w:rPr>
        <w:t>esas</w:t>
      </w:r>
      <w:r>
        <w:rPr>
          <w:color w:val="231F20"/>
          <w:spacing w:val="-6"/>
          <w:w w:val="105"/>
        </w:rPr>
        <w:t> </w:t>
      </w:r>
      <w:r>
        <w:rPr>
          <w:color w:val="231F20"/>
          <w:w w:val="105"/>
        </w:rPr>
        <w:t>políticas</w:t>
      </w:r>
      <w:r>
        <w:rPr>
          <w:color w:val="231F20"/>
          <w:spacing w:val="-6"/>
          <w:w w:val="105"/>
        </w:rPr>
        <w:t> </w:t>
      </w:r>
      <w:r>
        <w:rPr>
          <w:color w:val="231F20"/>
          <w:w w:val="105"/>
        </w:rPr>
        <w:t>pudieran</w:t>
      </w:r>
      <w:r>
        <w:rPr>
          <w:color w:val="231F20"/>
          <w:spacing w:val="-6"/>
          <w:w w:val="105"/>
        </w:rPr>
        <w:t> </w:t>
      </w:r>
      <w:r>
        <w:rPr>
          <w:color w:val="231F20"/>
          <w:w w:val="105"/>
        </w:rPr>
        <w:t>influir</w:t>
      </w:r>
      <w:r>
        <w:rPr>
          <w:color w:val="231F20"/>
          <w:spacing w:val="-6"/>
          <w:w w:val="105"/>
        </w:rPr>
        <w:t> </w:t>
      </w:r>
      <w:r>
        <w:rPr>
          <w:color w:val="231F20"/>
          <w:w w:val="105"/>
        </w:rPr>
        <w:t>sobre</w:t>
      </w:r>
      <w:r>
        <w:rPr>
          <w:color w:val="231F20"/>
          <w:spacing w:val="-6"/>
          <w:w w:val="105"/>
        </w:rPr>
        <w:t> </w:t>
      </w:r>
      <w:r>
        <w:rPr>
          <w:color w:val="231F20"/>
          <w:w w:val="105"/>
        </w:rPr>
        <w:t>la tasa</w:t>
      </w:r>
      <w:r>
        <w:rPr>
          <w:color w:val="231F20"/>
          <w:spacing w:val="-23"/>
          <w:w w:val="105"/>
        </w:rPr>
        <w:t> </w:t>
      </w:r>
      <w:r>
        <w:rPr>
          <w:color w:val="231F20"/>
          <w:w w:val="105"/>
        </w:rPr>
        <w:t>de</w:t>
      </w:r>
      <w:r>
        <w:rPr>
          <w:color w:val="231F20"/>
          <w:spacing w:val="-23"/>
          <w:w w:val="105"/>
        </w:rPr>
        <w:t> </w:t>
      </w:r>
      <w:r>
        <w:rPr>
          <w:color w:val="231F20"/>
          <w:w w:val="105"/>
        </w:rPr>
        <w:t>crecimiento</w:t>
      </w:r>
      <w:r>
        <w:rPr>
          <w:color w:val="231F20"/>
          <w:spacing w:val="-23"/>
          <w:w w:val="105"/>
        </w:rPr>
        <w:t> </w:t>
      </w:r>
      <w:r>
        <w:rPr>
          <w:color w:val="231F20"/>
          <w:w w:val="105"/>
        </w:rPr>
        <w:t>en</w:t>
      </w:r>
      <w:r>
        <w:rPr>
          <w:color w:val="231F20"/>
          <w:spacing w:val="-23"/>
          <w:w w:val="105"/>
        </w:rPr>
        <w:t> </w:t>
      </w:r>
      <w:r>
        <w:rPr>
          <w:color w:val="231F20"/>
          <w:w w:val="105"/>
        </w:rPr>
        <w:t>forma</w:t>
      </w:r>
      <w:r>
        <w:rPr>
          <w:color w:val="231F20"/>
          <w:spacing w:val="-23"/>
          <w:w w:val="105"/>
        </w:rPr>
        <w:t> </w:t>
      </w:r>
      <w:r>
        <w:rPr>
          <w:color w:val="231F20"/>
          <w:w w:val="105"/>
        </w:rPr>
        <w:t>permanente</w:t>
      </w:r>
      <w:r>
        <w:rPr>
          <w:color w:val="231F20"/>
          <w:spacing w:val="-23"/>
          <w:w w:val="105"/>
        </w:rPr>
        <w:t> </w:t>
      </w:r>
      <w:r>
        <w:rPr>
          <w:color w:val="231F20"/>
          <w:w w:val="105"/>
        </w:rPr>
        <w:t>(Jones,</w:t>
      </w:r>
      <w:r>
        <w:rPr>
          <w:color w:val="231F20"/>
          <w:spacing w:val="-28"/>
          <w:w w:val="105"/>
        </w:rPr>
        <w:t> </w:t>
      </w:r>
      <w:r>
        <w:rPr>
          <w:color w:val="231F20"/>
          <w:w w:val="105"/>
        </w:rPr>
        <w:t>2000).</w:t>
      </w:r>
    </w:p>
    <w:p>
      <w:pPr>
        <w:pStyle w:val="BodyText"/>
        <w:spacing w:line="259" w:lineRule="auto"/>
        <w:ind w:left="103" w:right="115" w:firstLine="567"/>
        <w:jc w:val="both"/>
      </w:pPr>
      <w:r>
        <w:rPr>
          <w:color w:val="231F20"/>
          <w:w w:val="105"/>
        </w:rPr>
        <w:t>Otra</w:t>
      </w:r>
      <w:r>
        <w:rPr>
          <w:color w:val="231F20"/>
          <w:spacing w:val="-35"/>
          <w:w w:val="105"/>
        </w:rPr>
        <w:t> </w:t>
      </w:r>
      <w:r>
        <w:rPr>
          <w:color w:val="231F20"/>
          <w:w w:val="105"/>
        </w:rPr>
        <w:t>teoría</w:t>
      </w:r>
      <w:r>
        <w:rPr>
          <w:color w:val="231F20"/>
          <w:spacing w:val="-35"/>
          <w:w w:val="105"/>
        </w:rPr>
        <w:t> </w:t>
      </w:r>
      <w:r>
        <w:rPr>
          <w:color w:val="231F20"/>
          <w:w w:val="105"/>
        </w:rPr>
        <w:t>vinculada</w:t>
      </w:r>
      <w:r>
        <w:rPr>
          <w:color w:val="231F20"/>
          <w:spacing w:val="-35"/>
          <w:w w:val="105"/>
        </w:rPr>
        <w:t> </w:t>
      </w:r>
      <w:r>
        <w:rPr>
          <w:color w:val="231F20"/>
          <w:w w:val="105"/>
        </w:rPr>
        <w:t>con</w:t>
      </w:r>
      <w:r>
        <w:rPr>
          <w:color w:val="231F20"/>
          <w:spacing w:val="-35"/>
          <w:w w:val="105"/>
        </w:rPr>
        <w:t> </w:t>
      </w:r>
      <w:r>
        <w:rPr>
          <w:color w:val="231F20"/>
          <w:w w:val="105"/>
        </w:rPr>
        <w:t>esta</w:t>
      </w:r>
      <w:r>
        <w:rPr>
          <w:color w:val="231F20"/>
          <w:spacing w:val="-35"/>
          <w:w w:val="105"/>
        </w:rPr>
        <w:t> </w:t>
      </w:r>
      <w:r>
        <w:rPr>
          <w:color w:val="231F20"/>
          <w:w w:val="105"/>
        </w:rPr>
        <w:t>acumulación</w:t>
      </w:r>
      <w:r>
        <w:rPr>
          <w:color w:val="231F20"/>
          <w:spacing w:val="-35"/>
          <w:w w:val="105"/>
        </w:rPr>
        <w:t> </w:t>
      </w:r>
      <w:r>
        <w:rPr>
          <w:color w:val="231F20"/>
          <w:w w:val="105"/>
        </w:rPr>
        <w:t>de</w:t>
      </w:r>
      <w:r>
        <w:rPr>
          <w:color w:val="231F20"/>
          <w:spacing w:val="-35"/>
          <w:w w:val="105"/>
        </w:rPr>
        <w:t> </w:t>
      </w:r>
      <w:r>
        <w:rPr>
          <w:color w:val="231F20"/>
          <w:w w:val="105"/>
        </w:rPr>
        <w:t>capital</w:t>
      </w:r>
      <w:r>
        <w:rPr>
          <w:color w:val="231F20"/>
          <w:spacing w:val="-35"/>
          <w:w w:val="105"/>
        </w:rPr>
        <w:t> </w:t>
      </w:r>
      <w:r>
        <w:rPr>
          <w:color w:val="231F20"/>
          <w:w w:val="105"/>
        </w:rPr>
        <w:t>se</w:t>
      </w:r>
      <w:r>
        <w:rPr>
          <w:color w:val="231F20"/>
          <w:spacing w:val="-35"/>
          <w:w w:val="105"/>
        </w:rPr>
        <w:t> </w:t>
      </w:r>
      <w:r>
        <w:rPr>
          <w:color w:val="231F20"/>
          <w:spacing w:val="-3"/>
          <w:w w:val="105"/>
        </w:rPr>
        <w:t>expresa</w:t>
      </w:r>
      <w:r>
        <w:rPr>
          <w:color w:val="231F20"/>
          <w:spacing w:val="-35"/>
          <w:w w:val="105"/>
        </w:rPr>
        <w:t> </w:t>
      </w:r>
      <w:r>
        <w:rPr>
          <w:color w:val="231F20"/>
          <w:w w:val="105"/>
        </w:rPr>
        <w:t>en el capital humano como fuente de inversión y capital que pueden </w:t>
      </w:r>
      <w:r>
        <w:rPr>
          <w:color w:val="231F20"/>
          <w:spacing w:val="-3"/>
          <w:w w:val="105"/>
        </w:rPr>
        <w:t>apro- </w:t>
      </w:r>
      <w:r>
        <w:rPr>
          <w:color w:val="231F20"/>
          <w:w w:val="105"/>
        </w:rPr>
        <w:t>vechar</w:t>
      </w:r>
      <w:r>
        <w:rPr>
          <w:color w:val="231F20"/>
          <w:spacing w:val="-18"/>
          <w:w w:val="105"/>
        </w:rPr>
        <w:t> </w:t>
      </w:r>
      <w:r>
        <w:rPr>
          <w:color w:val="231F20"/>
          <w:w w:val="105"/>
        </w:rPr>
        <w:t>los</w:t>
      </w:r>
      <w:r>
        <w:rPr>
          <w:color w:val="231F20"/>
          <w:spacing w:val="-18"/>
          <w:w w:val="105"/>
        </w:rPr>
        <w:t> </w:t>
      </w:r>
      <w:r>
        <w:rPr>
          <w:color w:val="231F20"/>
          <w:w w:val="105"/>
        </w:rPr>
        <w:t>países</w:t>
      </w:r>
      <w:r>
        <w:rPr>
          <w:color w:val="231F20"/>
          <w:spacing w:val="-18"/>
          <w:w w:val="105"/>
        </w:rPr>
        <w:t> </w:t>
      </w:r>
      <w:r>
        <w:rPr>
          <w:color w:val="231F20"/>
          <w:w w:val="105"/>
        </w:rPr>
        <w:t>para</w:t>
      </w:r>
      <w:r>
        <w:rPr>
          <w:color w:val="231F20"/>
          <w:spacing w:val="-18"/>
          <w:w w:val="105"/>
        </w:rPr>
        <w:t> </w:t>
      </w:r>
      <w:r>
        <w:rPr>
          <w:color w:val="231F20"/>
          <w:w w:val="105"/>
        </w:rPr>
        <w:t>su</w:t>
      </w:r>
      <w:r>
        <w:rPr>
          <w:color w:val="231F20"/>
          <w:spacing w:val="-18"/>
          <w:w w:val="105"/>
        </w:rPr>
        <w:t> </w:t>
      </w:r>
      <w:r>
        <w:rPr>
          <w:color w:val="231F20"/>
          <w:spacing w:val="-3"/>
          <w:w w:val="105"/>
        </w:rPr>
        <w:t>crecimiento</w:t>
      </w:r>
      <w:r>
        <w:rPr>
          <w:color w:val="231F20"/>
          <w:spacing w:val="-18"/>
          <w:w w:val="105"/>
        </w:rPr>
        <w:t> </w:t>
      </w:r>
      <w:r>
        <w:rPr>
          <w:color w:val="231F20"/>
          <w:w w:val="105"/>
        </w:rPr>
        <w:t>económico,</w:t>
      </w:r>
      <w:r>
        <w:rPr>
          <w:color w:val="231F20"/>
          <w:spacing w:val="-22"/>
          <w:w w:val="105"/>
        </w:rPr>
        <w:t> </w:t>
      </w:r>
      <w:r>
        <w:rPr>
          <w:color w:val="231F20"/>
          <w:w w:val="105"/>
        </w:rPr>
        <w:t>como</w:t>
      </w:r>
      <w:r>
        <w:rPr>
          <w:color w:val="231F20"/>
          <w:spacing w:val="-18"/>
          <w:w w:val="105"/>
        </w:rPr>
        <w:t> </w:t>
      </w:r>
      <w:r>
        <w:rPr>
          <w:color w:val="231F20"/>
          <w:w w:val="105"/>
        </w:rPr>
        <w:t>se</w:t>
      </w:r>
      <w:r>
        <w:rPr>
          <w:color w:val="231F20"/>
          <w:spacing w:val="-18"/>
          <w:w w:val="105"/>
        </w:rPr>
        <w:t> </w:t>
      </w:r>
      <w:r>
        <w:rPr>
          <w:color w:val="231F20"/>
          <w:w w:val="105"/>
        </w:rPr>
        <w:t>establece</w:t>
      </w:r>
      <w:r>
        <w:rPr>
          <w:color w:val="231F20"/>
          <w:spacing w:val="-18"/>
          <w:w w:val="105"/>
        </w:rPr>
        <w:t> </w:t>
      </w:r>
      <w:r>
        <w:rPr>
          <w:color w:val="231F20"/>
          <w:w w:val="105"/>
        </w:rPr>
        <w:t>en la</w:t>
      </w:r>
      <w:r>
        <w:rPr>
          <w:color w:val="231F20"/>
          <w:spacing w:val="-18"/>
          <w:w w:val="105"/>
        </w:rPr>
        <w:t> </w:t>
      </w:r>
      <w:r>
        <w:rPr>
          <w:color w:val="231F20"/>
          <w:w w:val="105"/>
        </w:rPr>
        <w:t>siguiente</w:t>
      </w:r>
      <w:r>
        <w:rPr>
          <w:color w:val="231F20"/>
          <w:spacing w:val="-18"/>
          <w:w w:val="105"/>
        </w:rPr>
        <w:t> </w:t>
      </w:r>
      <w:r>
        <w:rPr>
          <w:color w:val="231F20"/>
          <w:w w:val="105"/>
        </w:rPr>
        <w:t>teoría.</w:t>
      </w:r>
      <w:r>
        <w:rPr>
          <w:color w:val="231F20"/>
          <w:spacing w:val="-23"/>
          <w:w w:val="105"/>
        </w:rPr>
        <w:t> </w:t>
      </w:r>
      <w:r>
        <w:rPr>
          <w:color w:val="231F20"/>
          <w:spacing w:val="-3"/>
          <w:w w:val="105"/>
        </w:rPr>
        <w:t>Los</w:t>
      </w:r>
      <w:r>
        <w:rPr>
          <w:color w:val="231F20"/>
          <w:spacing w:val="-18"/>
          <w:w w:val="105"/>
        </w:rPr>
        <w:t> </w:t>
      </w:r>
      <w:r>
        <w:rPr>
          <w:color w:val="231F20"/>
          <w:spacing w:val="-3"/>
          <w:w w:val="105"/>
        </w:rPr>
        <w:t>resultados</w:t>
      </w:r>
      <w:r>
        <w:rPr>
          <w:color w:val="231F20"/>
          <w:spacing w:val="-18"/>
          <w:w w:val="105"/>
        </w:rPr>
        <w:t> </w:t>
      </w:r>
      <w:r>
        <w:rPr>
          <w:color w:val="231F20"/>
          <w:w w:val="105"/>
        </w:rPr>
        <w:t>de</w:t>
      </w:r>
      <w:r>
        <w:rPr>
          <w:color w:val="231F20"/>
          <w:spacing w:val="-18"/>
          <w:w w:val="105"/>
        </w:rPr>
        <w:t> </w:t>
      </w:r>
      <w:r>
        <w:rPr>
          <w:color w:val="231F20"/>
          <w:w w:val="105"/>
        </w:rPr>
        <w:t>Mankiw</w:t>
      </w:r>
      <w:r>
        <w:rPr>
          <w:color w:val="231F20"/>
          <w:spacing w:val="-18"/>
          <w:w w:val="105"/>
        </w:rPr>
        <w:t> </w:t>
      </w:r>
      <w:r>
        <w:rPr>
          <w:i/>
          <w:color w:val="231F20"/>
          <w:w w:val="105"/>
        </w:rPr>
        <w:t>et</w:t>
      </w:r>
      <w:r>
        <w:rPr>
          <w:i/>
          <w:color w:val="231F20"/>
          <w:spacing w:val="-18"/>
          <w:w w:val="105"/>
        </w:rPr>
        <w:t> </w:t>
      </w:r>
      <w:r>
        <w:rPr>
          <w:i/>
          <w:color w:val="231F20"/>
          <w:w w:val="105"/>
        </w:rPr>
        <w:t>al.,</w:t>
      </w:r>
      <w:r>
        <w:rPr>
          <w:i/>
          <w:color w:val="231F20"/>
          <w:spacing w:val="-18"/>
          <w:w w:val="105"/>
        </w:rPr>
        <w:t> </w:t>
      </w:r>
      <w:r>
        <w:rPr>
          <w:color w:val="231F20"/>
          <w:w w:val="105"/>
        </w:rPr>
        <w:t>(2007)</w:t>
      </w:r>
      <w:r>
        <w:rPr>
          <w:color w:val="231F20"/>
          <w:spacing w:val="-18"/>
          <w:w w:val="105"/>
        </w:rPr>
        <w:t> </w:t>
      </w:r>
      <w:r>
        <w:rPr>
          <w:color w:val="231F20"/>
          <w:w w:val="105"/>
        </w:rPr>
        <w:t>indican</w:t>
      </w:r>
      <w:r>
        <w:rPr>
          <w:color w:val="231F20"/>
          <w:spacing w:val="-18"/>
          <w:w w:val="105"/>
        </w:rPr>
        <w:t> </w:t>
      </w:r>
      <w:r>
        <w:rPr>
          <w:color w:val="231F20"/>
          <w:w w:val="105"/>
        </w:rPr>
        <w:t>que</w:t>
      </w:r>
      <w:r>
        <w:rPr>
          <w:color w:val="231F20"/>
          <w:spacing w:val="-18"/>
          <w:w w:val="105"/>
        </w:rPr>
        <w:t> </w:t>
      </w:r>
      <w:r>
        <w:rPr>
          <w:color w:val="231F20"/>
          <w:w w:val="105"/>
        </w:rPr>
        <w:t>el modelo de Solow es consistente con la evidencia internacional de acu- mular</w:t>
      </w:r>
      <w:r>
        <w:rPr>
          <w:color w:val="231F20"/>
          <w:spacing w:val="-17"/>
          <w:w w:val="105"/>
        </w:rPr>
        <w:t> </w:t>
      </w:r>
      <w:r>
        <w:rPr>
          <w:color w:val="231F20"/>
          <w:w w:val="105"/>
        </w:rPr>
        <w:t>tanto</w:t>
      </w:r>
      <w:r>
        <w:rPr>
          <w:color w:val="231F20"/>
          <w:spacing w:val="-17"/>
          <w:w w:val="105"/>
        </w:rPr>
        <w:t> </w:t>
      </w:r>
      <w:r>
        <w:rPr>
          <w:color w:val="231F20"/>
          <w:w w:val="105"/>
        </w:rPr>
        <w:t>capital</w:t>
      </w:r>
      <w:r>
        <w:rPr>
          <w:color w:val="231F20"/>
          <w:spacing w:val="-17"/>
          <w:w w:val="105"/>
        </w:rPr>
        <w:t> </w:t>
      </w:r>
      <w:r>
        <w:rPr>
          <w:color w:val="231F20"/>
          <w:w w:val="105"/>
        </w:rPr>
        <w:t>físico</w:t>
      </w:r>
      <w:r>
        <w:rPr>
          <w:color w:val="231F20"/>
          <w:spacing w:val="-17"/>
          <w:w w:val="105"/>
        </w:rPr>
        <w:t> </w:t>
      </w:r>
      <w:r>
        <w:rPr>
          <w:color w:val="231F20"/>
          <w:w w:val="105"/>
        </w:rPr>
        <w:t>como</w:t>
      </w:r>
      <w:r>
        <w:rPr>
          <w:color w:val="231F20"/>
          <w:spacing w:val="-17"/>
          <w:w w:val="105"/>
        </w:rPr>
        <w:t> </w:t>
      </w:r>
      <w:r>
        <w:rPr>
          <w:color w:val="231F20"/>
          <w:w w:val="105"/>
        </w:rPr>
        <w:t>capital</w:t>
      </w:r>
      <w:r>
        <w:rPr>
          <w:color w:val="231F20"/>
          <w:spacing w:val="-17"/>
          <w:w w:val="105"/>
        </w:rPr>
        <w:t> </w:t>
      </w:r>
      <w:r>
        <w:rPr>
          <w:color w:val="231F20"/>
          <w:w w:val="105"/>
        </w:rPr>
        <w:t>humano;</w:t>
      </w:r>
      <w:r>
        <w:rPr>
          <w:color w:val="231F20"/>
          <w:spacing w:val="-17"/>
          <w:w w:val="105"/>
        </w:rPr>
        <w:t> </w:t>
      </w:r>
      <w:r>
        <w:rPr>
          <w:color w:val="231F20"/>
          <w:w w:val="105"/>
        </w:rPr>
        <w:t>este</w:t>
      </w:r>
      <w:r>
        <w:rPr>
          <w:color w:val="231F20"/>
          <w:spacing w:val="-17"/>
          <w:w w:val="105"/>
        </w:rPr>
        <w:t> </w:t>
      </w:r>
      <w:r>
        <w:rPr>
          <w:color w:val="231F20"/>
          <w:w w:val="105"/>
        </w:rPr>
        <w:t>modelo</w:t>
      </w:r>
      <w:r>
        <w:rPr>
          <w:color w:val="231F20"/>
          <w:spacing w:val="-17"/>
          <w:w w:val="105"/>
        </w:rPr>
        <w:t> </w:t>
      </w:r>
      <w:r>
        <w:rPr>
          <w:color w:val="231F20"/>
          <w:w w:val="105"/>
        </w:rPr>
        <w:t>aumentado sostiene que la </w:t>
      </w:r>
      <w:r>
        <w:rPr>
          <w:color w:val="231F20"/>
          <w:spacing w:val="-3"/>
          <w:w w:val="105"/>
        </w:rPr>
        <w:t>diferencia </w:t>
      </w:r>
      <w:r>
        <w:rPr>
          <w:color w:val="231F20"/>
          <w:w w:val="105"/>
        </w:rPr>
        <w:t>en </w:t>
      </w:r>
      <w:r>
        <w:rPr>
          <w:color w:val="231F20"/>
          <w:spacing w:val="-3"/>
          <w:w w:val="105"/>
        </w:rPr>
        <w:t>ahorro, </w:t>
      </w:r>
      <w:r>
        <w:rPr>
          <w:color w:val="231F20"/>
          <w:w w:val="105"/>
        </w:rPr>
        <w:t>educación, y </w:t>
      </w:r>
      <w:r>
        <w:rPr>
          <w:color w:val="231F20"/>
          <w:spacing w:val="-3"/>
          <w:w w:val="105"/>
        </w:rPr>
        <w:t>crecimiento </w:t>
      </w:r>
      <w:r>
        <w:rPr>
          <w:color w:val="231F20"/>
          <w:w w:val="105"/>
        </w:rPr>
        <w:t>de la po- blación</w:t>
      </w:r>
      <w:r>
        <w:rPr>
          <w:color w:val="231F20"/>
          <w:spacing w:val="-23"/>
          <w:w w:val="105"/>
        </w:rPr>
        <w:t> </w:t>
      </w:r>
      <w:r>
        <w:rPr>
          <w:color w:val="231F20"/>
          <w:w w:val="105"/>
        </w:rPr>
        <w:t>debe</w:t>
      </w:r>
      <w:r>
        <w:rPr>
          <w:color w:val="231F20"/>
          <w:spacing w:val="-23"/>
          <w:w w:val="105"/>
        </w:rPr>
        <w:t> </w:t>
      </w:r>
      <w:r>
        <w:rPr>
          <w:color w:val="231F20"/>
          <w:w w:val="105"/>
        </w:rPr>
        <w:t>explicar</w:t>
      </w:r>
      <w:r>
        <w:rPr>
          <w:color w:val="231F20"/>
          <w:spacing w:val="-23"/>
          <w:w w:val="105"/>
        </w:rPr>
        <w:t> </w:t>
      </w:r>
      <w:r>
        <w:rPr>
          <w:color w:val="231F20"/>
          <w:w w:val="105"/>
        </w:rPr>
        <w:t>las</w:t>
      </w:r>
      <w:r>
        <w:rPr>
          <w:color w:val="231F20"/>
          <w:spacing w:val="-23"/>
          <w:w w:val="105"/>
        </w:rPr>
        <w:t> </w:t>
      </w:r>
      <w:r>
        <w:rPr>
          <w:color w:val="231F20"/>
          <w:spacing w:val="-3"/>
          <w:w w:val="105"/>
        </w:rPr>
        <w:t>diferencias</w:t>
      </w:r>
      <w:r>
        <w:rPr>
          <w:color w:val="231F20"/>
          <w:spacing w:val="-23"/>
          <w:w w:val="105"/>
        </w:rPr>
        <w:t> </w:t>
      </w:r>
      <w:r>
        <w:rPr>
          <w:color w:val="231F20"/>
          <w:w w:val="105"/>
        </w:rPr>
        <w:t>de</w:t>
      </w:r>
      <w:r>
        <w:rPr>
          <w:color w:val="231F20"/>
          <w:spacing w:val="-23"/>
          <w:w w:val="105"/>
        </w:rPr>
        <w:t> </w:t>
      </w:r>
      <w:r>
        <w:rPr>
          <w:color w:val="231F20"/>
          <w:spacing w:val="-3"/>
          <w:w w:val="105"/>
        </w:rPr>
        <w:t>ingreso</w:t>
      </w:r>
      <w:r>
        <w:rPr>
          <w:color w:val="231F20"/>
          <w:spacing w:val="-23"/>
          <w:w w:val="105"/>
        </w:rPr>
        <w:t> </w:t>
      </w:r>
      <w:r>
        <w:rPr>
          <w:i/>
          <w:color w:val="231F20"/>
          <w:w w:val="105"/>
        </w:rPr>
        <w:t>per</w:t>
      </w:r>
      <w:r>
        <w:rPr>
          <w:i/>
          <w:color w:val="231F20"/>
          <w:spacing w:val="-23"/>
          <w:w w:val="105"/>
        </w:rPr>
        <w:t> </w:t>
      </w:r>
      <w:r>
        <w:rPr>
          <w:i/>
          <w:color w:val="231F20"/>
          <w:w w:val="105"/>
        </w:rPr>
        <w:t>cápita</w:t>
      </w:r>
      <w:r>
        <w:rPr>
          <w:i/>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países.</w:t>
      </w:r>
    </w:p>
    <w:p>
      <w:pPr>
        <w:pStyle w:val="BodyText"/>
        <w:spacing w:line="259" w:lineRule="auto"/>
        <w:ind w:left="103" w:right="114" w:firstLine="567"/>
        <w:jc w:val="both"/>
      </w:pPr>
      <w:r>
        <w:rPr>
          <w:color w:val="231F20"/>
          <w:w w:val="105"/>
        </w:rPr>
        <w:t>Según las teorías tradicionales del crecimiento, el comercio</w:t>
      </w:r>
      <w:r>
        <w:rPr>
          <w:color w:val="231F20"/>
          <w:spacing w:val="-30"/>
          <w:w w:val="105"/>
        </w:rPr>
        <w:t> </w:t>
      </w:r>
      <w:r>
        <w:rPr>
          <w:color w:val="231F20"/>
          <w:w w:val="105"/>
        </w:rPr>
        <w:t>inter- nacional</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motor</w:t>
      </w:r>
      <w:r>
        <w:rPr>
          <w:color w:val="231F20"/>
          <w:spacing w:val="-9"/>
          <w:w w:val="105"/>
        </w:rPr>
        <w:t> </w:t>
      </w:r>
      <w:r>
        <w:rPr>
          <w:color w:val="231F20"/>
          <w:w w:val="105"/>
        </w:rPr>
        <w:t>de</w:t>
      </w:r>
      <w:r>
        <w:rPr>
          <w:color w:val="231F20"/>
          <w:spacing w:val="-9"/>
          <w:w w:val="105"/>
        </w:rPr>
        <w:t> </w:t>
      </w:r>
      <w:r>
        <w:rPr>
          <w:color w:val="231F20"/>
          <w:w w:val="105"/>
        </w:rPr>
        <w:t>éste,</w:t>
      </w:r>
      <w:r>
        <w:rPr>
          <w:color w:val="231F20"/>
          <w:spacing w:val="-15"/>
          <w:w w:val="105"/>
        </w:rPr>
        <w:t> </w:t>
      </w:r>
      <w:r>
        <w:rPr>
          <w:color w:val="231F20"/>
          <w:w w:val="105"/>
        </w:rPr>
        <w:t>mientras</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teoría</w:t>
      </w:r>
      <w:r>
        <w:rPr>
          <w:color w:val="231F20"/>
          <w:spacing w:val="-9"/>
          <w:w w:val="105"/>
        </w:rPr>
        <w:t> </w:t>
      </w:r>
      <w:r>
        <w:rPr>
          <w:color w:val="231F20"/>
          <w:w w:val="105"/>
        </w:rPr>
        <w:t>endógena</w:t>
      </w:r>
      <w:r>
        <w:rPr>
          <w:color w:val="231F20"/>
          <w:spacing w:val="-9"/>
          <w:w w:val="105"/>
        </w:rPr>
        <w:t> </w:t>
      </w:r>
      <w:r>
        <w:rPr>
          <w:color w:val="231F20"/>
          <w:w w:val="105"/>
        </w:rPr>
        <w:t>se</w:t>
      </w:r>
      <w:r>
        <w:rPr>
          <w:color w:val="231F20"/>
          <w:spacing w:val="-9"/>
          <w:w w:val="105"/>
        </w:rPr>
        <w:t> </w:t>
      </w:r>
      <w:r>
        <w:rPr>
          <w:color w:val="231F20"/>
          <w:w w:val="105"/>
        </w:rPr>
        <w:t>centra en el capital humano en la forma de entrenamiento para el trabajo y</w:t>
      </w:r>
      <w:r>
        <w:rPr>
          <w:color w:val="231F20"/>
          <w:spacing w:val="-15"/>
          <w:w w:val="105"/>
        </w:rPr>
        <w:t> </w:t>
      </w:r>
      <w:r>
        <w:rPr>
          <w:color w:val="231F20"/>
          <w:w w:val="105"/>
        </w:rPr>
        <w:t>de nuevas</w:t>
      </w:r>
      <w:r>
        <w:rPr>
          <w:color w:val="231F20"/>
          <w:spacing w:val="-20"/>
          <w:w w:val="105"/>
        </w:rPr>
        <w:t> </w:t>
      </w:r>
      <w:r>
        <w:rPr>
          <w:color w:val="231F20"/>
          <w:w w:val="105"/>
        </w:rPr>
        <w:t>tecnologías</w:t>
      </w:r>
      <w:r>
        <w:rPr>
          <w:color w:val="231F20"/>
          <w:spacing w:val="-20"/>
          <w:w w:val="105"/>
        </w:rPr>
        <w:t> </w:t>
      </w:r>
      <w:r>
        <w:rPr>
          <w:color w:val="231F20"/>
          <w:w w:val="105"/>
        </w:rPr>
        <w:t>para</w:t>
      </w:r>
      <w:r>
        <w:rPr>
          <w:color w:val="231F20"/>
          <w:spacing w:val="-20"/>
          <w:w w:val="105"/>
        </w:rPr>
        <w:t> </w:t>
      </w:r>
      <w:r>
        <w:rPr>
          <w:color w:val="231F20"/>
          <w:w w:val="105"/>
        </w:rPr>
        <w:t>el</w:t>
      </w:r>
      <w:r>
        <w:rPr>
          <w:color w:val="231F20"/>
          <w:spacing w:val="-20"/>
          <w:w w:val="105"/>
        </w:rPr>
        <w:t> </w:t>
      </w:r>
      <w:r>
        <w:rPr>
          <w:color w:val="231F20"/>
          <w:w w:val="105"/>
        </w:rPr>
        <w:t>mercado</w:t>
      </w:r>
      <w:r>
        <w:rPr>
          <w:color w:val="231F20"/>
          <w:spacing w:val="-20"/>
          <w:w w:val="105"/>
        </w:rPr>
        <w:t> </w:t>
      </w:r>
      <w:r>
        <w:rPr>
          <w:color w:val="231F20"/>
          <w:w w:val="105"/>
        </w:rPr>
        <w:t>mundial.</w:t>
      </w:r>
      <w:r>
        <w:rPr>
          <w:color w:val="231F20"/>
          <w:spacing w:val="-24"/>
          <w:w w:val="105"/>
        </w:rPr>
        <w:t> </w:t>
      </w:r>
      <w:r>
        <w:rPr>
          <w:color w:val="231F20"/>
          <w:w w:val="105"/>
        </w:rPr>
        <w:t>El</w:t>
      </w:r>
      <w:r>
        <w:rPr>
          <w:color w:val="231F20"/>
          <w:spacing w:val="-20"/>
          <w:w w:val="105"/>
        </w:rPr>
        <w:t> </w:t>
      </w:r>
      <w:r>
        <w:rPr>
          <w:color w:val="231F20"/>
          <w:w w:val="105"/>
        </w:rPr>
        <w:t>capital</w:t>
      </w:r>
      <w:r>
        <w:rPr>
          <w:color w:val="231F20"/>
          <w:spacing w:val="-20"/>
          <w:w w:val="105"/>
        </w:rPr>
        <w:t> </w:t>
      </w:r>
      <w:r>
        <w:rPr>
          <w:color w:val="231F20"/>
          <w:w w:val="105"/>
        </w:rPr>
        <w:t>humano</w:t>
      </w:r>
      <w:r>
        <w:rPr>
          <w:color w:val="231F20"/>
          <w:spacing w:val="-20"/>
          <w:w w:val="105"/>
        </w:rPr>
        <w:t> </w:t>
      </w:r>
      <w:r>
        <w:rPr>
          <w:color w:val="231F20"/>
          <w:w w:val="105"/>
        </w:rPr>
        <w:t>se</w:t>
      </w:r>
      <w:r>
        <w:rPr>
          <w:color w:val="231F20"/>
          <w:spacing w:val="-20"/>
          <w:w w:val="105"/>
        </w:rPr>
        <w:t> </w:t>
      </w:r>
      <w:r>
        <w:rPr>
          <w:color w:val="231F20"/>
          <w:w w:val="105"/>
        </w:rPr>
        <w:t>iden- tifica casi siempre como un ingrediente crucial para que las</w:t>
      </w:r>
      <w:r>
        <w:rPr>
          <w:color w:val="231F20"/>
          <w:spacing w:val="-10"/>
          <w:w w:val="105"/>
        </w:rPr>
        <w:t> </w:t>
      </w:r>
      <w:r>
        <w:rPr>
          <w:color w:val="231F20"/>
          <w:w w:val="105"/>
        </w:rPr>
        <w:t>economías regionales</w:t>
      </w:r>
      <w:r>
        <w:rPr>
          <w:color w:val="231F20"/>
          <w:spacing w:val="-10"/>
          <w:w w:val="105"/>
        </w:rPr>
        <w:t> </w:t>
      </w:r>
      <w:r>
        <w:rPr>
          <w:color w:val="231F20"/>
          <w:w w:val="105"/>
        </w:rPr>
        <w:t>crezcan</w:t>
      </w:r>
      <w:r>
        <w:rPr>
          <w:color w:val="231F20"/>
          <w:spacing w:val="-10"/>
          <w:w w:val="105"/>
        </w:rPr>
        <w:t> </w:t>
      </w:r>
      <w:r>
        <w:rPr>
          <w:color w:val="231F20"/>
          <w:w w:val="105"/>
        </w:rPr>
        <w:t>y</w:t>
      </w:r>
      <w:r>
        <w:rPr>
          <w:color w:val="231F20"/>
          <w:spacing w:val="-10"/>
          <w:w w:val="105"/>
        </w:rPr>
        <w:t> </w:t>
      </w:r>
      <w:r>
        <w:rPr>
          <w:color w:val="231F20"/>
          <w:w w:val="105"/>
        </w:rPr>
        <w:t>alcancen</w:t>
      </w:r>
      <w:r>
        <w:rPr>
          <w:color w:val="231F20"/>
          <w:spacing w:val="-10"/>
          <w:w w:val="105"/>
        </w:rPr>
        <w:t> </w:t>
      </w:r>
      <w:r>
        <w:rPr>
          <w:color w:val="231F20"/>
          <w:w w:val="105"/>
        </w:rPr>
        <w:t>un</w:t>
      </w:r>
      <w:r>
        <w:rPr>
          <w:color w:val="231F20"/>
          <w:spacing w:val="-10"/>
          <w:w w:val="105"/>
        </w:rPr>
        <w:t> </w:t>
      </w:r>
      <w:r>
        <w:rPr>
          <w:color w:val="231F20"/>
          <w:w w:val="105"/>
        </w:rPr>
        <w:t>ingreso</w:t>
      </w:r>
      <w:r>
        <w:rPr>
          <w:color w:val="231F20"/>
          <w:spacing w:val="-10"/>
          <w:w w:val="105"/>
        </w:rPr>
        <w:t> </w:t>
      </w:r>
      <w:r>
        <w:rPr>
          <w:i/>
          <w:color w:val="231F20"/>
          <w:w w:val="105"/>
        </w:rPr>
        <w:t>per</w:t>
      </w:r>
      <w:r>
        <w:rPr>
          <w:i/>
          <w:color w:val="231F20"/>
          <w:spacing w:val="-10"/>
          <w:w w:val="105"/>
        </w:rPr>
        <w:t> </w:t>
      </w:r>
      <w:r>
        <w:rPr>
          <w:i/>
          <w:color w:val="231F20"/>
          <w:w w:val="105"/>
        </w:rPr>
        <w:t>cápita</w:t>
      </w:r>
      <w:r>
        <w:rPr>
          <w:i/>
          <w:color w:val="231F20"/>
          <w:spacing w:val="-10"/>
          <w:w w:val="105"/>
        </w:rPr>
        <w:t> </w:t>
      </w:r>
      <w:r>
        <w:rPr>
          <w:color w:val="231F20"/>
          <w:w w:val="105"/>
        </w:rPr>
        <w:t>mayor</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estado estable.</w:t>
      </w:r>
      <w:r>
        <w:rPr>
          <w:color w:val="231F20"/>
          <w:spacing w:val="-28"/>
          <w:w w:val="105"/>
        </w:rPr>
        <w:t> </w:t>
      </w:r>
      <w:r>
        <w:rPr>
          <w:color w:val="231F20"/>
          <w:w w:val="105"/>
        </w:rPr>
        <w:t>Sin</w:t>
      </w:r>
      <w:r>
        <w:rPr>
          <w:color w:val="231F20"/>
          <w:spacing w:val="-24"/>
          <w:w w:val="105"/>
        </w:rPr>
        <w:t> </w:t>
      </w:r>
      <w:r>
        <w:rPr>
          <w:color w:val="231F20"/>
          <w:w w:val="105"/>
        </w:rPr>
        <w:t>embargo,</w:t>
      </w:r>
      <w:r>
        <w:rPr>
          <w:color w:val="231F20"/>
          <w:spacing w:val="-28"/>
          <w:w w:val="105"/>
        </w:rPr>
        <w:t> </w:t>
      </w:r>
      <w:r>
        <w:rPr>
          <w:color w:val="231F20"/>
          <w:w w:val="105"/>
        </w:rPr>
        <w:t>las</w:t>
      </w:r>
      <w:r>
        <w:rPr>
          <w:color w:val="231F20"/>
          <w:spacing w:val="-24"/>
          <w:w w:val="105"/>
        </w:rPr>
        <w:t> </w:t>
      </w:r>
      <w:r>
        <w:rPr>
          <w:color w:val="231F20"/>
          <w:w w:val="105"/>
        </w:rPr>
        <w:t>investigaciones</w:t>
      </w:r>
      <w:r>
        <w:rPr>
          <w:color w:val="231F20"/>
          <w:spacing w:val="-24"/>
          <w:w w:val="105"/>
        </w:rPr>
        <w:t> </w:t>
      </w:r>
      <w:r>
        <w:rPr>
          <w:color w:val="231F20"/>
          <w:w w:val="105"/>
        </w:rPr>
        <w:t>empíricas</w:t>
      </w:r>
      <w:r>
        <w:rPr>
          <w:color w:val="231F20"/>
          <w:spacing w:val="-24"/>
          <w:w w:val="105"/>
        </w:rPr>
        <w:t> </w:t>
      </w:r>
      <w:r>
        <w:rPr>
          <w:color w:val="231F20"/>
          <w:w w:val="105"/>
        </w:rPr>
        <w:t>sobre</w:t>
      </w:r>
      <w:r>
        <w:rPr>
          <w:color w:val="231F20"/>
          <w:spacing w:val="-24"/>
          <w:w w:val="105"/>
        </w:rPr>
        <w:t> </w:t>
      </w:r>
      <w:r>
        <w:rPr>
          <w:color w:val="231F20"/>
          <w:w w:val="105"/>
        </w:rPr>
        <w:t>el</w:t>
      </w:r>
      <w:r>
        <w:rPr>
          <w:color w:val="231F20"/>
          <w:spacing w:val="-24"/>
          <w:w w:val="105"/>
        </w:rPr>
        <w:t> </w:t>
      </w:r>
      <w:r>
        <w:rPr>
          <w:color w:val="231F20"/>
          <w:w w:val="105"/>
        </w:rPr>
        <w:t>crecimiento regional en México han aportado poco para clarificar las dimensiones</w:t>
      </w:r>
      <w:r>
        <w:rPr>
          <w:color w:val="231F20"/>
          <w:spacing w:val="-43"/>
          <w:w w:val="105"/>
        </w:rPr>
        <w:t> </w:t>
      </w:r>
      <w:r>
        <w:rPr>
          <w:color w:val="231F20"/>
          <w:w w:val="105"/>
        </w:rPr>
        <w:t>y</w:t>
      </w:r>
    </w:p>
    <w:p>
      <w:pPr>
        <w:pStyle w:val="BodyText"/>
        <w:rPr>
          <w:sz w:val="20"/>
        </w:rPr>
      </w:pPr>
    </w:p>
    <w:p>
      <w:pPr>
        <w:pStyle w:val="BodyText"/>
        <w:spacing w:before="4"/>
        <w:rPr>
          <w:sz w:val="27"/>
        </w:rPr>
      </w:pPr>
      <w:r>
        <w:rPr/>
        <w:pict>
          <v:line style="position:absolute;mso-position-horizontal-relative:page;mso-position-vertical-relative:paragraph;z-index:8848;mso-wrap-distance-left:0;mso-wrap-distance-right:0" from="65.1968pt,17.820335pt" to="178.5828pt,17.820335pt" stroked="true" strokeweight=".25pt" strokecolor="#231f20">
            <w10:wrap type="topAndBottom"/>
          </v:line>
        </w:pict>
      </w:r>
    </w:p>
    <w:p>
      <w:pPr>
        <w:spacing w:line="192" w:lineRule="exact" w:before="7"/>
        <w:ind w:left="103" w:right="115" w:firstLine="0"/>
        <w:jc w:val="both"/>
        <w:rPr>
          <w:rFonts w:ascii="Calibri" w:hAnsi="Calibri"/>
          <w:sz w:val="16"/>
        </w:rPr>
      </w:pPr>
      <w:r>
        <w:rPr>
          <w:rFonts w:ascii="Calibri" w:hAnsi="Calibri"/>
          <w:color w:val="414042"/>
          <w:w w:val="105"/>
          <w:position w:val="5"/>
          <w:sz w:val="9"/>
        </w:rPr>
        <w:t>3 </w:t>
      </w:r>
      <w:r>
        <w:rPr>
          <w:rFonts w:ascii="Calibri" w:hAnsi="Calibri"/>
          <w:color w:val="414042"/>
          <w:w w:val="105"/>
          <w:sz w:val="16"/>
        </w:rPr>
        <w:t>Los </w:t>
      </w:r>
      <w:r>
        <w:rPr>
          <w:rFonts w:ascii="Calibri" w:hAnsi="Calibri"/>
          <w:i/>
          <w:color w:val="414042"/>
          <w:w w:val="105"/>
          <w:sz w:val="16"/>
        </w:rPr>
        <w:t>spillovers </w:t>
      </w:r>
      <w:r>
        <w:rPr>
          <w:rFonts w:ascii="Calibri" w:hAnsi="Calibri"/>
          <w:color w:val="414042"/>
          <w:w w:val="105"/>
          <w:sz w:val="16"/>
        </w:rPr>
        <w:t>o externalidades se definen como una situación en la cual los costos de beneficio de producción</w:t>
      </w:r>
      <w:r>
        <w:rPr>
          <w:rFonts w:ascii="Calibri" w:hAnsi="Calibri"/>
          <w:color w:val="414042"/>
          <w:spacing w:val="-16"/>
          <w:w w:val="105"/>
          <w:sz w:val="16"/>
        </w:rPr>
        <w:t> </w:t>
      </w:r>
      <w:r>
        <w:rPr>
          <w:rFonts w:ascii="Calibri" w:hAnsi="Calibri"/>
          <w:color w:val="414042"/>
          <w:w w:val="105"/>
          <w:sz w:val="16"/>
        </w:rPr>
        <w:t>y/o</w:t>
      </w:r>
      <w:r>
        <w:rPr>
          <w:rFonts w:ascii="Calibri" w:hAnsi="Calibri"/>
          <w:color w:val="414042"/>
          <w:spacing w:val="-16"/>
          <w:w w:val="105"/>
          <w:sz w:val="16"/>
        </w:rPr>
        <w:t> </w:t>
      </w:r>
      <w:r>
        <w:rPr>
          <w:rFonts w:ascii="Calibri" w:hAnsi="Calibri"/>
          <w:color w:val="414042"/>
          <w:w w:val="105"/>
          <w:sz w:val="16"/>
        </w:rPr>
        <w:t>consumo</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algún</w:t>
      </w:r>
      <w:r>
        <w:rPr>
          <w:rFonts w:ascii="Calibri" w:hAnsi="Calibri"/>
          <w:color w:val="414042"/>
          <w:spacing w:val="-16"/>
          <w:w w:val="105"/>
          <w:sz w:val="16"/>
        </w:rPr>
        <w:t> </w:t>
      </w:r>
      <w:r>
        <w:rPr>
          <w:rFonts w:ascii="Calibri" w:hAnsi="Calibri"/>
          <w:color w:val="414042"/>
          <w:w w:val="105"/>
          <w:sz w:val="16"/>
        </w:rPr>
        <w:t>bien</w:t>
      </w:r>
      <w:r>
        <w:rPr>
          <w:rFonts w:ascii="Calibri" w:hAnsi="Calibri"/>
          <w:color w:val="414042"/>
          <w:spacing w:val="-16"/>
          <w:w w:val="105"/>
          <w:sz w:val="16"/>
        </w:rPr>
        <w:t> </w:t>
      </w:r>
      <w:r>
        <w:rPr>
          <w:rFonts w:ascii="Calibri" w:hAnsi="Calibri"/>
          <w:color w:val="414042"/>
          <w:w w:val="105"/>
          <w:sz w:val="16"/>
        </w:rPr>
        <w:t>servicio</w:t>
      </w:r>
      <w:r>
        <w:rPr>
          <w:rFonts w:ascii="Calibri" w:hAnsi="Calibri"/>
          <w:color w:val="414042"/>
          <w:spacing w:val="-16"/>
          <w:w w:val="105"/>
          <w:sz w:val="16"/>
        </w:rPr>
        <w:t> </w:t>
      </w:r>
      <w:r>
        <w:rPr>
          <w:rFonts w:ascii="Calibri" w:hAnsi="Calibri"/>
          <w:color w:val="414042"/>
          <w:w w:val="105"/>
          <w:sz w:val="16"/>
        </w:rPr>
        <w:t>no</w:t>
      </w:r>
      <w:r>
        <w:rPr>
          <w:rFonts w:ascii="Calibri" w:hAnsi="Calibri"/>
          <w:color w:val="414042"/>
          <w:spacing w:val="-16"/>
          <w:w w:val="105"/>
          <w:sz w:val="16"/>
        </w:rPr>
        <w:t> </w:t>
      </w:r>
      <w:r>
        <w:rPr>
          <w:rFonts w:ascii="Calibri" w:hAnsi="Calibri"/>
          <w:color w:val="414042"/>
          <w:w w:val="105"/>
          <w:sz w:val="16"/>
        </w:rPr>
        <w:t>son</w:t>
      </w:r>
      <w:r>
        <w:rPr>
          <w:rFonts w:ascii="Calibri" w:hAnsi="Calibri"/>
          <w:color w:val="414042"/>
          <w:spacing w:val="-16"/>
          <w:w w:val="105"/>
          <w:sz w:val="16"/>
        </w:rPr>
        <w:t> </w:t>
      </w:r>
      <w:r>
        <w:rPr>
          <w:rFonts w:ascii="Calibri" w:hAnsi="Calibri"/>
          <w:color w:val="414042"/>
          <w:w w:val="105"/>
          <w:sz w:val="16"/>
        </w:rPr>
        <w:t>reflejados</w:t>
      </w:r>
      <w:r>
        <w:rPr>
          <w:rFonts w:ascii="Calibri" w:hAnsi="Calibri"/>
          <w:color w:val="414042"/>
          <w:spacing w:val="-16"/>
          <w:w w:val="105"/>
          <w:sz w:val="16"/>
        </w:rPr>
        <w:t> </w:t>
      </w:r>
      <w:r>
        <w:rPr>
          <w:rFonts w:ascii="Calibri" w:hAnsi="Calibri"/>
          <w:color w:val="414042"/>
          <w:w w:val="105"/>
          <w:sz w:val="16"/>
        </w:rPr>
        <w:t>en</w:t>
      </w:r>
      <w:r>
        <w:rPr>
          <w:rFonts w:ascii="Calibri" w:hAnsi="Calibri"/>
          <w:color w:val="414042"/>
          <w:spacing w:val="-16"/>
          <w:w w:val="105"/>
          <w:sz w:val="16"/>
        </w:rPr>
        <w:t> </w:t>
      </w:r>
      <w:r>
        <w:rPr>
          <w:rFonts w:ascii="Calibri" w:hAnsi="Calibri"/>
          <w:color w:val="414042"/>
          <w:w w:val="105"/>
          <w:sz w:val="16"/>
        </w:rPr>
        <w:t>el</w:t>
      </w:r>
      <w:r>
        <w:rPr>
          <w:rFonts w:ascii="Calibri" w:hAnsi="Calibri"/>
          <w:color w:val="414042"/>
          <w:spacing w:val="-16"/>
          <w:w w:val="105"/>
          <w:sz w:val="16"/>
        </w:rPr>
        <w:t> </w:t>
      </w:r>
      <w:r>
        <w:rPr>
          <w:rFonts w:ascii="Calibri" w:hAnsi="Calibri"/>
          <w:color w:val="414042"/>
          <w:w w:val="105"/>
          <w:sz w:val="16"/>
        </w:rPr>
        <w:t>precio</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mercado</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los</w:t>
      </w:r>
      <w:r>
        <w:rPr>
          <w:rFonts w:ascii="Calibri" w:hAnsi="Calibri"/>
          <w:color w:val="414042"/>
          <w:spacing w:val="-16"/>
          <w:w w:val="105"/>
          <w:sz w:val="16"/>
        </w:rPr>
        <w:t> </w:t>
      </w:r>
      <w:r>
        <w:rPr>
          <w:rFonts w:ascii="Calibri" w:hAnsi="Calibri"/>
          <w:color w:val="414042"/>
          <w:w w:val="105"/>
          <w:sz w:val="16"/>
        </w:rPr>
        <w:t>mismos. Véase</w:t>
      </w:r>
      <w:r>
        <w:rPr>
          <w:rFonts w:ascii="Calibri" w:hAnsi="Calibri"/>
          <w:color w:val="414042"/>
          <w:spacing w:val="-15"/>
          <w:w w:val="105"/>
          <w:sz w:val="16"/>
        </w:rPr>
        <w:t> </w:t>
      </w:r>
      <w:r>
        <w:rPr>
          <w:rFonts w:ascii="Calibri" w:hAnsi="Calibri"/>
          <w:color w:val="414042"/>
          <w:w w:val="105"/>
          <w:sz w:val="16"/>
        </w:rPr>
        <w:t>Calderón</w:t>
      </w:r>
      <w:r>
        <w:rPr>
          <w:rFonts w:ascii="Calibri" w:hAnsi="Calibri"/>
          <w:color w:val="414042"/>
          <w:spacing w:val="-15"/>
          <w:w w:val="105"/>
          <w:sz w:val="16"/>
        </w:rPr>
        <w:t> </w:t>
      </w:r>
      <w:r>
        <w:rPr>
          <w:rFonts w:ascii="Calibri" w:hAnsi="Calibri"/>
          <w:i/>
          <w:color w:val="414042"/>
          <w:w w:val="105"/>
          <w:sz w:val="16"/>
        </w:rPr>
        <w:t>et</w:t>
      </w:r>
      <w:r>
        <w:rPr>
          <w:rFonts w:ascii="Calibri" w:hAnsi="Calibri"/>
          <w:i/>
          <w:color w:val="414042"/>
          <w:spacing w:val="-16"/>
          <w:w w:val="105"/>
          <w:sz w:val="16"/>
        </w:rPr>
        <w:t> </w:t>
      </w:r>
      <w:r>
        <w:rPr>
          <w:rFonts w:ascii="Calibri" w:hAnsi="Calibri"/>
          <w:i/>
          <w:color w:val="414042"/>
          <w:w w:val="105"/>
          <w:sz w:val="16"/>
        </w:rPr>
        <w:t>al</w:t>
      </w:r>
      <w:r>
        <w:rPr>
          <w:rFonts w:ascii="Times New Roman" w:hAnsi="Times New Roman"/>
          <w:i/>
          <w:color w:val="414042"/>
          <w:w w:val="105"/>
          <w:sz w:val="16"/>
        </w:rPr>
        <w:t>.</w:t>
      </w:r>
      <w:r>
        <w:rPr>
          <w:rFonts w:ascii="Times New Roman" w:hAnsi="Times New Roman"/>
          <w:i/>
          <w:color w:val="414042"/>
          <w:spacing w:val="-19"/>
          <w:w w:val="105"/>
          <w:sz w:val="16"/>
        </w:rPr>
        <w:t> </w:t>
      </w:r>
      <w:r>
        <w:rPr>
          <w:rFonts w:ascii="Calibri" w:hAnsi="Calibri"/>
          <w:color w:val="414042"/>
          <w:w w:val="105"/>
          <w:sz w:val="16"/>
        </w:rPr>
        <w:t>(2009).</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905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242</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9008"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243</w:t>
      </w:r>
    </w:p>
    <w:p>
      <w:pPr>
        <w:pStyle w:val="BodyText"/>
        <w:rPr>
          <w:sz w:val="20"/>
        </w:rPr>
      </w:pPr>
    </w:p>
    <w:p>
      <w:pPr>
        <w:pStyle w:val="BodyText"/>
        <w:rPr>
          <w:sz w:val="20"/>
        </w:rPr>
      </w:pPr>
    </w:p>
    <w:p>
      <w:pPr>
        <w:pStyle w:val="BodyText"/>
        <w:spacing w:line="259" w:lineRule="auto" w:before="176"/>
        <w:ind w:left="117" w:right="101" w:hanging="1"/>
        <w:jc w:val="both"/>
      </w:pPr>
      <w:r>
        <w:rPr>
          <w:color w:val="231F20"/>
          <w:w w:val="105"/>
        </w:rPr>
        <w:t>los efectos de capital humano</w:t>
      </w:r>
      <w:r>
        <w:rPr>
          <w:color w:val="231F20"/>
          <w:w w:val="105"/>
          <w:position w:val="7"/>
          <w:sz w:val="12"/>
        </w:rPr>
        <w:t>4 </w:t>
      </w:r>
      <w:r>
        <w:rPr>
          <w:color w:val="231F20"/>
          <w:w w:val="105"/>
        </w:rPr>
        <w:t>en el crecimiento del ingreso </w:t>
      </w:r>
      <w:r>
        <w:rPr>
          <w:i/>
          <w:color w:val="231F20"/>
          <w:w w:val="105"/>
        </w:rPr>
        <w:t>per cápita </w:t>
      </w:r>
      <w:r>
        <w:rPr>
          <w:color w:val="231F20"/>
          <w:w w:val="105"/>
        </w:rPr>
        <w:t>o de cualquier implicación para una política educativa (Díaz-Bautista y </w:t>
      </w:r>
      <w:r>
        <w:rPr>
          <w:color w:val="231F20"/>
        </w:rPr>
        <w:t>Díaz, 2003).</w:t>
      </w:r>
    </w:p>
    <w:p>
      <w:pPr>
        <w:spacing w:before="162"/>
        <w:ind w:left="117" w:right="0" w:firstLine="0"/>
        <w:jc w:val="both"/>
        <w:rPr>
          <w:i/>
          <w:sz w:val="21"/>
        </w:rPr>
      </w:pPr>
      <w:r>
        <w:rPr>
          <w:i/>
          <w:color w:val="231F20"/>
          <w:w w:val="105"/>
          <w:sz w:val="21"/>
        </w:rPr>
        <w:t>El progreso técnico</w:t>
      </w:r>
    </w:p>
    <w:p>
      <w:pPr>
        <w:pStyle w:val="BodyText"/>
        <w:spacing w:before="4"/>
        <w:rPr>
          <w:i/>
          <w:sz w:val="16"/>
        </w:rPr>
      </w:pPr>
    </w:p>
    <w:p>
      <w:pPr>
        <w:pStyle w:val="BodyText"/>
        <w:spacing w:line="259" w:lineRule="auto"/>
        <w:ind w:left="117" w:right="101"/>
        <w:jc w:val="both"/>
      </w:pPr>
      <w:r>
        <w:rPr>
          <w:color w:val="231F20"/>
          <w:w w:val="105"/>
        </w:rPr>
        <w:t>En</w:t>
      </w:r>
      <w:r>
        <w:rPr>
          <w:color w:val="231F20"/>
          <w:spacing w:val="-32"/>
          <w:w w:val="105"/>
        </w:rPr>
        <w:t> </w:t>
      </w:r>
      <w:r>
        <w:rPr>
          <w:color w:val="231F20"/>
          <w:w w:val="105"/>
        </w:rPr>
        <w:t>su</w:t>
      </w:r>
      <w:r>
        <w:rPr>
          <w:color w:val="231F20"/>
          <w:spacing w:val="-32"/>
          <w:w w:val="105"/>
        </w:rPr>
        <w:t> </w:t>
      </w:r>
      <w:r>
        <w:rPr>
          <w:color w:val="231F20"/>
          <w:w w:val="105"/>
        </w:rPr>
        <w:t>artículo</w:t>
      </w:r>
      <w:r>
        <w:rPr>
          <w:color w:val="231F20"/>
          <w:spacing w:val="-32"/>
          <w:w w:val="105"/>
        </w:rPr>
        <w:t> </w:t>
      </w:r>
      <w:r>
        <w:rPr>
          <w:color w:val="231F20"/>
          <w:w w:val="105"/>
        </w:rPr>
        <w:t>“The</w:t>
      </w:r>
      <w:r>
        <w:rPr>
          <w:color w:val="231F20"/>
          <w:spacing w:val="-32"/>
          <w:w w:val="105"/>
        </w:rPr>
        <w:t> </w:t>
      </w:r>
      <w:r>
        <w:rPr>
          <w:color w:val="231F20"/>
          <w:w w:val="105"/>
        </w:rPr>
        <w:t>Origins</w:t>
      </w:r>
      <w:r>
        <w:rPr>
          <w:color w:val="231F20"/>
          <w:spacing w:val="-32"/>
          <w:w w:val="105"/>
        </w:rPr>
        <w:t> </w:t>
      </w:r>
      <w:r>
        <w:rPr>
          <w:color w:val="231F20"/>
          <w:w w:val="105"/>
        </w:rPr>
        <w:t>of</w:t>
      </w:r>
      <w:r>
        <w:rPr>
          <w:color w:val="231F20"/>
          <w:spacing w:val="-29"/>
          <w:w w:val="105"/>
        </w:rPr>
        <w:t> </w:t>
      </w:r>
      <w:r>
        <w:rPr>
          <w:color w:val="231F20"/>
          <w:w w:val="105"/>
        </w:rPr>
        <w:t>Endogenous</w:t>
      </w:r>
      <w:r>
        <w:rPr>
          <w:color w:val="231F20"/>
          <w:spacing w:val="-32"/>
          <w:w w:val="105"/>
        </w:rPr>
        <w:t> </w:t>
      </w:r>
      <w:r>
        <w:rPr>
          <w:color w:val="231F20"/>
          <w:spacing w:val="-3"/>
          <w:w w:val="105"/>
        </w:rPr>
        <w:t>Growth”</w:t>
      </w:r>
      <w:r>
        <w:rPr>
          <w:color w:val="231F20"/>
          <w:spacing w:val="-32"/>
          <w:w w:val="105"/>
        </w:rPr>
        <w:t> </w:t>
      </w:r>
      <w:r>
        <w:rPr>
          <w:color w:val="231F20"/>
          <w:w w:val="105"/>
        </w:rPr>
        <w:t>Romer</w:t>
      </w:r>
      <w:r>
        <w:rPr>
          <w:color w:val="231F20"/>
          <w:spacing w:val="-32"/>
          <w:w w:val="105"/>
        </w:rPr>
        <w:t> </w:t>
      </w:r>
      <w:r>
        <w:rPr>
          <w:color w:val="231F20"/>
          <w:w w:val="105"/>
        </w:rPr>
        <w:t>(1994)</w:t>
      </w:r>
      <w:r>
        <w:rPr>
          <w:color w:val="231F20"/>
          <w:spacing w:val="-32"/>
          <w:w w:val="105"/>
        </w:rPr>
        <w:t> </w:t>
      </w:r>
      <w:r>
        <w:rPr>
          <w:color w:val="231F20"/>
          <w:spacing w:val="-3"/>
          <w:w w:val="105"/>
        </w:rPr>
        <w:t>presen- </w:t>
      </w:r>
      <w:r>
        <w:rPr>
          <w:color w:val="231F20"/>
          <w:w w:val="105"/>
        </w:rPr>
        <w:t>tó</w:t>
      </w:r>
      <w:r>
        <w:rPr>
          <w:color w:val="231F20"/>
          <w:spacing w:val="-23"/>
          <w:w w:val="105"/>
        </w:rPr>
        <w:t> </w:t>
      </w:r>
      <w:r>
        <w:rPr>
          <w:color w:val="231F20"/>
          <w:w w:val="105"/>
        </w:rPr>
        <w:t>un</w:t>
      </w:r>
      <w:r>
        <w:rPr>
          <w:color w:val="231F20"/>
          <w:spacing w:val="-23"/>
          <w:w w:val="105"/>
        </w:rPr>
        <w:t> </w:t>
      </w:r>
      <w:r>
        <w:rPr>
          <w:color w:val="231F20"/>
          <w:w w:val="105"/>
        </w:rPr>
        <w:t>modelo</w:t>
      </w:r>
      <w:r>
        <w:rPr>
          <w:color w:val="231F20"/>
          <w:spacing w:val="-23"/>
          <w:w w:val="105"/>
        </w:rPr>
        <w:t> </w:t>
      </w:r>
      <w:r>
        <w:rPr>
          <w:color w:val="231F20"/>
          <w:w w:val="105"/>
        </w:rPr>
        <w:t>de</w:t>
      </w:r>
      <w:r>
        <w:rPr>
          <w:color w:val="231F20"/>
          <w:spacing w:val="-23"/>
          <w:w w:val="105"/>
        </w:rPr>
        <w:t> </w:t>
      </w:r>
      <w:r>
        <w:rPr>
          <w:color w:val="231F20"/>
          <w:spacing w:val="-3"/>
          <w:w w:val="105"/>
        </w:rPr>
        <w:t>crecimiento</w:t>
      </w:r>
      <w:r>
        <w:rPr>
          <w:color w:val="231F20"/>
          <w:spacing w:val="-23"/>
          <w:w w:val="105"/>
        </w:rPr>
        <w:t> </w:t>
      </w:r>
      <w:r>
        <w:rPr>
          <w:color w:val="231F20"/>
          <w:w w:val="105"/>
        </w:rPr>
        <w:t>de</w:t>
      </w:r>
      <w:r>
        <w:rPr>
          <w:color w:val="231F20"/>
          <w:spacing w:val="-23"/>
          <w:w w:val="105"/>
        </w:rPr>
        <w:t> </w:t>
      </w:r>
      <w:r>
        <w:rPr>
          <w:color w:val="231F20"/>
          <w:spacing w:val="-3"/>
          <w:w w:val="105"/>
        </w:rPr>
        <w:t>largo</w:t>
      </w:r>
      <w:r>
        <w:rPr>
          <w:color w:val="231F20"/>
          <w:spacing w:val="-23"/>
          <w:w w:val="105"/>
        </w:rPr>
        <w:t> </w:t>
      </w:r>
      <w:r>
        <w:rPr>
          <w:color w:val="231F20"/>
          <w:w w:val="105"/>
        </w:rPr>
        <w:t>plazo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cual</w:t>
      </w:r>
      <w:r>
        <w:rPr>
          <w:color w:val="231F20"/>
          <w:spacing w:val="-23"/>
          <w:w w:val="105"/>
        </w:rPr>
        <w:t> </w:t>
      </w:r>
      <w:r>
        <w:rPr>
          <w:color w:val="231F20"/>
          <w:w w:val="105"/>
        </w:rPr>
        <w:t>se</w:t>
      </w:r>
      <w:r>
        <w:rPr>
          <w:color w:val="231F20"/>
          <w:spacing w:val="-23"/>
          <w:w w:val="105"/>
        </w:rPr>
        <w:t> </w:t>
      </w:r>
      <w:r>
        <w:rPr>
          <w:color w:val="231F20"/>
          <w:w w:val="105"/>
        </w:rPr>
        <w:t>asume</w:t>
      </w:r>
      <w:r>
        <w:rPr>
          <w:color w:val="231F20"/>
          <w:spacing w:val="-23"/>
          <w:w w:val="105"/>
        </w:rPr>
        <w:t> </w:t>
      </w:r>
      <w:r>
        <w:rPr>
          <w:color w:val="231F20"/>
          <w:w w:val="105"/>
        </w:rPr>
        <w:t>al</w:t>
      </w:r>
      <w:r>
        <w:rPr>
          <w:color w:val="231F20"/>
          <w:spacing w:val="-23"/>
          <w:w w:val="105"/>
        </w:rPr>
        <w:t> </w:t>
      </w:r>
      <w:r>
        <w:rPr>
          <w:color w:val="231F20"/>
          <w:w w:val="105"/>
        </w:rPr>
        <w:t>conoci- miento</w:t>
      </w:r>
      <w:r>
        <w:rPr>
          <w:color w:val="231F20"/>
          <w:spacing w:val="-14"/>
          <w:w w:val="105"/>
        </w:rPr>
        <w:t> </w:t>
      </w:r>
      <w:r>
        <w:rPr>
          <w:color w:val="231F20"/>
          <w:w w:val="105"/>
        </w:rPr>
        <w:t>como</w:t>
      </w:r>
      <w:r>
        <w:rPr>
          <w:color w:val="231F20"/>
          <w:spacing w:val="-14"/>
          <w:w w:val="105"/>
        </w:rPr>
        <w:t> </w:t>
      </w:r>
      <w:r>
        <w:rPr>
          <w:color w:val="231F20"/>
          <w:w w:val="105"/>
        </w:rPr>
        <w:t>el</w:t>
      </w:r>
      <w:r>
        <w:rPr>
          <w:color w:val="231F20"/>
          <w:spacing w:val="-14"/>
          <w:w w:val="105"/>
        </w:rPr>
        <w:t> </w:t>
      </w:r>
      <w:r>
        <w:rPr>
          <w:color w:val="231F20"/>
          <w:w w:val="105"/>
        </w:rPr>
        <w:t>impulsor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producción</w:t>
      </w:r>
      <w:r>
        <w:rPr>
          <w:color w:val="231F20"/>
          <w:spacing w:val="-14"/>
          <w:w w:val="105"/>
        </w:rPr>
        <w:t> </w:t>
      </w:r>
      <w:r>
        <w:rPr>
          <w:color w:val="231F20"/>
          <w:w w:val="105"/>
        </w:rPr>
        <w:t>que</w:t>
      </w:r>
      <w:r>
        <w:rPr>
          <w:color w:val="231F20"/>
          <w:spacing w:val="-14"/>
          <w:w w:val="105"/>
        </w:rPr>
        <w:t> </w:t>
      </w:r>
      <w:r>
        <w:rPr>
          <w:color w:val="231F20"/>
          <w:w w:val="105"/>
        </w:rPr>
        <w:t>contribuye</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spacing w:val="-3"/>
          <w:w w:val="105"/>
        </w:rPr>
        <w:t>productivi- </w:t>
      </w:r>
      <w:r>
        <w:rPr>
          <w:color w:val="231F20"/>
          <w:w w:val="105"/>
        </w:rPr>
        <w:t>dad</w:t>
      </w:r>
      <w:r>
        <w:rPr>
          <w:color w:val="231F20"/>
          <w:spacing w:val="-19"/>
          <w:w w:val="105"/>
        </w:rPr>
        <w:t> </w:t>
      </w:r>
      <w:r>
        <w:rPr>
          <w:color w:val="231F20"/>
          <w:spacing w:val="-3"/>
          <w:w w:val="105"/>
        </w:rPr>
        <w:t>marginal.</w:t>
      </w:r>
      <w:r>
        <w:rPr>
          <w:color w:val="231F20"/>
          <w:spacing w:val="-25"/>
          <w:w w:val="105"/>
        </w:rPr>
        <w:t> </w:t>
      </w:r>
      <w:r>
        <w:rPr>
          <w:color w:val="231F20"/>
          <w:w w:val="105"/>
        </w:rPr>
        <w:t>Es</w:t>
      </w:r>
      <w:r>
        <w:rPr>
          <w:color w:val="231F20"/>
          <w:spacing w:val="-19"/>
          <w:w w:val="105"/>
        </w:rPr>
        <w:t> </w:t>
      </w:r>
      <w:r>
        <w:rPr>
          <w:color w:val="231F20"/>
          <w:w w:val="105"/>
        </w:rPr>
        <w:t>esencialmente</w:t>
      </w:r>
      <w:r>
        <w:rPr>
          <w:color w:val="231F20"/>
          <w:spacing w:val="-19"/>
          <w:w w:val="105"/>
        </w:rPr>
        <w:t> </w:t>
      </w:r>
      <w:r>
        <w:rPr>
          <w:color w:val="231F20"/>
          <w:w w:val="105"/>
        </w:rPr>
        <w:t>un</w:t>
      </w:r>
      <w:r>
        <w:rPr>
          <w:color w:val="231F20"/>
          <w:spacing w:val="-19"/>
          <w:w w:val="105"/>
        </w:rPr>
        <w:t> </w:t>
      </w:r>
      <w:r>
        <w:rPr>
          <w:color w:val="231F20"/>
          <w:w w:val="105"/>
        </w:rPr>
        <w:t>modelo</w:t>
      </w:r>
      <w:r>
        <w:rPr>
          <w:color w:val="231F20"/>
          <w:spacing w:val="-19"/>
          <w:w w:val="105"/>
        </w:rPr>
        <w:t> </w:t>
      </w:r>
      <w:r>
        <w:rPr>
          <w:color w:val="231F20"/>
          <w:w w:val="105"/>
        </w:rPr>
        <w:t>de</w:t>
      </w:r>
      <w:r>
        <w:rPr>
          <w:color w:val="231F20"/>
          <w:spacing w:val="-19"/>
          <w:w w:val="105"/>
        </w:rPr>
        <w:t> </w:t>
      </w:r>
      <w:r>
        <w:rPr>
          <w:color w:val="231F20"/>
          <w:w w:val="105"/>
        </w:rPr>
        <w:t>equilibrio</w:t>
      </w:r>
      <w:r>
        <w:rPr>
          <w:color w:val="231F20"/>
          <w:spacing w:val="-19"/>
          <w:w w:val="105"/>
        </w:rPr>
        <w:t> </w:t>
      </w:r>
      <w:r>
        <w:rPr>
          <w:color w:val="231F20"/>
          <w:w w:val="105"/>
        </w:rPr>
        <w:t>competitivo</w:t>
      </w:r>
      <w:r>
        <w:rPr>
          <w:color w:val="231F20"/>
          <w:spacing w:val="-19"/>
          <w:w w:val="105"/>
        </w:rPr>
        <w:t> </w:t>
      </w:r>
      <w:r>
        <w:rPr>
          <w:color w:val="231F20"/>
          <w:spacing w:val="-2"/>
          <w:w w:val="105"/>
        </w:rPr>
        <w:t>con </w:t>
      </w:r>
      <w:r>
        <w:rPr>
          <w:color w:val="231F20"/>
          <w:w w:val="105"/>
        </w:rPr>
        <w:t>cambio</w:t>
      </w:r>
      <w:r>
        <w:rPr>
          <w:color w:val="231F20"/>
          <w:spacing w:val="-18"/>
          <w:w w:val="105"/>
        </w:rPr>
        <w:t> </w:t>
      </w:r>
      <w:r>
        <w:rPr>
          <w:color w:val="231F20"/>
          <w:w w:val="105"/>
        </w:rPr>
        <w:t>tecnológico</w:t>
      </w:r>
      <w:r>
        <w:rPr>
          <w:color w:val="231F20"/>
          <w:spacing w:val="-18"/>
          <w:w w:val="105"/>
        </w:rPr>
        <w:t> </w:t>
      </w:r>
      <w:r>
        <w:rPr>
          <w:color w:val="231F20"/>
          <w:w w:val="105"/>
        </w:rPr>
        <w:t>endógeno;</w:t>
      </w:r>
      <w:r>
        <w:rPr>
          <w:color w:val="231F20"/>
          <w:spacing w:val="-18"/>
          <w:w w:val="105"/>
        </w:rPr>
        <w:t> </w:t>
      </w:r>
      <w:r>
        <w:rPr>
          <w:color w:val="231F20"/>
          <w:w w:val="105"/>
        </w:rPr>
        <w:t>éste</w:t>
      </w:r>
      <w:r>
        <w:rPr>
          <w:color w:val="231F20"/>
          <w:spacing w:val="-18"/>
          <w:w w:val="105"/>
        </w:rPr>
        <w:t> </w:t>
      </w:r>
      <w:r>
        <w:rPr>
          <w:color w:val="231F20"/>
          <w:w w:val="105"/>
        </w:rPr>
        <w:t>endogeniza</w:t>
      </w:r>
      <w:r>
        <w:rPr>
          <w:color w:val="231F20"/>
          <w:spacing w:val="-18"/>
          <w:w w:val="105"/>
        </w:rPr>
        <w:t> </w:t>
      </w:r>
      <w:r>
        <w:rPr>
          <w:color w:val="231F20"/>
          <w:w w:val="105"/>
        </w:rPr>
        <w:t>el</w:t>
      </w:r>
      <w:r>
        <w:rPr>
          <w:color w:val="231F20"/>
          <w:spacing w:val="-18"/>
          <w:w w:val="105"/>
        </w:rPr>
        <w:t> </w:t>
      </w:r>
      <w:r>
        <w:rPr>
          <w:color w:val="231F20"/>
          <w:spacing w:val="-3"/>
          <w:w w:val="105"/>
        </w:rPr>
        <w:t>progreso</w:t>
      </w:r>
      <w:r>
        <w:rPr>
          <w:color w:val="231F20"/>
          <w:spacing w:val="-18"/>
          <w:w w:val="105"/>
        </w:rPr>
        <w:t> </w:t>
      </w:r>
      <w:r>
        <w:rPr>
          <w:color w:val="231F20"/>
          <w:w w:val="105"/>
        </w:rPr>
        <w:t>tecnológico al</w:t>
      </w:r>
      <w:r>
        <w:rPr>
          <w:color w:val="231F20"/>
          <w:spacing w:val="-19"/>
          <w:w w:val="105"/>
        </w:rPr>
        <w:t> </w:t>
      </w:r>
      <w:r>
        <w:rPr>
          <w:color w:val="231F20"/>
          <w:spacing w:val="-3"/>
          <w:w w:val="105"/>
        </w:rPr>
        <w:t>introducir</w:t>
      </w:r>
      <w:r>
        <w:rPr>
          <w:color w:val="231F20"/>
          <w:spacing w:val="-19"/>
          <w:w w:val="105"/>
        </w:rPr>
        <w:t> </w:t>
      </w:r>
      <w:r>
        <w:rPr>
          <w:color w:val="231F20"/>
          <w:w w:val="105"/>
        </w:rPr>
        <w:t>la</w:t>
      </w:r>
      <w:r>
        <w:rPr>
          <w:color w:val="231F20"/>
          <w:spacing w:val="-19"/>
          <w:w w:val="105"/>
        </w:rPr>
        <w:t> </w:t>
      </w:r>
      <w:r>
        <w:rPr>
          <w:color w:val="231F20"/>
          <w:w w:val="105"/>
        </w:rPr>
        <w:t>búsqueda</w:t>
      </w:r>
      <w:r>
        <w:rPr>
          <w:color w:val="231F20"/>
          <w:spacing w:val="-19"/>
          <w:w w:val="105"/>
        </w:rPr>
        <w:t> </w:t>
      </w:r>
      <w:r>
        <w:rPr>
          <w:color w:val="231F20"/>
          <w:w w:val="105"/>
        </w:rPr>
        <w:t>de</w:t>
      </w:r>
      <w:r>
        <w:rPr>
          <w:color w:val="231F20"/>
          <w:spacing w:val="-19"/>
          <w:w w:val="105"/>
        </w:rPr>
        <w:t> </w:t>
      </w:r>
      <w:r>
        <w:rPr>
          <w:color w:val="231F20"/>
          <w:w w:val="105"/>
        </w:rPr>
        <w:t>nuevas</w:t>
      </w:r>
      <w:r>
        <w:rPr>
          <w:color w:val="231F20"/>
          <w:spacing w:val="-19"/>
          <w:w w:val="105"/>
        </w:rPr>
        <w:t> </w:t>
      </w:r>
      <w:r>
        <w:rPr>
          <w:color w:val="231F20"/>
          <w:w w:val="105"/>
        </w:rPr>
        <w:t>ideas</w:t>
      </w:r>
      <w:r>
        <w:rPr>
          <w:color w:val="231F20"/>
          <w:spacing w:val="-19"/>
          <w:w w:val="105"/>
        </w:rPr>
        <w:t> </w:t>
      </w:r>
      <w:r>
        <w:rPr>
          <w:color w:val="231F20"/>
          <w:w w:val="105"/>
        </w:rPr>
        <w:t>por</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investigadores interesados</w:t>
      </w:r>
      <w:r>
        <w:rPr>
          <w:color w:val="231F20"/>
          <w:spacing w:val="-22"/>
          <w:w w:val="105"/>
        </w:rPr>
        <w:t> </w:t>
      </w:r>
      <w:r>
        <w:rPr>
          <w:color w:val="231F20"/>
          <w:w w:val="105"/>
        </w:rPr>
        <w:t>en</w:t>
      </w:r>
      <w:r>
        <w:rPr>
          <w:color w:val="231F20"/>
          <w:spacing w:val="-22"/>
          <w:w w:val="105"/>
        </w:rPr>
        <w:t> </w:t>
      </w:r>
      <w:r>
        <w:rPr>
          <w:color w:val="231F20"/>
          <w:w w:val="105"/>
        </w:rPr>
        <w:t>obtener</w:t>
      </w:r>
      <w:r>
        <w:rPr>
          <w:color w:val="231F20"/>
          <w:spacing w:val="-22"/>
          <w:w w:val="105"/>
        </w:rPr>
        <w:t> </w:t>
      </w:r>
      <w:r>
        <w:rPr>
          <w:color w:val="231F20"/>
          <w:w w:val="105"/>
        </w:rPr>
        <w:t>ganancias</w:t>
      </w:r>
      <w:r>
        <w:rPr>
          <w:color w:val="231F20"/>
          <w:spacing w:val="-22"/>
          <w:w w:val="105"/>
        </w:rPr>
        <w:t> </w:t>
      </w:r>
      <w:r>
        <w:rPr>
          <w:color w:val="231F20"/>
          <w:w w:val="105"/>
        </w:rPr>
        <w:t>de</w:t>
      </w:r>
      <w:r>
        <w:rPr>
          <w:color w:val="231F20"/>
          <w:spacing w:val="-22"/>
          <w:w w:val="105"/>
        </w:rPr>
        <w:t> </w:t>
      </w:r>
      <w:r>
        <w:rPr>
          <w:color w:val="231F20"/>
          <w:w w:val="105"/>
        </w:rPr>
        <w:t>sus</w:t>
      </w:r>
      <w:r>
        <w:rPr>
          <w:color w:val="231F20"/>
          <w:spacing w:val="-22"/>
          <w:w w:val="105"/>
        </w:rPr>
        <w:t> </w:t>
      </w:r>
      <w:r>
        <w:rPr>
          <w:color w:val="231F20"/>
          <w:w w:val="105"/>
        </w:rPr>
        <w:t>invenciones</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spacing w:val="-3"/>
          <w:w w:val="105"/>
        </w:rPr>
        <w:t>crecimiento</w:t>
      </w:r>
      <w:r>
        <w:rPr>
          <w:color w:val="231F20"/>
          <w:spacing w:val="-22"/>
          <w:w w:val="105"/>
        </w:rPr>
        <w:t> </w:t>
      </w:r>
      <w:r>
        <w:rPr>
          <w:color w:val="231F20"/>
          <w:w w:val="105"/>
        </w:rPr>
        <w:t>de ideas</w:t>
      </w:r>
      <w:r>
        <w:rPr>
          <w:color w:val="231F20"/>
          <w:spacing w:val="-20"/>
          <w:w w:val="105"/>
        </w:rPr>
        <w:t> </w:t>
      </w:r>
      <w:r>
        <w:rPr>
          <w:color w:val="231F20"/>
          <w:w w:val="105"/>
        </w:rPr>
        <w:t>se</w:t>
      </w:r>
      <w:r>
        <w:rPr>
          <w:color w:val="231F20"/>
          <w:spacing w:val="-20"/>
          <w:w w:val="105"/>
        </w:rPr>
        <w:t> </w:t>
      </w:r>
      <w:r>
        <w:rPr>
          <w:color w:val="231F20"/>
          <w:spacing w:val="-3"/>
          <w:w w:val="105"/>
        </w:rPr>
        <w:t>relaciona</w:t>
      </w:r>
      <w:r>
        <w:rPr>
          <w:color w:val="231F20"/>
          <w:spacing w:val="-20"/>
          <w:w w:val="105"/>
        </w:rPr>
        <w:t> </w:t>
      </w:r>
      <w:r>
        <w:rPr>
          <w:color w:val="231F20"/>
          <w:w w:val="105"/>
        </w:rPr>
        <w:t>claramente</w:t>
      </w:r>
      <w:r>
        <w:rPr>
          <w:color w:val="231F20"/>
          <w:spacing w:val="-20"/>
          <w:w w:val="105"/>
        </w:rPr>
        <w:t> </w:t>
      </w:r>
      <w:r>
        <w:rPr>
          <w:color w:val="231F20"/>
          <w:w w:val="105"/>
        </w:rPr>
        <w:t>con</w:t>
      </w:r>
      <w:r>
        <w:rPr>
          <w:color w:val="231F20"/>
          <w:spacing w:val="-20"/>
          <w:w w:val="105"/>
        </w:rPr>
        <w:t> </w:t>
      </w:r>
      <w:r>
        <w:rPr>
          <w:color w:val="231F20"/>
          <w:w w:val="105"/>
        </w:rPr>
        <w:t>el</w:t>
      </w:r>
      <w:r>
        <w:rPr>
          <w:color w:val="231F20"/>
          <w:spacing w:val="-20"/>
          <w:w w:val="105"/>
        </w:rPr>
        <w:t> </w:t>
      </w:r>
      <w:r>
        <w:rPr>
          <w:color w:val="231F20"/>
          <w:spacing w:val="-3"/>
          <w:w w:val="105"/>
        </w:rPr>
        <w:t>crecimiento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población.</w:t>
      </w:r>
      <w:r>
        <w:rPr>
          <w:color w:val="231F20"/>
          <w:spacing w:val="-25"/>
          <w:w w:val="105"/>
        </w:rPr>
        <w:t> </w:t>
      </w:r>
      <w:r>
        <w:rPr>
          <w:color w:val="231F20"/>
          <w:w w:val="105"/>
        </w:rPr>
        <w:t>Un</w:t>
      </w:r>
      <w:r>
        <w:rPr>
          <w:color w:val="231F20"/>
          <w:spacing w:val="-20"/>
          <w:w w:val="105"/>
        </w:rPr>
        <w:t> </w:t>
      </w:r>
      <w:r>
        <w:rPr>
          <w:color w:val="231F20"/>
          <w:w w:val="105"/>
        </w:rPr>
        <w:t>ma- yor </w:t>
      </w:r>
      <w:r>
        <w:rPr>
          <w:color w:val="231F20"/>
          <w:spacing w:val="-3"/>
          <w:w w:val="105"/>
        </w:rPr>
        <w:t>número </w:t>
      </w:r>
      <w:r>
        <w:rPr>
          <w:color w:val="231F20"/>
          <w:w w:val="105"/>
        </w:rPr>
        <w:t>de </w:t>
      </w:r>
      <w:r>
        <w:rPr>
          <w:color w:val="231F20"/>
          <w:spacing w:val="-3"/>
          <w:w w:val="105"/>
        </w:rPr>
        <w:t>investigadores </w:t>
      </w:r>
      <w:r>
        <w:rPr>
          <w:color w:val="231F20"/>
          <w:w w:val="105"/>
        </w:rPr>
        <w:t>puede </w:t>
      </w:r>
      <w:r>
        <w:rPr>
          <w:color w:val="231F20"/>
          <w:spacing w:val="-3"/>
          <w:w w:val="105"/>
        </w:rPr>
        <w:t>crear </w:t>
      </w:r>
      <w:r>
        <w:rPr>
          <w:color w:val="231F20"/>
          <w:w w:val="105"/>
        </w:rPr>
        <w:t>un mayor </w:t>
      </w:r>
      <w:r>
        <w:rPr>
          <w:color w:val="231F20"/>
          <w:spacing w:val="-3"/>
          <w:w w:val="105"/>
        </w:rPr>
        <w:t>número </w:t>
      </w:r>
      <w:r>
        <w:rPr>
          <w:color w:val="231F20"/>
          <w:w w:val="105"/>
        </w:rPr>
        <w:t>de ideas y éste</w:t>
      </w:r>
      <w:r>
        <w:rPr>
          <w:color w:val="231F20"/>
          <w:spacing w:val="-14"/>
          <w:w w:val="105"/>
        </w:rPr>
        <w:t> </w:t>
      </w:r>
      <w:r>
        <w:rPr>
          <w:color w:val="231F20"/>
          <w:w w:val="105"/>
        </w:rPr>
        <w:t>es</w:t>
      </w:r>
      <w:r>
        <w:rPr>
          <w:color w:val="231F20"/>
          <w:spacing w:val="-14"/>
          <w:w w:val="105"/>
        </w:rPr>
        <w:t> </w:t>
      </w:r>
      <w:r>
        <w:rPr>
          <w:color w:val="231F20"/>
          <w:w w:val="105"/>
        </w:rPr>
        <w:t>el</w:t>
      </w:r>
      <w:r>
        <w:rPr>
          <w:color w:val="231F20"/>
          <w:spacing w:val="-14"/>
          <w:w w:val="105"/>
        </w:rPr>
        <w:t> </w:t>
      </w:r>
      <w:r>
        <w:rPr>
          <w:color w:val="231F20"/>
          <w:w w:val="105"/>
        </w:rPr>
        <w:t>principio</w:t>
      </w:r>
      <w:r>
        <w:rPr>
          <w:color w:val="231F20"/>
          <w:spacing w:val="-14"/>
          <w:w w:val="105"/>
        </w:rPr>
        <w:t> </w:t>
      </w:r>
      <w:r>
        <w:rPr>
          <w:color w:val="231F20"/>
          <w:w w:val="105"/>
        </w:rPr>
        <w:t>general</w:t>
      </w:r>
      <w:r>
        <w:rPr>
          <w:color w:val="231F20"/>
          <w:spacing w:val="-14"/>
          <w:w w:val="105"/>
        </w:rPr>
        <w:t> </w:t>
      </w:r>
      <w:r>
        <w:rPr>
          <w:color w:val="231F20"/>
          <w:w w:val="105"/>
        </w:rPr>
        <w:t>que</w:t>
      </w:r>
      <w:r>
        <w:rPr>
          <w:color w:val="231F20"/>
          <w:spacing w:val="-14"/>
          <w:w w:val="105"/>
        </w:rPr>
        <w:t> </w:t>
      </w:r>
      <w:r>
        <w:rPr>
          <w:color w:val="231F20"/>
          <w:spacing w:val="-3"/>
          <w:w w:val="105"/>
        </w:rPr>
        <w:t>produce</w:t>
      </w:r>
      <w:r>
        <w:rPr>
          <w:color w:val="231F20"/>
          <w:spacing w:val="-14"/>
          <w:w w:val="105"/>
        </w:rPr>
        <w:t> </w:t>
      </w:r>
      <w:r>
        <w:rPr>
          <w:color w:val="231F20"/>
          <w:w w:val="105"/>
        </w:rPr>
        <w:t>el</w:t>
      </w:r>
      <w:r>
        <w:rPr>
          <w:color w:val="231F20"/>
          <w:spacing w:val="-14"/>
          <w:w w:val="105"/>
        </w:rPr>
        <w:t> </w:t>
      </w:r>
      <w:r>
        <w:rPr>
          <w:color w:val="231F20"/>
          <w:spacing w:val="-3"/>
          <w:w w:val="105"/>
        </w:rPr>
        <w:t>crecimiento</w:t>
      </w:r>
      <w:r>
        <w:rPr>
          <w:color w:val="231F20"/>
          <w:spacing w:val="-14"/>
          <w:w w:val="105"/>
        </w:rPr>
        <w:t> </w:t>
      </w:r>
      <w:r>
        <w:rPr>
          <w:i/>
          <w:color w:val="231F20"/>
          <w:w w:val="105"/>
        </w:rPr>
        <w:t>per</w:t>
      </w:r>
      <w:r>
        <w:rPr>
          <w:i/>
          <w:color w:val="231F20"/>
          <w:spacing w:val="-14"/>
          <w:w w:val="105"/>
        </w:rPr>
        <w:t> </w:t>
      </w:r>
      <w:r>
        <w:rPr>
          <w:i/>
          <w:color w:val="231F20"/>
          <w:w w:val="105"/>
        </w:rPr>
        <w:t>cápita</w:t>
      </w:r>
      <w:r>
        <w:rPr>
          <w:color w:val="231F20"/>
          <w:w w:val="105"/>
        </w:rPr>
        <w:t>.</w:t>
      </w:r>
    </w:p>
    <w:p>
      <w:pPr>
        <w:pStyle w:val="BodyText"/>
        <w:spacing w:line="259" w:lineRule="auto"/>
        <w:ind w:left="117" w:right="101" w:firstLine="567"/>
        <w:jc w:val="both"/>
      </w:pPr>
      <w:r>
        <w:rPr>
          <w:color w:val="231F20"/>
          <w:w w:val="105"/>
        </w:rPr>
        <w:t>De</w:t>
      </w:r>
      <w:r>
        <w:rPr>
          <w:color w:val="231F20"/>
          <w:spacing w:val="-14"/>
          <w:w w:val="105"/>
        </w:rPr>
        <w:t> </w:t>
      </w:r>
      <w:r>
        <w:rPr>
          <w:color w:val="231F20"/>
          <w:w w:val="105"/>
        </w:rPr>
        <w:t>acuerdo</w:t>
      </w:r>
      <w:r>
        <w:rPr>
          <w:color w:val="231F20"/>
          <w:spacing w:val="-14"/>
          <w:w w:val="105"/>
        </w:rPr>
        <w:t> </w:t>
      </w:r>
      <w:r>
        <w:rPr>
          <w:color w:val="231F20"/>
          <w:w w:val="105"/>
        </w:rPr>
        <w:t>con</w:t>
      </w:r>
      <w:r>
        <w:rPr>
          <w:color w:val="231F20"/>
          <w:spacing w:val="-14"/>
          <w:w w:val="105"/>
        </w:rPr>
        <w:t> </w:t>
      </w:r>
      <w:r>
        <w:rPr>
          <w:color w:val="231F20"/>
          <w:w w:val="105"/>
        </w:rPr>
        <w:t>Romer</w:t>
      </w:r>
      <w:r>
        <w:rPr>
          <w:color w:val="231F20"/>
          <w:spacing w:val="-14"/>
          <w:w w:val="105"/>
        </w:rPr>
        <w:t> </w:t>
      </w:r>
      <w:r>
        <w:rPr>
          <w:color w:val="231F20"/>
          <w:w w:val="105"/>
        </w:rPr>
        <w:t>(1996:</w:t>
      </w:r>
      <w:r>
        <w:rPr>
          <w:color w:val="231F20"/>
          <w:spacing w:val="-14"/>
          <w:w w:val="105"/>
        </w:rPr>
        <w:t> </w:t>
      </w:r>
      <w:r>
        <w:rPr>
          <w:color w:val="231F20"/>
          <w:w w:val="105"/>
        </w:rPr>
        <w:t>203),</w:t>
      </w:r>
      <w:r>
        <w:rPr>
          <w:color w:val="231F20"/>
          <w:spacing w:val="-19"/>
          <w:w w:val="105"/>
        </w:rPr>
        <w:t> </w:t>
      </w:r>
      <w:r>
        <w:rPr>
          <w:color w:val="231F20"/>
          <w:w w:val="105"/>
        </w:rPr>
        <w:t>la</w:t>
      </w:r>
      <w:r>
        <w:rPr>
          <w:color w:val="231F20"/>
          <w:spacing w:val="-14"/>
          <w:w w:val="105"/>
        </w:rPr>
        <w:t> </w:t>
      </w:r>
      <w:r>
        <w:rPr>
          <w:color w:val="231F20"/>
          <w:w w:val="105"/>
        </w:rPr>
        <w:t>nueva</w:t>
      </w:r>
      <w:r>
        <w:rPr>
          <w:color w:val="231F20"/>
          <w:spacing w:val="-14"/>
          <w:w w:val="105"/>
        </w:rPr>
        <w:t> </w:t>
      </w:r>
      <w:r>
        <w:rPr>
          <w:color w:val="231F20"/>
          <w:w w:val="105"/>
        </w:rPr>
        <w:t>teoría</w:t>
      </w:r>
      <w:r>
        <w:rPr>
          <w:color w:val="231F20"/>
          <w:spacing w:val="-14"/>
          <w:w w:val="105"/>
        </w:rPr>
        <w:t> </w:t>
      </w:r>
      <w:r>
        <w:rPr>
          <w:color w:val="231F20"/>
          <w:w w:val="105"/>
        </w:rPr>
        <w:t>del</w:t>
      </w:r>
      <w:r>
        <w:rPr>
          <w:color w:val="231F20"/>
          <w:spacing w:val="-14"/>
          <w:w w:val="105"/>
        </w:rPr>
        <w:t> </w:t>
      </w:r>
      <w:r>
        <w:rPr>
          <w:color w:val="231F20"/>
          <w:w w:val="105"/>
        </w:rPr>
        <w:t>crecimien- to empieza con tecnología como bien público y se preocupa de dónde viene la tecnología. Esta teoría empieza dividiendo el mundo en dos ti- pos</w:t>
      </w:r>
      <w:r>
        <w:rPr>
          <w:color w:val="231F20"/>
          <w:spacing w:val="-12"/>
          <w:w w:val="105"/>
        </w:rPr>
        <w:t> </w:t>
      </w:r>
      <w:r>
        <w:rPr>
          <w:color w:val="231F20"/>
          <w:w w:val="105"/>
        </w:rPr>
        <w:t>fundamentales</w:t>
      </w:r>
      <w:r>
        <w:rPr>
          <w:color w:val="231F20"/>
          <w:spacing w:val="-12"/>
          <w:w w:val="105"/>
        </w:rPr>
        <w:t> </w:t>
      </w:r>
      <w:r>
        <w:rPr>
          <w:color w:val="231F20"/>
          <w:w w:val="105"/>
        </w:rPr>
        <w:t>de</w:t>
      </w:r>
      <w:r>
        <w:rPr>
          <w:color w:val="231F20"/>
          <w:spacing w:val="-12"/>
          <w:w w:val="105"/>
        </w:rPr>
        <w:t> </w:t>
      </w:r>
      <w:r>
        <w:rPr>
          <w:color w:val="231F20"/>
          <w:w w:val="105"/>
        </w:rPr>
        <w:t>bienes</w:t>
      </w:r>
      <w:r>
        <w:rPr>
          <w:color w:val="231F20"/>
          <w:spacing w:val="-12"/>
          <w:w w:val="105"/>
        </w:rPr>
        <w:t> </w:t>
      </w:r>
      <w:r>
        <w:rPr>
          <w:color w:val="231F20"/>
          <w:w w:val="105"/>
        </w:rPr>
        <w:t>productivos:</w:t>
      </w:r>
      <w:r>
        <w:rPr>
          <w:color w:val="231F20"/>
          <w:spacing w:val="-12"/>
          <w:w w:val="105"/>
        </w:rPr>
        <w:t> </w:t>
      </w:r>
      <w:r>
        <w:rPr>
          <w:color w:val="231F20"/>
          <w:w w:val="105"/>
        </w:rPr>
        <w:t>“ideas”</w:t>
      </w:r>
      <w:r>
        <w:rPr>
          <w:color w:val="231F20"/>
          <w:spacing w:val="-12"/>
          <w:w w:val="105"/>
        </w:rPr>
        <w:t> </w:t>
      </w:r>
      <w:r>
        <w:rPr>
          <w:color w:val="231F20"/>
          <w:w w:val="105"/>
        </w:rPr>
        <w:t>y</w:t>
      </w:r>
      <w:r>
        <w:rPr>
          <w:color w:val="231F20"/>
          <w:spacing w:val="-12"/>
          <w:w w:val="105"/>
        </w:rPr>
        <w:t> </w:t>
      </w:r>
      <w:r>
        <w:rPr>
          <w:color w:val="231F20"/>
          <w:spacing w:val="-5"/>
          <w:w w:val="105"/>
        </w:rPr>
        <w:t>“cosas”,</w:t>
      </w:r>
      <w:r>
        <w:rPr>
          <w:color w:val="231F20"/>
          <w:spacing w:val="-17"/>
          <w:w w:val="105"/>
        </w:rPr>
        <w:t> </w:t>
      </w:r>
      <w:r>
        <w:rPr>
          <w:color w:val="231F20"/>
          <w:w w:val="105"/>
        </w:rPr>
        <w:t>con</w:t>
      </w:r>
      <w:r>
        <w:rPr>
          <w:color w:val="231F20"/>
          <w:spacing w:val="-12"/>
          <w:w w:val="105"/>
        </w:rPr>
        <w:t> </w:t>
      </w:r>
      <w:r>
        <w:rPr>
          <w:color w:val="231F20"/>
          <w:w w:val="105"/>
        </w:rPr>
        <w:t>las</w:t>
      </w:r>
      <w:r>
        <w:rPr>
          <w:color w:val="231F20"/>
          <w:spacing w:val="-12"/>
          <w:w w:val="105"/>
        </w:rPr>
        <w:t> </w:t>
      </w:r>
      <w:r>
        <w:rPr>
          <w:color w:val="231F20"/>
          <w:w w:val="105"/>
        </w:rPr>
        <w:t>que podemos</w:t>
      </w:r>
      <w:r>
        <w:rPr>
          <w:color w:val="231F20"/>
          <w:spacing w:val="-8"/>
          <w:w w:val="105"/>
        </w:rPr>
        <w:t> </w:t>
      </w:r>
      <w:r>
        <w:rPr>
          <w:color w:val="231F20"/>
          <w:w w:val="105"/>
        </w:rPr>
        <w:t>explicar</w:t>
      </w:r>
      <w:r>
        <w:rPr>
          <w:color w:val="231F20"/>
          <w:spacing w:val="-8"/>
          <w:w w:val="105"/>
        </w:rPr>
        <w:t> </w:t>
      </w:r>
      <w:r>
        <w:rPr>
          <w:color w:val="231F20"/>
          <w:w w:val="105"/>
        </w:rPr>
        <w:t>cómo</w:t>
      </w:r>
      <w:r>
        <w:rPr>
          <w:color w:val="231F20"/>
          <w:spacing w:val="-8"/>
          <w:w w:val="105"/>
        </w:rPr>
        <w:t> </w:t>
      </w:r>
      <w:r>
        <w:rPr>
          <w:color w:val="231F20"/>
          <w:w w:val="105"/>
        </w:rPr>
        <w:t>trabaja</w:t>
      </w:r>
      <w:r>
        <w:rPr>
          <w:color w:val="231F20"/>
          <w:spacing w:val="-8"/>
          <w:w w:val="105"/>
        </w:rPr>
        <w:t> </w:t>
      </w:r>
      <w:r>
        <w:rPr>
          <w:color w:val="231F20"/>
          <w:w w:val="105"/>
        </w:rPr>
        <w:t>el</w:t>
      </w:r>
      <w:r>
        <w:rPr>
          <w:color w:val="231F20"/>
          <w:spacing w:val="-8"/>
          <w:w w:val="105"/>
        </w:rPr>
        <w:t> </w:t>
      </w:r>
      <w:r>
        <w:rPr>
          <w:color w:val="231F20"/>
          <w:w w:val="105"/>
        </w:rPr>
        <w:t>crecimiento</w:t>
      </w:r>
      <w:r>
        <w:rPr>
          <w:color w:val="231F20"/>
          <w:spacing w:val="-8"/>
          <w:w w:val="105"/>
        </w:rPr>
        <w:t> </w:t>
      </w:r>
      <w:r>
        <w:rPr>
          <w:color w:val="231F20"/>
          <w:w w:val="105"/>
        </w:rPr>
        <w:t>económico.</w:t>
      </w:r>
      <w:r>
        <w:rPr>
          <w:color w:val="231F20"/>
          <w:spacing w:val="-14"/>
          <w:w w:val="105"/>
        </w:rPr>
        <w:t> </w:t>
      </w:r>
      <w:r>
        <w:rPr>
          <w:color w:val="231F20"/>
          <w:w w:val="105"/>
        </w:rPr>
        <w:t>Las</w:t>
      </w:r>
      <w:r>
        <w:rPr>
          <w:color w:val="231F20"/>
          <w:spacing w:val="-8"/>
          <w:w w:val="105"/>
        </w:rPr>
        <w:t> </w:t>
      </w:r>
      <w:r>
        <w:rPr>
          <w:color w:val="231F20"/>
          <w:w w:val="105"/>
        </w:rPr>
        <w:t>ideas</w:t>
      </w:r>
      <w:r>
        <w:rPr>
          <w:color w:val="231F20"/>
          <w:spacing w:val="-8"/>
          <w:w w:val="105"/>
        </w:rPr>
        <w:t> </w:t>
      </w:r>
      <w:r>
        <w:rPr>
          <w:color w:val="231F20"/>
          <w:w w:val="105"/>
        </w:rPr>
        <w:t>no rivales</w:t>
      </w:r>
      <w:r>
        <w:rPr>
          <w:color w:val="231F20"/>
          <w:spacing w:val="-5"/>
          <w:w w:val="105"/>
        </w:rPr>
        <w:t> </w:t>
      </w:r>
      <w:r>
        <w:rPr>
          <w:color w:val="231F20"/>
          <w:w w:val="105"/>
        </w:rPr>
        <w:t>son</w:t>
      </w:r>
      <w:r>
        <w:rPr>
          <w:color w:val="231F20"/>
          <w:spacing w:val="-5"/>
          <w:w w:val="105"/>
        </w:rPr>
        <w:t> </w:t>
      </w:r>
      <w:r>
        <w:rPr>
          <w:color w:val="231F20"/>
          <w:w w:val="105"/>
        </w:rPr>
        <w:t>bienes</w:t>
      </w:r>
      <w:r>
        <w:rPr>
          <w:color w:val="231F20"/>
          <w:spacing w:val="-5"/>
          <w:w w:val="105"/>
        </w:rPr>
        <w:t> </w:t>
      </w:r>
      <w:r>
        <w:rPr>
          <w:color w:val="231F20"/>
          <w:w w:val="105"/>
        </w:rPr>
        <w:t>que</w:t>
      </w:r>
      <w:r>
        <w:rPr>
          <w:color w:val="231F20"/>
          <w:spacing w:val="-5"/>
          <w:w w:val="105"/>
        </w:rPr>
        <w:t> </w:t>
      </w:r>
      <w:r>
        <w:rPr>
          <w:color w:val="231F20"/>
          <w:w w:val="105"/>
        </w:rPr>
        <w:t>son</w:t>
      </w:r>
      <w:r>
        <w:rPr>
          <w:color w:val="231F20"/>
          <w:spacing w:val="-5"/>
          <w:w w:val="105"/>
        </w:rPr>
        <w:t> </w:t>
      </w:r>
      <w:r>
        <w:rPr>
          <w:color w:val="231F20"/>
          <w:w w:val="105"/>
        </w:rPr>
        <w:t>producidos</w:t>
      </w:r>
      <w:r>
        <w:rPr>
          <w:color w:val="231F20"/>
          <w:spacing w:val="-5"/>
          <w:w w:val="105"/>
        </w:rPr>
        <w:t> </w:t>
      </w:r>
      <w:r>
        <w:rPr>
          <w:color w:val="231F20"/>
          <w:w w:val="105"/>
        </w:rPr>
        <w:t>y</w:t>
      </w:r>
      <w:r>
        <w:rPr>
          <w:color w:val="231F20"/>
          <w:spacing w:val="-5"/>
          <w:w w:val="105"/>
        </w:rPr>
        <w:t> </w:t>
      </w:r>
      <w:r>
        <w:rPr>
          <w:color w:val="231F20"/>
          <w:w w:val="105"/>
        </w:rPr>
        <w:t>distribuidos</w:t>
      </w:r>
      <w:r>
        <w:rPr>
          <w:color w:val="231F20"/>
          <w:spacing w:val="-5"/>
          <w:w w:val="105"/>
        </w:rPr>
        <w:t> </w:t>
      </w:r>
      <w:r>
        <w:rPr>
          <w:color w:val="231F20"/>
          <w:w w:val="105"/>
        </w:rPr>
        <w:t>como</w:t>
      </w:r>
      <w:r>
        <w:rPr>
          <w:color w:val="231F20"/>
          <w:spacing w:val="-5"/>
          <w:w w:val="105"/>
        </w:rPr>
        <w:t> </w:t>
      </w:r>
      <w:r>
        <w:rPr>
          <w:color w:val="231F20"/>
          <w:w w:val="105"/>
        </w:rPr>
        <w:t>otros</w:t>
      </w:r>
      <w:r>
        <w:rPr>
          <w:color w:val="231F20"/>
          <w:spacing w:val="-5"/>
          <w:w w:val="105"/>
        </w:rPr>
        <w:t> </w:t>
      </w:r>
      <w:r>
        <w:rPr>
          <w:color w:val="231F20"/>
          <w:w w:val="105"/>
        </w:rPr>
        <w:t>bienes lo</w:t>
      </w:r>
      <w:r>
        <w:rPr>
          <w:color w:val="231F20"/>
          <w:spacing w:val="-16"/>
          <w:w w:val="105"/>
        </w:rPr>
        <w:t> </w:t>
      </w:r>
      <w:r>
        <w:rPr>
          <w:color w:val="231F20"/>
          <w:w w:val="105"/>
        </w:rPr>
        <w:t>hacen;</w:t>
      </w:r>
      <w:r>
        <w:rPr>
          <w:color w:val="231F20"/>
          <w:spacing w:val="-16"/>
          <w:w w:val="105"/>
        </w:rPr>
        <w:t> </w:t>
      </w:r>
      <w:r>
        <w:rPr>
          <w:color w:val="231F20"/>
          <w:w w:val="105"/>
        </w:rPr>
        <w:t>éstas</w:t>
      </w:r>
      <w:r>
        <w:rPr>
          <w:color w:val="231F20"/>
          <w:spacing w:val="-16"/>
          <w:w w:val="105"/>
        </w:rPr>
        <w:t> </w:t>
      </w:r>
      <w:r>
        <w:rPr>
          <w:color w:val="231F20"/>
          <w:w w:val="105"/>
        </w:rPr>
        <w:t>pueden</w:t>
      </w:r>
      <w:r>
        <w:rPr>
          <w:color w:val="231F20"/>
          <w:spacing w:val="-16"/>
          <w:w w:val="105"/>
        </w:rPr>
        <w:t> </w:t>
      </w:r>
      <w:r>
        <w:rPr>
          <w:color w:val="231F20"/>
          <w:w w:val="105"/>
        </w:rPr>
        <w:t>ser</w:t>
      </w:r>
      <w:r>
        <w:rPr>
          <w:color w:val="231F20"/>
          <w:spacing w:val="-16"/>
          <w:w w:val="105"/>
        </w:rPr>
        <w:t> </w:t>
      </w:r>
      <w:r>
        <w:rPr>
          <w:color w:val="231F20"/>
          <w:w w:val="105"/>
        </w:rPr>
        <w:t>copiadas</w:t>
      </w:r>
      <w:r>
        <w:rPr>
          <w:color w:val="231F20"/>
          <w:spacing w:val="-16"/>
          <w:w w:val="105"/>
        </w:rPr>
        <w:t> </w:t>
      </w:r>
      <w:r>
        <w:rPr>
          <w:color w:val="231F20"/>
          <w:w w:val="105"/>
        </w:rPr>
        <w:t>y</w:t>
      </w:r>
      <w:r>
        <w:rPr>
          <w:color w:val="231F20"/>
          <w:spacing w:val="-16"/>
          <w:w w:val="105"/>
        </w:rPr>
        <w:t> </w:t>
      </w:r>
      <w:r>
        <w:rPr>
          <w:color w:val="231F20"/>
          <w:w w:val="105"/>
        </w:rPr>
        <w:t>comunicadas</w:t>
      </w:r>
      <w:r>
        <w:rPr>
          <w:color w:val="231F20"/>
          <w:spacing w:val="-16"/>
          <w:w w:val="105"/>
        </w:rPr>
        <w:t> </w:t>
      </w:r>
      <w:r>
        <w:rPr>
          <w:color w:val="231F20"/>
          <w:w w:val="105"/>
        </w:rPr>
        <w:t>a</w:t>
      </w:r>
      <w:r>
        <w:rPr>
          <w:color w:val="231F20"/>
          <w:spacing w:val="-16"/>
          <w:w w:val="105"/>
        </w:rPr>
        <w:t> </w:t>
      </w:r>
      <w:r>
        <w:rPr>
          <w:color w:val="231F20"/>
          <w:w w:val="105"/>
        </w:rPr>
        <w:t>todo</w:t>
      </w:r>
      <w:r>
        <w:rPr>
          <w:color w:val="231F20"/>
          <w:spacing w:val="-16"/>
          <w:w w:val="105"/>
        </w:rPr>
        <w:t> </w:t>
      </w:r>
      <w:r>
        <w:rPr>
          <w:color w:val="231F20"/>
          <w:w w:val="105"/>
        </w:rPr>
        <w:t>el</w:t>
      </w:r>
      <w:r>
        <w:rPr>
          <w:color w:val="231F20"/>
          <w:spacing w:val="-16"/>
          <w:w w:val="105"/>
        </w:rPr>
        <w:t> </w:t>
      </w:r>
      <w:r>
        <w:rPr>
          <w:color w:val="231F20"/>
          <w:w w:val="105"/>
        </w:rPr>
        <w:t>mundo.</w:t>
      </w:r>
    </w:p>
    <w:p>
      <w:pPr>
        <w:pStyle w:val="BodyText"/>
        <w:spacing w:line="259" w:lineRule="auto"/>
        <w:ind w:left="117" w:right="101" w:firstLine="567"/>
        <w:jc w:val="both"/>
      </w:pPr>
      <w:r>
        <w:rPr>
          <w:color w:val="231F20"/>
          <w:w w:val="105"/>
        </w:rPr>
        <w:t>Los avances tecnológicos de un sector de la economía pueden provocar</w:t>
      </w:r>
      <w:r>
        <w:rPr>
          <w:color w:val="231F20"/>
          <w:spacing w:val="-16"/>
          <w:w w:val="105"/>
        </w:rPr>
        <w:t> </w:t>
      </w:r>
      <w:r>
        <w:rPr>
          <w:color w:val="231F20"/>
          <w:w w:val="105"/>
        </w:rPr>
        <w:t>avances</w:t>
      </w:r>
      <w:r>
        <w:rPr>
          <w:color w:val="231F20"/>
          <w:spacing w:val="-16"/>
          <w:w w:val="105"/>
        </w:rPr>
        <w:t> </w:t>
      </w:r>
      <w:r>
        <w:rPr>
          <w:color w:val="231F20"/>
          <w:w w:val="105"/>
        </w:rPr>
        <w:t>y</w:t>
      </w:r>
      <w:r>
        <w:rPr>
          <w:color w:val="231F20"/>
          <w:spacing w:val="-16"/>
          <w:w w:val="105"/>
        </w:rPr>
        <w:t> </w:t>
      </w:r>
      <w:r>
        <w:rPr>
          <w:color w:val="231F20"/>
          <w:w w:val="105"/>
        </w:rPr>
        <w:t>preparar</w:t>
      </w:r>
      <w:r>
        <w:rPr>
          <w:color w:val="231F20"/>
          <w:spacing w:val="-16"/>
          <w:w w:val="105"/>
        </w:rPr>
        <w:t> </w:t>
      </w:r>
      <w:r>
        <w:rPr>
          <w:color w:val="231F20"/>
          <w:w w:val="105"/>
        </w:rPr>
        <w:t>el</w:t>
      </w:r>
      <w:r>
        <w:rPr>
          <w:color w:val="231F20"/>
          <w:spacing w:val="-16"/>
          <w:w w:val="105"/>
        </w:rPr>
        <w:t> </w:t>
      </w:r>
      <w:r>
        <w:rPr>
          <w:color w:val="231F20"/>
          <w:w w:val="105"/>
        </w:rPr>
        <w:t>terreno</w:t>
      </w:r>
      <w:r>
        <w:rPr>
          <w:color w:val="231F20"/>
          <w:spacing w:val="-16"/>
          <w:w w:val="105"/>
        </w:rPr>
        <w:t> </w:t>
      </w:r>
      <w:r>
        <w:rPr>
          <w:color w:val="231F20"/>
          <w:w w:val="105"/>
        </w:rPr>
        <w:t>a</w:t>
      </w:r>
      <w:r>
        <w:rPr>
          <w:color w:val="231F20"/>
          <w:spacing w:val="-16"/>
          <w:w w:val="105"/>
        </w:rPr>
        <w:t> </w:t>
      </w:r>
      <w:r>
        <w:rPr>
          <w:color w:val="231F20"/>
          <w:w w:val="105"/>
        </w:rPr>
        <w:t>nuevos</w:t>
      </w:r>
      <w:r>
        <w:rPr>
          <w:color w:val="231F20"/>
          <w:spacing w:val="-16"/>
          <w:w w:val="105"/>
        </w:rPr>
        <w:t> </w:t>
      </w:r>
      <w:r>
        <w:rPr>
          <w:color w:val="231F20"/>
          <w:w w:val="105"/>
        </w:rPr>
        <w:t>hallazgos</w:t>
      </w:r>
      <w:r>
        <w:rPr>
          <w:color w:val="231F20"/>
          <w:spacing w:val="-16"/>
          <w:w w:val="105"/>
        </w:rPr>
        <w:t> </w:t>
      </w:r>
      <w:r>
        <w:rPr>
          <w:color w:val="231F20"/>
          <w:w w:val="105"/>
        </w:rPr>
        <w:t>en</w:t>
      </w:r>
      <w:r>
        <w:rPr>
          <w:color w:val="231F20"/>
          <w:spacing w:val="-16"/>
          <w:w w:val="105"/>
        </w:rPr>
        <w:t> </w:t>
      </w:r>
      <w:r>
        <w:rPr>
          <w:color w:val="231F20"/>
          <w:w w:val="105"/>
        </w:rPr>
        <w:t>otros</w:t>
      </w:r>
      <w:r>
        <w:rPr>
          <w:color w:val="231F20"/>
          <w:spacing w:val="-16"/>
          <w:w w:val="105"/>
        </w:rPr>
        <w:t> </w:t>
      </w:r>
      <w:r>
        <w:rPr>
          <w:color w:val="231F20"/>
          <w:w w:val="105"/>
        </w:rPr>
        <w:t>sec- tores,</w:t>
      </w:r>
      <w:r>
        <w:rPr>
          <w:color w:val="231F20"/>
          <w:spacing w:val="-24"/>
          <w:w w:val="105"/>
        </w:rPr>
        <w:t> </w:t>
      </w:r>
      <w:r>
        <w:rPr>
          <w:color w:val="231F20"/>
          <w:w w:val="105"/>
        </w:rPr>
        <w:t>éstos</w:t>
      </w:r>
      <w:r>
        <w:rPr>
          <w:color w:val="231F20"/>
          <w:spacing w:val="-19"/>
          <w:w w:val="105"/>
        </w:rPr>
        <w:t> </w:t>
      </w:r>
      <w:r>
        <w:rPr>
          <w:color w:val="231F20"/>
          <w:w w:val="105"/>
        </w:rPr>
        <w:t>son</w:t>
      </w:r>
      <w:r>
        <w:rPr>
          <w:color w:val="231F20"/>
          <w:spacing w:val="-19"/>
          <w:w w:val="105"/>
        </w:rPr>
        <w:t> </w:t>
      </w:r>
      <w:r>
        <w:rPr>
          <w:color w:val="231F20"/>
          <w:w w:val="105"/>
        </w:rPr>
        <w:t>conocidos</w:t>
      </w:r>
      <w:r>
        <w:rPr>
          <w:color w:val="231F20"/>
          <w:spacing w:val="-19"/>
          <w:w w:val="105"/>
        </w:rPr>
        <w:t> </w:t>
      </w:r>
      <w:r>
        <w:rPr>
          <w:color w:val="231F20"/>
          <w:w w:val="105"/>
        </w:rPr>
        <w:t>como</w:t>
      </w:r>
      <w:r>
        <w:rPr>
          <w:color w:val="231F20"/>
          <w:spacing w:val="-19"/>
          <w:w w:val="105"/>
        </w:rPr>
        <w:t> </w:t>
      </w:r>
      <w:r>
        <w:rPr>
          <w:color w:val="231F20"/>
          <w:w w:val="105"/>
        </w:rPr>
        <w:t>nuevas</w:t>
      </w:r>
      <w:r>
        <w:rPr>
          <w:color w:val="231F20"/>
          <w:spacing w:val="-19"/>
          <w:w w:val="105"/>
        </w:rPr>
        <w:t> </w:t>
      </w:r>
      <w:r>
        <w:rPr>
          <w:color w:val="231F20"/>
          <w:w w:val="105"/>
        </w:rPr>
        <w:t>innovaciones</w:t>
      </w:r>
      <w:r>
        <w:rPr>
          <w:color w:val="231F20"/>
          <w:spacing w:val="-19"/>
          <w:w w:val="105"/>
        </w:rPr>
        <w:t> </w:t>
      </w:r>
      <w:r>
        <w:rPr>
          <w:color w:val="231F20"/>
          <w:w w:val="105"/>
        </w:rPr>
        <w:t>o</w:t>
      </w:r>
      <w:r>
        <w:rPr>
          <w:color w:val="231F20"/>
          <w:spacing w:val="-19"/>
          <w:w w:val="105"/>
        </w:rPr>
        <w:t> </w:t>
      </w:r>
      <w:r>
        <w:rPr>
          <w:color w:val="231F20"/>
          <w:w w:val="105"/>
        </w:rPr>
        <w:t>“nuevas</w:t>
      </w:r>
      <w:r>
        <w:rPr>
          <w:color w:val="231F20"/>
          <w:spacing w:val="-19"/>
          <w:w w:val="105"/>
        </w:rPr>
        <w:t> </w:t>
      </w:r>
      <w:r>
        <w:rPr>
          <w:color w:val="231F20"/>
          <w:w w:val="105"/>
        </w:rPr>
        <w:t>combi- naciones” tan importantes para el crecimiento de las regiones. En este sentido,</w:t>
      </w:r>
      <w:r>
        <w:rPr>
          <w:color w:val="231F20"/>
          <w:spacing w:val="-23"/>
          <w:w w:val="105"/>
        </w:rPr>
        <w:t> </w:t>
      </w:r>
      <w:r>
        <w:rPr>
          <w:color w:val="231F20"/>
          <w:w w:val="105"/>
        </w:rPr>
        <w:t>el</w:t>
      </w:r>
      <w:r>
        <w:rPr>
          <w:color w:val="231F20"/>
          <w:spacing w:val="-17"/>
          <w:w w:val="105"/>
        </w:rPr>
        <w:t> </w:t>
      </w:r>
      <w:r>
        <w:rPr>
          <w:color w:val="231F20"/>
          <w:w w:val="105"/>
        </w:rPr>
        <w:t>progreso</w:t>
      </w:r>
      <w:r>
        <w:rPr>
          <w:color w:val="231F20"/>
          <w:spacing w:val="-17"/>
          <w:w w:val="105"/>
        </w:rPr>
        <w:t> </w:t>
      </w:r>
      <w:r>
        <w:rPr>
          <w:color w:val="231F20"/>
          <w:w w:val="105"/>
        </w:rPr>
        <w:t>técnico</w:t>
      </w:r>
      <w:r>
        <w:rPr>
          <w:color w:val="231F20"/>
          <w:spacing w:val="-17"/>
          <w:w w:val="105"/>
        </w:rPr>
        <w:t> </w:t>
      </w:r>
      <w:r>
        <w:rPr>
          <w:color w:val="231F20"/>
          <w:w w:val="105"/>
        </w:rPr>
        <w:t>puede</w:t>
      </w:r>
      <w:r>
        <w:rPr>
          <w:color w:val="231F20"/>
          <w:spacing w:val="-18"/>
          <w:w w:val="105"/>
        </w:rPr>
        <w:t> </w:t>
      </w:r>
      <w:r>
        <w:rPr>
          <w:color w:val="231F20"/>
          <w:w w:val="105"/>
        </w:rPr>
        <w:t>clasificarse</w:t>
      </w:r>
      <w:r>
        <w:rPr>
          <w:color w:val="231F20"/>
          <w:spacing w:val="-17"/>
          <w:w w:val="105"/>
        </w:rPr>
        <w:t> </w:t>
      </w:r>
      <w:r>
        <w:rPr>
          <w:color w:val="231F20"/>
          <w:w w:val="105"/>
        </w:rPr>
        <w:t>en</w:t>
      </w:r>
      <w:r>
        <w:rPr>
          <w:color w:val="231F20"/>
          <w:spacing w:val="-17"/>
          <w:w w:val="105"/>
        </w:rPr>
        <w:t> </w:t>
      </w:r>
      <w:r>
        <w:rPr>
          <w:color w:val="231F20"/>
          <w:w w:val="105"/>
        </w:rPr>
        <w:t>términos</w:t>
      </w:r>
      <w:r>
        <w:rPr>
          <w:color w:val="231F20"/>
          <w:spacing w:val="-17"/>
          <w:w w:val="105"/>
        </w:rPr>
        <w:t> </w:t>
      </w:r>
      <w:r>
        <w:rPr>
          <w:color w:val="231F20"/>
          <w:w w:val="105"/>
        </w:rPr>
        <w:t>generales</w:t>
      </w:r>
      <w:r>
        <w:rPr>
          <w:color w:val="231F20"/>
          <w:spacing w:val="-17"/>
          <w:w w:val="105"/>
        </w:rPr>
        <w:t> </w:t>
      </w:r>
      <w:r>
        <w:rPr>
          <w:color w:val="231F20"/>
          <w:w w:val="105"/>
        </w:rPr>
        <w:t>en dos</w:t>
      </w:r>
      <w:r>
        <w:rPr>
          <w:color w:val="231F20"/>
          <w:spacing w:val="-12"/>
          <w:w w:val="105"/>
        </w:rPr>
        <w:t> </w:t>
      </w:r>
      <w:r>
        <w:rPr>
          <w:color w:val="231F20"/>
          <w:w w:val="105"/>
        </w:rPr>
        <w:t>categorías.</w:t>
      </w:r>
      <w:r>
        <w:rPr>
          <w:color w:val="231F20"/>
          <w:spacing w:val="-18"/>
          <w:w w:val="105"/>
        </w:rPr>
        <w:t> </w:t>
      </w:r>
      <w:r>
        <w:rPr>
          <w:color w:val="231F20"/>
          <w:w w:val="105"/>
        </w:rPr>
        <w:t>En</w:t>
      </w:r>
      <w:r>
        <w:rPr>
          <w:color w:val="231F20"/>
          <w:spacing w:val="-12"/>
          <w:w w:val="105"/>
        </w:rPr>
        <w:t> </w:t>
      </w:r>
      <w:r>
        <w:rPr>
          <w:color w:val="231F20"/>
          <w:w w:val="105"/>
        </w:rPr>
        <w:t>primer</w:t>
      </w:r>
      <w:r>
        <w:rPr>
          <w:color w:val="231F20"/>
          <w:spacing w:val="-12"/>
          <w:w w:val="105"/>
        </w:rPr>
        <w:t> </w:t>
      </w:r>
      <w:r>
        <w:rPr>
          <w:color w:val="231F20"/>
          <w:w w:val="105"/>
        </w:rPr>
        <w:t>lugar,</w:t>
      </w:r>
      <w:r>
        <w:rPr>
          <w:color w:val="231F20"/>
          <w:spacing w:val="-18"/>
          <w:w w:val="105"/>
        </w:rPr>
        <w:t> </w:t>
      </w:r>
      <w:r>
        <w:rPr>
          <w:color w:val="231F20"/>
          <w:w w:val="105"/>
        </w:rPr>
        <w:t>cierto</w:t>
      </w:r>
      <w:r>
        <w:rPr>
          <w:color w:val="231F20"/>
          <w:spacing w:val="-12"/>
          <w:w w:val="105"/>
        </w:rPr>
        <w:t> </w:t>
      </w:r>
      <w:r>
        <w:rPr>
          <w:color w:val="231F20"/>
          <w:w w:val="105"/>
        </w:rPr>
        <w:t>tipo</w:t>
      </w:r>
      <w:r>
        <w:rPr>
          <w:color w:val="231F20"/>
          <w:spacing w:val="-12"/>
          <w:w w:val="105"/>
        </w:rPr>
        <w:t> </w:t>
      </w:r>
      <w:r>
        <w:rPr>
          <w:color w:val="231F20"/>
          <w:w w:val="105"/>
        </w:rPr>
        <w:t>de</w:t>
      </w:r>
      <w:r>
        <w:rPr>
          <w:color w:val="231F20"/>
          <w:spacing w:val="-12"/>
          <w:w w:val="105"/>
        </w:rPr>
        <w:t> </w:t>
      </w:r>
      <w:r>
        <w:rPr>
          <w:color w:val="231F20"/>
          <w:w w:val="105"/>
        </w:rPr>
        <w:t>conocimiento</w:t>
      </w:r>
      <w:r>
        <w:rPr>
          <w:color w:val="231F20"/>
          <w:spacing w:val="-12"/>
          <w:w w:val="105"/>
        </w:rPr>
        <w:t> </w:t>
      </w:r>
      <w:r>
        <w:rPr>
          <w:color w:val="231F20"/>
          <w:w w:val="105"/>
        </w:rPr>
        <w:t>se</w:t>
      </w:r>
      <w:r>
        <w:rPr>
          <w:color w:val="231F20"/>
          <w:spacing w:val="-12"/>
          <w:w w:val="105"/>
        </w:rPr>
        <w:t> </w:t>
      </w:r>
      <w:r>
        <w:rPr>
          <w:color w:val="231F20"/>
          <w:w w:val="105"/>
        </w:rPr>
        <w:t>adquiere gracias</w:t>
      </w:r>
      <w:r>
        <w:rPr>
          <w:color w:val="231F20"/>
          <w:spacing w:val="-6"/>
          <w:w w:val="105"/>
        </w:rPr>
        <w:t> </w:t>
      </w:r>
      <w:r>
        <w:rPr>
          <w:color w:val="231F20"/>
          <w:w w:val="105"/>
        </w:rPr>
        <w:t>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detraen</w:t>
      </w:r>
      <w:r>
        <w:rPr>
          <w:color w:val="231F20"/>
          <w:spacing w:val="-6"/>
          <w:w w:val="105"/>
        </w:rPr>
        <w:t> </w:t>
      </w:r>
      <w:r>
        <w:rPr>
          <w:color w:val="231F20"/>
          <w:w w:val="105"/>
        </w:rPr>
        <w:t>recursos</w:t>
      </w:r>
      <w:r>
        <w:rPr>
          <w:color w:val="231F20"/>
          <w:spacing w:val="-6"/>
          <w:w w:val="105"/>
        </w:rPr>
        <w:t> </w:t>
      </w:r>
      <w:r>
        <w:rPr>
          <w:color w:val="231F20"/>
          <w:w w:val="105"/>
        </w:rPr>
        <w:t>deliberadamente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actividad</w:t>
      </w:r>
      <w:r>
        <w:rPr>
          <w:color w:val="231F20"/>
          <w:spacing w:val="-6"/>
          <w:w w:val="105"/>
        </w:rPr>
        <w:t> </w:t>
      </w:r>
      <w:r>
        <w:rPr>
          <w:color w:val="231F20"/>
          <w:w w:val="105"/>
        </w:rPr>
        <w:t>pro- ductiva corriente, con la esperanza de que estos recursos aumenten</w:t>
      </w:r>
      <w:r>
        <w:rPr>
          <w:color w:val="231F20"/>
          <w:spacing w:val="-17"/>
          <w:w w:val="105"/>
        </w:rPr>
        <w:t> </w:t>
      </w:r>
      <w:r>
        <w:rPr>
          <w:color w:val="231F20"/>
          <w:w w:val="105"/>
        </w:rPr>
        <w:t>la rentabilidad futura. Estas innovaciones pueden consistir en la introduc- ción de nuevos productos destinados a la producción o al consumo</w:t>
      </w:r>
      <w:r>
        <w:rPr>
          <w:color w:val="231F20"/>
          <w:spacing w:val="-37"/>
          <w:w w:val="105"/>
        </w:rPr>
        <w:t> </w:t>
      </w:r>
      <w:r>
        <w:rPr>
          <w:color w:val="231F20"/>
          <w:w w:val="105"/>
        </w:rPr>
        <w:t>(in- novación de productos) o en la introducción de nuevos métodos para producir</w:t>
      </w:r>
      <w:r>
        <w:rPr>
          <w:color w:val="231F20"/>
          <w:spacing w:val="-7"/>
          <w:w w:val="105"/>
        </w:rPr>
        <w:t> </w:t>
      </w:r>
      <w:r>
        <w:rPr>
          <w:color w:val="231F20"/>
          <w:w w:val="105"/>
        </w:rPr>
        <w:t>o</w:t>
      </w:r>
      <w:r>
        <w:rPr>
          <w:color w:val="231F20"/>
          <w:spacing w:val="-7"/>
          <w:w w:val="105"/>
        </w:rPr>
        <w:t> </w:t>
      </w:r>
      <w:r>
        <w:rPr>
          <w:color w:val="231F20"/>
          <w:w w:val="105"/>
        </w:rPr>
        <w:t>distribuir</w:t>
      </w:r>
      <w:r>
        <w:rPr>
          <w:color w:val="231F20"/>
          <w:spacing w:val="-7"/>
          <w:w w:val="105"/>
        </w:rPr>
        <w:t> </w:t>
      </w:r>
      <w:r>
        <w:rPr>
          <w:color w:val="231F20"/>
          <w:w w:val="105"/>
        </w:rPr>
        <w:t>un</w:t>
      </w:r>
      <w:r>
        <w:rPr>
          <w:color w:val="231F20"/>
          <w:spacing w:val="-7"/>
          <w:w w:val="105"/>
        </w:rPr>
        <w:t> </w:t>
      </w:r>
      <w:r>
        <w:rPr>
          <w:color w:val="231F20"/>
          <w:w w:val="105"/>
        </w:rPr>
        <w:t>producto</w:t>
      </w:r>
      <w:r>
        <w:rPr>
          <w:color w:val="231F20"/>
          <w:spacing w:val="-7"/>
          <w:w w:val="105"/>
        </w:rPr>
        <w:t> </w:t>
      </w:r>
      <w:r>
        <w:rPr>
          <w:color w:val="231F20"/>
          <w:w w:val="105"/>
        </w:rPr>
        <w:t>existente</w:t>
      </w:r>
      <w:r>
        <w:rPr>
          <w:color w:val="231F20"/>
          <w:spacing w:val="-7"/>
          <w:w w:val="105"/>
        </w:rPr>
        <w:t> </w:t>
      </w:r>
      <w:r>
        <w:rPr>
          <w:color w:val="231F20"/>
          <w:w w:val="105"/>
        </w:rPr>
        <w:t>(innovación</w:t>
      </w:r>
      <w:r>
        <w:rPr>
          <w:color w:val="231F20"/>
          <w:spacing w:val="-7"/>
          <w:w w:val="105"/>
        </w:rPr>
        <w:t> </w:t>
      </w:r>
      <w:r>
        <w:rPr>
          <w:color w:val="231F20"/>
          <w:w w:val="105"/>
        </w:rPr>
        <w:t>de</w:t>
      </w:r>
      <w:r>
        <w:rPr>
          <w:color w:val="231F20"/>
          <w:spacing w:val="-7"/>
          <w:w w:val="105"/>
        </w:rPr>
        <w:t> </w:t>
      </w:r>
      <w:r>
        <w:rPr>
          <w:color w:val="231F20"/>
          <w:w w:val="105"/>
        </w:rPr>
        <w:t>procesos).</w:t>
      </w:r>
    </w:p>
    <w:p>
      <w:pPr>
        <w:pStyle w:val="BodyText"/>
        <w:spacing w:line="259" w:lineRule="auto"/>
        <w:ind w:left="117" w:right="100" w:firstLine="567"/>
        <w:jc w:val="both"/>
      </w:pPr>
      <w:r>
        <w:rPr>
          <w:color w:val="231F20"/>
          <w:w w:val="105"/>
        </w:rPr>
        <w:t>En</w:t>
      </w:r>
      <w:r>
        <w:rPr>
          <w:color w:val="231F20"/>
          <w:spacing w:val="-25"/>
          <w:w w:val="105"/>
        </w:rPr>
        <w:t> </w:t>
      </w:r>
      <w:r>
        <w:rPr>
          <w:color w:val="231F20"/>
          <w:w w:val="105"/>
        </w:rPr>
        <w:t>segundo</w:t>
      </w:r>
      <w:r>
        <w:rPr>
          <w:color w:val="231F20"/>
          <w:spacing w:val="-25"/>
          <w:w w:val="105"/>
        </w:rPr>
        <w:t> </w:t>
      </w:r>
      <w:r>
        <w:rPr>
          <w:color w:val="231F20"/>
          <w:w w:val="105"/>
        </w:rPr>
        <w:t>lugar</w:t>
      </w:r>
      <w:r>
        <w:rPr>
          <w:color w:val="231F20"/>
          <w:spacing w:val="-25"/>
          <w:w w:val="105"/>
        </w:rPr>
        <w:t> </w:t>
      </w:r>
      <w:r>
        <w:rPr>
          <w:color w:val="231F20"/>
          <w:w w:val="105"/>
        </w:rPr>
        <w:t>se</w:t>
      </w:r>
      <w:r>
        <w:rPr>
          <w:color w:val="231F20"/>
          <w:spacing w:val="-25"/>
          <w:w w:val="105"/>
        </w:rPr>
        <w:t> </w:t>
      </w:r>
      <w:r>
        <w:rPr>
          <w:color w:val="231F20"/>
          <w:w w:val="105"/>
        </w:rPr>
        <w:t>transfiere</w:t>
      </w:r>
      <w:r>
        <w:rPr>
          <w:color w:val="231F20"/>
          <w:spacing w:val="-25"/>
          <w:w w:val="105"/>
        </w:rPr>
        <w:t> </w:t>
      </w:r>
      <w:r>
        <w:rPr>
          <w:color w:val="231F20"/>
          <w:w w:val="105"/>
        </w:rPr>
        <w:t>tecnología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empresa</w:t>
      </w:r>
      <w:r>
        <w:rPr>
          <w:color w:val="231F20"/>
          <w:spacing w:val="-25"/>
          <w:w w:val="105"/>
        </w:rPr>
        <w:t> </w:t>
      </w:r>
      <w:r>
        <w:rPr>
          <w:color w:val="231F20"/>
          <w:w w:val="105"/>
        </w:rPr>
        <w:t>innovado- ra</w:t>
      </w:r>
      <w:r>
        <w:rPr>
          <w:color w:val="231F20"/>
          <w:spacing w:val="-11"/>
          <w:w w:val="105"/>
        </w:rPr>
        <w:t> </w:t>
      </w:r>
      <w:r>
        <w:rPr>
          <w:color w:val="231F20"/>
          <w:w w:val="105"/>
        </w:rPr>
        <w:t>o</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núcleo</w:t>
      </w:r>
      <w:r>
        <w:rPr>
          <w:color w:val="231F20"/>
          <w:spacing w:val="-11"/>
          <w:w w:val="105"/>
        </w:rPr>
        <w:t> </w:t>
      </w:r>
      <w:r>
        <w:rPr>
          <w:color w:val="231F20"/>
          <w:w w:val="105"/>
        </w:rPr>
        <w:t>de</w:t>
      </w:r>
      <w:r>
        <w:rPr>
          <w:color w:val="231F20"/>
          <w:spacing w:val="-11"/>
          <w:w w:val="105"/>
        </w:rPr>
        <w:t> </w:t>
      </w:r>
      <w:r>
        <w:rPr>
          <w:color w:val="231F20"/>
          <w:w w:val="105"/>
        </w:rPr>
        <w:t>empresas</w:t>
      </w:r>
      <w:r>
        <w:rPr>
          <w:color w:val="231F20"/>
          <w:spacing w:val="-11"/>
          <w:w w:val="105"/>
        </w:rPr>
        <w:t> </w:t>
      </w:r>
      <w:r>
        <w:rPr>
          <w:color w:val="231F20"/>
          <w:w w:val="105"/>
        </w:rPr>
        <w:t>innovadoras</w:t>
      </w:r>
      <w:r>
        <w:rPr>
          <w:color w:val="231F20"/>
          <w:spacing w:val="-11"/>
          <w:w w:val="105"/>
        </w:rPr>
        <w:t> </w:t>
      </w:r>
      <w:r>
        <w:rPr>
          <w:color w:val="231F20"/>
          <w:w w:val="105"/>
        </w:rPr>
        <w:t>al</w:t>
      </w:r>
      <w:r>
        <w:rPr>
          <w:color w:val="231F20"/>
          <w:spacing w:val="-11"/>
          <w:w w:val="105"/>
        </w:rPr>
        <w:t> </w:t>
      </w:r>
      <w:r>
        <w:rPr>
          <w:color w:val="231F20"/>
          <w:w w:val="105"/>
        </w:rPr>
        <w:t>resto</w:t>
      </w:r>
      <w:r>
        <w:rPr>
          <w:color w:val="231F20"/>
          <w:spacing w:val="-11"/>
          <w:w w:val="105"/>
        </w:rPr>
        <w:t> </w:t>
      </w:r>
      <w:r>
        <w:rPr>
          <w:color w:val="231F20"/>
          <w:w w:val="105"/>
        </w:rPr>
        <w:t>del</w:t>
      </w:r>
      <w:r>
        <w:rPr>
          <w:color w:val="231F20"/>
          <w:spacing w:val="-11"/>
          <w:w w:val="105"/>
        </w:rPr>
        <w:t> </w:t>
      </w:r>
      <w:r>
        <w:rPr>
          <w:color w:val="231F20"/>
          <w:w w:val="105"/>
        </w:rPr>
        <w:t>mundo.</w:t>
      </w:r>
      <w:r>
        <w:rPr>
          <w:color w:val="231F20"/>
          <w:spacing w:val="-16"/>
          <w:w w:val="105"/>
        </w:rPr>
        <w:t> </w:t>
      </w:r>
      <w:r>
        <w:rPr>
          <w:color w:val="231F20"/>
          <w:w w:val="105"/>
        </w:rPr>
        <w:t>Esta</w:t>
      </w:r>
      <w:r>
        <w:rPr>
          <w:color w:val="231F20"/>
          <w:spacing w:val="-11"/>
          <w:w w:val="105"/>
        </w:rPr>
        <w:t> </w:t>
      </w:r>
      <w:r>
        <w:rPr>
          <w:color w:val="231F20"/>
          <w:w w:val="105"/>
        </w:rPr>
        <w:t>di- fusión</w:t>
      </w:r>
      <w:r>
        <w:rPr>
          <w:color w:val="231F20"/>
          <w:spacing w:val="-27"/>
          <w:w w:val="105"/>
        </w:rPr>
        <w:t> </w:t>
      </w:r>
      <w:r>
        <w:rPr>
          <w:color w:val="231F20"/>
          <w:w w:val="105"/>
        </w:rPr>
        <w:t>puede</w:t>
      </w:r>
      <w:r>
        <w:rPr>
          <w:color w:val="231F20"/>
          <w:spacing w:val="-27"/>
          <w:w w:val="105"/>
        </w:rPr>
        <w:t> </w:t>
      </w:r>
      <w:r>
        <w:rPr>
          <w:color w:val="231F20"/>
          <w:spacing w:val="-3"/>
          <w:w w:val="105"/>
        </w:rPr>
        <w:t>ser,</w:t>
      </w:r>
      <w:r>
        <w:rPr>
          <w:color w:val="231F20"/>
          <w:spacing w:val="-32"/>
          <w:w w:val="105"/>
        </w:rPr>
        <w:t> </w:t>
      </w:r>
      <w:r>
        <w:rPr>
          <w:color w:val="231F20"/>
          <w:w w:val="105"/>
        </w:rPr>
        <w:t>a</w:t>
      </w:r>
      <w:r>
        <w:rPr>
          <w:color w:val="231F20"/>
          <w:spacing w:val="-27"/>
          <w:w w:val="105"/>
        </w:rPr>
        <w:t> </w:t>
      </w:r>
      <w:r>
        <w:rPr>
          <w:color w:val="231F20"/>
          <w:w w:val="105"/>
        </w:rPr>
        <w:t>su</w:t>
      </w:r>
      <w:r>
        <w:rPr>
          <w:color w:val="231F20"/>
          <w:spacing w:val="-27"/>
          <w:w w:val="105"/>
        </w:rPr>
        <w:t> </w:t>
      </w:r>
      <w:r>
        <w:rPr>
          <w:color w:val="231F20"/>
          <w:w w:val="105"/>
        </w:rPr>
        <w:t>vez,</w:t>
      </w:r>
      <w:r>
        <w:rPr>
          <w:color w:val="231F20"/>
          <w:spacing w:val="-32"/>
          <w:w w:val="105"/>
        </w:rPr>
        <w:t> </w:t>
      </w:r>
      <w:r>
        <w:rPr>
          <w:color w:val="231F20"/>
          <w:w w:val="105"/>
        </w:rPr>
        <w:t>de</w:t>
      </w:r>
      <w:r>
        <w:rPr>
          <w:color w:val="231F20"/>
          <w:spacing w:val="-27"/>
          <w:w w:val="105"/>
        </w:rPr>
        <w:t> </w:t>
      </w:r>
      <w:r>
        <w:rPr>
          <w:color w:val="231F20"/>
          <w:w w:val="105"/>
        </w:rPr>
        <w:t>dos</w:t>
      </w:r>
      <w:r>
        <w:rPr>
          <w:color w:val="231F20"/>
          <w:spacing w:val="-27"/>
          <w:w w:val="105"/>
        </w:rPr>
        <w:t> </w:t>
      </w:r>
      <w:r>
        <w:rPr>
          <w:color w:val="231F20"/>
          <w:w w:val="105"/>
        </w:rPr>
        <w:t>tipos.</w:t>
      </w:r>
      <w:r>
        <w:rPr>
          <w:color w:val="231F20"/>
          <w:spacing w:val="-32"/>
          <w:w w:val="105"/>
        </w:rPr>
        <w:t> </w:t>
      </w:r>
      <w:r>
        <w:rPr>
          <w:color w:val="231F20"/>
          <w:w w:val="105"/>
        </w:rPr>
        <w:t>La</w:t>
      </w:r>
      <w:r>
        <w:rPr>
          <w:color w:val="231F20"/>
          <w:spacing w:val="-27"/>
          <w:w w:val="105"/>
        </w:rPr>
        <w:t> </w:t>
      </w:r>
      <w:r>
        <w:rPr>
          <w:color w:val="231F20"/>
          <w:w w:val="105"/>
        </w:rPr>
        <w:t>nueva</w:t>
      </w:r>
      <w:r>
        <w:rPr>
          <w:color w:val="231F20"/>
          <w:spacing w:val="-27"/>
          <w:w w:val="105"/>
        </w:rPr>
        <w:t> </w:t>
      </w:r>
      <w:r>
        <w:rPr>
          <w:color w:val="231F20"/>
          <w:w w:val="105"/>
        </w:rPr>
        <w:t>tecnología</w:t>
      </w:r>
      <w:r>
        <w:rPr>
          <w:color w:val="231F20"/>
          <w:spacing w:val="-27"/>
          <w:w w:val="105"/>
        </w:rPr>
        <w:t> </w:t>
      </w:r>
      <w:r>
        <w:rPr>
          <w:color w:val="231F20"/>
          <w:w w:val="105"/>
        </w:rPr>
        <w:t>puede</w:t>
      </w:r>
      <w:r>
        <w:rPr>
          <w:color w:val="231F20"/>
          <w:spacing w:val="-27"/>
          <w:w w:val="105"/>
        </w:rPr>
        <w:t> </w:t>
      </w:r>
      <w:r>
        <w:rPr>
          <w:color w:val="231F20"/>
          <w:w w:val="105"/>
        </w:rPr>
        <w:t>darse a conocer a </w:t>
      </w:r>
      <w:r>
        <w:rPr>
          <w:color w:val="231F20"/>
          <w:spacing w:val="-4"/>
          <w:w w:val="105"/>
        </w:rPr>
        <w:t>“terceros”, </w:t>
      </w:r>
      <w:r>
        <w:rPr>
          <w:color w:val="231F20"/>
          <w:w w:val="105"/>
        </w:rPr>
        <w:t>que pueden beneficiarse de ella directamente,</w:t>
      </w:r>
      <w:r>
        <w:rPr>
          <w:color w:val="231F20"/>
          <w:spacing w:val="-27"/>
          <w:w w:val="105"/>
        </w:rPr>
        <w:t> </w:t>
      </w:r>
      <w:r>
        <w:rPr>
          <w:color w:val="231F20"/>
          <w:w w:val="105"/>
        </w:rPr>
        <w:t>o</w:t>
      </w:r>
    </w:p>
    <w:p>
      <w:pPr>
        <w:pStyle w:val="BodyText"/>
        <w:spacing w:before="4"/>
        <w:rPr>
          <w:sz w:val="24"/>
        </w:rPr>
      </w:pPr>
      <w:r>
        <w:rPr/>
        <w:pict>
          <v:line style="position:absolute;mso-position-horizontal-relative:page;mso-position-vertical-relative:paragraph;z-index:8896;mso-wrap-distance-left:0;mso-wrap-distance-right:0" from="70.866096pt,16.117369pt" to="184.252096pt,16.117369pt" stroked="true" strokeweight=".25pt" strokecolor="#231f20">
            <w10:wrap type="topAndBottom"/>
          </v:line>
        </w:pict>
      </w:r>
    </w:p>
    <w:p>
      <w:pPr>
        <w:spacing w:line="192" w:lineRule="exact" w:before="7"/>
        <w:ind w:left="117" w:right="101" w:firstLine="0"/>
        <w:jc w:val="both"/>
        <w:rPr>
          <w:rFonts w:ascii="Calibri" w:hAnsi="Calibri"/>
          <w:sz w:val="16"/>
        </w:rPr>
      </w:pPr>
      <w:r>
        <w:rPr>
          <w:rFonts w:ascii="Calibri" w:hAnsi="Calibri"/>
          <w:color w:val="414042"/>
          <w:w w:val="105"/>
          <w:position w:val="5"/>
          <w:sz w:val="9"/>
        </w:rPr>
        <w:t>4</w:t>
      </w:r>
      <w:r>
        <w:rPr>
          <w:rFonts w:ascii="Calibri" w:hAnsi="Calibri"/>
          <w:color w:val="414042"/>
          <w:spacing w:val="1"/>
          <w:w w:val="105"/>
          <w:position w:val="5"/>
          <w:sz w:val="9"/>
        </w:rPr>
        <w:t> </w:t>
      </w:r>
      <w:r>
        <w:rPr>
          <w:rFonts w:ascii="Calibri" w:hAnsi="Calibri"/>
          <w:color w:val="414042"/>
          <w:w w:val="105"/>
          <w:sz w:val="16"/>
        </w:rPr>
        <w:t>Según</w:t>
      </w:r>
      <w:r>
        <w:rPr>
          <w:rFonts w:ascii="Calibri" w:hAnsi="Calibri"/>
          <w:color w:val="414042"/>
          <w:spacing w:val="-12"/>
          <w:w w:val="105"/>
          <w:sz w:val="16"/>
        </w:rPr>
        <w:t> </w:t>
      </w:r>
      <w:r>
        <w:rPr>
          <w:rFonts w:ascii="Calibri" w:hAnsi="Calibri"/>
          <w:color w:val="414042"/>
          <w:w w:val="105"/>
          <w:sz w:val="16"/>
        </w:rPr>
        <w:t>un</w:t>
      </w:r>
      <w:r>
        <w:rPr>
          <w:rFonts w:ascii="Calibri" w:hAnsi="Calibri"/>
          <w:color w:val="414042"/>
          <w:spacing w:val="-12"/>
          <w:w w:val="105"/>
          <w:sz w:val="16"/>
        </w:rPr>
        <w:t> </w:t>
      </w:r>
      <w:r>
        <w:rPr>
          <w:rFonts w:ascii="Calibri" w:hAnsi="Calibri"/>
          <w:color w:val="414042"/>
          <w:w w:val="105"/>
          <w:sz w:val="16"/>
        </w:rPr>
        <w:t>estudio</w:t>
      </w:r>
      <w:r>
        <w:rPr>
          <w:rFonts w:ascii="Calibri" w:hAnsi="Calibri"/>
          <w:color w:val="414042"/>
          <w:spacing w:val="-12"/>
          <w:w w:val="105"/>
          <w:sz w:val="16"/>
        </w:rPr>
        <w:t> </w:t>
      </w:r>
      <w:r>
        <w:rPr>
          <w:rFonts w:ascii="Calibri" w:hAnsi="Calibri"/>
          <w:color w:val="414042"/>
          <w:w w:val="105"/>
          <w:sz w:val="16"/>
        </w:rPr>
        <w:t>del</w:t>
      </w:r>
      <w:r>
        <w:rPr>
          <w:rFonts w:ascii="Calibri" w:hAnsi="Calibri"/>
          <w:color w:val="414042"/>
          <w:spacing w:val="-12"/>
          <w:w w:val="105"/>
          <w:sz w:val="16"/>
        </w:rPr>
        <w:t> </w:t>
      </w:r>
      <w:r>
        <w:rPr>
          <w:rFonts w:ascii="Calibri" w:hAnsi="Calibri"/>
          <w:color w:val="414042"/>
          <w:w w:val="105"/>
          <w:sz w:val="16"/>
        </w:rPr>
        <w:t>Banco</w:t>
      </w:r>
      <w:r>
        <w:rPr>
          <w:rFonts w:ascii="Calibri" w:hAnsi="Calibri"/>
          <w:color w:val="414042"/>
          <w:spacing w:val="-12"/>
          <w:w w:val="105"/>
          <w:sz w:val="16"/>
        </w:rPr>
        <w:t> </w:t>
      </w:r>
      <w:r>
        <w:rPr>
          <w:rFonts w:ascii="Calibri" w:hAnsi="Calibri"/>
          <w:color w:val="414042"/>
          <w:w w:val="105"/>
          <w:sz w:val="16"/>
        </w:rPr>
        <w:t>Mundial</w:t>
      </w:r>
      <w:r>
        <w:rPr>
          <w:rFonts w:ascii="Calibri" w:hAnsi="Calibri"/>
          <w:color w:val="414042"/>
          <w:spacing w:val="-12"/>
          <w:w w:val="105"/>
          <w:sz w:val="16"/>
        </w:rPr>
        <w:t> </w:t>
      </w:r>
      <w:r>
        <w:rPr>
          <w:rFonts w:ascii="Calibri" w:hAnsi="Calibri"/>
          <w:color w:val="414042"/>
          <w:w w:val="105"/>
          <w:sz w:val="16"/>
        </w:rPr>
        <w:t>alrededor</w:t>
      </w:r>
      <w:r>
        <w:rPr>
          <w:rFonts w:ascii="Calibri" w:hAnsi="Calibri"/>
          <w:color w:val="414042"/>
          <w:spacing w:val="-12"/>
          <w:w w:val="105"/>
          <w:sz w:val="16"/>
        </w:rPr>
        <w:t> </w:t>
      </w:r>
      <w:r>
        <w:rPr>
          <w:rFonts w:ascii="Calibri" w:hAnsi="Calibri"/>
          <w:color w:val="414042"/>
          <w:w w:val="105"/>
          <w:sz w:val="16"/>
        </w:rPr>
        <w:t>de</w:t>
      </w:r>
      <w:r>
        <w:rPr>
          <w:rFonts w:ascii="Calibri" w:hAnsi="Calibri"/>
          <w:color w:val="414042"/>
          <w:spacing w:val="-12"/>
          <w:w w:val="105"/>
          <w:sz w:val="16"/>
        </w:rPr>
        <w:t> </w:t>
      </w:r>
      <w:r>
        <w:rPr>
          <w:rFonts w:ascii="Calibri" w:hAnsi="Calibri"/>
          <w:color w:val="414042"/>
          <w:w w:val="105"/>
          <w:sz w:val="16"/>
        </w:rPr>
        <w:t>dos</w:t>
      </w:r>
      <w:r>
        <w:rPr>
          <w:rFonts w:ascii="Calibri" w:hAnsi="Calibri"/>
          <w:color w:val="414042"/>
          <w:spacing w:val="-12"/>
          <w:w w:val="105"/>
          <w:sz w:val="16"/>
        </w:rPr>
        <w:t> </w:t>
      </w:r>
      <w:r>
        <w:rPr>
          <w:rFonts w:ascii="Calibri" w:hAnsi="Calibri"/>
          <w:color w:val="414042"/>
          <w:w w:val="105"/>
          <w:sz w:val="16"/>
        </w:rPr>
        <w:t>tercios</w:t>
      </w:r>
      <w:r>
        <w:rPr>
          <w:rFonts w:ascii="Calibri" w:hAnsi="Calibri"/>
          <w:color w:val="414042"/>
          <w:spacing w:val="-12"/>
          <w:w w:val="105"/>
          <w:sz w:val="16"/>
        </w:rPr>
        <w:t> </w:t>
      </w:r>
      <w:r>
        <w:rPr>
          <w:rFonts w:ascii="Calibri" w:hAnsi="Calibri"/>
          <w:color w:val="414042"/>
          <w:w w:val="105"/>
          <w:sz w:val="16"/>
        </w:rPr>
        <w:t>de</w:t>
      </w:r>
      <w:r>
        <w:rPr>
          <w:rFonts w:ascii="Calibri" w:hAnsi="Calibri"/>
          <w:color w:val="414042"/>
          <w:spacing w:val="-12"/>
          <w:w w:val="105"/>
          <w:sz w:val="16"/>
        </w:rPr>
        <w:t> </w:t>
      </w:r>
      <w:r>
        <w:rPr>
          <w:rFonts w:ascii="Calibri" w:hAnsi="Calibri"/>
          <w:color w:val="414042"/>
          <w:w w:val="105"/>
          <w:sz w:val="16"/>
        </w:rPr>
        <w:t>crecimiento</w:t>
      </w:r>
      <w:r>
        <w:rPr>
          <w:rFonts w:ascii="Calibri" w:hAnsi="Calibri"/>
          <w:color w:val="414042"/>
          <w:spacing w:val="-12"/>
          <w:w w:val="105"/>
          <w:sz w:val="16"/>
        </w:rPr>
        <w:t> </w:t>
      </w:r>
      <w:r>
        <w:rPr>
          <w:rFonts w:ascii="Calibri" w:hAnsi="Calibri"/>
          <w:color w:val="414042"/>
          <w:w w:val="105"/>
          <w:sz w:val="16"/>
        </w:rPr>
        <w:t>observado</w:t>
      </w:r>
      <w:r>
        <w:rPr>
          <w:rFonts w:ascii="Calibri" w:hAnsi="Calibri"/>
          <w:color w:val="414042"/>
          <w:spacing w:val="-12"/>
          <w:w w:val="105"/>
          <w:sz w:val="16"/>
        </w:rPr>
        <w:t> </w:t>
      </w:r>
      <w:r>
        <w:rPr>
          <w:rFonts w:ascii="Calibri" w:hAnsi="Calibri"/>
          <w:color w:val="414042"/>
          <w:w w:val="105"/>
          <w:sz w:val="16"/>
        </w:rPr>
        <w:t>en</w:t>
      </w:r>
      <w:r>
        <w:rPr>
          <w:rFonts w:ascii="Calibri" w:hAnsi="Calibri"/>
          <w:color w:val="414042"/>
          <w:spacing w:val="-12"/>
          <w:w w:val="105"/>
          <w:sz w:val="16"/>
        </w:rPr>
        <w:t> </w:t>
      </w:r>
      <w:r>
        <w:rPr>
          <w:rFonts w:ascii="Calibri" w:hAnsi="Calibri"/>
          <w:color w:val="414042"/>
          <w:w w:val="105"/>
          <w:sz w:val="16"/>
        </w:rPr>
        <w:t>las</w:t>
      </w:r>
      <w:r>
        <w:rPr>
          <w:rFonts w:ascii="Calibri" w:hAnsi="Calibri"/>
          <w:color w:val="414042"/>
          <w:spacing w:val="-12"/>
          <w:w w:val="105"/>
          <w:sz w:val="16"/>
        </w:rPr>
        <w:t> </w:t>
      </w:r>
      <w:r>
        <w:rPr>
          <w:rFonts w:ascii="Calibri" w:hAnsi="Calibri"/>
          <w:color w:val="414042"/>
          <w:w w:val="105"/>
          <w:sz w:val="16"/>
        </w:rPr>
        <w:t>econo- mías</w:t>
      </w:r>
      <w:r>
        <w:rPr>
          <w:rFonts w:ascii="Calibri" w:hAnsi="Calibri"/>
          <w:color w:val="414042"/>
          <w:spacing w:val="-18"/>
          <w:w w:val="105"/>
          <w:sz w:val="16"/>
        </w:rPr>
        <w:t> </w:t>
      </w:r>
      <w:r>
        <w:rPr>
          <w:rFonts w:ascii="Calibri" w:hAnsi="Calibri"/>
          <w:color w:val="414042"/>
          <w:w w:val="105"/>
          <w:sz w:val="16"/>
        </w:rPr>
        <w:t>del</w:t>
      </w:r>
      <w:r>
        <w:rPr>
          <w:rFonts w:ascii="Calibri" w:hAnsi="Calibri"/>
          <w:color w:val="414042"/>
          <w:spacing w:val="-18"/>
          <w:w w:val="105"/>
          <w:sz w:val="16"/>
        </w:rPr>
        <w:t> </w:t>
      </w:r>
      <w:r>
        <w:rPr>
          <w:rFonts w:ascii="Calibri" w:hAnsi="Calibri"/>
          <w:color w:val="414042"/>
          <w:w w:val="105"/>
          <w:sz w:val="16"/>
        </w:rPr>
        <w:t>este</w:t>
      </w:r>
      <w:r>
        <w:rPr>
          <w:rFonts w:ascii="Calibri" w:hAnsi="Calibri"/>
          <w:color w:val="414042"/>
          <w:spacing w:val="-18"/>
          <w:w w:val="105"/>
          <w:sz w:val="16"/>
        </w:rPr>
        <w:t> </w:t>
      </w:r>
      <w:r>
        <w:rPr>
          <w:rFonts w:ascii="Calibri" w:hAnsi="Calibri"/>
          <w:color w:val="414042"/>
          <w:w w:val="105"/>
          <w:sz w:val="16"/>
        </w:rPr>
        <w:t>asiático</w:t>
      </w:r>
      <w:r>
        <w:rPr>
          <w:rFonts w:ascii="Calibri" w:hAnsi="Calibri"/>
          <w:color w:val="414042"/>
          <w:spacing w:val="-18"/>
          <w:w w:val="105"/>
          <w:sz w:val="16"/>
        </w:rPr>
        <w:t> </w:t>
      </w:r>
      <w:r>
        <w:rPr>
          <w:rFonts w:ascii="Calibri" w:hAnsi="Calibri"/>
          <w:color w:val="414042"/>
          <w:w w:val="105"/>
          <w:sz w:val="16"/>
        </w:rPr>
        <w:t>pueden</w:t>
      </w:r>
      <w:r>
        <w:rPr>
          <w:rFonts w:ascii="Calibri" w:hAnsi="Calibri"/>
          <w:color w:val="414042"/>
          <w:spacing w:val="-18"/>
          <w:w w:val="105"/>
          <w:sz w:val="16"/>
        </w:rPr>
        <w:t> </w:t>
      </w:r>
      <w:r>
        <w:rPr>
          <w:rFonts w:ascii="Calibri" w:hAnsi="Calibri"/>
          <w:color w:val="414042"/>
          <w:w w:val="105"/>
          <w:sz w:val="16"/>
        </w:rPr>
        <w:t>atribuirse</w:t>
      </w:r>
      <w:r>
        <w:rPr>
          <w:rFonts w:ascii="Calibri" w:hAnsi="Calibri"/>
          <w:color w:val="414042"/>
          <w:spacing w:val="-18"/>
          <w:w w:val="105"/>
          <w:sz w:val="16"/>
        </w:rPr>
        <w:t> </w:t>
      </w:r>
      <w:r>
        <w:rPr>
          <w:rFonts w:ascii="Calibri" w:hAnsi="Calibri"/>
          <w:color w:val="414042"/>
          <w:w w:val="105"/>
          <w:sz w:val="16"/>
        </w:rPr>
        <w:t>a</w:t>
      </w:r>
      <w:r>
        <w:rPr>
          <w:rFonts w:ascii="Calibri" w:hAnsi="Calibri"/>
          <w:color w:val="414042"/>
          <w:spacing w:val="-18"/>
          <w:w w:val="105"/>
          <w:sz w:val="16"/>
        </w:rPr>
        <w:t> </w:t>
      </w:r>
      <w:r>
        <w:rPr>
          <w:rFonts w:ascii="Calibri" w:hAnsi="Calibri"/>
          <w:color w:val="414042"/>
          <w:w w:val="105"/>
          <w:sz w:val="16"/>
        </w:rPr>
        <w:t>la</w:t>
      </w:r>
      <w:r>
        <w:rPr>
          <w:rFonts w:ascii="Calibri" w:hAnsi="Calibri"/>
          <w:color w:val="414042"/>
          <w:spacing w:val="-18"/>
          <w:w w:val="105"/>
          <w:sz w:val="16"/>
        </w:rPr>
        <w:t> </w:t>
      </w:r>
      <w:r>
        <w:rPr>
          <w:rFonts w:ascii="Calibri" w:hAnsi="Calibri"/>
          <w:color w:val="414042"/>
          <w:w w:val="105"/>
          <w:sz w:val="16"/>
        </w:rPr>
        <w:t>acumulación</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capital</w:t>
      </w:r>
      <w:r>
        <w:rPr>
          <w:rFonts w:ascii="Calibri" w:hAnsi="Calibri"/>
          <w:color w:val="414042"/>
          <w:spacing w:val="-18"/>
          <w:w w:val="105"/>
          <w:sz w:val="16"/>
        </w:rPr>
        <w:t> </w:t>
      </w:r>
      <w:r>
        <w:rPr>
          <w:rFonts w:ascii="Calibri" w:hAnsi="Calibri"/>
          <w:color w:val="414042"/>
          <w:w w:val="105"/>
          <w:sz w:val="16"/>
        </w:rPr>
        <w:t>físico</w:t>
      </w:r>
      <w:r>
        <w:rPr>
          <w:rFonts w:ascii="Calibri" w:hAnsi="Calibri"/>
          <w:color w:val="414042"/>
          <w:spacing w:val="-18"/>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humano,</w:t>
      </w:r>
      <w:r>
        <w:rPr>
          <w:rFonts w:ascii="Calibri" w:hAnsi="Calibri"/>
          <w:color w:val="414042"/>
          <w:spacing w:val="-18"/>
          <w:w w:val="105"/>
          <w:sz w:val="16"/>
        </w:rPr>
        <w:t> </w:t>
      </w:r>
      <w:r>
        <w:rPr>
          <w:rFonts w:ascii="Calibri" w:hAnsi="Calibri"/>
          <w:color w:val="414042"/>
          <w:w w:val="105"/>
          <w:sz w:val="16"/>
        </w:rPr>
        <w:t>y</w:t>
      </w:r>
      <w:r>
        <w:rPr>
          <w:rFonts w:ascii="Calibri" w:hAnsi="Calibri"/>
          <w:color w:val="414042"/>
          <w:spacing w:val="-18"/>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estos</w:t>
      </w:r>
      <w:r>
        <w:rPr>
          <w:rFonts w:ascii="Calibri" w:hAnsi="Calibri"/>
          <w:color w:val="414042"/>
          <w:spacing w:val="-18"/>
          <w:w w:val="105"/>
          <w:sz w:val="16"/>
        </w:rPr>
        <w:t> </w:t>
      </w:r>
      <w:r>
        <w:rPr>
          <w:rFonts w:ascii="Calibri" w:hAnsi="Calibri"/>
          <w:color w:val="414042"/>
          <w:w w:val="105"/>
          <w:sz w:val="16"/>
        </w:rPr>
        <w:t>factores</w:t>
      </w:r>
      <w:r>
        <w:rPr>
          <w:rFonts w:ascii="Calibri" w:hAnsi="Calibri"/>
          <w:color w:val="414042"/>
          <w:spacing w:val="-18"/>
          <w:w w:val="105"/>
          <w:sz w:val="16"/>
        </w:rPr>
        <w:t> </w:t>
      </w:r>
      <w:r>
        <w:rPr>
          <w:rFonts w:ascii="Calibri" w:hAnsi="Calibri"/>
          <w:color w:val="414042"/>
          <w:w w:val="105"/>
          <w:sz w:val="16"/>
        </w:rPr>
        <w:t>el que</w:t>
      </w:r>
      <w:r>
        <w:rPr>
          <w:rFonts w:ascii="Calibri" w:hAnsi="Calibri"/>
          <w:color w:val="414042"/>
          <w:spacing w:val="-20"/>
          <w:w w:val="105"/>
          <w:sz w:val="16"/>
        </w:rPr>
        <w:t> </w:t>
      </w:r>
      <w:r>
        <w:rPr>
          <w:rFonts w:ascii="Calibri" w:hAnsi="Calibri"/>
          <w:color w:val="414042"/>
          <w:w w:val="105"/>
          <w:sz w:val="16"/>
        </w:rPr>
        <w:t>más</w:t>
      </w:r>
      <w:r>
        <w:rPr>
          <w:rFonts w:ascii="Calibri" w:hAnsi="Calibri"/>
          <w:color w:val="414042"/>
          <w:spacing w:val="-20"/>
          <w:w w:val="105"/>
          <w:sz w:val="16"/>
        </w:rPr>
        <w:t> </w:t>
      </w:r>
      <w:r>
        <w:rPr>
          <w:rFonts w:ascii="Calibri" w:hAnsi="Calibri"/>
          <w:color w:val="414042"/>
          <w:w w:val="105"/>
          <w:sz w:val="16"/>
        </w:rPr>
        <w:t>contribuye</w:t>
      </w:r>
      <w:r>
        <w:rPr>
          <w:rFonts w:ascii="Calibri" w:hAnsi="Calibri"/>
          <w:color w:val="414042"/>
          <w:spacing w:val="-20"/>
          <w:w w:val="105"/>
          <w:sz w:val="16"/>
        </w:rPr>
        <w:t> </w:t>
      </w:r>
      <w:r>
        <w:rPr>
          <w:rFonts w:ascii="Calibri" w:hAnsi="Calibri"/>
          <w:color w:val="414042"/>
          <w:w w:val="105"/>
          <w:sz w:val="16"/>
        </w:rPr>
        <w:t>es</w:t>
      </w:r>
      <w:r>
        <w:rPr>
          <w:rFonts w:ascii="Calibri" w:hAnsi="Calibri"/>
          <w:color w:val="414042"/>
          <w:spacing w:val="-20"/>
          <w:w w:val="105"/>
          <w:sz w:val="16"/>
        </w:rPr>
        <w:t> </w:t>
      </w:r>
      <w:r>
        <w:rPr>
          <w:rFonts w:ascii="Calibri" w:hAnsi="Calibri"/>
          <w:color w:val="414042"/>
          <w:w w:val="105"/>
          <w:sz w:val="16"/>
        </w:rPr>
        <w:t>la</w:t>
      </w:r>
      <w:r>
        <w:rPr>
          <w:rFonts w:ascii="Calibri" w:hAnsi="Calibri"/>
          <w:color w:val="414042"/>
          <w:spacing w:val="-20"/>
          <w:w w:val="105"/>
          <w:sz w:val="16"/>
        </w:rPr>
        <w:t> </w:t>
      </w:r>
      <w:r>
        <w:rPr>
          <w:rFonts w:ascii="Calibri" w:hAnsi="Calibri"/>
          <w:color w:val="414042"/>
          <w:w w:val="105"/>
          <w:sz w:val="16"/>
        </w:rPr>
        <w:t>educación</w:t>
      </w:r>
      <w:r>
        <w:rPr>
          <w:rFonts w:ascii="Calibri" w:hAnsi="Calibri"/>
          <w:color w:val="414042"/>
          <w:spacing w:val="-20"/>
          <w:w w:val="105"/>
          <w:sz w:val="16"/>
        </w:rPr>
        <w:t> </w:t>
      </w:r>
      <w:r>
        <w:rPr>
          <w:rFonts w:ascii="Calibri" w:hAnsi="Calibri"/>
          <w:color w:val="414042"/>
          <w:w w:val="105"/>
          <w:sz w:val="16"/>
        </w:rPr>
        <w:t>primaria.</w:t>
      </w:r>
      <w:r>
        <w:rPr>
          <w:rFonts w:ascii="Calibri" w:hAnsi="Calibri"/>
          <w:color w:val="414042"/>
          <w:spacing w:val="-20"/>
          <w:w w:val="105"/>
          <w:sz w:val="16"/>
        </w:rPr>
        <w:t> </w:t>
      </w:r>
      <w:r>
        <w:rPr>
          <w:rFonts w:ascii="Calibri" w:hAnsi="Calibri"/>
          <w:color w:val="414042"/>
          <w:w w:val="105"/>
          <w:sz w:val="16"/>
        </w:rPr>
        <w:t>El</w:t>
      </w:r>
      <w:r>
        <w:rPr>
          <w:rFonts w:ascii="Calibri" w:hAnsi="Calibri"/>
          <w:color w:val="414042"/>
          <w:spacing w:val="-20"/>
          <w:w w:val="105"/>
          <w:sz w:val="16"/>
        </w:rPr>
        <w:t> </w:t>
      </w:r>
      <w:r>
        <w:rPr>
          <w:rFonts w:ascii="Calibri" w:hAnsi="Calibri"/>
          <w:color w:val="414042"/>
          <w:w w:val="105"/>
          <w:sz w:val="16"/>
        </w:rPr>
        <w:t>crecimiento</w:t>
      </w:r>
      <w:r>
        <w:rPr>
          <w:rFonts w:ascii="Calibri" w:hAnsi="Calibri"/>
          <w:color w:val="414042"/>
          <w:spacing w:val="-20"/>
          <w:w w:val="105"/>
          <w:sz w:val="16"/>
        </w:rPr>
        <w:t> </w:t>
      </w:r>
      <w:r>
        <w:rPr>
          <w:rFonts w:ascii="Calibri" w:hAnsi="Calibri"/>
          <w:color w:val="414042"/>
          <w:w w:val="105"/>
          <w:sz w:val="16"/>
        </w:rPr>
        <w:t>restante</w:t>
      </w:r>
      <w:r>
        <w:rPr>
          <w:rFonts w:ascii="Calibri" w:hAnsi="Calibri"/>
          <w:color w:val="414042"/>
          <w:spacing w:val="-20"/>
          <w:w w:val="105"/>
          <w:sz w:val="16"/>
        </w:rPr>
        <w:t> </w:t>
      </w:r>
      <w:r>
        <w:rPr>
          <w:rFonts w:ascii="Calibri" w:hAnsi="Calibri"/>
          <w:color w:val="414042"/>
          <w:w w:val="105"/>
          <w:sz w:val="16"/>
        </w:rPr>
        <w:t>se</w:t>
      </w:r>
      <w:r>
        <w:rPr>
          <w:rFonts w:ascii="Calibri" w:hAnsi="Calibri"/>
          <w:color w:val="414042"/>
          <w:spacing w:val="-20"/>
          <w:w w:val="105"/>
          <w:sz w:val="16"/>
        </w:rPr>
        <w:t> </w:t>
      </w:r>
      <w:r>
        <w:rPr>
          <w:rFonts w:ascii="Calibri" w:hAnsi="Calibri"/>
          <w:color w:val="414042"/>
          <w:w w:val="105"/>
          <w:sz w:val="16"/>
        </w:rPr>
        <w:t>debe</w:t>
      </w:r>
      <w:r>
        <w:rPr>
          <w:rFonts w:ascii="Calibri" w:hAnsi="Calibri"/>
          <w:color w:val="414042"/>
          <w:spacing w:val="-20"/>
          <w:w w:val="105"/>
          <w:sz w:val="16"/>
        </w:rPr>
        <w:t> </w:t>
      </w:r>
      <w:r>
        <w:rPr>
          <w:rFonts w:ascii="Calibri" w:hAnsi="Calibri"/>
          <w:color w:val="414042"/>
          <w:w w:val="105"/>
          <w:sz w:val="16"/>
        </w:rPr>
        <w:t>al</w:t>
      </w:r>
      <w:r>
        <w:rPr>
          <w:rFonts w:ascii="Calibri" w:hAnsi="Calibri"/>
          <w:color w:val="414042"/>
          <w:spacing w:val="-20"/>
          <w:w w:val="105"/>
          <w:sz w:val="16"/>
        </w:rPr>
        <w:t> </w:t>
      </w:r>
      <w:r>
        <w:rPr>
          <w:rFonts w:ascii="Calibri" w:hAnsi="Calibri"/>
          <w:color w:val="414042"/>
          <w:w w:val="105"/>
          <w:sz w:val="16"/>
        </w:rPr>
        <w:t>crecimiento</w:t>
      </w:r>
      <w:r>
        <w:rPr>
          <w:rFonts w:ascii="Calibri" w:hAnsi="Calibri"/>
          <w:color w:val="414042"/>
          <w:spacing w:val="-20"/>
          <w:w w:val="105"/>
          <w:sz w:val="16"/>
        </w:rPr>
        <w:t> </w:t>
      </w:r>
      <w:r>
        <w:rPr>
          <w:rFonts w:ascii="Calibri" w:hAnsi="Calibri"/>
          <w:color w:val="414042"/>
          <w:w w:val="105"/>
          <w:sz w:val="16"/>
        </w:rPr>
        <w:t>de</w:t>
      </w:r>
      <w:r>
        <w:rPr>
          <w:rFonts w:ascii="Calibri" w:hAnsi="Calibri"/>
          <w:color w:val="414042"/>
          <w:spacing w:val="-20"/>
          <w:w w:val="105"/>
          <w:sz w:val="16"/>
        </w:rPr>
        <w:t> </w:t>
      </w:r>
      <w:r>
        <w:rPr>
          <w:rFonts w:ascii="Calibri" w:hAnsi="Calibri"/>
          <w:color w:val="414042"/>
          <w:w w:val="105"/>
          <w:sz w:val="16"/>
        </w:rPr>
        <w:t>la</w:t>
      </w:r>
      <w:r>
        <w:rPr>
          <w:rFonts w:ascii="Calibri" w:hAnsi="Calibri"/>
          <w:color w:val="414042"/>
          <w:spacing w:val="-20"/>
          <w:w w:val="105"/>
          <w:sz w:val="16"/>
        </w:rPr>
        <w:t> </w:t>
      </w:r>
      <w:r>
        <w:rPr>
          <w:rFonts w:ascii="Calibri" w:hAnsi="Calibri"/>
          <w:color w:val="414042"/>
          <w:w w:val="105"/>
          <w:sz w:val="16"/>
        </w:rPr>
        <w:t>produc- tividad</w:t>
      </w:r>
      <w:r>
        <w:rPr>
          <w:rFonts w:ascii="Calibri" w:hAnsi="Calibri"/>
          <w:color w:val="414042"/>
          <w:spacing w:val="-14"/>
          <w:w w:val="105"/>
          <w:sz w:val="16"/>
        </w:rPr>
        <w:t> </w:t>
      </w:r>
      <w:r>
        <w:rPr>
          <w:rFonts w:ascii="Calibri" w:hAnsi="Calibri"/>
          <w:color w:val="414042"/>
          <w:w w:val="105"/>
          <w:sz w:val="16"/>
        </w:rPr>
        <w:t>total</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factores,</w:t>
      </w:r>
      <w:r>
        <w:rPr>
          <w:rFonts w:ascii="Calibri" w:hAnsi="Calibri"/>
          <w:color w:val="414042"/>
          <w:spacing w:val="-14"/>
          <w:w w:val="105"/>
          <w:sz w:val="16"/>
        </w:rPr>
        <w:t> </w:t>
      </w:r>
      <w:r>
        <w:rPr>
          <w:rFonts w:ascii="Calibri" w:hAnsi="Calibri"/>
          <w:color w:val="414042"/>
          <w:w w:val="105"/>
          <w:sz w:val="16"/>
        </w:rPr>
        <w:t>especialmente</w:t>
      </w:r>
      <w:r>
        <w:rPr>
          <w:rFonts w:ascii="Calibri" w:hAnsi="Calibri"/>
          <w:color w:val="414042"/>
          <w:spacing w:val="-14"/>
          <w:w w:val="105"/>
          <w:sz w:val="16"/>
        </w:rPr>
        <w:t> </w:t>
      </w:r>
      <w:r>
        <w:rPr>
          <w:rFonts w:ascii="Calibri" w:hAnsi="Calibri"/>
          <w:color w:val="414042"/>
          <w:w w:val="105"/>
          <w:sz w:val="16"/>
        </w:rPr>
        <w:t>en</w:t>
      </w:r>
      <w:r>
        <w:rPr>
          <w:rFonts w:ascii="Calibri" w:hAnsi="Calibri"/>
          <w:color w:val="414042"/>
          <w:spacing w:val="-14"/>
          <w:w w:val="105"/>
          <w:sz w:val="16"/>
        </w:rPr>
        <w:t> </w:t>
      </w:r>
      <w:r>
        <w:rPr>
          <w:rFonts w:ascii="Calibri" w:hAnsi="Calibri"/>
          <w:color w:val="414042"/>
          <w:w w:val="105"/>
          <w:sz w:val="16"/>
        </w:rPr>
        <w:t>el</w:t>
      </w:r>
      <w:r>
        <w:rPr>
          <w:rFonts w:ascii="Calibri" w:hAnsi="Calibri"/>
          <w:color w:val="414042"/>
          <w:spacing w:val="-14"/>
          <w:w w:val="105"/>
          <w:sz w:val="16"/>
        </w:rPr>
        <w:t> </w:t>
      </w:r>
      <w:r>
        <w:rPr>
          <w:rFonts w:ascii="Calibri" w:hAnsi="Calibri"/>
          <w:color w:val="414042"/>
          <w:w w:val="105"/>
          <w:sz w:val="16"/>
        </w:rPr>
        <w:t>caso</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Corea,</w:t>
      </w:r>
      <w:r>
        <w:rPr>
          <w:rFonts w:ascii="Calibri" w:hAnsi="Calibri"/>
          <w:color w:val="414042"/>
          <w:spacing w:val="-14"/>
          <w:w w:val="105"/>
          <w:sz w:val="16"/>
        </w:rPr>
        <w:t> </w:t>
      </w:r>
      <w:r>
        <w:rPr>
          <w:rFonts w:ascii="Calibri" w:hAnsi="Calibri"/>
          <w:color w:val="414042"/>
          <w:w w:val="105"/>
          <w:sz w:val="16"/>
        </w:rPr>
        <w:t>Hong</w:t>
      </w:r>
      <w:r>
        <w:rPr>
          <w:rFonts w:ascii="Calibri" w:hAnsi="Calibri"/>
          <w:color w:val="414042"/>
          <w:spacing w:val="-14"/>
          <w:w w:val="105"/>
          <w:sz w:val="16"/>
        </w:rPr>
        <w:t> </w:t>
      </w:r>
      <w:r>
        <w:rPr>
          <w:rFonts w:ascii="Calibri" w:hAnsi="Calibri"/>
          <w:color w:val="414042"/>
          <w:w w:val="105"/>
          <w:sz w:val="16"/>
        </w:rPr>
        <w:t>Kong,</w:t>
      </w:r>
      <w:r>
        <w:rPr>
          <w:rFonts w:ascii="Calibri" w:hAnsi="Calibri"/>
          <w:color w:val="414042"/>
          <w:spacing w:val="-17"/>
          <w:w w:val="105"/>
          <w:sz w:val="16"/>
        </w:rPr>
        <w:t> </w:t>
      </w:r>
      <w:r>
        <w:rPr>
          <w:rFonts w:ascii="Calibri" w:hAnsi="Calibri"/>
          <w:color w:val="414042"/>
          <w:w w:val="105"/>
          <w:sz w:val="16"/>
        </w:rPr>
        <w:t>Tailandia</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7"/>
          <w:w w:val="105"/>
          <w:sz w:val="16"/>
        </w:rPr>
        <w:t> </w:t>
      </w:r>
      <w:r>
        <w:rPr>
          <w:rFonts w:ascii="Calibri" w:hAnsi="Calibri"/>
          <w:color w:val="414042"/>
          <w:spacing w:val="-3"/>
          <w:w w:val="105"/>
          <w:sz w:val="16"/>
        </w:rPr>
        <w:t>Taiwan</w:t>
      </w:r>
      <w:r>
        <w:rPr>
          <w:rFonts w:ascii="Calibri" w:hAnsi="Calibri"/>
          <w:color w:val="414042"/>
          <w:spacing w:val="-14"/>
          <w:w w:val="105"/>
          <w:sz w:val="16"/>
        </w:rPr>
        <w:t> </w:t>
      </w:r>
      <w:r>
        <w:rPr>
          <w:rFonts w:ascii="Calibri" w:hAnsi="Calibri"/>
          <w:color w:val="414042"/>
          <w:w w:val="105"/>
          <w:sz w:val="16"/>
        </w:rPr>
        <w:t>(Ray,</w:t>
      </w:r>
      <w:r>
        <w:rPr>
          <w:rFonts w:ascii="Calibri" w:hAnsi="Calibri"/>
          <w:color w:val="414042"/>
          <w:spacing w:val="-14"/>
          <w:w w:val="105"/>
          <w:sz w:val="16"/>
        </w:rPr>
        <w:t> </w:t>
      </w:r>
      <w:r>
        <w:rPr>
          <w:rFonts w:ascii="Calibri" w:hAnsi="Calibri"/>
          <w:color w:val="414042"/>
          <w:w w:val="105"/>
          <w:sz w:val="16"/>
        </w:rPr>
        <w:t>1998).</w:t>
      </w:r>
    </w:p>
    <w:p>
      <w:pPr>
        <w:spacing w:after="0" w:line="192" w:lineRule="exact"/>
        <w:jc w:val="both"/>
        <w:rPr>
          <w:rFonts w:ascii="Calibri" w:hAnsi="Calibri"/>
          <w:sz w:val="16"/>
        </w:rPr>
        <w:sectPr>
          <w:pgSz w:w="9640" w:h="13890"/>
          <w:pgMar w:top="0" w:bottom="280" w:left="1300" w:right="1200"/>
        </w:sectPr>
      </w:pPr>
    </w:p>
    <w:p>
      <w:pPr>
        <w:pStyle w:val="BodyText"/>
        <w:spacing w:line="259" w:lineRule="auto" w:before="120"/>
        <w:ind w:left="103" w:right="114"/>
        <w:jc w:val="both"/>
      </w:pPr>
      <w:r>
        <w:rPr>
          <w:color w:val="231F20"/>
          <w:w w:val="105"/>
        </w:rPr>
        <w:t>puede preparar el terreno para otras actividades innovadoras, que no tienen por qué ser realizadas necesariamente por el individuo o por la organización que realizó la inicial (Ray, 1998).</w:t>
      </w:r>
    </w:p>
    <w:p>
      <w:pPr>
        <w:spacing w:before="162"/>
        <w:ind w:left="103" w:right="0" w:firstLine="0"/>
        <w:jc w:val="both"/>
        <w:rPr>
          <w:i/>
          <w:sz w:val="21"/>
        </w:rPr>
      </w:pPr>
      <w:r>
        <w:rPr>
          <w:i/>
          <w:color w:val="231F20"/>
          <w:sz w:val="21"/>
        </w:rPr>
        <w:t>Especialización y</w:t>
      </w:r>
      <w:r>
        <w:rPr>
          <w:i/>
          <w:color w:val="231F20"/>
          <w:spacing w:val="54"/>
          <w:sz w:val="21"/>
        </w:rPr>
        <w:t> </w:t>
      </w:r>
      <w:r>
        <w:rPr>
          <w:i/>
          <w:color w:val="231F20"/>
          <w:sz w:val="21"/>
        </w:rPr>
        <w:t>crecimiento</w:t>
      </w:r>
    </w:p>
    <w:p>
      <w:pPr>
        <w:pStyle w:val="BodyText"/>
        <w:spacing w:before="4"/>
        <w:rPr>
          <w:i/>
          <w:sz w:val="16"/>
        </w:rPr>
      </w:pPr>
    </w:p>
    <w:p>
      <w:pPr>
        <w:pStyle w:val="BodyText"/>
        <w:spacing w:line="259" w:lineRule="auto"/>
        <w:ind w:left="103" w:right="114"/>
        <w:jc w:val="both"/>
      </w:pPr>
      <w:r>
        <w:rPr>
          <w:color w:val="231F20"/>
          <w:w w:val="105"/>
        </w:rPr>
        <w:t>El</w:t>
      </w:r>
      <w:r>
        <w:rPr>
          <w:color w:val="231F20"/>
          <w:spacing w:val="-11"/>
          <w:w w:val="105"/>
        </w:rPr>
        <w:t> </w:t>
      </w:r>
      <w:r>
        <w:rPr>
          <w:color w:val="231F20"/>
          <w:w w:val="105"/>
        </w:rPr>
        <w:t>patrón</w:t>
      </w:r>
      <w:r>
        <w:rPr>
          <w:color w:val="231F20"/>
          <w:spacing w:val="-11"/>
          <w:w w:val="105"/>
        </w:rPr>
        <w:t> </w:t>
      </w:r>
      <w:r>
        <w:rPr>
          <w:color w:val="231F20"/>
          <w:w w:val="105"/>
        </w:rPr>
        <w:t>de</w:t>
      </w:r>
      <w:r>
        <w:rPr>
          <w:color w:val="231F20"/>
          <w:spacing w:val="-11"/>
          <w:w w:val="105"/>
        </w:rPr>
        <w:t> </w:t>
      </w:r>
      <w:r>
        <w:rPr>
          <w:color w:val="231F20"/>
          <w:w w:val="105"/>
        </w:rPr>
        <w:t>especialización</w:t>
      </w:r>
      <w:r>
        <w:rPr>
          <w:color w:val="231F20"/>
          <w:spacing w:val="-11"/>
          <w:w w:val="105"/>
        </w:rPr>
        <w:t> </w:t>
      </w:r>
      <w:r>
        <w:rPr>
          <w:color w:val="231F20"/>
          <w:w w:val="105"/>
        </w:rPr>
        <w:t>puede</w:t>
      </w:r>
      <w:r>
        <w:rPr>
          <w:color w:val="231F20"/>
          <w:spacing w:val="-11"/>
          <w:w w:val="105"/>
        </w:rPr>
        <w:t> </w:t>
      </w:r>
      <w:r>
        <w:rPr>
          <w:color w:val="231F20"/>
          <w:w w:val="105"/>
        </w:rPr>
        <w:t>ser</w:t>
      </w:r>
      <w:r>
        <w:rPr>
          <w:color w:val="231F20"/>
          <w:spacing w:val="-11"/>
          <w:w w:val="105"/>
        </w:rPr>
        <w:t> </w:t>
      </w:r>
      <w:r>
        <w:rPr>
          <w:color w:val="231F20"/>
          <w:w w:val="105"/>
        </w:rPr>
        <w:t>un</w:t>
      </w:r>
      <w:r>
        <w:rPr>
          <w:color w:val="231F20"/>
          <w:spacing w:val="-11"/>
          <w:w w:val="105"/>
        </w:rPr>
        <w:t> </w:t>
      </w:r>
      <w:r>
        <w:rPr>
          <w:color w:val="231F20"/>
          <w:w w:val="105"/>
        </w:rPr>
        <w:t>factor</w:t>
      </w:r>
      <w:r>
        <w:rPr>
          <w:color w:val="231F20"/>
          <w:spacing w:val="-11"/>
          <w:w w:val="105"/>
        </w:rPr>
        <w:t> </w:t>
      </w:r>
      <w:r>
        <w:rPr>
          <w:color w:val="231F20"/>
          <w:w w:val="105"/>
        </w:rPr>
        <w:t>determinante</w:t>
      </w:r>
      <w:r>
        <w:rPr>
          <w:color w:val="231F20"/>
          <w:spacing w:val="-11"/>
          <w:w w:val="105"/>
        </w:rPr>
        <w:t> </w:t>
      </w:r>
      <w:r>
        <w:rPr>
          <w:color w:val="231F20"/>
          <w:w w:val="105"/>
        </w:rPr>
        <w:t>del</w:t>
      </w:r>
      <w:r>
        <w:rPr>
          <w:color w:val="231F20"/>
          <w:spacing w:val="-11"/>
          <w:w w:val="105"/>
        </w:rPr>
        <w:t> </w:t>
      </w:r>
      <w:r>
        <w:rPr>
          <w:color w:val="231F20"/>
          <w:w w:val="105"/>
        </w:rPr>
        <w:t>creci- miento,</w:t>
      </w:r>
      <w:r>
        <w:rPr>
          <w:color w:val="231F20"/>
          <w:spacing w:val="-14"/>
          <w:w w:val="105"/>
        </w:rPr>
        <w:t> </w:t>
      </w:r>
      <w:r>
        <w:rPr>
          <w:color w:val="231F20"/>
          <w:w w:val="105"/>
        </w:rPr>
        <w:t>ya</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actividades</w:t>
      </w:r>
      <w:r>
        <w:rPr>
          <w:color w:val="231F20"/>
          <w:spacing w:val="-9"/>
          <w:w w:val="105"/>
        </w:rPr>
        <w:t> </w:t>
      </w:r>
      <w:r>
        <w:rPr>
          <w:color w:val="231F20"/>
          <w:w w:val="105"/>
        </w:rPr>
        <w:t>económicas</w:t>
      </w:r>
      <w:r>
        <w:rPr>
          <w:color w:val="231F20"/>
          <w:spacing w:val="-9"/>
          <w:w w:val="105"/>
        </w:rPr>
        <w:t> </w:t>
      </w:r>
      <w:r>
        <w:rPr>
          <w:color w:val="231F20"/>
          <w:w w:val="105"/>
        </w:rPr>
        <w:t>pueden</w:t>
      </w:r>
      <w:r>
        <w:rPr>
          <w:color w:val="231F20"/>
          <w:spacing w:val="-9"/>
          <w:w w:val="105"/>
        </w:rPr>
        <w:t> </w:t>
      </w:r>
      <w:r>
        <w:rPr>
          <w:color w:val="231F20"/>
          <w:w w:val="105"/>
        </w:rPr>
        <w:t>ser</w:t>
      </w:r>
      <w:r>
        <w:rPr>
          <w:color w:val="231F20"/>
          <w:spacing w:val="-9"/>
          <w:w w:val="105"/>
        </w:rPr>
        <w:t> </w:t>
      </w:r>
      <w:r>
        <w:rPr>
          <w:color w:val="231F20"/>
          <w:w w:val="105"/>
        </w:rPr>
        <w:t>diferentes</w:t>
      </w:r>
      <w:r>
        <w:rPr>
          <w:color w:val="231F20"/>
          <w:spacing w:val="-9"/>
          <w:w w:val="105"/>
        </w:rPr>
        <w:t> </w:t>
      </w:r>
      <w:r>
        <w:rPr>
          <w:color w:val="231F20"/>
          <w:w w:val="105"/>
        </w:rPr>
        <w:t>por</w:t>
      </w:r>
      <w:r>
        <w:rPr>
          <w:color w:val="231F20"/>
          <w:spacing w:val="-9"/>
          <w:w w:val="105"/>
        </w:rPr>
        <w:t> </w:t>
      </w:r>
      <w:r>
        <w:rPr>
          <w:color w:val="231F20"/>
          <w:w w:val="105"/>
        </w:rPr>
        <w:t>el nivel</w:t>
      </w:r>
      <w:r>
        <w:rPr>
          <w:color w:val="231F20"/>
          <w:spacing w:val="-16"/>
          <w:w w:val="105"/>
        </w:rPr>
        <w:t> </w:t>
      </w:r>
      <w:r>
        <w:rPr>
          <w:color w:val="231F20"/>
          <w:w w:val="105"/>
        </w:rPr>
        <w:t>tecnológico</w:t>
      </w:r>
      <w:r>
        <w:rPr>
          <w:color w:val="231F20"/>
          <w:spacing w:val="-16"/>
          <w:w w:val="105"/>
        </w:rPr>
        <w:t> </w:t>
      </w:r>
      <w:r>
        <w:rPr>
          <w:color w:val="231F20"/>
          <w:w w:val="105"/>
        </w:rPr>
        <w:t>utilizado</w:t>
      </w:r>
      <w:r>
        <w:rPr>
          <w:color w:val="231F20"/>
          <w:spacing w:val="-16"/>
          <w:w w:val="105"/>
        </w:rPr>
        <w:t> </w:t>
      </w:r>
      <w:r>
        <w:rPr>
          <w:color w:val="231F20"/>
          <w:w w:val="105"/>
        </w:rPr>
        <w:t>en</w:t>
      </w:r>
      <w:r>
        <w:rPr>
          <w:color w:val="231F20"/>
          <w:spacing w:val="-16"/>
          <w:w w:val="105"/>
        </w:rPr>
        <w:t> </w:t>
      </w:r>
      <w:r>
        <w:rPr>
          <w:color w:val="231F20"/>
          <w:w w:val="105"/>
        </w:rPr>
        <w:t>sus</w:t>
      </w:r>
      <w:r>
        <w:rPr>
          <w:color w:val="231F20"/>
          <w:spacing w:val="-16"/>
          <w:w w:val="105"/>
        </w:rPr>
        <w:t> </w:t>
      </w:r>
      <w:r>
        <w:rPr>
          <w:color w:val="231F20"/>
          <w:w w:val="105"/>
        </w:rPr>
        <w:t>procesos,</w:t>
      </w:r>
      <w:r>
        <w:rPr>
          <w:color w:val="231F20"/>
          <w:spacing w:val="-22"/>
          <w:w w:val="105"/>
        </w:rPr>
        <w:t> </w:t>
      </w:r>
      <w:r>
        <w:rPr>
          <w:color w:val="231F20"/>
          <w:w w:val="105"/>
        </w:rPr>
        <w:t>lo</w:t>
      </w:r>
      <w:r>
        <w:rPr>
          <w:color w:val="231F20"/>
          <w:spacing w:val="-16"/>
          <w:w w:val="105"/>
        </w:rPr>
        <w:t> </w:t>
      </w:r>
      <w:r>
        <w:rPr>
          <w:color w:val="231F20"/>
          <w:w w:val="105"/>
        </w:rPr>
        <w:t>cual</w:t>
      </w:r>
      <w:r>
        <w:rPr>
          <w:color w:val="231F20"/>
          <w:spacing w:val="-16"/>
          <w:w w:val="105"/>
        </w:rPr>
        <w:t> </w:t>
      </w:r>
      <w:r>
        <w:rPr>
          <w:color w:val="231F20"/>
          <w:w w:val="105"/>
        </w:rPr>
        <w:t>determina</w:t>
      </w:r>
      <w:r>
        <w:rPr>
          <w:color w:val="231F20"/>
          <w:spacing w:val="-16"/>
          <w:w w:val="105"/>
        </w:rPr>
        <w:t> </w:t>
      </w:r>
      <w:r>
        <w:rPr>
          <w:color w:val="231F20"/>
          <w:w w:val="105"/>
        </w:rPr>
        <w:t>su</w:t>
      </w:r>
      <w:r>
        <w:rPr>
          <w:color w:val="231F20"/>
          <w:spacing w:val="-16"/>
          <w:w w:val="105"/>
        </w:rPr>
        <w:t> </w:t>
      </w:r>
      <w:r>
        <w:rPr>
          <w:color w:val="231F20"/>
          <w:w w:val="105"/>
        </w:rPr>
        <w:t>produc- tividad.</w:t>
      </w:r>
      <w:r>
        <w:rPr>
          <w:color w:val="231F20"/>
          <w:spacing w:val="-34"/>
          <w:w w:val="105"/>
        </w:rPr>
        <w:t> </w:t>
      </w:r>
      <w:r>
        <w:rPr>
          <w:color w:val="231F20"/>
          <w:spacing w:val="-6"/>
          <w:w w:val="105"/>
        </w:rPr>
        <w:t>Por</w:t>
      </w:r>
      <w:r>
        <w:rPr>
          <w:color w:val="231F20"/>
          <w:spacing w:val="-30"/>
          <w:w w:val="105"/>
        </w:rPr>
        <w:t> </w:t>
      </w:r>
      <w:r>
        <w:rPr>
          <w:color w:val="231F20"/>
          <w:w w:val="105"/>
        </w:rPr>
        <w:t>ejemplo,</w:t>
      </w:r>
      <w:r>
        <w:rPr>
          <w:color w:val="231F20"/>
          <w:spacing w:val="-34"/>
          <w:w w:val="105"/>
        </w:rPr>
        <w:t> </w:t>
      </w:r>
      <w:r>
        <w:rPr>
          <w:color w:val="231F20"/>
          <w:w w:val="105"/>
        </w:rPr>
        <w:t>Matsuyama</w:t>
      </w:r>
      <w:r>
        <w:rPr>
          <w:color w:val="231F20"/>
          <w:spacing w:val="-30"/>
          <w:w w:val="105"/>
        </w:rPr>
        <w:t> </w:t>
      </w:r>
      <w:r>
        <w:rPr>
          <w:color w:val="231F20"/>
          <w:w w:val="105"/>
        </w:rPr>
        <w:t>(1992)</w:t>
      </w:r>
      <w:r>
        <w:rPr>
          <w:color w:val="231F20"/>
          <w:spacing w:val="-30"/>
          <w:w w:val="105"/>
        </w:rPr>
        <w:t> </w:t>
      </w:r>
      <w:r>
        <w:rPr>
          <w:color w:val="231F20"/>
          <w:w w:val="105"/>
        </w:rPr>
        <w:t>sugiere</w:t>
      </w:r>
      <w:r>
        <w:rPr>
          <w:color w:val="231F20"/>
          <w:spacing w:val="-30"/>
          <w:w w:val="105"/>
        </w:rPr>
        <w:t> </w:t>
      </w:r>
      <w:r>
        <w:rPr>
          <w:color w:val="231F20"/>
          <w:w w:val="105"/>
        </w:rPr>
        <w:t>que</w:t>
      </w:r>
      <w:r>
        <w:rPr>
          <w:color w:val="231F20"/>
          <w:spacing w:val="-30"/>
          <w:w w:val="105"/>
        </w:rPr>
        <w:t> </w:t>
      </w:r>
      <w:r>
        <w:rPr>
          <w:color w:val="231F20"/>
          <w:w w:val="105"/>
        </w:rPr>
        <w:t>la</w:t>
      </w:r>
      <w:r>
        <w:rPr>
          <w:color w:val="231F20"/>
          <w:spacing w:val="-30"/>
          <w:w w:val="105"/>
        </w:rPr>
        <w:t> </w:t>
      </w:r>
      <w:r>
        <w:rPr>
          <w:color w:val="231F20"/>
          <w:w w:val="105"/>
        </w:rPr>
        <w:t>especialización</w:t>
      </w:r>
      <w:r>
        <w:rPr>
          <w:color w:val="231F20"/>
          <w:spacing w:val="-30"/>
          <w:w w:val="105"/>
        </w:rPr>
        <w:t> </w:t>
      </w:r>
      <w:r>
        <w:rPr>
          <w:color w:val="231F20"/>
          <w:w w:val="105"/>
        </w:rPr>
        <w:t>en la</w:t>
      </w:r>
      <w:r>
        <w:rPr>
          <w:color w:val="231F20"/>
          <w:spacing w:val="-16"/>
          <w:w w:val="105"/>
        </w:rPr>
        <w:t> </w:t>
      </w:r>
      <w:r>
        <w:rPr>
          <w:color w:val="231F20"/>
          <w:w w:val="105"/>
        </w:rPr>
        <w:t>manufactura</w:t>
      </w:r>
      <w:r>
        <w:rPr>
          <w:color w:val="231F20"/>
          <w:spacing w:val="-16"/>
          <w:w w:val="105"/>
        </w:rPr>
        <w:t> </w:t>
      </w:r>
      <w:r>
        <w:rPr>
          <w:color w:val="231F20"/>
          <w:w w:val="105"/>
        </w:rPr>
        <w:t>tiene</w:t>
      </w:r>
      <w:r>
        <w:rPr>
          <w:color w:val="231F20"/>
          <w:spacing w:val="-16"/>
          <w:w w:val="105"/>
        </w:rPr>
        <w:t> </w:t>
      </w:r>
      <w:r>
        <w:rPr>
          <w:color w:val="231F20"/>
          <w:w w:val="105"/>
        </w:rPr>
        <w:t>efectos</w:t>
      </w:r>
      <w:r>
        <w:rPr>
          <w:color w:val="231F20"/>
          <w:spacing w:val="-16"/>
          <w:w w:val="105"/>
        </w:rPr>
        <w:t> </w:t>
      </w:r>
      <w:r>
        <w:rPr>
          <w:color w:val="231F20"/>
          <w:w w:val="105"/>
        </w:rPr>
        <w:t>positivos</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crecimiento,</w:t>
      </w:r>
      <w:r>
        <w:rPr>
          <w:color w:val="231F20"/>
          <w:spacing w:val="-22"/>
          <w:w w:val="105"/>
        </w:rPr>
        <w:t> </w:t>
      </w:r>
      <w:r>
        <w:rPr>
          <w:color w:val="231F20"/>
          <w:w w:val="105"/>
        </w:rPr>
        <w:t>debido</w:t>
      </w:r>
      <w:r>
        <w:rPr>
          <w:color w:val="231F20"/>
          <w:spacing w:val="-16"/>
          <w:w w:val="105"/>
        </w:rPr>
        <w:t> </w:t>
      </w:r>
      <w:r>
        <w:rPr>
          <w:color w:val="231F20"/>
          <w:w w:val="105"/>
        </w:rPr>
        <w:t>a</w:t>
      </w:r>
      <w:r>
        <w:rPr>
          <w:color w:val="231F20"/>
          <w:spacing w:val="-16"/>
          <w:w w:val="105"/>
        </w:rPr>
        <w:t> </w:t>
      </w:r>
      <w:r>
        <w:rPr>
          <w:color w:val="231F20"/>
          <w:w w:val="105"/>
        </w:rPr>
        <w:t>proce- sos</w:t>
      </w:r>
      <w:r>
        <w:rPr>
          <w:color w:val="231F20"/>
          <w:spacing w:val="-19"/>
          <w:w w:val="105"/>
        </w:rPr>
        <w:t> </w:t>
      </w:r>
      <w:r>
        <w:rPr>
          <w:color w:val="231F20"/>
          <w:w w:val="105"/>
        </w:rPr>
        <w:t>como</w:t>
      </w:r>
      <w:r>
        <w:rPr>
          <w:color w:val="231F20"/>
          <w:spacing w:val="-19"/>
          <w:w w:val="105"/>
        </w:rPr>
        <w:t> </w:t>
      </w:r>
      <w:r>
        <w:rPr>
          <w:color w:val="231F20"/>
          <w:w w:val="105"/>
        </w:rPr>
        <w:t>el</w:t>
      </w:r>
      <w:r>
        <w:rPr>
          <w:color w:val="231F20"/>
          <w:spacing w:val="-19"/>
          <w:w w:val="105"/>
        </w:rPr>
        <w:t> </w:t>
      </w:r>
      <w:r>
        <w:rPr>
          <w:color w:val="231F20"/>
          <w:w w:val="105"/>
        </w:rPr>
        <w:t>aprender-haciendo</w:t>
      </w:r>
      <w:r>
        <w:rPr>
          <w:color w:val="231F20"/>
          <w:spacing w:val="-19"/>
          <w:w w:val="105"/>
        </w:rPr>
        <w:t> </w:t>
      </w:r>
      <w:r>
        <w:rPr>
          <w:color w:val="231F20"/>
          <w:w w:val="105"/>
        </w:rPr>
        <w:t>(</w:t>
      </w:r>
      <w:r>
        <w:rPr>
          <w:i/>
          <w:color w:val="231F20"/>
          <w:w w:val="105"/>
        </w:rPr>
        <w:t>learning</w:t>
      </w:r>
      <w:r>
        <w:rPr>
          <w:i/>
          <w:color w:val="231F20"/>
          <w:spacing w:val="-19"/>
          <w:w w:val="105"/>
        </w:rPr>
        <w:t> </w:t>
      </w:r>
      <w:r>
        <w:rPr>
          <w:i/>
          <w:color w:val="231F20"/>
          <w:w w:val="105"/>
        </w:rPr>
        <w:t>by</w:t>
      </w:r>
      <w:r>
        <w:rPr>
          <w:i/>
          <w:color w:val="231F20"/>
          <w:spacing w:val="-19"/>
          <w:w w:val="105"/>
        </w:rPr>
        <w:t> </w:t>
      </w:r>
      <w:r>
        <w:rPr>
          <w:i/>
          <w:color w:val="231F20"/>
          <w:w w:val="105"/>
        </w:rPr>
        <w:t>doing)</w:t>
      </w:r>
      <w:r>
        <w:rPr>
          <w:w w:val="105"/>
        </w:rPr>
        <w:t>,</w:t>
      </w:r>
      <w:r>
        <w:rPr>
          <w:spacing w:val="-25"/>
          <w:w w:val="105"/>
        </w:rPr>
        <w:t> </w:t>
      </w:r>
      <w:r>
        <w:rPr>
          <w:w w:val="105"/>
        </w:rPr>
        <w:t>el</w:t>
      </w:r>
      <w:r>
        <w:rPr>
          <w:spacing w:val="-20"/>
          <w:w w:val="105"/>
        </w:rPr>
        <w:t> </w:t>
      </w:r>
      <w:r>
        <w:rPr>
          <w:w w:val="105"/>
        </w:rPr>
        <w:t>cual</w:t>
      </w:r>
      <w:r>
        <w:rPr>
          <w:spacing w:val="-20"/>
          <w:w w:val="105"/>
        </w:rPr>
        <w:t> </w:t>
      </w:r>
      <w:r>
        <w:rPr>
          <w:w w:val="105"/>
        </w:rPr>
        <w:t>genera</w:t>
      </w:r>
      <w:r>
        <w:rPr>
          <w:spacing w:val="-20"/>
          <w:w w:val="105"/>
        </w:rPr>
        <w:t> </w:t>
      </w:r>
      <w:r>
        <w:rPr>
          <w:w w:val="105"/>
        </w:rPr>
        <w:t>exter- nalidades</w:t>
      </w:r>
      <w:r>
        <w:rPr>
          <w:spacing w:val="-18"/>
          <w:w w:val="105"/>
        </w:rPr>
        <w:t> </w:t>
      </w:r>
      <w:r>
        <w:rPr>
          <w:w w:val="105"/>
        </w:rPr>
        <w:t>positivas,</w:t>
      </w:r>
      <w:r>
        <w:rPr>
          <w:spacing w:val="-23"/>
          <w:w w:val="105"/>
        </w:rPr>
        <w:t> </w:t>
      </w:r>
      <w:r>
        <w:rPr>
          <w:w w:val="105"/>
        </w:rPr>
        <w:t>ya</w:t>
      </w:r>
      <w:r>
        <w:rPr>
          <w:spacing w:val="-18"/>
          <w:w w:val="105"/>
        </w:rPr>
        <w:t> </w:t>
      </w:r>
      <w:r>
        <w:rPr>
          <w:w w:val="105"/>
        </w:rPr>
        <w:t>que</w:t>
      </w:r>
      <w:r>
        <w:rPr>
          <w:spacing w:val="-18"/>
          <w:w w:val="105"/>
        </w:rPr>
        <w:t> </w:t>
      </w:r>
      <w:r>
        <w:rPr>
          <w:w w:val="105"/>
        </w:rPr>
        <w:t>ofrece</w:t>
      </w:r>
      <w:r>
        <w:rPr>
          <w:spacing w:val="-18"/>
          <w:w w:val="105"/>
        </w:rPr>
        <w:t> </w:t>
      </w:r>
      <w:r>
        <w:rPr>
          <w:w w:val="105"/>
        </w:rPr>
        <w:t>más</w:t>
      </w:r>
      <w:r>
        <w:rPr>
          <w:spacing w:val="-18"/>
          <w:w w:val="105"/>
        </w:rPr>
        <w:t> </w:t>
      </w:r>
      <w:r>
        <w:rPr>
          <w:w w:val="105"/>
        </w:rPr>
        <w:t>posibilidades</w:t>
      </w:r>
      <w:r>
        <w:rPr>
          <w:spacing w:val="-18"/>
          <w:w w:val="105"/>
        </w:rPr>
        <w:t> </w:t>
      </w:r>
      <w:r>
        <w:rPr>
          <w:w w:val="105"/>
        </w:rPr>
        <w:t>de</w:t>
      </w:r>
      <w:r>
        <w:rPr>
          <w:spacing w:val="-18"/>
          <w:w w:val="105"/>
        </w:rPr>
        <w:t> </w:t>
      </w:r>
      <w:r>
        <w:rPr>
          <w:w w:val="105"/>
        </w:rPr>
        <w:t>aprendizaje</w:t>
      </w:r>
      <w:r>
        <w:rPr>
          <w:spacing w:val="-18"/>
          <w:w w:val="105"/>
        </w:rPr>
        <w:t> </w:t>
      </w:r>
      <w:r>
        <w:rPr>
          <w:w w:val="105"/>
        </w:rPr>
        <w:t>que otros</w:t>
      </w:r>
      <w:r>
        <w:rPr>
          <w:spacing w:val="-11"/>
          <w:w w:val="105"/>
        </w:rPr>
        <w:t> </w:t>
      </w:r>
      <w:r>
        <w:rPr>
          <w:w w:val="105"/>
        </w:rPr>
        <w:t>sectores</w:t>
      </w:r>
      <w:r>
        <w:rPr>
          <w:spacing w:val="-11"/>
          <w:w w:val="105"/>
        </w:rPr>
        <w:t> </w:t>
      </w:r>
      <w:r>
        <w:rPr>
          <w:w w:val="105"/>
        </w:rPr>
        <w:t>de</w:t>
      </w:r>
      <w:r>
        <w:rPr>
          <w:spacing w:val="-11"/>
          <w:w w:val="105"/>
        </w:rPr>
        <w:t> </w:t>
      </w:r>
      <w:r>
        <w:rPr>
          <w:w w:val="105"/>
        </w:rPr>
        <w:t>la</w:t>
      </w:r>
      <w:r>
        <w:rPr>
          <w:spacing w:val="-11"/>
          <w:w w:val="105"/>
        </w:rPr>
        <w:t> </w:t>
      </w:r>
      <w:r>
        <w:rPr>
          <w:w w:val="105"/>
        </w:rPr>
        <w:t>economía,</w:t>
      </w:r>
      <w:r>
        <w:rPr>
          <w:spacing w:val="-16"/>
          <w:w w:val="105"/>
        </w:rPr>
        <w:t> </w:t>
      </w:r>
      <w:r>
        <w:rPr>
          <w:color w:val="231F20"/>
          <w:w w:val="105"/>
        </w:rPr>
        <w:t>dada</w:t>
      </w:r>
      <w:r>
        <w:rPr>
          <w:color w:val="231F20"/>
          <w:spacing w:val="-11"/>
          <w:w w:val="105"/>
        </w:rPr>
        <w:t> </w:t>
      </w:r>
      <w:r>
        <w:rPr>
          <w:color w:val="231F20"/>
          <w:w w:val="105"/>
        </w:rPr>
        <w:t>la</w:t>
      </w:r>
      <w:r>
        <w:rPr>
          <w:color w:val="231F20"/>
          <w:spacing w:val="-11"/>
          <w:w w:val="105"/>
        </w:rPr>
        <w:t> </w:t>
      </w:r>
      <w:r>
        <w:rPr>
          <w:color w:val="231F20"/>
          <w:w w:val="105"/>
        </w:rPr>
        <w:t>productividad</w:t>
      </w:r>
      <w:r>
        <w:rPr>
          <w:color w:val="231F20"/>
          <w:spacing w:val="-11"/>
          <w:w w:val="105"/>
        </w:rPr>
        <w:t> </w:t>
      </w:r>
      <w:r>
        <w:rPr>
          <w:color w:val="231F20"/>
          <w:w w:val="105"/>
        </w:rPr>
        <w:t>asociada</w:t>
      </w:r>
      <w:r>
        <w:rPr>
          <w:color w:val="231F20"/>
          <w:spacing w:val="-11"/>
          <w:w w:val="105"/>
        </w:rPr>
        <w:t> </w:t>
      </w:r>
      <w:r>
        <w:rPr>
          <w:color w:val="231F20"/>
          <w:w w:val="105"/>
        </w:rPr>
        <w:t>al</w:t>
      </w:r>
      <w:r>
        <w:rPr>
          <w:color w:val="231F20"/>
          <w:spacing w:val="-11"/>
          <w:w w:val="105"/>
        </w:rPr>
        <w:t> </w:t>
      </w:r>
      <w:r>
        <w:rPr>
          <w:color w:val="231F20"/>
          <w:w w:val="105"/>
        </w:rPr>
        <w:t>mayor nivel</w:t>
      </w:r>
      <w:r>
        <w:rPr>
          <w:color w:val="231F20"/>
          <w:spacing w:val="-17"/>
          <w:w w:val="105"/>
        </w:rPr>
        <w:t> </w:t>
      </w:r>
      <w:r>
        <w:rPr>
          <w:color w:val="231F20"/>
          <w:w w:val="105"/>
        </w:rPr>
        <w:t>de</w:t>
      </w:r>
      <w:r>
        <w:rPr>
          <w:color w:val="231F20"/>
          <w:spacing w:val="-17"/>
          <w:w w:val="105"/>
        </w:rPr>
        <w:t> </w:t>
      </w:r>
      <w:r>
        <w:rPr>
          <w:color w:val="231F20"/>
          <w:w w:val="105"/>
        </w:rPr>
        <w:t>adelantos</w:t>
      </w:r>
      <w:r>
        <w:rPr>
          <w:color w:val="231F20"/>
          <w:spacing w:val="-17"/>
          <w:w w:val="105"/>
        </w:rPr>
        <w:t> </w:t>
      </w:r>
      <w:r>
        <w:rPr>
          <w:color w:val="231F20"/>
          <w:w w:val="105"/>
        </w:rPr>
        <w:t>tecnológicos</w:t>
      </w:r>
      <w:r>
        <w:rPr>
          <w:color w:val="231F20"/>
          <w:spacing w:val="-17"/>
          <w:w w:val="105"/>
        </w:rPr>
        <w:t> </w:t>
      </w:r>
      <w:r>
        <w:rPr>
          <w:color w:val="231F20"/>
          <w:w w:val="105"/>
        </w:rPr>
        <w:t>e</w:t>
      </w:r>
      <w:r>
        <w:rPr>
          <w:color w:val="231F20"/>
          <w:spacing w:val="-17"/>
          <w:w w:val="105"/>
        </w:rPr>
        <w:t> </w:t>
      </w:r>
      <w:r>
        <w:rPr>
          <w:color w:val="231F20"/>
          <w:w w:val="105"/>
        </w:rPr>
        <w:t>innovaciones.</w:t>
      </w:r>
    </w:p>
    <w:p>
      <w:pPr>
        <w:pStyle w:val="BodyText"/>
        <w:spacing w:line="259" w:lineRule="auto"/>
        <w:ind w:left="103" w:right="114" w:firstLine="567"/>
        <w:jc w:val="both"/>
      </w:pPr>
      <w:r>
        <w:rPr>
          <w:color w:val="231F20"/>
          <w:w w:val="105"/>
        </w:rPr>
        <w:t>Los</w:t>
      </w:r>
      <w:r>
        <w:rPr>
          <w:color w:val="231F20"/>
          <w:spacing w:val="-26"/>
          <w:w w:val="105"/>
        </w:rPr>
        <w:t> </w:t>
      </w:r>
      <w:r>
        <w:rPr>
          <w:color w:val="231F20"/>
          <w:w w:val="105"/>
        </w:rPr>
        <w:t>países</w:t>
      </w:r>
      <w:r>
        <w:rPr>
          <w:color w:val="231F20"/>
          <w:spacing w:val="-26"/>
          <w:w w:val="105"/>
        </w:rPr>
        <w:t> </w:t>
      </w:r>
      <w:r>
        <w:rPr>
          <w:color w:val="231F20"/>
          <w:w w:val="105"/>
        </w:rPr>
        <w:t>o</w:t>
      </w:r>
      <w:r>
        <w:rPr>
          <w:color w:val="231F20"/>
          <w:spacing w:val="-26"/>
          <w:w w:val="105"/>
        </w:rPr>
        <w:t> </w:t>
      </w:r>
      <w:r>
        <w:rPr>
          <w:color w:val="231F20"/>
          <w:w w:val="105"/>
        </w:rPr>
        <w:t>regiones</w:t>
      </w:r>
      <w:r>
        <w:rPr>
          <w:color w:val="231F20"/>
          <w:spacing w:val="-26"/>
          <w:w w:val="105"/>
        </w:rPr>
        <w:t> </w:t>
      </w:r>
      <w:r>
        <w:rPr>
          <w:color w:val="231F20"/>
          <w:w w:val="105"/>
        </w:rPr>
        <w:t>se</w:t>
      </w:r>
      <w:r>
        <w:rPr>
          <w:color w:val="231F20"/>
          <w:spacing w:val="-26"/>
          <w:w w:val="105"/>
        </w:rPr>
        <w:t> </w:t>
      </w:r>
      <w:r>
        <w:rPr>
          <w:color w:val="231F20"/>
          <w:w w:val="105"/>
        </w:rPr>
        <w:t>diferencian</w:t>
      </w:r>
      <w:r>
        <w:rPr>
          <w:color w:val="231F20"/>
          <w:spacing w:val="-26"/>
          <w:w w:val="105"/>
        </w:rPr>
        <w:t> </w:t>
      </w:r>
      <w:r>
        <w:rPr>
          <w:color w:val="231F20"/>
          <w:w w:val="105"/>
        </w:rPr>
        <w:t>en</w:t>
      </w:r>
      <w:r>
        <w:rPr>
          <w:color w:val="231F20"/>
          <w:spacing w:val="-26"/>
          <w:w w:val="105"/>
        </w:rPr>
        <w:t> </w:t>
      </w:r>
      <w:r>
        <w:rPr>
          <w:color w:val="231F20"/>
          <w:w w:val="105"/>
        </w:rPr>
        <w:t>sus</w:t>
      </w:r>
      <w:r>
        <w:rPr>
          <w:color w:val="231F20"/>
          <w:spacing w:val="-26"/>
          <w:w w:val="105"/>
        </w:rPr>
        <w:t> </w:t>
      </w:r>
      <w:r>
        <w:rPr>
          <w:color w:val="231F20"/>
          <w:w w:val="105"/>
        </w:rPr>
        <w:t>recursos</w:t>
      </w:r>
      <w:r>
        <w:rPr>
          <w:color w:val="231F20"/>
          <w:spacing w:val="-26"/>
          <w:w w:val="105"/>
        </w:rPr>
        <w:t> </w:t>
      </w:r>
      <w:r>
        <w:rPr>
          <w:color w:val="231F20"/>
          <w:w w:val="105"/>
        </w:rPr>
        <w:t>y</w:t>
      </w:r>
      <w:r>
        <w:rPr>
          <w:color w:val="231F20"/>
          <w:spacing w:val="-26"/>
          <w:w w:val="105"/>
        </w:rPr>
        <w:t> </w:t>
      </w:r>
      <w:r>
        <w:rPr>
          <w:color w:val="231F20"/>
          <w:w w:val="105"/>
        </w:rPr>
        <w:t>tecnología</w:t>
      </w:r>
      <w:r>
        <w:rPr>
          <w:color w:val="231F20"/>
          <w:spacing w:val="-26"/>
          <w:w w:val="105"/>
        </w:rPr>
        <w:t> </w:t>
      </w:r>
      <w:r>
        <w:rPr>
          <w:color w:val="231F20"/>
          <w:w w:val="105"/>
        </w:rPr>
        <w:t>y se</w:t>
      </w:r>
      <w:r>
        <w:rPr>
          <w:color w:val="231F20"/>
          <w:spacing w:val="-23"/>
          <w:w w:val="105"/>
        </w:rPr>
        <w:t> </w:t>
      </w:r>
      <w:r>
        <w:rPr>
          <w:color w:val="231F20"/>
          <w:w w:val="105"/>
        </w:rPr>
        <w:t>especializan</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cosas</w:t>
      </w:r>
      <w:r>
        <w:rPr>
          <w:color w:val="231F20"/>
          <w:spacing w:val="-23"/>
          <w:w w:val="105"/>
        </w:rPr>
        <w:t> </w:t>
      </w:r>
      <w:r>
        <w:rPr>
          <w:color w:val="231F20"/>
          <w:w w:val="105"/>
        </w:rPr>
        <w:t>que</w:t>
      </w:r>
      <w:r>
        <w:rPr>
          <w:color w:val="231F20"/>
          <w:spacing w:val="-23"/>
          <w:w w:val="105"/>
        </w:rPr>
        <w:t> </w:t>
      </w:r>
      <w:r>
        <w:rPr>
          <w:color w:val="231F20"/>
          <w:w w:val="105"/>
        </w:rPr>
        <w:t>hacen</w:t>
      </w:r>
      <w:r>
        <w:rPr>
          <w:color w:val="231F20"/>
          <w:spacing w:val="-23"/>
          <w:w w:val="105"/>
        </w:rPr>
        <w:t> </w:t>
      </w:r>
      <w:r>
        <w:rPr>
          <w:color w:val="231F20"/>
          <w:w w:val="105"/>
        </w:rPr>
        <w:t>relativamente</w:t>
      </w:r>
      <w:r>
        <w:rPr>
          <w:color w:val="231F20"/>
          <w:spacing w:val="-23"/>
          <w:w w:val="105"/>
        </w:rPr>
        <w:t> </w:t>
      </w:r>
      <w:r>
        <w:rPr>
          <w:color w:val="231F20"/>
          <w:w w:val="105"/>
        </w:rPr>
        <w:t>bien.</w:t>
      </w:r>
      <w:r>
        <w:rPr>
          <w:color w:val="231F20"/>
          <w:spacing w:val="-28"/>
          <w:w w:val="105"/>
        </w:rPr>
        <w:t> </w:t>
      </w:r>
      <w:r>
        <w:rPr>
          <w:color w:val="231F20"/>
          <w:w w:val="105"/>
        </w:rPr>
        <w:t>Cada</w:t>
      </w:r>
      <w:r>
        <w:rPr>
          <w:color w:val="231F20"/>
          <w:spacing w:val="-23"/>
          <w:w w:val="105"/>
        </w:rPr>
        <w:t> </w:t>
      </w:r>
      <w:r>
        <w:rPr>
          <w:color w:val="231F20"/>
          <w:w w:val="105"/>
        </w:rPr>
        <w:t>país</w:t>
      </w:r>
      <w:r>
        <w:rPr>
          <w:color w:val="231F20"/>
          <w:spacing w:val="-23"/>
          <w:w w:val="105"/>
        </w:rPr>
        <w:t> </w:t>
      </w:r>
      <w:r>
        <w:rPr>
          <w:color w:val="231F20"/>
          <w:w w:val="105"/>
        </w:rPr>
        <w:t>se especializa en la producción de un número limitado de productos, que le</w:t>
      </w:r>
      <w:r>
        <w:rPr>
          <w:color w:val="231F20"/>
          <w:spacing w:val="-13"/>
          <w:w w:val="105"/>
        </w:rPr>
        <w:t> </w:t>
      </w:r>
      <w:r>
        <w:rPr>
          <w:color w:val="231F20"/>
          <w:w w:val="105"/>
        </w:rPr>
        <w:t>permiten</w:t>
      </w:r>
      <w:r>
        <w:rPr>
          <w:color w:val="231F20"/>
          <w:spacing w:val="-13"/>
          <w:w w:val="105"/>
        </w:rPr>
        <w:t> </w:t>
      </w:r>
      <w:r>
        <w:rPr>
          <w:color w:val="231F20"/>
          <w:w w:val="105"/>
        </w:rPr>
        <w:t>producir</w:t>
      </w:r>
      <w:r>
        <w:rPr>
          <w:color w:val="231F20"/>
          <w:spacing w:val="-13"/>
          <w:w w:val="105"/>
        </w:rPr>
        <w:t> </w:t>
      </w:r>
      <w:r>
        <w:rPr>
          <w:color w:val="231F20"/>
          <w:w w:val="105"/>
        </w:rPr>
        <w:t>esos</w:t>
      </w:r>
      <w:r>
        <w:rPr>
          <w:color w:val="231F20"/>
          <w:spacing w:val="-13"/>
          <w:w w:val="105"/>
        </w:rPr>
        <w:t> </w:t>
      </w:r>
      <w:r>
        <w:rPr>
          <w:color w:val="231F20"/>
          <w:w w:val="105"/>
        </w:rPr>
        <w:t>bienes</w:t>
      </w:r>
      <w:r>
        <w:rPr>
          <w:color w:val="231F20"/>
          <w:spacing w:val="-13"/>
          <w:w w:val="105"/>
        </w:rPr>
        <w:t> </w:t>
      </w:r>
      <w:r>
        <w:rPr>
          <w:color w:val="231F20"/>
          <w:w w:val="105"/>
        </w:rPr>
        <w:t>de</w:t>
      </w:r>
      <w:r>
        <w:rPr>
          <w:color w:val="231F20"/>
          <w:spacing w:val="-13"/>
          <w:w w:val="105"/>
        </w:rPr>
        <w:t> </w:t>
      </w:r>
      <w:r>
        <w:rPr>
          <w:color w:val="231F20"/>
          <w:w w:val="105"/>
        </w:rPr>
        <w:t>forma</w:t>
      </w:r>
      <w:r>
        <w:rPr>
          <w:color w:val="231F20"/>
          <w:spacing w:val="-13"/>
          <w:w w:val="105"/>
        </w:rPr>
        <w:t> </w:t>
      </w:r>
      <w:r>
        <w:rPr>
          <w:color w:val="231F20"/>
          <w:w w:val="105"/>
        </w:rPr>
        <w:t>más</w:t>
      </w:r>
      <w:r>
        <w:rPr>
          <w:color w:val="231F20"/>
          <w:spacing w:val="-13"/>
          <w:w w:val="105"/>
        </w:rPr>
        <w:t> </w:t>
      </w:r>
      <w:r>
        <w:rPr>
          <w:color w:val="231F20"/>
          <w:w w:val="105"/>
        </w:rPr>
        <w:t>eficiente</w:t>
      </w:r>
      <w:r>
        <w:rPr>
          <w:color w:val="231F20"/>
          <w:spacing w:val="-13"/>
          <w:w w:val="105"/>
        </w:rPr>
        <w:t> </w:t>
      </w:r>
      <w:r>
        <w:rPr>
          <w:color w:val="231F20"/>
          <w:w w:val="105"/>
        </w:rPr>
        <w:t>que</w:t>
      </w:r>
      <w:r>
        <w:rPr>
          <w:color w:val="231F20"/>
          <w:spacing w:val="-13"/>
          <w:w w:val="105"/>
        </w:rPr>
        <w:t> </w:t>
      </w:r>
      <w:r>
        <w:rPr>
          <w:color w:val="231F20"/>
          <w:w w:val="105"/>
        </w:rPr>
        <w:t>si</w:t>
      </w:r>
      <w:r>
        <w:rPr>
          <w:color w:val="231F20"/>
          <w:spacing w:val="-13"/>
          <w:w w:val="105"/>
        </w:rPr>
        <w:t> </w:t>
      </w:r>
      <w:r>
        <w:rPr>
          <w:color w:val="231F20"/>
          <w:w w:val="105"/>
        </w:rPr>
        <w:t>intentara producirlo</w:t>
      </w:r>
      <w:r>
        <w:rPr>
          <w:color w:val="231F20"/>
          <w:spacing w:val="-4"/>
          <w:w w:val="105"/>
        </w:rPr>
        <w:t> </w:t>
      </w:r>
      <w:r>
        <w:rPr>
          <w:color w:val="231F20"/>
          <w:w w:val="105"/>
        </w:rPr>
        <w:t>todo</w:t>
      </w:r>
      <w:r>
        <w:rPr>
          <w:color w:val="231F20"/>
          <w:spacing w:val="-4"/>
          <w:w w:val="105"/>
        </w:rPr>
        <w:t> </w:t>
      </w:r>
      <w:r>
        <w:rPr>
          <w:color w:val="231F20"/>
          <w:w w:val="105"/>
        </w:rPr>
        <w:t>por</w:t>
      </w:r>
      <w:r>
        <w:rPr>
          <w:color w:val="231F20"/>
          <w:spacing w:val="-4"/>
          <w:w w:val="105"/>
        </w:rPr>
        <w:t> </w:t>
      </w:r>
      <w:r>
        <w:rPr>
          <w:color w:val="231F20"/>
          <w:w w:val="105"/>
        </w:rPr>
        <w:t>sí</w:t>
      </w:r>
      <w:r>
        <w:rPr>
          <w:color w:val="231F20"/>
          <w:spacing w:val="-4"/>
          <w:w w:val="105"/>
        </w:rPr>
        <w:t> </w:t>
      </w:r>
      <w:r>
        <w:rPr>
          <w:color w:val="231F20"/>
          <w:w w:val="105"/>
        </w:rPr>
        <w:t>mismo,</w:t>
      </w:r>
      <w:r>
        <w:rPr>
          <w:color w:val="231F20"/>
          <w:spacing w:val="-11"/>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hace</w:t>
      </w:r>
      <w:r>
        <w:rPr>
          <w:color w:val="231F20"/>
          <w:spacing w:val="-4"/>
          <w:w w:val="105"/>
        </w:rPr>
        <w:t> </w:t>
      </w:r>
      <w:r>
        <w:rPr>
          <w:color w:val="231F20"/>
          <w:w w:val="105"/>
        </w:rPr>
        <w:t>posible</w:t>
      </w:r>
      <w:r>
        <w:rPr>
          <w:color w:val="231F20"/>
          <w:spacing w:val="-4"/>
          <w:w w:val="105"/>
        </w:rPr>
        <w:t> </w:t>
      </w:r>
      <w:r>
        <w:rPr>
          <w:color w:val="231F20"/>
          <w:w w:val="105"/>
        </w:rPr>
        <w:t>las</w:t>
      </w:r>
      <w:r>
        <w:rPr>
          <w:color w:val="231F20"/>
          <w:spacing w:val="-4"/>
          <w:w w:val="105"/>
        </w:rPr>
        <w:t> </w:t>
      </w:r>
      <w:r>
        <w:rPr>
          <w:color w:val="231F20"/>
          <w:w w:val="105"/>
        </w:rPr>
        <w:t>economías</w:t>
      </w:r>
      <w:r>
        <w:rPr>
          <w:color w:val="231F20"/>
          <w:spacing w:val="-4"/>
          <w:w w:val="105"/>
        </w:rPr>
        <w:t> </w:t>
      </w:r>
      <w:r>
        <w:rPr>
          <w:color w:val="231F20"/>
          <w:w w:val="105"/>
        </w:rPr>
        <w:t>de</w:t>
      </w:r>
      <w:r>
        <w:rPr>
          <w:color w:val="231F20"/>
          <w:spacing w:val="-4"/>
          <w:w w:val="105"/>
        </w:rPr>
        <w:t> </w:t>
      </w:r>
      <w:r>
        <w:rPr>
          <w:color w:val="231F20"/>
          <w:w w:val="105"/>
        </w:rPr>
        <w:t>es- cala</w:t>
      </w:r>
      <w:r>
        <w:rPr>
          <w:color w:val="231F20"/>
          <w:spacing w:val="-6"/>
          <w:w w:val="105"/>
        </w:rPr>
        <w:t> </w:t>
      </w:r>
      <w:r>
        <w:rPr>
          <w:color w:val="231F20"/>
          <w:w w:val="105"/>
        </w:rPr>
        <w:t>(o</w:t>
      </w:r>
      <w:r>
        <w:rPr>
          <w:color w:val="231F20"/>
          <w:spacing w:val="-6"/>
          <w:w w:val="105"/>
        </w:rPr>
        <w:t> </w:t>
      </w:r>
      <w:r>
        <w:rPr>
          <w:color w:val="231F20"/>
          <w:w w:val="105"/>
        </w:rPr>
        <w:t>rendimientos</w:t>
      </w:r>
      <w:r>
        <w:rPr>
          <w:color w:val="231F20"/>
          <w:spacing w:val="-6"/>
          <w:w w:val="105"/>
        </w:rPr>
        <w:t> </w:t>
      </w:r>
      <w:r>
        <w:rPr>
          <w:color w:val="231F20"/>
          <w:w w:val="105"/>
        </w:rPr>
        <w:t>crecientes),</w:t>
      </w:r>
      <w:r>
        <w:rPr>
          <w:color w:val="231F20"/>
          <w:spacing w:val="-11"/>
          <w:w w:val="105"/>
        </w:rPr>
        <w:t> </w:t>
      </w:r>
      <w:r>
        <w:rPr>
          <w:color w:val="231F20"/>
          <w:w w:val="105"/>
        </w:rPr>
        <w:t>porque</w:t>
      </w:r>
      <w:r>
        <w:rPr>
          <w:color w:val="231F20"/>
          <w:spacing w:val="-6"/>
          <w:w w:val="105"/>
        </w:rPr>
        <w:t> </w:t>
      </w:r>
      <w:r>
        <w:rPr>
          <w:color w:val="231F20"/>
          <w:w w:val="105"/>
        </w:rPr>
        <w:t>es</w:t>
      </w:r>
      <w:r>
        <w:rPr>
          <w:color w:val="231F20"/>
          <w:spacing w:val="-6"/>
          <w:w w:val="105"/>
        </w:rPr>
        <w:t> </w:t>
      </w:r>
      <w:r>
        <w:rPr>
          <w:color w:val="231F20"/>
          <w:w w:val="105"/>
        </w:rPr>
        <w:t>ventajoso</w:t>
      </w:r>
      <w:r>
        <w:rPr>
          <w:color w:val="231F20"/>
          <w:spacing w:val="-6"/>
          <w:w w:val="105"/>
        </w:rPr>
        <w:t> </w:t>
      </w:r>
      <w:r>
        <w:rPr>
          <w:color w:val="231F20"/>
          <w:w w:val="105"/>
        </w:rPr>
        <w:t>que</w:t>
      </w:r>
      <w:r>
        <w:rPr>
          <w:color w:val="231F20"/>
          <w:spacing w:val="-6"/>
          <w:w w:val="105"/>
        </w:rPr>
        <w:t> </w:t>
      </w:r>
      <w:r>
        <w:rPr>
          <w:color w:val="231F20"/>
          <w:w w:val="105"/>
        </w:rPr>
        <w:t>cada</w:t>
      </w:r>
      <w:r>
        <w:rPr>
          <w:color w:val="231F20"/>
          <w:spacing w:val="-6"/>
          <w:w w:val="105"/>
        </w:rPr>
        <w:t> </w:t>
      </w:r>
      <w:r>
        <w:rPr>
          <w:color w:val="231F20"/>
          <w:w w:val="105"/>
        </w:rPr>
        <w:t>país</w:t>
      </w:r>
      <w:r>
        <w:rPr>
          <w:color w:val="231F20"/>
          <w:spacing w:val="-6"/>
          <w:w w:val="105"/>
        </w:rPr>
        <w:t> </w:t>
      </w:r>
      <w:r>
        <w:rPr>
          <w:color w:val="231F20"/>
          <w:w w:val="105"/>
        </w:rPr>
        <w:t>se especialice en la producción de un rango limitado de bienes y</w:t>
      </w:r>
      <w:r>
        <w:rPr>
          <w:color w:val="231F20"/>
          <w:spacing w:val="-27"/>
          <w:w w:val="105"/>
        </w:rPr>
        <w:t> </w:t>
      </w:r>
      <w:r>
        <w:rPr>
          <w:color w:val="231F20"/>
          <w:w w:val="105"/>
        </w:rPr>
        <w:t>servicios (Krugman</w:t>
      </w:r>
      <w:r>
        <w:rPr>
          <w:color w:val="231F20"/>
          <w:spacing w:val="-27"/>
          <w:w w:val="105"/>
        </w:rPr>
        <w:t> </w:t>
      </w:r>
      <w:r>
        <w:rPr>
          <w:color w:val="231F20"/>
          <w:w w:val="105"/>
        </w:rPr>
        <w:t>y</w:t>
      </w:r>
      <w:r>
        <w:rPr>
          <w:color w:val="231F20"/>
          <w:spacing w:val="-27"/>
          <w:w w:val="105"/>
        </w:rPr>
        <w:t> </w:t>
      </w:r>
      <w:r>
        <w:rPr>
          <w:color w:val="231F20"/>
          <w:w w:val="105"/>
        </w:rPr>
        <w:t>Obsfelt,</w:t>
      </w:r>
      <w:r>
        <w:rPr>
          <w:color w:val="231F20"/>
          <w:spacing w:val="-31"/>
          <w:w w:val="105"/>
        </w:rPr>
        <w:t> </w:t>
      </w:r>
      <w:r>
        <w:rPr>
          <w:color w:val="231F20"/>
          <w:w w:val="105"/>
        </w:rPr>
        <w:t>2009).</w:t>
      </w:r>
    </w:p>
    <w:p>
      <w:pPr>
        <w:pStyle w:val="BodyText"/>
        <w:spacing w:line="259" w:lineRule="auto"/>
        <w:ind w:left="103" w:right="115" w:firstLine="567"/>
        <w:jc w:val="both"/>
      </w:pPr>
      <w:r>
        <w:rPr>
          <w:color w:val="231F20"/>
        </w:rPr>
        <w:t>Existen diversos enfoques que analizan la relación entre especiali- zación y crecimiento. De acuerdo con Jungmittag (2004) y Dalum </w:t>
      </w:r>
      <w:r>
        <w:rPr>
          <w:i/>
          <w:color w:val="231F20"/>
        </w:rPr>
        <w:t>et al. </w:t>
      </w:r>
      <w:r>
        <w:rPr>
          <w:color w:val="231F20"/>
        </w:rPr>
        <w:t>(1999) se pueden diferenciar dos clases de especialización: la smithiana  y la</w:t>
      </w:r>
      <w:r>
        <w:rPr>
          <w:color w:val="231F20"/>
          <w:spacing w:val="10"/>
        </w:rPr>
        <w:t> </w:t>
      </w:r>
      <w:r>
        <w:rPr>
          <w:color w:val="231F20"/>
        </w:rPr>
        <w:t>ricardiana.</w:t>
      </w:r>
    </w:p>
    <w:p>
      <w:pPr>
        <w:pStyle w:val="BodyText"/>
        <w:spacing w:line="259" w:lineRule="auto"/>
        <w:ind w:left="103" w:right="109" w:firstLine="567"/>
        <w:jc w:val="both"/>
      </w:pPr>
      <w:r>
        <w:rPr>
          <w:color w:val="231F20"/>
          <w:w w:val="105"/>
        </w:rPr>
        <w:t>La</w:t>
      </w:r>
      <w:r>
        <w:rPr>
          <w:color w:val="231F20"/>
          <w:spacing w:val="-32"/>
          <w:w w:val="105"/>
        </w:rPr>
        <w:t> </w:t>
      </w:r>
      <w:r>
        <w:rPr>
          <w:color w:val="231F20"/>
          <w:w w:val="105"/>
        </w:rPr>
        <w:t>smithiana</w:t>
      </w:r>
      <w:r>
        <w:rPr>
          <w:color w:val="231F20"/>
          <w:spacing w:val="-32"/>
          <w:w w:val="105"/>
        </w:rPr>
        <w:t> </w:t>
      </w:r>
      <w:r>
        <w:rPr>
          <w:color w:val="231F20"/>
          <w:w w:val="105"/>
        </w:rPr>
        <w:t>enfatiza</w:t>
      </w:r>
      <w:r>
        <w:rPr>
          <w:color w:val="231F20"/>
          <w:spacing w:val="-32"/>
          <w:w w:val="105"/>
        </w:rPr>
        <w:t> </w:t>
      </w:r>
      <w:r>
        <w:rPr>
          <w:color w:val="231F20"/>
          <w:w w:val="105"/>
        </w:rPr>
        <w:t>la</w:t>
      </w:r>
      <w:r>
        <w:rPr>
          <w:color w:val="231F20"/>
          <w:spacing w:val="-32"/>
          <w:w w:val="105"/>
        </w:rPr>
        <w:t> </w:t>
      </w:r>
      <w:r>
        <w:rPr>
          <w:color w:val="231F20"/>
          <w:w w:val="105"/>
        </w:rPr>
        <w:t>importancia</w:t>
      </w:r>
      <w:r>
        <w:rPr>
          <w:color w:val="231F20"/>
          <w:spacing w:val="-32"/>
          <w:w w:val="105"/>
        </w:rPr>
        <w:t> </w:t>
      </w:r>
      <w:r>
        <w:rPr>
          <w:color w:val="231F20"/>
          <w:w w:val="105"/>
        </w:rPr>
        <w:t>de</w:t>
      </w:r>
      <w:r>
        <w:rPr>
          <w:color w:val="231F20"/>
          <w:spacing w:val="-32"/>
          <w:w w:val="105"/>
        </w:rPr>
        <w:t> </w:t>
      </w:r>
      <w:r>
        <w:rPr>
          <w:color w:val="231F20"/>
          <w:w w:val="105"/>
        </w:rPr>
        <w:t>los</w:t>
      </w:r>
      <w:r>
        <w:rPr>
          <w:color w:val="231F20"/>
          <w:spacing w:val="-32"/>
          <w:w w:val="105"/>
        </w:rPr>
        <w:t> </w:t>
      </w:r>
      <w:r>
        <w:rPr>
          <w:color w:val="231F20"/>
          <w:w w:val="105"/>
        </w:rPr>
        <w:t>efectos</w:t>
      </w:r>
      <w:r>
        <w:rPr>
          <w:color w:val="231F20"/>
          <w:spacing w:val="-32"/>
          <w:w w:val="105"/>
        </w:rPr>
        <w:t> </w:t>
      </w:r>
      <w:r>
        <w:rPr>
          <w:color w:val="231F20"/>
          <w:w w:val="105"/>
        </w:rPr>
        <w:t>del</w:t>
      </w:r>
      <w:r>
        <w:rPr>
          <w:color w:val="231F20"/>
          <w:spacing w:val="-32"/>
          <w:w w:val="105"/>
        </w:rPr>
        <w:t> </w:t>
      </w:r>
      <w:r>
        <w:rPr>
          <w:color w:val="231F20"/>
          <w:w w:val="105"/>
        </w:rPr>
        <w:t>aprender-ha- ciendo y de los rendimientos crecientes a escala, independientemente del área tecnológica en la cual los países se especialicen (Jungmittag, 2004).</w:t>
      </w:r>
      <w:r>
        <w:rPr>
          <w:color w:val="231F20"/>
          <w:spacing w:val="-17"/>
          <w:w w:val="105"/>
        </w:rPr>
        <w:t> </w:t>
      </w:r>
      <w:r>
        <w:rPr>
          <w:color w:val="231F20"/>
          <w:w w:val="105"/>
        </w:rPr>
        <w:t>De</w:t>
      </w:r>
      <w:r>
        <w:rPr>
          <w:color w:val="231F20"/>
          <w:spacing w:val="-12"/>
          <w:w w:val="105"/>
        </w:rPr>
        <w:t> </w:t>
      </w:r>
      <w:r>
        <w:rPr>
          <w:color w:val="231F20"/>
          <w:w w:val="105"/>
        </w:rPr>
        <w:t>acuerdo</w:t>
      </w:r>
      <w:r>
        <w:rPr>
          <w:color w:val="231F20"/>
          <w:spacing w:val="-12"/>
          <w:w w:val="105"/>
        </w:rPr>
        <w:t> </w:t>
      </w:r>
      <w:r>
        <w:rPr>
          <w:color w:val="231F20"/>
          <w:w w:val="105"/>
        </w:rPr>
        <w:t>con</w:t>
      </w:r>
      <w:r>
        <w:rPr>
          <w:color w:val="231F20"/>
          <w:spacing w:val="-15"/>
          <w:w w:val="105"/>
        </w:rPr>
        <w:t> </w:t>
      </w:r>
      <w:r>
        <w:rPr>
          <w:color w:val="231F20"/>
          <w:w w:val="105"/>
        </w:rPr>
        <w:t>Adam</w:t>
      </w:r>
      <w:r>
        <w:rPr>
          <w:color w:val="231F20"/>
          <w:spacing w:val="-12"/>
          <w:w w:val="105"/>
        </w:rPr>
        <w:t> </w:t>
      </w:r>
      <w:r>
        <w:rPr>
          <w:color w:val="231F20"/>
          <w:w w:val="105"/>
        </w:rPr>
        <w:t>Smith</w:t>
      </w:r>
      <w:r>
        <w:rPr>
          <w:color w:val="231F20"/>
          <w:spacing w:val="-12"/>
          <w:w w:val="105"/>
        </w:rPr>
        <w:t> </w:t>
      </w:r>
      <w:r>
        <w:rPr>
          <w:color w:val="231F20"/>
          <w:w w:val="105"/>
        </w:rPr>
        <w:t>la</w:t>
      </w:r>
      <w:r>
        <w:rPr>
          <w:color w:val="231F20"/>
          <w:spacing w:val="-12"/>
          <w:w w:val="105"/>
        </w:rPr>
        <w:t> </w:t>
      </w:r>
      <w:r>
        <w:rPr>
          <w:color w:val="231F20"/>
          <w:w w:val="105"/>
        </w:rPr>
        <w:t>especialización</w:t>
      </w:r>
      <w:r>
        <w:rPr>
          <w:color w:val="231F20"/>
          <w:spacing w:val="-12"/>
          <w:w w:val="105"/>
        </w:rPr>
        <w:t> </w:t>
      </w:r>
      <w:r>
        <w:rPr>
          <w:color w:val="231F20"/>
          <w:w w:val="105"/>
        </w:rPr>
        <w:t>absoluta</w:t>
      </w:r>
      <w:r>
        <w:rPr>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re- sultado del aprendizaje asociado a la experiencia, permite aumentar la productividad</w:t>
      </w:r>
      <w:r>
        <w:rPr>
          <w:color w:val="231F20"/>
          <w:spacing w:val="-24"/>
          <w:w w:val="105"/>
        </w:rPr>
        <w:t> </w:t>
      </w:r>
      <w:r>
        <w:rPr>
          <w:color w:val="231F20"/>
          <w:w w:val="105"/>
        </w:rPr>
        <w:t>del</w:t>
      </w:r>
      <w:r>
        <w:rPr>
          <w:color w:val="231F20"/>
          <w:spacing w:val="-24"/>
          <w:w w:val="105"/>
        </w:rPr>
        <w:t> </w:t>
      </w:r>
      <w:r>
        <w:rPr>
          <w:color w:val="231F20"/>
          <w:w w:val="105"/>
        </w:rPr>
        <w:t>trabajo</w:t>
      </w:r>
      <w:r>
        <w:rPr>
          <w:color w:val="231F20"/>
          <w:spacing w:val="-24"/>
          <w:w w:val="105"/>
        </w:rPr>
        <w:t> </w:t>
      </w:r>
      <w:r>
        <w:rPr>
          <w:color w:val="231F20"/>
          <w:w w:val="105"/>
        </w:rPr>
        <w:t>y</w:t>
      </w:r>
      <w:r>
        <w:rPr>
          <w:color w:val="231F20"/>
          <w:spacing w:val="-24"/>
          <w:w w:val="105"/>
        </w:rPr>
        <w:t> </w:t>
      </w:r>
      <w:r>
        <w:rPr>
          <w:color w:val="231F20"/>
          <w:w w:val="105"/>
        </w:rPr>
        <w:t>obtener</w:t>
      </w:r>
      <w:r>
        <w:rPr>
          <w:color w:val="231F20"/>
          <w:spacing w:val="-24"/>
          <w:w w:val="105"/>
        </w:rPr>
        <w:t> </w:t>
      </w:r>
      <w:r>
        <w:rPr>
          <w:color w:val="231F20"/>
          <w:w w:val="105"/>
        </w:rPr>
        <w:t>rendimientos</w:t>
      </w:r>
      <w:r>
        <w:rPr>
          <w:color w:val="231F20"/>
          <w:spacing w:val="-24"/>
          <w:w w:val="105"/>
        </w:rPr>
        <w:t> </w:t>
      </w:r>
      <w:r>
        <w:rPr>
          <w:color w:val="231F20"/>
          <w:w w:val="105"/>
        </w:rPr>
        <w:t>crecientes</w:t>
      </w:r>
      <w:r>
        <w:rPr>
          <w:color w:val="231F20"/>
          <w:spacing w:val="-24"/>
          <w:w w:val="105"/>
        </w:rPr>
        <w:t> </w:t>
      </w:r>
      <w:r>
        <w:rPr>
          <w:color w:val="231F20"/>
          <w:w w:val="105"/>
        </w:rPr>
        <w:t>a</w:t>
      </w:r>
      <w:r>
        <w:rPr>
          <w:color w:val="231F20"/>
          <w:spacing w:val="-24"/>
          <w:w w:val="105"/>
        </w:rPr>
        <w:t> </w:t>
      </w:r>
      <w:r>
        <w:rPr>
          <w:color w:val="231F20"/>
          <w:w w:val="105"/>
        </w:rPr>
        <w:t>escala.</w:t>
      </w:r>
      <w:r>
        <w:rPr>
          <w:color w:val="231F20"/>
          <w:spacing w:val="-29"/>
          <w:w w:val="105"/>
        </w:rPr>
        <w:t> </w:t>
      </w:r>
      <w:r>
        <w:rPr>
          <w:color w:val="231F20"/>
          <w:w w:val="105"/>
        </w:rPr>
        <w:t>Re- cientemente</w:t>
      </w:r>
      <w:r>
        <w:rPr>
          <w:color w:val="231F20"/>
          <w:spacing w:val="-31"/>
          <w:w w:val="105"/>
        </w:rPr>
        <w:t> </w:t>
      </w:r>
      <w:r>
        <w:rPr>
          <w:color w:val="231F20"/>
          <w:w w:val="105"/>
        </w:rPr>
        <w:t>la</w:t>
      </w:r>
      <w:r>
        <w:rPr>
          <w:color w:val="231F20"/>
          <w:spacing w:val="-31"/>
          <w:w w:val="105"/>
        </w:rPr>
        <w:t> </w:t>
      </w:r>
      <w:r>
        <w:rPr>
          <w:color w:val="231F20"/>
          <w:w w:val="105"/>
        </w:rPr>
        <w:t>nueva</w:t>
      </w:r>
      <w:r>
        <w:rPr>
          <w:color w:val="231F20"/>
          <w:spacing w:val="-31"/>
          <w:w w:val="105"/>
        </w:rPr>
        <w:t> </w:t>
      </w:r>
      <w:r>
        <w:rPr>
          <w:color w:val="231F20"/>
          <w:w w:val="105"/>
        </w:rPr>
        <w:t>teoría</w:t>
      </w:r>
      <w:r>
        <w:rPr>
          <w:color w:val="231F20"/>
          <w:spacing w:val="-31"/>
          <w:w w:val="105"/>
        </w:rPr>
        <w:t> </w:t>
      </w:r>
      <w:r>
        <w:rPr>
          <w:color w:val="231F20"/>
          <w:w w:val="105"/>
        </w:rPr>
        <w:t>del</w:t>
      </w:r>
      <w:r>
        <w:rPr>
          <w:color w:val="231F20"/>
          <w:spacing w:val="-31"/>
          <w:w w:val="105"/>
        </w:rPr>
        <w:t> </w:t>
      </w:r>
      <w:r>
        <w:rPr>
          <w:color w:val="231F20"/>
          <w:w w:val="105"/>
        </w:rPr>
        <w:t>crecimiento</w:t>
      </w:r>
      <w:r>
        <w:rPr>
          <w:color w:val="231F20"/>
          <w:spacing w:val="-31"/>
          <w:w w:val="105"/>
        </w:rPr>
        <w:t> </w:t>
      </w:r>
      <w:r>
        <w:rPr>
          <w:color w:val="231F20"/>
          <w:w w:val="105"/>
        </w:rPr>
        <w:t>retoma</w:t>
      </w:r>
      <w:r>
        <w:rPr>
          <w:color w:val="231F20"/>
          <w:spacing w:val="-31"/>
          <w:w w:val="105"/>
        </w:rPr>
        <w:t> </w:t>
      </w:r>
      <w:r>
        <w:rPr>
          <w:color w:val="231F20"/>
          <w:w w:val="105"/>
        </w:rPr>
        <w:t>estos</w:t>
      </w:r>
      <w:r>
        <w:rPr>
          <w:color w:val="231F20"/>
          <w:spacing w:val="-31"/>
          <w:w w:val="105"/>
        </w:rPr>
        <w:t> </w:t>
      </w:r>
      <w:r>
        <w:rPr>
          <w:color w:val="231F20"/>
          <w:w w:val="105"/>
        </w:rPr>
        <w:t>planteamientos donde</w:t>
      </w:r>
      <w:r>
        <w:rPr>
          <w:color w:val="231F20"/>
          <w:spacing w:val="-21"/>
          <w:w w:val="105"/>
        </w:rPr>
        <w:t> </w:t>
      </w:r>
      <w:r>
        <w:rPr>
          <w:color w:val="231F20"/>
          <w:w w:val="105"/>
        </w:rPr>
        <w:t>el</w:t>
      </w:r>
      <w:r>
        <w:rPr>
          <w:color w:val="231F20"/>
          <w:spacing w:val="-21"/>
          <w:w w:val="105"/>
        </w:rPr>
        <w:t> </w:t>
      </w:r>
      <w:r>
        <w:rPr>
          <w:color w:val="231F20"/>
          <w:w w:val="105"/>
        </w:rPr>
        <w:t>crecimiento</w:t>
      </w:r>
      <w:r>
        <w:rPr>
          <w:color w:val="231F20"/>
          <w:spacing w:val="-21"/>
          <w:w w:val="105"/>
        </w:rPr>
        <w:t> </w:t>
      </w:r>
      <w:r>
        <w:rPr>
          <w:color w:val="231F20"/>
          <w:w w:val="105"/>
        </w:rPr>
        <w:t>resalta</w:t>
      </w:r>
      <w:r>
        <w:rPr>
          <w:color w:val="231F20"/>
          <w:spacing w:val="-21"/>
          <w:w w:val="105"/>
        </w:rPr>
        <w:t> </w:t>
      </w:r>
      <w:r>
        <w:rPr>
          <w:color w:val="231F20"/>
          <w:w w:val="105"/>
        </w:rPr>
        <w:t>la</w:t>
      </w:r>
      <w:r>
        <w:rPr>
          <w:color w:val="231F20"/>
          <w:spacing w:val="-21"/>
          <w:w w:val="105"/>
        </w:rPr>
        <w:t> </w:t>
      </w:r>
      <w:r>
        <w:rPr>
          <w:color w:val="231F20"/>
          <w:w w:val="105"/>
        </w:rPr>
        <w:t>importancia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especialización</w:t>
      </w:r>
      <w:r>
        <w:rPr>
          <w:color w:val="231F20"/>
          <w:spacing w:val="-21"/>
          <w:w w:val="105"/>
        </w:rPr>
        <w:t> </w:t>
      </w:r>
      <w:r>
        <w:rPr>
          <w:color w:val="231F20"/>
          <w:w w:val="105"/>
        </w:rPr>
        <w:t>produc- tiva</w:t>
      </w:r>
      <w:r>
        <w:rPr>
          <w:color w:val="231F20"/>
          <w:spacing w:val="-20"/>
          <w:w w:val="105"/>
        </w:rPr>
        <w:t> </w:t>
      </w:r>
      <w:r>
        <w:rPr>
          <w:color w:val="231F20"/>
          <w:w w:val="105"/>
        </w:rPr>
        <w:t>de</w:t>
      </w:r>
      <w:r>
        <w:rPr>
          <w:color w:val="231F20"/>
          <w:spacing w:val="-20"/>
          <w:w w:val="105"/>
        </w:rPr>
        <w:t> </w:t>
      </w:r>
      <w:r>
        <w:rPr>
          <w:color w:val="231F20"/>
          <w:w w:val="105"/>
        </w:rPr>
        <w:t>actividades</w:t>
      </w:r>
      <w:r>
        <w:rPr>
          <w:color w:val="231F20"/>
          <w:spacing w:val="-20"/>
          <w:w w:val="105"/>
        </w:rPr>
        <w:t> </w:t>
      </w:r>
      <w:r>
        <w:rPr>
          <w:color w:val="231F20"/>
          <w:w w:val="105"/>
        </w:rPr>
        <w:t>con</w:t>
      </w:r>
      <w:r>
        <w:rPr>
          <w:color w:val="231F20"/>
          <w:spacing w:val="-20"/>
          <w:w w:val="105"/>
        </w:rPr>
        <w:t> </w:t>
      </w:r>
      <w:r>
        <w:rPr>
          <w:color w:val="231F20"/>
          <w:w w:val="105"/>
        </w:rPr>
        <w:t>alto</w:t>
      </w:r>
      <w:r>
        <w:rPr>
          <w:color w:val="231F20"/>
          <w:spacing w:val="-20"/>
          <w:w w:val="105"/>
        </w:rPr>
        <w:t> </w:t>
      </w:r>
      <w:r>
        <w:rPr>
          <w:color w:val="231F20"/>
          <w:w w:val="105"/>
        </w:rPr>
        <w:t>progreso</w:t>
      </w:r>
      <w:r>
        <w:rPr>
          <w:color w:val="231F20"/>
          <w:spacing w:val="-19"/>
          <w:w w:val="105"/>
        </w:rPr>
        <w:t> </w:t>
      </w:r>
      <w:r>
        <w:rPr>
          <w:color w:val="231F20"/>
          <w:w w:val="105"/>
        </w:rPr>
        <w:t>técnico,</w:t>
      </w:r>
      <w:r>
        <w:rPr>
          <w:color w:val="231F20"/>
          <w:spacing w:val="-25"/>
          <w:w w:val="105"/>
        </w:rPr>
        <w:t> </w:t>
      </w:r>
      <w:r>
        <w:rPr>
          <w:color w:val="231F20"/>
          <w:w w:val="105"/>
        </w:rPr>
        <w:t>el</w:t>
      </w:r>
      <w:r>
        <w:rPr>
          <w:color w:val="231F20"/>
          <w:spacing w:val="-20"/>
          <w:w w:val="105"/>
        </w:rPr>
        <w:t> </w:t>
      </w:r>
      <w:r>
        <w:rPr>
          <w:color w:val="231F20"/>
          <w:w w:val="105"/>
        </w:rPr>
        <w:t>aprendizaje,</w:t>
      </w:r>
      <w:r>
        <w:rPr>
          <w:color w:val="231F20"/>
          <w:spacing w:val="-25"/>
          <w:w w:val="105"/>
        </w:rPr>
        <w:t> </w:t>
      </w:r>
      <w:r>
        <w:rPr>
          <w:color w:val="231F20"/>
          <w:w w:val="105"/>
        </w:rPr>
        <w:t>la</w:t>
      </w:r>
      <w:r>
        <w:rPr>
          <w:color w:val="231F20"/>
          <w:spacing w:val="-20"/>
          <w:w w:val="105"/>
        </w:rPr>
        <w:t> </w:t>
      </w:r>
      <w:r>
        <w:rPr>
          <w:color w:val="231F20"/>
          <w:w w:val="105"/>
        </w:rPr>
        <w:t>experien- cia</w:t>
      </w:r>
      <w:r>
        <w:rPr>
          <w:color w:val="231F20"/>
          <w:spacing w:val="-28"/>
          <w:w w:val="105"/>
        </w:rPr>
        <w:t> </w:t>
      </w:r>
      <w:r>
        <w:rPr>
          <w:color w:val="231F20"/>
          <w:w w:val="105"/>
        </w:rPr>
        <w:t>y</w:t>
      </w:r>
      <w:r>
        <w:rPr>
          <w:color w:val="231F20"/>
          <w:spacing w:val="-28"/>
          <w:w w:val="105"/>
        </w:rPr>
        <w:t> </w:t>
      </w:r>
      <w:r>
        <w:rPr>
          <w:color w:val="231F20"/>
          <w:w w:val="105"/>
        </w:rPr>
        <w:t>los</w:t>
      </w:r>
      <w:r>
        <w:rPr>
          <w:color w:val="231F20"/>
          <w:spacing w:val="-28"/>
          <w:w w:val="105"/>
        </w:rPr>
        <w:t> </w:t>
      </w:r>
      <w:r>
        <w:rPr>
          <w:color w:val="231F20"/>
          <w:w w:val="105"/>
        </w:rPr>
        <w:t>rendimientos</w:t>
      </w:r>
      <w:r>
        <w:rPr>
          <w:color w:val="231F20"/>
          <w:spacing w:val="-28"/>
          <w:w w:val="105"/>
        </w:rPr>
        <w:t> </w:t>
      </w:r>
      <w:r>
        <w:rPr>
          <w:color w:val="231F20"/>
          <w:w w:val="105"/>
        </w:rPr>
        <w:t>a</w:t>
      </w:r>
      <w:r>
        <w:rPr>
          <w:color w:val="231F20"/>
          <w:spacing w:val="-28"/>
          <w:w w:val="105"/>
        </w:rPr>
        <w:t> </w:t>
      </w:r>
      <w:r>
        <w:rPr>
          <w:color w:val="231F20"/>
          <w:w w:val="105"/>
        </w:rPr>
        <w:t>escala.</w:t>
      </w:r>
      <w:r>
        <w:rPr>
          <w:color w:val="231F20"/>
          <w:spacing w:val="-33"/>
          <w:w w:val="105"/>
        </w:rPr>
        <w:t> </w:t>
      </w:r>
      <w:r>
        <w:rPr>
          <w:color w:val="231F20"/>
          <w:w w:val="105"/>
        </w:rPr>
        <w:t>Es</w:t>
      </w:r>
      <w:r>
        <w:rPr>
          <w:color w:val="231F20"/>
          <w:spacing w:val="-28"/>
          <w:w w:val="105"/>
        </w:rPr>
        <w:t> </w:t>
      </w:r>
      <w:r>
        <w:rPr>
          <w:color w:val="231F20"/>
          <w:w w:val="105"/>
        </w:rPr>
        <w:t>decir,</w:t>
      </w:r>
      <w:r>
        <w:rPr>
          <w:color w:val="231F20"/>
          <w:spacing w:val="-33"/>
          <w:w w:val="105"/>
        </w:rPr>
        <w:t> </w:t>
      </w:r>
      <w:r>
        <w:rPr>
          <w:color w:val="231F20"/>
          <w:w w:val="105"/>
        </w:rPr>
        <w:t>la</w:t>
      </w:r>
      <w:r>
        <w:rPr>
          <w:color w:val="231F20"/>
          <w:spacing w:val="-28"/>
          <w:w w:val="105"/>
        </w:rPr>
        <w:t> </w:t>
      </w:r>
      <w:r>
        <w:rPr>
          <w:color w:val="231F20"/>
          <w:w w:val="105"/>
        </w:rPr>
        <w:t>especialización</w:t>
      </w:r>
      <w:r>
        <w:rPr>
          <w:color w:val="231F20"/>
          <w:spacing w:val="-28"/>
          <w:w w:val="105"/>
        </w:rPr>
        <w:t> </w:t>
      </w:r>
      <w:r>
        <w:rPr>
          <w:color w:val="231F20"/>
          <w:w w:val="105"/>
        </w:rPr>
        <w:t>productiva</w:t>
      </w:r>
      <w:r>
        <w:rPr>
          <w:color w:val="231F20"/>
          <w:spacing w:val="-28"/>
          <w:w w:val="105"/>
        </w:rPr>
        <w:t> </w:t>
      </w:r>
      <w:r>
        <w:rPr>
          <w:color w:val="231F20"/>
          <w:w w:val="105"/>
        </w:rPr>
        <w:t>au- menta la productividad a través de aprendizaje o experiencia,</w:t>
      </w:r>
      <w:r>
        <w:rPr>
          <w:color w:val="231F20"/>
          <w:spacing w:val="-37"/>
          <w:w w:val="105"/>
        </w:rPr>
        <w:t> </w:t>
      </w:r>
      <w:r>
        <w:rPr>
          <w:color w:val="231F20"/>
          <w:w w:val="105"/>
        </w:rPr>
        <w:t>asociada al mayor nivel de adelantos tecnológicos e innovaciones. Los avances tecnológicos</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w w:val="105"/>
        </w:rPr>
        <w:t>sector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economía</w:t>
      </w:r>
      <w:r>
        <w:rPr>
          <w:color w:val="231F20"/>
          <w:spacing w:val="-6"/>
          <w:w w:val="105"/>
        </w:rPr>
        <w:t> </w:t>
      </w:r>
      <w:r>
        <w:rPr>
          <w:color w:val="231F20"/>
          <w:w w:val="105"/>
        </w:rPr>
        <w:t>pueden</w:t>
      </w:r>
      <w:r>
        <w:rPr>
          <w:color w:val="231F20"/>
          <w:spacing w:val="-6"/>
          <w:w w:val="105"/>
        </w:rPr>
        <w:t> </w:t>
      </w:r>
      <w:r>
        <w:rPr>
          <w:color w:val="231F20"/>
          <w:w w:val="105"/>
        </w:rPr>
        <w:t>provocar</w:t>
      </w:r>
      <w:r>
        <w:rPr>
          <w:color w:val="231F20"/>
          <w:spacing w:val="-6"/>
          <w:w w:val="105"/>
        </w:rPr>
        <w:t> </w:t>
      </w:r>
      <w:r>
        <w:rPr>
          <w:color w:val="231F20"/>
          <w:w w:val="105"/>
        </w:rPr>
        <w:t>avances</w:t>
      </w:r>
      <w:r>
        <w:rPr>
          <w:color w:val="231F20"/>
          <w:spacing w:val="-6"/>
          <w:w w:val="105"/>
        </w:rPr>
        <w:t> </w:t>
      </w:r>
      <w:r>
        <w:rPr>
          <w:color w:val="231F20"/>
          <w:w w:val="105"/>
        </w:rPr>
        <w:t>en otros o preparar el terreno a nuevos hallazgos en otros sectores; estos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4"/>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8984"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244</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936"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245</w:t>
      </w:r>
    </w:p>
    <w:p>
      <w:pPr>
        <w:pStyle w:val="BodyText"/>
        <w:rPr>
          <w:sz w:val="20"/>
        </w:rPr>
      </w:pPr>
    </w:p>
    <w:p>
      <w:pPr>
        <w:pStyle w:val="BodyText"/>
        <w:rPr>
          <w:sz w:val="20"/>
        </w:rPr>
      </w:pPr>
    </w:p>
    <w:p>
      <w:pPr>
        <w:pStyle w:val="BodyText"/>
        <w:spacing w:line="259" w:lineRule="auto" w:before="176"/>
        <w:ind w:left="117" w:right="114"/>
      </w:pPr>
      <w:r>
        <w:rPr>
          <w:color w:val="231F20"/>
          <w:w w:val="105"/>
        </w:rPr>
        <w:t>son conocidos como nuevas innovaciones o “nuevas combinaciones”</w:t>
      </w:r>
      <w:r>
        <w:rPr>
          <w:color w:val="231F20"/>
          <w:w w:val="105"/>
          <w:position w:val="7"/>
          <w:sz w:val="12"/>
        </w:rPr>
        <w:t>5</w:t>
      </w:r>
      <w:r>
        <w:rPr>
          <w:color w:val="231F20"/>
          <w:w w:val="105"/>
        </w:rPr>
        <w:t>, tan importantes para el crecimiento de los países.</w:t>
      </w:r>
    </w:p>
    <w:p>
      <w:pPr>
        <w:pStyle w:val="BodyText"/>
        <w:spacing w:line="259" w:lineRule="auto"/>
        <w:ind w:left="117" w:right="115" w:firstLine="567"/>
        <w:jc w:val="both"/>
      </w:pPr>
      <w:r>
        <w:rPr>
          <w:color w:val="231F20"/>
          <w:w w:val="105"/>
        </w:rPr>
        <w:t>La</w:t>
      </w:r>
      <w:r>
        <w:rPr>
          <w:color w:val="231F20"/>
          <w:spacing w:val="-16"/>
          <w:w w:val="105"/>
        </w:rPr>
        <w:t> </w:t>
      </w:r>
      <w:r>
        <w:rPr>
          <w:color w:val="231F20"/>
          <w:w w:val="105"/>
        </w:rPr>
        <w:t>especialización</w:t>
      </w:r>
      <w:r>
        <w:rPr>
          <w:color w:val="231F20"/>
          <w:spacing w:val="-16"/>
          <w:w w:val="105"/>
        </w:rPr>
        <w:t> </w:t>
      </w:r>
      <w:r>
        <w:rPr>
          <w:color w:val="231F20"/>
          <w:w w:val="105"/>
        </w:rPr>
        <w:t>ricardiana</w:t>
      </w:r>
      <w:r>
        <w:rPr>
          <w:color w:val="231F20"/>
          <w:spacing w:val="-16"/>
          <w:w w:val="105"/>
        </w:rPr>
        <w:t> </w:t>
      </w:r>
      <w:r>
        <w:rPr>
          <w:color w:val="231F20"/>
          <w:w w:val="105"/>
        </w:rPr>
        <w:t>se</w:t>
      </w:r>
      <w:r>
        <w:rPr>
          <w:color w:val="231F20"/>
          <w:spacing w:val="-16"/>
          <w:w w:val="105"/>
        </w:rPr>
        <w:t> </w:t>
      </w:r>
      <w:r>
        <w:rPr>
          <w:color w:val="231F20"/>
          <w:w w:val="105"/>
        </w:rPr>
        <w:t>refiere</w:t>
      </w:r>
      <w:r>
        <w:rPr>
          <w:color w:val="231F20"/>
          <w:spacing w:val="-16"/>
          <w:w w:val="105"/>
        </w:rPr>
        <w:t> </w:t>
      </w:r>
      <w:r>
        <w:rPr>
          <w:color w:val="231F20"/>
          <w:w w:val="105"/>
        </w:rPr>
        <w:t>al</w:t>
      </w:r>
      <w:r>
        <w:rPr>
          <w:color w:val="231F20"/>
          <w:spacing w:val="-16"/>
          <w:w w:val="105"/>
        </w:rPr>
        <w:t> </w:t>
      </w:r>
      <w:r>
        <w:rPr>
          <w:color w:val="231F20"/>
          <w:w w:val="105"/>
        </w:rPr>
        <w:t>carácter</w:t>
      </w:r>
      <w:r>
        <w:rPr>
          <w:color w:val="231F20"/>
          <w:spacing w:val="-16"/>
          <w:w w:val="105"/>
        </w:rPr>
        <w:t> </w:t>
      </w:r>
      <w:r>
        <w:rPr>
          <w:color w:val="231F20"/>
          <w:w w:val="105"/>
        </w:rPr>
        <w:t>cualitativo</w:t>
      </w:r>
      <w:r>
        <w:rPr>
          <w:color w:val="231F20"/>
          <w:spacing w:val="-16"/>
          <w:w w:val="105"/>
        </w:rPr>
        <w:t> </w:t>
      </w:r>
      <w:r>
        <w:rPr>
          <w:color w:val="231F20"/>
          <w:w w:val="105"/>
        </w:rPr>
        <w:t>de</w:t>
      </w:r>
      <w:r>
        <w:rPr>
          <w:color w:val="231F20"/>
          <w:spacing w:val="-16"/>
          <w:w w:val="105"/>
        </w:rPr>
        <w:t> </w:t>
      </w:r>
      <w:r>
        <w:rPr>
          <w:color w:val="231F20"/>
          <w:w w:val="105"/>
        </w:rPr>
        <w:t>la especialización tecnológica del país, ya que los países especializados en</w:t>
      </w:r>
      <w:r>
        <w:rPr>
          <w:color w:val="231F20"/>
          <w:spacing w:val="-9"/>
          <w:w w:val="105"/>
        </w:rPr>
        <w:t> </w:t>
      </w:r>
      <w:r>
        <w:rPr>
          <w:color w:val="231F20"/>
          <w:w w:val="105"/>
        </w:rPr>
        <w:t>bienes</w:t>
      </w:r>
      <w:r>
        <w:rPr>
          <w:color w:val="231F20"/>
          <w:spacing w:val="-9"/>
          <w:w w:val="105"/>
        </w:rPr>
        <w:t> </w:t>
      </w:r>
      <w:r>
        <w:rPr>
          <w:color w:val="231F20"/>
          <w:w w:val="105"/>
        </w:rPr>
        <w:t>con</w:t>
      </w:r>
      <w:r>
        <w:rPr>
          <w:color w:val="231F20"/>
          <w:spacing w:val="-9"/>
          <w:w w:val="105"/>
        </w:rPr>
        <w:t> </w:t>
      </w:r>
      <w:r>
        <w:rPr>
          <w:color w:val="231F20"/>
          <w:w w:val="105"/>
        </w:rPr>
        <w:t>alto</w:t>
      </w:r>
      <w:r>
        <w:rPr>
          <w:color w:val="231F20"/>
          <w:spacing w:val="-9"/>
          <w:w w:val="105"/>
        </w:rPr>
        <w:t> </w:t>
      </w:r>
      <w:r>
        <w:rPr>
          <w:color w:val="231F20"/>
          <w:w w:val="105"/>
        </w:rPr>
        <w:t>nivel</w:t>
      </w:r>
      <w:r>
        <w:rPr>
          <w:color w:val="231F20"/>
          <w:spacing w:val="-9"/>
          <w:w w:val="105"/>
        </w:rPr>
        <w:t> </w:t>
      </w:r>
      <w:r>
        <w:rPr>
          <w:color w:val="231F20"/>
          <w:w w:val="105"/>
        </w:rPr>
        <w:t>tecnológico</w:t>
      </w:r>
      <w:r>
        <w:rPr>
          <w:color w:val="231F20"/>
          <w:spacing w:val="-9"/>
          <w:w w:val="105"/>
        </w:rPr>
        <w:t> </w:t>
      </w:r>
      <w:r>
        <w:rPr>
          <w:color w:val="231F20"/>
          <w:w w:val="105"/>
        </w:rPr>
        <w:t>en</w:t>
      </w:r>
      <w:r>
        <w:rPr>
          <w:color w:val="231F20"/>
          <w:spacing w:val="-9"/>
          <w:w w:val="105"/>
        </w:rPr>
        <w:t> </w:t>
      </w:r>
      <w:r>
        <w:rPr>
          <w:color w:val="231F20"/>
          <w:w w:val="105"/>
        </w:rPr>
        <w:t>sus</w:t>
      </w:r>
      <w:r>
        <w:rPr>
          <w:color w:val="231F20"/>
          <w:spacing w:val="-9"/>
          <w:w w:val="105"/>
        </w:rPr>
        <w:t> </w:t>
      </w:r>
      <w:r>
        <w:rPr>
          <w:color w:val="231F20"/>
          <w:w w:val="105"/>
        </w:rPr>
        <w:t>procesos</w:t>
      </w:r>
      <w:r>
        <w:rPr>
          <w:color w:val="231F20"/>
          <w:spacing w:val="-9"/>
          <w:w w:val="105"/>
        </w:rPr>
        <w:t> </w:t>
      </w:r>
      <w:r>
        <w:rPr>
          <w:color w:val="231F20"/>
          <w:w w:val="105"/>
        </w:rPr>
        <w:t>productivos</w:t>
      </w:r>
      <w:r>
        <w:rPr>
          <w:color w:val="231F20"/>
          <w:spacing w:val="-9"/>
          <w:w w:val="105"/>
        </w:rPr>
        <w:t> </w:t>
      </w:r>
      <w:r>
        <w:rPr>
          <w:color w:val="231F20"/>
          <w:w w:val="105"/>
        </w:rPr>
        <w:t>tienen mayores posibilidades de alcanzar tasas más altas de productividad </w:t>
      </w:r>
      <w:r>
        <w:rPr>
          <w:color w:val="231F20"/>
          <w:spacing w:val="-4"/>
          <w:w w:val="105"/>
        </w:rPr>
        <w:t>y, </w:t>
      </w:r>
      <w:r>
        <w:rPr>
          <w:color w:val="231F20"/>
          <w:w w:val="105"/>
        </w:rPr>
        <w:t>por</w:t>
      </w:r>
      <w:r>
        <w:rPr>
          <w:color w:val="231F20"/>
          <w:spacing w:val="-11"/>
          <w:w w:val="105"/>
        </w:rPr>
        <w:t> </w:t>
      </w:r>
      <w:r>
        <w:rPr>
          <w:color w:val="231F20"/>
          <w:w w:val="105"/>
        </w:rPr>
        <w:t>tanto,</w:t>
      </w:r>
      <w:r>
        <w:rPr>
          <w:color w:val="231F20"/>
          <w:spacing w:val="-18"/>
          <w:w w:val="105"/>
        </w:rPr>
        <w:t> </w:t>
      </w:r>
      <w:r>
        <w:rPr>
          <w:color w:val="231F20"/>
          <w:w w:val="105"/>
        </w:rPr>
        <w:t>pueden</w:t>
      </w:r>
      <w:r>
        <w:rPr>
          <w:color w:val="231F20"/>
          <w:spacing w:val="-11"/>
          <w:w w:val="105"/>
        </w:rPr>
        <w:t> </w:t>
      </w:r>
      <w:r>
        <w:rPr>
          <w:color w:val="231F20"/>
          <w:w w:val="105"/>
        </w:rPr>
        <w:t>estar</w:t>
      </w:r>
      <w:r>
        <w:rPr>
          <w:color w:val="231F20"/>
          <w:spacing w:val="-11"/>
          <w:w w:val="105"/>
        </w:rPr>
        <w:t> </w:t>
      </w:r>
      <w:r>
        <w:rPr>
          <w:color w:val="231F20"/>
          <w:w w:val="105"/>
        </w:rPr>
        <w:t>en</w:t>
      </w:r>
      <w:r>
        <w:rPr>
          <w:color w:val="231F20"/>
          <w:spacing w:val="-11"/>
          <w:w w:val="105"/>
        </w:rPr>
        <w:t> </w:t>
      </w:r>
      <w:r>
        <w:rPr>
          <w:color w:val="231F20"/>
          <w:w w:val="105"/>
        </w:rPr>
        <w:t>una</w:t>
      </w:r>
      <w:r>
        <w:rPr>
          <w:color w:val="231F20"/>
          <w:spacing w:val="-11"/>
          <w:w w:val="105"/>
        </w:rPr>
        <w:t> </w:t>
      </w:r>
      <w:r>
        <w:rPr>
          <w:color w:val="231F20"/>
          <w:w w:val="105"/>
        </w:rPr>
        <w:t>mejor</w:t>
      </w:r>
      <w:r>
        <w:rPr>
          <w:color w:val="231F20"/>
          <w:spacing w:val="-11"/>
          <w:w w:val="105"/>
        </w:rPr>
        <w:t> </w:t>
      </w:r>
      <w:r>
        <w:rPr>
          <w:color w:val="231F20"/>
          <w:w w:val="105"/>
        </w:rPr>
        <w:t>posición</w:t>
      </w:r>
      <w:r>
        <w:rPr>
          <w:color w:val="231F20"/>
          <w:spacing w:val="-11"/>
          <w:w w:val="105"/>
        </w:rPr>
        <w:t> </w:t>
      </w:r>
      <w:r>
        <w:rPr>
          <w:color w:val="231F20"/>
          <w:w w:val="105"/>
        </w:rPr>
        <w:t>para</w:t>
      </w:r>
      <w:r>
        <w:rPr>
          <w:color w:val="231F20"/>
          <w:spacing w:val="-11"/>
          <w:w w:val="105"/>
        </w:rPr>
        <w:t> </w:t>
      </w:r>
      <w:r>
        <w:rPr>
          <w:color w:val="231F20"/>
          <w:w w:val="105"/>
        </w:rPr>
        <w:t>lograr</w:t>
      </w:r>
      <w:r>
        <w:rPr>
          <w:color w:val="231F20"/>
          <w:spacing w:val="-11"/>
          <w:w w:val="105"/>
        </w:rPr>
        <w:t> </w:t>
      </w:r>
      <w:r>
        <w:rPr>
          <w:color w:val="231F20"/>
          <w:w w:val="105"/>
        </w:rPr>
        <w:t>un</w:t>
      </w:r>
      <w:r>
        <w:rPr>
          <w:color w:val="231F20"/>
          <w:spacing w:val="-11"/>
          <w:w w:val="105"/>
        </w:rPr>
        <w:t> </w:t>
      </w:r>
      <w:r>
        <w:rPr>
          <w:color w:val="231F20"/>
          <w:w w:val="105"/>
        </w:rPr>
        <w:t>rápido</w:t>
      </w:r>
      <w:r>
        <w:rPr>
          <w:color w:val="231F20"/>
          <w:spacing w:val="-11"/>
          <w:w w:val="105"/>
        </w:rPr>
        <w:t> </w:t>
      </w:r>
      <w:r>
        <w:rPr>
          <w:color w:val="231F20"/>
          <w:w w:val="105"/>
        </w:rPr>
        <w:t>cre- cimiento económico. Es decir, las diferentes actividades productivas</w:t>
      </w:r>
      <w:r>
        <w:rPr>
          <w:color w:val="231F20"/>
          <w:spacing w:val="-34"/>
          <w:w w:val="105"/>
        </w:rPr>
        <w:t> </w:t>
      </w:r>
      <w:r>
        <w:rPr>
          <w:color w:val="231F20"/>
          <w:w w:val="105"/>
        </w:rPr>
        <w:t>se caracterizan</w:t>
      </w:r>
      <w:r>
        <w:rPr>
          <w:color w:val="231F20"/>
          <w:spacing w:val="-9"/>
          <w:w w:val="105"/>
        </w:rPr>
        <w:t> </w:t>
      </w:r>
      <w:r>
        <w:rPr>
          <w:color w:val="231F20"/>
          <w:w w:val="105"/>
        </w:rPr>
        <w:t>por</w:t>
      </w:r>
      <w:r>
        <w:rPr>
          <w:color w:val="231F20"/>
          <w:spacing w:val="-9"/>
          <w:w w:val="105"/>
        </w:rPr>
        <w:t> </w:t>
      </w:r>
      <w:r>
        <w:rPr>
          <w:color w:val="231F20"/>
          <w:w w:val="105"/>
        </w:rPr>
        <w:t>diferentes</w:t>
      </w:r>
      <w:r>
        <w:rPr>
          <w:color w:val="231F20"/>
          <w:spacing w:val="-9"/>
          <w:w w:val="105"/>
        </w:rPr>
        <w:t> </w:t>
      </w:r>
      <w:r>
        <w:rPr>
          <w:color w:val="231F20"/>
          <w:w w:val="105"/>
        </w:rPr>
        <w:t>tasas</w:t>
      </w:r>
      <w:r>
        <w:rPr>
          <w:color w:val="231F20"/>
          <w:spacing w:val="-9"/>
          <w:w w:val="105"/>
        </w:rPr>
        <w:t> </w:t>
      </w:r>
      <w:r>
        <w:rPr>
          <w:color w:val="231F20"/>
          <w:w w:val="105"/>
        </w:rPr>
        <w:t>de</w:t>
      </w:r>
      <w:r>
        <w:rPr>
          <w:color w:val="231F20"/>
          <w:spacing w:val="-9"/>
          <w:w w:val="105"/>
        </w:rPr>
        <w:t> </w:t>
      </w:r>
      <w:r>
        <w:rPr>
          <w:color w:val="231F20"/>
          <w:w w:val="105"/>
        </w:rPr>
        <w:t>crecimiento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productividad</w:t>
      </w:r>
      <w:r>
        <w:rPr>
          <w:color w:val="231F20"/>
          <w:spacing w:val="-9"/>
          <w:w w:val="105"/>
        </w:rPr>
        <w:t> </w:t>
      </w:r>
      <w:r>
        <w:rPr>
          <w:color w:val="231F20"/>
          <w:w w:val="105"/>
        </w:rPr>
        <w:t>de- bido a diferencias tecnológicas. Entonces, algunas actividades ofrecen mayores posibilidades de crecimiento que otras, porque cuentan con más oportunidades de aprender-haciendo, comparándose entre sí. De esta manera, regiones especializadas en actividades que ofrecen más aprendizaje lograrán aumentar su productividad y acelerarán su creci- miento</w:t>
      </w:r>
      <w:r>
        <w:rPr>
          <w:color w:val="231F20"/>
          <w:spacing w:val="-24"/>
          <w:w w:val="105"/>
        </w:rPr>
        <w:t> </w:t>
      </w:r>
      <w:r>
        <w:rPr>
          <w:color w:val="231F20"/>
          <w:w w:val="105"/>
        </w:rPr>
        <w:t>económico</w:t>
      </w:r>
      <w:r>
        <w:rPr>
          <w:color w:val="231F20"/>
          <w:spacing w:val="-24"/>
          <w:w w:val="105"/>
        </w:rPr>
        <w:t> </w:t>
      </w:r>
      <w:r>
        <w:rPr>
          <w:color w:val="231F20"/>
          <w:w w:val="105"/>
        </w:rPr>
        <w:t>(Uribe-Etxeberria,</w:t>
      </w:r>
      <w:r>
        <w:rPr>
          <w:color w:val="231F20"/>
          <w:spacing w:val="-29"/>
          <w:w w:val="105"/>
        </w:rPr>
        <w:t> </w:t>
      </w:r>
      <w:r>
        <w:rPr>
          <w:color w:val="231F20"/>
          <w:w w:val="105"/>
        </w:rPr>
        <w:t>2009).</w:t>
      </w:r>
    </w:p>
    <w:p>
      <w:pPr>
        <w:pStyle w:val="BodyText"/>
        <w:spacing w:line="259" w:lineRule="auto"/>
        <w:ind w:left="117" w:right="115" w:firstLine="567"/>
        <w:jc w:val="both"/>
      </w:pPr>
      <w:r>
        <w:rPr>
          <w:color w:val="231F20"/>
          <w:w w:val="105"/>
        </w:rPr>
        <w:t>Específicamente, las manufacturas generan externalidades de aprendizaje porque cuando se obtiene experiencia en la fabricación de un</w:t>
      </w:r>
      <w:r>
        <w:rPr>
          <w:color w:val="231F20"/>
          <w:spacing w:val="-23"/>
          <w:w w:val="105"/>
        </w:rPr>
        <w:t> </w:t>
      </w:r>
      <w:r>
        <w:rPr>
          <w:color w:val="231F20"/>
          <w:w w:val="105"/>
        </w:rPr>
        <w:t>producto,</w:t>
      </w:r>
      <w:r>
        <w:rPr>
          <w:color w:val="231F20"/>
          <w:spacing w:val="-28"/>
          <w:w w:val="105"/>
        </w:rPr>
        <w:t> </w:t>
      </w:r>
      <w:r>
        <w:rPr>
          <w:color w:val="231F20"/>
          <w:w w:val="105"/>
        </w:rPr>
        <w:t>las</w:t>
      </w:r>
      <w:r>
        <w:rPr>
          <w:color w:val="231F20"/>
          <w:spacing w:val="-23"/>
          <w:w w:val="105"/>
        </w:rPr>
        <w:t> </w:t>
      </w:r>
      <w:r>
        <w:rPr>
          <w:color w:val="231F20"/>
          <w:w w:val="105"/>
        </w:rPr>
        <w:t>empresas</w:t>
      </w:r>
      <w:r>
        <w:rPr>
          <w:color w:val="231F20"/>
          <w:spacing w:val="-23"/>
          <w:w w:val="105"/>
        </w:rPr>
        <w:t> </w:t>
      </w:r>
      <w:r>
        <w:rPr>
          <w:color w:val="231F20"/>
          <w:w w:val="105"/>
        </w:rPr>
        <w:t>pueden</w:t>
      </w:r>
      <w:r>
        <w:rPr>
          <w:color w:val="231F20"/>
          <w:spacing w:val="-23"/>
          <w:w w:val="105"/>
        </w:rPr>
        <w:t> </w:t>
      </w:r>
      <w:r>
        <w:rPr>
          <w:color w:val="231F20"/>
          <w:w w:val="105"/>
        </w:rPr>
        <w:t>incorporar</w:t>
      </w:r>
      <w:r>
        <w:rPr>
          <w:color w:val="231F20"/>
          <w:spacing w:val="-23"/>
          <w:w w:val="105"/>
        </w:rPr>
        <w:t> </w:t>
      </w:r>
      <w:r>
        <w:rPr>
          <w:color w:val="231F20"/>
          <w:w w:val="105"/>
        </w:rPr>
        <w:t>más</w:t>
      </w:r>
      <w:r>
        <w:rPr>
          <w:color w:val="231F20"/>
          <w:spacing w:val="-23"/>
          <w:w w:val="105"/>
        </w:rPr>
        <w:t> </w:t>
      </w:r>
      <w:r>
        <w:rPr>
          <w:color w:val="231F20"/>
          <w:w w:val="105"/>
        </w:rPr>
        <w:t>innovaciones</w:t>
      </w:r>
      <w:r>
        <w:rPr>
          <w:color w:val="231F20"/>
          <w:spacing w:val="-23"/>
          <w:w w:val="105"/>
        </w:rPr>
        <w:t> </w:t>
      </w:r>
      <w:r>
        <w:rPr>
          <w:color w:val="231F20"/>
          <w:w w:val="105"/>
        </w:rPr>
        <w:t>y</w:t>
      </w:r>
      <w:r>
        <w:rPr>
          <w:color w:val="231F20"/>
          <w:spacing w:val="-23"/>
          <w:w w:val="105"/>
        </w:rPr>
        <w:t> </w:t>
      </w:r>
      <w:r>
        <w:rPr>
          <w:color w:val="231F20"/>
          <w:w w:val="105"/>
        </w:rPr>
        <w:t>tecno- logías</w:t>
      </w:r>
      <w:r>
        <w:rPr>
          <w:color w:val="231F20"/>
          <w:spacing w:val="-30"/>
          <w:w w:val="105"/>
        </w:rPr>
        <w:t> </w:t>
      </w:r>
      <w:r>
        <w:rPr>
          <w:color w:val="231F20"/>
          <w:w w:val="105"/>
        </w:rPr>
        <w:t>más</w:t>
      </w:r>
      <w:r>
        <w:rPr>
          <w:color w:val="231F20"/>
          <w:spacing w:val="-30"/>
          <w:w w:val="105"/>
        </w:rPr>
        <w:t> </w:t>
      </w:r>
      <w:r>
        <w:rPr>
          <w:color w:val="231F20"/>
          <w:w w:val="105"/>
        </w:rPr>
        <w:t>avanzadas</w:t>
      </w:r>
      <w:r>
        <w:rPr>
          <w:color w:val="231F20"/>
          <w:spacing w:val="-30"/>
          <w:w w:val="105"/>
        </w:rPr>
        <w:t> </w:t>
      </w:r>
      <w:r>
        <w:rPr>
          <w:color w:val="231F20"/>
          <w:w w:val="105"/>
        </w:rPr>
        <w:t>que</w:t>
      </w:r>
      <w:r>
        <w:rPr>
          <w:color w:val="231F20"/>
          <w:spacing w:val="-30"/>
          <w:w w:val="105"/>
        </w:rPr>
        <w:t> </w:t>
      </w:r>
      <w:r>
        <w:rPr>
          <w:color w:val="231F20"/>
          <w:w w:val="105"/>
        </w:rPr>
        <w:t>permiten</w:t>
      </w:r>
      <w:r>
        <w:rPr>
          <w:color w:val="231F20"/>
          <w:spacing w:val="-30"/>
          <w:w w:val="105"/>
        </w:rPr>
        <w:t> </w:t>
      </w:r>
      <w:r>
        <w:rPr>
          <w:color w:val="231F20"/>
          <w:w w:val="105"/>
        </w:rPr>
        <w:t>un</w:t>
      </w:r>
      <w:r>
        <w:rPr>
          <w:color w:val="231F20"/>
          <w:spacing w:val="-30"/>
          <w:w w:val="105"/>
        </w:rPr>
        <w:t> </w:t>
      </w:r>
      <w:r>
        <w:rPr>
          <w:color w:val="231F20"/>
          <w:w w:val="105"/>
        </w:rPr>
        <w:t>uso</w:t>
      </w:r>
      <w:r>
        <w:rPr>
          <w:color w:val="231F20"/>
          <w:spacing w:val="-30"/>
          <w:w w:val="105"/>
        </w:rPr>
        <w:t> </w:t>
      </w:r>
      <w:r>
        <w:rPr>
          <w:color w:val="231F20"/>
          <w:w w:val="105"/>
        </w:rPr>
        <w:t>más</w:t>
      </w:r>
      <w:r>
        <w:rPr>
          <w:color w:val="231F20"/>
          <w:spacing w:val="-30"/>
          <w:w w:val="105"/>
        </w:rPr>
        <w:t> </w:t>
      </w:r>
      <w:r>
        <w:rPr>
          <w:color w:val="231F20"/>
          <w:w w:val="105"/>
        </w:rPr>
        <w:t>eficiente</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recursos. Así,</w:t>
      </w:r>
      <w:r>
        <w:rPr>
          <w:color w:val="231F20"/>
          <w:spacing w:val="-26"/>
          <w:w w:val="105"/>
        </w:rPr>
        <w:t> </w:t>
      </w:r>
      <w:r>
        <w:rPr>
          <w:color w:val="231F20"/>
          <w:w w:val="105"/>
        </w:rPr>
        <w:t>a</w:t>
      </w:r>
      <w:r>
        <w:rPr>
          <w:color w:val="231F20"/>
          <w:spacing w:val="-21"/>
          <w:w w:val="105"/>
        </w:rPr>
        <w:t> </w:t>
      </w:r>
      <w:r>
        <w:rPr>
          <w:color w:val="231F20"/>
          <w:w w:val="105"/>
        </w:rPr>
        <w:t>medida</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escala</w:t>
      </w:r>
      <w:r>
        <w:rPr>
          <w:color w:val="231F20"/>
          <w:spacing w:val="-21"/>
          <w:w w:val="105"/>
        </w:rPr>
        <w:t> </w:t>
      </w:r>
      <w:r>
        <w:rPr>
          <w:color w:val="231F20"/>
          <w:w w:val="105"/>
        </w:rPr>
        <w:t>de</w:t>
      </w:r>
      <w:r>
        <w:rPr>
          <w:color w:val="231F20"/>
          <w:spacing w:val="-21"/>
          <w:w w:val="105"/>
        </w:rPr>
        <w:t> </w:t>
      </w:r>
      <w:r>
        <w:rPr>
          <w:color w:val="231F20"/>
          <w:w w:val="105"/>
        </w:rPr>
        <w:t>operaciones</w:t>
      </w:r>
      <w:r>
        <w:rPr>
          <w:color w:val="231F20"/>
          <w:spacing w:val="-21"/>
          <w:w w:val="105"/>
        </w:rPr>
        <w:t> </w:t>
      </w:r>
      <w:r>
        <w:rPr>
          <w:color w:val="231F20"/>
          <w:w w:val="105"/>
        </w:rPr>
        <w:t>se</w:t>
      </w:r>
      <w:r>
        <w:rPr>
          <w:color w:val="231F20"/>
          <w:spacing w:val="-21"/>
          <w:w w:val="105"/>
        </w:rPr>
        <w:t> </w:t>
      </w:r>
      <w:r>
        <w:rPr>
          <w:color w:val="231F20"/>
          <w:w w:val="105"/>
        </w:rPr>
        <w:t>expande,</w:t>
      </w:r>
      <w:r>
        <w:rPr>
          <w:color w:val="231F20"/>
          <w:spacing w:val="-26"/>
          <w:w w:val="105"/>
        </w:rPr>
        <w:t> </w:t>
      </w:r>
      <w:r>
        <w:rPr>
          <w:color w:val="231F20"/>
          <w:w w:val="105"/>
        </w:rPr>
        <w:t>el</w:t>
      </w:r>
      <w:r>
        <w:rPr>
          <w:color w:val="231F20"/>
          <w:spacing w:val="-21"/>
          <w:w w:val="105"/>
        </w:rPr>
        <w:t> </w:t>
      </w:r>
      <w:r>
        <w:rPr>
          <w:color w:val="231F20"/>
          <w:w w:val="105"/>
        </w:rPr>
        <w:t>trabajo</w:t>
      </w:r>
      <w:r>
        <w:rPr>
          <w:color w:val="231F20"/>
          <w:spacing w:val="-21"/>
          <w:w w:val="105"/>
        </w:rPr>
        <w:t> </w:t>
      </w:r>
      <w:r>
        <w:rPr>
          <w:color w:val="231F20"/>
          <w:w w:val="105"/>
        </w:rPr>
        <w:t>se</w:t>
      </w:r>
      <w:r>
        <w:rPr>
          <w:color w:val="231F20"/>
          <w:spacing w:val="-21"/>
          <w:w w:val="105"/>
        </w:rPr>
        <w:t> </w:t>
      </w:r>
      <w:r>
        <w:rPr>
          <w:color w:val="231F20"/>
          <w:w w:val="105"/>
        </w:rPr>
        <w:t>tor- na más productivo debido a la mayor especialización; al mismo tiempo los costos disminuyen y la producción de la industria aumenta. Esto in- centiva</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empresas</w:t>
      </w:r>
      <w:r>
        <w:rPr>
          <w:color w:val="231F20"/>
          <w:spacing w:val="-25"/>
          <w:w w:val="105"/>
        </w:rPr>
        <w:t> </w:t>
      </w:r>
      <w:r>
        <w:rPr>
          <w:color w:val="231F20"/>
          <w:w w:val="105"/>
        </w:rPr>
        <w:t>a</w:t>
      </w:r>
      <w:r>
        <w:rPr>
          <w:color w:val="231F20"/>
          <w:spacing w:val="-25"/>
          <w:w w:val="105"/>
        </w:rPr>
        <w:t> </w:t>
      </w:r>
      <w:r>
        <w:rPr>
          <w:color w:val="231F20"/>
          <w:w w:val="105"/>
        </w:rPr>
        <w:t>producir</w:t>
      </w:r>
      <w:r>
        <w:rPr>
          <w:color w:val="231F20"/>
          <w:spacing w:val="-25"/>
          <w:w w:val="105"/>
        </w:rPr>
        <w:t> </w:t>
      </w:r>
      <w:r>
        <w:rPr>
          <w:color w:val="231F20"/>
          <w:w w:val="105"/>
        </w:rPr>
        <w:t>más,</w:t>
      </w:r>
      <w:r>
        <w:rPr>
          <w:color w:val="231F20"/>
          <w:spacing w:val="-30"/>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general</w:t>
      </w:r>
      <w:r>
        <w:rPr>
          <w:color w:val="231F20"/>
          <w:spacing w:val="-25"/>
          <w:w w:val="105"/>
        </w:rPr>
        <w:t> </w:t>
      </w:r>
      <w:r>
        <w:rPr>
          <w:color w:val="231F20"/>
          <w:w w:val="105"/>
        </w:rPr>
        <w:t>fomenta</w:t>
      </w:r>
      <w:r>
        <w:rPr>
          <w:color w:val="231F20"/>
          <w:spacing w:val="-25"/>
          <w:w w:val="105"/>
        </w:rPr>
        <w:t> </w:t>
      </w:r>
      <w:r>
        <w:rPr>
          <w:color w:val="231F20"/>
          <w:w w:val="105"/>
        </w:rPr>
        <w:t>un</w:t>
      </w:r>
      <w:r>
        <w:rPr>
          <w:color w:val="231F20"/>
          <w:spacing w:val="-25"/>
          <w:w w:val="105"/>
        </w:rPr>
        <w:t> </w:t>
      </w:r>
      <w:r>
        <w:rPr>
          <w:color w:val="231F20"/>
          <w:w w:val="105"/>
        </w:rPr>
        <w:t>mayor crecimiento</w:t>
      </w:r>
      <w:r>
        <w:rPr>
          <w:color w:val="231F20"/>
          <w:spacing w:val="-9"/>
          <w:w w:val="105"/>
        </w:rPr>
        <w:t> </w:t>
      </w:r>
      <w:r>
        <w:rPr>
          <w:color w:val="231F20"/>
          <w:w w:val="105"/>
        </w:rPr>
        <w:t>económico.</w:t>
      </w:r>
    </w:p>
    <w:p>
      <w:pPr>
        <w:pStyle w:val="BodyText"/>
        <w:spacing w:line="259" w:lineRule="auto"/>
        <w:ind w:left="117" w:right="121" w:firstLine="567"/>
        <w:jc w:val="both"/>
      </w:pPr>
      <w:r>
        <w:rPr>
          <w:color w:val="231F20"/>
          <w:spacing w:val="-6"/>
          <w:w w:val="105"/>
        </w:rPr>
        <w:t>Por</w:t>
      </w:r>
      <w:r>
        <w:rPr>
          <w:color w:val="231F20"/>
          <w:spacing w:val="-34"/>
          <w:w w:val="105"/>
        </w:rPr>
        <w:t> </w:t>
      </w:r>
      <w:r>
        <w:rPr>
          <w:color w:val="231F20"/>
          <w:w w:val="105"/>
        </w:rPr>
        <w:t>su</w:t>
      </w:r>
      <w:r>
        <w:rPr>
          <w:color w:val="231F20"/>
          <w:spacing w:val="-34"/>
          <w:w w:val="105"/>
        </w:rPr>
        <w:t> </w:t>
      </w:r>
      <w:r>
        <w:rPr>
          <w:color w:val="231F20"/>
          <w:w w:val="105"/>
        </w:rPr>
        <w:t>parte,</w:t>
      </w:r>
      <w:r>
        <w:rPr>
          <w:color w:val="231F20"/>
          <w:spacing w:val="-37"/>
          <w:w w:val="105"/>
        </w:rPr>
        <w:t> </w:t>
      </w:r>
      <w:r>
        <w:rPr>
          <w:color w:val="231F20"/>
          <w:w w:val="105"/>
        </w:rPr>
        <w:t>las</w:t>
      </w:r>
      <w:r>
        <w:rPr>
          <w:color w:val="231F20"/>
          <w:spacing w:val="-34"/>
          <w:w w:val="105"/>
        </w:rPr>
        <w:t> </w:t>
      </w:r>
      <w:r>
        <w:rPr>
          <w:color w:val="231F20"/>
          <w:w w:val="105"/>
        </w:rPr>
        <w:t>economías</w:t>
      </w:r>
      <w:r>
        <w:rPr>
          <w:color w:val="231F20"/>
          <w:spacing w:val="-34"/>
          <w:w w:val="105"/>
        </w:rPr>
        <w:t> </w:t>
      </w:r>
      <w:r>
        <w:rPr>
          <w:color w:val="231F20"/>
          <w:w w:val="105"/>
        </w:rPr>
        <w:t>externas</w:t>
      </w:r>
      <w:r>
        <w:rPr>
          <w:color w:val="231F20"/>
          <w:spacing w:val="-34"/>
          <w:w w:val="105"/>
        </w:rPr>
        <w:t> </w:t>
      </w:r>
      <w:r>
        <w:rPr>
          <w:color w:val="231F20"/>
          <w:w w:val="105"/>
        </w:rPr>
        <w:t>(llamadas</w:t>
      </w:r>
      <w:r>
        <w:rPr>
          <w:color w:val="231F20"/>
          <w:spacing w:val="-34"/>
          <w:w w:val="105"/>
        </w:rPr>
        <w:t> </w:t>
      </w:r>
      <w:r>
        <w:rPr>
          <w:color w:val="231F20"/>
          <w:w w:val="105"/>
        </w:rPr>
        <w:t>economías</w:t>
      </w:r>
      <w:r>
        <w:rPr>
          <w:color w:val="231F20"/>
          <w:spacing w:val="-34"/>
          <w:w w:val="105"/>
        </w:rPr>
        <w:t> </w:t>
      </w:r>
      <w:r>
        <w:rPr>
          <w:color w:val="231F20"/>
          <w:w w:val="105"/>
        </w:rPr>
        <w:t>de</w:t>
      </w:r>
      <w:r>
        <w:rPr>
          <w:color w:val="231F20"/>
          <w:spacing w:val="-34"/>
          <w:w w:val="105"/>
        </w:rPr>
        <w:t> </w:t>
      </w:r>
      <w:r>
        <w:rPr>
          <w:color w:val="231F20"/>
          <w:w w:val="105"/>
        </w:rPr>
        <w:t>aglo- meración) permiten aumentar los beneficios de las empresas debido  al incremento de la producción, por el desarrollo y habilidades para la transmisión</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nuevas</w:t>
      </w:r>
      <w:r>
        <w:rPr>
          <w:color w:val="231F20"/>
          <w:spacing w:val="-12"/>
          <w:w w:val="105"/>
        </w:rPr>
        <w:t> </w:t>
      </w:r>
      <w:r>
        <w:rPr>
          <w:color w:val="231F20"/>
          <w:w w:val="105"/>
        </w:rPr>
        <w:t>ideas.</w:t>
      </w:r>
      <w:r>
        <w:rPr>
          <w:color w:val="231F20"/>
          <w:w w:val="105"/>
          <w:position w:val="7"/>
          <w:sz w:val="12"/>
        </w:rPr>
        <w:t>6</w:t>
      </w:r>
      <w:r>
        <w:rPr>
          <w:color w:val="231F20"/>
          <w:spacing w:val="14"/>
          <w:w w:val="105"/>
          <w:position w:val="7"/>
          <w:sz w:val="12"/>
        </w:rPr>
        <w:t> </w:t>
      </w:r>
      <w:r>
        <w:rPr>
          <w:color w:val="231F20"/>
          <w:w w:val="105"/>
        </w:rPr>
        <w:t>Marshall</w:t>
      </w:r>
      <w:r>
        <w:rPr>
          <w:color w:val="231F20"/>
          <w:spacing w:val="-12"/>
          <w:w w:val="105"/>
        </w:rPr>
        <w:t> </w:t>
      </w:r>
      <w:r>
        <w:rPr>
          <w:color w:val="231F20"/>
          <w:w w:val="105"/>
        </w:rPr>
        <w:t>(1927)</w:t>
      </w:r>
      <w:r>
        <w:rPr>
          <w:color w:val="231F20"/>
          <w:spacing w:val="-12"/>
          <w:w w:val="105"/>
        </w:rPr>
        <w:t> </w:t>
      </w:r>
      <w:r>
        <w:rPr>
          <w:color w:val="231F20"/>
          <w:w w:val="105"/>
        </w:rPr>
        <w:t>defendió</w:t>
      </w:r>
      <w:r>
        <w:rPr>
          <w:color w:val="231F20"/>
          <w:spacing w:val="-12"/>
          <w:w w:val="105"/>
        </w:rPr>
        <w:t> </w:t>
      </w:r>
      <w:r>
        <w:rPr>
          <w:color w:val="231F20"/>
          <w:w w:val="105"/>
        </w:rPr>
        <w:t>que</w:t>
      </w:r>
      <w:r>
        <w:rPr>
          <w:color w:val="231F20"/>
          <w:spacing w:val="-12"/>
          <w:w w:val="105"/>
        </w:rPr>
        <w:t> </w:t>
      </w:r>
      <w:r>
        <w:rPr>
          <w:color w:val="231F20"/>
          <w:w w:val="105"/>
        </w:rPr>
        <w:t>existían tres razones principales por las que un grupo de empresas podían ser más</w:t>
      </w:r>
      <w:r>
        <w:rPr>
          <w:color w:val="231F20"/>
          <w:spacing w:val="-7"/>
          <w:w w:val="105"/>
        </w:rPr>
        <w:t> </w:t>
      </w:r>
      <w:r>
        <w:rPr>
          <w:color w:val="231F20"/>
          <w:w w:val="105"/>
        </w:rPr>
        <w:t>eficientes</w:t>
      </w:r>
      <w:r>
        <w:rPr>
          <w:color w:val="231F20"/>
          <w:spacing w:val="-7"/>
          <w:w w:val="105"/>
        </w:rPr>
        <w:t> </w:t>
      </w:r>
      <w:r>
        <w:rPr>
          <w:color w:val="231F20"/>
          <w:w w:val="105"/>
        </w:rPr>
        <w:t>que</w:t>
      </w:r>
      <w:r>
        <w:rPr>
          <w:color w:val="231F20"/>
          <w:spacing w:val="-7"/>
          <w:w w:val="105"/>
        </w:rPr>
        <w:t> </w:t>
      </w:r>
      <w:r>
        <w:rPr>
          <w:color w:val="231F20"/>
          <w:w w:val="105"/>
        </w:rPr>
        <w:t>una</w:t>
      </w:r>
      <w:r>
        <w:rPr>
          <w:color w:val="231F20"/>
          <w:spacing w:val="-7"/>
          <w:w w:val="105"/>
        </w:rPr>
        <w:t> </w:t>
      </w:r>
      <w:r>
        <w:rPr>
          <w:color w:val="231F20"/>
          <w:w w:val="105"/>
        </w:rPr>
        <w:t>empresa</w:t>
      </w:r>
      <w:r>
        <w:rPr>
          <w:color w:val="231F20"/>
          <w:spacing w:val="-7"/>
          <w:w w:val="105"/>
        </w:rPr>
        <w:t> </w:t>
      </w:r>
      <w:r>
        <w:rPr>
          <w:color w:val="231F20"/>
          <w:w w:val="105"/>
        </w:rPr>
        <w:t>individual</w:t>
      </w:r>
      <w:r>
        <w:rPr>
          <w:color w:val="231F20"/>
          <w:spacing w:val="-7"/>
          <w:w w:val="105"/>
        </w:rPr>
        <w:t> </w:t>
      </w:r>
      <w:r>
        <w:rPr>
          <w:color w:val="231F20"/>
          <w:w w:val="105"/>
        </w:rPr>
        <w:t>aislada:</w:t>
      </w:r>
      <w:r>
        <w:rPr>
          <w:color w:val="231F20"/>
          <w:spacing w:val="-7"/>
          <w:w w:val="105"/>
        </w:rPr>
        <w:t> </w:t>
      </w:r>
      <w:r>
        <w:rPr>
          <w:color w:val="231F20"/>
          <w:w w:val="105"/>
        </w:rPr>
        <w:t>la</w:t>
      </w:r>
      <w:r>
        <w:rPr>
          <w:color w:val="231F20"/>
          <w:spacing w:val="-7"/>
          <w:w w:val="105"/>
        </w:rPr>
        <w:t> </w:t>
      </w:r>
      <w:r>
        <w:rPr>
          <w:color w:val="231F20"/>
          <w:w w:val="105"/>
        </w:rPr>
        <w:t>habilidad</w:t>
      </w:r>
      <w:r>
        <w:rPr>
          <w:color w:val="231F20"/>
          <w:spacing w:val="-7"/>
          <w:w w:val="105"/>
        </w:rPr>
        <w:t> </w:t>
      </w:r>
      <w:r>
        <w:rPr>
          <w:color w:val="231F20"/>
          <w:w w:val="105"/>
        </w:rPr>
        <w:t>del</w:t>
      </w:r>
      <w:r>
        <w:rPr>
          <w:color w:val="231F20"/>
          <w:spacing w:val="-7"/>
          <w:w w:val="105"/>
        </w:rPr>
        <w:t> </w:t>
      </w:r>
      <w:r>
        <w:rPr>
          <w:color w:val="231F20"/>
          <w:w w:val="105"/>
        </w:rPr>
        <w:t>gru- po</w:t>
      </w:r>
      <w:r>
        <w:rPr>
          <w:color w:val="231F20"/>
          <w:spacing w:val="-23"/>
          <w:w w:val="105"/>
        </w:rPr>
        <w:t> </w:t>
      </w:r>
      <w:r>
        <w:rPr>
          <w:color w:val="231F20"/>
          <w:w w:val="105"/>
        </w:rPr>
        <w:t>para</w:t>
      </w:r>
      <w:r>
        <w:rPr>
          <w:color w:val="231F20"/>
          <w:spacing w:val="-23"/>
          <w:w w:val="105"/>
        </w:rPr>
        <w:t> </w:t>
      </w:r>
      <w:r>
        <w:rPr>
          <w:color w:val="231F20"/>
          <w:w w:val="105"/>
        </w:rPr>
        <w:t>apoyar</w:t>
      </w:r>
      <w:r>
        <w:rPr>
          <w:color w:val="231F20"/>
          <w:spacing w:val="-23"/>
          <w:w w:val="105"/>
        </w:rPr>
        <w:t> </w:t>
      </w:r>
      <w:r>
        <w:rPr>
          <w:color w:val="231F20"/>
          <w:w w:val="105"/>
        </w:rPr>
        <w:t>proveedores</w:t>
      </w:r>
      <w:r>
        <w:rPr>
          <w:color w:val="231F20"/>
          <w:spacing w:val="-23"/>
          <w:w w:val="105"/>
        </w:rPr>
        <w:t> </w:t>
      </w:r>
      <w:r>
        <w:rPr>
          <w:color w:val="231F20"/>
          <w:w w:val="105"/>
        </w:rPr>
        <w:t>especializados,</w:t>
      </w:r>
      <w:r>
        <w:rPr>
          <w:color w:val="231F20"/>
          <w:spacing w:val="-29"/>
          <w:w w:val="105"/>
        </w:rPr>
        <w:t> </w:t>
      </w:r>
      <w:r>
        <w:rPr>
          <w:color w:val="231F20"/>
          <w:w w:val="105"/>
        </w:rPr>
        <w:t>el</w:t>
      </w:r>
      <w:r>
        <w:rPr>
          <w:color w:val="231F20"/>
          <w:spacing w:val="-23"/>
          <w:w w:val="105"/>
        </w:rPr>
        <w:t> </w:t>
      </w:r>
      <w:r>
        <w:rPr>
          <w:color w:val="231F20"/>
          <w:w w:val="105"/>
        </w:rPr>
        <w:t>mercado</w:t>
      </w:r>
      <w:r>
        <w:rPr>
          <w:color w:val="231F20"/>
          <w:spacing w:val="-23"/>
          <w:w w:val="105"/>
        </w:rPr>
        <w:t> </w:t>
      </w:r>
      <w:r>
        <w:rPr>
          <w:color w:val="231F20"/>
          <w:w w:val="105"/>
        </w:rPr>
        <w:t>en</w:t>
      </w:r>
      <w:r>
        <w:rPr>
          <w:color w:val="231F20"/>
          <w:spacing w:val="-23"/>
          <w:w w:val="105"/>
        </w:rPr>
        <w:t> </w:t>
      </w:r>
      <w:r>
        <w:rPr>
          <w:color w:val="231F20"/>
          <w:w w:val="105"/>
        </w:rPr>
        <w:t>una</w:t>
      </w:r>
      <w:r>
        <w:rPr>
          <w:color w:val="231F20"/>
          <w:spacing w:val="-23"/>
          <w:w w:val="105"/>
        </w:rPr>
        <w:t> </w:t>
      </w:r>
      <w:r>
        <w:rPr>
          <w:color w:val="231F20"/>
          <w:w w:val="105"/>
        </w:rPr>
        <w:t>industria concentrada geográficamente que permite la creación de un mercado laboral</w:t>
      </w:r>
      <w:r>
        <w:rPr>
          <w:color w:val="231F20"/>
          <w:spacing w:val="-18"/>
          <w:w w:val="105"/>
        </w:rPr>
        <w:t> </w:t>
      </w:r>
      <w:r>
        <w:rPr>
          <w:color w:val="231F20"/>
          <w:w w:val="105"/>
        </w:rPr>
        <w:t>especializado</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modelo</w:t>
      </w:r>
      <w:r>
        <w:rPr>
          <w:color w:val="231F20"/>
          <w:spacing w:val="-18"/>
          <w:w w:val="105"/>
        </w:rPr>
        <w:t> </w:t>
      </w:r>
      <w:r>
        <w:rPr>
          <w:color w:val="231F20"/>
          <w:w w:val="105"/>
        </w:rPr>
        <w:t>en</w:t>
      </w:r>
      <w:r>
        <w:rPr>
          <w:color w:val="231F20"/>
          <w:spacing w:val="-18"/>
          <w:w w:val="105"/>
        </w:rPr>
        <w:t> </w:t>
      </w:r>
      <w:r>
        <w:rPr>
          <w:color w:val="231F20"/>
          <w:w w:val="105"/>
        </w:rPr>
        <w:t>que</w:t>
      </w:r>
      <w:r>
        <w:rPr>
          <w:color w:val="231F20"/>
          <w:spacing w:val="-18"/>
          <w:w w:val="105"/>
        </w:rPr>
        <w:t> </w:t>
      </w:r>
      <w:r>
        <w:rPr>
          <w:color w:val="231F20"/>
          <w:w w:val="105"/>
        </w:rPr>
        <w:t>una</w:t>
      </w:r>
      <w:r>
        <w:rPr>
          <w:color w:val="231F20"/>
          <w:spacing w:val="-18"/>
          <w:w w:val="105"/>
        </w:rPr>
        <w:t> </w:t>
      </w:r>
      <w:r>
        <w:rPr>
          <w:color w:val="231F20"/>
          <w:w w:val="105"/>
        </w:rPr>
        <w:t>industria</w:t>
      </w:r>
      <w:r>
        <w:rPr>
          <w:color w:val="231F20"/>
          <w:spacing w:val="-18"/>
          <w:w w:val="105"/>
        </w:rPr>
        <w:t> </w:t>
      </w:r>
      <w:r>
        <w:rPr>
          <w:color w:val="231F20"/>
          <w:w w:val="105"/>
        </w:rPr>
        <w:t>concentrada</w:t>
      </w:r>
      <w:r>
        <w:rPr>
          <w:color w:val="231F20"/>
          <w:spacing w:val="-18"/>
          <w:w w:val="105"/>
        </w:rPr>
        <w:t> </w:t>
      </w:r>
      <w:r>
        <w:rPr>
          <w:color w:val="231F20"/>
          <w:w w:val="105"/>
        </w:rPr>
        <w:t>geo- gráficamente</w:t>
      </w:r>
      <w:r>
        <w:rPr>
          <w:color w:val="231F20"/>
          <w:spacing w:val="-14"/>
          <w:w w:val="105"/>
        </w:rPr>
        <w:t> </w:t>
      </w:r>
      <w:r>
        <w:rPr>
          <w:color w:val="231F20"/>
          <w:w w:val="105"/>
        </w:rPr>
        <w:t>favorece</w:t>
      </w:r>
      <w:r>
        <w:rPr>
          <w:color w:val="231F20"/>
          <w:spacing w:val="-14"/>
          <w:w w:val="105"/>
        </w:rPr>
        <w:t> </w:t>
      </w:r>
      <w:r>
        <w:rPr>
          <w:color w:val="231F20"/>
          <w:w w:val="105"/>
        </w:rPr>
        <w:t>la</w:t>
      </w:r>
      <w:r>
        <w:rPr>
          <w:color w:val="231F20"/>
          <w:spacing w:val="-14"/>
          <w:w w:val="105"/>
        </w:rPr>
        <w:t> </w:t>
      </w:r>
      <w:r>
        <w:rPr>
          <w:color w:val="231F20"/>
          <w:w w:val="105"/>
        </w:rPr>
        <w:t>difusión</w:t>
      </w:r>
      <w:r>
        <w:rPr>
          <w:color w:val="231F20"/>
          <w:spacing w:val="-14"/>
          <w:w w:val="105"/>
        </w:rPr>
        <w:t> </w:t>
      </w:r>
      <w:r>
        <w:rPr>
          <w:color w:val="231F20"/>
          <w:w w:val="105"/>
        </w:rPr>
        <w:t>del</w:t>
      </w:r>
      <w:r>
        <w:rPr>
          <w:color w:val="231F20"/>
          <w:spacing w:val="-14"/>
          <w:w w:val="105"/>
        </w:rPr>
        <w:t> </w:t>
      </w:r>
      <w:r>
        <w:rPr>
          <w:color w:val="231F20"/>
          <w:w w:val="105"/>
        </w:rPr>
        <w:t>efecto</w:t>
      </w:r>
      <w:r>
        <w:rPr>
          <w:color w:val="231F20"/>
          <w:spacing w:val="-14"/>
          <w:w w:val="105"/>
        </w:rPr>
        <w:t> </w:t>
      </w:r>
      <w:r>
        <w:rPr>
          <w:color w:val="231F20"/>
          <w:w w:val="105"/>
        </w:rPr>
        <w:t>desbordamiento</w:t>
      </w:r>
      <w:r>
        <w:rPr>
          <w:color w:val="231F20"/>
          <w:spacing w:val="-14"/>
          <w:w w:val="105"/>
        </w:rPr>
        <w:t> </w:t>
      </w:r>
      <w:r>
        <w:rPr>
          <w:color w:val="231F20"/>
          <w:w w:val="105"/>
        </w:rPr>
        <w:t>del</w:t>
      </w:r>
      <w:r>
        <w:rPr>
          <w:color w:val="231F20"/>
          <w:spacing w:val="-14"/>
          <w:w w:val="105"/>
        </w:rPr>
        <w:t> </w:t>
      </w:r>
      <w:r>
        <w:rPr>
          <w:color w:val="231F20"/>
          <w:w w:val="105"/>
        </w:rPr>
        <w:t>conoci- miento.</w:t>
      </w:r>
      <w:r>
        <w:rPr>
          <w:color w:val="231F20"/>
          <w:spacing w:val="-23"/>
          <w:w w:val="105"/>
        </w:rPr>
        <w:t> </w:t>
      </w: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sentido,</w:t>
      </w:r>
      <w:r>
        <w:rPr>
          <w:color w:val="231F20"/>
          <w:spacing w:val="-23"/>
          <w:w w:val="105"/>
        </w:rPr>
        <w:t> </w:t>
      </w:r>
      <w:r>
        <w:rPr>
          <w:color w:val="231F20"/>
          <w:w w:val="105"/>
        </w:rPr>
        <w:t>es</w:t>
      </w:r>
      <w:r>
        <w:rPr>
          <w:color w:val="231F20"/>
          <w:spacing w:val="-18"/>
          <w:w w:val="105"/>
        </w:rPr>
        <w:t> </w:t>
      </w:r>
      <w:r>
        <w:rPr>
          <w:color w:val="231F20"/>
          <w:w w:val="105"/>
        </w:rPr>
        <w:t>importante</w:t>
      </w:r>
      <w:r>
        <w:rPr>
          <w:color w:val="231F20"/>
          <w:spacing w:val="-18"/>
          <w:w w:val="105"/>
        </w:rPr>
        <w:t> </w:t>
      </w:r>
      <w:r>
        <w:rPr>
          <w:color w:val="231F20"/>
          <w:w w:val="105"/>
        </w:rPr>
        <w:t>mencionar</w:t>
      </w:r>
      <w:r>
        <w:rPr>
          <w:color w:val="231F20"/>
          <w:spacing w:val="-18"/>
          <w:w w:val="105"/>
        </w:rPr>
        <w:t> </w:t>
      </w:r>
      <w:r>
        <w:rPr>
          <w:color w:val="231F20"/>
          <w:w w:val="105"/>
        </w:rPr>
        <w:t>que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nueva</w:t>
      </w:r>
      <w:r>
        <w:rPr>
          <w:color w:val="231F20"/>
          <w:spacing w:val="-18"/>
          <w:w w:val="105"/>
        </w:rPr>
        <w:t> </w:t>
      </w:r>
      <w:r>
        <w:rPr>
          <w:color w:val="231F20"/>
          <w:w w:val="105"/>
        </w:rPr>
        <w:t>teoría del</w:t>
      </w:r>
      <w:r>
        <w:rPr>
          <w:color w:val="231F20"/>
          <w:spacing w:val="-8"/>
          <w:w w:val="105"/>
        </w:rPr>
        <w:t> </w:t>
      </w:r>
      <w:r>
        <w:rPr>
          <w:color w:val="231F20"/>
          <w:w w:val="105"/>
        </w:rPr>
        <w:t>crecimiento</w:t>
      </w:r>
      <w:r>
        <w:rPr>
          <w:color w:val="231F20"/>
          <w:spacing w:val="-8"/>
          <w:w w:val="105"/>
        </w:rPr>
        <w:t> </w:t>
      </w:r>
      <w:r>
        <w:rPr>
          <w:color w:val="231F20"/>
          <w:w w:val="105"/>
        </w:rPr>
        <w:t>ésto</w:t>
      </w:r>
      <w:r>
        <w:rPr>
          <w:color w:val="231F20"/>
          <w:spacing w:val="-8"/>
          <w:w w:val="105"/>
        </w:rPr>
        <w:t> </w:t>
      </w:r>
      <w:r>
        <w:rPr>
          <w:color w:val="231F20"/>
          <w:w w:val="105"/>
        </w:rPr>
        <w:t>forma</w:t>
      </w:r>
      <w:r>
        <w:rPr>
          <w:color w:val="231F20"/>
          <w:spacing w:val="-8"/>
          <w:w w:val="105"/>
        </w:rPr>
        <w:t> </w:t>
      </w:r>
      <w:r>
        <w:rPr>
          <w:color w:val="231F20"/>
          <w:w w:val="105"/>
        </w:rPr>
        <w:t>un</w:t>
      </w:r>
      <w:r>
        <w:rPr>
          <w:color w:val="231F20"/>
          <w:spacing w:val="-8"/>
          <w:w w:val="105"/>
        </w:rPr>
        <w:t> </w:t>
      </w:r>
      <w:r>
        <w:rPr>
          <w:color w:val="231F20"/>
          <w:w w:val="105"/>
        </w:rPr>
        <w:t>determinante</w:t>
      </w:r>
      <w:r>
        <w:rPr>
          <w:color w:val="231F20"/>
          <w:spacing w:val="-8"/>
          <w:w w:val="105"/>
        </w:rPr>
        <w:t> </w:t>
      </w:r>
      <w:r>
        <w:rPr>
          <w:color w:val="231F20"/>
          <w:w w:val="105"/>
        </w:rPr>
        <w:t>endógeno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explicación del</w:t>
      </w:r>
      <w:r>
        <w:rPr>
          <w:color w:val="231F20"/>
          <w:spacing w:val="-21"/>
          <w:w w:val="105"/>
        </w:rPr>
        <w:t> </w:t>
      </w:r>
      <w:r>
        <w:rPr>
          <w:color w:val="231F20"/>
          <w:w w:val="105"/>
        </w:rPr>
        <w:t>crecimiento</w:t>
      </w:r>
      <w:r>
        <w:rPr>
          <w:color w:val="231F20"/>
          <w:spacing w:val="-21"/>
          <w:w w:val="105"/>
        </w:rPr>
        <w:t> </w:t>
      </w:r>
      <w:r>
        <w:rPr>
          <w:color w:val="231F20"/>
          <w:w w:val="105"/>
        </w:rPr>
        <w:t>(McCann</w:t>
      </w:r>
      <w:r>
        <w:rPr>
          <w:color w:val="231F20"/>
          <w:spacing w:val="-21"/>
          <w:w w:val="105"/>
        </w:rPr>
        <w:t> </w:t>
      </w:r>
      <w:r>
        <w:rPr>
          <w:color w:val="231F20"/>
          <w:w w:val="105"/>
        </w:rPr>
        <w:t>y</w:t>
      </w:r>
      <w:r>
        <w:rPr>
          <w:color w:val="231F20"/>
          <w:spacing w:val="-24"/>
          <w:w w:val="105"/>
        </w:rPr>
        <w:t> </w:t>
      </w:r>
      <w:r>
        <w:rPr>
          <w:color w:val="231F20"/>
          <w:spacing w:val="-3"/>
          <w:w w:val="105"/>
        </w:rPr>
        <w:t>Van</w:t>
      </w:r>
      <w:r>
        <w:rPr>
          <w:color w:val="231F20"/>
          <w:spacing w:val="-21"/>
          <w:w w:val="105"/>
        </w:rPr>
        <w:t> </w:t>
      </w:r>
      <w:r>
        <w:rPr>
          <w:color w:val="231F20"/>
          <w:w w:val="105"/>
        </w:rPr>
        <w:t>Oort,</w:t>
      </w:r>
      <w:r>
        <w:rPr>
          <w:color w:val="231F20"/>
          <w:spacing w:val="-27"/>
          <w:w w:val="105"/>
        </w:rPr>
        <w:t> </w:t>
      </w:r>
      <w:r>
        <w:rPr>
          <w:color w:val="231F20"/>
          <w:w w:val="105"/>
        </w:rPr>
        <w:t>2009).</w:t>
      </w:r>
    </w:p>
    <w:p>
      <w:pPr>
        <w:pStyle w:val="BodyText"/>
        <w:spacing w:before="10"/>
        <w:rPr>
          <w:sz w:val="19"/>
        </w:rPr>
      </w:pPr>
      <w:r>
        <w:rPr/>
        <w:pict>
          <v:line style="position:absolute;mso-position-horizontal-relative:page;mso-position-vertical-relative:paragraph;z-index:8968;mso-wrap-distance-left:0;mso-wrap-distance-right:0" from="70.866096pt,13.501369pt" to="184.252096pt,13.501369pt" stroked="true" strokeweight=".25pt" strokecolor="#231f20">
            <w10:wrap type="topAndBottom"/>
          </v:line>
        </w:pict>
      </w:r>
    </w:p>
    <w:p>
      <w:pPr>
        <w:spacing w:line="192" w:lineRule="exact" w:before="7"/>
        <w:ind w:left="117" w:right="121" w:hanging="1"/>
        <w:jc w:val="both"/>
        <w:rPr>
          <w:rFonts w:ascii="Calibri" w:hAnsi="Calibri"/>
          <w:sz w:val="16"/>
        </w:rPr>
      </w:pPr>
      <w:r>
        <w:rPr>
          <w:rFonts w:ascii="Calibri" w:hAnsi="Calibri"/>
          <w:color w:val="414042"/>
          <w:position w:val="5"/>
          <w:sz w:val="9"/>
        </w:rPr>
        <w:t>5 </w:t>
      </w:r>
      <w:r>
        <w:rPr>
          <w:rFonts w:ascii="Calibri" w:hAnsi="Calibri"/>
          <w:color w:val="414042"/>
          <w:sz w:val="16"/>
        </w:rPr>
        <w:t>De acuerdo con Schumpeter (1976: 75) las “nuevas innovaciones” son cinco: fabricación de un nuevo bien, introducción de un nuevo método de producción, apertura de un nuevo mercado, conquista de una nueva fuente de materia prima, y realización de una nueva  organización.</w:t>
      </w:r>
    </w:p>
    <w:p>
      <w:pPr>
        <w:spacing w:line="192" w:lineRule="exact" w:before="0"/>
        <w:ind w:left="117" w:right="121" w:firstLine="0"/>
        <w:jc w:val="both"/>
        <w:rPr>
          <w:rFonts w:ascii="Calibri" w:hAnsi="Calibri"/>
          <w:sz w:val="16"/>
        </w:rPr>
      </w:pPr>
      <w:r>
        <w:rPr>
          <w:rFonts w:ascii="Calibri" w:hAnsi="Calibri"/>
          <w:color w:val="414042"/>
          <w:position w:val="5"/>
          <w:sz w:val="9"/>
        </w:rPr>
        <w:t>6 </w:t>
      </w:r>
      <w:r>
        <w:rPr>
          <w:rFonts w:ascii="Calibri" w:hAnsi="Calibri"/>
          <w:color w:val="414042"/>
          <w:sz w:val="16"/>
        </w:rPr>
        <w:t>Véase Muñoz (2011) quien establece que el desarrollo económico es producto de nuevas formas de interacción entre los actores enfocados a la producción, incorporación de la tecnología y los incentivos e instituciones  para  su adaptación.</w:t>
      </w:r>
    </w:p>
    <w:p>
      <w:pPr>
        <w:spacing w:after="0" w:line="192" w:lineRule="exact"/>
        <w:jc w:val="both"/>
        <w:rPr>
          <w:rFonts w:ascii="Calibri" w:hAnsi="Calibri"/>
          <w:sz w:val="16"/>
        </w:rPr>
        <w:sectPr>
          <w:pgSz w:w="9640" w:h="13890"/>
          <w:pgMar w:top="0" w:bottom="280" w:left="1300" w:right="1180"/>
        </w:sectPr>
      </w:pPr>
    </w:p>
    <w:p>
      <w:pPr>
        <w:pStyle w:val="BodyText"/>
        <w:spacing w:line="259" w:lineRule="auto" w:before="120"/>
        <w:ind w:left="103" w:right="107"/>
        <w:jc w:val="both"/>
      </w:pPr>
      <w:r>
        <w:rPr>
          <w:color w:val="231F20"/>
          <w:w w:val="105"/>
        </w:rPr>
        <w:t>Las economías externas más importantes se originan por la acumula- ción</w:t>
      </w:r>
      <w:r>
        <w:rPr>
          <w:color w:val="231F20"/>
          <w:spacing w:val="-14"/>
          <w:w w:val="105"/>
        </w:rPr>
        <w:t> </w:t>
      </w:r>
      <w:r>
        <w:rPr>
          <w:color w:val="231F20"/>
          <w:w w:val="105"/>
        </w:rPr>
        <w:t>del</w:t>
      </w:r>
      <w:r>
        <w:rPr>
          <w:color w:val="231F20"/>
          <w:spacing w:val="-14"/>
          <w:w w:val="105"/>
        </w:rPr>
        <w:t> </w:t>
      </w:r>
      <w:r>
        <w:rPr>
          <w:color w:val="231F20"/>
          <w:w w:val="105"/>
        </w:rPr>
        <w:t>conocimiento</w:t>
      </w:r>
      <w:r>
        <w:rPr>
          <w:color w:val="231F20"/>
          <w:spacing w:val="-14"/>
          <w:w w:val="105"/>
        </w:rPr>
        <w:t> </w:t>
      </w:r>
      <w:r>
        <w:rPr>
          <w:color w:val="231F20"/>
          <w:w w:val="105"/>
        </w:rPr>
        <w:t>cuando</w:t>
      </w:r>
      <w:r>
        <w:rPr>
          <w:color w:val="231F20"/>
          <w:spacing w:val="-14"/>
          <w:w w:val="105"/>
        </w:rPr>
        <w:t> </w:t>
      </w:r>
      <w:r>
        <w:rPr>
          <w:color w:val="231F20"/>
          <w:w w:val="105"/>
        </w:rPr>
        <w:t>una</w:t>
      </w:r>
      <w:r>
        <w:rPr>
          <w:color w:val="231F20"/>
          <w:spacing w:val="-14"/>
          <w:w w:val="105"/>
        </w:rPr>
        <w:t> </w:t>
      </w:r>
      <w:r>
        <w:rPr>
          <w:color w:val="231F20"/>
          <w:w w:val="105"/>
        </w:rPr>
        <w:t>empresa</w:t>
      </w:r>
      <w:r>
        <w:rPr>
          <w:color w:val="231F20"/>
          <w:spacing w:val="-14"/>
          <w:w w:val="105"/>
        </w:rPr>
        <w:t> </w:t>
      </w:r>
      <w:r>
        <w:rPr>
          <w:color w:val="231F20"/>
          <w:w w:val="105"/>
        </w:rPr>
        <w:t>mejora</w:t>
      </w:r>
      <w:r>
        <w:rPr>
          <w:color w:val="231F20"/>
          <w:spacing w:val="-14"/>
          <w:w w:val="105"/>
        </w:rPr>
        <w:t> </w:t>
      </w:r>
      <w:r>
        <w:rPr>
          <w:color w:val="231F20"/>
          <w:w w:val="105"/>
        </w:rPr>
        <w:t>sus</w:t>
      </w:r>
      <w:r>
        <w:rPr>
          <w:color w:val="231F20"/>
          <w:spacing w:val="-14"/>
          <w:w w:val="105"/>
        </w:rPr>
        <w:t> </w:t>
      </w:r>
      <w:r>
        <w:rPr>
          <w:color w:val="231F20"/>
          <w:w w:val="105"/>
        </w:rPr>
        <w:t>productos</w:t>
      </w:r>
      <w:r>
        <w:rPr>
          <w:color w:val="231F20"/>
          <w:spacing w:val="-14"/>
          <w:w w:val="105"/>
        </w:rPr>
        <w:t> </w:t>
      </w:r>
      <w:r>
        <w:rPr>
          <w:color w:val="231F20"/>
          <w:w w:val="105"/>
        </w:rPr>
        <w:t>o</w:t>
      </w:r>
      <w:r>
        <w:rPr>
          <w:color w:val="231F20"/>
          <w:spacing w:val="-14"/>
          <w:w w:val="105"/>
        </w:rPr>
        <w:t> </w:t>
      </w:r>
      <w:r>
        <w:rPr>
          <w:color w:val="231F20"/>
          <w:w w:val="105"/>
        </w:rPr>
        <w:t>téc- nicas de producción a través de la experiencia; es probable que otras empresas</w:t>
      </w:r>
      <w:r>
        <w:rPr>
          <w:color w:val="231F20"/>
          <w:spacing w:val="-9"/>
          <w:w w:val="105"/>
        </w:rPr>
        <w:t> </w:t>
      </w:r>
      <w:r>
        <w:rPr>
          <w:color w:val="231F20"/>
          <w:w w:val="105"/>
        </w:rPr>
        <w:t>la</w:t>
      </w:r>
      <w:r>
        <w:rPr>
          <w:color w:val="231F20"/>
          <w:spacing w:val="-9"/>
          <w:w w:val="105"/>
        </w:rPr>
        <w:t> </w:t>
      </w:r>
      <w:r>
        <w:rPr>
          <w:color w:val="231F20"/>
          <w:w w:val="105"/>
        </w:rPr>
        <w:t>imiten</w:t>
      </w:r>
      <w:r>
        <w:rPr>
          <w:color w:val="231F20"/>
          <w:spacing w:val="-9"/>
          <w:w w:val="105"/>
        </w:rPr>
        <w:t> </w:t>
      </w:r>
      <w:r>
        <w:rPr>
          <w:color w:val="231F20"/>
          <w:w w:val="105"/>
        </w:rPr>
        <w:t>y</w:t>
      </w:r>
      <w:r>
        <w:rPr>
          <w:color w:val="231F20"/>
          <w:spacing w:val="-9"/>
          <w:w w:val="105"/>
        </w:rPr>
        <w:t> </w:t>
      </w:r>
      <w:r>
        <w:rPr>
          <w:color w:val="231F20"/>
          <w:w w:val="105"/>
        </w:rPr>
        <w:t>se</w:t>
      </w:r>
      <w:r>
        <w:rPr>
          <w:color w:val="231F20"/>
          <w:spacing w:val="-9"/>
          <w:w w:val="105"/>
        </w:rPr>
        <w:t> </w:t>
      </w:r>
      <w:r>
        <w:rPr>
          <w:color w:val="231F20"/>
          <w:w w:val="105"/>
        </w:rPr>
        <w:t>beneficien</w:t>
      </w:r>
      <w:r>
        <w:rPr>
          <w:color w:val="231F20"/>
          <w:spacing w:val="-9"/>
          <w:w w:val="105"/>
        </w:rPr>
        <w:t> </w:t>
      </w:r>
      <w:r>
        <w:rPr>
          <w:color w:val="231F20"/>
          <w:w w:val="105"/>
        </w:rPr>
        <w:t>de</w:t>
      </w:r>
      <w:r>
        <w:rPr>
          <w:color w:val="231F20"/>
          <w:spacing w:val="-9"/>
          <w:w w:val="105"/>
        </w:rPr>
        <w:t> </w:t>
      </w:r>
      <w:r>
        <w:rPr>
          <w:color w:val="231F20"/>
          <w:w w:val="105"/>
        </w:rPr>
        <w:t>sus</w:t>
      </w:r>
      <w:r>
        <w:rPr>
          <w:color w:val="231F20"/>
          <w:spacing w:val="-9"/>
          <w:w w:val="105"/>
        </w:rPr>
        <w:t> </w:t>
      </w:r>
      <w:r>
        <w:rPr>
          <w:color w:val="231F20"/>
          <w:w w:val="105"/>
        </w:rPr>
        <w:t>conocimientos.</w:t>
      </w:r>
      <w:r>
        <w:rPr>
          <w:color w:val="231F20"/>
          <w:spacing w:val="-15"/>
          <w:w w:val="105"/>
        </w:rPr>
        <w:t> </w:t>
      </w:r>
      <w:r>
        <w:rPr>
          <w:color w:val="231F20"/>
          <w:w w:val="105"/>
        </w:rPr>
        <w:t>Esta</w:t>
      </w:r>
      <w:r>
        <w:rPr>
          <w:color w:val="231F20"/>
          <w:spacing w:val="-9"/>
          <w:w w:val="105"/>
        </w:rPr>
        <w:t> </w:t>
      </w:r>
      <w:r>
        <w:rPr>
          <w:color w:val="231F20"/>
          <w:w w:val="105"/>
        </w:rPr>
        <w:t>difusión, o efecto desbordamiento del conocimiento, da origen a una situación en que los costos de producción de las empresas individuales caen a medida que el conjunto de la industria acumula experiencia. Con más conocimientos, los costos de la industria dependen de la experiencia generalmente medida por la producción acumulada de la industria</w:t>
      </w:r>
      <w:r>
        <w:rPr>
          <w:color w:val="231F20"/>
          <w:spacing w:val="-41"/>
          <w:w w:val="105"/>
        </w:rPr>
        <w:t> </w:t>
      </w:r>
      <w:r>
        <w:rPr>
          <w:color w:val="231F20"/>
          <w:w w:val="105"/>
        </w:rPr>
        <w:t>has- ta la fecha. Cuando los costos disminuyen debido a la producción acu- mulada</w:t>
      </w:r>
      <w:r>
        <w:rPr>
          <w:color w:val="231F20"/>
          <w:spacing w:val="-6"/>
          <w:w w:val="105"/>
        </w:rPr>
        <w:t> </w:t>
      </w:r>
      <w:r>
        <w:rPr>
          <w:color w:val="231F20"/>
          <w:w w:val="105"/>
        </w:rPr>
        <w:t>a</w:t>
      </w:r>
      <w:r>
        <w:rPr>
          <w:color w:val="231F20"/>
          <w:spacing w:val="-6"/>
          <w:w w:val="105"/>
        </w:rPr>
        <w:t> </w:t>
      </w:r>
      <w:r>
        <w:rPr>
          <w:color w:val="231F20"/>
          <w:w w:val="105"/>
        </w:rPr>
        <w:t>lo</w:t>
      </w:r>
      <w:r>
        <w:rPr>
          <w:color w:val="231F20"/>
          <w:spacing w:val="-6"/>
          <w:w w:val="105"/>
        </w:rPr>
        <w:t> </w:t>
      </w:r>
      <w:r>
        <w:rPr>
          <w:color w:val="231F20"/>
          <w:w w:val="105"/>
        </w:rPr>
        <w:t>largo</w:t>
      </w:r>
      <w:r>
        <w:rPr>
          <w:color w:val="231F20"/>
          <w:spacing w:val="-6"/>
          <w:w w:val="105"/>
        </w:rPr>
        <w:t> </w:t>
      </w:r>
      <w:r>
        <w:rPr>
          <w:color w:val="231F20"/>
          <w:w w:val="105"/>
        </w:rPr>
        <w:t>del</w:t>
      </w:r>
      <w:r>
        <w:rPr>
          <w:color w:val="231F20"/>
          <w:spacing w:val="-6"/>
          <w:w w:val="105"/>
        </w:rPr>
        <w:t> </w:t>
      </w:r>
      <w:r>
        <w:rPr>
          <w:color w:val="231F20"/>
          <w:w w:val="105"/>
        </w:rPr>
        <w:t>tiempo</w:t>
      </w:r>
      <w:r>
        <w:rPr>
          <w:color w:val="231F20"/>
          <w:spacing w:val="-6"/>
          <w:w w:val="105"/>
        </w:rPr>
        <w:t> </w:t>
      </w:r>
      <w:r>
        <w:rPr>
          <w:color w:val="231F20"/>
          <w:w w:val="105"/>
        </w:rPr>
        <w:t>más</w:t>
      </w:r>
      <w:r>
        <w:rPr>
          <w:color w:val="231F20"/>
          <w:spacing w:val="-6"/>
          <w:w w:val="105"/>
        </w:rPr>
        <w:t> </w:t>
      </w:r>
      <w:r>
        <w:rPr>
          <w:color w:val="231F20"/>
          <w:w w:val="105"/>
        </w:rPr>
        <w:t>que</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producción</w:t>
      </w:r>
      <w:r>
        <w:rPr>
          <w:color w:val="231F20"/>
          <w:spacing w:val="-6"/>
          <w:w w:val="105"/>
        </w:rPr>
        <w:t> </w:t>
      </w:r>
      <w:r>
        <w:rPr>
          <w:color w:val="231F20"/>
          <w:w w:val="105"/>
        </w:rPr>
        <w:t>actual,</w:t>
      </w:r>
      <w:r>
        <w:rPr>
          <w:color w:val="231F20"/>
          <w:spacing w:val="-12"/>
          <w:w w:val="105"/>
        </w:rPr>
        <w:t> </w:t>
      </w:r>
      <w:r>
        <w:rPr>
          <w:color w:val="231F20"/>
          <w:w w:val="105"/>
        </w:rPr>
        <w:t>se</w:t>
      </w:r>
      <w:r>
        <w:rPr>
          <w:color w:val="231F20"/>
          <w:spacing w:val="-6"/>
          <w:w w:val="105"/>
        </w:rPr>
        <w:t> </w:t>
      </w:r>
      <w:r>
        <w:rPr>
          <w:color w:val="231F20"/>
          <w:w w:val="105"/>
        </w:rPr>
        <w:t>trata de un proceso denominado de rendimientos crecientes dinámicos o de economías</w:t>
      </w:r>
      <w:r>
        <w:rPr>
          <w:color w:val="231F20"/>
          <w:spacing w:val="-31"/>
          <w:w w:val="105"/>
        </w:rPr>
        <w:t> </w:t>
      </w:r>
      <w:r>
        <w:rPr>
          <w:color w:val="231F20"/>
          <w:w w:val="105"/>
        </w:rPr>
        <w:t>de</w:t>
      </w:r>
      <w:r>
        <w:rPr>
          <w:color w:val="231F20"/>
          <w:spacing w:val="-31"/>
          <w:w w:val="105"/>
        </w:rPr>
        <w:t> </w:t>
      </w:r>
      <w:r>
        <w:rPr>
          <w:color w:val="231F20"/>
          <w:w w:val="105"/>
        </w:rPr>
        <w:t>escala</w:t>
      </w:r>
      <w:r>
        <w:rPr>
          <w:color w:val="231F20"/>
          <w:spacing w:val="-31"/>
          <w:w w:val="105"/>
        </w:rPr>
        <w:t> </w:t>
      </w:r>
      <w:r>
        <w:rPr>
          <w:color w:val="231F20"/>
          <w:w w:val="105"/>
        </w:rPr>
        <w:t>dinámicas.</w:t>
      </w:r>
    </w:p>
    <w:p>
      <w:pPr>
        <w:pStyle w:val="BodyText"/>
        <w:spacing w:line="259" w:lineRule="auto"/>
        <w:ind w:left="103" w:right="116" w:firstLine="567"/>
        <w:jc w:val="both"/>
      </w:pPr>
      <w:r>
        <w:rPr>
          <w:color w:val="231F20"/>
          <w:spacing w:val="-6"/>
          <w:w w:val="105"/>
        </w:rPr>
        <w:t>Por</w:t>
      </w:r>
      <w:r>
        <w:rPr>
          <w:color w:val="231F20"/>
          <w:spacing w:val="-23"/>
          <w:w w:val="105"/>
        </w:rPr>
        <w:t> </w:t>
      </w:r>
      <w:r>
        <w:rPr>
          <w:color w:val="231F20"/>
          <w:w w:val="105"/>
        </w:rPr>
        <w:t>el</w:t>
      </w:r>
      <w:r>
        <w:rPr>
          <w:color w:val="231F20"/>
          <w:spacing w:val="-23"/>
          <w:w w:val="105"/>
        </w:rPr>
        <w:t> </w:t>
      </w:r>
      <w:r>
        <w:rPr>
          <w:color w:val="231F20"/>
          <w:w w:val="105"/>
        </w:rPr>
        <w:t>lado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oferta,</w:t>
      </w:r>
      <w:r>
        <w:rPr>
          <w:color w:val="231F20"/>
          <w:spacing w:val="-29"/>
          <w:w w:val="105"/>
        </w:rPr>
        <w:t> </w:t>
      </w:r>
      <w:r>
        <w:rPr>
          <w:color w:val="231F20"/>
          <w:w w:val="105"/>
        </w:rPr>
        <w:t>existe</w:t>
      </w:r>
      <w:r>
        <w:rPr>
          <w:color w:val="231F20"/>
          <w:spacing w:val="-23"/>
          <w:w w:val="105"/>
        </w:rPr>
        <w:t> </w:t>
      </w:r>
      <w:r>
        <w:rPr>
          <w:color w:val="231F20"/>
          <w:w w:val="105"/>
        </w:rPr>
        <w:t>el</w:t>
      </w:r>
      <w:r>
        <w:rPr>
          <w:color w:val="231F20"/>
          <w:spacing w:val="-23"/>
          <w:w w:val="105"/>
        </w:rPr>
        <w:t> </w:t>
      </w:r>
      <w:r>
        <w:rPr>
          <w:color w:val="231F20"/>
          <w:w w:val="105"/>
        </w:rPr>
        <w:t>diferencial</w:t>
      </w:r>
      <w:r>
        <w:rPr>
          <w:color w:val="231F20"/>
          <w:spacing w:val="-23"/>
          <w:w w:val="105"/>
        </w:rPr>
        <w:t> </w:t>
      </w:r>
      <w:r>
        <w:rPr>
          <w:color w:val="231F20"/>
          <w:w w:val="105"/>
        </w:rPr>
        <w:t>en</w:t>
      </w:r>
      <w:r>
        <w:rPr>
          <w:color w:val="231F20"/>
          <w:spacing w:val="-23"/>
          <w:w w:val="105"/>
        </w:rPr>
        <w:t> </w:t>
      </w:r>
      <w:r>
        <w:rPr>
          <w:color w:val="231F20"/>
          <w:w w:val="105"/>
        </w:rPr>
        <w:t>las</w:t>
      </w:r>
      <w:r>
        <w:rPr>
          <w:color w:val="231F20"/>
          <w:spacing w:val="-23"/>
          <w:w w:val="105"/>
        </w:rPr>
        <w:t> </w:t>
      </w:r>
      <w:r>
        <w:rPr>
          <w:color w:val="231F20"/>
          <w:w w:val="105"/>
        </w:rPr>
        <w:t>oportunidades</w:t>
      </w:r>
      <w:r>
        <w:rPr>
          <w:color w:val="231F20"/>
          <w:spacing w:val="-23"/>
          <w:w w:val="105"/>
        </w:rPr>
        <w:t> </w:t>
      </w:r>
      <w:r>
        <w:rPr>
          <w:color w:val="231F20"/>
          <w:w w:val="105"/>
        </w:rPr>
        <w:t>de acceso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tecnología</w:t>
      </w:r>
      <w:r>
        <w:rPr>
          <w:color w:val="231F20"/>
          <w:spacing w:val="-15"/>
          <w:w w:val="105"/>
        </w:rPr>
        <w:t> </w:t>
      </w:r>
      <w:r>
        <w:rPr>
          <w:color w:val="231F20"/>
          <w:w w:val="105"/>
        </w:rPr>
        <w:t>entre</w:t>
      </w:r>
      <w:r>
        <w:rPr>
          <w:color w:val="231F20"/>
          <w:spacing w:val="-15"/>
          <w:w w:val="105"/>
        </w:rPr>
        <w:t> </w:t>
      </w:r>
      <w:r>
        <w:rPr>
          <w:color w:val="231F20"/>
          <w:w w:val="105"/>
        </w:rPr>
        <w:t>actividades,</w:t>
      </w:r>
      <w:r>
        <w:rPr>
          <w:color w:val="231F20"/>
          <w:spacing w:val="-22"/>
          <w:w w:val="105"/>
        </w:rPr>
        <w:t> </w:t>
      </w:r>
      <w:r>
        <w:rPr>
          <w:color w:val="231F20"/>
          <w:w w:val="105"/>
        </w:rPr>
        <w:t>pero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lado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demanda se</w:t>
      </w:r>
      <w:r>
        <w:rPr>
          <w:color w:val="231F20"/>
          <w:spacing w:val="-16"/>
          <w:w w:val="105"/>
        </w:rPr>
        <w:t> </w:t>
      </w:r>
      <w:r>
        <w:rPr>
          <w:color w:val="231F20"/>
          <w:w w:val="105"/>
        </w:rPr>
        <w:t>relaciona</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diferencia</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elasticidades</w:t>
      </w:r>
      <w:r>
        <w:rPr>
          <w:color w:val="231F20"/>
          <w:spacing w:val="-16"/>
          <w:w w:val="105"/>
        </w:rPr>
        <w:t> </w:t>
      </w:r>
      <w:r>
        <w:rPr>
          <w:color w:val="231F20"/>
          <w:w w:val="105"/>
        </w:rPr>
        <w:t>ingreso</w:t>
      </w:r>
      <w:r>
        <w:rPr>
          <w:color w:val="231F20"/>
          <w:spacing w:val="-16"/>
          <w:w w:val="105"/>
        </w:rPr>
        <w:t> </w:t>
      </w:r>
      <w:r>
        <w:rPr>
          <w:color w:val="231F20"/>
          <w:w w:val="105"/>
        </w:rPr>
        <w:t>entre</w:t>
      </w:r>
      <w:r>
        <w:rPr>
          <w:color w:val="231F20"/>
          <w:spacing w:val="-16"/>
          <w:w w:val="105"/>
        </w:rPr>
        <w:t> </w:t>
      </w:r>
      <w:r>
        <w:rPr>
          <w:color w:val="231F20"/>
          <w:w w:val="105"/>
        </w:rPr>
        <w:t>activida- des</w:t>
      </w:r>
      <w:r>
        <w:rPr>
          <w:color w:val="231F20"/>
          <w:spacing w:val="-26"/>
          <w:w w:val="105"/>
        </w:rPr>
        <w:t> </w:t>
      </w:r>
      <w:r>
        <w:rPr>
          <w:color w:val="231F20"/>
          <w:w w:val="105"/>
        </w:rPr>
        <w:t>(Dalum</w:t>
      </w:r>
      <w:r>
        <w:rPr>
          <w:color w:val="231F20"/>
          <w:spacing w:val="-26"/>
          <w:w w:val="105"/>
        </w:rPr>
        <w:t> </w:t>
      </w:r>
      <w:r>
        <w:rPr>
          <w:i/>
          <w:color w:val="231F20"/>
          <w:w w:val="105"/>
        </w:rPr>
        <w:t>et</w:t>
      </w:r>
      <w:r>
        <w:rPr>
          <w:i/>
          <w:color w:val="231F20"/>
          <w:spacing w:val="-26"/>
          <w:w w:val="105"/>
        </w:rPr>
        <w:t> </w:t>
      </w:r>
      <w:r>
        <w:rPr>
          <w:i/>
          <w:color w:val="231F20"/>
          <w:w w:val="105"/>
        </w:rPr>
        <w:t>al.,</w:t>
      </w:r>
      <w:r>
        <w:rPr>
          <w:i/>
          <w:color w:val="231F20"/>
          <w:spacing w:val="-26"/>
          <w:w w:val="105"/>
        </w:rPr>
        <w:t> </w:t>
      </w:r>
      <w:r>
        <w:rPr>
          <w:color w:val="231F20"/>
          <w:w w:val="105"/>
        </w:rPr>
        <w:t>1999).</w:t>
      </w:r>
    </w:p>
    <w:p>
      <w:pPr>
        <w:pStyle w:val="BodyText"/>
        <w:rPr>
          <w:sz w:val="20"/>
        </w:rPr>
      </w:pPr>
    </w:p>
    <w:p>
      <w:pPr>
        <w:pStyle w:val="BodyText"/>
        <w:spacing w:before="7"/>
        <w:rPr>
          <w:sz w:val="18"/>
        </w:rPr>
      </w:pPr>
    </w:p>
    <w:p>
      <w:pPr>
        <w:pStyle w:val="Heading2"/>
        <w:ind w:left="103"/>
      </w:pPr>
      <w:r>
        <w:rPr>
          <w:color w:val="231F20"/>
        </w:rPr>
        <w:t>Teorías de crecimiento. Enfoque de la demanda</w:t>
      </w:r>
    </w:p>
    <w:p>
      <w:pPr>
        <w:pStyle w:val="BodyText"/>
        <w:rPr>
          <w:b/>
          <w:sz w:val="22"/>
        </w:rPr>
      </w:pPr>
    </w:p>
    <w:p>
      <w:pPr>
        <w:pStyle w:val="BodyText"/>
        <w:spacing w:line="259" w:lineRule="auto" w:before="160"/>
        <w:ind w:left="103" w:right="115"/>
        <w:jc w:val="both"/>
      </w:pPr>
      <w:r>
        <w:rPr>
          <w:color w:val="231F20"/>
          <w:w w:val="105"/>
        </w:rPr>
        <w:t>En los modelos keynesianos el comercio exterior afecta el crecimiento por el aumento de la demanda, lo que implica que la especialización influye positivamente en el crecimiento cuando su producción se da en bienes</w:t>
      </w:r>
      <w:r>
        <w:rPr>
          <w:color w:val="231F20"/>
          <w:spacing w:val="-7"/>
          <w:w w:val="105"/>
        </w:rPr>
        <w:t> </w:t>
      </w:r>
      <w:r>
        <w:rPr>
          <w:color w:val="231F20"/>
          <w:w w:val="105"/>
        </w:rPr>
        <w:t>con</w:t>
      </w:r>
      <w:r>
        <w:rPr>
          <w:color w:val="231F20"/>
          <w:spacing w:val="-7"/>
          <w:w w:val="105"/>
        </w:rPr>
        <w:t> </w:t>
      </w:r>
      <w:r>
        <w:rPr>
          <w:color w:val="231F20"/>
          <w:w w:val="105"/>
        </w:rPr>
        <w:t>altas</w:t>
      </w:r>
      <w:r>
        <w:rPr>
          <w:color w:val="231F20"/>
          <w:spacing w:val="-7"/>
          <w:w w:val="105"/>
        </w:rPr>
        <w:t> </w:t>
      </w:r>
      <w:r>
        <w:rPr>
          <w:color w:val="231F20"/>
          <w:w w:val="105"/>
        </w:rPr>
        <w:t>elasticidades</w:t>
      </w:r>
      <w:r>
        <w:rPr>
          <w:color w:val="231F20"/>
          <w:spacing w:val="-7"/>
          <w:w w:val="105"/>
        </w:rPr>
        <w:t> </w:t>
      </w:r>
      <w:r>
        <w:rPr>
          <w:color w:val="231F20"/>
          <w:w w:val="105"/>
        </w:rPr>
        <w:t>ingreso</w:t>
      </w:r>
      <w:r>
        <w:rPr>
          <w:color w:val="231F20"/>
          <w:w w:val="105"/>
          <w:position w:val="7"/>
          <w:sz w:val="12"/>
        </w:rPr>
        <w:t>7</w:t>
      </w:r>
      <w:r>
        <w:rPr>
          <w:color w:val="231F20"/>
          <w:w w:val="105"/>
        </w:rPr>
        <w:t>,</w:t>
      </w:r>
      <w:r>
        <w:rPr>
          <w:color w:val="231F20"/>
          <w:spacing w:val="-13"/>
          <w:w w:val="105"/>
        </w:rPr>
        <w:t> </w:t>
      </w:r>
      <w:r>
        <w:rPr>
          <w:color w:val="231F20"/>
          <w:w w:val="105"/>
        </w:rPr>
        <w:t>aumentando</w:t>
      </w:r>
      <w:r>
        <w:rPr>
          <w:color w:val="231F20"/>
          <w:spacing w:val="-7"/>
          <w:w w:val="105"/>
        </w:rPr>
        <w:t> </w:t>
      </w:r>
      <w:r>
        <w:rPr>
          <w:color w:val="231F20"/>
          <w:w w:val="105"/>
        </w:rPr>
        <w:t>así</w:t>
      </w:r>
      <w:r>
        <w:rPr>
          <w:color w:val="231F20"/>
          <w:spacing w:val="-7"/>
          <w:w w:val="105"/>
        </w:rPr>
        <w:t> </w:t>
      </w:r>
      <w:r>
        <w:rPr>
          <w:color w:val="231F20"/>
          <w:w w:val="105"/>
        </w:rPr>
        <w:t>el</w:t>
      </w:r>
      <w:r>
        <w:rPr>
          <w:color w:val="231F20"/>
          <w:spacing w:val="-7"/>
          <w:w w:val="105"/>
        </w:rPr>
        <w:t> </w:t>
      </w:r>
      <w:r>
        <w:rPr>
          <w:color w:val="231F20"/>
          <w:w w:val="105"/>
        </w:rPr>
        <w:t>comercio</w:t>
      </w:r>
      <w:r>
        <w:rPr>
          <w:color w:val="231F20"/>
          <w:spacing w:val="-7"/>
          <w:w w:val="105"/>
        </w:rPr>
        <w:t> </w:t>
      </w:r>
      <w:r>
        <w:rPr>
          <w:color w:val="231F20"/>
          <w:w w:val="105"/>
        </w:rPr>
        <w:t>de estos</w:t>
      </w:r>
      <w:r>
        <w:rPr>
          <w:color w:val="231F20"/>
          <w:spacing w:val="-22"/>
          <w:w w:val="105"/>
        </w:rPr>
        <w:t> </w:t>
      </w:r>
      <w:r>
        <w:rPr>
          <w:color w:val="231F20"/>
          <w:w w:val="105"/>
        </w:rPr>
        <w:t>bienes</w:t>
      </w:r>
      <w:r>
        <w:rPr>
          <w:color w:val="231F20"/>
          <w:spacing w:val="-22"/>
          <w:w w:val="105"/>
        </w:rPr>
        <w:t> </w:t>
      </w:r>
      <w:r>
        <w:rPr>
          <w:color w:val="231F20"/>
          <w:w w:val="105"/>
        </w:rPr>
        <w:t>y</w:t>
      </w:r>
      <w:r>
        <w:rPr>
          <w:color w:val="231F20"/>
          <w:spacing w:val="-22"/>
          <w:w w:val="105"/>
        </w:rPr>
        <w:t> </w:t>
      </w:r>
      <w:r>
        <w:rPr>
          <w:color w:val="231F20"/>
          <w:w w:val="105"/>
        </w:rPr>
        <w:t>con</w:t>
      </w:r>
      <w:r>
        <w:rPr>
          <w:color w:val="231F20"/>
          <w:spacing w:val="-22"/>
          <w:w w:val="105"/>
        </w:rPr>
        <w:t> </w:t>
      </w:r>
      <w:r>
        <w:rPr>
          <w:color w:val="231F20"/>
          <w:w w:val="105"/>
        </w:rPr>
        <w:t>ello</w:t>
      </w:r>
      <w:r>
        <w:rPr>
          <w:color w:val="231F20"/>
          <w:spacing w:val="-22"/>
          <w:w w:val="105"/>
        </w:rPr>
        <w:t> </w:t>
      </w:r>
      <w:r>
        <w:rPr>
          <w:color w:val="231F20"/>
          <w:w w:val="105"/>
        </w:rPr>
        <w:t>la</w:t>
      </w:r>
      <w:r>
        <w:rPr>
          <w:color w:val="231F20"/>
          <w:spacing w:val="-22"/>
          <w:w w:val="105"/>
        </w:rPr>
        <w:t> </w:t>
      </w:r>
      <w:r>
        <w:rPr>
          <w:color w:val="231F20"/>
          <w:w w:val="105"/>
        </w:rPr>
        <w:t>demanda</w:t>
      </w:r>
      <w:r>
        <w:rPr>
          <w:color w:val="231F20"/>
          <w:spacing w:val="-22"/>
          <w:w w:val="105"/>
        </w:rPr>
        <w:t> </w:t>
      </w:r>
      <w:r>
        <w:rPr>
          <w:color w:val="231F20"/>
          <w:w w:val="105"/>
        </w:rPr>
        <w:t>externa</w:t>
      </w:r>
      <w:r>
        <w:rPr>
          <w:color w:val="231F20"/>
          <w:spacing w:val="-22"/>
          <w:w w:val="105"/>
        </w:rPr>
        <w:t> </w:t>
      </w:r>
      <w:r>
        <w:rPr>
          <w:color w:val="231F20"/>
          <w:w w:val="105"/>
        </w:rPr>
        <w:t>(Thirlwall,</w:t>
      </w:r>
      <w:r>
        <w:rPr>
          <w:color w:val="231F20"/>
          <w:spacing w:val="-27"/>
          <w:w w:val="105"/>
        </w:rPr>
        <w:t> </w:t>
      </w:r>
      <w:r>
        <w:rPr>
          <w:color w:val="231F20"/>
          <w:w w:val="105"/>
        </w:rPr>
        <w:t>1979).</w:t>
      </w:r>
    </w:p>
    <w:p>
      <w:pPr>
        <w:pStyle w:val="BodyText"/>
        <w:spacing w:line="259" w:lineRule="auto"/>
        <w:ind w:left="103" w:right="114" w:firstLine="567"/>
        <w:jc w:val="both"/>
      </w:pPr>
      <w:r>
        <w:rPr>
          <w:color w:val="231F20"/>
          <w:w w:val="105"/>
        </w:rPr>
        <w:t>Es</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demanda</w:t>
      </w:r>
      <w:r>
        <w:rPr>
          <w:color w:val="231F20"/>
          <w:spacing w:val="-18"/>
          <w:w w:val="105"/>
        </w:rPr>
        <w:t> </w:t>
      </w:r>
      <w:r>
        <w:rPr>
          <w:color w:val="231F20"/>
          <w:w w:val="105"/>
        </w:rPr>
        <w:t>externa</w:t>
      </w:r>
      <w:r>
        <w:rPr>
          <w:color w:val="231F20"/>
          <w:spacing w:val="-18"/>
          <w:w w:val="105"/>
        </w:rPr>
        <w:t> </w:t>
      </w:r>
      <w:r>
        <w:rPr>
          <w:color w:val="231F20"/>
          <w:w w:val="105"/>
        </w:rPr>
        <w:t>constituye</w:t>
      </w:r>
      <w:r>
        <w:rPr>
          <w:color w:val="231F20"/>
          <w:spacing w:val="-18"/>
          <w:w w:val="105"/>
        </w:rPr>
        <w:t> </w:t>
      </w:r>
      <w:r>
        <w:rPr>
          <w:color w:val="231F20"/>
          <w:w w:val="105"/>
        </w:rPr>
        <w:t>la</w:t>
      </w:r>
      <w:r>
        <w:rPr>
          <w:color w:val="231F20"/>
          <w:spacing w:val="-18"/>
          <w:w w:val="105"/>
        </w:rPr>
        <w:t> </w:t>
      </w:r>
      <w:r>
        <w:rPr>
          <w:color w:val="231F20"/>
          <w:w w:val="105"/>
        </w:rPr>
        <w:t>fuerza</w:t>
      </w:r>
      <w:r>
        <w:rPr>
          <w:color w:val="231F20"/>
          <w:spacing w:val="-18"/>
          <w:w w:val="105"/>
        </w:rPr>
        <w:t> </w:t>
      </w:r>
      <w:r>
        <w:rPr>
          <w:color w:val="231F20"/>
          <w:w w:val="105"/>
        </w:rPr>
        <w:t>que</w:t>
      </w:r>
      <w:r>
        <w:rPr>
          <w:color w:val="231F20"/>
          <w:spacing w:val="-18"/>
          <w:w w:val="105"/>
        </w:rPr>
        <w:t> </w:t>
      </w:r>
      <w:r>
        <w:rPr>
          <w:color w:val="231F20"/>
          <w:w w:val="105"/>
        </w:rPr>
        <w:t>expande la</w:t>
      </w:r>
      <w:r>
        <w:rPr>
          <w:color w:val="231F20"/>
          <w:spacing w:val="-14"/>
          <w:w w:val="105"/>
        </w:rPr>
        <w:t> </w:t>
      </w:r>
      <w:r>
        <w:rPr>
          <w:color w:val="231F20"/>
          <w:w w:val="105"/>
        </w:rPr>
        <w:t>dinámica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economía</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exportaciones,</w:t>
      </w:r>
      <w:r>
        <w:rPr>
          <w:color w:val="231F20"/>
          <w:spacing w:val="-21"/>
          <w:w w:val="105"/>
        </w:rPr>
        <w:t> </w:t>
      </w:r>
      <w:r>
        <w:rPr>
          <w:color w:val="231F20"/>
          <w:w w:val="105"/>
        </w:rPr>
        <w:t>permitiéndole ingresar en una dinámica circular acumulativa. Como Kaldor (1970)</w:t>
      </w:r>
      <w:r>
        <w:rPr>
          <w:color w:val="231F20"/>
          <w:spacing w:val="-11"/>
          <w:w w:val="105"/>
        </w:rPr>
        <w:t> </w:t>
      </w:r>
      <w:r>
        <w:rPr>
          <w:color w:val="231F20"/>
          <w:w w:val="105"/>
        </w:rPr>
        <w:t>ar- gumenta, las diferencias en el crecimiento económico regional pueden darse por los rendimientos crecientes a escala</w:t>
      </w:r>
      <w:r>
        <w:rPr>
          <w:color w:val="231F20"/>
          <w:w w:val="105"/>
          <w:position w:val="7"/>
          <w:sz w:val="12"/>
        </w:rPr>
        <w:t>8</w:t>
      </w:r>
      <w:r>
        <w:rPr>
          <w:color w:val="231F20"/>
          <w:w w:val="105"/>
        </w:rPr>
        <w:t>, resultado del proceso de industrialización, la cual se explica en parte por la expansión de la demanda.</w:t>
      </w:r>
      <w:r>
        <w:rPr>
          <w:color w:val="231F20"/>
          <w:spacing w:val="-18"/>
          <w:w w:val="105"/>
        </w:rPr>
        <w:t> </w:t>
      </w:r>
      <w:r>
        <w:rPr>
          <w:color w:val="231F20"/>
          <w:w w:val="105"/>
        </w:rPr>
        <w:t>En</w:t>
      </w:r>
      <w:r>
        <w:rPr>
          <w:color w:val="231F20"/>
          <w:spacing w:val="-13"/>
          <w:w w:val="105"/>
        </w:rPr>
        <w:t> </w:t>
      </w:r>
      <w:r>
        <w:rPr>
          <w:color w:val="231F20"/>
          <w:w w:val="105"/>
        </w:rPr>
        <w:t>ese</w:t>
      </w:r>
      <w:r>
        <w:rPr>
          <w:color w:val="231F20"/>
          <w:spacing w:val="-13"/>
          <w:w w:val="105"/>
        </w:rPr>
        <w:t> </w:t>
      </w:r>
      <w:r>
        <w:rPr>
          <w:color w:val="231F20"/>
          <w:w w:val="105"/>
        </w:rPr>
        <w:t>sentido,</w:t>
      </w:r>
      <w:r>
        <w:rPr>
          <w:color w:val="231F20"/>
          <w:spacing w:val="-18"/>
          <w:w w:val="105"/>
        </w:rPr>
        <w:t> </w:t>
      </w:r>
      <w:r>
        <w:rPr>
          <w:color w:val="231F20"/>
          <w:w w:val="105"/>
        </w:rPr>
        <w:t>la</w:t>
      </w:r>
      <w:r>
        <w:rPr>
          <w:color w:val="231F20"/>
          <w:spacing w:val="-13"/>
          <w:w w:val="105"/>
        </w:rPr>
        <w:t> </w:t>
      </w:r>
      <w:r>
        <w:rPr>
          <w:color w:val="231F20"/>
          <w:w w:val="105"/>
        </w:rPr>
        <w:t>especialización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producción</w:t>
      </w:r>
      <w:r>
        <w:rPr>
          <w:color w:val="231F20"/>
          <w:spacing w:val="-13"/>
          <w:w w:val="105"/>
        </w:rPr>
        <w:t> </w:t>
      </w:r>
      <w:r>
        <w:rPr>
          <w:color w:val="231F20"/>
          <w:w w:val="105"/>
        </w:rPr>
        <w:t>en</w:t>
      </w:r>
      <w:r>
        <w:rPr>
          <w:color w:val="231F20"/>
          <w:spacing w:val="-13"/>
          <w:w w:val="105"/>
        </w:rPr>
        <w:t> </w:t>
      </w:r>
      <w:r>
        <w:rPr>
          <w:color w:val="231F20"/>
          <w:w w:val="105"/>
        </w:rPr>
        <w:t>bienes finales con alto contenido tecnológico induce a desarrollar </w:t>
      </w:r>
      <w:r>
        <w:rPr>
          <w:color w:val="231F20"/>
          <w:spacing w:val="47"/>
          <w:w w:val="105"/>
        </w:rPr>
        <w:t> </w:t>
      </w:r>
      <w:r>
        <w:rPr>
          <w:color w:val="231F20"/>
          <w:w w:val="105"/>
        </w:rPr>
        <w:t>economías</w:t>
      </w:r>
    </w:p>
    <w:p>
      <w:pPr>
        <w:pStyle w:val="BodyText"/>
        <w:spacing w:before="9"/>
        <w:rPr>
          <w:sz w:val="14"/>
        </w:rPr>
      </w:pPr>
      <w:r>
        <w:rPr/>
        <w:pict>
          <v:line style="position:absolute;mso-position-horizontal-relative:page;mso-position-vertical-relative:paragraph;z-index:9016;mso-wrap-distance-left:0;mso-wrap-distance-right:0" from="65.196899pt,10.575657pt" to="178.582899pt,10.575657pt" stroked="true" strokeweight=".25pt" strokecolor="#231f20">
            <w10:wrap type="topAndBottom"/>
          </v:line>
        </w:pict>
      </w:r>
    </w:p>
    <w:p>
      <w:pPr>
        <w:spacing w:line="192" w:lineRule="exact" w:before="7"/>
        <w:ind w:left="103" w:right="114" w:firstLine="0"/>
        <w:jc w:val="both"/>
        <w:rPr>
          <w:rFonts w:ascii="Calibri" w:hAnsi="Calibri"/>
          <w:sz w:val="16"/>
        </w:rPr>
      </w:pPr>
      <w:r>
        <w:rPr>
          <w:rFonts w:ascii="Calibri" w:hAnsi="Calibri"/>
          <w:color w:val="414042"/>
          <w:w w:val="105"/>
          <w:position w:val="5"/>
          <w:sz w:val="9"/>
        </w:rPr>
        <w:t>7 </w:t>
      </w:r>
      <w:r>
        <w:rPr>
          <w:rFonts w:ascii="Calibri" w:hAnsi="Calibri"/>
          <w:color w:val="414042"/>
          <w:w w:val="105"/>
          <w:sz w:val="16"/>
        </w:rPr>
        <w:t>De acuerdo con el estudio de Ocegueda </w:t>
      </w:r>
      <w:r>
        <w:rPr>
          <w:rFonts w:ascii="Calibri" w:hAnsi="Calibri"/>
          <w:i/>
          <w:color w:val="414042"/>
          <w:w w:val="105"/>
          <w:sz w:val="16"/>
        </w:rPr>
        <w:t>et al</w:t>
      </w:r>
      <w:r>
        <w:rPr>
          <w:rFonts w:ascii="Calibri" w:hAnsi="Calibri"/>
          <w:color w:val="414042"/>
          <w:w w:val="105"/>
          <w:sz w:val="16"/>
        </w:rPr>
        <w:t>. (2009) los bienes con altas elasticidades ingreso co- rresponden a bienes que son difusores de conocimiento o de alta tecnología que a su vez se asocian</w:t>
      </w:r>
      <w:r>
        <w:rPr>
          <w:rFonts w:ascii="Calibri" w:hAnsi="Calibri"/>
          <w:color w:val="414042"/>
          <w:spacing w:val="-24"/>
          <w:w w:val="105"/>
          <w:sz w:val="16"/>
        </w:rPr>
        <w:t> </w:t>
      </w:r>
      <w:r>
        <w:rPr>
          <w:rFonts w:ascii="Calibri" w:hAnsi="Calibri"/>
          <w:color w:val="414042"/>
          <w:w w:val="105"/>
          <w:sz w:val="16"/>
        </w:rPr>
        <w:t>a industrias</w:t>
      </w:r>
      <w:r>
        <w:rPr>
          <w:rFonts w:ascii="Calibri" w:hAnsi="Calibri"/>
          <w:color w:val="414042"/>
          <w:spacing w:val="-16"/>
          <w:w w:val="105"/>
          <w:sz w:val="16"/>
        </w:rPr>
        <w:t> </w:t>
      </w:r>
      <w:r>
        <w:rPr>
          <w:rFonts w:ascii="Calibri" w:hAnsi="Calibri"/>
          <w:color w:val="414042"/>
          <w:w w:val="105"/>
          <w:sz w:val="16"/>
        </w:rPr>
        <w:t>intensivas</w:t>
      </w:r>
      <w:r>
        <w:rPr>
          <w:rFonts w:ascii="Calibri" w:hAnsi="Calibri"/>
          <w:color w:val="414042"/>
          <w:spacing w:val="-16"/>
          <w:w w:val="105"/>
          <w:sz w:val="16"/>
        </w:rPr>
        <w:t> </w:t>
      </w:r>
      <w:r>
        <w:rPr>
          <w:rFonts w:ascii="Calibri" w:hAnsi="Calibri"/>
          <w:color w:val="414042"/>
          <w:w w:val="105"/>
          <w:sz w:val="16"/>
        </w:rPr>
        <w:t>en</w:t>
      </w:r>
      <w:r>
        <w:rPr>
          <w:rFonts w:ascii="Calibri" w:hAnsi="Calibri"/>
          <w:color w:val="414042"/>
          <w:spacing w:val="-16"/>
          <w:w w:val="105"/>
          <w:sz w:val="16"/>
        </w:rPr>
        <w:t> </w:t>
      </w:r>
      <w:r>
        <w:rPr>
          <w:rFonts w:ascii="Calibri" w:hAnsi="Calibri"/>
          <w:color w:val="414042"/>
          <w:w w:val="105"/>
          <w:sz w:val="16"/>
        </w:rPr>
        <w:t>capital</w:t>
      </w:r>
      <w:r>
        <w:rPr>
          <w:rFonts w:ascii="Calibri" w:hAnsi="Calibri"/>
          <w:color w:val="414042"/>
          <w:spacing w:val="-15"/>
          <w:w w:val="105"/>
          <w:sz w:val="16"/>
        </w:rPr>
        <w:t> </w:t>
      </w:r>
      <w:r>
        <w:rPr>
          <w:rFonts w:ascii="Calibri" w:hAnsi="Calibri"/>
          <w:color w:val="414042"/>
          <w:w w:val="105"/>
          <w:sz w:val="16"/>
        </w:rPr>
        <w:t>humano</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6"/>
          <w:w w:val="105"/>
          <w:sz w:val="16"/>
        </w:rPr>
        <w:t> </w:t>
      </w:r>
      <w:r>
        <w:rPr>
          <w:rFonts w:ascii="Calibri" w:hAnsi="Calibri"/>
          <w:color w:val="414042"/>
          <w:w w:val="105"/>
          <w:sz w:val="16"/>
        </w:rPr>
        <w:t>con</w:t>
      </w:r>
      <w:r>
        <w:rPr>
          <w:rFonts w:ascii="Calibri" w:hAnsi="Calibri"/>
          <w:color w:val="414042"/>
          <w:spacing w:val="-15"/>
          <w:w w:val="105"/>
          <w:sz w:val="16"/>
        </w:rPr>
        <w:t> </w:t>
      </w:r>
      <w:r>
        <w:rPr>
          <w:rFonts w:ascii="Calibri" w:hAnsi="Calibri"/>
          <w:color w:val="414042"/>
          <w:w w:val="105"/>
          <w:sz w:val="16"/>
        </w:rPr>
        <w:t>altas</w:t>
      </w:r>
      <w:r>
        <w:rPr>
          <w:rFonts w:ascii="Calibri" w:hAnsi="Calibri"/>
          <w:color w:val="414042"/>
          <w:spacing w:val="-16"/>
          <w:w w:val="105"/>
          <w:sz w:val="16"/>
        </w:rPr>
        <w:t> </w:t>
      </w:r>
      <w:r>
        <w:rPr>
          <w:rFonts w:ascii="Calibri" w:hAnsi="Calibri"/>
          <w:color w:val="414042"/>
          <w:w w:val="105"/>
          <w:sz w:val="16"/>
        </w:rPr>
        <w:t>tasas</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5"/>
          <w:w w:val="105"/>
          <w:sz w:val="16"/>
        </w:rPr>
        <w:t> </w:t>
      </w:r>
      <w:r>
        <w:rPr>
          <w:rFonts w:ascii="Calibri" w:hAnsi="Calibri"/>
          <w:color w:val="414042"/>
          <w:w w:val="105"/>
          <w:sz w:val="16"/>
        </w:rPr>
        <w:t>progreso</w:t>
      </w:r>
      <w:r>
        <w:rPr>
          <w:rFonts w:ascii="Calibri" w:hAnsi="Calibri"/>
          <w:color w:val="414042"/>
          <w:spacing w:val="-15"/>
          <w:w w:val="105"/>
          <w:sz w:val="16"/>
        </w:rPr>
        <w:t> </w:t>
      </w:r>
      <w:r>
        <w:rPr>
          <w:rFonts w:ascii="Calibri" w:hAnsi="Calibri"/>
          <w:color w:val="414042"/>
          <w:w w:val="105"/>
          <w:sz w:val="16"/>
        </w:rPr>
        <w:t>técnico.</w:t>
      </w:r>
      <w:r>
        <w:rPr>
          <w:rFonts w:ascii="Calibri" w:hAnsi="Calibri"/>
          <w:color w:val="414042"/>
          <w:spacing w:val="-15"/>
          <w:w w:val="105"/>
          <w:sz w:val="16"/>
        </w:rPr>
        <w:t> </w:t>
      </w:r>
      <w:r>
        <w:rPr>
          <w:rFonts w:ascii="Calibri" w:hAnsi="Calibri"/>
          <w:color w:val="414042"/>
          <w:w w:val="105"/>
          <w:sz w:val="16"/>
        </w:rPr>
        <w:t>En</w:t>
      </w:r>
      <w:r>
        <w:rPr>
          <w:rFonts w:ascii="Calibri" w:hAnsi="Calibri"/>
          <w:color w:val="414042"/>
          <w:spacing w:val="-16"/>
          <w:w w:val="105"/>
          <w:sz w:val="16"/>
        </w:rPr>
        <w:t> </w:t>
      </w:r>
      <w:r>
        <w:rPr>
          <w:rFonts w:ascii="Calibri" w:hAnsi="Calibri"/>
          <w:color w:val="414042"/>
          <w:w w:val="105"/>
          <w:sz w:val="16"/>
        </w:rPr>
        <w:t>este</w:t>
      </w:r>
      <w:r>
        <w:rPr>
          <w:rFonts w:ascii="Calibri" w:hAnsi="Calibri"/>
          <w:color w:val="414042"/>
          <w:spacing w:val="-15"/>
          <w:w w:val="105"/>
          <w:sz w:val="16"/>
        </w:rPr>
        <w:t> </w:t>
      </w:r>
      <w:r>
        <w:rPr>
          <w:rFonts w:ascii="Calibri" w:hAnsi="Calibri"/>
          <w:color w:val="414042"/>
          <w:w w:val="105"/>
          <w:sz w:val="16"/>
        </w:rPr>
        <w:t>sentido,</w:t>
      </w:r>
      <w:r>
        <w:rPr>
          <w:rFonts w:ascii="Calibri" w:hAnsi="Calibri"/>
          <w:color w:val="414042"/>
          <w:spacing w:val="-16"/>
          <w:w w:val="105"/>
          <w:sz w:val="16"/>
        </w:rPr>
        <w:t> </w:t>
      </w:r>
      <w:r>
        <w:rPr>
          <w:rFonts w:ascii="Calibri" w:hAnsi="Calibri"/>
          <w:color w:val="414042"/>
          <w:w w:val="105"/>
          <w:sz w:val="16"/>
        </w:rPr>
        <w:t>en</w:t>
      </w:r>
      <w:r>
        <w:rPr>
          <w:rFonts w:ascii="Calibri" w:hAnsi="Calibri"/>
          <w:color w:val="414042"/>
          <w:spacing w:val="-16"/>
          <w:w w:val="105"/>
          <w:sz w:val="16"/>
        </w:rPr>
        <w:t> </w:t>
      </w:r>
      <w:r>
        <w:rPr>
          <w:rFonts w:ascii="Calibri" w:hAnsi="Calibri"/>
          <w:color w:val="414042"/>
          <w:w w:val="105"/>
          <w:sz w:val="16"/>
        </w:rPr>
        <w:t>México los productos manufactureros tuvieron durante el año 2000-2006 una elasticidad ingreso de 2.4; los productos</w:t>
      </w:r>
      <w:r>
        <w:rPr>
          <w:rFonts w:ascii="Calibri" w:hAnsi="Calibri"/>
          <w:color w:val="414042"/>
          <w:spacing w:val="-10"/>
          <w:w w:val="105"/>
          <w:sz w:val="16"/>
        </w:rPr>
        <w:t> </w:t>
      </w:r>
      <w:r>
        <w:rPr>
          <w:rFonts w:ascii="Calibri" w:hAnsi="Calibri"/>
          <w:color w:val="414042"/>
          <w:w w:val="105"/>
          <w:sz w:val="16"/>
        </w:rPr>
        <w:t>farmacéuticos</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spacing w:val="-3"/>
          <w:w w:val="105"/>
          <w:sz w:val="16"/>
        </w:rPr>
        <w:t>4.7,</w:t>
      </w:r>
      <w:r>
        <w:rPr>
          <w:rFonts w:ascii="Calibri" w:hAnsi="Calibri"/>
          <w:color w:val="414042"/>
          <w:spacing w:val="-10"/>
          <w:w w:val="105"/>
          <w:sz w:val="16"/>
        </w:rPr>
        <w:t> </w:t>
      </w:r>
      <w:r>
        <w:rPr>
          <w:rFonts w:ascii="Calibri" w:hAnsi="Calibri"/>
          <w:color w:val="414042"/>
          <w:w w:val="105"/>
          <w:sz w:val="16"/>
        </w:rPr>
        <w:t>instrumentos</w:t>
      </w:r>
      <w:r>
        <w:rPr>
          <w:rFonts w:ascii="Calibri" w:hAnsi="Calibri"/>
          <w:color w:val="414042"/>
          <w:spacing w:val="-10"/>
          <w:w w:val="105"/>
          <w:sz w:val="16"/>
        </w:rPr>
        <w:t> </w:t>
      </w:r>
      <w:r>
        <w:rPr>
          <w:rFonts w:ascii="Calibri" w:hAnsi="Calibri"/>
          <w:color w:val="414042"/>
          <w:w w:val="105"/>
          <w:sz w:val="16"/>
        </w:rPr>
        <w:t>científicos</w:t>
      </w:r>
      <w:r>
        <w:rPr>
          <w:rFonts w:ascii="Calibri" w:hAnsi="Calibri"/>
          <w:color w:val="414042"/>
          <w:spacing w:val="-12"/>
          <w:w w:val="105"/>
          <w:sz w:val="16"/>
        </w:rPr>
        <w:t> </w:t>
      </w:r>
      <w:r>
        <w:rPr>
          <w:rFonts w:ascii="Calibri" w:hAnsi="Calibri"/>
          <w:color w:val="414042"/>
          <w:w w:val="105"/>
          <w:sz w:val="16"/>
        </w:rPr>
        <w:t>y</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precisión</w:t>
      </w:r>
      <w:r>
        <w:rPr>
          <w:rFonts w:ascii="Calibri" w:hAnsi="Calibri"/>
          <w:color w:val="414042"/>
          <w:spacing w:val="-10"/>
          <w:w w:val="105"/>
          <w:sz w:val="16"/>
        </w:rPr>
        <w:t> </w:t>
      </w:r>
      <w:r>
        <w:rPr>
          <w:rFonts w:ascii="Calibri" w:hAnsi="Calibri"/>
          <w:color w:val="414042"/>
          <w:w w:val="105"/>
          <w:sz w:val="16"/>
        </w:rPr>
        <w:t>de</w:t>
      </w:r>
      <w:r>
        <w:rPr>
          <w:rFonts w:ascii="Calibri" w:hAnsi="Calibri"/>
          <w:color w:val="414042"/>
          <w:spacing w:val="-10"/>
          <w:w w:val="105"/>
          <w:sz w:val="16"/>
        </w:rPr>
        <w:t> </w:t>
      </w:r>
      <w:r>
        <w:rPr>
          <w:rFonts w:ascii="Calibri" w:hAnsi="Calibri"/>
          <w:color w:val="414042"/>
          <w:w w:val="105"/>
          <w:sz w:val="16"/>
        </w:rPr>
        <w:t>3.3,</w:t>
      </w:r>
      <w:r>
        <w:rPr>
          <w:rFonts w:ascii="Calibri" w:hAnsi="Calibri"/>
          <w:color w:val="414042"/>
          <w:spacing w:val="-10"/>
          <w:w w:val="105"/>
          <w:sz w:val="16"/>
        </w:rPr>
        <w:t> </w:t>
      </w:r>
      <w:r>
        <w:rPr>
          <w:rFonts w:ascii="Calibri" w:hAnsi="Calibri"/>
          <w:color w:val="414042"/>
          <w:w w:val="105"/>
          <w:sz w:val="16"/>
        </w:rPr>
        <w:t>productos</w:t>
      </w:r>
      <w:r>
        <w:rPr>
          <w:rFonts w:ascii="Calibri" w:hAnsi="Calibri"/>
          <w:color w:val="414042"/>
          <w:spacing w:val="-10"/>
          <w:w w:val="105"/>
          <w:sz w:val="16"/>
        </w:rPr>
        <w:t> </w:t>
      </w:r>
      <w:r>
        <w:rPr>
          <w:rFonts w:ascii="Calibri" w:hAnsi="Calibri"/>
          <w:color w:val="414042"/>
          <w:w w:val="105"/>
          <w:sz w:val="16"/>
        </w:rPr>
        <w:t>automotrices de</w:t>
      </w:r>
      <w:r>
        <w:rPr>
          <w:rFonts w:ascii="Calibri" w:hAnsi="Calibri"/>
          <w:color w:val="414042"/>
          <w:spacing w:val="-21"/>
          <w:w w:val="105"/>
          <w:sz w:val="16"/>
        </w:rPr>
        <w:t> </w:t>
      </w:r>
      <w:r>
        <w:rPr>
          <w:rFonts w:ascii="Calibri" w:hAnsi="Calibri"/>
          <w:color w:val="414042"/>
          <w:w w:val="105"/>
          <w:sz w:val="16"/>
        </w:rPr>
        <w:t>3.2,</w:t>
      </w:r>
      <w:r>
        <w:rPr>
          <w:rFonts w:ascii="Calibri" w:hAnsi="Calibri"/>
          <w:color w:val="414042"/>
          <w:spacing w:val="-21"/>
          <w:w w:val="105"/>
          <w:sz w:val="16"/>
        </w:rPr>
        <w:t> </w:t>
      </w:r>
      <w:r>
        <w:rPr>
          <w:rFonts w:ascii="Calibri" w:hAnsi="Calibri"/>
          <w:color w:val="414042"/>
          <w:w w:val="105"/>
          <w:sz w:val="16"/>
        </w:rPr>
        <w:t>de</w:t>
      </w:r>
      <w:r>
        <w:rPr>
          <w:rFonts w:ascii="Calibri" w:hAnsi="Calibri"/>
          <w:color w:val="414042"/>
          <w:spacing w:val="-21"/>
          <w:w w:val="105"/>
          <w:sz w:val="16"/>
        </w:rPr>
        <w:t> </w:t>
      </w:r>
      <w:r>
        <w:rPr>
          <w:rFonts w:ascii="Calibri" w:hAnsi="Calibri"/>
          <w:color w:val="414042"/>
          <w:w w:val="105"/>
          <w:sz w:val="16"/>
        </w:rPr>
        <w:t>maquinaria</w:t>
      </w:r>
      <w:r>
        <w:rPr>
          <w:rFonts w:ascii="Calibri" w:hAnsi="Calibri"/>
          <w:color w:val="414042"/>
          <w:spacing w:val="-22"/>
          <w:w w:val="105"/>
          <w:sz w:val="16"/>
        </w:rPr>
        <w:t> </w:t>
      </w:r>
      <w:r>
        <w:rPr>
          <w:rFonts w:ascii="Calibri" w:hAnsi="Calibri"/>
          <w:color w:val="414042"/>
          <w:w w:val="105"/>
          <w:sz w:val="16"/>
        </w:rPr>
        <w:t>y</w:t>
      </w:r>
      <w:r>
        <w:rPr>
          <w:rFonts w:ascii="Calibri" w:hAnsi="Calibri"/>
          <w:color w:val="414042"/>
          <w:spacing w:val="-21"/>
          <w:w w:val="105"/>
          <w:sz w:val="16"/>
        </w:rPr>
        <w:t> </w:t>
      </w:r>
      <w:r>
        <w:rPr>
          <w:rFonts w:ascii="Calibri" w:hAnsi="Calibri"/>
          <w:color w:val="414042"/>
          <w:w w:val="105"/>
          <w:sz w:val="16"/>
        </w:rPr>
        <w:t>equipo</w:t>
      </w:r>
      <w:r>
        <w:rPr>
          <w:rFonts w:ascii="Calibri" w:hAnsi="Calibri"/>
          <w:color w:val="414042"/>
          <w:spacing w:val="-21"/>
          <w:w w:val="105"/>
          <w:sz w:val="16"/>
        </w:rPr>
        <w:t> </w:t>
      </w:r>
      <w:r>
        <w:rPr>
          <w:rFonts w:ascii="Calibri" w:hAnsi="Calibri"/>
          <w:color w:val="414042"/>
          <w:w w:val="105"/>
          <w:sz w:val="16"/>
        </w:rPr>
        <w:t>de</w:t>
      </w:r>
      <w:r>
        <w:rPr>
          <w:rFonts w:ascii="Calibri" w:hAnsi="Calibri"/>
          <w:color w:val="414042"/>
          <w:spacing w:val="-21"/>
          <w:w w:val="105"/>
          <w:sz w:val="16"/>
        </w:rPr>
        <w:t> </w:t>
      </w:r>
      <w:r>
        <w:rPr>
          <w:rFonts w:ascii="Calibri" w:hAnsi="Calibri"/>
          <w:color w:val="414042"/>
          <w:w w:val="105"/>
          <w:sz w:val="16"/>
        </w:rPr>
        <w:t>2.8.</w:t>
      </w:r>
    </w:p>
    <w:p>
      <w:pPr>
        <w:spacing w:line="192" w:lineRule="exact" w:before="0"/>
        <w:ind w:left="103" w:right="115" w:hanging="1"/>
        <w:jc w:val="both"/>
        <w:rPr>
          <w:rFonts w:ascii="Calibri" w:hAnsi="Calibri"/>
          <w:sz w:val="16"/>
        </w:rPr>
      </w:pPr>
      <w:r>
        <w:rPr>
          <w:rFonts w:ascii="Calibri" w:hAnsi="Calibri"/>
          <w:color w:val="414042"/>
          <w:w w:val="105"/>
          <w:position w:val="5"/>
          <w:sz w:val="9"/>
        </w:rPr>
        <w:t>8</w:t>
      </w:r>
      <w:r>
        <w:rPr>
          <w:rFonts w:ascii="Calibri" w:hAnsi="Calibri"/>
          <w:color w:val="414042"/>
          <w:spacing w:val="13"/>
          <w:w w:val="105"/>
          <w:position w:val="5"/>
          <w:sz w:val="9"/>
        </w:rPr>
        <w:t> </w:t>
      </w:r>
      <w:r>
        <w:rPr>
          <w:rFonts w:ascii="Calibri" w:hAnsi="Calibri"/>
          <w:color w:val="414042"/>
          <w:w w:val="105"/>
          <w:sz w:val="16"/>
        </w:rPr>
        <w:t>No</w:t>
      </w:r>
      <w:r>
        <w:rPr>
          <w:rFonts w:ascii="Calibri" w:hAnsi="Calibri"/>
          <w:color w:val="414042"/>
          <w:spacing w:val="-8"/>
          <w:w w:val="105"/>
          <w:sz w:val="16"/>
        </w:rPr>
        <w:t> </w:t>
      </w:r>
      <w:r>
        <w:rPr>
          <w:rFonts w:ascii="Calibri" w:hAnsi="Calibri"/>
          <w:color w:val="414042"/>
          <w:w w:val="105"/>
          <w:sz w:val="16"/>
        </w:rPr>
        <w:t>sólo</w:t>
      </w:r>
      <w:r>
        <w:rPr>
          <w:rFonts w:ascii="Calibri" w:hAnsi="Calibri"/>
          <w:color w:val="414042"/>
          <w:spacing w:val="-8"/>
          <w:w w:val="105"/>
          <w:sz w:val="16"/>
        </w:rPr>
        <w:t> </w:t>
      </w:r>
      <w:r>
        <w:rPr>
          <w:rFonts w:ascii="Calibri" w:hAnsi="Calibri"/>
          <w:color w:val="414042"/>
          <w:w w:val="105"/>
          <w:sz w:val="16"/>
        </w:rPr>
        <w:t>debidas</w:t>
      </w:r>
      <w:r>
        <w:rPr>
          <w:rFonts w:ascii="Calibri" w:hAnsi="Calibri"/>
          <w:color w:val="414042"/>
          <w:spacing w:val="-8"/>
          <w:w w:val="105"/>
          <w:sz w:val="16"/>
        </w:rPr>
        <w:t> </w:t>
      </w:r>
      <w:r>
        <w:rPr>
          <w:rFonts w:ascii="Calibri" w:hAnsi="Calibri"/>
          <w:color w:val="414042"/>
          <w:w w:val="105"/>
          <w:sz w:val="16"/>
        </w:rPr>
        <w:t>a</w:t>
      </w:r>
      <w:r>
        <w:rPr>
          <w:rFonts w:ascii="Calibri" w:hAnsi="Calibri"/>
          <w:color w:val="414042"/>
          <w:spacing w:val="-8"/>
          <w:w w:val="105"/>
          <w:sz w:val="16"/>
        </w:rPr>
        <w:t> </w:t>
      </w:r>
      <w:r>
        <w:rPr>
          <w:rFonts w:ascii="Calibri" w:hAnsi="Calibri"/>
          <w:color w:val="414042"/>
          <w:w w:val="105"/>
          <w:sz w:val="16"/>
        </w:rPr>
        <w:t>las</w:t>
      </w:r>
      <w:r>
        <w:rPr>
          <w:rFonts w:ascii="Calibri" w:hAnsi="Calibri"/>
          <w:color w:val="414042"/>
          <w:spacing w:val="-8"/>
          <w:w w:val="105"/>
          <w:sz w:val="16"/>
        </w:rPr>
        <w:t> </w:t>
      </w:r>
      <w:r>
        <w:rPr>
          <w:rFonts w:ascii="Calibri" w:hAnsi="Calibri"/>
          <w:color w:val="414042"/>
          <w:w w:val="105"/>
          <w:sz w:val="16"/>
        </w:rPr>
        <w:t>economías</w:t>
      </w:r>
      <w:r>
        <w:rPr>
          <w:rFonts w:ascii="Calibri" w:hAnsi="Calibri"/>
          <w:color w:val="414042"/>
          <w:spacing w:val="-8"/>
          <w:w w:val="105"/>
          <w:sz w:val="16"/>
        </w:rPr>
        <w:t> </w:t>
      </w:r>
      <w:r>
        <w:rPr>
          <w:rFonts w:ascii="Calibri" w:hAnsi="Calibri"/>
          <w:color w:val="414042"/>
          <w:w w:val="105"/>
          <w:sz w:val="16"/>
        </w:rPr>
        <w:t>de</w:t>
      </w:r>
      <w:r>
        <w:rPr>
          <w:rFonts w:ascii="Calibri" w:hAnsi="Calibri"/>
          <w:color w:val="414042"/>
          <w:spacing w:val="-8"/>
          <w:w w:val="105"/>
          <w:sz w:val="16"/>
        </w:rPr>
        <w:t> </w:t>
      </w:r>
      <w:r>
        <w:rPr>
          <w:rFonts w:ascii="Calibri" w:hAnsi="Calibri"/>
          <w:color w:val="414042"/>
          <w:w w:val="105"/>
          <w:sz w:val="16"/>
        </w:rPr>
        <w:t>tamaño</w:t>
      </w:r>
      <w:r>
        <w:rPr>
          <w:rFonts w:ascii="Calibri" w:hAnsi="Calibri"/>
          <w:color w:val="414042"/>
          <w:spacing w:val="-8"/>
          <w:w w:val="105"/>
          <w:sz w:val="16"/>
        </w:rPr>
        <w:t> </w:t>
      </w:r>
      <w:r>
        <w:rPr>
          <w:rFonts w:ascii="Calibri" w:hAnsi="Calibri"/>
          <w:color w:val="414042"/>
          <w:w w:val="105"/>
          <w:sz w:val="16"/>
        </w:rPr>
        <w:t>sino</w:t>
      </w:r>
      <w:r>
        <w:rPr>
          <w:rFonts w:ascii="Calibri" w:hAnsi="Calibri"/>
          <w:color w:val="414042"/>
          <w:spacing w:val="-8"/>
          <w:w w:val="105"/>
          <w:sz w:val="16"/>
        </w:rPr>
        <w:t> </w:t>
      </w:r>
      <w:r>
        <w:rPr>
          <w:rFonts w:ascii="Calibri" w:hAnsi="Calibri"/>
          <w:color w:val="414042"/>
          <w:w w:val="105"/>
          <w:sz w:val="16"/>
        </w:rPr>
        <w:t>a</w:t>
      </w:r>
      <w:r>
        <w:rPr>
          <w:rFonts w:ascii="Calibri" w:hAnsi="Calibri"/>
          <w:color w:val="414042"/>
          <w:spacing w:val="-8"/>
          <w:w w:val="105"/>
          <w:sz w:val="16"/>
        </w:rPr>
        <w:t> </w:t>
      </w:r>
      <w:r>
        <w:rPr>
          <w:rFonts w:ascii="Calibri" w:hAnsi="Calibri"/>
          <w:color w:val="414042"/>
          <w:w w:val="105"/>
          <w:sz w:val="16"/>
        </w:rPr>
        <w:t>las</w:t>
      </w:r>
      <w:r>
        <w:rPr>
          <w:rFonts w:ascii="Calibri" w:hAnsi="Calibri"/>
          <w:color w:val="414042"/>
          <w:spacing w:val="-9"/>
          <w:w w:val="105"/>
          <w:sz w:val="16"/>
        </w:rPr>
        <w:t> </w:t>
      </w:r>
      <w:r>
        <w:rPr>
          <w:rFonts w:ascii="Calibri" w:hAnsi="Calibri"/>
          <w:color w:val="414042"/>
          <w:w w:val="105"/>
          <w:sz w:val="16"/>
        </w:rPr>
        <w:t>ventajas</w:t>
      </w:r>
      <w:r>
        <w:rPr>
          <w:rFonts w:ascii="Calibri" w:hAnsi="Calibri"/>
          <w:color w:val="414042"/>
          <w:spacing w:val="-8"/>
          <w:w w:val="105"/>
          <w:sz w:val="16"/>
        </w:rPr>
        <w:t> </w:t>
      </w:r>
      <w:r>
        <w:rPr>
          <w:rFonts w:ascii="Calibri" w:hAnsi="Calibri"/>
          <w:color w:val="414042"/>
          <w:w w:val="105"/>
          <w:sz w:val="16"/>
        </w:rPr>
        <w:t>acumulativas</w:t>
      </w:r>
      <w:r>
        <w:rPr>
          <w:rFonts w:ascii="Calibri" w:hAnsi="Calibri"/>
          <w:color w:val="414042"/>
          <w:spacing w:val="-8"/>
          <w:w w:val="105"/>
          <w:sz w:val="16"/>
        </w:rPr>
        <w:t> </w:t>
      </w:r>
      <w:r>
        <w:rPr>
          <w:rFonts w:ascii="Calibri" w:hAnsi="Calibri"/>
          <w:color w:val="414042"/>
          <w:w w:val="105"/>
          <w:sz w:val="16"/>
        </w:rPr>
        <w:t>que</w:t>
      </w:r>
      <w:r>
        <w:rPr>
          <w:rFonts w:ascii="Calibri" w:hAnsi="Calibri"/>
          <w:color w:val="414042"/>
          <w:spacing w:val="-8"/>
          <w:w w:val="105"/>
          <w:sz w:val="16"/>
        </w:rPr>
        <w:t> </w:t>
      </w:r>
      <w:r>
        <w:rPr>
          <w:rFonts w:ascii="Calibri" w:hAnsi="Calibri"/>
          <w:color w:val="414042"/>
          <w:w w:val="105"/>
          <w:sz w:val="16"/>
        </w:rPr>
        <w:t>provienen</w:t>
      </w:r>
      <w:r>
        <w:rPr>
          <w:rFonts w:ascii="Calibri" w:hAnsi="Calibri"/>
          <w:color w:val="414042"/>
          <w:spacing w:val="-8"/>
          <w:w w:val="105"/>
          <w:sz w:val="16"/>
        </w:rPr>
        <w:t> </w:t>
      </w:r>
      <w:r>
        <w:rPr>
          <w:rFonts w:ascii="Calibri" w:hAnsi="Calibri"/>
          <w:color w:val="414042"/>
          <w:w w:val="105"/>
          <w:sz w:val="16"/>
        </w:rPr>
        <w:t>del</w:t>
      </w:r>
      <w:r>
        <w:rPr>
          <w:rFonts w:ascii="Calibri" w:hAnsi="Calibri"/>
          <w:color w:val="414042"/>
          <w:spacing w:val="-8"/>
          <w:w w:val="105"/>
          <w:sz w:val="16"/>
        </w:rPr>
        <w:t> </w:t>
      </w:r>
      <w:r>
        <w:rPr>
          <w:rFonts w:ascii="Calibri" w:hAnsi="Calibri"/>
          <w:color w:val="414042"/>
          <w:w w:val="105"/>
          <w:sz w:val="16"/>
        </w:rPr>
        <w:t>creci- miento</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la</w:t>
      </w:r>
      <w:r>
        <w:rPr>
          <w:rFonts w:ascii="Calibri" w:hAnsi="Calibri"/>
          <w:color w:val="414042"/>
          <w:spacing w:val="-5"/>
          <w:w w:val="105"/>
          <w:sz w:val="16"/>
        </w:rPr>
        <w:t> </w:t>
      </w:r>
      <w:r>
        <w:rPr>
          <w:rFonts w:ascii="Calibri" w:hAnsi="Calibri"/>
          <w:color w:val="414042"/>
          <w:w w:val="105"/>
          <w:sz w:val="16"/>
        </w:rPr>
        <w:t>industria,</w:t>
      </w:r>
      <w:r>
        <w:rPr>
          <w:rFonts w:ascii="Calibri" w:hAnsi="Calibri"/>
          <w:color w:val="414042"/>
          <w:spacing w:val="-5"/>
          <w:w w:val="105"/>
          <w:sz w:val="16"/>
        </w:rPr>
        <w:t> </w:t>
      </w:r>
      <w:r>
        <w:rPr>
          <w:rFonts w:ascii="Calibri" w:hAnsi="Calibri"/>
          <w:color w:val="414042"/>
          <w:w w:val="105"/>
          <w:sz w:val="16"/>
        </w:rPr>
        <w:t>el</w:t>
      </w:r>
      <w:r>
        <w:rPr>
          <w:rFonts w:ascii="Calibri" w:hAnsi="Calibri"/>
          <w:color w:val="414042"/>
          <w:spacing w:val="-5"/>
          <w:w w:val="105"/>
          <w:sz w:val="16"/>
        </w:rPr>
        <w:t> </w:t>
      </w:r>
      <w:r>
        <w:rPr>
          <w:rFonts w:ascii="Calibri" w:hAnsi="Calibri"/>
          <w:color w:val="414042"/>
          <w:w w:val="105"/>
          <w:sz w:val="16"/>
        </w:rPr>
        <w:t>desarrollo</w:t>
      </w:r>
      <w:r>
        <w:rPr>
          <w:rFonts w:ascii="Calibri" w:hAnsi="Calibri"/>
          <w:color w:val="414042"/>
          <w:spacing w:val="-5"/>
          <w:w w:val="105"/>
          <w:sz w:val="16"/>
        </w:rPr>
        <w:t> </w:t>
      </w:r>
      <w:r>
        <w:rPr>
          <w:rFonts w:ascii="Calibri" w:hAnsi="Calibri"/>
          <w:color w:val="414042"/>
          <w:w w:val="105"/>
          <w:sz w:val="16"/>
        </w:rPr>
        <w:t>de</w:t>
      </w:r>
      <w:r>
        <w:rPr>
          <w:rFonts w:ascii="Calibri" w:hAnsi="Calibri"/>
          <w:color w:val="414042"/>
          <w:spacing w:val="-5"/>
          <w:w w:val="105"/>
          <w:sz w:val="16"/>
        </w:rPr>
        <w:t> </w:t>
      </w:r>
      <w:r>
        <w:rPr>
          <w:rFonts w:ascii="Calibri" w:hAnsi="Calibri"/>
          <w:color w:val="414042"/>
          <w:w w:val="105"/>
          <w:sz w:val="16"/>
        </w:rPr>
        <w:t>la</w:t>
      </w:r>
      <w:r>
        <w:rPr>
          <w:rFonts w:ascii="Calibri" w:hAnsi="Calibri"/>
          <w:color w:val="414042"/>
          <w:spacing w:val="-5"/>
          <w:w w:val="105"/>
          <w:sz w:val="16"/>
        </w:rPr>
        <w:t> </w:t>
      </w:r>
      <w:r>
        <w:rPr>
          <w:rFonts w:ascii="Calibri" w:hAnsi="Calibri"/>
          <w:color w:val="414042"/>
          <w:w w:val="105"/>
          <w:sz w:val="16"/>
        </w:rPr>
        <w:t>tecnología,</w:t>
      </w:r>
      <w:r>
        <w:rPr>
          <w:rFonts w:ascii="Calibri" w:hAnsi="Calibri"/>
          <w:color w:val="414042"/>
          <w:spacing w:val="-5"/>
          <w:w w:val="105"/>
          <w:sz w:val="16"/>
        </w:rPr>
        <w:t> </w:t>
      </w:r>
      <w:r>
        <w:rPr>
          <w:rFonts w:ascii="Calibri" w:hAnsi="Calibri"/>
          <w:color w:val="414042"/>
          <w:w w:val="105"/>
          <w:sz w:val="16"/>
        </w:rPr>
        <w:t>habilidades</w:t>
      </w:r>
      <w:r>
        <w:rPr>
          <w:rFonts w:ascii="Calibri" w:hAnsi="Calibri"/>
          <w:color w:val="414042"/>
          <w:spacing w:val="-6"/>
          <w:w w:val="105"/>
          <w:sz w:val="16"/>
        </w:rPr>
        <w:t> </w:t>
      </w:r>
      <w:r>
        <w:rPr>
          <w:rFonts w:ascii="Calibri" w:hAnsi="Calibri"/>
          <w:color w:val="414042"/>
          <w:w w:val="105"/>
          <w:sz w:val="16"/>
        </w:rPr>
        <w:t>y</w:t>
      </w:r>
      <w:r>
        <w:rPr>
          <w:rFonts w:ascii="Calibri" w:hAnsi="Calibri"/>
          <w:color w:val="414042"/>
          <w:spacing w:val="-5"/>
          <w:w w:val="105"/>
          <w:sz w:val="16"/>
        </w:rPr>
        <w:t> </w:t>
      </w:r>
      <w:r>
        <w:rPr>
          <w:rFonts w:ascii="Calibri" w:hAnsi="Calibri"/>
          <w:color w:val="414042"/>
          <w:w w:val="105"/>
          <w:sz w:val="16"/>
        </w:rPr>
        <w:t>conocimientos,</w:t>
      </w:r>
      <w:r>
        <w:rPr>
          <w:rFonts w:ascii="Calibri" w:hAnsi="Calibri"/>
          <w:color w:val="414042"/>
          <w:spacing w:val="-5"/>
          <w:w w:val="105"/>
          <w:sz w:val="16"/>
        </w:rPr>
        <w:t> </w:t>
      </w:r>
      <w:r>
        <w:rPr>
          <w:rFonts w:ascii="Calibri" w:hAnsi="Calibri"/>
          <w:color w:val="414042"/>
          <w:w w:val="105"/>
          <w:sz w:val="16"/>
        </w:rPr>
        <w:t>la</w:t>
      </w:r>
      <w:r>
        <w:rPr>
          <w:rFonts w:ascii="Calibri" w:hAnsi="Calibri"/>
          <w:color w:val="414042"/>
          <w:spacing w:val="-5"/>
          <w:w w:val="105"/>
          <w:sz w:val="16"/>
        </w:rPr>
        <w:t> </w:t>
      </w:r>
      <w:r>
        <w:rPr>
          <w:rFonts w:ascii="Calibri" w:hAnsi="Calibri"/>
          <w:color w:val="414042"/>
          <w:w w:val="105"/>
          <w:sz w:val="16"/>
        </w:rPr>
        <w:t>diferenciación</w:t>
      </w:r>
      <w:r>
        <w:rPr>
          <w:rFonts w:ascii="Calibri" w:hAnsi="Calibri"/>
          <w:color w:val="414042"/>
          <w:spacing w:val="-5"/>
          <w:w w:val="105"/>
          <w:sz w:val="16"/>
        </w:rPr>
        <w:t> </w:t>
      </w:r>
      <w:r>
        <w:rPr>
          <w:rFonts w:ascii="Calibri" w:hAnsi="Calibri"/>
          <w:color w:val="414042"/>
          <w:w w:val="105"/>
          <w:sz w:val="16"/>
        </w:rPr>
        <w:t>de procesos</w:t>
      </w:r>
      <w:r>
        <w:rPr>
          <w:rFonts w:ascii="Calibri" w:hAnsi="Calibri"/>
          <w:color w:val="414042"/>
          <w:spacing w:val="-10"/>
          <w:w w:val="105"/>
          <w:sz w:val="16"/>
        </w:rPr>
        <w:t> </w:t>
      </w:r>
      <w:r>
        <w:rPr>
          <w:rFonts w:ascii="Calibri" w:hAnsi="Calibri"/>
          <w:color w:val="414042"/>
          <w:w w:val="105"/>
          <w:sz w:val="16"/>
        </w:rPr>
        <w:t>y</w:t>
      </w:r>
      <w:r>
        <w:rPr>
          <w:rFonts w:ascii="Calibri" w:hAnsi="Calibri"/>
          <w:color w:val="414042"/>
          <w:spacing w:val="-9"/>
          <w:w w:val="105"/>
          <w:sz w:val="16"/>
        </w:rPr>
        <w:t> </w:t>
      </w:r>
      <w:r>
        <w:rPr>
          <w:rFonts w:ascii="Calibri" w:hAnsi="Calibri"/>
          <w:color w:val="414042"/>
          <w:w w:val="105"/>
          <w:sz w:val="16"/>
        </w:rPr>
        <w:t>actividades</w:t>
      </w:r>
      <w:r>
        <w:rPr>
          <w:rFonts w:ascii="Calibri" w:hAnsi="Calibri"/>
          <w:color w:val="414042"/>
          <w:spacing w:val="-9"/>
          <w:w w:val="105"/>
          <w:sz w:val="16"/>
        </w:rPr>
        <w:t> </w:t>
      </w:r>
      <w:r>
        <w:rPr>
          <w:rFonts w:ascii="Calibri" w:hAnsi="Calibri"/>
          <w:color w:val="414042"/>
          <w:w w:val="105"/>
          <w:sz w:val="16"/>
        </w:rPr>
        <w:t>así</w:t>
      </w:r>
      <w:r>
        <w:rPr>
          <w:rFonts w:ascii="Calibri" w:hAnsi="Calibri"/>
          <w:color w:val="414042"/>
          <w:spacing w:val="-9"/>
          <w:w w:val="105"/>
          <w:sz w:val="16"/>
        </w:rPr>
        <w:t> </w:t>
      </w:r>
      <w:r>
        <w:rPr>
          <w:rFonts w:ascii="Calibri" w:hAnsi="Calibri"/>
          <w:color w:val="414042"/>
          <w:w w:val="105"/>
          <w:sz w:val="16"/>
        </w:rPr>
        <w:t>como</w:t>
      </w:r>
      <w:r>
        <w:rPr>
          <w:rFonts w:ascii="Calibri" w:hAnsi="Calibri"/>
          <w:color w:val="414042"/>
          <w:spacing w:val="-9"/>
          <w:w w:val="105"/>
          <w:sz w:val="16"/>
        </w:rPr>
        <w:t> </w:t>
      </w:r>
      <w:r>
        <w:rPr>
          <w:rFonts w:ascii="Calibri" w:hAnsi="Calibri"/>
          <w:color w:val="414042"/>
          <w:w w:val="105"/>
          <w:sz w:val="16"/>
        </w:rPr>
        <w:t>las</w:t>
      </w:r>
      <w:r>
        <w:rPr>
          <w:rFonts w:ascii="Calibri" w:hAnsi="Calibri"/>
          <w:color w:val="414042"/>
          <w:spacing w:val="-9"/>
          <w:w w:val="105"/>
          <w:sz w:val="16"/>
        </w:rPr>
        <w:t> </w:t>
      </w:r>
      <w:r>
        <w:rPr>
          <w:rFonts w:ascii="Calibri" w:hAnsi="Calibri"/>
          <w:color w:val="414042"/>
          <w:w w:val="105"/>
          <w:sz w:val="16"/>
        </w:rPr>
        <w:t>facilidades</w:t>
      </w:r>
      <w:r>
        <w:rPr>
          <w:rFonts w:ascii="Calibri" w:hAnsi="Calibri"/>
          <w:color w:val="414042"/>
          <w:spacing w:val="-9"/>
          <w:w w:val="105"/>
          <w:sz w:val="16"/>
        </w:rPr>
        <w:t> </w:t>
      </w:r>
      <w:r>
        <w:rPr>
          <w:rFonts w:ascii="Calibri" w:hAnsi="Calibri"/>
          <w:color w:val="414042"/>
          <w:w w:val="105"/>
          <w:sz w:val="16"/>
        </w:rPr>
        <w:t>para</w:t>
      </w:r>
      <w:r>
        <w:rPr>
          <w:rFonts w:ascii="Calibri" w:hAnsi="Calibri"/>
          <w:color w:val="414042"/>
          <w:spacing w:val="-9"/>
          <w:w w:val="105"/>
          <w:sz w:val="16"/>
        </w:rPr>
        <w:t> </w:t>
      </w:r>
      <w:r>
        <w:rPr>
          <w:rFonts w:ascii="Calibri" w:hAnsi="Calibri"/>
          <w:color w:val="414042"/>
          <w:w w:val="105"/>
          <w:sz w:val="16"/>
        </w:rPr>
        <w:t>la</w:t>
      </w:r>
      <w:r>
        <w:rPr>
          <w:rFonts w:ascii="Calibri" w:hAnsi="Calibri"/>
          <w:color w:val="414042"/>
          <w:spacing w:val="-9"/>
          <w:w w:val="105"/>
          <w:sz w:val="16"/>
        </w:rPr>
        <w:t> </w:t>
      </w:r>
      <w:r>
        <w:rPr>
          <w:rFonts w:ascii="Calibri" w:hAnsi="Calibri"/>
          <w:color w:val="414042"/>
          <w:w w:val="105"/>
          <w:sz w:val="16"/>
        </w:rPr>
        <w:t>comunicación</w:t>
      </w:r>
      <w:r>
        <w:rPr>
          <w:rFonts w:ascii="Calibri" w:hAnsi="Calibri"/>
          <w:color w:val="414042"/>
          <w:spacing w:val="-9"/>
          <w:w w:val="105"/>
          <w:sz w:val="16"/>
        </w:rPr>
        <w:t> </w:t>
      </w:r>
      <w:r>
        <w:rPr>
          <w:rFonts w:ascii="Calibri" w:hAnsi="Calibri"/>
          <w:color w:val="414042"/>
          <w:w w:val="105"/>
          <w:sz w:val="16"/>
        </w:rPr>
        <w:t>e</w:t>
      </w:r>
      <w:r>
        <w:rPr>
          <w:rFonts w:ascii="Calibri" w:hAnsi="Calibri"/>
          <w:color w:val="414042"/>
          <w:spacing w:val="-9"/>
          <w:w w:val="105"/>
          <w:sz w:val="16"/>
        </w:rPr>
        <w:t> </w:t>
      </w:r>
      <w:r>
        <w:rPr>
          <w:rFonts w:ascii="Calibri" w:hAnsi="Calibri"/>
          <w:color w:val="414042"/>
          <w:w w:val="105"/>
          <w:sz w:val="16"/>
        </w:rPr>
        <w:t>intercambio</w:t>
      </w:r>
      <w:r>
        <w:rPr>
          <w:rFonts w:ascii="Calibri" w:hAnsi="Calibri"/>
          <w:color w:val="414042"/>
          <w:spacing w:val="-9"/>
          <w:w w:val="105"/>
          <w:sz w:val="16"/>
        </w:rPr>
        <w:t> </w:t>
      </w:r>
      <w:r>
        <w:rPr>
          <w:rFonts w:ascii="Calibri" w:hAnsi="Calibri"/>
          <w:color w:val="414042"/>
          <w:w w:val="105"/>
          <w:sz w:val="16"/>
        </w:rPr>
        <w:t>de</w:t>
      </w:r>
      <w:r>
        <w:rPr>
          <w:rFonts w:ascii="Calibri" w:hAnsi="Calibri"/>
          <w:color w:val="414042"/>
          <w:spacing w:val="-9"/>
          <w:w w:val="105"/>
          <w:sz w:val="16"/>
        </w:rPr>
        <w:t> </w:t>
      </w:r>
      <w:r>
        <w:rPr>
          <w:rFonts w:ascii="Calibri" w:hAnsi="Calibri"/>
          <w:color w:val="414042"/>
          <w:w w:val="105"/>
          <w:sz w:val="16"/>
        </w:rPr>
        <w:t>ideas</w:t>
      </w:r>
      <w:r>
        <w:rPr>
          <w:rFonts w:ascii="Calibri" w:hAnsi="Calibri"/>
          <w:color w:val="414042"/>
          <w:spacing w:val="-10"/>
          <w:w w:val="105"/>
          <w:sz w:val="16"/>
        </w:rPr>
        <w:t> </w:t>
      </w:r>
      <w:r>
        <w:rPr>
          <w:rFonts w:ascii="Calibri" w:hAnsi="Calibri"/>
          <w:color w:val="414042"/>
          <w:w w:val="105"/>
          <w:sz w:val="16"/>
        </w:rPr>
        <w:t>y</w:t>
      </w:r>
      <w:r>
        <w:rPr>
          <w:rFonts w:ascii="Calibri" w:hAnsi="Calibri"/>
          <w:color w:val="414042"/>
          <w:spacing w:val="-9"/>
          <w:w w:val="105"/>
          <w:sz w:val="16"/>
        </w:rPr>
        <w:t> </w:t>
      </w:r>
      <w:r>
        <w:rPr>
          <w:rFonts w:ascii="Calibri" w:hAnsi="Calibri"/>
          <w:color w:val="414042"/>
          <w:w w:val="105"/>
          <w:sz w:val="16"/>
        </w:rPr>
        <w:t>experien- cias</w:t>
      </w:r>
      <w:r>
        <w:rPr>
          <w:rFonts w:ascii="Calibri" w:hAnsi="Calibri"/>
          <w:color w:val="414042"/>
          <w:spacing w:val="-20"/>
          <w:w w:val="105"/>
          <w:sz w:val="16"/>
        </w:rPr>
        <w:t> </w:t>
      </w:r>
      <w:r>
        <w:rPr>
          <w:rFonts w:ascii="Calibri" w:hAnsi="Calibri"/>
          <w:color w:val="414042"/>
          <w:w w:val="105"/>
          <w:sz w:val="16"/>
        </w:rPr>
        <w:t>(Asuad,</w:t>
      </w:r>
      <w:r>
        <w:rPr>
          <w:rFonts w:ascii="Calibri" w:hAnsi="Calibri"/>
          <w:color w:val="414042"/>
          <w:spacing w:val="-20"/>
          <w:w w:val="105"/>
          <w:sz w:val="16"/>
        </w:rPr>
        <w:t> </w:t>
      </w:r>
      <w:r>
        <w:rPr>
          <w:rFonts w:ascii="Calibri" w:hAnsi="Calibri"/>
          <w:color w:val="414042"/>
          <w:w w:val="105"/>
          <w:sz w:val="16"/>
        </w:rPr>
        <w:t>2001).</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888"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246</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840"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247</w:t>
      </w:r>
    </w:p>
    <w:p>
      <w:pPr>
        <w:pStyle w:val="BodyText"/>
        <w:rPr>
          <w:sz w:val="20"/>
        </w:rPr>
      </w:pPr>
    </w:p>
    <w:p>
      <w:pPr>
        <w:pStyle w:val="BodyText"/>
        <w:rPr>
          <w:sz w:val="20"/>
        </w:rPr>
      </w:pPr>
    </w:p>
    <w:p>
      <w:pPr>
        <w:pStyle w:val="BodyText"/>
        <w:spacing w:line="259" w:lineRule="auto" w:before="176"/>
        <w:ind w:left="77" w:right="117"/>
        <w:jc w:val="right"/>
      </w:pPr>
      <w:r>
        <w:rPr>
          <w:color w:val="231F20"/>
          <w:w w:val="105"/>
        </w:rPr>
        <w:t>de</w:t>
      </w:r>
      <w:r>
        <w:rPr>
          <w:color w:val="231F20"/>
          <w:spacing w:val="-15"/>
          <w:w w:val="105"/>
        </w:rPr>
        <w:t> </w:t>
      </w:r>
      <w:r>
        <w:rPr>
          <w:color w:val="231F20"/>
          <w:w w:val="105"/>
        </w:rPr>
        <w:t>escala</w:t>
      </w:r>
      <w:r>
        <w:rPr>
          <w:color w:val="231F20"/>
          <w:spacing w:val="-15"/>
          <w:w w:val="105"/>
        </w:rPr>
        <w:t> </w:t>
      </w:r>
      <w:r>
        <w:rPr>
          <w:color w:val="231F20"/>
          <w:w w:val="105"/>
        </w:rPr>
        <w:t>relacionadas</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aprendizaje,</w:t>
      </w:r>
      <w:r>
        <w:rPr>
          <w:color w:val="231F20"/>
          <w:spacing w:val="-20"/>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aumenta</w:t>
      </w:r>
      <w:r>
        <w:rPr>
          <w:color w:val="231F20"/>
          <w:spacing w:val="-15"/>
          <w:w w:val="105"/>
        </w:rPr>
        <w:t> </w:t>
      </w:r>
      <w:r>
        <w:rPr>
          <w:color w:val="231F20"/>
          <w:w w:val="105"/>
        </w:rPr>
        <w:t>la</w:t>
      </w:r>
      <w:r>
        <w:rPr>
          <w:color w:val="231F20"/>
          <w:spacing w:val="-15"/>
          <w:w w:val="105"/>
        </w:rPr>
        <w:t> </w:t>
      </w:r>
      <w:r>
        <w:rPr>
          <w:color w:val="231F20"/>
          <w:w w:val="105"/>
        </w:rPr>
        <w:t>productivi-</w:t>
      </w:r>
      <w:r>
        <w:rPr>
          <w:color w:val="231F20"/>
          <w:w w:val="96"/>
        </w:rPr>
        <w:t> </w:t>
      </w:r>
      <w:r>
        <w:rPr>
          <w:color w:val="231F20"/>
          <w:w w:val="105"/>
        </w:rPr>
        <w:t>dad</w:t>
      </w:r>
      <w:r>
        <w:rPr>
          <w:color w:val="231F20"/>
          <w:spacing w:val="-21"/>
          <w:w w:val="105"/>
        </w:rPr>
        <w:t> </w:t>
      </w:r>
      <w:r>
        <w:rPr>
          <w:color w:val="231F20"/>
          <w:w w:val="105"/>
        </w:rPr>
        <w:t>y</w:t>
      </w:r>
      <w:r>
        <w:rPr>
          <w:color w:val="231F20"/>
          <w:spacing w:val="-21"/>
          <w:w w:val="105"/>
        </w:rPr>
        <w:t> </w:t>
      </w:r>
      <w:r>
        <w:rPr>
          <w:color w:val="231F20"/>
          <w:w w:val="105"/>
        </w:rPr>
        <w:t>con</w:t>
      </w:r>
      <w:r>
        <w:rPr>
          <w:color w:val="231F20"/>
          <w:spacing w:val="-21"/>
          <w:w w:val="105"/>
        </w:rPr>
        <w:t> </w:t>
      </w:r>
      <w:r>
        <w:rPr>
          <w:color w:val="231F20"/>
          <w:w w:val="105"/>
        </w:rPr>
        <w:t>ello,</w:t>
      </w:r>
      <w:r>
        <w:rPr>
          <w:color w:val="231F20"/>
          <w:spacing w:val="-27"/>
          <w:w w:val="105"/>
        </w:rPr>
        <w:t> </w:t>
      </w:r>
      <w:r>
        <w:rPr>
          <w:color w:val="231F20"/>
          <w:w w:val="105"/>
        </w:rPr>
        <w:t>la</w:t>
      </w:r>
      <w:r>
        <w:rPr>
          <w:color w:val="231F20"/>
          <w:spacing w:val="-21"/>
          <w:w w:val="105"/>
        </w:rPr>
        <w:t> </w:t>
      </w:r>
      <w:r>
        <w:rPr>
          <w:color w:val="231F20"/>
          <w:w w:val="105"/>
        </w:rPr>
        <w:t>producción</w:t>
      </w:r>
      <w:r>
        <w:rPr>
          <w:color w:val="231F20"/>
          <w:w w:val="105"/>
          <w:position w:val="7"/>
          <w:sz w:val="12"/>
        </w:rPr>
        <w:t>9</w:t>
      </w:r>
      <w:r>
        <w:rPr>
          <w:color w:val="231F20"/>
          <w:w w:val="105"/>
        </w:rPr>
        <w:t>.</w:t>
      </w:r>
      <w:r>
        <w:rPr>
          <w:color w:val="231F20"/>
          <w:spacing w:val="-27"/>
          <w:w w:val="105"/>
        </w:rPr>
        <w:t> </w:t>
      </w:r>
      <w:r>
        <w:rPr>
          <w:color w:val="231F20"/>
          <w:w w:val="105"/>
        </w:rPr>
        <w:t>Con</w:t>
      </w:r>
      <w:r>
        <w:rPr>
          <w:color w:val="231F20"/>
          <w:spacing w:val="-21"/>
          <w:w w:val="105"/>
        </w:rPr>
        <w:t> </w:t>
      </w:r>
      <w:r>
        <w:rPr>
          <w:color w:val="231F20"/>
          <w:w w:val="105"/>
        </w:rPr>
        <w:t>base</w:t>
      </w:r>
      <w:r>
        <w:rPr>
          <w:color w:val="231F20"/>
          <w:spacing w:val="-21"/>
          <w:w w:val="105"/>
        </w:rPr>
        <w:t> </w:t>
      </w:r>
      <w:r>
        <w:rPr>
          <w:color w:val="231F20"/>
          <w:w w:val="105"/>
        </w:rPr>
        <w:t>en</w:t>
      </w:r>
      <w:r>
        <w:rPr>
          <w:color w:val="231F20"/>
          <w:spacing w:val="-21"/>
          <w:w w:val="105"/>
        </w:rPr>
        <w:t> </w:t>
      </w:r>
      <w:r>
        <w:rPr>
          <w:color w:val="231F20"/>
          <w:w w:val="105"/>
        </w:rPr>
        <w:t>estos</w:t>
      </w:r>
      <w:r>
        <w:rPr>
          <w:color w:val="231F20"/>
          <w:spacing w:val="-21"/>
          <w:w w:val="105"/>
        </w:rPr>
        <w:t> </w:t>
      </w:r>
      <w:r>
        <w:rPr>
          <w:color w:val="231F20"/>
          <w:w w:val="105"/>
        </w:rPr>
        <w:t>argumentos,</w:t>
      </w:r>
      <w:r>
        <w:rPr>
          <w:color w:val="231F20"/>
          <w:spacing w:val="-27"/>
          <w:w w:val="105"/>
        </w:rPr>
        <w:t> </w:t>
      </w:r>
      <w:r>
        <w:rPr>
          <w:color w:val="231F20"/>
          <w:w w:val="105"/>
        </w:rPr>
        <w:t>la</w:t>
      </w:r>
      <w:r>
        <w:rPr>
          <w:color w:val="231F20"/>
          <w:spacing w:val="-21"/>
          <w:w w:val="105"/>
        </w:rPr>
        <w:t> </w:t>
      </w:r>
      <w:r>
        <w:rPr>
          <w:color w:val="231F20"/>
          <w:w w:val="105"/>
        </w:rPr>
        <w:t>relación</w:t>
      </w:r>
      <w:r>
        <w:rPr>
          <w:color w:val="231F20"/>
          <w:w w:val="104"/>
        </w:rPr>
        <w:t> </w:t>
      </w:r>
      <w:r>
        <w:rPr>
          <w:color w:val="231F20"/>
          <w:w w:val="105"/>
        </w:rPr>
        <w:t>entre el crecimiento y la productividad de la industria</w:t>
      </w:r>
      <w:r>
        <w:rPr>
          <w:color w:val="231F20"/>
          <w:spacing w:val="-13"/>
          <w:w w:val="105"/>
        </w:rPr>
        <w:t> </w:t>
      </w:r>
      <w:r>
        <w:rPr>
          <w:color w:val="231F20"/>
          <w:w w:val="105"/>
        </w:rPr>
        <w:t>manufacturera</w:t>
      </w:r>
      <w:r>
        <w:rPr>
          <w:color w:val="231F20"/>
          <w:spacing w:val="-2"/>
          <w:w w:val="105"/>
        </w:rPr>
        <w:t> </w:t>
      </w:r>
      <w:r>
        <w:rPr>
          <w:color w:val="231F20"/>
          <w:w w:val="105"/>
        </w:rPr>
        <w:t>ha</w:t>
      </w:r>
      <w:r>
        <w:rPr>
          <w:color w:val="231F20"/>
          <w:w w:val="100"/>
        </w:rPr>
        <w:t> </w:t>
      </w:r>
      <w:r>
        <w:rPr>
          <w:color w:val="231F20"/>
          <w:w w:val="105"/>
        </w:rPr>
        <w:t>sido</w:t>
      </w:r>
      <w:r>
        <w:rPr>
          <w:color w:val="231F20"/>
          <w:spacing w:val="-15"/>
          <w:w w:val="105"/>
        </w:rPr>
        <w:t> </w:t>
      </w:r>
      <w:r>
        <w:rPr>
          <w:color w:val="231F20"/>
          <w:w w:val="105"/>
        </w:rPr>
        <w:t>identificada</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w w:val="105"/>
        </w:rPr>
        <w:t>impacto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crecimiento</w:t>
      </w:r>
      <w:r>
        <w:rPr>
          <w:color w:val="231F20"/>
          <w:spacing w:val="-15"/>
          <w:w w:val="105"/>
        </w:rPr>
        <w:t> </w:t>
      </w:r>
      <w:r>
        <w:rPr>
          <w:color w:val="231F20"/>
          <w:w w:val="105"/>
        </w:rPr>
        <w:t>del</w:t>
      </w:r>
      <w:r>
        <w:rPr>
          <w:color w:val="231F20"/>
          <w:spacing w:val="-15"/>
          <w:w w:val="105"/>
        </w:rPr>
        <w:t> </w:t>
      </w:r>
      <w:r>
        <w:rPr>
          <w:color w:val="231F20"/>
          <w:w w:val="105"/>
        </w:rPr>
        <w:t>PIB</w:t>
      </w:r>
      <w:r>
        <w:rPr>
          <w:color w:val="231F20"/>
          <w:spacing w:val="-15"/>
          <w:w w:val="105"/>
        </w:rPr>
        <w:t> </w:t>
      </w:r>
      <w:r>
        <w:rPr>
          <w:color w:val="231F20"/>
          <w:w w:val="105"/>
        </w:rPr>
        <w:t>(Kaldor,</w:t>
      </w:r>
      <w:r>
        <w:rPr>
          <w:color w:val="231F20"/>
          <w:spacing w:val="-21"/>
          <w:w w:val="105"/>
        </w:rPr>
        <w:t> </w:t>
      </w:r>
      <w:r>
        <w:rPr>
          <w:color w:val="231F20"/>
          <w:w w:val="105"/>
        </w:rPr>
        <w:t>1966).</w:t>
      </w:r>
    </w:p>
    <w:p>
      <w:pPr>
        <w:pStyle w:val="BodyText"/>
        <w:spacing w:line="259" w:lineRule="auto"/>
        <w:ind w:left="117" w:right="115" w:firstLine="567"/>
        <w:jc w:val="both"/>
      </w:pPr>
      <w:r>
        <w:rPr>
          <w:color w:val="231F20"/>
        </w:rPr>
        <w:t>En el ambiente keynesiano se considera que la demanda es capaz de impulsar el crecimiento económico. Es Kaldor (1966) quien concede a las exportaciones manufactureras un papel importante como impulsoras del crecimiento y establece ciertas regularidades empíricas que luego   han sido conocidas como las tres leyes de Kaldor (De la Rosa, 2006). Así, la especialización productiva en industrias líderes, modernas y de alcan- ce tecnológico, puede explicarse también a través del enfoque keynesia- no mediante la causación acumulativa del  </w:t>
      </w:r>
      <w:r>
        <w:rPr>
          <w:color w:val="231F20"/>
          <w:spacing w:val="18"/>
        </w:rPr>
        <w:t> </w:t>
      </w:r>
      <w:r>
        <w:rPr>
          <w:color w:val="231F20"/>
        </w:rPr>
        <w:t>crecimiento.</w:t>
      </w:r>
    </w:p>
    <w:p>
      <w:pPr>
        <w:pStyle w:val="BodyText"/>
        <w:rPr>
          <w:sz w:val="20"/>
        </w:rPr>
      </w:pPr>
    </w:p>
    <w:p>
      <w:pPr>
        <w:pStyle w:val="BodyText"/>
        <w:spacing w:before="7"/>
        <w:rPr>
          <w:sz w:val="18"/>
        </w:rPr>
      </w:pPr>
    </w:p>
    <w:p>
      <w:pPr>
        <w:pStyle w:val="Heading2"/>
      </w:pPr>
      <w:r>
        <w:rPr>
          <w:color w:val="231F20"/>
          <w:w w:val="95"/>
        </w:rPr>
        <w:t>Modelos de causación</w:t>
      </w:r>
      <w:r>
        <w:rPr>
          <w:color w:val="231F20"/>
          <w:spacing w:val="53"/>
          <w:w w:val="95"/>
        </w:rPr>
        <w:t> </w:t>
      </w:r>
      <w:r>
        <w:rPr>
          <w:color w:val="231F20"/>
          <w:w w:val="95"/>
        </w:rPr>
        <w:t>acumulativa</w:t>
      </w:r>
    </w:p>
    <w:p>
      <w:pPr>
        <w:pStyle w:val="BodyText"/>
        <w:rPr>
          <w:b/>
          <w:sz w:val="22"/>
        </w:rPr>
      </w:pPr>
    </w:p>
    <w:p>
      <w:pPr>
        <w:pStyle w:val="BodyText"/>
        <w:spacing w:line="259" w:lineRule="auto" w:before="160"/>
        <w:ind w:left="117" w:right="121"/>
        <w:jc w:val="both"/>
      </w:pPr>
      <w:r>
        <w:rPr>
          <w:color w:val="231F20"/>
          <w:w w:val="105"/>
        </w:rPr>
        <w:t>Los principios de la causación circular y acumulativa de Myrdal (1957) afirman que el juego de fuerzas en el mercado tiende normalmente a aumentar las desigualdades entre las regiones, ya que las fuerzas de mercado</w:t>
      </w:r>
      <w:r>
        <w:rPr>
          <w:color w:val="231F20"/>
          <w:spacing w:val="-21"/>
          <w:w w:val="105"/>
        </w:rPr>
        <w:t> </w:t>
      </w:r>
      <w:r>
        <w:rPr>
          <w:color w:val="231F20"/>
          <w:w w:val="105"/>
        </w:rPr>
        <w:t>conducen</w:t>
      </w:r>
      <w:r>
        <w:rPr>
          <w:color w:val="231F20"/>
          <w:spacing w:val="-21"/>
          <w:w w:val="105"/>
        </w:rPr>
        <w:t> </w:t>
      </w:r>
      <w:r>
        <w:rPr>
          <w:color w:val="231F20"/>
          <w:w w:val="105"/>
        </w:rPr>
        <w:t>al</w:t>
      </w:r>
      <w:r>
        <w:rPr>
          <w:color w:val="231F20"/>
          <w:spacing w:val="-21"/>
          <w:w w:val="105"/>
        </w:rPr>
        <w:t> </w:t>
      </w:r>
      <w:r>
        <w:rPr>
          <w:color w:val="231F20"/>
          <w:w w:val="105"/>
        </w:rPr>
        <w:t>agrupamiento</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actividades</w:t>
      </w:r>
      <w:r>
        <w:rPr>
          <w:color w:val="231F20"/>
          <w:spacing w:val="-21"/>
          <w:w w:val="105"/>
        </w:rPr>
        <w:t> </w:t>
      </w:r>
      <w:r>
        <w:rPr>
          <w:color w:val="231F20"/>
          <w:w w:val="105"/>
        </w:rPr>
        <w:t>con</w:t>
      </w:r>
      <w:r>
        <w:rPr>
          <w:color w:val="231F20"/>
          <w:spacing w:val="-21"/>
          <w:w w:val="105"/>
        </w:rPr>
        <w:t> </w:t>
      </w:r>
      <w:r>
        <w:rPr>
          <w:color w:val="231F20"/>
          <w:w w:val="105"/>
        </w:rPr>
        <w:t>rendimientos crecientes</w:t>
      </w:r>
      <w:r>
        <w:rPr>
          <w:color w:val="231F20"/>
          <w:spacing w:val="-31"/>
          <w:w w:val="105"/>
        </w:rPr>
        <w:t> </w:t>
      </w:r>
      <w:r>
        <w:rPr>
          <w:color w:val="231F20"/>
          <w:w w:val="105"/>
        </w:rPr>
        <w:t>en</w:t>
      </w:r>
      <w:r>
        <w:rPr>
          <w:color w:val="231F20"/>
          <w:spacing w:val="-31"/>
          <w:w w:val="105"/>
        </w:rPr>
        <w:t> </w:t>
      </w:r>
      <w:r>
        <w:rPr>
          <w:color w:val="231F20"/>
          <w:w w:val="105"/>
        </w:rPr>
        <w:t>determinadas</w:t>
      </w:r>
      <w:r>
        <w:rPr>
          <w:color w:val="231F20"/>
          <w:spacing w:val="-31"/>
          <w:w w:val="105"/>
        </w:rPr>
        <w:t> </w:t>
      </w:r>
      <w:r>
        <w:rPr>
          <w:color w:val="231F20"/>
          <w:w w:val="105"/>
        </w:rPr>
        <w:t>regiones</w:t>
      </w:r>
      <w:r>
        <w:rPr>
          <w:color w:val="231F20"/>
          <w:spacing w:val="-31"/>
          <w:w w:val="105"/>
        </w:rPr>
        <w:t> </w:t>
      </w:r>
      <w:r>
        <w:rPr>
          <w:color w:val="231F20"/>
          <w:w w:val="105"/>
        </w:rPr>
        <w:t>económicas</w:t>
      </w:r>
      <w:r>
        <w:rPr>
          <w:color w:val="231F20"/>
          <w:spacing w:val="-31"/>
          <w:w w:val="105"/>
        </w:rPr>
        <w:t> </w:t>
      </w:r>
      <w:r>
        <w:rPr>
          <w:color w:val="231F20"/>
          <w:w w:val="105"/>
        </w:rPr>
        <w:t>sin</w:t>
      </w:r>
      <w:r>
        <w:rPr>
          <w:color w:val="231F20"/>
          <w:spacing w:val="-31"/>
          <w:w w:val="105"/>
        </w:rPr>
        <w:t> </w:t>
      </w:r>
      <w:r>
        <w:rPr>
          <w:color w:val="231F20"/>
          <w:w w:val="105"/>
        </w:rPr>
        <w:t>tomar</w:t>
      </w:r>
      <w:r>
        <w:rPr>
          <w:color w:val="231F20"/>
          <w:spacing w:val="-31"/>
          <w:w w:val="105"/>
        </w:rPr>
        <w:t> </w:t>
      </w:r>
      <w:r>
        <w:rPr>
          <w:color w:val="231F20"/>
          <w:w w:val="105"/>
        </w:rPr>
        <w:t>en</w:t>
      </w:r>
      <w:r>
        <w:rPr>
          <w:color w:val="231F20"/>
          <w:spacing w:val="-31"/>
          <w:w w:val="105"/>
        </w:rPr>
        <w:t> </w:t>
      </w:r>
      <w:r>
        <w:rPr>
          <w:color w:val="231F20"/>
          <w:w w:val="105"/>
        </w:rPr>
        <w:t>cuenta</w:t>
      </w:r>
      <w:r>
        <w:rPr>
          <w:color w:val="231F20"/>
          <w:spacing w:val="-31"/>
          <w:w w:val="105"/>
        </w:rPr>
        <w:t> </w:t>
      </w:r>
      <w:r>
        <w:rPr>
          <w:color w:val="231F20"/>
          <w:w w:val="105"/>
        </w:rPr>
        <w:t>las ventajas</w:t>
      </w:r>
      <w:r>
        <w:rPr>
          <w:color w:val="231F20"/>
          <w:spacing w:val="-14"/>
          <w:w w:val="105"/>
        </w:rPr>
        <w:t> </w:t>
      </w:r>
      <w:r>
        <w:rPr>
          <w:color w:val="231F20"/>
          <w:w w:val="105"/>
        </w:rPr>
        <w:t>locacionales.</w:t>
      </w:r>
      <w:r>
        <w:rPr>
          <w:color w:val="231F20"/>
          <w:spacing w:val="-18"/>
          <w:w w:val="105"/>
        </w:rPr>
        <w:t> </w:t>
      </w:r>
      <w:r>
        <w:rPr>
          <w:color w:val="231F20"/>
          <w:w w:val="105"/>
        </w:rPr>
        <w:t>Esta</w:t>
      </w:r>
      <w:r>
        <w:rPr>
          <w:color w:val="231F20"/>
          <w:spacing w:val="-14"/>
          <w:w w:val="105"/>
        </w:rPr>
        <w:t> </w:t>
      </w:r>
      <w:r>
        <w:rPr>
          <w:color w:val="231F20"/>
          <w:w w:val="105"/>
        </w:rPr>
        <w:t>concentración</w:t>
      </w:r>
      <w:r>
        <w:rPr>
          <w:color w:val="231F20"/>
          <w:spacing w:val="-14"/>
          <w:w w:val="105"/>
        </w:rPr>
        <w:t> </w:t>
      </w:r>
      <w:r>
        <w:rPr>
          <w:color w:val="231F20"/>
          <w:w w:val="105"/>
        </w:rPr>
        <w:t>se</w:t>
      </w:r>
      <w:r>
        <w:rPr>
          <w:color w:val="231F20"/>
          <w:spacing w:val="-14"/>
          <w:w w:val="105"/>
        </w:rPr>
        <w:t> </w:t>
      </w:r>
      <w:r>
        <w:rPr>
          <w:color w:val="231F20"/>
          <w:w w:val="105"/>
        </w:rPr>
        <w:t>hace</w:t>
      </w:r>
      <w:r>
        <w:rPr>
          <w:color w:val="231F20"/>
          <w:spacing w:val="-14"/>
          <w:w w:val="105"/>
        </w:rPr>
        <w:t> </w:t>
      </w:r>
      <w:r>
        <w:rPr>
          <w:color w:val="231F20"/>
          <w:w w:val="105"/>
        </w:rPr>
        <w:t>autosuficiente</w:t>
      </w:r>
      <w:r>
        <w:rPr>
          <w:color w:val="231F20"/>
          <w:spacing w:val="-14"/>
          <w:w w:val="105"/>
        </w:rPr>
        <w:t> </w:t>
      </w:r>
      <w:r>
        <w:rPr>
          <w:color w:val="231F20"/>
          <w:w w:val="105"/>
        </w:rPr>
        <w:t>en</w:t>
      </w:r>
      <w:r>
        <w:rPr>
          <w:color w:val="231F20"/>
          <w:spacing w:val="-14"/>
          <w:w w:val="105"/>
        </w:rPr>
        <w:t> </w:t>
      </w:r>
      <w:r>
        <w:rPr>
          <w:color w:val="231F20"/>
          <w:w w:val="105"/>
        </w:rPr>
        <w:t>vir- tud</w:t>
      </w:r>
      <w:r>
        <w:rPr>
          <w:color w:val="231F20"/>
          <w:spacing w:val="-27"/>
          <w:w w:val="105"/>
        </w:rPr>
        <w:t> </w:t>
      </w:r>
      <w:r>
        <w:rPr>
          <w:color w:val="231F20"/>
          <w:w w:val="105"/>
        </w:rPr>
        <w:t>del</w:t>
      </w:r>
      <w:r>
        <w:rPr>
          <w:color w:val="231F20"/>
          <w:spacing w:val="-27"/>
          <w:w w:val="105"/>
        </w:rPr>
        <w:t> </w:t>
      </w:r>
      <w:r>
        <w:rPr>
          <w:color w:val="231F20"/>
          <w:w w:val="105"/>
        </w:rPr>
        <w:t>incremento</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economías</w:t>
      </w:r>
      <w:r>
        <w:rPr>
          <w:color w:val="231F20"/>
          <w:spacing w:val="-27"/>
          <w:w w:val="105"/>
        </w:rPr>
        <w:t> </w:t>
      </w:r>
      <w:r>
        <w:rPr>
          <w:color w:val="231F20"/>
          <w:w w:val="105"/>
        </w:rPr>
        <w:t>internas</w:t>
      </w:r>
      <w:r>
        <w:rPr>
          <w:color w:val="231F20"/>
          <w:spacing w:val="-27"/>
          <w:w w:val="105"/>
        </w:rPr>
        <w:t> </w:t>
      </w:r>
      <w:r>
        <w:rPr>
          <w:color w:val="231F20"/>
          <w:w w:val="105"/>
        </w:rPr>
        <w:t>y</w:t>
      </w:r>
      <w:r>
        <w:rPr>
          <w:color w:val="231F20"/>
          <w:spacing w:val="-27"/>
          <w:w w:val="105"/>
        </w:rPr>
        <w:t> </w:t>
      </w:r>
      <w:r>
        <w:rPr>
          <w:color w:val="231F20"/>
          <w:w w:val="105"/>
        </w:rPr>
        <w:t>externas</w:t>
      </w:r>
      <w:r>
        <w:rPr>
          <w:color w:val="231F20"/>
          <w:spacing w:val="-27"/>
          <w:w w:val="105"/>
        </w:rPr>
        <w:t> </w:t>
      </w:r>
      <w:r>
        <w:rPr>
          <w:color w:val="231F20"/>
          <w:w w:val="105"/>
        </w:rPr>
        <w:t>de</w:t>
      </w:r>
      <w:r>
        <w:rPr>
          <w:color w:val="231F20"/>
          <w:spacing w:val="-27"/>
          <w:w w:val="105"/>
        </w:rPr>
        <w:t> </w:t>
      </w:r>
      <w:r>
        <w:rPr>
          <w:color w:val="231F20"/>
          <w:w w:val="105"/>
        </w:rPr>
        <w:t>estos</w:t>
      </w:r>
      <w:r>
        <w:rPr>
          <w:color w:val="231F20"/>
          <w:spacing w:val="-27"/>
          <w:w w:val="105"/>
        </w:rPr>
        <w:t> </w:t>
      </w:r>
      <w:r>
        <w:rPr>
          <w:color w:val="231F20"/>
          <w:w w:val="105"/>
        </w:rPr>
        <w:t>centros de</w:t>
      </w:r>
      <w:r>
        <w:rPr>
          <w:color w:val="231F20"/>
          <w:spacing w:val="-36"/>
          <w:w w:val="105"/>
        </w:rPr>
        <w:t> </w:t>
      </w:r>
      <w:r>
        <w:rPr>
          <w:color w:val="231F20"/>
          <w:w w:val="105"/>
        </w:rPr>
        <w:t>aglomeración</w:t>
      </w:r>
      <w:r>
        <w:rPr>
          <w:color w:val="231F20"/>
          <w:spacing w:val="-36"/>
          <w:w w:val="105"/>
        </w:rPr>
        <w:t> </w:t>
      </w:r>
      <w:r>
        <w:rPr>
          <w:color w:val="231F20"/>
          <w:w w:val="105"/>
        </w:rPr>
        <w:t>(Richardson,</w:t>
      </w:r>
      <w:r>
        <w:rPr>
          <w:color w:val="231F20"/>
          <w:spacing w:val="-40"/>
          <w:w w:val="105"/>
        </w:rPr>
        <w:t> </w:t>
      </w:r>
      <w:r>
        <w:rPr>
          <w:color w:val="231F20"/>
          <w:w w:val="105"/>
        </w:rPr>
        <w:t>1977).</w:t>
      </w:r>
    </w:p>
    <w:p>
      <w:pPr>
        <w:pStyle w:val="BodyText"/>
        <w:spacing w:line="259" w:lineRule="auto"/>
        <w:ind w:left="117" w:right="121" w:firstLine="567"/>
        <w:jc w:val="both"/>
      </w:pPr>
      <w:r>
        <w:rPr>
          <w:color w:val="231F20"/>
          <w:w w:val="105"/>
        </w:rPr>
        <w:t>Esto</w:t>
      </w:r>
      <w:r>
        <w:rPr>
          <w:color w:val="231F20"/>
          <w:spacing w:val="-22"/>
          <w:w w:val="105"/>
        </w:rPr>
        <w:t> </w:t>
      </w:r>
      <w:r>
        <w:rPr>
          <w:color w:val="231F20"/>
          <w:w w:val="105"/>
        </w:rPr>
        <w:t>es,</w:t>
      </w:r>
      <w:r>
        <w:rPr>
          <w:color w:val="231F20"/>
          <w:spacing w:val="-27"/>
          <w:w w:val="105"/>
        </w:rPr>
        <w:t> </w:t>
      </w:r>
      <w:r>
        <w:rPr>
          <w:color w:val="231F20"/>
          <w:w w:val="105"/>
        </w:rPr>
        <w:t>el</w:t>
      </w:r>
      <w:r>
        <w:rPr>
          <w:color w:val="231F20"/>
          <w:spacing w:val="-22"/>
          <w:w w:val="105"/>
        </w:rPr>
        <w:t> </w:t>
      </w:r>
      <w:r>
        <w:rPr>
          <w:color w:val="231F20"/>
          <w:w w:val="105"/>
        </w:rPr>
        <w:t>crecimiento</w:t>
      </w:r>
      <w:r>
        <w:rPr>
          <w:color w:val="231F20"/>
          <w:spacing w:val="-22"/>
          <w:w w:val="105"/>
        </w:rPr>
        <w:t> </w:t>
      </w:r>
      <w:r>
        <w:rPr>
          <w:color w:val="231F20"/>
          <w:w w:val="105"/>
        </w:rPr>
        <w:t>en</w:t>
      </w:r>
      <w:r>
        <w:rPr>
          <w:color w:val="231F20"/>
          <w:spacing w:val="-22"/>
          <w:w w:val="105"/>
        </w:rPr>
        <w:t> </w:t>
      </w:r>
      <w:r>
        <w:rPr>
          <w:color w:val="231F20"/>
          <w:w w:val="105"/>
        </w:rPr>
        <w:t>las</w:t>
      </w:r>
      <w:r>
        <w:rPr>
          <w:color w:val="231F20"/>
          <w:spacing w:val="-22"/>
          <w:w w:val="105"/>
        </w:rPr>
        <w:t> </w:t>
      </w:r>
      <w:r>
        <w:rPr>
          <w:color w:val="231F20"/>
          <w:w w:val="105"/>
        </w:rPr>
        <w:t>áreas</w:t>
      </w:r>
      <w:r>
        <w:rPr>
          <w:color w:val="231F20"/>
          <w:spacing w:val="-22"/>
          <w:w w:val="105"/>
        </w:rPr>
        <w:t> </w:t>
      </w:r>
      <w:r>
        <w:rPr>
          <w:color w:val="231F20"/>
          <w:w w:val="105"/>
        </w:rPr>
        <w:t>prósperas</w:t>
      </w:r>
      <w:r>
        <w:rPr>
          <w:color w:val="231F20"/>
          <w:spacing w:val="-22"/>
          <w:w w:val="105"/>
        </w:rPr>
        <w:t> </w:t>
      </w:r>
      <w:r>
        <w:rPr>
          <w:color w:val="231F20"/>
          <w:w w:val="105"/>
        </w:rPr>
        <w:t>afecta</w:t>
      </w:r>
      <w:r>
        <w:rPr>
          <w:color w:val="231F20"/>
          <w:spacing w:val="-22"/>
          <w:w w:val="105"/>
        </w:rPr>
        <w:t> </w:t>
      </w:r>
      <w:r>
        <w:rPr>
          <w:color w:val="231F20"/>
          <w:w w:val="105"/>
        </w:rPr>
        <w:t>de</w:t>
      </w:r>
      <w:r>
        <w:rPr>
          <w:color w:val="231F20"/>
          <w:spacing w:val="-22"/>
          <w:w w:val="105"/>
        </w:rPr>
        <w:t> </w:t>
      </w:r>
      <w:r>
        <w:rPr>
          <w:color w:val="231F20"/>
          <w:w w:val="105"/>
        </w:rPr>
        <w:t>dos</w:t>
      </w:r>
      <w:r>
        <w:rPr>
          <w:color w:val="231F20"/>
          <w:spacing w:val="-22"/>
          <w:w w:val="105"/>
        </w:rPr>
        <w:t> </w:t>
      </w:r>
      <w:r>
        <w:rPr>
          <w:color w:val="231F20"/>
          <w:w w:val="105"/>
        </w:rPr>
        <w:t>mane- ras</w:t>
      </w:r>
      <w:r>
        <w:rPr>
          <w:color w:val="231F20"/>
          <w:spacing w:val="-10"/>
          <w:w w:val="105"/>
        </w:rPr>
        <w:t> </w:t>
      </w:r>
      <w:r>
        <w:rPr>
          <w:color w:val="231F20"/>
          <w:w w:val="105"/>
        </w:rPr>
        <w:t>a</w:t>
      </w:r>
      <w:r>
        <w:rPr>
          <w:color w:val="231F20"/>
          <w:spacing w:val="-10"/>
          <w:w w:val="105"/>
        </w:rPr>
        <w:t> </w:t>
      </w:r>
      <w:r>
        <w:rPr>
          <w:color w:val="231F20"/>
          <w:w w:val="105"/>
        </w:rPr>
        <w:t>las</w:t>
      </w:r>
      <w:r>
        <w:rPr>
          <w:color w:val="231F20"/>
          <w:spacing w:val="-10"/>
          <w:w w:val="105"/>
        </w:rPr>
        <w:t> </w:t>
      </w:r>
      <w:r>
        <w:rPr>
          <w:color w:val="231F20"/>
          <w:w w:val="105"/>
        </w:rPr>
        <w:t>regiones</w:t>
      </w:r>
      <w:r>
        <w:rPr>
          <w:color w:val="231F20"/>
          <w:spacing w:val="-10"/>
          <w:w w:val="105"/>
        </w:rPr>
        <w:t> </w:t>
      </w:r>
      <w:r>
        <w:rPr>
          <w:color w:val="231F20"/>
          <w:w w:val="105"/>
        </w:rPr>
        <w:t>pobres</w:t>
      </w:r>
      <w:r>
        <w:rPr>
          <w:color w:val="231F20"/>
          <w:spacing w:val="-10"/>
          <w:w w:val="105"/>
        </w:rPr>
        <w:t> </w:t>
      </w:r>
      <w:r>
        <w:rPr>
          <w:color w:val="231F20"/>
          <w:w w:val="105"/>
        </w:rPr>
        <w:t>a</w:t>
      </w:r>
      <w:r>
        <w:rPr>
          <w:color w:val="231F20"/>
          <w:spacing w:val="-10"/>
          <w:w w:val="105"/>
        </w:rPr>
        <w:t> </w:t>
      </w:r>
      <w:r>
        <w:rPr>
          <w:color w:val="231F20"/>
          <w:w w:val="105"/>
        </w:rPr>
        <w:t>través</w:t>
      </w:r>
      <w:r>
        <w:rPr>
          <w:color w:val="231F20"/>
          <w:spacing w:val="-10"/>
          <w:w w:val="105"/>
        </w:rPr>
        <w:t> </w:t>
      </w:r>
      <w:r>
        <w:rPr>
          <w:color w:val="231F20"/>
          <w:w w:val="105"/>
        </w:rPr>
        <w:t>de</w:t>
      </w:r>
      <w:r>
        <w:rPr>
          <w:color w:val="231F20"/>
          <w:spacing w:val="-10"/>
          <w:w w:val="105"/>
        </w:rPr>
        <w:t> </w:t>
      </w:r>
      <w:r>
        <w:rPr>
          <w:color w:val="231F20"/>
          <w:w w:val="105"/>
        </w:rPr>
        <w:t>efectos</w:t>
      </w:r>
      <w:r>
        <w:rPr>
          <w:color w:val="231F20"/>
          <w:spacing w:val="-10"/>
          <w:w w:val="105"/>
        </w:rPr>
        <w:t> </w:t>
      </w:r>
      <w:r>
        <w:rPr>
          <w:color w:val="231F20"/>
          <w:w w:val="105"/>
        </w:rPr>
        <w:t>favorables</w:t>
      </w:r>
      <w:r>
        <w:rPr>
          <w:color w:val="231F20"/>
          <w:spacing w:val="-10"/>
          <w:w w:val="105"/>
        </w:rPr>
        <w:t> </w:t>
      </w:r>
      <w:r>
        <w:rPr>
          <w:color w:val="231F20"/>
          <w:w w:val="105"/>
        </w:rPr>
        <w:t>(</w:t>
      </w:r>
      <w:r>
        <w:rPr>
          <w:i/>
          <w:color w:val="231F20"/>
          <w:w w:val="105"/>
        </w:rPr>
        <w:t>spread</w:t>
      </w:r>
      <w:r>
        <w:rPr>
          <w:color w:val="231F20"/>
          <w:w w:val="105"/>
        </w:rPr>
        <w:t>)</w:t>
      </w:r>
      <w:r>
        <w:rPr>
          <w:color w:val="231F20"/>
          <w:spacing w:val="-10"/>
          <w:w w:val="105"/>
        </w:rPr>
        <w:t> </w:t>
      </w:r>
      <w:r>
        <w:rPr>
          <w:color w:val="231F20"/>
          <w:w w:val="105"/>
        </w:rPr>
        <w:t>y</w:t>
      </w:r>
      <w:r>
        <w:rPr>
          <w:color w:val="231F20"/>
          <w:spacing w:val="-10"/>
          <w:w w:val="105"/>
        </w:rPr>
        <w:t> </w:t>
      </w:r>
      <w:r>
        <w:rPr>
          <w:color w:val="231F20"/>
          <w:w w:val="105"/>
        </w:rPr>
        <w:t>des- favorables (</w:t>
      </w:r>
      <w:r>
        <w:rPr>
          <w:i/>
          <w:color w:val="231F20"/>
          <w:w w:val="105"/>
        </w:rPr>
        <w:t>backwash</w:t>
      </w:r>
      <w:r>
        <w:rPr>
          <w:color w:val="231F20"/>
          <w:w w:val="105"/>
        </w:rPr>
        <w:t>). Los primeros influyen en los mercados para</w:t>
      </w:r>
      <w:r>
        <w:rPr>
          <w:color w:val="231F20"/>
          <w:spacing w:val="-35"/>
          <w:w w:val="105"/>
        </w:rPr>
        <w:t> </w:t>
      </w:r>
      <w:r>
        <w:rPr>
          <w:color w:val="231F20"/>
          <w:w w:val="105"/>
        </w:rPr>
        <w:t>los productos</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regiones</w:t>
      </w:r>
      <w:r>
        <w:rPr>
          <w:color w:val="231F20"/>
          <w:spacing w:val="-8"/>
          <w:w w:val="105"/>
        </w:rPr>
        <w:t> </w:t>
      </w:r>
      <w:r>
        <w:rPr>
          <w:color w:val="231F20"/>
          <w:w w:val="105"/>
        </w:rPr>
        <w:t>atrasadas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difusión</w:t>
      </w:r>
      <w:r>
        <w:rPr>
          <w:color w:val="231F20"/>
          <w:spacing w:val="-8"/>
          <w:w w:val="105"/>
        </w:rPr>
        <w:t> </w:t>
      </w:r>
      <w:r>
        <w:rPr>
          <w:color w:val="231F20"/>
          <w:w w:val="105"/>
        </w:rPr>
        <w:t>de</w:t>
      </w:r>
      <w:r>
        <w:rPr>
          <w:color w:val="231F20"/>
          <w:spacing w:val="-8"/>
          <w:w w:val="105"/>
        </w:rPr>
        <w:t> </w:t>
      </w:r>
      <w:r>
        <w:rPr>
          <w:color w:val="231F20"/>
          <w:w w:val="105"/>
        </w:rPr>
        <w:t>innovaciones,</w:t>
      </w:r>
      <w:r>
        <w:rPr>
          <w:color w:val="231F20"/>
          <w:spacing w:val="-14"/>
          <w:w w:val="105"/>
        </w:rPr>
        <w:t> </w:t>
      </w:r>
      <w:r>
        <w:rPr>
          <w:color w:val="231F20"/>
          <w:w w:val="105"/>
        </w:rPr>
        <w:t>pero éstos</w:t>
      </w:r>
      <w:r>
        <w:rPr>
          <w:color w:val="231F20"/>
          <w:spacing w:val="-5"/>
          <w:w w:val="105"/>
        </w:rPr>
        <w:t> </w:t>
      </w:r>
      <w:r>
        <w:rPr>
          <w:color w:val="231F20"/>
          <w:w w:val="105"/>
        </w:rPr>
        <w:t>se</w:t>
      </w:r>
      <w:r>
        <w:rPr>
          <w:color w:val="231F20"/>
          <w:spacing w:val="-5"/>
          <w:w w:val="105"/>
        </w:rPr>
        <w:t> </w:t>
      </w:r>
      <w:r>
        <w:rPr>
          <w:color w:val="231F20"/>
          <w:w w:val="105"/>
        </w:rPr>
        <w:t>ven</w:t>
      </w:r>
      <w:r>
        <w:rPr>
          <w:color w:val="231F20"/>
          <w:spacing w:val="-5"/>
          <w:w w:val="105"/>
        </w:rPr>
        <w:t> </w:t>
      </w:r>
      <w:r>
        <w:rPr>
          <w:color w:val="231F20"/>
          <w:w w:val="105"/>
        </w:rPr>
        <w:t>superados</w:t>
      </w:r>
      <w:r>
        <w:rPr>
          <w:color w:val="231F20"/>
          <w:spacing w:val="-5"/>
          <w:w w:val="105"/>
        </w:rPr>
        <w:t> </w:t>
      </w:r>
      <w:r>
        <w:rPr>
          <w:color w:val="231F20"/>
          <w:w w:val="105"/>
        </w:rPr>
        <w:t>por</w:t>
      </w:r>
      <w:r>
        <w:rPr>
          <w:color w:val="231F20"/>
          <w:spacing w:val="-5"/>
          <w:w w:val="105"/>
        </w:rPr>
        <w:t> </w:t>
      </w:r>
      <w:r>
        <w:rPr>
          <w:color w:val="231F20"/>
          <w:w w:val="105"/>
        </w:rPr>
        <w:t>los</w:t>
      </w:r>
      <w:r>
        <w:rPr>
          <w:color w:val="231F20"/>
          <w:spacing w:val="-5"/>
          <w:w w:val="105"/>
        </w:rPr>
        <w:t> </w:t>
      </w:r>
      <w:r>
        <w:rPr>
          <w:color w:val="231F20"/>
          <w:w w:val="105"/>
        </w:rPr>
        <w:t>segundos</w:t>
      </w:r>
      <w:r>
        <w:rPr>
          <w:color w:val="231F20"/>
          <w:spacing w:val="-5"/>
          <w:w w:val="105"/>
        </w:rPr>
        <w:t> </w:t>
      </w:r>
      <w:r>
        <w:rPr>
          <w:color w:val="231F20"/>
          <w:w w:val="105"/>
        </w:rPr>
        <w:t>a</w:t>
      </w:r>
      <w:r>
        <w:rPr>
          <w:color w:val="231F20"/>
          <w:spacing w:val="-5"/>
          <w:w w:val="105"/>
        </w:rPr>
        <w:t> </w:t>
      </w:r>
      <w:r>
        <w:rPr>
          <w:color w:val="231F20"/>
          <w:w w:val="105"/>
        </w:rPr>
        <w:t>causa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desequilibrios que</w:t>
      </w:r>
      <w:r>
        <w:rPr>
          <w:color w:val="231F20"/>
          <w:spacing w:val="-10"/>
          <w:w w:val="105"/>
        </w:rPr>
        <w:t> </w:t>
      </w:r>
      <w:r>
        <w:rPr>
          <w:color w:val="231F20"/>
          <w:w w:val="105"/>
        </w:rPr>
        <w:t>se</w:t>
      </w:r>
      <w:r>
        <w:rPr>
          <w:color w:val="231F20"/>
          <w:spacing w:val="-10"/>
          <w:w w:val="105"/>
        </w:rPr>
        <w:t> </w:t>
      </w:r>
      <w:r>
        <w:rPr>
          <w:color w:val="231F20"/>
          <w:w w:val="105"/>
        </w:rPr>
        <w:t>dan</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mano</w:t>
      </w:r>
      <w:r>
        <w:rPr>
          <w:color w:val="231F20"/>
          <w:spacing w:val="-10"/>
          <w:w w:val="105"/>
        </w:rPr>
        <w:t> </w:t>
      </w:r>
      <w:r>
        <w:rPr>
          <w:color w:val="231F20"/>
          <w:w w:val="105"/>
        </w:rPr>
        <w:t>de</w:t>
      </w:r>
      <w:r>
        <w:rPr>
          <w:color w:val="231F20"/>
          <w:spacing w:val="-10"/>
          <w:w w:val="105"/>
        </w:rPr>
        <w:t> </w:t>
      </w:r>
      <w:r>
        <w:rPr>
          <w:color w:val="231F20"/>
          <w:w w:val="105"/>
        </w:rPr>
        <w:t>obra,</w:t>
      </w:r>
      <w:r>
        <w:rPr>
          <w:color w:val="231F20"/>
          <w:spacing w:val="-16"/>
          <w:w w:val="105"/>
        </w:rPr>
        <w:t> </w:t>
      </w:r>
      <w:r>
        <w:rPr>
          <w:color w:val="231F20"/>
          <w:w w:val="105"/>
        </w:rPr>
        <w:t>productos</w:t>
      </w:r>
      <w:r>
        <w:rPr>
          <w:color w:val="231F20"/>
          <w:spacing w:val="-10"/>
          <w:w w:val="105"/>
        </w:rPr>
        <w:t> </w:t>
      </w:r>
      <w:r>
        <w:rPr>
          <w:color w:val="231F20"/>
          <w:w w:val="105"/>
        </w:rPr>
        <w:t>y</w:t>
      </w:r>
      <w:r>
        <w:rPr>
          <w:color w:val="231F20"/>
          <w:spacing w:val="-10"/>
          <w:w w:val="105"/>
        </w:rPr>
        <w:t> </w:t>
      </w:r>
      <w:r>
        <w:rPr>
          <w:color w:val="231F20"/>
          <w:w w:val="105"/>
        </w:rPr>
        <w:t>servicios</w:t>
      </w:r>
      <w:r>
        <w:rPr>
          <w:color w:val="231F20"/>
          <w:spacing w:val="-10"/>
          <w:w w:val="105"/>
        </w:rPr>
        <w:t> </w:t>
      </w:r>
      <w:r>
        <w:rPr>
          <w:color w:val="231F20"/>
          <w:w w:val="105"/>
        </w:rPr>
        <w:t>que</w:t>
      </w:r>
      <w:r>
        <w:rPr>
          <w:color w:val="231F20"/>
          <w:spacing w:val="-10"/>
          <w:w w:val="105"/>
        </w:rPr>
        <w:t> </w:t>
      </w:r>
      <w:r>
        <w:rPr>
          <w:color w:val="231F20"/>
          <w:w w:val="105"/>
        </w:rPr>
        <w:t>van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re- giones</w:t>
      </w:r>
      <w:r>
        <w:rPr>
          <w:color w:val="231F20"/>
          <w:spacing w:val="-32"/>
          <w:w w:val="105"/>
        </w:rPr>
        <w:t> </w:t>
      </w:r>
      <w:r>
        <w:rPr>
          <w:color w:val="231F20"/>
          <w:w w:val="105"/>
        </w:rPr>
        <w:t>pobres</w:t>
      </w:r>
      <w:r>
        <w:rPr>
          <w:color w:val="231F20"/>
          <w:spacing w:val="-32"/>
          <w:w w:val="105"/>
        </w:rPr>
        <w:t> </w:t>
      </w:r>
      <w:r>
        <w:rPr>
          <w:color w:val="231F20"/>
          <w:w w:val="105"/>
        </w:rPr>
        <w:t>a</w:t>
      </w:r>
      <w:r>
        <w:rPr>
          <w:color w:val="231F20"/>
          <w:spacing w:val="-32"/>
          <w:w w:val="105"/>
        </w:rPr>
        <w:t> </w:t>
      </w:r>
      <w:r>
        <w:rPr>
          <w:color w:val="231F20"/>
          <w:w w:val="105"/>
        </w:rPr>
        <w:t>las</w:t>
      </w:r>
      <w:r>
        <w:rPr>
          <w:color w:val="231F20"/>
          <w:spacing w:val="-32"/>
          <w:w w:val="105"/>
        </w:rPr>
        <w:t> </w:t>
      </w:r>
      <w:r>
        <w:rPr>
          <w:color w:val="231F20"/>
          <w:w w:val="105"/>
        </w:rPr>
        <w:t>prósperas</w:t>
      </w:r>
      <w:r>
        <w:rPr>
          <w:color w:val="231F20"/>
          <w:spacing w:val="-32"/>
          <w:w w:val="105"/>
        </w:rPr>
        <w:t> </w:t>
      </w:r>
      <w:r>
        <w:rPr>
          <w:color w:val="231F20"/>
          <w:w w:val="105"/>
        </w:rPr>
        <w:t>(Richadson,</w:t>
      </w:r>
      <w:r>
        <w:rPr>
          <w:color w:val="231F20"/>
          <w:spacing w:val="-36"/>
          <w:w w:val="105"/>
        </w:rPr>
        <w:t> </w:t>
      </w:r>
      <w:r>
        <w:rPr>
          <w:color w:val="231F20"/>
          <w:w w:val="105"/>
        </w:rPr>
        <w:t>1977).</w:t>
      </w:r>
    </w:p>
    <w:p>
      <w:pPr>
        <w:pStyle w:val="BodyText"/>
        <w:spacing w:line="259" w:lineRule="auto"/>
        <w:ind w:left="117" w:right="121" w:firstLine="567"/>
        <w:jc w:val="both"/>
      </w:pPr>
      <w:r>
        <w:rPr>
          <w:color w:val="231F20"/>
          <w:w w:val="105"/>
        </w:rPr>
        <w:t>Se tiene, entonces, que el libre comercio opera con desventajas en las regiones atrasadas porque, de acuerdo a Myrdal, limita la</w:t>
      </w:r>
      <w:r>
        <w:rPr>
          <w:color w:val="231F20"/>
          <w:spacing w:val="-26"/>
          <w:w w:val="105"/>
        </w:rPr>
        <w:t> </w:t>
      </w:r>
      <w:r>
        <w:rPr>
          <w:color w:val="231F20"/>
          <w:w w:val="105"/>
        </w:rPr>
        <w:t>indus- trialización</w:t>
      </w:r>
      <w:r>
        <w:rPr>
          <w:color w:val="231F20"/>
          <w:spacing w:val="-13"/>
          <w:w w:val="105"/>
        </w:rPr>
        <w:t> </w:t>
      </w:r>
      <w:r>
        <w:rPr>
          <w:color w:val="231F20"/>
          <w:w w:val="105"/>
        </w:rPr>
        <w:t>y</w:t>
      </w:r>
      <w:r>
        <w:rPr>
          <w:color w:val="231F20"/>
          <w:spacing w:val="-13"/>
          <w:w w:val="105"/>
        </w:rPr>
        <w:t> </w:t>
      </w:r>
      <w:r>
        <w:rPr>
          <w:color w:val="231F20"/>
          <w:w w:val="105"/>
        </w:rPr>
        <w:t>altera</w:t>
      </w:r>
      <w:r>
        <w:rPr>
          <w:color w:val="231F20"/>
          <w:spacing w:val="-13"/>
          <w:w w:val="105"/>
        </w:rPr>
        <w:t> </w:t>
      </w:r>
      <w:r>
        <w:rPr>
          <w:color w:val="231F20"/>
          <w:w w:val="105"/>
        </w:rPr>
        <w:t>su</w:t>
      </w:r>
      <w:r>
        <w:rPr>
          <w:color w:val="231F20"/>
          <w:spacing w:val="-13"/>
          <w:w w:val="105"/>
        </w:rPr>
        <w:t> </w:t>
      </w:r>
      <w:r>
        <w:rPr>
          <w:color w:val="231F20"/>
          <w:w w:val="105"/>
        </w:rPr>
        <w:t>sistema</w:t>
      </w:r>
      <w:r>
        <w:rPr>
          <w:color w:val="231F20"/>
          <w:spacing w:val="-13"/>
          <w:w w:val="105"/>
        </w:rPr>
        <w:t> </w:t>
      </w:r>
      <w:r>
        <w:rPr>
          <w:color w:val="231F20"/>
          <w:w w:val="105"/>
        </w:rPr>
        <w:t>de</w:t>
      </w:r>
      <w:r>
        <w:rPr>
          <w:color w:val="231F20"/>
          <w:spacing w:val="-13"/>
          <w:w w:val="105"/>
        </w:rPr>
        <w:t> </w:t>
      </w:r>
      <w:r>
        <w:rPr>
          <w:color w:val="231F20"/>
          <w:w w:val="105"/>
        </w:rPr>
        <w:t>producción;</w:t>
      </w:r>
      <w:r>
        <w:rPr>
          <w:color w:val="231F20"/>
          <w:spacing w:val="-13"/>
          <w:w w:val="105"/>
        </w:rPr>
        <w:t> </w:t>
      </w:r>
      <w:r>
        <w:rPr>
          <w:color w:val="231F20"/>
          <w:w w:val="105"/>
        </w:rPr>
        <w:t>por</w:t>
      </w:r>
      <w:r>
        <w:rPr>
          <w:color w:val="231F20"/>
          <w:spacing w:val="-13"/>
          <w:w w:val="105"/>
        </w:rPr>
        <w:t> </w:t>
      </w:r>
      <w:r>
        <w:rPr>
          <w:color w:val="231F20"/>
          <w:w w:val="105"/>
        </w:rPr>
        <w:t>ello,</w:t>
      </w:r>
      <w:r>
        <w:rPr>
          <w:color w:val="231F20"/>
          <w:spacing w:val="-18"/>
          <w:w w:val="105"/>
        </w:rPr>
        <w:t> </w:t>
      </w:r>
      <w:r>
        <w:rPr>
          <w:color w:val="231F20"/>
          <w:w w:val="105"/>
        </w:rPr>
        <w:t>el</w:t>
      </w:r>
      <w:r>
        <w:rPr>
          <w:color w:val="231F20"/>
          <w:spacing w:val="-13"/>
          <w:w w:val="105"/>
        </w:rPr>
        <w:t> </w:t>
      </w:r>
      <w:r>
        <w:rPr>
          <w:color w:val="231F20"/>
          <w:w w:val="105"/>
        </w:rPr>
        <w:t>crecimiento</w:t>
      </w:r>
      <w:r>
        <w:rPr>
          <w:color w:val="231F20"/>
          <w:spacing w:val="-13"/>
          <w:w w:val="105"/>
        </w:rPr>
        <w:t> </w:t>
      </w:r>
      <w:r>
        <w:rPr>
          <w:color w:val="231F20"/>
          <w:w w:val="105"/>
        </w:rPr>
        <w:t>re- gional es un proceso desequilibrador. Myrdal establece que las</w:t>
      </w:r>
      <w:r>
        <w:rPr>
          <w:color w:val="231F20"/>
          <w:spacing w:val="-37"/>
          <w:w w:val="105"/>
        </w:rPr>
        <w:t> </w:t>
      </w:r>
      <w:r>
        <w:rPr>
          <w:color w:val="231F20"/>
          <w:w w:val="105"/>
        </w:rPr>
        <w:t>fuerzas de mercado propician desequilibrios,</w:t>
      </w:r>
      <w:r>
        <w:rPr>
          <w:color w:val="231F20"/>
          <w:spacing w:val="-43"/>
          <w:w w:val="105"/>
        </w:rPr>
        <w:t> </w:t>
      </w:r>
      <w:r>
        <w:rPr>
          <w:color w:val="231F20"/>
          <w:w w:val="105"/>
        </w:rPr>
        <w:t>porque si en una región aparecen rendimientos</w:t>
      </w:r>
      <w:r>
        <w:rPr>
          <w:color w:val="231F20"/>
          <w:spacing w:val="-9"/>
          <w:w w:val="105"/>
        </w:rPr>
        <w:t> </w:t>
      </w:r>
      <w:r>
        <w:rPr>
          <w:color w:val="231F20"/>
          <w:w w:val="105"/>
        </w:rPr>
        <w:t>crecientes</w:t>
      </w:r>
      <w:r>
        <w:rPr>
          <w:color w:val="231F20"/>
          <w:spacing w:val="-9"/>
          <w:w w:val="105"/>
        </w:rPr>
        <w:t> </w:t>
      </w:r>
      <w:r>
        <w:rPr>
          <w:color w:val="231F20"/>
          <w:w w:val="105"/>
        </w:rPr>
        <w:t>a</w:t>
      </w:r>
      <w:r>
        <w:rPr>
          <w:color w:val="231F20"/>
          <w:spacing w:val="-9"/>
          <w:w w:val="105"/>
        </w:rPr>
        <w:t> </w:t>
      </w:r>
      <w:r>
        <w:rPr>
          <w:color w:val="231F20"/>
          <w:w w:val="105"/>
        </w:rPr>
        <w:t>escala,</w:t>
      </w:r>
      <w:r>
        <w:rPr>
          <w:color w:val="231F20"/>
          <w:spacing w:val="-15"/>
          <w:w w:val="105"/>
        </w:rPr>
        <w:t> </w:t>
      </w:r>
      <w:r>
        <w:rPr>
          <w:color w:val="231F20"/>
          <w:w w:val="105"/>
        </w:rPr>
        <w:t>tanto</w:t>
      </w:r>
      <w:r>
        <w:rPr>
          <w:color w:val="231F20"/>
          <w:spacing w:val="-9"/>
          <w:w w:val="105"/>
        </w:rPr>
        <w:t> </w:t>
      </w:r>
      <w:r>
        <w:rPr>
          <w:color w:val="231F20"/>
          <w:w w:val="105"/>
        </w:rPr>
        <w:t>el</w:t>
      </w:r>
      <w:r>
        <w:rPr>
          <w:color w:val="231F20"/>
          <w:spacing w:val="-9"/>
          <w:w w:val="105"/>
        </w:rPr>
        <w:t> </w:t>
      </w:r>
      <w:r>
        <w:rPr>
          <w:color w:val="231F20"/>
          <w:w w:val="105"/>
        </w:rPr>
        <w:t>capital</w:t>
      </w:r>
      <w:r>
        <w:rPr>
          <w:color w:val="231F20"/>
          <w:spacing w:val="-9"/>
          <w:w w:val="105"/>
        </w:rPr>
        <w:t> </w:t>
      </w:r>
      <w:r>
        <w:rPr>
          <w:color w:val="231F20"/>
          <w:w w:val="105"/>
        </w:rPr>
        <w:t>como</w:t>
      </w:r>
      <w:r>
        <w:rPr>
          <w:color w:val="231F20"/>
          <w:spacing w:val="-9"/>
          <w:w w:val="105"/>
        </w:rPr>
        <w:t> </w:t>
      </w:r>
      <w:r>
        <w:rPr>
          <w:color w:val="231F20"/>
          <w:w w:val="105"/>
        </w:rPr>
        <w:t>la</w:t>
      </w:r>
      <w:r>
        <w:rPr>
          <w:color w:val="231F20"/>
          <w:spacing w:val="-9"/>
          <w:w w:val="105"/>
        </w:rPr>
        <w:t> </w:t>
      </w:r>
      <w:r>
        <w:rPr>
          <w:color w:val="231F20"/>
          <w:w w:val="105"/>
        </w:rPr>
        <w:t>mano</w:t>
      </w:r>
      <w:r>
        <w:rPr>
          <w:color w:val="231F20"/>
          <w:spacing w:val="-9"/>
          <w:w w:val="105"/>
        </w:rPr>
        <w:t> </w:t>
      </w:r>
      <w:r>
        <w:rPr>
          <w:color w:val="231F20"/>
          <w:w w:val="105"/>
        </w:rPr>
        <w:t>de</w:t>
      </w:r>
      <w:r>
        <w:rPr>
          <w:color w:val="231F20"/>
          <w:spacing w:val="-9"/>
          <w:w w:val="105"/>
        </w:rPr>
        <w:t> </w:t>
      </w:r>
      <w:r>
        <w:rPr>
          <w:color w:val="231F20"/>
          <w:w w:val="105"/>
        </w:rPr>
        <w:t>obra fluyen</w:t>
      </w:r>
      <w:r>
        <w:rPr>
          <w:color w:val="231F20"/>
          <w:spacing w:val="-14"/>
          <w:w w:val="105"/>
        </w:rPr>
        <w:t> </w:t>
      </w:r>
      <w:r>
        <w:rPr>
          <w:color w:val="231F20"/>
          <w:w w:val="105"/>
        </w:rPr>
        <w:t>a</w:t>
      </w:r>
      <w:r>
        <w:rPr>
          <w:color w:val="231F20"/>
          <w:spacing w:val="-14"/>
          <w:w w:val="105"/>
        </w:rPr>
        <w:t> </w:t>
      </w:r>
      <w:r>
        <w:rPr>
          <w:color w:val="231F20"/>
          <w:w w:val="105"/>
        </w:rPr>
        <w:t>esa</w:t>
      </w:r>
      <w:r>
        <w:rPr>
          <w:color w:val="231F20"/>
          <w:spacing w:val="-14"/>
          <w:w w:val="105"/>
        </w:rPr>
        <w:t> </w:t>
      </w:r>
      <w:r>
        <w:rPr>
          <w:color w:val="231F20"/>
          <w:w w:val="105"/>
        </w:rPr>
        <w:t>zona;</w:t>
      </w:r>
      <w:r>
        <w:rPr>
          <w:color w:val="231F20"/>
          <w:spacing w:val="-14"/>
          <w:w w:val="105"/>
        </w:rPr>
        <w:t> </w:t>
      </w:r>
      <w:r>
        <w:rPr>
          <w:color w:val="231F20"/>
          <w:w w:val="105"/>
        </w:rPr>
        <w:t>estos</w:t>
      </w:r>
      <w:r>
        <w:rPr>
          <w:color w:val="231F20"/>
          <w:spacing w:val="-14"/>
          <w:w w:val="105"/>
        </w:rPr>
        <w:t> </w:t>
      </w:r>
      <w:r>
        <w:rPr>
          <w:color w:val="231F20"/>
          <w:w w:val="105"/>
        </w:rPr>
        <w:t>son</w:t>
      </w:r>
      <w:r>
        <w:rPr>
          <w:color w:val="231F20"/>
          <w:spacing w:val="-14"/>
          <w:w w:val="105"/>
        </w:rPr>
        <w:t> </w:t>
      </w:r>
      <w:r>
        <w:rPr>
          <w:color w:val="231F20"/>
          <w:w w:val="105"/>
        </w:rPr>
        <w:t>los</w:t>
      </w:r>
      <w:r>
        <w:rPr>
          <w:color w:val="231F20"/>
          <w:spacing w:val="-14"/>
          <w:w w:val="105"/>
        </w:rPr>
        <w:t> </w:t>
      </w:r>
      <w:r>
        <w:rPr>
          <w:color w:val="231F20"/>
          <w:w w:val="105"/>
        </w:rPr>
        <w:t>efectos</w:t>
      </w:r>
      <w:r>
        <w:rPr>
          <w:color w:val="231F20"/>
          <w:spacing w:val="-14"/>
          <w:w w:val="105"/>
        </w:rPr>
        <w:t> </w:t>
      </w:r>
      <w:r>
        <w:rPr>
          <w:color w:val="231F20"/>
          <w:w w:val="105"/>
        </w:rPr>
        <w:t>desfavorables,</w:t>
      </w:r>
      <w:r>
        <w:rPr>
          <w:color w:val="231F20"/>
          <w:spacing w:val="-18"/>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dejan</w:t>
      </w:r>
      <w:r>
        <w:rPr>
          <w:color w:val="231F20"/>
          <w:spacing w:val="-14"/>
          <w:w w:val="105"/>
        </w:rPr>
        <w:t> </w:t>
      </w:r>
      <w:r>
        <w:rPr>
          <w:color w:val="231F20"/>
          <w:w w:val="105"/>
        </w:rPr>
        <w:t>sin</w:t>
      </w:r>
    </w:p>
    <w:p>
      <w:pPr>
        <w:pStyle w:val="BodyText"/>
        <w:spacing w:before="6"/>
        <w:rPr>
          <w:sz w:val="24"/>
        </w:rPr>
      </w:pPr>
      <w:r>
        <w:rPr/>
        <w:pict>
          <v:line style="position:absolute;mso-position-horizontal-relative:page;mso-position-vertical-relative:paragraph;z-index:9064;mso-wrap-distance-left:0;mso-wrap-distance-right:0" from="70.866096pt,16.193663pt" to="184.252096pt,16.193663pt" stroked="true" strokeweight=".25pt" strokecolor="#231f20">
            <w10:wrap type="topAndBottom"/>
          </v:line>
        </w:pict>
      </w:r>
    </w:p>
    <w:p>
      <w:pPr>
        <w:spacing w:line="192" w:lineRule="exact" w:before="7"/>
        <w:ind w:left="117" w:right="121" w:firstLine="0"/>
        <w:jc w:val="both"/>
        <w:rPr>
          <w:rFonts w:ascii="Calibri" w:hAnsi="Calibri"/>
          <w:sz w:val="16"/>
        </w:rPr>
      </w:pPr>
      <w:r>
        <w:rPr>
          <w:rFonts w:ascii="Calibri" w:hAnsi="Calibri"/>
          <w:color w:val="414042"/>
          <w:w w:val="105"/>
          <w:position w:val="5"/>
          <w:sz w:val="9"/>
        </w:rPr>
        <w:t>9</w:t>
      </w:r>
      <w:r>
        <w:rPr>
          <w:rFonts w:ascii="Calibri" w:hAnsi="Calibri"/>
          <w:color w:val="414042"/>
          <w:spacing w:val="9"/>
          <w:w w:val="105"/>
          <w:position w:val="5"/>
          <w:sz w:val="9"/>
        </w:rPr>
        <w:t> </w:t>
      </w:r>
      <w:r>
        <w:rPr>
          <w:rFonts w:ascii="Calibri" w:hAnsi="Calibri"/>
          <w:color w:val="414042"/>
          <w:w w:val="105"/>
          <w:sz w:val="16"/>
        </w:rPr>
        <w:t>Unger</w:t>
      </w:r>
      <w:r>
        <w:rPr>
          <w:rFonts w:ascii="Calibri" w:hAnsi="Calibri"/>
          <w:color w:val="414042"/>
          <w:spacing w:val="-25"/>
          <w:w w:val="105"/>
          <w:sz w:val="16"/>
        </w:rPr>
        <w:t> </w:t>
      </w:r>
      <w:r>
        <w:rPr>
          <w:rFonts w:ascii="Calibri" w:hAnsi="Calibri"/>
          <w:color w:val="414042"/>
          <w:w w:val="105"/>
          <w:sz w:val="16"/>
        </w:rPr>
        <w:t>(2010)</w:t>
      </w:r>
      <w:r>
        <w:rPr>
          <w:rFonts w:ascii="Calibri" w:hAnsi="Calibri"/>
          <w:color w:val="414042"/>
          <w:spacing w:val="-25"/>
          <w:w w:val="105"/>
          <w:sz w:val="16"/>
        </w:rPr>
        <w:t> </w:t>
      </w:r>
      <w:r>
        <w:rPr>
          <w:rFonts w:ascii="Calibri" w:hAnsi="Calibri"/>
          <w:color w:val="414042"/>
          <w:w w:val="105"/>
          <w:sz w:val="16"/>
        </w:rPr>
        <w:t>muestra</w:t>
      </w:r>
      <w:r>
        <w:rPr>
          <w:rFonts w:ascii="Calibri" w:hAnsi="Calibri"/>
          <w:color w:val="414042"/>
          <w:spacing w:val="-25"/>
          <w:w w:val="105"/>
          <w:sz w:val="16"/>
        </w:rPr>
        <w:t> </w:t>
      </w:r>
      <w:r>
        <w:rPr>
          <w:rFonts w:ascii="Calibri" w:hAnsi="Calibri"/>
          <w:color w:val="414042"/>
          <w:w w:val="105"/>
          <w:sz w:val="16"/>
        </w:rPr>
        <w:t>que</w:t>
      </w:r>
      <w:r>
        <w:rPr>
          <w:rFonts w:ascii="Calibri" w:hAnsi="Calibri"/>
          <w:color w:val="414042"/>
          <w:spacing w:val="-25"/>
          <w:w w:val="105"/>
          <w:sz w:val="16"/>
        </w:rPr>
        <w:t> </w:t>
      </w:r>
      <w:r>
        <w:rPr>
          <w:rFonts w:ascii="Calibri" w:hAnsi="Calibri"/>
          <w:color w:val="414042"/>
          <w:w w:val="105"/>
          <w:sz w:val="16"/>
        </w:rPr>
        <w:t>la</w:t>
      </w:r>
      <w:r>
        <w:rPr>
          <w:rFonts w:ascii="Calibri" w:hAnsi="Calibri"/>
          <w:color w:val="414042"/>
          <w:spacing w:val="-25"/>
          <w:w w:val="105"/>
          <w:sz w:val="16"/>
        </w:rPr>
        <w:t> </w:t>
      </w:r>
      <w:r>
        <w:rPr>
          <w:rFonts w:ascii="Calibri" w:hAnsi="Calibri"/>
          <w:color w:val="414042"/>
          <w:w w:val="105"/>
          <w:sz w:val="16"/>
        </w:rPr>
        <w:t>evidencia</w:t>
      </w:r>
      <w:r>
        <w:rPr>
          <w:rFonts w:ascii="Calibri" w:hAnsi="Calibri"/>
          <w:color w:val="414042"/>
          <w:spacing w:val="-25"/>
          <w:w w:val="105"/>
          <w:sz w:val="16"/>
        </w:rPr>
        <w:t> </w:t>
      </w:r>
      <w:r>
        <w:rPr>
          <w:rFonts w:ascii="Calibri" w:hAnsi="Calibri"/>
          <w:color w:val="414042"/>
          <w:w w:val="105"/>
          <w:sz w:val="16"/>
        </w:rPr>
        <w:t>para</w:t>
      </w:r>
      <w:r>
        <w:rPr>
          <w:rFonts w:ascii="Calibri" w:hAnsi="Calibri"/>
          <w:color w:val="414042"/>
          <w:spacing w:val="-25"/>
          <w:w w:val="105"/>
          <w:sz w:val="16"/>
        </w:rPr>
        <w:t> </w:t>
      </w:r>
      <w:r>
        <w:rPr>
          <w:rFonts w:ascii="Calibri" w:hAnsi="Calibri"/>
          <w:color w:val="414042"/>
          <w:w w:val="105"/>
          <w:sz w:val="16"/>
        </w:rPr>
        <w:t>México</w:t>
      </w:r>
      <w:r>
        <w:rPr>
          <w:rFonts w:ascii="Calibri" w:hAnsi="Calibri"/>
          <w:color w:val="414042"/>
          <w:spacing w:val="-25"/>
          <w:w w:val="105"/>
          <w:sz w:val="16"/>
        </w:rPr>
        <w:t> </w:t>
      </w:r>
      <w:r>
        <w:rPr>
          <w:rFonts w:ascii="Calibri" w:hAnsi="Calibri"/>
          <w:color w:val="414042"/>
          <w:w w:val="105"/>
          <w:sz w:val="16"/>
        </w:rPr>
        <w:t>confirma</w:t>
      </w:r>
      <w:r>
        <w:rPr>
          <w:rFonts w:ascii="Calibri" w:hAnsi="Calibri"/>
          <w:color w:val="414042"/>
          <w:spacing w:val="-25"/>
          <w:w w:val="105"/>
          <w:sz w:val="16"/>
        </w:rPr>
        <w:t> </w:t>
      </w:r>
      <w:r>
        <w:rPr>
          <w:rFonts w:ascii="Calibri" w:hAnsi="Calibri"/>
          <w:color w:val="414042"/>
          <w:w w:val="105"/>
          <w:sz w:val="16"/>
        </w:rPr>
        <w:t>un</w:t>
      </w:r>
      <w:r>
        <w:rPr>
          <w:rFonts w:ascii="Calibri" w:hAnsi="Calibri"/>
          <w:color w:val="414042"/>
          <w:spacing w:val="-25"/>
          <w:w w:val="105"/>
          <w:sz w:val="16"/>
        </w:rPr>
        <w:t> </w:t>
      </w:r>
      <w:r>
        <w:rPr>
          <w:rFonts w:ascii="Calibri" w:hAnsi="Calibri"/>
          <w:color w:val="414042"/>
          <w:w w:val="105"/>
          <w:sz w:val="16"/>
        </w:rPr>
        <w:t>papel</w:t>
      </w:r>
      <w:r>
        <w:rPr>
          <w:rFonts w:ascii="Calibri" w:hAnsi="Calibri"/>
          <w:color w:val="414042"/>
          <w:spacing w:val="-25"/>
          <w:w w:val="105"/>
          <w:sz w:val="16"/>
        </w:rPr>
        <w:t> </w:t>
      </w:r>
      <w:r>
        <w:rPr>
          <w:rFonts w:ascii="Calibri" w:hAnsi="Calibri"/>
          <w:color w:val="414042"/>
          <w:w w:val="105"/>
          <w:sz w:val="16"/>
        </w:rPr>
        <w:t>muy</w:t>
      </w:r>
      <w:r>
        <w:rPr>
          <w:rFonts w:ascii="Calibri" w:hAnsi="Calibri"/>
          <w:color w:val="414042"/>
          <w:spacing w:val="-25"/>
          <w:w w:val="105"/>
          <w:sz w:val="16"/>
        </w:rPr>
        <w:t> </w:t>
      </w:r>
      <w:r>
        <w:rPr>
          <w:rFonts w:ascii="Calibri" w:hAnsi="Calibri"/>
          <w:color w:val="414042"/>
          <w:w w:val="105"/>
          <w:sz w:val="16"/>
        </w:rPr>
        <w:t>limitado</w:t>
      </w:r>
      <w:r>
        <w:rPr>
          <w:rFonts w:ascii="Calibri" w:hAnsi="Calibri"/>
          <w:color w:val="414042"/>
          <w:spacing w:val="-25"/>
          <w:w w:val="105"/>
          <w:sz w:val="16"/>
        </w:rPr>
        <w:t> </w:t>
      </w:r>
      <w:r>
        <w:rPr>
          <w:rFonts w:ascii="Calibri" w:hAnsi="Calibri"/>
          <w:color w:val="414042"/>
          <w:w w:val="105"/>
          <w:sz w:val="16"/>
        </w:rPr>
        <w:t>de</w:t>
      </w:r>
      <w:r>
        <w:rPr>
          <w:rFonts w:ascii="Calibri" w:hAnsi="Calibri"/>
          <w:color w:val="414042"/>
          <w:spacing w:val="-25"/>
          <w:w w:val="105"/>
          <w:sz w:val="16"/>
        </w:rPr>
        <w:t> </w:t>
      </w:r>
      <w:r>
        <w:rPr>
          <w:rFonts w:ascii="Calibri" w:hAnsi="Calibri"/>
          <w:color w:val="414042"/>
          <w:w w:val="105"/>
          <w:sz w:val="16"/>
        </w:rPr>
        <w:t>los</w:t>
      </w:r>
      <w:r>
        <w:rPr>
          <w:rFonts w:ascii="Calibri" w:hAnsi="Calibri"/>
          <w:color w:val="414042"/>
          <w:spacing w:val="-25"/>
          <w:w w:val="105"/>
          <w:sz w:val="16"/>
        </w:rPr>
        <w:t> </w:t>
      </w:r>
      <w:r>
        <w:rPr>
          <w:rFonts w:ascii="Calibri" w:hAnsi="Calibri"/>
          <w:color w:val="414042"/>
          <w:w w:val="105"/>
          <w:sz w:val="16"/>
        </w:rPr>
        <w:t>sectores</w:t>
      </w:r>
      <w:r>
        <w:rPr>
          <w:rFonts w:ascii="Calibri" w:hAnsi="Calibri"/>
          <w:color w:val="414042"/>
          <w:spacing w:val="-25"/>
          <w:w w:val="105"/>
          <w:sz w:val="16"/>
        </w:rPr>
        <w:t> </w:t>
      </w:r>
      <w:r>
        <w:rPr>
          <w:rFonts w:ascii="Calibri" w:hAnsi="Calibri"/>
          <w:color w:val="414042"/>
          <w:w w:val="105"/>
          <w:sz w:val="16"/>
        </w:rPr>
        <w:t>basa- </w:t>
      </w:r>
      <w:r>
        <w:rPr>
          <w:rFonts w:ascii="Calibri" w:hAnsi="Calibri"/>
          <w:color w:val="414042"/>
          <w:sz w:val="16"/>
        </w:rPr>
        <w:t>dos</w:t>
      </w:r>
      <w:r>
        <w:rPr>
          <w:rFonts w:ascii="Calibri" w:hAnsi="Calibri"/>
          <w:color w:val="414042"/>
          <w:spacing w:val="-8"/>
          <w:sz w:val="16"/>
        </w:rPr>
        <w:t> </w:t>
      </w:r>
      <w:r>
        <w:rPr>
          <w:rFonts w:ascii="Calibri" w:hAnsi="Calibri"/>
          <w:color w:val="414042"/>
          <w:sz w:val="16"/>
        </w:rPr>
        <w:t>en</w:t>
      </w:r>
      <w:r>
        <w:rPr>
          <w:rFonts w:ascii="Calibri" w:hAnsi="Calibri"/>
          <w:color w:val="414042"/>
          <w:spacing w:val="-8"/>
          <w:sz w:val="16"/>
        </w:rPr>
        <w:t> </w:t>
      </w:r>
      <w:r>
        <w:rPr>
          <w:rFonts w:ascii="Calibri" w:hAnsi="Calibri"/>
          <w:color w:val="414042"/>
          <w:sz w:val="16"/>
        </w:rPr>
        <w:t>la</w:t>
      </w:r>
      <w:r>
        <w:rPr>
          <w:rFonts w:ascii="Calibri" w:hAnsi="Calibri"/>
          <w:color w:val="414042"/>
          <w:spacing w:val="-8"/>
          <w:sz w:val="16"/>
        </w:rPr>
        <w:t> </w:t>
      </w:r>
      <w:r>
        <w:rPr>
          <w:rFonts w:ascii="Calibri" w:hAnsi="Calibri"/>
          <w:color w:val="414042"/>
          <w:sz w:val="16"/>
        </w:rPr>
        <w:t>ciencia</w:t>
      </w:r>
      <w:r>
        <w:rPr>
          <w:rFonts w:ascii="Calibri" w:hAnsi="Calibri"/>
          <w:color w:val="414042"/>
          <w:spacing w:val="-10"/>
          <w:sz w:val="16"/>
        </w:rPr>
        <w:t> </w:t>
      </w:r>
      <w:r>
        <w:rPr>
          <w:rFonts w:ascii="Calibri" w:hAnsi="Calibri"/>
          <w:color w:val="414042"/>
          <w:sz w:val="16"/>
        </w:rPr>
        <w:t>y</w:t>
      </w:r>
      <w:r>
        <w:rPr>
          <w:rFonts w:ascii="Calibri" w:hAnsi="Calibri"/>
          <w:color w:val="414042"/>
          <w:spacing w:val="-8"/>
          <w:sz w:val="16"/>
        </w:rPr>
        <w:t> </w:t>
      </w:r>
      <w:r>
        <w:rPr>
          <w:rFonts w:ascii="Calibri" w:hAnsi="Calibri"/>
          <w:color w:val="414042"/>
          <w:sz w:val="16"/>
        </w:rPr>
        <w:t>de</w:t>
      </w:r>
      <w:r>
        <w:rPr>
          <w:rFonts w:ascii="Calibri" w:hAnsi="Calibri"/>
          <w:color w:val="414042"/>
          <w:spacing w:val="-8"/>
          <w:sz w:val="16"/>
        </w:rPr>
        <w:t> </w:t>
      </w:r>
      <w:r>
        <w:rPr>
          <w:rFonts w:ascii="Calibri" w:hAnsi="Calibri"/>
          <w:color w:val="414042"/>
          <w:sz w:val="16"/>
        </w:rPr>
        <w:t>proveedores</w:t>
      </w:r>
      <w:r>
        <w:rPr>
          <w:rFonts w:ascii="Calibri" w:hAnsi="Calibri"/>
          <w:color w:val="414042"/>
          <w:spacing w:val="-8"/>
          <w:sz w:val="16"/>
        </w:rPr>
        <w:t> </w:t>
      </w:r>
      <w:r>
        <w:rPr>
          <w:rFonts w:ascii="Calibri" w:hAnsi="Calibri"/>
          <w:color w:val="414042"/>
          <w:sz w:val="16"/>
        </w:rPr>
        <w:t>especializados.</w:t>
      </w:r>
      <w:r>
        <w:rPr>
          <w:rFonts w:ascii="Calibri" w:hAnsi="Calibri"/>
          <w:color w:val="414042"/>
          <w:spacing w:val="-8"/>
          <w:sz w:val="16"/>
        </w:rPr>
        <w:t> </w:t>
      </w:r>
      <w:r>
        <w:rPr>
          <w:rFonts w:ascii="Calibri" w:hAnsi="Calibri"/>
          <w:color w:val="414042"/>
          <w:sz w:val="16"/>
        </w:rPr>
        <w:t>Los</w:t>
      </w:r>
      <w:r>
        <w:rPr>
          <w:rFonts w:ascii="Calibri" w:hAnsi="Calibri"/>
          <w:color w:val="414042"/>
          <w:spacing w:val="-8"/>
          <w:sz w:val="16"/>
        </w:rPr>
        <w:t> </w:t>
      </w:r>
      <w:r>
        <w:rPr>
          <w:rFonts w:ascii="Calibri" w:hAnsi="Calibri"/>
          <w:color w:val="414042"/>
          <w:sz w:val="16"/>
        </w:rPr>
        <w:t>sectores</w:t>
      </w:r>
      <w:r>
        <w:rPr>
          <w:rFonts w:ascii="Calibri" w:hAnsi="Calibri"/>
          <w:color w:val="414042"/>
          <w:spacing w:val="-8"/>
          <w:sz w:val="16"/>
        </w:rPr>
        <w:t> </w:t>
      </w:r>
      <w:r>
        <w:rPr>
          <w:rFonts w:ascii="Calibri" w:hAnsi="Calibri"/>
          <w:color w:val="414042"/>
          <w:sz w:val="16"/>
        </w:rPr>
        <w:t>intensivos</w:t>
      </w:r>
      <w:r>
        <w:rPr>
          <w:rFonts w:ascii="Calibri" w:hAnsi="Calibri"/>
          <w:color w:val="414042"/>
          <w:spacing w:val="-8"/>
          <w:sz w:val="16"/>
        </w:rPr>
        <w:t> </w:t>
      </w:r>
      <w:r>
        <w:rPr>
          <w:rFonts w:ascii="Calibri" w:hAnsi="Calibri"/>
          <w:color w:val="414042"/>
          <w:sz w:val="16"/>
        </w:rPr>
        <w:t>en</w:t>
      </w:r>
      <w:r>
        <w:rPr>
          <w:rFonts w:ascii="Calibri" w:hAnsi="Calibri"/>
          <w:color w:val="414042"/>
          <w:spacing w:val="-8"/>
          <w:sz w:val="16"/>
        </w:rPr>
        <w:t> </w:t>
      </w:r>
      <w:r>
        <w:rPr>
          <w:rFonts w:ascii="Calibri" w:hAnsi="Calibri"/>
          <w:color w:val="414042"/>
          <w:sz w:val="16"/>
        </w:rPr>
        <w:t>escala</w:t>
      </w:r>
      <w:r>
        <w:rPr>
          <w:rFonts w:ascii="Calibri" w:hAnsi="Calibri"/>
          <w:color w:val="414042"/>
          <w:spacing w:val="-8"/>
          <w:sz w:val="16"/>
        </w:rPr>
        <w:t> </w:t>
      </w:r>
      <w:r>
        <w:rPr>
          <w:rFonts w:ascii="Calibri" w:hAnsi="Calibri"/>
          <w:color w:val="414042"/>
          <w:sz w:val="16"/>
        </w:rPr>
        <w:t>retienen</w:t>
      </w:r>
      <w:r>
        <w:rPr>
          <w:rFonts w:ascii="Calibri" w:hAnsi="Calibri"/>
          <w:color w:val="414042"/>
          <w:spacing w:val="-8"/>
          <w:sz w:val="16"/>
        </w:rPr>
        <w:t> </w:t>
      </w:r>
      <w:r>
        <w:rPr>
          <w:rFonts w:ascii="Calibri" w:hAnsi="Calibri"/>
          <w:color w:val="414042"/>
          <w:spacing w:val="-3"/>
          <w:sz w:val="16"/>
        </w:rPr>
        <w:t>principalmente </w:t>
      </w:r>
      <w:r>
        <w:rPr>
          <w:rFonts w:ascii="Calibri" w:hAnsi="Calibri"/>
          <w:color w:val="414042"/>
          <w:w w:val="105"/>
          <w:sz w:val="16"/>
        </w:rPr>
        <w:t>actividades</w:t>
      </w:r>
      <w:r>
        <w:rPr>
          <w:rFonts w:ascii="Calibri" w:hAnsi="Calibri"/>
          <w:color w:val="414042"/>
          <w:spacing w:val="-20"/>
          <w:w w:val="105"/>
          <w:sz w:val="16"/>
        </w:rPr>
        <w:t> </w:t>
      </w:r>
      <w:r>
        <w:rPr>
          <w:rFonts w:ascii="Calibri" w:hAnsi="Calibri"/>
          <w:color w:val="414042"/>
          <w:w w:val="105"/>
          <w:sz w:val="16"/>
        </w:rPr>
        <w:t>de</w:t>
      </w:r>
      <w:r>
        <w:rPr>
          <w:rFonts w:ascii="Calibri" w:hAnsi="Calibri"/>
          <w:color w:val="414042"/>
          <w:spacing w:val="-20"/>
          <w:w w:val="105"/>
          <w:sz w:val="16"/>
        </w:rPr>
        <w:t> </w:t>
      </w:r>
      <w:r>
        <w:rPr>
          <w:rFonts w:ascii="Calibri" w:hAnsi="Calibri"/>
          <w:color w:val="414042"/>
          <w:w w:val="105"/>
          <w:sz w:val="16"/>
        </w:rPr>
        <w:t>ensamblaje.</w:t>
      </w:r>
      <w:r>
        <w:rPr>
          <w:rFonts w:ascii="Calibri" w:hAnsi="Calibri"/>
          <w:color w:val="414042"/>
          <w:spacing w:val="-20"/>
          <w:w w:val="105"/>
          <w:sz w:val="16"/>
        </w:rPr>
        <w:t> </w:t>
      </w:r>
      <w:r>
        <w:rPr>
          <w:rFonts w:ascii="Calibri" w:hAnsi="Calibri"/>
          <w:color w:val="414042"/>
          <w:w w:val="105"/>
          <w:sz w:val="16"/>
        </w:rPr>
        <w:t>Los</w:t>
      </w:r>
      <w:r>
        <w:rPr>
          <w:rFonts w:ascii="Calibri" w:hAnsi="Calibri"/>
          <w:color w:val="414042"/>
          <w:spacing w:val="-20"/>
          <w:w w:val="105"/>
          <w:sz w:val="16"/>
        </w:rPr>
        <w:t> </w:t>
      </w:r>
      <w:r>
        <w:rPr>
          <w:rFonts w:ascii="Calibri" w:hAnsi="Calibri"/>
          <w:color w:val="414042"/>
          <w:w w:val="105"/>
          <w:sz w:val="16"/>
        </w:rPr>
        <w:t>sectores</w:t>
      </w:r>
      <w:r>
        <w:rPr>
          <w:rFonts w:ascii="Calibri" w:hAnsi="Calibri"/>
          <w:color w:val="414042"/>
          <w:spacing w:val="-20"/>
          <w:w w:val="105"/>
          <w:sz w:val="16"/>
        </w:rPr>
        <w:t> </w:t>
      </w:r>
      <w:r>
        <w:rPr>
          <w:rFonts w:ascii="Calibri" w:hAnsi="Calibri"/>
          <w:color w:val="414042"/>
          <w:w w:val="105"/>
          <w:sz w:val="16"/>
        </w:rPr>
        <w:t>basados</w:t>
      </w:r>
      <w:r>
        <w:rPr>
          <w:rFonts w:ascii="Calibri" w:hAnsi="Calibri"/>
          <w:color w:val="414042"/>
          <w:spacing w:val="-20"/>
          <w:w w:val="105"/>
          <w:sz w:val="16"/>
        </w:rPr>
        <w:t> </w:t>
      </w:r>
      <w:r>
        <w:rPr>
          <w:rFonts w:ascii="Calibri" w:hAnsi="Calibri"/>
          <w:color w:val="414042"/>
          <w:w w:val="105"/>
          <w:sz w:val="16"/>
        </w:rPr>
        <w:t>en</w:t>
      </w:r>
      <w:r>
        <w:rPr>
          <w:rFonts w:ascii="Calibri" w:hAnsi="Calibri"/>
          <w:color w:val="414042"/>
          <w:spacing w:val="-20"/>
          <w:w w:val="105"/>
          <w:sz w:val="16"/>
        </w:rPr>
        <w:t> </w:t>
      </w:r>
      <w:r>
        <w:rPr>
          <w:rFonts w:ascii="Calibri" w:hAnsi="Calibri"/>
          <w:color w:val="414042"/>
          <w:w w:val="105"/>
          <w:sz w:val="16"/>
        </w:rPr>
        <w:t>la</w:t>
      </w:r>
      <w:r>
        <w:rPr>
          <w:rFonts w:ascii="Calibri" w:hAnsi="Calibri"/>
          <w:color w:val="414042"/>
          <w:spacing w:val="-20"/>
          <w:w w:val="105"/>
          <w:sz w:val="16"/>
        </w:rPr>
        <w:t> </w:t>
      </w:r>
      <w:r>
        <w:rPr>
          <w:rFonts w:ascii="Calibri" w:hAnsi="Calibri"/>
          <w:color w:val="414042"/>
          <w:w w:val="105"/>
          <w:sz w:val="16"/>
        </w:rPr>
        <w:t>ciencia</w:t>
      </w:r>
      <w:r>
        <w:rPr>
          <w:rFonts w:ascii="Calibri" w:hAnsi="Calibri"/>
          <w:color w:val="414042"/>
          <w:spacing w:val="-20"/>
          <w:w w:val="105"/>
          <w:sz w:val="16"/>
        </w:rPr>
        <w:t> </w:t>
      </w:r>
      <w:r>
        <w:rPr>
          <w:rFonts w:ascii="Calibri" w:hAnsi="Calibri"/>
          <w:color w:val="414042"/>
          <w:w w:val="105"/>
          <w:sz w:val="16"/>
        </w:rPr>
        <w:t>centrados</w:t>
      </w:r>
      <w:r>
        <w:rPr>
          <w:rFonts w:ascii="Calibri" w:hAnsi="Calibri"/>
          <w:color w:val="414042"/>
          <w:spacing w:val="-20"/>
          <w:w w:val="105"/>
          <w:sz w:val="16"/>
        </w:rPr>
        <w:t> </w:t>
      </w:r>
      <w:r>
        <w:rPr>
          <w:rFonts w:ascii="Calibri" w:hAnsi="Calibri"/>
          <w:color w:val="414042"/>
          <w:w w:val="105"/>
          <w:sz w:val="16"/>
        </w:rPr>
        <w:t>en</w:t>
      </w:r>
      <w:r>
        <w:rPr>
          <w:rFonts w:ascii="Calibri" w:hAnsi="Calibri"/>
          <w:color w:val="414042"/>
          <w:spacing w:val="-20"/>
          <w:w w:val="105"/>
          <w:sz w:val="16"/>
        </w:rPr>
        <w:t> </w:t>
      </w:r>
      <w:r>
        <w:rPr>
          <w:rFonts w:ascii="Calibri" w:hAnsi="Calibri"/>
          <w:color w:val="414042"/>
          <w:w w:val="105"/>
          <w:sz w:val="16"/>
        </w:rPr>
        <w:t>electrónicos</w:t>
      </w:r>
      <w:r>
        <w:rPr>
          <w:rFonts w:ascii="Calibri" w:hAnsi="Calibri"/>
          <w:color w:val="414042"/>
          <w:spacing w:val="-20"/>
          <w:w w:val="105"/>
          <w:sz w:val="16"/>
        </w:rPr>
        <w:t> </w:t>
      </w:r>
      <w:r>
        <w:rPr>
          <w:rFonts w:ascii="Calibri" w:hAnsi="Calibri"/>
          <w:color w:val="414042"/>
          <w:w w:val="105"/>
          <w:sz w:val="16"/>
        </w:rPr>
        <w:t>y</w:t>
      </w:r>
      <w:r>
        <w:rPr>
          <w:rFonts w:ascii="Calibri" w:hAnsi="Calibri"/>
          <w:color w:val="414042"/>
          <w:spacing w:val="-20"/>
          <w:w w:val="105"/>
          <w:sz w:val="16"/>
        </w:rPr>
        <w:t> </w:t>
      </w:r>
      <w:r>
        <w:rPr>
          <w:rFonts w:ascii="Calibri" w:hAnsi="Calibri"/>
          <w:color w:val="414042"/>
          <w:spacing w:val="-3"/>
          <w:w w:val="105"/>
          <w:sz w:val="16"/>
        </w:rPr>
        <w:t>químico-farma- </w:t>
      </w:r>
      <w:r>
        <w:rPr>
          <w:rFonts w:ascii="Calibri" w:hAnsi="Calibri"/>
          <w:color w:val="414042"/>
          <w:w w:val="105"/>
          <w:sz w:val="16"/>
        </w:rPr>
        <w:t>céuticos</w:t>
      </w:r>
      <w:r>
        <w:rPr>
          <w:rFonts w:ascii="Calibri" w:hAnsi="Calibri"/>
          <w:color w:val="414042"/>
          <w:spacing w:val="-24"/>
          <w:w w:val="105"/>
          <w:sz w:val="16"/>
        </w:rPr>
        <w:t> </w:t>
      </w:r>
      <w:r>
        <w:rPr>
          <w:rFonts w:ascii="Calibri" w:hAnsi="Calibri"/>
          <w:color w:val="414042"/>
          <w:w w:val="105"/>
          <w:sz w:val="16"/>
        </w:rPr>
        <w:t>han</w:t>
      </w:r>
      <w:r>
        <w:rPr>
          <w:rFonts w:ascii="Calibri" w:hAnsi="Calibri"/>
          <w:color w:val="414042"/>
          <w:spacing w:val="-24"/>
          <w:w w:val="105"/>
          <w:sz w:val="16"/>
        </w:rPr>
        <w:t> </w:t>
      </w:r>
      <w:r>
        <w:rPr>
          <w:rFonts w:ascii="Calibri" w:hAnsi="Calibri"/>
          <w:color w:val="414042"/>
          <w:w w:val="105"/>
          <w:sz w:val="16"/>
        </w:rPr>
        <w:t>intensificado</w:t>
      </w:r>
      <w:r>
        <w:rPr>
          <w:rFonts w:ascii="Calibri" w:hAnsi="Calibri"/>
          <w:color w:val="414042"/>
          <w:spacing w:val="-24"/>
          <w:w w:val="105"/>
          <w:sz w:val="16"/>
        </w:rPr>
        <w:t> </w:t>
      </w:r>
      <w:r>
        <w:rPr>
          <w:rFonts w:ascii="Calibri" w:hAnsi="Calibri"/>
          <w:color w:val="414042"/>
          <w:w w:val="105"/>
          <w:sz w:val="16"/>
        </w:rPr>
        <w:t>su</w:t>
      </w:r>
      <w:r>
        <w:rPr>
          <w:rFonts w:ascii="Calibri" w:hAnsi="Calibri"/>
          <w:color w:val="414042"/>
          <w:spacing w:val="-24"/>
          <w:w w:val="105"/>
          <w:sz w:val="16"/>
        </w:rPr>
        <w:t> </w:t>
      </w:r>
      <w:r>
        <w:rPr>
          <w:rFonts w:ascii="Calibri" w:hAnsi="Calibri"/>
          <w:color w:val="414042"/>
          <w:w w:val="105"/>
          <w:sz w:val="16"/>
        </w:rPr>
        <w:t>carácter</w:t>
      </w:r>
      <w:r>
        <w:rPr>
          <w:rFonts w:ascii="Calibri" w:hAnsi="Calibri"/>
          <w:color w:val="414042"/>
          <w:spacing w:val="-24"/>
          <w:w w:val="105"/>
          <w:sz w:val="16"/>
        </w:rPr>
        <w:t> </w:t>
      </w:r>
      <w:r>
        <w:rPr>
          <w:rFonts w:ascii="Calibri" w:hAnsi="Calibri"/>
          <w:color w:val="414042"/>
          <w:w w:val="105"/>
          <w:sz w:val="16"/>
        </w:rPr>
        <w:t>ensamblador</w:t>
      </w:r>
      <w:r>
        <w:rPr>
          <w:rFonts w:ascii="Calibri" w:hAnsi="Calibri"/>
          <w:color w:val="414042"/>
          <w:spacing w:val="-24"/>
          <w:w w:val="105"/>
          <w:sz w:val="16"/>
        </w:rPr>
        <w:t> </w:t>
      </w:r>
      <w:r>
        <w:rPr>
          <w:rFonts w:ascii="Calibri" w:hAnsi="Calibri"/>
          <w:color w:val="414042"/>
          <w:w w:val="105"/>
          <w:sz w:val="16"/>
        </w:rPr>
        <w:t>intensivo</w:t>
      </w:r>
      <w:r>
        <w:rPr>
          <w:rFonts w:ascii="Calibri" w:hAnsi="Calibri"/>
          <w:color w:val="414042"/>
          <w:spacing w:val="-24"/>
          <w:w w:val="105"/>
          <w:sz w:val="16"/>
        </w:rPr>
        <w:t> </w:t>
      </w:r>
      <w:r>
        <w:rPr>
          <w:rFonts w:ascii="Calibri" w:hAnsi="Calibri"/>
          <w:color w:val="414042"/>
          <w:w w:val="105"/>
          <w:sz w:val="16"/>
        </w:rPr>
        <w:t>en</w:t>
      </w:r>
      <w:r>
        <w:rPr>
          <w:rFonts w:ascii="Calibri" w:hAnsi="Calibri"/>
          <w:color w:val="414042"/>
          <w:spacing w:val="-24"/>
          <w:w w:val="105"/>
          <w:sz w:val="16"/>
        </w:rPr>
        <w:t> </w:t>
      </w:r>
      <w:r>
        <w:rPr>
          <w:rFonts w:ascii="Calibri" w:hAnsi="Calibri"/>
          <w:color w:val="414042"/>
          <w:w w:val="105"/>
          <w:sz w:val="16"/>
        </w:rPr>
        <w:t>uso</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mano</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obra</w:t>
      </w:r>
      <w:r>
        <w:rPr>
          <w:rFonts w:ascii="Calibri" w:hAnsi="Calibri"/>
          <w:color w:val="414042"/>
          <w:spacing w:val="-24"/>
          <w:w w:val="105"/>
          <w:sz w:val="16"/>
        </w:rPr>
        <w:t> </w:t>
      </w:r>
      <w:r>
        <w:rPr>
          <w:rFonts w:ascii="Calibri" w:hAnsi="Calibri"/>
          <w:color w:val="414042"/>
          <w:w w:val="105"/>
          <w:sz w:val="16"/>
        </w:rPr>
        <w:t>de</w:t>
      </w:r>
      <w:r>
        <w:rPr>
          <w:rFonts w:ascii="Calibri" w:hAnsi="Calibri"/>
          <w:color w:val="414042"/>
          <w:spacing w:val="-24"/>
          <w:w w:val="105"/>
          <w:sz w:val="16"/>
        </w:rPr>
        <w:t> </w:t>
      </w:r>
      <w:r>
        <w:rPr>
          <w:rFonts w:ascii="Calibri" w:hAnsi="Calibri"/>
          <w:color w:val="414042"/>
          <w:w w:val="105"/>
          <w:sz w:val="16"/>
        </w:rPr>
        <w:t>bajo</w:t>
      </w:r>
      <w:r>
        <w:rPr>
          <w:rFonts w:ascii="Calibri" w:hAnsi="Calibri"/>
          <w:color w:val="414042"/>
          <w:spacing w:val="-24"/>
          <w:w w:val="105"/>
          <w:sz w:val="16"/>
        </w:rPr>
        <w:t> </w:t>
      </w:r>
      <w:r>
        <w:rPr>
          <w:rFonts w:ascii="Calibri" w:hAnsi="Calibri"/>
          <w:color w:val="414042"/>
          <w:spacing w:val="-3"/>
          <w:w w:val="105"/>
          <w:sz w:val="16"/>
        </w:rPr>
        <w:t>costo.</w:t>
      </w:r>
    </w:p>
    <w:p>
      <w:pPr>
        <w:spacing w:after="0" w:line="192" w:lineRule="exact"/>
        <w:jc w:val="both"/>
        <w:rPr>
          <w:rFonts w:ascii="Calibri" w:hAnsi="Calibri"/>
          <w:sz w:val="16"/>
        </w:rPr>
        <w:sectPr>
          <w:pgSz w:w="9640" w:h="13890"/>
          <w:pgMar w:top="0" w:bottom="280" w:left="1300" w:right="1180"/>
        </w:sectPr>
      </w:pPr>
    </w:p>
    <w:p>
      <w:pPr>
        <w:pStyle w:val="BodyText"/>
        <w:spacing w:line="259" w:lineRule="auto" w:before="120"/>
        <w:ind w:left="115"/>
      </w:pPr>
      <w:r>
        <w:rPr>
          <w:color w:val="231F20"/>
          <w:w w:val="105"/>
        </w:rPr>
        <w:t>recursos</w:t>
      </w:r>
      <w:r>
        <w:rPr>
          <w:color w:val="231F20"/>
          <w:spacing w:val="-19"/>
          <w:w w:val="105"/>
        </w:rPr>
        <w:t> </w:t>
      </w:r>
      <w:r>
        <w:rPr>
          <w:color w:val="231F20"/>
          <w:w w:val="105"/>
        </w:rPr>
        <w:t>su</w:t>
      </w:r>
      <w:r>
        <w:rPr>
          <w:color w:val="231F20"/>
          <w:spacing w:val="-19"/>
          <w:w w:val="105"/>
        </w:rPr>
        <w:t> </w:t>
      </w:r>
      <w:r>
        <w:rPr>
          <w:color w:val="231F20"/>
          <w:w w:val="105"/>
        </w:rPr>
        <w:t>zona</w:t>
      </w:r>
      <w:r>
        <w:rPr>
          <w:color w:val="231F20"/>
          <w:spacing w:val="-19"/>
          <w:w w:val="105"/>
        </w:rPr>
        <w:t> </w:t>
      </w:r>
      <w:r>
        <w:rPr>
          <w:color w:val="231F20"/>
          <w:w w:val="105"/>
        </w:rPr>
        <w:t>de</w:t>
      </w:r>
      <w:r>
        <w:rPr>
          <w:color w:val="231F20"/>
          <w:spacing w:val="-19"/>
          <w:w w:val="105"/>
        </w:rPr>
        <w:t> </w:t>
      </w:r>
      <w:r>
        <w:rPr>
          <w:color w:val="231F20"/>
          <w:w w:val="105"/>
        </w:rPr>
        <w:t>influencia.</w:t>
      </w:r>
      <w:r>
        <w:rPr>
          <w:color w:val="231F20"/>
          <w:spacing w:val="-23"/>
          <w:w w:val="105"/>
        </w:rPr>
        <w:t> </w:t>
      </w:r>
      <w:r>
        <w:rPr>
          <w:color w:val="231F20"/>
          <w:w w:val="105"/>
        </w:rPr>
        <w:t>Los</w:t>
      </w:r>
      <w:r>
        <w:rPr>
          <w:color w:val="231F20"/>
          <w:spacing w:val="-19"/>
          <w:w w:val="105"/>
        </w:rPr>
        <w:t> </w:t>
      </w:r>
      <w:r>
        <w:rPr>
          <w:color w:val="231F20"/>
          <w:w w:val="105"/>
        </w:rPr>
        <w:t>efectos</w:t>
      </w:r>
      <w:r>
        <w:rPr>
          <w:color w:val="231F20"/>
          <w:spacing w:val="-19"/>
          <w:w w:val="105"/>
        </w:rPr>
        <w:t> </w:t>
      </w:r>
      <w:r>
        <w:rPr>
          <w:color w:val="231F20"/>
          <w:w w:val="105"/>
        </w:rPr>
        <w:t>positivos</w:t>
      </w:r>
      <w:r>
        <w:rPr>
          <w:color w:val="231F20"/>
          <w:spacing w:val="-19"/>
          <w:w w:val="105"/>
        </w:rPr>
        <w:t> </w:t>
      </w:r>
      <w:r>
        <w:rPr>
          <w:color w:val="231F20"/>
          <w:w w:val="105"/>
        </w:rPr>
        <w:t>se</w:t>
      </w:r>
      <w:r>
        <w:rPr>
          <w:color w:val="231F20"/>
          <w:spacing w:val="-19"/>
          <w:w w:val="105"/>
        </w:rPr>
        <w:t> </w:t>
      </w:r>
      <w:r>
        <w:rPr>
          <w:color w:val="231F20"/>
          <w:w w:val="105"/>
        </w:rPr>
        <w:t>dan</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área</w:t>
      </w:r>
      <w:r>
        <w:rPr>
          <w:color w:val="231F20"/>
          <w:spacing w:val="-19"/>
          <w:w w:val="105"/>
        </w:rPr>
        <w:t> </w:t>
      </w:r>
      <w:r>
        <w:rPr>
          <w:color w:val="231F20"/>
          <w:w w:val="105"/>
        </w:rPr>
        <w:t>de influencia</w:t>
      </w:r>
      <w:r>
        <w:rPr>
          <w:color w:val="231F20"/>
          <w:spacing w:val="-11"/>
          <w:w w:val="105"/>
        </w:rPr>
        <w:t> </w:t>
      </w:r>
      <w:r>
        <w:rPr>
          <w:color w:val="231F20"/>
          <w:w w:val="105"/>
        </w:rPr>
        <w:t>por</w:t>
      </w:r>
      <w:r>
        <w:rPr>
          <w:color w:val="231F20"/>
          <w:spacing w:val="-11"/>
          <w:w w:val="105"/>
        </w:rPr>
        <w:t> </w:t>
      </w:r>
      <w:r>
        <w:rPr>
          <w:color w:val="231F20"/>
          <w:w w:val="105"/>
        </w:rPr>
        <w:t>los</w:t>
      </w:r>
      <w:r>
        <w:rPr>
          <w:color w:val="231F20"/>
          <w:spacing w:val="-11"/>
          <w:w w:val="105"/>
        </w:rPr>
        <w:t> </w:t>
      </w:r>
      <w:r>
        <w:rPr>
          <w:color w:val="231F20"/>
          <w:w w:val="105"/>
        </w:rPr>
        <w:t>efectos</w:t>
      </w:r>
      <w:r>
        <w:rPr>
          <w:color w:val="231F20"/>
          <w:spacing w:val="-11"/>
          <w:w w:val="105"/>
        </w:rPr>
        <w:t> </w:t>
      </w:r>
      <w:r>
        <w:rPr>
          <w:color w:val="231F20"/>
          <w:w w:val="105"/>
        </w:rPr>
        <w:t>económicos</w:t>
      </w:r>
      <w:r>
        <w:rPr>
          <w:color w:val="231F20"/>
          <w:spacing w:val="-11"/>
          <w:w w:val="105"/>
        </w:rPr>
        <w:t> </w:t>
      </w:r>
      <w:r>
        <w:rPr>
          <w:color w:val="231F20"/>
          <w:w w:val="105"/>
        </w:rPr>
        <w:t>de</w:t>
      </w:r>
      <w:r>
        <w:rPr>
          <w:color w:val="231F20"/>
          <w:spacing w:val="-11"/>
          <w:w w:val="105"/>
        </w:rPr>
        <w:t> </w:t>
      </w:r>
      <w:r>
        <w:rPr>
          <w:color w:val="231F20"/>
          <w:w w:val="105"/>
        </w:rPr>
        <w:t>integración</w:t>
      </w:r>
      <w:r>
        <w:rPr>
          <w:color w:val="231F20"/>
          <w:spacing w:val="-11"/>
          <w:w w:val="105"/>
        </w:rPr>
        <w:t> </w:t>
      </w:r>
      <w:r>
        <w:rPr>
          <w:color w:val="231F20"/>
          <w:w w:val="105"/>
        </w:rPr>
        <w:t>que</w:t>
      </w:r>
      <w:r>
        <w:rPr>
          <w:color w:val="231F20"/>
          <w:spacing w:val="-11"/>
          <w:w w:val="105"/>
        </w:rPr>
        <w:t> </w:t>
      </w:r>
      <w:r>
        <w:rPr>
          <w:color w:val="231F20"/>
          <w:w w:val="105"/>
        </w:rPr>
        <w:t>irradia</w:t>
      </w:r>
      <w:r>
        <w:rPr>
          <w:color w:val="231F20"/>
          <w:spacing w:val="-11"/>
          <w:w w:val="105"/>
        </w:rPr>
        <w:t> </w:t>
      </w:r>
      <w:r>
        <w:rPr>
          <w:color w:val="231F20"/>
          <w:w w:val="105"/>
        </w:rPr>
        <w:t>en</w:t>
      </w:r>
      <w:r>
        <w:rPr>
          <w:color w:val="231F20"/>
          <w:spacing w:val="-11"/>
          <w:w w:val="105"/>
        </w:rPr>
        <w:t> </w:t>
      </w:r>
      <w:r>
        <w:rPr>
          <w:color w:val="231F20"/>
          <w:w w:val="105"/>
        </w:rPr>
        <w:t>ella.</w:t>
      </w:r>
    </w:p>
    <w:p>
      <w:pPr>
        <w:pStyle w:val="BodyText"/>
        <w:spacing w:line="259" w:lineRule="auto"/>
        <w:ind w:left="115" w:right="108" w:firstLine="567"/>
        <w:jc w:val="both"/>
      </w:pPr>
      <w:r>
        <w:rPr>
          <w:color w:val="231F20"/>
          <w:w w:val="105"/>
        </w:rPr>
        <w:t>La</w:t>
      </w:r>
      <w:r>
        <w:rPr>
          <w:color w:val="231F20"/>
          <w:spacing w:val="-7"/>
          <w:w w:val="105"/>
        </w:rPr>
        <w:t> </w:t>
      </w:r>
      <w:r>
        <w:rPr>
          <w:color w:val="231F20"/>
          <w:w w:val="105"/>
        </w:rPr>
        <w:t>teoría</w:t>
      </w:r>
      <w:r>
        <w:rPr>
          <w:color w:val="231F20"/>
          <w:spacing w:val="-7"/>
          <w:w w:val="105"/>
        </w:rPr>
        <w:t> </w:t>
      </w:r>
      <w:r>
        <w:rPr>
          <w:color w:val="231F20"/>
          <w:w w:val="105"/>
        </w:rPr>
        <w:t>de</w:t>
      </w:r>
      <w:r>
        <w:rPr>
          <w:color w:val="231F20"/>
          <w:spacing w:val="-7"/>
          <w:w w:val="105"/>
        </w:rPr>
        <w:t> </w:t>
      </w:r>
      <w:r>
        <w:rPr>
          <w:color w:val="231F20"/>
          <w:w w:val="105"/>
        </w:rPr>
        <w:t>causación</w:t>
      </w:r>
      <w:r>
        <w:rPr>
          <w:color w:val="231F20"/>
          <w:spacing w:val="-7"/>
          <w:w w:val="105"/>
        </w:rPr>
        <w:t> </w:t>
      </w:r>
      <w:r>
        <w:rPr>
          <w:color w:val="231F20"/>
          <w:w w:val="105"/>
        </w:rPr>
        <w:t>acumulativa</w:t>
      </w:r>
      <w:r>
        <w:rPr>
          <w:color w:val="231F20"/>
          <w:spacing w:val="-7"/>
          <w:w w:val="105"/>
        </w:rPr>
        <w:t> </w:t>
      </w:r>
      <w:r>
        <w:rPr>
          <w:color w:val="231F20"/>
          <w:w w:val="105"/>
        </w:rPr>
        <w:t>descrita</w:t>
      </w:r>
      <w:r>
        <w:rPr>
          <w:color w:val="231F20"/>
          <w:spacing w:val="-7"/>
          <w:w w:val="105"/>
        </w:rPr>
        <w:t> </w:t>
      </w:r>
      <w:r>
        <w:rPr>
          <w:color w:val="231F20"/>
          <w:w w:val="105"/>
        </w:rPr>
        <w:t>por</w:t>
      </w:r>
      <w:r>
        <w:rPr>
          <w:color w:val="231F20"/>
          <w:spacing w:val="-7"/>
          <w:w w:val="105"/>
        </w:rPr>
        <w:t> </w:t>
      </w:r>
      <w:r>
        <w:rPr>
          <w:color w:val="231F20"/>
          <w:w w:val="105"/>
        </w:rPr>
        <w:t>Myrdal</w:t>
      </w:r>
      <w:r>
        <w:rPr>
          <w:color w:val="231F20"/>
          <w:spacing w:val="-7"/>
          <w:w w:val="105"/>
        </w:rPr>
        <w:t> </w:t>
      </w:r>
      <w:r>
        <w:rPr>
          <w:color w:val="231F20"/>
          <w:w w:val="105"/>
        </w:rPr>
        <w:t>fue</w:t>
      </w:r>
      <w:r>
        <w:rPr>
          <w:color w:val="231F20"/>
          <w:spacing w:val="-7"/>
          <w:w w:val="105"/>
        </w:rPr>
        <w:t> </w:t>
      </w:r>
      <w:r>
        <w:rPr>
          <w:color w:val="231F20"/>
          <w:w w:val="105"/>
        </w:rPr>
        <w:t>forma- lizada por Kaldor en 1970. El planteamiento se basa en una función de producción con rendimientos a escala crecientes, debido a la</w:t>
      </w:r>
      <w:r>
        <w:rPr>
          <w:color w:val="231F20"/>
          <w:spacing w:val="-31"/>
          <w:w w:val="105"/>
        </w:rPr>
        <w:t> </w:t>
      </w:r>
      <w:r>
        <w:rPr>
          <w:color w:val="231F20"/>
          <w:w w:val="105"/>
        </w:rPr>
        <w:t>existencia de economías de escala en la producción industrial y a la obtención de economías</w:t>
      </w:r>
      <w:r>
        <w:rPr>
          <w:color w:val="231F20"/>
          <w:spacing w:val="-20"/>
          <w:w w:val="105"/>
        </w:rPr>
        <w:t> </w:t>
      </w:r>
      <w:r>
        <w:rPr>
          <w:color w:val="231F20"/>
          <w:w w:val="105"/>
        </w:rPr>
        <w:t>externas</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aglomeración.</w:t>
      </w:r>
      <w:r>
        <w:rPr>
          <w:color w:val="231F20"/>
          <w:spacing w:val="-25"/>
          <w:w w:val="105"/>
        </w:rPr>
        <w:t> </w:t>
      </w:r>
      <w:r>
        <w:rPr>
          <w:color w:val="231F20"/>
          <w:w w:val="105"/>
        </w:rPr>
        <w:t>Este</w:t>
      </w:r>
      <w:r>
        <w:rPr>
          <w:color w:val="231F20"/>
          <w:spacing w:val="-20"/>
          <w:w w:val="105"/>
        </w:rPr>
        <w:t> </w:t>
      </w:r>
      <w:r>
        <w:rPr>
          <w:color w:val="231F20"/>
          <w:w w:val="105"/>
        </w:rPr>
        <w:t>autor</w:t>
      </w:r>
      <w:r>
        <w:rPr>
          <w:color w:val="231F20"/>
          <w:spacing w:val="-20"/>
          <w:w w:val="105"/>
        </w:rPr>
        <w:t> </w:t>
      </w:r>
      <w:r>
        <w:rPr>
          <w:color w:val="231F20"/>
          <w:w w:val="105"/>
        </w:rPr>
        <w:t>sostiene</w:t>
      </w:r>
      <w:r>
        <w:rPr>
          <w:color w:val="231F20"/>
          <w:spacing w:val="-20"/>
          <w:w w:val="105"/>
        </w:rPr>
        <w:t> </w:t>
      </w:r>
      <w:r>
        <w:rPr>
          <w:color w:val="231F20"/>
          <w:w w:val="105"/>
        </w:rPr>
        <w:t>que</w:t>
      </w:r>
      <w:r>
        <w:rPr>
          <w:color w:val="231F20"/>
          <w:spacing w:val="-20"/>
          <w:w w:val="105"/>
        </w:rPr>
        <w:t> </w:t>
      </w:r>
      <w:r>
        <w:rPr>
          <w:color w:val="231F20"/>
          <w:w w:val="105"/>
        </w:rPr>
        <w:t>el</w:t>
      </w:r>
      <w:r>
        <w:rPr>
          <w:color w:val="231F20"/>
          <w:spacing w:val="-20"/>
          <w:w w:val="105"/>
        </w:rPr>
        <w:t> </w:t>
      </w:r>
      <w:r>
        <w:rPr>
          <w:color w:val="231F20"/>
          <w:w w:val="105"/>
        </w:rPr>
        <w:t>princi- pio</w:t>
      </w:r>
      <w:r>
        <w:rPr>
          <w:color w:val="231F20"/>
          <w:spacing w:val="-17"/>
          <w:w w:val="105"/>
        </w:rPr>
        <w:t> </w:t>
      </w:r>
      <w:r>
        <w:rPr>
          <w:color w:val="231F20"/>
          <w:w w:val="105"/>
        </w:rPr>
        <w:t>de</w:t>
      </w:r>
      <w:r>
        <w:rPr>
          <w:color w:val="231F20"/>
          <w:spacing w:val="-17"/>
          <w:w w:val="105"/>
        </w:rPr>
        <w:t> </w:t>
      </w:r>
      <w:r>
        <w:rPr>
          <w:color w:val="231F20"/>
          <w:w w:val="105"/>
        </w:rPr>
        <w:t>causación</w:t>
      </w:r>
      <w:r>
        <w:rPr>
          <w:color w:val="231F20"/>
          <w:spacing w:val="-17"/>
          <w:w w:val="105"/>
        </w:rPr>
        <w:t> </w:t>
      </w:r>
      <w:r>
        <w:rPr>
          <w:color w:val="231F20"/>
          <w:w w:val="105"/>
        </w:rPr>
        <w:t>acumulativa</w:t>
      </w:r>
      <w:r>
        <w:rPr>
          <w:color w:val="231F20"/>
          <w:spacing w:val="-17"/>
          <w:w w:val="105"/>
        </w:rPr>
        <w:t> </w:t>
      </w:r>
      <w:r>
        <w:rPr>
          <w:color w:val="231F20"/>
          <w:w w:val="105"/>
        </w:rPr>
        <w:t>es</w:t>
      </w:r>
      <w:r>
        <w:rPr>
          <w:color w:val="231F20"/>
          <w:spacing w:val="-17"/>
          <w:w w:val="105"/>
        </w:rPr>
        <w:t> </w:t>
      </w:r>
      <w:r>
        <w:rPr>
          <w:color w:val="231F20"/>
          <w:w w:val="105"/>
        </w:rPr>
        <w:t>la</w:t>
      </w:r>
      <w:r>
        <w:rPr>
          <w:color w:val="231F20"/>
          <w:spacing w:val="-17"/>
          <w:w w:val="105"/>
        </w:rPr>
        <w:t> </w:t>
      </w:r>
      <w:r>
        <w:rPr>
          <w:color w:val="231F20"/>
          <w:w w:val="105"/>
        </w:rPr>
        <w:t>presencia</w:t>
      </w:r>
      <w:r>
        <w:rPr>
          <w:color w:val="231F20"/>
          <w:spacing w:val="-17"/>
          <w:w w:val="105"/>
        </w:rPr>
        <w:t> </w:t>
      </w:r>
      <w:r>
        <w:rPr>
          <w:color w:val="231F20"/>
          <w:w w:val="105"/>
        </w:rPr>
        <w:t>de</w:t>
      </w:r>
      <w:r>
        <w:rPr>
          <w:color w:val="231F20"/>
          <w:spacing w:val="-17"/>
          <w:w w:val="105"/>
        </w:rPr>
        <w:t> </w:t>
      </w:r>
      <w:r>
        <w:rPr>
          <w:color w:val="231F20"/>
          <w:w w:val="105"/>
        </w:rPr>
        <w:t>rendimientos</w:t>
      </w:r>
      <w:r>
        <w:rPr>
          <w:color w:val="231F20"/>
          <w:spacing w:val="-17"/>
          <w:w w:val="105"/>
        </w:rPr>
        <w:t> </w:t>
      </w:r>
      <w:r>
        <w:rPr>
          <w:color w:val="231F20"/>
          <w:w w:val="105"/>
        </w:rPr>
        <w:t>crecientes a</w:t>
      </w:r>
      <w:r>
        <w:rPr>
          <w:color w:val="231F20"/>
          <w:spacing w:val="-36"/>
          <w:w w:val="105"/>
        </w:rPr>
        <w:t> </w:t>
      </w:r>
      <w:r>
        <w:rPr>
          <w:color w:val="231F20"/>
          <w:w w:val="105"/>
        </w:rPr>
        <w:t>escala</w:t>
      </w:r>
      <w:r>
        <w:rPr>
          <w:color w:val="231F20"/>
          <w:spacing w:val="-36"/>
          <w:w w:val="105"/>
        </w:rPr>
        <w:t> </w:t>
      </w:r>
      <w:r>
        <w:rPr>
          <w:color w:val="231F20"/>
          <w:w w:val="105"/>
        </w:rPr>
        <w:t>en</w:t>
      </w:r>
      <w:r>
        <w:rPr>
          <w:color w:val="231F20"/>
          <w:spacing w:val="-36"/>
          <w:w w:val="105"/>
        </w:rPr>
        <w:t> </w:t>
      </w:r>
      <w:r>
        <w:rPr>
          <w:color w:val="231F20"/>
          <w:w w:val="105"/>
        </w:rPr>
        <w:t>la</w:t>
      </w:r>
      <w:r>
        <w:rPr>
          <w:color w:val="231F20"/>
          <w:spacing w:val="-36"/>
          <w:w w:val="105"/>
        </w:rPr>
        <w:t> </w:t>
      </w:r>
      <w:r>
        <w:rPr>
          <w:color w:val="231F20"/>
          <w:w w:val="105"/>
        </w:rPr>
        <w:t>industria</w:t>
      </w:r>
      <w:r>
        <w:rPr>
          <w:color w:val="231F20"/>
          <w:spacing w:val="-36"/>
          <w:w w:val="105"/>
        </w:rPr>
        <w:t> </w:t>
      </w:r>
      <w:r>
        <w:rPr>
          <w:color w:val="231F20"/>
          <w:w w:val="105"/>
        </w:rPr>
        <w:t>manufacturera;</w:t>
      </w:r>
      <w:r>
        <w:rPr>
          <w:color w:val="231F20"/>
          <w:spacing w:val="-36"/>
          <w:w w:val="105"/>
        </w:rPr>
        <w:t> </w:t>
      </w:r>
      <w:r>
        <w:rPr>
          <w:color w:val="231F20"/>
          <w:w w:val="105"/>
        </w:rPr>
        <w:t>éstos</w:t>
      </w:r>
      <w:r>
        <w:rPr>
          <w:color w:val="231F20"/>
          <w:spacing w:val="-36"/>
          <w:w w:val="105"/>
        </w:rPr>
        <w:t> </w:t>
      </w:r>
      <w:r>
        <w:rPr>
          <w:color w:val="231F20"/>
          <w:w w:val="105"/>
        </w:rPr>
        <w:t>favorecen</w:t>
      </w:r>
      <w:r>
        <w:rPr>
          <w:color w:val="231F20"/>
          <w:spacing w:val="-36"/>
          <w:w w:val="105"/>
        </w:rPr>
        <w:t> </w:t>
      </w:r>
      <w:r>
        <w:rPr>
          <w:color w:val="231F20"/>
          <w:w w:val="105"/>
        </w:rPr>
        <w:t>a</w:t>
      </w:r>
      <w:r>
        <w:rPr>
          <w:color w:val="231F20"/>
          <w:spacing w:val="-36"/>
          <w:w w:val="105"/>
        </w:rPr>
        <w:t> </w:t>
      </w:r>
      <w:r>
        <w:rPr>
          <w:color w:val="231F20"/>
          <w:w w:val="105"/>
        </w:rPr>
        <w:t>las</w:t>
      </w:r>
      <w:r>
        <w:rPr>
          <w:color w:val="231F20"/>
          <w:spacing w:val="-36"/>
          <w:w w:val="105"/>
        </w:rPr>
        <w:t> </w:t>
      </w:r>
      <w:r>
        <w:rPr>
          <w:color w:val="231F20"/>
          <w:w w:val="105"/>
        </w:rPr>
        <w:t>regiones</w:t>
      </w:r>
      <w:r>
        <w:rPr>
          <w:color w:val="231F20"/>
          <w:spacing w:val="-36"/>
          <w:w w:val="105"/>
        </w:rPr>
        <w:t> </w:t>
      </w:r>
      <w:r>
        <w:rPr>
          <w:color w:val="231F20"/>
          <w:w w:val="105"/>
        </w:rPr>
        <w:t>ricas y</w:t>
      </w:r>
      <w:r>
        <w:rPr>
          <w:color w:val="231F20"/>
          <w:spacing w:val="-25"/>
          <w:w w:val="105"/>
        </w:rPr>
        <w:t> </w:t>
      </w:r>
      <w:r>
        <w:rPr>
          <w:color w:val="231F20"/>
          <w:w w:val="105"/>
        </w:rPr>
        <w:t>restringen</w:t>
      </w:r>
      <w:r>
        <w:rPr>
          <w:color w:val="231F20"/>
          <w:spacing w:val="-25"/>
          <w:w w:val="105"/>
        </w:rPr>
        <w:t> </w:t>
      </w:r>
      <w:r>
        <w:rPr>
          <w:color w:val="231F20"/>
          <w:w w:val="105"/>
        </w:rPr>
        <w:t>el</w:t>
      </w:r>
      <w:r>
        <w:rPr>
          <w:color w:val="231F20"/>
          <w:spacing w:val="-25"/>
          <w:w w:val="105"/>
        </w:rPr>
        <w:t> </w:t>
      </w:r>
      <w:r>
        <w:rPr>
          <w:color w:val="231F20"/>
          <w:w w:val="105"/>
        </w:rPr>
        <w:t>desarrollo</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atrasadas.</w:t>
      </w:r>
      <w:r>
        <w:rPr>
          <w:color w:val="231F20"/>
          <w:spacing w:val="-29"/>
          <w:w w:val="105"/>
        </w:rPr>
        <w:t> </w:t>
      </w:r>
      <w:r>
        <w:rPr>
          <w:color w:val="231F20"/>
          <w:w w:val="105"/>
        </w:rPr>
        <w:t>Debido</w:t>
      </w:r>
      <w:r>
        <w:rPr>
          <w:color w:val="231F20"/>
          <w:spacing w:val="-25"/>
          <w:w w:val="105"/>
        </w:rPr>
        <w:t> </w:t>
      </w:r>
      <w:r>
        <w:rPr>
          <w:color w:val="231F20"/>
          <w:w w:val="105"/>
        </w:rPr>
        <w:t>a</w:t>
      </w:r>
      <w:r>
        <w:rPr>
          <w:color w:val="231F20"/>
          <w:spacing w:val="-25"/>
          <w:w w:val="105"/>
        </w:rPr>
        <w:t> </w:t>
      </w:r>
      <w:r>
        <w:rPr>
          <w:color w:val="231F20"/>
          <w:w w:val="105"/>
        </w:rPr>
        <w:t>los</w:t>
      </w:r>
      <w:r>
        <w:rPr>
          <w:color w:val="231F20"/>
          <w:spacing w:val="-25"/>
          <w:w w:val="105"/>
        </w:rPr>
        <w:t> </w:t>
      </w:r>
      <w:r>
        <w:rPr>
          <w:color w:val="231F20"/>
          <w:w w:val="105"/>
        </w:rPr>
        <w:t>efectos</w:t>
      </w:r>
      <w:r>
        <w:rPr>
          <w:color w:val="231F20"/>
          <w:spacing w:val="-25"/>
          <w:w w:val="105"/>
        </w:rPr>
        <w:t> </w:t>
      </w:r>
      <w:r>
        <w:rPr>
          <w:color w:val="231F20"/>
          <w:w w:val="105"/>
        </w:rPr>
        <w:t>de</w:t>
      </w:r>
      <w:r>
        <w:rPr>
          <w:color w:val="231F20"/>
          <w:spacing w:val="-25"/>
          <w:w w:val="105"/>
        </w:rPr>
        <w:t> </w:t>
      </w:r>
      <w:r>
        <w:rPr>
          <w:color w:val="231F20"/>
          <w:w w:val="105"/>
        </w:rPr>
        <w:t>escala, las</w:t>
      </w:r>
      <w:r>
        <w:rPr>
          <w:color w:val="231F20"/>
          <w:spacing w:val="-23"/>
          <w:w w:val="105"/>
        </w:rPr>
        <w:t> </w:t>
      </w:r>
      <w:r>
        <w:rPr>
          <w:color w:val="231F20"/>
          <w:w w:val="105"/>
        </w:rPr>
        <w:t>regiones</w:t>
      </w:r>
      <w:r>
        <w:rPr>
          <w:color w:val="231F20"/>
          <w:spacing w:val="-23"/>
          <w:w w:val="105"/>
        </w:rPr>
        <w:t> </w:t>
      </w:r>
      <w:r>
        <w:rPr>
          <w:color w:val="231F20"/>
          <w:w w:val="105"/>
        </w:rPr>
        <w:t>prósperas</w:t>
      </w:r>
      <w:r>
        <w:rPr>
          <w:color w:val="231F20"/>
          <w:spacing w:val="-23"/>
          <w:w w:val="105"/>
        </w:rPr>
        <w:t> </w:t>
      </w:r>
      <w:r>
        <w:rPr>
          <w:color w:val="231F20"/>
          <w:w w:val="105"/>
        </w:rPr>
        <w:t>alcanzan</w:t>
      </w:r>
      <w:r>
        <w:rPr>
          <w:color w:val="231F20"/>
          <w:spacing w:val="-23"/>
          <w:w w:val="105"/>
        </w:rPr>
        <w:t> </w:t>
      </w:r>
      <w:r>
        <w:rPr>
          <w:color w:val="231F20"/>
          <w:w w:val="105"/>
        </w:rPr>
        <w:t>un</w:t>
      </w:r>
      <w:r>
        <w:rPr>
          <w:color w:val="231F20"/>
          <w:spacing w:val="-23"/>
          <w:w w:val="105"/>
        </w:rPr>
        <w:t> </w:t>
      </w:r>
      <w:r>
        <w:rPr>
          <w:color w:val="231F20"/>
          <w:w w:val="105"/>
        </w:rPr>
        <w:t>monopolio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producción</w:t>
      </w:r>
      <w:r>
        <w:rPr>
          <w:color w:val="231F20"/>
          <w:spacing w:val="-23"/>
          <w:w w:val="105"/>
        </w:rPr>
        <w:t> </w:t>
      </w:r>
      <w:r>
        <w:rPr>
          <w:color w:val="231F20"/>
          <w:w w:val="105"/>
        </w:rPr>
        <w:t>industrial y muestra que las diferencias entre regiones o países tienden a crecer debido a las desigualdades iniciales en el grado de desarrollo</w:t>
      </w:r>
      <w:r>
        <w:rPr>
          <w:color w:val="231F20"/>
          <w:spacing w:val="-37"/>
          <w:w w:val="105"/>
        </w:rPr>
        <w:t> </w:t>
      </w:r>
      <w:r>
        <w:rPr>
          <w:color w:val="231F20"/>
          <w:w w:val="105"/>
        </w:rPr>
        <w:t>industrial. Lo</w:t>
      </w:r>
      <w:r>
        <w:rPr>
          <w:color w:val="231F20"/>
          <w:spacing w:val="-18"/>
          <w:w w:val="105"/>
        </w:rPr>
        <w:t> </w:t>
      </w:r>
      <w:r>
        <w:rPr>
          <w:color w:val="231F20"/>
          <w:w w:val="105"/>
        </w:rPr>
        <w:t>anterior</w:t>
      </w:r>
      <w:r>
        <w:rPr>
          <w:color w:val="231F20"/>
          <w:spacing w:val="-18"/>
          <w:w w:val="105"/>
        </w:rPr>
        <w:t> </w:t>
      </w:r>
      <w:r>
        <w:rPr>
          <w:color w:val="231F20"/>
          <w:w w:val="105"/>
        </w:rPr>
        <w:t>tiene</w:t>
      </w:r>
      <w:r>
        <w:rPr>
          <w:color w:val="231F20"/>
          <w:spacing w:val="-17"/>
          <w:w w:val="105"/>
        </w:rPr>
        <w:t> </w:t>
      </w:r>
      <w:r>
        <w:rPr>
          <w:color w:val="231F20"/>
          <w:w w:val="105"/>
        </w:rPr>
        <w:t>que</w:t>
      </w:r>
      <w:r>
        <w:rPr>
          <w:color w:val="231F20"/>
          <w:spacing w:val="-18"/>
          <w:w w:val="105"/>
        </w:rPr>
        <w:t> </w:t>
      </w:r>
      <w:r>
        <w:rPr>
          <w:color w:val="231F20"/>
          <w:w w:val="105"/>
        </w:rPr>
        <w:t>ver</w:t>
      </w:r>
      <w:r>
        <w:rPr>
          <w:color w:val="231F20"/>
          <w:spacing w:val="-18"/>
          <w:w w:val="105"/>
        </w:rPr>
        <w:t> </w:t>
      </w:r>
      <w:r>
        <w:rPr>
          <w:color w:val="231F20"/>
          <w:w w:val="105"/>
        </w:rPr>
        <w:t>directamente</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comercio</w:t>
      </w:r>
      <w:r>
        <w:rPr>
          <w:color w:val="231F20"/>
          <w:spacing w:val="-18"/>
          <w:w w:val="105"/>
        </w:rPr>
        <w:t> </w:t>
      </w:r>
      <w:r>
        <w:rPr>
          <w:color w:val="231F20"/>
          <w:w w:val="105"/>
        </w:rPr>
        <w:t>internacional,</w:t>
      </w:r>
      <w:r>
        <w:rPr>
          <w:color w:val="231F20"/>
          <w:spacing w:val="-24"/>
          <w:w w:val="105"/>
        </w:rPr>
        <w:t> </w:t>
      </w:r>
      <w:r>
        <w:rPr>
          <w:color w:val="231F20"/>
          <w:w w:val="105"/>
        </w:rPr>
        <w:t>por- que</w:t>
      </w:r>
      <w:r>
        <w:rPr>
          <w:color w:val="231F20"/>
          <w:spacing w:val="-10"/>
          <w:w w:val="105"/>
        </w:rPr>
        <w:t> </w:t>
      </w:r>
      <w:r>
        <w:rPr>
          <w:color w:val="231F20"/>
          <w:w w:val="105"/>
        </w:rPr>
        <w:t>un</w:t>
      </w:r>
      <w:r>
        <w:rPr>
          <w:color w:val="231F20"/>
          <w:spacing w:val="-10"/>
          <w:w w:val="105"/>
        </w:rPr>
        <w:t> </w:t>
      </w:r>
      <w:r>
        <w:rPr>
          <w:color w:val="231F20"/>
          <w:w w:val="105"/>
        </w:rPr>
        <w:t>país</w:t>
      </w:r>
      <w:r>
        <w:rPr>
          <w:color w:val="231F20"/>
          <w:spacing w:val="-10"/>
          <w:w w:val="105"/>
        </w:rPr>
        <w:t> </w:t>
      </w:r>
      <w:r>
        <w:rPr>
          <w:color w:val="231F20"/>
          <w:w w:val="105"/>
        </w:rPr>
        <w:t>rico</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que</w:t>
      </w:r>
      <w:r>
        <w:rPr>
          <w:color w:val="231F20"/>
          <w:spacing w:val="-10"/>
          <w:w w:val="105"/>
        </w:rPr>
        <w:t> </w:t>
      </w:r>
      <w:r>
        <w:rPr>
          <w:color w:val="231F20"/>
          <w:w w:val="105"/>
        </w:rPr>
        <w:t>exporta</w:t>
      </w:r>
      <w:r>
        <w:rPr>
          <w:color w:val="231F20"/>
          <w:spacing w:val="-10"/>
          <w:w w:val="105"/>
        </w:rPr>
        <w:t> </w:t>
      </w:r>
      <w:r>
        <w:rPr>
          <w:color w:val="231F20"/>
          <w:w w:val="105"/>
        </w:rPr>
        <w:t>bienes</w:t>
      </w:r>
      <w:r>
        <w:rPr>
          <w:color w:val="231F20"/>
          <w:spacing w:val="-10"/>
          <w:w w:val="105"/>
        </w:rPr>
        <w:t> </w:t>
      </w:r>
      <w:r>
        <w:rPr>
          <w:color w:val="231F20"/>
          <w:w w:val="105"/>
        </w:rPr>
        <w:t>con</w:t>
      </w:r>
      <w:r>
        <w:rPr>
          <w:color w:val="231F20"/>
          <w:spacing w:val="-10"/>
          <w:w w:val="105"/>
        </w:rPr>
        <w:t> </w:t>
      </w:r>
      <w:r>
        <w:rPr>
          <w:color w:val="231F20"/>
          <w:w w:val="105"/>
        </w:rPr>
        <w:t>altas</w:t>
      </w:r>
      <w:r>
        <w:rPr>
          <w:color w:val="231F20"/>
          <w:spacing w:val="-10"/>
          <w:w w:val="105"/>
        </w:rPr>
        <w:t> </w:t>
      </w:r>
      <w:r>
        <w:rPr>
          <w:color w:val="231F20"/>
          <w:w w:val="105"/>
        </w:rPr>
        <w:t>elasticidades</w:t>
      </w:r>
      <w:r>
        <w:rPr>
          <w:color w:val="231F20"/>
          <w:spacing w:val="-10"/>
          <w:w w:val="105"/>
        </w:rPr>
        <w:t> </w:t>
      </w:r>
      <w:r>
        <w:rPr>
          <w:color w:val="231F20"/>
          <w:w w:val="105"/>
        </w:rPr>
        <w:t>ingreso de</w:t>
      </w:r>
      <w:r>
        <w:rPr>
          <w:color w:val="231F20"/>
          <w:spacing w:val="-4"/>
          <w:w w:val="105"/>
        </w:rPr>
        <w:t> </w:t>
      </w:r>
      <w:r>
        <w:rPr>
          <w:color w:val="231F20"/>
          <w:w w:val="105"/>
        </w:rPr>
        <w:t>la</w:t>
      </w:r>
      <w:r>
        <w:rPr>
          <w:color w:val="231F20"/>
          <w:spacing w:val="-4"/>
          <w:w w:val="105"/>
        </w:rPr>
        <w:t> </w:t>
      </w:r>
      <w:r>
        <w:rPr>
          <w:color w:val="231F20"/>
          <w:w w:val="105"/>
        </w:rPr>
        <w:t>demanda</w:t>
      </w:r>
      <w:r>
        <w:rPr>
          <w:color w:val="231F20"/>
          <w:spacing w:val="-4"/>
          <w:w w:val="105"/>
        </w:rPr>
        <w:t> </w:t>
      </w:r>
      <w:r>
        <w:rPr>
          <w:color w:val="231F20"/>
          <w:w w:val="105"/>
        </w:rPr>
        <w:t>e</w:t>
      </w:r>
      <w:r>
        <w:rPr>
          <w:color w:val="231F20"/>
          <w:spacing w:val="-4"/>
          <w:w w:val="105"/>
        </w:rPr>
        <w:t> </w:t>
      </w:r>
      <w:r>
        <w:rPr>
          <w:color w:val="231F20"/>
          <w:w w:val="105"/>
        </w:rPr>
        <w:t>importa</w:t>
      </w:r>
      <w:r>
        <w:rPr>
          <w:color w:val="231F20"/>
          <w:spacing w:val="-4"/>
          <w:w w:val="105"/>
        </w:rPr>
        <w:t> </w:t>
      </w:r>
      <w:r>
        <w:rPr>
          <w:color w:val="231F20"/>
          <w:w w:val="105"/>
        </w:rPr>
        <w:t>bienes</w:t>
      </w:r>
      <w:r>
        <w:rPr>
          <w:color w:val="231F20"/>
          <w:spacing w:val="-4"/>
          <w:w w:val="105"/>
        </w:rPr>
        <w:t> </w:t>
      </w:r>
      <w:r>
        <w:rPr>
          <w:color w:val="231F20"/>
          <w:w w:val="105"/>
        </w:rPr>
        <w:t>con</w:t>
      </w:r>
      <w:r>
        <w:rPr>
          <w:color w:val="231F20"/>
          <w:spacing w:val="-4"/>
          <w:w w:val="105"/>
        </w:rPr>
        <w:t> </w:t>
      </w:r>
      <w:r>
        <w:rPr>
          <w:color w:val="231F20"/>
          <w:w w:val="105"/>
        </w:rPr>
        <w:t>bajas</w:t>
      </w:r>
      <w:r>
        <w:rPr>
          <w:color w:val="231F20"/>
          <w:spacing w:val="-4"/>
          <w:w w:val="105"/>
        </w:rPr>
        <w:t> </w:t>
      </w:r>
      <w:r>
        <w:rPr>
          <w:color w:val="231F20"/>
          <w:w w:val="105"/>
        </w:rPr>
        <w:t>elasticidades.</w:t>
      </w:r>
      <w:r>
        <w:rPr>
          <w:color w:val="231F20"/>
          <w:spacing w:val="-12"/>
          <w:w w:val="105"/>
        </w:rPr>
        <w:t> </w:t>
      </w:r>
      <w:r>
        <w:rPr>
          <w:color w:val="231F20"/>
          <w:w w:val="105"/>
        </w:rPr>
        <w:t>Así,</w:t>
      </w:r>
      <w:r>
        <w:rPr>
          <w:color w:val="231F20"/>
          <w:spacing w:val="-9"/>
          <w:w w:val="105"/>
        </w:rPr>
        <w:t> </w:t>
      </w:r>
      <w:r>
        <w:rPr>
          <w:color w:val="231F20"/>
          <w:w w:val="105"/>
        </w:rPr>
        <w:t>las</w:t>
      </w:r>
      <w:r>
        <w:rPr>
          <w:color w:val="231F20"/>
          <w:spacing w:val="-4"/>
          <w:w w:val="105"/>
        </w:rPr>
        <w:t> </w:t>
      </w:r>
      <w:r>
        <w:rPr>
          <w:color w:val="231F20"/>
          <w:w w:val="105"/>
        </w:rPr>
        <w:t>expor- taciones son el componente autónomo más importante del gasto en las economías desarrolladas porque permiten la utilización de la</w:t>
      </w:r>
      <w:r>
        <w:rPr>
          <w:color w:val="231F20"/>
          <w:spacing w:val="-17"/>
          <w:w w:val="105"/>
        </w:rPr>
        <w:t> </w:t>
      </w:r>
      <w:r>
        <w:rPr>
          <w:color w:val="231F20"/>
          <w:w w:val="105"/>
        </w:rPr>
        <w:t>capacidad productiva</w:t>
      </w:r>
      <w:r>
        <w:rPr>
          <w:color w:val="231F20"/>
          <w:spacing w:val="-32"/>
          <w:w w:val="105"/>
        </w:rPr>
        <w:t> </w:t>
      </w:r>
      <w:r>
        <w:rPr>
          <w:color w:val="231F20"/>
          <w:w w:val="105"/>
        </w:rPr>
        <w:t>manufacturera</w:t>
      </w:r>
      <w:r>
        <w:rPr>
          <w:color w:val="231F20"/>
          <w:spacing w:val="-32"/>
          <w:w w:val="105"/>
        </w:rPr>
        <w:t> </w:t>
      </w:r>
      <w:r>
        <w:rPr>
          <w:color w:val="231F20"/>
          <w:w w:val="105"/>
        </w:rPr>
        <w:t>(Calderón</w:t>
      </w:r>
      <w:r>
        <w:rPr>
          <w:color w:val="231F20"/>
          <w:spacing w:val="-32"/>
          <w:w w:val="105"/>
        </w:rPr>
        <w:t> </w:t>
      </w:r>
      <w:r>
        <w:rPr>
          <w:color w:val="231F20"/>
          <w:w w:val="105"/>
        </w:rPr>
        <w:t>y</w:t>
      </w:r>
      <w:r>
        <w:rPr>
          <w:color w:val="231F20"/>
          <w:spacing w:val="-32"/>
          <w:w w:val="105"/>
        </w:rPr>
        <w:t> </w:t>
      </w:r>
      <w:r>
        <w:rPr>
          <w:color w:val="231F20"/>
          <w:w w:val="105"/>
        </w:rPr>
        <w:t>Martínez,</w:t>
      </w:r>
      <w:r>
        <w:rPr>
          <w:color w:val="231F20"/>
          <w:spacing w:val="-36"/>
          <w:w w:val="105"/>
        </w:rPr>
        <w:t> </w:t>
      </w:r>
      <w:r>
        <w:rPr>
          <w:color w:val="231F20"/>
          <w:w w:val="105"/>
        </w:rPr>
        <w:t>2005).</w:t>
      </w:r>
    </w:p>
    <w:p>
      <w:pPr>
        <w:pStyle w:val="BodyText"/>
        <w:spacing w:line="259" w:lineRule="auto"/>
        <w:ind w:left="115" w:right="114" w:firstLine="567"/>
        <w:jc w:val="both"/>
      </w:pPr>
      <w:r>
        <w:rPr>
          <w:color w:val="231F20"/>
          <w:w w:val="105"/>
        </w:rPr>
        <w:t>Kaldor (1978) argumenta que el crecimiento del componente</w:t>
      </w:r>
      <w:r>
        <w:rPr>
          <w:color w:val="231F20"/>
          <w:spacing w:val="-14"/>
          <w:w w:val="105"/>
        </w:rPr>
        <w:t> </w:t>
      </w:r>
      <w:r>
        <w:rPr>
          <w:color w:val="231F20"/>
          <w:w w:val="105"/>
        </w:rPr>
        <w:t>exó- geno de demanda determina la tasa de crecimiento de producción. En las primeras etapas del desarrollo económico este crecimiento de la</w:t>
      </w:r>
      <w:r>
        <w:rPr>
          <w:color w:val="231F20"/>
          <w:spacing w:val="-39"/>
          <w:w w:val="105"/>
        </w:rPr>
        <w:t> </w:t>
      </w:r>
      <w:r>
        <w:rPr>
          <w:color w:val="231F20"/>
          <w:w w:val="105"/>
        </w:rPr>
        <w:t>de- manda proviene del sector agrícola. Sin embargo, en los subsecuentes desarrollos de la economía, los énfasis en los cambios del crecimiento de las exportaciones del sector primario, determinan el crecimiento del sector</w:t>
      </w:r>
      <w:r>
        <w:rPr>
          <w:color w:val="231F20"/>
          <w:spacing w:val="-6"/>
          <w:w w:val="105"/>
        </w:rPr>
        <w:t> </w:t>
      </w:r>
      <w:r>
        <w:rPr>
          <w:color w:val="231F20"/>
          <w:w w:val="105"/>
        </w:rPr>
        <w:t>industrial.</w:t>
      </w:r>
      <w:r>
        <w:rPr>
          <w:color w:val="231F20"/>
          <w:spacing w:val="-11"/>
          <w:w w:val="105"/>
        </w:rPr>
        <w:t> </w:t>
      </w:r>
      <w:r>
        <w:rPr>
          <w:color w:val="231F20"/>
          <w:w w:val="105"/>
        </w:rPr>
        <w:t>La</w:t>
      </w:r>
      <w:r>
        <w:rPr>
          <w:color w:val="231F20"/>
          <w:spacing w:val="-6"/>
          <w:w w:val="105"/>
        </w:rPr>
        <w:t> </w:t>
      </w:r>
      <w:r>
        <w:rPr>
          <w:color w:val="231F20"/>
          <w:w w:val="105"/>
        </w:rPr>
        <w:t>rápida</w:t>
      </w:r>
      <w:r>
        <w:rPr>
          <w:color w:val="231F20"/>
          <w:spacing w:val="-6"/>
          <w:w w:val="105"/>
        </w:rPr>
        <w:t> </w:t>
      </w:r>
      <w:r>
        <w:rPr>
          <w:color w:val="231F20"/>
          <w:w w:val="105"/>
        </w:rPr>
        <w:t>tasa</w:t>
      </w:r>
      <w:r>
        <w:rPr>
          <w:color w:val="231F20"/>
          <w:spacing w:val="-6"/>
          <w:w w:val="105"/>
        </w:rPr>
        <w:t> </w:t>
      </w:r>
      <w:r>
        <w:rPr>
          <w:color w:val="231F20"/>
          <w:w w:val="105"/>
        </w:rPr>
        <w:t>de</w:t>
      </w:r>
      <w:r>
        <w:rPr>
          <w:color w:val="231F20"/>
          <w:spacing w:val="-6"/>
          <w:w w:val="105"/>
        </w:rPr>
        <w:t> </w:t>
      </w:r>
      <w:r>
        <w:rPr>
          <w:color w:val="231F20"/>
          <w:w w:val="105"/>
        </w:rPr>
        <w:t>crecimiento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exportaciones</w:t>
      </w:r>
      <w:r>
        <w:rPr>
          <w:color w:val="231F20"/>
          <w:spacing w:val="-6"/>
          <w:w w:val="105"/>
        </w:rPr>
        <w:t> </w:t>
      </w:r>
      <w:r>
        <w:rPr>
          <w:color w:val="231F20"/>
          <w:w w:val="105"/>
        </w:rPr>
        <w:t>y</w:t>
      </w:r>
      <w:r>
        <w:rPr>
          <w:color w:val="231F20"/>
          <w:spacing w:val="-6"/>
          <w:w w:val="105"/>
        </w:rPr>
        <w:t> </w:t>
      </w:r>
      <w:r>
        <w:rPr>
          <w:color w:val="231F20"/>
          <w:w w:val="105"/>
        </w:rPr>
        <w:t>la producción</w:t>
      </w:r>
      <w:r>
        <w:rPr>
          <w:color w:val="231F20"/>
          <w:spacing w:val="-11"/>
          <w:w w:val="105"/>
        </w:rPr>
        <w:t> </w:t>
      </w:r>
      <w:r>
        <w:rPr>
          <w:color w:val="231F20"/>
          <w:w w:val="105"/>
        </w:rPr>
        <w:t>tienden</w:t>
      </w:r>
      <w:r>
        <w:rPr>
          <w:color w:val="231F20"/>
          <w:spacing w:val="-11"/>
          <w:w w:val="105"/>
        </w:rPr>
        <w:t> </w:t>
      </w:r>
      <w:r>
        <w:rPr>
          <w:color w:val="231F20"/>
          <w:w w:val="105"/>
        </w:rPr>
        <w:t>a</w:t>
      </w:r>
      <w:r>
        <w:rPr>
          <w:color w:val="231F20"/>
          <w:spacing w:val="-11"/>
          <w:w w:val="105"/>
        </w:rPr>
        <w:t> </w:t>
      </w:r>
      <w:r>
        <w:rPr>
          <w:color w:val="231F20"/>
          <w:w w:val="105"/>
        </w:rPr>
        <w:t>reforzar</w:t>
      </w:r>
      <w:r>
        <w:rPr>
          <w:color w:val="231F20"/>
          <w:spacing w:val="-11"/>
          <w:w w:val="105"/>
        </w:rPr>
        <w:t> </w:t>
      </w:r>
      <w:r>
        <w:rPr>
          <w:color w:val="231F20"/>
          <w:w w:val="105"/>
        </w:rPr>
        <w:t>el</w:t>
      </w:r>
      <w:r>
        <w:rPr>
          <w:color w:val="231F20"/>
          <w:spacing w:val="-11"/>
          <w:w w:val="105"/>
        </w:rPr>
        <w:t> </w:t>
      </w:r>
      <w:r>
        <w:rPr>
          <w:color w:val="231F20"/>
          <w:w w:val="105"/>
        </w:rPr>
        <w:t>proceso.</w:t>
      </w:r>
    </w:p>
    <w:p>
      <w:pPr>
        <w:pStyle w:val="BodyText"/>
        <w:spacing w:line="259" w:lineRule="auto"/>
        <w:ind w:left="115" w:right="115" w:firstLine="567"/>
        <w:jc w:val="both"/>
      </w:pPr>
      <w:r>
        <w:rPr>
          <w:color w:val="231F20"/>
          <w:w w:val="105"/>
        </w:rPr>
        <w:t>El</w:t>
      </w:r>
      <w:r>
        <w:rPr>
          <w:color w:val="231F20"/>
          <w:spacing w:val="-24"/>
          <w:w w:val="105"/>
        </w:rPr>
        <w:t> </w:t>
      </w:r>
      <w:r>
        <w:rPr>
          <w:color w:val="231F20"/>
          <w:w w:val="105"/>
        </w:rPr>
        <w:t>círculo</w:t>
      </w:r>
      <w:r>
        <w:rPr>
          <w:color w:val="231F20"/>
          <w:spacing w:val="-24"/>
          <w:w w:val="105"/>
        </w:rPr>
        <w:t> </w:t>
      </w:r>
      <w:r>
        <w:rPr>
          <w:color w:val="231F20"/>
          <w:w w:val="105"/>
        </w:rPr>
        <w:t>de</w:t>
      </w:r>
      <w:r>
        <w:rPr>
          <w:color w:val="231F20"/>
          <w:spacing w:val="-24"/>
          <w:w w:val="105"/>
        </w:rPr>
        <w:t> </w:t>
      </w:r>
      <w:r>
        <w:rPr>
          <w:color w:val="231F20"/>
          <w:w w:val="105"/>
        </w:rPr>
        <w:t>causación</w:t>
      </w:r>
      <w:r>
        <w:rPr>
          <w:color w:val="231F20"/>
          <w:spacing w:val="-24"/>
          <w:w w:val="105"/>
        </w:rPr>
        <w:t> </w:t>
      </w:r>
      <w:r>
        <w:rPr>
          <w:color w:val="231F20"/>
          <w:w w:val="105"/>
        </w:rPr>
        <w:t>acumulativa</w:t>
      </w:r>
      <w:r>
        <w:rPr>
          <w:color w:val="231F20"/>
          <w:spacing w:val="-24"/>
          <w:w w:val="105"/>
        </w:rPr>
        <w:t> </w:t>
      </w:r>
      <w:r>
        <w:rPr>
          <w:color w:val="231F20"/>
          <w:w w:val="105"/>
        </w:rPr>
        <w:t>funciona</w:t>
      </w:r>
      <w:r>
        <w:rPr>
          <w:color w:val="231F20"/>
          <w:spacing w:val="-24"/>
          <w:w w:val="105"/>
        </w:rPr>
        <w:t> </w:t>
      </w:r>
      <w:r>
        <w:rPr>
          <w:color w:val="231F20"/>
          <w:w w:val="105"/>
        </w:rPr>
        <w:t>así:</w:t>
      </w:r>
      <w:r>
        <w:rPr>
          <w:color w:val="231F20"/>
          <w:spacing w:val="-24"/>
          <w:w w:val="105"/>
        </w:rPr>
        <w:t> </w:t>
      </w:r>
      <w:r>
        <w:rPr>
          <w:color w:val="231F20"/>
          <w:w w:val="105"/>
        </w:rPr>
        <w:t>un</w:t>
      </w:r>
      <w:r>
        <w:rPr>
          <w:color w:val="231F20"/>
          <w:spacing w:val="-24"/>
          <w:w w:val="105"/>
        </w:rPr>
        <w:t> </w:t>
      </w:r>
      <w:r>
        <w:rPr>
          <w:color w:val="231F20"/>
          <w:w w:val="105"/>
        </w:rPr>
        <w:t>incremento</w:t>
      </w:r>
      <w:r>
        <w:rPr>
          <w:color w:val="231F20"/>
          <w:spacing w:val="-24"/>
          <w:w w:val="105"/>
        </w:rPr>
        <w:t> </w:t>
      </w:r>
      <w:r>
        <w:rPr>
          <w:color w:val="231F20"/>
          <w:w w:val="105"/>
        </w:rPr>
        <w:t>ini- cial sustancial en las exportaciones permite a un país asegurar el creci- miento</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demanda</w:t>
      </w:r>
      <w:r>
        <w:rPr>
          <w:color w:val="231F20"/>
          <w:spacing w:val="-11"/>
          <w:w w:val="105"/>
        </w:rPr>
        <w:t> </w:t>
      </w:r>
      <w:r>
        <w:rPr>
          <w:color w:val="231F20"/>
          <w:w w:val="105"/>
        </w:rPr>
        <w:t>sin</w:t>
      </w:r>
      <w:r>
        <w:rPr>
          <w:color w:val="231F20"/>
          <w:spacing w:val="-11"/>
          <w:w w:val="105"/>
        </w:rPr>
        <w:t> </w:t>
      </w:r>
      <w:r>
        <w:rPr>
          <w:color w:val="231F20"/>
          <w:w w:val="105"/>
        </w:rPr>
        <w:t>sufrir</w:t>
      </w:r>
      <w:r>
        <w:rPr>
          <w:color w:val="231F20"/>
          <w:spacing w:val="-11"/>
          <w:w w:val="105"/>
        </w:rPr>
        <w:t> </w:t>
      </w:r>
      <w:r>
        <w:rPr>
          <w:color w:val="231F20"/>
          <w:w w:val="105"/>
        </w:rPr>
        <w:t>deterioro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balanza</w:t>
      </w:r>
      <w:r>
        <w:rPr>
          <w:color w:val="231F20"/>
          <w:spacing w:val="-11"/>
          <w:w w:val="105"/>
        </w:rPr>
        <w:t> </w:t>
      </w:r>
      <w:r>
        <w:rPr>
          <w:color w:val="231F20"/>
          <w:w w:val="105"/>
        </w:rPr>
        <w:t>comercial,</w:t>
      </w:r>
      <w:r>
        <w:rPr>
          <w:color w:val="231F20"/>
          <w:spacing w:val="-17"/>
          <w:w w:val="105"/>
        </w:rPr>
        <w:t> </w:t>
      </w:r>
      <w:r>
        <w:rPr>
          <w:color w:val="231F20"/>
          <w:w w:val="105"/>
        </w:rPr>
        <w:t>lo</w:t>
      </w:r>
      <w:r>
        <w:rPr>
          <w:color w:val="231F20"/>
          <w:spacing w:val="-11"/>
          <w:w w:val="105"/>
        </w:rPr>
        <w:t> </w:t>
      </w:r>
      <w:r>
        <w:rPr>
          <w:color w:val="231F20"/>
          <w:w w:val="105"/>
        </w:rPr>
        <w:t>que asegura</w:t>
      </w:r>
      <w:r>
        <w:rPr>
          <w:color w:val="231F20"/>
          <w:spacing w:val="-13"/>
          <w:w w:val="105"/>
        </w:rPr>
        <w:t> </w:t>
      </w:r>
      <w:r>
        <w:rPr>
          <w:color w:val="231F20"/>
          <w:w w:val="105"/>
        </w:rPr>
        <w:t>el</w:t>
      </w:r>
      <w:r>
        <w:rPr>
          <w:color w:val="231F20"/>
          <w:spacing w:val="-13"/>
          <w:w w:val="105"/>
        </w:rPr>
        <w:t> </w:t>
      </w:r>
      <w:r>
        <w:rPr>
          <w:color w:val="231F20"/>
          <w:w w:val="105"/>
        </w:rPr>
        <w:t>rápido</w:t>
      </w:r>
      <w:r>
        <w:rPr>
          <w:color w:val="231F20"/>
          <w:spacing w:val="-13"/>
          <w:w w:val="105"/>
        </w:rPr>
        <w:t> </w:t>
      </w:r>
      <w:r>
        <w:rPr>
          <w:color w:val="231F20"/>
          <w:w w:val="105"/>
        </w:rPr>
        <w:t>crecimiento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producción</w:t>
      </w:r>
      <w:r>
        <w:rPr>
          <w:color w:val="231F20"/>
          <w:spacing w:val="-13"/>
          <w:w w:val="105"/>
        </w:rPr>
        <w:t> </w:t>
      </w:r>
      <w:r>
        <w:rPr>
          <w:color w:val="231F20"/>
          <w:w w:val="105"/>
        </w:rPr>
        <w:t>industrial</w:t>
      </w:r>
      <w:r>
        <w:rPr>
          <w:color w:val="231F20"/>
          <w:spacing w:val="-13"/>
          <w:w w:val="105"/>
        </w:rPr>
        <w:t> </w:t>
      </w:r>
      <w:r>
        <w:rPr>
          <w:color w:val="231F20"/>
          <w:spacing w:val="-4"/>
          <w:w w:val="105"/>
        </w:rPr>
        <w:t>y,</w:t>
      </w:r>
      <w:r>
        <w:rPr>
          <w:color w:val="231F20"/>
          <w:spacing w:val="-18"/>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w:t>
      </w:r>
      <w:r>
        <w:rPr>
          <w:color w:val="231F20"/>
          <w:spacing w:val="-13"/>
          <w:w w:val="105"/>
        </w:rPr>
        <w:t> </w:t>
      </w:r>
      <w:r>
        <w:rPr>
          <w:color w:val="231F20"/>
          <w:w w:val="105"/>
        </w:rPr>
        <w:t>la ley de Verdoorn</w:t>
      </w:r>
      <w:r>
        <w:rPr>
          <w:color w:val="231F20"/>
          <w:w w:val="105"/>
          <w:position w:val="7"/>
          <w:sz w:val="12"/>
        </w:rPr>
        <w:t>10</w:t>
      </w:r>
      <w:r>
        <w:rPr>
          <w:color w:val="231F20"/>
          <w:w w:val="105"/>
        </w:rPr>
        <w:t>, el crecimiento de la productividad. La rápida tasa de crecimiento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productividad</w:t>
      </w:r>
      <w:r>
        <w:rPr>
          <w:color w:val="231F20"/>
          <w:spacing w:val="-12"/>
          <w:w w:val="105"/>
        </w:rPr>
        <w:t> </w:t>
      </w:r>
      <w:r>
        <w:rPr>
          <w:color w:val="231F20"/>
          <w:w w:val="105"/>
        </w:rPr>
        <w:t>reduce</w:t>
      </w:r>
      <w:r>
        <w:rPr>
          <w:color w:val="231F20"/>
          <w:spacing w:val="-12"/>
          <w:w w:val="105"/>
        </w:rPr>
        <w:t> </w:t>
      </w:r>
      <w:r>
        <w:rPr>
          <w:color w:val="231F20"/>
          <w:w w:val="105"/>
        </w:rPr>
        <w:t>el</w:t>
      </w:r>
      <w:r>
        <w:rPr>
          <w:color w:val="231F20"/>
          <w:spacing w:val="-12"/>
          <w:w w:val="105"/>
        </w:rPr>
        <w:t> </w:t>
      </w:r>
      <w:r>
        <w:rPr>
          <w:color w:val="231F20"/>
          <w:w w:val="105"/>
        </w:rPr>
        <w:t>costo</w:t>
      </w:r>
      <w:r>
        <w:rPr>
          <w:color w:val="231F20"/>
          <w:spacing w:val="-12"/>
          <w:w w:val="105"/>
        </w:rPr>
        <w:t> </w:t>
      </w:r>
      <w:r>
        <w:rPr>
          <w:color w:val="231F20"/>
          <w:w w:val="105"/>
        </w:rPr>
        <w:t>de</w:t>
      </w:r>
      <w:r>
        <w:rPr>
          <w:color w:val="231F20"/>
          <w:spacing w:val="-12"/>
          <w:w w:val="105"/>
        </w:rPr>
        <w:t> </w:t>
      </w:r>
      <w:r>
        <w:rPr>
          <w:color w:val="231F20"/>
          <w:w w:val="105"/>
        </w:rPr>
        <w:t>producción</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precio de</w:t>
      </w:r>
      <w:r>
        <w:rPr>
          <w:color w:val="231F20"/>
          <w:spacing w:val="-19"/>
          <w:w w:val="105"/>
        </w:rPr>
        <w:t> </w:t>
      </w:r>
      <w:r>
        <w:rPr>
          <w:color w:val="231F20"/>
          <w:w w:val="105"/>
        </w:rPr>
        <w:t>las</w:t>
      </w:r>
      <w:r>
        <w:rPr>
          <w:color w:val="231F20"/>
          <w:spacing w:val="-19"/>
          <w:w w:val="105"/>
        </w:rPr>
        <w:t> </w:t>
      </w:r>
      <w:r>
        <w:rPr>
          <w:color w:val="231F20"/>
          <w:w w:val="105"/>
        </w:rPr>
        <w:t>exportaciones.</w:t>
      </w:r>
      <w:r>
        <w:rPr>
          <w:color w:val="231F20"/>
          <w:spacing w:val="-24"/>
          <w:w w:val="105"/>
        </w:rPr>
        <w:t> </w:t>
      </w:r>
      <w:r>
        <w:rPr>
          <w:color w:val="231F20"/>
          <w:w w:val="105"/>
        </w:rPr>
        <w:t>Esto</w:t>
      </w:r>
      <w:r>
        <w:rPr>
          <w:color w:val="231F20"/>
          <w:spacing w:val="-19"/>
          <w:w w:val="105"/>
        </w:rPr>
        <w:t> </w:t>
      </w:r>
      <w:r>
        <w:rPr>
          <w:color w:val="231F20"/>
          <w:w w:val="105"/>
        </w:rPr>
        <w:t>guía</w:t>
      </w:r>
      <w:r>
        <w:rPr>
          <w:color w:val="231F20"/>
          <w:spacing w:val="-19"/>
          <w:w w:val="105"/>
        </w:rPr>
        <w:t> </w:t>
      </w:r>
      <w:r>
        <w:rPr>
          <w:color w:val="231F20"/>
          <w:w w:val="105"/>
        </w:rPr>
        <w:t>a</w:t>
      </w:r>
      <w:r>
        <w:rPr>
          <w:color w:val="231F20"/>
          <w:spacing w:val="-19"/>
          <w:w w:val="105"/>
        </w:rPr>
        <w:t> </w:t>
      </w:r>
      <w:r>
        <w:rPr>
          <w:color w:val="231F20"/>
          <w:w w:val="105"/>
        </w:rPr>
        <w:t>fuertes</w:t>
      </w:r>
      <w:r>
        <w:rPr>
          <w:color w:val="231F20"/>
          <w:spacing w:val="-19"/>
          <w:w w:val="105"/>
        </w:rPr>
        <w:t> </w:t>
      </w:r>
      <w:r>
        <w:rPr>
          <w:color w:val="231F20"/>
          <w:w w:val="105"/>
        </w:rPr>
        <w:t>incrementos</w:t>
      </w:r>
      <w:r>
        <w:rPr>
          <w:color w:val="231F20"/>
          <w:spacing w:val="-19"/>
          <w:w w:val="105"/>
        </w:rPr>
        <w:t> </w:t>
      </w:r>
      <w:r>
        <w:rPr>
          <w:color w:val="231F20"/>
          <w:w w:val="105"/>
        </w:rPr>
        <w:t>en</w:t>
      </w:r>
      <w:r>
        <w:rPr>
          <w:color w:val="231F20"/>
          <w:spacing w:val="-19"/>
          <w:w w:val="105"/>
        </w:rPr>
        <w:t> </w:t>
      </w:r>
      <w:r>
        <w:rPr>
          <w:color w:val="231F20"/>
          <w:w w:val="105"/>
        </w:rPr>
        <w:t>exportaciones</w:t>
      </w:r>
      <w:r>
        <w:rPr>
          <w:color w:val="231F20"/>
          <w:spacing w:val="-19"/>
          <w:w w:val="105"/>
        </w:rPr>
        <w:t> </w:t>
      </w:r>
      <w:r>
        <w:rPr>
          <w:color w:val="231F20"/>
          <w:w w:val="105"/>
        </w:rPr>
        <w:t>y subsecuentemente en producción y</w:t>
      </w:r>
      <w:r>
        <w:rPr>
          <w:color w:val="231F20"/>
          <w:spacing w:val="-25"/>
          <w:w w:val="105"/>
        </w:rPr>
        <w:t> </w:t>
      </w:r>
      <w:r>
        <w:rPr>
          <w:color w:val="231F20"/>
          <w:w w:val="105"/>
        </w:rPr>
        <w:t>productividad.</w:t>
      </w:r>
    </w:p>
    <w:p>
      <w:pPr>
        <w:pStyle w:val="BodyText"/>
        <w:spacing w:line="259" w:lineRule="auto"/>
        <w:ind w:left="115" w:right="115" w:firstLine="567"/>
        <w:jc w:val="both"/>
      </w:pPr>
      <w:r>
        <w:rPr>
          <w:color w:val="231F20"/>
          <w:w w:val="105"/>
        </w:rPr>
        <w:t>En esencia, la demanda está alimentada principalmente por tres fuentes (Kaldor, 1978):</w:t>
      </w:r>
    </w:p>
    <w:p>
      <w:pPr>
        <w:pStyle w:val="BodyText"/>
        <w:spacing w:before="6"/>
        <w:rPr>
          <w:sz w:val="22"/>
        </w:rPr>
      </w:pPr>
    </w:p>
    <w:p>
      <w:pPr>
        <w:pStyle w:val="ListParagraph"/>
        <w:numPr>
          <w:ilvl w:val="0"/>
          <w:numId w:val="57"/>
        </w:numPr>
        <w:tabs>
          <w:tab w:pos="1326" w:val="left" w:leader="none"/>
        </w:tabs>
        <w:spacing w:line="259" w:lineRule="auto" w:before="0" w:after="0"/>
        <w:ind w:left="1325" w:right="118" w:hanging="360"/>
        <w:jc w:val="left"/>
        <w:rPr>
          <w:sz w:val="21"/>
        </w:rPr>
      </w:pPr>
      <w:r>
        <w:rPr>
          <w:color w:val="231F20"/>
          <w:w w:val="105"/>
          <w:sz w:val="21"/>
        </w:rPr>
        <w:t>El</w:t>
      </w:r>
      <w:r>
        <w:rPr>
          <w:color w:val="231F20"/>
          <w:spacing w:val="-39"/>
          <w:w w:val="105"/>
          <w:sz w:val="21"/>
        </w:rPr>
        <w:t> </w:t>
      </w:r>
      <w:r>
        <w:rPr>
          <w:color w:val="231F20"/>
          <w:spacing w:val="-4"/>
          <w:w w:val="105"/>
          <w:sz w:val="21"/>
        </w:rPr>
        <w:t>consumo.</w:t>
      </w:r>
      <w:r>
        <w:rPr>
          <w:color w:val="231F20"/>
          <w:spacing w:val="-43"/>
          <w:w w:val="105"/>
          <w:sz w:val="21"/>
        </w:rPr>
        <w:t> </w:t>
      </w:r>
      <w:r>
        <w:rPr>
          <w:color w:val="231F20"/>
          <w:w w:val="105"/>
          <w:sz w:val="21"/>
        </w:rPr>
        <w:t>El</w:t>
      </w:r>
      <w:r>
        <w:rPr>
          <w:color w:val="231F20"/>
          <w:spacing w:val="-39"/>
          <w:w w:val="105"/>
          <w:sz w:val="21"/>
        </w:rPr>
        <w:t> </w:t>
      </w:r>
      <w:r>
        <w:rPr>
          <w:color w:val="231F20"/>
          <w:spacing w:val="-4"/>
          <w:w w:val="105"/>
          <w:sz w:val="21"/>
        </w:rPr>
        <w:t>incremento</w:t>
      </w:r>
      <w:r>
        <w:rPr>
          <w:color w:val="231F20"/>
          <w:spacing w:val="-39"/>
          <w:w w:val="105"/>
          <w:sz w:val="21"/>
        </w:rPr>
        <w:t> </w:t>
      </w:r>
      <w:r>
        <w:rPr>
          <w:color w:val="231F20"/>
          <w:w w:val="105"/>
          <w:sz w:val="21"/>
        </w:rPr>
        <w:t>de</w:t>
      </w:r>
      <w:r>
        <w:rPr>
          <w:color w:val="231F20"/>
          <w:spacing w:val="-39"/>
          <w:w w:val="105"/>
          <w:sz w:val="21"/>
        </w:rPr>
        <w:t> </w:t>
      </w:r>
      <w:r>
        <w:rPr>
          <w:color w:val="231F20"/>
          <w:spacing w:val="-3"/>
          <w:w w:val="105"/>
          <w:sz w:val="21"/>
        </w:rPr>
        <w:t>los</w:t>
      </w:r>
      <w:r>
        <w:rPr>
          <w:color w:val="231F20"/>
          <w:spacing w:val="-39"/>
          <w:w w:val="105"/>
          <w:sz w:val="21"/>
        </w:rPr>
        <w:t> </w:t>
      </w:r>
      <w:r>
        <w:rPr>
          <w:color w:val="231F20"/>
          <w:spacing w:val="-4"/>
          <w:w w:val="105"/>
          <w:sz w:val="21"/>
        </w:rPr>
        <w:t>ingresos</w:t>
      </w:r>
      <w:r>
        <w:rPr>
          <w:color w:val="231F20"/>
          <w:spacing w:val="-39"/>
          <w:w w:val="105"/>
          <w:sz w:val="21"/>
        </w:rPr>
        <w:t> </w:t>
      </w:r>
      <w:r>
        <w:rPr>
          <w:color w:val="231F20"/>
          <w:spacing w:val="-4"/>
          <w:w w:val="105"/>
          <w:sz w:val="21"/>
        </w:rPr>
        <w:t>reales</w:t>
      </w:r>
      <w:r>
        <w:rPr>
          <w:color w:val="231F20"/>
          <w:spacing w:val="-39"/>
          <w:w w:val="105"/>
          <w:sz w:val="21"/>
        </w:rPr>
        <w:t> </w:t>
      </w:r>
      <w:r>
        <w:rPr>
          <w:color w:val="231F20"/>
          <w:spacing w:val="-4"/>
          <w:w w:val="105"/>
          <w:sz w:val="21"/>
        </w:rPr>
        <w:t>acelera</w:t>
      </w:r>
      <w:r>
        <w:rPr>
          <w:color w:val="231F20"/>
          <w:spacing w:val="-39"/>
          <w:w w:val="105"/>
          <w:sz w:val="21"/>
        </w:rPr>
        <w:t> </w:t>
      </w:r>
      <w:r>
        <w:rPr>
          <w:color w:val="231F20"/>
          <w:w w:val="105"/>
          <w:sz w:val="21"/>
        </w:rPr>
        <w:t>la</w:t>
      </w:r>
      <w:r>
        <w:rPr>
          <w:color w:val="231F20"/>
          <w:spacing w:val="-39"/>
          <w:w w:val="105"/>
          <w:sz w:val="21"/>
        </w:rPr>
        <w:t> </w:t>
      </w:r>
      <w:r>
        <w:rPr>
          <w:color w:val="231F20"/>
          <w:spacing w:val="-4"/>
          <w:w w:val="105"/>
          <w:sz w:val="21"/>
        </w:rPr>
        <w:t>tasa </w:t>
      </w:r>
      <w:r>
        <w:rPr>
          <w:color w:val="231F20"/>
          <w:w w:val="105"/>
          <w:sz w:val="21"/>
        </w:rPr>
        <w:t>de</w:t>
      </w:r>
      <w:r>
        <w:rPr>
          <w:color w:val="231F20"/>
          <w:spacing w:val="-13"/>
          <w:w w:val="105"/>
          <w:sz w:val="21"/>
        </w:rPr>
        <w:t> </w:t>
      </w:r>
      <w:r>
        <w:rPr>
          <w:color w:val="231F20"/>
          <w:spacing w:val="-4"/>
          <w:w w:val="105"/>
          <w:sz w:val="21"/>
        </w:rPr>
        <w:t>crecimiento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la</w:t>
      </w:r>
      <w:r>
        <w:rPr>
          <w:color w:val="231F20"/>
          <w:spacing w:val="-13"/>
          <w:w w:val="105"/>
          <w:sz w:val="21"/>
        </w:rPr>
        <w:t> </w:t>
      </w:r>
      <w:r>
        <w:rPr>
          <w:color w:val="231F20"/>
          <w:spacing w:val="-4"/>
          <w:w w:val="105"/>
          <w:sz w:val="21"/>
        </w:rPr>
        <w:t>demanda</w:t>
      </w:r>
      <w:r>
        <w:rPr>
          <w:color w:val="231F20"/>
          <w:spacing w:val="-13"/>
          <w:w w:val="105"/>
          <w:sz w:val="21"/>
        </w:rPr>
        <w:t> </w:t>
      </w:r>
      <w:r>
        <w:rPr>
          <w:color w:val="231F20"/>
          <w:spacing w:val="-3"/>
          <w:w w:val="105"/>
          <w:sz w:val="21"/>
        </w:rPr>
        <w:t>por</w:t>
      </w:r>
      <w:r>
        <w:rPr>
          <w:color w:val="231F20"/>
          <w:spacing w:val="-13"/>
          <w:w w:val="105"/>
          <w:sz w:val="21"/>
        </w:rPr>
        <w:t> </w:t>
      </w:r>
      <w:r>
        <w:rPr>
          <w:color w:val="231F20"/>
          <w:spacing w:val="-4"/>
          <w:w w:val="105"/>
          <w:sz w:val="21"/>
        </w:rPr>
        <w:t>productos</w:t>
      </w:r>
      <w:r>
        <w:rPr>
          <w:color w:val="231F20"/>
          <w:spacing w:val="-13"/>
          <w:w w:val="105"/>
          <w:sz w:val="21"/>
        </w:rPr>
        <w:t> </w:t>
      </w:r>
      <w:r>
        <w:rPr>
          <w:color w:val="231F20"/>
          <w:spacing w:val="-4"/>
          <w:w w:val="105"/>
          <w:sz w:val="21"/>
        </w:rPr>
        <w:t>industriales.</w:t>
      </w:r>
    </w:p>
    <w:p>
      <w:pPr>
        <w:pStyle w:val="BodyText"/>
        <w:spacing w:before="9"/>
        <w:rPr>
          <w:sz w:val="18"/>
        </w:rPr>
      </w:pPr>
      <w:r>
        <w:rPr/>
        <w:pict>
          <v:line style="position:absolute;mso-position-horizontal-relative:page;mso-position-vertical-relative:paragraph;z-index:9112;mso-wrap-distance-left:0;mso-wrap-distance-right:0" from="63.779499pt,12.900461pt" to="177.165499pt,12.900461pt" stroked="true" strokeweight=".25pt" strokecolor="#231f20">
            <w10:wrap type="topAndBottom"/>
          </v:line>
        </w:pict>
      </w:r>
    </w:p>
    <w:p>
      <w:pPr>
        <w:spacing w:line="192" w:lineRule="exact" w:before="7"/>
        <w:ind w:left="115" w:right="0" w:firstLine="0"/>
        <w:jc w:val="left"/>
        <w:rPr>
          <w:rFonts w:ascii="Calibri" w:hAnsi="Calibri"/>
          <w:sz w:val="16"/>
        </w:rPr>
      </w:pPr>
      <w:r>
        <w:rPr>
          <w:rFonts w:ascii="Calibri" w:hAnsi="Calibri"/>
          <w:color w:val="414042"/>
          <w:w w:val="105"/>
          <w:position w:val="5"/>
          <w:sz w:val="9"/>
        </w:rPr>
        <w:t>10</w:t>
      </w:r>
      <w:r>
        <w:rPr>
          <w:rFonts w:ascii="Calibri" w:hAnsi="Calibri"/>
          <w:color w:val="414042"/>
          <w:spacing w:val="1"/>
          <w:w w:val="105"/>
          <w:position w:val="5"/>
          <w:sz w:val="9"/>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difusión</w:t>
      </w:r>
      <w:r>
        <w:rPr>
          <w:rFonts w:ascii="Calibri" w:hAnsi="Calibri"/>
          <w:color w:val="414042"/>
          <w:spacing w:val="-11"/>
          <w:w w:val="105"/>
          <w:sz w:val="16"/>
        </w:rPr>
        <w:t> </w:t>
      </w:r>
      <w:r>
        <w:rPr>
          <w:rFonts w:ascii="Calibri" w:hAnsi="Calibri"/>
          <w:color w:val="414042"/>
          <w:w w:val="105"/>
          <w:sz w:val="16"/>
        </w:rPr>
        <w:t>de</w:t>
      </w:r>
      <w:r>
        <w:rPr>
          <w:rFonts w:ascii="Calibri" w:hAnsi="Calibri"/>
          <w:color w:val="414042"/>
          <w:spacing w:val="-11"/>
          <w:w w:val="105"/>
          <w:sz w:val="16"/>
        </w:rPr>
        <w:t> </w:t>
      </w:r>
      <w:r>
        <w:rPr>
          <w:rFonts w:ascii="Calibri" w:hAnsi="Calibri"/>
          <w:color w:val="414042"/>
          <w:w w:val="105"/>
          <w:sz w:val="16"/>
        </w:rPr>
        <w:t>la</w:t>
      </w:r>
      <w:r>
        <w:rPr>
          <w:rFonts w:ascii="Calibri" w:hAnsi="Calibri"/>
          <w:color w:val="414042"/>
          <w:spacing w:val="-11"/>
          <w:w w:val="105"/>
          <w:sz w:val="16"/>
        </w:rPr>
        <w:t> </w:t>
      </w:r>
      <w:r>
        <w:rPr>
          <w:rFonts w:ascii="Calibri" w:hAnsi="Calibri"/>
          <w:color w:val="414042"/>
          <w:w w:val="105"/>
          <w:sz w:val="16"/>
        </w:rPr>
        <w:t>nueva</w:t>
      </w:r>
      <w:r>
        <w:rPr>
          <w:rFonts w:ascii="Calibri" w:hAnsi="Calibri"/>
          <w:color w:val="414042"/>
          <w:spacing w:val="-11"/>
          <w:w w:val="105"/>
          <w:sz w:val="16"/>
        </w:rPr>
        <w:t> </w:t>
      </w:r>
      <w:r>
        <w:rPr>
          <w:rFonts w:ascii="Calibri" w:hAnsi="Calibri"/>
          <w:color w:val="414042"/>
          <w:w w:val="105"/>
          <w:sz w:val="16"/>
        </w:rPr>
        <w:t>tecnología</w:t>
      </w:r>
      <w:r>
        <w:rPr>
          <w:rFonts w:ascii="Calibri" w:hAnsi="Calibri"/>
          <w:color w:val="414042"/>
          <w:spacing w:val="-11"/>
          <w:w w:val="105"/>
          <w:sz w:val="16"/>
        </w:rPr>
        <w:t> </w:t>
      </w:r>
      <w:r>
        <w:rPr>
          <w:rFonts w:ascii="Calibri" w:hAnsi="Calibri"/>
          <w:color w:val="414042"/>
          <w:w w:val="105"/>
          <w:sz w:val="16"/>
        </w:rPr>
        <w:t>puede</w:t>
      </w:r>
      <w:r>
        <w:rPr>
          <w:rFonts w:ascii="Calibri" w:hAnsi="Calibri"/>
          <w:color w:val="414042"/>
          <w:spacing w:val="-11"/>
          <w:w w:val="105"/>
          <w:sz w:val="16"/>
        </w:rPr>
        <w:t> </w:t>
      </w:r>
      <w:r>
        <w:rPr>
          <w:rFonts w:ascii="Calibri" w:hAnsi="Calibri"/>
          <w:color w:val="414042"/>
          <w:w w:val="105"/>
          <w:sz w:val="16"/>
        </w:rPr>
        <w:t>tener</w:t>
      </w:r>
      <w:r>
        <w:rPr>
          <w:rFonts w:ascii="Calibri" w:hAnsi="Calibri"/>
          <w:color w:val="414042"/>
          <w:spacing w:val="-11"/>
          <w:w w:val="105"/>
          <w:sz w:val="16"/>
        </w:rPr>
        <w:t> </w:t>
      </w:r>
      <w:r>
        <w:rPr>
          <w:rFonts w:ascii="Calibri" w:hAnsi="Calibri"/>
          <w:color w:val="414042"/>
          <w:w w:val="105"/>
          <w:sz w:val="16"/>
        </w:rPr>
        <w:t>un</w:t>
      </w:r>
      <w:r>
        <w:rPr>
          <w:rFonts w:ascii="Calibri" w:hAnsi="Calibri"/>
          <w:color w:val="414042"/>
          <w:spacing w:val="-11"/>
          <w:w w:val="105"/>
          <w:sz w:val="16"/>
        </w:rPr>
        <w:t> </w:t>
      </w:r>
      <w:r>
        <w:rPr>
          <w:rFonts w:ascii="Calibri" w:hAnsi="Calibri"/>
          <w:color w:val="414042"/>
          <w:w w:val="105"/>
          <w:sz w:val="16"/>
        </w:rPr>
        <w:t>importante</w:t>
      </w:r>
      <w:r>
        <w:rPr>
          <w:rFonts w:ascii="Calibri" w:hAnsi="Calibri"/>
          <w:color w:val="414042"/>
          <w:spacing w:val="-11"/>
          <w:w w:val="105"/>
          <w:sz w:val="16"/>
        </w:rPr>
        <w:t> </w:t>
      </w:r>
      <w:r>
        <w:rPr>
          <w:rFonts w:ascii="Calibri" w:hAnsi="Calibri"/>
          <w:color w:val="414042"/>
          <w:w w:val="105"/>
          <w:sz w:val="16"/>
        </w:rPr>
        <w:t>componente</w:t>
      </w:r>
      <w:r>
        <w:rPr>
          <w:rFonts w:ascii="Calibri" w:hAnsi="Calibri"/>
          <w:color w:val="414042"/>
          <w:spacing w:val="-11"/>
          <w:w w:val="105"/>
          <w:sz w:val="16"/>
        </w:rPr>
        <w:t> </w:t>
      </w:r>
      <w:r>
        <w:rPr>
          <w:rFonts w:ascii="Calibri" w:hAnsi="Calibri"/>
          <w:color w:val="414042"/>
          <w:w w:val="105"/>
          <w:sz w:val="16"/>
        </w:rPr>
        <w:t>en</w:t>
      </w:r>
      <w:r>
        <w:rPr>
          <w:rFonts w:ascii="Calibri" w:hAnsi="Calibri"/>
          <w:color w:val="414042"/>
          <w:spacing w:val="-11"/>
          <w:w w:val="105"/>
          <w:sz w:val="16"/>
        </w:rPr>
        <w:t> </w:t>
      </w:r>
      <w:r>
        <w:rPr>
          <w:rFonts w:ascii="Calibri" w:hAnsi="Calibri"/>
          <w:color w:val="414042"/>
          <w:w w:val="105"/>
          <w:sz w:val="16"/>
        </w:rPr>
        <w:t>progreso</w:t>
      </w:r>
      <w:r>
        <w:rPr>
          <w:rFonts w:ascii="Calibri" w:hAnsi="Calibri"/>
          <w:color w:val="414042"/>
          <w:spacing w:val="-11"/>
          <w:w w:val="105"/>
          <w:sz w:val="16"/>
        </w:rPr>
        <w:t> </w:t>
      </w:r>
      <w:r>
        <w:rPr>
          <w:rFonts w:ascii="Calibri" w:hAnsi="Calibri"/>
          <w:color w:val="414042"/>
          <w:w w:val="105"/>
          <w:sz w:val="16"/>
        </w:rPr>
        <w:t>técnico</w:t>
      </w:r>
      <w:r>
        <w:rPr>
          <w:rFonts w:ascii="Calibri" w:hAnsi="Calibri"/>
          <w:color w:val="414042"/>
          <w:spacing w:val="-13"/>
          <w:w w:val="105"/>
          <w:sz w:val="16"/>
        </w:rPr>
        <w:t> </w:t>
      </w:r>
      <w:r>
        <w:rPr>
          <w:rFonts w:ascii="Calibri" w:hAnsi="Calibri"/>
          <w:color w:val="414042"/>
          <w:w w:val="105"/>
          <w:sz w:val="16"/>
        </w:rPr>
        <w:t>y</w:t>
      </w:r>
      <w:r>
        <w:rPr>
          <w:rFonts w:ascii="Calibri" w:hAnsi="Calibri"/>
          <w:color w:val="414042"/>
          <w:spacing w:val="-11"/>
          <w:w w:val="105"/>
          <w:sz w:val="16"/>
        </w:rPr>
        <w:t> </w:t>
      </w:r>
      <w:r>
        <w:rPr>
          <w:rFonts w:ascii="Calibri" w:hAnsi="Calibri"/>
          <w:color w:val="414042"/>
          <w:w w:val="105"/>
          <w:sz w:val="16"/>
        </w:rPr>
        <w:t>eva- luar</w:t>
      </w:r>
      <w:r>
        <w:rPr>
          <w:rFonts w:ascii="Calibri" w:hAnsi="Calibri"/>
          <w:color w:val="414042"/>
          <w:spacing w:val="-16"/>
          <w:w w:val="105"/>
          <w:sz w:val="16"/>
        </w:rPr>
        <w:t> </w:t>
      </w:r>
      <w:r>
        <w:rPr>
          <w:rFonts w:ascii="Calibri" w:hAnsi="Calibri"/>
          <w:color w:val="414042"/>
          <w:w w:val="105"/>
          <w:sz w:val="16"/>
        </w:rPr>
        <w:t>estas</w:t>
      </w:r>
      <w:r>
        <w:rPr>
          <w:rFonts w:ascii="Calibri" w:hAnsi="Calibri"/>
          <w:color w:val="414042"/>
          <w:spacing w:val="-16"/>
          <w:w w:val="105"/>
          <w:sz w:val="16"/>
        </w:rPr>
        <w:t> </w:t>
      </w:r>
      <w:r>
        <w:rPr>
          <w:rFonts w:ascii="Calibri" w:hAnsi="Calibri"/>
          <w:color w:val="414042"/>
          <w:w w:val="105"/>
          <w:sz w:val="16"/>
        </w:rPr>
        <w:t>implicaciones</w:t>
      </w:r>
      <w:r>
        <w:rPr>
          <w:rFonts w:ascii="Calibri" w:hAnsi="Calibri"/>
          <w:color w:val="414042"/>
          <w:spacing w:val="-16"/>
          <w:w w:val="105"/>
          <w:sz w:val="16"/>
        </w:rPr>
        <w:t> </w:t>
      </w:r>
      <w:r>
        <w:rPr>
          <w:rFonts w:ascii="Calibri" w:hAnsi="Calibri"/>
          <w:color w:val="414042"/>
          <w:w w:val="105"/>
          <w:sz w:val="16"/>
        </w:rPr>
        <w:t>para</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especialización</w:t>
      </w:r>
      <w:r>
        <w:rPr>
          <w:rFonts w:ascii="Calibri" w:hAnsi="Calibri"/>
          <w:color w:val="414042"/>
          <w:spacing w:val="-16"/>
          <w:w w:val="105"/>
          <w:sz w:val="16"/>
        </w:rPr>
        <w:t> </w:t>
      </w:r>
      <w:r>
        <w:rPr>
          <w:rFonts w:ascii="Calibri" w:hAnsi="Calibri"/>
          <w:color w:val="414042"/>
          <w:w w:val="105"/>
          <w:sz w:val="16"/>
        </w:rPr>
        <w:t>e</w:t>
      </w:r>
      <w:r>
        <w:rPr>
          <w:rFonts w:ascii="Calibri" w:hAnsi="Calibri"/>
          <w:color w:val="414042"/>
          <w:spacing w:val="-16"/>
          <w:w w:val="105"/>
          <w:sz w:val="16"/>
        </w:rPr>
        <w:t> </w:t>
      </w:r>
      <w:r>
        <w:rPr>
          <w:rFonts w:ascii="Calibri" w:hAnsi="Calibri"/>
          <w:color w:val="414042"/>
          <w:w w:val="105"/>
          <w:sz w:val="16"/>
        </w:rPr>
        <w:t>interpretación</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la</w:t>
      </w:r>
      <w:r>
        <w:rPr>
          <w:rFonts w:ascii="Calibri" w:hAnsi="Calibri"/>
          <w:color w:val="414042"/>
          <w:spacing w:val="-16"/>
          <w:w w:val="105"/>
          <w:sz w:val="16"/>
        </w:rPr>
        <w:t> </w:t>
      </w:r>
      <w:r>
        <w:rPr>
          <w:rFonts w:ascii="Calibri" w:hAnsi="Calibri"/>
          <w:color w:val="414042"/>
          <w:w w:val="105"/>
          <w:sz w:val="16"/>
        </w:rPr>
        <w:t>ley</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8"/>
          <w:w w:val="105"/>
          <w:sz w:val="16"/>
        </w:rPr>
        <w:t> </w:t>
      </w:r>
      <w:r>
        <w:rPr>
          <w:rFonts w:ascii="Calibri" w:hAnsi="Calibri"/>
          <w:color w:val="414042"/>
          <w:w w:val="105"/>
          <w:sz w:val="16"/>
        </w:rPr>
        <w:t>Verdoorn.</w:t>
      </w:r>
    </w:p>
    <w:p>
      <w:pPr>
        <w:pStyle w:val="BodyText"/>
        <w:rPr>
          <w:rFonts w:ascii="Calibri"/>
          <w:sz w:val="20"/>
        </w:rPr>
      </w:pPr>
    </w:p>
    <w:p>
      <w:pPr>
        <w:pStyle w:val="BodyText"/>
        <w:spacing w:before="2"/>
        <w:rPr>
          <w:rFonts w:ascii="Calibri"/>
          <w:sz w:val="28"/>
        </w:rPr>
      </w:pPr>
    </w:p>
    <w:p>
      <w:pPr>
        <w:tabs>
          <w:tab w:pos="1357" w:val="left" w:leader="none"/>
        </w:tabs>
        <w:spacing w:before="71"/>
        <w:ind w:left="252" w:right="0" w:firstLine="0"/>
        <w:jc w:val="left"/>
        <w:rPr>
          <w:rFonts w:ascii="Calibri" w:hAnsi="Calibri"/>
          <w:sz w:val="15"/>
        </w:rPr>
      </w:pPr>
      <w:r>
        <w:rPr/>
        <w:pict>
          <v:group style="position:absolute;margin-left:101.817299pt;margin-top:-16.749887pt;width:17.850pt;height:56.5pt;mso-position-horizontal-relative:page;mso-position-vertical-relative:paragraph;z-index:-23879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248</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tabs>
          <w:tab w:pos="6991" w:val="right" w:leader="none"/>
        </w:tabs>
        <w:spacing w:before="52"/>
        <w:ind w:left="1889" w:right="0" w:firstLine="0"/>
        <w:jc w:val="left"/>
        <w:rPr>
          <w:sz w:val="20"/>
        </w:rPr>
      </w:pPr>
      <w:r>
        <w:rPr/>
        <w:pict>
          <v:line style="position:absolute;mso-position-horizontal-relative:page;mso-position-vertical-relative:paragraph;z-index:-238768"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249</w:t>
      </w:r>
    </w:p>
    <w:p>
      <w:pPr>
        <w:pStyle w:val="BodyText"/>
        <w:rPr>
          <w:sz w:val="20"/>
        </w:rPr>
      </w:pPr>
    </w:p>
    <w:p>
      <w:pPr>
        <w:pStyle w:val="BodyText"/>
        <w:rPr>
          <w:sz w:val="20"/>
        </w:rPr>
      </w:pPr>
    </w:p>
    <w:p>
      <w:pPr>
        <w:pStyle w:val="ListParagraph"/>
        <w:numPr>
          <w:ilvl w:val="0"/>
          <w:numId w:val="57"/>
        </w:numPr>
        <w:tabs>
          <w:tab w:pos="1320" w:val="left" w:leader="none"/>
        </w:tabs>
        <w:spacing w:line="259" w:lineRule="auto" w:before="176" w:after="0"/>
        <w:ind w:left="1319" w:right="121" w:hanging="360"/>
        <w:jc w:val="both"/>
        <w:rPr>
          <w:sz w:val="21"/>
        </w:rPr>
      </w:pPr>
      <w:r>
        <w:rPr>
          <w:color w:val="231F20"/>
          <w:w w:val="105"/>
          <w:sz w:val="21"/>
        </w:rPr>
        <w:t>La</w:t>
      </w:r>
      <w:r>
        <w:rPr>
          <w:color w:val="231F20"/>
          <w:spacing w:val="-28"/>
          <w:w w:val="105"/>
          <w:sz w:val="21"/>
        </w:rPr>
        <w:t> </w:t>
      </w:r>
      <w:r>
        <w:rPr>
          <w:color w:val="231F20"/>
          <w:w w:val="105"/>
          <w:sz w:val="21"/>
        </w:rPr>
        <w:t>inversión</w:t>
      </w:r>
      <w:r>
        <w:rPr>
          <w:color w:val="231F20"/>
          <w:spacing w:val="-28"/>
          <w:w w:val="105"/>
          <w:sz w:val="21"/>
        </w:rPr>
        <w:t> </w:t>
      </w:r>
      <w:r>
        <w:rPr>
          <w:color w:val="231F20"/>
          <w:w w:val="105"/>
          <w:sz w:val="21"/>
        </w:rPr>
        <w:t>interna.</w:t>
      </w:r>
      <w:r>
        <w:rPr>
          <w:color w:val="231F20"/>
          <w:spacing w:val="-32"/>
          <w:w w:val="105"/>
          <w:sz w:val="21"/>
        </w:rPr>
        <w:t> </w:t>
      </w:r>
      <w:r>
        <w:rPr>
          <w:color w:val="231F20"/>
          <w:w w:val="105"/>
          <w:sz w:val="21"/>
        </w:rPr>
        <w:t>La</w:t>
      </w:r>
      <w:r>
        <w:rPr>
          <w:color w:val="231F20"/>
          <w:spacing w:val="-28"/>
          <w:w w:val="105"/>
          <w:sz w:val="21"/>
        </w:rPr>
        <w:t> </w:t>
      </w:r>
      <w:r>
        <w:rPr>
          <w:color w:val="231F20"/>
          <w:w w:val="105"/>
          <w:sz w:val="21"/>
        </w:rPr>
        <w:t>inversión</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capital</w:t>
      </w:r>
      <w:r>
        <w:rPr>
          <w:color w:val="231F20"/>
          <w:spacing w:val="-28"/>
          <w:w w:val="105"/>
          <w:sz w:val="21"/>
        </w:rPr>
        <w:t> </w:t>
      </w:r>
      <w:r>
        <w:rPr>
          <w:color w:val="231F20"/>
          <w:w w:val="105"/>
          <w:sz w:val="21"/>
        </w:rPr>
        <w:t>es</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peculiaridad de</w:t>
      </w:r>
      <w:r>
        <w:rPr>
          <w:color w:val="231F20"/>
          <w:spacing w:val="-21"/>
          <w:w w:val="105"/>
          <w:sz w:val="21"/>
        </w:rPr>
        <w:t> </w:t>
      </w:r>
      <w:r>
        <w:rPr>
          <w:color w:val="231F20"/>
          <w:w w:val="105"/>
          <w:sz w:val="21"/>
        </w:rPr>
        <w:t>un</w:t>
      </w:r>
      <w:r>
        <w:rPr>
          <w:color w:val="231F20"/>
          <w:spacing w:val="-21"/>
          <w:w w:val="105"/>
          <w:sz w:val="21"/>
        </w:rPr>
        <w:t> </w:t>
      </w:r>
      <w:r>
        <w:rPr>
          <w:color w:val="231F20"/>
          <w:w w:val="105"/>
          <w:sz w:val="21"/>
        </w:rPr>
        <w:t>sector</w:t>
      </w:r>
      <w:r>
        <w:rPr>
          <w:color w:val="231F20"/>
          <w:spacing w:val="-21"/>
          <w:w w:val="105"/>
          <w:sz w:val="21"/>
        </w:rPr>
        <w:t> </w:t>
      </w:r>
      <w:r>
        <w:rPr>
          <w:color w:val="231F20"/>
          <w:w w:val="105"/>
          <w:sz w:val="21"/>
        </w:rPr>
        <w:t>industrial</w:t>
      </w:r>
      <w:r>
        <w:rPr>
          <w:color w:val="231F20"/>
          <w:spacing w:val="-21"/>
          <w:w w:val="105"/>
          <w:sz w:val="21"/>
        </w:rPr>
        <w:t> </w:t>
      </w:r>
      <w:r>
        <w:rPr>
          <w:color w:val="231F20"/>
          <w:w w:val="105"/>
          <w:sz w:val="21"/>
        </w:rPr>
        <w:t>altamente</w:t>
      </w:r>
      <w:r>
        <w:rPr>
          <w:color w:val="231F20"/>
          <w:spacing w:val="-21"/>
          <w:w w:val="105"/>
          <w:sz w:val="21"/>
        </w:rPr>
        <w:t> </w:t>
      </w:r>
      <w:r>
        <w:rPr>
          <w:color w:val="231F20"/>
          <w:w w:val="105"/>
          <w:sz w:val="21"/>
        </w:rPr>
        <w:t>desarrollado</w:t>
      </w:r>
      <w:r>
        <w:rPr>
          <w:color w:val="231F20"/>
          <w:spacing w:val="-21"/>
          <w:w w:val="105"/>
          <w:sz w:val="21"/>
        </w:rPr>
        <w:t> </w:t>
      </w:r>
      <w:r>
        <w:rPr>
          <w:color w:val="231F20"/>
          <w:w w:val="105"/>
          <w:sz w:val="21"/>
        </w:rPr>
        <w:t>que</w:t>
      </w:r>
      <w:r>
        <w:rPr>
          <w:color w:val="231F20"/>
          <w:spacing w:val="-21"/>
          <w:w w:val="105"/>
          <w:sz w:val="21"/>
        </w:rPr>
        <w:t> </w:t>
      </w:r>
      <w:r>
        <w:rPr>
          <w:color w:val="231F20"/>
          <w:w w:val="105"/>
          <w:sz w:val="21"/>
        </w:rPr>
        <w:t>provee</w:t>
      </w:r>
      <w:r>
        <w:rPr>
          <w:color w:val="231F20"/>
          <w:spacing w:val="-21"/>
          <w:w w:val="105"/>
          <w:sz w:val="21"/>
        </w:rPr>
        <w:t> </w:t>
      </w:r>
      <w:r>
        <w:rPr>
          <w:color w:val="231F20"/>
          <w:w w:val="105"/>
          <w:sz w:val="21"/>
        </w:rPr>
        <w:t>en buena medida los bienes a que se destina el gasto de</w:t>
      </w:r>
      <w:r>
        <w:rPr>
          <w:color w:val="231F20"/>
          <w:spacing w:val="-40"/>
          <w:w w:val="105"/>
          <w:sz w:val="21"/>
        </w:rPr>
        <w:t> </w:t>
      </w:r>
      <w:r>
        <w:rPr>
          <w:color w:val="231F20"/>
          <w:w w:val="105"/>
          <w:sz w:val="21"/>
        </w:rPr>
        <w:t>capi- tal;</w:t>
      </w:r>
      <w:r>
        <w:rPr>
          <w:color w:val="231F20"/>
          <w:spacing w:val="-21"/>
          <w:w w:val="105"/>
          <w:sz w:val="21"/>
        </w:rPr>
        <w:t> </w:t>
      </w:r>
      <w:r>
        <w:rPr>
          <w:color w:val="231F20"/>
          <w:w w:val="105"/>
          <w:sz w:val="21"/>
        </w:rPr>
        <w:t>en</w:t>
      </w:r>
      <w:r>
        <w:rPr>
          <w:color w:val="231F20"/>
          <w:spacing w:val="-21"/>
          <w:w w:val="105"/>
          <w:sz w:val="21"/>
        </w:rPr>
        <w:t> </w:t>
      </w:r>
      <w:r>
        <w:rPr>
          <w:color w:val="231F20"/>
          <w:w w:val="105"/>
          <w:sz w:val="21"/>
        </w:rPr>
        <w:t>ese</w:t>
      </w:r>
      <w:r>
        <w:rPr>
          <w:color w:val="231F20"/>
          <w:spacing w:val="-21"/>
          <w:w w:val="105"/>
          <w:sz w:val="21"/>
        </w:rPr>
        <w:t> </w:t>
      </w:r>
      <w:r>
        <w:rPr>
          <w:color w:val="231F20"/>
          <w:w w:val="105"/>
          <w:sz w:val="21"/>
        </w:rPr>
        <w:t>sentido,</w:t>
      </w:r>
      <w:r>
        <w:rPr>
          <w:color w:val="231F20"/>
          <w:spacing w:val="-26"/>
          <w:w w:val="105"/>
          <w:sz w:val="21"/>
        </w:rPr>
        <w:t> </w:t>
      </w:r>
      <w:r>
        <w:rPr>
          <w:color w:val="231F20"/>
          <w:w w:val="105"/>
          <w:sz w:val="21"/>
        </w:rPr>
        <w:t>genera</w:t>
      </w:r>
      <w:r>
        <w:rPr>
          <w:color w:val="231F20"/>
          <w:spacing w:val="-21"/>
          <w:w w:val="105"/>
          <w:sz w:val="21"/>
        </w:rPr>
        <w:t> </w:t>
      </w:r>
      <w:r>
        <w:rPr>
          <w:color w:val="231F20"/>
          <w:w w:val="105"/>
          <w:sz w:val="21"/>
        </w:rPr>
        <w:t>demanda</w:t>
      </w:r>
      <w:r>
        <w:rPr>
          <w:color w:val="231F20"/>
          <w:spacing w:val="-21"/>
          <w:w w:val="105"/>
          <w:sz w:val="21"/>
        </w:rPr>
        <w:t> </w:t>
      </w:r>
      <w:r>
        <w:rPr>
          <w:color w:val="231F20"/>
          <w:w w:val="105"/>
          <w:sz w:val="21"/>
        </w:rPr>
        <w:t>por</w:t>
      </w:r>
      <w:r>
        <w:rPr>
          <w:color w:val="231F20"/>
          <w:spacing w:val="-21"/>
          <w:w w:val="105"/>
          <w:sz w:val="21"/>
        </w:rPr>
        <w:t> </w:t>
      </w:r>
      <w:r>
        <w:rPr>
          <w:color w:val="231F20"/>
          <w:w w:val="105"/>
          <w:sz w:val="21"/>
        </w:rPr>
        <w:t>sus</w:t>
      </w:r>
      <w:r>
        <w:rPr>
          <w:color w:val="231F20"/>
          <w:spacing w:val="-21"/>
          <w:w w:val="105"/>
          <w:sz w:val="21"/>
        </w:rPr>
        <w:t> </w:t>
      </w:r>
      <w:r>
        <w:rPr>
          <w:color w:val="231F20"/>
          <w:w w:val="105"/>
          <w:sz w:val="21"/>
        </w:rPr>
        <w:t>propios</w:t>
      </w:r>
      <w:r>
        <w:rPr>
          <w:color w:val="231F20"/>
          <w:spacing w:val="-21"/>
          <w:w w:val="105"/>
          <w:sz w:val="21"/>
        </w:rPr>
        <w:t> </w:t>
      </w:r>
      <w:r>
        <w:rPr>
          <w:color w:val="231F20"/>
          <w:w w:val="105"/>
          <w:sz w:val="21"/>
        </w:rPr>
        <w:t>produc- tos</w:t>
      </w:r>
      <w:r>
        <w:rPr>
          <w:color w:val="231F20"/>
          <w:spacing w:val="-13"/>
          <w:w w:val="105"/>
          <w:sz w:val="21"/>
        </w:rPr>
        <w:t> </w:t>
      </w:r>
      <w:r>
        <w:rPr>
          <w:color w:val="231F20"/>
          <w:w w:val="105"/>
          <w:sz w:val="21"/>
        </w:rPr>
        <w:t>en</w:t>
      </w:r>
      <w:r>
        <w:rPr>
          <w:color w:val="231F20"/>
          <w:spacing w:val="-13"/>
          <w:w w:val="105"/>
          <w:sz w:val="21"/>
        </w:rPr>
        <w:t> </w:t>
      </w:r>
      <w:r>
        <w:rPr>
          <w:color w:val="231F20"/>
          <w:w w:val="105"/>
          <w:sz w:val="21"/>
        </w:rPr>
        <w:t>el</w:t>
      </w:r>
      <w:r>
        <w:rPr>
          <w:color w:val="231F20"/>
          <w:spacing w:val="-13"/>
          <w:w w:val="105"/>
          <w:sz w:val="21"/>
        </w:rPr>
        <w:t> </w:t>
      </w:r>
      <w:r>
        <w:rPr>
          <w:color w:val="231F20"/>
          <w:w w:val="105"/>
          <w:sz w:val="21"/>
        </w:rPr>
        <w:t>mismo</w:t>
      </w:r>
      <w:r>
        <w:rPr>
          <w:color w:val="231F20"/>
          <w:spacing w:val="-13"/>
          <w:w w:val="105"/>
          <w:sz w:val="21"/>
        </w:rPr>
        <w:t> </w:t>
      </w:r>
      <w:r>
        <w:rPr>
          <w:color w:val="231F20"/>
          <w:w w:val="105"/>
          <w:sz w:val="21"/>
        </w:rPr>
        <w:t>proceso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venderlos.</w:t>
      </w:r>
    </w:p>
    <w:p>
      <w:pPr>
        <w:pStyle w:val="ListParagraph"/>
        <w:numPr>
          <w:ilvl w:val="0"/>
          <w:numId w:val="57"/>
        </w:numPr>
        <w:tabs>
          <w:tab w:pos="1320" w:val="left" w:leader="none"/>
        </w:tabs>
        <w:spacing w:line="259" w:lineRule="auto" w:before="170" w:after="0"/>
        <w:ind w:left="1319" w:right="121" w:hanging="360"/>
        <w:jc w:val="both"/>
        <w:rPr>
          <w:sz w:val="21"/>
        </w:rPr>
      </w:pPr>
      <w:r>
        <w:rPr>
          <w:color w:val="231F20"/>
          <w:w w:val="105"/>
          <w:sz w:val="21"/>
        </w:rPr>
        <w:t>Exportaciones netas. La tercera fuente de la tasa de creci- miento de la demanda viene del cambio en la estructura</w:t>
      </w:r>
      <w:r>
        <w:rPr>
          <w:color w:val="231F20"/>
          <w:spacing w:val="-21"/>
          <w:w w:val="105"/>
          <w:sz w:val="21"/>
        </w:rPr>
        <w:t> </w:t>
      </w:r>
      <w:r>
        <w:rPr>
          <w:color w:val="231F20"/>
          <w:w w:val="105"/>
          <w:sz w:val="21"/>
        </w:rPr>
        <w:t>de comercio</w:t>
      </w:r>
      <w:r>
        <w:rPr>
          <w:color w:val="231F20"/>
          <w:spacing w:val="-22"/>
          <w:w w:val="105"/>
          <w:sz w:val="21"/>
        </w:rPr>
        <w:t> </w:t>
      </w:r>
      <w:r>
        <w:rPr>
          <w:color w:val="231F20"/>
          <w:w w:val="105"/>
          <w:sz w:val="21"/>
        </w:rPr>
        <w:t>exterior.</w:t>
      </w:r>
    </w:p>
    <w:p>
      <w:pPr>
        <w:pStyle w:val="BodyText"/>
        <w:rPr>
          <w:sz w:val="20"/>
        </w:rPr>
      </w:pPr>
    </w:p>
    <w:p>
      <w:pPr>
        <w:pStyle w:val="BodyText"/>
        <w:spacing w:before="4"/>
        <w:rPr>
          <w:sz w:val="17"/>
        </w:rPr>
      </w:pPr>
    </w:p>
    <w:p>
      <w:pPr>
        <w:pStyle w:val="BodyText"/>
        <w:spacing w:line="259" w:lineRule="auto"/>
        <w:ind w:left="108" w:right="122"/>
        <w:jc w:val="both"/>
      </w:pPr>
      <w:r>
        <w:rPr>
          <w:color w:val="231F20"/>
          <w:w w:val="105"/>
        </w:rPr>
        <w:t>Según el modelo de Kaldor las tasas de crecimiento de la producción regional también dependen de la demanda externa de la región (factor exógeno) que pone en movimiento a todo el proceso y del movimiento de los salarios de eficiencia (factor endógeno).</w:t>
      </w:r>
    </w:p>
    <w:p>
      <w:pPr>
        <w:pStyle w:val="BodyText"/>
        <w:spacing w:line="259" w:lineRule="auto"/>
        <w:ind w:left="108" w:right="121" w:firstLine="567"/>
        <w:jc w:val="both"/>
      </w:pPr>
      <w:r>
        <w:rPr>
          <w:color w:val="231F20"/>
          <w:w w:val="105"/>
        </w:rPr>
        <w:t>La</w:t>
      </w:r>
      <w:r>
        <w:rPr>
          <w:color w:val="231F20"/>
          <w:spacing w:val="-16"/>
          <w:w w:val="105"/>
        </w:rPr>
        <w:t> </w:t>
      </w:r>
      <w:r>
        <w:rPr>
          <w:color w:val="231F20"/>
          <w:w w:val="105"/>
        </w:rPr>
        <w:t>eficiencia</w:t>
      </w:r>
      <w:r>
        <w:rPr>
          <w:color w:val="231F20"/>
          <w:spacing w:val="-16"/>
          <w:w w:val="105"/>
        </w:rPr>
        <w:t> </w:t>
      </w:r>
      <w:r>
        <w:rPr>
          <w:color w:val="231F20"/>
          <w:w w:val="105"/>
        </w:rPr>
        <w:t>relativa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salarios</w:t>
      </w:r>
      <w:r>
        <w:rPr>
          <w:color w:val="231F20"/>
          <w:spacing w:val="-16"/>
          <w:w w:val="105"/>
        </w:rPr>
        <w:t> </w:t>
      </w:r>
      <w:r>
        <w:rPr>
          <w:color w:val="231F20"/>
          <w:w w:val="105"/>
        </w:rPr>
        <w:t>determina</w:t>
      </w:r>
      <w:r>
        <w:rPr>
          <w:color w:val="231F20"/>
          <w:spacing w:val="-16"/>
          <w:w w:val="105"/>
        </w:rPr>
        <w:t> </w:t>
      </w:r>
      <w:r>
        <w:rPr>
          <w:color w:val="231F20"/>
          <w:w w:val="105"/>
        </w:rPr>
        <w:t>si</w:t>
      </w:r>
      <w:r>
        <w:rPr>
          <w:color w:val="231F20"/>
          <w:spacing w:val="-16"/>
          <w:w w:val="105"/>
        </w:rPr>
        <w:t> </w:t>
      </w:r>
      <w:r>
        <w:rPr>
          <w:color w:val="231F20"/>
          <w:w w:val="105"/>
        </w:rPr>
        <w:t>la</w:t>
      </w:r>
      <w:r>
        <w:rPr>
          <w:color w:val="231F20"/>
          <w:spacing w:val="-16"/>
          <w:w w:val="105"/>
        </w:rPr>
        <w:t> </w:t>
      </w:r>
      <w:r>
        <w:rPr>
          <w:color w:val="231F20"/>
          <w:w w:val="105"/>
        </w:rPr>
        <w:t>participación</w:t>
      </w:r>
      <w:r>
        <w:rPr>
          <w:color w:val="231F20"/>
          <w:spacing w:val="-16"/>
          <w:w w:val="105"/>
        </w:rPr>
        <w:t> </w:t>
      </w:r>
      <w:r>
        <w:rPr>
          <w:color w:val="231F20"/>
          <w:w w:val="105"/>
        </w:rPr>
        <w:t>de la</w:t>
      </w:r>
      <w:r>
        <w:rPr>
          <w:color w:val="231F20"/>
          <w:spacing w:val="-22"/>
          <w:w w:val="105"/>
        </w:rPr>
        <w:t> </w:t>
      </w:r>
      <w:r>
        <w:rPr>
          <w:color w:val="231F20"/>
          <w:w w:val="105"/>
        </w:rPr>
        <w:t>región</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conjunto</w:t>
      </w:r>
      <w:r>
        <w:rPr>
          <w:color w:val="231F20"/>
          <w:spacing w:val="-22"/>
          <w:w w:val="105"/>
        </w:rPr>
        <w:t> </w:t>
      </w:r>
      <w:r>
        <w:rPr>
          <w:color w:val="231F20"/>
          <w:w w:val="105"/>
        </w:rPr>
        <w:t>de</w:t>
      </w:r>
      <w:r>
        <w:rPr>
          <w:color w:val="231F20"/>
          <w:spacing w:val="-22"/>
          <w:w w:val="105"/>
        </w:rPr>
        <w:t> </w:t>
      </w:r>
      <w:r>
        <w:rPr>
          <w:color w:val="231F20"/>
          <w:w w:val="105"/>
        </w:rPr>
        <w:t>mercados</w:t>
      </w:r>
      <w:r>
        <w:rPr>
          <w:color w:val="231F20"/>
          <w:spacing w:val="-22"/>
          <w:w w:val="105"/>
        </w:rPr>
        <w:t> </w:t>
      </w:r>
      <w:r>
        <w:rPr>
          <w:color w:val="231F20"/>
          <w:w w:val="105"/>
        </w:rPr>
        <w:t>está</w:t>
      </w:r>
      <w:r>
        <w:rPr>
          <w:color w:val="231F20"/>
          <w:spacing w:val="-22"/>
          <w:w w:val="105"/>
        </w:rPr>
        <w:t> </w:t>
      </w:r>
      <w:r>
        <w:rPr>
          <w:color w:val="231F20"/>
          <w:w w:val="105"/>
        </w:rPr>
        <w:t>en</w:t>
      </w:r>
      <w:r>
        <w:rPr>
          <w:color w:val="231F20"/>
          <w:spacing w:val="-22"/>
          <w:w w:val="105"/>
        </w:rPr>
        <w:t> </w:t>
      </w:r>
      <w:r>
        <w:rPr>
          <w:color w:val="231F20"/>
          <w:w w:val="105"/>
        </w:rPr>
        <w:t>aumento</w:t>
      </w:r>
      <w:r>
        <w:rPr>
          <w:color w:val="231F20"/>
          <w:spacing w:val="-22"/>
          <w:w w:val="105"/>
        </w:rPr>
        <w:t> </w:t>
      </w:r>
      <w:r>
        <w:rPr>
          <w:color w:val="231F20"/>
          <w:w w:val="105"/>
        </w:rPr>
        <w:t>o</w:t>
      </w:r>
      <w:r>
        <w:rPr>
          <w:color w:val="231F20"/>
          <w:spacing w:val="-22"/>
          <w:w w:val="105"/>
        </w:rPr>
        <w:t> </w:t>
      </w:r>
      <w:r>
        <w:rPr>
          <w:color w:val="231F20"/>
          <w:w w:val="105"/>
        </w:rPr>
        <w:t>disminuye;</w:t>
      </w:r>
      <w:r>
        <w:rPr>
          <w:color w:val="231F20"/>
          <w:spacing w:val="-22"/>
          <w:w w:val="105"/>
        </w:rPr>
        <w:t> </w:t>
      </w:r>
      <w:r>
        <w:rPr>
          <w:color w:val="231F20"/>
          <w:w w:val="105"/>
        </w:rPr>
        <w:t>cuan- to</w:t>
      </w:r>
      <w:r>
        <w:rPr>
          <w:color w:val="231F20"/>
          <w:spacing w:val="-19"/>
          <w:w w:val="105"/>
        </w:rPr>
        <w:t> </w:t>
      </w:r>
      <w:r>
        <w:rPr>
          <w:color w:val="231F20"/>
          <w:w w:val="105"/>
        </w:rPr>
        <w:t>más</w:t>
      </w:r>
      <w:r>
        <w:rPr>
          <w:color w:val="231F20"/>
          <w:spacing w:val="-19"/>
          <w:w w:val="105"/>
        </w:rPr>
        <w:t> </w:t>
      </w:r>
      <w:r>
        <w:rPr>
          <w:color w:val="231F20"/>
          <w:w w:val="105"/>
        </w:rPr>
        <w:t>baja</w:t>
      </w:r>
      <w:r>
        <w:rPr>
          <w:color w:val="231F20"/>
          <w:spacing w:val="-19"/>
          <w:w w:val="105"/>
        </w:rPr>
        <w:t> </w:t>
      </w:r>
      <w:r>
        <w:rPr>
          <w:color w:val="231F20"/>
          <w:w w:val="105"/>
        </w:rPr>
        <w:t>sea</w:t>
      </w:r>
      <w:r>
        <w:rPr>
          <w:color w:val="231F20"/>
          <w:spacing w:val="-19"/>
          <w:w w:val="105"/>
        </w:rPr>
        <w:t> </w:t>
      </w:r>
      <w:r>
        <w:rPr>
          <w:color w:val="231F20"/>
          <w:w w:val="105"/>
        </w:rPr>
        <w:t>la</w:t>
      </w:r>
      <w:r>
        <w:rPr>
          <w:color w:val="231F20"/>
          <w:spacing w:val="-19"/>
          <w:w w:val="105"/>
        </w:rPr>
        <w:t> </w:t>
      </w:r>
      <w:r>
        <w:rPr>
          <w:color w:val="231F20"/>
          <w:w w:val="105"/>
        </w:rPr>
        <w:t>eficiencia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salarios</w:t>
      </w:r>
      <w:r>
        <w:rPr>
          <w:color w:val="231F20"/>
          <w:spacing w:val="-19"/>
          <w:w w:val="105"/>
        </w:rPr>
        <w:t> </w:t>
      </w:r>
      <w:r>
        <w:rPr>
          <w:color w:val="231F20"/>
          <w:w w:val="105"/>
        </w:rPr>
        <w:t>más</w:t>
      </w:r>
      <w:r>
        <w:rPr>
          <w:color w:val="231F20"/>
          <w:spacing w:val="-19"/>
          <w:w w:val="105"/>
        </w:rPr>
        <w:t> </w:t>
      </w:r>
      <w:r>
        <w:rPr>
          <w:color w:val="231F20"/>
          <w:w w:val="105"/>
        </w:rPr>
        <w:t>alto</w:t>
      </w:r>
      <w:r>
        <w:rPr>
          <w:color w:val="231F20"/>
          <w:spacing w:val="-19"/>
          <w:w w:val="105"/>
        </w:rPr>
        <w:t> </w:t>
      </w:r>
      <w:r>
        <w:rPr>
          <w:color w:val="231F20"/>
          <w:w w:val="105"/>
        </w:rPr>
        <w:t>será</w:t>
      </w:r>
      <w:r>
        <w:rPr>
          <w:color w:val="231F20"/>
          <w:spacing w:val="-19"/>
          <w:w w:val="105"/>
        </w:rPr>
        <w:t> </w:t>
      </w:r>
      <w:r>
        <w:rPr>
          <w:color w:val="231F20"/>
          <w:w w:val="105"/>
        </w:rPr>
        <w:t>el</w:t>
      </w:r>
      <w:r>
        <w:rPr>
          <w:color w:val="231F20"/>
          <w:spacing w:val="-19"/>
          <w:w w:val="105"/>
        </w:rPr>
        <w:t> </w:t>
      </w:r>
      <w:r>
        <w:rPr>
          <w:color w:val="231F20"/>
          <w:w w:val="105"/>
        </w:rPr>
        <w:t>índice</w:t>
      </w:r>
      <w:r>
        <w:rPr>
          <w:color w:val="231F20"/>
          <w:spacing w:val="-19"/>
          <w:w w:val="105"/>
        </w:rPr>
        <w:t> </w:t>
      </w:r>
      <w:r>
        <w:rPr>
          <w:color w:val="231F20"/>
          <w:w w:val="105"/>
        </w:rPr>
        <w:t>de</w:t>
      </w:r>
      <w:r>
        <w:rPr>
          <w:color w:val="231F20"/>
          <w:spacing w:val="-19"/>
          <w:w w:val="105"/>
        </w:rPr>
        <w:t> </w:t>
      </w:r>
      <w:r>
        <w:rPr>
          <w:color w:val="231F20"/>
          <w:w w:val="105"/>
        </w:rPr>
        <w:t>cre- cimiento de la producción. El movimiento en la eficiencia de los</w:t>
      </w:r>
      <w:r>
        <w:rPr>
          <w:color w:val="231F20"/>
          <w:spacing w:val="-19"/>
          <w:w w:val="105"/>
        </w:rPr>
        <w:t> </w:t>
      </w:r>
      <w:r>
        <w:rPr>
          <w:color w:val="231F20"/>
          <w:w w:val="105"/>
        </w:rPr>
        <w:t>salarios es</w:t>
      </w:r>
      <w:r>
        <w:rPr>
          <w:color w:val="231F20"/>
          <w:spacing w:val="-22"/>
          <w:w w:val="105"/>
        </w:rPr>
        <w:t> </w:t>
      </w:r>
      <w:r>
        <w:rPr>
          <w:color w:val="231F20"/>
          <w:w w:val="105"/>
        </w:rPr>
        <w:t>el</w:t>
      </w:r>
      <w:r>
        <w:rPr>
          <w:color w:val="231F20"/>
          <w:spacing w:val="-22"/>
          <w:w w:val="105"/>
        </w:rPr>
        <w:t> </w:t>
      </w:r>
      <w:r>
        <w:rPr>
          <w:color w:val="231F20"/>
          <w:w w:val="105"/>
        </w:rPr>
        <w:t>resultado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variación</w:t>
      </w:r>
      <w:r>
        <w:rPr>
          <w:color w:val="231F20"/>
          <w:spacing w:val="-22"/>
          <w:w w:val="105"/>
        </w:rPr>
        <w:t> </w:t>
      </w:r>
      <w:r>
        <w:rPr>
          <w:color w:val="231F20"/>
          <w:w w:val="105"/>
        </w:rPr>
        <w:t>relativa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salarios</w:t>
      </w:r>
      <w:r>
        <w:rPr>
          <w:color w:val="231F20"/>
          <w:spacing w:val="-22"/>
          <w:w w:val="105"/>
        </w:rPr>
        <w:t> </w:t>
      </w:r>
      <w:r>
        <w:rPr>
          <w:color w:val="231F20"/>
          <w:w w:val="105"/>
        </w:rPr>
        <w:t>monetarios</w:t>
      </w:r>
      <w:r>
        <w:rPr>
          <w:color w:val="231F20"/>
          <w:spacing w:val="-22"/>
          <w:w w:val="105"/>
        </w:rPr>
        <w:t> </w:t>
      </w:r>
      <w:r>
        <w:rPr>
          <w:color w:val="231F20"/>
          <w:w w:val="105"/>
        </w:rPr>
        <w:t>respecto a la variación en la productividad, es decir, igual a </w:t>
      </w:r>
      <w:r>
        <w:rPr>
          <w:i/>
          <w:color w:val="231F20"/>
          <w:w w:val="105"/>
        </w:rPr>
        <w:t>W/T</w:t>
      </w:r>
      <w:r>
        <w:rPr>
          <w:color w:val="231F20"/>
          <w:w w:val="105"/>
        </w:rPr>
        <w:t>, donde </w:t>
      </w:r>
      <w:r>
        <w:rPr>
          <w:i/>
          <w:color w:val="231F20"/>
          <w:w w:val="105"/>
        </w:rPr>
        <w:t>W </w:t>
      </w:r>
      <w:r>
        <w:rPr>
          <w:color w:val="231F20"/>
          <w:w w:val="105"/>
        </w:rPr>
        <w:t>es el índice</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salarios</w:t>
      </w:r>
      <w:r>
        <w:rPr>
          <w:color w:val="231F20"/>
          <w:spacing w:val="-20"/>
          <w:w w:val="105"/>
        </w:rPr>
        <w:t> </w:t>
      </w:r>
      <w:r>
        <w:rPr>
          <w:color w:val="231F20"/>
          <w:w w:val="105"/>
        </w:rPr>
        <w:t>monetarios</w:t>
      </w:r>
      <w:r>
        <w:rPr>
          <w:color w:val="231F20"/>
          <w:spacing w:val="-20"/>
          <w:w w:val="105"/>
        </w:rPr>
        <w:t> </w:t>
      </w:r>
      <w:r>
        <w:rPr>
          <w:color w:val="231F20"/>
          <w:w w:val="105"/>
        </w:rPr>
        <w:t>y</w:t>
      </w:r>
      <w:r>
        <w:rPr>
          <w:color w:val="231F20"/>
          <w:spacing w:val="-20"/>
          <w:w w:val="105"/>
        </w:rPr>
        <w:t> </w:t>
      </w:r>
      <w:r>
        <w:rPr>
          <w:i/>
          <w:color w:val="231F20"/>
          <w:w w:val="105"/>
        </w:rPr>
        <w:t>T</w:t>
      </w:r>
      <w:r>
        <w:rPr>
          <w:i/>
          <w:color w:val="231F20"/>
          <w:spacing w:val="-20"/>
          <w:w w:val="105"/>
        </w:rPr>
        <w:t> </w:t>
      </w:r>
      <w:r>
        <w:rPr>
          <w:color w:val="231F20"/>
          <w:w w:val="105"/>
        </w:rPr>
        <w:t>es</w:t>
      </w:r>
      <w:r>
        <w:rPr>
          <w:color w:val="231F20"/>
          <w:spacing w:val="-20"/>
          <w:w w:val="105"/>
        </w:rPr>
        <w:t> </w:t>
      </w:r>
      <w:r>
        <w:rPr>
          <w:color w:val="231F20"/>
          <w:w w:val="105"/>
        </w:rPr>
        <w:t>el</w:t>
      </w:r>
      <w:r>
        <w:rPr>
          <w:color w:val="231F20"/>
          <w:spacing w:val="-20"/>
          <w:w w:val="105"/>
        </w:rPr>
        <w:t> </w:t>
      </w:r>
      <w:r>
        <w:rPr>
          <w:color w:val="231F20"/>
          <w:w w:val="105"/>
        </w:rPr>
        <w:t>índice</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productividad.</w:t>
      </w:r>
      <w:r>
        <w:rPr>
          <w:color w:val="231F20"/>
          <w:spacing w:val="-25"/>
          <w:w w:val="105"/>
        </w:rPr>
        <w:t> </w:t>
      </w:r>
      <w:r>
        <w:rPr>
          <w:color w:val="231F20"/>
          <w:spacing w:val="-5"/>
          <w:w w:val="105"/>
        </w:rPr>
        <w:t>Pero </w:t>
      </w:r>
      <w:r>
        <w:rPr>
          <w:color w:val="231F20"/>
          <w:w w:val="105"/>
        </w:rPr>
        <w:t>los</w:t>
      </w:r>
      <w:r>
        <w:rPr>
          <w:color w:val="231F20"/>
          <w:spacing w:val="-23"/>
          <w:w w:val="105"/>
        </w:rPr>
        <w:t> </w:t>
      </w:r>
      <w:r>
        <w:rPr>
          <w:color w:val="231F20"/>
          <w:w w:val="105"/>
        </w:rPr>
        <w:t>salarios</w:t>
      </w:r>
      <w:r>
        <w:rPr>
          <w:color w:val="231F20"/>
          <w:spacing w:val="-23"/>
          <w:w w:val="105"/>
        </w:rPr>
        <w:t> </w:t>
      </w:r>
      <w:r>
        <w:rPr>
          <w:color w:val="231F20"/>
          <w:w w:val="105"/>
        </w:rPr>
        <w:t>no</w:t>
      </w:r>
      <w:r>
        <w:rPr>
          <w:color w:val="231F20"/>
          <w:spacing w:val="-23"/>
          <w:w w:val="105"/>
        </w:rPr>
        <w:t> </w:t>
      </w:r>
      <w:r>
        <w:rPr>
          <w:color w:val="231F20"/>
          <w:w w:val="105"/>
        </w:rPr>
        <w:t>serán</w:t>
      </w:r>
      <w:r>
        <w:rPr>
          <w:color w:val="231F20"/>
          <w:spacing w:val="-23"/>
          <w:w w:val="105"/>
        </w:rPr>
        <w:t> </w:t>
      </w:r>
      <w:r>
        <w:rPr>
          <w:color w:val="231F20"/>
          <w:w w:val="105"/>
        </w:rPr>
        <w:t>los</w:t>
      </w:r>
      <w:r>
        <w:rPr>
          <w:color w:val="231F20"/>
          <w:spacing w:val="-23"/>
          <w:w w:val="105"/>
        </w:rPr>
        <w:t> </w:t>
      </w:r>
      <w:r>
        <w:rPr>
          <w:color w:val="231F20"/>
          <w:w w:val="105"/>
        </w:rPr>
        <w:t>mismos</w:t>
      </w:r>
      <w:r>
        <w:rPr>
          <w:color w:val="231F20"/>
          <w:spacing w:val="-23"/>
          <w:w w:val="105"/>
        </w:rPr>
        <w:t> </w:t>
      </w:r>
      <w:r>
        <w:rPr>
          <w:color w:val="231F20"/>
          <w:w w:val="105"/>
        </w:rPr>
        <w:t>en</w:t>
      </w:r>
      <w:r>
        <w:rPr>
          <w:color w:val="231F20"/>
          <w:spacing w:val="-23"/>
          <w:w w:val="105"/>
        </w:rPr>
        <w:t> </w:t>
      </w:r>
      <w:r>
        <w:rPr>
          <w:color w:val="231F20"/>
          <w:w w:val="105"/>
        </w:rPr>
        <w:t>cada</w:t>
      </w:r>
      <w:r>
        <w:rPr>
          <w:color w:val="231F20"/>
          <w:spacing w:val="-23"/>
          <w:w w:val="105"/>
        </w:rPr>
        <w:t> </w:t>
      </w:r>
      <w:r>
        <w:rPr>
          <w:color w:val="231F20"/>
          <w:w w:val="105"/>
        </w:rPr>
        <w:t>región,</w:t>
      </w:r>
      <w:r>
        <w:rPr>
          <w:color w:val="231F20"/>
          <w:spacing w:val="-28"/>
          <w:w w:val="105"/>
        </w:rPr>
        <w:t> </w:t>
      </w:r>
      <w:r>
        <w:rPr>
          <w:color w:val="231F20"/>
          <w:w w:val="105"/>
        </w:rPr>
        <w:t>aunque</w:t>
      </w:r>
      <w:r>
        <w:rPr>
          <w:color w:val="231F20"/>
          <w:spacing w:val="-23"/>
          <w:w w:val="105"/>
        </w:rPr>
        <w:t> </w:t>
      </w:r>
      <w:r>
        <w:rPr>
          <w:color w:val="231F20"/>
          <w:w w:val="105"/>
        </w:rPr>
        <w:t>el</w:t>
      </w:r>
      <w:r>
        <w:rPr>
          <w:color w:val="231F20"/>
          <w:spacing w:val="-23"/>
          <w:w w:val="105"/>
        </w:rPr>
        <w:t> </w:t>
      </w:r>
      <w:r>
        <w:rPr>
          <w:color w:val="231F20"/>
          <w:w w:val="105"/>
        </w:rPr>
        <w:t>incremento</w:t>
      </w:r>
      <w:r>
        <w:rPr>
          <w:color w:val="231F20"/>
          <w:spacing w:val="-23"/>
          <w:w w:val="105"/>
        </w:rPr>
        <w:t> </w:t>
      </w:r>
      <w:r>
        <w:rPr>
          <w:color w:val="231F20"/>
          <w:w w:val="105"/>
        </w:rPr>
        <w:t>de empleo</w:t>
      </w:r>
      <w:r>
        <w:rPr>
          <w:color w:val="231F20"/>
          <w:spacing w:val="-43"/>
          <w:w w:val="105"/>
        </w:rPr>
        <w:t> </w:t>
      </w:r>
      <w:r>
        <w:rPr>
          <w:color w:val="231F20"/>
          <w:w w:val="105"/>
        </w:rPr>
        <w:t>varíe</w:t>
      </w:r>
      <w:r>
        <w:rPr>
          <w:color w:val="231F20"/>
          <w:spacing w:val="-43"/>
          <w:w w:val="105"/>
        </w:rPr>
        <w:t> </w:t>
      </w:r>
      <w:r>
        <w:rPr>
          <w:color w:val="231F20"/>
          <w:w w:val="105"/>
        </w:rPr>
        <w:t>(Richardson,</w:t>
      </w:r>
      <w:r>
        <w:rPr>
          <w:color w:val="231F20"/>
          <w:spacing w:val="-46"/>
          <w:w w:val="105"/>
        </w:rPr>
        <w:t> </w:t>
      </w:r>
      <w:r>
        <w:rPr>
          <w:color w:val="231F20"/>
          <w:w w:val="105"/>
        </w:rPr>
        <w:t>1977).</w:t>
      </w:r>
    </w:p>
    <w:p>
      <w:pPr>
        <w:pStyle w:val="BodyText"/>
        <w:spacing w:line="259" w:lineRule="auto"/>
        <w:ind w:left="108" w:right="121" w:firstLine="567"/>
        <w:jc w:val="both"/>
      </w:pPr>
      <w:r>
        <w:rPr>
          <w:color w:val="231F20"/>
          <w:spacing w:val="-6"/>
          <w:w w:val="105"/>
        </w:rPr>
        <w:t>Por </w:t>
      </w:r>
      <w:r>
        <w:rPr>
          <w:color w:val="231F20"/>
          <w:w w:val="105"/>
        </w:rPr>
        <w:t>otra parte, debido a los rendimientos crecientes, se obten- drán índices más altos de productividad en las regiones que presenten un crecimiento de la producción más rápido. Estas regiones tendrán la eficiencia de los salarios más bajos, porque </w:t>
      </w:r>
      <w:r>
        <w:rPr>
          <w:i/>
          <w:color w:val="231F20"/>
          <w:w w:val="105"/>
        </w:rPr>
        <w:t>W/T </w:t>
      </w:r>
      <w:r>
        <w:rPr>
          <w:color w:val="231F20"/>
          <w:w w:val="105"/>
        </w:rPr>
        <w:t>disminuirá en aquellas regiones con una productividad superior al promedio y unos índices de producción superiores a la media; es en este sentido como las</w:t>
      </w:r>
      <w:r>
        <w:rPr>
          <w:color w:val="231F20"/>
          <w:spacing w:val="-29"/>
          <w:w w:val="105"/>
        </w:rPr>
        <w:t> </w:t>
      </w:r>
      <w:r>
        <w:rPr>
          <w:color w:val="231F20"/>
          <w:w w:val="105"/>
        </w:rPr>
        <w:t>regiones de</w:t>
      </w:r>
      <w:r>
        <w:rPr>
          <w:color w:val="231F20"/>
          <w:spacing w:val="-18"/>
          <w:w w:val="105"/>
        </w:rPr>
        <w:t> </w:t>
      </w:r>
      <w:r>
        <w:rPr>
          <w:color w:val="231F20"/>
          <w:w w:val="105"/>
        </w:rPr>
        <w:t>crecimiento</w:t>
      </w:r>
      <w:r>
        <w:rPr>
          <w:color w:val="231F20"/>
          <w:spacing w:val="-18"/>
          <w:w w:val="105"/>
        </w:rPr>
        <w:t> </w:t>
      </w:r>
      <w:r>
        <w:rPr>
          <w:color w:val="231F20"/>
          <w:w w:val="105"/>
        </w:rPr>
        <w:t>rápido</w:t>
      </w:r>
      <w:r>
        <w:rPr>
          <w:color w:val="231F20"/>
          <w:spacing w:val="-18"/>
          <w:w w:val="105"/>
        </w:rPr>
        <w:t> </w:t>
      </w:r>
      <w:r>
        <w:rPr>
          <w:color w:val="231F20"/>
          <w:w w:val="105"/>
        </w:rPr>
        <w:t>tienen</w:t>
      </w:r>
      <w:r>
        <w:rPr>
          <w:color w:val="231F20"/>
          <w:spacing w:val="-18"/>
          <w:w w:val="105"/>
        </w:rPr>
        <w:t> </w:t>
      </w:r>
      <w:r>
        <w:rPr>
          <w:color w:val="231F20"/>
          <w:w w:val="105"/>
        </w:rPr>
        <w:t>ventajas</w:t>
      </w:r>
      <w:r>
        <w:rPr>
          <w:color w:val="231F20"/>
          <w:spacing w:val="-18"/>
          <w:w w:val="105"/>
        </w:rPr>
        <w:t> </w:t>
      </w:r>
      <w:r>
        <w:rPr>
          <w:color w:val="231F20"/>
          <w:w w:val="105"/>
        </w:rPr>
        <w:t>acumulativas</w:t>
      </w:r>
      <w:r>
        <w:rPr>
          <w:color w:val="231F20"/>
          <w:spacing w:val="-18"/>
          <w:w w:val="105"/>
        </w:rPr>
        <w:t> </w:t>
      </w:r>
      <w:r>
        <w:rPr>
          <w:color w:val="231F20"/>
          <w:w w:val="105"/>
        </w:rPr>
        <w:t>con</w:t>
      </w:r>
      <w:r>
        <w:rPr>
          <w:color w:val="231F20"/>
          <w:spacing w:val="-18"/>
          <w:w w:val="105"/>
        </w:rPr>
        <w:t> </w:t>
      </w:r>
      <w:r>
        <w:rPr>
          <w:color w:val="231F20"/>
          <w:w w:val="105"/>
        </w:rPr>
        <w:t>respecto</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de lento</w:t>
      </w:r>
      <w:r>
        <w:rPr>
          <w:color w:val="231F20"/>
          <w:spacing w:val="-5"/>
          <w:w w:val="105"/>
        </w:rPr>
        <w:t> </w:t>
      </w:r>
      <w:r>
        <w:rPr>
          <w:color w:val="231F20"/>
          <w:w w:val="105"/>
        </w:rPr>
        <w:t>crecimiento.</w:t>
      </w:r>
    </w:p>
    <w:p>
      <w:pPr>
        <w:pStyle w:val="BodyText"/>
        <w:spacing w:line="259" w:lineRule="auto"/>
        <w:ind w:left="108" w:right="115" w:firstLine="567"/>
        <w:jc w:val="both"/>
      </w:pPr>
      <w:r>
        <w:rPr>
          <w:color w:val="231F20"/>
          <w:w w:val="105"/>
        </w:rPr>
        <w:t>Entonces,</w:t>
      </w:r>
      <w:r>
        <w:rPr>
          <w:color w:val="231F20"/>
          <w:spacing w:val="-10"/>
          <w:w w:val="105"/>
        </w:rPr>
        <w:t> </w:t>
      </w:r>
      <w:r>
        <w:rPr>
          <w:color w:val="231F20"/>
          <w:w w:val="105"/>
        </w:rPr>
        <w:t>el</w:t>
      </w:r>
      <w:r>
        <w:rPr>
          <w:color w:val="231F20"/>
          <w:spacing w:val="-5"/>
          <w:w w:val="105"/>
        </w:rPr>
        <w:t> </w:t>
      </w:r>
      <w:r>
        <w:rPr>
          <w:color w:val="231F20"/>
          <w:w w:val="105"/>
        </w:rPr>
        <w:t>crecimiento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industria</w:t>
      </w:r>
      <w:r>
        <w:rPr>
          <w:color w:val="231F20"/>
          <w:spacing w:val="-5"/>
          <w:w w:val="105"/>
        </w:rPr>
        <w:t> </w:t>
      </w:r>
      <w:r>
        <w:rPr>
          <w:color w:val="231F20"/>
          <w:w w:val="105"/>
        </w:rPr>
        <w:t>se</w:t>
      </w:r>
      <w:r>
        <w:rPr>
          <w:color w:val="231F20"/>
          <w:spacing w:val="-5"/>
          <w:w w:val="105"/>
        </w:rPr>
        <w:t> </w:t>
      </w:r>
      <w:r>
        <w:rPr>
          <w:color w:val="231F20"/>
          <w:w w:val="105"/>
        </w:rPr>
        <w:t>debe</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expansión</w:t>
      </w:r>
      <w:r>
        <w:rPr>
          <w:color w:val="231F20"/>
          <w:spacing w:val="-5"/>
          <w:w w:val="105"/>
        </w:rPr>
        <w:t> </w:t>
      </w:r>
      <w:r>
        <w:rPr>
          <w:color w:val="231F20"/>
          <w:w w:val="105"/>
        </w:rPr>
        <w:t>de la</w:t>
      </w:r>
      <w:r>
        <w:rPr>
          <w:color w:val="231F20"/>
          <w:spacing w:val="-12"/>
          <w:w w:val="105"/>
        </w:rPr>
        <w:t> </w:t>
      </w:r>
      <w:r>
        <w:rPr>
          <w:color w:val="231F20"/>
          <w:w w:val="105"/>
        </w:rPr>
        <w:t>demanda.</w:t>
      </w:r>
      <w:r>
        <w:rPr>
          <w:color w:val="231F20"/>
          <w:spacing w:val="-17"/>
          <w:w w:val="105"/>
        </w:rPr>
        <w:t> </w:t>
      </w:r>
      <w:r>
        <w:rPr>
          <w:color w:val="231F20"/>
          <w:w w:val="105"/>
        </w:rPr>
        <w:t>Esto</w:t>
      </w:r>
      <w:r>
        <w:rPr>
          <w:color w:val="231F20"/>
          <w:spacing w:val="-12"/>
          <w:w w:val="105"/>
        </w:rPr>
        <w:t> </w:t>
      </w:r>
      <w:r>
        <w:rPr>
          <w:color w:val="231F20"/>
          <w:w w:val="105"/>
        </w:rPr>
        <w:t>se</w:t>
      </w:r>
      <w:r>
        <w:rPr>
          <w:color w:val="231F20"/>
          <w:spacing w:val="-12"/>
          <w:w w:val="105"/>
        </w:rPr>
        <w:t> </w:t>
      </w:r>
      <w:r>
        <w:rPr>
          <w:color w:val="231F20"/>
          <w:w w:val="105"/>
        </w:rPr>
        <w:t>expone</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ley</w:t>
      </w:r>
      <w:r>
        <w:rPr>
          <w:color w:val="231F20"/>
          <w:spacing w:val="-12"/>
          <w:w w:val="105"/>
        </w:rPr>
        <w:t> </w:t>
      </w:r>
      <w:r>
        <w:rPr>
          <w:color w:val="231F20"/>
          <w:w w:val="105"/>
        </w:rPr>
        <w:t>de</w:t>
      </w:r>
      <w:r>
        <w:rPr>
          <w:color w:val="231F20"/>
          <w:spacing w:val="-16"/>
          <w:w w:val="105"/>
        </w:rPr>
        <w:t> </w:t>
      </w:r>
      <w:r>
        <w:rPr>
          <w:color w:val="231F20"/>
          <w:w w:val="105"/>
        </w:rPr>
        <w:t>Verdoorn,</w:t>
      </w:r>
      <w:r>
        <w:rPr>
          <w:color w:val="231F20"/>
          <w:spacing w:val="-17"/>
          <w:w w:val="105"/>
        </w:rPr>
        <w:t> </w:t>
      </w:r>
      <w:r>
        <w:rPr>
          <w:color w:val="231F20"/>
          <w:w w:val="105"/>
        </w:rPr>
        <w:t>que</w:t>
      </w:r>
      <w:r>
        <w:rPr>
          <w:color w:val="231F20"/>
          <w:spacing w:val="-12"/>
          <w:w w:val="105"/>
        </w:rPr>
        <w:t> </w:t>
      </w:r>
      <w:r>
        <w:rPr>
          <w:color w:val="231F20"/>
          <w:w w:val="105"/>
        </w:rPr>
        <w:t>muestra la</w:t>
      </w:r>
      <w:r>
        <w:rPr>
          <w:color w:val="231F20"/>
          <w:spacing w:val="-18"/>
          <w:w w:val="105"/>
        </w:rPr>
        <w:t> </w:t>
      </w:r>
      <w:r>
        <w:rPr>
          <w:color w:val="231F20"/>
          <w:w w:val="105"/>
        </w:rPr>
        <w:t>concentración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actividad</w:t>
      </w:r>
      <w:r>
        <w:rPr>
          <w:color w:val="231F20"/>
          <w:spacing w:val="-18"/>
          <w:w w:val="105"/>
        </w:rPr>
        <w:t> </w:t>
      </w:r>
      <w:r>
        <w:rPr>
          <w:color w:val="231F20"/>
          <w:w w:val="105"/>
        </w:rPr>
        <w:t>industrial</w:t>
      </w:r>
      <w:r>
        <w:rPr>
          <w:color w:val="231F20"/>
          <w:spacing w:val="-18"/>
          <w:w w:val="105"/>
        </w:rPr>
        <w:t> </w:t>
      </w:r>
      <w:r>
        <w:rPr>
          <w:color w:val="231F20"/>
          <w:w w:val="105"/>
        </w:rPr>
        <w:t>en</w:t>
      </w:r>
      <w:r>
        <w:rPr>
          <w:color w:val="231F20"/>
          <w:spacing w:val="-18"/>
          <w:w w:val="105"/>
        </w:rPr>
        <w:t> </w:t>
      </w:r>
      <w:r>
        <w:rPr>
          <w:color w:val="231F20"/>
          <w:w w:val="105"/>
        </w:rPr>
        <w:t>las</w:t>
      </w:r>
      <w:r>
        <w:rPr>
          <w:color w:val="231F20"/>
          <w:spacing w:val="-18"/>
          <w:w w:val="105"/>
        </w:rPr>
        <w:t> </w:t>
      </w:r>
      <w:r>
        <w:rPr>
          <w:color w:val="231F20"/>
          <w:w w:val="105"/>
        </w:rPr>
        <w:t>regiones</w:t>
      </w:r>
      <w:r>
        <w:rPr>
          <w:color w:val="231F20"/>
          <w:spacing w:val="-18"/>
          <w:w w:val="105"/>
        </w:rPr>
        <w:t> </w:t>
      </w:r>
      <w:r>
        <w:rPr>
          <w:color w:val="231F20"/>
          <w:w w:val="105"/>
        </w:rPr>
        <w:t>más</w:t>
      </w:r>
      <w:r>
        <w:rPr>
          <w:color w:val="231F20"/>
          <w:spacing w:val="-18"/>
          <w:w w:val="105"/>
        </w:rPr>
        <w:t> </w:t>
      </w:r>
      <w:r>
        <w:rPr>
          <w:color w:val="231F20"/>
          <w:w w:val="105"/>
        </w:rPr>
        <w:t>dinámicas. Esta</w:t>
      </w:r>
      <w:r>
        <w:rPr>
          <w:color w:val="231F20"/>
          <w:spacing w:val="-29"/>
          <w:w w:val="105"/>
        </w:rPr>
        <w:t> </w:t>
      </w:r>
      <w:r>
        <w:rPr>
          <w:color w:val="231F20"/>
          <w:w w:val="105"/>
        </w:rPr>
        <w:t>ley</w:t>
      </w:r>
      <w:r>
        <w:rPr>
          <w:color w:val="231F20"/>
          <w:spacing w:val="-29"/>
          <w:w w:val="105"/>
        </w:rPr>
        <w:t> </w:t>
      </w:r>
      <w:r>
        <w:rPr>
          <w:color w:val="231F20"/>
          <w:w w:val="105"/>
        </w:rPr>
        <w:t>se</w:t>
      </w:r>
      <w:r>
        <w:rPr>
          <w:color w:val="231F20"/>
          <w:spacing w:val="-29"/>
          <w:w w:val="105"/>
        </w:rPr>
        <w:t> </w:t>
      </w:r>
      <w:r>
        <w:rPr>
          <w:color w:val="231F20"/>
          <w:w w:val="105"/>
        </w:rPr>
        <w:t>analizará</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siguiente</w:t>
      </w:r>
      <w:r>
        <w:rPr>
          <w:color w:val="231F20"/>
          <w:spacing w:val="-29"/>
          <w:w w:val="105"/>
        </w:rPr>
        <w:t> </w:t>
      </w:r>
      <w:r>
        <w:rPr>
          <w:color w:val="231F20"/>
          <w:w w:val="105"/>
        </w:rPr>
        <w:t>apartado.</w:t>
      </w:r>
    </w:p>
    <w:p>
      <w:pPr>
        <w:spacing w:before="162"/>
        <w:ind w:left="108" w:right="0" w:firstLine="0"/>
        <w:jc w:val="both"/>
        <w:rPr>
          <w:i/>
          <w:sz w:val="21"/>
        </w:rPr>
      </w:pPr>
      <w:r>
        <w:rPr>
          <w:i/>
          <w:color w:val="231F20"/>
          <w:w w:val="105"/>
          <w:sz w:val="21"/>
        </w:rPr>
        <w:t>Las leyes de Kaldor</w:t>
      </w:r>
    </w:p>
    <w:p>
      <w:pPr>
        <w:pStyle w:val="BodyText"/>
        <w:spacing w:before="4"/>
        <w:rPr>
          <w:i/>
          <w:sz w:val="16"/>
        </w:rPr>
      </w:pPr>
    </w:p>
    <w:p>
      <w:pPr>
        <w:pStyle w:val="BodyText"/>
        <w:spacing w:line="259" w:lineRule="auto"/>
        <w:ind w:left="108" w:right="121"/>
        <w:jc w:val="both"/>
      </w:pP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años</w:t>
      </w:r>
      <w:r>
        <w:rPr>
          <w:color w:val="231F20"/>
          <w:spacing w:val="-11"/>
          <w:w w:val="105"/>
        </w:rPr>
        <w:t> </w:t>
      </w:r>
      <w:r>
        <w:rPr>
          <w:color w:val="231F20"/>
          <w:w w:val="105"/>
        </w:rPr>
        <w:t>50</w:t>
      </w:r>
      <w:r>
        <w:rPr>
          <w:color w:val="231F20"/>
          <w:spacing w:val="-11"/>
          <w:w w:val="105"/>
        </w:rPr>
        <w:t> </w:t>
      </w:r>
      <w:r>
        <w:rPr>
          <w:color w:val="231F20"/>
          <w:w w:val="105"/>
        </w:rPr>
        <w:t>y</w:t>
      </w:r>
      <w:r>
        <w:rPr>
          <w:color w:val="231F20"/>
          <w:spacing w:val="-11"/>
          <w:w w:val="105"/>
        </w:rPr>
        <w:t> </w:t>
      </w:r>
      <w:r>
        <w:rPr>
          <w:color w:val="231F20"/>
          <w:w w:val="105"/>
        </w:rPr>
        <w:t>principios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60</w:t>
      </w:r>
      <w:r>
        <w:rPr>
          <w:color w:val="231F20"/>
          <w:spacing w:val="-11"/>
          <w:w w:val="105"/>
        </w:rPr>
        <w:t> </w:t>
      </w:r>
      <w:r>
        <w:rPr>
          <w:color w:val="231F20"/>
          <w:w w:val="105"/>
        </w:rPr>
        <w:t>Kaldor</w:t>
      </w:r>
      <w:r>
        <w:rPr>
          <w:color w:val="231F20"/>
          <w:spacing w:val="-11"/>
          <w:w w:val="105"/>
        </w:rPr>
        <w:t> </w:t>
      </w:r>
      <w:r>
        <w:rPr>
          <w:color w:val="231F20"/>
          <w:w w:val="105"/>
        </w:rPr>
        <w:t>(1966)</w:t>
      </w:r>
      <w:r>
        <w:rPr>
          <w:color w:val="231F20"/>
          <w:spacing w:val="-11"/>
          <w:w w:val="105"/>
        </w:rPr>
        <w:t> </w:t>
      </w:r>
      <w:r>
        <w:rPr>
          <w:color w:val="231F20"/>
          <w:w w:val="105"/>
        </w:rPr>
        <w:t>estudió</w:t>
      </w:r>
      <w:r>
        <w:rPr>
          <w:color w:val="231F20"/>
          <w:spacing w:val="-11"/>
          <w:w w:val="105"/>
        </w:rPr>
        <w:t> </w:t>
      </w:r>
      <w:r>
        <w:rPr>
          <w:color w:val="231F20"/>
          <w:w w:val="105"/>
        </w:rPr>
        <w:t>las</w:t>
      </w:r>
      <w:r>
        <w:rPr>
          <w:color w:val="231F20"/>
          <w:spacing w:val="-11"/>
          <w:w w:val="105"/>
        </w:rPr>
        <w:t> </w:t>
      </w:r>
      <w:r>
        <w:rPr>
          <w:color w:val="231F20"/>
          <w:w w:val="105"/>
        </w:rPr>
        <w:t>diferentes tasas de crecimiento de doce países de la Organización para la</w:t>
      </w:r>
      <w:r>
        <w:rPr>
          <w:color w:val="231F20"/>
          <w:spacing w:val="-18"/>
          <w:w w:val="105"/>
        </w:rPr>
        <w:t> </w:t>
      </w:r>
      <w:r>
        <w:rPr>
          <w:color w:val="231F20"/>
          <w:w w:val="105"/>
        </w:rPr>
        <w:t>Coope- ración y el Desarrollo Económico </w:t>
      </w:r>
      <w:r>
        <w:rPr>
          <w:w w:val="105"/>
        </w:rPr>
        <w:t>(</w:t>
      </w:r>
      <w:r>
        <w:rPr>
          <w:color w:val="231F20"/>
          <w:w w:val="105"/>
        </w:rPr>
        <w:t>OCDE), analizando datos del PIB, el empleo</w:t>
      </w:r>
      <w:r>
        <w:rPr>
          <w:color w:val="231F20"/>
          <w:spacing w:val="-6"/>
          <w:w w:val="105"/>
        </w:rPr>
        <w:t> </w:t>
      </w:r>
      <w:r>
        <w:rPr>
          <w:color w:val="231F20"/>
          <w:w w:val="105"/>
        </w:rPr>
        <w:t>manufacturero</w:t>
      </w:r>
      <w:r>
        <w:rPr>
          <w:color w:val="231F20"/>
          <w:spacing w:val="-6"/>
          <w:w w:val="105"/>
        </w:rPr>
        <w:t> </w:t>
      </w:r>
      <w:r>
        <w:rPr>
          <w:color w:val="231F20"/>
          <w:w w:val="105"/>
        </w:rPr>
        <w:t>y</w:t>
      </w:r>
      <w:r>
        <w:rPr>
          <w:color w:val="231F20"/>
          <w:spacing w:val="-6"/>
          <w:w w:val="105"/>
        </w:rPr>
        <w:t> </w:t>
      </w:r>
      <w:r>
        <w:rPr>
          <w:color w:val="231F20"/>
          <w:w w:val="105"/>
        </w:rPr>
        <w:t>no</w:t>
      </w:r>
      <w:r>
        <w:rPr>
          <w:color w:val="231F20"/>
          <w:spacing w:val="-6"/>
          <w:w w:val="105"/>
        </w:rPr>
        <w:t> </w:t>
      </w:r>
      <w:r>
        <w:rPr>
          <w:color w:val="231F20"/>
          <w:w w:val="105"/>
        </w:rPr>
        <w:t>manufacturero</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tasa</w:t>
      </w:r>
      <w:r>
        <w:rPr>
          <w:color w:val="231F20"/>
          <w:spacing w:val="-6"/>
          <w:w w:val="105"/>
        </w:rPr>
        <w:t> </w:t>
      </w:r>
      <w:r>
        <w:rPr>
          <w:color w:val="231F20"/>
          <w:w w:val="105"/>
        </w:rPr>
        <w:t>de</w:t>
      </w:r>
      <w:r>
        <w:rPr>
          <w:color w:val="231F20"/>
          <w:spacing w:val="-6"/>
          <w:w w:val="105"/>
        </w:rPr>
        <w:t> </w:t>
      </w:r>
      <w:r>
        <w:rPr>
          <w:color w:val="231F20"/>
          <w:w w:val="105"/>
        </w:rPr>
        <w:t>productividad</w:t>
      </w:r>
      <w:r>
        <w:rPr>
          <w:color w:val="231F20"/>
          <w:spacing w:val="-6"/>
          <w:w w:val="105"/>
        </w:rPr>
        <w:t> </w:t>
      </w:r>
      <w:r>
        <w:rPr>
          <w:color w:val="231F20"/>
          <w:w w:val="105"/>
        </w:rPr>
        <w:t>de las</w:t>
      </w:r>
      <w:r>
        <w:rPr>
          <w:color w:val="231F20"/>
          <w:spacing w:val="-35"/>
          <w:w w:val="105"/>
        </w:rPr>
        <w:t> </w:t>
      </w:r>
      <w:r>
        <w:rPr>
          <w:color w:val="231F20"/>
          <w:w w:val="105"/>
        </w:rPr>
        <w:t>manufacturas,</w:t>
      </w:r>
      <w:r>
        <w:rPr>
          <w:color w:val="231F20"/>
          <w:spacing w:val="-39"/>
          <w:w w:val="105"/>
        </w:rPr>
        <w:t> </w:t>
      </w:r>
      <w:r>
        <w:rPr>
          <w:color w:val="231F20"/>
          <w:w w:val="105"/>
        </w:rPr>
        <w:t>entre</w:t>
      </w:r>
      <w:r>
        <w:rPr>
          <w:color w:val="231F20"/>
          <w:spacing w:val="-35"/>
          <w:w w:val="105"/>
        </w:rPr>
        <w:t> </w:t>
      </w:r>
      <w:r>
        <w:rPr>
          <w:color w:val="231F20"/>
          <w:w w:val="105"/>
        </w:rPr>
        <w:t>otros.</w:t>
      </w:r>
      <w:r>
        <w:rPr>
          <w:color w:val="231F20"/>
          <w:spacing w:val="-39"/>
          <w:w w:val="105"/>
        </w:rPr>
        <w:t> </w:t>
      </w:r>
      <w:r>
        <w:rPr>
          <w:color w:val="231F20"/>
          <w:w w:val="105"/>
        </w:rPr>
        <w:t>De</w:t>
      </w:r>
      <w:r>
        <w:rPr>
          <w:color w:val="231F20"/>
          <w:spacing w:val="-35"/>
          <w:w w:val="105"/>
        </w:rPr>
        <w:t> </w:t>
      </w:r>
      <w:r>
        <w:rPr>
          <w:color w:val="231F20"/>
          <w:w w:val="105"/>
        </w:rPr>
        <w:t>los</w:t>
      </w:r>
      <w:r>
        <w:rPr>
          <w:color w:val="231F20"/>
          <w:spacing w:val="-35"/>
          <w:w w:val="105"/>
        </w:rPr>
        <w:t> </w:t>
      </w:r>
      <w:r>
        <w:rPr>
          <w:color w:val="231F20"/>
          <w:w w:val="105"/>
        </w:rPr>
        <w:t>resultados</w:t>
      </w:r>
      <w:r>
        <w:rPr>
          <w:color w:val="231F20"/>
          <w:spacing w:val="-35"/>
          <w:w w:val="105"/>
        </w:rPr>
        <w:t> </w:t>
      </w:r>
      <w:r>
        <w:rPr>
          <w:color w:val="231F20"/>
          <w:w w:val="105"/>
        </w:rPr>
        <w:t>se</w:t>
      </w:r>
      <w:r>
        <w:rPr>
          <w:color w:val="231F20"/>
          <w:spacing w:val="-35"/>
          <w:w w:val="105"/>
        </w:rPr>
        <w:t> </w:t>
      </w:r>
      <w:r>
        <w:rPr>
          <w:color w:val="231F20"/>
          <w:w w:val="105"/>
        </w:rPr>
        <w:t>concluye</w:t>
      </w:r>
      <w:r>
        <w:rPr>
          <w:color w:val="231F20"/>
          <w:spacing w:val="-35"/>
          <w:w w:val="105"/>
        </w:rPr>
        <w:t> </w:t>
      </w:r>
      <w:r>
        <w:rPr>
          <w:color w:val="231F20"/>
          <w:w w:val="105"/>
        </w:rPr>
        <w:t>que</w:t>
      </w:r>
      <w:r>
        <w:rPr>
          <w:color w:val="231F20"/>
          <w:spacing w:val="-35"/>
          <w:w w:val="105"/>
        </w:rPr>
        <w:t> </w:t>
      </w:r>
      <w:r>
        <w:rPr>
          <w:color w:val="231F20"/>
          <w:w w:val="105"/>
        </w:rPr>
        <w:t>las</w:t>
      </w:r>
      <w:r>
        <w:rPr>
          <w:color w:val="231F20"/>
          <w:spacing w:val="-35"/>
          <w:w w:val="105"/>
        </w:rPr>
        <w:t> </w:t>
      </w:r>
      <w:r>
        <w:rPr>
          <w:color w:val="231F20"/>
          <w:w w:val="105"/>
        </w:rPr>
        <w:t>manu-</w:t>
      </w:r>
    </w:p>
    <w:p>
      <w:pPr>
        <w:spacing w:after="0" w:line="259" w:lineRule="auto"/>
        <w:jc w:val="both"/>
        <w:sectPr>
          <w:pgSz w:w="9640" w:h="13890"/>
          <w:pgMar w:top="0" w:bottom="280" w:left="1280" w:right="1140"/>
        </w:sectPr>
      </w:pPr>
    </w:p>
    <w:p>
      <w:pPr>
        <w:pStyle w:val="BodyText"/>
        <w:spacing w:line="259" w:lineRule="auto" w:before="120"/>
        <w:ind w:left="103" w:right="109"/>
        <w:jc w:val="both"/>
      </w:pPr>
      <w:r>
        <w:rPr>
          <w:color w:val="231F20"/>
          <w:w w:val="105"/>
        </w:rPr>
        <w:t>facturas</w:t>
      </w:r>
      <w:r>
        <w:rPr>
          <w:color w:val="231F20"/>
          <w:spacing w:val="-11"/>
          <w:w w:val="105"/>
        </w:rPr>
        <w:t> </w:t>
      </w:r>
      <w:r>
        <w:rPr>
          <w:color w:val="231F20"/>
          <w:w w:val="105"/>
        </w:rPr>
        <w:t>son</w:t>
      </w:r>
      <w:r>
        <w:rPr>
          <w:color w:val="231F20"/>
          <w:spacing w:val="-11"/>
          <w:w w:val="105"/>
        </w:rPr>
        <w:t> </w:t>
      </w:r>
      <w:r>
        <w:rPr>
          <w:color w:val="231F20"/>
          <w:w w:val="105"/>
        </w:rPr>
        <w:t>el</w:t>
      </w:r>
      <w:r>
        <w:rPr>
          <w:color w:val="231F20"/>
          <w:spacing w:val="-11"/>
          <w:w w:val="105"/>
        </w:rPr>
        <w:t> </w:t>
      </w:r>
      <w:r>
        <w:rPr>
          <w:color w:val="231F20"/>
          <w:w w:val="105"/>
        </w:rPr>
        <w:t>motor</w:t>
      </w:r>
      <w:r>
        <w:rPr>
          <w:color w:val="231F20"/>
          <w:spacing w:val="-11"/>
          <w:w w:val="105"/>
        </w:rPr>
        <w:t> </w:t>
      </w:r>
      <w:r>
        <w:rPr>
          <w:color w:val="231F20"/>
          <w:w w:val="105"/>
        </w:rPr>
        <w:t>del</w:t>
      </w:r>
      <w:r>
        <w:rPr>
          <w:color w:val="231F20"/>
          <w:spacing w:val="-11"/>
          <w:w w:val="105"/>
        </w:rPr>
        <w:t> </w:t>
      </w:r>
      <w:r>
        <w:rPr>
          <w:color w:val="231F20"/>
          <w:w w:val="105"/>
        </w:rPr>
        <w:t>crecimiento</w:t>
      </w:r>
      <w:r>
        <w:rPr>
          <w:color w:val="231F20"/>
          <w:spacing w:val="-11"/>
          <w:w w:val="105"/>
        </w:rPr>
        <w:t> </w:t>
      </w:r>
      <w:r>
        <w:rPr>
          <w:color w:val="231F20"/>
          <w:w w:val="105"/>
        </w:rPr>
        <w:t>económico,</w:t>
      </w:r>
      <w:r>
        <w:rPr>
          <w:color w:val="231F20"/>
          <w:spacing w:val="-17"/>
          <w:w w:val="105"/>
        </w:rPr>
        <w:t> </w:t>
      </w:r>
      <w:r>
        <w:rPr>
          <w:color w:val="231F20"/>
          <w:w w:val="105"/>
        </w:rPr>
        <w:t>formulando</w:t>
      </w:r>
      <w:r>
        <w:rPr>
          <w:color w:val="231F20"/>
          <w:spacing w:val="-11"/>
          <w:w w:val="105"/>
        </w:rPr>
        <w:t> </w:t>
      </w:r>
      <w:r>
        <w:rPr>
          <w:color w:val="231F20"/>
          <w:w w:val="105"/>
        </w:rPr>
        <w:t>tres</w:t>
      </w:r>
      <w:r>
        <w:rPr>
          <w:color w:val="231F20"/>
          <w:spacing w:val="-11"/>
          <w:w w:val="105"/>
        </w:rPr>
        <w:t> </w:t>
      </w:r>
      <w:r>
        <w:rPr>
          <w:color w:val="231F20"/>
          <w:w w:val="105"/>
        </w:rPr>
        <w:t>leyes, las cuales tienen como implicación directa que el sector industrial es el motor del</w:t>
      </w:r>
      <w:r>
        <w:rPr>
          <w:color w:val="231F20"/>
          <w:spacing w:val="7"/>
          <w:w w:val="105"/>
        </w:rPr>
        <w:t> </w:t>
      </w:r>
      <w:r>
        <w:rPr>
          <w:color w:val="231F20"/>
          <w:w w:val="105"/>
        </w:rPr>
        <w:t>crecimiento.</w:t>
      </w:r>
    </w:p>
    <w:p>
      <w:pPr>
        <w:pStyle w:val="BodyText"/>
        <w:spacing w:line="259" w:lineRule="auto"/>
        <w:ind w:left="103" w:right="114" w:firstLine="567"/>
        <w:jc w:val="both"/>
      </w:pPr>
      <w:r>
        <w:rPr>
          <w:color w:val="231F20"/>
          <w:w w:val="105"/>
        </w:rPr>
        <w:t>La</w:t>
      </w:r>
      <w:r>
        <w:rPr>
          <w:color w:val="231F20"/>
          <w:spacing w:val="-6"/>
          <w:w w:val="105"/>
        </w:rPr>
        <w:t> </w:t>
      </w:r>
      <w:r>
        <w:rPr>
          <w:color w:val="231F20"/>
          <w:w w:val="105"/>
        </w:rPr>
        <w:t>primera</w:t>
      </w:r>
      <w:r>
        <w:rPr>
          <w:color w:val="231F20"/>
          <w:spacing w:val="-6"/>
          <w:w w:val="105"/>
        </w:rPr>
        <w:t> </w:t>
      </w:r>
      <w:r>
        <w:rPr>
          <w:color w:val="231F20"/>
          <w:w w:val="105"/>
        </w:rPr>
        <w:t>ley</w:t>
      </w:r>
      <w:r>
        <w:rPr>
          <w:color w:val="231F20"/>
          <w:spacing w:val="-6"/>
          <w:w w:val="105"/>
        </w:rPr>
        <w:t> </w:t>
      </w:r>
      <w:r>
        <w:rPr>
          <w:color w:val="231F20"/>
          <w:w w:val="105"/>
        </w:rPr>
        <w:t>plantea</w:t>
      </w:r>
      <w:r>
        <w:rPr>
          <w:color w:val="231F20"/>
          <w:spacing w:val="-6"/>
          <w:w w:val="105"/>
        </w:rPr>
        <w:t> </w:t>
      </w:r>
      <w:r>
        <w:rPr>
          <w:color w:val="231F20"/>
          <w:w w:val="105"/>
        </w:rPr>
        <w:t>que</w:t>
      </w:r>
      <w:r>
        <w:rPr>
          <w:color w:val="231F20"/>
          <w:spacing w:val="-6"/>
          <w:w w:val="105"/>
        </w:rPr>
        <w:t> </w:t>
      </w:r>
      <w:r>
        <w:rPr>
          <w:color w:val="231F20"/>
          <w:w w:val="105"/>
        </w:rPr>
        <w:t>existe</w:t>
      </w:r>
      <w:r>
        <w:rPr>
          <w:color w:val="231F20"/>
          <w:spacing w:val="-6"/>
          <w:w w:val="105"/>
        </w:rPr>
        <w:t> </w:t>
      </w:r>
      <w:r>
        <w:rPr>
          <w:color w:val="231F20"/>
          <w:w w:val="105"/>
        </w:rPr>
        <w:t>una</w:t>
      </w:r>
      <w:r>
        <w:rPr>
          <w:color w:val="231F20"/>
          <w:spacing w:val="-6"/>
          <w:w w:val="105"/>
        </w:rPr>
        <w:t> </w:t>
      </w:r>
      <w:r>
        <w:rPr>
          <w:color w:val="231F20"/>
          <w:w w:val="105"/>
        </w:rPr>
        <w:t>fuerte</w:t>
      </w:r>
      <w:r>
        <w:rPr>
          <w:color w:val="231F20"/>
          <w:spacing w:val="-6"/>
          <w:w w:val="105"/>
        </w:rPr>
        <w:t> </w:t>
      </w:r>
      <w:r>
        <w:rPr>
          <w:color w:val="231F20"/>
          <w:w w:val="105"/>
        </w:rPr>
        <w:t>relación</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tasa del</w:t>
      </w:r>
      <w:r>
        <w:rPr>
          <w:color w:val="231F20"/>
          <w:spacing w:val="-12"/>
          <w:w w:val="105"/>
        </w:rPr>
        <w:t> </w:t>
      </w:r>
      <w:r>
        <w:rPr>
          <w:color w:val="231F20"/>
          <w:w w:val="105"/>
        </w:rPr>
        <w:t>crecimiento</w:t>
      </w:r>
      <w:r>
        <w:rPr>
          <w:color w:val="231F20"/>
          <w:spacing w:val="-12"/>
          <w:w w:val="105"/>
        </w:rPr>
        <w:t> </w:t>
      </w:r>
      <w:r>
        <w:rPr>
          <w:color w:val="231F20"/>
          <w:w w:val="105"/>
        </w:rPr>
        <w:t>del</w:t>
      </w:r>
      <w:r>
        <w:rPr>
          <w:color w:val="231F20"/>
          <w:spacing w:val="-12"/>
          <w:w w:val="105"/>
        </w:rPr>
        <w:t> </w:t>
      </w:r>
      <w:r>
        <w:rPr>
          <w:color w:val="231F20"/>
          <w:w w:val="105"/>
        </w:rPr>
        <w:t>producto</w:t>
      </w:r>
      <w:r>
        <w:rPr>
          <w:color w:val="231F20"/>
          <w:spacing w:val="-12"/>
          <w:w w:val="105"/>
        </w:rPr>
        <w:t> </w:t>
      </w:r>
      <w:r>
        <w:rPr>
          <w:color w:val="231F20"/>
          <w:w w:val="105"/>
        </w:rPr>
        <w:t>manufacturero</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tasa</w:t>
      </w:r>
      <w:r>
        <w:rPr>
          <w:color w:val="231F20"/>
          <w:spacing w:val="-12"/>
          <w:w w:val="105"/>
        </w:rPr>
        <w:t> </w:t>
      </w:r>
      <w:r>
        <w:rPr>
          <w:color w:val="231F20"/>
          <w:w w:val="105"/>
        </w:rPr>
        <w:t>del</w:t>
      </w:r>
      <w:r>
        <w:rPr>
          <w:color w:val="231F20"/>
          <w:spacing w:val="-12"/>
          <w:w w:val="105"/>
        </w:rPr>
        <w:t> </w:t>
      </w:r>
      <w:r>
        <w:rPr>
          <w:color w:val="231F20"/>
          <w:w w:val="105"/>
        </w:rPr>
        <w:t>crecimiento</w:t>
      </w:r>
      <w:r>
        <w:rPr>
          <w:color w:val="231F20"/>
          <w:spacing w:val="-12"/>
          <w:w w:val="105"/>
        </w:rPr>
        <w:t> </w:t>
      </w:r>
      <w:r>
        <w:rPr>
          <w:color w:val="231F20"/>
          <w:w w:val="105"/>
        </w:rPr>
        <w:t>del PIB.</w:t>
      </w:r>
      <w:r>
        <w:rPr>
          <w:color w:val="231F20"/>
          <w:spacing w:val="-44"/>
          <w:w w:val="105"/>
        </w:rPr>
        <w:t> </w:t>
      </w:r>
      <w:r>
        <w:rPr>
          <w:color w:val="231F20"/>
          <w:w w:val="105"/>
        </w:rPr>
        <w:t>Esta</w:t>
      </w:r>
      <w:r>
        <w:rPr>
          <w:color w:val="231F20"/>
          <w:spacing w:val="-41"/>
          <w:w w:val="105"/>
        </w:rPr>
        <w:t> </w:t>
      </w:r>
      <w:r>
        <w:rPr>
          <w:color w:val="231F20"/>
          <w:w w:val="105"/>
        </w:rPr>
        <w:t>ley</w:t>
      </w:r>
      <w:r>
        <w:rPr>
          <w:color w:val="231F20"/>
          <w:spacing w:val="-41"/>
          <w:w w:val="105"/>
        </w:rPr>
        <w:t> </w:t>
      </w:r>
      <w:r>
        <w:rPr>
          <w:color w:val="231F20"/>
          <w:w w:val="105"/>
        </w:rPr>
        <w:t>formalmente</w:t>
      </w:r>
      <w:r>
        <w:rPr>
          <w:color w:val="231F20"/>
          <w:spacing w:val="-41"/>
          <w:w w:val="105"/>
        </w:rPr>
        <w:t> </w:t>
      </w:r>
      <w:r>
        <w:rPr>
          <w:color w:val="231F20"/>
          <w:w w:val="105"/>
        </w:rPr>
        <w:t>se</w:t>
      </w:r>
      <w:r>
        <w:rPr>
          <w:color w:val="231F20"/>
          <w:spacing w:val="-41"/>
          <w:w w:val="105"/>
        </w:rPr>
        <w:t> </w:t>
      </w:r>
      <w:r>
        <w:rPr>
          <w:color w:val="231F20"/>
          <w:w w:val="105"/>
        </w:rPr>
        <w:t>expresa</w:t>
      </w:r>
      <w:r>
        <w:rPr>
          <w:color w:val="231F20"/>
          <w:spacing w:val="-41"/>
          <w:w w:val="105"/>
        </w:rPr>
        <w:t> </w:t>
      </w:r>
      <w:r>
        <w:rPr>
          <w:color w:val="231F20"/>
          <w:w w:val="105"/>
        </w:rPr>
        <w:t>así:</w:t>
      </w:r>
    </w:p>
    <w:p>
      <w:pPr>
        <w:pStyle w:val="BodyText"/>
        <w:rPr>
          <w:sz w:val="20"/>
        </w:rPr>
      </w:pPr>
    </w:p>
    <w:p>
      <w:pPr>
        <w:pStyle w:val="BodyText"/>
        <w:rPr>
          <w:sz w:val="17"/>
        </w:rPr>
      </w:pPr>
    </w:p>
    <w:p>
      <w:pPr>
        <w:tabs>
          <w:tab w:pos="6736" w:val="left" w:leader="none"/>
        </w:tabs>
        <w:spacing w:before="0"/>
        <w:ind w:left="954" w:right="17" w:firstLine="0"/>
        <w:jc w:val="left"/>
        <w:rPr>
          <w:sz w:val="21"/>
        </w:rPr>
      </w:pPr>
      <w:r>
        <w:rPr>
          <w:rFonts w:ascii="Times New Roman" w:hAnsi="Times New Roman"/>
          <w:i/>
          <w:color w:val="231F20"/>
          <w:sz w:val="22"/>
        </w:rPr>
        <w:t>Y</w:t>
      </w:r>
      <w:r>
        <w:rPr>
          <w:rFonts w:ascii="Times New Roman" w:hAnsi="Times New Roman"/>
          <w:i/>
          <w:color w:val="231F20"/>
          <w:position w:val="-4"/>
          <w:sz w:val="13"/>
        </w:rPr>
        <w:t>t </w:t>
      </w:r>
      <w:r>
        <w:rPr>
          <w:rFonts w:ascii="Times New Roman" w:hAnsi="Times New Roman"/>
          <w:color w:val="231F20"/>
          <w:sz w:val="22"/>
        </w:rPr>
        <w:t>= </w:t>
      </w:r>
      <w:r>
        <w:rPr>
          <w:rFonts w:ascii="Times New Roman" w:hAnsi="Times New Roman"/>
          <w:i/>
          <w:color w:val="231F20"/>
          <w:sz w:val="22"/>
        </w:rPr>
        <w:t>α</w:t>
      </w:r>
      <w:r>
        <w:rPr>
          <w:color w:val="231F20"/>
          <w:position w:val="-4"/>
          <w:sz w:val="12"/>
        </w:rPr>
        <w:t>0 </w:t>
      </w:r>
      <w:r>
        <w:rPr>
          <w:rFonts w:ascii="Times New Roman" w:hAnsi="Times New Roman"/>
          <w:color w:val="231F20"/>
          <w:sz w:val="22"/>
        </w:rPr>
        <w:t>+</w:t>
      </w:r>
      <w:r>
        <w:rPr>
          <w:rFonts w:ascii="Times New Roman" w:hAnsi="Times New Roman"/>
          <w:color w:val="231F20"/>
          <w:spacing w:val="-22"/>
          <w:sz w:val="22"/>
        </w:rPr>
        <w:t> </w:t>
      </w:r>
      <w:r>
        <w:rPr>
          <w:rFonts w:ascii="Times New Roman" w:hAnsi="Times New Roman"/>
          <w:i/>
          <w:color w:val="231F20"/>
          <w:sz w:val="22"/>
        </w:rPr>
        <w:t>α</w:t>
      </w:r>
      <w:r>
        <w:rPr>
          <w:color w:val="231F20"/>
          <w:position w:val="-4"/>
          <w:sz w:val="12"/>
        </w:rPr>
        <w:t>1</w:t>
      </w:r>
      <w:r>
        <w:rPr>
          <w:color w:val="231F20"/>
          <w:spacing w:val="-19"/>
          <w:position w:val="-4"/>
          <w:sz w:val="12"/>
        </w:rPr>
        <w:t> </w:t>
      </w:r>
      <w:r>
        <w:rPr>
          <w:rFonts w:ascii="Times New Roman" w:hAnsi="Times New Roman"/>
          <w:i/>
          <w:color w:val="231F20"/>
          <w:sz w:val="22"/>
        </w:rPr>
        <w:t>y</w:t>
      </w:r>
      <w:r>
        <w:rPr>
          <w:rFonts w:ascii="Times New Roman" w:hAnsi="Times New Roman"/>
          <w:i/>
          <w:color w:val="231F20"/>
          <w:position w:val="-4"/>
          <w:sz w:val="13"/>
        </w:rPr>
        <w:t>m</w:t>
        <w:tab/>
      </w:r>
      <w:r>
        <w:rPr>
          <w:color w:val="231F20"/>
          <w:sz w:val="21"/>
        </w:rPr>
        <w:t>(1)</w:t>
      </w:r>
    </w:p>
    <w:p>
      <w:pPr>
        <w:spacing w:before="150"/>
        <w:ind w:left="954" w:right="17" w:firstLine="0"/>
        <w:jc w:val="left"/>
        <w:rPr>
          <w:i/>
          <w:sz w:val="21"/>
        </w:rPr>
      </w:pPr>
      <w:r>
        <w:rPr>
          <w:rFonts w:ascii="Times New Roman" w:hAnsi="Times New Roman"/>
          <w:i/>
          <w:color w:val="231F20"/>
          <w:sz w:val="22"/>
        </w:rPr>
        <w:t>Y</w:t>
      </w:r>
      <w:r>
        <w:rPr>
          <w:rFonts w:ascii="Times New Roman" w:hAnsi="Times New Roman"/>
          <w:i/>
          <w:color w:val="231F20"/>
          <w:position w:val="-4"/>
          <w:sz w:val="13"/>
        </w:rPr>
        <w:t>t </w:t>
      </w:r>
      <w:r>
        <w:rPr>
          <w:rFonts w:ascii="Times New Roman" w:hAnsi="Times New Roman"/>
          <w:color w:val="231F20"/>
          <w:sz w:val="22"/>
        </w:rPr>
        <w:t>= </w:t>
      </w:r>
      <w:r>
        <w:rPr>
          <w:rFonts w:ascii="Times New Roman" w:hAnsi="Times New Roman"/>
          <w:i/>
          <w:color w:val="231F20"/>
          <w:sz w:val="22"/>
        </w:rPr>
        <w:t>α</w:t>
      </w:r>
      <w:r>
        <w:rPr>
          <w:color w:val="231F20"/>
          <w:position w:val="-4"/>
          <w:sz w:val="12"/>
        </w:rPr>
        <w:t>0 </w:t>
      </w:r>
      <w:r>
        <w:rPr>
          <w:rFonts w:ascii="Times New Roman" w:hAnsi="Times New Roman"/>
          <w:color w:val="231F20"/>
          <w:sz w:val="22"/>
        </w:rPr>
        <w:t>+ </w:t>
      </w:r>
      <w:r>
        <w:rPr>
          <w:rFonts w:ascii="Times New Roman" w:hAnsi="Times New Roman"/>
          <w:i/>
          <w:color w:val="231F20"/>
          <w:sz w:val="22"/>
        </w:rPr>
        <w:t>α</w:t>
      </w:r>
      <w:r>
        <w:rPr>
          <w:color w:val="231F20"/>
          <w:position w:val="-4"/>
          <w:sz w:val="12"/>
        </w:rPr>
        <w:t>1 </w:t>
      </w:r>
      <w:r>
        <w:rPr>
          <w:color w:val="231F20"/>
          <w:sz w:val="21"/>
        </w:rPr>
        <w:t>( </w:t>
      </w:r>
      <w:r>
        <w:rPr>
          <w:rFonts w:ascii="Times New Roman" w:hAnsi="Times New Roman"/>
          <w:i/>
          <w:color w:val="231F20"/>
          <w:sz w:val="22"/>
        </w:rPr>
        <w:t>y</w:t>
      </w:r>
      <w:r>
        <w:rPr>
          <w:rFonts w:ascii="Times New Roman" w:hAnsi="Times New Roman"/>
          <w:i/>
          <w:color w:val="231F20"/>
          <w:position w:val="-4"/>
          <w:sz w:val="13"/>
        </w:rPr>
        <w:t>m </w:t>
      </w:r>
      <w:r>
        <w:rPr>
          <w:i/>
          <w:color w:val="231F20"/>
          <w:sz w:val="21"/>
        </w:rPr>
        <w:t>- </w:t>
      </w:r>
      <w:r>
        <w:rPr>
          <w:rFonts w:ascii="Times New Roman" w:hAnsi="Times New Roman"/>
          <w:i/>
          <w:color w:val="231F20"/>
          <w:sz w:val="22"/>
        </w:rPr>
        <w:t>y</w:t>
      </w:r>
      <w:r>
        <w:rPr>
          <w:rFonts w:ascii="Times New Roman" w:hAnsi="Times New Roman"/>
          <w:i/>
          <w:color w:val="231F20"/>
          <w:position w:val="-4"/>
          <w:sz w:val="13"/>
        </w:rPr>
        <w:t>nm </w:t>
      </w:r>
      <w:r>
        <w:rPr>
          <w:i/>
          <w:color w:val="231F20"/>
          <w:sz w:val="21"/>
        </w:rPr>
        <w:t>)</w:t>
      </w:r>
    </w:p>
    <w:p>
      <w:pPr>
        <w:pStyle w:val="BodyText"/>
        <w:spacing w:before="1"/>
        <w:rPr>
          <w:i/>
          <w:sz w:val="36"/>
        </w:rPr>
      </w:pPr>
    </w:p>
    <w:p>
      <w:pPr>
        <w:pStyle w:val="BodyText"/>
        <w:spacing w:line="259" w:lineRule="auto"/>
        <w:ind w:left="104" w:right="114"/>
        <w:jc w:val="both"/>
      </w:pPr>
      <w:r>
        <w:rPr>
          <w:color w:val="231F20"/>
          <w:w w:val="105"/>
        </w:rPr>
        <w:t>Esta</w:t>
      </w:r>
      <w:r>
        <w:rPr>
          <w:color w:val="231F20"/>
          <w:spacing w:val="-18"/>
          <w:w w:val="105"/>
        </w:rPr>
        <w:t> </w:t>
      </w:r>
      <w:r>
        <w:rPr>
          <w:color w:val="231F20"/>
          <w:w w:val="105"/>
        </w:rPr>
        <w:t>ecuación</w:t>
      </w:r>
      <w:r>
        <w:rPr>
          <w:color w:val="231F20"/>
          <w:spacing w:val="-18"/>
          <w:w w:val="105"/>
        </w:rPr>
        <w:t> </w:t>
      </w:r>
      <w:r>
        <w:rPr>
          <w:color w:val="231F20"/>
          <w:w w:val="105"/>
        </w:rPr>
        <w:t>demuestra</w:t>
      </w:r>
      <w:r>
        <w:rPr>
          <w:color w:val="231F20"/>
          <w:spacing w:val="-18"/>
          <w:w w:val="105"/>
        </w:rPr>
        <w:t> </w:t>
      </w:r>
      <w:r>
        <w:rPr>
          <w:color w:val="231F20"/>
          <w:w w:val="105"/>
        </w:rPr>
        <w:t>si</w:t>
      </w:r>
      <w:r>
        <w:rPr>
          <w:color w:val="231F20"/>
          <w:spacing w:val="-18"/>
          <w:w w:val="105"/>
        </w:rPr>
        <w:t> </w:t>
      </w:r>
      <w:r>
        <w:rPr>
          <w:color w:val="231F20"/>
          <w:w w:val="105"/>
        </w:rPr>
        <w:t>la</w:t>
      </w:r>
      <w:r>
        <w:rPr>
          <w:color w:val="231F20"/>
          <w:spacing w:val="-18"/>
          <w:w w:val="105"/>
        </w:rPr>
        <w:t> </w:t>
      </w:r>
      <w:r>
        <w:rPr>
          <w:color w:val="231F20"/>
          <w:w w:val="105"/>
        </w:rPr>
        <w:t>producción</w:t>
      </w:r>
      <w:r>
        <w:rPr>
          <w:color w:val="231F20"/>
          <w:spacing w:val="-18"/>
          <w:w w:val="105"/>
        </w:rPr>
        <w:t> </w:t>
      </w:r>
      <w:r>
        <w:rPr>
          <w:color w:val="231F20"/>
          <w:w w:val="105"/>
        </w:rPr>
        <w:t>manufacturera</w:t>
      </w:r>
      <w:r>
        <w:rPr>
          <w:color w:val="231F20"/>
          <w:spacing w:val="-18"/>
          <w:w w:val="105"/>
        </w:rPr>
        <w:t> </w:t>
      </w:r>
      <w:r>
        <w:rPr>
          <w:color w:val="231F20"/>
          <w:w w:val="105"/>
        </w:rPr>
        <w:t>tiene</w:t>
      </w:r>
      <w:r>
        <w:rPr>
          <w:color w:val="231F20"/>
          <w:spacing w:val="-18"/>
          <w:w w:val="105"/>
        </w:rPr>
        <w:t> </w:t>
      </w:r>
      <w:r>
        <w:rPr>
          <w:color w:val="231F20"/>
          <w:w w:val="105"/>
        </w:rPr>
        <w:t>un</w:t>
      </w:r>
      <w:r>
        <w:rPr>
          <w:color w:val="231F20"/>
          <w:spacing w:val="-18"/>
          <w:w w:val="105"/>
        </w:rPr>
        <w:t> </w:t>
      </w:r>
      <w:r>
        <w:rPr>
          <w:color w:val="231F20"/>
          <w:w w:val="105"/>
        </w:rPr>
        <w:t>efecto de</w:t>
      </w:r>
      <w:r>
        <w:rPr>
          <w:color w:val="231F20"/>
          <w:spacing w:val="-20"/>
          <w:w w:val="105"/>
        </w:rPr>
        <w:t> </w:t>
      </w:r>
      <w:r>
        <w:rPr>
          <w:color w:val="231F20"/>
          <w:w w:val="105"/>
        </w:rPr>
        <w:t>arrastre</w:t>
      </w:r>
      <w:r>
        <w:rPr>
          <w:color w:val="231F20"/>
          <w:spacing w:val="-20"/>
          <w:w w:val="105"/>
        </w:rPr>
        <w:t> </w:t>
      </w:r>
      <w:r>
        <w:rPr>
          <w:color w:val="231F20"/>
          <w:w w:val="105"/>
        </w:rPr>
        <w:t>al</w:t>
      </w:r>
      <w:r>
        <w:rPr>
          <w:color w:val="231F20"/>
          <w:spacing w:val="-20"/>
          <w:w w:val="105"/>
        </w:rPr>
        <w:t> </w:t>
      </w:r>
      <w:r>
        <w:rPr>
          <w:color w:val="231F20"/>
          <w:w w:val="105"/>
        </w:rPr>
        <w:t>resto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actividades</w:t>
      </w:r>
      <w:r>
        <w:rPr>
          <w:color w:val="231F20"/>
          <w:spacing w:val="-20"/>
          <w:w w:val="105"/>
        </w:rPr>
        <w:t> </w:t>
      </w:r>
      <w:r>
        <w:rPr>
          <w:color w:val="231F20"/>
          <w:w w:val="105"/>
        </w:rPr>
        <w:t>económicas,</w:t>
      </w:r>
      <w:r>
        <w:rPr>
          <w:color w:val="231F20"/>
          <w:spacing w:val="-25"/>
          <w:w w:val="105"/>
        </w:rPr>
        <w:t> </w:t>
      </w:r>
      <w:r>
        <w:rPr>
          <w:color w:val="231F20"/>
          <w:w w:val="105"/>
        </w:rPr>
        <w:t>donde:</w:t>
      </w:r>
    </w:p>
    <w:p>
      <w:pPr>
        <w:pStyle w:val="BodyText"/>
        <w:spacing w:before="2"/>
        <w:rPr>
          <w:sz w:val="22"/>
        </w:rPr>
      </w:pPr>
    </w:p>
    <w:p>
      <w:pPr>
        <w:pStyle w:val="BodyText"/>
        <w:spacing w:line="274" w:lineRule="exact"/>
        <w:ind w:left="670" w:right="17"/>
      </w:pPr>
      <w:r>
        <w:rPr>
          <w:rFonts w:ascii="Times New Roman"/>
          <w:i/>
          <w:color w:val="231F20"/>
          <w:w w:val="105"/>
          <w:sz w:val="22"/>
        </w:rPr>
        <w:t>Y</w:t>
      </w:r>
      <w:r>
        <w:rPr>
          <w:rFonts w:ascii="Times New Roman"/>
          <w:i/>
          <w:color w:val="231F20"/>
          <w:w w:val="105"/>
          <w:position w:val="-4"/>
          <w:sz w:val="13"/>
        </w:rPr>
        <w:t>t  </w:t>
      </w:r>
      <w:r>
        <w:rPr>
          <w:color w:val="231F20"/>
          <w:w w:val="105"/>
        </w:rPr>
        <w:t>es la tasa de crecimiento del PIB</w:t>
      </w:r>
    </w:p>
    <w:p>
      <w:pPr>
        <w:pStyle w:val="BodyText"/>
        <w:spacing w:line="264" w:lineRule="exact"/>
        <w:ind w:left="670" w:right="17"/>
      </w:pPr>
      <w:r>
        <w:rPr>
          <w:rFonts w:ascii="Times New Roman"/>
          <w:i/>
          <w:color w:val="231F20"/>
          <w:w w:val="105"/>
          <w:sz w:val="22"/>
        </w:rPr>
        <w:t>y</w:t>
      </w:r>
      <w:r>
        <w:rPr>
          <w:rFonts w:ascii="Times New Roman"/>
          <w:i/>
          <w:color w:val="231F20"/>
          <w:w w:val="105"/>
          <w:position w:val="-4"/>
          <w:sz w:val="13"/>
        </w:rPr>
        <w:t>m  </w:t>
      </w:r>
      <w:r>
        <w:rPr>
          <w:color w:val="231F20"/>
          <w:w w:val="105"/>
        </w:rPr>
        <w:t>es la tasa de crecimiento manufacturero</w:t>
      </w:r>
    </w:p>
    <w:p>
      <w:pPr>
        <w:pStyle w:val="BodyText"/>
        <w:spacing w:line="274" w:lineRule="exact"/>
        <w:ind w:left="670" w:right="17"/>
      </w:pPr>
      <w:r>
        <w:rPr>
          <w:rFonts w:ascii="Times New Roman"/>
          <w:i/>
          <w:color w:val="231F20"/>
          <w:w w:val="105"/>
          <w:sz w:val="22"/>
        </w:rPr>
        <w:t>y</w:t>
      </w:r>
      <w:r>
        <w:rPr>
          <w:rFonts w:ascii="Times New Roman"/>
          <w:i/>
          <w:color w:val="231F20"/>
          <w:w w:val="105"/>
          <w:position w:val="-4"/>
          <w:sz w:val="13"/>
        </w:rPr>
        <w:t>nm </w:t>
      </w:r>
      <w:r>
        <w:rPr>
          <w:color w:val="231F20"/>
          <w:w w:val="105"/>
        </w:rPr>
        <w:t>es la tasa de crecimiento de los sectores no manufactureros.</w:t>
      </w:r>
    </w:p>
    <w:p>
      <w:pPr>
        <w:pStyle w:val="BodyText"/>
        <w:spacing w:before="3"/>
      </w:pPr>
    </w:p>
    <w:p>
      <w:pPr>
        <w:pStyle w:val="BodyText"/>
        <w:spacing w:line="259" w:lineRule="auto"/>
        <w:ind w:left="103" w:right="109"/>
        <w:jc w:val="both"/>
      </w:pPr>
      <w:r>
        <w:rPr>
          <w:color w:val="231F20"/>
        </w:rPr>
        <w:t>Los rendimientos crecientes son resultado de la especialización y diver- sificación de los sectores e industrias, que no sólo operan a nivel de la empresa, sino también en niveles jerárquicos superiores como las indus- trias, los sectores económicos y las regiones; es decir; en la producción agregada de la economía. Las economías de escala y los rendimientos crecientes se derivan de la expansión industrial general, que es vista como la interrelación del todo o como la interacción entre actividades.     En este sentido, lo que se requiere es que los rendimientos decrecientes se transformen en rendimientos crecientes; así, todo el incremento de     la oferta de bienes que se produce bajo estas condiciones induce a un aumento de la demanda de otros bienes, y éste a su vez produce un au- mento de la </w:t>
      </w:r>
      <w:r>
        <w:rPr>
          <w:color w:val="231F20"/>
          <w:spacing w:val="5"/>
        </w:rPr>
        <w:t> </w:t>
      </w:r>
      <w:r>
        <w:rPr>
          <w:color w:val="231F20"/>
        </w:rPr>
        <w:t>oferta.</w:t>
      </w:r>
    </w:p>
    <w:p>
      <w:pPr>
        <w:pStyle w:val="BodyText"/>
        <w:spacing w:line="259" w:lineRule="auto"/>
        <w:ind w:left="103" w:right="114" w:firstLine="567"/>
        <w:jc w:val="both"/>
      </w:pPr>
      <w:r>
        <w:rPr>
          <w:color w:val="231F20"/>
          <w:w w:val="105"/>
        </w:rPr>
        <w:t>La</w:t>
      </w:r>
      <w:r>
        <w:rPr>
          <w:color w:val="231F20"/>
          <w:spacing w:val="-23"/>
          <w:w w:val="105"/>
        </w:rPr>
        <w:t> </w:t>
      </w:r>
      <w:r>
        <w:rPr>
          <w:color w:val="231F20"/>
          <w:spacing w:val="-3"/>
          <w:w w:val="105"/>
        </w:rPr>
        <w:t>segunda</w:t>
      </w:r>
      <w:r>
        <w:rPr>
          <w:color w:val="231F20"/>
          <w:spacing w:val="-23"/>
          <w:w w:val="105"/>
        </w:rPr>
        <w:t> </w:t>
      </w:r>
      <w:r>
        <w:rPr>
          <w:color w:val="231F20"/>
          <w:w w:val="105"/>
        </w:rPr>
        <w:t>ley</w:t>
      </w:r>
      <w:r>
        <w:rPr>
          <w:color w:val="231F20"/>
          <w:spacing w:val="-23"/>
          <w:w w:val="105"/>
        </w:rPr>
        <w:t> </w:t>
      </w:r>
      <w:r>
        <w:rPr>
          <w:color w:val="231F20"/>
          <w:spacing w:val="-3"/>
          <w:w w:val="105"/>
        </w:rPr>
        <w:t>señala</w:t>
      </w:r>
      <w:r>
        <w:rPr>
          <w:color w:val="231F20"/>
          <w:spacing w:val="-23"/>
          <w:w w:val="105"/>
        </w:rPr>
        <w:t> </w:t>
      </w:r>
      <w:r>
        <w:rPr>
          <w:color w:val="231F20"/>
          <w:w w:val="105"/>
        </w:rPr>
        <w:t>que</w:t>
      </w:r>
      <w:r>
        <w:rPr>
          <w:color w:val="231F20"/>
          <w:spacing w:val="-23"/>
          <w:w w:val="105"/>
        </w:rPr>
        <w:t> </w:t>
      </w:r>
      <w:r>
        <w:rPr>
          <w:color w:val="231F20"/>
          <w:w w:val="105"/>
        </w:rPr>
        <w:t>hay</w:t>
      </w:r>
      <w:r>
        <w:rPr>
          <w:color w:val="231F20"/>
          <w:spacing w:val="-23"/>
          <w:w w:val="105"/>
        </w:rPr>
        <w:t> </w:t>
      </w:r>
      <w:r>
        <w:rPr>
          <w:color w:val="231F20"/>
          <w:w w:val="105"/>
        </w:rPr>
        <w:t>una</w:t>
      </w:r>
      <w:r>
        <w:rPr>
          <w:color w:val="231F20"/>
          <w:spacing w:val="-23"/>
          <w:w w:val="105"/>
        </w:rPr>
        <w:t> </w:t>
      </w:r>
      <w:r>
        <w:rPr>
          <w:color w:val="231F20"/>
          <w:spacing w:val="-3"/>
          <w:w w:val="105"/>
        </w:rPr>
        <w:t>relación</w:t>
      </w:r>
      <w:r>
        <w:rPr>
          <w:color w:val="231F20"/>
          <w:spacing w:val="-23"/>
          <w:w w:val="105"/>
        </w:rPr>
        <w:t> </w:t>
      </w:r>
      <w:r>
        <w:rPr>
          <w:color w:val="231F20"/>
          <w:spacing w:val="-3"/>
          <w:w w:val="105"/>
        </w:rPr>
        <w:t>fuerte</w:t>
      </w:r>
      <w:r>
        <w:rPr>
          <w:color w:val="231F20"/>
          <w:spacing w:val="-23"/>
          <w:w w:val="105"/>
        </w:rPr>
        <w:t> </w:t>
      </w:r>
      <w:r>
        <w:rPr>
          <w:color w:val="231F20"/>
          <w:w w:val="105"/>
        </w:rPr>
        <w:t>y</w:t>
      </w:r>
      <w:r>
        <w:rPr>
          <w:color w:val="231F20"/>
          <w:spacing w:val="-23"/>
          <w:w w:val="105"/>
        </w:rPr>
        <w:t> </w:t>
      </w:r>
      <w:r>
        <w:rPr>
          <w:color w:val="231F20"/>
          <w:spacing w:val="-3"/>
          <w:w w:val="105"/>
        </w:rPr>
        <w:t>positiva</w:t>
      </w:r>
      <w:r>
        <w:rPr>
          <w:color w:val="231F20"/>
          <w:spacing w:val="-23"/>
          <w:w w:val="105"/>
        </w:rPr>
        <w:t> </w:t>
      </w:r>
      <w:r>
        <w:rPr>
          <w:color w:val="231F20"/>
          <w:spacing w:val="-3"/>
          <w:w w:val="105"/>
        </w:rPr>
        <w:t>entre</w:t>
      </w:r>
      <w:r>
        <w:rPr>
          <w:color w:val="231F20"/>
          <w:spacing w:val="-23"/>
          <w:w w:val="105"/>
        </w:rPr>
        <w:t> </w:t>
      </w:r>
      <w:r>
        <w:rPr>
          <w:color w:val="231F20"/>
          <w:spacing w:val="-3"/>
          <w:w w:val="105"/>
        </w:rPr>
        <w:t>el crecimiento</w:t>
      </w:r>
      <w:r>
        <w:rPr>
          <w:color w:val="231F20"/>
          <w:spacing w:val="-15"/>
          <w:w w:val="105"/>
        </w:rPr>
        <w:t> </w:t>
      </w:r>
      <w:r>
        <w:rPr>
          <w:color w:val="231F20"/>
          <w:w w:val="105"/>
        </w:rPr>
        <w:t>del</w:t>
      </w:r>
      <w:r>
        <w:rPr>
          <w:color w:val="231F20"/>
          <w:spacing w:val="-15"/>
          <w:w w:val="105"/>
        </w:rPr>
        <w:t> </w:t>
      </w:r>
      <w:r>
        <w:rPr>
          <w:color w:val="231F20"/>
          <w:spacing w:val="-3"/>
          <w:w w:val="105"/>
        </w:rPr>
        <w:t>producto</w:t>
      </w:r>
      <w:r>
        <w:rPr>
          <w:color w:val="231F20"/>
          <w:spacing w:val="-15"/>
          <w:w w:val="105"/>
        </w:rPr>
        <w:t> </w:t>
      </w:r>
      <w:r>
        <w:rPr>
          <w:color w:val="231F20"/>
          <w:spacing w:val="-4"/>
          <w:w w:val="105"/>
        </w:rPr>
        <w:t>manufacturero</w:t>
      </w:r>
      <w:r>
        <w:rPr>
          <w:color w:val="231F20"/>
          <w:spacing w:val="-15"/>
          <w:w w:val="105"/>
        </w:rPr>
        <w:t> </w:t>
      </w:r>
      <w:r>
        <w:rPr>
          <w:color w:val="231F20"/>
          <w:w w:val="105"/>
        </w:rPr>
        <w:t>y</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productividad</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indus- tria </w:t>
      </w:r>
      <w:r>
        <w:rPr>
          <w:color w:val="231F20"/>
          <w:spacing w:val="-4"/>
          <w:w w:val="105"/>
        </w:rPr>
        <w:t>manufacturera. </w:t>
      </w:r>
      <w:r>
        <w:rPr>
          <w:color w:val="231F20"/>
          <w:w w:val="105"/>
        </w:rPr>
        <w:t>Es </w:t>
      </w:r>
      <w:r>
        <w:rPr>
          <w:color w:val="231F20"/>
          <w:spacing w:val="-5"/>
          <w:w w:val="105"/>
        </w:rPr>
        <w:t>decir, </w:t>
      </w:r>
      <w:r>
        <w:rPr>
          <w:color w:val="231F20"/>
          <w:w w:val="105"/>
        </w:rPr>
        <w:t>que la </w:t>
      </w:r>
      <w:r>
        <w:rPr>
          <w:color w:val="231F20"/>
          <w:spacing w:val="-3"/>
          <w:w w:val="105"/>
        </w:rPr>
        <w:t>tasa </w:t>
      </w:r>
      <w:r>
        <w:rPr>
          <w:color w:val="231F20"/>
          <w:w w:val="105"/>
        </w:rPr>
        <w:t>de </w:t>
      </w:r>
      <w:r>
        <w:rPr>
          <w:color w:val="231F20"/>
          <w:spacing w:val="-3"/>
          <w:w w:val="105"/>
        </w:rPr>
        <w:t>crecimiento </w:t>
      </w:r>
      <w:r>
        <w:rPr>
          <w:color w:val="231F20"/>
          <w:w w:val="105"/>
        </w:rPr>
        <w:t>de la </w:t>
      </w:r>
      <w:r>
        <w:rPr>
          <w:color w:val="231F20"/>
          <w:spacing w:val="-4"/>
          <w:w w:val="105"/>
        </w:rPr>
        <w:t>producción manufacturera</w:t>
      </w:r>
      <w:r>
        <w:rPr>
          <w:color w:val="231F20"/>
          <w:spacing w:val="-22"/>
          <w:w w:val="105"/>
        </w:rPr>
        <w:t> </w:t>
      </w:r>
      <w:r>
        <w:rPr>
          <w:color w:val="231F20"/>
          <w:spacing w:val="-3"/>
          <w:w w:val="105"/>
        </w:rPr>
        <w:t>impulsará</w:t>
      </w:r>
      <w:r>
        <w:rPr>
          <w:color w:val="231F20"/>
          <w:spacing w:val="-22"/>
          <w:w w:val="105"/>
        </w:rPr>
        <w:t> </w:t>
      </w:r>
      <w:r>
        <w:rPr>
          <w:color w:val="231F20"/>
          <w:w w:val="105"/>
        </w:rPr>
        <w:t>la</w:t>
      </w:r>
      <w:r>
        <w:rPr>
          <w:color w:val="231F20"/>
          <w:spacing w:val="-22"/>
          <w:w w:val="105"/>
        </w:rPr>
        <w:t> </w:t>
      </w:r>
      <w:r>
        <w:rPr>
          <w:color w:val="231F20"/>
          <w:spacing w:val="-3"/>
          <w:w w:val="105"/>
        </w:rPr>
        <w:t>tasa</w:t>
      </w:r>
      <w:r>
        <w:rPr>
          <w:color w:val="231F20"/>
          <w:spacing w:val="-22"/>
          <w:w w:val="105"/>
        </w:rPr>
        <w:t> </w:t>
      </w:r>
      <w:r>
        <w:rPr>
          <w:color w:val="231F20"/>
          <w:w w:val="105"/>
        </w:rPr>
        <w:t>de</w:t>
      </w:r>
      <w:r>
        <w:rPr>
          <w:color w:val="231F20"/>
          <w:spacing w:val="-22"/>
          <w:w w:val="105"/>
        </w:rPr>
        <w:t> </w:t>
      </w:r>
      <w:r>
        <w:rPr>
          <w:color w:val="231F20"/>
          <w:spacing w:val="-3"/>
          <w:w w:val="105"/>
        </w:rPr>
        <w:t>crecimiento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productividad</w:t>
      </w:r>
      <w:r>
        <w:rPr>
          <w:color w:val="231F20"/>
          <w:spacing w:val="-22"/>
          <w:w w:val="105"/>
        </w:rPr>
        <w:t> </w:t>
      </w:r>
      <w:r>
        <w:rPr>
          <w:color w:val="231F20"/>
          <w:spacing w:val="-3"/>
          <w:w w:val="105"/>
        </w:rPr>
        <w:t>manu- </w:t>
      </w:r>
      <w:r>
        <w:rPr>
          <w:color w:val="231F20"/>
          <w:spacing w:val="-4"/>
          <w:w w:val="105"/>
        </w:rPr>
        <w:t>facturera</w:t>
      </w:r>
      <w:r>
        <w:rPr>
          <w:color w:val="231F20"/>
          <w:spacing w:val="-31"/>
          <w:w w:val="105"/>
        </w:rPr>
        <w:t> </w:t>
      </w:r>
      <w:r>
        <w:rPr>
          <w:color w:val="231F20"/>
          <w:w w:val="105"/>
        </w:rPr>
        <w:t>con</w:t>
      </w:r>
      <w:r>
        <w:rPr>
          <w:color w:val="231F20"/>
          <w:spacing w:val="-31"/>
          <w:w w:val="105"/>
        </w:rPr>
        <w:t> </w:t>
      </w:r>
      <w:r>
        <w:rPr>
          <w:color w:val="231F20"/>
          <w:spacing w:val="-3"/>
          <w:w w:val="105"/>
        </w:rPr>
        <w:t>economías</w:t>
      </w:r>
      <w:r>
        <w:rPr>
          <w:color w:val="231F20"/>
          <w:spacing w:val="-31"/>
          <w:w w:val="105"/>
        </w:rPr>
        <w:t> </w:t>
      </w:r>
      <w:r>
        <w:rPr>
          <w:color w:val="231F20"/>
          <w:w w:val="105"/>
        </w:rPr>
        <w:t>de</w:t>
      </w:r>
      <w:r>
        <w:rPr>
          <w:color w:val="231F20"/>
          <w:spacing w:val="-31"/>
          <w:w w:val="105"/>
        </w:rPr>
        <w:t> </w:t>
      </w:r>
      <w:r>
        <w:rPr>
          <w:color w:val="231F20"/>
          <w:spacing w:val="-3"/>
          <w:w w:val="105"/>
        </w:rPr>
        <w:t>escala</w:t>
      </w:r>
      <w:r>
        <w:rPr>
          <w:color w:val="231F20"/>
          <w:spacing w:val="-31"/>
          <w:w w:val="105"/>
        </w:rPr>
        <w:t> </w:t>
      </w:r>
      <w:r>
        <w:rPr>
          <w:color w:val="231F20"/>
          <w:spacing w:val="-3"/>
          <w:w w:val="105"/>
        </w:rPr>
        <w:t>tanto</w:t>
      </w:r>
      <w:r>
        <w:rPr>
          <w:color w:val="231F20"/>
          <w:spacing w:val="-31"/>
          <w:w w:val="105"/>
        </w:rPr>
        <w:t> </w:t>
      </w:r>
      <w:r>
        <w:rPr>
          <w:color w:val="231F20"/>
          <w:spacing w:val="-3"/>
          <w:w w:val="105"/>
        </w:rPr>
        <w:t>estáticas</w:t>
      </w:r>
      <w:r>
        <w:rPr>
          <w:color w:val="231F20"/>
          <w:spacing w:val="-31"/>
          <w:w w:val="105"/>
        </w:rPr>
        <w:t> </w:t>
      </w:r>
      <w:r>
        <w:rPr>
          <w:color w:val="231F20"/>
          <w:spacing w:val="-3"/>
          <w:w w:val="105"/>
        </w:rPr>
        <w:t>como</w:t>
      </w:r>
      <w:r>
        <w:rPr>
          <w:color w:val="231F20"/>
          <w:spacing w:val="-31"/>
          <w:w w:val="105"/>
        </w:rPr>
        <w:t> </w:t>
      </w:r>
      <w:r>
        <w:rPr>
          <w:color w:val="231F20"/>
          <w:spacing w:val="-3"/>
          <w:w w:val="105"/>
        </w:rPr>
        <w:t>dinámicas</w:t>
      </w:r>
      <w:r>
        <w:rPr>
          <w:color w:val="231F20"/>
          <w:spacing w:val="-3"/>
          <w:w w:val="105"/>
          <w:position w:val="7"/>
          <w:sz w:val="12"/>
        </w:rPr>
        <w:t>11</w:t>
      </w:r>
      <w:r>
        <w:rPr>
          <w:color w:val="231F20"/>
          <w:spacing w:val="-3"/>
          <w:w w:val="105"/>
        </w:rPr>
        <w:t>.</w:t>
      </w:r>
    </w:p>
    <w:p>
      <w:pPr>
        <w:pStyle w:val="BodyText"/>
        <w:spacing w:line="241" w:lineRule="exact"/>
        <w:ind w:left="670" w:right="17"/>
      </w:pPr>
      <w:r>
        <w:rPr>
          <w:color w:val="231F20"/>
          <w:w w:val="105"/>
        </w:rPr>
        <w:t>En este sentido, la productividad puede ser definida como:</w:t>
      </w:r>
    </w:p>
    <w:p>
      <w:pPr>
        <w:pStyle w:val="BodyText"/>
        <w:rPr>
          <w:sz w:val="20"/>
        </w:rPr>
      </w:pPr>
    </w:p>
    <w:p>
      <w:pPr>
        <w:pStyle w:val="BodyText"/>
        <w:spacing w:before="3"/>
        <w:rPr>
          <w:sz w:val="17"/>
        </w:rPr>
      </w:pPr>
      <w:r>
        <w:rPr/>
        <w:pict>
          <v:line style="position:absolute;mso-position-horizontal-relative:page;mso-position-vertical-relative:paragraph;z-index:9184;mso-wrap-distance-left:0;mso-wrap-distance-right:0" from="65.196899pt,12.020976pt" to="178.582899pt,12.020976pt" stroked="true" strokeweight=".25pt" strokecolor="#231f20">
            <w10:wrap type="topAndBottom"/>
          </v:line>
        </w:pict>
      </w:r>
    </w:p>
    <w:p>
      <w:pPr>
        <w:spacing w:line="192" w:lineRule="exact" w:before="7"/>
        <w:ind w:left="103" w:right="115" w:firstLine="0"/>
        <w:jc w:val="both"/>
        <w:rPr>
          <w:rFonts w:ascii="Calibri" w:hAnsi="Calibri"/>
          <w:sz w:val="16"/>
        </w:rPr>
      </w:pPr>
      <w:r>
        <w:rPr>
          <w:rFonts w:ascii="Calibri" w:hAnsi="Calibri"/>
          <w:color w:val="414042"/>
          <w:position w:val="5"/>
          <w:sz w:val="9"/>
        </w:rPr>
        <w:t>11 </w:t>
      </w:r>
      <w:r>
        <w:rPr>
          <w:rFonts w:ascii="Calibri" w:hAnsi="Calibri"/>
          <w:color w:val="414042"/>
          <w:sz w:val="16"/>
        </w:rPr>
        <w:t>Los rendimientos estáticos se relacionan con el tamaño y escala de unidades de producción; son una característica de las manufacturas donde al duplicar las dimensiones de equipo la superficie se incremen- ta al cuadrado y el volumen al cubo. Los rendimientos dinámicos se refieren a los rendimientos crecientes que se dan por el progreso tecnológico, por el aprendizaje por experiencia y economías externas de pro- ducción (Thirlwall, 1983: 349).</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72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250</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696"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251</w:t>
      </w:r>
    </w:p>
    <w:p>
      <w:pPr>
        <w:pStyle w:val="BodyText"/>
        <w:rPr>
          <w:sz w:val="26"/>
        </w:rPr>
      </w:pPr>
    </w:p>
    <w:p>
      <w:pPr>
        <w:pStyle w:val="BodyText"/>
        <w:spacing w:before="6"/>
        <w:rPr>
          <w:sz w:val="28"/>
        </w:rPr>
      </w:pPr>
    </w:p>
    <w:p>
      <w:pPr>
        <w:tabs>
          <w:tab w:pos="6750" w:val="left" w:leader="none"/>
        </w:tabs>
        <w:spacing w:before="1"/>
        <w:ind w:left="967" w:right="0" w:firstLine="0"/>
        <w:jc w:val="left"/>
        <w:rPr>
          <w:sz w:val="21"/>
        </w:rPr>
      </w:pPr>
      <w:r>
        <w:rPr>
          <w:rFonts w:ascii="Times New Roman" w:hAnsi="Times New Roman"/>
          <w:i/>
          <w:color w:val="231F20"/>
          <w:sz w:val="22"/>
        </w:rPr>
        <w:t>P</w:t>
      </w:r>
      <w:r>
        <w:rPr>
          <w:rFonts w:ascii="Times New Roman" w:hAnsi="Times New Roman"/>
          <w:i/>
          <w:color w:val="231F20"/>
          <w:position w:val="-4"/>
          <w:sz w:val="13"/>
        </w:rPr>
        <w:t>m </w:t>
      </w:r>
      <w:r>
        <w:rPr>
          <w:rFonts w:ascii="Times New Roman" w:hAnsi="Times New Roman"/>
          <w:color w:val="231F20"/>
          <w:sz w:val="22"/>
        </w:rPr>
        <w:t>= </w:t>
      </w:r>
      <w:r>
        <w:rPr>
          <w:rFonts w:ascii="Times New Roman" w:hAnsi="Times New Roman"/>
          <w:i/>
          <w:color w:val="231F20"/>
          <w:sz w:val="22"/>
        </w:rPr>
        <w:t>α</w:t>
      </w:r>
      <w:r>
        <w:rPr>
          <w:color w:val="231F20"/>
          <w:position w:val="-4"/>
          <w:sz w:val="12"/>
        </w:rPr>
        <w:t>0 </w:t>
      </w:r>
      <w:r>
        <w:rPr>
          <w:rFonts w:ascii="Times New Roman" w:hAnsi="Times New Roman"/>
          <w:color w:val="231F20"/>
          <w:sz w:val="22"/>
        </w:rPr>
        <w:t>+</w:t>
      </w:r>
      <w:r>
        <w:rPr>
          <w:rFonts w:ascii="Times New Roman" w:hAnsi="Times New Roman"/>
          <w:color w:val="231F20"/>
          <w:spacing w:val="-22"/>
          <w:sz w:val="22"/>
        </w:rPr>
        <w:t> </w:t>
      </w:r>
      <w:r>
        <w:rPr>
          <w:rFonts w:ascii="Times New Roman" w:hAnsi="Times New Roman"/>
          <w:i/>
          <w:color w:val="231F20"/>
          <w:sz w:val="22"/>
        </w:rPr>
        <w:t>α</w:t>
      </w:r>
      <w:r>
        <w:rPr>
          <w:color w:val="231F20"/>
          <w:position w:val="-4"/>
          <w:sz w:val="12"/>
        </w:rPr>
        <w:t>1</w:t>
      </w:r>
      <w:r>
        <w:rPr>
          <w:color w:val="231F20"/>
          <w:spacing w:val="-19"/>
          <w:position w:val="-4"/>
          <w:sz w:val="12"/>
        </w:rPr>
        <w:t> </w:t>
      </w:r>
      <w:r>
        <w:rPr>
          <w:rFonts w:ascii="Times New Roman" w:hAnsi="Times New Roman"/>
          <w:i/>
          <w:color w:val="231F20"/>
          <w:sz w:val="22"/>
        </w:rPr>
        <w:t>y</w:t>
      </w:r>
      <w:r>
        <w:rPr>
          <w:rFonts w:ascii="Times New Roman" w:hAnsi="Times New Roman"/>
          <w:i/>
          <w:color w:val="231F20"/>
          <w:position w:val="-4"/>
          <w:sz w:val="13"/>
        </w:rPr>
        <w:t>m</w:t>
        <w:tab/>
      </w:r>
      <w:r>
        <w:rPr>
          <w:color w:val="231F20"/>
          <w:sz w:val="21"/>
        </w:rPr>
        <w:t>(2)</w:t>
      </w:r>
    </w:p>
    <w:p>
      <w:pPr>
        <w:pStyle w:val="BodyText"/>
        <w:spacing w:before="155"/>
        <w:ind w:left="684" w:right="114"/>
      </w:pPr>
      <w:r>
        <w:rPr>
          <w:color w:val="231F20"/>
          <w:w w:val="105"/>
        </w:rPr>
        <w:t>Donde:</w:t>
      </w:r>
    </w:p>
    <w:p>
      <w:pPr>
        <w:pStyle w:val="BodyText"/>
        <w:spacing w:before="9"/>
        <w:rPr>
          <w:sz w:val="23"/>
        </w:rPr>
      </w:pPr>
    </w:p>
    <w:p>
      <w:pPr>
        <w:pStyle w:val="BodyText"/>
        <w:spacing w:line="274" w:lineRule="exact"/>
        <w:ind w:left="684"/>
      </w:pPr>
      <w:r>
        <w:rPr>
          <w:rFonts w:ascii="Times New Roman"/>
          <w:i/>
          <w:color w:val="231F20"/>
          <w:w w:val="105"/>
          <w:sz w:val="22"/>
        </w:rPr>
        <w:t>P</w:t>
      </w:r>
      <w:r>
        <w:rPr>
          <w:rFonts w:ascii="Times New Roman"/>
          <w:i/>
          <w:color w:val="231F20"/>
          <w:w w:val="105"/>
          <w:position w:val="-4"/>
          <w:sz w:val="13"/>
        </w:rPr>
        <w:t>m </w:t>
      </w:r>
      <w:r>
        <w:rPr>
          <w:color w:val="231F20"/>
          <w:w w:val="105"/>
        </w:rPr>
        <w:t>es el crecimiento de la productividad del trabajo manufacturero</w:t>
      </w:r>
    </w:p>
    <w:p>
      <w:pPr>
        <w:pStyle w:val="BodyText"/>
        <w:spacing w:line="274" w:lineRule="exact"/>
        <w:ind w:left="684" w:right="114"/>
      </w:pPr>
      <w:r>
        <w:rPr>
          <w:rFonts w:ascii="Times New Roman" w:hAnsi="Times New Roman"/>
          <w:i/>
          <w:color w:val="231F20"/>
          <w:w w:val="105"/>
          <w:sz w:val="22"/>
        </w:rPr>
        <w:t>y</w:t>
      </w:r>
      <w:r>
        <w:rPr>
          <w:rFonts w:ascii="Times New Roman" w:hAnsi="Times New Roman"/>
          <w:i/>
          <w:color w:val="231F20"/>
          <w:w w:val="105"/>
          <w:position w:val="-4"/>
          <w:sz w:val="13"/>
        </w:rPr>
        <w:t>m  </w:t>
      </w:r>
      <w:r>
        <w:rPr>
          <w:color w:val="231F20"/>
          <w:w w:val="105"/>
        </w:rPr>
        <w:t>es la tasa de crecimiento de la producción manufacturera</w:t>
      </w:r>
    </w:p>
    <w:p>
      <w:pPr>
        <w:pStyle w:val="BodyText"/>
        <w:spacing w:before="3"/>
      </w:pPr>
    </w:p>
    <w:p>
      <w:pPr>
        <w:pStyle w:val="BodyText"/>
        <w:spacing w:line="259" w:lineRule="auto"/>
        <w:ind w:left="117" w:right="116"/>
        <w:jc w:val="both"/>
      </w:pPr>
      <w:r>
        <w:rPr>
          <w:color w:val="231F20"/>
          <w:w w:val="105"/>
        </w:rPr>
        <w:t>La</w:t>
      </w:r>
      <w:r>
        <w:rPr>
          <w:color w:val="231F20"/>
          <w:spacing w:val="-9"/>
          <w:w w:val="105"/>
        </w:rPr>
        <w:t> </w:t>
      </w:r>
      <w:r>
        <w:rPr>
          <w:color w:val="231F20"/>
          <w:w w:val="105"/>
        </w:rPr>
        <w:t>ecuación</w:t>
      </w:r>
      <w:r>
        <w:rPr>
          <w:color w:val="231F20"/>
          <w:spacing w:val="-9"/>
          <w:w w:val="105"/>
        </w:rPr>
        <w:t> </w:t>
      </w:r>
      <w:r>
        <w:rPr>
          <w:color w:val="231F20"/>
          <w:w w:val="105"/>
        </w:rPr>
        <w:t>2</w:t>
      </w:r>
      <w:r>
        <w:rPr>
          <w:color w:val="231F20"/>
          <w:spacing w:val="-9"/>
          <w:w w:val="105"/>
        </w:rPr>
        <w:t> </w:t>
      </w:r>
      <w:r>
        <w:rPr>
          <w:color w:val="231F20"/>
          <w:w w:val="105"/>
        </w:rPr>
        <w:t>representa</w:t>
      </w:r>
      <w:r>
        <w:rPr>
          <w:color w:val="231F20"/>
          <w:spacing w:val="-9"/>
          <w:w w:val="105"/>
        </w:rPr>
        <w:t> </w:t>
      </w:r>
      <w:r>
        <w:rPr>
          <w:color w:val="231F20"/>
          <w:w w:val="105"/>
        </w:rPr>
        <w:t>la</w:t>
      </w:r>
      <w:r>
        <w:rPr>
          <w:color w:val="231F20"/>
          <w:spacing w:val="-9"/>
          <w:w w:val="105"/>
        </w:rPr>
        <w:t> </w:t>
      </w:r>
      <w:r>
        <w:rPr>
          <w:color w:val="231F20"/>
          <w:w w:val="105"/>
        </w:rPr>
        <w:t>relación</w:t>
      </w:r>
      <w:r>
        <w:rPr>
          <w:color w:val="231F20"/>
          <w:spacing w:val="-9"/>
          <w:w w:val="105"/>
        </w:rPr>
        <w:t> </w:t>
      </w:r>
      <w:r>
        <w:rPr>
          <w:color w:val="231F20"/>
          <w:w w:val="105"/>
        </w:rPr>
        <w:t>funcional</w:t>
      </w:r>
      <w:r>
        <w:rPr>
          <w:color w:val="231F20"/>
          <w:spacing w:val="-9"/>
          <w:w w:val="105"/>
        </w:rPr>
        <w:t> </w:t>
      </w:r>
      <w:r>
        <w:rPr>
          <w:color w:val="231F20"/>
          <w:w w:val="105"/>
        </w:rPr>
        <w:t>que</w:t>
      </w:r>
      <w:r>
        <w:rPr>
          <w:color w:val="231F20"/>
          <w:spacing w:val="-9"/>
          <w:w w:val="105"/>
        </w:rPr>
        <w:t> </w:t>
      </w:r>
      <w:r>
        <w:rPr>
          <w:color w:val="231F20"/>
          <w:w w:val="105"/>
        </w:rPr>
        <w:t>Kaldor</w:t>
      </w:r>
      <w:r>
        <w:rPr>
          <w:color w:val="231F20"/>
          <w:spacing w:val="-9"/>
          <w:w w:val="105"/>
        </w:rPr>
        <w:t> </w:t>
      </w:r>
      <w:r>
        <w:rPr>
          <w:color w:val="231F20"/>
          <w:w w:val="105"/>
        </w:rPr>
        <w:t>hipotetizó</w:t>
      </w:r>
      <w:r>
        <w:rPr>
          <w:color w:val="231F20"/>
          <w:spacing w:val="-9"/>
          <w:w w:val="105"/>
        </w:rPr>
        <w:t> </w:t>
      </w:r>
      <w:r>
        <w:rPr>
          <w:color w:val="231F20"/>
          <w:w w:val="105"/>
        </w:rPr>
        <w:t>ser positiva.</w:t>
      </w:r>
      <w:r>
        <w:rPr>
          <w:color w:val="231F20"/>
          <w:spacing w:val="-21"/>
          <w:w w:val="105"/>
        </w:rPr>
        <w:t> </w:t>
      </w:r>
      <w:r>
        <w:rPr>
          <w:color w:val="231F20"/>
          <w:w w:val="105"/>
        </w:rPr>
        <w:t>Sin</w:t>
      </w:r>
      <w:r>
        <w:rPr>
          <w:color w:val="231F20"/>
          <w:spacing w:val="-16"/>
          <w:w w:val="105"/>
        </w:rPr>
        <w:t> </w:t>
      </w:r>
      <w:r>
        <w:rPr>
          <w:color w:val="231F20"/>
          <w:w w:val="105"/>
        </w:rPr>
        <w:t>embargo,</w:t>
      </w:r>
      <w:r>
        <w:rPr>
          <w:color w:val="231F20"/>
          <w:spacing w:val="-21"/>
          <w:w w:val="105"/>
        </w:rPr>
        <w:t> </w:t>
      </w:r>
      <w:r>
        <w:rPr>
          <w:color w:val="231F20"/>
          <w:w w:val="105"/>
        </w:rPr>
        <w:t>Kaldor</w:t>
      </w:r>
      <w:r>
        <w:rPr>
          <w:color w:val="231F20"/>
          <w:spacing w:val="-16"/>
          <w:w w:val="105"/>
        </w:rPr>
        <w:t> </w:t>
      </w:r>
      <w:r>
        <w:rPr>
          <w:color w:val="231F20"/>
          <w:w w:val="105"/>
        </w:rPr>
        <w:t>(1975)</w:t>
      </w:r>
      <w:r>
        <w:rPr>
          <w:color w:val="231F20"/>
          <w:spacing w:val="-16"/>
          <w:w w:val="105"/>
        </w:rPr>
        <w:t> </w:t>
      </w:r>
      <w:r>
        <w:rPr>
          <w:color w:val="231F20"/>
          <w:w w:val="105"/>
        </w:rPr>
        <w:t>prefirió</w:t>
      </w:r>
      <w:r>
        <w:rPr>
          <w:color w:val="231F20"/>
          <w:spacing w:val="-16"/>
          <w:w w:val="105"/>
        </w:rPr>
        <w:t> </w:t>
      </w:r>
      <w:r>
        <w:rPr>
          <w:color w:val="231F20"/>
          <w:w w:val="105"/>
        </w:rPr>
        <w:t>reescribir</w:t>
      </w:r>
      <w:r>
        <w:rPr>
          <w:color w:val="231F20"/>
          <w:spacing w:val="-16"/>
          <w:w w:val="105"/>
        </w:rPr>
        <w:t> </w:t>
      </w:r>
      <w:r>
        <w:rPr>
          <w:color w:val="231F20"/>
          <w:w w:val="105"/>
        </w:rPr>
        <w:t>la</w:t>
      </w:r>
      <w:r>
        <w:rPr>
          <w:color w:val="231F20"/>
          <w:spacing w:val="-16"/>
          <w:w w:val="105"/>
        </w:rPr>
        <w:t> </w:t>
      </w:r>
      <w:r>
        <w:rPr>
          <w:color w:val="231F20"/>
          <w:w w:val="105"/>
        </w:rPr>
        <w:t>ecuación</w:t>
      </w:r>
      <w:r>
        <w:rPr>
          <w:color w:val="231F20"/>
          <w:spacing w:val="-16"/>
          <w:w w:val="105"/>
        </w:rPr>
        <w:t> </w:t>
      </w:r>
      <w:r>
        <w:rPr>
          <w:color w:val="231F20"/>
          <w:w w:val="105"/>
        </w:rPr>
        <w:t>2,</w:t>
      </w:r>
      <w:r>
        <w:rPr>
          <w:color w:val="231F20"/>
          <w:spacing w:val="-21"/>
          <w:w w:val="105"/>
        </w:rPr>
        <w:t> </w:t>
      </w:r>
      <w:r>
        <w:rPr>
          <w:color w:val="231F20"/>
          <w:w w:val="105"/>
        </w:rPr>
        <w:t>de- bido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alta</w:t>
      </w:r>
      <w:r>
        <w:rPr>
          <w:color w:val="231F20"/>
          <w:spacing w:val="-7"/>
          <w:w w:val="105"/>
        </w:rPr>
        <w:t> </w:t>
      </w:r>
      <w:r>
        <w:rPr>
          <w:color w:val="231F20"/>
          <w:w w:val="105"/>
        </w:rPr>
        <w:t>correlación</w:t>
      </w:r>
      <w:r>
        <w:rPr>
          <w:color w:val="231F20"/>
          <w:spacing w:val="-7"/>
          <w:w w:val="105"/>
        </w:rPr>
        <w:t> </w:t>
      </w:r>
      <w:r>
        <w:rPr>
          <w:color w:val="231F20"/>
          <w:w w:val="105"/>
        </w:rPr>
        <w:t>entre</w:t>
      </w:r>
      <w:r>
        <w:rPr>
          <w:color w:val="231F20"/>
          <w:spacing w:val="-7"/>
          <w:w w:val="105"/>
        </w:rPr>
        <w:t> </w:t>
      </w:r>
      <w:r>
        <w:rPr>
          <w:color w:val="231F20"/>
          <w:w w:val="105"/>
        </w:rPr>
        <w:t>la</w:t>
      </w:r>
      <w:r>
        <w:rPr>
          <w:color w:val="231F20"/>
          <w:spacing w:val="-7"/>
          <w:w w:val="105"/>
        </w:rPr>
        <w:t> </w:t>
      </w:r>
      <w:r>
        <w:rPr>
          <w:color w:val="231F20"/>
          <w:w w:val="105"/>
        </w:rPr>
        <w:t>variable</w:t>
      </w:r>
      <w:r>
        <w:rPr>
          <w:color w:val="231F20"/>
          <w:spacing w:val="-7"/>
          <w:w w:val="105"/>
        </w:rPr>
        <w:t> </w:t>
      </w:r>
      <w:r>
        <w:rPr>
          <w:color w:val="231F20"/>
          <w:w w:val="105"/>
        </w:rPr>
        <w:t>independiente</w:t>
      </w:r>
      <w:r>
        <w:rPr>
          <w:color w:val="231F20"/>
          <w:spacing w:val="-7"/>
          <w:w w:val="105"/>
        </w:rPr>
        <w:t> </w:t>
      </w:r>
      <w:r>
        <w:rPr>
          <w:color w:val="231F20"/>
          <w:w w:val="105"/>
        </w:rPr>
        <w:t>y</w:t>
      </w:r>
      <w:r>
        <w:rPr>
          <w:color w:val="231F20"/>
          <w:spacing w:val="-7"/>
          <w:w w:val="105"/>
        </w:rPr>
        <w:t> </w:t>
      </w:r>
      <w:r>
        <w:rPr>
          <w:color w:val="231F20"/>
          <w:w w:val="105"/>
        </w:rPr>
        <w:t>dependiente. </w:t>
      </w:r>
      <w:r>
        <w:rPr>
          <w:color w:val="231F20"/>
          <w:spacing w:val="-4"/>
          <w:w w:val="105"/>
        </w:rPr>
        <w:t>Para</w:t>
      </w:r>
      <w:r>
        <w:rPr>
          <w:color w:val="231F20"/>
          <w:spacing w:val="-21"/>
          <w:w w:val="105"/>
        </w:rPr>
        <w:t> </w:t>
      </w:r>
      <w:r>
        <w:rPr>
          <w:color w:val="231F20"/>
          <w:w w:val="105"/>
        </w:rPr>
        <w:t>evadir</w:t>
      </w:r>
      <w:r>
        <w:rPr>
          <w:color w:val="231F20"/>
          <w:spacing w:val="-21"/>
          <w:w w:val="105"/>
        </w:rPr>
        <w:t> </w:t>
      </w:r>
      <w:r>
        <w:rPr>
          <w:color w:val="231F20"/>
          <w:w w:val="105"/>
        </w:rPr>
        <w:t>este</w:t>
      </w:r>
      <w:r>
        <w:rPr>
          <w:color w:val="231F20"/>
          <w:spacing w:val="-21"/>
          <w:w w:val="105"/>
        </w:rPr>
        <w:t> </w:t>
      </w:r>
      <w:r>
        <w:rPr>
          <w:color w:val="231F20"/>
          <w:w w:val="105"/>
        </w:rPr>
        <w:t>problema</w:t>
      </w:r>
      <w:r>
        <w:rPr>
          <w:color w:val="231F20"/>
          <w:spacing w:val="-21"/>
          <w:w w:val="105"/>
        </w:rPr>
        <w:t> </w:t>
      </w:r>
      <w:r>
        <w:rPr>
          <w:color w:val="231F20"/>
          <w:w w:val="105"/>
        </w:rPr>
        <w:t>estableció</w:t>
      </w:r>
      <w:r>
        <w:rPr>
          <w:color w:val="231F20"/>
          <w:spacing w:val="-21"/>
          <w:w w:val="105"/>
        </w:rPr>
        <w:t> </w:t>
      </w:r>
      <w:r>
        <w:rPr>
          <w:color w:val="231F20"/>
          <w:w w:val="105"/>
        </w:rPr>
        <w:t>la</w:t>
      </w:r>
      <w:r>
        <w:rPr>
          <w:color w:val="231F20"/>
          <w:spacing w:val="-21"/>
          <w:w w:val="105"/>
        </w:rPr>
        <w:t> </w:t>
      </w:r>
      <w:r>
        <w:rPr>
          <w:color w:val="231F20"/>
          <w:w w:val="105"/>
        </w:rPr>
        <w:t>ecuación</w:t>
      </w:r>
      <w:r>
        <w:rPr>
          <w:color w:val="231F20"/>
          <w:spacing w:val="-21"/>
          <w:w w:val="105"/>
        </w:rPr>
        <w:t> </w:t>
      </w:r>
      <w:r>
        <w:rPr>
          <w:color w:val="231F20"/>
          <w:w w:val="105"/>
        </w:rPr>
        <w:t>3.</w:t>
      </w:r>
    </w:p>
    <w:p>
      <w:pPr>
        <w:tabs>
          <w:tab w:pos="2827" w:val="left" w:leader="none"/>
          <w:tab w:pos="6750" w:val="left" w:leader="none"/>
        </w:tabs>
        <w:spacing w:before="165"/>
        <w:ind w:left="967" w:right="0" w:firstLine="0"/>
        <w:jc w:val="left"/>
        <w:rPr>
          <w:sz w:val="21"/>
        </w:rPr>
      </w:pPr>
      <w:r>
        <w:rPr>
          <w:rFonts w:ascii="Times New Roman" w:hAnsi="Times New Roman"/>
          <w:i/>
          <w:color w:val="231F20"/>
          <w:sz w:val="22"/>
        </w:rPr>
        <w:t>e</w:t>
      </w:r>
      <w:r>
        <w:rPr>
          <w:rFonts w:ascii="Times New Roman" w:hAnsi="Times New Roman"/>
          <w:i/>
          <w:color w:val="231F20"/>
          <w:position w:val="-4"/>
          <w:sz w:val="13"/>
        </w:rPr>
        <w:t>m</w:t>
      </w:r>
      <w:r>
        <w:rPr>
          <w:rFonts w:ascii="Times New Roman" w:hAnsi="Times New Roman"/>
          <w:i/>
          <w:color w:val="231F20"/>
          <w:spacing w:val="-6"/>
          <w:position w:val="-4"/>
          <w:sz w:val="13"/>
        </w:rPr>
        <w:t> </w:t>
      </w:r>
      <w:r>
        <w:rPr>
          <w:rFonts w:ascii="Times New Roman" w:hAnsi="Times New Roman"/>
          <w:color w:val="231F20"/>
          <w:sz w:val="22"/>
        </w:rPr>
        <w:t>=</w:t>
      </w:r>
      <w:r>
        <w:rPr>
          <w:rFonts w:ascii="Times New Roman" w:hAnsi="Times New Roman"/>
          <w:color w:val="231F20"/>
          <w:spacing w:val="-29"/>
          <w:sz w:val="22"/>
        </w:rPr>
        <w:t> </w:t>
      </w:r>
      <w:r>
        <w:rPr>
          <w:rFonts w:ascii="Times New Roman" w:hAnsi="Times New Roman"/>
          <w:color w:val="231F20"/>
          <w:sz w:val="22"/>
        </w:rPr>
        <w:t>-</w:t>
      </w:r>
      <w:r>
        <w:rPr>
          <w:rFonts w:ascii="Times New Roman" w:hAnsi="Times New Roman"/>
          <w:color w:val="231F20"/>
          <w:spacing w:val="-29"/>
          <w:sz w:val="22"/>
        </w:rPr>
        <w:t> </w:t>
      </w:r>
      <w:r>
        <w:rPr>
          <w:rFonts w:ascii="Times New Roman" w:hAnsi="Times New Roman"/>
          <w:i/>
          <w:color w:val="231F20"/>
          <w:sz w:val="22"/>
        </w:rPr>
        <w:t>α</w:t>
      </w:r>
      <w:r>
        <w:rPr>
          <w:rFonts w:ascii="Times New Roman" w:hAnsi="Times New Roman"/>
          <w:i/>
          <w:color w:val="231F20"/>
          <w:spacing w:val="-2"/>
          <w:sz w:val="22"/>
        </w:rPr>
        <w:t> </w:t>
      </w:r>
      <w:r>
        <w:rPr>
          <w:rFonts w:ascii="Times New Roman" w:hAnsi="Times New Roman"/>
          <w:color w:val="231F20"/>
          <w:sz w:val="22"/>
        </w:rPr>
        <w:t>+</w:t>
      </w:r>
      <w:r>
        <w:rPr>
          <w:rFonts w:ascii="Times New Roman" w:hAnsi="Times New Roman"/>
          <w:color w:val="231F20"/>
          <w:spacing w:val="-3"/>
          <w:sz w:val="22"/>
        </w:rPr>
        <w:t> </w:t>
      </w:r>
      <w:r>
        <w:rPr>
          <w:color w:val="231F20"/>
          <w:sz w:val="21"/>
        </w:rPr>
        <w:t>(1</w:t>
      </w:r>
      <w:r>
        <w:rPr>
          <w:rFonts w:ascii="Times New Roman" w:hAnsi="Times New Roman"/>
          <w:color w:val="231F20"/>
          <w:sz w:val="22"/>
        </w:rPr>
        <w:t>-</w:t>
      </w:r>
      <w:r>
        <w:rPr>
          <w:rFonts w:ascii="Times New Roman" w:hAnsi="Times New Roman"/>
          <w:color w:val="231F20"/>
          <w:spacing w:val="-29"/>
          <w:sz w:val="22"/>
        </w:rPr>
        <w:t> </w:t>
      </w:r>
      <w:r>
        <w:rPr>
          <w:rFonts w:ascii="Times New Roman" w:hAnsi="Times New Roman"/>
          <w:i/>
          <w:color w:val="231F20"/>
          <w:sz w:val="22"/>
        </w:rPr>
        <w:t>α</w:t>
      </w:r>
      <w:r>
        <w:rPr>
          <w:color w:val="231F20"/>
          <w:position w:val="-4"/>
          <w:sz w:val="12"/>
        </w:rPr>
        <w:t>1</w:t>
      </w:r>
      <w:r>
        <w:rPr>
          <w:color w:val="231F20"/>
          <w:sz w:val="21"/>
        </w:rPr>
        <w:t>)</w:t>
      </w:r>
      <w:r>
        <w:rPr>
          <w:color w:val="231F20"/>
          <w:spacing w:val="-8"/>
          <w:sz w:val="21"/>
        </w:rPr>
        <w:t> </w:t>
      </w:r>
      <w:r>
        <w:rPr>
          <w:rFonts w:ascii="Times New Roman" w:hAnsi="Times New Roman"/>
          <w:i/>
          <w:color w:val="231F20"/>
          <w:sz w:val="22"/>
        </w:rPr>
        <w:t>y</w:t>
      </w:r>
      <w:r>
        <w:rPr>
          <w:rFonts w:ascii="Times New Roman" w:hAnsi="Times New Roman"/>
          <w:i/>
          <w:color w:val="231F20"/>
          <w:position w:val="-4"/>
          <w:sz w:val="13"/>
        </w:rPr>
        <w:t>m</w:t>
        <w:tab/>
      </w:r>
      <w:r>
        <w:rPr>
          <w:color w:val="231F20"/>
          <w:sz w:val="21"/>
        </w:rPr>
        <w:t>0 </w:t>
      </w:r>
      <w:r>
        <w:rPr>
          <w:rFonts w:ascii="Times New Roman" w:hAnsi="Times New Roman"/>
          <w:color w:val="231F20"/>
          <w:sz w:val="22"/>
        </w:rPr>
        <w:t>&lt; </w:t>
      </w:r>
      <w:r>
        <w:rPr>
          <w:color w:val="231F20"/>
          <w:sz w:val="21"/>
        </w:rPr>
        <w:t>(1</w:t>
      </w:r>
      <w:r>
        <w:rPr>
          <w:rFonts w:ascii="Times New Roman" w:hAnsi="Times New Roman"/>
          <w:color w:val="231F20"/>
          <w:sz w:val="22"/>
        </w:rPr>
        <w:t>-</w:t>
      </w:r>
      <w:r>
        <w:rPr>
          <w:rFonts w:ascii="Times New Roman" w:hAnsi="Times New Roman"/>
          <w:i/>
          <w:color w:val="231F20"/>
          <w:sz w:val="22"/>
        </w:rPr>
        <w:t>α</w:t>
      </w:r>
      <w:r>
        <w:rPr>
          <w:color w:val="231F20"/>
          <w:position w:val="-4"/>
          <w:sz w:val="12"/>
        </w:rPr>
        <w:t>1</w:t>
      </w:r>
      <w:r>
        <w:rPr>
          <w:color w:val="231F20"/>
          <w:sz w:val="21"/>
        </w:rPr>
        <w:t>)</w:t>
      </w:r>
      <w:r>
        <w:rPr>
          <w:color w:val="231F20"/>
          <w:spacing w:val="-10"/>
          <w:sz w:val="21"/>
        </w:rPr>
        <w:t> </w:t>
      </w:r>
      <w:r>
        <w:rPr>
          <w:rFonts w:ascii="Times New Roman" w:hAnsi="Times New Roman"/>
          <w:color w:val="231F20"/>
          <w:sz w:val="21"/>
        </w:rPr>
        <w:t>&lt; </w:t>
      </w:r>
      <w:r>
        <w:rPr>
          <w:color w:val="231F20"/>
          <w:sz w:val="21"/>
        </w:rPr>
        <w:t>1</w:t>
        <w:tab/>
        <w:t>(3)</w:t>
      </w:r>
    </w:p>
    <w:p>
      <w:pPr>
        <w:pStyle w:val="BodyText"/>
        <w:spacing w:before="155"/>
        <w:ind w:left="684" w:right="114"/>
      </w:pPr>
      <w:r>
        <w:rPr>
          <w:color w:val="231F20"/>
          <w:w w:val="105"/>
        </w:rPr>
        <w:t>Donde:</w:t>
      </w:r>
    </w:p>
    <w:p>
      <w:pPr>
        <w:pStyle w:val="BodyText"/>
        <w:spacing w:before="9"/>
        <w:rPr>
          <w:sz w:val="23"/>
        </w:rPr>
      </w:pPr>
    </w:p>
    <w:p>
      <w:pPr>
        <w:pStyle w:val="BodyText"/>
        <w:ind w:left="117" w:firstLine="567"/>
      </w:pPr>
      <w:r>
        <w:rPr>
          <w:rFonts w:ascii="Times New Roman"/>
          <w:i/>
          <w:color w:val="231F20"/>
          <w:w w:val="105"/>
          <w:sz w:val="22"/>
        </w:rPr>
        <w:t>e</w:t>
      </w:r>
      <w:r>
        <w:rPr>
          <w:rFonts w:ascii="Times New Roman"/>
          <w:i/>
          <w:color w:val="231F20"/>
          <w:w w:val="105"/>
          <w:position w:val="-4"/>
          <w:sz w:val="13"/>
        </w:rPr>
        <w:t>m </w:t>
      </w:r>
      <w:r>
        <w:rPr>
          <w:color w:val="231F20"/>
          <w:w w:val="105"/>
        </w:rPr>
        <w:t>la tasa de crecimiento del empleo en la industria manufacturera</w:t>
      </w:r>
    </w:p>
    <w:p>
      <w:pPr>
        <w:pStyle w:val="BodyText"/>
        <w:spacing w:before="3"/>
      </w:pPr>
    </w:p>
    <w:p>
      <w:pPr>
        <w:pStyle w:val="BodyText"/>
        <w:spacing w:line="242" w:lineRule="auto"/>
        <w:ind w:left="117" w:right="115"/>
        <w:jc w:val="both"/>
      </w:pPr>
      <w:r>
        <w:rPr>
          <w:color w:val="231F20"/>
          <w:w w:val="105"/>
        </w:rPr>
        <w:t>La ecuación 3 postula que existe una relación positiva entre la tasa de crecimiento</w:t>
      </w:r>
      <w:r>
        <w:rPr>
          <w:color w:val="231F20"/>
          <w:spacing w:val="-8"/>
          <w:w w:val="105"/>
        </w:rPr>
        <w:t> </w:t>
      </w:r>
      <w:r>
        <w:rPr>
          <w:color w:val="231F20"/>
          <w:w w:val="105"/>
        </w:rPr>
        <w:t>del</w:t>
      </w:r>
      <w:r>
        <w:rPr>
          <w:color w:val="231F20"/>
          <w:spacing w:val="-8"/>
          <w:w w:val="105"/>
        </w:rPr>
        <w:t> </w:t>
      </w:r>
      <w:r>
        <w:rPr>
          <w:color w:val="231F20"/>
          <w:w w:val="105"/>
        </w:rPr>
        <w:t>empleo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sector</w:t>
      </w:r>
      <w:r>
        <w:rPr>
          <w:color w:val="231F20"/>
          <w:spacing w:val="-8"/>
          <w:w w:val="105"/>
        </w:rPr>
        <w:t> </w:t>
      </w:r>
      <w:r>
        <w:rPr>
          <w:color w:val="231F20"/>
          <w:w w:val="105"/>
        </w:rPr>
        <w:t>manufacturero</w:t>
      </w:r>
      <w:r>
        <w:rPr>
          <w:color w:val="231F20"/>
          <w:spacing w:val="-8"/>
          <w:w w:val="105"/>
        </w:rPr>
        <w:t> </w:t>
      </w:r>
      <w:r>
        <w:rPr>
          <w:color w:val="231F20"/>
          <w:w w:val="105"/>
        </w:rPr>
        <w:t>(</w:t>
      </w:r>
      <w:r>
        <w:rPr>
          <w:rFonts w:ascii="Times New Roman" w:hAnsi="Times New Roman"/>
          <w:i/>
          <w:color w:val="231F20"/>
          <w:w w:val="105"/>
          <w:sz w:val="22"/>
        </w:rPr>
        <w:t>e</w:t>
      </w:r>
      <w:r>
        <w:rPr>
          <w:rFonts w:ascii="Times New Roman" w:hAnsi="Times New Roman"/>
          <w:i/>
          <w:color w:val="231F20"/>
          <w:w w:val="105"/>
          <w:position w:val="-4"/>
          <w:sz w:val="13"/>
        </w:rPr>
        <w:t>m</w:t>
      </w:r>
      <w:r>
        <w:rPr>
          <w:color w:val="231F20"/>
          <w:w w:val="105"/>
        </w:rPr>
        <w:t>)</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tasa</w:t>
      </w:r>
      <w:r>
        <w:rPr>
          <w:color w:val="231F20"/>
          <w:spacing w:val="-8"/>
          <w:w w:val="105"/>
        </w:rPr>
        <w:t> </w:t>
      </w:r>
      <w:r>
        <w:rPr>
          <w:color w:val="231F20"/>
          <w:w w:val="105"/>
        </w:rPr>
        <w:t>de</w:t>
      </w:r>
      <w:r>
        <w:rPr>
          <w:color w:val="231F20"/>
          <w:spacing w:val="-8"/>
          <w:w w:val="105"/>
        </w:rPr>
        <w:t> </w:t>
      </w:r>
      <w:r>
        <w:rPr>
          <w:color w:val="231F20"/>
          <w:w w:val="105"/>
        </w:rPr>
        <w:t>cre- cimiento de la producción manufacturera (</w:t>
      </w:r>
      <w:r>
        <w:rPr>
          <w:rFonts w:ascii="Times New Roman" w:hAnsi="Times New Roman"/>
          <w:i/>
          <w:color w:val="231F20"/>
          <w:w w:val="105"/>
          <w:sz w:val="22"/>
        </w:rPr>
        <w:t>y</w:t>
      </w:r>
      <w:r>
        <w:rPr>
          <w:rFonts w:ascii="Times New Roman" w:hAnsi="Times New Roman"/>
          <w:i/>
          <w:color w:val="231F20"/>
          <w:w w:val="105"/>
          <w:position w:val="-4"/>
          <w:sz w:val="13"/>
        </w:rPr>
        <w:t>m</w:t>
      </w:r>
      <w:r>
        <w:rPr>
          <w:color w:val="231F20"/>
          <w:w w:val="105"/>
        </w:rPr>
        <w:t>). </w:t>
      </w:r>
      <w:r>
        <w:rPr>
          <w:color w:val="231F20"/>
          <w:spacing w:val="-3"/>
          <w:w w:val="105"/>
        </w:rPr>
        <w:t>Para </w:t>
      </w:r>
      <w:r>
        <w:rPr>
          <w:color w:val="231F20"/>
          <w:w w:val="105"/>
        </w:rPr>
        <w:t>que existan econo- mías</w:t>
      </w:r>
      <w:r>
        <w:rPr>
          <w:color w:val="231F20"/>
          <w:spacing w:val="-13"/>
          <w:w w:val="105"/>
        </w:rPr>
        <w:t> </w:t>
      </w:r>
      <w:r>
        <w:rPr>
          <w:color w:val="231F20"/>
          <w:w w:val="105"/>
        </w:rPr>
        <w:t>de</w:t>
      </w:r>
      <w:r>
        <w:rPr>
          <w:color w:val="231F20"/>
          <w:spacing w:val="-13"/>
          <w:w w:val="105"/>
        </w:rPr>
        <w:t> </w:t>
      </w:r>
      <w:r>
        <w:rPr>
          <w:color w:val="231F20"/>
          <w:w w:val="105"/>
        </w:rPr>
        <w:t>escala</w:t>
      </w:r>
      <w:r>
        <w:rPr>
          <w:color w:val="231F20"/>
          <w:spacing w:val="-13"/>
          <w:w w:val="105"/>
        </w:rPr>
        <w:t> </w:t>
      </w:r>
      <w:r>
        <w:rPr>
          <w:color w:val="231F20"/>
          <w:w w:val="105"/>
        </w:rPr>
        <w:t>es</w:t>
      </w:r>
      <w:r>
        <w:rPr>
          <w:color w:val="231F20"/>
          <w:spacing w:val="-13"/>
          <w:w w:val="105"/>
        </w:rPr>
        <w:t> </w:t>
      </w:r>
      <w:r>
        <w:rPr>
          <w:color w:val="231F20"/>
          <w:w w:val="105"/>
        </w:rPr>
        <w:t>necesario</w:t>
      </w:r>
      <w:r>
        <w:rPr>
          <w:color w:val="231F20"/>
          <w:spacing w:val="-13"/>
          <w:w w:val="105"/>
        </w:rPr>
        <w:t> </w:t>
      </w:r>
      <w:r>
        <w:rPr>
          <w:color w:val="231F20"/>
          <w:w w:val="105"/>
        </w:rPr>
        <w:t>que</w:t>
      </w:r>
      <w:r>
        <w:rPr>
          <w:color w:val="231F20"/>
          <w:spacing w:val="-13"/>
          <w:w w:val="105"/>
        </w:rPr>
        <w:t> </w:t>
      </w:r>
      <w:r>
        <w:rPr>
          <w:rFonts w:ascii="Times New Roman" w:hAnsi="Times New Roman"/>
          <w:i/>
          <w:color w:val="231F20"/>
          <w:w w:val="105"/>
          <w:sz w:val="22"/>
        </w:rPr>
        <w:t>y</w:t>
      </w:r>
      <w:r>
        <w:rPr>
          <w:rFonts w:ascii="Times New Roman" w:hAnsi="Times New Roman"/>
          <w:i/>
          <w:color w:val="231F20"/>
          <w:w w:val="105"/>
          <w:position w:val="-4"/>
          <w:sz w:val="13"/>
        </w:rPr>
        <w:t>m</w:t>
      </w:r>
      <w:r>
        <w:rPr>
          <w:rFonts w:ascii="Times New Roman" w:hAnsi="Times New Roman"/>
          <w:i/>
          <w:color w:val="231F20"/>
          <w:spacing w:val="12"/>
          <w:w w:val="105"/>
          <w:position w:val="-4"/>
          <w:sz w:val="13"/>
        </w:rPr>
        <w:t> </w:t>
      </w:r>
      <w:r>
        <w:rPr>
          <w:color w:val="231F20"/>
          <w:w w:val="105"/>
        </w:rPr>
        <w:t>sea</w:t>
      </w:r>
      <w:r>
        <w:rPr>
          <w:color w:val="231F20"/>
          <w:spacing w:val="-13"/>
          <w:w w:val="105"/>
        </w:rPr>
        <w:t> </w:t>
      </w:r>
      <w:r>
        <w:rPr>
          <w:color w:val="231F20"/>
          <w:w w:val="105"/>
        </w:rPr>
        <w:t>de</w:t>
      </w:r>
      <w:r>
        <w:rPr>
          <w:color w:val="231F20"/>
          <w:spacing w:val="-13"/>
          <w:w w:val="105"/>
        </w:rPr>
        <w:t> </w:t>
      </w:r>
      <w:r>
        <w:rPr>
          <w:color w:val="231F20"/>
          <w:w w:val="105"/>
        </w:rPr>
        <w:t>aproximadamente</w:t>
      </w:r>
      <w:r>
        <w:rPr>
          <w:color w:val="231F20"/>
          <w:spacing w:val="-13"/>
          <w:w w:val="105"/>
        </w:rPr>
        <w:t> </w:t>
      </w:r>
      <w:r>
        <w:rPr>
          <w:color w:val="231F20"/>
          <w:w w:val="105"/>
        </w:rPr>
        <w:t>0.5</w:t>
      </w:r>
      <w:r>
        <w:rPr>
          <w:color w:val="231F20"/>
          <w:spacing w:val="-13"/>
          <w:w w:val="105"/>
        </w:rPr>
        <w:t> </w:t>
      </w:r>
      <w:r>
        <w:rPr>
          <w:color w:val="231F20"/>
          <w:w w:val="105"/>
        </w:rPr>
        <w:t>en</w:t>
      </w:r>
      <w:r>
        <w:rPr>
          <w:color w:val="231F20"/>
          <w:spacing w:val="-13"/>
          <w:w w:val="105"/>
        </w:rPr>
        <w:t> </w:t>
      </w:r>
      <w:r>
        <w:rPr>
          <w:color w:val="231F20"/>
          <w:spacing w:val="2"/>
          <w:w w:val="105"/>
        </w:rPr>
        <w:t>las </w:t>
      </w:r>
      <w:r>
        <w:rPr>
          <w:color w:val="231F20"/>
          <w:w w:val="105"/>
        </w:rPr>
        <w:t>ecuaciones 2 y 3, en orden de garantizar que el aumento en la produc- ción lleve consigo un aumento en la productividad y empleo (Kaldor, 1975). Es decir, que cada porcentaje adicional del crecimiento de la producción requiere 0.5% de incremento en el crecimiento del</w:t>
      </w:r>
      <w:r>
        <w:rPr>
          <w:color w:val="231F20"/>
          <w:spacing w:val="9"/>
          <w:w w:val="105"/>
        </w:rPr>
        <w:t> </w:t>
      </w:r>
      <w:r>
        <w:rPr>
          <w:color w:val="231F20"/>
          <w:w w:val="105"/>
        </w:rPr>
        <w:t>empleo,</w:t>
      </w:r>
    </w:p>
    <w:p>
      <w:pPr>
        <w:pStyle w:val="BodyText"/>
        <w:spacing w:line="259" w:lineRule="auto" w:before="16"/>
        <w:ind w:left="117" w:right="121"/>
        <w:jc w:val="both"/>
      </w:pPr>
      <w:r>
        <w:rPr>
          <w:color w:val="231F20"/>
          <w:w w:val="105"/>
        </w:rPr>
        <w:t>y</w:t>
      </w:r>
      <w:r>
        <w:rPr>
          <w:color w:val="231F20"/>
          <w:spacing w:val="-8"/>
          <w:w w:val="105"/>
        </w:rPr>
        <w:t> </w:t>
      </w:r>
      <w:r>
        <w:rPr>
          <w:color w:val="231F20"/>
          <w:w w:val="105"/>
        </w:rPr>
        <w:t>es</w:t>
      </w:r>
      <w:r>
        <w:rPr>
          <w:color w:val="231F20"/>
          <w:spacing w:val="-8"/>
          <w:w w:val="105"/>
        </w:rPr>
        <w:t> </w:t>
      </w:r>
      <w:r>
        <w:rPr>
          <w:color w:val="231F20"/>
          <w:w w:val="105"/>
        </w:rPr>
        <w:t>asociado</w:t>
      </w:r>
      <w:r>
        <w:rPr>
          <w:color w:val="231F20"/>
          <w:spacing w:val="-8"/>
          <w:w w:val="105"/>
        </w:rPr>
        <w:t> </w:t>
      </w:r>
      <w:r>
        <w:rPr>
          <w:color w:val="231F20"/>
          <w:w w:val="105"/>
        </w:rPr>
        <w:t>con</w:t>
      </w:r>
      <w:r>
        <w:rPr>
          <w:color w:val="231F20"/>
          <w:spacing w:val="-8"/>
          <w:w w:val="105"/>
        </w:rPr>
        <w:t> </w:t>
      </w:r>
      <w:r>
        <w:rPr>
          <w:color w:val="231F20"/>
          <w:w w:val="105"/>
        </w:rPr>
        <w:t>0.5%</w:t>
      </w:r>
      <w:r>
        <w:rPr>
          <w:color w:val="231F20"/>
          <w:spacing w:val="-8"/>
          <w:w w:val="105"/>
        </w:rPr>
        <w:t> </w:t>
      </w:r>
      <w:r>
        <w:rPr>
          <w:color w:val="231F20"/>
          <w:w w:val="105"/>
        </w:rPr>
        <w:t>de</w:t>
      </w:r>
      <w:r>
        <w:rPr>
          <w:color w:val="231F20"/>
          <w:spacing w:val="-8"/>
          <w:w w:val="105"/>
        </w:rPr>
        <w:t> </w:t>
      </w:r>
      <w:r>
        <w:rPr>
          <w:color w:val="231F20"/>
          <w:w w:val="105"/>
        </w:rPr>
        <w:t>incremento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productividad</w:t>
      </w:r>
      <w:r>
        <w:rPr>
          <w:color w:val="231F20"/>
          <w:spacing w:val="-8"/>
          <w:w w:val="105"/>
        </w:rPr>
        <w:t> </w:t>
      </w:r>
      <w:r>
        <w:rPr>
          <w:color w:val="231F20"/>
          <w:w w:val="105"/>
        </w:rPr>
        <w:t>(Millin</w:t>
      </w:r>
      <w:r>
        <w:rPr>
          <w:color w:val="231F20"/>
          <w:spacing w:val="-8"/>
          <w:w w:val="105"/>
        </w:rPr>
        <w:t> </w:t>
      </w:r>
      <w:r>
        <w:rPr>
          <w:color w:val="231F20"/>
          <w:w w:val="105"/>
        </w:rPr>
        <w:t>y</w:t>
      </w:r>
      <w:r>
        <w:rPr>
          <w:color w:val="231F20"/>
          <w:spacing w:val="-14"/>
          <w:w w:val="105"/>
        </w:rPr>
        <w:t> </w:t>
      </w:r>
      <w:r>
        <w:rPr>
          <w:color w:val="231F20"/>
          <w:spacing w:val="-4"/>
          <w:w w:val="105"/>
        </w:rPr>
        <w:t>Ten- </w:t>
      </w:r>
      <w:r>
        <w:rPr>
          <w:color w:val="231F20"/>
          <w:w w:val="105"/>
        </w:rPr>
        <w:t>nassie,</w:t>
      </w:r>
      <w:r>
        <w:rPr>
          <w:color w:val="231F20"/>
          <w:spacing w:val="-32"/>
          <w:w w:val="105"/>
        </w:rPr>
        <w:t> </w:t>
      </w:r>
      <w:r>
        <w:rPr>
          <w:color w:val="231F20"/>
          <w:w w:val="105"/>
        </w:rPr>
        <w:t>2005:</w:t>
      </w:r>
      <w:r>
        <w:rPr>
          <w:color w:val="231F20"/>
          <w:spacing w:val="-28"/>
          <w:w w:val="105"/>
        </w:rPr>
        <w:t> </w:t>
      </w:r>
      <w:r>
        <w:rPr>
          <w:color w:val="231F20"/>
          <w:w w:val="105"/>
        </w:rPr>
        <w:t>53).</w:t>
      </w:r>
    </w:p>
    <w:p>
      <w:pPr>
        <w:pStyle w:val="BodyText"/>
        <w:spacing w:line="242" w:lineRule="auto"/>
        <w:ind w:left="117" w:right="115" w:firstLine="567"/>
        <w:jc w:val="both"/>
      </w:pPr>
      <w:r>
        <w:rPr>
          <w:color w:val="231F20"/>
          <w:w w:val="105"/>
        </w:rPr>
        <w:t>Kaldor (1975: 893) concluye que una condición suficiente para la presencia</w:t>
      </w:r>
      <w:r>
        <w:rPr>
          <w:color w:val="231F20"/>
          <w:spacing w:val="-25"/>
          <w:w w:val="105"/>
        </w:rPr>
        <w:t> </w:t>
      </w:r>
      <w:r>
        <w:rPr>
          <w:color w:val="231F20"/>
          <w:w w:val="105"/>
        </w:rPr>
        <w:t>de</w:t>
      </w:r>
      <w:r>
        <w:rPr>
          <w:color w:val="231F20"/>
          <w:spacing w:val="-25"/>
          <w:w w:val="105"/>
        </w:rPr>
        <w:t> </w:t>
      </w:r>
      <w:r>
        <w:rPr>
          <w:color w:val="231F20"/>
          <w:w w:val="105"/>
        </w:rPr>
        <w:t>rendimientos</w:t>
      </w:r>
      <w:r>
        <w:rPr>
          <w:color w:val="231F20"/>
          <w:spacing w:val="-25"/>
          <w:w w:val="105"/>
        </w:rPr>
        <w:t> </w:t>
      </w:r>
      <w:r>
        <w:rPr>
          <w:color w:val="231F20"/>
          <w:w w:val="105"/>
        </w:rPr>
        <w:t>o</w:t>
      </w:r>
      <w:r>
        <w:rPr>
          <w:color w:val="231F20"/>
          <w:spacing w:val="-25"/>
          <w:w w:val="105"/>
        </w:rPr>
        <w:t> </w:t>
      </w:r>
      <w:r>
        <w:rPr>
          <w:color w:val="231F20"/>
          <w:w w:val="105"/>
        </w:rPr>
        <w:t>economías</w:t>
      </w:r>
      <w:r>
        <w:rPr>
          <w:color w:val="231F20"/>
          <w:spacing w:val="-25"/>
          <w:w w:val="105"/>
        </w:rPr>
        <w:t> </w:t>
      </w:r>
      <w:r>
        <w:rPr>
          <w:color w:val="231F20"/>
          <w:w w:val="105"/>
        </w:rPr>
        <w:t>de</w:t>
      </w:r>
      <w:r>
        <w:rPr>
          <w:color w:val="231F20"/>
          <w:spacing w:val="-25"/>
          <w:w w:val="105"/>
        </w:rPr>
        <w:t> </w:t>
      </w:r>
      <w:r>
        <w:rPr>
          <w:color w:val="231F20"/>
          <w:w w:val="105"/>
        </w:rPr>
        <w:t>escala</w:t>
      </w:r>
      <w:r>
        <w:rPr>
          <w:color w:val="231F20"/>
          <w:spacing w:val="-25"/>
          <w:w w:val="105"/>
        </w:rPr>
        <w:t> </w:t>
      </w:r>
      <w:r>
        <w:rPr>
          <w:color w:val="231F20"/>
          <w:w w:val="105"/>
        </w:rPr>
        <w:t>estáticas</w:t>
      </w:r>
      <w:r>
        <w:rPr>
          <w:color w:val="231F20"/>
          <w:spacing w:val="-25"/>
          <w:w w:val="105"/>
        </w:rPr>
        <w:t> </w:t>
      </w:r>
      <w:r>
        <w:rPr>
          <w:color w:val="231F20"/>
          <w:w w:val="105"/>
        </w:rPr>
        <w:t>o</w:t>
      </w:r>
      <w:r>
        <w:rPr>
          <w:color w:val="231F20"/>
          <w:spacing w:val="-25"/>
          <w:w w:val="105"/>
        </w:rPr>
        <w:t> </w:t>
      </w:r>
      <w:r>
        <w:rPr>
          <w:color w:val="231F20"/>
          <w:w w:val="105"/>
        </w:rPr>
        <w:t>dinámicas, es</w:t>
      </w:r>
      <w:r>
        <w:rPr>
          <w:color w:val="231F20"/>
          <w:spacing w:val="-9"/>
          <w:w w:val="105"/>
        </w:rPr>
        <w:t> </w:t>
      </w:r>
      <w:r>
        <w:rPr>
          <w:color w:val="231F20"/>
          <w:w w:val="105"/>
        </w:rPr>
        <w:t>la</w:t>
      </w:r>
      <w:r>
        <w:rPr>
          <w:color w:val="231F20"/>
          <w:spacing w:val="-9"/>
          <w:w w:val="105"/>
        </w:rPr>
        <w:t> </w:t>
      </w:r>
      <w:r>
        <w:rPr>
          <w:color w:val="231F20"/>
          <w:w w:val="105"/>
        </w:rPr>
        <w:t>existencia</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relación</w:t>
      </w:r>
      <w:r>
        <w:rPr>
          <w:color w:val="231F20"/>
          <w:spacing w:val="-9"/>
          <w:w w:val="105"/>
        </w:rPr>
        <w:t> </w:t>
      </w:r>
      <w:r>
        <w:rPr>
          <w:color w:val="231F20"/>
          <w:w w:val="105"/>
        </w:rPr>
        <w:t>estadísticamente</w:t>
      </w:r>
      <w:r>
        <w:rPr>
          <w:color w:val="231F20"/>
          <w:spacing w:val="-9"/>
          <w:w w:val="105"/>
        </w:rPr>
        <w:t> </w:t>
      </w:r>
      <w:r>
        <w:rPr>
          <w:color w:val="231F20"/>
          <w:w w:val="105"/>
        </w:rPr>
        <w:t>significativa</w:t>
      </w:r>
      <w:r>
        <w:rPr>
          <w:color w:val="231F20"/>
          <w:spacing w:val="-9"/>
          <w:w w:val="105"/>
        </w:rPr>
        <w:t> </w:t>
      </w:r>
      <w:r>
        <w:rPr>
          <w:color w:val="231F20"/>
          <w:w w:val="105"/>
        </w:rPr>
        <w:t>entre</w:t>
      </w:r>
      <w:r>
        <w:rPr>
          <w:color w:val="231F20"/>
          <w:spacing w:val="-9"/>
          <w:w w:val="105"/>
        </w:rPr>
        <w:t> </w:t>
      </w:r>
      <w:r>
        <w:rPr>
          <w:rFonts w:ascii="Times New Roman" w:hAnsi="Times New Roman"/>
          <w:i/>
          <w:color w:val="231F20"/>
          <w:w w:val="105"/>
          <w:sz w:val="22"/>
        </w:rPr>
        <w:t>e</w:t>
      </w:r>
      <w:r>
        <w:rPr>
          <w:rFonts w:ascii="Times New Roman" w:hAnsi="Times New Roman"/>
          <w:i/>
          <w:color w:val="231F20"/>
          <w:w w:val="105"/>
          <w:position w:val="-4"/>
          <w:sz w:val="13"/>
        </w:rPr>
        <w:t>m</w:t>
      </w:r>
      <w:r>
        <w:rPr>
          <w:rFonts w:ascii="Times New Roman" w:hAnsi="Times New Roman"/>
          <w:i/>
          <w:color w:val="231F20"/>
          <w:spacing w:val="17"/>
          <w:w w:val="105"/>
          <w:position w:val="-4"/>
          <w:sz w:val="13"/>
        </w:rPr>
        <w:t> </w:t>
      </w:r>
      <w:r>
        <w:rPr>
          <w:color w:val="231F20"/>
          <w:w w:val="105"/>
        </w:rPr>
        <w:t>y </w:t>
      </w:r>
      <w:r>
        <w:rPr>
          <w:rFonts w:ascii="Times New Roman" w:hAnsi="Times New Roman"/>
          <w:i/>
          <w:color w:val="231F20"/>
          <w:w w:val="105"/>
          <w:sz w:val="22"/>
        </w:rPr>
        <w:t>y</w:t>
      </w:r>
      <w:r>
        <w:rPr>
          <w:rFonts w:ascii="Times New Roman" w:hAnsi="Times New Roman"/>
          <w:i/>
          <w:color w:val="231F20"/>
          <w:w w:val="105"/>
          <w:position w:val="-4"/>
          <w:sz w:val="13"/>
        </w:rPr>
        <w:t>m </w:t>
      </w:r>
      <w:r>
        <w:rPr>
          <w:color w:val="231F20"/>
          <w:w w:val="105"/>
        </w:rPr>
        <w:t>de las ecuaciones 2 y 3, con un coeficiente de la pendiente</w:t>
      </w:r>
      <w:r>
        <w:rPr>
          <w:color w:val="231F20"/>
          <w:spacing w:val="-25"/>
          <w:w w:val="105"/>
        </w:rPr>
        <w:t> </w:t>
      </w:r>
      <w:r>
        <w:rPr>
          <w:color w:val="231F20"/>
          <w:w w:val="105"/>
        </w:rPr>
        <w:t>significa- tivamente menor que la unidad. Un coeficiente de la pendiente de una unidad,</w:t>
      </w:r>
      <w:r>
        <w:rPr>
          <w:color w:val="231F20"/>
          <w:spacing w:val="-10"/>
          <w:w w:val="105"/>
        </w:rPr>
        <w:t> </w:t>
      </w:r>
      <w:r>
        <w:rPr>
          <w:color w:val="231F20"/>
          <w:w w:val="105"/>
        </w:rPr>
        <w:t>o</w:t>
      </w:r>
      <w:r>
        <w:rPr>
          <w:color w:val="231F20"/>
          <w:spacing w:val="-4"/>
          <w:w w:val="105"/>
        </w:rPr>
        <w:t> </w:t>
      </w:r>
      <w:r>
        <w:rPr>
          <w:color w:val="231F20"/>
          <w:w w:val="105"/>
        </w:rPr>
        <w:t>cercano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unidad,</w:t>
      </w:r>
      <w:r>
        <w:rPr>
          <w:color w:val="231F20"/>
          <w:spacing w:val="-10"/>
          <w:w w:val="105"/>
        </w:rPr>
        <w:t> </w:t>
      </w:r>
      <w:r>
        <w:rPr>
          <w:color w:val="231F20"/>
          <w:w w:val="105"/>
        </w:rPr>
        <w:t>sería</w:t>
      </w:r>
      <w:r>
        <w:rPr>
          <w:color w:val="231F20"/>
          <w:spacing w:val="-4"/>
          <w:w w:val="105"/>
        </w:rPr>
        <w:t> </w:t>
      </w:r>
      <w:r>
        <w:rPr>
          <w:color w:val="231F20"/>
          <w:w w:val="105"/>
        </w:rPr>
        <w:t>un</w:t>
      </w:r>
      <w:r>
        <w:rPr>
          <w:color w:val="231F20"/>
          <w:spacing w:val="-4"/>
          <w:w w:val="105"/>
        </w:rPr>
        <w:t> </w:t>
      </w:r>
      <w:r>
        <w:rPr>
          <w:color w:val="231F20"/>
          <w:w w:val="105"/>
        </w:rPr>
        <w:t>tipo</w:t>
      </w:r>
      <w:r>
        <w:rPr>
          <w:color w:val="231F20"/>
          <w:spacing w:val="-4"/>
          <w:w w:val="105"/>
        </w:rPr>
        <w:t> </w:t>
      </w:r>
      <w:r>
        <w:rPr>
          <w:color w:val="231F20"/>
          <w:w w:val="105"/>
        </w:rPr>
        <w:t>neoclásico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em-</w:t>
      </w:r>
    </w:p>
    <w:p>
      <w:pPr>
        <w:pStyle w:val="BodyText"/>
        <w:spacing w:line="249" w:lineRule="auto" w:before="16"/>
        <w:ind w:left="117" w:right="121"/>
        <w:jc w:val="both"/>
      </w:pPr>
      <w:r>
        <w:rPr>
          <w:color w:val="231F20"/>
          <w:w w:val="105"/>
        </w:rPr>
        <w:t>pleo</w:t>
      </w:r>
      <w:r>
        <w:rPr>
          <w:color w:val="231F20"/>
          <w:spacing w:val="-14"/>
          <w:w w:val="105"/>
        </w:rPr>
        <w:t> </w:t>
      </w:r>
      <w:r>
        <w:rPr>
          <w:color w:val="231F20"/>
          <w:w w:val="105"/>
        </w:rPr>
        <w:t>varía</w:t>
      </w:r>
      <w:r>
        <w:rPr>
          <w:color w:val="231F20"/>
          <w:spacing w:val="-14"/>
          <w:w w:val="105"/>
        </w:rPr>
        <w:t> </w:t>
      </w:r>
      <w:r>
        <w:rPr>
          <w:color w:val="231F20"/>
          <w:w w:val="105"/>
        </w:rPr>
        <w:t>en</w:t>
      </w:r>
      <w:r>
        <w:rPr>
          <w:color w:val="231F20"/>
          <w:spacing w:val="-14"/>
          <w:w w:val="105"/>
        </w:rPr>
        <w:t> </w:t>
      </w:r>
      <w:r>
        <w:rPr>
          <w:color w:val="231F20"/>
          <w:w w:val="105"/>
        </w:rPr>
        <w:t>una</w:t>
      </w:r>
      <w:r>
        <w:rPr>
          <w:color w:val="231F20"/>
          <w:spacing w:val="-14"/>
          <w:w w:val="105"/>
        </w:rPr>
        <w:t> </w:t>
      </w:r>
      <w:r>
        <w:rPr>
          <w:color w:val="231F20"/>
          <w:w w:val="105"/>
        </w:rPr>
        <w:t>relación</w:t>
      </w:r>
      <w:r>
        <w:rPr>
          <w:color w:val="231F20"/>
          <w:spacing w:val="-14"/>
          <w:w w:val="105"/>
        </w:rPr>
        <w:t> </w:t>
      </w:r>
      <w:r>
        <w:rPr>
          <w:color w:val="231F20"/>
          <w:w w:val="105"/>
        </w:rPr>
        <w:t>uno</w:t>
      </w:r>
      <w:r>
        <w:rPr>
          <w:color w:val="231F20"/>
          <w:spacing w:val="-14"/>
          <w:w w:val="105"/>
        </w:rPr>
        <w:t> </w:t>
      </w:r>
      <w:r>
        <w:rPr>
          <w:color w:val="231F20"/>
          <w:w w:val="105"/>
        </w:rPr>
        <w:t>a</w:t>
      </w:r>
      <w:r>
        <w:rPr>
          <w:color w:val="231F20"/>
          <w:spacing w:val="-14"/>
          <w:w w:val="105"/>
        </w:rPr>
        <w:t> </w:t>
      </w:r>
      <w:r>
        <w:rPr>
          <w:color w:val="231F20"/>
          <w:w w:val="105"/>
        </w:rPr>
        <w:t>uno</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producción</w:t>
      </w:r>
      <w:r>
        <w:rPr>
          <w:color w:val="231F20"/>
          <w:spacing w:val="-14"/>
          <w:w w:val="105"/>
        </w:rPr>
        <w:t> </w:t>
      </w:r>
      <w:r>
        <w:rPr>
          <w:color w:val="231F20"/>
          <w:w w:val="105"/>
        </w:rPr>
        <w:t>y</w:t>
      </w:r>
      <w:r>
        <w:rPr>
          <w:color w:val="231F20"/>
          <w:spacing w:val="-14"/>
          <w:w w:val="105"/>
        </w:rPr>
        <w:t> </w:t>
      </w:r>
      <w:r>
        <w:rPr>
          <w:color w:val="231F20"/>
          <w:w w:val="105"/>
        </w:rPr>
        <w:t>presenta</w:t>
      </w:r>
      <w:r>
        <w:rPr>
          <w:color w:val="231F20"/>
          <w:spacing w:val="-14"/>
          <w:w w:val="105"/>
        </w:rPr>
        <w:t> </w:t>
      </w:r>
      <w:r>
        <w:rPr>
          <w:color w:val="231F20"/>
          <w:w w:val="105"/>
        </w:rPr>
        <w:t>rendi- mientos</w:t>
      </w:r>
      <w:r>
        <w:rPr>
          <w:color w:val="231F20"/>
          <w:spacing w:val="-30"/>
          <w:w w:val="105"/>
        </w:rPr>
        <w:t> </w:t>
      </w:r>
      <w:r>
        <w:rPr>
          <w:color w:val="231F20"/>
          <w:w w:val="105"/>
        </w:rPr>
        <w:t>constantes;</w:t>
      </w:r>
      <w:r>
        <w:rPr>
          <w:color w:val="231F20"/>
          <w:spacing w:val="-30"/>
          <w:w w:val="105"/>
        </w:rPr>
        <w:t> </w:t>
      </w:r>
      <w:r>
        <w:rPr>
          <w:color w:val="231F20"/>
          <w:w w:val="105"/>
        </w:rPr>
        <w:t>entonces</w:t>
      </w:r>
      <w:r>
        <w:rPr>
          <w:color w:val="231F20"/>
          <w:spacing w:val="-30"/>
          <w:w w:val="105"/>
        </w:rPr>
        <w:t> </w:t>
      </w:r>
      <w:r>
        <w:rPr>
          <w:color w:val="231F20"/>
          <w:w w:val="105"/>
        </w:rPr>
        <w:t>hay</w:t>
      </w:r>
      <w:r>
        <w:rPr>
          <w:color w:val="231F20"/>
          <w:spacing w:val="-30"/>
          <w:w w:val="105"/>
        </w:rPr>
        <w:t> </w:t>
      </w:r>
      <w:r>
        <w:rPr>
          <w:color w:val="231F20"/>
          <w:w w:val="105"/>
        </w:rPr>
        <w:t>ciertas</w:t>
      </w:r>
      <w:r>
        <w:rPr>
          <w:color w:val="231F20"/>
          <w:spacing w:val="-30"/>
          <w:w w:val="105"/>
        </w:rPr>
        <w:t> </w:t>
      </w:r>
      <w:r>
        <w:rPr>
          <w:color w:val="231F20"/>
          <w:w w:val="105"/>
        </w:rPr>
        <w:t>posibilidades.</w:t>
      </w:r>
      <w:r>
        <w:rPr>
          <w:color w:val="231F20"/>
          <w:spacing w:val="-34"/>
          <w:w w:val="105"/>
        </w:rPr>
        <w:t> </w:t>
      </w:r>
      <w:r>
        <w:rPr>
          <w:color w:val="231F20"/>
          <w:spacing w:val="-3"/>
          <w:w w:val="105"/>
        </w:rPr>
        <w:t>Primero,</w:t>
      </w:r>
      <w:r>
        <w:rPr>
          <w:color w:val="231F20"/>
          <w:spacing w:val="-34"/>
          <w:w w:val="105"/>
        </w:rPr>
        <w:t> </w:t>
      </w:r>
      <w:r>
        <w:rPr>
          <w:color w:val="231F20"/>
          <w:w w:val="105"/>
        </w:rPr>
        <w:t>hay</w:t>
      </w:r>
      <w:r>
        <w:rPr>
          <w:color w:val="231F20"/>
          <w:spacing w:val="-30"/>
          <w:w w:val="105"/>
        </w:rPr>
        <w:t> </w:t>
      </w:r>
      <w:r>
        <w:rPr>
          <w:color w:val="231F20"/>
          <w:w w:val="105"/>
        </w:rPr>
        <w:t>una relación significativa pero si el coeficiente de </w:t>
      </w:r>
      <w:r>
        <w:rPr>
          <w:rFonts w:ascii="Times New Roman" w:hAnsi="Times New Roman"/>
          <w:i/>
          <w:color w:val="231F20"/>
          <w:w w:val="105"/>
          <w:sz w:val="22"/>
        </w:rPr>
        <w:t>e</w:t>
      </w:r>
      <w:r>
        <w:rPr>
          <w:rFonts w:ascii="Times New Roman" w:hAnsi="Times New Roman"/>
          <w:i/>
          <w:color w:val="231F20"/>
          <w:w w:val="105"/>
          <w:position w:val="-4"/>
          <w:sz w:val="13"/>
        </w:rPr>
        <w:t>m </w:t>
      </w:r>
      <w:r>
        <w:rPr>
          <w:color w:val="231F20"/>
          <w:w w:val="105"/>
        </w:rPr>
        <w:t>o </w:t>
      </w:r>
      <w:r>
        <w:rPr>
          <w:rFonts w:ascii="Times New Roman" w:hAnsi="Times New Roman"/>
          <w:i/>
          <w:color w:val="231F20"/>
          <w:w w:val="105"/>
          <w:sz w:val="22"/>
        </w:rPr>
        <w:t>y</w:t>
      </w:r>
      <w:r>
        <w:rPr>
          <w:rFonts w:ascii="Times New Roman" w:hAnsi="Times New Roman"/>
          <w:i/>
          <w:color w:val="231F20"/>
          <w:w w:val="105"/>
          <w:position w:val="-4"/>
          <w:sz w:val="13"/>
        </w:rPr>
        <w:t>m </w:t>
      </w:r>
      <w:r>
        <w:rPr>
          <w:color w:val="231F20"/>
          <w:w w:val="105"/>
        </w:rPr>
        <w:t>no es significativa- mente</w:t>
      </w:r>
      <w:r>
        <w:rPr>
          <w:color w:val="231F20"/>
          <w:spacing w:val="-20"/>
          <w:w w:val="105"/>
        </w:rPr>
        <w:t> </w:t>
      </w:r>
      <w:r>
        <w:rPr>
          <w:color w:val="231F20"/>
          <w:w w:val="105"/>
        </w:rPr>
        <w:t>diferente</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unidad</w:t>
      </w:r>
      <w:r>
        <w:rPr>
          <w:color w:val="231F20"/>
          <w:spacing w:val="-20"/>
          <w:w w:val="105"/>
        </w:rPr>
        <w:t> </w:t>
      </w:r>
      <w:r>
        <w:rPr>
          <w:color w:val="231F20"/>
          <w:w w:val="105"/>
        </w:rPr>
        <w:t>representa</w:t>
      </w:r>
      <w:r>
        <w:rPr>
          <w:color w:val="231F20"/>
          <w:spacing w:val="-20"/>
          <w:w w:val="105"/>
        </w:rPr>
        <w:t> </w:t>
      </w:r>
      <w:r>
        <w:rPr>
          <w:color w:val="231F20"/>
          <w:w w:val="105"/>
        </w:rPr>
        <w:t>rendimientos</w:t>
      </w:r>
      <w:r>
        <w:rPr>
          <w:color w:val="231F20"/>
          <w:spacing w:val="-20"/>
          <w:w w:val="105"/>
        </w:rPr>
        <w:t> </w:t>
      </w:r>
      <w:r>
        <w:rPr>
          <w:color w:val="231F20"/>
          <w:w w:val="105"/>
        </w:rPr>
        <w:t>constantes,</w:t>
      </w:r>
      <w:r>
        <w:rPr>
          <w:color w:val="231F20"/>
          <w:spacing w:val="-27"/>
          <w:w w:val="105"/>
        </w:rPr>
        <w:t> </w:t>
      </w:r>
      <w:r>
        <w:rPr>
          <w:color w:val="231F20"/>
          <w:w w:val="105"/>
        </w:rPr>
        <w:t>o</w:t>
      </w:r>
      <w:r>
        <w:rPr>
          <w:color w:val="231F20"/>
          <w:spacing w:val="-20"/>
          <w:w w:val="105"/>
        </w:rPr>
        <w:t> </w:t>
      </w:r>
      <w:r>
        <w:rPr>
          <w:color w:val="231F20"/>
          <w:w w:val="105"/>
        </w:rPr>
        <w:t>si</w:t>
      </w:r>
      <w:r>
        <w:rPr>
          <w:color w:val="231F20"/>
          <w:spacing w:val="-20"/>
          <w:w w:val="105"/>
        </w:rPr>
        <w:t> </w:t>
      </w:r>
      <w:r>
        <w:rPr>
          <w:color w:val="231F20"/>
          <w:w w:val="105"/>
        </w:rPr>
        <w:t>es significativamente más grande que la unidad representa </w:t>
      </w:r>
      <w:r>
        <w:rPr>
          <w:color w:val="231F20"/>
          <w:spacing w:val="48"/>
          <w:w w:val="105"/>
        </w:rPr>
        <w:t> </w:t>
      </w:r>
      <w:r>
        <w:rPr>
          <w:color w:val="231F20"/>
          <w:w w:val="105"/>
        </w:rPr>
        <w:t>rendimientos</w:t>
      </w:r>
    </w:p>
    <w:p>
      <w:pPr>
        <w:pStyle w:val="BodyText"/>
        <w:spacing w:line="260" w:lineRule="exact" w:before="2"/>
        <w:ind w:left="117" w:right="122"/>
        <w:jc w:val="both"/>
      </w:pPr>
      <w:r>
        <w:rPr>
          <w:color w:val="231F20"/>
          <w:w w:val="105"/>
        </w:rPr>
        <w:t>decrecientes.</w:t>
      </w:r>
      <w:r>
        <w:rPr>
          <w:color w:val="231F20"/>
          <w:spacing w:val="-35"/>
          <w:w w:val="105"/>
        </w:rPr>
        <w:t> </w:t>
      </w:r>
      <w:r>
        <w:rPr>
          <w:color w:val="231F20"/>
          <w:w w:val="105"/>
        </w:rPr>
        <w:t>Segundo,</w:t>
      </w:r>
      <w:r>
        <w:rPr>
          <w:color w:val="231F20"/>
          <w:spacing w:val="-35"/>
          <w:w w:val="105"/>
        </w:rPr>
        <w:t> </w:t>
      </w:r>
      <w:r>
        <w:rPr>
          <w:color w:val="231F20"/>
          <w:w w:val="105"/>
        </w:rPr>
        <w:t>no</w:t>
      </w:r>
      <w:r>
        <w:rPr>
          <w:color w:val="231F20"/>
          <w:spacing w:val="-30"/>
          <w:w w:val="105"/>
        </w:rPr>
        <w:t> </w:t>
      </w:r>
      <w:r>
        <w:rPr>
          <w:color w:val="231F20"/>
          <w:w w:val="105"/>
        </w:rPr>
        <w:t>hay</w:t>
      </w:r>
      <w:r>
        <w:rPr>
          <w:color w:val="231F20"/>
          <w:spacing w:val="-30"/>
          <w:w w:val="105"/>
        </w:rPr>
        <w:t> </w:t>
      </w:r>
      <w:r>
        <w:rPr>
          <w:color w:val="231F20"/>
          <w:w w:val="105"/>
        </w:rPr>
        <w:t>relación</w:t>
      </w:r>
      <w:r>
        <w:rPr>
          <w:color w:val="231F20"/>
          <w:spacing w:val="-30"/>
          <w:w w:val="105"/>
        </w:rPr>
        <w:t> </w:t>
      </w:r>
      <w:r>
        <w:rPr>
          <w:color w:val="231F20"/>
          <w:w w:val="105"/>
        </w:rPr>
        <w:t>significativa</w:t>
      </w:r>
      <w:r>
        <w:rPr>
          <w:color w:val="231F20"/>
          <w:spacing w:val="-30"/>
          <w:w w:val="105"/>
        </w:rPr>
        <w:t> </w:t>
      </w:r>
      <w:r>
        <w:rPr>
          <w:color w:val="231F20"/>
          <w:w w:val="105"/>
        </w:rPr>
        <w:t>entre</w:t>
      </w:r>
      <w:r>
        <w:rPr>
          <w:color w:val="231F20"/>
          <w:spacing w:val="-30"/>
          <w:w w:val="105"/>
        </w:rPr>
        <w:t> </w:t>
      </w:r>
      <w:r>
        <w:rPr>
          <w:rFonts w:ascii="Times New Roman" w:hAnsi="Times New Roman"/>
          <w:i/>
          <w:color w:val="231F20"/>
          <w:w w:val="105"/>
          <w:sz w:val="22"/>
        </w:rPr>
        <w:t>e</w:t>
      </w:r>
      <w:r>
        <w:rPr>
          <w:rFonts w:ascii="Times New Roman" w:hAnsi="Times New Roman"/>
          <w:i/>
          <w:color w:val="231F20"/>
          <w:w w:val="105"/>
          <w:position w:val="-4"/>
          <w:sz w:val="13"/>
        </w:rPr>
        <w:t>m</w:t>
      </w:r>
      <w:r>
        <w:rPr>
          <w:rFonts w:ascii="Times New Roman" w:hAnsi="Times New Roman"/>
          <w:i/>
          <w:color w:val="231F20"/>
          <w:spacing w:val="-3"/>
          <w:w w:val="105"/>
          <w:position w:val="-4"/>
          <w:sz w:val="13"/>
        </w:rPr>
        <w:t> </w:t>
      </w:r>
      <w:r>
        <w:rPr>
          <w:color w:val="231F20"/>
          <w:w w:val="105"/>
        </w:rPr>
        <w:t>y</w:t>
      </w:r>
      <w:r>
        <w:rPr>
          <w:color w:val="231F20"/>
          <w:spacing w:val="-30"/>
          <w:w w:val="105"/>
        </w:rPr>
        <w:t> </w:t>
      </w:r>
      <w:r>
        <w:rPr>
          <w:rFonts w:ascii="Times New Roman" w:hAnsi="Times New Roman"/>
          <w:i/>
          <w:color w:val="231F20"/>
          <w:w w:val="105"/>
          <w:sz w:val="22"/>
        </w:rPr>
        <w:t>y</w:t>
      </w:r>
      <w:r>
        <w:rPr>
          <w:rFonts w:ascii="Times New Roman" w:hAnsi="Times New Roman"/>
          <w:i/>
          <w:color w:val="231F20"/>
          <w:w w:val="105"/>
          <w:position w:val="-4"/>
          <w:sz w:val="13"/>
        </w:rPr>
        <w:t>m</w:t>
      </w:r>
      <w:r>
        <w:rPr>
          <w:rFonts w:ascii="Times New Roman" w:hAnsi="Times New Roman"/>
          <w:i/>
          <w:color w:val="231F20"/>
          <w:spacing w:val="-24"/>
          <w:w w:val="105"/>
          <w:position w:val="-4"/>
          <w:sz w:val="13"/>
        </w:rPr>
        <w:t> </w:t>
      </w:r>
      <w:r>
        <w:rPr>
          <w:color w:val="231F20"/>
          <w:w w:val="105"/>
        </w:rPr>
        <w:t>,</w:t>
      </w:r>
      <w:r>
        <w:rPr>
          <w:color w:val="231F20"/>
          <w:spacing w:val="-35"/>
          <w:w w:val="105"/>
        </w:rPr>
        <w:t> </w:t>
      </w:r>
      <w:r>
        <w:rPr>
          <w:color w:val="231F20"/>
          <w:w w:val="105"/>
        </w:rPr>
        <w:t>es</w:t>
      </w:r>
      <w:r>
        <w:rPr>
          <w:color w:val="231F20"/>
          <w:spacing w:val="-30"/>
          <w:w w:val="105"/>
        </w:rPr>
        <w:t> </w:t>
      </w:r>
      <w:r>
        <w:rPr>
          <w:color w:val="231F20"/>
          <w:w w:val="105"/>
        </w:rPr>
        <w:t>equi- valente</w:t>
      </w:r>
      <w:r>
        <w:rPr>
          <w:color w:val="231F20"/>
          <w:spacing w:val="-14"/>
          <w:w w:val="105"/>
        </w:rPr>
        <w:t> </w:t>
      </w:r>
      <w:r>
        <w:rPr>
          <w:color w:val="231F20"/>
          <w:w w:val="105"/>
        </w:rPr>
        <w:t>a</w:t>
      </w:r>
      <w:r>
        <w:rPr>
          <w:color w:val="231F20"/>
          <w:spacing w:val="-14"/>
          <w:w w:val="105"/>
        </w:rPr>
        <w:t> </w:t>
      </w:r>
      <w:r>
        <w:rPr>
          <w:color w:val="231F20"/>
          <w:w w:val="105"/>
        </w:rPr>
        <w:t>decir</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ley</w:t>
      </w:r>
      <w:r>
        <w:rPr>
          <w:color w:val="231F20"/>
          <w:spacing w:val="-14"/>
          <w:w w:val="105"/>
        </w:rPr>
        <w:t> </w:t>
      </w:r>
      <w:r>
        <w:rPr>
          <w:color w:val="231F20"/>
          <w:w w:val="105"/>
        </w:rPr>
        <w:t>no</w:t>
      </w:r>
      <w:r>
        <w:rPr>
          <w:color w:val="231F20"/>
          <w:spacing w:val="-14"/>
          <w:w w:val="105"/>
        </w:rPr>
        <w:t> </w:t>
      </w:r>
      <w:r>
        <w:rPr>
          <w:color w:val="231F20"/>
          <w:w w:val="105"/>
        </w:rPr>
        <w:t>se</w:t>
      </w:r>
      <w:r>
        <w:rPr>
          <w:color w:val="231F20"/>
          <w:spacing w:val="-14"/>
          <w:w w:val="105"/>
        </w:rPr>
        <w:t> </w:t>
      </w:r>
      <w:r>
        <w:rPr>
          <w:color w:val="231F20"/>
          <w:w w:val="105"/>
        </w:rPr>
        <w:t>cumple</w:t>
      </w:r>
      <w:r>
        <w:rPr>
          <w:color w:val="231F20"/>
          <w:spacing w:val="-14"/>
          <w:w w:val="105"/>
        </w:rPr>
        <w:t> </w:t>
      </w:r>
      <w:r>
        <w:rPr>
          <w:color w:val="231F20"/>
          <w:w w:val="105"/>
        </w:rPr>
        <w:t>y</w:t>
      </w:r>
      <w:r>
        <w:rPr>
          <w:color w:val="231F20"/>
          <w:spacing w:val="-14"/>
          <w:w w:val="105"/>
        </w:rPr>
        <w:t> </w:t>
      </w:r>
      <w:r>
        <w:rPr>
          <w:color w:val="231F20"/>
          <w:w w:val="105"/>
        </w:rPr>
        <w:t>no</w:t>
      </w:r>
      <w:r>
        <w:rPr>
          <w:color w:val="231F20"/>
          <w:spacing w:val="-14"/>
          <w:w w:val="105"/>
        </w:rPr>
        <w:t> </w:t>
      </w:r>
      <w:r>
        <w:rPr>
          <w:color w:val="231F20"/>
          <w:w w:val="105"/>
        </w:rPr>
        <w:t>aplica.</w:t>
      </w:r>
    </w:p>
    <w:p>
      <w:pPr>
        <w:spacing w:after="0" w:line="260" w:lineRule="exact"/>
        <w:jc w:val="both"/>
        <w:sectPr>
          <w:pgSz w:w="9640" w:h="13890"/>
          <w:pgMar w:top="0" w:bottom="280" w:left="1300" w:right="1180"/>
        </w:sectPr>
      </w:pPr>
    </w:p>
    <w:p>
      <w:pPr>
        <w:pStyle w:val="BodyText"/>
        <w:spacing w:line="259" w:lineRule="auto" w:before="95"/>
        <w:ind w:left="103" w:right="109"/>
        <w:jc w:val="both"/>
      </w:pPr>
      <w:r>
        <w:rPr>
          <w:color w:val="231F20"/>
          <w:w w:val="105"/>
        </w:rPr>
        <w:t>La</w:t>
      </w:r>
      <w:r>
        <w:rPr>
          <w:color w:val="231F20"/>
          <w:spacing w:val="-8"/>
          <w:w w:val="105"/>
        </w:rPr>
        <w:t> </w:t>
      </w:r>
      <w:r>
        <w:rPr>
          <w:color w:val="231F20"/>
          <w:w w:val="105"/>
        </w:rPr>
        <w:t>segunda</w:t>
      </w:r>
      <w:r>
        <w:rPr>
          <w:color w:val="231F20"/>
          <w:spacing w:val="-8"/>
          <w:w w:val="105"/>
        </w:rPr>
        <w:t> </w:t>
      </w:r>
      <w:r>
        <w:rPr>
          <w:color w:val="231F20"/>
          <w:w w:val="105"/>
        </w:rPr>
        <w:t>ley</w:t>
      </w:r>
      <w:r>
        <w:rPr>
          <w:color w:val="231F20"/>
          <w:spacing w:val="-8"/>
          <w:w w:val="105"/>
        </w:rPr>
        <w:t> </w:t>
      </w:r>
      <w:r>
        <w:rPr>
          <w:color w:val="231F20"/>
          <w:w w:val="105"/>
        </w:rPr>
        <w:t>de</w:t>
      </w:r>
      <w:r>
        <w:rPr>
          <w:color w:val="231F20"/>
          <w:spacing w:val="-8"/>
          <w:w w:val="105"/>
        </w:rPr>
        <w:t> </w:t>
      </w:r>
      <w:r>
        <w:rPr>
          <w:color w:val="231F20"/>
          <w:w w:val="105"/>
        </w:rPr>
        <w:t>Kaldor</w:t>
      </w:r>
      <w:r>
        <w:rPr>
          <w:color w:val="231F20"/>
          <w:spacing w:val="-8"/>
          <w:w w:val="105"/>
        </w:rPr>
        <w:t> </w:t>
      </w:r>
      <w:r>
        <w:rPr>
          <w:color w:val="231F20"/>
          <w:w w:val="105"/>
        </w:rPr>
        <w:t>también</w:t>
      </w:r>
      <w:r>
        <w:rPr>
          <w:color w:val="231F20"/>
          <w:spacing w:val="-8"/>
          <w:w w:val="105"/>
        </w:rPr>
        <w:t> </w:t>
      </w:r>
      <w:r>
        <w:rPr>
          <w:color w:val="231F20"/>
          <w:w w:val="105"/>
        </w:rPr>
        <w:t>es</w:t>
      </w:r>
      <w:r>
        <w:rPr>
          <w:color w:val="231F20"/>
          <w:spacing w:val="-8"/>
          <w:w w:val="105"/>
        </w:rPr>
        <w:t> </w:t>
      </w:r>
      <w:r>
        <w:rPr>
          <w:color w:val="231F20"/>
          <w:w w:val="105"/>
        </w:rPr>
        <w:t>conocida</w:t>
      </w:r>
      <w:r>
        <w:rPr>
          <w:color w:val="231F20"/>
          <w:spacing w:val="-8"/>
          <w:w w:val="105"/>
        </w:rPr>
        <w:t> </w:t>
      </w:r>
      <w:r>
        <w:rPr>
          <w:color w:val="231F20"/>
          <w:w w:val="105"/>
        </w:rPr>
        <w:t>como</w:t>
      </w:r>
      <w:r>
        <w:rPr>
          <w:color w:val="231F20"/>
          <w:spacing w:val="-8"/>
          <w:w w:val="105"/>
        </w:rPr>
        <w:t> </w:t>
      </w:r>
      <w:r>
        <w:rPr>
          <w:color w:val="231F20"/>
          <w:w w:val="105"/>
        </w:rPr>
        <w:t>ley</w:t>
      </w:r>
      <w:r>
        <w:rPr>
          <w:color w:val="231F20"/>
          <w:spacing w:val="-8"/>
          <w:w w:val="105"/>
        </w:rPr>
        <w:t> </w:t>
      </w:r>
      <w:r>
        <w:rPr>
          <w:color w:val="231F20"/>
          <w:w w:val="105"/>
        </w:rPr>
        <w:t>de</w:t>
      </w:r>
      <w:r>
        <w:rPr>
          <w:color w:val="231F20"/>
          <w:spacing w:val="-11"/>
          <w:w w:val="105"/>
        </w:rPr>
        <w:t> </w:t>
      </w:r>
      <w:r>
        <w:rPr>
          <w:color w:val="231F20"/>
          <w:w w:val="105"/>
        </w:rPr>
        <w:t>Verdoorn</w:t>
      </w:r>
      <w:r>
        <w:rPr>
          <w:color w:val="231F20"/>
          <w:w w:val="105"/>
          <w:position w:val="7"/>
          <w:sz w:val="12"/>
        </w:rPr>
        <w:t>12</w:t>
      </w:r>
      <w:r>
        <w:rPr>
          <w:color w:val="231F20"/>
          <w:w w:val="105"/>
        </w:rPr>
        <w:t>. Ésta es una relación dinámica entre las tasas de cambio en la produc- tividad y del producto, más que entre el nivel de la productividad y la escala</w:t>
      </w:r>
      <w:r>
        <w:rPr>
          <w:color w:val="231F20"/>
          <w:spacing w:val="-17"/>
          <w:w w:val="105"/>
        </w:rPr>
        <w:t> </w:t>
      </w:r>
      <w:r>
        <w:rPr>
          <w:color w:val="231F20"/>
          <w:w w:val="105"/>
        </w:rPr>
        <w:t>del</w:t>
      </w:r>
      <w:r>
        <w:rPr>
          <w:color w:val="231F20"/>
          <w:spacing w:val="-17"/>
          <w:w w:val="105"/>
        </w:rPr>
        <w:t> </w:t>
      </w:r>
      <w:r>
        <w:rPr>
          <w:color w:val="231F20"/>
          <w:w w:val="105"/>
        </w:rPr>
        <w:t>producto,</w:t>
      </w:r>
      <w:r>
        <w:rPr>
          <w:color w:val="231F20"/>
          <w:spacing w:val="-24"/>
          <w:w w:val="105"/>
        </w:rPr>
        <w:t> </w:t>
      </w:r>
      <w:r>
        <w:rPr>
          <w:color w:val="231F20"/>
          <w:w w:val="105"/>
        </w:rPr>
        <w:t>fundamentalmente</w:t>
      </w:r>
      <w:r>
        <w:rPr>
          <w:color w:val="231F20"/>
          <w:spacing w:val="-17"/>
          <w:w w:val="105"/>
        </w:rPr>
        <w:t> </w:t>
      </w:r>
      <w:r>
        <w:rPr>
          <w:color w:val="231F20"/>
          <w:w w:val="105"/>
        </w:rPr>
        <w:t>porque</w:t>
      </w:r>
      <w:r>
        <w:rPr>
          <w:color w:val="231F20"/>
          <w:spacing w:val="-17"/>
          <w:w w:val="105"/>
        </w:rPr>
        <w:t> </w:t>
      </w:r>
      <w:r>
        <w:rPr>
          <w:color w:val="231F20"/>
          <w:w w:val="105"/>
        </w:rPr>
        <w:t>se</w:t>
      </w:r>
      <w:r>
        <w:rPr>
          <w:color w:val="231F20"/>
          <w:spacing w:val="-17"/>
          <w:w w:val="105"/>
        </w:rPr>
        <w:t> </w:t>
      </w:r>
      <w:r>
        <w:rPr>
          <w:color w:val="231F20"/>
          <w:w w:val="105"/>
        </w:rPr>
        <w:t>incorpora</w:t>
      </w:r>
      <w:r>
        <w:rPr>
          <w:color w:val="231F20"/>
          <w:spacing w:val="-17"/>
          <w:w w:val="105"/>
        </w:rPr>
        <w:t> </w:t>
      </w:r>
      <w:r>
        <w:rPr>
          <w:color w:val="231F20"/>
          <w:w w:val="105"/>
        </w:rPr>
        <w:t>el</w:t>
      </w:r>
      <w:r>
        <w:rPr>
          <w:color w:val="231F20"/>
          <w:spacing w:val="-17"/>
          <w:w w:val="105"/>
        </w:rPr>
        <w:t> </w:t>
      </w:r>
      <w:r>
        <w:rPr>
          <w:color w:val="231F20"/>
          <w:w w:val="105"/>
        </w:rPr>
        <w:t>progreso técnico (Kaldor, 1975). Esto significa que una proporción sustancial de cambio técnico es endógeno porque es inducido por el crecimiento de la</w:t>
      </w:r>
      <w:r>
        <w:rPr>
          <w:color w:val="231F20"/>
          <w:spacing w:val="1"/>
          <w:w w:val="105"/>
        </w:rPr>
        <w:t> </w:t>
      </w:r>
      <w:r>
        <w:rPr>
          <w:color w:val="231F20"/>
          <w:w w:val="105"/>
        </w:rPr>
        <w:t>producción.</w:t>
      </w:r>
    </w:p>
    <w:p>
      <w:pPr>
        <w:pStyle w:val="BodyText"/>
        <w:spacing w:line="259" w:lineRule="auto"/>
        <w:ind w:left="103" w:right="114" w:firstLine="567"/>
        <w:jc w:val="both"/>
      </w:pPr>
      <w:r>
        <w:rPr>
          <w:color w:val="231F20"/>
          <w:w w:val="105"/>
        </w:rPr>
        <w:t>La </w:t>
      </w:r>
      <w:r>
        <w:rPr>
          <w:color w:val="231F20"/>
          <w:spacing w:val="-3"/>
          <w:w w:val="105"/>
        </w:rPr>
        <w:t>dependencia </w:t>
      </w:r>
      <w:r>
        <w:rPr>
          <w:color w:val="231F20"/>
          <w:w w:val="105"/>
        </w:rPr>
        <w:t>del </w:t>
      </w:r>
      <w:r>
        <w:rPr>
          <w:color w:val="231F20"/>
          <w:spacing w:val="-3"/>
          <w:w w:val="105"/>
        </w:rPr>
        <w:t>crecimiento </w:t>
      </w:r>
      <w:r>
        <w:rPr>
          <w:color w:val="231F20"/>
          <w:w w:val="105"/>
        </w:rPr>
        <w:t>de la </w:t>
      </w:r>
      <w:r>
        <w:rPr>
          <w:color w:val="231F20"/>
          <w:spacing w:val="-3"/>
          <w:w w:val="105"/>
        </w:rPr>
        <w:t>productividad sobre </w:t>
      </w:r>
      <w:r>
        <w:rPr>
          <w:color w:val="231F20"/>
          <w:w w:val="105"/>
        </w:rPr>
        <w:t>la </w:t>
      </w:r>
      <w:r>
        <w:rPr>
          <w:color w:val="231F20"/>
          <w:spacing w:val="-3"/>
          <w:w w:val="105"/>
        </w:rPr>
        <w:t>tasa </w:t>
      </w:r>
      <w:r>
        <w:rPr>
          <w:color w:val="231F20"/>
          <w:w w:val="105"/>
        </w:rPr>
        <w:t>de </w:t>
      </w:r>
      <w:r>
        <w:rPr>
          <w:color w:val="231F20"/>
          <w:spacing w:val="-3"/>
          <w:w w:val="105"/>
        </w:rPr>
        <w:t>crecimiento </w:t>
      </w:r>
      <w:r>
        <w:rPr>
          <w:color w:val="231F20"/>
          <w:w w:val="105"/>
        </w:rPr>
        <w:t>por sí </w:t>
      </w:r>
      <w:r>
        <w:rPr>
          <w:color w:val="231F20"/>
          <w:spacing w:val="-3"/>
          <w:w w:val="105"/>
        </w:rPr>
        <w:t>misma </w:t>
      </w:r>
      <w:r>
        <w:rPr>
          <w:color w:val="231F20"/>
          <w:w w:val="105"/>
        </w:rPr>
        <w:t>no es </w:t>
      </w:r>
      <w:r>
        <w:rPr>
          <w:color w:val="231F20"/>
          <w:spacing w:val="-3"/>
          <w:w w:val="105"/>
        </w:rPr>
        <w:t>suficiente para causar diferencias en </w:t>
      </w:r>
      <w:r>
        <w:rPr>
          <w:color w:val="231F20"/>
          <w:w w:val="105"/>
        </w:rPr>
        <w:t>las </w:t>
      </w:r>
      <w:r>
        <w:rPr>
          <w:color w:val="231F20"/>
          <w:spacing w:val="-3"/>
          <w:w w:val="105"/>
        </w:rPr>
        <w:t>tasas </w:t>
      </w:r>
      <w:r>
        <w:rPr>
          <w:color w:val="231F20"/>
          <w:w w:val="105"/>
        </w:rPr>
        <w:t>de </w:t>
      </w:r>
      <w:r>
        <w:rPr>
          <w:color w:val="231F20"/>
          <w:spacing w:val="-3"/>
          <w:w w:val="105"/>
        </w:rPr>
        <w:t>crecimiento regional, </w:t>
      </w:r>
      <w:r>
        <w:rPr>
          <w:color w:val="231F20"/>
          <w:w w:val="105"/>
        </w:rPr>
        <w:t>a </w:t>
      </w:r>
      <w:r>
        <w:rPr>
          <w:color w:val="231F20"/>
          <w:spacing w:val="-3"/>
          <w:w w:val="105"/>
        </w:rPr>
        <w:t>menos </w:t>
      </w:r>
      <w:r>
        <w:rPr>
          <w:color w:val="231F20"/>
          <w:w w:val="105"/>
        </w:rPr>
        <w:t>que el </w:t>
      </w:r>
      <w:r>
        <w:rPr>
          <w:color w:val="231F20"/>
          <w:spacing w:val="-3"/>
          <w:w w:val="105"/>
        </w:rPr>
        <w:t>coeficiente varíe entre regiones</w:t>
      </w:r>
      <w:r>
        <w:rPr>
          <w:color w:val="231F20"/>
          <w:spacing w:val="-27"/>
          <w:w w:val="105"/>
        </w:rPr>
        <w:t> </w:t>
      </w:r>
      <w:r>
        <w:rPr>
          <w:color w:val="231F20"/>
          <w:w w:val="105"/>
        </w:rPr>
        <w:t>o</w:t>
      </w:r>
      <w:r>
        <w:rPr>
          <w:color w:val="231F20"/>
          <w:spacing w:val="-27"/>
          <w:w w:val="105"/>
        </w:rPr>
        <w:t> </w:t>
      </w:r>
      <w:r>
        <w:rPr>
          <w:color w:val="231F20"/>
          <w:w w:val="105"/>
        </w:rPr>
        <w:t>que</w:t>
      </w:r>
      <w:r>
        <w:rPr>
          <w:color w:val="231F20"/>
          <w:spacing w:val="-27"/>
          <w:w w:val="105"/>
        </w:rPr>
        <w:t> </w:t>
      </w:r>
      <w:r>
        <w:rPr>
          <w:color w:val="231F20"/>
          <w:w w:val="105"/>
        </w:rPr>
        <w:t>las</w:t>
      </w:r>
      <w:r>
        <w:rPr>
          <w:color w:val="231F20"/>
          <w:spacing w:val="-27"/>
          <w:w w:val="105"/>
        </w:rPr>
        <w:t> </w:t>
      </w:r>
      <w:r>
        <w:rPr>
          <w:color w:val="231F20"/>
          <w:spacing w:val="-3"/>
          <w:w w:val="105"/>
        </w:rPr>
        <w:t>tasas</w:t>
      </w:r>
      <w:r>
        <w:rPr>
          <w:color w:val="231F20"/>
          <w:spacing w:val="-27"/>
          <w:w w:val="105"/>
        </w:rPr>
        <w:t> </w:t>
      </w:r>
      <w:r>
        <w:rPr>
          <w:color w:val="231F20"/>
          <w:w w:val="105"/>
        </w:rPr>
        <w:t>de</w:t>
      </w:r>
      <w:r>
        <w:rPr>
          <w:color w:val="231F20"/>
          <w:spacing w:val="-27"/>
          <w:w w:val="105"/>
        </w:rPr>
        <w:t> </w:t>
      </w:r>
      <w:r>
        <w:rPr>
          <w:color w:val="231F20"/>
          <w:spacing w:val="-3"/>
          <w:w w:val="105"/>
        </w:rPr>
        <w:t>crecimiento</w:t>
      </w:r>
      <w:r>
        <w:rPr>
          <w:color w:val="231F20"/>
          <w:spacing w:val="-27"/>
          <w:w w:val="105"/>
        </w:rPr>
        <w:t> </w:t>
      </w:r>
      <w:r>
        <w:rPr>
          <w:color w:val="231F20"/>
          <w:spacing w:val="-3"/>
          <w:w w:val="105"/>
        </w:rPr>
        <w:t>diverjan</w:t>
      </w:r>
      <w:r>
        <w:rPr>
          <w:color w:val="231F20"/>
          <w:spacing w:val="-27"/>
          <w:w w:val="105"/>
        </w:rPr>
        <w:t> </w:t>
      </w:r>
      <w:r>
        <w:rPr>
          <w:color w:val="231F20"/>
          <w:w w:val="105"/>
        </w:rPr>
        <w:t>por</w:t>
      </w:r>
      <w:r>
        <w:rPr>
          <w:color w:val="231F20"/>
          <w:spacing w:val="-27"/>
          <w:w w:val="105"/>
        </w:rPr>
        <w:t> </w:t>
      </w:r>
      <w:r>
        <w:rPr>
          <w:color w:val="231F20"/>
          <w:spacing w:val="-3"/>
          <w:w w:val="105"/>
        </w:rPr>
        <w:t>otras</w:t>
      </w:r>
      <w:r>
        <w:rPr>
          <w:color w:val="231F20"/>
          <w:spacing w:val="-27"/>
          <w:w w:val="105"/>
        </w:rPr>
        <w:t> </w:t>
      </w:r>
      <w:r>
        <w:rPr>
          <w:color w:val="231F20"/>
          <w:spacing w:val="-3"/>
          <w:w w:val="105"/>
        </w:rPr>
        <w:t>razones.</w:t>
      </w:r>
      <w:r>
        <w:rPr>
          <w:color w:val="231F20"/>
          <w:spacing w:val="-32"/>
          <w:w w:val="105"/>
        </w:rPr>
        <w:t> </w:t>
      </w:r>
      <w:r>
        <w:rPr>
          <w:color w:val="231F20"/>
          <w:spacing w:val="-3"/>
          <w:w w:val="105"/>
        </w:rPr>
        <w:t>Esto</w:t>
      </w:r>
      <w:r>
        <w:rPr>
          <w:color w:val="231F20"/>
          <w:spacing w:val="-27"/>
          <w:w w:val="105"/>
        </w:rPr>
        <w:t> </w:t>
      </w:r>
      <w:r>
        <w:rPr>
          <w:color w:val="231F20"/>
          <w:spacing w:val="-3"/>
          <w:w w:val="105"/>
        </w:rPr>
        <w:t>es </w:t>
      </w:r>
      <w:r>
        <w:rPr>
          <w:color w:val="231F20"/>
          <w:w w:val="105"/>
        </w:rPr>
        <w:t>la</w:t>
      </w:r>
      <w:r>
        <w:rPr>
          <w:color w:val="231F20"/>
          <w:spacing w:val="-20"/>
          <w:w w:val="105"/>
        </w:rPr>
        <w:t> </w:t>
      </w:r>
      <w:r>
        <w:rPr>
          <w:color w:val="231F20"/>
          <w:spacing w:val="-3"/>
          <w:w w:val="105"/>
        </w:rPr>
        <w:t>relación</w:t>
      </w:r>
      <w:r>
        <w:rPr>
          <w:color w:val="231F20"/>
          <w:spacing w:val="-23"/>
          <w:w w:val="105"/>
        </w:rPr>
        <w:t> </w:t>
      </w:r>
      <w:r>
        <w:rPr>
          <w:color w:val="231F20"/>
          <w:spacing w:val="-4"/>
          <w:w w:val="105"/>
        </w:rPr>
        <w:t>Verdoorn,</w:t>
      </w:r>
      <w:r>
        <w:rPr>
          <w:color w:val="231F20"/>
          <w:spacing w:val="-25"/>
          <w:w w:val="105"/>
        </w:rPr>
        <w:t> </w:t>
      </w:r>
      <w:r>
        <w:rPr>
          <w:color w:val="231F20"/>
          <w:w w:val="105"/>
        </w:rPr>
        <w:t>la</w:t>
      </w:r>
      <w:r>
        <w:rPr>
          <w:color w:val="231F20"/>
          <w:spacing w:val="-20"/>
          <w:w w:val="105"/>
        </w:rPr>
        <w:t> </w:t>
      </w:r>
      <w:r>
        <w:rPr>
          <w:color w:val="231F20"/>
          <w:spacing w:val="-3"/>
          <w:w w:val="105"/>
        </w:rPr>
        <w:t>cual</w:t>
      </w:r>
      <w:r>
        <w:rPr>
          <w:color w:val="231F20"/>
          <w:spacing w:val="-20"/>
          <w:w w:val="105"/>
        </w:rPr>
        <w:t> </w:t>
      </w:r>
      <w:r>
        <w:rPr>
          <w:color w:val="231F20"/>
          <w:spacing w:val="-3"/>
          <w:w w:val="105"/>
        </w:rPr>
        <w:t>hace</w:t>
      </w:r>
      <w:r>
        <w:rPr>
          <w:color w:val="231F20"/>
          <w:spacing w:val="-20"/>
          <w:w w:val="105"/>
        </w:rPr>
        <w:t> </w:t>
      </w:r>
      <w:r>
        <w:rPr>
          <w:color w:val="231F20"/>
          <w:w w:val="105"/>
        </w:rPr>
        <w:t>un</w:t>
      </w:r>
      <w:r>
        <w:rPr>
          <w:color w:val="231F20"/>
          <w:spacing w:val="-20"/>
          <w:w w:val="105"/>
        </w:rPr>
        <w:t> </w:t>
      </w:r>
      <w:r>
        <w:rPr>
          <w:color w:val="231F20"/>
          <w:spacing w:val="-3"/>
          <w:w w:val="105"/>
        </w:rPr>
        <w:t>modelo</w:t>
      </w:r>
      <w:r>
        <w:rPr>
          <w:color w:val="231F20"/>
          <w:spacing w:val="-20"/>
          <w:w w:val="105"/>
        </w:rPr>
        <w:t> </w:t>
      </w:r>
      <w:r>
        <w:rPr>
          <w:color w:val="231F20"/>
          <w:spacing w:val="-3"/>
          <w:w w:val="105"/>
        </w:rPr>
        <w:t>circular</w:t>
      </w:r>
      <w:r>
        <w:rPr>
          <w:color w:val="231F20"/>
          <w:spacing w:val="-20"/>
          <w:w w:val="105"/>
        </w:rPr>
        <w:t> </w:t>
      </w:r>
      <w:r>
        <w:rPr>
          <w:color w:val="231F20"/>
          <w:w w:val="105"/>
        </w:rPr>
        <w:t>y</w:t>
      </w:r>
      <w:r>
        <w:rPr>
          <w:color w:val="231F20"/>
          <w:spacing w:val="-20"/>
          <w:w w:val="105"/>
        </w:rPr>
        <w:t> </w:t>
      </w:r>
      <w:r>
        <w:rPr>
          <w:color w:val="231F20"/>
          <w:spacing w:val="-4"/>
          <w:w w:val="105"/>
        </w:rPr>
        <w:t>acumulativo,</w:t>
      </w:r>
      <w:r>
        <w:rPr>
          <w:color w:val="231F20"/>
          <w:spacing w:val="-25"/>
          <w:w w:val="105"/>
        </w:rPr>
        <w:t> </w:t>
      </w:r>
      <w:r>
        <w:rPr>
          <w:color w:val="231F20"/>
          <w:w w:val="105"/>
        </w:rPr>
        <w:t>y</w:t>
      </w:r>
      <w:r>
        <w:rPr>
          <w:color w:val="231F20"/>
          <w:spacing w:val="-20"/>
          <w:w w:val="105"/>
        </w:rPr>
        <w:t> </w:t>
      </w:r>
      <w:r>
        <w:rPr>
          <w:color w:val="231F20"/>
          <w:w w:val="105"/>
        </w:rPr>
        <w:t>da</w:t>
      </w:r>
      <w:r>
        <w:rPr>
          <w:color w:val="231F20"/>
          <w:spacing w:val="-20"/>
          <w:w w:val="105"/>
        </w:rPr>
        <w:t> </w:t>
      </w:r>
      <w:r>
        <w:rPr>
          <w:color w:val="231F20"/>
          <w:spacing w:val="-3"/>
          <w:w w:val="105"/>
        </w:rPr>
        <w:t>la posibilidad </w:t>
      </w:r>
      <w:r>
        <w:rPr>
          <w:color w:val="231F20"/>
          <w:w w:val="105"/>
        </w:rPr>
        <w:t>de que una vez que una </w:t>
      </w:r>
      <w:r>
        <w:rPr>
          <w:color w:val="231F20"/>
          <w:spacing w:val="-3"/>
          <w:w w:val="105"/>
        </w:rPr>
        <w:t>región </w:t>
      </w:r>
      <w:r>
        <w:rPr>
          <w:color w:val="231F20"/>
          <w:w w:val="105"/>
        </w:rPr>
        <w:t>ha </w:t>
      </w:r>
      <w:r>
        <w:rPr>
          <w:color w:val="231F20"/>
          <w:spacing w:val="-3"/>
          <w:w w:val="105"/>
        </w:rPr>
        <w:t>obtenido ventajas </w:t>
      </w:r>
      <w:r>
        <w:rPr>
          <w:color w:val="231F20"/>
          <w:w w:val="105"/>
        </w:rPr>
        <w:t>del </w:t>
      </w:r>
      <w:r>
        <w:rPr>
          <w:color w:val="231F20"/>
          <w:spacing w:val="-3"/>
          <w:w w:val="105"/>
        </w:rPr>
        <w:t>cre- cimiento,</w:t>
      </w:r>
      <w:r>
        <w:rPr>
          <w:color w:val="231F20"/>
          <w:spacing w:val="-29"/>
          <w:w w:val="105"/>
        </w:rPr>
        <w:t> </w:t>
      </w:r>
      <w:r>
        <w:rPr>
          <w:color w:val="231F20"/>
          <w:w w:val="105"/>
        </w:rPr>
        <w:t>las</w:t>
      </w:r>
      <w:r>
        <w:rPr>
          <w:color w:val="231F20"/>
          <w:spacing w:val="-24"/>
          <w:w w:val="105"/>
        </w:rPr>
        <w:t> </w:t>
      </w:r>
      <w:r>
        <w:rPr>
          <w:color w:val="231F20"/>
          <w:spacing w:val="-3"/>
          <w:w w:val="105"/>
        </w:rPr>
        <w:t>mantenga.</w:t>
      </w:r>
      <w:r>
        <w:rPr>
          <w:color w:val="231F20"/>
          <w:spacing w:val="-29"/>
          <w:w w:val="105"/>
        </w:rPr>
        <w:t> </w:t>
      </w:r>
      <w:r>
        <w:rPr>
          <w:color w:val="231F20"/>
          <w:w w:val="105"/>
        </w:rPr>
        <w:t>La</w:t>
      </w:r>
      <w:r>
        <w:rPr>
          <w:color w:val="231F20"/>
          <w:spacing w:val="-24"/>
          <w:w w:val="105"/>
        </w:rPr>
        <w:t> </w:t>
      </w:r>
      <w:r>
        <w:rPr>
          <w:color w:val="231F20"/>
          <w:spacing w:val="-3"/>
          <w:w w:val="105"/>
        </w:rPr>
        <w:t>relación</w:t>
      </w:r>
      <w:r>
        <w:rPr>
          <w:color w:val="231F20"/>
          <w:spacing w:val="-24"/>
          <w:w w:val="105"/>
        </w:rPr>
        <w:t> </w:t>
      </w:r>
      <w:r>
        <w:rPr>
          <w:color w:val="231F20"/>
          <w:w w:val="105"/>
        </w:rPr>
        <w:t>de</w:t>
      </w:r>
      <w:r>
        <w:rPr>
          <w:color w:val="231F20"/>
          <w:spacing w:val="-27"/>
          <w:w w:val="105"/>
        </w:rPr>
        <w:t> </w:t>
      </w:r>
      <w:r>
        <w:rPr>
          <w:color w:val="231F20"/>
          <w:spacing w:val="-4"/>
          <w:w w:val="105"/>
        </w:rPr>
        <w:t>Verdoorn</w:t>
      </w:r>
      <w:r>
        <w:rPr>
          <w:color w:val="231F20"/>
          <w:spacing w:val="-24"/>
          <w:w w:val="105"/>
        </w:rPr>
        <w:t> </w:t>
      </w:r>
      <w:r>
        <w:rPr>
          <w:color w:val="231F20"/>
          <w:spacing w:val="-3"/>
          <w:w w:val="105"/>
        </w:rPr>
        <w:t>juega</w:t>
      </w:r>
      <w:r>
        <w:rPr>
          <w:color w:val="231F20"/>
          <w:spacing w:val="-24"/>
          <w:w w:val="105"/>
        </w:rPr>
        <w:t> </w:t>
      </w:r>
      <w:r>
        <w:rPr>
          <w:color w:val="231F20"/>
          <w:w w:val="105"/>
        </w:rPr>
        <w:t>un</w:t>
      </w:r>
      <w:r>
        <w:rPr>
          <w:color w:val="231F20"/>
          <w:spacing w:val="-24"/>
          <w:w w:val="105"/>
        </w:rPr>
        <w:t> </w:t>
      </w:r>
      <w:r>
        <w:rPr>
          <w:color w:val="231F20"/>
          <w:spacing w:val="-3"/>
          <w:w w:val="105"/>
        </w:rPr>
        <w:t>papel</w:t>
      </w:r>
      <w:r>
        <w:rPr>
          <w:color w:val="231F20"/>
          <w:spacing w:val="-24"/>
          <w:w w:val="105"/>
        </w:rPr>
        <w:t> </w:t>
      </w:r>
      <w:r>
        <w:rPr>
          <w:color w:val="231F20"/>
          <w:spacing w:val="-3"/>
          <w:w w:val="105"/>
        </w:rPr>
        <w:t>sustancial </w:t>
      </w:r>
      <w:r>
        <w:rPr>
          <w:color w:val="231F20"/>
          <w:w w:val="105"/>
        </w:rPr>
        <w:t>en el </w:t>
      </w:r>
      <w:r>
        <w:rPr>
          <w:color w:val="231F20"/>
          <w:spacing w:val="-3"/>
          <w:w w:val="105"/>
        </w:rPr>
        <w:t>proceso </w:t>
      </w:r>
      <w:r>
        <w:rPr>
          <w:color w:val="231F20"/>
          <w:w w:val="105"/>
        </w:rPr>
        <w:t>de </w:t>
      </w:r>
      <w:r>
        <w:rPr>
          <w:color w:val="231F20"/>
          <w:spacing w:val="-3"/>
          <w:w w:val="105"/>
        </w:rPr>
        <w:t>crecimiento regional </w:t>
      </w:r>
      <w:r>
        <w:rPr>
          <w:color w:val="231F20"/>
          <w:w w:val="105"/>
        </w:rPr>
        <w:t>y un </w:t>
      </w:r>
      <w:r>
        <w:rPr>
          <w:color w:val="231F20"/>
          <w:spacing w:val="-3"/>
          <w:w w:val="105"/>
        </w:rPr>
        <w:t>papel sustancial </w:t>
      </w:r>
      <w:r>
        <w:rPr>
          <w:color w:val="231F20"/>
          <w:w w:val="105"/>
        </w:rPr>
        <w:t>en la </w:t>
      </w:r>
      <w:r>
        <w:rPr>
          <w:color w:val="231F20"/>
          <w:spacing w:val="-3"/>
          <w:w w:val="105"/>
        </w:rPr>
        <w:t>persis- tencia</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spacing w:val="-3"/>
          <w:w w:val="105"/>
        </w:rPr>
        <w:t>diferencias</w:t>
      </w:r>
      <w:r>
        <w:rPr>
          <w:color w:val="231F20"/>
          <w:spacing w:val="-35"/>
          <w:w w:val="105"/>
        </w:rPr>
        <w:t> </w:t>
      </w:r>
      <w:r>
        <w:rPr>
          <w:color w:val="231F20"/>
          <w:w w:val="105"/>
        </w:rPr>
        <w:t>en</w:t>
      </w:r>
      <w:r>
        <w:rPr>
          <w:color w:val="231F20"/>
          <w:spacing w:val="-35"/>
          <w:w w:val="105"/>
        </w:rPr>
        <w:t> </w:t>
      </w:r>
      <w:r>
        <w:rPr>
          <w:color w:val="231F20"/>
          <w:spacing w:val="-3"/>
          <w:w w:val="105"/>
        </w:rPr>
        <w:t>éste,</w:t>
      </w:r>
      <w:r>
        <w:rPr>
          <w:color w:val="231F20"/>
          <w:spacing w:val="-39"/>
          <w:w w:val="105"/>
        </w:rPr>
        <w:t> </w:t>
      </w:r>
      <w:r>
        <w:rPr>
          <w:color w:val="231F20"/>
          <w:w w:val="105"/>
        </w:rPr>
        <w:t>una</w:t>
      </w:r>
      <w:r>
        <w:rPr>
          <w:color w:val="231F20"/>
          <w:spacing w:val="-35"/>
          <w:w w:val="105"/>
        </w:rPr>
        <w:t> </w:t>
      </w:r>
      <w:r>
        <w:rPr>
          <w:color w:val="231F20"/>
          <w:w w:val="105"/>
        </w:rPr>
        <w:t>vez</w:t>
      </w:r>
      <w:r>
        <w:rPr>
          <w:color w:val="231F20"/>
          <w:spacing w:val="-35"/>
          <w:w w:val="105"/>
        </w:rPr>
        <w:t> </w:t>
      </w:r>
      <w:r>
        <w:rPr>
          <w:color w:val="231F20"/>
          <w:w w:val="105"/>
        </w:rPr>
        <w:t>que</w:t>
      </w:r>
      <w:r>
        <w:rPr>
          <w:color w:val="231F20"/>
          <w:spacing w:val="-35"/>
          <w:w w:val="105"/>
        </w:rPr>
        <w:t> </w:t>
      </w:r>
      <w:r>
        <w:rPr>
          <w:color w:val="231F20"/>
          <w:w w:val="105"/>
        </w:rPr>
        <w:t>han</w:t>
      </w:r>
      <w:r>
        <w:rPr>
          <w:color w:val="231F20"/>
          <w:spacing w:val="-35"/>
          <w:w w:val="105"/>
        </w:rPr>
        <w:t> </w:t>
      </w:r>
      <w:r>
        <w:rPr>
          <w:color w:val="231F20"/>
          <w:spacing w:val="-3"/>
          <w:w w:val="105"/>
        </w:rPr>
        <w:t>alcanzado</w:t>
      </w:r>
      <w:r>
        <w:rPr>
          <w:color w:val="231F20"/>
          <w:spacing w:val="-35"/>
          <w:w w:val="105"/>
        </w:rPr>
        <w:t> </w:t>
      </w:r>
      <w:r>
        <w:rPr>
          <w:color w:val="231F20"/>
          <w:w w:val="105"/>
        </w:rPr>
        <w:t>las</w:t>
      </w:r>
      <w:r>
        <w:rPr>
          <w:color w:val="231F20"/>
          <w:spacing w:val="-35"/>
          <w:w w:val="105"/>
        </w:rPr>
        <w:t> </w:t>
      </w:r>
      <w:r>
        <w:rPr>
          <w:color w:val="231F20"/>
          <w:spacing w:val="-4"/>
          <w:w w:val="105"/>
        </w:rPr>
        <w:t>diferencias </w:t>
      </w:r>
      <w:r>
        <w:rPr>
          <w:color w:val="231F20"/>
          <w:spacing w:val="-3"/>
          <w:w w:val="105"/>
        </w:rPr>
        <w:t>iniciales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spacing w:val="-3"/>
          <w:w w:val="105"/>
        </w:rPr>
        <w:t>otros</w:t>
      </w:r>
      <w:r>
        <w:rPr>
          <w:color w:val="231F20"/>
          <w:spacing w:val="-20"/>
          <w:w w:val="105"/>
        </w:rPr>
        <w:t> </w:t>
      </w:r>
      <w:r>
        <w:rPr>
          <w:color w:val="231F20"/>
          <w:spacing w:val="-4"/>
          <w:w w:val="105"/>
        </w:rPr>
        <w:t>parámetros</w:t>
      </w:r>
      <w:r>
        <w:rPr>
          <w:color w:val="231F20"/>
          <w:spacing w:val="-20"/>
          <w:w w:val="105"/>
        </w:rPr>
        <w:t> </w:t>
      </w:r>
      <w:r>
        <w:rPr>
          <w:color w:val="231F20"/>
          <w:w w:val="105"/>
        </w:rPr>
        <w:t>del</w:t>
      </w:r>
      <w:r>
        <w:rPr>
          <w:color w:val="231F20"/>
          <w:spacing w:val="-20"/>
          <w:w w:val="105"/>
        </w:rPr>
        <w:t> </w:t>
      </w:r>
      <w:r>
        <w:rPr>
          <w:color w:val="231F20"/>
          <w:spacing w:val="-3"/>
          <w:w w:val="105"/>
        </w:rPr>
        <w:t>modelo</w:t>
      </w:r>
      <w:r>
        <w:rPr>
          <w:color w:val="231F20"/>
          <w:spacing w:val="-20"/>
          <w:w w:val="105"/>
        </w:rPr>
        <w:t> </w:t>
      </w:r>
      <w:r>
        <w:rPr>
          <w:color w:val="231F20"/>
          <w:spacing w:val="-3"/>
          <w:w w:val="105"/>
        </w:rPr>
        <w:t>(Dixon</w:t>
      </w:r>
      <w:r>
        <w:rPr>
          <w:color w:val="231F20"/>
          <w:spacing w:val="-20"/>
          <w:w w:val="105"/>
        </w:rPr>
        <w:t> </w:t>
      </w:r>
      <w:r>
        <w:rPr>
          <w:color w:val="231F20"/>
          <w:w w:val="105"/>
        </w:rPr>
        <w:t>y</w:t>
      </w:r>
      <w:r>
        <w:rPr>
          <w:color w:val="231F20"/>
          <w:spacing w:val="-25"/>
          <w:w w:val="105"/>
        </w:rPr>
        <w:t> </w:t>
      </w:r>
      <w:r>
        <w:rPr>
          <w:color w:val="231F20"/>
          <w:spacing w:val="-3"/>
          <w:w w:val="105"/>
        </w:rPr>
        <w:t>Thirlwall,</w:t>
      </w:r>
      <w:r>
        <w:rPr>
          <w:color w:val="231F20"/>
          <w:spacing w:val="-26"/>
          <w:w w:val="105"/>
        </w:rPr>
        <w:t> </w:t>
      </w:r>
      <w:r>
        <w:rPr>
          <w:color w:val="231F20"/>
          <w:spacing w:val="-3"/>
          <w:w w:val="105"/>
        </w:rPr>
        <w:t>1975).</w:t>
      </w:r>
    </w:p>
    <w:p>
      <w:pPr>
        <w:pStyle w:val="BodyText"/>
        <w:spacing w:line="259" w:lineRule="auto"/>
        <w:ind w:left="103" w:right="109" w:firstLine="567"/>
        <w:jc w:val="right"/>
      </w:pPr>
      <w:r>
        <w:rPr>
          <w:color w:val="231F20"/>
          <w:w w:val="105"/>
        </w:rPr>
        <w:t>La</w:t>
      </w:r>
      <w:r>
        <w:rPr>
          <w:color w:val="231F20"/>
          <w:spacing w:val="-22"/>
          <w:w w:val="105"/>
        </w:rPr>
        <w:t> </w:t>
      </w:r>
      <w:r>
        <w:rPr>
          <w:color w:val="231F20"/>
          <w:w w:val="105"/>
        </w:rPr>
        <w:t>ley</w:t>
      </w:r>
      <w:r>
        <w:rPr>
          <w:color w:val="231F20"/>
          <w:spacing w:val="-22"/>
          <w:w w:val="105"/>
        </w:rPr>
        <w:t> </w:t>
      </w:r>
      <w:r>
        <w:rPr>
          <w:color w:val="231F20"/>
          <w:w w:val="105"/>
        </w:rPr>
        <w:t>de</w:t>
      </w:r>
      <w:r>
        <w:rPr>
          <w:color w:val="231F20"/>
          <w:spacing w:val="-24"/>
          <w:w w:val="105"/>
        </w:rPr>
        <w:t> </w:t>
      </w:r>
      <w:r>
        <w:rPr>
          <w:color w:val="231F20"/>
          <w:w w:val="105"/>
        </w:rPr>
        <w:t>Verdoorn</w:t>
      </w:r>
      <w:r>
        <w:rPr>
          <w:color w:val="231F20"/>
          <w:spacing w:val="-22"/>
          <w:w w:val="105"/>
        </w:rPr>
        <w:t> </w:t>
      </w:r>
      <w:r>
        <w:rPr>
          <w:color w:val="231F20"/>
          <w:w w:val="105"/>
        </w:rPr>
        <w:t>establece</w:t>
      </w:r>
      <w:r>
        <w:rPr>
          <w:color w:val="231F20"/>
          <w:spacing w:val="-22"/>
          <w:w w:val="105"/>
        </w:rPr>
        <w:t> </w:t>
      </w:r>
      <w:r>
        <w:rPr>
          <w:color w:val="231F20"/>
          <w:w w:val="105"/>
        </w:rPr>
        <w:t>que</w:t>
      </w:r>
      <w:r>
        <w:rPr>
          <w:color w:val="231F20"/>
          <w:spacing w:val="-22"/>
          <w:w w:val="105"/>
        </w:rPr>
        <w:t> </w:t>
      </w:r>
      <w:r>
        <w:rPr>
          <w:color w:val="231F20"/>
          <w:w w:val="105"/>
        </w:rPr>
        <w:t>las</w:t>
      </w:r>
      <w:r>
        <w:rPr>
          <w:color w:val="231F20"/>
          <w:spacing w:val="-22"/>
          <w:w w:val="105"/>
        </w:rPr>
        <w:t> </w:t>
      </w:r>
      <w:r>
        <w:rPr>
          <w:color w:val="231F20"/>
          <w:w w:val="105"/>
        </w:rPr>
        <w:t>regiones</w:t>
      </w:r>
      <w:r>
        <w:rPr>
          <w:color w:val="231F20"/>
          <w:spacing w:val="-22"/>
          <w:w w:val="105"/>
        </w:rPr>
        <w:t> </w:t>
      </w:r>
      <w:r>
        <w:rPr>
          <w:color w:val="231F20"/>
          <w:w w:val="105"/>
        </w:rPr>
        <w:t>que</w:t>
      </w:r>
      <w:r>
        <w:rPr>
          <w:color w:val="231F20"/>
          <w:spacing w:val="-22"/>
          <w:w w:val="105"/>
        </w:rPr>
        <w:t> </w:t>
      </w:r>
      <w:r>
        <w:rPr>
          <w:color w:val="231F20"/>
          <w:w w:val="105"/>
        </w:rPr>
        <w:t>muestran</w:t>
      </w:r>
      <w:r>
        <w:rPr>
          <w:color w:val="231F20"/>
          <w:spacing w:val="-22"/>
          <w:w w:val="105"/>
        </w:rPr>
        <w:t> </w:t>
      </w:r>
      <w:r>
        <w:rPr>
          <w:color w:val="231F20"/>
          <w:w w:val="105"/>
        </w:rPr>
        <w:t>creci-</w:t>
      </w:r>
      <w:r>
        <w:rPr>
          <w:color w:val="231F20"/>
          <w:w w:val="96"/>
        </w:rPr>
        <w:t> </w:t>
      </w:r>
      <w:r>
        <w:rPr>
          <w:color w:val="231F20"/>
          <w:w w:val="105"/>
        </w:rPr>
        <w:t>miento</w:t>
      </w:r>
      <w:r>
        <w:rPr>
          <w:color w:val="231F20"/>
          <w:spacing w:val="-18"/>
          <w:w w:val="105"/>
        </w:rPr>
        <w:t> </w:t>
      </w:r>
      <w:r>
        <w:rPr>
          <w:color w:val="231F20"/>
          <w:w w:val="105"/>
        </w:rPr>
        <w:t>más</w:t>
      </w:r>
      <w:r>
        <w:rPr>
          <w:color w:val="231F20"/>
          <w:spacing w:val="-18"/>
          <w:w w:val="105"/>
        </w:rPr>
        <w:t> </w:t>
      </w:r>
      <w:r>
        <w:rPr>
          <w:color w:val="231F20"/>
          <w:w w:val="105"/>
        </w:rPr>
        <w:t>alto</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producción</w:t>
      </w:r>
      <w:r>
        <w:rPr>
          <w:color w:val="231F20"/>
          <w:spacing w:val="-18"/>
          <w:w w:val="105"/>
        </w:rPr>
        <w:t> </w:t>
      </w:r>
      <w:r>
        <w:rPr>
          <w:color w:val="231F20"/>
          <w:w w:val="105"/>
        </w:rPr>
        <w:t>son</w:t>
      </w:r>
      <w:r>
        <w:rPr>
          <w:color w:val="231F20"/>
          <w:spacing w:val="-18"/>
          <w:w w:val="105"/>
        </w:rPr>
        <w:t> </w:t>
      </w:r>
      <w:r>
        <w:rPr>
          <w:color w:val="231F20"/>
          <w:w w:val="105"/>
        </w:rPr>
        <w:t>capaces</w:t>
      </w:r>
      <w:r>
        <w:rPr>
          <w:color w:val="231F20"/>
          <w:spacing w:val="-18"/>
          <w:w w:val="105"/>
        </w:rPr>
        <w:t> </w:t>
      </w:r>
      <w:r>
        <w:rPr>
          <w:color w:val="231F20"/>
          <w:w w:val="105"/>
        </w:rPr>
        <w:t>de</w:t>
      </w:r>
      <w:r>
        <w:rPr>
          <w:color w:val="231F20"/>
          <w:spacing w:val="-18"/>
          <w:w w:val="105"/>
        </w:rPr>
        <w:t> </w:t>
      </w:r>
      <w:r>
        <w:rPr>
          <w:color w:val="231F20"/>
          <w:w w:val="105"/>
        </w:rPr>
        <w:t>recoger</w:t>
      </w:r>
      <w:r>
        <w:rPr>
          <w:color w:val="231F20"/>
          <w:spacing w:val="-18"/>
          <w:w w:val="105"/>
        </w:rPr>
        <w:t> </w:t>
      </w:r>
      <w:r>
        <w:rPr>
          <w:color w:val="231F20"/>
          <w:w w:val="105"/>
        </w:rPr>
        <w:t>los</w:t>
      </w:r>
      <w:r>
        <w:rPr>
          <w:color w:val="231F20"/>
          <w:spacing w:val="-18"/>
          <w:w w:val="105"/>
        </w:rPr>
        <w:t> </w:t>
      </w:r>
      <w:r>
        <w:rPr>
          <w:color w:val="231F20"/>
          <w:w w:val="105"/>
        </w:rPr>
        <w:t>beneficios</w:t>
      </w:r>
      <w:r>
        <w:rPr>
          <w:color w:val="231F20"/>
          <w:w w:val="104"/>
        </w:rPr>
        <w:t> </w:t>
      </w:r>
      <w:r>
        <w:rPr>
          <w:color w:val="231F20"/>
          <w:w w:val="105"/>
        </w:rPr>
        <w:t>de sus rendimientos crecientes, en comparación con los de</w:t>
      </w:r>
      <w:r>
        <w:rPr>
          <w:color w:val="231F20"/>
          <w:spacing w:val="30"/>
          <w:w w:val="105"/>
        </w:rPr>
        <w:t> </w:t>
      </w:r>
      <w:r>
        <w:rPr>
          <w:color w:val="231F20"/>
          <w:w w:val="105"/>
        </w:rPr>
        <w:t>bajo</w:t>
      </w:r>
      <w:r>
        <w:rPr>
          <w:color w:val="231F20"/>
          <w:spacing w:val="3"/>
          <w:w w:val="105"/>
        </w:rPr>
        <w:t> </w:t>
      </w:r>
      <w:r>
        <w:rPr>
          <w:color w:val="231F20"/>
          <w:w w:val="105"/>
        </w:rPr>
        <w:t>creci-</w:t>
      </w:r>
      <w:r>
        <w:rPr>
          <w:color w:val="231F20"/>
          <w:w w:val="96"/>
        </w:rPr>
        <w:t> </w:t>
      </w:r>
      <w:r>
        <w:rPr>
          <w:color w:val="231F20"/>
          <w:w w:val="105"/>
        </w:rPr>
        <w:t>miento. Estos rendimientos crecientes tienen efectos positivos</w:t>
      </w:r>
      <w:r>
        <w:rPr>
          <w:color w:val="231F20"/>
          <w:spacing w:val="-13"/>
          <w:w w:val="105"/>
        </w:rPr>
        <w:t> </w:t>
      </w:r>
      <w:r>
        <w:rPr>
          <w:color w:val="231F20"/>
          <w:w w:val="105"/>
        </w:rPr>
        <w:t>sobre</w:t>
      </w:r>
      <w:r>
        <w:rPr>
          <w:color w:val="231F20"/>
          <w:spacing w:val="-2"/>
          <w:w w:val="105"/>
        </w:rPr>
        <w:t> </w:t>
      </w:r>
      <w:r>
        <w:rPr>
          <w:color w:val="231F20"/>
          <w:w w:val="105"/>
        </w:rPr>
        <w:t>la</w:t>
      </w:r>
      <w:r>
        <w:rPr>
          <w:color w:val="231F20"/>
          <w:w w:val="100"/>
        </w:rPr>
        <w:t> </w:t>
      </w:r>
      <w:r>
        <w:rPr>
          <w:color w:val="231F20"/>
          <w:w w:val="105"/>
        </w:rPr>
        <w:t>productividad</w:t>
      </w:r>
      <w:r>
        <w:rPr>
          <w:color w:val="231F20"/>
          <w:spacing w:val="-10"/>
          <w:w w:val="105"/>
        </w:rPr>
        <w:t> </w:t>
      </w:r>
      <w:r>
        <w:rPr>
          <w:color w:val="231F20"/>
          <w:w w:val="105"/>
        </w:rPr>
        <w:t>y</w:t>
      </w:r>
      <w:r>
        <w:rPr>
          <w:color w:val="231F20"/>
          <w:spacing w:val="-10"/>
          <w:w w:val="105"/>
        </w:rPr>
        <w:t> </w:t>
      </w:r>
      <w:r>
        <w:rPr>
          <w:color w:val="231F20"/>
          <w:w w:val="105"/>
        </w:rPr>
        <w:t>originan</w:t>
      </w:r>
      <w:r>
        <w:rPr>
          <w:color w:val="231F20"/>
          <w:spacing w:val="-10"/>
          <w:w w:val="105"/>
        </w:rPr>
        <w:t> </w:t>
      </w:r>
      <w:r>
        <w:rPr>
          <w:color w:val="231F20"/>
          <w:w w:val="105"/>
        </w:rPr>
        <w:t>fuertes</w:t>
      </w:r>
      <w:r>
        <w:rPr>
          <w:color w:val="231F20"/>
          <w:spacing w:val="-10"/>
          <w:w w:val="105"/>
        </w:rPr>
        <w:t> </w:t>
      </w:r>
      <w:r>
        <w:rPr>
          <w:color w:val="231F20"/>
          <w:w w:val="105"/>
        </w:rPr>
        <w:t>ventajas</w:t>
      </w:r>
      <w:r>
        <w:rPr>
          <w:color w:val="231F20"/>
          <w:spacing w:val="-10"/>
          <w:w w:val="105"/>
        </w:rPr>
        <w:t> </w:t>
      </w:r>
      <w:r>
        <w:rPr>
          <w:color w:val="231F20"/>
          <w:w w:val="105"/>
        </w:rPr>
        <w:t>competitivas</w:t>
      </w:r>
      <w:r>
        <w:rPr>
          <w:color w:val="231F20"/>
          <w:spacing w:val="-10"/>
          <w:w w:val="105"/>
        </w:rPr>
        <w:t> </w:t>
      </w:r>
      <w:r>
        <w:rPr>
          <w:color w:val="231F20"/>
          <w:w w:val="105"/>
        </w:rPr>
        <w:t>para</w:t>
      </w:r>
      <w:r>
        <w:rPr>
          <w:color w:val="231F20"/>
          <w:spacing w:val="-10"/>
          <w:w w:val="105"/>
        </w:rPr>
        <w:t> </w:t>
      </w:r>
      <w:r>
        <w:rPr>
          <w:color w:val="231F20"/>
          <w:w w:val="105"/>
        </w:rPr>
        <w:t>las</w:t>
      </w:r>
      <w:r>
        <w:rPr>
          <w:color w:val="231F20"/>
          <w:spacing w:val="-10"/>
          <w:w w:val="105"/>
        </w:rPr>
        <w:t> </w:t>
      </w:r>
      <w:r>
        <w:rPr>
          <w:color w:val="231F20"/>
          <w:w w:val="105"/>
        </w:rPr>
        <w:t>regiones</w:t>
      </w:r>
      <w:r>
        <w:rPr>
          <w:color w:val="231F20"/>
          <w:w w:val="104"/>
        </w:rPr>
        <w:t> </w:t>
      </w:r>
      <w:r>
        <w:rPr>
          <w:color w:val="231F20"/>
          <w:w w:val="105"/>
        </w:rPr>
        <w:t>con</w:t>
      </w:r>
      <w:r>
        <w:rPr>
          <w:color w:val="231F20"/>
          <w:spacing w:val="-18"/>
          <w:w w:val="105"/>
        </w:rPr>
        <w:t> </w:t>
      </w:r>
      <w:r>
        <w:rPr>
          <w:color w:val="231F20"/>
          <w:w w:val="105"/>
        </w:rPr>
        <w:t>más</w:t>
      </w:r>
      <w:r>
        <w:rPr>
          <w:color w:val="231F20"/>
          <w:spacing w:val="-18"/>
          <w:w w:val="105"/>
        </w:rPr>
        <w:t> </w:t>
      </w:r>
      <w:r>
        <w:rPr>
          <w:color w:val="231F20"/>
          <w:w w:val="105"/>
        </w:rPr>
        <w:t>y</w:t>
      </w:r>
      <w:r>
        <w:rPr>
          <w:color w:val="231F20"/>
          <w:spacing w:val="-18"/>
          <w:w w:val="105"/>
        </w:rPr>
        <w:t> </w:t>
      </w:r>
      <w:r>
        <w:rPr>
          <w:color w:val="231F20"/>
          <w:w w:val="105"/>
        </w:rPr>
        <w:t>mayores</w:t>
      </w:r>
      <w:r>
        <w:rPr>
          <w:color w:val="231F20"/>
          <w:spacing w:val="-18"/>
          <w:w w:val="105"/>
        </w:rPr>
        <w:t> </w:t>
      </w:r>
      <w:r>
        <w:rPr>
          <w:color w:val="231F20"/>
          <w:w w:val="105"/>
        </w:rPr>
        <w:t>incrementos</w:t>
      </w:r>
      <w:r>
        <w:rPr>
          <w:color w:val="231F20"/>
          <w:spacing w:val="-18"/>
          <w:w w:val="105"/>
        </w:rPr>
        <w:t> </w:t>
      </w:r>
      <w:r>
        <w:rPr>
          <w:color w:val="231F20"/>
          <w:w w:val="105"/>
        </w:rPr>
        <w:t>de</w:t>
      </w:r>
      <w:r>
        <w:rPr>
          <w:color w:val="231F20"/>
          <w:spacing w:val="-18"/>
          <w:w w:val="105"/>
        </w:rPr>
        <w:t> </w:t>
      </w:r>
      <w:r>
        <w:rPr>
          <w:color w:val="231F20"/>
          <w:w w:val="105"/>
        </w:rPr>
        <w:t>productividad</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sectores</w:t>
      </w:r>
      <w:r>
        <w:rPr>
          <w:color w:val="231F20"/>
          <w:spacing w:val="-18"/>
          <w:w w:val="105"/>
        </w:rPr>
        <w:t> </w:t>
      </w:r>
      <w:r>
        <w:rPr>
          <w:color w:val="231F20"/>
          <w:w w:val="105"/>
        </w:rPr>
        <w:t>manu-</w:t>
      </w:r>
      <w:r>
        <w:rPr>
          <w:color w:val="231F20"/>
          <w:w w:val="96"/>
        </w:rPr>
        <w:t> </w:t>
      </w:r>
      <w:r>
        <w:rPr>
          <w:color w:val="231F20"/>
          <w:w w:val="105"/>
        </w:rPr>
        <w:t>factureros.</w:t>
      </w:r>
      <w:r>
        <w:rPr>
          <w:color w:val="231F20"/>
          <w:spacing w:val="-27"/>
          <w:w w:val="105"/>
        </w:rPr>
        <w:t> </w:t>
      </w:r>
      <w:r>
        <w:rPr>
          <w:color w:val="231F20"/>
          <w:w w:val="105"/>
        </w:rPr>
        <w:t>Esto</w:t>
      </w:r>
      <w:r>
        <w:rPr>
          <w:color w:val="231F20"/>
          <w:spacing w:val="-21"/>
          <w:w w:val="105"/>
        </w:rPr>
        <w:t> </w:t>
      </w:r>
      <w:r>
        <w:rPr>
          <w:color w:val="231F20"/>
          <w:w w:val="105"/>
        </w:rPr>
        <w:t>sin</w:t>
      </w:r>
      <w:r>
        <w:rPr>
          <w:color w:val="231F20"/>
          <w:spacing w:val="-21"/>
          <w:w w:val="105"/>
        </w:rPr>
        <w:t> </w:t>
      </w:r>
      <w:r>
        <w:rPr>
          <w:color w:val="231F20"/>
          <w:w w:val="105"/>
        </w:rPr>
        <w:t>embargo,</w:t>
      </w:r>
      <w:r>
        <w:rPr>
          <w:color w:val="231F20"/>
          <w:spacing w:val="-27"/>
          <w:w w:val="105"/>
        </w:rPr>
        <w:t> </w:t>
      </w:r>
      <w:r>
        <w:rPr>
          <w:color w:val="231F20"/>
          <w:w w:val="105"/>
        </w:rPr>
        <w:t>produce</w:t>
      </w:r>
      <w:r>
        <w:rPr>
          <w:color w:val="231F20"/>
          <w:spacing w:val="-21"/>
          <w:w w:val="105"/>
        </w:rPr>
        <w:t> </w:t>
      </w:r>
      <w:r>
        <w:rPr>
          <w:color w:val="231F20"/>
          <w:w w:val="105"/>
        </w:rPr>
        <w:t>diferencias</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productividad</w:t>
      </w:r>
      <w:r>
        <w:rPr>
          <w:color w:val="231F20"/>
          <w:spacing w:val="-21"/>
          <w:w w:val="105"/>
        </w:rPr>
        <w:t> </w:t>
      </w:r>
      <w:r>
        <w:rPr>
          <w:color w:val="231F20"/>
          <w:w w:val="105"/>
        </w:rPr>
        <w:t>re-</w:t>
      </w:r>
      <w:r>
        <w:rPr>
          <w:color w:val="231F20"/>
          <w:w w:val="96"/>
        </w:rPr>
        <w:t> </w:t>
      </w:r>
      <w:r>
        <w:rPr>
          <w:color w:val="231F20"/>
          <w:w w:val="105"/>
        </w:rPr>
        <w:t>gional</w:t>
      </w:r>
      <w:r>
        <w:rPr>
          <w:color w:val="231F20"/>
          <w:spacing w:val="-18"/>
          <w:w w:val="105"/>
        </w:rPr>
        <w:t> </w:t>
      </w:r>
      <w:r>
        <w:rPr>
          <w:color w:val="231F20"/>
          <w:w w:val="105"/>
        </w:rPr>
        <w:t>causadas</w:t>
      </w:r>
      <w:r>
        <w:rPr>
          <w:color w:val="231F20"/>
          <w:spacing w:val="-18"/>
          <w:w w:val="105"/>
        </w:rPr>
        <w:t> </w:t>
      </w:r>
      <w:r>
        <w:rPr>
          <w:color w:val="231F20"/>
          <w:w w:val="105"/>
        </w:rPr>
        <w:t>por</w:t>
      </w:r>
      <w:r>
        <w:rPr>
          <w:color w:val="231F20"/>
          <w:spacing w:val="-18"/>
          <w:w w:val="105"/>
        </w:rPr>
        <w:t> </w:t>
      </w:r>
      <w:r>
        <w:rPr>
          <w:color w:val="231F20"/>
          <w:w w:val="105"/>
        </w:rPr>
        <w:t>las</w:t>
      </w:r>
      <w:r>
        <w:rPr>
          <w:color w:val="231F20"/>
          <w:spacing w:val="-18"/>
          <w:w w:val="105"/>
        </w:rPr>
        <w:t> </w:t>
      </w:r>
      <w:r>
        <w:rPr>
          <w:color w:val="231F20"/>
          <w:w w:val="105"/>
        </w:rPr>
        <w:t>disparidades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crecimiento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producción.</w:t>
      </w:r>
    </w:p>
    <w:p>
      <w:pPr>
        <w:pStyle w:val="BodyText"/>
        <w:spacing w:line="259" w:lineRule="auto"/>
        <w:ind w:left="103" w:right="114" w:firstLine="567"/>
        <w:jc w:val="both"/>
      </w:pPr>
      <w:r>
        <w:rPr>
          <w:color w:val="231F20"/>
          <w:w w:val="105"/>
        </w:rPr>
        <w:t>Desde esta perspectiva la ley de Verdoorn forma una</w:t>
      </w:r>
      <w:r>
        <w:rPr>
          <w:color w:val="231F20"/>
          <w:spacing w:val="-17"/>
          <w:w w:val="105"/>
        </w:rPr>
        <w:t> </w:t>
      </w:r>
      <w:r>
        <w:rPr>
          <w:color w:val="231F20"/>
          <w:w w:val="105"/>
        </w:rPr>
        <w:t>explicación para la persistencia de disparidades en la productividad regional de</w:t>
      </w:r>
      <w:r>
        <w:rPr>
          <w:color w:val="231F20"/>
          <w:spacing w:val="-24"/>
          <w:w w:val="105"/>
        </w:rPr>
        <w:t> </w:t>
      </w:r>
      <w:r>
        <w:rPr>
          <w:color w:val="231F20"/>
          <w:w w:val="105"/>
        </w:rPr>
        <w:t>las manufacturas. Una tasa más rápida de crecimiento de la productividad manufacturera en una región tenderá a aumentar el crecimiento de la productividad a través del efecto Verdoorn, el cual en una fase subsi- guiente</w:t>
      </w:r>
      <w:r>
        <w:rPr>
          <w:color w:val="231F20"/>
          <w:spacing w:val="-7"/>
          <w:w w:val="105"/>
        </w:rPr>
        <w:t> </w:t>
      </w:r>
      <w:r>
        <w:rPr>
          <w:color w:val="231F20"/>
          <w:w w:val="105"/>
        </w:rPr>
        <w:t>tiende</w:t>
      </w:r>
      <w:r>
        <w:rPr>
          <w:color w:val="231F20"/>
          <w:spacing w:val="-7"/>
          <w:w w:val="105"/>
        </w:rPr>
        <w:t> </w:t>
      </w:r>
      <w:r>
        <w:rPr>
          <w:color w:val="231F20"/>
          <w:w w:val="105"/>
        </w:rPr>
        <w:t>a</w:t>
      </w:r>
      <w:r>
        <w:rPr>
          <w:color w:val="231F20"/>
          <w:spacing w:val="-7"/>
          <w:w w:val="105"/>
        </w:rPr>
        <w:t> </w:t>
      </w:r>
      <w:r>
        <w:rPr>
          <w:color w:val="231F20"/>
          <w:w w:val="105"/>
        </w:rPr>
        <w:t>aumentar</w:t>
      </w:r>
      <w:r>
        <w:rPr>
          <w:color w:val="231F20"/>
          <w:spacing w:val="-7"/>
          <w:w w:val="105"/>
        </w:rPr>
        <w:t> </w:t>
      </w:r>
      <w:r>
        <w:rPr>
          <w:color w:val="231F20"/>
          <w:w w:val="105"/>
        </w:rPr>
        <w:t>la</w:t>
      </w:r>
      <w:r>
        <w:rPr>
          <w:color w:val="231F20"/>
          <w:spacing w:val="-7"/>
          <w:w w:val="105"/>
        </w:rPr>
        <w:t> </w:t>
      </w:r>
      <w:r>
        <w:rPr>
          <w:color w:val="231F20"/>
          <w:w w:val="105"/>
        </w:rPr>
        <w:t>competitividad</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región.</w:t>
      </w:r>
      <w:r>
        <w:rPr>
          <w:color w:val="231F20"/>
          <w:spacing w:val="-14"/>
          <w:w w:val="105"/>
        </w:rPr>
        <w:t> </w:t>
      </w:r>
      <w:r>
        <w:rPr>
          <w:color w:val="231F20"/>
          <w:w w:val="105"/>
        </w:rPr>
        <w:t>Esto</w:t>
      </w:r>
      <w:r>
        <w:rPr>
          <w:color w:val="231F20"/>
          <w:spacing w:val="-7"/>
          <w:w w:val="105"/>
        </w:rPr>
        <w:t> </w:t>
      </w:r>
      <w:r>
        <w:rPr>
          <w:color w:val="231F20"/>
          <w:w w:val="105"/>
        </w:rPr>
        <w:t>generará un</w:t>
      </w:r>
      <w:r>
        <w:rPr>
          <w:color w:val="231F20"/>
          <w:spacing w:val="-16"/>
          <w:w w:val="105"/>
        </w:rPr>
        <w:t> </w:t>
      </w:r>
      <w:r>
        <w:rPr>
          <w:color w:val="231F20"/>
          <w:w w:val="105"/>
        </w:rPr>
        <w:t>rápido</w:t>
      </w:r>
      <w:r>
        <w:rPr>
          <w:color w:val="231F20"/>
          <w:spacing w:val="-16"/>
          <w:w w:val="105"/>
        </w:rPr>
        <w:t> </w:t>
      </w:r>
      <w:r>
        <w:rPr>
          <w:color w:val="231F20"/>
          <w:w w:val="105"/>
        </w:rPr>
        <w:t>crecimiento</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exportaciones</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región,</w:t>
      </w:r>
      <w:r>
        <w:rPr>
          <w:color w:val="231F20"/>
          <w:spacing w:val="-21"/>
          <w:w w:val="105"/>
        </w:rPr>
        <w:t> </w:t>
      </w:r>
      <w:r>
        <w:rPr>
          <w:color w:val="231F20"/>
          <w:w w:val="105"/>
        </w:rPr>
        <w:t>las</w:t>
      </w:r>
      <w:r>
        <w:rPr>
          <w:color w:val="231F20"/>
          <w:spacing w:val="-16"/>
          <w:w w:val="105"/>
        </w:rPr>
        <w:t> </w:t>
      </w:r>
      <w:r>
        <w:rPr>
          <w:color w:val="231F20"/>
          <w:w w:val="105"/>
        </w:rPr>
        <w:t>cuales</w:t>
      </w:r>
      <w:r>
        <w:rPr>
          <w:color w:val="231F20"/>
          <w:spacing w:val="-16"/>
          <w:w w:val="105"/>
        </w:rPr>
        <w:t> </w:t>
      </w:r>
      <w:r>
        <w:rPr>
          <w:color w:val="231F20"/>
          <w:w w:val="105"/>
        </w:rPr>
        <w:t>au- mentarán las tasas de crecimiento. El rápido crecimiento de la produc- ción acelerará el crecimiento de la productividad guiando a fuertes</w:t>
      </w:r>
      <w:r>
        <w:rPr>
          <w:color w:val="231F20"/>
          <w:spacing w:val="-20"/>
          <w:w w:val="105"/>
        </w:rPr>
        <w:t> </w:t>
      </w:r>
      <w:r>
        <w:rPr>
          <w:color w:val="231F20"/>
          <w:w w:val="105"/>
        </w:rPr>
        <w:t>me- joras en las ventajas de competitividad de la región. El efecto</w:t>
      </w:r>
      <w:r>
        <w:rPr>
          <w:color w:val="231F20"/>
          <w:spacing w:val="-41"/>
          <w:w w:val="105"/>
        </w:rPr>
        <w:t> </w:t>
      </w:r>
      <w:r>
        <w:rPr>
          <w:color w:val="231F20"/>
          <w:w w:val="105"/>
        </w:rPr>
        <w:t>Verdoorn sin embargo, provee un mecanismo en el cual la región que crece</w:t>
      </w:r>
      <w:r>
        <w:rPr>
          <w:color w:val="231F20"/>
          <w:spacing w:val="-18"/>
          <w:w w:val="105"/>
        </w:rPr>
        <w:t> </w:t>
      </w:r>
      <w:r>
        <w:rPr>
          <w:color w:val="231F20"/>
          <w:w w:val="105"/>
        </w:rPr>
        <w:t>más rápido obtendrá productividad o ventajas, lo cual probablemente sig- nifique que éste continuará creciendo más rápidamente reforzando los defectos</w:t>
      </w:r>
      <w:r>
        <w:rPr>
          <w:color w:val="231F20"/>
          <w:spacing w:val="-23"/>
          <w:w w:val="105"/>
        </w:rPr>
        <w:t> </w:t>
      </w:r>
      <w:r>
        <w:rPr>
          <w:color w:val="231F20"/>
          <w:w w:val="105"/>
        </w:rPr>
        <w:t>de</w:t>
      </w:r>
      <w:r>
        <w:rPr>
          <w:color w:val="231F20"/>
          <w:spacing w:val="-23"/>
          <w:w w:val="105"/>
        </w:rPr>
        <w:t> </w:t>
      </w:r>
      <w:r>
        <w:rPr>
          <w:color w:val="231F20"/>
          <w:w w:val="105"/>
        </w:rPr>
        <w:t>desequilibrio</w:t>
      </w:r>
      <w:r>
        <w:rPr>
          <w:color w:val="231F20"/>
          <w:spacing w:val="-23"/>
          <w:w w:val="105"/>
        </w:rPr>
        <w:t> </w:t>
      </w:r>
      <w:r>
        <w:rPr>
          <w:color w:val="231F20"/>
          <w:w w:val="105"/>
        </w:rPr>
        <w:t>(Stilianos</w:t>
      </w:r>
      <w:r>
        <w:rPr>
          <w:color w:val="231F20"/>
          <w:spacing w:val="-23"/>
          <w:w w:val="105"/>
        </w:rPr>
        <w:t> </w:t>
      </w:r>
      <w:r>
        <w:rPr>
          <w:color w:val="231F20"/>
          <w:w w:val="105"/>
        </w:rPr>
        <w:t>y</w:t>
      </w:r>
      <w:r>
        <w:rPr>
          <w:color w:val="231F20"/>
          <w:spacing w:val="-26"/>
          <w:w w:val="105"/>
        </w:rPr>
        <w:t> </w:t>
      </w:r>
      <w:r>
        <w:rPr>
          <w:color w:val="231F20"/>
          <w:spacing w:val="-3"/>
          <w:w w:val="105"/>
        </w:rPr>
        <w:t>Tsagdis,</w:t>
      </w:r>
      <w:r>
        <w:rPr>
          <w:color w:val="231F20"/>
          <w:spacing w:val="-28"/>
          <w:w w:val="105"/>
        </w:rPr>
        <w:t> </w:t>
      </w:r>
      <w:r>
        <w:rPr>
          <w:color w:val="231F20"/>
          <w:w w:val="105"/>
        </w:rPr>
        <w:t>2006).</w:t>
      </w:r>
    </w:p>
    <w:p>
      <w:pPr>
        <w:pStyle w:val="BodyText"/>
        <w:spacing w:line="259" w:lineRule="auto"/>
        <w:ind w:left="103" w:right="115" w:firstLine="567"/>
        <w:jc w:val="both"/>
      </w:pPr>
      <w:r>
        <w:rPr>
          <w:color w:val="231F20"/>
          <w:w w:val="105"/>
        </w:rPr>
        <w:t>Kaldor prefirió seguir la opción de tratar los rendimientos</w:t>
      </w:r>
      <w:r>
        <w:rPr>
          <w:color w:val="231F20"/>
          <w:spacing w:val="-28"/>
          <w:w w:val="105"/>
        </w:rPr>
        <w:t> </w:t>
      </w:r>
      <w:r>
        <w:rPr>
          <w:color w:val="231F20"/>
          <w:w w:val="105"/>
        </w:rPr>
        <w:t>crecien- tes</w:t>
      </w:r>
      <w:r>
        <w:rPr>
          <w:color w:val="231F20"/>
          <w:spacing w:val="-21"/>
          <w:w w:val="105"/>
        </w:rPr>
        <w:t> </w:t>
      </w:r>
      <w:r>
        <w:rPr>
          <w:color w:val="231F20"/>
          <w:w w:val="105"/>
        </w:rPr>
        <w:t>como</w:t>
      </w:r>
      <w:r>
        <w:rPr>
          <w:color w:val="231F20"/>
          <w:spacing w:val="-21"/>
          <w:w w:val="105"/>
        </w:rPr>
        <w:t> </w:t>
      </w:r>
      <w:r>
        <w:rPr>
          <w:color w:val="231F20"/>
          <w:w w:val="105"/>
        </w:rPr>
        <w:t>un</w:t>
      </w:r>
      <w:r>
        <w:rPr>
          <w:color w:val="231F20"/>
          <w:spacing w:val="-21"/>
          <w:w w:val="105"/>
        </w:rPr>
        <w:t> </w:t>
      </w:r>
      <w:r>
        <w:rPr>
          <w:color w:val="231F20"/>
          <w:w w:val="105"/>
        </w:rPr>
        <w:t>fenómeno</w:t>
      </w:r>
      <w:r>
        <w:rPr>
          <w:color w:val="231F20"/>
          <w:spacing w:val="-21"/>
          <w:w w:val="105"/>
        </w:rPr>
        <w:t> </w:t>
      </w:r>
      <w:r>
        <w:rPr>
          <w:color w:val="231F20"/>
          <w:w w:val="105"/>
        </w:rPr>
        <w:t>macroeconómico,</w:t>
      </w:r>
      <w:r>
        <w:rPr>
          <w:color w:val="231F20"/>
          <w:spacing w:val="-26"/>
          <w:w w:val="105"/>
        </w:rPr>
        <w:t> </w:t>
      </w:r>
      <w:r>
        <w:rPr>
          <w:color w:val="231F20"/>
          <w:w w:val="105"/>
        </w:rPr>
        <w:t>es</w:t>
      </w:r>
      <w:r>
        <w:rPr>
          <w:color w:val="231F20"/>
          <w:spacing w:val="-21"/>
          <w:w w:val="105"/>
        </w:rPr>
        <w:t> </w:t>
      </w:r>
      <w:r>
        <w:rPr>
          <w:color w:val="231F20"/>
          <w:w w:val="105"/>
        </w:rPr>
        <w:t>decir,</w:t>
      </w:r>
      <w:r>
        <w:rPr>
          <w:color w:val="231F20"/>
          <w:spacing w:val="-26"/>
          <w:w w:val="105"/>
        </w:rPr>
        <w:t> </w:t>
      </w:r>
      <w:r>
        <w:rPr>
          <w:color w:val="231F20"/>
          <w:w w:val="105"/>
        </w:rPr>
        <w:t>como</w:t>
      </w:r>
      <w:r>
        <w:rPr>
          <w:color w:val="231F20"/>
          <w:spacing w:val="-21"/>
          <w:w w:val="105"/>
        </w:rPr>
        <w:t> </w:t>
      </w:r>
      <w:r>
        <w:rPr>
          <w:color w:val="231F20"/>
          <w:w w:val="105"/>
        </w:rPr>
        <w:t>un</w:t>
      </w:r>
      <w:r>
        <w:rPr>
          <w:color w:val="231F20"/>
          <w:spacing w:val="-21"/>
          <w:w w:val="105"/>
        </w:rPr>
        <w:t> </w:t>
      </w:r>
      <w:r>
        <w:rPr>
          <w:color w:val="231F20"/>
          <w:w w:val="105"/>
        </w:rPr>
        <w:t>resultado</w:t>
      </w:r>
      <w:r>
        <w:rPr>
          <w:color w:val="231F20"/>
          <w:spacing w:val="-21"/>
          <w:w w:val="105"/>
        </w:rPr>
        <w:t> </w:t>
      </w:r>
      <w:r>
        <w:rPr>
          <w:color w:val="231F20"/>
          <w:w w:val="105"/>
        </w:rPr>
        <w:t>de</w:t>
      </w:r>
    </w:p>
    <w:p>
      <w:pPr>
        <w:pStyle w:val="BodyText"/>
        <w:spacing w:before="11"/>
        <w:rPr>
          <w:sz w:val="12"/>
        </w:rPr>
      </w:pPr>
      <w:r>
        <w:rPr/>
        <w:pict>
          <v:line style="position:absolute;mso-position-horizontal-relative:page;mso-position-vertical-relative:paragraph;z-index:9256;mso-wrap-distance-left:0;mso-wrap-distance-right:0" from="65.1968pt,9.532364pt" to="178.5828pt,9.532364pt" stroked="true" strokeweight=".25pt" strokecolor="#231f20">
            <w10:wrap type="topAndBottom"/>
          </v:line>
        </w:pict>
      </w:r>
    </w:p>
    <w:p>
      <w:pPr>
        <w:spacing w:before="8"/>
        <w:ind w:left="103" w:right="17" w:firstLine="0"/>
        <w:jc w:val="left"/>
        <w:rPr>
          <w:rFonts w:ascii="Calibri" w:hAnsi="Calibri"/>
          <w:sz w:val="16"/>
        </w:rPr>
      </w:pPr>
      <w:r>
        <w:rPr>
          <w:rFonts w:ascii="Calibri" w:hAnsi="Calibri"/>
          <w:color w:val="414042"/>
          <w:position w:val="5"/>
          <w:sz w:val="9"/>
        </w:rPr>
        <w:t>12      </w:t>
      </w:r>
      <w:r>
        <w:rPr>
          <w:rFonts w:ascii="Calibri" w:hAnsi="Calibri"/>
          <w:color w:val="414042"/>
          <w:sz w:val="16"/>
        </w:rPr>
        <w:t>Llamada así por Kaldor en reconocimiento al primer trabajo de Verdoorn en 1949.</w:t>
      </w:r>
    </w:p>
    <w:p>
      <w:pPr>
        <w:pStyle w:val="BodyText"/>
        <w:rPr>
          <w:rFonts w:ascii="Calibri"/>
          <w:sz w:val="20"/>
        </w:rPr>
      </w:pPr>
    </w:p>
    <w:p>
      <w:pPr>
        <w:pStyle w:val="BodyText"/>
        <w:spacing w:before="11"/>
        <w:rPr>
          <w:rFonts w:ascii="Calibri"/>
          <w:sz w:val="29"/>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864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252</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600"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253</w:t>
      </w:r>
    </w:p>
    <w:p>
      <w:pPr>
        <w:pStyle w:val="BodyText"/>
        <w:rPr>
          <w:sz w:val="20"/>
        </w:rPr>
      </w:pPr>
    </w:p>
    <w:p>
      <w:pPr>
        <w:pStyle w:val="BodyText"/>
        <w:rPr>
          <w:sz w:val="20"/>
        </w:rPr>
      </w:pPr>
    </w:p>
    <w:p>
      <w:pPr>
        <w:pStyle w:val="BodyText"/>
        <w:spacing w:line="259" w:lineRule="auto" w:before="176"/>
        <w:ind w:left="117" w:right="116"/>
        <w:jc w:val="both"/>
      </w:pPr>
      <w:r>
        <w:rPr>
          <w:color w:val="231F20"/>
        </w:rPr>
        <w:t>la especialización y la diversificación de los sectores y las industrias. La especialización y la diversificación no sólo operan en el nivel de la em- presa, sino también en niveles jerárquicos superiores como las industrias, los sectores económicos y las regiones. Los rendimientos crecientes son en esencia un fenómeno agregado que se manifiesta en la gran produc- ción más que en la producción a gran escala de las firmas individuales (Moreno, 2008).</w:t>
      </w:r>
    </w:p>
    <w:p>
      <w:pPr>
        <w:pStyle w:val="BodyText"/>
        <w:spacing w:line="259" w:lineRule="auto"/>
        <w:ind w:left="117" w:right="115" w:firstLine="567"/>
        <w:jc w:val="both"/>
      </w:pPr>
      <w:r>
        <w:rPr>
          <w:color w:val="231F20"/>
          <w:w w:val="105"/>
        </w:rPr>
        <w:t>La</w:t>
      </w:r>
      <w:r>
        <w:rPr>
          <w:color w:val="231F20"/>
          <w:spacing w:val="-22"/>
          <w:w w:val="105"/>
        </w:rPr>
        <w:t> </w:t>
      </w:r>
      <w:r>
        <w:rPr>
          <w:color w:val="231F20"/>
          <w:w w:val="105"/>
        </w:rPr>
        <w:t>productividad</w:t>
      </w:r>
      <w:r>
        <w:rPr>
          <w:color w:val="231F20"/>
          <w:spacing w:val="-22"/>
          <w:w w:val="105"/>
        </w:rPr>
        <w:t> </w:t>
      </w:r>
      <w:r>
        <w:rPr>
          <w:color w:val="231F20"/>
          <w:w w:val="105"/>
        </w:rPr>
        <w:t>parece</w:t>
      </w:r>
      <w:r>
        <w:rPr>
          <w:color w:val="231F20"/>
          <w:spacing w:val="-22"/>
          <w:w w:val="105"/>
        </w:rPr>
        <w:t> </w:t>
      </w:r>
      <w:r>
        <w:rPr>
          <w:color w:val="231F20"/>
          <w:w w:val="105"/>
        </w:rPr>
        <w:t>ser</w:t>
      </w:r>
      <w:r>
        <w:rPr>
          <w:color w:val="231F20"/>
          <w:spacing w:val="-22"/>
          <w:w w:val="105"/>
        </w:rPr>
        <w:t> </w:t>
      </w:r>
      <w:r>
        <w:rPr>
          <w:color w:val="231F20"/>
          <w:w w:val="105"/>
        </w:rPr>
        <w:t>un</w:t>
      </w:r>
      <w:r>
        <w:rPr>
          <w:color w:val="231F20"/>
          <w:spacing w:val="-22"/>
          <w:w w:val="105"/>
        </w:rPr>
        <w:t> </w:t>
      </w:r>
      <w:r>
        <w:rPr>
          <w:color w:val="231F20"/>
          <w:w w:val="105"/>
        </w:rPr>
        <w:t>nexo</w:t>
      </w:r>
      <w:r>
        <w:rPr>
          <w:color w:val="231F20"/>
          <w:spacing w:val="-22"/>
          <w:w w:val="105"/>
        </w:rPr>
        <w:t> </w:t>
      </w:r>
      <w:r>
        <w:rPr>
          <w:color w:val="231F20"/>
          <w:w w:val="105"/>
        </w:rPr>
        <w:t>importante</w:t>
      </w:r>
      <w:r>
        <w:rPr>
          <w:color w:val="231F20"/>
          <w:spacing w:val="-22"/>
          <w:w w:val="105"/>
        </w:rPr>
        <w:t> </w:t>
      </w:r>
      <w:r>
        <w:rPr>
          <w:color w:val="231F20"/>
          <w:w w:val="105"/>
        </w:rPr>
        <w:t>entre</w:t>
      </w:r>
      <w:r>
        <w:rPr>
          <w:color w:val="231F20"/>
          <w:spacing w:val="-22"/>
          <w:w w:val="105"/>
        </w:rPr>
        <w:t> </w:t>
      </w:r>
      <w:r>
        <w:rPr>
          <w:color w:val="231F20"/>
          <w:w w:val="105"/>
        </w:rPr>
        <w:t>el</w:t>
      </w:r>
      <w:r>
        <w:rPr>
          <w:color w:val="231F20"/>
          <w:spacing w:val="-22"/>
          <w:w w:val="105"/>
        </w:rPr>
        <w:t> </w:t>
      </w:r>
      <w:r>
        <w:rPr>
          <w:color w:val="231F20"/>
          <w:w w:val="105"/>
        </w:rPr>
        <w:t>crecimien- to</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w w:val="105"/>
        </w:rPr>
        <w:t>exportaciones</w:t>
      </w:r>
      <w:r>
        <w:rPr>
          <w:color w:val="231F20"/>
          <w:spacing w:val="-28"/>
          <w:w w:val="105"/>
        </w:rPr>
        <w:t> </w:t>
      </w:r>
      <w:r>
        <w:rPr>
          <w:color w:val="231F20"/>
          <w:w w:val="105"/>
        </w:rPr>
        <w:t>manufactureras,</w:t>
      </w:r>
      <w:r>
        <w:rPr>
          <w:color w:val="231F20"/>
          <w:spacing w:val="-33"/>
          <w:w w:val="105"/>
        </w:rPr>
        <w:t> </w:t>
      </w:r>
      <w:r>
        <w:rPr>
          <w:color w:val="231F20"/>
          <w:w w:val="105"/>
        </w:rPr>
        <w:t>el</w:t>
      </w:r>
      <w:r>
        <w:rPr>
          <w:color w:val="231F20"/>
          <w:spacing w:val="-28"/>
          <w:w w:val="105"/>
        </w:rPr>
        <w:t> </w:t>
      </w:r>
      <w:r>
        <w:rPr>
          <w:color w:val="231F20"/>
          <w:w w:val="105"/>
        </w:rPr>
        <w:t>impulso</w:t>
      </w:r>
      <w:r>
        <w:rPr>
          <w:color w:val="231F20"/>
          <w:spacing w:val="-28"/>
          <w:w w:val="105"/>
        </w:rPr>
        <w:t> </w:t>
      </w:r>
      <w:r>
        <w:rPr>
          <w:color w:val="231F20"/>
          <w:w w:val="105"/>
        </w:rPr>
        <w:t>al</w:t>
      </w:r>
      <w:r>
        <w:rPr>
          <w:color w:val="231F20"/>
          <w:spacing w:val="-28"/>
          <w:w w:val="105"/>
        </w:rPr>
        <w:t> </w:t>
      </w:r>
      <w:r>
        <w:rPr>
          <w:color w:val="231F20"/>
          <w:w w:val="105"/>
        </w:rPr>
        <w:t>sector</w:t>
      </w:r>
      <w:r>
        <w:rPr>
          <w:color w:val="231F20"/>
          <w:spacing w:val="-28"/>
          <w:w w:val="105"/>
        </w:rPr>
        <w:t> </w:t>
      </w:r>
      <w:r>
        <w:rPr>
          <w:color w:val="231F20"/>
          <w:w w:val="105"/>
        </w:rPr>
        <w:t>industrial</w:t>
      </w:r>
      <w:r>
        <w:rPr>
          <w:color w:val="231F20"/>
          <w:spacing w:val="-28"/>
          <w:w w:val="105"/>
        </w:rPr>
        <w:t> </w:t>
      </w:r>
      <w:r>
        <w:rPr>
          <w:color w:val="231F20"/>
          <w:w w:val="105"/>
        </w:rPr>
        <w:t>y</w:t>
      </w:r>
      <w:r>
        <w:rPr>
          <w:color w:val="231F20"/>
          <w:spacing w:val="-28"/>
          <w:w w:val="105"/>
        </w:rPr>
        <w:t> </w:t>
      </w:r>
      <w:r>
        <w:rPr>
          <w:color w:val="231F20"/>
          <w:w w:val="105"/>
        </w:rPr>
        <w:t>el crecimiento económico, donde la productividad se vuelve un factor en- dógeno</w:t>
      </w:r>
      <w:r>
        <w:rPr>
          <w:color w:val="231F20"/>
          <w:spacing w:val="-12"/>
          <w:w w:val="105"/>
        </w:rPr>
        <w:t> </w:t>
      </w:r>
      <w:r>
        <w:rPr>
          <w:color w:val="231F20"/>
          <w:w w:val="105"/>
        </w:rPr>
        <w:t>al</w:t>
      </w:r>
      <w:r>
        <w:rPr>
          <w:color w:val="231F20"/>
          <w:spacing w:val="-12"/>
          <w:w w:val="105"/>
        </w:rPr>
        <w:t> </w:t>
      </w:r>
      <w:r>
        <w:rPr>
          <w:color w:val="231F20"/>
          <w:w w:val="105"/>
        </w:rPr>
        <w:t>sistema</w:t>
      </w:r>
      <w:r>
        <w:rPr>
          <w:color w:val="231F20"/>
          <w:spacing w:val="-12"/>
          <w:w w:val="105"/>
        </w:rPr>
        <w:t> </w:t>
      </w:r>
      <w:r>
        <w:rPr>
          <w:color w:val="231F20"/>
          <w:w w:val="105"/>
        </w:rPr>
        <w:t>que</w:t>
      </w:r>
      <w:r>
        <w:rPr>
          <w:color w:val="231F20"/>
          <w:spacing w:val="-12"/>
          <w:w w:val="105"/>
        </w:rPr>
        <w:t> </w:t>
      </w:r>
      <w:r>
        <w:rPr>
          <w:color w:val="231F20"/>
          <w:w w:val="105"/>
        </w:rPr>
        <w:t>puede</w:t>
      </w:r>
      <w:r>
        <w:rPr>
          <w:color w:val="231F20"/>
          <w:spacing w:val="-12"/>
          <w:w w:val="105"/>
        </w:rPr>
        <w:t> </w:t>
      </w:r>
      <w:r>
        <w:rPr>
          <w:color w:val="231F20"/>
          <w:w w:val="105"/>
        </w:rPr>
        <w:t>estimular</w:t>
      </w:r>
      <w:r>
        <w:rPr>
          <w:color w:val="231F20"/>
          <w:spacing w:val="-12"/>
          <w:w w:val="105"/>
        </w:rPr>
        <w:t> </w:t>
      </w:r>
      <w:r>
        <w:rPr>
          <w:color w:val="231F20"/>
          <w:w w:val="105"/>
        </w:rPr>
        <w:t>las</w:t>
      </w:r>
      <w:r>
        <w:rPr>
          <w:color w:val="231F20"/>
          <w:spacing w:val="-12"/>
          <w:w w:val="105"/>
        </w:rPr>
        <w:t> </w:t>
      </w:r>
      <w:r>
        <w:rPr>
          <w:color w:val="231F20"/>
          <w:w w:val="105"/>
        </w:rPr>
        <w:t>mayores</w:t>
      </w:r>
      <w:r>
        <w:rPr>
          <w:color w:val="231F20"/>
          <w:spacing w:val="-12"/>
          <w:w w:val="105"/>
        </w:rPr>
        <w:t> </w:t>
      </w:r>
      <w:r>
        <w:rPr>
          <w:color w:val="231F20"/>
          <w:w w:val="105"/>
        </w:rPr>
        <w:t>exportaciones.</w:t>
      </w:r>
      <w:r>
        <w:rPr>
          <w:color w:val="231F20"/>
          <w:spacing w:val="-20"/>
          <w:w w:val="105"/>
        </w:rPr>
        <w:t> </w:t>
      </w:r>
      <w:r>
        <w:rPr>
          <w:color w:val="231F20"/>
          <w:w w:val="105"/>
        </w:rPr>
        <w:t>Así, la</w:t>
      </w:r>
      <w:r>
        <w:rPr>
          <w:color w:val="231F20"/>
          <w:spacing w:val="-8"/>
          <w:w w:val="105"/>
        </w:rPr>
        <w:t> </w:t>
      </w:r>
      <w:r>
        <w:rPr>
          <w:color w:val="231F20"/>
          <w:w w:val="105"/>
        </w:rPr>
        <w:t>productividad</w:t>
      </w:r>
      <w:r>
        <w:rPr>
          <w:color w:val="231F20"/>
          <w:spacing w:val="-8"/>
          <w:w w:val="105"/>
        </w:rPr>
        <w:t> </w:t>
      </w:r>
      <w:r>
        <w:rPr>
          <w:color w:val="231F20"/>
          <w:w w:val="105"/>
        </w:rPr>
        <w:t>puede</w:t>
      </w:r>
      <w:r>
        <w:rPr>
          <w:color w:val="231F20"/>
          <w:spacing w:val="-8"/>
          <w:w w:val="105"/>
        </w:rPr>
        <w:t> </w:t>
      </w:r>
      <w:r>
        <w:rPr>
          <w:color w:val="231F20"/>
          <w:w w:val="105"/>
        </w:rPr>
        <w:t>ser</w:t>
      </w:r>
      <w:r>
        <w:rPr>
          <w:color w:val="231F20"/>
          <w:spacing w:val="-8"/>
          <w:w w:val="105"/>
        </w:rPr>
        <w:t> </w:t>
      </w:r>
      <w:r>
        <w:rPr>
          <w:color w:val="231F20"/>
          <w:w w:val="105"/>
        </w:rPr>
        <w:t>un</w:t>
      </w:r>
      <w:r>
        <w:rPr>
          <w:color w:val="231F20"/>
          <w:spacing w:val="-8"/>
          <w:w w:val="105"/>
        </w:rPr>
        <w:t> </w:t>
      </w:r>
      <w:r>
        <w:rPr>
          <w:color w:val="231F20"/>
          <w:w w:val="105"/>
        </w:rPr>
        <w:t>factor</w:t>
      </w:r>
      <w:r>
        <w:rPr>
          <w:color w:val="231F20"/>
          <w:spacing w:val="-8"/>
          <w:w w:val="105"/>
        </w:rPr>
        <w:t> </w:t>
      </w:r>
      <w:r>
        <w:rPr>
          <w:color w:val="231F20"/>
          <w:w w:val="105"/>
        </w:rPr>
        <w:t>común</w:t>
      </w:r>
      <w:r>
        <w:rPr>
          <w:color w:val="231F20"/>
          <w:spacing w:val="-8"/>
          <w:w w:val="105"/>
        </w:rPr>
        <w:t> </w:t>
      </w:r>
      <w:r>
        <w:rPr>
          <w:color w:val="231F20"/>
          <w:w w:val="105"/>
        </w:rPr>
        <w:t>y</w:t>
      </w:r>
      <w:r>
        <w:rPr>
          <w:color w:val="231F20"/>
          <w:spacing w:val="-8"/>
          <w:w w:val="105"/>
        </w:rPr>
        <w:t> </w:t>
      </w:r>
      <w:r>
        <w:rPr>
          <w:color w:val="231F20"/>
          <w:w w:val="105"/>
        </w:rPr>
        <w:t>un</w:t>
      </w:r>
      <w:r>
        <w:rPr>
          <w:color w:val="231F20"/>
          <w:spacing w:val="-8"/>
          <w:w w:val="105"/>
        </w:rPr>
        <w:t> </w:t>
      </w:r>
      <w:r>
        <w:rPr>
          <w:color w:val="231F20"/>
          <w:w w:val="105"/>
        </w:rPr>
        <w:t>vínculo</w:t>
      </w:r>
      <w:r>
        <w:rPr>
          <w:color w:val="231F20"/>
          <w:spacing w:val="-8"/>
          <w:w w:val="105"/>
        </w:rPr>
        <w:t> </w:t>
      </w:r>
      <w:r>
        <w:rPr>
          <w:color w:val="231F20"/>
          <w:w w:val="105"/>
        </w:rPr>
        <w:t>entre</w:t>
      </w:r>
      <w:r>
        <w:rPr>
          <w:color w:val="231F20"/>
          <w:spacing w:val="-8"/>
          <w:w w:val="105"/>
        </w:rPr>
        <w:t> </w:t>
      </w:r>
      <w:r>
        <w:rPr>
          <w:color w:val="231F20"/>
          <w:w w:val="105"/>
        </w:rPr>
        <w:t>la</w:t>
      </w:r>
      <w:r>
        <w:rPr>
          <w:color w:val="231F20"/>
          <w:spacing w:val="-8"/>
          <w:w w:val="105"/>
        </w:rPr>
        <w:t> </w:t>
      </w:r>
      <w:r>
        <w:rPr>
          <w:color w:val="231F20"/>
          <w:w w:val="105"/>
        </w:rPr>
        <w:t>econo- mía</w:t>
      </w:r>
      <w:r>
        <w:rPr>
          <w:color w:val="231F20"/>
          <w:spacing w:val="-18"/>
          <w:w w:val="105"/>
        </w:rPr>
        <w:t> </w:t>
      </w:r>
      <w:r>
        <w:rPr>
          <w:color w:val="231F20"/>
          <w:w w:val="105"/>
        </w:rPr>
        <w:t>del</w:t>
      </w:r>
      <w:r>
        <w:rPr>
          <w:color w:val="231F20"/>
          <w:spacing w:val="-18"/>
          <w:w w:val="105"/>
        </w:rPr>
        <w:t> </w:t>
      </w:r>
      <w:r>
        <w:rPr>
          <w:color w:val="231F20"/>
          <w:w w:val="105"/>
        </w:rPr>
        <w:t>crecimiento</w:t>
      </w:r>
      <w:r>
        <w:rPr>
          <w:color w:val="231F20"/>
          <w:spacing w:val="-18"/>
          <w:w w:val="105"/>
        </w:rPr>
        <w:t> </w:t>
      </w:r>
      <w:r>
        <w:rPr>
          <w:color w:val="231F20"/>
          <w:w w:val="105"/>
        </w:rPr>
        <w:t>por</w:t>
      </w:r>
      <w:r>
        <w:rPr>
          <w:color w:val="231F20"/>
          <w:spacing w:val="-18"/>
          <w:w w:val="105"/>
        </w:rPr>
        <w:t> </w:t>
      </w:r>
      <w:r>
        <w:rPr>
          <w:color w:val="231F20"/>
          <w:w w:val="105"/>
        </w:rPr>
        <w:t>factores</w:t>
      </w:r>
      <w:r>
        <w:rPr>
          <w:color w:val="231F20"/>
          <w:spacing w:val="-18"/>
          <w:w w:val="105"/>
        </w:rPr>
        <w:t> </w:t>
      </w:r>
      <w:r>
        <w:rPr>
          <w:color w:val="231F20"/>
          <w:w w:val="105"/>
        </w:rPr>
        <w:t>de</w:t>
      </w:r>
      <w:r>
        <w:rPr>
          <w:color w:val="231F20"/>
          <w:spacing w:val="-18"/>
          <w:w w:val="105"/>
        </w:rPr>
        <w:t> </w:t>
      </w:r>
      <w:r>
        <w:rPr>
          <w:color w:val="231F20"/>
          <w:w w:val="105"/>
        </w:rPr>
        <w:t>oferta,</w:t>
      </w:r>
      <w:r>
        <w:rPr>
          <w:color w:val="231F20"/>
          <w:spacing w:val="-24"/>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economía</w:t>
      </w:r>
      <w:r>
        <w:rPr>
          <w:color w:val="231F20"/>
          <w:spacing w:val="-18"/>
          <w:w w:val="105"/>
        </w:rPr>
        <w:t> </w:t>
      </w:r>
      <w:r>
        <w:rPr>
          <w:color w:val="231F20"/>
          <w:w w:val="105"/>
        </w:rPr>
        <w:t>del</w:t>
      </w:r>
      <w:r>
        <w:rPr>
          <w:color w:val="231F20"/>
          <w:spacing w:val="-18"/>
          <w:w w:val="105"/>
        </w:rPr>
        <w:t> </w:t>
      </w:r>
      <w:r>
        <w:rPr>
          <w:color w:val="231F20"/>
          <w:w w:val="105"/>
        </w:rPr>
        <w:t>crecimiento impulsada</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demanda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Rosa,</w:t>
      </w:r>
      <w:r>
        <w:rPr>
          <w:color w:val="231F20"/>
          <w:spacing w:val="-17"/>
          <w:w w:val="105"/>
        </w:rPr>
        <w:t> </w:t>
      </w:r>
      <w:r>
        <w:rPr>
          <w:color w:val="231F20"/>
          <w:w w:val="105"/>
        </w:rPr>
        <w:t>2006).</w:t>
      </w:r>
      <w:r>
        <w:rPr>
          <w:color w:val="231F20"/>
          <w:spacing w:val="-17"/>
          <w:w w:val="105"/>
        </w:rPr>
        <w:t> </w:t>
      </w:r>
      <w:r>
        <w:rPr>
          <w:color w:val="231F20"/>
          <w:w w:val="105"/>
        </w:rPr>
        <w:t>La</w:t>
      </w:r>
      <w:r>
        <w:rPr>
          <w:color w:val="231F20"/>
          <w:spacing w:val="-12"/>
          <w:w w:val="105"/>
        </w:rPr>
        <w:t> </w:t>
      </w:r>
      <w:r>
        <w:rPr>
          <w:color w:val="231F20"/>
          <w:w w:val="105"/>
        </w:rPr>
        <w:t>división</w:t>
      </w:r>
      <w:r>
        <w:rPr>
          <w:color w:val="231F20"/>
          <w:spacing w:val="-12"/>
          <w:w w:val="105"/>
        </w:rPr>
        <w:t> </w:t>
      </w:r>
      <w:r>
        <w:rPr>
          <w:color w:val="231F20"/>
          <w:w w:val="105"/>
        </w:rPr>
        <w:t>del</w:t>
      </w:r>
      <w:r>
        <w:rPr>
          <w:color w:val="231F20"/>
          <w:spacing w:val="-12"/>
          <w:w w:val="105"/>
        </w:rPr>
        <w:t> </w:t>
      </w:r>
      <w:r>
        <w:rPr>
          <w:color w:val="231F20"/>
          <w:w w:val="105"/>
        </w:rPr>
        <w:t>trabajo</w:t>
      </w:r>
      <w:r>
        <w:rPr>
          <w:color w:val="231F20"/>
          <w:spacing w:val="-12"/>
          <w:w w:val="105"/>
        </w:rPr>
        <w:t> </w:t>
      </w:r>
      <w:r>
        <w:rPr>
          <w:color w:val="231F20"/>
          <w:w w:val="105"/>
        </w:rPr>
        <w:t>es la</w:t>
      </w:r>
      <w:r>
        <w:rPr>
          <w:color w:val="231F20"/>
          <w:spacing w:val="-12"/>
          <w:w w:val="105"/>
        </w:rPr>
        <w:t> </w:t>
      </w:r>
      <w:r>
        <w:rPr>
          <w:color w:val="231F20"/>
          <w:w w:val="105"/>
        </w:rPr>
        <w:t>causa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aumentos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productividad</w:t>
      </w:r>
      <w:r>
        <w:rPr>
          <w:color w:val="231F20"/>
          <w:spacing w:val="-12"/>
          <w:w w:val="105"/>
        </w:rPr>
        <w:t> </w:t>
      </w:r>
      <w:r>
        <w:rPr>
          <w:color w:val="231F20"/>
          <w:w w:val="105"/>
        </w:rPr>
        <w:t>y</w:t>
      </w:r>
      <w:r>
        <w:rPr>
          <w:color w:val="231F20"/>
          <w:spacing w:val="-12"/>
          <w:w w:val="105"/>
        </w:rPr>
        <w:t> </w:t>
      </w:r>
      <w:r>
        <w:rPr>
          <w:color w:val="231F20"/>
          <w:w w:val="105"/>
        </w:rPr>
        <w:t>es,</w:t>
      </w:r>
      <w:r>
        <w:rPr>
          <w:color w:val="231F20"/>
          <w:spacing w:val="-18"/>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tanto,</w:t>
      </w:r>
      <w:r>
        <w:rPr>
          <w:color w:val="231F20"/>
          <w:spacing w:val="-18"/>
          <w:w w:val="105"/>
        </w:rPr>
        <w:t> </w:t>
      </w:r>
      <w:r>
        <w:rPr>
          <w:color w:val="231F20"/>
          <w:w w:val="105"/>
        </w:rPr>
        <w:t>un</w:t>
      </w:r>
      <w:r>
        <w:rPr>
          <w:color w:val="231F20"/>
          <w:spacing w:val="-12"/>
          <w:w w:val="105"/>
        </w:rPr>
        <w:t> </w:t>
      </w:r>
      <w:r>
        <w:rPr>
          <w:color w:val="231F20"/>
          <w:w w:val="105"/>
        </w:rPr>
        <w:t>factor crucial</w:t>
      </w:r>
      <w:r>
        <w:rPr>
          <w:color w:val="231F20"/>
          <w:spacing w:val="-9"/>
          <w:w w:val="105"/>
        </w:rPr>
        <w:t> </w:t>
      </w:r>
      <w:r>
        <w:rPr>
          <w:color w:val="231F20"/>
          <w:w w:val="105"/>
        </w:rPr>
        <w:t>del</w:t>
      </w:r>
      <w:r>
        <w:rPr>
          <w:color w:val="231F20"/>
          <w:spacing w:val="-9"/>
          <w:w w:val="105"/>
        </w:rPr>
        <w:t> </w:t>
      </w:r>
      <w:r>
        <w:rPr>
          <w:color w:val="231F20"/>
          <w:w w:val="105"/>
        </w:rPr>
        <w:t>mayor</w:t>
      </w:r>
      <w:r>
        <w:rPr>
          <w:color w:val="231F20"/>
          <w:spacing w:val="-9"/>
          <w:w w:val="105"/>
        </w:rPr>
        <w:t> </w:t>
      </w:r>
      <w:r>
        <w:rPr>
          <w:color w:val="231F20"/>
          <w:w w:val="105"/>
        </w:rPr>
        <w:t>o</w:t>
      </w:r>
      <w:r>
        <w:rPr>
          <w:color w:val="231F20"/>
          <w:spacing w:val="-9"/>
          <w:w w:val="105"/>
        </w:rPr>
        <w:t> </w:t>
      </w:r>
      <w:r>
        <w:rPr>
          <w:color w:val="231F20"/>
          <w:w w:val="105"/>
        </w:rPr>
        <w:t>menor</w:t>
      </w:r>
      <w:r>
        <w:rPr>
          <w:color w:val="231F20"/>
          <w:spacing w:val="-9"/>
          <w:w w:val="105"/>
        </w:rPr>
        <w:t> </w:t>
      </w:r>
      <w:r>
        <w:rPr>
          <w:color w:val="231F20"/>
          <w:w w:val="105"/>
        </w:rPr>
        <w:t>crecimiento</w:t>
      </w:r>
      <w:r>
        <w:rPr>
          <w:color w:val="231F20"/>
          <w:spacing w:val="-9"/>
          <w:w w:val="105"/>
        </w:rPr>
        <w:t> </w:t>
      </w:r>
      <w:r>
        <w:rPr>
          <w:color w:val="231F20"/>
          <w:w w:val="105"/>
        </w:rPr>
        <w:t>económico.</w:t>
      </w:r>
    </w:p>
    <w:p>
      <w:pPr>
        <w:pStyle w:val="BodyText"/>
        <w:spacing w:line="259" w:lineRule="auto"/>
        <w:ind w:left="117" w:right="118" w:firstLine="567"/>
        <w:jc w:val="both"/>
      </w:pPr>
      <w:r>
        <w:rPr>
          <w:color w:val="231F20"/>
          <w:w w:val="105"/>
        </w:rPr>
        <w:t>La</w:t>
      </w:r>
      <w:r>
        <w:rPr>
          <w:color w:val="231F20"/>
          <w:spacing w:val="-32"/>
          <w:w w:val="105"/>
        </w:rPr>
        <w:t> </w:t>
      </w:r>
      <w:r>
        <w:rPr>
          <w:color w:val="231F20"/>
          <w:spacing w:val="-3"/>
          <w:w w:val="105"/>
        </w:rPr>
        <w:t>segunda</w:t>
      </w:r>
      <w:r>
        <w:rPr>
          <w:color w:val="231F20"/>
          <w:spacing w:val="-32"/>
          <w:w w:val="105"/>
        </w:rPr>
        <w:t> </w:t>
      </w:r>
      <w:r>
        <w:rPr>
          <w:color w:val="231F20"/>
          <w:w w:val="105"/>
        </w:rPr>
        <w:t>ley</w:t>
      </w:r>
      <w:r>
        <w:rPr>
          <w:color w:val="231F20"/>
          <w:spacing w:val="-32"/>
          <w:w w:val="105"/>
        </w:rPr>
        <w:t> </w:t>
      </w:r>
      <w:r>
        <w:rPr>
          <w:color w:val="231F20"/>
          <w:w w:val="105"/>
        </w:rPr>
        <w:t>de</w:t>
      </w:r>
      <w:r>
        <w:rPr>
          <w:color w:val="231F20"/>
          <w:spacing w:val="-32"/>
          <w:w w:val="105"/>
        </w:rPr>
        <w:t> </w:t>
      </w:r>
      <w:r>
        <w:rPr>
          <w:color w:val="231F20"/>
          <w:spacing w:val="-3"/>
          <w:w w:val="105"/>
        </w:rPr>
        <w:t>Kaldor</w:t>
      </w:r>
      <w:r>
        <w:rPr>
          <w:color w:val="231F20"/>
          <w:spacing w:val="-32"/>
          <w:w w:val="105"/>
        </w:rPr>
        <w:t> </w:t>
      </w:r>
      <w:r>
        <w:rPr>
          <w:color w:val="231F20"/>
          <w:spacing w:val="-3"/>
          <w:w w:val="105"/>
        </w:rPr>
        <w:t>señala,</w:t>
      </w:r>
      <w:r>
        <w:rPr>
          <w:color w:val="231F20"/>
          <w:spacing w:val="-37"/>
          <w:w w:val="105"/>
        </w:rPr>
        <w:t> </w:t>
      </w:r>
      <w:r>
        <w:rPr>
          <w:color w:val="231F20"/>
          <w:spacing w:val="-3"/>
          <w:w w:val="105"/>
        </w:rPr>
        <w:t>entonces,</w:t>
      </w:r>
      <w:r>
        <w:rPr>
          <w:color w:val="231F20"/>
          <w:spacing w:val="-37"/>
          <w:w w:val="105"/>
        </w:rPr>
        <w:t> </w:t>
      </w:r>
      <w:r>
        <w:rPr>
          <w:color w:val="231F20"/>
          <w:w w:val="105"/>
        </w:rPr>
        <w:t>que</w:t>
      </w:r>
      <w:r>
        <w:rPr>
          <w:color w:val="231F20"/>
          <w:spacing w:val="-32"/>
          <w:w w:val="105"/>
        </w:rPr>
        <w:t> </w:t>
      </w:r>
      <w:r>
        <w:rPr>
          <w:color w:val="231F20"/>
          <w:w w:val="105"/>
        </w:rPr>
        <w:t>un</w:t>
      </w:r>
      <w:r>
        <w:rPr>
          <w:color w:val="231F20"/>
          <w:spacing w:val="-32"/>
          <w:w w:val="105"/>
        </w:rPr>
        <w:t> </w:t>
      </w:r>
      <w:r>
        <w:rPr>
          <w:color w:val="231F20"/>
          <w:spacing w:val="-3"/>
          <w:w w:val="105"/>
        </w:rPr>
        <w:t>rápido</w:t>
      </w:r>
      <w:r>
        <w:rPr>
          <w:color w:val="231F20"/>
          <w:spacing w:val="-32"/>
          <w:w w:val="105"/>
        </w:rPr>
        <w:t> </w:t>
      </w:r>
      <w:r>
        <w:rPr>
          <w:color w:val="231F20"/>
          <w:spacing w:val="-3"/>
          <w:w w:val="105"/>
        </w:rPr>
        <w:t>crecimien- </w:t>
      </w:r>
      <w:r>
        <w:rPr>
          <w:color w:val="231F20"/>
          <w:w w:val="105"/>
        </w:rPr>
        <w:t>to</w:t>
      </w:r>
      <w:r>
        <w:rPr>
          <w:color w:val="231F20"/>
          <w:spacing w:val="-16"/>
          <w:w w:val="105"/>
        </w:rPr>
        <w:t> </w:t>
      </w:r>
      <w:r>
        <w:rPr>
          <w:color w:val="231F20"/>
          <w:w w:val="105"/>
        </w:rPr>
        <w:t>del</w:t>
      </w:r>
      <w:r>
        <w:rPr>
          <w:color w:val="231F20"/>
          <w:spacing w:val="-16"/>
          <w:w w:val="105"/>
        </w:rPr>
        <w:t> </w:t>
      </w:r>
      <w:r>
        <w:rPr>
          <w:color w:val="231F20"/>
          <w:spacing w:val="-3"/>
          <w:w w:val="105"/>
        </w:rPr>
        <w:t>producto</w:t>
      </w:r>
      <w:r>
        <w:rPr>
          <w:color w:val="231F20"/>
          <w:spacing w:val="-16"/>
          <w:w w:val="105"/>
        </w:rPr>
        <w:t> </w:t>
      </w:r>
      <w:r>
        <w:rPr>
          <w:color w:val="231F20"/>
          <w:spacing w:val="-3"/>
          <w:w w:val="105"/>
        </w:rPr>
        <w:t>industrial</w:t>
      </w:r>
      <w:r>
        <w:rPr>
          <w:color w:val="231F20"/>
          <w:spacing w:val="-16"/>
          <w:w w:val="105"/>
        </w:rPr>
        <w:t> </w:t>
      </w:r>
      <w:r>
        <w:rPr>
          <w:color w:val="231F20"/>
          <w:spacing w:val="-4"/>
          <w:w w:val="105"/>
        </w:rPr>
        <w:t>manufacturero,</w:t>
      </w:r>
      <w:r>
        <w:rPr>
          <w:color w:val="231F20"/>
          <w:spacing w:val="-22"/>
          <w:w w:val="105"/>
        </w:rPr>
        <w:t> </w:t>
      </w:r>
      <w:r>
        <w:rPr>
          <w:color w:val="231F20"/>
          <w:w w:val="105"/>
        </w:rPr>
        <w:t>a</w:t>
      </w:r>
      <w:r>
        <w:rPr>
          <w:color w:val="231F20"/>
          <w:spacing w:val="-16"/>
          <w:w w:val="105"/>
        </w:rPr>
        <w:t> </w:t>
      </w:r>
      <w:r>
        <w:rPr>
          <w:color w:val="231F20"/>
          <w:spacing w:val="-3"/>
          <w:w w:val="105"/>
        </w:rPr>
        <w:t>través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spacing w:val="-3"/>
          <w:w w:val="105"/>
        </w:rPr>
        <w:t>rendimientos</w:t>
      </w:r>
      <w:r>
        <w:rPr>
          <w:color w:val="231F20"/>
          <w:spacing w:val="-16"/>
          <w:w w:val="105"/>
        </w:rPr>
        <w:t> </w:t>
      </w:r>
      <w:r>
        <w:rPr>
          <w:color w:val="231F20"/>
          <w:spacing w:val="-3"/>
          <w:w w:val="105"/>
        </w:rPr>
        <w:t>cre- cientes</w:t>
      </w:r>
      <w:r>
        <w:rPr>
          <w:color w:val="231F20"/>
          <w:spacing w:val="-9"/>
          <w:w w:val="105"/>
        </w:rPr>
        <w:t> </w:t>
      </w:r>
      <w:r>
        <w:rPr>
          <w:color w:val="231F20"/>
          <w:w w:val="105"/>
        </w:rPr>
        <w:t>a</w:t>
      </w:r>
      <w:r>
        <w:rPr>
          <w:color w:val="231F20"/>
          <w:spacing w:val="-9"/>
          <w:w w:val="105"/>
        </w:rPr>
        <w:t> </w:t>
      </w:r>
      <w:r>
        <w:rPr>
          <w:color w:val="231F20"/>
          <w:spacing w:val="-3"/>
          <w:w w:val="105"/>
        </w:rPr>
        <w:t>escala</w:t>
      </w:r>
      <w:r>
        <w:rPr>
          <w:color w:val="231F20"/>
          <w:spacing w:val="-9"/>
          <w:w w:val="105"/>
        </w:rPr>
        <w:t> </w:t>
      </w:r>
      <w:r>
        <w:rPr>
          <w:color w:val="231F20"/>
          <w:spacing w:val="-3"/>
          <w:w w:val="105"/>
        </w:rPr>
        <w:t>(consecuencia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3"/>
          <w:w w:val="105"/>
        </w:rPr>
        <w:t>división</w:t>
      </w:r>
      <w:r>
        <w:rPr>
          <w:color w:val="231F20"/>
          <w:spacing w:val="-9"/>
          <w:w w:val="105"/>
        </w:rPr>
        <w:t> </w:t>
      </w:r>
      <w:r>
        <w:rPr>
          <w:color w:val="231F20"/>
          <w:w w:val="105"/>
        </w:rPr>
        <w:t>del</w:t>
      </w:r>
      <w:r>
        <w:rPr>
          <w:color w:val="231F20"/>
          <w:spacing w:val="-9"/>
          <w:w w:val="105"/>
        </w:rPr>
        <w:t> </w:t>
      </w:r>
      <w:r>
        <w:rPr>
          <w:color w:val="231F20"/>
          <w:spacing w:val="-3"/>
          <w:w w:val="105"/>
        </w:rPr>
        <w:t>trabajo),</w:t>
      </w:r>
      <w:r>
        <w:rPr>
          <w:color w:val="231F20"/>
          <w:spacing w:val="-14"/>
          <w:w w:val="105"/>
        </w:rPr>
        <w:t> </w:t>
      </w:r>
      <w:r>
        <w:rPr>
          <w:color w:val="231F20"/>
          <w:spacing w:val="-3"/>
          <w:w w:val="105"/>
        </w:rPr>
        <w:t>conducirá</w:t>
      </w:r>
      <w:r>
        <w:rPr>
          <w:color w:val="231F20"/>
          <w:spacing w:val="-9"/>
          <w:w w:val="105"/>
        </w:rPr>
        <w:t> </w:t>
      </w:r>
      <w:r>
        <w:rPr>
          <w:color w:val="231F20"/>
          <w:w w:val="105"/>
        </w:rPr>
        <w:t>a</w:t>
      </w:r>
      <w:r>
        <w:rPr>
          <w:color w:val="231F20"/>
          <w:spacing w:val="-9"/>
          <w:w w:val="105"/>
        </w:rPr>
        <w:t> </w:t>
      </w:r>
      <w:r>
        <w:rPr>
          <w:color w:val="231F20"/>
          <w:spacing w:val="-3"/>
          <w:w w:val="105"/>
        </w:rPr>
        <w:t>un rápido crecimiento </w:t>
      </w:r>
      <w:r>
        <w:rPr>
          <w:color w:val="231F20"/>
          <w:w w:val="105"/>
        </w:rPr>
        <w:t>de la </w:t>
      </w:r>
      <w:r>
        <w:rPr>
          <w:color w:val="231F20"/>
          <w:spacing w:val="-3"/>
          <w:w w:val="105"/>
        </w:rPr>
        <w:t>productividad laboral industrial, </w:t>
      </w:r>
      <w:r>
        <w:rPr>
          <w:color w:val="231F20"/>
          <w:w w:val="105"/>
        </w:rPr>
        <w:t>la </w:t>
      </w:r>
      <w:r>
        <w:rPr>
          <w:color w:val="231F20"/>
          <w:spacing w:val="-4"/>
          <w:w w:val="105"/>
        </w:rPr>
        <w:t>productividad </w:t>
      </w:r>
      <w:r>
        <w:rPr>
          <w:color w:val="231F20"/>
          <w:w w:val="105"/>
        </w:rPr>
        <w:t>es</w:t>
      </w:r>
      <w:r>
        <w:rPr>
          <w:color w:val="231F20"/>
          <w:spacing w:val="-24"/>
          <w:w w:val="105"/>
        </w:rPr>
        <w:t> </w:t>
      </w:r>
      <w:r>
        <w:rPr>
          <w:color w:val="231F20"/>
          <w:spacing w:val="-3"/>
          <w:w w:val="105"/>
        </w:rPr>
        <w:t>endógena,</w:t>
      </w:r>
      <w:r>
        <w:rPr>
          <w:color w:val="231F20"/>
          <w:spacing w:val="-29"/>
          <w:w w:val="105"/>
        </w:rPr>
        <w:t> </w:t>
      </w:r>
      <w:r>
        <w:rPr>
          <w:color w:val="231F20"/>
          <w:w w:val="105"/>
        </w:rPr>
        <w:t>y</w:t>
      </w:r>
      <w:r>
        <w:rPr>
          <w:color w:val="231F20"/>
          <w:spacing w:val="-24"/>
          <w:w w:val="105"/>
        </w:rPr>
        <w:t> </w:t>
      </w:r>
      <w:r>
        <w:rPr>
          <w:color w:val="231F20"/>
          <w:w w:val="105"/>
        </w:rPr>
        <w:t>no</w:t>
      </w:r>
      <w:r>
        <w:rPr>
          <w:color w:val="231F20"/>
          <w:spacing w:val="-24"/>
          <w:w w:val="105"/>
        </w:rPr>
        <w:t> </w:t>
      </w:r>
      <w:r>
        <w:rPr>
          <w:color w:val="231F20"/>
          <w:spacing w:val="-3"/>
          <w:w w:val="105"/>
        </w:rPr>
        <w:t>causa</w:t>
      </w:r>
      <w:r>
        <w:rPr>
          <w:color w:val="231F20"/>
          <w:spacing w:val="-24"/>
          <w:w w:val="105"/>
        </w:rPr>
        <w:t> </w:t>
      </w:r>
      <w:r>
        <w:rPr>
          <w:color w:val="231F20"/>
          <w:w w:val="105"/>
        </w:rPr>
        <w:t>en</w:t>
      </w:r>
      <w:r>
        <w:rPr>
          <w:color w:val="231F20"/>
          <w:spacing w:val="-24"/>
          <w:w w:val="105"/>
        </w:rPr>
        <w:t> </w:t>
      </w:r>
      <w:r>
        <w:rPr>
          <w:color w:val="231F20"/>
          <w:spacing w:val="-3"/>
          <w:w w:val="105"/>
        </w:rPr>
        <w:t>primera</w:t>
      </w:r>
      <w:r>
        <w:rPr>
          <w:color w:val="231F20"/>
          <w:spacing w:val="-24"/>
          <w:w w:val="105"/>
        </w:rPr>
        <w:t> </w:t>
      </w:r>
      <w:r>
        <w:rPr>
          <w:color w:val="231F20"/>
          <w:spacing w:val="-3"/>
          <w:w w:val="105"/>
        </w:rPr>
        <w:t>instancia</w:t>
      </w:r>
      <w:r>
        <w:rPr>
          <w:color w:val="231F20"/>
          <w:spacing w:val="-24"/>
          <w:w w:val="105"/>
        </w:rPr>
        <w:t> </w:t>
      </w:r>
      <w:r>
        <w:rPr>
          <w:color w:val="231F20"/>
          <w:w w:val="105"/>
        </w:rPr>
        <w:t>una</w:t>
      </w:r>
      <w:r>
        <w:rPr>
          <w:color w:val="231F20"/>
          <w:spacing w:val="-24"/>
          <w:w w:val="105"/>
        </w:rPr>
        <w:t> </w:t>
      </w:r>
      <w:r>
        <w:rPr>
          <w:color w:val="231F20"/>
          <w:spacing w:val="-3"/>
          <w:w w:val="105"/>
        </w:rPr>
        <w:t>mayor</w:t>
      </w:r>
      <w:r>
        <w:rPr>
          <w:color w:val="231F20"/>
          <w:spacing w:val="-24"/>
          <w:w w:val="105"/>
        </w:rPr>
        <w:t> </w:t>
      </w:r>
      <w:r>
        <w:rPr>
          <w:color w:val="231F20"/>
          <w:spacing w:val="-3"/>
          <w:w w:val="105"/>
        </w:rPr>
        <w:t>producción,</w:t>
      </w:r>
      <w:r>
        <w:rPr>
          <w:color w:val="231F20"/>
          <w:spacing w:val="-29"/>
          <w:w w:val="105"/>
        </w:rPr>
        <w:t> </w:t>
      </w:r>
      <w:r>
        <w:rPr>
          <w:color w:val="231F20"/>
          <w:spacing w:val="-3"/>
          <w:w w:val="105"/>
        </w:rPr>
        <w:t>más bien, </w:t>
      </w:r>
      <w:r>
        <w:rPr>
          <w:color w:val="231F20"/>
          <w:w w:val="105"/>
        </w:rPr>
        <w:t>una </w:t>
      </w:r>
      <w:r>
        <w:rPr>
          <w:color w:val="231F20"/>
          <w:spacing w:val="-3"/>
          <w:w w:val="105"/>
        </w:rPr>
        <w:t>mayor demanda </w:t>
      </w:r>
      <w:r>
        <w:rPr>
          <w:color w:val="231F20"/>
          <w:w w:val="105"/>
        </w:rPr>
        <w:t>por </w:t>
      </w:r>
      <w:r>
        <w:rPr>
          <w:color w:val="231F20"/>
          <w:spacing w:val="-4"/>
          <w:w w:val="105"/>
        </w:rPr>
        <w:t>producto, </w:t>
      </w:r>
      <w:r>
        <w:rPr>
          <w:color w:val="231F20"/>
          <w:w w:val="105"/>
        </w:rPr>
        <w:t>y una </w:t>
      </w:r>
      <w:r>
        <w:rPr>
          <w:color w:val="231F20"/>
          <w:spacing w:val="-3"/>
          <w:w w:val="105"/>
        </w:rPr>
        <w:t>mayor producción para satisfacerla</w:t>
      </w:r>
      <w:r>
        <w:rPr>
          <w:color w:val="231F20"/>
          <w:spacing w:val="-15"/>
          <w:w w:val="105"/>
        </w:rPr>
        <w:t> </w:t>
      </w:r>
      <w:r>
        <w:rPr>
          <w:color w:val="231F20"/>
          <w:spacing w:val="-3"/>
          <w:w w:val="105"/>
        </w:rPr>
        <w:t>terminan</w:t>
      </w:r>
      <w:r>
        <w:rPr>
          <w:color w:val="231F20"/>
          <w:spacing w:val="-15"/>
          <w:w w:val="105"/>
        </w:rPr>
        <w:t> </w:t>
      </w:r>
      <w:r>
        <w:rPr>
          <w:color w:val="231F20"/>
          <w:spacing w:val="-3"/>
          <w:w w:val="105"/>
        </w:rPr>
        <w:t>incrementando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spacing w:val="-3"/>
          <w:w w:val="105"/>
        </w:rPr>
        <w:t>larga</w:t>
      </w:r>
      <w:r>
        <w:rPr>
          <w:color w:val="231F20"/>
          <w:spacing w:val="-15"/>
          <w:w w:val="105"/>
        </w:rPr>
        <w:t> </w:t>
      </w:r>
      <w:r>
        <w:rPr>
          <w:color w:val="231F20"/>
          <w:w w:val="105"/>
        </w:rPr>
        <w:t>la</w:t>
      </w:r>
      <w:r>
        <w:rPr>
          <w:color w:val="231F20"/>
          <w:spacing w:val="-15"/>
          <w:w w:val="105"/>
        </w:rPr>
        <w:t> </w:t>
      </w:r>
      <w:r>
        <w:rPr>
          <w:color w:val="231F20"/>
          <w:spacing w:val="-3"/>
          <w:w w:val="105"/>
        </w:rPr>
        <w:t>productividad</w:t>
      </w:r>
      <w:r>
        <w:rPr>
          <w:color w:val="231F20"/>
          <w:spacing w:val="-15"/>
          <w:w w:val="105"/>
        </w:rPr>
        <w:t> </w:t>
      </w:r>
      <w:r>
        <w:rPr>
          <w:color w:val="231F20"/>
          <w:spacing w:val="-3"/>
          <w:w w:val="105"/>
        </w:rPr>
        <w:t>(Sánchez, 2011).</w:t>
      </w:r>
      <w:r>
        <w:rPr>
          <w:color w:val="231F20"/>
          <w:spacing w:val="-24"/>
          <w:w w:val="105"/>
        </w:rPr>
        <w:t> </w:t>
      </w:r>
      <w:r>
        <w:rPr>
          <w:color w:val="231F20"/>
          <w:w w:val="105"/>
        </w:rPr>
        <w:t>Una</w:t>
      </w:r>
      <w:r>
        <w:rPr>
          <w:color w:val="231F20"/>
          <w:spacing w:val="-18"/>
          <w:w w:val="105"/>
        </w:rPr>
        <w:t> </w:t>
      </w:r>
      <w:r>
        <w:rPr>
          <w:color w:val="231F20"/>
          <w:w w:val="105"/>
        </w:rPr>
        <w:t>vez</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spacing w:val="-3"/>
          <w:w w:val="105"/>
        </w:rPr>
        <w:t>región</w:t>
      </w:r>
      <w:r>
        <w:rPr>
          <w:color w:val="231F20"/>
          <w:spacing w:val="-18"/>
          <w:w w:val="105"/>
        </w:rPr>
        <w:t> </w:t>
      </w:r>
      <w:r>
        <w:rPr>
          <w:color w:val="231F20"/>
          <w:spacing w:val="-3"/>
          <w:w w:val="105"/>
        </w:rPr>
        <w:t>tiene</w:t>
      </w:r>
      <w:r>
        <w:rPr>
          <w:color w:val="231F20"/>
          <w:spacing w:val="-18"/>
          <w:w w:val="105"/>
        </w:rPr>
        <w:t> </w:t>
      </w:r>
      <w:r>
        <w:rPr>
          <w:color w:val="231F20"/>
          <w:spacing w:val="-3"/>
          <w:w w:val="105"/>
        </w:rPr>
        <w:t>ventajas</w:t>
      </w:r>
      <w:r>
        <w:rPr>
          <w:color w:val="231F20"/>
          <w:spacing w:val="-18"/>
          <w:w w:val="105"/>
        </w:rPr>
        <w:t> </w:t>
      </w:r>
      <w:r>
        <w:rPr>
          <w:color w:val="231F20"/>
          <w:spacing w:val="-3"/>
          <w:w w:val="105"/>
        </w:rPr>
        <w:t>sobre</w:t>
      </w:r>
      <w:r>
        <w:rPr>
          <w:color w:val="231F20"/>
          <w:spacing w:val="-18"/>
          <w:w w:val="105"/>
        </w:rPr>
        <w:t> </w:t>
      </w:r>
      <w:r>
        <w:rPr>
          <w:color w:val="231F20"/>
          <w:w w:val="105"/>
        </w:rPr>
        <w:t>el</w:t>
      </w:r>
      <w:r>
        <w:rPr>
          <w:color w:val="231F20"/>
          <w:spacing w:val="-18"/>
          <w:w w:val="105"/>
        </w:rPr>
        <w:t> </w:t>
      </w:r>
      <w:r>
        <w:rPr>
          <w:color w:val="231F20"/>
          <w:spacing w:val="-4"/>
          <w:w w:val="105"/>
        </w:rPr>
        <w:t>crecimiento,</w:t>
      </w:r>
      <w:r>
        <w:rPr>
          <w:color w:val="231F20"/>
          <w:spacing w:val="-24"/>
          <w:w w:val="105"/>
        </w:rPr>
        <w:t> </w:t>
      </w:r>
      <w:r>
        <w:rPr>
          <w:color w:val="231F20"/>
          <w:spacing w:val="-3"/>
          <w:w w:val="105"/>
        </w:rPr>
        <w:t>ésta</w:t>
      </w:r>
      <w:r>
        <w:rPr>
          <w:color w:val="231F20"/>
          <w:spacing w:val="-18"/>
          <w:w w:val="105"/>
        </w:rPr>
        <w:t> </w:t>
      </w:r>
      <w:r>
        <w:rPr>
          <w:color w:val="231F20"/>
          <w:spacing w:val="-3"/>
          <w:w w:val="105"/>
        </w:rPr>
        <w:t>ten- derá </w:t>
      </w:r>
      <w:r>
        <w:rPr>
          <w:color w:val="231F20"/>
          <w:w w:val="105"/>
        </w:rPr>
        <w:t>a </w:t>
      </w:r>
      <w:r>
        <w:rPr>
          <w:color w:val="231F20"/>
          <w:spacing w:val="-3"/>
          <w:w w:val="105"/>
        </w:rPr>
        <w:t>sostener esas ventajas </w:t>
      </w:r>
      <w:r>
        <w:rPr>
          <w:color w:val="231F20"/>
          <w:w w:val="105"/>
        </w:rPr>
        <w:t>a </w:t>
      </w:r>
      <w:r>
        <w:rPr>
          <w:color w:val="231F20"/>
          <w:spacing w:val="-3"/>
          <w:w w:val="105"/>
        </w:rPr>
        <w:t>través </w:t>
      </w:r>
      <w:r>
        <w:rPr>
          <w:color w:val="231F20"/>
          <w:w w:val="105"/>
        </w:rPr>
        <w:t>del </w:t>
      </w:r>
      <w:r>
        <w:rPr>
          <w:color w:val="231F20"/>
          <w:spacing w:val="-3"/>
          <w:w w:val="105"/>
        </w:rPr>
        <w:t>proceso </w:t>
      </w:r>
      <w:r>
        <w:rPr>
          <w:color w:val="231F20"/>
          <w:w w:val="105"/>
        </w:rPr>
        <w:t>de </w:t>
      </w:r>
      <w:r>
        <w:rPr>
          <w:color w:val="231F20"/>
          <w:spacing w:val="-3"/>
          <w:w w:val="105"/>
        </w:rPr>
        <w:t>rendimientos cre- cientes</w:t>
      </w:r>
      <w:r>
        <w:rPr>
          <w:color w:val="231F20"/>
          <w:spacing w:val="-24"/>
          <w:w w:val="105"/>
        </w:rPr>
        <w:t> </w:t>
      </w:r>
      <w:r>
        <w:rPr>
          <w:color w:val="231F20"/>
          <w:w w:val="105"/>
        </w:rPr>
        <w:t>que</w:t>
      </w:r>
      <w:r>
        <w:rPr>
          <w:color w:val="231F20"/>
          <w:spacing w:val="-24"/>
          <w:w w:val="105"/>
        </w:rPr>
        <w:t> </w:t>
      </w:r>
      <w:r>
        <w:rPr>
          <w:color w:val="231F20"/>
          <w:spacing w:val="-3"/>
          <w:w w:val="105"/>
        </w:rPr>
        <w:t>induce</w:t>
      </w:r>
      <w:r>
        <w:rPr>
          <w:color w:val="231F20"/>
          <w:spacing w:val="-24"/>
          <w:w w:val="105"/>
        </w:rPr>
        <w:t> </w:t>
      </w:r>
      <w:r>
        <w:rPr>
          <w:color w:val="231F20"/>
          <w:w w:val="105"/>
        </w:rPr>
        <w:t>el</w:t>
      </w:r>
      <w:r>
        <w:rPr>
          <w:color w:val="231F20"/>
          <w:spacing w:val="-24"/>
          <w:w w:val="105"/>
        </w:rPr>
        <w:t> </w:t>
      </w:r>
      <w:r>
        <w:rPr>
          <w:color w:val="231F20"/>
          <w:spacing w:val="-3"/>
          <w:w w:val="105"/>
        </w:rPr>
        <w:t>crecimiento</w:t>
      </w:r>
      <w:r>
        <w:rPr>
          <w:color w:val="231F20"/>
          <w:spacing w:val="-24"/>
          <w:w w:val="105"/>
        </w:rPr>
        <w:t> </w:t>
      </w:r>
      <w:r>
        <w:rPr>
          <w:color w:val="231F20"/>
          <w:w w:val="105"/>
        </w:rPr>
        <w:t>por</w:t>
      </w:r>
      <w:r>
        <w:rPr>
          <w:color w:val="231F20"/>
          <w:spacing w:val="-24"/>
          <w:w w:val="105"/>
        </w:rPr>
        <w:t> </w:t>
      </w:r>
      <w:r>
        <w:rPr>
          <w:color w:val="231F20"/>
          <w:w w:val="105"/>
        </w:rPr>
        <w:t>sí</w:t>
      </w:r>
      <w:r>
        <w:rPr>
          <w:color w:val="231F20"/>
          <w:spacing w:val="-24"/>
          <w:w w:val="105"/>
        </w:rPr>
        <w:t> </w:t>
      </w:r>
      <w:r>
        <w:rPr>
          <w:color w:val="231F20"/>
          <w:spacing w:val="-3"/>
          <w:w w:val="105"/>
        </w:rPr>
        <w:t>mismo;</w:t>
      </w:r>
      <w:r>
        <w:rPr>
          <w:color w:val="231F20"/>
          <w:spacing w:val="-24"/>
          <w:w w:val="105"/>
        </w:rPr>
        <w:t> </w:t>
      </w:r>
      <w:r>
        <w:rPr>
          <w:color w:val="231F20"/>
          <w:w w:val="105"/>
        </w:rPr>
        <w:t>a</w:t>
      </w:r>
      <w:r>
        <w:rPr>
          <w:color w:val="231F20"/>
          <w:spacing w:val="-24"/>
          <w:w w:val="105"/>
        </w:rPr>
        <w:t> </w:t>
      </w:r>
      <w:r>
        <w:rPr>
          <w:color w:val="231F20"/>
          <w:spacing w:val="-3"/>
          <w:w w:val="105"/>
        </w:rPr>
        <w:t>esto</w:t>
      </w:r>
      <w:r>
        <w:rPr>
          <w:color w:val="231F20"/>
          <w:spacing w:val="-24"/>
          <w:w w:val="105"/>
        </w:rPr>
        <w:t> </w:t>
      </w:r>
      <w:r>
        <w:rPr>
          <w:color w:val="231F20"/>
          <w:w w:val="105"/>
        </w:rPr>
        <w:t>es</w:t>
      </w:r>
      <w:r>
        <w:rPr>
          <w:color w:val="231F20"/>
          <w:spacing w:val="-24"/>
          <w:w w:val="105"/>
        </w:rPr>
        <w:t> </w:t>
      </w:r>
      <w:r>
        <w:rPr>
          <w:color w:val="231F20"/>
          <w:w w:val="105"/>
        </w:rPr>
        <w:t>lo</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spacing w:val="-3"/>
          <w:w w:val="105"/>
        </w:rPr>
        <w:t>conoce como</w:t>
      </w:r>
      <w:r>
        <w:rPr>
          <w:color w:val="231F20"/>
          <w:spacing w:val="-9"/>
          <w:w w:val="105"/>
        </w:rPr>
        <w:t> </w:t>
      </w:r>
      <w:r>
        <w:rPr>
          <w:color w:val="231F20"/>
          <w:w w:val="105"/>
        </w:rPr>
        <w:t>el</w:t>
      </w:r>
      <w:r>
        <w:rPr>
          <w:color w:val="231F20"/>
          <w:spacing w:val="-9"/>
          <w:w w:val="105"/>
        </w:rPr>
        <w:t> </w:t>
      </w:r>
      <w:r>
        <w:rPr>
          <w:color w:val="231F20"/>
          <w:spacing w:val="-3"/>
          <w:w w:val="105"/>
        </w:rPr>
        <w:t>efecto</w:t>
      </w:r>
      <w:r>
        <w:rPr>
          <w:color w:val="231F20"/>
          <w:spacing w:val="-12"/>
          <w:w w:val="105"/>
        </w:rPr>
        <w:t> </w:t>
      </w:r>
      <w:r>
        <w:rPr>
          <w:color w:val="231F20"/>
          <w:spacing w:val="-4"/>
          <w:w w:val="105"/>
        </w:rPr>
        <w:t>Verdoorn,</w:t>
      </w:r>
      <w:r>
        <w:rPr>
          <w:color w:val="231F20"/>
          <w:spacing w:val="-14"/>
          <w:w w:val="105"/>
        </w:rPr>
        <w:t> </w:t>
      </w:r>
      <w:r>
        <w:rPr>
          <w:color w:val="231F20"/>
          <w:w w:val="105"/>
        </w:rPr>
        <w:t>el</w:t>
      </w:r>
      <w:r>
        <w:rPr>
          <w:color w:val="231F20"/>
          <w:spacing w:val="-9"/>
          <w:w w:val="105"/>
        </w:rPr>
        <w:t> </w:t>
      </w:r>
      <w:r>
        <w:rPr>
          <w:color w:val="231F20"/>
          <w:spacing w:val="-3"/>
          <w:w w:val="105"/>
        </w:rPr>
        <w:t>cual</w:t>
      </w:r>
      <w:r>
        <w:rPr>
          <w:color w:val="231F20"/>
          <w:spacing w:val="-9"/>
          <w:w w:val="105"/>
        </w:rPr>
        <w:t> </w:t>
      </w:r>
      <w:r>
        <w:rPr>
          <w:color w:val="231F20"/>
          <w:spacing w:val="-3"/>
          <w:w w:val="105"/>
        </w:rPr>
        <w:t>contribuye</w:t>
      </w:r>
      <w:r>
        <w:rPr>
          <w:color w:val="231F20"/>
          <w:spacing w:val="-9"/>
          <w:w w:val="105"/>
        </w:rPr>
        <w:t> </w:t>
      </w:r>
      <w:r>
        <w:rPr>
          <w:color w:val="231F20"/>
          <w:w w:val="105"/>
        </w:rPr>
        <w:t>a</w:t>
      </w:r>
      <w:r>
        <w:rPr>
          <w:color w:val="231F20"/>
          <w:spacing w:val="-9"/>
          <w:w w:val="105"/>
        </w:rPr>
        <w:t> </w:t>
      </w:r>
      <w:r>
        <w:rPr>
          <w:color w:val="231F20"/>
          <w:spacing w:val="-3"/>
          <w:w w:val="105"/>
        </w:rPr>
        <w:t>acentuar</w:t>
      </w:r>
      <w:r>
        <w:rPr>
          <w:color w:val="231F20"/>
          <w:spacing w:val="-9"/>
          <w:w w:val="105"/>
        </w:rPr>
        <w:t> </w:t>
      </w:r>
      <w:r>
        <w:rPr>
          <w:color w:val="231F20"/>
          <w:w w:val="105"/>
        </w:rPr>
        <w:t>las</w:t>
      </w:r>
      <w:r>
        <w:rPr>
          <w:color w:val="231F20"/>
          <w:spacing w:val="-9"/>
          <w:w w:val="105"/>
        </w:rPr>
        <w:t> </w:t>
      </w:r>
      <w:r>
        <w:rPr>
          <w:color w:val="231F20"/>
          <w:spacing w:val="-3"/>
          <w:w w:val="105"/>
        </w:rPr>
        <w:t>diferencias</w:t>
      </w:r>
      <w:r>
        <w:rPr>
          <w:color w:val="231F20"/>
          <w:spacing w:val="-9"/>
          <w:w w:val="105"/>
        </w:rPr>
        <w:t> </w:t>
      </w:r>
      <w:r>
        <w:rPr>
          <w:color w:val="231F20"/>
          <w:spacing w:val="-3"/>
          <w:w w:val="105"/>
        </w:rPr>
        <w:t>re- gionales</w:t>
      </w:r>
      <w:r>
        <w:rPr>
          <w:color w:val="231F20"/>
          <w:spacing w:val="-30"/>
          <w:w w:val="105"/>
        </w:rPr>
        <w:t> </w:t>
      </w:r>
      <w:r>
        <w:rPr>
          <w:color w:val="231F20"/>
          <w:spacing w:val="-3"/>
          <w:w w:val="105"/>
        </w:rPr>
        <w:t>(Dixon</w:t>
      </w:r>
      <w:r>
        <w:rPr>
          <w:color w:val="231F20"/>
          <w:spacing w:val="-30"/>
          <w:w w:val="105"/>
        </w:rPr>
        <w:t> </w:t>
      </w:r>
      <w:r>
        <w:rPr>
          <w:color w:val="231F20"/>
          <w:w w:val="105"/>
        </w:rPr>
        <w:t>y</w:t>
      </w:r>
      <w:r>
        <w:rPr>
          <w:color w:val="231F20"/>
          <w:spacing w:val="-33"/>
          <w:w w:val="105"/>
        </w:rPr>
        <w:t> </w:t>
      </w:r>
      <w:r>
        <w:rPr>
          <w:color w:val="231F20"/>
          <w:spacing w:val="-3"/>
          <w:w w:val="105"/>
        </w:rPr>
        <w:t>Thirlwall,</w:t>
      </w:r>
      <w:r>
        <w:rPr>
          <w:color w:val="231F20"/>
          <w:spacing w:val="-34"/>
          <w:w w:val="105"/>
        </w:rPr>
        <w:t> </w:t>
      </w:r>
      <w:r>
        <w:rPr>
          <w:color w:val="231F20"/>
          <w:spacing w:val="-3"/>
          <w:w w:val="105"/>
        </w:rPr>
        <w:t>1975).</w:t>
      </w:r>
    </w:p>
    <w:p>
      <w:pPr>
        <w:pStyle w:val="BodyText"/>
        <w:spacing w:line="259" w:lineRule="auto"/>
        <w:ind w:left="117" w:right="121" w:firstLine="566"/>
        <w:jc w:val="both"/>
      </w:pPr>
      <w:r>
        <w:rPr>
          <w:color w:val="231F20"/>
        </w:rPr>
        <w:t>La tercera ley de Kaldor plantea que existe una relación positiva entre el crecimiento de la productividad de toda la economía y el creci- miento del sector industrial, y negativa con el aumento del empleo en los sectores no manufactureros. Kaldor interpretó esta ley confirmando que una economía no está restringida de recursos, y que en el largo plazo   las tasas de crecimiento de las economías avanzadas son esencialmente vistas como restricciones a la demanda en vez que a la </w:t>
      </w:r>
      <w:r>
        <w:rPr>
          <w:color w:val="231F20"/>
          <w:spacing w:val="8"/>
        </w:rPr>
        <w:t> </w:t>
      </w:r>
      <w:r>
        <w:rPr>
          <w:color w:val="231F20"/>
        </w:rPr>
        <w:t>oferta</w:t>
      </w:r>
      <w:r>
        <w:rPr>
          <w:color w:val="231F20"/>
          <w:position w:val="7"/>
          <w:sz w:val="12"/>
        </w:rPr>
        <w:t>13</w:t>
      </w:r>
      <w:r>
        <w:rPr>
          <w:color w:val="231F20"/>
        </w:rPr>
        <w:t>.</w:t>
      </w:r>
    </w:p>
    <w:p>
      <w:pPr>
        <w:pStyle w:val="BodyText"/>
        <w:spacing w:line="259" w:lineRule="auto"/>
        <w:ind w:left="117" w:right="121" w:firstLine="567"/>
        <w:jc w:val="both"/>
      </w:pPr>
      <w:r>
        <w:rPr>
          <w:color w:val="231F20"/>
          <w:w w:val="105"/>
        </w:rPr>
        <w:t>Con estas leyes Kaldor refiere que el sector industrial es el</w:t>
      </w:r>
      <w:r>
        <w:rPr>
          <w:color w:val="231F20"/>
          <w:spacing w:val="-29"/>
          <w:w w:val="105"/>
        </w:rPr>
        <w:t> </w:t>
      </w:r>
      <w:r>
        <w:rPr>
          <w:color w:val="231F20"/>
          <w:w w:val="105"/>
        </w:rPr>
        <w:t>motor del crecimiento económico, asociado al alto efecto multiplicador de la industria</w:t>
      </w:r>
      <w:r>
        <w:rPr>
          <w:color w:val="231F20"/>
          <w:spacing w:val="-14"/>
          <w:w w:val="105"/>
        </w:rPr>
        <w:t> </w:t>
      </w:r>
      <w:r>
        <w:rPr>
          <w:color w:val="231F20"/>
          <w:w w:val="105"/>
        </w:rPr>
        <w:t>debido</w:t>
      </w:r>
      <w:r>
        <w:rPr>
          <w:color w:val="231F20"/>
          <w:spacing w:val="-14"/>
          <w:w w:val="105"/>
        </w:rPr>
        <w:t> </w:t>
      </w:r>
      <w:r>
        <w:rPr>
          <w:color w:val="231F20"/>
          <w:w w:val="105"/>
        </w:rPr>
        <w:t>a</w:t>
      </w:r>
      <w:r>
        <w:rPr>
          <w:color w:val="231F20"/>
          <w:spacing w:val="-14"/>
          <w:w w:val="105"/>
        </w:rPr>
        <w:t> </w:t>
      </w:r>
      <w:r>
        <w:rPr>
          <w:color w:val="231F20"/>
          <w:w w:val="105"/>
        </w:rPr>
        <w:t>las</w:t>
      </w:r>
      <w:r>
        <w:rPr>
          <w:color w:val="231F20"/>
          <w:spacing w:val="-14"/>
          <w:w w:val="105"/>
        </w:rPr>
        <w:t> </w:t>
      </w:r>
      <w:r>
        <w:rPr>
          <w:color w:val="231F20"/>
          <w:w w:val="105"/>
        </w:rPr>
        <w:t>altas</w:t>
      </w:r>
      <w:r>
        <w:rPr>
          <w:color w:val="231F20"/>
          <w:spacing w:val="-14"/>
          <w:w w:val="105"/>
        </w:rPr>
        <w:t> </w:t>
      </w:r>
      <w:r>
        <w:rPr>
          <w:color w:val="231F20"/>
          <w:w w:val="105"/>
        </w:rPr>
        <w:t>elasticidades</w:t>
      </w:r>
      <w:r>
        <w:rPr>
          <w:color w:val="231F20"/>
          <w:spacing w:val="-14"/>
          <w:w w:val="105"/>
        </w:rPr>
        <w:t> </w:t>
      </w:r>
      <w:r>
        <w:rPr>
          <w:color w:val="231F20"/>
          <w:w w:val="105"/>
        </w:rPr>
        <w:t>ingreso</w:t>
      </w:r>
      <w:r>
        <w:rPr>
          <w:color w:val="231F20"/>
          <w:spacing w:val="-14"/>
          <w:w w:val="105"/>
        </w:rPr>
        <w:t> </w:t>
      </w:r>
      <w:r>
        <w:rPr>
          <w:color w:val="231F20"/>
          <w:w w:val="105"/>
        </w:rPr>
        <w:t>demanda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manu- facturas,</w:t>
      </w:r>
      <w:r>
        <w:rPr>
          <w:color w:val="231F20"/>
          <w:spacing w:val="-34"/>
          <w:w w:val="105"/>
        </w:rPr>
        <w:t> </w:t>
      </w:r>
      <w:r>
        <w:rPr>
          <w:color w:val="231F20"/>
          <w:w w:val="105"/>
        </w:rPr>
        <w:t>a</w:t>
      </w:r>
      <w:r>
        <w:rPr>
          <w:color w:val="231F20"/>
          <w:spacing w:val="-30"/>
          <w:w w:val="105"/>
        </w:rPr>
        <w:t> </w:t>
      </w:r>
      <w:r>
        <w:rPr>
          <w:color w:val="231F20"/>
          <w:w w:val="105"/>
        </w:rPr>
        <w:t>los</w:t>
      </w:r>
      <w:r>
        <w:rPr>
          <w:color w:val="231F20"/>
          <w:spacing w:val="-30"/>
          <w:w w:val="105"/>
        </w:rPr>
        <w:t> </w:t>
      </w:r>
      <w:r>
        <w:rPr>
          <w:color w:val="231F20"/>
          <w:w w:val="105"/>
        </w:rPr>
        <w:t>fuertes</w:t>
      </w:r>
      <w:r>
        <w:rPr>
          <w:color w:val="231F20"/>
          <w:spacing w:val="-30"/>
          <w:w w:val="105"/>
        </w:rPr>
        <w:t> </w:t>
      </w:r>
      <w:r>
        <w:rPr>
          <w:color w:val="231F20"/>
          <w:w w:val="105"/>
        </w:rPr>
        <w:t>encadenamientos</w:t>
      </w:r>
      <w:r>
        <w:rPr>
          <w:color w:val="231F20"/>
          <w:spacing w:val="-30"/>
          <w:w w:val="105"/>
        </w:rPr>
        <w:t> </w:t>
      </w:r>
      <w:r>
        <w:rPr>
          <w:color w:val="231F20"/>
          <w:w w:val="105"/>
        </w:rPr>
        <w:t>hacia</w:t>
      </w:r>
      <w:r>
        <w:rPr>
          <w:color w:val="231F20"/>
          <w:spacing w:val="-30"/>
          <w:w w:val="105"/>
        </w:rPr>
        <w:t> </w:t>
      </w:r>
      <w:r>
        <w:rPr>
          <w:color w:val="231F20"/>
          <w:w w:val="105"/>
        </w:rPr>
        <w:t>atrás</w:t>
      </w:r>
      <w:r>
        <w:rPr>
          <w:color w:val="231F20"/>
          <w:spacing w:val="-30"/>
          <w:w w:val="105"/>
        </w:rPr>
        <w:t> </w:t>
      </w:r>
      <w:r>
        <w:rPr>
          <w:color w:val="231F20"/>
          <w:w w:val="105"/>
        </w:rPr>
        <w:t>y</w:t>
      </w:r>
      <w:r>
        <w:rPr>
          <w:color w:val="231F20"/>
          <w:spacing w:val="-30"/>
          <w:w w:val="105"/>
        </w:rPr>
        <w:t> </w:t>
      </w:r>
      <w:r>
        <w:rPr>
          <w:color w:val="231F20"/>
          <w:w w:val="105"/>
        </w:rPr>
        <w:t>hacia</w:t>
      </w:r>
      <w:r>
        <w:rPr>
          <w:color w:val="231F20"/>
          <w:spacing w:val="-30"/>
          <w:w w:val="105"/>
        </w:rPr>
        <w:t> </w:t>
      </w:r>
      <w:r>
        <w:rPr>
          <w:color w:val="231F20"/>
          <w:w w:val="105"/>
        </w:rPr>
        <w:t>delante</w:t>
      </w:r>
      <w:r>
        <w:rPr>
          <w:color w:val="231F20"/>
          <w:spacing w:val="-30"/>
          <w:w w:val="105"/>
        </w:rPr>
        <w:t> </w:t>
      </w:r>
      <w:r>
        <w:rPr>
          <w:color w:val="231F20"/>
          <w:w w:val="105"/>
        </w:rPr>
        <w:t>de</w:t>
      </w:r>
      <w:r>
        <w:rPr>
          <w:color w:val="231F20"/>
          <w:spacing w:val="-30"/>
          <w:w w:val="105"/>
        </w:rPr>
        <w:t> </w:t>
      </w:r>
      <w:r>
        <w:rPr>
          <w:color w:val="231F20"/>
          <w:w w:val="105"/>
        </w:rPr>
        <w:t>las actividades industriales y a las economías de aprendizaje, que pueden</w:t>
      </w:r>
    </w:p>
    <w:p>
      <w:pPr>
        <w:pStyle w:val="BodyText"/>
        <w:spacing w:before="9"/>
        <w:rPr>
          <w:sz w:val="18"/>
        </w:rPr>
      </w:pPr>
      <w:r>
        <w:rPr/>
        <w:pict>
          <v:line style="position:absolute;mso-position-horizontal-relative:page;mso-position-vertical-relative:paragraph;z-index:9304;mso-wrap-distance-left:0;mso-wrap-distance-right:0" from="70.866096pt,12.897463pt" to="184.252096pt,12.897463pt" stroked="true" strokeweight=".25pt" strokecolor="#231f20">
            <w10:wrap type="topAndBottom"/>
          </v:line>
        </w:pict>
      </w:r>
    </w:p>
    <w:p>
      <w:pPr>
        <w:spacing w:line="194" w:lineRule="exact" w:before="8"/>
        <w:ind w:left="117" w:right="0" w:firstLine="0"/>
        <w:jc w:val="left"/>
        <w:rPr>
          <w:rFonts w:ascii="Calibri" w:hAnsi="Calibri"/>
          <w:sz w:val="16"/>
        </w:rPr>
      </w:pPr>
      <w:r>
        <w:rPr>
          <w:rFonts w:ascii="Calibri" w:hAnsi="Calibri"/>
          <w:color w:val="414042"/>
          <w:w w:val="105"/>
          <w:position w:val="5"/>
          <w:sz w:val="9"/>
        </w:rPr>
        <w:t>13  </w:t>
      </w:r>
      <w:r>
        <w:rPr>
          <w:rFonts w:ascii="Calibri" w:hAnsi="Calibri"/>
          <w:color w:val="414042"/>
          <w:spacing w:val="13"/>
          <w:w w:val="105"/>
          <w:position w:val="5"/>
          <w:sz w:val="9"/>
        </w:rPr>
        <w:t> </w:t>
      </w:r>
      <w:r>
        <w:rPr>
          <w:rFonts w:ascii="Calibri" w:hAnsi="Calibri"/>
          <w:color w:val="414042"/>
          <w:w w:val="105"/>
          <w:sz w:val="16"/>
        </w:rPr>
        <w:t>McCombie</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Ridder</w:t>
      </w:r>
      <w:r>
        <w:rPr>
          <w:rFonts w:ascii="Calibri" w:hAnsi="Calibri"/>
          <w:color w:val="414042"/>
          <w:spacing w:val="-14"/>
          <w:w w:val="105"/>
          <w:sz w:val="16"/>
        </w:rPr>
        <w:t> </w:t>
      </w:r>
      <w:r>
        <w:rPr>
          <w:rFonts w:ascii="Calibri" w:hAnsi="Calibri"/>
          <w:color w:val="414042"/>
          <w:w w:val="105"/>
          <w:sz w:val="16"/>
        </w:rPr>
        <w:t>(1981:</w:t>
      </w:r>
      <w:r>
        <w:rPr>
          <w:rFonts w:ascii="Calibri" w:hAnsi="Calibri"/>
          <w:color w:val="414042"/>
          <w:spacing w:val="-14"/>
          <w:w w:val="105"/>
          <w:sz w:val="16"/>
        </w:rPr>
        <w:t> </w:t>
      </w:r>
      <w:r>
        <w:rPr>
          <w:rFonts w:ascii="Calibri" w:hAnsi="Calibri"/>
          <w:color w:val="414042"/>
          <w:w w:val="105"/>
          <w:sz w:val="16"/>
        </w:rPr>
        <w:t>279)</w:t>
      </w:r>
      <w:r>
        <w:rPr>
          <w:rFonts w:ascii="Calibri" w:hAnsi="Calibri"/>
          <w:color w:val="414042"/>
          <w:spacing w:val="-14"/>
          <w:w w:val="105"/>
          <w:sz w:val="16"/>
        </w:rPr>
        <w:t> </w:t>
      </w:r>
      <w:r>
        <w:rPr>
          <w:rFonts w:ascii="Calibri" w:hAnsi="Calibri"/>
          <w:color w:val="414042"/>
          <w:w w:val="105"/>
          <w:sz w:val="16"/>
        </w:rPr>
        <w:t>plantean</w:t>
      </w:r>
      <w:r>
        <w:rPr>
          <w:rFonts w:ascii="Calibri" w:hAnsi="Calibri"/>
          <w:color w:val="414042"/>
          <w:spacing w:val="-14"/>
          <w:w w:val="105"/>
          <w:sz w:val="16"/>
        </w:rPr>
        <w:t> </w:t>
      </w:r>
      <w:r>
        <w:rPr>
          <w:rFonts w:ascii="Calibri" w:hAnsi="Calibri"/>
          <w:color w:val="414042"/>
          <w:w w:val="105"/>
          <w:sz w:val="16"/>
        </w:rPr>
        <w:t>que</w:t>
      </w:r>
      <w:r>
        <w:rPr>
          <w:rFonts w:ascii="Calibri" w:hAnsi="Calibri"/>
          <w:color w:val="414042"/>
          <w:spacing w:val="-14"/>
          <w:w w:val="105"/>
          <w:sz w:val="16"/>
        </w:rPr>
        <w:t> </w:t>
      </w:r>
      <w:r>
        <w:rPr>
          <w:rFonts w:ascii="Calibri" w:hAnsi="Calibri"/>
          <w:color w:val="414042"/>
          <w:w w:val="105"/>
          <w:sz w:val="16"/>
        </w:rPr>
        <w:t>esta</w:t>
      </w:r>
      <w:r>
        <w:rPr>
          <w:rFonts w:ascii="Calibri" w:hAnsi="Calibri"/>
          <w:color w:val="414042"/>
          <w:spacing w:val="-14"/>
          <w:w w:val="105"/>
          <w:sz w:val="16"/>
        </w:rPr>
        <w:t> </w:t>
      </w:r>
      <w:r>
        <w:rPr>
          <w:rFonts w:ascii="Calibri" w:hAnsi="Calibri"/>
          <w:color w:val="414042"/>
          <w:w w:val="105"/>
          <w:sz w:val="16"/>
        </w:rPr>
        <w:t>ley</w:t>
      </w:r>
      <w:r>
        <w:rPr>
          <w:rFonts w:ascii="Calibri" w:hAnsi="Calibri"/>
          <w:color w:val="414042"/>
          <w:spacing w:val="-14"/>
          <w:w w:val="105"/>
          <w:sz w:val="16"/>
        </w:rPr>
        <w:t> </w:t>
      </w:r>
      <w:r>
        <w:rPr>
          <w:rFonts w:ascii="Calibri" w:hAnsi="Calibri"/>
          <w:color w:val="414042"/>
          <w:w w:val="105"/>
          <w:sz w:val="16"/>
        </w:rPr>
        <w:t>por</w:t>
      </w:r>
      <w:r>
        <w:rPr>
          <w:rFonts w:ascii="Calibri" w:hAnsi="Calibri"/>
          <w:color w:val="414042"/>
          <w:spacing w:val="-14"/>
          <w:w w:val="105"/>
          <w:sz w:val="16"/>
        </w:rPr>
        <w:t> </w:t>
      </w:r>
      <w:r>
        <w:rPr>
          <w:rFonts w:ascii="Calibri" w:hAnsi="Calibri"/>
          <w:color w:val="414042"/>
          <w:w w:val="105"/>
          <w:sz w:val="16"/>
        </w:rPr>
        <w:t>sí</w:t>
      </w:r>
      <w:r>
        <w:rPr>
          <w:rFonts w:ascii="Calibri" w:hAnsi="Calibri"/>
          <w:color w:val="414042"/>
          <w:spacing w:val="-14"/>
          <w:w w:val="105"/>
          <w:sz w:val="16"/>
        </w:rPr>
        <w:t> </w:t>
      </w:r>
      <w:r>
        <w:rPr>
          <w:rFonts w:ascii="Calibri" w:hAnsi="Calibri"/>
          <w:color w:val="414042"/>
          <w:w w:val="105"/>
          <w:sz w:val="16"/>
        </w:rPr>
        <w:t>misma</w:t>
      </w:r>
      <w:r>
        <w:rPr>
          <w:rFonts w:ascii="Calibri" w:hAnsi="Calibri"/>
          <w:color w:val="414042"/>
          <w:spacing w:val="-14"/>
          <w:w w:val="105"/>
          <w:sz w:val="16"/>
        </w:rPr>
        <w:t> </w:t>
      </w:r>
      <w:r>
        <w:rPr>
          <w:rFonts w:ascii="Calibri" w:hAnsi="Calibri"/>
          <w:color w:val="414042"/>
          <w:w w:val="105"/>
          <w:sz w:val="16"/>
        </w:rPr>
        <w:t>no</w:t>
      </w:r>
      <w:r>
        <w:rPr>
          <w:rFonts w:ascii="Calibri" w:hAnsi="Calibri"/>
          <w:color w:val="414042"/>
          <w:spacing w:val="-14"/>
          <w:w w:val="105"/>
          <w:sz w:val="16"/>
        </w:rPr>
        <w:t> </w:t>
      </w:r>
      <w:r>
        <w:rPr>
          <w:rFonts w:ascii="Calibri" w:hAnsi="Calibri"/>
          <w:color w:val="414042"/>
          <w:w w:val="105"/>
          <w:sz w:val="16"/>
        </w:rPr>
        <w:t>puede</w:t>
      </w:r>
      <w:r>
        <w:rPr>
          <w:rFonts w:ascii="Calibri" w:hAnsi="Calibri"/>
          <w:color w:val="414042"/>
          <w:spacing w:val="-14"/>
          <w:w w:val="105"/>
          <w:sz w:val="16"/>
        </w:rPr>
        <w:t> </w:t>
      </w:r>
      <w:r>
        <w:rPr>
          <w:rFonts w:ascii="Calibri" w:hAnsi="Calibri"/>
          <w:color w:val="414042"/>
          <w:w w:val="105"/>
          <w:sz w:val="16"/>
        </w:rPr>
        <w:t>ser</w:t>
      </w:r>
      <w:r>
        <w:rPr>
          <w:rFonts w:ascii="Calibri" w:hAnsi="Calibri"/>
          <w:color w:val="414042"/>
          <w:spacing w:val="-14"/>
          <w:w w:val="105"/>
          <w:sz w:val="16"/>
        </w:rPr>
        <w:t> </w:t>
      </w:r>
      <w:r>
        <w:rPr>
          <w:rFonts w:ascii="Calibri" w:hAnsi="Calibri"/>
          <w:color w:val="414042"/>
          <w:w w:val="105"/>
          <w:sz w:val="16"/>
        </w:rPr>
        <w:t>tomada</w:t>
      </w:r>
      <w:r>
        <w:rPr>
          <w:rFonts w:ascii="Calibri" w:hAnsi="Calibri"/>
          <w:color w:val="414042"/>
          <w:spacing w:val="-14"/>
          <w:w w:val="105"/>
          <w:sz w:val="16"/>
        </w:rPr>
        <w:t> </w:t>
      </w:r>
      <w:r>
        <w:rPr>
          <w:rFonts w:ascii="Calibri" w:hAnsi="Calibri"/>
          <w:color w:val="414042"/>
          <w:w w:val="105"/>
          <w:sz w:val="16"/>
        </w:rPr>
        <w:t>como</w:t>
      </w:r>
      <w:r>
        <w:rPr>
          <w:rFonts w:ascii="Calibri" w:hAnsi="Calibri"/>
          <w:color w:val="414042"/>
          <w:spacing w:val="-14"/>
          <w:w w:val="105"/>
          <w:sz w:val="16"/>
        </w:rPr>
        <w:t> </w:t>
      </w:r>
      <w:r>
        <w:rPr>
          <w:rFonts w:ascii="Calibri" w:hAnsi="Calibri"/>
          <w:color w:val="414042"/>
          <w:w w:val="105"/>
          <w:sz w:val="16"/>
        </w:rPr>
        <w:t>evi-</w:t>
      </w:r>
    </w:p>
    <w:p>
      <w:pPr>
        <w:spacing w:line="194" w:lineRule="exact" w:before="0"/>
        <w:ind w:left="117" w:right="114" w:firstLine="0"/>
        <w:jc w:val="left"/>
        <w:rPr>
          <w:rFonts w:ascii="Calibri"/>
          <w:sz w:val="16"/>
        </w:rPr>
      </w:pPr>
      <w:r>
        <w:rPr>
          <w:rFonts w:ascii="Calibri"/>
          <w:color w:val="414042"/>
          <w:w w:val="105"/>
          <w:sz w:val="16"/>
        </w:rPr>
        <w:t>dencia para confirmar que el crecimiento es explicado por la demanda.</w:t>
      </w:r>
    </w:p>
    <w:p>
      <w:pPr>
        <w:spacing w:after="0" w:line="194" w:lineRule="exact"/>
        <w:jc w:val="left"/>
        <w:rPr>
          <w:rFonts w:ascii="Calibri"/>
          <w:sz w:val="16"/>
        </w:rPr>
        <w:sectPr>
          <w:pgSz w:w="9640" w:h="13890"/>
          <w:pgMar w:top="0" w:bottom="280" w:left="1300" w:right="1180"/>
        </w:sectPr>
      </w:pPr>
    </w:p>
    <w:p>
      <w:pPr>
        <w:pStyle w:val="BodyText"/>
        <w:spacing w:line="259" w:lineRule="auto" w:before="120"/>
        <w:ind w:left="103" w:right="114"/>
        <w:jc w:val="both"/>
      </w:pPr>
      <w:r>
        <w:rPr>
          <w:color w:val="231F20"/>
          <w:w w:val="105"/>
        </w:rPr>
        <w:t>obtenerse a medida que avanza la división del trabajo y se fortalece la especialización</w:t>
      </w:r>
      <w:r>
        <w:rPr>
          <w:color w:val="231F20"/>
          <w:spacing w:val="-29"/>
          <w:w w:val="105"/>
        </w:rPr>
        <w:t> </w:t>
      </w:r>
      <w:r>
        <w:rPr>
          <w:color w:val="231F20"/>
          <w:w w:val="105"/>
        </w:rPr>
        <w:t>como</w:t>
      </w:r>
      <w:r>
        <w:rPr>
          <w:color w:val="231F20"/>
          <w:spacing w:val="-29"/>
          <w:w w:val="105"/>
        </w:rPr>
        <w:t> </w:t>
      </w:r>
      <w:r>
        <w:rPr>
          <w:color w:val="231F20"/>
          <w:w w:val="105"/>
        </w:rPr>
        <w:t>resultado</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expansión</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actividades</w:t>
      </w:r>
      <w:r>
        <w:rPr>
          <w:color w:val="231F20"/>
          <w:spacing w:val="-29"/>
          <w:w w:val="105"/>
        </w:rPr>
        <w:t> </w:t>
      </w:r>
      <w:r>
        <w:rPr>
          <w:color w:val="231F20"/>
          <w:w w:val="105"/>
        </w:rPr>
        <w:t>manu- </w:t>
      </w:r>
      <w:r>
        <w:rPr>
          <w:color w:val="231F20"/>
        </w:rPr>
        <w:t>factureras (Ocegueda,</w:t>
      </w:r>
      <w:r>
        <w:rPr>
          <w:color w:val="231F20"/>
          <w:spacing w:val="38"/>
        </w:rPr>
        <w:t> </w:t>
      </w:r>
      <w:r>
        <w:rPr>
          <w:color w:val="231F20"/>
        </w:rPr>
        <w:t>2003).</w:t>
      </w:r>
    </w:p>
    <w:p>
      <w:pPr>
        <w:pStyle w:val="BodyText"/>
        <w:spacing w:line="259" w:lineRule="auto"/>
        <w:ind w:left="103" w:right="115"/>
        <w:jc w:val="both"/>
      </w:pPr>
      <w:r>
        <w:rPr>
          <w:color w:val="231F20"/>
          <w:w w:val="105"/>
        </w:rPr>
        <w:t>Bajo estos postulados, no es posible entender el crecimiento sin</w:t>
      </w:r>
      <w:r>
        <w:rPr>
          <w:color w:val="231F20"/>
          <w:spacing w:val="-15"/>
          <w:w w:val="105"/>
        </w:rPr>
        <w:t> </w:t>
      </w:r>
      <w:r>
        <w:rPr>
          <w:color w:val="231F20"/>
          <w:w w:val="105"/>
        </w:rPr>
        <w:t>distin- guir entre actividades productivas con rendimientos crecientes (indus- tria)</w:t>
      </w:r>
      <w:r>
        <w:rPr>
          <w:color w:val="231F20"/>
          <w:spacing w:val="-26"/>
          <w:w w:val="105"/>
        </w:rPr>
        <w:t> </w:t>
      </w:r>
      <w:r>
        <w:rPr>
          <w:color w:val="231F20"/>
          <w:w w:val="105"/>
        </w:rPr>
        <w:t>y</w:t>
      </w:r>
      <w:r>
        <w:rPr>
          <w:color w:val="231F20"/>
          <w:spacing w:val="-26"/>
          <w:w w:val="105"/>
        </w:rPr>
        <w:t> </w:t>
      </w:r>
      <w:r>
        <w:rPr>
          <w:color w:val="231F20"/>
          <w:w w:val="105"/>
        </w:rPr>
        <w:t>rendimientos</w:t>
      </w:r>
      <w:r>
        <w:rPr>
          <w:color w:val="231F20"/>
          <w:spacing w:val="-26"/>
          <w:w w:val="105"/>
        </w:rPr>
        <w:t> </w:t>
      </w:r>
      <w:r>
        <w:rPr>
          <w:color w:val="231F20"/>
          <w:w w:val="105"/>
        </w:rPr>
        <w:t>decrecientes</w:t>
      </w:r>
      <w:r>
        <w:rPr>
          <w:color w:val="231F20"/>
          <w:spacing w:val="-26"/>
          <w:w w:val="105"/>
        </w:rPr>
        <w:t> </w:t>
      </w:r>
      <w:r>
        <w:rPr>
          <w:color w:val="231F20"/>
          <w:w w:val="105"/>
        </w:rPr>
        <w:t>(agrícolas),</w:t>
      </w:r>
      <w:r>
        <w:rPr>
          <w:color w:val="231F20"/>
          <w:spacing w:val="-31"/>
          <w:w w:val="105"/>
        </w:rPr>
        <w:t> </w:t>
      </w:r>
      <w:r>
        <w:rPr>
          <w:color w:val="231F20"/>
          <w:w w:val="105"/>
        </w:rPr>
        <w:t>ya</w:t>
      </w:r>
      <w:r>
        <w:rPr>
          <w:color w:val="231F20"/>
          <w:spacing w:val="-26"/>
          <w:w w:val="105"/>
        </w:rPr>
        <w:t> </w:t>
      </w:r>
      <w:r>
        <w:rPr>
          <w:color w:val="231F20"/>
          <w:w w:val="105"/>
        </w:rPr>
        <w:t>que:</w:t>
      </w:r>
    </w:p>
    <w:p>
      <w:pPr>
        <w:pStyle w:val="BodyText"/>
        <w:spacing w:line="259" w:lineRule="auto"/>
        <w:ind w:left="103" w:right="115" w:firstLine="567"/>
        <w:jc w:val="both"/>
      </w:pPr>
      <w:r>
        <w:rPr>
          <w:color w:val="231F20"/>
          <w:w w:val="105"/>
        </w:rPr>
        <w:t>Cuando</w:t>
      </w:r>
      <w:r>
        <w:rPr>
          <w:color w:val="231F20"/>
          <w:spacing w:val="-12"/>
          <w:w w:val="105"/>
        </w:rPr>
        <w:t> </w:t>
      </w:r>
      <w:r>
        <w:rPr>
          <w:color w:val="231F20"/>
          <w:w w:val="105"/>
        </w:rPr>
        <w:t>la</w:t>
      </w:r>
      <w:r>
        <w:rPr>
          <w:color w:val="231F20"/>
          <w:spacing w:val="-12"/>
          <w:w w:val="105"/>
        </w:rPr>
        <w:t> </w:t>
      </w:r>
      <w:r>
        <w:rPr>
          <w:color w:val="231F20"/>
          <w:w w:val="105"/>
        </w:rPr>
        <w:t>producción</w:t>
      </w:r>
      <w:r>
        <w:rPr>
          <w:color w:val="231F20"/>
          <w:spacing w:val="-12"/>
          <w:w w:val="105"/>
        </w:rPr>
        <w:t> </w:t>
      </w:r>
      <w:r>
        <w:rPr>
          <w:color w:val="231F20"/>
          <w:w w:val="105"/>
        </w:rPr>
        <w:t>industrial</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producto</w:t>
      </w:r>
      <w:r>
        <w:rPr>
          <w:color w:val="231F20"/>
          <w:spacing w:val="-12"/>
          <w:w w:val="105"/>
        </w:rPr>
        <w:t> </w:t>
      </w:r>
      <w:r>
        <w:rPr>
          <w:color w:val="231F20"/>
          <w:w w:val="105"/>
        </w:rPr>
        <w:t>se</w:t>
      </w:r>
      <w:r>
        <w:rPr>
          <w:color w:val="231F20"/>
          <w:spacing w:val="-12"/>
          <w:w w:val="105"/>
        </w:rPr>
        <w:t> </w:t>
      </w:r>
      <w:r>
        <w:rPr>
          <w:color w:val="231F20"/>
          <w:w w:val="105"/>
        </w:rPr>
        <w:t>expanden,</w:t>
      </w:r>
      <w:r>
        <w:rPr>
          <w:color w:val="231F20"/>
          <w:spacing w:val="-19"/>
          <w:w w:val="105"/>
        </w:rPr>
        <w:t> </w:t>
      </w:r>
      <w:r>
        <w:rPr>
          <w:color w:val="231F20"/>
          <w:w w:val="105"/>
        </w:rPr>
        <w:t>los</w:t>
      </w:r>
      <w:r>
        <w:rPr>
          <w:color w:val="231F20"/>
          <w:spacing w:val="-12"/>
          <w:w w:val="105"/>
        </w:rPr>
        <w:t> </w:t>
      </w:r>
      <w:r>
        <w:rPr>
          <w:color w:val="231F20"/>
          <w:w w:val="105"/>
        </w:rPr>
        <w:t>re- cursos</w:t>
      </w:r>
      <w:r>
        <w:rPr>
          <w:color w:val="231F20"/>
          <w:spacing w:val="-21"/>
          <w:w w:val="105"/>
        </w:rPr>
        <w:t> </w:t>
      </w:r>
      <w:r>
        <w:rPr>
          <w:color w:val="231F20"/>
          <w:w w:val="105"/>
        </w:rPr>
        <w:t>del</w:t>
      </w:r>
      <w:r>
        <w:rPr>
          <w:color w:val="231F20"/>
          <w:spacing w:val="-21"/>
          <w:w w:val="105"/>
        </w:rPr>
        <w:t> </w:t>
      </w:r>
      <w:r>
        <w:rPr>
          <w:color w:val="231F20"/>
          <w:w w:val="105"/>
        </w:rPr>
        <w:t>trabajo</w:t>
      </w:r>
      <w:r>
        <w:rPr>
          <w:color w:val="231F20"/>
          <w:spacing w:val="-21"/>
          <w:w w:val="105"/>
        </w:rPr>
        <w:t> </w:t>
      </w:r>
      <w:r>
        <w:rPr>
          <w:color w:val="231F20"/>
          <w:w w:val="105"/>
        </w:rPr>
        <w:t>son</w:t>
      </w:r>
      <w:r>
        <w:rPr>
          <w:color w:val="231F20"/>
          <w:spacing w:val="-21"/>
          <w:w w:val="105"/>
        </w:rPr>
        <w:t> </w:t>
      </w:r>
      <w:r>
        <w:rPr>
          <w:color w:val="231F20"/>
          <w:w w:val="105"/>
        </w:rPr>
        <w:t>transferidos</w:t>
      </w:r>
      <w:r>
        <w:rPr>
          <w:color w:val="231F20"/>
          <w:spacing w:val="-21"/>
          <w:w w:val="105"/>
        </w:rPr>
        <w:t> </w:t>
      </w:r>
      <w:r>
        <w:rPr>
          <w:color w:val="231F20"/>
          <w:w w:val="105"/>
        </w:rPr>
        <w:t>de</w:t>
      </w:r>
      <w:r>
        <w:rPr>
          <w:color w:val="231F20"/>
          <w:spacing w:val="-21"/>
          <w:w w:val="105"/>
        </w:rPr>
        <w:t> </w:t>
      </w:r>
      <w:r>
        <w:rPr>
          <w:color w:val="231F20"/>
          <w:w w:val="105"/>
        </w:rPr>
        <w:t>otros</w:t>
      </w:r>
      <w:r>
        <w:rPr>
          <w:color w:val="231F20"/>
          <w:spacing w:val="-21"/>
          <w:w w:val="105"/>
        </w:rPr>
        <w:t> </w:t>
      </w:r>
      <w:r>
        <w:rPr>
          <w:color w:val="231F20"/>
          <w:w w:val="105"/>
        </w:rPr>
        <w:t>sectores.</w:t>
      </w:r>
    </w:p>
    <w:p>
      <w:pPr>
        <w:pStyle w:val="BodyText"/>
        <w:spacing w:line="259" w:lineRule="auto"/>
        <w:ind w:left="103" w:right="114" w:firstLine="567"/>
        <w:jc w:val="both"/>
      </w:pPr>
      <w:r>
        <w:rPr>
          <w:color w:val="231F20"/>
        </w:rPr>
        <w:t>Las manufacturas poseen grandes eslabonamientos hacia atrás y hacia adelante.</w:t>
      </w:r>
    </w:p>
    <w:p>
      <w:pPr>
        <w:pStyle w:val="BodyText"/>
        <w:spacing w:line="259" w:lineRule="auto"/>
        <w:ind w:left="103" w:right="115" w:firstLine="567"/>
        <w:jc w:val="both"/>
      </w:pPr>
      <w:r>
        <w:rPr>
          <w:color w:val="231F20"/>
          <w:w w:val="105"/>
        </w:rPr>
        <w:t>El</w:t>
      </w:r>
      <w:r>
        <w:rPr>
          <w:color w:val="231F20"/>
          <w:spacing w:val="-31"/>
          <w:w w:val="105"/>
        </w:rPr>
        <w:t> </w:t>
      </w:r>
      <w:r>
        <w:rPr>
          <w:color w:val="231F20"/>
          <w:w w:val="105"/>
        </w:rPr>
        <w:t>sector</w:t>
      </w:r>
      <w:r>
        <w:rPr>
          <w:color w:val="231F20"/>
          <w:spacing w:val="-31"/>
          <w:w w:val="105"/>
        </w:rPr>
        <w:t> </w:t>
      </w:r>
      <w:r>
        <w:rPr>
          <w:color w:val="231F20"/>
          <w:w w:val="105"/>
        </w:rPr>
        <w:t>industrial</w:t>
      </w:r>
      <w:r>
        <w:rPr>
          <w:color w:val="231F20"/>
          <w:spacing w:val="-31"/>
          <w:w w:val="105"/>
        </w:rPr>
        <w:t> </w:t>
      </w:r>
      <w:r>
        <w:rPr>
          <w:color w:val="231F20"/>
          <w:w w:val="105"/>
        </w:rPr>
        <w:t>está</w:t>
      </w:r>
      <w:r>
        <w:rPr>
          <w:color w:val="231F20"/>
          <w:spacing w:val="-31"/>
          <w:w w:val="105"/>
        </w:rPr>
        <w:t> </w:t>
      </w:r>
      <w:r>
        <w:rPr>
          <w:color w:val="231F20"/>
          <w:w w:val="105"/>
        </w:rPr>
        <w:t>sujeto</w:t>
      </w:r>
      <w:r>
        <w:rPr>
          <w:color w:val="231F20"/>
          <w:spacing w:val="-31"/>
          <w:w w:val="105"/>
        </w:rPr>
        <w:t> </w:t>
      </w:r>
      <w:r>
        <w:rPr>
          <w:color w:val="231F20"/>
          <w:w w:val="105"/>
        </w:rPr>
        <w:t>a</w:t>
      </w:r>
      <w:r>
        <w:rPr>
          <w:color w:val="231F20"/>
          <w:spacing w:val="-31"/>
          <w:w w:val="105"/>
        </w:rPr>
        <w:t> </w:t>
      </w:r>
      <w:r>
        <w:rPr>
          <w:color w:val="231F20"/>
          <w:w w:val="105"/>
        </w:rPr>
        <w:t>rendimientos</w:t>
      </w:r>
      <w:r>
        <w:rPr>
          <w:color w:val="231F20"/>
          <w:spacing w:val="-31"/>
          <w:w w:val="105"/>
        </w:rPr>
        <w:t> </w:t>
      </w:r>
      <w:r>
        <w:rPr>
          <w:color w:val="231F20"/>
          <w:w w:val="105"/>
        </w:rPr>
        <w:t>crecientes</w:t>
      </w:r>
      <w:r>
        <w:rPr>
          <w:color w:val="231F20"/>
          <w:spacing w:val="-31"/>
          <w:w w:val="105"/>
        </w:rPr>
        <w:t> </w:t>
      </w:r>
      <w:r>
        <w:rPr>
          <w:color w:val="231F20"/>
          <w:w w:val="105"/>
        </w:rPr>
        <w:t>de</w:t>
      </w:r>
      <w:r>
        <w:rPr>
          <w:color w:val="231F20"/>
          <w:spacing w:val="-31"/>
          <w:w w:val="105"/>
        </w:rPr>
        <w:t> </w:t>
      </w:r>
      <w:r>
        <w:rPr>
          <w:color w:val="231F20"/>
          <w:w w:val="105"/>
        </w:rPr>
        <w:t>manera estática</w:t>
      </w:r>
      <w:r>
        <w:rPr>
          <w:color w:val="231F20"/>
          <w:spacing w:val="-28"/>
          <w:w w:val="105"/>
        </w:rPr>
        <w:t> </w:t>
      </w:r>
      <w:r>
        <w:rPr>
          <w:color w:val="231F20"/>
          <w:w w:val="105"/>
        </w:rPr>
        <w:t>y</w:t>
      </w:r>
      <w:r>
        <w:rPr>
          <w:color w:val="231F20"/>
          <w:spacing w:val="-28"/>
          <w:w w:val="105"/>
        </w:rPr>
        <w:t> </w:t>
      </w:r>
      <w:r>
        <w:rPr>
          <w:color w:val="231F20"/>
          <w:w w:val="105"/>
        </w:rPr>
        <w:t>dinámica</w:t>
      </w:r>
      <w:r>
        <w:rPr>
          <w:color w:val="231F20"/>
          <w:spacing w:val="-28"/>
          <w:w w:val="105"/>
        </w:rPr>
        <w:t> </w:t>
      </w:r>
      <w:r>
        <w:rPr>
          <w:color w:val="231F20"/>
          <w:w w:val="105"/>
        </w:rPr>
        <w:t>(a</w:t>
      </w:r>
      <w:r>
        <w:rPr>
          <w:color w:val="231F20"/>
          <w:spacing w:val="-28"/>
          <w:w w:val="105"/>
        </w:rPr>
        <w:t> </w:t>
      </w:r>
      <w:r>
        <w:rPr>
          <w:color w:val="231F20"/>
          <w:w w:val="105"/>
        </w:rPr>
        <w:t>través</w:t>
      </w:r>
      <w:r>
        <w:rPr>
          <w:color w:val="231F20"/>
          <w:spacing w:val="-28"/>
          <w:w w:val="105"/>
        </w:rPr>
        <w:t> </w:t>
      </w:r>
      <w:r>
        <w:rPr>
          <w:color w:val="231F20"/>
          <w:w w:val="105"/>
        </w:rPr>
        <w:t>del</w:t>
      </w:r>
      <w:r>
        <w:rPr>
          <w:color w:val="231F20"/>
          <w:spacing w:val="-28"/>
          <w:w w:val="105"/>
        </w:rPr>
        <w:t> </w:t>
      </w:r>
      <w:r>
        <w:rPr>
          <w:color w:val="231F20"/>
          <w:w w:val="105"/>
        </w:rPr>
        <w:t>aprender-haciendo).</w:t>
      </w:r>
    </w:p>
    <w:p>
      <w:pPr>
        <w:pStyle w:val="BodyText"/>
        <w:spacing w:line="259" w:lineRule="auto"/>
        <w:ind w:left="103" w:right="114" w:firstLine="567"/>
        <w:jc w:val="both"/>
      </w:pPr>
      <w:r>
        <w:rPr>
          <w:color w:val="231F20"/>
        </w:rPr>
        <w:t>Las economías de aprendizaje se obtienen a medida que avanza la división del trabajo y se fortalece la especialización como resultado de la expansión de las actividades  manufactureras.</w:t>
      </w:r>
    </w:p>
    <w:p>
      <w:pPr>
        <w:pStyle w:val="BodyText"/>
        <w:rPr>
          <w:sz w:val="20"/>
        </w:rPr>
      </w:pPr>
    </w:p>
    <w:p>
      <w:pPr>
        <w:pStyle w:val="BodyText"/>
        <w:spacing w:before="7"/>
        <w:rPr>
          <w:sz w:val="18"/>
        </w:rPr>
      </w:pPr>
    </w:p>
    <w:p>
      <w:pPr>
        <w:pStyle w:val="Heading2"/>
        <w:ind w:left="103"/>
      </w:pPr>
      <w:r>
        <w:rPr>
          <w:color w:val="231F20"/>
          <w:w w:val="95"/>
        </w:rPr>
        <w:t>Reflexión final</w:t>
      </w:r>
    </w:p>
    <w:p>
      <w:pPr>
        <w:pStyle w:val="BodyText"/>
        <w:rPr>
          <w:b/>
          <w:sz w:val="22"/>
        </w:rPr>
      </w:pPr>
    </w:p>
    <w:p>
      <w:pPr>
        <w:pStyle w:val="BodyText"/>
        <w:spacing w:line="259" w:lineRule="auto" w:before="160"/>
        <w:ind w:left="103" w:right="109"/>
        <w:jc w:val="both"/>
      </w:pPr>
      <w:r>
        <w:rPr>
          <w:color w:val="231F20"/>
          <w:w w:val="105"/>
        </w:rPr>
        <w:t>Hasta</w:t>
      </w:r>
      <w:r>
        <w:rPr>
          <w:color w:val="231F20"/>
          <w:spacing w:val="-13"/>
          <w:w w:val="105"/>
        </w:rPr>
        <w:t> </w:t>
      </w:r>
      <w:r>
        <w:rPr>
          <w:color w:val="231F20"/>
          <w:w w:val="105"/>
        </w:rPr>
        <w:t>hace</w:t>
      </w:r>
      <w:r>
        <w:rPr>
          <w:color w:val="231F20"/>
          <w:spacing w:val="-13"/>
          <w:w w:val="105"/>
        </w:rPr>
        <w:t> </w:t>
      </w:r>
      <w:r>
        <w:rPr>
          <w:color w:val="231F20"/>
          <w:w w:val="105"/>
        </w:rPr>
        <w:t>pocos</w:t>
      </w:r>
      <w:r>
        <w:rPr>
          <w:color w:val="231F20"/>
          <w:spacing w:val="-13"/>
          <w:w w:val="105"/>
        </w:rPr>
        <w:t> </w:t>
      </w:r>
      <w:r>
        <w:rPr>
          <w:color w:val="231F20"/>
          <w:w w:val="105"/>
        </w:rPr>
        <w:t>años</w:t>
      </w:r>
      <w:r>
        <w:rPr>
          <w:color w:val="231F20"/>
          <w:spacing w:val="-13"/>
          <w:w w:val="105"/>
        </w:rPr>
        <w:t> </w:t>
      </w:r>
      <w:r>
        <w:rPr>
          <w:color w:val="231F20"/>
          <w:w w:val="105"/>
        </w:rPr>
        <w:t>la</w:t>
      </w:r>
      <w:r>
        <w:rPr>
          <w:color w:val="231F20"/>
          <w:spacing w:val="-13"/>
          <w:w w:val="105"/>
        </w:rPr>
        <w:t> </w:t>
      </w:r>
      <w:r>
        <w:rPr>
          <w:color w:val="231F20"/>
          <w:w w:val="105"/>
        </w:rPr>
        <w:t>teoría</w:t>
      </w:r>
      <w:r>
        <w:rPr>
          <w:color w:val="231F20"/>
          <w:spacing w:val="-13"/>
          <w:w w:val="105"/>
        </w:rPr>
        <w:t> </w:t>
      </w:r>
      <w:r>
        <w:rPr>
          <w:color w:val="231F20"/>
          <w:w w:val="105"/>
        </w:rPr>
        <w:t>del</w:t>
      </w:r>
      <w:r>
        <w:rPr>
          <w:color w:val="231F20"/>
          <w:spacing w:val="-13"/>
          <w:w w:val="105"/>
        </w:rPr>
        <w:t> </w:t>
      </w:r>
      <w:r>
        <w:rPr>
          <w:color w:val="231F20"/>
          <w:w w:val="105"/>
        </w:rPr>
        <w:t>crecimiento,</w:t>
      </w:r>
      <w:r>
        <w:rPr>
          <w:color w:val="231F20"/>
          <w:spacing w:val="-19"/>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lado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oferta, señalaba que la expansión del producto en el largo plazo era resulta- do del ritmo al que el progreso tecnológico hacia aumentar la rentabili- dad del capital y de la mano de obra, por lo que los cambios en la tasa de ahorro e inversión sólo influían en la tasa de crecimiento en el corto plazo.</w:t>
      </w:r>
      <w:r>
        <w:rPr>
          <w:color w:val="231F20"/>
          <w:spacing w:val="-13"/>
          <w:w w:val="105"/>
        </w:rPr>
        <w:t> </w:t>
      </w:r>
      <w:r>
        <w:rPr>
          <w:color w:val="231F20"/>
          <w:w w:val="105"/>
        </w:rPr>
        <w:t>Sin</w:t>
      </w:r>
      <w:r>
        <w:rPr>
          <w:color w:val="231F20"/>
          <w:spacing w:val="-7"/>
          <w:w w:val="105"/>
        </w:rPr>
        <w:t> </w:t>
      </w:r>
      <w:r>
        <w:rPr>
          <w:color w:val="231F20"/>
          <w:w w:val="105"/>
        </w:rPr>
        <w:t>embargo,</w:t>
      </w:r>
      <w:r>
        <w:rPr>
          <w:color w:val="231F20"/>
          <w:spacing w:val="-13"/>
          <w:w w:val="105"/>
        </w:rPr>
        <w:t> </w:t>
      </w:r>
      <w:r>
        <w:rPr>
          <w:color w:val="231F20"/>
          <w:w w:val="105"/>
        </w:rPr>
        <w:t>dado</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teoría</w:t>
      </w:r>
      <w:r>
        <w:rPr>
          <w:color w:val="231F20"/>
          <w:spacing w:val="-7"/>
          <w:w w:val="105"/>
        </w:rPr>
        <w:t> </w:t>
      </w:r>
      <w:r>
        <w:rPr>
          <w:color w:val="231F20"/>
          <w:w w:val="105"/>
        </w:rPr>
        <w:t>no</w:t>
      </w:r>
      <w:r>
        <w:rPr>
          <w:color w:val="231F20"/>
          <w:spacing w:val="-7"/>
          <w:w w:val="105"/>
        </w:rPr>
        <w:t> </w:t>
      </w:r>
      <w:r>
        <w:rPr>
          <w:color w:val="231F20"/>
          <w:w w:val="105"/>
        </w:rPr>
        <w:t>podía</w:t>
      </w:r>
      <w:r>
        <w:rPr>
          <w:color w:val="231F20"/>
          <w:spacing w:val="-7"/>
          <w:w w:val="105"/>
        </w:rPr>
        <w:t> </w:t>
      </w:r>
      <w:r>
        <w:rPr>
          <w:color w:val="231F20"/>
          <w:w w:val="105"/>
        </w:rPr>
        <w:t>explicar</w:t>
      </w:r>
      <w:r>
        <w:rPr>
          <w:color w:val="231F20"/>
          <w:spacing w:val="-7"/>
          <w:w w:val="105"/>
        </w:rPr>
        <w:t> </w:t>
      </w:r>
      <w:r>
        <w:rPr>
          <w:color w:val="231F20"/>
          <w:w w:val="105"/>
        </w:rPr>
        <w:t>las</w:t>
      </w:r>
      <w:r>
        <w:rPr>
          <w:color w:val="231F20"/>
          <w:spacing w:val="-7"/>
          <w:w w:val="105"/>
        </w:rPr>
        <w:t> </w:t>
      </w:r>
      <w:r>
        <w:rPr>
          <w:color w:val="231F20"/>
          <w:w w:val="105"/>
        </w:rPr>
        <w:t>causas</w:t>
      </w:r>
      <w:r>
        <w:rPr>
          <w:color w:val="231F20"/>
          <w:spacing w:val="-7"/>
          <w:w w:val="105"/>
        </w:rPr>
        <w:t> </w:t>
      </w:r>
      <w:r>
        <w:rPr>
          <w:color w:val="231F20"/>
          <w:w w:val="105"/>
        </w:rPr>
        <w:t>del progreso tecnológico, éste era visto como un fenómeno exógeno y por ende,</w:t>
      </w:r>
      <w:r>
        <w:rPr>
          <w:color w:val="231F20"/>
          <w:spacing w:val="-13"/>
          <w:w w:val="105"/>
        </w:rPr>
        <w:t> </w:t>
      </w:r>
      <w:r>
        <w:rPr>
          <w:color w:val="231F20"/>
          <w:w w:val="105"/>
        </w:rPr>
        <w:t>el</w:t>
      </w:r>
      <w:r>
        <w:rPr>
          <w:color w:val="231F20"/>
          <w:spacing w:val="-7"/>
          <w:w w:val="105"/>
        </w:rPr>
        <w:t> </w:t>
      </w:r>
      <w:r>
        <w:rPr>
          <w:color w:val="231F20"/>
          <w:w w:val="105"/>
        </w:rPr>
        <w:t>crecimiento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regiones</w:t>
      </w:r>
      <w:r>
        <w:rPr>
          <w:color w:val="231F20"/>
          <w:spacing w:val="-7"/>
          <w:w w:val="105"/>
        </w:rPr>
        <w:t> </w:t>
      </w:r>
      <w:r>
        <w:rPr>
          <w:color w:val="231F20"/>
          <w:w w:val="105"/>
        </w:rPr>
        <w:t>se</w:t>
      </w:r>
      <w:r>
        <w:rPr>
          <w:color w:val="231F20"/>
          <w:spacing w:val="-7"/>
          <w:w w:val="105"/>
        </w:rPr>
        <w:t> </w:t>
      </w:r>
      <w:r>
        <w:rPr>
          <w:color w:val="231F20"/>
          <w:w w:val="105"/>
        </w:rPr>
        <w:t>explicaba</w:t>
      </w:r>
      <w:r>
        <w:rPr>
          <w:color w:val="231F20"/>
          <w:spacing w:val="-7"/>
          <w:w w:val="105"/>
        </w:rPr>
        <w:t> </w:t>
      </w:r>
      <w:r>
        <w:rPr>
          <w:color w:val="231F20"/>
          <w:w w:val="105"/>
        </w:rPr>
        <w:t>también</w:t>
      </w:r>
      <w:r>
        <w:rPr>
          <w:color w:val="231F20"/>
          <w:spacing w:val="-7"/>
          <w:w w:val="105"/>
        </w:rPr>
        <w:t> </w:t>
      </w:r>
      <w:r>
        <w:rPr>
          <w:color w:val="231F20"/>
          <w:w w:val="105"/>
        </w:rPr>
        <w:t>como</w:t>
      </w:r>
      <w:r>
        <w:rPr>
          <w:color w:val="231F20"/>
          <w:spacing w:val="-7"/>
          <w:w w:val="105"/>
        </w:rPr>
        <w:t> </w:t>
      </w:r>
      <w:r>
        <w:rPr>
          <w:color w:val="231F20"/>
          <w:w w:val="105"/>
        </w:rPr>
        <w:t>conse- cuencia</w:t>
      </w:r>
      <w:r>
        <w:rPr>
          <w:color w:val="231F20"/>
          <w:spacing w:val="-35"/>
          <w:w w:val="105"/>
        </w:rPr>
        <w:t> </w:t>
      </w:r>
      <w:r>
        <w:rPr>
          <w:color w:val="231F20"/>
          <w:w w:val="105"/>
        </w:rPr>
        <w:t>de</w:t>
      </w:r>
      <w:r>
        <w:rPr>
          <w:color w:val="231F20"/>
          <w:spacing w:val="-35"/>
          <w:w w:val="105"/>
        </w:rPr>
        <w:t> </w:t>
      </w:r>
      <w:r>
        <w:rPr>
          <w:color w:val="231F20"/>
          <w:w w:val="105"/>
        </w:rPr>
        <w:t>variables</w:t>
      </w:r>
      <w:r>
        <w:rPr>
          <w:color w:val="231F20"/>
          <w:spacing w:val="-35"/>
          <w:w w:val="105"/>
        </w:rPr>
        <w:t> </w:t>
      </w:r>
      <w:r>
        <w:rPr>
          <w:color w:val="231F20"/>
          <w:w w:val="105"/>
        </w:rPr>
        <w:t>exógenas.</w:t>
      </w:r>
    </w:p>
    <w:p>
      <w:pPr>
        <w:pStyle w:val="BodyText"/>
        <w:spacing w:line="259" w:lineRule="auto"/>
        <w:ind w:left="103" w:right="115" w:firstLine="567"/>
        <w:jc w:val="both"/>
      </w:pPr>
      <w:r>
        <w:rPr>
          <w:color w:val="231F20"/>
          <w:spacing w:val="-5"/>
          <w:w w:val="105"/>
        </w:rPr>
        <w:t>Todos </w:t>
      </w:r>
      <w:r>
        <w:rPr>
          <w:color w:val="231F20"/>
          <w:w w:val="105"/>
        </w:rPr>
        <w:t>los modelos de crecimiento exógeno tienen una implica- ción:</w:t>
      </w:r>
      <w:r>
        <w:rPr>
          <w:color w:val="231F20"/>
          <w:spacing w:val="-14"/>
          <w:w w:val="105"/>
        </w:rPr>
        <w:t> </w:t>
      </w:r>
      <w:r>
        <w:rPr>
          <w:color w:val="231F20"/>
          <w:w w:val="105"/>
        </w:rPr>
        <w:t>los</w:t>
      </w:r>
      <w:r>
        <w:rPr>
          <w:color w:val="231F20"/>
          <w:spacing w:val="-14"/>
          <w:w w:val="105"/>
        </w:rPr>
        <w:t> </w:t>
      </w:r>
      <w:r>
        <w:rPr>
          <w:color w:val="231F20"/>
          <w:w w:val="105"/>
        </w:rPr>
        <w:t>cambios</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políticas</w:t>
      </w:r>
      <w:r>
        <w:rPr>
          <w:color w:val="231F20"/>
          <w:spacing w:val="-14"/>
          <w:w w:val="105"/>
        </w:rPr>
        <w:t> </w:t>
      </w:r>
      <w:r>
        <w:rPr>
          <w:color w:val="231F20"/>
          <w:w w:val="105"/>
        </w:rPr>
        <w:t>gubernamentales</w:t>
      </w:r>
      <w:r>
        <w:rPr>
          <w:color w:val="231F20"/>
          <w:spacing w:val="-14"/>
          <w:w w:val="105"/>
        </w:rPr>
        <w:t> </w:t>
      </w:r>
      <w:r>
        <w:rPr>
          <w:color w:val="231F20"/>
          <w:w w:val="105"/>
        </w:rPr>
        <w:t>(como</w:t>
      </w:r>
      <w:r>
        <w:rPr>
          <w:color w:val="231F20"/>
          <w:spacing w:val="-14"/>
          <w:w w:val="105"/>
        </w:rPr>
        <w:t> </w:t>
      </w:r>
      <w:r>
        <w:rPr>
          <w:color w:val="231F20"/>
          <w:w w:val="105"/>
        </w:rPr>
        <w:t>subsidios</w:t>
      </w:r>
      <w:r>
        <w:rPr>
          <w:color w:val="231F20"/>
          <w:spacing w:val="-13"/>
          <w:w w:val="105"/>
        </w:rPr>
        <w:t> </w:t>
      </w:r>
      <w:r>
        <w:rPr>
          <w:color w:val="231F20"/>
          <w:w w:val="105"/>
        </w:rPr>
        <w:t>a</w:t>
      </w:r>
      <w:r>
        <w:rPr>
          <w:color w:val="231F20"/>
          <w:spacing w:val="-14"/>
          <w:w w:val="105"/>
        </w:rPr>
        <w:t> </w:t>
      </w:r>
      <w:r>
        <w:rPr>
          <w:color w:val="231F20"/>
          <w:w w:val="105"/>
        </w:rPr>
        <w:t>la investigación</w:t>
      </w:r>
      <w:r>
        <w:rPr>
          <w:color w:val="231F20"/>
          <w:spacing w:val="-9"/>
          <w:w w:val="105"/>
        </w:rPr>
        <w:t> </w:t>
      </w:r>
      <w:r>
        <w:rPr>
          <w:color w:val="231F20"/>
          <w:w w:val="105"/>
        </w:rPr>
        <w:t>o</w:t>
      </w:r>
      <w:r>
        <w:rPr>
          <w:color w:val="231F20"/>
          <w:spacing w:val="-9"/>
          <w:w w:val="105"/>
        </w:rPr>
        <w:t> </w:t>
      </w:r>
      <w:r>
        <w:rPr>
          <w:color w:val="231F20"/>
          <w:w w:val="105"/>
        </w:rPr>
        <w:t>impuestos</w:t>
      </w:r>
      <w:r>
        <w:rPr>
          <w:color w:val="231F20"/>
          <w:spacing w:val="-9"/>
          <w:w w:val="105"/>
        </w:rPr>
        <w:t> </w:t>
      </w:r>
      <w:r>
        <w:rPr>
          <w:color w:val="231F20"/>
          <w:w w:val="105"/>
        </w:rPr>
        <w:t>sobre</w:t>
      </w:r>
      <w:r>
        <w:rPr>
          <w:color w:val="231F20"/>
          <w:spacing w:val="-9"/>
          <w:w w:val="105"/>
        </w:rPr>
        <w:t> </w:t>
      </w:r>
      <w:r>
        <w:rPr>
          <w:color w:val="231F20"/>
          <w:w w:val="105"/>
        </w:rPr>
        <w:t>las</w:t>
      </w:r>
      <w:r>
        <w:rPr>
          <w:color w:val="231F20"/>
          <w:spacing w:val="-9"/>
          <w:w w:val="105"/>
        </w:rPr>
        <w:t> </w:t>
      </w:r>
      <w:r>
        <w:rPr>
          <w:color w:val="231F20"/>
          <w:w w:val="105"/>
        </w:rPr>
        <w:t>inversiones)</w:t>
      </w:r>
      <w:r>
        <w:rPr>
          <w:color w:val="231F20"/>
          <w:spacing w:val="-9"/>
          <w:w w:val="105"/>
        </w:rPr>
        <w:t> </w:t>
      </w:r>
      <w:r>
        <w:rPr>
          <w:color w:val="231F20"/>
          <w:w w:val="105"/>
        </w:rPr>
        <w:t>tienen</w:t>
      </w:r>
      <w:r>
        <w:rPr>
          <w:color w:val="231F20"/>
          <w:spacing w:val="-9"/>
          <w:w w:val="105"/>
        </w:rPr>
        <w:t> </w:t>
      </w:r>
      <w:r>
        <w:rPr>
          <w:color w:val="231F20"/>
          <w:w w:val="105"/>
        </w:rPr>
        <w:t>efectos</w:t>
      </w:r>
      <w:r>
        <w:rPr>
          <w:color w:val="231F20"/>
          <w:spacing w:val="-9"/>
          <w:w w:val="105"/>
        </w:rPr>
        <w:t> </w:t>
      </w:r>
      <w:r>
        <w:rPr>
          <w:color w:val="231F20"/>
          <w:w w:val="105"/>
        </w:rPr>
        <w:t>de</w:t>
      </w:r>
      <w:r>
        <w:rPr>
          <w:color w:val="231F20"/>
          <w:spacing w:val="-9"/>
          <w:w w:val="105"/>
        </w:rPr>
        <w:t> </w:t>
      </w:r>
      <w:r>
        <w:rPr>
          <w:color w:val="231F20"/>
          <w:w w:val="105"/>
        </w:rPr>
        <w:t>nivel pero no de crecimiento de largo plazo. Es decir, estas políticas elevan temporalmente la tasa de crecimiento porque las regiones crecen a un nivel más alto de la ruta de crecimiento equilibrado, pero a largo plazo la tasa de crecimiento regresa a su nivel inicial. Posteriormente se usó el término “crecimiento endógeno” para referirse a modelos donde los cambios de esas políticas pudieran influir sobre la tasa de crecimiento regional</w:t>
      </w:r>
      <w:r>
        <w:rPr>
          <w:color w:val="231F20"/>
          <w:spacing w:val="-27"/>
          <w:w w:val="105"/>
        </w:rPr>
        <w:t> </w:t>
      </w:r>
      <w:r>
        <w:rPr>
          <w:color w:val="231F20"/>
          <w:w w:val="105"/>
        </w:rPr>
        <w:t>en</w:t>
      </w:r>
      <w:r>
        <w:rPr>
          <w:color w:val="231F20"/>
          <w:spacing w:val="-27"/>
          <w:w w:val="105"/>
        </w:rPr>
        <w:t> </w:t>
      </w:r>
      <w:r>
        <w:rPr>
          <w:color w:val="231F20"/>
          <w:w w:val="105"/>
        </w:rPr>
        <w:t>forma</w:t>
      </w:r>
      <w:r>
        <w:rPr>
          <w:color w:val="231F20"/>
          <w:spacing w:val="-27"/>
          <w:w w:val="105"/>
        </w:rPr>
        <w:t> </w:t>
      </w:r>
      <w:r>
        <w:rPr>
          <w:color w:val="231F20"/>
          <w:w w:val="105"/>
        </w:rPr>
        <w:t>permanente.</w:t>
      </w:r>
      <w:r>
        <w:rPr>
          <w:color w:val="231F20"/>
          <w:spacing w:val="-31"/>
          <w:w w:val="105"/>
        </w:rPr>
        <w:t> </w:t>
      </w:r>
      <w:r>
        <w:rPr>
          <w:color w:val="231F20"/>
          <w:w w:val="105"/>
        </w:rPr>
        <w:t>Es</w:t>
      </w:r>
      <w:r>
        <w:rPr>
          <w:color w:val="231F20"/>
          <w:spacing w:val="-27"/>
          <w:w w:val="105"/>
        </w:rPr>
        <w:t> </w:t>
      </w:r>
      <w:r>
        <w:rPr>
          <w:color w:val="231F20"/>
          <w:w w:val="105"/>
        </w:rPr>
        <w:t>así</w:t>
      </w:r>
      <w:r>
        <w:rPr>
          <w:color w:val="231F20"/>
          <w:spacing w:val="-27"/>
          <w:w w:val="105"/>
        </w:rPr>
        <w:t> </w:t>
      </w:r>
      <w:r>
        <w:rPr>
          <w:color w:val="231F20"/>
          <w:w w:val="105"/>
        </w:rPr>
        <w:t>como</w:t>
      </w:r>
      <w:r>
        <w:rPr>
          <w:color w:val="231F20"/>
          <w:spacing w:val="-27"/>
          <w:w w:val="105"/>
        </w:rPr>
        <w:t> </w:t>
      </w:r>
      <w:r>
        <w:rPr>
          <w:color w:val="231F20"/>
          <w:w w:val="105"/>
        </w:rPr>
        <w:t>la</w:t>
      </w:r>
      <w:r>
        <w:rPr>
          <w:color w:val="231F20"/>
          <w:spacing w:val="-27"/>
          <w:w w:val="105"/>
        </w:rPr>
        <w:t> </w:t>
      </w:r>
      <w:r>
        <w:rPr>
          <w:color w:val="231F20"/>
          <w:w w:val="105"/>
        </w:rPr>
        <w:t>teoría</w:t>
      </w:r>
      <w:r>
        <w:rPr>
          <w:color w:val="231F20"/>
          <w:spacing w:val="-27"/>
          <w:w w:val="105"/>
        </w:rPr>
        <w:t> </w:t>
      </w:r>
      <w:r>
        <w:rPr>
          <w:color w:val="231F20"/>
          <w:w w:val="105"/>
        </w:rPr>
        <w:t>neoclásica</w:t>
      </w:r>
      <w:r>
        <w:rPr>
          <w:color w:val="231F20"/>
          <w:spacing w:val="-27"/>
          <w:w w:val="105"/>
        </w:rPr>
        <w:t> </w:t>
      </w:r>
      <w:r>
        <w:rPr>
          <w:color w:val="231F20"/>
          <w:w w:val="105"/>
        </w:rPr>
        <w:t>del</w:t>
      </w:r>
      <w:r>
        <w:rPr>
          <w:color w:val="231F20"/>
          <w:spacing w:val="-27"/>
          <w:w w:val="105"/>
        </w:rPr>
        <w:t> </w:t>
      </w:r>
      <w:r>
        <w:rPr>
          <w:color w:val="231F20"/>
          <w:w w:val="105"/>
        </w:rPr>
        <w:t>creci- miento</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modelo</w:t>
      </w:r>
      <w:r>
        <w:rPr>
          <w:color w:val="231F20"/>
          <w:spacing w:val="-18"/>
          <w:w w:val="105"/>
        </w:rPr>
        <w:t> </w:t>
      </w:r>
      <w:r>
        <w:rPr>
          <w:color w:val="231F20"/>
          <w:w w:val="105"/>
        </w:rPr>
        <w:t>de</w:t>
      </w:r>
      <w:r>
        <w:rPr>
          <w:color w:val="231F20"/>
          <w:spacing w:val="-18"/>
          <w:w w:val="105"/>
        </w:rPr>
        <w:t> </w:t>
      </w:r>
      <w:r>
        <w:rPr>
          <w:color w:val="231F20"/>
          <w:w w:val="105"/>
        </w:rPr>
        <w:t>Solow</w:t>
      </w:r>
      <w:r>
        <w:rPr>
          <w:color w:val="231F20"/>
          <w:spacing w:val="-18"/>
          <w:w w:val="105"/>
        </w:rPr>
        <w:t> </w:t>
      </w:r>
      <w:r>
        <w:rPr>
          <w:color w:val="231F20"/>
          <w:w w:val="105"/>
        </w:rPr>
        <w:t>(1956)</w:t>
      </w:r>
      <w:r>
        <w:rPr>
          <w:color w:val="231F20"/>
          <w:spacing w:val="-18"/>
          <w:w w:val="105"/>
        </w:rPr>
        <w:t> </w:t>
      </w:r>
      <w:r>
        <w:rPr>
          <w:color w:val="231F20"/>
          <w:w w:val="105"/>
        </w:rPr>
        <w:t>forma</w:t>
      </w:r>
      <w:r>
        <w:rPr>
          <w:color w:val="231F20"/>
          <w:spacing w:val="-18"/>
          <w:w w:val="105"/>
        </w:rPr>
        <w:t> </w:t>
      </w:r>
      <w:r>
        <w:rPr>
          <w:color w:val="231F20"/>
          <w:w w:val="105"/>
        </w:rPr>
        <w:t>la</w:t>
      </w:r>
      <w:r>
        <w:rPr>
          <w:color w:val="231F20"/>
          <w:spacing w:val="-18"/>
          <w:w w:val="105"/>
        </w:rPr>
        <w:t> </w:t>
      </w:r>
      <w:r>
        <w:rPr>
          <w:color w:val="231F20"/>
          <w:w w:val="105"/>
        </w:rPr>
        <w:t>base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“nueva”</w:t>
      </w:r>
      <w:r>
        <w:rPr>
          <w:color w:val="231F20"/>
          <w:spacing w:val="-18"/>
          <w:w w:val="105"/>
        </w:rPr>
        <w:t> </w:t>
      </w:r>
      <w:r>
        <w:rPr>
          <w:color w:val="231F20"/>
          <w:w w:val="105"/>
        </w:rPr>
        <w:t>teoría del crecimiento endógeno, que endogeniza el cambio</w:t>
      </w:r>
      <w:r>
        <w:rPr>
          <w:color w:val="231F20"/>
          <w:spacing w:val="-11"/>
          <w:w w:val="105"/>
        </w:rPr>
        <w:t> </w:t>
      </w:r>
      <w:r>
        <w:rPr>
          <w:color w:val="231F20"/>
          <w:w w:val="105"/>
        </w:rPr>
        <w:t>tecnológico.</w:t>
      </w:r>
    </w:p>
    <w:p>
      <w:pPr>
        <w:pStyle w:val="BodyText"/>
        <w:spacing w:line="259" w:lineRule="auto"/>
        <w:ind w:left="103" w:right="115" w:firstLine="567"/>
        <w:jc w:val="both"/>
      </w:pPr>
      <w:r>
        <w:rPr>
          <w:color w:val="231F20"/>
          <w:w w:val="105"/>
        </w:rPr>
        <w:t>Otra de las variables explicativas del avance de la industria y del crecimiento</w:t>
      </w:r>
      <w:r>
        <w:rPr>
          <w:color w:val="231F20"/>
          <w:spacing w:val="-11"/>
          <w:w w:val="105"/>
        </w:rPr>
        <w:t> </w:t>
      </w:r>
      <w:r>
        <w:rPr>
          <w:color w:val="231F20"/>
          <w:w w:val="105"/>
        </w:rPr>
        <w:t>económico</w:t>
      </w:r>
      <w:r>
        <w:rPr>
          <w:color w:val="231F20"/>
          <w:spacing w:val="-11"/>
          <w:w w:val="105"/>
        </w:rPr>
        <w:t> </w:t>
      </w:r>
      <w:r>
        <w:rPr>
          <w:color w:val="231F20"/>
          <w:w w:val="105"/>
        </w:rPr>
        <w:t>regional,</w:t>
      </w:r>
      <w:r>
        <w:rPr>
          <w:color w:val="231F20"/>
          <w:spacing w:val="-17"/>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especialización</w:t>
      </w:r>
      <w:r>
        <w:rPr>
          <w:color w:val="231F20"/>
          <w:spacing w:val="-11"/>
          <w:w w:val="105"/>
        </w:rPr>
        <w:t> </w:t>
      </w:r>
      <w:r>
        <w:rPr>
          <w:color w:val="231F20"/>
          <w:w w:val="105"/>
        </w:rPr>
        <w:t>productiva.</w:t>
      </w:r>
      <w:r>
        <w:rPr>
          <w:color w:val="231F20"/>
          <w:spacing w:val="-18"/>
          <w:w w:val="105"/>
        </w:rPr>
        <w:t> </w:t>
      </w:r>
      <w:r>
        <w:rPr>
          <w:color w:val="231F20"/>
          <w:w w:val="105"/>
        </w:rPr>
        <w:t>Jung-</w:t>
      </w:r>
    </w:p>
    <w:p>
      <w:pPr>
        <w:pStyle w:val="BodyText"/>
        <w:rPr>
          <w:sz w:val="20"/>
        </w:rPr>
      </w:pPr>
    </w:p>
    <w:p>
      <w:pPr>
        <w:pStyle w:val="BodyText"/>
        <w:rPr>
          <w:sz w:val="20"/>
        </w:rPr>
      </w:pPr>
    </w:p>
    <w:p>
      <w:pPr>
        <w:pStyle w:val="BodyText"/>
        <w:rPr>
          <w:sz w:val="19"/>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857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254</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552"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255</w:t>
      </w:r>
    </w:p>
    <w:p>
      <w:pPr>
        <w:pStyle w:val="BodyText"/>
        <w:rPr>
          <w:sz w:val="20"/>
        </w:rPr>
      </w:pPr>
    </w:p>
    <w:p>
      <w:pPr>
        <w:pStyle w:val="BodyText"/>
        <w:rPr>
          <w:sz w:val="20"/>
        </w:rPr>
      </w:pPr>
    </w:p>
    <w:p>
      <w:pPr>
        <w:pStyle w:val="BodyText"/>
        <w:spacing w:line="259" w:lineRule="auto" w:before="176"/>
        <w:ind w:left="117" w:right="115"/>
        <w:jc w:val="both"/>
      </w:pPr>
      <w:r>
        <w:rPr>
          <w:color w:val="231F20"/>
        </w:rPr>
        <w:t>mittag (2004) y Dalum </w:t>
      </w:r>
      <w:r>
        <w:rPr>
          <w:i/>
          <w:color w:val="231F20"/>
        </w:rPr>
        <w:t>et al., </w:t>
      </w:r>
      <w:r>
        <w:rPr>
          <w:color w:val="231F20"/>
        </w:rPr>
        <w:t>(1999) reseñan dos clases de especializa- ción: smithiana y ricardiana. La primera plantea que la especialización    es el resultado del aprendizaje asociado a la experiencia, lo cual permite aumentar la productividad del trabajo y obtener rendimientos a escala.    La visión ricardiana establece que las regiones especializadas en bienes con alto nivel tecnológico en sus procesos productivos tienen mayores posibilidades de alcanzar tasas más altas de productividad, lo cual se  verá reflejado en un rápido crecimiento económico, por lo que algunas actividades ofrecen mayores posibilidades de crecimiento que   </w:t>
      </w:r>
      <w:r>
        <w:rPr>
          <w:color w:val="231F20"/>
          <w:spacing w:val="34"/>
        </w:rPr>
        <w:t> </w:t>
      </w:r>
      <w:r>
        <w:rPr>
          <w:color w:val="231F20"/>
        </w:rPr>
        <w:t>otras.</w:t>
      </w:r>
    </w:p>
    <w:p>
      <w:pPr>
        <w:pStyle w:val="BodyText"/>
        <w:spacing w:line="259" w:lineRule="auto"/>
        <w:ind w:left="117" w:right="121" w:firstLine="567"/>
        <w:jc w:val="both"/>
      </w:pPr>
      <w:r>
        <w:rPr>
          <w:color w:val="231F20"/>
          <w:spacing w:val="-6"/>
          <w:w w:val="105"/>
        </w:rPr>
        <w:t>Por </w:t>
      </w:r>
      <w:r>
        <w:rPr>
          <w:color w:val="231F20"/>
          <w:w w:val="105"/>
        </w:rPr>
        <w:t>su parte, el enfoque de la demanda a través de los plantea- mientos</w:t>
      </w:r>
      <w:r>
        <w:rPr>
          <w:color w:val="231F20"/>
          <w:spacing w:val="-20"/>
          <w:w w:val="105"/>
        </w:rPr>
        <w:t> </w:t>
      </w:r>
      <w:r>
        <w:rPr>
          <w:color w:val="231F20"/>
          <w:w w:val="105"/>
        </w:rPr>
        <w:t>de</w:t>
      </w:r>
      <w:r>
        <w:rPr>
          <w:color w:val="231F20"/>
          <w:spacing w:val="-20"/>
          <w:w w:val="105"/>
        </w:rPr>
        <w:t> </w:t>
      </w:r>
      <w:r>
        <w:rPr>
          <w:color w:val="231F20"/>
          <w:w w:val="105"/>
        </w:rPr>
        <w:t>Kaldor</w:t>
      </w:r>
      <w:r>
        <w:rPr>
          <w:color w:val="231F20"/>
          <w:spacing w:val="-20"/>
          <w:w w:val="105"/>
        </w:rPr>
        <w:t> </w:t>
      </w:r>
      <w:r>
        <w:rPr>
          <w:color w:val="231F20"/>
          <w:w w:val="105"/>
        </w:rPr>
        <w:t>(1970),</w:t>
      </w:r>
      <w:r>
        <w:rPr>
          <w:color w:val="231F20"/>
          <w:spacing w:val="-26"/>
          <w:w w:val="105"/>
        </w:rPr>
        <w:t> </w:t>
      </w:r>
      <w:r>
        <w:rPr>
          <w:color w:val="231F20"/>
          <w:w w:val="105"/>
        </w:rPr>
        <w:t>establece</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factores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producción</w:t>
      </w:r>
      <w:r>
        <w:rPr>
          <w:color w:val="231F20"/>
          <w:spacing w:val="-20"/>
          <w:w w:val="105"/>
        </w:rPr>
        <w:t> </w:t>
      </w:r>
      <w:r>
        <w:rPr>
          <w:color w:val="231F20"/>
          <w:w w:val="105"/>
        </w:rPr>
        <w:t>se incrementan</w:t>
      </w:r>
      <w:r>
        <w:rPr>
          <w:color w:val="231F20"/>
          <w:spacing w:val="-25"/>
          <w:w w:val="105"/>
        </w:rPr>
        <w:t> </w:t>
      </w:r>
      <w:r>
        <w:rPr>
          <w:color w:val="231F20"/>
          <w:w w:val="105"/>
        </w:rPr>
        <w:t>a</w:t>
      </w:r>
      <w:r>
        <w:rPr>
          <w:color w:val="231F20"/>
          <w:spacing w:val="-25"/>
          <w:w w:val="105"/>
        </w:rPr>
        <w:t> </w:t>
      </w:r>
      <w:r>
        <w:rPr>
          <w:color w:val="231F20"/>
          <w:w w:val="105"/>
        </w:rPr>
        <w:t>un</w:t>
      </w:r>
      <w:r>
        <w:rPr>
          <w:color w:val="231F20"/>
          <w:spacing w:val="-25"/>
          <w:w w:val="105"/>
        </w:rPr>
        <w:t> </w:t>
      </w:r>
      <w:r>
        <w:rPr>
          <w:color w:val="231F20"/>
          <w:w w:val="105"/>
        </w:rPr>
        <w:t>ritmo</w:t>
      </w:r>
      <w:r>
        <w:rPr>
          <w:color w:val="231F20"/>
          <w:spacing w:val="-25"/>
          <w:w w:val="105"/>
        </w:rPr>
        <w:t> </w:t>
      </w:r>
      <w:r>
        <w:rPr>
          <w:color w:val="231F20"/>
          <w:w w:val="105"/>
        </w:rPr>
        <w:t>de</w:t>
      </w:r>
      <w:r>
        <w:rPr>
          <w:color w:val="231F20"/>
          <w:spacing w:val="-25"/>
          <w:w w:val="105"/>
        </w:rPr>
        <w:t> </w:t>
      </w:r>
      <w:r>
        <w:rPr>
          <w:color w:val="231F20"/>
          <w:w w:val="105"/>
        </w:rPr>
        <w:t>crecimiento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demanda.</w:t>
      </w:r>
      <w:r>
        <w:rPr>
          <w:color w:val="231F20"/>
          <w:spacing w:val="-30"/>
          <w:w w:val="105"/>
        </w:rPr>
        <w:t> </w:t>
      </w:r>
      <w:r>
        <w:rPr>
          <w:color w:val="231F20"/>
          <w:w w:val="105"/>
        </w:rPr>
        <w:t>Las</w:t>
      </w:r>
      <w:r>
        <w:rPr>
          <w:color w:val="231F20"/>
          <w:spacing w:val="-25"/>
          <w:w w:val="105"/>
        </w:rPr>
        <w:t> </w:t>
      </w:r>
      <w:r>
        <w:rPr>
          <w:color w:val="231F20"/>
          <w:w w:val="105"/>
        </w:rPr>
        <w:t>diferencias</w:t>
      </w:r>
      <w:r>
        <w:rPr>
          <w:color w:val="231F20"/>
          <w:spacing w:val="-25"/>
          <w:w w:val="105"/>
        </w:rPr>
        <w:t> </w:t>
      </w:r>
      <w:r>
        <w:rPr>
          <w:color w:val="231F20"/>
          <w:w w:val="105"/>
        </w:rPr>
        <w:t>en el crecimiento económico regional pueden darse por los rendimientos crecientes</w:t>
      </w:r>
      <w:r>
        <w:rPr>
          <w:color w:val="231F20"/>
          <w:spacing w:val="-19"/>
          <w:w w:val="105"/>
        </w:rPr>
        <w:t> </w:t>
      </w:r>
      <w:r>
        <w:rPr>
          <w:color w:val="231F20"/>
          <w:w w:val="105"/>
        </w:rPr>
        <w:t>a</w:t>
      </w:r>
      <w:r>
        <w:rPr>
          <w:color w:val="231F20"/>
          <w:spacing w:val="-19"/>
          <w:w w:val="105"/>
        </w:rPr>
        <w:t> </w:t>
      </w:r>
      <w:r>
        <w:rPr>
          <w:color w:val="231F20"/>
          <w:w w:val="105"/>
        </w:rPr>
        <w:t>escala,</w:t>
      </w:r>
      <w:r>
        <w:rPr>
          <w:color w:val="231F20"/>
          <w:spacing w:val="-24"/>
          <w:w w:val="105"/>
        </w:rPr>
        <w:t> </w:t>
      </w:r>
      <w:r>
        <w:rPr>
          <w:color w:val="231F20"/>
          <w:w w:val="105"/>
        </w:rPr>
        <w:t>resultado</w:t>
      </w:r>
      <w:r>
        <w:rPr>
          <w:color w:val="231F20"/>
          <w:spacing w:val="-19"/>
          <w:w w:val="105"/>
        </w:rPr>
        <w:t> </w:t>
      </w:r>
      <w:r>
        <w:rPr>
          <w:color w:val="231F20"/>
          <w:w w:val="105"/>
        </w:rPr>
        <w:t>del</w:t>
      </w:r>
      <w:r>
        <w:rPr>
          <w:color w:val="231F20"/>
          <w:spacing w:val="-19"/>
          <w:w w:val="105"/>
        </w:rPr>
        <w:t> </w:t>
      </w:r>
      <w:r>
        <w:rPr>
          <w:color w:val="231F20"/>
          <w:w w:val="105"/>
        </w:rPr>
        <w:t>proceso</w:t>
      </w:r>
      <w:r>
        <w:rPr>
          <w:color w:val="231F20"/>
          <w:spacing w:val="-19"/>
          <w:w w:val="105"/>
        </w:rPr>
        <w:t> </w:t>
      </w:r>
      <w:r>
        <w:rPr>
          <w:color w:val="231F20"/>
          <w:w w:val="105"/>
        </w:rPr>
        <w:t>de</w:t>
      </w:r>
      <w:r>
        <w:rPr>
          <w:color w:val="231F20"/>
          <w:spacing w:val="-19"/>
          <w:w w:val="105"/>
        </w:rPr>
        <w:t> </w:t>
      </w:r>
      <w:r>
        <w:rPr>
          <w:color w:val="231F20"/>
          <w:w w:val="105"/>
        </w:rPr>
        <w:t>industrialización,</w:t>
      </w:r>
      <w:r>
        <w:rPr>
          <w:color w:val="231F20"/>
          <w:spacing w:val="-24"/>
          <w:w w:val="105"/>
        </w:rPr>
        <w:t> </w:t>
      </w:r>
      <w:r>
        <w:rPr>
          <w:color w:val="231F20"/>
          <w:w w:val="105"/>
        </w:rPr>
        <w:t>la</w:t>
      </w:r>
      <w:r>
        <w:rPr>
          <w:color w:val="231F20"/>
          <w:spacing w:val="-19"/>
          <w:w w:val="105"/>
        </w:rPr>
        <w:t> </w:t>
      </w:r>
      <w:r>
        <w:rPr>
          <w:color w:val="231F20"/>
          <w:w w:val="105"/>
        </w:rPr>
        <w:t>cual</w:t>
      </w:r>
      <w:r>
        <w:rPr>
          <w:color w:val="231F20"/>
          <w:spacing w:val="-19"/>
          <w:w w:val="105"/>
        </w:rPr>
        <w:t> </w:t>
      </w:r>
      <w:r>
        <w:rPr>
          <w:color w:val="231F20"/>
          <w:w w:val="105"/>
        </w:rPr>
        <w:t>se explica</w:t>
      </w:r>
      <w:r>
        <w:rPr>
          <w:color w:val="231F20"/>
          <w:spacing w:val="-12"/>
          <w:w w:val="105"/>
        </w:rPr>
        <w:t> </w:t>
      </w:r>
      <w:r>
        <w:rPr>
          <w:color w:val="231F20"/>
          <w:w w:val="105"/>
        </w:rPr>
        <w:t>en</w:t>
      </w:r>
      <w:r>
        <w:rPr>
          <w:color w:val="231F20"/>
          <w:spacing w:val="-12"/>
          <w:w w:val="105"/>
        </w:rPr>
        <w:t> </w:t>
      </w:r>
      <w:r>
        <w:rPr>
          <w:color w:val="231F20"/>
          <w:w w:val="105"/>
        </w:rPr>
        <w:t>parte</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w w:val="105"/>
        </w:rPr>
        <w:t>expansión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demanda.</w:t>
      </w:r>
      <w:r>
        <w:rPr>
          <w:color w:val="231F20"/>
          <w:spacing w:val="-19"/>
          <w:w w:val="105"/>
        </w:rPr>
        <w:t> </w:t>
      </w:r>
      <w:r>
        <w:rPr>
          <w:color w:val="231F20"/>
          <w:w w:val="105"/>
        </w:rPr>
        <w:t>Kaldor</w:t>
      </w:r>
      <w:r>
        <w:rPr>
          <w:color w:val="231F20"/>
          <w:spacing w:val="-12"/>
          <w:w w:val="105"/>
        </w:rPr>
        <w:t> </w:t>
      </w:r>
      <w:r>
        <w:rPr>
          <w:color w:val="231F20"/>
          <w:w w:val="105"/>
        </w:rPr>
        <w:t>sostiene</w:t>
      </w:r>
      <w:r>
        <w:rPr>
          <w:color w:val="231F20"/>
          <w:spacing w:val="-12"/>
          <w:w w:val="105"/>
        </w:rPr>
        <w:t> </w:t>
      </w:r>
      <w:r>
        <w:rPr>
          <w:color w:val="231F20"/>
          <w:w w:val="105"/>
        </w:rPr>
        <w:t>que</w:t>
      </w:r>
      <w:r>
        <w:rPr>
          <w:color w:val="231F20"/>
          <w:spacing w:val="-12"/>
          <w:w w:val="105"/>
        </w:rPr>
        <w:t> </w:t>
      </w:r>
      <w:r>
        <w:rPr>
          <w:color w:val="231F20"/>
          <w:w w:val="105"/>
        </w:rPr>
        <w:t>el principio</w:t>
      </w:r>
      <w:r>
        <w:rPr>
          <w:color w:val="231F20"/>
          <w:spacing w:val="-14"/>
          <w:w w:val="105"/>
        </w:rPr>
        <w:t> </w:t>
      </w:r>
      <w:r>
        <w:rPr>
          <w:color w:val="231F20"/>
          <w:w w:val="105"/>
        </w:rPr>
        <w:t>de</w:t>
      </w:r>
      <w:r>
        <w:rPr>
          <w:color w:val="231F20"/>
          <w:spacing w:val="-14"/>
          <w:w w:val="105"/>
        </w:rPr>
        <w:t> </w:t>
      </w:r>
      <w:r>
        <w:rPr>
          <w:color w:val="231F20"/>
          <w:w w:val="105"/>
        </w:rPr>
        <w:t>causación</w:t>
      </w:r>
      <w:r>
        <w:rPr>
          <w:color w:val="231F20"/>
          <w:spacing w:val="-14"/>
          <w:w w:val="105"/>
        </w:rPr>
        <w:t> </w:t>
      </w:r>
      <w:r>
        <w:rPr>
          <w:color w:val="231F20"/>
          <w:w w:val="105"/>
        </w:rPr>
        <w:t>acumulativa</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presencia</w:t>
      </w:r>
      <w:r>
        <w:rPr>
          <w:color w:val="231F20"/>
          <w:spacing w:val="-14"/>
          <w:w w:val="105"/>
        </w:rPr>
        <w:t> </w:t>
      </w:r>
      <w:r>
        <w:rPr>
          <w:color w:val="231F20"/>
          <w:w w:val="105"/>
        </w:rPr>
        <w:t>de</w:t>
      </w:r>
      <w:r>
        <w:rPr>
          <w:color w:val="231F20"/>
          <w:spacing w:val="-14"/>
          <w:w w:val="105"/>
        </w:rPr>
        <w:t> </w:t>
      </w:r>
      <w:r>
        <w:rPr>
          <w:color w:val="231F20"/>
          <w:w w:val="105"/>
        </w:rPr>
        <w:t>rendimientos</w:t>
      </w:r>
      <w:r>
        <w:rPr>
          <w:color w:val="231F20"/>
          <w:spacing w:val="-14"/>
          <w:w w:val="105"/>
        </w:rPr>
        <w:t> </w:t>
      </w:r>
      <w:r>
        <w:rPr>
          <w:color w:val="231F20"/>
          <w:w w:val="105"/>
        </w:rPr>
        <w:t>cre- cientes</w:t>
      </w:r>
      <w:r>
        <w:rPr>
          <w:color w:val="231F20"/>
          <w:spacing w:val="-20"/>
          <w:w w:val="105"/>
        </w:rPr>
        <w:t> </w:t>
      </w:r>
      <w:r>
        <w:rPr>
          <w:color w:val="231F20"/>
          <w:w w:val="105"/>
        </w:rPr>
        <w:t>a</w:t>
      </w:r>
      <w:r>
        <w:rPr>
          <w:color w:val="231F20"/>
          <w:spacing w:val="-20"/>
          <w:w w:val="105"/>
        </w:rPr>
        <w:t> </w:t>
      </w:r>
      <w:r>
        <w:rPr>
          <w:color w:val="231F20"/>
          <w:w w:val="105"/>
        </w:rPr>
        <w:t>escala</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industria</w:t>
      </w:r>
      <w:r>
        <w:rPr>
          <w:color w:val="231F20"/>
          <w:spacing w:val="-20"/>
          <w:w w:val="105"/>
        </w:rPr>
        <w:t> </w:t>
      </w:r>
      <w:r>
        <w:rPr>
          <w:color w:val="231F20"/>
          <w:w w:val="105"/>
        </w:rPr>
        <w:t>manufacturera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regiones,</w:t>
      </w:r>
      <w:r>
        <w:rPr>
          <w:color w:val="231F20"/>
          <w:spacing w:val="-26"/>
          <w:w w:val="105"/>
        </w:rPr>
        <w:t> </w:t>
      </w:r>
      <w:r>
        <w:rPr>
          <w:color w:val="231F20"/>
          <w:w w:val="105"/>
        </w:rPr>
        <w:t>que</w:t>
      </w:r>
      <w:r>
        <w:rPr>
          <w:color w:val="231F20"/>
          <w:spacing w:val="-20"/>
          <w:w w:val="105"/>
        </w:rPr>
        <w:t> </w:t>
      </w:r>
      <w:r>
        <w:rPr>
          <w:color w:val="231F20"/>
          <w:w w:val="105"/>
        </w:rPr>
        <w:t>por</w:t>
      </w:r>
      <w:r>
        <w:rPr>
          <w:color w:val="231F20"/>
          <w:spacing w:val="-20"/>
          <w:w w:val="105"/>
        </w:rPr>
        <w:t> </w:t>
      </w:r>
      <w:r>
        <w:rPr>
          <w:color w:val="231F20"/>
          <w:w w:val="105"/>
        </w:rPr>
        <w:t>el aumento</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7"/>
          <w:w w:val="105"/>
        </w:rPr>
        <w:t> </w:t>
      </w:r>
      <w:r>
        <w:rPr>
          <w:color w:val="231F20"/>
          <w:w w:val="105"/>
        </w:rPr>
        <w:t>exportaciones</w:t>
      </w:r>
      <w:r>
        <w:rPr>
          <w:color w:val="231F20"/>
          <w:spacing w:val="-8"/>
          <w:w w:val="105"/>
        </w:rPr>
        <w:t> </w:t>
      </w:r>
      <w:r>
        <w:rPr>
          <w:color w:val="231F20"/>
          <w:w w:val="105"/>
        </w:rPr>
        <w:t>llevan</w:t>
      </w:r>
      <w:r>
        <w:rPr>
          <w:color w:val="231F20"/>
          <w:spacing w:val="-8"/>
          <w:w w:val="105"/>
        </w:rPr>
        <w:t> </w:t>
      </w:r>
      <w:r>
        <w:rPr>
          <w:color w:val="231F20"/>
          <w:w w:val="105"/>
        </w:rPr>
        <w:t>a</w:t>
      </w:r>
      <w:r>
        <w:rPr>
          <w:color w:val="231F20"/>
          <w:spacing w:val="-7"/>
          <w:w w:val="105"/>
        </w:rPr>
        <w:t> </w:t>
      </w:r>
      <w:r>
        <w:rPr>
          <w:color w:val="231F20"/>
          <w:w w:val="105"/>
        </w:rPr>
        <w:t>un</w:t>
      </w:r>
      <w:r>
        <w:rPr>
          <w:color w:val="231F20"/>
          <w:spacing w:val="-8"/>
          <w:w w:val="105"/>
        </w:rPr>
        <w:t> </w:t>
      </w:r>
      <w:r>
        <w:rPr>
          <w:color w:val="231F20"/>
          <w:w w:val="105"/>
        </w:rPr>
        <w:t>rápido</w:t>
      </w:r>
      <w:r>
        <w:rPr>
          <w:color w:val="231F20"/>
          <w:spacing w:val="-8"/>
          <w:w w:val="105"/>
        </w:rPr>
        <w:t> </w:t>
      </w:r>
      <w:r>
        <w:rPr>
          <w:color w:val="231F20"/>
          <w:w w:val="105"/>
        </w:rPr>
        <w:t>crecimiento</w:t>
      </w:r>
      <w:r>
        <w:rPr>
          <w:color w:val="231F20"/>
          <w:spacing w:val="-8"/>
          <w:w w:val="105"/>
        </w:rPr>
        <w:t> </w:t>
      </w:r>
      <w:r>
        <w:rPr>
          <w:color w:val="231F20"/>
          <w:w w:val="105"/>
        </w:rPr>
        <w:t>de</w:t>
      </w:r>
      <w:r>
        <w:rPr>
          <w:color w:val="231F20"/>
          <w:spacing w:val="-7"/>
          <w:w w:val="105"/>
        </w:rPr>
        <w:t> </w:t>
      </w:r>
      <w:r>
        <w:rPr>
          <w:color w:val="231F20"/>
          <w:w w:val="105"/>
        </w:rPr>
        <w:t>la</w:t>
      </w:r>
      <w:r>
        <w:rPr>
          <w:color w:val="231F20"/>
          <w:spacing w:val="-8"/>
          <w:w w:val="105"/>
        </w:rPr>
        <w:t> </w:t>
      </w:r>
      <w:r>
        <w:rPr>
          <w:color w:val="231F20"/>
          <w:w w:val="105"/>
        </w:rPr>
        <w:t>pro- ductividad</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producción,</w:t>
      </w:r>
      <w:r>
        <w:rPr>
          <w:color w:val="231F20"/>
          <w:spacing w:val="-24"/>
          <w:w w:val="105"/>
        </w:rPr>
        <w:t> </w:t>
      </w:r>
      <w:r>
        <w:rPr>
          <w:color w:val="231F20"/>
          <w:w w:val="105"/>
        </w:rPr>
        <w:t>donde</w:t>
      </w:r>
      <w:r>
        <w:rPr>
          <w:color w:val="231F20"/>
          <w:spacing w:val="-18"/>
          <w:w w:val="105"/>
        </w:rPr>
        <w:t> </w:t>
      </w:r>
      <w:r>
        <w:rPr>
          <w:color w:val="231F20"/>
          <w:w w:val="105"/>
        </w:rPr>
        <w:t>estas</w:t>
      </w:r>
      <w:r>
        <w:rPr>
          <w:color w:val="231F20"/>
          <w:spacing w:val="-18"/>
          <w:w w:val="105"/>
        </w:rPr>
        <w:t> </w:t>
      </w:r>
      <w:r>
        <w:rPr>
          <w:color w:val="231F20"/>
          <w:w w:val="105"/>
        </w:rPr>
        <w:t>regiones</w:t>
      </w:r>
      <w:r>
        <w:rPr>
          <w:color w:val="231F20"/>
          <w:spacing w:val="-18"/>
          <w:w w:val="105"/>
        </w:rPr>
        <w:t> </w:t>
      </w:r>
      <w:r>
        <w:rPr>
          <w:color w:val="231F20"/>
          <w:w w:val="105"/>
        </w:rPr>
        <w:t>tendrán</w:t>
      </w:r>
      <w:r>
        <w:rPr>
          <w:color w:val="231F20"/>
          <w:spacing w:val="-18"/>
          <w:w w:val="105"/>
        </w:rPr>
        <w:t> </w:t>
      </w:r>
      <w:r>
        <w:rPr>
          <w:color w:val="231F20"/>
          <w:w w:val="105"/>
        </w:rPr>
        <w:t>la</w:t>
      </w:r>
      <w:r>
        <w:rPr>
          <w:color w:val="231F20"/>
          <w:spacing w:val="-18"/>
          <w:w w:val="105"/>
        </w:rPr>
        <w:t> </w:t>
      </w:r>
      <w:r>
        <w:rPr>
          <w:color w:val="231F20"/>
          <w:w w:val="105"/>
        </w:rPr>
        <w:t>eficiencia también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salarios</w:t>
      </w:r>
      <w:r>
        <w:rPr>
          <w:color w:val="231F20"/>
          <w:spacing w:val="-15"/>
          <w:w w:val="105"/>
        </w:rPr>
        <w:t> </w:t>
      </w:r>
      <w:r>
        <w:rPr>
          <w:color w:val="231F20"/>
          <w:w w:val="105"/>
        </w:rPr>
        <w:t>más</w:t>
      </w:r>
      <w:r>
        <w:rPr>
          <w:color w:val="231F20"/>
          <w:spacing w:val="-15"/>
          <w:w w:val="105"/>
        </w:rPr>
        <w:t> </w:t>
      </w:r>
      <w:r>
        <w:rPr>
          <w:color w:val="231F20"/>
          <w:w w:val="105"/>
        </w:rPr>
        <w:t>bajos.</w:t>
      </w:r>
      <w:r>
        <w:rPr>
          <w:color w:val="231F20"/>
          <w:spacing w:val="-23"/>
          <w:w w:val="105"/>
        </w:rPr>
        <w:t> </w:t>
      </w:r>
      <w:r>
        <w:rPr>
          <w:color w:val="231F20"/>
          <w:w w:val="105"/>
        </w:rPr>
        <w:t>Así,</w:t>
      </w:r>
      <w:r>
        <w:rPr>
          <w:color w:val="231F20"/>
          <w:spacing w:val="-20"/>
          <w:w w:val="105"/>
        </w:rPr>
        <w:t> </w:t>
      </w:r>
      <w:r>
        <w:rPr>
          <w:color w:val="231F20"/>
          <w:w w:val="105"/>
        </w:rPr>
        <w:t>el</w:t>
      </w:r>
      <w:r>
        <w:rPr>
          <w:color w:val="231F20"/>
          <w:spacing w:val="-15"/>
          <w:w w:val="105"/>
        </w:rPr>
        <w:t> </w:t>
      </w:r>
      <w:r>
        <w:rPr>
          <w:color w:val="231F20"/>
          <w:w w:val="105"/>
        </w:rPr>
        <w:t>crecimiento</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regiones</w:t>
      </w:r>
      <w:r>
        <w:rPr>
          <w:color w:val="231F20"/>
          <w:spacing w:val="-15"/>
          <w:w w:val="105"/>
        </w:rPr>
        <w:t> </w:t>
      </w:r>
      <w:r>
        <w:rPr>
          <w:color w:val="231F20"/>
          <w:w w:val="105"/>
        </w:rPr>
        <w:t>se debe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expansión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demanda,</w:t>
      </w:r>
      <w:r>
        <w:rPr>
          <w:color w:val="231F20"/>
          <w:spacing w:val="-21"/>
          <w:w w:val="105"/>
        </w:rPr>
        <w:t> </w:t>
      </w:r>
      <w:r>
        <w:rPr>
          <w:color w:val="231F20"/>
          <w:w w:val="105"/>
        </w:rPr>
        <w:t>lo</w:t>
      </w:r>
      <w:r>
        <w:rPr>
          <w:color w:val="231F20"/>
          <w:spacing w:val="-16"/>
          <w:w w:val="105"/>
        </w:rPr>
        <w:t> </w:t>
      </w:r>
      <w:r>
        <w:rPr>
          <w:color w:val="231F20"/>
          <w:w w:val="105"/>
        </w:rPr>
        <w:t>cual</w:t>
      </w:r>
      <w:r>
        <w:rPr>
          <w:color w:val="231F20"/>
          <w:spacing w:val="-16"/>
          <w:w w:val="105"/>
        </w:rPr>
        <w:t> </w:t>
      </w:r>
      <w:r>
        <w:rPr>
          <w:color w:val="231F20"/>
          <w:w w:val="105"/>
        </w:rPr>
        <w:t>favorece</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regiones</w:t>
      </w:r>
      <w:r>
        <w:rPr>
          <w:color w:val="231F20"/>
          <w:spacing w:val="-16"/>
          <w:w w:val="105"/>
        </w:rPr>
        <w:t> </w:t>
      </w:r>
      <w:r>
        <w:rPr>
          <w:color w:val="231F20"/>
          <w:w w:val="105"/>
        </w:rPr>
        <w:t>ricas y</w:t>
      </w:r>
      <w:r>
        <w:rPr>
          <w:color w:val="231F20"/>
          <w:spacing w:val="-25"/>
          <w:w w:val="105"/>
        </w:rPr>
        <w:t> </w:t>
      </w:r>
      <w:r>
        <w:rPr>
          <w:color w:val="231F20"/>
          <w:w w:val="105"/>
        </w:rPr>
        <w:t>restringen</w:t>
      </w:r>
      <w:r>
        <w:rPr>
          <w:color w:val="231F20"/>
          <w:spacing w:val="-25"/>
          <w:w w:val="105"/>
        </w:rPr>
        <w:t> </w:t>
      </w:r>
      <w:r>
        <w:rPr>
          <w:color w:val="231F20"/>
          <w:w w:val="105"/>
        </w:rPr>
        <w:t>el</w:t>
      </w:r>
      <w:r>
        <w:rPr>
          <w:color w:val="231F20"/>
          <w:spacing w:val="-25"/>
          <w:w w:val="105"/>
        </w:rPr>
        <w:t> </w:t>
      </w:r>
      <w:r>
        <w:rPr>
          <w:color w:val="231F20"/>
          <w:w w:val="105"/>
        </w:rPr>
        <w:t>desarrollo</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atrasadas.</w:t>
      </w:r>
    </w:p>
    <w:p>
      <w:pPr>
        <w:pStyle w:val="BodyText"/>
        <w:spacing w:line="259" w:lineRule="auto"/>
        <w:ind w:left="117" w:right="120" w:firstLine="567"/>
        <w:jc w:val="right"/>
      </w:pPr>
      <w:r>
        <w:rPr>
          <w:color w:val="231F20"/>
          <w:w w:val="105"/>
        </w:rPr>
        <w:t>A lo anterior también se le conoce como efecto </w:t>
      </w:r>
      <w:r>
        <w:rPr>
          <w:color w:val="231F20"/>
          <w:spacing w:val="-3"/>
          <w:w w:val="105"/>
        </w:rPr>
        <w:t>Verdoorn,</w:t>
      </w:r>
      <w:r>
        <w:rPr>
          <w:color w:val="231F20"/>
          <w:spacing w:val="6"/>
          <w:w w:val="105"/>
        </w:rPr>
        <w:t> </w:t>
      </w:r>
      <w:r>
        <w:rPr>
          <w:color w:val="231F20"/>
          <w:w w:val="105"/>
        </w:rPr>
        <w:t>el</w:t>
      </w:r>
      <w:r>
        <w:rPr>
          <w:color w:val="231F20"/>
          <w:spacing w:val="1"/>
          <w:w w:val="105"/>
        </w:rPr>
        <w:t> </w:t>
      </w:r>
      <w:r>
        <w:rPr>
          <w:color w:val="231F20"/>
          <w:w w:val="105"/>
        </w:rPr>
        <w:t>cual</w:t>
      </w:r>
      <w:r>
        <w:rPr>
          <w:color w:val="231F20"/>
          <w:spacing w:val="-2"/>
          <w:w w:val="101"/>
        </w:rPr>
        <w:t> </w:t>
      </w:r>
      <w:r>
        <w:rPr>
          <w:color w:val="231F20"/>
          <w:w w:val="105"/>
        </w:rPr>
        <w:t>establece</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economías</w:t>
      </w:r>
      <w:r>
        <w:rPr>
          <w:color w:val="231F20"/>
          <w:spacing w:val="-8"/>
          <w:w w:val="105"/>
        </w:rPr>
        <w:t> </w:t>
      </w:r>
      <w:r>
        <w:rPr>
          <w:color w:val="231F20"/>
          <w:w w:val="105"/>
        </w:rPr>
        <w:t>a</w:t>
      </w:r>
      <w:r>
        <w:rPr>
          <w:color w:val="231F20"/>
          <w:spacing w:val="-8"/>
          <w:w w:val="105"/>
        </w:rPr>
        <w:t> </w:t>
      </w:r>
      <w:r>
        <w:rPr>
          <w:color w:val="231F20"/>
          <w:w w:val="105"/>
        </w:rPr>
        <w:t>escala</w:t>
      </w:r>
      <w:r>
        <w:rPr>
          <w:color w:val="231F20"/>
          <w:spacing w:val="-8"/>
          <w:w w:val="105"/>
        </w:rPr>
        <w:t> </w:t>
      </w:r>
      <w:r>
        <w:rPr>
          <w:color w:val="231F20"/>
          <w:w w:val="105"/>
        </w:rPr>
        <w:t>inducen</w:t>
      </w:r>
      <w:r>
        <w:rPr>
          <w:color w:val="231F20"/>
          <w:spacing w:val="-8"/>
          <w:w w:val="105"/>
        </w:rPr>
        <w:t> </w:t>
      </w:r>
      <w:r>
        <w:rPr>
          <w:color w:val="231F20"/>
          <w:w w:val="105"/>
        </w:rPr>
        <w:t>al</w:t>
      </w:r>
      <w:r>
        <w:rPr>
          <w:color w:val="231F20"/>
          <w:spacing w:val="-8"/>
          <w:w w:val="105"/>
        </w:rPr>
        <w:t> </w:t>
      </w:r>
      <w:r>
        <w:rPr>
          <w:color w:val="231F20"/>
          <w:spacing w:val="-3"/>
          <w:w w:val="105"/>
        </w:rPr>
        <w:t>crecimiento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3"/>
          <w:w w:val="105"/>
        </w:rPr>
        <w:t>pro-</w:t>
      </w:r>
      <w:r>
        <w:rPr>
          <w:color w:val="231F20"/>
          <w:w w:val="96"/>
        </w:rPr>
        <w:t> </w:t>
      </w:r>
      <w:r>
        <w:rPr>
          <w:color w:val="231F20"/>
          <w:w w:val="105"/>
        </w:rPr>
        <w:t>ductividad </w:t>
      </w:r>
      <w:r>
        <w:rPr>
          <w:color w:val="231F20"/>
          <w:spacing w:val="-3"/>
          <w:w w:val="105"/>
        </w:rPr>
        <w:t>manufacturera, reduce </w:t>
      </w:r>
      <w:r>
        <w:rPr>
          <w:color w:val="231F20"/>
          <w:w w:val="105"/>
        </w:rPr>
        <w:t>el costo de </w:t>
      </w:r>
      <w:r>
        <w:rPr>
          <w:color w:val="231F20"/>
          <w:spacing w:val="-3"/>
          <w:w w:val="105"/>
        </w:rPr>
        <w:t>producción </w:t>
      </w:r>
      <w:r>
        <w:rPr>
          <w:color w:val="231F20"/>
          <w:w w:val="105"/>
        </w:rPr>
        <w:t>y el</w:t>
      </w:r>
      <w:r>
        <w:rPr>
          <w:color w:val="231F20"/>
          <w:spacing w:val="5"/>
          <w:w w:val="105"/>
        </w:rPr>
        <w:t> </w:t>
      </w:r>
      <w:r>
        <w:rPr>
          <w:color w:val="231F20"/>
          <w:spacing w:val="-3"/>
          <w:w w:val="105"/>
        </w:rPr>
        <w:t>precio</w:t>
      </w:r>
      <w:r>
        <w:rPr>
          <w:color w:val="231F20"/>
          <w:spacing w:val="7"/>
          <w:w w:val="105"/>
        </w:rPr>
        <w:t> </w:t>
      </w:r>
      <w:r>
        <w:rPr>
          <w:color w:val="231F20"/>
          <w:w w:val="105"/>
        </w:rPr>
        <w:t>de</w:t>
      </w:r>
      <w:r>
        <w:rPr>
          <w:color w:val="231F20"/>
          <w:spacing w:val="-2"/>
          <w:w w:val="108"/>
        </w:rPr>
        <w:t> </w:t>
      </w:r>
      <w:r>
        <w:rPr>
          <w:color w:val="231F20"/>
          <w:w w:val="105"/>
        </w:rPr>
        <w:t>las</w:t>
      </w:r>
      <w:r>
        <w:rPr>
          <w:color w:val="231F20"/>
          <w:spacing w:val="-6"/>
          <w:w w:val="105"/>
        </w:rPr>
        <w:t> </w:t>
      </w:r>
      <w:r>
        <w:rPr>
          <w:color w:val="231F20"/>
          <w:spacing w:val="-3"/>
          <w:w w:val="105"/>
        </w:rPr>
        <w:t>exportaciones.</w:t>
      </w:r>
      <w:r>
        <w:rPr>
          <w:color w:val="231F20"/>
          <w:spacing w:val="-13"/>
          <w:w w:val="105"/>
        </w:rPr>
        <w:t> </w:t>
      </w:r>
      <w:r>
        <w:rPr>
          <w:color w:val="231F20"/>
          <w:w w:val="105"/>
        </w:rPr>
        <w:t>A</w:t>
      </w:r>
      <w:r>
        <w:rPr>
          <w:color w:val="231F20"/>
          <w:spacing w:val="-8"/>
          <w:w w:val="105"/>
        </w:rPr>
        <w:t> </w:t>
      </w:r>
      <w:r>
        <w:rPr>
          <w:color w:val="231F20"/>
          <w:w w:val="105"/>
        </w:rPr>
        <w:t>su</w:t>
      </w:r>
      <w:r>
        <w:rPr>
          <w:color w:val="231F20"/>
          <w:spacing w:val="-6"/>
          <w:w w:val="105"/>
        </w:rPr>
        <w:t> </w:t>
      </w:r>
      <w:r>
        <w:rPr>
          <w:color w:val="231F20"/>
          <w:w w:val="105"/>
        </w:rPr>
        <w:t>vez,</w:t>
      </w:r>
      <w:r>
        <w:rPr>
          <w:color w:val="231F20"/>
          <w:spacing w:val="-10"/>
          <w:w w:val="105"/>
        </w:rPr>
        <w:t> </w:t>
      </w:r>
      <w:r>
        <w:rPr>
          <w:color w:val="231F20"/>
          <w:w w:val="105"/>
        </w:rPr>
        <w:t>esto</w:t>
      </w:r>
      <w:r>
        <w:rPr>
          <w:color w:val="231F20"/>
          <w:spacing w:val="-6"/>
          <w:w w:val="105"/>
        </w:rPr>
        <w:t> </w:t>
      </w:r>
      <w:r>
        <w:rPr>
          <w:color w:val="231F20"/>
          <w:spacing w:val="-2"/>
          <w:w w:val="105"/>
        </w:rPr>
        <w:t>genera</w:t>
      </w:r>
      <w:r>
        <w:rPr>
          <w:color w:val="231F20"/>
          <w:spacing w:val="-6"/>
          <w:w w:val="105"/>
        </w:rPr>
        <w:t> </w:t>
      </w:r>
      <w:r>
        <w:rPr>
          <w:color w:val="231F20"/>
          <w:w w:val="105"/>
        </w:rPr>
        <w:t>ventajas</w:t>
      </w:r>
      <w:r>
        <w:rPr>
          <w:color w:val="231F20"/>
          <w:spacing w:val="-6"/>
          <w:w w:val="105"/>
        </w:rPr>
        <w:t> </w:t>
      </w:r>
      <w:r>
        <w:rPr>
          <w:color w:val="231F20"/>
          <w:w w:val="105"/>
        </w:rPr>
        <w:t>competitivas</w:t>
      </w:r>
      <w:r>
        <w:rPr>
          <w:color w:val="231F20"/>
          <w:spacing w:val="-6"/>
          <w:w w:val="105"/>
        </w:rPr>
        <w:t> </w:t>
      </w:r>
      <w:r>
        <w:rPr>
          <w:color w:val="231F20"/>
          <w:w w:val="105"/>
        </w:rPr>
        <w:t>para</w:t>
      </w:r>
      <w:r>
        <w:rPr>
          <w:color w:val="231F20"/>
          <w:spacing w:val="-6"/>
          <w:w w:val="105"/>
        </w:rPr>
        <w:t> </w:t>
      </w:r>
      <w:r>
        <w:rPr>
          <w:color w:val="231F20"/>
          <w:spacing w:val="-2"/>
          <w:w w:val="105"/>
        </w:rPr>
        <w:t>las</w:t>
      </w:r>
      <w:r>
        <w:rPr>
          <w:color w:val="231F20"/>
          <w:spacing w:val="-2"/>
          <w:w w:val="96"/>
        </w:rPr>
        <w:t> </w:t>
      </w:r>
      <w:r>
        <w:rPr>
          <w:color w:val="231F20"/>
          <w:spacing w:val="-3"/>
          <w:w w:val="105"/>
        </w:rPr>
        <w:t>regiones,</w:t>
      </w:r>
      <w:r>
        <w:rPr>
          <w:color w:val="231F20"/>
          <w:spacing w:val="-17"/>
          <w:w w:val="105"/>
        </w:rPr>
        <w:t> </w:t>
      </w:r>
      <w:r>
        <w:rPr>
          <w:color w:val="231F20"/>
          <w:w w:val="105"/>
        </w:rPr>
        <w:t>fuertes</w:t>
      </w:r>
      <w:r>
        <w:rPr>
          <w:color w:val="231F20"/>
          <w:spacing w:val="-11"/>
          <w:w w:val="105"/>
        </w:rPr>
        <w:t> </w:t>
      </w:r>
      <w:r>
        <w:rPr>
          <w:color w:val="231F20"/>
          <w:spacing w:val="-3"/>
          <w:w w:val="105"/>
        </w:rPr>
        <w:t>incrementos</w:t>
      </w:r>
      <w:r>
        <w:rPr>
          <w:color w:val="231F20"/>
          <w:spacing w:val="-11"/>
          <w:w w:val="105"/>
        </w:rPr>
        <w:t> </w:t>
      </w:r>
      <w:r>
        <w:rPr>
          <w:color w:val="231F20"/>
          <w:w w:val="105"/>
        </w:rPr>
        <w:t>en</w:t>
      </w:r>
      <w:r>
        <w:rPr>
          <w:color w:val="231F20"/>
          <w:spacing w:val="-11"/>
          <w:w w:val="105"/>
        </w:rPr>
        <w:t> </w:t>
      </w:r>
      <w:r>
        <w:rPr>
          <w:color w:val="231F20"/>
          <w:spacing w:val="-3"/>
          <w:w w:val="105"/>
        </w:rPr>
        <w:t>exportaciones</w:t>
      </w:r>
      <w:r>
        <w:rPr>
          <w:color w:val="231F20"/>
          <w:spacing w:val="-11"/>
          <w:w w:val="105"/>
        </w:rPr>
        <w:t> </w:t>
      </w:r>
      <w:r>
        <w:rPr>
          <w:color w:val="231F20"/>
          <w:w w:val="105"/>
        </w:rPr>
        <w:t>y</w:t>
      </w:r>
      <w:r>
        <w:rPr>
          <w:color w:val="231F20"/>
          <w:spacing w:val="-11"/>
          <w:w w:val="105"/>
        </w:rPr>
        <w:t> </w:t>
      </w:r>
      <w:r>
        <w:rPr>
          <w:color w:val="231F20"/>
          <w:w w:val="105"/>
        </w:rPr>
        <w:t>subsecuentemente</w:t>
      </w:r>
      <w:r>
        <w:rPr>
          <w:color w:val="231F20"/>
          <w:spacing w:val="-11"/>
          <w:w w:val="105"/>
        </w:rPr>
        <w:t> </w:t>
      </w:r>
      <w:r>
        <w:rPr>
          <w:color w:val="231F20"/>
          <w:w w:val="105"/>
        </w:rPr>
        <w:t>en</w:t>
      </w:r>
      <w:r>
        <w:rPr>
          <w:color w:val="231F20"/>
          <w:spacing w:val="-2"/>
          <w:w w:val="103"/>
        </w:rPr>
        <w:t> </w:t>
      </w:r>
      <w:r>
        <w:rPr>
          <w:color w:val="231F20"/>
          <w:spacing w:val="-3"/>
          <w:w w:val="105"/>
        </w:rPr>
        <w:t>producción </w:t>
      </w:r>
      <w:r>
        <w:rPr>
          <w:color w:val="231F20"/>
          <w:w w:val="105"/>
        </w:rPr>
        <w:t>y </w:t>
      </w:r>
      <w:r>
        <w:rPr>
          <w:color w:val="231F20"/>
          <w:spacing w:val="-3"/>
          <w:w w:val="105"/>
        </w:rPr>
        <w:t>productividad, reforzando </w:t>
      </w:r>
      <w:r>
        <w:rPr>
          <w:color w:val="231F20"/>
          <w:w w:val="105"/>
        </w:rPr>
        <w:t>el </w:t>
      </w:r>
      <w:r>
        <w:rPr>
          <w:color w:val="231F20"/>
          <w:spacing w:val="-3"/>
          <w:w w:val="105"/>
        </w:rPr>
        <w:t>círculo virtuoso. </w:t>
      </w:r>
      <w:r>
        <w:rPr>
          <w:color w:val="231F20"/>
          <w:w w:val="105"/>
        </w:rPr>
        <w:t>Así,</w:t>
      </w:r>
      <w:r>
        <w:rPr>
          <w:color w:val="231F20"/>
          <w:spacing w:val="60"/>
          <w:w w:val="105"/>
        </w:rPr>
        <w:t> </w:t>
      </w:r>
      <w:r>
        <w:rPr>
          <w:color w:val="231F20"/>
          <w:w w:val="105"/>
        </w:rPr>
        <w:t>el</w:t>
      </w:r>
      <w:r>
        <w:rPr>
          <w:color w:val="231F20"/>
          <w:spacing w:val="16"/>
          <w:w w:val="105"/>
        </w:rPr>
        <w:t> </w:t>
      </w:r>
      <w:r>
        <w:rPr>
          <w:color w:val="231F20"/>
          <w:spacing w:val="-3"/>
          <w:w w:val="105"/>
        </w:rPr>
        <w:t>creci-</w:t>
      </w:r>
      <w:r>
        <w:rPr>
          <w:color w:val="231F20"/>
          <w:w w:val="96"/>
        </w:rPr>
        <w:t> </w:t>
      </w:r>
      <w:r>
        <w:rPr>
          <w:color w:val="231F20"/>
          <w:w w:val="105"/>
        </w:rPr>
        <w:t>miento económico de las </w:t>
      </w:r>
      <w:r>
        <w:rPr>
          <w:color w:val="231F20"/>
          <w:spacing w:val="-3"/>
          <w:w w:val="105"/>
        </w:rPr>
        <w:t>regiones </w:t>
      </w:r>
      <w:r>
        <w:rPr>
          <w:color w:val="231F20"/>
          <w:w w:val="105"/>
        </w:rPr>
        <w:t>depende de la velocidad con</w:t>
      </w:r>
      <w:r>
        <w:rPr>
          <w:color w:val="231F20"/>
          <w:spacing w:val="-42"/>
          <w:w w:val="105"/>
        </w:rPr>
        <w:t> </w:t>
      </w:r>
      <w:r>
        <w:rPr>
          <w:color w:val="231F20"/>
          <w:w w:val="105"/>
        </w:rPr>
        <w:t>que</w:t>
      </w:r>
      <w:r>
        <w:rPr>
          <w:color w:val="231F20"/>
          <w:spacing w:val="-5"/>
          <w:w w:val="105"/>
        </w:rPr>
        <w:t> </w:t>
      </w:r>
      <w:r>
        <w:rPr>
          <w:color w:val="231F20"/>
          <w:w w:val="105"/>
        </w:rPr>
        <w:t>se</w:t>
      </w:r>
      <w:r>
        <w:rPr>
          <w:color w:val="231F20"/>
          <w:spacing w:val="-2"/>
          <w:w w:val="96"/>
        </w:rPr>
        <w:t> </w:t>
      </w:r>
      <w:r>
        <w:rPr>
          <w:color w:val="231F20"/>
          <w:w w:val="105"/>
        </w:rPr>
        <w:t>invierta</w:t>
      </w:r>
      <w:r>
        <w:rPr>
          <w:color w:val="231F20"/>
          <w:spacing w:val="-26"/>
          <w:w w:val="105"/>
        </w:rPr>
        <w:t> </w:t>
      </w:r>
      <w:r>
        <w:rPr>
          <w:color w:val="231F20"/>
          <w:w w:val="105"/>
        </w:rPr>
        <w:t>en</w:t>
      </w:r>
      <w:r>
        <w:rPr>
          <w:color w:val="231F20"/>
          <w:spacing w:val="-26"/>
          <w:w w:val="105"/>
        </w:rPr>
        <w:t> </w:t>
      </w:r>
      <w:r>
        <w:rPr>
          <w:color w:val="231F20"/>
          <w:w w:val="105"/>
        </w:rPr>
        <w:t>los</w:t>
      </w:r>
      <w:r>
        <w:rPr>
          <w:color w:val="231F20"/>
          <w:spacing w:val="-26"/>
          <w:w w:val="105"/>
        </w:rPr>
        <w:t> </w:t>
      </w:r>
      <w:r>
        <w:rPr>
          <w:color w:val="231F20"/>
          <w:spacing w:val="-3"/>
          <w:w w:val="105"/>
        </w:rPr>
        <w:t>sectores</w:t>
      </w:r>
      <w:r>
        <w:rPr>
          <w:color w:val="231F20"/>
          <w:spacing w:val="-26"/>
          <w:w w:val="105"/>
        </w:rPr>
        <w:t> </w:t>
      </w:r>
      <w:r>
        <w:rPr>
          <w:color w:val="231F20"/>
          <w:w w:val="105"/>
        </w:rPr>
        <w:t>donde</w:t>
      </w:r>
      <w:r>
        <w:rPr>
          <w:color w:val="231F20"/>
          <w:spacing w:val="-26"/>
          <w:w w:val="105"/>
        </w:rPr>
        <w:t> </w:t>
      </w:r>
      <w:r>
        <w:rPr>
          <w:color w:val="231F20"/>
          <w:w w:val="105"/>
        </w:rPr>
        <w:t>se</w:t>
      </w:r>
      <w:r>
        <w:rPr>
          <w:color w:val="231F20"/>
          <w:spacing w:val="-26"/>
          <w:w w:val="105"/>
        </w:rPr>
        <w:t> </w:t>
      </w:r>
      <w:r>
        <w:rPr>
          <w:color w:val="231F20"/>
          <w:spacing w:val="-2"/>
          <w:w w:val="105"/>
        </w:rPr>
        <w:t>encuentran</w:t>
      </w:r>
      <w:r>
        <w:rPr>
          <w:color w:val="231F20"/>
          <w:spacing w:val="-26"/>
          <w:w w:val="105"/>
        </w:rPr>
        <w:t> </w:t>
      </w:r>
      <w:r>
        <w:rPr>
          <w:color w:val="231F20"/>
          <w:w w:val="105"/>
        </w:rPr>
        <w:t>las</w:t>
      </w:r>
      <w:r>
        <w:rPr>
          <w:color w:val="231F20"/>
          <w:spacing w:val="-26"/>
          <w:w w:val="105"/>
        </w:rPr>
        <w:t> </w:t>
      </w:r>
      <w:r>
        <w:rPr>
          <w:color w:val="231F20"/>
          <w:w w:val="105"/>
        </w:rPr>
        <w:t>economías</w:t>
      </w:r>
      <w:r>
        <w:rPr>
          <w:color w:val="231F20"/>
          <w:spacing w:val="-26"/>
          <w:w w:val="105"/>
        </w:rPr>
        <w:t> </w:t>
      </w:r>
      <w:r>
        <w:rPr>
          <w:color w:val="231F20"/>
          <w:w w:val="105"/>
        </w:rPr>
        <w:t>de</w:t>
      </w:r>
      <w:r>
        <w:rPr>
          <w:color w:val="231F20"/>
          <w:spacing w:val="-26"/>
          <w:w w:val="105"/>
        </w:rPr>
        <w:t> </w:t>
      </w:r>
      <w:r>
        <w:rPr>
          <w:color w:val="231F20"/>
          <w:w w:val="105"/>
        </w:rPr>
        <w:t>escala.</w:t>
      </w:r>
      <w:r>
        <w:rPr>
          <w:color w:val="231F20"/>
          <w:spacing w:val="-32"/>
          <w:w w:val="105"/>
        </w:rPr>
        <w:t> </w:t>
      </w:r>
      <w:r>
        <w:rPr>
          <w:color w:val="231F20"/>
          <w:w w:val="105"/>
        </w:rPr>
        <w:t>Al</w:t>
      </w:r>
      <w:r>
        <w:rPr>
          <w:color w:val="231F20"/>
          <w:spacing w:val="-2"/>
          <w:w w:val="107"/>
        </w:rPr>
        <w:t> </w:t>
      </w:r>
      <w:r>
        <w:rPr>
          <w:color w:val="231F20"/>
          <w:spacing w:val="-3"/>
          <w:w w:val="105"/>
        </w:rPr>
        <w:t>respecto,</w:t>
      </w:r>
      <w:r>
        <w:rPr>
          <w:color w:val="231F20"/>
          <w:spacing w:val="-36"/>
          <w:w w:val="105"/>
        </w:rPr>
        <w:t> </w:t>
      </w:r>
      <w:r>
        <w:rPr>
          <w:color w:val="231F20"/>
          <w:w w:val="105"/>
        </w:rPr>
        <w:t>la</w:t>
      </w:r>
      <w:r>
        <w:rPr>
          <w:color w:val="231F20"/>
          <w:spacing w:val="-32"/>
          <w:w w:val="105"/>
        </w:rPr>
        <w:t> </w:t>
      </w:r>
      <w:r>
        <w:rPr>
          <w:color w:val="231F20"/>
          <w:w w:val="105"/>
        </w:rPr>
        <w:t>ley</w:t>
      </w:r>
      <w:r>
        <w:rPr>
          <w:color w:val="231F20"/>
          <w:spacing w:val="-32"/>
          <w:w w:val="105"/>
        </w:rPr>
        <w:t> </w:t>
      </w:r>
      <w:r>
        <w:rPr>
          <w:color w:val="231F20"/>
          <w:w w:val="105"/>
        </w:rPr>
        <w:t>de</w:t>
      </w:r>
      <w:r>
        <w:rPr>
          <w:color w:val="231F20"/>
          <w:spacing w:val="-35"/>
          <w:w w:val="105"/>
        </w:rPr>
        <w:t> </w:t>
      </w:r>
      <w:r>
        <w:rPr>
          <w:color w:val="231F20"/>
          <w:spacing w:val="-4"/>
          <w:w w:val="105"/>
        </w:rPr>
        <w:t>Verdoorn</w:t>
      </w:r>
      <w:r>
        <w:rPr>
          <w:color w:val="231F20"/>
          <w:spacing w:val="-32"/>
          <w:w w:val="105"/>
        </w:rPr>
        <w:t> </w:t>
      </w:r>
      <w:r>
        <w:rPr>
          <w:color w:val="231F20"/>
          <w:spacing w:val="-3"/>
          <w:w w:val="105"/>
        </w:rPr>
        <w:t>ofrece</w:t>
      </w:r>
      <w:r>
        <w:rPr>
          <w:color w:val="231F20"/>
          <w:spacing w:val="-32"/>
          <w:w w:val="105"/>
        </w:rPr>
        <w:t> </w:t>
      </w:r>
      <w:r>
        <w:rPr>
          <w:color w:val="231F20"/>
          <w:w w:val="105"/>
        </w:rPr>
        <w:t>una</w:t>
      </w:r>
      <w:r>
        <w:rPr>
          <w:color w:val="231F20"/>
          <w:spacing w:val="-32"/>
          <w:w w:val="105"/>
        </w:rPr>
        <w:t> </w:t>
      </w:r>
      <w:r>
        <w:rPr>
          <w:color w:val="231F20"/>
          <w:w w:val="105"/>
        </w:rPr>
        <w:t>explicación</w:t>
      </w:r>
      <w:r>
        <w:rPr>
          <w:color w:val="231F20"/>
          <w:spacing w:val="-32"/>
          <w:w w:val="105"/>
        </w:rPr>
        <w:t> </w:t>
      </w:r>
      <w:r>
        <w:rPr>
          <w:color w:val="231F20"/>
          <w:w w:val="105"/>
        </w:rPr>
        <w:t>para</w:t>
      </w:r>
      <w:r>
        <w:rPr>
          <w:color w:val="231F20"/>
          <w:spacing w:val="-32"/>
          <w:w w:val="105"/>
        </w:rPr>
        <w:t> </w:t>
      </w:r>
      <w:r>
        <w:rPr>
          <w:color w:val="231F20"/>
          <w:w w:val="105"/>
        </w:rPr>
        <w:t>la</w:t>
      </w:r>
      <w:r>
        <w:rPr>
          <w:color w:val="231F20"/>
          <w:spacing w:val="-32"/>
          <w:w w:val="105"/>
        </w:rPr>
        <w:t> </w:t>
      </w:r>
      <w:r>
        <w:rPr>
          <w:color w:val="231F20"/>
          <w:w w:val="105"/>
        </w:rPr>
        <w:t>persistencia</w:t>
      </w:r>
      <w:r>
        <w:rPr>
          <w:color w:val="231F20"/>
          <w:spacing w:val="-32"/>
          <w:w w:val="105"/>
        </w:rPr>
        <w:t> </w:t>
      </w:r>
      <w:r>
        <w:rPr>
          <w:color w:val="231F20"/>
          <w:w w:val="105"/>
        </w:rPr>
        <w:t>de</w:t>
      </w:r>
      <w:r>
        <w:rPr>
          <w:color w:val="231F20"/>
          <w:spacing w:val="-2"/>
          <w:w w:val="108"/>
        </w:rPr>
        <w:t> </w:t>
      </w:r>
      <w:r>
        <w:rPr>
          <w:color w:val="231F20"/>
          <w:w w:val="105"/>
        </w:rPr>
        <w:t>disparidades</w:t>
      </w:r>
      <w:r>
        <w:rPr>
          <w:color w:val="231F20"/>
          <w:spacing w:val="-14"/>
          <w:w w:val="105"/>
        </w:rPr>
        <w:t> </w:t>
      </w:r>
      <w:r>
        <w:rPr>
          <w:color w:val="231F20"/>
          <w:spacing w:val="-3"/>
          <w:w w:val="105"/>
        </w:rPr>
        <w:t>regionales,</w:t>
      </w:r>
      <w:r>
        <w:rPr>
          <w:color w:val="231F20"/>
          <w:spacing w:val="-19"/>
          <w:w w:val="105"/>
        </w:rPr>
        <w:t> </w:t>
      </w:r>
      <w:r>
        <w:rPr>
          <w:color w:val="231F20"/>
          <w:w w:val="105"/>
        </w:rPr>
        <w:t>ya</w:t>
      </w:r>
      <w:r>
        <w:rPr>
          <w:color w:val="231F20"/>
          <w:spacing w:val="-14"/>
          <w:w w:val="105"/>
        </w:rPr>
        <w:t> </w:t>
      </w:r>
      <w:r>
        <w:rPr>
          <w:color w:val="231F20"/>
          <w:w w:val="105"/>
        </w:rPr>
        <w:t>que</w:t>
      </w:r>
      <w:r>
        <w:rPr>
          <w:color w:val="231F20"/>
          <w:spacing w:val="-14"/>
          <w:w w:val="105"/>
        </w:rPr>
        <w:t> </w:t>
      </w:r>
      <w:r>
        <w:rPr>
          <w:color w:val="231F20"/>
          <w:w w:val="105"/>
        </w:rPr>
        <w:t>una</w:t>
      </w:r>
      <w:r>
        <w:rPr>
          <w:color w:val="231F20"/>
          <w:spacing w:val="-14"/>
          <w:w w:val="105"/>
        </w:rPr>
        <w:t> </w:t>
      </w:r>
      <w:r>
        <w:rPr>
          <w:color w:val="231F20"/>
          <w:w w:val="105"/>
        </w:rPr>
        <w:t>vez</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spacing w:val="-3"/>
          <w:w w:val="105"/>
        </w:rPr>
        <w:t>región</w:t>
      </w:r>
      <w:r>
        <w:rPr>
          <w:color w:val="231F20"/>
          <w:spacing w:val="-14"/>
          <w:w w:val="105"/>
        </w:rPr>
        <w:t> </w:t>
      </w:r>
      <w:r>
        <w:rPr>
          <w:color w:val="231F20"/>
          <w:w w:val="105"/>
        </w:rPr>
        <w:t>tiene</w:t>
      </w:r>
      <w:r>
        <w:rPr>
          <w:color w:val="231F20"/>
          <w:spacing w:val="-14"/>
          <w:w w:val="105"/>
        </w:rPr>
        <w:t> </w:t>
      </w:r>
      <w:r>
        <w:rPr>
          <w:color w:val="231F20"/>
          <w:w w:val="105"/>
        </w:rPr>
        <w:t>ventajas</w:t>
      </w:r>
      <w:r>
        <w:rPr>
          <w:color w:val="231F20"/>
          <w:spacing w:val="-14"/>
          <w:w w:val="105"/>
        </w:rPr>
        <w:t> </w:t>
      </w:r>
      <w:r>
        <w:rPr>
          <w:color w:val="231F20"/>
          <w:w w:val="105"/>
        </w:rPr>
        <w:t>so-</w:t>
      </w:r>
      <w:r>
        <w:rPr>
          <w:color w:val="231F20"/>
          <w:w w:val="96"/>
        </w:rPr>
        <w:t> </w:t>
      </w:r>
      <w:r>
        <w:rPr>
          <w:color w:val="231F20"/>
          <w:spacing w:val="-3"/>
          <w:w w:val="105"/>
        </w:rPr>
        <w:t>bre</w:t>
      </w:r>
      <w:r>
        <w:rPr>
          <w:color w:val="231F20"/>
          <w:spacing w:val="-26"/>
          <w:w w:val="105"/>
        </w:rPr>
        <w:t> </w:t>
      </w:r>
      <w:r>
        <w:rPr>
          <w:color w:val="231F20"/>
          <w:w w:val="105"/>
        </w:rPr>
        <w:t>el</w:t>
      </w:r>
      <w:r>
        <w:rPr>
          <w:color w:val="231F20"/>
          <w:spacing w:val="-26"/>
          <w:w w:val="105"/>
        </w:rPr>
        <w:t> </w:t>
      </w:r>
      <w:r>
        <w:rPr>
          <w:color w:val="231F20"/>
          <w:spacing w:val="-3"/>
          <w:w w:val="105"/>
        </w:rPr>
        <w:t>crecimiento,</w:t>
      </w:r>
      <w:r>
        <w:rPr>
          <w:color w:val="231F20"/>
          <w:spacing w:val="-30"/>
          <w:w w:val="105"/>
        </w:rPr>
        <w:t> </w:t>
      </w:r>
      <w:r>
        <w:rPr>
          <w:color w:val="231F20"/>
          <w:w w:val="105"/>
        </w:rPr>
        <w:t>ésta</w:t>
      </w:r>
      <w:r>
        <w:rPr>
          <w:color w:val="231F20"/>
          <w:spacing w:val="-26"/>
          <w:w w:val="105"/>
        </w:rPr>
        <w:t> </w:t>
      </w:r>
      <w:r>
        <w:rPr>
          <w:color w:val="231F20"/>
          <w:w w:val="105"/>
        </w:rPr>
        <w:t>tenderá</w:t>
      </w:r>
      <w:r>
        <w:rPr>
          <w:color w:val="231F20"/>
          <w:spacing w:val="-26"/>
          <w:w w:val="105"/>
        </w:rPr>
        <w:t> </w:t>
      </w:r>
      <w:r>
        <w:rPr>
          <w:color w:val="231F20"/>
          <w:w w:val="105"/>
        </w:rPr>
        <w:t>a</w:t>
      </w:r>
      <w:r>
        <w:rPr>
          <w:color w:val="231F20"/>
          <w:spacing w:val="-26"/>
          <w:w w:val="105"/>
        </w:rPr>
        <w:t> </w:t>
      </w:r>
      <w:r>
        <w:rPr>
          <w:color w:val="231F20"/>
          <w:w w:val="105"/>
        </w:rPr>
        <w:t>sostener</w:t>
      </w:r>
      <w:r>
        <w:rPr>
          <w:color w:val="231F20"/>
          <w:spacing w:val="-26"/>
          <w:w w:val="105"/>
        </w:rPr>
        <w:t> </w:t>
      </w:r>
      <w:r>
        <w:rPr>
          <w:color w:val="231F20"/>
          <w:w w:val="105"/>
        </w:rPr>
        <w:t>esas</w:t>
      </w:r>
      <w:r>
        <w:rPr>
          <w:color w:val="231F20"/>
          <w:spacing w:val="-26"/>
          <w:w w:val="105"/>
        </w:rPr>
        <w:t> </w:t>
      </w:r>
      <w:r>
        <w:rPr>
          <w:color w:val="231F20"/>
          <w:w w:val="105"/>
        </w:rPr>
        <w:t>ventajas</w:t>
      </w:r>
      <w:r>
        <w:rPr>
          <w:color w:val="231F20"/>
          <w:spacing w:val="-26"/>
          <w:w w:val="105"/>
        </w:rPr>
        <w:t> </w:t>
      </w:r>
      <w:r>
        <w:rPr>
          <w:color w:val="231F20"/>
          <w:w w:val="105"/>
        </w:rPr>
        <w:t>a</w:t>
      </w:r>
      <w:r>
        <w:rPr>
          <w:color w:val="231F20"/>
          <w:spacing w:val="-26"/>
          <w:w w:val="105"/>
        </w:rPr>
        <w:t> </w:t>
      </w:r>
      <w:r>
        <w:rPr>
          <w:color w:val="231F20"/>
          <w:spacing w:val="-2"/>
          <w:w w:val="105"/>
        </w:rPr>
        <w:t>través</w:t>
      </w:r>
      <w:r>
        <w:rPr>
          <w:color w:val="231F20"/>
          <w:spacing w:val="-26"/>
          <w:w w:val="105"/>
        </w:rPr>
        <w:t> </w:t>
      </w:r>
      <w:r>
        <w:rPr>
          <w:color w:val="231F20"/>
          <w:w w:val="105"/>
        </w:rPr>
        <w:t>del</w:t>
      </w:r>
      <w:r>
        <w:rPr>
          <w:color w:val="231F20"/>
          <w:spacing w:val="-26"/>
          <w:w w:val="105"/>
        </w:rPr>
        <w:t> </w:t>
      </w:r>
      <w:r>
        <w:rPr>
          <w:color w:val="231F20"/>
          <w:spacing w:val="-3"/>
          <w:w w:val="105"/>
        </w:rPr>
        <w:t>pro-</w:t>
      </w:r>
      <w:r>
        <w:rPr>
          <w:color w:val="231F20"/>
          <w:w w:val="96"/>
        </w:rPr>
        <w:t> </w:t>
      </w:r>
      <w:r>
        <w:rPr>
          <w:color w:val="231F20"/>
          <w:w w:val="105"/>
        </w:rPr>
        <w:t>ceso</w:t>
      </w:r>
      <w:r>
        <w:rPr>
          <w:color w:val="231F20"/>
          <w:spacing w:val="-14"/>
          <w:w w:val="105"/>
        </w:rPr>
        <w:t> </w:t>
      </w:r>
      <w:r>
        <w:rPr>
          <w:color w:val="231F20"/>
          <w:w w:val="105"/>
        </w:rPr>
        <w:t>de</w:t>
      </w:r>
      <w:r>
        <w:rPr>
          <w:color w:val="231F20"/>
          <w:spacing w:val="-14"/>
          <w:w w:val="105"/>
        </w:rPr>
        <w:t> </w:t>
      </w:r>
      <w:r>
        <w:rPr>
          <w:color w:val="231F20"/>
          <w:spacing w:val="-3"/>
          <w:w w:val="105"/>
        </w:rPr>
        <w:t>rendimientos</w:t>
      </w:r>
      <w:r>
        <w:rPr>
          <w:color w:val="231F20"/>
          <w:spacing w:val="-14"/>
          <w:w w:val="105"/>
        </w:rPr>
        <w:t> </w:t>
      </w:r>
      <w:r>
        <w:rPr>
          <w:color w:val="231F20"/>
          <w:spacing w:val="-3"/>
          <w:w w:val="105"/>
        </w:rPr>
        <w:t>crecientes</w:t>
      </w:r>
      <w:r>
        <w:rPr>
          <w:color w:val="231F20"/>
          <w:spacing w:val="-14"/>
          <w:w w:val="105"/>
        </w:rPr>
        <w:t> </w:t>
      </w:r>
      <w:r>
        <w:rPr>
          <w:color w:val="231F20"/>
          <w:w w:val="105"/>
        </w:rPr>
        <w:t>que</w:t>
      </w:r>
      <w:r>
        <w:rPr>
          <w:color w:val="231F20"/>
          <w:spacing w:val="-14"/>
          <w:w w:val="105"/>
        </w:rPr>
        <w:t> </w:t>
      </w:r>
      <w:r>
        <w:rPr>
          <w:color w:val="231F20"/>
          <w:w w:val="105"/>
        </w:rPr>
        <w:t>induce</w:t>
      </w:r>
      <w:r>
        <w:rPr>
          <w:color w:val="231F20"/>
          <w:spacing w:val="-14"/>
          <w:w w:val="105"/>
        </w:rPr>
        <w:t> </w:t>
      </w:r>
      <w:r>
        <w:rPr>
          <w:color w:val="231F20"/>
          <w:w w:val="105"/>
        </w:rPr>
        <w:t>el</w:t>
      </w:r>
      <w:r>
        <w:rPr>
          <w:color w:val="231F20"/>
          <w:spacing w:val="-14"/>
          <w:w w:val="105"/>
        </w:rPr>
        <w:t> </w:t>
      </w:r>
      <w:r>
        <w:rPr>
          <w:color w:val="231F20"/>
          <w:spacing w:val="-3"/>
          <w:w w:val="105"/>
        </w:rPr>
        <w:t>crecimiento</w:t>
      </w:r>
      <w:r>
        <w:rPr>
          <w:color w:val="231F20"/>
          <w:spacing w:val="-14"/>
          <w:w w:val="105"/>
        </w:rPr>
        <w:t> </w:t>
      </w:r>
      <w:r>
        <w:rPr>
          <w:color w:val="231F20"/>
          <w:w w:val="105"/>
        </w:rPr>
        <w:t>por</w:t>
      </w:r>
      <w:r>
        <w:rPr>
          <w:color w:val="231F20"/>
          <w:spacing w:val="-14"/>
          <w:w w:val="105"/>
        </w:rPr>
        <w:t> </w:t>
      </w:r>
      <w:r>
        <w:rPr>
          <w:color w:val="231F20"/>
          <w:w w:val="105"/>
        </w:rPr>
        <w:t>sí</w:t>
      </w:r>
      <w:r>
        <w:rPr>
          <w:color w:val="231F20"/>
          <w:spacing w:val="-14"/>
          <w:w w:val="105"/>
        </w:rPr>
        <w:t> </w:t>
      </w:r>
      <w:r>
        <w:rPr>
          <w:color w:val="231F20"/>
          <w:spacing w:val="-2"/>
          <w:w w:val="105"/>
        </w:rPr>
        <w:t>mismo.</w:t>
      </w:r>
    </w:p>
    <w:p>
      <w:pPr>
        <w:pStyle w:val="BodyText"/>
        <w:spacing w:line="259" w:lineRule="auto"/>
        <w:ind w:left="117" w:right="116" w:firstLine="567"/>
        <w:jc w:val="both"/>
      </w:pPr>
      <w:r>
        <w:rPr>
          <w:color w:val="231F20"/>
          <w:w w:val="105"/>
        </w:rPr>
        <w:t>Existen diversos estudios que sostienen haber encontrado una o más</w:t>
      </w:r>
      <w:r>
        <w:rPr>
          <w:color w:val="231F20"/>
          <w:spacing w:val="-28"/>
          <w:w w:val="105"/>
        </w:rPr>
        <w:t> </w:t>
      </w:r>
      <w:r>
        <w:rPr>
          <w:color w:val="231F20"/>
          <w:w w:val="105"/>
        </w:rPr>
        <w:t>variables</w:t>
      </w:r>
      <w:r>
        <w:rPr>
          <w:color w:val="231F20"/>
          <w:spacing w:val="-28"/>
          <w:w w:val="105"/>
        </w:rPr>
        <w:t> </w:t>
      </w:r>
      <w:r>
        <w:rPr>
          <w:color w:val="231F20"/>
          <w:spacing w:val="-3"/>
          <w:w w:val="105"/>
        </w:rPr>
        <w:t>parcialmente</w:t>
      </w:r>
      <w:r>
        <w:rPr>
          <w:color w:val="231F20"/>
          <w:spacing w:val="-28"/>
          <w:w w:val="105"/>
        </w:rPr>
        <w:t> </w:t>
      </w:r>
      <w:r>
        <w:rPr>
          <w:color w:val="231F20"/>
          <w:spacing w:val="-3"/>
          <w:w w:val="105"/>
        </w:rPr>
        <w:t>correlacionadas</w:t>
      </w:r>
      <w:r>
        <w:rPr>
          <w:color w:val="231F20"/>
          <w:spacing w:val="-28"/>
          <w:w w:val="105"/>
        </w:rPr>
        <w:t> </w:t>
      </w:r>
      <w:r>
        <w:rPr>
          <w:color w:val="231F20"/>
          <w:w w:val="105"/>
        </w:rPr>
        <w:t>con</w:t>
      </w:r>
      <w:r>
        <w:rPr>
          <w:color w:val="231F20"/>
          <w:spacing w:val="-28"/>
          <w:w w:val="105"/>
        </w:rPr>
        <w:t> </w:t>
      </w:r>
      <w:r>
        <w:rPr>
          <w:color w:val="231F20"/>
          <w:w w:val="105"/>
        </w:rPr>
        <w:t>la</w:t>
      </w:r>
      <w:r>
        <w:rPr>
          <w:color w:val="231F20"/>
          <w:spacing w:val="-28"/>
          <w:w w:val="105"/>
        </w:rPr>
        <w:t> </w:t>
      </w:r>
      <w:r>
        <w:rPr>
          <w:color w:val="231F20"/>
          <w:w w:val="105"/>
        </w:rPr>
        <w:t>tasa</w:t>
      </w:r>
      <w:r>
        <w:rPr>
          <w:color w:val="231F20"/>
          <w:spacing w:val="-28"/>
          <w:w w:val="105"/>
        </w:rPr>
        <w:t> </w:t>
      </w:r>
      <w:r>
        <w:rPr>
          <w:color w:val="231F20"/>
          <w:w w:val="105"/>
        </w:rPr>
        <w:t>de</w:t>
      </w:r>
      <w:r>
        <w:rPr>
          <w:color w:val="231F20"/>
          <w:spacing w:val="-28"/>
          <w:w w:val="105"/>
        </w:rPr>
        <w:t> </w:t>
      </w:r>
      <w:r>
        <w:rPr>
          <w:color w:val="231F20"/>
          <w:spacing w:val="-3"/>
          <w:w w:val="105"/>
        </w:rPr>
        <w:t>crecimiento</w:t>
      </w:r>
      <w:r>
        <w:rPr>
          <w:color w:val="231F20"/>
          <w:spacing w:val="-28"/>
          <w:w w:val="105"/>
        </w:rPr>
        <w:t> </w:t>
      </w:r>
      <w:r>
        <w:rPr>
          <w:color w:val="231F20"/>
          <w:spacing w:val="-3"/>
          <w:w w:val="105"/>
        </w:rPr>
        <w:t>re- </w:t>
      </w:r>
      <w:r>
        <w:rPr>
          <w:color w:val="231F20"/>
          <w:w w:val="105"/>
        </w:rPr>
        <w:t>gional.</w:t>
      </w:r>
      <w:r>
        <w:rPr>
          <w:color w:val="231F20"/>
          <w:spacing w:val="-32"/>
          <w:w w:val="105"/>
        </w:rPr>
        <w:t> </w:t>
      </w:r>
      <w:r>
        <w:rPr>
          <w:color w:val="231F20"/>
          <w:w w:val="105"/>
        </w:rPr>
        <w:t>Al</w:t>
      </w:r>
      <w:r>
        <w:rPr>
          <w:color w:val="231F20"/>
          <w:spacing w:val="-26"/>
          <w:w w:val="105"/>
        </w:rPr>
        <w:t> </w:t>
      </w:r>
      <w:r>
        <w:rPr>
          <w:color w:val="231F20"/>
          <w:spacing w:val="-3"/>
          <w:w w:val="105"/>
        </w:rPr>
        <w:t>respecto,</w:t>
      </w:r>
      <w:r>
        <w:rPr>
          <w:color w:val="231F20"/>
          <w:spacing w:val="-30"/>
          <w:w w:val="105"/>
        </w:rPr>
        <w:t> </w:t>
      </w:r>
      <w:r>
        <w:rPr>
          <w:color w:val="231F20"/>
          <w:w w:val="105"/>
        </w:rPr>
        <w:t>Sala-i-Martin</w:t>
      </w:r>
      <w:r>
        <w:rPr>
          <w:color w:val="231F20"/>
          <w:spacing w:val="-26"/>
          <w:w w:val="105"/>
        </w:rPr>
        <w:t> </w:t>
      </w:r>
      <w:r>
        <w:rPr>
          <w:color w:val="231F20"/>
          <w:w w:val="105"/>
        </w:rPr>
        <w:t>(2002)</w:t>
      </w:r>
      <w:r>
        <w:rPr>
          <w:color w:val="231F20"/>
          <w:spacing w:val="-26"/>
          <w:w w:val="105"/>
        </w:rPr>
        <w:t> </w:t>
      </w:r>
      <w:r>
        <w:rPr>
          <w:color w:val="231F20"/>
          <w:spacing w:val="-2"/>
          <w:w w:val="105"/>
        </w:rPr>
        <w:t>considera</w:t>
      </w:r>
      <w:r>
        <w:rPr>
          <w:color w:val="231F20"/>
          <w:spacing w:val="-26"/>
          <w:w w:val="105"/>
        </w:rPr>
        <w:t> </w:t>
      </w:r>
      <w:r>
        <w:rPr>
          <w:color w:val="231F20"/>
          <w:w w:val="105"/>
        </w:rPr>
        <w:t>que</w:t>
      </w:r>
      <w:r>
        <w:rPr>
          <w:color w:val="231F20"/>
          <w:spacing w:val="-26"/>
          <w:w w:val="105"/>
        </w:rPr>
        <w:t> </w:t>
      </w:r>
      <w:r>
        <w:rPr>
          <w:color w:val="231F20"/>
          <w:w w:val="105"/>
        </w:rPr>
        <w:t>algunas</w:t>
      </w:r>
      <w:r>
        <w:rPr>
          <w:color w:val="231F20"/>
          <w:spacing w:val="-26"/>
          <w:w w:val="105"/>
        </w:rPr>
        <w:t> </w:t>
      </w:r>
      <w:r>
        <w:rPr>
          <w:color w:val="231F20"/>
          <w:w w:val="105"/>
        </w:rPr>
        <w:t>lecciones importantes que se pueden </w:t>
      </w:r>
      <w:r>
        <w:rPr>
          <w:color w:val="231F20"/>
          <w:spacing w:val="-3"/>
          <w:w w:val="105"/>
        </w:rPr>
        <w:t>extraer </w:t>
      </w:r>
      <w:r>
        <w:rPr>
          <w:color w:val="231F20"/>
          <w:w w:val="105"/>
        </w:rPr>
        <w:t>de esta </w:t>
      </w:r>
      <w:r>
        <w:rPr>
          <w:color w:val="231F20"/>
          <w:spacing w:val="-3"/>
          <w:w w:val="105"/>
        </w:rPr>
        <w:t>literatura </w:t>
      </w:r>
      <w:r>
        <w:rPr>
          <w:color w:val="231F20"/>
          <w:w w:val="105"/>
        </w:rPr>
        <w:t>es que no hay un simple determinante del </w:t>
      </w:r>
      <w:r>
        <w:rPr>
          <w:color w:val="231F20"/>
          <w:spacing w:val="-3"/>
          <w:w w:val="105"/>
        </w:rPr>
        <w:t>crecimiento. </w:t>
      </w:r>
      <w:r>
        <w:rPr>
          <w:color w:val="231F20"/>
          <w:w w:val="105"/>
        </w:rPr>
        <w:t>Sin </w:t>
      </w:r>
      <w:r>
        <w:rPr>
          <w:color w:val="231F20"/>
          <w:spacing w:val="-3"/>
          <w:w w:val="105"/>
        </w:rPr>
        <w:t>embargo, </w:t>
      </w:r>
      <w:r>
        <w:rPr>
          <w:color w:val="231F20"/>
          <w:w w:val="105"/>
        </w:rPr>
        <w:t>en este trabajo sos- tenemos</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factor</w:t>
      </w:r>
      <w:r>
        <w:rPr>
          <w:color w:val="231F20"/>
          <w:spacing w:val="-11"/>
          <w:w w:val="105"/>
        </w:rPr>
        <w:t> </w:t>
      </w:r>
      <w:r>
        <w:rPr>
          <w:color w:val="231F20"/>
          <w:w w:val="105"/>
        </w:rPr>
        <w:t>de</w:t>
      </w:r>
      <w:r>
        <w:rPr>
          <w:color w:val="231F20"/>
          <w:spacing w:val="-11"/>
          <w:w w:val="105"/>
        </w:rPr>
        <w:t> </w:t>
      </w:r>
      <w:r>
        <w:rPr>
          <w:color w:val="231F20"/>
          <w:w w:val="105"/>
        </w:rPr>
        <w:t>análisis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teorías</w:t>
      </w:r>
      <w:r>
        <w:rPr>
          <w:color w:val="231F20"/>
          <w:spacing w:val="-11"/>
          <w:w w:val="105"/>
        </w:rPr>
        <w:t> </w:t>
      </w:r>
      <w:r>
        <w:rPr>
          <w:color w:val="231F20"/>
          <w:w w:val="105"/>
        </w:rPr>
        <w:t>del</w:t>
      </w:r>
      <w:r>
        <w:rPr>
          <w:color w:val="231F20"/>
          <w:spacing w:val="-11"/>
          <w:w w:val="105"/>
        </w:rPr>
        <w:t> </w:t>
      </w:r>
      <w:r>
        <w:rPr>
          <w:color w:val="231F20"/>
          <w:spacing w:val="-3"/>
          <w:w w:val="105"/>
        </w:rPr>
        <w:t>crecimiento</w:t>
      </w:r>
      <w:r>
        <w:rPr>
          <w:color w:val="231F20"/>
          <w:spacing w:val="-11"/>
          <w:w w:val="105"/>
        </w:rPr>
        <w:t> </w:t>
      </w:r>
      <w:r>
        <w:rPr>
          <w:color w:val="231F20"/>
          <w:spacing w:val="-3"/>
          <w:w w:val="105"/>
        </w:rPr>
        <w:t>regional, </w:t>
      </w:r>
      <w:r>
        <w:rPr>
          <w:color w:val="231F20"/>
          <w:w w:val="105"/>
        </w:rPr>
        <w:t>tanto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enfoque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oferta</w:t>
      </w:r>
      <w:r>
        <w:rPr>
          <w:color w:val="231F20"/>
          <w:spacing w:val="-18"/>
          <w:w w:val="105"/>
        </w:rPr>
        <w:t> </w:t>
      </w:r>
      <w:r>
        <w:rPr>
          <w:color w:val="231F20"/>
          <w:w w:val="105"/>
        </w:rPr>
        <w:t>como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de</w:t>
      </w:r>
      <w:r>
        <w:rPr>
          <w:color w:val="231F20"/>
          <w:spacing w:val="-18"/>
          <w:w w:val="105"/>
        </w:rPr>
        <w:t> </w:t>
      </w:r>
      <w:r>
        <w:rPr>
          <w:color w:val="231F20"/>
          <w:w w:val="105"/>
        </w:rPr>
        <w:t>demanda,</w:t>
      </w:r>
      <w:r>
        <w:rPr>
          <w:color w:val="231F20"/>
          <w:spacing w:val="-23"/>
          <w:w w:val="105"/>
        </w:rPr>
        <w:t> </w:t>
      </w:r>
      <w:r>
        <w:rPr>
          <w:color w:val="231F20"/>
          <w:w w:val="105"/>
        </w:rPr>
        <w:t>se</w:t>
      </w:r>
      <w:r>
        <w:rPr>
          <w:color w:val="231F20"/>
          <w:spacing w:val="-18"/>
          <w:w w:val="105"/>
        </w:rPr>
        <w:t> </w:t>
      </w:r>
      <w:r>
        <w:rPr>
          <w:color w:val="231F20"/>
          <w:w w:val="105"/>
        </w:rPr>
        <w:t>vinculan</w:t>
      </w:r>
      <w:r>
        <w:rPr>
          <w:color w:val="231F20"/>
          <w:spacing w:val="-18"/>
          <w:w w:val="105"/>
        </w:rPr>
        <w:t> </w:t>
      </w:r>
      <w:r>
        <w:rPr>
          <w:color w:val="231F20"/>
          <w:spacing w:val="-2"/>
          <w:w w:val="105"/>
        </w:rPr>
        <w:t>con</w:t>
      </w:r>
    </w:p>
    <w:p>
      <w:pPr>
        <w:spacing w:after="0" w:line="259" w:lineRule="auto"/>
        <w:jc w:val="both"/>
        <w:sectPr>
          <w:pgSz w:w="9640" w:h="13890"/>
          <w:pgMar w:top="0" w:bottom="280" w:left="1300" w:right="1180"/>
        </w:sectPr>
      </w:pPr>
    </w:p>
    <w:p>
      <w:pPr>
        <w:pStyle w:val="BodyText"/>
        <w:spacing w:line="259" w:lineRule="auto" w:before="120"/>
        <w:ind w:left="103" w:right="115"/>
        <w:jc w:val="right"/>
      </w:pPr>
      <w:r>
        <w:rPr>
          <w:color w:val="231F20"/>
        </w:rPr>
        <w:t>la productividad, la cual propicia el crecimiento de las exportaciones ma-</w:t>
      </w:r>
      <w:r>
        <w:rPr>
          <w:color w:val="231F20"/>
          <w:w w:val="96"/>
        </w:rPr>
        <w:t> </w:t>
      </w:r>
      <w:r>
        <w:rPr>
          <w:color w:val="231F20"/>
        </w:rPr>
        <w:t>nufactureras, el impulso del sector industrial y el crecimiento económico.</w:t>
      </w:r>
      <w:r>
        <w:rPr>
          <w:color w:val="231F20"/>
          <w:w w:val="93"/>
        </w:rPr>
        <w:t> </w:t>
      </w:r>
      <w:r>
        <w:rPr>
          <w:color w:val="231F20"/>
        </w:rPr>
        <w:t>Es así como este marco de teorías sirve para explicar cómo las</w:t>
      </w:r>
      <w:r>
        <w:rPr>
          <w:color w:val="231F20"/>
          <w:w w:val="96"/>
        </w:rPr>
        <w:t> </w:t>
      </w:r>
      <w:r>
        <w:rPr>
          <w:color w:val="231F20"/>
        </w:rPr>
        <w:t>regiones industrializadas presentan círculos virtuosos de crecimiento</w:t>
      </w:r>
      <w:r>
        <w:rPr>
          <w:color w:val="231F20"/>
          <w:w w:val="105"/>
        </w:rPr>
        <w:t> </w:t>
      </w:r>
      <w:r>
        <w:rPr>
          <w:color w:val="231F20"/>
        </w:rPr>
        <w:t>mientras que las no industrializadas se quedan rezagadas y anegadas</w:t>
      </w:r>
      <w:r>
        <w:rPr>
          <w:color w:val="231F20"/>
          <w:w w:val="101"/>
        </w:rPr>
        <w:t> </w:t>
      </w:r>
      <w:r>
        <w:rPr>
          <w:color w:val="231F20"/>
        </w:rPr>
        <w:t>en círculos viciosos, lo que hace que se agraven las diferencias de ingre-</w:t>
      </w:r>
      <w:r>
        <w:rPr>
          <w:color w:val="231F20"/>
          <w:w w:val="96"/>
        </w:rPr>
        <w:t> </w:t>
      </w:r>
      <w:r>
        <w:rPr>
          <w:color w:val="231F20"/>
        </w:rPr>
        <w:t>so. Y dado que la especialización en actividades manufactureras genera</w:t>
      </w:r>
      <w:r>
        <w:rPr>
          <w:color w:val="231F20"/>
          <w:w w:val="96"/>
        </w:rPr>
        <w:t> </w:t>
      </w:r>
      <w:r>
        <w:rPr>
          <w:color w:val="231F20"/>
        </w:rPr>
        <w:t>externalidades positivas en el resto de los sectores, es importante alentar</w:t>
      </w:r>
      <w:r>
        <w:rPr>
          <w:color w:val="231F20"/>
          <w:w w:val="103"/>
        </w:rPr>
        <w:t> </w:t>
      </w:r>
      <w:r>
        <w:rPr>
          <w:color w:val="231F20"/>
        </w:rPr>
        <w:t>la industria de cada región para lograr el crecimiento económico y la ho-</w:t>
      </w:r>
    </w:p>
    <w:p>
      <w:pPr>
        <w:pStyle w:val="BodyText"/>
        <w:spacing w:line="241" w:lineRule="exact"/>
        <w:ind w:left="103" w:right="17"/>
      </w:pPr>
      <w:r>
        <w:rPr>
          <w:color w:val="231F20"/>
          <w:w w:val="105"/>
        </w:rPr>
        <w:t>mogeneización regional.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1317" w:val="left" w:leader="none"/>
        </w:tabs>
        <w:spacing w:before="188"/>
        <w:ind w:left="212" w:right="17" w:firstLine="0"/>
        <w:jc w:val="left"/>
        <w:rPr>
          <w:rFonts w:ascii="Calibri" w:hAnsi="Calibri"/>
          <w:sz w:val="15"/>
        </w:rPr>
      </w:pPr>
      <w:r>
        <w:rPr/>
        <w:pict>
          <v:group style="position:absolute;margin-left:101.817299pt;margin-top:-10.899887pt;width:17.850pt;height:56.5pt;mso-position-horizontal-relative:page;mso-position-vertical-relative:paragraph;z-index:-238528" coordorigin="2036,-218" coordsize="357,1130">
            <v:line style="position:absolute" from="2211,192" to="2211,908" stroked="true" strokeweight=".3pt" strokecolor="#231f20"/>
            <v:shape style="position:absolute;left:2036;top:-44;width:356;height:609" type="#_x0000_t75" stroked="false">
              <v:imagedata r:id="rId18" o:title=""/>
            </v:shape>
            <v:shape style="position:absolute;left:2036;top:-218;width:356;height:783" type="#_x0000_t75" stroked="false">
              <v:imagedata r:id="rId19" o:title=""/>
            </v:shape>
            <w10:wrap type="none"/>
          </v:group>
        </w:pict>
      </w:r>
      <w:r>
        <w:rPr>
          <w:color w:val="414042"/>
          <w:position w:val="-5"/>
          <w:sz w:val="20"/>
        </w:rPr>
        <w:t>256</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869" w:right="0" w:firstLine="0"/>
        <w:jc w:val="left"/>
        <w:rPr>
          <w:sz w:val="20"/>
        </w:rPr>
      </w:pPr>
      <w:r>
        <w:rPr/>
        <w:pict>
          <v:line style="position:absolute;mso-position-horizontal-relative:page;mso-position-vertical-relative:paragraph;z-index:-238504" from="384.061005pt,-25.30427pt" to="384.061005pt,9.561580pt" stroked="true" strokeweight=".3pt" strokecolor="#231f20">
            <w10:wrap type="none"/>
          </v:line>
        </w:pict>
      </w:r>
      <w:r>
        <w:rPr>
          <w:rFonts w:ascii="Lucida Sans Unicode" w:hAnsi="Lucida Sans Unicode"/>
          <w:color w:val="6D6E71"/>
          <w:w w:val="105"/>
          <w:sz w:val="14"/>
        </w:rPr>
        <w:t>X.</w:t>
      </w:r>
      <w:r>
        <w:rPr>
          <w:rFonts w:ascii="Lucida Sans Unicode" w:hAnsi="Lucida Sans Unicode"/>
          <w:color w:val="6D6E71"/>
          <w:spacing w:val="-8"/>
          <w:w w:val="105"/>
          <w:sz w:val="14"/>
        </w:rPr>
        <w:t> </w:t>
      </w:r>
      <w:r>
        <w:rPr>
          <w:rFonts w:ascii="Lucida Sans Unicode" w:hAnsi="Lucida Sans Unicode"/>
          <w:color w:val="6D6E71"/>
          <w:w w:val="105"/>
          <w:sz w:val="14"/>
        </w:rPr>
        <w:t>El</w:t>
      </w:r>
      <w:r>
        <w:rPr>
          <w:rFonts w:ascii="Lucida Sans Unicode" w:hAnsi="Lucida Sans Unicode"/>
          <w:color w:val="6D6E71"/>
          <w:spacing w:val="-8"/>
          <w:w w:val="105"/>
          <w:sz w:val="14"/>
        </w:rPr>
        <w:t> </w:t>
      </w:r>
      <w:r>
        <w:rPr>
          <w:rFonts w:ascii="Lucida Sans Unicode" w:hAnsi="Lucida Sans Unicode"/>
          <w:color w:val="6D6E71"/>
          <w:w w:val="105"/>
          <w:sz w:val="14"/>
        </w:rPr>
        <w:t>crEcimiEnto</w:t>
      </w:r>
      <w:r>
        <w:rPr>
          <w:rFonts w:ascii="Lucida Sans Unicode" w:hAnsi="Lucida Sans Unicode"/>
          <w:color w:val="6D6E71"/>
          <w:spacing w:val="-8"/>
          <w:w w:val="105"/>
          <w:sz w:val="14"/>
        </w:rPr>
        <w:t> </w:t>
      </w:r>
      <w:r>
        <w:rPr>
          <w:rFonts w:ascii="Lucida Sans Unicode" w:hAnsi="Lucida Sans Unicode"/>
          <w:color w:val="6D6E71"/>
          <w:w w:val="105"/>
          <w:sz w:val="14"/>
        </w:rPr>
        <w:t>Económico</w:t>
      </w:r>
      <w:r>
        <w:rPr>
          <w:rFonts w:ascii="Lucida Sans Unicode" w:hAnsi="Lucida Sans Unicode"/>
          <w:color w:val="6D6E71"/>
          <w:spacing w:val="-8"/>
          <w:w w:val="105"/>
          <w:sz w:val="14"/>
        </w:rPr>
        <w:t> </w:t>
      </w:r>
      <w:r>
        <w:rPr>
          <w:rFonts w:ascii="Lucida Sans Unicode" w:hAnsi="Lucida Sans Unicode"/>
          <w:color w:val="6D6E71"/>
          <w:w w:val="105"/>
          <w:sz w:val="14"/>
        </w:rPr>
        <w:t>rEgional</w:t>
      </w:r>
      <w:r>
        <w:rPr>
          <w:rFonts w:ascii="Lucida Sans Unicode" w:hAnsi="Lucida Sans Unicode"/>
          <w:color w:val="6D6E71"/>
          <w:spacing w:val="-8"/>
          <w:w w:val="105"/>
          <w:sz w:val="14"/>
        </w:rPr>
        <w:t> </w:t>
      </w:r>
      <w:r>
        <w:rPr>
          <w:rFonts w:ascii="Lucida Sans Unicode" w:hAnsi="Lucida Sans Unicode"/>
          <w:color w:val="6D6E71"/>
          <w:w w:val="105"/>
          <w:sz w:val="14"/>
        </w:rPr>
        <w:t>a</w:t>
      </w:r>
      <w:r>
        <w:rPr>
          <w:rFonts w:ascii="Lucida Sans Unicode" w:hAnsi="Lucida Sans Unicode"/>
          <w:color w:val="6D6E71"/>
          <w:spacing w:val="-8"/>
          <w:w w:val="105"/>
          <w:sz w:val="14"/>
        </w:rPr>
        <w:t> </w:t>
      </w:r>
      <w:r>
        <w:rPr>
          <w:rFonts w:ascii="Lucida Sans Unicode" w:hAnsi="Lucida Sans Unicode"/>
          <w:color w:val="6D6E71"/>
          <w:spacing w:val="-3"/>
          <w:w w:val="105"/>
          <w:sz w:val="14"/>
        </w:rPr>
        <w:t>través</w:t>
      </w:r>
      <w:r>
        <w:rPr>
          <w:rFonts w:ascii="Lucida Sans Unicode" w:hAnsi="Lucida Sans Unicode"/>
          <w:color w:val="6D6E71"/>
          <w:spacing w:val="-8"/>
          <w:w w:val="105"/>
          <w:sz w:val="14"/>
        </w:rPr>
        <w:t> </w:t>
      </w:r>
      <w:r>
        <w:rPr>
          <w:rFonts w:ascii="Lucida Sans Unicode" w:hAnsi="Lucida Sans Unicode"/>
          <w:color w:val="6D6E71"/>
          <w:w w:val="105"/>
          <w:sz w:val="14"/>
        </w:rPr>
        <w:t>dE</w:t>
      </w:r>
      <w:r>
        <w:rPr>
          <w:rFonts w:ascii="Lucida Sans Unicode" w:hAnsi="Lucida Sans Unicode"/>
          <w:color w:val="6D6E71"/>
          <w:spacing w:val="-8"/>
          <w:w w:val="105"/>
          <w:sz w:val="14"/>
        </w:rPr>
        <w:t> </w:t>
      </w:r>
      <w:r>
        <w:rPr>
          <w:rFonts w:ascii="Lucida Sans Unicode" w:hAnsi="Lucida Sans Unicode"/>
          <w:color w:val="6D6E71"/>
          <w:w w:val="105"/>
          <w:sz w:val="14"/>
        </w:rPr>
        <w:t>sus</w:t>
      </w:r>
      <w:r>
        <w:rPr>
          <w:rFonts w:ascii="Lucida Sans Unicode" w:hAnsi="Lucida Sans Unicode"/>
          <w:color w:val="6D6E71"/>
          <w:spacing w:val="-8"/>
          <w:w w:val="105"/>
          <w:sz w:val="14"/>
        </w:rPr>
        <w:t> </w:t>
      </w:r>
      <w:r>
        <w:rPr>
          <w:rFonts w:ascii="Lucida Sans Unicode" w:hAnsi="Lucida Sans Unicode"/>
          <w:color w:val="6D6E71"/>
          <w:w w:val="105"/>
          <w:sz w:val="14"/>
        </w:rPr>
        <w:t>EnfoquEs</w:t>
      </w:r>
      <w:r>
        <w:rPr>
          <w:color w:val="414042"/>
          <w:w w:val="105"/>
          <w:position w:val="-3"/>
          <w:sz w:val="20"/>
        </w:rPr>
        <w:tab/>
        <w:t>257</w:t>
      </w:r>
    </w:p>
    <w:p>
      <w:pPr>
        <w:pStyle w:val="BodyText"/>
        <w:rPr>
          <w:sz w:val="22"/>
        </w:rPr>
      </w:pPr>
    </w:p>
    <w:p>
      <w:pPr>
        <w:pStyle w:val="BodyText"/>
        <w:rPr>
          <w:sz w:val="22"/>
        </w:rPr>
      </w:pPr>
    </w:p>
    <w:p>
      <w:pPr>
        <w:pStyle w:val="Heading2"/>
        <w:spacing w:before="131"/>
        <w:ind w:right="114"/>
        <w:jc w:val="left"/>
      </w:pPr>
      <w:r>
        <w:rPr>
          <w:color w:val="231F20"/>
        </w:rPr>
        <w:t>Referencias</w:t>
      </w:r>
    </w:p>
    <w:p>
      <w:pPr>
        <w:pStyle w:val="BodyText"/>
        <w:rPr>
          <w:b/>
          <w:sz w:val="22"/>
        </w:rPr>
      </w:pPr>
    </w:p>
    <w:p>
      <w:pPr>
        <w:pStyle w:val="BodyText"/>
        <w:spacing w:before="160"/>
        <w:ind w:left="117" w:right="-12"/>
      </w:pPr>
      <w:r>
        <w:rPr>
          <w:color w:val="231F20"/>
          <w:w w:val="105"/>
        </w:rPr>
        <w:t>Arrow, K. (1962), “The Economic Implications of Learning by Doing”, en:</w:t>
      </w:r>
    </w:p>
    <w:p>
      <w:pPr>
        <w:spacing w:before="18"/>
        <w:ind w:left="704" w:right="692" w:firstLine="0"/>
        <w:jc w:val="center"/>
        <w:rPr>
          <w:sz w:val="21"/>
        </w:rPr>
      </w:pPr>
      <w:r>
        <w:rPr>
          <w:i/>
          <w:color w:val="231F20"/>
          <w:w w:val="105"/>
          <w:sz w:val="21"/>
        </w:rPr>
        <w:t>Review of Economic Studies, </w:t>
      </w:r>
      <w:r>
        <w:rPr>
          <w:color w:val="231F20"/>
          <w:w w:val="105"/>
          <w:sz w:val="21"/>
        </w:rPr>
        <w:t>vol. 29, núm. 3, pp. 155-173.</w:t>
      </w:r>
    </w:p>
    <w:p>
      <w:pPr>
        <w:spacing w:line="259" w:lineRule="auto" w:before="18"/>
        <w:ind w:left="854" w:right="121" w:hanging="738"/>
        <w:jc w:val="both"/>
        <w:rPr>
          <w:sz w:val="21"/>
        </w:rPr>
      </w:pPr>
      <w:r>
        <w:rPr>
          <w:color w:val="231F20"/>
          <w:w w:val="105"/>
          <w:sz w:val="21"/>
        </w:rPr>
        <w:t>Asuad</w:t>
      </w:r>
      <w:r>
        <w:rPr>
          <w:color w:val="231F20"/>
          <w:spacing w:val="-29"/>
          <w:w w:val="105"/>
          <w:sz w:val="21"/>
        </w:rPr>
        <w:t> </w:t>
      </w:r>
      <w:r>
        <w:rPr>
          <w:color w:val="231F20"/>
          <w:w w:val="105"/>
          <w:sz w:val="21"/>
        </w:rPr>
        <w:t>Sanén,</w:t>
      </w:r>
      <w:r>
        <w:rPr>
          <w:color w:val="231F20"/>
          <w:spacing w:val="-33"/>
          <w:w w:val="105"/>
          <w:sz w:val="21"/>
        </w:rPr>
        <w:t> </w:t>
      </w:r>
      <w:r>
        <w:rPr>
          <w:color w:val="231F20"/>
          <w:w w:val="105"/>
          <w:sz w:val="21"/>
        </w:rPr>
        <w:t>N.</w:t>
      </w:r>
      <w:r>
        <w:rPr>
          <w:color w:val="231F20"/>
          <w:spacing w:val="-33"/>
          <w:w w:val="105"/>
          <w:sz w:val="21"/>
        </w:rPr>
        <w:t> </w:t>
      </w:r>
      <w:r>
        <w:rPr>
          <w:color w:val="231F20"/>
          <w:w w:val="105"/>
          <w:sz w:val="21"/>
        </w:rPr>
        <w:t>(2001),</w:t>
      </w:r>
      <w:r>
        <w:rPr>
          <w:color w:val="231F20"/>
          <w:spacing w:val="-33"/>
          <w:w w:val="105"/>
          <w:sz w:val="21"/>
        </w:rPr>
        <w:t> </w:t>
      </w:r>
      <w:r>
        <w:rPr>
          <w:i/>
          <w:color w:val="231F20"/>
          <w:w w:val="105"/>
          <w:sz w:val="21"/>
        </w:rPr>
        <w:t>Economía</w:t>
      </w:r>
      <w:r>
        <w:rPr>
          <w:i/>
          <w:color w:val="231F20"/>
          <w:spacing w:val="-29"/>
          <w:w w:val="105"/>
          <w:sz w:val="21"/>
        </w:rPr>
        <w:t> </w:t>
      </w:r>
      <w:r>
        <w:rPr>
          <w:i/>
          <w:color w:val="231F20"/>
          <w:w w:val="105"/>
          <w:sz w:val="21"/>
        </w:rPr>
        <w:t>Regional</w:t>
      </w:r>
      <w:r>
        <w:rPr>
          <w:i/>
          <w:color w:val="231F20"/>
          <w:spacing w:val="-29"/>
          <w:w w:val="105"/>
          <w:sz w:val="21"/>
        </w:rPr>
        <w:t> </w:t>
      </w:r>
      <w:r>
        <w:rPr>
          <w:i/>
          <w:color w:val="231F20"/>
          <w:w w:val="105"/>
          <w:sz w:val="21"/>
        </w:rPr>
        <w:t>y</w:t>
      </w:r>
      <w:r>
        <w:rPr>
          <w:i/>
          <w:color w:val="231F20"/>
          <w:spacing w:val="-29"/>
          <w:w w:val="105"/>
          <w:sz w:val="21"/>
        </w:rPr>
        <w:t> </w:t>
      </w:r>
      <w:r>
        <w:rPr>
          <w:i/>
          <w:color w:val="231F20"/>
          <w:w w:val="105"/>
          <w:sz w:val="21"/>
        </w:rPr>
        <w:t>Urbana,</w:t>
      </w:r>
      <w:r>
        <w:rPr>
          <w:i/>
          <w:color w:val="231F20"/>
          <w:spacing w:val="-33"/>
          <w:w w:val="105"/>
          <w:sz w:val="21"/>
        </w:rPr>
        <w:t> </w:t>
      </w:r>
      <w:r>
        <w:rPr>
          <w:i/>
          <w:color w:val="231F20"/>
          <w:w w:val="105"/>
          <w:sz w:val="21"/>
        </w:rPr>
        <w:t>Introducción</w:t>
      </w:r>
      <w:r>
        <w:rPr>
          <w:i/>
          <w:color w:val="231F20"/>
          <w:spacing w:val="-29"/>
          <w:w w:val="105"/>
          <w:sz w:val="21"/>
        </w:rPr>
        <w:t> </w:t>
      </w:r>
      <w:r>
        <w:rPr>
          <w:i/>
          <w:color w:val="231F20"/>
          <w:w w:val="105"/>
          <w:sz w:val="21"/>
        </w:rPr>
        <w:t>a</w:t>
      </w:r>
      <w:r>
        <w:rPr>
          <w:i/>
          <w:color w:val="231F20"/>
          <w:spacing w:val="-29"/>
          <w:w w:val="105"/>
          <w:sz w:val="21"/>
        </w:rPr>
        <w:t> </w:t>
      </w:r>
      <w:r>
        <w:rPr>
          <w:i/>
          <w:color w:val="231F20"/>
          <w:w w:val="105"/>
          <w:sz w:val="21"/>
        </w:rPr>
        <w:t>las </w:t>
      </w:r>
      <w:r>
        <w:rPr>
          <w:i/>
          <w:color w:val="231F20"/>
          <w:w w:val="105"/>
          <w:sz w:val="21"/>
        </w:rPr>
        <w:t>teorías, técnicas y metodologías básicas</w:t>
      </w:r>
      <w:r>
        <w:rPr>
          <w:color w:val="231F20"/>
          <w:w w:val="105"/>
          <w:sz w:val="21"/>
        </w:rPr>
        <w:t>, Dirección General de Fomento</w:t>
      </w:r>
      <w:r>
        <w:rPr>
          <w:color w:val="231F20"/>
          <w:spacing w:val="-26"/>
          <w:w w:val="105"/>
          <w:sz w:val="21"/>
        </w:rPr>
        <w:t> </w:t>
      </w:r>
      <w:r>
        <w:rPr>
          <w:color w:val="231F20"/>
          <w:w w:val="105"/>
          <w:sz w:val="21"/>
        </w:rPr>
        <w:t>Editorial,</w:t>
      </w:r>
    </w:p>
    <w:p>
      <w:pPr>
        <w:pStyle w:val="BodyText"/>
        <w:spacing w:line="259" w:lineRule="auto"/>
        <w:ind w:left="854" w:right="121" w:hanging="738"/>
        <w:jc w:val="both"/>
      </w:pPr>
      <w:r>
        <w:rPr>
          <w:color w:val="231F20"/>
          <w:w w:val="105"/>
        </w:rPr>
        <w:t>Barro,</w:t>
      </w:r>
      <w:r>
        <w:rPr>
          <w:color w:val="231F20"/>
          <w:spacing w:val="-34"/>
          <w:w w:val="105"/>
        </w:rPr>
        <w:t> </w:t>
      </w:r>
      <w:r>
        <w:rPr>
          <w:color w:val="231F20"/>
          <w:w w:val="105"/>
        </w:rPr>
        <w:t>R.</w:t>
      </w:r>
      <w:r>
        <w:rPr>
          <w:color w:val="231F20"/>
          <w:spacing w:val="-34"/>
          <w:w w:val="105"/>
        </w:rPr>
        <w:t> </w:t>
      </w:r>
      <w:r>
        <w:rPr>
          <w:color w:val="231F20"/>
          <w:w w:val="105"/>
        </w:rPr>
        <w:t>(2002),</w:t>
      </w:r>
      <w:r>
        <w:rPr>
          <w:color w:val="231F20"/>
          <w:spacing w:val="-34"/>
          <w:w w:val="105"/>
        </w:rPr>
        <w:t> </w:t>
      </w:r>
      <w:r>
        <w:rPr>
          <w:color w:val="231F20"/>
          <w:w w:val="105"/>
        </w:rPr>
        <w:t>“Cantidad</w:t>
      </w:r>
      <w:r>
        <w:rPr>
          <w:color w:val="231F20"/>
          <w:spacing w:val="-30"/>
          <w:w w:val="105"/>
        </w:rPr>
        <w:t> </w:t>
      </w:r>
      <w:r>
        <w:rPr>
          <w:color w:val="231F20"/>
          <w:w w:val="105"/>
        </w:rPr>
        <w:t>y</w:t>
      </w:r>
      <w:r>
        <w:rPr>
          <w:color w:val="231F20"/>
          <w:spacing w:val="-30"/>
          <w:w w:val="105"/>
        </w:rPr>
        <w:t> </w:t>
      </w:r>
      <w:r>
        <w:rPr>
          <w:color w:val="231F20"/>
          <w:w w:val="105"/>
        </w:rPr>
        <w:t>calidad</w:t>
      </w:r>
      <w:r>
        <w:rPr>
          <w:color w:val="231F20"/>
          <w:spacing w:val="-30"/>
          <w:w w:val="105"/>
        </w:rPr>
        <w:t> </w:t>
      </w:r>
      <w:r>
        <w:rPr>
          <w:color w:val="231F20"/>
          <w:w w:val="105"/>
        </w:rPr>
        <w:t>del</w:t>
      </w:r>
      <w:r>
        <w:rPr>
          <w:color w:val="231F20"/>
          <w:spacing w:val="-30"/>
          <w:w w:val="105"/>
        </w:rPr>
        <w:t> </w:t>
      </w:r>
      <w:r>
        <w:rPr>
          <w:color w:val="231F20"/>
          <w:w w:val="105"/>
        </w:rPr>
        <w:t>crecimiento</w:t>
      </w:r>
      <w:r>
        <w:rPr>
          <w:color w:val="231F20"/>
          <w:spacing w:val="-30"/>
          <w:w w:val="105"/>
        </w:rPr>
        <w:t> </w:t>
      </w:r>
      <w:r>
        <w:rPr>
          <w:color w:val="231F20"/>
          <w:w w:val="105"/>
        </w:rPr>
        <w:t>económico”</w:t>
      </w:r>
      <w:r>
        <w:rPr>
          <w:color w:val="231F20"/>
          <w:spacing w:val="-30"/>
          <w:w w:val="105"/>
        </w:rPr>
        <w:t> </w:t>
      </w:r>
      <w:r>
        <w:rPr>
          <w:color w:val="231F20"/>
          <w:w w:val="105"/>
        </w:rPr>
        <w:t>en:</w:t>
      </w:r>
      <w:r>
        <w:rPr>
          <w:color w:val="231F20"/>
          <w:spacing w:val="-30"/>
          <w:w w:val="105"/>
        </w:rPr>
        <w:t> </w:t>
      </w:r>
      <w:r>
        <w:rPr>
          <w:i/>
          <w:color w:val="231F20"/>
          <w:w w:val="105"/>
        </w:rPr>
        <w:t>Eco- </w:t>
      </w:r>
      <w:r>
        <w:rPr>
          <w:i/>
          <w:color w:val="231F20"/>
          <w:w w:val="105"/>
        </w:rPr>
        <w:t>nomía</w:t>
      </w:r>
      <w:r>
        <w:rPr>
          <w:i/>
          <w:color w:val="231F20"/>
          <w:spacing w:val="-23"/>
          <w:w w:val="105"/>
        </w:rPr>
        <w:t> </w:t>
      </w:r>
      <w:r>
        <w:rPr>
          <w:i/>
          <w:color w:val="231F20"/>
          <w:w w:val="105"/>
        </w:rPr>
        <w:t>Chilena</w:t>
      </w:r>
      <w:r>
        <w:rPr>
          <w:color w:val="231F20"/>
          <w:w w:val="105"/>
        </w:rPr>
        <w:t>,</w:t>
      </w:r>
      <w:r>
        <w:rPr>
          <w:color w:val="231F20"/>
          <w:spacing w:val="-28"/>
          <w:w w:val="105"/>
        </w:rPr>
        <w:t> </w:t>
      </w:r>
      <w:r>
        <w:rPr>
          <w:color w:val="231F20"/>
          <w:w w:val="105"/>
        </w:rPr>
        <w:t>vol.</w:t>
      </w:r>
      <w:r>
        <w:rPr>
          <w:color w:val="231F20"/>
          <w:spacing w:val="-28"/>
          <w:w w:val="105"/>
        </w:rPr>
        <w:t> </w:t>
      </w:r>
      <w:r>
        <w:rPr>
          <w:color w:val="231F20"/>
          <w:w w:val="105"/>
        </w:rPr>
        <w:t>5,</w:t>
      </w:r>
      <w:r>
        <w:rPr>
          <w:color w:val="231F20"/>
          <w:spacing w:val="-28"/>
          <w:w w:val="105"/>
        </w:rPr>
        <w:t> </w:t>
      </w:r>
      <w:r>
        <w:rPr>
          <w:color w:val="231F20"/>
          <w:w w:val="105"/>
        </w:rPr>
        <w:t>núm.2,</w:t>
      </w:r>
      <w:r>
        <w:rPr>
          <w:color w:val="231F20"/>
          <w:spacing w:val="-28"/>
          <w:w w:val="105"/>
        </w:rPr>
        <w:t> </w:t>
      </w:r>
      <w:r>
        <w:rPr>
          <w:color w:val="231F20"/>
          <w:w w:val="105"/>
        </w:rPr>
        <w:t>pp.</w:t>
      </w:r>
      <w:r>
        <w:rPr>
          <w:color w:val="231F20"/>
          <w:spacing w:val="-28"/>
          <w:w w:val="105"/>
        </w:rPr>
        <w:t> </w:t>
      </w:r>
      <w:r>
        <w:rPr>
          <w:color w:val="231F20"/>
          <w:w w:val="105"/>
        </w:rPr>
        <w:t>17-36.</w:t>
      </w:r>
    </w:p>
    <w:p>
      <w:pPr>
        <w:pStyle w:val="BodyText"/>
        <w:spacing w:line="259" w:lineRule="auto"/>
        <w:ind w:left="854" w:right="116" w:hanging="737"/>
        <w:jc w:val="both"/>
      </w:pPr>
      <w:r>
        <w:rPr>
          <w:color w:val="231F20"/>
        </w:rPr>
        <w:t>––––––– y Xavier Sala-i-Martin (2004), </w:t>
      </w:r>
      <w:r>
        <w:rPr>
          <w:i/>
          <w:color w:val="231F20"/>
        </w:rPr>
        <w:t>Economic Growth</w:t>
      </w:r>
      <w:r>
        <w:rPr>
          <w:color w:val="231F20"/>
        </w:rPr>
        <w:t>, 2a edición, MIT Press, Cambridge.</w:t>
      </w:r>
    </w:p>
    <w:p>
      <w:pPr>
        <w:pStyle w:val="BodyText"/>
        <w:spacing w:line="259" w:lineRule="auto"/>
        <w:ind w:left="854" w:right="115" w:hanging="737"/>
        <w:jc w:val="both"/>
      </w:pPr>
      <w:r>
        <w:rPr>
          <w:color w:val="231F20"/>
        </w:rPr>
        <w:t>–––––––</w:t>
      </w:r>
      <w:r>
        <w:rPr>
          <w:color w:val="231F20"/>
          <w:spacing w:val="-26"/>
        </w:rPr>
        <w:t> </w:t>
      </w:r>
      <w:r>
        <w:rPr>
          <w:color w:val="231F20"/>
        </w:rPr>
        <w:t>y</w:t>
      </w:r>
      <w:r>
        <w:rPr>
          <w:color w:val="231F20"/>
          <w:spacing w:val="-28"/>
        </w:rPr>
        <w:t> </w:t>
      </w:r>
      <w:r>
        <w:rPr>
          <w:color w:val="231F20"/>
        </w:rPr>
        <w:t>J.</w:t>
      </w:r>
      <w:r>
        <w:rPr>
          <w:color w:val="231F20"/>
          <w:spacing w:val="-33"/>
        </w:rPr>
        <w:t> </w:t>
      </w:r>
      <w:r>
        <w:rPr>
          <w:color w:val="231F20"/>
          <w:spacing w:val="-7"/>
        </w:rPr>
        <w:t>W.</w:t>
      </w:r>
      <w:r>
        <w:rPr>
          <w:color w:val="231F20"/>
          <w:spacing w:val="-31"/>
        </w:rPr>
        <w:t> </w:t>
      </w:r>
      <w:r>
        <w:rPr>
          <w:color w:val="231F20"/>
        </w:rPr>
        <w:t>Lee,</w:t>
      </w:r>
      <w:r>
        <w:rPr>
          <w:color w:val="231F20"/>
          <w:spacing w:val="-31"/>
        </w:rPr>
        <w:t> </w:t>
      </w:r>
      <w:r>
        <w:rPr>
          <w:color w:val="231F20"/>
        </w:rPr>
        <w:t>(1994),</w:t>
      </w:r>
      <w:r>
        <w:rPr>
          <w:color w:val="231F20"/>
          <w:spacing w:val="-31"/>
        </w:rPr>
        <w:t> </w:t>
      </w:r>
      <w:r>
        <w:rPr>
          <w:color w:val="231F20"/>
        </w:rPr>
        <w:t>“Sources</w:t>
      </w:r>
      <w:r>
        <w:rPr>
          <w:color w:val="231F20"/>
          <w:spacing w:val="-26"/>
        </w:rPr>
        <w:t> </w:t>
      </w:r>
      <w:r>
        <w:rPr>
          <w:color w:val="231F20"/>
        </w:rPr>
        <w:t>of</w:t>
      </w:r>
      <w:r>
        <w:rPr>
          <w:color w:val="231F20"/>
          <w:spacing w:val="-23"/>
        </w:rPr>
        <w:t> </w:t>
      </w:r>
      <w:r>
        <w:rPr>
          <w:color w:val="231F20"/>
        </w:rPr>
        <w:t>Economic</w:t>
      </w:r>
      <w:r>
        <w:rPr>
          <w:color w:val="231F20"/>
          <w:spacing w:val="-26"/>
        </w:rPr>
        <w:t> </w:t>
      </w:r>
      <w:r>
        <w:rPr>
          <w:color w:val="231F20"/>
        </w:rPr>
        <w:t>Growth”</w:t>
      </w:r>
      <w:r>
        <w:rPr>
          <w:color w:val="231F20"/>
          <w:spacing w:val="-26"/>
        </w:rPr>
        <w:t> </w:t>
      </w:r>
      <w:r>
        <w:rPr>
          <w:color w:val="231F20"/>
        </w:rPr>
        <w:t>en:</w:t>
      </w:r>
      <w:r>
        <w:rPr>
          <w:color w:val="231F20"/>
          <w:spacing w:val="-26"/>
        </w:rPr>
        <w:t> </w:t>
      </w:r>
      <w:r>
        <w:rPr>
          <w:i/>
          <w:color w:val="231F20"/>
        </w:rPr>
        <w:t>Public</w:t>
      </w:r>
      <w:r>
        <w:rPr>
          <w:i/>
          <w:color w:val="231F20"/>
          <w:spacing w:val="-26"/>
        </w:rPr>
        <w:t> </w:t>
      </w:r>
      <w:r>
        <w:rPr>
          <w:i/>
          <w:color w:val="231F20"/>
          <w:spacing w:val="-3"/>
        </w:rPr>
        <w:t>Policy</w:t>
      </w:r>
      <w:r>
        <w:rPr>
          <w:color w:val="231F20"/>
          <w:spacing w:val="-3"/>
        </w:rPr>
        <w:t>, </w:t>
      </w:r>
      <w:r>
        <w:rPr>
          <w:color w:val="231F20"/>
        </w:rPr>
        <w:t>vol.40,</w:t>
      </w:r>
      <w:r>
        <w:rPr>
          <w:color w:val="231F20"/>
          <w:spacing w:val="39"/>
        </w:rPr>
        <w:t> </w:t>
      </w:r>
      <w:r>
        <w:rPr>
          <w:color w:val="231F20"/>
        </w:rPr>
        <w:t>pp.1-46.</w:t>
      </w:r>
    </w:p>
    <w:p>
      <w:pPr>
        <w:pStyle w:val="BodyText"/>
        <w:spacing w:line="259" w:lineRule="auto"/>
        <w:ind w:left="854" w:right="122" w:hanging="738"/>
        <w:jc w:val="both"/>
      </w:pPr>
      <w:r>
        <w:rPr>
          <w:color w:val="231F20"/>
          <w:w w:val="105"/>
        </w:rPr>
        <w:t>Calderón,</w:t>
      </w:r>
      <w:r>
        <w:rPr>
          <w:color w:val="231F20"/>
          <w:spacing w:val="-19"/>
          <w:w w:val="105"/>
        </w:rPr>
        <w:t> </w:t>
      </w:r>
      <w:r>
        <w:rPr>
          <w:color w:val="231F20"/>
          <w:w w:val="105"/>
        </w:rPr>
        <w:t>C.</w:t>
      </w:r>
      <w:r>
        <w:rPr>
          <w:color w:val="231F20"/>
          <w:spacing w:val="-19"/>
          <w:w w:val="105"/>
        </w:rPr>
        <w:t> </w:t>
      </w:r>
      <w:r>
        <w:rPr>
          <w:color w:val="231F20"/>
          <w:w w:val="105"/>
        </w:rPr>
        <w:t>y</w:t>
      </w:r>
      <w:r>
        <w:rPr>
          <w:color w:val="231F20"/>
          <w:spacing w:val="-15"/>
          <w:w w:val="105"/>
        </w:rPr>
        <w:t> </w:t>
      </w:r>
      <w:r>
        <w:rPr>
          <w:color w:val="231F20"/>
          <w:w w:val="105"/>
        </w:rPr>
        <w:t>Martínez</w:t>
      </w:r>
      <w:r>
        <w:rPr>
          <w:color w:val="231F20"/>
          <w:spacing w:val="-15"/>
          <w:w w:val="105"/>
        </w:rPr>
        <w:t> </w:t>
      </w:r>
      <w:r>
        <w:rPr>
          <w:color w:val="231F20"/>
          <w:w w:val="105"/>
        </w:rPr>
        <w:t>G.</w:t>
      </w:r>
      <w:r>
        <w:rPr>
          <w:color w:val="231F20"/>
          <w:spacing w:val="-19"/>
          <w:w w:val="105"/>
        </w:rPr>
        <w:t> </w:t>
      </w:r>
      <w:r>
        <w:rPr>
          <w:color w:val="231F20"/>
          <w:w w:val="105"/>
        </w:rPr>
        <w:t>(2005).</w:t>
      </w:r>
      <w:r>
        <w:rPr>
          <w:color w:val="231F20"/>
          <w:spacing w:val="-19"/>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de</w:t>
      </w:r>
      <w:r>
        <w:rPr>
          <w:color w:val="231F20"/>
          <w:spacing w:val="-18"/>
          <w:w w:val="105"/>
        </w:rPr>
        <w:t> </w:t>
      </w:r>
      <w:r>
        <w:rPr>
          <w:color w:val="231F20"/>
          <w:w w:val="105"/>
        </w:rPr>
        <w:t>Verdoorn</w:t>
      </w:r>
      <w:r>
        <w:rPr>
          <w:color w:val="231F20"/>
          <w:spacing w:val="-15"/>
          <w:w w:val="105"/>
        </w:rPr>
        <w:t> </w:t>
      </w:r>
      <w:r>
        <w:rPr>
          <w:color w:val="231F20"/>
          <w:w w:val="105"/>
        </w:rPr>
        <w:t>y</w:t>
      </w:r>
      <w:r>
        <w:rPr>
          <w:color w:val="231F20"/>
          <w:spacing w:val="-15"/>
          <w:w w:val="105"/>
        </w:rPr>
        <w:t> </w:t>
      </w:r>
      <w:r>
        <w:rPr>
          <w:color w:val="231F20"/>
          <w:w w:val="105"/>
        </w:rPr>
        <w:t>la</w:t>
      </w:r>
      <w:r>
        <w:rPr>
          <w:color w:val="231F20"/>
          <w:spacing w:val="-15"/>
          <w:w w:val="105"/>
        </w:rPr>
        <w:t> </w:t>
      </w:r>
      <w:r>
        <w:rPr>
          <w:color w:val="231F20"/>
          <w:w w:val="105"/>
        </w:rPr>
        <w:t>industria</w:t>
      </w:r>
      <w:r>
        <w:rPr>
          <w:color w:val="231F20"/>
          <w:spacing w:val="-15"/>
          <w:w w:val="105"/>
        </w:rPr>
        <w:t> </w:t>
      </w:r>
      <w:r>
        <w:rPr>
          <w:color w:val="231F20"/>
          <w:w w:val="105"/>
        </w:rPr>
        <w:t>ma- nufacturera</w:t>
      </w:r>
      <w:r>
        <w:rPr>
          <w:color w:val="231F20"/>
          <w:spacing w:val="-25"/>
          <w:w w:val="105"/>
        </w:rPr>
        <w:t> </w:t>
      </w:r>
      <w:r>
        <w:rPr>
          <w:color w:val="231F20"/>
          <w:w w:val="105"/>
        </w:rPr>
        <w:t>regional</w:t>
      </w:r>
      <w:r>
        <w:rPr>
          <w:color w:val="231F20"/>
          <w:spacing w:val="-25"/>
          <w:w w:val="105"/>
        </w:rPr>
        <w:t> </w:t>
      </w:r>
      <w:r>
        <w:rPr>
          <w:color w:val="231F20"/>
          <w:w w:val="105"/>
        </w:rPr>
        <w:t>en</w:t>
      </w:r>
      <w:r>
        <w:rPr>
          <w:color w:val="231F20"/>
          <w:spacing w:val="-25"/>
          <w:w w:val="105"/>
        </w:rPr>
        <w:t> </w:t>
      </w:r>
      <w:r>
        <w:rPr>
          <w:color w:val="231F20"/>
          <w:w w:val="105"/>
        </w:rPr>
        <w:t>México</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era</w:t>
      </w:r>
      <w:r>
        <w:rPr>
          <w:color w:val="231F20"/>
          <w:spacing w:val="-25"/>
          <w:w w:val="105"/>
        </w:rPr>
        <w:t> </w:t>
      </w:r>
      <w:r>
        <w:rPr>
          <w:color w:val="231F20"/>
          <w:w w:val="105"/>
        </w:rPr>
        <w:t>del</w:t>
      </w:r>
      <w:r>
        <w:rPr>
          <w:color w:val="231F20"/>
          <w:spacing w:val="-29"/>
          <w:w w:val="105"/>
        </w:rPr>
        <w:t> </w:t>
      </w:r>
      <w:r>
        <w:rPr>
          <w:color w:val="231F20"/>
          <w:w w:val="105"/>
        </w:rPr>
        <w:t>TLCAN”</w:t>
      </w:r>
      <w:r>
        <w:rPr>
          <w:color w:val="231F20"/>
          <w:spacing w:val="-25"/>
          <w:w w:val="105"/>
        </w:rPr>
        <w:t> </w:t>
      </w:r>
      <w:r>
        <w:rPr>
          <w:color w:val="231F20"/>
          <w:w w:val="105"/>
        </w:rPr>
        <w:t>en:</w:t>
      </w:r>
      <w:r>
        <w:rPr>
          <w:color w:val="231F20"/>
          <w:spacing w:val="-25"/>
          <w:w w:val="105"/>
        </w:rPr>
        <w:t> </w:t>
      </w:r>
      <w:r>
        <w:rPr>
          <w:i/>
          <w:color w:val="231F20"/>
          <w:w w:val="105"/>
        </w:rPr>
        <w:t>Frontera </w:t>
      </w:r>
      <w:r>
        <w:rPr>
          <w:i/>
          <w:color w:val="231F20"/>
          <w:w w:val="105"/>
        </w:rPr>
        <w:t>Norte</w:t>
      </w:r>
      <w:r>
        <w:rPr>
          <w:color w:val="231F20"/>
          <w:w w:val="105"/>
        </w:rPr>
        <w:t>,</w:t>
      </w:r>
      <w:r>
        <w:rPr>
          <w:color w:val="231F20"/>
          <w:spacing w:val="-25"/>
          <w:w w:val="105"/>
        </w:rPr>
        <w:t> </w:t>
      </w:r>
      <w:r>
        <w:rPr>
          <w:color w:val="231F20"/>
          <w:w w:val="105"/>
        </w:rPr>
        <w:t>vol.</w:t>
      </w:r>
      <w:r>
        <w:rPr>
          <w:color w:val="231F20"/>
          <w:spacing w:val="-25"/>
          <w:w w:val="105"/>
        </w:rPr>
        <w:t> </w:t>
      </w:r>
      <w:r>
        <w:rPr>
          <w:color w:val="231F20"/>
          <w:w w:val="105"/>
        </w:rPr>
        <w:t>17,</w:t>
      </w:r>
      <w:r>
        <w:rPr>
          <w:color w:val="231F20"/>
          <w:spacing w:val="-25"/>
          <w:w w:val="105"/>
        </w:rPr>
        <w:t> </w:t>
      </w:r>
      <w:r>
        <w:rPr>
          <w:color w:val="231F20"/>
          <w:w w:val="105"/>
        </w:rPr>
        <w:t>núm.34,</w:t>
      </w:r>
      <w:r>
        <w:rPr>
          <w:color w:val="231F20"/>
          <w:spacing w:val="-25"/>
          <w:w w:val="105"/>
        </w:rPr>
        <w:t> </w:t>
      </w:r>
      <w:r>
        <w:rPr>
          <w:color w:val="231F20"/>
          <w:w w:val="105"/>
        </w:rPr>
        <w:t>pp.</w:t>
      </w:r>
      <w:r>
        <w:rPr>
          <w:color w:val="231F20"/>
          <w:spacing w:val="-25"/>
          <w:w w:val="105"/>
        </w:rPr>
        <w:t> </w:t>
      </w:r>
      <w:r>
        <w:rPr>
          <w:color w:val="231F20"/>
          <w:w w:val="105"/>
        </w:rPr>
        <w:t>103-137.</w:t>
      </w:r>
    </w:p>
    <w:p>
      <w:pPr>
        <w:pStyle w:val="BodyText"/>
        <w:spacing w:line="259" w:lineRule="auto"/>
        <w:ind w:left="854" w:right="116" w:hanging="738"/>
        <w:jc w:val="both"/>
      </w:pPr>
      <w:r>
        <w:rPr>
          <w:color w:val="231F20"/>
        </w:rPr>
        <w:t>Calderón, J. M., Gómez N., López, L.A. y </w:t>
      </w:r>
      <w:r>
        <w:rPr>
          <w:color w:val="231F20"/>
          <w:spacing w:val="-3"/>
        </w:rPr>
        <w:t>Tobarra, </w:t>
      </w:r>
      <w:r>
        <w:rPr>
          <w:color w:val="231F20"/>
        </w:rPr>
        <w:t>M.A. (2009), </w:t>
      </w:r>
      <w:r>
        <w:rPr>
          <w:color w:val="231F20"/>
          <w:spacing w:val="-3"/>
        </w:rPr>
        <w:t>“Paten- </w:t>
      </w:r>
      <w:r>
        <w:rPr>
          <w:color w:val="231F20"/>
        </w:rPr>
        <w:t>tes, proximidad, proximidad tecnológica y empleo industrial en Castilla-La </w:t>
      </w:r>
      <w:r>
        <w:rPr>
          <w:color w:val="231F20"/>
          <w:spacing w:val="-4"/>
        </w:rPr>
        <w:t>Mancha”, </w:t>
      </w:r>
      <w:r>
        <w:rPr>
          <w:i/>
          <w:color w:val="231F20"/>
        </w:rPr>
        <w:t>Revista de Estudios Regionales</w:t>
      </w:r>
      <w:r>
        <w:rPr>
          <w:color w:val="231F20"/>
        </w:rPr>
        <w:t>, núm. 85,</w:t>
      </w:r>
      <w:r>
        <w:rPr>
          <w:color w:val="231F20"/>
          <w:spacing w:val="-19"/>
        </w:rPr>
        <w:t> </w:t>
      </w:r>
      <w:r>
        <w:rPr>
          <w:color w:val="231F20"/>
        </w:rPr>
        <w:t>pp. 197-219.</w:t>
      </w:r>
    </w:p>
    <w:p>
      <w:pPr>
        <w:spacing w:line="241" w:lineRule="exact" w:before="0"/>
        <w:ind w:left="116" w:right="114" w:firstLine="0"/>
        <w:jc w:val="left"/>
        <w:rPr>
          <w:sz w:val="21"/>
        </w:rPr>
      </w:pPr>
      <w:r>
        <w:rPr>
          <w:color w:val="231F20"/>
          <w:sz w:val="21"/>
        </w:rPr>
        <w:t>Capello, R. (2007), </w:t>
      </w:r>
      <w:r>
        <w:rPr>
          <w:i/>
          <w:color w:val="231F20"/>
          <w:sz w:val="21"/>
        </w:rPr>
        <w:t>Regional Economics, </w:t>
      </w:r>
      <w:r>
        <w:rPr>
          <w:color w:val="231F20"/>
          <w:sz w:val="21"/>
        </w:rPr>
        <w:t>Routledge, London.</w:t>
      </w:r>
    </w:p>
    <w:p>
      <w:pPr>
        <w:spacing w:line="259" w:lineRule="auto" w:before="18"/>
        <w:ind w:left="854" w:right="122" w:hanging="738"/>
        <w:jc w:val="both"/>
        <w:rPr>
          <w:i/>
          <w:sz w:val="21"/>
        </w:rPr>
      </w:pPr>
      <w:r>
        <w:rPr>
          <w:color w:val="231F20"/>
          <w:sz w:val="21"/>
        </w:rPr>
        <w:t>––––––– (2006), “La Economía Regional tras cincuenta años: Desarrollos teóricos recientes y desafíos futuros”en: </w:t>
      </w:r>
      <w:r>
        <w:rPr>
          <w:i/>
          <w:color w:val="231F20"/>
          <w:sz w:val="21"/>
        </w:rPr>
        <w:t>Investigaciones Regiona- </w:t>
      </w:r>
      <w:r>
        <w:rPr>
          <w:i/>
          <w:color w:val="231F20"/>
          <w:sz w:val="21"/>
        </w:rPr>
        <w:t>les, </w:t>
      </w:r>
      <w:r>
        <w:rPr>
          <w:color w:val="231F20"/>
          <w:sz w:val="21"/>
        </w:rPr>
        <w:t>núm</w:t>
      </w:r>
      <w:r>
        <w:rPr>
          <w:i/>
          <w:color w:val="231F20"/>
          <w:sz w:val="21"/>
        </w:rPr>
        <w:t>. 9, pp. 169-192.</w:t>
      </w:r>
    </w:p>
    <w:p>
      <w:pPr>
        <w:spacing w:line="259" w:lineRule="auto" w:before="0"/>
        <w:ind w:left="854" w:right="117" w:hanging="738"/>
        <w:jc w:val="both"/>
        <w:rPr>
          <w:sz w:val="21"/>
        </w:rPr>
      </w:pPr>
      <w:r>
        <w:rPr>
          <w:color w:val="231F20"/>
          <w:sz w:val="21"/>
        </w:rPr>
        <w:t>Dalum,</w:t>
      </w:r>
      <w:r>
        <w:rPr>
          <w:color w:val="231F20"/>
          <w:spacing w:val="-13"/>
          <w:sz w:val="21"/>
        </w:rPr>
        <w:t> </w:t>
      </w:r>
      <w:r>
        <w:rPr>
          <w:color w:val="231F20"/>
          <w:sz w:val="21"/>
        </w:rPr>
        <w:t>B.,</w:t>
      </w:r>
      <w:r>
        <w:rPr>
          <w:color w:val="231F20"/>
          <w:spacing w:val="-13"/>
          <w:sz w:val="21"/>
        </w:rPr>
        <w:t> </w:t>
      </w:r>
      <w:r>
        <w:rPr>
          <w:color w:val="231F20"/>
          <w:sz w:val="21"/>
        </w:rPr>
        <w:t>Laursen,</w:t>
      </w:r>
      <w:r>
        <w:rPr>
          <w:color w:val="231F20"/>
          <w:spacing w:val="-13"/>
          <w:sz w:val="21"/>
        </w:rPr>
        <w:t> </w:t>
      </w:r>
      <w:r>
        <w:rPr>
          <w:color w:val="231F20"/>
          <w:sz w:val="21"/>
        </w:rPr>
        <w:t>K.</w:t>
      </w:r>
      <w:r>
        <w:rPr>
          <w:color w:val="231F20"/>
          <w:spacing w:val="-13"/>
          <w:sz w:val="21"/>
        </w:rPr>
        <w:t> </w:t>
      </w:r>
      <w:r>
        <w:rPr>
          <w:color w:val="231F20"/>
          <w:sz w:val="21"/>
        </w:rPr>
        <w:t>y</w:t>
      </w:r>
      <w:r>
        <w:rPr>
          <w:color w:val="231F20"/>
          <w:spacing w:val="-10"/>
          <w:sz w:val="21"/>
        </w:rPr>
        <w:t> </w:t>
      </w:r>
      <w:r>
        <w:rPr>
          <w:color w:val="231F20"/>
          <w:sz w:val="21"/>
        </w:rPr>
        <w:t>Verspagen,</w:t>
      </w:r>
      <w:r>
        <w:rPr>
          <w:color w:val="231F20"/>
          <w:spacing w:val="-13"/>
          <w:sz w:val="21"/>
        </w:rPr>
        <w:t> </w:t>
      </w:r>
      <w:r>
        <w:rPr>
          <w:color w:val="231F20"/>
          <w:sz w:val="21"/>
        </w:rPr>
        <w:t>B.</w:t>
      </w:r>
      <w:r>
        <w:rPr>
          <w:color w:val="231F20"/>
          <w:spacing w:val="-13"/>
          <w:sz w:val="21"/>
        </w:rPr>
        <w:t> </w:t>
      </w:r>
      <w:r>
        <w:rPr>
          <w:color w:val="231F20"/>
          <w:sz w:val="21"/>
        </w:rPr>
        <w:t>(1999),</w:t>
      </w:r>
      <w:r>
        <w:rPr>
          <w:color w:val="231F20"/>
          <w:spacing w:val="-13"/>
          <w:sz w:val="21"/>
        </w:rPr>
        <w:t> </w:t>
      </w:r>
      <w:r>
        <w:rPr>
          <w:color w:val="231F20"/>
          <w:sz w:val="21"/>
        </w:rPr>
        <w:t>“Does</w:t>
      </w:r>
      <w:r>
        <w:rPr>
          <w:color w:val="231F20"/>
          <w:spacing w:val="-5"/>
          <w:sz w:val="21"/>
        </w:rPr>
        <w:t> </w:t>
      </w:r>
      <w:r>
        <w:rPr>
          <w:color w:val="231F20"/>
          <w:sz w:val="21"/>
        </w:rPr>
        <w:t>Specialization</w:t>
      </w:r>
      <w:r>
        <w:rPr>
          <w:color w:val="231F20"/>
          <w:spacing w:val="-5"/>
          <w:sz w:val="21"/>
        </w:rPr>
        <w:t> </w:t>
      </w:r>
      <w:r>
        <w:rPr>
          <w:color w:val="231F20"/>
          <w:sz w:val="21"/>
        </w:rPr>
        <w:t>Matter for Growth?” en: </w:t>
      </w:r>
      <w:r>
        <w:rPr>
          <w:i/>
          <w:color w:val="231F20"/>
          <w:sz w:val="21"/>
        </w:rPr>
        <w:t>Industrial and Corporate Change</w:t>
      </w:r>
      <w:r>
        <w:rPr>
          <w:color w:val="231F20"/>
          <w:sz w:val="21"/>
        </w:rPr>
        <w:t>, vol. 8, núm. 2, pp.</w:t>
      </w:r>
      <w:r>
        <w:rPr>
          <w:color w:val="231F20"/>
          <w:spacing w:val="36"/>
          <w:sz w:val="21"/>
        </w:rPr>
        <w:t> </w:t>
      </w:r>
      <w:r>
        <w:rPr>
          <w:color w:val="231F20"/>
          <w:sz w:val="21"/>
        </w:rPr>
        <w:t>267-288.</w:t>
      </w:r>
    </w:p>
    <w:p>
      <w:pPr>
        <w:pStyle w:val="BodyText"/>
        <w:spacing w:line="259" w:lineRule="auto"/>
        <w:ind w:left="854" w:right="122" w:hanging="738"/>
        <w:jc w:val="both"/>
      </w:pP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Rosa,</w:t>
      </w:r>
      <w:r>
        <w:rPr>
          <w:color w:val="231F20"/>
          <w:spacing w:val="-36"/>
          <w:w w:val="105"/>
        </w:rPr>
        <w:t> </w:t>
      </w:r>
      <w:r>
        <w:rPr>
          <w:color w:val="231F20"/>
          <w:w w:val="105"/>
        </w:rPr>
        <w:t>J.R.</w:t>
      </w:r>
      <w:r>
        <w:rPr>
          <w:color w:val="231F20"/>
          <w:spacing w:val="-35"/>
          <w:w w:val="105"/>
        </w:rPr>
        <w:t> </w:t>
      </w:r>
      <w:r>
        <w:rPr>
          <w:color w:val="231F20"/>
          <w:w w:val="105"/>
        </w:rPr>
        <w:t>(2006),</w:t>
      </w:r>
      <w:r>
        <w:rPr>
          <w:color w:val="231F20"/>
          <w:spacing w:val="-35"/>
          <w:w w:val="105"/>
        </w:rPr>
        <w:t> </w:t>
      </w:r>
      <w:r>
        <w:rPr>
          <w:color w:val="231F20"/>
          <w:w w:val="105"/>
        </w:rPr>
        <w:t>“Dos</w:t>
      </w:r>
      <w:r>
        <w:rPr>
          <w:color w:val="231F20"/>
          <w:spacing w:val="-31"/>
          <w:w w:val="105"/>
        </w:rPr>
        <w:t> </w:t>
      </w:r>
      <w:r>
        <w:rPr>
          <w:color w:val="231F20"/>
          <w:w w:val="105"/>
        </w:rPr>
        <w:t>enfoques</w:t>
      </w:r>
      <w:r>
        <w:rPr>
          <w:color w:val="231F20"/>
          <w:spacing w:val="-31"/>
          <w:w w:val="105"/>
        </w:rPr>
        <w:t> </w:t>
      </w:r>
      <w:r>
        <w:rPr>
          <w:color w:val="231F20"/>
          <w:w w:val="105"/>
        </w:rPr>
        <w:t>teóricos</w:t>
      </w:r>
      <w:r>
        <w:rPr>
          <w:color w:val="231F20"/>
          <w:spacing w:val="-31"/>
          <w:w w:val="105"/>
        </w:rPr>
        <w:t> </w:t>
      </w:r>
      <w:r>
        <w:rPr>
          <w:color w:val="231F20"/>
          <w:w w:val="105"/>
        </w:rPr>
        <w:t>sobre</w:t>
      </w:r>
      <w:r>
        <w:rPr>
          <w:color w:val="231F20"/>
          <w:spacing w:val="-31"/>
          <w:w w:val="105"/>
        </w:rPr>
        <w:t> </w:t>
      </w:r>
      <w:r>
        <w:rPr>
          <w:color w:val="231F20"/>
          <w:w w:val="105"/>
        </w:rPr>
        <w:t>el</w:t>
      </w:r>
      <w:r>
        <w:rPr>
          <w:color w:val="231F20"/>
          <w:spacing w:val="-31"/>
          <w:w w:val="105"/>
        </w:rPr>
        <w:t> </w:t>
      </w:r>
      <w:r>
        <w:rPr>
          <w:color w:val="231F20"/>
          <w:w w:val="105"/>
        </w:rPr>
        <w:t>proceso</w:t>
      </w:r>
      <w:r>
        <w:rPr>
          <w:color w:val="231F20"/>
          <w:spacing w:val="-31"/>
          <w:w w:val="105"/>
        </w:rPr>
        <w:t> </w:t>
      </w:r>
      <w:r>
        <w:rPr>
          <w:color w:val="231F20"/>
          <w:w w:val="105"/>
        </w:rPr>
        <w:t>de</w:t>
      </w:r>
      <w:r>
        <w:rPr>
          <w:color w:val="231F20"/>
          <w:spacing w:val="-31"/>
          <w:w w:val="105"/>
        </w:rPr>
        <w:t> </w:t>
      </w:r>
      <w:r>
        <w:rPr>
          <w:color w:val="231F20"/>
          <w:w w:val="105"/>
        </w:rPr>
        <w:t>creci- miento</w:t>
      </w:r>
      <w:r>
        <w:rPr>
          <w:color w:val="231F20"/>
          <w:spacing w:val="-34"/>
          <w:w w:val="105"/>
        </w:rPr>
        <w:t> </w:t>
      </w:r>
      <w:r>
        <w:rPr>
          <w:color w:val="231F20"/>
          <w:w w:val="105"/>
        </w:rPr>
        <w:t>económico</w:t>
      </w:r>
      <w:r>
        <w:rPr>
          <w:color w:val="231F20"/>
          <w:spacing w:val="-34"/>
          <w:w w:val="105"/>
        </w:rPr>
        <w:t> </w:t>
      </w:r>
      <w:r>
        <w:rPr>
          <w:color w:val="231F20"/>
          <w:w w:val="105"/>
        </w:rPr>
        <w:t>con</w:t>
      </w:r>
      <w:r>
        <w:rPr>
          <w:color w:val="231F20"/>
          <w:spacing w:val="-34"/>
          <w:w w:val="105"/>
        </w:rPr>
        <w:t> </w:t>
      </w:r>
      <w:r>
        <w:rPr>
          <w:color w:val="231F20"/>
          <w:w w:val="105"/>
        </w:rPr>
        <w:t>énfasis</w:t>
      </w:r>
      <w:r>
        <w:rPr>
          <w:color w:val="231F20"/>
          <w:spacing w:val="-34"/>
          <w:w w:val="105"/>
        </w:rPr>
        <w:t> </w:t>
      </w:r>
      <w:r>
        <w:rPr>
          <w:color w:val="231F20"/>
          <w:w w:val="105"/>
        </w:rPr>
        <w:t>en</w:t>
      </w:r>
      <w:r>
        <w:rPr>
          <w:color w:val="231F20"/>
          <w:spacing w:val="-34"/>
          <w:w w:val="105"/>
        </w:rPr>
        <w:t> </w:t>
      </w:r>
      <w:r>
        <w:rPr>
          <w:color w:val="231F20"/>
          <w:w w:val="105"/>
        </w:rPr>
        <w:t>las</w:t>
      </w:r>
      <w:r>
        <w:rPr>
          <w:color w:val="231F20"/>
          <w:spacing w:val="-34"/>
          <w:w w:val="105"/>
        </w:rPr>
        <w:t> </w:t>
      </w:r>
      <w:r>
        <w:rPr>
          <w:color w:val="231F20"/>
          <w:w w:val="105"/>
        </w:rPr>
        <w:t>exportaciones</w:t>
      </w:r>
      <w:r>
        <w:rPr>
          <w:color w:val="231F20"/>
          <w:spacing w:val="-34"/>
          <w:w w:val="105"/>
        </w:rPr>
        <w:t> </w:t>
      </w:r>
      <w:r>
        <w:rPr>
          <w:color w:val="231F20"/>
          <w:w w:val="105"/>
        </w:rPr>
        <w:t>manufacture- ras”</w:t>
      </w:r>
      <w:r>
        <w:rPr>
          <w:color w:val="231F20"/>
          <w:spacing w:val="-28"/>
          <w:w w:val="105"/>
        </w:rPr>
        <w:t> </w:t>
      </w:r>
      <w:r>
        <w:rPr>
          <w:color w:val="231F20"/>
          <w:w w:val="105"/>
        </w:rPr>
        <w:t>en:</w:t>
      </w:r>
      <w:r>
        <w:rPr>
          <w:color w:val="231F20"/>
          <w:spacing w:val="-28"/>
          <w:w w:val="105"/>
        </w:rPr>
        <w:t> </w:t>
      </w:r>
      <w:r>
        <w:rPr>
          <w:i/>
          <w:color w:val="231F20"/>
          <w:w w:val="105"/>
        </w:rPr>
        <w:t>Análisis</w:t>
      </w:r>
      <w:r>
        <w:rPr>
          <w:i/>
          <w:color w:val="231F20"/>
          <w:spacing w:val="-28"/>
          <w:w w:val="105"/>
        </w:rPr>
        <w:t> </w:t>
      </w:r>
      <w:r>
        <w:rPr>
          <w:i/>
          <w:color w:val="231F20"/>
          <w:w w:val="105"/>
        </w:rPr>
        <w:t>Económico</w:t>
      </w:r>
      <w:r>
        <w:rPr>
          <w:color w:val="231F20"/>
          <w:w w:val="105"/>
        </w:rPr>
        <w:t>,</w:t>
      </w:r>
      <w:r>
        <w:rPr>
          <w:color w:val="231F20"/>
          <w:spacing w:val="-32"/>
          <w:w w:val="105"/>
        </w:rPr>
        <w:t> </w:t>
      </w:r>
      <w:r>
        <w:rPr>
          <w:color w:val="231F20"/>
          <w:w w:val="105"/>
        </w:rPr>
        <w:t>vol.</w:t>
      </w:r>
      <w:r>
        <w:rPr>
          <w:color w:val="231F20"/>
          <w:spacing w:val="-34"/>
          <w:w w:val="105"/>
        </w:rPr>
        <w:t> </w:t>
      </w:r>
      <w:r>
        <w:rPr>
          <w:color w:val="231F20"/>
          <w:w w:val="105"/>
        </w:rPr>
        <w:t>XXI,</w:t>
      </w:r>
      <w:r>
        <w:rPr>
          <w:color w:val="231F20"/>
          <w:spacing w:val="-32"/>
          <w:w w:val="105"/>
        </w:rPr>
        <w:t> </w:t>
      </w:r>
      <w:r>
        <w:rPr>
          <w:color w:val="231F20"/>
          <w:w w:val="105"/>
        </w:rPr>
        <w:t>núm.</w:t>
      </w:r>
      <w:r>
        <w:rPr>
          <w:color w:val="231F20"/>
          <w:spacing w:val="-32"/>
          <w:w w:val="105"/>
        </w:rPr>
        <w:t> </w:t>
      </w:r>
      <w:r>
        <w:rPr>
          <w:color w:val="231F20"/>
          <w:w w:val="105"/>
        </w:rPr>
        <w:t>48,</w:t>
      </w:r>
      <w:r>
        <w:rPr>
          <w:color w:val="231F20"/>
          <w:spacing w:val="-32"/>
          <w:w w:val="105"/>
        </w:rPr>
        <w:t> </w:t>
      </w:r>
      <w:r>
        <w:rPr>
          <w:color w:val="231F20"/>
          <w:w w:val="105"/>
        </w:rPr>
        <w:t>pp.</w:t>
      </w:r>
      <w:r>
        <w:rPr>
          <w:color w:val="231F20"/>
          <w:spacing w:val="-32"/>
          <w:w w:val="105"/>
        </w:rPr>
        <w:t> </w:t>
      </w:r>
      <w:r>
        <w:rPr>
          <w:color w:val="231F20"/>
          <w:w w:val="105"/>
        </w:rPr>
        <w:t>93-119.</w:t>
      </w:r>
    </w:p>
    <w:p>
      <w:pPr>
        <w:pStyle w:val="BodyText"/>
        <w:spacing w:line="259" w:lineRule="auto"/>
        <w:ind w:left="854" w:right="117" w:hanging="738"/>
        <w:jc w:val="both"/>
      </w:pPr>
      <w:r>
        <w:rPr>
          <w:color w:val="231F20"/>
          <w:w w:val="105"/>
        </w:rPr>
        <w:t>Díaz-Bautista,</w:t>
      </w:r>
      <w:r>
        <w:rPr>
          <w:color w:val="231F20"/>
          <w:spacing w:val="-13"/>
          <w:w w:val="105"/>
        </w:rPr>
        <w:t> </w:t>
      </w:r>
      <w:r>
        <w:rPr>
          <w:color w:val="231F20"/>
          <w:w w:val="105"/>
        </w:rPr>
        <w:t>A.</w:t>
      </w:r>
      <w:r>
        <w:rPr>
          <w:color w:val="231F20"/>
          <w:spacing w:val="-10"/>
          <w:w w:val="105"/>
        </w:rPr>
        <w:t> </w:t>
      </w:r>
      <w:r>
        <w:rPr>
          <w:color w:val="231F20"/>
          <w:w w:val="105"/>
        </w:rPr>
        <w:t>y</w:t>
      </w:r>
      <w:r>
        <w:rPr>
          <w:color w:val="231F20"/>
          <w:spacing w:val="-6"/>
          <w:w w:val="105"/>
        </w:rPr>
        <w:t> </w:t>
      </w:r>
      <w:r>
        <w:rPr>
          <w:color w:val="231F20"/>
          <w:w w:val="105"/>
        </w:rPr>
        <w:t>Díaz,</w:t>
      </w:r>
      <w:r>
        <w:rPr>
          <w:color w:val="231F20"/>
          <w:spacing w:val="-10"/>
          <w:w w:val="105"/>
        </w:rPr>
        <w:t> </w:t>
      </w:r>
      <w:r>
        <w:rPr>
          <w:color w:val="231F20"/>
          <w:w w:val="105"/>
        </w:rPr>
        <w:t>M.</w:t>
      </w:r>
      <w:r>
        <w:rPr>
          <w:color w:val="231F20"/>
          <w:spacing w:val="-10"/>
          <w:w w:val="105"/>
        </w:rPr>
        <w:t> </w:t>
      </w:r>
      <w:r>
        <w:rPr>
          <w:color w:val="231F20"/>
          <w:w w:val="105"/>
        </w:rPr>
        <w:t>(2003),</w:t>
      </w:r>
      <w:r>
        <w:rPr>
          <w:color w:val="231F20"/>
          <w:spacing w:val="-10"/>
          <w:w w:val="105"/>
        </w:rPr>
        <w:t> </w:t>
      </w:r>
      <w:r>
        <w:rPr>
          <w:color w:val="231F20"/>
          <w:w w:val="105"/>
        </w:rPr>
        <w:t>“Capital</w:t>
      </w:r>
      <w:r>
        <w:rPr>
          <w:color w:val="231F20"/>
          <w:spacing w:val="-6"/>
          <w:w w:val="105"/>
        </w:rPr>
        <w:t> </w:t>
      </w:r>
      <w:r>
        <w:rPr>
          <w:color w:val="231F20"/>
          <w:w w:val="105"/>
        </w:rPr>
        <w:t>humano</w:t>
      </w:r>
      <w:r>
        <w:rPr>
          <w:color w:val="231F20"/>
          <w:spacing w:val="-6"/>
          <w:w w:val="105"/>
        </w:rPr>
        <w:t> </w:t>
      </w:r>
      <w:r>
        <w:rPr>
          <w:color w:val="231F20"/>
          <w:w w:val="105"/>
        </w:rPr>
        <w:t>y</w:t>
      </w:r>
      <w:r>
        <w:rPr>
          <w:color w:val="231F20"/>
          <w:spacing w:val="-6"/>
          <w:w w:val="105"/>
        </w:rPr>
        <w:t> </w:t>
      </w:r>
      <w:r>
        <w:rPr>
          <w:color w:val="231F20"/>
          <w:w w:val="105"/>
        </w:rPr>
        <w:t>crecimiento</w:t>
      </w:r>
      <w:r>
        <w:rPr>
          <w:color w:val="231F20"/>
          <w:spacing w:val="-6"/>
          <w:w w:val="105"/>
        </w:rPr>
        <w:t> </w:t>
      </w:r>
      <w:r>
        <w:rPr>
          <w:color w:val="231F20"/>
          <w:w w:val="105"/>
        </w:rPr>
        <w:t>eco- nómico en México” en: </w:t>
      </w:r>
      <w:r>
        <w:rPr>
          <w:i/>
          <w:color w:val="231F20"/>
          <w:w w:val="105"/>
        </w:rPr>
        <w:t>Comercio Exterior</w:t>
      </w:r>
      <w:r>
        <w:rPr>
          <w:color w:val="231F20"/>
          <w:w w:val="105"/>
        </w:rPr>
        <w:t>, vol. 53, núm. 11, pp. 1012-1023.</w:t>
      </w:r>
    </w:p>
    <w:p>
      <w:pPr>
        <w:pStyle w:val="BodyText"/>
        <w:spacing w:line="259" w:lineRule="auto"/>
        <w:ind w:left="854" w:right="115" w:hanging="738"/>
        <w:jc w:val="both"/>
      </w:pPr>
      <w:r>
        <w:rPr>
          <w:color w:val="231F20"/>
          <w:w w:val="105"/>
        </w:rPr>
        <w:t>Dixon,</w:t>
      </w:r>
      <w:r>
        <w:rPr>
          <w:color w:val="231F20"/>
          <w:spacing w:val="-30"/>
          <w:w w:val="105"/>
        </w:rPr>
        <w:t> </w:t>
      </w:r>
      <w:r>
        <w:rPr>
          <w:color w:val="231F20"/>
          <w:w w:val="105"/>
        </w:rPr>
        <w:t>R.</w:t>
      </w:r>
      <w:r>
        <w:rPr>
          <w:color w:val="231F20"/>
          <w:spacing w:val="-30"/>
          <w:w w:val="105"/>
        </w:rPr>
        <w:t> </w:t>
      </w:r>
      <w:r>
        <w:rPr>
          <w:color w:val="231F20"/>
          <w:w w:val="105"/>
        </w:rPr>
        <w:t>y</w:t>
      </w:r>
      <w:r>
        <w:rPr>
          <w:color w:val="231F20"/>
          <w:spacing w:val="-29"/>
          <w:w w:val="105"/>
        </w:rPr>
        <w:t> </w:t>
      </w:r>
      <w:r>
        <w:rPr>
          <w:color w:val="231F20"/>
          <w:w w:val="105"/>
        </w:rPr>
        <w:t>Thirlwall,</w:t>
      </w:r>
      <w:r>
        <w:rPr>
          <w:color w:val="231F20"/>
          <w:spacing w:val="-33"/>
          <w:w w:val="105"/>
        </w:rPr>
        <w:t> </w:t>
      </w:r>
      <w:r>
        <w:rPr>
          <w:color w:val="231F20"/>
          <w:w w:val="105"/>
        </w:rPr>
        <w:t>A.</w:t>
      </w:r>
      <w:r>
        <w:rPr>
          <w:color w:val="231F20"/>
          <w:spacing w:val="-30"/>
          <w:w w:val="105"/>
        </w:rPr>
        <w:t> </w:t>
      </w:r>
      <w:r>
        <w:rPr>
          <w:color w:val="231F20"/>
          <w:w w:val="105"/>
        </w:rPr>
        <w:t>(1975),</w:t>
      </w:r>
      <w:r>
        <w:rPr>
          <w:color w:val="231F20"/>
          <w:spacing w:val="-30"/>
          <w:w w:val="105"/>
        </w:rPr>
        <w:t> </w:t>
      </w:r>
      <w:r>
        <w:rPr>
          <w:color w:val="231F20"/>
          <w:spacing w:val="-8"/>
          <w:w w:val="105"/>
        </w:rPr>
        <w:t>“A</w:t>
      </w:r>
      <w:r>
        <w:rPr>
          <w:color w:val="231F20"/>
          <w:spacing w:val="-28"/>
          <w:w w:val="105"/>
        </w:rPr>
        <w:t> </w:t>
      </w:r>
      <w:r>
        <w:rPr>
          <w:color w:val="231F20"/>
          <w:w w:val="105"/>
        </w:rPr>
        <w:t>model</w:t>
      </w:r>
      <w:r>
        <w:rPr>
          <w:color w:val="231F20"/>
          <w:spacing w:val="-25"/>
          <w:w w:val="105"/>
        </w:rPr>
        <w:t> </w:t>
      </w:r>
      <w:r>
        <w:rPr>
          <w:color w:val="231F20"/>
          <w:w w:val="105"/>
        </w:rPr>
        <w:t>of</w:t>
      </w:r>
      <w:r>
        <w:rPr>
          <w:color w:val="231F20"/>
          <w:spacing w:val="-21"/>
          <w:w w:val="105"/>
        </w:rPr>
        <w:t> </w:t>
      </w:r>
      <w:r>
        <w:rPr>
          <w:color w:val="231F20"/>
          <w:w w:val="105"/>
        </w:rPr>
        <w:t>regional</w:t>
      </w:r>
      <w:r>
        <w:rPr>
          <w:color w:val="231F20"/>
          <w:spacing w:val="-25"/>
          <w:w w:val="105"/>
        </w:rPr>
        <w:t> </w:t>
      </w:r>
      <w:r>
        <w:rPr>
          <w:color w:val="231F20"/>
          <w:w w:val="105"/>
        </w:rPr>
        <w:t>growth-rate</w:t>
      </w:r>
      <w:r>
        <w:rPr>
          <w:color w:val="231F20"/>
          <w:spacing w:val="-25"/>
          <w:w w:val="105"/>
        </w:rPr>
        <w:t> </w:t>
      </w:r>
      <w:r>
        <w:rPr>
          <w:color w:val="231F20"/>
          <w:w w:val="105"/>
        </w:rPr>
        <w:t>differenc- es</w:t>
      </w:r>
      <w:r>
        <w:rPr>
          <w:color w:val="231F20"/>
          <w:spacing w:val="-27"/>
          <w:w w:val="105"/>
        </w:rPr>
        <w:t> </w:t>
      </w:r>
      <w:r>
        <w:rPr>
          <w:color w:val="231F20"/>
          <w:w w:val="105"/>
        </w:rPr>
        <w:t>on</w:t>
      </w:r>
      <w:r>
        <w:rPr>
          <w:color w:val="231F20"/>
          <w:spacing w:val="-27"/>
          <w:w w:val="105"/>
        </w:rPr>
        <w:t> </w:t>
      </w:r>
      <w:r>
        <w:rPr>
          <w:color w:val="231F20"/>
          <w:w w:val="105"/>
        </w:rPr>
        <w:t>Kaldorian</w:t>
      </w:r>
      <w:r>
        <w:rPr>
          <w:color w:val="231F20"/>
          <w:spacing w:val="-27"/>
          <w:w w:val="105"/>
        </w:rPr>
        <w:t> </w:t>
      </w:r>
      <w:r>
        <w:rPr>
          <w:color w:val="231F20"/>
          <w:w w:val="105"/>
        </w:rPr>
        <w:t>Lines”</w:t>
      </w:r>
      <w:r>
        <w:rPr>
          <w:color w:val="231F20"/>
          <w:spacing w:val="-27"/>
          <w:w w:val="105"/>
        </w:rPr>
        <w:t> </w:t>
      </w:r>
      <w:r>
        <w:rPr>
          <w:color w:val="231F20"/>
          <w:w w:val="105"/>
        </w:rPr>
        <w:t>en:</w:t>
      </w:r>
      <w:r>
        <w:rPr>
          <w:color w:val="231F20"/>
          <w:spacing w:val="-27"/>
          <w:w w:val="105"/>
        </w:rPr>
        <w:t> </w:t>
      </w:r>
      <w:r>
        <w:rPr>
          <w:i/>
          <w:color w:val="231F20"/>
          <w:w w:val="105"/>
        </w:rPr>
        <w:t>Oxford</w:t>
      </w:r>
      <w:r>
        <w:rPr>
          <w:i/>
          <w:color w:val="231F20"/>
          <w:spacing w:val="-27"/>
          <w:w w:val="105"/>
        </w:rPr>
        <w:t> </w:t>
      </w:r>
      <w:r>
        <w:rPr>
          <w:i/>
          <w:color w:val="231F20"/>
          <w:w w:val="105"/>
        </w:rPr>
        <w:t>Economic</w:t>
      </w:r>
      <w:r>
        <w:rPr>
          <w:i/>
          <w:color w:val="231F20"/>
          <w:spacing w:val="-27"/>
          <w:w w:val="105"/>
        </w:rPr>
        <w:t> </w:t>
      </w:r>
      <w:r>
        <w:rPr>
          <w:i/>
          <w:color w:val="231F20"/>
          <w:w w:val="105"/>
        </w:rPr>
        <w:t>Papers</w:t>
      </w:r>
      <w:r>
        <w:rPr>
          <w:color w:val="231F20"/>
          <w:w w:val="105"/>
        </w:rPr>
        <w:t>,</w:t>
      </w:r>
      <w:r>
        <w:rPr>
          <w:color w:val="231F20"/>
          <w:spacing w:val="-31"/>
          <w:w w:val="105"/>
        </w:rPr>
        <w:t> </w:t>
      </w:r>
      <w:r>
        <w:rPr>
          <w:color w:val="231F20"/>
          <w:w w:val="105"/>
        </w:rPr>
        <w:t>vol.</w:t>
      </w:r>
      <w:r>
        <w:rPr>
          <w:color w:val="231F20"/>
          <w:spacing w:val="-31"/>
          <w:w w:val="105"/>
        </w:rPr>
        <w:t> </w:t>
      </w:r>
      <w:r>
        <w:rPr>
          <w:color w:val="231F20"/>
          <w:w w:val="105"/>
        </w:rPr>
        <w:t>27,</w:t>
      </w:r>
      <w:r>
        <w:rPr>
          <w:color w:val="231F20"/>
          <w:spacing w:val="-31"/>
          <w:w w:val="105"/>
        </w:rPr>
        <w:t> </w:t>
      </w:r>
      <w:r>
        <w:rPr>
          <w:color w:val="231F20"/>
          <w:w w:val="105"/>
        </w:rPr>
        <w:t>núm. 2, pp.</w:t>
      </w:r>
      <w:r>
        <w:rPr>
          <w:color w:val="231F20"/>
          <w:spacing w:val="-46"/>
          <w:w w:val="105"/>
        </w:rPr>
        <w:t> </w:t>
      </w:r>
      <w:r>
        <w:rPr>
          <w:color w:val="231F20"/>
          <w:w w:val="105"/>
        </w:rPr>
        <w:t>201-214.</w:t>
      </w:r>
    </w:p>
    <w:p>
      <w:pPr>
        <w:pStyle w:val="BodyText"/>
        <w:spacing w:line="259" w:lineRule="auto"/>
        <w:ind w:left="854" w:right="127" w:hanging="738"/>
        <w:jc w:val="both"/>
      </w:pPr>
      <w:r>
        <w:rPr>
          <w:color w:val="231F20"/>
        </w:rPr>
        <w:t>Grossman, G. M. y Helpman, E. (1990), “Quality ladders in the theory of growth” en: </w:t>
      </w:r>
      <w:r>
        <w:rPr>
          <w:i/>
          <w:color w:val="231F20"/>
        </w:rPr>
        <w:t>Review of Economic Studies</w:t>
      </w:r>
      <w:r>
        <w:rPr>
          <w:color w:val="231F20"/>
        </w:rPr>
        <w:t>, núm. 58, pp.  43-61.</w:t>
      </w:r>
    </w:p>
    <w:p>
      <w:pPr>
        <w:spacing w:line="259" w:lineRule="auto" w:before="0"/>
        <w:ind w:left="854" w:right="115" w:hanging="738"/>
        <w:jc w:val="both"/>
        <w:rPr>
          <w:sz w:val="21"/>
        </w:rPr>
      </w:pPr>
      <w:r>
        <w:rPr>
          <w:color w:val="231F20"/>
          <w:sz w:val="21"/>
        </w:rPr>
        <w:t>–––––––</w:t>
      </w:r>
      <w:r>
        <w:rPr>
          <w:color w:val="231F20"/>
          <w:spacing w:val="-25"/>
          <w:sz w:val="21"/>
        </w:rPr>
        <w:t> </w:t>
      </w:r>
      <w:r>
        <w:rPr>
          <w:color w:val="231F20"/>
          <w:sz w:val="21"/>
        </w:rPr>
        <w:t>(1994),</w:t>
      </w:r>
      <w:r>
        <w:rPr>
          <w:color w:val="231F20"/>
          <w:spacing w:val="-9"/>
          <w:sz w:val="21"/>
        </w:rPr>
        <w:t> </w:t>
      </w:r>
      <w:r>
        <w:rPr>
          <w:i/>
          <w:color w:val="231F20"/>
          <w:sz w:val="21"/>
        </w:rPr>
        <w:t>Innovation</w:t>
      </w:r>
      <w:r>
        <w:rPr>
          <w:i/>
          <w:color w:val="231F20"/>
          <w:spacing w:val="-2"/>
          <w:sz w:val="21"/>
        </w:rPr>
        <w:t> </w:t>
      </w:r>
      <w:r>
        <w:rPr>
          <w:i/>
          <w:color w:val="231F20"/>
          <w:sz w:val="21"/>
        </w:rPr>
        <w:t>and</w:t>
      </w:r>
      <w:r>
        <w:rPr>
          <w:i/>
          <w:color w:val="231F20"/>
          <w:spacing w:val="-2"/>
          <w:sz w:val="21"/>
        </w:rPr>
        <w:t> </w:t>
      </w:r>
      <w:r>
        <w:rPr>
          <w:i/>
          <w:color w:val="231F20"/>
          <w:sz w:val="21"/>
        </w:rPr>
        <w:t>growth</w:t>
      </w:r>
      <w:r>
        <w:rPr>
          <w:i/>
          <w:color w:val="231F20"/>
          <w:spacing w:val="-2"/>
          <w:sz w:val="21"/>
        </w:rPr>
        <w:t> </w:t>
      </w:r>
      <w:r>
        <w:rPr>
          <w:i/>
          <w:color w:val="231F20"/>
          <w:sz w:val="21"/>
        </w:rPr>
        <w:t>in</w:t>
      </w:r>
      <w:r>
        <w:rPr>
          <w:i/>
          <w:color w:val="231F20"/>
          <w:spacing w:val="-2"/>
          <w:sz w:val="21"/>
        </w:rPr>
        <w:t> </w:t>
      </w:r>
      <w:r>
        <w:rPr>
          <w:i/>
          <w:color w:val="231F20"/>
          <w:sz w:val="21"/>
        </w:rPr>
        <w:t>the</w:t>
      </w:r>
      <w:r>
        <w:rPr>
          <w:i/>
          <w:color w:val="231F20"/>
          <w:spacing w:val="-2"/>
          <w:sz w:val="21"/>
        </w:rPr>
        <w:t> </w:t>
      </w:r>
      <w:r>
        <w:rPr>
          <w:i/>
          <w:color w:val="231F20"/>
          <w:sz w:val="21"/>
        </w:rPr>
        <w:t>global</w:t>
      </w:r>
      <w:r>
        <w:rPr>
          <w:i/>
          <w:color w:val="231F20"/>
          <w:spacing w:val="-2"/>
          <w:sz w:val="21"/>
        </w:rPr>
        <w:t> </w:t>
      </w:r>
      <w:r>
        <w:rPr>
          <w:i/>
          <w:color w:val="231F20"/>
          <w:sz w:val="21"/>
        </w:rPr>
        <w:t>economy</w:t>
      </w:r>
      <w:r>
        <w:rPr>
          <w:color w:val="231F20"/>
          <w:sz w:val="21"/>
        </w:rPr>
        <w:t>,</w:t>
      </w:r>
      <w:r>
        <w:rPr>
          <w:color w:val="231F20"/>
          <w:spacing w:val="-9"/>
          <w:sz w:val="21"/>
        </w:rPr>
        <w:t> </w:t>
      </w:r>
      <w:r>
        <w:rPr>
          <w:color w:val="231F20"/>
          <w:sz w:val="21"/>
        </w:rPr>
        <w:t>Cambridge, MA.</w:t>
      </w:r>
    </w:p>
    <w:p>
      <w:pPr>
        <w:spacing w:line="259" w:lineRule="auto" w:before="0"/>
        <w:ind w:left="854" w:right="121" w:hanging="738"/>
        <w:jc w:val="both"/>
        <w:rPr>
          <w:sz w:val="21"/>
        </w:rPr>
      </w:pPr>
      <w:r>
        <w:rPr>
          <w:color w:val="231F20"/>
          <w:w w:val="105"/>
          <w:sz w:val="21"/>
        </w:rPr>
        <w:t>Jones, Ch. (2000), </w:t>
      </w:r>
      <w:r>
        <w:rPr>
          <w:i/>
          <w:color w:val="231F20"/>
          <w:w w:val="105"/>
          <w:sz w:val="21"/>
        </w:rPr>
        <w:t>Introducción al crecimiento económico</w:t>
      </w:r>
      <w:r>
        <w:rPr>
          <w:color w:val="231F20"/>
          <w:w w:val="105"/>
          <w:sz w:val="21"/>
        </w:rPr>
        <w:t>, primera</w:t>
      </w:r>
      <w:r>
        <w:rPr>
          <w:color w:val="231F20"/>
          <w:spacing w:val="-11"/>
          <w:w w:val="105"/>
          <w:sz w:val="21"/>
        </w:rPr>
        <w:t> </w:t>
      </w:r>
      <w:r>
        <w:rPr>
          <w:color w:val="231F20"/>
          <w:w w:val="105"/>
          <w:sz w:val="21"/>
        </w:rPr>
        <w:t>edi- ción,</w:t>
      </w:r>
      <w:r>
        <w:rPr>
          <w:color w:val="231F20"/>
          <w:spacing w:val="-41"/>
          <w:w w:val="105"/>
          <w:sz w:val="21"/>
        </w:rPr>
        <w:t> </w:t>
      </w:r>
      <w:r>
        <w:rPr>
          <w:color w:val="231F20"/>
          <w:w w:val="105"/>
          <w:sz w:val="21"/>
        </w:rPr>
        <w:t>Prentice</w:t>
      </w:r>
      <w:r>
        <w:rPr>
          <w:color w:val="231F20"/>
          <w:spacing w:val="-38"/>
          <w:w w:val="105"/>
          <w:sz w:val="21"/>
        </w:rPr>
        <w:t> </w:t>
      </w:r>
      <w:r>
        <w:rPr>
          <w:color w:val="231F20"/>
          <w:w w:val="105"/>
          <w:sz w:val="21"/>
        </w:rPr>
        <w:t>Hall,</w:t>
      </w:r>
      <w:r>
        <w:rPr>
          <w:color w:val="231F20"/>
          <w:spacing w:val="-41"/>
          <w:w w:val="105"/>
          <w:sz w:val="21"/>
        </w:rPr>
        <w:t> </w:t>
      </w:r>
      <w:r>
        <w:rPr>
          <w:color w:val="231F20"/>
          <w:w w:val="105"/>
          <w:sz w:val="21"/>
        </w:rPr>
        <w:t>México.</w:t>
      </w:r>
    </w:p>
    <w:p>
      <w:pPr>
        <w:spacing w:after="0" w:line="259" w:lineRule="auto"/>
        <w:jc w:val="both"/>
        <w:rPr>
          <w:sz w:val="21"/>
        </w:rPr>
        <w:sectPr>
          <w:pgSz w:w="9640" w:h="13890"/>
          <w:pgMar w:top="0" w:bottom="280" w:left="1300" w:right="1180"/>
        </w:sectPr>
      </w:pPr>
    </w:p>
    <w:p>
      <w:pPr>
        <w:spacing w:line="259" w:lineRule="auto" w:before="120"/>
        <w:ind w:left="841" w:right="115" w:hanging="738"/>
        <w:jc w:val="both"/>
        <w:rPr>
          <w:sz w:val="21"/>
        </w:rPr>
      </w:pPr>
      <w:r>
        <w:rPr>
          <w:color w:val="231F20"/>
          <w:w w:val="105"/>
          <w:sz w:val="21"/>
        </w:rPr>
        <w:t>Jungmittag,</w:t>
      </w:r>
      <w:r>
        <w:rPr>
          <w:color w:val="231F20"/>
          <w:spacing w:val="-38"/>
          <w:w w:val="105"/>
          <w:sz w:val="21"/>
        </w:rPr>
        <w:t> </w:t>
      </w:r>
      <w:r>
        <w:rPr>
          <w:color w:val="231F20"/>
          <w:w w:val="105"/>
          <w:sz w:val="21"/>
        </w:rPr>
        <w:t>A.</w:t>
      </w:r>
      <w:r>
        <w:rPr>
          <w:color w:val="231F20"/>
          <w:spacing w:val="-35"/>
          <w:w w:val="105"/>
          <w:sz w:val="21"/>
        </w:rPr>
        <w:t> </w:t>
      </w:r>
      <w:r>
        <w:rPr>
          <w:color w:val="231F20"/>
          <w:w w:val="105"/>
          <w:sz w:val="21"/>
        </w:rPr>
        <w:t>(2004),</w:t>
      </w:r>
      <w:r>
        <w:rPr>
          <w:color w:val="231F20"/>
          <w:spacing w:val="-35"/>
          <w:w w:val="105"/>
          <w:sz w:val="21"/>
        </w:rPr>
        <w:t> </w:t>
      </w:r>
      <w:r>
        <w:rPr>
          <w:color w:val="231F20"/>
          <w:w w:val="105"/>
          <w:sz w:val="21"/>
        </w:rPr>
        <w:t>“Innovations,</w:t>
      </w:r>
      <w:r>
        <w:rPr>
          <w:color w:val="231F20"/>
          <w:spacing w:val="-35"/>
          <w:w w:val="105"/>
          <w:sz w:val="21"/>
        </w:rPr>
        <w:t> </w:t>
      </w:r>
      <w:r>
        <w:rPr>
          <w:color w:val="231F20"/>
          <w:w w:val="105"/>
          <w:sz w:val="21"/>
        </w:rPr>
        <w:t>technological</w:t>
      </w:r>
      <w:r>
        <w:rPr>
          <w:color w:val="231F20"/>
          <w:spacing w:val="-31"/>
          <w:w w:val="105"/>
          <w:sz w:val="21"/>
        </w:rPr>
        <w:t> </w:t>
      </w:r>
      <w:r>
        <w:rPr>
          <w:color w:val="231F20"/>
          <w:w w:val="105"/>
          <w:sz w:val="21"/>
        </w:rPr>
        <w:t>specialization</w:t>
      </w:r>
      <w:r>
        <w:rPr>
          <w:color w:val="231F20"/>
          <w:spacing w:val="-31"/>
          <w:w w:val="105"/>
          <w:sz w:val="21"/>
        </w:rPr>
        <w:t> </w:t>
      </w:r>
      <w:r>
        <w:rPr>
          <w:color w:val="231F20"/>
          <w:w w:val="105"/>
          <w:sz w:val="21"/>
        </w:rPr>
        <w:t>and</w:t>
      </w:r>
      <w:r>
        <w:rPr>
          <w:color w:val="231F20"/>
          <w:spacing w:val="-31"/>
          <w:w w:val="105"/>
          <w:sz w:val="21"/>
        </w:rPr>
        <w:t> </w:t>
      </w:r>
      <w:r>
        <w:rPr>
          <w:color w:val="231F20"/>
          <w:w w:val="105"/>
          <w:sz w:val="21"/>
        </w:rPr>
        <w:t>eco- nomic</w:t>
      </w:r>
      <w:r>
        <w:rPr>
          <w:color w:val="231F20"/>
          <w:spacing w:val="-17"/>
          <w:w w:val="105"/>
          <w:sz w:val="21"/>
        </w:rPr>
        <w:t> </w:t>
      </w:r>
      <w:r>
        <w:rPr>
          <w:color w:val="231F20"/>
          <w:w w:val="105"/>
          <w:sz w:val="21"/>
        </w:rPr>
        <w:t>growth</w:t>
      </w:r>
      <w:r>
        <w:rPr>
          <w:color w:val="231F20"/>
          <w:spacing w:val="-17"/>
          <w:w w:val="105"/>
          <w:sz w:val="21"/>
        </w:rPr>
        <w:t> </w:t>
      </w:r>
      <w:r>
        <w:rPr>
          <w:color w:val="231F20"/>
          <w:w w:val="105"/>
          <w:sz w:val="21"/>
        </w:rPr>
        <w:t>in</w:t>
      </w:r>
      <w:r>
        <w:rPr>
          <w:color w:val="231F20"/>
          <w:spacing w:val="-17"/>
          <w:w w:val="105"/>
          <w:sz w:val="21"/>
        </w:rPr>
        <w:t> </w:t>
      </w:r>
      <w:r>
        <w:rPr>
          <w:color w:val="231F20"/>
          <w:w w:val="105"/>
          <w:sz w:val="21"/>
        </w:rPr>
        <w:t>the</w:t>
      </w:r>
      <w:r>
        <w:rPr>
          <w:color w:val="231F20"/>
          <w:spacing w:val="-17"/>
          <w:w w:val="105"/>
          <w:sz w:val="21"/>
        </w:rPr>
        <w:t> </w:t>
      </w:r>
      <w:r>
        <w:rPr>
          <w:color w:val="231F20"/>
          <w:w w:val="105"/>
          <w:sz w:val="21"/>
        </w:rPr>
        <w:t>EU”</w:t>
      </w:r>
      <w:r>
        <w:rPr>
          <w:color w:val="231F20"/>
          <w:spacing w:val="-17"/>
          <w:w w:val="105"/>
          <w:sz w:val="21"/>
        </w:rPr>
        <w:t> </w:t>
      </w:r>
      <w:r>
        <w:rPr>
          <w:color w:val="231F20"/>
          <w:w w:val="105"/>
          <w:sz w:val="21"/>
        </w:rPr>
        <w:t>en:</w:t>
      </w:r>
      <w:r>
        <w:rPr>
          <w:color w:val="231F20"/>
          <w:spacing w:val="-17"/>
          <w:w w:val="105"/>
          <w:sz w:val="21"/>
        </w:rPr>
        <w:t> </w:t>
      </w:r>
      <w:r>
        <w:rPr>
          <w:i/>
          <w:color w:val="231F20"/>
          <w:w w:val="105"/>
          <w:sz w:val="21"/>
        </w:rPr>
        <w:t>International</w:t>
      </w:r>
      <w:r>
        <w:rPr>
          <w:i/>
          <w:color w:val="231F20"/>
          <w:spacing w:val="-17"/>
          <w:w w:val="105"/>
          <w:sz w:val="21"/>
        </w:rPr>
        <w:t> </w:t>
      </w:r>
      <w:r>
        <w:rPr>
          <w:i/>
          <w:color w:val="231F20"/>
          <w:w w:val="105"/>
          <w:sz w:val="21"/>
        </w:rPr>
        <w:t>Economics</w:t>
      </w:r>
      <w:r>
        <w:rPr>
          <w:i/>
          <w:color w:val="231F20"/>
          <w:spacing w:val="-17"/>
          <w:w w:val="105"/>
          <w:sz w:val="21"/>
        </w:rPr>
        <w:t> </w:t>
      </w:r>
      <w:r>
        <w:rPr>
          <w:i/>
          <w:color w:val="231F20"/>
          <w:w w:val="105"/>
          <w:sz w:val="21"/>
        </w:rPr>
        <w:t>and</w:t>
      </w:r>
      <w:r>
        <w:rPr>
          <w:i/>
          <w:color w:val="231F20"/>
          <w:spacing w:val="-17"/>
          <w:w w:val="105"/>
          <w:sz w:val="21"/>
        </w:rPr>
        <w:t> </w:t>
      </w:r>
      <w:r>
        <w:rPr>
          <w:i/>
          <w:color w:val="231F20"/>
          <w:w w:val="105"/>
          <w:sz w:val="21"/>
        </w:rPr>
        <w:t>Econo- </w:t>
      </w:r>
      <w:r>
        <w:rPr>
          <w:i/>
          <w:color w:val="231F20"/>
          <w:w w:val="105"/>
          <w:sz w:val="21"/>
        </w:rPr>
        <w:t>mic</w:t>
      </w:r>
      <w:r>
        <w:rPr>
          <w:i/>
          <w:color w:val="231F20"/>
          <w:spacing w:val="-20"/>
          <w:w w:val="105"/>
          <w:sz w:val="21"/>
        </w:rPr>
        <w:t> </w:t>
      </w:r>
      <w:r>
        <w:rPr>
          <w:i/>
          <w:color w:val="231F20"/>
          <w:spacing w:val="-3"/>
          <w:w w:val="105"/>
          <w:sz w:val="21"/>
        </w:rPr>
        <w:t>Policy</w:t>
      </w:r>
      <w:r>
        <w:rPr>
          <w:color w:val="231F20"/>
          <w:spacing w:val="-3"/>
          <w:w w:val="105"/>
          <w:sz w:val="21"/>
        </w:rPr>
        <w:t>,</w:t>
      </w:r>
      <w:r>
        <w:rPr>
          <w:color w:val="231F20"/>
          <w:spacing w:val="-25"/>
          <w:w w:val="105"/>
          <w:sz w:val="21"/>
        </w:rPr>
        <w:t> </w:t>
      </w:r>
      <w:r>
        <w:rPr>
          <w:color w:val="231F20"/>
          <w:w w:val="105"/>
          <w:sz w:val="21"/>
        </w:rPr>
        <w:t>núm.</w:t>
      </w:r>
      <w:r>
        <w:rPr>
          <w:color w:val="231F20"/>
          <w:spacing w:val="-25"/>
          <w:w w:val="105"/>
          <w:sz w:val="21"/>
        </w:rPr>
        <w:t> </w:t>
      </w:r>
      <w:r>
        <w:rPr>
          <w:color w:val="231F20"/>
          <w:w w:val="105"/>
          <w:sz w:val="21"/>
        </w:rPr>
        <w:t>1,</w:t>
      </w:r>
      <w:r>
        <w:rPr>
          <w:color w:val="231F20"/>
          <w:spacing w:val="-25"/>
          <w:w w:val="105"/>
          <w:sz w:val="21"/>
        </w:rPr>
        <w:t> </w:t>
      </w:r>
      <w:r>
        <w:rPr>
          <w:color w:val="231F20"/>
          <w:w w:val="105"/>
          <w:sz w:val="21"/>
        </w:rPr>
        <w:t>vol.</w:t>
      </w:r>
      <w:r>
        <w:rPr>
          <w:color w:val="231F20"/>
          <w:spacing w:val="-25"/>
          <w:w w:val="105"/>
          <w:sz w:val="21"/>
        </w:rPr>
        <w:t> </w:t>
      </w:r>
      <w:r>
        <w:rPr>
          <w:color w:val="231F20"/>
          <w:w w:val="105"/>
          <w:sz w:val="21"/>
        </w:rPr>
        <w:t>2,</w:t>
      </w:r>
      <w:r>
        <w:rPr>
          <w:color w:val="231F20"/>
          <w:spacing w:val="-25"/>
          <w:w w:val="105"/>
          <w:sz w:val="21"/>
        </w:rPr>
        <w:t> </w:t>
      </w:r>
      <w:r>
        <w:rPr>
          <w:color w:val="231F20"/>
          <w:w w:val="105"/>
          <w:sz w:val="21"/>
        </w:rPr>
        <w:t>pp.</w:t>
      </w:r>
      <w:r>
        <w:rPr>
          <w:color w:val="231F20"/>
          <w:spacing w:val="-25"/>
          <w:w w:val="105"/>
          <w:sz w:val="21"/>
        </w:rPr>
        <w:t> </w:t>
      </w:r>
      <w:r>
        <w:rPr>
          <w:color w:val="231F20"/>
          <w:w w:val="105"/>
          <w:sz w:val="21"/>
        </w:rPr>
        <w:t>247-273.</w:t>
      </w:r>
    </w:p>
    <w:p>
      <w:pPr>
        <w:spacing w:line="259" w:lineRule="auto" w:before="0"/>
        <w:ind w:left="841" w:right="115" w:hanging="738"/>
        <w:jc w:val="both"/>
        <w:rPr>
          <w:sz w:val="21"/>
        </w:rPr>
      </w:pPr>
      <w:r>
        <w:rPr>
          <w:color w:val="231F20"/>
          <w:w w:val="105"/>
          <w:sz w:val="21"/>
        </w:rPr>
        <w:t>Kaldor,</w:t>
      </w:r>
      <w:r>
        <w:rPr>
          <w:color w:val="231F20"/>
          <w:spacing w:val="-39"/>
          <w:w w:val="105"/>
          <w:sz w:val="21"/>
        </w:rPr>
        <w:t> </w:t>
      </w:r>
      <w:r>
        <w:rPr>
          <w:color w:val="231F20"/>
          <w:w w:val="105"/>
          <w:sz w:val="21"/>
        </w:rPr>
        <w:t>N.</w:t>
      </w:r>
      <w:r>
        <w:rPr>
          <w:color w:val="231F20"/>
          <w:spacing w:val="-39"/>
          <w:w w:val="105"/>
          <w:sz w:val="21"/>
        </w:rPr>
        <w:t> </w:t>
      </w:r>
      <w:r>
        <w:rPr>
          <w:color w:val="231F20"/>
          <w:w w:val="105"/>
          <w:sz w:val="21"/>
        </w:rPr>
        <w:t>(1978),</w:t>
      </w:r>
      <w:r>
        <w:rPr>
          <w:color w:val="231F20"/>
          <w:spacing w:val="-39"/>
          <w:w w:val="105"/>
          <w:sz w:val="21"/>
        </w:rPr>
        <w:t> </w:t>
      </w:r>
      <w:r>
        <w:rPr>
          <w:i/>
          <w:color w:val="231F20"/>
          <w:w w:val="105"/>
          <w:sz w:val="21"/>
        </w:rPr>
        <w:t>Further</w:t>
      </w:r>
      <w:r>
        <w:rPr>
          <w:i/>
          <w:color w:val="231F20"/>
          <w:spacing w:val="-36"/>
          <w:w w:val="105"/>
          <w:sz w:val="21"/>
        </w:rPr>
        <w:t> </w:t>
      </w:r>
      <w:r>
        <w:rPr>
          <w:i/>
          <w:color w:val="231F20"/>
          <w:w w:val="105"/>
          <w:sz w:val="21"/>
        </w:rPr>
        <w:t>Essays</w:t>
      </w:r>
      <w:r>
        <w:rPr>
          <w:i/>
          <w:color w:val="231F20"/>
          <w:spacing w:val="-36"/>
          <w:w w:val="105"/>
          <w:sz w:val="21"/>
        </w:rPr>
        <w:t> </w:t>
      </w:r>
      <w:r>
        <w:rPr>
          <w:i/>
          <w:color w:val="231F20"/>
          <w:w w:val="105"/>
          <w:sz w:val="21"/>
        </w:rPr>
        <w:t>on</w:t>
      </w:r>
      <w:r>
        <w:rPr>
          <w:i/>
          <w:color w:val="231F20"/>
          <w:spacing w:val="-38"/>
          <w:w w:val="105"/>
          <w:sz w:val="21"/>
        </w:rPr>
        <w:t> </w:t>
      </w:r>
      <w:r>
        <w:rPr>
          <w:i/>
          <w:color w:val="231F20"/>
          <w:w w:val="105"/>
          <w:sz w:val="21"/>
        </w:rPr>
        <w:t>Applied</w:t>
      </w:r>
      <w:r>
        <w:rPr>
          <w:i/>
          <w:color w:val="231F20"/>
          <w:spacing w:val="-36"/>
          <w:w w:val="105"/>
          <w:sz w:val="21"/>
        </w:rPr>
        <w:t> </w:t>
      </w:r>
      <w:r>
        <w:rPr>
          <w:i/>
          <w:color w:val="231F20"/>
          <w:w w:val="105"/>
          <w:sz w:val="21"/>
        </w:rPr>
        <w:t>Economics</w:t>
      </w:r>
      <w:r>
        <w:rPr>
          <w:color w:val="231F20"/>
          <w:w w:val="105"/>
          <w:sz w:val="21"/>
        </w:rPr>
        <w:t>,</w:t>
      </w:r>
      <w:r>
        <w:rPr>
          <w:color w:val="231F20"/>
          <w:spacing w:val="-39"/>
          <w:w w:val="105"/>
          <w:sz w:val="21"/>
        </w:rPr>
        <w:t> </w:t>
      </w:r>
      <w:r>
        <w:rPr>
          <w:color w:val="231F20"/>
          <w:w w:val="105"/>
          <w:sz w:val="21"/>
        </w:rPr>
        <w:t>Duckworth,</w:t>
      </w:r>
      <w:r>
        <w:rPr>
          <w:color w:val="231F20"/>
          <w:spacing w:val="-39"/>
          <w:w w:val="105"/>
          <w:sz w:val="21"/>
        </w:rPr>
        <w:t> </w:t>
      </w:r>
      <w:r>
        <w:rPr>
          <w:color w:val="231F20"/>
          <w:w w:val="105"/>
          <w:sz w:val="21"/>
        </w:rPr>
        <w:t>Lon- don.</w:t>
      </w:r>
    </w:p>
    <w:p>
      <w:pPr>
        <w:pStyle w:val="BodyText"/>
        <w:spacing w:line="259" w:lineRule="auto"/>
        <w:ind w:left="841" w:right="109" w:hanging="738"/>
        <w:jc w:val="both"/>
      </w:pPr>
      <w:r>
        <w:rPr>
          <w:color w:val="231F20"/>
        </w:rPr>
        <w:t>––––––– (1975), “Economic Growth and the Verdoorn Law. A comment on Mr. Rowthorn´s article” en: </w:t>
      </w:r>
      <w:r>
        <w:rPr>
          <w:i/>
          <w:color w:val="231F20"/>
        </w:rPr>
        <w:t>The Economic Journal</w:t>
      </w:r>
      <w:r>
        <w:rPr>
          <w:color w:val="231F20"/>
        </w:rPr>
        <w:t>, núm. 85, pp. 891-896.</w:t>
      </w:r>
    </w:p>
    <w:p>
      <w:pPr>
        <w:spacing w:line="259" w:lineRule="auto" w:before="0"/>
        <w:ind w:left="840" w:right="115" w:hanging="737"/>
        <w:jc w:val="both"/>
        <w:rPr>
          <w:sz w:val="21"/>
        </w:rPr>
      </w:pPr>
      <w:r>
        <w:rPr>
          <w:color w:val="231F20"/>
          <w:sz w:val="21"/>
        </w:rPr>
        <w:t>–––––––</w:t>
      </w:r>
      <w:r>
        <w:rPr>
          <w:color w:val="231F20"/>
          <w:spacing w:val="-21"/>
          <w:sz w:val="21"/>
        </w:rPr>
        <w:t> </w:t>
      </w:r>
      <w:r>
        <w:rPr>
          <w:color w:val="231F20"/>
          <w:sz w:val="21"/>
        </w:rPr>
        <w:t>(1970),</w:t>
      </w:r>
      <w:r>
        <w:rPr>
          <w:color w:val="231F20"/>
          <w:spacing w:val="-21"/>
          <w:sz w:val="21"/>
        </w:rPr>
        <w:t> </w:t>
      </w:r>
      <w:r>
        <w:rPr>
          <w:color w:val="231F20"/>
          <w:sz w:val="21"/>
        </w:rPr>
        <w:t>“The</w:t>
      </w:r>
      <w:r>
        <w:rPr>
          <w:color w:val="231F20"/>
          <w:spacing w:val="-21"/>
          <w:sz w:val="21"/>
        </w:rPr>
        <w:t> </w:t>
      </w:r>
      <w:r>
        <w:rPr>
          <w:color w:val="231F20"/>
          <w:sz w:val="21"/>
        </w:rPr>
        <w:t>case</w:t>
      </w:r>
      <w:r>
        <w:rPr>
          <w:color w:val="231F20"/>
          <w:spacing w:val="-21"/>
          <w:sz w:val="21"/>
        </w:rPr>
        <w:t> </w:t>
      </w:r>
      <w:r>
        <w:rPr>
          <w:color w:val="231F20"/>
          <w:sz w:val="21"/>
        </w:rPr>
        <w:t>for</w:t>
      </w:r>
      <w:r>
        <w:rPr>
          <w:color w:val="231F20"/>
          <w:spacing w:val="-21"/>
          <w:sz w:val="21"/>
        </w:rPr>
        <w:t> </w:t>
      </w:r>
      <w:r>
        <w:rPr>
          <w:color w:val="231F20"/>
          <w:sz w:val="21"/>
        </w:rPr>
        <w:t>regional</w:t>
      </w:r>
      <w:r>
        <w:rPr>
          <w:color w:val="231F20"/>
          <w:spacing w:val="-21"/>
          <w:sz w:val="21"/>
        </w:rPr>
        <w:t> </w:t>
      </w:r>
      <w:r>
        <w:rPr>
          <w:color w:val="231F20"/>
          <w:sz w:val="21"/>
        </w:rPr>
        <w:t>policies”</w:t>
      </w:r>
      <w:r>
        <w:rPr>
          <w:color w:val="231F20"/>
          <w:spacing w:val="-21"/>
          <w:sz w:val="21"/>
        </w:rPr>
        <w:t> </w:t>
      </w:r>
      <w:r>
        <w:rPr>
          <w:color w:val="231F20"/>
          <w:sz w:val="21"/>
        </w:rPr>
        <w:t>en:</w:t>
      </w:r>
      <w:r>
        <w:rPr>
          <w:color w:val="231F20"/>
          <w:spacing w:val="-21"/>
          <w:sz w:val="21"/>
        </w:rPr>
        <w:t> </w:t>
      </w:r>
      <w:r>
        <w:rPr>
          <w:i/>
          <w:color w:val="231F20"/>
          <w:sz w:val="21"/>
        </w:rPr>
        <w:t>Scottish</w:t>
      </w:r>
      <w:r>
        <w:rPr>
          <w:i/>
          <w:color w:val="231F20"/>
          <w:spacing w:val="-22"/>
          <w:sz w:val="21"/>
        </w:rPr>
        <w:t> </w:t>
      </w:r>
      <w:r>
        <w:rPr>
          <w:i/>
          <w:color w:val="231F20"/>
          <w:sz w:val="21"/>
        </w:rPr>
        <w:t>Journal</w:t>
      </w:r>
      <w:r>
        <w:rPr>
          <w:i/>
          <w:color w:val="231F20"/>
          <w:spacing w:val="-20"/>
          <w:sz w:val="21"/>
        </w:rPr>
        <w:t> </w:t>
      </w:r>
      <w:r>
        <w:rPr>
          <w:i/>
          <w:color w:val="231F20"/>
          <w:sz w:val="21"/>
        </w:rPr>
        <w:t>of</w:t>
      </w:r>
      <w:r>
        <w:rPr>
          <w:i/>
          <w:color w:val="231F20"/>
          <w:spacing w:val="-15"/>
          <w:sz w:val="21"/>
        </w:rPr>
        <w:t> </w:t>
      </w:r>
      <w:r>
        <w:rPr>
          <w:i/>
          <w:color w:val="231F20"/>
          <w:spacing w:val="-3"/>
          <w:sz w:val="21"/>
        </w:rPr>
        <w:t>Polit- </w:t>
      </w:r>
      <w:r>
        <w:rPr>
          <w:i/>
          <w:color w:val="231F20"/>
          <w:sz w:val="21"/>
        </w:rPr>
        <w:t>ical Economy, </w:t>
      </w:r>
      <w:r>
        <w:rPr>
          <w:color w:val="231F20"/>
          <w:sz w:val="21"/>
        </w:rPr>
        <w:t>núm. 17, pp.</w:t>
      </w:r>
      <w:r>
        <w:rPr>
          <w:color w:val="231F20"/>
          <w:spacing w:val="26"/>
          <w:sz w:val="21"/>
        </w:rPr>
        <w:t> </w:t>
      </w:r>
      <w:r>
        <w:rPr>
          <w:color w:val="231F20"/>
          <w:sz w:val="21"/>
        </w:rPr>
        <w:t>337-348.</w:t>
      </w:r>
    </w:p>
    <w:p>
      <w:pPr>
        <w:pStyle w:val="BodyText"/>
        <w:spacing w:line="259" w:lineRule="auto"/>
        <w:ind w:left="840" w:right="108" w:hanging="738"/>
        <w:jc w:val="both"/>
      </w:pPr>
      <w:r>
        <w:rPr>
          <w:color w:val="231F20"/>
        </w:rPr>
        <w:t>––––––– (1966), “Causas del Lento ritmo de crecimiento del Reino </w:t>
      </w:r>
      <w:r>
        <w:rPr>
          <w:color w:val="231F20"/>
          <w:spacing w:val="-4"/>
        </w:rPr>
        <w:t>Unido”, </w:t>
      </w:r>
      <w:r>
        <w:rPr>
          <w:color w:val="231F20"/>
        </w:rPr>
        <w:t>traducción de Fidel Aroche (1984) en: </w:t>
      </w:r>
      <w:r>
        <w:rPr>
          <w:i/>
          <w:color w:val="231F20"/>
        </w:rPr>
        <w:t>Investigación Económica</w:t>
      </w:r>
      <w:r>
        <w:rPr>
          <w:color w:val="231F20"/>
        </w:rPr>
        <w:t>, núm. 167, pp. 9-27.</w:t>
      </w:r>
    </w:p>
    <w:p>
      <w:pPr>
        <w:spacing w:line="259" w:lineRule="auto" w:before="0"/>
        <w:ind w:left="840" w:right="115" w:hanging="738"/>
        <w:jc w:val="both"/>
        <w:rPr>
          <w:sz w:val="21"/>
        </w:rPr>
      </w:pPr>
      <w:r>
        <w:rPr>
          <w:color w:val="231F20"/>
          <w:sz w:val="21"/>
        </w:rPr>
        <w:t>Krugman, P.R. y Obstfeld, M. (2009), </w:t>
      </w:r>
      <w:r>
        <w:rPr>
          <w:i/>
          <w:color w:val="231F20"/>
          <w:sz w:val="21"/>
        </w:rPr>
        <w:t>International economics theory and </w:t>
      </w:r>
      <w:r>
        <w:rPr>
          <w:i/>
          <w:color w:val="231F20"/>
          <w:sz w:val="21"/>
        </w:rPr>
        <w:t>policy</w:t>
      </w:r>
      <w:r>
        <w:rPr>
          <w:color w:val="231F20"/>
          <w:sz w:val="21"/>
        </w:rPr>
        <w:t>, Pearson Addison-Wesley, Boston.</w:t>
      </w:r>
    </w:p>
    <w:p>
      <w:pPr>
        <w:pStyle w:val="BodyText"/>
        <w:spacing w:line="259" w:lineRule="auto"/>
        <w:ind w:left="840" w:right="115" w:hanging="738"/>
        <w:jc w:val="both"/>
      </w:pPr>
      <w:r>
        <w:rPr>
          <w:color w:val="231F20"/>
          <w:w w:val="105"/>
        </w:rPr>
        <w:t>Loayza,</w:t>
      </w:r>
      <w:r>
        <w:rPr>
          <w:color w:val="231F20"/>
          <w:spacing w:val="-23"/>
          <w:w w:val="105"/>
        </w:rPr>
        <w:t> </w:t>
      </w:r>
      <w:r>
        <w:rPr>
          <w:color w:val="231F20"/>
          <w:spacing w:val="-16"/>
          <w:w w:val="105"/>
        </w:rPr>
        <w:t>P.</w:t>
      </w:r>
      <w:r>
        <w:rPr>
          <w:color w:val="231F20"/>
          <w:spacing w:val="-23"/>
          <w:w w:val="105"/>
        </w:rPr>
        <w:t> </w:t>
      </w:r>
      <w:r>
        <w:rPr>
          <w:color w:val="231F20"/>
          <w:w w:val="105"/>
        </w:rPr>
        <w:t>y</w:t>
      </w:r>
      <w:r>
        <w:rPr>
          <w:color w:val="231F20"/>
          <w:spacing w:val="-19"/>
          <w:w w:val="105"/>
        </w:rPr>
        <w:t> </w:t>
      </w:r>
      <w:r>
        <w:rPr>
          <w:color w:val="231F20"/>
          <w:w w:val="105"/>
        </w:rPr>
        <w:t>Calderón,</w:t>
      </w:r>
      <w:r>
        <w:rPr>
          <w:color w:val="231F20"/>
          <w:spacing w:val="-23"/>
          <w:w w:val="105"/>
        </w:rPr>
        <w:t> </w:t>
      </w:r>
      <w:r>
        <w:rPr>
          <w:color w:val="231F20"/>
          <w:w w:val="105"/>
        </w:rPr>
        <w:t>C.</w:t>
      </w:r>
      <w:r>
        <w:rPr>
          <w:color w:val="231F20"/>
          <w:spacing w:val="-23"/>
          <w:w w:val="105"/>
        </w:rPr>
        <w:t> </w:t>
      </w:r>
      <w:r>
        <w:rPr>
          <w:color w:val="231F20"/>
          <w:w w:val="105"/>
        </w:rPr>
        <w:t>(2004),</w:t>
      </w:r>
      <w:r>
        <w:rPr>
          <w:color w:val="231F20"/>
          <w:spacing w:val="-23"/>
          <w:w w:val="105"/>
        </w:rPr>
        <w:t> </w:t>
      </w:r>
      <w:r>
        <w:rPr>
          <w:color w:val="231F20"/>
          <w:w w:val="105"/>
        </w:rPr>
        <w:t>“Economic</w:t>
      </w:r>
      <w:r>
        <w:rPr>
          <w:color w:val="231F20"/>
          <w:spacing w:val="-19"/>
          <w:w w:val="105"/>
        </w:rPr>
        <w:t> </w:t>
      </w:r>
      <w:r>
        <w:rPr>
          <w:color w:val="231F20"/>
          <w:w w:val="105"/>
        </w:rPr>
        <w:t>growth</w:t>
      </w:r>
      <w:r>
        <w:rPr>
          <w:color w:val="231F20"/>
          <w:spacing w:val="-19"/>
          <w:w w:val="105"/>
        </w:rPr>
        <w:t> </w:t>
      </w:r>
      <w:r>
        <w:rPr>
          <w:color w:val="231F20"/>
          <w:w w:val="105"/>
        </w:rPr>
        <w:t>in</w:t>
      </w:r>
      <w:r>
        <w:rPr>
          <w:color w:val="231F20"/>
          <w:spacing w:val="-19"/>
          <w:w w:val="105"/>
        </w:rPr>
        <w:t> </w:t>
      </w:r>
      <w:r>
        <w:rPr>
          <w:color w:val="231F20"/>
          <w:w w:val="105"/>
        </w:rPr>
        <w:t>Latin</w:t>
      </w:r>
      <w:r>
        <w:rPr>
          <w:color w:val="231F20"/>
          <w:spacing w:val="-22"/>
          <w:w w:val="105"/>
        </w:rPr>
        <w:t> </w:t>
      </w:r>
      <w:r>
        <w:rPr>
          <w:color w:val="231F20"/>
          <w:w w:val="105"/>
        </w:rPr>
        <w:t>America</w:t>
      </w:r>
      <w:r>
        <w:rPr>
          <w:color w:val="231F20"/>
          <w:spacing w:val="-19"/>
          <w:w w:val="105"/>
        </w:rPr>
        <w:t> </w:t>
      </w:r>
      <w:r>
        <w:rPr>
          <w:color w:val="231F20"/>
          <w:w w:val="105"/>
        </w:rPr>
        <w:t>and the</w:t>
      </w:r>
      <w:r>
        <w:rPr>
          <w:color w:val="231F20"/>
          <w:spacing w:val="-32"/>
          <w:w w:val="105"/>
        </w:rPr>
        <w:t> </w:t>
      </w:r>
      <w:r>
        <w:rPr>
          <w:color w:val="231F20"/>
          <w:w w:val="105"/>
        </w:rPr>
        <w:t>Caribbean:</w:t>
      </w:r>
      <w:r>
        <w:rPr>
          <w:color w:val="231F20"/>
          <w:spacing w:val="-32"/>
          <w:w w:val="105"/>
        </w:rPr>
        <w:t> </w:t>
      </w:r>
      <w:r>
        <w:rPr>
          <w:color w:val="231F20"/>
          <w:w w:val="105"/>
        </w:rPr>
        <w:t>stylized</w:t>
      </w:r>
      <w:r>
        <w:rPr>
          <w:color w:val="231F20"/>
          <w:spacing w:val="-32"/>
          <w:w w:val="105"/>
        </w:rPr>
        <w:t> </w:t>
      </w:r>
      <w:r>
        <w:rPr>
          <w:color w:val="231F20"/>
          <w:w w:val="105"/>
        </w:rPr>
        <w:t>facts,</w:t>
      </w:r>
      <w:r>
        <w:rPr>
          <w:color w:val="231F20"/>
          <w:spacing w:val="-36"/>
          <w:w w:val="105"/>
        </w:rPr>
        <w:t> </w:t>
      </w:r>
      <w:r>
        <w:rPr>
          <w:color w:val="231F20"/>
          <w:w w:val="105"/>
        </w:rPr>
        <w:t>explanations,</w:t>
      </w:r>
      <w:r>
        <w:rPr>
          <w:color w:val="231F20"/>
          <w:spacing w:val="-36"/>
          <w:w w:val="105"/>
        </w:rPr>
        <w:t> </w:t>
      </w:r>
      <w:r>
        <w:rPr>
          <w:color w:val="231F20"/>
          <w:w w:val="105"/>
        </w:rPr>
        <w:t>and</w:t>
      </w:r>
      <w:r>
        <w:rPr>
          <w:color w:val="231F20"/>
          <w:spacing w:val="-32"/>
          <w:w w:val="105"/>
        </w:rPr>
        <w:t> </w:t>
      </w:r>
      <w:r>
        <w:rPr>
          <w:color w:val="231F20"/>
          <w:w w:val="105"/>
        </w:rPr>
        <w:t>forecast”</w:t>
      </w:r>
      <w:r>
        <w:rPr>
          <w:color w:val="231F20"/>
          <w:spacing w:val="-32"/>
          <w:w w:val="105"/>
        </w:rPr>
        <w:t> </w:t>
      </w:r>
      <w:r>
        <w:rPr>
          <w:color w:val="231F20"/>
          <w:w w:val="105"/>
        </w:rPr>
        <w:t>en:</w:t>
      </w:r>
      <w:r>
        <w:rPr>
          <w:color w:val="231F20"/>
          <w:spacing w:val="-32"/>
          <w:w w:val="105"/>
        </w:rPr>
        <w:t> </w:t>
      </w:r>
      <w:r>
        <w:rPr>
          <w:i/>
          <w:color w:val="231F20"/>
          <w:w w:val="105"/>
        </w:rPr>
        <w:t>Doc- </w:t>
      </w:r>
      <w:r>
        <w:rPr>
          <w:i/>
          <w:color w:val="231F20"/>
          <w:w w:val="105"/>
        </w:rPr>
        <w:t>umentos</w:t>
      </w:r>
      <w:r>
        <w:rPr>
          <w:i/>
          <w:color w:val="231F20"/>
          <w:spacing w:val="-23"/>
          <w:w w:val="105"/>
        </w:rPr>
        <w:t> </w:t>
      </w:r>
      <w:r>
        <w:rPr>
          <w:i/>
          <w:color w:val="231F20"/>
          <w:w w:val="105"/>
        </w:rPr>
        <w:t>de</w:t>
      </w:r>
      <w:r>
        <w:rPr>
          <w:i/>
          <w:color w:val="231F20"/>
          <w:spacing w:val="-27"/>
          <w:w w:val="105"/>
        </w:rPr>
        <w:t> </w:t>
      </w:r>
      <w:r>
        <w:rPr>
          <w:i/>
          <w:color w:val="231F20"/>
          <w:spacing w:val="-3"/>
          <w:w w:val="105"/>
        </w:rPr>
        <w:t>Trabajo</w:t>
      </w:r>
      <w:r>
        <w:rPr>
          <w:color w:val="231F20"/>
          <w:spacing w:val="-3"/>
          <w:w w:val="105"/>
        </w:rPr>
        <w:t>,</w:t>
      </w:r>
      <w:r>
        <w:rPr>
          <w:color w:val="231F20"/>
          <w:spacing w:val="-28"/>
          <w:w w:val="105"/>
        </w:rPr>
        <w:t> </w:t>
      </w:r>
      <w:r>
        <w:rPr>
          <w:color w:val="231F20"/>
          <w:w w:val="105"/>
        </w:rPr>
        <w:t>núm.</w:t>
      </w:r>
      <w:r>
        <w:rPr>
          <w:color w:val="231F20"/>
          <w:spacing w:val="-28"/>
          <w:w w:val="105"/>
        </w:rPr>
        <w:t> </w:t>
      </w:r>
      <w:r>
        <w:rPr>
          <w:color w:val="231F20"/>
          <w:w w:val="105"/>
        </w:rPr>
        <w:t>265,</w:t>
      </w:r>
      <w:r>
        <w:rPr>
          <w:color w:val="231F20"/>
          <w:spacing w:val="-28"/>
          <w:w w:val="105"/>
        </w:rPr>
        <w:t> </w:t>
      </w:r>
      <w:r>
        <w:rPr>
          <w:color w:val="231F20"/>
          <w:w w:val="105"/>
        </w:rPr>
        <w:t>Banco</w:t>
      </w:r>
      <w:r>
        <w:rPr>
          <w:color w:val="231F20"/>
          <w:spacing w:val="-23"/>
          <w:w w:val="105"/>
        </w:rPr>
        <w:t> </w:t>
      </w:r>
      <w:r>
        <w:rPr>
          <w:color w:val="231F20"/>
          <w:w w:val="105"/>
        </w:rPr>
        <w:t>Central</w:t>
      </w:r>
      <w:r>
        <w:rPr>
          <w:color w:val="231F20"/>
          <w:spacing w:val="-23"/>
          <w:w w:val="105"/>
        </w:rPr>
        <w:t> </w:t>
      </w:r>
      <w:r>
        <w:rPr>
          <w:color w:val="231F20"/>
          <w:w w:val="105"/>
        </w:rPr>
        <w:t>de</w:t>
      </w:r>
      <w:r>
        <w:rPr>
          <w:color w:val="231F20"/>
          <w:spacing w:val="-23"/>
          <w:w w:val="105"/>
        </w:rPr>
        <w:t> </w:t>
      </w:r>
      <w:r>
        <w:rPr>
          <w:color w:val="231F20"/>
          <w:w w:val="105"/>
        </w:rPr>
        <w:t>Chile.</w:t>
      </w:r>
    </w:p>
    <w:p>
      <w:pPr>
        <w:spacing w:line="259" w:lineRule="auto" w:before="0"/>
        <w:ind w:left="840" w:right="109" w:hanging="738"/>
        <w:jc w:val="both"/>
        <w:rPr>
          <w:sz w:val="21"/>
        </w:rPr>
      </w:pPr>
      <w:r>
        <w:rPr>
          <w:color w:val="231F20"/>
          <w:sz w:val="21"/>
        </w:rPr>
        <w:t>Mankiw, G., Romer, D. y Weil, D. (2007), “A contribution to the empirics of economic growth” en: </w:t>
      </w:r>
      <w:r>
        <w:rPr>
          <w:i/>
          <w:color w:val="231F20"/>
          <w:sz w:val="21"/>
        </w:rPr>
        <w:t>The Quarterly Journal of Economics</w:t>
      </w:r>
      <w:r>
        <w:rPr>
          <w:color w:val="231F20"/>
          <w:sz w:val="21"/>
        </w:rPr>
        <w:t>, vol. 107, núm. 2, pp. 407-437.</w:t>
      </w:r>
    </w:p>
    <w:p>
      <w:pPr>
        <w:pStyle w:val="BodyText"/>
        <w:spacing w:line="259" w:lineRule="auto"/>
        <w:ind w:left="103" w:right="17"/>
      </w:pPr>
      <w:r>
        <w:rPr>
          <w:color w:val="231F20"/>
          <w:w w:val="105"/>
        </w:rPr>
        <w:t>Marshall, A. (1927), </w:t>
      </w:r>
      <w:r>
        <w:rPr>
          <w:i/>
          <w:color w:val="231F20"/>
          <w:w w:val="105"/>
        </w:rPr>
        <w:t>Principles of Economics, </w:t>
      </w:r>
      <w:r>
        <w:rPr>
          <w:color w:val="231F20"/>
          <w:w w:val="105"/>
        </w:rPr>
        <w:t>McMillan, Londres. </w:t>
      </w:r>
      <w:r>
        <w:rPr>
          <w:color w:val="231F20"/>
        </w:rPr>
        <w:t>Matsuyama, K. (1992), “Agricultural Productivity, Comparative Advantage,</w:t>
      </w:r>
    </w:p>
    <w:p>
      <w:pPr>
        <w:spacing w:line="259" w:lineRule="auto" w:before="0"/>
        <w:ind w:left="840" w:right="99" w:firstLine="0"/>
        <w:jc w:val="left"/>
        <w:rPr>
          <w:sz w:val="21"/>
        </w:rPr>
      </w:pPr>
      <w:r>
        <w:rPr>
          <w:color w:val="231F20"/>
          <w:w w:val="105"/>
          <w:sz w:val="21"/>
        </w:rPr>
        <w:t>and</w:t>
      </w:r>
      <w:r>
        <w:rPr>
          <w:color w:val="231F20"/>
          <w:spacing w:val="-23"/>
          <w:w w:val="105"/>
          <w:sz w:val="21"/>
        </w:rPr>
        <w:t> </w:t>
      </w:r>
      <w:r>
        <w:rPr>
          <w:color w:val="231F20"/>
          <w:w w:val="105"/>
          <w:sz w:val="21"/>
        </w:rPr>
        <w:t>Economic</w:t>
      </w:r>
      <w:r>
        <w:rPr>
          <w:color w:val="231F20"/>
          <w:spacing w:val="-23"/>
          <w:w w:val="105"/>
          <w:sz w:val="21"/>
        </w:rPr>
        <w:t> </w:t>
      </w:r>
      <w:r>
        <w:rPr>
          <w:color w:val="231F20"/>
          <w:w w:val="105"/>
          <w:sz w:val="21"/>
        </w:rPr>
        <w:t>Growth”</w:t>
      </w:r>
      <w:r>
        <w:rPr>
          <w:color w:val="231F20"/>
          <w:spacing w:val="-23"/>
          <w:w w:val="105"/>
          <w:sz w:val="21"/>
        </w:rPr>
        <w:t> </w:t>
      </w:r>
      <w:r>
        <w:rPr>
          <w:color w:val="231F20"/>
          <w:w w:val="105"/>
          <w:sz w:val="21"/>
        </w:rPr>
        <w:t>en:</w:t>
      </w:r>
      <w:r>
        <w:rPr>
          <w:color w:val="231F20"/>
          <w:spacing w:val="-23"/>
          <w:w w:val="105"/>
          <w:sz w:val="21"/>
        </w:rPr>
        <w:t> </w:t>
      </w:r>
      <w:r>
        <w:rPr>
          <w:i/>
          <w:color w:val="231F20"/>
          <w:w w:val="105"/>
          <w:sz w:val="21"/>
        </w:rPr>
        <w:t>Journal</w:t>
      </w:r>
      <w:r>
        <w:rPr>
          <w:i/>
          <w:color w:val="231F20"/>
          <w:spacing w:val="-23"/>
          <w:w w:val="105"/>
          <w:sz w:val="21"/>
        </w:rPr>
        <w:t> </w:t>
      </w:r>
      <w:r>
        <w:rPr>
          <w:i/>
          <w:color w:val="231F20"/>
          <w:w w:val="105"/>
          <w:sz w:val="21"/>
        </w:rPr>
        <w:t>of</w:t>
      </w:r>
      <w:r>
        <w:rPr>
          <w:i/>
          <w:color w:val="231F20"/>
          <w:spacing w:val="-19"/>
          <w:w w:val="105"/>
          <w:sz w:val="21"/>
        </w:rPr>
        <w:t> </w:t>
      </w:r>
      <w:r>
        <w:rPr>
          <w:i/>
          <w:color w:val="231F20"/>
          <w:w w:val="105"/>
          <w:sz w:val="21"/>
        </w:rPr>
        <w:t>Economic</w:t>
      </w:r>
      <w:r>
        <w:rPr>
          <w:i/>
          <w:color w:val="231F20"/>
          <w:spacing w:val="-27"/>
          <w:w w:val="105"/>
          <w:sz w:val="21"/>
        </w:rPr>
        <w:t> </w:t>
      </w:r>
      <w:r>
        <w:rPr>
          <w:i/>
          <w:color w:val="231F20"/>
          <w:w w:val="105"/>
          <w:sz w:val="21"/>
        </w:rPr>
        <w:t>Theory</w:t>
      </w:r>
      <w:r>
        <w:rPr>
          <w:color w:val="231F20"/>
          <w:w w:val="105"/>
          <w:sz w:val="21"/>
        </w:rPr>
        <w:t>,</w:t>
      </w:r>
      <w:r>
        <w:rPr>
          <w:color w:val="231F20"/>
          <w:spacing w:val="-28"/>
          <w:w w:val="105"/>
          <w:sz w:val="21"/>
        </w:rPr>
        <w:t> </w:t>
      </w:r>
      <w:r>
        <w:rPr>
          <w:color w:val="231F20"/>
          <w:w w:val="105"/>
          <w:sz w:val="21"/>
        </w:rPr>
        <w:t>núm.</w:t>
      </w:r>
      <w:r>
        <w:rPr>
          <w:color w:val="231F20"/>
          <w:spacing w:val="-28"/>
          <w:w w:val="105"/>
          <w:sz w:val="21"/>
        </w:rPr>
        <w:t> </w:t>
      </w:r>
      <w:r>
        <w:rPr>
          <w:color w:val="231F20"/>
          <w:w w:val="105"/>
          <w:sz w:val="21"/>
        </w:rPr>
        <w:t>58, pp.</w:t>
      </w:r>
      <w:r>
        <w:rPr>
          <w:color w:val="231F20"/>
          <w:spacing w:val="-22"/>
          <w:w w:val="105"/>
          <w:sz w:val="21"/>
        </w:rPr>
        <w:t> </w:t>
      </w:r>
      <w:r>
        <w:rPr>
          <w:color w:val="231F20"/>
          <w:w w:val="105"/>
          <w:sz w:val="21"/>
        </w:rPr>
        <w:t>317-334.</w:t>
      </w:r>
    </w:p>
    <w:p>
      <w:pPr>
        <w:spacing w:line="259" w:lineRule="auto" w:before="0"/>
        <w:ind w:left="840" w:right="109" w:hanging="738"/>
        <w:jc w:val="both"/>
        <w:rPr>
          <w:sz w:val="21"/>
        </w:rPr>
      </w:pPr>
      <w:r>
        <w:rPr>
          <w:color w:val="231F20"/>
          <w:w w:val="105"/>
          <w:sz w:val="21"/>
        </w:rPr>
        <w:t>McCann,</w:t>
      </w:r>
      <w:r>
        <w:rPr>
          <w:color w:val="231F20"/>
          <w:spacing w:val="-26"/>
          <w:w w:val="105"/>
          <w:sz w:val="21"/>
        </w:rPr>
        <w:t> </w:t>
      </w:r>
      <w:r>
        <w:rPr>
          <w:color w:val="231F20"/>
          <w:spacing w:val="-16"/>
          <w:w w:val="105"/>
          <w:sz w:val="21"/>
        </w:rPr>
        <w:t>P.</w:t>
      </w:r>
      <w:r>
        <w:rPr>
          <w:color w:val="231F20"/>
          <w:spacing w:val="-26"/>
          <w:w w:val="105"/>
          <w:sz w:val="21"/>
        </w:rPr>
        <w:t> </w:t>
      </w:r>
      <w:r>
        <w:rPr>
          <w:color w:val="231F20"/>
          <w:w w:val="105"/>
          <w:sz w:val="21"/>
        </w:rPr>
        <w:t>y</w:t>
      </w:r>
      <w:r>
        <w:rPr>
          <w:color w:val="231F20"/>
          <w:spacing w:val="-23"/>
          <w:w w:val="105"/>
          <w:sz w:val="21"/>
        </w:rPr>
        <w:t> </w:t>
      </w:r>
      <w:r>
        <w:rPr>
          <w:color w:val="231F20"/>
          <w:spacing w:val="-3"/>
          <w:w w:val="105"/>
          <w:sz w:val="21"/>
        </w:rPr>
        <w:t>Van</w:t>
      </w:r>
      <w:r>
        <w:rPr>
          <w:color w:val="231F20"/>
          <w:spacing w:val="-20"/>
          <w:w w:val="105"/>
          <w:sz w:val="21"/>
        </w:rPr>
        <w:t> </w:t>
      </w:r>
      <w:r>
        <w:rPr>
          <w:color w:val="231F20"/>
          <w:w w:val="105"/>
          <w:sz w:val="21"/>
        </w:rPr>
        <w:t>Oort,</w:t>
      </w:r>
      <w:r>
        <w:rPr>
          <w:color w:val="231F20"/>
          <w:spacing w:val="-26"/>
          <w:w w:val="105"/>
          <w:sz w:val="21"/>
        </w:rPr>
        <w:t> </w:t>
      </w:r>
      <w:r>
        <w:rPr>
          <w:color w:val="231F20"/>
          <w:spacing w:val="-11"/>
          <w:w w:val="105"/>
          <w:sz w:val="21"/>
        </w:rPr>
        <w:t>F.</w:t>
      </w:r>
      <w:r>
        <w:rPr>
          <w:color w:val="231F20"/>
          <w:spacing w:val="-26"/>
          <w:w w:val="105"/>
          <w:sz w:val="21"/>
        </w:rPr>
        <w:t> </w:t>
      </w:r>
      <w:r>
        <w:rPr>
          <w:color w:val="231F20"/>
          <w:w w:val="105"/>
          <w:sz w:val="21"/>
        </w:rPr>
        <w:t>(2009),</w:t>
      </w:r>
      <w:r>
        <w:rPr>
          <w:color w:val="231F20"/>
          <w:spacing w:val="-26"/>
          <w:w w:val="105"/>
          <w:sz w:val="21"/>
        </w:rPr>
        <w:t> </w:t>
      </w:r>
      <w:r>
        <w:rPr>
          <w:color w:val="231F20"/>
          <w:w w:val="105"/>
          <w:sz w:val="21"/>
        </w:rPr>
        <w:t>“Theories</w:t>
      </w:r>
      <w:r>
        <w:rPr>
          <w:color w:val="231F20"/>
          <w:spacing w:val="-20"/>
          <w:w w:val="105"/>
          <w:sz w:val="21"/>
        </w:rPr>
        <w:t> </w:t>
      </w:r>
      <w:r>
        <w:rPr>
          <w:color w:val="231F20"/>
          <w:w w:val="105"/>
          <w:sz w:val="21"/>
        </w:rPr>
        <w:t>of</w:t>
      </w:r>
      <w:r>
        <w:rPr>
          <w:color w:val="231F20"/>
          <w:spacing w:val="-16"/>
          <w:w w:val="105"/>
          <w:sz w:val="21"/>
        </w:rPr>
        <w:t> </w:t>
      </w:r>
      <w:r>
        <w:rPr>
          <w:color w:val="231F20"/>
          <w:w w:val="105"/>
          <w:sz w:val="21"/>
        </w:rPr>
        <w:t>agglomeration</w:t>
      </w:r>
      <w:r>
        <w:rPr>
          <w:color w:val="231F20"/>
          <w:spacing w:val="-20"/>
          <w:w w:val="105"/>
          <w:sz w:val="21"/>
        </w:rPr>
        <w:t> </w:t>
      </w:r>
      <w:r>
        <w:rPr>
          <w:color w:val="231F20"/>
          <w:w w:val="105"/>
          <w:sz w:val="21"/>
        </w:rPr>
        <w:t>and</w:t>
      </w:r>
      <w:r>
        <w:rPr>
          <w:color w:val="231F20"/>
          <w:spacing w:val="-20"/>
          <w:w w:val="105"/>
          <w:sz w:val="21"/>
        </w:rPr>
        <w:t> </w:t>
      </w:r>
      <w:r>
        <w:rPr>
          <w:color w:val="231F20"/>
          <w:w w:val="105"/>
          <w:sz w:val="21"/>
        </w:rPr>
        <w:t>region- al economic growth: a historical </w:t>
      </w:r>
      <w:r>
        <w:rPr>
          <w:color w:val="231F20"/>
          <w:spacing w:val="-4"/>
          <w:w w:val="105"/>
          <w:sz w:val="21"/>
        </w:rPr>
        <w:t>review”, </w:t>
      </w:r>
      <w:r>
        <w:rPr>
          <w:i/>
          <w:color w:val="231F20"/>
          <w:w w:val="105"/>
          <w:sz w:val="21"/>
        </w:rPr>
        <w:t>Handbook of Regional </w:t>
      </w:r>
      <w:r>
        <w:rPr>
          <w:i/>
          <w:color w:val="231F20"/>
          <w:w w:val="105"/>
          <w:sz w:val="21"/>
        </w:rPr>
        <w:t>Growth</w:t>
      </w:r>
      <w:r>
        <w:rPr>
          <w:i/>
          <w:color w:val="231F20"/>
          <w:spacing w:val="-30"/>
          <w:w w:val="105"/>
          <w:sz w:val="21"/>
        </w:rPr>
        <w:t> </w:t>
      </w:r>
      <w:r>
        <w:rPr>
          <w:i/>
          <w:color w:val="231F20"/>
          <w:w w:val="105"/>
          <w:sz w:val="21"/>
        </w:rPr>
        <w:t>and</w:t>
      </w:r>
      <w:r>
        <w:rPr>
          <w:i/>
          <w:color w:val="231F20"/>
          <w:spacing w:val="-30"/>
          <w:w w:val="105"/>
          <w:sz w:val="21"/>
        </w:rPr>
        <w:t> </w:t>
      </w:r>
      <w:r>
        <w:rPr>
          <w:i/>
          <w:color w:val="231F20"/>
          <w:w w:val="105"/>
          <w:sz w:val="21"/>
        </w:rPr>
        <w:t>Development</w:t>
      </w:r>
      <w:r>
        <w:rPr>
          <w:i/>
          <w:color w:val="231F20"/>
          <w:spacing w:val="-33"/>
          <w:w w:val="105"/>
          <w:sz w:val="21"/>
        </w:rPr>
        <w:t> </w:t>
      </w:r>
      <w:r>
        <w:rPr>
          <w:i/>
          <w:color w:val="231F20"/>
          <w:w w:val="105"/>
          <w:sz w:val="21"/>
        </w:rPr>
        <w:t>Theories,</w:t>
      </w:r>
      <w:r>
        <w:rPr>
          <w:i/>
          <w:color w:val="231F20"/>
          <w:spacing w:val="-30"/>
          <w:w w:val="105"/>
          <w:sz w:val="21"/>
        </w:rPr>
        <w:t> </w:t>
      </w:r>
      <w:r>
        <w:rPr>
          <w:color w:val="231F20"/>
          <w:w w:val="105"/>
          <w:sz w:val="21"/>
        </w:rPr>
        <w:t>PEFC,</w:t>
      </w:r>
      <w:r>
        <w:rPr>
          <w:color w:val="231F20"/>
          <w:spacing w:val="-34"/>
          <w:w w:val="105"/>
          <w:sz w:val="21"/>
        </w:rPr>
        <w:t> </w:t>
      </w:r>
      <w:r>
        <w:rPr>
          <w:color w:val="231F20"/>
          <w:w w:val="105"/>
          <w:sz w:val="21"/>
        </w:rPr>
        <w:t>Cambridge,</w:t>
      </w:r>
      <w:r>
        <w:rPr>
          <w:color w:val="231F20"/>
          <w:spacing w:val="-34"/>
          <w:w w:val="105"/>
          <w:sz w:val="21"/>
        </w:rPr>
        <w:t> </w:t>
      </w:r>
      <w:r>
        <w:rPr>
          <w:color w:val="231F20"/>
          <w:w w:val="105"/>
          <w:sz w:val="21"/>
        </w:rPr>
        <w:t>Mass,</w:t>
      </w:r>
      <w:r>
        <w:rPr>
          <w:color w:val="231F20"/>
          <w:spacing w:val="-34"/>
          <w:w w:val="105"/>
          <w:sz w:val="21"/>
        </w:rPr>
        <w:t> </w:t>
      </w:r>
      <w:r>
        <w:rPr>
          <w:color w:val="231F20"/>
          <w:w w:val="105"/>
          <w:sz w:val="21"/>
        </w:rPr>
        <w:t>pp. 19-32.</w:t>
      </w:r>
    </w:p>
    <w:p>
      <w:pPr>
        <w:pStyle w:val="BodyText"/>
        <w:spacing w:line="259" w:lineRule="auto"/>
        <w:ind w:left="840" w:right="115" w:hanging="738"/>
        <w:jc w:val="both"/>
      </w:pPr>
      <w:r>
        <w:rPr>
          <w:color w:val="231F20"/>
        </w:rPr>
        <w:t>McCombie J.S.L y de Ridder, J.R. (1981), “What still remains of Kaldor´s Laws?” en: </w:t>
      </w:r>
      <w:r>
        <w:rPr>
          <w:i/>
          <w:color w:val="231F20"/>
        </w:rPr>
        <w:t>The Economic Journal, </w:t>
      </w:r>
      <w:r>
        <w:rPr>
          <w:color w:val="231F20"/>
        </w:rPr>
        <w:t>núm. 91, pp. 206-216.</w:t>
      </w:r>
    </w:p>
    <w:p>
      <w:pPr>
        <w:spacing w:line="259" w:lineRule="auto" w:before="0"/>
        <w:ind w:left="840" w:right="115" w:hanging="737"/>
        <w:jc w:val="both"/>
        <w:rPr>
          <w:sz w:val="21"/>
        </w:rPr>
      </w:pPr>
      <w:r>
        <w:rPr>
          <w:color w:val="231F20"/>
          <w:sz w:val="21"/>
        </w:rPr>
        <w:t>Mendoza</w:t>
      </w:r>
      <w:r>
        <w:rPr>
          <w:color w:val="231F20"/>
          <w:spacing w:val="-8"/>
          <w:sz w:val="21"/>
        </w:rPr>
        <w:t> </w:t>
      </w:r>
      <w:r>
        <w:rPr>
          <w:color w:val="231F20"/>
          <w:sz w:val="21"/>
        </w:rPr>
        <w:t>C.</w:t>
      </w:r>
      <w:r>
        <w:rPr>
          <w:color w:val="231F20"/>
          <w:spacing w:val="-16"/>
          <w:sz w:val="21"/>
        </w:rPr>
        <w:t> </w:t>
      </w:r>
      <w:r>
        <w:rPr>
          <w:color w:val="231F20"/>
          <w:sz w:val="21"/>
        </w:rPr>
        <w:t>y</w:t>
      </w:r>
      <w:r>
        <w:rPr>
          <w:color w:val="231F20"/>
          <w:spacing w:val="-8"/>
          <w:sz w:val="21"/>
        </w:rPr>
        <w:t> </w:t>
      </w:r>
      <w:r>
        <w:rPr>
          <w:color w:val="231F20"/>
          <w:sz w:val="21"/>
        </w:rPr>
        <w:t>Díaz-Bautista,</w:t>
      </w:r>
      <w:r>
        <w:rPr>
          <w:color w:val="231F20"/>
          <w:spacing w:val="-16"/>
          <w:sz w:val="21"/>
        </w:rPr>
        <w:t> </w:t>
      </w:r>
      <w:r>
        <w:rPr>
          <w:color w:val="231F20"/>
          <w:sz w:val="21"/>
        </w:rPr>
        <w:t>a.</w:t>
      </w:r>
      <w:r>
        <w:rPr>
          <w:color w:val="231F20"/>
          <w:spacing w:val="-16"/>
          <w:sz w:val="21"/>
        </w:rPr>
        <w:t> </w:t>
      </w:r>
      <w:r>
        <w:rPr>
          <w:color w:val="231F20"/>
          <w:sz w:val="21"/>
        </w:rPr>
        <w:t>(2006),</w:t>
      </w:r>
      <w:r>
        <w:rPr>
          <w:color w:val="231F20"/>
          <w:spacing w:val="-16"/>
          <w:sz w:val="21"/>
        </w:rPr>
        <w:t> </w:t>
      </w:r>
      <w:r>
        <w:rPr>
          <w:i/>
          <w:color w:val="231F20"/>
          <w:sz w:val="21"/>
        </w:rPr>
        <w:t>Economía</w:t>
      </w:r>
      <w:r>
        <w:rPr>
          <w:i/>
          <w:color w:val="231F20"/>
          <w:spacing w:val="-8"/>
          <w:sz w:val="21"/>
        </w:rPr>
        <w:t> </w:t>
      </w:r>
      <w:r>
        <w:rPr>
          <w:i/>
          <w:color w:val="231F20"/>
          <w:sz w:val="21"/>
        </w:rPr>
        <w:t>regional</w:t>
      </w:r>
      <w:r>
        <w:rPr>
          <w:i/>
          <w:color w:val="231F20"/>
          <w:spacing w:val="-8"/>
          <w:sz w:val="21"/>
        </w:rPr>
        <w:t> </w:t>
      </w:r>
      <w:r>
        <w:rPr>
          <w:i/>
          <w:color w:val="231F20"/>
          <w:sz w:val="21"/>
        </w:rPr>
        <w:t>moderna.</w:t>
      </w:r>
      <w:r>
        <w:rPr>
          <w:i/>
          <w:color w:val="231F20"/>
          <w:spacing w:val="-22"/>
          <w:sz w:val="21"/>
        </w:rPr>
        <w:t> </w:t>
      </w:r>
      <w:r>
        <w:rPr>
          <w:i/>
          <w:color w:val="231F20"/>
          <w:spacing w:val="-4"/>
          <w:sz w:val="21"/>
        </w:rPr>
        <w:t>Teoría </w:t>
      </w:r>
      <w:r>
        <w:rPr>
          <w:i/>
          <w:color w:val="231F20"/>
          <w:sz w:val="21"/>
        </w:rPr>
        <w:t>y práctica, </w:t>
      </w:r>
      <w:r>
        <w:rPr>
          <w:color w:val="231F20"/>
          <w:sz w:val="21"/>
        </w:rPr>
        <w:t>El Colegio de la Frontera Norte y Plaza y Valdés Edito- res,</w:t>
      </w:r>
      <w:r>
        <w:rPr>
          <w:color w:val="231F20"/>
          <w:spacing w:val="-48"/>
          <w:sz w:val="21"/>
        </w:rPr>
        <w:t> </w:t>
      </w:r>
      <w:r>
        <w:rPr>
          <w:color w:val="231F20"/>
          <w:sz w:val="21"/>
        </w:rPr>
        <w:t>Tijuana B.C.</w:t>
      </w:r>
    </w:p>
    <w:p>
      <w:pPr>
        <w:spacing w:line="259" w:lineRule="auto" w:before="0"/>
        <w:ind w:left="840" w:right="109" w:hanging="738"/>
        <w:jc w:val="both"/>
        <w:rPr>
          <w:sz w:val="21"/>
        </w:rPr>
      </w:pPr>
      <w:r>
        <w:rPr>
          <w:color w:val="231F20"/>
          <w:w w:val="105"/>
          <w:sz w:val="21"/>
        </w:rPr>
        <w:t>Millin, M.y </w:t>
      </w:r>
      <w:r>
        <w:rPr>
          <w:color w:val="231F20"/>
          <w:spacing w:val="-3"/>
          <w:w w:val="105"/>
          <w:sz w:val="21"/>
        </w:rPr>
        <w:t>Tennassie, </w:t>
      </w:r>
      <w:r>
        <w:rPr>
          <w:color w:val="231F20"/>
          <w:w w:val="105"/>
          <w:sz w:val="21"/>
        </w:rPr>
        <w:t>N (2005), “Explaining economic growth in South Africa: a Kaldorian approach</w:t>
      </w:r>
      <w:r>
        <w:rPr>
          <w:i/>
          <w:color w:val="231F20"/>
          <w:w w:val="105"/>
          <w:sz w:val="21"/>
        </w:rPr>
        <w:t>” </w:t>
      </w:r>
      <w:r>
        <w:rPr>
          <w:color w:val="231F20"/>
          <w:w w:val="105"/>
          <w:sz w:val="21"/>
        </w:rPr>
        <w:t>en: </w:t>
      </w:r>
      <w:r>
        <w:rPr>
          <w:i/>
          <w:color w:val="231F20"/>
          <w:w w:val="105"/>
          <w:sz w:val="21"/>
        </w:rPr>
        <w:t>International Journal of </w:t>
      </w:r>
      <w:r>
        <w:rPr>
          <w:i/>
          <w:color w:val="231F20"/>
          <w:spacing w:val="-5"/>
          <w:w w:val="105"/>
          <w:sz w:val="21"/>
        </w:rPr>
        <w:t>Tech- </w:t>
      </w:r>
      <w:r>
        <w:rPr>
          <w:i/>
          <w:color w:val="231F20"/>
          <w:w w:val="105"/>
          <w:sz w:val="21"/>
        </w:rPr>
        <w:t>nology</w:t>
      </w:r>
      <w:r>
        <w:rPr>
          <w:i/>
          <w:color w:val="231F20"/>
          <w:spacing w:val="-9"/>
          <w:w w:val="105"/>
          <w:sz w:val="21"/>
        </w:rPr>
        <w:t> </w:t>
      </w:r>
      <w:r>
        <w:rPr>
          <w:i/>
          <w:color w:val="231F20"/>
          <w:w w:val="105"/>
          <w:sz w:val="21"/>
        </w:rPr>
        <w:t>Management</w:t>
      </w:r>
      <w:r>
        <w:rPr>
          <w:i/>
          <w:color w:val="231F20"/>
          <w:spacing w:val="-9"/>
          <w:w w:val="105"/>
          <w:sz w:val="21"/>
        </w:rPr>
        <w:t> </w:t>
      </w:r>
      <w:r>
        <w:rPr>
          <w:i/>
          <w:color w:val="231F20"/>
          <w:w w:val="105"/>
          <w:sz w:val="21"/>
        </w:rPr>
        <w:t>and</w:t>
      </w:r>
      <w:r>
        <w:rPr>
          <w:i/>
          <w:color w:val="231F20"/>
          <w:spacing w:val="-9"/>
          <w:w w:val="105"/>
          <w:sz w:val="21"/>
        </w:rPr>
        <w:t> </w:t>
      </w:r>
      <w:r>
        <w:rPr>
          <w:i/>
          <w:color w:val="231F20"/>
          <w:w w:val="105"/>
          <w:sz w:val="21"/>
        </w:rPr>
        <w:t>Sustainable</w:t>
      </w:r>
      <w:r>
        <w:rPr>
          <w:i/>
          <w:color w:val="231F20"/>
          <w:spacing w:val="-9"/>
          <w:w w:val="105"/>
          <w:sz w:val="21"/>
        </w:rPr>
        <w:t> </w:t>
      </w:r>
      <w:r>
        <w:rPr>
          <w:i/>
          <w:color w:val="231F20"/>
          <w:w w:val="105"/>
          <w:sz w:val="21"/>
        </w:rPr>
        <w:t>Development</w:t>
      </w:r>
      <w:r>
        <w:rPr>
          <w:color w:val="231F20"/>
          <w:w w:val="105"/>
          <w:sz w:val="21"/>
        </w:rPr>
        <w:t>,</w:t>
      </w:r>
      <w:r>
        <w:rPr>
          <w:color w:val="231F20"/>
          <w:spacing w:val="-15"/>
          <w:w w:val="105"/>
          <w:sz w:val="21"/>
        </w:rPr>
        <w:t> </w:t>
      </w:r>
      <w:r>
        <w:rPr>
          <w:color w:val="231F20"/>
          <w:w w:val="105"/>
          <w:sz w:val="21"/>
        </w:rPr>
        <w:t>vol.</w:t>
      </w:r>
      <w:r>
        <w:rPr>
          <w:color w:val="231F20"/>
          <w:spacing w:val="-15"/>
          <w:w w:val="105"/>
          <w:sz w:val="21"/>
        </w:rPr>
        <w:t> </w:t>
      </w:r>
      <w:r>
        <w:rPr>
          <w:color w:val="231F20"/>
          <w:w w:val="105"/>
          <w:sz w:val="21"/>
        </w:rPr>
        <w:t>4,</w:t>
      </w:r>
      <w:r>
        <w:rPr>
          <w:color w:val="231F20"/>
          <w:spacing w:val="-15"/>
          <w:w w:val="105"/>
          <w:sz w:val="21"/>
        </w:rPr>
        <w:t> </w:t>
      </w:r>
      <w:r>
        <w:rPr>
          <w:color w:val="231F20"/>
          <w:w w:val="105"/>
          <w:sz w:val="21"/>
        </w:rPr>
        <w:t>núm. 1,</w:t>
      </w:r>
      <w:r>
        <w:rPr>
          <w:color w:val="231F20"/>
          <w:spacing w:val="-20"/>
          <w:w w:val="105"/>
          <w:sz w:val="21"/>
        </w:rPr>
        <w:t> </w:t>
      </w:r>
      <w:r>
        <w:rPr>
          <w:color w:val="231F20"/>
          <w:w w:val="105"/>
          <w:sz w:val="21"/>
        </w:rPr>
        <w:t>pp.</w:t>
      </w:r>
      <w:r>
        <w:rPr>
          <w:color w:val="231F20"/>
          <w:spacing w:val="-20"/>
          <w:w w:val="105"/>
          <w:sz w:val="21"/>
        </w:rPr>
        <w:t> </w:t>
      </w:r>
      <w:r>
        <w:rPr>
          <w:color w:val="231F20"/>
          <w:w w:val="105"/>
          <w:sz w:val="21"/>
        </w:rPr>
        <w:t>47</w:t>
      </w:r>
      <w:r>
        <w:rPr>
          <w:color w:val="231F20"/>
          <w:spacing w:val="-14"/>
          <w:w w:val="105"/>
          <w:sz w:val="21"/>
        </w:rPr>
        <w:t> </w:t>
      </w:r>
      <w:r>
        <w:rPr>
          <w:color w:val="231F20"/>
          <w:w w:val="105"/>
          <w:sz w:val="21"/>
        </w:rPr>
        <w:t>-62.</w:t>
      </w:r>
    </w:p>
    <w:p>
      <w:pPr>
        <w:spacing w:line="259" w:lineRule="auto" w:before="0"/>
        <w:ind w:left="840" w:right="115" w:hanging="738"/>
        <w:jc w:val="both"/>
        <w:rPr>
          <w:sz w:val="21"/>
        </w:rPr>
      </w:pPr>
      <w:r>
        <w:rPr>
          <w:color w:val="231F20"/>
          <w:w w:val="105"/>
          <w:sz w:val="21"/>
        </w:rPr>
        <w:t>Moreno, Á. (2008), “Las leyes del desarrollo económico endógeno de Kaldor:</w:t>
      </w:r>
      <w:r>
        <w:rPr>
          <w:color w:val="231F20"/>
          <w:spacing w:val="-9"/>
          <w:w w:val="105"/>
          <w:sz w:val="21"/>
        </w:rPr>
        <w:t> </w:t>
      </w:r>
      <w:r>
        <w:rPr>
          <w:color w:val="231F20"/>
          <w:w w:val="105"/>
          <w:sz w:val="21"/>
        </w:rPr>
        <w:t>el</w:t>
      </w:r>
      <w:r>
        <w:rPr>
          <w:color w:val="231F20"/>
          <w:spacing w:val="-9"/>
          <w:w w:val="105"/>
          <w:sz w:val="21"/>
        </w:rPr>
        <w:t> </w:t>
      </w:r>
      <w:r>
        <w:rPr>
          <w:color w:val="231F20"/>
          <w:w w:val="105"/>
          <w:sz w:val="21"/>
        </w:rPr>
        <w:t>caso</w:t>
      </w:r>
      <w:r>
        <w:rPr>
          <w:color w:val="231F20"/>
          <w:spacing w:val="-9"/>
          <w:w w:val="105"/>
          <w:sz w:val="21"/>
        </w:rPr>
        <w:t> </w:t>
      </w:r>
      <w:r>
        <w:rPr>
          <w:color w:val="231F20"/>
          <w:w w:val="105"/>
          <w:sz w:val="21"/>
        </w:rPr>
        <w:t>colombiano”</w:t>
      </w:r>
      <w:r>
        <w:rPr>
          <w:color w:val="231F20"/>
          <w:spacing w:val="-9"/>
          <w:w w:val="105"/>
          <w:sz w:val="21"/>
        </w:rPr>
        <w:t> </w:t>
      </w:r>
      <w:r>
        <w:rPr>
          <w:color w:val="231F20"/>
          <w:w w:val="105"/>
          <w:sz w:val="21"/>
        </w:rPr>
        <w:t>en:</w:t>
      </w:r>
      <w:r>
        <w:rPr>
          <w:color w:val="231F20"/>
          <w:spacing w:val="-9"/>
          <w:w w:val="105"/>
          <w:sz w:val="21"/>
        </w:rPr>
        <w:t> </w:t>
      </w:r>
      <w:r>
        <w:rPr>
          <w:i/>
          <w:color w:val="231F20"/>
          <w:w w:val="105"/>
          <w:sz w:val="21"/>
        </w:rPr>
        <w:t>Revista</w:t>
      </w:r>
      <w:r>
        <w:rPr>
          <w:i/>
          <w:color w:val="231F20"/>
          <w:spacing w:val="-9"/>
          <w:w w:val="105"/>
          <w:sz w:val="21"/>
        </w:rPr>
        <w:t> </w:t>
      </w:r>
      <w:r>
        <w:rPr>
          <w:i/>
          <w:color w:val="231F20"/>
          <w:w w:val="105"/>
          <w:sz w:val="21"/>
        </w:rPr>
        <w:t>de</w:t>
      </w:r>
      <w:r>
        <w:rPr>
          <w:i/>
          <w:color w:val="231F20"/>
          <w:spacing w:val="-9"/>
          <w:w w:val="105"/>
          <w:sz w:val="21"/>
        </w:rPr>
        <w:t> </w:t>
      </w:r>
      <w:r>
        <w:rPr>
          <w:i/>
          <w:color w:val="231F20"/>
          <w:w w:val="105"/>
          <w:sz w:val="21"/>
        </w:rPr>
        <w:t>Economía</w:t>
      </w:r>
      <w:r>
        <w:rPr>
          <w:i/>
          <w:color w:val="231F20"/>
          <w:spacing w:val="-9"/>
          <w:w w:val="105"/>
          <w:sz w:val="21"/>
        </w:rPr>
        <w:t> </w:t>
      </w:r>
      <w:r>
        <w:rPr>
          <w:i/>
          <w:color w:val="231F20"/>
          <w:w w:val="105"/>
          <w:sz w:val="21"/>
        </w:rPr>
        <w:t>Institucio- </w:t>
      </w:r>
      <w:r>
        <w:rPr>
          <w:i/>
          <w:color w:val="231F20"/>
          <w:w w:val="105"/>
          <w:sz w:val="21"/>
        </w:rPr>
        <w:t>nal</w:t>
      </w:r>
      <w:r>
        <w:rPr>
          <w:color w:val="231F20"/>
          <w:w w:val="105"/>
          <w:sz w:val="21"/>
        </w:rPr>
        <w:t>,</w:t>
      </w:r>
      <w:r>
        <w:rPr>
          <w:color w:val="231F20"/>
          <w:spacing w:val="-24"/>
          <w:w w:val="105"/>
          <w:sz w:val="21"/>
        </w:rPr>
        <w:t> </w:t>
      </w:r>
      <w:r>
        <w:rPr>
          <w:color w:val="231F20"/>
          <w:w w:val="105"/>
          <w:sz w:val="21"/>
        </w:rPr>
        <w:t>vol.</w:t>
      </w:r>
      <w:r>
        <w:rPr>
          <w:color w:val="231F20"/>
          <w:spacing w:val="-24"/>
          <w:w w:val="105"/>
          <w:sz w:val="21"/>
        </w:rPr>
        <w:t> </w:t>
      </w:r>
      <w:r>
        <w:rPr>
          <w:color w:val="231F20"/>
          <w:w w:val="105"/>
          <w:sz w:val="21"/>
        </w:rPr>
        <w:t>10,</w:t>
      </w:r>
      <w:r>
        <w:rPr>
          <w:color w:val="231F20"/>
          <w:spacing w:val="-24"/>
          <w:w w:val="105"/>
          <w:sz w:val="21"/>
        </w:rPr>
        <w:t> </w:t>
      </w:r>
      <w:r>
        <w:rPr>
          <w:color w:val="231F20"/>
          <w:w w:val="105"/>
          <w:sz w:val="21"/>
        </w:rPr>
        <w:t>núm.</w:t>
      </w:r>
      <w:r>
        <w:rPr>
          <w:color w:val="231F20"/>
          <w:spacing w:val="-24"/>
          <w:w w:val="105"/>
          <w:sz w:val="21"/>
        </w:rPr>
        <w:t> </w:t>
      </w:r>
      <w:r>
        <w:rPr>
          <w:color w:val="231F20"/>
          <w:w w:val="105"/>
          <w:sz w:val="21"/>
        </w:rPr>
        <w:t>18,</w:t>
      </w:r>
      <w:r>
        <w:rPr>
          <w:color w:val="231F20"/>
          <w:spacing w:val="-24"/>
          <w:w w:val="105"/>
          <w:sz w:val="21"/>
        </w:rPr>
        <w:t> </w:t>
      </w:r>
      <w:r>
        <w:rPr>
          <w:color w:val="231F20"/>
          <w:w w:val="105"/>
          <w:sz w:val="21"/>
        </w:rPr>
        <w:t>pp.</w:t>
      </w:r>
      <w:r>
        <w:rPr>
          <w:color w:val="231F20"/>
          <w:spacing w:val="-24"/>
          <w:w w:val="105"/>
          <w:sz w:val="21"/>
        </w:rPr>
        <w:t> </w:t>
      </w:r>
      <w:r>
        <w:rPr>
          <w:color w:val="231F20"/>
          <w:w w:val="105"/>
          <w:sz w:val="21"/>
        </w:rPr>
        <w:t>129-147.</w:t>
      </w:r>
    </w:p>
    <w:p>
      <w:pPr>
        <w:pStyle w:val="BodyText"/>
        <w:rPr>
          <w:sz w:val="20"/>
        </w:rPr>
      </w:pPr>
    </w:p>
    <w:p>
      <w:pPr>
        <w:pStyle w:val="BodyText"/>
        <w:rPr>
          <w:sz w:val="20"/>
        </w:rPr>
      </w:pPr>
    </w:p>
    <w:p>
      <w:pPr>
        <w:pStyle w:val="BodyText"/>
        <w:rPr>
          <w:sz w:val="20"/>
        </w:rPr>
      </w:pPr>
    </w:p>
    <w:p>
      <w:pPr>
        <w:pStyle w:val="BodyText"/>
        <w:spacing w:before="8"/>
        <w:rPr>
          <w:sz w:val="27"/>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48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258</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58"/>
        </w:numPr>
        <w:tabs>
          <w:tab w:pos="2022" w:val="left" w:leader="none"/>
          <w:tab w:pos="6971" w:val="right" w:leader="none"/>
        </w:tabs>
        <w:spacing w:line="240" w:lineRule="auto" w:before="52" w:after="0"/>
        <w:ind w:left="404" w:right="0" w:firstLine="1465"/>
        <w:jc w:val="left"/>
        <w:rPr>
          <w:rFonts w:ascii="Lucida Sans Unicode" w:hAnsi="Lucida Sans Unicode"/>
          <w:color w:val="6D6E71"/>
          <w:sz w:val="14"/>
        </w:rPr>
      </w:pPr>
      <w:r>
        <w:rPr/>
        <w:pict>
          <v:line style="position:absolute;mso-position-horizontal-relative:page;mso-position-vertical-relative:paragraph;z-index:-238456" from="384.061005pt,-25.30427pt" to="384.061005pt,9.561580pt" stroked="true" strokeweight=".3pt" strokecolor="#231f20">
            <w10:wrap type="none"/>
          </v:line>
        </w:pict>
      </w:r>
      <w:r>
        <w:rPr>
          <w:rFonts w:ascii="Lucida Sans Unicode" w:hAnsi="Lucida Sans Unicode"/>
          <w:color w:val="6D6E71"/>
          <w:w w:val="110"/>
          <w:sz w:val="14"/>
        </w:rPr>
        <w:t>El</w:t>
      </w:r>
      <w:r>
        <w:rPr>
          <w:rFonts w:ascii="Lucida Sans Unicode" w:hAnsi="Lucida Sans Unicode"/>
          <w:color w:val="6D6E71"/>
          <w:spacing w:val="-20"/>
          <w:w w:val="110"/>
          <w:sz w:val="14"/>
        </w:rPr>
        <w:t> </w:t>
      </w:r>
      <w:r>
        <w:rPr>
          <w:rFonts w:ascii="Lucida Sans Unicode" w:hAnsi="Lucida Sans Unicode"/>
          <w:color w:val="6D6E71"/>
          <w:w w:val="110"/>
          <w:sz w:val="14"/>
        </w:rPr>
        <w:t>crEcimiEnto</w:t>
      </w:r>
      <w:r>
        <w:rPr>
          <w:rFonts w:ascii="Lucida Sans Unicode" w:hAnsi="Lucida Sans Unicode"/>
          <w:color w:val="6D6E71"/>
          <w:spacing w:val="-20"/>
          <w:w w:val="110"/>
          <w:sz w:val="14"/>
        </w:rPr>
        <w:t> </w:t>
      </w:r>
      <w:r>
        <w:rPr>
          <w:rFonts w:ascii="Lucida Sans Unicode" w:hAnsi="Lucida Sans Unicode"/>
          <w:color w:val="6D6E71"/>
          <w:w w:val="110"/>
          <w:sz w:val="14"/>
        </w:rPr>
        <w:t>Económico</w:t>
      </w:r>
      <w:r>
        <w:rPr>
          <w:rFonts w:ascii="Lucida Sans Unicode" w:hAnsi="Lucida Sans Unicode"/>
          <w:color w:val="6D6E71"/>
          <w:spacing w:val="-20"/>
          <w:w w:val="110"/>
          <w:sz w:val="14"/>
        </w:rPr>
        <w:t> </w:t>
      </w:r>
      <w:r>
        <w:rPr>
          <w:rFonts w:ascii="Lucida Sans Unicode" w:hAnsi="Lucida Sans Unicode"/>
          <w:color w:val="6D6E71"/>
          <w:w w:val="110"/>
          <w:sz w:val="14"/>
        </w:rPr>
        <w:t>rEgional</w:t>
      </w:r>
      <w:r>
        <w:rPr>
          <w:rFonts w:ascii="Lucida Sans Unicode" w:hAnsi="Lucida Sans Unicode"/>
          <w:color w:val="6D6E71"/>
          <w:spacing w:val="-20"/>
          <w:w w:val="110"/>
          <w:sz w:val="14"/>
        </w:rPr>
        <w:t> </w:t>
      </w:r>
      <w:r>
        <w:rPr>
          <w:rFonts w:ascii="Lucida Sans Unicode" w:hAnsi="Lucida Sans Unicode"/>
          <w:color w:val="6D6E71"/>
          <w:w w:val="110"/>
          <w:sz w:val="14"/>
        </w:rPr>
        <w:t>a</w:t>
      </w:r>
      <w:r>
        <w:rPr>
          <w:rFonts w:ascii="Lucida Sans Unicode" w:hAnsi="Lucida Sans Unicode"/>
          <w:color w:val="6D6E71"/>
          <w:spacing w:val="-20"/>
          <w:w w:val="110"/>
          <w:sz w:val="14"/>
        </w:rPr>
        <w:t> </w:t>
      </w:r>
      <w:r>
        <w:rPr>
          <w:rFonts w:ascii="Lucida Sans Unicode" w:hAnsi="Lucida Sans Unicode"/>
          <w:color w:val="6D6E71"/>
          <w:spacing w:val="-3"/>
          <w:w w:val="110"/>
          <w:sz w:val="14"/>
        </w:rPr>
        <w:t>través</w:t>
      </w:r>
      <w:r>
        <w:rPr>
          <w:rFonts w:ascii="Lucida Sans Unicode" w:hAnsi="Lucida Sans Unicode"/>
          <w:color w:val="6D6E71"/>
          <w:spacing w:val="-20"/>
          <w:w w:val="110"/>
          <w:sz w:val="14"/>
        </w:rPr>
        <w:t> </w:t>
      </w:r>
      <w:r>
        <w:rPr>
          <w:rFonts w:ascii="Lucida Sans Unicode" w:hAnsi="Lucida Sans Unicode"/>
          <w:color w:val="6D6E71"/>
          <w:w w:val="110"/>
          <w:sz w:val="14"/>
        </w:rPr>
        <w:t>dE</w:t>
      </w:r>
      <w:r>
        <w:rPr>
          <w:rFonts w:ascii="Lucida Sans Unicode" w:hAnsi="Lucida Sans Unicode"/>
          <w:color w:val="6D6E71"/>
          <w:spacing w:val="-20"/>
          <w:w w:val="110"/>
          <w:sz w:val="14"/>
        </w:rPr>
        <w:t> </w:t>
      </w:r>
      <w:r>
        <w:rPr>
          <w:rFonts w:ascii="Lucida Sans Unicode" w:hAnsi="Lucida Sans Unicode"/>
          <w:color w:val="6D6E71"/>
          <w:w w:val="110"/>
          <w:sz w:val="14"/>
        </w:rPr>
        <w:t>sus</w:t>
      </w:r>
      <w:r>
        <w:rPr>
          <w:rFonts w:ascii="Lucida Sans Unicode" w:hAnsi="Lucida Sans Unicode"/>
          <w:color w:val="6D6E71"/>
          <w:spacing w:val="-20"/>
          <w:w w:val="110"/>
          <w:sz w:val="14"/>
        </w:rPr>
        <w:t> </w:t>
      </w:r>
      <w:r>
        <w:rPr>
          <w:rFonts w:ascii="Lucida Sans Unicode" w:hAnsi="Lucida Sans Unicode"/>
          <w:color w:val="6D6E71"/>
          <w:w w:val="110"/>
          <w:sz w:val="14"/>
        </w:rPr>
        <w:t>EnfoquEs</w:t>
      </w:r>
      <w:r>
        <w:rPr>
          <w:color w:val="414042"/>
          <w:w w:val="110"/>
          <w:position w:val="-3"/>
          <w:sz w:val="20"/>
        </w:rPr>
        <w:tab/>
        <w:t>259</w:t>
      </w:r>
    </w:p>
    <w:p>
      <w:pPr>
        <w:pStyle w:val="BodyText"/>
        <w:rPr>
          <w:sz w:val="20"/>
        </w:rPr>
      </w:pPr>
    </w:p>
    <w:p>
      <w:pPr>
        <w:pStyle w:val="BodyText"/>
        <w:rPr>
          <w:sz w:val="20"/>
        </w:rPr>
      </w:pPr>
    </w:p>
    <w:p>
      <w:pPr>
        <w:spacing w:line="259" w:lineRule="auto" w:before="176"/>
        <w:ind w:left="854" w:right="121" w:hanging="738"/>
        <w:jc w:val="both"/>
        <w:rPr>
          <w:sz w:val="21"/>
        </w:rPr>
      </w:pPr>
      <w:r>
        <w:rPr>
          <w:color w:val="231F20"/>
          <w:w w:val="105"/>
          <w:sz w:val="21"/>
        </w:rPr>
        <w:t>Muñoz,</w:t>
      </w:r>
      <w:r>
        <w:rPr>
          <w:color w:val="231F20"/>
          <w:spacing w:val="-11"/>
          <w:w w:val="105"/>
          <w:sz w:val="21"/>
        </w:rPr>
        <w:t> </w:t>
      </w:r>
      <w:r>
        <w:rPr>
          <w:color w:val="231F20"/>
          <w:w w:val="105"/>
          <w:sz w:val="21"/>
        </w:rPr>
        <w:t>C.</w:t>
      </w:r>
      <w:r>
        <w:rPr>
          <w:color w:val="231F20"/>
          <w:spacing w:val="-11"/>
          <w:w w:val="105"/>
          <w:sz w:val="21"/>
        </w:rPr>
        <w:t> </w:t>
      </w:r>
      <w:r>
        <w:rPr>
          <w:color w:val="231F20"/>
          <w:w w:val="105"/>
          <w:sz w:val="21"/>
        </w:rPr>
        <w:t>(2011),</w:t>
      </w:r>
      <w:r>
        <w:rPr>
          <w:color w:val="231F20"/>
          <w:spacing w:val="-11"/>
          <w:w w:val="105"/>
          <w:sz w:val="21"/>
        </w:rPr>
        <w:t> </w:t>
      </w:r>
      <w:r>
        <w:rPr>
          <w:color w:val="231F20"/>
          <w:w w:val="105"/>
          <w:sz w:val="21"/>
        </w:rPr>
        <w:t>“La</w:t>
      </w:r>
      <w:r>
        <w:rPr>
          <w:color w:val="231F20"/>
          <w:spacing w:val="-5"/>
          <w:w w:val="105"/>
          <w:sz w:val="21"/>
        </w:rPr>
        <w:t> </w:t>
      </w:r>
      <w:r>
        <w:rPr>
          <w:color w:val="231F20"/>
          <w:w w:val="105"/>
          <w:sz w:val="21"/>
        </w:rPr>
        <w:t>economía</w:t>
      </w:r>
      <w:r>
        <w:rPr>
          <w:color w:val="231F20"/>
          <w:spacing w:val="-5"/>
          <w:w w:val="105"/>
          <w:sz w:val="21"/>
        </w:rPr>
        <w:t> </w:t>
      </w:r>
      <w:r>
        <w:rPr>
          <w:color w:val="231F20"/>
          <w:w w:val="105"/>
          <w:sz w:val="21"/>
        </w:rPr>
        <w:t>del</w:t>
      </w:r>
      <w:r>
        <w:rPr>
          <w:color w:val="231F20"/>
          <w:spacing w:val="-5"/>
          <w:w w:val="105"/>
          <w:sz w:val="21"/>
        </w:rPr>
        <w:t> </w:t>
      </w:r>
      <w:r>
        <w:rPr>
          <w:color w:val="231F20"/>
          <w:w w:val="105"/>
          <w:sz w:val="21"/>
        </w:rPr>
        <w:t>desarrollo</w:t>
      </w:r>
      <w:r>
        <w:rPr>
          <w:color w:val="231F20"/>
          <w:spacing w:val="-5"/>
          <w:w w:val="105"/>
          <w:sz w:val="21"/>
        </w:rPr>
        <w:t> </w:t>
      </w:r>
      <w:r>
        <w:rPr>
          <w:color w:val="231F20"/>
          <w:w w:val="105"/>
          <w:sz w:val="21"/>
        </w:rPr>
        <w:t>y</w:t>
      </w:r>
      <w:r>
        <w:rPr>
          <w:color w:val="231F20"/>
          <w:spacing w:val="-5"/>
          <w:w w:val="105"/>
          <w:sz w:val="21"/>
        </w:rPr>
        <w:t> </w:t>
      </w:r>
      <w:r>
        <w:rPr>
          <w:color w:val="231F20"/>
          <w:w w:val="105"/>
          <w:sz w:val="21"/>
        </w:rPr>
        <w:t>la</w:t>
      </w:r>
      <w:r>
        <w:rPr>
          <w:color w:val="231F20"/>
          <w:spacing w:val="-5"/>
          <w:w w:val="105"/>
          <w:sz w:val="21"/>
        </w:rPr>
        <w:t> </w:t>
      </w:r>
      <w:r>
        <w:rPr>
          <w:color w:val="231F20"/>
          <w:w w:val="105"/>
          <w:sz w:val="21"/>
        </w:rPr>
        <w:t>convergencia</w:t>
      </w:r>
      <w:r>
        <w:rPr>
          <w:color w:val="231F20"/>
          <w:spacing w:val="-5"/>
          <w:w w:val="105"/>
          <w:sz w:val="21"/>
        </w:rPr>
        <w:t> </w:t>
      </w:r>
      <w:r>
        <w:rPr>
          <w:color w:val="231F20"/>
          <w:w w:val="105"/>
          <w:sz w:val="21"/>
        </w:rPr>
        <w:t>de</w:t>
      </w:r>
      <w:r>
        <w:rPr>
          <w:color w:val="231F20"/>
          <w:spacing w:val="-5"/>
          <w:w w:val="105"/>
          <w:sz w:val="21"/>
        </w:rPr>
        <w:t> </w:t>
      </w:r>
      <w:r>
        <w:rPr>
          <w:color w:val="231F20"/>
          <w:w w:val="105"/>
          <w:sz w:val="21"/>
        </w:rPr>
        <w:t>las ideas”</w:t>
      </w:r>
      <w:r>
        <w:rPr>
          <w:color w:val="231F20"/>
          <w:spacing w:val="-20"/>
          <w:w w:val="105"/>
          <w:sz w:val="21"/>
        </w:rPr>
        <w:t> </w:t>
      </w:r>
      <w:r>
        <w:rPr>
          <w:color w:val="231F20"/>
          <w:w w:val="105"/>
          <w:sz w:val="21"/>
        </w:rPr>
        <w:t>en:</w:t>
      </w:r>
      <w:r>
        <w:rPr>
          <w:color w:val="231F20"/>
          <w:spacing w:val="-20"/>
          <w:w w:val="105"/>
          <w:sz w:val="21"/>
        </w:rPr>
        <w:t> </w:t>
      </w:r>
      <w:r>
        <w:rPr>
          <w:i/>
          <w:color w:val="231F20"/>
          <w:spacing w:val="-3"/>
          <w:w w:val="105"/>
          <w:sz w:val="21"/>
        </w:rPr>
        <w:t>Tendencias</w:t>
      </w:r>
      <w:r>
        <w:rPr>
          <w:i/>
          <w:color w:val="231F20"/>
          <w:spacing w:val="-20"/>
          <w:w w:val="105"/>
          <w:sz w:val="21"/>
        </w:rPr>
        <w:t> </w:t>
      </w:r>
      <w:r>
        <w:rPr>
          <w:i/>
          <w:color w:val="231F20"/>
          <w:w w:val="105"/>
          <w:sz w:val="21"/>
        </w:rPr>
        <w:t>y</w:t>
      </w:r>
      <w:r>
        <w:rPr>
          <w:i/>
          <w:color w:val="231F20"/>
          <w:spacing w:val="-20"/>
          <w:w w:val="105"/>
          <w:sz w:val="21"/>
        </w:rPr>
        <w:t> </w:t>
      </w:r>
      <w:r>
        <w:rPr>
          <w:i/>
          <w:color w:val="231F20"/>
          <w:w w:val="105"/>
          <w:sz w:val="21"/>
        </w:rPr>
        <w:t>nuevos</w:t>
      </w:r>
      <w:r>
        <w:rPr>
          <w:i/>
          <w:color w:val="231F20"/>
          <w:spacing w:val="-20"/>
          <w:w w:val="105"/>
          <w:sz w:val="21"/>
        </w:rPr>
        <w:t> </w:t>
      </w:r>
      <w:r>
        <w:rPr>
          <w:i/>
          <w:color w:val="231F20"/>
          <w:w w:val="105"/>
          <w:sz w:val="21"/>
        </w:rPr>
        <w:t>desarrollos</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la</w:t>
      </w:r>
      <w:r>
        <w:rPr>
          <w:i/>
          <w:color w:val="231F20"/>
          <w:spacing w:val="-20"/>
          <w:w w:val="105"/>
          <w:sz w:val="21"/>
        </w:rPr>
        <w:t> </w:t>
      </w:r>
      <w:r>
        <w:rPr>
          <w:i/>
          <w:color w:val="231F20"/>
          <w:w w:val="105"/>
          <w:sz w:val="21"/>
        </w:rPr>
        <w:t>teoría</w:t>
      </w:r>
      <w:r>
        <w:rPr>
          <w:i/>
          <w:color w:val="231F20"/>
          <w:spacing w:val="-20"/>
          <w:w w:val="105"/>
          <w:sz w:val="21"/>
        </w:rPr>
        <w:t> </w:t>
      </w:r>
      <w:r>
        <w:rPr>
          <w:i/>
          <w:color w:val="231F20"/>
          <w:w w:val="105"/>
          <w:sz w:val="21"/>
        </w:rPr>
        <w:t>económi- </w:t>
      </w:r>
      <w:r>
        <w:rPr>
          <w:i/>
          <w:color w:val="231F20"/>
          <w:w w:val="105"/>
          <w:sz w:val="21"/>
        </w:rPr>
        <w:t>ca</w:t>
      </w:r>
      <w:r>
        <w:rPr>
          <w:color w:val="231F20"/>
          <w:w w:val="105"/>
          <w:sz w:val="21"/>
        </w:rPr>
        <w:t>,</w:t>
      </w:r>
      <w:r>
        <w:rPr>
          <w:color w:val="231F20"/>
          <w:spacing w:val="-27"/>
          <w:w w:val="105"/>
          <w:sz w:val="21"/>
        </w:rPr>
        <w:t> </w:t>
      </w:r>
      <w:r>
        <w:rPr>
          <w:color w:val="231F20"/>
          <w:w w:val="105"/>
          <w:sz w:val="21"/>
        </w:rPr>
        <w:t>núm.</w:t>
      </w:r>
      <w:r>
        <w:rPr>
          <w:color w:val="231F20"/>
          <w:spacing w:val="-27"/>
          <w:w w:val="105"/>
          <w:sz w:val="21"/>
        </w:rPr>
        <w:t> </w:t>
      </w:r>
      <w:r>
        <w:rPr>
          <w:color w:val="231F20"/>
          <w:w w:val="105"/>
          <w:sz w:val="21"/>
        </w:rPr>
        <w:t>858,</w:t>
      </w:r>
      <w:r>
        <w:rPr>
          <w:color w:val="231F20"/>
          <w:spacing w:val="-27"/>
          <w:w w:val="105"/>
          <w:sz w:val="21"/>
        </w:rPr>
        <w:t> </w:t>
      </w:r>
      <w:r>
        <w:rPr>
          <w:color w:val="231F20"/>
          <w:w w:val="105"/>
          <w:sz w:val="21"/>
        </w:rPr>
        <w:t>pp.</w:t>
      </w:r>
      <w:r>
        <w:rPr>
          <w:color w:val="231F20"/>
          <w:spacing w:val="-27"/>
          <w:w w:val="105"/>
          <w:sz w:val="21"/>
        </w:rPr>
        <w:t> </w:t>
      </w:r>
      <w:r>
        <w:rPr>
          <w:color w:val="231F20"/>
          <w:w w:val="105"/>
          <w:sz w:val="21"/>
        </w:rPr>
        <w:t>57-70.</w:t>
      </w:r>
    </w:p>
    <w:p>
      <w:pPr>
        <w:spacing w:line="259" w:lineRule="auto" w:before="0"/>
        <w:ind w:left="854" w:right="121" w:hanging="738"/>
        <w:jc w:val="both"/>
        <w:rPr>
          <w:sz w:val="21"/>
        </w:rPr>
      </w:pPr>
      <w:r>
        <w:rPr>
          <w:color w:val="231F20"/>
          <w:w w:val="105"/>
          <w:sz w:val="21"/>
        </w:rPr>
        <w:t>Myrdal,</w:t>
      </w:r>
      <w:r>
        <w:rPr>
          <w:color w:val="231F20"/>
          <w:spacing w:val="-41"/>
          <w:w w:val="105"/>
          <w:sz w:val="21"/>
        </w:rPr>
        <w:t> </w:t>
      </w:r>
      <w:r>
        <w:rPr>
          <w:color w:val="231F20"/>
          <w:w w:val="105"/>
          <w:sz w:val="21"/>
        </w:rPr>
        <w:t>G.</w:t>
      </w:r>
      <w:r>
        <w:rPr>
          <w:color w:val="231F20"/>
          <w:spacing w:val="-41"/>
          <w:w w:val="105"/>
          <w:sz w:val="21"/>
        </w:rPr>
        <w:t> </w:t>
      </w:r>
      <w:r>
        <w:rPr>
          <w:color w:val="231F20"/>
          <w:w w:val="105"/>
          <w:sz w:val="21"/>
        </w:rPr>
        <w:t>(1957),</w:t>
      </w:r>
      <w:r>
        <w:rPr>
          <w:color w:val="231F20"/>
          <w:spacing w:val="-41"/>
          <w:w w:val="105"/>
          <w:sz w:val="21"/>
        </w:rPr>
        <w:t> </w:t>
      </w:r>
      <w:r>
        <w:rPr>
          <w:i/>
          <w:color w:val="231F20"/>
          <w:w w:val="105"/>
          <w:sz w:val="21"/>
        </w:rPr>
        <w:t>Economic</w:t>
      </w:r>
      <w:r>
        <w:rPr>
          <w:i/>
          <w:color w:val="231F20"/>
          <w:spacing w:val="-40"/>
          <w:w w:val="105"/>
          <w:sz w:val="21"/>
        </w:rPr>
        <w:t> </w:t>
      </w:r>
      <w:r>
        <w:rPr>
          <w:i/>
          <w:color w:val="231F20"/>
          <w:w w:val="105"/>
          <w:sz w:val="21"/>
        </w:rPr>
        <w:t>Theory</w:t>
      </w:r>
      <w:r>
        <w:rPr>
          <w:i/>
          <w:color w:val="231F20"/>
          <w:spacing w:val="-38"/>
          <w:w w:val="105"/>
          <w:sz w:val="21"/>
        </w:rPr>
        <w:t> </w:t>
      </w:r>
      <w:r>
        <w:rPr>
          <w:i/>
          <w:color w:val="231F20"/>
          <w:w w:val="105"/>
          <w:sz w:val="21"/>
        </w:rPr>
        <w:t>and</w:t>
      </w:r>
      <w:r>
        <w:rPr>
          <w:i/>
          <w:color w:val="231F20"/>
          <w:spacing w:val="-38"/>
          <w:w w:val="105"/>
          <w:sz w:val="21"/>
        </w:rPr>
        <w:t> </w:t>
      </w:r>
      <w:r>
        <w:rPr>
          <w:i/>
          <w:color w:val="231F20"/>
          <w:w w:val="105"/>
          <w:sz w:val="21"/>
        </w:rPr>
        <w:t>Underdeveloped</w:t>
      </w:r>
      <w:r>
        <w:rPr>
          <w:i/>
          <w:color w:val="231F20"/>
          <w:spacing w:val="-38"/>
          <w:w w:val="105"/>
          <w:sz w:val="21"/>
        </w:rPr>
        <w:t> </w:t>
      </w:r>
      <w:r>
        <w:rPr>
          <w:i/>
          <w:color w:val="231F20"/>
          <w:w w:val="105"/>
          <w:sz w:val="21"/>
        </w:rPr>
        <w:t>Regions</w:t>
      </w:r>
      <w:r>
        <w:rPr>
          <w:color w:val="231F20"/>
          <w:w w:val="105"/>
          <w:sz w:val="21"/>
        </w:rPr>
        <w:t>,</w:t>
      </w:r>
      <w:r>
        <w:rPr>
          <w:color w:val="231F20"/>
          <w:spacing w:val="-41"/>
          <w:w w:val="105"/>
          <w:sz w:val="21"/>
        </w:rPr>
        <w:t> </w:t>
      </w:r>
      <w:r>
        <w:rPr>
          <w:color w:val="231F20"/>
          <w:w w:val="105"/>
          <w:sz w:val="21"/>
        </w:rPr>
        <w:t>Duck- worth</w:t>
      </w:r>
      <w:r>
        <w:rPr>
          <w:color w:val="231F20"/>
          <w:spacing w:val="-25"/>
          <w:w w:val="105"/>
          <w:sz w:val="21"/>
        </w:rPr>
        <w:t> </w:t>
      </w:r>
      <w:r>
        <w:rPr>
          <w:color w:val="231F20"/>
          <w:w w:val="105"/>
          <w:sz w:val="21"/>
        </w:rPr>
        <w:t>and</w:t>
      </w:r>
      <w:r>
        <w:rPr>
          <w:color w:val="231F20"/>
          <w:spacing w:val="-25"/>
          <w:w w:val="105"/>
          <w:sz w:val="21"/>
        </w:rPr>
        <w:t> </w:t>
      </w:r>
      <w:r>
        <w:rPr>
          <w:color w:val="231F20"/>
          <w:w w:val="105"/>
          <w:sz w:val="21"/>
        </w:rPr>
        <w:t>Co.,</w:t>
      </w:r>
      <w:r>
        <w:rPr>
          <w:color w:val="231F20"/>
          <w:spacing w:val="-30"/>
          <w:w w:val="105"/>
          <w:sz w:val="21"/>
        </w:rPr>
        <w:t> </w:t>
      </w:r>
      <w:r>
        <w:rPr>
          <w:color w:val="231F20"/>
          <w:w w:val="105"/>
          <w:sz w:val="21"/>
        </w:rPr>
        <w:t>Londres.</w:t>
      </w:r>
    </w:p>
    <w:p>
      <w:pPr>
        <w:pStyle w:val="BodyText"/>
        <w:spacing w:line="259" w:lineRule="auto"/>
        <w:ind w:left="854" w:right="115" w:hanging="738"/>
        <w:jc w:val="both"/>
      </w:pPr>
      <w:r>
        <w:rPr>
          <w:color w:val="231F20"/>
          <w:w w:val="105"/>
        </w:rPr>
        <w:t>Ocegueda,</w:t>
      </w:r>
      <w:r>
        <w:rPr>
          <w:color w:val="231F20"/>
          <w:spacing w:val="-12"/>
          <w:w w:val="105"/>
        </w:rPr>
        <w:t> </w:t>
      </w:r>
      <w:r>
        <w:rPr>
          <w:color w:val="231F20"/>
          <w:w w:val="105"/>
        </w:rPr>
        <w:t>J.M.</w:t>
      </w:r>
      <w:r>
        <w:rPr>
          <w:color w:val="231F20"/>
          <w:spacing w:val="-10"/>
          <w:w w:val="105"/>
        </w:rPr>
        <w:t> </w:t>
      </w:r>
      <w:r>
        <w:rPr>
          <w:color w:val="231F20"/>
          <w:w w:val="105"/>
        </w:rPr>
        <w:t>(2003),</w:t>
      </w:r>
      <w:r>
        <w:rPr>
          <w:color w:val="231F20"/>
          <w:spacing w:val="-10"/>
          <w:w w:val="105"/>
        </w:rPr>
        <w:t> </w:t>
      </w:r>
      <w:r>
        <w:rPr>
          <w:color w:val="231F20"/>
          <w:w w:val="105"/>
        </w:rPr>
        <w:t>“Análisis</w:t>
      </w:r>
      <w:r>
        <w:rPr>
          <w:color w:val="231F20"/>
          <w:spacing w:val="-4"/>
          <w:w w:val="105"/>
        </w:rPr>
        <w:t> </w:t>
      </w:r>
      <w:r>
        <w:rPr>
          <w:color w:val="231F20"/>
          <w:w w:val="105"/>
        </w:rPr>
        <w:t>kaldoriano</w:t>
      </w:r>
      <w:r>
        <w:rPr>
          <w:color w:val="231F20"/>
          <w:spacing w:val="-4"/>
          <w:w w:val="105"/>
        </w:rPr>
        <w:t> </w:t>
      </w:r>
      <w:r>
        <w:rPr>
          <w:color w:val="231F20"/>
          <w:w w:val="105"/>
        </w:rPr>
        <w:t>del</w:t>
      </w:r>
      <w:r>
        <w:rPr>
          <w:color w:val="231F20"/>
          <w:spacing w:val="-4"/>
          <w:w w:val="105"/>
        </w:rPr>
        <w:t> </w:t>
      </w:r>
      <w:r>
        <w:rPr>
          <w:color w:val="231F20"/>
          <w:w w:val="105"/>
        </w:rPr>
        <w:t>crecimiento</w:t>
      </w:r>
      <w:r>
        <w:rPr>
          <w:color w:val="231F20"/>
          <w:spacing w:val="-4"/>
          <w:w w:val="105"/>
        </w:rPr>
        <w:t> </w:t>
      </w:r>
      <w:r>
        <w:rPr>
          <w:color w:val="231F20"/>
          <w:w w:val="105"/>
        </w:rPr>
        <w:t>económico de</w:t>
      </w:r>
      <w:r>
        <w:rPr>
          <w:color w:val="231F20"/>
          <w:spacing w:val="-25"/>
          <w:w w:val="105"/>
        </w:rPr>
        <w:t> </w:t>
      </w:r>
      <w:r>
        <w:rPr>
          <w:color w:val="231F20"/>
          <w:w w:val="105"/>
        </w:rPr>
        <w:t>los</w:t>
      </w:r>
      <w:r>
        <w:rPr>
          <w:color w:val="231F20"/>
          <w:spacing w:val="-25"/>
          <w:w w:val="105"/>
        </w:rPr>
        <w:t> </w:t>
      </w:r>
      <w:r>
        <w:rPr>
          <w:color w:val="231F20"/>
          <w:w w:val="105"/>
        </w:rPr>
        <w:t>estados</w:t>
      </w:r>
      <w:r>
        <w:rPr>
          <w:color w:val="231F20"/>
          <w:spacing w:val="-25"/>
          <w:w w:val="105"/>
        </w:rPr>
        <w:t> </w:t>
      </w:r>
      <w:r>
        <w:rPr>
          <w:color w:val="231F20"/>
          <w:w w:val="105"/>
        </w:rPr>
        <w:t>de</w:t>
      </w:r>
      <w:r>
        <w:rPr>
          <w:color w:val="231F20"/>
          <w:spacing w:val="-25"/>
          <w:w w:val="105"/>
        </w:rPr>
        <w:t> </w:t>
      </w:r>
      <w:r>
        <w:rPr>
          <w:color w:val="231F20"/>
          <w:w w:val="105"/>
        </w:rPr>
        <w:t>México”</w:t>
      </w:r>
      <w:r>
        <w:rPr>
          <w:color w:val="231F20"/>
          <w:spacing w:val="-25"/>
          <w:w w:val="105"/>
        </w:rPr>
        <w:t> </w:t>
      </w:r>
      <w:r>
        <w:rPr>
          <w:color w:val="231F20"/>
          <w:w w:val="105"/>
        </w:rPr>
        <w:t>en:</w:t>
      </w:r>
      <w:r>
        <w:rPr>
          <w:color w:val="231F20"/>
          <w:spacing w:val="-25"/>
          <w:w w:val="105"/>
        </w:rPr>
        <w:t> </w:t>
      </w:r>
      <w:r>
        <w:rPr>
          <w:i/>
          <w:color w:val="231F20"/>
          <w:w w:val="105"/>
        </w:rPr>
        <w:t>Comercio</w:t>
      </w:r>
      <w:r>
        <w:rPr>
          <w:i/>
          <w:color w:val="231F20"/>
          <w:spacing w:val="-25"/>
          <w:w w:val="105"/>
        </w:rPr>
        <w:t> </w:t>
      </w:r>
      <w:r>
        <w:rPr>
          <w:i/>
          <w:color w:val="231F20"/>
          <w:w w:val="105"/>
        </w:rPr>
        <w:t>Exterior</w:t>
      </w:r>
      <w:r>
        <w:rPr>
          <w:color w:val="231F20"/>
          <w:w w:val="105"/>
        </w:rPr>
        <w:t>,</w:t>
      </w:r>
      <w:r>
        <w:rPr>
          <w:color w:val="231F20"/>
          <w:spacing w:val="-31"/>
          <w:w w:val="105"/>
        </w:rPr>
        <w:t> </w:t>
      </w:r>
      <w:r>
        <w:rPr>
          <w:color w:val="231F20"/>
          <w:w w:val="105"/>
        </w:rPr>
        <w:t>vol.53,</w:t>
      </w:r>
      <w:r>
        <w:rPr>
          <w:color w:val="231F20"/>
          <w:spacing w:val="-31"/>
          <w:w w:val="105"/>
        </w:rPr>
        <w:t> </w:t>
      </w:r>
      <w:r>
        <w:rPr>
          <w:color w:val="231F20"/>
          <w:w w:val="105"/>
        </w:rPr>
        <w:t>núm.</w:t>
      </w:r>
      <w:r>
        <w:rPr>
          <w:color w:val="231F20"/>
          <w:spacing w:val="-31"/>
          <w:w w:val="105"/>
        </w:rPr>
        <w:t> </w:t>
      </w:r>
      <w:r>
        <w:rPr>
          <w:color w:val="231F20"/>
          <w:w w:val="105"/>
        </w:rPr>
        <w:t>11, pp.</w:t>
      </w:r>
      <w:r>
        <w:rPr>
          <w:color w:val="231F20"/>
          <w:spacing w:val="-24"/>
          <w:w w:val="105"/>
        </w:rPr>
        <w:t> </w:t>
      </w:r>
      <w:r>
        <w:rPr>
          <w:color w:val="231F20"/>
          <w:w w:val="105"/>
        </w:rPr>
        <w:t>1024-1034.</w:t>
      </w:r>
    </w:p>
    <w:p>
      <w:pPr>
        <w:pStyle w:val="BodyText"/>
        <w:spacing w:line="259" w:lineRule="auto"/>
        <w:ind w:left="854" w:right="121" w:hanging="738"/>
        <w:jc w:val="both"/>
      </w:pPr>
      <w:r>
        <w:rPr>
          <w:color w:val="231F20"/>
        </w:rPr>
        <w:t>–––––––</w:t>
      </w:r>
      <w:r>
        <w:rPr>
          <w:color w:val="231F20"/>
          <w:spacing w:val="-23"/>
        </w:rPr>
        <w:t> </w:t>
      </w:r>
      <w:r>
        <w:rPr>
          <w:color w:val="231F20"/>
        </w:rPr>
        <w:t>Ramón</w:t>
      </w:r>
      <w:r>
        <w:rPr>
          <w:color w:val="231F20"/>
          <w:spacing w:val="-23"/>
        </w:rPr>
        <w:t> </w:t>
      </w:r>
      <w:r>
        <w:rPr>
          <w:color w:val="231F20"/>
        </w:rPr>
        <w:t>Castillo</w:t>
      </w:r>
      <w:r>
        <w:rPr>
          <w:color w:val="231F20"/>
          <w:spacing w:val="-23"/>
        </w:rPr>
        <w:t> </w:t>
      </w:r>
      <w:r>
        <w:rPr>
          <w:color w:val="231F20"/>
          <w:spacing w:val="-4"/>
        </w:rPr>
        <w:t>Ponce</w:t>
      </w:r>
      <w:r>
        <w:rPr>
          <w:color w:val="231F20"/>
          <w:spacing w:val="-23"/>
        </w:rPr>
        <w:t> </w:t>
      </w:r>
      <w:r>
        <w:rPr>
          <w:color w:val="231F20"/>
        </w:rPr>
        <w:t>y</w:t>
      </w:r>
      <w:r>
        <w:rPr>
          <w:color w:val="231F20"/>
          <w:spacing w:val="-23"/>
        </w:rPr>
        <w:t> </w:t>
      </w:r>
      <w:r>
        <w:rPr>
          <w:color w:val="231F20"/>
        </w:rPr>
        <w:t>Rogelio</w:t>
      </w:r>
      <w:r>
        <w:rPr>
          <w:color w:val="231F20"/>
          <w:spacing w:val="-25"/>
        </w:rPr>
        <w:t> </w:t>
      </w:r>
      <w:r>
        <w:rPr>
          <w:color w:val="231F20"/>
          <w:spacing w:val="-3"/>
        </w:rPr>
        <w:t>Varela</w:t>
      </w:r>
      <w:r>
        <w:rPr>
          <w:color w:val="231F20"/>
          <w:spacing w:val="-23"/>
        </w:rPr>
        <w:t> </w:t>
      </w:r>
      <w:r>
        <w:rPr>
          <w:color w:val="231F20"/>
        </w:rPr>
        <w:t>Llamas</w:t>
      </w:r>
      <w:r>
        <w:rPr>
          <w:color w:val="231F20"/>
          <w:spacing w:val="-23"/>
        </w:rPr>
        <w:t> </w:t>
      </w:r>
      <w:r>
        <w:rPr>
          <w:color w:val="231F20"/>
        </w:rPr>
        <w:t>(2009),</w:t>
      </w:r>
      <w:r>
        <w:rPr>
          <w:color w:val="231F20"/>
          <w:spacing w:val="-27"/>
        </w:rPr>
        <w:t> </w:t>
      </w:r>
      <w:r>
        <w:rPr>
          <w:color w:val="231F20"/>
        </w:rPr>
        <w:t>“Crecimien- to regional en México: Especialización y sectores clave” en: </w:t>
      </w:r>
      <w:r>
        <w:rPr>
          <w:i/>
          <w:color w:val="231F20"/>
          <w:spacing w:val="-4"/>
        </w:rPr>
        <w:t>Pro- </w:t>
      </w:r>
      <w:r>
        <w:rPr>
          <w:i/>
          <w:color w:val="231F20"/>
        </w:rPr>
        <w:t>blemas del Desarrollo</w:t>
      </w:r>
      <w:r>
        <w:rPr>
          <w:color w:val="231F20"/>
        </w:rPr>
        <w:t>, vol.40, núm. 159, pp. </w:t>
      </w:r>
      <w:r>
        <w:rPr>
          <w:color w:val="231F20"/>
          <w:spacing w:val="10"/>
        </w:rPr>
        <w:t> </w:t>
      </w:r>
      <w:r>
        <w:rPr>
          <w:color w:val="231F20"/>
        </w:rPr>
        <w:t>61-84.</w:t>
      </w:r>
    </w:p>
    <w:p>
      <w:pPr>
        <w:spacing w:line="259" w:lineRule="auto" w:before="0"/>
        <w:ind w:left="117" w:right="0" w:firstLine="0"/>
        <w:jc w:val="left"/>
        <w:rPr>
          <w:sz w:val="21"/>
        </w:rPr>
      </w:pPr>
      <w:r>
        <w:rPr>
          <w:color w:val="231F20"/>
          <w:sz w:val="21"/>
        </w:rPr>
        <w:t>Ray, D. (1998), </w:t>
      </w:r>
      <w:r>
        <w:rPr>
          <w:i/>
          <w:color w:val="231F20"/>
          <w:sz w:val="21"/>
        </w:rPr>
        <w:t>Economía del desarrollo</w:t>
      </w:r>
      <w:r>
        <w:rPr>
          <w:color w:val="231F20"/>
          <w:sz w:val="21"/>
        </w:rPr>
        <w:t>, Antoni Bosh Editors, España. Richardson, H. (1977), </w:t>
      </w:r>
      <w:r>
        <w:rPr>
          <w:i/>
          <w:color w:val="231F20"/>
          <w:sz w:val="21"/>
        </w:rPr>
        <w:t>Teoría del crecimiento regional</w:t>
      </w:r>
      <w:r>
        <w:rPr>
          <w:color w:val="231F20"/>
          <w:sz w:val="21"/>
        </w:rPr>
        <w:t>, Ediciones   Pirámi-</w:t>
      </w:r>
    </w:p>
    <w:p>
      <w:pPr>
        <w:pStyle w:val="BodyText"/>
        <w:spacing w:line="241" w:lineRule="exact"/>
        <w:ind w:left="854" w:right="114"/>
      </w:pPr>
      <w:r>
        <w:rPr>
          <w:color w:val="231F20"/>
          <w:w w:val="105"/>
        </w:rPr>
        <w:t>de, Madrid.</w:t>
      </w:r>
    </w:p>
    <w:p>
      <w:pPr>
        <w:spacing w:line="259" w:lineRule="auto" w:before="18"/>
        <w:ind w:left="117" w:right="43" w:firstLine="0"/>
        <w:jc w:val="left"/>
        <w:rPr>
          <w:i/>
          <w:sz w:val="21"/>
        </w:rPr>
      </w:pPr>
      <w:r>
        <w:rPr>
          <w:color w:val="231F20"/>
          <w:sz w:val="21"/>
        </w:rPr>
        <w:t>––––––– (1986), </w:t>
      </w:r>
      <w:r>
        <w:rPr>
          <w:i/>
          <w:color w:val="231F20"/>
          <w:sz w:val="21"/>
        </w:rPr>
        <w:t>Economía regional y urbana</w:t>
      </w:r>
      <w:r>
        <w:rPr>
          <w:color w:val="231F20"/>
          <w:sz w:val="21"/>
        </w:rPr>
        <w:t>, Alianza editorial, Madrid. Romer P. M. (1994), “The Origins of Endogenous Growth”, </w:t>
      </w:r>
      <w:r>
        <w:rPr>
          <w:i/>
          <w:color w:val="231F20"/>
          <w:sz w:val="21"/>
        </w:rPr>
        <w:t>Journal of  Eco-</w:t>
      </w:r>
    </w:p>
    <w:p>
      <w:pPr>
        <w:spacing w:line="241" w:lineRule="exact" w:before="0"/>
        <w:ind w:left="854" w:right="114" w:firstLine="0"/>
        <w:jc w:val="left"/>
        <w:rPr>
          <w:sz w:val="21"/>
        </w:rPr>
      </w:pPr>
      <w:r>
        <w:rPr>
          <w:i/>
          <w:color w:val="231F20"/>
          <w:sz w:val="21"/>
        </w:rPr>
        <w:t>nomic Perspectives</w:t>
      </w:r>
      <w:r>
        <w:rPr>
          <w:color w:val="231F20"/>
          <w:sz w:val="21"/>
        </w:rPr>
        <w:t>, vol. 8, núm. 1, pp. 3-22.</w:t>
      </w:r>
    </w:p>
    <w:p>
      <w:pPr>
        <w:spacing w:line="259" w:lineRule="auto" w:before="18"/>
        <w:ind w:left="854" w:right="123" w:hanging="738"/>
        <w:jc w:val="both"/>
        <w:rPr>
          <w:sz w:val="21"/>
        </w:rPr>
      </w:pPr>
      <w:r>
        <w:rPr>
          <w:color w:val="231F20"/>
          <w:w w:val="105"/>
          <w:sz w:val="21"/>
        </w:rPr>
        <w:t>Romer</w:t>
      </w:r>
      <w:r>
        <w:rPr>
          <w:color w:val="231F20"/>
          <w:spacing w:val="-11"/>
          <w:w w:val="105"/>
          <w:sz w:val="21"/>
        </w:rPr>
        <w:t> </w:t>
      </w:r>
      <w:r>
        <w:rPr>
          <w:color w:val="231F20"/>
          <w:spacing w:val="-16"/>
          <w:w w:val="105"/>
          <w:sz w:val="21"/>
        </w:rPr>
        <w:t>P.</w:t>
      </w:r>
      <w:r>
        <w:rPr>
          <w:color w:val="231F20"/>
          <w:spacing w:val="-15"/>
          <w:w w:val="105"/>
          <w:sz w:val="21"/>
        </w:rPr>
        <w:t> </w:t>
      </w:r>
      <w:r>
        <w:rPr>
          <w:color w:val="231F20"/>
          <w:w w:val="105"/>
          <w:sz w:val="21"/>
        </w:rPr>
        <w:t>M.</w:t>
      </w:r>
      <w:r>
        <w:rPr>
          <w:color w:val="231F20"/>
          <w:spacing w:val="-15"/>
          <w:w w:val="105"/>
          <w:sz w:val="21"/>
        </w:rPr>
        <w:t> </w:t>
      </w:r>
      <w:r>
        <w:rPr>
          <w:color w:val="231F20"/>
          <w:w w:val="105"/>
          <w:sz w:val="21"/>
        </w:rPr>
        <w:t>(1996),</w:t>
      </w:r>
      <w:r>
        <w:rPr>
          <w:color w:val="231F20"/>
          <w:spacing w:val="-15"/>
          <w:w w:val="105"/>
          <w:sz w:val="21"/>
        </w:rPr>
        <w:t> </w:t>
      </w:r>
      <w:r>
        <w:rPr>
          <w:color w:val="231F20"/>
          <w:w w:val="105"/>
          <w:sz w:val="21"/>
        </w:rPr>
        <w:t>“Why,</w:t>
      </w:r>
      <w:r>
        <w:rPr>
          <w:color w:val="231F20"/>
          <w:spacing w:val="-15"/>
          <w:w w:val="105"/>
          <w:sz w:val="21"/>
        </w:rPr>
        <w:t> </w:t>
      </w:r>
      <w:r>
        <w:rPr>
          <w:color w:val="231F20"/>
          <w:w w:val="105"/>
          <w:sz w:val="21"/>
        </w:rPr>
        <w:t>Indeed,</w:t>
      </w:r>
      <w:r>
        <w:rPr>
          <w:color w:val="231F20"/>
          <w:spacing w:val="-15"/>
          <w:w w:val="105"/>
          <w:sz w:val="21"/>
        </w:rPr>
        <w:t> </w:t>
      </w:r>
      <w:r>
        <w:rPr>
          <w:color w:val="231F20"/>
          <w:w w:val="105"/>
          <w:sz w:val="21"/>
        </w:rPr>
        <w:t>in</w:t>
      </w:r>
      <w:r>
        <w:rPr>
          <w:color w:val="231F20"/>
          <w:spacing w:val="-13"/>
          <w:w w:val="105"/>
          <w:sz w:val="21"/>
        </w:rPr>
        <w:t> </w:t>
      </w:r>
      <w:r>
        <w:rPr>
          <w:color w:val="231F20"/>
          <w:w w:val="105"/>
          <w:sz w:val="21"/>
        </w:rPr>
        <w:t>America?,</w:t>
      </w:r>
      <w:r>
        <w:rPr>
          <w:color w:val="231F20"/>
          <w:spacing w:val="-19"/>
          <w:w w:val="105"/>
          <w:sz w:val="21"/>
        </w:rPr>
        <w:t> </w:t>
      </w:r>
      <w:r>
        <w:rPr>
          <w:color w:val="231F20"/>
          <w:w w:val="105"/>
          <w:sz w:val="21"/>
        </w:rPr>
        <w:t>Theory,</w:t>
      </w:r>
      <w:r>
        <w:rPr>
          <w:color w:val="231F20"/>
          <w:spacing w:val="-15"/>
          <w:w w:val="105"/>
          <w:sz w:val="21"/>
        </w:rPr>
        <w:t> </w:t>
      </w:r>
      <w:r>
        <w:rPr>
          <w:color w:val="231F20"/>
          <w:w w:val="105"/>
          <w:sz w:val="21"/>
        </w:rPr>
        <w:t>history,</w:t>
      </w:r>
      <w:r>
        <w:rPr>
          <w:color w:val="231F20"/>
          <w:spacing w:val="-15"/>
          <w:w w:val="105"/>
          <w:sz w:val="21"/>
        </w:rPr>
        <w:t> </w:t>
      </w:r>
      <w:r>
        <w:rPr>
          <w:color w:val="231F20"/>
          <w:w w:val="105"/>
          <w:sz w:val="21"/>
        </w:rPr>
        <w:t>and</w:t>
      </w:r>
      <w:r>
        <w:rPr>
          <w:color w:val="231F20"/>
          <w:spacing w:val="-11"/>
          <w:w w:val="105"/>
          <w:sz w:val="21"/>
        </w:rPr>
        <w:t> </w:t>
      </w:r>
      <w:r>
        <w:rPr>
          <w:color w:val="231F20"/>
          <w:w w:val="105"/>
          <w:sz w:val="21"/>
        </w:rPr>
        <w:t>the Origins of Modern Economic Growth” en: </w:t>
      </w:r>
      <w:r>
        <w:rPr>
          <w:i/>
          <w:color w:val="231F20"/>
          <w:w w:val="105"/>
          <w:sz w:val="21"/>
        </w:rPr>
        <w:t>New Growth Theory </w:t>
      </w:r>
      <w:r>
        <w:rPr>
          <w:i/>
          <w:color w:val="231F20"/>
          <w:w w:val="105"/>
          <w:sz w:val="21"/>
        </w:rPr>
        <w:t>and</w:t>
      </w:r>
      <w:r>
        <w:rPr>
          <w:i/>
          <w:color w:val="231F20"/>
          <w:spacing w:val="-23"/>
          <w:w w:val="105"/>
          <w:sz w:val="21"/>
        </w:rPr>
        <w:t> </w:t>
      </w:r>
      <w:r>
        <w:rPr>
          <w:i/>
          <w:color w:val="231F20"/>
          <w:w w:val="105"/>
          <w:sz w:val="21"/>
        </w:rPr>
        <w:t>Economic</w:t>
      </w:r>
      <w:r>
        <w:rPr>
          <w:i/>
          <w:color w:val="231F20"/>
          <w:spacing w:val="-23"/>
          <w:w w:val="105"/>
          <w:sz w:val="21"/>
        </w:rPr>
        <w:t> </w:t>
      </w:r>
      <w:r>
        <w:rPr>
          <w:i/>
          <w:color w:val="231F20"/>
          <w:w w:val="105"/>
          <w:sz w:val="21"/>
        </w:rPr>
        <w:t>History</w:t>
      </w:r>
      <w:r>
        <w:rPr>
          <w:color w:val="231F20"/>
          <w:w w:val="105"/>
          <w:sz w:val="21"/>
        </w:rPr>
        <w:t>,</w:t>
      </w:r>
      <w:r>
        <w:rPr>
          <w:color w:val="231F20"/>
          <w:spacing w:val="-28"/>
          <w:w w:val="105"/>
          <w:sz w:val="21"/>
        </w:rPr>
        <w:t> </w:t>
      </w:r>
      <w:r>
        <w:rPr>
          <w:color w:val="231F20"/>
          <w:w w:val="105"/>
          <w:sz w:val="21"/>
        </w:rPr>
        <w:t>vol.</w:t>
      </w:r>
      <w:r>
        <w:rPr>
          <w:color w:val="231F20"/>
          <w:spacing w:val="-28"/>
          <w:w w:val="105"/>
          <w:sz w:val="21"/>
        </w:rPr>
        <w:t> </w:t>
      </w:r>
      <w:r>
        <w:rPr>
          <w:color w:val="231F20"/>
          <w:w w:val="105"/>
          <w:sz w:val="21"/>
        </w:rPr>
        <w:t>86,</w:t>
      </w:r>
      <w:r>
        <w:rPr>
          <w:color w:val="231F20"/>
          <w:spacing w:val="-28"/>
          <w:w w:val="105"/>
          <w:sz w:val="21"/>
        </w:rPr>
        <w:t> </w:t>
      </w:r>
      <w:r>
        <w:rPr>
          <w:color w:val="231F20"/>
          <w:w w:val="105"/>
          <w:sz w:val="21"/>
        </w:rPr>
        <w:t>núm.</w:t>
      </w:r>
      <w:r>
        <w:rPr>
          <w:color w:val="231F20"/>
          <w:spacing w:val="-28"/>
          <w:w w:val="105"/>
          <w:sz w:val="21"/>
        </w:rPr>
        <w:t> </w:t>
      </w:r>
      <w:r>
        <w:rPr>
          <w:color w:val="231F20"/>
          <w:w w:val="105"/>
          <w:sz w:val="21"/>
        </w:rPr>
        <w:t>2,</w:t>
      </w:r>
      <w:r>
        <w:rPr>
          <w:color w:val="231F20"/>
          <w:spacing w:val="-28"/>
          <w:w w:val="105"/>
          <w:sz w:val="21"/>
        </w:rPr>
        <w:t> </w:t>
      </w:r>
      <w:r>
        <w:rPr>
          <w:color w:val="231F20"/>
          <w:w w:val="105"/>
          <w:sz w:val="21"/>
        </w:rPr>
        <w:t>pp.</w:t>
      </w:r>
      <w:r>
        <w:rPr>
          <w:color w:val="231F20"/>
          <w:spacing w:val="-28"/>
          <w:w w:val="105"/>
          <w:sz w:val="21"/>
        </w:rPr>
        <w:t> </w:t>
      </w:r>
      <w:r>
        <w:rPr>
          <w:color w:val="231F20"/>
          <w:w w:val="105"/>
          <w:sz w:val="21"/>
        </w:rPr>
        <w:t>202-206.</w:t>
      </w:r>
    </w:p>
    <w:p>
      <w:pPr>
        <w:spacing w:line="259" w:lineRule="auto" w:before="0"/>
        <w:ind w:left="854" w:right="122" w:hanging="738"/>
        <w:jc w:val="both"/>
        <w:rPr>
          <w:sz w:val="21"/>
        </w:rPr>
      </w:pPr>
      <w:r>
        <w:rPr>
          <w:color w:val="231F20"/>
          <w:sz w:val="21"/>
        </w:rPr>
        <w:t>Sala-i-Martin, X. (2000), </w:t>
      </w:r>
      <w:r>
        <w:rPr>
          <w:i/>
          <w:color w:val="231F20"/>
          <w:sz w:val="21"/>
        </w:rPr>
        <w:t>Apuntes de crecimiento económico</w:t>
      </w:r>
      <w:r>
        <w:rPr>
          <w:color w:val="231F20"/>
          <w:sz w:val="21"/>
        </w:rPr>
        <w:t>, segunda edi- ción, Antoni Bosch Editor, España.</w:t>
      </w:r>
    </w:p>
    <w:p>
      <w:pPr>
        <w:pStyle w:val="BodyText"/>
        <w:spacing w:line="259" w:lineRule="auto"/>
        <w:ind w:left="854" w:right="122" w:hanging="738"/>
        <w:jc w:val="both"/>
      </w:pPr>
      <w:r>
        <w:rPr>
          <w:color w:val="231F20"/>
        </w:rPr>
        <w:t>Sánchez, I.L. (2011), “Estancamiento económico en México,</w:t>
      </w:r>
      <w:r>
        <w:rPr>
          <w:color w:val="231F20"/>
          <w:spacing w:val="-37"/>
        </w:rPr>
        <w:t> </w:t>
      </w:r>
      <w:r>
        <w:rPr>
          <w:color w:val="231F20"/>
        </w:rPr>
        <w:t>manufacturas y rendimientos crecientes: un enfoque Kaldoriano” en: </w:t>
      </w:r>
      <w:r>
        <w:rPr>
          <w:i/>
          <w:color w:val="231F20"/>
        </w:rPr>
        <w:t>Investiga- </w:t>
      </w:r>
      <w:r>
        <w:rPr>
          <w:i/>
          <w:color w:val="231F20"/>
        </w:rPr>
        <w:t>ción económica</w:t>
      </w:r>
      <w:r>
        <w:rPr>
          <w:color w:val="231F20"/>
        </w:rPr>
        <w:t>, vol. LXX, núm. 227, pp.</w:t>
      </w:r>
      <w:r>
        <w:rPr>
          <w:color w:val="231F20"/>
          <w:spacing w:val="27"/>
        </w:rPr>
        <w:t> </w:t>
      </w:r>
      <w:r>
        <w:rPr>
          <w:color w:val="231F20"/>
        </w:rPr>
        <w:t>87-126.</w:t>
      </w:r>
    </w:p>
    <w:p>
      <w:pPr>
        <w:spacing w:line="259" w:lineRule="auto" w:before="0"/>
        <w:ind w:left="854" w:right="121" w:hanging="737"/>
        <w:jc w:val="both"/>
        <w:rPr>
          <w:sz w:val="21"/>
        </w:rPr>
      </w:pPr>
      <w:r>
        <w:rPr>
          <w:color w:val="231F20"/>
          <w:w w:val="105"/>
          <w:sz w:val="21"/>
        </w:rPr>
        <w:t>Schumpeter,</w:t>
      </w:r>
      <w:r>
        <w:rPr>
          <w:color w:val="231F20"/>
          <w:spacing w:val="-15"/>
          <w:w w:val="105"/>
          <w:sz w:val="21"/>
        </w:rPr>
        <w:t> </w:t>
      </w:r>
      <w:r>
        <w:rPr>
          <w:color w:val="231F20"/>
          <w:w w:val="105"/>
          <w:sz w:val="21"/>
        </w:rPr>
        <w:t>J.</w:t>
      </w:r>
      <w:r>
        <w:rPr>
          <w:color w:val="231F20"/>
          <w:spacing w:val="-13"/>
          <w:w w:val="105"/>
          <w:sz w:val="21"/>
        </w:rPr>
        <w:t> </w:t>
      </w:r>
      <w:r>
        <w:rPr>
          <w:color w:val="231F20"/>
          <w:w w:val="105"/>
          <w:sz w:val="21"/>
        </w:rPr>
        <w:t>(1976),</w:t>
      </w:r>
      <w:r>
        <w:rPr>
          <w:color w:val="231F20"/>
          <w:spacing w:val="-13"/>
          <w:w w:val="105"/>
          <w:sz w:val="21"/>
        </w:rPr>
        <w:t> </w:t>
      </w:r>
      <w:r>
        <w:rPr>
          <w:i/>
          <w:color w:val="231F20"/>
          <w:spacing w:val="-4"/>
          <w:w w:val="105"/>
          <w:sz w:val="21"/>
        </w:rPr>
        <w:t>Teoría</w:t>
      </w:r>
      <w:r>
        <w:rPr>
          <w:i/>
          <w:color w:val="231F20"/>
          <w:spacing w:val="-9"/>
          <w:w w:val="105"/>
          <w:sz w:val="21"/>
        </w:rPr>
        <w:t> </w:t>
      </w:r>
      <w:r>
        <w:rPr>
          <w:i/>
          <w:color w:val="231F20"/>
          <w:w w:val="105"/>
          <w:sz w:val="21"/>
        </w:rPr>
        <w:t>del</w:t>
      </w:r>
      <w:r>
        <w:rPr>
          <w:i/>
          <w:color w:val="231F20"/>
          <w:spacing w:val="-9"/>
          <w:w w:val="105"/>
          <w:sz w:val="21"/>
        </w:rPr>
        <w:t> </w:t>
      </w:r>
      <w:r>
        <w:rPr>
          <w:i/>
          <w:color w:val="231F20"/>
          <w:w w:val="105"/>
          <w:sz w:val="21"/>
        </w:rPr>
        <w:t>desenvolvimiento</w:t>
      </w:r>
      <w:r>
        <w:rPr>
          <w:i/>
          <w:color w:val="231F20"/>
          <w:spacing w:val="-9"/>
          <w:w w:val="105"/>
          <w:sz w:val="21"/>
        </w:rPr>
        <w:t> </w:t>
      </w:r>
      <w:r>
        <w:rPr>
          <w:i/>
          <w:color w:val="231F20"/>
          <w:w w:val="105"/>
          <w:sz w:val="21"/>
        </w:rPr>
        <w:t>económico.</w:t>
      </w:r>
      <w:r>
        <w:rPr>
          <w:i/>
          <w:color w:val="231F20"/>
          <w:spacing w:val="-13"/>
          <w:w w:val="105"/>
          <w:sz w:val="21"/>
        </w:rPr>
        <w:t> </w:t>
      </w:r>
      <w:r>
        <w:rPr>
          <w:i/>
          <w:color w:val="231F20"/>
          <w:w w:val="105"/>
          <w:sz w:val="21"/>
        </w:rPr>
        <w:t>Una</w:t>
      </w:r>
      <w:r>
        <w:rPr>
          <w:i/>
          <w:color w:val="231F20"/>
          <w:spacing w:val="-9"/>
          <w:w w:val="105"/>
          <w:sz w:val="21"/>
        </w:rPr>
        <w:t> </w:t>
      </w:r>
      <w:r>
        <w:rPr>
          <w:i/>
          <w:color w:val="231F20"/>
          <w:w w:val="105"/>
          <w:sz w:val="21"/>
        </w:rPr>
        <w:t>in- </w:t>
      </w:r>
      <w:r>
        <w:rPr>
          <w:i/>
          <w:color w:val="231F20"/>
          <w:w w:val="105"/>
          <w:sz w:val="21"/>
        </w:rPr>
        <w:t>vestigación</w:t>
      </w:r>
      <w:r>
        <w:rPr>
          <w:i/>
          <w:color w:val="231F20"/>
          <w:spacing w:val="-25"/>
          <w:w w:val="105"/>
          <w:sz w:val="21"/>
        </w:rPr>
        <w:t> </w:t>
      </w:r>
      <w:r>
        <w:rPr>
          <w:i/>
          <w:color w:val="231F20"/>
          <w:w w:val="105"/>
          <w:sz w:val="21"/>
        </w:rPr>
        <w:t>sobre</w:t>
      </w:r>
      <w:r>
        <w:rPr>
          <w:i/>
          <w:color w:val="231F20"/>
          <w:spacing w:val="-25"/>
          <w:w w:val="105"/>
          <w:sz w:val="21"/>
        </w:rPr>
        <w:t> </w:t>
      </w:r>
      <w:r>
        <w:rPr>
          <w:i/>
          <w:color w:val="231F20"/>
          <w:w w:val="105"/>
          <w:sz w:val="21"/>
        </w:rPr>
        <w:t>ganancias,</w:t>
      </w:r>
      <w:r>
        <w:rPr>
          <w:i/>
          <w:color w:val="231F20"/>
          <w:spacing w:val="-29"/>
          <w:w w:val="105"/>
          <w:sz w:val="21"/>
        </w:rPr>
        <w:t> </w:t>
      </w:r>
      <w:r>
        <w:rPr>
          <w:i/>
          <w:color w:val="231F20"/>
          <w:w w:val="105"/>
          <w:sz w:val="21"/>
        </w:rPr>
        <w:t>capital,</w:t>
      </w:r>
      <w:r>
        <w:rPr>
          <w:i/>
          <w:color w:val="231F20"/>
          <w:spacing w:val="-29"/>
          <w:w w:val="105"/>
          <w:sz w:val="21"/>
        </w:rPr>
        <w:t> </w:t>
      </w:r>
      <w:r>
        <w:rPr>
          <w:i/>
          <w:color w:val="231F20"/>
          <w:w w:val="105"/>
          <w:sz w:val="21"/>
        </w:rPr>
        <w:t>crédito,</w:t>
      </w:r>
      <w:r>
        <w:rPr>
          <w:i/>
          <w:color w:val="231F20"/>
          <w:spacing w:val="-29"/>
          <w:w w:val="105"/>
          <w:sz w:val="21"/>
        </w:rPr>
        <w:t> </w:t>
      </w:r>
      <w:r>
        <w:rPr>
          <w:i/>
          <w:color w:val="231F20"/>
          <w:w w:val="105"/>
          <w:sz w:val="21"/>
        </w:rPr>
        <w:t>interés</w:t>
      </w:r>
      <w:r>
        <w:rPr>
          <w:i/>
          <w:color w:val="231F20"/>
          <w:spacing w:val="-25"/>
          <w:w w:val="105"/>
          <w:sz w:val="21"/>
        </w:rPr>
        <w:t> </w:t>
      </w:r>
      <w:r>
        <w:rPr>
          <w:i/>
          <w:color w:val="231F20"/>
          <w:w w:val="105"/>
          <w:sz w:val="21"/>
        </w:rPr>
        <w:t>y</w:t>
      </w:r>
      <w:r>
        <w:rPr>
          <w:i/>
          <w:color w:val="231F20"/>
          <w:spacing w:val="-25"/>
          <w:w w:val="105"/>
          <w:sz w:val="21"/>
        </w:rPr>
        <w:t> </w:t>
      </w:r>
      <w:r>
        <w:rPr>
          <w:i/>
          <w:color w:val="231F20"/>
          <w:w w:val="105"/>
          <w:sz w:val="21"/>
        </w:rPr>
        <w:t>ciclos</w:t>
      </w:r>
      <w:r>
        <w:rPr>
          <w:i/>
          <w:color w:val="231F20"/>
          <w:spacing w:val="-25"/>
          <w:w w:val="105"/>
          <w:sz w:val="21"/>
        </w:rPr>
        <w:t> </w:t>
      </w:r>
      <w:r>
        <w:rPr>
          <w:i/>
          <w:color w:val="231F20"/>
          <w:w w:val="105"/>
          <w:sz w:val="21"/>
        </w:rPr>
        <w:t>eco- </w:t>
      </w:r>
      <w:r>
        <w:rPr>
          <w:i/>
          <w:color w:val="231F20"/>
          <w:sz w:val="21"/>
        </w:rPr>
        <w:t>nómicos</w:t>
      </w:r>
      <w:r>
        <w:rPr>
          <w:color w:val="231F20"/>
          <w:sz w:val="21"/>
        </w:rPr>
        <w:t>, FCE,</w:t>
      </w:r>
      <w:r>
        <w:rPr>
          <w:color w:val="231F20"/>
          <w:spacing w:val="-17"/>
          <w:sz w:val="21"/>
        </w:rPr>
        <w:t> </w:t>
      </w:r>
      <w:r>
        <w:rPr>
          <w:color w:val="231F20"/>
          <w:sz w:val="21"/>
        </w:rPr>
        <w:t>México.</w:t>
      </w:r>
    </w:p>
    <w:p>
      <w:pPr>
        <w:spacing w:line="259" w:lineRule="auto" w:before="0"/>
        <w:ind w:left="854" w:right="122" w:hanging="738"/>
        <w:jc w:val="both"/>
        <w:rPr>
          <w:sz w:val="21"/>
        </w:rPr>
      </w:pPr>
      <w:r>
        <w:rPr>
          <w:color w:val="231F20"/>
          <w:sz w:val="21"/>
        </w:rPr>
        <w:t>Seldon, A. y Pennance, F. (1986), </w:t>
      </w:r>
      <w:r>
        <w:rPr>
          <w:i/>
          <w:color w:val="231F20"/>
          <w:sz w:val="21"/>
        </w:rPr>
        <w:t>Diccionario de Economía. Una expo- </w:t>
      </w:r>
      <w:r>
        <w:rPr>
          <w:i/>
          <w:color w:val="231F20"/>
          <w:sz w:val="21"/>
        </w:rPr>
        <w:t>sición alfabética de conceptos económicos y su aplicación</w:t>
      </w:r>
      <w:r>
        <w:rPr>
          <w:color w:val="231F20"/>
          <w:sz w:val="21"/>
        </w:rPr>
        <w:t>, Oi- kos-tau ediciones, Barcelona.</w:t>
      </w:r>
    </w:p>
    <w:p>
      <w:pPr>
        <w:pStyle w:val="BodyText"/>
        <w:spacing w:line="241" w:lineRule="exact"/>
        <w:ind w:left="116"/>
      </w:pPr>
      <w:r>
        <w:rPr>
          <w:color w:val="231F20"/>
          <w:w w:val="110"/>
        </w:rPr>
        <w:t>Solow,</w:t>
      </w:r>
      <w:r>
        <w:rPr>
          <w:color w:val="231F20"/>
          <w:spacing w:val="-34"/>
          <w:w w:val="110"/>
        </w:rPr>
        <w:t> </w:t>
      </w:r>
      <w:r>
        <w:rPr>
          <w:color w:val="231F20"/>
          <w:w w:val="110"/>
        </w:rPr>
        <w:t>R.</w:t>
      </w:r>
      <w:r>
        <w:rPr>
          <w:color w:val="231F20"/>
          <w:spacing w:val="-34"/>
          <w:w w:val="110"/>
        </w:rPr>
        <w:t> </w:t>
      </w:r>
      <w:r>
        <w:rPr>
          <w:color w:val="231F20"/>
          <w:w w:val="110"/>
        </w:rPr>
        <w:t>(1956),</w:t>
      </w:r>
      <w:r>
        <w:rPr>
          <w:color w:val="231F20"/>
          <w:spacing w:val="-34"/>
          <w:w w:val="110"/>
        </w:rPr>
        <w:t> </w:t>
      </w:r>
      <w:r>
        <w:rPr>
          <w:color w:val="231F20"/>
          <w:spacing w:val="-8"/>
          <w:w w:val="110"/>
        </w:rPr>
        <w:t>“A</w:t>
      </w:r>
      <w:r>
        <w:rPr>
          <w:color w:val="231F20"/>
          <w:spacing w:val="-33"/>
          <w:w w:val="110"/>
        </w:rPr>
        <w:t> </w:t>
      </w:r>
      <w:r>
        <w:rPr>
          <w:color w:val="231F20"/>
          <w:w w:val="110"/>
        </w:rPr>
        <w:t>contribution</w:t>
      </w:r>
      <w:r>
        <w:rPr>
          <w:color w:val="231F20"/>
          <w:spacing w:val="-31"/>
          <w:w w:val="110"/>
        </w:rPr>
        <w:t> </w:t>
      </w:r>
      <w:r>
        <w:rPr>
          <w:color w:val="231F20"/>
          <w:w w:val="110"/>
        </w:rPr>
        <w:t>to</w:t>
      </w:r>
      <w:r>
        <w:rPr>
          <w:color w:val="231F20"/>
          <w:spacing w:val="-31"/>
          <w:w w:val="110"/>
        </w:rPr>
        <w:t> </w:t>
      </w:r>
      <w:r>
        <w:rPr>
          <w:color w:val="231F20"/>
          <w:w w:val="110"/>
        </w:rPr>
        <w:t>the</w:t>
      </w:r>
      <w:r>
        <w:rPr>
          <w:color w:val="231F20"/>
          <w:spacing w:val="-31"/>
          <w:w w:val="110"/>
        </w:rPr>
        <w:t> </w:t>
      </w:r>
      <w:r>
        <w:rPr>
          <w:color w:val="231F20"/>
          <w:w w:val="110"/>
        </w:rPr>
        <w:t>theory</w:t>
      </w:r>
      <w:r>
        <w:rPr>
          <w:color w:val="231F20"/>
          <w:spacing w:val="-31"/>
          <w:w w:val="110"/>
        </w:rPr>
        <w:t> </w:t>
      </w:r>
      <w:r>
        <w:rPr>
          <w:color w:val="231F20"/>
          <w:w w:val="110"/>
        </w:rPr>
        <w:t>of</w:t>
      </w:r>
      <w:r>
        <w:rPr>
          <w:color w:val="231F20"/>
          <w:spacing w:val="-28"/>
          <w:w w:val="110"/>
        </w:rPr>
        <w:t> </w:t>
      </w:r>
      <w:r>
        <w:rPr>
          <w:color w:val="231F20"/>
          <w:w w:val="110"/>
        </w:rPr>
        <w:t>economic</w:t>
      </w:r>
      <w:r>
        <w:rPr>
          <w:color w:val="231F20"/>
          <w:spacing w:val="-31"/>
          <w:w w:val="110"/>
        </w:rPr>
        <w:t> </w:t>
      </w:r>
      <w:r>
        <w:rPr>
          <w:color w:val="231F20"/>
          <w:w w:val="110"/>
        </w:rPr>
        <w:t>Growth”</w:t>
      </w:r>
      <w:r>
        <w:rPr>
          <w:color w:val="231F20"/>
          <w:spacing w:val="-31"/>
          <w:w w:val="110"/>
        </w:rPr>
        <w:t> </w:t>
      </w:r>
      <w:r>
        <w:rPr>
          <w:color w:val="231F20"/>
          <w:w w:val="110"/>
        </w:rPr>
        <w:t>en:</w:t>
      </w:r>
    </w:p>
    <w:p>
      <w:pPr>
        <w:spacing w:before="18"/>
        <w:ind w:left="854" w:right="114" w:firstLine="0"/>
        <w:jc w:val="left"/>
        <w:rPr>
          <w:sz w:val="21"/>
        </w:rPr>
      </w:pPr>
      <w:r>
        <w:rPr>
          <w:i/>
          <w:color w:val="231F20"/>
          <w:w w:val="105"/>
          <w:sz w:val="21"/>
        </w:rPr>
        <w:t>Quarterly Journal of economics, </w:t>
      </w:r>
      <w:r>
        <w:rPr>
          <w:color w:val="231F20"/>
          <w:w w:val="105"/>
          <w:sz w:val="21"/>
        </w:rPr>
        <w:t>vol. 70, no. 1, pp. 65-94.</w:t>
      </w:r>
    </w:p>
    <w:p>
      <w:pPr>
        <w:pStyle w:val="BodyText"/>
        <w:spacing w:line="259" w:lineRule="auto" w:before="18"/>
        <w:ind w:left="854" w:right="115" w:hanging="738"/>
        <w:jc w:val="both"/>
      </w:pPr>
      <w:r>
        <w:rPr>
          <w:color w:val="231F20"/>
          <w:w w:val="105"/>
        </w:rPr>
        <w:t>Stilianos,</w:t>
      </w:r>
      <w:r>
        <w:rPr>
          <w:color w:val="231F20"/>
          <w:spacing w:val="-23"/>
          <w:w w:val="105"/>
        </w:rPr>
        <w:t> </w:t>
      </w:r>
      <w:r>
        <w:rPr>
          <w:color w:val="231F20"/>
          <w:w w:val="105"/>
        </w:rPr>
        <w:t>A.</w:t>
      </w:r>
      <w:r>
        <w:rPr>
          <w:color w:val="231F20"/>
          <w:spacing w:val="-21"/>
          <w:w w:val="105"/>
        </w:rPr>
        <w:t> </w:t>
      </w:r>
      <w:r>
        <w:rPr>
          <w:color w:val="231F20"/>
          <w:w w:val="105"/>
        </w:rPr>
        <w:t>y</w:t>
      </w:r>
      <w:r>
        <w:rPr>
          <w:color w:val="231F20"/>
          <w:spacing w:val="-17"/>
          <w:w w:val="105"/>
        </w:rPr>
        <w:t> </w:t>
      </w:r>
      <w:r>
        <w:rPr>
          <w:color w:val="231F20"/>
          <w:w w:val="105"/>
        </w:rPr>
        <w:t>Dimitrios</w:t>
      </w:r>
      <w:r>
        <w:rPr>
          <w:color w:val="231F20"/>
          <w:spacing w:val="-20"/>
          <w:w w:val="105"/>
        </w:rPr>
        <w:t> </w:t>
      </w:r>
      <w:r>
        <w:rPr>
          <w:color w:val="231F20"/>
          <w:spacing w:val="-9"/>
          <w:w w:val="105"/>
        </w:rPr>
        <w:t>T.</w:t>
      </w:r>
      <w:r>
        <w:rPr>
          <w:color w:val="231F20"/>
          <w:spacing w:val="-21"/>
          <w:w w:val="105"/>
        </w:rPr>
        <w:t> </w:t>
      </w:r>
      <w:r>
        <w:rPr>
          <w:color w:val="231F20"/>
          <w:w w:val="105"/>
        </w:rPr>
        <w:t>(2006),</w:t>
      </w:r>
      <w:r>
        <w:rPr>
          <w:color w:val="231F20"/>
          <w:spacing w:val="-21"/>
          <w:w w:val="105"/>
        </w:rPr>
        <w:t> </w:t>
      </w:r>
      <w:r>
        <w:rPr>
          <w:color w:val="231F20"/>
          <w:w w:val="105"/>
        </w:rPr>
        <w:t>“Reassessing</w:t>
      </w:r>
      <w:r>
        <w:rPr>
          <w:color w:val="231F20"/>
          <w:spacing w:val="-17"/>
          <w:w w:val="105"/>
        </w:rPr>
        <w:t> </w:t>
      </w:r>
      <w:r>
        <w:rPr>
          <w:color w:val="231F20"/>
          <w:w w:val="105"/>
        </w:rPr>
        <w:t>the</w:t>
      </w:r>
      <w:r>
        <w:rPr>
          <w:color w:val="231F20"/>
          <w:spacing w:val="-17"/>
          <w:w w:val="105"/>
        </w:rPr>
        <w:t> </w:t>
      </w:r>
      <w:r>
        <w:rPr>
          <w:color w:val="231F20"/>
          <w:w w:val="105"/>
        </w:rPr>
        <w:t>validity</w:t>
      </w:r>
      <w:r>
        <w:rPr>
          <w:color w:val="231F20"/>
          <w:spacing w:val="-17"/>
          <w:w w:val="105"/>
        </w:rPr>
        <w:t> </w:t>
      </w:r>
      <w:r>
        <w:rPr>
          <w:color w:val="231F20"/>
          <w:w w:val="105"/>
        </w:rPr>
        <w:t>of</w:t>
      </w:r>
      <w:r>
        <w:rPr>
          <w:color w:val="231F20"/>
          <w:spacing w:val="-16"/>
          <w:w w:val="105"/>
        </w:rPr>
        <w:t> </w:t>
      </w:r>
      <w:r>
        <w:rPr>
          <w:color w:val="231F20"/>
          <w:spacing w:val="-3"/>
          <w:w w:val="105"/>
        </w:rPr>
        <w:t>Verdoorn’s </w:t>
      </w:r>
      <w:r>
        <w:rPr>
          <w:color w:val="231F20"/>
          <w:w w:val="105"/>
        </w:rPr>
        <w:t>law under conditions of spatial dependence: a case study of</w:t>
      </w:r>
      <w:r>
        <w:rPr>
          <w:color w:val="231F20"/>
          <w:spacing w:val="-26"/>
          <w:w w:val="105"/>
        </w:rPr>
        <w:t> </w:t>
      </w:r>
      <w:r>
        <w:rPr>
          <w:color w:val="231F20"/>
          <w:w w:val="105"/>
        </w:rPr>
        <w:t>the Greek</w:t>
      </w:r>
      <w:r>
        <w:rPr>
          <w:color w:val="231F20"/>
          <w:spacing w:val="-25"/>
          <w:w w:val="105"/>
        </w:rPr>
        <w:t> </w:t>
      </w:r>
      <w:r>
        <w:rPr>
          <w:color w:val="231F20"/>
          <w:w w:val="105"/>
        </w:rPr>
        <w:t>regions”</w:t>
      </w:r>
      <w:r>
        <w:rPr>
          <w:color w:val="231F20"/>
          <w:spacing w:val="-25"/>
          <w:w w:val="105"/>
        </w:rPr>
        <w:t> </w:t>
      </w:r>
      <w:r>
        <w:rPr>
          <w:color w:val="231F20"/>
          <w:w w:val="105"/>
        </w:rPr>
        <w:t>en:</w:t>
      </w:r>
      <w:r>
        <w:rPr>
          <w:color w:val="231F20"/>
          <w:spacing w:val="-25"/>
          <w:w w:val="105"/>
        </w:rPr>
        <w:t> </w:t>
      </w:r>
      <w:r>
        <w:rPr>
          <w:i/>
          <w:color w:val="231F20"/>
          <w:w w:val="105"/>
        </w:rPr>
        <w:t>Journal</w:t>
      </w:r>
      <w:r>
        <w:rPr>
          <w:i/>
          <w:color w:val="231F20"/>
          <w:spacing w:val="-25"/>
          <w:w w:val="105"/>
        </w:rPr>
        <w:t> </w:t>
      </w:r>
      <w:r>
        <w:rPr>
          <w:i/>
          <w:color w:val="231F20"/>
          <w:w w:val="105"/>
        </w:rPr>
        <w:t>of</w:t>
      </w:r>
      <w:r>
        <w:rPr>
          <w:i/>
          <w:color w:val="231F20"/>
          <w:spacing w:val="-22"/>
          <w:w w:val="105"/>
        </w:rPr>
        <w:t> </w:t>
      </w:r>
      <w:r>
        <w:rPr>
          <w:i/>
          <w:color w:val="231F20"/>
          <w:spacing w:val="-4"/>
          <w:w w:val="105"/>
        </w:rPr>
        <w:t>Post</w:t>
      </w:r>
      <w:r>
        <w:rPr>
          <w:i/>
          <w:color w:val="231F20"/>
          <w:spacing w:val="-25"/>
          <w:w w:val="105"/>
        </w:rPr>
        <w:t> </w:t>
      </w:r>
      <w:r>
        <w:rPr>
          <w:i/>
          <w:color w:val="231F20"/>
          <w:w w:val="105"/>
        </w:rPr>
        <w:t>Keynesian</w:t>
      </w:r>
      <w:r>
        <w:rPr>
          <w:i/>
          <w:color w:val="231F20"/>
          <w:spacing w:val="-25"/>
          <w:w w:val="105"/>
        </w:rPr>
        <w:t> </w:t>
      </w:r>
      <w:r>
        <w:rPr>
          <w:i/>
          <w:color w:val="231F20"/>
          <w:w w:val="105"/>
        </w:rPr>
        <w:t>Economics,</w:t>
      </w:r>
      <w:r>
        <w:rPr>
          <w:i/>
          <w:color w:val="231F20"/>
          <w:spacing w:val="-25"/>
          <w:w w:val="105"/>
        </w:rPr>
        <w:t> </w:t>
      </w:r>
      <w:r>
        <w:rPr>
          <w:color w:val="231F20"/>
          <w:w w:val="105"/>
        </w:rPr>
        <w:t>vol.</w:t>
      </w:r>
      <w:r>
        <w:rPr>
          <w:color w:val="231F20"/>
          <w:spacing w:val="-29"/>
          <w:w w:val="105"/>
        </w:rPr>
        <w:t> </w:t>
      </w:r>
      <w:r>
        <w:rPr>
          <w:color w:val="231F20"/>
          <w:w w:val="105"/>
        </w:rPr>
        <w:t>29, núm.</w:t>
      </w:r>
      <w:r>
        <w:rPr>
          <w:color w:val="231F20"/>
          <w:spacing w:val="-23"/>
          <w:w w:val="105"/>
        </w:rPr>
        <w:t> </w:t>
      </w:r>
      <w:r>
        <w:rPr>
          <w:color w:val="231F20"/>
          <w:w w:val="105"/>
        </w:rPr>
        <w:t>1,</w:t>
      </w:r>
      <w:r>
        <w:rPr>
          <w:color w:val="231F20"/>
          <w:spacing w:val="-23"/>
          <w:w w:val="105"/>
        </w:rPr>
        <w:t> </w:t>
      </w:r>
      <w:r>
        <w:rPr>
          <w:color w:val="231F20"/>
          <w:w w:val="105"/>
        </w:rPr>
        <w:t>pp.</w:t>
      </w:r>
      <w:r>
        <w:rPr>
          <w:color w:val="231F20"/>
          <w:spacing w:val="-23"/>
          <w:w w:val="105"/>
        </w:rPr>
        <w:t> </w:t>
      </w:r>
      <w:r>
        <w:rPr>
          <w:color w:val="231F20"/>
          <w:w w:val="105"/>
        </w:rPr>
        <w:t>149-170.</w:t>
      </w:r>
    </w:p>
    <w:p>
      <w:pPr>
        <w:pStyle w:val="BodyText"/>
        <w:spacing w:line="259" w:lineRule="auto"/>
        <w:ind w:left="854" w:right="116" w:hanging="738"/>
        <w:jc w:val="both"/>
      </w:pPr>
      <w:r>
        <w:rPr>
          <w:color w:val="231F20"/>
          <w:w w:val="105"/>
        </w:rPr>
        <w:t>Thirlwall,</w:t>
      </w:r>
      <w:r>
        <w:rPr>
          <w:color w:val="231F20"/>
          <w:spacing w:val="-36"/>
          <w:w w:val="105"/>
        </w:rPr>
        <w:t> </w:t>
      </w:r>
      <w:r>
        <w:rPr>
          <w:color w:val="231F20"/>
          <w:w w:val="105"/>
        </w:rPr>
        <w:t>A.</w:t>
      </w:r>
      <w:r>
        <w:rPr>
          <w:color w:val="231F20"/>
          <w:spacing w:val="-33"/>
          <w:w w:val="105"/>
        </w:rPr>
        <w:t> </w:t>
      </w:r>
      <w:r>
        <w:rPr>
          <w:color w:val="231F20"/>
          <w:w w:val="105"/>
        </w:rPr>
        <w:t>(2000),</w:t>
      </w:r>
      <w:r>
        <w:rPr>
          <w:color w:val="231F20"/>
          <w:spacing w:val="-33"/>
          <w:w w:val="105"/>
        </w:rPr>
        <w:t> </w:t>
      </w:r>
      <w:r>
        <w:rPr>
          <w:color w:val="231F20"/>
          <w:spacing w:val="-4"/>
          <w:w w:val="105"/>
        </w:rPr>
        <w:t>“Trade</w:t>
      </w:r>
      <w:r>
        <w:rPr>
          <w:color w:val="231F20"/>
          <w:spacing w:val="-28"/>
          <w:w w:val="105"/>
        </w:rPr>
        <w:t> </w:t>
      </w:r>
      <w:r>
        <w:rPr>
          <w:color w:val="231F20"/>
          <w:w w:val="105"/>
        </w:rPr>
        <w:t>agreements,</w:t>
      </w:r>
      <w:r>
        <w:rPr>
          <w:color w:val="231F20"/>
          <w:spacing w:val="-33"/>
          <w:w w:val="105"/>
        </w:rPr>
        <w:t> </w:t>
      </w:r>
      <w:r>
        <w:rPr>
          <w:color w:val="231F20"/>
          <w:w w:val="105"/>
        </w:rPr>
        <w:t>trade</w:t>
      </w:r>
      <w:r>
        <w:rPr>
          <w:color w:val="231F20"/>
          <w:spacing w:val="-28"/>
          <w:w w:val="105"/>
        </w:rPr>
        <w:t> </w:t>
      </w:r>
      <w:r>
        <w:rPr>
          <w:color w:val="231F20"/>
          <w:w w:val="105"/>
        </w:rPr>
        <w:t>liberalization</w:t>
      </w:r>
      <w:r>
        <w:rPr>
          <w:color w:val="231F20"/>
          <w:spacing w:val="-28"/>
          <w:w w:val="105"/>
        </w:rPr>
        <w:t> </w:t>
      </w:r>
      <w:r>
        <w:rPr>
          <w:color w:val="231F20"/>
          <w:w w:val="105"/>
        </w:rPr>
        <w:t>and</w:t>
      </w:r>
      <w:r>
        <w:rPr>
          <w:color w:val="231F20"/>
          <w:spacing w:val="-28"/>
          <w:w w:val="105"/>
        </w:rPr>
        <w:t> </w:t>
      </w:r>
      <w:r>
        <w:rPr>
          <w:color w:val="231F20"/>
          <w:w w:val="105"/>
        </w:rPr>
        <w:t>economic growth:</w:t>
      </w:r>
      <w:r>
        <w:rPr>
          <w:color w:val="231F20"/>
          <w:spacing w:val="-19"/>
          <w:w w:val="105"/>
        </w:rPr>
        <w:t> </w:t>
      </w:r>
      <w:r>
        <w:rPr>
          <w:color w:val="231F20"/>
          <w:w w:val="105"/>
        </w:rPr>
        <w:t>a</w:t>
      </w:r>
      <w:r>
        <w:rPr>
          <w:color w:val="231F20"/>
          <w:spacing w:val="-19"/>
          <w:w w:val="105"/>
        </w:rPr>
        <w:t> </w:t>
      </w:r>
      <w:r>
        <w:rPr>
          <w:color w:val="231F20"/>
          <w:w w:val="105"/>
        </w:rPr>
        <w:t>selective</w:t>
      </w:r>
      <w:r>
        <w:rPr>
          <w:color w:val="231F20"/>
          <w:spacing w:val="-19"/>
          <w:w w:val="105"/>
        </w:rPr>
        <w:t> </w:t>
      </w:r>
      <w:r>
        <w:rPr>
          <w:color w:val="231F20"/>
          <w:w w:val="105"/>
        </w:rPr>
        <w:t>survey”</w:t>
      </w:r>
      <w:r>
        <w:rPr>
          <w:color w:val="231F20"/>
          <w:spacing w:val="-19"/>
          <w:w w:val="105"/>
        </w:rPr>
        <w:t> </w:t>
      </w:r>
      <w:r>
        <w:rPr>
          <w:color w:val="231F20"/>
          <w:w w:val="105"/>
        </w:rPr>
        <w:t>en:</w:t>
      </w:r>
      <w:r>
        <w:rPr>
          <w:color w:val="231F20"/>
          <w:spacing w:val="-19"/>
          <w:w w:val="105"/>
        </w:rPr>
        <w:t> </w:t>
      </w:r>
      <w:r>
        <w:rPr>
          <w:i/>
          <w:color w:val="231F20"/>
          <w:w w:val="105"/>
        </w:rPr>
        <w:t>African</w:t>
      </w:r>
      <w:r>
        <w:rPr>
          <w:i/>
          <w:color w:val="231F20"/>
          <w:spacing w:val="-19"/>
          <w:w w:val="105"/>
        </w:rPr>
        <w:t> </w:t>
      </w:r>
      <w:r>
        <w:rPr>
          <w:i/>
          <w:color w:val="231F20"/>
          <w:w w:val="105"/>
        </w:rPr>
        <w:t>Development</w:t>
      </w:r>
      <w:r>
        <w:rPr>
          <w:i/>
          <w:color w:val="231F20"/>
          <w:spacing w:val="-19"/>
          <w:w w:val="105"/>
        </w:rPr>
        <w:t> </w:t>
      </w:r>
      <w:r>
        <w:rPr>
          <w:i/>
          <w:color w:val="231F20"/>
          <w:w w:val="105"/>
        </w:rPr>
        <w:t>Review</w:t>
      </w:r>
      <w:r>
        <w:rPr>
          <w:color w:val="231F20"/>
          <w:w w:val="105"/>
        </w:rPr>
        <w:t>,</w:t>
      </w:r>
      <w:r>
        <w:rPr>
          <w:color w:val="231F20"/>
          <w:spacing w:val="-24"/>
          <w:w w:val="105"/>
        </w:rPr>
        <w:t> </w:t>
      </w:r>
      <w:r>
        <w:rPr>
          <w:color w:val="231F20"/>
          <w:w w:val="105"/>
        </w:rPr>
        <w:t>vol. 12,</w:t>
      </w:r>
      <w:r>
        <w:rPr>
          <w:color w:val="231F20"/>
          <w:spacing w:val="-22"/>
          <w:w w:val="105"/>
        </w:rPr>
        <w:t> </w:t>
      </w:r>
      <w:r>
        <w:rPr>
          <w:color w:val="231F20"/>
          <w:w w:val="105"/>
        </w:rPr>
        <w:t>núm.</w:t>
      </w:r>
      <w:r>
        <w:rPr>
          <w:color w:val="231F20"/>
          <w:spacing w:val="-22"/>
          <w:w w:val="105"/>
        </w:rPr>
        <w:t> </w:t>
      </w:r>
      <w:r>
        <w:rPr>
          <w:color w:val="231F20"/>
          <w:w w:val="105"/>
        </w:rPr>
        <w:t>2,</w:t>
      </w:r>
      <w:r>
        <w:rPr>
          <w:color w:val="231F20"/>
          <w:spacing w:val="-22"/>
          <w:w w:val="105"/>
        </w:rPr>
        <w:t> </w:t>
      </w:r>
      <w:r>
        <w:rPr>
          <w:color w:val="231F20"/>
          <w:w w:val="105"/>
        </w:rPr>
        <w:t>pp.</w:t>
      </w:r>
      <w:r>
        <w:rPr>
          <w:color w:val="231F20"/>
          <w:spacing w:val="-22"/>
          <w:w w:val="105"/>
        </w:rPr>
        <w:t> </w:t>
      </w:r>
      <w:r>
        <w:rPr>
          <w:color w:val="231F20"/>
          <w:w w:val="105"/>
        </w:rPr>
        <w:t>129-160</w:t>
      </w:r>
    </w:p>
    <w:p>
      <w:pPr>
        <w:spacing w:after="0" w:line="259" w:lineRule="auto"/>
        <w:jc w:val="both"/>
        <w:sectPr>
          <w:pgSz w:w="9640" w:h="13890"/>
          <w:pgMar w:top="0" w:bottom="280" w:left="1300" w:right="1180"/>
        </w:sectPr>
      </w:pPr>
    </w:p>
    <w:p>
      <w:pPr>
        <w:spacing w:line="259" w:lineRule="auto" w:before="120"/>
        <w:ind w:left="841" w:right="115" w:hanging="738"/>
        <w:jc w:val="both"/>
        <w:rPr>
          <w:sz w:val="21"/>
        </w:rPr>
      </w:pPr>
      <w:r>
        <w:rPr>
          <w:color w:val="231F20"/>
          <w:sz w:val="21"/>
        </w:rPr>
        <w:t>–––––––</w:t>
      </w:r>
      <w:r>
        <w:rPr>
          <w:color w:val="231F20"/>
          <w:spacing w:val="-8"/>
          <w:sz w:val="21"/>
        </w:rPr>
        <w:t> </w:t>
      </w:r>
      <w:r>
        <w:rPr>
          <w:color w:val="231F20"/>
          <w:sz w:val="21"/>
        </w:rPr>
        <w:t>(2003),</w:t>
      </w:r>
      <w:r>
        <w:rPr>
          <w:color w:val="231F20"/>
          <w:spacing w:val="-13"/>
          <w:sz w:val="21"/>
        </w:rPr>
        <w:t> </w:t>
      </w:r>
      <w:r>
        <w:rPr>
          <w:i/>
          <w:color w:val="231F20"/>
          <w:sz w:val="21"/>
        </w:rPr>
        <w:t>La</w:t>
      </w:r>
      <w:r>
        <w:rPr>
          <w:i/>
          <w:color w:val="231F20"/>
          <w:spacing w:val="-8"/>
          <w:sz w:val="21"/>
        </w:rPr>
        <w:t> </w:t>
      </w:r>
      <w:r>
        <w:rPr>
          <w:i/>
          <w:color w:val="231F20"/>
          <w:sz w:val="21"/>
        </w:rPr>
        <w:t>naturaleza</w:t>
      </w:r>
      <w:r>
        <w:rPr>
          <w:i/>
          <w:color w:val="231F20"/>
          <w:spacing w:val="-8"/>
          <w:sz w:val="21"/>
        </w:rPr>
        <w:t> </w:t>
      </w:r>
      <w:r>
        <w:rPr>
          <w:i/>
          <w:color w:val="231F20"/>
          <w:sz w:val="21"/>
        </w:rPr>
        <w:t>del</w:t>
      </w:r>
      <w:r>
        <w:rPr>
          <w:i/>
          <w:color w:val="231F20"/>
          <w:spacing w:val="-8"/>
          <w:sz w:val="21"/>
        </w:rPr>
        <w:t> </w:t>
      </w:r>
      <w:r>
        <w:rPr>
          <w:i/>
          <w:color w:val="231F20"/>
          <w:sz w:val="21"/>
        </w:rPr>
        <w:t>crecimiento</w:t>
      </w:r>
      <w:r>
        <w:rPr>
          <w:i/>
          <w:color w:val="231F20"/>
          <w:spacing w:val="-8"/>
          <w:sz w:val="21"/>
        </w:rPr>
        <w:t> </w:t>
      </w:r>
      <w:r>
        <w:rPr>
          <w:i/>
          <w:color w:val="231F20"/>
          <w:sz w:val="21"/>
        </w:rPr>
        <w:t>económico:</w:t>
      </w:r>
      <w:r>
        <w:rPr>
          <w:i/>
          <w:color w:val="231F20"/>
          <w:spacing w:val="-8"/>
          <w:sz w:val="21"/>
        </w:rPr>
        <w:t> </w:t>
      </w:r>
      <w:r>
        <w:rPr>
          <w:i/>
          <w:color w:val="231F20"/>
          <w:sz w:val="21"/>
        </w:rPr>
        <w:t>Un</w:t>
      </w:r>
      <w:r>
        <w:rPr>
          <w:i/>
          <w:color w:val="231F20"/>
          <w:spacing w:val="-8"/>
          <w:sz w:val="21"/>
        </w:rPr>
        <w:t> </w:t>
      </w:r>
      <w:r>
        <w:rPr>
          <w:i/>
          <w:color w:val="231F20"/>
          <w:sz w:val="21"/>
        </w:rPr>
        <w:t>marco</w:t>
      </w:r>
      <w:r>
        <w:rPr>
          <w:i/>
          <w:color w:val="231F20"/>
          <w:spacing w:val="-8"/>
          <w:sz w:val="21"/>
        </w:rPr>
        <w:t> </w:t>
      </w:r>
      <w:r>
        <w:rPr>
          <w:i/>
          <w:color w:val="231F20"/>
          <w:sz w:val="21"/>
        </w:rPr>
        <w:t>alter- </w:t>
      </w:r>
      <w:r>
        <w:rPr>
          <w:i/>
          <w:color w:val="231F20"/>
          <w:sz w:val="21"/>
        </w:rPr>
        <w:t>nativo para comprender el desempeño de las naciones</w:t>
      </w:r>
      <w:r>
        <w:rPr>
          <w:color w:val="231F20"/>
          <w:sz w:val="21"/>
        </w:rPr>
        <w:t>, </w:t>
      </w:r>
      <w:r>
        <w:rPr>
          <w:color w:val="231F20"/>
          <w:spacing w:val="-3"/>
          <w:sz w:val="21"/>
        </w:rPr>
        <w:t>Fondo </w:t>
      </w:r>
      <w:r>
        <w:rPr>
          <w:color w:val="231F20"/>
          <w:sz w:val="21"/>
        </w:rPr>
        <w:t>de Cultura Económica,</w:t>
      </w:r>
      <w:r>
        <w:rPr>
          <w:color w:val="231F20"/>
          <w:spacing w:val="43"/>
          <w:sz w:val="21"/>
        </w:rPr>
        <w:t> </w:t>
      </w:r>
      <w:r>
        <w:rPr>
          <w:color w:val="231F20"/>
          <w:sz w:val="21"/>
        </w:rPr>
        <w:t>México.</w:t>
      </w:r>
    </w:p>
    <w:p>
      <w:pPr>
        <w:spacing w:line="259" w:lineRule="auto" w:before="0"/>
        <w:ind w:left="841" w:right="120" w:hanging="738"/>
        <w:jc w:val="both"/>
        <w:rPr>
          <w:sz w:val="21"/>
        </w:rPr>
      </w:pPr>
      <w:r>
        <w:rPr>
          <w:color w:val="231F20"/>
          <w:sz w:val="21"/>
        </w:rPr>
        <w:t>–––––––</w:t>
      </w:r>
      <w:r>
        <w:rPr>
          <w:color w:val="231F20"/>
          <w:spacing w:val="-11"/>
          <w:sz w:val="21"/>
        </w:rPr>
        <w:t> </w:t>
      </w:r>
      <w:r>
        <w:rPr>
          <w:color w:val="231F20"/>
          <w:sz w:val="21"/>
        </w:rPr>
        <w:t>(1983),</w:t>
      </w:r>
      <w:r>
        <w:rPr>
          <w:color w:val="231F20"/>
          <w:spacing w:val="-17"/>
          <w:sz w:val="21"/>
        </w:rPr>
        <w:t> </w:t>
      </w:r>
      <w:r>
        <w:rPr>
          <w:color w:val="231F20"/>
          <w:spacing w:val="-8"/>
          <w:sz w:val="21"/>
        </w:rPr>
        <w:t>“A</w:t>
      </w:r>
      <w:r>
        <w:rPr>
          <w:color w:val="231F20"/>
          <w:spacing w:val="-15"/>
          <w:sz w:val="21"/>
        </w:rPr>
        <w:t> </w:t>
      </w:r>
      <w:r>
        <w:rPr>
          <w:color w:val="231F20"/>
          <w:sz w:val="21"/>
        </w:rPr>
        <w:t>plain</w:t>
      </w:r>
      <w:r>
        <w:rPr>
          <w:color w:val="231F20"/>
          <w:spacing w:val="-11"/>
          <w:sz w:val="21"/>
        </w:rPr>
        <w:t> </w:t>
      </w:r>
      <w:r>
        <w:rPr>
          <w:color w:val="231F20"/>
          <w:spacing w:val="-3"/>
          <w:sz w:val="21"/>
        </w:rPr>
        <w:t>man’s</w:t>
      </w:r>
      <w:r>
        <w:rPr>
          <w:color w:val="231F20"/>
          <w:spacing w:val="-11"/>
          <w:sz w:val="21"/>
        </w:rPr>
        <w:t> </w:t>
      </w:r>
      <w:r>
        <w:rPr>
          <w:color w:val="231F20"/>
          <w:sz w:val="21"/>
        </w:rPr>
        <w:t>guide</w:t>
      </w:r>
      <w:r>
        <w:rPr>
          <w:color w:val="231F20"/>
          <w:spacing w:val="-11"/>
          <w:sz w:val="21"/>
        </w:rPr>
        <w:t> </w:t>
      </w:r>
      <w:r>
        <w:rPr>
          <w:color w:val="231F20"/>
          <w:sz w:val="21"/>
        </w:rPr>
        <w:t>to</w:t>
      </w:r>
      <w:r>
        <w:rPr>
          <w:color w:val="231F20"/>
          <w:spacing w:val="-11"/>
          <w:sz w:val="21"/>
        </w:rPr>
        <w:t> </w:t>
      </w:r>
      <w:r>
        <w:rPr>
          <w:color w:val="231F20"/>
          <w:sz w:val="21"/>
        </w:rPr>
        <w:t>Kaldor’s</w:t>
      </w:r>
      <w:r>
        <w:rPr>
          <w:color w:val="231F20"/>
          <w:spacing w:val="-11"/>
          <w:sz w:val="21"/>
        </w:rPr>
        <w:t> </w:t>
      </w:r>
      <w:r>
        <w:rPr>
          <w:color w:val="231F20"/>
          <w:sz w:val="21"/>
        </w:rPr>
        <w:t>growth</w:t>
      </w:r>
      <w:r>
        <w:rPr>
          <w:color w:val="231F20"/>
          <w:spacing w:val="-11"/>
          <w:sz w:val="21"/>
        </w:rPr>
        <w:t> </w:t>
      </w:r>
      <w:r>
        <w:rPr>
          <w:color w:val="231F20"/>
          <w:sz w:val="21"/>
        </w:rPr>
        <w:t>laws”en:</w:t>
      </w:r>
      <w:r>
        <w:rPr>
          <w:color w:val="231F20"/>
          <w:spacing w:val="-14"/>
          <w:sz w:val="21"/>
        </w:rPr>
        <w:t> </w:t>
      </w:r>
      <w:r>
        <w:rPr>
          <w:i/>
          <w:color w:val="231F20"/>
          <w:sz w:val="21"/>
        </w:rPr>
        <w:t>Journal</w:t>
      </w:r>
      <w:r>
        <w:rPr>
          <w:i/>
          <w:color w:val="231F20"/>
          <w:spacing w:val="-11"/>
          <w:sz w:val="21"/>
        </w:rPr>
        <w:t> </w:t>
      </w:r>
      <w:r>
        <w:rPr>
          <w:i/>
          <w:color w:val="231F20"/>
          <w:sz w:val="21"/>
        </w:rPr>
        <w:t>of </w:t>
      </w:r>
      <w:r>
        <w:rPr>
          <w:i/>
          <w:color w:val="231F20"/>
          <w:spacing w:val="-4"/>
          <w:sz w:val="21"/>
        </w:rPr>
        <w:t>Post </w:t>
      </w:r>
      <w:r>
        <w:rPr>
          <w:i/>
          <w:color w:val="231F20"/>
          <w:sz w:val="21"/>
        </w:rPr>
        <w:t>Keynesian Economics</w:t>
      </w:r>
      <w:r>
        <w:rPr>
          <w:color w:val="231F20"/>
          <w:sz w:val="21"/>
        </w:rPr>
        <w:t>, vol. 4, núm 1, pp.</w:t>
      </w:r>
      <w:r>
        <w:rPr>
          <w:color w:val="231F20"/>
          <w:spacing w:val="-34"/>
          <w:sz w:val="21"/>
        </w:rPr>
        <w:t> </w:t>
      </w:r>
      <w:r>
        <w:rPr>
          <w:color w:val="231F20"/>
          <w:sz w:val="21"/>
        </w:rPr>
        <w:t>345-358.</w:t>
      </w:r>
    </w:p>
    <w:p>
      <w:pPr>
        <w:spacing w:line="259" w:lineRule="auto" w:before="0"/>
        <w:ind w:left="841" w:right="115" w:hanging="738"/>
        <w:jc w:val="both"/>
        <w:rPr>
          <w:sz w:val="21"/>
        </w:rPr>
      </w:pPr>
      <w:r>
        <w:rPr>
          <w:color w:val="231F20"/>
          <w:sz w:val="21"/>
        </w:rPr>
        <w:t>––––––– (1979), “The balance of payments constraint as an explanation</w:t>
      </w:r>
      <w:r>
        <w:rPr>
          <w:color w:val="231F20"/>
          <w:spacing w:val="-29"/>
          <w:sz w:val="21"/>
        </w:rPr>
        <w:t> </w:t>
      </w:r>
      <w:r>
        <w:rPr>
          <w:color w:val="231F20"/>
          <w:sz w:val="21"/>
        </w:rPr>
        <w:t>of international growth rate differences” en: </w:t>
      </w:r>
      <w:r>
        <w:rPr>
          <w:i/>
          <w:color w:val="231F20"/>
          <w:sz w:val="21"/>
        </w:rPr>
        <w:t>Banca Nazionale del La- </w:t>
      </w:r>
      <w:r>
        <w:rPr>
          <w:i/>
          <w:color w:val="231F20"/>
          <w:sz w:val="21"/>
        </w:rPr>
        <w:t>voro Quarterly Review</w:t>
      </w:r>
      <w:r>
        <w:rPr>
          <w:color w:val="231F20"/>
          <w:sz w:val="21"/>
        </w:rPr>
        <w:t>, núm. 128, Rome, pp.</w:t>
      </w:r>
      <w:r>
        <w:rPr>
          <w:color w:val="231F20"/>
          <w:spacing w:val="-3"/>
          <w:sz w:val="21"/>
        </w:rPr>
        <w:t> </w:t>
      </w:r>
      <w:r>
        <w:rPr>
          <w:color w:val="231F20"/>
          <w:sz w:val="21"/>
        </w:rPr>
        <w:t>45-53.</w:t>
      </w:r>
    </w:p>
    <w:p>
      <w:pPr>
        <w:spacing w:line="259" w:lineRule="auto" w:before="0"/>
        <w:ind w:left="841" w:right="115" w:hanging="738"/>
        <w:jc w:val="both"/>
        <w:rPr>
          <w:sz w:val="21"/>
        </w:rPr>
      </w:pPr>
      <w:r>
        <w:rPr>
          <w:color w:val="231F20"/>
          <w:w w:val="105"/>
          <w:sz w:val="21"/>
        </w:rPr>
        <w:t>Unger,</w:t>
      </w:r>
      <w:r>
        <w:rPr>
          <w:color w:val="231F20"/>
          <w:spacing w:val="-35"/>
          <w:w w:val="105"/>
          <w:sz w:val="21"/>
        </w:rPr>
        <w:t> </w:t>
      </w:r>
      <w:r>
        <w:rPr>
          <w:color w:val="231F20"/>
          <w:w w:val="105"/>
          <w:sz w:val="21"/>
        </w:rPr>
        <w:t>K.</w:t>
      </w:r>
      <w:r>
        <w:rPr>
          <w:color w:val="231F20"/>
          <w:spacing w:val="-35"/>
          <w:w w:val="105"/>
          <w:sz w:val="21"/>
        </w:rPr>
        <w:t> </w:t>
      </w:r>
      <w:r>
        <w:rPr>
          <w:color w:val="231F20"/>
          <w:w w:val="105"/>
          <w:sz w:val="21"/>
        </w:rPr>
        <w:t>(2010),</w:t>
      </w:r>
      <w:r>
        <w:rPr>
          <w:color w:val="231F20"/>
          <w:spacing w:val="-35"/>
          <w:w w:val="105"/>
          <w:sz w:val="21"/>
        </w:rPr>
        <w:t> </w:t>
      </w:r>
      <w:r>
        <w:rPr>
          <w:i/>
          <w:color w:val="231F20"/>
          <w:w w:val="105"/>
          <w:sz w:val="21"/>
        </w:rPr>
        <w:t>Globalización</w:t>
      </w:r>
      <w:r>
        <w:rPr>
          <w:i/>
          <w:color w:val="231F20"/>
          <w:spacing w:val="-31"/>
          <w:w w:val="105"/>
          <w:sz w:val="21"/>
        </w:rPr>
        <w:t> </w:t>
      </w:r>
      <w:r>
        <w:rPr>
          <w:i/>
          <w:color w:val="231F20"/>
          <w:w w:val="105"/>
          <w:sz w:val="21"/>
        </w:rPr>
        <w:t>y</w:t>
      </w:r>
      <w:r>
        <w:rPr>
          <w:i/>
          <w:color w:val="231F20"/>
          <w:spacing w:val="-31"/>
          <w:w w:val="105"/>
          <w:sz w:val="21"/>
        </w:rPr>
        <w:t> </w:t>
      </w:r>
      <w:r>
        <w:rPr>
          <w:i/>
          <w:color w:val="231F20"/>
          <w:w w:val="105"/>
          <w:sz w:val="21"/>
        </w:rPr>
        <w:t>Clusters</w:t>
      </w:r>
      <w:r>
        <w:rPr>
          <w:i/>
          <w:color w:val="231F20"/>
          <w:spacing w:val="-31"/>
          <w:w w:val="105"/>
          <w:sz w:val="21"/>
        </w:rPr>
        <w:t> </w:t>
      </w:r>
      <w:r>
        <w:rPr>
          <w:i/>
          <w:color w:val="231F20"/>
          <w:w w:val="105"/>
          <w:sz w:val="21"/>
        </w:rPr>
        <w:t>regionales</w:t>
      </w:r>
      <w:r>
        <w:rPr>
          <w:i/>
          <w:color w:val="231F20"/>
          <w:spacing w:val="-31"/>
          <w:w w:val="105"/>
          <w:sz w:val="21"/>
        </w:rPr>
        <w:t> </w:t>
      </w:r>
      <w:r>
        <w:rPr>
          <w:i/>
          <w:color w:val="231F20"/>
          <w:w w:val="105"/>
          <w:sz w:val="21"/>
        </w:rPr>
        <w:t>en</w:t>
      </w:r>
      <w:r>
        <w:rPr>
          <w:i/>
          <w:color w:val="231F20"/>
          <w:spacing w:val="-31"/>
          <w:w w:val="105"/>
          <w:sz w:val="21"/>
        </w:rPr>
        <w:t> </w:t>
      </w:r>
      <w:r>
        <w:rPr>
          <w:i/>
          <w:color w:val="231F20"/>
          <w:w w:val="105"/>
          <w:sz w:val="21"/>
        </w:rPr>
        <w:t>México:</w:t>
      </w:r>
      <w:r>
        <w:rPr>
          <w:i/>
          <w:color w:val="231F20"/>
          <w:spacing w:val="-31"/>
          <w:w w:val="105"/>
          <w:sz w:val="21"/>
        </w:rPr>
        <w:t> </w:t>
      </w:r>
      <w:r>
        <w:rPr>
          <w:i/>
          <w:color w:val="231F20"/>
          <w:w w:val="105"/>
          <w:sz w:val="21"/>
        </w:rPr>
        <w:t>Un</w:t>
      </w:r>
      <w:r>
        <w:rPr>
          <w:i/>
          <w:color w:val="231F20"/>
          <w:spacing w:val="-31"/>
          <w:w w:val="105"/>
          <w:sz w:val="21"/>
        </w:rPr>
        <w:t> </w:t>
      </w:r>
      <w:r>
        <w:rPr>
          <w:i/>
          <w:color w:val="231F20"/>
          <w:w w:val="105"/>
          <w:sz w:val="21"/>
        </w:rPr>
        <w:t>enfo- </w:t>
      </w:r>
      <w:r>
        <w:rPr>
          <w:i/>
          <w:color w:val="231F20"/>
          <w:w w:val="105"/>
          <w:sz w:val="21"/>
        </w:rPr>
        <w:t>que</w:t>
      </w:r>
      <w:r>
        <w:rPr>
          <w:i/>
          <w:color w:val="231F20"/>
          <w:spacing w:val="-20"/>
          <w:w w:val="105"/>
          <w:sz w:val="21"/>
        </w:rPr>
        <w:t> </w:t>
      </w:r>
      <w:r>
        <w:rPr>
          <w:i/>
          <w:color w:val="231F20"/>
          <w:w w:val="105"/>
          <w:sz w:val="21"/>
        </w:rPr>
        <w:t>evolutivo</w:t>
      </w:r>
      <w:r>
        <w:rPr>
          <w:color w:val="231F20"/>
          <w:w w:val="105"/>
          <w:sz w:val="21"/>
        </w:rPr>
        <w:t>,</w:t>
      </w:r>
      <w:r>
        <w:rPr>
          <w:color w:val="231F20"/>
          <w:spacing w:val="-25"/>
          <w:w w:val="105"/>
          <w:sz w:val="21"/>
        </w:rPr>
        <w:t> </w:t>
      </w:r>
      <w:r>
        <w:rPr>
          <w:color w:val="231F20"/>
          <w:spacing w:val="-3"/>
          <w:w w:val="105"/>
          <w:sz w:val="21"/>
        </w:rPr>
        <w:t>Fondo</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Cultura</w:t>
      </w:r>
      <w:r>
        <w:rPr>
          <w:color w:val="231F20"/>
          <w:spacing w:val="-20"/>
          <w:w w:val="105"/>
          <w:sz w:val="21"/>
        </w:rPr>
        <w:t> </w:t>
      </w:r>
      <w:r>
        <w:rPr>
          <w:color w:val="231F20"/>
          <w:w w:val="105"/>
          <w:sz w:val="21"/>
        </w:rPr>
        <w:t>Económica,</w:t>
      </w:r>
      <w:r>
        <w:rPr>
          <w:color w:val="231F20"/>
          <w:spacing w:val="-25"/>
          <w:w w:val="105"/>
          <w:sz w:val="21"/>
        </w:rPr>
        <w:t> </w:t>
      </w:r>
      <w:r>
        <w:rPr>
          <w:color w:val="231F20"/>
          <w:w w:val="105"/>
          <w:sz w:val="21"/>
        </w:rPr>
        <w:t>México.</w:t>
      </w:r>
    </w:p>
    <w:p>
      <w:pPr>
        <w:spacing w:line="259" w:lineRule="auto" w:before="0"/>
        <w:ind w:left="841" w:right="115" w:hanging="738"/>
        <w:jc w:val="both"/>
        <w:rPr>
          <w:sz w:val="21"/>
        </w:rPr>
      </w:pPr>
      <w:r>
        <w:rPr>
          <w:color w:val="231F20"/>
          <w:w w:val="105"/>
          <w:sz w:val="21"/>
        </w:rPr>
        <w:t>Uribe-Etxeberria,</w:t>
      </w:r>
      <w:r>
        <w:rPr>
          <w:color w:val="231F20"/>
          <w:spacing w:val="-24"/>
          <w:w w:val="105"/>
          <w:sz w:val="21"/>
        </w:rPr>
        <w:t> </w:t>
      </w:r>
      <w:r>
        <w:rPr>
          <w:color w:val="231F20"/>
          <w:w w:val="105"/>
          <w:sz w:val="21"/>
        </w:rPr>
        <w:t>A.M.</w:t>
      </w:r>
      <w:r>
        <w:rPr>
          <w:color w:val="231F20"/>
          <w:spacing w:val="-22"/>
          <w:w w:val="105"/>
          <w:sz w:val="21"/>
        </w:rPr>
        <w:t> </w:t>
      </w:r>
      <w:r>
        <w:rPr>
          <w:color w:val="231F20"/>
          <w:w w:val="105"/>
          <w:sz w:val="21"/>
        </w:rPr>
        <w:t>(2009),</w:t>
      </w:r>
      <w:r>
        <w:rPr>
          <w:color w:val="231F20"/>
          <w:spacing w:val="-22"/>
          <w:w w:val="105"/>
          <w:sz w:val="21"/>
        </w:rPr>
        <w:t> </w:t>
      </w:r>
      <w:r>
        <w:rPr>
          <w:color w:val="231F20"/>
          <w:w w:val="105"/>
          <w:sz w:val="21"/>
        </w:rPr>
        <w:t>“Especialización</w:t>
      </w:r>
      <w:r>
        <w:rPr>
          <w:color w:val="231F20"/>
          <w:spacing w:val="-18"/>
          <w:w w:val="105"/>
          <w:sz w:val="21"/>
        </w:rPr>
        <w:t> </w:t>
      </w:r>
      <w:r>
        <w:rPr>
          <w:color w:val="231F20"/>
          <w:w w:val="105"/>
          <w:sz w:val="21"/>
        </w:rPr>
        <w:t>productiva</w:t>
      </w:r>
      <w:r>
        <w:rPr>
          <w:color w:val="231F20"/>
          <w:spacing w:val="-18"/>
          <w:w w:val="105"/>
          <w:sz w:val="21"/>
        </w:rPr>
        <w:t> </w:t>
      </w:r>
      <w:r>
        <w:rPr>
          <w:color w:val="231F20"/>
          <w:w w:val="105"/>
          <w:sz w:val="21"/>
        </w:rPr>
        <w:t>y</w:t>
      </w:r>
      <w:r>
        <w:rPr>
          <w:color w:val="231F20"/>
          <w:spacing w:val="-18"/>
          <w:w w:val="105"/>
          <w:sz w:val="21"/>
        </w:rPr>
        <w:t> </w:t>
      </w:r>
      <w:r>
        <w:rPr>
          <w:color w:val="231F20"/>
          <w:w w:val="105"/>
          <w:sz w:val="21"/>
        </w:rPr>
        <w:t>crecimiento en</w:t>
      </w:r>
      <w:r>
        <w:rPr>
          <w:color w:val="231F20"/>
          <w:spacing w:val="-16"/>
          <w:w w:val="105"/>
          <w:sz w:val="21"/>
        </w:rPr>
        <w:t> </w:t>
      </w:r>
      <w:r>
        <w:rPr>
          <w:color w:val="231F20"/>
          <w:w w:val="105"/>
          <w:sz w:val="21"/>
        </w:rPr>
        <w:t>los</w:t>
      </w:r>
      <w:r>
        <w:rPr>
          <w:color w:val="231F20"/>
          <w:spacing w:val="-16"/>
          <w:w w:val="105"/>
          <w:sz w:val="21"/>
        </w:rPr>
        <w:t> </w:t>
      </w:r>
      <w:r>
        <w:rPr>
          <w:color w:val="231F20"/>
          <w:w w:val="105"/>
          <w:sz w:val="21"/>
        </w:rPr>
        <w:t>países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renta</w:t>
      </w:r>
      <w:r>
        <w:rPr>
          <w:color w:val="231F20"/>
          <w:spacing w:val="-16"/>
          <w:w w:val="105"/>
          <w:sz w:val="21"/>
        </w:rPr>
        <w:t> </w:t>
      </w:r>
      <w:r>
        <w:rPr>
          <w:color w:val="231F20"/>
          <w:spacing w:val="-5"/>
          <w:w w:val="105"/>
          <w:sz w:val="21"/>
        </w:rPr>
        <w:t>media”,</w:t>
      </w:r>
      <w:r>
        <w:rPr>
          <w:color w:val="231F20"/>
          <w:spacing w:val="-21"/>
          <w:w w:val="105"/>
          <w:sz w:val="21"/>
        </w:rPr>
        <w:t> </w:t>
      </w:r>
      <w:r>
        <w:rPr>
          <w:i/>
          <w:color w:val="231F20"/>
          <w:w w:val="105"/>
          <w:sz w:val="21"/>
        </w:rPr>
        <w:t>Working</w:t>
      </w:r>
      <w:r>
        <w:rPr>
          <w:i/>
          <w:color w:val="231F20"/>
          <w:spacing w:val="-16"/>
          <w:w w:val="105"/>
          <w:sz w:val="21"/>
        </w:rPr>
        <w:t> </w:t>
      </w:r>
      <w:r>
        <w:rPr>
          <w:i/>
          <w:color w:val="231F20"/>
          <w:spacing w:val="-3"/>
          <w:w w:val="105"/>
          <w:sz w:val="21"/>
        </w:rPr>
        <w:t>Papers</w:t>
      </w:r>
      <w:r>
        <w:rPr>
          <w:i/>
          <w:color w:val="231F20"/>
          <w:spacing w:val="-16"/>
          <w:w w:val="105"/>
          <w:sz w:val="21"/>
        </w:rPr>
        <w:t> </w:t>
      </w:r>
      <w:r>
        <w:rPr>
          <w:i/>
          <w:color w:val="231F20"/>
          <w:w w:val="105"/>
          <w:sz w:val="21"/>
        </w:rPr>
        <w:t>del</w:t>
      </w:r>
      <w:r>
        <w:rPr>
          <w:i/>
          <w:color w:val="231F20"/>
          <w:spacing w:val="-16"/>
          <w:w w:val="105"/>
          <w:sz w:val="21"/>
        </w:rPr>
        <w:t> </w:t>
      </w:r>
      <w:r>
        <w:rPr>
          <w:i/>
          <w:color w:val="231F20"/>
          <w:w w:val="105"/>
          <w:sz w:val="21"/>
        </w:rPr>
        <w:t>Instituto</w:t>
      </w:r>
      <w:r>
        <w:rPr>
          <w:i/>
          <w:color w:val="231F20"/>
          <w:spacing w:val="-16"/>
          <w:w w:val="105"/>
          <w:sz w:val="21"/>
        </w:rPr>
        <w:t> </w:t>
      </w:r>
      <w:r>
        <w:rPr>
          <w:i/>
          <w:color w:val="231F20"/>
          <w:w w:val="105"/>
          <w:sz w:val="21"/>
        </w:rPr>
        <w:t>Com- </w:t>
      </w:r>
      <w:r>
        <w:rPr>
          <w:i/>
          <w:color w:val="231F20"/>
          <w:w w:val="105"/>
          <w:sz w:val="21"/>
        </w:rPr>
        <w:t>plutense</w:t>
      </w:r>
      <w:r>
        <w:rPr>
          <w:i/>
          <w:color w:val="231F20"/>
          <w:spacing w:val="-26"/>
          <w:w w:val="105"/>
          <w:sz w:val="21"/>
        </w:rPr>
        <w:t> </w:t>
      </w:r>
      <w:r>
        <w:rPr>
          <w:i/>
          <w:color w:val="231F20"/>
          <w:w w:val="105"/>
          <w:sz w:val="21"/>
        </w:rPr>
        <w:t>de</w:t>
      </w:r>
      <w:r>
        <w:rPr>
          <w:i/>
          <w:color w:val="231F20"/>
          <w:spacing w:val="-26"/>
          <w:w w:val="105"/>
          <w:sz w:val="21"/>
        </w:rPr>
        <w:t> </w:t>
      </w:r>
      <w:r>
        <w:rPr>
          <w:i/>
          <w:color w:val="231F20"/>
          <w:w w:val="105"/>
          <w:sz w:val="21"/>
        </w:rPr>
        <w:t>Estudios</w:t>
      </w:r>
      <w:r>
        <w:rPr>
          <w:i/>
          <w:color w:val="231F20"/>
          <w:spacing w:val="-26"/>
          <w:w w:val="105"/>
          <w:sz w:val="21"/>
        </w:rPr>
        <w:t> </w:t>
      </w:r>
      <w:r>
        <w:rPr>
          <w:i/>
          <w:color w:val="231F20"/>
          <w:w w:val="105"/>
          <w:sz w:val="21"/>
        </w:rPr>
        <w:t>Internacionales,</w:t>
      </w:r>
      <w:r>
        <w:rPr>
          <w:i/>
          <w:color w:val="231F20"/>
          <w:spacing w:val="-26"/>
          <w:w w:val="105"/>
          <w:sz w:val="21"/>
        </w:rPr>
        <w:t> </w:t>
      </w:r>
      <w:r>
        <w:rPr>
          <w:color w:val="231F20"/>
          <w:w w:val="105"/>
          <w:sz w:val="21"/>
        </w:rPr>
        <w:t>vol.</w:t>
      </w:r>
      <w:r>
        <w:rPr>
          <w:color w:val="231F20"/>
          <w:spacing w:val="-30"/>
          <w:w w:val="105"/>
          <w:sz w:val="21"/>
        </w:rPr>
        <w:t> </w:t>
      </w:r>
      <w:r>
        <w:rPr>
          <w:color w:val="231F20"/>
          <w:w w:val="105"/>
          <w:sz w:val="21"/>
        </w:rPr>
        <w:t>7,</w:t>
      </w:r>
      <w:r>
        <w:rPr>
          <w:color w:val="231F20"/>
          <w:spacing w:val="-30"/>
          <w:w w:val="105"/>
          <w:sz w:val="21"/>
        </w:rPr>
        <w:t> </w:t>
      </w:r>
      <w:r>
        <w:rPr>
          <w:color w:val="231F20"/>
          <w:w w:val="105"/>
          <w:sz w:val="21"/>
        </w:rPr>
        <w:t>núm.</w:t>
      </w:r>
      <w:r>
        <w:rPr>
          <w:color w:val="231F20"/>
          <w:spacing w:val="-30"/>
          <w:w w:val="105"/>
          <w:sz w:val="21"/>
        </w:rPr>
        <w:t> </w:t>
      </w:r>
      <w:r>
        <w:rPr>
          <w:color w:val="231F20"/>
          <w:w w:val="105"/>
          <w:sz w:val="21"/>
        </w:rPr>
        <w:t>9,</w:t>
      </w:r>
      <w:r>
        <w:rPr>
          <w:color w:val="231F20"/>
          <w:spacing w:val="-30"/>
          <w:w w:val="105"/>
          <w:sz w:val="21"/>
        </w:rPr>
        <w:t> </w:t>
      </w:r>
      <w:r>
        <w:rPr>
          <w:color w:val="231F20"/>
          <w:w w:val="105"/>
          <w:sz w:val="21"/>
        </w:rPr>
        <w:t>pp.</w:t>
      </w:r>
      <w:r>
        <w:rPr>
          <w:color w:val="231F20"/>
          <w:spacing w:val="-30"/>
          <w:w w:val="105"/>
          <w:sz w:val="21"/>
        </w:rPr>
        <w:t> </w:t>
      </w:r>
      <w:r>
        <w:rPr>
          <w:color w:val="231F20"/>
          <w:w w:val="105"/>
          <w:sz w:val="21"/>
        </w:rPr>
        <w:t>1-25.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43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260</w:t>
        <w:tab/>
      </w:r>
      <w:r>
        <w:rPr>
          <w:rFonts w:ascii="Calibri" w:hAnsi="Calibri"/>
          <w:color w:val="6D6E71"/>
          <w:sz w:val="15"/>
        </w:rPr>
        <w:t>Liliana Rendón Rojas y María del Carmen Salgado </w:t>
      </w:r>
      <w:r>
        <w:rPr>
          <w:rFonts w:ascii="Calibri" w:hAnsi="Calibri"/>
          <w:color w:val="6D6E71"/>
          <w:spacing w:val="24"/>
          <w:sz w:val="15"/>
        </w:rPr>
        <w:t> </w:t>
      </w:r>
      <w:r>
        <w:rPr>
          <w:rFonts w:ascii="Calibri" w:hAnsi="Calibri"/>
          <w:color w:val="6D6E71"/>
          <w:sz w:val="15"/>
        </w:rPr>
        <w:t>Vega</w:t>
      </w:r>
    </w:p>
    <w:p>
      <w:pPr>
        <w:spacing w:after="0"/>
        <w:jc w:val="left"/>
        <w:rPr>
          <w:rFonts w:ascii="Calibri" w:hAnsi="Calibri"/>
          <w:sz w:val="15"/>
        </w:rPr>
        <w:sectPr>
          <w:pgSz w:w="9640" w:h="13890"/>
          <w:pgMar w:top="1300" w:bottom="0" w:left="1200" w:right="1300"/>
        </w:sectPr>
      </w:pPr>
    </w:p>
    <w:p>
      <w:pPr>
        <w:pStyle w:val="BodyText"/>
        <w:rPr>
          <w:rFonts w:ascii="Calibri"/>
          <w:sz w:val="20"/>
        </w:rPr>
      </w:pPr>
      <w:r>
        <w:rPr/>
        <w:drawing>
          <wp:anchor distT="0" distB="0" distL="0" distR="0" allowOverlap="1" layoutInCell="1" locked="0" behindDoc="1" simplePos="0" relativeHeight="268197047">
            <wp:simplePos x="0" y="0"/>
            <wp:positionH relativeFrom="page">
              <wp:posOffset>7200</wp:posOffset>
            </wp:positionH>
            <wp:positionV relativeFrom="page">
              <wp:posOffset>0</wp:posOffset>
            </wp:positionV>
            <wp:extent cx="6112802" cy="8819997"/>
            <wp:effectExtent l="0" t="0" r="0" b="0"/>
            <wp:wrapNone/>
            <wp:docPr id="117" name="image11.png" descr=""/>
            <wp:cNvGraphicFramePr>
              <a:graphicFrameLocks noChangeAspect="1"/>
            </wp:cNvGraphicFramePr>
            <a:graphic>
              <a:graphicData uri="http://schemas.openxmlformats.org/drawingml/2006/picture">
                <pic:pic>
                  <pic:nvPicPr>
                    <pic:cNvPr id="118"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2"/>
        </w:rPr>
      </w:pPr>
    </w:p>
    <w:p>
      <w:pPr>
        <w:pStyle w:val="Heading1"/>
        <w:numPr>
          <w:ilvl w:val="0"/>
          <w:numId w:val="58"/>
        </w:numPr>
        <w:tabs>
          <w:tab w:pos="1151" w:val="left" w:leader="none"/>
        </w:tabs>
        <w:spacing w:line="288" w:lineRule="exact" w:before="37" w:after="0"/>
        <w:ind w:left="404" w:right="3024" w:firstLine="419"/>
        <w:jc w:val="left"/>
        <w:rPr>
          <w:color w:val="FFFFFF"/>
        </w:rPr>
      </w:pPr>
      <w:r>
        <w:rPr>
          <w:color w:val="FFFFFF"/>
          <w:w w:val="110"/>
        </w:rPr>
        <w:t>RELACIÓN</w:t>
      </w:r>
      <w:r>
        <w:rPr>
          <w:color w:val="FFFFFF"/>
          <w:spacing w:val="-31"/>
          <w:w w:val="110"/>
        </w:rPr>
        <w:t> </w:t>
      </w:r>
      <w:r>
        <w:rPr>
          <w:color w:val="FFFFFF"/>
          <w:w w:val="110"/>
        </w:rPr>
        <w:t>TEÓRICA</w:t>
      </w:r>
      <w:r>
        <w:rPr>
          <w:color w:val="FFFFFF"/>
          <w:spacing w:val="-31"/>
          <w:w w:val="110"/>
        </w:rPr>
        <w:t> </w:t>
      </w:r>
      <w:r>
        <w:rPr>
          <w:color w:val="FFFFFF"/>
          <w:w w:val="110"/>
        </w:rPr>
        <w:t>ENTRE </w:t>
      </w:r>
      <w:r>
        <w:rPr>
          <w:color w:val="FFFFFF"/>
          <w:w w:val="105"/>
        </w:rPr>
        <w:t>INVERSIÓN  EXTRANJERA</w:t>
      </w:r>
      <w:r>
        <w:rPr>
          <w:color w:val="FFFFFF"/>
          <w:spacing w:val="26"/>
          <w:w w:val="105"/>
        </w:rPr>
        <w:t> </w:t>
      </w:r>
      <w:r>
        <w:rPr>
          <w:color w:val="FFFFFF"/>
          <w:w w:val="105"/>
        </w:rPr>
        <w:t>DIRECTA</w:t>
      </w:r>
    </w:p>
    <w:p>
      <w:pPr>
        <w:spacing w:before="2"/>
        <w:ind w:left="1950" w:right="2382" w:firstLine="0"/>
        <w:jc w:val="left"/>
        <w:rPr>
          <w:rFonts w:ascii="Calibri"/>
          <w:sz w:val="24"/>
        </w:rPr>
      </w:pPr>
      <w:r>
        <w:rPr>
          <w:rFonts w:ascii="Calibri"/>
          <w:color w:val="FFFFFF"/>
          <w:w w:val="105"/>
          <w:sz w:val="24"/>
        </w:rPr>
        <w:t>Y COMPETITIVIDAD</w:t>
      </w:r>
    </w:p>
    <w:p>
      <w:pPr>
        <w:pStyle w:val="Heading3"/>
        <w:spacing w:before="120"/>
        <w:ind w:right="498"/>
      </w:pPr>
      <w:r>
        <w:rPr>
          <w:color w:val="FFFFFF"/>
          <w:w w:val="105"/>
        </w:rPr>
        <w:t>Gabriela Munguía Vázquez Sara Quiroz Cuenca</w:t>
      </w:r>
    </w:p>
    <w:p>
      <w:pPr>
        <w:spacing w:before="1"/>
        <w:ind w:left="3931" w:right="1037" w:firstLine="0"/>
        <w:jc w:val="left"/>
        <w:rPr>
          <w:rFonts w:ascii="Calibri" w:hAnsi="Calibri"/>
          <w:sz w:val="22"/>
        </w:rPr>
      </w:pPr>
      <w:r>
        <w:rPr>
          <w:rFonts w:ascii="Calibri" w:hAnsi="Calibri"/>
          <w:color w:val="FFFFFF"/>
          <w:sz w:val="22"/>
        </w:rPr>
        <w:t>Joel Martínez Bello</w:t>
      </w:r>
    </w:p>
    <w:p>
      <w:pPr>
        <w:spacing w:after="0"/>
        <w:jc w:val="left"/>
        <w:rPr>
          <w:rFonts w:ascii="Calibri" w:hAnsi="Calibri"/>
          <w:sz w:val="22"/>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5"/>
        </w:rPr>
      </w:pPr>
    </w:p>
    <w:p>
      <w:pPr>
        <w:spacing w:before="55"/>
        <w:ind w:left="117" w:right="114"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21"/>
        <w:jc w:val="both"/>
      </w:pPr>
      <w:r>
        <w:rPr/>
        <w:pict>
          <v:shape style="position:absolute;margin-left:77.960602pt;margin-top:13.282696pt;width:39.7pt;height:51pt;mso-position-horizontal-relative:page;mso-position-vertical-relative:paragraph;z-index:954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sz w:val="102"/>
                    </w:rPr>
                    <w:t>U</w:t>
                  </w:r>
                </w:p>
              </w:txbxContent>
            </v:textbox>
            <w10:wrap type="none"/>
          </v:shape>
        </w:pict>
      </w:r>
      <w:r>
        <w:rPr>
          <w:color w:val="231F20"/>
          <w:w w:val="105"/>
        </w:rPr>
        <w:t>na</w:t>
      </w:r>
      <w:r>
        <w:rPr>
          <w:color w:val="231F20"/>
          <w:spacing w:val="-5"/>
          <w:w w:val="105"/>
        </w:rPr>
        <w:t> </w:t>
      </w:r>
      <w:r>
        <w:rPr>
          <w:color w:val="231F20"/>
          <w:w w:val="105"/>
        </w:rPr>
        <w:t>variable</w:t>
      </w:r>
      <w:r>
        <w:rPr>
          <w:color w:val="231F20"/>
          <w:spacing w:val="-5"/>
          <w:w w:val="105"/>
        </w:rPr>
        <w:t> </w:t>
      </w:r>
      <w:r>
        <w:rPr>
          <w:color w:val="231F20"/>
          <w:w w:val="105"/>
        </w:rPr>
        <w:t>clave</w:t>
      </w:r>
      <w:r>
        <w:rPr>
          <w:color w:val="231F20"/>
          <w:spacing w:val="-5"/>
          <w:w w:val="105"/>
        </w:rPr>
        <w:t> </w:t>
      </w:r>
      <w:r>
        <w:rPr>
          <w:color w:val="231F20"/>
          <w:w w:val="105"/>
        </w:rPr>
        <w:t>para</w:t>
      </w:r>
      <w:r>
        <w:rPr>
          <w:color w:val="231F20"/>
          <w:spacing w:val="-5"/>
          <w:w w:val="105"/>
        </w:rPr>
        <w:t> </w:t>
      </w:r>
      <w:r>
        <w:rPr>
          <w:color w:val="231F20"/>
          <w:w w:val="105"/>
        </w:rPr>
        <w:t>alcanzar</w:t>
      </w:r>
      <w:r>
        <w:rPr>
          <w:color w:val="231F20"/>
          <w:spacing w:val="-5"/>
          <w:w w:val="105"/>
        </w:rPr>
        <w:t> </w:t>
      </w:r>
      <w:r>
        <w:rPr>
          <w:color w:val="231F20"/>
          <w:w w:val="105"/>
        </w:rPr>
        <w:t>la</w:t>
      </w:r>
      <w:r>
        <w:rPr>
          <w:color w:val="231F20"/>
          <w:spacing w:val="-5"/>
          <w:w w:val="105"/>
        </w:rPr>
        <w:t> </w:t>
      </w:r>
      <w:r>
        <w:rPr>
          <w:color w:val="231F20"/>
          <w:w w:val="105"/>
        </w:rPr>
        <w:t>competitividad</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inver- sión</w:t>
      </w:r>
      <w:r>
        <w:rPr>
          <w:color w:val="231F20"/>
          <w:spacing w:val="-25"/>
          <w:w w:val="105"/>
        </w:rPr>
        <w:t> </w:t>
      </w:r>
      <w:r>
        <w:rPr>
          <w:color w:val="231F20"/>
          <w:w w:val="105"/>
        </w:rPr>
        <w:t>extranjera</w:t>
      </w:r>
      <w:r>
        <w:rPr>
          <w:color w:val="231F20"/>
          <w:spacing w:val="-25"/>
          <w:w w:val="105"/>
        </w:rPr>
        <w:t> </w:t>
      </w:r>
      <w:r>
        <w:rPr>
          <w:color w:val="231F20"/>
          <w:w w:val="105"/>
        </w:rPr>
        <w:t>directa</w:t>
      </w:r>
      <w:r>
        <w:rPr>
          <w:color w:val="231F20"/>
          <w:spacing w:val="-25"/>
          <w:w w:val="105"/>
        </w:rPr>
        <w:t> </w:t>
      </w:r>
      <w:r>
        <w:rPr>
          <w:color w:val="231F20"/>
          <w:w w:val="105"/>
        </w:rPr>
        <w:t>(IED),</w:t>
      </w:r>
      <w:r>
        <w:rPr>
          <w:color w:val="231F20"/>
          <w:spacing w:val="-30"/>
          <w:w w:val="105"/>
        </w:rPr>
        <w:t> </w:t>
      </w:r>
      <w:r>
        <w:rPr>
          <w:color w:val="231F20"/>
          <w:w w:val="105"/>
        </w:rPr>
        <w:t>al</w:t>
      </w:r>
      <w:r>
        <w:rPr>
          <w:color w:val="231F20"/>
          <w:spacing w:val="-25"/>
          <w:w w:val="105"/>
        </w:rPr>
        <w:t> </w:t>
      </w:r>
      <w:r>
        <w:rPr>
          <w:color w:val="231F20"/>
          <w:w w:val="105"/>
        </w:rPr>
        <w:t>demostrar</w:t>
      </w:r>
      <w:r>
        <w:rPr>
          <w:color w:val="231F20"/>
          <w:spacing w:val="-25"/>
          <w:w w:val="105"/>
        </w:rPr>
        <w:t> </w:t>
      </w:r>
      <w:r>
        <w:rPr>
          <w:color w:val="231F20"/>
          <w:w w:val="105"/>
        </w:rPr>
        <w:t>ser</w:t>
      </w:r>
      <w:r>
        <w:rPr>
          <w:color w:val="231F20"/>
          <w:spacing w:val="-25"/>
          <w:w w:val="105"/>
        </w:rPr>
        <w:t> </w:t>
      </w:r>
      <w:r>
        <w:rPr>
          <w:color w:val="231F20"/>
          <w:w w:val="105"/>
        </w:rPr>
        <w:t>un</w:t>
      </w:r>
      <w:r>
        <w:rPr>
          <w:color w:val="231F20"/>
          <w:spacing w:val="-25"/>
          <w:w w:val="105"/>
        </w:rPr>
        <w:t> </w:t>
      </w:r>
      <w:r>
        <w:rPr>
          <w:color w:val="231F20"/>
          <w:w w:val="105"/>
        </w:rPr>
        <w:t>indicador</w:t>
      </w:r>
      <w:r>
        <w:rPr>
          <w:color w:val="231F20"/>
          <w:spacing w:val="-25"/>
          <w:w w:val="105"/>
        </w:rPr>
        <w:t> </w:t>
      </w:r>
      <w:r>
        <w:rPr>
          <w:color w:val="231F20"/>
          <w:w w:val="105"/>
        </w:rPr>
        <w:t>del desarrollo económico y social, puesto que no sólo permite incrementar</w:t>
      </w:r>
      <w:r>
        <w:rPr>
          <w:color w:val="231F20"/>
          <w:spacing w:val="-24"/>
          <w:w w:val="105"/>
        </w:rPr>
        <w:t> </w:t>
      </w:r>
      <w:r>
        <w:rPr>
          <w:color w:val="231F20"/>
          <w:w w:val="105"/>
        </w:rPr>
        <w:t>los</w:t>
      </w:r>
      <w:r>
        <w:rPr>
          <w:color w:val="231F20"/>
          <w:spacing w:val="-24"/>
          <w:w w:val="105"/>
        </w:rPr>
        <w:t> </w:t>
      </w:r>
      <w:r>
        <w:rPr>
          <w:color w:val="231F20"/>
          <w:w w:val="105"/>
        </w:rPr>
        <w:t>recursos</w:t>
      </w:r>
      <w:r>
        <w:rPr>
          <w:color w:val="231F20"/>
          <w:spacing w:val="-24"/>
          <w:w w:val="105"/>
        </w:rPr>
        <w:t> </w:t>
      </w:r>
      <w:r>
        <w:rPr>
          <w:color w:val="231F20"/>
          <w:w w:val="105"/>
        </w:rPr>
        <w:t>disponibles</w:t>
      </w:r>
      <w:r>
        <w:rPr>
          <w:color w:val="231F20"/>
          <w:spacing w:val="-24"/>
          <w:w w:val="105"/>
        </w:rPr>
        <w:t> </w:t>
      </w:r>
      <w:r>
        <w:rPr>
          <w:color w:val="231F20"/>
          <w:w w:val="105"/>
        </w:rPr>
        <w:t>para</w:t>
      </w:r>
      <w:r>
        <w:rPr>
          <w:color w:val="231F20"/>
          <w:spacing w:val="-24"/>
          <w:w w:val="105"/>
        </w:rPr>
        <w:t> </w:t>
      </w:r>
      <w:r>
        <w:rPr>
          <w:color w:val="231F20"/>
          <w:w w:val="105"/>
        </w:rPr>
        <w:t>la</w:t>
      </w:r>
      <w:r>
        <w:rPr>
          <w:color w:val="231F20"/>
          <w:spacing w:val="-24"/>
          <w:w w:val="105"/>
        </w:rPr>
        <w:t> </w:t>
      </w:r>
      <w:r>
        <w:rPr>
          <w:color w:val="231F20"/>
          <w:w w:val="105"/>
        </w:rPr>
        <w:t>realización</w:t>
      </w:r>
      <w:r>
        <w:rPr>
          <w:color w:val="231F20"/>
          <w:spacing w:val="-24"/>
          <w:w w:val="105"/>
        </w:rPr>
        <w:t> </w:t>
      </w:r>
      <w:r>
        <w:rPr>
          <w:color w:val="231F20"/>
          <w:w w:val="105"/>
        </w:rPr>
        <w:t>de</w:t>
      </w:r>
      <w:r>
        <w:rPr>
          <w:color w:val="231F20"/>
          <w:spacing w:val="-24"/>
          <w:w w:val="105"/>
        </w:rPr>
        <w:t> </w:t>
      </w:r>
      <w:r>
        <w:rPr>
          <w:color w:val="231F20"/>
          <w:w w:val="105"/>
        </w:rPr>
        <w:t>in- versiones</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formación</w:t>
      </w:r>
      <w:r>
        <w:rPr>
          <w:color w:val="231F20"/>
          <w:spacing w:val="-25"/>
          <w:w w:val="105"/>
        </w:rPr>
        <w:t> </w:t>
      </w:r>
      <w:r>
        <w:rPr>
          <w:color w:val="231F20"/>
          <w:w w:val="105"/>
        </w:rPr>
        <w:t>de</w:t>
      </w:r>
      <w:r>
        <w:rPr>
          <w:color w:val="231F20"/>
          <w:spacing w:val="-25"/>
          <w:w w:val="105"/>
        </w:rPr>
        <w:t> </w:t>
      </w:r>
      <w:r>
        <w:rPr>
          <w:color w:val="231F20"/>
          <w:w w:val="105"/>
        </w:rPr>
        <w:t>capital,</w:t>
      </w:r>
      <w:r>
        <w:rPr>
          <w:color w:val="231F20"/>
          <w:spacing w:val="-30"/>
          <w:w w:val="105"/>
        </w:rPr>
        <w:t> </w:t>
      </w:r>
      <w:r>
        <w:rPr>
          <w:color w:val="231F20"/>
          <w:w w:val="105"/>
        </w:rPr>
        <w:t>sino</w:t>
      </w:r>
      <w:r>
        <w:rPr>
          <w:color w:val="231F20"/>
          <w:spacing w:val="-25"/>
          <w:w w:val="105"/>
        </w:rPr>
        <w:t> </w:t>
      </w:r>
      <w:r>
        <w:rPr>
          <w:color w:val="231F20"/>
          <w:w w:val="105"/>
        </w:rPr>
        <w:t>que</w:t>
      </w:r>
      <w:r>
        <w:rPr>
          <w:color w:val="231F20"/>
          <w:spacing w:val="-25"/>
          <w:w w:val="105"/>
        </w:rPr>
        <w:t> </w:t>
      </w:r>
      <w:r>
        <w:rPr>
          <w:color w:val="231F20"/>
          <w:w w:val="105"/>
        </w:rPr>
        <w:t>también</w:t>
      </w:r>
      <w:r>
        <w:rPr>
          <w:color w:val="231F20"/>
          <w:spacing w:val="-25"/>
          <w:w w:val="105"/>
        </w:rPr>
        <w:t> </w:t>
      </w:r>
      <w:r>
        <w:rPr>
          <w:color w:val="231F20"/>
          <w:w w:val="105"/>
        </w:rPr>
        <w:t>constitu-</w:t>
      </w:r>
    </w:p>
    <w:p>
      <w:pPr>
        <w:pStyle w:val="BodyText"/>
        <w:spacing w:line="259" w:lineRule="auto"/>
        <w:ind w:left="117" w:right="115"/>
        <w:jc w:val="both"/>
      </w:pPr>
      <w:r>
        <w:rPr>
          <w:color w:val="231F20"/>
          <w:w w:val="105"/>
        </w:rPr>
        <w:t>ye un detonante de la productividad en el país receptor a través de la difusión</w:t>
      </w:r>
      <w:r>
        <w:rPr>
          <w:color w:val="231F20"/>
          <w:spacing w:val="-18"/>
          <w:w w:val="105"/>
        </w:rPr>
        <w:t> </w:t>
      </w:r>
      <w:r>
        <w:rPr>
          <w:color w:val="231F20"/>
          <w:w w:val="105"/>
        </w:rPr>
        <w:t>de</w:t>
      </w:r>
      <w:r>
        <w:rPr>
          <w:color w:val="231F20"/>
          <w:spacing w:val="-18"/>
          <w:w w:val="105"/>
        </w:rPr>
        <w:t> </w:t>
      </w:r>
      <w:r>
        <w:rPr>
          <w:color w:val="231F20"/>
          <w:w w:val="105"/>
        </w:rPr>
        <w:t>tecnologías</w:t>
      </w:r>
      <w:r>
        <w:rPr>
          <w:color w:val="231F20"/>
          <w:spacing w:val="-18"/>
          <w:w w:val="105"/>
        </w:rPr>
        <w:t> </w:t>
      </w:r>
      <w:r>
        <w:rPr>
          <w:color w:val="231F20"/>
          <w:w w:val="105"/>
        </w:rPr>
        <w:t>avanzadas</w:t>
      </w:r>
      <w:r>
        <w:rPr>
          <w:color w:val="231F20"/>
          <w:spacing w:val="-18"/>
          <w:w w:val="105"/>
        </w:rPr>
        <w:t> </w:t>
      </w:r>
      <w:r>
        <w:rPr>
          <w:color w:val="231F20"/>
          <w:w w:val="105"/>
        </w:rPr>
        <w:t>para</w:t>
      </w:r>
      <w:r>
        <w:rPr>
          <w:color w:val="231F20"/>
          <w:spacing w:val="-18"/>
          <w:w w:val="105"/>
        </w:rPr>
        <w:t> </w:t>
      </w:r>
      <w:r>
        <w:rPr>
          <w:color w:val="231F20"/>
          <w:w w:val="105"/>
        </w:rPr>
        <w:t>la</w:t>
      </w:r>
      <w:r>
        <w:rPr>
          <w:color w:val="231F20"/>
          <w:spacing w:val="-18"/>
          <w:w w:val="105"/>
        </w:rPr>
        <w:t> </w:t>
      </w:r>
      <w:r>
        <w:rPr>
          <w:color w:val="231F20"/>
          <w:w w:val="105"/>
        </w:rPr>
        <w:t>producción</w:t>
      </w:r>
      <w:r>
        <w:rPr>
          <w:color w:val="231F20"/>
          <w:spacing w:val="-18"/>
          <w:w w:val="105"/>
        </w:rPr>
        <w:t> </w:t>
      </w:r>
      <w:r>
        <w:rPr>
          <w:color w:val="231F20"/>
          <w:w w:val="105"/>
        </w:rPr>
        <w:t>y</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innovación y</w:t>
      </w:r>
      <w:r>
        <w:rPr>
          <w:color w:val="231F20"/>
          <w:spacing w:val="-19"/>
          <w:w w:val="105"/>
        </w:rPr>
        <w:t> </w:t>
      </w:r>
      <w:r>
        <w:rPr>
          <w:color w:val="231F20"/>
          <w:w w:val="105"/>
        </w:rPr>
        <w:t>capacidad</w:t>
      </w:r>
      <w:r>
        <w:rPr>
          <w:color w:val="231F20"/>
          <w:spacing w:val="-19"/>
          <w:w w:val="105"/>
        </w:rPr>
        <w:t> </w:t>
      </w:r>
      <w:r>
        <w:rPr>
          <w:color w:val="231F20"/>
          <w:w w:val="105"/>
        </w:rPr>
        <w:t>técnica</w:t>
      </w:r>
      <w:r>
        <w:rPr>
          <w:color w:val="231F20"/>
          <w:spacing w:val="-19"/>
          <w:w w:val="105"/>
        </w:rPr>
        <w:t> </w:t>
      </w:r>
      <w:r>
        <w:rPr>
          <w:color w:val="231F20"/>
          <w:w w:val="105"/>
        </w:rPr>
        <w:t>para</w:t>
      </w:r>
      <w:r>
        <w:rPr>
          <w:color w:val="231F20"/>
          <w:spacing w:val="-19"/>
          <w:w w:val="105"/>
        </w:rPr>
        <w:t> </w:t>
      </w:r>
      <w:r>
        <w:rPr>
          <w:color w:val="231F20"/>
          <w:w w:val="105"/>
        </w:rPr>
        <w:t>tener</w:t>
      </w:r>
      <w:r>
        <w:rPr>
          <w:color w:val="231F20"/>
          <w:spacing w:val="-19"/>
          <w:w w:val="105"/>
        </w:rPr>
        <w:t> </w:t>
      </w:r>
      <w:r>
        <w:rPr>
          <w:color w:val="231F20"/>
          <w:w w:val="105"/>
        </w:rPr>
        <w:t>acceso</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redes</w:t>
      </w:r>
      <w:r>
        <w:rPr>
          <w:color w:val="231F20"/>
          <w:spacing w:val="-19"/>
          <w:w w:val="105"/>
        </w:rPr>
        <w:t> </w:t>
      </w:r>
      <w:r>
        <w:rPr>
          <w:color w:val="231F20"/>
          <w:w w:val="105"/>
        </w:rPr>
        <w:t>internacionales</w:t>
      </w:r>
      <w:r>
        <w:rPr>
          <w:color w:val="231F20"/>
          <w:spacing w:val="-19"/>
          <w:w w:val="105"/>
        </w:rPr>
        <w:t> </w:t>
      </w:r>
      <w:r>
        <w:rPr>
          <w:color w:val="231F20"/>
          <w:w w:val="105"/>
        </w:rPr>
        <w:t>de</w:t>
      </w:r>
      <w:r>
        <w:rPr>
          <w:color w:val="231F20"/>
          <w:spacing w:val="-19"/>
          <w:w w:val="105"/>
        </w:rPr>
        <w:t> </w:t>
      </w:r>
      <w:r>
        <w:rPr>
          <w:color w:val="231F20"/>
          <w:w w:val="105"/>
        </w:rPr>
        <w:t>co- mercialización.</w:t>
      </w:r>
      <w:r>
        <w:rPr>
          <w:color w:val="231F20"/>
          <w:spacing w:val="-10"/>
          <w:w w:val="105"/>
        </w:rPr>
        <w:t> </w:t>
      </w:r>
      <w:r>
        <w:rPr>
          <w:color w:val="231F20"/>
          <w:w w:val="105"/>
        </w:rPr>
        <w:t>En</w:t>
      </w:r>
      <w:r>
        <w:rPr>
          <w:color w:val="231F20"/>
          <w:spacing w:val="-5"/>
          <w:w w:val="105"/>
        </w:rPr>
        <w:t> </w:t>
      </w:r>
      <w:r>
        <w:rPr>
          <w:color w:val="231F20"/>
          <w:w w:val="105"/>
        </w:rPr>
        <w:t>este</w:t>
      </w:r>
      <w:r>
        <w:rPr>
          <w:color w:val="231F20"/>
          <w:spacing w:val="-5"/>
          <w:w w:val="105"/>
        </w:rPr>
        <w:t> </w:t>
      </w:r>
      <w:r>
        <w:rPr>
          <w:color w:val="231F20"/>
          <w:w w:val="105"/>
        </w:rPr>
        <w:t>capítulo</w:t>
      </w:r>
      <w:r>
        <w:rPr>
          <w:color w:val="231F20"/>
          <w:spacing w:val="-5"/>
          <w:w w:val="105"/>
        </w:rPr>
        <w:t> </w:t>
      </w:r>
      <w:r>
        <w:rPr>
          <w:color w:val="231F20"/>
          <w:w w:val="105"/>
        </w:rPr>
        <w:t>se</w:t>
      </w:r>
      <w:r>
        <w:rPr>
          <w:color w:val="231F20"/>
          <w:spacing w:val="-5"/>
          <w:w w:val="105"/>
        </w:rPr>
        <w:t> </w:t>
      </w:r>
      <w:r>
        <w:rPr>
          <w:color w:val="231F20"/>
          <w:w w:val="105"/>
        </w:rPr>
        <w:t>hace</w:t>
      </w:r>
      <w:r>
        <w:rPr>
          <w:color w:val="231F20"/>
          <w:spacing w:val="-5"/>
          <w:w w:val="105"/>
        </w:rPr>
        <w:t> </w:t>
      </w:r>
      <w:r>
        <w:rPr>
          <w:color w:val="231F20"/>
          <w:w w:val="105"/>
        </w:rPr>
        <w:t>un</w:t>
      </w:r>
      <w:r>
        <w:rPr>
          <w:color w:val="231F20"/>
          <w:spacing w:val="-5"/>
          <w:w w:val="105"/>
        </w:rPr>
        <w:t> </w:t>
      </w:r>
      <w:r>
        <w:rPr>
          <w:color w:val="231F20"/>
          <w:w w:val="105"/>
        </w:rPr>
        <w:t>recorrido</w:t>
      </w:r>
      <w:r>
        <w:rPr>
          <w:color w:val="231F20"/>
          <w:spacing w:val="-5"/>
          <w:w w:val="105"/>
        </w:rPr>
        <w:t> </w:t>
      </w:r>
      <w:r>
        <w:rPr>
          <w:color w:val="231F20"/>
          <w:w w:val="105"/>
        </w:rPr>
        <w:t>histórico</w:t>
      </w:r>
      <w:r>
        <w:rPr>
          <w:color w:val="231F20"/>
          <w:spacing w:val="-5"/>
          <w:w w:val="105"/>
        </w:rPr>
        <w:t> </w:t>
      </w:r>
      <w:r>
        <w:rPr>
          <w:color w:val="231F20"/>
          <w:w w:val="105"/>
        </w:rPr>
        <w:t>donde</w:t>
      </w:r>
      <w:r>
        <w:rPr>
          <w:color w:val="231F20"/>
          <w:spacing w:val="-5"/>
          <w:w w:val="105"/>
        </w:rPr>
        <w:t> </w:t>
      </w:r>
      <w:r>
        <w:rPr>
          <w:color w:val="231F20"/>
          <w:w w:val="105"/>
        </w:rPr>
        <w:t>el objetivo</w:t>
      </w:r>
      <w:r>
        <w:rPr>
          <w:color w:val="231F20"/>
          <w:spacing w:val="-20"/>
          <w:w w:val="105"/>
        </w:rPr>
        <w:t> </w:t>
      </w:r>
      <w:r>
        <w:rPr>
          <w:color w:val="231F20"/>
          <w:w w:val="105"/>
        </w:rPr>
        <w:t>es</w:t>
      </w:r>
      <w:r>
        <w:rPr>
          <w:color w:val="231F20"/>
          <w:spacing w:val="-20"/>
          <w:w w:val="105"/>
        </w:rPr>
        <w:t> </w:t>
      </w:r>
      <w:r>
        <w:rPr>
          <w:color w:val="231F20"/>
          <w:w w:val="105"/>
        </w:rPr>
        <w:t>dar</w:t>
      </w:r>
      <w:r>
        <w:rPr>
          <w:color w:val="231F20"/>
          <w:spacing w:val="-20"/>
          <w:w w:val="105"/>
        </w:rPr>
        <w:t> </w:t>
      </w:r>
      <w:r>
        <w:rPr>
          <w:color w:val="231F20"/>
          <w:w w:val="105"/>
        </w:rPr>
        <w:t>a</w:t>
      </w:r>
      <w:r>
        <w:rPr>
          <w:color w:val="231F20"/>
          <w:spacing w:val="-20"/>
          <w:w w:val="105"/>
        </w:rPr>
        <w:t> </w:t>
      </w:r>
      <w:r>
        <w:rPr>
          <w:color w:val="231F20"/>
          <w:w w:val="105"/>
        </w:rPr>
        <w:t>conocer</w:t>
      </w:r>
      <w:r>
        <w:rPr>
          <w:color w:val="231F20"/>
          <w:spacing w:val="-20"/>
          <w:w w:val="105"/>
        </w:rPr>
        <w:t> </w:t>
      </w:r>
      <w:r>
        <w:rPr>
          <w:color w:val="231F20"/>
          <w:w w:val="105"/>
        </w:rPr>
        <w:t>y</w:t>
      </w:r>
      <w:r>
        <w:rPr>
          <w:color w:val="231F20"/>
          <w:spacing w:val="-20"/>
          <w:w w:val="105"/>
        </w:rPr>
        <w:t> </w:t>
      </w:r>
      <w:r>
        <w:rPr>
          <w:color w:val="231F20"/>
          <w:w w:val="105"/>
        </w:rPr>
        <w:t>justificar</w:t>
      </w:r>
      <w:r>
        <w:rPr>
          <w:color w:val="231F20"/>
          <w:spacing w:val="-20"/>
          <w:w w:val="105"/>
        </w:rPr>
        <w:t> </w:t>
      </w:r>
      <w:r>
        <w:rPr>
          <w:color w:val="231F20"/>
          <w:w w:val="105"/>
        </w:rPr>
        <w:t>la</w:t>
      </w:r>
      <w:r>
        <w:rPr>
          <w:color w:val="231F20"/>
          <w:spacing w:val="-20"/>
          <w:w w:val="105"/>
        </w:rPr>
        <w:t> </w:t>
      </w:r>
      <w:r>
        <w:rPr>
          <w:color w:val="231F20"/>
          <w:w w:val="105"/>
        </w:rPr>
        <w:t>importancia</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IED</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desa- rrollo de sectores y países, así como su relación con la competitividad, 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necesario</w:t>
      </w:r>
      <w:r>
        <w:rPr>
          <w:color w:val="231F20"/>
          <w:spacing w:val="-17"/>
          <w:w w:val="105"/>
        </w:rPr>
        <w:t> </w:t>
      </w:r>
      <w:r>
        <w:rPr>
          <w:color w:val="231F20"/>
          <w:w w:val="105"/>
        </w:rPr>
        <w:t>comprender</w:t>
      </w:r>
      <w:r>
        <w:rPr>
          <w:color w:val="231F20"/>
          <w:spacing w:val="-17"/>
          <w:w w:val="105"/>
        </w:rPr>
        <w:t> </w:t>
      </w:r>
      <w:r>
        <w:rPr>
          <w:color w:val="231F20"/>
          <w:w w:val="105"/>
        </w:rPr>
        <w:t>sus</w:t>
      </w:r>
      <w:r>
        <w:rPr>
          <w:color w:val="231F20"/>
          <w:spacing w:val="-17"/>
          <w:w w:val="105"/>
        </w:rPr>
        <w:t> </w:t>
      </w:r>
      <w:r>
        <w:rPr>
          <w:color w:val="231F20"/>
          <w:w w:val="105"/>
        </w:rPr>
        <w:t>antecedentes,</w:t>
      </w:r>
      <w:r>
        <w:rPr>
          <w:color w:val="231F20"/>
          <w:spacing w:val="-22"/>
          <w:w w:val="105"/>
        </w:rPr>
        <w:t> </w:t>
      </w:r>
      <w:r>
        <w:rPr>
          <w:color w:val="231F20"/>
          <w:w w:val="105"/>
        </w:rPr>
        <w:t>conceptos,</w:t>
      </w:r>
      <w:r>
        <w:rPr>
          <w:color w:val="231F20"/>
          <w:spacing w:val="-22"/>
          <w:w w:val="105"/>
        </w:rPr>
        <w:t> </w:t>
      </w:r>
      <w:r>
        <w:rPr>
          <w:color w:val="231F20"/>
          <w:w w:val="105"/>
        </w:rPr>
        <w:t>enfo- ques</w:t>
      </w:r>
      <w:r>
        <w:rPr>
          <w:color w:val="231F20"/>
          <w:spacing w:val="-34"/>
          <w:w w:val="105"/>
        </w:rPr>
        <w:t> </w:t>
      </w:r>
      <w:r>
        <w:rPr>
          <w:color w:val="231F20"/>
          <w:w w:val="105"/>
        </w:rPr>
        <w:t>y</w:t>
      </w:r>
      <w:r>
        <w:rPr>
          <w:color w:val="231F20"/>
          <w:spacing w:val="-34"/>
          <w:w w:val="105"/>
        </w:rPr>
        <w:t> </w:t>
      </w:r>
      <w:r>
        <w:rPr>
          <w:color w:val="231F20"/>
          <w:w w:val="105"/>
        </w:rPr>
        <w:t>teorías.</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21"/>
        <w:jc w:val="both"/>
      </w:pPr>
      <w:r>
        <w:rPr>
          <w:color w:val="231F20"/>
          <w:w w:val="105"/>
        </w:rPr>
        <w:t>La</w:t>
      </w:r>
      <w:r>
        <w:rPr>
          <w:color w:val="231F20"/>
          <w:spacing w:val="-6"/>
          <w:w w:val="105"/>
        </w:rPr>
        <w:t> </w:t>
      </w:r>
      <w:r>
        <w:rPr>
          <w:color w:val="231F20"/>
          <w:w w:val="105"/>
        </w:rPr>
        <w:t>historia</w:t>
      </w:r>
      <w:r>
        <w:rPr>
          <w:color w:val="231F20"/>
          <w:spacing w:val="-6"/>
          <w:w w:val="105"/>
        </w:rPr>
        <w:t> </w:t>
      </w:r>
      <w:r>
        <w:rPr>
          <w:color w:val="231F20"/>
          <w:w w:val="105"/>
        </w:rPr>
        <w:t>del</w:t>
      </w:r>
      <w:r>
        <w:rPr>
          <w:color w:val="231F20"/>
          <w:spacing w:val="-6"/>
          <w:w w:val="105"/>
        </w:rPr>
        <w:t> </w:t>
      </w:r>
      <w:r>
        <w:rPr>
          <w:color w:val="231F20"/>
          <w:w w:val="105"/>
        </w:rPr>
        <w:t>desarrollo</w:t>
      </w:r>
      <w:r>
        <w:rPr>
          <w:color w:val="231F20"/>
          <w:spacing w:val="-6"/>
          <w:w w:val="105"/>
        </w:rPr>
        <w:t> </w:t>
      </w:r>
      <w:r>
        <w:rPr>
          <w:color w:val="231F20"/>
          <w:w w:val="105"/>
        </w:rPr>
        <w:t>económico</w:t>
      </w:r>
      <w:r>
        <w:rPr>
          <w:color w:val="231F20"/>
          <w:spacing w:val="-6"/>
          <w:w w:val="105"/>
        </w:rPr>
        <w:t> </w:t>
      </w:r>
      <w:r>
        <w:rPr>
          <w:color w:val="231F20"/>
          <w:w w:val="105"/>
        </w:rPr>
        <w:t>mundial,</w:t>
      </w:r>
      <w:r>
        <w:rPr>
          <w:color w:val="231F20"/>
          <w:spacing w:val="-12"/>
          <w:w w:val="105"/>
        </w:rPr>
        <w:t> </w:t>
      </w:r>
      <w:r>
        <w:rPr>
          <w:color w:val="231F20"/>
          <w:w w:val="105"/>
        </w:rPr>
        <w:t>nos</w:t>
      </w:r>
      <w:r>
        <w:rPr>
          <w:color w:val="231F20"/>
          <w:spacing w:val="-6"/>
          <w:w w:val="105"/>
        </w:rPr>
        <w:t> </w:t>
      </w:r>
      <w:r>
        <w:rPr>
          <w:color w:val="231F20"/>
          <w:w w:val="105"/>
        </w:rPr>
        <w:t>enseña</w:t>
      </w:r>
      <w:r>
        <w:rPr>
          <w:color w:val="231F20"/>
          <w:spacing w:val="-6"/>
          <w:w w:val="105"/>
        </w:rPr>
        <w:t> </w:t>
      </w:r>
      <w:r>
        <w:rPr>
          <w:color w:val="231F20"/>
          <w:w w:val="105"/>
        </w:rPr>
        <w:t>que</w:t>
      </w:r>
      <w:r>
        <w:rPr>
          <w:color w:val="231F20"/>
          <w:spacing w:val="-6"/>
          <w:w w:val="105"/>
        </w:rPr>
        <w:t> </w:t>
      </w:r>
      <w:r>
        <w:rPr>
          <w:color w:val="231F20"/>
          <w:w w:val="105"/>
        </w:rPr>
        <w:t>las</w:t>
      </w:r>
      <w:r>
        <w:rPr>
          <w:color w:val="231F20"/>
          <w:spacing w:val="-6"/>
          <w:w w:val="105"/>
        </w:rPr>
        <w:t> </w:t>
      </w:r>
      <w:r>
        <w:rPr>
          <w:color w:val="231F20"/>
          <w:w w:val="105"/>
        </w:rPr>
        <w:t>gran- des</w:t>
      </w:r>
      <w:r>
        <w:rPr>
          <w:color w:val="231F20"/>
          <w:spacing w:val="-21"/>
          <w:w w:val="105"/>
        </w:rPr>
        <w:t> </w:t>
      </w:r>
      <w:r>
        <w:rPr>
          <w:color w:val="231F20"/>
          <w:w w:val="105"/>
        </w:rPr>
        <w:t>civilizaciones</w:t>
      </w:r>
      <w:r>
        <w:rPr>
          <w:color w:val="231F20"/>
          <w:spacing w:val="-21"/>
          <w:w w:val="105"/>
        </w:rPr>
        <w:t> </w:t>
      </w:r>
      <w:r>
        <w:rPr>
          <w:color w:val="231F20"/>
          <w:w w:val="105"/>
        </w:rPr>
        <w:t>han</w:t>
      </w:r>
      <w:r>
        <w:rPr>
          <w:color w:val="231F20"/>
          <w:spacing w:val="-21"/>
          <w:w w:val="105"/>
        </w:rPr>
        <w:t> </w:t>
      </w:r>
      <w:r>
        <w:rPr>
          <w:color w:val="231F20"/>
          <w:w w:val="105"/>
        </w:rPr>
        <w:t>girado</w:t>
      </w:r>
      <w:r>
        <w:rPr>
          <w:color w:val="231F20"/>
          <w:spacing w:val="-21"/>
          <w:w w:val="105"/>
        </w:rPr>
        <w:t> </w:t>
      </w:r>
      <w:r>
        <w:rPr>
          <w:color w:val="231F20"/>
          <w:w w:val="105"/>
        </w:rPr>
        <w:t>en</w:t>
      </w:r>
      <w:r>
        <w:rPr>
          <w:color w:val="231F20"/>
          <w:spacing w:val="-21"/>
          <w:w w:val="105"/>
        </w:rPr>
        <w:t> </w:t>
      </w:r>
      <w:r>
        <w:rPr>
          <w:color w:val="231F20"/>
          <w:w w:val="105"/>
        </w:rPr>
        <w:t>torno</w:t>
      </w:r>
      <w:r>
        <w:rPr>
          <w:color w:val="231F20"/>
          <w:spacing w:val="-21"/>
          <w:w w:val="105"/>
        </w:rPr>
        <w:t> </w:t>
      </w:r>
      <w:r>
        <w:rPr>
          <w:color w:val="231F20"/>
          <w:w w:val="105"/>
        </w:rPr>
        <w:t>al</w:t>
      </w:r>
      <w:r>
        <w:rPr>
          <w:color w:val="231F20"/>
          <w:spacing w:val="-21"/>
          <w:w w:val="105"/>
        </w:rPr>
        <w:t> </w:t>
      </w:r>
      <w:r>
        <w:rPr>
          <w:color w:val="231F20"/>
          <w:w w:val="105"/>
        </w:rPr>
        <w:t>comercio</w:t>
      </w:r>
      <w:r>
        <w:rPr>
          <w:color w:val="231F20"/>
          <w:spacing w:val="-21"/>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inversión</w:t>
      </w:r>
      <w:r>
        <w:rPr>
          <w:color w:val="231F20"/>
          <w:spacing w:val="-21"/>
          <w:w w:val="105"/>
        </w:rPr>
        <w:t> </w:t>
      </w:r>
      <w:r>
        <w:rPr>
          <w:color w:val="231F20"/>
          <w:w w:val="105"/>
        </w:rPr>
        <w:t>extranje- ra</w:t>
      </w:r>
      <w:r>
        <w:rPr>
          <w:color w:val="231F20"/>
          <w:spacing w:val="-28"/>
          <w:w w:val="105"/>
        </w:rPr>
        <w:t> </w:t>
      </w:r>
      <w:r>
        <w:rPr>
          <w:color w:val="231F20"/>
          <w:w w:val="105"/>
        </w:rPr>
        <w:t>(IE),</w:t>
      </w:r>
      <w:r>
        <w:rPr>
          <w:color w:val="231F20"/>
          <w:spacing w:val="-32"/>
          <w:w w:val="105"/>
        </w:rPr>
        <w:t> </w:t>
      </w:r>
      <w:r>
        <w:rPr>
          <w:color w:val="231F20"/>
          <w:w w:val="105"/>
        </w:rPr>
        <w:t>impulsados</w:t>
      </w:r>
      <w:r>
        <w:rPr>
          <w:color w:val="231F20"/>
          <w:spacing w:val="-28"/>
          <w:w w:val="105"/>
        </w:rPr>
        <w:t> </w:t>
      </w:r>
      <w:r>
        <w:rPr>
          <w:color w:val="231F20"/>
          <w:w w:val="105"/>
        </w:rPr>
        <w:t>por</w:t>
      </w:r>
      <w:r>
        <w:rPr>
          <w:color w:val="231F20"/>
          <w:spacing w:val="-28"/>
          <w:w w:val="105"/>
        </w:rPr>
        <w:t> </w:t>
      </w:r>
      <w:r>
        <w:rPr>
          <w:color w:val="231F20"/>
          <w:w w:val="105"/>
        </w:rPr>
        <w:t>recursos</w:t>
      </w:r>
      <w:r>
        <w:rPr>
          <w:color w:val="231F20"/>
          <w:spacing w:val="-28"/>
          <w:w w:val="105"/>
        </w:rPr>
        <w:t> </w:t>
      </w:r>
      <w:r>
        <w:rPr>
          <w:color w:val="231F20"/>
          <w:w w:val="105"/>
        </w:rPr>
        <w:t>naturales,</w:t>
      </w:r>
      <w:r>
        <w:rPr>
          <w:color w:val="231F20"/>
          <w:spacing w:val="-32"/>
          <w:w w:val="105"/>
        </w:rPr>
        <w:t> </w:t>
      </w:r>
      <w:r>
        <w:rPr>
          <w:color w:val="231F20"/>
          <w:w w:val="105"/>
        </w:rPr>
        <w:t>infraestructura</w:t>
      </w:r>
      <w:r>
        <w:rPr>
          <w:color w:val="231F20"/>
          <w:spacing w:val="-28"/>
          <w:w w:val="105"/>
        </w:rPr>
        <w:t> </w:t>
      </w:r>
      <w:r>
        <w:rPr>
          <w:color w:val="231F20"/>
          <w:w w:val="105"/>
        </w:rPr>
        <w:t>básica,</w:t>
      </w:r>
      <w:r>
        <w:rPr>
          <w:color w:val="231F20"/>
          <w:spacing w:val="-32"/>
          <w:w w:val="105"/>
        </w:rPr>
        <w:t> </w:t>
      </w:r>
      <w:r>
        <w:rPr>
          <w:color w:val="231F20"/>
          <w:w w:val="105"/>
        </w:rPr>
        <w:t>organi- zación</w:t>
      </w:r>
      <w:r>
        <w:rPr>
          <w:color w:val="231F20"/>
          <w:spacing w:val="-30"/>
          <w:w w:val="105"/>
        </w:rPr>
        <w:t> </w:t>
      </w:r>
      <w:r>
        <w:rPr>
          <w:color w:val="231F20"/>
          <w:w w:val="105"/>
        </w:rPr>
        <w:t>e</w:t>
      </w:r>
      <w:r>
        <w:rPr>
          <w:color w:val="231F20"/>
          <w:spacing w:val="-30"/>
          <w:w w:val="105"/>
        </w:rPr>
        <w:t> </w:t>
      </w:r>
      <w:r>
        <w:rPr>
          <w:color w:val="231F20"/>
          <w:w w:val="105"/>
        </w:rPr>
        <w:t>innovación.</w:t>
      </w:r>
    </w:p>
    <w:p>
      <w:pPr>
        <w:pStyle w:val="BodyText"/>
        <w:spacing w:line="259" w:lineRule="auto"/>
        <w:ind w:left="117" w:right="121" w:firstLine="567"/>
        <w:jc w:val="both"/>
      </w:pPr>
      <w:r>
        <w:rPr>
          <w:color w:val="231F20"/>
          <w:w w:val="105"/>
        </w:rPr>
        <w:t>Al transcurrir el tiempo, el mundo entero es testigo de la transfor- mación</w:t>
      </w:r>
      <w:r>
        <w:rPr>
          <w:color w:val="231F20"/>
          <w:spacing w:val="-4"/>
          <w:w w:val="105"/>
        </w:rPr>
        <w:t> </w:t>
      </w:r>
      <w:r>
        <w:rPr>
          <w:color w:val="231F20"/>
          <w:w w:val="105"/>
        </w:rPr>
        <w:t>económica</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cual</w:t>
      </w:r>
      <w:r>
        <w:rPr>
          <w:color w:val="231F20"/>
          <w:spacing w:val="-4"/>
          <w:w w:val="105"/>
        </w:rPr>
        <w:t> </w:t>
      </w:r>
      <w:r>
        <w:rPr>
          <w:color w:val="231F20"/>
          <w:w w:val="105"/>
        </w:rPr>
        <w:t>el</w:t>
      </w:r>
      <w:r>
        <w:rPr>
          <w:color w:val="231F20"/>
          <w:spacing w:val="-4"/>
          <w:w w:val="105"/>
        </w:rPr>
        <w:t> </w:t>
      </w:r>
      <w:r>
        <w:rPr>
          <w:color w:val="231F20"/>
          <w:w w:val="105"/>
        </w:rPr>
        <w:t>flujo</w:t>
      </w:r>
      <w:r>
        <w:rPr>
          <w:color w:val="231F20"/>
          <w:spacing w:val="-4"/>
          <w:w w:val="105"/>
        </w:rPr>
        <w:t> </w:t>
      </w:r>
      <w:r>
        <w:rPr>
          <w:color w:val="231F20"/>
          <w:w w:val="105"/>
        </w:rPr>
        <w:t>de</w:t>
      </w:r>
      <w:r>
        <w:rPr>
          <w:color w:val="231F20"/>
          <w:spacing w:val="-4"/>
          <w:w w:val="105"/>
        </w:rPr>
        <w:t> </w:t>
      </w:r>
      <w:r>
        <w:rPr>
          <w:color w:val="231F20"/>
          <w:w w:val="105"/>
        </w:rPr>
        <w:t>inversión</w:t>
      </w:r>
      <w:r>
        <w:rPr>
          <w:color w:val="231F20"/>
          <w:spacing w:val="-4"/>
          <w:w w:val="105"/>
        </w:rPr>
        <w:t> </w:t>
      </w:r>
      <w:r>
        <w:rPr>
          <w:color w:val="231F20"/>
          <w:w w:val="105"/>
        </w:rPr>
        <w:t>ha</w:t>
      </w:r>
      <w:r>
        <w:rPr>
          <w:color w:val="231F20"/>
          <w:spacing w:val="-4"/>
          <w:w w:val="105"/>
        </w:rPr>
        <w:t> </w:t>
      </w:r>
      <w:r>
        <w:rPr>
          <w:color w:val="231F20"/>
          <w:w w:val="105"/>
        </w:rPr>
        <w:t>sido</w:t>
      </w:r>
      <w:r>
        <w:rPr>
          <w:color w:val="231F20"/>
          <w:spacing w:val="-4"/>
          <w:w w:val="105"/>
        </w:rPr>
        <w:t> </w:t>
      </w:r>
      <w:r>
        <w:rPr>
          <w:color w:val="231F20"/>
          <w:w w:val="105"/>
        </w:rPr>
        <w:t>el</w:t>
      </w:r>
      <w:r>
        <w:rPr>
          <w:color w:val="231F20"/>
          <w:spacing w:val="-4"/>
          <w:w w:val="105"/>
        </w:rPr>
        <w:t> </w:t>
      </w:r>
      <w:r>
        <w:rPr>
          <w:color w:val="231F20"/>
          <w:w w:val="105"/>
        </w:rPr>
        <w:t>motor</w:t>
      </w:r>
      <w:r>
        <w:rPr>
          <w:color w:val="231F20"/>
          <w:spacing w:val="-4"/>
          <w:w w:val="105"/>
        </w:rPr>
        <w:t> </w:t>
      </w:r>
      <w:r>
        <w:rPr>
          <w:color w:val="231F20"/>
          <w:w w:val="105"/>
        </w:rPr>
        <w:t>de</w:t>
      </w:r>
      <w:r>
        <w:rPr>
          <w:color w:val="231F20"/>
          <w:spacing w:val="-4"/>
          <w:w w:val="105"/>
        </w:rPr>
        <w:t> </w:t>
      </w:r>
      <w:r>
        <w:rPr>
          <w:color w:val="231F20"/>
          <w:w w:val="105"/>
        </w:rPr>
        <w:t>la economía</w:t>
      </w:r>
      <w:r>
        <w:rPr>
          <w:color w:val="231F20"/>
          <w:spacing w:val="-26"/>
          <w:w w:val="105"/>
        </w:rPr>
        <w:t> </w:t>
      </w:r>
      <w:r>
        <w:rPr>
          <w:color w:val="231F20"/>
          <w:w w:val="105"/>
        </w:rPr>
        <w:t>mundial.</w:t>
      </w:r>
      <w:r>
        <w:rPr>
          <w:color w:val="231F20"/>
          <w:spacing w:val="-31"/>
          <w:w w:val="105"/>
        </w:rPr>
        <w:t> </w:t>
      </w:r>
      <w:r>
        <w:rPr>
          <w:color w:val="231F20"/>
          <w:w w:val="105"/>
        </w:rPr>
        <w:t>Es</w:t>
      </w:r>
      <w:r>
        <w:rPr>
          <w:color w:val="231F20"/>
          <w:spacing w:val="-26"/>
          <w:w w:val="105"/>
        </w:rPr>
        <w:t> </w:t>
      </w:r>
      <w:r>
        <w:rPr>
          <w:color w:val="231F20"/>
          <w:w w:val="105"/>
        </w:rPr>
        <w:t>a</w:t>
      </w:r>
      <w:r>
        <w:rPr>
          <w:color w:val="231F20"/>
          <w:spacing w:val="-26"/>
          <w:w w:val="105"/>
        </w:rPr>
        <w:t> </w:t>
      </w:r>
      <w:r>
        <w:rPr>
          <w:color w:val="231F20"/>
          <w:w w:val="105"/>
        </w:rPr>
        <w:t>raíz</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revolución</w:t>
      </w:r>
      <w:r>
        <w:rPr>
          <w:color w:val="231F20"/>
          <w:spacing w:val="-26"/>
          <w:w w:val="105"/>
        </w:rPr>
        <w:t> </w:t>
      </w:r>
      <w:r>
        <w:rPr>
          <w:color w:val="231F20"/>
          <w:w w:val="105"/>
        </w:rPr>
        <w:t>industrial</w:t>
      </w:r>
      <w:r>
        <w:rPr>
          <w:color w:val="231F20"/>
          <w:spacing w:val="-26"/>
          <w:w w:val="105"/>
        </w:rPr>
        <w:t> </w:t>
      </w:r>
      <w:r>
        <w:rPr>
          <w:color w:val="231F20"/>
          <w:w w:val="105"/>
        </w:rPr>
        <w:t>de</w:t>
      </w:r>
      <w:r>
        <w:rPr>
          <w:color w:val="231F20"/>
          <w:spacing w:val="-26"/>
          <w:w w:val="105"/>
        </w:rPr>
        <w:t> </w:t>
      </w:r>
      <w:r>
        <w:rPr>
          <w:color w:val="231F20"/>
          <w:w w:val="105"/>
        </w:rPr>
        <w:t>finales</w:t>
      </w:r>
      <w:r>
        <w:rPr>
          <w:color w:val="231F20"/>
          <w:spacing w:val="-26"/>
          <w:w w:val="105"/>
        </w:rPr>
        <w:t> </w:t>
      </w:r>
      <w:r>
        <w:rPr>
          <w:color w:val="231F20"/>
          <w:w w:val="105"/>
        </w:rPr>
        <w:t>del</w:t>
      </w:r>
      <w:r>
        <w:rPr>
          <w:color w:val="231F20"/>
          <w:spacing w:val="-26"/>
          <w:w w:val="105"/>
        </w:rPr>
        <w:t> </w:t>
      </w:r>
      <w:r>
        <w:rPr>
          <w:color w:val="231F20"/>
          <w:w w:val="105"/>
        </w:rPr>
        <w:t>siglo XVIII, que el Reino Unido alcanza la primacía económica</w:t>
      </w:r>
      <w:r>
        <w:rPr>
          <w:color w:val="231F20"/>
          <w:spacing w:val="38"/>
          <w:w w:val="105"/>
        </w:rPr>
        <w:t> </w:t>
      </w:r>
      <w:r>
        <w:rPr>
          <w:color w:val="231F20"/>
          <w:w w:val="105"/>
        </w:rPr>
        <w:t>internacional</w:t>
      </w:r>
    </w:p>
    <w:p>
      <w:pPr>
        <w:spacing w:after="0" w:line="259" w:lineRule="auto"/>
        <w:jc w:val="both"/>
        <w:sectPr>
          <w:pgSz w:w="9640" w:h="13890"/>
          <w:pgMar w:top="1300" w:bottom="280" w:left="1300" w:right="1180"/>
        </w:sectPr>
      </w:pPr>
    </w:p>
    <w:p>
      <w:pPr>
        <w:pStyle w:val="BodyText"/>
        <w:spacing w:line="259" w:lineRule="auto" w:before="41"/>
        <w:ind w:left="115"/>
      </w:pPr>
      <w:r>
        <w:rPr>
          <w:color w:val="231F20"/>
          <w:w w:val="105"/>
        </w:rPr>
        <w:t>como</w:t>
      </w:r>
      <w:r>
        <w:rPr>
          <w:color w:val="231F20"/>
          <w:spacing w:val="-11"/>
          <w:w w:val="105"/>
        </w:rPr>
        <w:t> </w:t>
      </w:r>
      <w:r>
        <w:rPr>
          <w:color w:val="231F20"/>
          <w:w w:val="105"/>
        </w:rPr>
        <w:t>país</w:t>
      </w:r>
      <w:r>
        <w:rPr>
          <w:color w:val="231F20"/>
          <w:spacing w:val="-11"/>
          <w:w w:val="105"/>
        </w:rPr>
        <w:t> </w:t>
      </w:r>
      <w:r>
        <w:rPr>
          <w:color w:val="231F20"/>
          <w:w w:val="105"/>
        </w:rPr>
        <w:t>inversor,</w:t>
      </w:r>
      <w:r>
        <w:rPr>
          <w:color w:val="231F20"/>
          <w:spacing w:val="-16"/>
          <w:w w:val="105"/>
        </w:rPr>
        <w:t> </w:t>
      </w:r>
      <w:r>
        <w:rPr>
          <w:color w:val="231F20"/>
          <w:w w:val="105"/>
        </w:rPr>
        <w:t>hasta</w:t>
      </w:r>
      <w:r>
        <w:rPr>
          <w:color w:val="231F20"/>
          <w:spacing w:val="-11"/>
          <w:w w:val="105"/>
        </w:rPr>
        <w:t> </w:t>
      </w:r>
      <w:r>
        <w:rPr>
          <w:color w:val="231F20"/>
          <w:w w:val="105"/>
        </w:rPr>
        <w:t>que</w:t>
      </w:r>
      <w:r>
        <w:rPr>
          <w:color w:val="231F20"/>
          <w:spacing w:val="-11"/>
          <w:w w:val="105"/>
        </w:rPr>
        <w:t> </w:t>
      </w:r>
      <w:r>
        <w:rPr>
          <w:color w:val="231F20"/>
          <w:w w:val="105"/>
        </w:rPr>
        <w:t>ya</w:t>
      </w:r>
      <w:r>
        <w:rPr>
          <w:color w:val="231F20"/>
          <w:spacing w:val="-11"/>
          <w:w w:val="105"/>
        </w:rPr>
        <w:t> </w:t>
      </w:r>
      <w:r>
        <w:rPr>
          <w:color w:val="231F20"/>
          <w:w w:val="105"/>
        </w:rPr>
        <w:t>entrado</w:t>
      </w:r>
      <w:r>
        <w:rPr>
          <w:color w:val="231F20"/>
          <w:spacing w:val="-11"/>
          <w:w w:val="105"/>
        </w:rPr>
        <w:t> </w:t>
      </w:r>
      <w:r>
        <w:rPr>
          <w:color w:val="231F20"/>
          <w:w w:val="105"/>
        </w:rPr>
        <w:t>el</w:t>
      </w:r>
      <w:r>
        <w:rPr>
          <w:color w:val="231F20"/>
          <w:spacing w:val="-11"/>
          <w:w w:val="105"/>
        </w:rPr>
        <w:t> </w:t>
      </w:r>
      <w:r>
        <w:rPr>
          <w:color w:val="231F20"/>
          <w:w w:val="105"/>
        </w:rPr>
        <w:t>siglo</w:t>
      </w:r>
      <w:r>
        <w:rPr>
          <w:color w:val="231F20"/>
          <w:spacing w:val="-12"/>
          <w:w w:val="105"/>
        </w:rPr>
        <w:t> </w:t>
      </w:r>
      <w:r>
        <w:rPr>
          <w:color w:val="231F20"/>
          <w:w w:val="105"/>
        </w:rPr>
        <w:t>XX</w:t>
      </w:r>
      <w:r>
        <w:rPr>
          <w:color w:val="231F20"/>
          <w:spacing w:val="-12"/>
          <w:w w:val="105"/>
        </w:rPr>
        <w:t> </w:t>
      </w:r>
      <w:r>
        <w:rPr>
          <w:color w:val="231F20"/>
          <w:w w:val="105"/>
        </w:rPr>
        <w:t>fue</w:t>
      </w:r>
      <w:r>
        <w:rPr>
          <w:color w:val="231F20"/>
          <w:spacing w:val="-11"/>
          <w:w w:val="105"/>
        </w:rPr>
        <w:t> </w:t>
      </w:r>
      <w:r>
        <w:rPr>
          <w:color w:val="231F20"/>
          <w:w w:val="105"/>
        </w:rPr>
        <w:t>desplazado</w:t>
      </w:r>
      <w:r>
        <w:rPr>
          <w:color w:val="231F20"/>
          <w:spacing w:val="-11"/>
          <w:w w:val="105"/>
        </w:rPr>
        <w:t> </w:t>
      </w:r>
      <w:r>
        <w:rPr>
          <w:color w:val="231F20"/>
          <w:w w:val="105"/>
        </w:rPr>
        <w:t>por </w:t>
      </w:r>
      <w:r>
        <w:rPr>
          <w:color w:val="231F20"/>
        </w:rPr>
        <w:t>Estados</w:t>
      </w:r>
      <w:r>
        <w:rPr>
          <w:color w:val="231F20"/>
          <w:spacing w:val="8"/>
        </w:rPr>
        <w:t> </w:t>
      </w:r>
      <w:r>
        <w:rPr>
          <w:color w:val="231F20"/>
        </w:rPr>
        <w:t>Unidos.</w:t>
      </w:r>
    </w:p>
    <w:p>
      <w:pPr>
        <w:pStyle w:val="BodyText"/>
        <w:spacing w:line="259" w:lineRule="auto"/>
        <w:ind w:left="115" w:right="106" w:firstLine="567"/>
        <w:jc w:val="both"/>
      </w:pPr>
      <w:r>
        <w:rPr>
          <w:color w:val="231F20"/>
          <w:w w:val="105"/>
        </w:rPr>
        <w:t>La</w:t>
      </w:r>
      <w:r>
        <w:rPr>
          <w:color w:val="231F20"/>
          <w:spacing w:val="-23"/>
          <w:w w:val="105"/>
        </w:rPr>
        <w:t> </w:t>
      </w:r>
      <w:r>
        <w:rPr>
          <w:color w:val="231F20"/>
          <w:w w:val="105"/>
        </w:rPr>
        <w:t>inversión</w:t>
      </w:r>
      <w:r>
        <w:rPr>
          <w:color w:val="231F20"/>
          <w:spacing w:val="-23"/>
          <w:w w:val="105"/>
        </w:rPr>
        <w:t> </w:t>
      </w:r>
      <w:r>
        <w:rPr>
          <w:color w:val="231F20"/>
          <w:w w:val="105"/>
        </w:rPr>
        <w:t>extranjera</w:t>
      </w:r>
      <w:r>
        <w:rPr>
          <w:color w:val="231F20"/>
          <w:spacing w:val="-23"/>
          <w:w w:val="105"/>
        </w:rPr>
        <w:t> </w:t>
      </w:r>
      <w:r>
        <w:rPr>
          <w:color w:val="231F20"/>
          <w:w w:val="105"/>
        </w:rPr>
        <w:t>directa</w:t>
      </w:r>
      <w:r>
        <w:rPr>
          <w:color w:val="231F20"/>
          <w:spacing w:val="-23"/>
          <w:w w:val="105"/>
        </w:rPr>
        <w:t> </w:t>
      </w:r>
      <w:r>
        <w:rPr>
          <w:color w:val="231F20"/>
          <w:w w:val="105"/>
        </w:rPr>
        <w:t>(IED)</w:t>
      </w:r>
      <w:r>
        <w:rPr>
          <w:color w:val="231F20"/>
          <w:spacing w:val="-23"/>
          <w:w w:val="105"/>
        </w:rPr>
        <w:t> </w:t>
      </w:r>
      <w:r>
        <w:rPr>
          <w:color w:val="231F20"/>
          <w:w w:val="105"/>
        </w:rPr>
        <w:t>se</w:t>
      </w:r>
      <w:r>
        <w:rPr>
          <w:color w:val="231F20"/>
          <w:spacing w:val="-23"/>
          <w:w w:val="105"/>
        </w:rPr>
        <w:t> </w:t>
      </w:r>
      <w:r>
        <w:rPr>
          <w:color w:val="231F20"/>
          <w:w w:val="105"/>
        </w:rPr>
        <w:t>realizaba</w:t>
      </w:r>
      <w:r>
        <w:rPr>
          <w:color w:val="231F20"/>
          <w:spacing w:val="-23"/>
          <w:w w:val="105"/>
        </w:rPr>
        <w:t> </w:t>
      </w:r>
      <w:r>
        <w:rPr>
          <w:color w:val="231F20"/>
          <w:w w:val="105"/>
        </w:rPr>
        <w:t>principalmente</w:t>
      </w:r>
      <w:r>
        <w:rPr>
          <w:color w:val="231F20"/>
          <w:spacing w:val="-23"/>
          <w:w w:val="105"/>
        </w:rPr>
        <w:t> </w:t>
      </w:r>
      <w:r>
        <w:rPr>
          <w:color w:val="231F20"/>
          <w:w w:val="105"/>
        </w:rPr>
        <w:t>en recursos</w:t>
      </w:r>
      <w:r>
        <w:rPr>
          <w:color w:val="231F20"/>
          <w:spacing w:val="-11"/>
          <w:w w:val="105"/>
        </w:rPr>
        <w:t> </w:t>
      </w:r>
      <w:r>
        <w:rPr>
          <w:color w:val="231F20"/>
          <w:w w:val="105"/>
        </w:rPr>
        <w:t>naturales,</w:t>
      </w:r>
      <w:r>
        <w:rPr>
          <w:color w:val="231F20"/>
          <w:spacing w:val="-15"/>
          <w:w w:val="105"/>
        </w:rPr>
        <w:t> </w:t>
      </w:r>
      <w:r>
        <w:rPr>
          <w:color w:val="231F20"/>
          <w:w w:val="105"/>
        </w:rPr>
        <w:t>servicios</w:t>
      </w:r>
      <w:r>
        <w:rPr>
          <w:color w:val="231F20"/>
          <w:spacing w:val="-11"/>
          <w:w w:val="105"/>
        </w:rPr>
        <w:t> </w:t>
      </w:r>
      <w:r>
        <w:rPr>
          <w:color w:val="231F20"/>
          <w:w w:val="105"/>
        </w:rPr>
        <w:t>financieros,</w:t>
      </w:r>
      <w:r>
        <w:rPr>
          <w:color w:val="231F20"/>
          <w:spacing w:val="-15"/>
          <w:w w:val="105"/>
        </w:rPr>
        <w:t> </w:t>
      </w:r>
      <w:r>
        <w:rPr>
          <w:color w:val="231F20"/>
          <w:w w:val="105"/>
        </w:rPr>
        <w:t>transporte</w:t>
      </w:r>
      <w:r>
        <w:rPr>
          <w:color w:val="231F20"/>
          <w:spacing w:val="-11"/>
          <w:w w:val="105"/>
        </w:rPr>
        <w:t> </w:t>
      </w:r>
      <w:r>
        <w:rPr>
          <w:color w:val="231F20"/>
          <w:w w:val="105"/>
        </w:rPr>
        <w:t>y</w:t>
      </w:r>
      <w:r>
        <w:rPr>
          <w:color w:val="231F20"/>
          <w:spacing w:val="-11"/>
          <w:w w:val="105"/>
        </w:rPr>
        <w:t> </w:t>
      </w:r>
      <w:r>
        <w:rPr>
          <w:color w:val="231F20"/>
          <w:w w:val="105"/>
        </w:rPr>
        <w:t>energía</w:t>
      </w:r>
      <w:r>
        <w:rPr>
          <w:color w:val="231F20"/>
          <w:spacing w:val="-11"/>
          <w:w w:val="105"/>
        </w:rPr>
        <w:t> </w:t>
      </w:r>
      <w:r>
        <w:rPr>
          <w:color w:val="231F20"/>
          <w:w w:val="105"/>
        </w:rPr>
        <w:t>siendo</w:t>
      </w:r>
      <w:r>
        <w:rPr>
          <w:color w:val="231F20"/>
          <w:spacing w:val="-11"/>
          <w:w w:val="105"/>
        </w:rPr>
        <w:t> </w:t>
      </w:r>
      <w:r>
        <w:rPr>
          <w:color w:val="231F20"/>
          <w:w w:val="105"/>
        </w:rPr>
        <w:t>re- ducido</w:t>
      </w:r>
      <w:r>
        <w:rPr>
          <w:color w:val="231F20"/>
          <w:spacing w:val="-15"/>
          <w:w w:val="105"/>
        </w:rPr>
        <w:t> </w:t>
      </w:r>
      <w:r>
        <w:rPr>
          <w:color w:val="231F20"/>
          <w:w w:val="105"/>
        </w:rPr>
        <w:t>el</w:t>
      </w:r>
      <w:r>
        <w:rPr>
          <w:color w:val="231F20"/>
          <w:spacing w:val="-15"/>
          <w:w w:val="105"/>
        </w:rPr>
        <w:t> </w:t>
      </w:r>
      <w:r>
        <w:rPr>
          <w:color w:val="231F20"/>
          <w:w w:val="105"/>
        </w:rPr>
        <w:t>peso</w:t>
      </w:r>
      <w:r>
        <w:rPr>
          <w:color w:val="231F20"/>
          <w:spacing w:val="-15"/>
          <w:w w:val="105"/>
        </w:rPr>
        <w:t> </w:t>
      </w:r>
      <w:r>
        <w:rPr>
          <w:color w:val="231F20"/>
          <w:w w:val="105"/>
        </w:rPr>
        <w:t>del</w:t>
      </w:r>
      <w:r>
        <w:rPr>
          <w:color w:val="231F20"/>
          <w:spacing w:val="-15"/>
          <w:w w:val="105"/>
        </w:rPr>
        <w:t> </w:t>
      </w:r>
      <w:r>
        <w:rPr>
          <w:color w:val="231F20"/>
          <w:w w:val="105"/>
        </w:rPr>
        <w:t>sector</w:t>
      </w:r>
      <w:r>
        <w:rPr>
          <w:color w:val="231F20"/>
          <w:spacing w:val="-15"/>
          <w:w w:val="105"/>
        </w:rPr>
        <w:t> </w:t>
      </w:r>
      <w:r>
        <w:rPr>
          <w:color w:val="231F20"/>
          <w:w w:val="105"/>
        </w:rPr>
        <w:t>manufacturero.</w:t>
      </w:r>
      <w:r>
        <w:rPr>
          <w:color w:val="231F20"/>
          <w:spacing w:val="-20"/>
          <w:w w:val="105"/>
        </w:rPr>
        <w:t> </w:t>
      </w:r>
      <w:r>
        <w:rPr>
          <w:color w:val="231F20"/>
          <w:w w:val="105"/>
        </w:rPr>
        <w:t>Posteriormente</w:t>
      </w:r>
      <w:r>
        <w:rPr>
          <w:color w:val="231F20"/>
          <w:spacing w:val="-15"/>
          <w:w w:val="105"/>
        </w:rPr>
        <w:t> </w:t>
      </w:r>
      <w:r>
        <w:rPr>
          <w:color w:val="231F20"/>
          <w:w w:val="105"/>
        </w:rPr>
        <w:t>(1880-1930),</w:t>
      </w:r>
      <w:r>
        <w:rPr>
          <w:color w:val="231F20"/>
          <w:spacing w:val="-20"/>
          <w:w w:val="105"/>
        </w:rPr>
        <w:t> </w:t>
      </w:r>
      <w:r>
        <w:rPr>
          <w:color w:val="231F20"/>
          <w:w w:val="105"/>
        </w:rPr>
        <w:t>la expansión internacional de las empresas se llevó a cabo en</w:t>
      </w:r>
      <w:r>
        <w:rPr>
          <w:color w:val="231F20"/>
          <w:spacing w:val="-28"/>
          <w:w w:val="105"/>
        </w:rPr>
        <w:t> </w:t>
      </w:r>
      <w:r>
        <w:rPr>
          <w:color w:val="231F20"/>
          <w:w w:val="105"/>
        </w:rPr>
        <w:t>actividades de</w:t>
      </w:r>
      <w:r>
        <w:rPr>
          <w:color w:val="231F20"/>
          <w:spacing w:val="-10"/>
          <w:w w:val="105"/>
        </w:rPr>
        <w:t> </w:t>
      </w:r>
      <w:r>
        <w:rPr>
          <w:color w:val="231F20"/>
          <w:w w:val="105"/>
        </w:rPr>
        <w:t>comercio</w:t>
      </w:r>
      <w:r>
        <w:rPr>
          <w:color w:val="231F20"/>
          <w:spacing w:val="-10"/>
          <w:w w:val="105"/>
        </w:rPr>
        <w:t> </w:t>
      </w:r>
      <w:r>
        <w:rPr>
          <w:color w:val="231F20"/>
          <w:w w:val="105"/>
        </w:rPr>
        <w:t>exterior,</w:t>
      </w:r>
      <w:r>
        <w:rPr>
          <w:color w:val="231F20"/>
          <w:spacing w:val="-15"/>
          <w:w w:val="105"/>
        </w:rPr>
        <w:t> </w:t>
      </w:r>
      <w:r>
        <w:rPr>
          <w:color w:val="231F20"/>
          <w:w w:val="105"/>
        </w:rPr>
        <w:t>banca,</w:t>
      </w:r>
      <w:r>
        <w:rPr>
          <w:color w:val="231F20"/>
          <w:spacing w:val="-15"/>
          <w:w w:val="105"/>
        </w:rPr>
        <w:t> </w:t>
      </w:r>
      <w:r>
        <w:rPr>
          <w:color w:val="231F20"/>
          <w:w w:val="105"/>
        </w:rPr>
        <w:t>transporte</w:t>
      </w:r>
      <w:r>
        <w:rPr>
          <w:color w:val="231F20"/>
          <w:spacing w:val="-10"/>
          <w:w w:val="105"/>
        </w:rPr>
        <w:t> </w:t>
      </w:r>
      <w:r>
        <w:rPr>
          <w:color w:val="231F20"/>
          <w:w w:val="105"/>
        </w:rPr>
        <w:t>y</w:t>
      </w:r>
      <w:r>
        <w:rPr>
          <w:color w:val="231F20"/>
          <w:spacing w:val="-10"/>
          <w:w w:val="105"/>
        </w:rPr>
        <w:t> </w:t>
      </w:r>
      <w:r>
        <w:rPr>
          <w:color w:val="231F20"/>
          <w:w w:val="105"/>
        </w:rPr>
        <w:t>comunicaciones,</w:t>
      </w:r>
      <w:r>
        <w:rPr>
          <w:color w:val="231F20"/>
          <w:spacing w:val="-15"/>
          <w:w w:val="105"/>
        </w:rPr>
        <w:t> </w:t>
      </w:r>
      <w:r>
        <w:rPr>
          <w:color w:val="231F20"/>
          <w:w w:val="105"/>
        </w:rPr>
        <w:t>explotación</w:t>
      </w:r>
      <w:r>
        <w:rPr>
          <w:color w:val="231F20"/>
          <w:spacing w:val="-10"/>
          <w:w w:val="105"/>
        </w:rPr>
        <w:t> </w:t>
      </w:r>
      <w:r>
        <w:rPr>
          <w:color w:val="231F20"/>
          <w:w w:val="105"/>
        </w:rPr>
        <w:t>y distribución de petróleo, agricultura y materias primas, productos</w:t>
      </w:r>
      <w:r>
        <w:rPr>
          <w:color w:val="231F20"/>
          <w:spacing w:val="-34"/>
          <w:w w:val="105"/>
        </w:rPr>
        <w:t> </w:t>
      </w:r>
      <w:r>
        <w:rPr>
          <w:color w:val="231F20"/>
          <w:w w:val="105"/>
        </w:rPr>
        <w:t>quími- cos</w:t>
      </w:r>
      <w:r>
        <w:rPr>
          <w:color w:val="231F20"/>
          <w:spacing w:val="-27"/>
          <w:w w:val="105"/>
        </w:rPr>
        <w:t> </w:t>
      </w:r>
      <w:r>
        <w:rPr>
          <w:color w:val="231F20"/>
          <w:w w:val="105"/>
        </w:rPr>
        <w:t>y</w:t>
      </w:r>
      <w:r>
        <w:rPr>
          <w:color w:val="231F20"/>
          <w:spacing w:val="-27"/>
          <w:w w:val="105"/>
        </w:rPr>
        <w:t> </w:t>
      </w:r>
      <w:r>
        <w:rPr>
          <w:color w:val="231F20"/>
          <w:w w:val="105"/>
        </w:rPr>
        <w:t>farmacéuticos,</w:t>
      </w:r>
      <w:r>
        <w:rPr>
          <w:color w:val="231F20"/>
          <w:spacing w:val="-31"/>
          <w:w w:val="105"/>
        </w:rPr>
        <w:t> </w:t>
      </w:r>
      <w:r>
        <w:rPr>
          <w:color w:val="231F20"/>
          <w:w w:val="105"/>
        </w:rPr>
        <w:t>maquinaria</w:t>
      </w:r>
      <w:r>
        <w:rPr>
          <w:color w:val="231F20"/>
          <w:spacing w:val="-27"/>
          <w:w w:val="105"/>
        </w:rPr>
        <w:t> </w:t>
      </w:r>
      <w:r>
        <w:rPr>
          <w:color w:val="231F20"/>
          <w:w w:val="105"/>
        </w:rPr>
        <w:t>y</w:t>
      </w:r>
      <w:r>
        <w:rPr>
          <w:color w:val="231F20"/>
          <w:spacing w:val="-27"/>
          <w:w w:val="105"/>
        </w:rPr>
        <w:t> </w:t>
      </w:r>
      <w:r>
        <w:rPr>
          <w:color w:val="231F20"/>
          <w:w w:val="105"/>
        </w:rPr>
        <w:t>automóviles</w:t>
      </w:r>
      <w:r>
        <w:rPr>
          <w:color w:val="231F20"/>
          <w:spacing w:val="-27"/>
          <w:w w:val="105"/>
        </w:rPr>
        <w:t> </w:t>
      </w:r>
      <w:r>
        <w:rPr>
          <w:color w:val="231F20"/>
          <w:w w:val="105"/>
        </w:rPr>
        <w:t>(Jones,</w:t>
      </w:r>
      <w:r>
        <w:rPr>
          <w:color w:val="231F20"/>
          <w:spacing w:val="-31"/>
          <w:w w:val="105"/>
        </w:rPr>
        <w:t> </w:t>
      </w:r>
      <w:r>
        <w:rPr>
          <w:color w:val="231F20"/>
          <w:w w:val="105"/>
        </w:rPr>
        <w:t>1996),</w:t>
      </w:r>
      <w:r>
        <w:rPr>
          <w:color w:val="231F20"/>
          <w:spacing w:val="-31"/>
          <w:w w:val="105"/>
        </w:rPr>
        <w:t> </w:t>
      </w:r>
      <w:r>
        <w:rPr>
          <w:color w:val="231F20"/>
          <w:w w:val="105"/>
        </w:rPr>
        <w:t>dando</w:t>
      </w:r>
      <w:r>
        <w:rPr>
          <w:color w:val="231F20"/>
          <w:spacing w:val="-27"/>
          <w:w w:val="105"/>
        </w:rPr>
        <w:t> </w:t>
      </w:r>
      <w:r>
        <w:rPr>
          <w:color w:val="231F20"/>
          <w:w w:val="105"/>
        </w:rPr>
        <w:t>a</w:t>
      </w:r>
      <w:r>
        <w:rPr>
          <w:color w:val="231F20"/>
          <w:spacing w:val="-27"/>
          <w:w w:val="105"/>
        </w:rPr>
        <w:t> </w:t>
      </w:r>
      <w:r>
        <w:rPr>
          <w:color w:val="231F20"/>
          <w:w w:val="105"/>
        </w:rPr>
        <w:t>los países</w:t>
      </w:r>
      <w:r>
        <w:rPr>
          <w:color w:val="231F20"/>
          <w:spacing w:val="-20"/>
          <w:w w:val="105"/>
        </w:rPr>
        <w:t> </w:t>
      </w:r>
      <w:r>
        <w:rPr>
          <w:color w:val="231F20"/>
          <w:w w:val="105"/>
        </w:rPr>
        <w:t>receptores</w:t>
      </w:r>
      <w:r>
        <w:rPr>
          <w:color w:val="231F20"/>
          <w:spacing w:val="-20"/>
          <w:w w:val="105"/>
        </w:rPr>
        <w:t> </w:t>
      </w:r>
      <w:r>
        <w:rPr>
          <w:color w:val="231F20"/>
          <w:w w:val="105"/>
        </w:rPr>
        <w:t>una</w:t>
      </w:r>
      <w:r>
        <w:rPr>
          <w:color w:val="231F20"/>
          <w:spacing w:val="-20"/>
          <w:w w:val="105"/>
        </w:rPr>
        <w:t> </w:t>
      </w:r>
      <w:r>
        <w:rPr>
          <w:color w:val="231F20"/>
          <w:w w:val="105"/>
        </w:rPr>
        <w:t>mayor</w:t>
      </w:r>
      <w:r>
        <w:rPr>
          <w:color w:val="231F20"/>
          <w:spacing w:val="-20"/>
          <w:w w:val="105"/>
        </w:rPr>
        <w:t> </w:t>
      </w:r>
      <w:r>
        <w:rPr>
          <w:color w:val="231F20"/>
          <w:w w:val="105"/>
        </w:rPr>
        <w:t>competitividad</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mercados.</w:t>
      </w:r>
    </w:p>
    <w:p>
      <w:pPr>
        <w:pStyle w:val="BodyText"/>
        <w:spacing w:line="259" w:lineRule="auto"/>
        <w:ind w:left="115" w:right="108" w:firstLine="567"/>
        <w:jc w:val="both"/>
      </w:pPr>
      <w:r>
        <w:rPr>
          <w:color w:val="231F20"/>
          <w:w w:val="105"/>
        </w:rPr>
        <w:t>En el </w:t>
      </w:r>
      <w:r>
        <w:rPr>
          <w:color w:val="231F20"/>
          <w:spacing w:val="-3"/>
          <w:w w:val="105"/>
        </w:rPr>
        <w:t>periodo 1950-1980 tras </w:t>
      </w:r>
      <w:r>
        <w:rPr>
          <w:color w:val="231F20"/>
          <w:w w:val="105"/>
        </w:rPr>
        <w:t>el </w:t>
      </w:r>
      <w:r>
        <w:rPr>
          <w:color w:val="231F20"/>
          <w:spacing w:val="-3"/>
          <w:w w:val="105"/>
        </w:rPr>
        <w:t>desmantelamiento </w:t>
      </w:r>
      <w:r>
        <w:rPr>
          <w:color w:val="231F20"/>
          <w:w w:val="105"/>
        </w:rPr>
        <w:t>del </w:t>
      </w:r>
      <w:r>
        <w:rPr>
          <w:color w:val="231F20"/>
          <w:spacing w:val="-3"/>
          <w:w w:val="105"/>
        </w:rPr>
        <w:t>sistema de cárteles</w:t>
      </w:r>
      <w:r>
        <w:rPr>
          <w:color w:val="231F20"/>
          <w:spacing w:val="-36"/>
          <w:w w:val="105"/>
        </w:rPr>
        <w:t> </w:t>
      </w:r>
      <w:r>
        <w:rPr>
          <w:color w:val="231F20"/>
          <w:spacing w:val="-3"/>
          <w:w w:val="105"/>
        </w:rPr>
        <w:t>internacionales,</w:t>
      </w:r>
      <w:r>
        <w:rPr>
          <w:color w:val="231F20"/>
          <w:spacing w:val="-41"/>
          <w:w w:val="105"/>
        </w:rPr>
        <w:t> </w:t>
      </w:r>
      <w:r>
        <w:rPr>
          <w:color w:val="231F20"/>
          <w:w w:val="105"/>
        </w:rPr>
        <w:t>la</w:t>
      </w:r>
      <w:r>
        <w:rPr>
          <w:color w:val="231F20"/>
          <w:spacing w:val="-36"/>
          <w:w w:val="105"/>
        </w:rPr>
        <w:t> </w:t>
      </w:r>
      <w:r>
        <w:rPr>
          <w:color w:val="231F20"/>
          <w:w w:val="105"/>
        </w:rPr>
        <w:t>IED</w:t>
      </w:r>
      <w:r>
        <w:rPr>
          <w:color w:val="231F20"/>
          <w:spacing w:val="-36"/>
          <w:w w:val="105"/>
        </w:rPr>
        <w:t> </w:t>
      </w:r>
      <w:r>
        <w:rPr>
          <w:color w:val="231F20"/>
          <w:w w:val="105"/>
        </w:rPr>
        <w:t>se</w:t>
      </w:r>
      <w:r>
        <w:rPr>
          <w:color w:val="231F20"/>
          <w:spacing w:val="-36"/>
          <w:w w:val="105"/>
        </w:rPr>
        <w:t> </w:t>
      </w:r>
      <w:r>
        <w:rPr>
          <w:color w:val="231F20"/>
          <w:spacing w:val="-4"/>
          <w:w w:val="105"/>
        </w:rPr>
        <w:t>recuperó</w:t>
      </w:r>
      <w:r>
        <w:rPr>
          <w:color w:val="231F20"/>
          <w:spacing w:val="-36"/>
          <w:w w:val="105"/>
        </w:rPr>
        <w:t> </w:t>
      </w:r>
      <w:r>
        <w:rPr>
          <w:color w:val="231F20"/>
          <w:w w:val="105"/>
        </w:rPr>
        <w:t>a</w:t>
      </w:r>
      <w:r>
        <w:rPr>
          <w:color w:val="231F20"/>
          <w:spacing w:val="-36"/>
          <w:w w:val="105"/>
        </w:rPr>
        <w:t> </w:t>
      </w:r>
      <w:r>
        <w:rPr>
          <w:color w:val="231F20"/>
          <w:spacing w:val="-3"/>
          <w:w w:val="105"/>
        </w:rPr>
        <w:t>nivel</w:t>
      </w:r>
      <w:r>
        <w:rPr>
          <w:color w:val="231F20"/>
          <w:spacing w:val="-36"/>
          <w:w w:val="105"/>
        </w:rPr>
        <w:t> </w:t>
      </w:r>
      <w:r>
        <w:rPr>
          <w:color w:val="231F20"/>
          <w:spacing w:val="-3"/>
          <w:w w:val="105"/>
        </w:rPr>
        <w:t>mundial,</w:t>
      </w:r>
      <w:r>
        <w:rPr>
          <w:color w:val="231F20"/>
          <w:spacing w:val="-41"/>
          <w:w w:val="105"/>
        </w:rPr>
        <w:t> </w:t>
      </w:r>
      <w:r>
        <w:rPr>
          <w:color w:val="231F20"/>
          <w:spacing w:val="-3"/>
          <w:w w:val="105"/>
        </w:rPr>
        <w:t>aunque</w:t>
      </w:r>
      <w:r>
        <w:rPr>
          <w:color w:val="231F20"/>
          <w:spacing w:val="-36"/>
          <w:w w:val="105"/>
        </w:rPr>
        <w:t> </w:t>
      </w:r>
      <w:r>
        <w:rPr>
          <w:color w:val="231F20"/>
          <w:w w:val="105"/>
        </w:rPr>
        <w:t>en</w:t>
      </w:r>
      <w:r>
        <w:rPr>
          <w:color w:val="231F20"/>
          <w:spacing w:val="-36"/>
          <w:w w:val="105"/>
        </w:rPr>
        <w:t> </w:t>
      </w:r>
      <w:r>
        <w:rPr>
          <w:color w:val="231F20"/>
          <w:spacing w:val="-3"/>
          <w:w w:val="105"/>
        </w:rPr>
        <w:t>1980 todavía</w:t>
      </w:r>
      <w:r>
        <w:rPr>
          <w:color w:val="231F20"/>
          <w:spacing w:val="-32"/>
          <w:w w:val="105"/>
        </w:rPr>
        <w:t> </w:t>
      </w:r>
      <w:r>
        <w:rPr>
          <w:color w:val="231F20"/>
          <w:spacing w:val="-3"/>
          <w:w w:val="105"/>
        </w:rPr>
        <w:t>era</w:t>
      </w:r>
      <w:r>
        <w:rPr>
          <w:color w:val="231F20"/>
          <w:spacing w:val="-32"/>
          <w:w w:val="105"/>
        </w:rPr>
        <w:t> </w:t>
      </w:r>
      <w:r>
        <w:rPr>
          <w:color w:val="231F20"/>
          <w:spacing w:val="-3"/>
          <w:w w:val="105"/>
        </w:rPr>
        <w:t>menor</w:t>
      </w:r>
      <w:r>
        <w:rPr>
          <w:color w:val="231F20"/>
          <w:spacing w:val="-32"/>
          <w:w w:val="105"/>
        </w:rPr>
        <w:t> </w:t>
      </w:r>
      <w:r>
        <w:rPr>
          <w:color w:val="231F20"/>
          <w:w w:val="105"/>
        </w:rPr>
        <w:t>a</w:t>
      </w:r>
      <w:r>
        <w:rPr>
          <w:color w:val="231F20"/>
          <w:spacing w:val="-32"/>
          <w:w w:val="105"/>
        </w:rPr>
        <w:t> </w:t>
      </w:r>
      <w:r>
        <w:rPr>
          <w:color w:val="231F20"/>
          <w:w w:val="105"/>
        </w:rPr>
        <w:t>los</w:t>
      </w:r>
      <w:r>
        <w:rPr>
          <w:color w:val="231F20"/>
          <w:spacing w:val="-32"/>
          <w:w w:val="105"/>
        </w:rPr>
        <w:t> </w:t>
      </w:r>
      <w:r>
        <w:rPr>
          <w:color w:val="231F20"/>
          <w:spacing w:val="-3"/>
          <w:w w:val="105"/>
        </w:rPr>
        <w:t>niveles</w:t>
      </w:r>
      <w:r>
        <w:rPr>
          <w:color w:val="231F20"/>
          <w:spacing w:val="-32"/>
          <w:w w:val="105"/>
        </w:rPr>
        <w:t> </w:t>
      </w:r>
      <w:r>
        <w:rPr>
          <w:color w:val="231F20"/>
          <w:spacing w:val="-3"/>
          <w:w w:val="105"/>
        </w:rPr>
        <w:t>alcanzados</w:t>
      </w:r>
      <w:r>
        <w:rPr>
          <w:color w:val="231F20"/>
          <w:spacing w:val="-32"/>
          <w:w w:val="105"/>
        </w:rPr>
        <w:t> </w:t>
      </w:r>
      <w:r>
        <w:rPr>
          <w:color w:val="231F20"/>
          <w:w w:val="105"/>
        </w:rPr>
        <w:t>en</w:t>
      </w:r>
      <w:r>
        <w:rPr>
          <w:color w:val="231F20"/>
          <w:spacing w:val="-32"/>
          <w:w w:val="105"/>
        </w:rPr>
        <w:t> </w:t>
      </w:r>
      <w:r>
        <w:rPr>
          <w:color w:val="231F20"/>
          <w:spacing w:val="-3"/>
          <w:w w:val="105"/>
        </w:rPr>
        <w:t>1914</w:t>
      </w:r>
      <w:r>
        <w:rPr>
          <w:color w:val="231F20"/>
          <w:spacing w:val="-32"/>
          <w:w w:val="105"/>
        </w:rPr>
        <w:t> </w:t>
      </w:r>
      <w:r>
        <w:rPr>
          <w:color w:val="231F20"/>
          <w:spacing w:val="-3"/>
          <w:w w:val="105"/>
        </w:rPr>
        <w:t>(Arosemena,</w:t>
      </w:r>
      <w:r>
        <w:rPr>
          <w:color w:val="231F20"/>
          <w:spacing w:val="-36"/>
          <w:w w:val="105"/>
        </w:rPr>
        <w:t> </w:t>
      </w:r>
      <w:r>
        <w:rPr>
          <w:color w:val="231F20"/>
          <w:spacing w:val="-3"/>
          <w:w w:val="105"/>
        </w:rPr>
        <w:t>2009).</w:t>
      </w:r>
    </w:p>
    <w:p>
      <w:pPr>
        <w:pStyle w:val="BodyText"/>
        <w:spacing w:line="259" w:lineRule="auto"/>
        <w:ind w:left="115" w:right="106" w:firstLine="567"/>
        <w:jc w:val="both"/>
      </w:pPr>
      <w:r>
        <w:rPr>
          <w:color w:val="231F20"/>
        </w:rPr>
        <w:t>Entre 1999 y 2010 se produjo un cambio notable en el destino de    la </w:t>
      </w:r>
      <w:r>
        <w:rPr>
          <w:color w:val="231F20"/>
          <w:spacing w:val="-3"/>
        </w:rPr>
        <w:t>IED, </w:t>
      </w:r>
      <w:r>
        <w:rPr>
          <w:color w:val="231F20"/>
        </w:rPr>
        <w:t>que pasó de las manufacturas a los servicios, en particular el turis- mo, los negocios inmobiliarios y los servicios empresariales a distancia </w:t>
      </w:r>
      <w:r>
        <w:rPr>
          <w:color w:val="231F20"/>
          <w:w w:val="95"/>
        </w:rPr>
        <w:t>(CEPAL,</w:t>
      </w:r>
      <w:r>
        <w:rPr>
          <w:color w:val="231F20"/>
          <w:spacing w:val="9"/>
          <w:w w:val="95"/>
        </w:rPr>
        <w:t> </w:t>
      </w:r>
      <w:r>
        <w:rPr>
          <w:color w:val="231F20"/>
          <w:w w:val="95"/>
        </w:rPr>
        <w:t>2011).</w:t>
      </w:r>
    </w:p>
    <w:p>
      <w:pPr>
        <w:pStyle w:val="BodyText"/>
        <w:spacing w:line="259" w:lineRule="auto"/>
        <w:ind w:left="115" w:right="106" w:firstLine="567"/>
        <w:jc w:val="both"/>
      </w:pPr>
      <w:r>
        <w:rPr>
          <w:color w:val="231F20"/>
          <w:w w:val="105"/>
        </w:rPr>
        <w:t>Así, los cambios producidos en el entorno de la inversión han permitido una mayor diversificación geográfica de la empresa multina- cional. Aunque la IED sigue estando concentrada en la triada Estados Unidos-Unión Europea-Japón, los países menos desarrollados han de- mostrado capacidad de atracción de los flujos de inversión directa.</w:t>
      </w:r>
    </w:p>
    <w:p>
      <w:pPr>
        <w:pStyle w:val="BodyText"/>
        <w:spacing w:line="259" w:lineRule="auto"/>
        <w:ind w:left="115" w:right="106" w:firstLine="567"/>
        <w:jc w:val="both"/>
      </w:pPr>
      <w:r>
        <w:rPr>
          <w:color w:val="231F20"/>
          <w:w w:val="105"/>
        </w:rPr>
        <w:t>Con independencia del destino geográfico, los determinantes esenciales</w:t>
      </w:r>
      <w:r>
        <w:rPr>
          <w:color w:val="231F20"/>
          <w:spacing w:val="-27"/>
          <w:w w:val="105"/>
        </w:rPr>
        <w:t> </w:t>
      </w:r>
      <w:r>
        <w:rPr>
          <w:color w:val="231F20"/>
          <w:w w:val="105"/>
        </w:rPr>
        <w:t>de</w:t>
      </w:r>
      <w:r>
        <w:rPr>
          <w:color w:val="231F20"/>
          <w:spacing w:val="-27"/>
          <w:w w:val="105"/>
        </w:rPr>
        <w:t> </w:t>
      </w:r>
      <w:r>
        <w:rPr>
          <w:color w:val="231F20"/>
          <w:w w:val="105"/>
        </w:rPr>
        <w:t>estos</w:t>
      </w:r>
      <w:r>
        <w:rPr>
          <w:color w:val="231F20"/>
          <w:spacing w:val="-27"/>
          <w:w w:val="105"/>
        </w:rPr>
        <w:t> </w:t>
      </w:r>
      <w:r>
        <w:rPr>
          <w:color w:val="231F20"/>
          <w:w w:val="105"/>
        </w:rPr>
        <w:t>flujos</w:t>
      </w:r>
      <w:r>
        <w:rPr>
          <w:color w:val="231F20"/>
          <w:spacing w:val="-27"/>
          <w:w w:val="105"/>
        </w:rPr>
        <w:t> </w:t>
      </w:r>
      <w:r>
        <w:rPr>
          <w:color w:val="231F20"/>
          <w:w w:val="105"/>
        </w:rPr>
        <w:t>de</w:t>
      </w:r>
      <w:r>
        <w:rPr>
          <w:color w:val="231F20"/>
          <w:spacing w:val="-27"/>
          <w:w w:val="105"/>
        </w:rPr>
        <w:t> </w:t>
      </w:r>
      <w:r>
        <w:rPr>
          <w:color w:val="231F20"/>
          <w:w w:val="105"/>
        </w:rPr>
        <w:t>inversión</w:t>
      </w:r>
      <w:r>
        <w:rPr>
          <w:color w:val="231F20"/>
          <w:spacing w:val="-27"/>
          <w:w w:val="105"/>
        </w:rPr>
        <w:t> </w:t>
      </w:r>
      <w:r>
        <w:rPr>
          <w:color w:val="231F20"/>
          <w:w w:val="105"/>
        </w:rPr>
        <w:t>son</w:t>
      </w:r>
      <w:r>
        <w:rPr>
          <w:color w:val="231F20"/>
          <w:spacing w:val="-27"/>
          <w:w w:val="105"/>
        </w:rPr>
        <w:t> </w:t>
      </w:r>
      <w:r>
        <w:rPr>
          <w:color w:val="231F20"/>
          <w:w w:val="105"/>
        </w:rPr>
        <w:t>similares:</w:t>
      </w:r>
      <w:r>
        <w:rPr>
          <w:color w:val="231F20"/>
          <w:spacing w:val="-27"/>
          <w:w w:val="105"/>
        </w:rPr>
        <w:t> </w:t>
      </w:r>
      <w:r>
        <w:rPr>
          <w:color w:val="231F20"/>
          <w:w w:val="105"/>
        </w:rPr>
        <w:t>un</w:t>
      </w:r>
      <w:r>
        <w:rPr>
          <w:color w:val="231F20"/>
          <w:spacing w:val="-27"/>
          <w:w w:val="105"/>
        </w:rPr>
        <w:t> </w:t>
      </w:r>
      <w:r>
        <w:rPr>
          <w:color w:val="231F20"/>
          <w:w w:val="105"/>
        </w:rPr>
        <w:t>cambio</w:t>
      </w:r>
      <w:r>
        <w:rPr>
          <w:color w:val="231F20"/>
          <w:spacing w:val="-27"/>
          <w:w w:val="105"/>
        </w:rPr>
        <w:t> </w:t>
      </w:r>
      <w:r>
        <w:rPr>
          <w:color w:val="231F20"/>
          <w:w w:val="105"/>
        </w:rPr>
        <w:t>de</w:t>
      </w:r>
      <w:r>
        <w:rPr>
          <w:color w:val="231F20"/>
          <w:spacing w:val="-27"/>
          <w:w w:val="105"/>
        </w:rPr>
        <w:t> </w:t>
      </w:r>
      <w:r>
        <w:rPr>
          <w:color w:val="231F20"/>
          <w:w w:val="105"/>
        </w:rPr>
        <w:t>actitud de</w:t>
      </w:r>
      <w:r>
        <w:rPr>
          <w:color w:val="231F20"/>
          <w:spacing w:val="-18"/>
          <w:w w:val="105"/>
        </w:rPr>
        <w:t> </w:t>
      </w:r>
      <w:r>
        <w:rPr>
          <w:color w:val="231F20"/>
          <w:w w:val="105"/>
        </w:rPr>
        <w:t>los</w:t>
      </w:r>
      <w:r>
        <w:rPr>
          <w:color w:val="231F20"/>
          <w:spacing w:val="-18"/>
          <w:w w:val="105"/>
        </w:rPr>
        <w:t> </w:t>
      </w:r>
      <w:r>
        <w:rPr>
          <w:color w:val="231F20"/>
          <w:w w:val="105"/>
        </w:rPr>
        <w:t>gobiernos</w:t>
      </w:r>
      <w:r>
        <w:rPr>
          <w:color w:val="231F20"/>
          <w:spacing w:val="-18"/>
          <w:w w:val="105"/>
        </w:rPr>
        <w:t> </w:t>
      </w:r>
      <w:r>
        <w:rPr>
          <w:color w:val="231F20"/>
          <w:w w:val="105"/>
        </w:rPr>
        <w:t>hacia</w:t>
      </w:r>
      <w:r>
        <w:rPr>
          <w:color w:val="231F20"/>
          <w:spacing w:val="-18"/>
          <w:w w:val="105"/>
        </w:rPr>
        <w:t> </w:t>
      </w:r>
      <w:r>
        <w:rPr>
          <w:color w:val="231F20"/>
          <w:w w:val="105"/>
        </w:rPr>
        <w:t>la</w:t>
      </w:r>
      <w:r>
        <w:rPr>
          <w:color w:val="231F20"/>
          <w:spacing w:val="-18"/>
          <w:w w:val="105"/>
        </w:rPr>
        <w:t> </w:t>
      </w:r>
      <w:r>
        <w:rPr>
          <w:color w:val="231F20"/>
          <w:spacing w:val="-3"/>
          <w:w w:val="105"/>
        </w:rPr>
        <w:t>IED,</w:t>
      </w:r>
      <w:r>
        <w:rPr>
          <w:color w:val="231F20"/>
          <w:spacing w:val="-23"/>
          <w:w w:val="105"/>
        </w:rPr>
        <w:t> </w:t>
      </w:r>
      <w:r>
        <w:rPr>
          <w:color w:val="231F20"/>
          <w:w w:val="105"/>
        </w:rPr>
        <w:t>una</w:t>
      </w:r>
      <w:r>
        <w:rPr>
          <w:color w:val="231F20"/>
          <w:spacing w:val="-18"/>
          <w:w w:val="105"/>
        </w:rPr>
        <w:t> </w:t>
      </w:r>
      <w:r>
        <w:rPr>
          <w:color w:val="231F20"/>
          <w:w w:val="105"/>
        </w:rPr>
        <w:t>mayor</w:t>
      </w:r>
      <w:r>
        <w:rPr>
          <w:color w:val="231F20"/>
          <w:spacing w:val="-18"/>
          <w:w w:val="105"/>
        </w:rPr>
        <w:t> </w:t>
      </w:r>
      <w:r>
        <w:rPr>
          <w:color w:val="231F20"/>
          <w:w w:val="105"/>
        </w:rPr>
        <w:t>preparación</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recursos</w:t>
      </w:r>
      <w:r>
        <w:rPr>
          <w:color w:val="231F20"/>
          <w:spacing w:val="-18"/>
          <w:w w:val="105"/>
        </w:rPr>
        <w:t> </w:t>
      </w:r>
      <w:r>
        <w:rPr>
          <w:color w:val="231F20"/>
          <w:w w:val="105"/>
        </w:rPr>
        <w:t>hu- manos,</w:t>
      </w:r>
      <w:r>
        <w:rPr>
          <w:color w:val="231F20"/>
          <w:spacing w:val="-29"/>
          <w:w w:val="105"/>
        </w:rPr>
        <w:t> </w:t>
      </w:r>
      <w:r>
        <w:rPr>
          <w:color w:val="231F20"/>
          <w:w w:val="105"/>
        </w:rPr>
        <w:t>las</w:t>
      </w:r>
      <w:r>
        <w:rPr>
          <w:color w:val="231F20"/>
          <w:spacing w:val="-25"/>
          <w:w w:val="105"/>
        </w:rPr>
        <w:t> </w:t>
      </w:r>
      <w:r>
        <w:rPr>
          <w:color w:val="231F20"/>
          <w:w w:val="105"/>
        </w:rPr>
        <w:t>privatizaciones</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empresas</w:t>
      </w:r>
      <w:r>
        <w:rPr>
          <w:color w:val="231F20"/>
          <w:spacing w:val="-25"/>
          <w:w w:val="105"/>
        </w:rPr>
        <w:t> </w:t>
      </w:r>
      <w:r>
        <w:rPr>
          <w:color w:val="231F20"/>
          <w:w w:val="105"/>
        </w:rPr>
        <w:t>y</w:t>
      </w:r>
      <w:r>
        <w:rPr>
          <w:color w:val="231F20"/>
          <w:spacing w:val="-25"/>
          <w:w w:val="105"/>
        </w:rPr>
        <w:t> </w:t>
      </w:r>
      <w:r>
        <w:rPr>
          <w:color w:val="231F20"/>
          <w:w w:val="105"/>
        </w:rPr>
        <w:t>sobre</w:t>
      </w:r>
      <w:r>
        <w:rPr>
          <w:color w:val="231F20"/>
          <w:spacing w:val="-25"/>
          <w:w w:val="105"/>
        </w:rPr>
        <w:t> </w:t>
      </w:r>
      <w:r>
        <w:rPr>
          <w:color w:val="231F20"/>
          <w:w w:val="105"/>
        </w:rPr>
        <w:t>todo</w:t>
      </w:r>
      <w:r>
        <w:rPr>
          <w:color w:val="231F20"/>
          <w:spacing w:val="-25"/>
          <w:w w:val="105"/>
        </w:rPr>
        <w:t> </w:t>
      </w:r>
      <w:r>
        <w:rPr>
          <w:color w:val="231F20"/>
          <w:w w:val="105"/>
        </w:rPr>
        <w:t>la</w:t>
      </w:r>
      <w:r>
        <w:rPr>
          <w:color w:val="231F20"/>
          <w:spacing w:val="-25"/>
          <w:w w:val="105"/>
        </w:rPr>
        <w:t> </w:t>
      </w:r>
      <w:r>
        <w:rPr>
          <w:color w:val="231F20"/>
          <w:w w:val="105"/>
        </w:rPr>
        <w:t>diversificación de los</w:t>
      </w:r>
      <w:r>
        <w:rPr>
          <w:color w:val="231F20"/>
          <w:spacing w:val="-42"/>
          <w:w w:val="105"/>
        </w:rPr>
        <w:t> </w:t>
      </w:r>
      <w:r>
        <w:rPr>
          <w:color w:val="231F20"/>
          <w:w w:val="105"/>
        </w:rPr>
        <w:t>mercados.</w:t>
      </w:r>
    </w:p>
    <w:p>
      <w:pPr>
        <w:pStyle w:val="BodyText"/>
        <w:rPr>
          <w:sz w:val="20"/>
        </w:rPr>
      </w:pPr>
    </w:p>
    <w:p>
      <w:pPr>
        <w:pStyle w:val="BodyText"/>
        <w:spacing w:before="7"/>
        <w:rPr>
          <w:sz w:val="18"/>
        </w:rPr>
      </w:pPr>
    </w:p>
    <w:p>
      <w:pPr>
        <w:pStyle w:val="Heading2"/>
        <w:ind w:left="115"/>
        <w:jc w:val="left"/>
      </w:pPr>
      <w:r>
        <w:rPr>
          <w:color w:val="231F20"/>
        </w:rPr>
        <w:t>Conceptos de inversión extranjera directa</w:t>
      </w:r>
    </w:p>
    <w:p>
      <w:pPr>
        <w:pStyle w:val="BodyText"/>
        <w:rPr>
          <w:b/>
          <w:sz w:val="22"/>
        </w:rPr>
      </w:pPr>
    </w:p>
    <w:p>
      <w:pPr>
        <w:pStyle w:val="BodyText"/>
        <w:spacing w:line="259" w:lineRule="auto" w:before="160"/>
        <w:ind w:right="101"/>
        <w:jc w:val="right"/>
      </w:pPr>
      <w:r>
        <w:rPr>
          <w:color w:val="231F20"/>
          <w:w w:val="105"/>
        </w:rPr>
        <w:t>Existen</w:t>
      </w:r>
      <w:r>
        <w:rPr>
          <w:color w:val="231F20"/>
          <w:spacing w:val="-27"/>
          <w:w w:val="105"/>
        </w:rPr>
        <w:t> </w:t>
      </w:r>
      <w:r>
        <w:rPr>
          <w:color w:val="231F20"/>
          <w:w w:val="105"/>
        </w:rPr>
        <w:t>distintas</w:t>
      </w:r>
      <w:r>
        <w:rPr>
          <w:color w:val="231F20"/>
          <w:spacing w:val="-27"/>
          <w:w w:val="105"/>
        </w:rPr>
        <w:t> </w:t>
      </w:r>
      <w:r>
        <w:rPr>
          <w:color w:val="231F20"/>
          <w:w w:val="105"/>
        </w:rPr>
        <w:t>definiciones</w:t>
      </w:r>
      <w:r>
        <w:rPr>
          <w:color w:val="231F20"/>
          <w:spacing w:val="-27"/>
          <w:w w:val="105"/>
        </w:rPr>
        <w:t> </w:t>
      </w:r>
      <w:r>
        <w:rPr>
          <w:color w:val="231F20"/>
          <w:w w:val="105"/>
        </w:rPr>
        <w:t>de</w:t>
      </w:r>
      <w:r>
        <w:rPr>
          <w:color w:val="231F20"/>
          <w:spacing w:val="-27"/>
          <w:w w:val="105"/>
        </w:rPr>
        <w:t> </w:t>
      </w:r>
      <w:r>
        <w:rPr>
          <w:color w:val="231F20"/>
          <w:w w:val="105"/>
        </w:rPr>
        <w:t>inversión</w:t>
      </w:r>
      <w:r>
        <w:rPr>
          <w:color w:val="231F20"/>
          <w:spacing w:val="-27"/>
          <w:w w:val="105"/>
        </w:rPr>
        <w:t> </w:t>
      </w:r>
      <w:r>
        <w:rPr>
          <w:color w:val="231F20"/>
          <w:w w:val="105"/>
        </w:rPr>
        <w:t>que</w:t>
      </w:r>
      <w:r>
        <w:rPr>
          <w:color w:val="231F20"/>
          <w:spacing w:val="-27"/>
          <w:w w:val="105"/>
        </w:rPr>
        <w:t> </w:t>
      </w:r>
      <w:r>
        <w:rPr>
          <w:color w:val="231F20"/>
          <w:w w:val="105"/>
        </w:rPr>
        <w:t>han</w:t>
      </w:r>
      <w:r>
        <w:rPr>
          <w:color w:val="231F20"/>
          <w:spacing w:val="-27"/>
          <w:w w:val="105"/>
        </w:rPr>
        <w:t> </w:t>
      </w:r>
      <w:r>
        <w:rPr>
          <w:color w:val="231F20"/>
          <w:w w:val="105"/>
        </w:rPr>
        <w:t>dado</w:t>
      </w:r>
      <w:r>
        <w:rPr>
          <w:color w:val="231F20"/>
          <w:spacing w:val="-27"/>
          <w:w w:val="105"/>
        </w:rPr>
        <w:t> </w:t>
      </w:r>
      <w:r>
        <w:rPr>
          <w:color w:val="231F20"/>
          <w:w w:val="105"/>
        </w:rPr>
        <w:t>prestigiosos</w:t>
      </w:r>
      <w:r>
        <w:rPr>
          <w:color w:val="231F20"/>
          <w:spacing w:val="-27"/>
          <w:w w:val="105"/>
        </w:rPr>
        <w:t> </w:t>
      </w:r>
      <w:r>
        <w:rPr>
          <w:color w:val="231F20"/>
          <w:w w:val="105"/>
        </w:rPr>
        <w:t>eco-</w:t>
      </w:r>
      <w:r>
        <w:rPr>
          <w:color w:val="231F20"/>
          <w:w w:val="96"/>
        </w:rPr>
        <w:t> </w:t>
      </w:r>
      <w:r>
        <w:rPr>
          <w:color w:val="231F20"/>
          <w:w w:val="105"/>
        </w:rPr>
        <w:t>nomistas;</w:t>
      </w:r>
      <w:r>
        <w:rPr>
          <w:color w:val="231F20"/>
          <w:spacing w:val="-19"/>
          <w:w w:val="105"/>
        </w:rPr>
        <w:t> </w:t>
      </w:r>
      <w:r>
        <w:rPr>
          <w:color w:val="231F20"/>
          <w:w w:val="105"/>
        </w:rPr>
        <w:t>entre</w:t>
      </w:r>
      <w:r>
        <w:rPr>
          <w:color w:val="231F20"/>
          <w:spacing w:val="-19"/>
          <w:w w:val="105"/>
        </w:rPr>
        <w:t> </w:t>
      </w:r>
      <w:r>
        <w:rPr>
          <w:color w:val="231F20"/>
          <w:w w:val="105"/>
        </w:rPr>
        <w:t>ellas</w:t>
      </w:r>
      <w:r>
        <w:rPr>
          <w:color w:val="231F20"/>
          <w:spacing w:val="-19"/>
          <w:w w:val="105"/>
        </w:rPr>
        <w:t> </w:t>
      </w:r>
      <w:r>
        <w:rPr>
          <w:color w:val="231F20"/>
          <w:w w:val="105"/>
        </w:rPr>
        <w:t>puede</w:t>
      </w:r>
      <w:r>
        <w:rPr>
          <w:color w:val="231F20"/>
          <w:spacing w:val="-19"/>
          <w:w w:val="105"/>
        </w:rPr>
        <w:t> </w:t>
      </w:r>
      <w:r>
        <w:rPr>
          <w:color w:val="231F20"/>
          <w:w w:val="105"/>
        </w:rPr>
        <w:t>citarse</w:t>
      </w:r>
      <w:r>
        <w:rPr>
          <w:color w:val="231F20"/>
          <w:spacing w:val="-19"/>
          <w:w w:val="105"/>
        </w:rPr>
        <w:t> </w:t>
      </w:r>
      <w:r>
        <w:rPr>
          <w:color w:val="231F20"/>
          <w:w w:val="105"/>
        </w:rPr>
        <w:t>a</w:t>
      </w:r>
      <w:r>
        <w:rPr>
          <w:color w:val="231F20"/>
          <w:spacing w:val="-19"/>
          <w:w w:val="105"/>
        </w:rPr>
        <w:t> </w:t>
      </w:r>
      <w:r>
        <w:rPr>
          <w:color w:val="231F20"/>
          <w:w w:val="105"/>
        </w:rPr>
        <w:t>Massé</w:t>
      </w:r>
      <w:r>
        <w:rPr>
          <w:color w:val="231F20"/>
          <w:spacing w:val="-19"/>
          <w:w w:val="105"/>
        </w:rPr>
        <w:t> </w:t>
      </w:r>
      <w:r>
        <w:rPr>
          <w:color w:val="231F20"/>
          <w:w w:val="105"/>
        </w:rPr>
        <w:t>(1960).</w:t>
      </w:r>
      <w:r>
        <w:rPr>
          <w:color w:val="231F20"/>
          <w:spacing w:val="-24"/>
          <w:w w:val="105"/>
        </w:rPr>
        <w:t> </w:t>
      </w:r>
      <w:r>
        <w:rPr>
          <w:color w:val="231F20"/>
          <w:w w:val="105"/>
        </w:rPr>
        <w:t>El</w:t>
      </w:r>
      <w:r>
        <w:rPr>
          <w:color w:val="231F20"/>
          <w:spacing w:val="-19"/>
          <w:w w:val="105"/>
        </w:rPr>
        <w:t> </w:t>
      </w:r>
      <w:r>
        <w:rPr>
          <w:color w:val="231F20"/>
          <w:w w:val="105"/>
        </w:rPr>
        <w:t>acto</w:t>
      </w:r>
      <w:r>
        <w:rPr>
          <w:color w:val="231F20"/>
          <w:spacing w:val="-19"/>
          <w:w w:val="105"/>
        </w:rPr>
        <w:t> </w:t>
      </w:r>
      <w:r>
        <w:rPr>
          <w:color w:val="231F20"/>
          <w:w w:val="105"/>
        </w:rPr>
        <w:t>de</w:t>
      </w:r>
      <w:r>
        <w:rPr>
          <w:color w:val="231F20"/>
          <w:spacing w:val="-19"/>
          <w:w w:val="105"/>
        </w:rPr>
        <w:t> </w:t>
      </w:r>
      <w:r>
        <w:rPr>
          <w:color w:val="231F20"/>
          <w:w w:val="105"/>
        </w:rPr>
        <w:t>invertir</w:t>
      </w:r>
      <w:r>
        <w:rPr>
          <w:color w:val="231F20"/>
          <w:spacing w:val="-19"/>
          <w:w w:val="105"/>
        </w:rPr>
        <w:t> </w:t>
      </w:r>
      <w:r>
        <w:rPr>
          <w:color w:val="231F20"/>
          <w:w w:val="105"/>
        </w:rPr>
        <w:t>tie-</w:t>
      </w:r>
      <w:r>
        <w:rPr>
          <w:color w:val="231F20"/>
          <w:w w:val="96"/>
        </w:rPr>
        <w:t> </w:t>
      </w:r>
      <w:r>
        <w:rPr>
          <w:color w:val="231F20"/>
          <w:w w:val="105"/>
        </w:rPr>
        <w:t>ne</w:t>
      </w:r>
      <w:r>
        <w:rPr>
          <w:color w:val="231F20"/>
          <w:spacing w:val="-28"/>
          <w:w w:val="105"/>
        </w:rPr>
        <w:t> </w:t>
      </w:r>
      <w:r>
        <w:rPr>
          <w:color w:val="231F20"/>
          <w:w w:val="105"/>
        </w:rPr>
        <w:t>lugar</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cambio</w:t>
      </w:r>
      <w:r>
        <w:rPr>
          <w:color w:val="231F20"/>
          <w:spacing w:val="-28"/>
          <w:w w:val="105"/>
        </w:rPr>
        <w:t> </w:t>
      </w:r>
      <w:r>
        <w:rPr>
          <w:color w:val="231F20"/>
          <w:w w:val="105"/>
        </w:rPr>
        <w:t>de</w:t>
      </w:r>
      <w:r>
        <w:rPr>
          <w:color w:val="231F20"/>
          <w:spacing w:val="-28"/>
          <w:w w:val="105"/>
        </w:rPr>
        <w:t> </w:t>
      </w:r>
      <w:r>
        <w:rPr>
          <w:color w:val="231F20"/>
          <w:w w:val="105"/>
        </w:rPr>
        <w:t>una</w:t>
      </w:r>
      <w:r>
        <w:rPr>
          <w:color w:val="231F20"/>
          <w:spacing w:val="-28"/>
          <w:w w:val="105"/>
        </w:rPr>
        <w:t> </w:t>
      </w:r>
      <w:r>
        <w:rPr>
          <w:color w:val="231F20"/>
          <w:w w:val="105"/>
        </w:rPr>
        <w:t>satisfacción</w:t>
      </w:r>
      <w:r>
        <w:rPr>
          <w:color w:val="231F20"/>
          <w:spacing w:val="-28"/>
          <w:w w:val="105"/>
        </w:rPr>
        <w:t> </w:t>
      </w:r>
      <w:r>
        <w:rPr>
          <w:color w:val="231F20"/>
          <w:w w:val="105"/>
        </w:rPr>
        <w:t>inmediata</w:t>
      </w:r>
      <w:r>
        <w:rPr>
          <w:color w:val="231F20"/>
          <w:spacing w:val="-28"/>
          <w:w w:val="105"/>
        </w:rPr>
        <w:t> </w:t>
      </w:r>
      <w:r>
        <w:rPr>
          <w:color w:val="231F20"/>
          <w:w w:val="105"/>
        </w:rPr>
        <w:t>y</w:t>
      </w:r>
      <w:r>
        <w:rPr>
          <w:color w:val="231F20"/>
          <w:spacing w:val="-28"/>
          <w:w w:val="105"/>
        </w:rPr>
        <w:t> </w:t>
      </w:r>
      <w:r>
        <w:rPr>
          <w:color w:val="231F20"/>
          <w:w w:val="105"/>
        </w:rPr>
        <w:t>cierta,</w:t>
      </w:r>
      <w:r>
        <w:rPr>
          <w:color w:val="231F20"/>
          <w:spacing w:val="-33"/>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re-</w:t>
      </w:r>
      <w:r>
        <w:rPr>
          <w:color w:val="231F20"/>
          <w:w w:val="96"/>
        </w:rPr>
        <w:t> </w:t>
      </w:r>
      <w:r>
        <w:rPr>
          <w:color w:val="231F20"/>
          <w:w w:val="105"/>
        </w:rPr>
        <w:t>nuncia</w:t>
      </w:r>
      <w:r>
        <w:rPr>
          <w:color w:val="231F20"/>
          <w:spacing w:val="-16"/>
          <w:w w:val="105"/>
        </w:rPr>
        <w:t> </w:t>
      </w:r>
      <w:r>
        <w:rPr>
          <w:color w:val="231F20"/>
          <w:w w:val="105"/>
        </w:rPr>
        <w:t>a</w:t>
      </w:r>
      <w:r>
        <w:rPr>
          <w:color w:val="231F20"/>
          <w:spacing w:val="-16"/>
          <w:w w:val="105"/>
        </w:rPr>
        <w:t> </w:t>
      </w:r>
      <w:r>
        <w:rPr>
          <w:color w:val="231F20"/>
          <w:w w:val="105"/>
        </w:rPr>
        <w:t>cambio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esperanza</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adquiere</w:t>
      </w:r>
      <w:r>
        <w:rPr>
          <w:color w:val="231F20"/>
          <w:spacing w:val="-16"/>
          <w:w w:val="105"/>
        </w:rPr>
        <w:t> </w:t>
      </w:r>
      <w:r>
        <w:rPr>
          <w:color w:val="231F20"/>
          <w:w w:val="105"/>
        </w:rPr>
        <w:t>y</w:t>
      </w:r>
      <w:r>
        <w:rPr>
          <w:color w:val="231F20"/>
          <w:spacing w:val="-16"/>
          <w:w w:val="105"/>
        </w:rPr>
        <w:t> </w:t>
      </w:r>
      <w:r>
        <w:rPr>
          <w:color w:val="231F20"/>
          <w:w w:val="105"/>
        </w:rPr>
        <w:t>cuyo</w:t>
      </w:r>
      <w:r>
        <w:rPr>
          <w:color w:val="231F20"/>
          <w:spacing w:val="-16"/>
          <w:w w:val="105"/>
        </w:rPr>
        <w:t> </w:t>
      </w:r>
      <w:r>
        <w:rPr>
          <w:color w:val="231F20"/>
          <w:w w:val="105"/>
        </w:rPr>
        <w:t>soporte</w:t>
      </w:r>
      <w:r>
        <w:rPr>
          <w:color w:val="231F20"/>
          <w:spacing w:val="-16"/>
          <w:w w:val="105"/>
        </w:rPr>
        <w:t> </w:t>
      </w:r>
      <w:r>
        <w:rPr>
          <w:color w:val="231F20"/>
          <w:w w:val="105"/>
        </w:rPr>
        <w:t>está</w:t>
      </w:r>
      <w:r>
        <w:rPr>
          <w:color w:val="231F20"/>
          <w:spacing w:val="-16"/>
          <w:w w:val="105"/>
        </w:rPr>
        <w:t> </w:t>
      </w:r>
      <w:r>
        <w:rPr>
          <w:color w:val="231F20"/>
          <w:w w:val="105"/>
        </w:rPr>
        <w:t>en</w:t>
      </w:r>
      <w:r>
        <w:rPr>
          <w:color w:val="231F20"/>
          <w:w w:val="103"/>
        </w:rPr>
        <w:t> </w:t>
      </w:r>
      <w:r>
        <w:rPr>
          <w:color w:val="231F20"/>
          <w:w w:val="105"/>
        </w:rPr>
        <w:t>el</w:t>
      </w:r>
      <w:r>
        <w:rPr>
          <w:color w:val="231F20"/>
          <w:spacing w:val="-7"/>
          <w:w w:val="105"/>
        </w:rPr>
        <w:t> </w:t>
      </w:r>
      <w:r>
        <w:rPr>
          <w:color w:val="231F20"/>
          <w:w w:val="105"/>
        </w:rPr>
        <w:t>bien</w:t>
      </w:r>
      <w:r>
        <w:rPr>
          <w:color w:val="231F20"/>
          <w:spacing w:val="-7"/>
          <w:w w:val="105"/>
        </w:rPr>
        <w:t> </w:t>
      </w:r>
      <w:r>
        <w:rPr>
          <w:color w:val="231F20"/>
          <w:w w:val="105"/>
        </w:rPr>
        <w:t>invertido.</w:t>
      </w:r>
      <w:r>
        <w:rPr>
          <w:color w:val="231F20"/>
          <w:spacing w:val="-14"/>
          <w:w w:val="105"/>
        </w:rPr>
        <w:t> </w:t>
      </w:r>
      <w:r>
        <w:rPr>
          <w:color w:val="231F20"/>
          <w:spacing w:val="-6"/>
          <w:w w:val="105"/>
        </w:rPr>
        <w:t>Por</w:t>
      </w:r>
      <w:r>
        <w:rPr>
          <w:color w:val="231F20"/>
          <w:spacing w:val="-7"/>
          <w:w w:val="105"/>
        </w:rPr>
        <w:t> </w:t>
      </w:r>
      <w:r>
        <w:rPr>
          <w:color w:val="231F20"/>
          <w:w w:val="105"/>
        </w:rPr>
        <w:t>tanto,</w:t>
      </w:r>
      <w:r>
        <w:rPr>
          <w:color w:val="231F20"/>
          <w:spacing w:val="-14"/>
          <w:w w:val="105"/>
        </w:rPr>
        <w:t> </w:t>
      </w:r>
      <w:r>
        <w:rPr>
          <w:color w:val="231F20"/>
          <w:w w:val="105"/>
        </w:rPr>
        <w:t>en</w:t>
      </w:r>
      <w:r>
        <w:rPr>
          <w:color w:val="231F20"/>
          <w:spacing w:val="-7"/>
          <w:w w:val="105"/>
        </w:rPr>
        <w:t> </w:t>
      </w:r>
      <w:r>
        <w:rPr>
          <w:color w:val="231F20"/>
          <w:w w:val="105"/>
        </w:rPr>
        <w:t>toda</w:t>
      </w:r>
      <w:r>
        <w:rPr>
          <w:color w:val="231F20"/>
          <w:spacing w:val="-7"/>
          <w:w w:val="105"/>
        </w:rPr>
        <w:t> </w:t>
      </w:r>
      <w:r>
        <w:rPr>
          <w:color w:val="231F20"/>
          <w:w w:val="105"/>
        </w:rPr>
        <w:t>inversión</w:t>
      </w:r>
      <w:r>
        <w:rPr>
          <w:color w:val="231F20"/>
          <w:spacing w:val="-7"/>
          <w:w w:val="105"/>
        </w:rPr>
        <w:t> </w:t>
      </w:r>
      <w:r>
        <w:rPr>
          <w:color w:val="231F20"/>
          <w:w w:val="105"/>
        </w:rPr>
        <w:t>se</w:t>
      </w:r>
      <w:r>
        <w:rPr>
          <w:color w:val="231F20"/>
          <w:spacing w:val="-7"/>
          <w:w w:val="105"/>
        </w:rPr>
        <w:t> </w:t>
      </w:r>
      <w:r>
        <w:rPr>
          <w:color w:val="231F20"/>
          <w:w w:val="105"/>
        </w:rPr>
        <w:t>produce</w:t>
      </w:r>
      <w:r>
        <w:rPr>
          <w:color w:val="231F20"/>
          <w:spacing w:val="-7"/>
          <w:w w:val="105"/>
        </w:rPr>
        <w:t> </w:t>
      </w:r>
      <w:r>
        <w:rPr>
          <w:color w:val="231F20"/>
          <w:w w:val="105"/>
        </w:rPr>
        <w:t>un</w:t>
      </w:r>
      <w:r>
        <w:rPr>
          <w:color w:val="231F20"/>
          <w:spacing w:val="-7"/>
          <w:w w:val="105"/>
        </w:rPr>
        <w:t> </w:t>
      </w:r>
      <w:r>
        <w:rPr>
          <w:color w:val="231F20"/>
          <w:w w:val="105"/>
        </w:rPr>
        <w:t>desembolso</w:t>
      </w:r>
      <w:r>
        <w:rPr>
          <w:color w:val="231F20"/>
          <w:w w:val="105"/>
        </w:rPr>
        <w:t> </w:t>
      </w:r>
      <w:r>
        <w:rPr>
          <w:color w:val="231F20"/>
          <w:w w:val="105"/>
        </w:rPr>
        <w:t>de</w:t>
      </w:r>
      <w:r>
        <w:rPr>
          <w:color w:val="231F20"/>
          <w:spacing w:val="-23"/>
          <w:w w:val="105"/>
        </w:rPr>
        <w:t> </w:t>
      </w:r>
      <w:r>
        <w:rPr>
          <w:color w:val="231F20"/>
          <w:w w:val="105"/>
        </w:rPr>
        <w:t>efectivo,</w:t>
      </w:r>
      <w:r>
        <w:rPr>
          <w:color w:val="231F20"/>
          <w:spacing w:val="-29"/>
          <w:w w:val="105"/>
        </w:rPr>
        <w:t> </w:t>
      </w:r>
      <w:r>
        <w:rPr>
          <w:color w:val="231F20"/>
          <w:w w:val="105"/>
        </w:rPr>
        <w:t>del</w:t>
      </w:r>
      <w:r>
        <w:rPr>
          <w:color w:val="231F20"/>
          <w:spacing w:val="-23"/>
          <w:w w:val="105"/>
        </w:rPr>
        <w:t> </w:t>
      </w:r>
      <w:r>
        <w:rPr>
          <w:color w:val="231F20"/>
          <w:w w:val="105"/>
        </w:rPr>
        <w:t>cual</w:t>
      </w:r>
      <w:r>
        <w:rPr>
          <w:color w:val="231F20"/>
          <w:spacing w:val="-23"/>
          <w:w w:val="105"/>
        </w:rPr>
        <w:t> </w:t>
      </w:r>
      <w:r>
        <w:rPr>
          <w:color w:val="231F20"/>
          <w:w w:val="105"/>
        </w:rPr>
        <w:t>se</w:t>
      </w:r>
      <w:r>
        <w:rPr>
          <w:color w:val="231F20"/>
          <w:spacing w:val="-23"/>
          <w:w w:val="105"/>
        </w:rPr>
        <w:t> </w:t>
      </w:r>
      <w:r>
        <w:rPr>
          <w:color w:val="231F20"/>
          <w:w w:val="105"/>
        </w:rPr>
        <w:t>espera</w:t>
      </w:r>
      <w:r>
        <w:rPr>
          <w:color w:val="231F20"/>
          <w:spacing w:val="-23"/>
          <w:w w:val="105"/>
        </w:rPr>
        <w:t> </w:t>
      </w:r>
      <w:r>
        <w:rPr>
          <w:color w:val="231F20"/>
          <w:w w:val="105"/>
        </w:rPr>
        <w:t>obtener</w:t>
      </w:r>
      <w:r>
        <w:rPr>
          <w:color w:val="231F20"/>
          <w:spacing w:val="-23"/>
          <w:w w:val="105"/>
        </w:rPr>
        <w:t> </w:t>
      </w:r>
      <w:r>
        <w:rPr>
          <w:color w:val="231F20"/>
          <w:w w:val="105"/>
        </w:rPr>
        <w:t>cantidades</w:t>
      </w:r>
      <w:r>
        <w:rPr>
          <w:color w:val="231F20"/>
          <w:spacing w:val="-23"/>
          <w:w w:val="105"/>
        </w:rPr>
        <w:t> </w:t>
      </w:r>
      <w:r>
        <w:rPr>
          <w:color w:val="231F20"/>
          <w:w w:val="105"/>
        </w:rPr>
        <w:t>superiores</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futuro.</w:t>
      </w:r>
      <w:r>
        <w:rPr>
          <w:color w:val="231F20"/>
          <w:w w:val="93"/>
        </w:rPr>
        <w:t> </w:t>
      </w:r>
      <w:r>
        <w:rPr>
          <w:color w:val="231F20"/>
          <w:spacing w:val="-3"/>
          <w:w w:val="105"/>
        </w:rPr>
        <w:t>Peumans</w:t>
      </w:r>
      <w:r>
        <w:rPr>
          <w:color w:val="231F20"/>
          <w:spacing w:val="-20"/>
          <w:w w:val="105"/>
        </w:rPr>
        <w:t> </w:t>
      </w:r>
      <w:r>
        <w:rPr>
          <w:color w:val="231F20"/>
          <w:w w:val="105"/>
        </w:rPr>
        <w:t>(1967)</w:t>
      </w:r>
      <w:r>
        <w:rPr>
          <w:color w:val="231F20"/>
          <w:spacing w:val="-20"/>
          <w:w w:val="105"/>
        </w:rPr>
        <w:t> </w:t>
      </w:r>
      <w:r>
        <w:rPr>
          <w:color w:val="231F20"/>
          <w:w w:val="105"/>
        </w:rPr>
        <w:t>menciona</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inversión</w:t>
      </w:r>
      <w:r>
        <w:rPr>
          <w:color w:val="231F20"/>
          <w:spacing w:val="-20"/>
          <w:w w:val="105"/>
        </w:rPr>
        <w:t> </w:t>
      </w:r>
      <w:r>
        <w:rPr>
          <w:color w:val="231F20"/>
          <w:w w:val="105"/>
        </w:rPr>
        <w:t>es</w:t>
      </w:r>
      <w:r>
        <w:rPr>
          <w:color w:val="231F20"/>
          <w:spacing w:val="-20"/>
          <w:w w:val="105"/>
        </w:rPr>
        <w:t> </w:t>
      </w:r>
      <w:r>
        <w:rPr>
          <w:color w:val="231F20"/>
          <w:w w:val="105"/>
        </w:rPr>
        <w:t>todo</w:t>
      </w:r>
      <w:r>
        <w:rPr>
          <w:color w:val="231F20"/>
          <w:spacing w:val="-20"/>
          <w:w w:val="105"/>
        </w:rPr>
        <w:t> </w:t>
      </w:r>
      <w:r>
        <w:rPr>
          <w:color w:val="231F20"/>
          <w:w w:val="105"/>
        </w:rPr>
        <w:t>desembolso</w:t>
      </w:r>
      <w:r>
        <w:rPr>
          <w:color w:val="231F20"/>
          <w:spacing w:val="-20"/>
          <w:w w:val="105"/>
        </w:rPr>
        <w:t> </w:t>
      </w:r>
      <w:r>
        <w:rPr>
          <w:color w:val="231F20"/>
          <w:w w:val="105"/>
        </w:rPr>
        <w:t>de</w:t>
      </w:r>
      <w:r>
        <w:rPr>
          <w:color w:val="231F20"/>
          <w:w w:val="108"/>
        </w:rPr>
        <w:t> </w:t>
      </w:r>
      <w:r>
        <w:rPr>
          <w:color w:val="231F20"/>
          <w:w w:val="105"/>
        </w:rPr>
        <w:t>recursos</w:t>
      </w:r>
      <w:r>
        <w:rPr>
          <w:color w:val="231F20"/>
          <w:spacing w:val="-28"/>
          <w:w w:val="105"/>
        </w:rPr>
        <w:t> </w:t>
      </w:r>
      <w:r>
        <w:rPr>
          <w:color w:val="231F20"/>
          <w:w w:val="105"/>
        </w:rPr>
        <w:t>financieros</w:t>
      </w:r>
      <w:r>
        <w:rPr>
          <w:color w:val="231F20"/>
          <w:spacing w:val="-28"/>
          <w:w w:val="105"/>
        </w:rPr>
        <w:t> </w:t>
      </w:r>
      <w:r>
        <w:rPr>
          <w:color w:val="231F20"/>
          <w:w w:val="105"/>
        </w:rPr>
        <w:t>para</w:t>
      </w:r>
      <w:r>
        <w:rPr>
          <w:color w:val="231F20"/>
          <w:spacing w:val="-28"/>
          <w:w w:val="105"/>
        </w:rPr>
        <w:t> </w:t>
      </w:r>
      <w:r>
        <w:rPr>
          <w:color w:val="231F20"/>
          <w:w w:val="105"/>
        </w:rPr>
        <w:t>adquirir</w:t>
      </w:r>
      <w:r>
        <w:rPr>
          <w:color w:val="231F20"/>
          <w:spacing w:val="-28"/>
          <w:w w:val="105"/>
        </w:rPr>
        <w:t> </w:t>
      </w:r>
      <w:r>
        <w:rPr>
          <w:color w:val="231F20"/>
          <w:w w:val="105"/>
        </w:rPr>
        <w:t>bienes</w:t>
      </w:r>
      <w:r>
        <w:rPr>
          <w:color w:val="231F20"/>
          <w:spacing w:val="-28"/>
          <w:w w:val="105"/>
        </w:rPr>
        <w:t> </w:t>
      </w:r>
      <w:r>
        <w:rPr>
          <w:color w:val="231F20"/>
          <w:w w:val="105"/>
        </w:rPr>
        <w:t>concretos</w:t>
      </w:r>
      <w:r>
        <w:rPr>
          <w:color w:val="231F20"/>
          <w:spacing w:val="-28"/>
          <w:w w:val="105"/>
        </w:rPr>
        <w:t> </w:t>
      </w:r>
      <w:r>
        <w:rPr>
          <w:color w:val="231F20"/>
          <w:w w:val="105"/>
        </w:rPr>
        <w:t>durables</w:t>
      </w:r>
      <w:r>
        <w:rPr>
          <w:color w:val="231F20"/>
          <w:spacing w:val="-28"/>
          <w:w w:val="105"/>
        </w:rPr>
        <w:t> </w:t>
      </w:r>
      <w:r>
        <w:rPr>
          <w:color w:val="231F20"/>
          <w:w w:val="105"/>
        </w:rPr>
        <w:t>o</w:t>
      </w:r>
      <w:r>
        <w:rPr>
          <w:color w:val="231F20"/>
          <w:spacing w:val="-28"/>
          <w:w w:val="105"/>
        </w:rPr>
        <w:t> </w:t>
      </w:r>
      <w:r>
        <w:rPr>
          <w:color w:val="231F20"/>
          <w:w w:val="105"/>
        </w:rPr>
        <w:t>instrumen-</w:t>
      </w:r>
      <w:r>
        <w:rPr>
          <w:color w:val="231F20"/>
          <w:w w:val="96"/>
        </w:rPr>
        <w:t> </w:t>
      </w:r>
      <w:r>
        <w:rPr>
          <w:color w:val="231F20"/>
          <w:w w:val="105"/>
        </w:rPr>
        <w:t>tos</w:t>
      </w:r>
      <w:r>
        <w:rPr>
          <w:color w:val="231F20"/>
          <w:spacing w:val="-13"/>
          <w:w w:val="105"/>
        </w:rPr>
        <w:t> </w:t>
      </w:r>
      <w:r>
        <w:rPr>
          <w:color w:val="231F20"/>
          <w:w w:val="105"/>
        </w:rPr>
        <w:t>de</w:t>
      </w:r>
      <w:r>
        <w:rPr>
          <w:color w:val="231F20"/>
          <w:spacing w:val="-13"/>
          <w:w w:val="105"/>
        </w:rPr>
        <w:t> </w:t>
      </w:r>
      <w:r>
        <w:rPr>
          <w:color w:val="231F20"/>
          <w:w w:val="105"/>
        </w:rPr>
        <w:t>producción,</w:t>
      </w:r>
      <w:r>
        <w:rPr>
          <w:color w:val="231F20"/>
          <w:spacing w:val="-19"/>
          <w:w w:val="105"/>
        </w:rPr>
        <w:t> </w:t>
      </w:r>
      <w:r>
        <w:rPr>
          <w:color w:val="231F20"/>
          <w:w w:val="105"/>
        </w:rPr>
        <w:t>denominados</w:t>
      </w:r>
      <w:r>
        <w:rPr>
          <w:color w:val="231F20"/>
          <w:spacing w:val="-13"/>
          <w:w w:val="105"/>
        </w:rPr>
        <w:t> </w:t>
      </w:r>
      <w:r>
        <w:rPr>
          <w:color w:val="231F20"/>
          <w:w w:val="105"/>
        </w:rPr>
        <w:t>bienes</w:t>
      </w:r>
      <w:r>
        <w:rPr>
          <w:color w:val="231F20"/>
          <w:spacing w:val="-13"/>
          <w:w w:val="105"/>
        </w:rPr>
        <w:t> </w:t>
      </w:r>
      <w:r>
        <w:rPr>
          <w:color w:val="231F20"/>
          <w:w w:val="105"/>
        </w:rPr>
        <w:t>de</w:t>
      </w:r>
      <w:r>
        <w:rPr>
          <w:color w:val="231F20"/>
          <w:spacing w:val="-13"/>
          <w:w w:val="105"/>
        </w:rPr>
        <w:t> </w:t>
      </w:r>
      <w:r>
        <w:rPr>
          <w:color w:val="231F20"/>
          <w:w w:val="105"/>
        </w:rPr>
        <w:t>equipo,</w:t>
      </w:r>
      <w:r>
        <w:rPr>
          <w:color w:val="231F20"/>
          <w:spacing w:val="-19"/>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empresa</w:t>
      </w:r>
      <w:r>
        <w:rPr>
          <w:color w:val="231F20"/>
          <w:spacing w:val="-13"/>
          <w:w w:val="105"/>
        </w:rPr>
        <w:t> </w:t>
      </w:r>
      <w:r>
        <w:rPr>
          <w:color w:val="231F20"/>
          <w:w w:val="105"/>
        </w:rPr>
        <w:t>uti-</w:t>
      </w:r>
      <w:r>
        <w:rPr>
          <w:color w:val="231F20"/>
          <w:w w:val="96"/>
        </w:rPr>
        <w:t> </w:t>
      </w:r>
      <w:r>
        <w:rPr>
          <w:color w:val="231F20"/>
          <w:w w:val="105"/>
        </w:rPr>
        <w:t>lizará</w:t>
      </w:r>
      <w:r>
        <w:rPr>
          <w:color w:val="231F20"/>
          <w:spacing w:val="-16"/>
          <w:w w:val="105"/>
        </w:rPr>
        <w:t> </w:t>
      </w:r>
      <w:r>
        <w:rPr>
          <w:color w:val="231F20"/>
          <w:w w:val="105"/>
        </w:rPr>
        <w:t>durante</w:t>
      </w:r>
      <w:r>
        <w:rPr>
          <w:color w:val="231F20"/>
          <w:spacing w:val="-15"/>
          <w:w w:val="105"/>
        </w:rPr>
        <w:t> </w:t>
      </w:r>
      <w:r>
        <w:rPr>
          <w:color w:val="231F20"/>
          <w:w w:val="105"/>
        </w:rPr>
        <w:t>varios</w:t>
      </w:r>
      <w:r>
        <w:rPr>
          <w:color w:val="231F20"/>
          <w:spacing w:val="-15"/>
          <w:w w:val="105"/>
        </w:rPr>
        <w:t> </w:t>
      </w:r>
      <w:r>
        <w:rPr>
          <w:color w:val="231F20"/>
          <w:w w:val="105"/>
        </w:rPr>
        <w:t>años</w:t>
      </w:r>
      <w:r>
        <w:rPr>
          <w:color w:val="231F20"/>
          <w:spacing w:val="-16"/>
          <w:w w:val="105"/>
        </w:rPr>
        <w:t> </w:t>
      </w:r>
      <w:r>
        <w:rPr>
          <w:color w:val="231F20"/>
          <w:w w:val="105"/>
        </w:rPr>
        <w:t>para</w:t>
      </w:r>
      <w:r>
        <w:rPr>
          <w:color w:val="231F20"/>
          <w:spacing w:val="-15"/>
          <w:w w:val="105"/>
        </w:rPr>
        <w:t> </w:t>
      </w:r>
      <w:r>
        <w:rPr>
          <w:color w:val="231F20"/>
          <w:w w:val="105"/>
        </w:rPr>
        <w:t>cumplir</w:t>
      </w:r>
      <w:r>
        <w:rPr>
          <w:color w:val="231F20"/>
          <w:spacing w:val="-16"/>
          <w:w w:val="105"/>
        </w:rPr>
        <w:t> </w:t>
      </w:r>
      <w:r>
        <w:rPr>
          <w:color w:val="231F20"/>
          <w:w w:val="105"/>
        </w:rPr>
        <w:t>su</w:t>
      </w:r>
      <w:r>
        <w:rPr>
          <w:color w:val="231F20"/>
          <w:spacing w:val="-15"/>
          <w:w w:val="105"/>
        </w:rPr>
        <w:t> </w:t>
      </w:r>
      <w:r>
        <w:rPr>
          <w:color w:val="231F20"/>
          <w:w w:val="105"/>
        </w:rPr>
        <w:t>objeto</w:t>
      </w:r>
      <w:r>
        <w:rPr>
          <w:color w:val="231F20"/>
          <w:spacing w:val="-15"/>
          <w:w w:val="105"/>
        </w:rPr>
        <w:t> </w:t>
      </w:r>
      <w:r>
        <w:rPr>
          <w:color w:val="231F20"/>
          <w:w w:val="105"/>
        </w:rPr>
        <w:t>social.</w:t>
      </w:r>
      <w:r>
        <w:rPr>
          <w:color w:val="231F20"/>
          <w:spacing w:val="-20"/>
          <w:w w:val="105"/>
        </w:rPr>
        <w:t> </w:t>
      </w:r>
      <w:r>
        <w:rPr>
          <w:color w:val="231F20"/>
          <w:w w:val="105"/>
        </w:rPr>
        <w:t>Desde</w:t>
      </w:r>
      <w:r>
        <w:rPr>
          <w:color w:val="231F20"/>
          <w:spacing w:val="-16"/>
          <w:w w:val="105"/>
        </w:rPr>
        <w:t> </w:t>
      </w:r>
      <w:r>
        <w:rPr>
          <w:color w:val="231F20"/>
          <w:w w:val="105"/>
        </w:rPr>
        <w:t>una</w:t>
      </w:r>
      <w:r>
        <w:rPr>
          <w:color w:val="231F20"/>
          <w:spacing w:val="-15"/>
          <w:w w:val="105"/>
        </w:rPr>
        <w:t> </w:t>
      </w:r>
      <w:r>
        <w:rPr>
          <w:color w:val="231F20"/>
          <w:w w:val="105"/>
        </w:rPr>
        <w:t>pers-</w:t>
      </w:r>
      <w:r>
        <w:rPr>
          <w:color w:val="231F20"/>
          <w:w w:val="96"/>
        </w:rPr>
        <w:t> </w:t>
      </w:r>
      <w:r>
        <w:rPr>
          <w:color w:val="231F20"/>
          <w:w w:val="105"/>
        </w:rPr>
        <w:t>pectiva económica, la inversión puede ser apreciada desde dos</w:t>
      </w:r>
      <w:r>
        <w:rPr>
          <w:color w:val="231F20"/>
          <w:spacing w:val="-8"/>
          <w:w w:val="105"/>
        </w:rPr>
        <w:t> </w:t>
      </w:r>
      <w:r>
        <w:rPr>
          <w:color w:val="231F20"/>
          <w:w w:val="105"/>
        </w:rPr>
        <w:t>ópticas</w:t>
      </w:r>
    </w:p>
    <w:p>
      <w:pPr>
        <w:pStyle w:val="BodyText"/>
        <w:spacing w:line="241" w:lineRule="exact"/>
        <w:ind w:left="115"/>
      </w:pPr>
      <w:r>
        <w:rPr>
          <w:color w:val="231F20"/>
        </w:rPr>
        <w:t>(Muñoz, 2002):</w:t>
      </w:r>
    </w:p>
    <w:p>
      <w:pPr>
        <w:pStyle w:val="BodyText"/>
        <w:rPr>
          <w:sz w:val="20"/>
        </w:rPr>
      </w:pPr>
    </w:p>
    <w:p>
      <w:pPr>
        <w:pStyle w:val="BodyText"/>
        <w:spacing w:before="7"/>
        <w:rPr>
          <w:sz w:val="26"/>
        </w:rPr>
      </w:pPr>
    </w:p>
    <w:p>
      <w:pPr>
        <w:tabs>
          <w:tab w:pos="1357" w:val="left" w:leader="none"/>
        </w:tabs>
        <w:spacing w:before="71"/>
        <w:ind w:left="252" w:right="0" w:firstLine="0"/>
        <w:jc w:val="left"/>
        <w:rPr>
          <w:rFonts w:ascii="Calibri" w:hAnsi="Calibri"/>
          <w:sz w:val="15"/>
        </w:rPr>
      </w:pPr>
      <w:r>
        <w:rPr/>
        <w:pict>
          <v:group style="position:absolute;margin-left:101.817299pt;margin-top:-16.749887pt;width:17.850pt;height:56.5pt;mso-position-horizontal-relative:page;mso-position-vertical-relative:paragraph;z-index:-238360"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264</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280" w:bottom="0" w:left="1160" w:right="128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336"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265</w:t>
      </w:r>
    </w:p>
    <w:p>
      <w:pPr>
        <w:pStyle w:val="BodyText"/>
        <w:rPr>
          <w:sz w:val="20"/>
        </w:rPr>
      </w:pPr>
    </w:p>
    <w:p>
      <w:pPr>
        <w:pStyle w:val="BodyText"/>
        <w:spacing w:before="2"/>
        <w:rPr>
          <w:sz w:val="29"/>
        </w:rPr>
      </w:pPr>
    </w:p>
    <w:p>
      <w:pPr>
        <w:pStyle w:val="ListParagraph"/>
        <w:numPr>
          <w:ilvl w:val="1"/>
          <w:numId w:val="58"/>
        </w:numPr>
        <w:tabs>
          <w:tab w:pos="1328" w:val="left" w:leader="none"/>
        </w:tabs>
        <w:spacing w:line="259" w:lineRule="auto" w:before="0" w:after="0"/>
        <w:ind w:left="1327" w:right="121" w:hanging="360"/>
        <w:jc w:val="both"/>
        <w:rPr>
          <w:sz w:val="21"/>
        </w:rPr>
      </w:pPr>
      <w:r>
        <w:rPr>
          <w:color w:val="231F20"/>
          <w:w w:val="105"/>
          <w:sz w:val="21"/>
        </w:rPr>
        <w:t>La estricta: es considerada como un desembolso de</w:t>
      </w:r>
      <w:r>
        <w:rPr>
          <w:color w:val="231F20"/>
          <w:spacing w:val="-34"/>
          <w:w w:val="105"/>
          <w:sz w:val="21"/>
        </w:rPr>
        <w:t> </w:t>
      </w:r>
      <w:r>
        <w:rPr>
          <w:color w:val="231F20"/>
          <w:w w:val="105"/>
          <w:sz w:val="21"/>
        </w:rPr>
        <w:t>recur- sos financieros para adquirir bienes concretos duraderos</w:t>
      </w:r>
      <w:r>
        <w:rPr>
          <w:color w:val="231F20"/>
          <w:spacing w:val="-36"/>
          <w:w w:val="105"/>
          <w:sz w:val="21"/>
        </w:rPr>
        <w:t> </w:t>
      </w:r>
      <w:r>
        <w:rPr>
          <w:color w:val="231F20"/>
          <w:w w:val="105"/>
          <w:sz w:val="21"/>
        </w:rPr>
        <w:t>o instrumentos de producción como los bienes de equipo, y que</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empresa</w:t>
      </w:r>
      <w:r>
        <w:rPr>
          <w:color w:val="231F20"/>
          <w:spacing w:val="-23"/>
          <w:w w:val="105"/>
          <w:sz w:val="21"/>
        </w:rPr>
        <w:t> </w:t>
      </w:r>
      <w:r>
        <w:rPr>
          <w:color w:val="231F20"/>
          <w:w w:val="105"/>
          <w:sz w:val="21"/>
        </w:rPr>
        <w:t>utilizará</w:t>
      </w:r>
      <w:r>
        <w:rPr>
          <w:color w:val="231F20"/>
          <w:spacing w:val="-23"/>
          <w:w w:val="105"/>
          <w:sz w:val="21"/>
        </w:rPr>
        <w:t> </w:t>
      </w:r>
      <w:r>
        <w:rPr>
          <w:color w:val="231F20"/>
          <w:w w:val="105"/>
          <w:sz w:val="21"/>
        </w:rPr>
        <w:t>durante</w:t>
      </w:r>
      <w:r>
        <w:rPr>
          <w:color w:val="231F20"/>
          <w:spacing w:val="-23"/>
          <w:w w:val="105"/>
          <w:sz w:val="21"/>
        </w:rPr>
        <w:t> </w:t>
      </w:r>
      <w:r>
        <w:rPr>
          <w:color w:val="231F20"/>
          <w:w w:val="105"/>
          <w:sz w:val="21"/>
        </w:rPr>
        <w:t>varios</w:t>
      </w:r>
      <w:r>
        <w:rPr>
          <w:color w:val="231F20"/>
          <w:spacing w:val="-23"/>
          <w:w w:val="105"/>
          <w:sz w:val="21"/>
        </w:rPr>
        <w:t> </w:t>
      </w:r>
      <w:r>
        <w:rPr>
          <w:color w:val="231F20"/>
          <w:w w:val="105"/>
          <w:sz w:val="21"/>
        </w:rPr>
        <w:t>años</w:t>
      </w:r>
      <w:r>
        <w:rPr>
          <w:color w:val="231F20"/>
          <w:spacing w:val="-23"/>
          <w:w w:val="105"/>
          <w:sz w:val="21"/>
        </w:rPr>
        <w:t> </w:t>
      </w:r>
      <w:r>
        <w:rPr>
          <w:color w:val="231F20"/>
          <w:w w:val="105"/>
          <w:sz w:val="21"/>
        </w:rPr>
        <w:t>para</w:t>
      </w:r>
      <w:r>
        <w:rPr>
          <w:color w:val="231F20"/>
          <w:spacing w:val="-23"/>
          <w:w w:val="105"/>
          <w:sz w:val="21"/>
        </w:rPr>
        <w:t> </w:t>
      </w:r>
      <w:r>
        <w:rPr>
          <w:color w:val="231F20"/>
          <w:w w:val="105"/>
          <w:sz w:val="21"/>
        </w:rPr>
        <w:t>cumplir</w:t>
      </w:r>
      <w:r>
        <w:rPr>
          <w:color w:val="231F20"/>
          <w:spacing w:val="-23"/>
          <w:w w:val="105"/>
          <w:sz w:val="21"/>
        </w:rPr>
        <w:t> </w:t>
      </w:r>
      <w:r>
        <w:rPr>
          <w:color w:val="231F20"/>
          <w:w w:val="105"/>
          <w:sz w:val="21"/>
        </w:rPr>
        <w:t>su objeto</w:t>
      </w:r>
      <w:r>
        <w:rPr>
          <w:color w:val="231F20"/>
          <w:spacing w:val="-7"/>
          <w:w w:val="105"/>
          <w:sz w:val="21"/>
        </w:rPr>
        <w:t> </w:t>
      </w:r>
      <w:r>
        <w:rPr>
          <w:color w:val="231F20"/>
          <w:w w:val="105"/>
          <w:sz w:val="21"/>
        </w:rPr>
        <w:t>social.</w:t>
      </w:r>
    </w:p>
    <w:p>
      <w:pPr>
        <w:pStyle w:val="ListParagraph"/>
        <w:numPr>
          <w:ilvl w:val="1"/>
          <w:numId w:val="58"/>
        </w:numPr>
        <w:tabs>
          <w:tab w:pos="1328" w:val="left" w:leader="none"/>
        </w:tabs>
        <w:spacing w:line="259" w:lineRule="auto" w:before="170" w:after="0"/>
        <w:ind w:left="1327" w:right="115" w:hanging="360"/>
        <w:jc w:val="both"/>
        <w:rPr>
          <w:sz w:val="21"/>
        </w:rPr>
      </w:pPr>
      <w:r>
        <w:rPr>
          <w:color w:val="231F20"/>
          <w:sz w:val="21"/>
        </w:rPr>
        <w:t>La amplia: equivale a cualquier destino dado a los medios financieros y comprende tanto el pago de deudas y gastos,  la adquisición de materias primas, la compra de bienes de equipo, e instalaciones, entre </w:t>
      </w:r>
      <w:r>
        <w:rPr>
          <w:color w:val="231F20"/>
          <w:spacing w:val="13"/>
          <w:sz w:val="21"/>
        </w:rPr>
        <w:t> </w:t>
      </w:r>
      <w:r>
        <w:rPr>
          <w:color w:val="231F20"/>
          <w:sz w:val="21"/>
        </w:rPr>
        <w:t>otros.</w:t>
      </w:r>
    </w:p>
    <w:p>
      <w:pPr>
        <w:pStyle w:val="BodyText"/>
        <w:rPr>
          <w:sz w:val="20"/>
        </w:rPr>
      </w:pPr>
    </w:p>
    <w:p>
      <w:pPr>
        <w:pStyle w:val="BodyText"/>
        <w:spacing w:before="4"/>
        <w:rPr>
          <w:sz w:val="17"/>
        </w:rPr>
      </w:pPr>
    </w:p>
    <w:p>
      <w:pPr>
        <w:pStyle w:val="BodyText"/>
        <w:spacing w:line="259" w:lineRule="auto"/>
        <w:ind w:left="117" w:right="121"/>
        <w:jc w:val="both"/>
      </w:pPr>
      <w:r>
        <w:rPr>
          <w:color w:val="231F20"/>
          <w:w w:val="105"/>
        </w:rPr>
        <w:t>La inversión como tal, tiene dos orígenes: nacional y extranjera; para fines</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trabajo</w:t>
      </w:r>
      <w:r>
        <w:rPr>
          <w:color w:val="231F20"/>
          <w:spacing w:val="-24"/>
          <w:w w:val="105"/>
        </w:rPr>
        <w:t> </w:t>
      </w:r>
      <w:r>
        <w:rPr>
          <w:color w:val="231F20"/>
          <w:w w:val="105"/>
        </w:rPr>
        <w:t>de</w:t>
      </w:r>
      <w:r>
        <w:rPr>
          <w:color w:val="231F20"/>
          <w:spacing w:val="-24"/>
          <w:w w:val="105"/>
        </w:rPr>
        <w:t> </w:t>
      </w:r>
      <w:r>
        <w:rPr>
          <w:color w:val="231F20"/>
          <w:w w:val="105"/>
        </w:rPr>
        <w:t>investigación</w:t>
      </w:r>
      <w:r>
        <w:rPr>
          <w:color w:val="231F20"/>
          <w:spacing w:val="-24"/>
          <w:w w:val="105"/>
        </w:rPr>
        <w:t> </w:t>
      </w:r>
      <w:r>
        <w:rPr>
          <w:color w:val="231F20"/>
          <w:w w:val="105"/>
        </w:rPr>
        <w:t>se</w:t>
      </w:r>
      <w:r>
        <w:rPr>
          <w:color w:val="231F20"/>
          <w:spacing w:val="-24"/>
          <w:w w:val="105"/>
        </w:rPr>
        <w:t> </w:t>
      </w:r>
      <w:r>
        <w:rPr>
          <w:color w:val="231F20"/>
          <w:w w:val="105"/>
        </w:rPr>
        <w:t>centrará</w:t>
      </w:r>
      <w:r>
        <w:rPr>
          <w:color w:val="231F20"/>
          <w:spacing w:val="-24"/>
          <w:w w:val="105"/>
        </w:rPr>
        <w:t> </w:t>
      </w:r>
      <w:r>
        <w:rPr>
          <w:color w:val="231F20"/>
          <w:w w:val="105"/>
        </w:rPr>
        <w:t>en</w:t>
      </w:r>
      <w:r>
        <w:rPr>
          <w:color w:val="231F20"/>
          <w:spacing w:val="-24"/>
          <w:w w:val="105"/>
        </w:rPr>
        <w:t> </w:t>
      </w:r>
      <w:r>
        <w:rPr>
          <w:color w:val="231F20"/>
          <w:w w:val="105"/>
        </w:rPr>
        <w:t>esta</w:t>
      </w:r>
      <w:r>
        <w:rPr>
          <w:color w:val="231F20"/>
          <w:spacing w:val="-24"/>
          <w:w w:val="105"/>
        </w:rPr>
        <w:t> </w:t>
      </w:r>
      <w:r>
        <w:rPr>
          <w:color w:val="231F20"/>
          <w:w w:val="105"/>
        </w:rPr>
        <w:t>última.</w:t>
      </w:r>
      <w:r>
        <w:rPr>
          <w:color w:val="231F20"/>
          <w:spacing w:val="-30"/>
          <w:w w:val="105"/>
        </w:rPr>
        <w:t> </w:t>
      </w:r>
      <w:r>
        <w:rPr>
          <w:color w:val="231F20"/>
          <w:w w:val="105"/>
        </w:rPr>
        <w:t>La</w:t>
      </w:r>
      <w:r>
        <w:rPr>
          <w:color w:val="231F20"/>
          <w:spacing w:val="-24"/>
          <w:w w:val="105"/>
        </w:rPr>
        <w:t> </w:t>
      </w:r>
      <w:r>
        <w:rPr>
          <w:color w:val="231F20"/>
          <w:w w:val="105"/>
        </w:rPr>
        <w:t>inver- sión</w:t>
      </w:r>
      <w:r>
        <w:rPr>
          <w:color w:val="231F20"/>
          <w:spacing w:val="-19"/>
          <w:w w:val="105"/>
        </w:rPr>
        <w:t> </w:t>
      </w:r>
      <w:r>
        <w:rPr>
          <w:color w:val="231F20"/>
          <w:w w:val="105"/>
        </w:rPr>
        <w:t>extranjera</w:t>
      </w:r>
      <w:r>
        <w:rPr>
          <w:color w:val="231F20"/>
          <w:spacing w:val="-19"/>
          <w:w w:val="105"/>
        </w:rPr>
        <w:t> </w:t>
      </w:r>
      <w:r>
        <w:rPr>
          <w:color w:val="231F20"/>
          <w:w w:val="105"/>
        </w:rPr>
        <w:t>(IE)</w:t>
      </w:r>
      <w:r>
        <w:rPr>
          <w:color w:val="231F20"/>
          <w:spacing w:val="-19"/>
          <w:w w:val="105"/>
        </w:rPr>
        <w:t> </w:t>
      </w:r>
      <w:r>
        <w:rPr>
          <w:color w:val="231F20"/>
          <w:w w:val="105"/>
        </w:rPr>
        <w:t>se</w:t>
      </w:r>
      <w:r>
        <w:rPr>
          <w:color w:val="231F20"/>
          <w:spacing w:val="-19"/>
          <w:w w:val="105"/>
        </w:rPr>
        <w:t> </w:t>
      </w:r>
      <w:r>
        <w:rPr>
          <w:color w:val="231F20"/>
          <w:w w:val="105"/>
        </w:rPr>
        <w:t>ha</w:t>
      </w:r>
      <w:r>
        <w:rPr>
          <w:color w:val="231F20"/>
          <w:spacing w:val="-19"/>
          <w:w w:val="105"/>
        </w:rPr>
        <w:t> </w:t>
      </w:r>
      <w:r>
        <w:rPr>
          <w:color w:val="231F20"/>
          <w:w w:val="105"/>
        </w:rPr>
        <w:t>definido</w:t>
      </w:r>
      <w:r>
        <w:rPr>
          <w:color w:val="231F20"/>
          <w:spacing w:val="-19"/>
          <w:w w:val="105"/>
        </w:rPr>
        <w:t> </w:t>
      </w:r>
      <w:r>
        <w:rPr>
          <w:color w:val="231F20"/>
          <w:w w:val="105"/>
        </w:rPr>
        <w:t>como</w:t>
      </w:r>
      <w:r>
        <w:rPr>
          <w:color w:val="231F20"/>
          <w:spacing w:val="-19"/>
          <w:w w:val="105"/>
        </w:rPr>
        <w:t> </w:t>
      </w:r>
      <w:r>
        <w:rPr>
          <w:color w:val="231F20"/>
          <w:w w:val="105"/>
        </w:rPr>
        <w:t>aquélla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cual</w:t>
      </w:r>
      <w:r>
        <w:rPr>
          <w:color w:val="231F20"/>
          <w:spacing w:val="-19"/>
          <w:w w:val="105"/>
        </w:rPr>
        <w:t> </w:t>
      </w:r>
      <w:r>
        <w:rPr>
          <w:color w:val="231F20"/>
          <w:w w:val="105"/>
        </w:rPr>
        <w:t>una</w:t>
      </w:r>
      <w:r>
        <w:rPr>
          <w:color w:val="231F20"/>
          <w:spacing w:val="-19"/>
          <w:w w:val="105"/>
        </w:rPr>
        <w:t> </w:t>
      </w:r>
      <w:r>
        <w:rPr>
          <w:color w:val="231F20"/>
          <w:w w:val="105"/>
        </w:rPr>
        <w:t>persona</w:t>
      </w:r>
      <w:r>
        <w:rPr>
          <w:color w:val="231F20"/>
          <w:spacing w:val="-19"/>
          <w:w w:val="105"/>
        </w:rPr>
        <w:t> </w:t>
      </w:r>
      <w:r>
        <w:rPr>
          <w:color w:val="231F20"/>
          <w:w w:val="105"/>
        </w:rPr>
        <w:t>o sociedad tiene interés a largo plazo y cierto nivel de influencia sobre la administración</w:t>
      </w:r>
      <w:r>
        <w:rPr>
          <w:color w:val="231F20"/>
          <w:spacing w:val="-24"/>
          <w:w w:val="105"/>
        </w:rPr>
        <w:t> </w:t>
      </w:r>
      <w:r>
        <w:rPr>
          <w:color w:val="231F20"/>
          <w:w w:val="105"/>
        </w:rPr>
        <w:t>de</w:t>
      </w:r>
      <w:r>
        <w:rPr>
          <w:color w:val="231F20"/>
          <w:spacing w:val="-24"/>
          <w:w w:val="105"/>
        </w:rPr>
        <w:t> </w:t>
      </w:r>
      <w:r>
        <w:rPr>
          <w:color w:val="231F20"/>
          <w:w w:val="105"/>
        </w:rPr>
        <w:t>una</w:t>
      </w:r>
      <w:r>
        <w:rPr>
          <w:color w:val="231F20"/>
          <w:spacing w:val="-24"/>
          <w:w w:val="105"/>
        </w:rPr>
        <w:t> </w:t>
      </w:r>
      <w:r>
        <w:rPr>
          <w:color w:val="231F20"/>
          <w:w w:val="105"/>
        </w:rPr>
        <w:t>sociedad</w:t>
      </w:r>
      <w:r>
        <w:rPr>
          <w:color w:val="231F20"/>
          <w:spacing w:val="-24"/>
          <w:w w:val="105"/>
        </w:rPr>
        <w:t> </w:t>
      </w:r>
      <w:r>
        <w:rPr>
          <w:color w:val="231F20"/>
          <w:w w:val="105"/>
        </w:rPr>
        <w:t>en</w:t>
      </w:r>
      <w:r>
        <w:rPr>
          <w:color w:val="231F20"/>
          <w:spacing w:val="-24"/>
          <w:w w:val="105"/>
        </w:rPr>
        <w:t> </w:t>
      </w:r>
      <w:r>
        <w:rPr>
          <w:color w:val="231F20"/>
          <w:w w:val="105"/>
        </w:rPr>
        <w:t>otra</w:t>
      </w:r>
      <w:r>
        <w:rPr>
          <w:color w:val="231F20"/>
          <w:spacing w:val="-24"/>
          <w:w w:val="105"/>
        </w:rPr>
        <w:t> </w:t>
      </w:r>
      <w:r>
        <w:rPr>
          <w:color w:val="231F20"/>
          <w:w w:val="105"/>
        </w:rPr>
        <w:t>nación</w:t>
      </w:r>
      <w:r>
        <w:rPr>
          <w:color w:val="231F20"/>
          <w:spacing w:val="-24"/>
          <w:w w:val="105"/>
        </w:rPr>
        <w:t> </w:t>
      </w:r>
      <w:r>
        <w:rPr>
          <w:color w:val="231F20"/>
          <w:w w:val="105"/>
        </w:rPr>
        <w:t>distinta</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de</w:t>
      </w:r>
      <w:r>
        <w:rPr>
          <w:color w:val="231F20"/>
          <w:spacing w:val="-24"/>
          <w:w w:val="105"/>
        </w:rPr>
        <w:t> </w:t>
      </w:r>
      <w:r>
        <w:rPr>
          <w:color w:val="231F20"/>
          <w:w w:val="105"/>
        </w:rPr>
        <w:t>su</w:t>
      </w:r>
      <w:r>
        <w:rPr>
          <w:color w:val="231F20"/>
          <w:spacing w:val="-24"/>
          <w:w w:val="105"/>
        </w:rPr>
        <w:t> </w:t>
      </w:r>
      <w:r>
        <w:rPr>
          <w:color w:val="231F20"/>
          <w:w w:val="105"/>
        </w:rPr>
        <w:t>residen- </w:t>
      </w:r>
      <w:r>
        <w:rPr>
          <w:color w:val="231F20"/>
        </w:rPr>
        <w:t>cia (Espinosa,</w:t>
      </w:r>
      <w:r>
        <w:rPr>
          <w:color w:val="231F20"/>
          <w:spacing w:val="-24"/>
        </w:rPr>
        <w:t> </w:t>
      </w:r>
      <w:r>
        <w:rPr>
          <w:color w:val="231F20"/>
        </w:rPr>
        <w:t>1966).</w:t>
      </w:r>
    </w:p>
    <w:p>
      <w:pPr>
        <w:pStyle w:val="BodyText"/>
        <w:spacing w:line="259" w:lineRule="auto"/>
        <w:ind w:left="117" w:right="121" w:firstLine="567"/>
        <w:jc w:val="both"/>
      </w:pPr>
      <w:r>
        <w:rPr>
          <w:color w:val="231F20"/>
        </w:rPr>
        <w:t>La ley de inversión extranjera de méxico (1993) la define en su ca- pítulo I inciso A, como la participación de inversionistas extranjeros, en cualquier proporción, en el capital social de sociedades mexicanas; es     la realizada por sociedades mexicanas con mayoría de capital extranjero (inciso 2B); es la participación de inversionistas extranjeros en las activi- dades y actos contemplados por esta ley (inciso </w:t>
      </w:r>
      <w:r>
        <w:rPr>
          <w:color w:val="231F20"/>
          <w:spacing w:val="23"/>
        </w:rPr>
        <w:t> </w:t>
      </w:r>
      <w:r>
        <w:rPr>
          <w:color w:val="231F20"/>
        </w:rPr>
        <w:t>C).</w:t>
      </w:r>
    </w:p>
    <w:p>
      <w:pPr>
        <w:pStyle w:val="BodyText"/>
        <w:spacing w:line="259" w:lineRule="auto"/>
        <w:ind w:left="117" w:right="115" w:firstLine="567"/>
        <w:jc w:val="both"/>
      </w:pPr>
      <w:r>
        <w:rPr>
          <w:color w:val="231F20"/>
          <w:w w:val="105"/>
        </w:rPr>
        <w:t>Ahora</w:t>
      </w:r>
      <w:r>
        <w:rPr>
          <w:color w:val="231F20"/>
          <w:spacing w:val="-10"/>
          <w:w w:val="105"/>
        </w:rPr>
        <w:t> </w:t>
      </w:r>
      <w:r>
        <w:rPr>
          <w:color w:val="231F20"/>
          <w:w w:val="105"/>
        </w:rPr>
        <w:t>bien,</w:t>
      </w:r>
      <w:r>
        <w:rPr>
          <w:color w:val="231F20"/>
          <w:spacing w:val="-15"/>
          <w:w w:val="105"/>
        </w:rPr>
        <w:t> </w:t>
      </w:r>
      <w:r>
        <w:rPr>
          <w:color w:val="231F20"/>
          <w:w w:val="105"/>
        </w:rPr>
        <w:t>la</w:t>
      </w:r>
      <w:r>
        <w:rPr>
          <w:color w:val="231F20"/>
          <w:spacing w:val="-10"/>
          <w:w w:val="105"/>
        </w:rPr>
        <w:t> </w:t>
      </w:r>
      <w:r>
        <w:rPr>
          <w:color w:val="231F20"/>
          <w:w w:val="105"/>
        </w:rPr>
        <w:t>inversión</w:t>
      </w:r>
      <w:r>
        <w:rPr>
          <w:color w:val="231F20"/>
          <w:spacing w:val="-10"/>
          <w:w w:val="105"/>
        </w:rPr>
        <w:t> </w:t>
      </w:r>
      <w:r>
        <w:rPr>
          <w:color w:val="231F20"/>
          <w:w w:val="105"/>
        </w:rPr>
        <w:t>extranjera</w:t>
      </w:r>
      <w:r>
        <w:rPr>
          <w:color w:val="231F20"/>
          <w:spacing w:val="-10"/>
          <w:w w:val="105"/>
        </w:rPr>
        <w:t> </w:t>
      </w:r>
      <w:r>
        <w:rPr>
          <w:color w:val="231F20"/>
          <w:w w:val="105"/>
        </w:rPr>
        <w:t>directa</w:t>
      </w:r>
      <w:r>
        <w:rPr>
          <w:color w:val="231F20"/>
          <w:spacing w:val="-10"/>
          <w:w w:val="105"/>
        </w:rPr>
        <w:t> </w:t>
      </w:r>
      <w:r>
        <w:rPr>
          <w:color w:val="231F20"/>
          <w:w w:val="105"/>
        </w:rPr>
        <w:t>(IED)</w:t>
      </w:r>
      <w:r>
        <w:rPr>
          <w:color w:val="231F20"/>
          <w:spacing w:val="-10"/>
          <w:w w:val="105"/>
        </w:rPr>
        <w:t> </w:t>
      </w:r>
      <w:r>
        <w:rPr>
          <w:color w:val="231F20"/>
          <w:w w:val="105"/>
        </w:rPr>
        <w:t>es</w:t>
      </w:r>
      <w:r>
        <w:rPr>
          <w:color w:val="231F20"/>
          <w:spacing w:val="-10"/>
          <w:w w:val="105"/>
        </w:rPr>
        <w:t> </w:t>
      </w:r>
      <w:r>
        <w:rPr>
          <w:color w:val="231F20"/>
          <w:w w:val="105"/>
        </w:rPr>
        <w:t>aquella</w:t>
      </w:r>
      <w:r>
        <w:rPr>
          <w:color w:val="231F20"/>
          <w:spacing w:val="-10"/>
          <w:w w:val="105"/>
        </w:rPr>
        <w:t> </w:t>
      </w:r>
      <w:r>
        <w:rPr>
          <w:color w:val="231F20"/>
          <w:w w:val="105"/>
        </w:rPr>
        <w:t>en</w:t>
      </w:r>
      <w:r>
        <w:rPr>
          <w:color w:val="231F20"/>
          <w:spacing w:val="-10"/>
          <w:w w:val="105"/>
        </w:rPr>
        <w:t> </w:t>
      </w:r>
      <w:r>
        <w:rPr>
          <w:color w:val="231F20"/>
          <w:w w:val="105"/>
        </w:rPr>
        <w:t>que el</w:t>
      </w:r>
      <w:r>
        <w:rPr>
          <w:color w:val="231F20"/>
          <w:spacing w:val="-22"/>
          <w:w w:val="105"/>
        </w:rPr>
        <w:t> </w:t>
      </w:r>
      <w:r>
        <w:rPr>
          <w:color w:val="231F20"/>
          <w:w w:val="105"/>
        </w:rPr>
        <w:t>involucrado</w:t>
      </w:r>
      <w:r>
        <w:rPr>
          <w:color w:val="231F20"/>
          <w:spacing w:val="-22"/>
          <w:w w:val="105"/>
        </w:rPr>
        <w:t> </w:t>
      </w:r>
      <w:r>
        <w:rPr>
          <w:color w:val="231F20"/>
          <w:w w:val="105"/>
        </w:rPr>
        <w:t>busca</w:t>
      </w:r>
      <w:r>
        <w:rPr>
          <w:color w:val="231F20"/>
          <w:spacing w:val="-22"/>
          <w:w w:val="105"/>
        </w:rPr>
        <w:t> </w:t>
      </w:r>
      <w:r>
        <w:rPr>
          <w:color w:val="231F20"/>
          <w:w w:val="105"/>
        </w:rPr>
        <w:t>una</w:t>
      </w:r>
      <w:r>
        <w:rPr>
          <w:color w:val="231F20"/>
          <w:spacing w:val="-22"/>
          <w:w w:val="105"/>
        </w:rPr>
        <w:t> </w:t>
      </w:r>
      <w:r>
        <w:rPr>
          <w:color w:val="231F20"/>
          <w:w w:val="105"/>
        </w:rPr>
        <w:t>utilidad</w:t>
      </w:r>
      <w:r>
        <w:rPr>
          <w:color w:val="231F20"/>
          <w:spacing w:val="-22"/>
          <w:w w:val="105"/>
        </w:rPr>
        <w:t> </w:t>
      </w:r>
      <w:r>
        <w:rPr>
          <w:color w:val="231F20"/>
          <w:w w:val="105"/>
        </w:rPr>
        <w:t>que</w:t>
      </w:r>
      <w:r>
        <w:rPr>
          <w:color w:val="231F20"/>
          <w:spacing w:val="-22"/>
          <w:w w:val="105"/>
        </w:rPr>
        <w:t> </w:t>
      </w:r>
      <w:r>
        <w:rPr>
          <w:color w:val="231F20"/>
          <w:w w:val="105"/>
        </w:rPr>
        <w:t>puede</w:t>
      </w:r>
      <w:r>
        <w:rPr>
          <w:color w:val="231F20"/>
          <w:spacing w:val="-22"/>
          <w:w w:val="105"/>
        </w:rPr>
        <w:t> </w:t>
      </w:r>
      <w:r>
        <w:rPr>
          <w:color w:val="231F20"/>
          <w:w w:val="105"/>
        </w:rPr>
        <w:t>materializarse</w:t>
      </w:r>
      <w:r>
        <w:rPr>
          <w:color w:val="231F20"/>
          <w:spacing w:val="-22"/>
          <w:w w:val="105"/>
        </w:rPr>
        <w:t> </w:t>
      </w:r>
      <w:r>
        <w:rPr>
          <w:color w:val="231F20"/>
          <w:w w:val="105"/>
        </w:rPr>
        <w:t>a</w:t>
      </w:r>
      <w:r>
        <w:rPr>
          <w:color w:val="231F20"/>
          <w:spacing w:val="-22"/>
          <w:w w:val="105"/>
        </w:rPr>
        <w:t> </w:t>
      </w:r>
      <w:r>
        <w:rPr>
          <w:color w:val="231F20"/>
          <w:w w:val="105"/>
        </w:rPr>
        <w:t>corto</w:t>
      </w:r>
      <w:r>
        <w:rPr>
          <w:color w:val="231F20"/>
          <w:spacing w:val="-22"/>
          <w:w w:val="105"/>
        </w:rPr>
        <w:t> </w:t>
      </w:r>
      <w:r>
        <w:rPr>
          <w:color w:val="231F20"/>
          <w:w w:val="105"/>
        </w:rPr>
        <w:t>plazo; esto supone que quien invierte no está generalmente interesado en la administración de la empresa, y que lograda la utilidad esperada pue- de</w:t>
      </w:r>
      <w:r>
        <w:rPr>
          <w:color w:val="231F20"/>
          <w:spacing w:val="-16"/>
          <w:w w:val="105"/>
        </w:rPr>
        <w:t> </w:t>
      </w:r>
      <w:r>
        <w:rPr>
          <w:color w:val="231F20"/>
          <w:w w:val="105"/>
        </w:rPr>
        <w:t>liquidar</w:t>
      </w:r>
      <w:r>
        <w:rPr>
          <w:color w:val="231F20"/>
          <w:spacing w:val="-16"/>
          <w:w w:val="105"/>
        </w:rPr>
        <w:t> </w:t>
      </w:r>
      <w:r>
        <w:rPr>
          <w:color w:val="231F20"/>
          <w:w w:val="105"/>
        </w:rPr>
        <w:t>su</w:t>
      </w:r>
      <w:r>
        <w:rPr>
          <w:color w:val="231F20"/>
          <w:spacing w:val="-16"/>
          <w:w w:val="105"/>
        </w:rPr>
        <w:t> </w:t>
      </w:r>
      <w:r>
        <w:rPr>
          <w:color w:val="231F20"/>
          <w:w w:val="105"/>
        </w:rPr>
        <w:t>inversión</w:t>
      </w:r>
      <w:r>
        <w:rPr>
          <w:color w:val="231F20"/>
          <w:spacing w:val="-16"/>
          <w:w w:val="105"/>
        </w:rPr>
        <w:t> </w:t>
      </w:r>
      <w:r>
        <w:rPr>
          <w:color w:val="231F20"/>
          <w:w w:val="105"/>
        </w:rPr>
        <w:t>si</w:t>
      </w:r>
      <w:r>
        <w:rPr>
          <w:color w:val="231F20"/>
          <w:spacing w:val="-16"/>
          <w:w w:val="105"/>
        </w:rPr>
        <w:t> </w:t>
      </w:r>
      <w:r>
        <w:rPr>
          <w:color w:val="231F20"/>
          <w:w w:val="105"/>
        </w:rPr>
        <w:t>tiene</w:t>
      </w:r>
      <w:r>
        <w:rPr>
          <w:color w:val="231F20"/>
          <w:spacing w:val="-16"/>
          <w:w w:val="105"/>
        </w:rPr>
        <w:t> </w:t>
      </w:r>
      <w:r>
        <w:rPr>
          <w:color w:val="231F20"/>
          <w:w w:val="105"/>
        </w:rPr>
        <w:t>una</w:t>
      </w:r>
      <w:r>
        <w:rPr>
          <w:color w:val="231F20"/>
          <w:spacing w:val="-16"/>
          <w:w w:val="105"/>
        </w:rPr>
        <w:t> </w:t>
      </w:r>
      <w:r>
        <w:rPr>
          <w:color w:val="231F20"/>
          <w:w w:val="105"/>
        </w:rPr>
        <w:t>mejor</w:t>
      </w:r>
      <w:r>
        <w:rPr>
          <w:color w:val="231F20"/>
          <w:spacing w:val="-16"/>
          <w:w w:val="105"/>
        </w:rPr>
        <w:t> </w:t>
      </w:r>
      <w:r>
        <w:rPr>
          <w:color w:val="231F20"/>
          <w:w w:val="105"/>
        </w:rPr>
        <w:t>alternativa</w:t>
      </w:r>
      <w:r>
        <w:rPr>
          <w:color w:val="231F20"/>
          <w:spacing w:val="-16"/>
          <w:w w:val="105"/>
        </w:rPr>
        <w:t> </w:t>
      </w:r>
      <w:r>
        <w:rPr>
          <w:color w:val="231F20"/>
          <w:w w:val="105"/>
        </w:rPr>
        <w:t>en</w:t>
      </w:r>
      <w:r>
        <w:rPr>
          <w:color w:val="231F20"/>
          <w:spacing w:val="-16"/>
          <w:w w:val="105"/>
        </w:rPr>
        <w:t> </w:t>
      </w:r>
      <w:r>
        <w:rPr>
          <w:color w:val="231F20"/>
          <w:w w:val="105"/>
        </w:rPr>
        <w:t>perspectiva.</w:t>
      </w:r>
      <w:r>
        <w:rPr>
          <w:color w:val="231F20"/>
          <w:spacing w:val="-24"/>
          <w:w w:val="105"/>
        </w:rPr>
        <w:t> </w:t>
      </w:r>
      <w:r>
        <w:rPr>
          <w:color w:val="231F20"/>
          <w:w w:val="105"/>
        </w:rPr>
        <w:t>Ac- tualmente</w:t>
      </w:r>
      <w:r>
        <w:rPr>
          <w:color w:val="231F20"/>
          <w:spacing w:val="-20"/>
          <w:w w:val="105"/>
        </w:rPr>
        <w:t> </w:t>
      </w:r>
      <w:r>
        <w:rPr>
          <w:color w:val="231F20"/>
          <w:w w:val="105"/>
        </w:rPr>
        <w:t>no</w:t>
      </w:r>
      <w:r>
        <w:rPr>
          <w:color w:val="231F20"/>
          <w:spacing w:val="-20"/>
          <w:w w:val="105"/>
        </w:rPr>
        <w:t> </w:t>
      </w:r>
      <w:r>
        <w:rPr>
          <w:color w:val="231F20"/>
          <w:w w:val="105"/>
        </w:rPr>
        <w:t>existe</w:t>
      </w:r>
      <w:r>
        <w:rPr>
          <w:color w:val="231F20"/>
          <w:spacing w:val="-20"/>
          <w:w w:val="105"/>
        </w:rPr>
        <w:t> </w:t>
      </w:r>
      <w:r>
        <w:rPr>
          <w:color w:val="231F20"/>
          <w:w w:val="105"/>
        </w:rPr>
        <w:t>consenso</w:t>
      </w:r>
      <w:r>
        <w:rPr>
          <w:color w:val="231F20"/>
          <w:spacing w:val="-20"/>
          <w:w w:val="105"/>
        </w:rPr>
        <w:t> </w:t>
      </w:r>
      <w:r>
        <w:rPr>
          <w:color w:val="231F20"/>
          <w:w w:val="105"/>
        </w:rPr>
        <w:t>internacional</w:t>
      </w:r>
      <w:r>
        <w:rPr>
          <w:color w:val="231F20"/>
          <w:spacing w:val="-20"/>
          <w:w w:val="105"/>
        </w:rPr>
        <w:t> </w:t>
      </w:r>
      <w:r>
        <w:rPr>
          <w:color w:val="231F20"/>
          <w:w w:val="105"/>
        </w:rPr>
        <w:t>para</w:t>
      </w:r>
      <w:r>
        <w:rPr>
          <w:color w:val="231F20"/>
          <w:spacing w:val="-20"/>
          <w:w w:val="105"/>
        </w:rPr>
        <w:t> </w:t>
      </w:r>
      <w:r>
        <w:rPr>
          <w:color w:val="231F20"/>
          <w:w w:val="105"/>
        </w:rPr>
        <w:t>calificar</w:t>
      </w:r>
      <w:r>
        <w:rPr>
          <w:color w:val="231F20"/>
          <w:spacing w:val="-20"/>
          <w:w w:val="105"/>
        </w:rPr>
        <w:t> </w:t>
      </w:r>
      <w:r>
        <w:rPr>
          <w:color w:val="231F20"/>
          <w:w w:val="105"/>
        </w:rPr>
        <w:t>la</w:t>
      </w:r>
      <w:r>
        <w:rPr>
          <w:color w:val="231F20"/>
          <w:spacing w:val="-20"/>
          <w:w w:val="105"/>
        </w:rPr>
        <w:t> </w:t>
      </w:r>
      <w:r>
        <w:rPr>
          <w:color w:val="231F20"/>
          <w:w w:val="105"/>
        </w:rPr>
        <w:t>participación mínima</w:t>
      </w:r>
      <w:r>
        <w:rPr>
          <w:color w:val="231F20"/>
          <w:spacing w:val="-12"/>
          <w:w w:val="105"/>
        </w:rPr>
        <w:t> </w:t>
      </w:r>
      <w:r>
        <w:rPr>
          <w:color w:val="231F20"/>
          <w:w w:val="105"/>
        </w:rPr>
        <w:t>de</w:t>
      </w:r>
      <w:r>
        <w:rPr>
          <w:color w:val="231F20"/>
          <w:spacing w:val="-12"/>
          <w:w w:val="105"/>
        </w:rPr>
        <w:t> </w:t>
      </w:r>
      <w:r>
        <w:rPr>
          <w:color w:val="231F20"/>
          <w:w w:val="105"/>
        </w:rPr>
        <w:t>capital</w:t>
      </w:r>
      <w:r>
        <w:rPr>
          <w:color w:val="231F20"/>
          <w:spacing w:val="-12"/>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inversión</w:t>
      </w:r>
      <w:r>
        <w:rPr>
          <w:color w:val="231F20"/>
          <w:spacing w:val="-12"/>
          <w:w w:val="105"/>
        </w:rPr>
        <w:t> </w:t>
      </w:r>
      <w:r>
        <w:rPr>
          <w:color w:val="231F20"/>
          <w:w w:val="105"/>
        </w:rPr>
        <w:t>para</w:t>
      </w:r>
      <w:r>
        <w:rPr>
          <w:color w:val="231F20"/>
          <w:spacing w:val="-12"/>
          <w:w w:val="105"/>
        </w:rPr>
        <w:t> </w:t>
      </w:r>
      <w:r>
        <w:rPr>
          <w:color w:val="231F20"/>
          <w:w w:val="105"/>
        </w:rPr>
        <w:t>considerarla</w:t>
      </w:r>
      <w:r>
        <w:rPr>
          <w:color w:val="231F20"/>
          <w:spacing w:val="-12"/>
          <w:w w:val="105"/>
        </w:rPr>
        <w:t> </w:t>
      </w:r>
      <w:r>
        <w:rPr>
          <w:color w:val="231F20"/>
          <w:w w:val="105"/>
        </w:rPr>
        <w:t>directa</w:t>
      </w:r>
      <w:r>
        <w:rPr>
          <w:color w:val="231F20"/>
          <w:spacing w:val="-12"/>
          <w:w w:val="105"/>
        </w:rPr>
        <w:t> </w:t>
      </w:r>
      <w:r>
        <w:rPr>
          <w:color w:val="231F20"/>
          <w:w w:val="105"/>
        </w:rPr>
        <w:t>o</w:t>
      </w:r>
      <w:r>
        <w:rPr>
          <w:color w:val="231F20"/>
          <w:spacing w:val="-12"/>
          <w:w w:val="105"/>
        </w:rPr>
        <w:t> </w:t>
      </w:r>
      <w:r>
        <w:rPr>
          <w:color w:val="231F20"/>
          <w:w w:val="105"/>
        </w:rPr>
        <w:t>indirecta, pero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mayoría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países</w:t>
      </w:r>
      <w:r>
        <w:rPr>
          <w:color w:val="231F20"/>
          <w:spacing w:val="-12"/>
          <w:w w:val="105"/>
        </w:rPr>
        <w:t> </w:t>
      </w:r>
      <w:r>
        <w:rPr>
          <w:color w:val="231F20"/>
          <w:w w:val="105"/>
        </w:rPr>
        <w:t>este</w:t>
      </w:r>
      <w:r>
        <w:rPr>
          <w:color w:val="231F20"/>
          <w:spacing w:val="-12"/>
          <w:w w:val="105"/>
        </w:rPr>
        <w:t> </w:t>
      </w:r>
      <w:r>
        <w:rPr>
          <w:color w:val="231F20"/>
          <w:w w:val="105"/>
        </w:rPr>
        <w:t>porcentaje</w:t>
      </w:r>
      <w:r>
        <w:rPr>
          <w:color w:val="231F20"/>
          <w:spacing w:val="-12"/>
          <w:w w:val="105"/>
        </w:rPr>
        <w:t> </w:t>
      </w:r>
      <w:r>
        <w:rPr>
          <w:color w:val="231F20"/>
          <w:w w:val="105"/>
        </w:rPr>
        <w:t>varía</w:t>
      </w:r>
      <w:r>
        <w:rPr>
          <w:color w:val="231F20"/>
          <w:spacing w:val="-12"/>
          <w:w w:val="105"/>
        </w:rPr>
        <w:t> </w:t>
      </w:r>
      <w:r>
        <w:rPr>
          <w:color w:val="231F20"/>
          <w:w w:val="105"/>
        </w:rPr>
        <w:t>entre</w:t>
      </w:r>
      <w:r>
        <w:rPr>
          <w:color w:val="231F20"/>
          <w:spacing w:val="-12"/>
          <w:w w:val="105"/>
        </w:rPr>
        <w:t> </w:t>
      </w:r>
      <w:r>
        <w:rPr>
          <w:color w:val="231F20"/>
          <w:w w:val="105"/>
        </w:rPr>
        <w:t>10%</w:t>
      </w:r>
      <w:r>
        <w:rPr>
          <w:color w:val="231F20"/>
          <w:spacing w:val="-12"/>
          <w:w w:val="105"/>
        </w:rPr>
        <w:t> </w:t>
      </w:r>
      <w:r>
        <w:rPr>
          <w:color w:val="231F20"/>
          <w:w w:val="105"/>
        </w:rPr>
        <w:t>y</w:t>
      </w:r>
      <w:r>
        <w:rPr>
          <w:color w:val="231F20"/>
          <w:spacing w:val="-12"/>
          <w:w w:val="105"/>
        </w:rPr>
        <w:t> </w:t>
      </w:r>
      <w:r>
        <w:rPr>
          <w:color w:val="231F20"/>
          <w:w w:val="105"/>
        </w:rPr>
        <w:t>25% </w:t>
      </w:r>
      <w:r>
        <w:rPr>
          <w:color w:val="231F20"/>
        </w:rPr>
        <w:t>(Espinosa,</w:t>
      </w:r>
      <w:r>
        <w:rPr>
          <w:color w:val="231F20"/>
          <w:spacing w:val="-20"/>
        </w:rPr>
        <w:t> </w:t>
      </w:r>
      <w:r>
        <w:rPr>
          <w:color w:val="231F20"/>
        </w:rPr>
        <w:t>1966).</w:t>
      </w:r>
    </w:p>
    <w:p>
      <w:pPr>
        <w:pStyle w:val="BodyText"/>
        <w:spacing w:line="259" w:lineRule="auto"/>
        <w:ind w:left="117" w:right="121" w:firstLine="567"/>
        <w:jc w:val="both"/>
      </w:pPr>
      <w:r>
        <w:rPr>
          <w:color w:val="231F20"/>
          <w:w w:val="105"/>
        </w:rPr>
        <w:t>Bajo</w:t>
      </w:r>
      <w:r>
        <w:rPr>
          <w:color w:val="231F20"/>
          <w:spacing w:val="-24"/>
          <w:w w:val="105"/>
        </w:rPr>
        <w:t> </w:t>
      </w:r>
      <w:r>
        <w:rPr>
          <w:color w:val="231F20"/>
          <w:w w:val="105"/>
        </w:rPr>
        <w:t>(1991)</w:t>
      </w:r>
      <w:r>
        <w:rPr>
          <w:color w:val="231F20"/>
          <w:spacing w:val="-24"/>
          <w:w w:val="105"/>
        </w:rPr>
        <w:t> </w:t>
      </w:r>
      <w:r>
        <w:rPr>
          <w:color w:val="231F20"/>
          <w:w w:val="105"/>
        </w:rPr>
        <w:t>la</w:t>
      </w:r>
      <w:r>
        <w:rPr>
          <w:color w:val="231F20"/>
          <w:spacing w:val="-24"/>
          <w:w w:val="105"/>
        </w:rPr>
        <w:t> </w:t>
      </w:r>
      <w:r>
        <w:rPr>
          <w:color w:val="231F20"/>
          <w:w w:val="105"/>
        </w:rPr>
        <w:t>define</w:t>
      </w:r>
      <w:r>
        <w:rPr>
          <w:color w:val="231F20"/>
          <w:spacing w:val="-24"/>
          <w:w w:val="105"/>
        </w:rPr>
        <w:t> </w:t>
      </w:r>
      <w:r>
        <w:rPr>
          <w:color w:val="231F20"/>
          <w:w w:val="105"/>
        </w:rPr>
        <w:t>como</w:t>
      </w:r>
      <w:r>
        <w:rPr>
          <w:color w:val="231F20"/>
          <w:spacing w:val="-24"/>
          <w:w w:val="105"/>
        </w:rPr>
        <w:t> </w:t>
      </w:r>
      <w:r>
        <w:rPr>
          <w:color w:val="231F20"/>
          <w:w w:val="105"/>
        </w:rPr>
        <w:t>aquella</w:t>
      </w:r>
      <w:r>
        <w:rPr>
          <w:color w:val="231F20"/>
          <w:spacing w:val="-24"/>
          <w:w w:val="105"/>
        </w:rPr>
        <w:t> </w:t>
      </w:r>
      <w:r>
        <w:rPr>
          <w:color w:val="231F20"/>
          <w:w w:val="105"/>
        </w:rPr>
        <w:t>que</w:t>
      </w:r>
      <w:r>
        <w:rPr>
          <w:color w:val="231F20"/>
          <w:spacing w:val="-24"/>
          <w:w w:val="105"/>
        </w:rPr>
        <w:t> </w:t>
      </w:r>
      <w:r>
        <w:rPr>
          <w:color w:val="231F20"/>
          <w:w w:val="105"/>
        </w:rPr>
        <w:t>se</w:t>
      </w:r>
      <w:r>
        <w:rPr>
          <w:color w:val="231F20"/>
          <w:spacing w:val="-24"/>
          <w:w w:val="105"/>
        </w:rPr>
        <w:t> </w:t>
      </w:r>
      <w:r>
        <w:rPr>
          <w:color w:val="231F20"/>
          <w:w w:val="105"/>
        </w:rPr>
        <w:t>efectúa</w:t>
      </w:r>
      <w:r>
        <w:rPr>
          <w:color w:val="231F20"/>
          <w:spacing w:val="-24"/>
          <w:w w:val="105"/>
        </w:rPr>
        <w:t> </w:t>
      </w:r>
      <w:r>
        <w:rPr>
          <w:color w:val="231F20"/>
          <w:w w:val="105"/>
        </w:rPr>
        <w:t>a</w:t>
      </w:r>
      <w:r>
        <w:rPr>
          <w:color w:val="231F20"/>
          <w:spacing w:val="-24"/>
          <w:w w:val="105"/>
        </w:rPr>
        <w:t> </w:t>
      </w:r>
      <w:r>
        <w:rPr>
          <w:color w:val="231F20"/>
          <w:spacing w:val="-2"/>
          <w:w w:val="105"/>
        </w:rPr>
        <w:t>través</w:t>
      </w:r>
      <w:r>
        <w:rPr>
          <w:color w:val="231F20"/>
          <w:spacing w:val="-24"/>
          <w:w w:val="105"/>
        </w:rPr>
        <w:t> </w:t>
      </w:r>
      <w:r>
        <w:rPr>
          <w:color w:val="231F20"/>
          <w:w w:val="105"/>
        </w:rPr>
        <w:t>de</w:t>
      </w:r>
      <w:r>
        <w:rPr>
          <w:color w:val="231F20"/>
          <w:spacing w:val="-24"/>
          <w:w w:val="105"/>
        </w:rPr>
        <w:t> </w:t>
      </w:r>
      <w:r>
        <w:rPr>
          <w:color w:val="231F20"/>
          <w:spacing w:val="-3"/>
          <w:w w:val="105"/>
        </w:rPr>
        <w:t>prés- </w:t>
      </w:r>
      <w:r>
        <w:rPr>
          <w:color w:val="231F20"/>
          <w:w w:val="105"/>
        </w:rPr>
        <w:t>tamos</w:t>
      </w:r>
      <w:r>
        <w:rPr>
          <w:color w:val="231F20"/>
          <w:spacing w:val="-28"/>
          <w:w w:val="105"/>
        </w:rPr>
        <w:t> </w:t>
      </w:r>
      <w:r>
        <w:rPr>
          <w:color w:val="231F20"/>
          <w:w w:val="105"/>
        </w:rPr>
        <w:t>de</w:t>
      </w:r>
      <w:r>
        <w:rPr>
          <w:color w:val="231F20"/>
          <w:spacing w:val="-28"/>
          <w:w w:val="105"/>
        </w:rPr>
        <w:t> </w:t>
      </w:r>
      <w:r>
        <w:rPr>
          <w:color w:val="231F20"/>
          <w:spacing w:val="-3"/>
          <w:w w:val="105"/>
        </w:rPr>
        <w:t>organismos</w:t>
      </w:r>
      <w:r>
        <w:rPr>
          <w:color w:val="231F20"/>
          <w:spacing w:val="-28"/>
          <w:w w:val="105"/>
        </w:rPr>
        <w:t> </w:t>
      </w:r>
      <w:r>
        <w:rPr>
          <w:color w:val="231F20"/>
          <w:w w:val="105"/>
        </w:rPr>
        <w:t>internacionales</w:t>
      </w:r>
      <w:r>
        <w:rPr>
          <w:color w:val="231F20"/>
          <w:spacing w:val="-28"/>
          <w:w w:val="105"/>
        </w:rPr>
        <w:t> </w:t>
      </w:r>
      <w:r>
        <w:rPr>
          <w:color w:val="231F20"/>
          <w:w w:val="105"/>
        </w:rPr>
        <w:t>a</w:t>
      </w:r>
      <w:r>
        <w:rPr>
          <w:color w:val="231F20"/>
          <w:spacing w:val="-28"/>
          <w:w w:val="105"/>
        </w:rPr>
        <w:t> </w:t>
      </w:r>
      <w:r>
        <w:rPr>
          <w:color w:val="231F20"/>
          <w:w w:val="105"/>
        </w:rPr>
        <w:t>gobiernos</w:t>
      </w:r>
      <w:r>
        <w:rPr>
          <w:color w:val="231F20"/>
          <w:spacing w:val="-28"/>
          <w:w w:val="105"/>
        </w:rPr>
        <w:t> </w:t>
      </w:r>
      <w:r>
        <w:rPr>
          <w:color w:val="231F20"/>
          <w:w w:val="105"/>
        </w:rPr>
        <w:t>o</w:t>
      </w:r>
      <w:r>
        <w:rPr>
          <w:color w:val="231F20"/>
          <w:spacing w:val="-28"/>
          <w:w w:val="105"/>
        </w:rPr>
        <w:t> </w:t>
      </w:r>
      <w:r>
        <w:rPr>
          <w:color w:val="231F20"/>
          <w:spacing w:val="-3"/>
          <w:w w:val="105"/>
        </w:rPr>
        <w:t>empresas</w:t>
      </w:r>
      <w:r>
        <w:rPr>
          <w:color w:val="231F20"/>
          <w:spacing w:val="-28"/>
          <w:w w:val="105"/>
        </w:rPr>
        <w:t> </w:t>
      </w:r>
      <w:r>
        <w:rPr>
          <w:color w:val="231F20"/>
          <w:w w:val="105"/>
        </w:rPr>
        <w:t>públicas,</w:t>
      </w:r>
      <w:r>
        <w:rPr>
          <w:color w:val="231F20"/>
          <w:spacing w:val="-32"/>
          <w:w w:val="105"/>
        </w:rPr>
        <w:t> </w:t>
      </w:r>
      <w:r>
        <w:rPr>
          <w:color w:val="231F20"/>
          <w:w w:val="105"/>
        </w:rPr>
        <w:t>y de</w:t>
      </w:r>
      <w:r>
        <w:rPr>
          <w:color w:val="231F20"/>
          <w:spacing w:val="-24"/>
          <w:w w:val="105"/>
        </w:rPr>
        <w:t> </w:t>
      </w:r>
      <w:r>
        <w:rPr>
          <w:color w:val="231F20"/>
          <w:w w:val="105"/>
        </w:rPr>
        <w:t>la</w:t>
      </w:r>
      <w:r>
        <w:rPr>
          <w:color w:val="231F20"/>
          <w:spacing w:val="-24"/>
          <w:w w:val="105"/>
        </w:rPr>
        <w:t> </w:t>
      </w:r>
      <w:r>
        <w:rPr>
          <w:color w:val="231F20"/>
          <w:w w:val="105"/>
        </w:rPr>
        <w:t>colocación</w:t>
      </w:r>
      <w:r>
        <w:rPr>
          <w:color w:val="231F20"/>
          <w:spacing w:val="-24"/>
          <w:w w:val="105"/>
        </w:rPr>
        <w:t> </w:t>
      </w:r>
      <w:r>
        <w:rPr>
          <w:color w:val="231F20"/>
          <w:w w:val="105"/>
        </w:rPr>
        <w:t>de</w:t>
      </w:r>
      <w:r>
        <w:rPr>
          <w:color w:val="231F20"/>
          <w:spacing w:val="-24"/>
          <w:w w:val="105"/>
        </w:rPr>
        <w:t> </w:t>
      </w:r>
      <w:r>
        <w:rPr>
          <w:color w:val="231F20"/>
          <w:spacing w:val="-3"/>
          <w:w w:val="105"/>
        </w:rPr>
        <w:t>valores</w:t>
      </w:r>
      <w:r>
        <w:rPr>
          <w:color w:val="231F20"/>
          <w:spacing w:val="-24"/>
          <w:w w:val="105"/>
        </w:rPr>
        <w:t> </w:t>
      </w:r>
      <w:r>
        <w:rPr>
          <w:color w:val="231F20"/>
          <w:w w:val="105"/>
        </w:rPr>
        <w:t>bursátiles</w:t>
      </w:r>
      <w:r>
        <w:rPr>
          <w:color w:val="231F20"/>
          <w:spacing w:val="-24"/>
          <w:w w:val="105"/>
        </w:rPr>
        <w:t> </w:t>
      </w:r>
      <w:r>
        <w:rPr>
          <w:color w:val="231F20"/>
          <w:w w:val="105"/>
        </w:rPr>
        <w:t>oficiales</w:t>
      </w:r>
      <w:r>
        <w:rPr>
          <w:color w:val="231F20"/>
          <w:spacing w:val="-24"/>
          <w:w w:val="105"/>
        </w:rPr>
        <w:t> </w:t>
      </w:r>
      <w:r>
        <w:rPr>
          <w:color w:val="231F20"/>
          <w:w w:val="105"/>
        </w:rPr>
        <w:t>del</w:t>
      </w:r>
      <w:r>
        <w:rPr>
          <w:color w:val="231F20"/>
          <w:spacing w:val="-24"/>
          <w:w w:val="105"/>
        </w:rPr>
        <w:t> </w:t>
      </w:r>
      <w:r>
        <w:rPr>
          <w:color w:val="231F20"/>
          <w:w w:val="105"/>
        </w:rPr>
        <w:t>país</w:t>
      </w:r>
      <w:r>
        <w:rPr>
          <w:color w:val="231F20"/>
          <w:spacing w:val="-24"/>
          <w:w w:val="105"/>
        </w:rPr>
        <w:t> </w:t>
      </w:r>
      <w:r>
        <w:rPr>
          <w:color w:val="231F20"/>
          <w:spacing w:val="-3"/>
          <w:w w:val="105"/>
        </w:rPr>
        <w:t>receptor</w:t>
      </w:r>
      <w:r>
        <w:rPr>
          <w:color w:val="231F20"/>
          <w:spacing w:val="-24"/>
          <w:w w:val="105"/>
        </w:rPr>
        <w:t> </w:t>
      </w:r>
      <w:r>
        <w:rPr>
          <w:color w:val="231F20"/>
          <w:w w:val="105"/>
        </w:rPr>
        <w:t>del</w:t>
      </w:r>
      <w:r>
        <w:rPr>
          <w:color w:val="231F20"/>
          <w:spacing w:val="-24"/>
          <w:w w:val="105"/>
        </w:rPr>
        <w:t> </w:t>
      </w:r>
      <w:r>
        <w:rPr>
          <w:color w:val="231F20"/>
          <w:spacing w:val="-3"/>
          <w:w w:val="105"/>
        </w:rPr>
        <w:t>crédi- </w:t>
      </w:r>
      <w:r>
        <w:rPr>
          <w:color w:val="231F20"/>
          <w:w w:val="105"/>
        </w:rPr>
        <w:t>to</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bolsas</w:t>
      </w:r>
      <w:r>
        <w:rPr>
          <w:color w:val="231F20"/>
          <w:spacing w:val="-13"/>
          <w:w w:val="105"/>
        </w:rPr>
        <w:t> </w:t>
      </w:r>
      <w:r>
        <w:rPr>
          <w:color w:val="231F20"/>
          <w:w w:val="105"/>
        </w:rPr>
        <w:t>de</w:t>
      </w:r>
      <w:r>
        <w:rPr>
          <w:color w:val="231F20"/>
          <w:spacing w:val="-13"/>
          <w:w w:val="105"/>
        </w:rPr>
        <w:t> </w:t>
      </w:r>
      <w:r>
        <w:rPr>
          <w:color w:val="231F20"/>
          <w:spacing w:val="-3"/>
          <w:w w:val="105"/>
        </w:rPr>
        <w:t>valores</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spacing w:val="-3"/>
          <w:w w:val="105"/>
        </w:rPr>
        <w:t>propio</w:t>
      </w:r>
      <w:r>
        <w:rPr>
          <w:color w:val="231F20"/>
          <w:spacing w:val="-13"/>
          <w:w w:val="105"/>
        </w:rPr>
        <w:t> </w:t>
      </w:r>
      <w:r>
        <w:rPr>
          <w:color w:val="231F20"/>
          <w:w w:val="105"/>
        </w:rPr>
        <w:t>país,</w:t>
      </w:r>
      <w:r>
        <w:rPr>
          <w:color w:val="231F20"/>
          <w:spacing w:val="-19"/>
          <w:w w:val="105"/>
        </w:rPr>
        <w:t> </w:t>
      </w:r>
      <w:r>
        <w:rPr>
          <w:color w:val="231F20"/>
          <w:w w:val="105"/>
        </w:rPr>
        <w:t>o</w:t>
      </w:r>
      <w:r>
        <w:rPr>
          <w:color w:val="231F20"/>
          <w:spacing w:val="-13"/>
          <w:w w:val="105"/>
        </w:rPr>
        <w:t> </w:t>
      </w:r>
      <w:r>
        <w:rPr>
          <w:color w:val="231F20"/>
          <w:w w:val="105"/>
        </w:rPr>
        <w:t>del</w:t>
      </w:r>
      <w:r>
        <w:rPr>
          <w:color w:val="231F20"/>
          <w:spacing w:val="-13"/>
          <w:w w:val="105"/>
        </w:rPr>
        <w:t> </w:t>
      </w:r>
      <w:r>
        <w:rPr>
          <w:color w:val="231F20"/>
          <w:w w:val="105"/>
        </w:rPr>
        <w:t>que</w:t>
      </w:r>
      <w:r>
        <w:rPr>
          <w:color w:val="231F20"/>
          <w:spacing w:val="-13"/>
          <w:w w:val="105"/>
        </w:rPr>
        <w:t> </w:t>
      </w:r>
      <w:r>
        <w:rPr>
          <w:color w:val="231F20"/>
          <w:spacing w:val="-3"/>
          <w:w w:val="105"/>
        </w:rPr>
        <w:t>otorga</w:t>
      </w:r>
      <w:r>
        <w:rPr>
          <w:color w:val="231F20"/>
          <w:spacing w:val="-13"/>
          <w:w w:val="105"/>
        </w:rPr>
        <w:t> </w:t>
      </w:r>
      <w:r>
        <w:rPr>
          <w:color w:val="231F20"/>
          <w:w w:val="105"/>
        </w:rPr>
        <w:t>el</w:t>
      </w:r>
      <w:r>
        <w:rPr>
          <w:color w:val="231F20"/>
          <w:spacing w:val="-13"/>
          <w:w w:val="105"/>
        </w:rPr>
        <w:t> </w:t>
      </w:r>
      <w:r>
        <w:rPr>
          <w:color w:val="231F20"/>
          <w:spacing w:val="-3"/>
          <w:w w:val="105"/>
        </w:rPr>
        <w:t>crédito. </w:t>
      </w:r>
      <w:r>
        <w:rPr>
          <w:color w:val="231F20"/>
          <w:w w:val="105"/>
        </w:rPr>
        <w:t>La</w:t>
      </w:r>
      <w:r>
        <w:rPr>
          <w:color w:val="231F20"/>
          <w:spacing w:val="-8"/>
          <w:w w:val="105"/>
        </w:rPr>
        <w:t> </w:t>
      </w:r>
      <w:r>
        <w:rPr>
          <w:color w:val="231F20"/>
          <w:w w:val="105"/>
        </w:rPr>
        <w:t>quinta</w:t>
      </w:r>
      <w:r>
        <w:rPr>
          <w:color w:val="231F20"/>
          <w:spacing w:val="-8"/>
          <w:w w:val="105"/>
        </w:rPr>
        <w:t> </w:t>
      </w:r>
      <w:r>
        <w:rPr>
          <w:color w:val="231F20"/>
          <w:w w:val="105"/>
        </w:rPr>
        <w:t>edición</w:t>
      </w:r>
      <w:r>
        <w:rPr>
          <w:color w:val="231F20"/>
          <w:spacing w:val="-8"/>
          <w:w w:val="105"/>
        </w:rPr>
        <w:t> </w:t>
      </w:r>
      <w:r>
        <w:rPr>
          <w:color w:val="231F20"/>
          <w:w w:val="105"/>
        </w:rPr>
        <w:t>del</w:t>
      </w:r>
      <w:r>
        <w:rPr>
          <w:color w:val="231F20"/>
          <w:spacing w:val="-8"/>
          <w:w w:val="105"/>
        </w:rPr>
        <w:t> </w:t>
      </w:r>
      <w:r>
        <w:rPr>
          <w:color w:val="231F20"/>
          <w:w w:val="105"/>
        </w:rPr>
        <w:t>manual</w:t>
      </w:r>
      <w:r>
        <w:rPr>
          <w:color w:val="231F20"/>
          <w:spacing w:val="-8"/>
          <w:w w:val="105"/>
        </w:rPr>
        <w:t> </w:t>
      </w:r>
      <w:r>
        <w:rPr>
          <w:color w:val="231F20"/>
          <w:w w:val="105"/>
        </w:rPr>
        <w:t>de</w:t>
      </w:r>
      <w:r>
        <w:rPr>
          <w:color w:val="231F20"/>
          <w:spacing w:val="-8"/>
          <w:w w:val="105"/>
        </w:rPr>
        <w:t> </w:t>
      </w:r>
      <w:r>
        <w:rPr>
          <w:color w:val="231F20"/>
          <w:w w:val="105"/>
        </w:rPr>
        <w:t>balanza</w:t>
      </w:r>
      <w:r>
        <w:rPr>
          <w:color w:val="231F20"/>
          <w:spacing w:val="-8"/>
          <w:w w:val="105"/>
        </w:rPr>
        <w:t> </w:t>
      </w:r>
      <w:r>
        <w:rPr>
          <w:color w:val="231F20"/>
          <w:w w:val="105"/>
        </w:rPr>
        <w:t>de</w:t>
      </w:r>
      <w:r>
        <w:rPr>
          <w:color w:val="231F20"/>
          <w:spacing w:val="-8"/>
          <w:w w:val="105"/>
        </w:rPr>
        <w:t> </w:t>
      </w:r>
      <w:r>
        <w:rPr>
          <w:color w:val="231F20"/>
          <w:w w:val="105"/>
        </w:rPr>
        <w:t>pagos</w:t>
      </w:r>
      <w:r>
        <w:rPr>
          <w:color w:val="231F20"/>
          <w:spacing w:val="-8"/>
          <w:w w:val="105"/>
        </w:rPr>
        <w:t> </w:t>
      </w:r>
      <w:r>
        <w:rPr>
          <w:color w:val="231F20"/>
          <w:w w:val="105"/>
        </w:rPr>
        <w:t>del</w:t>
      </w:r>
      <w:r>
        <w:rPr>
          <w:color w:val="231F20"/>
          <w:spacing w:val="-8"/>
          <w:w w:val="105"/>
        </w:rPr>
        <w:t> </w:t>
      </w:r>
      <w:r>
        <w:rPr>
          <w:color w:val="231F20"/>
          <w:spacing w:val="-3"/>
          <w:w w:val="105"/>
        </w:rPr>
        <w:t>Fondo</w:t>
      </w:r>
      <w:r>
        <w:rPr>
          <w:color w:val="231F20"/>
          <w:spacing w:val="-8"/>
          <w:w w:val="105"/>
        </w:rPr>
        <w:t> </w:t>
      </w:r>
      <w:r>
        <w:rPr>
          <w:color w:val="231F20"/>
          <w:w w:val="105"/>
        </w:rPr>
        <w:t>Monetario Internacional (FMI, 1993) señala que la ID es la categoría de inversión internacional</w:t>
      </w:r>
      <w:r>
        <w:rPr>
          <w:color w:val="231F20"/>
          <w:spacing w:val="-16"/>
          <w:w w:val="105"/>
        </w:rPr>
        <w:t> </w:t>
      </w:r>
      <w:r>
        <w:rPr>
          <w:color w:val="231F20"/>
          <w:w w:val="105"/>
        </w:rPr>
        <w:t>(o</w:t>
      </w:r>
      <w:r>
        <w:rPr>
          <w:color w:val="231F20"/>
          <w:spacing w:val="-16"/>
          <w:w w:val="105"/>
        </w:rPr>
        <w:t> </w:t>
      </w:r>
      <w:r>
        <w:rPr>
          <w:color w:val="231F20"/>
          <w:w w:val="105"/>
        </w:rPr>
        <w:t>transfronteriza)</w:t>
      </w:r>
      <w:r>
        <w:rPr>
          <w:color w:val="231F20"/>
          <w:spacing w:val="-16"/>
          <w:w w:val="105"/>
        </w:rPr>
        <w:t> </w:t>
      </w:r>
      <w:r>
        <w:rPr>
          <w:color w:val="231F20"/>
          <w:w w:val="105"/>
        </w:rPr>
        <w:t>que</w:t>
      </w:r>
      <w:r>
        <w:rPr>
          <w:color w:val="231F20"/>
          <w:spacing w:val="-16"/>
          <w:w w:val="105"/>
        </w:rPr>
        <w:t> </w:t>
      </w:r>
      <w:r>
        <w:rPr>
          <w:color w:val="231F20"/>
          <w:w w:val="105"/>
        </w:rPr>
        <w:t>refleja</w:t>
      </w:r>
      <w:r>
        <w:rPr>
          <w:color w:val="231F20"/>
          <w:spacing w:val="-16"/>
          <w:w w:val="105"/>
        </w:rPr>
        <w:t> </w:t>
      </w:r>
      <w:r>
        <w:rPr>
          <w:color w:val="231F20"/>
          <w:w w:val="105"/>
        </w:rPr>
        <w:t>el</w:t>
      </w:r>
      <w:r>
        <w:rPr>
          <w:color w:val="231F20"/>
          <w:spacing w:val="-16"/>
          <w:w w:val="105"/>
        </w:rPr>
        <w:t> </w:t>
      </w:r>
      <w:r>
        <w:rPr>
          <w:color w:val="231F20"/>
          <w:w w:val="105"/>
        </w:rPr>
        <w:t>objetivo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obtención</w:t>
      </w:r>
      <w:r>
        <w:rPr>
          <w:color w:val="231F20"/>
          <w:spacing w:val="-16"/>
          <w:w w:val="105"/>
        </w:rPr>
        <w:t> </w:t>
      </w:r>
      <w:r>
        <w:rPr>
          <w:color w:val="231F20"/>
          <w:w w:val="105"/>
        </w:rPr>
        <w:t>de un</w:t>
      </w:r>
      <w:r>
        <w:rPr>
          <w:color w:val="231F20"/>
          <w:spacing w:val="-6"/>
          <w:w w:val="105"/>
        </w:rPr>
        <w:t> </w:t>
      </w:r>
      <w:r>
        <w:rPr>
          <w:color w:val="231F20"/>
          <w:w w:val="105"/>
        </w:rPr>
        <w:t>interés</w:t>
      </w:r>
      <w:r>
        <w:rPr>
          <w:color w:val="231F20"/>
          <w:spacing w:val="-6"/>
          <w:w w:val="105"/>
        </w:rPr>
        <w:t> </w:t>
      </w:r>
      <w:r>
        <w:rPr>
          <w:color w:val="231F20"/>
          <w:w w:val="105"/>
        </w:rPr>
        <w:t>duradero</w:t>
      </w:r>
      <w:r>
        <w:rPr>
          <w:color w:val="231F20"/>
          <w:spacing w:val="-6"/>
          <w:w w:val="105"/>
        </w:rPr>
        <w:t> </w:t>
      </w:r>
      <w:r>
        <w:rPr>
          <w:color w:val="231F20"/>
          <w:w w:val="105"/>
        </w:rPr>
        <w:t>por</w:t>
      </w:r>
      <w:r>
        <w:rPr>
          <w:color w:val="231F20"/>
          <w:spacing w:val="-6"/>
          <w:w w:val="105"/>
        </w:rPr>
        <w:t> </w:t>
      </w:r>
      <w:r>
        <w:rPr>
          <w:color w:val="231F20"/>
          <w:w w:val="105"/>
        </w:rPr>
        <w:t>una</w:t>
      </w:r>
      <w:r>
        <w:rPr>
          <w:color w:val="231F20"/>
          <w:spacing w:val="-6"/>
          <w:w w:val="105"/>
        </w:rPr>
        <w:t> </w:t>
      </w:r>
      <w:r>
        <w:rPr>
          <w:color w:val="231F20"/>
          <w:w w:val="105"/>
        </w:rPr>
        <w:t>entidad</w:t>
      </w:r>
      <w:r>
        <w:rPr>
          <w:color w:val="231F20"/>
          <w:spacing w:val="-6"/>
          <w:w w:val="105"/>
        </w:rPr>
        <w:t> </w:t>
      </w:r>
      <w:r>
        <w:rPr>
          <w:color w:val="231F20"/>
          <w:w w:val="105"/>
        </w:rPr>
        <w:t>residente</w:t>
      </w:r>
      <w:r>
        <w:rPr>
          <w:color w:val="231F20"/>
          <w:spacing w:val="-6"/>
          <w:w w:val="105"/>
        </w:rPr>
        <w:t> </w:t>
      </w:r>
      <w:r>
        <w:rPr>
          <w:color w:val="231F20"/>
          <w:w w:val="105"/>
        </w:rPr>
        <w:t>en</w:t>
      </w:r>
      <w:r>
        <w:rPr>
          <w:color w:val="231F20"/>
          <w:spacing w:val="-6"/>
          <w:w w:val="105"/>
        </w:rPr>
        <w:t> </w:t>
      </w:r>
      <w:r>
        <w:rPr>
          <w:color w:val="231F20"/>
          <w:w w:val="105"/>
        </w:rPr>
        <w:t>una</w:t>
      </w:r>
      <w:r>
        <w:rPr>
          <w:color w:val="231F20"/>
          <w:spacing w:val="-6"/>
          <w:w w:val="105"/>
        </w:rPr>
        <w:t> </w:t>
      </w:r>
      <w:r>
        <w:rPr>
          <w:color w:val="231F20"/>
          <w:w w:val="105"/>
        </w:rPr>
        <w:t>economía</w:t>
      </w:r>
      <w:r>
        <w:rPr>
          <w:color w:val="231F20"/>
          <w:spacing w:val="-6"/>
          <w:w w:val="105"/>
        </w:rPr>
        <w:t> </w:t>
      </w:r>
      <w:r>
        <w:rPr>
          <w:color w:val="231F20"/>
          <w:w w:val="105"/>
        </w:rPr>
        <w:t>en</w:t>
      </w:r>
      <w:r>
        <w:rPr>
          <w:color w:val="231F20"/>
          <w:spacing w:val="-6"/>
          <w:w w:val="105"/>
        </w:rPr>
        <w:t> </w:t>
      </w:r>
      <w:r>
        <w:rPr>
          <w:color w:val="231F20"/>
          <w:w w:val="105"/>
        </w:rPr>
        <w:t>una </w:t>
      </w:r>
      <w:r>
        <w:rPr>
          <w:color w:val="231F20"/>
          <w:spacing w:val="-3"/>
          <w:w w:val="105"/>
        </w:rPr>
        <w:t>empresa</w:t>
      </w:r>
      <w:r>
        <w:rPr>
          <w:color w:val="231F20"/>
          <w:spacing w:val="-22"/>
          <w:w w:val="105"/>
        </w:rPr>
        <w:t> </w:t>
      </w:r>
      <w:r>
        <w:rPr>
          <w:color w:val="231F20"/>
          <w:spacing w:val="-3"/>
          <w:w w:val="105"/>
        </w:rPr>
        <w:t>residente</w:t>
      </w:r>
      <w:r>
        <w:rPr>
          <w:color w:val="231F20"/>
          <w:spacing w:val="-22"/>
          <w:w w:val="105"/>
        </w:rPr>
        <w:t> </w:t>
      </w:r>
      <w:r>
        <w:rPr>
          <w:color w:val="231F20"/>
          <w:w w:val="105"/>
        </w:rPr>
        <w:t>en</w:t>
      </w:r>
      <w:r>
        <w:rPr>
          <w:color w:val="231F20"/>
          <w:spacing w:val="-22"/>
          <w:w w:val="105"/>
        </w:rPr>
        <w:t> </w:t>
      </w:r>
      <w:r>
        <w:rPr>
          <w:color w:val="231F20"/>
          <w:spacing w:val="-3"/>
          <w:w w:val="105"/>
        </w:rPr>
        <w:t>otra</w:t>
      </w:r>
      <w:r>
        <w:rPr>
          <w:color w:val="231F20"/>
          <w:spacing w:val="-22"/>
          <w:w w:val="105"/>
        </w:rPr>
        <w:t> </w:t>
      </w:r>
      <w:r>
        <w:rPr>
          <w:color w:val="231F20"/>
          <w:spacing w:val="-3"/>
          <w:w w:val="105"/>
        </w:rPr>
        <w:t>economí.</w:t>
      </w:r>
      <w:r>
        <w:rPr>
          <w:color w:val="231F20"/>
          <w:spacing w:val="-27"/>
          <w:w w:val="105"/>
        </w:rPr>
        <w:t> </w:t>
      </w:r>
      <w:r>
        <w:rPr>
          <w:color w:val="231F20"/>
          <w:w w:val="105"/>
        </w:rPr>
        <w:t>El</w:t>
      </w:r>
      <w:r>
        <w:rPr>
          <w:color w:val="231F20"/>
          <w:spacing w:val="-22"/>
          <w:w w:val="105"/>
        </w:rPr>
        <w:t> </w:t>
      </w:r>
      <w:r>
        <w:rPr>
          <w:color w:val="231F20"/>
          <w:spacing w:val="-3"/>
          <w:w w:val="105"/>
        </w:rPr>
        <w:t>interés</w:t>
      </w:r>
      <w:r>
        <w:rPr>
          <w:color w:val="231F20"/>
          <w:spacing w:val="-22"/>
          <w:w w:val="105"/>
        </w:rPr>
        <w:t> </w:t>
      </w:r>
      <w:r>
        <w:rPr>
          <w:color w:val="231F20"/>
          <w:spacing w:val="-4"/>
          <w:w w:val="105"/>
        </w:rPr>
        <w:t>duradero</w:t>
      </w:r>
      <w:r>
        <w:rPr>
          <w:color w:val="231F20"/>
          <w:spacing w:val="-22"/>
          <w:w w:val="105"/>
        </w:rPr>
        <w:t> </w:t>
      </w:r>
      <w:r>
        <w:rPr>
          <w:color w:val="231F20"/>
          <w:spacing w:val="-3"/>
          <w:w w:val="105"/>
        </w:rPr>
        <w:t>implica</w:t>
      </w:r>
      <w:r>
        <w:rPr>
          <w:color w:val="231F20"/>
          <w:spacing w:val="-22"/>
          <w:w w:val="105"/>
        </w:rPr>
        <w:t> </w:t>
      </w:r>
      <w:r>
        <w:rPr>
          <w:color w:val="231F20"/>
          <w:w w:val="105"/>
        </w:rPr>
        <w:t>la</w:t>
      </w:r>
      <w:r>
        <w:rPr>
          <w:color w:val="231F20"/>
          <w:spacing w:val="-22"/>
          <w:w w:val="105"/>
        </w:rPr>
        <w:t> </w:t>
      </w:r>
      <w:r>
        <w:rPr>
          <w:color w:val="231F20"/>
          <w:spacing w:val="-3"/>
          <w:w w:val="105"/>
        </w:rPr>
        <w:t>existen- </w:t>
      </w:r>
      <w:r>
        <w:rPr>
          <w:color w:val="231F20"/>
          <w:w w:val="105"/>
        </w:rPr>
        <w:t>cia</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spacing w:val="-3"/>
          <w:w w:val="105"/>
        </w:rPr>
        <w:t>relación</w:t>
      </w:r>
      <w:r>
        <w:rPr>
          <w:color w:val="231F20"/>
          <w:spacing w:val="-25"/>
          <w:w w:val="105"/>
        </w:rPr>
        <w:t> </w:t>
      </w:r>
      <w:r>
        <w:rPr>
          <w:color w:val="231F20"/>
          <w:w w:val="105"/>
        </w:rPr>
        <w:t>a</w:t>
      </w:r>
      <w:r>
        <w:rPr>
          <w:color w:val="231F20"/>
          <w:spacing w:val="-25"/>
          <w:w w:val="105"/>
        </w:rPr>
        <w:t> </w:t>
      </w:r>
      <w:r>
        <w:rPr>
          <w:color w:val="231F20"/>
          <w:spacing w:val="-3"/>
          <w:w w:val="105"/>
        </w:rPr>
        <w:t>largo</w:t>
      </w:r>
      <w:r>
        <w:rPr>
          <w:color w:val="231F20"/>
          <w:spacing w:val="-25"/>
          <w:w w:val="105"/>
        </w:rPr>
        <w:t> </w:t>
      </w:r>
      <w:r>
        <w:rPr>
          <w:color w:val="231F20"/>
          <w:spacing w:val="-3"/>
          <w:w w:val="105"/>
        </w:rPr>
        <w:t>plazo</w:t>
      </w:r>
      <w:r>
        <w:rPr>
          <w:color w:val="231F20"/>
          <w:spacing w:val="-25"/>
          <w:w w:val="105"/>
        </w:rPr>
        <w:t> </w:t>
      </w:r>
      <w:r>
        <w:rPr>
          <w:color w:val="231F20"/>
          <w:spacing w:val="-3"/>
          <w:w w:val="105"/>
        </w:rPr>
        <w:t>entre</w:t>
      </w:r>
      <w:r>
        <w:rPr>
          <w:color w:val="231F20"/>
          <w:spacing w:val="-25"/>
          <w:w w:val="105"/>
        </w:rPr>
        <w:t> </w:t>
      </w:r>
      <w:r>
        <w:rPr>
          <w:color w:val="231F20"/>
          <w:w w:val="105"/>
        </w:rPr>
        <w:t>el</w:t>
      </w:r>
      <w:r>
        <w:rPr>
          <w:color w:val="231F20"/>
          <w:spacing w:val="-25"/>
          <w:w w:val="105"/>
        </w:rPr>
        <w:t> </w:t>
      </w:r>
      <w:r>
        <w:rPr>
          <w:color w:val="231F20"/>
          <w:spacing w:val="-3"/>
          <w:w w:val="105"/>
        </w:rPr>
        <w:t>inversionista</w:t>
      </w:r>
      <w:r>
        <w:rPr>
          <w:color w:val="231F20"/>
          <w:spacing w:val="-25"/>
          <w:w w:val="105"/>
        </w:rPr>
        <w:t> </w:t>
      </w:r>
      <w:r>
        <w:rPr>
          <w:color w:val="231F20"/>
          <w:spacing w:val="-3"/>
          <w:w w:val="105"/>
        </w:rPr>
        <w:t>directo</w:t>
      </w:r>
      <w:r>
        <w:rPr>
          <w:color w:val="231F20"/>
          <w:spacing w:val="-23"/>
          <w:w w:val="105"/>
        </w:rPr>
        <w:t> </w:t>
      </w:r>
      <w:r>
        <w:rPr>
          <w:color w:val="231F20"/>
          <w:w w:val="105"/>
        </w:rPr>
        <w:t>y</w:t>
      </w:r>
      <w:r>
        <w:rPr>
          <w:color w:val="231F20"/>
          <w:spacing w:val="-21"/>
          <w:w w:val="105"/>
        </w:rPr>
        <w:t> </w:t>
      </w:r>
      <w:r>
        <w:rPr>
          <w:color w:val="231F20"/>
          <w:w w:val="105"/>
        </w:rPr>
        <w:t>la</w:t>
      </w:r>
      <w:r>
        <w:rPr>
          <w:color w:val="231F20"/>
          <w:spacing w:val="-21"/>
          <w:w w:val="105"/>
        </w:rPr>
        <w:t> </w:t>
      </w:r>
      <w:r>
        <w:rPr>
          <w:color w:val="231F20"/>
          <w:w w:val="105"/>
        </w:rPr>
        <w:t>empresa</w:t>
      </w:r>
    </w:p>
    <w:p>
      <w:pPr>
        <w:spacing w:after="0" w:line="259" w:lineRule="auto"/>
        <w:jc w:val="both"/>
        <w:sectPr>
          <w:pgSz w:w="9640" w:h="13890"/>
          <w:pgMar w:top="0" w:bottom="280" w:left="1300" w:right="1180"/>
        </w:sectPr>
      </w:pPr>
    </w:p>
    <w:p>
      <w:pPr>
        <w:pStyle w:val="BodyText"/>
        <w:spacing w:before="5"/>
        <w:rPr>
          <w:sz w:val="12"/>
        </w:rPr>
      </w:pPr>
    </w:p>
    <w:p>
      <w:pPr>
        <w:pStyle w:val="BodyText"/>
        <w:spacing w:line="259" w:lineRule="auto" w:before="57"/>
        <w:ind w:left="103" w:right="115"/>
        <w:jc w:val="both"/>
      </w:pP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grado</w:t>
      </w:r>
      <w:r>
        <w:rPr>
          <w:color w:val="231F20"/>
          <w:spacing w:val="-13"/>
          <w:w w:val="105"/>
        </w:rPr>
        <w:t> </w:t>
      </w:r>
      <w:r>
        <w:rPr>
          <w:color w:val="231F20"/>
          <w:w w:val="105"/>
        </w:rPr>
        <w:t>significativo</w:t>
      </w:r>
      <w:r>
        <w:rPr>
          <w:color w:val="231F20"/>
          <w:spacing w:val="-13"/>
          <w:w w:val="105"/>
        </w:rPr>
        <w:t> </w:t>
      </w:r>
      <w:r>
        <w:rPr>
          <w:color w:val="231F20"/>
          <w:w w:val="105"/>
        </w:rPr>
        <w:t>de</w:t>
      </w:r>
      <w:r>
        <w:rPr>
          <w:color w:val="231F20"/>
          <w:spacing w:val="-13"/>
          <w:w w:val="105"/>
        </w:rPr>
        <w:t> </w:t>
      </w:r>
      <w:r>
        <w:rPr>
          <w:color w:val="231F20"/>
          <w:w w:val="105"/>
        </w:rPr>
        <w:t>influencia</w:t>
      </w:r>
      <w:r>
        <w:rPr>
          <w:color w:val="231F20"/>
          <w:spacing w:val="-13"/>
          <w:w w:val="105"/>
        </w:rPr>
        <w:t> </w:t>
      </w:r>
      <w:r>
        <w:rPr>
          <w:color w:val="231F20"/>
          <w:w w:val="105"/>
        </w:rPr>
        <w:t>del</w:t>
      </w:r>
      <w:r>
        <w:rPr>
          <w:color w:val="231F20"/>
          <w:spacing w:val="-13"/>
          <w:w w:val="105"/>
        </w:rPr>
        <w:t> </w:t>
      </w:r>
      <w:r>
        <w:rPr>
          <w:color w:val="231F20"/>
          <w:w w:val="105"/>
        </w:rPr>
        <w:t>inversionista</w:t>
      </w:r>
      <w:r>
        <w:rPr>
          <w:color w:val="231F20"/>
          <w:spacing w:val="-13"/>
          <w:w w:val="105"/>
        </w:rPr>
        <w:t> </w:t>
      </w:r>
      <w:r>
        <w:rPr>
          <w:color w:val="231F20"/>
          <w:w w:val="105"/>
        </w:rPr>
        <w:t>sobre</w:t>
      </w:r>
      <w:r>
        <w:rPr>
          <w:color w:val="231F20"/>
          <w:spacing w:val="-13"/>
          <w:w w:val="105"/>
        </w:rPr>
        <w:t> </w:t>
      </w:r>
      <w:r>
        <w:rPr>
          <w:color w:val="231F20"/>
          <w:w w:val="105"/>
        </w:rPr>
        <w:t>el</w:t>
      </w:r>
      <w:r>
        <w:rPr>
          <w:color w:val="231F20"/>
          <w:spacing w:val="-13"/>
          <w:w w:val="105"/>
        </w:rPr>
        <w:t> </w:t>
      </w:r>
      <w:r>
        <w:rPr>
          <w:color w:val="231F20"/>
          <w:w w:val="105"/>
        </w:rPr>
        <w:t>manejo</w:t>
      </w:r>
      <w:r>
        <w:rPr>
          <w:color w:val="231F20"/>
          <w:spacing w:val="-13"/>
          <w:w w:val="105"/>
        </w:rPr>
        <w:t> </w:t>
      </w:r>
      <w:r>
        <w:rPr>
          <w:color w:val="231F20"/>
          <w:w w:val="105"/>
        </w:rPr>
        <w:t>de </w:t>
      </w:r>
      <w:r>
        <w:rPr>
          <w:color w:val="231F20"/>
        </w:rPr>
        <w:t>la</w:t>
      </w:r>
      <w:r>
        <w:rPr>
          <w:color w:val="231F20"/>
          <w:spacing w:val="10"/>
        </w:rPr>
        <w:t> </w:t>
      </w:r>
      <w:r>
        <w:rPr>
          <w:color w:val="231F20"/>
        </w:rPr>
        <w:t>empresa.</w:t>
      </w:r>
    </w:p>
    <w:p>
      <w:pPr>
        <w:pStyle w:val="BodyText"/>
        <w:spacing w:line="259" w:lineRule="auto"/>
        <w:ind w:left="103" w:right="114" w:firstLine="567"/>
        <w:jc w:val="both"/>
      </w:pPr>
      <w:r>
        <w:rPr>
          <w:color w:val="231F20"/>
          <w:spacing w:val="-4"/>
          <w:w w:val="105"/>
        </w:rPr>
        <w:t>Para </w:t>
      </w:r>
      <w:r>
        <w:rPr>
          <w:color w:val="231F20"/>
          <w:w w:val="105"/>
        </w:rPr>
        <w:t>la Organización Mundial del Comercio (OMC, 2010) la IED ocurre cuando un inversor establecido en un país (origen) adquiere un activo en otro país (destino) con el objetivo de administrarlo. La</w:t>
      </w:r>
      <w:r>
        <w:rPr>
          <w:color w:val="231F20"/>
          <w:spacing w:val="-17"/>
          <w:w w:val="105"/>
        </w:rPr>
        <w:t> </w:t>
      </w:r>
      <w:r>
        <w:rPr>
          <w:color w:val="231F20"/>
          <w:w w:val="105"/>
        </w:rPr>
        <w:t>dimen- sión</w:t>
      </w:r>
      <w:r>
        <w:rPr>
          <w:color w:val="231F20"/>
          <w:spacing w:val="-12"/>
          <w:w w:val="105"/>
        </w:rPr>
        <w:t> </w:t>
      </w:r>
      <w:r>
        <w:rPr>
          <w:color w:val="231F20"/>
          <w:w w:val="105"/>
        </w:rPr>
        <w:t>del</w:t>
      </w:r>
      <w:r>
        <w:rPr>
          <w:color w:val="231F20"/>
          <w:spacing w:val="-12"/>
          <w:w w:val="105"/>
        </w:rPr>
        <w:t> </w:t>
      </w:r>
      <w:r>
        <w:rPr>
          <w:color w:val="231F20"/>
          <w:w w:val="105"/>
        </w:rPr>
        <w:t>manejo</w:t>
      </w:r>
      <w:r>
        <w:rPr>
          <w:color w:val="231F20"/>
          <w:spacing w:val="-12"/>
          <w:w w:val="105"/>
        </w:rPr>
        <w:t> </w:t>
      </w:r>
      <w:r>
        <w:rPr>
          <w:color w:val="231F20"/>
          <w:w w:val="105"/>
        </w:rPr>
        <w:t>del</w:t>
      </w:r>
      <w:r>
        <w:rPr>
          <w:color w:val="231F20"/>
          <w:spacing w:val="-12"/>
          <w:w w:val="105"/>
        </w:rPr>
        <w:t> </w:t>
      </w:r>
      <w:r>
        <w:rPr>
          <w:color w:val="231F20"/>
          <w:w w:val="105"/>
        </w:rPr>
        <w:t>activo</w:t>
      </w:r>
      <w:r>
        <w:rPr>
          <w:color w:val="231F20"/>
          <w:spacing w:val="-12"/>
          <w:w w:val="105"/>
        </w:rPr>
        <w:t> </w:t>
      </w:r>
      <w:r>
        <w:rPr>
          <w:color w:val="231F20"/>
          <w:w w:val="105"/>
        </w:rPr>
        <w:t>es</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distingue</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IED</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inversión</w:t>
      </w:r>
      <w:r>
        <w:rPr>
          <w:color w:val="231F20"/>
          <w:spacing w:val="-12"/>
          <w:w w:val="105"/>
        </w:rPr>
        <w:t> </w:t>
      </w:r>
      <w:r>
        <w:rPr>
          <w:color w:val="231F20"/>
          <w:w w:val="105"/>
        </w:rPr>
        <w:t>de portafolio</w:t>
      </w:r>
      <w:r>
        <w:rPr>
          <w:color w:val="231F20"/>
          <w:spacing w:val="-24"/>
          <w:w w:val="105"/>
        </w:rPr>
        <w:t> </w:t>
      </w:r>
      <w:r>
        <w:rPr>
          <w:color w:val="231F20"/>
          <w:w w:val="105"/>
        </w:rPr>
        <w:t>en</w:t>
      </w:r>
      <w:r>
        <w:rPr>
          <w:color w:val="231F20"/>
          <w:spacing w:val="-24"/>
          <w:w w:val="105"/>
        </w:rPr>
        <w:t> </w:t>
      </w:r>
      <w:r>
        <w:rPr>
          <w:color w:val="231F20"/>
          <w:w w:val="105"/>
        </w:rPr>
        <w:t>activos,</w:t>
      </w:r>
      <w:r>
        <w:rPr>
          <w:color w:val="231F20"/>
          <w:spacing w:val="-29"/>
          <w:w w:val="105"/>
        </w:rPr>
        <w:t> </w:t>
      </w:r>
      <w:r>
        <w:rPr>
          <w:color w:val="231F20"/>
          <w:w w:val="105"/>
        </w:rPr>
        <w:t>bonos</w:t>
      </w:r>
      <w:r>
        <w:rPr>
          <w:color w:val="231F20"/>
          <w:spacing w:val="-24"/>
          <w:w w:val="105"/>
        </w:rPr>
        <w:t> </w:t>
      </w:r>
      <w:r>
        <w:rPr>
          <w:color w:val="231F20"/>
          <w:w w:val="105"/>
        </w:rPr>
        <w:t>y</w:t>
      </w:r>
      <w:r>
        <w:rPr>
          <w:color w:val="231F20"/>
          <w:spacing w:val="-24"/>
          <w:w w:val="105"/>
        </w:rPr>
        <w:t> </w:t>
      </w:r>
      <w:r>
        <w:rPr>
          <w:color w:val="231F20"/>
          <w:w w:val="105"/>
        </w:rPr>
        <w:t>otros</w:t>
      </w:r>
      <w:r>
        <w:rPr>
          <w:color w:val="231F20"/>
          <w:spacing w:val="-24"/>
          <w:w w:val="105"/>
        </w:rPr>
        <w:t> </w:t>
      </w:r>
      <w:r>
        <w:rPr>
          <w:color w:val="231F20"/>
          <w:w w:val="105"/>
        </w:rPr>
        <w:t>instrumentos</w:t>
      </w:r>
      <w:r>
        <w:rPr>
          <w:color w:val="231F20"/>
          <w:spacing w:val="-24"/>
          <w:w w:val="105"/>
        </w:rPr>
        <w:t> </w:t>
      </w:r>
      <w:r>
        <w:rPr>
          <w:color w:val="231F20"/>
          <w:w w:val="105"/>
        </w:rPr>
        <w:t>financieros.</w:t>
      </w:r>
      <w:r>
        <w:rPr>
          <w:color w:val="231F20"/>
          <w:spacing w:val="-29"/>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mayo- ría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casos,</w:t>
      </w:r>
      <w:r>
        <w:rPr>
          <w:color w:val="231F20"/>
          <w:spacing w:val="-26"/>
          <w:w w:val="105"/>
        </w:rPr>
        <w:t> </w:t>
      </w:r>
      <w:r>
        <w:rPr>
          <w:color w:val="231F20"/>
          <w:w w:val="105"/>
        </w:rPr>
        <w:t>el</w:t>
      </w:r>
      <w:r>
        <w:rPr>
          <w:color w:val="231F20"/>
          <w:spacing w:val="-21"/>
          <w:w w:val="105"/>
        </w:rPr>
        <w:t> </w:t>
      </w:r>
      <w:r>
        <w:rPr>
          <w:color w:val="231F20"/>
          <w:w w:val="105"/>
        </w:rPr>
        <w:t>activo</w:t>
      </w:r>
      <w:r>
        <w:rPr>
          <w:color w:val="231F20"/>
          <w:spacing w:val="-21"/>
          <w:w w:val="105"/>
        </w:rPr>
        <w:t> </w:t>
      </w:r>
      <w:r>
        <w:rPr>
          <w:color w:val="231F20"/>
          <w:w w:val="105"/>
        </w:rPr>
        <w:t>es</w:t>
      </w:r>
      <w:r>
        <w:rPr>
          <w:color w:val="231F20"/>
          <w:spacing w:val="-21"/>
          <w:w w:val="105"/>
        </w:rPr>
        <w:t> </w:t>
      </w:r>
      <w:r>
        <w:rPr>
          <w:color w:val="231F20"/>
          <w:w w:val="105"/>
        </w:rPr>
        <w:t>administrado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extranjero</w:t>
      </w:r>
      <w:r>
        <w:rPr>
          <w:color w:val="231F20"/>
          <w:spacing w:val="-21"/>
          <w:w w:val="105"/>
        </w:rPr>
        <w:t> </w:t>
      </w:r>
      <w:r>
        <w:rPr>
          <w:color w:val="231F20"/>
          <w:w w:val="105"/>
        </w:rPr>
        <w:t>como</w:t>
      </w:r>
      <w:r>
        <w:rPr>
          <w:color w:val="231F20"/>
          <w:spacing w:val="-21"/>
          <w:w w:val="105"/>
        </w:rPr>
        <w:t> </w:t>
      </w:r>
      <w:r>
        <w:rPr>
          <w:color w:val="231F20"/>
          <w:w w:val="105"/>
        </w:rPr>
        <w:t>firma</w:t>
      </w:r>
      <w:r>
        <w:rPr>
          <w:color w:val="231F20"/>
          <w:spacing w:val="-21"/>
          <w:w w:val="105"/>
        </w:rPr>
        <w:t> </w:t>
      </w:r>
      <w:r>
        <w:rPr>
          <w:color w:val="231F20"/>
          <w:w w:val="105"/>
        </w:rPr>
        <w:t>del mismo</w:t>
      </w:r>
      <w:r>
        <w:rPr>
          <w:color w:val="231F20"/>
          <w:spacing w:val="-5"/>
          <w:w w:val="105"/>
        </w:rPr>
        <w:t> </w:t>
      </w:r>
      <w:r>
        <w:rPr>
          <w:color w:val="231F20"/>
          <w:w w:val="105"/>
        </w:rPr>
        <w:t>negocio.</w:t>
      </w:r>
      <w:r>
        <w:rPr>
          <w:color w:val="231F20"/>
          <w:spacing w:val="-10"/>
          <w:w w:val="105"/>
        </w:rPr>
        <w:t> </w:t>
      </w:r>
      <w:r>
        <w:rPr>
          <w:color w:val="231F20"/>
          <w:w w:val="105"/>
        </w:rPr>
        <w:t>Cuando</w:t>
      </w:r>
      <w:r>
        <w:rPr>
          <w:color w:val="231F20"/>
          <w:spacing w:val="-5"/>
          <w:w w:val="105"/>
        </w:rPr>
        <w:t> </w:t>
      </w:r>
      <w:r>
        <w:rPr>
          <w:color w:val="231F20"/>
          <w:w w:val="105"/>
        </w:rPr>
        <w:t>esto</w:t>
      </w:r>
      <w:r>
        <w:rPr>
          <w:color w:val="231F20"/>
          <w:spacing w:val="-5"/>
          <w:w w:val="105"/>
        </w:rPr>
        <w:t> </w:t>
      </w:r>
      <w:r>
        <w:rPr>
          <w:color w:val="231F20"/>
          <w:w w:val="105"/>
        </w:rPr>
        <w:t>sucede,</w:t>
      </w:r>
      <w:r>
        <w:rPr>
          <w:color w:val="231F20"/>
          <w:spacing w:val="-10"/>
          <w:w w:val="105"/>
        </w:rPr>
        <w:t> </w:t>
      </w:r>
      <w:r>
        <w:rPr>
          <w:color w:val="231F20"/>
          <w:w w:val="105"/>
        </w:rPr>
        <w:t>el</w:t>
      </w:r>
      <w:r>
        <w:rPr>
          <w:color w:val="231F20"/>
          <w:spacing w:val="-5"/>
          <w:w w:val="105"/>
        </w:rPr>
        <w:t> </w:t>
      </w:r>
      <w:r>
        <w:rPr>
          <w:color w:val="231F20"/>
          <w:w w:val="105"/>
        </w:rPr>
        <w:t>inversor</w:t>
      </w:r>
      <w:r>
        <w:rPr>
          <w:color w:val="231F20"/>
          <w:spacing w:val="-5"/>
          <w:w w:val="105"/>
        </w:rPr>
        <w:t> </w:t>
      </w:r>
      <w:r>
        <w:rPr>
          <w:color w:val="231F20"/>
          <w:w w:val="105"/>
        </w:rPr>
        <w:t>se</w:t>
      </w:r>
      <w:r>
        <w:rPr>
          <w:color w:val="231F20"/>
          <w:spacing w:val="-5"/>
          <w:w w:val="105"/>
        </w:rPr>
        <w:t> </w:t>
      </w:r>
      <w:r>
        <w:rPr>
          <w:color w:val="231F20"/>
          <w:w w:val="105"/>
        </w:rPr>
        <w:t>conoce</w:t>
      </w:r>
      <w:r>
        <w:rPr>
          <w:color w:val="231F20"/>
          <w:spacing w:val="-5"/>
          <w:w w:val="105"/>
        </w:rPr>
        <w:t> </w:t>
      </w:r>
      <w:r>
        <w:rPr>
          <w:color w:val="231F20"/>
          <w:w w:val="105"/>
        </w:rPr>
        <w:t>como</w:t>
      </w:r>
      <w:r>
        <w:rPr>
          <w:color w:val="231F20"/>
          <w:spacing w:val="-5"/>
          <w:w w:val="105"/>
        </w:rPr>
        <w:t> </w:t>
      </w:r>
      <w:r>
        <w:rPr>
          <w:color w:val="231F20"/>
          <w:w w:val="105"/>
        </w:rPr>
        <w:t>casa matriz</w:t>
      </w:r>
      <w:r>
        <w:rPr>
          <w:color w:val="231F20"/>
          <w:spacing w:val="-18"/>
          <w:w w:val="105"/>
        </w:rPr>
        <w:t> </w:t>
      </w:r>
      <w:r>
        <w:rPr>
          <w:color w:val="231F20"/>
          <w:w w:val="105"/>
        </w:rPr>
        <w:t>y</w:t>
      </w:r>
      <w:r>
        <w:rPr>
          <w:color w:val="231F20"/>
          <w:spacing w:val="-18"/>
          <w:w w:val="105"/>
        </w:rPr>
        <w:t> </w:t>
      </w:r>
      <w:r>
        <w:rPr>
          <w:color w:val="231F20"/>
          <w:w w:val="105"/>
        </w:rPr>
        <w:t>el</w:t>
      </w:r>
      <w:r>
        <w:rPr>
          <w:color w:val="231F20"/>
          <w:spacing w:val="-18"/>
          <w:w w:val="105"/>
        </w:rPr>
        <w:t> </w:t>
      </w:r>
      <w:r>
        <w:rPr>
          <w:color w:val="231F20"/>
          <w:w w:val="105"/>
        </w:rPr>
        <w:t>activo</w:t>
      </w:r>
      <w:r>
        <w:rPr>
          <w:color w:val="231F20"/>
          <w:spacing w:val="-18"/>
          <w:w w:val="105"/>
        </w:rPr>
        <w:t> </w:t>
      </w:r>
      <w:r>
        <w:rPr>
          <w:color w:val="231F20"/>
          <w:w w:val="105"/>
        </w:rPr>
        <w:t>como</w:t>
      </w:r>
      <w:r>
        <w:rPr>
          <w:color w:val="231F20"/>
          <w:spacing w:val="-18"/>
          <w:w w:val="105"/>
        </w:rPr>
        <w:t> </w:t>
      </w:r>
      <w:r>
        <w:rPr>
          <w:color w:val="231F20"/>
          <w:w w:val="105"/>
        </w:rPr>
        <w:t>afilada</w:t>
      </w:r>
      <w:r>
        <w:rPr>
          <w:color w:val="231F20"/>
          <w:spacing w:val="-18"/>
          <w:w w:val="105"/>
        </w:rPr>
        <w:t> </w:t>
      </w:r>
      <w:r>
        <w:rPr>
          <w:color w:val="231F20"/>
          <w:w w:val="105"/>
        </w:rPr>
        <w:t>o</w:t>
      </w:r>
      <w:r>
        <w:rPr>
          <w:color w:val="231F20"/>
          <w:spacing w:val="-18"/>
          <w:w w:val="105"/>
        </w:rPr>
        <w:t> </w:t>
      </w:r>
      <w:r>
        <w:rPr>
          <w:color w:val="231F20"/>
          <w:w w:val="105"/>
        </w:rPr>
        <w:t>subsidiaria.</w:t>
      </w:r>
    </w:p>
    <w:p>
      <w:pPr>
        <w:pStyle w:val="BodyText"/>
        <w:spacing w:line="259" w:lineRule="auto"/>
        <w:ind w:left="103" w:right="110" w:firstLine="567"/>
        <w:jc w:val="both"/>
      </w:pPr>
      <w:r>
        <w:rPr>
          <w:color w:val="231F20"/>
          <w:w w:val="105"/>
        </w:rPr>
        <w:t>En síntesis, en este trabajo se considera a la IED como el capital extranjero</w:t>
      </w:r>
      <w:r>
        <w:rPr>
          <w:color w:val="231F20"/>
          <w:spacing w:val="-22"/>
          <w:w w:val="105"/>
        </w:rPr>
        <w:t> </w:t>
      </w:r>
      <w:r>
        <w:rPr>
          <w:color w:val="231F20"/>
          <w:w w:val="105"/>
        </w:rPr>
        <w:t>que</w:t>
      </w:r>
      <w:r>
        <w:rPr>
          <w:color w:val="231F20"/>
          <w:spacing w:val="-22"/>
          <w:w w:val="105"/>
        </w:rPr>
        <w:t> </w:t>
      </w:r>
      <w:r>
        <w:rPr>
          <w:color w:val="231F20"/>
          <w:w w:val="105"/>
        </w:rPr>
        <w:t>llega</w:t>
      </w:r>
      <w:r>
        <w:rPr>
          <w:color w:val="231F20"/>
          <w:spacing w:val="-22"/>
          <w:w w:val="105"/>
        </w:rPr>
        <w:t> </w:t>
      </w:r>
      <w:r>
        <w:rPr>
          <w:color w:val="231F20"/>
          <w:w w:val="105"/>
        </w:rPr>
        <w:t>a</w:t>
      </w:r>
      <w:r>
        <w:rPr>
          <w:color w:val="231F20"/>
          <w:spacing w:val="-22"/>
          <w:w w:val="105"/>
        </w:rPr>
        <w:t> </w:t>
      </w:r>
      <w:r>
        <w:rPr>
          <w:color w:val="231F20"/>
          <w:w w:val="105"/>
        </w:rPr>
        <w:t>un</w:t>
      </w:r>
      <w:r>
        <w:rPr>
          <w:color w:val="231F20"/>
          <w:spacing w:val="-22"/>
          <w:w w:val="105"/>
        </w:rPr>
        <w:t> </w:t>
      </w:r>
      <w:r>
        <w:rPr>
          <w:color w:val="231F20"/>
          <w:w w:val="105"/>
        </w:rPr>
        <w:t>país</w:t>
      </w:r>
      <w:r>
        <w:rPr>
          <w:color w:val="231F20"/>
          <w:spacing w:val="-22"/>
          <w:w w:val="105"/>
        </w:rPr>
        <w:t> </w:t>
      </w:r>
      <w:r>
        <w:rPr>
          <w:color w:val="231F20"/>
          <w:w w:val="105"/>
        </w:rPr>
        <w:t>receptor</w:t>
      </w:r>
      <w:r>
        <w:rPr>
          <w:color w:val="231F20"/>
          <w:spacing w:val="-22"/>
          <w:w w:val="105"/>
        </w:rPr>
        <w:t> </w:t>
      </w:r>
      <w:r>
        <w:rPr>
          <w:color w:val="231F20"/>
          <w:w w:val="105"/>
        </w:rPr>
        <w:t>para</w:t>
      </w:r>
      <w:r>
        <w:rPr>
          <w:color w:val="231F20"/>
          <w:spacing w:val="-22"/>
          <w:w w:val="105"/>
        </w:rPr>
        <w:t> </w:t>
      </w:r>
      <w:r>
        <w:rPr>
          <w:color w:val="231F20"/>
          <w:w w:val="105"/>
        </w:rPr>
        <w:t>instalarse</w:t>
      </w:r>
      <w:r>
        <w:rPr>
          <w:color w:val="231F20"/>
          <w:spacing w:val="-22"/>
          <w:w w:val="105"/>
        </w:rPr>
        <w:t> </w:t>
      </w:r>
      <w:r>
        <w:rPr>
          <w:color w:val="231F20"/>
          <w:w w:val="105"/>
        </w:rPr>
        <w:t>y</w:t>
      </w:r>
      <w:r>
        <w:rPr>
          <w:color w:val="231F20"/>
          <w:spacing w:val="-22"/>
          <w:w w:val="105"/>
        </w:rPr>
        <w:t> </w:t>
      </w:r>
      <w:r>
        <w:rPr>
          <w:color w:val="231F20"/>
          <w:w w:val="105"/>
        </w:rPr>
        <w:t>ofrecer</w:t>
      </w:r>
      <w:r>
        <w:rPr>
          <w:color w:val="231F20"/>
          <w:spacing w:val="-22"/>
          <w:w w:val="105"/>
        </w:rPr>
        <w:t> </w:t>
      </w:r>
      <w:r>
        <w:rPr>
          <w:color w:val="231F20"/>
          <w:w w:val="105"/>
        </w:rPr>
        <w:t>empleos, obteniendo</w:t>
      </w:r>
      <w:r>
        <w:rPr>
          <w:color w:val="231F20"/>
          <w:spacing w:val="-6"/>
          <w:w w:val="105"/>
        </w:rPr>
        <w:t> </w:t>
      </w:r>
      <w:r>
        <w:rPr>
          <w:color w:val="231F20"/>
          <w:w w:val="105"/>
        </w:rPr>
        <w:t>ganancias</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palpan,</w:t>
      </w:r>
      <w:r>
        <w:rPr>
          <w:color w:val="231F20"/>
          <w:spacing w:val="-12"/>
          <w:w w:val="105"/>
        </w:rPr>
        <w:t> </w:t>
      </w:r>
      <w:r>
        <w:rPr>
          <w:color w:val="231F20"/>
          <w:w w:val="105"/>
        </w:rPr>
        <w:t>pero</w:t>
      </w:r>
      <w:r>
        <w:rPr>
          <w:color w:val="231F20"/>
          <w:spacing w:val="-6"/>
          <w:w w:val="105"/>
        </w:rPr>
        <w:t> </w:t>
      </w:r>
      <w:r>
        <w:rPr>
          <w:color w:val="231F20"/>
          <w:w w:val="105"/>
        </w:rPr>
        <w:t>que</w:t>
      </w:r>
      <w:r>
        <w:rPr>
          <w:color w:val="231F20"/>
          <w:spacing w:val="-6"/>
          <w:w w:val="105"/>
        </w:rPr>
        <w:t> </w:t>
      </w:r>
      <w:r>
        <w:rPr>
          <w:color w:val="231F20"/>
          <w:w w:val="105"/>
        </w:rPr>
        <w:t>pueden</w:t>
      </w:r>
      <w:r>
        <w:rPr>
          <w:color w:val="231F20"/>
          <w:spacing w:val="-6"/>
          <w:w w:val="105"/>
        </w:rPr>
        <w:t> </w:t>
      </w:r>
      <w:r>
        <w:rPr>
          <w:color w:val="231F20"/>
          <w:w w:val="105"/>
        </w:rPr>
        <w:t>reflejarse</w:t>
      </w:r>
      <w:r>
        <w:rPr>
          <w:color w:val="231F20"/>
          <w:spacing w:val="-6"/>
          <w:w w:val="105"/>
        </w:rPr>
        <w:t> </w:t>
      </w:r>
      <w:r>
        <w:rPr>
          <w:color w:val="231F20"/>
          <w:w w:val="105"/>
        </w:rPr>
        <w:t>en la</w:t>
      </w:r>
      <w:r>
        <w:rPr>
          <w:color w:val="231F20"/>
          <w:spacing w:val="-15"/>
          <w:w w:val="105"/>
        </w:rPr>
        <w:t> </w:t>
      </w:r>
      <w:r>
        <w:rPr>
          <w:color w:val="231F20"/>
          <w:w w:val="105"/>
        </w:rPr>
        <w:t>competitividad</w:t>
      </w:r>
      <w:r>
        <w:rPr>
          <w:color w:val="231F20"/>
          <w:spacing w:val="-15"/>
          <w:w w:val="105"/>
        </w:rPr>
        <w:t> </w:t>
      </w:r>
      <w:r>
        <w:rPr>
          <w:color w:val="231F20"/>
          <w:w w:val="105"/>
        </w:rPr>
        <w:t>regional,</w:t>
      </w:r>
      <w:r>
        <w:rPr>
          <w:color w:val="231F20"/>
          <w:spacing w:val="-21"/>
          <w:w w:val="105"/>
        </w:rPr>
        <w:t> </w:t>
      </w:r>
      <w:r>
        <w:rPr>
          <w:color w:val="231F20"/>
          <w:w w:val="105"/>
        </w:rPr>
        <w:t>de</w:t>
      </w:r>
      <w:r>
        <w:rPr>
          <w:color w:val="231F20"/>
          <w:spacing w:val="-15"/>
          <w:w w:val="105"/>
        </w:rPr>
        <w:t> </w:t>
      </w:r>
      <w:r>
        <w:rPr>
          <w:color w:val="231F20"/>
          <w:w w:val="105"/>
        </w:rPr>
        <w:t>país</w:t>
      </w:r>
      <w:r>
        <w:rPr>
          <w:color w:val="231F20"/>
          <w:spacing w:val="-15"/>
          <w:w w:val="105"/>
        </w:rPr>
        <w:t> </w:t>
      </w:r>
      <w:r>
        <w:rPr>
          <w:color w:val="231F20"/>
          <w:w w:val="105"/>
        </w:rPr>
        <w:t>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empresa.</w:t>
      </w:r>
      <w:r>
        <w:rPr>
          <w:color w:val="231F20"/>
          <w:spacing w:val="-21"/>
          <w:w w:val="105"/>
        </w:rPr>
        <w:t> </w:t>
      </w:r>
      <w:r>
        <w:rPr>
          <w:color w:val="231F20"/>
          <w:w w:val="105"/>
        </w:rPr>
        <w:t>De</w:t>
      </w:r>
      <w:r>
        <w:rPr>
          <w:color w:val="231F20"/>
          <w:spacing w:val="-15"/>
          <w:w w:val="105"/>
        </w:rPr>
        <w:t> </w:t>
      </w:r>
      <w:r>
        <w:rPr>
          <w:color w:val="231F20"/>
          <w:w w:val="105"/>
        </w:rPr>
        <w:t>aquí</w:t>
      </w:r>
      <w:r>
        <w:rPr>
          <w:color w:val="231F20"/>
          <w:spacing w:val="-15"/>
          <w:w w:val="105"/>
        </w:rPr>
        <w:t> </w:t>
      </w:r>
      <w:r>
        <w:rPr>
          <w:color w:val="231F20"/>
          <w:w w:val="105"/>
        </w:rPr>
        <w:t>la</w:t>
      </w:r>
      <w:r>
        <w:rPr>
          <w:color w:val="231F20"/>
          <w:spacing w:val="-15"/>
          <w:w w:val="105"/>
        </w:rPr>
        <w:t> </w:t>
      </w:r>
      <w:r>
        <w:rPr>
          <w:color w:val="231F20"/>
          <w:w w:val="105"/>
        </w:rPr>
        <w:t>importan- cia</w:t>
      </w:r>
      <w:r>
        <w:rPr>
          <w:color w:val="231F20"/>
          <w:spacing w:val="-13"/>
          <w:w w:val="105"/>
        </w:rPr>
        <w:t> </w:t>
      </w:r>
      <w:r>
        <w:rPr>
          <w:color w:val="231F20"/>
          <w:w w:val="105"/>
        </w:rPr>
        <w:t>de</w:t>
      </w:r>
      <w:r>
        <w:rPr>
          <w:color w:val="231F20"/>
          <w:spacing w:val="-13"/>
          <w:w w:val="105"/>
        </w:rPr>
        <w:t> </w:t>
      </w:r>
      <w:r>
        <w:rPr>
          <w:color w:val="231F20"/>
          <w:w w:val="105"/>
        </w:rPr>
        <w:t>abordar</w:t>
      </w:r>
      <w:r>
        <w:rPr>
          <w:color w:val="231F20"/>
          <w:spacing w:val="-13"/>
          <w:w w:val="105"/>
        </w:rPr>
        <w:t> </w:t>
      </w:r>
      <w:r>
        <w:rPr>
          <w:color w:val="231F20"/>
          <w:w w:val="105"/>
        </w:rPr>
        <w:t>la</w:t>
      </w:r>
      <w:r>
        <w:rPr>
          <w:color w:val="231F20"/>
          <w:spacing w:val="-13"/>
          <w:w w:val="105"/>
        </w:rPr>
        <w:t> </w:t>
      </w:r>
      <w:r>
        <w:rPr>
          <w:color w:val="231F20"/>
          <w:w w:val="105"/>
        </w:rPr>
        <w:t>relación</w:t>
      </w:r>
      <w:r>
        <w:rPr>
          <w:color w:val="231F20"/>
          <w:spacing w:val="-13"/>
          <w:w w:val="105"/>
        </w:rPr>
        <w:t> </w:t>
      </w:r>
      <w:r>
        <w:rPr>
          <w:color w:val="231F20"/>
          <w:w w:val="105"/>
        </w:rPr>
        <w:t>teórica</w:t>
      </w:r>
      <w:r>
        <w:rPr>
          <w:color w:val="231F20"/>
          <w:spacing w:val="-13"/>
          <w:w w:val="105"/>
        </w:rPr>
        <w:t> </w:t>
      </w:r>
      <w:r>
        <w:rPr>
          <w:color w:val="231F20"/>
          <w:w w:val="105"/>
        </w:rPr>
        <w:t>entre</w:t>
      </w:r>
      <w:r>
        <w:rPr>
          <w:color w:val="231F20"/>
          <w:spacing w:val="-13"/>
          <w:w w:val="105"/>
        </w:rPr>
        <w:t> </w:t>
      </w:r>
      <w:r>
        <w:rPr>
          <w:color w:val="231F20"/>
          <w:w w:val="105"/>
        </w:rPr>
        <w:t>ambos</w:t>
      </w:r>
      <w:r>
        <w:rPr>
          <w:color w:val="231F20"/>
          <w:spacing w:val="-13"/>
          <w:w w:val="105"/>
        </w:rPr>
        <w:t> </w:t>
      </w:r>
      <w:r>
        <w:rPr>
          <w:color w:val="231F20"/>
          <w:w w:val="105"/>
        </w:rPr>
        <w:t>componentes.</w:t>
      </w:r>
    </w:p>
    <w:p>
      <w:pPr>
        <w:pStyle w:val="BodyText"/>
        <w:rPr>
          <w:sz w:val="20"/>
        </w:rPr>
      </w:pPr>
    </w:p>
    <w:p>
      <w:pPr>
        <w:pStyle w:val="BodyText"/>
        <w:spacing w:before="7"/>
        <w:rPr>
          <w:sz w:val="18"/>
        </w:rPr>
      </w:pPr>
    </w:p>
    <w:p>
      <w:pPr>
        <w:pStyle w:val="Heading2"/>
        <w:ind w:left="103"/>
      </w:pPr>
      <w:r>
        <w:rPr>
          <w:color w:val="231F20"/>
        </w:rPr>
        <w:t>Modelos de competitividad</w:t>
      </w:r>
    </w:p>
    <w:p>
      <w:pPr>
        <w:pStyle w:val="BodyText"/>
        <w:rPr>
          <w:b/>
          <w:sz w:val="22"/>
        </w:rPr>
      </w:pPr>
    </w:p>
    <w:p>
      <w:pPr>
        <w:pStyle w:val="BodyText"/>
        <w:spacing w:line="259" w:lineRule="auto" w:before="160"/>
        <w:ind w:left="103" w:right="115"/>
        <w:jc w:val="both"/>
      </w:pPr>
      <w:r>
        <w:rPr>
          <w:color w:val="231F20"/>
          <w:w w:val="105"/>
        </w:rPr>
        <w:t>La</w:t>
      </w:r>
      <w:r>
        <w:rPr>
          <w:color w:val="231F20"/>
          <w:spacing w:val="-18"/>
          <w:w w:val="105"/>
        </w:rPr>
        <w:t> </w:t>
      </w:r>
      <w:r>
        <w:rPr>
          <w:color w:val="231F20"/>
          <w:w w:val="105"/>
        </w:rPr>
        <w:t>competitividad</w:t>
      </w:r>
      <w:r>
        <w:rPr>
          <w:color w:val="231F20"/>
          <w:spacing w:val="-18"/>
          <w:w w:val="105"/>
        </w:rPr>
        <w:t> </w:t>
      </w:r>
      <w:r>
        <w:rPr>
          <w:color w:val="231F20"/>
          <w:w w:val="105"/>
        </w:rPr>
        <w:t>se</w:t>
      </w:r>
      <w:r>
        <w:rPr>
          <w:color w:val="231F20"/>
          <w:spacing w:val="-18"/>
          <w:w w:val="105"/>
        </w:rPr>
        <w:t> </w:t>
      </w:r>
      <w:r>
        <w:rPr>
          <w:color w:val="231F20"/>
          <w:w w:val="105"/>
        </w:rPr>
        <w:t>define</w:t>
      </w:r>
      <w:r>
        <w:rPr>
          <w:color w:val="231F20"/>
          <w:spacing w:val="-18"/>
          <w:w w:val="105"/>
        </w:rPr>
        <w:t> </w:t>
      </w:r>
      <w:r>
        <w:rPr>
          <w:color w:val="231F20"/>
          <w:w w:val="105"/>
        </w:rPr>
        <w:t>como</w:t>
      </w:r>
      <w:r>
        <w:rPr>
          <w:color w:val="231F20"/>
          <w:spacing w:val="-18"/>
          <w:w w:val="105"/>
        </w:rPr>
        <w:t> </w:t>
      </w:r>
      <w:r>
        <w:rPr>
          <w:color w:val="231F20"/>
          <w:w w:val="105"/>
        </w:rPr>
        <w:t>el</w:t>
      </w:r>
      <w:r>
        <w:rPr>
          <w:color w:val="231F20"/>
          <w:spacing w:val="-18"/>
          <w:w w:val="105"/>
        </w:rPr>
        <w:t> </w:t>
      </w:r>
      <w:r>
        <w:rPr>
          <w:color w:val="231F20"/>
          <w:w w:val="105"/>
        </w:rPr>
        <w:t>medio</w:t>
      </w:r>
      <w:r>
        <w:rPr>
          <w:color w:val="231F20"/>
          <w:spacing w:val="-18"/>
          <w:w w:val="105"/>
        </w:rPr>
        <w:t> </w:t>
      </w:r>
      <w:r>
        <w:rPr>
          <w:color w:val="231F20"/>
          <w:w w:val="105"/>
        </w:rPr>
        <w:t>ambiente</w:t>
      </w:r>
      <w:r>
        <w:rPr>
          <w:color w:val="231F20"/>
          <w:spacing w:val="-18"/>
          <w:w w:val="105"/>
        </w:rPr>
        <w:t> </w:t>
      </w:r>
      <w:r>
        <w:rPr>
          <w:color w:val="231F20"/>
          <w:w w:val="105"/>
        </w:rPr>
        <w:t>creado</w:t>
      </w:r>
      <w:r>
        <w:rPr>
          <w:color w:val="231F20"/>
          <w:spacing w:val="-18"/>
          <w:w w:val="105"/>
        </w:rPr>
        <w:t> </w:t>
      </w:r>
      <w:r>
        <w:rPr>
          <w:color w:val="231F20"/>
          <w:w w:val="105"/>
        </w:rPr>
        <w:t>en</w:t>
      </w:r>
      <w:r>
        <w:rPr>
          <w:color w:val="231F20"/>
          <w:spacing w:val="-18"/>
          <w:w w:val="105"/>
        </w:rPr>
        <w:t> </w:t>
      </w:r>
      <w:r>
        <w:rPr>
          <w:color w:val="231F20"/>
          <w:w w:val="105"/>
        </w:rPr>
        <w:t>una</w:t>
      </w:r>
      <w:r>
        <w:rPr>
          <w:color w:val="231F20"/>
          <w:spacing w:val="-18"/>
          <w:w w:val="105"/>
        </w:rPr>
        <w:t> </w:t>
      </w:r>
      <w:r>
        <w:rPr>
          <w:color w:val="231F20"/>
          <w:w w:val="105"/>
        </w:rPr>
        <w:t>eco- nomía de mercado (considérese una nación, región o cualquier ámbito geográfico),</w:t>
      </w:r>
      <w:r>
        <w:rPr>
          <w:color w:val="231F20"/>
          <w:spacing w:val="-24"/>
          <w:w w:val="105"/>
        </w:rPr>
        <w:t> </w:t>
      </w:r>
      <w:r>
        <w:rPr>
          <w:color w:val="231F20"/>
          <w:w w:val="105"/>
        </w:rPr>
        <w:t>el</w:t>
      </w:r>
      <w:r>
        <w:rPr>
          <w:color w:val="231F20"/>
          <w:spacing w:val="-19"/>
          <w:w w:val="105"/>
        </w:rPr>
        <w:t> </w:t>
      </w:r>
      <w:r>
        <w:rPr>
          <w:color w:val="231F20"/>
          <w:w w:val="105"/>
        </w:rPr>
        <w:t>cual</w:t>
      </w:r>
      <w:r>
        <w:rPr>
          <w:color w:val="231F20"/>
          <w:spacing w:val="-19"/>
          <w:w w:val="105"/>
        </w:rPr>
        <w:t> </w:t>
      </w:r>
      <w:r>
        <w:rPr>
          <w:color w:val="231F20"/>
          <w:w w:val="105"/>
        </w:rPr>
        <w:t>es</w:t>
      </w:r>
      <w:r>
        <w:rPr>
          <w:color w:val="231F20"/>
          <w:spacing w:val="-19"/>
          <w:w w:val="105"/>
        </w:rPr>
        <w:t> </w:t>
      </w:r>
      <w:r>
        <w:rPr>
          <w:color w:val="231F20"/>
          <w:w w:val="105"/>
        </w:rPr>
        <w:t>suficientemente</w:t>
      </w:r>
      <w:r>
        <w:rPr>
          <w:color w:val="231F20"/>
          <w:spacing w:val="-19"/>
          <w:w w:val="105"/>
        </w:rPr>
        <w:t> </w:t>
      </w:r>
      <w:r>
        <w:rPr>
          <w:color w:val="231F20"/>
          <w:w w:val="105"/>
        </w:rPr>
        <w:t>atractivo</w:t>
      </w:r>
      <w:r>
        <w:rPr>
          <w:color w:val="231F20"/>
          <w:spacing w:val="-19"/>
          <w:w w:val="105"/>
        </w:rPr>
        <w:t> </w:t>
      </w:r>
      <w:r>
        <w:rPr>
          <w:color w:val="231F20"/>
          <w:w w:val="105"/>
        </w:rPr>
        <w:t>para</w:t>
      </w:r>
      <w:r>
        <w:rPr>
          <w:color w:val="231F20"/>
          <w:spacing w:val="-19"/>
          <w:w w:val="105"/>
        </w:rPr>
        <w:t> </w:t>
      </w:r>
      <w:r>
        <w:rPr>
          <w:color w:val="231F20"/>
          <w:w w:val="105"/>
        </w:rPr>
        <w:t>localizar</w:t>
      </w:r>
      <w:r>
        <w:rPr>
          <w:color w:val="231F20"/>
          <w:spacing w:val="-19"/>
          <w:w w:val="105"/>
        </w:rPr>
        <w:t> </w:t>
      </w:r>
      <w:r>
        <w:rPr>
          <w:color w:val="231F20"/>
          <w:w w:val="105"/>
        </w:rPr>
        <w:t>y</w:t>
      </w:r>
      <w:r>
        <w:rPr>
          <w:color w:val="231F20"/>
          <w:spacing w:val="-19"/>
          <w:w w:val="105"/>
        </w:rPr>
        <w:t> </w:t>
      </w:r>
      <w:r>
        <w:rPr>
          <w:color w:val="231F20"/>
          <w:w w:val="105"/>
        </w:rPr>
        <w:t>desarro- llar</w:t>
      </w:r>
      <w:r>
        <w:rPr>
          <w:color w:val="231F20"/>
          <w:spacing w:val="-5"/>
          <w:w w:val="105"/>
        </w:rPr>
        <w:t> </w:t>
      </w:r>
      <w:r>
        <w:rPr>
          <w:color w:val="231F20"/>
          <w:w w:val="105"/>
        </w:rPr>
        <w:t>actividades</w:t>
      </w:r>
      <w:r>
        <w:rPr>
          <w:color w:val="231F20"/>
          <w:spacing w:val="-5"/>
          <w:w w:val="105"/>
        </w:rPr>
        <w:t> </w:t>
      </w:r>
      <w:r>
        <w:rPr>
          <w:color w:val="231F20"/>
          <w:w w:val="105"/>
        </w:rPr>
        <w:t>económicas;</w:t>
      </w:r>
      <w:r>
        <w:rPr>
          <w:color w:val="231F20"/>
          <w:spacing w:val="-5"/>
          <w:w w:val="105"/>
        </w:rPr>
        <w:t> </w:t>
      </w:r>
      <w:r>
        <w:rPr>
          <w:color w:val="231F20"/>
          <w:w w:val="105"/>
        </w:rPr>
        <w:t>esto</w:t>
      </w:r>
      <w:r>
        <w:rPr>
          <w:color w:val="231F20"/>
          <w:spacing w:val="-5"/>
          <w:w w:val="105"/>
        </w:rPr>
        <w:t> </w:t>
      </w:r>
      <w:r>
        <w:rPr>
          <w:color w:val="231F20"/>
          <w:w w:val="105"/>
        </w:rPr>
        <w:t>es,</w:t>
      </w:r>
      <w:r>
        <w:rPr>
          <w:color w:val="231F20"/>
          <w:spacing w:val="-11"/>
          <w:w w:val="105"/>
        </w:rPr>
        <w:t> </w:t>
      </w:r>
      <w:r>
        <w:rPr>
          <w:color w:val="231F20"/>
          <w:w w:val="105"/>
        </w:rPr>
        <w:t>la</w:t>
      </w:r>
      <w:r>
        <w:rPr>
          <w:color w:val="231F20"/>
          <w:spacing w:val="-5"/>
          <w:w w:val="105"/>
        </w:rPr>
        <w:t> </w:t>
      </w:r>
      <w:r>
        <w:rPr>
          <w:color w:val="231F20"/>
          <w:w w:val="105"/>
        </w:rPr>
        <w:t>competitividad</w:t>
      </w:r>
      <w:r>
        <w:rPr>
          <w:color w:val="231F20"/>
          <w:spacing w:val="-5"/>
          <w:w w:val="105"/>
        </w:rPr>
        <w:t> </w:t>
      </w:r>
      <w:r>
        <w:rPr>
          <w:color w:val="231F20"/>
          <w:w w:val="105"/>
        </w:rPr>
        <w:t>se</w:t>
      </w:r>
      <w:r>
        <w:rPr>
          <w:color w:val="231F20"/>
          <w:spacing w:val="-5"/>
          <w:w w:val="105"/>
        </w:rPr>
        <w:t> </w:t>
      </w:r>
      <w:r>
        <w:rPr>
          <w:color w:val="231F20"/>
          <w:w w:val="105"/>
        </w:rPr>
        <w:t>relaciona</w:t>
      </w:r>
      <w:r>
        <w:rPr>
          <w:color w:val="231F20"/>
          <w:spacing w:val="-5"/>
          <w:w w:val="105"/>
        </w:rPr>
        <w:t> </w:t>
      </w:r>
      <w:r>
        <w:rPr>
          <w:color w:val="231F20"/>
          <w:w w:val="105"/>
        </w:rPr>
        <w:t>con una</w:t>
      </w:r>
      <w:r>
        <w:rPr>
          <w:color w:val="231F20"/>
          <w:spacing w:val="-19"/>
          <w:w w:val="105"/>
        </w:rPr>
        <w:t> </w:t>
      </w:r>
      <w:r>
        <w:rPr>
          <w:color w:val="231F20"/>
          <w:w w:val="105"/>
        </w:rPr>
        <w:t>participación</w:t>
      </w:r>
      <w:r>
        <w:rPr>
          <w:color w:val="231F20"/>
          <w:spacing w:val="-19"/>
          <w:w w:val="105"/>
        </w:rPr>
        <w:t> </w:t>
      </w:r>
      <w:r>
        <w:rPr>
          <w:color w:val="231F20"/>
          <w:w w:val="105"/>
        </w:rPr>
        <w:t>exitosa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mercado</w:t>
      </w:r>
      <w:r>
        <w:rPr>
          <w:color w:val="231F20"/>
          <w:spacing w:val="-19"/>
          <w:w w:val="105"/>
        </w:rPr>
        <w:t> </w:t>
      </w:r>
      <w:r>
        <w:rPr>
          <w:color w:val="231F20"/>
          <w:w w:val="105"/>
        </w:rPr>
        <w:t>internacional</w:t>
      </w:r>
      <w:r>
        <w:rPr>
          <w:color w:val="231F20"/>
          <w:spacing w:val="-19"/>
          <w:w w:val="105"/>
        </w:rPr>
        <w:t> </w:t>
      </w:r>
      <w:r>
        <w:rPr>
          <w:color w:val="231F20"/>
          <w:w w:val="105"/>
        </w:rPr>
        <w:t>(Müller,</w:t>
      </w:r>
      <w:r>
        <w:rPr>
          <w:color w:val="231F20"/>
          <w:spacing w:val="-25"/>
          <w:w w:val="105"/>
        </w:rPr>
        <w:t> </w:t>
      </w:r>
      <w:r>
        <w:rPr>
          <w:color w:val="231F20"/>
          <w:w w:val="105"/>
        </w:rPr>
        <w:t>1992).</w:t>
      </w:r>
    </w:p>
    <w:p>
      <w:pPr>
        <w:pStyle w:val="BodyText"/>
        <w:spacing w:line="259" w:lineRule="auto"/>
        <w:ind w:left="103" w:right="114" w:firstLine="567"/>
        <w:jc w:val="both"/>
      </w:pPr>
      <w:r>
        <w:rPr>
          <w:color w:val="231F20"/>
          <w:w w:val="105"/>
        </w:rPr>
        <w:t>La competitividad como aptitud o capacidad competitiva es una cualidad subjetiva y consiste en ciertos poderes o capacidades de los que</w:t>
      </w:r>
      <w:r>
        <w:rPr>
          <w:color w:val="231F20"/>
          <w:spacing w:val="-24"/>
          <w:w w:val="105"/>
        </w:rPr>
        <w:t> </w:t>
      </w:r>
      <w:r>
        <w:rPr>
          <w:color w:val="231F20"/>
          <w:w w:val="105"/>
        </w:rPr>
        <w:t>gozan</w:t>
      </w:r>
      <w:r>
        <w:rPr>
          <w:color w:val="231F20"/>
          <w:spacing w:val="-24"/>
          <w:w w:val="105"/>
        </w:rPr>
        <w:t> </w:t>
      </w:r>
      <w:r>
        <w:rPr>
          <w:color w:val="231F20"/>
          <w:w w:val="105"/>
        </w:rPr>
        <w:t>algunos</w:t>
      </w:r>
      <w:r>
        <w:rPr>
          <w:color w:val="231F20"/>
          <w:spacing w:val="-24"/>
          <w:w w:val="105"/>
        </w:rPr>
        <w:t> </w:t>
      </w:r>
      <w:r>
        <w:rPr>
          <w:color w:val="231F20"/>
          <w:w w:val="105"/>
        </w:rPr>
        <w:t>sujetos</w:t>
      </w:r>
      <w:r>
        <w:rPr>
          <w:color w:val="231F20"/>
          <w:spacing w:val="-24"/>
          <w:w w:val="105"/>
        </w:rPr>
        <w:t> </w:t>
      </w:r>
      <w:r>
        <w:rPr>
          <w:color w:val="231F20"/>
          <w:w w:val="105"/>
        </w:rPr>
        <w:t>(Guerrero,</w:t>
      </w:r>
      <w:r>
        <w:rPr>
          <w:color w:val="231F20"/>
          <w:spacing w:val="-29"/>
          <w:w w:val="105"/>
        </w:rPr>
        <w:t> </w:t>
      </w:r>
      <w:r>
        <w:rPr>
          <w:color w:val="231F20"/>
          <w:w w:val="105"/>
        </w:rPr>
        <w:t>1995).</w:t>
      </w:r>
      <w:r>
        <w:rPr>
          <w:color w:val="231F20"/>
          <w:spacing w:val="-29"/>
          <w:w w:val="105"/>
        </w:rPr>
        <w:t> </w:t>
      </w:r>
      <w:r>
        <w:rPr>
          <w:color w:val="231F20"/>
          <w:w w:val="105"/>
        </w:rPr>
        <w:t>La</w:t>
      </w:r>
      <w:r>
        <w:rPr>
          <w:color w:val="231F20"/>
          <w:spacing w:val="-24"/>
          <w:w w:val="105"/>
        </w:rPr>
        <w:t> </w:t>
      </w:r>
      <w:r>
        <w:rPr>
          <w:color w:val="231F20"/>
          <w:w w:val="105"/>
        </w:rPr>
        <w:t>competitividad</w:t>
      </w:r>
      <w:r>
        <w:rPr>
          <w:color w:val="231F20"/>
          <w:spacing w:val="-24"/>
          <w:w w:val="105"/>
        </w:rPr>
        <w:t> </w:t>
      </w:r>
      <w:r>
        <w:rPr>
          <w:color w:val="231F20"/>
          <w:w w:val="105"/>
        </w:rPr>
        <w:t>como</w:t>
      </w:r>
      <w:r>
        <w:rPr>
          <w:color w:val="231F20"/>
          <w:spacing w:val="-24"/>
          <w:w w:val="105"/>
        </w:rPr>
        <w:t> </w:t>
      </w:r>
      <w:r>
        <w:rPr>
          <w:color w:val="231F20"/>
          <w:w w:val="105"/>
        </w:rPr>
        <w:t>es- tado</w:t>
      </w:r>
      <w:r>
        <w:rPr>
          <w:color w:val="231F20"/>
          <w:spacing w:val="-9"/>
          <w:w w:val="105"/>
        </w:rPr>
        <w:t> </w:t>
      </w:r>
      <w:r>
        <w:rPr>
          <w:color w:val="231F20"/>
          <w:w w:val="105"/>
        </w:rPr>
        <w:t>competitivo</w:t>
      </w:r>
      <w:r>
        <w:rPr>
          <w:color w:val="231F20"/>
          <w:spacing w:val="-9"/>
          <w:w w:val="105"/>
        </w:rPr>
        <w:t> </w:t>
      </w:r>
      <w:r>
        <w:rPr>
          <w:color w:val="231F20"/>
          <w:w w:val="105"/>
        </w:rPr>
        <w:t>es</w:t>
      </w:r>
      <w:r>
        <w:rPr>
          <w:color w:val="231F20"/>
          <w:spacing w:val="-9"/>
          <w:w w:val="105"/>
        </w:rPr>
        <w:t> </w:t>
      </w:r>
      <w:r>
        <w:rPr>
          <w:color w:val="231F20"/>
          <w:w w:val="105"/>
        </w:rPr>
        <w:t>la</w:t>
      </w:r>
      <w:r>
        <w:rPr>
          <w:color w:val="231F20"/>
          <w:spacing w:val="-9"/>
          <w:w w:val="105"/>
        </w:rPr>
        <w:t> </w:t>
      </w:r>
      <w:r>
        <w:rPr>
          <w:color w:val="231F20"/>
          <w:w w:val="105"/>
        </w:rPr>
        <w:t>situación</w:t>
      </w:r>
      <w:r>
        <w:rPr>
          <w:color w:val="231F20"/>
          <w:spacing w:val="-9"/>
          <w:w w:val="105"/>
        </w:rPr>
        <w:t> </w:t>
      </w:r>
      <w:r>
        <w:rPr>
          <w:color w:val="231F20"/>
          <w:w w:val="105"/>
        </w:rPr>
        <w:t>o</w:t>
      </w:r>
      <w:r>
        <w:rPr>
          <w:color w:val="231F20"/>
          <w:spacing w:val="-9"/>
          <w:w w:val="105"/>
        </w:rPr>
        <w:t> </w:t>
      </w:r>
      <w:r>
        <w:rPr>
          <w:color w:val="231F20"/>
          <w:w w:val="105"/>
        </w:rPr>
        <w:t>relación</w:t>
      </w:r>
      <w:r>
        <w:rPr>
          <w:color w:val="231F20"/>
          <w:spacing w:val="-9"/>
          <w:w w:val="105"/>
        </w:rPr>
        <w:t> </w:t>
      </w:r>
      <w:r>
        <w:rPr>
          <w:color w:val="231F20"/>
          <w:w w:val="105"/>
        </w:rPr>
        <w:t>objetiva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encuen- tran</w:t>
      </w:r>
      <w:r>
        <w:rPr>
          <w:color w:val="231F20"/>
          <w:spacing w:val="-8"/>
          <w:w w:val="105"/>
        </w:rPr>
        <w:t> </w:t>
      </w:r>
      <w:r>
        <w:rPr>
          <w:color w:val="231F20"/>
          <w:w w:val="105"/>
        </w:rPr>
        <w:t>los</w:t>
      </w:r>
      <w:r>
        <w:rPr>
          <w:color w:val="231F20"/>
          <w:spacing w:val="-8"/>
          <w:w w:val="105"/>
        </w:rPr>
        <w:t> </w:t>
      </w:r>
      <w:r>
        <w:rPr>
          <w:color w:val="231F20"/>
          <w:w w:val="105"/>
        </w:rPr>
        <w:t>sujetos</w:t>
      </w:r>
      <w:r>
        <w:rPr>
          <w:color w:val="231F20"/>
          <w:spacing w:val="-8"/>
          <w:w w:val="105"/>
        </w:rPr>
        <w:t> </w:t>
      </w:r>
      <w:r>
        <w:rPr>
          <w:color w:val="231F20"/>
          <w:w w:val="105"/>
        </w:rPr>
        <w:t>con</w:t>
      </w:r>
      <w:r>
        <w:rPr>
          <w:color w:val="231F20"/>
          <w:spacing w:val="-8"/>
          <w:w w:val="105"/>
        </w:rPr>
        <w:t> </w:t>
      </w:r>
      <w:r>
        <w:rPr>
          <w:color w:val="231F20"/>
          <w:w w:val="105"/>
        </w:rPr>
        <w:t>independencia</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algunos</w:t>
      </w:r>
      <w:r>
        <w:rPr>
          <w:color w:val="231F20"/>
          <w:spacing w:val="-8"/>
          <w:w w:val="105"/>
        </w:rPr>
        <w:t> </w:t>
      </w:r>
      <w:r>
        <w:rPr>
          <w:color w:val="231F20"/>
          <w:w w:val="105"/>
        </w:rPr>
        <w:t>de</w:t>
      </w:r>
      <w:r>
        <w:rPr>
          <w:color w:val="231F20"/>
          <w:spacing w:val="-8"/>
          <w:w w:val="105"/>
        </w:rPr>
        <w:t> </w:t>
      </w:r>
      <w:r>
        <w:rPr>
          <w:color w:val="231F20"/>
          <w:w w:val="105"/>
        </w:rPr>
        <w:t>ellos</w:t>
      </w:r>
      <w:r>
        <w:rPr>
          <w:color w:val="231F20"/>
          <w:spacing w:val="-8"/>
          <w:w w:val="105"/>
        </w:rPr>
        <w:t> </w:t>
      </w:r>
      <w:r>
        <w:rPr>
          <w:color w:val="231F20"/>
          <w:w w:val="105"/>
        </w:rPr>
        <w:t>estén</w:t>
      </w:r>
      <w:r>
        <w:rPr>
          <w:color w:val="231F20"/>
          <w:spacing w:val="-8"/>
          <w:w w:val="105"/>
        </w:rPr>
        <w:t> </w:t>
      </w:r>
      <w:r>
        <w:rPr>
          <w:color w:val="231F20"/>
          <w:w w:val="105"/>
        </w:rPr>
        <w:t>mejor (o</w:t>
      </w:r>
      <w:r>
        <w:rPr>
          <w:color w:val="231F20"/>
          <w:spacing w:val="-15"/>
          <w:w w:val="105"/>
        </w:rPr>
        <w:t> </w:t>
      </w:r>
      <w:r>
        <w:rPr>
          <w:color w:val="231F20"/>
          <w:w w:val="105"/>
        </w:rPr>
        <w:t>peor)</w:t>
      </w:r>
      <w:r>
        <w:rPr>
          <w:color w:val="231F20"/>
          <w:spacing w:val="-15"/>
          <w:w w:val="105"/>
        </w:rPr>
        <w:t> </w:t>
      </w:r>
      <w:r>
        <w:rPr>
          <w:color w:val="231F20"/>
          <w:w w:val="105"/>
        </w:rPr>
        <w:t>dotados.</w:t>
      </w:r>
      <w:r>
        <w:rPr>
          <w:color w:val="231F20"/>
          <w:spacing w:val="-20"/>
          <w:w w:val="105"/>
        </w:rPr>
        <w:t> </w:t>
      </w:r>
      <w:r>
        <w:rPr>
          <w:color w:val="231F20"/>
          <w:w w:val="105"/>
        </w:rPr>
        <w:t>Son</w:t>
      </w:r>
      <w:r>
        <w:rPr>
          <w:color w:val="231F20"/>
          <w:spacing w:val="-15"/>
          <w:w w:val="105"/>
        </w:rPr>
        <w:t> </w:t>
      </w:r>
      <w:r>
        <w:rPr>
          <w:color w:val="231F20"/>
          <w:w w:val="105"/>
        </w:rPr>
        <w:t>las</w:t>
      </w:r>
      <w:r>
        <w:rPr>
          <w:color w:val="231F20"/>
          <w:spacing w:val="-15"/>
          <w:w w:val="105"/>
        </w:rPr>
        <w:t> </w:t>
      </w:r>
      <w:r>
        <w:rPr>
          <w:color w:val="231F20"/>
          <w:w w:val="105"/>
        </w:rPr>
        <w:t>economías</w:t>
      </w:r>
      <w:r>
        <w:rPr>
          <w:color w:val="231F20"/>
          <w:spacing w:val="-15"/>
          <w:w w:val="105"/>
        </w:rPr>
        <w:t> </w:t>
      </w:r>
      <w:r>
        <w:rPr>
          <w:color w:val="231F20"/>
          <w:w w:val="105"/>
        </w:rPr>
        <w:t>o</w:t>
      </w:r>
      <w:r>
        <w:rPr>
          <w:color w:val="231F20"/>
          <w:spacing w:val="-15"/>
          <w:w w:val="105"/>
        </w:rPr>
        <w:t> </w:t>
      </w:r>
      <w:r>
        <w:rPr>
          <w:color w:val="231F20"/>
          <w:w w:val="105"/>
        </w:rPr>
        <w:t>países</w:t>
      </w:r>
      <w:r>
        <w:rPr>
          <w:color w:val="231F20"/>
          <w:spacing w:val="-15"/>
          <w:w w:val="105"/>
        </w:rPr>
        <w:t> </w:t>
      </w:r>
      <w:r>
        <w:rPr>
          <w:color w:val="231F20"/>
          <w:w w:val="105"/>
        </w:rPr>
        <w:t>capitalistas</w:t>
      </w:r>
      <w:r>
        <w:rPr>
          <w:color w:val="231F20"/>
          <w:spacing w:val="-15"/>
          <w:w w:val="105"/>
        </w:rPr>
        <w:t> </w:t>
      </w:r>
      <w:r>
        <w:rPr>
          <w:color w:val="231F20"/>
          <w:w w:val="105"/>
        </w:rPr>
        <w:t>o</w:t>
      </w:r>
      <w:r>
        <w:rPr>
          <w:color w:val="231F20"/>
          <w:spacing w:val="-15"/>
          <w:w w:val="105"/>
        </w:rPr>
        <w:t> </w:t>
      </w:r>
      <w:r>
        <w:rPr>
          <w:color w:val="231F20"/>
          <w:w w:val="105"/>
        </w:rPr>
        <w:t>de</w:t>
      </w:r>
      <w:r>
        <w:rPr>
          <w:color w:val="231F20"/>
          <w:spacing w:val="-15"/>
          <w:w w:val="105"/>
        </w:rPr>
        <w:t> </w:t>
      </w:r>
      <w:r>
        <w:rPr>
          <w:color w:val="231F20"/>
          <w:w w:val="105"/>
        </w:rPr>
        <w:t>mercado los que de forma objetiva están en condiciones competitivas, con inde- pendencia</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sus</w:t>
      </w:r>
      <w:r>
        <w:rPr>
          <w:color w:val="231F20"/>
          <w:spacing w:val="-10"/>
          <w:w w:val="105"/>
        </w:rPr>
        <w:t> </w:t>
      </w:r>
      <w:r>
        <w:rPr>
          <w:color w:val="231F20"/>
          <w:w w:val="105"/>
        </w:rPr>
        <w:t>empresas</w:t>
      </w:r>
      <w:r>
        <w:rPr>
          <w:color w:val="231F20"/>
          <w:spacing w:val="-10"/>
          <w:w w:val="105"/>
        </w:rPr>
        <w:t> </w:t>
      </w:r>
      <w:r>
        <w:rPr>
          <w:color w:val="231F20"/>
          <w:w w:val="105"/>
        </w:rPr>
        <w:t>sean</w:t>
      </w:r>
      <w:r>
        <w:rPr>
          <w:color w:val="231F20"/>
          <w:spacing w:val="-10"/>
          <w:w w:val="105"/>
        </w:rPr>
        <w:t> </w:t>
      </w:r>
      <w:r>
        <w:rPr>
          <w:color w:val="231F20"/>
          <w:w w:val="105"/>
        </w:rPr>
        <w:t>competitivas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primer</w:t>
      </w:r>
      <w:r>
        <w:rPr>
          <w:color w:val="231F20"/>
          <w:spacing w:val="-10"/>
          <w:w w:val="105"/>
        </w:rPr>
        <w:t> </w:t>
      </w:r>
      <w:r>
        <w:rPr>
          <w:color w:val="231F20"/>
          <w:w w:val="105"/>
        </w:rPr>
        <w:t>sentido del término. En su reporte anual el </w:t>
      </w:r>
      <w:r>
        <w:rPr>
          <w:color w:val="231F20"/>
          <w:spacing w:val="-4"/>
          <w:w w:val="105"/>
        </w:rPr>
        <w:t>Foro </w:t>
      </w:r>
      <w:r>
        <w:rPr>
          <w:color w:val="231F20"/>
          <w:w w:val="105"/>
        </w:rPr>
        <w:t>Económico Mundial (2014) la conceptualiza</w:t>
      </w:r>
      <w:r>
        <w:rPr>
          <w:color w:val="231F20"/>
          <w:spacing w:val="-13"/>
          <w:w w:val="105"/>
        </w:rPr>
        <w:t> </w:t>
      </w:r>
      <w:r>
        <w:rPr>
          <w:color w:val="231F20"/>
          <w:w w:val="105"/>
        </w:rPr>
        <w:t>como</w:t>
      </w:r>
      <w:r>
        <w:rPr>
          <w:color w:val="231F20"/>
          <w:spacing w:val="-13"/>
          <w:w w:val="105"/>
        </w:rPr>
        <w:t> </w:t>
      </w:r>
      <w:r>
        <w:rPr>
          <w:color w:val="231F20"/>
          <w:w w:val="105"/>
        </w:rPr>
        <w:t>el</w:t>
      </w:r>
      <w:r>
        <w:rPr>
          <w:color w:val="231F20"/>
          <w:spacing w:val="-13"/>
          <w:w w:val="105"/>
        </w:rPr>
        <w:t> </w:t>
      </w:r>
      <w:r>
        <w:rPr>
          <w:color w:val="231F20"/>
          <w:w w:val="105"/>
        </w:rPr>
        <w:t>conjunto</w:t>
      </w:r>
      <w:r>
        <w:rPr>
          <w:color w:val="231F20"/>
          <w:spacing w:val="-13"/>
          <w:w w:val="105"/>
        </w:rPr>
        <w:t> </w:t>
      </w:r>
      <w:r>
        <w:rPr>
          <w:color w:val="231F20"/>
          <w:w w:val="105"/>
        </w:rPr>
        <w:t>de</w:t>
      </w:r>
      <w:r>
        <w:rPr>
          <w:color w:val="231F20"/>
          <w:spacing w:val="-13"/>
          <w:w w:val="105"/>
        </w:rPr>
        <w:t> </w:t>
      </w:r>
      <w:r>
        <w:rPr>
          <w:color w:val="231F20"/>
          <w:w w:val="105"/>
        </w:rPr>
        <w:t>instituciones,</w:t>
      </w:r>
      <w:r>
        <w:rPr>
          <w:color w:val="231F20"/>
          <w:spacing w:val="-19"/>
          <w:w w:val="105"/>
        </w:rPr>
        <w:t> </w:t>
      </w:r>
      <w:r>
        <w:rPr>
          <w:color w:val="231F20"/>
          <w:w w:val="105"/>
        </w:rPr>
        <w:t>políticas</w:t>
      </w:r>
      <w:r>
        <w:rPr>
          <w:color w:val="231F20"/>
          <w:spacing w:val="-13"/>
          <w:w w:val="105"/>
        </w:rPr>
        <w:t> </w:t>
      </w:r>
      <w:r>
        <w:rPr>
          <w:color w:val="231F20"/>
          <w:w w:val="105"/>
        </w:rPr>
        <w:t>y</w:t>
      </w:r>
      <w:r>
        <w:rPr>
          <w:color w:val="231F20"/>
          <w:spacing w:val="-13"/>
          <w:w w:val="105"/>
        </w:rPr>
        <w:t> </w:t>
      </w:r>
      <w:r>
        <w:rPr>
          <w:color w:val="231F20"/>
          <w:w w:val="105"/>
        </w:rPr>
        <w:t>factores</w:t>
      </w:r>
      <w:r>
        <w:rPr>
          <w:color w:val="231F20"/>
          <w:spacing w:val="-13"/>
          <w:w w:val="105"/>
        </w:rPr>
        <w:t> </w:t>
      </w:r>
      <w:r>
        <w:rPr>
          <w:color w:val="231F20"/>
          <w:w w:val="105"/>
        </w:rPr>
        <w:t>que determinan</w:t>
      </w:r>
      <w:r>
        <w:rPr>
          <w:color w:val="231F20"/>
          <w:spacing w:val="-8"/>
          <w:w w:val="105"/>
        </w:rPr>
        <w:t> </w:t>
      </w:r>
      <w:r>
        <w:rPr>
          <w:color w:val="231F20"/>
          <w:w w:val="105"/>
        </w:rPr>
        <w:t>el</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8"/>
          <w:w w:val="105"/>
        </w:rPr>
        <w:t> </w:t>
      </w:r>
      <w:r>
        <w:rPr>
          <w:color w:val="231F20"/>
          <w:w w:val="105"/>
        </w:rPr>
        <w:t>productividad</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país,</w:t>
      </w:r>
      <w:r>
        <w:rPr>
          <w:color w:val="231F20"/>
          <w:spacing w:val="-14"/>
          <w:w w:val="105"/>
        </w:rPr>
        <w:t> </w:t>
      </w:r>
      <w:r>
        <w:rPr>
          <w:color w:val="231F20"/>
          <w:w w:val="105"/>
        </w:rPr>
        <w:t>el</w:t>
      </w:r>
      <w:r>
        <w:rPr>
          <w:color w:val="231F20"/>
          <w:spacing w:val="-8"/>
          <w:w w:val="105"/>
        </w:rPr>
        <w:t> </w:t>
      </w:r>
      <w:r>
        <w:rPr>
          <w:color w:val="231F20"/>
          <w:w w:val="105"/>
        </w:rPr>
        <w:t>cual</w:t>
      </w:r>
      <w:r>
        <w:rPr>
          <w:color w:val="231F20"/>
          <w:spacing w:val="-8"/>
          <w:w w:val="105"/>
        </w:rPr>
        <w:t> </w:t>
      </w:r>
      <w:r>
        <w:rPr>
          <w:color w:val="231F20"/>
          <w:w w:val="105"/>
        </w:rPr>
        <w:t>puede</w:t>
      </w:r>
      <w:r>
        <w:rPr>
          <w:color w:val="231F20"/>
          <w:spacing w:val="-8"/>
          <w:w w:val="105"/>
        </w:rPr>
        <w:t> </w:t>
      </w:r>
      <w:r>
        <w:rPr>
          <w:color w:val="231F20"/>
          <w:w w:val="105"/>
        </w:rPr>
        <w:t>aplicarse tanto</w:t>
      </w:r>
      <w:r>
        <w:rPr>
          <w:color w:val="231F20"/>
          <w:spacing w:val="-16"/>
          <w:w w:val="105"/>
        </w:rPr>
        <w:t> </w:t>
      </w:r>
      <w:r>
        <w:rPr>
          <w:color w:val="231F20"/>
          <w:w w:val="105"/>
        </w:rPr>
        <w:t>a</w:t>
      </w:r>
      <w:r>
        <w:rPr>
          <w:color w:val="231F20"/>
          <w:spacing w:val="-16"/>
          <w:w w:val="105"/>
        </w:rPr>
        <w:t> </w:t>
      </w:r>
      <w:r>
        <w:rPr>
          <w:color w:val="231F20"/>
          <w:w w:val="105"/>
        </w:rPr>
        <w:t>naciones,</w:t>
      </w:r>
      <w:r>
        <w:rPr>
          <w:color w:val="231F20"/>
          <w:spacing w:val="-21"/>
          <w:w w:val="105"/>
        </w:rPr>
        <w:t> </w:t>
      </w:r>
      <w:r>
        <w:rPr>
          <w:color w:val="231F20"/>
          <w:w w:val="105"/>
        </w:rPr>
        <w:t>territorios,</w:t>
      </w:r>
      <w:r>
        <w:rPr>
          <w:color w:val="231F20"/>
          <w:spacing w:val="-21"/>
          <w:w w:val="105"/>
        </w:rPr>
        <w:t> </w:t>
      </w:r>
      <w:r>
        <w:rPr>
          <w:color w:val="231F20"/>
          <w:w w:val="105"/>
        </w:rPr>
        <w:t>sectores</w:t>
      </w:r>
      <w:r>
        <w:rPr>
          <w:color w:val="231F20"/>
          <w:spacing w:val="-16"/>
          <w:w w:val="105"/>
        </w:rPr>
        <w:t> </w:t>
      </w:r>
      <w:r>
        <w:rPr>
          <w:color w:val="231F20"/>
          <w:w w:val="105"/>
        </w:rPr>
        <w:t>o</w:t>
      </w:r>
      <w:r>
        <w:rPr>
          <w:color w:val="231F20"/>
          <w:spacing w:val="-16"/>
          <w:w w:val="105"/>
        </w:rPr>
        <w:t> </w:t>
      </w:r>
      <w:r>
        <w:rPr>
          <w:color w:val="231F20"/>
          <w:w w:val="105"/>
        </w:rPr>
        <w:t>empresas,</w:t>
      </w:r>
      <w:r>
        <w:rPr>
          <w:color w:val="231F20"/>
          <w:spacing w:val="-21"/>
          <w:w w:val="105"/>
        </w:rPr>
        <w:t> </w:t>
      </w:r>
      <w:r>
        <w:rPr>
          <w:color w:val="231F20"/>
          <w:w w:val="105"/>
        </w:rPr>
        <w:t>ya</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amplitud</w:t>
      </w:r>
      <w:r>
        <w:rPr>
          <w:color w:val="231F20"/>
          <w:spacing w:val="-16"/>
          <w:w w:val="105"/>
        </w:rPr>
        <w:t> </w:t>
      </w:r>
      <w:r>
        <w:rPr>
          <w:color w:val="231F20"/>
          <w:w w:val="105"/>
        </w:rPr>
        <w:t>del término competitividad permite aplicar el análisis a prácticamente cual- quier</w:t>
      </w:r>
      <w:r>
        <w:rPr>
          <w:color w:val="231F20"/>
          <w:spacing w:val="-13"/>
          <w:w w:val="105"/>
        </w:rPr>
        <w:t> </w:t>
      </w:r>
      <w:r>
        <w:rPr>
          <w:color w:val="231F20"/>
          <w:w w:val="105"/>
        </w:rPr>
        <w:t>actividad</w:t>
      </w:r>
      <w:r>
        <w:rPr>
          <w:color w:val="231F20"/>
          <w:spacing w:val="-13"/>
          <w:w w:val="105"/>
        </w:rPr>
        <w:t> </w:t>
      </w:r>
      <w:r>
        <w:rPr>
          <w:color w:val="231F20"/>
          <w:w w:val="105"/>
        </w:rPr>
        <w:t>económica.</w:t>
      </w:r>
      <w:r>
        <w:rPr>
          <w:color w:val="231F20"/>
          <w:spacing w:val="-19"/>
          <w:w w:val="105"/>
        </w:rPr>
        <w:t> </w:t>
      </w:r>
      <w:r>
        <w:rPr>
          <w:color w:val="231F20"/>
          <w:w w:val="105"/>
        </w:rPr>
        <w:t>Esto</w:t>
      </w:r>
      <w:r>
        <w:rPr>
          <w:color w:val="231F20"/>
          <w:spacing w:val="-13"/>
          <w:w w:val="105"/>
        </w:rPr>
        <w:t> </w:t>
      </w:r>
      <w:r>
        <w:rPr>
          <w:color w:val="231F20"/>
          <w:w w:val="105"/>
        </w:rPr>
        <w:t>crea</w:t>
      </w:r>
      <w:r>
        <w:rPr>
          <w:color w:val="231F20"/>
          <w:spacing w:val="-13"/>
          <w:w w:val="105"/>
        </w:rPr>
        <w:t> </w:t>
      </w:r>
      <w:r>
        <w:rPr>
          <w:color w:val="231F20"/>
          <w:w w:val="105"/>
        </w:rPr>
        <w:t>la</w:t>
      </w:r>
      <w:r>
        <w:rPr>
          <w:color w:val="231F20"/>
          <w:spacing w:val="-13"/>
          <w:w w:val="105"/>
        </w:rPr>
        <w:t> </w:t>
      </w:r>
      <w:r>
        <w:rPr>
          <w:color w:val="231F20"/>
          <w:w w:val="105"/>
        </w:rPr>
        <w:t>necesidad</w:t>
      </w:r>
      <w:r>
        <w:rPr>
          <w:color w:val="231F20"/>
          <w:spacing w:val="-13"/>
          <w:w w:val="105"/>
        </w:rPr>
        <w:t> </w:t>
      </w:r>
      <w:r>
        <w:rPr>
          <w:color w:val="231F20"/>
          <w:w w:val="105"/>
        </w:rPr>
        <w:t>de</w:t>
      </w:r>
      <w:r>
        <w:rPr>
          <w:color w:val="231F20"/>
          <w:spacing w:val="-13"/>
          <w:w w:val="105"/>
        </w:rPr>
        <w:t> </w:t>
      </w:r>
      <w:r>
        <w:rPr>
          <w:color w:val="231F20"/>
          <w:w w:val="105"/>
        </w:rPr>
        <w:t>identificar</w:t>
      </w:r>
      <w:r>
        <w:rPr>
          <w:color w:val="231F20"/>
          <w:spacing w:val="-13"/>
          <w:w w:val="105"/>
        </w:rPr>
        <w:t> </w:t>
      </w:r>
      <w:r>
        <w:rPr>
          <w:color w:val="231F20"/>
          <w:w w:val="105"/>
        </w:rPr>
        <w:t>y</w:t>
      </w:r>
      <w:r>
        <w:rPr>
          <w:color w:val="231F20"/>
          <w:spacing w:val="-13"/>
          <w:w w:val="105"/>
        </w:rPr>
        <w:t> </w:t>
      </w:r>
      <w:r>
        <w:rPr>
          <w:color w:val="231F20"/>
          <w:w w:val="105"/>
        </w:rPr>
        <w:t>definir distintos niveles de análisis, tomando la competitividad sistémica</w:t>
      </w:r>
      <w:r>
        <w:rPr>
          <w:color w:val="231F20"/>
          <w:spacing w:val="-14"/>
          <w:w w:val="105"/>
        </w:rPr>
        <w:t> </w:t>
      </w:r>
      <w:r>
        <w:rPr>
          <w:color w:val="231F20"/>
          <w:w w:val="105"/>
        </w:rPr>
        <w:t>como punto de</w:t>
      </w:r>
      <w:r>
        <w:rPr>
          <w:color w:val="231F20"/>
          <w:spacing w:val="13"/>
          <w:w w:val="105"/>
        </w:rPr>
        <w:t> </w:t>
      </w:r>
      <w:r>
        <w:rPr>
          <w:color w:val="231F20"/>
          <w:w w:val="105"/>
        </w:rPr>
        <w:t>partida.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8312"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266</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288"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267</w:t>
      </w:r>
    </w:p>
    <w:p>
      <w:pPr>
        <w:pStyle w:val="BodyText"/>
        <w:rPr>
          <w:sz w:val="20"/>
        </w:rPr>
      </w:pPr>
    </w:p>
    <w:p>
      <w:pPr>
        <w:pStyle w:val="BodyText"/>
        <w:rPr>
          <w:sz w:val="20"/>
        </w:rPr>
      </w:pPr>
    </w:p>
    <w:p>
      <w:pPr>
        <w:spacing w:before="176"/>
        <w:ind w:left="117" w:right="0" w:firstLine="0"/>
        <w:jc w:val="both"/>
        <w:rPr>
          <w:i/>
          <w:sz w:val="21"/>
        </w:rPr>
      </w:pPr>
      <w:r>
        <w:rPr>
          <w:i/>
          <w:color w:val="231F20"/>
          <w:w w:val="105"/>
          <w:sz w:val="21"/>
        </w:rPr>
        <w:t>Competitividad sistémica</w:t>
      </w:r>
    </w:p>
    <w:p>
      <w:pPr>
        <w:pStyle w:val="BodyText"/>
        <w:spacing w:before="4"/>
        <w:rPr>
          <w:i/>
          <w:sz w:val="16"/>
        </w:rPr>
      </w:pPr>
    </w:p>
    <w:p>
      <w:pPr>
        <w:pStyle w:val="BodyText"/>
        <w:spacing w:line="259" w:lineRule="auto"/>
        <w:ind w:left="117" w:right="101"/>
        <w:jc w:val="both"/>
      </w:pPr>
      <w:r>
        <w:rPr>
          <w:color w:val="231F20"/>
          <w:w w:val="105"/>
        </w:rPr>
        <w:t>Este concepto surge tras el debate de la Organización de</w:t>
      </w:r>
      <w:r>
        <w:rPr>
          <w:color w:val="231F20"/>
          <w:spacing w:val="-12"/>
          <w:w w:val="105"/>
        </w:rPr>
        <w:t> </w:t>
      </w:r>
      <w:r>
        <w:rPr>
          <w:color w:val="231F20"/>
          <w:w w:val="105"/>
        </w:rPr>
        <w:t>Cooperación y Desarrollo Económico (OCDE, 1992), el cual enfatiza que la</w:t>
      </w:r>
      <w:r>
        <w:rPr>
          <w:color w:val="231F20"/>
          <w:spacing w:val="-36"/>
          <w:w w:val="105"/>
        </w:rPr>
        <w:t> </w:t>
      </w:r>
      <w:r>
        <w:rPr>
          <w:color w:val="231F20"/>
          <w:w w:val="105"/>
        </w:rPr>
        <w:t>competi- tividad de la economía descansa en medidas dirigidas a un objetivo, y se basa en un concepto pluridimensional de conducción que incluye la competencia, el diálogo y la toma de decisiones conjunta, conceptos</w:t>
      </w:r>
      <w:r>
        <w:rPr>
          <w:color w:val="231F20"/>
          <w:spacing w:val="-23"/>
          <w:w w:val="105"/>
        </w:rPr>
        <w:t> </w:t>
      </w:r>
      <w:r>
        <w:rPr>
          <w:color w:val="231F20"/>
          <w:w w:val="105"/>
        </w:rPr>
        <w:t>al que</w:t>
      </w:r>
      <w:r>
        <w:rPr>
          <w:color w:val="231F20"/>
          <w:spacing w:val="-23"/>
          <w:w w:val="105"/>
        </w:rPr>
        <w:t> </w:t>
      </w:r>
      <w:r>
        <w:rPr>
          <w:color w:val="231F20"/>
          <w:w w:val="105"/>
        </w:rPr>
        <w:t>están</w:t>
      </w:r>
      <w:r>
        <w:rPr>
          <w:color w:val="231F20"/>
          <w:spacing w:val="-23"/>
          <w:w w:val="105"/>
        </w:rPr>
        <w:t> </w:t>
      </w:r>
      <w:r>
        <w:rPr>
          <w:color w:val="231F20"/>
          <w:w w:val="105"/>
        </w:rPr>
        <w:t>adscritos</w:t>
      </w:r>
      <w:r>
        <w:rPr>
          <w:color w:val="231F20"/>
          <w:spacing w:val="-23"/>
          <w:w w:val="105"/>
        </w:rPr>
        <w:t> </w:t>
      </w:r>
      <w:r>
        <w:rPr>
          <w:color w:val="231F20"/>
          <w:w w:val="105"/>
        </w:rPr>
        <w:t>los</w:t>
      </w:r>
      <w:r>
        <w:rPr>
          <w:color w:val="231F20"/>
          <w:spacing w:val="-23"/>
          <w:w w:val="105"/>
        </w:rPr>
        <w:t> </w:t>
      </w:r>
      <w:r>
        <w:rPr>
          <w:color w:val="231F20"/>
          <w:w w:val="105"/>
        </w:rPr>
        <w:t>grupos</w:t>
      </w:r>
      <w:r>
        <w:rPr>
          <w:color w:val="231F20"/>
          <w:spacing w:val="-23"/>
          <w:w w:val="105"/>
        </w:rPr>
        <w:t> </w:t>
      </w:r>
      <w:r>
        <w:rPr>
          <w:color w:val="231F20"/>
          <w:w w:val="105"/>
        </w:rPr>
        <w:t>relevantes</w:t>
      </w:r>
      <w:r>
        <w:rPr>
          <w:color w:val="231F20"/>
          <w:spacing w:val="-23"/>
          <w:w w:val="105"/>
        </w:rPr>
        <w:t> </w:t>
      </w:r>
      <w:r>
        <w:rPr>
          <w:color w:val="231F20"/>
          <w:w w:val="105"/>
        </w:rPr>
        <w:t>de</w:t>
      </w:r>
      <w:r>
        <w:rPr>
          <w:color w:val="231F20"/>
          <w:spacing w:val="-23"/>
          <w:w w:val="105"/>
        </w:rPr>
        <w:t> </w:t>
      </w:r>
      <w:r>
        <w:rPr>
          <w:color w:val="231F20"/>
          <w:w w:val="105"/>
        </w:rPr>
        <w:t>actores.</w:t>
      </w:r>
    </w:p>
    <w:p>
      <w:pPr>
        <w:pStyle w:val="BodyText"/>
        <w:spacing w:line="259" w:lineRule="auto"/>
        <w:ind w:left="117" w:right="101" w:firstLine="567"/>
        <w:jc w:val="both"/>
      </w:pPr>
      <w:r>
        <w:rPr>
          <w:color w:val="231F20"/>
          <w:w w:val="105"/>
        </w:rPr>
        <w:t>Este</w:t>
      </w:r>
      <w:r>
        <w:rPr>
          <w:color w:val="231F20"/>
          <w:spacing w:val="-20"/>
          <w:w w:val="105"/>
        </w:rPr>
        <w:t> </w:t>
      </w:r>
      <w:r>
        <w:rPr>
          <w:color w:val="231F20"/>
          <w:w w:val="105"/>
        </w:rPr>
        <w:t>tipo</w:t>
      </w:r>
      <w:r>
        <w:rPr>
          <w:color w:val="231F20"/>
          <w:spacing w:val="-20"/>
          <w:w w:val="105"/>
        </w:rPr>
        <w:t> </w:t>
      </w:r>
      <w:r>
        <w:rPr>
          <w:color w:val="231F20"/>
          <w:w w:val="105"/>
        </w:rPr>
        <w:t>de</w:t>
      </w:r>
      <w:r>
        <w:rPr>
          <w:color w:val="231F20"/>
          <w:spacing w:val="-20"/>
          <w:w w:val="105"/>
        </w:rPr>
        <w:t> </w:t>
      </w:r>
      <w:r>
        <w:rPr>
          <w:color w:val="231F20"/>
          <w:w w:val="105"/>
        </w:rPr>
        <w:t>competitividad</w:t>
      </w:r>
      <w:r>
        <w:rPr>
          <w:color w:val="231F20"/>
          <w:spacing w:val="-20"/>
          <w:w w:val="105"/>
        </w:rPr>
        <w:t> </w:t>
      </w:r>
      <w:r>
        <w:rPr>
          <w:color w:val="231F20"/>
          <w:w w:val="105"/>
        </w:rPr>
        <w:t>constituye</w:t>
      </w:r>
      <w:r>
        <w:rPr>
          <w:color w:val="231F20"/>
          <w:spacing w:val="-20"/>
          <w:w w:val="105"/>
        </w:rPr>
        <w:t> </w:t>
      </w:r>
      <w:r>
        <w:rPr>
          <w:color w:val="231F20"/>
          <w:w w:val="105"/>
        </w:rPr>
        <w:t>un</w:t>
      </w:r>
      <w:r>
        <w:rPr>
          <w:color w:val="231F20"/>
          <w:spacing w:val="-20"/>
          <w:w w:val="105"/>
        </w:rPr>
        <w:t> </w:t>
      </w:r>
      <w:r>
        <w:rPr>
          <w:color w:val="231F20"/>
          <w:w w:val="105"/>
        </w:rPr>
        <w:t>marco</w:t>
      </w:r>
      <w:r>
        <w:rPr>
          <w:color w:val="231F20"/>
          <w:spacing w:val="-20"/>
          <w:w w:val="105"/>
        </w:rPr>
        <w:t> </w:t>
      </w:r>
      <w:r>
        <w:rPr>
          <w:color w:val="231F20"/>
          <w:w w:val="105"/>
        </w:rPr>
        <w:t>de</w:t>
      </w:r>
      <w:r>
        <w:rPr>
          <w:color w:val="231F20"/>
          <w:spacing w:val="-20"/>
          <w:w w:val="105"/>
        </w:rPr>
        <w:t> </w:t>
      </w:r>
      <w:r>
        <w:rPr>
          <w:color w:val="231F20"/>
          <w:w w:val="105"/>
        </w:rPr>
        <w:t>referencia</w:t>
      </w:r>
      <w:r>
        <w:rPr>
          <w:color w:val="231F20"/>
          <w:spacing w:val="-20"/>
          <w:w w:val="105"/>
        </w:rPr>
        <w:t> </w:t>
      </w:r>
      <w:r>
        <w:rPr>
          <w:color w:val="231F20"/>
          <w:w w:val="105"/>
        </w:rPr>
        <w:t>para países</w:t>
      </w:r>
      <w:r>
        <w:rPr>
          <w:color w:val="231F20"/>
          <w:spacing w:val="-19"/>
          <w:w w:val="105"/>
        </w:rPr>
        <w:t> </w:t>
      </w:r>
      <w:r>
        <w:rPr>
          <w:color w:val="231F20"/>
          <w:w w:val="105"/>
        </w:rPr>
        <w:t>tanto</w:t>
      </w:r>
      <w:r>
        <w:rPr>
          <w:color w:val="231F20"/>
          <w:spacing w:val="-19"/>
          <w:w w:val="105"/>
        </w:rPr>
        <w:t> </w:t>
      </w:r>
      <w:r>
        <w:rPr>
          <w:color w:val="231F20"/>
          <w:w w:val="105"/>
        </w:rPr>
        <w:t>industrializados</w:t>
      </w:r>
      <w:r>
        <w:rPr>
          <w:color w:val="231F20"/>
          <w:spacing w:val="-19"/>
          <w:w w:val="105"/>
        </w:rPr>
        <w:t> </w:t>
      </w:r>
      <w:r>
        <w:rPr>
          <w:color w:val="231F20"/>
          <w:w w:val="105"/>
        </w:rPr>
        <w:t>como</w:t>
      </w:r>
      <w:r>
        <w:rPr>
          <w:color w:val="231F20"/>
          <w:spacing w:val="-19"/>
          <w:w w:val="105"/>
        </w:rPr>
        <w:t> </w:t>
      </w:r>
      <w:r>
        <w:rPr>
          <w:color w:val="231F20"/>
          <w:w w:val="105"/>
        </w:rPr>
        <w:t>en</w:t>
      </w:r>
      <w:r>
        <w:rPr>
          <w:color w:val="231F20"/>
          <w:spacing w:val="-19"/>
          <w:w w:val="105"/>
        </w:rPr>
        <w:t> </w:t>
      </w:r>
      <w:r>
        <w:rPr>
          <w:color w:val="231F20"/>
          <w:w w:val="105"/>
        </w:rPr>
        <w:t>economías</w:t>
      </w:r>
      <w:r>
        <w:rPr>
          <w:color w:val="231F20"/>
          <w:spacing w:val="-19"/>
          <w:w w:val="105"/>
        </w:rPr>
        <w:t> </w:t>
      </w:r>
      <w:r>
        <w:rPr>
          <w:color w:val="231F20"/>
          <w:w w:val="105"/>
        </w:rPr>
        <w:t>emergentes,</w:t>
      </w:r>
      <w:r>
        <w:rPr>
          <w:color w:val="231F20"/>
          <w:spacing w:val="-24"/>
          <w:w w:val="105"/>
        </w:rPr>
        <w:t> </w:t>
      </w:r>
      <w:r>
        <w:rPr>
          <w:color w:val="231F20"/>
          <w:w w:val="105"/>
        </w:rPr>
        <w:t>vigilando la</w:t>
      </w:r>
      <w:r>
        <w:rPr>
          <w:color w:val="231F20"/>
          <w:spacing w:val="-20"/>
          <w:w w:val="105"/>
        </w:rPr>
        <w:t> </w:t>
      </w:r>
      <w:r>
        <w:rPr>
          <w:color w:val="231F20"/>
          <w:w w:val="105"/>
        </w:rPr>
        <w:t>intensa</w:t>
      </w:r>
      <w:r>
        <w:rPr>
          <w:color w:val="231F20"/>
          <w:spacing w:val="-20"/>
          <w:w w:val="105"/>
        </w:rPr>
        <w:t> </w:t>
      </w:r>
      <w:r>
        <w:rPr>
          <w:color w:val="231F20"/>
          <w:w w:val="105"/>
        </w:rPr>
        <w:t>interacción</w:t>
      </w:r>
      <w:r>
        <w:rPr>
          <w:color w:val="231F20"/>
          <w:spacing w:val="-20"/>
          <w:w w:val="105"/>
        </w:rPr>
        <w:t> </w:t>
      </w:r>
      <w:r>
        <w:rPr>
          <w:color w:val="231F20"/>
          <w:w w:val="105"/>
        </w:rPr>
        <w:t>entre</w:t>
      </w:r>
      <w:r>
        <w:rPr>
          <w:color w:val="231F20"/>
          <w:spacing w:val="-20"/>
          <w:w w:val="105"/>
        </w:rPr>
        <w:t> </w:t>
      </w:r>
      <w:r>
        <w:rPr>
          <w:color w:val="231F20"/>
          <w:w w:val="105"/>
        </w:rPr>
        <w:t>los</w:t>
      </w:r>
      <w:r>
        <w:rPr>
          <w:color w:val="231F20"/>
          <w:spacing w:val="-20"/>
          <w:w w:val="105"/>
        </w:rPr>
        <w:t> </w:t>
      </w:r>
      <w:r>
        <w:rPr>
          <w:color w:val="231F20"/>
          <w:w w:val="105"/>
        </w:rPr>
        <w:t>actores,</w:t>
      </w:r>
      <w:r>
        <w:rPr>
          <w:color w:val="231F20"/>
          <w:spacing w:val="-25"/>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no</w:t>
      </w:r>
      <w:r>
        <w:rPr>
          <w:color w:val="231F20"/>
          <w:spacing w:val="-20"/>
          <w:w w:val="105"/>
        </w:rPr>
        <w:t> </w:t>
      </w:r>
      <w:r>
        <w:rPr>
          <w:color w:val="231F20"/>
          <w:w w:val="105"/>
        </w:rPr>
        <w:t>debe</w:t>
      </w:r>
      <w:r>
        <w:rPr>
          <w:color w:val="231F20"/>
          <w:spacing w:val="-20"/>
          <w:w w:val="105"/>
        </w:rPr>
        <w:t> </w:t>
      </w:r>
      <w:r>
        <w:rPr>
          <w:color w:val="231F20"/>
          <w:w w:val="105"/>
        </w:rPr>
        <w:t>encaminarse</w:t>
      </w:r>
      <w:r>
        <w:rPr>
          <w:color w:val="231F20"/>
          <w:spacing w:val="-20"/>
          <w:w w:val="105"/>
        </w:rPr>
        <w:t> </w:t>
      </w:r>
      <w:r>
        <w:rPr>
          <w:color w:val="231F20"/>
          <w:w w:val="105"/>
        </w:rPr>
        <w:t>úni- camente</w:t>
      </w:r>
      <w:r>
        <w:rPr>
          <w:color w:val="231F20"/>
          <w:spacing w:val="-20"/>
          <w:w w:val="105"/>
        </w:rPr>
        <w:t> </w:t>
      </w:r>
      <w:r>
        <w:rPr>
          <w:color w:val="231F20"/>
          <w:w w:val="105"/>
        </w:rPr>
        <w:t>a</w:t>
      </w:r>
      <w:r>
        <w:rPr>
          <w:color w:val="231F20"/>
          <w:spacing w:val="-20"/>
          <w:w w:val="105"/>
        </w:rPr>
        <w:t> </w:t>
      </w:r>
      <w:r>
        <w:rPr>
          <w:color w:val="231F20"/>
          <w:w w:val="105"/>
        </w:rPr>
        <w:t>optimizar</w:t>
      </w:r>
      <w:r>
        <w:rPr>
          <w:color w:val="231F20"/>
          <w:spacing w:val="-20"/>
          <w:w w:val="105"/>
        </w:rPr>
        <w:t> </w:t>
      </w:r>
      <w:r>
        <w:rPr>
          <w:color w:val="231F20"/>
          <w:w w:val="105"/>
        </w:rPr>
        <w:t>la</w:t>
      </w:r>
      <w:r>
        <w:rPr>
          <w:color w:val="231F20"/>
          <w:spacing w:val="-20"/>
          <w:w w:val="105"/>
        </w:rPr>
        <w:t> </w:t>
      </w:r>
      <w:r>
        <w:rPr>
          <w:color w:val="231F20"/>
          <w:w w:val="105"/>
        </w:rPr>
        <w:t>eficacia</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diferentes</w:t>
      </w:r>
      <w:r>
        <w:rPr>
          <w:color w:val="231F20"/>
          <w:spacing w:val="-20"/>
          <w:w w:val="105"/>
        </w:rPr>
        <w:t> </w:t>
      </w:r>
      <w:r>
        <w:rPr>
          <w:color w:val="231F20"/>
          <w:w w:val="105"/>
        </w:rPr>
        <w:t>niveles</w:t>
      </w:r>
      <w:r>
        <w:rPr>
          <w:color w:val="231F20"/>
          <w:spacing w:val="-20"/>
          <w:w w:val="105"/>
        </w:rPr>
        <w:t> </w:t>
      </w:r>
      <w:r>
        <w:rPr>
          <w:color w:val="231F20"/>
          <w:w w:val="105"/>
        </w:rPr>
        <w:t>del</w:t>
      </w:r>
      <w:r>
        <w:rPr>
          <w:color w:val="231F20"/>
          <w:spacing w:val="-20"/>
          <w:w w:val="105"/>
        </w:rPr>
        <w:t> </w:t>
      </w:r>
      <w:r>
        <w:rPr>
          <w:color w:val="231F20"/>
          <w:w w:val="105"/>
        </w:rPr>
        <w:t>sistema,</w:t>
      </w:r>
      <w:r>
        <w:rPr>
          <w:color w:val="231F20"/>
          <w:spacing w:val="-25"/>
          <w:w w:val="105"/>
        </w:rPr>
        <w:t> </w:t>
      </w:r>
      <w:r>
        <w:rPr>
          <w:color w:val="231F20"/>
          <w:w w:val="105"/>
        </w:rPr>
        <w:t>mo- vilizando capacidades sociales de creatividad con el fin de desarrollar ventajas competitivas nacionales. Debe ser una interacción que</w:t>
      </w:r>
      <w:r>
        <w:rPr>
          <w:color w:val="231F20"/>
          <w:spacing w:val="-22"/>
          <w:w w:val="105"/>
        </w:rPr>
        <w:t> </w:t>
      </w:r>
      <w:r>
        <w:rPr>
          <w:color w:val="231F20"/>
          <w:w w:val="105"/>
        </w:rPr>
        <w:t>involu- cre</w:t>
      </w:r>
      <w:r>
        <w:rPr>
          <w:color w:val="231F20"/>
          <w:spacing w:val="-18"/>
          <w:w w:val="105"/>
        </w:rPr>
        <w:t> </w:t>
      </w:r>
      <w:r>
        <w:rPr>
          <w:color w:val="231F20"/>
          <w:w w:val="105"/>
        </w:rPr>
        <w:t>a</w:t>
      </w:r>
      <w:r>
        <w:rPr>
          <w:color w:val="231F20"/>
          <w:spacing w:val="-18"/>
          <w:w w:val="105"/>
        </w:rPr>
        <w:t> </w:t>
      </w:r>
      <w:r>
        <w:rPr>
          <w:color w:val="231F20"/>
          <w:w w:val="105"/>
        </w:rPr>
        <w:t>todos</w:t>
      </w:r>
      <w:r>
        <w:rPr>
          <w:color w:val="231F20"/>
          <w:spacing w:val="-18"/>
          <w:w w:val="105"/>
        </w:rPr>
        <w:t> </w:t>
      </w:r>
      <w:r>
        <w:rPr>
          <w:color w:val="231F20"/>
          <w:w w:val="105"/>
        </w:rPr>
        <w:t>los</w:t>
      </w:r>
      <w:r>
        <w:rPr>
          <w:color w:val="231F20"/>
          <w:spacing w:val="-18"/>
          <w:w w:val="105"/>
        </w:rPr>
        <w:t> </w:t>
      </w:r>
      <w:r>
        <w:rPr>
          <w:color w:val="231F20"/>
          <w:w w:val="105"/>
        </w:rPr>
        <w:t>actores</w:t>
      </w:r>
      <w:r>
        <w:rPr>
          <w:color w:val="231F20"/>
          <w:spacing w:val="-18"/>
          <w:w w:val="105"/>
        </w:rPr>
        <w:t> </w:t>
      </w:r>
      <w:r>
        <w:rPr>
          <w:color w:val="231F20"/>
          <w:w w:val="105"/>
        </w:rPr>
        <w:t>a</w:t>
      </w:r>
      <w:r>
        <w:rPr>
          <w:color w:val="231F20"/>
          <w:spacing w:val="-18"/>
          <w:w w:val="105"/>
        </w:rPr>
        <w:t> </w:t>
      </w:r>
      <w:r>
        <w:rPr>
          <w:color w:val="231F20"/>
          <w:w w:val="105"/>
        </w:rPr>
        <w:t>fin</w:t>
      </w:r>
      <w:r>
        <w:rPr>
          <w:color w:val="231F20"/>
          <w:spacing w:val="-18"/>
          <w:w w:val="105"/>
        </w:rPr>
        <w:t> </w:t>
      </w:r>
      <w:r>
        <w:rPr>
          <w:color w:val="231F20"/>
          <w:w w:val="105"/>
        </w:rPr>
        <w:t>de</w:t>
      </w:r>
      <w:r>
        <w:rPr>
          <w:color w:val="231F20"/>
          <w:spacing w:val="-18"/>
          <w:w w:val="105"/>
        </w:rPr>
        <w:t> </w:t>
      </w:r>
      <w:r>
        <w:rPr>
          <w:color w:val="231F20"/>
          <w:w w:val="105"/>
        </w:rPr>
        <w:t>fortalecer</w:t>
      </w:r>
      <w:r>
        <w:rPr>
          <w:color w:val="231F20"/>
          <w:spacing w:val="-18"/>
          <w:w w:val="105"/>
        </w:rPr>
        <w:t> </w:t>
      </w:r>
      <w:r>
        <w:rPr>
          <w:color w:val="231F20"/>
          <w:w w:val="105"/>
        </w:rPr>
        <w:t>la</w:t>
      </w:r>
      <w:r>
        <w:rPr>
          <w:color w:val="231F20"/>
          <w:spacing w:val="-18"/>
          <w:w w:val="105"/>
        </w:rPr>
        <w:t> </w:t>
      </w:r>
      <w:r>
        <w:rPr>
          <w:color w:val="231F20"/>
          <w:w w:val="105"/>
        </w:rPr>
        <w:t>competitividad</w:t>
      </w:r>
      <w:r>
        <w:rPr>
          <w:color w:val="231F20"/>
          <w:spacing w:val="-18"/>
          <w:w w:val="105"/>
        </w:rPr>
        <w:t> </w:t>
      </w:r>
      <w:r>
        <w:rPr>
          <w:color w:val="231F20"/>
          <w:w w:val="105"/>
        </w:rPr>
        <w:t>(Esser,</w:t>
      </w:r>
      <w:r>
        <w:rPr>
          <w:color w:val="231F20"/>
          <w:spacing w:val="-24"/>
          <w:w w:val="105"/>
        </w:rPr>
        <w:t> </w:t>
      </w:r>
      <w:r>
        <w:rPr>
          <w:color w:val="231F20"/>
          <w:w w:val="105"/>
        </w:rPr>
        <w:t>Hillen- brand</w:t>
      </w:r>
      <w:r>
        <w:rPr>
          <w:color w:val="231F20"/>
          <w:spacing w:val="-35"/>
          <w:w w:val="105"/>
        </w:rPr>
        <w:t> </w:t>
      </w:r>
      <w:r>
        <w:rPr>
          <w:color w:val="231F20"/>
          <w:w w:val="105"/>
        </w:rPr>
        <w:t>y</w:t>
      </w:r>
      <w:r>
        <w:rPr>
          <w:color w:val="231F20"/>
          <w:spacing w:val="-35"/>
          <w:w w:val="105"/>
        </w:rPr>
        <w:t> </w:t>
      </w:r>
      <w:r>
        <w:rPr>
          <w:color w:val="231F20"/>
          <w:w w:val="105"/>
        </w:rPr>
        <w:t>Meyer-Stamer</w:t>
      </w:r>
      <w:r>
        <w:rPr>
          <w:color w:val="231F20"/>
          <w:spacing w:val="-35"/>
          <w:w w:val="105"/>
        </w:rPr>
        <w:t> </w:t>
      </w:r>
      <w:r>
        <w:rPr>
          <w:color w:val="231F20"/>
          <w:w w:val="105"/>
        </w:rPr>
        <w:t>1996).</w:t>
      </w:r>
    </w:p>
    <w:p>
      <w:pPr>
        <w:pStyle w:val="BodyText"/>
        <w:spacing w:line="259" w:lineRule="auto"/>
        <w:ind w:left="117" w:right="101" w:firstLine="567"/>
        <w:jc w:val="both"/>
      </w:pPr>
      <w:r>
        <w:rPr>
          <w:color w:val="231F20"/>
        </w:rPr>
        <w:t>La competitividad sistémica tiene dos características: la distinción entre cuatro niveles analíticos y la vinculación de elementos provenientes de la economía industrial, la teoría de la innovación y la sociología indus- trial (Montero </w:t>
      </w:r>
      <w:r>
        <w:rPr>
          <w:i/>
          <w:color w:val="231F20"/>
        </w:rPr>
        <w:t>et al</w:t>
      </w:r>
      <w:r>
        <w:rPr>
          <w:color w:val="231F20"/>
        </w:rPr>
        <w:t>., 2000).</w:t>
      </w:r>
    </w:p>
    <w:p>
      <w:pPr>
        <w:pStyle w:val="BodyText"/>
        <w:spacing w:before="2"/>
      </w:pPr>
    </w:p>
    <w:p>
      <w:pPr>
        <w:spacing w:before="0"/>
        <w:ind w:left="1582" w:right="17" w:firstLine="0"/>
        <w:jc w:val="left"/>
        <w:rPr>
          <w:sz w:val="18"/>
        </w:rPr>
      </w:pPr>
      <w:r>
        <w:rPr>
          <w:color w:val="231F20"/>
          <w:w w:val="105"/>
          <w:sz w:val="18"/>
        </w:rPr>
        <w:t>Figura 1. Niveles de la Competitividad Sistémica</w:t>
      </w:r>
    </w:p>
    <w:p>
      <w:pPr>
        <w:pStyle w:val="BodyText"/>
        <w:spacing w:before="5"/>
        <w:rPr>
          <w:sz w:val="13"/>
        </w:rPr>
      </w:pPr>
    </w:p>
    <w:tbl>
      <w:tblPr>
        <w:tblW w:w="0" w:type="auto"/>
        <w:jc w:val="left"/>
        <w:tblInd w:w="1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42"/>
        <w:gridCol w:w="5665"/>
      </w:tblGrid>
      <w:tr>
        <w:trPr>
          <w:trHeight w:val="340" w:hRule="exact"/>
        </w:trPr>
        <w:tc>
          <w:tcPr>
            <w:tcW w:w="1242" w:type="dxa"/>
            <w:tcBorders>
              <w:right w:val="single" w:sz="4" w:space="0" w:color="231F20"/>
            </w:tcBorders>
          </w:tcPr>
          <w:p>
            <w:pPr>
              <w:pStyle w:val="TableParagraph"/>
              <w:spacing w:before="88"/>
              <w:ind w:left="407"/>
              <w:rPr>
                <w:sz w:val="18"/>
              </w:rPr>
            </w:pPr>
            <w:r>
              <w:rPr>
                <w:color w:val="231F20"/>
                <w:w w:val="105"/>
                <w:sz w:val="18"/>
              </w:rPr>
              <w:t>Nivel</w:t>
            </w:r>
          </w:p>
        </w:tc>
        <w:tc>
          <w:tcPr>
            <w:tcW w:w="5665" w:type="dxa"/>
            <w:tcBorders>
              <w:left w:val="single" w:sz="4" w:space="0" w:color="231F20"/>
            </w:tcBorders>
          </w:tcPr>
          <w:p>
            <w:pPr>
              <w:pStyle w:val="TableParagraph"/>
              <w:spacing w:before="88"/>
              <w:ind w:left="2207" w:right="2208"/>
              <w:jc w:val="center"/>
              <w:rPr>
                <w:sz w:val="18"/>
              </w:rPr>
            </w:pPr>
            <w:r>
              <w:rPr>
                <w:color w:val="231F20"/>
                <w:sz w:val="18"/>
              </w:rPr>
              <w:t>Características</w:t>
            </w:r>
          </w:p>
        </w:tc>
      </w:tr>
      <w:tr>
        <w:trPr>
          <w:trHeight w:val="772" w:hRule="exact"/>
        </w:trPr>
        <w:tc>
          <w:tcPr>
            <w:tcW w:w="1242" w:type="dxa"/>
            <w:tcBorders>
              <w:right w:val="single" w:sz="4" w:space="0" w:color="231F20"/>
            </w:tcBorders>
          </w:tcPr>
          <w:p>
            <w:pPr>
              <w:pStyle w:val="TableParagraph"/>
              <w:spacing w:before="88"/>
              <w:ind w:left="77"/>
              <w:rPr>
                <w:sz w:val="18"/>
              </w:rPr>
            </w:pPr>
            <w:r>
              <w:rPr>
                <w:color w:val="231F20"/>
                <w:w w:val="105"/>
                <w:sz w:val="18"/>
              </w:rPr>
              <w:t>Meta</w:t>
            </w:r>
          </w:p>
        </w:tc>
        <w:tc>
          <w:tcPr>
            <w:tcW w:w="5665" w:type="dxa"/>
            <w:tcBorders>
              <w:left w:val="single" w:sz="4" w:space="0" w:color="231F20"/>
            </w:tcBorders>
          </w:tcPr>
          <w:p>
            <w:pPr>
              <w:pStyle w:val="TableParagraph"/>
              <w:spacing w:line="249" w:lineRule="auto" w:before="88"/>
              <w:ind w:left="75" w:right="72"/>
              <w:jc w:val="both"/>
              <w:rPr>
                <w:sz w:val="18"/>
              </w:rPr>
            </w:pPr>
            <w:r>
              <w:rPr>
                <w:color w:val="231F20"/>
                <w:spacing w:val="-3"/>
                <w:w w:val="105"/>
                <w:sz w:val="18"/>
              </w:rPr>
              <w:t>Los</w:t>
            </w:r>
            <w:r>
              <w:rPr>
                <w:color w:val="231F20"/>
                <w:spacing w:val="-25"/>
                <w:w w:val="105"/>
                <w:sz w:val="18"/>
              </w:rPr>
              <w:t> </w:t>
            </w:r>
            <w:r>
              <w:rPr>
                <w:color w:val="231F20"/>
                <w:spacing w:val="-3"/>
                <w:w w:val="105"/>
                <w:sz w:val="18"/>
              </w:rPr>
              <w:t>factores</w:t>
            </w:r>
            <w:r>
              <w:rPr>
                <w:color w:val="231F20"/>
                <w:spacing w:val="-25"/>
                <w:w w:val="105"/>
                <w:sz w:val="18"/>
              </w:rPr>
              <w:t> </w:t>
            </w:r>
            <w:r>
              <w:rPr>
                <w:color w:val="231F20"/>
                <w:w w:val="105"/>
                <w:sz w:val="18"/>
              </w:rPr>
              <w:t>son</w:t>
            </w:r>
            <w:r>
              <w:rPr>
                <w:color w:val="231F20"/>
                <w:spacing w:val="-25"/>
                <w:w w:val="105"/>
                <w:sz w:val="18"/>
              </w:rPr>
              <w:t> </w:t>
            </w:r>
            <w:r>
              <w:rPr>
                <w:color w:val="231F20"/>
                <w:spacing w:val="-3"/>
                <w:w w:val="105"/>
                <w:sz w:val="18"/>
              </w:rPr>
              <w:t>englobados</w:t>
            </w:r>
            <w:r>
              <w:rPr>
                <w:color w:val="231F20"/>
                <w:spacing w:val="-25"/>
                <w:w w:val="105"/>
                <w:sz w:val="18"/>
              </w:rPr>
              <w:t> </w:t>
            </w:r>
            <w:r>
              <w:rPr>
                <w:color w:val="231F20"/>
                <w:w w:val="105"/>
                <w:sz w:val="18"/>
              </w:rPr>
              <w:t>en</w:t>
            </w:r>
            <w:r>
              <w:rPr>
                <w:color w:val="231F20"/>
                <w:spacing w:val="-25"/>
                <w:w w:val="105"/>
                <w:sz w:val="18"/>
              </w:rPr>
              <w:t> </w:t>
            </w:r>
            <w:r>
              <w:rPr>
                <w:color w:val="231F20"/>
                <w:w w:val="105"/>
                <w:sz w:val="18"/>
              </w:rPr>
              <w:t>lo</w:t>
            </w:r>
            <w:r>
              <w:rPr>
                <w:color w:val="231F20"/>
                <w:spacing w:val="-25"/>
                <w:w w:val="105"/>
                <w:sz w:val="18"/>
              </w:rPr>
              <w:t> </w:t>
            </w:r>
            <w:r>
              <w:rPr>
                <w:color w:val="231F20"/>
                <w:w w:val="105"/>
                <w:sz w:val="18"/>
              </w:rPr>
              <w:t>que</w:t>
            </w:r>
            <w:r>
              <w:rPr>
                <w:color w:val="231F20"/>
                <w:spacing w:val="-25"/>
                <w:w w:val="105"/>
                <w:sz w:val="18"/>
              </w:rPr>
              <w:t> </w:t>
            </w:r>
            <w:r>
              <w:rPr>
                <w:color w:val="231F20"/>
                <w:spacing w:val="-3"/>
                <w:w w:val="105"/>
                <w:sz w:val="18"/>
              </w:rPr>
              <w:t>suele</w:t>
            </w:r>
            <w:r>
              <w:rPr>
                <w:color w:val="231F20"/>
                <w:spacing w:val="-25"/>
                <w:w w:val="105"/>
                <w:sz w:val="18"/>
              </w:rPr>
              <w:t> </w:t>
            </w:r>
            <w:r>
              <w:rPr>
                <w:color w:val="231F20"/>
                <w:spacing w:val="-3"/>
                <w:w w:val="105"/>
                <w:sz w:val="18"/>
              </w:rPr>
              <w:t>llamarse</w:t>
            </w:r>
            <w:r>
              <w:rPr>
                <w:color w:val="231F20"/>
                <w:spacing w:val="-25"/>
                <w:w w:val="105"/>
                <w:sz w:val="18"/>
              </w:rPr>
              <w:t> </w:t>
            </w:r>
            <w:r>
              <w:rPr>
                <w:color w:val="231F20"/>
                <w:spacing w:val="-4"/>
                <w:w w:val="105"/>
                <w:sz w:val="18"/>
              </w:rPr>
              <w:t>“competitividad </w:t>
            </w:r>
            <w:r>
              <w:rPr>
                <w:color w:val="231F20"/>
                <w:spacing w:val="-3"/>
                <w:w w:val="105"/>
                <w:sz w:val="18"/>
              </w:rPr>
              <w:t>blanda”</w:t>
            </w:r>
            <w:r>
              <w:rPr>
                <w:color w:val="231F20"/>
                <w:spacing w:val="-36"/>
                <w:w w:val="105"/>
                <w:sz w:val="18"/>
              </w:rPr>
              <w:t> </w:t>
            </w:r>
            <w:r>
              <w:rPr>
                <w:color w:val="231F20"/>
                <w:w w:val="105"/>
                <w:sz w:val="18"/>
              </w:rPr>
              <w:t>e</w:t>
            </w:r>
            <w:r>
              <w:rPr>
                <w:color w:val="231F20"/>
                <w:spacing w:val="-36"/>
                <w:w w:val="105"/>
                <w:sz w:val="18"/>
              </w:rPr>
              <w:t> </w:t>
            </w:r>
            <w:r>
              <w:rPr>
                <w:color w:val="231F20"/>
                <w:w w:val="105"/>
                <w:sz w:val="18"/>
              </w:rPr>
              <w:t>incluye</w:t>
            </w:r>
            <w:r>
              <w:rPr>
                <w:color w:val="231F20"/>
                <w:spacing w:val="-36"/>
                <w:w w:val="105"/>
                <w:sz w:val="18"/>
              </w:rPr>
              <w:t> </w:t>
            </w:r>
            <w:r>
              <w:rPr>
                <w:color w:val="231F20"/>
                <w:spacing w:val="-3"/>
                <w:w w:val="105"/>
                <w:sz w:val="18"/>
              </w:rPr>
              <w:t>factores</w:t>
            </w:r>
            <w:r>
              <w:rPr>
                <w:color w:val="231F20"/>
                <w:spacing w:val="-36"/>
                <w:w w:val="105"/>
                <w:sz w:val="18"/>
              </w:rPr>
              <w:t> </w:t>
            </w:r>
            <w:r>
              <w:rPr>
                <w:color w:val="231F20"/>
                <w:w w:val="105"/>
                <w:sz w:val="18"/>
              </w:rPr>
              <w:t>socioculturales,</w:t>
            </w:r>
            <w:r>
              <w:rPr>
                <w:color w:val="231F20"/>
                <w:spacing w:val="-39"/>
                <w:w w:val="105"/>
                <w:sz w:val="18"/>
              </w:rPr>
              <w:t> </w:t>
            </w:r>
            <w:r>
              <w:rPr>
                <w:color w:val="231F20"/>
                <w:spacing w:val="-3"/>
                <w:w w:val="105"/>
                <w:sz w:val="18"/>
              </w:rPr>
              <w:t>valores,</w:t>
            </w:r>
            <w:r>
              <w:rPr>
                <w:color w:val="231F20"/>
                <w:spacing w:val="-39"/>
                <w:w w:val="105"/>
                <w:sz w:val="18"/>
              </w:rPr>
              <w:t> </w:t>
            </w:r>
            <w:r>
              <w:rPr>
                <w:color w:val="231F20"/>
                <w:w w:val="105"/>
                <w:sz w:val="18"/>
              </w:rPr>
              <w:t>capacidad</w:t>
            </w:r>
            <w:r>
              <w:rPr>
                <w:color w:val="231F20"/>
                <w:spacing w:val="-36"/>
                <w:w w:val="105"/>
                <w:sz w:val="18"/>
              </w:rPr>
              <w:t> </w:t>
            </w:r>
            <w:r>
              <w:rPr>
                <w:color w:val="231F20"/>
                <w:spacing w:val="-3"/>
                <w:w w:val="105"/>
                <w:sz w:val="18"/>
              </w:rPr>
              <w:t>estraté- </w:t>
            </w:r>
            <w:r>
              <w:rPr>
                <w:color w:val="231F20"/>
                <w:w w:val="105"/>
                <w:sz w:val="18"/>
              </w:rPr>
              <w:t>gica</w:t>
            </w:r>
            <w:r>
              <w:rPr>
                <w:color w:val="231F20"/>
                <w:spacing w:val="-25"/>
                <w:w w:val="105"/>
                <w:sz w:val="18"/>
              </w:rPr>
              <w:t> </w:t>
            </w:r>
            <w:r>
              <w:rPr>
                <w:color w:val="231F20"/>
                <w:w w:val="105"/>
                <w:sz w:val="18"/>
              </w:rPr>
              <w:t>y</w:t>
            </w:r>
            <w:r>
              <w:rPr>
                <w:color w:val="231F20"/>
                <w:spacing w:val="-25"/>
                <w:w w:val="105"/>
                <w:sz w:val="18"/>
              </w:rPr>
              <w:t> </w:t>
            </w:r>
            <w:r>
              <w:rPr>
                <w:color w:val="231F20"/>
                <w:w w:val="105"/>
                <w:sz w:val="18"/>
              </w:rPr>
              <w:t>política,</w:t>
            </w:r>
            <w:r>
              <w:rPr>
                <w:color w:val="231F20"/>
                <w:spacing w:val="-29"/>
                <w:w w:val="105"/>
                <w:sz w:val="18"/>
              </w:rPr>
              <w:t> </w:t>
            </w:r>
            <w:r>
              <w:rPr>
                <w:color w:val="231F20"/>
                <w:w w:val="105"/>
                <w:sz w:val="18"/>
              </w:rPr>
              <w:t>así</w:t>
            </w:r>
            <w:r>
              <w:rPr>
                <w:color w:val="231F20"/>
                <w:spacing w:val="-25"/>
                <w:w w:val="105"/>
                <w:sz w:val="18"/>
              </w:rPr>
              <w:t> </w:t>
            </w:r>
            <w:r>
              <w:rPr>
                <w:color w:val="231F20"/>
                <w:w w:val="105"/>
                <w:sz w:val="18"/>
              </w:rPr>
              <w:t>como</w:t>
            </w:r>
            <w:r>
              <w:rPr>
                <w:color w:val="231F20"/>
                <w:spacing w:val="-25"/>
                <w:w w:val="105"/>
                <w:sz w:val="18"/>
              </w:rPr>
              <w:t> </w:t>
            </w:r>
            <w:r>
              <w:rPr>
                <w:color w:val="231F20"/>
                <w:w w:val="105"/>
                <w:sz w:val="18"/>
              </w:rPr>
              <w:t>patrones</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organización</w:t>
            </w:r>
            <w:r>
              <w:rPr>
                <w:color w:val="231F20"/>
                <w:spacing w:val="-25"/>
                <w:w w:val="105"/>
                <w:sz w:val="18"/>
              </w:rPr>
              <w:t> </w:t>
            </w:r>
            <w:r>
              <w:rPr>
                <w:color w:val="231F20"/>
                <w:w w:val="105"/>
                <w:sz w:val="18"/>
              </w:rPr>
              <w:t>social.</w:t>
            </w:r>
          </w:p>
        </w:tc>
      </w:tr>
      <w:tr>
        <w:trPr>
          <w:trHeight w:val="988" w:hRule="exact"/>
        </w:trPr>
        <w:tc>
          <w:tcPr>
            <w:tcW w:w="1242" w:type="dxa"/>
            <w:tcBorders>
              <w:right w:val="single" w:sz="4" w:space="0" w:color="231F20"/>
            </w:tcBorders>
          </w:tcPr>
          <w:p>
            <w:pPr>
              <w:pStyle w:val="TableParagraph"/>
              <w:spacing w:before="88"/>
              <w:ind w:left="77"/>
              <w:rPr>
                <w:sz w:val="18"/>
              </w:rPr>
            </w:pPr>
            <w:r>
              <w:rPr>
                <w:color w:val="231F20"/>
                <w:w w:val="105"/>
                <w:sz w:val="18"/>
              </w:rPr>
              <w:t>Macro</w:t>
            </w:r>
          </w:p>
        </w:tc>
        <w:tc>
          <w:tcPr>
            <w:tcW w:w="5665" w:type="dxa"/>
            <w:tcBorders>
              <w:left w:val="single" w:sz="4" w:space="0" w:color="231F20"/>
            </w:tcBorders>
          </w:tcPr>
          <w:p>
            <w:pPr>
              <w:pStyle w:val="TableParagraph"/>
              <w:spacing w:line="249" w:lineRule="auto" w:before="88"/>
              <w:ind w:left="75" w:right="74"/>
              <w:jc w:val="both"/>
              <w:rPr>
                <w:sz w:val="18"/>
              </w:rPr>
            </w:pPr>
            <w:r>
              <w:rPr>
                <w:color w:val="231F20"/>
                <w:w w:val="105"/>
                <w:sz w:val="18"/>
              </w:rPr>
              <w:t>Los</w:t>
            </w:r>
            <w:r>
              <w:rPr>
                <w:color w:val="231F20"/>
                <w:spacing w:val="-30"/>
                <w:w w:val="105"/>
                <w:sz w:val="18"/>
              </w:rPr>
              <w:t> </w:t>
            </w:r>
            <w:r>
              <w:rPr>
                <w:color w:val="231F20"/>
                <w:w w:val="105"/>
                <w:sz w:val="18"/>
              </w:rPr>
              <w:t>factores</w:t>
            </w:r>
            <w:r>
              <w:rPr>
                <w:color w:val="231F20"/>
                <w:spacing w:val="-30"/>
                <w:w w:val="105"/>
                <w:sz w:val="18"/>
              </w:rPr>
              <w:t> </w:t>
            </w:r>
            <w:r>
              <w:rPr>
                <w:color w:val="231F20"/>
                <w:w w:val="105"/>
                <w:sz w:val="18"/>
              </w:rPr>
              <w:t>esenciales</w:t>
            </w:r>
            <w:r>
              <w:rPr>
                <w:color w:val="231F20"/>
                <w:spacing w:val="-30"/>
                <w:w w:val="105"/>
                <w:sz w:val="18"/>
              </w:rPr>
              <w:t> </w:t>
            </w:r>
            <w:r>
              <w:rPr>
                <w:color w:val="231F20"/>
                <w:w w:val="105"/>
                <w:sz w:val="18"/>
              </w:rPr>
              <w:t>para</w:t>
            </w:r>
            <w:r>
              <w:rPr>
                <w:color w:val="231F20"/>
                <w:spacing w:val="-30"/>
                <w:w w:val="105"/>
                <w:sz w:val="18"/>
              </w:rPr>
              <w:t> </w:t>
            </w:r>
            <w:r>
              <w:rPr>
                <w:color w:val="231F20"/>
                <w:w w:val="105"/>
                <w:sz w:val="18"/>
              </w:rPr>
              <w:t>una</w:t>
            </w:r>
            <w:r>
              <w:rPr>
                <w:color w:val="231F20"/>
                <w:spacing w:val="-30"/>
                <w:w w:val="105"/>
                <w:sz w:val="18"/>
              </w:rPr>
              <w:t> </w:t>
            </w:r>
            <w:r>
              <w:rPr>
                <w:color w:val="231F20"/>
                <w:w w:val="105"/>
                <w:sz w:val="18"/>
              </w:rPr>
              <w:t>competitividad</w:t>
            </w:r>
            <w:r>
              <w:rPr>
                <w:color w:val="231F20"/>
                <w:spacing w:val="-30"/>
                <w:w w:val="105"/>
                <w:sz w:val="18"/>
              </w:rPr>
              <w:t> </w:t>
            </w:r>
            <w:r>
              <w:rPr>
                <w:color w:val="231F20"/>
                <w:w w:val="105"/>
                <w:sz w:val="18"/>
              </w:rPr>
              <w:t>auténtica</w:t>
            </w:r>
            <w:r>
              <w:rPr>
                <w:color w:val="231F20"/>
                <w:spacing w:val="-30"/>
                <w:w w:val="105"/>
                <w:sz w:val="18"/>
              </w:rPr>
              <w:t> </w:t>
            </w:r>
            <w:r>
              <w:rPr>
                <w:color w:val="231F20"/>
                <w:w w:val="105"/>
                <w:sz w:val="18"/>
              </w:rPr>
              <w:t>son</w:t>
            </w:r>
            <w:r>
              <w:rPr>
                <w:color w:val="231F20"/>
                <w:spacing w:val="-30"/>
                <w:w w:val="105"/>
                <w:sz w:val="18"/>
              </w:rPr>
              <w:t> </w:t>
            </w:r>
            <w:r>
              <w:rPr>
                <w:color w:val="231F20"/>
                <w:w w:val="105"/>
                <w:sz w:val="18"/>
              </w:rPr>
              <w:t>la</w:t>
            </w:r>
            <w:r>
              <w:rPr>
                <w:color w:val="231F20"/>
                <w:spacing w:val="-30"/>
                <w:w w:val="105"/>
                <w:sz w:val="18"/>
              </w:rPr>
              <w:t> </w:t>
            </w:r>
            <w:r>
              <w:rPr>
                <w:color w:val="231F20"/>
                <w:w w:val="105"/>
                <w:sz w:val="18"/>
              </w:rPr>
              <w:t>dis- ponibilidad de mano de obra calificada, la estabilidad política, el desarrollo</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la</w:t>
            </w:r>
            <w:r>
              <w:rPr>
                <w:color w:val="231F20"/>
                <w:spacing w:val="-33"/>
                <w:w w:val="105"/>
                <w:sz w:val="18"/>
              </w:rPr>
              <w:t> </w:t>
            </w:r>
            <w:r>
              <w:rPr>
                <w:color w:val="231F20"/>
                <w:w w:val="105"/>
                <w:sz w:val="18"/>
              </w:rPr>
              <w:t>investigación,</w:t>
            </w:r>
            <w:r>
              <w:rPr>
                <w:color w:val="231F20"/>
                <w:spacing w:val="-35"/>
                <w:w w:val="105"/>
                <w:sz w:val="18"/>
              </w:rPr>
              <w:t> </w:t>
            </w:r>
            <w:r>
              <w:rPr>
                <w:color w:val="231F20"/>
                <w:w w:val="105"/>
                <w:sz w:val="18"/>
              </w:rPr>
              <w:t>la</w:t>
            </w:r>
            <w:r>
              <w:rPr>
                <w:color w:val="231F20"/>
                <w:spacing w:val="-33"/>
                <w:w w:val="105"/>
                <w:sz w:val="18"/>
              </w:rPr>
              <w:t> </w:t>
            </w:r>
            <w:r>
              <w:rPr>
                <w:color w:val="231F20"/>
                <w:w w:val="105"/>
                <w:sz w:val="18"/>
              </w:rPr>
              <w:t>infraestructura</w:t>
            </w:r>
            <w:r>
              <w:rPr>
                <w:color w:val="231F20"/>
                <w:spacing w:val="-33"/>
                <w:w w:val="105"/>
                <w:sz w:val="18"/>
              </w:rPr>
              <w:t> </w:t>
            </w:r>
            <w:r>
              <w:rPr>
                <w:color w:val="231F20"/>
                <w:w w:val="105"/>
                <w:sz w:val="18"/>
              </w:rPr>
              <w:t>y</w:t>
            </w:r>
            <w:r>
              <w:rPr>
                <w:color w:val="231F20"/>
                <w:spacing w:val="-33"/>
                <w:w w:val="105"/>
                <w:sz w:val="18"/>
              </w:rPr>
              <w:t> </w:t>
            </w:r>
            <w:r>
              <w:rPr>
                <w:color w:val="231F20"/>
                <w:w w:val="105"/>
                <w:sz w:val="18"/>
              </w:rPr>
              <w:t>las</w:t>
            </w:r>
            <w:r>
              <w:rPr>
                <w:color w:val="231F20"/>
                <w:spacing w:val="-33"/>
                <w:w w:val="105"/>
                <w:sz w:val="18"/>
              </w:rPr>
              <w:t> </w:t>
            </w:r>
            <w:r>
              <w:rPr>
                <w:color w:val="231F20"/>
                <w:w w:val="105"/>
                <w:sz w:val="18"/>
              </w:rPr>
              <w:t>relaciones</w:t>
            </w:r>
            <w:r>
              <w:rPr>
                <w:color w:val="231F20"/>
                <w:spacing w:val="-33"/>
                <w:w w:val="105"/>
                <w:sz w:val="18"/>
              </w:rPr>
              <w:t> </w:t>
            </w:r>
            <w:r>
              <w:rPr>
                <w:color w:val="231F20"/>
                <w:w w:val="105"/>
                <w:sz w:val="18"/>
              </w:rPr>
              <w:t>entre firmas,</w:t>
            </w:r>
            <w:r>
              <w:rPr>
                <w:color w:val="231F20"/>
                <w:spacing w:val="-33"/>
                <w:w w:val="105"/>
                <w:sz w:val="18"/>
              </w:rPr>
              <w:t> </w:t>
            </w:r>
            <w:r>
              <w:rPr>
                <w:color w:val="231F20"/>
                <w:w w:val="105"/>
                <w:sz w:val="18"/>
              </w:rPr>
              <w:t>gobiernos</w:t>
            </w:r>
            <w:r>
              <w:rPr>
                <w:color w:val="231F20"/>
                <w:spacing w:val="-30"/>
                <w:w w:val="105"/>
                <w:sz w:val="18"/>
              </w:rPr>
              <w:t> </w:t>
            </w:r>
            <w:r>
              <w:rPr>
                <w:color w:val="231F20"/>
                <w:w w:val="105"/>
                <w:sz w:val="18"/>
              </w:rPr>
              <w:t>e</w:t>
            </w:r>
            <w:r>
              <w:rPr>
                <w:color w:val="231F20"/>
                <w:spacing w:val="-30"/>
                <w:w w:val="105"/>
                <w:sz w:val="18"/>
              </w:rPr>
              <w:t> </w:t>
            </w:r>
            <w:r>
              <w:rPr>
                <w:color w:val="231F20"/>
                <w:w w:val="105"/>
                <w:sz w:val="18"/>
              </w:rPr>
              <w:t>instituciones.</w:t>
            </w:r>
          </w:p>
        </w:tc>
      </w:tr>
      <w:tr>
        <w:trPr>
          <w:trHeight w:val="772" w:hRule="exact"/>
        </w:trPr>
        <w:tc>
          <w:tcPr>
            <w:tcW w:w="1242" w:type="dxa"/>
            <w:tcBorders>
              <w:right w:val="single" w:sz="4" w:space="0" w:color="231F20"/>
            </w:tcBorders>
          </w:tcPr>
          <w:p>
            <w:pPr>
              <w:pStyle w:val="TableParagraph"/>
              <w:spacing w:before="88"/>
              <w:ind w:left="77"/>
              <w:rPr>
                <w:sz w:val="18"/>
              </w:rPr>
            </w:pPr>
            <w:r>
              <w:rPr>
                <w:color w:val="231F20"/>
                <w:w w:val="105"/>
                <w:sz w:val="18"/>
              </w:rPr>
              <w:t>Meso</w:t>
            </w:r>
          </w:p>
        </w:tc>
        <w:tc>
          <w:tcPr>
            <w:tcW w:w="5665" w:type="dxa"/>
            <w:tcBorders>
              <w:left w:val="single" w:sz="4" w:space="0" w:color="231F20"/>
            </w:tcBorders>
          </w:tcPr>
          <w:p>
            <w:pPr>
              <w:pStyle w:val="TableParagraph"/>
              <w:spacing w:line="249" w:lineRule="auto" w:before="88"/>
              <w:ind w:left="75" w:right="71"/>
              <w:jc w:val="both"/>
              <w:rPr>
                <w:sz w:val="18"/>
              </w:rPr>
            </w:pPr>
            <w:r>
              <w:rPr>
                <w:color w:val="231F20"/>
                <w:spacing w:val="-6"/>
                <w:w w:val="105"/>
                <w:sz w:val="18"/>
              </w:rPr>
              <w:t>Participación</w:t>
            </w:r>
            <w:r>
              <w:rPr>
                <w:color w:val="231F20"/>
                <w:spacing w:val="-31"/>
                <w:w w:val="105"/>
                <w:sz w:val="18"/>
              </w:rPr>
              <w:t> </w:t>
            </w:r>
            <w:r>
              <w:rPr>
                <w:color w:val="231F20"/>
                <w:spacing w:val="-3"/>
                <w:w w:val="105"/>
                <w:sz w:val="18"/>
              </w:rPr>
              <w:t>en</w:t>
            </w:r>
            <w:r>
              <w:rPr>
                <w:color w:val="231F20"/>
                <w:spacing w:val="-31"/>
                <w:w w:val="105"/>
                <w:sz w:val="18"/>
              </w:rPr>
              <w:t> </w:t>
            </w:r>
            <w:r>
              <w:rPr>
                <w:color w:val="231F20"/>
                <w:spacing w:val="-5"/>
                <w:w w:val="105"/>
                <w:sz w:val="18"/>
              </w:rPr>
              <w:t>redes</w:t>
            </w:r>
            <w:r>
              <w:rPr>
                <w:color w:val="231F20"/>
                <w:spacing w:val="-31"/>
                <w:w w:val="105"/>
                <w:sz w:val="18"/>
              </w:rPr>
              <w:t> </w:t>
            </w:r>
            <w:r>
              <w:rPr>
                <w:color w:val="231F20"/>
                <w:spacing w:val="-5"/>
                <w:w w:val="105"/>
                <w:sz w:val="18"/>
              </w:rPr>
              <w:t>tecnológicas</w:t>
            </w:r>
            <w:r>
              <w:rPr>
                <w:color w:val="231F20"/>
                <w:spacing w:val="-31"/>
                <w:w w:val="105"/>
                <w:sz w:val="18"/>
              </w:rPr>
              <w:t> </w:t>
            </w:r>
            <w:r>
              <w:rPr>
                <w:color w:val="231F20"/>
                <w:spacing w:val="-3"/>
                <w:w w:val="105"/>
                <w:sz w:val="18"/>
              </w:rPr>
              <w:t>en</w:t>
            </w:r>
            <w:r>
              <w:rPr>
                <w:color w:val="231F20"/>
                <w:spacing w:val="-31"/>
                <w:w w:val="105"/>
                <w:sz w:val="18"/>
              </w:rPr>
              <w:t> </w:t>
            </w:r>
            <w:r>
              <w:rPr>
                <w:color w:val="231F20"/>
                <w:spacing w:val="-4"/>
                <w:w w:val="105"/>
                <w:sz w:val="18"/>
              </w:rPr>
              <w:t>las</w:t>
            </w:r>
            <w:r>
              <w:rPr>
                <w:color w:val="231F20"/>
                <w:spacing w:val="-31"/>
                <w:w w:val="105"/>
                <w:sz w:val="18"/>
              </w:rPr>
              <w:t> </w:t>
            </w:r>
            <w:r>
              <w:rPr>
                <w:color w:val="231F20"/>
                <w:spacing w:val="-4"/>
                <w:w w:val="105"/>
                <w:sz w:val="18"/>
              </w:rPr>
              <w:t>que</w:t>
            </w:r>
            <w:r>
              <w:rPr>
                <w:color w:val="231F20"/>
                <w:spacing w:val="-31"/>
                <w:w w:val="105"/>
                <w:sz w:val="18"/>
              </w:rPr>
              <w:t> </w:t>
            </w:r>
            <w:r>
              <w:rPr>
                <w:color w:val="231F20"/>
                <w:spacing w:val="-4"/>
                <w:w w:val="105"/>
                <w:sz w:val="18"/>
              </w:rPr>
              <w:t>los</w:t>
            </w:r>
            <w:r>
              <w:rPr>
                <w:color w:val="231F20"/>
                <w:spacing w:val="-31"/>
                <w:w w:val="105"/>
                <w:sz w:val="18"/>
              </w:rPr>
              <w:t> </w:t>
            </w:r>
            <w:r>
              <w:rPr>
                <w:color w:val="231F20"/>
                <w:spacing w:val="-5"/>
                <w:w w:val="105"/>
                <w:sz w:val="18"/>
              </w:rPr>
              <w:t>acuerdos</w:t>
            </w:r>
            <w:r>
              <w:rPr>
                <w:color w:val="231F20"/>
                <w:spacing w:val="-31"/>
                <w:w w:val="105"/>
                <w:sz w:val="18"/>
              </w:rPr>
              <w:t> </w:t>
            </w:r>
            <w:r>
              <w:rPr>
                <w:color w:val="231F20"/>
                <w:spacing w:val="-5"/>
                <w:w w:val="105"/>
                <w:sz w:val="18"/>
              </w:rPr>
              <w:t>entre</w:t>
            </w:r>
            <w:r>
              <w:rPr>
                <w:color w:val="231F20"/>
                <w:spacing w:val="-31"/>
                <w:w w:val="105"/>
                <w:sz w:val="18"/>
              </w:rPr>
              <w:t> </w:t>
            </w:r>
            <w:r>
              <w:rPr>
                <w:color w:val="231F20"/>
                <w:spacing w:val="-5"/>
                <w:w w:val="105"/>
                <w:sz w:val="18"/>
              </w:rPr>
              <w:t>firmas </w:t>
            </w:r>
            <w:r>
              <w:rPr>
                <w:color w:val="231F20"/>
                <w:spacing w:val="-2"/>
                <w:w w:val="105"/>
                <w:sz w:val="18"/>
              </w:rPr>
              <w:t>competidoras</w:t>
            </w:r>
            <w:r>
              <w:rPr>
                <w:color w:val="231F20"/>
                <w:spacing w:val="-18"/>
                <w:w w:val="105"/>
                <w:sz w:val="18"/>
              </w:rPr>
              <w:t> </w:t>
            </w:r>
            <w:r>
              <w:rPr>
                <w:color w:val="231F20"/>
                <w:w w:val="105"/>
                <w:sz w:val="18"/>
              </w:rPr>
              <w:t>para</w:t>
            </w:r>
            <w:r>
              <w:rPr>
                <w:color w:val="231F20"/>
                <w:spacing w:val="-18"/>
                <w:w w:val="105"/>
                <w:sz w:val="18"/>
              </w:rPr>
              <w:t> </w:t>
            </w:r>
            <w:r>
              <w:rPr>
                <w:color w:val="231F20"/>
                <w:w w:val="105"/>
                <w:sz w:val="18"/>
              </w:rPr>
              <w:t>la</w:t>
            </w:r>
            <w:r>
              <w:rPr>
                <w:color w:val="231F20"/>
                <w:spacing w:val="-18"/>
                <w:w w:val="105"/>
                <w:sz w:val="18"/>
              </w:rPr>
              <w:t> </w:t>
            </w:r>
            <w:r>
              <w:rPr>
                <w:color w:val="231F20"/>
                <w:w w:val="105"/>
                <w:sz w:val="18"/>
              </w:rPr>
              <w:t>inversión</w:t>
            </w:r>
            <w:r>
              <w:rPr>
                <w:color w:val="231F20"/>
                <w:spacing w:val="-18"/>
                <w:w w:val="105"/>
                <w:sz w:val="18"/>
              </w:rPr>
              <w:t> </w:t>
            </w:r>
            <w:r>
              <w:rPr>
                <w:color w:val="231F20"/>
                <w:w w:val="105"/>
                <w:sz w:val="18"/>
              </w:rPr>
              <w:t>en</w:t>
            </w:r>
            <w:r>
              <w:rPr>
                <w:color w:val="231F20"/>
                <w:spacing w:val="-18"/>
                <w:w w:val="105"/>
                <w:sz w:val="18"/>
              </w:rPr>
              <w:t> </w:t>
            </w:r>
            <w:r>
              <w:rPr>
                <w:color w:val="231F20"/>
                <w:w w:val="105"/>
                <w:sz w:val="18"/>
              </w:rPr>
              <w:t>I&amp;D</w:t>
            </w:r>
            <w:r>
              <w:rPr>
                <w:color w:val="231F20"/>
                <w:spacing w:val="-18"/>
                <w:w w:val="105"/>
                <w:sz w:val="18"/>
              </w:rPr>
              <w:t> </w:t>
            </w:r>
            <w:r>
              <w:rPr>
                <w:color w:val="231F20"/>
                <w:w w:val="105"/>
                <w:sz w:val="18"/>
              </w:rPr>
              <w:t>permiten</w:t>
            </w:r>
            <w:r>
              <w:rPr>
                <w:color w:val="231F20"/>
                <w:spacing w:val="-18"/>
                <w:w w:val="105"/>
                <w:sz w:val="18"/>
              </w:rPr>
              <w:t> </w:t>
            </w:r>
            <w:r>
              <w:rPr>
                <w:color w:val="231F20"/>
                <w:w w:val="105"/>
                <w:sz w:val="18"/>
              </w:rPr>
              <w:t>diversificar</w:t>
            </w:r>
            <w:r>
              <w:rPr>
                <w:color w:val="231F20"/>
                <w:spacing w:val="-18"/>
                <w:w w:val="105"/>
                <w:sz w:val="18"/>
              </w:rPr>
              <w:t> </w:t>
            </w:r>
            <w:r>
              <w:rPr>
                <w:color w:val="231F20"/>
                <w:w w:val="105"/>
                <w:sz w:val="18"/>
              </w:rPr>
              <w:t>riesgos, </w:t>
            </w:r>
            <w:r>
              <w:rPr>
                <w:color w:val="231F20"/>
                <w:spacing w:val="-3"/>
                <w:w w:val="105"/>
                <w:sz w:val="18"/>
              </w:rPr>
              <w:t>generar</w:t>
            </w:r>
            <w:r>
              <w:rPr>
                <w:color w:val="231F20"/>
                <w:spacing w:val="-30"/>
                <w:w w:val="105"/>
                <w:sz w:val="18"/>
              </w:rPr>
              <w:t> </w:t>
            </w:r>
            <w:r>
              <w:rPr>
                <w:color w:val="231F20"/>
                <w:spacing w:val="-3"/>
                <w:w w:val="105"/>
                <w:sz w:val="18"/>
              </w:rPr>
              <w:t>economías</w:t>
            </w:r>
            <w:r>
              <w:rPr>
                <w:color w:val="231F20"/>
                <w:spacing w:val="-30"/>
                <w:w w:val="105"/>
                <w:sz w:val="18"/>
              </w:rPr>
              <w:t> </w:t>
            </w:r>
            <w:r>
              <w:rPr>
                <w:color w:val="231F20"/>
                <w:w w:val="105"/>
                <w:sz w:val="18"/>
              </w:rPr>
              <w:t>de</w:t>
            </w:r>
            <w:r>
              <w:rPr>
                <w:color w:val="231F20"/>
                <w:spacing w:val="-30"/>
                <w:w w:val="105"/>
                <w:sz w:val="18"/>
              </w:rPr>
              <w:t> </w:t>
            </w:r>
            <w:r>
              <w:rPr>
                <w:color w:val="231F20"/>
                <w:spacing w:val="-3"/>
                <w:w w:val="105"/>
                <w:sz w:val="18"/>
              </w:rPr>
              <w:t>escala</w:t>
            </w:r>
            <w:r>
              <w:rPr>
                <w:color w:val="231F20"/>
                <w:spacing w:val="-30"/>
                <w:w w:val="105"/>
                <w:sz w:val="18"/>
              </w:rPr>
              <w:t> </w:t>
            </w:r>
            <w:r>
              <w:rPr>
                <w:color w:val="231F20"/>
                <w:w w:val="105"/>
                <w:sz w:val="18"/>
              </w:rPr>
              <w:t>y</w:t>
            </w:r>
            <w:r>
              <w:rPr>
                <w:color w:val="231F20"/>
                <w:spacing w:val="-30"/>
                <w:w w:val="105"/>
                <w:sz w:val="18"/>
              </w:rPr>
              <w:t> </w:t>
            </w:r>
            <w:r>
              <w:rPr>
                <w:color w:val="231F20"/>
                <w:spacing w:val="-3"/>
                <w:w w:val="105"/>
                <w:sz w:val="18"/>
              </w:rPr>
              <w:t>tener</w:t>
            </w:r>
            <w:r>
              <w:rPr>
                <w:color w:val="231F20"/>
                <w:spacing w:val="-30"/>
                <w:w w:val="105"/>
                <w:sz w:val="18"/>
              </w:rPr>
              <w:t> </w:t>
            </w:r>
            <w:r>
              <w:rPr>
                <w:color w:val="231F20"/>
                <w:w w:val="105"/>
                <w:sz w:val="18"/>
              </w:rPr>
              <w:t>un</w:t>
            </w:r>
            <w:r>
              <w:rPr>
                <w:color w:val="231F20"/>
                <w:spacing w:val="-30"/>
                <w:w w:val="105"/>
                <w:sz w:val="18"/>
              </w:rPr>
              <w:t> </w:t>
            </w:r>
            <w:r>
              <w:rPr>
                <w:color w:val="231F20"/>
                <w:spacing w:val="-3"/>
                <w:w w:val="105"/>
                <w:sz w:val="18"/>
              </w:rPr>
              <w:t>rápido</w:t>
            </w:r>
            <w:r>
              <w:rPr>
                <w:color w:val="231F20"/>
                <w:spacing w:val="-30"/>
                <w:w w:val="105"/>
                <w:sz w:val="18"/>
              </w:rPr>
              <w:t> </w:t>
            </w:r>
            <w:r>
              <w:rPr>
                <w:color w:val="231F20"/>
                <w:spacing w:val="-3"/>
                <w:w w:val="105"/>
                <w:sz w:val="18"/>
              </w:rPr>
              <w:t>acceso</w:t>
            </w:r>
            <w:r>
              <w:rPr>
                <w:color w:val="231F20"/>
                <w:spacing w:val="-30"/>
                <w:w w:val="105"/>
                <w:sz w:val="18"/>
              </w:rPr>
              <w:t> </w:t>
            </w:r>
            <w:r>
              <w:rPr>
                <w:color w:val="231F20"/>
                <w:w w:val="105"/>
                <w:sz w:val="18"/>
              </w:rPr>
              <w:t>a</w:t>
            </w:r>
            <w:r>
              <w:rPr>
                <w:color w:val="231F20"/>
                <w:spacing w:val="-30"/>
                <w:w w:val="105"/>
                <w:sz w:val="18"/>
              </w:rPr>
              <w:t> </w:t>
            </w:r>
            <w:r>
              <w:rPr>
                <w:color w:val="231F20"/>
                <w:w w:val="105"/>
                <w:sz w:val="18"/>
              </w:rPr>
              <w:t>la</w:t>
            </w:r>
            <w:r>
              <w:rPr>
                <w:color w:val="231F20"/>
                <w:spacing w:val="-30"/>
                <w:w w:val="105"/>
                <w:sz w:val="18"/>
              </w:rPr>
              <w:t> </w:t>
            </w:r>
            <w:r>
              <w:rPr>
                <w:color w:val="231F20"/>
                <w:spacing w:val="-3"/>
                <w:w w:val="105"/>
                <w:sz w:val="18"/>
              </w:rPr>
              <w:t>tecnología.</w:t>
            </w:r>
          </w:p>
        </w:tc>
      </w:tr>
      <w:tr>
        <w:trPr>
          <w:trHeight w:val="988" w:hRule="exact"/>
        </w:trPr>
        <w:tc>
          <w:tcPr>
            <w:tcW w:w="1242" w:type="dxa"/>
            <w:tcBorders>
              <w:right w:val="single" w:sz="4" w:space="0" w:color="231F20"/>
            </w:tcBorders>
          </w:tcPr>
          <w:p>
            <w:pPr>
              <w:pStyle w:val="TableParagraph"/>
              <w:spacing w:before="88"/>
              <w:ind w:left="77"/>
              <w:rPr>
                <w:sz w:val="18"/>
              </w:rPr>
            </w:pPr>
            <w:r>
              <w:rPr>
                <w:color w:val="231F20"/>
                <w:w w:val="105"/>
                <w:sz w:val="18"/>
              </w:rPr>
              <w:t>Micro</w:t>
            </w:r>
          </w:p>
        </w:tc>
        <w:tc>
          <w:tcPr>
            <w:tcW w:w="5665" w:type="dxa"/>
            <w:tcBorders>
              <w:left w:val="single" w:sz="4" w:space="0" w:color="231F20"/>
            </w:tcBorders>
          </w:tcPr>
          <w:p>
            <w:pPr>
              <w:pStyle w:val="TableParagraph"/>
              <w:spacing w:line="249" w:lineRule="auto" w:before="88"/>
              <w:ind w:left="75" w:right="70"/>
              <w:jc w:val="both"/>
              <w:rPr>
                <w:sz w:val="18"/>
              </w:rPr>
            </w:pPr>
            <w:r>
              <w:rPr>
                <w:color w:val="231F20"/>
                <w:sz w:val="18"/>
              </w:rPr>
              <w:t>Esfuerzos</w:t>
            </w:r>
            <w:r>
              <w:rPr>
                <w:color w:val="231F20"/>
                <w:spacing w:val="-12"/>
                <w:sz w:val="18"/>
              </w:rPr>
              <w:t> </w:t>
            </w:r>
            <w:r>
              <w:rPr>
                <w:color w:val="231F20"/>
                <w:sz w:val="18"/>
              </w:rPr>
              <w:t>competitivos</w:t>
            </w:r>
            <w:r>
              <w:rPr>
                <w:color w:val="231F20"/>
                <w:spacing w:val="-12"/>
                <w:sz w:val="18"/>
              </w:rPr>
              <w:t> </w:t>
            </w:r>
            <w:r>
              <w:rPr>
                <w:color w:val="231F20"/>
                <w:sz w:val="18"/>
              </w:rPr>
              <w:t>de</w:t>
            </w:r>
            <w:r>
              <w:rPr>
                <w:color w:val="231F20"/>
                <w:spacing w:val="-12"/>
                <w:sz w:val="18"/>
              </w:rPr>
              <w:t> </w:t>
            </w:r>
            <w:r>
              <w:rPr>
                <w:color w:val="231F20"/>
                <w:sz w:val="18"/>
              </w:rPr>
              <w:t>las</w:t>
            </w:r>
            <w:r>
              <w:rPr>
                <w:color w:val="231F20"/>
                <w:spacing w:val="-12"/>
                <w:sz w:val="18"/>
              </w:rPr>
              <w:t> </w:t>
            </w:r>
            <w:r>
              <w:rPr>
                <w:color w:val="231F20"/>
                <w:sz w:val="18"/>
              </w:rPr>
              <w:t>firmas</w:t>
            </w:r>
            <w:r>
              <w:rPr>
                <w:color w:val="231F20"/>
                <w:spacing w:val="-12"/>
                <w:sz w:val="18"/>
              </w:rPr>
              <w:t> </w:t>
            </w:r>
            <w:r>
              <w:rPr>
                <w:color w:val="231F20"/>
                <w:sz w:val="18"/>
              </w:rPr>
              <w:t>(búsqueda</w:t>
            </w:r>
            <w:r>
              <w:rPr>
                <w:color w:val="231F20"/>
                <w:spacing w:val="-12"/>
                <w:sz w:val="18"/>
              </w:rPr>
              <w:t> </w:t>
            </w:r>
            <w:r>
              <w:rPr>
                <w:color w:val="231F20"/>
                <w:sz w:val="18"/>
              </w:rPr>
              <w:t>de</w:t>
            </w:r>
            <w:r>
              <w:rPr>
                <w:color w:val="231F20"/>
                <w:spacing w:val="-12"/>
                <w:sz w:val="18"/>
              </w:rPr>
              <w:t> </w:t>
            </w:r>
            <w:r>
              <w:rPr>
                <w:color w:val="231F20"/>
                <w:sz w:val="18"/>
              </w:rPr>
              <w:t>eficiencia,</w:t>
            </w:r>
            <w:r>
              <w:rPr>
                <w:color w:val="231F20"/>
                <w:spacing w:val="-19"/>
                <w:sz w:val="18"/>
              </w:rPr>
              <w:t> </w:t>
            </w:r>
            <w:r>
              <w:rPr>
                <w:color w:val="231F20"/>
                <w:sz w:val="18"/>
              </w:rPr>
              <w:t>calidad, </w:t>
            </w:r>
            <w:r>
              <w:rPr>
                <w:color w:val="231F20"/>
                <w:w w:val="105"/>
                <w:sz w:val="18"/>
              </w:rPr>
              <w:t>flexibilidad</w:t>
            </w:r>
            <w:r>
              <w:rPr>
                <w:color w:val="231F20"/>
                <w:spacing w:val="-22"/>
                <w:w w:val="105"/>
                <w:sz w:val="18"/>
              </w:rPr>
              <w:t> </w:t>
            </w:r>
            <w:r>
              <w:rPr>
                <w:color w:val="231F20"/>
                <w:w w:val="105"/>
                <w:sz w:val="18"/>
              </w:rPr>
              <w:t>y</w:t>
            </w:r>
            <w:r>
              <w:rPr>
                <w:color w:val="231F20"/>
                <w:spacing w:val="-22"/>
                <w:w w:val="105"/>
                <w:sz w:val="18"/>
              </w:rPr>
              <w:t> </w:t>
            </w:r>
            <w:r>
              <w:rPr>
                <w:color w:val="231F20"/>
                <w:w w:val="105"/>
                <w:sz w:val="18"/>
              </w:rPr>
              <w:t>rapidez</w:t>
            </w:r>
            <w:r>
              <w:rPr>
                <w:color w:val="231F20"/>
                <w:spacing w:val="-22"/>
                <w:w w:val="105"/>
                <w:sz w:val="18"/>
              </w:rPr>
              <w:t> </w:t>
            </w:r>
            <w:r>
              <w:rPr>
                <w:color w:val="231F20"/>
                <w:w w:val="105"/>
                <w:sz w:val="18"/>
              </w:rPr>
              <w:t>en</w:t>
            </w:r>
            <w:r>
              <w:rPr>
                <w:color w:val="231F20"/>
                <w:spacing w:val="-22"/>
                <w:w w:val="105"/>
                <w:sz w:val="18"/>
              </w:rPr>
              <w:t> </w:t>
            </w:r>
            <w:r>
              <w:rPr>
                <w:color w:val="231F20"/>
                <w:w w:val="105"/>
                <w:sz w:val="18"/>
              </w:rPr>
              <w:t>innovación</w:t>
            </w:r>
            <w:r>
              <w:rPr>
                <w:color w:val="231F20"/>
                <w:spacing w:val="-22"/>
                <w:w w:val="105"/>
                <w:sz w:val="18"/>
              </w:rPr>
              <w:t> </w:t>
            </w:r>
            <w:r>
              <w:rPr>
                <w:color w:val="231F20"/>
                <w:w w:val="105"/>
                <w:sz w:val="18"/>
              </w:rPr>
              <w:t>o</w:t>
            </w:r>
            <w:r>
              <w:rPr>
                <w:color w:val="231F20"/>
                <w:spacing w:val="-22"/>
                <w:w w:val="105"/>
                <w:sz w:val="18"/>
              </w:rPr>
              <w:t> </w:t>
            </w:r>
            <w:r>
              <w:rPr>
                <w:color w:val="231F20"/>
                <w:w w:val="105"/>
                <w:sz w:val="18"/>
              </w:rPr>
              <w:t>adaptación),</w:t>
            </w:r>
            <w:r>
              <w:rPr>
                <w:color w:val="231F20"/>
                <w:spacing w:val="-26"/>
                <w:w w:val="105"/>
                <w:sz w:val="18"/>
              </w:rPr>
              <w:t> </w:t>
            </w:r>
            <w:r>
              <w:rPr>
                <w:color w:val="231F20"/>
                <w:w w:val="105"/>
                <w:sz w:val="18"/>
              </w:rPr>
              <w:t>dando</w:t>
            </w:r>
            <w:r>
              <w:rPr>
                <w:color w:val="231F20"/>
                <w:spacing w:val="-22"/>
                <w:w w:val="105"/>
                <w:sz w:val="18"/>
              </w:rPr>
              <w:t> </w:t>
            </w:r>
            <w:r>
              <w:rPr>
                <w:color w:val="231F20"/>
                <w:w w:val="105"/>
                <w:sz w:val="18"/>
              </w:rPr>
              <w:t>cabida</w:t>
            </w:r>
            <w:r>
              <w:rPr>
                <w:color w:val="231F20"/>
                <w:spacing w:val="-22"/>
                <w:w w:val="105"/>
                <w:sz w:val="18"/>
              </w:rPr>
              <w:t> </w:t>
            </w:r>
            <w:r>
              <w:rPr>
                <w:color w:val="231F20"/>
                <w:w w:val="105"/>
                <w:sz w:val="18"/>
              </w:rPr>
              <w:t>a</w:t>
            </w:r>
            <w:r>
              <w:rPr>
                <w:color w:val="231F20"/>
                <w:spacing w:val="-22"/>
                <w:w w:val="105"/>
                <w:sz w:val="18"/>
              </w:rPr>
              <w:t> </w:t>
            </w:r>
            <w:r>
              <w:rPr>
                <w:color w:val="231F20"/>
                <w:w w:val="105"/>
                <w:sz w:val="18"/>
              </w:rPr>
              <w:t>la </w:t>
            </w:r>
            <w:r>
              <w:rPr>
                <w:color w:val="231F20"/>
                <w:spacing w:val="-3"/>
                <w:w w:val="105"/>
                <w:sz w:val="18"/>
              </w:rPr>
              <w:t>cooperación,</w:t>
            </w:r>
            <w:r>
              <w:rPr>
                <w:color w:val="231F20"/>
                <w:spacing w:val="-32"/>
                <w:w w:val="105"/>
                <w:sz w:val="18"/>
              </w:rPr>
              <w:t> </w:t>
            </w:r>
            <w:r>
              <w:rPr>
                <w:color w:val="231F20"/>
                <w:spacing w:val="-3"/>
                <w:w w:val="105"/>
                <w:sz w:val="18"/>
              </w:rPr>
              <w:t>alianzas</w:t>
            </w:r>
            <w:r>
              <w:rPr>
                <w:color w:val="231F20"/>
                <w:spacing w:val="-28"/>
                <w:w w:val="105"/>
                <w:sz w:val="18"/>
              </w:rPr>
              <w:t> </w:t>
            </w:r>
            <w:r>
              <w:rPr>
                <w:color w:val="231F20"/>
                <w:w w:val="105"/>
                <w:sz w:val="18"/>
              </w:rPr>
              <w:t>y</w:t>
            </w:r>
            <w:r>
              <w:rPr>
                <w:color w:val="231F20"/>
                <w:spacing w:val="-28"/>
                <w:w w:val="105"/>
                <w:sz w:val="18"/>
              </w:rPr>
              <w:t> </w:t>
            </w:r>
            <w:r>
              <w:rPr>
                <w:color w:val="231F20"/>
                <w:spacing w:val="-3"/>
                <w:w w:val="105"/>
                <w:sz w:val="18"/>
              </w:rPr>
              <w:t>redes</w:t>
            </w:r>
            <w:r>
              <w:rPr>
                <w:color w:val="231F20"/>
                <w:spacing w:val="-28"/>
                <w:w w:val="105"/>
                <w:sz w:val="18"/>
              </w:rPr>
              <w:t> </w:t>
            </w:r>
            <w:r>
              <w:rPr>
                <w:color w:val="231F20"/>
                <w:spacing w:val="-3"/>
                <w:w w:val="105"/>
                <w:sz w:val="18"/>
              </w:rPr>
              <w:t>entre</w:t>
            </w:r>
            <w:r>
              <w:rPr>
                <w:color w:val="231F20"/>
                <w:spacing w:val="-28"/>
                <w:w w:val="105"/>
                <w:sz w:val="18"/>
              </w:rPr>
              <w:t> </w:t>
            </w:r>
            <w:r>
              <w:rPr>
                <w:color w:val="231F20"/>
                <w:spacing w:val="-3"/>
                <w:w w:val="105"/>
                <w:sz w:val="18"/>
              </w:rPr>
              <w:t>firmas,</w:t>
            </w:r>
            <w:r>
              <w:rPr>
                <w:color w:val="231F20"/>
                <w:spacing w:val="-32"/>
                <w:w w:val="105"/>
                <w:sz w:val="18"/>
              </w:rPr>
              <w:t> </w:t>
            </w:r>
            <w:r>
              <w:rPr>
                <w:color w:val="231F20"/>
                <w:spacing w:val="-3"/>
                <w:w w:val="105"/>
                <w:sz w:val="18"/>
              </w:rPr>
              <w:t>fomentando</w:t>
            </w:r>
            <w:r>
              <w:rPr>
                <w:color w:val="231F20"/>
                <w:spacing w:val="-28"/>
                <w:w w:val="105"/>
                <w:sz w:val="18"/>
              </w:rPr>
              <w:t> </w:t>
            </w:r>
            <w:r>
              <w:rPr>
                <w:color w:val="231F20"/>
                <w:w w:val="105"/>
                <w:sz w:val="18"/>
              </w:rPr>
              <w:t>el</w:t>
            </w:r>
            <w:r>
              <w:rPr>
                <w:color w:val="231F20"/>
                <w:spacing w:val="-28"/>
                <w:w w:val="105"/>
                <w:sz w:val="18"/>
              </w:rPr>
              <w:t> </w:t>
            </w:r>
            <w:r>
              <w:rPr>
                <w:color w:val="231F20"/>
                <w:spacing w:val="-4"/>
                <w:w w:val="105"/>
                <w:sz w:val="18"/>
              </w:rPr>
              <w:t>aprendizaje colectivo,,</w:t>
            </w:r>
            <w:r>
              <w:rPr>
                <w:color w:val="231F20"/>
                <w:spacing w:val="-32"/>
                <w:w w:val="105"/>
                <w:sz w:val="18"/>
              </w:rPr>
              <w:t> </w:t>
            </w:r>
            <w:r>
              <w:rPr>
                <w:color w:val="231F20"/>
                <w:spacing w:val="-4"/>
                <w:w w:val="105"/>
                <w:sz w:val="18"/>
              </w:rPr>
              <w:t>permitiendo</w:t>
            </w:r>
            <w:r>
              <w:rPr>
                <w:color w:val="231F20"/>
                <w:spacing w:val="-27"/>
                <w:w w:val="105"/>
                <w:sz w:val="18"/>
              </w:rPr>
              <w:t> </w:t>
            </w:r>
            <w:r>
              <w:rPr>
                <w:color w:val="231F20"/>
                <w:w w:val="105"/>
                <w:sz w:val="18"/>
              </w:rPr>
              <w:t>la</w:t>
            </w:r>
            <w:r>
              <w:rPr>
                <w:color w:val="231F20"/>
                <w:spacing w:val="-27"/>
                <w:w w:val="105"/>
                <w:sz w:val="18"/>
              </w:rPr>
              <w:t> </w:t>
            </w:r>
            <w:r>
              <w:rPr>
                <w:color w:val="231F20"/>
                <w:spacing w:val="-4"/>
                <w:w w:val="105"/>
                <w:sz w:val="18"/>
              </w:rPr>
              <w:t>reducción</w:t>
            </w:r>
            <w:r>
              <w:rPr>
                <w:color w:val="231F20"/>
                <w:spacing w:val="-27"/>
                <w:w w:val="105"/>
                <w:sz w:val="18"/>
              </w:rPr>
              <w:t> </w:t>
            </w:r>
            <w:r>
              <w:rPr>
                <w:color w:val="231F20"/>
                <w:w w:val="105"/>
                <w:sz w:val="18"/>
              </w:rPr>
              <w:t>de</w:t>
            </w:r>
            <w:r>
              <w:rPr>
                <w:color w:val="231F20"/>
                <w:spacing w:val="-27"/>
                <w:w w:val="105"/>
                <w:sz w:val="18"/>
              </w:rPr>
              <w:t> </w:t>
            </w:r>
            <w:r>
              <w:rPr>
                <w:color w:val="231F20"/>
                <w:spacing w:val="-4"/>
                <w:w w:val="105"/>
                <w:sz w:val="18"/>
              </w:rPr>
              <w:t>riesgos</w:t>
            </w:r>
            <w:r>
              <w:rPr>
                <w:color w:val="231F20"/>
                <w:spacing w:val="-27"/>
                <w:w w:val="105"/>
                <w:sz w:val="18"/>
              </w:rPr>
              <w:t> </w:t>
            </w:r>
            <w:r>
              <w:rPr>
                <w:color w:val="231F20"/>
                <w:w w:val="105"/>
                <w:sz w:val="18"/>
              </w:rPr>
              <w:t>y</w:t>
            </w:r>
            <w:r>
              <w:rPr>
                <w:color w:val="231F20"/>
                <w:spacing w:val="-27"/>
                <w:w w:val="105"/>
                <w:sz w:val="18"/>
              </w:rPr>
              <w:t> </w:t>
            </w:r>
            <w:r>
              <w:rPr>
                <w:color w:val="231F20"/>
                <w:spacing w:val="-4"/>
                <w:w w:val="105"/>
                <w:sz w:val="18"/>
              </w:rPr>
              <w:t>costos</w:t>
            </w:r>
            <w:r>
              <w:rPr>
                <w:color w:val="231F20"/>
                <w:spacing w:val="-27"/>
                <w:w w:val="105"/>
                <w:sz w:val="18"/>
              </w:rPr>
              <w:t> </w:t>
            </w:r>
            <w:r>
              <w:rPr>
                <w:color w:val="231F20"/>
                <w:w w:val="105"/>
                <w:sz w:val="18"/>
              </w:rPr>
              <w:t>de</w:t>
            </w:r>
            <w:r>
              <w:rPr>
                <w:color w:val="231F20"/>
                <w:spacing w:val="-27"/>
                <w:w w:val="105"/>
                <w:sz w:val="18"/>
              </w:rPr>
              <w:t> </w:t>
            </w:r>
            <w:r>
              <w:rPr>
                <w:color w:val="231F20"/>
                <w:spacing w:val="-5"/>
                <w:w w:val="105"/>
                <w:sz w:val="18"/>
              </w:rPr>
              <w:t>transacción.</w:t>
            </w:r>
          </w:p>
        </w:tc>
      </w:tr>
    </w:tbl>
    <w:p>
      <w:pPr>
        <w:spacing w:before="18"/>
        <w:ind w:left="117" w:right="0" w:firstLine="0"/>
        <w:jc w:val="both"/>
        <w:rPr>
          <w:sz w:val="16"/>
        </w:rPr>
      </w:pPr>
      <w:r>
        <w:rPr>
          <w:color w:val="231F20"/>
          <w:w w:val="105"/>
          <w:sz w:val="16"/>
        </w:rPr>
        <w:t>Fuente: Elaboración propia con base en Ubfal (2004).</w:t>
      </w:r>
    </w:p>
    <w:p>
      <w:pPr>
        <w:pStyle w:val="BodyText"/>
        <w:rPr>
          <w:sz w:val="16"/>
        </w:rPr>
      </w:pPr>
    </w:p>
    <w:p>
      <w:pPr>
        <w:pStyle w:val="BodyText"/>
        <w:spacing w:line="259" w:lineRule="auto" w:before="105"/>
        <w:ind w:left="117" w:right="101"/>
        <w:jc w:val="both"/>
      </w:pPr>
      <w:r>
        <w:rPr>
          <w:color w:val="231F20"/>
          <w:w w:val="105"/>
        </w:rPr>
        <w:t>De forma similar al enfoque anterior, la competitividad también puede revisarse</w:t>
      </w:r>
      <w:r>
        <w:rPr>
          <w:color w:val="231F20"/>
          <w:spacing w:val="-23"/>
          <w:w w:val="105"/>
        </w:rPr>
        <w:t> </w:t>
      </w:r>
      <w:r>
        <w:rPr>
          <w:color w:val="231F20"/>
          <w:w w:val="105"/>
        </w:rPr>
        <w:t>en</w:t>
      </w:r>
      <w:r>
        <w:rPr>
          <w:color w:val="231F20"/>
          <w:spacing w:val="-23"/>
          <w:w w:val="105"/>
        </w:rPr>
        <w:t> </w:t>
      </w:r>
      <w:r>
        <w:rPr>
          <w:color w:val="231F20"/>
          <w:w w:val="105"/>
        </w:rPr>
        <w:t>seis</w:t>
      </w:r>
      <w:r>
        <w:rPr>
          <w:color w:val="231F20"/>
          <w:spacing w:val="-23"/>
          <w:w w:val="105"/>
        </w:rPr>
        <w:t> </w:t>
      </w:r>
      <w:r>
        <w:rPr>
          <w:color w:val="231F20"/>
          <w:w w:val="105"/>
        </w:rPr>
        <w:t>niveles:</w:t>
      </w:r>
      <w:r>
        <w:rPr>
          <w:color w:val="231F20"/>
          <w:spacing w:val="-23"/>
          <w:w w:val="105"/>
        </w:rPr>
        <w:t> </w:t>
      </w:r>
      <w:r>
        <w:rPr>
          <w:color w:val="231F20"/>
          <w:w w:val="105"/>
        </w:rPr>
        <w:t>microeconómico,</w:t>
      </w:r>
      <w:r>
        <w:rPr>
          <w:color w:val="231F20"/>
          <w:spacing w:val="-27"/>
          <w:w w:val="105"/>
        </w:rPr>
        <w:t> </w:t>
      </w:r>
      <w:r>
        <w:rPr>
          <w:color w:val="231F20"/>
          <w:w w:val="105"/>
        </w:rPr>
        <w:t>meso</w:t>
      </w:r>
      <w:r>
        <w:rPr>
          <w:color w:val="231F20"/>
          <w:spacing w:val="-23"/>
          <w:w w:val="105"/>
        </w:rPr>
        <w:t> </w:t>
      </w:r>
      <w:r>
        <w:rPr>
          <w:color w:val="231F20"/>
          <w:w w:val="105"/>
        </w:rPr>
        <w:t>económico,</w:t>
      </w:r>
      <w:r>
        <w:rPr>
          <w:color w:val="231F20"/>
          <w:spacing w:val="-27"/>
          <w:w w:val="105"/>
        </w:rPr>
        <w:t> </w:t>
      </w:r>
      <w:r>
        <w:rPr>
          <w:color w:val="231F20"/>
          <w:w w:val="105"/>
        </w:rPr>
        <w:t>macroeco- nómico, internacional, institucional y político-social, resaltando la  </w:t>
      </w:r>
      <w:r>
        <w:rPr>
          <w:color w:val="231F20"/>
          <w:spacing w:val="36"/>
          <w:w w:val="105"/>
        </w:rPr>
        <w:t> </w:t>
      </w:r>
      <w:r>
        <w:rPr>
          <w:color w:val="231F20"/>
          <w:w w:val="105"/>
        </w:rPr>
        <w:t>arti-</w:t>
      </w:r>
    </w:p>
    <w:p>
      <w:pPr>
        <w:spacing w:after="0" w:line="259" w:lineRule="auto"/>
        <w:jc w:val="both"/>
        <w:sectPr>
          <w:pgSz w:w="9640" w:h="13890"/>
          <w:pgMar w:top="0" w:bottom="280" w:left="1300" w:right="1200"/>
        </w:sectPr>
      </w:pPr>
    </w:p>
    <w:p>
      <w:pPr>
        <w:pStyle w:val="BodyText"/>
        <w:spacing w:line="259" w:lineRule="auto" w:before="120"/>
        <w:ind w:left="103" w:right="114"/>
        <w:jc w:val="right"/>
      </w:pPr>
      <w:r>
        <w:rPr>
          <w:color w:val="231F20"/>
        </w:rPr>
        <w:t>culación entre empresas, sectores y comunidades o ciudades (cadenas</w:t>
      </w:r>
      <w:r>
        <w:rPr>
          <w:color w:val="231F20"/>
          <w:w w:val="99"/>
        </w:rPr>
        <w:t> </w:t>
      </w:r>
      <w:r>
        <w:rPr>
          <w:color w:val="231F20"/>
        </w:rPr>
        <w:t>empresariales, clúster y polos regionales) (Gracia, 2008;</w:t>
      </w:r>
      <w:r>
        <w:rPr>
          <w:color w:val="231F20"/>
          <w:spacing w:val="53"/>
        </w:rPr>
        <w:t> </w:t>
      </w:r>
      <w:r>
        <w:rPr>
          <w:color w:val="231F20"/>
        </w:rPr>
        <w:t>Villarreal, 2002).</w:t>
      </w:r>
      <w:r>
        <w:rPr>
          <w:color w:val="231F20"/>
          <w:w w:val="101"/>
        </w:rPr>
        <w:t> </w:t>
      </w:r>
      <w:r>
        <w:rPr>
          <w:color w:val="231F20"/>
        </w:rPr>
        <w:t>La competitividad adquiere carácter sistémico al involucrar el   cam-</w:t>
      </w:r>
    </w:p>
    <w:p>
      <w:pPr>
        <w:pStyle w:val="BodyText"/>
        <w:spacing w:line="259" w:lineRule="auto"/>
        <w:ind w:left="103" w:right="115"/>
        <w:jc w:val="both"/>
      </w:pPr>
      <w:r>
        <w:rPr>
          <w:color w:val="231F20"/>
          <w:w w:val="105"/>
        </w:rPr>
        <w:t>bio y la incertidumbre en distintos niveles y la toma de decisiones de múltiples</w:t>
      </w:r>
      <w:r>
        <w:rPr>
          <w:color w:val="231F20"/>
          <w:spacing w:val="-4"/>
          <w:w w:val="105"/>
        </w:rPr>
        <w:t> </w:t>
      </w:r>
      <w:r>
        <w:rPr>
          <w:color w:val="231F20"/>
          <w:w w:val="105"/>
        </w:rPr>
        <w:t>actores</w:t>
      </w:r>
      <w:r>
        <w:rPr>
          <w:color w:val="231F20"/>
          <w:spacing w:val="-4"/>
          <w:w w:val="105"/>
        </w:rPr>
        <w:t> </w:t>
      </w:r>
      <w:r>
        <w:rPr>
          <w:color w:val="231F20"/>
          <w:w w:val="105"/>
        </w:rPr>
        <w:t>en</w:t>
      </w:r>
      <w:r>
        <w:rPr>
          <w:color w:val="231F20"/>
          <w:spacing w:val="-4"/>
          <w:w w:val="105"/>
        </w:rPr>
        <w:t> </w:t>
      </w:r>
      <w:r>
        <w:rPr>
          <w:color w:val="231F20"/>
          <w:w w:val="105"/>
        </w:rPr>
        <w:t>cada</w:t>
      </w:r>
      <w:r>
        <w:rPr>
          <w:color w:val="231F20"/>
          <w:spacing w:val="-4"/>
          <w:w w:val="105"/>
        </w:rPr>
        <w:t> </w:t>
      </w:r>
      <w:r>
        <w:rPr>
          <w:color w:val="231F20"/>
          <w:w w:val="105"/>
        </w:rPr>
        <w:t>uno</w:t>
      </w:r>
      <w:r>
        <w:rPr>
          <w:color w:val="231F20"/>
          <w:spacing w:val="-4"/>
          <w:w w:val="105"/>
        </w:rPr>
        <w:t> </w:t>
      </w:r>
      <w:r>
        <w:rPr>
          <w:color w:val="231F20"/>
          <w:w w:val="105"/>
        </w:rPr>
        <w:t>de</w:t>
      </w:r>
      <w:r>
        <w:rPr>
          <w:color w:val="231F20"/>
          <w:spacing w:val="-4"/>
          <w:w w:val="105"/>
        </w:rPr>
        <w:t> </w:t>
      </w:r>
      <w:r>
        <w:rPr>
          <w:color w:val="231F20"/>
          <w:w w:val="105"/>
        </w:rPr>
        <w:t>éstos:</w:t>
      </w:r>
      <w:r>
        <w:rPr>
          <w:color w:val="231F20"/>
          <w:spacing w:val="-4"/>
          <w:w w:val="105"/>
        </w:rPr>
        <w:t> </w:t>
      </w:r>
      <w:r>
        <w:rPr>
          <w:color w:val="231F20"/>
          <w:w w:val="105"/>
        </w:rPr>
        <w:t>desde</w:t>
      </w:r>
      <w:r>
        <w:rPr>
          <w:color w:val="231F20"/>
          <w:spacing w:val="-4"/>
          <w:w w:val="105"/>
        </w:rPr>
        <w:t> </w:t>
      </w:r>
      <w:r>
        <w:rPr>
          <w:color w:val="231F20"/>
          <w:w w:val="105"/>
        </w:rPr>
        <w:t>el</w:t>
      </w:r>
      <w:r>
        <w:rPr>
          <w:color w:val="231F20"/>
          <w:spacing w:val="-4"/>
          <w:w w:val="105"/>
        </w:rPr>
        <w:t> </w:t>
      </w:r>
      <w:r>
        <w:rPr>
          <w:color w:val="231F20"/>
          <w:w w:val="105"/>
        </w:rPr>
        <w:t>nivel</w:t>
      </w:r>
      <w:r>
        <w:rPr>
          <w:color w:val="231F20"/>
          <w:spacing w:val="-4"/>
          <w:w w:val="105"/>
        </w:rPr>
        <w:t> </w:t>
      </w:r>
      <w:r>
        <w:rPr>
          <w:color w:val="231F20"/>
          <w:w w:val="105"/>
        </w:rPr>
        <w:t>micro</w:t>
      </w:r>
      <w:r>
        <w:rPr>
          <w:color w:val="231F20"/>
          <w:spacing w:val="-4"/>
          <w:w w:val="105"/>
        </w:rPr>
        <w:t> </w:t>
      </w:r>
      <w:r>
        <w:rPr>
          <w:color w:val="231F20"/>
          <w:w w:val="105"/>
        </w:rPr>
        <w:t>(la</w:t>
      </w:r>
      <w:r>
        <w:rPr>
          <w:color w:val="231F20"/>
          <w:spacing w:val="-4"/>
          <w:w w:val="105"/>
        </w:rPr>
        <w:t> </w:t>
      </w:r>
      <w:r>
        <w:rPr>
          <w:color w:val="231F20"/>
          <w:w w:val="105"/>
        </w:rPr>
        <w:t>empre- sa),</w:t>
      </w:r>
      <w:r>
        <w:rPr>
          <w:color w:val="231F20"/>
          <w:spacing w:val="-15"/>
          <w:w w:val="105"/>
        </w:rPr>
        <w:t> </w:t>
      </w:r>
      <w:r>
        <w:rPr>
          <w:color w:val="231F20"/>
          <w:w w:val="105"/>
        </w:rPr>
        <w:t>hasta</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país</w:t>
      </w:r>
      <w:r>
        <w:rPr>
          <w:color w:val="231F20"/>
          <w:spacing w:val="-9"/>
          <w:w w:val="105"/>
        </w:rPr>
        <w:t> </w:t>
      </w:r>
      <w:r>
        <w:rPr>
          <w:color w:val="231F20"/>
          <w:w w:val="105"/>
        </w:rPr>
        <w:t>y</w:t>
      </w:r>
      <w:r>
        <w:rPr>
          <w:color w:val="231F20"/>
          <w:spacing w:val="-9"/>
          <w:w w:val="105"/>
        </w:rPr>
        <w:t> </w:t>
      </w:r>
      <w:r>
        <w:rPr>
          <w:color w:val="231F20"/>
          <w:w w:val="105"/>
        </w:rPr>
        <w:t>mercado</w:t>
      </w:r>
      <w:r>
        <w:rPr>
          <w:color w:val="231F20"/>
          <w:spacing w:val="-9"/>
          <w:w w:val="105"/>
        </w:rPr>
        <w:t> </w:t>
      </w:r>
      <w:r>
        <w:rPr>
          <w:color w:val="231F20"/>
          <w:w w:val="105"/>
        </w:rPr>
        <w:t>global.</w:t>
      </w:r>
      <w:r>
        <w:rPr>
          <w:color w:val="231F20"/>
          <w:spacing w:val="-17"/>
          <w:w w:val="105"/>
        </w:rPr>
        <w:t> </w:t>
      </w:r>
      <w:r>
        <w:rPr>
          <w:color w:val="231F20"/>
          <w:w w:val="105"/>
        </w:rPr>
        <w:t>Al</w:t>
      </w:r>
      <w:r>
        <w:rPr>
          <w:color w:val="231F20"/>
          <w:spacing w:val="-9"/>
          <w:w w:val="105"/>
        </w:rPr>
        <w:t> </w:t>
      </w:r>
      <w:r>
        <w:rPr>
          <w:color w:val="231F20"/>
          <w:w w:val="105"/>
        </w:rPr>
        <w:t>final</w:t>
      </w:r>
      <w:r>
        <w:rPr>
          <w:color w:val="231F20"/>
          <w:spacing w:val="-9"/>
          <w:w w:val="105"/>
        </w:rPr>
        <w:t> </w:t>
      </w:r>
      <w:r>
        <w:rPr>
          <w:color w:val="231F20"/>
          <w:w w:val="105"/>
        </w:rPr>
        <w:t>del</w:t>
      </w:r>
      <w:r>
        <w:rPr>
          <w:color w:val="231F20"/>
          <w:spacing w:val="-9"/>
          <w:w w:val="105"/>
        </w:rPr>
        <w:t> </w:t>
      </w:r>
      <w:r>
        <w:rPr>
          <w:color w:val="231F20"/>
          <w:w w:val="105"/>
        </w:rPr>
        <w:t>camino</w:t>
      </w:r>
      <w:r>
        <w:rPr>
          <w:color w:val="231F20"/>
          <w:spacing w:val="-9"/>
          <w:w w:val="105"/>
        </w:rPr>
        <w:t> </w:t>
      </w:r>
      <w:r>
        <w:rPr>
          <w:color w:val="231F20"/>
          <w:w w:val="105"/>
        </w:rPr>
        <w:t>son</w:t>
      </w:r>
      <w:r>
        <w:rPr>
          <w:color w:val="231F20"/>
          <w:spacing w:val="-9"/>
          <w:w w:val="105"/>
        </w:rPr>
        <w:t> </w:t>
      </w:r>
      <w:r>
        <w:rPr>
          <w:color w:val="231F20"/>
          <w:w w:val="105"/>
        </w:rPr>
        <w:t>las</w:t>
      </w:r>
      <w:r>
        <w:rPr>
          <w:color w:val="231F20"/>
          <w:spacing w:val="-9"/>
          <w:w w:val="105"/>
        </w:rPr>
        <w:t> </w:t>
      </w:r>
      <w:r>
        <w:rPr>
          <w:color w:val="231F20"/>
          <w:w w:val="105"/>
        </w:rPr>
        <w:t>em- presas</w:t>
      </w:r>
      <w:r>
        <w:rPr>
          <w:color w:val="231F20"/>
          <w:spacing w:val="-23"/>
          <w:w w:val="105"/>
        </w:rPr>
        <w:t> </w:t>
      </w:r>
      <w:r>
        <w:rPr>
          <w:color w:val="231F20"/>
          <w:w w:val="105"/>
        </w:rPr>
        <w:t>quienes</w:t>
      </w:r>
      <w:r>
        <w:rPr>
          <w:color w:val="231F20"/>
          <w:spacing w:val="-23"/>
          <w:w w:val="105"/>
        </w:rPr>
        <w:t> </w:t>
      </w:r>
      <w:r>
        <w:rPr>
          <w:color w:val="231F20"/>
          <w:w w:val="105"/>
        </w:rPr>
        <w:t>deben</w:t>
      </w:r>
      <w:r>
        <w:rPr>
          <w:color w:val="231F20"/>
          <w:spacing w:val="-23"/>
          <w:w w:val="105"/>
        </w:rPr>
        <w:t> </w:t>
      </w:r>
      <w:r>
        <w:rPr>
          <w:color w:val="231F20"/>
          <w:w w:val="105"/>
        </w:rPr>
        <w:t>ser</w:t>
      </w:r>
      <w:r>
        <w:rPr>
          <w:color w:val="231F20"/>
          <w:spacing w:val="-23"/>
          <w:w w:val="105"/>
        </w:rPr>
        <w:t> </w:t>
      </w:r>
      <w:r>
        <w:rPr>
          <w:color w:val="231F20"/>
          <w:w w:val="105"/>
        </w:rPr>
        <w:t>competitivas,</w:t>
      </w:r>
      <w:r>
        <w:rPr>
          <w:color w:val="231F20"/>
          <w:spacing w:val="-29"/>
          <w:w w:val="105"/>
        </w:rPr>
        <w:t> </w:t>
      </w:r>
      <w:r>
        <w:rPr>
          <w:color w:val="231F20"/>
          <w:w w:val="105"/>
        </w:rPr>
        <w:t>si</w:t>
      </w:r>
      <w:r>
        <w:rPr>
          <w:color w:val="231F20"/>
          <w:spacing w:val="-23"/>
          <w:w w:val="105"/>
        </w:rPr>
        <w:t> </w:t>
      </w:r>
      <w:r>
        <w:rPr>
          <w:color w:val="231F20"/>
          <w:w w:val="105"/>
        </w:rPr>
        <w:t>bien</w:t>
      </w:r>
      <w:r>
        <w:rPr>
          <w:color w:val="231F20"/>
          <w:spacing w:val="-23"/>
          <w:w w:val="105"/>
        </w:rPr>
        <w:t> </w:t>
      </w:r>
      <w:r>
        <w:rPr>
          <w:color w:val="231F20"/>
          <w:w w:val="105"/>
        </w:rPr>
        <w:t>dicha</w:t>
      </w:r>
      <w:r>
        <w:rPr>
          <w:color w:val="231F20"/>
          <w:spacing w:val="-23"/>
          <w:w w:val="105"/>
        </w:rPr>
        <w:t> </w:t>
      </w:r>
      <w:r>
        <w:rPr>
          <w:color w:val="231F20"/>
          <w:w w:val="105"/>
        </w:rPr>
        <w:t>competitividad</w:t>
      </w:r>
      <w:r>
        <w:rPr>
          <w:color w:val="231F20"/>
          <w:spacing w:val="-23"/>
          <w:w w:val="105"/>
        </w:rPr>
        <w:t> </w:t>
      </w:r>
      <w:r>
        <w:rPr>
          <w:color w:val="231F20"/>
          <w:w w:val="105"/>
        </w:rPr>
        <w:t>está condicionada por la del país en su conjunto, y sin duda alguna por el nivel</w:t>
      </w:r>
      <w:r>
        <w:rPr>
          <w:color w:val="231F20"/>
          <w:spacing w:val="-18"/>
          <w:w w:val="105"/>
        </w:rPr>
        <w:t> </w:t>
      </w:r>
      <w:r>
        <w:rPr>
          <w:color w:val="231F20"/>
          <w:w w:val="105"/>
        </w:rPr>
        <w:t>y</w:t>
      </w:r>
      <w:r>
        <w:rPr>
          <w:color w:val="231F20"/>
          <w:spacing w:val="-18"/>
          <w:w w:val="105"/>
        </w:rPr>
        <w:t> </w:t>
      </w:r>
      <w:r>
        <w:rPr>
          <w:color w:val="231F20"/>
          <w:w w:val="105"/>
        </w:rPr>
        <w:t>calidad</w:t>
      </w:r>
      <w:r>
        <w:rPr>
          <w:color w:val="231F20"/>
          <w:spacing w:val="-18"/>
          <w:w w:val="105"/>
        </w:rPr>
        <w:t> </w:t>
      </w:r>
      <w:r>
        <w:rPr>
          <w:color w:val="231F20"/>
          <w:w w:val="105"/>
        </w:rPr>
        <w:t>de</w:t>
      </w:r>
      <w:r>
        <w:rPr>
          <w:color w:val="231F20"/>
          <w:spacing w:val="-18"/>
          <w:w w:val="105"/>
        </w:rPr>
        <w:t> </w:t>
      </w:r>
      <w:r>
        <w:rPr>
          <w:color w:val="231F20"/>
          <w:w w:val="105"/>
        </w:rPr>
        <w:t>educación</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gente</w:t>
      </w:r>
      <w:r>
        <w:rPr>
          <w:color w:val="231F20"/>
          <w:spacing w:val="-18"/>
          <w:w w:val="105"/>
        </w:rPr>
        <w:t> </w:t>
      </w:r>
      <w:r>
        <w:rPr>
          <w:color w:val="231F20"/>
          <w:w w:val="105"/>
        </w:rPr>
        <w:t>(Villareal,</w:t>
      </w:r>
      <w:r>
        <w:rPr>
          <w:color w:val="231F20"/>
          <w:spacing w:val="-23"/>
          <w:w w:val="105"/>
        </w:rPr>
        <w:t> </w:t>
      </w:r>
      <w:r>
        <w:rPr>
          <w:color w:val="231F20"/>
          <w:w w:val="105"/>
        </w:rPr>
        <w:t>2002).</w:t>
      </w:r>
    </w:p>
    <w:p>
      <w:pPr>
        <w:spacing w:before="162"/>
        <w:ind w:left="103" w:right="0" w:firstLine="0"/>
        <w:jc w:val="both"/>
        <w:rPr>
          <w:i/>
          <w:sz w:val="21"/>
        </w:rPr>
      </w:pPr>
      <w:r>
        <w:rPr>
          <w:i/>
          <w:color w:val="231F20"/>
          <w:w w:val="105"/>
          <w:sz w:val="21"/>
        </w:rPr>
        <w:t>Competitividad estructural</w:t>
      </w:r>
    </w:p>
    <w:p>
      <w:pPr>
        <w:pStyle w:val="BodyText"/>
        <w:spacing w:before="4"/>
        <w:rPr>
          <w:i/>
          <w:sz w:val="16"/>
        </w:rPr>
      </w:pPr>
    </w:p>
    <w:p>
      <w:pPr>
        <w:pStyle w:val="BodyText"/>
        <w:spacing w:line="259" w:lineRule="auto"/>
        <w:ind w:left="103" w:right="115"/>
        <w:jc w:val="both"/>
      </w:pPr>
      <w:r>
        <w:rPr>
          <w:color w:val="231F20"/>
          <w:w w:val="105"/>
        </w:rPr>
        <w:t>La competitividad estructural resulta de la economía de un país en su conjunto y describe la capacidad de incrementar o sustentar su partici- pación activa en el mercado internacional de bienes y servicios, con</w:t>
      </w:r>
      <w:r>
        <w:rPr>
          <w:color w:val="231F20"/>
          <w:spacing w:val="-41"/>
          <w:w w:val="105"/>
        </w:rPr>
        <w:t> </w:t>
      </w:r>
      <w:r>
        <w:rPr>
          <w:color w:val="231F20"/>
          <w:w w:val="105"/>
        </w:rPr>
        <w:t>un aumento</w:t>
      </w:r>
      <w:r>
        <w:rPr>
          <w:color w:val="231F20"/>
          <w:spacing w:val="-8"/>
          <w:w w:val="105"/>
        </w:rPr>
        <w:t> </w:t>
      </w:r>
      <w:r>
        <w:rPr>
          <w:color w:val="231F20"/>
          <w:w w:val="105"/>
        </w:rPr>
        <w:t>simultáneo</w:t>
      </w:r>
      <w:r>
        <w:rPr>
          <w:color w:val="231F20"/>
          <w:spacing w:val="-8"/>
          <w:w w:val="105"/>
        </w:rPr>
        <w:t> </w:t>
      </w:r>
      <w:r>
        <w:rPr>
          <w:color w:val="231F20"/>
          <w:w w:val="105"/>
        </w:rPr>
        <w:t>del</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8"/>
          <w:w w:val="105"/>
        </w:rPr>
        <w:t> </w:t>
      </w:r>
      <w:r>
        <w:rPr>
          <w:color w:val="231F20"/>
          <w:w w:val="105"/>
        </w:rPr>
        <w:t>vida</w:t>
      </w:r>
      <w:r>
        <w:rPr>
          <w:color w:val="231F20"/>
          <w:spacing w:val="-8"/>
          <w:w w:val="105"/>
        </w:rPr>
        <w:t> </w:t>
      </w:r>
      <w:r>
        <w:rPr>
          <w:color w:val="231F20"/>
          <w:w w:val="105"/>
        </w:rPr>
        <w:t>de</w:t>
      </w:r>
      <w:r>
        <w:rPr>
          <w:color w:val="231F20"/>
          <w:spacing w:val="-8"/>
          <w:w w:val="105"/>
        </w:rPr>
        <w:t> </w:t>
      </w:r>
      <w:r>
        <w:rPr>
          <w:color w:val="231F20"/>
          <w:w w:val="105"/>
        </w:rPr>
        <w:t>su</w:t>
      </w:r>
      <w:r>
        <w:rPr>
          <w:color w:val="231F20"/>
          <w:spacing w:val="-8"/>
          <w:w w:val="105"/>
        </w:rPr>
        <w:t> </w:t>
      </w:r>
      <w:r>
        <w:rPr>
          <w:color w:val="231F20"/>
          <w:w w:val="105"/>
        </w:rPr>
        <w:t>población.</w:t>
      </w:r>
    </w:p>
    <w:p>
      <w:pPr>
        <w:pStyle w:val="BodyText"/>
        <w:spacing w:line="259" w:lineRule="auto"/>
        <w:ind w:left="103" w:right="109" w:firstLine="567"/>
        <w:jc w:val="both"/>
      </w:pPr>
      <w:r>
        <w:rPr>
          <w:color w:val="231F20"/>
          <w:w w:val="105"/>
        </w:rPr>
        <w:t>Un país estructuralmente competitivo es un país donde los com- ponentes</w:t>
      </w:r>
      <w:r>
        <w:rPr>
          <w:color w:val="231F20"/>
          <w:spacing w:val="-13"/>
          <w:w w:val="105"/>
        </w:rPr>
        <w:t> </w:t>
      </w:r>
      <w:r>
        <w:rPr>
          <w:color w:val="231F20"/>
          <w:w w:val="105"/>
        </w:rPr>
        <w:t>del</w:t>
      </w:r>
      <w:r>
        <w:rPr>
          <w:color w:val="231F20"/>
          <w:spacing w:val="-13"/>
          <w:w w:val="105"/>
        </w:rPr>
        <w:t> </w:t>
      </w:r>
      <w:r>
        <w:rPr>
          <w:color w:val="231F20"/>
          <w:w w:val="105"/>
        </w:rPr>
        <w:t>ambiente</w:t>
      </w:r>
      <w:r>
        <w:rPr>
          <w:color w:val="231F20"/>
          <w:spacing w:val="-13"/>
          <w:w w:val="105"/>
        </w:rPr>
        <w:t> </w:t>
      </w:r>
      <w:r>
        <w:rPr>
          <w:color w:val="231F20"/>
          <w:w w:val="105"/>
        </w:rPr>
        <w:t>nacional</w:t>
      </w:r>
      <w:r>
        <w:rPr>
          <w:color w:val="231F20"/>
          <w:spacing w:val="-13"/>
          <w:w w:val="105"/>
        </w:rPr>
        <w:t> </w:t>
      </w:r>
      <w:r>
        <w:rPr>
          <w:color w:val="231F20"/>
          <w:w w:val="105"/>
        </w:rPr>
        <w:t>son</w:t>
      </w:r>
      <w:r>
        <w:rPr>
          <w:color w:val="231F20"/>
          <w:spacing w:val="-13"/>
          <w:w w:val="105"/>
        </w:rPr>
        <w:t> </w:t>
      </w:r>
      <w:r>
        <w:rPr>
          <w:color w:val="231F20"/>
          <w:w w:val="105"/>
        </w:rPr>
        <w:t>estimuladores</w:t>
      </w:r>
      <w:r>
        <w:rPr>
          <w:color w:val="231F20"/>
          <w:spacing w:val="-13"/>
          <w:w w:val="105"/>
        </w:rPr>
        <w:t> </w:t>
      </w:r>
      <w:r>
        <w:rPr>
          <w:color w:val="231F20"/>
          <w:w w:val="105"/>
        </w:rPr>
        <w:t>de</w:t>
      </w:r>
      <w:r>
        <w:rPr>
          <w:color w:val="231F20"/>
          <w:spacing w:val="-13"/>
          <w:w w:val="105"/>
        </w:rPr>
        <w:t> </w:t>
      </w:r>
      <w:r>
        <w:rPr>
          <w:color w:val="231F20"/>
          <w:w w:val="105"/>
        </w:rPr>
        <w:t>eficiencia</w:t>
      </w:r>
      <w:r>
        <w:rPr>
          <w:color w:val="231F20"/>
          <w:spacing w:val="-13"/>
          <w:w w:val="105"/>
        </w:rPr>
        <w:t> </w:t>
      </w:r>
      <w:r>
        <w:rPr>
          <w:color w:val="231F20"/>
          <w:w w:val="105"/>
        </w:rPr>
        <w:t>empre- sarial (Marcovitch, 1992:331), por lo que los cambios necesarios para elevar la competitividad estructural exigen movilización de la sociedad. Entre ellos destacan las siguientes prioridades: mejora de la calidad y elevar la enseñanza básica y profesional, búsqueda de estabilidad</w:t>
      </w:r>
      <w:r>
        <w:rPr>
          <w:color w:val="231F20"/>
          <w:spacing w:val="-22"/>
          <w:w w:val="105"/>
        </w:rPr>
        <w:t> </w:t>
      </w:r>
      <w:r>
        <w:rPr>
          <w:color w:val="231F20"/>
          <w:w w:val="105"/>
        </w:rPr>
        <w:t>ma- croeconómica y adopción de políticas de rentas para reducción de las disparidades sociales; revisión del sistema de gobierno y de la legisla- ción partidaria, agilización de la definición de prioridades, descentrali- zando el proceso a nivel de los estados y municipios, y constitución de una nueva co-responsabilidad de los agentes sociales para el mejora- miento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infraestructura</w:t>
      </w:r>
      <w:r>
        <w:rPr>
          <w:color w:val="231F20"/>
          <w:spacing w:val="-27"/>
          <w:w w:val="105"/>
        </w:rPr>
        <w:t> </w:t>
      </w:r>
      <w:r>
        <w:rPr>
          <w:color w:val="231F20"/>
          <w:w w:val="105"/>
        </w:rPr>
        <w:t>social</w:t>
      </w:r>
      <w:r>
        <w:rPr>
          <w:color w:val="231F20"/>
          <w:spacing w:val="-27"/>
          <w:w w:val="105"/>
        </w:rPr>
        <w:t> </w:t>
      </w:r>
      <w:r>
        <w:rPr>
          <w:color w:val="231F20"/>
          <w:w w:val="105"/>
        </w:rPr>
        <w:t>y</w:t>
      </w:r>
      <w:r>
        <w:rPr>
          <w:color w:val="231F20"/>
          <w:spacing w:val="-27"/>
          <w:w w:val="105"/>
        </w:rPr>
        <w:t> </w:t>
      </w:r>
      <w:r>
        <w:rPr>
          <w:color w:val="231F20"/>
          <w:w w:val="105"/>
        </w:rPr>
        <w:t>física</w:t>
      </w:r>
      <w:r>
        <w:rPr>
          <w:color w:val="231F20"/>
          <w:spacing w:val="-27"/>
          <w:w w:val="105"/>
        </w:rPr>
        <w:t> </w:t>
      </w:r>
      <w:r>
        <w:rPr>
          <w:color w:val="231F20"/>
          <w:w w:val="105"/>
        </w:rPr>
        <w:t>(Haque,</w:t>
      </w:r>
      <w:r>
        <w:rPr>
          <w:color w:val="231F20"/>
          <w:spacing w:val="-32"/>
          <w:w w:val="105"/>
        </w:rPr>
        <w:t> </w:t>
      </w:r>
      <w:r>
        <w:rPr>
          <w:color w:val="231F20"/>
          <w:w w:val="105"/>
        </w:rPr>
        <w:t>1991:50-52).</w:t>
      </w:r>
    </w:p>
    <w:p>
      <w:pPr>
        <w:spacing w:before="162"/>
        <w:ind w:left="103" w:right="0" w:firstLine="0"/>
        <w:jc w:val="both"/>
        <w:rPr>
          <w:i/>
          <w:sz w:val="21"/>
        </w:rPr>
      </w:pPr>
      <w:r>
        <w:rPr>
          <w:i/>
          <w:color w:val="231F20"/>
          <w:w w:val="105"/>
          <w:sz w:val="21"/>
        </w:rPr>
        <w:t>Competitividad sectorial</w:t>
      </w:r>
    </w:p>
    <w:p>
      <w:pPr>
        <w:pStyle w:val="BodyText"/>
        <w:spacing w:before="4"/>
        <w:rPr>
          <w:i/>
          <w:sz w:val="16"/>
        </w:rPr>
      </w:pPr>
    </w:p>
    <w:p>
      <w:pPr>
        <w:pStyle w:val="BodyText"/>
        <w:spacing w:line="259" w:lineRule="auto"/>
        <w:ind w:left="103" w:right="115"/>
        <w:jc w:val="both"/>
      </w:pPr>
      <w:r>
        <w:rPr>
          <w:color w:val="231F20"/>
          <w:spacing w:val="-4"/>
          <w:w w:val="105"/>
        </w:rPr>
        <w:t>Porter</w:t>
      </w:r>
      <w:r>
        <w:rPr>
          <w:color w:val="231F20"/>
          <w:spacing w:val="-16"/>
          <w:w w:val="105"/>
        </w:rPr>
        <w:t> </w:t>
      </w:r>
      <w:r>
        <w:rPr>
          <w:color w:val="231F20"/>
          <w:w w:val="105"/>
        </w:rPr>
        <w:t>(1999)</w:t>
      </w:r>
      <w:r>
        <w:rPr>
          <w:color w:val="231F20"/>
          <w:spacing w:val="-16"/>
          <w:w w:val="105"/>
        </w:rPr>
        <w:t> </w:t>
      </w:r>
      <w:r>
        <w:rPr>
          <w:color w:val="231F20"/>
          <w:w w:val="105"/>
        </w:rPr>
        <w:t>fue</w:t>
      </w:r>
      <w:r>
        <w:rPr>
          <w:color w:val="231F20"/>
          <w:spacing w:val="-16"/>
          <w:w w:val="105"/>
        </w:rPr>
        <w:t> </w:t>
      </w:r>
      <w:r>
        <w:rPr>
          <w:color w:val="231F20"/>
          <w:w w:val="105"/>
        </w:rPr>
        <w:t>uno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primeros</w:t>
      </w:r>
      <w:r>
        <w:rPr>
          <w:color w:val="231F20"/>
          <w:spacing w:val="-16"/>
          <w:w w:val="105"/>
        </w:rPr>
        <w:t> </w:t>
      </w:r>
      <w:r>
        <w:rPr>
          <w:color w:val="231F20"/>
          <w:w w:val="105"/>
        </w:rPr>
        <w:t>en</w:t>
      </w:r>
      <w:r>
        <w:rPr>
          <w:color w:val="231F20"/>
          <w:spacing w:val="-16"/>
          <w:w w:val="105"/>
        </w:rPr>
        <w:t> </w:t>
      </w:r>
      <w:r>
        <w:rPr>
          <w:color w:val="231F20"/>
          <w:w w:val="105"/>
        </w:rPr>
        <w:t>argumentar</w:t>
      </w:r>
      <w:r>
        <w:rPr>
          <w:color w:val="231F20"/>
          <w:spacing w:val="-16"/>
          <w:w w:val="105"/>
        </w:rPr>
        <w:t> </w:t>
      </w:r>
      <w:r>
        <w:rPr>
          <w:color w:val="231F20"/>
          <w:w w:val="105"/>
        </w:rPr>
        <w:t>que</w:t>
      </w:r>
      <w:r>
        <w:rPr>
          <w:color w:val="231F20"/>
          <w:spacing w:val="-16"/>
          <w:w w:val="105"/>
        </w:rPr>
        <w:t> </w:t>
      </w:r>
      <w:r>
        <w:rPr>
          <w:color w:val="231F20"/>
          <w:w w:val="105"/>
        </w:rPr>
        <w:t>se</w:t>
      </w:r>
      <w:r>
        <w:rPr>
          <w:color w:val="231F20"/>
          <w:spacing w:val="-16"/>
          <w:w w:val="105"/>
        </w:rPr>
        <w:t> </w:t>
      </w:r>
      <w:r>
        <w:rPr>
          <w:color w:val="231F20"/>
          <w:w w:val="105"/>
        </w:rPr>
        <w:t>debía</w:t>
      </w:r>
      <w:r>
        <w:rPr>
          <w:color w:val="231F20"/>
          <w:spacing w:val="-16"/>
          <w:w w:val="105"/>
        </w:rPr>
        <w:t> </w:t>
      </w:r>
      <w:r>
        <w:rPr>
          <w:color w:val="231F20"/>
          <w:w w:val="105"/>
        </w:rPr>
        <w:t>aban- donar</w:t>
      </w:r>
      <w:r>
        <w:rPr>
          <w:color w:val="231F20"/>
          <w:spacing w:val="-18"/>
          <w:w w:val="105"/>
        </w:rPr>
        <w:t> </w:t>
      </w:r>
      <w:r>
        <w:rPr>
          <w:color w:val="231F20"/>
          <w:w w:val="105"/>
        </w:rPr>
        <w:t>la</w:t>
      </w:r>
      <w:r>
        <w:rPr>
          <w:color w:val="231F20"/>
          <w:spacing w:val="-18"/>
          <w:w w:val="105"/>
        </w:rPr>
        <w:t> </w:t>
      </w:r>
      <w:r>
        <w:rPr>
          <w:color w:val="231F20"/>
          <w:w w:val="105"/>
        </w:rPr>
        <w:t>idea</w:t>
      </w:r>
      <w:r>
        <w:rPr>
          <w:color w:val="231F20"/>
          <w:spacing w:val="-18"/>
          <w:w w:val="105"/>
        </w:rPr>
        <w:t> </w:t>
      </w:r>
      <w:r>
        <w:rPr>
          <w:color w:val="231F20"/>
          <w:w w:val="105"/>
        </w:rPr>
        <w:t>de</w:t>
      </w:r>
      <w:r>
        <w:rPr>
          <w:color w:val="231F20"/>
          <w:spacing w:val="-18"/>
          <w:w w:val="105"/>
        </w:rPr>
        <w:t> </w:t>
      </w:r>
      <w:r>
        <w:rPr>
          <w:color w:val="231F20"/>
          <w:w w:val="105"/>
        </w:rPr>
        <w:t>una</w:t>
      </w:r>
      <w:r>
        <w:rPr>
          <w:color w:val="231F20"/>
          <w:spacing w:val="-18"/>
          <w:w w:val="105"/>
        </w:rPr>
        <w:t> </w:t>
      </w:r>
      <w:r>
        <w:rPr>
          <w:color w:val="231F20"/>
          <w:w w:val="105"/>
        </w:rPr>
        <w:t>nación</w:t>
      </w:r>
      <w:r>
        <w:rPr>
          <w:color w:val="231F20"/>
          <w:spacing w:val="-18"/>
          <w:w w:val="105"/>
        </w:rPr>
        <w:t> </w:t>
      </w:r>
      <w:r>
        <w:rPr>
          <w:color w:val="231F20"/>
          <w:w w:val="105"/>
        </w:rPr>
        <w:t>competitiva</w:t>
      </w:r>
      <w:r>
        <w:rPr>
          <w:color w:val="231F20"/>
          <w:spacing w:val="-18"/>
          <w:w w:val="105"/>
        </w:rPr>
        <w:t> </w:t>
      </w:r>
      <w:r>
        <w:rPr>
          <w:color w:val="231F20"/>
          <w:spacing w:val="-4"/>
          <w:w w:val="105"/>
        </w:rPr>
        <w:t>y,</w:t>
      </w:r>
      <w:r>
        <w:rPr>
          <w:color w:val="231F20"/>
          <w:spacing w:val="-23"/>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lugar,</w:t>
      </w:r>
      <w:r>
        <w:rPr>
          <w:color w:val="231F20"/>
          <w:spacing w:val="-23"/>
          <w:w w:val="105"/>
        </w:rPr>
        <w:t> </w:t>
      </w:r>
      <w:r>
        <w:rPr>
          <w:color w:val="231F20"/>
          <w:w w:val="105"/>
        </w:rPr>
        <w:t>analizar</w:t>
      </w:r>
      <w:r>
        <w:rPr>
          <w:color w:val="231F20"/>
          <w:spacing w:val="-18"/>
          <w:w w:val="105"/>
        </w:rPr>
        <w:t> </w:t>
      </w:r>
      <w:r>
        <w:rPr>
          <w:color w:val="231F20"/>
          <w:w w:val="105"/>
        </w:rPr>
        <w:t>los</w:t>
      </w:r>
      <w:r>
        <w:rPr>
          <w:color w:val="231F20"/>
          <w:spacing w:val="-18"/>
          <w:w w:val="105"/>
        </w:rPr>
        <w:t> </w:t>
      </w:r>
      <w:r>
        <w:rPr>
          <w:color w:val="231F20"/>
          <w:w w:val="105"/>
        </w:rPr>
        <w:t>recur- sos</w:t>
      </w:r>
      <w:r>
        <w:rPr>
          <w:color w:val="231F20"/>
          <w:spacing w:val="-31"/>
          <w:w w:val="105"/>
        </w:rPr>
        <w:t> </w:t>
      </w:r>
      <w:r>
        <w:rPr>
          <w:color w:val="231F20"/>
          <w:w w:val="105"/>
        </w:rPr>
        <w:t>con</w:t>
      </w:r>
      <w:r>
        <w:rPr>
          <w:color w:val="231F20"/>
          <w:spacing w:val="-31"/>
          <w:w w:val="105"/>
        </w:rPr>
        <w:t> </w:t>
      </w:r>
      <w:r>
        <w:rPr>
          <w:color w:val="231F20"/>
          <w:w w:val="105"/>
        </w:rPr>
        <w:t>los</w:t>
      </w:r>
      <w:r>
        <w:rPr>
          <w:color w:val="231F20"/>
          <w:spacing w:val="-31"/>
          <w:w w:val="105"/>
        </w:rPr>
        <w:t> </w:t>
      </w:r>
      <w:r>
        <w:rPr>
          <w:color w:val="231F20"/>
          <w:w w:val="105"/>
        </w:rPr>
        <w:t>que</w:t>
      </w:r>
      <w:r>
        <w:rPr>
          <w:color w:val="231F20"/>
          <w:spacing w:val="-31"/>
          <w:w w:val="105"/>
        </w:rPr>
        <w:t> </w:t>
      </w:r>
      <w:r>
        <w:rPr>
          <w:color w:val="231F20"/>
          <w:w w:val="105"/>
        </w:rPr>
        <w:t>cuenta</w:t>
      </w:r>
      <w:r>
        <w:rPr>
          <w:color w:val="231F20"/>
          <w:spacing w:val="-31"/>
          <w:w w:val="105"/>
        </w:rPr>
        <w:t> </w:t>
      </w:r>
      <w:r>
        <w:rPr>
          <w:color w:val="231F20"/>
          <w:w w:val="105"/>
        </w:rPr>
        <w:t>una</w:t>
      </w:r>
      <w:r>
        <w:rPr>
          <w:color w:val="231F20"/>
          <w:spacing w:val="-31"/>
          <w:w w:val="105"/>
        </w:rPr>
        <w:t> </w:t>
      </w:r>
      <w:r>
        <w:rPr>
          <w:color w:val="231F20"/>
          <w:w w:val="105"/>
        </w:rPr>
        <w:t>nación</w:t>
      </w:r>
      <w:r>
        <w:rPr>
          <w:color w:val="231F20"/>
          <w:spacing w:val="-31"/>
          <w:w w:val="105"/>
        </w:rPr>
        <w:t> </w:t>
      </w:r>
      <w:r>
        <w:rPr>
          <w:color w:val="231F20"/>
          <w:w w:val="105"/>
        </w:rPr>
        <w:t>(capital</w:t>
      </w:r>
      <w:r>
        <w:rPr>
          <w:color w:val="231F20"/>
          <w:spacing w:val="-31"/>
          <w:w w:val="105"/>
        </w:rPr>
        <w:t> </w:t>
      </w:r>
      <w:r>
        <w:rPr>
          <w:color w:val="231F20"/>
          <w:w w:val="105"/>
        </w:rPr>
        <w:t>y</w:t>
      </w:r>
      <w:r>
        <w:rPr>
          <w:color w:val="231F20"/>
          <w:spacing w:val="-31"/>
          <w:w w:val="105"/>
        </w:rPr>
        <w:t> </w:t>
      </w:r>
      <w:r>
        <w:rPr>
          <w:color w:val="231F20"/>
          <w:w w:val="105"/>
        </w:rPr>
        <w:t>trabajo)</w:t>
      </w:r>
      <w:r>
        <w:rPr>
          <w:color w:val="231F20"/>
          <w:spacing w:val="-31"/>
          <w:w w:val="105"/>
        </w:rPr>
        <w:t> </w:t>
      </w:r>
      <w:r>
        <w:rPr>
          <w:color w:val="231F20"/>
          <w:w w:val="105"/>
        </w:rPr>
        <w:t>y</w:t>
      </w:r>
      <w:r>
        <w:rPr>
          <w:color w:val="231F20"/>
          <w:spacing w:val="-31"/>
          <w:w w:val="105"/>
        </w:rPr>
        <w:t> </w:t>
      </w:r>
      <w:r>
        <w:rPr>
          <w:color w:val="231F20"/>
          <w:w w:val="105"/>
        </w:rPr>
        <w:t>que</w:t>
      </w:r>
      <w:r>
        <w:rPr>
          <w:color w:val="231F20"/>
          <w:spacing w:val="-31"/>
          <w:w w:val="105"/>
        </w:rPr>
        <w:t> </w:t>
      </w:r>
      <w:r>
        <w:rPr>
          <w:color w:val="231F20"/>
          <w:w w:val="105"/>
        </w:rPr>
        <w:t>son</w:t>
      </w:r>
      <w:r>
        <w:rPr>
          <w:color w:val="231F20"/>
          <w:spacing w:val="-31"/>
          <w:w w:val="105"/>
        </w:rPr>
        <w:t> </w:t>
      </w:r>
      <w:r>
        <w:rPr>
          <w:color w:val="231F20"/>
          <w:w w:val="105"/>
        </w:rPr>
        <w:t>empleados a</w:t>
      </w:r>
      <w:r>
        <w:rPr>
          <w:color w:val="231F20"/>
          <w:spacing w:val="-12"/>
          <w:w w:val="105"/>
        </w:rPr>
        <w:t> </w:t>
      </w:r>
      <w:r>
        <w:rPr>
          <w:color w:val="231F20"/>
          <w:w w:val="105"/>
        </w:rPr>
        <w:t>fin</w:t>
      </w:r>
      <w:r>
        <w:rPr>
          <w:color w:val="231F20"/>
          <w:spacing w:val="-12"/>
          <w:w w:val="105"/>
        </w:rPr>
        <w:t> </w:t>
      </w:r>
      <w:r>
        <w:rPr>
          <w:color w:val="231F20"/>
          <w:w w:val="105"/>
        </w:rPr>
        <w:t>de</w:t>
      </w:r>
      <w:r>
        <w:rPr>
          <w:color w:val="231F20"/>
          <w:spacing w:val="-12"/>
          <w:w w:val="105"/>
        </w:rPr>
        <w:t> </w:t>
      </w:r>
      <w:r>
        <w:rPr>
          <w:color w:val="231F20"/>
          <w:w w:val="105"/>
        </w:rPr>
        <w:t>ser</w:t>
      </w:r>
      <w:r>
        <w:rPr>
          <w:color w:val="231F20"/>
          <w:spacing w:val="-12"/>
          <w:w w:val="105"/>
        </w:rPr>
        <w:t> </w:t>
      </w:r>
      <w:r>
        <w:rPr>
          <w:color w:val="231F20"/>
          <w:w w:val="105"/>
        </w:rPr>
        <w:t>productiva.</w:t>
      </w:r>
      <w:r>
        <w:rPr>
          <w:color w:val="231F20"/>
          <w:spacing w:val="-18"/>
          <w:w w:val="105"/>
        </w:rPr>
        <w:t> </w:t>
      </w:r>
      <w:r>
        <w:rPr>
          <w:color w:val="231F20"/>
          <w:w w:val="105"/>
        </w:rPr>
        <w:t>Esto</w:t>
      </w:r>
      <w:r>
        <w:rPr>
          <w:color w:val="231F20"/>
          <w:spacing w:val="-12"/>
          <w:w w:val="105"/>
        </w:rPr>
        <w:t> </w:t>
      </w:r>
      <w:r>
        <w:rPr>
          <w:color w:val="231F20"/>
          <w:w w:val="105"/>
        </w:rPr>
        <w:t>implicaba</w:t>
      </w:r>
      <w:r>
        <w:rPr>
          <w:color w:val="231F20"/>
          <w:spacing w:val="-12"/>
          <w:w w:val="105"/>
        </w:rPr>
        <w:t> </w:t>
      </w:r>
      <w:r>
        <w:rPr>
          <w:color w:val="231F20"/>
          <w:w w:val="105"/>
        </w:rPr>
        <w:t>no</w:t>
      </w:r>
      <w:r>
        <w:rPr>
          <w:color w:val="231F20"/>
          <w:spacing w:val="-12"/>
          <w:w w:val="105"/>
        </w:rPr>
        <w:t> </w:t>
      </w:r>
      <w:r>
        <w:rPr>
          <w:color w:val="231F20"/>
          <w:w w:val="105"/>
        </w:rPr>
        <w:t>contemplar</w:t>
      </w:r>
      <w:r>
        <w:rPr>
          <w:color w:val="231F20"/>
          <w:spacing w:val="-12"/>
          <w:w w:val="105"/>
        </w:rPr>
        <w:t> </w:t>
      </w:r>
      <w:r>
        <w:rPr>
          <w:color w:val="231F20"/>
          <w:w w:val="105"/>
        </w:rPr>
        <w:t>la</w:t>
      </w:r>
      <w:r>
        <w:rPr>
          <w:color w:val="231F20"/>
          <w:spacing w:val="-12"/>
          <w:w w:val="105"/>
        </w:rPr>
        <w:t> </w:t>
      </w:r>
      <w:r>
        <w:rPr>
          <w:color w:val="231F20"/>
          <w:w w:val="105"/>
        </w:rPr>
        <w:t>economía</w:t>
      </w:r>
      <w:r>
        <w:rPr>
          <w:color w:val="231F20"/>
          <w:spacing w:val="-12"/>
          <w:w w:val="105"/>
        </w:rPr>
        <w:t> </w:t>
      </w:r>
      <w:r>
        <w:rPr>
          <w:color w:val="231F20"/>
          <w:w w:val="105"/>
        </w:rPr>
        <w:t>como un todo,</w:t>
      </w:r>
      <w:r>
        <w:rPr>
          <w:color w:val="231F20"/>
          <w:spacing w:val="-43"/>
          <w:w w:val="105"/>
        </w:rPr>
        <w:t> </w:t>
      </w:r>
      <w:r>
        <w:rPr>
          <w:color w:val="231F20"/>
          <w:w w:val="105"/>
        </w:rPr>
        <w:t>sino estudiar aquellos sectores en los que las empresas de un país</w:t>
      </w:r>
      <w:r>
        <w:rPr>
          <w:color w:val="231F20"/>
          <w:spacing w:val="-27"/>
          <w:w w:val="105"/>
        </w:rPr>
        <w:t> </w:t>
      </w:r>
      <w:r>
        <w:rPr>
          <w:color w:val="231F20"/>
          <w:w w:val="105"/>
        </w:rPr>
        <w:t>tenían</w:t>
      </w:r>
      <w:r>
        <w:rPr>
          <w:color w:val="231F20"/>
          <w:spacing w:val="-27"/>
          <w:w w:val="105"/>
        </w:rPr>
        <w:t> </w:t>
      </w:r>
      <w:r>
        <w:rPr>
          <w:color w:val="231F20"/>
          <w:w w:val="105"/>
        </w:rPr>
        <w:t>éxito</w:t>
      </w:r>
      <w:r>
        <w:rPr>
          <w:color w:val="231F20"/>
          <w:spacing w:val="-27"/>
          <w:w w:val="105"/>
        </w:rPr>
        <w:t> </w:t>
      </w:r>
      <w:r>
        <w:rPr>
          <w:color w:val="231F20"/>
          <w:w w:val="105"/>
        </w:rPr>
        <w:t>internacionalmente,</w:t>
      </w:r>
      <w:r>
        <w:rPr>
          <w:color w:val="231F20"/>
          <w:spacing w:val="-31"/>
          <w:w w:val="105"/>
        </w:rPr>
        <w:t> </w:t>
      </w:r>
      <w:r>
        <w:rPr>
          <w:color w:val="231F20"/>
          <w:w w:val="105"/>
        </w:rPr>
        <w:t>es</w:t>
      </w:r>
      <w:r>
        <w:rPr>
          <w:color w:val="231F20"/>
          <w:spacing w:val="-27"/>
          <w:w w:val="105"/>
        </w:rPr>
        <w:t> </w:t>
      </w:r>
      <w:r>
        <w:rPr>
          <w:color w:val="231F20"/>
          <w:w w:val="105"/>
        </w:rPr>
        <w:t>decir,</w:t>
      </w:r>
      <w:r>
        <w:rPr>
          <w:color w:val="231F20"/>
          <w:spacing w:val="-31"/>
          <w:w w:val="105"/>
        </w:rPr>
        <w:t> </w:t>
      </w:r>
      <w:r>
        <w:rPr>
          <w:color w:val="231F20"/>
          <w:w w:val="105"/>
        </w:rPr>
        <w:t>poseían</w:t>
      </w:r>
      <w:r>
        <w:rPr>
          <w:color w:val="231F20"/>
          <w:spacing w:val="-27"/>
          <w:w w:val="105"/>
        </w:rPr>
        <w:t> </w:t>
      </w:r>
      <w:r>
        <w:rPr>
          <w:color w:val="231F20"/>
          <w:w w:val="105"/>
        </w:rPr>
        <w:t>ventaja</w:t>
      </w:r>
      <w:r>
        <w:rPr>
          <w:color w:val="231F20"/>
          <w:spacing w:val="-27"/>
          <w:w w:val="105"/>
        </w:rPr>
        <w:t> </w:t>
      </w:r>
      <w:r>
        <w:rPr>
          <w:color w:val="231F20"/>
          <w:w w:val="105"/>
        </w:rPr>
        <w:t>competiti- va</w:t>
      </w:r>
      <w:r>
        <w:rPr>
          <w:color w:val="231F20"/>
          <w:spacing w:val="-18"/>
          <w:w w:val="105"/>
        </w:rPr>
        <w:t> </w:t>
      </w:r>
      <w:r>
        <w:rPr>
          <w:color w:val="231F20"/>
          <w:w w:val="105"/>
        </w:rPr>
        <w:t>con</w:t>
      </w:r>
      <w:r>
        <w:rPr>
          <w:color w:val="231F20"/>
          <w:spacing w:val="-18"/>
          <w:w w:val="105"/>
        </w:rPr>
        <w:t> </w:t>
      </w:r>
      <w:r>
        <w:rPr>
          <w:color w:val="231F20"/>
          <w:w w:val="105"/>
        </w:rPr>
        <w:t>relación</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mejores</w:t>
      </w:r>
      <w:r>
        <w:rPr>
          <w:color w:val="231F20"/>
          <w:spacing w:val="-18"/>
          <w:w w:val="105"/>
        </w:rPr>
        <w:t> </w:t>
      </w:r>
      <w:r>
        <w:rPr>
          <w:color w:val="231F20"/>
          <w:w w:val="105"/>
        </w:rPr>
        <w:t>competidores</w:t>
      </w:r>
      <w:r>
        <w:rPr>
          <w:color w:val="231F20"/>
          <w:spacing w:val="-18"/>
          <w:w w:val="105"/>
        </w:rPr>
        <w:t> </w:t>
      </w:r>
      <w:r>
        <w:rPr>
          <w:color w:val="231F20"/>
          <w:w w:val="105"/>
        </w:rPr>
        <w:t>mundiales.</w:t>
      </w:r>
    </w:p>
    <w:p>
      <w:pPr>
        <w:pStyle w:val="BodyText"/>
        <w:spacing w:line="259" w:lineRule="auto"/>
        <w:ind w:left="103" w:right="114" w:firstLine="567"/>
        <w:jc w:val="both"/>
      </w:pPr>
      <w:r>
        <w:rPr>
          <w:color w:val="231F20"/>
          <w:w w:val="105"/>
        </w:rPr>
        <w:t>La competitividad sectorial, como concepto, cuenta con un corto período</w:t>
      </w:r>
      <w:r>
        <w:rPr>
          <w:color w:val="231F20"/>
          <w:spacing w:val="-18"/>
          <w:w w:val="105"/>
        </w:rPr>
        <w:t> </w:t>
      </w:r>
      <w:r>
        <w:rPr>
          <w:color w:val="231F20"/>
          <w:w w:val="105"/>
        </w:rPr>
        <w:t>de</w:t>
      </w:r>
      <w:r>
        <w:rPr>
          <w:color w:val="231F20"/>
          <w:spacing w:val="-18"/>
          <w:w w:val="105"/>
        </w:rPr>
        <w:t> </w:t>
      </w:r>
      <w:r>
        <w:rPr>
          <w:color w:val="231F20"/>
          <w:w w:val="105"/>
        </w:rPr>
        <w:t>vida,</w:t>
      </w:r>
      <w:r>
        <w:rPr>
          <w:color w:val="231F20"/>
          <w:spacing w:val="-24"/>
          <w:w w:val="105"/>
        </w:rPr>
        <w:t> </w:t>
      </w:r>
      <w:r>
        <w:rPr>
          <w:color w:val="231F20"/>
          <w:w w:val="105"/>
        </w:rPr>
        <w:t>ya</w:t>
      </w:r>
      <w:r>
        <w:rPr>
          <w:color w:val="231F20"/>
          <w:spacing w:val="-18"/>
          <w:w w:val="105"/>
        </w:rPr>
        <w:t> </w:t>
      </w:r>
      <w:r>
        <w:rPr>
          <w:color w:val="231F20"/>
          <w:w w:val="105"/>
        </w:rPr>
        <w:t>que</w:t>
      </w:r>
      <w:r>
        <w:rPr>
          <w:color w:val="231F20"/>
          <w:spacing w:val="-18"/>
          <w:w w:val="105"/>
        </w:rPr>
        <w:t> </w:t>
      </w:r>
      <w:r>
        <w:rPr>
          <w:color w:val="231F20"/>
          <w:w w:val="105"/>
        </w:rPr>
        <w:t>su</w:t>
      </w:r>
      <w:r>
        <w:rPr>
          <w:color w:val="231F20"/>
          <w:spacing w:val="-18"/>
          <w:w w:val="105"/>
        </w:rPr>
        <w:t> </w:t>
      </w:r>
      <w:r>
        <w:rPr>
          <w:color w:val="231F20"/>
          <w:w w:val="105"/>
        </w:rPr>
        <w:t>más</w:t>
      </w:r>
      <w:r>
        <w:rPr>
          <w:color w:val="231F20"/>
          <w:spacing w:val="-18"/>
          <w:w w:val="105"/>
        </w:rPr>
        <w:t> </w:t>
      </w:r>
      <w:r>
        <w:rPr>
          <w:color w:val="231F20"/>
          <w:w w:val="105"/>
        </w:rPr>
        <w:t>temprana</w:t>
      </w:r>
      <w:r>
        <w:rPr>
          <w:color w:val="231F20"/>
          <w:spacing w:val="-18"/>
          <w:w w:val="105"/>
        </w:rPr>
        <w:t> </w:t>
      </w:r>
      <w:r>
        <w:rPr>
          <w:color w:val="231F20"/>
          <w:w w:val="105"/>
        </w:rPr>
        <w:t>utilización</w:t>
      </w:r>
      <w:r>
        <w:rPr>
          <w:color w:val="231F20"/>
          <w:spacing w:val="-18"/>
          <w:w w:val="105"/>
        </w:rPr>
        <w:t> </w:t>
      </w:r>
      <w:r>
        <w:rPr>
          <w:color w:val="231F20"/>
          <w:w w:val="105"/>
        </w:rPr>
        <w:t>se</w:t>
      </w:r>
      <w:r>
        <w:rPr>
          <w:color w:val="231F20"/>
          <w:spacing w:val="-18"/>
          <w:w w:val="105"/>
        </w:rPr>
        <w:t> </w:t>
      </w:r>
      <w:r>
        <w:rPr>
          <w:color w:val="231F20"/>
          <w:w w:val="105"/>
        </w:rPr>
        <w:t>atribuye</w:t>
      </w:r>
      <w:r>
        <w:rPr>
          <w:color w:val="231F20"/>
          <w:spacing w:val="-18"/>
          <w:w w:val="105"/>
        </w:rPr>
        <w:t> </w:t>
      </w:r>
      <w:r>
        <w:rPr>
          <w:color w:val="231F20"/>
          <w:w w:val="105"/>
        </w:rPr>
        <w:t>a</w:t>
      </w:r>
      <w:r>
        <w:rPr>
          <w:color w:val="231F20"/>
          <w:spacing w:val="-18"/>
          <w:w w:val="105"/>
        </w:rPr>
        <w:t> </w:t>
      </w:r>
      <w:r>
        <w:rPr>
          <w:color w:val="231F20"/>
          <w:w w:val="105"/>
        </w:rPr>
        <w:t>Mistral en</w:t>
      </w:r>
      <w:r>
        <w:rPr>
          <w:color w:val="231F20"/>
          <w:spacing w:val="-13"/>
          <w:w w:val="105"/>
        </w:rPr>
        <w:t> </w:t>
      </w:r>
      <w:r>
        <w:rPr>
          <w:color w:val="231F20"/>
          <w:w w:val="105"/>
        </w:rPr>
        <w:t>1983.</w:t>
      </w:r>
      <w:r>
        <w:rPr>
          <w:color w:val="231F20"/>
          <w:spacing w:val="-18"/>
          <w:w w:val="105"/>
        </w:rPr>
        <w:t> </w:t>
      </w:r>
      <w:r>
        <w:rPr>
          <w:color w:val="231F20"/>
          <w:w w:val="105"/>
        </w:rPr>
        <w:t>Con</w:t>
      </w:r>
      <w:r>
        <w:rPr>
          <w:color w:val="231F20"/>
          <w:spacing w:val="-13"/>
          <w:w w:val="105"/>
        </w:rPr>
        <w:t> </w:t>
      </w:r>
      <w:r>
        <w:rPr>
          <w:color w:val="231F20"/>
          <w:w w:val="105"/>
        </w:rPr>
        <w:t>él</w:t>
      </w:r>
      <w:r>
        <w:rPr>
          <w:color w:val="231F20"/>
          <w:spacing w:val="-13"/>
          <w:w w:val="105"/>
        </w:rPr>
        <w:t> </w:t>
      </w:r>
      <w:r>
        <w:rPr>
          <w:color w:val="231F20"/>
          <w:w w:val="105"/>
        </w:rPr>
        <w:t>se</w:t>
      </w:r>
      <w:r>
        <w:rPr>
          <w:color w:val="231F20"/>
          <w:spacing w:val="-13"/>
          <w:w w:val="105"/>
        </w:rPr>
        <w:t> </w:t>
      </w:r>
      <w:r>
        <w:rPr>
          <w:color w:val="231F20"/>
          <w:w w:val="105"/>
        </w:rPr>
        <w:t>pretende</w:t>
      </w:r>
      <w:r>
        <w:rPr>
          <w:color w:val="231F20"/>
          <w:spacing w:val="-13"/>
          <w:w w:val="105"/>
        </w:rPr>
        <w:t> </w:t>
      </w:r>
      <w:r>
        <w:rPr>
          <w:color w:val="231F20"/>
          <w:w w:val="105"/>
        </w:rPr>
        <w:t>captar</w:t>
      </w:r>
      <w:r>
        <w:rPr>
          <w:color w:val="231F20"/>
          <w:spacing w:val="-13"/>
          <w:w w:val="105"/>
        </w:rPr>
        <w:t> </w:t>
      </w:r>
      <w:r>
        <w:rPr>
          <w:color w:val="231F20"/>
          <w:w w:val="105"/>
        </w:rPr>
        <w:t>la</w:t>
      </w:r>
      <w:r>
        <w:rPr>
          <w:color w:val="231F20"/>
          <w:spacing w:val="-13"/>
          <w:w w:val="105"/>
        </w:rPr>
        <w:t> </w:t>
      </w:r>
      <w:r>
        <w:rPr>
          <w:color w:val="231F20"/>
          <w:w w:val="105"/>
        </w:rPr>
        <w:t>complejidad</w:t>
      </w:r>
      <w:r>
        <w:rPr>
          <w:color w:val="231F20"/>
          <w:spacing w:val="-13"/>
          <w:w w:val="105"/>
        </w:rPr>
        <w:t> </w:t>
      </w:r>
      <w:r>
        <w:rPr>
          <w:color w:val="231F20"/>
          <w:w w:val="105"/>
        </w:rPr>
        <w:t>y</w:t>
      </w:r>
      <w:r>
        <w:rPr>
          <w:color w:val="231F20"/>
          <w:spacing w:val="-13"/>
          <w:w w:val="105"/>
        </w:rPr>
        <w:t> </w:t>
      </w:r>
      <w:r>
        <w:rPr>
          <w:color w:val="231F20"/>
          <w:w w:val="105"/>
        </w:rPr>
        <w:t>variedad</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ins- trumentos</w:t>
      </w:r>
      <w:r>
        <w:rPr>
          <w:color w:val="231F20"/>
          <w:spacing w:val="-10"/>
          <w:w w:val="105"/>
        </w:rPr>
        <w:t> </w:t>
      </w:r>
      <w:r>
        <w:rPr>
          <w:color w:val="231F20"/>
          <w:w w:val="105"/>
        </w:rPr>
        <w:t>que</w:t>
      </w:r>
      <w:r>
        <w:rPr>
          <w:color w:val="231F20"/>
          <w:spacing w:val="-10"/>
          <w:w w:val="105"/>
        </w:rPr>
        <w:t> </w:t>
      </w:r>
      <w:r>
        <w:rPr>
          <w:color w:val="231F20"/>
          <w:w w:val="105"/>
        </w:rPr>
        <w:t>permiten</w:t>
      </w:r>
      <w:r>
        <w:rPr>
          <w:color w:val="231F20"/>
          <w:spacing w:val="-10"/>
          <w:w w:val="105"/>
        </w:rPr>
        <w:t> </w:t>
      </w:r>
      <w:r>
        <w:rPr>
          <w:color w:val="231F20"/>
          <w:w w:val="105"/>
        </w:rPr>
        <w:t>determinar</w:t>
      </w:r>
      <w:r>
        <w:rPr>
          <w:color w:val="231F20"/>
          <w:spacing w:val="-10"/>
          <w:w w:val="105"/>
        </w:rPr>
        <w:t> </w:t>
      </w:r>
      <w:r>
        <w:rPr>
          <w:color w:val="231F20"/>
          <w:w w:val="105"/>
        </w:rPr>
        <w:t>la</w:t>
      </w:r>
      <w:r>
        <w:rPr>
          <w:color w:val="231F20"/>
          <w:spacing w:val="-10"/>
          <w:w w:val="105"/>
        </w:rPr>
        <w:t> </w:t>
      </w:r>
      <w:r>
        <w:rPr>
          <w:color w:val="231F20"/>
          <w:w w:val="105"/>
        </w:rPr>
        <w:t>posición</w:t>
      </w:r>
      <w:r>
        <w:rPr>
          <w:color w:val="231F20"/>
          <w:spacing w:val="-10"/>
          <w:w w:val="105"/>
        </w:rPr>
        <w:t> </w:t>
      </w:r>
      <w:r>
        <w:rPr>
          <w:color w:val="231F20"/>
          <w:w w:val="105"/>
        </w:rPr>
        <w:t>ventajosa</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sector</w:t>
      </w:r>
      <w:r>
        <w:rPr>
          <w:color w:val="231F20"/>
          <w:spacing w:val="-10"/>
          <w:w w:val="105"/>
        </w:rPr>
        <w:t> </w:t>
      </w:r>
      <w:r>
        <w:rPr>
          <w:color w:val="231F20"/>
          <w:w w:val="105"/>
        </w:rPr>
        <w:t>o economía en el mercado. No sólo recoge los factores de precios y</w:t>
      </w:r>
      <w:r>
        <w:rPr>
          <w:color w:val="231F20"/>
          <w:spacing w:val="-36"/>
          <w:w w:val="105"/>
        </w:rPr>
        <w:t> </w:t>
      </w:r>
      <w:r>
        <w:rPr>
          <w:color w:val="231F20"/>
          <w:w w:val="105"/>
        </w:rPr>
        <w:t>cos- tos</w:t>
      </w:r>
      <w:r>
        <w:rPr>
          <w:color w:val="231F20"/>
          <w:spacing w:val="-15"/>
          <w:w w:val="105"/>
        </w:rPr>
        <w:t> </w:t>
      </w:r>
      <w:r>
        <w:rPr>
          <w:color w:val="231F20"/>
          <w:w w:val="105"/>
        </w:rPr>
        <w:t>(que</w:t>
      </w:r>
      <w:r>
        <w:rPr>
          <w:color w:val="231F20"/>
          <w:spacing w:val="-15"/>
          <w:w w:val="105"/>
        </w:rPr>
        <w:t> </w:t>
      </w:r>
      <w:r>
        <w:rPr>
          <w:color w:val="231F20"/>
          <w:w w:val="105"/>
        </w:rPr>
        <w:t>como</w:t>
      </w:r>
      <w:r>
        <w:rPr>
          <w:color w:val="231F20"/>
          <w:spacing w:val="-15"/>
          <w:w w:val="105"/>
        </w:rPr>
        <w:t> </w:t>
      </w:r>
      <w:r>
        <w:rPr>
          <w:color w:val="231F20"/>
          <w:w w:val="105"/>
        </w:rPr>
        <w:t>se</w:t>
      </w:r>
      <w:r>
        <w:rPr>
          <w:color w:val="231F20"/>
          <w:spacing w:val="-15"/>
          <w:w w:val="105"/>
        </w:rPr>
        <w:t> </w:t>
      </w:r>
      <w:r>
        <w:rPr>
          <w:color w:val="231F20"/>
          <w:w w:val="105"/>
        </w:rPr>
        <w:t>ha</w:t>
      </w:r>
      <w:r>
        <w:rPr>
          <w:color w:val="231F20"/>
          <w:spacing w:val="-15"/>
          <w:w w:val="105"/>
        </w:rPr>
        <w:t> </w:t>
      </w:r>
      <w:r>
        <w:rPr>
          <w:color w:val="231F20"/>
          <w:w w:val="105"/>
        </w:rPr>
        <w:t>mencionado</w:t>
      </w:r>
      <w:r>
        <w:rPr>
          <w:color w:val="231F20"/>
          <w:spacing w:val="-15"/>
          <w:w w:val="105"/>
        </w:rPr>
        <w:t> </w:t>
      </w:r>
      <w:r>
        <w:rPr>
          <w:color w:val="231F20"/>
          <w:w w:val="105"/>
        </w:rPr>
        <w:t>no</w:t>
      </w:r>
      <w:r>
        <w:rPr>
          <w:color w:val="231F20"/>
          <w:spacing w:val="-15"/>
          <w:w w:val="105"/>
        </w:rPr>
        <w:t> </w:t>
      </w:r>
      <w:r>
        <w:rPr>
          <w:color w:val="231F20"/>
          <w:w w:val="105"/>
        </w:rPr>
        <w:t>explicaban</w:t>
      </w:r>
      <w:r>
        <w:rPr>
          <w:color w:val="231F20"/>
          <w:spacing w:val="-15"/>
          <w:w w:val="105"/>
        </w:rPr>
        <w:t> </w:t>
      </w:r>
      <w:r>
        <w:rPr>
          <w:color w:val="231F20"/>
          <w:w w:val="105"/>
        </w:rPr>
        <w:t>la</w:t>
      </w:r>
      <w:r>
        <w:rPr>
          <w:color w:val="231F20"/>
          <w:spacing w:val="-15"/>
          <w:w w:val="105"/>
        </w:rPr>
        <w:t> </w:t>
      </w:r>
      <w:r>
        <w:rPr>
          <w:color w:val="231F20"/>
          <w:w w:val="105"/>
        </w:rPr>
        <w:t>evolución</w:t>
      </w:r>
      <w:r>
        <w:rPr>
          <w:color w:val="231F20"/>
          <w:spacing w:val="-15"/>
          <w:w w:val="105"/>
        </w:rPr>
        <w:t> </w:t>
      </w:r>
      <w:r>
        <w:rPr>
          <w:color w:val="231F20"/>
          <w:w w:val="105"/>
        </w:rPr>
        <w:t>real</w:t>
      </w:r>
      <w:r>
        <w:rPr>
          <w:color w:val="231F20"/>
          <w:spacing w:val="-15"/>
          <w:w w:val="105"/>
        </w:rPr>
        <w:t> </w:t>
      </w:r>
      <w:r>
        <w:rPr>
          <w:color w:val="231F20"/>
          <w:w w:val="105"/>
        </w:rPr>
        <w:t>sufrida</w:t>
      </w:r>
    </w:p>
    <w:p>
      <w:pPr>
        <w:pStyle w:val="BodyText"/>
        <w:rPr>
          <w:sz w:val="20"/>
        </w:rPr>
      </w:pPr>
    </w:p>
    <w:p>
      <w:pPr>
        <w:pStyle w:val="BodyText"/>
        <w:rPr>
          <w:sz w:val="20"/>
        </w:rPr>
      </w:pPr>
    </w:p>
    <w:p>
      <w:pPr>
        <w:pStyle w:val="BodyText"/>
        <w:spacing w:before="8"/>
        <w:rPr>
          <w:sz w:val="18"/>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38264"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268</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240"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269</w:t>
      </w:r>
    </w:p>
    <w:p>
      <w:pPr>
        <w:pStyle w:val="BodyText"/>
        <w:rPr>
          <w:sz w:val="20"/>
        </w:rPr>
      </w:pPr>
    </w:p>
    <w:p>
      <w:pPr>
        <w:pStyle w:val="BodyText"/>
        <w:rPr>
          <w:sz w:val="20"/>
        </w:rPr>
      </w:pPr>
    </w:p>
    <w:p>
      <w:pPr>
        <w:pStyle w:val="BodyText"/>
        <w:spacing w:line="259" w:lineRule="auto" w:before="176"/>
        <w:ind w:left="117" w:right="115"/>
        <w:jc w:val="both"/>
      </w:pP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comercio</w:t>
      </w:r>
      <w:r>
        <w:rPr>
          <w:color w:val="231F20"/>
          <w:spacing w:val="-14"/>
          <w:w w:val="105"/>
        </w:rPr>
        <w:t> </w:t>
      </w:r>
      <w:r>
        <w:rPr>
          <w:color w:val="231F20"/>
          <w:w w:val="105"/>
        </w:rPr>
        <w:t>exterior</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diferentes</w:t>
      </w:r>
      <w:r>
        <w:rPr>
          <w:color w:val="231F20"/>
          <w:spacing w:val="-14"/>
          <w:w w:val="105"/>
        </w:rPr>
        <w:t> </w:t>
      </w:r>
      <w:r>
        <w:rPr>
          <w:color w:val="231F20"/>
          <w:w w:val="105"/>
        </w:rPr>
        <w:t>países),</w:t>
      </w:r>
      <w:r>
        <w:rPr>
          <w:color w:val="231F20"/>
          <w:spacing w:val="-20"/>
          <w:w w:val="105"/>
        </w:rPr>
        <w:t> </w:t>
      </w:r>
      <w:r>
        <w:rPr>
          <w:color w:val="231F20"/>
          <w:w w:val="105"/>
        </w:rPr>
        <w:t>sino</w:t>
      </w:r>
      <w:r>
        <w:rPr>
          <w:color w:val="231F20"/>
          <w:spacing w:val="-14"/>
          <w:w w:val="105"/>
        </w:rPr>
        <w:t> </w:t>
      </w:r>
      <w:r>
        <w:rPr>
          <w:color w:val="231F20"/>
          <w:w w:val="105"/>
        </w:rPr>
        <w:t>otros</w:t>
      </w:r>
      <w:r>
        <w:rPr>
          <w:color w:val="231F20"/>
          <w:spacing w:val="-14"/>
          <w:w w:val="105"/>
        </w:rPr>
        <w:t> </w:t>
      </w:r>
      <w:r>
        <w:rPr>
          <w:color w:val="231F20"/>
          <w:w w:val="105"/>
        </w:rPr>
        <w:t>de</w:t>
      </w:r>
      <w:r>
        <w:rPr>
          <w:color w:val="231F20"/>
          <w:spacing w:val="-14"/>
          <w:w w:val="105"/>
        </w:rPr>
        <w:t> </w:t>
      </w:r>
      <w:r>
        <w:rPr>
          <w:color w:val="231F20"/>
          <w:w w:val="105"/>
        </w:rPr>
        <w:t>diferente índole</w:t>
      </w:r>
      <w:r>
        <w:rPr>
          <w:color w:val="231F20"/>
          <w:spacing w:val="-4"/>
          <w:w w:val="105"/>
        </w:rPr>
        <w:t> </w:t>
      </w:r>
      <w:r>
        <w:rPr>
          <w:color w:val="231F20"/>
          <w:w w:val="105"/>
        </w:rPr>
        <w:t>como</w:t>
      </w:r>
      <w:r>
        <w:rPr>
          <w:color w:val="231F20"/>
          <w:spacing w:val="-4"/>
          <w:w w:val="105"/>
        </w:rPr>
        <w:t> </w:t>
      </w:r>
      <w:r>
        <w:rPr>
          <w:color w:val="231F20"/>
          <w:w w:val="105"/>
        </w:rPr>
        <w:t>la</w:t>
      </w:r>
      <w:r>
        <w:rPr>
          <w:color w:val="231F20"/>
          <w:spacing w:val="-4"/>
          <w:w w:val="105"/>
        </w:rPr>
        <w:t> </w:t>
      </w:r>
      <w:r>
        <w:rPr>
          <w:color w:val="231F20"/>
          <w:w w:val="105"/>
        </w:rPr>
        <w:t>infraestructura.</w:t>
      </w:r>
      <w:r>
        <w:rPr>
          <w:color w:val="231F20"/>
          <w:spacing w:val="-9"/>
          <w:w w:val="105"/>
        </w:rPr>
        <w:t> </w:t>
      </w:r>
      <w:r>
        <w:rPr>
          <w:color w:val="231F20"/>
          <w:w w:val="105"/>
        </w:rPr>
        <w:t>Deben</w:t>
      </w:r>
      <w:r>
        <w:rPr>
          <w:color w:val="231F20"/>
          <w:spacing w:val="-4"/>
          <w:w w:val="105"/>
        </w:rPr>
        <w:t> </w:t>
      </w:r>
      <w:r>
        <w:rPr>
          <w:color w:val="231F20"/>
          <w:w w:val="105"/>
        </w:rPr>
        <w:t>considerarse,</w:t>
      </w:r>
      <w:r>
        <w:rPr>
          <w:color w:val="231F20"/>
          <w:spacing w:val="-9"/>
          <w:w w:val="105"/>
        </w:rPr>
        <w:t> </w:t>
      </w:r>
      <w:r>
        <w:rPr>
          <w:color w:val="231F20"/>
          <w:w w:val="105"/>
        </w:rPr>
        <w:t>a</w:t>
      </w:r>
      <w:r>
        <w:rPr>
          <w:color w:val="231F20"/>
          <w:spacing w:val="-4"/>
          <w:w w:val="105"/>
        </w:rPr>
        <w:t> </w:t>
      </w:r>
      <w:r>
        <w:rPr>
          <w:color w:val="231F20"/>
          <w:w w:val="105"/>
        </w:rPr>
        <w:t>su</w:t>
      </w:r>
      <w:r>
        <w:rPr>
          <w:color w:val="231F20"/>
          <w:spacing w:val="-4"/>
          <w:w w:val="105"/>
        </w:rPr>
        <w:t> </w:t>
      </w:r>
      <w:r>
        <w:rPr>
          <w:color w:val="231F20"/>
          <w:w w:val="105"/>
        </w:rPr>
        <w:t>vez,</w:t>
      </w:r>
      <w:r>
        <w:rPr>
          <w:color w:val="231F20"/>
          <w:spacing w:val="-9"/>
          <w:w w:val="105"/>
        </w:rPr>
        <w:t> </w:t>
      </w:r>
      <w:r>
        <w:rPr>
          <w:color w:val="231F20"/>
          <w:w w:val="105"/>
        </w:rPr>
        <w:t>los</w:t>
      </w:r>
      <w:r>
        <w:rPr>
          <w:color w:val="231F20"/>
          <w:spacing w:val="-4"/>
          <w:w w:val="105"/>
        </w:rPr>
        <w:t> </w:t>
      </w:r>
      <w:r>
        <w:rPr>
          <w:color w:val="231F20"/>
          <w:w w:val="105"/>
        </w:rPr>
        <w:t>facto- res</w:t>
      </w:r>
      <w:r>
        <w:rPr>
          <w:color w:val="231F20"/>
          <w:spacing w:val="-10"/>
          <w:w w:val="105"/>
        </w:rPr>
        <w:t> </w:t>
      </w:r>
      <w:r>
        <w:rPr>
          <w:color w:val="231F20"/>
          <w:w w:val="105"/>
        </w:rPr>
        <w:t>relacionados</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tecnología</w:t>
      </w:r>
      <w:r>
        <w:rPr>
          <w:color w:val="231F20"/>
          <w:spacing w:val="-10"/>
          <w:w w:val="105"/>
        </w:rPr>
        <w:t> </w:t>
      </w:r>
      <w:r>
        <w:rPr>
          <w:color w:val="231F20"/>
          <w:w w:val="105"/>
        </w:rPr>
        <w:t>desde</w:t>
      </w:r>
      <w:r>
        <w:rPr>
          <w:color w:val="231F20"/>
          <w:spacing w:val="-10"/>
          <w:w w:val="105"/>
        </w:rPr>
        <w:t> </w:t>
      </w:r>
      <w:r>
        <w:rPr>
          <w:color w:val="231F20"/>
          <w:w w:val="105"/>
        </w:rPr>
        <w:t>su</w:t>
      </w:r>
      <w:r>
        <w:rPr>
          <w:color w:val="231F20"/>
          <w:spacing w:val="-10"/>
          <w:w w:val="105"/>
        </w:rPr>
        <w:t> </w:t>
      </w:r>
      <w:r>
        <w:rPr>
          <w:color w:val="231F20"/>
          <w:w w:val="105"/>
        </w:rPr>
        <w:t>creación</w:t>
      </w:r>
      <w:r>
        <w:rPr>
          <w:color w:val="231F20"/>
          <w:spacing w:val="-10"/>
          <w:w w:val="105"/>
        </w:rPr>
        <w:t> </w:t>
      </w:r>
      <w:r>
        <w:rPr>
          <w:color w:val="231F20"/>
          <w:w w:val="105"/>
        </w:rPr>
        <w:t>hasta</w:t>
      </w:r>
      <w:r>
        <w:rPr>
          <w:color w:val="231F20"/>
          <w:spacing w:val="-10"/>
          <w:w w:val="105"/>
        </w:rPr>
        <w:t> </w:t>
      </w:r>
      <w:r>
        <w:rPr>
          <w:color w:val="231F20"/>
          <w:w w:val="105"/>
        </w:rPr>
        <w:t>la</w:t>
      </w:r>
      <w:r>
        <w:rPr>
          <w:color w:val="231F20"/>
          <w:spacing w:val="-10"/>
          <w:w w:val="105"/>
        </w:rPr>
        <w:t> </w:t>
      </w:r>
      <w:r>
        <w:rPr>
          <w:color w:val="231F20"/>
          <w:w w:val="105"/>
        </w:rPr>
        <w:t>difusión</w:t>
      </w:r>
      <w:r>
        <w:rPr>
          <w:color w:val="231F20"/>
          <w:spacing w:val="-10"/>
          <w:w w:val="105"/>
        </w:rPr>
        <w:t> </w:t>
      </w:r>
      <w:r>
        <w:rPr>
          <w:color w:val="231F20"/>
          <w:w w:val="105"/>
        </w:rPr>
        <w:t>y adaptación; y por otros factores externos al ámbito empresarial</w:t>
      </w:r>
      <w:r>
        <w:rPr>
          <w:color w:val="231F20"/>
          <w:spacing w:val="-39"/>
          <w:w w:val="105"/>
        </w:rPr>
        <w:t> </w:t>
      </w:r>
      <w:r>
        <w:rPr>
          <w:color w:val="231F20"/>
          <w:w w:val="105"/>
        </w:rPr>
        <w:t>relacio- nados</w:t>
      </w:r>
      <w:r>
        <w:rPr>
          <w:color w:val="231F20"/>
          <w:spacing w:val="-25"/>
          <w:w w:val="105"/>
        </w:rPr>
        <w:t> </w:t>
      </w:r>
      <w:r>
        <w:rPr>
          <w:color w:val="231F20"/>
          <w:w w:val="105"/>
        </w:rPr>
        <w:t>con</w:t>
      </w:r>
      <w:r>
        <w:rPr>
          <w:color w:val="231F20"/>
          <w:spacing w:val="-25"/>
          <w:w w:val="105"/>
        </w:rPr>
        <w:t> </w:t>
      </w:r>
      <w:r>
        <w:rPr>
          <w:color w:val="231F20"/>
          <w:w w:val="105"/>
        </w:rPr>
        <w:t>el</w:t>
      </w:r>
      <w:r>
        <w:rPr>
          <w:color w:val="231F20"/>
          <w:spacing w:val="-25"/>
          <w:w w:val="105"/>
        </w:rPr>
        <w:t> </w:t>
      </w:r>
      <w:r>
        <w:rPr>
          <w:color w:val="231F20"/>
          <w:w w:val="105"/>
        </w:rPr>
        <w:t>marco</w:t>
      </w:r>
      <w:r>
        <w:rPr>
          <w:color w:val="231F20"/>
          <w:spacing w:val="-25"/>
          <w:w w:val="105"/>
        </w:rPr>
        <w:t> </w:t>
      </w:r>
      <w:r>
        <w:rPr>
          <w:color w:val="231F20"/>
          <w:w w:val="105"/>
        </w:rPr>
        <w:t>económico</w:t>
      </w:r>
      <w:r>
        <w:rPr>
          <w:color w:val="231F20"/>
          <w:spacing w:val="-25"/>
          <w:w w:val="105"/>
        </w:rPr>
        <w:t> </w:t>
      </w:r>
      <w:r>
        <w:rPr>
          <w:color w:val="231F20"/>
          <w:w w:val="105"/>
        </w:rPr>
        <w:t>en</w:t>
      </w:r>
      <w:r>
        <w:rPr>
          <w:color w:val="231F20"/>
          <w:spacing w:val="-25"/>
          <w:w w:val="105"/>
        </w:rPr>
        <w:t> </w:t>
      </w:r>
      <w:r>
        <w:rPr>
          <w:color w:val="231F20"/>
          <w:w w:val="105"/>
        </w:rPr>
        <w:t>que</w:t>
      </w:r>
      <w:r>
        <w:rPr>
          <w:color w:val="231F20"/>
          <w:spacing w:val="-25"/>
          <w:w w:val="105"/>
        </w:rPr>
        <w:t> </w:t>
      </w:r>
      <w:r>
        <w:rPr>
          <w:color w:val="231F20"/>
          <w:w w:val="105"/>
        </w:rPr>
        <w:t>se</w:t>
      </w:r>
      <w:r>
        <w:rPr>
          <w:color w:val="231F20"/>
          <w:spacing w:val="-25"/>
          <w:w w:val="105"/>
        </w:rPr>
        <w:t> </w:t>
      </w:r>
      <w:r>
        <w:rPr>
          <w:color w:val="231F20"/>
          <w:w w:val="105"/>
        </w:rPr>
        <w:t>inserta</w:t>
      </w:r>
      <w:r>
        <w:rPr>
          <w:color w:val="231F20"/>
          <w:spacing w:val="-25"/>
          <w:w w:val="105"/>
        </w:rPr>
        <w:t> </w:t>
      </w:r>
      <w:r>
        <w:rPr>
          <w:color w:val="231F20"/>
          <w:w w:val="105"/>
        </w:rPr>
        <w:t>ese</w:t>
      </w:r>
      <w:r>
        <w:rPr>
          <w:color w:val="231F20"/>
          <w:spacing w:val="-25"/>
          <w:w w:val="105"/>
        </w:rPr>
        <w:t> </w:t>
      </w:r>
      <w:r>
        <w:rPr>
          <w:color w:val="231F20"/>
          <w:w w:val="105"/>
        </w:rPr>
        <w:t>sector,</w:t>
      </w:r>
      <w:r>
        <w:rPr>
          <w:color w:val="231F20"/>
          <w:spacing w:val="-30"/>
          <w:w w:val="105"/>
        </w:rPr>
        <w:t> </w:t>
      </w:r>
      <w:r>
        <w:rPr>
          <w:color w:val="231F20"/>
          <w:w w:val="105"/>
        </w:rPr>
        <w:t>por</w:t>
      </w:r>
      <w:r>
        <w:rPr>
          <w:color w:val="231F20"/>
          <w:spacing w:val="-25"/>
          <w:w w:val="105"/>
        </w:rPr>
        <w:t> </w:t>
      </w:r>
      <w:r>
        <w:rPr>
          <w:color w:val="231F20"/>
          <w:w w:val="105"/>
        </w:rPr>
        <w:t>ejemplo, las</w:t>
      </w:r>
      <w:r>
        <w:rPr>
          <w:color w:val="231F20"/>
          <w:spacing w:val="-22"/>
          <w:w w:val="105"/>
        </w:rPr>
        <w:t> </w:t>
      </w:r>
      <w:r>
        <w:rPr>
          <w:color w:val="231F20"/>
          <w:w w:val="105"/>
        </w:rPr>
        <w:t>infraestructuras</w:t>
      </w:r>
      <w:r>
        <w:rPr>
          <w:color w:val="231F20"/>
          <w:spacing w:val="-22"/>
          <w:w w:val="105"/>
        </w:rPr>
        <w:t> </w:t>
      </w:r>
      <w:r>
        <w:rPr>
          <w:color w:val="231F20"/>
          <w:w w:val="105"/>
        </w:rPr>
        <w:t>físicas</w:t>
      </w:r>
      <w:r>
        <w:rPr>
          <w:color w:val="231F20"/>
          <w:spacing w:val="-22"/>
          <w:w w:val="105"/>
        </w:rPr>
        <w:t> </w:t>
      </w:r>
      <w:r>
        <w:rPr>
          <w:color w:val="231F20"/>
          <w:w w:val="105"/>
        </w:rPr>
        <w:t>y</w:t>
      </w:r>
      <w:r>
        <w:rPr>
          <w:color w:val="231F20"/>
          <w:spacing w:val="-22"/>
          <w:w w:val="105"/>
        </w:rPr>
        <w:t> </w:t>
      </w:r>
      <w:r>
        <w:rPr>
          <w:color w:val="231F20"/>
          <w:w w:val="105"/>
        </w:rPr>
        <w:t>tecnológicas</w:t>
      </w:r>
      <w:r>
        <w:rPr>
          <w:color w:val="231F20"/>
          <w:spacing w:val="-22"/>
          <w:w w:val="105"/>
        </w:rPr>
        <w:t> </w:t>
      </w:r>
      <w:r>
        <w:rPr>
          <w:color w:val="231F20"/>
          <w:w w:val="105"/>
        </w:rPr>
        <w:t>existentes,</w:t>
      </w:r>
      <w:r>
        <w:rPr>
          <w:color w:val="231F20"/>
          <w:spacing w:val="-26"/>
          <w:w w:val="105"/>
        </w:rPr>
        <w:t> </w:t>
      </w:r>
      <w:r>
        <w:rPr>
          <w:color w:val="231F20"/>
          <w:w w:val="105"/>
        </w:rPr>
        <w:t>las</w:t>
      </w:r>
      <w:r>
        <w:rPr>
          <w:color w:val="231F20"/>
          <w:spacing w:val="-22"/>
          <w:w w:val="105"/>
        </w:rPr>
        <w:t> </w:t>
      </w:r>
      <w:r>
        <w:rPr>
          <w:color w:val="231F20"/>
          <w:w w:val="105"/>
        </w:rPr>
        <w:t>relaciones</w:t>
      </w:r>
      <w:r>
        <w:rPr>
          <w:color w:val="231F20"/>
          <w:spacing w:val="-22"/>
          <w:w w:val="105"/>
        </w:rPr>
        <w:t> </w:t>
      </w:r>
      <w:r>
        <w:rPr>
          <w:color w:val="231F20"/>
          <w:w w:val="105"/>
        </w:rPr>
        <w:t>entre sectores productivos, agentes institucionales, nivel de formación de la mano</w:t>
      </w:r>
      <w:r>
        <w:rPr>
          <w:color w:val="231F20"/>
          <w:spacing w:val="-18"/>
          <w:w w:val="105"/>
        </w:rPr>
        <w:t> </w:t>
      </w:r>
      <w:r>
        <w:rPr>
          <w:color w:val="231F20"/>
          <w:w w:val="105"/>
        </w:rPr>
        <w:t>de</w:t>
      </w:r>
      <w:r>
        <w:rPr>
          <w:color w:val="231F20"/>
          <w:spacing w:val="-18"/>
          <w:w w:val="105"/>
        </w:rPr>
        <w:t> </w:t>
      </w:r>
      <w:r>
        <w:rPr>
          <w:color w:val="231F20"/>
          <w:w w:val="105"/>
        </w:rPr>
        <w:t>obra,</w:t>
      </w:r>
      <w:r>
        <w:rPr>
          <w:color w:val="231F20"/>
          <w:spacing w:val="-24"/>
          <w:w w:val="105"/>
        </w:rPr>
        <w:t> </w:t>
      </w:r>
      <w:r>
        <w:rPr>
          <w:color w:val="231F20"/>
          <w:w w:val="105"/>
        </w:rPr>
        <w:t>entre</w:t>
      </w:r>
      <w:r>
        <w:rPr>
          <w:color w:val="231F20"/>
          <w:spacing w:val="-18"/>
          <w:w w:val="105"/>
        </w:rPr>
        <w:t> </w:t>
      </w:r>
      <w:r>
        <w:rPr>
          <w:color w:val="231F20"/>
          <w:w w:val="105"/>
        </w:rPr>
        <w:t>otros</w:t>
      </w:r>
      <w:r>
        <w:rPr>
          <w:color w:val="231F20"/>
          <w:spacing w:val="-18"/>
          <w:w w:val="105"/>
        </w:rPr>
        <w:t> </w:t>
      </w:r>
      <w:r>
        <w:rPr>
          <w:color w:val="231F20"/>
          <w:spacing w:val="-3"/>
          <w:w w:val="105"/>
        </w:rPr>
        <w:t>(Taboada,</w:t>
      </w:r>
      <w:r>
        <w:rPr>
          <w:color w:val="231F20"/>
          <w:spacing w:val="-24"/>
          <w:w w:val="105"/>
        </w:rPr>
        <w:t> </w:t>
      </w:r>
      <w:r>
        <w:rPr>
          <w:color w:val="231F20"/>
          <w:w w:val="105"/>
        </w:rPr>
        <w:t>2002:11).</w:t>
      </w:r>
    </w:p>
    <w:p>
      <w:pPr>
        <w:pStyle w:val="BodyText"/>
        <w:spacing w:line="259" w:lineRule="auto"/>
        <w:ind w:left="117" w:right="116" w:firstLine="567"/>
        <w:jc w:val="right"/>
      </w:pPr>
      <w:r>
        <w:rPr>
          <w:color w:val="231F20"/>
          <w:w w:val="105"/>
        </w:rPr>
        <w:t>La</w:t>
      </w:r>
      <w:r>
        <w:rPr>
          <w:color w:val="231F20"/>
          <w:spacing w:val="-26"/>
          <w:w w:val="105"/>
        </w:rPr>
        <w:t> </w:t>
      </w:r>
      <w:r>
        <w:rPr>
          <w:color w:val="231F20"/>
          <w:w w:val="105"/>
        </w:rPr>
        <w:t>competitividad</w:t>
      </w:r>
      <w:r>
        <w:rPr>
          <w:color w:val="231F20"/>
          <w:spacing w:val="-26"/>
          <w:w w:val="105"/>
        </w:rPr>
        <w:t> </w:t>
      </w:r>
      <w:r>
        <w:rPr>
          <w:color w:val="231F20"/>
          <w:w w:val="105"/>
        </w:rPr>
        <w:t>sectorial</w:t>
      </w:r>
      <w:r>
        <w:rPr>
          <w:color w:val="231F20"/>
          <w:spacing w:val="-26"/>
          <w:w w:val="105"/>
        </w:rPr>
        <w:t> </w:t>
      </w:r>
      <w:r>
        <w:rPr>
          <w:color w:val="231F20"/>
          <w:w w:val="105"/>
        </w:rPr>
        <w:t>se</w:t>
      </w:r>
      <w:r>
        <w:rPr>
          <w:color w:val="231F20"/>
          <w:spacing w:val="-26"/>
          <w:w w:val="105"/>
        </w:rPr>
        <w:t> </w:t>
      </w:r>
      <w:r>
        <w:rPr>
          <w:color w:val="231F20"/>
          <w:w w:val="105"/>
        </w:rPr>
        <w:t>refiere</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capacidad</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sectores</w:t>
      </w:r>
      <w:r>
        <w:rPr>
          <w:color w:val="231F20"/>
          <w:w w:val="96"/>
        </w:rPr>
        <w:t> </w:t>
      </w:r>
      <w:r>
        <w:rPr>
          <w:color w:val="231F20"/>
          <w:w w:val="105"/>
        </w:rPr>
        <w:t>económicos</w:t>
      </w:r>
      <w:r>
        <w:rPr>
          <w:color w:val="231F20"/>
          <w:spacing w:val="-7"/>
          <w:w w:val="105"/>
        </w:rPr>
        <w:t> </w:t>
      </w:r>
      <w:r>
        <w:rPr>
          <w:color w:val="231F20"/>
          <w:w w:val="105"/>
        </w:rPr>
        <w:t>en</w:t>
      </w:r>
      <w:r>
        <w:rPr>
          <w:color w:val="231F20"/>
          <w:spacing w:val="-7"/>
          <w:w w:val="105"/>
        </w:rPr>
        <w:t> </w:t>
      </w:r>
      <w:r>
        <w:rPr>
          <w:color w:val="231F20"/>
          <w:w w:val="105"/>
        </w:rPr>
        <w:t>generar</w:t>
      </w:r>
      <w:r>
        <w:rPr>
          <w:color w:val="231F20"/>
          <w:spacing w:val="-7"/>
          <w:w w:val="105"/>
        </w:rPr>
        <w:t> </w:t>
      </w:r>
      <w:r>
        <w:rPr>
          <w:color w:val="231F20"/>
          <w:w w:val="105"/>
        </w:rPr>
        <w:t>bases</w:t>
      </w:r>
      <w:r>
        <w:rPr>
          <w:color w:val="231F20"/>
          <w:spacing w:val="-7"/>
          <w:w w:val="105"/>
        </w:rPr>
        <w:t> </w:t>
      </w:r>
      <w:r>
        <w:rPr>
          <w:color w:val="231F20"/>
          <w:w w:val="105"/>
        </w:rPr>
        <w:t>de</w:t>
      </w:r>
      <w:r>
        <w:rPr>
          <w:color w:val="231F20"/>
          <w:spacing w:val="-7"/>
          <w:w w:val="105"/>
        </w:rPr>
        <w:t> </w:t>
      </w:r>
      <w:r>
        <w:rPr>
          <w:color w:val="231F20"/>
          <w:w w:val="105"/>
        </w:rPr>
        <w:t>creación</w:t>
      </w:r>
      <w:r>
        <w:rPr>
          <w:color w:val="231F20"/>
          <w:spacing w:val="-7"/>
          <w:w w:val="105"/>
        </w:rPr>
        <w:t> </w:t>
      </w:r>
      <w:r>
        <w:rPr>
          <w:color w:val="231F20"/>
          <w:w w:val="105"/>
        </w:rPr>
        <w:t>y</w:t>
      </w:r>
      <w:r>
        <w:rPr>
          <w:color w:val="231F20"/>
          <w:spacing w:val="-7"/>
          <w:w w:val="105"/>
        </w:rPr>
        <w:t> </w:t>
      </w:r>
      <w:r>
        <w:rPr>
          <w:color w:val="231F20"/>
          <w:w w:val="105"/>
        </w:rPr>
        <w:t>desarrollo</w:t>
      </w:r>
      <w:r>
        <w:rPr>
          <w:color w:val="231F20"/>
          <w:spacing w:val="-7"/>
          <w:w w:val="105"/>
        </w:rPr>
        <w:t> </w:t>
      </w:r>
      <w:r>
        <w:rPr>
          <w:color w:val="231F20"/>
          <w:w w:val="105"/>
        </w:rPr>
        <w:t>de</w:t>
      </w:r>
      <w:r>
        <w:rPr>
          <w:color w:val="231F20"/>
          <w:spacing w:val="-7"/>
          <w:w w:val="105"/>
        </w:rPr>
        <w:t> </w:t>
      </w:r>
      <w:r>
        <w:rPr>
          <w:color w:val="231F20"/>
          <w:w w:val="105"/>
        </w:rPr>
        <w:t>ventajas</w:t>
      </w:r>
      <w:r>
        <w:rPr>
          <w:color w:val="231F20"/>
          <w:spacing w:val="-7"/>
          <w:w w:val="105"/>
        </w:rPr>
        <w:t> </w:t>
      </w:r>
      <w:r>
        <w:rPr>
          <w:color w:val="231F20"/>
          <w:w w:val="105"/>
        </w:rPr>
        <w:t>que</w:t>
      </w:r>
      <w:r>
        <w:rPr>
          <w:color w:val="231F20"/>
          <w:w w:val="107"/>
        </w:rPr>
        <w:t> </w:t>
      </w:r>
      <w:r>
        <w:rPr>
          <w:color w:val="231F20"/>
          <w:w w:val="105"/>
        </w:rPr>
        <w:t>sustenten</w:t>
      </w:r>
      <w:r>
        <w:rPr>
          <w:color w:val="231F20"/>
          <w:spacing w:val="-34"/>
          <w:w w:val="105"/>
        </w:rPr>
        <w:t> </w:t>
      </w:r>
      <w:r>
        <w:rPr>
          <w:color w:val="231F20"/>
          <w:w w:val="105"/>
        </w:rPr>
        <w:t>una</w:t>
      </w:r>
      <w:r>
        <w:rPr>
          <w:color w:val="231F20"/>
          <w:spacing w:val="-34"/>
          <w:w w:val="105"/>
        </w:rPr>
        <w:t> </w:t>
      </w:r>
      <w:r>
        <w:rPr>
          <w:color w:val="231F20"/>
          <w:w w:val="105"/>
        </w:rPr>
        <w:t>posición</w:t>
      </w:r>
      <w:r>
        <w:rPr>
          <w:color w:val="231F20"/>
          <w:spacing w:val="-34"/>
          <w:w w:val="105"/>
        </w:rPr>
        <w:t> </w:t>
      </w:r>
      <w:r>
        <w:rPr>
          <w:color w:val="231F20"/>
          <w:w w:val="105"/>
        </w:rPr>
        <w:t>competitiva</w:t>
      </w:r>
      <w:r>
        <w:rPr>
          <w:color w:val="231F20"/>
          <w:spacing w:val="-34"/>
          <w:w w:val="105"/>
        </w:rPr>
        <w:t> </w:t>
      </w:r>
      <w:r>
        <w:rPr>
          <w:color w:val="231F20"/>
          <w:w w:val="105"/>
        </w:rPr>
        <w:t>internacional</w:t>
      </w:r>
      <w:r>
        <w:rPr>
          <w:color w:val="231F20"/>
          <w:spacing w:val="-34"/>
          <w:w w:val="105"/>
        </w:rPr>
        <w:t> </w:t>
      </w:r>
      <w:r>
        <w:rPr>
          <w:color w:val="231F20"/>
          <w:w w:val="105"/>
        </w:rPr>
        <w:t>(Marcovitch,</w:t>
      </w:r>
      <w:r>
        <w:rPr>
          <w:color w:val="231F20"/>
          <w:spacing w:val="-38"/>
          <w:w w:val="105"/>
        </w:rPr>
        <w:t> </w:t>
      </w:r>
      <w:r>
        <w:rPr>
          <w:color w:val="231F20"/>
          <w:w w:val="105"/>
        </w:rPr>
        <w:t>1992:330).</w:t>
      </w:r>
      <w:r>
        <w:rPr>
          <w:color w:val="231F20"/>
          <w:w w:val="102"/>
        </w:rPr>
        <w:t> </w:t>
      </w:r>
      <w:r>
        <w:rPr>
          <w:color w:val="231F20"/>
          <w:spacing w:val="-4"/>
          <w:w w:val="105"/>
        </w:rPr>
        <w:t>Para</w:t>
      </w:r>
      <w:r>
        <w:rPr>
          <w:color w:val="231F20"/>
          <w:spacing w:val="-9"/>
          <w:w w:val="105"/>
        </w:rPr>
        <w:t> </w:t>
      </w:r>
      <w:r>
        <w:rPr>
          <w:color w:val="231F20"/>
          <w:w w:val="105"/>
        </w:rPr>
        <w:t>la</w:t>
      </w:r>
      <w:r>
        <w:rPr>
          <w:color w:val="231F20"/>
          <w:spacing w:val="-9"/>
          <w:w w:val="105"/>
        </w:rPr>
        <w:t> </w:t>
      </w:r>
      <w:r>
        <w:rPr>
          <w:color w:val="231F20"/>
          <w:w w:val="105"/>
        </w:rPr>
        <w:t>evaluación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competitividad</w:t>
      </w:r>
      <w:r>
        <w:rPr>
          <w:color w:val="231F20"/>
          <w:spacing w:val="-9"/>
          <w:w w:val="105"/>
        </w:rPr>
        <w:t> </w:t>
      </w:r>
      <w:r>
        <w:rPr>
          <w:color w:val="231F20"/>
          <w:w w:val="105"/>
        </w:rPr>
        <w:t>sectorial</w:t>
      </w:r>
      <w:r>
        <w:rPr>
          <w:color w:val="231F20"/>
          <w:spacing w:val="-9"/>
          <w:w w:val="105"/>
        </w:rPr>
        <w:t> </w:t>
      </w:r>
      <w:r>
        <w:rPr>
          <w:color w:val="231F20"/>
          <w:w w:val="105"/>
        </w:rPr>
        <w:t>Buckley,</w:t>
      </w:r>
      <w:r>
        <w:rPr>
          <w:color w:val="231F20"/>
          <w:spacing w:val="-14"/>
          <w:w w:val="105"/>
        </w:rPr>
        <w:t> </w:t>
      </w:r>
      <w:r>
        <w:rPr>
          <w:color w:val="231F20"/>
          <w:w w:val="105"/>
        </w:rPr>
        <w:t>Christo-</w:t>
      </w:r>
    </w:p>
    <w:p>
      <w:pPr>
        <w:pStyle w:val="BodyText"/>
        <w:spacing w:line="241" w:lineRule="exact"/>
        <w:ind w:left="117"/>
        <w:jc w:val="both"/>
      </w:pPr>
      <w:r>
        <w:rPr>
          <w:color w:val="231F20"/>
          <w:w w:val="105"/>
        </w:rPr>
        <w:t>pher y Prescott (1988) identifican tres formas de medición:</w:t>
      </w:r>
    </w:p>
    <w:p>
      <w:pPr>
        <w:pStyle w:val="BodyText"/>
        <w:spacing w:before="2"/>
        <w:rPr>
          <w:sz w:val="24"/>
        </w:rPr>
      </w:pPr>
    </w:p>
    <w:p>
      <w:pPr>
        <w:pStyle w:val="ListParagraph"/>
        <w:numPr>
          <w:ilvl w:val="0"/>
          <w:numId w:val="59"/>
        </w:numPr>
        <w:tabs>
          <w:tab w:pos="1328" w:val="left" w:leader="none"/>
        </w:tabs>
        <w:spacing w:line="259" w:lineRule="auto" w:before="0" w:after="0"/>
        <w:ind w:left="1327" w:right="115" w:hanging="360"/>
        <w:jc w:val="both"/>
        <w:rPr>
          <w:sz w:val="21"/>
        </w:rPr>
      </w:pPr>
      <w:r>
        <w:rPr>
          <w:color w:val="231F20"/>
          <w:w w:val="105"/>
          <w:sz w:val="21"/>
        </w:rPr>
        <w:t>Medidas de desempeño. Su finalidad es analizar qué tan bien</w:t>
      </w:r>
      <w:r>
        <w:rPr>
          <w:color w:val="231F20"/>
          <w:spacing w:val="-11"/>
          <w:w w:val="105"/>
          <w:sz w:val="21"/>
        </w:rPr>
        <w:t> </w:t>
      </w:r>
      <w:r>
        <w:rPr>
          <w:color w:val="231F20"/>
          <w:w w:val="105"/>
          <w:sz w:val="21"/>
        </w:rPr>
        <w:t>se</w:t>
      </w:r>
      <w:r>
        <w:rPr>
          <w:color w:val="231F20"/>
          <w:spacing w:val="-11"/>
          <w:w w:val="105"/>
          <w:sz w:val="21"/>
        </w:rPr>
        <w:t> </w:t>
      </w:r>
      <w:r>
        <w:rPr>
          <w:color w:val="231F20"/>
          <w:w w:val="105"/>
          <w:sz w:val="21"/>
        </w:rPr>
        <w:t>comporta</w:t>
      </w:r>
      <w:r>
        <w:rPr>
          <w:color w:val="231F20"/>
          <w:spacing w:val="-11"/>
          <w:w w:val="105"/>
          <w:sz w:val="21"/>
        </w:rPr>
        <w:t> </w:t>
      </w:r>
      <w:r>
        <w:rPr>
          <w:color w:val="231F20"/>
          <w:w w:val="105"/>
          <w:sz w:val="21"/>
        </w:rPr>
        <w:t>el</w:t>
      </w:r>
      <w:r>
        <w:rPr>
          <w:color w:val="231F20"/>
          <w:spacing w:val="-11"/>
          <w:w w:val="105"/>
          <w:sz w:val="21"/>
        </w:rPr>
        <w:t> </w:t>
      </w:r>
      <w:r>
        <w:rPr>
          <w:color w:val="231F20"/>
          <w:w w:val="105"/>
          <w:sz w:val="21"/>
        </w:rPr>
        <w:t>sector</w:t>
      </w:r>
      <w:r>
        <w:rPr>
          <w:color w:val="231F20"/>
          <w:spacing w:val="-11"/>
          <w:w w:val="105"/>
          <w:sz w:val="21"/>
        </w:rPr>
        <w:t> </w:t>
      </w:r>
      <w:r>
        <w:rPr>
          <w:color w:val="231F20"/>
          <w:w w:val="105"/>
          <w:sz w:val="21"/>
        </w:rPr>
        <w:t>en</w:t>
      </w:r>
      <w:r>
        <w:rPr>
          <w:color w:val="231F20"/>
          <w:spacing w:val="-11"/>
          <w:w w:val="105"/>
          <w:sz w:val="21"/>
        </w:rPr>
        <w:t> </w:t>
      </w:r>
      <w:r>
        <w:rPr>
          <w:color w:val="231F20"/>
          <w:w w:val="105"/>
          <w:sz w:val="21"/>
        </w:rPr>
        <w:t>comparación</w:t>
      </w:r>
      <w:r>
        <w:rPr>
          <w:color w:val="231F20"/>
          <w:spacing w:val="-11"/>
          <w:w w:val="105"/>
          <w:sz w:val="21"/>
        </w:rPr>
        <w:t> </w:t>
      </w:r>
      <w:r>
        <w:rPr>
          <w:color w:val="231F20"/>
          <w:w w:val="105"/>
          <w:sz w:val="21"/>
        </w:rPr>
        <w:t>con</w:t>
      </w:r>
      <w:r>
        <w:rPr>
          <w:color w:val="231F20"/>
          <w:spacing w:val="-11"/>
          <w:w w:val="105"/>
          <w:sz w:val="21"/>
        </w:rPr>
        <w:t> </w:t>
      </w:r>
      <w:r>
        <w:rPr>
          <w:color w:val="231F20"/>
          <w:w w:val="105"/>
          <w:sz w:val="21"/>
        </w:rPr>
        <w:t>sus</w:t>
      </w:r>
      <w:r>
        <w:rPr>
          <w:color w:val="231F20"/>
          <w:spacing w:val="-11"/>
          <w:w w:val="105"/>
          <w:sz w:val="21"/>
        </w:rPr>
        <w:t> </w:t>
      </w:r>
      <w:r>
        <w:rPr>
          <w:color w:val="231F20"/>
          <w:w w:val="105"/>
          <w:sz w:val="21"/>
        </w:rPr>
        <w:t>rivales. Las medidas típicas son la rentabilidad, el crecimiento, la participación</w:t>
      </w:r>
      <w:r>
        <w:rPr>
          <w:color w:val="231F20"/>
          <w:spacing w:val="-24"/>
          <w:w w:val="105"/>
          <w:sz w:val="21"/>
        </w:rPr>
        <w:t> </w:t>
      </w:r>
      <w:r>
        <w:rPr>
          <w:color w:val="231F20"/>
          <w:w w:val="105"/>
          <w:sz w:val="21"/>
        </w:rPr>
        <w:t>del</w:t>
      </w:r>
      <w:r>
        <w:rPr>
          <w:color w:val="231F20"/>
          <w:spacing w:val="-24"/>
          <w:w w:val="105"/>
          <w:sz w:val="21"/>
        </w:rPr>
        <w:t> </w:t>
      </w:r>
      <w:r>
        <w:rPr>
          <w:color w:val="231F20"/>
          <w:w w:val="105"/>
          <w:sz w:val="21"/>
        </w:rPr>
        <w:t>mercado</w:t>
      </w:r>
      <w:r>
        <w:rPr>
          <w:color w:val="231F20"/>
          <w:spacing w:val="-24"/>
          <w:w w:val="105"/>
          <w:sz w:val="21"/>
        </w:rPr>
        <w:t> </w:t>
      </w:r>
      <w:r>
        <w:rPr>
          <w:color w:val="231F20"/>
          <w:w w:val="105"/>
          <w:sz w:val="21"/>
        </w:rPr>
        <w:t>y</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balanza</w:t>
      </w:r>
      <w:r>
        <w:rPr>
          <w:color w:val="231F20"/>
          <w:spacing w:val="-24"/>
          <w:w w:val="105"/>
          <w:sz w:val="21"/>
        </w:rPr>
        <w:t> </w:t>
      </w:r>
      <w:r>
        <w:rPr>
          <w:color w:val="231F20"/>
          <w:w w:val="105"/>
          <w:sz w:val="21"/>
        </w:rPr>
        <w:t>comercial.</w:t>
      </w:r>
      <w:r>
        <w:rPr>
          <w:color w:val="231F20"/>
          <w:spacing w:val="-29"/>
          <w:w w:val="105"/>
          <w:sz w:val="21"/>
        </w:rPr>
        <w:t> </w:t>
      </w:r>
      <w:r>
        <w:rPr>
          <w:color w:val="231F20"/>
          <w:w w:val="105"/>
          <w:sz w:val="21"/>
        </w:rPr>
        <w:t>Una</w:t>
      </w:r>
      <w:r>
        <w:rPr>
          <w:color w:val="231F20"/>
          <w:spacing w:val="-24"/>
          <w:w w:val="105"/>
          <w:sz w:val="21"/>
        </w:rPr>
        <w:t> </w:t>
      </w:r>
      <w:r>
        <w:rPr>
          <w:color w:val="231F20"/>
          <w:w w:val="105"/>
          <w:sz w:val="21"/>
        </w:rPr>
        <w:t>medi- da de desempeño específica utilizada por los economistas es</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ventaja</w:t>
      </w:r>
      <w:r>
        <w:rPr>
          <w:color w:val="231F20"/>
          <w:spacing w:val="-14"/>
          <w:w w:val="105"/>
          <w:sz w:val="21"/>
        </w:rPr>
        <w:t> </w:t>
      </w:r>
      <w:r>
        <w:rPr>
          <w:color w:val="231F20"/>
          <w:w w:val="105"/>
          <w:sz w:val="21"/>
        </w:rPr>
        <w:t>comparativa</w:t>
      </w:r>
      <w:r>
        <w:rPr>
          <w:color w:val="231F20"/>
          <w:spacing w:val="-14"/>
          <w:w w:val="105"/>
          <w:sz w:val="21"/>
        </w:rPr>
        <w:t> </w:t>
      </w:r>
      <w:r>
        <w:rPr>
          <w:color w:val="231F20"/>
          <w:w w:val="105"/>
          <w:sz w:val="21"/>
        </w:rPr>
        <w:t>revelada,</w:t>
      </w:r>
      <w:r>
        <w:rPr>
          <w:color w:val="231F20"/>
          <w:spacing w:val="-19"/>
          <w:w w:val="105"/>
          <w:sz w:val="21"/>
        </w:rPr>
        <w:t> </w:t>
      </w:r>
      <w:r>
        <w:rPr>
          <w:color w:val="231F20"/>
          <w:w w:val="105"/>
          <w:sz w:val="21"/>
        </w:rPr>
        <w:t>la</w:t>
      </w:r>
      <w:r>
        <w:rPr>
          <w:color w:val="231F20"/>
          <w:spacing w:val="-14"/>
          <w:w w:val="105"/>
          <w:sz w:val="21"/>
        </w:rPr>
        <w:t> </w:t>
      </w:r>
      <w:r>
        <w:rPr>
          <w:color w:val="231F20"/>
          <w:w w:val="105"/>
          <w:sz w:val="21"/>
        </w:rPr>
        <w:t>cual</w:t>
      </w:r>
      <w:r>
        <w:rPr>
          <w:color w:val="231F20"/>
          <w:spacing w:val="-14"/>
          <w:w w:val="105"/>
          <w:sz w:val="21"/>
        </w:rPr>
        <w:t> </w:t>
      </w:r>
      <w:r>
        <w:rPr>
          <w:color w:val="231F20"/>
          <w:w w:val="105"/>
          <w:sz w:val="21"/>
        </w:rPr>
        <w:t>se</w:t>
      </w:r>
      <w:r>
        <w:rPr>
          <w:color w:val="231F20"/>
          <w:spacing w:val="-14"/>
          <w:w w:val="105"/>
          <w:sz w:val="21"/>
        </w:rPr>
        <w:t> </w:t>
      </w:r>
      <w:r>
        <w:rPr>
          <w:color w:val="231F20"/>
          <w:w w:val="105"/>
          <w:sz w:val="21"/>
        </w:rPr>
        <w:t>expresa</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la participación</w:t>
      </w:r>
      <w:r>
        <w:rPr>
          <w:color w:val="231F20"/>
          <w:spacing w:val="-17"/>
          <w:w w:val="105"/>
          <w:sz w:val="21"/>
        </w:rPr>
        <w:t> </w:t>
      </w:r>
      <w:r>
        <w:rPr>
          <w:color w:val="231F20"/>
          <w:w w:val="105"/>
          <w:sz w:val="21"/>
        </w:rPr>
        <w:t>relativa</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mercados</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exportación,</w:t>
      </w:r>
      <w:r>
        <w:rPr>
          <w:color w:val="231F20"/>
          <w:spacing w:val="-23"/>
          <w:w w:val="105"/>
          <w:sz w:val="21"/>
        </w:rPr>
        <w:t> </w:t>
      </w:r>
      <w:r>
        <w:rPr>
          <w:color w:val="231F20"/>
          <w:w w:val="105"/>
          <w:sz w:val="21"/>
        </w:rPr>
        <w:t>donde</w:t>
      </w:r>
      <w:r>
        <w:rPr>
          <w:color w:val="231F20"/>
          <w:spacing w:val="-17"/>
          <w:w w:val="105"/>
          <w:sz w:val="21"/>
        </w:rPr>
        <w:t> </w:t>
      </w:r>
      <w:r>
        <w:rPr>
          <w:color w:val="231F20"/>
          <w:w w:val="105"/>
          <w:sz w:val="21"/>
        </w:rPr>
        <w:t>la ventaja comparativa revelada de un país para un conjunto específico de bienes se calcula dividiendo la participación del</w:t>
      </w:r>
      <w:r>
        <w:rPr>
          <w:color w:val="231F20"/>
          <w:spacing w:val="-11"/>
          <w:w w:val="105"/>
          <w:sz w:val="21"/>
        </w:rPr>
        <w:t> </w:t>
      </w:r>
      <w:r>
        <w:rPr>
          <w:color w:val="231F20"/>
          <w:w w:val="105"/>
          <w:sz w:val="21"/>
        </w:rPr>
        <w:t>mercado</w:t>
      </w:r>
      <w:r>
        <w:rPr>
          <w:color w:val="231F20"/>
          <w:spacing w:val="-11"/>
          <w:w w:val="105"/>
          <w:sz w:val="21"/>
        </w:rPr>
        <w:t> </w:t>
      </w:r>
      <w:r>
        <w:rPr>
          <w:color w:val="231F20"/>
          <w:w w:val="105"/>
          <w:sz w:val="21"/>
        </w:rPr>
        <w:t>internacional</w:t>
      </w:r>
      <w:r>
        <w:rPr>
          <w:color w:val="231F20"/>
          <w:spacing w:val="-11"/>
          <w:w w:val="105"/>
          <w:sz w:val="21"/>
        </w:rPr>
        <w:t> </w:t>
      </w:r>
      <w:r>
        <w:rPr>
          <w:color w:val="231F20"/>
          <w:w w:val="105"/>
          <w:sz w:val="21"/>
        </w:rPr>
        <w:t>para</w:t>
      </w:r>
      <w:r>
        <w:rPr>
          <w:color w:val="231F20"/>
          <w:spacing w:val="-11"/>
          <w:w w:val="105"/>
          <w:sz w:val="21"/>
        </w:rPr>
        <w:t> </w:t>
      </w:r>
      <w:r>
        <w:rPr>
          <w:color w:val="231F20"/>
          <w:w w:val="105"/>
          <w:sz w:val="21"/>
        </w:rPr>
        <w:t>esos</w:t>
      </w:r>
      <w:r>
        <w:rPr>
          <w:color w:val="231F20"/>
          <w:spacing w:val="-11"/>
          <w:w w:val="105"/>
          <w:sz w:val="21"/>
        </w:rPr>
        <w:t> </w:t>
      </w:r>
      <w:r>
        <w:rPr>
          <w:color w:val="231F20"/>
          <w:w w:val="105"/>
          <w:sz w:val="21"/>
        </w:rPr>
        <w:t>bienes</w:t>
      </w:r>
      <w:r>
        <w:rPr>
          <w:color w:val="231F20"/>
          <w:spacing w:val="-11"/>
          <w:w w:val="105"/>
          <w:sz w:val="21"/>
        </w:rPr>
        <w:t> </w:t>
      </w:r>
      <w:r>
        <w:rPr>
          <w:color w:val="231F20"/>
          <w:w w:val="105"/>
          <w:sz w:val="21"/>
        </w:rPr>
        <w:t>entre</w:t>
      </w:r>
      <w:r>
        <w:rPr>
          <w:color w:val="231F20"/>
          <w:spacing w:val="-11"/>
          <w:w w:val="105"/>
          <w:sz w:val="21"/>
        </w:rPr>
        <w:t> </w:t>
      </w:r>
      <w:r>
        <w:rPr>
          <w:color w:val="231F20"/>
          <w:w w:val="105"/>
          <w:sz w:val="21"/>
        </w:rPr>
        <w:t>la</w:t>
      </w:r>
      <w:r>
        <w:rPr>
          <w:color w:val="231F20"/>
          <w:spacing w:val="-11"/>
          <w:w w:val="105"/>
          <w:sz w:val="21"/>
        </w:rPr>
        <w:t> </w:t>
      </w:r>
      <w:r>
        <w:rPr>
          <w:color w:val="231F20"/>
          <w:w w:val="105"/>
          <w:sz w:val="21"/>
        </w:rPr>
        <w:t>partici- pación</w:t>
      </w:r>
      <w:r>
        <w:rPr>
          <w:color w:val="231F20"/>
          <w:spacing w:val="-9"/>
          <w:w w:val="105"/>
          <w:sz w:val="21"/>
        </w:rPr>
        <w:t> </w:t>
      </w:r>
      <w:r>
        <w:rPr>
          <w:color w:val="231F20"/>
          <w:w w:val="105"/>
          <w:sz w:val="21"/>
        </w:rPr>
        <w:t>del</w:t>
      </w:r>
      <w:r>
        <w:rPr>
          <w:color w:val="231F20"/>
          <w:spacing w:val="-9"/>
          <w:w w:val="105"/>
          <w:sz w:val="21"/>
        </w:rPr>
        <w:t> </w:t>
      </w:r>
      <w:r>
        <w:rPr>
          <w:color w:val="231F20"/>
          <w:w w:val="105"/>
          <w:sz w:val="21"/>
        </w:rPr>
        <w:t>mercado</w:t>
      </w:r>
      <w:r>
        <w:rPr>
          <w:color w:val="231F20"/>
          <w:spacing w:val="-9"/>
          <w:w w:val="105"/>
          <w:sz w:val="21"/>
        </w:rPr>
        <w:t> </w:t>
      </w:r>
      <w:r>
        <w:rPr>
          <w:color w:val="231F20"/>
          <w:w w:val="105"/>
          <w:sz w:val="21"/>
        </w:rPr>
        <w:t>internacional</w:t>
      </w:r>
      <w:r>
        <w:rPr>
          <w:color w:val="231F20"/>
          <w:spacing w:val="-9"/>
          <w:w w:val="105"/>
          <w:sz w:val="21"/>
        </w:rPr>
        <w:t> </w:t>
      </w:r>
      <w:r>
        <w:rPr>
          <w:color w:val="231F20"/>
          <w:w w:val="105"/>
          <w:sz w:val="21"/>
        </w:rPr>
        <w:t>de</w:t>
      </w:r>
      <w:r>
        <w:rPr>
          <w:color w:val="231F20"/>
          <w:spacing w:val="-9"/>
          <w:w w:val="105"/>
          <w:sz w:val="21"/>
        </w:rPr>
        <w:t> </w:t>
      </w:r>
      <w:r>
        <w:rPr>
          <w:color w:val="231F20"/>
          <w:w w:val="105"/>
          <w:sz w:val="21"/>
        </w:rPr>
        <w:t>todos</w:t>
      </w:r>
      <w:r>
        <w:rPr>
          <w:color w:val="231F20"/>
          <w:spacing w:val="-9"/>
          <w:w w:val="105"/>
          <w:sz w:val="21"/>
        </w:rPr>
        <w:t> </w:t>
      </w:r>
      <w:r>
        <w:rPr>
          <w:color w:val="231F20"/>
          <w:w w:val="105"/>
          <w:sz w:val="21"/>
        </w:rPr>
        <w:t>los</w:t>
      </w:r>
      <w:r>
        <w:rPr>
          <w:color w:val="231F20"/>
          <w:spacing w:val="-9"/>
          <w:w w:val="105"/>
          <w:sz w:val="21"/>
        </w:rPr>
        <w:t> </w:t>
      </w:r>
      <w:r>
        <w:rPr>
          <w:color w:val="231F20"/>
          <w:w w:val="105"/>
          <w:sz w:val="21"/>
        </w:rPr>
        <w:t>bienes.</w:t>
      </w:r>
    </w:p>
    <w:p>
      <w:pPr>
        <w:pStyle w:val="ListParagraph"/>
        <w:numPr>
          <w:ilvl w:val="0"/>
          <w:numId w:val="59"/>
        </w:numPr>
        <w:tabs>
          <w:tab w:pos="1328" w:val="left" w:leader="none"/>
        </w:tabs>
        <w:spacing w:line="259" w:lineRule="auto" w:before="170" w:after="0"/>
        <w:ind w:left="1327" w:right="121" w:hanging="360"/>
        <w:jc w:val="both"/>
        <w:rPr>
          <w:sz w:val="21"/>
        </w:rPr>
      </w:pPr>
      <w:r>
        <w:rPr>
          <w:color w:val="231F20"/>
          <w:w w:val="105"/>
          <w:sz w:val="21"/>
        </w:rPr>
        <w:t>Medidas del potencial competitivo. Se refieren a la dispo- nibilidad y cantidad de insumos que produzcan un desem- peño superior tales como materias primas más baratas o tecnología</w:t>
      </w:r>
      <w:r>
        <w:rPr>
          <w:color w:val="231F20"/>
          <w:spacing w:val="-12"/>
          <w:w w:val="105"/>
          <w:sz w:val="21"/>
        </w:rPr>
        <w:t> </w:t>
      </w:r>
      <w:r>
        <w:rPr>
          <w:color w:val="231F20"/>
          <w:w w:val="105"/>
          <w:sz w:val="21"/>
        </w:rPr>
        <w:t>más</w:t>
      </w:r>
      <w:r>
        <w:rPr>
          <w:color w:val="231F20"/>
          <w:spacing w:val="-12"/>
          <w:w w:val="105"/>
          <w:sz w:val="21"/>
        </w:rPr>
        <w:t> </w:t>
      </w:r>
      <w:r>
        <w:rPr>
          <w:color w:val="231F20"/>
          <w:w w:val="105"/>
          <w:sz w:val="21"/>
        </w:rPr>
        <w:t>avanzada;</w:t>
      </w:r>
      <w:r>
        <w:rPr>
          <w:color w:val="231F20"/>
          <w:spacing w:val="-12"/>
          <w:w w:val="105"/>
          <w:sz w:val="21"/>
        </w:rPr>
        <w:t> </w:t>
      </w:r>
      <w:r>
        <w:rPr>
          <w:color w:val="231F20"/>
          <w:w w:val="105"/>
          <w:sz w:val="21"/>
        </w:rPr>
        <w:t>conducen</w:t>
      </w:r>
      <w:r>
        <w:rPr>
          <w:color w:val="231F20"/>
          <w:spacing w:val="-12"/>
          <w:w w:val="105"/>
          <w:sz w:val="21"/>
        </w:rPr>
        <w:t> </w:t>
      </w:r>
      <w:r>
        <w:rPr>
          <w:color w:val="231F20"/>
          <w:w w:val="105"/>
          <w:sz w:val="21"/>
        </w:rPr>
        <w:t>a</w:t>
      </w:r>
      <w:r>
        <w:rPr>
          <w:color w:val="231F20"/>
          <w:spacing w:val="-12"/>
          <w:w w:val="105"/>
          <w:sz w:val="21"/>
        </w:rPr>
        <w:t> </w:t>
      </w:r>
      <w:r>
        <w:rPr>
          <w:color w:val="231F20"/>
          <w:w w:val="105"/>
          <w:sz w:val="21"/>
        </w:rPr>
        <w:t>ventajas</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precio</w:t>
      </w:r>
      <w:r>
        <w:rPr>
          <w:color w:val="231F20"/>
          <w:spacing w:val="-12"/>
          <w:w w:val="105"/>
          <w:sz w:val="21"/>
        </w:rPr>
        <w:t> </w:t>
      </w:r>
      <w:r>
        <w:rPr>
          <w:color w:val="231F20"/>
          <w:w w:val="105"/>
          <w:sz w:val="21"/>
        </w:rPr>
        <w:t>y costo,</w:t>
      </w:r>
      <w:r>
        <w:rPr>
          <w:color w:val="231F20"/>
          <w:spacing w:val="-26"/>
          <w:w w:val="105"/>
          <w:sz w:val="21"/>
        </w:rPr>
        <w:t> </w:t>
      </w:r>
      <w:r>
        <w:rPr>
          <w:color w:val="231F20"/>
          <w:w w:val="105"/>
          <w:sz w:val="21"/>
        </w:rPr>
        <w:t>así</w:t>
      </w:r>
      <w:r>
        <w:rPr>
          <w:color w:val="231F20"/>
          <w:spacing w:val="-20"/>
          <w:w w:val="105"/>
          <w:sz w:val="21"/>
        </w:rPr>
        <w:t> </w:t>
      </w:r>
      <w:r>
        <w:rPr>
          <w:color w:val="231F20"/>
          <w:w w:val="105"/>
          <w:sz w:val="21"/>
        </w:rPr>
        <w:t>como</w:t>
      </w:r>
      <w:r>
        <w:rPr>
          <w:color w:val="231F20"/>
          <w:spacing w:val="-20"/>
          <w:w w:val="105"/>
          <w:sz w:val="21"/>
        </w:rPr>
        <w:t> </w:t>
      </w:r>
      <w:r>
        <w:rPr>
          <w:color w:val="231F20"/>
          <w:w w:val="105"/>
          <w:sz w:val="21"/>
        </w:rPr>
        <w:t>a</w:t>
      </w:r>
      <w:r>
        <w:rPr>
          <w:color w:val="231F20"/>
          <w:spacing w:val="-20"/>
          <w:w w:val="105"/>
          <w:sz w:val="21"/>
        </w:rPr>
        <w:t> </w:t>
      </w:r>
      <w:r>
        <w:rPr>
          <w:color w:val="231F20"/>
          <w:w w:val="105"/>
          <w:sz w:val="21"/>
        </w:rPr>
        <w:t>productividad</w:t>
      </w:r>
      <w:r>
        <w:rPr>
          <w:color w:val="231F20"/>
          <w:spacing w:val="-20"/>
          <w:w w:val="105"/>
          <w:sz w:val="21"/>
        </w:rPr>
        <w:t> </w:t>
      </w:r>
      <w:r>
        <w:rPr>
          <w:color w:val="231F20"/>
          <w:w w:val="105"/>
          <w:sz w:val="21"/>
        </w:rPr>
        <w:t>más</w:t>
      </w:r>
      <w:r>
        <w:rPr>
          <w:color w:val="231F20"/>
          <w:spacing w:val="-20"/>
          <w:w w:val="105"/>
          <w:sz w:val="21"/>
        </w:rPr>
        <w:t> </w:t>
      </w:r>
      <w:r>
        <w:rPr>
          <w:color w:val="231F20"/>
          <w:w w:val="105"/>
          <w:sz w:val="21"/>
        </w:rPr>
        <w:t>alta.</w:t>
      </w:r>
    </w:p>
    <w:p>
      <w:pPr>
        <w:pStyle w:val="ListParagraph"/>
        <w:numPr>
          <w:ilvl w:val="0"/>
          <w:numId w:val="59"/>
        </w:numPr>
        <w:tabs>
          <w:tab w:pos="1328" w:val="left" w:leader="none"/>
        </w:tabs>
        <w:spacing w:line="259" w:lineRule="auto" w:before="170" w:after="0"/>
        <w:ind w:left="1327" w:right="115" w:hanging="360"/>
        <w:jc w:val="both"/>
        <w:rPr>
          <w:sz w:val="21"/>
        </w:rPr>
      </w:pPr>
      <w:r>
        <w:rPr>
          <w:color w:val="231F20"/>
          <w:w w:val="105"/>
          <w:sz w:val="21"/>
        </w:rPr>
        <w:t>Medidas</w:t>
      </w:r>
      <w:r>
        <w:rPr>
          <w:color w:val="231F20"/>
          <w:spacing w:val="-16"/>
          <w:w w:val="105"/>
          <w:sz w:val="21"/>
        </w:rPr>
        <w:t> </w:t>
      </w:r>
      <w:r>
        <w:rPr>
          <w:color w:val="231F20"/>
          <w:w w:val="105"/>
          <w:sz w:val="21"/>
        </w:rPr>
        <w:t>del</w:t>
      </w:r>
      <w:r>
        <w:rPr>
          <w:color w:val="231F20"/>
          <w:spacing w:val="-16"/>
          <w:w w:val="105"/>
          <w:sz w:val="21"/>
        </w:rPr>
        <w:t> </w:t>
      </w:r>
      <w:r>
        <w:rPr>
          <w:color w:val="231F20"/>
          <w:w w:val="105"/>
          <w:sz w:val="21"/>
        </w:rPr>
        <w:t>proceso</w:t>
      </w:r>
      <w:r>
        <w:rPr>
          <w:color w:val="231F20"/>
          <w:spacing w:val="-16"/>
          <w:w w:val="105"/>
          <w:sz w:val="21"/>
        </w:rPr>
        <w:t> </w:t>
      </w:r>
      <w:r>
        <w:rPr>
          <w:color w:val="231F20"/>
          <w:w w:val="105"/>
          <w:sz w:val="21"/>
        </w:rPr>
        <w:t>competitivo.</w:t>
      </w:r>
      <w:r>
        <w:rPr>
          <w:color w:val="231F20"/>
          <w:spacing w:val="-21"/>
          <w:w w:val="105"/>
          <w:sz w:val="21"/>
        </w:rPr>
        <w:t> </w:t>
      </w:r>
      <w:r>
        <w:rPr>
          <w:color w:val="231F20"/>
          <w:w w:val="105"/>
          <w:sz w:val="21"/>
        </w:rPr>
        <w:t>De</w:t>
      </w:r>
      <w:r>
        <w:rPr>
          <w:color w:val="231F20"/>
          <w:spacing w:val="-16"/>
          <w:w w:val="105"/>
          <w:sz w:val="21"/>
        </w:rPr>
        <w:t> </w:t>
      </w:r>
      <w:r>
        <w:rPr>
          <w:color w:val="231F20"/>
          <w:w w:val="105"/>
          <w:sz w:val="21"/>
        </w:rPr>
        <w:t>naturaleza</w:t>
      </w:r>
      <w:r>
        <w:rPr>
          <w:color w:val="231F20"/>
          <w:spacing w:val="-16"/>
          <w:w w:val="105"/>
          <w:sz w:val="21"/>
        </w:rPr>
        <w:t> </w:t>
      </w:r>
      <w:r>
        <w:rPr>
          <w:color w:val="231F20"/>
          <w:w w:val="105"/>
          <w:sz w:val="21"/>
        </w:rPr>
        <w:t>cualitativa, buscan evaluar el proceso administrativo de la industria y establecer</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qué</w:t>
      </w:r>
      <w:r>
        <w:rPr>
          <w:color w:val="231F20"/>
          <w:spacing w:val="-16"/>
          <w:w w:val="105"/>
          <w:sz w:val="21"/>
        </w:rPr>
        <w:t> </w:t>
      </w:r>
      <w:r>
        <w:rPr>
          <w:color w:val="231F20"/>
          <w:w w:val="105"/>
          <w:sz w:val="21"/>
        </w:rPr>
        <w:t>forma</w:t>
      </w:r>
      <w:r>
        <w:rPr>
          <w:color w:val="231F20"/>
          <w:spacing w:val="-16"/>
          <w:w w:val="105"/>
          <w:sz w:val="21"/>
        </w:rPr>
        <w:t> </w:t>
      </w:r>
      <w:r>
        <w:rPr>
          <w:color w:val="231F20"/>
          <w:w w:val="105"/>
          <w:sz w:val="21"/>
        </w:rPr>
        <w:t>el</w:t>
      </w:r>
      <w:r>
        <w:rPr>
          <w:color w:val="231F20"/>
          <w:spacing w:val="-16"/>
          <w:w w:val="105"/>
          <w:sz w:val="21"/>
        </w:rPr>
        <w:t> </w:t>
      </w:r>
      <w:r>
        <w:rPr>
          <w:color w:val="231F20"/>
          <w:w w:val="105"/>
          <w:sz w:val="21"/>
        </w:rPr>
        <w:t>potencial</w:t>
      </w:r>
      <w:r>
        <w:rPr>
          <w:color w:val="231F20"/>
          <w:spacing w:val="-16"/>
          <w:w w:val="105"/>
          <w:sz w:val="21"/>
        </w:rPr>
        <w:t> </w:t>
      </w:r>
      <w:r>
        <w:rPr>
          <w:color w:val="231F20"/>
          <w:w w:val="105"/>
          <w:sz w:val="21"/>
        </w:rPr>
        <w:t>competitivo</w:t>
      </w:r>
      <w:r>
        <w:rPr>
          <w:color w:val="231F20"/>
          <w:spacing w:val="-16"/>
          <w:w w:val="105"/>
          <w:sz w:val="21"/>
        </w:rPr>
        <w:t> </w:t>
      </w:r>
      <w:r>
        <w:rPr>
          <w:color w:val="231F20"/>
          <w:w w:val="105"/>
          <w:sz w:val="21"/>
        </w:rPr>
        <w:t>se</w:t>
      </w:r>
      <w:r>
        <w:rPr>
          <w:color w:val="231F20"/>
          <w:spacing w:val="-16"/>
          <w:w w:val="105"/>
          <w:sz w:val="21"/>
        </w:rPr>
        <w:t> </w:t>
      </w:r>
      <w:r>
        <w:rPr>
          <w:color w:val="231F20"/>
          <w:w w:val="105"/>
          <w:sz w:val="21"/>
        </w:rPr>
        <w:t>traduce realmente</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desempeño</w:t>
      </w:r>
      <w:r>
        <w:rPr>
          <w:color w:val="231F20"/>
          <w:spacing w:val="-17"/>
          <w:w w:val="105"/>
          <w:sz w:val="21"/>
        </w:rPr>
        <w:t> </w:t>
      </w:r>
      <w:r>
        <w:rPr>
          <w:color w:val="231F20"/>
          <w:w w:val="105"/>
          <w:sz w:val="21"/>
        </w:rPr>
        <w:t>superior.</w:t>
      </w:r>
    </w:p>
    <w:p>
      <w:pPr>
        <w:pStyle w:val="BodyText"/>
        <w:rPr>
          <w:sz w:val="20"/>
        </w:rPr>
      </w:pPr>
    </w:p>
    <w:p>
      <w:pPr>
        <w:pStyle w:val="BodyText"/>
        <w:spacing w:before="4"/>
        <w:rPr>
          <w:sz w:val="17"/>
        </w:rPr>
      </w:pPr>
    </w:p>
    <w:p>
      <w:pPr>
        <w:pStyle w:val="BodyText"/>
        <w:spacing w:line="259" w:lineRule="auto"/>
        <w:ind w:left="117" w:right="121"/>
        <w:jc w:val="both"/>
      </w:pPr>
      <w:r>
        <w:rPr>
          <w:color w:val="231F20"/>
          <w:w w:val="105"/>
        </w:rPr>
        <w:t>En</w:t>
      </w:r>
      <w:r>
        <w:rPr>
          <w:color w:val="231F20"/>
          <w:spacing w:val="-5"/>
          <w:w w:val="105"/>
        </w:rPr>
        <w:t> </w:t>
      </w:r>
      <w:r>
        <w:rPr>
          <w:color w:val="231F20"/>
          <w:w w:val="105"/>
        </w:rPr>
        <w:t>esencia,</w:t>
      </w:r>
      <w:r>
        <w:rPr>
          <w:color w:val="231F20"/>
          <w:spacing w:val="-10"/>
          <w:w w:val="105"/>
        </w:rPr>
        <w:t> </w:t>
      </w:r>
      <w:r>
        <w:rPr>
          <w:color w:val="231F20"/>
          <w:w w:val="105"/>
        </w:rPr>
        <w:t>la</w:t>
      </w:r>
      <w:r>
        <w:rPr>
          <w:color w:val="231F20"/>
          <w:spacing w:val="-5"/>
          <w:w w:val="105"/>
        </w:rPr>
        <w:t> </w:t>
      </w:r>
      <w:r>
        <w:rPr>
          <w:color w:val="231F20"/>
          <w:w w:val="105"/>
        </w:rPr>
        <w:t>competitividad</w:t>
      </w:r>
      <w:r>
        <w:rPr>
          <w:color w:val="231F20"/>
          <w:spacing w:val="-5"/>
          <w:w w:val="105"/>
        </w:rPr>
        <w:t> </w:t>
      </w:r>
      <w:r>
        <w:rPr>
          <w:color w:val="231F20"/>
          <w:w w:val="105"/>
        </w:rPr>
        <w:t>sectorial</w:t>
      </w:r>
      <w:r>
        <w:rPr>
          <w:color w:val="231F20"/>
          <w:spacing w:val="-5"/>
          <w:w w:val="105"/>
        </w:rPr>
        <w:t> </w:t>
      </w:r>
      <w:r>
        <w:rPr>
          <w:color w:val="231F20"/>
          <w:w w:val="105"/>
        </w:rPr>
        <w:t>es</w:t>
      </w:r>
      <w:r>
        <w:rPr>
          <w:color w:val="231F20"/>
          <w:spacing w:val="-5"/>
          <w:w w:val="105"/>
        </w:rPr>
        <w:t> </w:t>
      </w:r>
      <w:r>
        <w:rPr>
          <w:color w:val="231F20"/>
          <w:w w:val="105"/>
        </w:rPr>
        <w:t>la</w:t>
      </w:r>
      <w:r>
        <w:rPr>
          <w:color w:val="231F20"/>
          <w:spacing w:val="-5"/>
          <w:w w:val="105"/>
        </w:rPr>
        <w:t> </w:t>
      </w:r>
      <w:r>
        <w:rPr>
          <w:color w:val="231F20"/>
          <w:w w:val="105"/>
        </w:rPr>
        <w:t>capacidad</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sector</w:t>
      </w:r>
      <w:r>
        <w:rPr>
          <w:color w:val="231F20"/>
          <w:spacing w:val="-5"/>
          <w:w w:val="105"/>
        </w:rPr>
        <w:t> </w:t>
      </w:r>
      <w:r>
        <w:rPr>
          <w:color w:val="231F20"/>
          <w:w w:val="105"/>
        </w:rPr>
        <w:t>y/o industria (o empresa) para producir bienes con patrones de calidad</w:t>
      </w:r>
      <w:r>
        <w:rPr>
          <w:color w:val="231F20"/>
          <w:spacing w:val="-10"/>
          <w:w w:val="105"/>
        </w:rPr>
        <w:t> </w:t>
      </w:r>
      <w:r>
        <w:rPr>
          <w:color w:val="231F20"/>
          <w:w w:val="105"/>
        </w:rPr>
        <w:t>es- pecíficos,</w:t>
      </w:r>
      <w:r>
        <w:rPr>
          <w:color w:val="231F20"/>
          <w:spacing w:val="-32"/>
          <w:w w:val="105"/>
        </w:rPr>
        <w:t> </w:t>
      </w:r>
      <w:r>
        <w:rPr>
          <w:color w:val="231F20"/>
          <w:w w:val="105"/>
        </w:rPr>
        <w:t>requeridos</w:t>
      </w:r>
      <w:r>
        <w:rPr>
          <w:color w:val="231F20"/>
          <w:spacing w:val="-27"/>
          <w:w w:val="105"/>
        </w:rPr>
        <w:t> </w:t>
      </w:r>
      <w:r>
        <w:rPr>
          <w:color w:val="231F20"/>
          <w:w w:val="105"/>
        </w:rPr>
        <w:t>por</w:t>
      </w:r>
      <w:r>
        <w:rPr>
          <w:color w:val="231F20"/>
          <w:spacing w:val="-27"/>
          <w:w w:val="105"/>
        </w:rPr>
        <w:t> </w:t>
      </w:r>
      <w:r>
        <w:rPr>
          <w:color w:val="231F20"/>
          <w:w w:val="105"/>
        </w:rPr>
        <w:t>mercados</w:t>
      </w:r>
      <w:r>
        <w:rPr>
          <w:color w:val="231F20"/>
          <w:spacing w:val="-27"/>
          <w:w w:val="105"/>
        </w:rPr>
        <w:t> </w:t>
      </w:r>
      <w:r>
        <w:rPr>
          <w:color w:val="231F20"/>
          <w:w w:val="105"/>
        </w:rPr>
        <w:t>determinados,</w:t>
      </w:r>
      <w:r>
        <w:rPr>
          <w:color w:val="231F20"/>
          <w:spacing w:val="-32"/>
          <w:w w:val="105"/>
        </w:rPr>
        <w:t> </w:t>
      </w:r>
      <w:r>
        <w:rPr>
          <w:color w:val="231F20"/>
          <w:w w:val="105"/>
        </w:rPr>
        <w:t>utilizando</w:t>
      </w:r>
      <w:r>
        <w:rPr>
          <w:color w:val="231F20"/>
          <w:spacing w:val="-27"/>
          <w:w w:val="105"/>
        </w:rPr>
        <w:t> </w:t>
      </w:r>
      <w:r>
        <w:rPr>
          <w:color w:val="231F20"/>
          <w:w w:val="105"/>
        </w:rPr>
        <w:t>recursos</w:t>
      </w:r>
      <w:r>
        <w:rPr>
          <w:color w:val="231F20"/>
          <w:spacing w:val="-27"/>
          <w:w w:val="105"/>
        </w:rPr>
        <w:t> </w:t>
      </w:r>
      <w:r>
        <w:rPr>
          <w:color w:val="231F20"/>
          <w:w w:val="105"/>
        </w:rPr>
        <w:t>en niveles</w:t>
      </w:r>
      <w:r>
        <w:rPr>
          <w:color w:val="231F20"/>
          <w:spacing w:val="-28"/>
          <w:w w:val="105"/>
        </w:rPr>
        <w:t> </w:t>
      </w:r>
      <w:r>
        <w:rPr>
          <w:color w:val="231F20"/>
          <w:w w:val="105"/>
        </w:rPr>
        <w:t>iguales</w:t>
      </w:r>
      <w:r>
        <w:rPr>
          <w:color w:val="231F20"/>
          <w:spacing w:val="-28"/>
          <w:w w:val="105"/>
        </w:rPr>
        <w:t> </w:t>
      </w:r>
      <w:r>
        <w:rPr>
          <w:color w:val="231F20"/>
          <w:w w:val="105"/>
        </w:rPr>
        <w:t>o</w:t>
      </w:r>
      <w:r>
        <w:rPr>
          <w:color w:val="231F20"/>
          <w:spacing w:val="-28"/>
          <w:w w:val="105"/>
        </w:rPr>
        <w:t> </w:t>
      </w:r>
      <w:r>
        <w:rPr>
          <w:color w:val="231F20"/>
          <w:w w:val="105"/>
        </w:rPr>
        <w:t>inferiores</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w w:val="105"/>
        </w:rPr>
        <w:t>que</w:t>
      </w:r>
      <w:r>
        <w:rPr>
          <w:color w:val="231F20"/>
          <w:spacing w:val="-28"/>
          <w:w w:val="105"/>
        </w:rPr>
        <w:t> </w:t>
      </w:r>
      <w:r>
        <w:rPr>
          <w:color w:val="231F20"/>
          <w:w w:val="105"/>
        </w:rPr>
        <w:t>prevalecen</w:t>
      </w:r>
      <w:r>
        <w:rPr>
          <w:color w:val="231F20"/>
          <w:spacing w:val="-28"/>
          <w:w w:val="105"/>
        </w:rPr>
        <w:t> </w:t>
      </w:r>
      <w:r>
        <w:rPr>
          <w:color w:val="231F20"/>
          <w:w w:val="105"/>
        </w:rPr>
        <w:t>en</w:t>
      </w:r>
      <w:r>
        <w:rPr>
          <w:color w:val="231F20"/>
          <w:spacing w:val="-28"/>
          <w:w w:val="105"/>
        </w:rPr>
        <w:t> </w:t>
      </w:r>
      <w:r>
        <w:rPr>
          <w:color w:val="231F20"/>
          <w:w w:val="105"/>
        </w:rPr>
        <w:t>industrias</w:t>
      </w:r>
      <w:r>
        <w:rPr>
          <w:color w:val="231F20"/>
          <w:spacing w:val="-28"/>
          <w:w w:val="105"/>
        </w:rPr>
        <w:t> </w:t>
      </w:r>
      <w:r>
        <w:rPr>
          <w:color w:val="231F20"/>
          <w:w w:val="105"/>
        </w:rPr>
        <w:t>semejantes en</w:t>
      </w:r>
      <w:r>
        <w:rPr>
          <w:color w:val="231F20"/>
          <w:spacing w:val="-12"/>
          <w:w w:val="105"/>
        </w:rPr>
        <w:t> </w:t>
      </w:r>
      <w:r>
        <w:rPr>
          <w:color w:val="231F20"/>
          <w:w w:val="105"/>
        </w:rPr>
        <w:t>el</w:t>
      </w:r>
      <w:r>
        <w:rPr>
          <w:color w:val="231F20"/>
          <w:spacing w:val="-12"/>
          <w:w w:val="105"/>
        </w:rPr>
        <w:t> </w:t>
      </w:r>
      <w:r>
        <w:rPr>
          <w:color w:val="231F20"/>
          <w:w w:val="105"/>
        </w:rPr>
        <w:t>resto</w:t>
      </w:r>
      <w:r>
        <w:rPr>
          <w:color w:val="231F20"/>
          <w:spacing w:val="-12"/>
          <w:w w:val="105"/>
        </w:rPr>
        <w:t> </w:t>
      </w:r>
      <w:r>
        <w:rPr>
          <w:color w:val="231F20"/>
          <w:w w:val="105"/>
        </w:rPr>
        <w:t>del</w:t>
      </w:r>
      <w:r>
        <w:rPr>
          <w:color w:val="231F20"/>
          <w:spacing w:val="-12"/>
          <w:w w:val="105"/>
        </w:rPr>
        <w:t> </w:t>
      </w:r>
      <w:r>
        <w:rPr>
          <w:color w:val="231F20"/>
          <w:w w:val="105"/>
        </w:rPr>
        <w:t>mundo</w:t>
      </w:r>
      <w:r>
        <w:rPr>
          <w:color w:val="231F20"/>
          <w:spacing w:val="-12"/>
          <w:w w:val="105"/>
        </w:rPr>
        <w:t> </w:t>
      </w:r>
      <w:r>
        <w:rPr>
          <w:color w:val="231F20"/>
          <w:w w:val="105"/>
        </w:rPr>
        <w:t>durante</w:t>
      </w:r>
      <w:r>
        <w:rPr>
          <w:color w:val="231F20"/>
          <w:spacing w:val="-12"/>
          <w:w w:val="105"/>
        </w:rPr>
        <w:t> </w:t>
      </w:r>
      <w:r>
        <w:rPr>
          <w:color w:val="231F20"/>
          <w:w w:val="105"/>
        </w:rPr>
        <w:t>un</w:t>
      </w:r>
      <w:r>
        <w:rPr>
          <w:color w:val="231F20"/>
          <w:spacing w:val="-12"/>
          <w:w w:val="105"/>
        </w:rPr>
        <w:t> </w:t>
      </w:r>
      <w:r>
        <w:rPr>
          <w:color w:val="231F20"/>
          <w:w w:val="105"/>
        </w:rPr>
        <w:t>cierto</w:t>
      </w:r>
      <w:r>
        <w:rPr>
          <w:color w:val="231F20"/>
          <w:spacing w:val="-12"/>
          <w:w w:val="105"/>
        </w:rPr>
        <w:t> </w:t>
      </w:r>
      <w:r>
        <w:rPr>
          <w:color w:val="231F20"/>
          <w:w w:val="105"/>
        </w:rPr>
        <w:t>período</w:t>
      </w:r>
      <w:r>
        <w:rPr>
          <w:color w:val="231F20"/>
          <w:spacing w:val="-12"/>
          <w:w w:val="105"/>
        </w:rPr>
        <w:t> </w:t>
      </w:r>
      <w:r>
        <w:rPr>
          <w:color w:val="231F20"/>
          <w:w w:val="105"/>
        </w:rPr>
        <w:t>(Haguenauer,</w:t>
      </w:r>
      <w:r>
        <w:rPr>
          <w:color w:val="231F20"/>
          <w:spacing w:val="-19"/>
          <w:w w:val="105"/>
        </w:rPr>
        <w:t> </w:t>
      </w:r>
      <w:r>
        <w:rPr>
          <w:color w:val="231F20"/>
          <w:w w:val="105"/>
        </w:rPr>
        <w:t>1989).</w:t>
      </w:r>
    </w:p>
    <w:p>
      <w:pPr>
        <w:spacing w:after="0" w:line="259" w:lineRule="auto"/>
        <w:jc w:val="both"/>
        <w:sectPr>
          <w:pgSz w:w="9640" w:h="13890"/>
          <w:pgMar w:top="0" w:bottom="280" w:left="1300" w:right="1180"/>
        </w:sectPr>
      </w:pPr>
    </w:p>
    <w:p>
      <w:pPr>
        <w:pStyle w:val="Heading2"/>
        <w:spacing w:line="247" w:lineRule="auto" w:before="50"/>
        <w:ind w:left="103" w:right="1346"/>
        <w:jc w:val="left"/>
      </w:pPr>
      <w:r>
        <w:rPr>
          <w:color w:val="231F20"/>
        </w:rPr>
        <w:t>Enfoques</w:t>
      </w:r>
      <w:r>
        <w:rPr>
          <w:color w:val="231F20"/>
          <w:spacing w:val="-35"/>
        </w:rPr>
        <w:t> </w:t>
      </w:r>
      <w:r>
        <w:rPr>
          <w:color w:val="231F20"/>
        </w:rPr>
        <w:t>microeconómico</w:t>
      </w:r>
      <w:r>
        <w:rPr>
          <w:color w:val="231F20"/>
          <w:spacing w:val="-35"/>
        </w:rPr>
        <w:t> </w:t>
      </w:r>
      <w:r>
        <w:rPr>
          <w:color w:val="231F20"/>
        </w:rPr>
        <w:t>y</w:t>
      </w:r>
      <w:r>
        <w:rPr>
          <w:color w:val="231F20"/>
          <w:spacing w:val="-35"/>
        </w:rPr>
        <w:t> </w:t>
      </w:r>
      <w:r>
        <w:rPr>
          <w:color w:val="231F20"/>
        </w:rPr>
        <w:t>macroeconómico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IED y la</w:t>
      </w:r>
      <w:r>
        <w:rPr>
          <w:color w:val="231F20"/>
          <w:spacing w:val="-38"/>
        </w:rPr>
        <w:t> </w:t>
      </w:r>
      <w:r>
        <w:rPr>
          <w:color w:val="231F20"/>
        </w:rPr>
        <w:t>competitividad</w:t>
      </w:r>
    </w:p>
    <w:p>
      <w:pPr>
        <w:pStyle w:val="BodyText"/>
        <w:rPr>
          <w:b/>
          <w:sz w:val="22"/>
        </w:rPr>
      </w:pPr>
    </w:p>
    <w:p>
      <w:pPr>
        <w:pStyle w:val="BodyText"/>
        <w:spacing w:line="259" w:lineRule="auto" w:before="153"/>
        <w:ind w:left="103" w:right="114"/>
        <w:jc w:val="both"/>
      </w:pPr>
      <w:r>
        <w:rPr>
          <w:color w:val="231F20"/>
          <w:w w:val="105"/>
        </w:rPr>
        <w:t>El enfoque económico administrativo de los distintos criterios sobre la competitividad</w:t>
      </w:r>
      <w:r>
        <w:rPr>
          <w:color w:val="231F20"/>
          <w:spacing w:val="-8"/>
          <w:w w:val="105"/>
        </w:rPr>
        <w:t> </w:t>
      </w:r>
      <w:r>
        <w:rPr>
          <w:color w:val="231F20"/>
          <w:w w:val="105"/>
        </w:rPr>
        <w:t>conlleva</w:t>
      </w:r>
      <w:r>
        <w:rPr>
          <w:color w:val="231F20"/>
          <w:spacing w:val="-8"/>
          <w:w w:val="105"/>
        </w:rPr>
        <w:t> </w:t>
      </w:r>
      <w:r>
        <w:rPr>
          <w:color w:val="231F20"/>
          <w:w w:val="105"/>
        </w:rPr>
        <w:t>dos</w:t>
      </w:r>
      <w:r>
        <w:rPr>
          <w:color w:val="231F20"/>
          <w:spacing w:val="-8"/>
          <w:w w:val="105"/>
        </w:rPr>
        <w:t> </w:t>
      </w:r>
      <w:r>
        <w:rPr>
          <w:color w:val="231F20"/>
          <w:w w:val="105"/>
        </w:rPr>
        <w:t>categorías.</w:t>
      </w:r>
      <w:r>
        <w:rPr>
          <w:color w:val="231F20"/>
          <w:spacing w:val="-13"/>
          <w:w w:val="105"/>
        </w:rPr>
        <w:t> </w:t>
      </w:r>
      <w:r>
        <w:rPr>
          <w:color w:val="231F20"/>
          <w:spacing w:val="-6"/>
          <w:w w:val="105"/>
        </w:rPr>
        <w:t>Por</w:t>
      </w:r>
      <w:r>
        <w:rPr>
          <w:color w:val="231F20"/>
          <w:spacing w:val="-8"/>
          <w:w w:val="105"/>
        </w:rPr>
        <w:t> </w:t>
      </w:r>
      <w:r>
        <w:rPr>
          <w:color w:val="231F20"/>
          <w:w w:val="105"/>
        </w:rPr>
        <w:t>una</w:t>
      </w:r>
      <w:r>
        <w:rPr>
          <w:color w:val="231F20"/>
          <w:spacing w:val="-8"/>
          <w:w w:val="105"/>
        </w:rPr>
        <w:t> </w:t>
      </w:r>
      <w:r>
        <w:rPr>
          <w:color w:val="231F20"/>
          <w:w w:val="105"/>
        </w:rPr>
        <w:t>parte,</w:t>
      </w:r>
      <w:r>
        <w:rPr>
          <w:color w:val="231F20"/>
          <w:spacing w:val="-13"/>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están</w:t>
      </w:r>
      <w:r>
        <w:rPr>
          <w:color w:val="231F20"/>
          <w:spacing w:val="-8"/>
          <w:w w:val="105"/>
        </w:rPr>
        <w:t> </w:t>
      </w:r>
      <w:r>
        <w:rPr>
          <w:color w:val="231F20"/>
          <w:w w:val="105"/>
        </w:rPr>
        <w:t>re- lacionados</w:t>
      </w:r>
      <w:r>
        <w:rPr>
          <w:color w:val="231F20"/>
          <w:spacing w:val="-23"/>
          <w:w w:val="105"/>
        </w:rPr>
        <w:t> </w:t>
      </w:r>
      <w:r>
        <w:rPr>
          <w:color w:val="231F20"/>
          <w:w w:val="105"/>
        </w:rPr>
        <w:t>con</w:t>
      </w:r>
      <w:r>
        <w:rPr>
          <w:color w:val="231F20"/>
          <w:spacing w:val="-23"/>
          <w:w w:val="105"/>
        </w:rPr>
        <w:t> </w:t>
      </w:r>
      <w:r>
        <w:rPr>
          <w:color w:val="231F20"/>
          <w:w w:val="105"/>
        </w:rPr>
        <w:t>la</w:t>
      </w:r>
      <w:r>
        <w:rPr>
          <w:color w:val="231F20"/>
          <w:spacing w:val="-23"/>
          <w:w w:val="105"/>
        </w:rPr>
        <w:t> </w:t>
      </w:r>
      <w:r>
        <w:rPr>
          <w:color w:val="231F20"/>
          <w:w w:val="105"/>
        </w:rPr>
        <w:t>empresa</w:t>
      </w:r>
      <w:r>
        <w:rPr>
          <w:color w:val="231F20"/>
          <w:spacing w:val="-23"/>
          <w:w w:val="105"/>
        </w:rPr>
        <w:t> </w:t>
      </w:r>
      <w:r>
        <w:rPr>
          <w:color w:val="231F20"/>
          <w:w w:val="105"/>
        </w:rPr>
        <w:t>o</w:t>
      </w:r>
      <w:r>
        <w:rPr>
          <w:color w:val="231F20"/>
          <w:spacing w:val="-23"/>
          <w:w w:val="105"/>
        </w:rPr>
        <w:t> </w:t>
      </w:r>
      <w:r>
        <w:rPr>
          <w:color w:val="231F20"/>
          <w:w w:val="105"/>
        </w:rPr>
        <w:t>el</w:t>
      </w:r>
      <w:r>
        <w:rPr>
          <w:color w:val="231F20"/>
          <w:spacing w:val="-23"/>
          <w:w w:val="105"/>
        </w:rPr>
        <w:t> </w:t>
      </w:r>
      <w:r>
        <w:rPr>
          <w:color w:val="231F20"/>
          <w:w w:val="105"/>
        </w:rPr>
        <w:t>sector,</w:t>
      </w:r>
      <w:r>
        <w:rPr>
          <w:color w:val="231F20"/>
          <w:spacing w:val="-28"/>
          <w:w w:val="105"/>
        </w:rPr>
        <w:t> </w:t>
      </w:r>
      <w:r>
        <w:rPr>
          <w:color w:val="231F20"/>
          <w:w w:val="105"/>
        </w:rPr>
        <w:t>(como</w:t>
      </w:r>
      <w:r>
        <w:rPr>
          <w:color w:val="231F20"/>
          <w:spacing w:val="-23"/>
          <w:w w:val="105"/>
        </w:rPr>
        <w:t> </w:t>
      </w:r>
      <w:r>
        <w:rPr>
          <w:color w:val="231F20"/>
          <w:w w:val="105"/>
        </w:rPr>
        <w:t>tecnología</w:t>
      </w:r>
      <w:r>
        <w:rPr>
          <w:color w:val="231F20"/>
          <w:spacing w:val="-23"/>
          <w:w w:val="105"/>
        </w:rPr>
        <w:t> </w:t>
      </w:r>
      <w:r>
        <w:rPr>
          <w:color w:val="231F20"/>
          <w:w w:val="105"/>
        </w:rPr>
        <w:t>utilizada,</w:t>
      </w:r>
      <w:r>
        <w:rPr>
          <w:color w:val="231F20"/>
          <w:spacing w:val="-28"/>
          <w:w w:val="105"/>
        </w:rPr>
        <w:t> </w:t>
      </w:r>
      <w:r>
        <w:rPr>
          <w:color w:val="231F20"/>
          <w:w w:val="105"/>
        </w:rPr>
        <w:t>costos de producción, mano de obra calificada, costos de transporte), lo cual permitirá</w:t>
      </w:r>
      <w:r>
        <w:rPr>
          <w:color w:val="231F20"/>
          <w:spacing w:val="-9"/>
          <w:w w:val="105"/>
        </w:rPr>
        <w:t> </w:t>
      </w:r>
      <w:r>
        <w:rPr>
          <w:color w:val="231F20"/>
          <w:w w:val="105"/>
        </w:rPr>
        <w:t>describir</w:t>
      </w:r>
      <w:r>
        <w:rPr>
          <w:color w:val="231F20"/>
          <w:spacing w:val="-9"/>
          <w:w w:val="105"/>
        </w:rPr>
        <w:t> </w:t>
      </w:r>
      <w:r>
        <w:rPr>
          <w:color w:val="231F20"/>
          <w:w w:val="105"/>
        </w:rPr>
        <w:t>la</w:t>
      </w:r>
      <w:r>
        <w:rPr>
          <w:color w:val="231F20"/>
          <w:spacing w:val="-9"/>
          <w:w w:val="105"/>
        </w:rPr>
        <w:t> </w:t>
      </w:r>
      <w:r>
        <w:rPr>
          <w:color w:val="231F20"/>
          <w:w w:val="105"/>
        </w:rPr>
        <w:t>competitividad</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micro.</w:t>
      </w:r>
      <w:r>
        <w:rPr>
          <w:color w:val="231F20"/>
          <w:spacing w:val="-15"/>
          <w:w w:val="105"/>
        </w:rPr>
        <w:t> </w:t>
      </w:r>
      <w:r>
        <w:rPr>
          <w:color w:val="231F20"/>
          <w:spacing w:val="-6"/>
          <w:w w:val="105"/>
        </w:rPr>
        <w:t>Por</w:t>
      </w:r>
      <w:r>
        <w:rPr>
          <w:color w:val="231F20"/>
          <w:spacing w:val="-9"/>
          <w:w w:val="105"/>
        </w:rPr>
        <w:t> </w:t>
      </w:r>
      <w:r>
        <w:rPr>
          <w:color w:val="231F20"/>
          <w:w w:val="105"/>
        </w:rPr>
        <w:t>la</w:t>
      </w:r>
      <w:r>
        <w:rPr>
          <w:color w:val="231F20"/>
          <w:spacing w:val="-9"/>
          <w:w w:val="105"/>
        </w:rPr>
        <w:t> </w:t>
      </w:r>
      <w:r>
        <w:rPr>
          <w:color w:val="231F20"/>
          <w:w w:val="105"/>
        </w:rPr>
        <w:t>otra,</w:t>
      </w:r>
      <w:r>
        <w:rPr>
          <w:color w:val="231F20"/>
          <w:spacing w:val="-15"/>
          <w:w w:val="105"/>
        </w:rPr>
        <w:t> </w:t>
      </w:r>
      <w:r>
        <w:rPr>
          <w:color w:val="231F20"/>
          <w:w w:val="105"/>
        </w:rPr>
        <w:t>ientras que</w:t>
      </w:r>
      <w:r>
        <w:rPr>
          <w:color w:val="231F20"/>
          <w:spacing w:val="-10"/>
          <w:w w:val="105"/>
        </w:rPr>
        <w:t> </w:t>
      </w:r>
      <w:r>
        <w:rPr>
          <w:color w:val="231F20"/>
          <w:w w:val="105"/>
        </w:rPr>
        <w:t>aquellos</w:t>
      </w:r>
      <w:r>
        <w:rPr>
          <w:color w:val="231F20"/>
          <w:spacing w:val="-10"/>
          <w:w w:val="105"/>
        </w:rPr>
        <w:t> </w:t>
      </w:r>
      <w:r>
        <w:rPr>
          <w:color w:val="231F20"/>
          <w:w w:val="105"/>
        </w:rPr>
        <w:t>relacionados</w:t>
      </w:r>
      <w:r>
        <w:rPr>
          <w:color w:val="231F20"/>
          <w:spacing w:val="-10"/>
          <w:w w:val="105"/>
        </w:rPr>
        <w:t> </w:t>
      </w:r>
      <w:r>
        <w:rPr>
          <w:color w:val="231F20"/>
          <w:w w:val="105"/>
        </w:rPr>
        <w:t>con</w:t>
      </w:r>
      <w:r>
        <w:rPr>
          <w:color w:val="231F20"/>
          <w:spacing w:val="-10"/>
          <w:w w:val="105"/>
        </w:rPr>
        <w:t> </w:t>
      </w:r>
      <w:r>
        <w:rPr>
          <w:color w:val="231F20"/>
          <w:w w:val="105"/>
        </w:rPr>
        <w:t>el</w:t>
      </w:r>
      <w:r>
        <w:rPr>
          <w:color w:val="231F20"/>
          <w:spacing w:val="-10"/>
          <w:w w:val="105"/>
        </w:rPr>
        <w:t> </w:t>
      </w:r>
      <w:r>
        <w:rPr>
          <w:color w:val="231F20"/>
          <w:w w:val="105"/>
        </w:rPr>
        <w:t>entorno</w:t>
      </w:r>
      <w:r>
        <w:rPr>
          <w:color w:val="231F20"/>
          <w:spacing w:val="-10"/>
          <w:w w:val="105"/>
        </w:rPr>
        <w:t> </w:t>
      </w:r>
      <w:r>
        <w:rPr>
          <w:color w:val="231F20"/>
          <w:w w:val="105"/>
        </w:rPr>
        <w:t>nacional</w:t>
      </w:r>
      <w:r>
        <w:rPr>
          <w:color w:val="231F20"/>
          <w:spacing w:val="-10"/>
          <w:w w:val="105"/>
        </w:rPr>
        <w:t> </w:t>
      </w:r>
      <w:r>
        <w:rPr>
          <w:color w:val="231F20"/>
          <w:w w:val="105"/>
        </w:rPr>
        <w:t>(tipo</w:t>
      </w:r>
      <w:r>
        <w:rPr>
          <w:color w:val="231F20"/>
          <w:spacing w:val="-10"/>
          <w:w w:val="105"/>
        </w:rPr>
        <w:t> </w:t>
      </w:r>
      <w:r>
        <w:rPr>
          <w:color w:val="231F20"/>
          <w:w w:val="105"/>
        </w:rPr>
        <w:t>de</w:t>
      </w:r>
      <w:r>
        <w:rPr>
          <w:color w:val="231F20"/>
          <w:spacing w:val="-10"/>
          <w:w w:val="105"/>
        </w:rPr>
        <w:t> </w:t>
      </w:r>
      <w:r>
        <w:rPr>
          <w:color w:val="231F20"/>
          <w:w w:val="105"/>
        </w:rPr>
        <w:t>cambio,</w:t>
      </w:r>
      <w:r>
        <w:rPr>
          <w:color w:val="231F20"/>
          <w:spacing w:val="-16"/>
          <w:w w:val="105"/>
        </w:rPr>
        <w:t> </w:t>
      </w:r>
      <w:r>
        <w:rPr>
          <w:color w:val="231F20"/>
          <w:w w:val="105"/>
        </w:rPr>
        <w:t>tasa de interés, déficit presupuestario) hacen referencia al nivel macro de</w:t>
      </w:r>
      <w:r>
        <w:rPr>
          <w:color w:val="231F20"/>
          <w:spacing w:val="-17"/>
          <w:w w:val="105"/>
        </w:rPr>
        <w:t> </w:t>
      </w:r>
      <w:r>
        <w:rPr>
          <w:color w:val="231F20"/>
          <w:w w:val="105"/>
        </w:rPr>
        <w:t>la </w:t>
      </w:r>
      <w:r>
        <w:rPr>
          <w:color w:val="231F20"/>
        </w:rPr>
        <w:t>competitividad  (Ezeala-Harrison,</w:t>
      </w:r>
      <w:r>
        <w:rPr>
          <w:color w:val="231F20"/>
          <w:spacing w:val="8"/>
        </w:rPr>
        <w:t> </w:t>
      </w:r>
      <w:r>
        <w:rPr>
          <w:color w:val="231F20"/>
        </w:rPr>
        <w:t>1999).</w:t>
      </w:r>
    </w:p>
    <w:p>
      <w:pPr>
        <w:pStyle w:val="BodyText"/>
        <w:spacing w:line="259" w:lineRule="auto"/>
        <w:ind w:left="103" w:right="115" w:firstLine="567"/>
        <w:jc w:val="both"/>
      </w:pPr>
      <w:r>
        <w:rPr>
          <w:color w:val="231F20"/>
          <w:w w:val="105"/>
        </w:rPr>
        <w:t>Cuando</w:t>
      </w:r>
      <w:r>
        <w:rPr>
          <w:color w:val="231F20"/>
          <w:spacing w:val="-11"/>
          <w:w w:val="105"/>
        </w:rPr>
        <w:t> </w:t>
      </w:r>
      <w:r>
        <w:rPr>
          <w:color w:val="231F20"/>
          <w:w w:val="105"/>
        </w:rPr>
        <w:t>el</w:t>
      </w:r>
      <w:r>
        <w:rPr>
          <w:color w:val="231F20"/>
          <w:spacing w:val="-11"/>
          <w:w w:val="105"/>
        </w:rPr>
        <w:t> </w:t>
      </w:r>
      <w:r>
        <w:rPr>
          <w:color w:val="231F20"/>
          <w:w w:val="105"/>
        </w:rPr>
        <w:t>análisis</w:t>
      </w:r>
      <w:r>
        <w:rPr>
          <w:color w:val="231F20"/>
          <w:spacing w:val="-11"/>
          <w:w w:val="105"/>
        </w:rPr>
        <w:t> </w:t>
      </w:r>
      <w:r>
        <w:rPr>
          <w:color w:val="231F20"/>
          <w:w w:val="105"/>
        </w:rPr>
        <w:t>es</w:t>
      </w:r>
      <w:r>
        <w:rPr>
          <w:color w:val="231F20"/>
          <w:spacing w:val="-11"/>
          <w:w w:val="105"/>
        </w:rPr>
        <w:t> </w:t>
      </w:r>
      <w:r>
        <w:rPr>
          <w:color w:val="231F20"/>
          <w:w w:val="105"/>
        </w:rPr>
        <w:t>desde</w:t>
      </w:r>
      <w:r>
        <w:rPr>
          <w:color w:val="231F20"/>
          <w:spacing w:val="-11"/>
          <w:w w:val="105"/>
        </w:rPr>
        <w:t> </w:t>
      </w:r>
      <w:r>
        <w:rPr>
          <w:color w:val="231F20"/>
          <w:w w:val="105"/>
        </w:rPr>
        <w:t>lo</w:t>
      </w:r>
      <w:r>
        <w:rPr>
          <w:color w:val="231F20"/>
          <w:spacing w:val="-11"/>
          <w:w w:val="105"/>
        </w:rPr>
        <w:t> </w:t>
      </w:r>
      <w:r>
        <w:rPr>
          <w:color w:val="231F20"/>
          <w:w w:val="105"/>
        </w:rPr>
        <w:t>microeconómico,</w:t>
      </w:r>
      <w:r>
        <w:rPr>
          <w:color w:val="231F20"/>
          <w:spacing w:val="-16"/>
          <w:w w:val="105"/>
        </w:rPr>
        <w:t> </w:t>
      </w:r>
      <w:r>
        <w:rPr>
          <w:color w:val="231F20"/>
          <w:w w:val="105"/>
        </w:rPr>
        <w:t>nos</w:t>
      </w:r>
      <w:r>
        <w:rPr>
          <w:color w:val="231F20"/>
          <w:spacing w:val="-11"/>
          <w:w w:val="105"/>
        </w:rPr>
        <w:t> </w:t>
      </w:r>
      <w:r>
        <w:rPr>
          <w:color w:val="231F20"/>
          <w:w w:val="105"/>
        </w:rPr>
        <w:t>ubicamos</w:t>
      </w:r>
      <w:r>
        <w:rPr>
          <w:color w:val="231F20"/>
          <w:spacing w:val="-11"/>
          <w:w w:val="105"/>
        </w:rPr>
        <w:t> </w:t>
      </w:r>
      <w:r>
        <w:rPr>
          <w:color w:val="231F20"/>
          <w:w w:val="105"/>
        </w:rPr>
        <w:t>en el</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empresas,</w:t>
      </w:r>
      <w:r>
        <w:rPr>
          <w:color w:val="231F20"/>
          <w:spacing w:val="-20"/>
          <w:w w:val="105"/>
        </w:rPr>
        <w:t> </w:t>
      </w:r>
      <w:r>
        <w:rPr>
          <w:color w:val="231F20"/>
          <w:w w:val="105"/>
        </w:rPr>
        <w:t>resultando</w:t>
      </w:r>
      <w:r>
        <w:rPr>
          <w:color w:val="231F20"/>
          <w:spacing w:val="-15"/>
          <w:w w:val="105"/>
        </w:rPr>
        <w:t> </w:t>
      </w:r>
      <w:r>
        <w:rPr>
          <w:color w:val="231F20"/>
          <w:w w:val="105"/>
        </w:rPr>
        <w:t>fundamental</w:t>
      </w:r>
      <w:r>
        <w:rPr>
          <w:color w:val="231F20"/>
          <w:spacing w:val="-15"/>
          <w:w w:val="105"/>
        </w:rPr>
        <w:t> </w:t>
      </w:r>
      <w:r>
        <w:rPr>
          <w:color w:val="231F20"/>
          <w:w w:val="105"/>
        </w:rPr>
        <w:t>identificar</w:t>
      </w:r>
      <w:r>
        <w:rPr>
          <w:color w:val="231F20"/>
          <w:spacing w:val="-15"/>
          <w:w w:val="105"/>
        </w:rPr>
        <w:t> </w:t>
      </w:r>
      <w:r>
        <w:rPr>
          <w:color w:val="231F20"/>
          <w:w w:val="105"/>
        </w:rPr>
        <w:t>los</w:t>
      </w:r>
      <w:r>
        <w:rPr>
          <w:color w:val="231F20"/>
          <w:spacing w:val="-15"/>
          <w:w w:val="105"/>
        </w:rPr>
        <w:t> </w:t>
      </w:r>
      <w:r>
        <w:rPr>
          <w:color w:val="231F20"/>
          <w:w w:val="105"/>
        </w:rPr>
        <w:t>principa- les factores que determinan el comportamiento de la IED y su relación con</w:t>
      </w:r>
      <w:r>
        <w:rPr>
          <w:color w:val="231F20"/>
          <w:spacing w:val="-20"/>
          <w:w w:val="105"/>
        </w:rPr>
        <w:t> </w:t>
      </w:r>
      <w:r>
        <w:rPr>
          <w:color w:val="231F20"/>
          <w:w w:val="105"/>
        </w:rPr>
        <w:t>el</w:t>
      </w:r>
      <w:r>
        <w:rPr>
          <w:color w:val="231F20"/>
          <w:spacing w:val="-20"/>
          <w:w w:val="105"/>
        </w:rPr>
        <w:t> </w:t>
      </w:r>
      <w:r>
        <w:rPr>
          <w:color w:val="231F20"/>
          <w:w w:val="105"/>
        </w:rPr>
        <w:t>conjunto</w:t>
      </w:r>
      <w:r>
        <w:rPr>
          <w:color w:val="231F20"/>
          <w:spacing w:val="-20"/>
          <w:w w:val="105"/>
        </w:rPr>
        <w:t> </w:t>
      </w:r>
      <w:r>
        <w:rPr>
          <w:color w:val="231F20"/>
          <w:w w:val="105"/>
        </w:rPr>
        <w:t>de</w:t>
      </w:r>
      <w:r>
        <w:rPr>
          <w:color w:val="231F20"/>
          <w:spacing w:val="-20"/>
          <w:w w:val="105"/>
        </w:rPr>
        <w:t> </w:t>
      </w:r>
      <w:r>
        <w:rPr>
          <w:color w:val="231F20"/>
          <w:w w:val="105"/>
        </w:rPr>
        <w:t>otras</w:t>
      </w:r>
      <w:r>
        <w:rPr>
          <w:color w:val="231F20"/>
          <w:spacing w:val="-20"/>
          <w:w w:val="105"/>
        </w:rPr>
        <w:t> </w:t>
      </w:r>
      <w:r>
        <w:rPr>
          <w:color w:val="231F20"/>
          <w:w w:val="105"/>
        </w:rPr>
        <w:t>variables</w:t>
      </w:r>
      <w:r>
        <w:rPr>
          <w:color w:val="231F20"/>
          <w:spacing w:val="-20"/>
          <w:w w:val="105"/>
        </w:rPr>
        <w:t> </w:t>
      </w:r>
      <w:r>
        <w:rPr>
          <w:color w:val="231F20"/>
          <w:w w:val="105"/>
        </w:rPr>
        <w:t>relevantes.</w:t>
      </w:r>
    </w:p>
    <w:p>
      <w:pPr>
        <w:pStyle w:val="BodyText"/>
        <w:spacing w:line="259" w:lineRule="auto"/>
        <w:ind w:left="103" w:right="115" w:firstLine="567"/>
        <w:jc w:val="both"/>
      </w:pPr>
      <w:r>
        <w:rPr>
          <w:color w:val="231F20"/>
          <w:w w:val="105"/>
        </w:rPr>
        <w:t>La literatura económica señala factores tales como el tamaño y el dinamismo del mercado, los costos generales de producción y dis- tribución y en particular los costos laborales o impositivos, la ubicación geográfica y el entorno macroeconómico general del país receptor y el grado</w:t>
      </w:r>
      <w:r>
        <w:rPr>
          <w:color w:val="231F20"/>
          <w:spacing w:val="-17"/>
          <w:w w:val="105"/>
        </w:rPr>
        <w:t> </w:t>
      </w:r>
      <w:r>
        <w:rPr>
          <w:color w:val="231F20"/>
          <w:w w:val="105"/>
        </w:rPr>
        <w:t>de</w:t>
      </w:r>
      <w:r>
        <w:rPr>
          <w:color w:val="231F20"/>
          <w:spacing w:val="-17"/>
          <w:w w:val="105"/>
        </w:rPr>
        <w:t> </w:t>
      </w:r>
      <w:r>
        <w:rPr>
          <w:color w:val="231F20"/>
          <w:w w:val="105"/>
        </w:rPr>
        <w:t>apertura</w:t>
      </w:r>
      <w:r>
        <w:rPr>
          <w:color w:val="231F20"/>
          <w:spacing w:val="-17"/>
          <w:w w:val="105"/>
        </w:rPr>
        <w:t> </w:t>
      </w:r>
      <w:r>
        <w:rPr>
          <w:color w:val="231F20"/>
          <w:w w:val="105"/>
        </w:rPr>
        <w:t>comercial</w:t>
      </w:r>
      <w:r>
        <w:rPr>
          <w:color w:val="231F20"/>
          <w:spacing w:val="-17"/>
          <w:w w:val="105"/>
        </w:rPr>
        <w:t> </w:t>
      </w:r>
      <w:r>
        <w:rPr>
          <w:color w:val="231F20"/>
          <w:w w:val="105"/>
        </w:rPr>
        <w:t>o</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exportaciones</w:t>
      </w:r>
      <w:r>
        <w:rPr>
          <w:color w:val="231F20"/>
          <w:spacing w:val="-17"/>
          <w:w w:val="105"/>
        </w:rPr>
        <w:t> </w:t>
      </w:r>
      <w:r>
        <w:rPr>
          <w:color w:val="231F20"/>
          <w:w w:val="105"/>
        </w:rPr>
        <w:t>(Dussel,</w:t>
      </w:r>
      <w:r>
        <w:rPr>
          <w:color w:val="231F20"/>
          <w:spacing w:val="-23"/>
          <w:w w:val="105"/>
        </w:rPr>
        <w:t> </w:t>
      </w:r>
      <w:r>
        <w:rPr>
          <w:color w:val="231F20"/>
          <w:w w:val="105"/>
        </w:rPr>
        <w:t>2004).</w:t>
      </w:r>
    </w:p>
    <w:p>
      <w:pPr>
        <w:pStyle w:val="BodyText"/>
        <w:spacing w:line="259" w:lineRule="auto"/>
        <w:ind w:left="103" w:right="110" w:firstLine="567"/>
        <w:jc w:val="both"/>
      </w:pPr>
      <w:r>
        <w:rPr>
          <w:color w:val="231F20"/>
          <w:w w:val="105"/>
        </w:rPr>
        <w:t>Desde</w:t>
      </w:r>
      <w:r>
        <w:rPr>
          <w:color w:val="231F20"/>
          <w:spacing w:val="-22"/>
          <w:w w:val="105"/>
        </w:rPr>
        <w:t> </w:t>
      </w:r>
      <w:r>
        <w:rPr>
          <w:color w:val="231F20"/>
          <w:w w:val="105"/>
        </w:rPr>
        <w:t>este</w:t>
      </w:r>
      <w:r>
        <w:rPr>
          <w:color w:val="231F20"/>
          <w:spacing w:val="-22"/>
          <w:w w:val="105"/>
        </w:rPr>
        <w:t> </w:t>
      </w:r>
      <w:r>
        <w:rPr>
          <w:color w:val="231F20"/>
          <w:w w:val="105"/>
        </w:rPr>
        <w:t>enfoque,</w:t>
      </w:r>
      <w:r>
        <w:rPr>
          <w:color w:val="231F20"/>
          <w:spacing w:val="-27"/>
          <w:w w:val="105"/>
        </w:rPr>
        <w:t> </w:t>
      </w:r>
      <w:r>
        <w:rPr>
          <w:color w:val="231F20"/>
          <w:w w:val="105"/>
        </w:rPr>
        <w:t>la</w:t>
      </w:r>
      <w:r>
        <w:rPr>
          <w:color w:val="231F20"/>
          <w:spacing w:val="-22"/>
          <w:w w:val="105"/>
        </w:rPr>
        <w:t> </w:t>
      </w:r>
      <w:r>
        <w:rPr>
          <w:color w:val="231F20"/>
          <w:w w:val="105"/>
        </w:rPr>
        <w:t>competitividad</w:t>
      </w:r>
      <w:r>
        <w:rPr>
          <w:color w:val="231F20"/>
          <w:spacing w:val="-22"/>
          <w:w w:val="105"/>
        </w:rPr>
        <w:t> </w:t>
      </w:r>
      <w:r>
        <w:rPr>
          <w:color w:val="231F20"/>
          <w:w w:val="105"/>
        </w:rPr>
        <w:t>utiliza</w:t>
      </w:r>
      <w:r>
        <w:rPr>
          <w:color w:val="231F20"/>
          <w:spacing w:val="-22"/>
          <w:w w:val="105"/>
        </w:rPr>
        <w:t> </w:t>
      </w:r>
      <w:r>
        <w:rPr>
          <w:color w:val="231F20"/>
          <w:w w:val="105"/>
        </w:rPr>
        <w:t>la</w:t>
      </w:r>
      <w:r>
        <w:rPr>
          <w:color w:val="231F20"/>
          <w:spacing w:val="-22"/>
          <w:w w:val="105"/>
        </w:rPr>
        <w:t> </w:t>
      </w:r>
      <w:r>
        <w:rPr>
          <w:color w:val="231F20"/>
          <w:w w:val="105"/>
        </w:rPr>
        <w:t>Paradoja</w:t>
      </w:r>
      <w:r>
        <w:rPr>
          <w:color w:val="231F20"/>
          <w:spacing w:val="-22"/>
          <w:w w:val="105"/>
        </w:rPr>
        <w:t> </w:t>
      </w:r>
      <w:r>
        <w:rPr>
          <w:color w:val="231F20"/>
          <w:w w:val="105"/>
        </w:rPr>
        <w:t>de</w:t>
      </w:r>
      <w:r>
        <w:rPr>
          <w:color w:val="231F20"/>
          <w:spacing w:val="-22"/>
          <w:w w:val="105"/>
        </w:rPr>
        <w:t> </w:t>
      </w:r>
      <w:r>
        <w:rPr>
          <w:color w:val="231F20"/>
          <w:w w:val="105"/>
        </w:rPr>
        <w:t>Kaldor donde los criterios están relacionados con la empresa o el sector, per- mitiendo describir la competitividad en el nivel micro (Ezeala-Harrison, 1999).</w:t>
      </w:r>
      <w:r>
        <w:rPr>
          <w:color w:val="231F20"/>
          <w:spacing w:val="-19"/>
          <w:w w:val="105"/>
        </w:rPr>
        <w:t> </w:t>
      </w:r>
      <w:r>
        <w:rPr>
          <w:color w:val="231F20"/>
          <w:spacing w:val="-4"/>
          <w:w w:val="105"/>
        </w:rPr>
        <w:t>Para</w:t>
      </w:r>
      <w:r>
        <w:rPr>
          <w:color w:val="231F20"/>
          <w:spacing w:val="-14"/>
          <w:w w:val="105"/>
        </w:rPr>
        <w:t> </w:t>
      </w:r>
      <w:r>
        <w:rPr>
          <w:color w:val="231F20"/>
          <w:w w:val="105"/>
        </w:rPr>
        <w:t>algunos</w:t>
      </w:r>
      <w:r>
        <w:rPr>
          <w:color w:val="231F20"/>
          <w:spacing w:val="-14"/>
          <w:w w:val="105"/>
        </w:rPr>
        <w:t> </w:t>
      </w:r>
      <w:r>
        <w:rPr>
          <w:color w:val="231F20"/>
          <w:w w:val="105"/>
        </w:rPr>
        <w:t>autores</w:t>
      </w:r>
      <w:r>
        <w:rPr>
          <w:color w:val="231F20"/>
          <w:spacing w:val="-14"/>
          <w:w w:val="105"/>
        </w:rPr>
        <w:t> </w:t>
      </w:r>
      <w:r>
        <w:rPr>
          <w:color w:val="231F20"/>
          <w:w w:val="105"/>
        </w:rPr>
        <w:t>los</w:t>
      </w:r>
      <w:r>
        <w:rPr>
          <w:color w:val="231F20"/>
          <w:spacing w:val="-14"/>
          <w:w w:val="105"/>
        </w:rPr>
        <w:t> </w:t>
      </w:r>
      <w:r>
        <w:rPr>
          <w:color w:val="231F20"/>
          <w:w w:val="105"/>
        </w:rPr>
        <w:t>costos</w:t>
      </w:r>
      <w:r>
        <w:rPr>
          <w:color w:val="231F20"/>
          <w:spacing w:val="-14"/>
          <w:w w:val="105"/>
        </w:rPr>
        <w:t> </w:t>
      </w:r>
      <w:r>
        <w:rPr>
          <w:color w:val="231F20"/>
          <w:w w:val="105"/>
        </w:rPr>
        <w:t>no</w:t>
      </w:r>
      <w:r>
        <w:rPr>
          <w:color w:val="231F20"/>
          <w:spacing w:val="-14"/>
          <w:w w:val="105"/>
        </w:rPr>
        <w:t> </w:t>
      </w:r>
      <w:r>
        <w:rPr>
          <w:color w:val="231F20"/>
          <w:w w:val="105"/>
        </w:rPr>
        <w:t>sirven</w:t>
      </w:r>
      <w:r>
        <w:rPr>
          <w:color w:val="231F20"/>
          <w:spacing w:val="-14"/>
          <w:w w:val="105"/>
        </w:rPr>
        <w:t> </w:t>
      </w:r>
      <w:r>
        <w:rPr>
          <w:color w:val="231F20"/>
          <w:w w:val="105"/>
        </w:rPr>
        <w:t>para</w:t>
      </w:r>
      <w:r>
        <w:rPr>
          <w:color w:val="231F20"/>
          <w:spacing w:val="-14"/>
          <w:w w:val="105"/>
        </w:rPr>
        <w:t> </w:t>
      </w:r>
      <w:r>
        <w:rPr>
          <w:color w:val="231F20"/>
          <w:w w:val="105"/>
        </w:rPr>
        <w:t>explicar</w:t>
      </w:r>
      <w:r>
        <w:rPr>
          <w:color w:val="231F20"/>
          <w:spacing w:val="-14"/>
          <w:w w:val="105"/>
        </w:rPr>
        <w:t> </w:t>
      </w:r>
      <w:r>
        <w:rPr>
          <w:color w:val="231F20"/>
          <w:w w:val="105"/>
        </w:rPr>
        <w:t>los</w:t>
      </w:r>
      <w:r>
        <w:rPr>
          <w:color w:val="231F20"/>
          <w:spacing w:val="-14"/>
          <w:w w:val="105"/>
        </w:rPr>
        <w:t> </w:t>
      </w:r>
      <w:r>
        <w:rPr>
          <w:color w:val="231F20"/>
          <w:w w:val="105"/>
        </w:rPr>
        <w:t>patro- nes del comercio y la competitividad internacionales, partiendo directa- mente</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evidencia</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unos</w:t>
      </w:r>
      <w:r>
        <w:rPr>
          <w:color w:val="231F20"/>
          <w:spacing w:val="-21"/>
          <w:w w:val="105"/>
        </w:rPr>
        <w:t> </w:t>
      </w:r>
      <w:r>
        <w:rPr>
          <w:color w:val="231F20"/>
          <w:w w:val="105"/>
        </w:rPr>
        <w:t>países</w:t>
      </w:r>
      <w:r>
        <w:rPr>
          <w:color w:val="231F20"/>
          <w:spacing w:val="-21"/>
          <w:w w:val="105"/>
        </w:rPr>
        <w:t> </w:t>
      </w:r>
      <w:r>
        <w:rPr>
          <w:color w:val="231F20"/>
          <w:w w:val="105"/>
        </w:rPr>
        <w:t>ganan</w:t>
      </w:r>
      <w:r>
        <w:rPr>
          <w:color w:val="231F20"/>
          <w:spacing w:val="-21"/>
          <w:w w:val="105"/>
        </w:rPr>
        <w:t> </w:t>
      </w:r>
      <w:r>
        <w:rPr>
          <w:color w:val="231F20"/>
          <w:w w:val="105"/>
        </w:rPr>
        <w:t>y</w:t>
      </w:r>
      <w:r>
        <w:rPr>
          <w:color w:val="231F20"/>
          <w:spacing w:val="-21"/>
          <w:w w:val="105"/>
        </w:rPr>
        <w:t> </w:t>
      </w:r>
      <w:r>
        <w:rPr>
          <w:color w:val="231F20"/>
          <w:w w:val="105"/>
        </w:rPr>
        <w:t>otros</w:t>
      </w:r>
      <w:r>
        <w:rPr>
          <w:color w:val="231F20"/>
          <w:spacing w:val="-21"/>
          <w:w w:val="105"/>
        </w:rPr>
        <w:t> </w:t>
      </w:r>
      <w:r>
        <w:rPr>
          <w:color w:val="231F20"/>
          <w:w w:val="105"/>
        </w:rPr>
        <w:t>pierden</w:t>
      </w:r>
      <w:r>
        <w:rPr>
          <w:color w:val="231F20"/>
          <w:spacing w:val="-21"/>
          <w:w w:val="105"/>
        </w:rPr>
        <w:t> </w:t>
      </w:r>
      <w:r>
        <w:rPr>
          <w:color w:val="231F20"/>
          <w:w w:val="105"/>
        </w:rPr>
        <w:t>peso</w:t>
      </w:r>
      <w:r>
        <w:rPr>
          <w:color w:val="231F20"/>
          <w:spacing w:val="-21"/>
          <w:w w:val="105"/>
        </w:rPr>
        <w:t> </w:t>
      </w:r>
      <w:r>
        <w:rPr>
          <w:color w:val="231F20"/>
          <w:w w:val="105"/>
        </w:rPr>
        <w:t>en la</w:t>
      </w:r>
      <w:r>
        <w:rPr>
          <w:color w:val="231F20"/>
          <w:spacing w:val="-11"/>
          <w:w w:val="105"/>
        </w:rPr>
        <w:t> </w:t>
      </w:r>
      <w:r>
        <w:rPr>
          <w:color w:val="231F20"/>
          <w:w w:val="105"/>
        </w:rPr>
        <w:t>producción</w:t>
      </w:r>
      <w:r>
        <w:rPr>
          <w:color w:val="231F20"/>
          <w:spacing w:val="-11"/>
          <w:w w:val="105"/>
        </w:rPr>
        <w:t> </w:t>
      </w:r>
      <w:r>
        <w:rPr>
          <w:color w:val="231F20"/>
          <w:w w:val="105"/>
        </w:rPr>
        <w:t>y</w:t>
      </w:r>
      <w:r>
        <w:rPr>
          <w:color w:val="231F20"/>
          <w:spacing w:val="-11"/>
          <w:w w:val="105"/>
        </w:rPr>
        <w:t> </w:t>
      </w:r>
      <w:r>
        <w:rPr>
          <w:color w:val="231F20"/>
          <w:w w:val="105"/>
        </w:rPr>
        <w:t>el</w:t>
      </w:r>
      <w:r>
        <w:rPr>
          <w:color w:val="231F20"/>
          <w:spacing w:val="-11"/>
          <w:w w:val="105"/>
        </w:rPr>
        <w:t> </w:t>
      </w:r>
      <w:r>
        <w:rPr>
          <w:color w:val="231F20"/>
          <w:w w:val="105"/>
        </w:rPr>
        <w:t>comercio</w:t>
      </w:r>
      <w:r>
        <w:rPr>
          <w:color w:val="231F20"/>
          <w:spacing w:val="-11"/>
          <w:w w:val="105"/>
        </w:rPr>
        <w:t> </w:t>
      </w:r>
      <w:r>
        <w:rPr>
          <w:color w:val="231F20"/>
          <w:w w:val="105"/>
        </w:rPr>
        <w:t>mundiales.</w:t>
      </w:r>
    </w:p>
    <w:p>
      <w:pPr>
        <w:pStyle w:val="BodyText"/>
        <w:spacing w:line="259" w:lineRule="auto"/>
        <w:ind w:left="103" w:right="115" w:firstLine="567"/>
        <w:jc w:val="both"/>
      </w:pPr>
      <w:r>
        <w:rPr>
          <w:color w:val="231F20"/>
          <w:w w:val="105"/>
        </w:rPr>
        <w:t>Kaldor (1978) considera imprescindible buscar una alternativa a la</w:t>
      </w:r>
      <w:r>
        <w:rPr>
          <w:color w:val="231F20"/>
          <w:spacing w:val="-11"/>
          <w:w w:val="105"/>
        </w:rPr>
        <w:t> </w:t>
      </w:r>
      <w:r>
        <w:rPr>
          <w:color w:val="231F20"/>
          <w:w w:val="105"/>
        </w:rPr>
        <w:t>teoría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competencia</w:t>
      </w:r>
      <w:r>
        <w:rPr>
          <w:color w:val="231F20"/>
          <w:spacing w:val="-11"/>
          <w:w w:val="105"/>
        </w:rPr>
        <w:t> </w:t>
      </w:r>
      <w:r>
        <w:rPr>
          <w:color w:val="231F20"/>
          <w:w w:val="105"/>
        </w:rPr>
        <w:t>de</w:t>
      </w:r>
      <w:r>
        <w:rPr>
          <w:color w:val="231F20"/>
          <w:spacing w:val="-11"/>
          <w:w w:val="105"/>
        </w:rPr>
        <w:t> </w:t>
      </w:r>
      <w:r>
        <w:rPr>
          <w:color w:val="231F20"/>
          <w:w w:val="105"/>
        </w:rPr>
        <w:t>costos,</w:t>
      </w:r>
      <w:r>
        <w:rPr>
          <w:color w:val="231F20"/>
          <w:spacing w:val="-17"/>
          <w:w w:val="105"/>
        </w:rPr>
        <w:t> </w:t>
      </w:r>
      <w:r>
        <w:rPr>
          <w:color w:val="231F20"/>
          <w:w w:val="105"/>
        </w:rPr>
        <w:t>cuyo</w:t>
      </w:r>
      <w:r>
        <w:rPr>
          <w:color w:val="231F20"/>
          <w:spacing w:val="-11"/>
          <w:w w:val="105"/>
        </w:rPr>
        <w:t> </w:t>
      </w:r>
      <w:r>
        <w:rPr>
          <w:color w:val="231F20"/>
          <w:w w:val="105"/>
        </w:rPr>
        <w:t>resultado</w:t>
      </w:r>
      <w:r>
        <w:rPr>
          <w:color w:val="231F20"/>
          <w:spacing w:val="-11"/>
          <w:w w:val="105"/>
        </w:rPr>
        <w:t> </w:t>
      </w:r>
      <w:r>
        <w:rPr>
          <w:color w:val="231F20"/>
          <w:w w:val="105"/>
        </w:rPr>
        <w:t>(cualesquiera</w:t>
      </w:r>
      <w:r>
        <w:rPr>
          <w:color w:val="231F20"/>
          <w:spacing w:val="-11"/>
          <w:w w:val="105"/>
        </w:rPr>
        <w:t> </w:t>
      </w:r>
      <w:r>
        <w:rPr>
          <w:color w:val="231F20"/>
          <w:w w:val="105"/>
        </w:rPr>
        <w:t>que sean los medios utilizados para desarrollarla) sería el descubrimiento de factores explicativos (tecnología, mano de obra calificada, etc.) de la competitividad, distintos de los costos y precios, donde la estrategia de</w:t>
      </w:r>
      <w:r>
        <w:rPr>
          <w:color w:val="231F20"/>
          <w:spacing w:val="-8"/>
          <w:w w:val="105"/>
        </w:rPr>
        <w:t> </w:t>
      </w:r>
      <w:r>
        <w:rPr>
          <w:color w:val="231F20"/>
          <w:w w:val="105"/>
        </w:rPr>
        <w:t>una</w:t>
      </w:r>
      <w:r>
        <w:rPr>
          <w:color w:val="231F20"/>
          <w:spacing w:val="-8"/>
          <w:w w:val="105"/>
        </w:rPr>
        <w:t> </w:t>
      </w:r>
      <w:r>
        <w:rPr>
          <w:color w:val="231F20"/>
          <w:w w:val="105"/>
        </w:rPr>
        <w:t>empresa</w:t>
      </w:r>
      <w:r>
        <w:rPr>
          <w:color w:val="231F20"/>
          <w:spacing w:val="-8"/>
          <w:w w:val="105"/>
        </w:rPr>
        <w:t> </w:t>
      </w:r>
      <w:r>
        <w:rPr>
          <w:color w:val="231F20"/>
          <w:w w:val="105"/>
        </w:rPr>
        <w:t>se</w:t>
      </w:r>
      <w:r>
        <w:rPr>
          <w:color w:val="231F20"/>
          <w:spacing w:val="-8"/>
          <w:w w:val="105"/>
        </w:rPr>
        <w:t> </w:t>
      </w:r>
      <w:r>
        <w:rPr>
          <w:color w:val="231F20"/>
          <w:w w:val="105"/>
        </w:rPr>
        <w:t>establece</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producto</w:t>
      </w:r>
      <w:r>
        <w:rPr>
          <w:color w:val="231F20"/>
          <w:spacing w:val="-8"/>
          <w:w w:val="105"/>
        </w:rPr>
        <w:t> </w:t>
      </w:r>
      <w:r>
        <w:rPr>
          <w:color w:val="231F20"/>
          <w:w w:val="105"/>
        </w:rPr>
        <w:t>principal</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tecnología</w:t>
      </w:r>
      <w:r>
        <w:rPr>
          <w:color w:val="231F20"/>
          <w:spacing w:val="-8"/>
          <w:w w:val="105"/>
        </w:rPr>
        <w:t> </w:t>
      </w:r>
      <w:r>
        <w:rPr>
          <w:color w:val="231F20"/>
          <w:w w:val="105"/>
        </w:rPr>
        <w:t>son creados</w:t>
      </w:r>
      <w:r>
        <w:rPr>
          <w:color w:val="231F20"/>
          <w:spacing w:val="-30"/>
          <w:w w:val="105"/>
        </w:rPr>
        <w:t> </w:t>
      </w:r>
      <w:r>
        <w:rPr>
          <w:color w:val="231F20"/>
          <w:w w:val="105"/>
        </w:rPr>
        <w:t>y</w:t>
      </w:r>
      <w:r>
        <w:rPr>
          <w:color w:val="231F20"/>
          <w:spacing w:val="-30"/>
          <w:w w:val="105"/>
        </w:rPr>
        <w:t> </w:t>
      </w:r>
      <w:r>
        <w:rPr>
          <w:color w:val="231F20"/>
          <w:w w:val="105"/>
        </w:rPr>
        <w:t>mantenidos.</w:t>
      </w:r>
    </w:p>
    <w:p>
      <w:pPr>
        <w:pStyle w:val="BodyText"/>
        <w:spacing w:line="259" w:lineRule="auto"/>
        <w:ind w:left="103" w:right="114" w:firstLine="567"/>
        <w:jc w:val="both"/>
      </w:pPr>
      <w:r>
        <w:rPr>
          <w:color w:val="231F20"/>
          <w:w w:val="105"/>
        </w:rPr>
        <w:t>Según Martín (1993) y Velázquez (1997), los nuevos factores de competitividad no son nuevos en el sentido de novedad que supone</w:t>
      </w:r>
      <w:r>
        <w:rPr>
          <w:color w:val="231F20"/>
          <w:spacing w:val="-22"/>
          <w:w w:val="105"/>
        </w:rPr>
        <w:t> </w:t>
      </w:r>
      <w:r>
        <w:rPr>
          <w:color w:val="231F20"/>
          <w:w w:val="105"/>
        </w:rPr>
        <w:t>su inclusión</w:t>
      </w:r>
      <w:r>
        <w:rPr>
          <w:color w:val="231F20"/>
          <w:spacing w:val="-19"/>
          <w:w w:val="105"/>
        </w:rPr>
        <w:t> </w:t>
      </w:r>
      <w:r>
        <w:rPr>
          <w:color w:val="231F20"/>
          <w:w w:val="105"/>
        </w:rPr>
        <w:t>dentro</w:t>
      </w:r>
      <w:r>
        <w:rPr>
          <w:color w:val="231F20"/>
          <w:spacing w:val="-19"/>
          <w:w w:val="105"/>
        </w:rPr>
        <w:t> </w:t>
      </w:r>
      <w:r>
        <w:rPr>
          <w:color w:val="231F20"/>
          <w:w w:val="105"/>
        </w:rPr>
        <w:t>del</w:t>
      </w:r>
      <w:r>
        <w:rPr>
          <w:color w:val="231F20"/>
          <w:spacing w:val="-19"/>
          <w:w w:val="105"/>
        </w:rPr>
        <w:t> </w:t>
      </w:r>
      <w:r>
        <w:rPr>
          <w:color w:val="231F20"/>
          <w:w w:val="105"/>
        </w:rPr>
        <w:t>análisis</w:t>
      </w:r>
      <w:r>
        <w:rPr>
          <w:color w:val="231F20"/>
          <w:spacing w:val="-19"/>
          <w:w w:val="105"/>
        </w:rPr>
        <w:t> </w:t>
      </w:r>
      <w:r>
        <w:rPr>
          <w:color w:val="231F20"/>
          <w:w w:val="105"/>
        </w:rPr>
        <w:t>teórico,</w:t>
      </w:r>
      <w:r>
        <w:rPr>
          <w:color w:val="231F20"/>
          <w:spacing w:val="-25"/>
          <w:w w:val="105"/>
        </w:rPr>
        <w:t> </w:t>
      </w:r>
      <w:r>
        <w:rPr>
          <w:color w:val="231F20"/>
          <w:w w:val="105"/>
        </w:rPr>
        <w:t>sino</w:t>
      </w:r>
      <w:r>
        <w:rPr>
          <w:color w:val="231F20"/>
          <w:spacing w:val="-19"/>
          <w:w w:val="105"/>
        </w:rPr>
        <w:t> </w:t>
      </w:r>
      <w:r>
        <w:rPr>
          <w:color w:val="231F20"/>
          <w:w w:val="105"/>
        </w:rPr>
        <w:t>más</w:t>
      </w:r>
      <w:r>
        <w:rPr>
          <w:color w:val="231F20"/>
          <w:spacing w:val="-19"/>
          <w:w w:val="105"/>
        </w:rPr>
        <w:t> </w:t>
      </w:r>
      <w:r>
        <w:rPr>
          <w:color w:val="231F20"/>
          <w:w w:val="105"/>
        </w:rPr>
        <w:t>bien,</w:t>
      </w:r>
      <w:r>
        <w:rPr>
          <w:color w:val="231F20"/>
          <w:spacing w:val="-25"/>
          <w:w w:val="105"/>
        </w:rPr>
        <w:t> </w:t>
      </w:r>
      <w:r>
        <w:rPr>
          <w:color w:val="231F20"/>
          <w:w w:val="105"/>
        </w:rPr>
        <w:t>porque</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está utilizando</w:t>
      </w:r>
      <w:r>
        <w:rPr>
          <w:color w:val="231F20"/>
          <w:spacing w:val="-21"/>
          <w:w w:val="105"/>
        </w:rPr>
        <w:t> </w:t>
      </w:r>
      <w:r>
        <w:rPr>
          <w:color w:val="231F20"/>
          <w:w w:val="105"/>
        </w:rPr>
        <w:t>son</w:t>
      </w:r>
      <w:r>
        <w:rPr>
          <w:color w:val="231F20"/>
          <w:spacing w:val="-21"/>
          <w:w w:val="105"/>
        </w:rPr>
        <w:t> </w:t>
      </w:r>
      <w:r>
        <w:rPr>
          <w:color w:val="231F20"/>
          <w:w w:val="105"/>
        </w:rPr>
        <w:t>evoluciones</w:t>
      </w:r>
      <w:r>
        <w:rPr>
          <w:color w:val="231F20"/>
          <w:spacing w:val="-21"/>
          <w:w w:val="105"/>
        </w:rPr>
        <w:t> </w:t>
      </w:r>
      <w:r>
        <w:rPr>
          <w:color w:val="231F20"/>
          <w:w w:val="105"/>
        </w:rPr>
        <w:t>de</w:t>
      </w:r>
      <w:r>
        <w:rPr>
          <w:color w:val="231F20"/>
          <w:spacing w:val="-21"/>
          <w:w w:val="105"/>
        </w:rPr>
        <w:t> </w:t>
      </w:r>
      <w:r>
        <w:rPr>
          <w:color w:val="231F20"/>
          <w:w w:val="105"/>
        </w:rPr>
        <w:t>índices,</w:t>
      </w:r>
      <w:r>
        <w:rPr>
          <w:color w:val="231F20"/>
          <w:spacing w:val="-26"/>
          <w:w w:val="105"/>
        </w:rPr>
        <w:t> </w:t>
      </w:r>
      <w:r>
        <w:rPr>
          <w:color w:val="231F20"/>
          <w:w w:val="105"/>
        </w:rPr>
        <w:t>indicadores,</w:t>
      </w:r>
      <w:r>
        <w:rPr>
          <w:color w:val="231F20"/>
          <w:spacing w:val="-26"/>
          <w:w w:val="105"/>
        </w:rPr>
        <w:t> </w:t>
      </w:r>
      <w:r>
        <w:rPr>
          <w:color w:val="231F20"/>
          <w:w w:val="105"/>
        </w:rPr>
        <w:t>factores</w:t>
      </w:r>
      <w:r>
        <w:rPr>
          <w:color w:val="231F20"/>
          <w:spacing w:val="-21"/>
          <w:w w:val="105"/>
        </w:rPr>
        <w:t> </w:t>
      </w:r>
      <w:r>
        <w:rPr>
          <w:color w:val="231F20"/>
          <w:w w:val="105"/>
        </w:rPr>
        <w:t>y</w:t>
      </w:r>
      <w:r>
        <w:rPr>
          <w:color w:val="231F20"/>
          <w:spacing w:val="-21"/>
          <w:w w:val="105"/>
        </w:rPr>
        <w:t> </w:t>
      </w:r>
      <w:r>
        <w:rPr>
          <w:color w:val="231F20"/>
          <w:w w:val="105"/>
        </w:rPr>
        <w:t>no</w:t>
      </w:r>
      <w:r>
        <w:rPr>
          <w:color w:val="231F20"/>
          <w:spacing w:val="-21"/>
          <w:w w:val="105"/>
        </w:rPr>
        <w:t> </w:t>
      </w:r>
      <w:r>
        <w:rPr>
          <w:color w:val="231F20"/>
          <w:w w:val="105"/>
        </w:rPr>
        <w:t>niveles. Desde</w:t>
      </w:r>
      <w:r>
        <w:rPr>
          <w:color w:val="231F20"/>
          <w:spacing w:val="-20"/>
          <w:w w:val="105"/>
        </w:rPr>
        <w:t> </w:t>
      </w:r>
      <w:r>
        <w:rPr>
          <w:color w:val="231F20"/>
          <w:w w:val="105"/>
        </w:rPr>
        <w:t>lo</w:t>
      </w:r>
      <w:r>
        <w:rPr>
          <w:color w:val="231F20"/>
          <w:spacing w:val="-20"/>
          <w:w w:val="105"/>
        </w:rPr>
        <w:t> </w:t>
      </w:r>
      <w:r>
        <w:rPr>
          <w:color w:val="231F20"/>
          <w:w w:val="105"/>
        </w:rPr>
        <w:t>macroeconómico</w:t>
      </w:r>
      <w:r>
        <w:rPr>
          <w:color w:val="231F20"/>
          <w:spacing w:val="-20"/>
          <w:w w:val="105"/>
        </w:rPr>
        <w:t> </w:t>
      </w:r>
      <w:r>
        <w:rPr>
          <w:color w:val="231F20"/>
          <w:w w:val="105"/>
        </w:rPr>
        <w:t>se</w:t>
      </w:r>
      <w:r>
        <w:rPr>
          <w:color w:val="231F20"/>
          <w:spacing w:val="-20"/>
          <w:w w:val="105"/>
        </w:rPr>
        <w:t> </w:t>
      </w:r>
      <w:r>
        <w:rPr>
          <w:color w:val="231F20"/>
          <w:w w:val="105"/>
        </w:rPr>
        <w:t>hace</w:t>
      </w:r>
      <w:r>
        <w:rPr>
          <w:color w:val="231F20"/>
          <w:spacing w:val="-20"/>
          <w:w w:val="105"/>
        </w:rPr>
        <w:t> </w:t>
      </w:r>
      <w:r>
        <w:rPr>
          <w:color w:val="231F20"/>
          <w:w w:val="105"/>
        </w:rPr>
        <w:t>referencia</w:t>
      </w:r>
      <w:r>
        <w:rPr>
          <w:color w:val="231F20"/>
          <w:spacing w:val="-20"/>
          <w:w w:val="105"/>
        </w:rPr>
        <w:t> </w:t>
      </w:r>
      <w:r>
        <w:rPr>
          <w:color w:val="231F20"/>
          <w:w w:val="105"/>
        </w:rPr>
        <w:t>a</w:t>
      </w:r>
      <w:r>
        <w:rPr>
          <w:color w:val="231F20"/>
          <w:spacing w:val="-20"/>
          <w:w w:val="105"/>
        </w:rPr>
        <w:t> </w:t>
      </w:r>
      <w:r>
        <w:rPr>
          <w:color w:val="231F20"/>
          <w:w w:val="105"/>
        </w:rPr>
        <w:t>la</w:t>
      </w:r>
      <w:r>
        <w:rPr>
          <w:color w:val="231F20"/>
          <w:spacing w:val="-20"/>
          <w:w w:val="105"/>
        </w:rPr>
        <w:t> </w:t>
      </w:r>
      <w:r>
        <w:rPr>
          <w:color w:val="231F20"/>
          <w:w w:val="105"/>
        </w:rPr>
        <w:t>teoría</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causación circular</w:t>
      </w:r>
      <w:r>
        <w:rPr>
          <w:color w:val="231F20"/>
          <w:spacing w:val="-22"/>
          <w:w w:val="105"/>
        </w:rPr>
        <w:t> </w:t>
      </w:r>
      <w:r>
        <w:rPr>
          <w:color w:val="231F20"/>
          <w:w w:val="105"/>
        </w:rPr>
        <w:t>de</w:t>
      </w:r>
      <w:r>
        <w:rPr>
          <w:color w:val="231F20"/>
          <w:spacing w:val="-22"/>
          <w:w w:val="105"/>
        </w:rPr>
        <w:t> </w:t>
      </w:r>
      <w:r>
        <w:rPr>
          <w:color w:val="231F20"/>
          <w:w w:val="105"/>
        </w:rPr>
        <w:t>Myrdal</w:t>
      </w:r>
      <w:r>
        <w:rPr>
          <w:color w:val="231F20"/>
          <w:spacing w:val="-22"/>
          <w:w w:val="105"/>
        </w:rPr>
        <w:t> </w:t>
      </w:r>
      <w:r>
        <w:rPr>
          <w:color w:val="231F20"/>
          <w:w w:val="105"/>
        </w:rPr>
        <w:t>para</w:t>
      </w:r>
      <w:r>
        <w:rPr>
          <w:color w:val="231F20"/>
          <w:spacing w:val="-22"/>
          <w:w w:val="105"/>
        </w:rPr>
        <w:t> </w:t>
      </w:r>
      <w:r>
        <w:rPr>
          <w:color w:val="231F20"/>
          <w:w w:val="105"/>
        </w:rPr>
        <w:t>explicar</w:t>
      </w:r>
      <w:r>
        <w:rPr>
          <w:color w:val="231F20"/>
          <w:spacing w:val="-22"/>
          <w:w w:val="105"/>
        </w:rPr>
        <w:t> </w:t>
      </w:r>
      <w:r>
        <w:rPr>
          <w:color w:val="231F20"/>
          <w:w w:val="105"/>
        </w:rPr>
        <w:t>los</w:t>
      </w:r>
      <w:r>
        <w:rPr>
          <w:color w:val="231F20"/>
          <w:spacing w:val="-22"/>
          <w:w w:val="105"/>
        </w:rPr>
        <w:t> </w:t>
      </w:r>
      <w:r>
        <w:rPr>
          <w:color w:val="231F20"/>
          <w:w w:val="105"/>
        </w:rPr>
        <w:t>efectos</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IED,</w:t>
      </w:r>
      <w:r>
        <w:rPr>
          <w:color w:val="231F20"/>
          <w:spacing w:val="-27"/>
          <w:w w:val="105"/>
        </w:rPr>
        <w:t> </w:t>
      </w:r>
      <w:r>
        <w:rPr>
          <w:color w:val="231F20"/>
          <w:w w:val="105"/>
        </w:rPr>
        <w:t>ya</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w w:val="105"/>
        </w:rPr>
        <w:t>incremen- to</w:t>
      </w:r>
      <w:r>
        <w:rPr>
          <w:color w:val="231F20"/>
          <w:spacing w:val="-4"/>
          <w:w w:val="105"/>
        </w:rPr>
        <w:t> </w:t>
      </w:r>
      <w:r>
        <w:rPr>
          <w:color w:val="231F20"/>
          <w:w w:val="105"/>
        </w:rPr>
        <w:t>de</w:t>
      </w:r>
      <w:r>
        <w:rPr>
          <w:color w:val="231F20"/>
          <w:spacing w:val="-4"/>
          <w:w w:val="105"/>
        </w:rPr>
        <w:t> </w:t>
      </w:r>
      <w:r>
        <w:rPr>
          <w:color w:val="231F20"/>
          <w:w w:val="105"/>
        </w:rPr>
        <w:t>beneficios</w:t>
      </w:r>
      <w:r>
        <w:rPr>
          <w:color w:val="231F20"/>
          <w:spacing w:val="-4"/>
          <w:w w:val="105"/>
        </w:rPr>
        <w:t> </w:t>
      </w:r>
      <w:r>
        <w:rPr>
          <w:color w:val="231F20"/>
          <w:w w:val="105"/>
        </w:rPr>
        <w:t>se</w:t>
      </w:r>
      <w:r>
        <w:rPr>
          <w:color w:val="231F20"/>
          <w:spacing w:val="-4"/>
          <w:w w:val="105"/>
        </w:rPr>
        <w:t> </w:t>
      </w:r>
      <w:r>
        <w:rPr>
          <w:color w:val="231F20"/>
          <w:w w:val="105"/>
        </w:rPr>
        <w:t>localiza</w:t>
      </w:r>
      <w:r>
        <w:rPr>
          <w:color w:val="231F20"/>
          <w:spacing w:val="-4"/>
          <w:w w:val="105"/>
        </w:rPr>
        <w:t> </w:t>
      </w:r>
      <w:r>
        <w:rPr>
          <w:color w:val="231F20"/>
          <w:w w:val="105"/>
        </w:rPr>
        <w:t>donde</w:t>
      </w:r>
      <w:r>
        <w:rPr>
          <w:color w:val="231F20"/>
          <w:spacing w:val="-4"/>
          <w:w w:val="105"/>
        </w:rPr>
        <w:t> </w:t>
      </w:r>
      <w:r>
        <w:rPr>
          <w:color w:val="231F20"/>
          <w:w w:val="105"/>
        </w:rPr>
        <w:t>sea</w:t>
      </w:r>
      <w:r>
        <w:rPr>
          <w:color w:val="231F20"/>
          <w:spacing w:val="-4"/>
          <w:w w:val="105"/>
        </w:rPr>
        <w:t> </w:t>
      </w:r>
      <w:r>
        <w:rPr>
          <w:color w:val="231F20"/>
          <w:w w:val="105"/>
        </w:rPr>
        <w:t>mayor</w:t>
      </w:r>
      <w:r>
        <w:rPr>
          <w:color w:val="231F20"/>
          <w:spacing w:val="-4"/>
          <w:w w:val="105"/>
        </w:rPr>
        <w:t> </w:t>
      </w:r>
      <w:r>
        <w:rPr>
          <w:color w:val="231F20"/>
          <w:w w:val="105"/>
        </w:rPr>
        <w:t>el</w:t>
      </w:r>
      <w:r>
        <w:rPr>
          <w:color w:val="231F20"/>
          <w:spacing w:val="-4"/>
          <w:w w:val="105"/>
        </w:rPr>
        <w:t> </w:t>
      </w:r>
      <w:r>
        <w:rPr>
          <w:color w:val="231F20"/>
          <w:w w:val="105"/>
        </w:rPr>
        <w:t>tamaño</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dinamismo del mercado, acción que desequilibra y crea desigualdades aunque</w:t>
      </w:r>
      <w:r>
        <w:rPr>
          <w:color w:val="231F20"/>
          <w:spacing w:val="-32"/>
          <w:w w:val="105"/>
        </w:rPr>
        <w:t> </w:t>
      </w:r>
      <w:r>
        <w:rPr>
          <w:color w:val="231F20"/>
          <w:w w:val="105"/>
        </w:rPr>
        <w:t>los</w:t>
      </w:r>
    </w:p>
    <w:p>
      <w:pPr>
        <w:pStyle w:val="BodyText"/>
        <w:rPr>
          <w:sz w:val="20"/>
        </w:rPr>
      </w:pPr>
    </w:p>
    <w:p>
      <w:pPr>
        <w:pStyle w:val="BodyText"/>
        <w:rPr>
          <w:sz w:val="20"/>
        </w:rPr>
      </w:pPr>
    </w:p>
    <w:p>
      <w:pPr>
        <w:pStyle w:val="BodyText"/>
        <w:spacing w:before="6"/>
        <w:rPr>
          <w:sz w:val="1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21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270</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192"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271</w:t>
      </w:r>
    </w:p>
    <w:p>
      <w:pPr>
        <w:pStyle w:val="BodyText"/>
        <w:rPr>
          <w:sz w:val="20"/>
        </w:rPr>
      </w:pPr>
    </w:p>
    <w:p>
      <w:pPr>
        <w:pStyle w:val="BodyText"/>
        <w:rPr>
          <w:sz w:val="20"/>
        </w:rPr>
      </w:pPr>
    </w:p>
    <w:p>
      <w:pPr>
        <w:pStyle w:val="BodyText"/>
        <w:spacing w:line="259" w:lineRule="auto" w:before="176"/>
        <w:ind w:left="117" w:right="101"/>
        <w:jc w:val="both"/>
      </w:pPr>
      <w:r>
        <w:rPr>
          <w:color w:val="231F20"/>
          <w:w w:val="105"/>
        </w:rPr>
        <w:t>inversores</w:t>
      </w:r>
      <w:r>
        <w:rPr>
          <w:color w:val="231F20"/>
          <w:spacing w:val="-18"/>
          <w:w w:val="105"/>
        </w:rPr>
        <w:t> </w:t>
      </w:r>
      <w:r>
        <w:rPr>
          <w:color w:val="231F20"/>
          <w:w w:val="105"/>
        </w:rPr>
        <w:t>no</w:t>
      </w:r>
      <w:r>
        <w:rPr>
          <w:color w:val="231F20"/>
          <w:spacing w:val="-18"/>
          <w:w w:val="105"/>
        </w:rPr>
        <w:t> </w:t>
      </w:r>
      <w:r>
        <w:rPr>
          <w:color w:val="231F20"/>
          <w:w w:val="105"/>
        </w:rPr>
        <w:t>se</w:t>
      </w:r>
      <w:r>
        <w:rPr>
          <w:color w:val="231F20"/>
          <w:spacing w:val="-18"/>
          <w:w w:val="105"/>
        </w:rPr>
        <w:t> </w:t>
      </w:r>
      <w:r>
        <w:rPr>
          <w:color w:val="231F20"/>
          <w:w w:val="105"/>
        </w:rPr>
        <w:t>lo</w:t>
      </w:r>
      <w:r>
        <w:rPr>
          <w:color w:val="231F20"/>
          <w:spacing w:val="-18"/>
          <w:w w:val="105"/>
        </w:rPr>
        <w:t> </w:t>
      </w:r>
      <w:r>
        <w:rPr>
          <w:color w:val="231F20"/>
          <w:w w:val="105"/>
        </w:rPr>
        <w:t>propongan</w:t>
      </w:r>
      <w:r>
        <w:rPr>
          <w:color w:val="231F20"/>
          <w:spacing w:val="-18"/>
          <w:w w:val="105"/>
        </w:rPr>
        <w:t> </w:t>
      </w:r>
      <w:r>
        <w:rPr>
          <w:color w:val="231F20"/>
          <w:w w:val="105"/>
        </w:rPr>
        <w:t>(Dussel,</w:t>
      </w:r>
      <w:r>
        <w:rPr>
          <w:color w:val="231F20"/>
          <w:spacing w:val="-22"/>
          <w:w w:val="105"/>
        </w:rPr>
        <w:t> </w:t>
      </w:r>
      <w:r>
        <w:rPr>
          <w:color w:val="231F20"/>
          <w:w w:val="105"/>
        </w:rPr>
        <w:t>2004).</w:t>
      </w:r>
      <w:r>
        <w:rPr>
          <w:color w:val="231F20"/>
          <w:spacing w:val="-22"/>
          <w:w w:val="105"/>
        </w:rPr>
        <w:t> </w:t>
      </w:r>
      <w:r>
        <w:rPr>
          <w:color w:val="231F20"/>
          <w:w w:val="105"/>
        </w:rPr>
        <w:t>La</w:t>
      </w:r>
      <w:r>
        <w:rPr>
          <w:color w:val="231F20"/>
          <w:spacing w:val="-18"/>
          <w:w w:val="105"/>
        </w:rPr>
        <w:t> </w:t>
      </w:r>
      <w:r>
        <w:rPr>
          <w:color w:val="231F20"/>
          <w:w w:val="105"/>
        </w:rPr>
        <w:t>conclusión</w:t>
      </w:r>
      <w:r>
        <w:rPr>
          <w:color w:val="231F20"/>
          <w:spacing w:val="-18"/>
          <w:w w:val="105"/>
        </w:rPr>
        <w:t> </w:t>
      </w:r>
      <w:r>
        <w:rPr>
          <w:color w:val="231F20"/>
          <w:w w:val="105"/>
        </w:rPr>
        <w:t>más</w:t>
      </w:r>
      <w:r>
        <w:rPr>
          <w:color w:val="231F20"/>
          <w:spacing w:val="-18"/>
          <w:w w:val="105"/>
        </w:rPr>
        <w:t> </w:t>
      </w:r>
      <w:r>
        <w:rPr>
          <w:color w:val="231F20"/>
          <w:w w:val="105"/>
        </w:rPr>
        <w:t>impor- tante de este modelo macro es que la apertura externa es una de las variables</w:t>
      </w:r>
      <w:r>
        <w:rPr>
          <w:color w:val="231F20"/>
          <w:spacing w:val="-19"/>
          <w:w w:val="105"/>
        </w:rPr>
        <w:t> </w:t>
      </w:r>
      <w:r>
        <w:rPr>
          <w:color w:val="231F20"/>
          <w:w w:val="105"/>
        </w:rPr>
        <w:t>más</w:t>
      </w:r>
      <w:r>
        <w:rPr>
          <w:color w:val="231F20"/>
          <w:spacing w:val="-19"/>
          <w:w w:val="105"/>
        </w:rPr>
        <w:t> </w:t>
      </w:r>
      <w:r>
        <w:rPr>
          <w:color w:val="231F20"/>
          <w:w w:val="105"/>
        </w:rPr>
        <w:t>importante</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atracción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IE</w:t>
      </w:r>
      <w:r>
        <w:rPr>
          <w:color w:val="231F20"/>
          <w:spacing w:val="-19"/>
          <w:w w:val="105"/>
        </w:rPr>
        <w:t> </w:t>
      </w:r>
      <w:r>
        <w:rPr>
          <w:color w:val="231F20"/>
          <w:w w:val="105"/>
        </w:rPr>
        <w:t>y</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costos</w:t>
      </w:r>
      <w:r>
        <w:rPr>
          <w:color w:val="231F20"/>
          <w:spacing w:val="-19"/>
          <w:w w:val="105"/>
        </w:rPr>
        <w:t> </w:t>
      </w:r>
      <w:r>
        <w:rPr>
          <w:color w:val="231F20"/>
          <w:w w:val="105"/>
        </w:rPr>
        <w:t>labo- rales</w:t>
      </w:r>
      <w:r>
        <w:rPr>
          <w:color w:val="231F20"/>
          <w:spacing w:val="-17"/>
          <w:w w:val="105"/>
        </w:rPr>
        <w:t> </w:t>
      </w:r>
      <w:r>
        <w:rPr>
          <w:color w:val="231F20"/>
          <w:w w:val="105"/>
        </w:rPr>
        <w:t>tienen</w:t>
      </w:r>
      <w:r>
        <w:rPr>
          <w:color w:val="231F20"/>
          <w:spacing w:val="-17"/>
          <w:w w:val="105"/>
        </w:rPr>
        <w:t> </w:t>
      </w:r>
      <w:r>
        <w:rPr>
          <w:color w:val="231F20"/>
          <w:w w:val="105"/>
        </w:rPr>
        <w:t>el</w:t>
      </w:r>
      <w:r>
        <w:rPr>
          <w:color w:val="231F20"/>
          <w:spacing w:val="-17"/>
          <w:w w:val="105"/>
        </w:rPr>
        <w:t> </w:t>
      </w:r>
      <w:r>
        <w:rPr>
          <w:color w:val="231F20"/>
          <w:w w:val="105"/>
        </w:rPr>
        <w:t>menor</w:t>
      </w:r>
      <w:r>
        <w:rPr>
          <w:color w:val="231F20"/>
          <w:spacing w:val="-17"/>
          <w:w w:val="105"/>
        </w:rPr>
        <w:t> </w:t>
      </w:r>
      <w:r>
        <w:rPr>
          <w:color w:val="231F20"/>
          <w:w w:val="105"/>
        </w:rPr>
        <w:t>peso.</w:t>
      </w:r>
    </w:p>
    <w:p>
      <w:pPr>
        <w:pStyle w:val="BodyText"/>
        <w:spacing w:line="259" w:lineRule="auto"/>
        <w:ind w:left="117" w:right="100" w:firstLine="567"/>
        <w:jc w:val="both"/>
      </w:pPr>
      <w:r>
        <w:rPr>
          <w:color w:val="231F20"/>
          <w:w w:val="105"/>
        </w:rPr>
        <w:t>Este enfoque macroeconómico de competitividad también se re- laciona</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11"/>
          <w:w w:val="105"/>
        </w:rPr>
        <w:t> </w:t>
      </w:r>
      <w:r>
        <w:rPr>
          <w:color w:val="231F20"/>
          <w:spacing w:val="-4"/>
          <w:w w:val="105"/>
        </w:rPr>
        <w:t>Teoría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Paridad</w:t>
      </w:r>
      <w:r>
        <w:rPr>
          <w:color w:val="231F20"/>
          <w:spacing w:val="-7"/>
          <w:w w:val="105"/>
        </w:rPr>
        <w:t> </w:t>
      </w:r>
      <w:r>
        <w:rPr>
          <w:color w:val="231F20"/>
          <w:w w:val="105"/>
        </w:rPr>
        <w:t>del</w:t>
      </w:r>
      <w:r>
        <w:rPr>
          <w:color w:val="231F20"/>
          <w:spacing w:val="-7"/>
          <w:w w:val="105"/>
        </w:rPr>
        <w:t> </w:t>
      </w:r>
      <w:r>
        <w:rPr>
          <w:color w:val="231F20"/>
          <w:spacing w:val="-4"/>
          <w:w w:val="105"/>
        </w:rPr>
        <w:t>Poder</w:t>
      </w:r>
      <w:r>
        <w:rPr>
          <w:color w:val="231F20"/>
          <w:spacing w:val="-10"/>
          <w:w w:val="105"/>
        </w:rPr>
        <w:t> </w:t>
      </w:r>
      <w:r>
        <w:rPr>
          <w:color w:val="231F20"/>
          <w:w w:val="105"/>
        </w:rPr>
        <w:t>Adquisitivo,</w:t>
      </w:r>
      <w:r>
        <w:rPr>
          <w:color w:val="231F20"/>
          <w:spacing w:val="-13"/>
          <w:w w:val="105"/>
        </w:rPr>
        <w:t> </w:t>
      </w:r>
      <w:r>
        <w:rPr>
          <w:color w:val="231F20"/>
          <w:w w:val="105"/>
        </w:rPr>
        <w:t>la</w:t>
      </w:r>
      <w:r>
        <w:rPr>
          <w:color w:val="231F20"/>
          <w:spacing w:val="-7"/>
          <w:w w:val="105"/>
        </w:rPr>
        <w:t> </w:t>
      </w:r>
      <w:r>
        <w:rPr>
          <w:color w:val="231F20"/>
          <w:w w:val="105"/>
        </w:rPr>
        <w:t>cual</w:t>
      </w:r>
      <w:r>
        <w:rPr>
          <w:color w:val="231F20"/>
          <w:spacing w:val="-7"/>
          <w:w w:val="105"/>
        </w:rPr>
        <w:t> </w:t>
      </w:r>
      <w:r>
        <w:rPr>
          <w:color w:val="231F20"/>
          <w:w w:val="105"/>
        </w:rPr>
        <w:t>explica que</w:t>
      </w:r>
      <w:r>
        <w:rPr>
          <w:color w:val="231F20"/>
          <w:spacing w:val="-15"/>
          <w:w w:val="105"/>
        </w:rPr>
        <w:t> </w:t>
      </w:r>
      <w:r>
        <w:rPr>
          <w:color w:val="231F20"/>
          <w:w w:val="105"/>
        </w:rPr>
        <w:t>el</w:t>
      </w:r>
      <w:r>
        <w:rPr>
          <w:color w:val="231F20"/>
          <w:spacing w:val="-15"/>
          <w:w w:val="105"/>
        </w:rPr>
        <w:t> </w:t>
      </w:r>
      <w:r>
        <w:rPr>
          <w:color w:val="231F20"/>
          <w:w w:val="105"/>
        </w:rPr>
        <w:t>factor</w:t>
      </w:r>
      <w:r>
        <w:rPr>
          <w:color w:val="231F20"/>
          <w:spacing w:val="-15"/>
          <w:w w:val="105"/>
        </w:rPr>
        <w:t> </w:t>
      </w:r>
      <w:r>
        <w:rPr>
          <w:color w:val="231F20"/>
          <w:w w:val="105"/>
        </w:rPr>
        <w:t>competitivo</w:t>
      </w:r>
      <w:r>
        <w:rPr>
          <w:color w:val="231F20"/>
          <w:spacing w:val="-15"/>
          <w:w w:val="105"/>
        </w:rPr>
        <w:t> </w:t>
      </w:r>
      <w:r>
        <w:rPr>
          <w:color w:val="231F20"/>
          <w:w w:val="105"/>
        </w:rPr>
        <w:t>esencial</w:t>
      </w:r>
      <w:r>
        <w:rPr>
          <w:color w:val="231F20"/>
          <w:spacing w:val="-15"/>
          <w:w w:val="105"/>
        </w:rPr>
        <w:t> </w:t>
      </w:r>
      <w:r>
        <w:rPr>
          <w:color w:val="231F20"/>
          <w:w w:val="105"/>
        </w:rPr>
        <w:t>son</w:t>
      </w:r>
      <w:r>
        <w:rPr>
          <w:color w:val="231F20"/>
          <w:spacing w:val="-15"/>
          <w:w w:val="105"/>
        </w:rPr>
        <w:t> </w:t>
      </w:r>
      <w:r>
        <w:rPr>
          <w:color w:val="231F20"/>
          <w:w w:val="105"/>
        </w:rPr>
        <w:t>los</w:t>
      </w:r>
      <w:r>
        <w:rPr>
          <w:color w:val="231F20"/>
          <w:spacing w:val="-15"/>
          <w:w w:val="105"/>
        </w:rPr>
        <w:t> </w:t>
      </w:r>
      <w:r>
        <w:rPr>
          <w:color w:val="231F20"/>
          <w:w w:val="105"/>
        </w:rPr>
        <w:t>costos</w:t>
      </w:r>
      <w:r>
        <w:rPr>
          <w:color w:val="231F20"/>
          <w:spacing w:val="-15"/>
          <w:w w:val="105"/>
        </w:rPr>
        <w:t> </w:t>
      </w:r>
      <w:r>
        <w:rPr>
          <w:color w:val="231F20"/>
          <w:w w:val="105"/>
        </w:rPr>
        <w:t>y</w:t>
      </w:r>
      <w:r>
        <w:rPr>
          <w:color w:val="231F20"/>
          <w:spacing w:val="-15"/>
          <w:w w:val="105"/>
        </w:rPr>
        <w:t> </w:t>
      </w:r>
      <w:r>
        <w:rPr>
          <w:color w:val="231F20"/>
          <w:w w:val="105"/>
        </w:rPr>
        <w:t>los</w:t>
      </w:r>
      <w:r>
        <w:rPr>
          <w:color w:val="231F20"/>
          <w:spacing w:val="-15"/>
          <w:w w:val="105"/>
        </w:rPr>
        <w:t> </w:t>
      </w:r>
      <w:r>
        <w:rPr>
          <w:color w:val="231F20"/>
          <w:w w:val="105"/>
        </w:rPr>
        <w:t>precios,</w:t>
      </w:r>
      <w:r>
        <w:rPr>
          <w:color w:val="231F20"/>
          <w:spacing w:val="-22"/>
          <w:w w:val="105"/>
        </w:rPr>
        <w:t> </w:t>
      </w:r>
      <w:r>
        <w:rPr>
          <w:color w:val="231F20"/>
          <w:w w:val="105"/>
        </w:rPr>
        <w:t>por</w:t>
      </w:r>
      <w:r>
        <w:rPr>
          <w:color w:val="231F20"/>
          <w:spacing w:val="-15"/>
          <w:w w:val="105"/>
        </w:rPr>
        <w:t> </w:t>
      </w:r>
      <w:r>
        <w:rPr>
          <w:color w:val="231F20"/>
          <w:w w:val="105"/>
        </w:rPr>
        <w:t>lo</w:t>
      </w:r>
      <w:r>
        <w:rPr>
          <w:color w:val="231F20"/>
          <w:spacing w:val="-15"/>
          <w:w w:val="105"/>
        </w:rPr>
        <w:t> </w:t>
      </w:r>
      <w:r>
        <w:rPr>
          <w:color w:val="231F20"/>
          <w:w w:val="105"/>
        </w:rPr>
        <w:t>que para</w:t>
      </w:r>
      <w:r>
        <w:rPr>
          <w:color w:val="231F20"/>
          <w:spacing w:val="-18"/>
          <w:w w:val="105"/>
        </w:rPr>
        <w:t> </w:t>
      </w:r>
      <w:r>
        <w:rPr>
          <w:color w:val="231F20"/>
          <w:w w:val="105"/>
        </w:rPr>
        <w:t>responder</w:t>
      </w:r>
      <w:r>
        <w:rPr>
          <w:color w:val="231F20"/>
          <w:spacing w:val="-18"/>
          <w:w w:val="105"/>
        </w:rPr>
        <w:t> </w:t>
      </w:r>
      <w:r>
        <w:rPr>
          <w:color w:val="231F20"/>
          <w:w w:val="105"/>
        </w:rPr>
        <w:t>a</w:t>
      </w:r>
      <w:r>
        <w:rPr>
          <w:color w:val="231F20"/>
          <w:spacing w:val="-18"/>
          <w:w w:val="105"/>
        </w:rPr>
        <w:t> </w:t>
      </w:r>
      <w:r>
        <w:rPr>
          <w:color w:val="231F20"/>
          <w:w w:val="105"/>
        </w:rPr>
        <w:t>las</w:t>
      </w:r>
      <w:r>
        <w:rPr>
          <w:color w:val="231F20"/>
          <w:spacing w:val="-18"/>
          <w:w w:val="105"/>
        </w:rPr>
        <w:t> </w:t>
      </w:r>
      <w:r>
        <w:rPr>
          <w:color w:val="231F20"/>
          <w:w w:val="105"/>
        </w:rPr>
        <w:t>problemáticas</w:t>
      </w:r>
      <w:r>
        <w:rPr>
          <w:color w:val="231F20"/>
          <w:spacing w:val="-18"/>
          <w:w w:val="105"/>
        </w:rPr>
        <w:t> </w:t>
      </w:r>
      <w:r>
        <w:rPr>
          <w:color w:val="231F20"/>
          <w:w w:val="105"/>
        </w:rPr>
        <w:t>se</w:t>
      </w:r>
      <w:r>
        <w:rPr>
          <w:color w:val="231F20"/>
          <w:spacing w:val="-18"/>
          <w:w w:val="105"/>
        </w:rPr>
        <w:t> </w:t>
      </w:r>
      <w:r>
        <w:rPr>
          <w:color w:val="231F20"/>
          <w:w w:val="105"/>
        </w:rPr>
        <w:t>utiliza</w:t>
      </w:r>
      <w:r>
        <w:rPr>
          <w:color w:val="231F20"/>
          <w:spacing w:val="-18"/>
          <w:w w:val="105"/>
        </w:rPr>
        <w:t> </w:t>
      </w:r>
      <w:r>
        <w:rPr>
          <w:color w:val="231F20"/>
          <w:w w:val="105"/>
        </w:rPr>
        <w:t>el</w:t>
      </w:r>
      <w:r>
        <w:rPr>
          <w:color w:val="231F20"/>
          <w:spacing w:val="-18"/>
          <w:w w:val="105"/>
        </w:rPr>
        <w:t> </w:t>
      </w:r>
      <w:r>
        <w:rPr>
          <w:color w:val="231F20"/>
          <w:w w:val="105"/>
        </w:rPr>
        <w:t>siguiente</w:t>
      </w:r>
      <w:r>
        <w:rPr>
          <w:color w:val="231F20"/>
          <w:spacing w:val="-18"/>
          <w:w w:val="105"/>
        </w:rPr>
        <w:t> </w:t>
      </w:r>
      <w:r>
        <w:rPr>
          <w:color w:val="231F20"/>
          <w:w w:val="105"/>
        </w:rPr>
        <w:t>supuesto:</w:t>
      </w:r>
      <w:r>
        <w:rPr>
          <w:color w:val="231F20"/>
          <w:spacing w:val="-18"/>
          <w:w w:val="105"/>
        </w:rPr>
        <w:t> </w:t>
      </w:r>
      <w:r>
        <w:rPr>
          <w:color w:val="231F20"/>
          <w:w w:val="105"/>
        </w:rPr>
        <w:t>si</w:t>
      </w:r>
      <w:r>
        <w:rPr>
          <w:color w:val="231F20"/>
          <w:spacing w:val="-18"/>
          <w:w w:val="105"/>
        </w:rPr>
        <w:t> </w:t>
      </w:r>
      <w:r>
        <w:rPr>
          <w:color w:val="231F20"/>
          <w:w w:val="105"/>
        </w:rPr>
        <w:t>to- dos</w:t>
      </w:r>
      <w:r>
        <w:rPr>
          <w:color w:val="231F20"/>
          <w:spacing w:val="-13"/>
          <w:w w:val="105"/>
        </w:rPr>
        <w:t> </w:t>
      </w:r>
      <w:r>
        <w:rPr>
          <w:color w:val="231F20"/>
          <w:w w:val="105"/>
        </w:rPr>
        <w:t>los</w:t>
      </w:r>
      <w:r>
        <w:rPr>
          <w:color w:val="231F20"/>
          <w:spacing w:val="-13"/>
          <w:w w:val="105"/>
        </w:rPr>
        <w:t> </w:t>
      </w:r>
      <w:r>
        <w:rPr>
          <w:color w:val="231F20"/>
          <w:w w:val="105"/>
        </w:rPr>
        <w:t>productos</w:t>
      </w:r>
      <w:r>
        <w:rPr>
          <w:color w:val="231F20"/>
          <w:spacing w:val="-13"/>
          <w:w w:val="105"/>
        </w:rPr>
        <w:t> </w:t>
      </w:r>
      <w:r>
        <w:rPr>
          <w:color w:val="231F20"/>
          <w:w w:val="105"/>
        </w:rPr>
        <w:t>fueran</w:t>
      </w:r>
      <w:r>
        <w:rPr>
          <w:color w:val="231F20"/>
          <w:spacing w:val="-13"/>
          <w:w w:val="105"/>
        </w:rPr>
        <w:t> </w:t>
      </w:r>
      <w:r>
        <w:rPr>
          <w:color w:val="231F20"/>
          <w:w w:val="105"/>
        </w:rPr>
        <w:t>comerciables,</w:t>
      </w:r>
      <w:r>
        <w:rPr>
          <w:color w:val="231F20"/>
          <w:spacing w:val="-19"/>
          <w:w w:val="105"/>
        </w:rPr>
        <w:t> </w:t>
      </w:r>
      <w:r>
        <w:rPr>
          <w:color w:val="231F20"/>
          <w:w w:val="105"/>
        </w:rPr>
        <w:t>la</w:t>
      </w:r>
      <w:r>
        <w:rPr>
          <w:color w:val="231F20"/>
          <w:spacing w:val="-13"/>
          <w:w w:val="105"/>
        </w:rPr>
        <w:t> </w:t>
      </w:r>
      <w:r>
        <w:rPr>
          <w:color w:val="231F20"/>
          <w:w w:val="105"/>
        </w:rPr>
        <w:t>ley</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solo</w:t>
      </w:r>
      <w:r>
        <w:rPr>
          <w:color w:val="231F20"/>
          <w:spacing w:val="-13"/>
          <w:w w:val="105"/>
        </w:rPr>
        <w:t> </w:t>
      </w:r>
      <w:r>
        <w:rPr>
          <w:color w:val="231F20"/>
          <w:w w:val="105"/>
        </w:rPr>
        <w:t>precio</w:t>
      </w:r>
      <w:r>
        <w:rPr>
          <w:color w:val="231F20"/>
          <w:spacing w:val="-13"/>
          <w:w w:val="105"/>
        </w:rPr>
        <w:t> </w:t>
      </w:r>
      <w:r>
        <w:rPr>
          <w:color w:val="231F20"/>
          <w:w w:val="105"/>
        </w:rPr>
        <w:t>igualaría los</w:t>
      </w:r>
      <w:r>
        <w:rPr>
          <w:color w:val="231F20"/>
          <w:spacing w:val="-15"/>
          <w:w w:val="105"/>
        </w:rPr>
        <w:t> </w:t>
      </w:r>
      <w:r>
        <w:rPr>
          <w:color w:val="231F20"/>
          <w:w w:val="105"/>
        </w:rPr>
        <w:t>precios</w:t>
      </w:r>
      <w:r>
        <w:rPr>
          <w:color w:val="231F20"/>
          <w:spacing w:val="-15"/>
          <w:w w:val="105"/>
        </w:rPr>
        <w:t> </w:t>
      </w:r>
      <w:r>
        <w:rPr>
          <w:color w:val="231F20"/>
          <w:w w:val="105"/>
        </w:rPr>
        <w:t>reales</w:t>
      </w:r>
      <w:r>
        <w:rPr>
          <w:color w:val="231F20"/>
          <w:spacing w:val="-15"/>
          <w:w w:val="105"/>
        </w:rPr>
        <w:t> </w:t>
      </w:r>
      <w:r>
        <w:rPr>
          <w:color w:val="231F20"/>
          <w:w w:val="105"/>
        </w:rPr>
        <w:t>de</w:t>
      </w:r>
      <w:r>
        <w:rPr>
          <w:color w:val="231F20"/>
          <w:spacing w:val="-15"/>
          <w:w w:val="105"/>
        </w:rPr>
        <w:t> </w:t>
      </w:r>
      <w:r>
        <w:rPr>
          <w:color w:val="231F20"/>
          <w:w w:val="105"/>
        </w:rPr>
        <w:t>todos</w:t>
      </w:r>
      <w:r>
        <w:rPr>
          <w:color w:val="231F20"/>
          <w:spacing w:val="-15"/>
          <w:w w:val="105"/>
        </w:rPr>
        <w:t> </w:t>
      </w:r>
      <w:r>
        <w:rPr>
          <w:color w:val="231F20"/>
          <w:w w:val="105"/>
        </w:rPr>
        <w:t>ellos</w:t>
      </w:r>
      <w:r>
        <w:rPr>
          <w:color w:val="231F20"/>
          <w:spacing w:val="-15"/>
          <w:w w:val="105"/>
        </w:rPr>
        <w:t> </w:t>
      </w:r>
      <w:r>
        <w:rPr>
          <w:color w:val="231F20"/>
          <w:w w:val="105"/>
        </w:rPr>
        <w:t>en</w:t>
      </w:r>
      <w:r>
        <w:rPr>
          <w:color w:val="231F20"/>
          <w:spacing w:val="-15"/>
          <w:w w:val="105"/>
        </w:rPr>
        <w:t> </w:t>
      </w:r>
      <w:r>
        <w:rPr>
          <w:color w:val="231F20"/>
          <w:w w:val="105"/>
        </w:rPr>
        <w:t>cualquier</w:t>
      </w:r>
      <w:r>
        <w:rPr>
          <w:color w:val="231F20"/>
          <w:spacing w:val="-15"/>
          <w:w w:val="105"/>
        </w:rPr>
        <w:t> </w:t>
      </w:r>
      <w:r>
        <w:rPr>
          <w:color w:val="231F20"/>
          <w:w w:val="105"/>
        </w:rPr>
        <w:t>lugar</w:t>
      </w:r>
      <w:r>
        <w:rPr>
          <w:color w:val="231F20"/>
          <w:spacing w:val="-15"/>
          <w:w w:val="105"/>
        </w:rPr>
        <w:t> </w:t>
      </w:r>
      <w:r>
        <w:rPr>
          <w:color w:val="231F20"/>
          <w:w w:val="105"/>
        </w:rPr>
        <w:t>del</w:t>
      </w:r>
      <w:r>
        <w:rPr>
          <w:color w:val="231F20"/>
          <w:spacing w:val="-15"/>
          <w:w w:val="105"/>
        </w:rPr>
        <w:t> </w:t>
      </w:r>
      <w:r>
        <w:rPr>
          <w:color w:val="231F20"/>
          <w:w w:val="105"/>
        </w:rPr>
        <w:t>mundo</w:t>
      </w:r>
      <w:r>
        <w:rPr>
          <w:color w:val="231F20"/>
          <w:spacing w:val="-15"/>
          <w:w w:val="105"/>
        </w:rPr>
        <w:t> </w:t>
      </w:r>
      <w:r>
        <w:rPr>
          <w:color w:val="231F20"/>
          <w:w w:val="105"/>
        </w:rPr>
        <w:t>por</w:t>
      </w:r>
      <w:r>
        <w:rPr>
          <w:color w:val="231F20"/>
          <w:spacing w:val="-15"/>
          <w:w w:val="105"/>
        </w:rPr>
        <w:t> </w:t>
      </w:r>
      <w:r>
        <w:rPr>
          <w:color w:val="231F20"/>
          <w:w w:val="105"/>
        </w:rPr>
        <w:t>medio del arbitraje sobre los mismos, de manera que la igualación de los</w:t>
      </w:r>
      <w:r>
        <w:rPr>
          <w:color w:val="231F20"/>
          <w:spacing w:val="-19"/>
          <w:w w:val="105"/>
        </w:rPr>
        <w:t> </w:t>
      </w:r>
      <w:r>
        <w:rPr>
          <w:color w:val="231F20"/>
          <w:w w:val="105"/>
        </w:rPr>
        <w:t>pre- cios</w:t>
      </w:r>
      <w:r>
        <w:rPr>
          <w:color w:val="231F20"/>
          <w:spacing w:val="-10"/>
          <w:w w:val="105"/>
        </w:rPr>
        <w:t> </w:t>
      </w:r>
      <w:r>
        <w:rPr>
          <w:color w:val="231F20"/>
          <w:w w:val="105"/>
        </w:rPr>
        <w:t>individuales</w:t>
      </w:r>
      <w:r>
        <w:rPr>
          <w:color w:val="231F20"/>
          <w:spacing w:val="-10"/>
          <w:w w:val="105"/>
        </w:rPr>
        <w:t> </w:t>
      </w:r>
      <w:r>
        <w:rPr>
          <w:color w:val="231F20"/>
          <w:w w:val="105"/>
        </w:rPr>
        <w:t>en</w:t>
      </w:r>
      <w:r>
        <w:rPr>
          <w:color w:val="231F20"/>
          <w:spacing w:val="-10"/>
          <w:w w:val="105"/>
        </w:rPr>
        <w:t> </w:t>
      </w:r>
      <w:r>
        <w:rPr>
          <w:color w:val="231F20"/>
          <w:w w:val="105"/>
        </w:rPr>
        <w:t>moneda</w:t>
      </w:r>
      <w:r>
        <w:rPr>
          <w:color w:val="231F20"/>
          <w:spacing w:val="-10"/>
          <w:w w:val="105"/>
        </w:rPr>
        <w:t> </w:t>
      </w:r>
      <w:r>
        <w:rPr>
          <w:color w:val="231F20"/>
          <w:w w:val="105"/>
        </w:rPr>
        <w:t>común,</w:t>
      </w:r>
      <w:r>
        <w:rPr>
          <w:color w:val="231F20"/>
          <w:spacing w:val="-16"/>
          <w:w w:val="105"/>
        </w:rPr>
        <w:t> </w:t>
      </w:r>
      <w:r>
        <w:rPr>
          <w:color w:val="231F20"/>
          <w:w w:val="105"/>
        </w:rPr>
        <w:t>se</w:t>
      </w:r>
      <w:r>
        <w:rPr>
          <w:color w:val="231F20"/>
          <w:spacing w:val="-10"/>
          <w:w w:val="105"/>
        </w:rPr>
        <w:t> </w:t>
      </w:r>
      <w:r>
        <w:rPr>
          <w:color w:val="231F20"/>
          <w:w w:val="105"/>
        </w:rPr>
        <w:t>haría</w:t>
      </w:r>
      <w:r>
        <w:rPr>
          <w:color w:val="231F20"/>
          <w:spacing w:val="-10"/>
          <w:w w:val="105"/>
        </w:rPr>
        <w:t> </w:t>
      </w:r>
      <w:r>
        <w:rPr>
          <w:color w:val="231F20"/>
          <w:w w:val="105"/>
        </w:rPr>
        <w:t>extensiva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totalidad</w:t>
      </w:r>
      <w:r>
        <w:rPr>
          <w:color w:val="231F20"/>
          <w:spacing w:val="-10"/>
          <w:w w:val="105"/>
        </w:rPr>
        <w:t> </w:t>
      </w:r>
      <w:r>
        <w:rPr>
          <w:color w:val="231F20"/>
          <w:w w:val="105"/>
        </w:rPr>
        <w:t>de los</w:t>
      </w:r>
      <w:r>
        <w:rPr>
          <w:color w:val="231F20"/>
          <w:spacing w:val="-42"/>
          <w:w w:val="105"/>
        </w:rPr>
        <w:t> </w:t>
      </w:r>
      <w:r>
        <w:rPr>
          <w:color w:val="231F20"/>
          <w:w w:val="105"/>
        </w:rPr>
        <w:t>bienes</w:t>
      </w:r>
      <w:r>
        <w:rPr>
          <w:color w:val="231F20"/>
          <w:spacing w:val="-42"/>
          <w:w w:val="105"/>
        </w:rPr>
        <w:t> </w:t>
      </w:r>
      <w:r>
        <w:rPr>
          <w:color w:val="231F20"/>
          <w:w w:val="105"/>
        </w:rPr>
        <w:t>(Barker,</w:t>
      </w:r>
      <w:r>
        <w:rPr>
          <w:color w:val="231F20"/>
          <w:spacing w:val="-45"/>
          <w:w w:val="105"/>
        </w:rPr>
        <w:t> </w:t>
      </w:r>
      <w:r>
        <w:rPr>
          <w:color w:val="231F20"/>
          <w:w w:val="105"/>
        </w:rPr>
        <w:t>1977).</w:t>
      </w:r>
    </w:p>
    <w:p>
      <w:pPr>
        <w:pStyle w:val="BodyText"/>
        <w:rPr>
          <w:sz w:val="20"/>
        </w:rPr>
      </w:pPr>
    </w:p>
    <w:p>
      <w:pPr>
        <w:pStyle w:val="BodyText"/>
        <w:spacing w:before="7"/>
        <w:rPr>
          <w:sz w:val="18"/>
        </w:rPr>
      </w:pPr>
    </w:p>
    <w:p>
      <w:pPr>
        <w:pStyle w:val="Heading2"/>
      </w:pPr>
      <w:r>
        <w:rPr>
          <w:color w:val="231F20"/>
        </w:rPr>
        <w:t>Teorías sobre determinantes de la IED</w:t>
      </w:r>
    </w:p>
    <w:p>
      <w:pPr>
        <w:pStyle w:val="BodyText"/>
        <w:rPr>
          <w:b/>
          <w:sz w:val="22"/>
        </w:rPr>
      </w:pPr>
    </w:p>
    <w:p>
      <w:pPr>
        <w:pStyle w:val="BodyText"/>
        <w:rPr>
          <w:b/>
          <w:sz w:val="28"/>
        </w:rPr>
      </w:pPr>
    </w:p>
    <w:p>
      <w:pPr>
        <w:spacing w:before="0"/>
        <w:ind w:left="117" w:right="0" w:firstLine="0"/>
        <w:jc w:val="both"/>
        <w:rPr>
          <w:i/>
          <w:sz w:val="21"/>
        </w:rPr>
      </w:pPr>
      <w:r>
        <w:rPr>
          <w:i/>
          <w:color w:val="231F20"/>
          <w:w w:val="105"/>
          <w:sz w:val="21"/>
        </w:rPr>
        <w:t>Teorías tradicionales del comercio internacional</w:t>
      </w:r>
    </w:p>
    <w:p>
      <w:pPr>
        <w:pStyle w:val="BodyText"/>
        <w:spacing w:before="4"/>
        <w:rPr>
          <w:i/>
          <w:sz w:val="16"/>
        </w:rPr>
      </w:pPr>
    </w:p>
    <w:p>
      <w:pPr>
        <w:pStyle w:val="BodyText"/>
        <w:spacing w:line="259" w:lineRule="auto"/>
        <w:ind w:left="117" w:right="101"/>
        <w:jc w:val="both"/>
      </w:pPr>
      <w:r>
        <w:rPr>
          <w:color w:val="231F20"/>
          <w:w w:val="105"/>
        </w:rPr>
        <w:t>Las</w:t>
      </w:r>
      <w:r>
        <w:rPr>
          <w:color w:val="231F20"/>
          <w:spacing w:val="-38"/>
          <w:w w:val="105"/>
        </w:rPr>
        <w:t> </w:t>
      </w:r>
      <w:r>
        <w:rPr>
          <w:color w:val="231F20"/>
          <w:w w:val="105"/>
        </w:rPr>
        <w:t>teorías</w:t>
      </w:r>
      <w:r>
        <w:rPr>
          <w:color w:val="231F20"/>
          <w:spacing w:val="-38"/>
          <w:w w:val="105"/>
        </w:rPr>
        <w:t> </w:t>
      </w:r>
      <w:r>
        <w:rPr>
          <w:color w:val="231F20"/>
          <w:w w:val="105"/>
        </w:rPr>
        <w:t>sobre</w:t>
      </w:r>
      <w:r>
        <w:rPr>
          <w:color w:val="231F20"/>
          <w:spacing w:val="-38"/>
          <w:w w:val="105"/>
        </w:rPr>
        <w:t> </w:t>
      </w:r>
      <w:r>
        <w:rPr>
          <w:color w:val="231F20"/>
          <w:w w:val="105"/>
        </w:rPr>
        <w:t>los</w:t>
      </w:r>
      <w:r>
        <w:rPr>
          <w:color w:val="231F20"/>
          <w:spacing w:val="-38"/>
          <w:w w:val="105"/>
        </w:rPr>
        <w:t> </w:t>
      </w:r>
      <w:r>
        <w:rPr>
          <w:color w:val="231F20"/>
          <w:w w:val="105"/>
        </w:rPr>
        <w:t>determinantes</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IED</w:t>
      </w:r>
      <w:r>
        <w:rPr>
          <w:color w:val="231F20"/>
          <w:spacing w:val="-38"/>
          <w:w w:val="105"/>
        </w:rPr>
        <w:t> </w:t>
      </w:r>
      <w:r>
        <w:rPr>
          <w:color w:val="231F20"/>
          <w:w w:val="105"/>
        </w:rPr>
        <w:t>son</w:t>
      </w:r>
      <w:r>
        <w:rPr>
          <w:color w:val="231F20"/>
          <w:spacing w:val="-38"/>
          <w:w w:val="105"/>
        </w:rPr>
        <w:t> </w:t>
      </w:r>
      <w:r>
        <w:rPr>
          <w:color w:val="231F20"/>
          <w:w w:val="105"/>
        </w:rPr>
        <w:t>numerosas</w:t>
      </w:r>
      <w:r>
        <w:rPr>
          <w:color w:val="231F20"/>
          <w:spacing w:val="-38"/>
          <w:w w:val="105"/>
        </w:rPr>
        <w:t> </w:t>
      </w:r>
      <w:r>
        <w:rPr>
          <w:color w:val="231F20"/>
          <w:w w:val="105"/>
        </w:rPr>
        <w:t>y</w:t>
      </w:r>
      <w:r>
        <w:rPr>
          <w:color w:val="231F20"/>
          <w:spacing w:val="-38"/>
          <w:w w:val="105"/>
        </w:rPr>
        <w:t> </w:t>
      </w:r>
      <w:r>
        <w:rPr>
          <w:color w:val="231F20"/>
          <w:w w:val="105"/>
        </w:rPr>
        <w:t>entre</w:t>
      </w:r>
      <w:r>
        <w:rPr>
          <w:color w:val="231F20"/>
          <w:spacing w:val="-38"/>
          <w:w w:val="105"/>
        </w:rPr>
        <w:t> </w:t>
      </w:r>
      <w:r>
        <w:rPr>
          <w:color w:val="231F20"/>
          <w:w w:val="105"/>
        </w:rPr>
        <w:t>éstas se</w:t>
      </w:r>
      <w:r>
        <w:rPr>
          <w:color w:val="231F20"/>
          <w:spacing w:val="-23"/>
          <w:w w:val="105"/>
        </w:rPr>
        <w:t> </w:t>
      </w:r>
      <w:r>
        <w:rPr>
          <w:color w:val="231F20"/>
          <w:w w:val="105"/>
        </w:rPr>
        <w:t>encuentran</w:t>
      </w:r>
      <w:r>
        <w:rPr>
          <w:color w:val="231F20"/>
          <w:spacing w:val="-23"/>
          <w:w w:val="105"/>
        </w:rPr>
        <w:t> </w:t>
      </w:r>
      <w:r>
        <w:rPr>
          <w:color w:val="231F20"/>
          <w:w w:val="105"/>
        </w:rPr>
        <w:t>las</w:t>
      </w:r>
      <w:r>
        <w:rPr>
          <w:color w:val="231F20"/>
          <w:spacing w:val="-23"/>
          <w:w w:val="105"/>
        </w:rPr>
        <w:t> </w:t>
      </w:r>
      <w:r>
        <w:rPr>
          <w:color w:val="231F20"/>
          <w:w w:val="105"/>
        </w:rPr>
        <w:t>teorías</w:t>
      </w:r>
      <w:r>
        <w:rPr>
          <w:color w:val="231F20"/>
          <w:spacing w:val="-23"/>
          <w:w w:val="105"/>
        </w:rPr>
        <w:t> </w:t>
      </w:r>
      <w:r>
        <w:rPr>
          <w:color w:val="231F20"/>
          <w:w w:val="105"/>
        </w:rPr>
        <w:t>“tradicionales”</w:t>
      </w:r>
      <w:r>
        <w:rPr>
          <w:color w:val="231F20"/>
          <w:spacing w:val="-23"/>
          <w:w w:val="105"/>
        </w:rPr>
        <w:t> </w:t>
      </w:r>
      <w:r>
        <w:rPr>
          <w:color w:val="231F20"/>
          <w:w w:val="105"/>
        </w:rPr>
        <w:t>del</w:t>
      </w:r>
      <w:r>
        <w:rPr>
          <w:color w:val="231F20"/>
          <w:spacing w:val="-23"/>
          <w:w w:val="105"/>
        </w:rPr>
        <w:t> </w:t>
      </w:r>
      <w:r>
        <w:rPr>
          <w:color w:val="231F20"/>
          <w:w w:val="105"/>
        </w:rPr>
        <w:t>comercio</w:t>
      </w:r>
      <w:r>
        <w:rPr>
          <w:color w:val="231F20"/>
          <w:spacing w:val="-23"/>
          <w:w w:val="105"/>
        </w:rPr>
        <w:t> </w:t>
      </w:r>
      <w:r>
        <w:rPr>
          <w:color w:val="231F20"/>
          <w:w w:val="105"/>
        </w:rPr>
        <w:t>internacional,</w:t>
      </w:r>
      <w:r>
        <w:rPr>
          <w:color w:val="231F20"/>
          <w:spacing w:val="-27"/>
          <w:w w:val="105"/>
        </w:rPr>
        <w:t> </w:t>
      </w:r>
      <w:r>
        <w:rPr>
          <w:color w:val="231F20"/>
          <w:w w:val="105"/>
        </w:rPr>
        <w:t>con- sideradas</w:t>
      </w:r>
      <w:r>
        <w:rPr>
          <w:color w:val="231F20"/>
          <w:spacing w:val="-25"/>
          <w:w w:val="105"/>
        </w:rPr>
        <w:t> </w:t>
      </w:r>
      <w:r>
        <w:rPr>
          <w:color w:val="231F20"/>
          <w:w w:val="105"/>
        </w:rPr>
        <w:t>como</w:t>
      </w:r>
      <w:r>
        <w:rPr>
          <w:color w:val="231F20"/>
          <w:spacing w:val="-25"/>
          <w:w w:val="105"/>
        </w:rPr>
        <w:t> </w:t>
      </w:r>
      <w:r>
        <w:rPr>
          <w:color w:val="231F20"/>
          <w:w w:val="105"/>
        </w:rPr>
        <w:t>uno</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marcos</w:t>
      </w:r>
      <w:r>
        <w:rPr>
          <w:color w:val="231F20"/>
          <w:spacing w:val="-25"/>
          <w:w w:val="105"/>
        </w:rPr>
        <w:t> </w:t>
      </w:r>
      <w:r>
        <w:rPr>
          <w:color w:val="231F20"/>
          <w:w w:val="105"/>
        </w:rPr>
        <w:t>posibles</w:t>
      </w:r>
      <w:r>
        <w:rPr>
          <w:color w:val="231F20"/>
          <w:spacing w:val="-25"/>
          <w:w w:val="105"/>
        </w:rPr>
        <w:t> </w:t>
      </w:r>
      <w:r>
        <w:rPr>
          <w:color w:val="231F20"/>
          <w:w w:val="105"/>
        </w:rPr>
        <w:t>para</w:t>
      </w:r>
      <w:r>
        <w:rPr>
          <w:color w:val="231F20"/>
          <w:spacing w:val="-25"/>
          <w:w w:val="105"/>
        </w:rPr>
        <w:t> </w:t>
      </w:r>
      <w:r>
        <w:rPr>
          <w:color w:val="231F20"/>
          <w:w w:val="105"/>
        </w:rPr>
        <w:t>el</w:t>
      </w:r>
      <w:r>
        <w:rPr>
          <w:color w:val="231F20"/>
          <w:spacing w:val="-25"/>
          <w:w w:val="105"/>
        </w:rPr>
        <w:t> </w:t>
      </w:r>
      <w:r>
        <w:rPr>
          <w:color w:val="231F20"/>
          <w:w w:val="105"/>
        </w:rPr>
        <w:t>estudio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localiza- ción</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IED</w:t>
      </w:r>
      <w:r>
        <w:rPr>
          <w:color w:val="231F20"/>
          <w:spacing w:val="-26"/>
          <w:w w:val="105"/>
        </w:rPr>
        <w:t> </w:t>
      </w:r>
      <w:r>
        <w:rPr>
          <w:color w:val="231F20"/>
          <w:w w:val="105"/>
        </w:rPr>
        <w:t>y</w:t>
      </w:r>
      <w:r>
        <w:rPr>
          <w:color w:val="231F20"/>
          <w:spacing w:val="-26"/>
          <w:w w:val="105"/>
        </w:rPr>
        <w:t> </w:t>
      </w:r>
      <w:r>
        <w:rPr>
          <w:color w:val="231F20"/>
          <w:w w:val="105"/>
        </w:rPr>
        <w:t>sus</w:t>
      </w:r>
      <w:r>
        <w:rPr>
          <w:color w:val="231F20"/>
          <w:spacing w:val="-26"/>
          <w:w w:val="105"/>
        </w:rPr>
        <w:t> </w:t>
      </w:r>
      <w:r>
        <w:rPr>
          <w:color w:val="231F20"/>
          <w:w w:val="105"/>
        </w:rPr>
        <w:t>determinantes</w:t>
      </w:r>
      <w:r>
        <w:rPr>
          <w:color w:val="231F20"/>
          <w:spacing w:val="-26"/>
          <w:w w:val="105"/>
        </w:rPr>
        <w:t> </w:t>
      </w:r>
      <w:r>
        <w:rPr>
          <w:color w:val="231F20"/>
          <w:w w:val="105"/>
        </w:rPr>
        <w:t>al</w:t>
      </w:r>
      <w:r>
        <w:rPr>
          <w:color w:val="231F20"/>
          <w:spacing w:val="-26"/>
          <w:w w:val="105"/>
        </w:rPr>
        <w:t> </w:t>
      </w:r>
      <w:r>
        <w:rPr>
          <w:color w:val="231F20"/>
          <w:w w:val="105"/>
        </w:rPr>
        <w:t>justificar</w:t>
      </w:r>
      <w:r>
        <w:rPr>
          <w:color w:val="231F20"/>
          <w:spacing w:val="-26"/>
          <w:w w:val="105"/>
        </w:rPr>
        <w:t> </w:t>
      </w:r>
      <w:r>
        <w:rPr>
          <w:color w:val="231F20"/>
          <w:w w:val="105"/>
        </w:rPr>
        <w:t>los</w:t>
      </w:r>
      <w:r>
        <w:rPr>
          <w:color w:val="231F20"/>
          <w:spacing w:val="-26"/>
          <w:w w:val="105"/>
        </w:rPr>
        <w:t> </w:t>
      </w:r>
      <w:r>
        <w:rPr>
          <w:color w:val="231F20"/>
          <w:w w:val="105"/>
        </w:rPr>
        <w:t>desplazamientos</w:t>
      </w:r>
      <w:r>
        <w:rPr>
          <w:color w:val="231F20"/>
          <w:spacing w:val="-26"/>
          <w:w w:val="105"/>
        </w:rPr>
        <w:t> </w:t>
      </w:r>
      <w:r>
        <w:rPr>
          <w:color w:val="231F20"/>
          <w:w w:val="105"/>
        </w:rPr>
        <w:t>de</w:t>
      </w:r>
      <w:r>
        <w:rPr>
          <w:color w:val="231F20"/>
          <w:spacing w:val="-26"/>
          <w:w w:val="105"/>
        </w:rPr>
        <w:t> </w:t>
      </w:r>
      <w:r>
        <w:rPr>
          <w:color w:val="231F20"/>
          <w:w w:val="105"/>
        </w:rPr>
        <w:t>los factores</w:t>
      </w:r>
      <w:r>
        <w:rPr>
          <w:color w:val="231F20"/>
          <w:spacing w:val="-15"/>
          <w:w w:val="105"/>
        </w:rPr>
        <w:t> </w:t>
      </w:r>
      <w:r>
        <w:rPr>
          <w:color w:val="231F20"/>
          <w:w w:val="105"/>
        </w:rPr>
        <w:t>productivos</w:t>
      </w:r>
      <w:r>
        <w:rPr>
          <w:color w:val="231F20"/>
          <w:spacing w:val="-15"/>
          <w:w w:val="105"/>
        </w:rPr>
        <w:t> </w:t>
      </w:r>
      <w:r>
        <w:rPr>
          <w:color w:val="231F20"/>
          <w:w w:val="105"/>
        </w:rPr>
        <w:t>(capital</w:t>
      </w:r>
      <w:r>
        <w:rPr>
          <w:color w:val="231F20"/>
          <w:spacing w:val="-15"/>
          <w:w w:val="105"/>
        </w:rPr>
        <w:t> </w:t>
      </w:r>
      <w:r>
        <w:rPr>
          <w:color w:val="231F20"/>
          <w:w w:val="105"/>
        </w:rPr>
        <w:t>y</w:t>
      </w:r>
      <w:r>
        <w:rPr>
          <w:color w:val="231F20"/>
          <w:spacing w:val="-15"/>
          <w:w w:val="105"/>
        </w:rPr>
        <w:t> </w:t>
      </w:r>
      <w:r>
        <w:rPr>
          <w:color w:val="231F20"/>
          <w:w w:val="105"/>
        </w:rPr>
        <w:t>trabajo)</w:t>
      </w:r>
      <w:r>
        <w:rPr>
          <w:color w:val="231F20"/>
          <w:spacing w:val="-15"/>
          <w:w w:val="105"/>
        </w:rPr>
        <w:t> </w:t>
      </w:r>
      <w:r>
        <w:rPr>
          <w:color w:val="231F20"/>
          <w:w w:val="105"/>
        </w:rPr>
        <w:t>a</w:t>
      </w:r>
      <w:r>
        <w:rPr>
          <w:color w:val="231F20"/>
          <w:spacing w:val="-15"/>
          <w:w w:val="105"/>
        </w:rPr>
        <w:t> </w:t>
      </w:r>
      <w:r>
        <w:rPr>
          <w:color w:val="231F20"/>
          <w:w w:val="105"/>
        </w:rPr>
        <w:t>través</w:t>
      </w:r>
      <w:r>
        <w:rPr>
          <w:color w:val="231F20"/>
          <w:spacing w:val="-15"/>
          <w:w w:val="105"/>
        </w:rPr>
        <w:t> </w:t>
      </w:r>
      <w:r>
        <w:rPr>
          <w:color w:val="231F20"/>
          <w:w w:val="105"/>
        </w:rPr>
        <w:t>del</w:t>
      </w:r>
      <w:r>
        <w:rPr>
          <w:color w:val="231F20"/>
          <w:spacing w:val="-15"/>
          <w:w w:val="105"/>
        </w:rPr>
        <w:t> </w:t>
      </w:r>
      <w:r>
        <w:rPr>
          <w:color w:val="231F20"/>
          <w:w w:val="105"/>
        </w:rPr>
        <w:t>comercio</w:t>
      </w:r>
      <w:r>
        <w:rPr>
          <w:color w:val="231F20"/>
          <w:spacing w:val="-15"/>
          <w:w w:val="105"/>
        </w:rPr>
        <w:t> </w:t>
      </w:r>
      <w:r>
        <w:rPr>
          <w:color w:val="231F20"/>
          <w:w w:val="105"/>
        </w:rPr>
        <w:t>de</w:t>
      </w:r>
      <w:r>
        <w:rPr>
          <w:color w:val="231F20"/>
          <w:spacing w:val="-15"/>
          <w:w w:val="105"/>
        </w:rPr>
        <w:t> </w:t>
      </w:r>
      <w:r>
        <w:rPr>
          <w:color w:val="231F20"/>
          <w:w w:val="105"/>
        </w:rPr>
        <w:t>bienes</w:t>
      </w:r>
      <w:r>
        <w:rPr>
          <w:color w:val="231F20"/>
          <w:spacing w:val="-15"/>
          <w:w w:val="105"/>
        </w:rPr>
        <w:t> </w:t>
      </w:r>
      <w:r>
        <w:rPr>
          <w:color w:val="231F20"/>
          <w:w w:val="105"/>
        </w:rPr>
        <w:t>y bajo</w:t>
      </w:r>
      <w:r>
        <w:rPr>
          <w:color w:val="231F20"/>
          <w:spacing w:val="-16"/>
          <w:w w:val="105"/>
        </w:rPr>
        <w:t> </w:t>
      </w:r>
      <w:r>
        <w:rPr>
          <w:color w:val="231F20"/>
          <w:w w:val="105"/>
        </w:rPr>
        <w:t>la</w:t>
      </w:r>
      <w:r>
        <w:rPr>
          <w:color w:val="231F20"/>
          <w:spacing w:val="-16"/>
          <w:w w:val="105"/>
        </w:rPr>
        <w:t> </w:t>
      </w:r>
      <w:r>
        <w:rPr>
          <w:color w:val="231F20"/>
          <w:w w:val="105"/>
        </w:rPr>
        <w:t>consideración</w:t>
      </w:r>
      <w:r>
        <w:rPr>
          <w:color w:val="231F20"/>
          <w:spacing w:val="-16"/>
          <w:w w:val="105"/>
        </w:rPr>
        <w:t> </w:t>
      </w:r>
      <w:r>
        <w:rPr>
          <w:color w:val="231F20"/>
          <w:w w:val="105"/>
        </w:rPr>
        <w:t>de</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marco</w:t>
      </w:r>
      <w:r>
        <w:rPr>
          <w:color w:val="231F20"/>
          <w:spacing w:val="-16"/>
          <w:w w:val="105"/>
        </w:rPr>
        <w:t> </w:t>
      </w:r>
      <w:r>
        <w:rPr>
          <w:color w:val="231F20"/>
          <w:w w:val="105"/>
        </w:rPr>
        <w:t>del</w:t>
      </w:r>
      <w:r>
        <w:rPr>
          <w:color w:val="231F20"/>
          <w:spacing w:val="-16"/>
          <w:w w:val="105"/>
        </w:rPr>
        <w:t> </w:t>
      </w:r>
      <w:r>
        <w:rPr>
          <w:color w:val="231F20"/>
          <w:w w:val="105"/>
        </w:rPr>
        <w:t>modelo</w:t>
      </w:r>
      <w:r>
        <w:rPr>
          <w:color w:val="231F20"/>
          <w:spacing w:val="-16"/>
          <w:w w:val="105"/>
        </w:rPr>
        <w:t> </w:t>
      </w:r>
      <w:r>
        <w:rPr>
          <w:color w:val="231F20"/>
          <w:w w:val="105"/>
        </w:rPr>
        <w:t>Heckscher-Ohlin</w:t>
      </w:r>
      <w:r>
        <w:rPr>
          <w:color w:val="231F20"/>
          <w:spacing w:val="-16"/>
          <w:w w:val="105"/>
        </w:rPr>
        <w:t> </w:t>
      </w:r>
      <w:r>
        <w:rPr>
          <w:color w:val="231F20"/>
          <w:w w:val="105"/>
        </w:rPr>
        <w:t>el libre</w:t>
      </w:r>
      <w:r>
        <w:rPr>
          <w:color w:val="231F20"/>
          <w:spacing w:val="-14"/>
          <w:w w:val="105"/>
        </w:rPr>
        <w:t> </w:t>
      </w:r>
      <w:r>
        <w:rPr>
          <w:color w:val="231F20"/>
          <w:w w:val="105"/>
        </w:rPr>
        <w:t>comercio</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movilidad</w:t>
      </w:r>
      <w:r>
        <w:rPr>
          <w:color w:val="231F20"/>
          <w:spacing w:val="-14"/>
          <w:w w:val="105"/>
        </w:rPr>
        <w:t> </w:t>
      </w:r>
      <w:r>
        <w:rPr>
          <w:color w:val="231F20"/>
          <w:w w:val="105"/>
        </w:rPr>
        <w:t>de</w:t>
      </w:r>
      <w:r>
        <w:rPr>
          <w:color w:val="231F20"/>
          <w:spacing w:val="-14"/>
          <w:w w:val="105"/>
        </w:rPr>
        <w:t> </w:t>
      </w:r>
      <w:r>
        <w:rPr>
          <w:color w:val="231F20"/>
          <w:w w:val="105"/>
        </w:rPr>
        <w:t>factores</w:t>
      </w:r>
      <w:r>
        <w:rPr>
          <w:color w:val="231F20"/>
          <w:spacing w:val="-14"/>
          <w:w w:val="105"/>
        </w:rPr>
        <w:t> </w:t>
      </w:r>
      <w:r>
        <w:rPr>
          <w:color w:val="231F20"/>
          <w:w w:val="105"/>
        </w:rPr>
        <w:t>son</w:t>
      </w:r>
      <w:r>
        <w:rPr>
          <w:color w:val="231F20"/>
          <w:spacing w:val="-14"/>
          <w:w w:val="105"/>
        </w:rPr>
        <w:t> </w:t>
      </w:r>
      <w:r>
        <w:rPr>
          <w:color w:val="231F20"/>
          <w:w w:val="105"/>
        </w:rPr>
        <w:t>sustitutos.</w:t>
      </w:r>
    </w:p>
    <w:p>
      <w:pPr>
        <w:pStyle w:val="BodyText"/>
        <w:spacing w:line="259" w:lineRule="auto"/>
        <w:ind w:left="117" w:right="101" w:firstLine="567"/>
        <w:jc w:val="both"/>
      </w:pPr>
      <w:r>
        <w:rPr>
          <w:color w:val="231F20"/>
          <w:w w:val="105"/>
        </w:rPr>
        <w:t>Entre</w:t>
      </w:r>
      <w:r>
        <w:rPr>
          <w:color w:val="231F20"/>
          <w:spacing w:val="-20"/>
          <w:w w:val="105"/>
        </w:rPr>
        <w:t> </w:t>
      </w:r>
      <w:r>
        <w:rPr>
          <w:color w:val="231F20"/>
          <w:w w:val="105"/>
        </w:rPr>
        <w:t>las</w:t>
      </w:r>
      <w:r>
        <w:rPr>
          <w:color w:val="231F20"/>
          <w:spacing w:val="-20"/>
          <w:w w:val="105"/>
        </w:rPr>
        <w:t> </w:t>
      </w:r>
      <w:r>
        <w:rPr>
          <w:color w:val="231F20"/>
          <w:w w:val="105"/>
        </w:rPr>
        <w:t>teorías</w:t>
      </w:r>
      <w:r>
        <w:rPr>
          <w:color w:val="231F20"/>
          <w:spacing w:val="-20"/>
          <w:w w:val="105"/>
        </w:rPr>
        <w:t> </w:t>
      </w:r>
      <w:r>
        <w:rPr>
          <w:color w:val="231F20"/>
          <w:w w:val="105"/>
        </w:rPr>
        <w:t>más</w:t>
      </w:r>
      <w:r>
        <w:rPr>
          <w:color w:val="231F20"/>
          <w:spacing w:val="-20"/>
          <w:w w:val="105"/>
        </w:rPr>
        <w:t> </w:t>
      </w:r>
      <w:r>
        <w:rPr>
          <w:color w:val="231F20"/>
          <w:w w:val="105"/>
        </w:rPr>
        <w:t>aceptadas</w:t>
      </w:r>
      <w:r>
        <w:rPr>
          <w:color w:val="231F20"/>
          <w:spacing w:val="-20"/>
          <w:w w:val="105"/>
        </w:rPr>
        <w:t> </w:t>
      </w:r>
      <w:r>
        <w:rPr>
          <w:color w:val="231F20"/>
          <w:w w:val="105"/>
        </w:rPr>
        <w:t>sobre</w:t>
      </w:r>
      <w:r>
        <w:rPr>
          <w:color w:val="231F20"/>
          <w:spacing w:val="-20"/>
          <w:w w:val="105"/>
        </w:rPr>
        <w:t> </w:t>
      </w:r>
      <w:r>
        <w:rPr>
          <w:color w:val="231F20"/>
          <w:w w:val="105"/>
        </w:rPr>
        <w:t>los</w:t>
      </w:r>
      <w:r>
        <w:rPr>
          <w:color w:val="231F20"/>
          <w:spacing w:val="-20"/>
          <w:w w:val="105"/>
        </w:rPr>
        <w:t> </w:t>
      </w:r>
      <w:r>
        <w:rPr>
          <w:color w:val="231F20"/>
          <w:w w:val="105"/>
        </w:rPr>
        <w:t>determinantes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IED se encuentran la teoría de la organización industrial, la teoría de la in- ternalización</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ecléctica</w:t>
      </w:r>
      <w:r>
        <w:rPr>
          <w:color w:val="231F20"/>
          <w:spacing w:val="-6"/>
          <w:w w:val="105"/>
        </w:rPr>
        <w:t> </w:t>
      </w:r>
      <w:r>
        <w:rPr>
          <w:color w:val="231F20"/>
          <w:w w:val="105"/>
        </w:rPr>
        <w:t>de</w:t>
      </w:r>
      <w:r>
        <w:rPr>
          <w:color w:val="231F20"/>
          <w:spacing w:val="-6"/>
          <w:w w:val="105"/>
        </w:rPr>
        <w:t> </w:t>
      </w:r>
      <w:r>
        <w:rPr>
          <w:color w:val="231F20"/>
          <w:w w:val="105"/>
        </w:rPr>
        <w:t>Dunning,</w:t>
      </w:r>
      <w:r>
        <w:rPr>
          <w:color w:val="231F20"/>
          <w:spacing w:val="-11"/>
          <w:w w:val="105"/>
        </w:rPr>
        <w:t> </w:t>
      </w:r>
      <w:r>
        <w:rPr>
          <w:color w:val="231F20"/>
          <w:w w:val="105"/>
        </w:rPr>
        <w:t>las</w:t>
      </w:r>
      <w:r>
        <w:rPr>
          <w:color w:val="231F20"/>
          <w:spacing w:val="-6"/>
          <w:w w:val="105"/>
        </w:rPr>
        <w:t> </w:t>
      </w:r>
      <w:r>
        <w:rPr>
          <w:color w:val="231F20"/>
          <w:w w:val="105"/>
        </w:rPr>
        <w:t>cuales</w:t>
      </w:r>
      <w:r>
        <w:rPr>
          <w:color w:val="231F20"/>
          <w:spacing w:val="-6"/>
          <w:w w:val="105"/>
        </w:rPr>
        <w:t> </w:t>
      </w:r>
      <w:r>
        <w:rPr>
          <w:color w:val="231F20"/>
          <w:w w:val="105"/>
        </w:rPr>
        <w:t>se</w:t>
      </w:r>
      <w:r>
        <w:rPr>
          <w:color w:val="231F20"/>
          <w:spacing w:val="-6"/>
          <w:w w:val="105"/>
        </w:rPr>
        <w:t> </w:t>
      </w:r>
      <w:r>
        <w:rPr>
          <w:color w:val="231F20"/>
          <w:w w:val="105"/>
        </w:rPr>
        <w:t>describen</w:t>
      </w:r>
      <w:r>
        <w:rPr>
          <w:color w:val="231F20"/>
          <w:spacing w:val="-6"/>
          <w:w w:val="105"/>
        </w:rPr>
        <w:t> </w:t>
      </w:r>
      <w:r>
        <w:rPr>
          <w:color w:val="231F20"/>
          <w:w w:val="105"/>
        </w:rPr>
        <w:t>a continuación:</w:t>
      </w:r>
    </w:p>
    <w:p>
      <w:pPr>
        <w:pStyle w:val="BodyText"/>
        <w:spacing w:before="6"/>
        <w:rPr>
          <w:sz w:val="22"/>
        </w:rPr>
      </w:pPr>
    </w:p>
    <w:p>
      <w:pPr>
        <w:pStyle w:val="ListParagraph"/>
        <w:numPr>
          <w:ilvl w:val="0"/>
          <w:numId w:val="60"/>
        </w:numPr>
        <w:tabs>
          <w:tab w:pos="1328" w:val="left" w:leader="none"/>
        </w:tabs>
        <w:spacing w:line="259" w:lineRule="auto" w:before="0" w:after="0"/>
        <w:ind w:left="1327" w:right="101" w:hanging="360"/>
        <w:jc w:val="both"/>
        <w:rPr>
          <w:sz w:val="21"/>
        </w:rPr>
      </w:pPr>
      <w:r>
        <w:rPr>
          <w:color w:val="231F20"/>
          <w:spacing w:val="-4"/>
          <w:w w:val="105"/>
          <w:sz w:val="21"/>
        </w:rPr>
        <w:t>Teoría</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organización</w:t>
      </w:r>
      <w:r>
        <w:rPr>
          <w:color w:val="231F20"/>
          <w:spacing w:val="-16"/>
          <w:w w:val="105"/>
          <w:sz w:val="21"/>
        </w:rPr>
        <w:t> </w:t>
      </w:r>
      <w:r>
        <w:rPr>
          <w:color w:val="231F20"/>
          <w:w w:val="105"/>
          <w:sz w:val="21"/>
        </w:rPr>
        <w:t>industrial.</w:t>
      </w:r>
      <w:r>
        <w:rPr>
          <w:color w:val="231F20"/>
          <w:spacing w:val="-21"/>
          <w:w w:val="105"/>
          <w:sz w:val="21"/>
        </w:rPr>
        <w:t> </w:t>
      </w:r>
      <w:r>
        <w:rPr>
          <w:color w:val="231F20"/>
          <w:spacing w:val="-4"/>
          <w:w w:val="105"/>
          <w:sz w:val="21"/>
        </w:rPr>
        <w:t>Pone</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manifiesto</w:t>
      </w:r>
      <w:r>
        <w:rPr>
          <w:color w:val="231F20"/>
          <w:spacing w:val="-16"/>
          <w:w w:val="105"/>
          <w:sz w:val="21"/>
        </w:rPr>
        <w:t> </w:t>
      </w:r>
      <w:r>
        <w:rPr>
          <w:color w:val="231F20"/>
          <w:w w:val="105"/>
          <w:sz w:val="21"/>
        </w:rPr>
        <w:t>que la</w:t>
      </w:r>
      <w:r>
        <w:rPr>
          <w:color w:val="231F20"/>
          <w:spacing w:val="-18"/>
          <w:w w:val="105"/>
          <w:sz w:val="21"/>
        </w:rPr>
        <w:t> </w:t>
      </w:r>
      <w:r>
        <w:rPr>
          <w:color w:val="231F20"/>
          <w:w w:val="105"/>
          <w:sz w:val="21"/>
        </w:rPr>
        <w:t>IED</w:t>
      </w:r>
      <w:r>
        <w:rPr>
          <w:color w:val="231F20"/>
          <w:spacing w:val="-18"/>
          <w:w w:val="105"/>
          <w:sz w:val="21"/>
        </w:rPr>
        <w:t> </w:t>
      </w:r>
      <w:r>
        <w:rPr>
          <w:color w:val="231F20"/>
          <w:w w:val="105"/>
          <w:sz w:val="21"/>
        </w:rPr>
        <w:t>se</w:t>
      </w:r>
      <w:r>
        <w:rPr>
          <w:color w:val="231F20"/>
          <w:spacing w:val="-18"/>
          <w:w w:val="105"/>
          <w:sz w:val="21"/>
        </w:rPr>
        <w:t> </w:t>
      </w:r>
      <w:r>
        <w:rPr>
          <w:color w:val="231F20"/>
          <w:w w:val="105"/>
          <w:sz w:val="21"/>
        </w:rPr>
        <w:t>efectúa</w:t>
      </w:r>
      <w:r>
        <w:rPr>
          <w:color w:val="231F20"/>
          <w:spacing w:val="-18"/>
          <w:w w:val="105"/>
          <w:sz w:val="21"/>
        </w:rPr>
        <w:t> </w:t>
      </w:r>
      <w:r>
        <w:rPr>
          <w:color w:val="231F20"/>
          <w:w w:val="105"/>
          <w:sz w:val="21"/>
        </w:rPr>
        <w:t>con</w:t>
      </w:r>
      <w:r>
        <w:rPr>
          <w:color w:val="231F20"/>
          <w:spacing w:val="-18"/>
          <w:w w:val="105"/>
          <w:sz w:val="21"/>
        </w:rPr>
        <w:t> </w:t>
      </w:r>
      <w:r>
        <w:rPr>
          <w:color w:val="231F20"/>
          <w:w w:val="105"/>
          <w:sz w:val="21"/>
        </w:rPr>
        <w:t>el</w:t>
      </w:r>
      <w:r>
        <w:rPr>
          <w:color w:val="231F20"/>
          <w:spacing w:val="-18"/>
          <w:w w:val="105"/>
          <w:sz w:val="21"/>
        </w:rPr>
        <w:t> </w:t>
      </w:r>
      <w:r>
        <w:rPr>
          <w:color w:val="231F20"/>
          <w:w w:val="105"/>
          <w:sz w:val="21"/>
        </w:rPr>
        <w:t>fin</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explotar</w:t>
      </w:r>
      <w:r>
        <w:rPr>
          <w:color w:val="231F20"/>
          <w:spacing w:val="-18"/>
          <w:w w:val="105"/>
          <w:sz w:val="21"/>
        </w:rPr>
        <w:t> </w:t>
      </w:r>
      <w:r>
        <w:rPr>
          <w:color w:val="231F20"/>
          <w:w w:val="105"/>
          <w:sz w:val="21"/>
        </w:rPr>
        <w:t>las</w:t>
      </w:r>
      <w:r>
        <w:rPr>
          <w:color w:val="231F20"/>
          <w:spacing w:val="-18"/>
          <w:w w:val="105"/>
          <w:sz w:val="21"/>
        </w:rPr>
        <w:t> </w:t>
      </w:r>
      <w:r>
        <w:rPr>
          <w:color w:val="231F20"/>
          <w:w w:val="105"/>
          <w:sz w:val="21"/>
        </w:rPr>
        <w:t>ventajas</w:t>
      </w:r>
      <w:r>
        <w:rPr>
          <w:color w:val="231F20"/>
          <w:spacing w:val="-18"/>
          <w:w w:val="105"/>
          <w:sz w:val="21"/>
        </w:rPr>
        <w:t> </w:t>
      </w:r>
      <w:r>
        <w:rPr>
          <w:color w:val="231F20"/>
          <w:w w:val="105"/>
          <w:sz w:val="21"/>
        </w:rPr>
        <w:t>específi- cas</w:t>
      </w:r>
      <w:r>
        <w:rPr>
          <w:color w:val="231F20"/>
          <w:spacing w:val="-30"/>
          <w:w w:val="105"/>
          <w:sz w:val="21"/>
        </w:rPr>
        <w:t> </w:t>
      </w:r>
      <w:r>
        <w:rPr>
          <w:color w:val="231F20"/>
          <w:w w:val="105"/>
          <w:sz w:val="21"/>
        </w:rPr>
        <w:t>que</w:t>
      </w:r>
      <w:r>
        <w:rPr>
          <w:color w:val="231F20"/>
          <w:spacing w:val="-30"/>
          <w:w w:val="105"/>
          <w:sz w:val="21"/>
        </w:rPr>
        <w:t> </w:t>
      </w:r>
      <w:r>
        <w:rPr>
          <w:color w:val="231F20"/>
          <w:w w:val="105"/>
          <w:sz w:val="21"/>
        </w:rPr>
        <w:t>poseen</w:t>
      </w:r>
      <w:r>
        <w:rPr>
          <w:color w:val="231F20"/>
          <w:spacing w:val="-30"/>
          <w:w w:val="105"/>
          <w:sz w:val="21"/>
        </w:rPr>
        <w:t> </w:t>
      </w:r>
      <w:r>
        <w:rPr>
          <w:color w:val="231F20"/>
          <w:w w:val="105"/>
          <w:sz w:val="21"/>
        </w:rPr>
        <w:t>las</w:t>
      </w:r>
      <w:r>
        <w:rPr>
          <w:color w:val="231F20"/>
          <w:spacing w:val="-30"/>
          <w:w w:val="105"/>
          <w:sz w:val="21"/>
        </w:rPr>
        <w:t> </w:t>
      </w:r>
      <w:r>
        <w:rPr>
          <w:color w:val="231F20"/>
          <w:w w:val="105"/>
          <w:sz w:val="21"/>
        </w:rPr>
        <w:t>empresas</w:t>
      </w:r>
      <w:r>
        <w:rPr>
          <w:color w:val="231F20"/>
          <w:spacing w:val="-30"/>
          <w:w w:val="105"/>
          <w:sz w:val="21"/>
        </w:rPr>
        <w:t> </w:t>
      </w:r>
      <w:r>
        <w:rPr>
          <w:color w:val="231F20"/>
          <w:w w:val="105"/>
          <w:sz w:val="21"/>
        </w:rPr>
        <w:t>inversoras</w:t>
      </w:r>
      <w:r>
        <w:rPr>
          <w:color w:val="231F20"/>
          <w:spacing w:val="-30"/>
          <w:w w:val="105"/>
          <w:sz w:val="21"/>
        </w:rPr>
        <w:t> </w:t>
      </w:r>
      <w:r>
        <w:rPr>
          <w:color w:val="231F20"/>
          <w:w w:val="105"/>
          <w:sz w:val="21"/>
        </w:rPr>
        <w:t>frente</w:t>
      </w:r>
      <w:r>
        <w:rPr>
          <w:color w:val="231F20"/>
          <w:spacing w:val="-30"/>
          <w:w w:val="105"/>
          <w:sz w:val="21"/>
        </w:rPr>
        <w:t> </w:t>
      </w:r>
      <w:r>
        <w:rPr>
          <w:color w:val="231F20"/>
          <w:w w:val="105"/>
          <w:sz w:val="21"/>
        </w:rPr>
        <w:t>a</w:t>
      </w:r>
      <w:r>
        <w:rPr>
          <w:color w:val="231F20"/>
          <w:spacing w:val="-30"/>
          <w:w w:val="105"/>
          <w:sz w:val="21"/>
        </w:rPr>
        <w:t> </w:t>
      </w:r>
      <w:r>
        <w:rPr>
          <w:color w:val="231F20"/>
          <w:w w:val="105"/>
          <w:sz w:val="21"/>
        </w:rPr>
        <w:t>las</w:t>
      </w:r>
      <w:r>
        <w:rPr>
          <w:color w:val="231F20"/>
          <w:spacing w:val="-30"/>
          <w:w w:val="105"/>
          <w:sz w:val="21"/>
        </w:rPr>
        <w:t> </w:t>
      </w:r>
      <w:r>
        <w:rPr>
          <w:color w:val="231F20"/>
          <w:w w:val="105"/>
          <w:sz w:val="21"/>
        </w:rPr>
        <w:t>del</w:t>
      </w:r>
      <w:r>
        <w:rPr>
          <w:color w:val="231F20"/>
          <w:spacing w:val="-30"/>
          <w:w w:val="105"/>
          <w:sz w:val="21"/>
        </w:rPr>
        <w:t> </w:t>
      </w:r>
      <w:r>
        <w:rPr>
          <w:color w:val="231F20"/>
          <w:w w:val="105"/>
          <w:sz w:val="21"/>
        </w:rPr>
        <w:t>país receptor.</w:t>
      </w:r>
      <w:r>
        <w:rPr>
          <w:color w:val="231F20"/>
          <w:spacing w:val="-16"/>
          <w:w w:val="105"/>
          <w:sz w:val="21"/>
        </w:rPr>
        <w:t> </w:t>
      </w:r>
      <w:r>
        <w:rPr>
          <w:color w:val="231F20"/>
          <w:w w:val="105"/>
          <w:sz w:val="21"/>
        </w:rPr>
        <w:t>Se</w:t>
      </w:r>
      <w:r>
        <w:rPr>
          <w:color w:val="231F20"/>
          <w:spacing w:val="-11"/>
          <w:w w:val="105"/>
          <w:sz w:val="21"/>
        </w:rPr>
        <w:t> </w:t>
      </w:r>
      <w:r>
        <w:rPr>
          <w:color w:val="231F20"/>
          <w:w w:val="105"/>
          <w:sz w:val="21"/>
        </w:rPr>
        <w:t>trata</w:t>
      </w:r>
      <w:r>
        <w:rPr>
          <w:color w:val="231F20"/>
          <w:spacing w:val="-11"/>
          <w:w w:val="105"/>
          <w:sz w:val="21"/>
        </w:rPr>
        <w:t> </w:t>
      </w:r>
      <w:r>
        <w:rPr>
          <w:color w:val="231F20"/>
          <w:w w:val="105"/>
          <w:sz w:val="21"/>
        </w:rPr>
        <w:t>así</w:t>
      </w:r>
      <w:r>
        <w:rPr>
          <w:color w:val="231F20"/>
          <w:spacing w:val="-11"/>
          <w:w w:val="105"/>
          <w:sz w:val="21"/>
        </w:rPr>
        <w:t> </w:t>
      </w:r>
      <w:r>
        <w:rPr>
          <w:color w:val="231F20"/>
          <w:w w:val="105"/>
          <w:sz w:val="21"/>
        </w:rPr>
        <w:t>de</w:t>
      </w:r>
      <w:r>
        <w:rPr>
          <w:color w:val="231F20"/>
          <w:spacing w:val="-11"/>
          <w:w w:val="105"/>
          <w:sz w:val="21"/>
        </w:rPr>
        <w:t> </w:t>
      </w:r>
      <w:r>
        <w:rPr>
          <w:color w:val="231F20"/>
          <w:w w:val="105"/>
          <w:sz w:val="21"/>
        </w:rPr>
        <w:t>aprovechar</w:t>
      </w:r>
      <w:r>
        <w:rPr>
          <w:color w:val="231F20"/>
          <w:spacing w:val="-11"/>
          <w:w w:val="105"/>
          <w:sz w:val="21"/>
        </w:rPr>
        <w:t> </w:t>
      </w:r>
      <w:r>
        <w:rPr>
          <w:color w:val="231F20"/>
          <w:w w:val="105"/>
          <w:sz w:val="21"/>
        </w:rPr>
        <w:t>ciertas</w:t>
      </w:r>
      <w:r>
        <w:rPr>
          <w:color w:val="231F20"/>
          <w:spacing w:val="-11"/>
          <w:w w:val="105"/>
          <w:sz w:val="21"/>
        </w:rPr>
        <w:t> </w:t>
      </w:r>
      <w:r>
        <w:rPr>
          <w:color w:val="231F20"/>
          <w:w w:val="105"/>
          <w:sz w:val="21"/>
        </w:rPr>
        <w:t>imperfecciones estructurales</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le</w:t>
      </w:r>
      <w:r>
        <w:rPr>
          <w:color w:val="231F20"/>
          <w:spacing w:val="-14"/>
          <w:w w:val="105"/>
          <w:sz w:val="21"/>
        </w:rPr>
        <w:t> </w:t>
      </w:r>
      <w:r>
        <w:rPr>
          <w:color w:val="231F20"/>
          <w:w w:val="105"/>
          <w:sz w:val="21"/>
        </w:rPr>
        <w:t>permitan</w:t>
      </w:r>
      <w:r>
        <w:rPr>
          <w:color w:val="231F20"/>
          <w:spacing w:val="-14"/>
          <w:w w:val="105"/>
          <w:sz w:val="21"/>
        </w:rPr>
        <w:t> </w:t>
      </w:r>
      <w:r>
        <w:rPr>
          <w:color w:val="231F20"/>
          <w:w w:val="105"/>
          <w:sz w:val="21"/>
        </w:rPr>
        <w:t>aumentar</w:t>
      </w:r>
      <w:r>
        <w:rPr>
          <w:color w:val="231F20"/>
          <w:spacing w:val="-14"/>
          <w:w w:val="105"/>
          <w:sz w:val="21"/>
        </w:rPr>
        <w:t> </w:t>
      </w:r>
      <w:r>
        <w:rPr>
          <w:color w:val="231F20"/>
          <w:w w:val="105"/>
          <w:sz w:val="21"/>
        </w:rPr>
        <w:t>su</w:t>
      </w:r>
      <w:r>
        <w:rPr>
          <w:color w:val="231F20"/>
          <w:spacing w:val="-14"/>
          <w:w w:val="105"/>
          <w:sz w:val="21"/>
        </w:rPr>
        <w:t> </w:t>
      </w:r>
      <w:r>
        <w:rPr>
          <w:color w:val="231F20"/>
          <w:w w:val="105"/>
          <w:sz w:val="21"/>
        </w:rPr>
        <w:t>poder</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merca- do</w:t>
      </w:r>
      <w:r>
        <w:rPr>
          <w:color w:val="231F20"/>
          <w:spacing w:val="-34"/>
          <w:w w:val="105"/>
          <w:sz w:val="21"/>
        </w:rPr>
        <w:t> </w:t>
      </w:r>
      <w:r>
        <w:rPr>
          <w:color w:val="231F20"/>
          <w:w w:val="105"/>
          <w:sz w:val="21"/>
        </w:rPr>
        <w:t>(Hymer,</w:t>
      </w:r>
      <w:r>
        <w:rPr>
          <w:color w:val="231F20"/>
          <w:spacing w:val="-38"/>
          <w:w w:val="105"/>
          <w:sz w:val="21"/>
        </w:rPr>
        <w:t> </w:t>
      </w:r>
      <w:r>
        <w:rPr>
          <w:color w:val="231F20"/>
          <w:w w:val="105"/>
          <w:sz w:val="21"/>
        </w:rPr>
        <w:t>1976).</w:t>
      </w:r>
    </w:p>
    <w:p>
      <w:pPr>
        <w:pStyle w:val="ListParagraph"/>
        <w:numPr>
          <w:ilvl w:val="0"/>
          <w:numId w:val="60"/>
        </w:numPr>
        <w:tabs>
          <w:tab w:pos="1328" w:val="left" w:leader="none"/>
        </w:tabs>
        <w:spacing w:line="259" w:lineRule="auto" w:before="170" w:after="0"/>
        <w:ind w:left="1327" w:right="102" w:hanging="360"/>
        <w:jc w:val="both"/>
        <w:rPr>
          <w:sz w:val="21"/>
        </w:rPr>
      </w:pPr>
      <w:r>
        <w:rPr>
          <w:color w:val="231F20"/>
          <w:spacing w:val="-4"/>
          <w:w w:val="105"/>
          <w:sz w:val="21"/>
        </w:rPr>
        <w:t>Teoría </w:t>
      </w:r>
      <w:r>
        <w:rPr>
          <w:color w:val="231F20"/>
          <w:w w:val="105"/>
          <w:sz w:val="21"/>
        </w:rPr>
        <w:t>de la internalización. Supone un intento de justificar por qué las empresas deciden explotar sus ventajas espe- cíficas mediante la IED en lugar de optar por la venta de una</w:t>
      </w:r>
      <w:r>
        <w:rPr>
          <w:color w:val="231F20"/>
          <w:spacing w:val="-6"/>
          <w:w w:val="105"/>
          <w:sz w:val="21"/>
        </w:rPr>
        <w:t> </w:t>
      </w:r>
      <w:r>
        <w:rPr>
          <w:color w:val="231F20"/>
          <w:w w:val="105"/>
          <w:sz w:val="21"/>
        </w:rPr>
        <w:t>licencia</w:t>
      </w:r>
      <w:r>
        <w:rPr>
          <w:color w:val="231F20"/>
          <w:spacing w:val="-6"/>
          <w:w w:val="105"/>
          <w:sz w:val="21"/>
        </w:rPr>
        <w:t> </w:t>
      </w:r>
      <w:r>
        <w:rPr>
          <w:color w:val="231F20"/>
          <w:w w:val="105"/>
          <w:sz w:val="21"/>
        </w:rPr>
        <w:t>a</w:t>
      </w:r>
      <w:r>
        <w:rPr>
          <w:color w:val="231F20"/>
          <w:spacing w:val="-6"/>
          <w:w w:val="105"/>
          <w:sz w:val="21"/>
        </w:rPr>
        <w:t> </w:t>
      </w:r>
      <w:r>
        <w:rPr>
          <w:color w:val="231F20"/>
          <w:w w:val="105"/>
          <w:sz w:val="21"/>
        </w:rPr>
        <w:t>una</w:t>
      </w:r>
      <w:r>
        <w:rPr>
          <w:color w:val="231F20"/>
          <w:spacing w:val="-6"/>
          <w:w w:val="105"/>
          <w:sz w:val="21"/>
        </w:rPr>
        <w:t> </w:t>
      </w:r>
      <w:r>
        <w:rPr>
          <w:color w:val="231F20"/>
          <w:w w:val="105"/>
          <w:sz w:val="21"/>
        </w:rPr>
        <w:t>sociedad</w:t>
      </w:r>
      <w:r>
        <w:rPr>
          <w:color w:val="231F20"/>
          <w:spacing w:val="-6"/>
          <w:w w:val="105"/>
          <w:sz w:val="21"/>
        </w:rPr>
        <w:t> </w:t>
      </w:r>
      <w:r>
        <w:rPr>
          <w:color w:val="231F20"/>
          <w:w w:val="105"/>
          <w:sz w:val="21"/>
        </w:rPr>
        <w:t>extranjera</w:t>
      </w:r>
      <w:r>
        <w:rPr>
          <w:color w:val="231F20"/>
          <w:spacing w:val="-6"/>
          <w:w w:val="105"/>
          <w:sz w:val="21"/>
        </w:rPr>
        <w:t> </w:t>
      </w:r>
      <w:r>
        <w:rPr>
          <w:color w:val="231F20"/>
          <w:w w:val="105"/>
          <w:sz w:val="21"/>
        </w:rPr>
        <w:t>(Coase,</w:t>
      </w:r>
      <w:r>
        <w:rPr>
          <w:color w:val="231F20"/>
          <w:spacing w:val="-11"/>
          <w:w w:val="105"/>
          <w:sz w:val="21"/>
        </w:rPr>
        <w:t> </w:t>
      </w:r>
      <w:r>
        <w:rPr>
          <w:color w:val="231F20"/>
          <w:w w:val="105"/>
          <w:sz w:val="21"/>
        </w:rPr>
        <w:t>1937;</w:t>
      </w:r>
      <w:r>
        <w:rPr>
          <w:color w:val="231F20"/>
          <w:spacing w:val="-6"/>
          <w:w w:val="105"/>
          <w:sz w:val="21"/>
        </w:rPr>
        <w:t> </w:t>
      </w:r>
      <w:r>
        <w:rPr>
          <w:color w:val="231F20"/>
          <w:w w:val="105"/>
          <w:sz w:val="21"/>
        </w:rPr>
        <w:t>Rug-</w:t>
      </w:r>
    </w:p>
    <w:p>
      <w:pPr>
        <w:spacing w:after="0" w:line="259" w:lineRule="auto"/>
        <w:jc w:val="both"/>
        <w:rPr>
          <w:sz w:val="21"/>
        </w:rPr>
        <w:sectPr>
          <w:pgSz w:w="9640" w:h="13890"/>
          <w:pgMar w:top="0" w:bottom="280" w:left="1300" w:right="1200"/>
        </w:sectPr>
      </w:pPr>
    </w:p>
    <w:p>
      <w:pPr>
        <w:pStyle w:val="BodyText"/>
        <w:spacing w:line="259" w:lineRule="auto" w:before="120"/>
        <w:ind w:left="1314" w:right="115"/>
        <w:jc w:val="both"/>
      </w:pPr>
      <w:r>
        <w:rPr>
          <w:color w:val="231F20"/>
          <w:w w:val="105"/>
        </w:rPr>
        <w:t>man,</w:t>
      </w:r>
      <w:r>
        <w:rPr>
          <w:color w:val="231F20"/>
          <w:spacing w:val="-43"/>
          <w:w w:val="105"/>
        </w:rPr>
        <w:t> </w:t>
      </w:r>
      <w:r>
        <w:rPr>
          <w:color w:val="231F20"/>
          <w:w w:val="105"/>
        </w:rPr>
        <w:t>1983).</w:t>
      </w:r>
      <w:r>
        <w:rPr>
          <w:color w:val="231F20"/>
          <w:spacing w:val="-43"/>
          <w:w w:val="105"/>
        </w:rPr>
        <w:t> </w:t>
      </w:r>
      <w:r>
        <w:rPr>
          <w:color w:val="231F20"/>
          <w:spacing w:val="-4"/>
          <w:w w:val="105"/>
        </w:rPr>
        <w:t>Para</w:t>
      </w:r>
      <w:r>
        <w:rPr>
          <w:color w:val="231F20"/>
          <w:spacing w:val="-40"/>
          <w:w w:val="105"/>
        </w:rPr>
        <w:t> </w:t>
      </w:r>
      <w:r>
        <w:rPr>
          <w:color w:val="231F20"/>
          <w:w w:val="105"/>
        </w:rPr>
        <w:t>una</w:t>
      </w:r>
      <w:r>
        <w:rPr>
          <w:color w:val="231F20"/>
          <w:spacing w:val="-40"/>
          <w:w w:val="105"/>
        </w:rPr>
        <w:t> </w:t>
      </w:r>
      <w:r>
        <w:rPr>
          <w:color w:val="231F20"/>
          <w:w w:val="105"/>
        </w:rPr>
        <w:t>empresa</w:t>
      </w:r>
      <w:r>
        <w:rPr>
          <w:color w:val="231F20"/>
          <w:spacing w:val="-40"/>
          <w:w w:val="105"/>
        </w:rPr>
        <w:t> </w:t>
      </w:r>
      <w:r>
        <w:rPr>
          <w:color w:val="231F20"/>
          <w:w w:val="105"/>
        </w:rPr>
        <w:t>será</w:t>
      </w:r>
      <w:r>
        <w:rPr>
          <w:color w:val="231F20"/>
          <w:spacing w:val="-40"/>
          <w:w w:val="105"/>
        </w:rPr>
        <w:t> </w:t>
      </w:r>
      <w:r>
        <w:rPr>
          <w:color w:val="231F20"/>
          <w:w w:val="105"/>
        </w:rPr>
        <w:t>más</w:t>
      </w:r>
      <w:r>
        <w:rPr>
          <w:color w:val="231F20"/>
          <w:spacing w:val="-40"/>
          <w:w w:val="105"/>
        </w:rPr>
        <w:t> </w:t>
      </w:r>
      <w:r>
        <w:rPr>
          <w:color w:val="231F20"/>
          <w:w w:val="105"/>
        </w:rPr>
        <w:t>beneficioso</w:t>
      </w:r>
      <w:r>
        <w:rPr>
          <w:color w:val="231F20"/>
          <w:spacing w:val="-40"/>
          <w:w w:val="105"/>
        </w:rPr>
        <w:t> </w:t>
      </w:r>
      <w:r>
        <w:rPr>
          <w:color w:val="231F20"/>
          <w:w w:val="105"/>
        </w:rPr>
        <w:t>explotar directamente</w:t>
      </w:r>
      <w:r>
        <w:rPr>
          <w:color w:val="231F20"/>
          <w:spacing w:val="-15"/>
          <w:w w:val="105"/>
        </w:rPr>
        <w:t> </w:t>
      </w:r>
      <w:r>
        <w:rPr>
          <w:color w:val="231F20"/>
          <w:w w:val="105"/>
        </w:rPr>
        <w:t>estas</w:t>
      </w:r>
      <w:r>
        <w:rPr>
          <w:color w:val="231F20"/>
          <w:spacing w:val="-15"/>
          <w:w w:val="105"/>
        </w:rPr>
        <w:t> </w:t>
      </w:r>
      <w:r>
        <w:rPr>
          <w:color w:val="231F20"/>
          <w:w w:val="105"/>
        </w:rPr>
        <w:t>ventajas</w:t>
      </w:r>
      <w:r>
        <w:rPr>
          <w:color w:val="231F20"/>
          <w:spacing w:val="-15"/>
          <w:w w:val="105"/>
        </w:rPr>
        <w:t> </w:t>
      </w:r>
      <w:r>
        <w:rPr>
          <w:color w:val="231F20"/>
          <w:w w:val="105"/>
        </w:rPr>
        <w:t>que</w:t>
      </w:r>
      <w:r>
        <w:rPr>
          <w:color w:val="231F20"/>
          <w:spacing w:val="-15"/>
          <w:w w:val="105"/>
        </w:rPr>
        <w:t> </w:t>
      </w:r>
      <w:r>
        <w:rPr>
          <w:color w:val="231F20"/>
          <w:w w:val="105"/>
        </w:rPr>
        <w:t>cederlas</w:t>
      </w:r>
      <w:r>
        <w:rPr>
          <w:color w:val="231F20"/>
          <w:spacing w:val="-15"/>
          <w:w w:val="105"/>
        </w:rPr>
        <w:t> </w:t>
      </w:r>
      <w:r>
        <w:rPr>
          <w:color w:val="231F20"/>
          <w:w w:val="105"/>
        </w:rPr>
        <w:t>a</w:t>
      </w:r>
      <w:r>
        <w:rPr>
          <w:color w:val="231F20"/>
          <w:spacing w:val="-15"/>
          <w:w w:val="105"/>
        </w:rPr>
        <w:t> </w:t>
      </w:r>
      <w:r>
        <w:rPr>
          <w:color w:val="231F20"/>
          <w:w w:val="105"/>
        </w:rPr>
        <w:t>otras</w:t>
      </w:r>
      <w:r>
        <w:rPr>
          <w:color w:val="231F20"/>
          <w:spacing w:val="-15"/>
          <w:w w:val="105"/>
        </w:rPr>
        <w:t> </w:t>
      </w:r>
      <w:r>
        <w:rPr>
          <w:color w:val="231F20"/>
          <w:w w:val="105"/>
        </w:rPr>
        <w:t>firmas,</w:t>
      </w:r>
      <w:r>
        <w:rPr>
          <w:color w:val="231F20"/>
          <w:spacing w:val="-19"/>
          <w:w w:val="105"/>
        </w:rPr>
        <w:t> </w:t>
      </w:r>
      <w:r>
        <w:rPr>
          <w:color w:val="231F20"/>
          <w:w w:val="105"/>
        </w:rPr>
        <w:t>ya que</w:t>
      </w:r>
      <w:r>
        <w:rPr>
          <w:color w:val="231F20"/>
          <w:spacing w:val="-25"/>
          <w:w w:val="105"/>
        </w:rPr>
        <w:t> </w:t>
      </w:r>
      <w:r>
        <w:rPr>
          <w:color w:val="231F20"/>
          <w:w w:val="105"/>
        </w:rPr>
        <w:t>se</w:t>
      </w:r>
      <w:r>
        <w:rPr>
          <w:color w:val="231F20"/>
          <w:spacing w:val="-25"/>
          <w:w w:val="105"/>
        </w:rPr>
        <w:t> </w:t>
      </w:r>
      <w:r>
        <w:rPr>
          <w:color w:val="231F20"/>
          <w:w w:val="105"/>
        </w:rPr>
        <w:t>reducen,</w:t>
      </w:r>
      <w:r>
        <w:rPr>
          <w:color w:val="231F20"/>
          <w:spacing w:val="-30"/>
          <w:w w:val="105"/>
        </w:rPr>
        <w:t> </w:t>
      </w:r>
      <w:r>
        <w:rPr>
          <w:color w:val="231F20"/>
          <w:w w:val="105"/>
        </w:rPr>
        <w:t>e</w:t>
      </w:r>
      <w:r>
        <w:rPr>
          <w:color w:val="231F20"/>
          <w:spacing w:val="-25"/>
          <w:w w:val="105"/>
        </w:rPr>
        <w:t> </w:t>
      </w:r>
      <w:r>
        <w:rPr>
          <w:color w:val="231F20"/>
          <w:w w:val="105"/>
        </w:rPr>
        <w:t>incluso</w:t>
      </w:r>
      <w:r>
        <w:rPr>
          <w:color w:val="231F20"/>
          <w:spacing w:val="-25"/>
          <w:w w:val="105"/>
        </w:rPr>
        <w:t> </w:t>
      </w:r>
      <w:r>
        <w:rPr>
          <w:color w:val="231F20"/>
          <w:w w:val="105"/>
        </w:rPr>
        <w:t>se</w:t>
      </w:r>
      <w:r>
        <w:rPr>
          <w:color w:val="231F20"/>
          <w:spacing w:val="-25"/>
          <w:w w:val="105"/>
        </w:rPr>
        <w:t> </w:t>
      </w:r>
      <w:r>
        <w:rPr>
          <w:color w:val="231F20"/>
          <w:w w:val="105"/>
        </w:rPr>
        <w:t>eliminan,</w:t>
      </w:r>
      <w:r>
        <w:rPr>
          <w:color w:val="231F20"/>
          <w:spacing w:val="-30"/>
          <w:w w:val="105"/>
        </w:rPr>
        <w:t> </w:t>
      </w:r>
      <w:r>
        <w:rPr>
          <w:color w:val="231F20"/>
          <w:w w:val="105"/>
        </w:rPr>
        <w:t>los</w:t>
      </w:r>
      <w:r>
        <w:rPr>
          <w:color w:val="231F20"/>
          <w:spacing w:val="-25"/>
          <w:w w:val="105"/>
        </w:rPr>
        <w:t> </w:t>
      </w:r>
      <w:r>
        <w:rPr>
          <w:color w:val="231F20"/>
          <w:w w:val="105"/>
        </w:rPr>
        <w:t>costos</w:t>
      </w:r>
      <w:r>
        <w:rPr>
          <w:color w:val="231F20"/>
          <w:spacing w:val="-25"/>
          <w:w w:val="105"/>
        </w:rPr>
        <w:t> </w:t>
      </w:r>
      <w:r>
        <w:rPr>
          <w:color w:val="231F20"/>
          <w:w w:val="105"/>
        </w:rPr>
        <w:t>de</w:t>
      </w:r>
      <w:r>
        <w:rPr>
          <w:color w:val="231F20"/>
          <w:spacing w:val="-25"/>
          <w:w w:val="105"/>
        </w:rPr>
        <w:t> </w:t>
      </w:r>
      <w:r>
        <w:rPr>
          <w:color w:val="231F20"/>
          <w:w w:val="105"/>
        </w:rPr>
        <w:t>transac- ción</w:t>
      </w:r>
      <w:r>
        <w:rPr>
          <w:color w:val="231F20"/>
          <w:spacing w:val="-11"/>
          <w:w w:val="105"/>
        </w:rPr>
        <w:t> </w:t>
      </w:r>
      <w:r>
        <w:rPr>
          <w:color w:val="231F20"/>
          <w:w w:val="105"/>
        </w:rPr>
        <w:t>(Rugman</w:t>
      </w:r>
      <w:r>
        <w:rPr>
          <w:color w:val="231F20"/>
          <w:spacing w:val="-11"/>
          <w:w w:val="105"/>
        </w:rPr>
        <w:t> </w:t>
      </w:r>
      <w:r>
        <w:rPr>
          <w:color w:val="231F20"/>
          <w:w w:val="105"/>
        </w:rPr>
        <w:t>y</w:t>
      </w:r>
      <w:r>
        <w:rPr>
          <w:color w:val="231F20"/>
          <w:spacing w:val="-13"/>
          <w:w w:val="105"/>
        </w:rPr>
        <w:t> </w:t>
      </w:r>
      <w:r>
        <w:rPr>
          <w:color w:val="231F20"/>
          <w:w w:val="105"/>
        </w:rPr>
        <w:t>Waverman,</w:t>
      </w:r>
      <w:r>
        <w:rPr>
          <w:color w:val="231F20"/>
          <w:spacing w:val="-16"/>
          <w:w w:val="105"/>
        </w:rPr>
        <w:t> </w:t>
      </w:r>
      <w:r>
        <w:rPr>
          <w:color w:val="231F20"/>
          <w:w w:val="105"/>
        </w:rPr>
        <w:t>1991).</w:t>
      </w:r>
      <w:r>
        <w:rPr>
          <w:color w:val="231F20"/>
          <w:spacing w:val="-16"/>
          <w:w w:val="105"/>
        </w:rPr>
        <w:t> </w:t>
      </w:r>
      <w:r>
        <w:rPr>
          <w:color w:val="231F20"/>
          <w:w w:val="105"/>
        </w:rPr>
        <w:t>Este</w:t>
      </w:r>
      <w:r>
        <w:rPr>
          <w:color w:val="231F20"/>
          <w:spacing w:val="-11"/>
          <w:w w:val="105"/>
        </w:rPr>
        <w:t> </w:t>
      </w:r>
      <w:r>
        <w:rPr>
          <w:color w:val="231F20"/>
          <w:w w:val="105"/>
        </w:rPr>
        <w:t>tipo</w:t>
      </w:r>
      <w:r>
        <w:rPr>
          <w:color w:val="231F20"/>
          <w:spacing w:val="-11"/>
          <w:w w:val="105"/>
        </w:rPr>
        <w:t> </w:t>
      </w:r>
      <w:r>
        <w:rPr>
          <w:color w:val="231F20"/>
          <w:w w:val="105"/>
        </w:rPr>
        <w:t>de</w:t>
      </w:r>
      <w:r>
        <w:rPr>
          <w:color w:val="231F20"/>
          <w:spacing w:val="-11"/>
          <w:w w:val="105"/>
        </w:rPr>
        <w:t> </w:t>
      </w:r>
      <w:r>
        <w:rPr>
          <w:color w:val="231F20"/>
          <w:w w:val="105"/>
        </w:rPr>
        <w:t>teorías</w:t>
      </w:r>
      <w:r>
        <w:rPr>
          <w:color w:val="231F20"/>
          <w:spacing w:val="-11"/>
          <w:w w:val="105"/>
        </w:rPr>
        <w:t> </w:t>
      </w:r>
      <w:r>
        <w:rPr>
          <w:color w:val="231F20"/>
          <w:w w:val="105"/>
        </w:rPr>
        <w:t>han servido</w:t>
      </w:r>
      <w:r>
        <w:rPr>
          <w:color w:val="231F20"/>
          <w:spacing w:val="-25"/>
          <w:w w:val="105"/>
        </w:rPr>
        <w:t> </w:t>
      </w:r>
      <w:r>
        <w:rPr>
          <w:color w:val="231F20"/>
          <w:w w:val="105"/>
        </w:rPr>
        <w:t>para</w:t>
      </w:r>
      <w:r>
        <w:rPr>
          <w:color w:val="231F20"/>
          <w:spacing w:val="-25"/>
          <w:w w:val="105"/>
        </w:rPr>
        <w:t> </w:t>
      </w:r>
      <w:r>
        <w:rPr>
          <w:color w:val="231F20"/>
          <w:w w:val="105"/>
        </w:rPr>
        <w:t>ofrecer</w:t>
      </w:r>
      <w:r>
        <w:rPr>
          <w:color w:val="231F20"/>
          <w:spacing w:val="-25"/>
          <w:w w:val="105"/>
        </w:rPr>
        <w:t> </w:t>
      </w:r>
      <w:r>
        <w:rPr>
          <w:color w:val="231F20"/>
          <w:w w:val="105"/>
        </w:rPr>
        <w:t>una</w:t>
      </w:r>
      <w:r>
        <w:rPr>
          <w:color w:val="231F20"/>
          <w:spacing w:val="-25"/>
          <w:w w:val="105"/>
        </w:rPr>
        <w:t> </w:t>
      </w:r>
      <w:r>
        <w:rPr>
          <w:color w:val="231F20"/>
          <w:w w:val="105"/>
        </w:rPr>
        <w:t>explicación</w:t>
      </w:r>
      <w:r>
        <w:rPr>
          <w:color w:val="231F20"/>
          <w:spacing w:val="-25"/>
          <w:w w:val="105"/>
        </w:rPr>
        <w:t> </w:t>
      </w:r>
      <w:r>
        <w:rPr>
          <w:color w:val="231F20"/>
          <w:w w:val="105"/>
        </w:rPr>
        <w:t>parcial</w:t>
      </w:r>
      <w:r>
        <w:rPr>
          <w:color w:val="231F20"/>
          <w:spacing w:val="-25"/>
          <w:w w:val="105"/>
        </w:rPr>
        <w:t> </w:t>
      </w:r>
      <w:r>
        <w:rPr>
          <w:color w:val="231F20"/>
          <w:w w:val="105"/>
        </w:rPr>
        <w:t>de</w:t>
      </w:r>
      <w:r>
        <w:rPr>
          <w:color w:val="231F20"/>
          <w:spacing w:val="-25"/>
          <w:w w:val="105"/>
        </w:rPr>
        <w:t> </w:t>
      </w:r>
      <w:r>
        <w:rPr>
          <w:color w:val="231F20"/>
          <w:w w:val="105"/>
        </w:rPr>
        <w:t>esta</w:t>
      </w:r>
      <w:r>
        <w:rPr>
          <w:color w:val="231F20"/>
          <w:spacing w:val="-25"/>
          <w:w w:val="105"/>
        </w:rPr>
        <w:t> </w:t>
      </w:r>
      <w:r>
        <w:rPr>
          <w:color w:val="231F20"/>
          <w:w w:val="105"/>
        </w:rPr>
        <w:t>clase</w:t>
      </w:r>
      <w:r>
        <w:rPr>
          <w:color w:val="231F20"/>
          <w:spacing w:val="-25"/>
          <w:w w:val="105"/>
        </w:rPr>
        <w:t> </w:t>
      </w:r>
      <w:r>
        <w:rPr>
          <w:color w:val="231F20"/>
          <w:w w:val="105"/>
        </w:rPr>
        <w:t>de operación internacional. Así, en la medida que se integren todas</w:t>
      </w:r>
      <w:r>
        <w:rPr>
          <w:color w:val="231F20"/>
          <w:spacing w:val="-12"/>
          <w:w w:val="105"/>
        </w:rPr>
        <w:t> </w:t>
      </w:r>
      <w:r>
        <w:rPr>
          <w:color w:val="231F20"/>
          <w:w w:val="105"/>
        </w:rPr>
        <w:t>ellas</w:t>
      </w:r>
      <w:r>
        <w:rPr>
          <w:color w:val="231F20"/>
          <w:spacing w:val="-12"/>
          <w:w w:val="105"/>
        </w:rPr>
        <w:t> </w:t>
      </w:r>
      <w:r>
        <w:rPr>
          <w:color w:val="231F20"/>
          <w:w w:val="105"/>
        </w:rPr>
        <w:t>se</w:t>
      </w:r>
      <w:r>
        <w:rPr>
          <w:color w:val="231F20"/>
          <w:spacing w:val="-12"/>
          <w:w w:val="105"/>
        </w:rPr>
        <w:t> </w:t>
      </w:r>
      <w:r>
        <w:rPr>
          <w:color w:val="231F20"/>
          <w:w w:val="105"/>
        </w:rPr>
        <w:t>estará</w:t>
      </w:r>
      <w:r>
        <w:rPr>
          <w:color w:val="231F20"/>
          <w:spacing w:val="-12"/>
          <w:w w:val="105"/>
        </w:rPr>
        <w:t> </w:t>
      </w:r>
      <w:r>
        <w:rPr>
          <w:color w:val="231F20"/>
          <w:w w:val="105"/>
        </w:rPr>
        <w:t>más</w:t>
      </w:r>
      <w:r>
        <w:rPr>
          <w:color w:val="231F20"/>
          <w:spacing w:val="-12"/>
          <w:w w:val="105"/>
        </w:rPr>
        <w:t> </w:t>
      </w:r>
      <w:r>
        <w:rPr>
          <w:color w:val="231F20"/>
          <w:w w:val="105"/>
        </w:rPr>
        <w:t>próximo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realidad,</w:t>
      </w:r>
      <w:r>
        <w:rPr>
          <w:color w:val="231F20"/>
          <w:spacing w:val="-17"/>
          <w:w w:val="105"/>
        </w:rPr>
        <w:t> </w:t>
      </w:r>
      <w:r>
        <w:rPr>
          <w:color w:val="231F20"/>
          <w:w w:val="105"/>
        </w:rPr>
        <w:t>puesto</w:t>
      </w:r>
      <w:r>
        <w:rPr>
          <w:color w:val="231F20"/>
          <w:spacing w:val="-12"/>
          <w:w w:val="105"/>
        </w:rPr>
        <w:t> </w:t>
      </w:r>
      <w:r>
        <w:rPr>
          <w:color w:val="231F20"/>
          <w:w w:val="105"/>
        </w:rPr>
        <w:t>que los</w:t>
      </w:r>
      <w:r>
        <w:rPr>
          <w:color w:val="231F20"/>
          <w:spacing w:val="-27"/>
          <w:w w:val="105"/>
        </w:rPr>
        <w:t> </w:t>
      </w:r>
      <w:r>
        <w:rPr>
          <w:color w:val="231F20"/>
          <w:w w:val="105"/>
        </w:rPr>
        <w:t>determinantes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IED</w:t>
      </w:r>
      <w:r>
        <w:rPr>
          <w:color w:val="231F20"/>
          <w:spacing w:val="-27"/>
          <w:w w:val="105"/>
        </w:rPr>
        <w:t> </w:t>
      </w:r>
      <w:r>
        <w:rPr>
          <w:color w:val="231F20"/>
          <w:w w:val="105"/>
        </w:rPr>
        <w:t>son</w:t>
      </w:r>
      <w:r>
        <w:rPr>
          <w:color w:val="231F20"/>
          <w:spacing w:val="-27"/>
          <w:w w:val="105"/>
        </w:rPr>
        <w:t> </w:t>
      </w:r>
      <w:r>
        <w:rPr>
          <w:color w:val="231F20"/>
          <w:w w:val="105"/>
        </w:rPr>
        <w:t>numerosos,</w:t>
      </w:r>
      <w:r>
        <w:rPr>
          <w:color w:val="231F20"/>
          <w:spacing w:val="-32"/>
          <w:w w:val="105"/>
        </w:rPr>
        <w:t> </w:t>
      </w:r>
      <w:r>
        <w:rPr>
          <w:color w:val="231F20"/>
          <w:w w:val="105"/>
        </w:rPr>
        <w:t>heterogéneos</w:t>
      </w:r>
      <w:r>
        <w:rPr>
          <w:color w:val="231F20"/>
          <w:spacing w:val="-27"/>
          <w:w w:val="105"/>
        </w:rPr>
        <w:t> </w:t>
      </w:r>
      <w:r>
        <w:rPr>
          <w:color w:val="231F20"/>
          <w:w w:val="105"/>
        </w:rPr>
        <w:t>y cambiantes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tiempo</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espacio.</w:t>
      </w:r>
    </w:p>
    <w:p>
      <w:pPr>
        <w:pStyle w:val="ListParagraph"/>
        <w:numPr>
          <w:ilvl w:val="0"/>
          <w:numId w:val="60"/>
        </w:numPr>
        <w:tabs>
          <w:tab w:pos="1315" w:val="left" w:leader="none"/>
        </w:tabs>
        <w:spacing w:line="259" w:lineRule="auto" w:before="170" w:after="0"/>
        <w:ind w:left="1314" w:right="108" w:hanging="360"/>
        <w:jc w:val="both"/>
        <w:rPr>
          <w:sz w:val="21"/>
        </w:rPr>
      </w:pPr>
      <w:r>
        <w:rPr>
          <w:color w:val="231F20"/>
          <w:spacing w:val="-4"/>
          <w:w w:val="105"/>
          <w:sz w:val="21"/>
        </w:rPr>
        <w:t>Teoría</w:t>
      </w:r>
      <w:r>
        <w:rPr>
          <w:color w:val="231F20"/>
          <w:spacing w:val="-15"/>
          <w:w w:val="105"/>
          <w:sz w:val="21"/>
        </w:rPr>
        <w:t> </w:t>
      </w:r>
      <w:r>
        <w:rPr>
          <w:color w:val="231F20"/>
          <w:w w:val="105"/>
          <w:sz w:val="21"/>
        </w:rPr>
        <w:t>ecléctica</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Dunning.</w:t>
      </w:r>
      <w:r>
        <w:rPr>
          <w:color w:val="231F20"/>
          <w:spacing w:val="-15"/>
          <w:w w:val="105"/>
          <w:sz w:val="21"/>
        </w:rPr>
        <w:t> </w:t>
      </w:r>
      <w:r>
        <w:rPr>
          <w:color w:val="231F20"/>
          <w:w w:val="105"/>
          <w:sz w:val="21"/>
        </w:rPr>
        <w:t>A</w:t>
      </w:r>
      <w:r>
        <w:rPr>
          <w:color w:val="231F20"/>
          <w:spacing w:val="-18"/>
          <w:w w:val="105"/>
          <w:sz w:val="21"/>
        </w:rPr>
        <w:t> </w:t>
      </w:r>
      <w:r>
        <w:rPr>
          <w:color w:val="231F20"/>
          <w:w w:val="105"/>
          <w:sz w:val="21"/>
        </w:rPr>
        <w:t>partir</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unión</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teoría industrial y de la localización, se genera el paradigma OLI, el</w:t>
      </w:r>
      <w:r>
        <w:rPr>
          <w:color w:val="231F20"/>
          <w:spacing w:val="-8"/>
          <w:w w:val="105"/>
          <w:sz w:val="21"/>
        </w:rPr>
        <w:t> </w:t>
      </w:r>
      <w:r>
        <w:rPr>
          <w:color w:val="231F20"/>
          <w:w w:val="105"/>
          <w:sz w:val="21"/>
        </w:rPr>
        <w:t>cual</w:t>
      </w:r>
      <w:r>
        <w:rPr>
          <w:color w:val="231F20"/>
          <w:spacing w:val="-9"/>
          <w:w w:val="105"/>
          <w:sz w:val="21"/>
        </w:rPr>
        <w:t> </w:t>
      </w:r>
      <w:r>
        <w:rPr>
          <w:color w:val="231F20"/>
          <w:w w:val="105"/>
          <w:sz w:val="21"/>
        </w:rPr>
        <w:t>establece</w:t>
      </w:r>
      <w:r>
        <w:rPr>
          <w:color w:val="231F20"/>
          <w:spacing w:val="-8"/>
          <w:w w:val="105"/>
          <w:sz w:val="21"/>
        </w:rPr>
        <w:t> </w:t>
      </w:r>
      <w:r>
        <w:rPr>
          <w:color w:val="231F20"/>
          <w:w w:val="105"/>
          <w:sz w:val="21"/>
        </w:rPr>
        <w:t>que</w:t>
      </w:r>
      <w:r>
        <w:rPr>
          <w:color w:val="231F20"/>
          <w:spacing w:val="-8"/>
          <w:w w:val="105"/>
          <w:sz w:val="21"/>
        </w:rPr>
        <w:t> </w:t>
      </w:r>
      <w:r>
        <w:rPr>
          <w:color w:val="231F20"/>
          <w:w w:val="105"/>
          <w:sz w:val="21"/>
        </w:rPr>
        <w:t>una</w:t>
      </w:r>
      <w:r>
        <w:rPr>
          <w:color w:val="231F20"/>
          <w:spacing w:val="-8"/>
          <w:w w:val="105"/>
          <w:sz w:val="21"/>
        </w:rPr>
        <w:t> </w:t>
      </w:r>
      <w:r>
        <w:rPr>
          <w:color w:val="231F20"/>
          <w:w w:val="105"/>
          <w:sz w:val="21"/>
        </w:rPr>
        <w:t>empresa</w:t>
      </w:r>
      <w:r>
        <w:rPr>
          <w:color w:val="231F20"/>
          <w:spacing w:val="-8"/>
          <w:w w:val="105"/>
          <w:sz w:val="21"/>
        </w:rPr>
        <w:t> </w:t>
      </w:r>
      <w:r>
        <w:rPr>
          <w:color w:val="231F20"/>
          <w:w w:val="105"/>
          <w:sz w:val="21"/>
        </w:rPr>
        <w:t>decidirá</w:t>
      </w:r>
      <w:r>
        <w:rPr>
          <w:color w:val="231F20"/>
          <w:spacing w:val="-8"/>
          <w:w w:val="105"/>
          <w:sz w:val="21"/>
        </w:rPr>
        <w:t> </w:t>
      </w:r>
      <w:r>
        <w:rPr>
          <w:color w:val="231F20"/>
          <w:w w:val="105"/>
          <w:sz w:val="21"/>
        </w:rPr>
        <w:t>realizar</w:t>
      </w:r>
      <w:r>
        <w:rPr>
          <w:color w:val="231F20"/>
          <w:spacing w:val="-8"/>
          <w:w w:val="105"/>
          <w:sz w:val="21"/>
        </w:rPr>
        <w:t> </w:t>
      </w:r>
      <w:r>
        <w:rPr>
          <w:color w:val="231F20"/>
          <w:w w:val="105"/>
          <w:sz w:val="21"/>
        </w:rPr>
        <w:t>una</w:t>
      </w:r>
      <w:r>
        <w:rPr>
          <w:color w:val="231F20"/>
          <w:spacing w:val="-8"/>
          <w:w w:val="105"/>
          <w:sz w:val="21"/>
        </w:rPr>
        <w:t> </w:t>
      </w:r>
      <w:r>
        <w:rPr>
          <w:color w:val="231F20"/>
          <w:w w:val="105"/>
          <w:sz w:val="21"/>
        </w:rPr>
        <w:t>in- versión directa cuando cumpla las siguientes condiciones: ventajas de propiedad (o</w:t>
      </w:r>
      <w:r>
        <w:rPr>
          <w:i/>
          <w:color w:val="231F20"/>
          <w:w w:val="105"/>
          <w:sz w:val="21"/>
        </w:rPr>
        <w:t>wnership advantages</w:t>
      </w:r>
      <w:r>
        <w:rPr>
          <w:color w:val="231F20"/>
          <w:w w:val="105"/>
          <w:sz w:val="21"/>
        </w:rPr>
        <w:t>), ventajas de</w:t>
      </w:r>
      <w:r>
        <w:rPr>
          <w:color w:val="231F20"/>
          <w:spacing w:val="-24"/>
          <w:w w:val="105"/>
          <w:sz w:val="21"/>
        </w:rPr>
        <w:t> </w:t>
      </w:r>
      <w:r>
        <w:rPr>
          <w:color w:val="231F20"/>
          <w:w w:val="105"/>
          <w:sz w:val="21"/>
        </w:rPr>
        <w:t>internalización</w:t>
      </w:r>
      <w:r>
        <w:rPr>
          <w:color w:val="231F20"/>
          <w:spacing w:val="-24"/>
          <w:w w:val="105"/>
          <w:sz w:val="21"/>
        </w:rPr>
        <w:t> </w:t>
      </w:r>
      <w:r>
        <w:rPr>
          <w:color w:val="231F20"/>
          <w:w w:val="105"/>
          <w:sz w:val="21"/>
        </w:rPr>
        <w:t>(</w:t>
      </w:r>
      <w:r>
        <w:rPr>
          <w:i/>
          <w:color w:val="231F20"/>
          <w:w w:val="105"/>
          <w:sz w:val="21"/>
        </w:rPr>
        <w:t>internalization</w:t>
      </w:r>
      <w:r>
        <w:rPr>
          <w:i/>
          <w:color w:val="231F20"/>
          <w:spacing w:val="-24"/>
          <w:w w:val="105"/>
          <w:sz w:val="21"/>
        </w:rPr>
        <w:t> </w:t>
      </w:r>
      <w:r>
        <w:rPr>
          <w:i/>
          <w:color w:val="231F20"/>
          <w:w w:val="105"/>
          <w:sz w:val="21"/>
        </w:rPr>
        <w:t>advantages)</w:t>
      </w:r>
      <w:r>
        <w:rPr>
          <w:i/>
          <w:color w:val="231F20"/>
          <w:spacing w:val="-24"/>
          <w:w w:val="105"/>
          <w:sz w:val="21"/>
        </w:rPr>
        <w:t> </w:t>
      </w:r>
      <w:r>
        <w:rPr>
          <w:color w:val="231F20"/>
          <w:w w:val="105"/>
          <w:sz w:val="21"/>
        </w:rPr>
        <w:t>y</w:t>
      </w:r>
      <w:r>
        <w:rPr>
          <w:color w:val="231F20"/>
          <w:spacing w:val="-24"/>
          <w:w w:val="105"/>
          <w:sz w:val="21"/>
        </w:rPr>
        <w:t> </w:t>
      </w:r>
      <w:r>
        <w:rPr>
          <w:color w:val="231F20"/>
          <w:w w:val="105"/>
          <w:sz w:val="21"/>
        </w:rPr>
        <w:t>ventajas</w:t>
      </w:r>
      <w:r>
        <w:rPr>
          <w:color w:val="231F20"/>
          <w:spacing w:val="-24"/>
          <w:w w:val="105"/>
          <w:sz w:val="21"/>
        </w:rPr>
        <w:t> </w:t>
      </w:r>
      <w:r>
        <w:rPr>
          <w:color w:val="231F20"/>
          <w:w w:val="105"/>
          <w:sz w:val="21"/>
        </w:rPr>
        <w:t>de localización (</w:t>
      </w:r>
      <w:r>
        <w:rPr>
          <w:i/>
          <w:color w:val="231F20"/>
          <w:w w:val="105"/>
          <w:sz w:val="21"/>
        </w:rPr>
        <w:t>location advantages) </w:t>
      </w:r>
      <w:r>
        <w:rPr>
          <w:color w:val="231F20"/>
          <w:w w:val="105"/>
          <w:sz w:val="21"/>
        </w:rPr>
        <w:t>(Dunning, 1997). Otras teorías que han apoyado el estudio y determinación de la IED bajo el enfoque de la localización son la hipótesis del ciclo</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vida</w:t>
      </w:r>
      <w:r>
        <w:rPr>
          <w:color w:val="231F20"/>
          <w:spacing w:val="-15"/>
          <w:w w:val="105"/>
          <w:sz w:val="21"/>
        </w:rPr>
        <w:t> </w:t>
      </w:r>
      <w:r>
        <w:rPr>
          <w:color w:val="231F20"/>
          <w:w w:val="105"/>
          <w:sz w:val="21"/>
        </w:rPr>
        <w:t>del</w:t>
      </w:r>
      <w:r>
        <w:rPr>
          <w:color w:val="231F20"/>
          <w:spacing w:val="-15"/>
          <w:w w:val="105"/>
          <w:sz w:val="21"/>
        </w:rPr>
        <w:t> </w:t>
      </w:r>
      <w:r>
        <w:rPr>
          <w:color w:val="231F20"/>
          <w:w w:val="105"/>
          <w:sz w:val="21"/>
        </w:rPr>
        <w:t>producto</w:t>
      </w:r>
      <w:r>
        <w:rPr>
          <w:color w:val="231F20"/>
          <w:spacing w:val="-15"/>
          <w:w w:val="105"/>
          <w:sz w:val="21"/>
        </w:rPr>
        <w:t> </w:t>
      </w:r>
      <w:r>
        <w:rPr>
          <w:color w:val="231F20"/>
          <w:w w:val="105"/>
          <w:sz w:val="21"/>
        </w:rPr>
        <w:t>(Vernon,</w:t>
      </w:r>
      <w:r>
        <w:rPr>
          <w:color w:val="231F20"/>
          <w:spacing w:val="-20"/>
          <w:w w:val="105"/>
          <w:sz w:val="21"/>
        </w:rPr>
        <w:t> </w:t>
      </w:r>
      <w:r>
        <w:rPr>
          <w:color w:val="231F20"/>
          <w:w w:val="105"/>
          <w:sz w:val="21"/>
        </w:rPr>
        <w:t>1966),</w:t>
      </w:r>
      <w:r>
        <w:rPr>
          <w:color w:val="231F20"/>
          <w:spacing w:val="-20"/>
          <w:w w:val="105"/>
          <w:sz w:val="21"/>
        </w:rPr>
        <w:t> </w:t>
      </w:r>
      <w:r>
        <w:rPr>
          <w:color w:val="231F20"/>
          <w:w w:val="105"/>
          <w:sz w:val="21"/>
        </w:rPr>
        <w:t>la</w:t>
      </w:r>
      <w:r>
        <w:rPr>
          <w:color w:val="231F20"/>
          <w:spacing w:val="-15"/>
          <w:w w:val="105"/>
          <w:sz w:val="21"/>
        </w:rPr>
        <w:t> </w:t>
      </w:r>
      <w:r>
        <w:rPr>
          <w:color w:val="231F20"/>
          <w:w w:val="105"/>
          <w:sz w:val="21"/>
        </w:rPr>
        <w:t>japonesa</w:t>
      </w:r>
      <w:r>
        <w:rPr>
          <w:color w:val="231F20"/>
          <w:spacing w:val="-15"/>
          <w:w w:val="105"/>
          <w:sz w:val="21"/>
        </w:rPr>
        <w:t> </w:t>
      </w:r>
      <w:r>
        <w:rPr>
          <w:color w:val="231F20"/>
          <w:w w:val="105"/>
          <w:sz w:val="21"/>
        </w:rPr>
        <w:t>(Koji- ma,</w:t>
      </w:r>
      <w:r>
        <w:rPr>
          <w:color w:val="231F20"/>
          <w:spacing w:val="-21"/>
          <w:w w:val="105"/>
          <w:sz w:val="21"/>
        </w:rPr>
        <w:t> </w:t>
      </w:r>
      <w:r>
        <w:rPr>
          <w:color w:val="231F20"/>
          <w:w w:val="105"/>
          <w:sz w:val="21"/>
        </w:rPr>
        <w:t>1976),</w:t>
      </w:r>
      <w:r>
        <w:rPr>
          <w:color w:val="231F20"/>
          <w:spacing w:val="-21"/>
          <w:w w:val="105"/>
          <w:sz w:val="21"/>
        </w:rPr>
        <w:t> </w:t>
      </w:r>
      <w:r>
        <w:rPr>
          <w:color w:val="231F20"/>
          <w:w w:val="105"/>
          <w:sz w:val="21"/>
        </w:rPr>
        <w:t>el</w:t>
      </w:r>
      <w:r>
        <w:rPr>
          <w:color w:val="231F20"/>
          <w:spacing w:val="-15"/>
          <w:w w:val="105"/>
          <w:sz w:val="21"/>
        </w:rPr>
        <w:t> </w:t>
      </w:r>
      <w:r>
        <w:rPr>
          <w:color w:val="231F20"/>
          <w:w w:val="105"/>
          <w:sz w:val="21"/>
        </w:rPr>
        <w:t>diamante</w:t>
      </w:r>
      <w:r>
        <w:rPr>
          <w:color w:val="231F20"/>
          <w:spacing w:val="-15"/>
          <w:w w:val="105"/>
          <w:sz w:val="21"/>
        </w:rPr>
        <w:t> </w:t>
      </w:r>
      <w:r>
        <w:rPr>
          <w:color w:val="231F20"/>
          <w:w w:val="105"/>
          <w:sz w:val="21"/>
        </w:rPr>
        <w:t>de</w:t>
      </w:r>
      <w:r>
        <w:rPr>
          <w:color w:val="231F20"/>
          <w:spacing w:val="-15"/>
          <w:w w:val="105"/>
          <w:sz w:val="21"/>
        </w:rPr>
        <w:t> </w:t>
      </w:r>
      <w:r>
        <w:rPr>
          <w:color w:val="231F20"/>
          <w:spacing w:val="-4"/>
          <w:w w:val="105"/>
          <w:sz w:val="21"/>
        </w:rPr>
        <w:t>Porter</w:t>
      </w:r>
      <w:r>
        <w:rPr>
          <w:color w:val="231F20"/>
          <w:spacing w:val="-15"/>
          <w:w w:val="105"/>
          <w:sz w:val="21"/>
        </w:rPr>
        <w:t> </w:t>
      </w:r>
      <w:r>
        <w:rPr>
          <w:color w:val="231F20"/>
          <w:w w:val="105"/>
          <w:sz w:val="21"/>
        </w:rPr>
        <w:t>(1999)</w:t>
      </w:r>
      <w:r>
        <w:rPr>
          <w:color w:val="231F20"/>
          <w:spacing w:val="-15"/>
          <w:w w:val="105"/>
          <w:sz w:val="21"/>
        </w:rPr>
        <w:t> </w:t>
      </w:r>
      <w:r>
        <w:rPr>
          <w:color w:val="231F20"/>
          <w:w w:val="105"/>
          <w:sz w:val="21"/>
        </w:rPr>
        <w:t>y</w:t>
      </w:r>
      <w:r>
        <w:rPr>
          <w:color w:val="231F20"/>
          <w:spacing w:val="-15"/>
          <w:w w:val="105"/>
          <w:sz w:val="21"/>
        </w:rPr>
        <w:t> </w:t>
      </w:r>
      <w:r>
        <w:rPr>
          <w:color w:val="231F20"/>
          <w:w w:val="105"/>
          <w:sz w:val="21"/>
        </w:rPr>
        <w:t>la</w:t>
      </w:r>
      <w:r>
        <w:rPr>
          <w:color w:val="231F20"/>
          <w:spacing w:val="-15"/>
          <w:w w:val="105"/>
          <w:sz w:val="21"/>
        </w:rPr>
        <w:t> </w:t>
      </w:r>
      <w:r>
        <w:rPr>
          <w:color w:val="231F20"/>
          <w:w w:val="105"/>
          <w:sz w:val="21"/>
        </w:rPr>
        <w:t>contribución</w:t>
      </w:r>
      <w:r>
        <w:rPr>
          <w:color w:val="231F20"/>
          <w:spacing w:val="-15"/>
          <w:w w:val="105"/>
          <w:sz w:val="21"/>
        </w:rPr>
        <w:t> </w:t>
      </w:r>
      <w:r>
        <w:rPr>
          <w:color w:val="231F20"/>
          <w:w w:val="105"/>
          <w:sz w:val="21"/>
        </w:rPr>
        <w:t>de </w:t>
      </w:r>
      <w:r>
        <w:rPr>
          <w:color w:val="231F20"/>
          <w:sz w:val="21"/>
        </w:rPr>
        <w:t>Ozawa</w:t>
      </w:r>
      <w:r>
        <w:rPr>
          <w:color w:val="231F20"/>
          <w:spacing w:val="-5"/>
          <w:sz w:val="21"/>
        </w:rPr>
        <w:t> </w:t>
      </w:r>
      <w:r>
        <w:rPr>
          <w:color w:val="231F20"/>
          <w:sz w:val="21"/>
        </w:rPr>
        <w:t>(1992).</w:t>
      </w:r>
    </w:p>
    <w:p>
      <w:pPr>
        <w:pStyle w:val="BodyText"/>
        <w:spacing w:line="259" w:lineRule="auto" w:before="170"/>
        <w:ind w:left="103" w:right="109"/>
        <w:jc w:val="both"/>
      </w:pPr>
      <w:r>
        <w:rPr>
          <w:color w:val="231F20"/>
          <w:w w:val="105"/>
        </w:rPr>
        <w:t>La</w:t>
      </w:r>
      <w:r>
        <w:rPr>
          <w:color w:val="231F20"/>
          <w:spacing w:val="-11"/>
          <w:w w:val="105"/>
        </w:rPr>
        <w:t> </w:t>
      </w:r>
      <w:r>
        <w:rPr>
          <w:color w:val="231F20"/>
          <w:w w:val="105"/>
        </w:rPr>
        <w:t>hipótesis</w:t>
      </w:r>
      <w:r>
        <w:rPr>
          <w:color w:val="231F20"/>
          <w:spacing w:val="-11"/>
          <w:w w:val="105"/>
        </w:rPr>
        <w:t> </w:t>
      </w:r>
      <w:r>
        <w:rPr>
          <w:color w:val="231F20"/>
          <w:w w:val="105"/>
        </w:rPr>
        <w:t>del</w:t>
      </w:r>
      <w:r>
        <w:rPr>
          <w:color w:val="231F20"/>
          <w:spacing w:val="-11"/>
          <w:w w:val="105"/>
        </w:rPr>
        <w:t> </w:t>
      </w:r>
      <w:r>
        <w:rPr>
          <w:color w:val="231F20"/>
          <w:w w:val="105"/>
        </w:rPr>
        <w:t>ciclo</w:t>
      </w:r>
      <w:r>
        <w:rPr>
          <w:color w:val="231F20"/>
          <w:spacing w:val="-11"/>
          <w:w w:val="105"/>
        </w:rPr>
        <w:t> </w:t>
      </w:r>
      <w:r>
        <w:rPr>
          <w:color w:val="231F20"/>
          <w:w w:val="105"/>
        </w:rPr>
        <w:t>de</w:t>
      </w:r>
      <w:r>
        <w:rPr>
          <w:color w:val="231F20"/>
          <w:spacing w:val="-11"/>
          <w:w w:val="105"/>
        </w:rPr>
        <w:t> </w:t>
      </w:r>
      <w:r>
        <w:rPr>
          <w:color w:val="231F20"/>
          <w:w w:val="105"/>
        </w:rPr>
        <w:t>vida</w:t>
      </w:r>
      <w:r>
        <w:rPr>
          <w:color w:val="231F20"/>
          <w:spacing w:val="-11"/>
          <w:w w:val="105"/>
        </w:rPr>
        <w:t> </w:t>
      </w:r>
      <w:r>
        <w:rPr>
          <w:color w:val="231F20"/>
          <w:w w:val="105"/>
        </w:rPr>
        <w:t>del</w:t>
      </w:r>
      <w:r>
        <w:rPr>
          <w:color w:val="231F20"/>
          <w:spacing w:val="-11"/>
          <w:w w:val="105"/>
        </w:rPr>
        <w:t> </w:t>
      </w:r>
      <w:r>
        <w:rPr>
          <w:color w:val="231F20"/>
          <w:w w:val="105"/>
        </w:rPr>
        <w:t>producto</w:t>
      </w:r>
      <w:r>
        <w:rPr>
          <w:color w:val="231F20"/>
          <w:spacing w:val="-11"/>
          <w:w w:val="105"/>
        </w:rPr>
        <w:t> </w:t>
      </w:r>
      <w:r>
        <w:rPr>
          <w:color w:val="231F20"/>
          <w:w w:val="105"/>
        </w:rPr>
        <w:t>formulada</w:t>
      </w:r>
      <w:r>
        <w:rPr>
          <w:color w:val="231F20"/>
          <w:spacing w:val="-11"/>
          <w:w w:val="105"/>
        </w:rPr>
        <w:t> </w:t>
      </w:r>
      <w:r>
        <w:rPr>
          <w:color w:val="231F20"/>
          <w:w w:val="105"/>
        </w:rPr>
        <w:t>por</w:t>
      </w:r>
      <w:r>
        <w:rPr>
          <w:color w:val="231F20"/>
          <w:spacing w:val="-14"/>
          <w:w w:val="105"/>
        </w:rPr>
        <w:t> </w:t>
      </w:r>
      <w:r>
        <w:rPr>
          <w:color w:val="231F20"/>
          <w:w w:val="105"/>
        </w:rPr>
        <w:t>Vernon</w:t>
      </w:r>
      <w:r>
        <w:rPr>
          <w:color w:val="231F20"/>
          <w:spacing w:val="-11"/>
          <w:w w:val="105"/>
        </w:rPr>
        <w:t> </w:t>
      </w:r>
      <w:r>
        <w:rPr>
          <w:color w:val="231F20"/>
          <w:w w:val="105"/>
        </w:rPr>
        <w:t>(1966), propone que la IED podría realizarse por empresas instaladas en paí- ses</w:t>
      </w:r>
      <w:r>
        <w:rPr>
          <w:color w:val="231F20"/>
          <w:spacing w:val="-23"/>
          <w:w w:val="105"/>
        </w:rPr>
        <w:t> </w:t>
      </w:r>
      <w:r>
        <w:rPr>
          <w:color w:val="231F20"/>
          <w:w w:val="105"/>
        </w:rPr>
        <w:t>desarrollados</w:t>
      </w:r>
      <w:r>
        <w:rPr>
          <w:color w:val="231F20"/>
          <w:spacing w:val="-23"/>
          <w:w w:val="105"/>
        </w:rPr>
        <w:t> </w:t>
      </w:r>
      <w:r>
        <w:rPr>
          <w:color w:val="231F20"/>
          <w:w w:val="105"/>
        </w:rPr>
        <w:t>que</w:t>
      </w:r>
      <w:r>
        <w:rPr>
          <w:color w:val="231F20"/>
          <w:spacing w:val="-23"/>
          <w:w w:val="105"/>
        </w:rPr>
        <w:t> </w:t>
      </w:r>
      <w:r>
        <w:rPr>
          <w:color w:val="231F20"/>
          <w:w w:val="105"/>
        </w:rPr>
        <w:t>buscarían</w:t>
      </w:r>
      <w:r>
        <w:rPr>
          <w:color w:val="231F20"/>
          <w:spacing w:val="-23"/>
          <w:w w:val="105"/>
        </w:rPr>
        <w:t> </w:t>
      </w:r>
      <w:r>
        <w:rPr>
          <w:color w:val="231F20"/>
          <w:w w:val="105"/>
        </w:rPr>
        <w:t>las</w:t>
      </w:r>
      <w:r>
        <w:rPr>
          <w:color w:val="231F20"/>
          <w:spacing w:val="-23"/>
          <w:w w:val="105"/>
        </w:rPr>
        <w:t> </w:t>
      </w:r>
      <w:r>
        <w:rPr>
          <w:color w:val="231F20"/>
          <w:w w:val="105"/>
        </w:rPr>
        <w:t>ventajas</w:t>
      </w:r>
      <w:r>
        <w:rPr>
          <w:color w:val="231F20"/>
          <w:spacing w:val="-23"/>
          <w:w w:val="105"/>
        </w:rPr>
        <w:t> </w:t>
      </w:r>
      <w:r>
        <w:rPr>
          <w:color w:val="231F20"/>
          <w:w w:val="105"/>
        </w:rPr>
        <w:t>resultantes</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menores costos laborales que le ofrecen los países menos desarrollados para</w:t>
      </w:r>
      <w:r>
        <w:rPr>
          <w:color w:val="231F20"/>
          <w:spacing w:val="-37"/>
          <w:w w:val="105"/>
        </w:rPr>
        <w:t> </w:t>
      </w:r>
      <w:r>
        <w:rPr>
          <w:color w:val="231F20"/>
          <w:w w:val="105"/>
        </w:rPr>
        <w:t>la elaboración</w:t>
      </w:r>
      <w:r>
        <w:rPr>
          <w:color w:val="231F20"/>
          <w:spacing w:val="-14"/>
          <w:w w:val="105"/>
        </w:rPr>
        <w:t> </w:t>
      </w:r>
      <w:r>
        <w:rPr>
          <w:color w:val="231F20"/>
          <w:w w:val="105"/>
        </w:rPr>
        <w:t>de</w:t>
      </w:r>
      <w:r>
        <w:rPr>
          <w:color w:val="231F20"/>
          <w:spacing w:val="-14"/>
          <w:w w:val="105"/>
        </w:rPr>
        <w:t> </w:t>
      </w:r>
      <w:r>
        <w:rPr>
          <w:color w:val="231F20"/>
          <w:w w:val="105"/>
        </w:rPr>
        <w:t>un</w:t>
      </w:r>
      <w:r>
        <w:rPr>
          <w:color w:val="231F20"/>
          <w:spacing w:val="-14"/>
          <w:w w:val="105"/>
        </w:rPr>
        <w:t> </w:t>
      </w:r>
      <w:r>
        <w:rPr>
          <w:color w:val="231F20"/>
          <w:w w:val="105"/>
        </w:rPr>
        <w:t>producto</w:t>
      </w:r>
      <w:r>
        <w:rPr>
          <w:color w:val="231F20"/>
          <w:spacing w:val="-14"/>
          <w:w w:val="105"/>
        </w:rPr>
        <w:t> </w:t>
      </w:r>
      <w:r>
        <w:rPr>
          <w:color w:val="231F20"/>
          <w:w w:val="105"/>
        </w:rPr>
        <w:t>estandarizado.</w:t>
      </w:r>
      <w:r>
        <w:rPr>
          <w:color w:val="231F20"/>
          <w:spacing w:val="-20"/>
          <w:w w:val="105"/>
        </w:rPr>
        <w:t> </w:t>
      </w:r>
      <w:r>
        <w:rPr>
          <w:color w:val="231F20"/>
          <w:w w:val="105"/>
        </w:rPr>
        <w:t>La</w:t>
      </w:r>
      <w:r>
        <w:rPr>
          <w:color w:val="231F20"/>
          <w:spacing w:val="-14"/>
          <w:w w:val="105"/>
        </w:rPr>
        <w:t> </w:t>
      </w:r>
      <w:r>
        <w:rPr>
          <w:color w:val="231F20"/>
          <w:w w:val="105"/>
        </w:rPr>
        <w:t>hipótesis</w:t>
      </w:r>
      <w:r>
        <w:rPr>
          <w:color w:val="231F20"/>
          <w:spacing w:val="-14"/>
          <w:w w:val="105"/>
        </w:rPr>
        <w:t> </w:t>
      </w:r>
      <w:r>
        <w:rPr>
          <w:color w:val="231F20"/>
          <w:w w:val="105"/>
        </w:rPr>
        <w:t>del</w:t>
      </w:r>
      <w:r>
        <w:rPr>
          <w:color w:val="231F20"/>
          <w:spacing w:val="-14"/>
          <w:w w:val="105"/>
        </w:rPr>
        <w:t> </w:t>
      </w:r>
      <w:r>
        <w:rPr>
          <w:color w:val="231F20"/>
          <w:w w:val="105"/>
        </w:rPr>
        <w:t>ciclo</w:t>
      </w:r>
      <w:r>
        <w:rPr>
          <w:color w:val="231F20"/>
          <w:spacing w:val="-14"/>
          <w:w w:val="105"/>
        </w:rPr>
        <w:t> </w:t>
      </w:r>
      <w:r>
        <w:rPr>
          <w:color w:val="231F20"/>
          <w:w w:val="105"/>
        </w:rPr>
        <w:t>de</w:t>
      </w:r>
      <w:r>
        <w:rPr>
          <w:color w:val="231F20"/>
          <w:spacing w:val="-14"/>
          <w:w w:val="105"/>
        </w:rPr>
        <w:t> </w:t>
      </w:r>
      <w:r>
        <w:rPr>
          <w:color w:val="231F20"/>
          <w:w w:val="105"/>
        </w:rPr>
        <w:t>vida del producto ofrece como resultado una nueva explicación para la lo- calización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IED;</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13"/>
          <w:w w:val="105"/>
        </w:rPr>
        <w:t> </w:t>
      </w:r>
      <w:r>
        <w:rPr>
          <w:color w:val="231F20"/>
          <w:w w:val="105"/>
        </w:rPr>
        <w:t>se</w:t>
      </w:r>
      <w:r>
        <w:rPr>
          <w:color w:val="231F20"/>
          <w:spacing w:val="-7"/>
          <w:w w:val="105"/>
        </w:rPr>
        <w:t> </w:t>
      </w:r>
      <w:r>
        <w:rPr>
          <w:color w:val="231F20"/>
          <w:w w:val="105"/>
        </w:rPr>
        <w:t>trata</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enfoque</w:t>
      </w:r>
      <w:r>
        <w:rPr>
          <w:color w:val="231F20"/>
          <w:spacing w:val="-7"/>
          <w:w w:val="105"/>
        </w:rPr>
        <w:t> </w:t>
      </w:r>
      <w:r>
        <w:rPr>
          <w:color w:val="231F20"/>
          <w:w w:val="105"/>
        </w:rPr>
        <w:t>de</w:t>
      </w:r>
      <w:r>
        <w:rPr>
          <w:color w:val="231F20"/>
          <w:spacing w:val="-7"/>
          <w:w w:val="105"/>
        </w:rPr>
        <w:t> </w:t>
      </w:r>
      <w:r>
        <w:rPr>
          <w:color w:val="231F20"/>
          <w:w w:val="105"/>
        </w:rPr>
        <w:t>naturaleza especulativa,</w:t>
      </w:r>
      <w:r>
        <w:rPr>
          <w:color w:val="231F20"/>
          <w:spacing w:val="-11"/>
          <w:w w:val="105"/>
        </w:rPr>
        <w:t> </w:t>
      </w:r>
      <w:r>
        <w:rPr>
          <w:color w:val="231F20"/>
          <w:w w:val="105"/>
        </w:rPr>
        <w:t>ya</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presenta</w:t>
      </w:r>
      <w:r>
        <w:rPr>
          <w:color w:val="231F20"/>
          <w:spacing w:val="-5"/>
          <w:w w:val="105"/>
        </w:rPr>
        <w:t> </w:t>
      </w:r>
      <w:r>
        <w:rPr>
          <w:color w:val="231F20"/>
          <w:w w:val="105"/>
        </w:rPr>
        <w:t>un</w:t>
      </w:r>
      <w:r>
        <w:rPr>
          <w:color w:val="231F20"/>
          <w:spacing w:val="-5"/>
          <w:w w:val="105"/>
        </w:rPr>
        <w:t> </w:t>
      </w:r>
      <w:r>
        <w:rPr>
          <w:color w:val="231F20"/>
          <w:w w:val="105"/>
        </w:rPr>
        <w:t>modelo</w:t>
      </w:r>
      <w:r>
        <w:rPr>
          <w:color w:val="231F20"/>
          <w:spacing w:val="-5"/>
          <w:w w:val="105"/>
        </w:rPr>
        <w:t> </w:t>
      </w:r>
      <w:r>
        <w:rPr>
          <w:color w:val="231F20"/>
          <w:w w:val="105"/>
        </w:rPr>
        <w:t>analítico</w:t>
      </w:r>
      <w:r>
        <w:rPr>
          <w:color w:val="231F20"/>
          <w:spacing w:val="-5"/>
          <w:w w:val="105"/>
        </w:rPr>
        <w:t> </w:t>
      </w:r>
      <w:r>
        <w:rPr>
          <w:color w:val="231F20"/>
          <w:w w:val="105"/>
        </w:rPr>
        <w:t>que</w:t>
      </w:r>
      <w:r>
        <w:rPr>
          <w:color w:val="231F20"/>
          <w:spacing w:val="-5"/>
          <w:w w:val="105"/>
        </w:rPr>
        <w:t> </w:t>
      </w:r>
      <w:r>
        <w:rPr>
          <w:color w:val="231F20"/>
          <w:w w:val="105"/>
        </w:rPr>
        <w:t>justifique</w:t>
      </w:r>
      <w:r>
        <w:rPr>
          <w:color w:val="231F20"/>
          <w:spacing w:val="-5"/>
          <w:w w:val="105"/>
        </w:rPr>
        <w:t> </w:t>
      </w:r>
      <w:r>
        <w:rPr>
          <w:color w:val="231F20"/>
          <w:w w:val="105"/>
        </w:rPr>
        <w:t>for- malmente</w:t>
      </w:r>
      <w:r>
        <w:rPr>
          <w:color w:val="231F20"/>
          <w:spacing w:val="-13"/>
          <w:w w:val="105"/>
        </w:rPr>
        <w:t> </w:t>
      </w:r>
      <w:r>
        <w:rPr>
          <w:color w:val="231F20"/>
          <w:w w:val="105"/>
        </w:rPr>
        <w:t>el</w:t>
      </w:r>
      <w:r>
        <w:rPr>
          <w:color w:val="231F20"/>
          <w:spacing w:val="-13"/>
          <w:w w:val="105"/>
        </w:rPr>
        <w:t> </w:t>
      </w:r>
      <w:r>
        <w:rPr>
          <w:color w:val="231F20"/>
          <w:w w:val="105"/>
        </w:rPr>
        <w:t>peso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influencia</w:t>
      </w:r>
      <w:r>
        <w:rPr>
          <w:color w:val="231F20"/>
          <w:spacing w:val="-13"/>
          <w:w w:val="105"/>
        </w:rPr>
        <w:t> </w:t>
      </w:r>
      <w:r>
        <w:rPr>
          <w:color w:val="231F20"/>
          <w:w w:val="105"/>
        </w:rPr>
        <w:t>de</w:t>
      </w:r>
      <w:r>
        <w:rPr>
          <w:color w:val="231F20"/>
          <w:spacing w:val="-13"/>
          <w:w w:val="105"/>
        </w:rPr>
        <w:t> </w:t>
      </w:r>
      <w:r>
        <w:rPr>
          <w:color w:val="231F20"/>
          <w:w w:val="105"/>
        </w:rPr>
        <w:t>cada</w:t>
      </w:r>
      <w:r>
        <w:rPr>
          <w:color w:val="231F20"/>
          <w:spacing w:val="-13"/>
          <w:w w:val="105"/>
        </w:rPr>
        <w:t> </w:t>
      </w:r>
      <w:r>
        <w:rPr>
          <w:color w:val="231F20"/>
          <w:w w:val="105"/>
        </w:rPr>
        <w:t>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factores</w:t>
      </w:r>
      <w:r>
        <w:rPr>
          <w:color w:val="231F20"/>
          <w:spacing w:val="-13"/>
          <w:w w:val="105"/>
        </w:rPr>
        <w:t> </w:t>
      </w:r>
      <w:r>
        <w:rPr>
          <w:color w:val="231F20"/>
          <w:w w:val="105"/>
        </w:rPr>
        <w:t>utilizados</w:t>
      </w:r>
      <w:r>
        <w:rPr>
          <w:color w:val="231F20"/>
          <w:spacing w:val="-13"/>
          <w:w w:val="105"/>
        </w:rPr>
        <w:t> </w:t>
      </w:r>
      <w:r>
        <w:rPr>
          <w:color w:val="231F20"/>
          <w:w w:val="105"/>
        </w:rPr>
        <w:t>o requeridos</w:t>
      </w:r>
      <w:r>
        <w:rPr>
          <w:color w:val="231F20"/>
          <w:spacing w:val="-26"/>
          <w:w w:val="105"/>
        </w:rPr>
        <w:t> </w:t>
      </w:r>
      <w:r>
        <w:rPr>
          <w:color w:val="231F20"/>
          <w:w w:val="105"/>
        </w:rPr>
        <w:t>(Gómez</w:t>
      </w:r>
      <w:r>
        <w:rPr>
          <w:color w:val="231F20"/>
          <w:spacing w:val="-26"/>
          <w:w w:val="105"/>
        </w:rPr>
        <w:t> </w:t>
      </w:r>
      <w:r>
        <w:rPr>
          <w:i/>
          <w:color w:val="231F20"/>
          <w:w w:val="105"/>
        </w:rPr>
        <w:t>et</w:t>
      </w:r>
      <w:r>
        <w:rPr>
          <w:i/>
          <w:color w:val="231F20"/>
          <w:spacing w:val="-26"/>
          <w:w w:val="105"/>
        </w:rPr>
        <w:t> </w:t>
      </w:r>
      <w:r>
        <w:rPr>
          <w:i/>
          <w:color w:val="231F20"/>
          <w:w w:val="105"/>
        </w:rPr>
        <w:t>al</w:t>
      </w:r>
      <w:r>
        <w:rPr>
          <w:color w:val="231F20"/>
          <w:w w:val="105"/>
        </w:rPr>
        <w:t>.,</w:t>
      </w:r>
      <w:r>
        <w:rPr>
          <w:color w:val="231F20"/>
          <w:spacing w:val="-31"/>
          <w:w w:val="105"/>
        </w:rPr>
        <w:t> </w:t>
      </w:r>
      <w:r>
        <w:rPr>
          <w:color w:val="231F20"/>
          <w:w w:val="105"/>
        </w:rPr>
        <w:t>2001).</w:t>
      </w:r>
    </w:p>
    <w:p>
      <w:pPr>
        <w:pStyle w:val="BodyText"/>
        <w:spacing w:line="259" w:lineRule="auto"/>
        <w:ind w:left="103" w:right="114" w:firstLine="567"/>
        <w:jc w:val="both"/>
      </w:pPr>
      <w:r>
        <w:rPr>
          <w:color w:val="231F20"/>
          <w:w w:val="105"/>
        </w:rPr>
        <w:t>La</w:t>
      </w:r>
      <w:r>
        <w:rPr>
          <w:color w:val="231F20"/>
          <w:spacing w:val="-15"/>
          <w:w w:val="105"/>
        </w:rPr>
        <w:t> </w:t>
      </w:r>
      <w:r>
        <w:rPr>
          <w:color w:val="231F20"/>
          <w:w w:val="105"/>
        </w:rPr>
        <w:t>teoría</w:t>
      </w:r>
      <w:r>
        <w:rPr>
          <w:color w:val="231F20"/>
          <w:spacing w:val="-15"/>
          <w:w w:val="105"/>
        </w:rPr>
        <w:t> </w:t>
      </w:r>
      <w:r>
        <w:rPr>
          <w:color w:val="231F20"/>
          <w:w w:val="105"/>
        </w:rPr>
        <w:t>japonesa</w:t>
      </w:r>
      <w:r>
        <w:rPr>
          <w:color w:val="231F20"/>
          <w:spacing w:val="-15"/>
          <w:w w:val="105"/>
        </w:rPr>
        <w:t> </w:t>
      </w:r>
      <w:r>
        <w:rPr>
          <w:color w:val="231F20"/>
          <w:w w:val="105"/>
        </w:rPr>
        <w:t>de</w:t>
      </w:r>
      <w:r>
        <w:rPr>
          <w:color w:val="231F20"/>
          <w:spacing w:val="-15"/>
          <w:w w:val="105"/>
        </w:rPr>
        <w:t> </w:t>
      </w:r>
      <w:r>
        <w:rPr>
          <w:color w:val="231F20"/>
          <w:w w:val="105"/>
        </w:rPr>
        <w:t>Kojima</w:t>
      </w:r>
      <w:r>
        <w:rPr>
          <w:color w:val="231F20"/>
          <w:spacing w:val="-15"/>
          <w:w w:val="105"/>
        </w:rPr>
        <w:t> </w:t>
      </w:r>
      <w:r>
        <w:rPr>
          <w:color w:val="231F20"/>
          <w:w w:val="105"/>
        </w:rPr>
        <w:t>(1976),</w:t>
      </w:r>
      <w:r>
        <w:rPr>
          <w:color w:val="231F20"/>
          <w:spacing w:val="-20"/>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extensión</w:t>
      </w:r>
      <w:r>
        <w:rPr>
          <w:color w:val="231F20"/>
          <w:spacing w:val="-15"/>
          <w:w w:val="105"/>
        </w:rPr>
        <w:t> </w:t>
      </w:r>
      <w:r>
        <w:rPr>
          <w:color w:val="231F20"/>
          <w:w w:val="105"/>
        </w:rPr>
        <w:t>del</w:t>
      </w:r>
      <w:r>
        <w:rPr>
          <w:color w:val="231F20"/>
          <w:spacing w:val="-15"/>
          <w:w w:val="105"/>
        </w:rPr>
        <w:t> </w:t>
      </w:r>
      <w:r>
        <w:rPr>
          <w:color w:val="231F20"/>
          <w:w w:val="105"/>
        </w:rPr>
        <w:t>modelo Heckscher-Ohlin</w:t>
      </w:r>
      <w:r>
        <w:rPr>
          <w:color w:val="231F20"/>
          <w:spacing w:val="-17"/>
          <w:w w:val="105"/>
        </w:rPr>
        <w:t> </w:t>
      </w:r>
      <w:r>
        <w:rPr>
          <w:color w:val="231F20"/>
          <w:w w:val="105"/>
        </w:rPr>
        <w:t>del</w:t>
      </w:r>
      <w:r>
        <w:rPr>
          <w:color w:val="231F20"/>
          <w:spacing w:val="-17"/>
          <w:w w:val="105"/>
        </w:rPr>
        <w:t> </w:t>
      </w:r>
      <w:r>
        <w:rPr>
          <w:color w:val="231F20"/>
          <w:w w:val="105"/>
        </w:rPr>
        <w:t>comercio</w:t>
      </w:r>
      <w:r>
        <w:rPr>
          <w:color w:val="231F20"/>
          <w:spacing w:val="-17"/>
          <w:w w:val="105"/>
        </w:rPr>
        <w:t> </w:t>
      </w:r>
      <w:r>
        <w:rPr>
          <w:color w:val="231F20"/>
          <w:w w:val="105"/>
        </w:rPr>
        <w:t>internacional.</w:t>
      </w:r>
      <w:r>
        <w:rPr>
          <w:color w:val="231F20"/>
          <w:spacing w:val="-22"/>
          <w:w w:val="105"/>
        </w:rPr>
        <w:t> </w:t>
      </w:r>
      <w:r>
        <w:rPr>
          <w:color w:val="231F20"/>
          <w:w w:val="105"/>
        </w:rPr>
        <w:t>Esta</w:t>
      </w:r>
      <w:r>
        <w:rPr>
          <w:color w:val="231F20"/>
          <w:spacing w:val="-17"/>
          <w:w w:val="105"/>
        </w:rPr>
        <w:t> </w:t>
      </w:r>
      <w:r>
        <w:rPr>
          <w:color w:val="231F20"/>
          <w:w w:val="105"/>
        </w:rPr>
        <w:t>teoría</w:t>
      </w:r>
      <w:r>
        <w:rPr>
          <w:color w:val="231F20"/>
          <w:spacing w:val="-17"/>
          <w:w w:val="105"/>
        </w:rPr>
        <w:t> </w:t>
      </w:r>
      <w:r>
        <w:rPr>
          <w:color w:val="231F20"/>
          <w:w w:val="105"/>
        </w:rPr>
        <w:t>macroeconómi- ca</w:t>
      </w:r>
      <w:r>
        <w:rPr>
          <w:color w:val="231F20"/>
          <w:spacing w:val="-18"/>
          <w:w w:val="105"/>
        </w:rPr>
        <w:t> </w:t>
      </w:r>
      <w:r>
        <w:rPr>
          <w:color w:val="231F20"/>
          <w:w w:val="105"/>
        </w:rPr>
        <w:t>propone</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IED</w:t>
      </w:r>
      <w:r>
        <w:rPr>
          <w:color w:val="231F20"/>
          <w:spacing w:val="-18"/>
          <w:w w:val="105"/>
        </w:rPr>
        <w:t> </w:t>
      </w:r>
      <w:r>
        <w:rPr>
          <w:color w:val="231F20"/>
          <w:w w:val="105"/>
        </w:rPr>
        <w:t>es</w:t>
      </w:r>
      <w:r>
        <w:rPr>
          <w:color w:val="231F20"/>
          <w:spacing w:val="-18"/>
          <w:w w:val="105"/>
        </w:rPr>
        <w:t> </w:t>
      </w:r>
      <w:r>
        <w:rPr>
          <w:color w:val="231F20"/>
          <w:w w:val="105"/>
        </w:rPr>
        <w:t>llevada</w:t>
      </w:r>
      <w:r>
        <w:rPr>
          <w:color w:val="231F20"/>
          <w:spacing w:val="-18"/>
          <w:w w:val="105"/>
        </w:rPr>
        <w:t> </w:t>
      </w:r>
      <w:r>
        <w:rPr>
          <w:color w:val="231F20"/>
          <w:w w:val="105"/>
        </w:rPr>
        <w:t>a</w:t>
      </w:r>
      <w:r>
        <w:rPr>
          <w:color w:val="231F20"/>
          <w:spacing w:val="-18"/>
          <w:w w:val="105"/>
        </w:rPr>
        <w:t> </w:t>
      </w:r>
      <w:r>
        <w:rPr>
          <w:color w:val="231F20"/>
          <w:w w:val="105"/>
        </w:rPr>
        <w:t>cabo</w:t>
      </w:r>
      <w:r>
        <w:rPr>
          <w:color w:val="231F20"/>
          <w:spacing w:val="-18"/>
          <w:w w:val="105"/>
        </w:rPr>
        <w:t> </w:t>
      </w:r>
      <w:r>
        <w:rPr>
          <w:color w:val="231F20"/>
          <w:w w:val="105"/>
        </w:rPr>
        <w:t>por</w:t>
      </w:r>
      <w:r>
        <w:rPr>
          <w:color w:val="231F20"/>
          <w:spacing w:val="-18"/>
          <w:w w:val="105"/>
        </w:rPr>
        <w:t> </w:t>
      </w:r>
      <w:r>
        <w:rPr>
          <w:color w:val="231F20"/>
          <w:w w:val="105"/>
        </w:rPr>
        <w:t>empresas</w:t>
      </w:r>
      <w:r>
        <w:rPr>
          <w:color w:val="231F20"/>
          <w:spacing w:val="-18"/>
          <w:w w:val="105"/>
        </w:rPr>
        <w:t> </w:t>
      </w:r>
      <w:r>
        <w:rPr>
          <w:color w:val="231F20"/>
          <w:w w:val="105"/>
        </w:rPr>
        <w:t>que</w:t>
      </w:r>
      <w:r>
        <w:rPr>
          <w:color w:val="231F20"/>
          <w:spacing w:val="-18"/>
          <w:w w:val="105"/>
        </w:rPr>
        <w:t> </w:t>
      </w:r>
      <w:r>
        <w:rPr>
          <w:color w:val="231F20"/>
          <w:w w:val="105"/>
        </w:rPr>
        <w:t>generan</w:t>
      </w:r>
      <w:r>
        <w:rPr>
          <w:color w:val="231F20"/>
          <w:spacing w:val="-18"/>
          <w:w w:val="105"/>
        </w:rPr>
        <w:t> </w:t>
      </w:r>
      <w:r>
        <w:rPr>
          <w:color w:val="231F20"/>
          <w:w w:val="105"/>
        </w:rPr>
        <w:t>pro- ductos</w:t>
      </w:r>
      <w:r>
        <w:rPr>
          <w:color w:val="231F20"/>
          <w:spacing w:val="-16"/>
          <w:w w:val="105"/>
        </w:rPr>
        <w:t> </w:t>
      </w:r>
      <w:r>
        <w:rPr>
          <w:color w:val="231F20"/>
          <w:w w:val="105"/>
        </w:rPr>
        <w:t>cuya</w:t>
      </w:r>
      <w:r>
        <w:rPr>
          <w:color w:val="231F20"/>
          <w:spacing w:val="-16"/>
          <w:w w:val="105"/>
        </w:rPr>
        <w:t> </w:t>
      </w:r>
      <w:r>
        <w:rPr>
          <w:color w:val="231F20"/>
          <w:w w:val="105"/>
        </w:rPr>
        <w:t>elaboración</w:t>
      </w:r>
      <w:r>
        <w:rPr>
          <w:color w:val="231F20"/>
          <w:spacing w:val="-16"/>
          <w:w w:val="105"/>
        </w:rPr>
        <w:t> </w:t>
      </w:r>
      <w:r>
        <w:rPr>
          <w:color w:val="231F20"/>
          <w:w w:val="105"/>
        </w:rPr>
        <w:t>requiere</w:t>
      </w:r>
      <w:r>
        <w:rPr>
          <w:color w:val="231F20"/>
          <w:spacing w:val="-16"/>
          <w:w w:val="105"/>
        </w:rPr>
        <w:t> </w:t>
      </w:r>
      <w:r>
        <w:rPr>
          <w:color w:val="231F20"/>
          <w:w w:val="105"/>
        </w:rPr>
        <w:t>recursos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cuales</w:t>
      </w:r>
      <w:r>
        <w:rPr>
          <w:color w:val="231F20"/>
          <w:spacing w:val="-16"/>
          <w:w w:val="105"/>
        </w:rPr>
        <w:t> </w:t>
      </w:r>
      <w:r>
        <w:rPr>
          <w:color w:val="231F20"/>
          <w:w w:val="105"/>
        </w:rPr>
        <w:t>el</w:t>
      </w:r>
      <w:r>
        <w:rPr>
          <w:color w:val="231F20"/>
          <w:spacing w:val="-16"/>
          <w:w w:val="105"/>
        </w:rPr>
        <w:t> </w:t>
      </w:r>
      <w:r>
        <w:rPr>
          <w:color w:val="231F20"/>
          <w:w w:val="105"/>
        </w:rPr>
        <w:t>país</w:t>
      </w:r>
      <w:r>
        <w:rPr>
          <w:color w:val="231F20"/>
          <w:spacing w:val="-16"/>
          <w:w w:val="105"/>
        </w:rPr>
        <w:t> </w:t>
      </w:r>
      <w:r>
        <w:rPr>
          <w:color w:val="231F20"/>
          <w:w w:val="105"/>
        </w:rPr>
        <w:t>donante del capital tiene una ventaja comparativa, pero que genera actividades añadidas</w:t>
      </w:r>
      <w:r>
        <w:rPr>
          <w:color w:val="231F20"/>
          <w:spacing w:val="-20"/>
          <w:w w:val="105"/>
        </w:rPr>
        <w:t> </w:t>
      </w:r>
      <w:r>
        <w:rPr>
          <w:color w:val="231F20"/>
          <w:w w:val="105"/>
        </w:rPr>
        <w:t>que</w:t>
      </w:r>
      <w:r>
        <w:rPr>
          <w:color w:val="231F20"/>
          <w:spacing w:val="-20"/>
          <w:w w:val="105"/>
        </w:rPr>
        <w:t> </w:t>
      </w:r>
      <w:r>
        <w:rPr>
          <w:color w:val="231F20"/>
          <w:w w:val="105"/>
        </w:rPr>
        <w:t>requieren</w:t>
      </w:r>
      <w:r>
        <w:rPr>
          <w:color w:val="231F20"/>
          <w:spacing w:val="-20"/>
          <w:w w:val="105"/>
        </w:rPr>
        <w:t> </w:t>
      </w:r>
      <w:r>
        <w:rPr>
          <w:color w:val="231F20"/>
          <w:w w:val="105"/>
        </w:rPr>
        <w:t>recursos</w:t>
      </w:r>
      <w:r>
        <w:rPr>
          <w:color w:val="231F20"/>
          <w:spacing w:val="-20"/>
          <w:w w:val="105"/>
        </w:rPr>
        <w:t> </w:t>
      </w:r>
      <w:r>
        <w:rPr>
          <w:color w:val="231F20"/>
          <w:w w:val="105"/>
        </w:rPr>
        <w:t>en</w:t>
      </w:r>
      <w:r>
        <w:rPr>
          <w:color w:val="231F20"/>
          <w:spacing w:val="-20"/>
          <w:w w:val="105"/>
        </w:rPr>
        <w:t> </w:t>
      </w:r>
      <w:r>
        <w:rPr>
          <w:color w:val="231F20"/>
          <w:w w:val="105"/>
        </w:rPr>
        <w:t>los</w:t>
      </w:r>
      <w:r>
        <w:rPr>
          <w:color w:val="231F20"/>
          <w:spacing w:val="-20"/>
          <w:w w:val="105"/>
        </w:rPr>
        <w:t> </w:t>
      </w:r>
      <w:r>
        <w:rPr>
          <w:color w:val="231F20"/>
          <w:w w:val="105"/>
        </w:rPr>
        <w:t>que</w:t>
      </w:r>
      <w:r>
        <w:rPr>
          <w:color w:val="231F20"/>
          <w:spacing w:val="-20"/>
          <w:w w:val="105"/>
        </w:rPr>
        <w:t> </w:t>
      </w:r>
      <w:r>
        <w:rPr>
          <w:color w:val="231F20"/>
          <w:w w:val="105"/>
        </w:rPr>
        <w:t>ese</w:t>
      </w:r>
      <w:r>
        <w:rPr>
          <w:color w:val="231F20"/>
          <w:spacing w:val="-20"/>
          <w:w w:val="105"/>
        </w:rPr>
        <w:t> </w:t>
      </w:r>
      <w:r>
        <w:rPr>
          <w:color w:val="231F20"/>
          <w:w w:val="105"/>
        </w:rPr>
        <w:t>país</w:t>
      </w:r>
      <w:r>
        <w:rPr>
          <w:color w:val="231F20"/>
          <w:spacing w:val="-20"/>
          <w:w w:val="105"/>
        </w:rPr>
        <w:t> </w:t>
      </w:r>
      <w:r>
        <w:rPr>
          <w:color w:val="231F20"/>
          <w:w w:val="105"/>
        </w:rPr>
        <w:t>posee</w:t>
      </w:r>
      <w:r>
        <w:rPr>
          <w:color w:val="231F20"/>
          <w:spacing w:val="-20"/>
          <w:w w:val="105"/>
        </w:rPr>
        <w:t> </w:t>
      </w:r>
      <w:r>
        <w:rPr>
          <w:color w:val="231F20"/>
          <w:w w:val="105"/>
        </w:rPr>
        <w:t>una</w:t>
      </w:r>
      <w:r>
        <w:rPr>
          <w:color w:val="231F20"/>
          <w:spacing w:val="-20"/>
          <w:w w:val="105"/>
        </w:rPr>
        <w:t> </w:t>
      </w:r>
      <w:r>
        <w:rPr>
          <w:color w:val="231F20"/>
          <w:w w:val="105"/>
        </w:rPr>
        <w:t>desven- taja</w:t>
      </w:r>
      <w:r>
        <w:rPr>
          <w:color w:val="231F20"/>
          <w:spacing w:val="-12"/>
          <w:w w:val="105"/>
        </w:rPr>
        <w:t> </w:t>
      </w:r>
      <w:r>
        <w:rPr>
          <w:color w:val="231F20"/>
          <w:w w:val="105"/>
        </w:rPr>
        <w:t>comparativa.</w:t>
      </w:r>
      <w:r>
        <w:rPr>
          <w:color w:val="231F20"/>
          <w:spacing w:val="-16"/>
          <w:w w:val="105"/>
        </w:rPr>
        <w:t> </w:t>
      </w:r>
      <w:r>
        <w:rPr>
          <w:color w:val="231F20"/>
          <w:w w:val="105"/>
        </w:rPr>
        <w:t>Como</w:t>
      </w:r>
      <w:r>
        <w:rPr>
          <w:color w:val="231F20"/>
          <w:spacing w:val="-12"/>
          <w:w w:val="105"/>
        </w:rPr>
        <w:t> </w:t>
      </w:r>
      <w:r>
        <w:rPr>
          <w:color w:val="231F20"/>
          <w:w w:val="105"/>
        </w:rPr>
        <w:t>elemento</w:t>
      </w:r>
      <w:r>
        <w:rPr>
          <w:color w:val="231F20"/>
          <w:spacing w:val="-12"/>
          <w:w w:val="105"/>
        </w:rPr>
        <w:t> </w:t>
      </w:r>
      <w:r>
        <w:rPr>
          <w:color w:val="231F20"/>
          <w:w w:val="105"/>
        </w:rPr>
        <w:t>novedoso,</w:t>
      </w:r>
      <w:r>
        <w:rPr>
          <w:color w:val="231F20"/>
          <w:spacing w:val="-16"/>
          <w:w w:val="105"/>
        </w:rPr>
        <w:t> </w:t>
      </w:r>
      <w:r>
        <w:rPr>
          <w:color w:val="231F20"/>
          <w:w w:val="105"/>
        </w:rPr>
        <w:t>hace</w:t>
      </w:r>
      <w:r>
        <w:rPr>
          <w:color w:val="231F20"/>
          <w:spacing w:val="-12"/>
          <w:w w:val="105"/>
        </w:rPr>
        <w:t> </w:t>
      </w:r>
      <w:r>
        <w:rPr>
          <w:color w:val="231F20"/>
          <w:w w:val="105"/>
        </w:rPr>
        <w:t>referencia</w:t>
      </w:r>
      <w:r>
        <w:rPr>
          <w:color w:val="231F20"/>
          <w:spacing w:val="-12"/>
          <w:w w:val="105"/>
        </w:rPr>
        <w:t> </w:t>
      </w:r>
      <w:r>
        <w:rPr>
          <w:color w:val="231F20"/>
          <w:w w:val="105"/>
        </w:rPr>
        <w:t>explícita</w:t>
      </w:r>
      <w:r>
        <w:rPr>
          <w:color w:val="231F20"/>
          <w:spacing w:val="-12"/>
          <w:w w:val="105"/>
        </w:rPr>
        <w:t> </w:t>
      </w:r>
      <w:r>
        <w:rPr>
          <w:color w:val="231F20"/>
          <w:w w:val="105"/>
        </w:rPr>
        <w:t>a la IED como forma de internacionalización de la producción por medio de</w:t>
      </w:r>
      <w:r>
        <w:rPr>
          <w:color w:val="231F20"/>
          <w:spacing w:val="-19"/>
          <w:w w:val="105"/>
        </w:rPr>
        <w:t> </w:t>
      </w:r>
      <w:r>
        <w:rPr>
          <w:color w:val="231F20"/>
          <w:w w:val="105"/>
        </w:rPr>
        <w:t>un</w:t>
      </w:r>
      <w:r>
        <w:rPr>
          <w:color w:val="231F20"/>
          <w:spacing w:val="-19"/>
          <w:w w:val="105"/>
        </w:rPr>
        <w:t> </w:t>
      </w:r>
      <w:r>
        <w:rPr>
          <w:color w:val="231F20"/>
          <w:w w:val="105"/>
        </w:rPr>
        <w:t>desplazamiento</w:t>
      </w:r>
      <w:r>
        <w:rPr>
          <w:color w:val="231F20"/>
          <w:spacing w:val="-19"/>
          <w:w w:val="105"/>
        </w:rPr>
        <w:t> </w:t>
      </w:r>
      <w:r>
        <w:rPr>
          <w:color w:val="231F20"/>
          <w:w w:val="105"/>
        </w:rPr>
        <w:t>de</w:t>
      </w:r>
      <w:r>
        <w:rPr>
          <w:color w:val="231F20"/>
          <w:spacing w:val="-19"/>
          <w:w w:val="105"/>
        </w:rPr>
        <w:t> </w:t>
      </w:r>
      <w:r>
        <w:rPr>
          <w:color w:val="231F20"/>
          <w:w w:val="105"/>
        </w:rPr>
        <w:t>capital</w:t>
      </w:r>
      <w:r>
        <w:rPr>
          <w:color w:val="231F20"/>
          <w:spacing w:val="-19"/>
          <w:w w:val="105"/>
        </w:rPr>
        <w:t> </w:t>
      </w:r>
      <w:r>
        <w:rPr>
          <w:color w:val="231F20"/>
          <w:w w:val="105"/>
        </w:rPr>
        <w:t>financiero</w:t>
      </w:r>
      <w:r>
        <w:rPr>
          <w:color w:val="231F20"/>
          <w:spacing w:val="-19"/>
          <w:w w:val="105"/>
        </w:rPr>
        <w:t> </w:t>
      </w:r>
      <w:r>
        <w:rPr>
          <w:color w:val="231F20"/>
          <w:w w:val="105"/>
        </w:rPr>
        <w:t>(Gómez</w:t>
      </w:r>
      <w:r>
        <w:rPr>
          <w:color w:val="231F20"/>
          <w:spacing w:val="-19"/>
          <w:w w:val="105"/>
        </w:rPr>
        <w:t> </w:t>
      </w:r>
      <w:r>
        <w:rPr>
          <w:i/>
          <w:color w:val="231F20"/>
          <w:w w:val="105"/>
        </w:rPr>
        <w:t>et</w:t>
      </w:r>
      <w:r>
        <w:rPr>
          <w:i/>
          <w:color w:val="231F20"/>
          <w:spacing w:val="-19"/>
          <w:w w:val="105"/>
        </w:rPr>
        <w:t> </w:t>
      </w:r>
      <w:r>
        <w:rPr>
          <w:i/>
          <w:color w:val="231F20"/>
          <w:w w:val="105"/>
        </w:rPr>
        <w:t>al</w:t>
      </w:r>
      <w:r>
        <w:rPr>
          <w:color w:val="231F20"/>
          <w:w w:val="105"/>
        </w:rPr>
        <w:t>.,</w:t>
      </w:r>
      <w:r>
        <w:rPr>
          <w:color w:val="231F20"/>
          <w:spacing w:val="-25"/>
          <w:w w:val="105"/>
        </w:rPr>
        <w:t> </w:t>
      </w:r>
      <w:r>
        <w:rPr>
          <w:color w:val="231F20"/>
          <w:w w:val="105"/>
        </w:rPr>
        <w:t>2001).</w:t>
      </w:r>
    </w:p>
    <w:p>
      <w:pPr>
        <w:pStyle w:val="BodyText"/>
        <w:rPr>
          <w:sz w:val="20"/>
        </w:rPr>
      </w:pPr>
    </w:p>
    <w:p>
      <w:pPr>
        <w:pStyle w:val="BodyText"/>
        <w:rPr>
          <w:sz w:val="20"/>
        </w:rPr>
      </w:pPr>
    </w:p>
    <w:p>
      <w:pPr>
        <w:pStyle w:val="BodyText"/>
        <w:rPr>
          <w:sz w:val="20"/>
        </w:rPr>
      </w:pPr>
    </w:p>
    <w:p>
      <w:pPr>
        <w:pStyle w:val="BodyText"/>
        <w:spacing w:before="9"/>
        <w:rPr>
          <w:sz w:val="20"/>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816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272</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144"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273</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En</w:t>
      </w:r>
      <w:r>
        <w:rPr>
          <w:color w:val="231F20"/>
          <w:spacing w:val="-25"/>
          <w:w w:val="105"/>
        </w:rPr>
        <w:t> </w:t>
      </w:r>
      <w:r>
        <w:rPr>
          <w:color w:val="231F20"/>
          <w:w w:val="105"/>
        </w:rPr>
        <w:t>un</w:t>
      </w:r>
      <w:r>
        <w:rPr>
          <w:color w:val="231F20"/>
          <w:spacing w:val="-25"/>
          <w:w w:val="105"/>
        </w:rPr>
        <w:t> </w:t>
      </w:r>
      <w:r>
        <w:rPr>
          <w:color w:val="231F20"/>
          <w:w w:val="105"/>
        </w:rPr>
        <w:t>intento</w:t>
      </w:r>
      <w:r>
        <w:rPr>
          <w:color w:val="231F20"/>
          <w:spacing w:val="-25"/>
          <w:w w:val="105"/>
        </w:rPr>
        <w:t> </w:t>
      </w:r>
      <w:r>
        <w:rPr>
          <w:color w:val="231F20"/>
          <w:w w:val="105"/>
        </w:rPr>
        <w:t>de</w:t>
      </w:r>
      <w:r>
        <w:rPr>
          <w:color w:val="231F20"/>
          <w:spacing w:val="-25"/>
          <w:w w:val="105"/>
        </w:rPr>
        <w:t> </w:t>
      </w:r>
      <w:r>
        <w:rPr>
          <w:color w:val="231F20"/>
          <w:w w:val="105"/>
        </w:rPr>
        <w:t>analizar</w:t>
      </w:r>
      <w:r>
        <w:rPr>
          <w:color w:val="231F20"/>
          <w:spacing w:val="-25"/>
          <w:w w:val="105"/>
        </w:rPr>
        <w:t> </w:t>
      </w:r>
      <w:r>
        <w:rPr>
          <w:color w:val="231F20"/>
          <w:w w:val="105"/>
        </w:rPr>
        <w:t>y</w:t>
      </w:r>
      <w:r>
        <w:rPr>
          <w:color w:val="231F20"/>
          <w:spacing w:val="-25"/>
          <w:w w:val="105"/>
        </w:rPr>
        <w:t> </w:t>
      </w:r>
      <w:r>
        <w:rPr>
          <w:color w:val="231F20"/>
          <w:w w:val="105"/>
        </w:rPr>
        <w:t>explicar</w:t>
      </w:r>
      <w:r>
        <w:rPr>
          <w:color w:val="231F20"/>
          <w:spacing w:val="-25"/>
          <w:w w:val="105"/>
        </w:rPr>
        <w:t> </w:t>
      </w:r>
      <w:r>
        <w:rPr>
          <w:color w:val="231F20"/>
          <w:w w:val="105"/>
        </w:rPr>
        <w:t>los</w:t>
      </w:r>
      <w:r>
        <w:rPr>
          <w:color w:val="231F20"/>
          <w:spacing w:val="-25"/>
          <w:w w:val="105"/>
        </w:rPr>
        <w:t> </w:t>
      </w:r>
      <w:r>
        <w:rPr>
          <w:color w:val="231F20"/>
          <w:w w:val="105"/>
        </w:rPr>
        <w:t>factores</w:t>
      </w:r>
      <w:r>
        <w:rPr>
          <w:color w:val="231F20"/>
          <w:spacing w:val="-25"/>
          <w:w w:val="105"/>
        </w:rPr>
        <w:t> </w:t>
      </w:r>
      <w:r>
        <w:rPr>
          <w:color w:val="231F20"/>
          <w:w w:val="105"/>
        </w:rPr>
        <w:t>que</w:t>
      </w:r>
      <w:r>
        <w:rPr>
          <w:color w:val="231F20"/>
          <w:spacing w:val="-25"/>
          <w:w w:val="105"/>
        </w:rPr>
        <w:t> </w:t>
      </w:r>
      <w:r>
        <w:rPr>
          <w:color w:val="231F20"/>
          <w:w w:val="105"/>
        </w:rPr>
        <w:t>provocan</w:t>
      </w:r>
      <w:r>
        <w:rPr>
          <w:color w:val="231F20"/>
          <w:spacing w:val="-25"/>
          <w:w w:val="105"/>
        </w:rPr>
        <w:t> </w:t>
      </w:r>
      <w:r>
        <w:rPr>
          <w:color w:val="231F20"/>
          <w:w w:val="105"/>
        </w:rPr>
        <w:t>el</w:t>
      </w:r>
      <w:r>
        <w:rPr>
          <w:color w:val="231F20"/>
          <w:spacing w:val="-25"/>
          <w:w w:val="105"/>
        </w:rPr>
        <w:t> </w:t>
      </w:r>
      <w:r>
        <w:rPr>
          <w:color w:val="231F20"/>
          <w:w w:val="105"/>
        </w:rPr>
        <w:t>liderazgo de</w:t>
      </w:r>
      <w:r>
        <w:rPr>
          <w:color w:val="231F20"/>
          <w:spacing w:val="-26"/>
          <w:w w:val="105"/>
        </w:rPr>
        <w:t> </w:t>
      </w:r>
      <w:r>
        <w:rPr>
          <w:color w:val="231F20"/>
          <w:w w:val="105"/>
        </w:rPr>
        <w:t>determinados</w:t>
      </w:r>
      <w:r>
        <w:rPr>
          <w:color w:val="231F20"/>
          <w:spacing w:val="-26"/>
          <w:w w:val="105"/>
        </w:rPr>
        <w:t> </w:t>
      </w:r>
      <w:r>
        <w:rPr>
          <w:color w:val="231F20"/>
          <w:w w:val="105"/>
        </w:rPr>
        <w:t>países</w:t>
      </w:r>
      <w:r>
        <w:rPr>
          <w:color w:val="231F20"/>
          <w:spacing w:val="-26"/>
          <w:w w:val="105"/>
        </w:rPr>
        <w:t> </w:t>
      </w:r>
      <w:r>
        <w:rPr>
          <w:color w:val="231F20"/>
          <w:w w:val="105"/>
        </w:rPr>
        <w:t>en</w:t>
      </w:r>
      <w:r>
        <w:rPr>
          <w:color w:val="231F20"/>
          <w:spacing w:val="-26"/>
          <w:w w:val="105"/>
        </w:rPr>
        <w:t> </w:t>
      </w:r>
      <w:r>
        <w:rPr>
          <w:color w:val="231F20"/>
          <w:w w:val="105"/>
        </w:rPr>
        <w:t>actividades</w:t>
      </w:r>
      <w:r>
        <w:rPr>
          <w:color w:val="231F20"/>
          <w:spacing w:val="-26"/>
          <w:w w:val="105"/>
        </w:rPr>
        <w:t> </w:t>
      </w:r>
      <w:r>
        <w:rPr>
          <w:color w:val="231F20"/>
          <w:w w:val="105"/>
        </w:rPr>
        <w:t>concretas,</w:t>
      </w:r>
      <w:r>
        <w:rPr>
          <w:color w:val="231F20"/>
          <w:spacing w:val="-30"/>
          <w:w w:val="105"/>
        </w:rPr>
        <w:t> </w:t>
      </w:r>
      <w:r>
        <w:rPr>
          <w:color w:val="231F20"/>
          <w:spacing w:val="-4"/>
          <w:w w:val="105"/>
        </w:rPr>
        <w:t>Porter</w:t>
      </w:r>
      <w:r>
        <w:rPr>
          <w:color w:val="231F20"/>
          <w:spacing w:val="-26"/>
          <w:w w:val="105"/>
        </w:rPr>
        <w:t> </w:t>
      </w:r>
      <w:r>
        <w:rPr>
          <w:color w:val="231F20"/>
          <w:w w:val="105"/>
        </w:rPr>
        <w:t>(1990)</w:t>
      </w:r>
      <w:r>
        <w:rPr>
          <w:color w:val="231F20"/>
          <w:spacing w:val="-26"/>
          <w:w w:val="105"/>
        </w:rPr>
        <w:t> </w:t>
      </w:r>
      <w:r>
        <w:rPr>
          <w:color w:val="231F20"/>
          <w:w w:val="105"/>
        </w:rPr>
        <w:t>desarro- lla</w:t>
      </w:r>
      <w:r>
        <w:rPr>
          <w:color w:val="231F20"/>
          <w:spacing w:val="-24"/>
          <w:w w:val="105"/>
        </w:rPr>
        <w:t> </w:t>
      </w:r>
      <w:r>
        <w:rPr>
          <w:color w:val="231F20"/>
          <w:w w:val="105"/>
        </w:rPr>
        <w:t>su</w:t>
      </w:r>
      <w:r>
        <w:rPr>
          <w:color w:val="231F20"/>
          <w:spacing w:val="-24"/>
          <w:w w:val="105"/>
        </w:rPr>
        <w:t> </w:t>
      </w:r>
      <w:r>
        <w:rPr>
          <w:color w:val="231F20"/>
          <w:w w:val="105"/>
        </w:rPr>
        <w:t>teoría</w:t>
      </w:r>
      <w:r>
        <w:rPr>
          <w:color w:val="231F20"/>
          <w:spacing w:val="-24"/>
          <w:w w:val="105"/>
        </w:rPr>
        <w:t> </w:t>
      </w:r>
      <w:r>
        <w:rPr>
          <w:color w:val="231F20"/>
          <w:w w:val="105"/>
        </w:rPr>
        <w:t>del</w:t>
      </w:r>
      <w:r>
        <w:rPr>
          <w:color w:val="231F20"/>
          <w:spacing w:val="-24"/>
          <w:w w:val="105"/>
        </w:rPr>
        <w:t> </w:t>
      </w:r>
      <w:r>
        <w:rPr>
          <w:color w:val="231F20"/>
          <w:w w:val="105"/>
        </w:rPr>
        <w:t>diamante,</w:t>
      </w:r>
      <w:r>
        <w:rPr>
          <w:color w:val="231F20"/>
          <w:spacing w:val="-29"/>
          <w:w w:val="105"/>
        </w:rPr>
        <w:t> </w:t>
      </w:r>
      <w:r>
        <w:rPr>
          <w:color w:val="231F20"/>
          <w:w w:val="105"/>
        </w:rPr>
        <w:t>aportando</w:t>
      </w:r>
      <w:r>
        <w:rPr>
          <w:color w:val="231F20"/>
          <w:spacing w:val="-24"/>
          <w:w w:val="105"/>
        </w:rPr>
        <w:t> </w:t>
      </w:r>
      <w:r>
        <w:rPr>
          <w:color w:val="231F20"/>
          <w:w w:val="105"/>
        </w:rPr>
        <w:t>respuestas</w:t>
      </w:r>
      <w:r>
        <w:rPr>
          <w:color w:val="231F20"/>
          <w:spacing w:val="-24"/>
          <w:w w:val="105"/>
        </w:rPr>
        <w:t> </w:t>
      </w:r>
      <w:r>
        <w:rPr>
          <w:color w:val="231F20"/>
          <w:w w:val="105"/>
        </w:rPr>
        <w:t>sobre</w:t>
      </w:r>
      <w:r>
        <w:rPr>
          <w:color w:val="231F20"/>
          <w:spacing w:val="-24"/>
          <w:w w:val="105"/>
        </w:rPr>
        <w:t> </w:t>
      </w:r>
      <w:r>
        <w:rPr>
          <w:color w:val="231F20"/>
          <w:w w:val="105"/>
        </w:rPr>
        <w:t>los</w:t>
      </w:r>
      <w:r>
        <w:rPr>
          <w:color w:val="231F20"/>
          <w:spacing w:val="-24"/>
          <w:w w:val="105"/>
        </w:rPr>
        <w:t> </w:t>
      </w:r>
      <w:r>
        <w:rPr>
          <w:color w:val="231F20"/>
          <w:w w:val="105"/>
        </w:rPr>
        <w:t>determinantes de</w:t>
      </w:r>
      <w:r>
        <w:rPr>
          <w:color w:val="231F20"/>
          <w:spacing w:val="-19"/>
          <w:w w:val="105"/>
        </w:rPr>
        <w:t> </w:t>
      </w:r>
      <w:r>
        <w:rPr>
          <w:color w:val="231F20"/>
          <w:w w:val="105"/>
        </w:rPr>
        <w:t>la</w:t>
      </w:r>
      <w:r>
        <w:rPr>
          <w:color w:val="231F20"/>
          <w:spacing w:val="-19"/>
          <w:w w:val="105"/>
        </w:rPr>
        <w:t> </w:t>
      </w:r>
      <w:r>
        <w:rPr>
          <w:color w:val="231F20"/>
          <w:w w:val="105"/>
        </w:rPr>
        <w:t>actividad</w:t>
      </w:r>
      <w:r>
        <w:rPr>
          <w:color w:val="231F20"/>
          <w:spacing w:val="-19"/>
          <w:w w:val="105"/>
        </w:rPr>
        <w:t> </w:t>
      </w:r>
      <w:r>
        <w:rPr>
          <w:color w:val="231F20"/>
          <w:w w:val="105"/>
        </w:rPr>
        <w:t>comercial</w:t>
      </w:r>
      <w:r>
        <w:rPr>
          <w:color w:val="231F20"/>
          <w:spacing w:val="-19"/>
          <w:w w:val="105"/>
        </w:rPr>
        <w:t> </w:t>
      </w:r>
      <w:r>
        <w:rPr>
          <w:color w:val="231F20"/>
          <w:w w:val="105"/>
        </w:rPr>
        <w:t>internacional</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realización</w:t>
      </w:r>
      <w:r>
        <w:rPr>
          <w:color w:val="231F20"/>
          <w:spacing w:val="-19"/>
          <w:w w:val="105"/>
        </w:rPr>
        <w:t> </w:t>
      </w:r>
      <w:r>
        <w:rPr>
          <w:color w:val="231F20"/>
          <w:w w:val="105"/>
        </w:rPr>
        <w:t>de</w:t>
      </w:r>
      <w:r>
        <w:rPr>
          <w:color w:val="231F20"/>
          <w:spacing w:val="-19"/>
          <w:w w:val="105"/>
        </w:rPr>
        <w:t> </w:t>
      </w:r>
      <w:r>
        <w:rPr>
          <w:color w:val="231F20"/>
          <w:spacing w:val="-3"/>
          <w:w w:val="105"/>
        </w:rPr>
        <w:t>IED.</w:t>
      </w:r>
    </w:p>
    <w:p>
      <w:pPr>
        <w:pStyle w:val="BodyText"/>
        <w:spacing w:line="259" w:lineRule="auto"/>
        <w:ind w:left="117" w:right="121" w:firstLine="567"/>
        <w:jc w:val="both"/>
      </w:pPr>
      <w:r>
        <w:rPr>
          <w:color w:val="231F20"/>
          <w:w w:val="105"/>
        </w:rPr>
        <w:t>Las</w:t>
      </w:r>
      <w:r>
        <w:rPr>
          <w:color w:val="231F20"/>
          <w:spacing w:val="-13"/>
          <w:w w:val="105"/>
        </w:rPr>
        <w:t> </w:t>
      </w:r>
      <w:r>
        <w:rPr>
          <w:color w:val="231F20"/>
          <w:w w:val="105"/>
        </w:rPr>
        <w:t>ventajas</w:t>
      </w:r>
      <w:r>
        <w:rPr>
          <w:color w:val="231F20"/>
          <w:spacing w:val="-13"/>
          <w:w w:val="105"/>
        </w:rPr>
        <w:t> </w:t>
      </w:r>
      <w:r>
        <w:rPr>
          <w:color w:val="231F20"/>
          <w:w w:val="105"/>
        </w:rPr>
        <w:t>del</w:t>
      </w:r>
      <w:r>
        <w:rPr>
          <w:color w:val="231F20"/>
          <w:spacing w:val="-13"/>
          <w:w w:val="105"/>
        </w:rPr>
        <w:t> </w:t>
      </w:r>
      <w:r>
        <w:rPr>
          <w:color w:val="231F20"/>
          <w:w w:val="105"/>
        </w:rPr>
        <w:t>país</w:t>
      </w:r>
      <w:r>
        <w:rPr>
          <w:color w:val="231F20"/>
          <w:spacing w:val="-13"/>
          <w:w w:val="105"/>
        </w:rPr>
        <w:t> </w:t>
      </w:r>
      <w:r>
        <w:rPr>
          <w:color w:val="231F20"/>
          <w:w w:val="105"/>
        </w:rPr>
        <w:t>inversor</w:t>
      </w:r>
      <w:r>
        <w:rPr>
          <w:color w:val="231F20"/>
          <w:spacing w:val="-13"/>
          <w:w w:val="105"/>
        </w:rPr>
        <w:t> </w:t>
      </w:r>
      <w:r>
        <w:rPr>
          <w:color w:val="231F20"/>
          <w:w w:val="105"/>
        </w:rPr>
        <w:t>se</w:t>
      </w:r>
      <w:r>
        <w:rPr>
          <w:color w:val="231F20"/>
          <w:spacing w:val="-13"/>
          <w:w w:val="105"/>
        </w:rPr>
        <w:t> </w:t>
      </w:r>
      <w:r>
        <w:rPr>
          <w:color w:val="231F20"/>
          <w:w w:val="105"/>
        </w:rPr>
        <w:t>convierten</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factores</w:t>
      </w:r>
      <w:r>
        <w:rPr>
          <w:color w:val="231F20"/>
          <w:spacing w:val="-13"/>
          <w:w w:val="105"/>
        </w:rPr>
        <w:t> </w:t>
      </w:r>
      <w:r>
        <w:rPr>
          <w:color w:val="231F20"/>
          <w:w w:val="105"/>
        </w:rPr>
        <w:t>funda- mentales.</w:t>
      </w:r>
      <w:r>
        <w:rPr>
          <w:color w:val="231F20"/>
          <w:spacing w:val="-21"/>
          <w:w w:val="105"/>
        </w:rPr>
        <w:t> </w:t>
      </w:r>
      <w:r>
        <w:rPr>
          <w:color w:val="231F20"/>
          <w:w w:val="105"/>
        </w:rPr>
        <w:t>Dichas</w:t>
      </w:r>
      <w:r>
        <w:rPr>
          <w:color w:val="231F20"/>
          <w:spacing w:val="-16"/>
          <w:w w:val="105"/>
        </w:rPr>
        <w:t> </w:t>
      </w:r>
      <w:r>
        <w:rPr>
          <w:color w:val="231F20"/>
          <w:w w:val="105"/>
        </w:rPr>
        <w:t>ventajas</w:t>
      </w:r>
      <w:r>
        <w:rPr>
          <w:color w:val="231F20"/>
          <w:spacing w:val="-16"/>
          <w:w w:val="105"/>
        </w:rPr>
        <w:t> </w:t>
      </w:r>
      <w:r>
        <w:rPr>
          <w:color w:val="231F20"/>
          <w:w w:val="105"/>
        </w:rPr>
        <w:t>estarían</w:t>
      </w:r>
      <w:r>
        <w:rPr>
          <w:color w:val="231F20"/>
          <w:spacing w:val="-16"/>
          <w:w w:val="105"/>
        </w:rPr>
        <w:t> </w:t>
      </w:r>
      <w:r>
        <w:rPr>
          <w:color w:val="231F20"/>
          <w:w w:val="105"/>
        </w:rPr>
        <w:t>determinadas</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combinación</w:t>
      </w:r>
      <w:r>
        <w:rPr>
          <w:color w:val="231F20"/>
          <w:spacing w:val="-16"/>
          <w:w w:val="105"/>
        </w:rPr>
        <w:t> </w:t>
      </w:r>
      <w:r>
        <w:rPr>
          <w:color w:val="231F20"/>
          <w:w w:val="105"/>
        </w:rPr>
        <w:t>de aspectos</w:t>
      </w:r>
      <w:r>
        <w:rPr>
          <w:color w:val="231F20"/>
          <w:spacing w:val="-5"/>
          <w:w w:val="105"/>
        </w:rPr>
        <w:t> </w:t>
      </w:r>
      <w:r>
        <w:rPr>
          <w:color w:val="231F20"/>
          <w:w w:val="105"/>
        </w:rPr>
        <w:t>relacionados</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factores</w:t>
      </w:r>
      <w:r>
        <w:rPr>
          <w:color w:val="231F20"/>
          <w:spacing w:val="-5"/>
          <w:w w:val="105"/>
        </w:rPr>
        <w:t> </w:t>
      </w:r>
      <w:r>
        <w:rPr>
          <w:color w:val="231F20"/>
          <w:w w:val="105"/>
        </w:rPr>
        <w:t>de</w:t>
      </w:r>
      <w:r>
        <w:rPr>
          <w:color w:val="231F20"/>
          <w:spacing w:val="-5"/>
          <w:w w:val="105"/>
        </w:rPr>
        <w:t> </w:t>
      </w:r>
      <w:r>
        <w:rPr>
          <w:color w:val="231F20"/>
          <w:w w:val="105"/>
        </w:rPr>
        <w:t>producción,</w:t>
      </w:r>
      <w:r>
        <w:rPr>
          <w:color w:val="231F20"/>
          <w:spacing w:val="-10"/>
          <w:w w:val="105"/>
        </w:rPr>
        <w:t> </w:t>
      </w:r>
      <w:r>
        <w:rPr>
          <w:color w:val="231F20"/>
          <w:w w:val="105"/>
        </w:rPr>
        <w:t>tal</w:t>
      </w:r>
      <w:r>
        <w:rPr>
          <w:color w:val="231F20"/>
          <w:spacing w:val="-5"/>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exis- tencia de mano de obra cualificada o infraestructuras necesarias para competir en determinadas industrias, las condiciones de demanda en el propio país, la presencia o ausencia de una industria secundaria y/o relacionada que sea competitiva y las condiciones sobre el modo de creación,</w:t>
      </w:r>
      <w:r>
        <w:rPr>
          <w:color w:val="231F20"/>
          <w:spacing w:val="-14"/>
          <w:w w:val="105"/>
        </w:rPr>
        <w:t> </w:t>
      </w:r>
      <w:r>
        <w:rPr>
          <w:color w:val="231F20"/>
          <w:w w:val="105"/>
        </w:rPr>
        <w:t>organización</w:t>
      </w:r>
      <w:r>
        <w:rPr>
          <w:color w:val="231F20"/>
          <w:spacing w:val="-9"/>
          <w:w w:val="105"/>
        </w:rPr>
        <w:t> </w:t>
      </w:r>
      <w:r>
        <w:rPr>
          <w:color w:val="231F20"/>
          <w:w w:val="105"/>
        </w:rPr>
        <w:t>y</w:t>
      </w:r>
      <w:r>
        <w:rPr>
          <w:color w:val="231F20"/>
          <w:spacing w:val="-9"/>
          <w:w w:val="105"/>
        </w:rPr>
        <w:t> </w:t>
      </w:r>
      <w:r>
        <w:rPr>
          <w:color w:val="231F20"/>
          <w:w w:val="105"/>
        </w:rPr>
        <w:t>dirección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empresas</w:t>
      </w:r>
      <w:r>
        <w:rPr>
          <w:color w:val="231F20"/>
          <w:spacing w:val="-9"/>
          <w:w w:val="105"/>
        </w:rPr>
        <w:t> </w:t>
      </w:r>
      <w:r>
        <w:rPr>
          <w:color w:val="231F20"/>
          <w:w w:val="105"/>
        </w:rPr>
        <w:t>que</w:t>
      </w:r>
      <w:r>
        <w:rPr>
          <w:color w:val="231F20"/>
          <w:spacing w:val="-9"/>
          <w:w w:val="105"/>
        </w:rPr>
        <w:t> </w:t>
      </w:r>
      <w:r>
        <w:rPr>
          <w:color w:val="231F20"/>
          <w:w w:val="105"/>
        </w:rPr>
        <w:t>determinan</w:t>
      </w:r>
      <w:r>
        <w:rPr>
          <w:color w:val="231F20"/>
          <w:spacing w:val="-9"/>
          <w:w w:val="105"/>
        </w:rPr>
        <w:t> </w:t>
      </w:r>
      <w:r>
        <w:rPr>
          <w:color w:val="231F20"/>
          <w:w w:val="105"/>
        </w:rPr>
        <w:t>sus estrategias</w:t>
      </w:r>
      <w:r>
        <w:rPr>
          <w:color w:val="231F20"/>
          <w:spacing w:val="-29"/>
          <w:w w:val="105"/>
        </w:rPr>
        <w:t> </w:t>
      </w:r>
      <w:r>
        <w:rPr>
          <w:color w:val="231F20"/>
          <w:w w:val="105"/>
        </w:rPr>
        <w:t>sobre</w:t>
      </w:r>
      <w:r>
        <w:rPr>
          <w:color w:val="231F20"/>
          <w:spacing w:val="-29"/>
          <w:w w:val="105"/>
        </w:rPr>
        <w:t> </w:t>
      </w:r>
      <w:r>
        <w:rPr>
          <w:color w:val="231F20"/>
          <w:w w:val="105"/>
        </w:rPr>
        <w:t>rivalidad</w:t>
      </w:r>
      <w:r>
        <w:rPr>
          <w:color w:val="231F20"/>
          <w:spacing w:val="-29"/>
          <w:w w:val="105"/>
        </w:rPr>
        <w:t> </w:t>
      </w:r>
      <w:r>
        <w:rPr>
          <w:color w:val="231F20"/>
          <w:w w:val="105"/>
        </w:rPr>
        <w:t>nacional.</w:t>
      </w:r>
    </w:p>
    <w:p>
      <w:pPr>
        <w:pStyle w:val="BodyText"/>
        <w:spacing w:line="259" w:lineRule="auto"/>
        <w:ind w:left="117" w:right="121" w:firstLine="567"/>
        <w:jc w:val="both"/>
      </w:pPr>
      <w:r>
        <w:rPr>
          <w:color w:val="231F20"/>
          <w:w w:val="105"/>
        </w:rPr>
        <w:t>Como</w:t>
      </w:r>
      <w:r>
        <w:rPr>
          <w:color w:val="231F20"/>
          <w:spacing w:val="-11"/>
          <w:w w:val="105"/>
        </w:rPr>
        <w:t> </w:t>
      </w:r>
      <w:r>
        <w:rPr>
          <w:color w:val="231F20"/>
          <w:w w:val="105"/>
        </w:rPr>
        <w:t>factores</w:t>
      </w:r>
      <w:r>
        <w:rPr>
          <w:color w:val="231F20"/>
          <w:spacing w:val="-11"/>
          <w:w w:val="105"/>
        </w:rPr>
        <w:t> </w:t>
      </w:r>
      <w:r>
        <w:rPr>
          <w:color w:val="231F20"/>
          <w:w w:val="105"/>
        </w:rPr>
        <w:t>exógenos</w:t>
      </w:r>
      <w:r>
        <w:rPr>
          <w:color w:val="231F20"/>
          <w:spacing w:val="-11"/>
          <w:w w:val="105"/>
        </w:rPr>
        <w:t> </w:t>
      </w:r>
      <w:r>
        <w:rPr>
          <w:color w:val="231F20"/>
          <w:w w:val="105"/>
        </w:rPr>
        <w:t>incluye</w:t>
      </w:r>
      <w:r>
        <w:rPr>
          <w:color w:val="231F20"/>
          <w:spacing w:val="-11"/>
          <w:w w:val="105"/>
        </w:rPr>
        <w:t> </w:t>
      </w:r>
      <w:r>
        <w:rPr>
          <w:color w:val="231F20"/>
          <w:w w:val="105"/>
        </w:rPr>
        <w:t>el</w:t>
      </w:r>
      <w:r>
        <w:rPr>
          <w:color w:val="231F20"/>
          <w:spacing w:val="-11"/>
          <w:w w:val="105"/>
        </w:rPr>
        <w:t> </w:t>
      </w:r>
      <w:r>
        <w:rPr>
          <w:color w:val="231F20"/>
          <w:w w:val="105"/>
        </w:rPr>
        <w:t>papel</w:t>
      </w:r>
      <w:r>
        <w:rPr>
          <w:color w:val="231F20"/>
          <w:spacing w:val="-11"/>
          <w:w w:val="105"/>
        </w:rPr>
        <w:t> </w:t>
      </w:r>
      <w:r>
        <w:rPr>
          <w:color w:val="231F20"/>
          <w:w w:val="105"/>
        </w:rPr>
        <w:t>del</w:t>
      </w:r>
      <w:r>
        <w:rPr>
          <w:color w:val="231F20"/>
          <w:spacing w:val="-11"/>
          <w:w w:val="105"/>
        </w:rPr>
        <w:t> </w:t>
      </w:r>
      <w:r>
        <w:rPr>
          <w:color w:val="231F20"/>
          <w:w w:val="105"/>
        </w:rPr>
        <w:t>gobierno</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suerte; sin</w:t>
      </w:r>
      <w:r>
        <w:rPr>
          <w:color w:val="231F20"/>
          <w:spacing w:val="-10"/>
          <w:w w:val="105"/>
        </w:rPr>
        <w:t> </w:t>
      </w:r>
      <w:r>
        <w:rPr>
          <w:color w:val="231F20"/>
          <w:w w:val="105"/>
        </w:rPr>
        <w:t>embargo,</w:t>
      </w:r>
      <w:r>
        <w:rPr>
          <w:color w:val="231F20"/>
          <w:spacing w:val="-14"/>
          <w:w w:val="105"/>
        </w:rPr>
        <w:t> </w:t>
      </w:r>
      <w:r>
        <w:rPr>
          <w:color w:val="231F20"/>
          <w:w w:val="105"/>
        </w:rPr>
        <w:t>la</w:t>
      </w:r>
      <w:r>
        <w:rPr>
          <w:color w:val="231F20"/>
          <w:spacing w:val="-10"/>
          <w:w w:val="105"/>
        </w:rPr>
        <w:t> </w:t>
      </w:r>
      <w:r>
        <w:rPr>
          <w:color w:val="231F20"/>
          <w:w w:val="105"/>
        </w:rPr>
        <w:t>no</w:t>
      </w:r>
      <w:r>
        <w:rPr>
          <w:color w:val="231F20"/>
          <w:spacing w:val="-10"/>
          <w:w w:val="105"/>
        </w:rPr>
        <w:t> </w:t>
      </w:r>
      <w:r>
        <w:rPr>
          <w:color w:val="231F20"/>
          <w:w w:val="105"/>
        </w:rPr>
        <w:t>inclusión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características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países</w:t>
      </w:r>
      <w:r>
        <w:rPr>
          <w:color w:val="231F20"/>
          <w:spacing w:val="-10"/>
          <w:w w:val="105"/>
        </w:rPr>
        <w:t> </w:t>
      </w:r>
      <w:r>
        <w:rPr>
          <w:color w:val="231F20"/>
          <w:w w:val="105"/>
        </w:rPr>
        <w:t>de</w:t>
      </w:r>
      <w:r>
        <w:rPr>
          <w:color w:val="231F20"/>
          <w:spacing w:val="-10"/>
          <w:w w:val="105"/>
        </w:rPr>
        <w:t> </w:t>
      </w:r>
      <w:r>
        <w:rPr>
          <w:color w:val="231F20"/>
          <w:w w:val="105"/>
        </w:rPr>
        <w:t>des- tino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flujos</w:t>
      </w:r>
      <w:r>
        <w:rPr>
          <w:color w:val="231F20"/>
          <w:spacing w:val="-4"/>
          <w:w w:val="105"/>
        </w:rPr>
        <w:t> </w:t>
      </w:r>
      <w:r>
        <w:rPr>
          <w:color w:val="231F20"/>
          <w:w w:val="105"/>
        </w:rPr>
        <w:t>de</w:t>
      </w:r>
      <w:r>
        <w:rPr>
          <w:color w:val="231F20"/>
          <w:spacing w:val="-4"/>
          <w:w w:val="105"/>
        </w:rPr>
        <w:t> </w:t>
      </w:r>
      <w:r>
        <w:rPr>
          <w:color w:val="231F20"/>
          <w:w w:val="105"/>
        </w:rPr>
        <w:t>IED</w:t>
      </w:r>
      <w:r>
        <w:rPr>
          <w:color w:val="231F20"/>
          <w:spacing w:val="-4"/>
          <w:w w:val="105"/>
        </w:rPr>
        <w:t> </w:t>
      </w:r>
      <w:r>
        <w:rPr>
          <w:color w:val="231F20"/>
          <w:w w:val="105"/>
        </w:rPr>
        <w:t>como</w:t>
      </w:r>
      <w:r>
        <w:rPr>
          <w:color w:val="231F20"/>
          <w:spacing w:val="-4"/>
          <w:w w:val="105"/>
        </w:rPr>
        <w:t> </w:t>
      </w:r>
      <w:r>
        <w:rPr>
          <w:color w:val="231F20"/>
          <w:w w:val="105"/>
        </w:rPr>
        <w:t>determinantes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recepción</w:t>
      </w:r>
      <w:r>
        <w:rPr>
          <w:color w:val="231F20"/>
          <w:spacing w:val="-4"/>
          <w:w w:val="105"/>
        </w:rPr>
        <w:t> </w:t>
      </w:r>
      <w:r>
        <w:rPr>
          <w:color w:val="231F20"/>
          <w:w w:val="105"/>
        </w:rPr>
        <w:t>de</w:t>
      </w:r>
      <w:r>
        <w:rPr>
          <w:color w:val="231F20"/>
          <w:spacing w:val="-4"/>
          <w:w w:val="105"/>
        </w:rPr>
        <w:t> </w:t>
      </w:r>
      <w:r>
        <w:rPr>
          <w:color w:val="231F20"/>
          <w:w w:val="105"/>
        </w:rPr>
        <w:t>tales flujos, ha fomentado la aparición de posturas críticas como las de</w:t>
      </w:r>
      <w:r>
        <w:rPr>
          <w:color w:val="231F20"/>
          <w:spacing w:val="-22"/>
          <w:w w:val="105"/>
        </w:rPr>
        <w:t> </w:t>
      </w:r>
      <w:r>
        <w:rPr>
          <w:color w:val="231F20"/>
          <w:w w:val="105"/>
        </w:rPr>
        <w:t>Rug- man</w:t>
      </w:r>
      <w:r>
        <w:rPr>
          <w:color w:val="231F20"/>
          <w:spacing w:val="-27"/>
          <w:w w:val="105"/>
        </w:rPr>
        <w:t> </w:t>
      </w:r>
      <w:r>
        <w:rPr>
          <w:color w:val="231F20"/>
          <w:w w:val="105"/>
        </w:rPr>
        <w:t>y</w:t>
      </w:r>
      <w:r>
        <w:rPr>
          <w:color w:val="231F20"/>
          <w:spacing w:val="-30"/>
          <w:w w:val="105"/>
        </w:rPr>
        <w:t> </w:t>
      </w:r>
      <w:r>
        <w:rPr>
          <w:color w:val="231F20"/>
          <w:w w:val="105"/>
        </w:rPr>
        <w:t>Waverman</w:t>
      </w:r>
      <w:r>
        <w:rPr>
          <w:color w:val="231F20"/>
          <w:spacing w:val="-27"/>
          <w:w w:val="105"/>
        </w:rPr>
        <w:t> </w:t>
      </w:r>
      <w:r>
        <w:rPr>
          <w:color w:val="231F20"/>
          <w:w w:val="105"/>
        </w:rPr>
        <w:t>(1991),</w:t>
      </w:r>
      <w:r>
        <w:rPr>
          <w:color w:val="231F20"/>
          <w:spacing w:val="-32"/>
          <w:w w:val="105"/>
        </w:rPr>
        <w:t> </w:t>
      </w:r>
      <w:r>
        <w:rPr>
          <w:color w:val="231F20"/>
          <w:w w:val="105"/>
        </w:rPr>
        <w:t>para</w:t>
      </w:r>
      <w:r>
        <w:rPr>
          <w:color w:val="231F20"/>
          <w:spacing w:val="-27"/>
          <w:w w:val="105"/>
        </w:rPr>
        <w:t> </w:t>
      </w:r>
      <w:r>
        <w:rPr>
          <w:color w:val="231F20"/>
          <w:w w:val="105"/>
        </w:rPr>
        <w:t>quienes</w:t>
      </w:r>
      <w:r>
        <w:rPr>
          <w:color w:val="231F20"/>
          <w:spacing w:val="-27"/>
          <w:w w:val="105"/>
        </w:rPr>
        <w:t> </w:t>
      </w:r>
      <w:r>
        <w:rPr>
          <w:color w:val="231F20"/>
          <w:w w:val="105"/>
        </w:rPr>
        <w:t>el</w:t>
      </w:r>
      <w:r>
        <w:rPr>
          <w:color w:val="231F20"/>
          <w:spacing w:val="-27"/>
          <w:w w:val="105"/>
        </w:rPr>
        <w:t> </w:t>
      </w:r>
      <w:r>
        <w:rPr>
          <w:color w:val="231F20"/>
          <w:w w:val="105"/>
        </w:rPr>
        <w:t>“diamante”</w:t>
      </w:r>
      <w:r>
        <w:rPr>
          <w:color w:val="231F20"/>
          <w:spacing w:val="-27"/>
          <w:w w:val="105"/>
        </w:rPr>
        <w:t> </w:t>
      </w:r>
      <w:r>
        <w:rPr>
          <w:color w:val="231F20"/>
          <w:w w:val="105"/>
        </w:rPr>
        <w:t>de</w:t>
      </w:r>
      <w:r>
        <w:rPr>
          <w:color w:val="231F20"/>
          <w:spacing w:val="-27"/>
          <w:w w:val="105"/>
        </w:rPr>
        <w:t> </w:t>
      </w:r>
      <w:r>
        <w:rPr>
          <w:color w:val="231F20"/>
          <w:w w:val="105"/>
        </w:rPr>
        <w:t>los</w:t>
      </w:r>
      <w:r>
        <w:rPr>
          <w:color w:val="231F20"/>
          <w:spacing w:val="-27"/>
          <w:w w:val="105"/>
        </w:rPr>
        <w:t> </w:t>
      </w:r>
      <w:r>
        <w:rPr>
          <w:color w:val="231F20"/>
          <w:w w:val="105"/>
        </w:rPr>
        <w:t>países</w:t>
      </w:r>
      <w:r>
        <w:rPr>
          <w:color w:val="231F20"/>
          <w:spacing w:val="-27"/>
          <w:w w:val="105"/>
        </w:rPr>
        <w:t> </w:t>
      </w:r>
      <w:r>
        <w:rPr>
          <w:color w:val="231F20"/>
          <w:w w:val="105"/>
        </w:rPr>
        <w:t>recep- tores</w:t>
      </w:r>
      <w:r>
        <w:rPr>
          <w:color w:val="231F20"/>
          <w:spacing w:val="-27"/>
          <w:w w:val="105"/>
        </w:rPr>
        <w:t> </w:t>
      </w:r>
      <w:r>
        <w:rPr>
          <w:color w:val="231F20"/>
          <w:w w:val="105"/>
        </w:rPr>
        <w:t>de</w:t>
      </w:r>
      <w:r>
        <w:rPr>
          <w:color w:val="231F20"/>
          <w:spacing w:val="-27"/>
          <w:w w:val="105"/>
        </w:rPr>
        <w:t> </w:t>
      </w:r>
      <w:r>
        <w:rPr>
          <w:color w:val="231F20"/>
          <w:w w:val="105"/>
        </w:rPr>
        <w:t>IED</w:t>
      </w:r>
      <w:r>
        <w:rPr>
          <w:color w:val="231F20"/>
          <w:spacing w:val="-27"/>
          <w:w w:val="105"/>
        </w:rPr>
        <w:t> </w:t>
      </w:r>
      <w:r>
        <w:rPr>
          <w:color w:val="231F20"/>
          <w:w w:val="105"/>
        </w:rPr>
        <w:t>es</w:t>
      </w:r>
      <w:r>
        <w:rPr>
          <w:color w:val="231F20"/>
          <w:spacing w:val="-27"/>
          <w:w w:val="105"/>
        </w:rPr>
        <w:t> </w:t>
      </w:r>
      <w:r>
        <w:rPr>
          <w:color w:val="231F20"/>
          <w:w w:val="105"/>
        </w:rPr>
        <w:t>fundamental</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decisión</w:t>
      </w:r>
      <w:r>
        <w:rPr>
          <w:color w:val="231F20"/>
          <w:spacing w:val="-27"/>
          <w:w w:val="105"/>
        </w:rPr>
        <w:t> </w:t>
      </w:r>
      <w:r>
        <w:rPr>
          <w:color w:val="231F20"/>
          <w:w w:val="105"/>
        </w:rPr>
        <w:t>de</w:t>
      </w:r>
      <w:r>
        <w:rPr>
          <w:color w:val="231F20"/>
          <w:spacing w:val="-27"/>
          <w:w w:val="105"/>
        </w:rPr>
        <w:t> </w:t>
      </w:r>
      <w:r>
        <w:rPr>
          <w:color w:val="231F20"/>
          <w:w w:val="105"/>
        </w:rPr>
        <w:t>una</w:t>
      </w:r>
      <w:r>
        <w:rPr>
          <w:color w:val="231F20"/>
          <w:spacing w:val="-27"/>
          <w:w w:val="105"/>
        </w:rPr>
        <w:t> </w:t>
      </w:r>
      <w:r>
        <w:rPr>
          <w:color w:val="231F20"/>
          <w:w w:val="105"/>
        </w:rPr>
        <w:t>empresa</w:t>
      </w:r>
      <w:r>
        <w:rPr>
          <w:color w:val="231F20"/>
          <w:spacing w:val="-27"/>
          <w:w w:val="105"/>
        </w:rPr>
        <w:t> </w:t>
      </w:r>
      <w:r>
        <w:rPr>
          <w:color w:val="231F20"/>
          <w:w w:val="105"/>
        </w:rPr>
        <w:t>multinacional sobre</w:t>
      </w:r>
      <w:r>
        <w:rPr>
          <w:color w:val="231F20"/>
          <w:spacing w:val="-27"/>
          <w:w w:val="105"/>
        </w:rPr>
        <w:t> </w:t>
      </w:r>
      <w:r>
        <w:rPr>
          <w:color w:val="231F20"/>
          <w:w w:val="105"/>
        </w:rPr>
        <w:t>el</w:t>
      </w:r>
      <w:r>
        <w:rPr>
          <w:color w:val="231F20"/>
          <w:spacing w:val="-27"/>
          <w:w w:val="105"/>
        </w:rPr>
        <w:t> </w:t>
      </w:r>
      <w:r>
        <w:rPr>
          <w:color w:val="231F20"/>
          <w:w w:val="105"/>
        </w:rPr>
        <w:t>destino</w:t>
      </w:r>
      <w:r>
        <w:rPr>
          <w:color w:val="231F20"/>
          <w:spacing w:val="-27"/>
          <w:w w:val="105"/>
        </w:rPr>
        <w:t> </w:t>
      </w:r>
      <w:r>
        <w:rPr>
          <w:color w:val="231F20"/>
          <w:w w:val="105"/>
        </w:rPr>
        <w:t>de</w:t>
      </w:r>
      <w:r>
        <w:rPr>
          <w:color w:val="231F20"/>
          <w:spacing w:val="-27"/>
          <w:w w:val="105"/>
        </w:rPr>
        <w:t> </w:t>
      </w:r>
      <w:r>
        <w:rPr>
          <w:color w:val="231F20"/>
          <w:w w:val="105"/>
        </w:rPr>
        <w:t>sus</w:t>
      </w:r>
      <w:r>
        <w:rPr>
          <w:color w:val="231F20"/>
          <w:spacing w:val="-27"/>
          <w:w w:val="105"/>
        </w:rPr>
        <w:t> </w:t>
      </w:r>
      <w:r>
        <w:rPr>
          <w:color w:val="231F20"/>
          <w:w w:val="105"/>
        </w:rPr>
        <w:t>inversiones</w:t>
      </w:r>
      <w:r>
        <w:rPr>
          <w:color w:val="231F20"/>
          <w:spacing w:val="-27"/>
          <w:w w:val="105"/>
        </w:rPr>
        <w:t> </w:t>
      </w:r>
      <w:r>
        <w:rPr>
          <w:color w:val="231F20"/>
          <w:w w:val="105"/>
        </w:rPr>
        <w:t>directas</w:t>
      </w:r>
      <w:r>
        <w:rPr>
          <w:color w:val="231F20"/>
          <w:spacing w:val="-27"/>
          <w:w w:val="105"/>
        </w:rPr>
        <w:t> </w:t>
      </w:r>
      <w:r>
        <w:rPr>
          <w:color w:val="231F20"/>
          <w:w w:val="105"/>
        </w:rPr>
        <w:t>(Diaz,</w:t>
      </w:r>
      <w:r>
        <w:rPr>
          <w:color w:val="231F20"/>
          <w:spacing w:val="-31"/>
          <w:w w:val="105"/>
        </w:rPr>
        <w:t> </w:t>
      </w:r>
      <w:r>
        <w:rPr>
          <w:color w:val="231F20"/>
          <w:w w:val="105"/>
        </w:rPr>
        <w:t>2003).</w:t>
      </w:r>
    </w:p>
    <w:p>
      <w:pPr>
        <w:pStyle w:val="BodyText"/>
        <w:spacing w:line="259" w:lineRule="auto"/>
        <w:ind w:left="117" w:right="121" w:firstLine="567"/>
        <w:jc w:val="both"/>
      </w:pPr>
      <w:r>
        <w:rPr>
          <w:color w:val="231F20"/>
          <w:w w:val="105"/>
        </w:rPr>
        <w:t>Ozawa</w:t>
      </w:r>
      <w:r>
        <w:rPr>
          <w:color w:val="231F20"/>
          <w:spacing w:val="-6"/>
          <w:w w:val="105"/>
        </w:rPr>
        <w:t> </w:t>
      </w:r>
      <w:r>
        <w:rPr>
          <w:color w:val="231F20"/>
          <w:w w:val="105"/>
        </w:rPr>
        <w:t>(1992)</w:t>
      </w:r>
      <w:r>
        <w:rPr>
          <w:color w:val="231F20"/>
          <w:spacing w:val="-6"/>
          <w:w w:val="105"/>
        </w:rPr>
        <w:t> </w:t>
      </w:r>
      <w:r>
        <w:rPr>
          <w:color w:val="231F20"/>
          <w:w w:val="105"/>
        </w:rPr>
        <w:t>analiza</w:t>
      </w:r>
      <w:r>
        <w:rPr>
          <w:color w:val="231F20"/>
          <w:spacing w:val="-6"/>
          <w:w w:val="105"/>
        </w:rPr>
        <w:t> </w:t>
      </w:r>
      <w:r>
        <w:rPr>
          <w:color w:val="231F20"/>
          <w:w w:val="105"/>
        </w:rPr>
        <w:t>el</w:t>
      </w:r>
      <w:r>
        <w:rPr>
          <w:color w:val="231F20"/>
          <w:spacing w:val="-6"/>
          <w:w w:val="105"/>
        </w:rPr>
        <w:t> </w:t>
      </w:r>
      <w:r>
        <w:rPr>
          <w:color w:val="231F20"/>
          <w:w w:val="105"/>
        </w:rPr>
        <w:t>impacto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actividades</w:t>
      </w:r>
      <w:r>
        <w:rPr>
          <w:color w:val="231F20"/>
          <w:spacing w:val="-6"/>
          <w:w w:val="105"/>
        </w:rPr>
        <w:t> </w:t>
      </w:r>
      <w:r>
        <w:rPr>
          <w:color w:val="231F20"/>
          <w:w w:val="105"/>
        </w:rPr>
        <w:t>de</w:t>
      </w:r>
      <w:r>
        <w:rPr>
          <w:color w:val="231F20"/>
          <w:spacing w:val="-6"/>
          <w:w w:val="105"/>
        </w:rPr>
        <w:t> </w:t>
      </w:r>
      <w:r>
        <w:rPr>
          <w:color w:val="231F20"/>
          <w:w w:val="105"/>
        </w:rPr>
        <w:t>IED</w:t>
      </w:r>
      <w:r>
        <w:rPr>
          <w:color w:val="231F20"/>
          <w:spacing w:val="-6"/>
          <w:w w:val="105"/>
        </w:rPr>
        <w:t> </w:t>
      </w:r>
      <w:r>
        <w:rPr>
          <w:color w:val="231F20"/>
          <w:w w:val="105"/>
        </w:rPr>
        <w:t>en</w:t>
      </w:r>
      <w:r>
        <w:rPr>
          <w:color w:val="231F20"/>
          <w:spacing w:val="-6"/>
          <w:w w:val="105"/>
        </w:rPr>
        <w:t> </w:t>
      </w:r>
      <w:r>
        <w:rPr>
          <w:color w:val="231F20"/>
          <w:w w:val="105"/>
        </w:rPr>
        <w:t>los procesos</w:t>
      </w:r>
      <w:r>
        <w:rPr>
          <w:color w:val="231F20"/>
          <w:spacing w:val="-14"/>
          <w:w w:val="105"/>
        </w:rPr>
        <w:t> </w:t>
      </w:r>
      <w:r>
        <w:rPr>
          <w:color w:val="231F20"/>
          <w:w w:val="105"/>
        </w:rPr>
        <w:t>de</w:t>
      </w:r>
      <w:r>
        <w:rPr>
          <w:color w:val="231F20"/>
          <w:spacing w:val="-14"/>
          <w:w w:val="105"/>
        </w:rPr>
        <w:t> </w:t>
      </w:r>
      <w:r>
        <w:rPr>
          <w:color w:val="231F20"/>
          <w:w w:val="105"/>
        </w:rPr>
        <w:t>desarrollo</w:t>
      </w:r>
      <w:r>
        <w:rPr>
          <w:color w:val="231F20"/>
          <w:spacing w:val="-14"/>
          <w:w w:val="105"/>
        </w:rPr>
        <w:t> </w:t>
      </w:r>
      <w:r>
        <w:rPr>
          <w:color w:val="231F20"/>
          <w:w w:val="105"/>
        </w:rPr>
        <w:t>económico</w:t>
      </w:r>
      <w:r>
        <w:rPr>
          <w:color w:val="231F20"/>
          <w:spacing w:val="-14"/>
          <w:w w:val="105"/>
        </w:rPr>
        <w:t> </w:t>
      </w:r>
      <w:r>
        <w:rPr>
          <w:color w:val="231F20"/>
          <w:w w:val="105"/>
        </w:rPr>
        <w:t>y</w:t>
      </w:r>
      <w:r>
        <w:rPr>
          <w:color w:val="231F20"/>
          <w:spacing w:val="-14"/>
          <w:w w:val="105"/>
        </w:rPr>
        <w:t> </w:t>
      </w:r>
      <w:r>
        <w:rPr>
          <w:color w:val="231F20"/>
          <w:w w:val="105"/>
        </w:rPr>
        <w:t>profundiza</w:t>
      </w:r>
      <w:r>
        <w:rPr>
          <w:color w:val="231F20"/>
          <w:spacing w:val="-14"/>
          <w:w w:val="105"/>
        </w:rPr>
        <w:t> </w:t>
      </w:r>
      <w:r>
        <w:rPr>
          <w:color w:val="231F20"/>
          <w:w w:val="105"/>
        </w:rPr>
        <w:t>en</w:t>
      </w:r>
      <w:r>
        <w:rPr>
          <w:color w:val="231F20"/>
          <w:spacing w:val="-14"/>
          <w:w w:val="105"/>
        </w:rPr>
        <w:t> </w:t>
      </w:r>
      <w:r>
        <w:rPr>
          <w:color w:val="231F20"/>
          <w:w w:val="105"/>
        </w:rPr>
        <w:t>los</w:t>
      </w:r>
      <w:r>
        <w:rPr>
          <w:color w:val="231F20"/>
          <w:spacing w:val="-14"/>
          <w:w w:val="105"/>
        </w:rPr>
        <w:t> </w:t>
      </w:r>
      <w:r>
        <w:rPr>
          <w:color w:val="231F20"/>
          <w:w w:val="105"/>
        </w:rPr>
        <w:t>factores</w:t>
      </w:r>
      <w:r>
        <w:rPr>
          <w:color w:val="231F20"/>
          <w:spacing w:val="-14"/>
          <w:w w:val="105"/>
        </w:rPr>
        <w:t> </w:t>
      </w:r>
      <w:r>
        <w:rPr>
          <w:color w:val="231F20"/>
          <w:w w:val="105"/>
        </w:rPr>
        <w:t>que</w:t>
      </w:r>
      <w:r>
        <w:rPr>
          <w:color w:val="231F20"/>
          <w:spacing w:val="-14"/>
          <w:w w:val="105"/>
        </w:rPr>
        <w:t> </w:t>
      </w:r>
      <w:r>
        <w:rPr>
          <w:color w:val="231F20"/>
          <w:w w:val="105"/>
        </w:rPr>
        <w:t>pue- den</w:t>
      </w:r>
      <w:r>
        <w:rPr>
          <w:color w:val="231F20"/>
          <w:spacing w:val="-30"/>
          <w:w w:val="105"/>
        </w:rPr>
        <w:t> </w:t>
      </w:r>
      <w:r>
        <w:rPr>
          <w:color w:val="231F20"/>
          <w:w w:val="105"/>
        </w:rPr>
        <w:t>determinar</w:t>
      </w:r>
      <w:r>
        <w:rPr>
          <w:color w:val="231F20"/>
          <w:spacing w:val="-30"/>
          <w:w w:val="105"/>
        </w:rPr>
        <w:t> </w:t>
      </w:r>
      <w:r>
        <w:rPr>
          <w:color w:val="231F20"/>
          <w:w w:val="105"/>
        </w:rPr>
        <w:t>la</w:t>
      </w:r>
      <w:r>
        <w:rPr>
          <w:color w:val="231F20"/>
          <w:spacing w:val="-30"/>
          <w:w w:val="105"/>
        </w:rPr>
        <w:t> </w:t>
      </w:r>
      <w:r>
        <w:rPr>
          <w:color w:val="231F20"/>
          <w:w w:val="105"/>
        </w:rPr>
        <w:t>localización</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flujos</w:t>
      </w:r>
      <w:r>
        <w:rPr>
          <w:color w:val="231F20"/>
          <w:spacing w:val="-30"/>
          <w:w w:val="105"/>
        </w:rPr>
        <w:t> </w:t>
      </w:r>
      <w:r>
        <w:rPr>
          <w:color w:val="231F20"/>
          <w:w w:val="105"/>
        </w:rPr>
        <w:t>de</w:t>
      </w:r>
      <w:r>
        <w:rPr>
          <w:color w:val="231F20"/>
          <w:spacing w:val="-30"/>
          <w:w w:val="105"/>
        </w:rPr>
        <w:t> </w:t>
      </w:r>
      <w:r>
        <w:rPr>
          <w:color w:val="231F20"/>
          <w:spacing w:val="-3"/>
          <w:w w:val="105"/>
        </w:rPr>
        <w:t>IED.</w:t>
      </w:r>
      <w:r>
        <w:rPr>
          <w:color w:val="231F20"/>
          <w:spacing w:val="-36"/>
          <w:w w:val="105"/>
        </w:rPr>
        <w:t> </w:t>
      </w:r>
      <w:r>
        <w:rPr>
          <w:color w:val="231F20"/>
          <w:w w:val="105"/>
        </w:rPr>
        <w:t>Inicialmente,</w:t>
      </w:r>
      <w:r>
        <w:rPr>
          <w:color w:val="231F20"/>
          <w:spacing w:val="-36"/>
          <w:w w:val="105"/>
        </w:rPr>
        <w:t> </w:t>
      </w:r>
      <w:r>
        <w:rPr>
          <w:color w:val="231F20"/>
          <w:w w:val="105"/>
        </w:rPr>
        <w:t>ésta</w:t>
      </w:r>
      <w:r>
        <w:rPr>
          <w:color w:val="231F20"/>
          <w:spacing w:val="-30"/>
          <w:w w:val="105"/>
        </w:rPr>
        <w:t> </w:t>
      </w:r>
      <w:r>
        <w:rPr>
          <w:color w:val="231F20"/>
          <w:w w:val="105"/>
        </w:rPr>
        <w:t>sería atraída</w:t>
      </w:r>
      <w:r>
        <w:rPr>
          <w:color w:val="231F20"/>
          <w:spacing w:val="-27"/>
          <w:w w:val="105"/>
        </w:rPr>
        <w:t> </w:t>
      </w:r>
      <w:r>
        <w:rPr>
          <w:color w:val="231F20"/>
          <w:w w:val="105"/>
        </w:rPr>
        <w:t>por</w:t>
      </w:r>
      <w:r>
        <w:rPr>
          <w:color w:val="231F20"/>
          <w:spacing w:val="-27"/>
          <w:w w:val="105"/>
        </w:rPr>
        <w:t> </w:t>
      </w:r>
      <w:r>
        <w:rPr>
          <w:color w:val="231F20"/>
          <w:w w:val="105"/>
        </w:rPr>
        <w:t>características</w:t>
      </w:r>
      <w:r>
        <w:rPr>
          <w:color w:val="231F20"/>
          <w:spacing w:val="-27"/>
          <w:w w:val="105"/>
        </w:rPr>
        <w:t> </w:t>
      </w:r>
      <w:r>
        <w:rPr>
          <w:color w:val="231F20"/>
          <w:w w:val="105"/>
        </w:rPr>
        <w:t>de</w:t>
      </w:r>
      <w:r>
        <w:rPr>
          <w:color w:val="231F20"/>
          <w:spacing w:val="-27"/>
          <w:w w:val="105"/>
        </w:rPr>
        <w:t> </w:t>
      </w:r>
      <w:r>
        <w:rPr>
          <w:color w:val="231F20"/>
          <w:w w:val="105"/>
        </w:rPr>
        <w:t>oferta</w:t>
      </w:r>
      <w:r>
        <w:rPr>
          <w:color w:val="231F20"/>
          <w:spacing w:val="-27"/>
          <w:w w:val="105"/>
        </w:rPr>
        <w:t> </w:t>
      </w:r>
      <w:r>
        <w:rPr>
          <w:color w:val="231F20"/>
          <w:w w:val="105"/>
        </w:rPr>
        <w:t>específicas</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economías</w:t>
      </w:r>
      <w:r>
        <w:rPr>
          <w:color w:val="231F20"/>
          <w:spacing w:val="-27"/>
          <w:w w:val="105"/>
        </w:rPr>
        <w:t> </w:t>
      </w:r>
      <w:r>
        <w:rPr>
          <w:color w:val="231F20"/>
          <w:w w:val="105"/>
        </w:rPr>
        <w:t>menos desarrolladas,</w:t>
      </w:r>
      <w:r>
        <w:rPr>
          <w:color w:val="231F20"/>
          <w:spacing w:val="-39"/>
          <w:w w:val="105"/>
        </w:rPr>
        <w:t> </w:t>
      </w:r>
      <w:r>
        <w:rPr>
          <w:color w:val="231F20"/>
          <w:w w:val="105"/>
        </w:rPr>
        <w:t>tales</w:t>
      </w:r>
      <w:r>
        <w:rPr>
          <w:color w:val="231F20"/>
          <w:spacing w:val="-35"/>
          <w:w w:val="105"/>
        </w:rPr>
        <w:t> </w:t>
      </w:r>
      <w:r>
        <w:rPr>
          <w:color w:val="231F20"/>
          <w:w w:val="105"/>
        </w:rPr>
        <w:t>como</w:t>
      </w:r>
      <w:r>
        <w:rPr>
          <w:color w:val="231F20"/>
          <w:spacing w:val="-35"/>
          <w:w w:val="105"/>
        </w:rPr>
        <w:t> </w:t>
      </w:r>
      <w:r>
        <w:rPr>
          <w:color w:val="231F20"/>
          <w:w w:val="105"/>
        </w:rPr>
        <w:t>menores</w:t>
      </w:r>
      <w:r>
        <w:rPr>
          <w:color w:val="231F20"/>
          <w:spacing w:val="-35"/>
          <w:w w:val="105"/>
        </w:rPr>
        <w:t> </w:t>
      </w:r>
      <w:r>
        <w:rPr>
          <w:color w:val="231F20"/>
          <w:w w:val="105"/>
        </w:rPr>
        <w:t>salarios</w:t>
      </w:r>
      <w:r>
        <w:rPr>
          <w:color w:val="231F20"/>
          <w:spacing w:val="-35"/>
          <w:w w:val="105"/>
        </w:rPr>
        <w:t> </w:t>
      </w:r>
      <w:r>
        <w:rPr>
          <w:color w:val="231F20"/>
          <w:w w:val="105"/>
        </w:rPr>
        <w:t>o</w:t>
      </w:r>
      <w:r>
        <w:rPr>
          <w:color w:val="231F20"/>
          <w:spacing w:val="-35"/>
          <w:w w:val="105"/>
        </w:rPr>
        <w:t> </w:t>
      </w:r>
      <w:r>
        <w:rPr>
          <w:color w:val="231F20"/>
          <w:w w:val="105"/>
        </w:rPr>
        <w:t>abundancia</w:t>
      </w:r>
      <w:r>
        <w:rPr>
          <w:color w:val="231F20"/>
          <w:spacing w:val="-35"/>
          <w:w w:val="105"/>
        </w:rPr>
        <w:t> </w:t>
      </w:r>
      <w:r>
        <w:rPr>
          <w:color w:val="231F20"/>
          <w:w w:val="105"/>
        </w:rPr>
        <w:t>de</w:t>
      </w:r>
      <w:r>
        <w:rPr>
          <w:color w:val="231F20"/>
          <w:spacing w:val="-35"/>
          <w:w w:val="105"/>
        </w:rPr>
        <w:t> </w:t>
      </w:r>
      <w:r>
        <w:rPr>
          <w:color w:val="231F20"/>
          <w:w w:val="105"/>
        </w:rPr>
        <w:t>recursos</w:t>
      </w:r>
      <w:r>
        <w:rPr>
          <w:color w:val="231F20"/>
          <w:spacing w:val="-35"/>
          <w:w w:val="105"/>
        </w:rPr>
        <w:t> </w:t>
      </w:r>
      <w:r>
        <w:rPr>
          <w:color w:val="231F20"/>
          <w:w w:val="105"/>
        </w:rPr>
        <w:t>na- turales</w:t>
      </w:r>
      <w:r>
        <w:rPr>
          <w:color w:val="231F20"/>
          <w:spacing w:val="-34"/>
          <w:w w:val="105"/>
        </w:rPr>
        <w:t> </w:t>
      </w:r>
      <w:r>
        <w:rPr>
          <w:color w:val="231F20"/>
          <w:w w:val="105"/>
        </w:rPr>
        <w:t>inexplotados.</w:t>
      </w:r>
    </w:p>
    <w:p>
      <w:pPr>
        <w:pStyle w:val="BodyText"/>
        <w:spacing w:line="259" w:lineRule="auto"/>
        <w:ind w:left="117" w:right="121" w:firstLine="567"/>
        <w:jc w:val="both"/>
      </w:pPr>
      <w:r>
        <w:rPr>
          <w:color w:val="231F20"/>
          <w:w w:val="105"/>
        </w:rPr>
        <w:t>La</w:t>
      </w:r>
      <w:r>
        <w:rPr>
          <w:color w:val="231F20"/>
          <w:spacing w:val="-26"/>
          <w:w w:val="105"/>
        </w:rPr>
        <w:t> </w:t>
      </w:r>
      <w:r>
        <w:rPr>
          <w:color w:val="231F20"/>
          <w:w w:val="105"/>
        </w:rPr>
        <w:t>entrada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inversión</w:t>
      </w:r>
      <w:r>
        <w:rPr>
          <w:color w:val="231F20"/>
          <w:spacing w:val="-26"/>
          <w:w w:val="105"/>
        </w:rPr>
        <w:t> </w:t>
      </w:r>
      <w:r>
        <w:rPr>
          <w:color w:val="231F20"/>
          <w:w w:val="105"/>
        </w:rPr>
        <w:t>en</w:t>
      </w:r>
      <w:r>
        <w:rPr>
          <w:color w:val="231F20"/>
          <w:spacing w:val="-26"/>
          <w:w w:val="105"/>
        </w:rPr>
        <w:t> </w:t>
      </w:r>
      <w:r>
        <w:rPr>
          <w:color w:val="231F20"/>
          <w:w w:val="105"/>
        </w:rPr>
        <w:t>una</w:t>
      </w:r>
      <w:r>
        <w:rPr>
          <w:color w:val="231F20"/>
          <w:spacing w:val="-26"/>
          <w:w w:val="105"/>
        </w:rPr>
        <w:t> </w:t>
      </w:r>
      <w:r>
        <w:rPr>
          <w:color w:val="231F20"/>
          <w:w w:val="105"/>
        </w:rPr>
        <w:t>localización</w:t>
      </w:r>
      <w:r>
        <w:rPr>
          <w:color w:val="231F20"/>
          <w:spacing w:val="-26"/>
          <w:w w:val="105"/>
        </w:rPr>
        <w:t> </w:t>
      </w:r>
      <w:r>
        <w:rPr>
          <w:color w:val="231F20"/>
          <w:w w:val="105"/>
        </w:rPr>
        <w:t>podría</w:t>
      </w:r>
      <w:r>
        <w:rPr>
          <w:color w:val="231F20"/>
          <w:spacing w:val="-26"/>
          <w:w w:val="105"/>
        </w:rPr>
        <w:t> </w:t>
      </w:r>
      <w:r>
        <w:rPr>
          <w:color w:val="231F20"/>
          <w:w w:val="105"/>
        </w:rPr>
        <w:t>contribuir</w:t>
      </w:r>
      <w:r>
        <w:rPr>
          <w:color w:val="231F20"/>
          <w:spacing w:val="-26"/>
          <w:w w:val="105"/>
        </w:rPr>
        <w:t> </w:t>
      </w:r>
      <w:r>
        <w:rPr>
          <w:color w:val="231F20"/>
          <w:w w:val="105"/>
        </w:rPr>
        <w:t>a</w:t>
      </w:r>
      <w:r>
        <w:rPr>
          <w:color w:val="231F20"/>
          <w:spacing w:val="-26"/>
          <w:w w:val="105"/>
        </w:rPr>
        <w:t> </w:t>
      </w:r>
      <w:r>
        <w:rPr>
          <w:color w:val="231F20"/>
          <w:w w:val="105"/>
        </w:rPr>
        <w:t>un proceso</w:t>
      </w:r>
      <w:r>
        <w:rPr>
          <w:color w:val="231F20"/>
          <w:spacing w:val="-8"/>
          <w:w w:val="105"/>
        </w:rPr>
        <w:t> </w:t>
      </w:r>
      <w:r>
        <w:rPr>
          <w:color w:val="231F20"/>
          <w:w w:val="105"/>
        </w:rPr>
        <w:t>de</w:t>
      </w:r>
      <w:r>
        <w:rPr>
          <w:color w:val="231F20"/>
          <w:spacing w:val="-8"/>
          <w:w w:val="105"/>
        </w:rPr>
        <w:t> </w:t>
      </w:r>
      <w:r>
        <w:rPr>
          <w:color w:val="231F20"/>
          <w:w w:val="105"/>
        </w:rPr>
        <w:t>cambio</w:t>
      </w:r>
      <w:r>
        <w:rPr>
          <w:color w:val="231F20"/>
          <w:spacing w:val="-8"/>
          <w:w w:val="105"/>
        </w:rPr>
        <w:t> </w:t>
      </w:r>
      <w:r>
        <w:rPr>
          <w:color w:val="231F20"/>
          <w:w w:val="105"/>
        </w:rPr>
        <w:t>estructural</w:t>
      </w:r>
      <w:r>
        <w:rPr>
          <w:color w:val="231F20"/>
          <w:spacing w:val="-8"/>
          <w:w w:val="105"/>
        </w:rPr>
        <w:t> </w:t>
      </w:r>
      <w:r>
        <w:rPr>
          <w:color w:val="231F20"/>
          <w:w w:val="105"/>
        </w:rPr>
        <w:t>incrementando</w:t>
      </w:r>
      <w:r>
        <w:rPr>
          <w:color w:val="231F20"/>
          <w:spacing w:val="-8"/>
          <w:w w:val="105"/>
        </w:rPr>
        <w:t> </w:t>
      </w:r>
      <w:r>
        <w:rPr>
          <w:color w:val="231F20"/>
          <w:w w:val="105"/>
        </w:rPr>
        <w:t>el</w:t>
      </w:r>
      <w:r>
        <w:rPr>
          <w:color w:val="231F20"/>
          <w:spacing w:val="-8"/>
          <w:w w:val="105"/>
        </w:rPr>
        <w:t> </w:t>
      </w:r>
      <w:r>
        <w:rPr>
          <w:color w:val="231F20"/>
          <w:w w:val="105"/>
        </w:rPr>
        <w:t>ingreso</w:t>
      </w:r>
      <w:r>
        <w:rPr>
          <w:color w:val="231F20"/>
          <w:spacing w:val="-8"/>
          <w:w w:val="105"/>
        </w:rPr>
        <w:t> </w:t>
      </w:r>
      <w:r>
        <w:rPr>
          <w:color w:val="231F20"/>
          <w:w w:val="105"/>
        </w:rPr>
        <w:t>y</w:t>
      </w:r>
      <w:r>
        <w:rPr>
          <w:color w:val="231F20"/>
          <w:spacing w:val="-8"/>
          <w:w w:val="105"/>
        </w:rPr>
        <w:t> </w:t>
      </w:r>
      <w:r>
        <w:rPr>
          <w:color w:val="231F20"/>
          <w:w w:val="105"/>
        </w:rPr>
        <w:t>transforman- do</w:t>
      </w:r>
      <w:r>
        <w:rPr>
          <w:color w:val="231F20"/>
          <w:spacing w:val="-16"/>
          <w:w w:val="105"/>
        </w:rPr>
        <w:t> </w:t>
      </w:r>
      <w:r>
        <w:rPr>
          <w:color w:val="231F20"/>
          <w:w w:val="105"/>
        </w:rPr>
        <w:t>la</w:t>
      </w:r>
      <w:r>
        <w:rPr>
          <w:color w:val="231F20"/>
          <w:spacing w:val="-16"/>
          <w:w w:val="105"/>
        </w:rPr>
        <w:t> </w:t>
      </w:r>
      <w:r>
        <w:rPr>
          <w:color w:val="231F20"/>
          <w:w w:val="105"/>
        </w:rPr>
        <w:t>composición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demanda</w:t>
      </w:r>
      <w:r>
        <w:rPr>
          <w:color w:val="231F20"/>
          <w:spacing w:val="-16"/>
          <w:w w:val="105"/>
        </w:rPr>
        <w:t> </w:t>
      </w:r>
      <w:r>
        <w:rPr>
          <w:color w:val="231F20"/>
          <w:w w:val="105"/>
        </w:rPr>
        <w:t>nacional,</w:t>
      </w:r>
      <w:r>
        <w:rPr>
          <w:color w:val="231F20"/>
          <w:spacing w:val="-22"/>
          <w:w w:val="105"/>
        </w:rPr>
        <w:t> </w:t>
      </w:r>
      <w:r>
        <w:rPr>
          <w:color w:val="231F20"/>
          <w:w w:val="105"/>
        </w:rPr>
        <w:t>iniciándose</w:t>
      </w:r>
      <w:r>
        <w:rPr>
          <w:color w:val="231F20"/>
          <w:spacing w:val="-16"/>
          <w:w w:val="105"/>
        </w:rPr>
        <w:t> </w:t>
      </w:r>
      <w:r>
        <w:rPr>
          <w:color w:val="231F20"/>
          <w:w w:val="105"/>
        </w:rPr>
        <w:t>un</w:t>
      </w:r>
      <w:r>
        <w:rPr>
          <w:color w:val="231F20"/>
          <w:spacing w:val="-16"/>
          <w:w w:val="105"/>
        </w:rPr>
        <w:t> </w:t>
      </w:r>
      <w:r>
        <w:rPr>
          <w:color w:val="231F20"/>
          <w:w w:val="105"/>
        </w:rPr>
        <w:t>nuevo</w:t>
      </w:r>
      <w:r>
        <w:rPr>
          <w:color w:val="231F20"/>
          <w:spacing w:val="-16"/>
          <w:w w:val="105"/>
        </w:rPr>
        <w:t> </w:t>
      </w:r>
      <w:r>
        <w:rPr>
          <w:color w:val="231F20"/>
          <w:w w:val="105"/>
        </w:rPr>
        <w:t>tipo</w:t>
      </w:r>
      <w:r>
        <w:rPr>
          <w:color w:val="231F20"/>
          <w:spacing w:val="-16"/>
          <w:w w:val="105"/>
        </w:rPr>
        <w:t> </w:t>
      </w:r>
      <w:r>
        <w:rPr>
          <w:color w:val="231F20"/>
          <w:w w:val="105"/>
        </w:rPr>
        <w:t>de </w:t>
      </w:r>
      <w:r>
        <w:rPr>
          <w:color w:val="231F20"/>
          <w:spacing w:val="-3"/>
          <w:w w:val="105"/>
        </w:rPr>
        <w:t>IED,</w:t>
      </w:r>
      <w:r>
        <w:rPr>
          <w:color w:val="231F20"/>
          <w:spacing w:val="-37"/>
          <w:w w:val="105"/>
        </w:rPr>
        <w:t> </w:t>
      </w:r>
      <w:r>
        <w:rPr>
          <w:color w:val="231F20"/>
          <w:w w:val="105"/>
        </w:rPr>
        <w:t>denominado</w:t>
      </w:r>
      <w:r>
        <w:rPr>
          <w:color w:val="231F20"/>
          <w:spacing w:val="-33"/>
          <w:w w:val="105"/>
        </w:rPr>
        <w:t> </w:t>
      </w:r>
      <w:r>
        <w:rPr>
          <w:color w:val="231F20"/>
          <w:w w:val="105"/>
        </w:rPr>
        <w:t>“market-seeking”,</w:t>
      </w:r>
      <w:r>
        <w:rPr>
          <w:color w:val="231F20"/>
          <w:spacing w:val="-37"/>
          <w:w w:val="105"/>
        </w:rPr>
        <w:t> </w:t>
      </w:r>
      <w:r>
        <w:rPr>
          <w:color w:val="231F20"/>
          <w:w w:val="105"/>
        </w:rPr>
        <w:t>donde</w:t>
      </w:r>
      <w:r>
        <w:rPr>
          <w:color w:val="231F20"/>
          <w:spacing w:val="-33"/>
          <w:w w:val="105"/>
        </w:rPr>
        <w:t> </w:t>
      </w:r>
      <w:r>
        <w:rPr>
          <w:color w:val="231F20"/>
          <w:w w:val="105"/>
        </w:rPr>
        <w:t>se</w:t>
      </w:r>
      <w:r>
        <w:rPr>
          <w:color w:val="231F20"/>
          <w:spacing w:val="-33"/>
          <w:w w:val="105"/>
        </w:rPr>
        <w:t> </w:t>
      </w:r>
      <w:r>
        <w:rPr>
          <w:color w:val="231F20"/>
          <w:w w:val="105"/>
        </w:rPr>
        <w:t>intentarían</w:t>
      </w:r>
      <w:r>
        <w:rPr>
          <w:color w:val="231F20"/>
          <w:spacing w:val="-33"/>
          <w:w w:val="105"/>
        </w:rPr>
        <w:t> </w:t>
      </w:r>
      <w:r>
        <w:rPr>
          <w:color w:val="231F20"/>
          <w:w w:val="105"/>
        </w:rPr>
        <w:t>evitar</w:t>
      </w:r>
      <w:r>
        <w:rPr>
          <w:color w:val="231F20"/>
          <w:spacing w:val="-33"/>
          <w:w w:val="105"/>
        </w:rPr>
        <w:t> </w:t>
      </w:r>
      <w:r>
        <w:rPr>
          <w:color w:val="231F20"/>
          <w:w w:val="105"/>
        </w:rPr>
        <w:t>los</w:t>
      </w:r>
      <w:r>
        <w:rPr>
          <w:color w:val="231F20"/>
          <w:spacing w:val="-33"/>
          <w:w w:val="105"/>
        </w:rPr>
        <w:t> </w:t>
      </w:r>
      <w:r>
        <w:rPr>
          <w:color w:val="231F20"/>
          <w:w w:val="105"/>
        </w:rPr>
        <w:t>costos de</w:t>
      </w:r>
      <w:r>
        <w:rPr>
          <w:color w:val="231F20"/>
          <w:spacing w:val="-25"/>
          <w:w w:val="105"/>
        </w:rPr>
        <w:t> </w:t>
      </w:r>
      <w:r>
        <w:rPr>
          <w:color w:val="231F20"/>
          <w:w w:val="105"/>
        </w:rPr>
        <w:t>transporte</w:t>
      </w:r>
      <w:r>
        <w:rPr>
          <w:color w:val="231F20"/>
          <w:spacing w:val="-25"/>
          <w:w w:val="105"/>
        </w:rPr>
        <w:t> </w:t>
      </w:r>
      <w:r>
        <w:rPr>
          <w:color w:val="231F20"/>
          <w:w w:val="105"/>
        </w:rPr>
        <w:t>y</w:t>
      </w:r>
      <w:r>
        <w:rPr>
          <w:color w:val="231F20"/>
          <w:spacing w:val="-25"/>
          <w:w w:val="105"/>
        </w:rPr>
        <w:t> </w:t>
      </w:r>
      <w:r>
        <w:rPr>
          <w:color w:val="231F20"/>
          <w:w w:val="105"/>
        </w:rPr>
        <w:t>las</w:t>
      </w:r>
      <w:r>
        <w:rPr>
          <w:color w:val="231F20"/>
          <w:spacing w:val="-25"/>
          <w:w w:val="105"/>
        </w:rPr>
        <w:t> </w:t>
      </w:r>
      <w:r>
        <w:rPr>
          <w:color w:val="231F20"/>
          <w:w w:val="105"/>
        </w:rPr>
        <w:t>posibles</w:t>
      </w:r>
      <w:r>
        <w:rPr>
          <w:color w:val="231F20"/>
          <w:spacing w:val="-25"/>
          <w:w w:val="105"/>
        </w:rPr>
        <w:t> </w:t>
      </w:r>
      <w:r>
        <w:rPr>
          <w:color w:val="231F20"/>
          <w:w w:val="105"/>
        </w:rPr>
        <w:t>barreras</w:t>
      </w:r>
      <w:r>
        <w:rPr>
          <w:color w:val="231F20"/>
          <w:spacing w:val="-25"/>
          <w:w w:val="105"/>
        </w:rPr>
        <w:t> </w:t>
      </w:r>
      <w:r>
        <w:rPr>
          <w:color w:val="231F20"/>
          <w:w w:val="105"/>
        </w:rPr>
        <w:t>comerciales.</w:t>
      </w:r>
    </w:p>
    <w:p>
      <w:pPr>
        <w:pStyle w:val="BodyText"/>
        <w:spacing w:line="259" w:lineRule="auto"/>
        <w:ind w:left="117" w:right="115"/>
        <w:jc w:val="both"/>
      </w:pPr>
      <w:r>
        <w:rPr>
          <w:color w:val="231F20"/>
          <w:w w:val="105"/>
        </w:rPr>
        <w:t>La localización inicialmente receptora y ahora también generadora de IED</w:t>
      </w:r>
      <w:r>
        <w:rPr>
          <w:color w:val="231F20"/>
          <w:spacing w:val="-24"/>
          <w:w w:val="105"/>
        </w:rPr>
        <w:t> </w:t>
      </w:r>
      <w:r>
        <w:rPr>
          <w:color w:val="231F20"/>
          <w:w w:val="105"/>
        </w:rPr>
        <w:t>podría</w:t>
      </w:r>
      <w:r>
        <w:rPr>
          <w:color w:val="231F20"/>
          <w:spacing w:val="-24"/>
          <w:w w:val="105"/>
        </w:rPr>
        <w:t> </w:t>
      </w:r>
      <w:r>
        <w:rPr>
          <w:color w:val="231F20"/>
          <w:w w:val="105"/>
        </w:rPr>
        <w:t>seguir</w:t>
      </w:r>
      <w:r>
        <w:rPr>
          <w:color w:val="231F20"/>
          <w:spacing w:val="-24"/>
          <w:w w:val="105"/>
        </w:rPr>
        <w:t> </w:t>
      </w:r>
      <w:r>
        <w:rPr>
          <w:color w:val="231F20"/>
          <w:w w:val="105"/>
        </w:rPr>
        <w:t>atrayendo</w:t>
      </w:r>
      <w:r>
        <w:rPr>
          <w:color w:val="231F20"/>
          <w:spacing w:val="-24"/>
          <w:w w:val="105"/>
        </w:rPr>
        <w:t> </w:t>
      </w:r>
      <w:r>
        <w:rPr>
          <w:color w:val="231F20"/>
          <w:w w:val="105"/>
        </w:rPr>
        <w:t>capitales</w:t>
      </w:r>
      <w:r>
        <w:rPr>
          <w:color w:val="231F20"/>
          <w:spacing w:val="-24"/>
          <w:w w:val="105"/>
        </w:rPr>
        <w:t> </w:t>
      </w:r>
      <w:r>
        <w:rPr>
          <w:color w:val="231F20"/>
          <w:w w:val="105"/>
        </w:rPr>
        <w:t>por</w:t>
      </w:r>
      <w:r>
        <w:rPr>
          <w:color w:val="231F20"/>
          <w:spacing w:val="-24"/>
          <w:w w:val="105"/>
        </w:rPr>
        <w:t> </w:t>
      </w:r>
      <w:r>
        <w:rPr>
          <w:color w:val="231F20"/>
          <w:w w:val="105"/>
        </w:rPr>
        <w:t>la</w:t>
      </w:r>
      <w:r>
        <w:rPr>
          <w:color w:val="231F20"/>
          <w:spacing w:val="-24"/>
          <w:w w:val="105"/>
        </w:rPr>
        <w:t> </w:t>
      </w:r>
      <w:r>
        <w:rPr>
          <w:color w:val="231F20"/>
          <w:w w:val="105"/>
        </w:rPr>
        <w:t>existencia</w:t>
      </w:r>
      <w:r>
        <w:rPr>
          <w:color w:val="231F20"/>
          <w:spacing w:val="-24"/>
          <w:w w:val="105"/>
        </w:rPr>
        <w:t> </w:t>
      </w:r>
      <w:r>
        <w:rPr>
          <w:color w:val="231F20"/>
          <w:w w:val="105"/>
        </w:rPr>
        <w:t>de</w:t>
      </w:r>
      <w:r>
        <w:rPr>
          <w:color w:val="231F20"/>
          <w:spacing w:val="-24"/>
          <w:w w:val="105"/>
        </w:rPr>
        <w:t> </w:t>
      </w:r>
      <w:r>
        <w:rPr>
          <w:color w:val="231F20"/>
          <w:w w:val="105"/>
        </w:rPr>
        <w:t>un</w:t>
      </w:r>
      <w:r>
        <w:rPr>
          <w:color w:val="231F20"/>
          <w:spacing w:val="-24"/>
          <w:w w:val="105"/>
        </w:rPr>
        <w:t> </w:t>
      </w:r>
      <w:r>
        <w:rPr>
          <w:color w:val="231F20"/>
          <w:w w:val="105"/>
        </w:rPr>
        <w:t>alto</w:t>
      </w:r>
      <w:r>
        <w:rPr>
          <w:color w:val="231F20"/>
          <w:spacing w:val="-24"/>
          <w:w w:val="105"/>
        </w:rPr>
        <w:t> </w:t>
      </w:r>
      <w:r>
        <w:rPr>
          <w:color w:val="231F20"/>
          <w:w w:val="105"/>
        </w:rPr>
        <w:t>nivel</w:t>
      </w:r>
      <w:r>
        <w:rPr>
          <w:color w:val="231F20"/>
          <w:spacing w:val="-24"/>
          <w:w w:val="105"/>
        </w:rPr>
        <w:t> </w:t>
      </w:r>
      <w:r>
        <w:rPr>
          <w:color w:val="231F20"/>
          <w:w w:val="105"/>
        </w:rPr>
        <w:t>de capital humano, mejoras tecnológicas e incluso, un buen clima</w:t>
      </w:r>
      <w:r>
        <w:rPr>
          <w:color w:val="231F20"/>
          <w:spacing w:val="-21"/>
          <w:w w:val="105"/>
        </w:rPr>
        <w:t> </w:t>
      </w:r>
      <w:r>
        <w:rPr>
          <w:color w:val="231F20"/>
          <w:w w:val="105"/>
        </w:rPr>
        <w:t>político. Sin</w:t>
      </w:r>
      <w:r>
        <w:rPr>
          <w:color w:val="231F20"/>
          <w:spacing w:val="-15"/>
          <w:w w:val="105"/>
        </w:rPr>
        <w:t> </w:t>
      </w:r>
      <w:r>
        <w:rPr>
          <w:color w:val="231F20"/>
          <w:w w:val="105"/>
        </w:rPr>
        <w:t>embargo,</w:t>
      </w:r>
      <w:r>
        <w:rPr>
          <w:color w:val="231F20"/>
          <w:spacing w:val="-20"/>
          <w:w w:val="105"/>
        </w:rPr>
        <w:t> </w:t>
      </w:r>
      <w:r>
        <w:rPr>
          <w:color w:val="231F20"/>
          <w:w w:val="105"/>
        </w:rPr>
        <w:t>la</w:t>
      </w:r>
      <w:r>
        <w:rPr>
          <w:color w:val="231F20"/>
          <w:spacing w:val="-15"/>
          <w:w w:val="105"/>
        </w:rPr>
        <w:t> </w:t>
      </w:r>
      <w:r>
        <w:rPr>
          <w:color w:val="231F20"/>
          <w:w w:val="105"/>
        </w:rPr>
        <w:t>teoría</w:t>
      </w:r>
      <w:r>
        <w:rPr>
          <w:color w:val="231F20"/>
          <w:spacing w:val="-15"/>
          <w:w w:val="105"/>
        </w:rPr>
        <w:t> </w:t>
      </w:r>
      <w:r>
        <w:rPr>
          <w:color w:val="231F20"/>
          <w:w w:val="105"/>
        </w:rPr>
        <w:t>de</w:t>
      </w:r>
      <w:r>
        <w:rPr>
          <w:color w:val="231F20"/>
          <w:spacing w:val="-15"/>
          <w:w w:val="105"/>
        </w:rPr>
        <w:t> </w:t>
      </w:r>
      <w:r>
        <w:rPr>
          <w:color w:val="231F20"/>
          <w:w w:val="105"/>
        </w:rPr>
        <w:t>Ozawa</w:t>
      </w:r>
      <w:r>
        <w:rPr>
          <w:color w:val="231F20"/>
          <w:spacing w:val="-15"/>
          <w:w w:val="105"/>
        </w:rPr>
        <w:t> </w:t>
      </w:r>
      <w:r>
        <w:rPr>
          <w:color w:val="231F20"/>
          <w:w w:val="105"/>
        </w:rPr>
        <w:t>tampoco</w:t>
      </w:r>
      <w:r>
        <w:rPr>
          <w:color w:val="231F20"/>
          <w:spacing w:val="-15"/>
          <w:w w:val="105"/>
        </w:rPr>
        <w:t> </w:t>
      </w:r>
      <w:r>
        <w:rPr>
          <w:color w:val="231F20"/>
          <w:w w:val="105"/>
        </w:rPr>
        <w:t>proporciona</w:t>
      </w:r>
      <w:r>
        <w:rPr>
          <w:color w:val="231F20"/>
          <w:spacing w:val="-15"/>
          <w:w w:val="105"/>
        </w:rPr>
        <w:t> </w:t>
      </w:r>
      <w:r>
        <w:rPr>
          <w:color w:val="231F20"/>
          <w:w w:val="105"/>
        </w:rPr>
        <w:t>un</w:t>
      </w:r>
      <w:r>
        <w:rPr>
          <w:color w:val="231F20"/>
          <w:spacing w:val="-15"/>
          <w:w w:val="105"/>
        </w:rPr>
        <w:t> </w:t>
      </w:r>
      <w:r>
        <w:rPr>
          <w:color w:val="231F20"/>
          <w:w w:val="105"/>
        </w:rPr>
        <w:t>modelo</w:t>
      </w:r>
      <w:r>
        <w:rPr>
          <w:color w:val="231F20"/>
          <w:spacing w:val="-15"/>
          <w:w w:val="105"/>
        </w:rPr>
        <w:t> </w:t>
      </w:r>
      <w:r>
        <w:rPr>
          <w:color w:val="231F20"/>
          <w:w w:val="105"/>
        </w:rPr>
        <w:t>analí- tico</w:t>
      </w:r>
      <w:r>
        <w:rPr>
          <w:color w:val="231F20"/>
          <w:spacing w:val="-21"/>
          <w:w w:val="105"/>
        </w:rPr>
        <w:t> </w:t>
      </w:r>
      <w:r>
        <w:rPr>
          <w:color w:val="231F20"/>
          <w:w w:val="105"/>
        </w:rPr>
        <w:t>que</w:t>
      </w:r>
      <w:r>
        <w:rPr>
          <w:color w:val="231F20"/>
          <w:spacing w:val="-21"/>
          <w:w w:val="105"/>
        </w:rPr>
        <w:t> </w:t>
      </w:r>
      <w:r>
        <w:rPr>
          <w:color w:val="231F20"/>
          <w:w w:val="105"/>
        </w:rPr>
        <w:t>justifique</w:t>
      </w:r>
      <w:r>
        <w:rPr>
          <w:color w:val="231F20"/>
          <w:spacing w:val="-21"/>
          <w:w w:val="105"/>
        </w:rPr>
        <w:t> </w:t>
      </w:r>
      <w:r>
        <w:rPr>
          <w:color w:val="231F20"/>
          <w:w w:val="105"/>
        </w:rPr>
        <w:t>por</w:t>
      </w:r>
      <w:r>
        <w:rPr>
          <w:color w:val="231F20"/>
          <w:spacing w:val="-21"/>
          <w:w w:val="105"/>
        </w:rPr>
        <w:t> </w:t>
      </w:r>
      <w:r>
        <w:rPr>
          <w:color w:val="231F20"/>
          <w:w w:val="105"/>
        </w:rPr>
        <w:t>qué</w:t>
      </w:r>
      <w:r>
        <w:rPr>
          <w:color w:val="231F20"/>
          <w:spacing w:val="-21"/>
          <w:w w:val="105"/>
        </w:rPr>
        <w:t> </w:t>
      </w:r>
      <w:r>
        <w:rPr>
          <w:color w:val="231F20"/>
          <w:w w:val="105"/>
        </w:rPr>
        <w:t>en</w:t>
      </w:r>
      <w:r>
        <w:rPr>
          <w:color w:val="231F20"/>
          <w:spacing w:val="-21"/>
          <w:w w:val="105"/>
        </w:rPr>
        <w:t> </w:t>
      </w:r>
      <w:r>
        <w:rPr>
          <w:color w:val="231F20"/>
          <w:w w:val="105"/>
        </w:rPr>
        <w:t>determinadas</w:t>
      </w:r>
      <w:r>
        <w:rPr>
          <w:color w:val="231F20"/>
          <w:spacing w:val="-21"/>
          <w:w w:val="105"/>
        </w:rPr>
        <w:t> </w:t>
      </w:r>
      <w:r>
        <w:rPr>
          <w:color w:val="231F20"/>
          <w:w w:val="105"/>
        </w:rPr>
        <w:t>fases</w:t>
      </w:r>
      <w:r>
        <w:rPr>
          <w:color w:val="231F20"/>
          <w:spacing w:val="-21"/>
          <w:w w:val="105"/>
        </w:rPr>
        <w:t> </w:t>
      </w:r>
      <w:r>
        <w:rPr>
          <w:color w:val="231F20"/>
          <w:w w:val="105"/>
        </w:rPr>
        <w:t>del</w:t>
      </w:r>
      <w:r>
        <w:rPr>
          <w:color w:val="231F20"/>
          <w:spacing w:val="-21"/>
          <w:w w:val="105"/>
        </w:rPr>
        <w:t> </w:t>
      </w:r>
      <w:r>
        <w:rPr>
          <w:color w:val="231F20"/>
          <w:w w:val="105"/>
        </w:rPr>
        <w:t>proceso</w:t>
      </w:r>
      <w:r>
        <w:rPr>
          <w:color w:val="231F20"/>
          <w:spacing w:val="-21"/>
          <w:w w:val="105"/>
        </w:rPr>
        <w:t> </w:t>
      </w:r>
      <w:r>
        <w:rPr>
          <w:color w:val="231F20"/>
          <w:w w:val="105"/>
        </w:rPr>
        <w:t>inversor</w:t>
      </w:r>
      <w:r>
        <w:rPr>
          <w:color w:val="231F20"/>
          <w:spacing w:val="-21"/>
          <w:w w:val="105"/>
        </w:rPr>
        <w:t> </w:t>
      </w:r>
      <w:r>
        <w:rPr>
          <w:color w:val="231F20"/>
          <w:w w:val="105"/>
        </w:rPr>
        <w:t>es preferible</w:t>
      </w:r>
      <w:r>
        <w:rPr>
          <w:color w:val="231F20"/>
          <w:spacing w:val="-14"/>
          <w:w w:val="105"/>
        </w:rPr>
        <w:t> </w:t>
      </w:r>
      <w:r>
        <w:rPr>
          <w:color w:val="231F20"/>
          <w:w w:val="105"/>
        </w:rPr>
        <w:t>una</w:t>
      </w:r>
      <w:r>
        <w:rPr>
          <w:color w:val="231F20"/>
          <w:spacing w:val="-14"/>
          <w:w w:val="105"/>
        </w:rPr>
        <w:t> </w:t>
      </w:r>
      <w:r>
        <w:rPr>
          <w:color w:val="231F20"/>
          <w:w w:val="105"/>
        </w:rPr>
        <w:t>localización</w:t>
      </w:r>
      <w:r>
        <w:rPr>
          <w:color w:val="231F20"/>
          <w:spacing w:val="-14"/>
          <w:w w:val="105"/>
        </w:rPr>
        <w:t> </w:t>
      </w:r>
      <w:r>
        <w:rPr>
          <w:color w:val="231F20"/>
          <w:w w:val="105"/>
        </w:rPr>
        <w:t>frente</w:t>
      </w:r>
      <w:r>
        <w:rPr>
          <w:color w:val="231F20"/>
          <w:spacing w:val="-14"/>
          <w:w w:val="105"/>
        </w:rPr>
        <w:t> </w:t>
      </w:r>
      <w:r>
        <w:rPr>
          <w:color w:val="231F20"/>
          <w:w w:val="105"/>
        </w:rPr>
        <w:t>a</w:t>
      </w:r>
      <w:r>
        <w:rPr>
          <w:color w:val="231F20"/>
          <w:spacing w:val="-14"/>
          <w:w w:val="105"/>
        </w:rPr>
        <w:t> </w:t>
      </w:r>
      <w:r>
        <w:rPr>
          <w:color w:val="231F20"/>
          <w:w w:val="105"/>
        </w:rPr>
        <w:t>otra.</w:t>
      </w:r>
      <w:r>
        <w:rPr>
          <w:color w:val="231F20"/>
          <w:spacing w:val="-23"/>
          <w:w w:val="105"/>
        </w:rPr>
        <w:t> </w:t>
      </w:r>
      <w:r>
        <w:rPr>
          <w:color w:val="231F20"/>
          <w:w w:val="105"/>
        </w:rPr>
        <w:t>A</w:t>
      </w:r>
      <w:r>
        <w:rPr>
          <w:color w:val="231F20"/>
          <w:spacing w:val="-17"/>
          <w:w w:val="105"/>
        </w:rPr>
        <w:t> </w:t>
      </w:r>
      <w:r>
        <w:rPr>
          <w:color w:val="231F20"/>
          <w:w w:val="105"/>
        </w:rPr>
        <w:t>pesar</w:t>
      </w:r>
      <w:r>
        <w:rPr>
          <w:color w:val="231F20"/>
          <w:spacing w:val="-14"/>
          <w:w w:val="105"/>
        </w:rPr>
        <w:t> </w:t>
      </w:r>
      <w:r>
        <w:rPr>
          <w:color w:val="231F20"/>
          <w:w w:val="105"/>
        </w:rPr>
        <w:t>de</w:t>
      </w:r>
      <w:r>
        <w:rPr>
          <w:color w:val="231F20"/>
          <w:spacing w:val="-14"/>
          <w:w w:val="105"/>
        </w:rPr>
        <w:t> </w:t>
      </w:r>
      <w:r>
        <w:rPr>
          <w:color w:val="231F20"/>
          <w:w w:val="105"/>
        </w:rPr>
        <w:t>ello,</w:t>
      </w:r>
      <w:r>
        <w:rPr>
          <w:color w:val="231F20"/>
          <w:spacing w:val="-19"/>
          <w:w w:val="105"/>
        </w:rPr>
        <w:t> </w:t>
      </w:r>
      <w:r>
        <w:rPr>
          <w:color w:val="231F20"/>
          <w:w w:val="105"/>
        </w:rPr>
        <w:t>profundiza</w:t>
      </w:r>
      <w:r>
        <w:rPr>
          <w:color w:val="231F20"/>
          <w:spacing w:val="-14"/>
          <w:w w:val="105"/>
        </w:rPr>
        <w:t> </w:t>
      </w:r>
      <w:r>
        <w:rPr>
          <w:color w:val="231F20"/>
          <w:w w:val="105"/>
        </w:rPr>
        <w:t>en</w:t>
      </w:r>
      <w:r>
        <w:rPr>
          <w:color w:val="231F20"/>
          <w:spacing w:val="-14"/>
          <w:w w:val="105"/>
        </w:rPr>
        <w:t> </w:t>
      </w:r>
      <w:r>
        <w:rPr>
          <w:color w:val="231F20"/>
          <w:w w:val="105"/>
        </w:rPr>
        <w:t>el conjunto</w:t>
      </w:r>
      <w:r>
        <w:rPr>
          <w:color w:val="231F20"/>
          <w:spacing w:val="-22"/>
          <w:w w:val="105"/>
        </w:rPr>
        <w:t> </w:t>
      </w:r>
      <w:r>
        <w:rPr>
          <w:color w:val="231F20"/>
          <w:w w:val="105"/>
        </w:rPr>
        <w:t>de</w:t>
      </w:r>
      <w:r>
        <w:rPr>
          <w:color w:val="231F20"/>
          <w:spacing w:val="-22"/>
          <w:w w:val="105"/>
        </w:rPr>
        <w:t> </w:t>
      </w:r>
      <w:r>
        <w:rPr>
          <w:color w:val="231F20"/>
          <w:w w:val="105"/>
        </w:rPr>
        <w:t>causas</w:t>
      </w:r>
      <w:r>
        <w:rPr>
          <w:color w:val="231F20"/>
          <w:spacing w:val="-22"/>
          <w:w w:val="105"/>
        </w:rPr>
        <w:t> </w:t>
      </w:r>
      <w:r>
        <w:rPr>
          <w:color w:val="231F20"/>
          <w:w w:val="105"/>
        </w:rPr>
        <w:t>que</w:t>
      </w:r>
      <w:r>
        <w:rPr>
          <w:color w:val="231F20"/>
          <w:spacing w:val="-22"/>
          <w:w w:val="105"/>
        </w:rPr>
        <w:t> </w:t>
      </w:r>
      <w:r>
        <w:rPr>
          <w:color w:val="231F20"/>
          <w:w w:val="105"/>
        </w:rPr>
        <w:t>pueden</w:t>
      </w:r>
      <w:r>
        <w:rPr>
          <w:color w:val="231F20"/>
          <w:spacing w:val="-22"/>
          <w:w w:val="105"/>
        </w:rPr>
        <w:t> </w:t>
      </w:r>
      <w:r>
        <w:rPr>
          <w:color w:val="231F20"/>
          <w:w w:val="105"/>
        </w:rPr>
        <w:t>estar</w:t>
      </w:r>
      <w:r>
        <w:rPr>
          <w:color w:val="231F20"/>
          <w:spacing w:val="-22"/>
          <w:w w:val="105"/>
        </w:rPr>
        <w:t> </w:t>
      </w:r>
      <w:r>
        <w:rPr>
          <w:color w:val="231F20"/>
          <w:w w:val="105"/>
        </w:rPr>
        <w:t>detrás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factores</w:t>
      </w:r>
      <w:r>
        <w:rPr>
          <w:color w:val="231F20"/>
          <w:spacing w:val="-22"/>
          <w:w w:val="105"/>
        </w:rPr>
        <w:t> </w:t>
      </w:r>
      <w:r>
        <w:rPr>
          <w:color w:val="231F20"/>
          <w:w w:val="105"/>
        </w:rPr>
        <w:t>que</w:t>
      </w:r>
      <w:r>
        <w:rPr>
          <w:color w:val="231F20"/>
          <w:spacing w:val="-22"/>
          <w:w w:val="105"/>
        </w:rPr>
        <w:t> </w:t>
      </w:r>
      <w:r>
        <w:rPr>
          <w:color w:val="231F20"/>
          <w:w w:val="105"/>
        </w:rPr>
        <w:t>generan los</w:t>
      </w:r>
      <w:r>
        <w:rPr>
          <w:color w:val="231F20"/>
          <w:spacing w:val="-18"/>
          <w:w w:val="105"/>
        </w:rPr>
        <w:t> </w:t>
      </w:r>
      <w:r>
        <w:rPr>
          <w:color w:val="231F20"/>
          <w:w w:val="105"/>
        </w:rPr>
        <w:t>patrones</w:t>
      </w:r>
      <w:r>
        <w:rPr>
          <w:color w:val="231F20"/>
          <w:spacing w:val="-18"/>
          <w:w w:val="105"/>
        </w:rPr>
        <w:t> </w:t>
      </w:r>
      <w:r>
        <w:rPr>
          <w:color w:val="231F20"/>
          <w:w w:val="105"/>
        </w:rPr>
        <w:t>de</w:t>
      </w:r>
      <w:r>
        <w:rPr>
          <w:color w:val="231F20"/>
          <w:spacing w:val="-18"/>
          <w:w w:val="105"/>
        </w:rPr>
        <w:t> </w:t>
      </w:r>
      <w:r>
        <w:rPr>
          <w:color w:val="231F20"/>
          <w:w w:val="105"/>
        </w:rPr>
        <w:t>localización</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inversión.</w:t>
      </w:r>
    </w:p>
    <w:p>
      <w:pPr>
        <w:spacing w:after="0" w:line="259" w:lineRule="auto"/>
        <w:jc w:val="both"/>
        <w:sectPr>
          <w:pgSz w:w="9640" w:h="13890"/>
          <w:pgMar w:top="0" w:bottom="280" w:left="1300" w:right="1180"/>
        </w:sectPr>
      </w:pPr>
    </w:p>
    <w:p>
      <w:pPr>
        <w:spacing w:before="120"/>
        <w:ind w:left="103" w:right="0" w:firstLine="0"/>
        <w:jc w:val="both"/>
        <w:rPr>
          <w:i/>
          <w:sz w:val="21"/>
        </w:rPr>
      </w:pPr>
      <w:r>
        <w:rPr>
          <w:i/>
          <w:color w:val="231F20"/>
          <w:w w:val="105"/>
          <w:sz w:val="21"/>
        </w:rPr>
        <w:t>Teoría de la localización de la IED</w:t>
      </w:r>
    </w:p>
    <w:p>
      <w:pPr>
        <w:pStyle w:val="BodyText"/>
        <w:spacing w:before="4"/>
        <w:rPr>
          <w:i/>
          <w:sz w:val="16"/>
        </w:rPr>
      </w:pPr>
    </w:p>
    <w:p>
      <w:pPr>
        <w:pStyle w:val="BodyText"/>
        <w:spacing w:line="259" w:lineRule="auto"/>
        <w:ind w:left="103" w:right="115"/>
        <w:jc w:val="both"/>
      </w:pPr>
      <w:r>
        <w:rPr>
          <w:color w:val="231F20"/>
          <w:w w:val="105"/>
        </w:rPr>
        <w:t>En el caso particular de este trabajo se tomará como base la teoría de localización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IED</w:t>
      </w:r>
      <w:r>
        <w:rPr>
          <w:color w:val="231F20"/>
          <w:spacing w:val="-21"/>
          <w:w w:val="105"/>
        </w:rPr>
        <w:t> </w:t>
      </w:r>
      <w:r>
        <w:rPr>
          <w:color w:val="231F20"/>
          <w:w w:val="105"/>
        </w:rPr>
        <w:t>debido</w:t>
      </w:r>
      <w:r>
        <w:rPr>
          <w:color w:val="231F20"/>
          <w:spacing w:val="-21"/>
          <w:w w:val="105"/>
        </w:rPr>
        <w:t> </w:t>
      </w:r>
      <w:r>
        <w:rPr>
          <w:color w:val="231F20"/>
          <w:w w:val="105"/>
        </w:rPr>
        <w:t>a</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posesión</w:t>
      </w:r>
      <w:r>
        <w:rPr>
          <w:color w:val="231F20"/>
          <w:spacing w:val="-21"/>
          <w:w w:val="105"/>
        </w:rPr>
        <w:t> </w:t>
      </w:r>
      <w:r>
        <w:rPr>
          <w:color w:val="231F20"/>
          <w:w w:val="105"/>
        </w:rPr>
        <w:t>de</w:t>
      </w:r>
      <w:r>
        <w:rPr>
          <w:color w:val="231F20"/>
          <w:spacing w:val="-21"/>
          <w:w w:val="105"/>
        </w:rPr>
        <w:t> </w:t>
      </w:r>
      <w:r>
        <w:rPr>
          <w:color w:val="231F20"/>
          <w:w w:val="105"/>
        </w:rPr>
        <w:t>ventajas</w:t>
      </w:r>
      <w:r>
        <w:rPr>
          <w:color w:val="231F20"/>
          <w:spacing w:val="-21"/>
          <w:w w:val="105"/>
        </w:rPr>
        <w:t> </w:t>
      </w:r>
      <w:r>
        <w:rPr>
          <w:color w:val="231F20"/>
          <w:w w:val="105"/>
        </w:rPr>
        <w:t>de</w:t>
      </w:r>
      <w:r>
        <w:rPr>
          <w:color w:val="231F20"/>
          <w:spacing w:val="-21"/>
          <w:w w:val="105"/>
        </w:rPr>
        <w:t> </w:t>
      </w:r>
      <w:r>
        <w:rPr>
          <w:color w:val="231F20"/>
          <w:w w:val="105"/>
        </w:rPr>
        <w:t>propiedad y de internalización justifican la existencia de actividades de IED sobre la base de una serie de activos intangibles (nombre de marca, niveles más desarrollados de tecnología, conocimiento de las técnicas de</w:t>
      </w:r>
      <w:r>
        <w:rPr>
          <w:color w:val="231F20"/>
          <w:spacing w:val="-15"/>
          <w:w w:val="105"/>
        </w:rPr>
        <w:t> </w:t>
      </w:r>
      <w:r>
        <w:rPr>
          <w:color w:val="231F20"/>
          <w:w w:val="105"/>
        </w:rPr>
        <w:t>ges- tión</w:t>
      </w:r>
      <w:r>
        <w:rPr>
          <w:color w:val="231F20"/>
          <w:spacing w:val="-27"/>
          <w:w w:val="105"/>
        </w:rPr>
        <w:t> </w:t>
      </w:r>
      <w:r>
        <w:rPr>
          <w:color w:val="231F20"/>
          <w:w w:val="105"/>
        </w:rPr>
        <w:t>empresarial),</w:t>
      </w:r>
      <w:r>
        <w:rPr>
          <w:color w:val="231F20"/>
          <w:spacing w:val="-32"/>
          <w:w w:val="105"/>
        </w:rPr>
        <w:t> </w:t>
      </w:r>
      <w:r>
        <w:rPr>
          <w:color w:val="231F20"/>
          <w:w w:val="105"/>
        </w:rPr>
        <w:t>pertenecientes</w:t>
      </w:r>
      <w:r>
        <w:rPr>
          <w:color w:val="231F20"/>
          <w:spacing w:val="-27"/>
          <w:w w:val="105"/>
        </w:rPr>
        <w:t> </w:t>
      </w:r>
      <w:r>
        <w:rPr>
          <w:color w:val="231F20"/>
          <w:w w:val="105"/>
        </w:rPr>
        <w:t>a</w:t>
      </w:r>
      <w:r>
        <w:rPr>
          <w:color w:val="231F20"/>
          <w:spacing w:val="-27"/>
          <w:w w:val="105"/>
        </w:rPr>
        <w:t> </w:t>
      </w:r>
      <w:r>
        <w:rPr>
          <w:color w:val="231F20"/>
          <w:w w:val="105"/>
        </w:rPr>
        <w:t>la</w:t>
      </w:r>
      <w:r>
        <w:rPr>
          <w:color w:val="231F20"/>
          <w:spacing w:val="-27"/>
          <w:w w:val="105"/>
        </w:rPr>
        <w:t> </w:t>
      </w:r>
      <w:r>
        <w:rPr>
          <w:color w:val="231F20"/>
          <w:w w:val="105"/>
        </w:rPr>
        <w:t>empresa</w:t>
      </w:r>
      <w:r>
        <w:rPr>
          <w:color w:val="231F20"/>
          <w:spacing w:val="-27"/>
          <w:w w:val="105"/>
        </w:rPr>
        <w:t> </w:t>
      </w:r>
      <w:r>
        <w:rPr>
          <w:color w:val="231F20"/>
          <w:w w:val="105"/>
        </w:rPr>
        <w:t>multinacional</w:t>
      </w:r>
      <w:r>
        <w:rPr>
          <w:color w:val="231F20"/>
          <w:spacing w:val="-27"/>
          <w:w w:val="105"/>
        </w:rPr>
        <w:t> </w:t>
      </w:r>
      <w:r>
        <w:rPr>
          <w:color w:val="231F20"/>
          <w:w w:val="105"/>
        </w:rPr>
        <w:t>y</w:t>
      </w:r>
      <w:r>
        <w:rPr>
          <w:color w:val="231F20"/>
          <w:spacing w:val="-27"/>
          <w:w w:val="105"/>
        </w:rPr>
        <w:t> </w:t>
      </w:r>
      <w:r>
        <w:rPr>
          <w:color w:val="231F20"/>
          <w:w w:val="105"/>
        </w:rPr>
        <w:t>que</w:t>
      </w:r>
      <w:r>
        <w:rPr>
          <w:color w:val="231F20"/>
          <w:spacing w:val="-27"/>
          <w:w w:val="105"/>
        </w:rPr>
        <w:t> </w:t>
      </w:r>
      <w:r>
        <w:rPr>
          <w:color w:val="231F20"/>
          <w:w w:val="105"/>
        </w:rPr>
        <w:t>desea explotar</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mercado</w:t>
      </w:r>
      <w:r>
        <w:rPr>
          <w:color w:val="231F20"/>
          <w:spacing w:val="-13"/>
          <w:w w:val="105"/>
        </w:rPr>
        <w:t> </w:t>
      </w:r>
      <w:r>
        <w:rPr>
          <w:color w:val="231F20"/>
          <w:w w:val="105"/>
        </w:rPr>
        <w:t>exterior.</w:t>
      </w:r>
    </w:p>
    <w:p>
      <w:pPr>
        <w:pStyle w:val="BodyText"/>
        <w:spacing w:line="259" w:lineRule="auto"/>
        <w:ind w:left="103" w:right="110" w:firstLine="567"/>
        <w:jc w:val="both"/>
      </w:pPr>
      <w:r>
        <w:rPr>
          <w:color w:val="231F20"/>
          <w:spacing w:val="-5"/>
          <w:w w:val="105"/>
        </w:rPr>
        <w:t>Pero </w:t>
      </w:r>
      <w:r>
        <w:rPr>
          <w:color w:val="231F20"/>
          <w:w w:val="105"/>
        </w:rPr>
        <w:t>la empresa, además, debe tener en cuenta la existencia de ciertas</w:t>
      </w:r>
      <w:r>
        <w:rPr>
          <w:color w:val="231F20"/>
          <w:spacing w:val="-5"/>
          <w:w w:val="105"/>
        </w:rPr>
        <w:t> </w:t>
      </w:r>
      <w:r>
        <w:rPr>
          <w:color w:val="231F20"/>
          <w:w w:val="105"/>
        </w:rPr>
        <w:t>características,</w:t>
      </w:r>
      <w:r>
        <w:rPr>
          <w:color w:val="231F20"/>
          <w:spacing w:val="-9"/>
          <w:w w:val="105"/>
        </w:rPr>
        <w:t> </w:t>
      </w:r>
      <w:r>
        <w:rPr>
          <w:color w:val="231F20"/>
          <w:w w:val="105"/>
        </w:rPr>
        <w:t>ventajas</w:t>
      </w:r>
      <w:r>
        <w:rPr>
          <w:color w:val="231F20"/>
          <w:spacing w:val="-5"/>
          <w:w w:val="105"/>
        </w:rPr>
        <w:t> </w:t>
      </w:r>
      <w:r>
        <w:rPr>
          <w:color w:val="231F20"/>
          <w:w w:val="105"/>
        </w:rPr>
        <w:t>o</w:t>
      </w:r>
      <w:r>
        <w:rPr>
          <w:color w:val="231F20"/>
          <w:spacing w:val="-5"/>
          <w:w w:val="105"/>
        </w:rPr>
        <w:t> </w:t>
      </w:r>
      <w:r>
        <w:rPr>
          <w:i/>
          <w:color w:val="231F20"/>
          <w:w w:val="105"/>
        </w:rPr>
        <w:t>inputs</w:t>
      </w:r>
      <w:r>
        <w:rPr>
          <w:i/>
          <w:color w:val="231F20"/>
          <w:spacing w:val="-5"/>
          <w:w w:val="105"/>
        </w:rPr>
        <w:t> </w:t>
      </w:r>
      <w:r>
        <w:rPr>
          <w:color w:val="231F20"/>
          <w:w w:val="105"/>
        </w:rPr>
        <w:t>en</w:t>
      </w:r>
      <w:r>
        <w:rPr>
          <w:color w:val="231F20"/>
          <w:spacing w:val="-5"/>
          <w:w w:val="105"/>
        </w:rPr>
        <w:t> </w:t>
      </w:r>
      <w:r>
        <w:rPr>
          <w:color w:val="231F20"/>
          <w:w w:val="105"/>
        </w:rPr>
        <w:t>otra</w:t>
      </w:r>
      <w:r>
        <w:rPr>
          <w:color w:val="231F20"/>
          <w:spacing w:val="-5"/>
          <w:w w:val="105"/>
        </w:rPr>
        <w:t> </w:t>
      </w:r>
      <w:r>
        <w:rPr>
          <w:color w:val="231F20"/>
          <w:w w:val="105"/>
        </w:rPr>
        <w:t>nación</w:t>
      </w:r>
      <w:r>
        <w:rPr>
          <w:color w:val="231F20"/>
          <w:spacing w:val="-5"/>
          <w:w w:val="105"/>
        </w:rPr>
        <w:t> </w:t>
      </w:r>
      <w:r>
        <w:rPr>
          <w:color w:val="231F20"/>
          <w:w w:val="105"/>
        </w:rPr>
        <w:t>que,</w:t>
      </w:r>
      <w:r>
        <w:rPr>
          <w:color w:val="231F20"/>
          <w:spacing w:val="-9"/>
          <w:w w:val="105"/>
        </w:rPr>
        <w:t> </w:t>
      </w:r>
      <w:r>
        <w:rPr>
          <w:color w:val="231F20"/>
          <w:w w:val="105"/>
        </w:rPr>
        <w:t>agrupadas con las propias ventajas de la empresa, le permitan obtener un benefi- cio</w:t>
      </w:r>
      <w:r>
        <w:rPr>
          <w:color w:val="231F20"/>
          <w:spacing w:val="-4"/>
          <w:w w:val="105"/>
        </w:rPr>
        <w:t> </w:t>
      </w:r>
      <w:r>
        <w:rPr>
          <w:color w:val="231F20"/>
          <w:w w:val="105"/>
        </w:rPr>
        <w:t>superior</w:t>
      </w:r>
      <w:r>
        <w:rPr>
          <w:color w:val="231F20"/>
          <w:spacing w:val="-4"/>
          <w:w w:val="105"/>
        </w:rPr>
        <w:t> </w:t>
      </w:r>
      <w:r>
        <w:rPr>
          <w:color w:val="231F20"/>
          <w:w w:val="105"/>
        </w:rPr>
        <w:t>al</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alcanzaría</w:t>
      </w:r>
      <w:r>
        <w:rPr>
          <w:color w:val="231F20"/>
          <w:spacing w:val="-4"/>
          <w:w w:val="105"/>
        </w:rPr>
        <w:t> </w:t>
      </w:r>
      <w:r>
        <w:rPr>
          <w:color w:val="231F20"/>
          <w:w w:val="105"/>
        </w:rPr>
        <w:t>si</w:t>
      </w:r>
      <w:r>
        <w:rPr>
          <w:color w:val="231F20"/>
          <w:spacing w:val="-4"/>
          <w:w w:val="105"/>
        </w:rPr>
        <w:t> </w:t>
      </w:r>
      <w:r>
        <w:rPr>
          <w:color w:val="231F20"/>
          <w:w w:val="105"/>
        </w:rPr>
        <w:t>la</w:t>
      </w:r>
      <w:r>
        <w:rPr>
          <w:color w:val="231F20"/>
          <w:spacing w:val="-4"/>
          <w:w w:val="105"/>
        </w:rPr>
        <w:t> </w:t>
      </w:r>
      <w:r>
        <w:rPr>
          <w:color w:val="231F20"/>
          <w:w w:val="105"/>
        </w:rPr>
        <w:t>empresa</w:t>
      </w:r>
      <w:r>
        <w:rPr>
          <w:color w:val="231F20"/>
          <w:spacing w:val="-4"/>
          <w:w w:val="105"/>
        </w:rPr>
        <w:t> </w:t>
      </w:r>
      <w:r>
        <w:rPr>
          <w:color w:val="231F20"/>
          <w:w w:val="105"/>
        </w:rPr>
        <w:t>optase</w:t>
      </w:r>
      <w:r>
        <w:rPr>
          <w:color w:val="231F20"/>
          <w:spacing w:val="-4"/>
          <w:w w:val="105"/>
        </w:rPr>
        <w:t> </w:t>
      </w:r>
      <w:r>
        <w:rPr>
          <w:color w:val="231F20"/>
          <w:w w:val="105"/>
        </w:rPr>
        <w:t>por</w:t>
      </w:r>
      <w:r>
        <w:rPr>
          <w:color w:val="231F20"/>
          <w:spacing w:val="-4"/>
          <w:w w:val="105"/>
        </w:rPr>
        <w:t> </w:t>
      </w:r>
      <w:r>
        <w:rPr>
          <w:color w:val="231F20"/>
          <w:w w:val="105"/>
        </w:rPr>
        <w:t>instalarse</w:t>
      </w:r>
      <w:r>
        <w:rPr>
          <w:color w:val="231F20"/>
          <w:spacing w:val="-4"/>
          <w:w w:val="105"/>
        </w:rPr>
        <w:t> </w:t>
      </w:r>
      <w:r>
        <w:rPr>
          <w:color w:val="231F20"/>
          <w:w w:val="105"/>
        </w:rPr>
        <w:t>en su</w:t>
      </w:r>
      <w:r>
        <w:rPr>
          <w:color w:val="231F20"/>
          <w:spacing w:val="-14"/>
          <w:w w:val="105"/>
        </w:rPr>
        <w:t> </w:t>
      </w:r>
      <w:r>
        <w:rPr>
          <w:color w:val="231F20"/>
          <w:w w:val="105"/>
        </w:rPr>
        <w:t>propia</w:t>
      </w:r>
      <w:r>
        <w:rPr>
          <w:color w:val="231F20"/>
          <w:spacing w:val="-14"/>
          <w:w w:val="105"/>
        </w:rPr>
        <w:t> </w:t>
      </w:r>
      <w:r>
        <w:rPr>
          <w:color w:val="231F20"/>
          <w:w w:val="105"/>
        </w:rPr>
        <w:t>nación.</w:t>
      </w:r>
      <w:r>
        <w:rPr>
          <w:color w:val="231F20"/>
          <w:spacing w:val="-21"/>
          <w:w w:val="105"/>
        </w:rPr>
        <w:t> </w:t>
      </w:r>
      <w:r>
        <w:rPr>
          <w:color w:val="231F20"/>
          <w:spacing w:val="-5"/>
          <w:w w:val="105"/>
        </w:rPr>
        <w:t>Tales</w:t>
      </w:r>
      <w:r>
        <w:rPr>
          <w:color w:val="231F20"/>
          <w:spacing w:val="-14"/>
          <w:w w:val="105"/>
        </w:rPr>
        <w:t> </w:t>
      </w:r>
      <w:r>
        <w:rPr>
          <w:color w:val="231F20"/>
          <w:w w:val="105"/>
        </w:rPr>
        <w:t>ventajas,</w:t>
      </w:r>
      <w:r>
        <w:rPr>
          <w:color w:val="231F20"/>
          <w:spacing w:val="-18"/>
          <w:w w:val="105"/>
        </w:rPr>
        <w:t> </w:t>
      </w:r>
      <w:r>
        <w:rPr>
          <w:color w:val="231F20"/>
          <w:w w:val="105"/>
        </w:rPr>
        <w:t>denominadas</w:t>
      </w:r>
      <w:r>
        <w:rPr>
          <w:color w:val="231F20"/>
          <w:spacing w:val="-14"/>
          <w:w w:val="105"/>
        </w:rPr>
        <w:t> </w:t>
      </w:r>
      <w:r>
        <w:rPr>
          <w:color w:val="231F20"/>
          <w:w w:val="105"/>
        </w:rPr>
        <w:t>ventajas</w:t>
      </w:r>
      <w:r>
        <w:rPr>
          <w:color w:val="231F20"/>
          <w:spacing w:val="-14"/>
          <w:w w:val="105"/>
        </w:rPr>
        <w:t> </w:t>
      </w:r>
      <w:r>
        <w:rPr>
          <w:color w:val="231F20"/>
          <w:w w:val="105"/>
        </w:rPr>
        <w:t>de</w:t>
      </w:r>
      <w:r>
        <w:rPr>
          <w:color w:val="231F20"/>
          <w:spacing w:val="-14"/>
          <w:w w:val="105"/>
        </w:rPr>
        <w:t> </w:t>
      </w:r>
      <w:r>
        <w:rPr>
          <w:color w:val="231F20"/>
          <w:w w:val="105"/>
        </w:rPr>
        <w:t>localización, estarían</w:t>
      </w:r>
      <w:r>
        <w:rPr>
          <w:color w:val="231F20"/>
          <w:spacing w:val="-13"/>
          <w:w w:val="105"/>
        </w:rPr>
        <w:t> </w:t>
      </w:r>
      <w:r>
        <w:rPr>
          <w:color w:val="231F20"/>
          <w:w w:val="105"/>
        </w:rPr>
        <w:t>directamente</w:t>
      </w:r>
      <w:r>
        <w:rPr>
          <w:color w:val="231F20"/>
          <w:spacing w:val="-13"/>
          <w:w w:val="105"/>
        </w:rPr>
        <w:t> </w:t>
      </w:r>
      <w:r>
        <w:rPr>
          <w:color w:val="231F20"/>
          <w:w w:val="105"/>
        </w:rPr>
        <w:t>asociadas</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costos</w:t>
      </w:r>
      <w:r>
        <w:rPr>
          <w:color w:val="231F20"/>
          <w:spacing w:val="-13"/>
          <w:w w:val="105"/>
        </w:rPr>
        <w:t> </w:t>
      </w:r>
      <w:r>
        <w:rPr>
          <w:color w:val="231F20"/>
          <w:w w:val="105"/>
        </w:rPr>
        <w:t>y</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disponibilidad</w:t>
      </w:r>
      <w:r>
        <w:rPr>
          <w:color w:val="231F20"/>
          <w:spacing w:val="-13"/>
          <w:w w:val="105"/>
        </w:rPr>
        <w:t> </w:t>
      </w:r>
      <w:r>
        <w:rPr>
          <w:color w:val="231F20"/>
          <w:w w:val="105"/>
        </w:rPr>
        <w:t>de</w:t>
      </w:r>
      <w:r>
        <w:rPr>
          <w:color w:val="231F20"/>
          <w:spacing w:val="-13"/>
          <w:w w:val="105"/>
        </w:rPr>
        <w:t> </w:t>
      </w:r>
      <w:r>
        <w:rPr>
          <w:color w:val="231F20"/>
          <w:w w:val="105"/>
        </w:rPr>
        <w:t>los factores de producción, tanto en el ámbito cuantitativo como</w:t>
      </w:r>
      <w:r>
        <w:rPr>
          <w:color w:val="231F20"/>
          <w:spacing w:val="-16"/>
          <w:w w:val="105"/>
        </w:rPr>
        <w:t> </w:t>
      </w:r>
      <w:r>
        <w:rPr>
          <w:color w:val="231F20"/>
          <w:w w:val="105"/>
        </w:rPr>
        <w:t>cualitativo (tal</w:t>
      </w:r>
      <w:r>
        <w:rPr>
          <w:color w:val="231F20"/>
          <w:spacing w:val="-8"/>
          <w:w w:val="105"/>
        </w:rPr>
        <w:t> </w:t>
      </w:r>
      <w:r>
        <w:rPr>
          <w:color w:val="231F20"/>
          <w:w w:val="105"/>
        </w:rPr>
        <w:t>y</w:t>
      </w:r>
      <w:r>
        <w:rPr>
          <w:color w:val="231F20"/>
          <w:spacing w:val="-8"/>
          <w:w w:val="105"/>
        </w:rPr>
        <w:t> </w:t>
      </w:r>
      <w:r>
        <w:rPr>
          <w:color w:val="231F20"/>
          <w:w w:val="105"/>
        </w:rPr>
        <w:t>como</w:t>
      </w:r>
      <w:r>
        <w:rPr>
          <w:color w:val="231F20"/>
          <w:spacing w:val="-8"/>
          <w:w w:val="105"/>
        </w:rPr>
        <w:t> </w:t>
      </w:r>
      <w:r>
        <w:rPr>
          <w:color w:val="231F20"/>
          <w:w w:val="105"/>
        </w:rPr>
        <w:t>se</w:t>
      </w:r>
      <w:r>
        <w:rPr>
          <w:color w:val="231F20"/>
          <w:spacing w:val="-8"/>
          <w:w w:val="105"/>
        </w:rPr>
        <w:t> </w:t>
      </w:r>
      <w:r>
        <w:rPr>
          <w:color w:val="231F20"/>
          <w:w w:val="105"/>
        </w:rPr>
        <w:t>apunta</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marco</w:t>
      </w:r>
      <w:r>
        <w:rPr>
          <w:color w:val="231F20"/>
          <w:spacing w:val="-8"/>
          <w:w w:val="105"/>
        </w:rPr>
        <w:t> </w:t>
      </w:r>
      <w:r>
        <w:rPr>
          <w:color w:val="231F20"/>
          <w:w w:val="105"/>
        </w:rPr>
        <w:t>conceptual</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teorías</w:t>
      </w:r>
      <w:r>
        <w:rPr>
          <w:color w:val="231F20"/>
          <w:spacing w:val="-8"/>
          <w:w w:val="105"/>
        </w:rPr>
        <w:t> </w:t>
      </w:r>
      <w:r>
        <w:rPr>
          <w:color w:val="231F20"/>
          <w:w w:val="105"/>
        </w:rPr>
        <w:t>de</w:t>
      </w:r>
      <w:r>
        <w:rPr>
          <w:color w:val="231F20"/>
          <w:spacing w:val="-8"/>
          <w:w w:val="105"/>
        </w:rPr>
        <w:t> </w:t>
      </w:r>
      <w:r>
        <w:rPr>
          <w:color w:val="231F20"/>
          <w:w w:val="105"/>
        </w:rPr>
        <w:t>localiza- ción), al mismo tiempo que recogerían las particularidades del sistema institucional</w:t>
      </w:r>
      <w:r>
        <w:rPr>
          <w:color w:val="231F20"/>
          <w:spacing w:val="-14"/>
          <w:w w:val="105"/>
        </w:rPr>
        <w:t> </w:t>
      </w:r>
      <w:r>
        <w:rPr>
          <w:color w:val="231F20"/>
          <w:w w:val="105"/>
        </w:rPr>
        <w:t>vigente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país</w:t>
      </w:r>
      <w:r>
        <w:rPr>
          <w:color w:val="231F20"/>
          <w:spacing w:val="-14"/>
          <w:w w:val="105"/>
        </w:rPr>
        <w:t> </w:t>
      </w:r>
      <w:r>
        <w:rPr>
          <w:color w:val="231F20"/>
          <w:w w:val="105"/>
        </w:rPr>
        <w:t>receptor</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inversión,</w:t>
      </w:r>
      <w:r>
        <w:rPr>
          <w:color w:val="231F20"/>
          <w:spacing w:val="-21"/>
          <w:w w:val="105"/>
        </w:rPr>
        <w:t> </w:t>
      </w:r>
      <w:r>
        <w:rPr>
          <w:color w:val="231F20"/>
          <w:w w:val="105"/>
        </w:rPr>
        <w:t>el</w:t>
      </w:r>
      <w:r>
        <w:rPr>
          <w:color w:val="231F20"/>
          <w:spacing w:val="-14"/>
          <w:w w:val="105"/>
        </w:rPr>
        <w:t> </w:t>
      </w:r>
      <w:r>
        <w:rPr>
          <w:color w:val="231F20"/>
          <w:w w:val="105"/>
        </w:rPr>
        <w:t>grado</w:t>
      </w:r>
      <w:r>
        <w:rPr>
          <w:color w:val="231F20"/>
          <w:spacing w:val="-14"/>
          <w:w w:val="105"/>
        </w:rPr>
        <w:t> </w:t>
      </w:r>
      <w:r>
        <w:rPr>
          <w:color w:val="231F20"/>
          <w:w w:val="105"/>
        </w:rPr>
        <w:t>de</w:t>
      </w:r>
      <w:r>
        <w:rPr>
          <w:color w:val="231F20"/>
          <w:spacing w:val="-14"/>
          <w:w w:val="105"/>
        </w:rPr>
        <w:t> </w:t>
      </w:r>
      <w:r>
        <w:rPr>
          <w:color w:val="231F20"/>
          <w:w w:val="105"/>
        </w:rPr>
        <w:t>inter- vención del gobierno en la economía y la mayor o menor presencia de economías</w:t>
      </w:r>
      <w:r>
        <w:rPr>
          <w:color w:val="231F20"/>
          <w:spacing w:val="-44"/>
          <w:w w:val="105"/>
        </w:rPr>
        <w:t> </w:t>
      </w:r>
      <w:r>
        <w:rPr>
          <w:color w:val="231F20"/>
          <w:w w:val="105"/>
        </w:rPr>
        <w:t>de</w:t>
      </w:r>
      <w:r>
        <w:rPr>
          <w:color w:val="231F20"/>
          <w:spacing w:val="-44"/>
          <w:w w:val="105"/>
        </w:rPr>
        <w:t> </w:t>
      </w:r>
      <w:r>
        <w:rPr>
          <w:color w:val="231F20"/>
          <w:w w:val="105"/>
        </w:rPr>
        <w:t>escala</w:t>
      </w:r>
      <w:r>
        <w:rPr>
          <w:color w:val="231F20"/>
          <w:spacing w:val="-44"/>
          <w:w w:val="105"/>
        </w:rPr>
        <w:t> </w:t>
      </w:r>
      <w:r>
        <w:rPr>
          <w:color w:val="231F20"/>
          <w:w w:val="105"/>
        </w:rPr>
        <w:t>(Díaz,</w:t>
      </w:r>
      <w:r>
        <w:rPr>
          <w:color w:val="231F20"/>
          <w:spacing w:val="-46"/>
          <w:w w:val="105"/>
        </w:rPr>
        <w:t> </w:t>
      </w:r>
      <w:r>
        <w:rPr>
          <w:color w:val="231F20"/>
          <w:w w:val="105"/>
        </w:rPr>
        <w:t>2003)</w:t>
      </w:r>
    </w:p>
    <w:p>
      <w:pPr>
        <w:pStyle w:val="BodyText"/>
        <w:spacing w:line="259" w:lineRule="auto"/>
        <w:ind w:left="103" w:right="115" w:firstLine="567"/>
        <w:jc w:val="both"/>
      </w:pPr>
      <w:r>
        <w:rPr>
          <w:color w:val="231F20"/>
          <w:spacing w:val="-4"/>
          <w:w w:val="105"/>
        </w:rPr>
        <w:t>Para </w:t>
      </w:r>
      <w:r>
        <w:rPr>
          <w:color w:val="231F20"/>
          <w:w w:val="105"/>
        </w:rPr>
        <w:t>ello existen dos enfoques: el clásico y el neoclásico, clasifi- cación basada en lo que se conoce como razonamiento de equilibrio microeconómico</w:t>
      </w:r>
      <w:r>
        <w:rPr>
          <w:color w:val="231F20"/>
          <w:w w:val="105"/>
          <w:position w:val="7"/>
          <w:sz w:val="12"/>
        </w:rPr>
        <w:t>1 </w:t>
      </w:r>
      <w:r>
        <w:rPr>
          <w:color w:val="231F20"/>
          <w:w w:val="105"/>
        </w:rPr>
        <w:t>.Algunos conceptos han sido modificados aunque en algún</w:t>
      </w:r>
      <w:r>
        <w:rPr>
          <w:color w:val="231F20"/>
          <w:spacing w:val="-8"/>
          <w:w w:val="105"/>
        </w:rPr>
        <w:t> </w:t>
      </w:r>
      <w:r>
        <w:rPr>
          <w:color w:val="231F20"/>
          <w:w w:val="105"/>
        </w:rPr>
        <w:t>tiempo</w:t>
      </w:r>
      <w:r>
        <w:rPr>
          <w:color w:val="231F20"/>
          <w:spacing w:val="-8"/>
          <w:w w:val="105"/>
        </w:rPr>
        <w:t> </w:t>
      </w:r>
      <w:r>
        <w:rPr>
          <w:color w:val="231F20"/>
          <w:w w:val="105"/>
        </w:rPr>
        <w:t>representaron</w:t>
      </w:r>
      <w:r>
        <w:rPr>
          <w:color w:val="231F20"/>
          <w:spacing w:val="-8"/>
          <w:w w:val="105"/>
        </w:rPr>
        <w:t> </w:t>
      </w:r>
      <w:r>
        <w:rPr>
          <w:color w:val="231F20"/>
          <w:w w:val="105"/>
        </w:rPr>
        <w:t>el</w:t>
      </w:r>
      <w:r>
        <w:rPr>
          <w:color w:val="231F20"/>
          <w:spacing w:val="-8"/>
          <w:w w:val="105"/>
        </w:rPr>
        <w:t> </w:t>
      </w:r>
      <w:r>
        <w:rPr>
          <w:color w:val="231F20"/>
          <w:w w:val="105"/>
        </w:rPr>
        <w:t>cimiento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teoría</w:t>
      </w:r>
      <w:r>
        <w:rPr>
          <w:color w:val="231F20"/>
          <w:spacing w:val="-8"/>
          <w:w w:val="105"/>
        </w:rPr>
        <w:t> </w:t>
      </w:r>
      <w:r>
        <w:rPr>
          <w:color w:val="231F20"/>
          <w:w w:val="105"/>
        </w:rPr>
        <w:t>de</w:t>
      </w:r>
      <w:r>
        <w:rPr>
          <w:color w:val="231F20"/>
          <w:spacing w:val="-8"/>
          <w:w w:val="105"/>
        </w:rPr>
        <w:t> </w:t>
      </w:r>
      <w:r>
        <w:rPr>
          <w:color w:val="231F20"/>
          <w:w w:val="105"/>
        </w:rPr>
        <w:t>localización</w:t>
      </w:r>
      <w:r>
        <w:rPr>
          <w:color w:val="231F20"/>
          <w:spacing w:val="-8"/>
          <w:w w:val="105"/>
        </w:rPr>
        <w:t> </w:t>
      </w:r>
      <w:r>
        <w:rPr>
          <w:color w:val="231F20"/>
          <w:w w:val="105"/>
        </w:rPr>
        <w:t>y</w:t>
      </w:r>
      <w:r>
        <w:rPr>
          <w:color w:val="231F20"/>
          <w:spacing w:val="-8"/>
          <w:w w:val="105"/>
        </w:rPr>
        <w:t> </w:t>
      </w:r>
      <w:r>
        <w:rPr>
          <w:color w:val="231F20"/>
          <w:w w:val="105"/>
        </w:rPr>
        <w:t>or- ganización</w:t>
      </w:r>
      <w:r>
        <w:rPr>
          <w:color w:val="231F20"/>
          <w:spacing w:val="-29"/>
          <w:w w:val="105"/>
        </w:rPr>
        <w:t> </w:t>
      </w:r>
      <w:r>
        <w:rPr>
          <w:color w:val="231F20"/>
          <w:w w:val="105"/>
        </w:rPr>
        <w:t>de</w:t>
      </w:r>
      <w:r>
        <w:rPr>
          <w:color w:val="231F20"/>
          <w:spacing w:val="-29"/>
          <w:w w:val="105"/>
        </w:rPr>
        <w:t> </w:t>
      </w:r>
      <w:r>
        <w:rPr>
          <w:color w:val="231F20"/>
          <w:w w:val="105"/>
        </w:rPr>
        <w:t>espacio.</w:t>
      </w:r>
    </w:p>
    <w:p>
      <w:pPr>
        <w:pStyle w:val="BodyText"/>
        <w:spacing w:line="259" w:lineRule="auto"/>
        <w:ind w:left="103" w:right="115" w:firstLine="567"/>
        <w:jc w:val="both"/>
      </w:pPr>
      <w:r>
        <w:rPr>
          <w:color w:val="231F20"/>
          <w:w w:val="105"/>
        </w:rPr>
        <w:t>En cuanto al </w:t>
      </w:r>
      <w:r>
        <w:rPr>
          <w:color w:val="231F20"/>
          <w:spacing w:val="-3"/>
          <w:w w:val="105"/>
        </w:rPr>
        <w:t>primero, </w:t>
      </w:r>
      <w:r>
        <w:rPr>
          <w:color w:val="231F20"/>
          <w:w w:val="105"/>
        </w:rPr>
        <w:t>el enfoque clásico,</w:t>
      </w:r>
      <w:r>
        <w:rPr>
          <w:color w:val="231F20"/>
          <w:spacing w:val="-44"/>
          <w:w w:val="105"/>
        </w:rPr>
        <w:t> </w:t>
      </w:r>
      <w:r>
        <w:rPr>
          <w:color w:val="231F20"/>
          <w:w w:val="105"/>
        </w:rPr>
        <w:t>las </w:t>
      </w:r>
      <w:r>
        <w:rPr>
          <w:color w:val="231F20"/>
          <w:spacing w:val="-2"/>
          <w:w w:val="105"/>
        </w:rPr>
        <w:t>aportaciones </w:t>
      </w:r>
      <w:r>
        <w:rPr>
          <w:color w:val="231F20"/>
          <w:w w:val="105"/>
        </w:rPr>
        <w:t>de </w:t>
      </w:r>
      <w:r>
        <w:rPr>
          <w:color w:val="231F20"/>
          <w:spacing w:val="-4"/>
          <w:w w:val="105"/>
        </w:rPr>
        <w:t>We- </w:t>
      </w:r>
      <w:r>
        <w:rPr>
          <w:color w:val="231F20"/>
          <w:w w:val="105"/>
        </w:rPr>
        <w:t>ber</w:t>
      </w:r>
      <w:r>
        <w:rPr>
          <w:color w:val="231F20"/>
          <w:spacing w:val="-25"/>
          <w:w w:val="105"/>
        </w:rPr>
        <w:t> </w:t>
      </w:r>
      <w:r>
        <w:rPr>
          <w:color w:val="231F20"/>
          <w:w w:val="105"/>
        </w:rPr>
        <w:t>(1909)</w:t>
      </w:r>
      <w:r>
        <w:rPr>
          <w:color w:val="231F20"/>
          <w:spacing w:val="-25"/>
          <w:w w:val="105"/>
        </w:rPr>
        <w:t> </w:t>
      </w:r>
      <w:r>
        <w:rPr>
          <w:color w:val="231F20"/>
          <w:w w:val="105"/>
        </w:rPr>
        <w:t>siguen</w:t>
      </w:r>
      <w:r>
        <w:rPr>
          <w:color w:val="231F20"/>
          <w:spacing w:val="-25"/>
          <w:w w:val="105"/>
        </w:rPr>
        <w:t> </w:t>
      </w:r>
      <w:r>
        <w:rPr>
          <w:color w:val="231F20"/>
          <w:w w:val="105"/>
        </w:rPr>
        <w:t>la</w:t>
      </w:r>
      <w:r>
        <w:rPr>
          <w:color w:val="231F20"/>
          <w:spacing w:val="-25"/>
          <w:w w:val="105"/>
        </w:rPr>
        <w:t> </w:t>
      </w:r>
      <w:r>
        <w:rPr>
          <w:color w:val="231F20"/>
          <w:w w:val="105"/>
        </w:rPr>
        <w:t>línea</w:t>
      </w:r>
      <w:r>
        <w:rPr>
          <w:color w:val="231F20"/>
          <w:spacing w:val="-25"/>
          <w:w w:val="105"/>
        </w:rPr>
        <w:t> </w:t>
      </w:r>
      <w:r>
        <w:rPr>
          <w:color w:val="231F20"/>
          <w:w w:val="105"/>
        </w:rPr>
        <w:t>diseñada</w:t>
      </w:r>
      <w:r>
        <w:rPr>
          <w:color w:val="231F20"/>
          <w:spacing w:val="-25"/>
          <w:w w:val="105"/>
        </w:rPr>
        <w:t> </w:t>
      </w:r>
      <w:r>
        <w:rPr>
          <w:color w:val="231F20"/>
          <w:w w:val="105"/>
        </w:rPr>
        <w:t>por</w:t>
      </w:r>
      <w:r>
        <w:rPr>
          <w:color w:val="231F20"/>
          <w:spacing w:val="-25"/>
          <w:w w:val="105"/>
        </w:rPr>
        <w:t> </w:t>
      </w:r>
      <w:r>
        <w:rPr>
          <w:color w:val="231F20"/>
          <w:w w:val="105"/>
        </w:rPr>
        <w:t>von</w:t>
      </w:r>
      <w:r>
        <w:rPr>
          <w:color w:val="231F20"/>
          <w:spacing w:val="-29"/>
          <w:w w:val="105"/>
        </w:rPr>
        <w:t> </w:t>
      </w:r>
      <w:r>
        <w:rPr>
          <w:color w:val="231F20"/>
          <w:spacing w:val="-3"/>
          <w:w w:val="105"/>
        </w:rPr>
        <w:t>Thünen,</w:t>
      </w:r>
      <w:r>
        <w:rPr>
          <w:color w:val="231F20"/>
          <w:spacing w:val="-30"/>
          <w:w w:val="105"/>
        </w:rPr>
        <w:t> </w:t>
      </w:r>
      <w:r>
        <w:rPr>
          <w:color w:val="231F20"/>
          <w:w w:val="105"/>
        </w:rPr>
        <w:t>quien</w:t>
      </w:r>
      <w:r>
        <w:rPr>
          <w:color w:val="231F20"/>
          <w:spacing w:val="-25"/>
          <w:w w:val="105"/>
        </w:rPr>
        <w:t> </w:t>
      </w:r>
      <w:r>
        <w:rPr>
          <w:color w:val="231F20"/>
          <w:spacing w:val="-3"/>
          <w:w w:val="105"/>
        </w:rPr>
        <w:t>propone</w:t>
      </w:r>
      <w:r>
        <w:rPr>
          <w:color w:val="231F20"/>
          <w:spacing w:val="-25"/>
          <w:w w:val="105"/>
        </w:rPr>
        <w:t> </w:t>
      </w:r>
      <w:r>
        <w:rPr>
          <w:color w:val="231F20"/>
          <w:w w:val="105"/>
        </w:rPr>
        <w:t>como factor</w:t>
      </w:r>
      <w:r>
        <w:rPr>
          <w:color w:val="231F20"/>
          <w:spacing w:val="-7"/>
          <w:w w:val="105"/>
        </w:rPr>
        <w:t> </w:t>
      </w:r>
      <w:r>
        <w:rPr>
          <w:color w:val="231F20"/>
          <w:w w:val="105"/>
        </w:rPr>
        <w:t>adicional</w:t>
      </w:r>
      <w:r>
        <w:rPr>
          <w:color w:val="231F20"/>
          <w:spacing w:val="-7"/>
          <w:w w:val="105"/>
        </w:rPr>
        <w:t> </w:t>
      </w:r>
      <w:r>
        <w:rPr>
          <w:color w:val="231F20"/>
          <w:w w:val="105"/>
        </w:rPr>
        <w:t>de</w:t>
      </w:r>
      <w:r>
        <w:rPr>
          <w:color w:val="231F20"/>
          <w:spacing w:val="-7"/>
          <w:w w:val="105"/>
        </w:rPr>
        <w:t> </w:t>
      </w:r>
      <w:r>
        <w:rPr>
          <w:color w:val="231F20"/>
          <w:w w:val="105"/>
        </w:rPr>
        <w:t>localización</w:t>
      </w:r>
      <w:r>
        <w:rPr>
          <w:color w:val="231F20"/>
          <w:spacing w:val="-7"/>
          <w:w w:val="105"/>
        </w:rPr>
        <w:t> </w:t>
      </w:r>
      <w:r>
        <w:rPr>
          <w:color w:val="231F20"/>
          <w:w w:val="105"/>
        </w:rPr>
        <w:t>las</w:t>
      </w:r>
      <w:r>
        <w:rPr>
          <w:color w:val="231F20"/>
          <w:spacing w:val="-7"/>
          <w:w w:val="105"/>
        </w:rPr>
        <w:t> </w:t>
      </w:r>
      <w:r>
        <w:rPr>
          <w:color w:val="231F20"/>
          <w:w w:val="105"/>
        </w:rPr>
        <w:t>economías</w:t>
      </w:r>
      <w:r>
        <w:rPr>
          <w:color w:val="231F20"/>
          <w:spacing w:val="-7"/>
          <w:w w:val="105"/>
        </w:rPr>
        <w:t> </w:t>
      </w:r>
      <w:r>
        <w:rPr>
          <w:color w:val="231F20"/>
          <w:w w:val="105"/>
        </w:rPr>
        <w:t>de</w:t>
      </w:r>
      <w:r>
        <w:rPr>
          <w:color w:val="231F20"/>
          <w:spacing w:val="-7"/>
          <w:w w:val="105"/>
        </w:rPr>
        <w:t> </w:t>
      </w:r>
      <w:r>
        <w:rPr>
          <w:color w:val="231F20"/>
          <w:spacing w:val="-2"/>
          <w:w w:val="105"/>
        </w:rPr>
        <w:t>aglomeración</w:t>
      </w:r>
      <w:r>
        <w:rPr>
          <w:color w:val="231F20"/>
          <w:spacing w:val="-7"/>
          <w:w w:val="105"/>
        </w:rPr>
        <w:t> </w:t>
      </w:r>
      <w:r>
        <w:rPr>
          <w:color w:val="231F20"/>
          <w:w w:val="105"/>
        </w:rPr>
        <w:t>o</w:t>
      </w:r>
      <w:r>
        <w:rPr>
          <w:color w:val="231F20"/>
          <w:spacing w:val="-7"/>
          <w:w w:val="105"/>
        </w:rPr>
        <w:t> </w:t>
      </w:r>
      <w:r>
        <w:rPr>
          <w:color w:val="231F20"/>
          <w:w w:val="105"/>
        </w:rPr>
        <w:t>desa- glomeración. Marshall, bajo el </w:t>
      </w:r>
      <w:r>
        <w:rPr>
          <w:color w:val="231F20"/>
          <w:spacing w:val="-3"/>
          <w:w w:val="105"/>
        </w:rPr>
        <w:t>amparo </w:t>
      </w:r>
      <w:r>
        <w:rPr>
          <w:color w:val="231F20"/>
          <w:w w:val="105"/>
        </w:rPr>
        <w:t>de las denominadas economías externas,</w:t>
      </w:r>
      <w:r>
        <w:rPr>
          <w:color w:val="231F20"/>
          <w:spacing w:val="-34"/>
          <w:w w:val="105"/>
        </w:rPr>
        <w:t> </w:t>
      </w:r>
      <w:r>
        <w:rPr>
          <w:color w:val="231F20"/>
          <w:w w:val="105"/>
        </w:rPr>
        <w:t>identifica</w:t>
      </w:r>
      <w:r>
        <w:rPr>
          <w:color w:val="231F20"/>
          <w:spacing w:val="-29"/>
          <w:w w:val="105"/>
        </w:rPr>
        <w:t> </w:t>
      </w:r>
      <w:r>
        <w:rPr>
          <w:color w:val="231F20"/>
          <w:spacing w:val="-3"/>
          <w:w w:val="105"/>
        </w:rPr>
        <w:t>tres</w:t>
      </w:r>
      <w:r>
        <w:rPr>
          <w:color w:val="231F20"/>
          <w:spacing w:val="-29"/>
          <w:w w:val="105"/>
        </w:rPr>
        <w:t> </w:t>
      </w:r>
      <w:r>
        <w:rPr>
          <w:color w:val="231F20"/>
          <w:w w:val="105"/>
        </w:rPr>
        <w:t>causas</w:t>
      </w:r>
      <w:r>
        <w:rPr>
          <w:color w:val="231F20"/>
          <w:spacing w:val="-29"/>
          <w:w w:val="105"/>
        </w:rPr>
        <w:t> </w:t>
      </w:r>
      <w:r>
        <w:rPr>
          <w:color w:val="231F20"/>
          <w:w w:val="105"/>
        </w:rPr>
        <w:t>que</w:t>
      </w:r>
      <w:r>
        <w:rPr>
          <w:color w:val="231F20"/>
          <w:spacing w:val="-29"/>
          <w:w w:val="105"/>
        </w:rPr>
        <w:t> </w:t>
      </w:r>
      <w:r>
        <w:rPr>
          <w:color w:val="231F20"/>
          <w:w w:val="105"/>
        </w:rPr>
        <w:t>determinarían</w:t>
      </w:r>
      <w:r>
        <w:rPr>
          <w:color w:val="231F20"/>
          <w:spacing w:val="-29"/>
          <w:w w:val="105"/>
        </w:rPr>
        <w:t> </w:t>
      </w:r>
      <w:r>
        <w:rPr>
          <w:color w:val="231F20"/>
          <w:w w:val="105"/>
        </w:rPr>
        <w:t>la</w:t>
      </w:r>
      <w:r>
        <w:rPr>
          <w:color w:val="231F20"/>
          <w:spacing w:val="-29"/>
          <w:w w:val="105"/>
        </w:rPr>
        <w:t> </w:t>
      </w:r>
      <w:r>
        <w:rPr>
          <w:color w:val="231F20"/>
          <w:spacing w:val="-2"/>
          <w:w w:val="105"/>
        </w:rPr>
        <w:t>concentración</w:t>
      </w:r>
      <w:r>
        <w:rPr>
          <w:color w:val="231F20"/>
          <w:spacing w:val="-29"/>
          <w:w w:val="105"/>
        </w:rPr>
        <w:t> </w:t>
      </w:r>
      <w:r>
        <w:rPr>
          <w:color w:val="231F20"/>
          <w:w w:val="105"/>
        </w:rPr>
        <w:t>de</w:t>
      </w:r>
      <w:r>
        <w:rPr>
          <w:color w:val="231F20"/>
          <w:spacing w:val="-29"/>
          <w:w w:val="105"/>
        </w:rPr>
        <w:t> </w:t>
      </w:r>
      <w:r>
        <w:rPr>
          <w:color w:val="231F20"/>
          <w:spacing w:val="-2"/>
          <w:w w:val="105"/>
        </w:rPr>
        <w:t>las </w:t>
      </w:r>
      <w:r>
        <w:rPr>
          <w:color w:val="231F20"/>
          <w:w w:val="105"/>
        </w:rPr>
        <w:t>actividades</w:t>
      </w:r>
      <w:r>
        <w:rPr>
          <w:color w:val="231F20"/>
          <w:spacing w:val="-21"/>
          <w:w w:val="105"/>
        </w:rPr>
        <w:t> </w:t>
      </w:r>
      <w:r>
        <w:rPr>
          <w:color w:val="231F20"/>
          <w:spacing w:val="-3"/>
          <w:w w:val="105"/>
        </w:rPr>
        <w:t>productivas:</w:t>
      </w:r>
      <w:r>
        <w:rPr>
          <w:color w:val="231F20"/>
          <w:spacing w:val="-21"/>
          <w:w w:val="105"/>
        </w:rPr>
        <w:t> </w:t>
      </w:r>
      <w:r>
        <w:rPr>
          <w:color w:val="231F20"/>
          <w:w w:val="105"/>
        </w:rPr>
        <w:t>disponibilidad</w:t>
      </w:r>
      <w:r>
        <w:rPr>
          <w:color w:val="231F20"/>
          <w:spacing w:val="-21"/>
          <w:w w:val="105"/>
        </w:rPr>
        <w:t> </w:t>
      </w:r>
      <w:r>
        <w:rPr>
          <w:color w:val="231F20"/>
          <w:w w:val="105"/>
        </w:rPr>
        <w:t>de</w:t>
      </w:r>
      <w:r>
        <w:rPr>
          <w:color w:val="231F20"/>
          <w:spacing w:val="-21"/>
          <w:w w:val="105"/>
        </w:rPr>
        <w:t> </w:t>
      </w:r>
      <w:r>
        <w:rPr>
          <w:color w:val="231F20"/>
          <w:w w:val="105"/>
        </w:rPr>
        <w:t>mano</w:t>
      </w:r>
      <w:r>
        <w:rPr>
          <w:color w:val="231F20"/>
          <w:spacing w:val="-21"/>
          <w:w w:val="105"/>
        </w:rPr>
        <w:t> </w:t>
      </w:r>
      <w:r>
        <w:rPr>
          <w:color w:val="231F20"/>
          <w:w w:val="105"/>
        </w:rPr>
        <w:t>de</w:t>
      </w:r>
      <w:r>
        <w:rPr>
          <w:color w:val="231F20"/>
          <w:spacing w:val="-21"/>
          <w:w w:val="105"/>
        </w:rPr>
        <w:t> </w:t>
      </w:r>
      <w:r>
        <w:rPr>
          <w:color w:val="231F20"/>
          <w:w w:val="105"/>
        </w:rPr>
        <w:t>obra</w:t>
      </w:r>
      <w:r>
        <w:rPr>
          <w:color w:val="231F20"/>
          <w:spacing w:val="-21"/>
          <w:w w:val="105"/>
        </w:rPr>
        <w:t> </w:t>
      </w:r>
      <w:r>
        <w:rPr>
          <w:color w:val="231F20"/>
          <w:w w:val="105"/>
        </w:rPr>
        <w:t>cualificada,</w:t>
      </w:r>
      <w:r>
        <w:rPr>
          <w:color w:val="231F20"/>
          <w:spacing w:val="-26"/>
          <w:w w:val="105"/>
        </w:rPr>
        <w:t> </w:t>
      </w:r>
      <w:r>
        <w:rPr>
          <w:color w:val="231F20"/>
          <w:w w:val="105"/>
        </w:rPr>
        <w:t>fac- </w:t>
      </w:r>
      <w:r>
        <w:rPr>
          <w:color w:val="231F20"/>
          <w:spacing w:val="-3"/>
          <w:w w:val="105"/>
        </w:rPr>
        <w:t>tores</w:t>
      </w:r>
      <w:r>
        <w:rPr>
          <w:color w:val="231F20"/>
          <w:spacing w:val="-36"/>
          <w:w w:val="105"/>
        </w:rPr>
        <w:t> </w:t>
      </w:r>
      <w:r>
        <w:rPr>
          <w:color w:val="231F20"/>
          <w:w w:val="105"/>
        </w:rPr>
        <w:t>y</w:t>
      </w:r>
      <w:r>
        <w:rPr>
          <w:color w:val="231F20"/>
          <w:spacing w:val="-36"/>
          <w:w w:val="105"/>
        </w:rPr>
        <w:t> </w:t>
      </w:r>
      <w:r>
        <w:rPr>
          <w:color w:val="231F20"/>
          <w:w w:val="105"/>
        </w:rPr>
        <w:t>servicios</w:t>
      </w:r>
      <w:r>
        <w:rPr>
          <w:color w:val="231F20"/>
          <w:spacing w:val="-36"/>
          <w:w w:val="105"/>
        </w:rPr>
        <w:t> </w:t>
      </w:r>
      <w:r>
        <w:rPr>
          <w:color w:val="231F20"/>
          <w:w w:val="105"/>
        </w:rPr>
        <w:t>específicos</w:t>
      </w:r>
      <w:r>
        <w:rPr>
          <w:color w:val="231F20"/>
          <w:spacing w:val="-36"/>
          <w:w w:val="105"/>
        </w:rPr>
        <w:t> </w:t>
      </w:r>
      <w:r>
        <w:rPr>
          <w:color w:val="231F20"/>
          <w:w w:val="105"/>
        </w:rPr>
        <w:t>a</w:t>
      </w:r>
      <w:r>
        <w:rPr>
          <w:color w:val="231F20"/>
          <w:spacing w:val="-36"/>
          <w:w w:val="105"/>
        </w:rPr>
        <w:t> </w:t>
      </w:r>
      <w:r>
        <w:rPr>
          <w:color w:val="231F20"/>
          <w:w w:val="105"/>
        </w:rPr>
        <w:t>la</w:t>
      </w:r>
      <w:r>
        <w:rPr>
          <w:color w:val="231F20"/>
          <w:spacing w:val="-36"/>
          <w:w w:val="105"/>
        </w:rPr>
        <w:t> </w:t>
      </w:r>
      <w:r>
        <w:rPr>
          <w:color w:val="231F20"/>
          <w:w w:val="105"/>
        </w:rPr>
        <w:t>industria,</w:t>
      </w:r>
      <w:r>
        <w:rPr>
          <w:color w:val="231F20"/>
          <w:spacing w:val="-40"/>
          <w:w w:val="105"/>
        </w:rPr>
        <w:t> </w:t>
      </w:r>
      <w:r>
        <w:rPr>
          <w:color w:val="231F20"/>
          <w:w w:val="105"/>
        </w:rPr>
        <w:t>y</w:t>
      </w:r>
      <w:r>
        <w:rPr>
          <w:color w:val="231F20"/>
          <w:spacing w:val="-36"/>
          <w:w w:val="105"/>
        </w:rPr>
        <w:t> </w:t>
      </w:r>
      <w:r>
        <w:rPr>
          <w:color w:val="231F20"/>
          <w:w w:val="105"/>
        </w:rPr>
        <w:t>la</w:t>
      </w:r>
      <w:r>
        <w:rPr>
          <w:color w:val="231F20"/>
          <w:spacing w:val="-36"/>
          <w:w w:val="105"/>
        </w:rPr>
        <w:t> </w:t>
      </w:r>
      <w:r>
        <w:rPr>
          <w:color w:val="231F20"/>
          <w:w w:val="105"/>
        </w:rPr>
        <w:t>existencia</w:t>
      </w:r>
      <w:r>
        <w:rPr>
          <w:color w:val="231F20"/>
          <w:spacing w:val="-36"/>
          <w:w w:val="105"/>
        </w:rPr>
        <w:t> </w:t>
      </w:r>
      <w:r>
        <w:rPr>
          <w:color w:val="231F20"/>
          <w:w w:val="105"/>
        </w:rPr>
        <w:t>de</w:t>
      </w:r>
      <w:r>
        <w:rPr>
          <w:color w:val="231F20"/>
          <w:spacing w:val="-36"/>
          <w:w w:val="105"/>
        </w:rPr>
        <w:t> </w:t>
      </w:r>
      <w:r>
        <w:rPr>
          <w:color w:val="231F20"/>
          <w:w w:val="105"/>
        </w:rPr>
        <w:t>flujos</w:t>
      </w:r>
      <w:r>
        <w:rPr>
          <w:color w:val="231F20"/>
          <w:spacing w:val="-36"/>
          <w:w w:val="105"/>
        </w:rPr>
        <w:t> </w:t>
      </w:r>
      <w:r>
        <w:rPr>
          <w:color w:val="231F20"/>
          <w:w w:val="105"/>
        </w:rPr>
        <w:t>de</w:t>
      </w:r>
      <w:r>
        <w:rPr>
          <w:color w:val="231F20"/>
          <w:spacing w:val="-36"/>
          <w:w w:val="105"/>
        </w:rPr>
        <w:t> </w:t>
      </w:r>
      <w:r>
        <w:rPr>
          <w:color w:val="231F20"/>
          <w:w w:val="105"/>
        </w:rPr>
        <w:t>cono- cimiento</w:t>
      </w:r>
      <w:r>
        <w:rPr>
          <w:color w:val="231F20"/>
          <w:spacing w:val="-30"/>
          <w:w w:val="105"/>
        </w:rPr>
        <w:t> </w:t>
      </w:r>
      <w:r>
        <w:rPr>
          <w:color w:val="231F20"/>
          <w:spacing w:val="-3"/>
          <w:w w:val="105"/>
        </w:rPr>
        <w:t>entre</w:t>
      </w:r>
      <w:r>
        <w:rPr>
          <w:color w:val="231F20"/>
          <w:spacing w:val="-30"/>
          <w:w w:val="105"/>
        </w:rPr>
        <w:t> </w:t>
      </w:r>
      <w:r>
        <w:rPr>
          <w:color w:val="231F20"/>
          <w:spacing w:val="-3"/>
          <w:w w:val="105"/>
        </w:rPr>
        <w:t>empresas</w:t>
      </w:r>
      <w:r>
        <w:rPr>
          <w:color w:val="231F20"/>
          <w:spacing w:val="-30"/>
          <w:w w:val="105"/>
        </w:rPr>
        <w:t> </w:t>
      </w:r>
      <w:r>
        <w:rPr>
          <w:color w:val="231F20"/>
          <w:w w:val="105"/>
        </w:rPr>
        <w:t>de</w:t>
      </w:r>
      <w:r>
        <w:rPr>
          <w:color w:val="231F20"/>
          <w:spacing w:val="-30"/>
          <w:w w:val="105"/>
        </w:rPr>
        <w:t> </w:t>
      </w:r>
      <w:r>
        <w:rPr>
          <w:color w:val="231F20"/>
          <w:w w:val="105"/>
        </w:rPr>
        <w:t>una</w:t>
      </w:r>
      <w:r>
        <w:rPr>
          <w:color w:val="231F20"/>
          <w:spacing w:val="-30"/>
          <w:w w:val="105"/>
        </w:rPr>
        <w:t> </w:t>
      </w:r>
      <w:r>
        <w:rPr>
          <w:color w:val="231F20"/>
          <w:w w:val="105"/>
        </w:rPr>
        <w:t>misma</w:t>
      </w:r>
      <w:r>
        <w:rPr>
          <w:color w:val="231F20"/>
          <w:spacing w:val="-30"/>
          <w:w w:val="105"/>
        </w:rPr>
        <w:t> </w:t>
      </w:r>
      <w:r>
        <w:rPr>
          <w:color w:val="231F20"/>
          <w:w w:val="105"/>
        </w:rPr>
        <w:t>localización</w:t>
      </w:r>
      <w:r>
        <w:rPr>
          <w:color w:val="231F20"/>
          <w:spacing w:val="-30"/>
          <w:w w:val="105"/>
        </w:rPr>
        <w:t> </w:t>
      </w:r>
      <w:r>
        <w:rPr>
          <w:color w:val="231F20"/>
          <w:w w:val="105"/>
        </w:rPr>
        <w:t>(Gómez</w:t>
      </w:r>
      <w:r>
        <w:rPr>
          <w:color w:val="231F20"/>
          <w:spacing w:val="-30"/>
          <w:w w:val="105"/>
        </w:rPr>
        <w:t> </w:t>
      </w:r>
      <w:r>
        <w:rPr>
          <w:i/>
          <w:color w:val="231F20"/>
          <w:w w:val="105"/>
        </w:rPr>
        <w:t>et</w:t>
      </w:r>
      <w:r>
        <w:rPr>
          <w:i/>
          <w:color w:val="231F20"/>
          <w:spacing w:val="-30"/>
          <w:w w:val="105"/>
        </w:rPr>
        <w:t> </w:t>
      </w:r>
      <w:r>
        <w:rPr>
          <w:i/>
          <w:color w:val="231F20"/>
          <w:w w:val="105"/>
        </w:rPr>
        <w:t>al</w:t>
      </w:r>
      <w:r>
        <w:rPr>
          <w:color w:val="231F20"/>
          <w:w w:val="105"/>
        </w:rPr>
        <w:t>,</w:t>
      </w:r>
      <w:r>
        <w:rPr>
          <w:color w:val="231F20"/>
          <w:spacing w:val="-35"/>
          <w:w w:val="105"/>
        </w:rPr>
        <w:t> </w:t>
      </w:r>
      <w:r>
        <w:rPr>
          <w:color w:val="231F20"/>
          <w:spacing w:val="-2"/>
          <w:w w:val="105"/>
        </w:rPr>
        <w:t>2001).</w:t>
      </w:r>
    </w:p>
    <w:p>
      <w:pPr>
        <w:pStyle w:val="BodyText"/>
        <w:spacing w:line="259" w:lineRule="auto"/>
        <w:ind w:left="103" w:right="108" w:firstLine="567"/>
        <w:jc w:val="both"/>
      </w:pPr>
      <w:r>
        <w:rPr>
          <w:color w:val="231F20"/>
          <w:w w:val="105"/>
        </w:rPr>
        <w:t>La</w:t>
      </w:r>
      <w:r>
        <w:rPr>
          <w:color w:val="231F20"/>
          <w:spacing w:val="-7"/>
          <w:w w:val="105"/>
        </w:rPr>
        <w:t> </w:t>
      </w:r>
      <w:r>
        <w:rPr>
          <w:color w:val="231F20"/>
          <w:w w:val="105"/>
        </w:rPr>
        <w:t>aplicación</w:t>
      </w:r>
      <w:r>
        <w:rPr>
          <w:color w:val="231F20"/>
          <w:spacing w:val="-7"/>
          <w:w w:val="105"/>
        </w:rPr>
        <w:t> </w:t>
      </w:r>
      <w:r>
        <w:rPr>
          <w:color w:val="231F20"/>
          <w:w w:val="105"/>
        </w:rPr>
        <w:t>de</w:t>
      </w:r>
      <w:r>
        <w:rPr>
          <w:color w:val="231F20"/>
          <w:spacing w:val="-7"/>
          <w:w w:val="105"/>
        </w:rPr>
        <w:t> </w:t>
      </w:r>
      <w:r>
        <w:rPr>
          <w:color w:val="231F20"/>
          <w:w w:val="105"/>
        </w:rPr>
        <w:t>este</w:t>
      </w:r>
      <w:r>
        <w:rPr>
          <w:color w:val="231F20"/>
          <w:spacing w:val="-7"/>
          <w:w w:val="105"/>
        </w:rPr>
        <w:t> </w:t>
      </w:r>
      <w:r>
        <w:rPr>
          <w:color w:val="231F20"/>
          <w:w w:val="105"/>
        </w:rPr>
        <w:t>enfoque</w:t>
      </w:r>
      <w:r>
        <w:rPr>
          <w:color w:val="231F20"/>
          <w:spacing w:val="-7"/>
          <w:w w:val="105"/>
        </w:rPr>
        <w:t> </w:t>
      </w:r>
      <w:r>
        <w:rPr>
          <w:color w:val="231F20"/>
          <w:w w:val="105"/>
        </w:rPr>
        <w:t>general</w:t>
      </w:r>
      <w:r>
        <w:rPr>
          <w:color w:val="231F20"/>
          <w:spacing w:val="-7"/>
          <w:w w:val="105"/>
        </w:rPr>
        <w:t> </w:t>
      </w:r>
      <w:r>
        <w:rPr>
          <w:color w:val="231F20"/>
          <w:w w:val="105"/>
        </w:rPr>
        <w:t>de</w:t>
      </w:r>
      <w:r>
        <w:rPr>
          <w:color w:val="231F20"/>
          <w:spacing w:val="-7"/>
          <w:w w:val="105"/>
        </w:rPr>
        <w:t> </w:t>
      </w:r>
      <w:r>
        <w:rPr>
          <w:color w:val="231F20"/>
          <w:w w:val="105"/>
        </w:rPr>
        <w:t>localizaciones</w:t>
      </w:r>
      <w:r>
        <w:rPr>
          <w:color w:val="231F20"/>
          <w:spacing w:val="-7"/>
          <w:w w:val="105"/>
        </w:rPr>
        <w:t> </w:t>
      </w:r>
      <w:r>
        <w:rPr>
          <w:color w:val="231F20"/>
          <w:w w:val="105"/>
        </w:rPr>
        <w:t>de</w:t>
      </w:r>
      <w:r>
        <w:rPr>
          <w:color w:val="231F20"/>
          <w:spacing w:val="-7"/>
          <w:w w:val="105"/>
        </w:rPr>
        <w:t> </w:t>
      </w:r>
      <w:r>
        <w:rPr>
          <w:color w:val="231F20"/>
          <w:w w:val="105"/>
        </w:rPr>
        <w:t>activi- dades</w:t>
      </w:r>
      <w:r>
        <w:rPr>
          <w:color w:val="231F20"/>
          <w:spacing w:val="-12"/>
          <w:w w:val="105"/>
        </w:rPr>
        <w:t> </w:t>
      </w:r>
      <w:r>
        <w:rPr>
          <w:color w:val="231F20"/>
          <w:w w:val="105"/>
        </w:rPr>
        <w:t>productivas</w:t>
      </w:r>
      <w:r>
        <w:rPr>
          <w:color w:val="231F20"/>
          <w:spacing w:val="-12"/>
          <w:w w:val="105"/>
        </w:rPr>
        <w:t> </w:t>
      </w:r>
      <w:r>
        <w:rPr>
          <w:color w:val="231F20"/>
          <w:w w:val="105"/>
        </w:rPr>
        <w:t>al</w:t>
      </w:r>
      <w:r>
        <w:rPr>
          <w:color w:val="231F20"/>
          <w:spacing w:val="-12"/>
          <w:w w:val="105"/>
        </w:rPr>
        <w:t> </w:t>
      </w:r>
      <w:r>
        <w:rPr>
          <w:color w:val="231F20"/>
          <w:w w:val="105"/>
        </w:rPr>
        <w:t>contexto</w:t>
      </w:r>
      <w:r>
        <w:rPr>
          <w:color w:val="231F20"/>
          <w:spacing w:val="-12"/>
          <w:w w:val="105"/>
        </w:rPr>
        <w:t> </w:t>
      </w:r>
      <w:r>
        <w:rPr>
          <w:color w:val="231F20"/>
          <w:w w:val="105"/>
        </w:rPr>
        <w:t>internacional,</w:t>
      </w:r>
      <w:r>
        <w:rPr>
          <w:color w:val="231F20"/>
          <w:spacing w:val="-18"/>
          <w:w w:val="105"/>
        </w:rPr>
        <w:t> </w:t>
      </w:r>
      <w:r>
        <w:rPr>
          <w:color w:val="231F20"/>
          <w:w w:val="105"/>
        </w:rPr>
        <w:t>como</w:t>
      </w:r>
      <w:r>
        <w:rPr>
          <w:color w:val="231F20"/>
          <w:spacing w:val="-12"/>
          <w:w w:val="105"/>
        </w:rPr>
        <w:t> </w:t>
      </w:r>
      <w:r>
        <w:rPr>
          <w:color w:val="231F20"/>
          <w:w w:val="105"/>
        </w:rPr>
        <w:t>marco</w:t>
      </w:r>
      <w:r>
        <w:rPr>
          <w:color w:val="231F20"/>
          <w:spacing w:val="-12"/>
          <w:w w:val="105"/>
        </w:rPr>
        <w:t> </w:t>
      </w:r>
      <w:r>
        <w:rPr>
          <w:color w:val="231F20"/>
          <w:w w:val="105"/>
        </w:rPr>
        <w:t>explicativo</w:t>
      </w:r>
      <w:r>
        <w:rPr>
          <w:color w:val="231F20"/>
          <w:spacing w:val="-12"/>
          <w:w w:val="105"/>
        </w:rPr>
        <w:t> </w:t>
      </w:r>
      <w:r>
        <w:rPr>
          <w:color w:val="231F20"/>
          <w:w w:val="105"/>
        </w:rPr>
        <w:t>del patrón</w:t>
      </w:r>
      <w:r>
        <w:rPr>
          <w:color w:val="231F20"/>
          <w:spacing w:val="-16"/>
          <w:w w:val="105"/>
        </w:rPr>
        <w:t> </w:t>
      </w:r>
      <w:r>
        <w:rPr>
          <w:color w:val="231F20"/>
          <w:w w:val="105"/>
        </w:rPr>
        <w:t>de</w:t>
      </w:r>
      <w:r>
        <w:rPr>
          <w:color w:val="231F20"/>
          <w:spacing w:val="-16"/>
          <w:w w:val="105"/>
        </w:rPr>
        <w:t> </w:t>
      </w:r>
      <w:r>
        <w:rPr>
          <w:color w:val="231F20"/>
          <w:spacing w:val="-3"/>
          <w:w w:val="105"/>
        </w:rPr>
        <w:t>IED,</w:t>
      </w:r>
      <w:r>
        <w:rPr>
          <w:color w:val="231F20"/>
          <w:spacing w:val="-22"/>
          <w:w w:val="105"/>
        </w:rPr>
        <w:t> </w:t>
      </w:r>
      <w:r>
        <w:rPr>
          <w:color w:val="231F20"/>
          <w:w w:val="105"/>
        </w:rPr>
        <w:t>generó</w:t>
      </w:r>
      <w:r>
        <w:rPr>
          <w:color w:val="231F20"/>
          <w:spacing w:val="-16"/>
          <w:w w:val="105"/>
        </w:rPr>
        <w:t> </w:t>
      </w:r>
      <w:r>
        <w:rPr>
          <w:color w:val="231F20"/>
          <w:w w:val="105"/>
        </w:rPr>
        <w:t>estudios</w:t>
      </w:r>
      <w:r>
        <w:rPr>
          <w:color w:val="231F20"/>
          <w:spacing w:val="-16"/>
          <w:w w:val="105"/>
        </w:rPr>
        <w:t> </w:t>
      </w:r>
      <w:r>
        <w:rPr>
          <w:color w:val="231F20"/>
          <w:w w:val="105"/>
        </w:rPr>
        <w:t>y</w:t>
      </w:r>
      <w:r>
        <w:rPr>
          <w:color w:val="231F20"/>
          <w:spacing w:val="-16"/>
          <w:w w:val="105"/>
        </w:rPr>
        <w:t> </w:t>
      </w:r>
      <w:r>
        <w:rPr>
          <w:color w:val="231F20"/>
          <w:w w:val="105"/>
        </w:rPr>
        <w:t>análisis</w:t>
      </w:r>
      <w:r>
        <w:rPr>
          <w:color w:val="231F20"/>
          <w:spacing w:val="-16"/>
          <w:w w:val="105"/>
        </w:rPr>
        <w:t> </w:t>
      </w:r>
      <w:r>
        <w:rPr>
          <w:color w:val="231F20"/>
          <w:w w:val="105"/>
        </w:rPr>
        <w:t>empíricos</w:t>
      </w:r>
      <w:r>
        <w:rPr>
          <w:color w:val="231F20"/>
          <w:spacing w:val="-16"/>
          <w:w w:val="105"/>
        </w:rPr>
        <w:t> </w:t>
      </w:r>
      <w:r>
        <w:rPr>
          <w:color w:val="231F20"/>
          <w:w w:val="105"/>
        </w:rPr>
        <w:t>sobre</w:t>
      </w:r>
      <w:r>
        <w:rPr>
          <w:color w:val="231F20"/>
          <w:spacing w:val="-16"/>
          <w:w w:val="105"/>
        </w:rPr>
        <w:t> </w:t>
      </w:r>
      <w:r>
        <w:rPr>
          <w:color w:val="231F20"/>
          <w:w w:val="105"/>
        </w:rPr>
        <w:t>la</w:t>
      </w:r>
      <w:r>
        <w:rPr>
          <w:color w:val="231F20"/>
          <w:spacing w:val="-16"/>
          <w:w w:val="105"/>
        </w:rPr>
        <w:t> </w:t>
      </w:r>
      <w:r>
        <w:rPr>
          <w:color w:val="231F20"/>
          <w:w w:val="105"/>
        </w:rPr>
        <w:t>importancia de esos factores en la distribución territorial de la </w:t>
      </w:r>
      <w:r>
        <w:rPr>
          <w:color w:val="231F20"/>
          <w:spacing w:val="-3"/>
          <w:w w:val="105"/>
        </w:rPr>
        <w:t>IED. </w:t>
      </w:r>
      <w:r>
        <w:rPr>
          <w:color w:val="231F20"/>
          <w:w w:val="105"/>
        </w:rPr>
        <w:t>En este sentido, Buigues</w:t>
      </w:r>
      <w:r>
        <w:rPr>
          <w:color w:val="231F20"/>
          <w:spacing w:val="-8"/>
          <w:w w:val="105"/>
        </w:rPr>
        <w:t> </w:t>
      </w:r>
      <w:r>
        <w:rPr>
          <w:color w:val="231F20"/>
          <w:w w:val="105"/>
        </w:rPr>
        <w:t>y</w:t>
      </w:r>
      <w:r>
        <w:rPr>
          <w:color w:val="231F20"/>
          <w:spacing w:val="-10"/>
          <w:w w:val="105"/>
        </w:rPr>
        <w:t> </w:t>
      </w:r>
      <w:r>
        <w:rPr>
          <w:color w:val="231F20"/>
          <w:w w:val="105"/>
        </w:rPr>
        <w:t>Jacquemin</w:t>
      </w:r>
      <w:r>
        <w:rPr>
          <w:color w:val="231F20"/>
          <w:spacing w:val="-8"/>
          <w:w w:val="105"/>
        </w:rPr>
        <w:t> </w:t>
      </w:r>
      <w:r>
        <w:rPr>
          <w:color w:val="231F20"/>
          <w:w w:val="105"/>
        </w:rPr>
        <w:t>(1992)</w:t>
      </w:r>
      <w:r>
        <w:rPr>
          <w:color w:val="231F20"/>
          <w:spacing w:val="-8"/>
          <w:w w:val="105"/>
        </w:rPr>
        <w:t> </w:t>
      </w:r>
      <w:r>
        <w:rPr>
          <w:color w:val="231F20"/>
          <w:w w:val="105"/>
        </w:rPr>
        <w:t>destacan</w:t>
      </w:r>
      <w:r>
        <w:rPr>
          <w:color w:val="231F20"/>
          <w:spacing w:val="-8"/>
          <w:w w:val="105"/>
        </w:rPr>
        <w:t> </w:t>
      </w:r>
      <w:r>
        <w:rPr>
          <w:color w:val="231F20"/>
          <w:w w:val="105"/>
        </w:rPr>
        <w:t>la</w:t>
      </w:r>
      <w:r>
        <w:rPr>
          <w:color w:val="231F20"/>
          <w:spacing w:val="-8"/>
          <w:w w:val="105"/>
        </w:rPr>
        <w:t> </w:t>
      </w:r>
      <w:r>
        <w:rPr>
          <w:color w:val="231F20"/>
          <w:w w:val="105"/>
        </w:rPr>
        <w:t>importancia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factores</w:t>
      </w:r>
      <w:r>
        <w:rPr>
          <w:color w:val="231F20"/>
          <w:spacing w:val="-8"/>
          <w:w w:val="105"/>
        </w:rPr>
        <w:t> </w:t>
      </w:r>
      <w:r>
        <w:rPr>
          <w:color w:val="231F20"/>
          <w:w w:val="105"/>
        </w:rPr>
        <w:t>de</w:t>
      </w:r>
    </w:p>
    <w:p>
      <w:pPr>
        <w:pStyle w:val="BodyText"/>
        <w:rPr>
          <w:sz w:val="20"/>
        </w:rPr>
      </w:pPr>
    </w:p>
    <w:p>
      <w:pPr>
        <w:pStyle w:val="BodyText"/>
        <w:spacing w:before="6"/>
        <w:rPr>
          <w:sz w:val="12"/>
        </w:rPr>
      </w:pPr>
      <w:r>
        <w:rPr/>
        <w:pict>
          <v:line style="position:absolute;mso-position-horizontal-relative:page;mso-position-vertical-relative:paragraph;z-index:9808;mso-wrap-distance-left:0;mso-wrap-distance-right:0" from="65.1968pt,9.304344pt" to="178.5828pt,9.304344pt" stroked="true" strokeweight=".25pt" strokecolor="#231f20">
            <w10:wrap type="topAndBottom"/>
          </v:line>
        </w:pict>
      </w:r>
    </w:p>
    <w:p>
      <w:pPr>
        <w:spacing w:line="192" w:lineRule="exact" w:before="7"/>
        <w:ind w:left="103" w:right="115" w:hanging="1"/>
        <w:jc w:val="both"/>
        <w:rPr>
          <w:rFonts w:ascii="Calibri" w:hAnsi="Calibri"/>
          <w:sz w:val="16"/>
        </w:rPr>
      </w:pPr>
      <w:r>
        <w:rPr>
          <w:rFonts w:ascii="Calibri" w:hAnsi="Calibri"/>
          <w:color w:val="414042"/>
          <w:position w:val="5"/>
          <w:sz w:val="9"/>
        </w:rPr>
        <w:t>1  </w:t>
      </w:r>
      <w:r>
        <w:rPr>
          <w:rFonts w:ascii="Calibri" w:hAnsi="Calibri"/>
          <w:color w:val="414042"/>
          <w:sz w:val="16"/>
        </w:rPr>
        <w:t>La teoría clásica de localización en su razón microeconómica está relacionada con un mercado de  trabajo local calificado, la dotación local de servicios especializados y la existencia de conocimientos asociados a un sector </w:t>
      </w:r>
      <w:r>
        <w:rPr>
          <w:rFonts w:ascii="Calibri" w:hAnsi="Calibri"/>
          <w:color w:val="414042"/>
          <w:spacing w:val="17"/>
          <w:sz w:val="16"/>
        </w:rPr>
        <w:t> </w:t>
      </w:r>
      <w:r>
        <w:rPr>
          <w:rFonts w:ascii="Calibri" w:hAnsi="Calibri"/>
          <w:color w:val="414042"/>
          <w:sz w:val="16"/>
        </w:rPr>
        <w:t>determinado.</w:t>
      </w:r>
    </w:p>
    <w:p>
      <w:pPr>
        <w:pStyle w:val="BodyText"/>
        <w:rPr>
          <w:rFonts w:ascii="Calibri"/>
          <w:sz w:val="20"/>
        </w:rPr>
      </w:pPr>
    </w:p>
    <w:p>
      <w:pPr>
        <w:pStyle w:val="BodyText"/>
        <w:spacing w:before="2"/>
        <w:rPr>
          <w:rFonts w:ascii="Calibri"/>
          <w:sz w:val="28"/>
        </w:rPr>
      </w:pPr>
    </w:p>
    <w:p>
      <w:pPr>
        <w:tabs>
          <w:tab w:pos="1317" w:val="left" w:leader="none"/>
        </w:tabs>
        <w:spacing w:before="71"/>
        <w:ind w:left="212" w:right="17" w:firstLine="0"/>
        <w:jc w:val="left"/>
        <w:rPr>
          <w:rFonts w:ascii="Calibri" w:hAnsi="Calibri"/>
          <w:sz w:val="15"/>
        </w:rPr>
      </w:pPr>
      <w:r>
        <w:rPr/>
        <w:pict>
          <v:group style="position:absolute;margin-left:101.817299pt;margin-top:-16.749887pt;width:17.850pt;height:56.5pt;mso-position-horizontal-relative:page;mso-position-vertical-relative:paragraph;z-index:-238096"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position w:val="-5"/>
          <w:sz w:val="20"/>
        </w:rPr>
        <w:t>274</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8048"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275</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tipo local (los cuales repercuten directamente en la eficiencia de la</w:t>
      </w:r>
      <w:r>
        <w:rPr>
          <w:color w:val="231F20"/>
          <w:spacing w:val="-23"/>
          <w:w w:val="105"/>
        </w:rPr>
        <w:t> </w:t>
      </w:r>
      <w:r>
        <w:rPr>
          <w:color w:val="231F20"/>
          <w:w w:val="105"/>
        </w:rPr>
        <w:t>em- presa</w:t>
      </w:r>
      <w:r>
        <w:rPr>
          <w:color w:val="231F20"/>
          <w:spacing w:val="-24"/>
          <w:w w:val="105"/>
        </w:rPr>
        <w:t> </w:t>
      </w:r>
      <w:r>
        <w:rPr>
          <w:color w:val="231F20"/>
          <w:w w:val="105"/>
        </w:rPr>
        <w:t>inversora),</w:t>
      </w:r>
      <w:r>
        <w:rPr>
          <w:color w:val="231F20"/>
          <w:spacing w:val="-29"/>
          <w:w w:val="105"/>
        </w:rPr>
        <w:t> </w:t>
      </w:r>
      <w:r>
        <w:rPr>
          <w:color w:val="231F20"/>
          <w:w w:val="105"/>
        </w:rPr>
        <w:t>así</w:t>
      </w:r>
      <w:r>
        <w:rPr>
          <w:color w:val="231F20"/>
          <w:spacing w:val="-24"/>
          <w:w w:val="105"/>
        </w:rPr>
        <w:t> </w:t>
      </w:r>
      <w:r>
        <w:rPr>
          <w:color w:val="231F20"/>
          <w:w w:val="105"/>
        </w:rPr>
        <w:t>como</w:t>
      </w:r>
      <w:r>
        <w:rPr>
          <w:color w:val="231F20"/>
          <w:spacing w:val="-24"/>
          <w:w w:val="105"/>
        </w:rPr>
        <w:t> </w:t>
      </w:r>
      <w:r>
        <w:rPr>
          <w:color w:val="231F20"/>
          <w:w w:val="105"/>
        </w:rPr>
        <w:t>los</w:t>
      </w:r>
      <w:r>
        <w:rPr>
          <w:color w:val="231F20"/>
          <w:spacing w:val="-24"/>
          <w:w w:val="105"/>
        </w:rPr>
        <w:t> </w:t>
      </w:r>
      <w:r>
        <w:rPr>
          <w:color w:val="231F20"/>
          <w:w w:val="105"/>
        </w:rPr>
        <w:t>derivados</w:t>
      </w:r>
      <w:r>
        <w:rPr>
          <w:color w:val="231F20"/>
          <w:spacing w:val="-24"/>
          <w:w w:val="105"/>
        </w:rPr>
        <w:t> </w:t>
      </w:r>
      <w:r>
        <w:rPr>
          <w:color w:val="231F20"/>
          <w:w w:val="105"/>
        </w:rPr>
        <w:t>del</w:t>
      </w:r>
      <w:r>
        <w:rPr>
          <w:color w:val="231F20"/>
          <w:spacing w:val="-24"/>
          <w:w w:val="105"/>
        </w:rPr>
        <w:t> </w:t>
      </w:r>
      <w:r>
        <w:rPr>
          <w:color w:val="231F20"/>
          <w:w w:val="105"/>
        </w:rPr>
        <w:t>comportamiento</w:t>
      </w:r>
      <w:r>
        <w:rPr>
          <w:color w:val="231F20"/>
          <w:spacing w:val="-24"/>
          <w:w w:val="105"/>
        </w:rPr>
        <w:t> </w:t>
      </w:r>
      <w:r>
        <w:rPr>
          <w:color w:val="231F20"/>
          <w:w w:val="105"/>
        </w:rPr>
        <w:t>estratégico de</w:t>
      </w:r>
      <w:r>
        <w:rPr>
          <w:color w:val="231F20"/>
          <w:spacing w:val="-14"/>
          <w:w w:val="105"/>
        </w:rPr>
        <w:t> </w:t>
      </w:r>
      <w:r>
        <w:rPr>
          <w:color w:val="231F20"/>
          <w:w w:val="105"/>
        </w:rPr>
        <w:t>las</w:t>
      </w:r>
      <w:r>
        <w:rPr>
          <w:color w:val="231F20"/>
          <w:spacing w:val="-14"/>
          <w:w w:val="105"/>
        </w:rPr>
        <w:t> </w:t>
      </w:r>
      <w:r>
        <w:rPr>
          <w:color w:val="231F20"/>
          <w:w w:val="105"/>
        </w:rPr>
        <w:t>empresas,</w:t>
      </w:r>
      <w:r>
        <w:rPr>
          <w:color w:val="231F20"/>
          <w:spacing w:val="-21"/>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objeto</w:t>
      </w:r>
      <w:r>
        <w:rPr>
          <w:color w:val="231F20"/>
          <w:spacing w:val="-14"/>
          <w:w w:val="105"/>
        </w:rPr>
        <w:t> </w:t>
      </w:r>
      <w:r>
        <w:rPr>
          <w:color w:val="231F20"/>
          <w:w w:val="105"/>
        </w:rPr>
        <w:t>de</w:t>
      </w:r>
      <w:r>
        <w:rPr>
          <w:color w:val="231F20"/>
          <w:spacing w:val="-14"/>
          <w:w w:val="105"/>
        </w:rPr>
        <w:t> </w:t>
      </w:r>
      <w:r>
        <w:rPr>
          <w:color w:val="231F20"/>
          <w:w w:val="105"/>
        </w:rPr>
        <w:t>mantener</w:t>
      </w:r>
      <w:r>
        <w:rPr>
          <w:color w:val="231F20"/>
          <w:spacing w:val="-14"/>
          <w:w w:val="105"/>
        </w:rPr>
        <w:t> </w:t>
      </w:r>
      <w:r>
        <w:rPr>
          <w:color w:val="231F20"/>
          <w:w w:val="105"/>
        </w:rPr>
        <w:t>su</w:t>
      </w:r>
      <w:r>
        <w:rPr>
          <w:color w:val="231F20"/>
          <w:spacing w:val="-14"/>
          <w:w w:val="105"/>
        </w:rPr>
        <w:t> </w:t>
      </w:r>
      <w:r>
        <w:rPr>
          <w:color w:val="231F20"/>
          <w:w w:val="105"/>
        </w:rPr>
        <w:t>cuota</w:t>
      </w:r>
      <w:r>
        <w:rPr>
          <w:color w:val="231F20"/>
          <w:spacing w:val="-14"/>
          <w:w w:val="105"/>
        </w:rPr>
        <w:t> </w:t>
      </w:r>
      <w:r>
        <w:rPr>
          <w:color w:val="231F20"/>
          <w:w w:val="105"/>
        </w:rPr>
        <w:t>de</w:t>
      </w:r>
      <w:r>
        <w:rPr>
          <w:color w:val="231F20"/>
          <w:spacing w:val="-14"/>
          <w:w w:val="105"/>
        </w:rPr>
        <w:t> </w:t>
      </w:r>
      <w:r>
        <w:rPr>
          <w:color w:val="231F20"/>
          <w:w w:val="105"/>
        </w:rPr>
        <w:t>mercado.</w:t>
      </w:r>
    </w:p>
    <w:p>
      <w:pPr>
        <w:pStyle w:val="BodyText"/>
        <w:spacing w:line="259" w:lineRule="auto"/>
        <w:ind w:left="117" w:right="121" w:firstLine="567"/>
        <w:jc w:val="both"/>
      </w:pPr>
      <w:r>
        <w:rPr>
          <w:color w:val="231F20"/>
          <w:spacing w:val="-3"/>
          <w:w w:val="105"/>
        </w:rPr>
        <w:t>También </w:t>
      </w:r>
      <w:r>
        <w:rPr>
          <w:color w:val="231F20"/>
          <w:w w:val="105"/>
        </w:rPr>
        <w:t>han surgido extensiones de corte neoclásico que hacen referencia a la existencia de factores como el equilibrio general,</w:t>
      </w:r>
      <w:r>
        <w:rPr>
          <w:color w:val="231F20"/>
          <w:spacing w:val="-11"/>
          <w:w w:val="105"/>
        </w:rPr>
        <w:t> </w:t>
      </w:r>
      <w:r>
        <w:rPr>
          <w:color w:val="231F20"/>
          <w:w w:val="105"/>
        </w:rPr>
        <w:t>costos de espacio, localización de distribuidores, rentabilidad del margen de espacio,</w:t>
      </w:r>
      <w:r>
        <w:rPr>
          <w:color w:val="231F20"/>
          <w:spacing w:val="-22"/>
          <w:w w:val="105"/>
        </w:rPr>
        <w:t> </w:t>
      </w:r>
      <w:r>
        <w:rPr>
          <w:color w:val="231F20"/>
          <w:w w:val="105"/>
        </w:rPr>
        <w:t>análisis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situación,</w:t>
      </w:r>
      <w:r>
        <w:rPr>
          <w:color w:val="231F20"/>
          <w:spacing w:val="-22"/>
          <w:w w:val="105"/>
        </w:rPr>
        <w:t> </w:t>
      </w:r>
      <w:r>
        <w:rPr>
          <w:color w:val="231F20"/>
          <w:w w:val="105"/>
        </w:rPr>
        <w:t>selección</w:t>
      </w:r>
      <w:r>
        <w:rPr>
          <w:color w:val="231F20"/>
          <w:spacing w:val="-18"/>
          <w:w w:val="105"/>
        </w:rPr>
        <w:t> </w:t>
      </w:r>
      <w:r>
        <w:rPr>
          <w:color w:val="231F20"/>
          <w:w w:val="105"/>
        </w:rPr>
        <w:t>natural</w:t>
      </w:r>
      <w:r>
        <w:rPr>
          <w:color w:val="231F20"/>
          <w:spacing w:val="-18"/>
          <w:w w:val="105"/>
        </w:rPr>
        <w:t> </w:t>
      </w:r>
      <w:r>
        <w:rPr>
          <w:color w:val="231F20"/>
          <w:w w:val="105"/>
        </w:rPr>
        <w:t>de</w:t>
      </w:r>
      <w:r>
        <w:rPr>
          <w:color w:val="231F20"/>
          <w:spacing w:val="-18"/>
          <w:w w:val="105"/>
        </w:rPr>
        <w:t> </w:t>
      </w:r>
      <w:r>
        <w:rPr>
          <w:color w:val="231F20"/>
          <w:w w:val="105"/>
        </w:rPr>
        <w:t>argumentos</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hi- pótesis</w:t>
      </w:r>
      <w:r>
        <w:rPr>
          <w:color w:val="231F20"/>
          <w:spacing w:val="-33"/>
          <w:w w:val="105"/>
        </w:rPr>
        <w:t> </w:t>
      </w:r>
      <w:r>
        <w:rPr>
          <w:color w:val="231F20"/>
          <w:w w:val="105"/>
        </w:rPr>
        <w:t>(Tiebout,</w:t>
      </w:r>
      <w:r>
        <w:rPr>
          <w:color w:val="231F20"/>
          <w:spacing w:val="-37"/>
          <w:w w:val="105"/>
        </w:rPr>
        <w:t> </w:t>
      </w:r>
      <w:r>
        <w:rPr>
          <w:color w:val="231F20"/>
          <w:w w:val="105"/>
        </w:rPr>
        <w:t>1956).</w:t>
      </w:r>
    </w:p>
    <w:p>
      <w:pPr>
        <w:pStyle w:val="BodyText"/>
        <w:rPr>
          <w:sz w:val="20"/>
        </w:rPr>
      </w:pPr>
    </w:p>
    <w:p>
      <w:pPr>
        <w:pStyle w:val="BodyText"/>
        <w:spacing w:before="7"/>
        <w:rPr>
          <w:sz w:val="18"/>
        </w:rPr>
      </w:pPr>
    </w:p>
    <w:p>
      <w:pPr>
        <w:pStyle w:val="Heading2"/>
      </w:pPr>
      <w:r>
        <w:rPr>
          <w:color w:val="231F20"/>
        </w:rPr>
        <w:t>Teorías sobre determinantes de la competitividad</w:t>
      </w:r>
    </w:p>
    <w:p>
      <w:pPr>
        <w:pStyle w:val="BodyText"/>
        <w:rPr>
          <w:b/>
          <w:sz w:val="22"/>
        </w:rPr>
      </w:pPr>
    </w:p>
    <w:p>
      <w:pPr>
        <w:pStyle w:val="BodyText"/>
        <w:spacing w:line="259" w:lineRule="auto" w:before="160"/>
        <w:ind w:left="117" w:right="121"/>
        <w:jc w:val="both"/>
      </w:pPr>
      <w:r>
        <w:rPr>
          <w:color w:val="231F20"/>
          <w:w w:val="105"/>
        </w:rPr>
        <w:t>Los</w:t>
      </w:r>
      <w:r>
        <w:rPr>
          <w:color w:val="231F20"/>
          <w:spacing w:val="-32"/>
          <w:w w:val="105"/>
        </w:rPr>
        <w:t> </w:t>
      </w:r>
      <w:r>
        <w:rPr>
          <w:color w:val="231F20"/>
          <w:w w:val="105"/>
        </w:rPr>
        <w:t>economistas</w:t>
      </w:r>
      <w:r>
        <w:rPr>
          <w:color w:val="231F20"/>
          <w:spacing w:val="-32"/>
          <w:w w:val="105"/>
        </w:rPr>
        <w:t> </w:t>
      </w:r>
      <w:r>
        <w:rPr>
          <w:color w:val="231F20"/>
          <w:w w:val="105"/>
        </w:rPr>
        <w:t>clásicos</w:t>
      </w:r>
      <w:r>
        <w:rPr>
          <w:color w:val="231F20"/>
          <w:spacing w:val="-32"/>
          <w:w w:val="105"/>
        </w:rPr>
        <w:t> </w:t>
      </w:r>
      <w:r>
        <w:rPr>
          <w:color w:val="231F20"/>
          <w:w w:val="105"/>
        </w:rPr>
        <w:t>como</w:t>
      </w:r>
      <w:r>
        <w:rPr>
          <w:color w:val="231F20"/>
          <w:spacing w:val="-35"/>
          <w:w w:val="105"/>
        </w:rPr>
        <w:t> </w:t>
      </w:r>
      <w:r>
        <w:rPr>
          <w:color w:val="231F20"/>
          <w:w w:val="105"/>
        </w:rPr>
        <w:t>Adam</w:t>
      </w:r>
      <w:r>
        <w:rPr>
          <w:color w:val="231F20"/>
          <w:spacing w:val="-32"/>
          <w:w w:val="105"/>
        </w:rPr>
        <w:t> </w:t>
      </w:r>
      <w:r>
        <w:rPr>
          <w:color w:val="231F20"/>
          <w:w w:val="105"/>
        </w:rPr>
        <w:t>Smith</w:t>
      </w:r>
      <w:r>
        <w:rPr>
          <w:color w:val="231F20"/>
          <w:spacing w:val="-32"/>
          <w:w w:val="105"/>
        </w:rPr>
        <w:t> </w:t>
      </w:r>
      <w:r>
        <w:rPr>
          <w:color w:val="231F20"/>
          <w:w w:val="105"/>
        </w:rPr>
        <w:t>en</w:t>
      </w:r>
      <w:r>
        <w:rPr>
          <w:color w:val="231F20"/>
          <w:spacing w:val="-32"/>
          <w:w w:val="105"/>
        </w:rPr>
        <w:t> </w:t>
      </w:r>
      <w:r>
        <w:rPr>
          <w:color w:val="231F20"/>
          <w:w w:val="105"/>
        </w:rPr>
        <w:t>1776</w:t>
      </w:r>
      <w:r>
        <w:rPr>
          <w:color w:val="231F20"/>
          <w:spacing w:val="-32"/>
          <w:w w:val="105"/>
        </w:rPr>
        <w:t> </w:t>
      </w:r>
      <w:r>
        <w:rPr>
          <w:color w:val="231F20"/>
          <w:w w:val="105"/>
        </w:rPr>
        <w:t>con</w:t>
      </w:r>
      <w:r>
        <w:rPr>
          <w:color w:val="231F20"/>
          <w:spacing w:val="-32"/>
          <w:w w:val="105"/>
        </w:rPr>
        <w:t> </w:t>
      </w:r>
      <w:r>
        <w:rPr>
          <w:color w:val="231F20"/>
          <w:w w:val="105"/>
        </w:rPr>
        <w:t>la</w:t>
      </w:r>
      <w:r>
        <w:rPr>
          <w:color w:val="231F20"/>
          <w:spacing w:val="-32"/>
          <w:w w:val="105"/>
        </w:rPr>
        <w:t> </w:t>
      </w:r>
      <w:r>
        <w:rPr>
          <w:color w:val="231F20"/>
          <w:w w:val="105"/>
        </w:rPr>
        <w:t>teoría</w:t>
      </w:r>
      <w:r>
        <w:rPr>
          <w:color w:val="231F20"/>
          <w:spacing w:val="-32"/>
          <w:w w:val="105"/>
        </w:rPr>
        <w:t> </w:t>
      </w:r>
      <w:r>
        <w:rPr>
          <w:color w:val="231F20"/>
          <w:w w:val="105"/>
        </w:rPr>
        <w:t>de</w:t>
      </w:r>
      <w:r>
        <w:rPr>
          <w:color w:val="231F20"/>
          <w:spacing w:val="-32"/>
          <w:w w:val="105"/>
        </w:rPr>
        <w:t> </w:t>
      </w:r>
      <w:r>
        <w:rPr>
          <w:color w:val="231F20"/>
          <w:w w:val="105"/>
        </w:rPr>
        <w:t>ven- tajas</w:t>
      </w:r>
      <w:r>
        <w:rPr>
          <w:color w:val="231F20"/>
          <w:spacing w:val="-4"/>
          <w:w w:val="105"/>
        </w:rPr>
        <w:t> </w:t>
      </w:r>
      <w:r>
        <w:rPr>
          <w:color w:val="231F20"/>
          <w:w w:val="105"/>
        </w:rPr>
        <w:t>absolutas</w:t>
      </w:r>
      <w:r>
        <w:rPr>
          <w:color w:val="231F20"/>
          <w:spacing w:val="-4"/>
          <w:w w:val="105"/>
        </w:rPr>
        <w:t> </w:t>
      </w:r>
      <w:r>
        <w:rPr>
          <w:color w:val="231F20"/>
          <w:w w:val="105"/>
        </w:rPr>
        <w:t>y</w:t>
      </w:r>
      <w:r>
        <w:rPr>
          <w:color w:val="231F20"/>
          <w:spacing w:val="-4"/>
          <w:w w:val="105"/>
        </w:rPr>
        <w:t> </w:t>
      </w:r>
      <w:r>
        <w:rPr>
          <w:color w:val="231F20"/>
          <w:w w:val="105"/>
        </w:rPr>
        <w:t>David</w:t>
      </w:r>
      <w:r>
        <w:rPr>
          <w:color w:val="231F20"/>
          <w:spacing w:val="-4"/>
          <w:w w:val="105"/>
        </w:rPr>
        <w:t> </w:t>
      </w:r>
      <w:r>
        <w:rPr>
          <w:color w:val="231F20"/>
          <w:w w:val="105"/>
        </w:rPr>
        <w:t>Ricardo</w:t>
      </w:r>
      <w:r>
        <w:rPr>
          <w:color w:val="231F20"/>
          <w:spacing w:val="-4"/>
          <w:w w:val="105"/>
        </w:rPr>
        <w:t> </w:t>
      </w:r>
      <w:r>
        <w:rPr>
          <w:color w:val="231F20"/>
          <w:w w:val="105"/>
        </w:rPr>
        <w:t>en</w:t>
      </w:r>
      <w:r>
        <w:rPr>
          <w:color w:val="231F20"/>
          <w:spacing w:val="-4"/>
          <w:w w:val="105"/>
        </w:rPr>
        <w:t> </w:t>
      </w:r>
      <w:r>
        <w:rPr>
          <w:color w:val="231F20"/>
          <w:w w:val="105"/>
        </w:rPr>
        <w:t>1823</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teoría</w:t>
      </w:r>
      <w:r>
        <w:rPr>
          <w:color w:val="231F20"/>
          <w:spacing w:val="-4"/>
          <w:w w:val="105"/>
        </w:rPr>
        <w:t> </w:t>
      </w:r>
      <w:r>
        <w:rPr>
          <w:color w:val="231F20"/>
          <w:w w:val="105"/>
        </w:rPr>
        <w:t>de</w:t>
      </w:r>
      <w:r>
        <w:rPr>
          <w:color w:val="231F20"/>
          <w:spacing w:val="-4"/>
          <w:w w:val="105"/>
        </w:rPr>
        <w:t> </w:t>
      </w:r>
      <w:r>
        <w:rPr>
          <w:color w:val="231F20"/>
          <w:w w:val="105"/>
        </w:rPr>
        <w:t>ventajas</w:t>
      </w:r>
      <w:r>
        <w:rPr>
          <w:color w:val="231F20"/>
          <w:spacing w:val="-4"/>
          <w:w w:val="105"/>
        </w:rPr>
        <w:t> </w:t>
      </w:r>
      <w:r>
        <w:rPr>
          <w:color w:val="231F20"/>
          <w:w w:val="105"/>
        </w:rPr>
        <w:t>com- parativas,</w:t>
      </w:r>
      <w:r>
        <w:rPr>
          <w:color w:val="231F20"/>
          <w:spacing w:val="-10"/>
          <w:w w:val="105"/>
        </w:rPr>
        <w:t> </w:t>
      </w:r>
      <w:r>
        <w:rPr>
          <w:color w:val="231F20"/>
          <w:w w:val="105"/>
        </w:rPr>
        <w:t>partían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idea</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comercio</w:t>
      </w:r>
      <w:r>
        <w:rPr>
          <w:color w:val="231F20"/>
          <w:spacing w:val="-5"/>
          <w:w w:val="105"/>
        </w:rPr>
        <w:t> </w:t>
      </w:r>
      <w:r>
        <w:rPr>
          <w:color w:val="231F20"/>
          <w:w w:val="105"/>
        </w:rPr>
        <w:t>ofrece</w:t>
      </w:r>
      <w:r>
        <w:rPr>
          <w:color w:val="231F20"/>
          <w:spacing w:val="-5"/>
          <w:w w:val="105"/>
        </w:rPr>
        <w:t> </w:t>
      </w:r>
      <w:r>
        <w:rPr>
          <w:color w:val="231F20"/>
          <w:w w:val="105"/>
        </w:rPr>
        <w:t>oportunidades</w:t>
      </w:r>
      <w:r>
        <w:rPr>
          <w:color w:val="231F20"/>
          <w:spacing w:val="-5"/>
          <w:w w:val="105"/>
        </w:rPr>
        <w:t> </w:t>
      </w:r>
      <w:r>
        <w:rPr>
          <w:color w:val="231F20"/>
          <w:w w:val="105"/>
        </w:rPr>
        <w:t>a todos los países para mejorar su riqueza. Ambos autores</w:t>
      </w:r>
      <w:r>
        <w:rPr>
          <w:color w:val="231F20"/>
          <w:spacing w:val="-37"/>
          <w:w w:val="105"/>
        </w:rPr>
        <w:t> </w:t>
      </w:r>
      <w:r>
        <w:rPr>
          <w:color w:val="231F20"/>
          <w:w w:val="105"/>
        </w:rPr>
        <w:t>determinaron que</w:t>
      </w:r>
      <w:r>
        <w:rPr>
          <w:color w:val="231F20"/>
          <w:spacing w:val="-20"/>
          <w:w w:val="105"/>
        </w:rPr>
        <w:t> </w:t>
      </w:r>
      <w:r>
        <w:rPr>
          <w:color w:val="231F20"/>
          <w:w w:val="105"/>
        </w:rPr>
        <w:t>las</w:t>
      </w:r>
      <w:r>
        <w:rPr>
          <w:color w:val="231F20"/>
          <w:spacing w:val="-20"/>
          <w:w w:val="105"/>
        </w:rPr>
        <w:t> </w:t>
      </w:r>
      <w:r>
        <w:rPr>
          <w:color w:val="231F20"/>
          <w:w w:val="105"/>
        </w:rPr>
        <w:t>ventajas</w:t>
      </w:r>
      <w:r>
        <w:rPr>
          <w:color w:val="231F20"/>
          <w:spacing w:val="-20"/>
          <w:w w:val="105"/>
        </w:rPr>
        <w:t> </w:t>
      </w:r>
      <w:r>
        <w:rPr>
          <w:color w:val="231F20"/>
          <w:w w:val="105"/>
        </w:rPr>
        <w:t>de</w:t>
      </w:r>
      <w:r>
        <w:rPr>
          <w:color w:val="231F20"/>
          <w:spacing w:val="-20"/>
          <w:w w:val="105"/>
        </w:rPr>
        <w:t> </w:t>
      </w:r>
      <w:r>
        <w:rPr>
          <w:color w:val="231F20"/>
          <w:w w:val="105"/>
        </w:rPr>
        <w:t>producción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países</w:t>
      </w:r>
      <w:r>
        <w:rPr>
          <w:color w:val="231F20"/>
          <w:spacing w:val="-20"/>
          <w:w w:val="105"/>
        </w:rPr>
        <w:t> </w:t>
      </w:r>
      <w:r>
        <w:rPr>
          <w:color w:val="231F20"/>
          <w:w w:val="105"/>
        </w:rPr>
        <w:t>se</w:t>
      </w:r>
      <w:r>
        <w:rPr>
          <w:color w:val="231F20"/>
          <w:spacing w:val="-20"/>
          <w:w w:val="105"/>
        </w:rPr>
        <w:t> </w:t>
      </w:r>
      <w:r>
        <w:rPr>
          <w:color w:val="231F20"/>
          <w:w w:val="105"/>
        </w:rPr>
        <w:t>encuentran</w:t>
      </w:r>
      <w:r>
        <w:rPr>
          <w:color w:val="231F20"/>
          <w:spacing w:val="-20"/>
          <w:w w:val="105"/>
        </w:rPr>
        <w:t> </w:t>
      </w:r>
      <w:r>
        <w:rPr>
          <w:color w:val="231F20"/>
          <w:w w:val="105"/>
        </w:rPr>
        <w:t>inmersas</w:t>
      </w:r>
      <w:r>
        <w:rPr>
          <w:color w:val="231F20"/>
          <w:spacing w:val="-20"/>
          <w:w w:val="105"/>
        </w:rPr>
        <w:t> </w:t>
      </w:r>
      <w:r>
        <w:rPr>
          <w:color w:val="231F20"/>
          <w:w w:val="105"/>
        </w:rPr>
        <w:t>en aspectos</w:t>
      </w:r>
      <w:r>
        <w:rPr>
          <w:color w:val="231F20"/>
          <w:spacing w:val="-16"/>
          <w:w w:val="105"/>
        </w:rPr>
        <w:t> </w:t>
      </w:r>
      <w:r>
        <w:rPr>
          <w:color w:val="231F20"/>
          <w:w w:val="105"/>
        </w:rPr>
        <w:t>técnicos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producción</w:t>
      </w:r>
      <w:r>
        <w:rPr>
          <w:color w:val="231F20"/>
          <w:spacing w:val="-16"/>
          <w:w w:val="105"/>
        </w:rPr>
        <w:t> </w:t>
      </w:r>
      <w:r>
        <w:rPr>
          <w:color w:val="231F20"/>
          <w:w w:val="105"/>
        </w:rPr>
        <w:t>de</w:t>
      </w:r>
      <w:r>
        <w:rPr>
          <w:color w:val="231F20"/>
          <w:spacing w:val="-16"/>
          <w:w w:val="105"/>
        </w:rPr>
        <w:t> </w:t>
      </w:r>
      <w:r>
        <w:rPr>
          <w:color w:val="231F20"/>
          <w:w w:val="105"/>
        </w:rPr>
        <w:t>bienes</w:t>
      </w:r>
      <w:r>
        <w:rPr>
          <w:color w:val="231F20"/>
          <w:spacing w:val="-16"/>
          <w:w w:val="105"/>
        </w:rPr>
        <w:t> </w:t>
      </w:r>
      <w:r>
        <w:rPr>
          <w:color w:val="231F20"/>
          <w:w w:val="105"/>
        </w:rPr>
        <w:t>y</w:t>
      </w:r>
      <w:r>
        <w:rPr>
          <w:color w:val="231F20"/>
          <w:spacing w:val="-16"/>
          <w:w w:val="105"/>
        </w:rPr>
        <w:t> </w:t>
      </w:r>
      <w:r>
        <w:rPr>
          <w:color w:val="231F20"/>
          <w:w w:val="105"/>
        </w:rPr>
        <w:t>servicios,</w:t>
      </w:r>
      <w:r>
        <w:rPr>
          <w:color w:val="231F20"/>
          <w:spacing w:val="-21"/>
          <w:w w:val="105"/>
        </w:rPr>
        <w:t> </w:t>
      </w:r>
      <w:r>
        <w:rPr>
          <w:color w:val="231F20"/>
          <w:w w:val="105"/>
        </w:rPr>
        <w:t>sin</w:t>
      </w:r>
      <w:r>
        <w:rPr>
          <w:color w:val="231F20"/>
          <w:spacing w:val="-16"/>
          <w:w w:val="105"/>
        </w:rPr>
        <w:t> </w:t>
      </w:r>
      <w:r>
        <w:rPr>
          <w:color w:val="231F20"/>
          <w:w w:val="105"/>
        </w:rPr>
        <w:t>preocupar- se</w:t>
      </w:r>
      <w:r>
        <w:rPr>
          <w:color w:val="231F20"/>
          <w:spacing w:val="-13"/>
          <w:w w:val="105"/>
        </w:rPr>
        <w:t> </w:t>
      </w:r>
      <w:r>
        <w:rPr>
          <w:color w:val="231F20"/>
          <w:w w:val="105"/>
        </w:rPr>
        <w:t>en</w:t>
      </w:r>
      <w:r>
        <w:rPr>
          <w:color w:val="231F20"/>
          <w:spacing w:val="-13"/>
          <w:w w:val="105"/>
        </w:rPr>
        <w:t> </w:t>
      </w:r>
      <w:r>
        <w:rPr>
          <w:color w:val="231F20"/>
          <w:w w:val="105"/>
        </w:rPr>
        <w:t>todo</w:t>
      </w:r>
      <w:r>
        <w:rPr>
          <w:color w:val="231F20"/>
          <w:spacing w:val="-13"/>
          <w:w w:val="105"/>
        </w:rPr>
        <w:t> </w:t>
      </w:r>
      <w:r>
        <w:rPr>
          <w:color w:val="231F20"/>
          <w:w w:val="105"/>
        </w:rPr>
        <w:t>caso,</w:t>
      </w:r>
      <w:r>
        <w:rPr>
          <w:color w:val="231F20"/>
          <w:spacing w:val="-18"/>
          <w:w w:val="105"/>
        </w:rPr>
        <w:t> </w:t>
      </w:r>
      <w:r>
        <w:rPr>
          <w:color w:val="231F20"/>
          <w:w w:val="105"/>
        </w:rPr>
        <w:t>en</w:t>
      </w:r>
      <w:r>
        <w:rPr>
          <w:color w:val="231F20"/>
          <w:spacing w:val="-13"/>
          <w:w w:val="105"/>
        </w:rPr>
        <w:t> </w:t>
      </w:r>
      <w:r>
        <w:rPr>
          <w:color w:val="231F20"/>
          <w:w w:val="105"/>
        </w:rPr>
        <w:t>determinar</w:t>
      </w:r>
      <w:r>
        <w:rPr>
          <w:color w:val="231F20"/>
          <w:spacing w:val="-13"/>
          <w:w w:val="105"/>
        </w:rPr>
        <w:t> </w:t>
      </w:r>
      <w:r>
        <w:rPr>
          <w:color w:val="231F20"/>
          <w:w w:val="105"/>
        </w:rPr>
        <w:t>las</w:t>
      </w:r>
      <w:r>
        <w:rPr>
          <w:color w:val="231F20"/>
          <w:spacing w:val="-13"/>
          <w:w w:val="105"/>
        </w:rPr>
        <w:t> </w:t>
      </w:r>
      <w:r>
        <w:rPr>
          <w:color w:val="231F20"/>
          <w:w w:val="105"/>
        </w:rPr>
        <w:t>razones</w:t>
      </w:r>
      <w:r>
        <w:rPr>
          <w:color w:val="231F20"/>
          <w:spacing w:val="-13"/>
          <w:w w:val="105"/>
        </w:rPr>
        <w:t> </w:t>
      </w:r>
      <w:r>
        <w:rPr>
          <w:color w:val="231F20"/>
          <w:w w:val="105"/>
        </w:rPr>
        <w:t>que</w:t>
      </w:r>
      <w:r>
        <w:rPr>
          <w:color w:val="231F20"/>
          <w:spacing w:val="-13"/>
          <w:w w:val="105"/>
        </w:rPr>
        <w:t> </w:t>
      </w:r>
      <w:r>
        <w:rPr>
          <w:color w:val="231F20"/>
          <w:w w:val="105"/>
        </w:rPr>
        <w:t>motivan</w:t>
      </w:r>
      <w:r>
        <w:rPr>
          <w:color w:val="231F20"/>
          <w:spacing w:val="-13"/>
          <w:w w:val="105"/>
        </w:rPr>
        <w:t> </w:t>
      </w:r>
      <w:r>
        <w:rPr>
          <w:color w:val="231F20"/>
          <w:w w:val="105"/>
        </w:rPr>
        <w:t>la</w:t>
      </w:r>
      <w:r>
        <w:rPr>
          <w:color w:val="231F20"/>
          <w:spacing w:val="-13"/>
          <w:w w:val="105"/>
        </w:rPr>
        <w:t> </w:t>
      </w:r>
      <w:r>
        <w:rPr>
          <w:color w:val="231F20"/>
          <w:w w:val="105"/>
        </w:rPr>
        <w:t>existencia</w:t>
      </w:r>
      <w:r>
        <w:rPr>
          <w:color w:val="231F20"/>
          <w:spacing w:val="-13"/>
          <w:w w:val="105"/>
        </w:rPr>
        <w:t> </w:t>
      </w:r>
      <w:r>
        <w:rPr>
          <w:color w:val="231F20"/>
          <w:w w:val="105"/>
        </w:rPr>
        <w:t>de dichos</w:t>
      </w:r>
      <w:r>
        <w:rPr>
          <w:color w:val="231F20"/>
          <w:spacing w:val="-43"/>
          <w:w w:val="105"/>
        </w:rPr>
        <w:t> </w:t>
      </w:r>
      <w:r>
        <w:rPr>
          <w:color w:val="231F20"/>
          <w:w w:val="105"/>
        </w:rPr>
        <w:t>factores</w:t>
      </w:r>
      <w:r>
        <w:rPr>
          <w:color w:val="231F20"/>
          <w:spacing w:val="-43"/>
          <w:w w:val="105"/>
        </w:rPr>
        <w:t> </w:t>
      </w:r>
      <w:r>
        <w:rPr>
          <w:color w:val="231F20"/>
          <w:w w:val="105"/>
        </w:rPr>
        <w:t>(Schumpeter,</w:t>
      </w:r>
      <w:r>
        <w:rPr>
          <w:color w:val="231F20"/>
          <w:spacing w:val="-45"/>
          <w:w w:val="105"/>
        </w:rPr>
        <w:t> </w:t>
      </w:r>
      <w:r>
        <w:rPr>
          <w:color w:val="231F20"/>
          <w:w w:val="105"/>
        </w:rPr>
        <w:t>1954).</w:t>
      </w:r>
    </w:p>
    <w:p>
      <w:pPr>
        <w:pStyle w:val="BodyText"/>
        <w:spacing w:line="259" w:lineRule="auto"/>
        <w:ind w:left="117" w:right="121" w:firstLine="567"/>
        <w:jc w:val="both"/>
      </w:pPr>
      <w:r>
        <w:rPr>
          <w:color w:val="231F20"/>
          <w:w w:val="105"/>
        </w:rPr>
        <w:t>En la primera parte del siglo XX surge la contribución de dos au- tores</w:t>
      </w:r>
      <w:r>
        <w:rPr>
          <w:color w:val="231F20"/>
          <w:spacing w:val="-9"/>
          <w:w w:val="105"/>
        </w:rPr>
        <w:t> </w:t>
      </w:r>
      <w:r>
        <w:rPr>
          <w:color w:val="231F20"/>
          <w:w w:val="105"/>
        </w:rPr>
        <w:t>que</w:t>
      </w:r>
      <w:r>
        <w:rPr>
          <w:color w:val="231F20"/>
          <w:spacing w:val="-9"/>
          <w:w w:val="105"/>
        </w:rPr>
        <w:t> </w:t>
      </w:r>
      <w:r>
        <w:rPr>
          <w:color w:val="231F20"/>
          <w:w w:val="105"/>
        </w:rPr>
        <w:t>toman</w:t>
      </w:r>
      <w:r>
        <w:rPr>
          <w:color w:val="231F20"/>
          <w:spacing w:val="-9"/>
          <w:w w:val="105"/>
        </w:rPr>
        <w:t> </w:t>
      </w:r>
      <w:r>
        <w:rPr>
          <w:color w:val="231F20"/>
          <w:w w:val="105"/>
        </w:rPr>
        <w:t>como</w:t>
      </w:r>
      <w:r>
        <w:rPr>
          <w:color w:val="231F20"/>
          <w:spacing w:val="-9"/>
          <w:w w:val="105"/>
        </w:rPr>
        <w:t> </w:t>
      </w:r>
      <w:r>
        <w:rPr>
          <w:color w:val="231F20"/>
          <w:w w:val="105"/>
        </w:rPr>
        <w:t>base</w:t>
      </w:r>
      <w:r>
        <w:rPr>
          <w:color w:val="231F20"/>
          <w:spacing w:val="-9"/>
          <w:w w:val="105"/>
        </w:rPr>
        <w:t> </w:t>
      </w:r>
      <w:r>
        <w:rPr>
          <w:color w:val="231F20"/>
          <w:w w:val="105"/>
        </w:rPr>
        <w:t>la</w:t>
      </w:r>
      <w:r>
        <w:rPr>
          <w:color w:val="231F20"/>
          <w:spacing w:val="-9"/>
          <w:w w:val="105"/>
        </w:rPr>
        <w:t> </w:t>
      </w:r>
      <w:r>
        <w:rPr>
          <w:color w:val="231F20"/>
          <w:w w:val="105"/>
        </w:rPr>
        <w:t>tesis</w:t>
      </w:r>
      <w:r>
        <w:rPr>
          <w:color w:val="231F20"/>
          <w:spacing w:val="-9"/>
          <w:w w:val="105"/>
        </w:rPr>
        <w:t> </w:t>
      </w:r>
      <w:r>
        <w:rPr>
          <w:color w:val="231F20"/>
          <w:w w:val="105"/>
        </w:rPr>
        <w:t>de</w:t>
      </w:r>
      <w:r>
        <w:rPr>
          <w:color w:val="231F20"/>
          <w:spacing w:val="-9"/>
          <w:w w:val="105"/>
        </w:rPr>
        <w:t> </w:t>
      </w:r>
      <w:r>
        <w:rPr>
          <w:color w:val="231F20"/>
          <w:w w:val="105"/>
        </w:rPr>
        <w:t>ventaja</w:t>
      </w:r>
      <w:r>
        <w:rPr>
          <w:color w:val="231F20"/>
          <w:spacing w:val="-9"/>
          <w:w w:val="105"/>
        </w:rPr>
        <w:t> </w:t>
      </w:r>
      <w:r>
        <w:rPr>
          <w:color w:val="231F20"/>
          <w:w w:val="105"/>
        </w:rPr>
        <w:t>comparativa</w:t>
      </w:r>
      <w:r>
        <w:rPr>
          <w:color w:val="231F20"/>
          <w:spacing w:val="-9"/>
          <w:w w:val="105"/>
        </w:rPr>
        <w:t> </w:t>
      </w:r>
      <w:r>
        <w:rPr>
          <w:color w:val="231F20"/>
          <w:w w:val="105"/>
        </w:rPr>
        <w:t>establecida por</w:t>
      </w:r>
      <w:r>
        <w:rPr>
          <w:color w:val="231F20"/>
          <w:spacing w:val="-6"/>
          <w:w w:val="105"/>
        </w:rPr>
        <w:t> </w:t>
      </w:r>
      <w:r>
        <w:rPr>
          <w:color w:val="231F20"/>
          <w:w w:val="105"/>
        </w:rPr>
        <w:t>David</w:t>
      </w:r>
      <w:r>
        <w:rPr>
          <w:color w:val="231F20"/>
          <w:spacing w:val="-6"/>
          <w:w w:val="105"/>
        </w:rPr>
        <w:t> </w:t>
      </w:r>
      <w:r>
        <w:rPr>
          <w:color w:val="231F20"/>
          <w:w w:val="105"/>
        </w:rPr>
        <w:t>Ricardo:</w:t>
      </w:r>
      <w:r>
        <w:rPr>
          <w:color w:val="231F20"/>
          <w:spacing w:val="-6"/>
          <w:w w:val="105"/>
        </w:rPr>
        <w:t> </w:t>
      </w:r>
      <w:r>
        <w:rPr>
          <w:color w:val="231F20"/>
          <w:w w:val="105"/>
        </w:rPr>
        <w:t>Heckscher</w:t>
      </w:r>
      <w:r>
        <w:rPr>
          <w:color w:val="231F20"/>
          <w:spacing w:val="-6"/>
          <w:w w:val="105"/>
        </w:rPr>
        <w:t> </w:t>
      </w:r>
      <w:r>
        <w:rPr>
          <w:color w:val="231F20"/>
          <w:w w:val="105"/>
        </w:rPr>
        <w:t>en</w:t>
      </w:r>
      <w:r>
        <w:rPr>
          <w:color w:val="231F20"/>
          <w:spacing w:val="-6"/>
          <w:w w:val="105"/>
        </w:rPr>
        <w:t> </w:t>
      </w:r>
      <w:r>
        <w:rPr>
          <w:color w:val="231F20"/>
          <w:w w:val="105"/>
        </w:rPr>
        <w:t>1919</w:t>
      </w:r>
      <w:r>
        <w:rPr>
          <w:color w:val="231F20"/>
          <w:spacing w:val="-6"/>
          <w:w w:val="105"/>
        </w:rPr>
        <w:t> </w:t>
      </w:r>
      <w:r>
        <w:rPr>
          <w:color w:val="231F20"/>
          <w:w w:val="105"/>
        </w:rPr>
        <w:t>y</w:t>
      </w:r>
      <w:r>
        <w:rPr>
          <w:color w:val="231F20"/>
          <w:spacing w:val="-6"/>
          <w:w w:val="105"/>
        </w:rPr>
        <w:t> </w:t>
      </w:r>
      <w:r>
        <w:rPr>
          <w:color w:val="231F20"/>
          <w:w w:val="105"/>
        </w:rPr>
        <w:t>Ohlin</w:t>
      </w:r>
      <w:r>
        <w:rPr>
          <w:color w:val="231F20"/>
          <w:spacing w:val="-6"/>
          <w:w w:val="105"/>
        </w:rPr>
        <w:t> </w:t>
      </w:r>
      <w:r>
        <w:rPr>
          <w:color w:val="231F20"/>
          <w:w w:val="105"/>
        </w:rPr>
        <w:t>en</w:t>
      </w:r>
      <w:r>
        <w:rPr>
          <w:color w:val="231F20"/>
          <w:spacing w:val="-6"/>
          <w:w w:val="105"/>
        </w:rPr>
        <w:t> </w:t>
      </w:r>
      <w:r>
        <w:rPr>
          <w:color w:val="231F20"/>
          <w:w w:val="105"/>
        </w:rPr>
        <w:t>1933.</w:t>
      </w:r>
      <w:r>
        <w:rPr>
          <w:color w:val="231F20"/>
          <w:spacing w:val="-15"/>
          <w:w w:val="105"/>
        </w:rPr>
        <w:t> </w:t>
      </w:r>
      <w:r>
        <w:rPr>
          <w:color w:val="231F20"/>
          <w:w w:val="105"/>
        </w:rPr>
        <w:t>A</w:t>
      </w:r>
      <w:r>
        <w:rPr>
          <w:color w:val="231F20"/>
          <w:spacing w:val="-9"/>
          <w:w w:val="105"/>
        </w:rPr>
        <w:t> </w:t>
      </w:r>
      <w:r>
        <w:rPr>
          <w:color w:val="231F20"/>
          <w:w w:val="105"/>
        </w:rPr>
        <w:t>diferencia</w:t>
      </w:r>
      <w:r>
        <w:rPr>
          <w:color w:val="231F20"/>
          <w:spacing w:val="-6"/>
          <w:w w:val="105"/>
        </w:rPr>
        <w:t> </w:t>
      </w:r>
      <w:r>
        <w:rPr>
          <w:color w:val="231F20"/>
          <w:w w:val="105"/>
        </w:rPr>
        <w:t>de los anteriores, determinan que las dotaciones de factores productivos que tiene cada país les darán esta ventaja, ya que cada nación produ- cirá y venderá aquello para lo que cuente con factores de producción relativamente</w:t>
      </w:r>
      <w:r>
        <w:rPr>
          <w:color w:val="231F20"/>
          <w:spacing w:val="-17"/>
          <w:w w:val="105"/>
        </w:rPr>
        <w:t> </w:t>
      </w:r>
      <w:r>
        <w:rPr>
          <w:color w:val="231F20"/>
          <w:w w:val="105"/>
        </w:rPr>
        <w:t>abundantes.</w:t>
      </w:r>
      <w:r>
        <w:rPr>
          <w:color w:val="231F20"/>
          <w:spacing w:val="-24"/>
          <w:w w:val="105"/>
        </w:rPr>
        <w:t> </w:t>
      </w:r>
      <w:r>
        <w:rPr>
          <w:color w:val="231F20"/>
          <w:w w:val="105"/>
        </w:rPr>
        <w:t>Al</w:t>
      </w:r>
      <w:r>
        <w:rPr>
          <w:color w:val="231F20"/>
          <w:spacing w:val="-17"/>
          <w:w w:val="105"/>
        </w:rPr>
        <w:t> </w:t>
      </w:r>
      <w:r>
        <w:rPr>
          <w:color w:val="231F20"/>
          <w:w w:val="105"/>
        </w:rPr>
        <w:t>igual</w:t>
      </w:r>
      <w:r>
        <w:rPr>
          <w:color w:val="231F20"/>
          <w:spacing w:val="-17"/>
          <w:w w:val="105"/>
        </w:rPr>
        <w:t> </w:t>
      </w:r>
      <w:r>
        <w:rPr>
          <w:color w:val="231F20"/>
          <w:w w:val="105"/>
        </w:rPr>
        <w:t>que</w:t>
      </w:r>
      <w:r>
        <w:rPr>
          <w:color w:val="231F20"/>
          <w:spacing w:val="-17"/>
          <w:w w:val="105"/>
        </w:rPr>
        <w:t> </w:t>
      </w:r>
      <w:r>
        <w:rPr>
          <w:color w:val="231F20"/>
          <w:w w:val="105"/>
        </w:rPr>
        <w:t>sus</w:t>
      </w:r>
      <w:r>
        <w:rPr>
          <w:color w:val="231F20"/>
          <w:spacing w:val="-17"/>
          <w:w w:val="105"/>
        </w:rPr>
        <w:t> </w:t>
      </w:r>
      <w:r>
        <w:rPr>
          <w:color w:val="231F20"/>
          <w:w w:val="105"/>
        </w:rPr>
        <w:t>predecesores,</w:t>
      </w:r>
      <w:r>
        <w:rPr>
          <w:color w:val="231F20"/>
          <w:spacing w:val="-22"/>
          <w:w w:val="105"/>
        </w:rPr>
        <w:t> </w:t>
      </w:r>
      <w:r>
        <w:rPr>
          <w:color w:val="231F20"/>
          <w:w w:val="105"/>
        </w:rPr>
        <w:t>estos</w:t>
      </w:r>
      <w:r>
        <w:rPr>
          <w:color w:val="231F20"/>
          <w:spacing w:val="-17"/>
          <w:w w:val="105"/>
        </w:rPr>
        <w:t> </w:t>
      </w:r>
      <w:r>
        <w:rPr>
          <w:color w:val="231F20"/>
          <w:w w:val="105"/>
        </w:rPr>
        <w:t>autores mantienen</w:t>
      </w:r>
      <w:r>
        <w:rPr>
          <w:color w:val="231F20"/>
          <w:spacing w:val="-20"/>
          <w:w w:val="105"/>
        </w:rPr>
        <w:t> </w:t>
      </w:r>
      <w:r>
        <w:rPr>
          <w:color w:val="231F20"/>
          <w:w w:val="105"/>
        </w:rPr>
        <w:t>la</w:t>
      </w:r>
      <w:r>
        <w:rPr>
          <w:color w:val="231F20"/>
          <w:spacing w:val="-20"/>
          <w:w w:val="105"/>
        </w:rPr>
        <w:t> </w:t>
      </w:r>
      <w:r>
        <w:rPr>
          <w:color w:val="231F20"/>
          <w:w w:val="105"/>
        </w:rPr>
        <w:t>hipótesis</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todos</w:t>
      </w:r>
      <w:r>
        <w:rPr>
          <w:color w:val="231F20"/>
          <w:spacing w:val="-20"/>
          <w:w w:val="105"/>
        </w:rPr>
        <w:t> </w:t>
      </w:r>
      <w:r>
        <w:rPr>
          <w:color w:val="231F20"/>
          <w:w w:val="105"/>
        </w:rPr>
        <w:t>los</w:t>
      </w:r>
      <w:r>
        <w:rPr>
          <w:color w:val="231F20"/>
          <w:spacing w:val="-20"/>
          <w:w w:val="105"/>
        </w:rPr>
        <w:t> </w:t>
      </w:r>
      <w:r>
        <w:rPr>
          <w:color w:val="231F20"/>
          <w:w w:val="105"/>
        </w:rPr>
        <w:t>países</w:t>
      </w:r>
      <w:r>
        <w:rPr>
          <w:color w:val="231F20"/>
          <w:spacing w:val="-20"/>
          <w:w w:val="105"/>
        </w:rPr>
        <w:t> </w:t>
      </w:r>
      <w:r>
        <w:rPr>
          <w:color w:val="231F20"/>
          <w:w w:val="105"/>
        </w:rPr>
        <w:t>presentan</w:t>
      </w:r>
      <w:r>
        <w:rPr>
          <w:color w:val="231F20"/>
          <w:spacing w:val="-20"/>
          <w:w w:val="105"/>
        </w:rPr>
        <w:t> </w:t>
      </w:r>
      <w:r>
        <w:rPr>
          <w:color w:val="231F20"/>
          <w:w w:val="105"/>
        </w:rPr>
        <w:t>una</w:t>
      </w:r>
      <w:r>
        <w:rPr>
          <w:color w:val="231F20"/>
          <w:spacing w:val="-20"/>
          <w:w w:val="105"/>
        </w:rPr>
        <w:t> </w:t>
      </w:r>
      <w:r>
        <w:rPr>
          <w:color w:val="231F20"/>
          <w:w w:val="105"/>
        </w:rPr>
        <w:t>función</w:t>
      </w:r>
      <w:r>
        <w:rPr>
          <w:color w:val="231F20"/>
          <w:spacing w:val="-20"/>
          <w:w w:val="105"/>
        </w:rPr>
        <w:t> </w:t>
      </w:r>
      <w:r>
        <w:rPr>
          <w:color w:val="231F20"/>
          <w:w w:val="105"/>
        </w:rPr>
        <w:t>de producción</w:t>
      </w:r>
      <w:r>
        <w:rPr>
          <w:color w:val="231F20"/>
          <w:spacing w:val="-29"/>
          <w:w w:val="105"/>
        </w:rPr>
        <w:t> </w:t>
      </w:r>
      <w:r>
        <w:rPr>
          <w:color w:val="231F20"/>
          <w:w w:val="105"/>
        </w:rPr>
        <w:t>de</w:t>
      </w:r>
      <w:r>
        <w:rPr>
          <w:color w:val="231F20"/>
          <w:spacing w:val="-29"/>
          <w:w w:val="105"/>
        </w:rPr>
        <w:t> </w:t>
      </w:r>
      <w:r>
        <w:rPr>
          <w:color w:val="231F20"/>
          <w:w w:val="105"/>
        </w:rPr>
        <w:t>características</w:t>
      </w:r>
      <w:r>
        <w:rPr>
          <w:color w:val="231F20"/>
          <w:spacing w:val="-29"/>
          <w:w w:val="105"/>
        </w:rPr>
        <w:t> </w:t>
      </w:r>
      <w:r>
        <w:rPr>
          <w:color w:val="231F20"/>
          <w:w w:val="105"/>
        </w:rPr>
        <w:t>semejantes.</w:t>
      </w:r>
      <w:r>
        <w:rPr>
          <w:color w:val="231F20"/>
          <w:spacing w:val="-34"/>
          <w:w w:val="105"/>
        </w:rPr>
        <w:t> </w:t>
      </w:r>
      <w:r>
        <w:rPr>
          <w:color w:val="231F20"/>
          <w:w w:val="105"/>
        </w:rPr>
        <w:t>Es</w:t>
      </w:r>
      <w:r>
        <w:rPr>
          <w:color w:val="231F20"/>
          <w:spacing w:val="-29"/>
          <w:w w:val="105"/>
        </w:rPr>
        <w:t> </w:t>
      </w:r>
      <w:r>
        <w:rPr>
          <w:color w:val="231F20"/>
          <w:w w:val="105"/>
        </w:rPr>
        <w:t>decir,</w:t>
      </w:r>
      <w:r>
        <w:rPr>
          <w:color w:val="231F20"/>
          <w:spacing w:val="-34"/>
          <w:w w:val="105"/>
        </w:rPr>
        <w:t> </w:t>
      </w:r>
      <w:r>
        <w:rPr>
          <w:color w:val="231F20"/>
          <w:w w:val="105"/>
        </w:rPr>
        <w:t>existe</w:t>
      </w:r>
      <w:r>
        <w:rPr>
          <w:color w:val="231F20"/>
          <w:spacing w:val="-29"/>
          <w:w w:val="105"/>
        </w:rPr>
        <w:t> </w:t>
      </w:r>
      <w:r>
        <w:rPr>
          <w:color w:val="231F20"/>
          <w:w w:val="105"/>
        </w:rPr>
        <w:t>una</w:t>
      </w:r>
      <w:r>
        <w:rPr>
          <w:color w:val="231F20"/>
          <w:spacing w:val="-29"/>
          <w:w w:val="105"/>
        </w:rPr>
        <w:t> </w:t>
      </w:r>
      <w:r>
        <w:rPr>
          <w:color w:val="231F20"/>
          <w:w w:val="105"/>
        </w:rPr>
        <w:t>función</w:t>
      </w:r>
      <w:r>
        <w:rPr>
          <w:color w:val="231F20"/>
          <w:spacing w:val="-29"/>
          <w:w w:val="105"/>
        </w:rPr>
        <w:t> </w:t>
      </w:r>
      <w:r>
        <w:rPr>
          <w:color w:val="231F20"/>
          <w:w w:val="105"/>
        </w:rPr>
        <w:t>de producción homogénea para todos utilizando intensivamente su factor abundante</w:t>
      </w:r>
      <w:r>
        <w:rPr>
          <w:color w:val="231F20"/>
          <w:spacing w:val="-35"/>
          <w:w w:val="105"/>
        </w:rPr>
        <w:t> </w:t>
      </w:r>
      <w:r>
        <w:rPr>
          <w:color w:val="231F20"/>
          <w:spacing w:val="-3"/>
          <w:w w:val="105"/>
        </w:rPr>
        <w:t>(Taboada,</w:t>
      </w:r>
      <w:r>
        <w:rPr>
          <w:color w:val="231F20"/>
          <w:spacing w:val="-39"/>
          <w:w w:val="105"/>
        </w:rPr>
        <w:t> </w:t>
      </w:r>
      <w:r>
        <w:rPr>
          <w:color w:val="231F20"/>
          <w:w w:val="105"/>
        </w:rPr>
        <w:t>2002).</w:t>
      </w:r>
    </w:p>
    <w:p>
      <w:pPr>
        <w:pStyle w:val="BodyText"/>
        <w:spacing w:line="259" w:lineRule="auto"/>
        <w:ind w:left="117" w:right="115" w:firstLine="567"/>
        <w:jc w:val="both"/>
      </w:pPr>
      <w:r>
        <w:rPr>
          <w:color w:val="231F20"/>
          <w:w w:val="105"/>
        </w:rPr>
        <w:t>Estos</w:t>
      </w:r>
      <w:r>
        <w:rPr>
          <w:color w:val="231F20"/>
          <w:spacing w:val="-19"/>
          <w:w w:val="105"/>
        </w:rPr>
        <w:t> </w:t>
      </w:r>
      <w:r>
        <w:rPr>
          <w:color w:val="231F20"/>
          <w:w w:val="105"/>
        </w:rPr>
        <w:t>trabajos</w:t>
      </w:r>
      <w:r>
        <w:rPr>
          <w:color w:val="231F20"/>
          <w:spacing w:val="-19"/>
          <w:w w:val="105"/>
        </w:rPr>
        <w:t> </w:t>
      </w:r>
      <w:r>
        <w:rPr>
          <w:color w:val="231F20"/>
          <w:w w:val="105"/>
        </w:rPr>
        <w:t>motivaron</w:t>
      </w:r>
      <w:r>
        <w:rPr>
          <w:color w:val="231F20"/>
          <w:spacing w:val="-19"/>
          <w:w w:val="105"/>
        </w:rPr>
        <w:t> </w:t>
      </w:r>
      <w:r>
        <w:rPr>
          <w:color w:val="231F20"/>
          <w:w w:val="105"/>
        </w:rPr>
        <w:t>la</w:t>
      </w:r>
      <w:r>
        <w:rPr>
          <w:color w:val="231F20"/>
          <w:spacing w:val="-19"/>
          <w:w w:val="105"/>
        </w:rPr>
        <w:t> </w:t>
      </w:r>
      <w:r>
        <w:rPr>
          <w:color w:val="231F20"/>
          <w:w w:val="105"/>
        </w:rPr>
        <w:t>recuperación</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ideas</w:t>
      </w:r>
      <w:r>
        <w:rPr>
          <w:color w:val="231F20"/>
          <w:spacing w:val="-19"/>
          <w:w w:val="105"/>
        </w:rPr>
        <w:t> </w:t>
      </w:r>
      <w:r>
        <w:rPr>
          <w:color w:val="231F20"/>
          <w:w w:val="105"/>
        </w:rPr>
        <w:t>de</w:t>
      </w:r>
      <w:r>
        <w:rPr>
          <w:color w:val="231F20"/>
          <w:spacing w:val="-19"/>
          <w:w w:val="105"/>
        </w:rPr>
        <w:t> </w:t>
      </w:r>
      <w:r>
        <w:rPr>
          <w:color w:val="231F20"/>
          <w:w w:val="105"/>
        </w:rPr>
        <w:t>Smith</w:t>
      </w:r>
      <w:r>
        <w:rPr>
          <w:color w:val="231F20"/>
          <w:spacing w:val="-19"/>
          <w:w w:val="105"/>
        </w:rPr>
        <w:t> </w:t>
      </w:r>
      <w:r>
        <w:rPr>
          <w:color w:val="231F20"/>
          <w:w w:val="105"/>
        </w:rPr>
        <w:t>so- bre</w:t>
      </w:r>
      <w:r>
        <w:rPr>
          <w:color w:val="231F20"/>
          <w:spacing w:val="-16"/>
          <w:w w:val="105"/>
        </w:rPr>
        <w:t> </w:t>
      </w:r>
      <w:r>
        <w:rPr>
          <w:color w:val="231F20"/>
          <w:w w:val="105"/>
        </w:rPr>
        <w:t>el</w:t>
      </w:r>
      <w:r>
        <w:rPr>
          <w:color w:val="231F20"/>
          <w:spacing w:val="-16"/>
          <w:w w:val="105"/>
        </w:rPr>
        <w:t> </w:t>
      </w:r>
      <w:r>
        <w:rPr>
          <w:color w:val="231F20"/>
          <w:w w:val="105"/>
        </w:rPr>
        <w:t>papel</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factores</w:t>
      </w:r>
      <w:r>
        <w:rPr>
          <w:color w:val="231F20"/>
          <w:spacing w:val="-16"/>
          <w:w w:val="105"/>
        </w:rPr>
        <w:t> </w:t>
      </w:r>
      <w:r>
        <w:rPr>
          <w:color w:val="231F20"/>
          <w:w w:val="105"/>
        </w:rPr>
        <w:t>de</w:t>
      </w:r>
      <w:r>
        <w:rPr>
          <w:color w:val="231F20"/>
          <w:spacing w:val="-16"/>
          <w:w w:val="105"/>
        </w:rPr>
        <w:t> </w:t>
      </w:r>
      <w:r>
        <w:rPr>
          <w:color w:val="231F20"/>
          <w:w w:val="105"/>
        </w:rPr>
        <w:t>producción,</w:t>
      </w:r>
      <w:r>
        <w:rPr>
          <w:color w:val="231F20"/>
          <w:spacing w:val="-22"/>
          <w:w w:val="10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tendrían ventajas</w:t>
      </w:r>
      <w:r>
        <w:rPr>
          <w:color w:val="231F20"/>
          <w:spacing w:val="-19"/>
          <w:w w:val="105"/>
        </w:rPr>
        <w:t> </w:t>
      </w:r>
      <w:r>
        <w:rPr>
          <w:color w:val="231F20"/>
          <w:w w:val="105"/>
        </w:rPr>
        <w:t>absolutas</w:t>
      </w:r>
      <w:r>
        <w:rPr>
          <w:color w:val="231F20"/>
          <w:spacing w:val="-19"/>
          <w:w w:val="105"/>
        </w:rPr>
        <w:t> </w:t>
      </w:r>
      <w:r>
        <w:rPr>
          <w:color w:val="231F20"/>
          <w:w w:val="105"/>
        </w:rPr>
        <w:t>sobre</w:t>
      </w:r>
      <w:r>
        <w:rPr>
          <w:color w:val="231F20"/>
          <w:spacing w:val="-19"/>
          <w:w w:val="105"/>
        </w:rPr>
        <w:t> </w:t>
      </w:r>
      <w:r>
        <w:rPr>
          <w:color w:val="231F20"/>
          <w:w w:val="105"/>
        </w:rPr>
        <w:t>otros,</w:t>
      </w:r>
      <w:r>
        <w:rPr>
          <w:color w:val="231F20"/>
          <w:spacing w:val="-24"/>
          <w:w w:val="105"/>
        </w:rPr>
        <w:t> </w:t>
      </w:r>
      <w:r>
        <w:rPr>
          <w:color w:val="231F20"/>
          <w:w w:val="105"/>
        </w:rPr>
        <w:t>ya</w:t>
      </w:r>
      <w:r>
        <w:rPr>
          <w:color w:val="231F20"/>
          <w:spacing w:val="-19"/>
          <w:w w:val="105"/>
        </w:rPr>
        <w:t> </w:t>
      </w:r>
      <w:r>
        <w:rPr>
          <w:color w:val="231F20"/>
          <w:w w:val="105"/>
        </w:rPr>
        <w:t>que</w:t>
      </w:r>
      <w:r>
        <w:rPr>
          <w:color w:val="231F20"/>
          <w:spacing w:val="-19"/>
          <w:w w:val="105"/>
        </w:rPr>
        <w:t> </w:t>
      </w:r>
      <w:r>
        <w:rPr>
          <w:color w:val="231F20"/>
          <w:w w:val="105"/>
        </w:rPr>
        <w:t>no</w:t>
      </w:r>
      <w:r>
        <w:rPr>
          <w:color w:val="231F20"/>
          <w:spacing w:val="-19"/>
          <w:w w:val="105"/>
        </w:rPr>
        <w:t> </w:t>
      </w:r>
      <w:r>
        <w:rPr>
          <w:color w:val="231F20"/>
          <w:w w:val="105"/>
        </w:rPr>
        <w:t>todos</w:t>
      </w:r>
      <w:r>
        <w:rPr>
          <w:color w:val="231F20"/>
          <w:spacing w:val="-19"/>
          <w:w w:val="105"/>
        </w:rPr>
        <w:t> </w:t>
      </w:r>
      <w:r>
        <w:rPr>
          <w:color w:val="231F20"/>
          <w:w w:val="105"/>
        </w:rPr>
        <w:t>tienen</w:t>
      </w:r>
      <w:r>
        <w:rPr>
          <w:color w:val="231F20"/>
          <w:spacing w:val="-19"/>
          <w:w w:val="105"/>
        </w:rPr>
        <w:t> </w:t>
      </w:r>
      <w:r>
        <w:rPr>
          <w:color w:val="231F20"/>
          <w:w w:val="105"/>
        </w:rPr>
        <w:t>las</w:t>
      </w:r>
      <w:r>
        <w:rPr>
          <w:color w:val="231F20"/>
          <w:spacing w:val="-19"/>
          <w:w w:val="105"/>
        </w:rPr>
        <w:t> </w:t>
      </w:r>
      <w:r>
        <w:rPr>
          <w:color w:val="231F20"/>
          <w:w w:val="105"/>
        </w:rPr>
        <w:t>mismas</w:t>
      </w:r>
      <w:r>
        <w:rPr>
          <w:color w:val="231F20"/>
          <w:spacing w:val="-19"/>
          <w:w w:val="105"/>
        </w:rPr>
        <w:t> </w:t>
      </w:r>
      <w:r>
        <w:rPr>
          <w:color w:val="231F20"/>
          <w:w w:val="105"/>
        </w:rPr>
        <w:t>capa- cidades:</w:t>
      </w:r>
      <w:r>
        <w:rPr>
          <w:color w:val="231F20"/>
          <w:spacing w:val="-26"/>
          <w:w w:val="105"/>
        </w:rPr>
        <w:t> </w:t>
      </w:r>
      <w:r>
        <w:rPr>
          <w:color w:val="231F20"/>
          <w:w w:val="105"/>
        </w:rPr>
        <w:t>potencial</w:t>
      </w:r>
      <w:r>
        <w:rPr>
          <w:color w:val="231F20"/>
          <w:spacing w:val="-26"/>
          <w:w w:val="105"/>
        </w:rPr>
        <w:t> </w:t>
      </w:r>
      <w:r>
        <w:rPr>
          <w:color w:val="231F20"/>
          <w:w w:val="105"/>
        </w:rPr>
        <w:t>económico,</w:t>
      </w:r>
      <w:r>
        <w:rPr>
          <w:color w:val="231F20"/>
          <w:spacing w:val="-30"/>
          <w:w w:val="105"/>
        </w:rPr>
        <w:t> </w:t>
      </w:r>
      <w:r>
        <w:rPr>
          <w:color w:val="231F20"/>
          <w:w w:val="105"/>
        </w:rPr>
        <w:t>infraestructura,</w:t>
      </w:r>
      <w:r>
        <w:rPr>
          <w:color w:val="231F20"/>
          <w:spacing w:val="-30"/>
          <w:w w:val="105"/>
        </w:rPr>
        <w:t> </w:t>
      </w:r>
      <w:r>
        <w:rPr>
          <w:color w:val="231F20"/>
          <w:w w:val="105"/>
        </w:rPr>
        <w:t>relaciones</w:t>
      </w:r>
      <w:r>
        <w:rPr>
          <w:color w:val="231F20"/>
          <w:spacing w:val="-26"/>
          <w:w w:val="105"/>
        </w:rPr>
        <w:t> </w:t>
      </w:r>
      <w:r>
        <w:rPr>
          <w:color w:val="231F20"/>
          <w:w w:val="105"/>
        </w:rPr>
        <w:t>empresariales, capital</w:t>
      </w:r>
      <w:r>
        <w:rPr>
          <w:color w:val="231F20"/>
          <w:spacing w:val="-23"/>
          <w:w w:val="105"/>
        </w:rPr>
        <w:t> </w:t>
      </w:r>
      <w:r>
        <w:rPr>
          <w:color w:val="231F20"/>
          <w:w w:val="105"/>
        </w:rPr>
        <w:t>humano</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panorama</w:t>
      </w:r>
      <w:r>
        <w:rPr>
          <w:color w:val="231F20"/>
          <w:spacing w:val="-23"/>
          <w:w w:val="105"/>
        </w:rPr>
        <w:t> </w:t>
      </w:r>
      <w:r>
        <w:rPr>
          <w:color w:val="231F20"/>
          <w:w w:val="105"/>
        </w:rPr>
        <w:t>político</w:t>
      </w:r>
      <w:r>
        <w:rPr>
          <w:color w:val="231F20"/>
          <w:spacing w:val="-23"/>
          <w:w w:val="105"/>
        </w:rPr>
        <w:t> </w:t>
      </w:r>
      <w:r>
        <w:rPr>
          <w:color w:val="231F20"/>
          <w:w w:val="105"/>
        </w:rPr>
        <w:t>(Richardson,</w:t>
      </w:r>
      <w:r>
        <w:rPr>
          <w:color w:val="231F20"/>
          <w:spacing w:val="-28"/>
          <w:w w:val="105"/>
        </w:rPr>
        <w:t> </w:t>
      </w:r>
      <w:r>
        <w:rPr>
          <w:color w:val="231F20"/>
          <w:w w:val="105"/>
        </w:rPr>
        <w:t>1955).</w:t>
      </w:r>
    </w:p>
    <w:p>
      <w:pPr>
        <w:pStyle w:val="BodyText"/>
        <w:spacing w:line="259" w:lineRule="auto"/>
        <w:ind w:left="117" w:right="121" w:firstLine="567"/>
        <w:jc w:val="both"/>
      </w:pPr>
      <w:r>
        <w:rPr>
          <w:color w:val="231F20"/>
          <w:w w:val="105"/>
        </w:rPr>
        <w:t>Siguiendo con la evolución de los conceptos asociados a la</w:t>
      </w:r>
      <w:r>
        <w:rPr>
          <w:color w:val="231F20"/>
          <w:spacing w:val="-19"/>
          <w:w w:val="105"/>
        </w:rPr>
        <w:t> </w:t>
      </w:r>
      <w:r>
        <w:rPr>
          <w:color w:val="231F20"/>
          <w:w w:val="105"/>
        </w:rPr>
        <w:t>com- petitividad, a principios de los noventa surge el modelo de la ventaja competitiva de las naciones</w:t>
      </w:r>
      <w:r>
        <w:rPr>
          <w:color w:val="231F20"/>
          <w:w w:val="105"/>
          <w:position w:val="7"/>
          <w:sz w:val="12"/>
        </w:rPr>
        <w:t>2 </w:t>
      </w:r>
      <w:r>
        <w:rPr>
          <w:color w:val="231F20"/>
          <w:w w:val="105"/>
        </w:rPr>
        <w:t>de Michael </w:t>
      </w:r>
      <w:r>
        <w:rPr>
          <w:color w:val="231F20"/>
          <w:spacing w:val="-4"/>
          <w:w w:val="105"/>
        </w:rPr>
        <w:t>Porter </w:t>
      </w:r>
      <w:r>
        <w:rPr>
          <w:color w:val="231F20"/>
          <w:w w:val="105"/>
        </w:rPr>
        <w:t>(1982, 1991), quien</w:t>
      </w:r>
      <w:r>
        <w:rPr>
          <w:color w:val="231F20"/>
          <w:spacing w:val="-31"/>
          <w:w w:val="105"/>
        </w:rPr>
        <w:t> </w:t>
      </w:r>
      <w:r>
        <w:rPr>
          <w:color w:val="231F20"/>
          <w:w w:val="105"/>
        </w:rPr>
        <w:t>pre-</w:t>
      </w:r>
    </w:p>
    <w:p>
      <w:pPr>
        <w:pStyle w:val="BodyText"/>
        <w:spacing w:before="6"/>
        <w:rPr>
          <w:sz w:val="18"/>
        </w:rPr>
      </w:pPr>
      <w:r>
        <w:rPr/>
        <w:pict>
          <v:line style="position:absolute;mso-position-horizontal-relative:page;mso-position-vertical-relative:paragraph;z-index:9856;mso-wrap-distance-left:0;mso-wrap-distance-right:0" from="70.866096pt,12.772667pt" to="184.252096pt,12.772667pt" stroked="true" strokeweight=".25pt" strokecolor="#231f20">
            <w10:wrap type="topAndBottom"/>
          </v:line>
        </w:pict>
      </w:r>
    </w:p>
    <w:p>
      <w:pPr>
        <w:spacing w:line="192" w:lineRule="exact" w:before="7"/>
        <w:ind w:left="117" w:right="121" w:firstLine="0"/>
        <w:jc w:val="both"/>
        <w:rPr>
          <w:rFonts w:ascii="Calibri" w:hAnsi="Calibri"/>
          <w:sz w:val="16"/>
        </w:rPr>
      </w:pPr>
      <w:r>
        <w:rPr>
          <w:rFonts w:ascii="Calibri" w:hAnsi="Calibri"/>
          <w:color w:val="414042"/>
          <w:w w:val="105"/>
          <w:position w:val="5"/>
          <w:sz w:val="9"/>
        </w:rPr>
        <w:t>2</w:t>
      </w:r>
      <w:r>
        <w:rPr>
          <w:rFonts w:ascii="Calibri" w:hAnsi="Calibri"/>
          <w:color w:val="414042"/>
          <w:spacing w:val="2"/>
          <w:w w:val="105"/>
          <w:position w:val="5"/>
          <w:sz w:val="9"/>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clave</w:t>
      </w:r>
      <w:r>
        <w:rPr>
          <w:rFonts w:ascii="Calibri" w:hAnsi="Calibri"/>
          <w:color w:val="414042"/>
          <w:spacing w:val="-15"/>
          <w:w w:val="105"/>
          <w:sz w:val="16"/>
        </w:rPr>
        <w:t> </w:t>
      </w:r>
      <w:r>
        <w:rPr>
          <w:rFonts w:ascii="Calibri" w:hAnsi="Calibri"/>
          <w:color w:val="414042"/>
          <w:w w:val="105"/>
          <w:sz w:val="16"/>
        </w:rPr>
        <w:t>está</w:t>
      </w:r>
      <w:r>
        <w:rPr>
          <w:rFonts w:ascii="Calibri" w:hAnsi="Calibri"/>
          <w:color w:val="414042"/>
          <w:spacing w:val="-15"/>
          <w:w w:val="105"/>
          <w:sz w:val="16"/>
        </w:rPr>
        <w:t> </w:t>
      </w:r>
      <w:r>
        <w:rPr>
          <w:rFonts w:ascii="Calibri" w:hAnsi="Calibri"/>
          <w:color w:val="414042"/>
          <w:w w:val="105"/>
          <w:sz w:val="16"/>
        </w:rPr>
        <w:t>en</w:t>
      </w:r>
      <w:r>
        <w:rPr>
          <w:rFonts w:ascii="Calibri" w:hAnsi="Calibri"/>
          <w:color w:val="414042"/>
          <w:spacing w:val="-15"/>
          <w:w w:val="105"/>
          <w:sz w:val="16"/>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competitividad</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particularmente</w:t>
      </w:r>
      <w:r>
        <w:rPr>
          <w:rFonts w:ascii="Calibri" w:hAnsi="Calibri"/>
          <w:color w:val="414042"/>
          <w:spacing w:val="-15"/>
          <w:w w:val="105"/>
          <w:sz w:val="16"/>
        </w:rPr>
        <w:t> </w:t>
      </w:r>
      <w:r>
        <w:rPr>
          <w:rFonts w:ascii="Calibri" w:hAnsi="Calibri"/>
          <w:color w:val="414042"/>
          <w:w w:val="105"/>
          <w:sz w:val="16"/>
        </w:rPr>
        <w:t>en</w:t>
      </w:r>
      <w:r>
        <w:rPr>
          <w:rFonts w:ascii="Calibri" w:hAnsi="Calibri"/>
          <w:color w:val="414042"/>
          <w:spacing w:val="-15"/>
          <w:w w:val="105"/>
          <w:sz w:val="16"/>
        </w:rPr>
        <w:t> </w:t>
      </w:r>
      <w:r>
        <w:rPr>
          <w:rFonts w:ascii="Calibri" w:hAnsi="Calibri"/>
          <w:color w:val="414042"/>
          <w:w w:val="105"/>
          <w:sz w:val="16"/>
        </w:rPr>
        <w:t>la</w:t>
      </w:r>
      <w:r>
        <w:rPr>
          <w:rFonts w:ascii="Calibri" w:hAnsi="Calibri"/>
          <w:color w:val="414042"/>
          <w:spacing w:val="-15"/>
          <w:w w:val="105"/>
          <w:sz w:val="16"/>
        </w:rPr>
        <w:t> </w:t>
      </w:r>
      <w:r>
        <w:rPr>
          <w:rFonts w:ascii="Calibri" w:hAnsi="Calibri"/>
          <w:color w:val="414042"/>
          <w:w w:val="105"/>
          <w:sz w:val="16"/>
        </w:rPr>
        <w:t>productividad</w:t>
      </w:r>
      <w:r>
        <w:rPr>
          <w:rFonts w:ascii="Calibri" w:hAnsi="Calibri"/>
          <w:color w:val="414042"/>
          <w:spacing w:val="-15"/>
          <w:w w:val="105"/>
          <w:sz w:val="16"/>
        </w:rPr>
        <w:t> </w:t>
      </w:r>
      <w:r>
        <w:rPr>
          <w:rFonts w:ascii="Calibri" w:hAnsi="Calibri"/>
          <w:color w:val="414042"/>
          <w:w w:val="105"/>
          <w:sz w:val="16"/>
        </w:rPr>
        <w:t>de</w:t>
      </w:r>
      <w:r>
        <w:rPr>
          <w:rFonts w:ascii="Calibri" w:hAnsi="Calibri"/>
          <w:color w:val="414042"/>
          <w:spacing w:val="-15"/>
          <w:w w:val="105"/>
          <w:sz w:val="16"/>
        </w:rPr>
        <w:t> </w:t>
      </w:r>
      <w:r>
        <w:rPr>
          <w:rFonts w:ascii="Calibri" w:hAnsi="Calibri"/>
          <w:color w:val="414042"/>
          <w:w w:val="105"/>
          <w:sz w:val="16"/>
        </w:rPr>
        <w:t>las</w:t>
      </w:r>
      <w:r>
        <w:rPr>
          <w:rFonts w:ascii="Calibri" w:hAnsi="Calibri"/>
          <w:color w:val="414042"/>
          <w:spacing w:val="-15"/>
          <w:w w:val="105"/>
          <w:sz w:val="16"/>
        </w:rPr>
        <w:t> </w:t>
      </w:r>
      <w:r>
        <w:rPr>
          <w:rFonts w:ascii="Calibri" w:hAnsi="Calibri"/>
          <w:color w:val="414042"/>
          <w:w w:val="105"/>
          <w:sz w:val="16"/>
        </w:rPr>
        <w:t>naciones</w:t>
      </w:r>
      <w:r>
        <w:rPr>
          <w:rFonts w:ascii="Calibri" w:hAnsi="Calibri"/>
          <w:color w:val="414042"/>
          <w:spacing w:val="-16"/>
          <w:w w:val="105"/>
          <w:sz w:val="16"/>
        </w:rPr>
        <w:t> </w:t>
      </w:r>
      <w:r>
        <w:rPr>
          <w:rFonts w:ascii="Calibri" w:hAnsi="Calibri"/>
          <w:color w:val="414042"/>
          <w:w w:val="105"/>
          <w:sz w:val="16"/>
        </w:rPr>
        <w:t>y</w:t>
      </w:r>
      <w:r>
        <w:rPr>
          <w:rFonts w:ascii="Calibri" w:hAnsi="Calibri"/>
          <w:color w:val="414042"/>
          <w:spacing w:val="-15"/>
          <w:w w:val="105"/>
          <w:sz w:val="16"/>
        </w:rPr>
        <w:t> </w:t>
      </w:r>
      <w:r>
        <w:rPr>
          <w:rFonts w:ascii="Calibri" w:hAnsi="Calibri"/>
          <w:color w:val="414042"/>
          <w:w w:val="105"/>
          <w:sz w:val="16"/>
        </w:rPr>
        <w:t>de</w:t>
      </w:r>
      <w:r>
        <w:rPr>
          <w:rFonts w:ascii="Calibri" w:hAnsi="Calibri"/>
          <w:color w:val="414042"/>
          <w:spacing w:val="-15"/>
          <w:w w:val="105"/>
          <w:sz w:val="16"/>
        </w:rPr>
        <w:t> </w:t>
      </w:r>
      <w:r>
        <w:rPr>
          <w:rFonts w:ascii="Calibri" w:hAnsi="Calibri"/>
          <w:color w:val="414042"/>
          <w:w w:val="105"/>
          <w:sz w:val="16"/>
        </w:rPr>
        <w:t>sus</w:t>
      </w:r>
      <w:r>
        <w:rPr>
          <w:rFonts w:ascii="Calibri" w:hAnsi="Calibri"/>
          <w:color w:val="414042"/>
          <w:spacing w:val="-15"/>
          <w:w w:val="105"/>
          <w:sz w:val="16"/>
        </w:rPr>
        <w:t> </w:t>
      </w:r>
      <w:r>
        <w:rPr>
          <w:rFonts w:ascii="Calibri" w:hAnsi="Calibri"/>
          <w:color w:val="414042"/>
          <w:w w:val="105"/>
          <w:sz w:val="16"/>
        </w:rPr>
        <w:t>indus- trias,</w:t>
      </w:r>
      <w:r>
        <w:rPr>
          <w:rFonts w:ascii="Calibri" w:hAnsi="Calibri"/>
          <w:color w:val="414042"/>
          <w:spacing w:val="-13"/>
          <w:w w:val="105"/>
          <w:sz w:val="16"/>
        </w:rPr>
        <w:t> </w:t>
      </w:r>
      <w:r>
        <w:rPr>
          <w:rFonts w:ascii="Calibri" w:hAnsi="Calibri"/>
          <w:color w:val="414042"/>
          <w:w w:val="105"/>
          <w:sz w:val="16"/>
        </w:rPr>
        <w:t>lo</w:t>
      </w:r>
      <w:r>
        <w:rPr>
          <w:rFonts w:ascii="Calibri" w:hAnsi="Calibri"/>
          <w:color w:val="414042"/>
          <w:spacing w:val="-13"/>
          <w:w w:val="105"/>
          <w:sz w:val="16"/>
        </w:rPr>
        <w:t> </w:t>
      </w:r>
      <w:r>
        <w:rPr>
          <w:rFonts w:ascii="Calibri" w:hAnsi="Calibri"/>
          <w:color w:val="414042"/>
          <w:w w:val="105"/>
          <w:sz w:val="16"/>
        </w:rPr>
        <w:t>que</w:t>
      </w:r>
      <w:r>
        <w:rPr>
          <w:rFonts w:ascii="Calibri" w:hAnsi="Calibri"/>
          <w:color w:val="414042"/>
          <w:spacing w:val="-13"/>
          <w:w w:val="105"/>
          <w:sz w:val="16"/>
        </w:rPr>
        <w:t> </w:t>
      </w:r>
      <w:r>
        <w:rPr>
          <w:rFonts w:ascii="Calibri" w:hAnsi="Calibri"/>
          <w:color w:val="414042"/>
          <w:w w:val="105"/>
          <w:sz w:val="16"/>
        </w:rPr>
        <w:t>se</w:t>
      </w:r>
      <w:r>
        <w:rPr>
          <w:rFonts w:ascii="Calibri" w:hAnsi="Calibri"/>
          <w:color w:val="414042"/>
          <w:spacing w:val="-13"/>
          <w:w w:val="105"/>
          <w:sz w:val="16"/>
        </w:rPr>
        <w:t> </w:t>
      </w:r>
      <w:r>
        <w:rPr>
          <w:rFonts w:ascii="Calibri" w:hAnsi="Calibri"/>
          <w:color w:val="414042"/>
          <w:w w:val="105"/>
          <w:sz w:val="16"/>
        </w:rPr>
        <w:t>expresa</w:t>
      </w:r>
      <w:r>
        <w:rPr>
          <w:rFonts w:ascii="Calibri" w:hAnsi="Calibri"/>
          <w:color w:val="414042"/>
          <w:spacing w:val="-13"/>
          <w:w w:val="105"/>
          <w:sz w:val="16"/>
        </w:rPr>
        <w:t> </w:t>
      </w:r>
      <w:r>
        <w:rPr>
          <w:rFonts w:ascii="Calibri" w:hAnsi="Calibri"/>
          <w:color w:val="414042"/>
          <w:w w:val="105"/>
          <w:sz w:val="16"/>
        </w:rPr>
        <w:t>en</w:t>
      </w:r>
      <w:r>
        <w:rPr>
          <w:rFonts w:ascii="Calibri" w:hAnsi="Calibri"/>
          <w:color w:val="414042"/>
          <w:spacing w:val="-13"/>
          <w:w w:val="105"/>
          <w:sz w:val="16"/>
        </w:rPr>
        <w:t> </w:t>
      </w:r>
      <w:r>
        <w:rPr>
          <w:rFonts w:ascii="Calibri" w:hAnsi="Calibri"/>
          <w:color w:val="414042"/>
          <w:w w:val="105"/>
          <w:sz w:val="16"/>
        </w:rPr>
        <w:t>exportaciones</w:t>
      </w:r>
      <w:r>
        <w:rPr>
          <w:rFonts w:ascii="Calibri" w:hAnsi="Calibri"/>
          <w:color w:val="414042"/>
          <w:spacing w:val="-13"/>
          <w:w w:val="105"/>
          <w:sz w:val="16"/>
        </w:rPr>
        <w:t> </w:t>
      </w:r>
      <w:r>
        <w:rPr>
          <w:rFonts w:ascii="Calibri" w:hAnsi="Calibri"/>
          <w:color w:val="414042"/>
          <w:w w:val="105"/>
          <w:sz w:val="16"/>
        </w:rPr>
        <w:t>a</w:t>
      </w:r>
      <w:r>
        <w:rPr>
          <w:rFonts w:ascii="Calibri" w:hAnsi="Calibri"/>
          <w:color w:val="414042"/>
          <w:spacing w:val="-13"/>
          <w:w w:val="105"/>
          <w:sz w:val="16"/>
        </w:rPr>
        <w:t> </w:t>
      </w:r>
      <w:r>
        <w:rPr>
          <w:rFonts w:ascii="Calibri" w:hAnsi="Calibri"/>
          <w:color w:val="414042"/>
          <w:w w:val="105"/>
          <w:sz w:val="16"/>
        </w:rPr>
        <w:t>diversos</w:t>
      </w:r>
      <w:r>
        <w:rPr>
          <w:rFonts w:ascii="Calibri" w:hAnsi="Calibri"/>
          <w:color w:val="414042"/>
          <w:spacing w:val="-13"/>
          <w:w w:val="105"/>
          <w:sz w:val="16"/>
        </w:rPr>
        <w:t> </w:t>
      </w:r>
      <w:r>
        <w:rPr>
          <w:rFonts w:ascii="Calibri" w:hAnsi="Calibri"/>
          <w:color w:val="414042"/>
          <w:w w:val="105"/>
          <w:sz w:val="16"/>
        </w:rPr>
        <w:t>lugares</w:t>
      </w:r>
      <w:r>
        <w:rPr>
          <w:rFonts w:ascii="Calibri" w:hAnsi="Calibri"/>
          <w:color w:val="414042"/>
          <w:spacing w:val="-14"/>
          <w:w w:val="105"/>
          <w:sz w:val="16"/>
        </w:rPr>
        <w:t> </w:t>
      </w:r>
      <w:r>
        <w:rPr>
          <w:rFonts w:ascii="Calibri" w:hAnsi="Calibri"/>
          <w:color w:val="414042"/>
          <w:w w:val="105"/>
          <w:sz w:val="16"/>
        </w:rPr>
        <w:t>y</w:t>
      </w:r>
      <w:r>
        <w:rPr>
          <w:rFonts w:ascii="Calibri" w:hAnsi="Calibri"/>
          <w:color w:val="414042"/>
          <w:spacing w:val="-13"/>
          <w:w w:val="105"/>
          <w:sz w:val="16"/>
        </w:rPr>
        <w:t> </w:t>
      </w:r>
      <w:r>
        <w:rPr>
          <w:rFonts w:ascii="Calibri" w:hAnsi="Calibri"/>
          <w:color w:val="414042"/>
          <w:w w:val="105"/>
          <w:sz w:val="16"/>
        </w:rPr>
        <w:t>en</w:t>
      </w:r>
      <w:r>
        <w:rPr>
          <w:rFonts w:ascii="Calibri" w:hAnsi="Calibri"/>
          <w:color w:val="414042"/>
          <w:spacing w:val="-13"/>
          <w:w w:val="105"/>
          <w:sz w:val="16"/>
        </w:rPr>
        <w:t> </w:t>
      </w:r>
      <w:r>
        <w:rPr>
          <w:rFonts w:ascii="Calibri" w:hAnsi="Calibri"/>
          <w:color w:val="414042"/>
          <w:w w:val="105"/>
          <w:sz w:val="16"/>
        </w:rPr>
        <w:t>una</w:t>
      </w:r>
      <w:r>
        <w:rPr>
          <w:rFonts w:ascii="Calibri" w:hAnsi="Calibri"/>
          <w:color w:val="414042"/>
          <w:spacing w:val="-13"/>
          <w:w w:val="105"/>
          <w:sz w:val="16"/>
        </w:rPr>
        <w:t> </w:t>
      </w:r>
      <w:r>
        <w:rPr>
          <w:rFonts w:ascii="Calibri" w:hAnsi="Calibri"/>
          <w:color w:val="414042"/>
          <w:w w:val="105"/>
          <w:sz w:val="16"/>
        </w:rPr>
        <w:t>sólida</w:t>
      </w:r>
      <w:r>
        <w:rPr>
          <w:rFonts w:ascii="Calibri" w:hAnsi="Calibri"/>
          <w:color w:val="414042"/>
          <w:spacing w:val="-13"/>
          <w:w w:val="105"/>
          <w:sz w:val="16"/>
        </w:rPr>
        <w:t> </w:t>
      </w:r>
      <w:r>
        <w:rPr>
          <w:rFonts w:ascii="Calibri" w:hAnsi="Calibri"/>
          <w:color w:val="414042"/>
          <w:w w:val="105"/>
          <w:sz w:val="16"/>
        </w:rPr>
        <w:t>inversión</w:t>
      </w:r>
      <w:r>
        <w:rPr>
          <w:rFonts w:ascii="Calibri" w:hAnsi="Calibri"/>
          <w:color w:val="414042"/>
          <w:spacing w:val="-13"/>
          <w:w w:val="105"/>
          <w:sz w:val="16"/>
        </w:rPr>
        <w:t> </w:t>
      </w:r>
      <w:r>
        <w:rPr>
          <w:rFonts w:ascii="Calibri" w:hAnsi="Calibri"/>
          <w:color w:val="414042"/>
          <w:w w:val="105"/>
          <w:sz w:val="16"/>
        </w:rPr>
        <w:t>fuera</w:t>
      </w:r>
      <w:r>
        <w:rPr>
          <w:rFonts w:ascii="Calibri" w:hAnsi="Calibri"/>
          <w:color w:val="414042"/>
          <w:spacing w:val="-13"/>
          <w:w w:val="105"/>
          <w:sz w:val="16"/>
        </w:rPr>
        <w:t> </w:t>
      </w:r>
      <w:r>
        <w:rPr>
          <w:rFonts w:ascii="Calibri" w:hAnsi="Calibri"/>
          <w:color w:val="414042"/>
          <w:w w:val="105"/>
          <w:sz w:val="16"/>
        </w:rPr>
        <w:t>de</w:t>
      </w:r>
      <w:r>
        <w:rPr>
          <w:rFonts w:ascii="Calibri" w:hAnsi="Calibri"/>
          <w:color w:val="414042"/>
          <w:spacing w:val="-13"/>
          <w:w w:val="105"/>
          <w:sz w:val="16"/>
        </w:rPr>
        <w:t> </w:t>
      </w:r>
      <w:r>
        <w:rPr>
          <w:rFonts w:ascii="Calibri" w:hAnsi="Calibri"/>
          <w:color w:val="414042"/>
          <w:w w:val="105"/>
          <w:sz w:val="16"/>
        </w:rPr>
        <w:t>las</w:t>
      </w:r>
      <w:r>
        <w:rPr>
          <w:rFonts w:ascii="Calibri" w:hAnsi="Calibri"/>
          <w:color w:val="414042"/>
          <w:spacing w:val="-13"/>
          <w:w w:val="105"/>
          <w:sz w:val="16"/>
        </w:rPr>
        <w:t> </w:t>
      </w:r>
      <w:r>
        <w:rPr>
          <w:rFonts w:ascii="Calibri" w:hAnsi="Calibri"/>
          <w:color w:val="414042"/>
          <w:w w:val="105"/>
          <w:sz w:val="16"/>
        </w:rPr>
        <w:t>propias fronteras.</w:t>
      </w:r>
    </w:p>
    <w:p>
      <w:pPr>
        <w:spacing w:after="0" w:line="192" w:lineRule="exact"/>
        <w:jc w:val="both"/>
        <w:rPr>
          <w:rFonts w:ascii="Calibri" w:hAnsi="Calibri"/>
          <w:sz w:val="16"/>
        </w:rPr>
        <w:sectPr>
          <w:pgSz w:w="9640" w:h="13890"/>
          <w:pgMar w:top="0" w:bottom="280" w:left="1300" w:right="1180"/>
        </w:sectPr>
      </w:pPr>
    </w:p>
    <w:p>
      <w:pPr>
        <w:pStyle w:val="BodyText"/>
        <w:spacing w:line="259" w:lineRule="auto" w:before="120"/>
        <w:ind w:left="103" w:right="115"/>
        <w:jc w:val="both"/>
      </w:pPr>
      <w:r>
        <w:rPr>
          <w:color w:val="231F20"/>
          <w:w w:val="105"/>
        </w:rPr>
        <w:t>tendía</w:t>
      </w:r>
      <w:r>
        <w:rPr>
          <w:color w:val="231F20"/>
          <w:spacing w:val="-10"/>
          <w:w w:val="105"/>
        </w:rPr>
        <w:t> </w:t>
      </w:r>
      <w:r>
        <w:rPr>
          <w:color w:val="231F20"/>
          <w:w w:val="105"/>
        </w:rPr>
        <w:t>dar</w:t>
      </w:r>
      <w:r>
        <w:rPr>
          <w:color w:val="231F20"/>
          <w:spacing w:val="-10"/>
          <w:w w:val="105"/>
        </w:rPr>
        <w:t> </w:t>
      </w:r>
      <w:r>
        <w:rPr>
          <w:color w:val="231F20"/>
          <w:w w:val="105"/>
        </w:rPr>
        <w:t>respuestas</w:t>
      </w:r>
      <w:r>
        <w:rPr>
          <w:color w:val="231F20"/>
          <w:spacing w:val="-10"/>
          <w:w w:val="105"/>
        </w:rPr>
        <w:t> </w:t>
      </w:r>
      <w:r>
        <w:rPr>
          <w:color w:val="231F20"/>
          <w:w w:val="105"/>
        </w:rPr>
        <w:t>teóricas</w:t>
      </w:r>
      <w:r>
        <w:rPr>
          <w:color w:val="231F20"/>
          <w:spacing w:val="-10"/>
          <w:w w:val="105"/>
        </w:rPr>
        <w:t> </w:t>
      </w:r>
      <w:r>
        <w:rPr>
          <w:color w:val="231F20"/>
          <w:w w:val="105"/>
        </w:rPr>
        <w:t>a</w:t>
      </w:r>
      <w:r>
        <w:rPr>
          <w:color w:val="231F20"/>
          <w:spacing w:val="-10"/>
          <w:w w:val="105"/>
        </w:rPr>
        <w:t> </w:t>
      </w:r>
      <w:r>
        <w:rPr>
          <w:color w:val="231F20"/>
          <w:w w:val="105"/>
        </w:rPr>
        <w:t>una</w:t>
      </w:r>
      <w:r>
        <w:rPr>
          <w:color w:val="231F20"/>
          <w:spacing w:val="-10"/>
          <w:w w:val="105"/>
        </w:rPr>
        <w:t> </w:t>
      </w:r>
      <w:r>
        <w:rPr>
          <w:color w:val="231F20"/>
          <w:w w:val="105"/>
        </w:rPr>
        <w:t>realidad</w:t>
      </w:r>
      <w:r>
        <w:rPr>
          <w:color w:val="231F20"/>
          <w:spacing w:val="-10"/>
          <w:w w:val="105"/>
        </w:rPr>
        <w:t> </w:t>
      </w:r>
      <w:r>
        <w:rPr>
          <w:color w:val="231F20"/>
          <w:w w:val="105"/>
        </w:rPr>
        <w:t>mucho</w:t>
      </w:r>
      <w:r>
        <w:rPr>
          <w:color w:val="231F20"/>
          <w:spacing w:val="-10"/>
          <w:w w:val="105"/>
        </w:rPr>
        <w:t> </w:t>
      </w:r>
      <w:r>
        <w:rPr>
          <w:color w:val="231F20"/>
          <w:w w:val="105"/>
        </w:rPr>
        <w:t>más</w:t>
      </w:r>
      <w:r>
        <w:rPr>
          <w:color w:val="231F20"/>
          <w:spacing w:val="-10"/>
          <w:w w:val="105"/>
        </w:rPr>
        <w:t> </w:t>
      </w:r>
      <w:r>
        <w:rPr>
          <w:color w:val="231F20"/>
          <w:w w:val="105"/>
        </w:rPr>
        <w:t>compleja</w:t>
      </w:r>
      <w:r>
        <w:rPr>
          <w:color w:val="231F20"/>
          <w:spacing w:val="-10"/>
          <w:w w:val="105"/>
        </w:rPr>
        <w:t> </w:t>
      </w:r>
      <w:r>
        <w:rPr>
          <w:color w:val="231F20"/>
          <w:w w:val="105"/>
        </w:rPr>
        <w:t>que la asumida por los teóricos clásicos, puesto que la teoría de la ventaja comparativa</w:t>
      </w:r>
      <w:r>
        <w:rPr>
          <w:color w:val="231F20"/>
          <w:spacing w:val="-25"/>
          <w:w w:val="105"/>
        </w:rPr>
        <w:t> </w:t>
      </w:r>
      <w:r>
        <w:rPr>
          <w:color w:val="231F20"/>
          <w:w w:val="105"/>
        </w:rPr>
        <w:t>ya</w:t>
      </w:r>
      <w:r>
        <w:rPr>
          <w:color w:val="231F20"/>
          <w:spacing w:val="-25"/>
          <w:w w:val="105"/>
        </w:rPr>
        <w:t> </w:t>
      </w:r>
      <w:r>
        <w:rPr>
          <w:color w:val="231F20"/>
          <w:w w:val="105"/>
        </w:rPr>
        <w:t>no</w:t>
      </w:r>
      <w:r>
        <w:rPr>
          <w:color w:val="231F20"/>
          <w:spacing w:val="-25"/>
          <w:w w:val="105"/>
        </w:rPr>
        <w:t> </w:t>
      </w:r>
      <w:r>
        <w:rPr>
          <w:color w:val="231F20"/>
          <w:w w:val="105"/>
        </w:rPr>
        <w:t>explicaba</w:t>
      </w:r>
      <w:r>
        <w:rPr>
          <w:color w:val="231F20"/>
          <w:spacing w:val="-25"/>
          <w:w w:val="105"/>
        </w:rPr>
        <w:t> </w:t>
      </w:r>
      <w:r>
        <w:rPr>
          <w:color w:val="231F20"/>
          <w:w w:val="105"/>
        </w:rPr>
        <w:t>suficientemente</w:t>
      </w:r>
      <w:r>
        <w:rPr>
          <w:color w:val="231F20"/>
          <w:spacing w:val="-25"/>
          <w:w w:val="105"/>
        </w:rPr>
        <w:t> </w:t>
      </w:r>
      <w:r>
        <w:rPr>
          <w:color w:val="231F20"/>
          <w:w w:val="105"/>
        </w:rPr>
        <w:t>la</w:t>
      </w:r>
      <w:r>
        <w:rPr>
          <w:color w:val="231F20"/>
          <w:spacing w:val="-25"/>
          <w:w w:val="105"/>
        </w:rPr>
        <w:t> </w:t>
      </w:r>
      <w:r>
        <w:rPr>
          <w:color w:val="231F20"/>
          <w:w w:val="105"/>
        </w:rPr>
        <w:t>competitividad</w:t>
      </w:r>
      <w:r>
        <w:rPr>
          <w:color w:val="231F20"/>
          <w:spacing w:val="-25"/>
          <w:w w:val="105"/>
        </w:rPr>
        <w:t> </w:t>
      </w:r>
      <w:r>
        <w:rPr>
          <w:color w:val="231F20"/>
          <w:w w:val="105"/>
        </w:rPr>
        <w:t>de</w:t>
      </w:r>
      <w:r>
        <w:rPr>
          <w:color w:val="231F20"/>
          <w:spacing w:val="-25"/>
          <w:w w:val="105"/>
        </w:rPr>
        <w:t> </w:t>
      </w:r>
      <w:r>
        <w:rPr>
          <w:color w:val="231F20"/>
          <w:w w:val="105"/>
        </w:rPr>
        <w:t>las</w:t>
      </w:r>
      <w:r>
        <w:rPr>
          <w:color w:val="231F20"/>
          <w:spacing w:val="-25"/>
          <w:w w:val="105"/>
        </w:rPr>
        <w:t> </w:t>
      </w:r>
      <w:r>
        <w:rPr>
          <w:color w:val="231F20"/>
          <w:w w:val="105"/>
        </w:rPr>
        <w:t>na- ciones,</w:t>
      </w:r>
      <w:r>
        <w:rPr>
          <w:color w:val="231F20"/>
          <w:spacing w:val="-27"/>
          <w:w w:val="105"/>
        </w:rPr>
        <w:t> </w:t>
      </w:r>
      <w:r>
        <w:rPr>
          <w:color w:val="231F20"/>
          <w:w w:val="105"/>
        </w:rPr>
        <w:t>a</w:t>
      </w:r>
      <w:r>
        <w:rPr>
          <w:color w:val="231F20"/>
          <w:spacing w:val="-21"/>
          <w:w w:val="105"/>
        </w:rPr>
        <w:t> </w:t>
      </w:r>
      <w:r>
        <w:rPr>
          <w:color w:val="231F20"/>
          <w:w w:val="105"/>
        </w:rPr>
        <w:t>pesar</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w w:val="105"/>
        </w:rPr>
        <w:t>el</w:t>
      </w:r>
      <w:r>
        <w:rPr>
          <w:color w:val="231F20"/>
          <w:spacing w:val="-21"/>
          <w:w w:val="105"/>
        </w:rPr>
        <w:t> </w:t>
      </w:r>
      <w:r>
        <w:rPr>
          <w:color w:val="231F20"/>
          <w:w w:val="105"/>
        </w:rPr>
        <w:t>comercio</w:t>
      </w:r>
      <w:r>
        <w:rPr>
          <w:color w:val="231F20"/>
          <w:spacing w:val="-21"/>
          <w:w w:val="105"/>
        </w:rPr>
        <w:t> </w:t>
      </w:r>
      <w:r>
        <w:rPr>
          <w:color w:val="231F20"/>
          <w:w w:val="105"/>
        </w:rPr>
        <w:t>seguía</w:t>
      </w:r>
      <w:r>
        <w:rPr>
          <w:color w:val="231F20"/>
          <w:spacing w:val="-21"/>
          <w:w w:val="105"/>
        </w:rPr>
        <w:t> </w:t>
      </w:r>
      <w:r>
        <w:rPr>
          <w:color w:val="231F20"/>
          <w:w w:val="105"/>
        </w:rPr>
        <w:t>siendo</w:t>
      </w:r>
      <w:r>
        <w:rPr>
          <w:color w:val="231F20"/>
          <w:spacing w:val="-21"/>
          <w:w w:val="105"/>
        </w:rPr>
        <w:t> </w:t>
      </w:r>
      <w:r>
        <w:rPr>
          <w:color w:val="231F20"/>
          <w:w w:val="105"/>
        </w:rPr>
        <w:t>un</w:t>
      </w:r>
      <w:r>
        <w:rPr>
          <w:color w:val="231F20"/>
          <w:spacing w:val="-21"/>
          <w:w w:val="105"/>
        </w:rPr>
        <w:t> </w:t>
      </w:r>
      <w:r>
        <w:rPr>
          <w:color w:val="231F20"/>
          <w:w w:val="105"/>
        </w:rPr>
        <w:t>factor</w:t>
      </w:r>
      <w:r>
        <w:rPr>
          <w:color w:val="231F20"/>
          <w:spacing w:val="-21"/>
          <w:w w:val="105"/>
        </w:rPr>
        <w:t> </w:t>
      </w:r>
      <w:r>
        <w:rPr>
          <w:color w:val="231F20"/>
          <w:w w:val="105"/>
        </w:rPr>
        <w:t>esencial</w:t>
      </w:r>
      <w:r>
        <w:rPr>
          <w:color w:val="231F20"/>
          <w:spacing w:val="-21"/>
          <w:w w:val="105"/>
        </w:rPr>
        <w:t> </w:t>
      </w:r>
      <w:r>
        <w:rPr>
          <w:color w:val="231F20"/>
          <w:w w:val="105"/>
        </w:rPr>
        <w:t>en</w:t>
      </w:r>
      <w:r>
        <w:rPr>
          <w:color w:val="231F20"/>
          <w:spacing w:val="-21"/>
          <w:w w:val="105"/>
        </w:rPr>
        <w:t> </w:t>
      </w:r>
      <w:r>
        <w:rPr>
          <w:color w:val="231F20"/>
          <w:w w:val="105"/>
        </w:rPr>
        <w:t>el éxito competitivo de un país, en la compra-venta de productos y en las dotaciones</w:t>
      </w:r>
      <w:r>
        <w:rPr>
          <w:color w:val="231F20"/>
          <w:spacing w:val="-35"/>
          <w:w w:val="105"/>
        </w:rPr>
        <w:t> </w:t>
      </w:r>
      <w:r>
        <w:rPr>
          <w:color w:val="231F20"/>
          <w:w w:val="105"/>
        </w:rPr>
        <w:t>naturales</w:t>
      </w:r>
      <w:r>
        <w:rPr>
          <w:color w:val="231F20"/>
          <w:spacing w:val="-35"/>
          <w:w w:val="105"/>
        </w:rPr>
        <w:t> </w:t>
      </w:r>
      <w:r>
        <w:rPr>
          <w:color w:val="231F20"/>
          <w:w w:val="105"/>
        </w:rPr>
        <w:t>de</w:t>
      </w:r>
      <w:r>
        <w:rPr>
          <w:color w:val="231F20"/>
          <w:spacing w:val="-35"/>
          <w:w w:val="105"/>
        </w:rPr>
        <w:t> </w:t>
      </w:r>
      <w:r>
        <w:rPr>
          <w:color w:val="231F20"/>
          <w:w w:val="105"/>
        </w:rPr>
        <w:t>factores</w:t>
      </w:r>
      <w:r>
        <w:rPr>
          <w:color w:val="231F20"/>
          <w:spacing w:val="-35"/>
          <w:w w:val="105"/>
        </w:rPr>
        <w:t> </w:t>
      </w:r>
      <w:r>
        <w:rPr>
          <w:color w:val="231F20"/>
          <w:w w:val="105"/>
        </w:rPr>
        <w:t>(Oyarzun,</w:t>
      </w:r>
      <w:r>
        <w:rPr>
          <w:color w:val="231F20"/>
          <w:spacing w:val="-38"/>
          <w:w w:val="105"/>
        </w:rPr>
        <w:t> </w:t>
      </w:r>
      <w:r>
        <w:rPr>
          <w:color w:val="231F20"/>
          <w:w w:val="105"/>
        </w:rPr>
        <w:t>1994).</w:t>
      </w:r>
    </w:p>
    <w:p>
      <w:pPr>
        <w:pStyle w:val="BodyText"/>
        <w:spacing w:line="259" w:lineRule="auto"/>
        <w:ind w:left="103" w:right="114" w:firstLine="567"/>
        <w:jc w:val="right"/>
      </w:pPr>
      <w:r>
        <w:rPr>
          <w:color w:val="231F20"/>
          <w:w w:val="105"/>
        </w:rPr>
        <w:t>La</w:t>
      </w:r>
      <w:r>
        <w:rPr>
          <w:color w:val="231F20"/>
          <w:spacing w:val="-9"/>
          <w:w w:val="105"/>
        </w:rPr>
        <w:t> </w:t>
      </w:r>
      <w:r>
        <w:rPr>
          <w:color w:val="231F20"/>
          <w:spacing w:val="-3"/>
          <w:w w:val="105"/>
        </w:rPr>
        <w:t>consolidación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spacing w:val="-3"/>
          <w:w w:val="105"/>
        </w:rPr>
        <w:t>ventajas</w:t>
      </w:r>
      <w:r>
        <w:rPr>
          <w:color w:val="231F20"/>
          <w:spacing w:val="-9"/>
          <w:w w:val="105"/>
        </w:rPr>
        <w:t> </w:t>
      </w:r>
      <w:r>
        <w:rPr>
          <w:color w:val="231F20"/>
          <w:spacing w:val="-4"/>
          <w:w w:val="105"/>
        </w:rPr>
        <w:t>comparativas</w:t>
      </w:r>
      <w:r>
        <w:rPr>
          <w:color w:val="231F20"/>
          <w:spacing w:val="-9"/>
          <w:w w:val="105"/>
        </w:rPr>
        <w:t> </w:t>
      </w:r>
      <w:r>
        <w:rPr>
          <w:color w:val="231F20"/>
          <w:spacing w:val="-3"/>
          <w:w w:val="105"/>
        </w:rPr>
        <w:t>lleva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spacing w:val="-3"/>
          <w:w w:val="105"/>
        </w:rPr>
        <w:t>conforma-</w:t>
      </w:r>
      <w:r>
        <w:rPr>
          <w:color w:val="231F20"/>
          <w:w w:val="96"/>
        </w:rPr>
        <w:t> </w:t>
      </w:r>
      <w:r>
        <w:rPr>
          <w:color w:val="231F20"/>
          <w:spacing w:val="-3"/>
          <w:w w:val="105"/>
        </w:rPr>
        <w:t>ción </w:t>
      </w:r>
      <w:r>
        <w:rPr>
          <w:color w:val="231F20"/>
          <w:w w:val="105"/>
        </w:rPr>
        <w:t>de las </w:t>
      </w:r>
      <w:r>
        <w:rPr>
          <w:color w:val="231F20"/>
          <w:spacing w:val="-3"/>
          <w:w w:val="105"/>
        </w:rPr>
        <w:t>ventajas </w:t>
      </w:r>
      <w:r>
        <w:rPr>
          <w:color w:val="231F20"/>
          <w:spacing w:val="-4"/>
          <w:w w:val="105"/>
        </w:rPr>
        <w:t>comparativas </w:t>
      </w:r>
      <w:r>
        <w:rPr>
          <w:color w:val="231F20"/>
          <w:spacing w:val="-3"/>
          <w:w w:val="105"/>
        </w:rPr>
        <w:t>reveladas, </w:t>
      </w:r>
      <w:r>
        <w:rPr>
          <w:color w:val="231F20"/>
          <w:w w:val="105"/>
        </w:rPr>
        <w:t>las </w:t>
      </w:r>
      <w:r>
        <w:rPr>
          <w:color w:val="231F20"/>
          <w:spacing w:val="-3"/>
          <w:w w:val="105"/>
        </w:rPr>
        <w:t>cuales pueden</w:t>
      </w:r>
      <w:r>
        <w:rPr>
          <w:color w:val="231F20"/>
          <w:spacing w:val="-37"/>
          <w:w w:val="105"/>
        </w:rPr>
        <w:t> </w:t>
      </w:r>
      <w:r>
        <w:rPr>
          <w:color w:val="231F20"/>
          <w:spacing w:val="-3"/>
          <w:w w:val="105"/>
        </w:rPr>
        <w:t>tener</w:t>
      </w:r>
      <w:r>
        <w:rPr>
          <w:color w:val="231F20"/>
          <w:spacing w:val="-6"/>
          <w:w w:val="105"/>
        </w:rPr>
        <w:t> </w:t>
      </w:r>
      <w:r>
        <w:rPr>
          <w:color w:val="231F20"/>
          <w:spacing w:val="-3"/>
          <w:w w:val="105"/>
        </w:rPr>
        <w:t>un</w:t>
      </w:r>
      <w:r>
        <w:rPr>
          <w:color w:val="231F20"/>
          <w:spacing w:val="-3"/>
          <w:w w:val="104"/>
        </w:rPr>
        <w:t> </w:t>
      </w:r>
      <w:r>
        <w:rPr>
          <w:color w:val="231F20"/>
          <w:spacing w:val="-3"/>
          <w:w w:val="105"/>
        </w:rPr>
        <w:t>doble significado. </w:t>
      </w:r>
      <w:r>
        <w:rPr>
          <w:color w:val="231F20"/>
          <w:w w:val="105"/>
        </w:rPr>
        <w:t>El </w:t>
      </w:r>
      <w:r>
        <w:rPr>
          <w:color w:val="231F20"/>
          <w:spacing w:val="-3"/>
          <w:w w:val="105"/>
        </w:rPr>
        <w:t>primero relacionado </w:t>
      </w:r>
      <w:r>
        <w:rPr>
          <w:color w:val="231F20"/>
          <w:w w:val="105"/>
        </w:rPr>
        <w:t>con la </w:t>
      </w:r>
      <w:r>
        <w:rPr>
          <w:color w:val="231F20"/>
          <w:spacing w:val="-3"/>
          <w:w w:val="105"/>
        </w:rPr>
        <w:t>comparación </w:t>
      </w:r>
      <w:r>
        <w:rPr>
          <w:color w:val="231F20"/>
          <w:w w:val="105"/>
        </w:rPr>
        <w:t>de</w:t>
      </w:r>
      <w:r>
        <w:rPr>
          <w:color w:val="231F20"/>
          <w:spacing w:val="34"/>
          <w:w w:val="105"/>
        </w:rPr>
        <w:t> </w:t>
      </w:r>
      <w:r>
        <w:rPr>
          <w:color w:val="231F20"/>
          <w:w w:val="105"/>
        </w:rPr>
        <w:t>la</w:t>
      </w:r>
      <w:r>
        <w:rPr>
          <w:color w:val="231F20"/>
          <w:spacing w:val="16"/>
          <w:w w:val="105"/>
        </w:rPr>
        <w:t> </w:t>
      </w:r>
      <w:r>
        <w:rPr>
          <w:color w:val="231F20"/>
          <w:w w:val="105"/>
        </w:rPr>
        <w:t>efi-</w:t>
      </w:r>
      <w:r>
        <w:rPr>
          <w:color w:val="231F20"/>
          <w:w w:val="96"/>
        </w:rPr>
        <w:t> </w:t>
      </w:r>
      <w:r>
        <w:rPr>
          <w:color w:val="231F20"/>
          <w:spacing w:val="-3"/>
          <w:w w:val="105"/>
        </w:rPr>
        <w:t>ciencia </w:t>
      </w:r>
      <w:r>
        <w:rPr>
          <w:color w:val="231F20"/>
          <w:w w:val="105"/>
        </w:rPr>
        <w:t>en la </w:t>
      </w:r>
      <w:r>
        <w:rPr>
          <w:color w:val="231F20"/>
          <w:spacing w:val="-3"/>
          <w:w w:val="105"/>
        </w:rPr>
        <w:t>producción </w:t>
      </w:r>
      <w:r>
        <w:rPr>
          <w:color w:val="231F20"/>
          <w:w w:val="105"/>
        </w:rPr>
        <w:t>de dos </w:t>
      </w:r>
      <w:r>
        <w:rPr>
          <w:color w:val="231F20"/>
          <w:spacing w:val="-3"/>
          <w:w w:val="105"/>
        </w:rPr>
        <w:t>países (aquel </w:t>
      </w:r>
      <w:r>
        <w:rPr>
          <w:color w:val="231F20"/>
          <w:w w:val="105"/>
        </w:rPr>
        <w:t>con el </w:t>
      </w:r>
      <w:r>
        <w:rPr>
          <w:color w:val="231F20"/>
          <w:spacing w:val="-3"/>
          <w:w w:val="105"/>
        </w:rPr>
        <w:t>costo</w:t>
      </w:r>
      <w:r>
        <w:rPr>
          <w:color w:val="231F20"/>
          <w:spacing w:val="4"/>
          <w:w w:val="105"/>
        </w:rPr>
        <w:t> </w:t>
      </w:r>
      <w:r>
        <w:rPr>
          <w:color w:val="231F20"/>
          <w:w w:val="105"/>
        </w:rPr>
        <w:t>de</w:t>
      </w:r>
      <w:r>
        <w:rPr>
          <w:color w:val="231F20"/>
          <w:spacing w:val="4"/>
          <w:w w:val="105"/>
        </w:rPr>
        <w:t> </w:t>
      </w:r>
      <w:r>
        <w:rPr>
          <w:color w:val="231F20"/>
          <w:spacing w:val="-3"/>
          <w:w w:val="105"/>
        </w:rPr>
        <w:t>oportuni-</w:t>
      </w:r>
      <w:r>
        <w:rPr>
          <w:color w:val="231F20"/>
          <w:w w:val="96"/>
        </w:rPr>
        <w:t> </w:t>
      </w:r>
      <w:r>
        <w:rPr>
          <w:color w:val="231F20"/>
          <w:w w:val="105"/>
        </w:rPr>
        <w:t>dad</w:t>
      </w:r>
      <w:r>
        <w:rPr>
          <w:color w:val="231F20"/>
          <w:spacing w:val="-9"/>
          <w:w w:val="105"/>
        </w:rPr>
        <w:t> </w:t>
      </w:r>
      <w:r>
        <w:rPr>
          <w:color w:val="231F20"/>
          <w:w w:val="105"/>
        </w:rPr>
        <w:t>más</w:t>
      </w:r>
      <w:r>
        <w:rPr>
          <w:color w:val="231F20"/>
          <w:spacing w:val="-9"/>
          <w:w w:val="105"/>
        </w:rPr>
        <w:t> </w:t>
      </w:r>
      <w:r>
        <w:rPr>
          <w:color w:val="231F20"/>
          <w:spacing w:val="-3"/>
          <w:w w:val="105"/>
        </w:rPr>
        <w:t>bajo</w:t>
      </w:r>
      <w:r>
        <w:rPr>
          <w:color w:val="231F20"/>
          <w:spacing w:val="-9"/>
          <w:w w:val="105"/>
        </w:rPr>
        <w:t> </w:t>
      </w:r>
      <w:r>
        <w:rPr>
          <w:color w:val="231F20"/>
          <w:w w:val="105"/>
        </w:rPr>
        <w:t>es</w:t>
      </w:r>
      <w:r>
        <w:rPr>
          <w:color w:val="231F20"/>
          <w:spacing w:val="-9"/>
          <w:w w:val="105"/>
        </w:rPr>
        <w:t> </w:t>
      </w:r>
      <w:r>
        <w:rPr>
          <w:color w:val="231F20"/>
          <w:spacing w:val="-4"/>
          <w:w w:val="105"/>
        </w:rPr>
        <w:t>relativamente</w:t>
      </w:r>
      <w:r>
        <w:rPr>
          <w:color w:val="231F20"/>
          <w:spacing w:val="-9"/>
          <w:w w:val="105"/>
        </w:rPr>
        <w:t> </w:t>
      </w:r>
      <w:r>
        <w:rPr>
          <w:color w:val="231F20"/>
          <w:w w:val="105"/>
        </w:rPr>
        <w:t>más</w:t>
      </w:r>
      <w:r>
        <w:rPr>
          <w:color w:val="231F20"/>
          <w:spacing w:val="-9"/>
          <w:w w:val="105"/>
        </w:rPr>
        <w:t> </w:t>
      </w:r>
      <w:r>
        <w:rPr>
          <w:color w:val="231F20"/>
          <w:spacing w:val="-3"/>
          <w:w w:val="105"/>
        </w:rPr>
        <w:t>eficiente</w:t>
      </w:r>
      <w:r>
        <w:rPr>
          <w:color w:val="231F20"/>
          <w:spacing w:val="-9"/>
          <w:w w:val="105"/>
        </w:rPr>
        <w:t> </w:t>
      </w:r>
      <w:r>
        <w:rPr>
          <w:color w:val="231F20"/>
          <w:spacing w:val="-5"/>
          <w:w w:val="105"/>
        </w:rPr>
        <w:t>y,</w:t>
      </w:r>
      <w:r>
        <w:rPr>
          <w:color w:val="231F20"/>
          <w:spacing w:val="-14"/>
          <w:w w:val="105"/>
        </w:rPr>
        <w:t> </w:t>
      </w:r>
      <w:r>
        <w:rPr>
          <w:color w:val="231F20"/>
          <w:w w:val="105"/>
        </w:rPr>
        <w:t>por</w:t>
      </w:r>
      <w:r>
        <w:rPr>
          <w:color w:val="231F20"/>
          <w:spacing w:val="-9"/>
          <w:w w:val="105"/>
        </w:rPr>
        <w:t> </w:t>
      </w:r>
      <w:r>
        <w:rPr>
          <w:color w:val="231F20"/>
          <w:w w:val="105"/>
        </w:rPr>
        <w:t>lo</w:t>
      </w:r>
      <w:r>
        <w:rPr>
          <w:color w:val="231F20"/>
          <w:spacing w:val="-9"/>
          <w:w w:val="105"/>
        </w:rPr>
        <w:t> </w:t>
      </w:r>
      <w:r>
        <w:rPr>
          <w:color w:val="231F20"/>
          <w:spacing w:val="-3"/>
          <w:w w:val="105"/>
        </w:rPr>
        <w:t>tanto,</w:t>
      </w:r>
      <w:r>
        <w:rPr>
          <w:color w:val="231F20"/>
          <w:spacing w:val="-14"/>
          <w:w w:val="105"/>
        </w:rPr>
        <w:t> </w:t>
      </w:r>
      <w:r>
        <w:rPr>
          <w:color w:val="231F20"/>
          <w:spacing w:val="-3"/>
          <w:w w:val="105"/>
        </w:rPr>
        <w:t>tiene</w:t>
      </w:r>
      <w:r>
        <w:rPr>
          <w:color w:val="231F20"/>
          <w:spacing w:val="-9"/>
          <w:w w:val="105"/>
        </w:rPr>
        <w:t> </w:t>
      </w:r>
      <w:r>
        <w:rPr>
          <w:color w:val="231F20"/>
          <w:spacing w:val="-3"/>
          <w:w w:val="105"/>
        </w:rPr>
        <w:t>ventaja</w:t>
      </w:r>
      <w:r>
        <w:rPr>
          <w:color w:val="231F20"/>
          <w:spacing w:val="-3"/>
          <w:w w:val="101"/>
        </w:rPr>
        <w:t> </w:t>
      </w:r>
      <w:r>
        <w:rPr>
          <w:color w:val="231F20"/>
          <w:spacing w:val="-4"/>
          <w:w w:val="105"/>
        </w:rPr>
        <w:t>comparativa).</w:t>
      </w:r>
      <w:r>
        <w:rPr>
          <w:color w:val="231F20"/>
          <w:spacing w:val="-20"/>
          <w:w w:val="105"/>
        </w:rPr>
        <w:t> </w:t>
      </w:r>
      <w:r>
        <w:rPr>
          <w:color w:val="231F20"/>
          <w:w w:val="105"/>
        </w:rPr>
        <w:t>El</w:t>
      </w:r>
      <w:r>
        <w:rPr>
          <w:color w:val="231F20"/>
          <w:spacing w:val="-15"/>
          <w:w w:val="105"/>
        </w:rPr>
        <w:t> </w:t>
      </w:r>
      <w:r>
        <w:rPr>
          <w:color w:val="231F20"/>
          <w:spacing w:val="-3"/>
          <w:w w:val="105"/>
        </w:rPr>
        <w:t>segundo</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spacing w:val="-3"/>
          <w:w w:val="105"/>
        </w:rPr>
        <w:t>eficiencia</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spacing w:val="-3"/>
          <w:w w:val="105"/>
        </w:rPr>
        <w:t>diferentes</w:t>
      </w:r>
      <w:r>
        <w:rPr>
          <w:color w:val="231F20"/>
          <w:spacing w:val="-15"/>
          <w:w w:val="105"/>
        </w:rPr>
        <w:t> </w:t>
      </w:r>
      <w:r>
        <w:rPr>
          <w:color w:val="231F20"/>
          <w:spacing w:val="-4"/>
          <w:w w:val="105"/>
        </w:rPr>
        <w:t>producciones</w:t>
      </w:r>
      <w:r>
        <w:rPr>
          <w:color w:val="231F20"/>
          <w:spacing w:val="-3"/>
          <w:w w:val="104"/>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spacing w:val="-3"/>
          <w:w w:val="105"/>
        </w:rPr>
        <w:t>ámbito</w:t>
      </w:r>
      <w:r>
        <w:rPr>
          <w:color w:val="231F20"/>
          <w:spacing w:val="-23"/>
          <w:w w:val="105"/>
        </w:rPr>
        <w:t> </w:t>
      </w:r>
      <w:r>
        <w:rPr>
          <w:color w:val="231F20"/>
          <w:spacing w:val="-3"/>
          <w:w w:val="105"/>
        </w:rPr>
        <w:t>doméstico</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spacing w:val="-3"/>
          <w:w w:val="105"/>
        </w:rPr>
        <w:t>cual</w:t>
      </w:r>
      <w:r>
        <w:rPr>
          <w:color w:val="231F20"/>
          <w:spacing w:val="-23"/>
          <w:w w:val="105"/>
        </w:rPr>
        <w:t> </w:t>
      </w:r>
      <w:r>
        <w:rPr>
          <w:color w:val="231F20"/>
          <w:w w:val="105"/>
        </w:rPr>
        <w:t>los</w:t>
      </w:r>
      <w:r>
        <w:rPr>
          <w:color w:val="231F20"/>
          <w:spacing w:val="-23"/>
          <w:w w:val="105"/>
        </w:rPr>
        <w:t> </w:t>
      </w:r>
      <w:r>
        <w:rPr>
          <w:color w:val="231F20"/>
          <w:spacing w:val="-3"/>
          <w:w w:val="105"/>
        </w:rPr>
        <w:t>productos</w:t>
      </w:r>
      <w:r>
        <w:rPr>
          <w:color w:val="231F20"/>
          <w:spacing w:val="-23"/>
          <w:w w:val="105"/>
        </w:rPr>
        <w:t> </w:t>
      </w:r>
      <w:r>
        <w:rPr>
          <w:color w:val="231F20"/>
          <w:w w:val="105"/>
        </w:rPr>
        <w:t>se</w:t>
      </w:r>
      <w:r>
        <w:rPr>
          <w:color w:val="231F20"/>
          <w:spacing w:val="-23"/>
          <w:w w:val="105"/>
        </w:rPr>
        <w:t> </w:t>
      </w:r>
      <w:r>
        <w:rPr>
          <w:color w:val="231F20"/>
          <w:spacing w:val="-3"/>
          <w:w w:val="105"/>
        </w:rPr>
        <w:t>comparan</w:t>
      </w:r>
      <w:r>
        <w:rPr>
          <w:color w:val="231F20"/>
          <w:spacing w:val="-23"/>
          <w:w w:val="105"/>
        </w:rPr>
        <w:t> </w:t>
      </w:r>
      <w:r>
        <w:rPr>
          <w:color w:val="231F20"/>
          <w:w w:val="105"/>
        </w:rPr>
        <w:t>en</w:t>
      </w:r>
      <w:r>
        <w:rPr>
          <w:color w:val="231F20"/>
          <w:spacing w:val="-23"/>
          <w:w w:val="105"/>
        </w:rPr>
        <w:t> </w:t>
      </w:r>
      <w:r>
        <w:rPr>
          <w:color w:val="231F20"/>
          <w:spacing w:val="-3"/>
          <w:w w:val="105"/>
        </w:rPr>
        <w:t>términos</w:t>
      </w:r>
      <w:r>
        <w:rPr>
          <w:color w:val="231F20"/>
          <w:spacing w:val="-3"/>
          <w:w w:val="104"/>
        </w:rPr>
        <w:t> </w:t>
      </w:r>
      <w:r>
        <w:rPr>
          <w:color w:val="231F20"/>
          <w:w w:val="105"/>
        </w:rPr>
        <w:t>de</w:t>
      </w:r>
      <w:r>
        <w:rPr>
          <w:color w:val="231F20"/>
          <w:spacing w:val="-31"/>
          <w:w w:val="105"/>
        </w:rPr>
        <w:t> </w:t>
      </w:r>
      <w:r>
        <w:rPr>
          <w:color w:val="231F20"/>
          <w:w w:val="105"/>
        </w:rPr>
        <w:t>sus</w:t>
      </w:r>
      <w:r>
        <w:rPr>
          <w:color w:val="231F20"/>
          <w:spacing w:val="-31"/>
          <w:w w:val="105"/>
        </w:rPr>
        <w:t> </w:t>
      </w:r>
      <w:r>
        <w:rPr>
          <w:color w:val="231F20"/>
          <w:spacing w:val="-3"/>
          <w:w w:val="105"/>
        </w:rPr>
        <w:t>ganancias</w:t>
      </w:r>
      <w:r>
        <w:rPr>
          <w:color w:val="231F20"/>
          <w:spacing w:val="-31"/>
          <w:w w:val="105"/>
        </w:rPr>
        <w:t> </w:t>
      </w:r>
      <w:r>
        <w:rPr>
          <w:color w:val="231F20"/>
          <w:w w:val="105"/>
        </w:rPr>
        <w:t>y</w:t>
      </w:r>
      <w:r>
        <w:rPr>
          <w:color w:val="231F20"/>
          <w:spacing w:val="-31"/>
          <w:w w:val="105"/>
        </w:rPr>
        <w:t> </w:t>
      </w:r>
      <w:r>
        <w:rPr>
          <w:color w:val="231F20"/>
          <w:spacing w:val="-3"/>
          <w:w w:val="105"/>
        </w:rPr>
        <w:t>ahorro</w:t>
      </w:r>
      <w:r>
        <w:rPr>
          <w:color w:val="231F20"/>
          <w:spacing w:val="-31"/>
          <w:w w:val="105"/>
        </w:rPr>
        <w:t> </w:t>
      </w:r>
      <w:r>
        <w:rPr>
          <w:color w:val="231F20"/>
          <w:w w:val="105"/>
        </w:rPr>
        <w:t>por</w:t>
      </w:r>
      <w:r>
        <w:rPr>
          <w:color w:val="231F20"/>
          <w:spacing w:val="-31"/>
          <w:w w:val="105"/>
        </w:rPr>
        <w:t> </w:t>
      </w:r>
      <w:r>
        <w:rPr>
          <w:color w:val="231F20"/>
          <w:spacing w:val="-3"/>
          <w:w w:val="105"/>
        </w:rPr>
        <w:t>unidad</w:t>
      </w:r>
      <w:r>
        <w:rPr>
          <w:color w:val="231F20"/>
          <w:spacing w:val="-31"/>
          <w:w w:val="105"/>
        </w:rPr>
        <w:t> </w:t>
      </w:r>
      <w:r>
        <w:rPr>
          <w:color w:val="231F20"/>
          <w:w w:val="105"/>
        </w:rPr>
        <w:t>de</w:t>
      </w:r>
      <w:r>
        <w:rPr>
          <w:color w:val="231F20"/>
          <w:spacing w:val="-31"/>
          <w:w w:val="105"/>
        </w:rPr>
        <w:t> </w:t>
      </w:r>
      <w:r>
        <w:rPr>
          <w:color w:val="231F20"/>
          <w:spacing w:val="-3"/>
          <w:w w:val="105"/>
        </w:rPr>
        <w:t>divisas</w:t>
      </w:r>
      <w:r>
        <w:rPr>
          <w:color w:val="231F20"/>
          <w:spacing w:val="-31"/>
          <w:w w:val="105"/>
        </w:rPr>
        <w:t> </w:t>
      </w:r>
      <w:r>
        <w:rPr>
          <w:color w:val="231F20"/>
          <w:spacing w:val="-3"/>
          <w:w w:val="105"/>
        </w:rPr>
        <w:t>utilizadas)</w:t>
      </w:r>
      <w:r>
        <w:rPr>
          <w:color w:val="231F20"/>
          <w:spacing w:val="-31"/>
          <w:w w:val="105"/>
        </w:rPr>
        <w:t> </w:t>
      </w:r>
      <w:r>
        <w:rPr>
          <w:color w:val="231F20"/>
          <w:spacing w:val="-6"/>
          <w:w w:val="105"/>
        </w:rPr>
        <w:t>(Tsakok,</w:t>
      </w:r>
      <w:r>
        <w:rPr>
          <w:color w:val="231F20"/>
          <w:spacing w:val="-35"/>
          <w:w w:val="105"/>
        </w:rPr>
        <w:t> </w:t>
      </w:r>
      <w:r>
        <w:rPr>
          <w:color w:val="231F20"/>
          <w:spacing w:val="-3"/>
          <w:w w:val="105"/>
        </w:rPr>
        <w:t>1990).</w:t>
      </w:r>
    </w:p>
    <w:p>
      <w:pPr>
        <w:pStyle w:val="BodyText"/>
        <w:spacing w:line="259" w:lineRule="auto"/>
        <w:ind w:left="103" w:right="115" w:firstLine="567"/>
        <w:jc w:val="both"/>
      </w:pPr>
      <w:r>
        <w:rPr>
          <w:color w:val="231F20"/>
          <w:w w:val="105"/>
        </w:rPr>
        <w:t>En este sentido, se identifican dos tipos de ventajas competitivas </w:t>
      </w:r>
      <w:r>
        <w:rPr>
          <w:color w:val="231F20"/>
        </w:rPr>
        <w:t>(Sobrino, 2002):</w:t>
      </w:r>
    </w:p>
    <w:p>
      <w:pPr>
        <w:pStyle w:val="ListParagraph"/>
        <w:numPr>
          <w:ilvl w:val="0"/>
          <w:numId w:val="61"/>
        </w:numPr>
        <w:tabs>
          <w:tab w:pos="970" w:val="left" w:leader="none"/>
        </w:tabs>
        <w:spacing w:line="259" w:lineRule="auto" w:before="0" w:after="0"/>
        <w:ind w:left="103" w:right="112" w:firstLine="567"/>
        <w:jc w:val="both"/>
        <w:rPr>
          <w:sz w:val="21"/>
        </w:rPr>
      </w:pPr>
      <w:r>
        <w:rPr>
          <w:color w:val="231F20"/>
          <w:w w:val="105"/>
          <w:sz w:val="21"/>
        </w:rPr>
        <w:t>Estáticas.</w:t>
      </w:r>
      <w:r>
        <w:rPr>
          <w:color w:val="231F20"/>
          <w:spacing w:val="-21"/>
          <w:w w:val="105"/>
          <w:sz w:val="21"/>
        </w:rPr>
        <w:t> </w:t>
      </w:r>
      <w:r>
        <w:rPr>
          <w:color w:val="231F20"/>
          <w:w w:val="105"/>
          <w:sz w:val="21"/>
        </w:rPr>
        <w:t>Son</w:t>
      </w:r>
      <w:r>
        <w:rPr>
          <w:color w:val="231F20"/>
          <w:spacing w:val="-17"/>
          <w:w w:val="105"/>
          <w:sz w:val="21"/>
        </w:rPr>
        <w:t> </w:t>
      </w:r>
      <w:r>
        <w:rPr>
          <w:color w:val="231F20"/>
          <w:w w:val="105"/>
          <w:sz w:val="21"/>
        </w:rPr>
        <w:t>las</w:t>
      </w:r>
      <w:r>
        <w:rPr>
          <w:color w:val="231F20"/>
          <w:spacing w:val="-17"/>
          <w:w w:val="105"/>
          <w:sz w:val="21"/>
        </w:rPr>
        <w:t> </w:t>
      </w:r>
      <w:r>
        <w:rPr>
          <w:color w:val="231F20"/>
          <w:w w:val="105"/>
          <w:sz w:val="21"/>
        </w:rPr>
        <w:t>que</w:t>
      </w:r>
      <w:r>
        <w:rPr>
          <w:color w:val="231F20"/>
          <w:spacing w:val="-17"/>
          <w:w w:val="105"/>
          <w:sz w:val="21"/>
        </w:rPr>
        <w:t> </w:t>
      </w:r>
      <w:r>
        <w:rPr>
          <w:color w:val="231F20"/>
          <w:w w:val="105"/>
          <w:sz w:val="21"/>
        </w:rPr>
        <w:t>se</w:t>
      </w:r>
      <w:r>
        <w:rPr>
          <w:color w:val="231F20"/>
          <w:spacing w:val="-17"/>
          <w:w w:val="105"/>
          <w:sz w:val="21"/>
        </w:rPr>
        <w:t> </w:t>
      </w:r>
      <w:r>
        <w:rPr>
          <w:color w:val="231F20"/>
          <w:w w:val="105"/>
          <w:sz w:val="21"/>
        </w:rPr>
        <w:t>derivan</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aglomeración</w:t>
      </w:r>
      <w:r>
        <w:rPr>
          <w:color w:val="231F20"/>
          <w:spacing w:val="-17"/>
          <w:w w:val="105"/>
          <w:sz w:val="21"/>
        </w:rPr>
        <w:t> </w:t>
      </w:r>
      <w:r>
        <w:rPr>
          <w:color w:val="231F20"/>
          <w:w w:val="105"/>
          <w:sz w:val="21"/>
        </w:rPr>
        <w:t>o</w:t>
      </w:r>
      <w:r>
        <w:rPr>
          <w:color w:val="231F20"/>
          <w:spacing w:val="-17"/>
          <w:w w:val="105"/>
          <w:sz w:val="21"/>
        </w:rPr>
        <w:t> </w:t>
      </w:r>
      <w:r>
        <w:rPr>
          <w:color w:val="231F20"/>
          <w:w w:val="105"/>
          <w:sz w:val="21"/>
        </w:rPr>
        <w:t>concen- tración</w:t>
      </w:r>
      <w:r>
        <w:rPr>
          <w:color w:val="231F20"/>
          <w:spacing w:val="-6"/>
          <w:w w:val="105"/>
          <w:sz w:val="21"/>
        </w:rPr>
        <w:t> </w:t>
      </w:r>
      <w:r>
        <w:rPr>
          <w:color w:val="231F20"/>
          <w:w w:val="105"/>
          <w:sz w:val="21"/>
        </w:rPr>
        <w:t>geográfica</w:t>
      </w:r>
      <w:r>
        <w:rPr>
          <w:color w:val="231F20"/>
          <w:spacing w:val="-6"/>
          <w:w w:val="105"/>
          <w:sz w:val="21"/>
        </w:rPr>
        <w:t> </w:t>
      </w:r>
      <w:r>
        <w:rPr>
          <w:color w:val="231F20"/>
          <w:w w:val="105"/>
          <w:sz w:val="21"/>
        </w:rPr>
        <w:t>(clúster)</w:t>
      </w:r>
      <w:r>
        <w:rPr>
          <w:color w:val="231F20"/>
          <w:spacing w:val="-6"/>
          <w:w w:val="105"/>
          <w:sz w:val="21"/>
        </w:rPr>
        <w:t> </w:t>
      </w:r>
      <w:r>
        <w:rPr>
          <w:color w:val="231F20"/>
          <w:w w:val="105"/>
          <w:sz w:val="21"/>
        </w:rPr>
        <w:t>y</w:t>
      </w:r>
      <w:r>
        <w:rPr>
          <w:color w:val="231F20"/>
          <w:spacing w:val="-6"/>
          <w:w w:val="105"/>
          <w:sz w:val="21"/>
        </w:rPr>
        <w:t> </w:t>
      </w:r>
      <w:r>
        <w:rPr>
          <w:color w:val="231F20"/>
          <w:w w:val="105"/>
          <w:sz w:val="21"/>
        </w:rPr>
        <w:t>de</w:t>
      </w:r>
      <w:r>
        <w:rPr>
          <w:color w:val="231F20"/>
          <w:spacing w:val="-6"/>
          <w:w w:val="105"/>
          <w:sz w:val="21"/>
        </w:rPr>
        <w:t> </w:t>
      </w:r>
      <w:r>
        <w:rPr>
          <w:color w:val="231F20"/>
          <w:w w:val="105"/>
          <w:sz w:val="21"/>
        </w:rPr>
        <w:t>la</w:t>
      </w:r>
      <w:r>
        <w:rPr>
          <w:color w:val="231F20"/>
          <w:spacing w:val="-6"/>
          <w:w w:val="105"/>
          <w:sz w:val="21"/>
        </w:rPr>
        <w:t> </w:t>
      </w:r>
      <w:r>
        <w:rPr>
          <w:color w:val="231F20"/>
          <w:w w:val="105"/>
          <w:sz w:val="21"/>
        </w:rPr>
        <w:t>desintegración</w:t>
      </w:r>
      <w:r>
        <w:rPr>
          <w:color w:val="231F20"/>
          <w:spacing w:val="-6"/>
          <w:w w:val="105"/>
          <w:sz w:val="21"/>
        </w:rPr>
        <w:t> </w:t>
      </w:r>
      <w:r>
        <w:rPr>
          <w:color w:val="231F20"/>
          <w:w w:val="105"/>
          <w:sz w:val="21"/>
        </w:rPr>
        <w:t>vertical,</w:t>
      </w:r>
      <w:r>
        <w:rPr>
          <w:color w:val="231F20"/>
          <w:spacing w:val="-12"/>
          <w:w w:val="105"/>
          <w:sz w:val="21"/>
        </w:rPr>
        <w:t> </w:t>
      </w:r>
      <w:r>
        <w:rPr>
          <w:color w:val="231F20"/>
          <w:w w:val="105"/>
          <w:sz w:val="21"/>
        </w:rPr>
        <w:t>provenientes de los elementos o activos de las ciudades como localización geográ- fica, disponibilidad de infraestructura (suelo, edificaciones, sistemas</w:t>
      </w:r>
      <w:r>
        <w:rPr>
          <w:color w:val="231F20"/>
          <w:spacing w:val="-24"/>
          <w:w w:val="105"/>
          <w:sz w:val="21"/>
        </w:rPr>
        <w:t> </w:t>
      </w:r>
      <w:r>
        <w:rPr>
          <w:color w:val="231F20"/>
          <w:w w:val="105"/>
          <w:sz w:val="21"/>
        </w:rPr>
        <w:t>de comunicación</w:t>
      </w:r>
      <w:r>
        <w:rPr>
          <w:color w:val="231F20"/>
          <w:spacing w:val="-28"/>
          <w:w w:val="105"/>
          <w:sz w:val="21"/>
        </w:rPr>
        <w:t> </w:t>
      </w:r>
      <w:r>
        <w:rPr>
          <w:color w:val="231F20"/>
          <w:w w:val="105"/>
          <w:sz w:val="21"/>
        </w:rPr>
        <w:t>y</w:t>
      </w:r>
      <w:r>
        <w:rPr>
          <w:color w:val="231F20"/>
          <w:spacing w:val="-28"/>
          <w:w w:val="105"/>
          <w:sz w:val="21"/>
        </w:rPr>
        <w:t> </w:t>
      </w:r>
      <w:r>
        <w:rPr>
          <w:color w:val="231F20"/>
          <w:w w:val="105"/>
          <w:sz w:val="21"/>
        </w:rPr>
        <w:t>transporte)</w:t>
      </w:r>
      <w:r>
        <w:rPr>
          <w:color w:val="231F20"/>
          <w:spacing w:val="-28"/>
          <w:w w:val="105"/>
          <w:sz w:val="21"/>
        </w:rPr>
        <w:t> </w:t>
      </w:r>
      <w:r>
        <w:rPr>
          <w:color w:val="231F20"/>
          <w:w w:val="105"/>
          <w:sz w:val="21"/>
        </w:rPr>
        <w:t>y</w:t>
      </w:r>
      <w:r>
        <w:rPr>
          <w:color w:val="231F20"/>
          <w:spacing w:val="-28"/>
          <w:w w:val="105"/>
          <w:sz w:val="21"/>
        </w:rPr>
        <w:t> </w:t>
      </w:r>
      <w:r>
        <w:rPr>
          <w:color w:val="231F20"/>
          <w:w w:val="105"/>
          <w:sz w:val="21"/>
        </w:rPr>
        <w:t>estándares</w:t>
      </w:r>
      <w:r>
        <w:rPr>
          <w:color w:val="231F20"/>
          <w:spacing w:val="-28"/>
          <w:w w:val="105"/>
          <w:sz w:val="21"/>
        </w:rPr>
        <w:t> </w:t>
      </w:r>
      <w:r>
        <w:rPr>
          <w:color w:val="231F20"/>
          <w:w w:val="105"/>
          <w:sz w:val="21"/>
        </w:rPr>
        <w:t>medio-ambientales</w:t>
      </w:r>
      <w:r>
        <w:rPr>
          <w:color w:val="231F20"/>
          <w:spacing w:val="-28"/>
          <w:w w:val="105"/>
          <w:sz w:val="21"/>
        </w:rPr>
        <w:t> </w:t>
      </w:r>
      <w:r>
        <w:rPr>
          <w:color w:val="231F20"/>
          <w:w w:val="105"/>
          <w:sz w:val="21"/>
        </w:rPr>
        <w:t>aceptables.</w:t>
      </w:r>
    </w:p>
    <w:p>
      <w:pPr>
        <w:pStyle w:val="ListParagraph"/>
        <w:numPr>
          <w:ilvl w:val="0"/>
          <w:numId w:val="61"/>
        </w:numPr>
        <w:tabs>
          <w:tab w:pos="976" w:val="left" w:leader="none"/>
        </w:tabs>
        <w:spacing w:line="259" w:lineRule="auto" w:before="0" w:after="0"/>
        <w:ind w:left="103" w:right="114" w:firstLine="567"/>
        <w:jc w:val="both"/>
        <w:rPr>
          <w:sz w:val="21"/>
        </w:rPr>
      </w:pPr>
      <w:r>
        <w:rPr>
          <w:color w:val="231F20"/>
          <w:w w:val="105"/>
          <w:sz w:val="21"/>
        </w:rPr>
        <w:t>Dinámicas.</w:t>
      </w:r>
      <w:r>
        <w:rPr>
          <w:color w:val="231F20"/>
          <w:spacing w:val="-32"/>
          <w:w w:val="105"/>
          <w:sz w:val="21"/>
        </w:rPr>
        <w:t> </w:t>
      </w:r>
      <w:r>
        <w:rPr>
          <w:color w:val="231F20"/>
          <w:w w:val="105"/>
          <w:sz w:val="21"/>
        </w:rPr>
        <w:t>Provienen</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capacidad</w:t>
      </w:r>
      <w:r>
        <w:rPr>
          <w:color w:val="231F20"/>
          <w:spacing w:val="-28"/>
          <w:w w:val="105"/>
          <w:sz w:val="21"/>
        </w:rPr>
        <w:t> </w:t>
      </w:r>
      <w:r>
        <w:rPr>
          <w:color w:val="231F20"/>
          <w:w w:val="105"/>
          <w:sz w:val="21"/>
        </w:rPr>
        <w:t>innovadora</w:t>
      </w:r>
      <w:r>
        <w:rPr>
          <w:color w:val="231F20"/>
          <w:spacing w:val="-28"/>
          <w:w w:val="105"/>
          <w:sz w:val="21"/>
        </w:rPr>
        <w:t> </w:t>
      </w:r>
      <w:r>
        <w:rPr>
          <w:color w:val="231F20"/>
          <w:w w:val="105"/>
          <w:sz w:val="21"/>
        </w:rPr>
        <w:t>y</w:t>
      </w:r>
      <w:r>
        <w:rPr>
          <w:color w:val="231F20"/>
          <w:spacing w:val="-28"/>
          <w:w w:val="105"/>
          <w:sz w:val="21"/>
        </w:rPr>
        <w:t> </w:t>
      </w:r>
      <w:r>
        <w:rPr>
          <w:color w:val="231F20"/>
          <w:w w:val="105"/>
          <w:sz w:val="21"/>
        </w:rPr>
        <w:t>el</w:t>
      </w:r>
      <w:r>
        <w:rPr>
          <w:color w:val="231F20"/>
          <w:spacing w:val="-28"/>
          <w:w w:val="105"/>
          <w:sz w:val="21"/>
        </w:rPr>
        <w:t> </w:t>
      </w:r>
      <w:r>
        <w:rPr>
          <w:color w:val="231F20"/>
          <w:w w:val="105"/>
          <w:sz w:val="21"/>
        </w:rPr>
        <w:t>concepto de</w:t>
      </w:r>
      <w:r>
        <w:rPr>
          <w:color w:val="231F20"/>
          <w:spacing w:val="-16"/>
          <w:w w:val="105"/>
          <w:sz w:val="21"/>
        </w:rPr>
        <w:t> </w:t>
      </w:r>
      <w:r>
        <w:rPr>
          <w:color w:val="231F20"/>
          <w:w w:val="105"/>
          <w:sz w:val="21"/>
        </w:rPr>
        <w:t>competitividad</w:t>
      </w:r>
      <w:r>
        <w:rPr>
          <w:color w:val="231F20"/>
          <w:spacing w:val="-16"/>
          <w:w w:val="105"/>
          <w:sz w:val="21"/>
        </w:rPr>
        <w:t> </w:t>
      </w:r>
      <w:r>
        <w:rPr>
          <w:color w:val="231F20"/>
          <w:w w:val="105"/>
          <w:sz w:val="21"/>
        </w:rPr>
        <w:t>se</w:t>
      </w:r>
      <w:r>
        <w:rPr>
          <w:color w:val="231F20"/>
          <w:spacing w:val="-16"/>
          <w:w w:val="105"/>
          <w:sz w:val="21"/>
        </w:rPr>
        <w:t> </w:t>
      </w:r>
      <w:r>
        <w:rPr>
          <w:color w:val="231F20"/>
          <w:w w:val="105"/>
          <w:sz w:val="21"/>
        </w:rPr>
        <w:t>inegra</w:t>
      </w:r>
      <w:r>
        <w:rPr>
          <w:color w:val="231F20"/>
          <w:spacing w:val="-16"/>
          <w:w w:val="105"/>
          <w:sz w:val="21"/>
        </w:rPr>
        <w:t> </w:t>
      </w:r>
      <w:r>
        <w:rPr>
          <w:color w:val="231F20"/>
          <w:w w:val="105"/>
          <w:sz w:val="21"/>
        </w:rPr>
        <w:t>con</w:t>
      </w:r>
      <w:r>
        <w:rPr>
          <w:color w:val="231F20"/>
          <w:spacing w:val="-16"/>
          <w:w w:val="105"/>
          <w:sz w:val="21"/>
        </w:rPr>
        <w:t> </w:t>
      </w:r>
      <w:r>
        <w:rPr>
          <w:color w:val="231F20"/>
          <w:w w:val="105"/>
          <w:sz w:val="21"/>
        </w:rPr>
        <w:t>el</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cooperación,</w:t>
      </w:r>
      <w:r>
        <w:rPr>
          <w:color w:val="231F20"/>
          <w:spacing w:val="-21"/>
          <w:w w:val="105"/>
          <w:sz w:val="21"/>
        </w:rPr>
        <w:t> </w:t>
      </w:r>
      <w:r>
        <w:rPr>
          <w:color w:val="231F20"/>
          <w:w w:val="105"/>
          <w:sz w:val="21"/>
        </w:rPr>
        <w:t>a</w:t>
      </w:r>
      <w:r>
        <w:rPr>
          <w:color w:val="231F20"/>
          <w:spacing w:val="-16"/>
          <w:w w:val="105"/>
          <w:sz w:val="21"/>
        </w:rPr>
        <w:t> </w:t>
      </w:r>
      <w:r>
        <w:rPr>
          <w:color w:val="231F20"/>
          <w:w w:val="105"/>
          <w:sz w:val="21"/>
        </w:rPr>
        <w:t>través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los</w:t>
      </w:r>
      <w:r>
        <w:rPr>
          <w:color w:val="231F20"/>
          <w:spacing w:val="-16"/>
          <w:w w:val="105"/>
          <w:sz w:val="21"/>
        </w:rPr>
        <w:t> </w:t>
      </w:r>
      <w:r>
        <w:rPr>
          <w:color w:val="231F20"/>
          <w:w w:val="105"/>
          <w:sz w:val="21"/>
        </w:rPr>
        <w:t>recur- sos</w:t>
      </w:r>
      <w:r>
        <w:rPr>
          <w:color w:val="231F20"/>
          <w:spacing w:val="-18"/>
          <w:w w:val="105"/>
          <w:sz w:val="21"/>
        </w:rPr>
        <w:t> </w:t>
      </w:r>
      <w:r>
        <w:rPr>
          <w:color w:val="231F20"/>
          <w:w w:val="105"/>
          <w:sz w:val="21"/>
        </w:rPr>
        <w:t>humanos</w:t>
      </w:r>
      <w:r>
        <w:rPr>
          <w:color w:val="231F20"/>
          <w:spacing w:val="-18"/>
          <w:w w:val="105"/>
          <w:sz w:val="21"/>
        </w:rPr>
        <w:t> </w:t>
      </w:r>
      <w:r>
        <w:rPr>
          <w:color w:val="231F20"/>
          <w:w w:val="105"/>
          <w:sz w:val="21"/>
        </w:rPr>
        <w:t>calificados</w:t>
      </w:r>
      <w:r>
        <w:rPr>
          <w:color w:val="231F20"/>
          <w:spacing w:val="-18"/>
          <w:w w:val="105"/>
          <w:sz w:val="21"/>
        </w:rPr>
        <w:t> </w:t>
      </w:r>
      <w:r>
        <w:rPr>
          <w:color w:val="231F20"/>
          <w:w w:val="105"/>
          <w:sz w:val="21"/>
        </w:rPr>
        <w:t>(universidades,</w:t>
      </w:r>
      <w:r>
        <w:rPr>
          <w:color w:val="231F20"/>
          <w:spacing w:val="-22"/>
          <w:w w:val="105"/>
          <w:sz w:val="21"/>
        </w:rPr>
        <w:t> </w:t>
      </w:r>
      <w:r>
        <w:rPr>
          <w:color w:val="231F20"/>
          <w:w w:val="105"/>
          <w:sz w:val="21"/>
        </w:rPr>
        <w:t>centros</w:t>
      </w:r>
      <w:r>
        <w:rPr>
          <w:color w:val="231F20"/>
          <w:spacing w:val="-18"/>
          <w:w w:val="105"/>
          <w:sz w:val="21"/>
        </w:rPr>
        <w:t> </w:t>
      </w:r>
      <w:r>
        <w:rPr>
          <w:color w:val="231F20"/>
          <w:w w:val="105"/>
          <w:sz w:val="21"/>
        </w:rPr>
        <w:t>de</w:t>
      </w:r>
      <w:r>
        <w:rPr>
          <w:color w:val="231F20"/>
          <w:spacing w:val="-18"/>
          <w:w w:val="105"/>
          <w:sz w:val="21"/>
        </w:rPr>
        <w:t> </w:t>
      </w:r>
      <w:r>
        <w:rPr>
          <w:color w:val="231F20"/>
          <w:w w:val="105"/>
          <w:sz w:val="21"/>
        </w:rPr>
        <w:t>investigación,</w:t>
      </w:r>
      <w:r>
        <w:rPr>
          <w:color w:val="231F20"/>
          <w:spacing w:val="-22"/>
          <w:w w:val="105"/>
          <w:sz w:val="21"/>
        </w:rPr>
        <w:t> </w:t>
      </w:r>
      <w:r>
        <w:rPr>
          <w:color w:val="231F20"/>
          <w:w w:val="105"/>
          <w:sz w:val="21"/>
        </w:rPr>
        <w:t>cultu- ra),</w:t>
      </w:r>
      <w:r>
        <w:rPr>
          <w:color w:val="231F20"/>
          <w:spacing w:val="-20"/>
          <w:w w:val="105"/>
          <w:sz w:val="21"/>
        </w:rPr>
        <w:t> </w:t>
      </w:r>
      <w:r>
        <w:rPr>
          <w:color w:val="231F20"/>
          <w:w w:val="105"/>
          <w:sz w:val="21"/>
        </w:rPr>
        <w:t>costo</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fuerza</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trabajo,</w:t>
      </w:r>
      <w:r>
        <w:rPr>
          <w:color w:val="231F20"/>
          <w:spacing w:val="-20"/>
          <w:w w:val="105"/>
          <w:sz w:val="21"/>
        </w:rPr>
        <w:t> </w:t>
      </w:r>
      <w:r>
        <w:rPr>
          <w:color w:val="231F20"/>
          <w:w w:val="105"/>
          <w:sz w:val="21"/>
        </w:rPr>
        <w:t>capacidad</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innovación</w:t>
      </w:r>
      <w:r>
        <w:rPr>
          <w:color w:val="231F20"/>
          <w:spacing w:val="-14"/>
          <w:w w:val="105"/>
          <w:sz w:val="21"/>
        </w:rPr>
        <w:t> </w:t>
      </w:r>
      <w:r>
        <w:rPr>
          <w:color w:val="231F20"/>
          <w:w w:val="105"/>
          <w:sz w:val="21"/>
        </w:rPr>
        <w:t>tecnológica</w:t>
      </w:r>
      <w:r>
        <w:rPr>
          <w:color w:val="231F20"/>
          <w:spacing w:val="-14"/>
          <w:w w:val="105"/>
          <w:sz w:val="21"/>
        </w:rPr>
        <w:t> </w:t>
      </w:r>
      <w:r>
        <w:rPr>
          <w:color w:val="231F20"/>
          <w:w w:val="105"/>
          <w:sz w:val="21"/>
        </w:rPr>
        <w:t>y empresarial,</w:t>
      </w:r>
      <w:r>
        <w:rPr>
          <w:color w:val="231F20"/>
          <w:spacing w:val="-15"/>
          <w:w w:val="105"/>
          <w:sz w:val="21"/>
        </w:rPr>
        <w:t> </w:t>
      </w:r>
      <w:r>
        <w:rPr>
          <w:color w:val="231F20"/>
          <w:w w:val="105"/>
          <w:sz w:val="21"/>
        </w:rPr>
        <w:t>cooperación</w:t>
      </w:r>
      <w:r>
        <w:rPr>
          <w:color w:val="231F20"/>
          <w:spacing w:val="-10"/>
          <w:w w:val="105"/>
          <w:sz w:val="21"/>
        </w:rPr>
        <w:t> </w:t>
      </w:r>
      <w:r>
        <w:rPr>
          <w:color w:val="231F20"/>
          <w:w w:val="105"/>
          <w:sz w:val="21"/>
        </w:rPr>
        <w:t>inter-empresarial,</w:t>
      </w:r>
      <w:r>
        <w:rPr>
          <w:color w:val="231F20"/>
          <w:spacing w:val="-15"/>
          <w:w w:val="105"/>
          <w:sz w:val="21"/>
        </w:rPr>
        <w:t> </w:t>
      </w:r>
      <w:r>
        <w:rPr>
          <w:color w:val="231F20"/>
          <w:w w:val="105"/>
          <w:sz w:val="21"/>
        </w:rPr>
        <w:t>gobiernos</w:t>
      </w:r>
      <w:r>
        <w:rPr>
          <w:color w:val="231F20"/>
          <w:spacing w:val="-10"/>
          <w:w w:val="105"/>
          <w:sz w:val="21"/>
        </w:rPr>
        <w:t> </w:t>
      </w:r>
      <w:r>
        <w:rPr>
          <w:color w:val="231F20"/>
          <w:w w:val="105"/>
          <w:sz w:val="21"/>
        </w:rPr>
        <w:t>locales</w:t>
      </w:r>
      <w:r>
        <w:rPr>
          <w:color w:val="231F20"/>
          <w:spacing w:val="-10"/>
          <w:w w:val="105"/>
          <w:sz w:val="21"/>
        </w:rPr>
        <w:t> </w:t>
      </w:r>
      <w:r>
        <w:rPr>
          <w:color w:val="231F20"/>
          <w:w w:val="105"/>
          <w:sz w:val="21"/>
        </w:rPr>
        <w:t>promoto- res del desarrollo económico, entorno institucional propicio (calidad de las</w:t>
      </w:r>
      <w:r>
        <w:rPr>
          <w:color w:val="231F20"/>
          <w:spacing w:val="-25"/>
          <w:w w:val="105"/>
          <w:sz w:val="21"/>
        </w:rPr>
        <w:t> </w:t>
      </w:r>
      <w:r>
        <w:rPr>
          <w:color w:val="231F20"/>
          <w:w w:val="105"/>
          <w:sz w:val="21"/>
        </w:rPr>
        <w:t>regulaciones)</w:t>
      </w:r>
      <w:r>
        <w:rPr>
          <w:color w:val="231F20"/>
          <w:spacing w:val="-25"/>
          <w:w w:val="105"/>
          <w:sz w:val="21"/>
        </w:rPr>
        <w:t> </w:t>
      </w:r>
      <w:r>
        <w:rPr>
          <w:color w:val="231F20"/>
          <w:w w:val="105"/>
          <w:sz w:val="21"/>
        </w:rPr>
        <w:t>y</w:t>
      </w:r>
      <w:r>
        <w:rPr>
          <w:color w:val="231F20"/>
          <w:spacing w:val="-25"/>
          <w:w w:val="105"/>
          <w:sz w:val="21"/>
        </w:rPr>
        <w:t> </w:t>
      </w:r>
      <w:r>
        <w:rPr>
          <w:color w:val="231F20"/>
          <w:w w:val="105"/>
          <w:sz w:val="21"/>
        </w:rPr>
        <w:t>la</w:t>
      </w:r>
      <w:r>
        <w:rPr>
          <w:color w:val="231F20"/>
          <w:spacing w:val="-25"/>
          <w:w w:val="105"/>
          <w:sz w:val="21"/>
        </w:rPr>
        <w:t> </w:t>
      </w:r>
      <w:r>
        <w:rPr>
          <w:color w:val="231F20"/>
          <w:w w:val="105"/>
          <w:sz w:val="21"/>
        </w:rPr>
        <w:t>pertenencia</w:t>
      </w:r>
      <w:r>
        <w:rPr>
          <w:color w:val="231F20"/>
          <w:spacing w:val="-25"/>
          <w:w w:val="105"/>
          <w:sz w:val="21"/>
        </w:rPr>
        <w:t> </w:t>
      </w:r>
      <w:r>
        <w:rPr>
          <w:color w:val="231F20"/>
          <w:w w:val="105"/>
          <w:sz w:val="21"/>
        </w:rPr>
        <w:t>a</w:t>
      </w:r>
      <w:r>
        <w:rPr>
          <w:color w:val="231F20"/>
          <w:spacing w:val="-25"/>
          <w:w w:val="105"/>
          <w:sz w:val="21"/>
        </w:rPr>
        <w:t> </w:t>
      </w:r>
      <w:r>
        <w:rPr>
          <w:color w:val="231F20"/>
          <w:w w:val="105"/>
          <w:sz w:val="21"/>
        </w:rPr>
        <w:t>redes</w:t>
      </w:r>
      <w:r>
        <w:rPr>
          <w:color w:val="231F20"/>
          <w:spacing w:val="-25"/>
          <w:w w:val="105"/>
          <w:sz w:val="21"/>
        </w:rPr>
        <w:t> </w:t>
      </w:r>
      <w:r>
        <w:rPr>
          <w:color w:val="231F20"/>
          <w:w w:val="105"/>
          <w:sz w:val="21"/>
        </w:rPr>
        <w:t>de</w:t>
      </w:r>
      <w:r>
        <w:rPr>
          <w:color w:val="231F20"/>
          <w:spacing w:val="-25"/>
          <w:w w:val="105"/>
          <w:sz w:val="21"/>
        </w:rPr>
        <w:t> </w:t>
      </w:r>
      <w:r>
        <w:rPr>
          <w:color w:val="231F20"/>
          <w:w w:val="105"/>
          <w:sz w:val="21"/>
        </w:rPr>
        <w:t>cooperación</w:t>
      </w:r>
      <w:r>
        <w:rPr>
          <w:color w:val="231F20"/>
          <w:spacing w:val="-25"/>
          <w:w w:val="105"/>
          <w:sz w:val="21"/>
        </w:rPr>
        <w:t> </w:t>
      </w:r>
      <w:r>
        <w:rPr>
          <w:color w:val="231F20"/>
          <w:w w:val="105"/>
          <w:sz w:val="21"/>
        </w:rPr>
        <w:t>entre</w:t>
      </w:r>
      <w:r>
        <w:rPr>
          <w:color w:val="231F20"/>
          <w:spacing w:val="-25"/>
          <w:w w:val="105"/>
          <w:sz w:val="21"/>
        </w:rPr>
        <w:t> </w:t>
      </w:r>
      <w:r>
        <w:rPr>
          <w:color w:val="231F20"/>
          <w:w w:val="105"/>
          <w:sz w:val="21"/>
        </w:rPr>
        <w:t>ciudades y</w:t>
      </w:r>
      <w:r>
        <w:rPr>
          <w:color w:val="231F20"/>
          <w:spacing w:val="-22"/>
          <w:w w:val="105"/>
          <w:sz w:val="21"/>
        </w:rPr>
        <w:t> </w:t>
      </w:r>
      <w:r>
        <w:rPr>
          <w:color w:val="231F20"/>
          <w:w w:val="105"/>
          <w:sz w:val="21"/>
        </w:rPr>
        <w:t>gobiernos</w:t>
      </w:r>
      <w:r>
        <w:rPr>
          <w:color w:val="231F20"/>
          <w:spacing w:val="-22"/>
          <w:w w:val="105"/>
          <w:sz w:val="21"/>
        </w:rPr>
        <w:t> </w:t>
      </w:r>
      <w:r>
        <w:rPr>
          <w:color w:val="231F20"/>
          <w:w w:val="105"/>
          <w:sz w:val="21"/>
        </w:rPr>
        <w:t>(Cabrero,</w:t>
      </w:r>
      <w:r>
        <w:rPr>
          <w:color w:val="231F20"/>
          <w:spacing w:val="-27"/>
          <w:w w:val="105"/>
          <w:sz w:val="21"/>
        </w:rPr>
        <w:t> </w:t>
      </w:r>
      <w:r>
        <w:rPr>
          <w:color w:val="231F20"/>
          <w:w w:val="105"/>
          <w:sz w:val="21"/>
        </w:rPr>
        <w:t>Ziccardi</w:t>
      </w:r>
      <w:r>
        <w:rPr>
          <w:color w:val="231F20"/>
          <w:spacing w:val="-22"/>
          <w:w w:val="105"/>
          <w:sz w:val="21"/>
        </w:rPr>
        <w:t> </w:t>
      </w:r>
      <w:r>
        <w:rPr>
          <w:color w:val="231F20"/>
          <w:w w:val="105"/>
          <w:sz w:val="21"/>
        </w:rPr>
        <w:t>y</w:t>
      </w:r>
      <w:r>
        <w:rPr>
          <w:color w:val="231F20"/>
          <w:spacing w:val="-22"/>
          <w:w w:val="105"/>
          <w:sz w:val="21"/>
        </w:rPr>
        <w:t> </w:t>
      </w:r>
      <w:r>
        <w:rPr>
          <w:color w:val="231F20"/>
          <w:w w:val="105"/>
          <w:sz w:val="21"/>
        </w:rPr>
        <w:t>Orihuela,</w:t>
      </w:r>
      <w:r>
        <w:rPr>
          <w:color w:val="231F20"/>
          <w:spacing w:val="-27"/>
          <w:w w:val="105"/>
          <w:sz w:val="21"/>
        </w:rPr>
        <w:t> </w:t>
      </w:r>
      <w:r>
        <w:rPr>
          <w:color w:val="231F20"/>
          <w:w w:val="105"/>
          <w:sz w:val="21"/>
        </w:rPr>
        <w:t>2008).</w:t>
      </w:r>
    </w:p>
    <w:p>
      <w:pPr>
        <w:pStyle w:val="BodyText"/>
        <w:rPr>
          <w:sz w:val="20"/>
        </w:rPr>
      </w:pPr>
    </w:p>
    <w:p>
      <w:pPr>
        <w:pStyle w:val="BodyText"/>
        <w:spacing w:before="7"/>
        <w:rPr>
          <w:sz w:val="18"/>
        </w:rPr>
      </w:pPr>
    </w:p>
    <w:p>
      <w:pPr>
        <w:pStyle w:val="Heading2"/>
        <w:ind w:left="103"/>
      </w:pPr>
      <w:r>
        <w:rPr>
          <w:color w:val="231F20"/>
        </w:rPr>
        <w:t>Factores de la IED y la competitividad</w:t>
      </w:r>
    </w:p>
    <w:p>
      <w:pPr>
        <w:pStyle w:val="BodyText"/>
        <w:rPr>
          <w:b/>
          <w:sz w:val="22"/>
        </w:rPr>
      </w:pPr>
    </w:p>
    <w:p>
      <w:pPr>
        <w:pStyle w:val="BodyText"/>
        <w:rPr>
          <w:b/>
          <w:sz w:val="28"/>
        </w:rPr>
      </w:pPr>
    </w:p>
    <w:p>
      <w:pPr>
        <w:spacing w:before="0"/>
        <w:ind w:left="103" w:right="0" w:firstLine="0"/>
        <w:jc w:val="both"/>
        <w:rPr>
          <w:i/>
          <w:sz w:val="21"/>
        </w:rPr>
      </w:pPr>
      <w:r>
        <w:rPr>
          <w:i/>
          <w:color w:val="231F20"/>
          <w:sz w:val="21"/>
        </w:rPr>
        <w:t>Factores para realizar la IED</w:t>
      </w:r>
    </w:p>
    <w:p>
      <w:pPr>
        <w:pStyle w:val="BodyText"/>
        <w:spacing w:before="4"/>
        <w:rPr>
          <w:i/>
          <w:sz w:val="16"/>
        </w:rPr>
      </w:pPr>
    </w:p>
    <w:p>
      <w:pPr>
        <w:pStyle w:val="BodyText"/>
        <w:spacing w:line="259" w:lineRule="auto"/>
        <w:ind w:left="103" w:right="114"/>
        <w:jc w:val="both"/>
      </w:pP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motiva</w:t>
      </w:r>
      <w:r>
        <w:rPr>
          <w:color w:val="231F20"/>
          <w:spacing w:val="-13"/>
          <w:w w:val="105"/>
        </w:rPr>
        <w:t> </w:t>
      </w:r>
      <w:r>
        <w:rPr>
          <w:color w:val="231F20"/>
          <w:w w:val="105"/>
        </w:rPr>
        <w:t>la</w:t>
      </w:r>
      <w:r>
        <w:rPr>
          <w:color w:val="231F20"/>
          <w:spacing w:val="-13"/>
          <w:w w:val="105"/>
        </w:rPr>
        <w:t> </w:t>
      </w:r>
      <w:r>
        <w:rPr>
          <w:color w:val="231F20"/>
          <w:w w:val="105"/>
        </w:rPr>
        <w:t>decisión</w:t>
      </w:r>
      <w:r>
        <w:rPr>
          <w:color w:val="231F20"/>
          <w:spacing w:val="-13"/>
          <w:w w:val="105"/>
        </w:rPr>
        <w:t> </w:t>
      </w:r>
      <w:r>
        <w:rPr>
          <w:color w:val="231F20"/>
          <w:w w:val="105"/>
        </w:rPr>
        <w:t>de</w:t>
      </w:r>
      <w:r>
        <w:rPr>
          <w:color w:val="231F20"/>
          <w:spacing w:val="-13"/>
          <w:w w:val="105"/>
        </w:rPr>
        <w:t> </w:t>
      </w:r>
      <w:r>
        <w:rPr>
          <w:color w:val="231F20"/>
          <w:w w:val="105"/>
        </w:rPr>
        <w:t>un</w:t>
      </w:r>
      <w:r>
        <w:rPr>
          <w:color w:val="231F20"/>
          <w:spacing w:val="-13"/>
          <w:w w:val="105"/>
        </w:rPr>
        <w:t> </w:t>
      </w:r>
      <w:r>
        <w:rPr>
          <w:color w:val="231F20"/>
          <w:w w:val="105"/>
        </w:rPr>
        <w:t>empresario</w:t>
      </w:r>
      <w:r>
        <w:rPr>
          <w:color w:val="231F20"/>
          <w:spacing w:val="-13"/>
          <w:w w:val="105"/>
        </w:rPr>
        <w:t> </w:t>
      </w:r>
      <w:r>
        <w:rPr>
          <w:color w:val="231F20"/>
          <w:w w:val="105"/>
        </w:rPr>
        <w:t>de</w:t>
      </w:r>
      <w:r>
        <w:rPr>
          <w:color w:val="231F20"/>
          <w:spacing w:val="-13"/>
          <w:w w:val="105"/>
        </w:rPr>
        <w:t> </w:t>
      </w:r>
      <w:r>
        <w:rPr>
          <w:color w:val="231F20"/>
          <w:w w:val="105"/>
        </w:rPr>
        <w:t>penetrar</w:t>
      </w:r>
      <w:r>
        <w:rPr>
          <w:color w:val="231F20"/>
          <w:spacing w:val="-13"/>
          <w:w w:val="105"/>
        </w:rPr>
        <w:t> </w:t>
      </w:r>
      <w:r>
        <w:rPr>
          <w:color w:val="231F20"/>
          <w:w w:val="105"/>
        </w:rPr>
        <w:t>un</w:t>
      </w:r>
      <w:r>
        <w:rPr>
          <w:color w:val="231F20"/>
          <w:spacing w:val="-13"/>
          <w:w w:val="105"/>
        </w:rPr>
        <w:t> </w:t>
      </w:r>
      <w:r>
        <w:rPr>
          <w:color w:val="231F20"/>
          <w:w w:val="105"/>
        </w:rPr>
        <w:t>mercado</w:t>
      </w:r>
      <w:r>
        <w:rPr>
          <w:color w:val="231F20"/>
          <w:spacing w:val="-13"/>
          <w:w w:val="105"/>
        </w:rPr>
        <w:t> </w:t>
      </w:r>
      <w:r>
        <w:rPr>
          <w:color w:val="231F20"/>
          <w:w w:val="105"/>
        </w:rPr>
        <w:t>por medio de IED tiene mucho en común con lo que motiva a los</w:t>
      </w:r>
      <w:r>
        <w:rPr>
          <w:color w:val="231F20"/>
          <w:spacing w:val="-29"/>
          <w:w w:val="105"/>
        </w:rPr>
        <w:t> </w:t>
      </w:r>
      <w:r>
        <w:rPr>
          <w:color w:val="231F20"/>
          <w:w w:val="105"/>
        </w:rPr>
        <w:t>empresa- rios</w:t>
      </w:r>
      <w:r>
        <w:rPr>
          <w:color w:val="231F20"/>
          <w:spacing w:val="-27"/>
          <w:w w:val="105"/>
        </w:rPr>
        <w:t> </w:t>
      </w:r>
      <w:r>
        <w:rPr>
          <w:color w:val="231F20"/>
          <w:w w:val="105"/>
        </w:rPr>
        <w:t>a</w:t>
      </w:r>
      <w:r>
        <w:rPr>
          <w:color w:val="231F20"/>
          <w:spacing w:val="-27"/>
          <w:w w:val="105"/>
        </w:rPr>
        <w:t> </w:t>
      </w:r>
      <w:r>
        <w:rPr>
          <w:color w:val="231F20"/>
          <w:w w:val="105"/>
        </w:rPr>
        <w:t>exportar.</w:t>
      </w:r>
    </w:p>
    <w:p>
      <w:pPr>
        <w:pStyle w:val="BodyText"/>
        <w:spacing w:line="259" w:lineRule="auto"/>
        <w:ind w:left="103" w:right="114" w:firstLine="567"/>
        <w:jc w:val="both"/>
      </w:pPr>
      <w:r>
        <w:rPr>
          <w:color w:val="231F20"/>
          <w:w w:val="105"/>
        </w:rPr>
        <w:t>A nivel general puede decirse que toda decisión de internaciona- lización vía exportaciones o inversión responde al aprovechamiento</w:t>
      </w:r>
      <w:r>
        <w:rPr>
          <w:color w:val="231F20"/>
          <w:spacing w:val="-12"/>
          <w:w w:val="105"/>
        </w:rPr>
        <w:t> </w:t>
      </w:r>
      <w:r>
        <w:rPr>
          <w:color w:val="231F20"/>
          <w:w w:val="105"/>
        </w:rPr>
        <w:t>de una oportunidad comercial que se ha detectado en otro país (Gómez </w:t>
      </w:r>
      <w:r>
        <w:rPr>
          <w:i/>
          <w:color w:val="231F20"/>
          <w:w w:val="105"/>
        </w:rPr>
        <w:t>et al</w:t>
      </w:r>
      <w:r>
        <w:rPr>
          <w:color w:val="231F20"/>
          <w:w w:val="105"/>
        </w:rPr>
        <w:t>, 2001). Este interés puede estar motivado por el acceso a</w:t>
      </w:r>
      <w:r>
        <w:rPr>
          <w:color w:val="231F20"/>
          <w:spacing w:val="12"/>
          <w:w w:val="105"/>
        </w:rPr>
        <w:t> </w:t>
      </w:r>
      <w:r>
        <w:rPr>
          <w:color w:val="231F20"/>
          <w:w w:val="105"/>
        </w:rPr>
        <w:t>nuevos</w:t>
      </w:r>
    </w:p>
    <w:p>
      <w:pPr>
        <w:pStyle w:val="BodyText"/>
        <w:rPr>
          <w:sz w:val="20"/>
        </w:rPr>
      </w:pPr>
    </w:p>
    <w:p>
      <w:pPr>
        <w:pStyle w:val="BodyText"/>
        <w:rPr>
          <w:sz w:val="20"/>
        </w:rPr>
      </w:pPr>
    </w:p>
    <w:p>
      <w:pPr>
        <w:pStyle w:val="BodyText"/>
        <w:spacing w:before="9"/>
        <w:rPr>
          <w:sz w:val="18"/>
        </w:rPr>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38024"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276</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7011" w:val="right" w:leader="none"/>
        </w:tabs>
        <w:spacing w:before="52"/>
        <w:ind w:left="1298" w:right="0" w:firstLine="0"/>
        <w:jc w:val="left"/>
        <w:rPr>
          <w:sz w:val="20"/>
        </w:rPr>
      </w:pPr>
      <w:r>
        <w:rPr/>
        <w:pict>
          <v:line style="position:absolute;mso-position-horizontal-relative:page;mso-position-vertical-relative:paragraph;z-index:-238000"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277</w:t>
      </w:r>
    </w:p>
    <w:p>
      <w:pPr>
        <w:pStyle w:val="BodyText"/>
        <w:rPr>
          <w:sz w:val="20"/>
        </w:rPr>
      </w:pPr>
    </w:p>
    <w:p>
      <w:pPr>
        <w:pStyle w:val="BodyText"/>
        <w:rPr>
          <w:sz w:val="20"/>
        </w:rPr>
      </w:pPr>
    </w:p>
    <w:p>
      <w:pPr>
        <w:pStyle w:val="BodyText"/>
        <w:spacing w:line="259" w:lineRule="auto" w:before="148"/>
        <w:ind w:left="114" w:right="122"/>
        <w:jc w:val="both"/>
      </w:pPr>
      <w:r>
        <w:rPr>
          <w:color w:val="231F20"/>
          <w:w w:val="105"/>
        </w:rPr>
        <w:t>mercados,</w:t>
      </w:r>
      <w:r>
        <w:rPr>
          <w:color w:val="231F20"/>
          <w:spacing w:val="-21"/>
          <w:w w:val="105"/>
        </w:rPr>
        <w:t> </w:t>
      </w:r>
      <w:r>
        <w:rPr>
          <w:color w:val="231F20"/>
          <w:w w:val="105"/>
        </w:rPr>
        <w:t>el</w:t>
      </w:r>
      <w:r>
        <w:rPr>
          <w:color w:val="231F20"/>
          <w:spacing w:val="-17"/>
          <w:w w:val="105"/>
        </w:rPr>
        <w:t> </w:t>
      </w:r>
      <w:r>
        <w:rPr>
          <w:color w:val="231F20"/>
          <w:w w:val="105"/>
        </w:rPr>
        <w:t>aprovechamiento</w:t>
      </w:r>
      <w:r>
        <w:rPr>
          <w:color w:val="231F20"/>
          <w:spacing w:val="-17"/>
          <w:w w:val="105"/>
        </w:rPr>
        <w:t> </w:t>
      </w:r>
      <w:r>
        <w:rPr>
          <w:color w:val="231F20"/>
          <w:w w:val="105"/>
        </w:rPr>
        <w:t>de</w:t>
      </w:r>
      <w:r>
        <w:rPr>
          <w:color w:val="231F20"/>
          <w:spacing w:val="-17"/>
          <w:w w:val="105"/>
        </w:rPr>
        <w:t> </w:t>
      </w:r>
      <w:r>
        <w:rPr>
          <w:color w:val="231F20"/>
          <w:w w:val="105"/>
        </w:rPr>
        <w:t>economías</w:t>
      </w:r>
      <w:r>
        <w:rPr>
          <w:color w:val="231F20"/>
          <w:spacing w:val="-17"/>
          <w:w w:val="105"/>
        </w:rPr>
        <w:t> </w:t>
      </w:r>
      <w:r>
        <w:rPr>
          <w:color w:val="231F20"/>
          <w:w w:val="105"/>
        </w:rPr>
        <w:t>de</w:t>
      </w:r>
      <w:r>
        <w:rPr>
          <w:color w:val="231F20"/>
          <w:spacing w:val="-17"/>
          <w:w w:val="105"/>
        </w:rPr>
        <w:t> </w:t>
      </w:r>
      <w:r>
        <w:rPr>
          <w:color w:val="231F20"/>
          <w:w w:val="105"/>
        </w:rPr>
        <w:t>escala</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alcance,</w:t>
      </w:r>
      <w:r>
        <w:rPr>
          <w:color w:val="231F20"/>
          <w:spacing w:val="-21"/>
          <w:w w:val="105"/>
        </w:rPr>
        <w:t> </w:t>
      </w:r>
      <w:r>
        <w:rPr>
          <w:color w:val="231F20"/>
          <w:w w:val="105"/>
        </w:rPr>
        <w:t>así como por la diversificación de</w:t>
      </w:r>
      <w:r>
        <w:rPr>
          <w:color w:val="231F20"/>
          <w:spacing w:val="-40"/>
          <w:w w:val="105"/>
        </w:rPr>
        <w:t> </w:t>
      </w:r>
      <w:r>
        <w:rPr>
          <w:color w:val="231F20"/>
          <w:w w:val="105"/>
        </w:rPr>
        <w:t>riesgo.</w:t>
      </w:r>
    </w:p>
    <w:p>
      <w:pPr>
        <w:pStyle w:val="BodyText"/>
        <w:spacing w:line="259" w:lineRule="auto"/>
        <w:ind w:left="114" w:right="121" w:firstLine="567"/>
        <w:jc w:val="both"/>
      </w:pPr>
      <w:r>
        <w:rPr>
          <w:color w:val="231F20"/>
          <w:w w:val="105"/>
        </w:rPr>
        <w:t>En</w:t>
      </w:r>
      <w:r>
        <w:rPr>
          <w:color w:val="231F20"/>
          <w:spacing w:val="-25"/>
          <w:w w:val="105"/>
        </w:rPr>
        <w:t> </w:t>
      </w:r>
      <w:r>
        <w:rPr>
          <w:color w:val="231F20"/>
          <w:w w:val="105"/>
        </w:rPr>
        <w:t>cuanto</w:t>
      </w:r>
      <w:r>
        <w:rPr>
          <w:color w:val="231F20"/>
          <w:spacing w:val="-25"/>
          <w:w w:val="105"/>
        </w:rPr>
        <w:t> </w:t>
      </w:r>
      <w:r>
        <w:rPr>
          <w:color w:val="231F20"/>
          <w:w w:val="105"/>
        </w:rPr>
        <w:t>al</w:t>
      </w:r>
      <w:r>
        <w:rPr>
          <w:color w:val="231F20"/>
          <w:spacing w:val="-25"/>
          <w:w w:val="105"/>
        </w:rPr>
        <w:t> </w:t>
      </w:r>
      <w:r>
        <w:rPr>
          <w:color w:val="231F20"/>
          <w:w w:val="105"/>
        </w:rPr>
        <w:t>acceso</w:t>
      </w:r>
      <w:r>
        <w:rPr>
          <w:color w:val="231F20"/>
          <w:spacing w:val="-25"/>
          <w:w w:val="105"/>
        </w:rPr>
        <w:t> </w:t>
      </w:r>
      <w:r>
        <w:rPr>
          <w:color w:val="231F20"/>
          <w:w w:val="105"/>
        </w:rPr>
        <w:t>a</w:t>
      </w:r>
      <w:r>
        <w:rPr>
          <w:color w:val="231F20"/>
          <w:spacing w:val="-25"/>
          <w:w w:val="105"/>
        </w:rPr>
        <w:t> </w:t>
      </w:r>
      <w:r>
        <w:rPr>
          <w:color w:val="231F20"/>
          <w:w w:val="105"/>
        </w:rPr>
        <w:t>nuevos</w:t>
      </w:r>
      <w:r>
        <w:rPr>
          <w:color w:val="231F20"/>
          <w:spacing w:val="-25"/>
          <w:w w:val="105"/>
        </w:rPr>
        <w:t> </w:t>
      </w:r>
      <w:r>
        <w:rPr>
          <w:color w:val="231F20"/>
          <w:w w:val="105"/>
        </w:rPr>
        <w:t>mercados,</w:t>
      </w:r>
      <w:r>
        <w:rPr>
          <w:color w:val="231F20"/>
          <w:spacing w:val="-29"/>
          <w:w w:val="105"/>
        </w:rPr>
        <w:t> </w:t>
      </w:r>
      <w:r>
        <w:rPr>
          <w:color w:val="231F20"/>
          <w:w w:val="105"/>
        </w:rPr>
        <w:t>la</w:t>
      </w:r>
      <w:r>
        <w:rPr>
          <w:color w:val="231F20"/>
          <w:spacing w:val="-25"/>
          <w:w w:val="105"/>
        </w:rPr>
        <w:t> </w:t>
      </w:r>
      <w:r>
        <w:rPr>
          <w:color w:val="231F20"/>
          <w:w w:val="105"/>
        </w:rPr>
        <w:t>internacionalización</w:t>
      </w:r>
      <w:r>
        <w:rPr>
          <w:color w:val="231F20"/>
          <w:spacing w:val="-25"/>
          <w:w w:val="105"/>
        </w:rPr>
        <w:t> </w:t>
      </w:r>
      <w:r>
        <w:rPr>
          <w:color w:val="231F20"/>
          <w:w w:val="105"/>
        </w:rPr>
        <w:t>sig- nifica</w:t>
      </w:r>
      <w:r>
        <w:rPr>
          <w:color w:val="231F20"/>
          <w:spacing w:val="-10"/>
          <w:w w:val="105"/>
        </w:rPr>
        <w:t> </w:t>
      </w:r>
      <w:r>
        <w:rPr>
          <w:color w:val="231F20"/>
          <w:w w:val="105"/>
        </w:rPr>
        <w:t>para</w:t>
      </w:r>
      <w:r>
        <w:rPr>
          <w:color w:val="231F20"/>
          <w:spacing w:val="-10"/>
          <w:w w:val="105"/>
        </w:rPr>
        <w:t> </w:t>
      </w:r>
      <w:r>
        <w:rPr>
          <w:color w:val="231F20"/>
          <w:w w:val="105"/>
        </w:rPr>
        <w:t>las</w:t>
      </w:r>
      <w:r>
        <w:rPr>
          <w:color w:val="231F20"/>
          <w:spacing w:val="-10"/>
          <w:w w:val="105"/>
        </w:rPr>
        <w:t> </w:t>
      </w:r>
      <w:r>
        <w:rPr>
          <w:color w:val="231F20"/>
          <w:w w:val="105"/>
        </w:rPr>
        <w:t>empresas</w:t>
      </w:r>
      <w:r>
        <w:rPr>
          <w:color w:val="231F20"/>
          <w:spacing w:val="-10"/>
          <w:w w:val="105"/>
        </w:rPr>
        <w:t> </w:t>
      </w:r>
      <w:r>
        <w:rPr>
          <w:color w:val="231F20"/>
          <w:w w:val="105"/>
        </w:rPr>
        <w:t>acceder</w:t>
      </w:r>
      <w:r>
        <w:rPr>
          <w:color w:val="231F20"/>
          <w:spacing w:val="-10"/>
          <w:w w:val="105"/>
        </w:rPr>
        <w:t> </w:t>
      </w:r>
      <w:r>
        <w:rPr>
          <w:color w:val="231F20"/>
          <w:w w:val="105"/>
        </w:rPr>
        <w:t>a</w:t>
      </w:r>
      <w:r>
        <w:rPr>
          <w:color w:val="231F20"/>
          <w:spacing w:val="-10"/>
          <w:w w:val="105"/>
        </w:rPr>
        <w:t> </w:t>
      </w:r>
      <w:r>
        <w:rPr>
          <w:color w:val="231F20"/>
          <w:w w:val="105"/>
        </w:rPr>
        <w:t>terceros</w:t>
      </w:r>
      <w:r>
        <w:rPr>
          <w:color w:val="231F20"/>
          <w:spacing w:val="-10"/>
          <w:w w:val="105"/>
        </w:rPr>
        <w:t> </w:t>
      </w:r>
      <w:r>
        <w:rPr>
          <w:color w:val="231F20"/>
          <w:w w:val="105"/>
        </w:rPr>
        <w:t>mercados</w:t>
      </w:r>
      <w:r>
        <w:rPr>
          <w:color w:val="231F20"/>
          <w:spacing w:val="-10"/>
          <w:w w:val="105"/>
        </w:rPr>
        <w:t> </w:t>
      </w:r>
      <w:r>
        <w:rPr>
          <w:color w:val="231F20"/>
          <w:w w:val="105"/>
        </w:rPr>
        <w:t>que</w:t>
      </w:r>
      <w:r>
        <w:rPr>
          <w:color w:val="231F20"/>
          <w:spacing w:val="-10"/>
          <w:w w:val="105"/>
        </w:rPr>
        <w:t> </w:t>
      </w:r>
      <w:r>
        <w:rPr>
          <w:color w:val="231F20"/>
          <w:w w:val="105"/>
        </w:rPr>
        <w:t>brinden</w:t>
      </w:r>
      <w:r>
        <w:rPr>
          <w:color w:val="231F20"/>
          <w:spacing w:val="-10"/>
          <w:w w:val="105"/>
        </w:rPr>
        <w:t> </w:t>
      </w:r>
      <w:r>
        <w:rPr>
          <w:color w:val="231F20"/>
          <w:w w:val="105"/>
        </w:rPr>
        <w:t>opor- tunidades</w:t>
      </w:r>
      <w:r>
        <w:rPr>
          <w:color w:val="231F20"/>
          <w:spacing w:val="-25"/>
          <w:w w:val="105"/>
        </w:rPr>
        <w:t> </w:t>
      </w:r>
      <w:r>
        <w:rPr>
          <w:color w:val="231F20"/>
          <w:w w:val="105"/>
        </w:rPr>
        <w:t>de</w:t>
      </w:r>
      <w:r>
        <w:rPr>
          <w:color w:val="231F20"/>
          <w:spacing w:val="-25"/>
          <w:w w:val="105"/>
        </w:rPr>
        <w:t> </w:t>
      </w:r>
      <w:r>
        <w:rPr>
          <w:color w:val="231F20"/>
          <w:w w:val="105"/>
        </w:rPr>
        <w:t>ventas</w:t>
      </w:r>
      <w:r>
        <w:rPr>
          <w:color w:val="231F20"/>
          <w:spacing w:val="-25"/>
          <w:w w:val="105"/>
        </w:rPr>
        <w:t> </w:t>
      </w:r>
      <w:r>
        <w:rPr>
          <w:color w:val="231F20"/>
          <w:w w:val="105"/>
        </w:rPr>
        <w:t>y</w:t>
      </w:r>
      <w:r>
        <w:rPr>
          <w:color w:val="231F20"/>
          <w:spacing w:val="-25"/>
          <w:w w:val="105"/>
        </w:rPr>
        <w:t> </w:t>
      </w:r>
      <w:r>
        <w:rPr>
          <w:color w:val="231F20"/>
          <w:w w:val="105"/>
        </w:rPr>
        <w:t>crecimiento</w:t>
      </w:r>
      <w:r>
        <w:rPr>
          <w:color w:val="231F20"/>
          <w:spacing w:val="-25"/>
          <w:w w:val="105"/>
        </w:rPr>
        <w:t> </w:t>
      </w:r>
      <w:r>
        <w:rPr>
          <w:color w:val="231F20"/>
          <w:w w:val="105"/>
        </w:rPr>
        <w:t>(Dunning,</w:t>
      </w:r>
      <w:r>
        <w:rPr>
          <w:color w:val="231F20"/>
          <w:spacing w:val="-29"/>
          <w:w w:val="105"/>
        </w:rPr>
        <w:t> </w:t>
      </w:r>
      <w:r>
        <w:rPr>
          <w:color w:val="231F20"/>
          <w:w w:val="105"/>
        </w:rPr>
        <w:t>1997).</w:t>
      </w:r>
      <w:r>
        <w:rPr>
          <w:color w:val="231F20"/>
          <w:spacing w:val="-29"/>
          <w:w w:val="105"/>
        </w:rPr>
        <w:t> </w:t>
      </w:r>
      <w:r>
        <w:rPr>
          <w:color w:val="231F20"/>
          <w:w w:val="105"/>
        </w:rPr>
        <w:t>Cuando</w:t>
      </w:r>
      <w:r>
        <w:rPr>
          <w:color w:val="231F20"/>
          <w:spacing w:val="-25"/>
          <w:w w:val="105"/>
        </w:rPr>
        <w:t> </w:t>
      </w:r>
      <w:r>
        <w:rPr>
          <w:color w:val="231F20"/>
          <w:w w:val="105"/>
        </w:rPr>
        <w:t>las</w:t>
      </w:r>
      <w:r>
        <w:rPr>
          <w:color w:val="231F20"/>
          <w:spacing w:val="-25"/>
          <w:w w:val="105"/>
        </w:rPr>
        <w:t> </w:t>
      </w:r>
      <w:r>
        <w:rPr>
          <w:color w:val="231F20"/>
          <w:w w:val="105"/>
        </w:rPr>
        <w:t>empresas son</w:t>
      </w:r>
      <w:r>
        <w:rPr>
          <w:color w:val="231F20"/>
          <w:spacing w:val="-17"/>
          <w:w w:val="105"/>
        </w:rPr>
        <w:t> </w:t>
      </w:r>
      <w:r>
        <w:rPr>
          <w:color w:val="231F20"/>
          <w:w w:val="105"/>
        </w:rPr>
        <w:t>líderes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17"/>
          <w:w w:val="105"/>
        </w:rPr>
        <w:t> </w:t>
      </w:r>
      <w:r>
        <w:rPr>
          <w:color w:val="231F20"/>
          <w:w w:val="105"/>
        </w:rPr>
        <w:t>local</w:t>
      </w:r>
      <w:r>
        <w:rPr>
          <w:color w:val="231F20"/>
          <w:spacing w:val="-17"/>
          <w:w w:val="105"/>
        </w:rPr>
        <w:t> </w:t>
      </w:r>
      <w:r>
        <w:rPr>
          <w:color w:val="231F20"/>
          <w:w w:val="105"/>
        </w:rPr>
        <w:t>o</w:t>
      </w:r>
      <w:r>
        <w:rPr>
          <w:color w:val="231F20"/>
          <w:spacing w:val="-17"/>
          <w:w w:val="105"/>
        </w:rPr>
        <w:t> </w:t>
      </w:r>
      <w:r>
        <w:rPr>
          <w:color w:val="231F20"/>
          <w:w w:val="105"/>
        </w:rPr>
        <w:t>el</w:t>
      </w:r>
      <w:r>
        <w:rPr>
          <w:color w:val="231F20"/>
          <w:spacing w:val="-17"/>
          <w:w w:val="105"/>
        </w:rPr>
        <w:t> </w:t>
      </w:r>
      <w:r>
        <w:rPr>
          <w:color w:val="231F20"/>
          <w:w w:val="105"/>
        </w:rPr>
        <w:t>mercado</w:t>
      </w:r>
      <w:r>
        <w:rPr>
          <w:color w:val="231F20"/>
          <w:spacing w:val="-17"/>
          <w:w w:val="105"/>
        </w:rPr>
        <w:t> </w:t>
      </w:r>
      <w:r>
        <w:rPr>
          <w:color w:val="231F20"/>
          <w:w w:val="105"/>
        </w:rPr>
        <w:t>se</w:t>
      </w:r>
      <w:r>
        <w:rPr>
          <w:color w:val="231F20"/>
          <w:spacing w:val="-17"/>
          <w:w w:val="105"/>
        </w:rPr>
        <w:t> </w:t>
      </w:r>
      <w:r>
        <w:rPr>
          <w:color w:val="231F20"/>
          <w:w w:val="105"/>
        </w:rPr>
        <w:t>encuentra</w:t>
      </w:r>
      <w:r>
        <w:rPr>
          <w:color w:val="231F20"/>
          <w:spacing w:val="-17"/>
          <w:w w:val="105"/>
        </w:rPr>
        <w:t> </w:t>
      </w:r>
      <w:r>
        <w:rPr>
          <w:color w:val="231F20"/>
          <w:w w:val="105"/>
        </w:rPr>
        <w:t>ya</w:t>
      </w:r>
      <w:r>
        <w:rPr>
          <w:color w:val="231F20"/>
          <w:spacing w:val="-17"/>
          <w:w w:val="105"/>
        </w:rPr>
        <w:t> </w:t>
      </w:r>
      <w:r>
        <w:rPr>
          <w:color w:val="231F20"/>
          <w:w w:val="105"/>
        </w:rPr>
        <w:t>saturado,</w:t>
      </w:r>
      <w:r>
        <w:rPr>
          <w:color w:val="231F20"/>
          <w:spacing w:val="-22"/>
          <w:w w:val="105"/>
        </w:rPr>
        <w:t> </w:t>
      </w:r>
      <w:r>
        <w:rPr>
          <w:color w:val="231F20"/>
          <w:w w:val="105"/>
        </w:rPr>
        <w:t>la demanda nacional se torna insuficiente para apalancar el incremento</w:t>
      </w:r>
      <w:r>
        <w:rPr>
          <w:color w:val="231F20"/>
          <w:spacing w:val="-36"/>
          <w:w w:val="105"/>
        </w:rPr>
        <w:t> </w:t>
      </w:r>
      <w:r>
        <w:rPr>
          <w:color w:val="231F20"/>
          <w:w w:val="105"/>
        </w:rPr>
        <w:t>de las</w:t>
      </w:r>
      <w:r>
        <w:rPr>
          <w:color w:val="231F20"/>
          <w:spacing w:val="-5"/>
          <w:w w:val="105"/>
        </w:rPr>
        <w:t> </w:t>
      </w:r>
      <w:r>
        <w:rPr>
          <w:color w:val="231F20"/>
          <w:w w:val="105"/>
        </w:rPr>
        <w:t>ventas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compañía,</w:t>
      </w:r>
      <w:r>
        <w:rPr>
          <w:color w:val="231F20"/>
          <w:spacing w:val="-10"/>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incentiva</w:t>
      </w:r>
      <w:r>
        <w:rPr>
          <w:color w:val="231F20"/>
          <w:spacing w:val="-5"/>
          <w:w w:val="105"/>
        </w:rPr>
        <w:t> </w:t>
      </w:r>
      <w:r>
        <w:rPr>
          <w:color w:val="231F20"/>
          <w:w w:val="105"/>
        </w:rPr>
        <w:t>a</w:t>
      </w:r>
      <w:r>
        <w:rPr>
          <w:color w:val="231F20"/>
          <w:spacing w:val="-5"/>
          <w:w w:val="105"/>
        </w:rPr>
        <w:t> </w:t>
      </w:r>
      <w:r>
        <w:rPr>
          <w:color w:val="231F20"/>
          <w:w w:val="105"/>
        </w:rPr>
        <w:t>buscar</w:t>
      </w:r>
      <w:r>
        <w:rPr>
          <w:color w:val="231F20"/>
          <w:spacing w:val="-5"/>
          <w:w w:val="105"/>
        </w:rPr>
        <w:t> </w:t>
      </w:r>
      <w:r>
        <w:rPr>
          <w:color w:val="231F20"/>
          <w:w w:val="105"/>
        </w:rPr>
        <w:t>alternativas</w:t>
      </w:r>
      <w:r>
        <w:rPr>
          <w:color w:val="231F20"/>
          <w:spacing w:val="-5"/>
          <w:w w:val="105"/>
        </w:rPr>
        <w:t> </w:t>
      </w:r>
      <w:r>
        <w:rPr>
          <w:color w:val="231F20"/>
          <w:w w:val="105"/>
        </w:rPr>
        <w:t>en</w:t>
      </w:r>
      <w:r>
        <w:rPr>
          <w:color w:val="231F20"/>
          <w:spacing w:val="-5"/>
          <w:w w:val="105"/>
        </w:rPr>
        <w:t> </w:t>
      </w:r>
      <w:r>
        <w:rPr>
          <w:color w:val="231F20"/>
          <w:w w:val="105"/>
        </w:rPr>
        <w:t>el </w:t>
      </w:r>
      <w:r>
        <w:rPr>
          <w:color w:val="231F20"/>
        </w:rPr>
        <w:t>exterior (Ramírez y Florez,</w:t>
      </w:r>
      <w:r>
        <w:rPr>
          <w:color w:val="231F20"/>
          <w:spacing w:val="-33"/>
        </w:rPr>
        <w:t> </w:t>
      </w:r>
      <w:r>
        <w:rPr>
          <w:color w:val="231F20"/>
        </w:rPr>
        <w:t>2006).</w:t>
      </w:r>
    </w:p>
    <w:p>
      <w:pPr>
        <w:pStyle w:val="BodyText"/>
        <w:spacing w:line="259" w:lineRule="auto"/>
        <w:ind w:left="114" w:right="122" w:firstLine="567"/>
        <w:jc w:val="both"/>
      </w:pPr>
      <w:r>
        <w:rPr>
          <w:color w:val="231F20"/>
        </w:rPr>
        <w:t>Las firmas en países pequeños tienen mayor necesidad de interna- cionalizarse, ya que el reducido tamaño de sus economías implica una saturación más acelerada de sus mercados; de ahí su necesidad por ex- pandirse y buscar nuevos mercados (Daniels, Radebaugh y Lee, 2000).</w:t>
      </w:r>
    </w:p>
    <w:p>
      <w:pPr>
        <w:pStyle w:val="BodyText"/>
        <w:spacing w:line="259" w:lineRule="auto"/>
        <w:ind w:left="114" w:right="115" w:firstLine="567"/>
        <w:jc w:val="both"/>
      </w:pPr>
      <w:r>
        <w:rPr>
          <w:color w:val="231F20"/>
          <w:w w:val="105"/>
        </w:rPr>
        <w:t>El</w:t>
      </w:r>
      <w:r>
        <w:rPr>
          <w:color w:val="231F20"/>
          <w:spacing w:val="-12"/>
          <w:w w:val="105"/>
        </w:rPr>
        <w:t> </w:t>
      </w:r>
      <w:r>
        <w:rPr>
          <w:color w:val="231F20"/>
          <w:w w:val="105"/>
        </w:rPr>
        <w:t>aprovechamiento</w:t>
      </w:r>
      <w:r>
        <w:rPr>
          <w:color w:val="231F20"/>
          <w:spacing w:val="-12"/>
          <w:w w:val="105"/>
        </w:rPr>
        <w:t> </w:t>
      </w:r>
      <w:r>
        <w:rPr>
          <w:color w:val="231F20"/>
          <w:w w:val="105"/>
        </w:rPr>
        <w:t>de</w:t>
      </w:r>
      <w:r>
        <w:rPr>
          <w:color w:val="231F20"/>
          <w:spacing w:val="-12"/>
          <w:w w:val="105"/>
        </w:rPr>
        <w:t> </w:t>
      </w:r>
      <w:r>
        <w:rPr>
          <w:color w:val="231F20"/>
          <w:w w:val="105"/>
        </w:rPr>
        <w:t>economías</w:t>
      </w:r>
      <w:r>
        <w:rPr>
          <w:color w:val="231F20"/>
          <w:spacing w:val="-12"/>
          <w:w w:val="105"/>
        </w:rPr>
        <w:t> </w:t>
      </w:r>
      <w:r>
        <w:rPr>
          <w:color w:val="231F20"/>
          <w:w w:val="105"/>
        </w:rPr>
        <w:t>de</w:t>
      </w:r>
      <w:r>
        <w:rPr>
          <w:color w:val="231F20"/>
          <w:spacing w:val="-12"/>
          <w:w w:val="105"/>
        </w:rPr>
        <w:t> </w:t>
      </w:r>
      <w:r>
        <w:rPr>
          <w:color w:val="231F20"/>
          <w:w w:val="105"/>
        </w:rPr>
        <w:t>escala</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alcance</w:t>
      </w:r>
      <w:r>
        <w:rPr>
          <w:color w:val="231F20"/>
          <w:spacing w:val="-12"/>
          <w:w w:val="105"/>
        </w:rPr>
        <w:t> </w:t>
      </w:r>
      <w:r>
        <w:rPr>
          <w:color w:val="231F20"/>
          <w:w w:val="105"/>
        </w:rPr>
        <w:t>hace</w:t>
      </w:r>
      <w:r>
        <w:rPr>
          <w:color w:val="231F20"/>
          <w:spacing w:val="-12"/>
          <w:w w:val="105"/>
        </w:rPr>
        <w:t> </w:t>
      </w:r>
      <w:r>
        <w:rPr>
          <w:color w:val="231F20"/>
          <w:w w:val="105"/>
        </w:rPr>
        <w:t>re- ferencia</w:t>
      </w:r>
      <w:r>
        <w:rPr>
          <w:color w:val="231F20"/>
          <w:spacing w:val="-6"/>
          <w:w w:val="105"/>
        </w:rPr>
        <w:t> </w:t>
      </w:r>
      <w:r>
        <w:rPr>
          <w:color w:val="231F20"/>
          <w:w w:val="105"/>
        </w:rPr>
        <w:t>a</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acceso</w:t>
      </w:r>
      <w:r>
        <w:rPr>
          <w:color w:val="231F20"/>
          <w:spacing w:val="-6"/>
          <w:w w:val="105"/>
        </w:rPr>
        <w:t> </w:t>
      </w:r>
      <w:r>
        <w:rPr>
          <w:color w:val="231F20"/>
          <w:w w:val="105"/>
        </w:rPr>
        <w:t>a</w:t>
      </w:r>
      <w:r>
        <w:rPr>
          <w:color w:val="231F20"/>
          <w:spacing w:val="-6"/>
          <w:w w:val="105"/>
        </w:rPr>
        <w:t> </w:t>
      </w:r>
      <w:r>
        <w:rPr>
          <w:color w:val="231F20"/>
          <w:w w:val="105"/>
        </w:rPr>
        <w:t>un</w:t>
      </w:r>
      <w:r>
        <w:rPr>
          <w:color w:val="231F20"/>
          <w:spacing w:val="-6"/>
          <w:w w:val="105"/>
        </w:rPr>
        <w:t> </w:t>
      </w:r>
      <w:r>
        <w:rPr>
          <w:color w:val="231F20"/>
          <w:w w:val="105"/>
        </w:rPr>
        <w:t>mercado</w:t>
      </w:r>
      <w:r>
        <w:rPr>
          <w:color w:val="231F20"/>
          <w:spacing w:val="-6"/>
          <w:w w:val="105"/>
        </w:rPr>
        <w:t> </w:t>
      </w:r>
      <w:r>
        <w:rPr>
          <w:color w:val="231F20"/>
          <w:w w:val="105"/>
        </w:rPr>
        <w:t>internacional</w:t>
      </w:r>
      <w:r>
        <w:rPr>
          <w:color w:val="231F20"/>
          <w:spacing w:val="-6"/>
          <w:w w:val="105"/>
        </w:rPr>
        <w:t> </w:t>
      </w:r>
      <w:r>
        <w:rPr>
          <w:color w:val="231F20"/>
          <w:w w:val="105"/>
        </w:rPr>
        <w:t>puede</w:t>
      </w:r>
      <w:r>
        <w:rPr>
          <w:color w:val="231F20"/>
          <w:spacing w:val="-6"/>
          <w:w w:val="105"/>
        </w:rPr>
        <w:t> </w:t>
      </w:r>
      <w:r>
        <w:rPr>
          <w:color w:val="231F20"/>
          <w:w w:val="105"/>
        </w:rPr>
        <w:t>responder</w:t>
      </w:r>
      <w:r>
        <w:rPr>
          <w:color w:val="231F20"/>
          <w:spacing w:val="-6"/>
          <w:w w:val="105"/>
        </w:rPr>
        <w:t> </w:t>
      </w:r>
      <w:r>
        <w:rPr>
          <w:color w:val="231F20"/>
          <w:w w:val="105"/>
        </w:rPr>
        <w:t>al interés que tiene una empresa en aumentar sus niveles de producción, con el fin de bajar el costo promedio por unidad producida y así aprove- char las economías de escala. Esta reducción de costos puede</w:t>
      </w:r>
      <w:r>
        <w:rPr>
          <w:color w:val="231F20"/>
          <w:spacing w:val="-20"/>
          <w:w w:val="105"/>
        </w:rPr>
        <w:t> </w:t>
      </w:r>
      <w:r>
        <w:rPr>
          <w:color w:val="231F20"/>
          <w:w w:val="105"/>
        </w:rPr>
        <w:t>deberse a</w:t>
      </w:r>
      <w:r>
        <w:rPr>
          <w:color w:val="231F20"/>
          <w:spacing w:val="-5"/>
          <w:w w:val="105"/>
        </w:rPr>
        <w:t> </w:t>
      </w:r>
      <w:r>
        <w:rPr>
          <w:color w:val="231F20"/>
          <w:w w:val="105"/>
        </w:rPr>
        <w:t>una</w:t>
      </w:r>
      <w:r>
        <w:rPr>
          <w:color w:val="231F20"/>
          <w:spacing w:val="-5"/>
          <w:w w:val="105"/>
        </w:rPr>
        <w:t> </w:t>
      </w:r>
      <w:r>
        <w:rPr>
          <w:color w:val="231F20"/>
          <w:w w:val="105"/>
        </w:rPr>
        <w:t>mayor</w:t>
      </w:r>
      <w:r>
        <w:rPr>
          <w:color w:val="231F20"/>
          <w:spacing w:val="-5"/>
          <w:w w:val="105"/>
        </w:rPr>
        <w:t> </w:t>
      </w:r>
      <w:r>
        <w:rPr>
          <w:color w:val="231F20"/>
          <w:w w:val="105"/>
        </w:rPr>
        <w:t>dispersión</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costos</w:t>
      </w:r>
      <w:r>
        <w:rPr>
          <w:color w:val="231F20"/>
          <w:spacing w:val="-5"/>
          <w:w w:val="105"/>
        </w:rPr>
        <w:t> </w:t>
      </w:r>
      <w:r>
        <w:rPr>
          <w:color w:val="231F20"/>
          <w:w w:val="105"/>
        </w:rPr>
        <w:t>fijos</w:t>
      </w:r>
      <w:r>
        <w:rPr>
          <w:color w:val="231F20"/>
          <w:spacing w:val="-5"/>
          <w:w w:val="105"/>
        </w:rPr>
        <w:t> </w:t>
      </w:r>
      <w:r>
        <w:rPr>
          <w:color w:val="231F20"/>
          <w:w w:val="105"/>
        </w:rPr>
        <w:t>a</w:t>
      </w:r>
      <w:r>
        <w:rPr>
          <w:color w:val="231F20"/>
          <w:spacing w:val="-5"/>
          <w:w w:val="105"/>
        </w:rPr>
        <w:t> </w:t>
      </w:r>
      <w:r>
        <w:rPr>
          <w:color w:val="231F20"/>
          <w:w w:val="105"/>
        </w:rPr>
        <w:t>causa</w:t>
      </w:r>
      <w:r>
        <w:rPr>
          <w:color w:val="231F20"/>
          <w:spacing w:val="-5"/>
          <w:w w:val="105"/>
        </w:rPr>
        <w:t> </w:t>
      </w:r>
      <w:r>
        <w:rPr>
          <w:color w:val="231F20"/>
          <w:w w:val="105"/>
        </w:rPr>
        <w:t>del</w:t>
      </w:r>
      <w:r>
        <w:rPr>
          <w:color w:val="231F20"/>
          <w:spacing w:val="-5"/>
          <w:w w:val="105"/>
        </w:rPr>
        <w:t> </w:t>
      </w:r>
      <w:r>
        <w:rPr>
          <w:color w:val="231F20"/>
          <w:w w:val="105"/>
        </w:rPr>
        <w:t>mayor</w:t>
      </w:r>
      <w:r>
        <w:rPr>
          <w:color w:val="231F20"/>
          <w:spacing w:val="-5"/>
          <w:w w:val="105"/>
        </w:rPr>
        <w:t> </w:t>
      </w:r>
      <w:r>
        <w:rPr>
          <w:color w:val="231F20"/>
          <w:w w:val="105"/>
        </w:rPr>
        <w:t>número</w:t>
      </w:r>
      <w:r>
        <w:rPr>
          <w:color w:val="231F20"/>
          <w:spacing w:val="-5"/>
          <w:w w:val="105"/>
        </w:rPr>
        <w:t> </w:t>
      </w:r>
      <w:r>
        <w:rPr>
          <w:color w:val="231F20"/>
          <w:w w:val="105"/>
        </w:rPr>
        <w:t>de unidades</w:t>
      </w:r>
      <w:r>
        <w:rPr>
          <w:color w:val="231F20"/>
          <w:spacing w:val="-13"/>
          <w:w w:val="105"/>
        </w:rPr>
        <w:t> </w:t>
      </w:r>
      <w:r>
        <w:rPr>
          <w:color w:val="231F20"/>
          <w:w w:val="105"/>
        </w:rPr>
        <w:t>producidas,</w:t>
      </w:r>
      <w:r>
        <w:rPr>
          <w:color w:val="231F20"/>
          <w:spacing w:val="-20"/>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compra</w:t>
      </w:r>
      <w:r>
        <w:rPr>
          <w:color w:val="231F20"/>
          <w:spacing w:val="-13"/>
          <w:w w:val="105"/>
        </w:rPr>
        <w:t> </w:t>
      </w:r>
      <w:r>
        <w:rPr>
          <w:color w:val="231F20"/>
          <w:w w:val="105"/>
        </w:rPr>
        <w:t>de</w:t>
      </w:r>
      <w:r>
        <w:rPr>
          <w:color w:val="231F20"/>
          <w:spacing w:val="-13"/>
          <w:w w:val="105"/>
        </w:rPr>
        <w:t> </w:t>
      </w:r>
      <w:r>
        <w:rPr>
          <w:color w:val="231F20"/>
          <w:w w:val="105"/>
        </w:rPr>
        <w:t>materias</w:t>
      </w:r>
      <w:r>
        <w:rPr>
          <w:color w:val="231F20"/>
          <w:spacing w:val="-13"/>
          <w:w w:val="105"/>
        </w:rPr>
        <w:t> </w:t>
      </w:r>
      <w:r>
        <w:rPr>
          <w:color w:val="231F20"/>
          <w:w w:val="105"/>
        </w:rPr>
        <w:t>primas</w:t>
      </w:r>
      <w:r>
        <w:rPr>
          <w:color w:val="231F20"/>
          <w:spacing w:val="-13"/>
          <w:w w:val="105"/>
        </w:rPr>
        <w:t> </w:t>
      </w:r>
      <w:r>
        <w:rPr>
          <w:color w:val="231F20"/>
          <w:w w:val="105"/>
        </w:rPr>
        <w:t>a</w:t>
      </w:r>
      <w:r>
        <w:rPr>
          <w:color w:val="231F20"/>
          <w:spacing w:val="-13"/>
          <w:w w:val="105"/>
        </w:rPr>
        <w:t> </w:t>
      </w:r>
      <w:r>
        <w:rPr>
          <w:color w:val="231F20"/>
          <w:w w:val="105"/>
        </w:rPr>
        <w:t>menor</w:t>
      </w:r>
      <w:r>
        <w:rPr>
          <w:color w:val="231F20"/>
          <w:spacing w:val="-13"/>
          <w:w w:val="105"/>
        </w:rPr>
        <w:t> </w:t>
      </w:r>
      <w:r>
        <w:rPr>
          <w:color w:val="231F20"/>
          <w:w w:val="105"/>
        </w:rPr>
        <w:t>costo,</w:t>
      </w:r>
      <w:r>
        <w:rPr>
          <w:color w:val="231F20"/>
          <w:spacing w:val="-20"/>
          <w:w w:val="105"/>
        </w:rPr>
        <w:t> </w:t>
      </w:r>
      <w:r>
        <w:rPr>
          <w:color w:val="231F20"/>
          <w:w w:val="105"/>
        </w:rPr>
        <w:t>o</w:t>
      </w:r>
      <w:r>
        <w:rPr>
          <w:color w:val="231F20"/>
          <w:spacing w:val="-13"/>
          <w:w w:val="105"/>
        </w:rPr>
        <w:t> </w:t>
      </w:r>
      <w:r>
        <w:rPr>
          <w:color w:val="231F20"/>
          <w:w w:val="105"/>
        </w:rPr>
        <w:t>al aprendizaje</w:t>
      </w:r>
      <w:r>
        <w:rPr>
          <w:color w:val="231F20"/>
          <w:spacing w:val="-25"/>
          <w:w w:val="105"/>
        </w:rPr>
        <w:t> </w:t>
      </w:r>
      <w:r>
        <w:rPr>
          <w:color w:val="231F20"/>
          <w:w w:val="105"/>
        </w:rPr>
        <w:t>obtenido</w:t>
      </w:r>
      <w:r>
        <w:rPr>
          <w:color w:val="231F20"/>
          <w:spacing w:val="-25"/>
          <w:w w:val="105"/>
        </w:rPr>
        <w:t> </w:t>
      </w:r>
      <w:r>
        <w:rPr>
          <w:color w:val="231F20"/>
          <w:w w:val="105"/>
        </w:rPr>
        <w:t>gracias</w:t>
      </w:r>
      <w:r>
        <w:rPr>
          <w:color w:val="231F20"/>
          <w:spacing w:val="-25"/>
          <w:w w:val="105"/>
        </w:rPr>
        <w:t> </w:t>
      </w:r>
      <w:r>
        <w:rPr>
          <w:color w:val="231F20"/>
          <w:w w:val="105"/>
        </w:rPr>
        <w:t>a</w:t>
      </w:r>
      <w:r>
        <w:rPr>
          <w:color w:val="231F20"/>
          <w:spacing w:val="-25"/>
          <w:w w:val="105"/>
        </w:rPr>
        <w:t> </w:t>
      </w:r>
      <w:r>
        <w:rPr>
          <w:color w:val="231F20"/>
          <w:w w:val="105"/>
        </w:rPr>
        <w:t>una</w:t>
      </w:r>
      <w:r>
        <w:rPr>
          <w:color w:val="231F20"/>
          <w:spacing w:val="-25"/>
          <w:w w:val="105"/>
        </w:rPr>
        <w:t> </w:t>
      </w:r>
      <w:r>
        <w:rPr>
          <w:color w:val="231F20"/>
          <w:w w:val="105"/>
        </w:rPr>
        <w:t>producción</w:t>
      </w:r>
      <w:r>
        <w:rPr>
          <w:color w:val="231F20"/>
          <w:spacing w:val="-25"/>
          <w:w w:val="105"/>
        </w:rPr>
        <w:t> </w:t>
      </w:r>
      <w:r>
        <w:rPr>
          <w:color w:val="231F20"/>
          <w:w w:val="105"/>
        </w:rPr>
        <w:t>a</w:t>
      </w:r>
      <w:r>
        <w:rPr>
          <w:color w:val="231F20"/>
          <w:spacing w:val="-25"/>
          <w:w w:val="105"/>
        </w:rPr>
        <w:t> </w:t>
      </w:r>
      <w:r>
        <w:rPr>
          <w:color w:val="231F20"/>
          <w:w w:val="105"/>
        </w:rPr>
        <w:t>mayor</w:t>
      </w:r>
      <w:r>
        <w:rPr>
          <w:color w:val="231F20"/>
          <w:spacing w:val="-25"/>
          <w:w w:val="105"/>
        </w:rPr>
        <w:t> </w:t>
      </w:r>
      <w:r>
        <w:rPr>
          <w:color w:val="231F20"/>
          <w:w w:val="105"/>
        </w:rPr>
        <w:t>escala</w:t>
      </w:r>
      <w:r>
        <w:rPr>
          <w:color w:val="231F20"/>
          <w:spacing w:val="-25"/>
          <w:w w:val="105"/>
        </w:rPr>
        <w:t> </w:t>
      </w:r>
      <w:r>
        <w:rPr>
          <w:color w:val="231F20"/>
          <w:w w:val="105"/>
        </w:rPr>
        <w:t>(Ramírez</w:t>
      </w:r>
      <w:r>
        <w:rPr>
          <w:color w:val="231F20"/>
          <w:spacing w:val="-25"/>
          <w:w w:val="105"/>
        </w:rPr>
        <w:t> </w:t>
      </w:r>
      <w:r>
        <w:rPr>
          <w:color w:val="231F20"/>
          <w:w w:val="105"/>
        </w:rPr>
        <w:t>y </w:t>
      </w:r>
      <w:r>
        <w:rPr>
          <w:color w:val="231F20"/>
        </w:rPr>
        <w:t>Florez,</w:t>
      </w:r>
      <w:r>
        <w:rPr>
          <w:color w:val="231F20"/>
          <w:spacing w:val="-8"/>
        </w:rPr>
        <w:t> </w:t>
      </w:r>
      <w:r>
        <w:rPr>
          <w:color w:val="231F20"/>
        </w:rPr>
        <w:t>2006).</w:t>
      </w:r>
    </w:p>
    <w:p>
      <w:pPr>
        <w:pStyle w:val="BodyText"/>
        <w:spacing w:line="259" w:lineRule="auto"/>
        <w:ind w:left="114" w:right="118" w:firstLine="567"/>
        <w:jc w:val="right"/>
      </w:pPr>
      <w:r>
        <w:rPr>
          <w:color w:val="231F20"/>
          <w:spacing w:val="-7"/>
          <w:w w:val="105"/>
        </w:rPr>
        <w:t>Por </w:t>
      </w:r>
      <w:r>
        <w:rPr>
          <w:color w:val="231F20"/>
          <w:spacing w:val="-3"/>
          <w:w w:val="105"/>
        </w:rPr>
        <w:t>otro lado, </w:t>
      </w:r>
      <w:r>
        <w:rPr>
          <w:color w:val="231F20"/>
          <w:w w:val="105"/>
        </w:rPr>
        <w:t>el </w:t>
      </w:r>
      <w:r>
        <w:rPr>
          <w:color w:val="231F20"/>
          <w:spacing w:val="-3"/>
          <w:w w:val="105"/>
        </w:rPr>
        <w:t>abarcar </w:t>
      </w:r>
      <w:r>
        <w:rPr>
          <w:color w:val="231F20"/>
          <w:w w:val="105"/>
        </w:rPr>
        <w:t>un </w:t>
      </w:r>
      <w:r>
        <w:rPr>
          <w:color w:val="231F20"/>
          <w:spacing w:val="-3"/>
          <w:w w:val="105"/>
        </w:rPr>
        <w:t>mayor número </w:t>
      </w:r>
      <w:r>
        <w:rPr>
          <w:color w:val="231F20"/>
          <w:w w:val="105"/>
        </w:rPr>
        <w:t>de </w:t>
      </w:r>
      <w:r>
        <w:rPr>
          <w:color w:val="231F20"/>
          <w:spacing w:val="-3"/>
          <w:w w:val="105"/>
        </w:rPr>
        <w:t>mercados</w:t>
      </w:r>
      <w:r>
        <w:rPr>
          <w:color w:val="231F20"/>
          <w:spacing w:val="41"/>
          <w:w w:val="105"/>
        </w:rPr>
        <w:t> </w:t>
      </w:r>
      <w:r>
        <w:rPr>
          <w:color w:val="231F20"/>
          <w:spacing w:val="-3"/>
          <w:w w:val="105"/>
        </w:rPr>
        <w:t>permite</w:t>
      </w:r>
      <w:r>
        <w:rPr>
          <w:color w:val="231F20"/>
          <w:spacing w:val="8"/>
          <w:w w:val="105"/>
        </w:rPr>
        <w:t> </w:t>
      </w:r>
      <w:r>
        <w:rPr>
          <w:color w:val="231F20"/>
          <w:w w:val="105"/>
        </w:rPr>
        <w:t>a</w:t>
      </w:r>
      <w:r>
        <w:rPr>
          <w:color w:val="231F20"/>
          <w:w w:val="96"/>
        </w:rPr>
        <w:t> </w:t>
      </w:r>
      <w:r>
        <w:rPr>
          <w:color w:val="231F20"/>
          <w:w w:val="105"/>
        </w:rPr>
        <w:t>las</w:t>
      </w:r>
      <w:r>
        <w:rPr>
          <w:color w:val="231F20"/>
          <w:spacing w:val="-9"/>
          <w:w w:val="105"/>
        </w:rPr>
        <w:t> </w:t>
      </w:r>
      <w:r>
        <w:rPr>
          <w:color w:val="231F20"/>
          <w:spacing w:val="-3"/>
          <w:w w:val="105"/>
        </w:rPr>
        <w:t>firmas</w:t>
      </w:r>
      <w:r>
        <w:rPr>
          <w:color w:val="231F20"/>
          <w:spacing w:val="-9"/>
          <w:w w:val="105"/>
        </w:rPr>
        <w:t> </w:t>
      </w:r>
      <w:r>
        <w:rPr>
          <w:color w:val="231F20"/>
          <w:spacing w:val="-3"/>
          <w:w w:val="105"/>
        </w:rPr>
        <w:t>diversificar</w:t>
      </w:r>
      <w:r>
        <w:rPr>
          <w:color w:val="231F20"/>
          <w:spacing w:val="-9"/>
          <w:w w:val="105"/>
        </w:rPr>
        <w:t> </w:t>
      </w:r>
      <w:r>
        <w:rPr>
          <w:color w:val="231F20"/>
          <w:w w:val="105"/>
        </w:rPr>
        <w:t>su</w:t>
      </w:r>
      <w:r>
        <w:rPr>
          <w:color w:val="231F20"/>
          <w:spacing w:val="-9"/>
          <w:w w:val="105"/>
        </w:rPr>
        <w:t> </w:t>
      </w:r>
      <w:r>
        <w:rPr>
          <w:color w:val="231F20"/>
          <w:spacing w:val="-3"/>
          <w:w w:val="105"/>
        </w:rPr>
        <w:t>oferta</w:t>
      </w:r>
      <w:r>
        <w:rPr>
          <w:color w:val="231F20"/>
          <w:spacing w:val="-9"/>
          <w:w w:val="105"/>
        </w:rPr>
        <w:t> </w:t>
      </w:r>
      <w:r>
        <w:rPr>
          <w:color w:val="231F20"/>
          <w:w w:val="105"/>
        </w:rPr>
        <w:t>de</w:t>
      </w:r>
      <w:r>
        <w:rPr>
          <w:color w:val="231F20"/>
          <w:spacing w:val="-9"/>
          <w:w w:val="105"/>
        </w:rPr>
        <w:t> </w:t>
      </w:r>
      <w:r>
        <w:rPr>
          <w:color w:val="231F20"/>
          <w:spacing w:val="-3"/>
          <w:w w:val="105"/>
        </w:rPr>
        <w:t>productos.</w:t>
      </w:r>
      <w:r>
        <w:rPr>
          <w:color w:val="231F20"/>
          <w:spacing w:val="-14"/>
          <w:w w:val="105"/>
        </w:rPr>
        <w:t> </w:t>
      </w:r>
      <w:r>
        <w:rPr>
          <w:color w:val="231F20"/>
          <w:spacing w:val="-3"/>
          <w:w w:val="105"/>
        </w:rPr>
        <w:t>Esto</w:t>
      </w:r>
      <w:r>
        <w:rPr>
          <w:color w:val="231F20"/>
          <w:spacing w:val="-9"/>
          <w:w w:val="105"/>
        </w:rPr>
        <w:t> </w:t>
      </w:r>
      <w:r>
        <w:rPr>
          <w:color w:val="231F20"/>
          <w:w w:val="105"/>
        </w:rPr>
        <w:t>es</w:t>
      </w:r>
      <w:r>
        <w:rPr>
          <w:color w:val="231F20"/>
          <w:spacing w:val="-9"/>
          <w:w w:val="105"/>
        </w:rPr>
        <w:t> </w:t>
      </w:r>
      <w:r>
        <w:rPr>
          <w:color w:val="231F20"/>
          <w:spacing w:val="-3"/>
          <w:w w:val="105"/>
        </w:rPr>
        <w:t>posible</w:t>
      </w:r>
      <w:r>
        <w:rPr>
          <w:color w:val="231F20"/>
          <w:spacing w:val="-9"/>
          <w:w w:val="105"/>
        </w:rPr>
        <w:t> </w:t>
      </w:r>
      <w:r>
        <w:rPr>
          <w:color w:val="231F20"/>
          <w:spacing w:val="-3"/>
          <w:w w:val="105"/>
        </w:rPr>
        <w:t>gracias</w:t>
      </w:r>
      <w:r>
        <w:rPr>
          <w:color w:val="231F20"/>
          <w:spacing w:val="-9"/>
          <w:w w:val="105"/>
        </w:rPr>
        <w:t> </w:t>
      </w:r>
      <w:r>
        <w:rPr>
          <w:color w:val="231F20"/>
          <w:w w:val="105"/>
        </w:rPr>
        <w:t>a</w:t>
      </w:r>
      <w:r>
        <w:rPr>
          <w:color w:val="231F20"/>
          <w:spacing w:val="-9"/>
          <w:w w:val="105"/>
        </w:rPr>
        <w:t> </w:t>
      </w:r>
      <w:r>
        <w:rPr>
          <w:color w:val="231F20"/>
          <w:spacing w:val="-3"/>
          <w:w w:val="105"/>
        </w:rPr>
        <w:t>las</w:t>
      </w:r>
      <w:r>
        <w:rPr>
          <w:color w:val="231F20"/>
          <w:spacing w:val="-3"/>
          <w:w w:val="96"/>
        </w:rPr>
        <w:t> </w:t>
      </w:r>
      <w:r>
        <w:rPr>
          <w:color w:val="231F20"/>
          <w:spacing w:val="-3"/>
          <w:w w:val="105"/>
        </w:rPr>
        <w:t>sinergias</w:t>
      </w:r>
      <w:r>
        <w:rPr>
          <w:color w:val="231F20"/>
          <w:spacing w:val="-30"/>
          <w:w w:val="105"/>
        </w:rPr>
        <w:t> </w:t>
      </w:r>
      <w:r>
        <w:rPr>
          <w:color w:val="231F20"/>
          <w:spacing w:val="-3"/>
          <w:w w:val="105"/>
        </w:rPr>
        <w:t>logradas</w:t>
      </w:r>
      <w:r>
        <w:rPr>
          <w:color w:val="231F20"/>
          <w:spacing w:val="-30"/>
          <w:w w:val="105"/>
        </w:rPr>
        <w:t> </w:t>
      </w:r>
      <w:r>
        <w:rPr>
          <w:color w:val="231F20"/>
          <w:w w:val="105"/>
        </w:rPr>
        <w:t>al</w:t>
      </w:r>
      <w:r>
        <w:rPr>
          <w:color w:val="231F20"/>
          <w:spacing w:val="-30"/>
          <w:w w:val="105"/>
        </w:rPr>
        <w:t> </w:t>
      </w:r>
      <w:r>
        <w:rPr>
          <w:color w:val="231F20"/>
          <w:spacing w:val="-3"/>
          <w:w w:val="105"/>
        </w:rPr>
        <w:t>compartir</w:t>
      </w:r>
      <w:r>
        <w:rPr>
          <w:color w:val="231F20"/>
          <w:spacing w:val="-30"/>
          <w:w w:val="105"/>
        </w:rPr>
        <w:t> </w:t>
      </w:r>
      <w:r>
        <w:rPr>
          <w:color w:val="231F20"/>
          <w:w w:val="105"/>
        </w:rPr>
        <w:t>los</w:t>
      </w:r>
      <w:r>
        <w:rPr>
          <w:color w:val="231F20"/>
          <w:spacing w:val="-30"/>
          <w:w w:val="105"/>
        </w:rPr>
        <w:t> </w:t>
      </w:r>
      <w:r>
        <w:rPr>
          <w:color w:val="231F20"/>
          <w:spacing w:val="-3"/>
          <w:w w:val="105"/>
        </w:rPr>
        <w:t>activos</w:t>
      </w:r>
      <w:r>
        <w:rPr>
          <w:color w:val="231F20"/>
          <w:spacing w:val="-30"/>
          <w:w w:val="105"/>
        </w:rPr>
        <w:t> </w:t>
      </w:r>
      <w:r>
        <w:rPr>
          <w:color w:val="231F20"/>
          <w:spacing w:val="-3"/>
          <w:w w:val="105"/>
        </w:rPr>
        <w:t>existentes</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spacing w:val="-3"/>
          <w:w w:val="105"/>
        </w:rPr>
        <w:t>producción</w:t>
      </w:r>
      <w:r>
        <w:rPr>
          <w:color w:val="231F20"/>
          <w:spacing w:val="-30"/>
          <w:w w:val="105"/>
        </w:rPr>
        <w:t> </w:t>
      </w:r>
      <w:r>
        <w:rPr>
          <w:color w:val="231F20"/>
          <w:spacing w:val="-3"/>
          <w:w w:val="105"/>
        </w:rPr>
        <w:t>como</w:t>
      </w:r>
      <w:r>
        <w:rPr>
          <w:color w:val="231F20"/>
          <w:spacing w:val="-3"/>
          <w:w w:val="106"/>
        </w:rPr>
        <w:t> </w:t>
      </w:r>
      <w:r>
        <w:rPr>
          <w:color w:val="231F20"/>
          <w:spacing w:val="-3"/>
          <w:w w:val="105"/>
        </w:rPr>
        <w:t>puede</w:t>
      </w:r>
      <w:r>
        <w:rPr>
          <w:color w:val="231F20"/>
          <w:spacing w:val="-24"/>
          <w:w w:val="105"/>
        </w:rPr>
        <w:t> </w:t>
      </w:r>
      <w:r>
        <w:rPr>
          <w:color w:val="231F20"/>
          <w:w w:val="105"/>
        </w:rPr>
        <w:t>ser</w:t>
      </w:r>
      <w:r>
        <w:rPr>
          <w:color w:val="231F20"/>
          <w:spacing w:val="-24"/>
          <w:w w:val="105"/>
        </w:rPr>
        <w:t> </w:t>
      </w:r>
      <w:r>
        <w:rPr>
          <w:color w:val="231F20"/>
          <w:w w:val="105"/>
        </w:rPr>
        <w:t>la</w:t>
      </w:r>
      <w:r>
        <w:rPr>
          <w:color w:val="231F20"/>
          <w:spacing w:val="-24"/>
          <w:w w:val="105"/>
        </w:rPr>
        <w:t> </w:t>
      </w:r>
      <w:r>
        <w:rPr>
          <w:color w:val="231F20"/>
          <w:spacing w:val="-3"/>
          <w:w w:val="105"/>
        </w:rPr>
        <w:t>tecnología,</w:t>
      </w:r>
      <w:r>
        <w:rPr>
          <w:color w:val="231F20"/>
          <w:spacing w:val="-30"/>
          <w:w w:val="105"/>
        </w:rPr>
        <w:t> </w:t>
      </w:r>
      <w:r>
        <w:rPr>
          <w:color w:val="231F20"/>
          <w:w w:val="105"/>
        </w:rPr>
        <w:t>la</w:t>
      </w:r>
      <w:r>
        <w:rPr>
          <w:color w:val="231F20"/>
          <w:spacing w:val="-24"/>
          <w:w w:val="105"/>
        </w:rPr>
        <w:t> </w:t>
      </w:r>
      <w:r>
        <w:rPr>
          <w:color w:val="231F20"/>
          <w:spacing w:val="-3"/>
          <w:w w:val="105"/>
        </w:rPr>
        <w:t>integración</w:t>
      </w:r>
      <w:r>
        <w:rPr>
          <w:color w:val="231F20"/>
          <w:spacing w:val="-24"/>
          <w:w w:val="105"/>
        </w:rPr>
        <w:t> </w:t>
      </w:r>
      <w:r>
        <w:rPr>
          <w:color w:val="231F20"/>
          <w:w w:val="105"/>
        </w:rPr>
        <w:t>de</w:t>
      </w:r>
      <w:r>
        <w:rPr>
          <w:color w:val="231F20"/>
          <w:spacing w:val="-24"/>
          <w:w w:val="105"/>
        </w:rPr>
        <w:t> </w:t>
      </w:r>
      <w:r>
        <w:rPr>
          <w:color w:val="231F20"/>
          <w:spacing w:val="-3"/>
          <w:w w:val="105"/>
        </w:rPr>
        <w:t>plantas</w:t>
      </w:r>
      <w:r>
        <w:rPr>
          <w:color w:val="231F20"/>
          <w:spacing w:val="-24"/>
          <w:w w:val="105"/>
        </w:rPr>
        <w:t> </w:t>
      </w:r>
      <w:r>
        <w:rPr>
          <w:color w:val="231F20"/>
          <w:w w:val="105"/>
        </w:rPr>
        <w:t>o</w:t>
      </w:r>
      <w:r>
        <w:rPr>
          <w:color w:val="231F20"/>
          <w:spacing w:val="-24"/>
          <w:w w:val="105"/>
        </w:rPr>
        <w:t> </w:t>
      </w:r>
      <w:r>
        <w:rPr>
          <w:color w:val="231F20"/>
          <w:w w:val="105"/>
        </w:rPr>
        <w:t>una</w:t>
      </w:r>
      <w:r>
        <w:rPr>
          <w:color w:val="231F20"/>
          <w:spacing w:val="-24"/>
          <w:w w:val="105"/>
        </w:rPr>
        <w:t> </w:t>
      </w:r>
      <w:r>
        <w:rPr>
          <w:color w:val="231F20"/>
          <w:spacing w:val="-3"/>
          <w:w w:val="105"/>
        </w:rPr>
        <w:t>marca</w:t>
      </w:r>
      <w:r>
        <w:rPr>
          <w:color w:val="231F20"/>
          <w:spacing w:val="-24"/>
          <w:w w:val="105"/>
        </w:rPr>
        <w:t> </w:t>
      </w:r>
      <w:r>
        <w:rPr>
          <w:color w:val="231F20"/>
          <w:spacing w:val="-3"/>
          <w:w w:val="105"/>
        </w:rPr>
        <w:t>posicionada.</w:t>
      </w:r>
      <w:r>
        <w:rPr>
          <w:color w:val="231F20"/>
          <w:spacing w:val="-3"/>
          <w:w w:val="104"/>
        </w:rPr>
        <w:t> </w:t>
      </w:r>
      <w:r>
        <w:rPr>
          <w:color w:val="231F20"/>
          <w:w w:val="105"/>
        </w:rPr>
        <w:t>El</w:t>
      </w:r>
      <w:r>
        <w:rPr>
          <w:color w:val="231F20"/>
          <w:spacing w:val="-9"/>
          <w:w w:val="105"/>
        </w:rPr>
        <w:t> </w:t>
      </w:r>
      <w:r>
        <w:rPr>
          <w:color w:val="231F20"/>
          <w:w w:val="105"/>
        </w:rPr>
        <w:t>objetivo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diversificación</w:t>
      </w:r>
      <w:r>
        <w:rPr>
          <w:color w:val="231F20"/>
          <w:spacing w:val="-9"/>
          <w:w w:val="105"/>
        </w:rPr>
        <w:t> </w:t>
      </w:r>
      <w:r>
        <w:rPr>
          <w:color w:val="231F20"/>
          <w:w w:val="105"/>
        </w:rPr>
        <w:t>de</w:t>
      </w:r>
      <w:r>
        <w:rPr>
          <w:color w:val="231F20"/>
          <w:spacing w:val="-9"/>
          <w:w w:val="105"/>
        </w:rPr>
        <w:t> </w:t>
      </w:r>
      <w:r>
        <w:rPr>
          <w:color w:val="231F20"/>
          <w:w w:val="105"/>
        </w:rPr>
        <w:t>riesgo</w:t>
      </w:r>
      <w:r>
        <w:rPr>
          <w:color w:val="231F20"/>
          <w:spacing w:val="-9"/>
          <w:w w:val="105"/>
        </w:rPr>
        <w:t> </w:t>
      </w:r>
      <w:r>
        <w:rPr>
          <w:color w:val="231F20"/>
          <w:w w:val="105"/>
        </w:rPr>
        <w:t>es</w:t>
      </w:r>
      <w:r>
        <w:rPr>
          <w:color w:val="231F20"/>
          <w:spacing w:val="-9"/>
          <w:w w:val="105"/>
        </w:rPr>
        <w:t> </w:t>
      </w:r>
      <w:r>
        <w:rPr>
          <w:color w:val="231F20"/>
          <w:w w:val="105"/>
        </w:rPr>
        <w:t>repartirlo</w:t>
      </w:r>
      <w:r>
        <w:rPr>
          <w:color w:val="231F20"/>
          <w:spacing w:val="-9"/>
          <w:w w:val="105"/>
        </w:rPr>
        <w:t> </w:t>
      </w:r>
      <w:r>
        <w:rPr>
          <w:color w:val="231F20"/>
          <w:w w:val="105"/>
        </w:rPr>
        <w:t>(dividirlo)</w:t>
      </w:r>
      <w:r>
        <w:rPr>
          <w:color w:val="231F20"/>
          <w:spacing w:val="-9"/>
          <w:w w:val="105"/>
        </w:rPr>
        <w:t> </w:t>
      </w:r>
      <w:r>
        <w:rPr>
          <w:color w:val="231F20"/>
          <w:w w:val="105"/>
        </w:rPr>
        <w:t>en-</w:t>
      </w:r>
    </w:p>
    <w:p>
      <w:pPr>
        <w:pStyle w:val="BodyText"/>
        <w:spacing w:line="259" w:lineRule="auto"/>
        <w:ind w:left="114" w:right="121"/>
        <w:jc w:val="both"/>
      </w:pPr>
      <w:r>
        <w:rPr>
          <w:color w:val="231F20"/>
          <w:w w:val="105"/>
        </w:rPr>
        <w:t>tre varias posibilidades, de manera que el resultado negativo de alguna pueda compensarse con el resultado positivo de otra. En el caso espe- cífico de la </w:t>
      </w:r>
      <w:r>
        <w:rPr>
          <w:color w:val="231F20"/>
          <w:spacing w:val="-3"/>
          <w:w w:val="105"/>
        </w:rPr>
        <w:t>IED, </w:t>
      </w:r>
      <w:r>
        <w:rPr>
          <w:color w:val="231F20"/>
          <w:w w:val="105"/>
        </w:rPr>
        <w:t>contar con una demanda conformada por distintas na- cionalidades</w:t>
      </w:r>
      <w:r>
        <w:rPr>
          <w:color w:val="231F20"/>
          <w:spacing w:val="-7"/>
          <w:w w:val="105"/>
        </w:rPr>
        <w:t> </w:t>
      </w:r>
      <w:r>
        <w:rPr>
          <w:color w:val="231F20"/>
          <w:w w:val="105"/>
        </w:rPr>
        <w:t>permite</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efectos</w:t>
      </w:r>
      <w:r>
        <w:rPr>
          <w:color w:val="231F20"/>
          <w:spacing w:val="-7"/>
          <w:w w:val="105"/>
        </w:rPr>
        <w:t> </w:t>
      </w:r>
      <w:r>
        <w:rPr>
          <w:color w:val="231F20"/>
          <w:w w:val="105"/>
        </w:rPr>
        <w:t>negativos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ciclos</w:t>
      </w:r>
      <w:r>
        <w:rPr>
          <w:color w:val="231F20"/>
          <w:spacing w:val="-7"/>
          <w:w w:val="105"/>
        </w:rPr>
        <w:t> </w:t>
      </w:r>
      <w:r>
        <w:rPr>
          <w:color w:val="231F20"/>
          <w:w w:val="105"/>
        </w:rPr>
        <w:t>económicos de</w:t>
      </w:r>
      <w:r>
        <w:rPr>
          <w:color w:val="231F20"/>
          <w:spacing w:val="-12"/>
          <w:w w:val="105"/>
        </w:rPr>
        <w:t> </w:t>
      </w:r>
      <w:r>
        <w:rPr>
          <w:color w:val="231F20"/>
          <w:w w:val="105"/>
        </w:rPr>
        <w:t>un</w:t>
      </w:r>
      <w:r>
        <w:rPr>
          <w:color w:val="231F20"/>
          <w:spacing w:val="-12"/>
          <w:w w:val="105"/>
        </w:rPr>
        <w:t> </w:t>
      </w:r>
      <w:r>
        <w:rPr>
          <w:color w:val="231F20"/>
          <w:w w:val="105"/>
        </w:rPr>
        <w:t>país</w:t>
      </w:r>
      <w:r>
        <w:rPr>
          <w:color w:val="231F20"/>
          <w:spacing w:val="-12"/>
          <w:w w:val="105"/>
        </w:rPr>
        <w:t> </w:t>
      </w:r>
      <w:r>
        <w:rPr>
          <w:color w:val="231F20"/>
          <w:w w:val="105"/>
        </w:rPr>
        <w:t>no</w:t>
      </w:r>
      <w:r>
        <w:rPr>
          <w:color w:val="231F20"/>
          <w:spacing w:val="-12"/>
          <w:w w:val="105"/>
        </w:rPr>
        <w:t> </w:t>
      </w:r>
      <w:r>
        <w:rPr>
          <w:color w:val="231F20"/>
          <w:w w:val="105"/>
        </w:rPr>
        <w:t>influyan</w:t>
      </w:r>
      <w:r>
        <w:rPr>
          <w:color w:val="231F20"/>
          <w:spacing w:val="-12"/>
          <w:w w:val="105"/>
        </w:rPr>
        <w:t> </w:t>
      </w:r>
      <w:r>
        <w:rPr>
          <w:color w:val="231F20"/>
          <w:w w:val="105"/>
        </w:rPr>
        <w:t>tan</w:t>
      </w:r>
      <w:r>
        <w:rPr>
          <w:color w:val="231F20"/>
          <w:spacing w:val="-12"/>
          <w:w w:val="105"/>
        </w:rPr>
        <w:t> </w:t>
      </w:r>
      <w:r>
        <w:rPr>
          <w:color w:val="231F20"/>
          <w:w w:val="105"/>
        </w:rPr>
        <w:t>significativamente</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ventas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empresa (Daniels</w:t>
      </w:r>
      <w:r>
        <w:rPr>
          <w:color w:val="231F20"/>
          <w:spacing w:val="-33"/>
          <w:w w:val="105"/>
        </w:rPr>
        <w:t> </w:t>
      </w:r>
      <w:r>
        <w:rPr>
          <w:i/>
          <w:color w:val="231F20"/>
          <w:w w:val="105"/>
        </w:rPr>
        <w:t>et</w:t>
      </w:r>
      <w:r>
        <w:rPr>
          <w:i/>
          <w:color w:val="231F20"/>
          <w:spacing w:val="-33"/>
          <w:w w:val="105"/>
        </w:rPr>
        <w:t> </w:t>
      </w:r>
      <w:r>
        <w:rPr>
          <w:i/>
          <w:color w:val="231F20"/>
          <w:w w:val="105"/>
        </w:rPr>
        <w:t>al</w:t>
      </w:r>
      <w:r>
        <w:rPr>
          <w:color w:val="231F20"/>
          <w:w w:val="105"/>
        </w:rPr>
        <w:t>,</w:t>
      </w:r>
      <w:r>
        <w:rPr>
          <w:color w:val="231F20"/>
          <w:spacing w:val="-37"/>
          <w:w w:val="105"/>
        </w:rPr>
        <w:t> </w:t>
      </w:r>
      <w:r>
        <w:rPr>
          <w:color w:val="231F20"/>
          <w:w w:val="105"/>
        </w:rPr>
        <w:t>2000).</w:t>
      </w:r>
    </w:p>
    <w:p>
      <w:pPr>
        <w:pStyle w:val="BodyText"/>
        <w:spacing w:line="259" w:lineRule="auto"/>
        <w:ind w:left="114" w:right="116" w:firstLine="567"/>
        <w:jc w:val="both"/>
      </w:pPr>
      <w:r>
        <w:rPr>
          <w:color w:val="231F20"/>
          <w:spacing w:val="-6"/>
          <w:w w:val="105"/>
        </w:rPr>
        <w:t>Para</w:t>
      </w:r>
      <w:r>
        <w:rPr>
          <w:color w:val="231F20"/>
          <w:spacing w:val="-22"/>
          <w:w w:val="105"/>
        </w:rPr>
        <w:t> </w:t>
      </w:r>
      <w:r>
        <w:rPr>
          <w:color w:val="231F20"/>
          <w:spacing w:val="-3"/>
          <w:w w:val="105"/>
        </w:rPr>
        <w:t>lograr</w:t>
      </w:r>
      <w:r>
        <w:rPr>
          <w:color w:val="231F20"/>
          <w:spacing w:val="-22"/>
          <w:w w:val="105"/>
        </w:rPr>
        <w:t> </w:t>
      </w:r>
      <w:r>
        <w:rPr>
          <w:color w:val="231F20"/>
          <w:w w:val="105"/>
        </w:rPr>
        <w:t>la</w:t>
      </w:r>
      <w:r>
        <w:rPr>
          <w:color w:val="231F20"/>
          <w:spacing w:val="-22"/>
          <w:w w:val="105"/>
        </w:rPr>
        <w:t> </w:t>
      </w:r>
      <w:r>
        <w:rPr>
          <w:color w:val="231F20"/>
          <w:spacing w:val="-3"/>
          <w:w w:val="105"/>
        </w:rPr>
        <w:t>diversificación</w:t>
      </w:r>
      <w:r>
        <w:rPr>
          <w:color w:val="231F20"/>
          <w:spacing w:val="-22"/>
          <w:w w:val="105"/>
        </w:rPr>
        <w:t> </w:t>
      </w:r>
      <w:r>
        <w:rPr>
          <w:color w:val="231F20"/>
          <w:spacing w:val="-3"/>
          <w:w w:val="105"/>
        </w:rPr>
        <w:t>correcta,</w:t>
      </w:r>
      <w:r>
        <w:rPr>
          <w:color w:val="231F20"/>
          <w:spacing w:val="-27"/>
          <w:w w:val="105"/>
        </w:rPr>
        <w:t> </w:t>
      </w:r>
      <w:r>
        <w:rPr>
          <w:color w:val="231F20"/>
          <w:w w:val="105"/>
        </w:rPr>
        <w:t>es</w:t>
      </w:r>
      <w:r>
        <w:rPr>
          <w:color w:val="231F20"/>
          <w:spacing w:val="-22"/>
          <w:w w:val="105"/>
        </w:rPr>
        <w:t> </w:t>
      </w:r>
      <w:r>
        <w:rPr>
          <w:color w:val="231F20"/>
          <w:spacing w:val="-3"/>
          <w:w w:val="105"/>
        </w:rPr>
        <w:t>preciso</w:t>
      </w:r>
      <w:r>
        <w:rPr>
          <w:color w:val="231F20"/>
          <w:spacing w:val="-22"/>
          <w:w w:val="105"/>
        </w:rPr>
        <w:t> </w:t>
      </w:r>
      <w:r>
        <w:rPr>
          <w:color w:val="231F20"/>
          <w:spacing w:val="-3"/>
          <w:w w:val="105"/>
        </w:rPr>
        <w:t>contar</w:t>
      </w:r>
      <w:r>
        <w:rPr>
          <w:color w:val="231F20"/>
          <w:spacing w:val="-22"/>
          <w:w w:val="105"/>
        </w:rPr>
        <w:t> </w:t>
      </w:r>
      <w:r>
        <w:rPr>
          <w:color w:val="231F20"/>
          <w:w w:val="105"/>
        </w:rPr>
        <w:t>con</w:t>
      </w:r>
      <w:r>
        <w:rPr>
          <w:color w:val="231F20"/>
          <w:spacing w:val="-22"/>
          <w:w w:val="105"/>
        </w:rPr>
        <w:t> </w:t>
      </w:r>
      <w:r>
        <w:rPr>
          <w:color w:val="231F20"/>
          <w:spacing w:val="-3"/>
          <w:w w:val="105"/>
        </w:rPr>
        <w:t>opciones </w:t>
      </w:r>
      <w:r>
        <w:rPr>
          <w:color w:val="231F20"/>
          <w:w w:val="105"/>
        </w:rPr>
        <w:t>que</w:t>
      </w:r>
      <w:r>
        <w:rPr>
          <w:color w:val="231F20"/>
          <w:spacing w:val="-14"/>
          <w:w w:val="105"/>
        </w:rPr>
        <w:t> </w:t>
      </w:r>
      <w:r>
        <w:rPr>
          <w:color w:val="231F20"/>
          <w:w w:val="105"/>
        </w:rPr>
        <w:t>no</w:t>
      </w:r>
      <w:r>
        <w:rPr>
          <w:color w:val="231F20"/>
          <w:spacing w:val="-14"/>
          <w:w w:val="105"/>
        </w:rPr>
        <w:t> </w:t>
      </w:r>
      <w:r>
        <w:rPr>
          <w:color w:val="231F20"/>
          <w:spacing w:val="-3"/>
          <w:w w:val="105"/>
        </w:rPr>
        <w:t>estén</w:t>
      </w:r>
      <w:r>
        <w:rPr>
          <w:color w:val="231F20"/>
          <w:spacing w:val="-14"/>
          <w:w w:val="105"/>
        </w:rPr>
        <w:t> </w:t>
      </w:r>
      <w:r>
        <w:rPr>
          <w:color w:val="231F20"/>
          <w:spacing w:val="-3"/>
          <w:w w:val="105"/>
        </w:rPr>
        <w:t>correlacionadas</w:t>
      </w:r>
      <w:r>
        <w:rPr>
          <w:color w:val="231F20"/>
          <w:spacing w:val="-14"/>
          <w:w w:val="105"/>
        </w:rPr>
        <w:t> </w:t>
      </w:r>
      <w:r>
        <w:rPr>
          <w:color w:val="231F20"/>
          <w:w w:val="105"/>
        </w:rPr>
        <w:t>o</w:t>
      </w:r>
      <w:r>
        <w:rPr>
          <w:color w:val="231F20"/>
          <w:spacing w:val="-14"/>
          <w:w w:val="105"/>
        </w:rPr>
        <w:t> </w:t>
      </w:r>
      <w:r>
        <w:rPr>
          <w:color w:val="231F20"/>
          <w:w w:val="105"/>
        </w:rPr>
        <w:t>que</w:t>
      </w:r>
      <w:r>
        <w:rPr>
          <w:color w:val="231F20"/>
          <w:spacing w:val="-14"/>
          <w:w w:val="105"/>
        </w:rPr>
        <w:t> </w:t>
      </w:r>
      <w:r>
        <w:rPr>
          <w:color w:val="231F20"/>
          <w:w w:val="105"/>
        </w:rPr>
        <w:t>lo</w:t>
      </w:r>
      <w:r>
        <w:rPr>
          <w:color w:val="231F20"/>
          <w:spacing w:val="-14"/>
          <w:w w:val="105"/>
        </w:rPr>
        <w:t> </w:t>
      </w:r>
      <w:r>
        <w:rPr>
          <w:color w:val="231F20"/>
          <w:spacing w:val="-3"/>
          <w:w w:val="105"/>
        </w:rPr>
        <w:t>estén</w:t>
      </w:r>
      <w:r>
        <w:rPr>
          <w:color w:val="231F20"/>
          <w:spacing w:val="-14"/>
          <w:w w:val="105"/>
        </w:rPr>
        <w:t> </w:t>
      </w:r>
      <w:r>
        <w:rPr>
          <w:color w:val="231F20"/>
          <w:w w:val="105"/>
        </w:rPr>
        <w:t>de</w:t>
      </w:r>
      <w:r>
        <w:rPr>
          <w:color w:val="231F20"/>
          <w:spacing w:val="-14"/>
          <w:w w:val="105"/>
        </w:rPr>
        <w:t> </w:t>
      </w:r>
      <w:r>
        <w:rPr>
          <w:color w:val="231F20"/>
          <w:spacing w:val="-3"/>
          <w:w w:val="105"/>
        </w:rPr>
        <w:t>manera</w:t>
      </w:r>
      <w:r>
        <w:rPr>
          <w:color w:val="231F20"/>
          <w:spacing w:val="-14"/>
          <w:w w:val="105"/>
        </w:rPr>
        <w:t> </w:t>
      </w:r>
      <w:r>
        <w:rPr>
          <w:color w:val="231F20"/>
          <w:spacing w:val="-3"/>
          <w:w w:val="105"/>
        </w:rPr>
        <w:t>negativa;</w:t>
      </w:r>
      <w:r>
        <w:rPr>
          <w:color w:val="231F20"/>
          <w:spacing w:val="-14"/>
          <w:w w:val="105"/>
        </w:rPr>
        <w:t> </w:t>
      </w:r>
      <w:r>
        <w:rPr>
          <w:color w:val="231F20"/>
          <w:w w:val="105"/>
        </w:rPr>
        <w:t>es</w:t>
      </w:r>
      <w:r>
        <w:rPr>
          <w:color w:val="231F20"/>
          <w:spacing w:val="-14"/>
          <w:w w:val="105"/>
        </w:rPr>
        <w:t> </w:t>
      </w:r>
      <w:r>
        <w:rPr>
          <w:color w:val="231F20"/>
          <w:spacing w:val="-5"/>
          <w:w w:val="105"/>
        </w:rPr>
        <w:t>decir, </w:t>
      </w:r>
      <w:r>
        <w:rPr>
          <w:color w:val="231F20"/>
          <w:w w:val="105"/>
        </w:rPr>
        <w:t>que</w:t>
      </w:r>
      <w:r>
        <w:rPr>
          <w:color w:val="231F20"/>
          <w:spacing w:val="-13"/>
          <w:w w:val="105"/>
        </w:rPr>
        <w:t> </w:t>
      </w:r>
      <w:r>
        <w:rPr>
          <w:color w:val="231F20"/>
          <w:w w:val="105"/>
        </w:rPr>
        <w:t>los</w:t>
      </w:r>
      <w:r>
        <w:rPr>
          <w:color w:val="231F20"/>
          <w:spacing w:val="-13"/>
          <w:w w:val="105"/>
        </w:rPr>
        <w:t> </w:t>
      </w:r>
      <w:r>
        <w:rPr>
          <w:color w:val="231F20"/>
          <w:spacing w:val="-3"/>
          <w:w w:val="105"/>
        </w:rPr>
        <w:t>factores</w:t>
      </w:r>
      <w:r>
        <w:rPr>
          <w:color w:val="231F20"/>
          <w:spacing w:val="-13"/>
          <w:w w:val="105"/>
        </w:rPr>
        <w:t> </w:t>
      </w:r>
      <w:r>
        <w:rPr>
          <w:color w:val="231F20"/>
          <w:w w:val="105"/>
        </w:rPr>
        <w:t>que</w:t>
      </w:r>
      <w:r>
        <w:rPr>
          <w:color w:val="231F20"/>
          <w:spacing w:val="-13"/>
          <w:w w:val="105"/>
        </w:rPr>
        <w:t> </w:t>
      </w:r>
      <w:r>
        <w:rPr>
          <w:color w:val="231F20"/>
          <w:spacing w:val="-3"/>
          <w:w w:val="105"/>
        </w:rPr>
        <w:t>afecten</w:t>
      </w:r>
      <w:r>
        <w:rPr>
          <w:color w:val="231F20"/>
          <w:spacing w:val="-13"/>
          <w:w w:val="105"/>
        </w:rPr>
        <w:t> </w:t>
      </w:r>
      <w:r>
        <w:rPr>
          <w:color w:val="231F20"/>
          <w:spacing w:val="-3"/>
          <w:w w:val="105"/>
        </w:rPr>
        <w:t>negativamente</w:t>
      </w:r>
      <w:r>
        <w:rPr>
          <w:color w:val="231F20"/>
          <w:spacing w:val="-13"/>
          <w:w w:val="105"/>
        </w:rPr>
        <w:t> </w:t>
      </w:r>
      <w:r>
        <w:rPr>
          <w:color w:val="231F20"/>
          <w:w w:val="105"/>
        </w:rPr>
        <w:t>a</w:t>
      </w:r>
      <w:r>
        <w:rPr>
          <w:color w:val="231F20"/>
          <w:spacing w:val="-13"/>
          <w:w w:val="105"/>
        </w:rPr>
        <w:t> </w:t>
      </w:r>
      <w:r>
        <w:rPr>
          <w:color w:val="231F20"/>
          <w:w w:val="105"/>
        </w:rPr>
        <w:t>una</w:t>
      </w:r>
      <w:r>
        <w:rPr>
          <w:color w:val="231F20"/>
          <w:spacing w:val="-13"/>
          <w:w w:val="105"/>
        </w:rPr>
        <w:t> </w:t>
      </w:r>
      <w:r>
        <w:rPr>
          <w:color w:val="231F20"/>
          <w:spacing w:val="-3"/>
          <w:w w:val="105"/>
        </w:rPr>
        <w:t>economía,</w:t>
      </w:r>
      <w:r>
        <w:rPr>
          <w:color w:val="231F20"/>
          <w:spacing w:val="-18"/>
          <w:w w:val="105"/>
        </w:rPr>
        <w:t> </w:t>
      </w:r>
      <w:r>
        <w:rPr>
          <w:color w:val="231F20"/>
          <w:w w:val="105"/>
        </w:rPr>
        <w:t>no</w:t>
      </w:r>
      <w:r>
        <w:rPr>
          <w:color w:val="231F20"/>
          <w:spacing w:val="-13"/>
          <w:w w:val="105"/>
        </w:rPr>
        <w:t> </w:t>
      </w:r>
      <w:r>
        <w:rPr>
          <w:color w:val="231F20"/>
          <w:spacing w:val="-3"/>
          <w:w w:val="105"/>
        </w:rPr>
        <w:t>afecten</w:t>
      </w:r>
      <w:r>
        <w:rPr>
          <w:color w:val="231F20"/>
          <w:spacing w:val="-13"/>
          <w:w w:val="105"/>
        </w:rPr>
        <w:t> </w:t>
      </w:r>
      <w:r>
        <w:rPr>
          <w:color w:val="231F20"/>
          <w:w w:val="105"/>
        </w:rPr>
        <w:t>o </w:t>
      </w:r>
      <w:r>
        <w:rPr>
          <w:color w:val="231F20"/>
          <w:spacing w:val="-3"/>
          <w:w w:val="105"/>
        </w:rPr>
        <w:t>beneficien</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spacing w:val="-3"/>
          <w:w w:val="105"/>
        </w:rPr>
        <w:t>otra,</w:t>
      </w:r>
      <w:r>
        <w:rPr>
          <w:color w:val="231F20"/>
          <w:spacing w:val="-28"/>
          <w:w w:val="105"/>
        </w:rPr>
        <w:t> </w:t>
      </w:r>
      <w:r>
        <w:rPr>
          <w:color w:val="231F20"/>
          <w:spacing w:val="-4"/>
          <w:w w:val="105"/>
        </w:rPr>
        <w:t>resguardando</w:t>
      </w:r>
      <w:r>
        <w:rPr>
          <w:color w:val="231F20"/>
          <w:spacing w:val="-23"/>
          <w:w w:val="105"/>
        </w:rPr>
        <w:t> </w:t>
      </w:r>
      <w:r>
        <w:rPr>
          <w:color w:val="231F20"/>
          <w:w w:val="105"/>
        </w:rPr>
        <w:t>así</w:t>
      </w:r>
      <w:r>
        <w:rPr>
          <w:color w:val="231F20"/>
          <w:spacing w:val="-23"/>
          <w:w w:val="105"/>
        </w:rPr>
        <w:t> </w:t>
      </w:r>
      <w:r>
        <w:rPr>
          <w:color w:val="231F20"/>
          <w:w w:val="105"/>
        </w:rPr>
        <w:t>el</w:t>
      </w:r>
      <w:r>
        <w:rPr>
          <w:color w:val="231F20"/>
          <w:spacing w:val="-23"/>
          <w:w w:val="105"/>
        </w:rPr>
        <w:t> </w:t>
      </w:r>
      <w:r>
        <w:rPr>
          <w:color w:val="231F20"/>
          <w:spacing w:val="-3"/>
          <w:w w:val="105"/>
        </w:rPr>
        <w:t>capital</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empresa</w:t>
      </w:r>
      <w:r>
        <w:rPr>
          <w:color w:val="231F20"/>
          <w:spacing w:val="-23"/>
          <w:w w:val="105"/>
        </w:rPr>
        <w:t> </w:t>
      </w:r>
      <w:r>
        <w:rPr>
          <w:color w:val="231F20"/>
          <w:spacing w:val="-4"/>
          <w:w w:val="105"/>
        </w:rPr>
        <w:t>inversora.</w:t>
      </w:r>
    </w:p>
    <w:p>
      <w:pPr>
        <w:pStyle w:val="BodyText"/>
        <w:spacing w:line="259" w:lineRule="auto"/>
        <w:ind w:left="114" w:right="121" w:firstLine="567"/>
        <w:jc w:val="both"/>
      </w:pPr>
      <w:r>
        <w:rPr>
          <w:color w:val="231F20"/>
          <w:w w:val="105"/>
        </w:rPr>
        <w:t>Además de lo anterior, los factores de localización de la IED pue- den considerarse como aquellos ofrecidos por los países que animan a las empresas foráneas a situarse en los mismos. La relevancia de</w:t>
      </w:r>
      <w:r>
        <w:rPr>
          <w:color w:val="231F20"/>
          <w:spacing w:val="-33"/>
          <w:w w:val="105"/>
        </w:rPr>
        <w:t> </w:t>
      </w:r>
      <w:r>
        <w:rPr>
          <w:color w:val="231F20"/>
          <w:w w:val="105"/>
        </w:rPr>
        <w:t>éstos estará</w:t>
      </w:r>
      <w:r>
        <w:rPr>
          <w:color w:val="231F20"/>
          <w:spacing w:val="-14"/>
          <w:w w:val="105"/>
        </w:rPr>
        <w:t> </w:t>
      </w:r>
      <w:r>
        <w:rPr>
          <w:color w:val="231F20"/>
          <w:w w:val="105"/>
        </w:rPr>
        <w:t>condicionada</w:t>
      </w:r>
      <w:r>
        <w:rPr>
          <w:color w:val="231F20"/>
          <w:spacing w:val="-14"/>
          <w:w w:val="105"/>
        </w:rPr>
        <w:t> </w:t>
      </w:r>
      <w:r>
        <w:rPr>
          <w:color w:val="231F20"/>
          <w:w w:val="105"/>
        </w:rPr>
        <w:t>por</w:t>
      </w:r>
      <w:r>
        <w:rPr>
          <w:color w:val="231F20"/>
          <w:spacing w:val="-14"/>
          <w:w w:val="105"/>
        </w:rPr>
        <w:t> </w:t>
      </w:r>
      <w:r>
        <w:rPr>
          <w:color w:val="231F20"/>
          <w:w w:val="105"/>
        </w:rPr>
        <w:t>los</w:t>
      </w:r>
      <w:r>
        <w:rPr>
          <w:color w:val="231F20"/>
          <w:spacing w:val="-14"/>
          <w:w w:val="105"/>
        </w:rPr>
        <w:t> </w:t>
      </w:r>
      <w:r>
        <w:rPr>
          <w:color w:val="231F20"/>
          <w:w w:val="105"/>
        </w:rPr>
        <w:t>motivos</w:t>
      </w:r>
      <w:r>
        <w:rPr>
          <w:color w:val="231F20"/>
          <w:spacing w:val="-14"/>
          <w:w w:val="105"/>
        </w:rPr>
        <w:t> </w:t>
      </w:r>
      <w:r>
        <w:rPr>
          <w:color w:val="231F20"/>
          <w:w w:val="105"/>
        </w:rPr>
        <w:t>que</w:t>
      </w:r>
      <w:r>
        <w:rPr>
          <w:color w:val="231F20"/>
          <w:spacing w:val="-14"/>
          <w:w w:val="105"/>
        </w:rPr>
        <w:t> </w:t>
      </w:r>
      <w:r>
        <w:rPr>
          <w:color w:val="231F20"/>
          <w:w w:val="105"/>
        </w:rPr>
        <w:t>originan</w:t>
      </w:r>
      <w:r>
        <w:rPr>
          <w:color w:val="231F20"/>
          <w:spacing w:val="-14"/>
          <w:w w:val="105"/>
        </w:rPr>
        <w:t> </w:t>
      </w:r>
      <w:r>
        <w:rPr>
          <w:color w:val="231F20"/>
          <w:w w:val="105"/>
        </w:rPr>
        <w:t>la</w:t>
      </w:r>
      <w:r>
        <w:rPr>
          <w:color w:val="231F20"/>
          <w:spacing w:val="-14"/>
          <w:w w:val="105"/>
        </w:rPr>
        <w:t> </w:t>
      </w:r>
      <w:r>
        <w:rPr>
          <w:color w:val="231F20"/>
          <w:w w:val="105"/>
        </w:rPr>
        <w:t>inversión,</w:t>
      </w:r>
      <w:r>
        <w:rPr>
          <w:color w:val="231F20"/>
          <w:spacing w:val="-20"/>
          <w:w w:val="105"/>
        </w:rPr>
        <w:t> </w:t>
      </w:r>
      <w:r>
        <w:rPr>
          <w:color w:val="231F20"/>
          <w:w w:val="105"/>
        </w:rPr>
        <w:t>tales</w:t>
      </w:r>
      <w:r>
        <w:rPr>
          <w:color w:val="231F20"/>
          <w:spacing w:val="-14"/>
          <w:w w:val="105"/>
        </w:rPr>
        <w:t> </w:t>
      </w:r>
      <w:r>
        <w:rPr>
          <w:color w:val="231F20"/>
          <w:w w:val="105"/>
        </w:rPr>
        <w:t>como (Dunning,</w:t>
      </w:r>
      <w:r>
        <w:rPr>
          <w:color w:val="231F20"/>
          <w:spacing w:val="-21"/>
          <w:w w:val="105"/>
        </w:rPr>
        <w:t> </w:t>
      </w:r>
      <w:r>
        <w:rPr>
          <w:color w:val="231F20"/>
          <w:w w:val="105"/>
        </w:rPr>
        <w:t>1997):</w:t>
      </w:r>
      <w:r>
        <w:rPr>
          <w:color w:val="231F20"/>
          <w:spacing w:val="-17"/>
          <w:w w:val="105"/>
        </w:rPr>
        <w:t> </w:t>
      </w:r>
      <w:r>
        <w:rPr>
          <w:color w:val="231F20"/>
          <w:w w:val="105"/>
        </w:rPr>
        <w:t>búsqueda</w:t>
      </w:r>
      <w:r>
        <w:rPr>
          <w:color w:val="231F20"/>
          <w:spacing w:val="-17"/>
          <w:w w:val="105"/>
        </w:rPr>
        <w:t> </w:t>
      </w:r>
      <w:r>
        <w:rPr>
          <w:color w:val="231F20"/>
          <w:w w:val="105"/>
        </w:rPr>
        <w:t>de</w:t>
      </w:r>
      <w:r>
        <w:rPr>
          <w:color w:val="231F20"/>
          <w:spacing w:val="-17"/>
          <w:w w:val="105"/>
        </w:rPr>
        <w:t> </w:t>
      </w:r>
      <w:r>
        <w:rPr>
          <w:color w:val="231F20"/>
          <w:w w:val="105"/>
        </w:rPr>
        <w:t>recursos</w:t>
      </w:r>
      <w:r>
        <w:rPr>
          <w:color w:val="231F20"/>
          <w:spacing w:val="-17"/>
          <w:w w:val="105"/>
        </w:rPr>
        <w:t> </w:t>
      </w:r>
      <w:r>
        <w:rPr>
          <w:color w:val="231F20"/>
          <w:w w:val="105"/>
        </w:rPr>
        <w:t>naturales,</w:t>
      </w:r>
      <w:r>
        <w:rPr>
          <w:color w:val="231F20"/>
          <w:spacing w:val="-21"/>
          <w:w w:val="105"/>
        </w:rPr>
        <w:t> </w:t>
      </w:r>
      <w:r>
        <w:rPr>
          <w:color w:val="231F20"/>
          <w:w w:val="105"/>
        </w:rPr>
        <w:t>mercados,</w:t>
      </w:r>
      <w:r>
        <w:rPr>
          <w:color w:val="231F20"/>
          <w:spacing w:val="-21"/>
          <w:w w:val="105"/>
        </w:rPr>
        <w:t> </w:t>
      </w:r>
      <w:r>
        <w:rPr>
          <w:color w:val="231F20"/>
          <w:w w:val="105"/>
        </w:rPr>
        <w:t>eficiencia</w:t>
      </w:r>
      <w:r>
        <w:rPr>
          <w:color w:val="231F20"/>
          <w:spacing w:val="-17"/>
          <w:w w:val="105"/>
        </w:rPr>
        <w:t> </w:t>
      </w:r>
      <w:r>
        <w:rPr>
          <w:color w:val="231F20"/>
          <w:w w:val="105"/>
        </w:rPr>
        <w:t>y </w:t>
      </w:r>
      <w:r>
        <w:rPr>
          <w:color w:val="231F20"/>
        </w:rPr>
        <w:t>activos</w:t>
      </w:r>
      <w:r>
        <w:rPr>
          <w:color w:val="231F20"/>
          <w:spacing w:val="24"/>
        </w:rPr>
        <w:t> </w:t>
      </w:r>
      <w:r>
        <w:rPr>
          <w:color w:val="231F20"/>
        </w:rPr>
        <w:t>estratégicos.</w:t>
      </w:r>
    </w:p>
    <w:p>
      <w:pPr>
        <w:spacing w:after="0" w:line="259" w:lineRule="auto"/>
        <w:jc w:val="both"/>
        <w:sectPr>
          <w:pgSz w:w="9640" w:h="13890"/>
          <w:pgMar w:top="0" w:bottom="280" w:left="1260" w:right="1120"/>
        </w:sectPr>
      </w:pPr>
    </w:p>
    <w:p>
      <w:pPr>
        <w:pStyle w:val="BodyText"/>
        <w:spacing w:line="259" w:lineRule="auto" w:before="120"/>
        <w:ind w:left="103" w:right="114"/>
        <w:jc w:val="both"/>
      </w:pP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sentido,</w:t>
      </w:r>
      <w:r>
        <w:rPr>
          <w:color w:val="231F20"/>
          <w:spacing w:val="-21"/>
          <w:w w:val="105"/>
        </w:rPr>
        <w:t> </w:t>
      </w:r>
      <w:r>
        <w:rPr>
          <w:color w:val="231F20"/>
          <w:w w:val="105"/>
        </w:rPr>
        <w:t>Buigues</w:t>
      </w:r>
      <w:r>
        <w:rPr>
          <w:color w:val="231F20"/>
          <w:spacing w:val="-15"/>
          <w:w w:val="105"/>
        </w:rPr>
        <w:t> </w:t>
      </w:r>
      <w:r>
        <w:rPr>
          <w:color w:val="231F20"/>
          <w:w w:val="105"/>
        </w:rPr>
        <w:t>y</w:t>
      </w:r>
      <w:r>
        <w:rPr>
          <w:color w:val="231F20"/>
          <w:spacing w:val="-18"/>
          <w:w w:val="105"/>
        </w:rPr>
        <w:t> </w:t>
      </w:r>
      <w:r>
        <w:rPr>
          <w:color w:val="231F20"/>
          <w:w w:val="105"/>
        </w:rPr>
        <w:t>Jacquemin</w:t>
      </w:r>
      <w:r>
        <w:rPr>
          <w:color w:val="231F20"/>
          <w:spacing w:val="-15"/>
          <w:w w:val="105"/>
        </w:rPr>
        <w:t> </w:t>
      </w:r>
      <w:r>
        <w:rPr>
          <w:color w:val="231F20"/>
          <w:w w:val="105"/>
        </w:rPr>
        <w:t>(1992)</w:t>
      </w:r>
      <w:r>
        <w:rPr>
          <w:color w:val="231F20"/>
          <w:spacing w:val="-15"/>
          <w:w w:val="105"/>
        </w:rPr>
        <w:t> </w:t>
      </w:r>
      <w:r>
        <w:rPr>
          <w:color w:val="231F20"/>
          <w:w w:val="105"/>
        </w:rPr>
        <w:t>han</w:t>
      </w:r>
      <w:r>
        <w:rPr>
          <w:color w:val="231F20"/>
          <w:spacing w:val="-15"/>
          <w:w w:val="105"/>
        </w:rPr>
        <w:t> </w:t>
      </w:r>
      <w:r>
        <w:rPr>
          <w:color w:val="231F20"/>
          <w:w w:val="105"/>
        </w:rPr>
        <w:t>diferenciado</w:t>
      </w:r>
      <w:r>
        <w:rPr>
          <w:color w:val="231F20"/>
          <w:spacing w:val="-15"/>
          <w:w w:val="105"/>
        </w:rPr>
        <w:t> </w:t>
      </w:r>
      <w:r>
        <w:rPr>
          <w:color w:val="231F20"/>
          <w:w w:val="105"/>
        </w:rPr>
        <w:t>dos</w:t>
      </w:r>
      <w:r>
        <w:rPr>
          <w:color w:val="231F20"/>
          <w:spacing w:val="-15"/>
          <w:w w:val="105"/>
        </w:rPr>
        <w:t> </w:t>
      </w:r>
      <w:r>
        <w:rPr>
          <w:color w:val="231F20"/>
          <w:w w:val="105"/>
        </w:rPr>
        <w:t>tipos de</w:t>
      </w:r>
      <w:r>
        <w:rPr>
          <w:color w:val="231F20"/>
          <w:spacing w:val="-14"/>
          <w:w w:val="105"/>
        </w:rPr>
        <w:t> </w:t>
      </w:r>
      <w:r>
        <w:rPr>
          <w:color w:val="231F20"/>
          <w:w w:val="105"/>
        </w:rPr>
        <w:t>ventajas</w:t>
      </w:r>
      <w:r>
        <w:rPr>
          <w:color w:val="231F20"/>
          <w:spacing w:val="-14"/>
          <w:w w:val="105"/>
        </w:rPr>
        <w:t> </w:t>
      </w:r>
      <w:r>
        <w:rPr>
          <w:color w:val="231F20"/>
          <w:w w:val="105"/>
        </w:rPr>
        <w:t>de</w:t>
      </w:r>
      <w:r>
        <w:rPr>
          <w:color w:val="231F20"/>
          <w:spacing w:val="-14"/>
          <w:w w:val="105"/>
        </w:rPr>
        <w:t> </w:t>
      </w:r>
      <w:r>
        <w:rPr>
          <w:color w:val="231F20"/>
          <w:w w:val="105"/>
        </w:rPr>
        <w:t>localización</w:t>
      </w:r>
      <w:r>
        <w:rPr>
          <w:color w:val="231F20"/>
          <w:spacing w:val="-14"/>
          <w:w w:val="105"/>
        </w:rPr>
        <w:t> </w:t>
      </w:r>
      <w:r>
        <w:rPr>
          <w:color w:val="231F20"/>
          <w:w w:val="105"/>
        </w:rPr>
        <w:t>estrechamente</w:t>
      </w:r>
      <w:r>
        <w:rPr>
          <w:color w:val="231F20"/>
          <w:spacing w:val="-14"/>
          <w:w w:val="105"/>
        </w:rPr>
        <w:t> </w:t>
      </w:r>
      <w:r>
        <w:rPr>
          <w:color w:val="231F20"/>
          <w:w w:val="105"/>
        </w:rPr>
        <w:t>ligadas</w:t>
      </w:r>
      <w:r>
        <w:rPr>
          <w:color w:val="231F20"/>
          <w:spacing w:val="-14"/>
          <w:w w:val="105"/>
        </w:rPr>
        <w:t> </w:t>
      </w:r>
      <w:r>
        <w:rPr>
          <w:color w:val="231F20"/>
          <w:w w:val="105"/>
        </w:rPr>
        <w:t>entre</w:t>
      </w:r>
      <w:r>
        <w:rPr>
          <w:color w:val="231F20"/>
          <w:spacing w:val="-14"/>
          <w:w w:val="105"/>
        </w:rPr>
        <w:t> </w:t>
      </w:r>
      <w:r>
        <w:rPr>
          <w:color w:val="231F20"/>
          <w:w w:val="105"/>
        </w:rPr>
        <w:t>sí;</w:t>
      </w:r>
      <w:r>
        <w:rPr>
          <w:color w:val="231F20"/>
          <w:spacing w:val="-14"/>
          <w:w w:val="105"/>
        </w:rPr>
        <w:t> </w:t>
      </w:r>
      <w:r>
        <w:rPr>
          <w:color w:val="231F20"/>
          <w:w w:val="105"/>
        </w:rPr>
        <w:t>las</w:t>
      </w:r>
      <w:r>
        <w:rPr>
          <w:color w:val="231F20"/>
          <w:spacing w:val="-14"/>
          <w:w w:val="105"/>
        </w:rPr>
        <w:t> </w:t>
      </w:r>
      <w:r>
        <w:rPr>
          <w:color w:val="231F20"/>
          <w:w w:val="105"/>
        </w:rPr>
        <w:t>primeras basadas en las características que proporcionan los países que hacen mejorar</w:t>
      </w:r>
      <w:r>
        <w:rPr>
          <w:color w:val="231F20"/>
          <w:spacing w:val="-21"/>
          <w:w w:val="105"/>
        </w:rPr>
        <w:t> </w:t>
      </w:r>
      <w:r>
        <w:rPr>
          <w:color w:val="231F20"/>
          <w:w w:val="105"/>
        </w:rPr>
        <w:t>la</w:t>
      </w:r>
      <w:r>
        <w:rPr>
          <w:color w:val="231F20"/>
          <w:spacing w:val="-21"/>
          <w:w w:val="105"/>
        </w:rPr>
        <w:t> </w:t>
      </w:r>
      <w:r>
        <w:rPr>
          <w:color w:val="231F20"/>
          <w:w w:val="105"/>
        </w:rPr>
        <w:t>eficiencia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empresa</w:t>
      </w:r>
      <w:r>
        <w:rPr>
          <w:color w:val="231F20"/>
          <w:spacing w:val="-21"/>
          <w:w w:val="105"/>
        </w:rPr>
        <w:t> </w:t>
      </w:r>
      <w:r>
        <w:rPr>
          <w:color w:val="231F20"/>
          <w:w w:val="105"/>
        </w:rPr>
        <w:t>inversora;</w:t>
      </w:r>
      <w:r>
        <w:rPr>
          <w:color w:val="231F20"/>
          <w:spacing w:val="-21"/>
          <w:w w:val="105"/>
        </w:rPr>
        <w:t> </w:t>
      </w:r>
      <w:r>
        <w:rPr>
          <w:color w:val="231F20"/>
          <w:w w:val="105"/>
        </w:rPr>
        <w:t>y</w:t>
      </w:r>
      <w:r>
        <w:rPr>
          <w:color w:val="231F20"/>
          <w:spacing w:val="-21"/>
          <w:w w:val="105"/>
        </w:rPr>
        <w:t> </w:t>
      </w:r>
      <w:r>
        <w:rPr>
          <w:color w:val="231F20"/>
          <w:w w:val="105"/>
        </w:rPr>
        <w:t>otras</w:t>
      </w:r>
      <w:r>
        <w:rPr>
          <w:color w:val="231F20"/>
          <w:spacing w:val="-21"/>
          <w:w w:val="105"/>
        </w:rPr>
        <w:t> </w:t>
      </w:r>
      <w:r>
        <w:rPr>
          <w:color w:val="231F20"/>
          <w:w w:val="105"/>
        </w:rPr>
        <w:t>basadas</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com- portamiento estratégico de la empresa multinacional para aumentar o defender su poder de mercado, por ejemplo: “seguimiento del líder” o “intercambio</w:t>
      </w:r>
      <w:r>
        <w:rPr>
          <w:color w:val="231F20"/>
          <w:spacing w:val="-36"/>
          <w:w w:val="105"/>
        </w:rPr>
        <w:t> </w:t>
      </w:r>
      <w:r>
        <w:rPr>
          <w:color w:val="231F20"/>
          <w:w w:val="105"/>
        </w:rPr>
        <w:t>de</w:t>
      </w:r>
      <w:r>
        <w:rPr>
          <w:color w:val="231F20"/>
          <w:spacing w:val="-36"/>
          <w:w w:val="105"/>
        </w:rPr>
        <w:t> </w:t>
      </w:r>
      <w:r>
        <w:rPr>
          <w:color w:val="231F20"/>
          <w:w w:val="105"/>
        </w:rPr>
        <w:t>amenazas”</w:t>
      </w:r>
      <w:r>
        <w:rPr>
          <w:color w:val="231F20"/>
          <w:spacing w:val="-36"/>
          <w:w w:val="105"/>
        </w:rPr>
        <w:t> </w:t>
      </w:r>
      <w:r>
        <w:rPr>
          <w:color w:val="231F20"/>
          <w:w w:val="105"/>
        </w:rPr>
        <w:t>(Knickerbocker,</w:t>
      </w:r>
      <w:r>
        <w:rPr>
          <w:color w:val="231F20"/>
          <w:spacing w:val="-39"/>
          <w:w w:val="105"/>
        </w:rPr>
        <w:t> </w:t>
      </w:r>
      <w:r>
        <w:rPr>
          <w:color w:val="231F20"/>
          <w:w w:val="105"/>
        </w:rPr>
        <w:t>1973).</w:t>
      </w:r>
    </w:p>
    <w:p>
      <w:pPr>
        <w:pStyle w:val="BodyText"/>
        <w:spacing w:line="259" w:lineRule="auto"/>
        <w:ind w:left="103" w:right="115" w:firstLine="567"/>
        <w:jc w:val="both"/>
      </w:pPr>
      <w:r>
        <w:rPr>
          <w:color w:val="231F20"/>
          <w:w w:val="105"/>
        </w:rPr>
        <w:t>La</w:t>
      </w:r>
      <w:r>
        <w:rPr>
          <w:color w:val="231F20"/>
          <w:spacing w:val="-27"/>
          <w:w w:val="105"/>
        </w:rPr>
        <w:t> </w:t>
      </w:r>
      <w:r>
        <w:rPr>
          <w:color w:val="231F20"/>
          <w:spacing w:val="-4"/>
          <w:w w:val="105"/>
        </w:rPr>
        <w:t>estrategia</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3"/>
          <w:w w:val="105"/>
        </w:rPr>
        <w:t>empresa</w:t>
      </w:r>
      <w:r>
        <w:rPr>
          <w:color w:val="231F20"/>
          <w:spacing w:val="-27"/>
          <w:w w:val="105"/>
        </w:rPr>
        <w:t> </w:t>
      </w:r>
      <w:r>
        <w:rPr>
          <w:color w:val="231F20"/>
          <w:w w:val="105"/>
        </w:rPr>
        <w:t>que</w:t>
      </w:r>
      <w:r>
        <w:rPr>
          <w:color w:val="231F20"/>
          <w:spacing w:val="-27"/>
          <w:w w:val="105"/>
        </w:rPr>
        <w:t> </w:t>
      </w:r>
      <w:r>
        <w:rPr>
          <w:color w:val="231F20"/>
          <w:spacing w:val="-3"/>
          <w:w w:val="105"/>
        </w:rPr>
        <w:t>determina</w:t>
      </w:r>
      <w:r>
        <w:rPr>
          <w:color w:val="231F20"/>
          <w:spacing w:val="-27"/>
          <w:w w:val="105"/>
        </w:rPr>
        <w:t> </w:t>
      </w:r>
      <w:r>
        <w:rPr>
          <w:color w:val="231F20"/>
          <w:w w:val="105"/>
        </w:rPr>
        <w:t>la</w:t>
      </w:r>
      <w:r>
        <w:rPr>
          <w:color w:val="231F20"/>
          <w:spacing w:val="-27"/>
          <w:w w:val="105"/>
        </w:rPr>
        <w:t> </w:t>
      </w:r>
      <w:r>
        <w:rPr>
          <w:color w:val="231F20"/>
          <w:spacing w:val="-3"/>
          <w:w w:val="105"/>
        </w:rPr>
        <w:t>ventaja</w:t>
      </w:r>
      <w:r>
        <w:rPr>
          <w:color w:val="231F20"/>
          <w:spacing w:val="-27"/>
          <w:w w:val="105"/>
        </w:rPr>
        <w:t> </w:t>
      </w:r>
      <w:r>
        <w:rPr>
          <w:color w:val="231F20"/>
          <w:w w:val="105"/>
        </w:rPr>
        <w:t>de</w:t>
      </w:r>
      <w:r>
        <w:rPr>
          <w:color w:val="231F20"/>
          <w:spacing w:val="-27"/>
          <w:w w:val="105"/>
        </w:rPr>
        <w:t> </w:t>
      </w:r>
      <w:r>
        <w:rPr>
          <w:color w:val="231F20"/>
          <w:spacing w:val="-3"/>
          <w:w w:val="105"/>
        </w:rPr>
        <w:t>localización puede</w:t>
      </w:r>
      <w:r>
        <w:rPr>
          <w:color w:val="231F20"/>
          <w:spacing w:val="-17"/>
          <w:w w:val="105"/>
        </w:rPr>
        <w:t> </w:t>
      </w:r>
      <w:r>
        <w:rPr>
          <w:color w:val="231F20"/>
          <w:spacing w:val="-3"/>
          <w:w w:val="105"/>
        </w:rPr>
        <w:t>estar</w:t>
      </w:r>
      <w:r>
        <w:rPr>
          <w:color w:val="231F20"/>
          <w:spacing w:val="-17"/>
          <w:w w:val="105"/>
        </w:rPr>
        <w:t> </w:t>
      </w:r>
      <w:r>
        <w:rPr>
          <w:color w:val="231F20"/>
          <w:spacing w:val="-3"/>
          <w:w w:val="105"/>
        </w:rPr>
        <w:t>asociada,</w:t>
      </w:r>
      <w:r>
        <w:rPr>
          <w:color w:val="231F20"/>
          <w:spacing w:val="-22"/>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spacing w:val="-3"/>
          <w:w w:val="105"/>
        </w:rPr>
        <w:t>contexto</w:t>
      </w:r>
      <w:r>
        <w:rPr>
          <w:color w:val="231F20"/>
          <w:spacing w:val="-17"/>
          <w:w w:val="105"/>
        </w:rPr>
        <w:t> </w:t>
      </w:r>
      <w:r>
        <w:rPr>
          <w:color w:val="231F20"/>
          <w:w w:val="105"/>
        </w:rPr>
        <w:t>de</w:t>
      </w:r>
      <w:r>
        <w:rPr>
          <w:color w:val="231F20"/>
          <w:spacing w:val="-17"/>
          <w:w w:val="105"/>
        </w:rPr>
        <w:t> </w:t>
      </w:r>
      <w:r>
        <w:rPr>
          <w:color w:val="231F20"/>
          <w:spacing w:val="-3"/>
          <w:w w:val="105"/>
        </w:rPr>
        <w:t>capitalismo</w:t>
      </w:r>
      <w:r>
        <w:rPr>
          <w:color w:val="231F20"/>
          <w:spacing w:val="-17"/>
          <w:w w:val="105"/>
        </w:rPr>
        <w:t> </w:t>
      </w:r>
      <w:r>
        <w:rPr>
          <w:color w:val="231F20"/>
          <w:w w:val="105"/>
        </w:rPr>
        <w:t>de</w:t>
      </w:r>
      <w:r>
        <w:rPr>
          <w:color w:val="231F20"/>
          <w:spacing w:val="-17"/>
          <w:w w:val="105"/>
        </w:rPr>
        <w:t> </w:t>
      </w:r>
      <w:r>
        <w:rPr>
          <w:color w:val="231F20"/>
          <w:spacing w:val="-3"/>
          <w:w w:val="105"/>
        </w:rPr>
        <w:t>alianzas,</w:t>
      </w:r>
      <w:r>
        <w:rPr>
          <w:color w:val="231F20"/>
          <w:spacing w:val="-22"/>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spacing w:val="-3"/>
          <w:w w:val="105"/>
        </w:rPr>
        <w:t>ubi- cación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spacing w:val="-3"/>
          <w:w w:val="105"/>
        </w:rPr>
        <w:t>socios</w:t>
      </w:r>
      <w:r>
        <w:rPr>
          <w:color w:val="231F20"/>
          <w:spacing w:val="-9"/>
          <w:w w:val="105"/>
        </w:rPr>
        <w:t> </w:t>
      </w:r>
      <w:r>
        <w:rPr>
          <w:color w:val="231F20"/>
          <w:w w:val="105"/>
        </w:rPr>
        <w:t>o</w:t>
      </w:r>
      <w:r>
        <w:rPr>
          <w:color w:val="231F20"/>
          <w:spacing w:val="-9"/>
          <w:w w:val="105"/>
        </w:rPr>
        <w:t> </w:t>
      </w:r>
      <w:r>
        <w:rPr>
          <w:color w:val="231F20"/>
          <w:w w:val="105"/>
        </w:rPr>
        <w:t>de</w:t>
      </w:r>
      <w:r>
        <w:rPr>
          <w:color w:val="231F20"/>
          <w:spacing w:val="-9"/>
          <w:w w:val="105"/>
        </w:rPr>
        <w:t> </w:t>
      </w:r>
      <w:r>
        <w:rPr>
          <w:color w:val="231F20"/>
          <w:spacing w:val="-3"/>
          <w:w w:val="105"/>
        </w:rPr>
        <w:t>grupos</w:t>
      </w:r>
      <w:r>
        <w:rPr>
          <w:color w:val="231F20"/>
          <w:spacing w:val="-9"/>
          <w:w w:val="105"/>
        </w:rPr>
        <w:t> </w:t>
      </w:r>
      <w:r>
        <w:rPr>
          <w:color w:val="231F20"/>
          <w:w w:val="105"/>
        </w:rPr>
        <w:t>de</w:t>
      </w:r>
      <w:r>
        <w:rPr>
          <w:color w:val="231F20"/>
          <w:spacing w:val="-9"/>
          <w:w w:val="105"/>
        </w:rPr>
        <w:t> </w:t>
      </w:r>
      <w:r>
        <w:rPr>
          <w:color w:val="231F20"/>
          <w:spacing w:val="-3"/>
          <w:w w:val="105"/>
        </w:rPr>
        <w:t>sociedades</w:t>
      </w:r>
      <w:r>
        <w:rPr>
          <w:color w:val="231F20"/>
          <w:spacing w:val="-9"/>
          <w:w w:val="105"/>
        </w:rPr>
        <w:t> </w:t>
      </w:r>
      <w:r>
        <w:rPr>
          <w:color w:val="231F20"/>
          <w:w w:val="105"/>
        </w:rPr>
        <w:t>muy</w:t>
      </w:r>
      <w:r>
        <w:rPr>
          <w:color w:val="231F20"/>
          <w:spacing w:val="-9"/>
          <w:w w:val="105"/>
        </w:rPr>
        <w:t> </w:t>
      </w:r>
      <w:r>
        <w:rPr>
          <w:color w:val="231F20"/>
          <w:spacing w:val="-3"/>
          <w:w w:val="105"/>
        </w:rPr>
        <w:t>especializadas</w:t>
      </w:r>
      <w:r>
        <w:rPr>
          <w:color w:val="231F20"/>
          <w:spacing w:val="-9"/>
          <w:w w:val="105"/>
        </w:rPr>
        <w:t> </w:t>
      </w:r>
      <w:r>
        <w:rPr>
          <w:color w:val="231F20"/>
          <w:spacing w:val="-3"/>
          <w:w w:val="105"/>
        </w:rPr>
        <w:t>que faciliten</w:t>
      </w:r>
      <w:r>
        <w:rPr>
          <w:color w:val="231F20"/>
          <w:spacing w:val="-21"/>
          <w:w w:val="105"/>
        </w:rPr>
        <w:t> </w:t>
      </w:r>
      <w:r>
        <w:rPr>
          <w:color w:val="231F20"/>
          <w:spacing w:val="-3"/>
          <w:w w:val="105"/>
        </w:rPr>
        <w:t>conocimientos</w:t>
      </w:r>
      <w:r>
        <w:rPr>
          <w:color w:val="231F20"/>
          <w:spacing w:val="-21"/>
          <w:w w:val="105"/>
        </w:rPr>
        <w:t> </w:t>
      </w:r>
      <w:r>
        <w:rPr>
          <w:color w:val="231F20"/>
          <w:w w:val="105"/>
        </w:rPr>
        <w:t>e</w:t>
      </w:r>
      <w:r>
        <w:rPr>
          <w:color w:val="231F20"/>
          <w:spacing w:val="-21"/>
          <w:w w:val="105"/>
        </w:rPr>
        <w:t> </w:t>
      </w:r>
      <w:r>
        <w:rPr>
          <w:color w:val="231F20"/>
          <w:spacing w:val="-3"/>
          <w:w w:val="105"/>
        </w:rPr>
        <w:t>ideas</w:t>
      </w:r>
      <w:r>
        <w:rPr>
          <w:color w:val="231F20"/>
          <w:spacing w:val="-21"/>
          <w:w w:val="105"/>
        </w:rPr>
        <w:t> </w:t>
      </w:r>
      <w:r>
        <w:rPr>
          <w:color w:val="231F20"/>
          <w:spacing w:val="-3"/>
          <w:w w:val="105"/>
        </w:rPr>
        <w:t>útiles</w:t>
      </w:r>
      <w:r>
        <w:rPr>
          <w:color w:val="231F20"/>
          <w:spacing w:val="-21"/>
          <w:w w:val="105"/>
        </w:rPr>
        <w:t> </w:t>
      </w:r>
      <w:r>
        <w:rPr>
          <w:color w:val="231F20"/>
          <w:spacing w:val="-3"/>
          <w:w w:val="105"/>
        </w:rPr>
        <w:t>para</w:t>
      </w:r>
      <w:r>
        <w:rPr>
          <w:color w:val="231F20"/>
          <w:spacing w:val="-21"/>
          <w:w w:val="105"/>
        </w:rPr>
        <w:t> </w:t>
      </w:r>
      <w:r>
        <w:rPr>
          <w:color w:val="231F20"/>
          <w:w w:val="105"/>
        </w:rPr>
        <w:t>la</w:t>
      </w:r>
      <w:r>
        <w:rPr>
          <w:color w:val="231F20"/>
          <w:spacing w:val="-21"/>
          <w:w w:val="105"/>
        </w:rPr>
        <w:t> </w:t>
      </w:r>
      <w:r>
        <w:rPr>
          <w:color w:val="231F20"/>
          <w:spacing w:val="-3"/>
          <w:w w:val="105"/>
        </w:rPr>
        <w:t>innovación</w:t>
      </w:r>
      <w:r>
        <w:rPr>
          <w:color w:val="231F20"/>
          <w:spacing w:val="-21"/>
          <w:w w:val="105"/>
        </w:rPr>
        <w:t> </w:t>
      </w:r>
      <w:r>
        <w:rPr>
          <w:color w:val="231F20"/>
          <w:spacing w:val="-3"/>
          <w:w w:val="105"/>
        </w:rPr>
        <w:t>(Dunning,</w:t>
      </w:r>
      <w:r>
        <w:rPr>
          <w:color w:val="231F20"/>
          <w:spacing w:val="-26"/>
          <w:w w:val="105"/>
        </w:rPr>
        <w:t> </w:t>
      </w:r>
      <w:r>
        <w:rPr>
          <w:color w:val="231F20"/>
          <w:spacing w:val="-3"/>
          <w:w w:val="105"/>
        </w:rPr>
        <w:t>1997).</w:t>
      </w:r>
    </w:p>
    <w:p>
      <w:pPr>
        <w:pStyle w:val="BodyText"/>
        <w:spacing w:line="259" w:lineRule="auto"/>
        <w:ind w:left="103" w:right="114" w:firstLine="567"/>
        <w:jc w:val="both"/>
      </w:pPr>
      <w:r>
        <w:rPr>
          <w:color w:val="231F20"/>
          <w:w w:val="105"/>
        </w:rPr>
        <w:t>A partir del análisis de diversos estudios teóricos y empíricos se identificaron algunos de ellos y se agruparon en función del contexto cultural</w:t>
      </w:r>
      <w:r>
        <w:rPr>
          <w:color w:val="231F20"/>
          <w:spacing w:val="-29"/>
          <w:w w:val="105"/>
        </w:rPr>
        <w:t> </w:t>
      </w:r>
      <w:r>
        <w:rPr>
          <w:color w:val="231F20"/>
          <w:w w:val="105"/>
        </w:rPr>
        <w:t>e</w:t>
      </w:r>
      <w:r>
        <w:rPr>
          <w:color w:val="231F20"/>
          <w:spacing w:val="-29"/>
          <w:w w:val="105"/>
        </w:rPr>
        <w:t> </w:t>
      </w:r>
      <w:r>
        <w:rPr>
          <w:color w:val="231F20"/>
          <w:w w:val="105"/>
        </w:rPr>
        <w:t>histórico,</w:t>
      </w:r>
      <w:r>
        <w:rPr>
          <w:color w:val="231F20"/>
          <w:spacing w:val="-33"/>
          <w:w w:val="105"/>
        </w:rPr>
        <w:t> </w:t>
      </w:r>
      <w:r>
        <w:rPr>
          <w:color w:val="231F20"/>
          <w:w w:val="105"/>
        </w:rPr>
        <w:t>la</w:t>
      </w:r>
      <w:r>
        <w:rPr>
          <w:color w:val="231F20"/>
          <w:spacing w:val="-29"/>
          <w:w w:val="105"/>
        </w:rPr>
        <w:t> </w:t>
      </w:r>
      <w:r>
        <w:rPr>
          <w:color w:val="231F20"/>
          <w:w w:val="105"/>
        </w:rPr>
        <w:t>dotación</w:t>
      </w:r>
      <w:r>
        <w:rPr>
          <w:color w:val="231F20"/>
          <w:spacing w:val="-29"/>
          <w:w w:val="105"/>
        </w:rPr>
        <w:t> </w:t>
      </w:r>
      <w:r>
        <w:rPr>
          <w:color w:val="231F20"/>
          <w:w w:val="105"/>
        </w:rPr>
        <w:t>de</w:t>
      </w:r>
      <w:r>
        <w:rPr>
          <w:color w:val="231F20"/>
          <w:spacing w:val="-29"/>
          <w:w w:val="105"/>
        </w:rPr>
        <w:t> </w:t>
      </w:r>
      <w:r>
        <w:rPr>
          <w:color w:val="231F20"/>
          <w:w w:val="105"/>
        </w:rPr>
        <w:t>recursos,</w:t>
      </w:r>
      <w:r>
        <w:rPr>
          <w:color w:val="231F20"/>
          <w:spacing w:val="-33"/>
          <w:w w:val="105"/>
        </w:rPr>
        <w:t> </w:t>
      </w:r>
      <w:r>
        <w:rPr>
          <w:color w:val="231F20"/>
          <w:w w:val="105"/>
        </w:rPr>
        <w:t>las</w:t>
      </w:r>
      <w:r>
        <w:rPr>
          <w:color w:val="231F20"/>
          <w:spacing w:val="-29"/>
          <w:w w:val="105"/>
        </w:rPr>
        <w:t> </w:t>
      </w:r>
      <w:r>
        <w:rPr>
          <w:color w:val="231F20"/>
          <w:w w:val="105"/>
        </w:rPr>
        <w:t>características</w:t>
      </w:r>
      <w:r>
        <w:rPr>
          <w:color w:val="231F20"/>
          <w:spacing w:val="-29"/>
          <w:w w:val="105"/>
        </w:rPr>
        <w:t> </w:t>
      </w:r>
      <w:r>
        <w:rPr>
          <w:color w:val="231F20"/>
          <w:w w:val="105"/>
        </w:rPr>
        <w:t>de</w:t>
      </w:r>
      <w:r>
        <w:rPr>
          <w:color w:val="231F20"/>
          <w:spacing w:val="-29"/>
          <w:w w:val="105"/>
        </w:rPr>
        <w:t> </w:t>
      </w:r>
      <w:r>
        <w:rPr>
          <w:color w:val="231F20"/>
          <w:w w:val="105"/>
        </w:rPr>
        <w:t>los</w:t>
      </w:r>
      <w:r>
        <w:rPr>
          <w:color w:val="231F20"/>
          <w:spacing w:val="-29"/>
          <w:w w:val="105"/>
        </w:rPr>
        <w:t> </w:t>
      </w:r>
      <w:r>
        <w:rPr>
          <w:color w:val="231F20"/>
          <w:w w:val="105"/>
        </w:rPr>
        <w:t>mer- cados</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sistema</w:t>
      </w:r>
      <w:r>
        <w:rPr>
          <w:color w:val="231F20"/>
          <w:spacing w:val="-8"/>
          <w:w w:val="105"/>
        </w:rPr>
        <w:t> </w:t>
      </w:r>
      <w:r>
        <w:rPr>
          <w:color w:val="231F20"/>
          <w:w w:val="105"/>
        </w:rPr>
        <w:t>económico</w:t>
      </w:r>
      <w:r>
        <w:rPr>
          <w:color w:val="231F20"/>
          <w:spacing w:val="-8"/>
          <w:w w:val="105"/>
        </w:rPr>
        <w:t> </w:t>
      </w:r>
      <w:r>
        <w:rPr>
          <w:color w:val="231F20"/>
          <w:w w:val="105"/>
        </w:rPr>
        <w:t>y</w:t>
      </w:r>
      <w:r>
        <w:rPr>
          <w:color w:val="231F20"/>
          <w:spacing w:val="-8"/>
          <w:w w:val="105"/>
        </w:rPr>
        <w:t> </w:t>
      </w:r>
      <w:r>
        <w:rPr>
          <w:color w:val="231F20"/>
          <w:w w:val="105"/>
        </w:rPr>
        <w:t>político.</w:t>
      </w:r>
      <w:r>
        <w:rPr>
          <w:color w:val="231F20"/>
          <w:spacing w:val="-14"/>
          <w:w w:val="105"/>
        </w:rPr>
        <w:t> </w:t>
      </w:r>
      <w:r>
        <w:rPr>
          <w:color w:val="231F20"/>
          <w:w w:val="105"/>
        </w:rPr>
        <w:t>El</w:t>
      </w:r>
      <w:r>
        <w:rPr>
          <w:color w:val="231F20"/>
          <w:spacing w:val="-8"/>
          <w:w w:val="105"/>
        </w:rPr>
        <w:t> </w:t>
      </w:r>
      <w:r>
        <w:rPr>
          <w:color w:val="231F20"/>
          <w:w w:val="105"/>
        </w:rPr>
        <w:t>papel</w:t>
      </w:r>
      <w:r>
        <w:rPr>
          <w:color w:val="231F20"/>
          <w:spacing w:val="-8"/>
          <w:w w:val="105"/>
        </w:rPr>
        <w:t> </w:t>
      </w:r>
      <w:r>
        <w:rPr>
          <w:color w:val="231F20"/>
          <w:w w:val="105"/>
        </w:rPr>
        <w:t>que</w:t>
      </w:r>
      <w:r>
        <w:rPr>
          <w:color w:val="231F20"/>
          <w:spacing w:val="-8"/>
          <w:w w:val="105"/>
        </w:rPr>
        <w:t> </w:t>
      </w:r>
      <w:r>
        <w:rPr>
          <w:color w:val="231F20"/>
          <w:w w:val="105"/>
        </w:rPr>
        <w:t>cada</w:t>
      </w:r>
      <w:r>
        <w:rPr>
          <w:color w:val="231F20"/>
          <w:spacing w:val="-8"/>
          <w:w w:val="105"/>
        </w:rPr>
        <w:t> </w:t>
      </w:r>
      <w:r>
        <w:rPr>
          <w:color w:val="231F20"/>
          <w:w w:val="105"/>
        </w:rPr>
        <w:t>uno</w:t>
      </w:r>
      <w:r>
        <w:rPr>
          <w:color w:val="231F20"/>
          <w:spacing w:val="-8"/>
          <w:w w:val="105"/>
        </w:rPr>
        <w:t> </w:t>
      </w:r>
      <w:r>
        <w:rPr>
          <w:color w:val="231F20"/>
          <w:w w:val="105"/>
        </w:rPr>
        <w:t>de</w:t>
      </w:r>
      <w:r>
        <w:rPr>
          <w:color w:val="231F20"/>
          <w:spacing w:val="-8"/>
          <w:w w:val="105"/>
        </w:rPr>
        <w:t> </w:t>
      </w:r>
      <w:r>
        <w:rPr>
          <w:color w:val="231F20"/>
          <w:w w:val="105"/>
        </w:rPr>
        <w:t>ellos juega como determinante de la IED varía según la finalidad</w:t>
      </w:r>
      <w:r>
        <w:rPr>
          <w:color w:val="231F20"/>
          <w:spacing w:val="-25"/>
          <w:w w:val="105"/>
        </w:rPr>
        <w:t> </w:t>
      </w:r>
      <w:r>
        <w:rPr>
          <w:color w:val="231F20"/>
          <w:w w:val="105"/>
        </w:rPr>
        <w:t>perseguida por</w:t>
      </w:r>
      <w:r>
        <w:rPr>
          <w:color w:val="231F20"/>
          <w:spacing w:val="-11"/>
          <w:w w:val="105"/>
        </w:rPr>
        <w:t> </w:t>
      </w:r>
      <w:r>
        <w:rPr>
          <w:color w:val="231F20"/>
          <w:w w:val="105"/>
        </w:rPr>
        <w:t>la</w:t>
      </w:r>
      <w:r>
        <w:rPr>
          <w:color w:val="231F20"/>
          <w:spacing w:val="-11"/>
          <w:w w:val="105"/>
        </w:rPr>
        <w:t> </w:t>
      </w:r>
      <w:r>
        <w:rPr>
          <w:color w:val="231F20"/>
          <w:w w:val="105"/>
        </w:rPr>
        <w:t>misma,</w:t>
      </w:r>
      <w:r>
        <w:rPr>
          <w:color w:val="231F20"/>
          <w:spacing w:val="-18"/>
          <w:w w:val="105"/>
        </w:rPr>
        <w:t> </w:t>
      </w:r>
      <w:r>
        <w:rPr>
          <w:color w:val="231F20"/>
          <w:w w:val="105"/>
        </w:rPr>
        <w:t>el</w:t>
      </w:r>
      <w:r>
        <w:rPr>
          <w:color w:val="231F20"/>
          <w:spacing w:val="-11"/>
          <w:w w:val="105"/>
        </w:rPr>
        <w:t> </w:t>
      </w:r>
      <w:r>
        <w:rPr>
          <w:color w:val="231F20"/>
          <w:w w:val="105"/>
        </w:rPr>
        <w:t>sector</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actividad</w:t>
      </w:r>
      <w:r>
        <w:rPr>
          <w:color w:val="231F20"/>
          <w:spacing w:val="-11"/>
          <w:w w:val="105"/>
        </w:rPr>
        <w:t> </w:t>
      </w:r>
      <w:r>
        <w:rPr>
          <w:color w:val="231F20"/>
          <w:w w:val="105"/>
        </w:rPr>
        <w:t>objeto</w:t>
      </w:r>
      <w:r>
        <w:rPr>
          <w:color w:val="231F20"/>
          <w:spacing w:val="-11"/>
          <w:w w:val="105"/>
        </w:rPr>
        <w:t> </w:t>
      </w:r>
      <w:r>
        <w:rPr>
          <w:color w:val="231F20"/>
          <w:w w:val="105"/>
        </w:rPr>
        <w:t>de</w:t>
      </w:r>
      <w:r>
        <w:rPr>
          <w:color w:val="231F20"/>
          <w:spacing w:val="-11"/>
          <w:w w:val="105"/>
        </w:rPr>
        <w:t> </w:t>
      </w:r>
      <w:r>
        <w:rPr>
          <w:color w:val="231F20"/>
          <w:w w:val="105"/>
        </w:rPr>
        <w:t>inversión,</w:t>
      </w:r>
      <w:r>
        <w:rPr>
          <w:color w:val="231F20"/>
          <w:spacing w:val="-18"/>
          <w:w w:val="105"/>
        </w:rPr>
        <w:t> </w:t>
      </w:r>
      <w:r>
        <w:rPr>
          <w:color w:val="231F20"/>
          <w:w w:val="105"/>
        </w:rPr>
        <w:t>el</w:t>
      </w:r>
      <w:r>
        <w:rPr>
          <w:color w:val="231F20"/>
          <w:spacing w:val="-11"/>
          <w:w w:val="105"/>
        </w:rPr>
        <w:t> </w:t>
      </w:r>
      <w:r>
        <w:rPr>
          <w:color w:val="231F20"/>
          <w:w w:val="105"/>
        </w:rPr>
        <w:t>grado</w:t>
      </w:r>
      <w:r>
        <w:rPr>
          <w:color w:val="231F20"/>
          <w:spacing w:val="-11"/>
          <w:w w:val="105"/>
        </w:rPr>
        <w:t> </w:t>
      </w:r>
      <w:r>
        <w:rPr>
          <w:color w:val="231F20"/>
          <w:w w:val="105"/>
        </w:rPr>
        <w:t>de</w:t>
      </w:r>
      <w:r>
        <w:rPr>
          <w:color w:val="231F20"/>
          <w:spacing w:val="-11"/>
          <w:w w:val="105"/>
        </w:rPr>
        <w:t> </w:t>
      </w:r>
      <w:r>
        <w:rPr>
          <w:color w:val="231F20"/>
          <w:w w:val="105"/>
        </w:rPr>
        <w:t>de- sarrollo</w:t>
      </w:r>
      <w:r>
        <w:rPr>
          <w:color w:val="231F20"/>
          <w:spacing w:val="-19"/>
          <w:w w:val="105"/>
        </w:rPr>
        <w:t> </w:t>
      </w:r>
      <w:r>
        <w:rPr>
          <w:color w:val="231F20"/>
          <w:w w:val="105"/>
        </w:rPr>
        <w:t>del</w:t>
      </w:r>
      <w:r>
        <w:rPr>
          <w:color w:val="231F20"/>
          <w:spacing w:val="-19"/>
          <w:w w:val="105"/>
        </w:rPr>
        <w:t> </w:t>
      </w:r>
      <w:r>
        <w:rPr>
          <w:color w:val="231F20"/>
          <w:w w:val="105"/>
        </w:rPr>
        <w:t>área</w:t>
      </w:r>
      <w:r>
        <w:rPr>
          <w:color w:val="231F20"/>
          <w:spacing w:val="-19"/>
          <w:w w:val="105"/>
        </w:rPr>
        <w:t> </w:t>
      </w:r>
      <w:r>
        <w:rPr>
          <w:color w:val="231F20"/>
          <w:w w:val="105"/>
        </w:rPr>
        <w:t>receptora</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tamaño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empresa</w:t>
      </w:r>
      <w:r>
        <w:rPr>
          <w:color w:val="231F20"/>
          <w:spacing w:val="-19"/>
          <w:w w:val="105"/>
        </w:rPr>
        <w:t> </w:t>
      </w:r>
      <w:r>
        <w:rPr>
          <w:color w:val="231F20"/>
          <w:w w:val="105"/>
        </w:rPr>
        <w:t>inversora.</w:t>
      </w:r>
    </w:p>
    <w:p>
      <w:pPr>
        <w:pStyle w:val="BodyText"/>
        <w:spacing w:line="259" w:lineRule="auto"/>
        <w:ind w:left="103" w:right="114" w:firstLine="567"/>
        <w:jc w:val="both"/>
      </w:pPr>
      <w:r>
        <w:rPr>
          <w:color w:val="231F20"/>
          <w:w w:val="105"/>
        </w:rPr>
        <w:t>Desde el punto de vista de la demanda, el tamaño del mercado doméstico</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ampliamente</w:t>
      </w:r>
      <w:r>
        <w:rPr>
          <w:color w:val="231F20"/>
          <w:spacing w:val="-7"/>
          <w:w w:val="105"/>
        </w:rPr>
        <w:t> </w:t>
      </w:r>
      <w:r>
        <w:rPr>
          <w:color w:val="231F20"/>
          <w:w w:val="105"/>
        </w:rPr>
        <w:t>considerado</w:t>
      </w:r>
      <w:r>
        <w:rPr>
          <w:color w:val="231F20"/>
          <w:spacing w:val="-7"/>
          <w:w w:val="105"/>
        </w:rPr>
        <w:t> </w:t>
      </w:r>
      <w:r>
        <w:rPr>
          <w:color w:val="231F20"/>
          <w:w w:val="105"/>
        </w:rPr>
        <w:t>por</w:t>
      </w:r>
      <w:r>
        <w:rPr>
          <w:color w:val="231F20"/>
          <w:spacing w:val="-7"/>
          <w:w w:val="105"/>
        </w:rPr>
        <w:t> </w:t>
      </w:r>
      <w:r>
        <w:rPr>
          <w:color w:val="231F20"/>
          <w:w w:val="105"/>
        </w:rPr>
        <w:t>las</w:t>
      </w:r>
      <w:r>
        <w:rPr>
          <w:color w:val="231F20"/>
          <w:spacing w:val="-7"/>
          <w:w w:val="105"/>
        </w:rPr>
        <w:t> </w:t>
      </w:r>
      <w:r>
        <w:rPr>
          <w:color w:val="231F20"/>
          <w:w w:val="105"/>
        </w:rPr>
        <w:t>empresas</w:t>
      </w:r>
      <w:r>
        <w:rPr>
          <w:color w:val="231F20"/>
          <w:spacing w:val="-7"/>
          <w:w w:val="105"/>
        </w:rPr>
        <w:t> </w:t>
      </w:r>
      <w:r>
        <w:rPr>
          <w:color w:val="231F20"/>
          <w:w w:val="105"/>
        </w:rPr>
        <w:t>multina- cionales como un gran atractivo de los países. Sin embargo, se podría producir</w:t>
      </w:r>
      <w:r>
        <w:rPr>
          <w:color w:val="231F20"/>
          <w:spacing w:val="-6"/>
          <w:w w:val="105"/>
        </w:rPr>
        <w:t> </w:t>
      </w:r>
      <w:r>
        <w:rPr>
          <w:color w:val="231F20"/>
          <w:w w:val="105"/>
        </w:rPr>
        <w:t>una</w:t>
      </w:r>
      <w:r>
        <w:rPr>
          <w:color w:val="231F20"/>
          <w:spacing w:val="-6"/>
          <w:w w:val="105"/>
        </w:rPr>
        <w:t> </w:t>
      </w:r>
      <w:r>
        <w:rPr>
          <w:color w:val="231F20"/>
          <w:w w:val="105"/>
        </w:rPr>
        <w:t>pérdida</w:t>
      </w:r>
      <w:r>
        <w:rPr>
          <w:color w:val="231F20"/>
          <w:spacing w:val="-6"/>
          <w:w w:val="105"/>
        </w:rPr>
        <w:t> </w:t>
      </w:r>
      <w:r>
        <w:rPr>
          <w:color w:val="231F20"/>
          <w:w w:val="105"/>
        </w:rPr>
        <w:t>de</w:t>
      </w:r>
      <w:r>
        <w:rPr>
          <w:color w:val="231F20"/>
          <w:spacing w:val="-6"/>
          <w:w w:val="105"/>
        </w:rPr>
        <w:t> </w:t>
      </w:r>
      <w:r>
        <w:rPr>
          <w:color w:val="231F20"/>
          <w:w w:val="105"/>
        </w:rPr>
        <w:t>protagonismo</w:t>
      </w:r>
      <w:r>
        <w:rPr>
          <w:color w:val="231F20"/>
          <w:spacing w:val="-6"/>
          <w:w w:val="105"/>
        </w:rPr>
        <w:t> </w:t>
      </w:r>
      <w:r>
        <w:rPr>
          <w:color w:val="231F20"/>
          <w:w w:val="105"/>
        </w:rPr>
        <w:t>de</w:t>
      </w:r>
      <w:r>
        <w:rPr>
          <w:color w:val="231F20"/>
          <w:spacing w:val="-6"/>
          <w:w w:val="105"/>
        </w:rPr>
        <w:t> </w:t>
      </w:r>
      <w:r>
        <w:rPr>
          <w:color w:val="231F20"/>
          <w:w w:val="105"/>
        </w:rPr>
        <w:t>este</w:t>
      </w:r>
      <w:r>
        <w:rPr>
          <w:color w:val="231F20"/>
          <w:spacing w:val="-6"/>
          <w:w w:val="105"/>
        </w:rPr>
        <w:t> </w:t>
      </w:r>
      <w:r>
        <w:rPr>
          <w:color w:val="231F20"/>
          <w:w w:val="105"/>
        </w:rPr>
        <w:t>factor</w:t>
      </w:r>
      <w:r>
        <w:rPr>
          <w:color w:val="231F20"/>
          <w:spacing w:val="-6"/>
          <w:w w:val="105"/>
        </w:rPr>
        <w:t> </w:t>
      </w:r>
      <w:r>
        <w:rPr>
          <w:color w:val="231F20"/>
          <w:w w:val="105"/>
        </w:rPr>
        <w:t>como</w:t>
      </w:r>
      <w:r>
        <w:rPr>
          <w:color w:val="231F20"/>
          <w:spacing w:val="-6"/>
          <w:w w:val="105"/>
        </w:rPr>
        <w:t> </w:t>
      </w:r>
      <w:r>
        <w:rPr>
          <w:color w:val="231F20"/>
          <w:w w:val="105"/>
        </w:rPr>
        <w:t>determinan- 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3"/>
          <w:w w:val="105"/>
        </w:rPr>
        <w:t>IED,</w:t>
      </w:r>
      <w:r>
        <w:rPr>
          <w:color w:val="231F20"/>
          <w:spacing w:val="-20"/>
          <w:w w:val="105"/>
        </w:rPr>
        <w:t> </w:t>
      </w:r>
      <w:r>
        <w:rPr>
          <w:color w:val="231F20"/>
          <w:w w:val="105"/>
        </w:rPr>
        <w:t>debido</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procesos</w:t>
      </w:r>
      <w:r>
        <w:rPr>
          <w:color w:val="231F20"/>
          <w:spacing w:val="-13"/>
          <w:w w:val="105"/>
        </w:rPr>
        <w:t> </w:t>
      </w:r>
      <w:r>
        <w:rPr>
          <w:color w:val="231F20"/>
          <w:w w:val="105"/>
        </w:rPr>
        <w:t>de</w:t>
      </w:r>
      <w:r>
        <w:rPr>
          <w:color w:val="231F20"/>
          <w:spacing w:val="-13"/>
          <w:w w:val="105"/>
        </w:rPr>
        <w:t> </w:t>
      </w:r>
      <w:r>
        <w:rPr>
          <w:color w:val="231F20"/>
          <w:w w:val="105"/>
        </w:rPr>
        <w:t>integración</w:t>
      </w:r>
      <w:r>
        <w:rPr>
          <w:color w:val="231F20"/>
          <w:spacing w:val="-13"/>
          <w:w w:val="105"/>
        </w:rPr>
        <w:t> </w:t>
      </w:r>
      <w:r>
        <w:rPr>
          <w:color w:val="231F20"/>
          <w:w w:val="105"/>
        </w:rPr>
        <w:t>(Dunning,</w:t>
      </w:r>
      <w:r>
        <w:rPr>
          <w:color w:val="231F20"/>
          <w:spacing w:val="-20"/>
          <w:w w:val="105"/>
        </w:rPr>
        <w:t> </w:t>
      </w:r>
      <w:r>
        <w:rPr>
          <w:color w:val="231F20"/>
          <w:w w:val="105"/>
        </w:rPr>
        <w:t>1997).</w:t>
      </w:r>
    </w:p>
    <w:p>
      <w:pPr>
        <w:pStyle w:val="BodyText"/>
        <w:spacing w:line="259" w:lineRule="auto"/>
        <w:ind w:left="103" w:right="115" w:firstLine="567"/>
        <w:jc w:val="both"/>
      </w:pPr>
      <w:r>
        <w:rPr>
          <w:color w:val="231F20"/>
          <w:w w:val="105"/>
        </w:rPr>
        <w:t>Generalmente</w:t>
      </w:r>
      <w:r>
        <w:rPr>
          <w:color w:val="231F20"/>
          <w:spacing w:val="-9"/>
          <w:w w:val="105"/>
        </w:rPr>
        <w:t> </w:t>
      </w:r>
      <w:r>
        <w:rPr>
          <w:color w:val="231F20"/>
          <w:w w:val="105"/>
        </w:rPr>
        <w:t>el</w:t>
      </w:r>
      <w:r>
        <w:rPr>
          <w:color w:val="231F20"/>
          <w:spacing w:val="-9"/>
          <w:w w:val="105"/>
        </w:rPr>
        <w:t> </w:t>
      </w:r>
      <w:r>
        <w:rPr>
          <w:color w:val="231F20"/>
          <w:w w:val="105"/>
        </w:rPr>
        <w:t>ámbito</w:t>
      </w:r>
      <w:r>
        <w:rPr>
          <w:color w:val="231F20"/>
          <w:spacing w:val="-9"/>
          <w:w w:val="105"/>
        </w:rPr>
        <w:t> </w:t>
      </w:r>
      <w:r>
        <w:rPr>
          <w:color w:val="231F20"/>
          <w:w w:val="105"/>
        </w:rPr>
        <w:t>geográfico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utiliza</w:t>
      </w:r>
      <w:r>
        <w:rPr>
          <w:color w:val="231F20"/>
          <w:spacing w:val="-9"/>
          <w:w w:val="105"/>
        </w:rPr>
        <w:t> </w:t>
      </w:r>
      <w:r>
        <w:rPr>
          <w:color w:val="231F20"/>
          <w:w w:val="105"/>
        </w:rPr>
        <w:t>como</w:t>
      </w:r>
      <w:r>
        <w:rPr>
          <w:color w:val="231F20"/>
          <w:spacing w:val="-9"/>
          <w:w w:val="105"/>
        </w:rPr>
        <w:t> </w:t>
      </w:r>
      <w:r>
        <w:rPr>
          <w:color w:val="231F20"/>
          <w:w w:val="105"/>
        </w:rPr>
        <w:t>unidad</w:t>
      </w:r>
      <w:r>
        <w:rPr>
          <w:color w:val="231F20"/>
          <w:spacing w:val="-9"/>
          <w:w w:val="105"/>
        </w:rPr>
        <w:t> </w:t>
      </w:r>
      <w:r>
        <w:rPr>
          <w:color w:val="231F20"/>
          <w:w w:val="105"/>
        </w:rPr>
        <w:t>de análisis</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decisiones</w:t>
      </w:r>
      <w:r>
        <w:rPr>
          <w:color w:val="231F20"/>
          <w:spacing w:val="-16"/>
          <w:w w:val="105"/>
        </w:rPr>
        <w:t> </w:t>
      </w:r>
      <w:r>
        <w:rPr>
          <w:color w:val="231F20"/>
          <w:w w:val="105"/>
        </w:rPr>
        <w:t>de</w:t>
      </w:r>
      <w:r>
        <w:rPr>
          <w:color w:val="231F20"/>
          <w:spacing w:val="-16"/>
          <w:w w:val="105"/>
        </w:rPr>
        <w:t> </w:t>
      </w:r>
      <w:r>
        <w:rPr>
          <w:color w:val="231F20"/>
          <w:w w:val="105"/>
        </w:rPr>
        <w:t>localización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IED</w:t>
      </w:r>
      <w:r>
        <w:rPr>
          <w:color w:val="231F20"/>
          <w:spacing w:val="-16"/>
          <w:w w:val="105"/>
        </w:rPr>
        <w:t> </w:t>
      </w:r>
      <w:r>
        <w:rPr>
          <w:color w:val="231F20"/>
          <w:w w:val="105"/>
        </w:rPr>
        <w:t>es</w:t>
      </w:r>
      <w:r>
        <w:rPr>
          <w:color w:val="231F20"/>
          <w:spacing w:val="-16"/>
          <w:w w:val="105"/>
        </w:rPr>
        <w:t> </w:t>
      </w:r>
      <w:r>
        <w:rPr>
          <w:color w:val="231F20"/>
          <w:w w:val="105"/>
        </w:rPr>
        <w:t>el</w:t>
      </w:r>
      <w:r>
        <w:rPr>
          <w:color w:val="231F20"/>
          <w:spacing w:val="-16"/>
          <w:w w:val="105"/>
        </w:rPr>
        <w:t> </w:t>
      </w:r>
      <w:r>
        <w:rPr>
          <w:color w:val="231F20"/>
          <w:w w:val="105"/>
        </w:rPr>
        <w:t>país,</w:t>
      </w:r>
      <w:r>
        <w:rPr>
          <w:color w:val="231F20"/>
          <w:spacing w:val="-21"/>
          <w:w w:val="105"/>
        </w:rPr>
        <w:t> </w:t>
      </w:r>
      <w:r>
        <w:rPr>
          <w:color w:val="231F20"/>
          <w:w w:val="105"/>
        </w:rPr>
        <w:t>a</w:t>
      </w:r>
      <w:r>
        <w:rPr>
          <w:color w:val="231F20"/>
          <w:spacing w:val="-16"/>
          <w:w w:val="105"/>
        </w:rPr>
        <w:t> </w:t>
      </w:r>
      <w:r>
        <w:rPr>
          <w:color w:val="231F20"/>
          <w:w w:val="105"/>
        </w:rPr>
        <w:t>partir</w:t>
      </w:r>
      <w:r>
        <w:rPr>
          <w:color w:val="231F20"/>
          <w:spacing w:val="-16"/>
          <w:w w:val="105"/>
        </w:rPr>
        <w:t> </w:t>
      </w:r>
      <w:r>
        <w:rPr>
          <w:color w:val="231F20"/>
          <w:w w:val="105"/>
        </w:rPr>
        <w:t>del cual</w:t>
      </w:r>
      <w:r>
        <w:rPr>
          <w:color w:val="231F20"/>
          <w:spacing w:val="-10"/>
          <w:w w:val="105"/>
        </w:rPr>
        <w:t> </w:t>
      </w:r>
      <w:r>
        <w:rPr>
          <w:color w:val="231F20"/>
          <w:w w:val="105"/>
        </w:rPr>
        <w:t>se</w:t>
      </w:r>
      <w:r>
        <w:rPr>
          <w:color w:val="231F20"/>
          <w:spacing w:val="-10"/>
          <w:w w:val="105"/>
        </w:rPr>
        <w:t> </w:t>
      </w:r>
      <w:r>
        <w:rPr>
          <w:color w:val="231F20"/>
          <w:w w:val="105"/>
        </w:rPr>
        <w:t>puede</w:t>
      </w:r>
      <w:r>
        <w:rPr>
          <w:color w:val="231F20"/>
          <w:spacing w:val="-10"/>
          <w:w w:val="105"/>
        </w:rPr>
        <w:t> </w:t>
      </w:r>
      <w:r>
        <w:rPr>
          <w:color w:val="231F20"/>
          <w:w w:val="105"/>
        </w:rPr>
        <w:t>descender</w:t>
      </w:r>
      <w:r>
        <w:rPr>
          <w:color w:val="231F20"/>
          <w:spacing w:val="-10"/>
          <w:w w:val="105"/>
        </w:rPr>
        <w:t> </w:t>
      </w:r>
      <w:r>
        <w:rPr>
          <w:color w:val="231F20"/>
          <w:w w:val="105"/>
        </w:rPr>
        <w:t>a</w:t>
      </w:r>
      <w:r>
        <w:rPr>
          <w:color w:val="231F20"/>
          <w:spacing w:val="-10"/>
          <w:w w:val="105"/>
        </w:rPr>
        <w:t> </w:t>
      </w:r>
      <w:r>
        <w:rPr>
          <w:color w:val="231F20"/>
          <w:w w:val="105"/>
        </w:rPr>
        <w:t>nivel</w:t>
      </w:r>
      <w:r>
        <w:rPr>
          <w:color w:val="231F20"/>
          <w:spacing w:val="-10"/>
          <w:w w:val="105"/>
        </w:rPr>
        <w:t> </w:t>
      </w:r>
      <w:r>
        <w:rPr>
          <w:color w:val="231F20"/>
          <w:w w:val="105"/>
        </w:rPr>
        <w:t>regional.</w:t>
      </w:r>
      <w:r>
        <w:rPr>
          <w:color w:val="231F20"/>
          <w:spacing w:val="-20"/>
          <w:w w:val="105"/>
        </w:rPr>
        <w:t> </w:t>
      </w:r>
      <w:r>
        <w:rPr>
          <w:color w:val="231F20"/>
          <w:w w:val="105"/>
        </w:rPr>
        <w:t>Así,</w:t>
      </w:r>
      <w:r>
        <w:rPr>
          <w:color w:val="231F20"/>
          <w:spacing w:val="-17"/>
          <w:w w:val="105"/>
        </w:rPr>
        <w:t> </w:t>
      </w:r>
      <w:r>
        <w:rPr>
          <w:color w:val="231F20"/>
          <w:w w:val="105"/>
        </w:rPr>
        <w:t>puede</w:t>
      </w:r>
      <w:r>
        <w:rPr>
          <w:color w:val="231F20"/>
          <w:spacing w:val="-10"/>
          <w:w w:val="105"/>
        </w:rPr>
        <w:t> </w:t>
      </w:r>
      <w:r>
        <w:rPr>
          <w:color w:val="231F20"/>
          <w:w w:val="105"/>
        </w:rPr>
        <w:t>ocurrir</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pro- duzcan</w:t>
      </w:r>
      <w:r>
        <w:rPr>
          <w:color w:val="231F20"/>
          <w:spacing w:val="-11"/>
          <w:w w:val="105"/>
        </w:rPr>
        <w:t> </w:t>
      </w:r>
      <w:r>
        <w:rPr>
          <w:color w:val="231F20"/>
          <w:w w:val="105"/>
        </w:rPr>
        <w:t>mayores</w:t>
      </w:r>
      <w:r>
        <w:rPr>
          <w:color w:val="231F20"/>
          <w:spacing w:val="-11"/>
          <w:w w:val="105"/>
        </w:rPr>
        <w:t> </w:t>
      </w:r>
      <w:r>
        <w:rPr>
          <w:color w:val="231F20"/>
          <w:w w:val="105"/>
        </w:rPr>
        <w:t>diferencias</w:t>
      </w:r>
      <w:r>
        <w:rPr>
          <w:color w:val="231F20"/>
          <w:spacing w:val="-11"/>
          <w:w w:val="105"/>
        </w:rPr>
        <w:t> </w:t>
      </w:r>
      <w:r>
        <w:rPr>
          <w:color w:val="231F20"/>
          <w:w w:val="105"/>
        </w:rPr>
        <w:t>de</w:t>
      </w:r>
      <w:r>
        <w:rPr>
          <w:color w:val="231F20"/>
          <w:spacing w:val="-11"/>
          <w:w w:val="105"/>
        </w:rPr>
        <w:t> </w:t>
      </w:r>
      <w:r>
        <w:rPr>
          <w:color w:val="231F20"/>
          <w:w w:val="105"/>
        </w:rPr>
        <w:t>política</w:t>
      </w:r>
      <w:r>
        <w:rPr>
          <w:color w:val="231F20"/>
          <w:spacing w:val="-11"/>
          <w:w w:val="105"/>
        </w:rPr>
        <w:t> </w:t>
      </w:r>
      <w:r>
        <w:rPr>
          <w:color w:val="231F20"/>
          <w:w w:val="105"/>
        </w:rPr>
        <w:t>económica</w:t>
      </w:r>
      <w:r>
        <w:rPr>
          <w:color w:val="231F20"/>
          <w:spacing w:val="-11"/>
          <w:w w:val="105"/>
        </w:rPr>
        <w:t> </w:t>
      </w:r>
      <w:r>
        <w:rPr>
          <w:color w:val="231F20"/>
          <w:w w:val="105"/>
        </w:rPr>
        <w:t>entre</w:t>
      </w:r>
      <w:r>
        <w:rPr>
          <w:color w:val="231F20"/>
          <w:spacing w:val="-11"/>
          <w:w w:val="105"/>
        </w:rPr>
        <w:t> </w:t>
      </w:r>
      <w:r>
        <w:rPr>
          <w:color w:val="231F20"/>
          <w:w w:val="105"/>
        </w:rPr>
        <w:t>distintas</w:t>
      </w:r>
      <w:r>
        <w:rPr>
          <w:color w:val="231F20"/>
          <w:spacing w:val="-11"/>
          <w:w w:val="105"/>
        </w:rPr>
        <w:t> </w:t>
      </w:r>
      <w:r>
        <w:rPr>
          <w:color w:val="231F20"/>
          <w:w w:val="105"/>
        </w:rPr>
        <w:t>regio- nes</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mismo</w:t>
      </w:r>
      <w:r>
        <w:rPr>
          <w:color w:val="231F20"/>
          <w:spacing w:val="-23"/>
          <w:w w:val="105"/>
        </w:rPr>
        <w:t> </w:t>
      </w:r>
      <w:r>
        <w:rPr>
          <w:color w:val="231F20"/>
          <w:w w:val="105"/>
        </w:rPr>
        <w:t>país</w:t>
      </w:r>
      <w:r>
        <w:rPr>
          <w:color w:val="231F20"/>
          <w:spacing w:val="-23"/>
          <w:w w:val="105"/>
        </w:rPr>
        <w:t> </w:t>
      </w:r>
      <w:r>
        <w:rPr>
          <w:color w:val="231F20"/>
          <w:w w:val="105"/>
        </w:rPr>
        <w:t>que</w:t>
      </w:r>
      <w:r>
        <w:rPr>
          <w:color w:val="231F20"/>
          <w:spacing w:val="-23"/>
          <w:w w:val="105"/>
        </w:rPr>
        <w:t> </w:t>
      </w:r>
      <w:r>
        <w:rPr>
          <w:color w:val="231F20"/>
          <w:w w:val="105"/>
        </w:rPr>
        <w:t>entre</w:t>
      </w:r>
      <w:r>
        <w:rPr>
          <w:color w:val="231F20"/>
          <w:spacing w:val="-23"/>
          <w:w w:val="105"/>
        </w:rPr>
        <w:t> </w:t>
      </w:r>
      <w:r>
        <w:rPr>
          <w:color w:val="231F20"/>
          <w:w w:val="105"/>
        </w:rPr>
        <w:t>países</w:t>
      </w:r>
      <w:r>
        <w:rPr>
          <w:color w:val="231F20"/>
          <w:spacing w:val="-23"/>
          <w:w w:val="105"/>
        </w:rPr>
        <w:t> </w:t>
      </w:r>
      <w:r>
        <w:rPr>
          <w:color w:val="231F20"/>
          <w:w w:val="105"/>
        </w:rPr>
        <w:t>diferentes</w:t>
      </w:r>
      <w:r>
        <w:rPr>
          <w:color w:val="231F20"/>
          <w:spacing w:val="-23"/>
          <w:w w:val="105"/>
        </w:rPr>
        <w:t> </w:t>
      </w:r>
      <w:r>
        <w:rPr>
          <w:color w:val="231F20"/>
          <w:w w:val="105"/>
        </w:rPr>
        <w:t>(Krugman,</w:t>
      </w:r>
      <w:r>
        <w:rPr>
          <w:color w:val="231F20"/>
          <w:spacing w:val="-29"/>
          <w:w w:val="105"/>
        </w:rPr>
        <w:t> </w:t>
      </w:r>
      <w:r>
        <w:rPr>
          <w:color w:val="231F20"/>
          <w:w w:val="105"/>
        </w:rPr>
        <w:t>1992).</w:t>
      </w:r>
    </w:p>
    <w:p>
      <w:pPr>
        <w:spacing w:before="162"/>
        <w:ind w:left="103" w:right="0" w:firstLine="0"/>
        <w:jc w:val="both"/>
        <w:rPr>
          <w:i/>
          <w:sz w:val="21"/>
        </w:rPr>
      </w:pPr>
      <w:r>
        <w:rPr>
          <w:i/>
          <w:color w:val="231F20"/>
          <w:w w:val="105"/>
          <w:sz w:val="21"/>
        </w:rPr>
        <w:t>Factores para la competitividad</w:t>
      </w:r>
    </w:p>
    <w:p>
      <w:pPr>
        <w:pStyle w:val="BodyText"/>
        <w:spacing w:before="4"/>
        <w:rPr>
          <w:i/>
          <w:sz w:val="16"/>
        </w:rPr>
      </w:pPr>
    </w:p>
    <w:p>
      <w:pPr>
        <w:pStyle w:val="BodyText"/>
        <w:spacing w:line="259" w:lineRule="auto"/>
        <w:ind w:left="103" w:right="115"/>
        <w:jc w:val="both"/>
      </w:pPr>
      <w:r>
        <w:rPr>
          <w:color w:val="231F20"/>
          <w:w w:val="105"/>
        </w:rPr>
        <w:t>El nivel de competitividad puede variar de acuerdo a los factores com- prendidos en su medición. De aquí la importancia de conocer lo que al respecto consideran algunos organismos internacionales y nacionales.</w:t>
      </w:r>
    </w:p>
    <w:p>
      <w:pPr>
        <w:pStyle w:val="BodyText"/>
        <w:spacing w:line="259" w:lineRule="auto"/>
        <w:ind w:left="103" w:right="114" w:firstLine="567"/>
        <w:jc w:val="both"/>
      </w:pPr>
      <w:r>
        <w:rPr>
          <w:color w:val="231F20"/>
          <w:w w:val="105"/>
        </w:rPr>
        <w:t>El Banco Mundial, reconociendo que el concepto de competitivi- dad es amplio y que involucra un número elevado de factores</w:t>
      </w:r>
      <w:r>
        <w:rPr>
          <w:color w:val="231F20"/>
          <w:spacing w:val="-20"/>
          <w:w w:val="105"/>
        </w:rPr>
        <w:t> </w:t>
      </w:r>
      <w:r>
        <w:rPr>
          <w:color w:val="231F20"/>
          <w:w w:val="105"/>
        </w:rPr>
        <w:t>cuantita- tivos</w:t>
      </w:r>
      <w:r>
        <w:rPr>
          <w:color w:val="231F20"/>
          <w:spacing w:val="-7"/>
          <w:w w:val="105"/>
        </w:rPr>
        <w:t> </w:t>
      </w:r>
      <w:r>
        <w:rPr>
          <w:color w:val="231F20"/>
          <w:w w:val="105"/>
        </w:rPr>
        <w:t>y</w:t>
      </w:r>
      <w:r>
        <w:rPr>
          <w:color w:val="231F20"/>
          <w:spacing w:val="-7"/>
          <w:w w:val="105"/>
        </w:rPr>
        <w:t> </w:t>
      </w:r>
      <w:r>
        <w:rPr>
          <w:color w:val="231F20"/>
          <w:w w:val="105"/>
        </w:rPr>
        <w:t>cualitativos,</w:t>
      </w:r>
      <w:r>
        <w:rPr>
          <w:color w:val="231F20"/>
          <w:spacing w:val="-12"/>
          <w:w w:val="105"/>
        </w:rPr>
        <w:t> </w:t>
      </w:r>
      <w:r>
        <w:rPr>
          <w:color w:val="231F20"/>
          <w:w w:val="105"/>
        </w:rPr>
        <w:t>ha</w:t>
      </w:r>
      <w:r>
        <w:rPr>
          <w:color w:val="231F20"/>
          <w:spacing w:val="-7"/>
          <w:w w:val="105"/>
        </w:rPr>
        <w:t> </w:t>
      </w:r>
      <w:r>
        <w:rPr>
          <w:color w:val="231F20"/>
          <w:w w:val="105"/>
        </w:rPr>
        <w:t>creado</w:t>
      </w:r>
      <w:r>
        <w:rPr>
          <w:color w:val="231F20"/>
          <w:spacing w:val="-7"/>
          <w:w w:val="105"/>
        </w:rPr>
        <w:t> </w:t>
      </w:r>
      <w:r>
        <w:rPr>
          <w:color w:val="231F20"/>
          <w:w w:val="105"/>
        </w:rPr>
        <w:t>una</w:t>
      </w:r>
      <w:r>
        <w:rPr>
          <w:color w:val="231F20"/>
          <w:spacing w:val="-7"/>
          <w:w w:val="105"/>
        </w:rPr>
        <w:t> </w:t>
      </w:r>
      <w:r>
        <w:rPr>
          <w:color w:val="231F20"/>
          <w:w w:val="105"/>
        </w:rPr>
        <w:t>base</w:t>
      </w:r>
      <w:r>
        <w:rPr>
          <w:color w:val="231F20"/>
          <w:spacing w:val="-7"/>
          <w:w w:val="105"/>
        </w:rPr>
        <w:t> </w:t>
      </w:r>
      <w:r>
        <w:rPr>
          <w:color w:val="231F20"/>
          <w:w w:val="105"/>
        </w:rPr>
        <w:t>de</w:t>
      </w:r>
      <w:r>
        <w:rPr>
          <w:color w:val="231F20"/>
          <w:spacing w:val="-7"/>
          <w:w w:val="105"/>
        </w:rPr>
        <w:t> </w:t>
      </w:r>
      <w:r>
        <w:rPr>
          <w:color w:val="231F20"/>
          <w:w w:val="105"/>
        </w:rPr>
        <w:t>datos</w:t>
      </w:r>
      <w:r>
        <w:rPr>
          <w:color w:val="231F20"/>
          <w:spacing w:val="-7"/>
          <w:w w:val="105"/>
        </w:rPr>
        <w:t> </w:t>
      </w:r>
      <w:r>
        <w:rPr>
          <w:color w:val="231F20"/>
          <w:w w:val="105"/>
        </w:rPr>
        <w:t>de</w:t>
      </w:r>
      <w:r>
        <w:rPr>
          <w:color w:val="231F20"/>
          <w:spacing w:val="-7"/>
          <w:w w:val="105"/>
        </w:rPr>
        <w:t> </w:t>
      </w:r>
      <w:r>
        <w:rPr>
          <w:color w:val="231F20"/>
          <w:w w:val="105"/>
        </w:rPr>
        <w:t>49</w:t>
      </w:r>
      <w:r>
        <w:rPr>
          <w:color w:val="231F20"/>
          <w:spacing w:val="-7"/>
          <w:w w:val="105"/>
        </w:rPr>
        <w:t> </w:t>
      </w:r>
      <w:r>
        <w:rPr>
          <w:color w:val="231F20"/>
          <w:w w:val="105"/>
        </w:rPr>
        <w:t>indicadores</w:t>
      </w:r>
      <w:r>
        <w:rPr>
          <w:color w:val="231F20"/>
          <w:spacing w:val="-7"/>
          <w:w w:val="105"/>
        </w:rPr>
        <w:t> </w:t>
      </w:r>
      <w:r>
        <w:rPr>
          <w:color w:val="231F20"/>
          <w:w w:val="105"/>
        </w:rPr>
        <w:t>que reflejan</w:t>
      </w:r>
      <w:r>
        <w:rPr>
          <w:color w:val="231F20"/>
          <w:spacing w:val="-17"/>
          <w:w w:val="105"/>
        </w:rPr>
        <w:t> </w:t>
      </w:r>
      <w:r>
        <w:rPr>
          <w:color w:val="231F20"/>
          <w:w w:val="105"/>
        </w:rPr>
        <w:t>el</w:t>
      </w:r>
      <w:r>
        <w:rPr>
          <w:color w:val="231F20"/>
          <w:spacing w:val="-17"/>
          <w:w w:val="105"/>
        </w:rPr>
        <w:t> </w:t>
      </w:r>
      <w:r>
        <w:rPr>
          <w:color w:val="231F20"/>
          <w:w w:val="105"/>
        </w:rPr>
        <w:t>desempeño</w:t>
      </w:r>
      <w:r>
        <w:rPr>
          <w:color w:val="231F20"/>
          <w:spacing w:val="-17"/>
          <w:w w:val="105"/>
        </w:rPr>
        <w:t> </w:t>
      </w:r>
      <w:r>
        <w:rPr>
          <w:color w:val="231F20"/>
          <w:w w:val="105"/>
        </w:rPr>
        <w:t>económico</w:t>
      </w:r>
      <w:r>
        <w:rPr>
          <w:color w:val="231F20"/>
          <w:spacing w:val="-17"/>
          <w:w w:val="105"/>
        </w:rPr>
        <w:t> </w:t>
      </w:r>
      <w:r>
        <w:rPr>
          <w:color w:val="231F20"/>
          <w:w w:val="105"/>
        </w:rPr>
        <w:t>y</w:t>
      </w:r>
      <w:r>
        <w:rPr>
          <w:color w:val="231F20"/>
          <w:spacing w:val="-17"/>
          <w:w w:val="105"/>
        </w:rPr>
        <w:t> </w:t>
      </w:r>
      <w:r>
        <w:rPr>
          <w:color w:val="231F20"/>
          <w:w w:val="105"/>
        </w:rPr>
        <w:t>el</w:t>
      </w:r>
      <w:r>
        <w:rPr>
          <w:color w:val="231F20"/>
          <w:spacing w:val="-17"/>
          <w:w w:val="105"/>
        </w:rPr>
        <w:t> </w:t>
      </w:r>
      <w:r>
        <w:rPr>
          <w:color w:val="231F20"/>
          <w:w w:val="105"/>
        </w:rPr>
        <w:t>entorno</w:t>
      </w:r>
      <w:r>
        <w:rPr>
          <w:color w:val="231F20"/>
          <w:spacing w:val="-17"/>
          <w:w w:val="105"/>
        </w:rPr>
        <w:t> </w:t>
      </w:r>
      <w:r>
        <w:rPr>
          <w:color w:val="231F20"/>
          <w:w w:val="105"/>
        </w:rPr>
        <w:t>para</w:t>
      </w:r>
      <w:r>
        <w:rPr>
          <w:color w:val="231F20"/>
          <w:spacing w:val="-17"/>
          <w:w w:val="105"/>
        </w:rPr>
        <w:t> </w:t>
      </w:r>
      <w:r>
        <w:rPr>
          <w:color w:val="231F20"/>
          <w:w w:val="105"/>
        </w:rPr>
        <w:t>el</w:t>
      </w:r>
      <w:r>
        <w:rPr>
          <w:color w:val="231F20"/>
          <w:spacing w:val="-17"/>
          <w:w w:val="105"/>
        </w:rPr>
        <w:t> </w:t>
      </w:r>
      <w:r>
        <w:rPr>
          <w:color w:val="231F20"/>
          <w:w w:val="105"/>
        </w:rPr>
        <w:t>desarrollo</w:t>
      </w:r>
      <w:r>
        <w:rPr>
          <w:color w:val="231F20"/>
          <w:spacing w:val="-17"/>
          <w:w w:val="105"/>
        </w:rPr>
        <w:t> </w:t>
      </w:r>
      <w:r>
        <w:rPr>
          <w:color w:val="231F20"/>
          <w:w w:val="105"/>
        </w:rPr>
        <w:t>compe- titivo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empresas.</w:t>
      </w:r>
      <w:r>
        <w:rPr>
          <w:color w:val="231F20"/>
          <w:spacing w:val="-12"/>
          <w:w w:val="105"/>
        </w:rPr>
        <w:t> </w:t>
      </w:r>
      <w:r>
        <w:rPr>
          <w:color w:val="231F20"/>
          <w:w w:val="105"/>
        </w:rPr>
        <w:t>El</w:t>
      </w:r>
      <w:r>
        <w:rPr>
          <w:color w:val="231F20"/>
          <w:spacing w:val="-6"/>
          <w:w w:val="105"/>
        </w:rPr>
        <w:t> </w:t>
      </w:r>
      <w:r>
        <w:rPr>
          <w:color w:val="231F20"/>
          <w:w w:val="105"/>
        </w:rPr>
        <w:t>concepto</w:t>
      </w:r>
      <w:r>
        <w:rPr>
          <w:color w:val="231F20"/>
          <w:spacing w:val="-6"/>
          <w:w w:val="105"/>
        </w:rPr>
        <w:t> </w:t>
      </w:r>
      <w:r>
        <w:rPr>
          <w:color w:val="231F20"/>
          <w:w w:val="105"/>
        </w:rPr>
        <w:t>adoptado</w:t>
      </w:r>
      <w:r>
        <w:rPr>
          <w:color w:val="231F20"/>
          <w:spacing w:val="-6"/>
          <w:w w:val="105"/>
        </w:rPr>
        <w:t> </w:t>
      </w:r>
      <w:r>
        <w:rPr>
          <w:color w:val="231F20"/>
          <w:w w:val="105"/>
        </w:rPr>
        <w:t>se</w:t>
      </w:r>
      <w:r>
        <w:rPr>
          <w:color w:val="231F20"/>
          <w:spacing w:val="-6"/>
          <w:w w:val="105"/>
        </w:rPr>
        <w:t> </w:t>
      </w:r>
      <w:r>
        <w:rPr>
          <w:color w:val="231F20"/>
          <w:w w:val="105"/>
        </w:rPr>
        <w:t>identifica</w:t>
      </w:r>
      <w:r>
        <w:rPr>
          <w:color w:val="231F20"/>
          <w:spacing w:val="-6"/>
          <w:w w:val="105"/>
        </w:rPr>
        <w:t> </w:t>
      </w:r>
      <w:r>
        <w:rPr>
          <w:color w:val="231F20"/>
          <w:w w:val="105"/>
        </w:rPr>
        <w:t>con</w:t>
      </w:r>
      <w:r>
        <w:rPr>
          <w:color w:val="231F20"/>
          <w:spacing w:val="-6"/>
          <w:w w:val="105"/>
        </w:rPr>
        <w:t> </w:t>
      </w:r>
      <w:r>
        <w:rPr>
          <w:color w:val="231F20"/>
          <w:w w:val="105"/>
        </w:rPr>
        <w:t>aspectos de productividad y la magnitud del cambio en el valor agregado alcan- zado</w:t>
      </w:r>
      <w:r>
        <w:rPr>
          <w:color w:val="231F20"/>
          <w:spacing w:val="-22"/>
          <w:w w:val="105"/>
        </w:rPr>
        <w:t> </w:t>
      </w:r>
      <w:r>
        <w:rPr>
          <w:color w:val="231F20"/>
          <w:w w:val="105"/>
        </w:rPr>
        <w:t>por</w:t>
      </w:r>
      <w:r>
        <w:rPr>
          <w:color w:val="231F20"/>
          <w:spacing w:val="-22"/>
          <w:w w:val="105"/>
        </w:rPr>
        <w:t> </w:t>
      </w:r>
      <w:r>
        <w:rPr>
          <w:color w:val="231F20"/>
          <w:w w:val="105"/>
        </w:rPr>
        <w:t>las</w:t>
      </w:r>
      <w:r>
        <w:rPr>
          <w:color w:val="231F20"/>
          <w:spacing w:val="-22"/>
          <w:w w:val="105"/>
        </w:rPr>
        <w:t> </w:t>
      </w:r>
      <w:r>
        <w:rPr>
          <w:color w:val="231F20"/>
          <w:w w:val="105"/>
        </w:rPr>
        <w:t>empresas</w:t>
      </w:r>
      <w:r>
        <w:rPr>
          <w:color w:val="231F20"/>
          <w:spacing w:val="-22"/>
          <w:w w:val="105"/>
        </w:rPr>
        <w:t> </w:t>
      </w:r>
      <w:r>
        <w:rPr>
          <w:color w:val="231F20"/>
          <w:w w:val="105"/>
        </w:rPr>
        <w:t>del</w:t>
      </w:r>
      <w:r>
        <w:rPr>
          <w:color w:val="231F20"/>
          <w:spacing w:val="-22"/>
          <w:w w:val="105"/>
        </w:rPr>
        <w:t> </w:t>
      </w:r>
      <w:r>
        <w:rPr>
          <w:color w:val="231F20"/>
          <w:w w:val="105"/>
        </w:rPr>
        <w:t>país</w:t>
      </w:r>
      <w:r>
        <w:rPr>
          <w:color w:val="231F20"/>
          <w:spacing w:val="-22"/>
          <w:w w:val="105"/>
        </w:rPr>
        <w:t> </w:t>
      </w:r>
      <w:r>
        <w:rPr>
          <w:color w:val="231F20"/>
          <w:w w:val="105"/>
        </w:rPr>
        <w:t>en</w:t>
      </w:r>
      <w:r>
        <w:rPr>
          <w:color w:val="231F20"/>
          <w:spacing w:val="-22"/>
          <w:w w:val="105"/>
        </w:rPr>
        <w:t> </w:t>
      </w:r>
      <w:r>
        <w:rPr>
          <w:color w:val="231F20"/>
          <w:w w:val="105"/>
        </w:rPr>
        <w:t>cuestión.</w:t>
      </w:r>
    </w:p>
    <w:p>
      <w:pPr>
        <w:spacing w:line="259" w:lineRule="auto" w:before="0"/>
        <w:ind w:left="103" w:right="114" w:firstLine="567"/>
        <w:jc w:val="both"/>
        <w:rPr>
          <w:i/>
          <w:sz w:val="21"/>
        </w:rPr>
      </w:pPr>
      <w:r>
        <w:rPr>
          <w:color w:val="231F20"/>
          <w:w w:val="105"/>
          <w:sz w:val="21"/>
        </w:rPr>
        <w:t>El </w:t>
      </w:r>
      <w:r>
        <w:rPr>
          <w:color w:val="231F20"/>
          <w:spacing w:val="-4"/>
          <w:w w:val="105"/>
          <w:sz w:val="21"/>
        </w:rPr>
        <w:t>Foro </w:t>
      </w:r>
      <w:r>
        <w:rPr>
          <w:color w:val="231F20"/>
          <w:w w:val="105"/>
          <w:sz w:val="21"/>
        </w:rPr>
        <w:t>Económico Mundial (</w:t>
      </w:r>
      <w:r>
        <w:rPr>
          <w:i/>
          <w:color w:val="231F20"/>
          <w:w w:val="105"/>
          <w:sz w:val="21"/>
        </w:rPr>
        <w:t>World Economic Forum, </w:t>
      </w:r>
      <w:r>
        <w:rPr>
          <w:color w:val="231F20"/>
          <w:spacing w:val="-6"/>
          <w:w w:val="105"/>
          <w:sz w:val="21"/>
        </w:rPr>
        <w:t>WEF,</w:t>
      </w:r>
      <w:r>
        <w:rPr>
          <w:color w:val="231F20"/>
          <w:spacing w:val="-41"/>
          <w:w w:val="105"/>
          <w:sz w:val="21"/>
        </w:rPr>
        <w:t> </w:t>
      </w:r>
      <w:r>
        <w:rPr>
          <w:color w:val="231F20"/>
          <w:w w:val="105"/>
          <w:sz w:val="21"/>
        </w:rPr>
        <w:t>2014) publica anualmente el Reporte Global de Competitividad (</w:t>
      </w:r>
      <w:r>
        <w:rPr>
          <w:i/>
          <w:color w:val="231F20"/>
          <w:w w:val="105"/>
          <w:sz w:val="21"/>
        </w:rPr>
        <w:t>Global</w:t>
      </w:r>
      <w:r>
        <w:rPr>
          <w:i/>
          <w:color w:val="231F20"/>
          <w:spacing w:val="20"/>
          <w:w w:val="105"/>
          <w:sz w:val="21"/>
        </w:rPr>
        <w:t> </w:t>
      </w:r>
      <w:r>
        <w:rPr>
          <w:i/>
          <w:color w:val="231F20"/>
          <w:w w:val="105"/>
          <w:sz w:val="21"/>
        </w:rPr>
        <w:t>Com-</w:t>
      </w:r>
    </w:p>
    <w:p>
      <w:pPr>
        <w:pStyle w:val="BodyText"/>
        <w:rPr>
          <w:i/>
          <w:sz w:val="20"/>
        </w:rPr>
      </w:pPr>
    </w:p>
    <w:p>
      <w:pPr>
        <w:pStyle w:val="BodyText"/>
        <w:rPr>
          <w:i/>
          <w:sz w:val="20"/>
        </w:rPr>
      </w:pPr>
    </w:p>
    <w:p>
      <w:pPr>
        <w:pStyle w:val="BodyText"/>
        <w:spacing w:before="10"/>
        <w:rPr>
          <w:i/>
          <w:sz w:val="18"/>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797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278</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7952"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279</w:t>
      </w:r>
    </w:p>
    <w:p>
      <w:pPr>
        <w:pStyle w:val="BodyText"/>
        <w:rPr>
          <w:sz w:val="20"/>
        </w:rPr>
      </w:pPr>
    </w:p>
    <w:p>
      <w:pPr>
        <w:pStyle w:val="BodyText"/>
        <w:rPr>
          <w:sz w:val="20"/>
        </w:rPr>
      </w:pPr>
    </w:p>
    <w:p>
      <w:pPr>
        <w:pStyle w:val="BodyText"/>
        <w:spacing w:line="259" w:lineRule="auto" w:before="176"/>
        <w:ind w:left="117" w:right="121"/>
        <w:jc w:val="both"/>
      </w:pPr>
      <w:r>
        <w:rPr>
          <w:i/>
          <w:color w:val="231F20"/>
          <w:w w:val="105"/>
        </w:rPr>
        <w:t>petitiveness</w:t>
      </w:r>
      <w:r>
        <w:rPr>
          <w:i/>
          <w:color w:val="231F20"/>
          <w:spacing w:val="-20"/>
          <w:w w:val="105"/>
        </w:rPr>
        <w:t> </w:t>
      </w:r>
      <w:r>
        <w:rPr>
          <w:i/>
          <w:color w:val="231F20"/>
          <w:w w:val="105"/>
        </w:rPr>
        <w:t>Report</w:t>
      </w:r>
      <w:r>
        <w:rPr>
          <w:color w:val="231F20"/>
          <w:w w:val="105"/>
        </w:rPr>
        <w:t>),</w:t>
      </w:r>
      <w:r>
        <w:rPr>
          <w:color w:val="231F20"/>
          <w:spacing w:val="-25"/>
          <w:w w:val="105"/>
        </w:rPr>
        <w:t> </w:t>
      </w:r>
      <w:r>
        <w:rPr>
          <w:color w:val="231F20"/>
          <w:w w:val="105"/>
        </w:rPr>
        <w:t>el</w:t>
      </w:r>
      <w:r>
        <w:rPr>
          <w:color w:val="231F20"/>
          <w:spacing w:val="-20"/>
          <w:w w:val="105"/>
        </w:rPr>
        <w:t> </w:t>
      </w:r>
      <w:r>
        <w:rPr>
          <w:color w:val="231F20"/>
          <w:w w:val="105"/>
        </w:rPr>
        <w:t>cual</w:t>
      </w:r>
      <w:r>
        <w:rPr>
          <w:color w:val="231F20"/>
          <w:spacing w:val="-20"/>
          <w:w w:val="105"/>
        </w:rPr>
        <w:t> </w:t>
      </w:r>
      <w:r>
        <w:rPr>
          <w:color w:val="231F20"/>
          <w:w w:val="105"/>
        </w:rPr>
        <w:t>contiene</w:t>
      </w:r>
      <w:r>
        <w:rPr>
          <w:color w:val="231F20"/>
          <w:spacing w:val="-20"/>
          <w:w w:val="105"/>
        </w:rPr>
        <w:t> </w:t>
      </w:r>
      <w:r>
        <w:rPr>
          <w:color w:val="231F20"/>
          <w:w w:val="105"/>
        </w:rPr>
        <w:t>doce</w:t>
      </w:r>
      <w:r>
        <w:rPr>
          <w:color w:val="231F20"/>
          <w:spacing w:val="-20"/>
          <w:w w:val="105"/>
        </w:rPr>
        <w:t> </w:t>
      </w:r>
      <w:r>
        <w:rPr>
          <w:color w:val="231F20"/>
          <w:w w:val="105"/>
        </w:rPr>
        <w:t>factores</w:t>
      </w:r>
      <w:r>
        <w:rPr>
          <w:color w:val="231F20"/>
          <w:spacing w:val="-20"/>
          <w:w w:val="105"/>
        </w:rPr>
        <w:t> </w:t>
      </w:r>
      <w:r>
        <w:rPr>
          <w:color w:val="231F20"/>
          <w:w w:val="105"/>
        </w:rPr>
        <w:t>que</w:t>
      </w:r>
      <w:r>
        <w:rPr>
          <w:color w:val="231F20"/>
          <w:spacing w:val="-20"/>
          <w:w w:val="105"/>
        </w:rPr>
        <w:t> </w:t>
      </w:r>
      <w:r>
        <w:rPr>
          <w:color w:val="231F20"/>
          <w:w w:val="105"/>
        </w:rPr>
        <w:t>agrupan</w:t>
      </w:r>
      <w:r>
        <w:rPr>
          <w:color w:val="231F20"/>
          <w:spacing w:val="-20"/>
          <w:w w:val="105"/>
        </w:rPr>
        <w:t> </w:t>
      </w:r>
      <w:r>
        <w:rPr>
          <w:color w:val="231F20"/>
          <w:w w:val="105"/>
        </w:rPr>
        <w:t>100</w:t>
      </w:r>
      <w:r>
        <w:rPr>
          <w:color w:val="231F20"/>
          <w:spacing w:val="-20"/>
          <w:w w:val="105"/>
        </w:rPr>
        <w:t> </w:t>
      </w:r>
      <w:r>
        <w:rPr>
          <w:color w:val="231F20"/>
          <w:w w:val="105"/>
        </w:rPr>
        <w:t>pa- rámetros</w:t>
      </w:r>
      <w:r>
        <w:rPr>
          <w:color w:val="231F20"/>
          <w:spacing w:val="-18"/>
          <w:w w:val="105"/>
        </w:rPr>
        <w:t> </w:t>
      </w:r>
      <w:r>
        <w:rPr>
          <w:color w:val="231F20"/>
          <w:w w:val="105"/>
        </w:rPr>
        <w:t>o</w:t>
      </w:r>
      <w:r>
        <w:rPr>
          <w:color w:val="231F20"/>
          <w:spacing w:val="-18"/>
          <w:w w:val="105"/>
        </w:rPr>
        <w:t> </w:t>
      </w:r>
      <w:r>
        <w:rPr>
          <w:color w:val="231F20"/>
          <w:w w:val="105"/>
        </w:rPr>
        <w:t>indicadores</w:t>
      </w:r>
      <w:r>
        <w:rPr>
          <w:color w:val="231F20"/>
          <w:spacing w:val="-18"/>
          <w:w w:val="105"/>
        </w:rPr>
        <w:t> </w:t>
      </w:r>
      <w:r>
        <w:rPr>
          <w:color w:val="231F20"/>
          <w:w w:val="105"/>
        </w:rPr>
        <w:t>que</w:t>
      </w:r>
      <w:r>
        <w:rPr>
          <w:color w:val="231F20"/>
          <w:spacing w:val="-18"/>
          <w:w w:val="105"/>
        </w:rPr>
        <w:t> </w:t>
      </w:r>
      <w:r>
        <w:rPr>
          <w:color w:val="231F20"/>
          <w:w w:val="105"/>
        </w:rPr>
        <w:t>definen</w:t>
      </w:r>
      <w:r>
        <w:rPr>
          <w:color w:val="231F20"/>
          <w:spacing w:val="-18"/>
          <w:w w:val="105"/>
        </w:rPr>
        <w:t> </w:t>
      </w:r>
      <w:r>
        <w:rPr>
          <w:color w:val="231F20"/>
          <w:w w:val="105"/>
        </w:rPr>
        <w:t>la</w:t>
      </w:r>
      <w:r>
        <w:rPr>
          <w:color w:val="231F20"/>
          <w:spacing w:val="-18"/>
          <w:w w:val="105"/>
        </w:rPr>
        <w:t> </w:t>
      </w:r>
      <w:r>
        <w:rPr>
          <w:color w:val="231F20"/>
          <w:w w:val="105"/>
        </w:rPr>
        <w:t>competitividad</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país,</w:t>
      </w:r>
      <w:r>
        <w:rPr>
          <w:color w:val="231F20"/>
          <w:spacing w:val="-25"/>
          <w:w w:val="105"/>
        </w:rPr>
        <w:t> </w:t>
      </w:r>
      <w:r>
        <w:rPr>
          <w:color w:val="231F20"/>
          <w:w w:val="105"/>
        </w:rPr>
        <w:t>midien- do la capacidad de una nación para lograr un crecimiento económico sostenido</w:t>
      </w:r>
      <w:r>
        <w:rPr>
          <w:color w:val="231F20"/>
          <w:spacing w:val="-9"/>
          <w:w w:val="105"/>
        </w:rPr>
        <w:t> </w:t>
      </w:r>
      <w:r>
        <w:rPr>
          <w:color w:val="231F20"/>
          <w:w w:val="105"/>
        </w:rPr>
        <w:t>y</w:t>
      </w:r>
      <w:r>
        <w:rPr>
          <w:color w:val="231F20"/>
          <w:spacing w:val="-9"/>
          <w:w w:val="105"/>
        </w:rPr>
        <w:t> </w:t>
      </w:r>
      <w:r>
        <w:rPr>
          <w:color w:val="231F20"/>
          <w:w w:val="105"/>
        </w:rPr>
        <w:t>evaluar</w:t>
      </w:r>
      <w:r>
        <w:rPr>
          <w:color w:val="231F20"/>
          <w:spacing w:val="-9"/>
          <w:w w:val="105"/>
        </w:rPr>
        <w:t> </w:t>
      </w:r>
      <w:r>
        <w:rPr>
          <w:color w:val="231F20"/>
          <w:w w:val="105"/>
        </w:rPr>
        <w:t>los</w:t>
      </w:r>
      <w:r>
        <w:rPr>
          <w:color w:val="231F20"/>
          <w:spacing w:val="-9"/>
          <w:w w:val="105"/>
        </w:rPr>
        <w:t> </w:t>
      </w:r>
      <w:r>
        <w:rPr>
          <w:color w:val="231F20"/>
          <w:w w:val="105"/>
        </w:rPr>
        <w:t>fundamentos</w:t>
      </w:r>
      <w:r>
        <w:rPr>
          <w:color w:val="231F20"/>
          <w:spacing w:val="-9"/>
          <w:w w:val="105"/>
        </w:rPr>
        <w:t> </w:t>
      </w:r>
      <w:r>
        <w:rPr>
          <w:color w:val="231F20"/>
          <w:w w:val="105"/>
        </w:rPr>
        <w:t>macroeconómicos</w:t>
      </w:r>
      <w:r>
        <w:rPr>
          <w:color w:val="231F20"/>
          <w:spacing w:val="-9"/>
          <w:w w:val="105"/>
        </w:rPr>
        <w:t> </w:t>
      </w:r>
      <w:r>
        <w:rPr>
          <w:color w:val="231F20"/>
          <w:w w:val="105"/>
        </w:rPr>
        <w:t>para</w:t>
      </w:r>
      <w:r>
        <w:rPr>
          <w:color w:val="231F20"/>
          <w:spacing w:val="-9"/>
          <w:w w:val="105"/>
        </w:rPr>
        <w:t> </w:t>
      </w:r>
      <w:r>
        <w:rPr>
          <w:color w:val="231F20"/>
          <w:w w:val="105"/>
        </w:rPr>
        <w:t>incremen- tar</w:t>
      </w:r>
      <w:r>
        <w:rPr>
          <w:color w:val="231F20"/>
          <w:spacing w:val="-29"/>
          <w:w w:val="105"/>
        </w:rPr>
        <w:t> </w:t>
      </w:r>
      <w:r>
        <w:rPr>
          <w:color w:val="231F20"/>
          <w:w w:val="105"/>
        </w:rPr>
        <w:t>su</w:t>
      </w:r>
      <w:r>
        <w:rPr>
          <w:color w:val="231F20"/>
          <w:spacing w:val="-29"/>
          <w:w w:val="105"/>
        </w:rPr>
        <w:t> </w:t>
      </w:r>
      <w:r>
        <w:rPr>
          <w:color w:val="231F20"/>
          <w:w w:val="105"/>
        </w:rPr>
        <w:t>PIB</w:t>
      </w:r>
      <w:r>
        <w:rPr>
          <w:color w:val="231F20"/>
          <w:spacing w:val="-29"/>
          <w:w w:val="105"/>
        </w:rPr>
        <w:t> </w:t>
      </w:r>
      <w:r>
        <w:rPr>
          <w:i/>
          <w:color w:val="231F20"/>
          <w:w w:val="105"/>
        </w:rPr>
        <w:t>per</w:t>
      </w:r>
      <w:r>
        <w:rPr>
          <w:i/>
          <w:color w:val="231F20"/>
          <w:spacing w:val="-29"/>
          <w:w w:val="105"/>
        </w:rPr>
        <w:t> </w:t>
      </w:r>
      <w:r>
        <w:rPr>
          <w:i/>
          <w:color w:val="231F20"/>
          <w:w w:val="105"/>
        </w:rPr>
        <w:t>cápita</w:t>
      </w:r>
      <w:r>
        <w:rPr>
          <w:color w:val="231F20"/>
          <w:w w:val="105"/>
        </w:rPr>
        <w:t>.</w:t>
      </w:r>
    </w:p>
    <w:p>
      <w:pPr>
        <w:pStyle w:val="BodyText"/>
        <w:spacing w:line="259" w:lineRule="auto"/>
        <w:ind w:left="117" w:right="121" w:firstLine="567"/>
        <w:jc w:val="both"/>
      </w:pPr>
      <w:r>
        <w:rPr>
          <w:color w:val="231F20"/>
          <w:w w:val="105"/>
        </w:rPr>
        <w:t>El Instituto Internacional para el Desarrollo de la Capacidad Ad- ministrativa</w:t>
      </w:r>
      <w:r>
        <w:rPr>
          <w:color w:val="231F20"/>
          <w:spacing w:val="-36"/>
          <w:w w:val="105"/>
        </w:rPr>
        <w:t> </w:t>
      </w:r>
      <w:r>
        <w:rPr>
          <w:color w:val="231F20"/>
          <w:w w:val="105"/>
        </w:rPr>
        <w:t>(</w:t>
      </w:r>
      <w:r>
        <w:rPr>
          <w:i/>
          <w:color w:val="231F20"/>
          <w:w w:val="105"/>
        </w:rPr>
        <w:t>International</w:t>
      </w:r>
      <w:r>
        <w:rPr>
          <w:i/>
          <w:color w:val="231F20"/>
          <w:spacing w:val="-36"/>
          <w:w w:val="105"/>
        </w:rPr>
        <w:t> </w:t>
      </w:r>
      <w:r>
        <w:rPr>
          <w:i/>
          <w:color w:val="231F20"/>
          <w:w w:val="105"/>
        </w:rPr>
        <w:t>Institute</w:t>
      </w:r>
      <w:r>
        <w:rPr>
          <w:i/>
          <w:color w:val="231F20"/>
          <w:spacing w:val="-36"/>
          <w:w w:val="105"/>
        </w:rPr>
        <w:t> </w:t>
      </w:r>
      <w:r>
        <w:rPr>
          <w:i/>
          <w:color w:val="231F20"/>
          <w:w w:val="105"/>
        </w:rPr>
        <w:t>for</w:t>
      </w:r>
      <w:r>
        <w:rPr>
          <w:i/>
          <w:color w:val="231F20"/>
          <w:spacing w:val="-36"/>
          <w:w w:val="105"/>
        </w:rPr>
        <w:t> </w:t>
      </w:r>
      <w:r>
        <w:rPr>
          <w:i/>
          <w:color w:val="231F20"/>
          <w:w w:val="105"/>
        </w:rPr>
        <w:t>Management</w:t>
      </w:r>
      <w:r>
        <w:rPr>
          <w:i/>
          <w:color w:val="231F20"/>
          <w:spacing w:val="-36"/>
          <w:w w:val="105"/>
        </w:rPr>
        <w:t> </w:t>
      </w:r>
      <w:r>
        <w:rPr>
          <w:i/>
          <w:color w:val="231F20"/>
          <w:w w:val="105"/>
        </w:rPr>
        <w:t>Development,</w:t>
      </w:r>
      <w:r>
        <w:rPr>
          <w:i/>
          <w:color w:val="231F20"/>
          <w:spacing w:val="-39"/>
          <w:w w:val="105"/>
        </w:rPr>
        <w:t> </w:t>
      </w:r>
      <w:r>
        <w:rPr>
          <w:color w:val="231F20"/>
          <w:w w:val="105"/>
        </w:rPr>
        <w:t>IIDCG) presenta en el anuario competitividad mundial un enfoque multidimen- sional de la incidencia del entorno nacional e internacional en la com- petitividad de las empresas de una nación, basado en el enfoque de la competitividad</w:t>
      </w:r>
      <w:r>
        <w:rPr>
          <w:color w:val="231F20"/>
          <w:spacing w:val="-6"/>
          <w:w w:val="105"/>
        </w:rPr>
        <w:t> </w:t>
      </w:r>
      <w:r>
        <w:rPr>
          <w:color w:val="231F20"/>
          <w:w w:val="105"/>
        </w:rPr>
        <w:t>sistémica.</w:t>
      </w:r>
      <w:r>
        <w:rPr>
          <w:color w:val="231F20"/>
          <w:spacing w:val="-11"/>
          <w:w w:val="105"/>
        </w:rPr>
        <w:t> </w:t>
      </w:r>
      <w:r>
        <w:rPr>
          <w:color w:val="231F20"/>
          <w:w w:val="105"/>
        </w:rPr>
        <w:t>La</w:t>
      </w:r>
      <w:r>
        <w:rPr>
          <w:color w:val="231F20"/>
          <w:spacing w:val="-6"/>
          <w:w w:val="105"/>
        </w:rPr>
        <w:t> </w:t>
      </w:r>
      <w:r>
        <w:rPr>
          <w:color w:val="231F20"/>
          <w:w w:val="105"/>
        </w:rPr>
        <w:t>evaluación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capacidad</w:t>
      </w:r>
      <w:r>
        <w:rPr>
          <w:color w:val="231F20"/>
          <w:spacing w:val="-6"/>
          <w:w w:val="105"/>
        </w:rPr>
        <w:t> </w:t>
      </w:r>
      <w:r>
        <w:rPr>
          <w:color w:val="231F20"/>
          <w:w w:val="105"/>
        </w:rPr>
        <w:t>competitiva</w:t>
      </w:r>
      <w:r>
        <w:rPr>
          <w:color w:val="231F20"/>
          <w:spacing w:val="-6"/>
          <w:w w:val="105"/>
        </w:rPr>
        <w:t> </w:t>
      </w:r>
      <w:r>
        <w:rPr>
          <w:color w:val="231F20"/>
          <w:w w:val="105"/>
        </w:rPr>
        <w:t>de un</w:t>
      </w:r>
      <w:r>
        <w:rPr>
          <w:color w:val="231F20"/>
          <w:spacing w:val="-13"/>
          <w:w w:val="105"/>
        </w:rPr>
        <w:t> </w:t>
      </w:r>
      <w:r>
        <w:rPr>
          <w:color w:val="231F20"/>
          <w:w w:val="105"/>
        </w:rPr>
        <w:t>país</w:t>
      </w:r>
      <w:r>
        <w:rPr>
          <w:color w:val="231F20"/>
          <w:spacing w:val="-13"/>
          <w:w w:val="105"/>
        </w:rPr>
        <w:t> </w:t>
      </w:r>
      <w:r>
        <w:rPr>
          <w:color w:val="231F20"/>
          <w:w w:val="105"/>
        </w:rPr>
        <w:t>se</w:t>
      </w:r>
      <w:r>
        <w:rPr>
          <w:color w:val="231F20"/>
          <w:spacing w:val="-13"/>
          <w:w w:val="105"/>
        </w:rPr>
        <w:t> </w:t>
      </w:r>
      <w:r>
        <w:rPr>
          <w:color w:val="231F20"/>
          <w:w w:val="105"/>
        </w:rPr>
        <w:t>hace</w:t>
      </w:r>
      <w:r>
        <w:rPr>
          <w:color w:val="231F20"/>
          <w:spacing w:val="-13"/>
          <w:w w:val="105"/>
        </w:rPr>
        <w:t> </w:t>
      </w:r>
      <w:r>
        <w:rPr>
          <w:color w:val="231F20"/>
          <w:w w:val="105"/>
        </w:rPr>
        <w:t>a</w:t>
      </w:r>
      <w:r>
        <w:rPr>
          <w:color w:val="231F20"/>
          <w:spacing w:val="-13"/>
          <w:w w:val="105"/>
        </w:rPr>
        <w:t> </w:t>
      </w:r>
      <w:r>
        <w:rPr>
          <w:color w:val="231F20"/>
          <w:w w:val="105"/>
        </w:rPr>
        <w:t>través</w:t>
      </w:r>
      <w:r>
        <w:rPr>
          <w:color w:val="231F20"/>
          <w:spacing w:val="-13"/>
          <w:w w:val="105"/>
        </w:rPr>
        <w:t> </w:t>
      </w:r>
      <w:r>
        <w:rPr>
          <w:color w:val="231F20"/>
          <w:w w:val="105"/>
        </w:rPr>
        <w:t>del</w:t>
      </w:r>
      <w:r>
        <w:rPr>
          <w:color w:val="231F20"/>
          <w:spacing w:val="-13"/>
          <w:w w:val="105"/>
        </w:rPr>
        <w:t> </w:t>
      </w:r>
      <w:r>
        <w:rPr>
          <w:color w:val="231F20"/>
          <w:w w:val="105"/>
        </w:rPr>
        <w:t>análisis</w:t>
      </w:r>
      <w:r>
        <w:rPr>
          <w:color w:val="231F20"/>
          <w:spacing w:val="-13"/>
          <w:w w:val="105"/>
        </w:rPr>
        <w:t> </w:t>
      </w:r>
      <w:r>
        <w:rPr>
          <w:color w:val="231F20"/>
          <w:w w:val="105"/>
        </w:rPr>
        <w:t>de</w:t>
      </w:r>
      <w:r>
        <w:rPr>
          <w:color w:val="231F20"/>
          <w:spacing w:val="-13"/>
          <w:w w:val="105"/>
        </w:rPr>
        <w:t> </w:t>
      </w:r>
      <w:r>
        <w:rPr>
          <w:color w:val="231F20"/>
          <w:w w:val="105"/>
        </w:rPr>
        <w:t>230</w:t>
      </w:r>
      <w:r>
        <w:rPr>
          <w:color w:val="231F20"/>
          <w:spacing w:val="-13"/>
          <w:w w:val="105"/>
        </w:rPr>
        <w:t> </w:t>
      </w:r>
      <w:r>
        <w:rPr>
          <w:color w:val="231F20"/>
          <w:w w:val="105"/>
        </w:rPr>
        <w:t>criterios</w:t>
      </w:r>
      <w:r>
        <w:rPr>
          <w:color w:val="231F20"/>
          <w:spacing w:val="-13"/>
          <w:w w:val="105"/>
        </w:rPr>
        <w:t> </w:t>
      </w:r>
      <w:r>
        <w:rPr>
          <w:color w:val="231F20"/>
          <w:w w:val="105"/>
        </w:rPr>
        <w:t>agrupados</w:t>
      </w:r>
      <w:r>
        <w:rPr>
          <w:color w:val="231F20"/>
          <w:spacing w:val="-13"/>
          <w:w w:val="105"/>
        </w:rPr>
        <w:t> </w:t>
      </w:r>
      <w:r>
        <w:rPr>
          <w:color w:val="231F20"/>
          <w:w w:val="105"/>
        </w:rPr>
        <w:t>en</w:t>
      </w:r>
      <w:r>
        <w:rPr>
          <w:color w:val="231F20"/>
          <w:spacing w:val="-13"/>
          <w:w w:val="105"/>
        </w:rPr>
        <w:t> </w:t>
      </w:r>
      <w:r>
        <w:rPr>
          <w:color w:val="231F20"/>
          <w:w w:val="105"/>
        </w:rPr>
        <w:t>ocho factores</w:t>
      </w:r>
      <w:r>
        <w:rPr>
          <w:color w:val="231F20"/>
          <w:spacing w:val="-15"/>
          <w:w w:val="105"/>
        </w:rPr>
        <w:t> </w:t>
      </w:r>
      <w:r>
        <w:rPr>
          <w:color w:val="231F20"/>
          <w:w w:val="105"/>
        </w:rPr>
        <w:t>referentes</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capacidad</w:t>
      </w:r>
      <w:r>
        <w:rPr>
          <w:color w:val="231F20"/>
          <w:spacing w:val="-15"/>
          <w:w w:val="105"/>
        </w:rPr>
        <w:t> </w:t>
      </w:r>
      <w:r>
        <w:rPr>
          <w:color w:val="231F20"/>
          <w:w w:val="105"/>
        </w:rPr>
        <w:t>de</w:t>
      </w:r>
      <w:r>
        <w:rPr>
          <w:color w:val="231F20"/>
          <w:spacing w:val="-15"/>
          <w:w w:val="105"/>
        </w:rPr>
        <w:t> </w:t>
      </w:r>
      <w:r>
        <w:rPr>
          <w:color w:val="231F20"/>
          <w:w w:val="105"/>
        </w:rPr>
        <w:t>un</w:t>
      </w:r>
      <w:r>
        <w:rPr>
          <w:color w:val="231F20"/>
          <w:spacing w:val="-15"/>
          <w:w w:val="105"/>
        </w:rPr>
        <w:t> </w:t>
      </w:r>
      <w:r>
        <w:rPr>
          <w:color w:val="231F20"/>
          <w:w w:val="105"/>
        </w:rPr>
        <w:t>país</w:t>
      </w:r>
      <w:r>
        <w:rPr>
          <w:color w:val="231F20"/>
          <w:spacing w:val="-15"/>
          <w:w w:val="105"/>
        </w:rPr>
        <w:t> </w:t>
      </w:r>
      <w:r>
        <w:rPr>
          <w:color w:val="231F20"/>
          <w:w w:val="105"/>
        </w:rPr>
        <w:t>para</w:t>
      </w:r>
      <w:r>
        <w:rPr>
          <w:color w:val="231F20"/>
          <w:spacing w:val="-15"/>
          <w:w w:val="105"/>
        </w:rPr>
        <w:t> </w:t>
      </w:r>
      <w:r>
        <w:rPr>
          <w:color w:val="231F20"/>
          <w:w w:val="105"/>
        </w:rPr>
        <w:t>competir</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ámbito internacional.</w:t>
      </w:r>
      <w:r>
        <w:rPr>
          <w:color w:val="231F20"/>
          <w:spacing w:val="-18"/>
          <w:w w:val="105"/>
        </w:rPr>
        <w:t> </w:t>
      </w:r>
      <w:r>
        <w:rPr>
          <w:color w:val="231F20"/>
          <w:w w:val="105"/>
        </w:rPr>
        <w:t>El</w:t>
      </w:r>
      <w:r>
        <w:rPr>
          <w:color w:val="231F20"/>
          <w:spacing w:val="-14"/>
          <w:w w:val="105"/>
        </w:rPr>
        <w:t> </w:t>
      </w:r>
      <w:r>
        <w:rPr>
          <w:color w:val="231F20"/>
          <w:w w:val="105"/>
        </w:rPr>
        <w:t>IIDCG</w:t>
      </w:r>
      <w:r>
        <w:rPr>
          <w:color w:val="231F20"/>
          <w:spacing w:val="-14"/>
          <w:w w:val="105"/>
        </w:rPr>
        <w:t> </w:t>
      </w:r>
      <w:r>
        <w:rPr>
          <w:color w:val="231F20"/>
          <w:w w:val="105"/>
        </w:rPr>
        <w:t>también</w:t>
      </w:r>
      <w:r>
        <w:rPr>
          <w:color w:val="231F20"/>
          <w:spacing w:val="-14"/>
          <w:w w:val="105"/>
        </w:rPr>
        <w:t> </w:t>
      </w:r>
      <w:r>
        <w:rPr>
          <w:color w:val="231F20"/>
          <w:w w:val="105"/>
        </w:rPr>
        <w:t>estudia</w:t>
      </w:r>
      <w:r>
        <w:rPr>
          <w:color w:val="231F20"/>
          <w:spacing w:val="-14"/>
          <w:w w:val="105"/>
        </w:rPr>
        <w:t> </w:t>
      </w:r>
      <w:r>
        <w:rPr>
          <w:color w:val="231F20"/>
          <w:w w:val="105"/>
        </w:rPr>
        <w:t>las</w:t>
      </w:r>
      <w:r>
        <w:rPr>
          <w:color w:val="231F20"/>
          <w:spacing w:val="-14"/>
          <w:w w:val="105"/>
        </w:rPr>
        <w:t> </w:t>
      </w:r>
      <w:r>
        <w:rPr>
          <w:color w:val="231F20"/>
          <w:w w:val="105"/>
        </w:rPr>
        <w:t>relaciones</w:t>
      </w:r>
      <w:r>
        <w:rPr>
          <w:color w:val="231F20"/>
          <w:spacing w:val="-14"/>
          <w:w w:val="105"/>
        </w:rPr>
        <w:t> </w:t>
      </w:r>
      <w:r>
        <w:rPr>
          <w:color w:val="231F20"/>
          <w:w w:val="105"/>
        </w:rPr>
        <w:t>entre</w:t>
      </w:r>
      <w:r>
        <w:rPr>
          <w:color w:val="231F20"/>
          <w:spacing w:val="-14"/>
          <w:w w:val="105"/>
        </w:rPr>
        <w:t> </w:t>
      </w:r>
      <w:r>
        <w:rPr>
          <w:color w:val="231F20"/>
          <w:w w:val="105"/>
        </w:rPr>
        <w:t>el</w:t>
      </w:r>
      <w:r>
        <w:rPr>
          <w:color w:val="231F20"/>
          <w:spacing w:val="-14"/>
          <w:w w:val="105"/>
        </w:rPr>
        <w:t> </w:t>
      </w:r>
      <w:r>
        <w:rPr>
          <w:color w:val="231F20"/>
          <w:w w:val="105"/>
        </w:rPr>
        <w:t>ambiente nacional</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w w:val="105"/>
        </w:rPr>
        <w:t>país</w:t>
      </w:r>
      <w:r>
        <w:rPr>
          <w:color w:val="231F20"/>
          <w:spacing w:val="-22"/>
          <w:w w:val="105"/>
        </w:rPr>
        <w:t> </w:t>
      </w:r>
      <w:r>
        <w:rPr>
          <w:color w:val="231F20"/>
          <w:w w:val="105"/>
        </w:rPr>
        <w:t>y</w:t>
      </w:r>
      <w:r>
        <w:rPr>
          <w:color w:val="231F20"/>
          <w:spacing w:val="-22"/>
          <w:w w:val="105"/>
        </w:rPr>
        <w:t> </w:t>
      </w:r>
      <w:r>
        <w:rPr>
          <w:color w:val="231F20"/>
          <w:w w:val="105"/>
        </w:rPr>
        <w:t>sus</w:t>
      </w:r>
      <w:r>
        <w:rPr>
          <w:color w:val="231F20"/>
          <w:spacing w:val="-22"/>
          <w:w w:val="105"/>
        </w:rPr>
        <w:t> </w:t>
      </w:r>
      <w:r>
        <w:rPr>
          <w:color w:val="231F20"/>
          <w:w w:val="105"/>
        </w:rPr>
        <w:t>procesos</w:t>
      </w:r>
      <w:r>
        <w:rPr>
          <w:color w:val="231F20"/>
          <w:spacing w:val="-22"/>
          <w:w w:val="105"/>
        </w:rPr>
        <w:t> </w:t>
      </w:r>
      <w:r>
        <w:rPr>
          <w:color w:val="231F20"/>
          <w:w w:val="105"/>
        </w:rPr>
        <w:t>de</w:t>
      </w:r>
      <w:r>
        <w:rPr>
          <w:color w:val="231F20"/>
          <w:spacing w:val="-22"/>
          <w:w w:val="105"/>
        </w:rPr>
        <w:t> </w:t>
      </w:r>
      <w:r>
        <w:rPr>
          <w:color w:val="231F20"/>
          <w:w w:val="105"/>
        </w:rPr>
        <w:t>creación</w:t>
      </w:r>
      <w:r>
        <w:rPr>
          <w:color w:val="231F20"/>
          <w:spacing w:val="-22"/>
          <w:w w:val="105"/>
        </w:rPr>
        <w:t> </w:t>
      </w:r>
      <w:r>
        <w:rPr>
          <w:color w:val="231F20"/>
          <w:w w:val="105"/>
        </w:rPr>
        <w:t>de</w:t>
      </w:r>
      <w:r>
        <w:rPr>
          <w:color w:val="231F20"/>
          <w:spacing w:val="-22"/>
          <w:w w:val="105"/>
        </w:rPr>
        <w:t> </w:t>
      </w:r>
      <w:r>
        <w:rPr>
          <w:color w:val="231F20"/>
          <w:w w:val="105"/>
        </w:rPr>
        <w:t>bienestar</w:t>
      </w:r>
      <w:r>
        <w:rPr>
          <w:color w:val="231F20"/>
          <w:spacing w:val="-22"/>
          <w:w w:val="105"/>
        </w:rPr>
        <w:t> </w:t>
      </w:r>
      <w:r>
        <w:rPr>
          <w:color w:val="231F20"/>
          <w:w w:val="105"/>
        </w:rPr>
        <w:t>social.</w:t>
      </w:r>
    </w:p>
    <w:p>
      <w:pPr>
        <w:pStyle w:val="BodyText"/>
        <w:spacing w:line="259" w:lineRule="auto"/>
        <w:ind w:left="117" w:right="115" w:firstLine="567"/>
        <w:jc w:val="right"/>
      </w:pPr>
      <w:r>
        <w:rPr>
          <w:color w:val="231F20"/>
          <w:w w:val="105"/>
        </w:rPr>
        <w:t>El</w:t>
      </w:r>
      <w:r>
        <w:rPr>
          <w:color w:val="231F20"/>
          <w:spacing w:val="-8"/>
          <w:w w:val="105"/>
        </w:rPr>
        <w:t> </w:t>
      </w:r>
      <w:r>
        <w:rPr>
          <w:color w:val="231F20"/>
          <w:w w:val="105"/>
        </w:rPr>
        <w:t>índice</w:t>
      </w:r>
      <w:r>
        <w:rPr>
          <w:color w:val="231F20"/>
          <w:spacing w:val="-8"/>
          <w:w w:val="105"/>
        </w:rPr>
        <w:t> </w:t>
      </w:r>
      <w:r>
        <w:rPr>
          <w:color w:val="231F20"/>
          <w:w w:val="105"/>
        </w:rPr>
        <w:t>de</w:t>
      </w:r>
      <w:r>
        <w:rPr>
          <w:color w:val="231F20"/>
          <w:spacing w:val="-8"/>
          <w:w w:val="105"/>
        </w:rPr>
        <w:t> </w:t>
      </w:r>
      <w:r>
        <w:rPr>
          <w:color w:val="231F20"/>
          <w:w w:val="105"/>
        </w:rPr>
        <w:t>libertad</w:t>
      </w:r>
      <w:r>
        <w:rPr>
          <w:color w:val="231F20"/>
          <w:spacing w:val="-8"/>
          <w:w w:val="105"/>
        </w:rPr>
        <w:t> </w:t>
      </w:r>
      <w:r>
        <w:rPr>
          <w:color w:val="231F20"/>
          <w:w w:val="105"/>
        </w:rPr>
        <w:t>económica</w:t>
      </w:r>
      <w:r>
        <w:rPr>
          <w:color w:val="231F20"/>
          <w:spacing w:val="-8"/>
          <w:w w:val="105"/>
        </w:rPr>
        <w:t> </w:t>
      </w:r>
      <w:r>
        <w:rPr>
          <w:color w:val="231F20"/>
          <w:w w:val="105"/>
        </w:rPr>
        <w:t>(</w:t>
      </w:r>
      <w:r>
        <w:rPr>
          <w:i/>
          <w:color w:val="231F20"/>
          <w:w w:val="105"/>
        </w:rPr>
        <w:t>Index</w:t>
      </w:r>
      <w:r>
        <w:rPr>
          <w:i/>
          <w:color w:val="231F20"/>
          <w:spacing w:val="-8"/>
          <w:w w:val="105"/>
        </w:rPr>
        <w:t> </w:t>
      </w:r>
      <w:r>
        <w:rPr>
          <w:i/>
          <w:color w:val="231F20"/>
          <w:w w:val="105"/>
        </w:rPr>
        <w:t>of</w:t>
      </w:r>
      <w:r>
        <w:rPr>
          <w:i/>
          <w:color w:val="231F20"/>
          <w:spacing w:val="-4"/>
          <w:w w:val="105"/>
        </w:rPr>
        <w:t> </w:t>
      </w:r>
      <w:r>
        <w:rPr>
          <w:i/>
          <w:color w:val="231F20"/>
          <w:w w:val="105"/>
        </w:rPr>
        <w:t>Economic</w:t>
      </w:r>
      <w:r>
        <w:rPr>
          <w:i/>
          <w:color w:val="231F20"/>
          <w:spacing w:val="-8"/>
          <w:w w:val="105"/>
        </w:rPr>
        <w:t> </w:t>
      </w:r>
      <w:r>
        <w:rPr>
          <w:i/>
          <w:color w:val="231F20"/>
          <w:w w:val="105"/>
        </w:rPr>
        <w:t>Freedom</w:t>
      </w:r>
      <w:r>
        <w:rPr>
          <w:color w:val="231F20"/>
          <w:w w:val="105"/>
        </w:rPr>
        <w:t>)</w:t>
      </w:r>
      <w:r>
        <w:rPr>
          <w:color w:val="231F20"/>
          <w:spacing w:val="-8"/>
          <w:w w:val="105"/>
        </w:rPr>
        <w:t> </w:t>
      </w:r>
      <w:r>
        <w:rPr>
          <w:color w:val="231F20"/>
          <w:w w:val="105"/>
        </w:rPr>
        <w:t>pu-</w:t>
      </w:r>
      <w:r>
        <w:rPr>
          <w:color w:val="231F20"/>
          <w:w w:val="96"/>
        </w:rPr>
        <w:t> </w:t>
      </w:r>
      <w:r>
        <w:rPr>
          <w:color w:val="231F20"/>
          <w:w w:val="105"/>
        </w:rPr>
        <w:t>blicado</w:t>
      </w:r>
      <w:r>
        <w:rPr>
          <w:color w:val="231F20"/>
          <w:spacing w:val="-21"/>
          <w:w w:val="105"/>
        </w:rPr>
        <w:t> </w:t>
      </w:r>
      <w:r>
        <w:rPr>
          <w:color w:val="231F20"/>
          <w:w w:val="105"/>
        </w:rPr>
        <w:t>por</w:t>
      </w:r>
      <w:r>
        <w:rPr>
          <w:color w:val="231F20"/>
          <w:spacing w:val="-21"/>
          <w:w w:val="105"/>
        </w:rPr>
        <w:t> </w:t>
      </w:r>
      <w:r>
        <w:rPr>
          <w:i/>
          <w:color w:val="231F20"/>
          <w:w w:val="105"/>
        </w:rPr>
        <w:t>Wall</w:t>
      </w:r>
      <w:r>
        <w:rPr>
          <w:i/>
          <w:color w:val="231F20"/>
          <w:spacing w:val="-21"/>
          <w:w w:val="105"/>
        </w:rPr>
        <w:t> </w:t>
      </w:r>
      <w:r>
        <w:rPr>
          <w:i/>
          <w:color w:val="231F20"/>
          <w:w w:val="105"/>
        </w:rPr>
        <w:t>Street</w:t>
      </w:r>
      <w:r>
        <w:rPr>
          <w:i/>
          <w:color w:val="231F20"/>
          <w:spacing w:val="-23"/>
          <w:w w:val="105"/>
        </w:rPr>
        <w:t> </w:t>
      </w:r>
      <w:r>
        <w:rPr>
          <w:i/>
          <w:color w:val="231F20"/>
          <w:w w:val="105"/>
        </w:rPr>
        <w:t>Journal</w:t>
      </w:r>
      <w:r>
        <w:rPr>
          <w:color w:val="231F20"/>
          <w:w w:val="105"/>
        </w:rPr>
        <w:t>,</w:t>
      </w:r>
      <w:r>
        <w:rPr>
          <w:color w:val="231F20"/>
          <w:spacing w:val="-26"/>
          <w:w w:val="105"/>
        </w:rPr>
        <w:t> </w:t>
      </w:r>
      <w:r>
        <w:rPr>
          <w:color w:val="231F20"/>
          <w:w w:val="105"/>
        </w:rPr>
        <w:t>ha</w:t>
      </w:r>
      <w:r>
        <w:rPr>
          <w:color w:val="231F20"/>
          <w:spacing w:val="-21"/>
          <w:w w:val="105"/>
        </w:rPr>
        <w:t> </w:t>
      </w:r>
      <w:r>
        <w:rPr>
          <w:color w:val="231F20"/>
          <w:w w:val="105"/>
        </w:rPr>
        <w:t>sido</w:t>
      </w:r>
      <w:r>
        <w:rPr>
          <w:color w:val="231F20"/>
          <w:spacing w:val="-21"/>
          <w:w w:val="105"/>
        </w:rPr>
        <w:t> </w:t>
      </w:r>
      <w:r>
        <w:rPr>
          <w:color w:val="231F20"/>
          <w:w w:val="105"/>
        </w:rPr>
        <w:t>desarrollado</w:t>
      </w:r>
      <w:r>
        <w:rPr>
          <w:color w:val="231F20"/>
          <w:spacing w:val="-21"/>
          <w:w w:val="105"/>
        </w:rPr>
        <w:t> </w:t>
      </w:r>
      <w:r>
        <w:rPr>
          <w:color w:val="231F20"/>
          <w:w w:val="105"/>
        </w:rPr>
        <w:t>de</w:t>
      </w:r>
      <w:r>
        <w:rPr>
          <w:color w:val="231F20"/>
          <w:spacing w:val="-21"/>
          <w:w w:val="105"/>
        </w:rPr>
        <w:t> </w:t>
      </w:r>
      <w:r>
        <w:rPr>
          <w:color w:val="231F20"/>
          <w:w w:val="105"/>
        </w:rPr>
        <w:t>manera</w:t>
      </w:r>
      <w:r>
        <w:rPr>
          <w:color w:val="231F20"/>
          <w:spacing w:val="-21"/>
          <w:w w:val="105"/>
        </w:rPr>
        <w:t> </w:t>
      </w:r>
      <w:r>
        <w:rPr>
          <w:color w:val="231F20"/>
          <w:w w:val="105"/>
        </w:rPr>
        <w:t>sistemá-</w:t>
      </w:r>
      <w:r>
        <w:rPr>
          <w:color w:val="231F20"/>
          <w:w w:val="96"/>
        </w:rPr>
        <w:t> </w:t>
      </w:r>
      <w:r>
        <w:rPr>
          <w:color w:val="231F20"/>
          <w:w w:val="105"/>
        </w:rPr>
        <w:t>tica para medir la libertad económica de 161 países del mundo,</w:t>
      </w:r>
      <w:r>
        <w:rPr>
          <w:color w:val="231F20"/>
          <w:spacing w:val="-20"/>
          <w:w w:val="105"/>
        </w:rPr>
        <w:t> </w:t>
      </w:r>
      <w:r>
        <w:rPr>
          <w:color w:val="231F20"/>
          <w:w w:val="105"/>
        </w:rPr>
        <w:t>con</w:t>
      </w:r>
      <w:r>
        <w:rPr>
          <w:color w:val="231F20"/>
          <w:spacing w:val="-2"/>
          <w:w w:val="105"/>
        </w:rPr>
        <w:t> </w:t>
      </w:r>
      <w:r>
        <w:rPr>
          <w:color w:val="231F20"/>
          <w:w w:val="105"/>
        </w:rPr>
        <w:t>51</w:t>
      </w:r>
      <w:r>
        <w:rPr>
          <w:color w:val="231F20"/>
          <w:w w:val="104"/>
        </w:rPr>
        <w:t> </w:t>
      </w:r>
      <w:r>
        <w:rPr>
          <w:color w:val="231F20"/>
          <w:w w:val="105"/>
        </w:rPr>
        <w:t>variables</w:t>
      </w:r>
      <w:r>
        <w:rPr>
          <w:color w:val="231F20"/>
          <w:spacing w:val="-23"/>
          <w:w w:val="105"/>
        </w:rPr>
        <w:t> </w:t>
      </w:r>
      <w:r>
        <w:rPr>
          <w:color w:val="231F20"/>
          <w:w w:val="105"/>
        </w:rPr>
        <w:t>independientes</w:t>
      </w:r>
      <w:r>
        <w:rPr>
          <w:color w:val="231F20"/>
          <w:spacing w:val="-23"/>
          <w:w w:val="105"/>
        </w:rPr>
        <w:t> </w:t>
      </w:r>
      <w:r>
        <w:rPr>
          <w:color w:val="231F20"/>
          <w:w w:val="105"/>
        </w:rPr>
        <w:t>divididas</w:t>
      </w:r>
      <w:r>
        <w:rPr>
          <w:color w:val="231F20"/>
          <w:spacing w:val="-23"/>
          <w:w w:val="105"/>
        </w:rPr>
        <w:t> </w:t>
      </w:r>
      <w:r>
        <w:rPr>
          <w:color w:val="231F20"/>
          <w:w w:val="105"/>
        </w:rPr>
        <w:t>en</w:t>
      </w:r>
      <w:r>
        <w:rPr>
          <w:color w:val="231F20"/>
          <w:spacing w:val="-23"/>
          <w:w w:val="105"/>
        </w:rPr>
        <w:t> </w:t>
      </w:r>
      <w:r>
        <w:rPr>
          <w:color w:val="231F20"/>
          <w:w w:val="105"/>
        </w:rPr>
        <w:t>10</w:t>
      </w:r>
      <w:r>
        <w:rPr>
          <w:color w:val="231F20"/>
          <w:spacing w:val="-23"/>
          <w:w w:val="105"/>
        </w:rPr>
        <w:t> </w:t>
      </w:r>
      <w:r>
        <w:rPr>
          <w:color w:val="231F20"/>
          <w:w w:val="105"/>
        </w:rPr>
        <w:t>factores</w:t>
      </w:r>
      <w:r>
        <w:rPr>
          <w:color w:val="231F20"/>
          <w:spacing w:val="-23"/>
          <w:w w:val="105"/>
        </w:rPr>
        <w:t> </w:t>
      </w:r>
      <w:r>
        <w:rPr>
          <w:color w:val="231F20"/>
          <w:w w:val="105"/>
        </w:rPr>
        <w:t>de</w:t>
      </w:r>
      <w:r>
        <w:rPr>
          <w:color w:val="231F20"/>
          <w:spacing w:val="-23"/>
          <w:w w:val="105"/>
        </w:rPr>
        <w:t> </w:t>
      </w:r>
      <w:r>
        <w:rPr>
          <w:color w:val="231F20"/>
          <w:w w:val="105"/>
        </w:rPr>
        <w:t>libertad</w:t>
      </w:r>
      <w:r>
        <w:rPr>
          <w:color w:val="231F20"/>
          <w:spacing w:val="-23"/>
          <w:w w:val="105"/>
        </w:rPr>
        <w:t> </w:t>
      </w:r>
      <w:r>
        <w:rPr>
          <w:color w:val="231F20"/>
          <w:w w:val="105"/>
        </w:rPr>
        <w:t>económica.</w:t>
      </w:r>
      <w:r>
        <w:rPr>
          <w:color w:val="231F20"/>
          <w:w w:val="103"/>
        </w:rPr>
        <w:t> </w:t>
      </w:r>
      <w:r>
        <w:rPr>
          <w:color w:val="231F20"/>
          <w:w w:val="105"/>
        </w:rPr>
        <w:t>El</w:t>
      </w:r>
      <w:r>
        <w:rPr>
          <w:color w:val="231F20"/>
          <w:spacing w:val="-20"/>
          <w:w w:val="105"/>
        </w:rPr>
        <w:t> </w:t>
      </w:r>
      <w:r>
        <w:rPr>
          <w:color w:val="231F20"/>
          <w:w w:val="105"/>
        </w:rPr>
        <w:t>Instituto</w:t>
      </w:r>
      <w:r>
        <w:rPr>
          <w:color w:val="231F20"/>
          <w:spacing w:val="-20"/>
          <w:w w:val="105"/>
        </w:rPr>
        <w:t> </w:t>
      </w:r>
      <w:r>
        <w:rPr>
          <w:color w:val="231F20"/>
          <w:w w:val="105"/>
        </w:rPr>
        <w:t>Mexicano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Competitividad</w:t>
      </w:r>
      <w:r>
        <w:rPr>
          <w:color w:val="231F20"/>
          <w:spacing w:val="-20"/>
          <w:w w:val="105"/>
        </w:rPr>
        <w:t> </w:t>
      </w:r>
      <w:r>
        <w:rPr>
          <w:color w:val="231F20"/>
          <w:w w:val="105"/>
        </w:rPr>
        <w:t>(IMCO)</w:t>
      </w:r>
      <w:r>
        <w:rPr>
          <w:color w:val="231F20"/>
          <w:spacing w:val="-20"/>
          <w:w w:val="105"/>
        </w:rPr>
        <w:t> </w:t>
      </w:r>
      <w:r>
        <w:rPr>
          <w:color w:val="231F20"/>
          <w:w w:val="105"/>
        </w:rPr>
        <w:t>es</w:t>
      </w:r>
      <w:r>
        <w:rPr>
          <w:color w:val="231F20"/>
          <w:spacing w:val="-20"/>
          <w:w w:val="105"/>
        </w:rPr>
        <w:t> </w:t>
      </w:r>
      <w:r>
        <w:rPr>
          <w:color w:val="231F20"/>
          <w:w w:val="105"/>
        </w:rPr>
        <w:t>un</w:t>
      </w:r>
      <w:r>
        <w:rPr>
          <w:color w:val="231F20"/>
          <w:spacing w:val="-20"/>
          <w:w w:val="105"/>
        </w:rPr>
        <w:t> </w:t>
      </w:r>
      <w:r>
        <w:rPr>
          <w:color w:val="231F20"/>
          <w:w w:val="105"/>
        </w:rPr>
        <w:t>centro</w:t>
      </w:r>
      <w:r>
        <w:rPr>
          <w:color w:val="231F20"/>
          <w:spacing w:val="-20"/>
          <w:w w:val="105"/>
        </w:rPr>
        <w:t> </w:t>
      </w:r>
      <w:r>
        <w:rPr>
          <w:color w:val="231F20"/>
          <w:w w:val="105"/>
        </w:rPr>
        <w:t>pri-</w:t>
      </w:r>
    </w:p>
    <w:p>
      <w:pPr>
        <w:pStyle w:val="BodyText"/>
        <w:spacing w:line="259" w:lineRule="auto"/>
        <w:ind w:left="117" w:right="121"/>
        <w:jc w:val="both"/>
      </w:pPr>
      <w:r>
        <w:rPr>
          <w:color w:val="231F20"/>
          <w:w w:val="105"/>
        </w:rPr>
        <w:t>vado de investigación aplicada, dedicado al estudio de los temas que afectan la competitividad de las empresas del país en un contexto de economía</w:t>
      </w:r>
      <w:r>
        <w:rPr>
          <w:color w:val="231F20"/>
          <w:spacing w:val="-11"/>
          <w:w w:val="105"/>
        </w:rPr>
        <w:t> </w:t>
      </w:r>
      <w:r>
        <w:rPr>
          <w:color w:val="231F20"/>
          <w:w w:val="105"/>
        </w:rPr>
        <w:t>abierta</w:t>
      </w:r>
      <w:r>
        <w:rPr>
          <w:color w:val="231F20"/>
          <w:spacing w:val="-11"/>
          <w:w w:val="105"/>
        </w:rPr>
        <w:t> </w:t>
      </w:r>
      <w:r>
        <w:rPr>
          <w:color w:val="231F20"/>
          <w:w w:val="105"/>
        </w:rPr>
        <w:t>de</w:t>
      </w:r>
      <w:r>
        <w:rPr>
          <w:color w:val="231F20"/>
          <w:spacing w:val="-11"/>
          <w:w w:val="105"/>
        </w:rPr>
        <w:t> </w:t>
      </w:r>
      <w:r>
        <w:rPr>
          <w:color w:val="231F20"/>
          <w:w w:val="105"/>
        </w:rPr>
        <w:t>mercado.</w:t>
      </w:r>
      <w:r>
        <w:rPr>
          <w:color w:val="231F20"/>
          <w:spacing w:val="-17"/>
          <w:w w:val="105"/>
        </w:rPr>
        <w:t> </w:t>
      </w:r>
      <w:r>
        <w:rPr>
          <w:color w:val="231F20"/>
          <w:w w:val="105"/>
        </w:rPr>
        <w:t>Define</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competitividad</w:t>
      </w:r>
      <w:r>
        <w:rPr>
          <w:color w:val="231F20"/>
          <w:spacing w:val="-11"/>
          <w:w w:val="105"/>
        </w:rPr>
        <w:t> </w:t>
      </w:r>
      <w:r>
        <w:rPr>
          <w:color w:val="231F20"/>
          <w:w w:val="105"/>
        </w:rPr>
        <w:t>como</w:t>
      </w:r>
      <w:r>
        <w:rPr>
          <w:color w:val="231F20"/>
          <w:spacing w:val="-11"/>
          <w:w w:val="105"/>
        </w:rPr>
        <w:t> </w:t>
      </w:r>
      <w:r>
        <w:rPr>
          <w:color w:val="231F20"/>
          <w:w w:val="105"/>
        </w:rPr>
        <w:t>la</w:t>
      </w:r>
      <w:r>
        <w:rPr>
          <w:color w:val="231F20"/>
          <w:spacing w:val="-11"/>
          <w:w w:val="105"/>
        </w:rPr>
        <w:t> </w:t>
      </w:r>
      <w:r>
        <w:rPr>
          <w:color w:val="231F20"/>
          <w:w w:val="105"/>
        </w:rPr>
        <w:t>capa- cidad</w:t>
      </w:r>
      <w:r>
        <w:rPr>
          <w:color w:val="231F20"/>
          <w:spacing w:val="-23"/>
          <w:w w:val="105"/>
        </w:rPr>
        <w:t> </w:t>
      </w:r>
      <w:r>
        <w:rPr>
          <w:color w:val="231F20"/>
          <w:w w:val="105"/>
        </w:rPr>
        <w:t>de</w:t>
      </w:r>
      <w:r>
        <w:rPr>
          <w:color w:val="231F20"/>
          <w:spacing w:val="-23"/>
          <w:w w:val="105"/>
        </w:rPr>
        <w:t> </w:t>
      </w:r>
      <w:r>
        <w:rPr>
          <w:color w:val="231F20"/>
          <w:w w:val="105"/>
        </w:rPr>
        <w:t>un</w:t>
      </w:r>
      <w:r>
        <w:rPr>
          <w:color w:val="231F20"/>
          <w:spacing w:val="-23"/>
          <w:w w:val="105"/>
        </w:rPr>
        <w:t> </w:t>
      </w:r>
      <w:r>
        <w:rPr>
          <w:color w:val="231F20"/>
          <w:w w:val="105"/>
        </w:rPr>
        <w:t>país</w:t>
      </w:r>
      <w:r>
        <w:rPr>
          <w:color w:val="231F20"/>
          <w:spacing w:val="-23"/>
          <w:w w:val="105"/>
        </w:rPr>
        <w:t> </w:t>
      </w:r>
      <w:r>
        <w:rPr>
          <w:color w:val="231F20"/>
          <w:w w:val="105"/>
        </w:rPr>
        <w:t>para</w:t>
      </w:r>
      <w:r>
        <w:rPr>
          <w:color w:val="231F20"/>
          <w:spacing w:val="-23"/>
          <w:w w:val="105"/>
        </w:rPr>
        <w:t> </w:t>
      </w:r>
      <w:r>
        <w:rPr>
          <w:color w:val="231F20"/>
          <w:w w:val="105"/>
        </w:rPr>
        <w:t>atraer</w:t>
      </w:r>
      <w:r>
        <w:rPr>
          <w:color w:val="231F20"/>
          <w:spacing w:val="-23"/>
          <w:w w:val="105"/>
        </w:rPr>
        <w:t> </w:t>
      </w:r>
      <w:r>
        <w:rPr>
          <w:color w:val="231F20"/>
          <w:w w:val="105"/>
        </w:rPr>
        <w:t>y</w:t>
      </w:r>
      <w:r>
        <w:rPr>
          <w:color w:val="231F20"/>
          <w:spacing w:val="-23"/>
          <w:w w:val="105"/>
        </w:rPr>
        <w:t> </w:t>
      </w:r>
      <w:r>
        <w:rPr>
          <w:color w:val="231F20"/>
          <w:w w:val="105"/>
        </w:rPr>
        <w:t>retener</w:t>
      </w:r>
      <w:r>
        <w:rPr>
          <w:color w:val="231F20"/>
          <w:spacing w:val="-23"/>
          <w:w w:val="105"/>
        </w:rPr>
        <w:t> </w:t>
      </w:r>
      <w:r>
        <w:rPr>
          <w:color w:val="231F20"/>
          <w:w w:val="105"/>
        </w:rPr>
        <w:t>inversiones,</w:t>
      </w:r>
      <w:r>
        <w:rPr>
          <w:color w:val="231F20"/>
          <w:spacing w:val="-27"/>
          <w:w w:val="105"/>
        </w:rPr>
        <w:t> </w:t>
      </w:r>
      <w:r>
        <w:rPr>
          <w:color w:val="231F20"/>
          <w:w w:val="105"/>
        </w:rPr>
        <w:t>evaluando</w:t>
      </w:r>
      <w:r>
        <w:rPr>
          <w:color w:val="231F20"/>
          <w:spacing w:val="-23"/>
          <w:w w:val="105"/>
        </w:rPr>
        <w:t> </w:t>
      </w:r>
      <w:r>
        <w:rPr>
          <w:color w:val="231F20"/>
          <w:w w:val="105"/>
        </w:rPr>
        <w:t>10</w:t>
      </w:r>
      <w:r>
        <w:rPr>
          <w:color w:val="231F20"/>
          <w:spacing w:val="-23"/>
          <w:w w:val="105"/>
        </w:rPr>
        <w:t> </w:t>
      </w:r>
      <w:r>
        <w:rPr>
          <w:color w:val="231F20"/>
          <w:w w:val="105"/>
        </w:rPr>
        <w:t>factores con 137 indicadores, entre los que destacan principalmente:</w:t>
      </w:r>
      <w:r>
        <w:rPr>
          <w:color w:val="231F20"/>
          <w:spacing w:val="-11"/>
          <w:w w:val="105"/>
        </w:rPr>
        <w:t> </w:t>
      </w:r>
      <w:r>
        <w:rPr>
          <w:color w:val="231F20"/>
          <w:w w:val="105"/>
        </w:rPr>
        <w:t>desempe- ño económico, eficiencia de gobierno, eficiencia empresarial e infraes- tructura y</w:t>
      </w:r>
      <w:r>
        <w:rPr>
          <w:color w:val="231F20"/>
          <w:spacing w:val="-14"/>
          <w:w w:val="105"/>
        </w:rPr>
        <w:t> </w:t>
      </w:r>
      <w:r>
        <w:rPr>
          <w:color w:val="231F20"/>
          <w:w w:val="105"/>
        </w:rPr>
        <w:t>conocimiento</w:t>
      </w:r>
    </w:p>
    <w:p>
      <w:pPr>
        <w:pStyle w:val="BodyText"/>
        <w:spacing w:line="259" w:lineRule="auto"/>
        <w:ind w:left="117" w:right="115" w:firstLine="567"/>
        <w:jc w:val="both"/>
      </w:pPr>
      <w:r>
        <w:rPr>
          <w:color w:val="231F20"/>
          <w:spacing w:val="-3"/>
          <w:w w:val="105"/>
        </w:rPr>
        <w:t>Finalmente, </w:t>
      </w:r>
      <w:r>
        <w:rPr>
          <w:color w:val="231F20"/>
          <w:w w:val="105"/>
        </w:rPr>
        <w:t>el Instituto </w:t>
      </w:r>
      <w:r>
        <w:rPr>
          <w:color w:val="231F20"/>
          <w:spacing w:val="-4"/>
          <w:w w:val="105"/>
        </w:rPr>
        <w:t>Tecnológico </w:t>
      </w:r>
      <w:r>
        <w:rPr>
          <w:color w:val="231F20"/>
          <w:w w:val="105"/>
        </w:rPr>
        <w:t>de Estudios </w:t>
      </w:r>
      <w:r>
        <w:rPr>
          <w:color w:val="231F20"/>
          <w:spacing w:val="-3"/>
          <w:w w:val="105"/>
        </w:rPr>
        <w:t>Superiores </w:t>
      </w:r>
      <w:r>
        <w:rPr>
          <w:color w:val="231F20"/>
          <w:w w:val="105"/>
        </w:rPr>
        <w:t>de </w:t>
      </w:r>
      <w:r>
        <w:rPr>
          <w:color w:val="231F20"/>
          <w:spacing w:val="-3"/>
          <w:w w:val="105"/>
        </w:rPr>
        <w:t>Monterrey</w:t>
      </w:r>
      <w:r>
        <w:rPr>
          <w:color w:val="231F20"/>
          <w:spacing w:val="-36"/>
          <w:w w:val="105"/>
        </w:rPr>
        <w:t> </w:t>
      </w:r>
      <w:r>
        <w:rPr>
          <w:color w:val="231F20"/>
          <w:w w:val="105"/>
        </w:rPr>
        <w:t>(ITESM),</w:t>
      </w:r>
      <w:r>
        <w:rPr>
          <w:color w:val="231F20"/>
          <w:spacing w:val="-40"/>
          <w:w w:val="105"/>
        </w:rPr>
        <w:t> </w:t>
      </w:r>
      <w:r>
        <w:rPr>
          <w:color w:val="231F20"/>
          <w:w w:val="105"/>
        </w:rPr>
        <w:t>a</w:t>
      </w:r>
      <w:r>
        <w:rPr>
          <w:color w:val="231F20"/>
          <w:spacing w:val="-36"/>
          <w:w w:val="105"/>
        </w:rPr>
        <w:t> </w:t>
      </w:r>
      <w:r>
        <w:rPr>
          <w:color w:val="231F20"/>
          <w:spacing w:val="-2"/>
          <w:w w:val="105"/>
        </w:rPr>
        <w:t>través</w:t>
      </w:r>
      <w:r>
        <w:rPr>
          <w:color w:val="231F20"/>
          <w:spacing w:val="-36"/>
          <w:w w:val="105"/>
        </w:rPr>
        <w:t> </w:t>
      </w:r>
      <w:r>
        <w:rPr>
          <w:color w:val="231F20"/>
          <w:w w:val="105"/>
        </w:rPr>
        <w:t>de</w:t>
      </w:r>
      <w:r>
        <w:rPr>
          <w:color w:val="231F20"/>
          <w:spacing w:val="-36"/>
          <w:w w:val="105"/>
        </w:rPr>
        <w:t> </w:t>
      </w:r>
      <w:r>
        <w:rPr>
          <w:color w:val="231F20"/>
          <w:w w:val="105"/>
        </w:rPr>
        <w:t>191</w:t>
      </w:r>
      <w:r>
        <w:rPr>
          <w:color w:val="231F20"/>
          <w:spacing w:val="-36"/>
          <w:w w:val="105"/>
        </w:rPr>
        <w:t> </w:t>
      </w:r>
      <w:r>
        <w:rPr>
          <w:color w:val="231F20"/>
          <w:w w:val="105"/>
        </w:rPr>
        <w:t>criterios,</w:t>
      </w:r>
      <w:r>
        <w:rPr>
          <w:color w:val="231F20"/>
          <w:spacing w:val="-40"/>
          <w:w w:val="105"/>
        </w:rPr>
        <w:t> </w:t>
      </w:r>
      <w:r>
        <w:rPr>
          <w:color w:val="231F20"/>
          <w:w w:val="105"/>
        </w:rPr>
        <w:t>mide</w:t>
      </w:r>
      <w:r>
        <w:rPr>
          <w:color w:val="231F20"/>
          <w:spacing w:val="-36"/>
          <w:w w:val="105"/>
        </w:rPr>
        <w:t> </w:t>
      </w:r>
      <w:r>
        <w:rPr>
          <w:color w:val="231F20"/>
          <w:w w:val="105"/>
        </w:rPr>
        <w:t>el</w:t>
      </w:r>
      <w:r>
        <w:rPr>
          <w:color w:val="231F20"/>
          <w:spacing w:val="-36"/>
          <w:w w:val="105"/>
        </w:rPr>
        <w:t> </w:t>
      </w:r>
      <w:r>
        <w:rPr>
          <w:color w:val="231F20"/>
          <w:w w:val="105"/>
        </w:rPr>
        <w:t>esfuerzo</w:t>
      </w:r>
      <w:r>
        <w:rPr>
          <w:color w:val="231F20"/>
          <w:spacing w:val="-36"/>
          <w:w w:val="105"/>
        </w:rPr>
        <w:t> </w:t>
      </w:r>
      <w:r>
        <w:rPr>
          <w:color w:val="231F20"/>
          <w:w w:val="105"/>
        </w:rPr>
        <w:t>de</w:t>
      </w:r>
      <w:r>
        <w:rPr>
          <w:color w:val="231F20"/>
          <w:spacing w:val="-36"/>
          <w:w w:val="105"/>
        </w:rPr>
        <w:t> </w:t>
      </w:r>
      <w:r>
        <w:rPr>
          <w:color w:val="231F20"/>
          <w:w w:val="105"/>
        </w:rPr>
        <w:t>los</w:t>
      </w:r>
      <w:r>
        <w:rPr>
          <w:color w:val="231F20"/>
          <w:spacing w:val="-36"/>
          <w:w w:val="105"/>
        </w:rPr>
        <w:t> </w:t>
      </w:r>
      <w:r>
        <w:rPr>
          <w:color w:val="231F20"/>
          <w:w w:val="105"/>
        </w:rPr>
        <w:t>toma- </w:t>
      </w:r>
      <w:r>
        <w:rPr>
          <w:color w:val="231F20"/>
          <w:spacing w:val="-3"/>
          <w:w w:val="105"/>
        </w:rPr>
        <w:t>dores </w:t>
      </w:r>
      <w:r>
        <w:rPr>
          <w:color w:val="231F20"/>
          <w:w w:val="105"/>
        </w:rPr>
        <w:t>de decisiones en obtener un ambiente de negocios competitivo. </w:t>
      </w:r>
      <w:r>
        <w:rPr>
          <w:color w:val="231F20"/>
          <w:spacing w:val="-3"/>
          <w:w w:val="105"/>
        </w:rPr>
        <w:t>Los</w:t>
      </w:r>
      <w:r>
        <w:rPr>
          <w:color w:val="231F20"/>
          <w:spacing w:val="-24"/>
          <w:w w:val="105"/>
        </w:rPr>
        <w:t> </w:t>
      </w:r>
      <w:r>
        <w:rPr>
          <w:color w:val="231F20"/>
          <w:spacing w:val="-3"/>
          <w:w w:val="105"/>
        </w:rPr>
        <w:t>cuatro</w:t>
      </w:r>
      <w:r>
        <w:rPr>
          <w:color w:val="231F20"/>
          <w:spacing w:val="-24"/>
          <w:w w:val="105"/>
        </w:rPr>
        <w:t> </w:t>
      </w:r>
      <w:r>
        <w:rPr>
          <w:color w:val="231F20"/>
          <w:w w:val="105"/>
        </w:rPr>
        <w:t>conceptos</w:t>
      </w:r>
      <w:r>
        <w:rPr>
          <w:color w:val="231F20"/>
          <w:spacing w:val="-24"/>
          <w:w w:val="105"/>
        </w:rPr>
        <w:t> </w:t>
      </w:r>
      <w:r>
        <w:rPr>
          <w:color w:val="231F20"/>
          <w:w w:val="105"/>
        </w:rPr>
        <w:t>clave</w:t>
      </w:r>
      <w:r>
        <w:rPr>
          <w:color w:val="231F20"/>
          <w:spacing w:val="-24"/>
          <w:w w:val="105"/>
        </w:rPr>
        <w:t> </w:t>
      </w:r>
      <w:r>
        <w:rPr>
          <w:color w:val="231F20"/>
          <w:w w:val="105"/>
        </w:rPr>
        <w:t>para</w:t>
      </w:r>
      <w:r>
        <w:rPr>
          <w:color w:val="231F20"/>
          <w:spacing w:val="-24"/>
          <w:w w:val="105"/>
        </w:rPr>
        <w:t> </w:t>
      </w:r>
      <w:r>
        <w:rPr>
          <w:color w:val="231F20"/>
          <w:w w:val="105"/>
        </w:rPr>
        <w:t>evaluar</w:t>
      </w:r>
      <w:r>
        <w:rPr>
          <w:color w:val="231F20"/>
          <w:spacing w:val="-24"/>
          <w:w w:val="105"/>
        </w:rPr>
        <w:t> </w:t>
      </w:r>
      <w:r>
        <w:rPr>
          <w:color w:val="231F20"/>
          <w:w w:val="105"/>
        </w:rPr>
        <w:t>los</w:t>
      </w:r>
      <w:r>
        <w:rPr>
          <w:color w:val="231F20"/>
          <w:spacing w:val="-24"/>
          <w:w w:val="105"/>
        </w:rPr>
        <w:t> </w:t>
      </w:r>
      <w:r>
        <w:rPr>
          <w:color w:val="231F20"/>
          <w:w w:val="105"/>
        </w:rPr>
        <w:t>esfuerzos</w:t>
      </w:r>
      <w:r>
        <w:rPr>
          <w:color w:val="231F20"/>
          <w:spacing w:val="-24"/>
          <w:w w:val="105"/>
        </w:rPr>
        <w:t> </w:t>
      </w:r>
      <w:r>
        <w:rPr>
          <w:color w:val="231F20"/>
          <w:w w:val="105"/>
        </w:rPr>
        <w:t>dirigidos</w:t>
      </w:r>
      <w:r>
        <w:rPr>
          <w:color w:val="231F20"/>
          <w:spacing w:val="-24"/>
          <w:w w:val="105"/>
        </w:rPr>
        <w:t> </w:t>
      </w:r>
      <w:r>
        <w:rPr>
          <w:color w:val="231F20"/>
          <w:w w:val="105"/>
        </w:rPr>
        <w:t>a</w:t>
      </w:r>
      <w:r>
        <w:rPr>
          <w:color w:val="231F20"/>
          <w:spacing w:val="-24"/>
          <w:w w:val="105"/>
        </w:rPr>
        <w:t> </w:t>
      </w:r>
      <w:r>
        <w:rPr>
          <w:color w:val="231F20"/>
          <w:spacing w:val="-3"/>
          <w:w w:val="105"/>
        </w:rPr>
        <w:t>crear</w:t>
      </w:r>
      <w:r>
        <w:rPr>
          <w:color w:val="231F20"/>
          <w:spacing w:val="-24"/>
          <w:w w:val="105"/>
        </w:rPr>
        <w:t> </w:t>
      </w:r>
      <w:r>
        <w:rPr>
          <w:color w:val="231F20"/>
          <w:w w:val="105"/>
        </w:rPr>
        <w:t>el ambiente de competitividad que </w:t>
      </w:r>
      <w:r>
        <w:rPr>
          <w:color w:val="231F20"/>
          <w:spacing w:val="-3"/>
          <w:w w:val="105"/>
        </w:rPr>
        <w:t>genere </w:t>
      </w:r>
      <w:r>
        <w:rPr>
          <w:color w:val="231F20"/>
          <w:w w:val="105"/>
        </w:rPr>
        <w:t>valor económico, son: desem- peño</w:t>
      </w:r>
      <w:r>
        <w:rPr>
          <w:color w:val="231F20"/>
          <w:spacing w:val="-12"/>
          <w:w w:val="105"/>
        </w:rPr>
        <w:t> </w:t>
      </w:r>
      <w:r>
        <w:rPr>
          <w:color w:val="231F20"/>
          <w:w w:val="105"/>
        </w:rPr>
        <w:t>económico,</w:t>
      </w:r>
      <w:r>
        <w:rPr>
          <w:color w:val="231F20"/>
          <w:spacing w:val="-17"/>
          <w:w w:val="105"/>
        </w:rPr>
        <w:t> </w:t>
      </w:r>
      <w:r>
        <w:rPr>
          <w:color w:val="231F20"/>
          <w:w w:val="105"/>
        </w:rPr>
        <w:t>eficiencia</w:t>
      </w:r>
      <w:r>
        <w:rPr>
          <w:color w:val="231F20"/>
          <w:spacing w:val="-12"/>
          <w:w w:val="105"/>
        </w:rPr>
        <w:t> </w:t>
      </w:r>
      <w:r>
        <w:rPr>
          <w:color w:val="231F20"/>
          <w:w w:val="105"/>
        </w:rPr>
        <w:t>gubernamental,</w:t>
      </w:r>
      <w:r>
        <w:rPr>
          <w:color w:val="231F20"/>
          <w:spacing w:val="-17"/>
          <w:w w:val="105"/>
        </w:rPr>
        <w:t> </w:t>
      </w:r>
      <w:r>
        <w:rPr>
          <w:color w:val="231F20"/>
          <w:w w:val="105"/>
        </w:rPr>
        <w:t>eficiencia</w:t>
      </w:r>
      <w:r>
        <w:rPr>
          <w:color w:val="231F20"/>
          <w:spacing w:val="-12"/>
          <w:w w:val="105"/>
        </w:rPr>
        <w:t> </w:t>
      </w:r>
      <w:r>
        <w:rPr>
          <w:color w:val="231F20"/>
          <w:w w:val="105"/>
        </w:rPr>
        <w:t>de</w:t>
      </w:r>
      <w:r>
        <w:rPr>
          <w:color w:val="231F20"/>
          <w:spacing w:val="-12"/>
          <w:w w:val="105"/>
        </w:rPr>
        <w:t> </w:t>
      </w:r>
      <w:r>
        <w:rPr>
          <w:color w:val="231F20"/>
          <w:w w:val="105"/>
        </w:rPr>
        <w:t>negocios</w:t>
      </w:r>
      <w:r>
        <w:rPr>
          <w:color w:val="231F20"/>
          <w:spacing w:val="-12"/>
          <w:w w:val="105"/>
        </w:rPr>
        <w:t> </w:t>
      </w:r>
      <w:r>
        <w:rPr>
          <w:color w:val="231F20"/>
          <w:w w:val="105"/>
        </w:rPr>
        <w:t>e</w:t>
      </w:r>
      <w:r>
        <w:rPr>
          <w:color w:val="231F20"/>
          <w:spacing w:val="-12"/>
          <w:w w:val="105"/>
        </w:rPr>
        <w:t> </w:t>
      </w:r>
      <w:r>
        <w:rPr>
          <w:color w:val="231F20"/>
          <w:w w:val="105"/>
        </w:rPr>
        <w:t>in- </w:t>
      </w:r>
      <w:r>
        <w:rPr>
          <w:color w:val="231F20"/>
          <w:spacing w:val="-3"/>
          <w:w w:val="105"/>
        </w:rPr>
        <w:t>fraestructura.</w:t>
      </w:r>
      <w:r>
        <w:rPr>
          <w:color w:val="231F20"/>
          <w:spacing w:val="-36"/>
          <w:w w:val="105"/>
        </w:rPr>
        <w:t> </w:t>
      </w:r>
      <w:r>
        <w:rPr>
          <w:color w:val="231F20"/>
          <w:w w:val="105"/>
        </w:rPr>
        <w:t>El</w:t>
      </w:r>
      <w:r>
        <w:rPr>
          <w:color w:val="231F20"/>
          <w:spacing w:val="-31"/>
          <w:w w:val="105"/>
        </w:rPr>
        <w:t> </w:t>
      </w:r>
      <w:r>
        <w:rPr>
          <w:color w:val="231F20"/>
          <w:w w:val="105"/>
        </w:rPr>
        <w:t>objetivo</w:t>
      </w:r>
      <w:r>
        <w:rPr>
          <w:color w:val="231F20"/>
          <w:spacing w:val="-31"/>
          <w:w w:val="105"/>
        </w:rPr>
        <w:t> </w:t>
      </w:r>
      <w:r>
        <w:rPr>
          <w:color w:val="231F20"/>
          <w:w w:val="105"/>
        </w:rPr>
        <w:t>final</w:t>
      </w:r>
      <w:r>
        <w:rPr>
          <w:color w:val="231F20"/>
          <w:spacing w:val="-31"/>
          <w:w w:val="105"/>
        </w:rPr>
        <w:t> </w:t>
      </w:r>
      <w:r>
        <w:rPr>
          <w:color w:val="231F20"/>
          <w:w w:val="105"/>
        </w:rPr>
        <w:t>es</w:t>
      </w:r>
      <w:r>
        <w:rPr>
          <w:color w:val="231F20"/>
          <w:spacing w:val="-31"/>
          <w:w w:val="105"/>
        </w:rPr>
        <w:t> </w:t>
      </w:r>
      <w:r>
        <w:rPr>
          <w:color w:val="231F20"/>
          <w:w w:val="105"/>
        </w:rPr>
        <w:t>calcular</w:t>
      </w:r>
      <w:r>
        <w:rPr>
          <w:color w:val="231F20"/>
          <w:spacing w:val="-31"/>
          <w:w w:val="105"/>
        </w:rPr>
        <w:t> </w:t>
      </w:r>
      <w:r>
        <w:rPr>
          <w:color w:val="231F20"/>
          <w:w w:val="105"/>
        </w:rPr>
        <w:t>el</w:t>
      </w:r>
      <w:r>
        <w:rPr>
          <w:color w:val="231F20"/>
          <w:spacing w:val="-31"/>
          <w:w w:val="105"/>
        </w:rPr>
        <w:t> </w:t>
      </w:r>
      <w:r>
        <w:rPr>
          <w:color w:val="231F20"/>
          <w:w w:val="105"/>
        </w:rPr>
        <w:t>grado</w:t>
      </w:r>
      <w:r>
        <w:rPr>
          <w:color w:val="231F20"/>
          <w:spacing w:val="-31"/>
          <w:w w:val="105"/>
        </w:rPr>
        <w:t> </w:t>
      </w:r>
      <w:r>
        <w:rPr>
          <w:color w:val="231F20"/>
          <w:w w:val="105"/>
        </w:rPr>
        <w:t>de</w:t>
      </w:r>
      <w:r>
        <w:rPr>
          <w:color w:val="231F20"/>
          <w:spacing w:val="-31"/>
          <w:w w:val="105"/>
        </w:rPr>
        <w:t> </w:t>
      </w:r>
      <w:r>
        <w:rPr>
          <w:color w:val="231F20"/>
          <w:w w:val="105"/>
        </w:rPr>
        <w:t>eficiencia</w:t>
      </w:r>
      <w:r>
        <w:rPr>
          <w:color w:val="231F20"/>
          <w:spacing w:val="-31"/>
          <w:w w:val="105"/>
        </w:rPr>
        <w:t> </w:t>
      </w:r>
      <w:r>
        <w:rPr>
          <w:color w:val="231F20"/>
          <w:w w:val="105"/>
        </w:rPr>
        <w:t>a</w:t>
      </w:r>
      <w:r>
        <w:rPr>
          <w:color w:val="231F20"/>
          <w:spacing w:val="-31"/>
          <w:w w:val="105"/>
        </w:rPr>
        <w:t> </w:t>
      </w:r>
      <w:r>
        <w:rPr>
          <w:color w:val="231F20"/>
          <w:spacing w:val="-2"/>
          <w:w w:val="105"/>
        </w:rPr>
        <w:t>través</w:t>
      </w:r>
      <w:r>
        <w:rPr>
          <w:color w:val="231F20"/>
          <w:spacing w:val="-31"/>
          <w:w w:val="105"/>
        </w:rPr>
        <w:t> </w:t>
      </w:r>
      <w:r>
        <w:rPr>
          <w:color w:val="231F20"/>
          <w:spacing w:val="-2"/>
          <w:w w:val="105"/>
        </w:rPr>
        <w:t>del </w:t>
      </w:r>
      <w:r>
        <w:rPr>
          <w:color w:val="231F20"/>
          <w:spacing w:val="-3"/>
          <w:w w:val="105"/>
        </w:rPr>
        <w:t>parámetro</w:t>
      </w:r>
      <w:r>
        <w:rPr>
          <w:color w:val="231F20"/>
          <w:spacing w:val="-15"/>
          <w:w w:val="105"/>
        </w:rPr>
        <w:t> </w:t>
      </w:r>
      <w:r>
        <w:rPr>
          <w:color w:val="231F20"/>
          <w:w w:val="105"/>
        </w:rPr>
        <w:t>de</w:t>
      </w:r>
      <w:r>
        <w:rPr>
          <w:color w:val="231F20"/>
          <w:spacing w:val="-15"/>
          <w:w w:val="105"/>
        </w:rPr>
        <w:t> </w:t>
      </w:r>
      <w:r>
        <w:rPr>
          <w:color w:val="231F20"/>
          <w:w w:val="105"/>
        </w:rPr>
        <w:t>competitividad</w:t>
      </w:r>
      <w:r>
        <w:rPr>
          <w:color w:val="231F20"/>
          <w:spacing w:val="-15"/>
          <w:w w:val="105"/>
        </w:rPr>
        <w:t> </w:t>
      </w:r>
      <w:r>
        <w:rPr>
          <w:color w:val="231F20"/>
          <w:w w:val="105"/>
        </w:rPr>
        <w:t>que</w:t>
      </w:r>
      <w:r>
        <w:rPr>
          <w:color w:val="231F20"/>
          <w:spacing w:val="-15"/>
          <w:w w:val="105"/>
        </w:rPr>
        <w:t> </w:t>
      </w:r>
      <w:r>
        <w:rPr>
          <w:color w:val="231F20"/>
          <w:w w:val="105"/>
        </w:rPr>
        <w:t>cada</w:t>
      </w:r>
      <w:r>
        <w:rPr>
          <w:color w:val="231F20"/>
          <w:spacing w:val="-15"/>
          <w:w w:val="105"/>
        </w:rPr>
        <w:t> </w:t>
      </w:r>
      <w:r>
        <w:rPr>
          <w:color w:val="231F20"/>
          <w:w w:val="105"/>
        </w:rPr>
        <w:t>uno</w:t>
      </w:r>
      <w:r>
        <w:rPr>
          <w:color w:val="231F20"/>
          <w:spacing w:val="-15"/>
          <w:w w:val="105"/>
        </w:rPr>
        <w:t> </w:t>
      </w:r>
      <w:r>
        <w:rPr>
          <w:color w:val="231F20"/>
          <w:w w:val="105"/>
        </w:rPr>
        <w:t>tiene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mercado</w:t>
      </w:r>
      <w:r>
        <w:rPr>
          <w:color w:val="231F20"/>
          <w:spacing w:val="-15"/>
          <w:w w:val="105"/>
        </w:rPr>
        <w:t> </w:t>
      </w:r>
      <w:r>
        <w:rPr>
          <w:color w:val="231F20"/>
          <w:w w:val="105"/>
        </w:rPr>
        <w:t>bajo</w:t>
      </w:r>
      <w:r>
        <w:rPr>
          <w:color w:val="231F20"/>
          <w:spacing w:val="-15"/>
          <w:w w:val="105"/>
        </w:rPr>
        <w:t> </w:t>
      </w:r>
      <w:r>
        <w:rPr>
          <w:color w:val="231F20"/>
          <w:spacing w:val="-2"/>
          <w:w w:val="105"/>
        </w:rPr>
        <w:t>una </w:t>
      </w:r>
      <w:r>
        <w:rPr>
          <w:color w:val="231F20"/>
          <w:w w:val="105"/>
        </w:rPr>
        <w:t>perspectiva</w:t>
      </w:r>
      <w:r>
        <w:rPr>
          <w:color w:val="231F20"/>
          <w:spacing w:val="-19"/>
          <w:w w:val="105"/>
        </w:rPr>
        <w:t> </w:t>
      </w:r>
      <w:r>
        <w:rPr>
          <w:color w:val="231F20"/>
          <w:w w:val="105"/>
        </w:rPr>
        <w:t>de</w:t>
      </w:r>
      <w:r>
        <w:rPr>
          <w:color w:val="231F20"/>
          <w:spacing w:val="-19"/>
          <w:w w:val="105"/>
        </w:rPr>
        <w:t> </w:t>
      </w:r>
      <w:r>
        <w:rPr>
          <w:color w:val="231F20"/>
          <w:w w:val="105"/>
        </w:rPr>
        <w:t>sustentabilidad,</w:t>
      </w:r>
      <w:r>
        <w:rPr>
          <w:color w:val="231F20"/>
          <w:spacing w:val="-24"/>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lleva</w:t>
      </w:r>
      <w:r>
        <w:rPr>
          <w:color w:val="231F20"/>
          <w:spacing w:val="-19"/>
          <w:w w:val="105"/>
        </w:rPr>
        <w:t> </w:t>
      </w:r>
      <w:r>
        <w:rPr>
          <w:color w:val="231F20"/>
          <w:w w:val="105"/>
        </w:rPr>
        <w:t>a</w:t>
      </w:r>
      <w:r>
        <w:rPr>
          <w:color w:val="231F20"/>
          <w:spacing w:val="-19"/>
          <w:w w:val="105"/>
        </w:rPr>
        <w:t> </w:t>
      </w:r>
      <w:r>
        <w:rPr>
          <w:color w:val="231F20"/>
          <w:w w:val="105"/>
        </w:rPr>
        <w:t>una</w:t>
      </w:r>
      <w:r>
        <w:rPr>
          <w:color w:val="231F20"/>
          <w:spacing w:val="-19"/>
          <w:w w:val="105"/>
        </w:rPr>
        <w:t> </w:t>
      </w:r>
      <w:r>
        <w:rPr>
          <w:color w:val="231F20"/>
          <w:w w:val="105"/>
        </w:rPr>
        <w:t>concepción</w:t>
      </w:r>
      <w:r>
        <w:rPr>
          <w:color w:val="231F20"/>
          <w:spacing w:val="-19"/>
          <w:w w:val="105"/>
        </w:rPr>
        <w:t> </w:t>
      </w:r>
      <w:r>
        <w:rPr>
          <w:color w:val="231F20"/>
          <w:w w:val="105"/>
        </w:rPr>
        <w:t>de</w:t>
      </w:r>
      <w:r>
        <w:rPr>
          <w:color w:val="231F20"/>
          <w:spacing w:val="-19"/>
          <w:w w:val="105"/>
        </w:rPr>
        <w:t> </w:t>
      </w:r>
      <w:r>
        <w:rPr>
          <w:color w:val="231F20"/>
          <w:w w:val="105"/>
        </w:rPr>
        <w:t>política de</w:t>
      </w:r>
      <w:r>
        <w:rPr>
          <w:color w:val="231F20"/>
          <w:spacing w:val="-14"/>
          <w:w w:val="105"/>
        </w:rPr>
        <w:t> </w:t>
      </w:r>
      <w:r>
        <w:rPr>
          <w:color w:val="231F20"/>
          <w:spacing w:val="-3"/>
          <w:w w:val="105"/>
        </w:rPr>
        <w:t>largo</w:t>
      </w:r>
      <w:r>
        <w:rPr>
          <w:color w:val="231F20"/>
          <w:spacing w:val="-14"/>
          <w:w w:val="105"/>
        </w:rPr>
        <w:t> </w:t>
      </w:r>
      <w:r>
        <w:rPr>
          <w:color w:val="231F20"/>
          <w:w w:val="105"/>
        </w:rPr>
        <w:t>plazo</w:t>
      </w:r>
      <w:r>
        <w:rPr>
          <w:color w:val="231F20"/>
          <w:spacing w:val="-14"/>
          <w:w w:val="105"/>
        </w:rPr>
        <w:t> </w:t>
      </w:r>
      <w:r>
        <w:rPr>
          <w:color w:val="231F20"/>
          <w:w w:val="105"/>
        </w:rPr>
        <w:t>(a</w:t>
      </w:r>
      <w:r>
        <w:rPr>
          <w:color w:val="231F20"/>
          <w:spacing w:val="-14"/>
          <w:w w:val="105"/>
        </w:rPr>
        <w:t> </w:t>
      </w:r>
      <w:r>
        <w:rPr>
          <w:color w:val="231F20"/>
          <w:spacing w:val="-3"/>
          <w:w w:val="105"/>
        </w:rPr>
        <w:t>diferencia</w:t>
      </w:r>
      <w:r>
        <w:rPr>
          <w:color w:val="231F20"/>
          <w:spacing w:val="-14"/>
          <w:w w:val="105"/>
        </w:rPr>
        <w:t> </w:t>
      </w:r>
      <w:r>
        <w:rPr>
          <w:color w:val="231F20"/>
          <w:w w:val="105"/>
        </w:rPr>
        <w:t>del</w:t>
      </w:r>
      <w:r>
        <w:rPr>
          <w:color w:val="231F20"/>
          <w:spacing w:val="-14"/>
          <w:w w:val="105"/>
        </w:rPr>
        <w:t> </w:t>
      </w:r>
      <w:r>
        <w:rPr>
          <w:color w:val="231F20"/>
          <w:w w:val="105"/>
        </w:rPr>
        <w:t>concepto</w:t>
      </w:r>
      <w:r>
        <w:rPr>
          <w:color w:val="231F20"/>
          <w:spacing w:val="-14"/>
          <w:w w:val="105"/>
        </w:rPr>
        <w:t> </w:t>
      </w:r>
      <w:r>
        <w:rPr>
          <w:color w:val="231F20"/>
          <w:w w:val="105"/>
        </w:rPr>
        <w:t>de</w:t>
      </w:r>
      <w:r>
        <w:rPr>
          <w:color w:val="231F20"/>
          <w:spacing w:val="-14"/>
          <w:w w:val="105"/>
        </w:rPr>
        <w:t> </w:t>
      </w:r>
      <w:r>
        <w:rPr>
          <w:color w:val="231F20"/>
          <w:w w:val="105"/>
        </w:rPr>
        <w:t>desempeño</w:t>
      </w:r>
      <w:r>
        <w:rPr>
          <w:color w:val="231F20"/>
          <w:spacing w:val="-14"/>
          <w:w w:val="105"/>
        </w:rPr>
        <w:t> </w:t>
      </w:r>
      <w:r>
        <w:rPr>
          <w:color w:val="231F20"/>
          <w:w w:val="105"/>
        </w:rPr>
        <w:t>económico</w:t>
      </w:r>
      <w:r>
        <w:rPr>
          <w:color w:val="231F20"/>
          <w:spacing w:val="-14"/>
          <w:w w:val="105"/>
        </w:rPr>
        <w:t> </w:t>
      </w:r>
      <w:r>
        <w:rPr>
          <w:color w:val="231F20"/>
          <w:spacing w:val="-2"/>
          <w:w w:val="105"/>
        </w:rPr>
        <w:t>que considera</w:t>
      </w:r>
      <w:r>
        <w:rPr>
          <w:color w:val="231F20"/>
          <w:spacing w:val="-27"/>
          <w:w w:val="105"/>
        </w:rPr>
        <w:t> </w:t>
      </w:r>
      <w:r>
        <w:rPr>
          <w:color w:val="231F20"/>
          <w:spacing w:val="-3"/>
          <w:w w:val="105"/>
        </w:rPr>
        <w:t>resultados</w:t>
      </w:r>
      <w:r>
        <w:rPr>
          <w:color w:val="231F20"/>
          <w:spacing w:val="-27"/>
          <w:w w:val="105"/>
        </w:rPr>
        <w:t> </w:t>
      </w:r>
      <w:r>
        <w:rPr>
          <w:color w:val="231F20"/>
          <w:w w:val="105"/>
        </w:rPr>
        <w:t>de</w:t>
      </w:r>
      <w:r>
        <w:rPr>
          <w:color w:val="231F20"/>
          <w:spacing w:val="-27"/>
          <w:w w:val="105"/>
        </w:rPr>
        <w:t> </w:t>
      </w:r>
      <w:r>
        <w:rPr>
          <w:color w:val="231F20"/>
          <w:w w:val="105"/>
        </w:rPr>
        <w:t>más</w:t>
      </w:r>
      <w:r>
        <w:rPr>
          <w:color w:val="231F20"/>
          <w:spacing w:val="-27"/>
          <w:w w:val="105"/>
        </w:rPr>
        <w:t> </w:t>
      </w:r>
      <w:r>
        <w:rPr>
          <w:color w:val="231F20"/>
          <w:w w:val="105"/>
        </w:rPr>
        <w:t>corto</w:t>
      </w:r>
      <w:r>
        <w:rPr>
          <w:color w:val="231F20"/>
          <w:spacing w:val="-27"/>
          <w:w w:val="105"/>
        </w:rPr>
        <w:t> </w:t>
      </w:r>
      <w:r>
        <w:rPr>
          <w:color w:val="231F20"/>
          <w:w w:val="105"/>
        </w:rPr>
        <w:t>plazo)</w:t>
      </w:r>
      <w:r>
        <w:rPr>
          <w:color w:val="231F20"/>
          <w:spacing w:val="-27"/>
          <w:w w:val="105"/>
        </w:rPr>
        <w:t> </w:t>
      </w:r>
      <w:r>
        <w:rPr>
          <w:color w:val="231F20"/>
          <w:w w:val="105"/>
        </w:rPr>
        <w:t>y</w:t>
      </w:r>
      <w:r>
        <w:rPr>
          <w:color w:val="231F20"/>
          <w:spacing w:val="-27"/>
          <w:w w:val="105"/>
        </w:rPr>
        <w:t> </w:t>
      </w:r>
      <w:r>
        <w:rPr>
          <w:color w:val="231F20"/>
          <w:w w:val="105"/>
        </w:rPr>
        <w:t>que</w:t>
      </w:r>
      <w:r>
        <w:rPr>
          <w:color w:val="231F20"/>
          <w:spacing w:val="-27"/>
          <w:w w:val="105"/>
        </w:rPr>
        <w:t> </w:t>
      </w:r>
      <w:r>
        <w:rPr>
          <w:color w:val="231F20"/>
          <w:w w:val="105"/>
        </w:rPr>
        <w:t>incluye</w:t>
      </w:r>
      <w:r>
        <w:rPr>
          <w:color w:val="231F20"/>
          <w:spacing w:val="-27"/>
          <w:w w:val="105"/>
        </w:rPr>
        <w:t> </w:t>
      </w:r>
      <w:r>
        <w:rPr>
          <w:color w:val="231F20"/>
          <w:w w:val="105"/>
        </w:rPr>
        <w:t>en</w:t>
      </w:r>
      <w:r>
        <w:rPr>
          <w:color w:val="231F20"/>
          <w:spacing w:val="-27"/>
          <w:w w:val="105"/>
        </w:rPr>
        <w:t> </w:t>
      </w:r>
      <w:r>
        <w:rPr>
          <w:color w:val="231F20"/>
          <w:w w:val="105"/>
        </w:rPr>
        <w:t>qué</w:t>
      </w:r>
      <w:r>
        <w:rPr>
          <w:color w:val="231F20"/>
          <w:spacing w:val="-27"/>
          <w:w w:val="105"/>
        </w:rPr>
        <w:t> </w:t>
      </w:r>
      <w:r>
        <w:rPr>
          <w:color w:val="231F20"/>
          <w:w w:val="105"/>
        </w:rPr>
        <w:t>medida</w:t>
      </w:r>
      <w:r>
        <w:rPr>
          <w:color w:val="231F20"/>
          <w:spacing w:val="-27"/>
          <w:w w:val="105"/>
        </w:rPr>
        <w:t> </w:t>
      </w:r>
      <w:r>
        <w:rPr>
          <w:color w:val="231F20"/>
          <w:spacing w:val="-2"/>
          <w:w w:val="105"/>
        </w:rPr>
        <w:t>los </w:t>
      </w:r>
      <w:r>
        <w:rPr>
          <w:color w:val="231F20"/>
          <w:w w:val="105"/>
        </w:rPr>
        <w:t>beneficios</w:t>
      </w:r>
      <w:r>
        <w:rPr>
          <w:color w:val="231F20"/>
          <w:spacing w:val="-26"/>
          <w:w w:val="105"/>
        </w:rPr>
        <w:t> </w:t>
      </w:r>
      <w:r>
        <w:rPr>
          <w:color w:val="231F20"/>
          <w:w w:val="105"/>
        </w:rPr>
        <w:t>son</w:t>
      </w:r>
      <w:r>
        <w:rPr>
          <w:color w:val="231F20"/>
          <w:spacing w:val="-26"/>
          <w:w w:val="105"/>
        </w:rPr>
        <w:t> </w:t>
      </w:r>
      <w:r>
        <w:rPr>
          <w:color w:val="231F20"/>
          <w:w w:val="105"/>
        </w:rPr>
        <w:t>distribuidos</w:t>
      </w:r>
      <w:r>
        <w:rPr>
          <w:color w:val="231F20"/>
          <w:spacing w:val="-26"/>
          <w:w w:val="105"/>
        </w:rPr>
        <w:t> </w:t>
      </w:r>
      <w:r>
        <w:rPr>
          <w:color w:val="231F20"/>
          <w:spacing w:val="-3"/>
          <w:w w:val="105"/>
        </w:rPr>
        <w:t>entre</w:t>
      </w:r>
      <w:r>
        <w:rPr>
          <w:color w:val="231F20"/>
          <w:spacing w:val="-26"/>
          <w:w w:val="105"/>
        </w:rPr>
        <w:t> </w:t>
      </w:r>
      <w:r>
        <w:rPr>
          <w:color w:val="231F20"/>
          <w:w w:val="105"/>
        </w:rPr>
        <w:t>los</w:t>
      </w:r>
      <w:r>
        <w:rPr>
          <w:color w:val="231F20"/>
          <w:spacing w:val="-26"/>
          <w:w w:val="105"/>
        </w:rPr>
        <w:t> </w:t>
      </w:r>
      <w:r>
        <w:rPr>
          <w:color w:val="231F20"/>
          <w:w w:val="105"/>
        </w:rPr>
        <w:t>componentes</w:t>
      </w:r>
      <w:r>
        <w:rPr>
          <w:color w:val="231F20"/>
          <w:spacing w:val="-26"/>
          <w:w w:val="105"/>
        </w:rPr>
        <w:t> </w:t>
      </w:r>
      <w:r>
        <w:rPr>
          <w:color w:val="231F20"/>
          <w:w w:val="105"/>
        </w:rPr>
        <w:t>de</w:t>
      </w:r>
      <w:r>
        <w:rPr>
          <w:color w:val="231F20"/>
          <w:spacing w:val="-26"/>
          <w:w w:val="105"/>
        </w:rPr>
        <w:t> </w:t>
      </w:r>
      <w:r>
        <w:rPr>
          <w:color w:val="231F20"/>
          <w:w w:val="105"/>
        </w:rPr>
        <w:t>esa</w:t>
      </w:r>
      <w:r>
        <w:rPr>
          <w:color w:val="231F20"/>
          <w:spacing w:val="-26"/>
          <w:w w:val="105"/>
        </w:rPr>
        <w:t> </w:t>
      </w:r>
      <w:r>
        <w:rPr>
          <w:color w:val="231F20"/>
          <w:w w:val="105"/>
        </w:rPr>
        <w:t>sociedad.</w:t>
      </w:r>
    </w:p>
    <w:p>
      <w:pPr>
        <w:spacing w:after="0" w:line="259" w:lineRule="auto"/>
        <w:jc w:val="both"/>
        <w:sectPr>
          <w:pgSz w:w="9640" w:h="13890"/>
          <w:pgMar w:top="0" w:bottom="280" w:left="1300" w:right="1180"/>
        </w:sectPr>
      </w:pPr>
    </w:p>
    <w:p>
      <w:pPr>
        <w:pStyle w:val="Heading2"/>
        <w:spacing w:before="121"/>
        <w:ind w:left="103"/>
      </w:pPr>
      <w:r>
        <w:rPr>
          <w:color w:val="231F20"/>
          <w:w w:val="95"/>
        </w:rPr>
        <w:t>Reflexión final</w:t>
      </w:r>
    </w:p>
    <w:p>
      <w:pPr>
        <w:pStyle w:val="BodyText"/>
        <w:rPr>
          <w:b/>
          <w:sz w:val="22"/>
        </w:rPr>
      </w:pPr>
    </w:p>
    <w:p>
      <w:pPr>
        <w:pStyle w:val="BodyText"/>
        <w:spacing w:line="259" w:lineRule="auto" w:before="160"/>
        <w:ind w:left="103" w:right="114"/>
        <w:jc w:val="both"/>
      </w:pPr>
      <w:r>
        <w:rPr>
          <w:color w:val="231F20"/>
        </w:rPr>
        <w:t>El comercio internacional permite a una nación incrementar su nivel de productividad, especializándose en aquellas industrias y segmentos en  los que sus empresas son relativamente más productivas, e importando aquellos productos y servicios donde lo son  </w:t>
      </w:r>
      <w:r>
        <w:rPr>
          <w:color w:val="231F20"/>
          <w:spacing w:val="29"/>
        </w:rPr>
        <w:t> </w:t>
      </w:r>
      <w:r>
        <w:rPr>
          <w:color w:val="231F20"/>
        </w:rPr>
        <w:t>menos.</w:t>
      </w:r>
    </w:p>
    <w:p>
      <w:pPr>
        <w:pStyle w:val="BodyText"/>
        <w:spacing w:line="259" w:lineRule="auto"/>
        <w:ind w:left="103" w:right="109" w:firstLine="567"/>
        <w:jc w:val="both"/>
      </w:pPr>
      <w:r>
        <w:rPr>
          <w:color w:val="231F20"/>
          <w:w w:val="105"/>
        </w:rPr>
        <w:t>Es clave la relación teórica de la IED con la competitividad, ya que ha demostrado ser un indicador del desarrollo económico y social, puesto</w:t>
      </w:r>
      <w:r>
        <w:rPr>
          <w:color w:val="231F20"/>
          <w:spacing w:val="-13"/>
          <w:w w:val="105"/>
        </w:rPr>
        <w:t> </w:t>
      </w: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sólo</w:t>
      </w:r>
      <w:r>
        <w:rPr>
          <w:color w:val="231F20"/>
          <w:spacing w:val="-13"/>
          <w:w w:val="105"/>
        </w:rPr>
        <w:t> </w:t>
      </w:r>
      <w:r>
        <w:rPr>
          <w:color w:val="231F20"/>
          <w:w w:val="105"/>
        </w:rPr>
        <w:t>permite</w:t>
      </w:r>
      <w:r>
        <w:rPr>
          <w:color w:val="231F20"/>
          <w:spacing w:val="-13"/>
          <w:w w:val="105"/>
        </w:rPr>
        <w:t> </w:t>
      </w:r>
      <w:r>
        <w:rPr>
          <w:color w:val="231F20"/>
          <w:w w:val="105"/>
        </w:rPr>
        <w:t>incrementar</w:t>
      </w:r>
      <w:r>
        <w:rPr>
          <w:color w:val="231F20"/>
          <w:spacing w:val="-13"/>
          <w:w w:val="105"/>
        </w:rPr>
        <w:t> </w:t>
      </w:r>
      <w:r>
        <w:rPr>
          <w:color w:val="231F20"/>
          <w:w w:val="105"/>
        </w:rPr>
        <w:t>los</w:t>
      </w:r>
      <w:r>
        <w:rPr>
          <w:color w:val="231F20"/>
          <w:spacing w:val="-13"/>
          <w:w w:val="105"/>
        </w:rPr>
        <w:t> </w:t>
      </w:r>
      <w:r>
        <w:rPr>
          <w:color w:val="231F20"/>
          <w:w w:val="105"/>
        </w:rPr>
        <w:t>recursos</w:t>
      </w:r>
      <w:r>
        <w:rPr>
          <w:color w:val="231F20"/>
          <w:spacing w:val="-13"/>
          <w:w w:val="105"/>
        </w:rPr>
        <w:t> </w:t>
      </w:r>
      <w:r>
        <w:rPr>
          <w:color w:val="231F20"/>
          <w:w w:val="105"/>
        </w:rPr>
        <w:t>disponibles</w:t>
      </w:r>
      <w:r>
        <w:rPr>
          <w:color w:val="231F20"/>
          <w:spacing w:val="-13"/>
          <w:w w:val="105"/>
        </w:rPr>
        <w:t> </w:t>
      </w:r>
      <w:r>
        <w:rPr>
          <w:color w:val="231F20"/>
          <w:w w:val="105"/>
        </w:rPr>
        <w:t>para</w:t>
      </w:r>
      <w:r>
        <w:rPr>
          <w:color w:val="231F20"/>
          <w:spacing w:val="-13"/>
          <w:w w:val="105"/>
        </w:rPr>
        <w:t> </w:t>
      </w:r>
      <w:r>
        <w:rPr>
          <w:color w:val="231F20"/>
          <w:w w:val="105"/>
        </w:rPr>
        <w:t>la realización</w:t>
      </w:r>
      <w:r>
        <w:rPr>
          <w:color w:val="231F20"/>
          <w:spacing w:val="-7"/>
          <w:w w:val="105"/>
        </w:rPr>
        <w:t> </w:t>
      </w:r>
      <w:r>
        <w:rPr>
          <w:color w:val="231F20"/>
          <w:w w:val="105"/>
        </w:rPr>
        <w:t>de</w:t>
      </w:r>
      <w:r>
        <w:rPr>
          <w:color w:val="231F20"/>
          <w:spacing w:val="-7"/>
          <w:w w:val="105"/>
        </w:rPr>
        <w:t> </w:t>
      </w:r>
      <w:r>
        <w:rPr>
          <w:color w:val="231F20"/>
          <w:w w:val="105"/>
        </w:rPr>
        <w:t>inversiones</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formación</w:t>
      </w:r>
      <w:r>
        <w:rPr>
          <w:color w:val="231F20"/>
          <w:spacing w:val="-7"/>
          <w:w w:val="105"/>
        </w:rPr>
        <w:t> </w:t>
      </w:r>
      <w:r>
        <w:rPr>
          <w:color w:val="231F20"/>
          <w:w w:val="105"/>
        </w:rPr>
        <w:t>de</w:t>
      </w:r>
      <w:r>
        <w:rPr>
          <w:color w:val="231F20"/>
          <w:spacing w:val="-7"/>
          <w:w w:val="105"/>
        </w:rPr>
        <w:t> </w:t>
      </w:r>
      <w:r>
        <w:rPr>
          <w:color w:val="231F20"/>
          <w:w w:val="105"/>
        </w:rPr>
        <w:t>capital,</w:t>
      </w:r>
      <w:r>
        <w:rPr>
          <w:color w:val="231F20"/>
          <w:spacing w:val="-13"/>
          <w:w w:val="105"/>
        </w:rPr>
        <w:t> </w:t>
      </w:r>
      <w:r>
        <w:rPr>
          <w:color w:val="231F20"/>
          <w:w w:val="105"/>
        </w:rPr>
        <w:t>sino</w:t>
      </w:r>
      <w:r>
        <w:rPr>
          <w:color w:val="231F20"/>
          <w:spacing w:val="-7"/>
          <w:w w:val="105"/>
        </w:rPr>
        <w:t> </w:t>
      </w:r>
      <w:r>
        <w:rPr>
          <w:color w:val="231F20"/>
          <w:w w:val="105"/>
        </w:rPr>
        <w:t>que</w:t>
      </w:r>
      <w:r>
        <w:rPr>
          <w:color w:val="231F20"/>
          <w:spacing w:val="-7"/>
          <w:w w:val="105"/>
        </w:rPr>
        <w:t> </w:t>
      </w:r>
      <w:r>
        <w:rPr>
          <w:color w:val="231F20"/>
          <w:w w:val="105"/>
        </w:rPr>
        <w:t>constituye también un elemento para el mejoramiento de la productividad en el país receptor a través de la difusión de tecnologías avanzadas para la producción y de la innovación y capacidad técnica que permiten tener un</w:t>
      </w:r>
      <w:r>
        <w:rPr>
          <w:color w:val="231F20"/>
          <w:spacing w:val="-27"/>
          <w:w w:val="105"/>
        </w:rPr>
        <w:t> </w:t>
      </w:r>
      <w:r>
        <w:rPr>
          <w:color w:val="231F20"/>
          <w:w w:val="105"/>
        </w:rPr>
        <w:t>adecuado</w:t>
      </w:r>
      <w:r>
        <w:rPr>
          <w:color w:val="231F20"/>
          <w:spacing w:val="-27"/>
          <w:w w:val="105"/>
        </w:rPr>
        <w:t> </w:t>
      </w:r>
      <w:r>
        <w:rPr>
          <w:color w:val="231F20"/>
          <w:w w:val="105"/>
        </w:rPr>
        <w:t>acceso</w:t>
      </w:r>
      <w:r>
        <w:rPr>
          <w:color w:val="231F20"/>
          <w:spacing w:val="-27"/>
          <w:w w:val="105"/>
        </w:rPr>
        <w:t> </w:t>
      </w:r>
      <w:r>
        <w:rPr>
          <w:color w:val="231F20"/>
          <w:w w:val="105"/>
        </w:rPr>
        <w:t>a</w:t>
      </w:r>
      <w:r>
        <w:rPr>
          <w:color w:val="231F20"/>
          <w:spacing w:val="-27"/>
          <w:w w:val="105"/>
        </w:rPr>
        <w:t> </w:t>
      </w:r>
      <w:r>
        <w:rPr>
          <w:color w:val="231F20"/>
          <w:w w:val="105"/>
        </w:rPr>
        <w:t>las</w:t>
      </w:r>
      <w:r>
        <w:rPr>
          <w:color w:val="231F20"/>
          <w:spacing w:val="-27"/>
          <w:w w:val="105"/>
        </w:rPr>
        <w:t> </w:t>
      </w:r>
      <w:r>
        <w:rPr>
          <w:color w:val="231F20"/>
          <w:w w:val="105"/>
        </w:rPr>
        <w:t>redes</w:t>
      </w:r>
      <w:r>
        <w:rPr>
          <w:color w:val="231F20"/>
          <w:spacing w:val="-27"/>
          <w:w w:val="105"/>
        </w:rPr>
        <w:t> </w:t>
      </w:r>
      <w:r>
        <w:rPr>
          <w:color w:val="231F20"/>
          <w:w w:val="105"/>
        </w:rPr>
        <w:t>internacionales</w:t>
      </w:r>
      <w:r>
        <w:rPr>
          <w:color w:val="231F20"/>
          <w:spacing w:val="-27"/>
          <w:w w:val="105"/>
        </w:rPr>
        <w:t> </w:t>
      </w:r>
      <w:r>
        <w:rPr>
          <w:color w:val="231F20"/>
          <w:w w:val="105"/>
        </w:rPr>
        <w:t>de</w:t>
      </w:r>
      <w:r>
        <w:rPr>
          <w:color w:val="231F20"/>
          <w:spacing w:val="-27"/>
          <w:w w:val="105"/>
        </w:rPr>
        <w:t> </w:t>
      </w:r>
      <w:r>
        <w:rPr>
          <w:color w:val="231F20"/>
          <w:w w:val="105"/>
        </w:rPr>
        <w:t>comercialización.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792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280</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1258" w:right="0" w:firstLine="0"/>
        <w:jc w:val="left"/>
        <w:rPr>
          <w:sz w:val="20"/>
        </w:rPr>
      </w:pPr>
      <w:r>
        <w:rPr/>
        <w:pict>
          <v:line style="position:absolute;mso-position-horizontal-relative:page;mso-position-vertical-relative:paragraph;z-index:-237904" from="384.061005pt,-25.30427pt" to="384.061005pt,9.561580pt" stroked="true" strokeweight=".3pt" strokecolor="#231f20">
            <w10:wrap type="none"/>
          </v:line>
        </w:pict>
      </w:r>
      <w:r>
        <w:rPr>
          <w:rFonts w:ascii="Lucida Sans Unicode" w:hAnsi="Lucida Sans Unicode"/>
          <w:color w:val="6D6E71"/>
          <w:sz w:val="14"/>
        </w:rPr>
        <w:t>XI. RelacIón teóRIca entRe InveRsIón eXtRanjeRa dIRecta</w:t>
      </w:r>
      <w:r>
        <w:rPr>
          <w:rFonts w:ascii="Lucida Sans Unicode" w:hAnsi="Lucida Sans Unicode"/>
          <w:color w:val="6D6E71"/>
          <w:spacing w:val="-11"/>
          <w:sz w:val="14"/>
        </w:rPr>
        <w:t> </w:t>
      </w:r>
      <w:r>
        <w:rPr>
          <w:rFonts w:ascii="Lucida Sans Unicode" w:hAnsi="Lucida Sans Unicode"/>
          <w:color w:val="6D6E71"/>
          <w:sz w:val="14"/>
        </w:rPr>
        <w:t>y</w:t>
      </w:r>
      <w:r>
        <w:rPr>
          <w:rFonts w:ascii="Lucida Sans Unicode" w:hAnsi="Lucida Sans Unicode"/>
          <w:color w:val="6D6E71"/>
          <w:spacing w:val="-2"/>
          <w:sz w:val="14"/>
        </w:rPr>
        <w:t> </w:t>
      </w:r>
      <w:r>
        <w:rPr>
          <w:rFonts w:ascii="Lucida Sans Unicode" w:hAnsi="Lucida Sans Unicode"/>
          <w:color w:val="6D6E71"/>
          <w:sz w:val="14"/>
        </w:rPr>
        <w:t>competItIvIdad</w:t>
      </w:r>
      <w:r>
        <w:rPr>
          <w:color w:val="414042"/>
          <w:position w:val="-3"/>
          <w:sz w:val="20"/>
        </w:rPr>
        <w:tab/>
        <w:t>281</w:t>
      </w:r>
    </w:p>
    <w:p>
      <w:pPr>
        <w:pStyle w:val="BodyText"/>
        <w:rPr>
          <w:sz w:val="22"/>
        </w:rPr>
      </w:pPr>
    </w:p>
    <w:p>
      <w:pPr>
        <w:pStyle w:val="BodyText"/>
        <w:rPr>
          <w:sz w:val="22"/>
        </w:rPr>
      </w:pPr>
    </w:p>
    <w:p>
      <w:pPr>
        <w:pStyle w:val="Heading2"/>
        <w:spacing w:before="131"/>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w w:val="105"/>
          <w:sz w:val="21"/>
        </w:rPr>
        <w:t>Arosamena,</w:t>
      </w:r>
      <w:r>
        <w:rPr>
          <w:color w:val="231F20"/>
          <w:spacing w:val="-27"/>
          <w:w w:val="105"/>
          <w:sz w:val="21"/>
        </w:rPr>
        <w:t> </w:t>
      </w:r>
      <w:r>
        <w:rPr>
          <w:color w:val="231F20"/>
          <w:w w:val="105"/>
          <w:sz w:val="21"/>
        </w:rPr>
        <w:t>G.</w:t>
      </w:r>
      <w:r>
        <w:rPr>
          <w:color w:val="231F20"/>
          <w:spacing w:val="-27"/>
          <w:w w:val="105"/>
          <w:sz w:val="21"/>
        </w:rPr>
        <w:t> </w:t>
      </w:r>
      <w:r>
        <w:rPr>
          <w:color w:val="231F20"/>
          <w:w w:val="105"/>
          <w:sz w:val="21"/>
        </w:rPr>
        <w:t>(2009),</w:t>
      </w:r>
      <w:r>
        <w:rPr>
          <w:color w:val="231F20"/>
          <w:spacing w:val="-27"/>
          <w:w w:val="105"/>
          <w:sz w:val="21"/>
        </w:rPr>
        <w:t> </w:t>
      </w:r>
      <w:r>
        <w:rPr>
          <w:i/>
          <w:color w:val="231F20"/>
          <w:w w:val="105"/>
          <w:sz w:val="21"/>
        </w:rPr>
        <w:t>Florecimiento</w:t>
      </w:r>
      <w:r>
        <w:rPr>
          <w:i/>
          <w:color w:val="231F20"/>
          <w:spacing w:val="-23"/>
          <w:w w:val="105"/>
          <w:sz w:val="21"/>
        </w:rPr>
        <w:t> </w:t>
      </w:r>
      <w:r>
        <w:rPr>
          <w:i/>
          <w:color w:val="231F20"/>
          <w:w w:val="105"/>
          <w:sz w:val="21"/>
        </w:rPr>
        <w:t>económico</w:t>
      </w:r>
      <w:r>
        <w:rPr>
          <w:i/>
          <w:color w:val="231F20"/>
          <w:spacing w:val="-23"/>
          <w:w w:val="105"/>
          <w:sz w:val="21"/>
        </w:rPr>
        <w:t> </w:t>
      </w:r>
      <w:r>
        <w:rPr>
          <w:i/>
          <w:color w:val="231F20"/>
          <w:w w:val="105"/>
          <w:sz w:val="21"/>
        </w:rPr>
        <w:t>de</w:t>
      </w:r>
      <w:r>
        <w:rPr>
          <w:i/>
          <w:color w:val="231F20"/>
          <w:spacing w:val="-23"/>
          <w:w w:val="105"/>
          <w:sz w:val="21"/>
        </w:rPr>
        <w:t> </w:t>
      </w:r>
      <w:r>
        <w:rPr>
          <w:i/>
          <w:color w:val="231F20"/>
          <w:w w:val="105"/>
          <w:sz w:val="21"/>
        </w:rPr>
        <w:t>Europa</w:t>
      </w:r>
      <w:r>
        <w:rPr>
          <w:i/>
          <w:color w:val="231F20"/>
          <w:spacing w:val="-23"/>
          <w:w w:val="105"/>
          <w:sz w:val="21"/>
        </w:rPr>
        <w:t> </w:t>
      </w:r>
      <w:r>
        <w:rPr>
          <w:i/>
          <w:color w:val="231F20"/>
          <w:w w:val="105"/>
          <w:sz w:val="21"/>
        </w:rPr>
        <w:t>oriental</w:t>
      </w:r>
      <w:r>
        <w:rPr>
          <w:i/>
          <w:color w:val="231F20"/>
          <w:spacing w:val="-23"/>
          <w:w w:val="105"/>
          <w:sz w:val="21"/>
        </w:rPr>
        <w:t> </w:t>
      </w:r>
      <w:r>
        <w:rPr>
          <w:i/>
          <w:color w:val="231F20"/>
          <w:w w:val="105"/>
          <w:sz w:val="21"/>
        </w:rPr>
        <w:t>des- </w:t>
      </w:r>
      <w:r>
        <w:rPr>
          <w:i/>
          <w:color w:val="231F20"/>
          <w:w w:val="105"/>
          <w:sz w:val="21"/>
        </w:rPr>
        <w:t>pués</w:t>
      </w:r>
      <w:r>
        <w:rPr>
          <w:i/>
          <w:color w:val="231F20"/>
          <w:spacing w:val="-7"/>
          <w:w w:val="105"/>
          <w:sz w:val="21"/>
        </w:rPr>
        <w:t> </w:t>
      </w:r>
      <w:r>
        <w:rPr>
          <w:i/>
          <w:color w:val="231F20"/>
          <w:w w:val="105"/>
          <w:sz w:val="21"/>
        </w:rPr>
        <w:t>de</w:t>
      </w:r>
      <w:r>
        <w:rPr>
          <w:i/>
          <w:color w:val="231F20"/>
          <w:spacing w:val="-7"/>
          <w:w w:val="105"/>
          <w:sz w:val="21"/>
        </w:rPr>
        <w:t> </w:t>
      </w:r>
      <w:r>
        <w:rPr>
          <w:i/>
          <w:color w:val="231F20"/>
          <w:w w:val="105"/>
          <w:sz w:val="21"/>
        </w:rPr>
        <w:t>la</w:t>
      </w:r>
      <w:r>
        <w:rPr>
          <w:i/>
          <w:color w:val="231F20"/>
          <w:spacing w:val="-7"/>
          <w:w w:val="105"/>
          <w:sz w:val="21"/>
        </w:rPr>
        <w:t> </w:t>
      </w:r>
      <w:r>
        <w:rPr>
          <w:i/>
          <w:color w:val="231F20"/>
          <w:w w:val="105"/>
          <w:sz w:val="21"/>
        </w:rPr>
        <w:t>caída</w:t>
      </w:r>
      <w:r>
        <w:rPr>
          <w:i/>
          <w:color w:val="231F20"/>
          <w:spacing w:val="-7"/>
          <w:w w:val="105"/>
          <w:sz w:val="21"/>
        </w:rPr>
        <w:t> </w:t>
      </w:r>
      <w:r>
        <w:rPr>
          <w:i/>
          <w:color w:val="231F20"/>
          <w:w w:val="105"/>
          <w:sz w:val="21"/>
        </w:rPr>
        <w:t>del</w:t>
      </w:r>
      <w:r>
        <w:rPr>
          <w:i/>
          <w:color w:val="231F20"/>
          <w:spacing w:val="-7"/>
          <w:w w:val="105"/>
          <w:sz w:val="21"/>
        </w:rPr>
        <w:t> </w:t>
      </w:r>
      <w:r>
        <w:rPr>
          <w:i/>
          <w:color w:val="231F20"/>
          <w:w w:val="105"/>
          <w:sz w:val="21"/>
        </w:rPr>
        <w:t>Muro</w:t>
      </w:r>
      <w:r>
        <w:rPr>
          <w:i/>
          <w:color w:val="231F20"/>
          <w:spacing w:val="-7"/>
          <w:w w:val="105"/>
          <w:sz w:val="21"/>
        </w:rPr>
        <w:t> </w:t>
      </w:r>
      <w:r>
        <w:rPr>
          <w:i/>
          <w:color w:val="231F20"/>
          <w:w w:val="105"/>
          <w:sz w:val="21"/>
        </w:rPr>
        <w:t>de</w:t>
      </w:r>
      <w:r>
        <w:rPr>
          <w:i/>
          <w:color w:val="231F20"/>
          <w:spacing w:val="-7"/>
          <w:w w:val="105"/>
          <w:sz w:val="21"/>
        </w:rPr>
        <w:t> </w:t>
      </w:r>
      <w:r>
        <w:rPr>
          <w:i/>
          <w:color w:val="231F20"/>
          <w:w w:val="105"/>
          <w:sz w:val="21"/>
        </w:rPr>
        <w:t>Berlín</w:t>
      </w:r>
      <w:r>
        <w:rPr>
          <w:color w:val="231F20"/>
          <w:w w:val="105"/>
          <w:sz w:val="21"/>
        </w:rPr>
        <w:t>,</w:t>
      </w:r>
      <w:r>
        <w:rPr>
          <w:color w:val="231F20"/>
          <w:spacing w:val="-14"/>
          <w:w w:val="105"/>
          <w:sz w:val="21"/>
        </w:rPr>
        <w:t> </w:t>
      </w:r>
      <w:r>
        <w:rPr>
          <w:color w:val="231F20"/>
          <w:w w:val="105"/>
          <w:sz w:val="21"/>
        </w:rPr>
        <w:t>Disponible</w:t>
      </w:r>
      <w:r>
        <w:rPr>
          <w:color w:val="231F20"/>
          <w:spacing w:val="-7"/>
          <w:w w:val="105"/>
          <w:sz w:val="21"/>
        </w:rPr>
        <w:t> </w:t>
      </w:r>
      <w:r>
        <w:rPr>
          <w:color w:val="231F20"/>
          <w:w w:val="105"/>
          <w:sz w:val="21"/>
        </w:rPr>
        <w:t>en:</w:t>
      </w:r>
      <w:r>
        <w:rPr>
          <w:color w:val="231F20"/>
          <w:spacing w:val="-7"/>
          <w:w w:val="105"/>
          <w:sz w:val="21"/>
        </w:rPr>
        <w:t> </w:t>
      </w:r>
      <w:hyperlink r:id="rId128">
        <w:r>
          <w:rPr>
            <w:color w:val="231F20"/>
            <w:w w:val="105"/>
            <w:sz w:val="21"/>
          </w:rPr>
          <w:t>http://works.</w:t>
        </w:r>
      </w:hyperlink>
      <w:r>
        <w:rPr>
          <w:color w:val="231F20"/>
          <w:w w:val="105"/>
          <w:sz w:val="21"/>
        </w:rPr>
        <w:t> bepress.com/cgi/viewcontent.cgi?article=1312ycontext=guiller- mo_arosemena</w:t>
      </w:r>
    </w:p>
    <w:p>
      <w:pPr>
        <w:spacing w:line="259" w:lineRule="auto" w:before="0"/>
        <w:ind w:left="854" w:right="121" w:hanging="738"/>
        <w:jc w:val="both"/>
        <w:rPr>
          <w:sz w:val="21"/>
        </w:rPr>
      </w:pPr>
      <w:r>
        <w:rPr>
          <w:color w:val="231F20"/>
          <w:sz w:val="21"/>
        </w:rPr>
        <w:t>Bajo, O. (1991), </w:t>
      </w:r>
      <w:r>
        <w:rPr>
          <w:i/>
          <w:color w:val="231F20"/>
          <w:sz w:val="21"/>
        </w:rPr>
        <w:t>Determinantes macroeconómicos y sectoriales de la in- </w:t>
      </w:r>
      <w:r>
        <w:rPr>
          <w:i/>
          <w:color w:val="231F20"/>
          <w:sz w:val="21"/>
        </w:rPr>
        <w:t>versión extranjera directa en España</w:t>
      </w:r>
      <w:r>
        <w:rPr>
          <w:color w:val="231F20"/>
          <w:sz w:val="21"/>
        </w:rPr>
        <w:t>, Información Comercial Es- pañola, núm. 696- 697.</w:t>
      </w:r>
    </w:p>
    <w:p>
      <w:pPr>
        <w:spacing w:line="259" w:lineRule="auto" w:before="0"/>
        <w:ind w:left="854" w:right="121" w:hanging="738"/>
        <w:jc w:val="both"/>
        <w:rPr>
          <w:sz w:val="21"/>
        </w:rPr>
      </w:pPr>
      <w:r>
        <w:rPr>
          <w:color w:val="231F20"/>
          <w:spacing w:val="-3"/>
          <w:w w:val="105"/>
          <w:sz w:val="21"/>
        </w:rPr>
        <w:t>Barker, </w:t>
      </w:r>
      <w:r>
        <w:rPr>
          <w:color w:val="231F20"/>
          <w:spacing w:val="-9"/>
          <w:w w:val="105"/>
          <w:sz w:val="21"/>
        </w:rPr>
        <w:t>T. </w:t>
      </w:r>
      <w:r>
        <w:rPr>
          <w:color w:val="231F20"/>
          <w:w w:val="105"/>
          <w:sz w:val="21"/>
        </w:rPr>
        <w:t>(1977), “International trade and economic growth: an</w:t>
      </w:r>
      <w:r>
        <w:rPr>
          <w:color w:val="231F20"/>
          <w:spacing w:val="-13"/>
          <w:w w:val="105"/>
          <w:sz w:val="21"/>
        </w:rPr>
        <w:t> </w:t>
      </w:r>
      <w:r>
        <w:rPr>
          <w:color w:val="231F20"/>
          <w:w w:val="105"/>
          <w:sz w:val="21"/>
        </w:rPr>
        <w:t>alterna- tive</w:t>
      </w:r>
      <w:r>
        <w:rPr>
          <w:color w:val="231F20"/>
          <w:spacing w:val="-17"/>
          <w:w w:val="105"/>
          <w:sz w:val="21"/>
        </w:rPr>
        <w:t> </w:t>
      </w:r>
      <w:r>
        <w:rPr>
          <w:color w:val="231F20"/>
          <w:w w:val="105"/>
          <w:sz w:val="21"/>
        </w:rPr>
        <w:t>to</w:t>
      </w:r>
      <w:r>
        <w:rPr>
          <w:color w:val="231F20"/>
          <w:spacing w:val="-17"/>
          <w:w w:val="105"/>
          <w:sz w:val="21"/>
        </w:rPr>
        <w:t> </w:t>
      </w:r>
      <w:r>
        <w:rPr>
          <w:color w:val="231F20"/>
          <w:w w:val="105"/>
          <w:sz w:val="21"/>
        </w:rPr>
        <w:t>the</w:t>
      </w:r>
      <w:r>
        <w:rPr>
          <w:color w:val="231F20"/>
          <w:spacing w:val="-17"/>
          <w:w w:val="105"/>
          <w:sz w:val="21"/>
        </w:rPr>
        <w:t> </w:t>
      </w:r>
      <w:r>
        <w:rPr>
          <w:color w:val="231F20"/>
          <w:w w:val="105"/>
          <w:sz w:val="21"/>
        </w:rPr>
        <w:t>neoclassical</w:t>
      </w:r>
      <w:r>
        <w:rPr>
          <w:color w:val="231F20"/>
          <w:spacing w:val="-17"/>
          <w:w w:val="105"/>
          <w:sz w:val="21"/>
        </w:rPr>
        <w:t> </w:t>
      </w:r>
      <w:r>
        <w:rPr>
          <w:color w:val="231F20"/>
          <w:w w:val="105"/>
          <w:sz w:val="21"/>
        </w:rPr>
        <w:t>approach”</w:t>
      </w:r>
      <w:r>
        <w:rPr>
          <w:color w:val="231F20"/>
          <w:spacing w:val="-17"/>
          <w:w w:val="105"/>
          <w:sz w:val="21"/>
        </w:rPr>
        <w:t> </w:t>
      </w:r>
      <w:r>
        <w:rPr>
          <w:color w:val="231F20"/>
          <w:w w:val="105"/>
          <w:sz w:val="21"/>
        </w:rPr>
        <w:t>en:</w:t>
      </w:r>
      <w:r>
        <w:rPr>
          <w:color w:val="231F20"/>
          <w:spacing w:val="-17"/>
          <w:w w:val="105"/>
          <w:sz w:val="21"/>
        </w:rPr>
        <w:t> </w:t>
      </w:r>
      <w:r>
        <w:rPr>
          <w:i/>
          <w:color w:val="231F20"/>
          <w:w w:val="105"/>
          <w:sz w:val="21"/>
        </w:rPr>
        <w:t>Cambridge</w:t>
      </w:r>
      <w:r>
        <w:rPr>
          <w:i/>
          <w:color w:val="231F20"/>
          <w:spacing w:val="-19"/>
          <w:w w:val="105"/>
          <w:sz w:val="21"/>
        </w:rPr>
        <w:t> </w:t>
      </w:r>
      <w:r>
        <w:rPr>
          <w:i/>
          <w:color w:val="231F20"/>
          <w:w w:val="105"/>
          <w:sz w:val="21"/>
        </w:rPr>
        <w:t>Journal</w:t>
      </w:r>
      <w:r>
        <w:rPr>
          <w:i/>
          <w:color w:val="231F20"/>
          <w:spacing w:val="-17"/>
          <w:w w:val="105"/>
          <w:sz w:val="21"/>
        </w:rPr>
        <w:t> </w:t>
      </w:r>
      <w:r>
        <w:rPr>
          <w:i/>
          <w:color w:val="231F20"/>
          <w:w w:val="105"/>
          <w:sz w:val="21"/>
        </w:rPr>
        <w:t>of</w:t>
      </w:r>
      <w:r>
        <w:rPr>
          <w:i/>
          <w:color w:val="231F20"/>
          <w:spacing w:val="-13"/>
          <w:w w:val="105"/>
          <w:sz w:val="21"/>
        </w:rPr>
        <w:t> </w:t>
      </w:r>
      <w:r>
        <w:rPr>
          <w:i/>
          <w:color w:val="231F20"/>
          <w:w w:val="105"/>
          <w:sz w:val="21"/>
        </w:rPr>
        <w:t>Eco- </w:t>
      </w:r>
      <w:r>
        <w:rPr>
          <w:i/>
          <w:color w:val="231F20"/>
          <w:w w:val="105"/>
          <w:sz w:val="21"/>
        </w:rPr>
        <w:t>nomics,</w:t>
      </w:r>
      <w:r>
        <w:rPr>
          <w:i/>
          <w:color w:val="231F20"/>
          <w:spacing w:val="-26"/>
          <w:w w:val="105"/>
          <w:sz w:val="21"/>
        </w:rPr>
        <w:t> </w:t>
      </w:r>
      <w:r>
        <w:rPr>
          <w:color w:val="231F20"/>
          <w:w w:val="105"/>
          <w:sz w:val="21"/>
        </w:rPr>
        <w:t>vol.</w:t>
      </w:r>
      <w:r>
        <w:rPr>
          <w:color w:val="231F20"/>
          <w:spacing w:val="-31"/>
          <w:w w:val="105"/>
          <w:sz w:val="21"/>
        </w:rPr>
        <w:t> </w:t>
      </w:r>
      <w:r>
        <w:rPr>
          <w:color w:val="231F20"/>
          <w:w w:val="105"/>
          <w:sz w:val="21"/>
        </w:rPr>
        <w:t>1,</w:t>
      </w:r>
      <w:r>
        <w:rPr>
          <w:color w:val="231F20"/>
          <w:spacing w:val="-32"/>
          <w:w w:val="105"/>
          <w:sz w:val="21"/>
        </w:rPr>
        <w:t> </w:t>
      </w:r>
      <w:r>
        <w:rPr>
          <w:color w:val="231F20"/>
          <w:w w:val="105"/>
          <w:sz w:val="21"/>
        </w:rPr>
        <w:t>Junio.</w:t>
      </w:r>
    </w:p>
    <w:p>
      <w:pPr>
        <w:pStyle w:val="BodyText"/>
        <w:spacing w:line="259" w:lineRule="auto"/>
        <w:ind w:left="854" w:right="121" w:hanging="738"/>
        <w:jc w:val="both"/>
      </w:pPr>
      <w:r>
        <w:rPr>
          <w:color w:val="231F20"/>
        </w:rPr>
        <w:t>Bravo S. y Gurdo, E. (2005), “El análisis de la competitividad” en </w:t>
      </w:r>
      <w:r>
        <w:rPr>
          <w:i/>
          <w:color w:val="231F20"/>
        </w:rPr>
        <w:t>Análisis </w:t>
      </w:r>
      <w:r>
        <w:rPr>
          <w:i/>
          <w:color w:val="231F20"/>
        </w:rPr>
        <w:t>de la economía española</w:t>
      </w:r>
      <w:r>
        <w:rPr>
          <w:color w:val="231F20"/>
        </w:rPr>
        <w:t>, </w:t>
      </w:r>
      <w:r>
        <w:rPr>
          <w:i/>
          <w:color w:val="231F20"/>
        </w:rPr>
        <w:t>E</w:t>
      </w:r>
      <w:r>
        <w:rPr>
          <w:color w:val="231F20"/>
        </w:rPr>
        <w:t>d. Servicio de Estudios del Banco de España, Alianza Editorial.</w:t>
      </w:r>
    </w:p>
    <w:p>
      <w:pPr>
        <w:spacing w:line="259" w:lineRule="auto" w:before="0"/>
        <w:ind w:left="854" w:right="121" w:hanging="738"/>
        <w:jc w:val="both"/>
        <w:rPr>
          <w:sz w:val="21"/>
        </w:rPr>
      </w:pPr>
      <w:r>
        <w:rPr>
          <w:color w:val="231F20"/>
          <w:w w:val="105"/>
          <w:sz w:val="21"/>
        </w:rPr>
        <w:t>Buckley,</w:t>
      </w:r>
      <w:r>
        <w:rPr>
          <w:color w:val="231F20"/>
          <w:spacing w:val="-37"/>
          <w:w w:val="105"/>
          <w:sz w:val="21"/>
        </w:rPr>
        <w:t> </w:t>
      </w:r>
      <w:r>
        <w:rPr>
          <w:color w:val="231F20"/>
          <w:spacing w:val="-11"/>
          <w:w w:val="105"/>
          <w:sz w:val="21"/>
        </w:rPr>
        <w:t>P.;</w:t>
      </w:r>
      <w:r>
        <w:rPr>
          <w:color w:val="231F20"/>
          <w:spacing w:val="-34"/>
          <w:w w:val="105"/>
          <w:sz w:val="21"/>
        </w:rPr>
        <w:t> </w:t>
      </w:r>
      <w:r>
        <w:rPr>
          <w:color w:val="231F20"/>
          <w:w w:val="105"/>
          <w:sz w:val="21"/>
        </w:rPr>
        <w:t>Christopher</w:t>
      </w:r>
      <w:r>
        <w:rPr>
          <w:color w:val="231F20"/>
          <w:spacing w:val="-34"/>
          <w:w w:val="105"/>
          <w:sz w:val="21"/>
        </w:rPr>
        <w:t> </w:t>
      </w:r>
      <w:r>
        <w:rPr>
          <w:color w:val="231F20"/>
          <w:w w:val="105"/>
          <w:sz w:val="21"/>
        </w:rPr>
        <w:t>I.</w:t>
      </w:r>
      <w:r>
        <w:rPr>
          <w:color w:val="231F20"/>
          <w:spacing w:val="-37"/>
          <w:w w:val="105"/>
          <w:sz w:val="21"/>
        </w:rPr>
        <w:t> </w:t>
      </w:r>
      <w:r>
        <w:rPr>
          <w:color w:val="231F20"/>
          <w:w w:val="105"/>
          <w:sz w:val="21"/>
        </w:rPr>
        <w:t>y</w:t>
      </w:r>
      <w:r>
        <w:rPr>
          <w:color w:val="231F20"/>
          <w:spacing w:val="-34"/>
          <w:w w:val="105"/>
          <w:sz w:val="21"/>
        </w:rPr>
        <w:t> </w:t>
      </w:r>
      <w:r>
        <w:rPr>
          <w:color w:val="231F20"/>
          <w:w w:val="105"/>
          <w:sz w:val="21"/>
        </w:rPr>
        <w:t>Prescott,</w:t>
      </w:r>
      <w:r>
        <w:rPr>
          <w:color w:val="231F20"/>
          <w:spacing w:val="-37"/>
          <w:w w:val="105"/>
          <w:sz w:val="21"/>
        </w:rPr>
        <w:t> </w:t>
      </w:r>
      <w:r>
        <w:rPr>
          <w:color w:val="231F20"/>
          <w:w w:val="105"/>
          <w:sz w:val="21"/>
        </w:rPr>
        <w:t>K.</w:t>
      </w:r>
      <w:r>
        <w:rPr>
          <w:color w:val="231F20"/>
          <w:spacing w:val="-37"/>
          <w:w w:val="105"/>
          <w:sz w:val="21"/>
        </w:rPr>
        <w:t> </w:t>
      </w:r>
      <w:r>
        <w:rPr>
          <w:color w:val="231F20"/>
          <w:w w:val="105"/>
          <w:sz w:val="21"/>
        </w:rPr>
        <w:t>(1988),</w:t>
      </w:r>
      <w:r>
        <w:rPr>
          <w:color w:val="231F20"/>
          <w:spacing w:val="-37"/>
          <w:w w:val="105"/>
          <w:sz w:val="21"/>
        </w:rPr>
        <w:t> </w:t>
      </w:r>
      <w:r>
        <w:rPr>
          <w:color w:val="231F20"/>
          <w:w w:val="105"/>
          <w:sz w:val="21"/>
        </w:rPr>
        <w:t>“Measures</w:t>
      </w:r>
      <w:r>
        <w:rPr>
          <w:color w:val="231F20"/>
          <w:spacing w:val="-34"/>
          <w:w w:val="105"/>
          <w:sz w:val="21"/>
        </w:rPr>
        <w:t> </w:t>
      </w:r>
      <w:r>
        <w:rPr>
          <w:color w:val="231F20"/>
          <w:w w:val="105"/>
          <w:sz w:val="21"/>
        </w:rPr>
        <w:t>of</w:t>
      </w:r>
      <w:r>
        <w:rPr>
          <w:color w:val="231F20"/>
          <w:spacing w:val="-31"/>
          <w:w w:val="105"/>
          <w:sz w:val="21"/>
        </w:rPr>
        <w:t> </w:t>
      </w:r>
      <w:r>
        <w:rPr>
          <w:color w:val="231F20"/>
          <w:w w:val="105"/>
          <w:sz w:val="21"/>
        </w:rPr>
        <w:t>international competitiveness:</w:t>
      </w:r>
      <w:r>
        <w:rPr>
          <w:color w:val="231F20"/>
          <w:spacing w:val="-10"/>
          <w:w w:val="105"/>
          <w:sz w:val="21"/>
        </w:rPr>
        <w:t> </w:t>
      </w:r>
      <w:r>
        <w:rPr>
          <w:color w:val="231F20"/>
          <w:w w:val="105"/>
          <w:sz w:val="21"/>
        </w:rPr>
        <w:t>a</w:t>
      </w:r>
      <w:r>
        <w:rPr>
          <w:color w:val="231F20"/>
          <w:spacing w:val="-10"/>
          <w:w w:val="105"/>
          <w:sz w:val="21"/>
        </w:rPr>
        <w:t> </w:t>
      </w:r>
      <w:r>
        <w:rPr>
          <w:color w:val="231F20"/>
          <w:w w:val="105"/>
          <w:sz w:val="21"/>
        </w:rPr>
        <w:t>critical</w:t>
      </w:r>
      <w:r>
        <w:rPr>
          <w:color w:val="231F20"/>
          <w:spacing w:val="-10"/>
          <w:w w:val="105"/>
          <w:sz w:val="21"/>
        </w:rPr>
        <w:t> </w:t>
      </w:r>
      <w:r>
        <w:rPr>
          <w:color w:val="231F20"/>
          <w:spacing w:val="-4"/>
          <w:w w:val="105"/>
          <w:sz w:val="21"/>
        </w:rPr>
        <w:t>survey”,</w:t>
      </w:r>
      <w:r>
        <w:rPr>
          <w:color w:val="231F20"/>
          <w:spacing w:val="-15"/>
          <w:w w:val="105"/>
          <w:sz w:val="21"/>
        </w:rPr>
        <w:t> </w:t>
      </w:r>
      <w:r>
        <w:rPr>
          <w:color w:val="231F20"/>
          <w:w w:val="105"/>
          <w:sz w:val="21"/>
        </w:rPr>
        <w:t>en</w:t>
      </w:r>
      <w:r>
        <w:rPr>
          <w:color w:val="231F20"/>
          <w:spacing w:val="-10"/>
          <w:w w:val="105"/>
          <w:sz w:val="21"/>
        </w:rPr>
        <w:t> </w:t>
      </w:r>
      <w:r>
        <w:rPr>
          <w:i/>
          <w:color w:val="231F20"/>
          <w:w w:val="105"/>
          <w:sz w:val="21"/>
        </w:rPr>
        <w:t>Journal</w:t>
      </w:r>
      <w:r>
        <w:rPr>
          <w:i/>
          <w:color w:val="231F20"/>
          <w:spacing w:val="-10"/>
          <w:w w:val="105"/>
          <w:sz w:val="21"/>
        </w:rPr>
        <w:t> </w:t>
      </w:r>
      <w:r>
        <w:rPr>
          <w:i/>
          <w:color w:val="231F20"/>
          <w:w w:val="105"/>
          <w:sz w:val="21"/>
        </w:rPr>
        <w:t>of</w:t>
      </w:r>
      <w:r>
        <w:rPr>
          <w:i/>
          <w:color w:val="231F20"/>
          <w:spacing w:val="-10"/>
          <w:w w:val="105"/>
          <w:sz w:val="21"/>
        </w:rPr>
        <w:t> </w:t>
      </w:r>
      <w:r>
        <w:rPr>
          <w:i/>
          <w:color w:val="231F20"/>
          <w:w w:val="105"/>
          <w:sz w:val="21"/>
        </w:rPr>
        <w:t>Marketing</w:t>
      </w:r>
      <w:r>
        <w:rPr>
          <w:i/>
          <w:color w:val="231F20"/>
          <w:spacing w:val="-10"/>
          <w:w w:val="105"/>
          <w:sz w:val="21"/>
        </w:rPr>
        <w:t> </w:t>
      </w:r>
      <w:r>
        <w:rPr>
          <w:i/>
          <w:color w:val="231F20"/>
          <w:w w:val="105"/>
          <w:sz w:val="21"/>
        </w:rPr>
        <w:t>Man- </w:t>
      </w:r>
      <w:r>
        <w:rPr>
          <w:i/>
          <w:color w:val="231F20"/>
          <w:w w:val="105"/>
          <w:sz w:val="21"/>
        </w:rPr>
        <w:t>agement </w:t>
      </w:r>
      <w:r>
        <w:rPr>
          <w:color w:val="231F20"/>
          <w:w w:val="105"/>
          <w:sz w:val="21"/>
        </w:rPr>
        <w:t>4,</w:t>
      </w:r>
      <w:r>
        <w:rPr>
          <w:color w:val="231F20"/>
          <w:spacing w:val="-48"/>
          <w:w w:val="105"/>
          <w:sz w:val="21"/>
        </w:rPr>
        <w:t> </w:t>
      </w:r>
      <w:r>
        <w:rPr>
          <w:color w:val="231F20"/>
          <w:w w:val="105"/>
          <w:sz w:val="21"/>
        </w:rPr>
        <w:t>2.</w:t>
      </w:r>
    </w:p>
    <w:p>
      <w:pPr>
        <w:spacing w:line="259" w:lineRule="auto" w:before="0"/>
        <w:ind w:left="0" w:right="115" w:firstLine="0"/>
        <w:jc w:val="right"/>
        <w:rPr>
          <w:i/>
          <w:sz w:val="21"/>
        </w:rPr>
      </w:pPr>
      <w:r>
        <w:rPr>
          <w:color w:val="231F20"/>
          <w:sz w:val="21"/>
        </w:rPr>
        <w:t>Buigues, P. y Jacquemin, A. (1992): “Inversión extranjera directa y exporta-</w:t>
      </w:r>
      <w:r>
        <w:rPr>
          <w:color w:val="231F20"/>
          <w:w w:val="96"/>
          <w:sz w:val="21"/>
        </w:rPr>
        <w:t> </w:t>
      </w:r>
      <w:r>
        <w:rPr>
          <w:color w:val="231F20"/>
          <w:sz w:val="21"/>
        </w:rPr>
        <w:t>ciones en el Mercado Común: aspectos teóricos, empíricos y de</w:t>
      </w:r>
      <w:r>
        <w:rPr>
          <w:color w:val="231F20"/>
          <w:w w:val="108"/>
          <w:sz w:val="21"/>
        </w:rPr>
        <w:t> </w:t>
      </w:r>
      <w:r>
        <w:rPr>
          <w:color w:val="231F20"/>
          <w:sz w:val="21"/>
        </w:rPr>
        <w:t>política económica” en: </w:t>
      </w:r>
      <w:r>
        <w:rPr>
          <w:i/>
          <w:color w:val="231F20"/>
          <w:sz w:val="21"/>
        </w:rPr>
        <w:t>Moneda y Crédito</w:t>
      </w:r>
      <w:r>
        <w:rPr>
          <w:color w:val="231F20"/>
          <w:sz w:val="21"/>
        </w:rPr>
        <w:t>, núm. 194, pp. 59-106.</w:t>
      </w:r>
      <w:r>
        <w:rPr>
          <w:color w:val="231F20"/>
          <w:w w:val="102"/>
          <w:sz w:val="21"/>
        </w:rPr>
        <w:t> </w:t>
      </w:r>
      <w:r>
        <w:rPr>
          <w:color w:val="231F20"/>
          <w:sz w:val="21"/>
        </w:rPr>
        <w:t>Cabrero, E., Ziccardi, A. y Orihurla, I. (2008). </w:t>
      </w:r>
      <w:r>
        <w:rPr>
          <w:i/>
          <w:color w:val="231F20"/>
          <w:sz w:val="21"/>
        </w:rPr>
        <w:t>Ciudades competitivas- ciu-</w:t>
      </w:r>
      <w:r>
        <w:rPr>
          <w:i/>
          <w:color w:val="231F20"/>
          <w:w w:val="96"/>
          <w:sz w:val="21"/>
        </w:rPr>
        <w:t> </w:t>
      </w:r>
      <w:r>
        <w:rPr>
          <w:i/>
          <w:color w:val="231F20"/>
          <w:sz w:val="21"/>
        </w:rPr>
        <w:t>dades cooperativas: Conceptos claves y construcción de un   índi-</w:t>
      </w:r>
    </w:p>
    <w:p>
      <w:pPr>
        <w:spacing w:line="241" w:lineRule="exact" w:before="0"/>
        <w:ind w:left="854" w:right="114" w:firstLine="0"/>
        <w:jc w:val="left"/>
        <w:rPr>
          <w:sz w:val="21"/>
        </w:rPr>
      </w:pPr>
      <w:r>
        <w:rPr>
          <w:i/>
          <w:color w:val="231F20"/>
          <w:sz w:val="21"/>
        </w:rPr>
        <w:t>ce para ciudades mexicanas</w:t>
      </w:r>
      <w:r>
        <w:rPr>
          <w:color w:val="231F20"/>
          <w:sz w:val="21"/>
        </w:rPr>
        <w:t>, CIDE.</w:t>
      </w:r>
    </w:p>
    <w:p>
      <w:pPr>
        <w:spacing w:line="259" w:lineRule="auto" w:before="18"/>
        <w:ind w:left="854" w:right="121" w:hanging="738"/>
        <w:jc w:val="both"/>
        <w:rPr>
          <w:sz w:val="21"/>
        </w:rPr>
      </w:pPr>
      <w:r>
        <w:rPr>
          <w:color w:val="231F20"/>
          <w:sz w:val="21"/>
        </w:rPr>
        <w:t>CEPAL (1990). </w:t>
      </w:r>
      <w:r>
        <w:rPr>
          <w:i/>
          <w:color w:val="231F20"/>
          <w:sz w:val="21"/>
        </w:rPr>
        <w:t>Transformación productiva con equidad</w:t>
      </w:r>
      <w:r>
        <w:rPr>
          <w:color w:val="231F20"/>
          <w:sz w:val="21"/>
        </w:rPr>
        <w:t>, Santiago de Chi- le.</w:t>
      </w:r>
    </w:p>
    <w:p>
      <w:pPr>
        <w:spacing w:line="259" w:lineRule="auto" w:before="0"/>
        <w:ind w:left="117" w:right="236" w:firstLine="0"/>
        <w:jc w:val="left"/>
        <w:rPr>
          <w:sz w:val="21"/>
        </w:rPr>
      </w:pPr>
      <w:r>
        <w:rPr>
          <w:color w:val="231F20"/>
          <w:w w:val="95"/>
          <w:sz w:val="21"/>
        </w:rPr>
        <w:t>––––––– (2011). </w:t>
      </w:r>
      <w:r>
        <w:rPr>
          <w:i/>
          <w:color w:val="231F20"/>
          <w:w w:val="95"/>
          <w:sz w:val="21"/>
        </w:rPr>
        <w:t>La Inversión Extranjera Directa</w:t>
      </w:r>
      <w:r>
        <w:rPr>
          <w:color w:val="231F20"/>
          <w:w w:val="95"/>
          <w:sz w:val="21"/>
        </w:rPr>
        <w:t>. NACIONES UNIDAS. </w:t>
      </w:r>
      <w:r>
        <w:rPr>
          <w:color w:val="231F20"/>
          <w:sz w:val="21"/>
        </w:rPr>
        <w:t>Coase, R. (1937). </w:t>
      </w:r>
      <w:r>
        <w:rPr>
          <w:i/>
          <w:color w:val="231F20"/>
          <w:sz w:val="21"/>
        </w:rPr>
        <w:t>The nature of the firm, </w:t>
      </w:r>
      <w:r>
        <w:rPr>
          <w:color w:val="231F20"/>
          <w:sz w:val="21"/>
        </w:rPr>
        <w:t>Económica, número 4.</w:t>
      </w:r>
    </w:p>
    <w:p>
      <w:pPr>
        <w:spacing w:line="259" w:lineRule="auto" w:before="0"/>
        <w:ind w:left="854" w:right="115" w:hanging="738"/>
        <w:jc w:val="both"/>
        <w:rPr>
          <w:sz w:val="21"/>
        </w:rPr>
      </w:pPr>
      <w:r>
        <w:rPr>
          <w:color w:val="231F20"/>
          <w:w w:val="105"/>
          <w:sz w:val="21"/>
        </w:rPr>
        <w:t>Cornelius,</w:t>
      </w:r>
      <w:r>
        <w:rPr>
          <w:color w:val="231F20"/>
          <w:spacing w:val="-32"/>
          <w:w w:val="105"/>
          <w:sz w:val="21"/>
        </w:rPr>
        <w:t> </w:t>
      </w:r>
      <w:r>
        <w:rPr>
          <w:color w:val="231F20"/>
          <w:w w:val="105"/>
          <w:sz w:val="21"/>
        </w:rPr>
        <w:t>K.</w:t>
      </w:r>
      <w:r>
        <w:rPr>
          <w:color w:val="231F20"/>
          <w:spacing w:val="-32"/>
          <w:w w:val="105"/>
          <w:sz w:val="21"/>
        </w:rPr>
        <w:t> </w:t>
      </w:r>
      <w:r>
        <w:rPr>
          <w:color w:val="231F20"/>
          <w:w w:val="105"/>
          <w:sz w:val="21"/>
        </w:rPr>
        <w:t>(2002).</w:t>
      </w:r>
      <w:r>
        <w:rPr>
          <w:color w:val="231F20"/>
          <w:spacing w:val="-32"/>
          <w:w w:val="105"/>
          <w:sz w:val="21"/>
        </w:rPr>
        <w:t> </w:t>
      </w:r>
      <w:r>
        <w:rPr>
          <w:color w:val="231F20"/>
          <w:w w:val="105"/>
          <w:sz w:val="21"/>
        </w:rPr>
        <w:t>“The</w:t>
      </w:r>
      <w:r>
        <w:rPr>
          <w:color w:val="231F20"/>
          <w:spacing w:val="-27"/>
          <w:w w:val="105"/>
          <w:sz w:val="21"/>
        </w:rPr>
        <w:t> </w:t>
      </w:r>
      <w:r>
        <w:rPr>
          <w:color w:val="231F20"/>
          <w:w w:val="105"/>
          <w:sz w:val="21"/>
        </w:rPr>
        <w:t>growth</w:t>
      </w:r>
      <w:r>
        <w:rPr>
          <w:color w:val="231F20"/>
          <w:spacing w:val="-27"/>
          <w:w w:val="105"/>
          <w:sz w:val="21"/>
        </w:rPr>
        <w:t> </w:t>
      </w:r>
      <w:r>
        <w:rPr>
          <w:color w:val="231F20"/>
          <w:w w:val="105"/>
          <w:sz w:val="21"/>
        </w:rPr>
        <w:t>competitiveness</w:t>
      </w:r>
      <w:r>
        <w:rPr>
          <w:color w:val="231F20"/>
          <w:spacing w:val="-27"/>
          <w:w w:val="105"/>
          <w:sz w:val="21"/>
        </w:rPr>
        <w:t> </w:t>
      </w:r>
      <w:r>
        <w:rPr>
          <w:color w:val="231F20"/>
          <w:w w:val="105"/>
          <w:sz w:val="21"/>
        </w:rPr>
        <w:t>index:</w:t>
      </w:r>
      <w:r>
        <w:rPr>
          <w:color w:val="231F20"/>
          <w:spacing w:val="-27"/>
          <w:w w:val="105"/>
          <w:sz w:val="21"/>
        </w:rPr>
        <w:t> </w:t>
      </w:r>
      <w:r>
        <w:rPr>
          <w:color w:val="231F20"/>
          <w:w w:val="105"/>
          <w:sz w:val="21"/>
        </w:rPr>
        <w:t>recent</w:t>
      </w:r>
      <w:r>
        <w:rPr>
          <w:color w:val="231F20"/>
          <w:spacing w:val="-27"/>
          <w:w w:val="105"/>
          <w:sz w:val="21"/>
        </w:rPr>
        <w:t> </w:t>
      </w:r>
      <w:r>
        <w:rPr>
          <w:color w:val="231F20"/>
          <w:w w:val="105"/>
          <w:sz w:val="21"/>
        </w:rPr>
        <w:t>econom- ic</w:t>
      </w:r>
      <w:r>
        <w:rPr>
          <w:color w:val="231F20"/>
          <w:spacing w:val="-6"/>
          <w:w w:val="105"/>
          <w:sz w:val="21"/>
        </w:rPr>
        <w:t> </w:t>
      </w:r>
      <w:r>
        <w:rPr>
          <w:color w:val="231F20"/>
          <w:w w:val="105"/>
          <w:sz w:val="21"/>
        </w:rPr>
        <w:t>developments</w:t>
      </w:r>
      <w:r>
        <w:rPr>
          <w:color w:val="231F20"/>
          <w:spacing w:val="-6"/>
          <w:w w:val="105"/>
          <w:sz w:val="21"/>
        </w:rPr>
        <w:t> </w:t>
      </w:r>
      <w:r>
        <w:rPr>
          <w:color w:val="231F20"/>
          <w:w w:val="105"/>
          <w:sz w:val="21"/>
        </w:rPr>
        <w:t>and</w:t>
      </w:r>
      <w:r>
        <w:rPr>
          <w:color w:val="231F20"/>
          <w:spacing w:val="-6"/>
          <w:w w:val="105"/>
          <w:sz w:val="21"/>
        </w:rPr>
        <w:t> </w:t>
      </w:r>
      <w:r>
        <w:rPr>
          <w:color w:val="231F20"/>
          <w:w w:val="105"/>
          <w:sz w:val="21"/>
        </w:rPr>
        <w:t>the</w:t>
      </w:r>
      <w:r>
        <w:rPr>
          <w:color w:val="231F20"/>
          <w:spacing w:val="-6"/>
          <w:w w:val="105"/>
          <w:sz w:val="21"/>
        </w:rPr>
        <w:t> </w:t>
      </w:r>
      <w:r>
        <w:rPr>
          <w:color w:val="231F20"/>
          <w:w w:val="105"/>
          <w:sz w:val="21"/>
        </w:rPr>
        <w:t>prospects</w:t>
      </w:r>
      <w:r>
        <w:rPr>
          <w:color w:val="231F20"/>
          <w:spacing w:val="-6"/>
          <w:w w:val="105"/>
          <w:sz w:val="21"/>
        </w:rPr>
        <w:t> </w:t>
      </w:r>
      <w:r>
        <w:rPr>
          <w:color w:val="231F20"/>
          <w:w w:val="105"/>
          <w:sz w:val="21"/>
        </w:rPr>
        <w:t>for</w:t>
      </w:r>
      <w:r>
        <w:rPr>
          <w:color w:val="231F20"/>
          <w:spacing w:val="-6"/>
          <w:w w:val="105"/>
          <w:sz w:val="21"/>
        </w:rPr>
        <w:t> </w:t>
      </w:r>
      <w:r>
        <w:rPr>
          <w:color w:val="231F20"/>
          <w:w w:val="105"/>
          <w:sz w:val="21"/>
        </w:rPr>
        <w:t>a</w:t>
      </w:r>
      <w:r>
        <w:rPr>
          <w:color w:val="231F20"/>
          <w:spacing w:val="-6"/>
          <w:w w:val="105"/>
          <w:sz w:val="21"/>
        </w:rPr>
        <w:t> </w:t>
      </w:r>
      <w:r>
        <w:rPr>
          <w:color w:val="231F20"/>
          <w:w w:val="105"/>
          <w:sz w:val="21"/>
        </w:rPr>
        <w:t>sustained</w:t>
      </w:r>
      <w:r>
        <w:rPr>
          <w:color w:val="231F20"/>
          <w:spacing w:val="-6"/>
          <w:w w:val="105"/>
          <w:sz w:val="21"/>
        </w:rPr>
        <w:t> </w:t>
      </w:r>
      <w:r>
        <w:rPr>
          <w:color w:val="231F20"/>
          <w:spacing w:val="-3"/>
          <w:w w:val="105"/>
          <w:sz w:val="21"/>
        </w:rPr>
        <w:t>recovery”,</w:t>
      </w:r>
      <w:r>
        <w:rPr>
          <w:color w:val="231F20"/>
          <w:spacing w:val="-12"/>
          <w:w w:val="105"/>
          <w:sz w:val="21"/>
        </w:rPr>
        <w:t> </w:t>
      </w:r>
      <w:r>
        <w:rPr>
          <w:color w:val="231F20"/>
          <w:w w:val="105"/>
          <w:sz w:val="21"/>
        </w:rPr>
        <w:t>en </w:t>
      </w:r>
      <w:r>
        <w:rPr>
          <w:i/>
          <w:color w:val="231F20"/>
          <w:w w:val="105"/>
          <w:sz w:val="21"/>
        </w:rPr>
        <w:t>World Economic </w:t>
      </w:r>
      <w:r>
        <w:rPr>
          <w:color w:val="231F20"/>
          <w:spacing w:val="-3"/>
          <w:w w:val="105"/>
          <w:sz w:val="21"/>
        </w:rPr>
        <w:t>Forum </w:t>
      </w:r>
      <w:r>
        <w:rPr>
          <w:color w:val="231F20"/>
          <w:w w:val="105"/>
          <w:sz w:val="21"/>
        </w:rPr>
        <w:t>(2002), </w:t>
      </w:r>
      <w:r>
        <w:rPr>
          <w:i/>
          <w:color w:val="231F20"/>
          <w:w w:val="105"/>
          <w:sz w:val="21"/>
        </w:rPr>
        <w:t>Global Competitiveness</w:t>
      </w:r>
      <w:r>
        <w:rPr>
          <w:i/>
          <w:color w:val="231F20"/>
          <w:spacing w:val="-36"/>
          <w:w w:val="105"/>
          <w:sz w:val="21"/>
        </w:rPr>
        <w:t> </w:t>
      </w:r>
      <w:r>
        <w:rPr>
          <w:i/>
          <w:color w:val="231F20"/>
          <w:w w:val="105"/>
          <w:sz w:val="21"/>
        </w:rPr>
        <w:t>Report</w:t>
      </w:r>
      <w:r>
        <w:rPr>
          <w:color w:val="231F20"/>
          <w:w w:val="105"/>
          <w:sz w:val="21"/>
        </w:rPr>
        <w:t>, Geneva.</w:t>
      </w:r>
    </w:p>
    <w:p>
      <w:pPr>
        <w:spacing w:line="259" w:lineRule="auto" w:before="0"/>
        <w:ind w:left="854" w:right="121" w:hanging="738"/>
        <w:jc w:val="both"/>
        <w:rPr>
          <w:sz w:val="21"/>
        </w:rPr>
      </w:pPr>
      <w:r>
        <w:rPr>
          <w:color w:val="231F20"/>
          <w:sz w:val="21"/>
        </w:rPr>
        <w:t>Daniels, J.; Radebaugh </w:t>
      </w:r>
      <w:r>
        <w:rPr>
          <w:color w:val="231F20"/>
          <w:spacing w:val="-6"/>
          <w:sz w:val="21"/>
        </w:rPr>
        <w:t>D. </w:t>
      </w:r>
      <w:r>
        <w:rPr>
          <w:color w:val="231F20"/>
          <w:sz w:val="21"/>
        </w:rPr>
        <w:t>y Lee, H. (2000</w:t>
      </w:r>
      <w:r>
        <w:rPr>
          <w:i/>
          <w:color w:val="231F20"/>
          <w:sz w:val="21"/>
        </w:rPr>
        <w:t>). Negocios internacionales</w:t>
      </w:r>
      <w:r>
        <w:rPr>
          <w:color w:val="231F20"/>
          <w:sz w:val="21"/>
        </w:rPr>
        <w:t>. Oc- tava edición. México, Editorial</w:t>
      </w:r>
      <w:r>
        <w:rPr>
          <w:color w:val="231F20"/>
          <w:spacing w:val="56"/>
          <w:sz w:val="21"/>
        </w:rPr>
        <w:t> </w:t>
      </w:r>
      <w:r>
        <w:rPr>
          <w:color w:val="231F20"/>
          <w:spacing w:val="-3"/>
          <w:sz w:val="21"/>
        </w:rPr>
        <w:t>Pearson.</w:t>
      </w:r>
    </w:p>
    <w:p>
      <w:pPr>
        <w:pStyle w:val="BodyText"/>
        <w:spacing w:line="259" w:lineRule="auto"/>
        <w:ind w:left="854" w:right="115" w:hanging="738"/>
        <w:jc w:val="both"/>
      </w:pPr>
      <w:r>
        <w:rPr>
          <w:color w:val="231F20"/>
          <w:w w:val="105"/>
        </w:rPr>
        <w:t>Díaz</w:t>
      </w:r>
      <w:r>
        <w:rPr>
          <w:color w:val="231F20"/>
          <w:spacing w:val="-13"/>
          <w:w w:val="105"/>
        </w:rPr>
        <w:t> </w:t>
      </w:r>
      <w:r>
        <w:rPr>
          <w:color w:val="231F20"/>
          <w:w w:val="105"/>
        </w:rPr>
        <w:t>R.</w:t>
      </w:r>
      <w:r>
        <w:rPr>
          <w:color w:val="231F20"/>
          <w:spacing w:val="-17"/>
          <w:w w:val="105"/>
        </w:rPr>
        <w:t> </w:t>
      </w:r>
      <w:r>
        <w:rPr>
          <w:color w:val="231F20"/>
          <w:w w:val="105"/>
        </w:rPr>
        <w:t>(2003).</w:t>
      </w:r>
      <w:r>
        <w:rPr>
          <w:color w:val="231F20"/>
          <w:spacing w:val="-17"/>
          <w:w w:val="105"/>
        </w:rPr>
        <w:t> </w:t>
      </w:r>
      <w:r>
        <w:rPr>
          <w:color w:val="231F20"/>
          <w:w w:val="105"/>
        </w:rPr>
        <w:t>“Las</w:t>
      </w:r>
      <w:r>
        <w:rPr>
          <w:color w:val="231F20"/>
          <w:spacing w:val="-13"/>
          <w:w w:val="105"/>
        </w:rPr>
        <w:t> </w:t>
      </w:r>
      <w:r>
        <w:rPr>
          <w:color w:val="231F20"/>
          <w:w w:val="105"/>
        </w:rPr>
        <w:t>teorías</w:t>
      </w:r>
      <w:r>
        <w:rPr>
          <w:color w:val="231F20"/>
          <w:spacing w:val="-13"/>
          <w:w w:val="105"/>
        </w:rPr>
        <w:t> </w:t>
      </w:r>
      <w:r>
        <w:rPr>
          <w:color w:val="231F20"/>
          <w:w w:val="105"/>
        </w:rPr>
        <w:t>de</w:t>
      </w:r>
      <w:r>
        <w:rPr>
          <w:color w:val="231F20"/>
          <w:spacing w:val="-13"/>
          <w:w w:val="105"/>
        </w:rPr>
        <w:t> </w:t>
      </w:r>
      <w:r>
        <w:rPr>
          <w:color w:val="231F20"/>
          <w:w w:val="105"/>
        </w:rPr>
        <w:t>localización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inversión</w:t>
      </w:r>
      <w:r>
        <w:rPr>
          <w:color w:val="231F20"/>
          <w:spacing w:val="-13"/>
          <w:w w:val="105"/>
        </w:rPr>
        <w:t> </w:t>
      </w:r>
      <w:r>
        <w:rPr>
          <w:color w:val="231F20"/>
          <w:w w:val="105"/>
        </w:rPr>
        <w:t>extranjera</w:t>
      </w:r>
      <w:r>
        <w:rPr>
          <w:color w:val="231F20"/>
          <w:spacing w:val="-13"/>
          <w:w w:val="105"/>
        </w:rPr>
        <w:t> </w:t>
      </w:r>
      <w:r>
        <w:rPr>
          <w:color w:val="231F20"/>
          <w:w w:val="105"/>
        </w:rPr>
        <w:t>di- recta. Una aproximación” en: </w:t>
      </w:r>
      <w:r>
        <w:rPr>
          <w:i/>
          <w:color w:val="231F20"/>
          <w:w w:val="105"/>
        </w:rPr>
        <w:t>Revista gallega de economía</w:t>
      </w:r>
      <w:r>
        <w:rPr>
          <w:color w:val="231F20"/>
          <w:w w:val="105"/>
        </w:rPr>
        <w:t>,</w:t>
      </w:r>
      <w:r>
        <w:rPr>
          <w:color w:val="231F20"/>
          <w:spacing w:val="-20"/>
          <w:w w:val="105"/>
        </w:rPr>
        <w:t> </w:t>
      </w:r>
      <w:r>
        <w:rPr>
          <w:color w:val="231F20"/>
          <w:w w:val="105"/>
        </w:rPr>
        <w:t>vol. 12,</w:t>
      </w:r>
      <w:r>
        <w:rPr>
          <w:color w:val="231F20"/>
          <w:spacing w:val="-27"/>
          <w:w w:val="105"/>
        </w:rPr>
        <w:t> </w:t>
      </w:r>
      <w:r>
        <w:rPr>
          <w:color w:val="231F20"/>
          <w:w w:val="105"/>
        </w:rPr>
        <w:t>núm.</w:t>
      </w:r>
      <w:r>
        <w:rPr>
          <w:color w:val="231F20"/>
          <w:spacing w:val="-27"/>
          <w:w w:val="105"/>
        </w:rPr>
        <w:t> </w:t>
      </w:r>
      <w:r>
        <w:rPr>
          <w:color w:val="231F20"/>
          <w:w w:val="105"/>
        </w:rPr>
        <w:t>1.</w:t>
      </w:r>
    </w:p>
    <w:p>
      <w:pPr>
        <w:pStyle w:val="BodyText"/>
        <w:spacing w:line="259" w:lineRule="auto"/>
        <w:ind w:left="854" w:right="121" w:hanging="738"/>
        <w:jc w:val="both"/>
      </w:pPr>
      <w:r>
        <w:rPr>
          <w:color w:val="231F20"/>
          <w:w w:val="105"/>
        </w:rPr>
        <w:t>Dunning,</w:t>
      </w:r>
      <w:r>
        <w:rPr>
          <w:color w:val="231F20"/>
          <w:spacing w:val="-34"/>
          <w:w w:val="105"/>
        </w:rPr>
        <w:t> </w:t>
      </w:r>
      <w:r>
        <w:rPr>
          <w:color w:val="231F20"/>
          <w:w w:val="105"/>
        </w:rPr>
        <w:t>J.H.</w:t>
      </w:r>
      <w:r>
        <w:rPr>
          <w:color w:val="231F20"/>
          <w:spacing w:val="-32"/>
          <w:w w:val="105"/>
        </w:rPr>
        <w:t> </w:t>
      </w:r>
      <w:r>
        <w:rPr>
          <w:color w:val="231F20"/>
          <w:w w:val="105"/>
        </w:rPr>
        <w:t>(1997).</w:t>
      </w:r>
      <w:r>
        <w:rPr>
          <w:color w:val="231F20"/>
          <w:spacing w:val="-32"/>
          <w:w w:val="105"/>
        </w:rPr>
        <w:t> </w:t>
      </w:r>
      <w:r>
        <w:rPr>
          <w:color w:val="231F20"/>
          <w:w w:val="105"/>
        </w:rPr>
        <w:t>“The</w:t>
      </w:r>
      <w:r>
        <w:rPr>
          <w:color w:val="231F20"/>
          <w:spacing w:val="-28"/>
          <w:w w:val="105"/>
        </w:rPr>
        <w:t> </w:t>
      </w:r>
      <w:r>
        <w:rPr>
          <w:color w:val="231F20"/>
          <w:w w:val="105"/>
        </w:rPr>
        <w:t>European</w:t>
      </w:r>
      <w:r>
        <w:rPr>
          <w:color w:val="231F20"/>
          <w:spacing w:val="-28"/>
          <w:w w:val="105"/>
        </w:rPr>
        <w:t> </w:t>
      </w:r>
      <w:r>
        <w:rPr>
          <w:color w:val="231F20"/>
          <w:w w:val="105"/>
        </w:rPr>
        <w:t>Internal</w:t>
      </w:r>
      <w:r>
        <w:rPr>
          <w:color w:val="231F20"/>
          <w:spacing w:val="-28"/>
          <w:w w:val="105"/>
        </w:rPr>
        <w:t> </w:t>
      </w:r>
      <w:r>
        <w:rPr>
          <w:color w:val="231F20"/>
          <w:w w:val="105"/>
        </w:rPr>
        <w:t>Market</w:t>
      </w:r>
      <w:r>
        <w:rPr>
          <w:color w:val="231F20"/>
          <w:spacing w:val="-28"/>
          <w:w w:val="105"/>
        </w:rPr>
        <w:t> </w:t>
      </w:r>
      <w:r>
        <w:rPr>
          <w:color w:val="231F20"/>
          <w:w w:val="105"/>
        </w:rPr>
        <w:t>Programme</w:t>
      </w:r>
      <w:r>
        <w:rPr>
          <w:color w:val="231F20"/>
          <w:spacing w:val="-28"/>
          <w:w w:val="105"/>
        </w:rPr>
        <w:t> </w:t>
      </w:r>
      <w:r>
        <w:rPr>
          <w:color w:val="231F20"/>
          <w:w w:val="105"/>
        </w:rPr>
        <w:t>and</w:t>
      </w:r>
      <w:r>
        <w:rPr>
          <w:color w:val="231F20"/>
          <w:spacing w:val="-28"/>
          <w:w w:val="105"/>
        </w:rPr>
        <w:t> </w:t>
      </w:r>
      <w:r>
        <w:rPr>
          <w:color w:val="231F20"/>
          <w:w w:val="105"/>
        </w:rPr>
        <w:t>Iin- bound</w:t>
      </w:r>
      <w:r>
        <w:rPr>
          <w:color w:val="231F20"/>
          <w:spacing w:val="-12"/>
          <w:w w:val="105"/>
        </w:rPr>
        <w:t> </w:t>
      </w:r>
      <w:r>
        <w:rPr>
          <w:color w:val="231F20"/>
          <w:spacing w:val="-3"/>
          <w:w w:val="105"/>
        </w:rPr>
        <w:t>Foreign</w:t>
      </w:r>
      <w:r>
        <w:rPr>
          <w:color w:val="231F20"/>
          <w:spacing w:val="-12"/>
          <w:w w:val="105"/>
        </w:rPr>
        <w:t> </w:t>
      </w:r>
      <w:r>
        <w:rPr>
          <w:color w:val="231F20"/>
          <w:w w:val="105"/>
        </w:rPr>
        <w:t>Direct</w:t>
      </w:r>
      <w:r>
        <w:rPr>
          <w:color w:val="231F20"/>
          <w:spacing w:val="-12"/>
          <w:w w:val="105"/>
        </w:rPr>
        <w:t> </w:t>
      </w:r>
      <w:r>
        <w:rPr>
          <w:color w:val="231F20"/>
          <w:w w:val="105"/>
        </w:rPr>
        <w:t>Investment.</w:t>
      </w:r>
      <w:r>
        <w:rPr>
          <w:color w:val="231F20"/>
          <w:spacing w:val="-18"/>
          <w:w w:val="105"/>
        </w:rPr>
        <w:t> </w:t>
      </w:r>
      <w:r>
        <w:rPr>
          <w:color w:val="231F20"/>
          <w:spacing w:val="-4"/>
          <w:w w:val="105"/>
        </w:rPr>
        <w:t>Part</w:t>
      </w:r>
      <w:r>
        <w:rPr>
          <w:color w:val="231F20"/>
          <w:spacing w:val="-12"/>
          <w:w w:val="105"/>
        </w:rPr>
        <w:t> </w:t>
      </w:r>
      <w:r>
        <w:rPr>
          <w:color w:val="231F20"/>
          <w:spacing w:val="-6"/>
          <w:w w:val="105"/>
        </w:rPr>
        <w:t>I.”</w:t>
      </w:r>
      <w:r>
        <w:rPr>
          <w:color w:val="231F20"/>
          <w:spacing w:val="-12"/>
          <w:w w:val="105"/>
        </w:rPr>
        <w:t> </w:t>
      </w:r>
      <w:r>
        <w:rPr>
          <w:color w:val="231F20"/>
          <w:w w:val="105"/>
        </w:rPr>
        <w:t>en;</w:t>
      </w:r>
      <w:r>
        <w:rPr>
          <w:color w:val="231F20"/>
          <w:spacing w:val="-12"/>
          <w:w w:val="105"/>
        </w:rPr>
        <w:t> </w:t>
      </w:r>
      <w:r>
        <w:rPr>
          <w:i/>
          <w:color w:val="231F20"/>
          <w:w w:val="105"/>
        </w:rPr>
        <w:t>Journal</w:t>
      </w:r>
      <w:r>
        <w:rPr>
          <w:i/>
          <w:color w:val="231F20"/>
          <w:spacing w:val="-12"/>
          <w:w w:val="105"/>
        </w:rPr>
        <w:t> </w:t>
      </w:r>
      <w:r>
        <w:rPr>
          <w:i/>
          <w:color w:val="231F20"/>
          <w:w w:val="105"/>
        </w:rPr>
        <w:t>of</w:t>
      </w:r>
      <w:r>
        <w:rPr>
          <w:i/>
          <w:color w:val="231F20"/>
          <w:spacing w:val="-8"/>
          <w:w w:val="105"/>
        </w:rPr>
        <w:t> </w:t>
      </w:r>
      <w:r>
        <w:rPr>
          <w:i/>
          <w:color w:val="231F20"/>
          <w:w w:val="105"/>
        </w:rPr>
        <w:t>Common </w:t>
      </w:r>
      <w:r>
        <w:rPr>
          <w:i/>
          <w:color w:val="231F20"/>
          <w:w w:val="105"/>
        </w:rPr>
        <w:t>Market</w:t>
      </w:r>
      <w:r>
        <w:rPr>
          <w:i/>
          <w:color w:val="231F20"/>
          <w:spacing w:val="-32"/>
          <w:w w:val="105"/>
        </w:rPr>
        <w:t> </w:t>
      </w:r>
      <w:r>
        <w:rPr>
          <w:i/>
          <w:color w:val="231F20"/>
          <w:w w:val="105"/>
        </w:rPr>
        <w:t>Studies</w:t>
      </w:r>
      <w:r>
        <w:rPr>
          <w:color w:val="231F20"/>
          <w:w w:val="105"/>
        </w:rPr>
        <w:t>,</w:t>
      </w:r>
      <w:r>
        <w:rPr>
          <w:color w:val="231F20"/>
          <w:spacing w:val="-36"/>
          <w:w w:val="105"/>
        </w:rPr>
        <w:t> </w:t>
      </w:r>
      <w:r>
        <w:rPr>
          <w:color w:val="231F20"/>
          <w:w w:val="105"/>
        </w:rPr>
        <w:t>vol.</w:t>
      </w:r>
      <w:r>
        <w:rPr>
          <w:color w:val="231F20"/>
          <w:spacing w:val="-36"/>
          <w:w w:val="105"/>
        </w:rPr>
        <w:t> </w:t>
      </w:r>
      <w:r>
        <w:rPr>
          <w:color w:val="231F20"/>
          <w:w w:val="105"/>
        </w:rPr>
        <w:t>35,</w:t>
      </w:r>
      <w:r>
        <w:rPr>
          <w:color w:val="231F20"/>
          <w:spacing w:val="-36"/>
          <w:w w:val="105"/>
        </w:rPr>
        <w:t> </w:t>
      </w:r>
      <w:r>
        <w:rPr>
          <w:color w:val="231F20"/>
          <w:w w:val="105"/>
        </w:rPr>
        <w:t>número.</w:t>
      </w:r>
      <w:r>
        <w:rPr>
          <w:color w:val="231F20"/>
          <w:spacing w:val="-36"/>
          <w:w w:val="105"/>
        </w:rPr>
        <w:t> </w:t>
      </w:r>
      <w:r>
        <w:rPr>
          <w:color w:val="231F20"/>
          <w:w w:val="105"/>
        </w:rPr>
        <w:t>1,</w:t>
      </w:r>
      <w:r>
        <w:rPr>
          <w:color w:val="231F20"/>
          <w:spacing w:val="-36"/>
          <w:w w:val="105"/>
        </w:rPr>
        <w:t> </w:t>
      </w:r>
      <w:r>
        <w:rPr>
          <w:color w:val="231F20"/>
          <w:w w:val="105"/>
        </w:rPr>
        <w:t>Marzo.</w:t>
      </w:r>
    </w:p>
    <w:p>
      <w:pPr>
        <w:pStyle w:val="BodyText"/>
        <w:spacing w:line="259" w:lineRule="auto"/>
        <w:ind w:left="854" w:right="120" w:hanging="738"/>
        <w:jc w:val="both"/>
      </w:pPr>
      <w:r>
        <w:rPr>
          <w:color w:val="231F20"/>
          <w:w w:val="105"/>
        </w:rPr>
        <w:t>Dussel</w:t>
      </w:r>
      <w:r>
        <w:rPr>
          <w:color w:val="231F20"/>
          <w:spacing w:val="-22"/>
          <w:w w:val="105"/>
        </w:rPr>
        <w:t> </w:t>
      </w:r>
      <w:r>
        <w:rPr>
          <w:color w:val="231F20"/>
          <w:w w:val="105"/>
        </w:rPr>
        <w:t>E.</w:t>
      </w:r>
      <w:r>
        <w:rPr>
          <w:color w:val="231F20"/>
          <w:spacing w:val="-26"/>
          <w:w w:val="105"/>
        </w:rPr>
        <w:t> </w:t>
      </w:r>
      <w:r>
        <w:rPr>
          <w:color w:val="231F20"/>
          <w:w w:val="105"/>
        </w:rPr>
        <w:t>(2004).</w:t>
      </w:r>
      <w:r>
        <w:rPr>
          <w:color w:val="231F20"/>
          <w:spacing w:val="-26"/>
          <w:w w:val="105"/>
        </w:rPr>
        <w:t> </w:t>
      </w:r>
      <w:r>
        <w:rPr>
          <w:color w:val="231F20"/>
          <w:w w:val="105"/>
        </w:rPr>
        <w:t>“Oportunidades</w:t>
      </w:r>
      <w:r>
        <w:rPr>
          <w:color w:val="231F20"/>
          <w:spacing w:val="-22"/>
          <w:w w:val="105"/>
        </w:rPr>
        <w:t> </w:t>
      </w:r>
      <w:r>
        <w:rPr>
          <w:color w:val="231F20"/>
          <w:w w:val="105"/>
        </w:rPr>
        <w:t>y</w:t>
      </w:r>
      <w:r>
        <w:rPr>
          <w:color w:val="231F20"/>
          <w:spacing w:val="-22"/>
          <w:w w:val="105"/>
        </w:rPr>
        <w:t> </w:t>
      </w:r>
      <w:r>
        <w:rPr>
          <w:color w:val="231F20"/>
          <w:w w:val="105"/>
        </w:rPr>
        <w:t>retos</w:t>
      </w:r>
      <w:r>
        <w:rPr>
          <w:color w:val="231F20"/>
          <w:spacing w:val="-22"/>
          <w:w w:val="105"/>
        </w:rPr>
        <w:t> </w:t>
      </w:r>
      <w:r>
        <w:rPr>
          <w:color w:val="231F20"/>
          <w:w w:val="105"/>
        </w:rPr>
        <w:t>económicos</w:t>
      </w:r>
      <w:r>
        <w:rPr>
          <w:color w:val="231F20"/>
          <w:spacing w:val="-22"/>
          <w:w w:val="105"/>
        </w:rPr>
        <w:t> </w:t>
      </w:r>
      <w:r>
        <w:rPr>
          <w:color w:val="231F20"/>
          <w:w w:val="105"/>
        </w:rPr>
        <w:t>de</w:t>
      </w:r>
      <w:r>
        <w:rPr>
          <w:color w:val="231F20"/>
          <w:spacing w:val="-22"/>
          <w:w w:val="105"/>
        </w:rPr>
        <w:t> </w:t>
      </w:r>
      <w:r>
        <w:rPr>
          <w:color w:val="231F20"/>
          <w:w w:val="105"/>
        </w:rPr>
        <w:t>China</w:t>
      </w:r>
      <w:r>
        <w:rPr>
          <w:color w:val="231F20"/>
          <w:spacing w:val="-22"/>
          <w:w w:val="105"/>
        </w:rPr>
        <w:t> </w:t>
      </w:r>
      <w:r>
        <w:rPr>
          <w:color w:val="231F20"/>
          <w:w w:val="105"/>
        </w:rPr>
        <w:t>para</w:t>
      </w:r>
      <w:r>
        <w:rPr>
          <w:color w:val="231F20"/>
          <w:spacing w:val="-22"/>
          <w:w w:val="105"/>
        </w:rPr>
        <w:t> </w:t>
      </w:r>
      <w:r>
        <w:rPr>
          <w:color w:val="231F20"/>
          <w:w w:val="105"/>
        </w:rPr>
        <w:t>Mé- xico</w:t>
      </w:r>
      <w:r>
        <w:rPr>
          <w:color w:val="231F20"/>
          <w:spacing w:val="-26"/>
          <w:w w:val="105"/>
        </w:rPr>
        <w:t> </w:t>
      </w:r>
      <w:r>
        <w:rPr>
          <w:color w:val="231F20"/>
          <w:w w:val="105"/>
        </w:rPr>
        <w:t>y</w:t>
      </w:r>
      <w:r>
        <w:rPr>
          <w:color w:val="231F20"/>
          <w:spacing w:val="-26"/>
          <w:w w:val="105"/>
        </w:rPr>
        <w:t> </w:t>
      </w:r>
      <w:r>
        <w:rPr>
          <w:color w:val="231F20"/>
          <w:spacing w:val="-3"/>
          <w:w w:val="105"/>
        </w:rPr>
        <w:t>Centroamérica”.</w:t>
      </w:r>
      <w:r>
        <w:rPr>
          <w:color w:val="231F20"/>
          <w:spacing w:val="-31"/>
          <w:w w:val="105"/>
        </w:rPr>
        <w:t> </w:t>
      </w:r>
      <w:r>
        <w:rPr>
          <w:color w:val="231F20"/>
          <w:w w:val="105"/>
        </w:rPr>
        <w:t>Sede</w:t>
      </w:r>
      <w:r>
        <w:rPr>
          <w:color w:val="231F20"/>
          <w:spacing w:val="-26"/>
          <w:w w:val="105"/>
        </w:rPr>
        <w:t> </w:t>
      </w:r>
      <w:r>
        <w:rPr>
          <w:color w:val="231F20"/>
          <w:w w:val="105"/>
        </w:rPr>
        <w:t>Subregional</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CEPAL</w:t>
      </w:r>
      <w:r>
        <w:rPr>
          <w:color w:val="231F20"/>
          <w:spacing w:val="-29"/>
          <w:w w:val="105"/>
        </w:rPr>
        <w:t> </w:t>
      </w:r>
      <w:r>
        <w:rPr>
          <w:color w:val="231F20"/>
          <w:w w:val="105"/>
        </w:rPr>
        <w:t>en</w:t>
      </w:r>
      <w:r>
        <w:rPr>
          <w:color w:val="231F20"/>
          <w:spacing w:val="-26"/>
          <w:w w:val="105"/>
        </w:rPr>
        <w:t> </w:t>
      </w:r>
      <w:r>
        <w:rPr>
          <w:color w:val="231F20"/>
          <w:w w:val="105"/>
        </w:rPr>
        <w:t>México.</w:t>
      </w:r>
    </w:p>
    <w:p>
      <w:pPr>
        <w:spacing w:after="0" w:line="259" w:lineRule="auto"/>
        <w:jc w:val="both"/>
        <w:sectPr>
          <w:pgSz w:w="9640" w:h="13890"/>
          <w:pgMar w:top="0" w:bottom="280" w:left="1300" w:right="1180"/>
        </w:sectPr>
      </w:pPr>
    </w:p>
    <w:p>
      <w:pPr>
        <w:pStyle w:val="BodyText"/>
        <w:spacing w:line="259" w:lineRule="auto" w:before="120"/>
        <w:ind w:left="841" w:right="115" w:hanging="738"/>
        <w:jc w:val="both"/>
      </w:pPr>
      <w:r>
        <w:rPr>
          <w:color w:val="231F20"/>
          <w:w w:val="105"/>
        </w:rPr>
        <w:t>Espinosa</w:t>
      </w:r>
      <w:r>
        <w:rPr>
          <w:color w:val="231F20"/>
          <w:spacing w:val="-9"/>
          <w:w w:val="105"/>
        </w:rPr>
        <w:t> </w:t>
      </w:r>
      <w:r>
        <w:rPr>
          <w:color w:val="231F20"/>
          <w:w w:val="105"/>
        </w:rPr>
        <w:t>M.</w:t>
      </w:r>
      <w:r>
        <w:rPr>
          <w:color w:val="231F20"/>
          <w:spacing w:val="-13"/>
          <w:w w:val="105"/>
        </w:rPr>
        <w:t> </w:t>
      </w:r>
      <w:r>
        <w:rPr>
          <w:color w:val="231F20"/>
          <w:w w:val="105"/>
        </w:rPr>
        <w:t>(1966).</w:t>
      </w:r>
      <w:r>
        <w:rPr>
          <w:color w:val="231F20"/>
          <w:spacing w:val="-13"/>
          <w:w w:val="105"/>
        </w:rPr>
        <w:t> </w:t>
      </w:r>
      <w:r>
        <w:rPr>
          <w:color w:val="231F20"/>
          <w:w w:val="105"/>
        </w:rPr>
        <w:t>“Inversión</w:t>
      </w:r>
      <w:r>
        <w:rPr>
          <w:color w:val="231F20"/>
          <w:spacing w:val="-9"/>
          <w:w w:val="105"/>
        </w:rPr>
        <w:t> </w:t>
      </w:r>
      <w:r>
        <w:rPr>
          <w:color w:val="231F20"/>
          <w:spacing w:val="-4"/>
          <w:w w:val="105"/>
        </w:rPr>
        <w:t>extranjera”,</w:t>
      </w:r>
      <w:r>
        <w:rPr>
          <w:color w:val="231F20"/>
          <w:spacing w:val="-13"/>
          <w:w w:val="105"/>
        </w:rPr>
        <w:t> </w:t>
      </w:r>
      <w:r>
        <w:rPr>
          <w:color w:val="231F20"/>
          <w:w w:val="105"/>
        </w:rPr>
        <w:t>Centro</w:t>
      </w:r>
      <w:r>
        <w:rPr>
          <w:color w:val="231F20"/>
          <w:spacing w:val="-9"/>
          <w:w w:val="105"/>
        </w:rPr>
        <w:t> </w:t>
      </w:r>
      <w:r>
        <w:rPr>
          <w:color w:val="231F20"/>
          <w:w w:val="105"/>
        </w:rPr>
        <w:t>de</w:t>
      </w:r>
      <w:r>
        <w:rPr>
          <w:color w:val="231F20"/>
          <w:spacing w:val="-9"/>
          <w:w w:val="105"/>
        </w:rPr>
        <w:t> </w:t>
      </w:r>
      <w:r>
        <w:rPr>
          <w:color w:val="231F20"/>
          <w:w w:val="105"/>
        </w:rPr>
        <w:t>Estudios,</w:t>
      </w:r>
      <w:r>
        <w:rPr>
          <w:color w:val="231F20"/>
          <w:spacing w:val="-13"/>
          <w:w w:val="105"/>
        </w:rPr>
        <w:t> </w:t>
      </w:r>
      <w:r>
        <w:rPr>
          <w:color w:val="231F20"/>
          <w:w w:val="105"/>
        </w:rPr>
        <w:t>Consejo Mexicano</w:t>
      </w:r>
      <w:r>
        <w:rPr>
          <w:color w:val="231F20"/>
          <w:spacing w:val="-35"/>
          <w:w w:val="105"/>
        </w:rPr>
        <w:t> </w:t>
      </w:r>
      <w:r>
        <w:rPr>
          <w:color w:val="231F20"/>
          <w:w w:val="105"/>
        </w:rPr>
        <w:t>de</w:t>
      </w:r>
      <w:r>
        <w:rPr>
          <w:color w:val="231F20"/>
          <w:spacing w:val="-35"/>
          <w:w w:val="105"/>
        </w:rPr>
        <w:t> </w:t>
      </w:r>
      <w:r>
        <w:rPr>
          <w:color w:val="231F20"/>
          <w:w w:val="105"/>
        </w:rPr>
        <w:t>Relaciones:</w:t>
      </w:r>
      <w:r>
        <w:rPr>
          <w:color w:val="231F20"/>
          <w:spacing w:val="-35"/>
          <w:w w:val="105"/>
        </w:rPr>
        <w:t> </w:t>
      </w:r>
      <w:r>
        <w:rPr>
          <w:color w:val="231F20"/>
          <w:w w:val="105"/>
        </w:rPr>
        <w:t>ponencia.</w:t>
      </w:r>
    </w:p>
    <w:p>
      <w:pPr>
        <w:pStyle w:val="BodyText"/>
        <w:spacing w:line="259" w:lineRule="auto"/>
        <w:ind w:left="841" w:right="115" w:hanging="738"/>
        <w:jc w:val="both"/>
      </w:pPr>
      <w:r>
        <w:rPr/>
        <w:t>Esser,</w:t>
      </w:r>
      <w:r>
        <w:rPr>
          <w:spacing w:val="-13"/>
        </w:rPr>
        <w:t> </w:t>
      </w:r>
      <w:r>
        <w:rPr/>
        <w:t>K.,</w:t>
      </w:r>
      <w:r>
        <w:rPr>
          <w:spacing w:val="-13"/>
        </w:rPr>
        <w:t> </w:t>
      </w:r>
      <w:r>
        <w:rPr/>
        <w:t>Hillenbrand</w:t>
      </w:r>
      <w:r>
        <w:rPr>
          <w:spacing w:val="-8"/>
        </w:rPr>
        <w:t> </w:t>
      </w:r>
      <w:r>
        <w:rPr>
          <w:spacing w:val="-7"/>
        </w:rPr>
        <w:t>W.</w:t>
      </w:r>
      <w:r>
        <w:rPr>
          <w:spacing w:val="-13"/>
        </w:rPr>
        <w:t> </w:t>
      </w:r>
      <w:r>
        <w:rPr/>
        <w:t>y</w:t>
      </w:r>
      <w:r>
        <w:rPr>
          <w:spacing w:val="-5"/>
        </w:rPr>
        <w:t> </w:t>
      </w:r>
      <w:r>
        <w:rPr/>
        <w:t>Meyer-Stamer,</w:t>
      </w:r>
      <w:r>
        <w:rPr>
          <w:spacing w:val="-16"/>
        </w:rPr>
        <w:t> </w:t>
      </w:r>
      <w:r>
        <w:rPr/>
        <w:t>J.</w:t>
      </w:r>
      <w:r>
        <w:rPr>
          <w:spacing w:val="-13"/>
        </w:rPr>
        <w:t> </w:t>
      </w:r>
      <w:r>
        <w:rPr/>
        <w:t>(1996).</w:t>
      </w:r>
      <w:r>
        <w:rPr>
          <w:spacing w:val="-13"/>
        </w:rPr>
        <w:t> </w:t>
      </w:r>
      <w:r>
        <w:rPr/>
        <w:t>“Competitividad</w:t>
      </w:r>
      <w:r>
        <w:rPr>
          <w:spacing w:val="-5"/>
        </w:rPr>
        <w:t> </w:t>
      </w:r>
      <w:r>
        <w:rPr/>
        <w:t>Sisté- mica: Nuevo Desafío a las empresas y a la política” en: </w:t>
      </w:r>
      <w:r>
        <w:rPr>
          <w:i/>
        </w:rPr>
        <w:t>Revista</w:t>
      </w:r>
      <w:r>
        <w:rPr>
          <w:i/>
          <w:spacing w:val="-16"/>
        </w:rPr>
        <w:t> </w:t>
      </w:r>
      <w:r>
        <w:rPr>
          <w:i/>
        </w:rPr>
        <w:t>de </w:t>
      </w:r>
      <w:r>
        <w:rPr>
          <w:i/>
        </w:rPr>
        <w:t>la </w:t>
      </w:r>
      <w:r>
        <w:rPr>
          <w:i/>
          <w:spacing w:val="-3"/>
        </w:rPr>
        <w:t>CEPAL, </w:t>
      </w:r>
      <w:r>
        <w:rPr/>
        <w:t>(59), Agosto, Santiago de</w:t>
      </w:r>
      <w:r>
        <w:rPr>
          <w:spacing w:val="-7"/>
        </w:rPr>
        <w:t> </w:t>
      </w:r>
      <w:r>
        <w:rPr/>
        <w:t>Chile.</w:t>
      </w:r>
    </w:p>
    <w:p>
      <w:pPr>
        <w:spacing w:line="259" w:lineRule="auto" w:before="0"/>
        <w:ind w:left="841" w:right="115" w:hanging="738"/>
        <w:jc w:val="both"/>
        <w:rPr>
          <w:sz w:val="21"/>
        </w:rPr>
      </w:pPr>
      <w:r>
        <w:rPr>
          <w:color w:val="231F20"/>
          <w:sz w:val="21"/>
        </w:rPr>
        <w:t>Ezeala–Harrison, F. (1999). </w:t>
      </w:r>
      <w:r>
        <w:rPr>
          <w:i/>
          <w:color w:val="231F20"/>
          <w:sz w:val="21"/>
        </w:rPr>
        <w:t>Theory and policy of international competitive- </w:t>
      </w:r>
      <w:r>
        <w:rPr>
          <w:i/>
          <w:color w:val="231F20"/>
          <w:sz w:val="21"/>
        </w:rPr>
        <w:t>ness</w:t>
      </w:r>
      <w:r>
        <w:rPr>
          <w:color w:val="231F20"/>
          <w:sz w:val="21"/>
        </w:rPr>
        <w:t>. Praeger. Westport, Connecticut  London.</w:t>
      </w:r>
    </w:p>
    <w:p>
      <w:pPr>
        <w:spacing w:line="259" w:lineRule="auto" w:before="0"/>
        <w:ind w:left="841" w:right="108" w:hanging="738"/>
        <w:jc w:val="both"/>
        <w:rPr>
          <w:sz w:val="21"/>
        </w:rPr>
      </w:pPr>
      <w:r>
        <w:rPr>
          <w:color w:val="231F20"/>
          <w:spacing w:val="-3"/>
          <w:w w:val="105"/>
          <w:sz w:val="21"/>
        </w:rPr>
        <w:t>Fondo </w:t>
      </w:r>
      <w:r>
        <w:rPr>
          <w:color w:val="231F20"/>
          <w:w w:val="105"/>
          <w:sz w:val="21"/>
        </w:rPr>
        <w:t>Monetario Internacional (1993). </w:t>
      </w:r>
      <w:r>
        <w:rPr>
          <w:i/>
          <w:color w:val="231F20"/>
          <w:w w:val="105"/>
          <w:sz w:val="21"/>
        </w:rPr>
        <w:t>Manual de la Balanza de</w:t>
      </w:r>
      <w:r>
        <w:rPr>
          <w:i/>
          <w:color w:val="231F20"/>
          <w:spacing w:val="-23"/>
          <w:w w:val="105"/>
          <w:sz w:val="21"/>
        </w:rPr>
        <w:t> </w:t>
      </w:r>
      <w:r>
        <w:rPr>
          <w:i/>
          <w:color w:val="231F20"/>
          <w:w w:val="105"/>
          <w:sz w:val="21"/>
        </w:rPr>
        <w:t>pagos</w:t>
      </w:r>
      <w:r>
        <w:rPr>
          <w:color w:val="231F20"/>
          <w:w w:val="105"/>
          <w:sz w:val="21"/>
        </w:rPr>
        <w:t>, Quinta</w:t>
      </w:r>
      <w:r>
        <w:rPr>
          <w:color w:val="231F20"/>
          <w:spacing w:val="-20"/>
          <w:w w:val="105"/>
          <w:sz w:val="21"/>
        </w:rPr>
        <w:t> </w:t>
      </w:r>
      <w:r>
        <w:rPr>
          <w:color w:val="231F20"/>
          <w:w w:val="105"/>
          <w:sz w:val="21"/>
        </w:rPr>
        <w:t>Edicion,</w:t>
      </w:r>
      <w:r>
        <w:rPr>
          <w:color w:val="231F20"/>
          <w:spacing w:val="-25"/>
          <w:w w:val="105"/>
          <w:sz w:val="21"/>
        </w:rPr>
        <w:t> </w:t>
      </w:r>
      <w:r>
        <w:rPr>
          <w:color w:val="231F20"/>
          <w:w w:val="105"/>
          <w:sz w:val="21"/>
        </w:rPr>
        <w:t>en</w:t>
      </w:r>
      <w:r>
        <w:rPr>
          <w:color w:val="231F20"/>
          <w:spacing w:val="-20"/>
          <w:w w:val="105"/>
          <w:sz w:val="21"/>
        </w:rPr>
        <w:t> </w:t>
      </w:r>
      <w:r>
        <w:rPr>
          <w:color w:val="231F20"/>
          <w:w w:val="105"/>
          <w:sz w:val="21"/>
        </w:rPr>
        <w:t>línea:</w:t>
      </w:r>
      <w:r>
        <w:rPr>
          <w:color w:val="231F20"/>
          <w:spacing w:val="-20"/>
          <w:w w:val="105"/>
          <w:sz w:val="21"/>
        </w:rPr>
        <w:t> </w:t>
      </w:r>
      <w:hyperlink r:id="rId129">
        <w:r>
          <w:rPr>
            <w:color w:val="231F20"/>
            <w:w w:val="105"/>
            <w:sz w:val="21"/>
          </w:rPr>
          <w:t>www.imf.org</w:t>
        </w:r>
      </w:hyperlink>
    </w:p>
    <w:p>
      <w:pPr>
        <w:spacing w:line="259" w:lineRule="auto" w:before="0"/>
        <w:ind w:left="841" w:right="115" w:hanging="738"/>
        <w:jc w:val="both"/>
        <w:rPr>
          <w:sz w:val="21"/>
        </w:rPr>
      </w:pPr>
      <w:r>
        <w:rPr>
          <w:color w:val="231F20"/>
          <w:w w:val="105"/>
          <w:sz w:val="21"/>
        </w:rPr>
        <w:t>Gómez,</w:t>
      </w:r>
      <w:r>
        <w:rPr>
          <w:color w:val="231F20"/>
          <w:spacing w:val="-27"/>
          <w:w w:val="105"/>
          <w:sz w:val="21"/>
        </w:rPr>
        <w:t> </w:t>
      </w:r>
      <w:r>
        <w:rPr>
          <w:i/>
          <w:color w:val="231F20"/>
          <w:w w:val="105"/>
          <w:sz w:val="21"/>
        </w:rPr>
        <w:t>et</w:t>
      </w:r>
      <w:r>
        <w:rPr>
          <w:i/>
          <w:color w:val="231F20"/>
          <w:spacing w:val="-23"/>
          <w:w w:val="105"/>
          <w:sz w:val="21"/>
        </w:rPr>
        <w:t> </w:t>
      </w:r>
      <w:r>
        <w:rPr>
          <w:i/>
          <w:color w:val="231F20"/>
          <w:w w:val="105"/>
          <w:sz w:val="21"/>
        </w:rPr>
        <w:t>al</w:t>
      </w:r>
      <w:r>
        <w:rPr>
          <w:color w:val="231F20"/>
          <w:w w:val="105"/>
          <w:sz w:val="21"/>
        </w:rPr>
        <w:t>.</w:t>
      </w:r>
      <w:r>
        <w:rPr>
          <w:color w:val="231F20"/>
          <w:spacing w:val="-27"/>
          <w:w w:val="105"/>
          <w:sz w:val="21"/>
        </w:rPr>
        <w:t> </w:t>
      </w:r>
      <w:r>
        <w:rPr>
          <w:color w:val="231F20"/>
          <w:w w:val="105"/>
          <w:sz w:val="21"/>
        </w:rPr>
        <w:t>(2001).</w:t>
      </w:r>
      <w:r>
        <w:rPr>
          <w:color w:val="231F20"/>
          <w:spacing w:val="-27"/>
          <w:w w:val="105"/>
          <w:sz w:val="21"/>
        </w:rPr>
        <w:t> </w:t>
      </w:r>
      <w:r>
        <w:rPr>
          <w:color w:val="231F20"/>
          <w:w w:val="105"/>
          <w:sz w:val="21"/>
        </w:rPr>
        <w:t>“Los</w:t>
      </w:r>
      <w:r>
        <w:rPr>
          <w:color w:val="231F20"/>
          <w:spacing w:val="-23"/>
          <w:w w:val="105"/>
          <w:sz w:val="21"/>
        </w:rPr>
        <w:t> </w:t>
      </w:r>
      <w:r>
        <w:rPr>
          <w:color w:val="231F20"/>
          <w:w w:val="105"/>
          <w:sz w:val="21"/>
        </w:rPr>
        <w:t>criterios</w:t>
      </w:r>
      <w:r>
        <w:rPr>
          <w:color w:val="231F20"/>
          <w:spacing w:val="-23"/>
          <w:w w:val="105"/>
          <w:sz w:val="21"/>
        </w:rPr>
        <w:t> </w:t>
      </w:r>
      <w:r>
        <w:rPr>
          <w:color w:val="231F20"/>
          <w:w w:val="105"/>
          <w:sz w:val="21"/>
        </w:rPr>
        <w:t>de</w:t>
      </w:r>
      <w:r>
        <w:rPr>
          <w:color w:val="231F20"/>
          <w:spacing w:val="-23"/>
          <w:w w:val="105"/>
          <w:sz w:val="21"/>
        </w:rPr>
        <w:t> </w:t>
      </w:r>
      <w:r>
        <w:rPr>
          <w:color w:val="231F20"/>
          <w:w w:val="105"/>
          <w:sz w:val="21"/>
        </w:rPr>
        <w:t>localización</w:t>
      </w:r>
      <w:r>
        <w:rPr>
          <w:color w:val="231F20"/>
          <w:spacing w:val="-23"/>
          <w:w w:val="105"/>
          <w:sz w:val="21"/>
        </w:rPr>
        <w:t> </w:t>
      </w:r>
      <w:r>
        <w:rPr>
          <w:color w:val="231F20"/>
          <w:w w:val="105"/>
          <w:sz w:val="21"/>
        </w:rPr>
        <w:t>en</w:t>
      </w:r>
      <w:r>
        <w:rPr>
          <w:color w:val="231F20"/>
          <w:spacing w:val="-23"/>
          <w:w w:val="105"/>
          <w:sz w:val="21"/>
        </w:rPr>
        <w:t> </w:t>
      </w:r>
      <w:r>
        <w:rPr>
          <w:color w:val="231F20"/>
          <w:w w:val="105"/>
          <w:sz w:val="21"/>
        </w:rPr>
        <w:t>la</w:t>
      </w:r>
      <w:r>
        <w:rPr>
          <w:color w:val="231F20"/>
          <w:spacing w:val="-23"/>
          <w:w w:val="105"/>
          <w:sz w:val="21"/>
        </w:rPr>
        <w:t> </w:t>
      </w:r>
      <w:r>
        <w:rPr>
          <w:color w:val="231F20"/>
          <w:w w:val="105"/>
          <w:sz w:val="21"/>
        </w:rPr>
        <w:t>industria”</w:t>
      </w:r>
      <w:r>
        <w:rPr>
          <w:color w:val="231F20"/>
          <w:spacing w:val="-23"/>
          <w:w w:val="105"/>
          <w:sz w:val="21"/>
        </w:rPr>
        <w:t> </w:t>
      </w:r>
      <w:r>
        <w:rPr>
          <w:color w:val="231F20"/>
          <w:w w:val="105"/>
          <w:sz w:val="21"/>
        </w:rPr>
        <w:t>en:</w:t>
      </w:r>
      <w:r>
        <w:rPr>
          <w:color w:val="231F20"/>
          <w:spacing w:val="-23"/>
          <w:w w:val="105"/>
          <w:sz w:val="21"/>
        </w:rPr>
        <w:t> </w:t>
      </w:r>
      <w:r>
        <w:rPr>
          <w:i/>
          <w:color w:val="231F20"/>
          <w:w w:val="105"/>
          <w:sz w:val="21"/>
        </w:rPr>
        <w:t>Re- </w:t>
      </w:r>
      <w:r>
        <w:rPr>
          <w:i/>
          <w:color w:val="231F20"/>
          <w:w w:val="105"/>
          <w:sz w:val="21"/>
        </w:rPr>
        <w:t>vista</w:t>
      </w:r>
      <w:r>
        <w:rPr>
          <w:i/>
          <w:color w:val="231F20"/>
          <w:spacing w:val="-27"/>
          <w:w w:val="105"/>
          <w:sz w:val="21"/>
        </w:rPr>
        <w:t> </w:t>
      </w:r>
      <w:r>
        <w:rPr>
          <w:i/>
          <w:color w:val="231F20"/>
          <w:w w:val="105"/>
          <w:sz w:val="21"/>
        </w:rPr>
        <w:t>Gallega</w:t>
      </w:r>
      <w:r>
        <w:rPr>
          <w:i/>
          <w:color w:val="231F20"/>
          <w:spacing w:val="-27"/>
          <w:w w:val="105"/>
          <w:sz w:val="21"/>
        </w:rPr>
        <w:t> </w:t>
      </w:r>
      <w:r>
        <w:rPr>
          <w:i/>
          <w:color w:val="231F20"/>
          <w:w w:val="105"/>
          <w:sz w:val="21"/>
        </w:rPr>
        <w:t>de</w:t>
      </w:r>
      <w:r>
        <w:rPr>
          <w:i/>
          <w:color w:val="231F20"/>
          <w:spacing w:val="-27"/>
          <w:w w:val="105"/>
          <w:sz w:val="21"/>
        </w:rPr>
        <w:t> </w:t>
      </w:r>
      <w:r>
        <w:rPr>
          <w:i/>
          <w:color w:val="231F20"/>
          <w:w w:val="105"/>
          <w:sz w:val="21"/>
        </w:rPr>
        <w:t>Economía</w:t>
      </w:r>
      <w:r>
        <w:rPr>
          <w:color w:val="231F20"/>
          <w:w w:val="105"/>
          <w:sz w:val="21"/>
        </w:rPr>
        <w:t>,</w:t>
      </w:r>
      <w:r>
        <w:rPr>
          <w:color w:val="231F20"/>
          <w:spacing w:val="-32"/>
          <w:w w:val="105"/>
          <w:sz w:val="21"/>
        </w:rPr>
        <w:t> </w:t>
      </w:r>
      <w:r>
        <w:rPr>
          <w:color w:val="231F20"/>
          <w:w w:val="105"/>
          <w:sz w:val="21"/>
        </w:rPr>
        <w:t>vol</w:t>
      </w:r>
      <w:r>
        <w:rPr>
          <w:color w:val="231F20"/>
          <w:spacing w:val="-27"/>
          <w:w w:val="105"/>
          <w:sz w:val="21"/>
        </w:rPr>
        <w:t> </w:t>
      </w:r>
      <w:r>
        <w:rPr>
          <w:color w:val="231F20"/>
          <w:w w:val="105"/>
          <w:sz w:val="21"/>
        </w:rPr>
        <w:t>10,</w:t>
      </w:r>
      <w:r>
        <w:rPr>
          <w:color w:val="231F20"/>
          <w:spacing w:val="-32"/>
          <w:w w:val="105"/>
          <w:sz w:val="21"/>
        </w:rPr>
        <w:t> </w:t>
      </w:r>
      <w:r>
        <w:rPr>
          <w:color w:val="231F20"/>
          <w:w w:val="105"/>
          <w:sz w:val="21"/>
        </w:rPr>
        <w:t>núm.</w:t>
      </w:r>
      <w:r>
        <w:rPr>
          <w:color w:val="231F20"/>
          <w:spacing w:val="-32"/>
          <w:w w:val="105"/>
          <w:sz w:val="21"/>
        </w:rPr>
        <w:t> </w:t>
      </w:r>
      <w:r>
        <w:rPr>
          <w:color w:val="231F20"/>
          <w:w w:val="105"/>
          <w:sz w:val="21"/>
        </w:rPr>
        <w:t>2.</w:t>
      </w:r>
    </w:p>
    <w:p>
      <w:pPr>
        <w:spacing w:line="259" w:lineRule="auto" w:before="0"/>
        <w:ind w:left="840" w:right="115" w:hanging="737"/>
        <w:jc w:val="both"/>
        <w:rPr>
          <w:sz w:val="21"/>
        </w:rPr>
      </w:pPr>
      <w:r>
        <w:rPr>
          <w:color w:val="231F20"/>
          <w:w w:val="105"/>
          <w:sz w:val="21"/>
        </w:rPr>
        <w:t>Gracia,</w:t>
      </w:r>
      <w:r>
        <w:rPr>
          <w:color w:val="231F20"/>
          <w:spacing w:val="-23"/>
          <w:w w:val="105"/>
          <w:sz w:val="21"/>
        </w:rPr>
        <w:t> </w:t>
      </w:r>
      <w:r>
        <w:rPr>
          <w:color w:val="231F20"/>
          <w:w w:val="105"/>
          <w:sz w:val="21"/>
        </w:rPr>
        <w:t>M.</w:t>
      </w:r>
      <w:r>
        <w:rPr>
          <w:color w:val="231F20"/>
          <w:spacing w:val="-23"/>
          <w:w w:val="105"/>
          <w:sz w:val="21"/>
        </w:rPr>
        <w:t> </w:t>
      </w:r>
      <w:r>
        <w:rPr>
          <w:color w:val="231F20"/>
          <w:w w:val="105"/>
          <w:sz w:val="21"/>
        </w:rPr>
        <w:t>(2008).</w:t>
      </w:r>
      <w:r>
        <w:rPr>
          <w:color w:val="231F20"/>
          <w:spacing w:val="-23"/>
          <w:w w:val="105"/>
          <w:sz w:val="21"/>
        </w:rPr>
        <w:t> </w:t>
      </w:r>
      <w:r>
        <w:rPr>
          <w:i/>
          <w:color w:val="231F20"/>
          <w:w w:val="105"/>
          <w:sz w:val="21"/>
        </w:rPr>
        <w:t>Las</w:t>
      </w:r>
      <w:r>
        <w:rPr>
          <w:i/>
          <w:color w:val="231F20"/>
          <w:spacing w:val="-18"/>
          <w:w w:val="105"/>
          <w:sz w:val="21"/>
        </w:rPr>
        <w:t> </w:t>
      </w:r>
      <w:r>
        <w:rPr>
          <w:i/>
          <w:color w:val="231F20"/>
          <w:w w:val="105"/>
          <w:sz w:val="21"/>
        </w:rPr>
        <w:t>posibilidades</w:t>
      </w:r>
      <w:r>
        <w:rPr>
          <w:i/>
          <w:color w:val="231F20"/>
          <w:spacing w:val="-18"/>
          <w:w w:val="105"/>
          <w:sz w:val="21"/>
        </w:rPr>
        <w:t> </w:t>
      </w:r>
      <w:r>
        <w:rPr>
          <w:i/>
          <w:color w:val="231F20"/>
          <w:w w:val="105"/>
          <w:sz w:val="21"/>
        </w:rPr>
        <w:t>de</w:t>
      </w:r>
      <w:r>
        <w:rPr>
          <w:i/>
          <w:color w:val="231F20"/>
          <w:spacing w:val="-18"/>
          <w:w w:val="105"/>
          <w:sz w:val="21"/>
        </w:rPr>
        <w:t> </w:t>
      </w:r>
      <w:r>
        <w:rPr>
          <w:i/>
          <w:color w:val="231F20"/>
          <w:w w:val="105"/>
          <w:sz w:val="21"/>
        </w:rPr>
        <w:t>inserción</w:t>
      </w:r>
      <w:r>
        <w:rPr>
          <w:i/>
          <w:color w:val="231F20"/>
          <w:spacing w:val="-18"/>
          <w:w w:val="105"/>
          <w:sz w:val="21"/>
        </w:rPr>
        <w:t> </w:t>
      </w:r>
      <w:r>
        <w:rPr>
          <w:i/>
          <w:color w:val="231F20"/>
          <w:w w:val="105"/>
          <w:sz w:val="21"/>
        </w:rPr>
        <w:t>al</w:t>
      </w:r>
      <w:r>
        <w:rPr>
          <w:i/>
          <w:color w:val="231F20"/>
          <w:spacing w:val="-18"/>
          <w:w w:val="105"/>
          <w:sz w:val="21"/>
        </w:rPr>
        <w:t> </w:t>
      </w:r>
      <w:r>
        <w:rPr>
          <w:i/>
          <w:color w:val="231F20"/>
          <w:w w:val="105"/>
          <w:sz w:val="21"/>
        </w:rPr>
        <w:t>mercado</w:t>
      </w:r>
      <w:r>
        <w:rPr>
          <w:i/>
          <w:color w:val="231F20"/>
          <w:spacing w:val="-18"/>
          <w:w w:val="105"/>
          <w:sz w:val="21"/>
        </w:rPr>
        <w:t> </w:t>
      </w:r>
      <w:r>
        <w:rPr>
          <w:i/>
          <w:color w:val="231F20"/>
          <w:w w:val="105"/>
          <w:sz w:val="21"/>
        </w:rPr>
        <w:t>global</w:t>
      </w:r>
      <w:r>
        <w:rPr>
          <w:i/>
          <w:color w:val="231F20"/>
          <w:spacing w:val="-18"/>
          <w:w w:val="105"/>
          <w:sz w:val="21"/>
        </w:rPr>
        <w:t> </w:t>
      </w:r>
      <w:r>
        <w:rPr>
          <w:i/>
          <w:color w:val="231F20"/>
          <w:w w:val="105"/>
          <w:sz w:val="21"/>
        </w:rPr>
        <w:t>de</w:t>
      </w:r>
      <w:r>
        <w:rPr>
          <w:i/>
          <w:color w:val="231F20"/>
          <w:spacing w:val="-18"/>
          <w:w w:val="105"/>
          <w:sz w:val="21"/>
        </w:rPr>
        <w:t> </w:t>
      </w:r>
      <w:r>
        <w:rPr>
          <w:i/>
          <w:color w:val="231F20"/>
          <w:w w:val="105"/>
          <w:sz w:val="21"/>
        </w:rPr>
        <w:t>la </w:t>
      </w:r>
      <w:r>
        <w:rPr>
          <w:i/>
          <w:color w:val="231F20"/>
          <w:w w:val="105"/>
          <w:sz w:val="21"/>
        </w:rPr>
        <w:t>industria</w:t>
      </w:r>
      <w:r>
        <w:rPr>
          <w:i/>
          <w:color w:val="231F20"/>
          <w:spacing w:val="-7"/>
          <w:w w:val="105"/>
          <w:sz w:val="21"/>
        </w:rPr>
        <w:t> </w:t>
      </w:r>
      <w:r>
        <w:rPr>
          <w:i/>
          <w:color w:val="231F20"/>
          <w:w w:val="105"/>
          <w:sz w:val="21"/>
        </w:rPr>
        <w:t>textil</w:t>
      </w:r>
      <w:r>
        <w:rPr>
          <w:i/>
          <w:color w:val="231F20"/>
          <w:spacing w:val="-7"/>
          <w:w w:val="105"/>
          <w:sz w:val="21"/>
        </w:rPr>
        <w:t> </w:t>
      </w:r>
      <w:r>
        <w:rPr>
          <w:i/>
          <w:color w:val="231F20"/>
          <w:w w:val="105"/>
          <w:sz w:val="21"/>
        </w:rPr>
        <w:t>y</w:t>
      </w:r>
      <w:r>
        <w:rPr>
          <w:i/>
          <w:color w:val="231F20"/>
          <w:spacing w:val="-7"/>
          <w:w w:val="105"/>
          <w:sz w:val="21"/>
        </w:rPr>
        <w:t> </w:t>
      </w:r>
      <w:r>
        <w:rPr>
          <w:i/>
          <w:color w:val="231F20"/>
          <w:w w:val="105"/>
          <w:sz w:val="21"/>
        </w:rPr>
        <w:t>de</w:t>
      </w:r>
      <w:r>
        <w:rPr>
          <w:i/>
          <w:color w:val="231F20"/>
          <w:spacing w:val="-7"/>
          <w:w w:val="105"/>
          <w:sz w:val="21"/>
        </w:rPr>
        <w:t> </w:t>
      </w:r>
      <w:r>
        <w:rPr>
          <w:i/>
          <w:color w:val="231F20"/>
          <w:w w:val="105"/>
          <w:sz w:val="21"/>
        </w:rPr>
        <w:t>la</w:t>
      </w:r>
      <w:r>
        <w:rPr>
          <w:i/>
          <w:color w:val="231F20"/>
          <w:spacing w:val="-7"/>
          <w:w w:val="105"/>
          <w:sz w:val="21"/>
        </w:rPr>
        <w:t> </w:t>
      </w:r>
      <w:r>
        <w:rPr>
          <w:i/>
          <w:color w:val="231F20"/>
          <w:w w:val="105"/>
          <w:sz w:val="21"/>
        </w:rPr>
        <w:t>confección</w:t>
      </w:r>
      <w:r>
        <w:rPr>
          <w:i/>
          <w:color w:val="231F20"/>
          <w:spacing w:val="-7"/>
          <w:w w:val="105"/>
          <w:sz w:val="21"/>
        </w:rPr>
        <w:t> </w:t>
      </w:r>
      <w:r>
        <w:rPr>
          <w:i/>
          <w:color w:val="231F20"/>
          <w:w w:val="105"/>
          <w:sz w:val="21"/>
        </w:rPr>
        <w:t>oaxaqueña.</w:t>
      </w:r>
      <w:r>
        <w:rPr>
          <w:i/>
          <w:color w:val="231F20"/>
          <w:spacing w:val="-7"/>
          <w:w w:val="105"/>
          <w:sz w:val="21"/>
        </w:rPr>
        <w:t> </w:t>
      </w:r>
      <w:r>
        <w:rPr>
          <w:color w:val="231F20"/>
          <w:w w:val="105"/>
          <w:sz w:val="21"/>
        </w:rPr>
        <w:t>Un</w:t>
      </w:r>
      <w:r>
        <w:rPr>
          <w:color w:val="231F20"/>
          <w:spacing w:val="-7"/>
          <w:w w:val="105"/>
          <w:sz w:val="21"/>
        </w:rPr>
        <w:t> </w:t>
      </w:r>
      <w:r>
        <w:rPr>
          <w:color w:val="231F20"/>
          <w:w w:val="105"/>
          <w:sz w:val="21"/>
        </w:rPr>
        <w:t>análisis</w:t>
      </w:r>
      <w:r>
        <w:rPr>
          <w:color w:val="231F20"/>
          <w:spacing w:val="-7"/>
          <w:w w:val="105"/>
          <w:sz w:val="21"/>
        </w:rPr>
        <w:t> </w:t>
      </w:r>
      <w:r>
        <w:rPr>
          <w:color w:val="231F20"/>
          <w:w w:val="105"/>
          <w:sz w:val="21"/>
        </w:rPr>
        <w:t>bajo</w:t>
      </w:r>
      <w:r>
        <w:rPr>
          <w:color w:val="231F20"/>
          <w:spacing w:val="-7"/>
          <w:w w:val="105"/>
          <w:sz w:val="21"/>
        </w:rPr>
        <w:t> </w:t>
      </w:r>
      <w:r>
        <w:rPr>
          <w:color w:val="231F20"/>
          <w:w w:val="105"/>
          <w:sz w:val="21"/>
        </w:rPr>
        <w:t>el enfoque de la teoría de la Competitividad Sistémica. OAXACA: </w:t>
      </w:r>
      <w:r>
        <w:rPr>
          <w:color w:val="231F20"/>
          <w:spacing w:val="-5"/>
          <w:w w:val="105"/>
          <w:sz w:val="21"/>
        </w:rPr>
        <w:t>Temas</w:t>
      </w:r>
      <w:r>
        <w:rPr>
          <w:color w:val="231F20"/>
          <w:spacing w:val="-36"/>
          <w:w w:val="105"/>
          <w:sz w:val="21"/>
        </w:rPr>
        <w:t> </w:t>
      </w:r>
      <w:r>
        <w:rPr>
          <w:color w:val="231F20"/>
          <w:w w:val="105"/>
          <w:sz w:val="21"/>
        </w:rPr>
        <w:t>de</w:t>
      </w:r>
      <w:r>
        <w:rPr>
          <w:color w:val="231F20"/>
          <w:spacing w:val="-36"/>
          <w:w w:val="105"/>
          <w:sz w:val="21"/>
        </w:rPr>
        <w:t> </w:t>
      </w:r>
      <w:r>
        <w:rPr>
          <w:color w:val="231F20"/>
          <w:w w:val="105"/>
          <w:sz w:val="21"/>
        </w:rPr>
        <w:t>Ciencia</w:t>
      </w:r>
      <w:r>
        <w:rPr>
          <w:color w:val="231F20"/>
          <w:spacing w:val="-36"/>
          <w:w w:val="105"/>
          <w:sz w:val="21"/>
        </w:rPr>
        <w:t> </w:t>
      </w:r>
      <w:r>
        <w:rPr>
          <w:color w:val="231F20"/>
          <w:w w:val="105"/>
          <w:sz w:val="21"/>
        </w:rPr>
        <w:t>y</w:t>
      </w:r>
      <w:r>
        <w:rPr>
          <w:color w:val="231F20"/>
          <w:spacing w:val="-38"/>
          <w:w w:val="105"/>
          <w:sz w:val="21"/>
        </w:rPr>
        <w:t> </w:t>
      </w:r>
      <w:r>
        <w:rPr>
          <w:color w:val="231F20"/>
          <w:w w:val="105"/>
          <w:sz w:val="21"/>
        </w:rPr>
        <w:t>Tecnología.</w:t>
      </w:r>
    </w:p>
    <w:p>
      <w:pPr>
        <w:spacing w:line="259" w:lineRule="auto" w:before="0"/>
        <w:ind w:left="840" w:right="115" w:hanging="737"/>
        <w:jc w:val="both"/>
        <w:rPr>
          <w:sz w:val="21"/>
        </w:rPr>
      </w:pPr>
      <w:r>
        <w:rPr>
          <w:color w:val="231F20"/>
          <w:w w:val="105"/>
          <w:sz w:val="21"/>
        </w:rPr>
        <w:t>Guerrero,</w:t>
      </w:r>
      <w:r>
        <w:rPr>
          <w:color w:val="231F20"/>
          <w:spacing w:val="-16"/>
          <w:w w:val="105"/>
          <w:sz w:val="21"/>
        </w:rPr>
        <w:t> </w:t>
      </w:r>
      <w:r>
        <w:rPr>
          <w:color w:val="231F20"/>
          <w:spacing w:val="-6"/>
          <w:w w:val="105"/>
          <w:sz w:val="21"/>
        </w:rPr>
        <w:t>D.</w:t>
      </w:r>
      <w:r>
        <w:rPr>
          <w:color w:val="231F20"/>
          <w:spacing w:val="-16"/>
          <w:w w:val="105"/>
          <w:sz w:val="21"/>
        </w:rPr>
        <w:t> </w:t>
      </w:r>
      <w:r>
        <w:rPr>
          <w:color w:val="231F20"/>
          <w:w w:val="105"/>
          <w:sz w:val="21"/>
        </w:rPr>
        <w:t>(1995).</w:t>
      </w:r>
      <w:r>
        <w:rPr>
          <w:color w:val="231F20"/>
          <w:spacing w:val="-16"/>
          <w:w w:val="105"/>
          <w:sz w:val="21"/>
        </w:rPr>
        <w:t> </w:t>
      </w:r>
      <w:r>
        <w:rPr>
          <w:i/>
          <w:color w:val="231F20"/>
          <w:w w:val="105"/>
          <w:sz w:val="21"/>
        </w:rPr>
        <w:t>El</w:t>
      </w:r>
      <w:r>
        <w:rPr>
          <w:i/>
          <w:color w:val="231F20"/>
          <w:spacing w:val="-11"/>
          <w:w w:val="105"/>
          <w:sz w:val="21"/>
        </w:rPr>
        <w:t> </w:t>
      </w:r>
      <w:r>
        <w:rPr>
          <w:i/>
          <w:color w:val="231F20"/>
          <w:w w:val="105"/>
          <w:sz w:val="21"/>
        </w:rPr>
        <w:t>enfoque</w:t>
      </w:r>
      <w:r>
        <w:rPr>
          <w:i/>
          <w:color w:val="231F20"/>
          <w:spacing w:val="-11"/>
          <w:w w:val="105"/>
          <w:sz w:val="21"/>
        </w:rPr>
        <w:t> </w:t>
      </w:r>
      <w:r>
        <w:rPr>
          <w:i/>
          <w:color w:val="231F20"/>
          <w:w w:val="105"/>
          <w:sz w:val="21"/>
        </w:rPr>
        <w:t>dinámico</w:t>
      </w:r>
      <w:r>
        <w:rPr>
          <w:i/>
          <w:color w:val="231F20"/>
          <w:spacing w:val="-11"/>
          <w:w w:val="105"/>
          <w:sz w:val="21"/>
        </w:rPr>
        <w:t> </w:t>
      </w:r>
      <w:r>
        <w:rPr>
          <w:i/>
          <w:color w:val="231F20"/>
          <w:w w:val="105"/>
          <w:sz w:val="21"/>
        </w:rPr>
        <w:t>en</w:t>
      </w:r>
      <w:r>
        <w:rPr>
          <w:i/>
          <w:color w:val="231F20"/>
          <w:spacing w:val="-11"/>
          <w:w w:val="105"/>
          <w:sz w:val="21"/>
        </w:rPr>
        <w:t> </w:t>
      </w:r>
      <w:r>
        <w:rPr>
          <w:i/>
          <w:color w:val="231F20"/>
          <w:w w:val="105"/>
          <w:sz w:val="21"/>
        </w:rPr>
        <w:t>la</w:t>
      </w:r>
      <w:r>
        <w:rPr>
          <w:i/>
          <w:color w:val="231F20"/>
          <w:spacing w:val="-11"/>
          <w:w w:val="105"/>
          <w:sz w:val="21"/>
        </w:rPr>
        <w:t> </w:t>
      </w:r>
      <w:r>
        <w:rPr>
          <w:i/>
          <w:color w:val="231F20"/>
          <w:w w:val="105"/>
          <w:sz w:val="21"/>
        </w:rPr>
        <w:t>teoría</w:t>
      </w:r>
      <w:r>
        <w:rPr>
          <w:i/>
          <w:color w:val="231F20"/>
          <w:spacing w:val="-11"/>
          <w:w w:val="105"/>
          <w:sz w:val="21"/>
        </w:rPr>
        <w:t> </w:t>
      </w:r>
      <w:r>
        <w:rPr>
          <w:i/>
          <w:color w:val="231F20"/>
          <w:w w:val="105"/>
          <w:sz w:val="21"/>
        </w:rPr>
        <w:t>de</w:t>
      </w:r>
      <w:r>
        <w:rPr>
          <w:i/>
          <w:color w:val="231F20"/>
          <w:spacing w:val="-11"/>
          <w:w w:val="105"/>
          <w:sz w:val="21"/>
        </w:rPr>
        <w:t> </w:t>
      </w:r>
      <w:r>
        <w:rPr>
          <w:i/>
          <w:color w:val="231F20"/>
          <w:w w:val="105"/>
          <w:sz w:val="21"/>
        </w:rPr>
        <w:t>la</w:t>
      </w:r>
      <w:r>
        <w:rPr>
          <w:i/>
          <w:color w:val="231F20"/>
          <w:spacing w:val="-11"/>
          <w:w w:val="105"/>
          <w:sz w:val="21"/>
        </w:rPr>
        <w:t> </w:t>
      </w:r>
      <w:r>
        <w:rPr>
          <w:i/>
          <w:color w:val="231F20"/>
          <w:w w:val="105"/>
          <w:sz w:val="21"/>
        </w:rPr>
        <w:t>competencia </w:t>
      </w:r>
      <w:r>
        <w:rPr>
          <w:color w:val="231F20"/>
          <w:w w:val="105"/>
          <w:sz w:val="21"/>
        </w:rPr>
        <w:t>en:</w:t>
      </w:r>
      <w:r>
        <w:rPr>
          <w:color w:val="231F20"/>
          <w:spacing w:val="-15"/>
          <w:w w:val="105"/>
          <w:sz w:val="21"/>
        </w:rPr>
        <w:t> </w:t>
      </w:r>
      <w:r>
        <w:rPr>
          <w:color w:val="231F20"/>
          <w:w w:val="105"/>
          <w:sz w:val="21"/>
        </w:rPr>
        <w:t>Cuadernos</w:t>
      </w:r>
      <w:r>
        <w:rPr>
          <w:color w:val="231F20"/>
          <w:spacing w:val="-15"/>
          <w:w w:val="105"/>
          <w:sz w:val="21"/>
        </w:rPr>
        <w:t> </w:t>
      </w:r>
      <w:r>
        <w:rPr>
          <w:color w:val="231F20"/>
          <w:w w:val="105"/>
          <w:sz w:val="21"/>
        </w:rPr>
        <w:t>de</w:t>
      </w:r>
      <w:r>
        <w:rPr>
          <w:color w:val="231F20"/>
          <w:spacing w:val="-15"/>
          <w:w w:val="105"/>
          <w:sz w:val="21"/>
        </w:rPr>
        <w:t> </w:t>
      </w:r>
      <w:r>
        <w:rPr>
          <w:color w:val="231F20"/>
          <w:w w:val="105"/>
          <w:sz w:val="21"/>
        </w:rPr>
        <w:t>Economía:</w:t>
      </w:r>
      <w:r>
        <w:rPr>
          <w:color w:val="231F20"/>
          <w:spacing w:val="-15"/>
          <w:w w:val="105"/>
          <w:sz w:val="21"/>
        </w:rPr>
        <w:t> </w:t>
      </w:r>
      <w:r>
        <w:rPr>
          <w:color w:val="231F20"/>
          <w:w w:val="105"/>
          <w:sz w:val="21"/>
        </w:rPr>
        <w:t>monográfico</w:t>
      </w:r>
      <w:r>
        <w:rPr>
          <w:color w:val="231F20"/>
          <w:spacing w:val="-15"/>
          <w:w w:val="105"/>
          <w:sz w:val="21"/>
        </w:rPr>
        <w:t> </w:t>
      </w:r>
      <w:r>
        <w:rPr>
          <w:color w:val="231F20"/>
          <w:w w:val="105"/>
          <w:sz w:val="21"/>
        </w:rPr>
        <w:t>sobre</w:t>
      </w:r>
      <w:r>
        <w:rPr>
          <w:color w:val="231F20"/>
          <w:spacing w:val="-15"/>
          <w:w w:val="105"/>
          <w:sz w:val="21"/>
        </w:rPr>
        <w:t> </w:t>
      </w:r>
      <w:r>
        <w:rPr>
          <w:color w:val="231F20"/>
          <w:w w:val="105"/>
          <w:sz w:val="21"/>
        </w:rPr>
        <w:t>economía</w:t>
      </w:r>
      <w:r>
        <w:rPr>
          <w:color w:val="231F20"/>
          <w:spacing w:val="-15"/>
          <w:w w:val="105"/>
          <w:sz w:val="21"/>
        </w:rPr>
        <w:t> </w:t>
      </w:r>
      <w:r>
        <w:rPr>
          <w:color w:val="231F20"/>
          <w:w w:val="105"/>
          <w:sz w:val="21"/>
        </w:rPr>
        <w:t>críti- ca,</w:t>
      </w:r>
      <w:r>
        <w:rPr>
          <w:color w:val="231F20"/>
          <w:spacing w:val="-25"/>
          <w:w w:val="105"/>
          <w:sz w:val="21"/>
        </w:rPr>
        <w:t> </w:t>
      </w:r>
      <w:r>
        <w:rPr>
          <w:color w:val="231F20"/>
          <w:w w:val="105"/>
          <w:sz w:val="21"/>
        </w:rPr>
        <w:t>próximo</w:t>
      </w:r>
      <w:r>
        <w:rPr>
          <w:color w:val="231F20"/>
          <w:spacing w:val="-19"/>
          <w:w w:val="105"/>
          <w:sz w:val="21"/>
        </w:rPr>
        <w:t> </w:t>
      </w:r>
      <w:r>
        <w:rPr>
          <w:color w:val="231F20"/>
          <w:w w:val="105"/>
          <w:sz w:val="21"/>
        </w:rPr>
        <w:t>n1,</w:t>
      </w:r>
      <w:r>
        <w:rPr>
          <w:color w:val="231F20"/>
          <w:spacing w:val="-25"/>
          <w:w w:val="105"/>
          <w:sz w:val="21"/>
        </w:rPr>
        <w:t> </w:t>
      </w:r>
      <w:r>
        <w:rPr>
          <w:color w:val="231F20"/>
          <w:w w:val="105"/>
          <w:sz w:val="21"/>
        </w:rPr>
        <w:t>1995</w:t>
      </w:r>
      <w:r>
        <w:rPr>
          <w:color w:val="231F20"/>
          <w:spacing w:val="-19"/>
          <w:w w:val="105"/>
          <w:sz w:val="21"/>
        </w:rPr>
        <w:t> </w:t>
      </w:r>
      <w:r>
        <w:rPr>
          <w:color w:val="231F20"/>
          <w:w w:val="105"/>
          <w:sz w:val="21"/>
        </w:rPr>
        <w:t>[en</w:t>
      </w:r>
      <w:r>
        <w:rPr>
          <w:color w:val="231F20"/>
          <w:spacing w:val="-19"/>
          <w:w w:val="105"/>
          <w:sz w:val="21"/>
        </w:rPr>
        <w:t> </w:t>
      </w:r>
      <w:r>
        <w:rPr>
          <w:color w:val="231F20"/>
          <w:w w:val="105"/>
          <w:sz w:val="21"/>
        </w:rPr>
        <w:t>prensa].</w:t>
      </w:r>
    </w:p>
    <w:p>
      <w:pPr>
        <w:pStyle w:val="BodyText"/>
        <w:spacing w:line="259" w:lineRule="auto"/>
        <w:ind w:left="840" w:right="120" w:hanging="738"/>
        <w:jc w:val="both"/>
      </w:pPr>
      <w:r>
        <w:rPr>
          <w:color w:val="231F20"/>
          <w:w w:val="105"/>
        </w:rPr>
        <w:t>Heckscher,</w:t>
      </w:r>
      <w:r>
        <w:rPr>
          <w:color w:val="231F20"/>
          <w:spacing w:val="-10"/>
          <w:w w:val="105"/>
        </w:rPr>
        <w:t> </w:t>
      </w:r>
      <w:r>
        <w:rPr>
          <w:color w:val="231F20"/>
          <w:w w:val="105"/>
        </w:rPr>
        <w:t>E.</w:t>
      </w:r>
      <w:r>
        <w:rPr>
          <w:color w:val="231F20"/>
          <w:spacing w:val="-10"/>
          <w:w w:val="105"/>
        </w:rPr>
        <w:t> </w:t>
      </w:r>
      <w:r>
        <w:rPr>
          <w:color w:val="231F20"/>
          <w:w w:val="105"/>
        </w:rPr>
        <w:t>(1919).</w:t>
      </w:r>
      <w:r>
        <w:rPr>
          <w:color w:val="231F20"/>
          <w:spacing w:val="-14"/>
          <w:w w:val="105"/>
        </w:rPr>
        <w:t> </w:t>
      </w:r>
      <w:r>
        <w:rPr>
          <w:color w:val="231F20"/>
          <w:w w:val="105"/>
        </w:rPr>
        <w:t>The</w:t>
      </w:r>
      <w:r>
        <w:rPr>
          <w:color w:val="231F20"/>
          <w:spacing w:val="-6"/>
          <w:w w:val="105"/>
        </w:rPr>
        <w:t> </w:t>
      </w:r>
      <w:r>
        <w:rPr>
          <w:color w:val="231F20"/>
          <w:w w:val="105"/>
        </w:rPr>
        <w:t>Effects</w:t>
      </w:r>
      <w:r>
        <w:rPr>
          <w:color w:val="231F20"/>
          <w:spacing w:val="-6"/>
          <w:w w:val="105"/>
        </w:rPr>
        <w:t> </w:t>
      </w:r>
      <w:r>
        <w:rPr>
          <w:color w:val="231F20"/>
          <w:w w:val="105"/>
        </w:rPr>
        <w:t>of</w:t>
      </w:r>
      <w:r>
        <w:rPr>
          <w:color w:val="231F20"/>
          <w:spacing w:val="-2"/>
          <w:w w:val="105"/>
        </w:rPr>
        <w:t> </w:t>
      </w:r>
      <w:r>
        <w:rPr>
          <w:color w:val="231F20"/>
          <w:spacing w:val="-3"/>
          <w:w w:val="105"/>
        </w:rPr>
        <w:t>Foreign</w:t>
      </w:r>
      <w:r>
        <w:rPr>
          <w:color w:val="231F20"/>
          <w:spacing w:val="-10"/>
          <w:w w:val="105"/>
        </w:rPr>
        <w:t> </w:t>
      </w:r>
      <w:r>
        <w:rPr>
          <w:color w:val="231F20"/>
          <w:spacing w:val="-5"/>
          <w:w w:val="105"/>
        </w:rPr>
        <w:t>Trade</w:t>
      </w:r>
      <w:r>
        <w:rPr>
          <w:color w:val="231F20"/>
          <w:spacing w:val="-6"/>
          <w:w w:val="105"/>
        </w:rPr>
        <w:t> </w:t>
      </w:r>
      <w:r>
        <w:rPr>
          <w:color w:val="231F20"/>
          <w:w w:val="105"/>
        </w:rPr>
        <w:t>on</w:t>
      </w:r>
      <w:r>
        <w:rPr>
          <w:color w:val="231F20"/>
          <w:spacing w:val="-6"/>
          <w:w w:val="105"/>
        </w:rPr>
        <w:t> </w:t>
      </w:r>
      <w:r>
        <w:rPr>
          <w:color w:val="231F20"/>
          <w:w w:val="105"/>
        </w:rPr>
        <w:t>the</w:t>
      </w:r>
      <w:r>
        <w:rPr>
          <w:color w:val="231F20"/>
          <w:spacing w:val="-6"/>
          <w:w w:val="105"/>
        </w:rPr>
        <w:t> </w:t>
      </w:r>
      <w:r>
        <w:rPr>
          <w:color w:val="231F20"/>
          <w:w w:val="105"/>
        </w:rPr>
        <w:t>Distributionof Income,</w:t>
      </w:r>
      <w:r>
        <w:rPr>
          <w:color w:val="231F20"/>
          <w:spacing w:val="-40"/>
          <w:w w:val="105"/>
        </w:rPr>
        <w:t> </w:t>
      </w:r>
      <w:r>
        <w:rPr>
          <w:color w:val="231F20"/>
          <w:w w:val="105"/>
        </w:rPr>
        <w:t>en:</w:t>
      </w:r>
      <w:r>
        <w:rPr>
          <w:color w:val="231F20"/>
          <w:spacing w:val="-37"/>
          <w:w w:val="105"/>
        </w:rPr>
        <w:t> </w:t>
      </w:r>
      <w:r>
        <w:rPr>
          <w:i/>
          <w:color w:val="231F20"/>
          <w:w w:val="105"/>
        </w:rPr>
        <w:t>Ekonomisk</w:t>
      </w:r>
      <w:r>
        <w:rPr>
          <w:i/>
          <w:color w:val="231F20"/>
          <w:spacing w:val="-39"/>
          <w:w w:val="105"/>
        </w:rPr>
        <w:t> </w:t>
      </w:r>
      <w:r>
        <w:rPr>
          <w:i/>
          <w:color w:val="231F20"/>
          <w:w w:val="105"/>
        </w:rPr>
        <w:t>Tidskrift</w:t>
      </w:r>
      <w:r>
        <w:rPr>
          <w:color w:val="231F20"/>
          <w:w w:val="105"/>
        </w:rPr>
        <w:t>,</w:t>
      </w:r>
      <w:r>
        <w:rPr>
          <w:color w:val="231F20"/>
          <w:spacing w:val="-41"/>
          <w:w w:val="105"/>
        </w:rPr>
        <w:t> </w:t>
      </w:r>
      <w:r>
        <w:rPr>
          <w:color w:val="231F20"/>
          <w:spacing w:val="-3"/>
          <w:w w:val="105"/>
        </w:rPr>
        <w:t>Vol</w:t>
      </w:r>
      <w:r>
        <w:rPr>
          <w:color w:val="231F20"/>
          <w:spacing w:val="-37"/>
          <w:w w:val="105"/>
        </w:rPr>
        <w:t> </w:t>
      </w:r>
      <w:r>
        <w:rPr>
          <w:color w:val="231F20"/>
          <w:w w:val="105"/>
        </w:rPr>
        <w:t>21.</w:t>
      </w:r>
    </w:p>
    <w:p>
      <w:pPr>
        <w:spacing w:line="259" w:lineRule="auto" w:before="0"/>
        <w:ind w:left="840" w:right="120" w:hanging="737"/>
        <w:jc w:val="both"/>
        <w:rPr>
          <w:sz w:val="21"/>
        </w:rPr>
      </w:pPr>
      <w:r>
        <w:rPr>
          <w:color w:val="231F20"/>
          <w:w w:val="105"/>
          <w:sz w:val="21"/>
        </w:rPr>
        <w:t>Hymer,</w:t>
      </w:r>
      <w:r>
        <w:rPr>
          <w:color w:val="231F20"/>
          <w:spacing w:val="-33"/>
          <w:w w:val="105"/>
          <w:sz w:val="21"/>
        </w:rPr>
        <w:t> </w:t>
      </w:r>
      <w:r>
        <w:rPr>
          <w:color w:val="231F20"/>
          <w:w w:val="105"/>
          <w:sz w:val="21"/>
        </w:rPr>
        <w:t>S.</w:t>
      </w:r>
      <w:r>
        <w:rPr>
          <w:color w:val="231F20"/>
          <w:spacing w:val="-33"/>
          <w:w w:val="105"/>
          <w:sz w:val="21"/>
        </w:rPr>
        <w:t> </w:t>
      </w:r>
      <w:r>
        <w:rPr>
          <w:color w:val="231F20"/>
          <w:w w:val="105"/>
          <w:sz w:val="21"/>
        </w:rPr>
        <w:t>(1976).</w:t>
      </w:r>
      <w:r>
        <w:rPr>
          <w:color w:val="231F20"/>
          <w:spacing w:val="-33"/>
          <w:w w:val="105"/>
          <w:sz w:val="21"/>
        </w:rPr>
        <w:t> </w:t>
      </w:r>
      <w:r>
        <w:rPr>
          <w:i/>
          <w:color w:val="231F20"/>
          <w:w w:val="105"/>
          <w:sz w:val="21"/>
        </w:rPr>
        <w:t>The</w:t>
      </w:r>
      <w:r>
        <w:rPr>
          <w:i/>
          <w:color w:val="231F20"/>
          <w:spacing w:val="-29"/>
          <w:w w:val="105"/>
          <w:sz w:val="21"/>
        </w:rPr>
        <w:t> </w:t>
      </w:r>
      <w:r>
        <w:rPr>
          <w:i/>
          <w:color w:val="231F20"/>
          <w:w w:val="105"/>
          <w:sz w:val="21"/>
        </w:rPr>
        <w:t>international</w:t>
      </w:r>
      <w:r>
        <w:rPr>
          <w:i/>
          <w:color w:val="231F20"/>
          <w:spacing w:val="-29"/>
          <w:w w:val="105"/>
          <w:sz w:val="21"/>
        </w:rPr>
        <w:t> </w:t>
      </w:r>
      <w:r>
        <w:rPr>
          <w:i/>
          <w:color w:val="231F20"/>
          <w:w w:val="105"/>
          <w:sz w:val="21"/>
        </w:rPr>
        <w:t>operations</w:t>
      </w:r>
      <w:r>
        <w:rPr>
          <w:i/>
          <w:color w:val="231F20"/>
          <w:spacing w:val="-29"/>
          <w:w w:val="105"/>
          <w:sz w:val="21"/>
        </w:rPr>
        <w:t> </w:t>
      </w:r>
      <w:r>
        <w:rPr>
          <w:i/>
          <w:color w:val="231F20"/>
          <w:w w:val="105"/>
          <w:sz w:val="21"/>
        </w:rPr>
        <w:t>of</w:t>
      </w:r>
      <w:r>
        <w:rPr>
          <w:i/>
          <w:color w:val="231F20"/>
          <w:spacing w:val="-26"/>
          <w:w w:val="105"/>
          <w:sz w:val="21"/>
        </w:rPr>
        <w:t> </w:t>
      </w:r>
      <w:r>
        <w:rPr>
          <w:i/>
          <w:color w:val="231F20"/>
          <w:w w:val="105"/>
          <w:sz w:val="21"/>
        </w:rPr>
        <w:t>national</w:t>
      </w:r>
      <w:r>
        <w:rPr>
          <w:i/>
          <w:color w:val="231F20"/>
          <w:spacing w:val="-29"/>
          <w:w w:val="105"/>
          <w:sz w:val="21"/>
        </w:rPr>
        <w:t> </w:t>
      </w:r>
      <w:r>
        <w:rPr>
          <w:i/>
          <w:color w:val="231F20"/>
          <w:w w:val="105"/>
          <w:sz w:val="21"/>
        </w:rPr>
        <w:t>firms:</w:t>
      </w:r>
      <w:r>
        <w:rPr>
          <w:i/>
          <w:color w:val="231F20"/>
          <w:spacing w:val="-29"/>
          <w:w w:val="105"/>
          <w:sz w:val="21"/>
        </w:rPr>
        <w:t> </w:t>
      </w:r>
      <w:r>
        <w:rPr>
          <w:i/>
          <w:color w:val="231F20"/>
          <w:w w:val="105"/>
          <w:sz w:val="21"/>
        </w:rPr>
        <w:t>a</w:t>
      </w:r>
      <w:r>
        <w:rPr>
          <w:i/>
          <w:color w:val="231F20"/>
          <w:spacing w:val="-29"/>
          <w:w w:val="105"/>
          <w:sz w:val="21"/>
        </w:rPr>
        <w:t> </w:t>
      </w:r>
      <w:r>
        <w:rPr>
          <w:i/>
          <w:color w:val="231F20"/>
          <w:w w:val="105"/>
          <w:sz w:val="21"/>
        </w:rPr>
        <w:t>study</w:t>
      </w:r>
      <w:r>
        <w:rPr>
          <w:i/>
          <w:color w:val="231F20"/>
          <w:spacing w:val="-29"/>
          <w:w w:val="105"/>
          <w:sz w:val="21"/>
        </w:rPr>
        <w:t> </w:t>
      </w:r>
      <w:r>
        <w:rPr>
          <w:i/>
          <w:color w:val="231F20"/>
          <w:w w:val="105"/>
          <w:sz w:val="21"/>
        </w:rPr>
        <w:t>of </w:t>
      </w:r>
      <w:r>
        <w:rPr>
          <w:i/>
          <w:color w:val="231F20"/>
          <w:w w:val="105"/>
          <w:sz w:val="21"/>
        </w:rPr>
        <w:t>direct</w:t>
      </w:r>
      <w:r>
        <w:rPr>
          <w:i/>
          <w:color w:val="231F20"/>
          <w:spacing w:val="-24"/>
          <w:w w:val="105"/>
          <w:sz w:val="21"/>
        </w:rPr>
        <w:t> </w:t>
      </w:r>
      <w:r>
        <w:rPr>
          <w:i/>
          <w:color w:val="231F20"/>
          <w:w w:val="105"/>
          <w:sz w:val="21"/>
        </w:rPr>
        <w:t>foreign</w:t>
      </w:r>
      <w:r>
        <w:rPr>
          <w:i/>
          <w:color w:val="231F20"/>
          <w:spacing w:val="-24"/>
          <w:w w:val="105"/>
          <w:sz w:val="21"/>
        </w:rPr>
        <w:t> </w:t>
      </w:r>
      <w:r>
        <w:rPr>
          <w:i/>
          <w:color w:val="231F20"/>
          <w:w w:val="105"/>
          <w:sz w:val="21"/>
        </w:rPr>
        <w:t>investment</w:t>
      </w:r>
      <w:r>
        <w:rPr>
          <w:color w:val="231F20"/>
          <w:w w:val="105"/>
          <w:sz w:val="21"/>
        </w:rPr>
        <w:t>,</w:t>
      </w:r>
      <w:r>
        <w:rPr>
          <w:color w:val="231F20"/>
          <w:spacing w:val="-29"/>
          <w:w w:val="105"/>
          <w:sz w:val="21"/>
        </w:rPr>
        <w:t> </w:t>
      </w:r>
      <w:r>
        <w:rPr>
          <w:color w:val="231F20"/>
          <w:w w:val="105"/>
          <w:sz w:val="21"/>
        </w:rPr>
        <w:t>Mit</w:t>
      </w:r>
      <w:r>
        <w:rPr>
          <w:color w:val="231F20"/>
          <w:spacing w:val="-24"/>
          <w:w w:val="105"/>
          <w:sz w:val="21"/>
        </w:rPr>
        <w:t> </w:t>
      </w:r>
      <w:r>
        <w:rPr>
          <w:color w:val="231F20"/>
          <w:spacing w:val="-3"/>
          <w:w w:val="105"/>
          <w:sz w:val="21"/>
        </w:rPr>
        <w:t>Press,</w:t>
      </w:r>
      <w:r>
        <w:rPr>
          <w:color w:val="231F20"/>
          <w:spacing w:val="-29"/>
          <w:w w:val="105"/>
          <w:sz w:val="21"/>
        </w:rPr>
        <w:t> </w:t>
      </w:r>
      <w:r>
        <w:rPr>
          <w:color w:val="231F20"/>
          <w:w w:val="105"/>
          <w:sz w:val="21"/>
        </w:rPr>
        <w:t>Cambridge.</w:t>
      </w:r>
    </w:p>
    <w:p>
      <w:pPr>
        <w:spacing w:line="259" w:lineRule="auto" w:before="0"/>
        <w:ind w:left="840" w:right="110" w:hanging="738"/>
        <w:jc w:val="both"/>
        <w:rPr>
          <w:sz w:val="21"/>
        </w:rPr>
      </w:pPr>
      <w:r>
        <w:rPr>
          <w:color w:val="231F20"/>
          <w:w w:val="105"/>
          <w:sz w:val="21"/>
        </w:rPr>
        <w:t>Haque, I. (ed.) (1991). </w:t>
      </w:r>
      <w:r>
        <w:rPr>
          <w:i/>
          <w:color w:val="231F20"/>
          <w:w w:val="105"/>
          <w:sz w:val="21"/>
        </w:rPr>
        <w:t>International competitiveness. Interaction of the </w:t>
      </w:r>
      <w:r>
        <w:rPr>
          <w:i/>
          <w:color w:val="231F20"/>
          <w:w w:val="105"/>
          <w:sz w:val="21"/>
        </w:rPr>
        <w:t>public and private sectors, </w:t>
      </w:r>
      <w:r>
        <w:rPr>
          <w:color w:val="231F20"/>
          <w:w w:val="105"/>
          <w:sz w:val="21"/>
        </w:rPr>
        <w:t>Collected </w:t>
      </w:r>
      <w:r>
        <w:rPr>
          <w:color w:val="231F20"/>
          <w:spacing w:val="-3"/>
          <w:w w:val="105"/>
          <w:sz w:val="21"/>
        </w:rPr>
        <w:t>Papers </w:t>
      </w:r>
      <w:r>
        <w:rPr>
          <w:color w:val="231F20"/>
          <w:w w:val="105"/>
          <w:sz w:val="21"/>
        </w:rPr>
        <w:t>from EDI Seminar. Washington:</w:t>
      </w:r>
      <w:r>
        <w:rPr>
          <w:color w:val="231F20"/>
          <w:spacing w:val="-26"/>
          <w:w w:val="105"/>
          <w:sz w:val="21"/>
        </w:rPr>
        <w:t> </w:t>
      </w:r>
      <w:r>
        <w:rPr>
          <w:color w:val="231F20"/>
          <w:w w:val="105"/>
          <w:sz w:val="21"/>
        </w:rPr>
        <w:t>the</w:t>
      </w:r>
      <w:r>
        <w:rPr>
          <w:color w:val="231F20"/>
          <w:spacing w:val="-28"/>
          <w:w w:val="105"/>
          <w:sz w:val="21"/>
        </w:rPr>
        <w:t> </w:t>
      </w:r>
      <w:r>
        <w:rPr>
          <w:color w:val="231F20"/>
          <w:w w:val="105"/>
          <w:sz w:val="21"/>
        </w:rPr>
        <w:t>World</w:t>
      </w:r>
      <w:r>
        <w:rPr>
          <w:color w:val="231F20"/>
          <w:spacing w:val="-26"/>
          <w:w w:val="105"/>
          <w:sz w:val="21"/>
        </w:rPr>
        <w:t> </w:t>
      </w:r>
      <w:r>
        <w:rPr>
          <w:color w:val="231F20"/>
          <w:w w:val="105"/>
          <w:sz w:val="21"/>
        </w:rPr>
        <w:t>Bank.</w:t>
      </w:r>
      <w:r>
        <w:rPr>
          <w:color w:val="231F20"/>
          <w:spacing w:val="-30"/>
          <w:w w:val="105"/>
          <w:sz w:val="21"/>
        </w:rPr>
        <w:t> </w:t>
      </w:r>
      <w:r>
        <w:rPr>
          <w:color w:val="231F20"/>
          <w:w w:val="105"/>
          <w:sz w:val="21"/>
        </w:rPr>
        <w:t>Industry</w:t>
      </w:r>
      <w:r>
        <w:rPr>
          <w:color w:val="231F20"/>
          <w:spacing w:val="-26"/>
          <w:w w:val="105"/>
          <w:sz w:val="21"/>
        </w:rPr>
        <w:t> </w:t>
      </w:r>
      <w:r>
        <w:rPr>
          <w:color w:val="231F20"/>
          <w:w w:val="105"/>
          <w:sz w:val="21"/>
        </w:rPr>
        <w:t>Canada</w:t>
      </w:r>
      <w:r>
        <w:rPr>
          <w:color w:val="231F20"/>
          <w:spacing w:val="-26"/>
          <w:w w:val="105"/>
          <w:sz w:val="21"/>
        </w:rPr>
        <w:t> </w:t>
      </w:r>
      <w:r>
        <w:rPr>
          <w:color w:val="231F20"/>
          <w:w w:val="105"/>
          <w:sz w:val="21"/>
        </w:rPr>
        <w:t>(1995).</w:t>
      </w:r>
      <w:r>
        <w:rPr>
          <w:color w:val="231F20"/>
          <w:spacing w:val="-35"/>
          <w:w w:val="105"/>
          <w:sz w:val="21"/>
        </w:rPr>
        <w:t> </w:t>
      </w:r>
      <w:r>
        <w:rPr>
          <w:color w:val="231F20"/>
          <w:w w:val="105"/>
          <w:sz w:val="21"/>
        </w:rPr>
        <w:t>«Competi- tiveness:</w:t>
      </w:r>
      <w:r>
        <w:rPr>
          <w:color w:val="231F20"/>
          <w:spacing w:val="-26"/>
          <w:w w:val="105"/>
          <w:sz w:val="21"/>
        </w:rPr>
        <w:t> </w:t>
      </w:r>
      <w:r>
        <w:rPr>
          <w:color w:val="231F20"/>
          <w:w w:val="105"/>
          <w:sz w:val="21"/>
        </w:rPr>
        <w:t>concepts</w:t>
      </w:r>
      <w:r>
        <w:rPr>
          <w:color w:val="231F20"/>
          <w:spacing w:val="-26"/>
          <w:w w:val="105"/>
          <w:sz w:val="21"/>
        </w:rPr>
        <w:t> </w:t>
      </w:r>
      <w:r>
        <w:rPr>
          <w:color w:val="231F20"/>
          <w:w w:val="105"/>
          <w:sz w:val="21"/>
        </w:rPr>
        <w:t>and</w:t>
      </w:r>
      <w:r>
        <w:rPr>
          <w:color w:val="231F20"/>
          <w:spacing w:val="-26"/>
          <w:w w:val="105"/>
          <w:sz w:val="21"/>
        </w:rPr>
        <w:t> </w:t>
      </w:r>
      <w:r>
        <w:rPr>
          <w:color w:val="231F20"/>
          <w:w w:val="105"/>
          <w:sz w:val="21"/>
        </w:rPr>
        <w:t>measures»,</w:t>
      </w:r>
      <w:r>
        <w:rPr>
          <w:color w:val="231F20"/>
          <w:spacing w:val="-29"/>
          <w:w w:val="105"/>
          <w:sz w:val="21"/>
        </w:rPr>
        <w:t> </w:t>
      </w:r>
      <w:r>
        <w:rPr>
          <w:color w:val="231F20"/>
          <w:w w:val="105"/>
          <w:sz w:val="21"/>
        </w:rPr>
        <w:t>en</w:t>
      </w:r>
      <w:r>
        <w:rPr>
          <w:color w:val="231F20"/>
          <w:spacing w:val="-26"/>
          <w:w w:val="105"/>
          <w:sz w:val="21"/>
        </w:rPr>
        <w:t> </w:t>
      </w:r>
      <w:r>
        <w:rPr>
          <w:color w:val="231F20"/>
          <w:w w:val="105"/>
          <w:sz w:val="21"/>
        </w:rPr>
        <w:t>occasional</w:t>
      </w:r>
      <w:r>
        <w:rPr>
          <w:color w:val="231F20"/>
          <w:spacing w:val="-26"/>
          <w:w w:val="105"/>
          <w:sz w:val="21"/>
        </w:rPr>
        <w:t> </w:t>
      </w:r>
      <w:r>
        <w:rPr>
          <w:color w:val="231F20"/>
          <w:w w:val="105"/>
          <w:sz w:val="21"/>
        </w:rPr>
        <w:t>paper,</w:t>
      </w:r>
      <w:r>
        <w:rPr>
          <w:color w:val="231F20"/>
          <w:spacing w:val="-29"/>
          <w:w w:val="105"/>
          <w:sz w:val="21"/>
        </w:rPr>
        <w:t> </w:t>
      </w:r>
      <w:r>
        <w:rPr>
          <w:color w:val="231F20"/>
          <w:w w:val="105"/>
          <w:sz w:val="21"/>
        </w:rPr>
        <w:t>número 5, Ottawa: Abril de</w:t>
      </w:r>
      <w:r>
        <w:rPr>
          <w:color w:val="231F20"/>
          <w:spacing w:val="-43"/>
          <w:w w:val="105"/>
          <w:sz w:val="21"/>
        </w:rPr>
        <w:t> </w:t>
      </w:r>
      <w:r>
        <w:rPr>
          <w:color w:val="231F20"/>
          <w:w w:val="105"/>
          <w:sz w:val="21"/>
        </w:rPr>
        <w:t>1995.</w:t>
      </w:r>
    </w:p>
    <w:p>
      <w:pPr>
        <w:spacing w:line="259" w:lineRule="auto" w:before="0"/>
        <w:ind w:left="840" w:right="116" w:hanging="737"/>
        <w:jc w:val="both"/>
        <w:rPr>
          <w:sz w:val="21"/>
        </w:rPr>
      </w:pPr>
      <w:r>
        <w:rPr>
          <w:color w:val="231F20"/>
          <w:w w:val="105"/>
          <w:sz w:val="21"/>
        </w:rPr>
        <w:t>Haguenauer,</w:t>
      </w:r>
      <w:r>
        <w:rPr>
          <w:color w:val="231F20"/>
          <w:spacing w:val="-22"/>
          <w:w w:val="105"/>
          <w:sz w:val="21"/>
        </w:rPr>
        <w:t> </w:t>
      </w:r>
      <w:r>
        <w:rPr>
          <w:color w:val="231F20"/>
          <w:w w:val="105"/>
          <w:sz w:val="21"/>
        </w:rPr>
        <w:t>L.</w:t>
      </w:r>
      <w:r>
        <w:rPr>
          <w:color w:val="231F20"/>
          <w:spacing w:val="-22"/>
          <w:w w:val="105"/>
          <w:sz w:val="21"/>
        </w:rPr>
        <w:t> </w:t>
      </w:r>
      <w:r>
        <w:rPr>
          <w:color w:val="231F20"/>
          <w:w w:val="105"/>
          <w:sz w:val="21"/>
        </w:rPr>
        <w:t>(1989).</w:t>
      </w:r>
      <w:r>
        <w:rPr>
          <w:color w:val="231F20"/>
          <w:spacing w:val="-22"/>
          <w:w w:val="105"/>
          <w:sz w:val="21"/>
        </w:rPr>
        <w:t> </w:t>
      </w:r>
      <w:r>
        <w:rPr>
          <w:i/>
          <w:color w:val="231F20"/>
          <w:w w:val="105"/>
          <w:sz w:val="21"/>
        </w:rPr>
        <w:t>Competitividade,</w:t>
      </w:r>
      <w:r>
        <w:rPr>
          <w:i/>
          <w:color w:val="231F20"/>
          <w:spacing w:val="-22"/>
          <w:w w:val="105"/>
          <w:sz w:val="21"/>
        </w:rPr>
        <w:t> </w:t>
      </w:r>
      <w:r>
        <w:rPr>
          <w:i/>
          <w:color w:val="231F20"/>
          <w:w w:val="105"/>
          <w:sz w:val="21"/>
        </w:rPr>
        <w:t>Conceitos</w:t>
      </w:r>
      <w:r>
        <w:rPr>
          <w:i/>
          <w:color w:val="231F20"/>
          <w:spacing w:val="-18"/>
          <w:w w:val="105"/>
          <w:sz w:val="21"/>
        </w:rPr>
        <w:t> </w:t>
      </w:r>
      <w:r>
        <w:rPr>
          <w:i/>
          <w:color w:val="231F20"/>
          <w:w w:val="105"/>
          <w:sz w:val="21"/>
        </w:rPr>
        <w:t>e</w:t>
      </w:r>
      <w:r>
        <w:rPr>
          <w:i/>
          <w:color w:val="231F20"/>
          <w:spacing w:val="-18"/>
          <w:w w:val="105"/>
          <w:sz w:val="21"/>
        </w:rPr>
        <w:t> </w:t>
      </w:r>
      <w:r>
        <w:rPr>
          <w:i/>
          <w:color w:val="231F20"/>
          <w:w w:val="105"/>
          <w:sz w:val="21"/>
        </w:rPr>
        <w:t>Medidas.</w:t>
      </w:r>
      <w:r>
        <w:rPr>
          <w:i/>
          <w:color w:val="231F20"/>
          <w:spacing w:val="-22"/>
          <w:w w:val="105"/>
          <w:sz w:val="21"/>
        </w:rPr>
        <w:t> </w:t>
      </w:r>
      <w:r>
        <w:rPr>
          <w:i/>
          <w:color w:val="231F20"/>
          <w:w w:val="105"/>
          <w:sz w:val="21"/>
        </w:rPr>
        <w:t>uma</w:t>
      </w:r>
      <w:r>
        <w:rPr>
          <w:i/>
          <w:color w:val="231F20"/>
          <w:spacing w:val="-18"/>
          <w:w w:val="105"/>
          <w:sz w:val="21"/>
        </w:rPr>
        <w:t> </w:t>
      </w:r>
      <w:r>
        <w:rPr>
          <w:i/>
          <w:color w:val="231F20"/>
          <w:w w:val="105"/>
          <w:sz w:val="21"/>
        </w:rPr>
        <w:t>Re- </w:t>
      </w:r>
      <w:r>
        <w:rPr>
          <w:i/>
          <w:color w:val="231F20"/>
          <w:w w:val="105"/>
          <w:sz w:val="21"/>
        </w:rPr>
        <w:t>senha</w:t>
      </w:r>
      <w:r>
        <w:rPr>
          <w:i/>
          <w:color w:val="231F20"/>
          <w:spacing w:val="-41"/>
          <w:w w:val="105"/>
          <w:sz w:val="21"/>
        </w:rPr>
        <w:t> </w:t>
      </w:r>
      <w:r>
        <w:rPr>
          <w:i/>
          <w:color w:val="231F20"/>
          <w:w w:val="105"/>
          <w:sz w:val="21"/>
        </w:rPr>
        <w:t>da</w:t>
      </w:r>
      <w:r>
        <w:rPr>
          <w:i/>
          <w:color w:val="231F20"/>
          <w:spacing w:val="-41"/>
          <w:w w:val="105"/>
          <w:sz w:val="21"/>
        </w:rPr>
        <w:t> </w:t>
      </w:r>
      <w:r>
        <w:rPr>
          <w:i/>
          <w:color w:val="231F20"/>
          <w:w w:val="105"/>
          <w:sz w:val="21"/>
        </w:rPr>
        <w:t>Bibliografia</w:t>
      </w:r>
      <w:r>
        <w:rPr>
          <w:i/>
          <w:color w:val="231F20"/>
          <w:spacing w:val="-41"/>
          <w:w w:val="105"/>
          <w:sz w:val="21"/>
        </w:rPr>
        <w:t> </w:t>
      </w:r>
      <w:r>
        <w:rPr>
          <w:i/>
          <w:color w:val="231F20"/>
          <w:w w:val="105"/>
          <w:sz w:val="21"/>
        </w:rPr>
        <w:t>Recente</w:t>
      </w:r>
      <w:r>
        <w:rPr>
          <w:i/>
          <w:color w:val="231F20"/>
          <w:spacing w:val="-41"/>
          <w:w w:val="105"/>
          <w:sz w:val="21"/>
        </w:rPr>
        <w:t> </w:t>
      </w:r>
      <w:r>
        <w:rPr>
          <w:i/>
          <w:color w:val="231F20"/>
          <w:w w:val="105"/>
          <w:sz w:val="21"/>
        </w:rPr>
        <w:t>com</w:t>
      </w:r>
      <w:r>
        <w:rPr>
          <w:i/>
          <w:color w:val="231F20"/>
          <w:spacing w:val="-41"/>
          <w:w w:val="105"/>
          <w:sz w:val="21"/>
        </w:rPr>
        <w:t> </w:t>
      </w:r>
      <w:r>
        <w:rPr>
          <w:i/>
          <w:color w:val="231F20"/>
          <w:w w:val="105"/>
          <w:sz w:val="21"/>
        </w:rPr>
        <w:t>Êmfase</w:t>
      </w:r>
      <w:r>
        <w:rPr>
          <w:i/>
          <w:color w:val="231F20"/>
          <w:spacing w:val="-41"/>
          <w:w w:val="105"/>
          <w:sz w:val="21"/>
        </w:rPr>
        <w:t> </w:t>
      </w:r>
      <w:r>
        <w:rPr>
          <w:i/>
          <w:color w:val="231F20"/>
          <w:w w:val="105"/>
          <w:sz w:val="21"/>
        </w:rPr>
        <w:t>no</w:t>
      </w:r>
      <w:r>
        <w:rPr>
          <w:i/>
          <w:color w:val="231F20"/>
          <w:spacing w:val="-41"/>
          <w:w w:val="105"/>
          <w:sz w:val="21"/>
        </w:rPr>
        <w:t> </w:t>
      </w:r>
      <w:r>
        <w:rPr>
          <w:i/>
          <w:color w:val="231F20"/>
          <w:w w:val="105"/>
          <w:sz w:val="21"/>
        </w:rPr>
        <w:t>Caso</w:t>
      </w:r>
      <w:r>
        <w:rPr>
          <w:i/>
          <w:color w:val="231F20"/>
          <w:spacing w:val="-41"/>
          <w:w w:val="105"/>
          <w:sz w:val="21"/>
        </w:rPr>
        <w:t> </w:t>
      </w:r>
      <w:r>
        <w:rPr>
          <w:i/>
          <w:color w:val="231F20"/>
          <w:w w:val="105"/>
          <w:sz w:val="21"/>
        </w:rPr>
        <w:t>Brasileiro</w:t>
      </w:r>
      <w:r>
        <w:rPr>
          <w:color w:val="231F20"/>
          <w:w w:val="105"/>
          <w:sz w:val="21"/>
        </w:rPr>
        <w:t>.</w:t>
      </w:r>
      <w:r>
        <w:rPr>
          <w:color w:val="231F20"/>
          <w:spacing w:val="-44"/>
          <w:w w:val="105"/>
          <w:sz w:val="21"/>
        </w:rPr>
        <w:t> </w:t>
      </w:r>
      <w:r>
        <w:rPr>
          <w:color w:val="231F20"/>
          <w:w w:val="105"/>
          <w:sz w:val="21"/>
        </w:rPr>
        <w:t>IEI/ </w:t>
      </w:r>
      <w:r>
        <w:rPr>
          <w:color w:val="231F20"/>
          <w:sz w:val="21"/>
        </w:rPr>
        <w:t>UFRJ,</w:t>
      </w:r>
      <w:r>
        <w:rPr>
          <w:color w:val="231F20"/>
          <w:spacing w:val="-31"/>
          <w:sz w:val="21"/>
        </w:rPr>
        <w:t> </w:t>
      </w:r>
      <w:r>
        <w:rPr>
          <w:color w:val="231F20"/>
          <w:sz w:val="21"/>
        </w:rPr>
        <w:t>TPD</w:t>
      </w:r>
      <w:r>
        <w:rPr>
          <w:color w:val="231F20"/>
          <w:spacing w:val="-22"/>
          <w:sz w:val="21"/>
        </w:rPr>
        <w:t> </w:t>
      </w:r>
      <w:r>
        <w:rPr>
          <w:color w:val="231F20"/>
          <w:sz w:val="21"/>
        </w:rPr>
        <w:t>N°</w:t>
      </w:r>
      <w:r>
        <w:rPr>
          <w:color w:val="231F20"/>
          <w:spacing w:val="-22"/>
          <w:sz w:val="21"/>
        </w:rPr>
        <w:t> </w:t>
      </w:r>
      <w:r>
        <w:rPr>
          <w:color w:val="231F20"/>
          <w:sz w:val="21"/>
        </w:rPr>
        <w:t>208.</w:t>
      </w:r>
    </w:p>
    <w:p>
      <w:pPr>
        <w:pStyle w:val="BodyText"/>
        <w:spacing w:line="259" w:lineRule="auto"/>
        <w:ind w:left="840" w:right="116" w:hanging="738"/>
        <w:jc w:val="both"/>
      </w:pPr>
      <w:r>
        <w:rPr>
          <w:color w:val="231F20"/>
          <w:w w:val="105"/>
        </w:rPr>
        <w:t>Jones,</w:t>
      </w:r>
      <w:r>
        <w:rPr>
          <w:color w:val="231F20"/>
          <w:spacing w:val="-35"/>
          <w:w w:val="105"/>
        </w:rPr>
        <w:t> </w:t>
      </w:r>
      <w:r>
        <w:rPr>
          <w:color w:val="231F20"/>
          <w:w w:val="105"/>
        </w:rPr>
        <w:t>G.</w:t>
      </w:r>
      <w:r>
        <w:rPr>
          <w:color w:val="231F20"/>
          <w:spacing w:val="-35"/>
          <w:w w:val="105"/>
        </w:rPr>
        <w:t> </w:t>
      </w:r>
      <w:r>
        <w:rPr>
          <w:color w:val="231F20"/>
          <w:w w:val="105"/>
        </w:rPr>
        <w:t>(1996).</w:t>
      </w:r>
      <w:r>
        <w:rPr>
          <w:color w:val="231F20"/>
          <w:spacing w:val="-35"/>
          <w:w w:val="105"/>
        </w:rPr>
        <w:t> </w:t>
      </w:r>
      <w:r>
        <w:rPr>
          <w:color w:val="231F20"/>
          <w:w w:val="105"/>
        </w:rPr>
        <w:t>“The</w:t>
      </w:r>
      <w:r>
        <w:rPr>
          <w:color w:val="231F20"/>
          <w:spacing w:val="-31"/>
          <w:w w:val="105"/>
        </w:rPr>
        <w:t> </w:t>
      </w:r>
      <w:r>
        <w:rPr>
          <w:color w:val="231F20"/>
          <w:w w:val="105"/>
        </w:rPr>
        <w:t>Evolution</w:t>
      </w:r>
      <w:r>
        <w:rPr>
          <w:color w:val="231F20"/>
          <w:spacing w:val="-31"/>
          <w:w w:val="105"/>
        </w:rPr>
        <w:t> </w:t>
      </w:r>
      <w:r>
        <w:rPr>
          <w:color w:val="231F20"/>
          <w:w w:val="105"/>
        </w:rPr>
        <w:t>of</w:t>
      </w:r>
      <w:r>
        <w:rPr>
          <w:color w:val="231F20"/>
          <w:spacing w:val="-27"/>
          <w:w w:val="105"/>
        </w:rPr>
        <w:t> </w:t>
      </w:r>
      <w:r>
        <w:rPr>
          <w:color w:val="231F20"/>
          <w:w w:val="105"/>
        </w:rPr>
        <w:t>International</w:t>
      </w:r>
      <w:r>
        <w:rPr>
          <w:color w:val="231F20"/>
          <w:spacing w:val="-31"/>
          <w:w w:val="105"/>
        </w:rPr>
        <w:t> </w:t>
      </w:r>
      <w:r>
        <w:rPr>
          <w:color w:val="231F20"/>
          <w:spacing w:val="-3"/>
          <w:w w:val="105"/>
        </w:rPr>
        <w:t>Business”.</w:t>
      </w:r>
      <w:r>
        <w:rPr>
          <w:color w:val="231F20"/>
          <w:spacing w:val="-37"/>
          <w:w w:val="105"/>
        </w:rPr>
        <w:t> </w:t>
      </w:r>
      <w:r>
        <w:rPr>
          <w:color w:val="231F20"/>
          <w:w w:val="105"/>
        </w:rPr>
        <w:t>An</w:t>
      </w:r>
      <w:r>
        <w:rPr>
          <w:color w:val="231F20"/>
          <w:spacing w:val="-31"/>
          <w:w w:val="105"/>
        </w:rPr>
        <w:t> </w:t>
      </w:r>
      <w:r>
        <w:rPr>
          <w:color w:val="231F20"/>
          <w:w w:val="105"/>
        </w:rPr>
        <w:t>Introdution Routledge,</w:t>
      </w:r>
      <w:r>
        <w:rPr>
          <w:color w:val="231F20"/>
          <w:spacing w:val="-34"/>
          <w:w w:val="105"/>
        </w:rPr>
        <w:t> </w:t>
      </w:r>
      <w:r>
        <w:rPr>
          <w:color w:val="231F20"/>
          <w:w w:val="105"/>
        </w:rPr>
        <w:t>London.</w:t>
      </w:r>
    </w:p>
    <w:p>
      <w:pPr>
        <w:pStyle w:val="BodyText"/>
        <w:spacing w:line="259" w:lineRule="auto"/>
        <w:ind w:left="840" w:right="117" w:hanging="738"/>
        <w:jc w:val="both"/>
      </w:pPr>
      <w:r>
        <w:rPr>
          <w:color w:val="231F20"/>
          <w:w w:val="105"/>
        </w:rPr>
        <w:t>Knickerbocker,</w:t>
      </w:r>
      <w:r>
        <w:rPr>
          <w:color w:val="231F20"/>
          <w:spacing w:val="-41"/>
          <w:w w:val="105"/>
        </w:rPr>
        <w:t> </w:t>
      </w:r>
      <w:r>
        <w:rPr>
          <w:color w:val="231F20"/>
          <w:spacing w:val="-15"/>
          <w:w w:val="105"/>
        </w:rPr>
        <w:t>F.T.</w:t>
      </w:r>
      <w:r>
        <w:rPr>
          <w:color w:val="231F20"/>
          <w:spacing w:val="-41"/>
          <w:w w:val="105"/>
        </w:rPr>
        <w:t> </w:t>
      </w:r>
      <w:r>
        <w:rPr>
          <w:color w:val="231F20"/>
          <w:w w:val="105"/>
        </w:rPr>
        <w:t>(1973).</w:t>
      </w:r>
      <w:r>
        <w:rPr>
          <w:color w:val="231F20"/>
          <w:spacing w:val="-41"/>
          <w:w w:val="105"/>
        </w:rPr>
        <w:t> </w:t>
      </w:r>
      <w:r>
        <w:rPr>
          <w:color w:val="231F20"/>
          <w:w w:val="105"/>
        </w:rPr>
        <w:t>Oligopolistic</w:t>
      </w:r>
      <w:r>
        <w:rPr>
          <w:color w:val="231F20"/>
          <w:spacing w:val="-38"/>
          <w:w w:val="105"/>
        </w:rPr>
        <w:t> </w:t>
      </w:r>
      <w:r>
        <w:rPr>
          <w:color w:val="231F20"/>
          <w:w w:val="105"/>
        </w:rPr>
        <w:t>Reaction</w:t>
      </w:r>
      <w:r>
        <w:rPr>
          <w:color w:val="231F20"/>
          <w:spacing w:val="-38"/>
          <w:w w:val="105"/>
        </w:rPr>
        <w:t> </w:t>
      </w:r>
      <w:r>
        <w:rPr>
          <w:color w:val="231F20"/>
          <w:w w:val="105"/>
        </w:rPr>
        <w:t>and</w:t>
      </w:r>
      <w:r>
        <w:rPr>
          <w:color w:val="231F20"/>
          <w:spacing w:val="-38"/>
          <w:w w:val="105"/>
        </w:rPr>
        <w:t> </w:t>
      </w:r>
      <w:r>
        <w:rPr>
          <w:color w:val="231F20"/>
          <w:w w:val="105"/>
        </w:rPr>
        <w:t>Multinational</w:t>
      </w:r>
      <w:r>
        <w:rPr>
          <w:color w:val="231F20"/>
          <w:spacing w:val="-38"/>
          <w:w w:val="105"/>
        </w:rPr>
        <w:t> </w:t>
      </w:r>
      <w:r>
        <w:rPr>
          <w:color w:val="231F20"/>
          <w:w w:val="105"/>
        </w:rPr>
        <w:t>Enter- prisek.</w:t>
      </w:r>
      <w:r>
        <w:rPr>
          <w:color w:val="231F20"/>
          <w:spacing w:val="-21"/>
          <w:w w:val="105"/>
        </w:rPr>
        <w:t> </w:t>
      </w:r>
      <w:r>
        <w:rPr>
          <w:color w:val="231F20"/>
          <w:w w:val="105"/>
        </w:rPr>
        <w:t>Boston,</w:t>
      </w:r>
      <w:r>
        <w:rPr>
          <w:color w:val="231F20"/>
          <w:spacing w:val="-21"/>
          <w:w w:val="105"/>
        </w:rPr>
        <w:t> </w:t>
      </w:r>
      <w:r>
        <w:rPr>
          <w:color w:val="231F20"/>
          <w:w w:val="105"/>
        </w:rPr>
        <w:t>MA:</w:t>
      </w:r>
      <w:r>
        <w:rPr>
          <w:color w:val="231F20"/>
          <w:spacing w:val="-17"/>
          <w:w w:val="105"/>
        </w:rPr>
        <w:t> </w:t>
      </w:r>
      <w:r>
        <w:rPr>
          <w:color w:val="231F20"/>
          <w:w w:val="105"/>
        </w:rPr>
        <w:t>Harvard</w:t>
      </w:r>
      <w:r>
        <w:rPr>
          <w:color w:val="231F20"/>
          <w:spacing w:val="-17"/>
          <w:w w:val="105"/>
        </w:rPr>
        <w:t> </w:t>
      </w:r>
      <w:r>
        <w:rPr>
          <w:color w:val="231F20"/>
          <w:w w:val="105"/>
        </w:rPr>
        <w:t>University</w:t>
      </w:r>
      <w:r>
        <w:rPr>
          <w:color w:val="231F20"/>
          <w:spacing w:val="-17"/>
          <w:w w:val="105"/>
        </w:rPr>
        <w:t> </w:t>
      </w:r>
      <w:r>
        <w:rPr>
          <w:color w:val="231F20"/>
          <w:w w:val="105"/>
        </w:rPr>
        <w:t>Graduate</w:t>
      </w:r>
      <w:r>
        <w:rPr>
          <w:color w:val="231F20"/>
          <w:spacing w:val="-17"/>
          <w:w w:val="105"/>
        </w:rPr>
        <w:t> </w:t>
      </w:r>
      <w:r>
        <w:rPr>
          <w:color w:val="231F20"/>
          <w:w w:val="105"/>
        </w:rPr>
        <w:t>School</w:t>
      </w:r>
      <w:r>
        <w:rPr>
          <w:color w:val="231F20"/>
          <w:spacing w:val="-17"/>
          <w:w w:val="105"/>
        </w:rPr>
        <w:t> </w:t>
      </w:r>
      <w:r>
        <w:rPr>
          <w:color w:val="231F20"/>
          <w:w w:val="105"/>
        </w:rPr>
        <w:t>of</w:t>
      </w:r>
      <w:r>
        <w:rPr>
          <w:color w:val="231F20"/>
          <w:spacing w:val="-13"/>
          <w:w w:val="105"/>
        </w:rPr>
        <w:t> </w:t>
      </w:r>
      <w:r>
        <w:rPr>
          <w:color w:val="231F20"/>
          <w:w w:val="105"/>
        </w:rPr>
        <w:t>Busi- ness</w:t>
      </w:r>
      <w:r>
        <w:rPr>
          <w:color w:val="231F20"/>
          <w:spacing w:val="-43"/>
          <w:w w:val="105"/>
        </w:rPr>
        <w:t> </w:t>
      </w:r>
      <w:r>
        <w:rPr>
          <w:color w:val="231F20"/>
          <w:w w:val="105"/>
        </w:rPr>
        <w:t>Administration,</w:t>
      </w:r>
      <w:r>
        <w:rPr>
          <w:color w:val="231F20"/>
          <w:spacing w:val="-44"/>
          <w:w w:val="105"/>
        </w:rPr>
        <w:t> </w:t>
      </w:r>
      <w:r>
        <w:rPr>
          <w:color w:val="231F20"/>
          <w:w w:val="105"/>
        </w:rPr>
        <w:t>Division</w:t>
      </w:r>
      <w:r>
        <w:rPr>
          <w:color w:val="231F20"/>
          <w:spacing w:val="-41"/>
          <w:w w:val="105"/>
        </w:rPr>
        <w:t> </w:t>
      </w:r>
      <w:r>
        <w:rPr>
          <w:color w:val="231F20"/>
          <w:w w:val="105"/>
        </w:rPr>
        <w:t>of</w:t>
      </w:r>
      <w:r>
        <w:rPr>
          <w:color w:val="231F20"/>
          <w:spacing w:val="-40"/>
          <w:w w:val="105"/>
        </w:rPr>
        <w:t> </w:t>
      </w:r>
      <w:r>
        <w:rPr>
          <w:color w:val="231F20"/>
          <w:w w:val="105"/>
        </w:rPr>
        <w:t>Research.</w:t>
      </w:r>
    </w:p>
    <w:p>
      <w:pPr>
        <w:pStyle w:val="BodyText"/>
        <w:spacing w:line="259" w:lineRule="auto"/>
        <w:ind w:left="840" w:right="109" w:hanging="738"/>
        <w:jc w:val="both"/>
      </w:pPr>
      <w:r>
        <w:rPr>
          <w:color w:val="231F20"/>
          <w:w w:val="105"/>
        </w:rPr>
        <w:t>Kaldor,</w:t>
      </w:r>
      <w:r>
        <w:rPr>
          <w:color w:val="231F20"/>
          <w:spacing w:val="-23"/>
          <w:w w:val="105"/>
        </w:rPr>
        <w:t> </w:t>
      </w:r>
      <w:r>
        <w:rPr>
          <w:color w:val="231F20"/>
          <w:w w:val="105"/>
        </w:rPr>
        <w:t>H.</w:t>
      </w:r>
      <w:r>
        <w:rPr>
          <w:color w:val="231F20"/>
          <w:spacing w:val="-23"/>
          <w:w w:val="105"/>
        </w:rPr>
        <w:t> </w:t>
      </w:r>
      <w:r>
        <w:rPr>
          <w:color w:val="231F20"/>
          <w:w w:val="105"/>
        </w:rPr>
        <w:t>(1978).</w:t>
      </w:r>
      <w:r>
        <w:rPr>
          <w:color w:val="231F20"/>
          <w:spacing w:val="-23"/>
          <w:w w:val="105"/>
        </w:rPr>
        <w:t> </w:t>
      </w:r>
      <w:r>
        <w:rPr>
          <w:color w:val="231F20"/>
          <w:w w:val="105"/>
        </w:rPr>
        <w:t>“The</w:t>
      </w:r>
      <w:r>
        <w:rPr>
          <w:color w:val="231F20"/>
          <w:spacing w:val="-18"/>
          <w:w w:val="105"/>
        </w:rPr>
        <w:t> </w:t>
      </w:r>
      <w:r>
        <w:rPr>
          <w:color w:val="231F20"/>
          <w:w w:val="105"/>
        </w:rPr>
        <w:t>effects</w:t>
      </w:r>
      <w:r>
        <w:rPr>
          <w:color w:val="231F20"/>
          <w:spacing w:val="-18"/>
          <w:w w:val="105"/>
        </w:rPr>
        <w:t> </w:t>
      </w:r>
      <w:r>
        <w:rPr>
          <w:color w:val="231F20"/>
          <w:w w:val="105"/>
        </w:rPr>
        <w:t>of</w:t>
      </w:r>
      <w:r>
        <w:rPr>
          <w:color w:val="231F20"/>
          <w:spacing w:val="-14"/>
          <w:w w:val="105"/>
        </w:rPr>
        <w:t> </w:t>
      </w:r>
      <w:r>
        <w:rPr>
          <w:color w:val="231F20"/>
          <w:w w:val="105"/>
        </w:rPr>
        <w:t>devaluations</w:t>
      </w:r>
      <w:r>
        <w:rPr>
          <w:color w:val="231F20"/>
          <w:spacing w:val="-18"/>
          <w:w w:val="105"/>
        </w:rPr>
        <w:t> </w:t>
      </w:r>
      <w:r>
        <w:rPr>
          <w:color w:val="231F20"/>
          <w:w w:val="105"/>
        </w:rPr>
        <w:t>on</w:t>
      </w:r>
      <w:r>
        <w:rPr>
          <w:color w:val="231F20"/>
          <w:spacing w:val="-18"/>
          <w:w w:val="105"/>
        </w:rPr>
        <w:t> </w:t>
      </w:r>
      <w:r>
        <w:rPr>
          <w:color w:val="231F20"/>
          <w:w w:val="105"/>
        </w:rPr>
        <w:t>trade</w:t>
      </w:r>
      <w:r>
        <w:rPr>
          <w:color w:val="231F20"/>
          <w:spacing w:val="-18"/>
          <w:w w:val="105"/>
        </w:rPr>
        <w:t> </w:t>
      </w:r>
      <w:r>
        <w:rPr>
          <w:color w:val="231F20"/>
          <w:w w:val="105"/>
        </w:rPr>
        <w:t>in</w:t>
      </w:r>
      <w:r>
        <w:rPr>
          <w:color w:val="231F20"/>
          <w:spacing w:val="-18"/>
          <w:w w:val="105"/>
        </w:rPr>
        <w:t> </w:t>
      </w:r>
      <w:r>
        <w:rPr>
          <w:color w:val="231F20"/>
          <w:spacing w:val="-3"/>
          <w:w w:val="105"/>
        </w:rPr>
        <w:t>manufactures”, </w:t>
      </w:r>
      <w:r>
        <w:rPr>
          <w:color w:val="231F20"/>
          <w:w w:val="105"/>
        </w:rPr>
        <w:t>en</w:t>
      </w:r>
      <w:r>
        <w:rPr>
          <w:color w:val="231F20"/>
          <w:spacing w:val="-42"/>
          <w:w w:val="105"/>
        </w:rPr>
        <w:t> </w:t>
      </w:r>
      <w:r>
        <w:rPr>
          <w:color w:val="231F20"/>
          <w:w w:val="105"/>
        </w:rPr>
        <w:t>Kaldor:</w:t>
      </w:r>
      <w:r>
        <w:rPr>
          <w:color w:val="231F20"/>
          <w:spacing w:val="-42"/>
          <w:w w:val="105"/>
        </w:rPr>
        <w:t> </w:t>
      </w:r>
      <w:r>
        <w:rPr>
          <w:color w:val="231F20"/>
          <w:w w:val="105"/>
        </w:rPr>
        <w:t>Further</w:t>
      </w:r>
      <w:r>
        <w:rPr>
          <w:color w:val="231F20"/>
          <w:spacing w:val="-42"/>
          <w:w w:val="105"/>
        </w:rPr>
        <w:t> </w:t>
      </w:r>
      <w:r>
        <w:rPr>
          <w:i/>
          <w:color w:val="231F20"/>
          <w:w w:val="105"/>
        </w:rPr>
        <w:t>Essays</w:t>
      </w:r>
      <w:r>
        <w:rPr>
          <w:i/>
          <w:color w:val="231F20"/>
          <w:spacing w:val="-42"/>
          <w:w w:val="105"/>
        </w:rPr>
        <w:t> </w:t>
      </w:r>
      <w:r>
        <w:rPr>
          <w:i/>
          <w:color w:val="231F20"/>
          <w:w w:val="105"/>
        </w:rPr>
        <w:t>on</w:t>
      </w:r>
      <w:r>
        <w:rPr>
          <w:i/>
          <w:color w:val="231F20"/>
          <w:spacing w:val="-43"/>
          <w:w w:val="105"/>
        </w:rPr>
        <w:t> </w:t>
      </w:r>
      <w:r>
        <w:rPr>
          <w:i/>
          <w:color w:val="231F20"/>
          <w:w w:val="105"/>
        </w:rPr>
        <w:t>Applied</w:t>
      </w:r>
      <w:r>
        <w:rPr>
          <w:i/>
          <w:color w:val="231F20"/>
          <w:spacing w:val="-42"/>
          <w:w w:val="105"/>
        </w:rPr>
        <w:t> </w:t>
      </w:r>
      <w:r>
        <w:rPr>
          <w:i/>
          <w:color w:val="231F20"/>
          <w:w w:val="105"/>
        </w:rPr>
        <w:t>Economics</w:t>
      </w:r>
      <w:r>
        <w:rPr>
          <w:color w:val="231F20"/>
          <w:w w:val="105"/>
        </w:rPr>
        <w:t>,</w:t>
      </w:r>
      <w:r>
        <w:rPr>
          <w:color w:val="231F20"/>
          <w:spacing w:val="-44"/>
          <w:w w:val="105"/>
        </w:rPr>
        <w:t> </w:t>
      </w:r>
      <w:r>
        <w:rPr>
          <w:color w:val="231F20"/>
          <w:w w:val="105"/>
        </w:rPr>
        <w:t>Duckworth,</w:t>
      </w:r>
      <w:r>
        <w:rPr>
          <w:color w:val="231F20"/>
          <w:spacing w:val="-45"/>
          <w:w w:val="105"/>
        </w:rPr>
        <w:t> </w:t>
      </w:r>
      <w:r>
        <w:rPr>
          <w:color w:val="231F20"/>
          <w:w w:val="105"/>
        </w:rPr>
        <w:t>Lon- don, Reino</w:t>
      </w:r>
      <w:r>
        <w:rPr>
          <w:color w:val="231F20"/>
          <w:spacing w:val="-46"/>
          <w:w w:val="105"/>
        </w:rPr>
        <w:t> </w:t>
      </w:r>
      <w:r>
        <w:rPr>
          <w:color w:val="231F20"/>
          <w:w w:val="105"/>
        </w:rPr>
        <w:t>Unido.</w:t>
      </w:r>
    </w:p>
    <w:p>
      <w:pPr>
        <w:pStyle w:val="BodyText"/>
        <w:spacing w:line="259" w:lineRule="auto"/>
        <w:ind w:left="840" w:right="109" w:hanging="738"/>
        <w:jc w:val="both"/>
      </w:pPr>
      <w:r>
        <w:rPr>
          <w:color w:val="231F20"/>
          <w:spacing w:val="-4"/>
          <w:w w:val="105"/>
        </w:rPr>
        <w:t>Kojima,</w:t>
      </w:r>
      <w:r>
        <w:rPr>
          <w:color w:val="231F20"/>
          <w:spacing w:val="-19"/>
          <w:w w:val="105"/>
        </w:rPr>
        <w:t> </w:t>
      </w:r>
      <w:r>
        <w:rPr>
          <w:color w:val="231F20"/>
          <w:w w:val="105"/>
        </w:rPr>
        <w:t>K.</w:t>
      </w:r>
      <w:r>
        <w:rPr>
          <w:color w:val="231F20"/>
          <w:spacing w:val="-19"/>
          <w:w w:val="105"/>
        </w:rPr>
        <w:t> </w:t>
      </w:r>
      <w:r>
        <w:rPr>
          <w:color w:val="231F20"/>
          <w:spacing w:val="-3"/>
          <w:w w:val="105"/>
        </w:rPr>
        <w:t>(1976).</w:t>
      </w:r>
      <w:r>
        <w:rPr>
          <w:color w:val="231F20"/>
          <w:spacing w:val="-19"/>
          <w:w w:val="105"/>
        </w:rPr>
        <w:t> </w:t>
      </w:r>
      <w:r>
        <w:rPr>
          <w:color w:val="231F20"/>
          <w:spacing w:val="-3"/>
          <w:w w:val="105"/>
        </w:rPr>
        <w:t>“Direct</w:t>
      </w:r>
      <w:r>
        <w:rPr>
          <w:color w:val="231F20"/>
          <w:spacing w:val="-13"/>
          <w:w w:val="105"/>
        </w:rPr>
        <w:t> </w:t>
      </w:r>
      <w:r>
        <w:rPr>
          <w:color w:val="231F20"/>
          <w:spacing w:val="-5"/>
          <w:w w:val="105"/>
        </w:rPr>
        <w:t>Foreign</w:t>
      </w:r>
      <w:r>
        <w:rPr>
          <w:color w:val="231F20"/>
          <w:spacing w:val="-13"/>
          <w:w w:val="105"/>
        </w:rPr>
        <w:t> </w:t>
      </w:r>
      <w:r>
        <w:rPr>
          <w:color w:val="231F20"/>
          <w:spacing w:val="-3"/>
          <w:w w:val="105"/>
        </w:rPr>
        <w:t>Investment:</w:t>
      </w:r>
      <w:r>
        <w:rPr>
          <w:color w:val="231F20"/>
          <w:spacing w:val="-16"/>
          <w:w w:val="105"/>
        </w:rPr>
        <w:t> </w:t>
      </w:r>
      <w:r>
        <w:rPr>
          <w:color w:val="231F20"/>
          <w:w w:val="105"/>
        </w:rPr>
        <w:t>A</w:t>
      </w:r>
      <w:r>
        <w:rPr>
          <w:color w:val="231F20"/>
          <w:spacing w:val="-19"/>
          <w:w w:val="105"/>
        </w:rPr>
        <w:t> </w:t>
      </w:r>
      <w:r>
        <w:rPr>
          <w:color w:val="231F20"/>
          <w:spacing w:val="-3"/>
          <w:w w:val="105"/>
        </w:rPr>
        <w:t>Japanese</w:t>
      </w:r>
      <w:r>
        <w:rPr>
          <w:color w:val="231F20"/>
          <w:spacing w:val="-13"/>
          <w:w w:val="105"/>
        </w:rPr>
        <w:t> </w:t>
      </w:r>
      <w:r>
        <w:rPr>
          <w:color w:val="231F20"/>
          <w:spacing w:val="-3"/>
          <w:w w:val="105"/>
        </w:rPr>
        <w:t>Model</w:t>
      </w:r>
      <w:r>
        <w:rPr>
          <w:color w:val="231F20"/>
          <w:spacing w:val="-13"/>
          <w:w w:val="105"/>
        </w:rPr>
        <w:t> </w:t>
      </w:r>
      <w:r>
        <w:rPr>
          <w:color w:val="231F20"/>
          <w:w w:val="105"/>
        </w:rPr>
        <w:t>of</w:t>
      </w:r>
      <w:r>
        <w:rPr>
          <w:color w:val="231F20"/>
          <w:spacing w:val="-9"/>
          <w:w w:val="105"/>
        </w:rPr>
        <w:t> </w:t>
      </w:r>
      <w:r>
        <w:rPr>
          <w:color w:val="231F20"/>
          <w:spacing w:val="-3"/>
          <w:w w:val="105"/>
        </w:rPr>
        <w:t>Multi- national</w:t>
      </w:r>
      <w:r>
        <w:rPr>
          <w:color w:val="231F20"/>
          <w:spacing w:val="-31"/>
          <w:w w:val="105"/>
        </w:rPr>
        <w:t> </w:t>
      </w:r>
      <w:r>
        <w:rPr>
          <w:color w:val="231F20"/>
          <w:spacing w:val="-3"/>
          <w:w w:val="105"/>
        </w:rPr>
        <w:t>Business</w:t>
      </w:r>
      <w:r>
        <w:rPr>
          <w:color w:val="231F20"/>
          <w:spacing w:val="-31"/>
          <w:w w:val="105"/>
        </w:rPr>
        <w:t> </w:t>
      </w:r>
      <w:r>
        <w:rPr>
          <w:color w:val="231F20"/>
          <w:spacing w:val="-5"/>
          <w:w w:val="105"/>
        </w:rPr>
        <w:t>Opperations”,</w:t>
      </w:r>
      <w:r>
        <w:rPr>
          <w:color w:val="231F20"/>
          <w:spacing w:val="-35"/>
          <w:w w:val="105"/>
        </w:rPr>
        <w:t> </w:t>
      </w:r>
      <w:r>
        <w:rPr>
          <w:color w:val="231F20"/>
          <w:spacing w:val="-3"/>
          <w:w w:val="105"/>
        </w:rPr>
        <w:t>London:</w:t>
      </w:r>
      <w:r>
        <w:rPr>
          <w:color w:val="231F20"/>
          <w:spacing w:val="-31"/>
          <w:w w:val="105"/>
        </w:rPr>
        <w:t> </w:t>
      </w:r>
      <w:r>
        <w:rPr>
          <w:color w:val="231F20"/>
          <w:spacing w:val="-3"/>
          <w:w w:val="105"/>
        </w:rPr>
        <w:t>Crom</w:t>
      </w:r>
      <w:r>
        <w:rPr>
          <w:color w:val="231F20"/>
          <w:spacing w:val="-31"/>
          <w:w w:val="105"/>
        </w:rPr>
        <w:t> </w:t>
      </w:r>
      <w:r>
        <w:rPr>
          <w:color w:val="231F20"/>
          <w:spacing w:val="-3"/>
          <w:w w:val="105"/>
        </w:rPr>
        <w:t>Helm,</w:t>
      </w:r>
      <w:r>
        <w:rPr>
          <w:color w:val="231F20"/>
          <w:spacing w:val="-35"/>
          <w:w w:val="105"/>
        </w:rPr>
        <w:t> </w:t>
      </w:r>
      <w:r>
        <w:rPr>
          <w:color w:val="231F20"/>
          <w:spacing w:val="-3"/>
          <w:w w:val="105"/>
        </w:rPr>
        <w:t>Reino</w:t>
      </w:r>
      <w:r>
        <w:rPr>
          <w:color w:val="231F20"/>
          <w:spacing w:val="-31"/>
          <w:w w:val="105"/>
        </w:rPr>
        <w:t> </w:t>
      </w:r>
      <w:r>
        <w:rPr>
          <w:color w:val="231F20"/>
          <w:spacing w:val="-3"/>
          <w:w w:val="105"/>
        </w:rPr>
        <w:t>Unido.</w:t>
      </w:r>
    </w:p>
    <w:p>
      <w:pPr>
        <w:pStyle w:val="BodyText"/>
        <w:spacing w:line="259" w:lineRule="auto"/>
        <w:ind w:left="103" w:right="1192"/>
      </w:pPr>
      <w:r>
        <w:rPr>
          <w:color w:val="231F20"/>
        </w:rPr>
        <w:t>Krugman, P. (1992). </w:t>
      </w:r>
      <w:r>
        <w:rPr>
          <w:i/>
          <w:color w:val="231F20"/>
        </w:rPr>
        <w:t>Geografía y Comercio</w:t>
      </w:r>
      <w:r>
        <w:rPr>
          <w:color w:val="231F20"/>
        </w:rPr>
        <w:t>, Bosch, Barcelona. Ley de Inversión Extranjera en México (1993).</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hAnsi="Calibri"/>
          <w:sz w:val="15"/>
        </w:rPr>
      </w:pPr>
      <w:r>
        <w:rPr/>
        <w:pict>
          <v:group style="position:absolute;margin-left:101.817299pt;margin-top:-16.799887pt;width:17.850pt;height:56.5pt;mso-position-horizontal-relative:page;mso-position-vertical-relative:paragraph;z-index:-23788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position w:val="-5"/>
          <w:sz w:val="20"/>
        </w:rPr>
        <w:t>282</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62"/>
        </w:numPr>
        <w:tabs>
          <w:tab w:pos="1442" w:val="left" w:leader="none"/>
          <w:tab w:pos="6971" w:val="right" w:leader="none"/>
        </w:tabs>
        <w:spacing w:line="240" w:lineRule="auto" w:before="52" w:after="0"/>
        <w:ind w:left="429" w:right="0" w:firstLine="829"/>
        <w:jc w:val="left"/>
        <w:rPr>
          <w:rFonts w:ascii="Lucida Sans Unicode" w:hAnsi="Lucida Sans Unicode"/>
          <w:color w:val="6D6E71"/>
          <w:sz w:val="14"/>
        </w:rPr>
      </w:pPr>
      <w:r>
        <w:rPr/>
        <w:pict>
          <v:line style="position:absolute;mso-position-horizontal-relative:page;mso-position-vertical-relative:paragraph;z-index:-237856" from="384.061005pt,-25.30427pt" to="384.061005pt,9.561580pt" stroked="true" strokeweight=".3pt" strokecolor="#231f20">
            <w10:wrap type="none"/>
          </v:line>
        </w:pict>
      </w:r>
      <w:r>
        <w:rPr>
          <w:rFonts w:ascii="Lucida Sans Unicode" w:hAnsi="Lucida Sans Unicode"/>
          <w:color w:val="6D6E71"/>
          <w:sz w:val="14"/>
        </w:rPr>
        <w:t>RelacIón teóRIca entRe InveRsIón eXtRanjeRa dIRecta</w:t>
      </w:r>
      <w:r>
        <w:rPr>
          <w:rFonts w:ascii="Lucida Sans Unicode" w:hAnsi="Lucida Sans Unicode"/>
          <w:color w:val="6D6E71"/>
          <w:spacing w:val="2"/>
          <w:sz w:val="14"/>
        </w:rPr>
        <w:t> </w:t>
      </w:r>
      <w:r>
        <w:rPr>
          <w:rFonts w:ascii="Lucida Sans Unicode" w:hAnsi="Lucida Sans Unicode"/>
          <w:color w:val="6D6E71"/>
          <w:sz w:val="14"/>
        </w:rPr>
        <w:t>y competItIvIdad</w:t>
      </w:r>
      <w:r>
        <w:rPr>
          <w:color w:val="414042"/>
          <w:position w:val="-3"/>
          <w:sz w:val="20"/>
        </w:rPr>
        <w:tab/>
        <w:t>283</w:t>
      </w:r>
    </w:p>
    <w:p>
      <w:pPr>
        <w:pStyle w:val="BodyText"/>
        <w:rPr>
          <w:sz w:val="20"/>
        </w:rPr>
      </w:pPr>
    </w:p>
    <w:p>
      <w:pPr>
        <w:pStyle w:val="BodyText"/>
        <w:rPr>
          <w:sz w:val="20"/>
        </w:rPr>
      </w:pPr>
    </w:p>
    <w:p>
      <w:pPr>
        <w:spacing w:line="259" w:lineRule="auto" w:before="176"/>
        <w:ind w:left="854" w:right="115" w:hanging="737"/>
        <w:jc w:val="both"/>
        <w:rPr>
          <w:sz w:val="21"/>
        </w:rPr>
      </w:pPr>
      <w:r>
        <w:rPr>
          <w:color w:val="231F20"/>
          <w:sz w:val="21"/>
        </w:rPr>
        <w:t>Marcovitch, J. (1992). </w:t>
      </w:r>
      <w:r>
        <w:rPr>
          <w:i/>
          <w:color w:val="231F20"/>
          <w:sz w:val="21"/>
        </w:rPr>
        <w:t>La cuestión de la competitividad en Brasil</w:t>
      </w:r>
      <w:r>
        <w:rPr>
          <w:color w:val="231F20"/>
          <w:sz w:val="21"/>
        </w:rPr>
        <w:t>, (coorde- naçao de Eduardo Vasconcelos). Sao Paulo, ed. Edgard Blucher. Ltda.</w:t>
      </w:r>
    </w:p>
    <w:p>
      <w:pPr>
        <w:spacing w:line="259" w:lineRule="auto" w:before="0"/>
        <w:ind w:left="854" w:right="122" w:hanging="738"/>
        <w:jc w:val="both"/>
        <w:rPr>
          <w:sz w:val="21"/>
        </w:rPr>
      </w:pPr>
      <w:r>
        <w:rPr>
          <w:color w:val="231F20"/>
          <w:sz w:val="21"/>
        </w:rPr>
        <w:t>Massé, P. (1960). </w:t>
      </w:r>
      <w:r>
        <w:rPr>
          <w:i/>
          <w:color w:val="231F20"/>
          <w:sz w:val="21"/>
        </w:rPr>
        <w:t>La elección de las Inversiones. </w:t>
      </w:r>
      <w:r>
        <w:rPr>
          <w:color w:val="231F20"/>
          <w:sz w:val="21"/>
        </w:rPr>
        <w:t>Editorial Sagitario, Bar- celona.</w:t>
      </w:r>
    </w:p>
    <w:p>
      <w:pPr>
        <w:pStyle w:val="BodyText"/>
        <w:spacing w:line="259" w:lineRule="auto"/>
        <w:ind w:left="854" w:right="123" w:hanging="738"/>
        <w:jc w:val="both"/>
      </w:pPr>
      <w:r>
        <w:rPr>
          <w:color w:val="231F20"/>
          <w:w w:val="105"/>
        </w:rPr>
        <w:t>Montero,</w:t>
      </w:r>
      <w:r>
        <w:rPr>
          <w:color w:val="231F20"/>
          <w:spacing w:val="-25"/>
          <w:w w:val="105"/>
        </w:rPr>
        <w:t> </w:t>
      </w:r>
      <w:r>
        <w:rPr>
          <w:color w:val="231F20"/>
          <w:w w:val="105"/>
        </w:rPr>
        <w:t>C.</w:t>
      </w:r>
      <w:r>
        <w:rPr>
          <w:color w:val="231F20"/>
          <w:spacing w:val="-25"/>
          <w:w w:val="105"/>
        </w:rPr>
        <w:t> </w:t>
      </w:r>
      <w:r>
        <w:rPr>
          <w:color w:val="231F20"/>
          <w:w w:val="105"/>
        </w:rPr>
        <w:t>y</w:t>
      </w:r>
      <w:r>
        <w:rPr>
          <w:color w:val="231F20"/>
          <w:spacing w:val="-20"/>
          <w:w w:val="105"/>
        </w:rPr>
        <w:t> </w:t>
      </w:r>
      <w:r>
        <w:rPr>
          <w:color w:val="231F20"/>
          <w:w w:val="105"/>
        </w:rPr>
        <w:t>Morris,</w:t>
      </w:r>
      <w:r>
        <w:rPr>
          <w:color w:val="231F20"/>
          <w:spacing w:val="-25"/>
          <w:w w:val="105"/>
        </w:rPr>
        <w:t> </w:t>
      </w:r>
      <w:r>
        <w:rPr>
          <w:color w:val="231F20"/>
          <w:spacing w:val="-16"/>
          <w:w w:val="105"/>
        </w:rPr>
        <w:t>P.</w:t>
      </w:r>
      <w:r>
        <w:rPr>
          <w:color w:val="231F20"/>
          <w:spacing w:val="-25"/>
          <w:w w:val="105"/>
        </w:rPr>
        <w:t> </w:t>
      </w:r>
      <w:r>
        <w:rPr>
          <w:color w:val="231F20"/>
          <w:w w:val="105"/>
        </w:rPr>
        <w:t>(2000).</w:t>
      </w:r>
      <w:r>
        <w:rPr>
          <w:color w:val="231F20"/>
          <w:spacing w:val="-25"/>
          <w:w w:val="105"/>
        </w:rPr>
        <w:t> </w:t>
      </w:r>
      <w:r>
        <w:rPr>
          <w:color w:val="231F20"/>
          <w:w w:val="105"/>
        </w:rPr>
        <w:t>“Territorio,</w:t>
      </w:r>
      <w:r>
        <w:rPr>
          <w:color w:val="231F20"/>
          <w:spacing w:val="-25"/>
          <w:w w:val="105"/>
        </w:rPr>
        <w:t> </w:t>
      </w:r>
      <w:r>
        <w:rPr>
          <w:color w:val="231F20"/>
          <w:w w:val="105"/>
        </w:rPr>
        <w:t>competitividad</w:t>
      </w:r>
      <w:r>
        <w:rPr>
          <w:color w:val="231F20"/>
          <w:spacing w:val="-20"/>
          <w:w w:val="105"/>
        </w:rPr>
        <w:t> </w:t>
      </w:r>
      <w:r>
        <w:rPr>
          <w:color w:val="231F20"/>
          <w:w w:val="105"/>
        </w:rPr>
        <w:t>sistémica</w:t>
      </w:r>
      <w:r>
        <w:rPr>
          <w:color w:val="231F20"/>
          <w:spacing w:val="-20"/>
          <w:w w:val="105"/>
        </w:rPr>
        <w:t> </w:t>
      </w:r>
      <w:r>
        <w:rPr>
          <w:color w:val="231F20"/>
          <w:w w:val="105"/>
        </w:rPr>
        <w:t>y</w:t>
      </w:r>
      <w:r>
        <w:rPr>
          <w:color w:val="231F20"/>
          <w:spacing w:val="-20"/>
          <w:w w:val="105"/>
        </w:rPr>
        <w:t> </w:t>
      </w:r>
      <w:r>
        <w:rPr>
          <w:color w:val="231F20"/>
          <w:w w:val="105"/>
        </w:rPr>
        <w:t>de- sarrollo</w:t>
      </w:r>
      <w:r>
        <w:rPr>
          <w:color w:val="231F20"/>
          <w:spacing w:val="-7"/>
          <w:w w:val="105"/>
        </w:rPr>
        <w:t> </w:t>
      </w:r>
      <w:r>
        <w:rPr>
          <w:color w:val="231F20"/>
          <w:w w:val="105"/>
        </w:rPr>
        <w:t>endógeno:</w:t>
      </w:r>
      <w:r>
        <w:rPr>
          <w:color w:val="231F20"/>
          <w:spacing w:val="-7"/>
          <w:w w:val="105"/>
        </w:rPr>
        <w:t> </w:t>
      </w:r>
      <w:r>
        <w:rPr>
          <w:color w:val="231F20"/>
          <w:w w:val="105"/>
        </w:rPr>
        <w:t>Metodología</w:t>
      </w:r>
      <w:r>
        <w:rPr>
          <w:color w:val="231F20"/>
          <w:spacing w:val="-7"/>
          <w:w w:val="105"/>
        </w:rPr>
        <w:t> </w:t>
      </w:r>
      <w:r>
        <w:rPr>
          <w:color w:val="231F20"/>
          <w:w w:val="105"/>
        </w:rPr>
        <w:t>para</w:t>
      </w:r>
      <w:r>
        <w:rPr>
          <w:color w:val="231F20"/>
          <w:spacing w:val="-7"/>
          <w:w w:val="105"/>
        </w:rPr>
        <w:t> </w:t>
      </w:r>
      <w:r>
        <w:rPr>
          <w:color w:val="231F20"/>
          <w:w w:val="105"/>
        </w:rPr>
        <w:t>el</w:t>
      </w:r>
      <w:r>
        <w:rPr>
          <w:color w:val="231F20"/>
          <w:spacing w:val="-7"/>
          <w:w w:val="105"/>
        </w:rPr>
        <w:t> </w:t>
      </w:r>
      <w:r>
        <w:rPr>
          <w:color w:val="231F20"/>
          <w:w w:val="105"/>
        </w:rPr>
        <w:t>estudio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Sistemas Regionales</w:t>
      </w:r>
      <w:r>
        <w:rPr>
          <w:color w:val="231F20"/>
          <w:spacing w:val="-31"/>
          <w:w w:val="105"/>
        </w:rPr>
        <w:t> </w:t>
      </w:r>
      <w:r>
        <w:rPr>
          <w:color w:val="231F20"/>
          <w:w w:val="105"/>
        </w:rPr>
        <w:t>de</w:t>
      </w:r>
      <w:r>
        <w:rPr>
          <w:color w:val="231F20"/>
          <w:spacing w:val="-31"/>
          <w:w w:val="105"/>
        </w:rPr>
        <w:t> </w:t>
      </w:r>
      <w:r>
        <w:rPr>
          <w:color w:val="231F20"/>
          <w:spacing w:val="-3"/>
          <w:w w:val="105"/>
        </w:rPr>
        <w:t>Innovación”.</w:t>
      </w:r>
    </w:p>
    <w:p>
      <w:pPr>
        <w:pStyle w:val="BodyText"/>
        <w:spacing w:line="259" w:lineRule="auto"/>
        <w:ind w:left="854" w:right="123" w:hanging="738"/>
        <w:jc w:val="both"/>
      </w:pPr>
      <w:r>
        <w:rPr>
          <w:color w:val="231F20"/>
          <w:w w:val="105"/>
        </w:rPr>
        <w:t>Müller, G., (1992). “Transformaciones productivas y competitividad:</w:t>
      </w:r>
      <w:r>
        <w:rPr>
          <w:color w:val="231F20"/>
          <w:spacing w:val="-22"/>
          <w:w w:val="105"/>
        </w:rPr>
        <w:t> </w:t>
      </w:r>
      <w:r>
        <w:rPr>
          <w:color w:val="231F20"/>
          <w:w w:val="105"/>
        </w:rPr>
        <w:t>as- pectos</w:t>
      </w:r>
      <w:r>
        <w:rPr>
          <w:color w:val="231F20"/>
          <w:spacing w:val="-8"/>
          <w:w w:val="105"/>
        </w:rPr>
        <w:t> </w:t>
      </w:r>
      <w:r>
        <w:rPr>
          <w:color w:val="231F20"/>
          <w:w w:val="105"/>
        </w:rPr>
        <w:t>conceptuales</w:t>
      </w:r>
      <w:r>
        <w:rPr>
          <w:color w:val="231F20"/>
          <w:spacing w:val="-8"/>
          <w:w w:val="105"/>
        </w:rPr>
        <w:t> </w:t>
      </w:r>
      <w:r>
        <w:rPr>
          <w:color w:val="231F20"/>
          <w:w w:val="105"/>
        </w:rPr>
        <w:t>y</w:t>
      </w:r>
      <w:r>
        <w:rPr>
          <w:color w:val="231F20"/>
          <w:spacing w:val="-8"/>
          <w:w w:val="105"/>
        </w:rPr>
        <w:t> </w:t>
      </w:r>
      <w:r>
        <w:rPr>
          <w:color w:val="231F20"/>
          <w:w w:val="105"/>
        </w:rPr>
        <w:t>metodológicos”,</w:t>
      </w:r>
      <w:r>
        <w:rPr>
          <w:color w:val="231F20"/>
          <w:spacing w:val="-14"/>
          <w:w w:val="105"/>
        </w:rPr>
        <w:t> </w:t>
      </w:r>
      <w:r>
        <w:rPr>
          <w:color w:val="231F20"/>
          <w:w w:val="105"/>
        </w:rPr>
        <w:t>ponencia</w:t>
      </w:r>
      <w:r>
        <w:rPr>
          <w:color w:val="231F20"/>
          <w:spacing w:val="-8"/>
          <w:w w:val="105"/>
        </w:rPr>
        <w:t> </w:t>
      </w:r>
      <w:r>
        <w:rPr>
          <w:color w:val="231F20"/>
          <w:w w:val="105"/>
        </w:rPr>
        <w:t>presentada</w:t>
      </w:r>
      <w:r>
        <w:rPr>
          <w:color w:val="231F20"/>
          <w:spacing w:val="-8"/>
          <w:w w:val="105"/>
        </w:rPr>
        <w:t> </w:t>
      </w:r>
      <w:r>
        <w:rPr>
          <w:color w:val="231F20"/>
          <w:w w:val="105"/>
        </w:rPr>
        <w:t>en el seminario-taller política tecnológica y competitividad agrícola en</w:t>
      </w:r>
      <w:r>
        <w:rPr>
          <w:color w:val="231F20"/>
          <w:spacing w:val="-23"/>
          <w:w w:val="105"/>
        </w:rPr>
        <w:t> </w:t>
      </w:r>
      <w:r>
        <w:rPr>
          <w:color w:val="231F20"/>
          <w:w w:val="105"/>
        </w:rPr>
        <w:t>América</w:t>
      </w:r>
      <w:r>
        <w:rPr>
          <w:color w:val="231F20"/>
          <w:spacing w:val="-21"/>
          <w:w w:val="105"/>
        </w:rPr>
        <w:t> </w:t>
      </w:r>
      <w:r>
        <w:rPr>
          <w:color w:val="231F20"/>
          <w:w w:val="105"/>
        </w:rPr>
        <w:t>Latina.</w:t>
      </w:r>
      <w:r>
        <w:rPr>
          <w:color w:val="231F20"/>
          <w:spacing w:val="-26"/>
          <w:w w:val="105"/>
        </w:rPr>
        <w:t> </w:t>
      </w:r>
      <w:r>
        <w:rPr>
          <w:color w:val="231F20"/>
          <w:w w:val="105"/>
        </w:rPr>
        <w:t>Instituto</w:t>
      </w:r>
      <w:r>
        <w:rPr>
          <w:color w:val="231F20"/>
          <w:spacing w:val="-21"/>
          <w:w w:val="105"/>
        </w:rPr>
        <w:t> </w:t>
      </w:r>
      <w:r>
        <w:rPr>
          <w:color w:val="231F20"/>
          <w:w w:val="105"/>
        </w:rPr>
        <w:t>Interamericano</w:t>
      </w:r>
      <w:r>
        <w:rPr>
          <w:color w:val="231F20"/>
          <w:spacing w:val="-21"/>
          <w:w w:val="105"/>
        </w:rPr>
        <w:t> </w:t>
      </w:r>
      <w:r>
        <w:rPr>
          <w:color w:val="231F20"/>
          <w:w w:val="105"/>
        </w:rPr>
        <w:t>de</w:t>
      </w:r>
      <w:r>
        <w:rPr>
          <w:color w:val="231F20"/>
          <w:spacing w:val="-21"/>
          <w:w w:val="105"/>
        </w:rPr>
        <w:t> </w:t>
      </w:r>
      <w:r>
        <w:rPr>
          <w:color w:val="231F20"/>
          <w:w w:val="105"/>
        </w:rPr>
        <w:t>Cooperación</w:t>
      </w:r>
      <w:r>
        <w:rPr>
          <w:color w:val="231F20"/>
          <w:spacing w:val="-21"/>
          <w:w w:val="105"/>
        </w:rPr>
        <w:t> </w:t>
      </w:r>
      <w:r>
        <w:rPr>
          <w:color w:val="231F20"/>
          <w:w w:val="105"/>
        </w:rPr>
        <w:t>para la Agricultura.</w:t>
      </w:r>
      <w:r>
        <w:rPr>
          <w:color w:val="231F20"/>
          <w:spacing w:val="-25"/>
          <w:w w:val="105"/>
        </w:rPr>
        <w:t> </w:t>
      </w:r>
      <w:r>
        <w:rPr>
          <w:color w:val="231F20"/>
          <w:w w:val="105"/>
        </w:rPr>
        <w:t>Montevideo.</w:t>
      </w:r>
    </w:p>
    <w:p>
      <w:pPr>
        <w:spacing w:line="259" w:lineRule="auto" w:before="0"/>
        <w:ind w:left="854" w:right="115" w:hanging="738"/>
        <w:jc w:val="both"/>
        <w:rPr>
          <w:sz w:val="21"/>
        </w:rPr>
      </w:pPr>
      <w:r>
        <w:rPr>
          <w:color w:val="231F20"/>
          <w:w w:val="105"/>
          <w:sz w:val="21"/>
        </w:rPr>
        <w:t>Muñoz, M. (2002), “Factores de localización de la inversión directa ex- tranjera</w:t>
      </w:r>
      <w:r>
        <w:rPr>
          <w:color w:val="231F20"/>
          <w:spacing w:val="-20"/>
          <w:w w:val="105"/>
          <w:sz w:val="21"/>
        </w:rPr>
        <w:t> </w:t>
      </w:r>
      <w:r>
        <w:rPr>
          <w:color w:val="231F20"/>
          <w:w w:val="105"/>
          <w:sz w:val="21"/>
        </w:rPr>
        <w:t>en</w:t>
      </w:r>
      <w:r>
        <w:rPr>
          <w:color w:val="231F20"/>
          <w:spacing w:val="-22"/>
          <w:w w:val="105"/>
          <w:sz w:val="21"/>
        </w:rPr>
        <w:t> </w:t>
      </w:r>
      <w:r>
        <w:rPr>
          <w:color w:val="231F20"/>
          <w:spacing w:val="-3"/>
          <w:w w:val="105"/>
          <w:sz w:val="21"/>
        </w:rPr>
        <w:t>Andalucía”.</w:t>
      </w:r>
      <w:r>
        <w:rPr>
          <w:color w:val="231F20"/>
          <w:spacing w:val="-24"/>
          <w:w w:val="105"/>
          <w:sz w:val="21"/>
        </w:rPr>
        <w:t> </w:t>
      </w:r>
      <w:r>
        <w:rPr>
          <w:i/>
          <w:color w:val="231F20"/>
          <w:w w:val="105"/>
          <w:sz w:val="21"/>
        </w:rPr>
        <w:t>Revista</w:t>
      </w:r>
      <w:r>
        <w:rPr>
          <w:i/>
          <w:color w:val="231F20"/>
          <w:spacing w:val="-20"/>
          <w:w w:val="105"/>
          <w:sz w:val="21"/>
        </w:rPr>
        <w:t> </w:t>
      </w:r>
      <w:r>
        <w:rPr>
          <w:i/>
          <w:color w:val="231F20"/>
          <w:w w:val="105"/>
          <w:sz w:val="21"/>
        </w:rPr>
        <w:t>de</w:t>
      </w:r>
      <w:r>
        <w:rPr>
          <w:i/>
          <w:color w:val="231F20"/>
          <w:spacing w:val="-20"/>
          <w:w w:val="105"/>
          <w:sz w:val="21"/>
        </w:rPr>
        <w:t> </w:t>
      </w:r>
      <w:r>
        <w:rPr>
          <w:i/>
          <w:color w:val="231F20"/>
          <w:w w:val="105"/>
          <w:sz w:val="21"/>
        </w:rPr>
        <w:t>Estudios</w:t>
      </w:r>
      <w:r>
        <w:rPr>
          <w:i/>
          <w:color w:val="231F20"/>
          <w:spacing w:val="-20"/>
          <w:w w:val="105"/>
          <w:sz w:val="21"/>
        </w:rPr>
        <w:t> </w:t>
      </w:r>
      <w:r>
        <w:rPr>
          <w:i/>
          <w:color w:val="231F20"/>
          <w:w w:val="105"/>
          <w:sz w:val="21"/>
        </w:rPr>
        <w:t>Regionales,</w:t>
      </w:r>
      <w:r>
        <w:rPr>
          <w:i/>
          <w:color w:val="231F20"/>
          <w:spacing w:val="-24"/>
          <w:w w:val="105"/>
          <w:sz w:val="21"/>
        </w:rPr>
        <w:t> </w:t>
      </w:r>
      <w:r>
        <w:rPr>
          <w:color w:val="231F20"/>
          <w:w w:val="105"/>
          <w:sz w:val="21"/>
        </w:rPr>
        <w:t>núm.</w:t>
      </w:r>
      <w:r>
        <w:rPr>
          <w:color w:val="231F20"/>
          <w:spacing w:val="-24"/>
          <w:w w:val="105"/>
          <w:sz w:val="21"/>
        </w:rPr>
        <w:t> </w:t>
      </w:r>
      <w:r>
        <w:rPr>
          <w:color w:val="231F20"/>
          <w:w w:val="105"/>
          <w:sz w:val="21"/>
        </w:rPr>
        <w:t>62, enero-abril,</w:t>
      </w:r>
      <w:r>
        <w:rPr>
          <w:color w:val="231F20"/>
          <w:spacing w:val="-39"/>
          <w:w w:val="105"/>
          <w:sz w:val="21"/>
        </w:rPr>
        <w:t> </w:t>
      </w:r>
      <w:r>
        <w:rPr>
          <w:color w:val="231F20"/>
          <w:w w:val="105"/>
          <w:sz w:val="21"/>
        </w:rPr>
        <w:t>191-187.</w:t>
      </w:r>
    </w:p>
    <w:p>
      <w:pPr>
        <w:pStyle w:val="BodyText"/>
        <w:spacing w:line="259" w:lineRule="auto"/>
        <w:ind w:left="854" w:right="123" w:hanging="738"/>
        <w:jc w:val="both"/>
      </w:pPr>
      <w:r>
        <w:rPr>
          <w:color w:val="231F20"/>
          <w:w w:val="105"/>
        </w:rPr>
        <w:t>OMC</w:t>
      </w:r>
      <w:r>
        <w:rPr>
          <w:color w:val="231F20"/>
          <w:spacing w:val="-41"/>
          <w:w w:val="105"/>
        </w:rPr>
        <w:t> </w:t>
      </w:r>
      <w:r>
        <w:rPr>
          <w:color w:val="231F20"/>
          <w:w w:val="105"/>
        </w:rPr>
        <w:t>(2009).</w:t>
      </w:r>
      <w:r>
        <w:rPr>
          <w:color w:val="231F20"/>
          <w:spacing w:val="-45"/>
          <w:w w:val="105"/>
        </w:rPr>
        <w:t> </w:t>
      </w:r>
      <w:r>
        <w:rPr>
          <w:color w:val="231F20"/>
          <w:w w:val="105"/>
        </w:rPr>
        <w:t>Estadísticas</w:t>
      </w:r>
      <w:r>
        <w:rPr>
          <w:color w:val="231F20"/>
          <w:spacing w:val="-41"/>
          <w:w w:val="105"/>
        </w:rPr>
        <w:t> </w:t>
      </w:r>
      <w:r>
        <w:rPr>
          <w:color w:val="231F20"/>
          <w:w w:val="105"/>
        </w:rPr>
        <w:t>de</w:t>
      </w:r>
      <w:r>
        <w:rPr>
          <w:color w:val="231F20"/>
          <w:spacing w:val="-41"/>
          <w:w w:val="105"/>
        </w:rPr>
        <w:t> </w:t>
      </w:r>
      <w:r>
        <w:rPr>
          <w:color w:val="231F20"/>
          <w:spacing w:val="-3"/>
          <w:w w:val="105"/>
        </w:rPr>
        <w:t>Comercio</w:t>
      </w:r>
      <w:r>
        <w:rPr>
          <w:color w:val="231F20"/>
          <w:spacing w:val="-41"/>
          <w:w w:val="105"/>
        </w:rPr>
        <w:t> </w:t>
      </w:r>
      <w:r>
        <w:rPr>
          <w:color w:val="231F20"/>
          <w:w w:val="105"/>
        </w:rPr>
        <w:t>Internacional,</w:t>
      </w:r>
      <w:r>
        <w:rPr>
          <w:color w:val="231F20"/>
          <w:spacing w:val="-45"/>
          <w:w w:val="105"/>
        </w:rPr>
        <w:t> </w:t>
      </w:r>
      <w:r>
        <w:rPr>
          <w:color w:val="231F20"/>
          <w:w w:val="105"/>
        </w:rPr>
        <w:t>disponible</w:t>
      </w:r>
      <w:r>
        <w:rPr>
          <w:color w:val="231F20"/>
          <w:spacing w:val="-41"/>
          <w:w w:val="105"/>
        </w:rPr>
        <w:t> </w:t>
      </w:r>
      <w:r>
        <w:rPr>
          <w:color w:val="231F20"/>
          <w:w w:val="105"/>
        </w:rPr>
        <w:t>en:</w:t>
      </w:r>
      <w:r>
        <w:rPr>
          <w:color w:val="231F20"/>
          <w:spacing w:val="-41"/>
          <w:w w:val="105"/>
        </w:rPr>
        <w:t> </w:t>
      </w:r>
      <w:r>
        <w:rPr>
          <w:color w:val="231F20"/>
          <w:spacing w:val="-3"/>
          <w:w w:val="105"/>
        </w:rPr>
        <w:t>http:// </w:t>
      </w:r>
      <w:hyperlink r:id="rId130">
        <w:r>
          <w:rPr>
            <w:color w:val="231F20"/>
            <w:spacing w:val="-3"/>
            <w:w w:val="105"/>
          </w:rPr>
          <w:t>www.wto.org/spanish/res_s/statis_s/its2001_s/its01_toc_s.htm</w:t>
        </w:r>
      </w:hyperlink>
    </w:p>
    <w:p>
      <w:pPr>
        <w:spacing w:line="259" w:lineRule="auto" w:before="0"/>
        <w:ind w:left="77" w:right="115" w:firstLine="0"/>
        <w:jc w:val="right"/>
        <w:rPr>
          <w:sz w:val="21"/>
        </w:rPr>
      </w:pPr>
      <w:r>
        <w:rPr>
          <w:color w:val="231F20"/>
          <w:w w:val="105"/>
          <w:sz w:val="21"/>
        </w:rPr>
        <w:t>OCDE</w:t>
      </w:r>
      <w:r>
        <w:rPr>
          <w:color w:val="231F20"/>
          <w:spacing w:val="-16"/>
          <w:w w:val="105"/>
          <w:sz w:val="21"/>
        </w:rPr>
        <w:t> </w:t>
      </w:r>
      <w:r>
        <w:rPr>
          <w:color w:val="231F20"/>
          <w:w w:val="105"/>
          <w:sz w:val="21"/>
        </w:rPr>
        <w:t>(1992).</w:t>
      </w:r>
      <w:r>
        <w:rPr>
          <w:color w:val="231F20"/>
          <w:spacing w:val="-21"/>
          <w:w w:val="105"/>
          <w:sz w:val="21"/>
        </w:rPr>
        <w:t> </w:t>
      </w:r>
      <w:r>
        <w:rPr>
          <w:i/>
          <w:color w:val="231F20"/>
          <w:w w:val="105"/>
          <w:sz w:val="21"/>
        </w:rPr>
        <w:t>The</w:t>
      </w:r>
      <w:r>
        <w:rPr>
          <w:i/>
          <w:color w:val="231F20"/>
          <w:spacing w:val="-16"/>
          <w:w w:val="105"/>
          <w:sz w:val="21"/>
        </w:rPr>
        <w:t> </w:t>
      </w:r>
      <w:r>
        <w:rPr>
          <w:i/>
          <w:color w:val="231F20"/>
          <w:w w:val="105"/>
          <w:sz w:val="21"/>
        </w:rPr>
        <w:t>technology</w:t>
      </w:r>
      <w:r>
        <w:rPr>
          <w:i/>
          <w:color w:val="231F20"/>
          <w:spacing w:val="-16"/>
          <w:w w:val="105"/>
          <w:sz w:val="21"/>
        </w:rPr>
        <w:t> </w:t>
      </w:r>
      <w:r>
        <w:rPr>
          <w:i/>
          <w:color w:val="231F20"/>
          <w:w w:val="105"/>
          <w:sz w:val="21"/>
        </w:rPr>
        <w:t>and</w:t>
      </w:r>
      <w:r>
        <w:rPr>
          <w:i/>
          <w:color w:val="231F20"/>
          <w:spacing w:val="-16"/>
          <w:w w:val="105"/>
          <w:sz w:val="21"/>
        </w:rPr>
        <w:t> </w:t>
      </w:r>
      <w:r>
        <w:rPr>
          <w:i/>
          <w:color w:val="231F20"/>
          <w:w w:val="105"/>
          <w:sz w:val="21"/>
        </w:rPr>
        <w:t>the</w:t>
      </w:r>
      <w:r>
        <w:rPr>
          <w:i/>
          <w:color w:val="231F20"/>
          <w:spacing w:val="-16"/>
          <w:w w:val="105"/>
          <w:sz w:val="21"/>
        </w:rPr>
        <w:t> </w:t>
      </w:r>
      <w:r>
        <w:rPr>
          <w:i/>
          <w:color w:val="231F20"/>
          <w:w w:val="105"/>
          <w:sz w:val="21"/>
        </w:rPr>
        <w:t>economy.</w:t>
      </w:r>
      <w:r>
        <w:rPr>
          <w:i/>
          <w:color w:val="231F20"/>
          <w:spacing w:val="-24"/>
          <w:w w:val="105"/>
          <w:sz w:val="21"/>
        </w:rPr>
        <w:t> </w:t>
      </w:r>
      <w:r>
        <w:rPr>
          <w:i/>
          <w:color w:val="231F20"/>
          <w:w w:val="105"/>
          <w:sz w:val="21"/>
        </w:rPr>
        <w:t>The</w:t>
      </w:r>
      <w:r>
        <w:rPr>
          <w:i/>
          <w:color w:val="231F20"/>
          <w:spacing w:val="-16"/>
          <w:w w:val="105"/>
          <w:sz w:val="21"/>
        </w:rPr>
        <w:t> </w:t>
      </w:r>
      <w:r>
        <w:rPr>
          <w:i/>
          <w:color w:val="231F20"/>
          <w:w w:val="105"/>
          <w:sz w:val="21"/>
        </w:rPr>
        <w:t>key</w:t>
      </w:r>
      <w:r>
        <w:rPr>
          <w:i/>
          <w:color w:val="231F20"/>
          <w:spacing w:val="-16"/>
          <w:w w:val="105"/>
          <w:sz w:val="21"/>
        </w:rPr>
        <w:t> </w:t>
      </w:r>
      <w:r>
        <w:rPr>
          <w:i/>
          <w:color w:val="231F20"/>
          <w:w w:val="105"/>
          <w:sz w:val="21"/>
        </w:rPr>
        <w:t>Relationships.</w:t>
      </w:r>
      <w:r>
        <w:rPr>
          <w:i/>
          <w:color w:val="231F20"/>
          <w:w w:val="102"/>
          <w:sz w:val="21"/>
        </w:rPr>
        <w:t> </w:t>
      </w:r>
      <w:r>
        <w:rPr>
          <w:color w:val="231F20"/>
          <w:spacing w:val="-3"/>
          <w:w w:val="105"/>
          <w:sz w:val="21"/>
        </w:rPr>
        <w:t>París:</w:t>
      </w:r>
      <w:r>
        <w:rPr>
          <w:color w:val="231F20"/>
          <w:spacing w:val="-26"/>
          <w:w w:val="105"/>
          <w:sz w:val="21"/>
        </w:rPr>
        <w:t> </w:t>
      </w:r>
      <w:r>
        <w:rPr>
          <w:color w:val="231F20"/>
          <w:w w:val="105"/>
          <w:sz w:val="21"/>
        </w:rPr>
        <w:t>Organization</w:t>
      </w:r>
      <w:r>
        <w:rPr>
          <w:color w:val="231F20"/>
          <w:spacing w:val="-26"/>
          <w:w w:val="105"/>
          <w:sz w:val="21"/>
        </w:rPr>
        <w:t> </w:t>
      </w:r>
      <w:r>
        <w:rPr>
          <w:color w:val="231F20"/>
          <w:w w:val="105"/>
          <w:sz w:val="21"/>
        </w:rPr>
        <w:t>for</w:t>
      </w:r>
      <w:r>
        <w:rPr>
          <w:color w:val="231F20"/>
          <w:spacing w:val="-26"/>
          <w:w w:val="105"/>
          <w:sz w:val="21"/>
        </w:rPr>
        <w:t> </w:t>
      </w:r>
      <w:r>
        <w:rPr>
          <w:color w:val="231F20"/>
          <w:w w:val="105"/>
          <w:sz w:val="21"/>
        </w:rPr>
        <w:t>Economic</w:t>
      </w:r>
      <w:r>
        <w:rPr>
          <w:color w:val="231F20"/>
          <w:spacing w:val="-26"/>
          <w:w w:val="105"/>
          <w:sz w:val="21"/>
        </w:rPr>
        <w:t> </w:t>
      </w:r>
      <w:r>
        <w:rPr>
          <w:color w:val="231F20"/>
          <w:w w:val="105"/>
          <w:sz w:val="21"/>
        </w:rPr>
        <w:t>Cooperation</w:t>
      </w:r>
      <w:r>
        <w:rPr>
          <w:color w:val="231F20"/>
          <w:spacing w:val="-26"/>
          <w:w w:val="105"/>
          <w:sz w:val="21"/>
        </w:rPr>
        <w:t> </w:t>
      </w:r>
      <w:r>
        <w:rPr>
          <w:color w:val="231F20"/>
          <w:w w:val="105"/>
          <w:sz w:val="21"/>
        </w:rPr>
        <w:t>and</w:t>
      </w:r>
      <w:r>
        <w:rPr>
          <w:color w:val="231F20"/>
          <w:spacing w:val="-26"/>
          <w:w w:val="105"/>
          <w:sz w:val="21"/>
        </w:rPr>
        <w:t> </w:t>
      </w:r>
      <w:r>
        <w:rPr>
          <w:color w:val="231F20"/>
          <w:w w:val="105"/>
          <w:sz w:val="21"/>
        </w:rPr>
        <w:t>Development.</w:t>
      </w:r>
      <w:r>
        <w:rPr>
          <w:color w:val="231F20"/>
          <w:w w:val="105"/>
          <w:sz w:val="21"/>
        </w:rPr>
        <w:t> </w:t>
      </w:r>
      <w:r>
        <w:rPr>
          <w:color w:val="231F20"/>
          <w:w w:val="105"/>
          <w:sz w:val="21"/>
        </w:rPr>
        <w:t>Oyarzun, J. (1994). </w:t>
      </w:r>
      <w:r>
        <w:rPr>
          <w:i/>
          <w:color w:val="231F20"/>
          <w:w w:val="105"/>
          <w:sz w:val="21"/>
        </w:rPr>
        <w:t>Sinopsis de la historia del pensamiento</w:t>
      </w:r>
      <w:r>
        <w:rPr>
          <w:i/>
          <w:color w:val="231F20"/>
          <w:spacing w:val="32"/>
          <w:w w:val="105"/>
          <w:sz w:val="21"/>
        </w:rPr>
        <w:t> </w:t>
      </w:r>
      <w:r>
        <w:rPr>
          <w:i/>
          <w:color w:val="231F20"/>
          <w:w w:val="105"/>
          <w:sz w:val="21"/>
        </w:rPr>
        <w:t>sobre</w:t>
      </w:r>
      <w:r>
        <w:rPr>
          <w:i/>
          <w:color w:val="231F20"/>
          <w:spacing w:val="5"/>
          <w:w w:val="105"/>
          <w:sz w:val="21"/>
        </w:rPr>
        <w:t> </w:t>
      </w:r>
      <w:r>
        <w:rPr>
          <w:i/>
          <w:color w:val="231F20"/>
          <w:w w:val="105"/>
          <w:sz w:val="21"/>
        </w:rPr>
        <w:t>eco-</w:t>
      </w:r>
      <w:r>
        <w:rPr>
          <w:i/>
          <w:color w:val="231F20"/>
          <w:w w:val="96"/>
          <w:sz w:val="21"/>
        </w:rPr>
        <w:t> </w:t>
      </w:r>
      <w:r>
        <w:rPr>
          <w:i/>
          <w:color w:val="231F20"/>
          <w:w w:val="105"/>
          <w:sz w:val="21"/>
        </w:rPr>
        <w:t>nomía internacional.   </w:t>
      </w:r>
      <w:r>
        <w:rPr>
          <w:color w:val="231F20"/>
          <w:w w:val="105"/>
          <w:sz w:val="21"/>
        </w:rPr>
        <w:t>Documento de trabajo presentado en  </w:t>
      </w:r>
      <w:r>
        <w:rPr>
          <w:color w:val="231F20"/>
          <w:spacing w:val="12"/>
          <w:w w:val="105"/>
          <w:sz w:val="21"/>
        </w:rPr>
        <w:t> </w:t>
      </w:r>
      <w:r>
        <w:rPr>
          <w:color w:val="231F20"/>
          <w:w w:val="105"/>
          <w:sz w:val="21"/>
        </w:rPr>
        <w:t>la</w:t>
      </w:r>
    </w:p>
    <w:p>
      <w:pPr>
        <w:pStyle w:val="BodyText"/>
        <w:spacing w:line="259" w:lineRule="auto"/>
        <w:ind w:left="854" w:right="123"/>
        <w:jc w:val="both"/>
      </w:pPr>
      <w:r>
        <w:rPr>
          <w:color w:val="231F20"/>
          <w:w w:val="105"/>
        </w:rPr>
        <w:t>FCCEE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UCM</w:t>
      </w:r>
      <w:r>
        <w:rPr>
          <w:color w:val="231F20"/>
          <w:spacing w:val="-10"/>
          <w:w w:val="105"/>
        </w:rPr>
        <w:t> </w:t>
      </w:r>
      <w:r>
        <w:rPr>
          <w:color w:val="231F20"/>
          <w:w w:val="105"/>
        </w:rPr>
        <w:t>para</w:t>
      </w:r>
      <w:r>
        <w:rPr>
          <w:color w:val="231F20"/>
          <w:spacing w:val="-10"/>
          <w:w w:val="105"/>
        </w:rPr>
        <w:t> </w:t>
      </w:r>
      <w:r>
        <w:rPr>
          <w:color w:val="231F20"/>
          <w:w w:val="105"/>
        </w:rPr>
        <w:t>optar</w:t>
      </w:r>
      <w:r>
        <w:rPr>
          <w:color w:val="231F20"/>
          <w:spacing w:val="-10"/>
          <w:w w:val="105"/>
        </w:rPr>
        <w:t> </w:t>
      </w:r>
      <w:r>
        <w:rPr>
          <w:color w:val="231F20"/>
          <w:w w:val="105"/>
        </w:rPr>
        <w:t>por</w:t>
      </w:r>
      <w:r>
        <w:rPr>
          <w:color w:val="231F20"/>
          <w:spacing w:val="-10"/>
          <w:w w:val="105"/>
        </w:rPr>
        <w:t> </w:t>
      </w:r>
      <w:r>
        <w:rPr>
          <w:color w:val="231F20"/>
          <w:w w:val="105"/>
        </w:rPr>
        <w:t>la</w:t>
      </w:r>
      <w:r>
        <w:rPr>
          <w:color w:val="231F20"/>
          <w:spacing w:val="-10"/>
          <w:w w:val="105"/>
        </w:rPr>
        <w:t> </w:t>
      </w:r>
      <w:r>
        <w:rPr>
          <w:color w:val="231F20"/>
          <w:w w:val="105"/>
        </w:rPr>
        <w:t>plaza</w:t>
      </w:r>
      <w:r>
        <w:rPr>
          <w:color w:val="231F20"/>
          <w:spacing w:val="-10"/>
          <w:w w:val="105"/>
        </w:rPr>
        <w:t> </w:t>
      </w:r>
      <w:r>
        <w:rPr>
          <w:color w:val="231F20"/>
          <w:w w:val="105"/>
        </w:rPr>
        <w:t>de</w:t>
      </w:r>
      <w:r>
        <w:rPr>
          <w:color w:val="231F20"/>
          <w:spacing w:val="-10"/>
          <w:w w:val="105"/>
        </w:rPr>
        <w:t> </w:t>
      </w:r>
      <w:r>
        <w:rPr>
          <w:color w:val="231F20"/>
          <w:w w:val="105"/>
        </w:rPr>
        <w:t>Profesor</w:t>
      </w:r>
      <w:r>
        <w:rPr>
          <w:color w:val="231F20"/>
          <w:spacing w:val="-14"/>
          <w:w w:val="105"/>
        </w:rPr>
        <w:t> </w:t>
      </w:r>
      <w:r>
        <w:rPr>
          <w:color w:val="231F20"/>
          <w:w w:val="105"/>
        </w:rPr>
        <w:t>Titular</w:t>
      </w:r>
      <w:r>
        <w:rPr>
          <w:color w:val="231F20"/>
          <w:spacing w:val="-10"/>
          <w:w w:val="105"/>
        </w:rPr>
        <w:t> </w:t>
      </w:r>
      <w:r>
        <w:rPr>
          <w:color w:val="231F20"/>
          <w:w w:val="105"/>
        </w:rPr>
        <w:t>de Universiad</w:t>
      </w:r>
      <w:r>
        <w:rPr>
          <w:color w:val="231F20"/>
          <w:spacing w:val="-29"/>
          <w:w w:val="105"/>
        </w:rPr>
        <w:t> </w:t>
      </w:r>
      <w:r>
        <w:rPr>
          <w:color w:val="231F20"/>
          <w:w w:val="105"/>
        </w:rPr>
        <w:t>(15/4/94),</w:t>
      </w:r>
      <w:r>
        <w:rPr>
          <w:color w:val="231F20"/>
          <w:spacing w:val="-33"/>
          <w:w w:val="105"/>
        </w:rPr>
        <w:t> </w:t>
      </w:r>
      <w:r>
        <w:rPr>
          <w:color w:val="231F20"/>
          <w:w w:val="105"/>
        </w:rPr>
        <w:t>con</w:t>
      </w:r>
      <w:r>
        <w:rPr>
          <w:color w:val="231F20"/>
          <w:spacing w:val="-29"/>
          <w:w w:val="105"/>
        </w:rPr>
        <w:t> </w:t>
      </w:r>
      <w:r>
        <w:rPr>
          <w:color w:val="231F20"/>
          <w:w w:val="105"/>
        </w:rPr>
        <w:t>el</w:t>
      </w:r>
      <w:r>
        <w:rPr>
          <w:color w:val="231F20"/>
          <w:spacing w:val="-29"/>
          <w:w w:val="105"/>
        </w:rPr>
        <w:t> </w:t>
      </w:r>
      <w:r>
        <w:rPr>
          <w:color w:val="231F20"/>
          <w:w w:val="105"/>
        </w:rPr>
        <w:t>perfil</w:t>
      </w:r>
      <w:r>
        <w:rPr>
          <w:color w:val="231F20"/>
          <w:spacing w:val="-29"/>
          <w:w w:val="105"/>
        </w:rPr>
        <w:t> </w:t>
      </w:r>
      <w:r>
        <w:rPr>
          <w:color w:val="231F20"/>
          <w:w w:val="105"/>
        </w:rPr>
        <w:t>“Ecvonomía</w:t>
      </w:r>
      <w:r>
        <w:rPr>
          <w:color w:val="231F20"/>
          <w:spacing w:val="-29"/>
          <w:w w:val="105"/>
        </w:rPr>
        <w:t> </w:t>
      </w:r>
      <w:r>
        <w:rPr>
          <w:color w:val="231F20"/>
          <w:w w:val="105"/>
        </w:rPr>
        <w:t>Internacional”.</w:t>
      </w:r>
      <w:r>
        <w:rPr>
          <w:color w:val="231F20"/>
          <w:spacing w:val="-33"/>
          <w:w w:val="105"/>
        </w:rPr>
        <w:t> </w:t>
      </w:r>
      <w:r>
        <w:rPr>
          <w:color w:val="231F20"/>
          <w:w w:val="105"/>
        </w:rPr>
        <w:t>Dis- ponible  en:</w:t>
      </w:r>
      <w:r>
        <w:rPr>
          <w:color w:val="231F20"/>
          <w:spacing w:val="26"/>
          <w:w w:val="105"/>
        </w:rPr>
        <w:t> </w:t>
      </w:r>
      <w:hyperlink r:id="rId131">
        <w:r>
          <w:rPr>
            <w:color w:val="231F20"/>
            <w:w w:val="105"/>
          </w:rPr>
          <w:t>http://eprints.ucm.es/6597/1/9502.pdf</w:t>
        </w:r>
      </w:hyperlink>
    </w:p>
    <w:p>
      <w:pPr>
        <w:spacing w:line="259" w:lineRule="auto" w:before="0"/>
        <w:ind w:left="854" w:right="122" w:hanging="738"/>
        <w:jc w:val="both"/>
        <w:rPr>
          <w:sz w:val="21"/>
        </w:rPr>
      </w:pPr>
      <w:r>
        <w:rPr>
          <w:color w:val="231F20"/>
          <w:w w:val="105"/>
          <w:sz w:val="21"/>
        </w:rPr>
        <w:t>Ozawa, </w:t>
      </w:r>
      <w:r>
        <w:rPr>
          <w:color w:val="231F20"/>
          <w:spacing w:val="-9"/>
          <w:w w:val="105"/>
          <w:sz w:val="21"/>
        </w:rPr>
        <w:t>T. </w:t>
      </w:r>
      <w:r>
        <w:rPr>
          <w:color w:val="231F20"/>
          <w:w w:val="105"/>
          <w:sz w:val="21"/>
        </w:rPr>
        <w:t>(1992). “Foreign Direct Investment and Economic Develop- ment”</w:t>
      </w:r>
      <w:r>
        <w:rPr>
          <w:color w:val="231F20"/>
          <w:spacing w:val="-34"/>
          <w:w w:val="105"/>
          <w:sz w:val="21"/>
        </w:rPr>
        <w:t> </w:t>
      </w:r>
      <w:r>
        <w:rPr>
          <w:color w:val="231F20"/>
          <w:w w:val="105"/>
          <w:sz w:val="21"/>
        </w:rPr>
        <w:t>en:</w:t>
      </w:r>
      <w:r>
        <w:rPr>
          <w:color w:val="231F20"/>
          <w:spacing w:val="-34"/>
          <w:w w:val="105"/>
          <w:sz w:val="21"/>
        </w:rPr>
        <w:t> </w:t>
      </w:r>
      <w:r>
        <w:rPr>
          <w:i/>
          <w:color w:val="231F20"/>
          <w:w w:val="105"/>
          <w:sz w:val="21"/>
        </w:rPr>
        <w:t>Transnational</w:t>
      </w:r>
      <w:r>
        <w:rPr>
          <w:i/>
          <w:color w:val="231F20"/>
          <w:spacing w:val="-34"/>
          <w:w w:val="105"/>
          <w:sz w:val="21"/>
        </w:rPr>
        <w:t> </w:t>
      </w:r>
      <w:r>
        <w:rPr>
          <w:i/>
          <w:color w:val="231F20"/>
          <w:w w:val="105"/>
          <w:sz w:val="21"/>
        </w:rPr>
        <w:t>Corporations,</w:t>
      </w:r>
      <w:r>
        <w:rPr>
          <w:i/>
          <w:color w:val="231F20"/>
          <w:spacing w:val="-34"/>
          <w:w w:val="105"/>
          <w:sz w:val="21"/>
        </w:rPr>
        <w:t> </w:t>
      </w:r>
      <w:r>
        <w:rPr>
          <w:color w:val="231F20"/>
          <w:w w:val="105"/>
          <w:sz w:val="21"/>
        </w:rPr>
        <w:t>vol.</w:t>
      </w:r>
      <w:r>
        <w:rPr>
          <w:color w:val="231F20"/>
          <w:spacing w:val="-38"/>
          <w:w w:val="105"/>
          <w:sz w:val="21"/>
        </w:rPr>
        <w:t> </w:t>
      </w:r>
      <w:r>
        <w:rPr>
          <w:color w:val="231F20"/>
          <w:w w:val="105"/>
          <w:sz w:val="21"/>
        </w:rPr>
        <w:t>I,</w:t>
      </w:r>
      <w:r>
        <w:rPr>
          <w:color w:val="231F20"/>
          <w:spacing w:val="-38"/>
          <w:w w:val="105"/>
          <w:sz w:val="21"/>
        </w:rPr>
        <w:t> </w:t>
      </w:r>
      <w:r>
        <w:rPr>
          <w:color w:val="231F20"/>
          <w:w w:val="105"/>
          <w:sz w:val="21"/>
        </w:rPr>
        <w:t>num.</w:t>
      </w:r>
      <w:r>
        <w:rPr>
          <w:color w:val="231F20"/>
          <w:spacing w:val="-38"/>
          <w:w w:val="105"/>
          <w:sz w:val="21"/>
        </w:rPr>
        <w:t> </w:t>
      </w:r>
      <w:r>
        <w:rPr>
          <w:color w:val="231F20"/>
          <w:w w:val="105"/>
          <w:sz w:val="21"/>
        </w:rPr>
        <w:t>1</w:t>
      </w:r>
      <w:r>
        <w:rPr>
          <w:color w:val="231F20"/>
          <w:spacing w:val="-34"/>
          <w:w w:val="105"/>
          <w:sz w:val="21"/>
        </w:rPr>
        <w:t> </w:t>
      </w:r>
      <w:r>
        <w:rPr>
          <w:color w:val="231F20"/>
          <w:w w:val="105"/>
          <w:sz w:val="21"/>
        </w:rPr>
        <w:t>(February).</w:t>
      </w:r>
    </w:p>
    <w:p>
      <w:pPr>
        <w:pStyle w:val="BodyText"/>
        <w:spacing w:line="259" w:lineRule="auto"/>
        <w:ind w:left="854" w:right="122" w:hanging="738"/>
        <w:jc w:val="both"/>
      </w:pPr>
      <w:r>
        <w:rPr>
          <w:color w:val="231F20"/>
          <w:spacing w:val="-5"/>
        </w:rPr>
        <w:t>Porter, </w:t>
      </w:r>
      <w:r>
        <w:rPr>
          <w:color w:val="231F20"/>
        </w:rPr>
        <w:t>M. (1982). “Estrategia Competitiva: </w:t>
      </w:r>
      <w:r>
        <w:rPr>
          <w:color w:val="231F20"/>
          <w:spacing w:val="-3"/>
        </w:rPr>
        <w:t>Técnicas </w:t>
      </w:r>
      <w:r>
        <w:rPr>
          <w:color w:val="231F20"/>
        </w:rPr>
        <w:t>para el Análisis de los Sectores Industriales y de la </w:t>
      </w:r>
      <w:r>
        <w:rPr>
          <w:color w:val="231F20"/>
          <w:spacing w:val="-3"/>
        </w:rPr>
        <w:t>Competencia”, </w:t>
      </w:r>
      <w:r>
        <w:rPr>
          <w:color w:val="231F20"/>
        </w:rPr>
        <w:t>México, CECSA.</w:t>
      </w:r>
    </w:p>
    <w:p>
      <w:pPr>
        <w:spacing w:line="259" w:lineRule="auto" w:before="0"/>
        <w:ind w:left="854" w:right="122" w:hanging="737"/>
        <w:jc w:val="both"/>
        <w:rPr>
          <w:sz w:val="21"/>
        </w:rPr>
      </w:pPr>
      <w:r>
        <w:rPr>
          <w:color w:val="231F20"/>
          <w:sz w:val="21"/>
        </w:rPr>
        <w:t>–––––––</w:t>
      </w:r>
      <w:r>
        <w:rPr>
          <w:color w:val="231F20"/>
          <w:spacing w:val="-17"/>
          <w:sz w:val="21"/>
        </w:rPr>
        <w:t> </w:t>
      </w:r>
      <w:r>
        <w:rPr>
          <w:color w:val="231F20"/>
          <w:sz w:val="21"/>
        </w:rPr>
        <w:t>(1990).</w:t>
      </w:r>
      <w:r>
        <w:rPr>
          <w:color w:val="231F20"/>
          <w:spacing w:val="-22"/>
          <w:sz w:val="21"/>
        </w:rPr>
        <w:t> </w:t>
      </w:r>
      <w:r>
        <w:rPr>
          <w:i/>
          <w:color w:val="231F20"/>
          <w:sz w:val="21"/>
        </w:rPr>
        <w:t>The</w:t>
      </w:r>
      <w:r>
        <w:rPr>
          <w:i/>
          <w:color w:val="231F20"/>
          <w:spacing w:val="-17"/>
          <w:sz w:val="21"/>
        </w:rPr>
        <w:t> </w:t>
      </w:r>
      <w:r>
        <w:rPr>
          <w:i/>
          <w:color w:val="231F20"/>
          <w:sz w:val="21"/>
        </w:rPr>
        <w:t>competitiveness</w:t>
      </w:r>
      <w:r>
        <w:rPr>
          <w:i/>
          <w:color w:val="231F20"/>
          <w:spacing w:val="-17"/>
          <w:sz w:val="21"/>
        </w:rPr>
        <w:t> </w:t>
      </w:r>
      <w:r>
        <w:rPr>
          <w:i/>
          <w:color w:val="231F20"/>
          <w:sz w:val="21"/>
        </w:rPr>
        <w:t>advantage</w:t>
      </w:r>
      <w:r>
        <w:rPr>
          <w:i/>
          <w:color w:val="231F20"/>
          <w:spacing w:val="-17"/>
          <w:sz w:val="21"/>
        </w:rPr>
        <w:t> </w:t>
      </w:r>
      <w:r>
        <w:rPr>
          <w:i/>
          <w:color w:val="231F20"/>
          <w:sz w:val="21"/>
        </w:rPr>
        <w:t>of</w:t>
      </w:r>
      <w:r>
        <w:rPr>
          <w:i/>
          <w:color w:val="231F20"/>
          <w:spacing w:val="-14"/>
          <w:sz w:val="21"/>
        </w:rPr>
        <w:t> </w:t>
      </w:r>
      <w:r>
        <w:rPr>
          <w:i/>
          <w:color w:val="231F20"/>
          <w:sz w:val="21"/>
        </w:rPr>
        <w:t>nations.</w:t>
      </w:r>
      <w:r>
        <w:rPr>
          <w:i/>
          <w:color w:val="231F20"/>
          <w:spacing w:val="-22"/>
          <w:sz w:val="21"/>
        </w:rPr>
        <w:t> </w:t>
      </w:r>
      <w:r>
        <w:rPr>
          <w:color w:val="231F20"/>
          <w:sz w:val="21"/>
        </w:rPr>
        <w:t>New</w:t>
      </w:r>
      <w:r>
        <w:rPr>
          <w:color w:val="231F20"/>
          <w:spacing w:val="-21"/>
          <w:sz w:val="21"/>
        </w:rPr>
        <w:t> </w:t>
      </w:r>
      <w:r>
        <w:rPr>
          <w:color w:val="231F20"/>
          <w:spacing w:val="-4"/>
          <w:sz w:val="21"/>
        </w:rPr>
        <w:t>York:</w:t>
      </w:r>
      <w:r>
        <w:rPr>
          <w:color w:val="231F20"/>
          <w:spacing w:val="-17"/>
          <w:sz w:val="21"/>
        </w:rPr>
        <w:t> </w:t>
      </w:r>
      <w:r>
        <w:rPr>
          <w:color w:val="231F20"/>
          <w:spacing w:val="-4"/>
          <w:sz w:val="21"/>
        </w:rPr>
        <w:t>Free </w:t>
      </w:r>
      <w:r>
        <w:rPr>
          <w:color w:val="231F20"/>
          <w:spacing w:val="-3"/>
          <w:sz w:val="21"/>
        </w:rPr>
        <w:t>Press.</w:t>
      </w:r>
    </w:p>
    <w:p>
      <w:pPr>
        <w:spacing w:line="259" w:lineRule="auto" w:before="0"/>
        <w:ind w:left="853" w:right="122" w:hanging="737"/>
        <w:jc w:val="both"/>
        <w:rPr>
          <w:sz w:val="21"/>
        </w:rPr>
      </w:pPr>
      <w:r>
        <w:rPr>
          <w:color w:val="231F20"/>
          <w:sz w:val="21"/>
        </w:rPr>
        <w:t>–––––––</w:t>
      </w:r>
      <w:r>
        <w:rPr>
          <w:color w:val="231F20"/>
          <w:spacing w:val="-15"/>
          <w:sz w:val="21"/>
        </w:rPr>
        <w:t> </w:t>
      </w:r>
      <w:r>
        <w:rPr>
          <w:color w:val="231F20"/>
          <w:sz w:val="21"/>
        </w:rPr>
        <w:t>(1991).</w:t>
      </w:r>
      <w:r>
        <w:rPr>
          <w:color w:val="231F20"/>
          <w:spacing w:val="-20"/>
          <w:sz w:val="21"/>
        </w:rPr>
        <w:t> </w:t>
      </w:r>
      <w:r>
        <w:rPr>
          <w:i/>
          <w:color w:val="231F20"/>
          <w:sz w:val="21"/>
        </w:rPr>
        <w:t>La</w:t>
      </w:r>
      <w:r>
        <w:rPr>
          <w:i/>
          <w:color w:val="231F20"/>
          <w:spacing w:val="-15"/>
          <w:sz w:val="21"/>
        </w:rPr>
        <w:t> </w:t>
      </w:r>
      <w:r>
        <w:rPr>
          <w:i/>
          <w:color w:val="231F20"/>
          <w:sz w:val="21"/>
        </w:rPr>
        <w:t>ventaja</w:t>
      </w:r>
      <w:r>
        <w:rPr>
          <w:i/>
          <w:color w:val="231F20"/>
          <w:spacing w:val="-15"/>
          <w:sz w:val="21"/>
        </w:rPr>
        <w:t> </w:t>
      </w:r>
      <w:r>
        <w:rPr>
          <w:i/>
          <w:color w:val="231F20"/>
          <w:sz w:val="21"/>
        </w:rPr>
        <w:t>competitiva</w:t>
      </w:r>
      <w:r>
        <w:rPr>
          <w:i/>
          <w:color w:val="231F20"/>
          <w:spacing w:val="-15"/>
          <w:sz w:val="21"/>
        </w:rPr>
        <w:t> </w:t>
      </w:r>
      <w:r>
        <w:rPr>
          <w:i/>
          <w:color w:val="231F20"/>
          <w:sz w:val="21"/>
        </w:rPr>
        <w:t>de</w:t>
      </w:r>
      <w:r>
        <w:rPr>
          <w:i/>
          <w:color w:val="231F20"/>
          <w:spacing w:val="-15"/>
          <w:sz w:val="21"/>
        </w:rPr>
        <w:t> </w:t>
      </w:r>
      <w:r>
        <w:rPr>
          <w:i/>
          <w:color w:val="231F20"/>
          <w:sz w:val="21"/>
        </w:rPr>
        <w:t>las</w:t>
      </w:r>
      <w:r>
        <w:rPr>
          <w:i/>
          <w:color w:val="231F20"/>
          <w:spacing w:val="-15"/>
          <w:sz w:val="21"/>
        </w:rPr>
        <w:t> </w:t>
      </w:r>
      <w:r>
        <w:rPr>
          <w:i/>
          <w:color w:val="231F20"/>
          <w:sz w:val="21"/>
        </w:rPr>
        <w:t>naciones.</w:t>
      </w:r>
      <w:r>
        <w:rPr>
          <w:i/>
          <w:color w:val="231F20"/>
          <w:spacing w:val="-20"/>
          <w:sz w:val="21"/>
        </w:rPr>
        <w:t> </w:t>
      </w:r>
      <w:r>
        <w:rPr>
          <w:color w:val="231F20"/>
          <w:sz w:val="21"/>
        </w:rPr>
        <w:t>Barcelona</w:t>
      </w:r>
      <w:r>
        <w:rPr>
          <w:i/>
          <w:color w:val="231F20"/>
          <w:sz w:val="21"/>
        </w:rPr>
        <w:t>:</w:t>
      </w:r>
      <w:r>
        <w:rPr>
          <w:i/>
          <w:color w:val="231F20"/>
          <w:spacing w:val="-15"/>
          <w:sz w:val="21"/>
        </w:rPr>
        <w:t> </w:t>
      </w:r>
      <w:r>
        <w:rPr>
          <w:color w:val="231F20"/>
          <w:sz w:val="21"/>
        </w:rPr>
        <w:t>Plaza</w:t>
      </w:r>
      <w:r>
        <w:rPr>
          <w:color w:val="231F20"/>
          <w:spacing w:val="-15"/>
          <w:sz w:val="21"/>
        </w:rPr>
        <w:t> </w:t>
      </w:r>
      <w:r>
        <w:rPr>
          <w:color w:val="231F20"/>
          <w:sz w:val="21"/>
        </w:rPr>
        <w:t>y Janes.</w:t>
      </w:r>
    </w:p>
    <w:p>
      <w:pPr>
        <w:spacing w:line="259" w:lineRule="auto" w:before="0"/>
        <w:ind w:left="853" w:right="122" w:hanging="737"/>
        <w:jc w:val="both"/>
        <w:rPr>
          <w:sz w:val="21"/>
        </w:rPr>
      </w:pPr>
      <w:r>
        <w:rPr>
          <w:color w:val="231F20"/>
          <w:sz w:val="21"/>
        </w:rPr>
        <w:t>–––––––</w:t>
      </w:r>
      <w:r>
        <w:rPr>
          <w:color w:val="231F20"/>
          <w:spacing w:val="-16"/>
          <w:sz w:val="21"/>
        </w:rPr>
        <w:t> </w:t>
      </w:r>
      <w:r>
        <w:rPr>
          <w:color w:val="231F20"/>
          <w:sz w:val="21"/>
        </w:rPr>
        <w:t>(1999).</w:t>
      </w:r>
      <w:r>
        <w:rPr>
          <w:color w:val="231F20"/>
          <w:spacing w:val="-20"/>
          <w:sz w:val="21"/>
        </w:rPr>
        <w:t> </w:t>
      </w:r>
      <w:r>
        <w:rPr>
          <w:i/>
          <w:color w:val="231F20"/>
          <w:sz w:val="21"/>
        </w:rPr>
        <w:t>Ser</w:t>
      </w:r>
      <w:r>
        <w:rPr>
          <w:i/>
          <w:color w:val="231F20"/>
          <w:spacing w:val="-16"/>
          <w:sz w:val="21"/>
        </w:rPr>
        <w:t> </w:t>
      </w:r>
      <w:r>
        <w:rPr>
          <w:i/>
          <w:color w:val="231F20"/>
          <w:sz w:val="21"/>
        </w:rPr>
        <w:t>competitivo:</w:t>
      </w:r>
      <w:r>
        <w:rPr>
          <w:i/>
          <w:color w:val="231F20"/>
          <w:spacing w:val="-16"/>
          <w:sz w:val="21"/>
        </w:rPr>
        <w:t> </w:t>
      </w:r>
      <w:r>
        <w:rPr>
          <w:i/>
          <w:color w:val="231F20"/>
          <w:sz w:val="21"/>
        </w:rPr>
        <w:t>nuevas</w:t>
      </w:r>
      <w:r>
        <w:rPr>
          <w:i/>
          <w:color w:val="231F20"/>
          <w:spacing w:val="-16"/>
          <w:sz w:val="21"/>
        </w:rPr>
        <w:t> </w:t>
      </w:r>
      <w:r>
        <w:rPr>
          <w:i/>
          <w:color w:val="231F20"/>
          <w:sz w:val="21"/>
        </w:rPr>
        <w:t>aportaciones</w:t>
      </w:r>
      <w:r>
        <w:rPr>
          <w:i/>
          <w:color w:val="231F20"/>
          <w:spacing w:val="-16"/>
          <w:sz w:val="21"/>
        </w:rPr>
        <w:t> </w:t>
      </w:r>
      <w:r>
        <w:rPr>
          <w:i/>
          <w:color w:val="231F20"/>
          <w:sz w:val="21"/>
        </w:rPr>
        <w:t>y</w:t>
      </w:r>
      <w:r>
        <w:rPr>
          <w:i/>
          <w:color w:val="231F20"/>
          <w:spacing w:val="-16"/>
          <w:sz w:val="21"/>
        </w:rPr>
        <w:t> </w:t>
      </w:r>
      <w:r>
        <w:rPr>
          <w:i/>
          <w:color w:val="231F20"/>
          <w:sz w:val="21"/>
        </w:rPr>
        <w:t>conclusiones</w:t>
      </w:r>
      <w:r>
        <w:rPr>
          <w:color w:val="231F20"/>
          <w:sz w:val="21"/>
        </w:rPr>
        <w:t>.</w:t>
      </w:r>
      <w:r>
        <w:rPr>
          <w:color w:val="231F20"/>
          <w:spacing w:val="-20"/>
          <w:sz w:val="21"/>
        </w:rPr>
        <w:t> </w:t>
      </w:r>
      <w:r>
        <w:rPr>
          <w:color w:val="231F20"/>
          <w:sz w:val="21"/>
        </w:rPr>
        <w:t>Bar- celona:</w:t>
      </w:r>
      <w:r>
        <w:rPr>
          <w:color w:val="231F20"/>
          <w:spacing w:val="44"/>
          <w:sz w:val="21"/>
        </w:rPr>
        <w:t> </w:t>
      </w:r>
      <w:r>
        <w:rPr>
          <w:color w:val="231F20"/>
          <w:sz w:val="21"/>
        </w:rPr>
        <w:t>Deusto</w:t>
      </w:r>
    </w:p>
    <w:p>
      <w:pPr>
        <w:spacing w:line="259" w:lineRule="auto" w:before="0"/>
        <w:ind w:left="853" w:right="122" w:hanging="737"/>
        <w:jc w:val="both"/>
        <w:rPr>
          <w:sz w:val="21"/>
        </w:rPr>
      </w:pPr>
      <w:r>
        <w:rPr>
          <w:color w:val="231F20"/>
          <w:sz w:val="21"/>
        </w:rPr>
        <w:t>Peumans, H (1967). </w:t>
      </w:r>
      <w:r>
        <w:rPr>
          <w:i/>
          <w:color w:val="231F20"/>
          <w:sz w:val="21"/>
        </w:rPr>
        <w:t>Valoración de los Proyectos de Inversión</w:t>
      </w:r>
      <w:r>
        <w:rPr>
          <w:color w:val="231F20"/>
          <w:sz w:val="21"/>
        </w:rPr>
        <w:t>. Ediciones Deusto. Bilbao.</w:t>
      </w:r>
    </w:p>
    <w:p>
      <w:pPr>
        <w:pStyle w:val="BodyText"/>
        <w:spacing w:line="259" w:lineRule="auto"/>
        <w:ind w:left="853" w:right="116" w:hanging="738"/>
        <w:jc w:val="both"/>
      </w:pPr>
      <w:r>
        <w:rPr>
          <w:color w:val="231F20"/>
          <w:w w:val="105"/>
        </w:rPr>
        <w:t>Ramírez</w:t>
      </w:r>
      <w:r>
        <w:rPr>
          <w:color w:val="231F20"/>
          <w:spacing w:val="-27"/>
          <w:w w:val="105"/>
        </w:rPr>
        <w:t> </w:t>
      </w:r>
      <w:r>
        <w:rPr>
          <w:color w:val="231F20"/>
          <w:w w:val="105"/>
        </w:rPr>
        <w:t>C.E.</w:t>
      </w:r>
      <w:r>
        <w:rPr>
          <w:color w:val="231F20"/>
          <w:spacing w:val="-30"/>
          <w:w w:val="105"/>
        </w:rPr>
        <w:t> </w:t>
      </w:r>
      <w:r>
        <w:rPr>
          <w:color w:val="231F20"/>
          <w:w w:val="105"/>
        </w:rPr>
        <w:t>y</w:t>
      </w:r>
      <w:r>
        <w:rPr>
          <w:color w:val="231F20"/>
          <w:spacing w:val="-27"/>
          <w:w w:val="105"/>
        </w:rPr>
        <w:t> </w:t>
      </w:r>
      <w:r>
        <w:rPr>
          <w:color w:val="231F20"/>
          <w:w w:val="105"/>
        </w:rPr>
        <w:t>Florez,</w:t>
      </w:r>
      <w:r>
        <w:rPr>
          <w:color w:val="231F20"/>
          <w:spacing w:val="-30"/>
          <w:w w:val="105"/>
        </w:rPr>
        <w:t> </w:t>
      </w:r>
      <w:r>
        <w:rPr>
          <w:color w:val="231F20"/>
          <w:w w:val="105"/>
        </w:rPr>
        <w:t>I.</w:t>
      </w:r>
      <w:r>
        <w:rPr>
          <w:color w:val="231F20"/>
          <w:spacing w:val="-30"/>
          <w:w w:val="105"/>
        </w:rPr>
        <w:t> </w:t>
      </w:r>
      <w:r>
        <w:rPr>
          <w:color w:val="231F20"/>
          <w:w w:val="105"/>
        </w:rPr>
        <w:t>(2006).</w:t>
      </w:r>
      <w:r>
        <w:rPr>
          <w:color w:val="231F20"/>
          <w:spacing w:val="-30"/>
          <w:w w:val="105"/>
        </w:rPr>
        <w:t> </w:t>
      </w:r>
      <w:r>
        <w:rPr>
          <w:color w:val="231F20"/>
          <w:w w:val="105"/>
        </w:rPr>
        <w:t>“Apuntes</w:t>
      </w:r>
      <w:r>
        <w:rPr>
          <w:color w:val="231F20"/>
          <w:spacing w:val="-27"/>
          <w:w w:val="105"/>
        </w:rPr>
        <w:t> </w:t>
      </w:r>
      <w:r>
        <w:rPr>
          <w:color w:val="231F20"/>
          <w:w w:val="105"/>
        </w:rPr>
        <w:t>de</w:t>
      </w:r>
      <w:r>
        <w:rPr>
          <w:color w:val="231F20"/>
          <w:spacing w:val="-27"/>
          <w:w w:val="105"/>
        </w:rPr>
        <w:t> </w:t>
      </w:r>
      <w:r>
        <w:rPr>
          <w:color w:val="231F20"/>
          <w:w w:val="105"/>
        </w:rPr>
        <w:t>inversión</w:t>
      </w:r>
      <w:r>
        <w:rPr>
          <w:color w:val="231F20"/>
          <w:spacing w:val="-27"/>
          <w:w w:val="105"/>
        </w:rPr>
        <w:t> </w:t>
      </w:r>
      <w:r>
        <w:rPr>
          <w:color w:val="231F20"/>
          <w:w w:val="105"/>
        </w:rPr>
        <w:t>extranjera</w:t>
      </w:r>
      <w:r>
        <w:rPr>
          <w:color w:val="231F20"/>
          <w:spacing w:val="-27"/>
          <w:w w:val="105"/>
        </w:rPr>
        <w:t> </w:t>
      </w:r>
      <w:r>
        <w:rPr>
          <w:color w:val="231F20"/>
          <w:w w:val="105"/>
        </w:rPr>
        <w:t>directa: definiciones,</w:t>
      </w:r>
      <w:r>
        <w:rPr>
          <w:color w:val="231F20"/>
          <w:spacing w:val="-16"/>
          <w:w w:val="105"/>
        </w:rPr>
        <w:t> </w:t>
      </w:r>
      <w:r>
        <w:rPr>
          <w:color w:val="231F20"/>
          <w:w w:val="105"/>
        </w:rPr>
        <w:t>tipología</w:t>
      </w:r>
      <w:r>
        <w:rPr>
          <w:color w:val="231F20"/>
          <w:spacing w:val="-11"/>
          <w:w w:val="105"/>
        </w:rPr>
        <w:t> </w:t>
      </w:r>
      <w:r>
        <w:rPr>
          <w:color w:val="231F20"/>
          <w:w w:val="105"/>
        </w:rPr>
        <w:t>y</w:t>
      </w:r>
      <w:r>
        <w:rPr>
          <w:color w:val="231F20"/>
          <w:spacing w:val="-11"/>
          <w:w w:val="105"/>
        </w:rPr>
        <w:t> </w:t>
      </w:r>
      <w:r>
        <w:rPr>
          <w:color w:val="231F20"/>
          <w:w w:val="105"/>
        </w:rPr>
        <w:t>casos</w:t>
      </w:r>
      <w:r>
        <w:rPr>
          <w:color w:val="231F20"/>
          <w:spacing w:val="-11"/>
          <w:w w:val="105"/>
        </w:rPr>
        <w:t> </w:t>
      </w:r>
      <w:r>
        <w:rPr>
          <w:color w:val="231F20"/>
          <w:w w:val="105"/>
        </w:rPr>
        <w:t>de</w:t>
      </w:r>
      <w:r>
        <w:rPr>
          <w:color w:val="231F20"/>
          <w:spacing w:val="-11"/>
          <w:w w:val="105"/>
        </w:rPr>
        <w:t> </w:t>
      </w:r>
      <w:r>
        <w:rPr>
          <w:color w:val="231F20"/>
          <w:w w:val="105"/>
        </w:rPr>
        <w:t>aplicación</w:t>
      </w:r>
      <w:r>
        <w:rPr>
          <w:color w:val="231F20"/>
          <w:spacing w:val="-11"/>
          <w:w w:val="105"/>
        </w:rPr>
        <w:t> </w:t>
      </w:r>
      <w:r>
        <w:rPr>
          <w:color w:val="231F20"/>
          <w:w w:val="105"/>
        </w:rPr>
        <w:t>colombianos”.</w:t>
      </w:r>
      <w:r>
        <w:rPr>
          <w:color w:val="231F20"/>
          <w:spacing w:val="-16"/>
          <w:w w:val="105"/>
        </w:rPr>
        <w:t> </w:t>
      </w:r>
      <w:r>
        <w:rPr>
          <w:color w:val="231F20"/>
          <w:w w:val="105"/>
        </w:rPr>
        <w:t>núm.</w:t>
      </w:r>
    </w:p>
    <w:p>
      <w:pPr>
        <w:pStyle w:val="BodyText"/>
        <w:spacing w:line="259" w:lineRule="auto"/>
        <w:ind w:left="853" w:right="122"/>
        <w:jc w:val="both"/>
      </w:pPr>
      <w:r>
        <w:rPr>
          <w:color w:val="231F20"/>
          <w:w w:val="105"/>
        </w:rPr>
        <w:t>8.</w:t>
      </w:r>
      <w:r>
        <w:rPr>
          <w:color w:val="231F20"/>
          <w:spacing w:val="-41"/>
          <w:w w:val="105"/>
        </w:rPr>
        <w:t> </w:t>
      </w:r>
      <w:r>
        <w:rPr>
          <w:color w:val="231F20"/>
          <w:w w:val="105"/>
        </w:rPr>
        <w:t>Universidad</w:t>
      </w:r>
      <w:r>
        <w:rPr>
          <w:color w:val="231F20"/>
          <w:spacing w:val="-37"/>
          <w:w w:val="105"/>
        </w:rPr>
        <w:t> </w:t>
      </w:r>
      <w:r>
        <w:rPr>
          <w:color w:val="231F20"/>
          <w:w w:val="105"/>
        </w:rPr>
        <w:t>ICESI.</w:t>
      </w:r>
      <w:r>
        <w:rPr>
          <w:color w:val="231F20"/>
          <w:spacing w:val="-41"/>
          <w:w w:val="105"/>
        </w:rPr>
        <w:t> </w:t>
      </w:r>
      <w:r>
        <w:rPr>
          <w:color w:val="231F20"/>
          <w:w w:val="105"/>
        </w:rPr>
        <w:t>Departamento</w:t>
      </w:r>
      <w:r>
        <w:rPr>
          <w:color w:val="231F20"/>
          <w:spacing w:val="-37"/>
          <w:w w:val="105"/>
        </w:rPr>
        <w:t> </w:t>
      </w:r>
      <w:r>
        <w:rPr>
          <w:color w:val="231F20"/>
          <w:w w:val="105"/>
        </w:rPr>
        <w:t>de</w:t>
      </w:r>
      <w:r>
        <w:rPr>
          <w:color w:val="231F20"/>
          <w:spacing w:val="-37"/>
          <w:w w:val="105"/>
        </w:rPr>
        <w:t> </w:t>
      </w:r>
      <w:r>
        <w:rPr>
          <w:color w:val="231F20"/>
          <w:w w:val="105"/>
        </w:rPr>
        <w:t>Economía.</w:t>
      </w:r>
      <w:r>
        <w:rPr>
          <w:color w:val="231F20"/>
          <w:spacing w:val="-41"/>
          <w:w w:val="105"/>
        </w:rPr>
        <w:t> </w:t>
      </w:r>
      <w:r>
        <w:rPr>
          <w:color w:val="231F20"/>
          <w:w w:val="105"/>
        </w:rPr>
        <w:t>Disponible</w:t>
      </w:r>
      <w:r>
        <w:rPr>
          <w:color w:val="231F20"/>
          <w:spacing w:val="-37"/>
          <w:w w:val="105"/>
        </w:rPr>
        <w:t> </w:t>
      </w:r>
      <w:r>
        <w:rPr>
          <w:color w:val="231F20"/>
          <w:w w:val="105"/>
        </w:rPr>
        <w:t>en: </w:t>
      </w:r>
      <w:hyperlink r:id="rId132">
        <w:r>
          <w:rPr>
            <w:color w:val="231F20"/>
            <w:spacing w:val="1"/>
            <w:w w:val="105"/>
          </w:rPr>
          <w:t>http://www.icesi.edu.co/departamentos/economia/publicacio-</w:t>
        </w:r>
      </w:hyperlink>
      <w:r>
        <w:rPr>
          <w:color w:val="231F20"/>
          <w:spacing w:val="1"/>
          <w:w w:val="105"/>
        </w:rPr>
        <w:t> </w:t>
      </w:r>
      <w:r>
        <w:rPr>
          <w:color w:val="231F20"/>
          <w:w w:val="105"/>
        </w:rPr>
        <w:t>nes/docs/Apecon8.pdf</w:t>
      </w:r>
    </w:p>
    <w:p>
      <w:pPr>
        <w:spacing w:after="0" w:line="259" w:lineRule="auto"/>
        <w:jc w:val="both"/>
        <w:sectPr>
          <w:pgSz w:w="9640" w:h="13890"/>
          <w:pgMar w:top="0" w:bottom="280" w:left="1300" w:right="1180"/>
        </w:sectPr>
      </w:pPr>
    </w:p>
    <w:p>
      <w:pPr>
        <w:spacing w:line="259" w:lineRule="auto" w:before="120"/>
        <w:ind w:left="841" w:right="115" w:hanging="738"/>
        <w:jc w:val="both"/>
        <w:rPr>
          <w:sz w:val="21"/>
        </w:rPr>
      </w:pPr>
      <w:r>
        <w:rPr>
          <w:color w:val="231F20"/>
          <w:sz w:val="21"/>
        </w:rPr>
        <w:t>Richardson, B. (1955). “Schumpeter’s history of economic analysis”. </w:t>
      </w:r>
      <w:r>
        <w:rPr>
          <w:i/>
          <w:color w:val="231F20"/>
          <w:sz w:val="21"/>
        </w:rPr>
        <w:t>Ox- </w:t>
      </w:r>
      <w:r>
        <w:rPr>
          <w:i/>
          <w:color w:val="231F20"/>
          <w:sz w:val="21"/>
        </w:rPr>
        <w:t>ford Economic Papers, </w:t>
      </w:r>
      <w:r>
        <w:rPr>
          <w:color w:val="231F20"/>
          <w:sz w:val="21"/>
        </w:rPr>
        <w:t>vol 7, núm. 2.</w:t>
      </w:r>
    </w:p>
    <w:p>
      <w:pPr>
        <w:spacing w:line="259" w:lineRule="auto" w:before="0"/>
        <w:ind w:left="841" w:right="114" w:hanging="738"/>
        <w:jc w:val="both"/>
        <w:rPr>
          <w:sz w:val="21"/>
        </w:rPr>
      </w:pPr>
      <w:r>
        <w:rPr>
          <w:color w:val="231F20"/>
          <w:w w:val="105"/>
          <w:sz w:val="21"/>
        </w:rPr>
        <w:t>Rugman, A. (1983). </w:t>
      </w:r>
      <w:r>
        <w:rPr>
          <w:i/>
          <w:color w:val="231F20"/>
          <w:w w:val="105"/>
          <w:sz w:val="21"/>
        </w:rPr>
        <w:t>Inside the multinationals: the economics of</w:t>
      </w:r>
      <w:r>
        <w:rPr>
          <w:i/>
          <w:color w:val="231F20"/>
          <w:spacing w:val="-38"/>
          <w:w w:val="105"/>
          <w:sz w:val="21"/>
        </w:rPr>
        <w:t> </w:t>
      </w:r>
      <w:r>
        <w:rPr>
          <w:i/>
          <w:color w:val="231F20"/>
          <w:w w:val="105"/>
          <w:sz w:val="21"/>
        </w:rPr>
        <w:t>interna- </w:t>
      </w:r>
      <w:r>
        <w:rPr>
          <w:i/>
          <w:color w:val="231F20"/>
          <w:w w:val="105"/>
          <w:sz w:val="21"/>
        </w:rPr>
        <w:t>tional</w:t>
      </w:r>
      <w:r>
        <w:rPr>
          <w:i/>
          <w:color w:val="231F20"/>
          <w:spacing w:val="-36"/>
          <w:w w:val="105"/>
          <w:sz w:val="21"/>
        </w:rPr>
        <w:t> </w:t>
      </w:r>
      <w:r>
        <w:rPr>
          <w:i/>
          <w:color w:val="231F20"/>
          <w:w w:val="105"/>
          <w:sz w:val="21"/>
        </w:rPr>
        <w:t>markets.</w:t>
      </w:r>
      <w:r>
        <w:rPr>
          <w:i/>
          <w:color w:val="231F20"/>
          <w:spacing w:val="-36"/>
          <w:w w:val="105"/>
          <w:sz w:val="21"/>
        </w:rPr>
        <w:t> </w:t>
      </w:r>
      <w:r>
        <w:rPr>
          <w:color w:val="231F20"/>
          <w:w w:val="105"/>
          <w:sz w:val="21"/>
        </w:rPr>
        <w:t>Nuew</w:t>
      </w:r>
      <w:r>
        <w:rPr>
          <w:color w:val="231F20"/>
          <w:spacing w:val="-38"/>
          <w:w w:val="105"/>
          <w:sz w:val="21"/>
        </w:rPr>
        <w:t> </w:t>
      </w:r>
      <w:r>
        <w:rPr>
          <w:color w:val="231F20"/>
          <w:spacing w:val="-4"/>
          <w:w w:val="105"/>
          <w:sz w:val="21"/>
        </w:rPr>
        <w:t>York:</w:t>
      </w:r>
      <w:r>
        <w:rPr>
          <w:color w:val="231F20"/>
          <w:spacing w:val="-36"/>
          <w:w w:val="105"/>
          <w:sz w:val="21"/>
        </w:rPr>
        <w:t> </w:t>
      </w:r>
      <w:r>
        <w:rPr>
          <w:color w:val="231F20"/>
          <w:w w:val="105"/>
          <w:sz w:val="21"/>
        </w:rPr>
        <w:t>Columbia</w:t>
      </w:r>
      <w:r>
        <w:rPr>
          <w:color w:val="231F20"/>
          <w:spacing w:val="-36"/>
          <w:w w:val="105"/>
          <w:sz w:val="21"/>
        </w:rPr>
        <w:t> </w:t>
      </w:r>
      <w:r>
        <w:rPr>
          <w:color w:val="231F20"/>
          <w:w w:val="105"/>
          <w:sz w:val="21"/>
        </w:rPr>
        <w:t>University</w:t>
      </w:r>
      <w:r>
        <w:rPr>
          <w:color w:val="231F20"/>
          <w:spacing w:val="-36"/>
          <w:w w:val="105"/>
          <w:sz w:val="21"/>
        </w:rPr>
        <w:t> </w:t>
      </w:r>
      <w:r>
        <w:rPr>
          <w:color w:val="231F20"/>
          <w:spacing w:val="-3"/>
          <w:w w:val="105"/>
          <w:sz w:val="21"/>
        </w:rPr>
        <w:t>Press.</w:t>
      </w:r>
    </w:p>
    <w:p>
      <w:pPr>
        <w:spacing w:line="259" w:lineRule="auto" w:before="0"/>
        <w:ind w:left="841" w:right="114" w:hanging="738"/>
        <w:jc w:val="both"/>
        <w:rPr>
          <w:sz w:val="21"/>
        </w:rPr>
      </w:pPr>
      <w:r>
        <w:rPr>
          <w:color w:val="231F20"/>
          <w:w w:val="105"/>
          <w:sz w:val="21"/>
        </w:rPr>
        <w:t>Rugman,</w:t>
      </w:r>
      <w:r>
        <w:rPr>
          <w:color w:val="231F20"/>
          <w:spacing w:val="-14"/>
          <w:w w:val="105"/>
          <w:sz w:val="21"/>
        </w:rPr>
        <w:t> </w:t>
      </w:r>
      <w:r>
        <w:rPr>
          <w:color w:val="231F20"/>
          <w:w w:val="105"/>
          <w:sz w:val="21"/>
        </w:rPr>
        <w:t>A.</w:t>
      </w:r>
      <w:r>
        <w:rPr>
          <w:color w:val="231F20"/>
          <w:spacing w:val="-11"/>
          <w:w w:val="105"/>
          <w:sz w:val="21"/>
        </w:rPr>
        <w:t> </w:t>
      </w:r>
      <w:r>
        <w:rPr>
          <w:color w:val="231F20"/>
          <w:w w:val="105"/>
          <w:sz w:val="21"/>
        </w:rPr>
        <w:t>y</w:t>
      </w:r>
      <w:r>
        <w:rPr>
          <w:color w:val="231F20"/>
          <w:spacing w:val="-9"/>
          <w:w w:val="105"/>
          <w:sz w:val="21"/>
        </w:rPr>
        <w:t> </w:t>
      </w:r>
      <w:r>
        <w:rPr>
          <w:color w:val="231F20"/>
          <w:w w:val="105"/>
          <w:sz w:val="21"/>
        </w:rPr>
        <w:t>Waverman,</w:t>
      </w:r>
      <w:r>
        <w:rPr>
          <w:color w:val="231F20"/>
          <w:spacing w:val="-11"/>
          <w:w w:val="105"/>
          <w:sz w:val="21"/>
        </w:rPr>
        <w:t> </w:t>
      </w:r>
      <w:r>
        <w:rPr>
          <w:color w:val="231F20"/>
          <w:w w:val="105"/>
          <w:sz w:val="21"/>
        </w:rPr>
        <w:t>L.</w:t>
      </w:r>
      <w:r>
        <w:rPr>
          <w:color w:val="231F20"/>
          <w:spacing w:val="-11"/>
          <w:w w:val="105"/>
          <w:sz w:val="21"/>
        </w:rPr>
        <w:t> </w:t>
      </w:r>
      <w:r>
        <w:rPr>
          <w:color w:val="231F20"/>
          <w:w w:val="105"/>
          <w:sz w:val="21"/>
        </w:rPr>
        <w:t>(1991).</w:t>
      </w:r>
      <w:r>
        <w:rPr>
          <w:color w:val="231F20"/>
          <w:spacing w:val="-11"/>
          <w:w w:val="105"/>
          <w:sz w:val="21"/>
        </w:rPr>
        <w:t> </w:t>
      </w:r>
      <w:r>
        <w:rPr>
          <w:color w:val="231F20"/>
          <w:w w:val="105"/>
          <w:sz w:val="21"/>
        </w:rPr>
        <w:t>“Foreign</w:t>
      </w:r>
      <w:r>
        <w:rPr>
          <w:color w:val="231F20"/>
          <w:spacing w:val="-7"/>
          <w:w w:val="105"/>
          <w:sz w:val="21"/>
        </w:rPr>
        <w:t> </w:t>
      </w:r>
      <w:r>
        <w:rPr>
          <w:color w:val="231F20"/>
          <w:w w:val="105"/>
          <w:sz w:val="21"/>
        </w:rPr>
        <w:t>Ownership</w:t>
      </w:r>
      <w:r>
        <w:rPr>
          <w:color w:val="231F20"/>
          <w:spacing w:val="-7"/>
          <w:w w:val="105"/>
          <w:sz w:val="21"/>
        </w:rPr>
        <w:t> </w:t>
      </w:r>
      <w:r>
        <w:rPr>
          <w:color w:val="231F20"/>
          <w:w w:val="105"/>
          <w:sz w:val="21"/>
        </w:rPr>
        <w:t>and</w:t>
      </w:r>
      <w:r>
        <w:rPr>
          <w:color w:val="231F20"/>
          <w:spacing w:val="-7"/>
          <w:w w:val="105"/>
          <w:sz w:val="21"/>
        </w:rPr>
        <w:t> </w:t>
      </w:r>
      <w:r>
        <w:rPr>
          <w:color w:val="231F20"/>
          <w:w w:val="105"/>
          <w:sz w:val="21"/>
        </w:rPr>
        <w:t>Corporate Strategy”</w:t>
      </w:r>
      <w:r>
        <w:rPr>
          <w:color w:val="231F20"/>
          <w:spacing w:val="-31"/>
          <w:w w:val="105"/>
          <w:sz w:val="21"/>
        </w:rPr>
        <w:t> </w:t>
      </w:r>
      <w:r>
        <w:rPr>
          <w:color w:val="231F20"/>
          <w:w w:val="105"/>
          <w:sz w:val="21"/>
        </w:rPr>
        <w:t>en:</w:t>
      </w:r>
      <w:r>
        <w:rPr>
          <w:color w:val="231F20"/>
          <w:spacing w:val="-31"/>
          <w:w w:val="105"/>
          <w:sz w:val="21"/>
        </w:rPr>
        <w:t> </w:t>
      </w:r>
      <w:r>
        <w:rPr>
          <w:color w:val="231F20"/>
          <w:w w:val="105"/>
          <w:sz w:val="21"/>
        </w:rPr>
        <w:t>L.</w:t>
      </w:r>
      <w:r>
        <w:rPr>
          <w:color w:val="231F20"/>
          <w:spacing w:val="-37"/>
          <w:w w:val="105"/>
          <w:sz w:val="21"/>
        </w:rPr>
        <w:t> </w:t>
      </w:r>
      <w:r>
        <w:rPr>
          <w:color w:val="231F20"/>
          <w:w w:val="105"/>
          <w:sz w:val="21"/>
        </w:rPr>
        <w:t>Waverman</w:t>
      </w:r>
      <w:r>
        <w:rPr>
          <w:color w:val="231F20"/>
          <w:spacing w:val="-31"/>
          <w:w w:val="105"/>
          <w:sz w:val="21"/>
        </w:rPr>
        <w:t> </w:t>
      </w:r>
      <w:r>
        <w:rPr>
          <w:color w:val="231F20"/>
          <w:w w:val="105"/>
          <w:sz w:val="21"/>
        </w:rPr>
        <w:t>(ed.):</w:t>
      </w:r>
      <w:r>
        <w:rPr>
          <w:color w:val="231F20"/>
          <w:spacing w:val="-31"/>
          <w:w w:val="105"/>
          <w:sz w:val="21"/>
        </w:rPr>
        <w:t> </w:t>
      </w:r>
      <w:r>
        <w:rPr>
          <w:i/>
          <w:color w:val="231F20"/>
          <w:w w:val="105"/>
          <w:sz w:val="21"/>
        </w:rPr>
        <w:t>Corporate</w:t>
      </w:r>
      <w:r>
        <w:rPr>
          <w:i/>
          <w:color w:val="231F20"/>
          <w:spacing w:val="-31"/>
          <w:w w:val="105"/>
          <w:sz w:val="21"/>
        </w:rPr>
        <w:t> </w:t>
      </w:r>
      <w:r>
        <w:rPr>
          <w:i/>
          <w:color w:val="231F20"/>
          <w:w w:val="105"/>
          <w:sz w:val="21"/>
        </w:rPr>
        <w:t>Globalization</w:t>
      </w:r>
      <w:r>
        <w:rPr>
          <w:i/>
          <w:color w:val="231F20"/>
          <w:spacing w:val="-31"/>
          <w:w w:val="105"/>
          <w:sz w:val="21"/>
        </w:rPr>
        <w:t> </w:t>
      </w:r>
      <w:r>
        <w:rPr>
          <w:i/>
          <w:color w:val="231F20"/>
          <w:w w:val="105"/>
          <w:sz w:val="21"/>
        </w:rPr>
        <w:t>through </w:t>
      </w:r>
      <w:r>
        <w:rPr>
          <w:i/>
          <w:color w:val="231F20"/>
          <w:w w:val="105"/>
          <w:sz w:val="21"/>
        </w:rPr>
        <w:t>Mergers</w:t>
      </w:r>
      <w:r>
        <w:rPr>
          <w:i/>
          <w:color w:val="231F20"/>
          <w:spacing w:val="-40"/>
          <w:w w:val="105"/>
          <w:sz w:val="21"/>
        </w:rPr>
        <w:t> </w:t>
      </w:r>
      <w:r>
        <w:rPr>
          <w:i/>
          <w:color w:val="231F20"/>
          <w:w w:val="105"/>
          <w:sz w:val="21"/>
        </w:rPr>
        <w:t>and</w:t>
      </w:r>
      <w:r>
        <w:rPr>
          <w:i/>
          <w:color w:val="231F20"/>
          <w:spacing w:val="-42"/>
          <w:w w:val="105"/>
          <w:sz w:val="21"/>
        </w:rPr>
        <w:t> </w:t>
      </w:r>
      <w:r>
        <w:rPr>
          <w:i/>
          <w:color w:val="231F20"/>
          <w:w w:val="105"/>
          <w:sz w:val="21"/>
        </w:rPr>
        <w:t>Acquisitions.</w:t>
      </w:r>
      <w:r>
        <w:rPr>
          <w:i/>
          <w:color w:val="231F20"/>
          <w:spacing w:val="-40"/>
          <w:w w:val="105"/>
          <w:sz w:val="21"/>
        </w:rPr>
        <w:t> </w:t>
      </w:r>
      <w:r>
        <w:rPr>
          <w:color w:val="231F20"/>
          <w:w w:val="105"/>
          <w:sz w:val="21"/>
        </w:rPr>
        <w:t>Calgary:</w:t>
      </w:r>
      <w:r>
        <w:rPr>
          <w:color w:val="231F20"/>
          <w:spacing w:val="-40"/>
          <w:w w:val="105"/>
          <w:sz w:val="21"/>
        </w:rPr>
        <w:t> </w:t>
      </w:r>
      <w:r>
        <w:rPr>
          <w:color w:val="231F20"/>
          <w:w w:val="105"/>
          <w:sz w:val="21"/>
        </w:rPr>
        <w:t>University</w:t>
      </w:r>
      <w:r>
        <w:rPr>
          <w:color w:val="231F20"/>
          <w:spacing w:val="-40"/>
          <w:w w:val="105"/>
          <w:sz w:val="21"/>
        </w:rPr>
        <w:t> </w:t>
      </w:r>
      <w:r>
        <w:rPr>
          <w:color w:val="231F20"/>
          <w:w w:val="105"/>
          <w:sz w:val="21"/>
        </w:rPr>
        <w:t>of</w:t>
      </w:r>
      <w:r>
        <w:rPr>
          <w:color w:val="231F20"/>
          <w:spacing w:val="-38"/>
          <w:w w:val="105"/>
          <w:sz w:val="21"/>
        </w:rPr>
        <w:t> </w:t>
      </w:r>
      <w:r>
        <w:rPr>
          <w:color w:val="231F20"/>
          <w:w w:val="105"/>
          <w:sz w:val="21"/>
        </w:rPr>
        <w:t>Calgary</w:t>
      </w:r>
      <w:r>
        <w:rPr>
          <w:color w:val="231F20"/>
          <w:spacing w:val="-40"/>
          <w:w w:val="105"/>
          <w:sz w:val="21"/>
        </w:rPr>
        <w:t> </w:t>
      </w:r>
      <w:r>
        <w:rPr>
          <w:color w:val="231F20"/>
          <w:spacing w:val="-3"/>
          <w:w w:val="105"/>
          <w:sz w:val="21"/>
        </w:rPr>
        <w:t>Press,</w:t>
      </w:r>
      <w:r>
        <w:rPr>
          <w:color w:val="231F20"/>
          <w:spacing w:val="-43"/>
          <w:w w:val="105"/>
          <w:sz w:val="21"/>
        </w:rPr>
        <w:t> </w:t>
      </w:r>
      <w:r>
        <w:rPr>
          <w:color w:val="231F20"/>
          <w:w w:val="105"/>
          <w:sz w:val="21"/>
        </w:rPr>
        <w:t>In- vestment</w:t>
      </w:r>
      <w:r>
        <w:rPr>
          <w:color w:val="231F20"/>
          <w:spacing w:val="-28"/>
          <w:w w:val="105"/>
          <w:sz w:val="21"/>
        </w:rPr>
        <w:t> </w:t>
      </w:r>
      <w:r>
        <w:rPr>
          <w:color w:val="231F20"/>
          <w:w w:val="105"/>
          <w:sz w:val="21"/>
        </w:rPr>
        <w:t>Canada</w:t>
      </w:r>
      <w:r>
        <w:rPr>
          <w:color w:val="231F20"/>
          <w:spacing w:val="-28"/>
          <w:w w:val="105"/>
          <w:sz w:val="21"/>
        </w:rPr>
        <w:t> </w:t>
      </w:r>
      <w:r>
        <w:rPr>
          <w:color w:val="231F20"/>
          <w:w w:val="105"/>
          <w:sz w:val="21"/>
        </w:rPr>
        <w:t>and</w:t>
      </w:r>
      <w:r>
        <w:rPr>
          <w:color w:val="231F20"/>
          <w:spacing w:val="-28"/>
          <w:w w:val="105"/>
          <w:sz w:val="21"/>
        </w:rPr>
        <w:t> </w:t>
      </w:r>
      <w:r>
        <w:rPr>
          <w:color w:val="231F20"/>
          <w:w w:val="105"/>
          <w:sz w:val="21"/>
        </w:rPr>
        <w:t>Canada</w:t>
      </w:r>
      <w:r>
        <w:rPr>
          <w:color w:val="231F20"/>
          <w:spacing w:val="-28"/>
          <w:w w:val="105"/>
          <w:sz w:val="21"/>
        </w:rPr>
        <w:t> </w:t>
      </w:r>
      <w:r>
        <w:rPr>
          <w:color w:val="231F20"/>
          <w:w w:val="105"/>
          <w:sz w:val="21"/>
        </w:rPr>
        <w:t>Communication</w:t>
      </w:r>
      <w:r>
        <w:rPr>
          <w:color w:val="231F20"/>
          <w:spacing w:val="-28"/>
          <w:w w:val="105"/>
          <w:sz w:val="21"/>
        </w:rPr>
        <w:t> </w:t>
      </w:r>
      <w:r>
        <w:rPr>
          <w:color w:val="231F20"/>
          <w:w w:val="105"/>
          <w:sz w:val="21"/>
        </w:rPr>
        <w:t>Group.</w:t>
      </w:r>
    </w:p>
    <w:p>
      <w:pPr>
        <w:spacing w:line="259" w:lineRule="auto" w:before="0"/>
        <w:ind w:left="841" w:right="115" w:hanging="738"/>
        <w:jc w:val="both"/>
        <w:rPr>
          <w:sz w:val="21"/>
        </w:rPr>
      </w:pPr>
      <w:r>
        <w:rPr>
          <w:color w:val="231F20"/>
          <w:w w:val="105"/>
          <w:sz w:val="21"/>
        </w:rPr>
        <w:t>Schumpeter,</w:t>
      </w:r>
      <w:r>
        <w:rPr>
          <w:color w:val="231F20"/>
          <w:spacing w:val="-38"/>
          <w:w w:val="105"/>
          <w:sz w:val="21"/>
        </w:rPr>
        <w:t> </w:t>
      </w:r>
      <w:r>
        <w:rPr>
          <w:color w:val="231F20"/>
          <w:w w:val="105"/>
          <w:sz w:val="21"/>
        </w:rPr>
        <w:t>A.</w:t>
      </w:r>
      <w:r>
        <w:rPr>
          <w:color w:val="231F20"/>
          <w:spacing w:val="-36"/>
          <w:w w:val="105"/>
          <w:sz w:val="21"/>
        </w:rPr>
        <w:t> </w:t>
      </w:r>
      <w:r>
        <w:rPr>
          <w:color w:val="231F20"/>
          <w:w w:val="105"/>
          <w:sz w:val="21"/>
        </w:rPr>
        <w:t>(1954).</w:t>
      </w:r>
      <w:r>
        <w:rPr>
          <w:color w:val="231F20"/>
          <w:spacing w:val="-36"/>
          <w:w w:val="105"/>
          <w:sz w:val="21"/>
        </w:rPr>
        <w:t> </w:t>
      </w:r>
      <w:r>
        <w:rPr>
          <w:i/>
          <w:color w:val="231F20"/>
          <w:w w:val="105"/>
          <w:sz w:val="21"/>
        </w:rPr>
        <w:t>Historia</w:t>
      </w:r>
      <w:r>
        <w:rPr>
          <w:i/>
          <w:color w:val="231F20"/>
          <w:spacing w:val="-32"/>
          <w:w w:val="105"/>
          <w:sz w:val="21"/>
        </w:rPr>
        <w:t> </w:t>
      </w:r>
      <w:r>
        <w:rPr>
          <w:i/>
          <w:color w:val="231F20"/>
          <w:w w:val="105"/>
          <w:sz w:val="21"/>
        </w:rPr>
        <w:t>del</w:t>
      </w:r>
      <w:r>
        <w:rPr>
          <w:i/>
          <w:color w:val="231F20"/>
          <w:spacing w:val="-32"/>
          <w:w w:val="105"/>
          <w:sz w:val="21"/>
        </w:rPr>
        <w:t> </w:t>
      </w:r>
      <w:r>
        <w:rPr>
          <w:i/>
          <w:color w:val="231F20"/>
          <w:w w:val="105"/>
          <w:sz w:val="21"/>
        </w:rPr>
        <w:t>análisis</w:t>
      </w:r>
      <w:r>
        <w:rPr>
          <w:i/>
          <w:color w:val="231F20"/>
          <w:spacing w:val="-32"/>
          <w:w w:val="105"/>
          <w:sz w:val="21"/>
        </w:rPr>
        <w:t> </w:t>
      </w:r>
      <w:r>
        <w:rPr>
          <w:i/>
          <w:color w:val="231F20"/>
          <w:w w:val="105"/>
          <w:sz w:val="21"/>
        </w:rPr>
        <w:t>económico.</w:t>
      </w:r>
      <w:r>
        <w:rPr>
          <w:i/>
          <w:color w:val="231F20"/>
          <w:spacing w:val="-32"/>
          <w:w w:val="105"/>
          <w:sz w:val="21"/>
        </w:rPr>
        <w:t> </w:t>
      </w:r>
      <w:r>
        <w:rPr>
          <w:color w:val="231F20"/>
          <w:w w:val="105"/>
          <w:sz w:val="21"/>
        </w:rPr>
        <w:t>Barcelona:</w:t>
      </w:r>
      <w:r>
        <w:rPr>
          <w:color w:val="231F20"/>
          <w:spacing w:val="-32"/>
          <w:w w:val="105"/>
          <w:sz w:val="21"/>
        </w:rPr>
        <w:t> </w:t>
      </w:r>
      <w:r>
        <w:rPr>
          <w:color w:val="231F20"/>
          <w:w w:val="105"/>
          <w:sz w:val="21"/>
        </w:rPr>
        <w:t>Edito- rial</w:t>
      </w:r>
      <w:r>
        <w:rPr>
          <w:color w:val="231F20"/>
          <w:spacing w:val="-14"/>
          <w:w w:val="105"/>
          <w:sz w:val="21"/>
        </w:rPr>
        <w:t> </w:t>
      </w:r>
      <w:r>
        <w:rPr>
          <w:color w:val="231F20"/>
          <w:w w:val="105"/>
          <w:sz w:val="21"/>
        </w:rPr>
        <w:t>Ariel.</w:t>
      </w:r>
    </w:p>
    <w:p>
      <w:pPr>
        <w:pStyle w:val="BodyText"/>
        <w:spacing w:line="259" w:lineRule="auto"/>
        <w:ind w:left="841" w:right="115" w:hanging="738"/>
        <w:jc w:val="both"/>
      </w:pPr>
      <w:r>
        <w:rPr>
          <w:color w:val="231F20"/>
        </w:rPr>
        <w:t>Sobrino, J. (2002). “Competitividad y ventajas competitivas: revisión teó- rica y ejercicio de aplicación a 30 ciudades de México”. </w:t>
      </w:r>
      <w:r>
        <w:rPr>
          <w:i/>
          <w:color w:val="231F20"/>
        </w:rPr>
        <w:t>Estudios </w:t>
      </w:r>
      <w:r>
        <w:rPr>
          <w:i/>
          <w:color w:val="231F20"/>
        </w:rPr>
        <w:t>Demográficos y Urbanos. </w:t>
      </w:r>
      <w:r>
        <w:rPr>
          <w:color w:val="231F20"/>
        </w:rPr>
        <w:t>17 (2).</w:t>
      </w:r>
    </w:p>
    <w:p>
      <w:pPr>
        <w:spacing w:line="259" w:lineRule="auto" w:before="0"/>
        <w:ind w:left="840" w:right="120" w:hanging="737"/>
        <w:jc w:val="both"/>
        <w:rPr>
          <w:sz w:val="21"/>
        </w:rPr>
      </w:pPr>
      <w:r>
        <w:rPr>
          <w:color w:val="231F20"/>
          <w:w w:val="105"/>
          <w:sz w:val="21"/>
        </w:rPr>
        <w:t>Tiebout,</w:t>
      </w:r>
      <w:r>
        <w:rPr>
          <w:color w:val="231F20"/>
          <w:spacing w:val="-13"/>
          <w:w w:val="105"/>
          <w:sz w:val="21"/>
        </w:rPr>
        <w:t> </w:t>
      </w:r>
      <w:r>
        <w:rPr>
          <w:color w:val="231F20"/>
          <w:w w:val="105"/>
          <w:sz w:val="21"/>
        </w:rPr>
        <w:t>A.</w:t>
      </w:r>
      <w:r>
        <w:rPr>
          <w:color w:val="231F20"/>
          <w:spacing w:val="-10"/>
          <w:w w:val="105"/>
          <w:sz w:val="21"/>
        </w:rPr>
        <w:t> </w:t>
      </w:r>
      <w:r>
        <w:rPr>
          <w:color w:val="231F20"/>
          <w:w w:val="105"/>
          <w:sz w:val="21"/>
        </w:rPr>
        <w:t>(1956),</w:t>
      </w:r>
      <w:r>
        <w:rPr>
          <w:color w:val="231F20"/>
          <w:spacing w:val="-10"/>
          <w:w w:val="105"/>
          <w:sz w:val="21"/>
        </w:rPr>
        <w:t> </w:t>
      </w:r>
      <w:r>
        <w:rPr>
          <w:color w:val="231F20"/>
          <w:spacing w:val="-8"/>
          <w:w w:val="105"/>
          <w:sz w:val="21"/>
        </w:rPr>
        <w:t>“A</w:t>
      </w:r>
      <w:r>
        <w:rPr>
          <w:color w:val="231F20"/>
          <w:spacing w:val="-7"/>
          <w:w w:val="105"/>
          <w:sz w:val="21"/>
        </w:rPr>
        <w:t> </w:t>
      </w:r>
      <w:r>
        <w:rPr>
          <w:color w:val="231F20"/>
          <w:w w:val="105"/>
          <w:sz w:val="21"/>
        </w:rPr>
        <w:t>pure</w:t>
      </w:r>
      <w:r>
        <w:rPr>
          <w:color w:val="231F20"/>
          <w:spacing w:val="-4"/>
          <w:w w:val="105"/>
          <w:sz w:val="21"/>
        </w:rPr>
        <w:t> </w:t>
      </w:r>
      <w:r>
        <w:rPr>
          <w:color w:val="231F20"/>
          <w:w w:val="105"/>
          <w:sz w:val="21"/>
        </w:rPr>
        <w:t>theory</w:t>
      </w:r>
      <w:r>
        <w:rPr>
          <w:color w:val="231F20"/>
          <w:spacing w:val="-4"/>
          <w:w w:val="105"/>
          <w:sz w:val="21"/>
        </w:rPr>
        <w:t> </w:t>
      </w:r>
      <w:r>
        <w:rPr>
          <w:color w:val="231F20"/>
          <w:w w:val="105"/>
          <w:sz w:val="21"/>
        </w:rPr>
        <w:t>of</w:t>
      </w:r>
      <w:r>
        <w:rPr>
          <w:color w:val="231F20"/>
          <w:spacing w:val="1"/>
          <w:w w:val="105"/>
          <w:sz w:val="21"/>
        </w:rPr>
        <w:t> </w:t>
      </w:r>
      <w:r>
        <w:rPr>
          <w:color w:val="231F20"/>
          <w:w w:val="105"/>
          <w:sz w:val="21"/>
        </w:rPr>
        <w:t>Local</w:t>
      </w:r>
      <w:r>
        <w:rPr>
          <w:color w:val="231F20"/>
          <w:spacing w:val="-4"/>
          <w:w w:val="105"/>
          <w:sz w:val="21"/>
        </w:rPr>
        <w:t> </w:t>
      </w:r>
      <w:r>
        <w:rPr>
          <w:color w:val="231F20"/>
          <w:spacing w:val="-3"/>
          <w:w w:val="105"/>
          <w:sz w:val="21"/>
        </w:rPr>
        <w:t>Expendidure”.</w:t>
      </w:r>
      <w:r>
        <w:rPr>
          <w:color w:val="231F20"/>
          <w:spacing w:val="-10"/>
          <w:w w:val="105"/>
          <w:sz w:val="21"/>
        </w:rPr>
        <w:t> </w:t>
      </w:r>
      <w:r>
        <w:rPr>
          <w:i/>
          <w:color w:val="231F20"/>
          <w:w w:val="105"/>
          <w:sz w:val="21"/>
        </w:rPr>
        <w:t>The</w:t>
      </w:r>
      <w:r>
        <w:rPr>
          <w:i/>
          <w:color w:val="231F20"/>
          <w:spacing w:val="-6"/>
          <w:w w:val="105"/>
          <w:sz w:val="21"/>
        </w:rPr>
        <w:t> </w:t>
      </w:r>
      <w:r>
        <w:rPr>
          <w:i/>
          <w:color w:val="231F20"/>
          <w:w w:val="105"/>
          <w:sz w:val="21"/>
        </w:rPr>
        <w:t>Journal</w:t>
      </w:r>
      <w:r>
        <w:rPr>
          <w:i/>
          <w:color w:val="231F20"/>
          <w:spacing w:val="-4"/>
          <w:w w:val="105"/>
          <w:sz w:val="21"/>
        </w:rPr>
        <w:t> </w:t>
      </w:r>
      <w:r>
        <w:rPr>
          <w:i/>
          <w:color w:val="231F20"/>
          <w:w w:val="105"/>
          <w:sz w:val="21"/>
        </w:rPr>
        <w:t>of </w:t>
      </w:r>
      <w:r>
        <w:rPr>
          <w:i/>
          <w:color w:val="231F20"/>
          <w:w w:val="105"/>
          <w:sz w:val="21"/>
        </w:rPr>
        <w:t>Political</w:t>
      </w:r>
      <w:r>
        <w:rPr>
          <w:i/>
          <w:color w:val="231F20"/>
          <w:spacing w:val="-33"/>
          <w:w w:val="105"/>
          <w:sz w:val="21"/>
        </w:rPr>
        <w:t> </w:t>
      </w:r>
      <w:r>
        <w:rPr>
          <w:i/>
          <w:color w:val="231F20"/>
          <w:w w:val="105"/>
          <w:sz w:val="21"/>
        </w:rPr>
        <w:t>Economy</w:t>
      </w:r>
      <w:r>
        <w:rPr>
          <w:color w:val="231F20"/>
          <w:w w:val="105"/>
          <w:sz w:val="21"/>
        </w:rPr>
        <w:t>,</w:t>
      </w:r>
      <w:r>
        <w:rPr>
          <w:color w:val="231F20"/>
          <w:spacing w:val="-39"/>
          <w:w w:val="105"/>
          <w:sz w:val="21"/>
        </w:rPr>
        <w:t> </w:t>
      </w:r>
      <w:r>
        <w:rPr>
          <w:color w:val="231F20"/>
          <w:spacing w:val="-3"/>
          <w:w w:val="105"/>
          <w:sz w:val="21"/>
        </w:rPr>
        <w:t>Vol</w:t>
      </w:r>
      <w:r>
        <w:rPr>
          <w:color w:val="231F20"/>
          <w:spacing w:val="-33"/>
          <w:w w:val="105"/>
          <w:sz w:val="21"/>
        </w:rPr>
        <w:t> </w:t>
      </w:r>
      <w:r>
        <w:rPr>
          <w:color w:val="231F20"/>
          <w:w w:val="105"/>
          <w:sz w:val="21"/>
        </w:rPr>
        <w:t>64,</w:t>
      </w:r>
      <w:r>
        <w:rPr>
          <w:color w:val="231F20"/>
          <w:spacing w:val="-37"/>
          <w:w w:val="105"/>
          <w:sz w:val="21"/>
        </w:rPr>
        <w:t> </w:t>
      </w:r>
      <w:r>
        <w:rPr>
          <w:color w:val="231F20"/>
          <w:w w:val="105"/>
          <w:sz w:val="21"/>
        </w:rPr>
        <w:t>núm.</w:t>
      </w:r>
      <w:r>
        <w:rPr>
          <w:color w:val="231F20"/>
          <w:spacing w:val="-37"/>
          <w:w w:val="105"/>
          <w:sz w:val="21"/>
        </w:rPr>
        <w:t> </w:t>
      </w:r>
      <w:r>
        <w:rPr>
          <w:color w:val="231F20"/>
          <w:w w:val="105"/>
          <w:sz w:val="21"/>
        </w:rPr>
        <w:t>5.</w:t>
      </w:r>
    </w:p>
    <w:p>
      <w:pPr>
        <w:pStyle w:val="BodyText"/>
        <w:spacing w:line="259" w:lineRule="auto"/>
        <w:ind w:left="840" w:right="115" w:hanging="738"/>
        <w:jc w:val="both"/>
      </w:pPr>
      <w:r>
        <w:rPr>
          <w:color w:val="231F20"/>
          <w:spacing w:val="-3"/>
          <w:w w:val="105"/>
        </w:rPr>
        <w:t>Taboada</w:t>
      </w:r>
      <w:r>
        <w:rPr>
          <w:color w:val="231F20"/>
          <w:spacing w:val="-33"/>
          <w:w w:val="105"/>
        </w:rPr>
        <w:t> </w:t>
      </w:r>
      <w:r>
        <w:rPr>
          <w:color w:val="231F20"/>
          <w:w w:val="105"/>
        </w:rPr>
        <w:t>M.C.</w:t>
      </w:r>
      <w:r>
        <w:rPr>
          <w:color w:val="231F20"/>
          <w:spacing w:val="-37"/>
          <w:w w:val="105"/>
        </w:rPr>
        <w:t> </w:t>
      </w:r>
      <w:r>
        <w:rPr>
          <w:color w:val="231F20"/>
          <w:w w:val="105"/>
        </w:rPr>
        <w:t>(2002)</w:t>
      </w:r>
      <w:r>
        <w:rPr>
          <w:color w:val="231F20"/>
          <w:spacing w:val="-33"/>
          <w:w w:val="105"/>
        </w:rPr>
        <w:t> </w:t>
      </w:r>
      <w:r>
        <w:rPr>
          <w:color w:val="231F20"/>
          <w:w w:val="105"/>
        </w:rPr>
        <w:t>“La</w:t>
      </w:r>
      <w:r>
        <w:rPr>
          <w:color w:val="231F20"/>
          <w:spacing w:val="-33"/>
          <w:w w:val="105"/>
        </w:rPr>
        <w:t> </w:t>
      </w:r>
      <w:r>
        <w:rPr>
          <w:color w:val="231F20"/>
          <w:w w:val="105"/>
        </w:rPr>
        <w:t>competitividad</w:t>
      </w:r>
      <w:r>
        <w:rPr>
          <w:color w:val="231F20"/>
          <w:spacing w:val="-33"/>
          <w:w w:val="105"/>
        </w:rPr>
        <w:t> </w:t>
      </w:r>
      <w:r>
        <w:rPr>
          <w:color w:val="231F20"/>
          <w:w w:val="105"/>
        </w:rPr>
        <w:t>externa</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regiones</w:t>
      </w:r>
      <w:r>
        <w:rPr>
          <w:color w:val="231F20"/>
          <w:spacing w:val="-33"/>
          <w:w w:val="105"/>
        </w:rPr>
        <w:t> </w:t>
      </w:r>
      <w:r>
        <w:rPr>
          <w:color w:val="231F20"/>
          <w:w w:val="105"/>
        </w:rPr>
        <w:t>españo- las.</w:t>
      </w:r>
      <w:r>
        <w:rPr>
          <w:color w:val="231F20"/>
          <w:spacing w:val="-31"/>
          <w:w w:val="105"/>
        </w:rPr>
        <w:t> </w:t>
      </w:r>
      <w:r>
        <w:rPr>
          <w:color w:val="231F20"/>
          <w:w w:val="105"/>
        </w:rPr>
        <w:t>Un</w:t>
      </w:r>
      <w:r>
        <w:rPr>
          <w:color w:val="231F20"/>
          <w:spacing w:val="-27"/>
          <w:w w:val="105"/>
        </w:rPr>
        <w:t> </w:t>
      </w:r>
      <w:r>
        <w:rPr>
          <w:color w:val="231F20"/>
          <w:w w:val="105"/>
        </w:rPr>
        <w:t>análisis</w:t>
      </w:r>
      <w:r>
        <w:rPr>
          <w:color w:val="231F20"/>
          <w:spacing w:val="-27"/>
          <w:w w:val="105"/>
        </w:rPr>
        <w:t> </w:t>
      </w:r>
      <w:r>
        <w:rPr>
          <w:color w:val="231F20"/>
          <w:w w:val="105"/>
        </w:rPr>
        <w:t>del</w:t>
      </w:r>
      <w:r>
        <w:rPr>
          <w:color w:val="231F20"/>
          <w:spacing w:val="-27"/>
          <w:w w:val="105"/>
        </w:rPr>
        <w:t> </w:t>
      </w:r>
      <w:r>
        <w:rPr>
          <w:color w:val="231F20"/>
          <w:w w:val="105"/>
        </w:rPr>
        <w:t>impacto</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capacidad</w:t>
      </w:r>
      <w:r>
        <w:rPr>
          <w:color w:val="231F20"/>
          <w:spacing w:val="-27"/>
          <w:w w:val="105"/>
        </w:rPr>
        <w:t> </w:t>
      </w:r>
      <w:r>
        <w:rPr>
          <w:color w:val="231F20"/>
          <w:spacing w:val="-3"/>
          <w:w w:val="105"/>
        </w:rPr>
        <w:t>tecnológica”.</w:t>
      </w:r>
      <w:r>
        <w:rPr>
          <w:color w:val="231F20"/>
          <w:spacing w:val="-31"/>
          <w:w w:val="105"/>
        </w:rPr>
        <w:t> </w:t>
      </w:r>
      <w:r>
        <w:rPr>
          <w:i/>
          <w:color w:val="231F20"/>
          <w:w w:val="105"/>
        </w:rPr>
        <w:t>Revista </w:t>
      </w:r>
      <w:r>
        <w:rPr>
          <w:i/>
          <w:color w:val="231F20"/>
          <w:w w:val="105"/>
        </w:rPr>
        <w:t>Galega</w:t>
      </w:r>
      <w:r>
        <w:rPr>
          <w:i/>
          <w:color w:val="231F20"/>
          <w:spacing w:val="-33"/>
          <w:w w:val="105"/>
        </w:rPr>
        <w:t> </w:t>
      </w:r>
      <w:r>
        <w:rPr>
          <w:i/>
          <w:color w:val="231F20"/>
          <w:w w:val="105"/>
        </w:rPr>
        <w:t>de</w:t>
      </w:r>
      <w:r>
        <w:rPr>
          <w:i/>
          <w:color w:val="231F20"/>
          <w:spacing w:val="-33"/>
          <w:w w:val="105"/>
        </w:rPr>
        <w:t> </w:t>
      </w:r>
      <w:r>
        <w:rPr>
          <w:i/>
          <w:color w:val="231F20"/>
          <w:w w:val="105"/>
        </w:rPr>
        <w:t>Economía</w:t>
      </w:r>
      <w:r>
        <w:rPr>
          <w:color w:val="231F20"/>
          <w:w w:val="105"/>
        </w:rPr>
        <w:t>,</w:t>
      </w:r>
      <w:r>
        <w:rPr>
          <w:color w:val="231F20"/>
          <w:spacing w:val="-37"/>
          <w:w w:val="105"/>
        </w:rPr>
        <w:t> </w:t>
      </w:r>
      <w:r>
        <w:rPr>
          <w:color w:val="231F20"/>
          <w:w w:val="105"/>
        </w:rPr>
        <w:t>vol.</w:t>
      </w:r>
      <w:r>
        <w:rPr>
          <w:color w:val="231F20"/>
          <w:spacing w:val="-37"/>
          <w:w w:val="105"/>
        </w:rPr>
        <w:t> </w:t>
      </w:r>
      <w:r>
        <w:rPr>
          <w:color w:val="231F20"/>
          <w:w w:val="105"/>
        </w:rPr>
        <w:t>12,</w:t>
      </w:r>
      <w:r>
        <w:rPr>
          <w:color w:val="231F20"/>
          <w:spacing w:val="-37"/>
          <w:w w:val="105"/>
        </w:rPr>
        <w:t> </w:t>
      </w:r>
      <w:r>
        <w:rPr>
          <w:color w:val="231F20"/>
          <w:w w:val="105"/>
        </w:rPr>
        <w:t>núm.</w:t>
      </w:r>
      <w:r>
        <w:rPr>
          <w:color w:val="231F20"/>
          <w:spacing w:val="-37"/>
          <w:w w:val="105"/>
        </w:rPr>
        <w:t> </w:t>
      </w:r>
      <w:r>
        <w:rPr>
          <w:color w:val="231F20"/>
          <w:w w:val="105"/>
        </w:rPr>
        <w:t>1.</w:t>
      </w:r>
      <w:r>
        <w:rPr>
          <w:color w:val="231F20"/>
          <w:spacing w:val="-37"/>
          <w:w w:val="105"/>
        </w:rPr>
        <w:t> </w:t>
      </w:r>
      <w:r>
        <w:rPr>
          <w:color w:val="231F20"/>
          <w:w w:val="105"/>
        </w:rPr>
        <w:t>ISSN</w:t>
      </w:r>
      <w:r>
        <w:rPr>
          <w:color w:val="231F20"/>
          <w:spacing w:val="-33"/>
          <w:w w:val="105"/>
        </w:rPr>
        <w:t> </w:t>
      </w:r>
      <w:r>
        <w:rPr>
          <w:color w:val="231F20"/>
          <w:w w:val="105"/>
        </w:rPr>
        <w:t>1132-2799</w:t>
      </w:r>
    </w:p>
    <w:p>
      <w:pPr>
        <w:spacing w:line="259" w:lineRule="auto" w:before="0"/>
        <w:ind w:left="840" w:right="115" w:hanging="738"/>
        <w:jc w:val="both"/>
        <w:rPr>
          <w:sz w:val="21"/>
        </w:rPr>
      </w:pPr>
      <w:r>
        <w:rPr>
          <w:color w:val="231F20"/>
          <w:spacing w:val="-4"/>
          <w:sz w:val="21"/>
        </w:rPr>
        <w:t>Tsakok, </w:t>
      </w:r>
      <w:r>
        <w:rPr>
          <w:color w:val="231F20"/>
          <w:spacing w:val="-9"/>
          <w:sz w:val="21"/>
        </w:rPr>
        <w:t>T. </w:t>
      </w:r>
      <w:r>
        <w:rPr>
          <w:color w:val="231F20"/>
          <w:sz w:val="21"/>
        </w:rPr>
        <w:t>(1990). </w:t>
      </w:r>
      <w:r>
        <w:rPr>
          <w:i/>
          <w:color w:val="231F20"/>
          <w:sz w:val="21"/>
        </w:rPr>
        <w:t>Agricultural </w:t>
      </w:r>
      <w:r>
        <w:rPr>
          <w:i/>
          <w:color w:val="231F20"/>
          <w:spacing w:val="-3"/>
          <w:sz w:val="21"/>
        </w:rPr>
        <w:t>Price </w:t>
      </w:r>
      <w:r>
        <w:rPr>
          <w:i/>
          <w:color w:val="231F20"/>
          <w:spacing w:val="-4"/>
          <w:sz w:val="21"/>
        </w:rPr>
        <w:t>Policy, </w:t>
      </w:r>
      <w:r>
        <w:rPr>
          <w:color w:val="231F20"/>
          <w:sz w:val="21"/>
        </w:rPr>
        <w:t>Cornell University </w:t>
      </w:r>
      <w:r>
        <w:rPr>
          <w:color w:val="231F20"/>
          <w:spacing w:val="-3"/>
          <w:sz w:val="21"/>
        </w:rPr>
        <w:t>Press, </w:t>
      </w:r>
      <w:r>
        <w:rPr>
          <w:color w:val="231F20"/>
          <w:sz w:val="21"/>
        </w:rPr>
        <w:t>Ithaca and London.</w:t>
      </w:r>
    </w:p>
    <w:p>
      <w:pPr>
        <w:pStyle w:val="BodyText"/>
        <w:spacing w:line="259" w:lineRule="auto"/>
        <w:ind w:left="840" w:right="115" w:hanging="738"/>
        <w:jc w:val="both"/>
      </w:pPr>
      <w:r>
        <w:rPr>
          <w:color w:val="231F20"/>
          <w:w w:val="105"/>
        </w:rPr>
        <w:t>Ubfal, </w:t>
      </w:r>
      <w:r>
        <w:rPr>
          <w:color w:val="231F20"/>
          <w:spacing w:val="-6"/>
          <w:w w:val="105"/>
        </w:rPr>
        <w:t>D. </w:t>
      </w:r>
      <w:r>
        <w:rPr>
          <w:color w:val="231F20"/>
          <w:w w:val="105"/>
        </w:rPr>
        <w:t>(2004), El concepto de competitividad. Medición y aplicación al caso argentino. Documento de </w:t>
      </w:r>
      <w:r>
        <w:rPr>
          <w:color w:val="231F20"/>
          <w:spacing w:val="-4"/>
          <w:w w:val="105"/>
        </w:rPr>
        <w:t>Trabajo </w:t>
      </w:r>
      <w:r>
        <w:rPr>
          <w:color w:val="231F20"/>
          <w:w w:val="105"/>
        </w:rPr>
        <w:t>núm. 15. Universidad de</w:t>
      </w:r>
      <w:r>
        <w:rPr>
          <w:color w:val="231F20"/>
          <w:spacing w:val="-9"/>
          <w:w w:val="105"/>
        </w:rPr>
        <w:t> </w:t>
      </w:r>
      <w:r>
        <w:rPr>
          <w:color w:val="231F20"/>
          <w:w w:val="105"/>
        </w:rPr>
        <w:t>Buenos</w:t>
      </w:r>
      <w:r>
        <w:rPr>
          <w:color w:val="231F20"/>
          <w:spacing w:val="-12"/>
          <w:w w:val="105"/>
        </w:rPr>
        <w:t> </w:t>
      </w:r>
      <w:r>
        <w:rPr>
          <w:color w:val="231F20"/>
          <w:w w:val="105"/>
        </w:rPr>
        <w:t>Aires,</w:t>
      </w:r>
      <w:r>
        <w:rPr>
          <w:color w:val="231F20"/>
          <w:spacing w:val="-15"/>
          <w:w w:val="105"/>
        </w:rPr>
        <w:t> </w:t>
      </w:r>
      <w:r>
        <w:rPr>
          <w:color w:val="231F20"/>
          <w:w w:val="105"/>
        </w:rPr>
        <w:t>Facultad</w:t>
      </w:r>
      <w:r>
        <w:rPr>
          <w:color w:val="231F20"/>
          <w:spacing w:val="-9"/>
          <w:w w:val="105"/>
        </w:rPr>
        <w:t> </w:t>
      </w:r>
      <w:r>
        <w:rPr>
          <w:color w:val="231F20"/>
          <w:w w:val="105"/>
        </w:rPr>
        <w:t>de</w:t>
      </w:r>
      <w:r>
        <w:rPr>
          <w:color w:val="231F20"/>
          <w:spacing w:val="-9"/>
          <w:w w:val="105"/>
        </w:rPr>
        <w:t> </w:t>
      </w:r>
      <w:r>
        <w:rPr>
          <w:color w:val="231F20"/>
          <w:w w:val="105"/>
        </w:rPr>
        <w:t>Ciencias</w:t>
      </w:r>
      <w:r>
        <w:rPr>
          <w:color w:val="231F20"/>
          <w:spacing w:val="-9"/>
          <w:w w:val="105"/>
        </w:rPr>
        <w:t> </w:t>
      </w:r>
      <w:r>
        <w:rPr>
          <w:color w:val="231F20"/>
          <w:w w:val="105"/>
        </w:rPr>
        <w:t>Económicas,</w:t>
      </w:r>
      <w:r>
        <w:rPr>
          <w:color w:val="231F20"/>
          <w:spacing w:val="-15"/>
          <w:w w:val="105"/>
        </w:rPr>
        <w:t> </w:t>
      </w:r>
      <w:r>
        <w:rPr>
          <w:color w:val="231F20"/>
          <w:w w:val="105"/>
        </w:rPr>
        <w:t>Instituto</w:t>
      </w:r>
      <w:r>
        <w:rPr>
          <w:color w:val="231F20"/>
          <w:spacing w:val="-9"/>
          <w:w w:val="105"/>
        </w:rPr>
        <w:t> </w:t>
      </w:r>
      <w:r>
        <w:rPr>
          <w:color w:val="231F20"/>
          <w:w w:val="105"/>
        </w:rPr>
        <w:t>de </w:t>
      </w:r>
      <w:r>
        <w:rPr>
          <w:color w:val="231F20"/>
        </w:rPr>
        <w:t>Investigaciones</w:t>
      </w:r>
      <w:r>
        <w:rPr>
          <w:color w:val="231F20"/>
          <w:spacing w:val="32"/>
        </w:rPr>
        <w:t> </w:t>
      </w:r>
      <w:r>
        <w:rPr>
          <w:color w:val="231F20"/>
        </w:rPr>
        <w:t>Económicas.</w:t>
      </w:r>
    </w:p>
    <w:p>
      <w:pPr>
        <w:spacing w:line="259" w:lineRule="auto" w:before="0"/>
        <w:ind w:left="840" w:right="115" w:hanging="738"/>
        <w:jc w:val="both"/>
        <w:rPr>
          <w:sz w:val="21"/>
        </w:rPr>
      </w:pPr>
      <w:r>
        <w:rPr>
          <w:color w:val="231F20"/>
          <w:w w:val="105"/>
          <w:sz w:val="21"/>
        </w:rPr>
        <w:t>Vernon,</w:t>
      </w:r>
      <w:r>
        <w:rPr>
          <w:color w:val="231F20"/>
          <w:spacing w:val="-22"/>
          <w:w w:val="105"/>
          <w:sz w:val="21"/>
        </w:rPr>
        <w:t> </w:t>
      </w:r>
      <w:r>
        <w:rPr>
          <w:color w:val="231F20"/>
          <w:w w:val="105"/>
          <w:sz w:val="21"/>
        </w:rPr>
        <w:t>R.</w:t>
      </w:r>
      <w:r>
        <w:rPr>
          <w:color w:val="231F20"/>
          <w:spacing w:val="-22"/>
          <w:w w:val="105"/>
          <w:sz w:val="21"/>
        </w:rPr>
        <w:t> </w:t>
      </w:r>
      <w:r>
        <w:rPr>
          <w:color w:val="231F20"/>
          <w:w w:val="105"/>
          <w:sz w:val="21"/>
        </w:rPr>
        <w:t>(1966).</w:t>
      </w:r>
      <w:r>
        <w:rPr>
          <w:color w:val="231F20"/>
          <w:spacing w:val="-22"/>
          <w:w w:val="105"/>
          <w:sz w:val="21"/>
        </w:rPr>
        <w:t> </w:t>
      </w:r>
      <w:r>
        <w:rPr>
          <w:color w:val="231F20"/>
          <w:w w:val="105"/>
          <w:sz w:val="21"/>
        </w:rPr>
        <w:t>International</w:t>
      </w:r>
      <w:r>
        <w:rPr>
          <w:color w:val="231F20"/>
          <w:spacing w:val="-16"/>
          <w:w w:val="105"/>
          <w:sz w:val="21"/>
        </w:rPr>
        <w:t> </w:t>
      </w:r>
      <w:r>
        <w:rPr>
          <w:color w:val="231F20"/>
          <w:w w:val="105"/>
          <w:sz w:val="21"/>
        </w:rPr>
        <w:t>investment</w:t>
      </w:r>
      <w:r>
        <w:rPr>
          <w:color w:val="231F20"/>
          <w:spacing w:val="-16"/>
          <w:w w:val="105"/>
          <w:sz w:val="21"/>
        </w:rPr>
        <w:t> </w:t>
      </w:r>
      <w:r>
        <w:rPr>
          <w:color w:val="231F20"/>
          <w:w w:val="105"/>
          <w:sz w:val="21"/>
        </w:rPr>
        <w:t>and</w:t>
      </w:r>
      <w:r>
        <w:rPr>
          <w:color w:val="231F20"/>
          <w:spacing w:val="-16"/>
          <w:w w:val="105"/>
          <w:sz w:val="21"/>
        </w:rPr>
        <w:t> </w:t>
      </w:r>
      <w:r>
        <w:rPr>
          <w:color w:val="231F20"/>
          <w:w w:val="105"/>
          <w:sz w:val="21"/>
        </w:rPr>
        <w:t>international</w:t>
      </w:r>
      <w:r>
        <w:rPr>
          <w:color w:val="231F20"/>
          <w:spacing w:val="-16"/>
          <w:w w:val="105"/>
          <w:sz w:val="21"/>
        </w:rPr>
        <w:t> </w:t>
      </w:r>
      <w:r>
        <w:rPr>
          <w:color w:val="231F20"/>
          <w:w w:val="105"/>
          <w:sz w:val="21"/>
        </w:rPr>
        <w:t>trade</w:t>
      </w:r>
      <w:r>
        <w:rPr>
          <w:color w:val="231F20"/>
          <w:spacing w:val="-16"/>
          <w:w w:val="105"/>
          <w:sz w:val="21"/>
        </w:rPr>
        <w:t> </w:t>
      </w:r>
      <w:r>
        <w:rPr>
          <w:color w:val="231F20"/>
          <w:w w:val="105"/>
          <w:sz w:val="21"/>
        </w:rPr>
        <w:t>in</w:t>
      </w:r>
      <w:r>
        <w:rPr>
          <w:color w:val="231F20"/>
          <w:spacing w:val="-16"/>
          <w:w w:val="105"/>
          <w:sz w:val="21"/>
        </w:rPr>
        <w:t> </w:t>
      </w:r>
      <w:r>
        <w:rPr>
          <w:color w:val="231F20"/>
          <w:w w:val="105"/>
          <w:sz w:val="21"/>
        </w:rPr>
        <w:t>the product</w:t>
      </w:r>
      <w:r>
        <w:rPr>
          <w:color w:val="231F20"/>
          <w:spacing w:val="-28"/>
          <w:w w:val="105"/>
          <w:sz w:val="21"/>
        </w:rPr>
        <w:t> </w:t>
      </w:r>
      <w:r>
        <w:rPr>
          <w:color w:val="231F20"/>
          <w:w w:val="105"/>
          <w:sz w:val="21"/>
        </w:rPr>
        <w:t>cycle.</w:t>
      </w:r>
      <w:r>
        <w:rPr>
          <w:color w:val="231F20"/>
          <w:spacing w:val="-32"/>
          <w:w w:val="105"/>
          <w:sz w:val="21"/>
        </w:rPr>
        <w:t> </w:t>
      </w:r>
      <w:r>
        <w:rPr>
          <w:color w:val="231F20"/>
          <w:w w:val="105"/>
          <w:sz w:val="21"/>
        </w:rPr>
        <w:t>En:</w:t>
      </w:r>
      <w:r>
        <w:rPr>
          <w:color w:val="231F20"/>
          <w:spacing w:val="-28"/>
          <w:w w:val="105"/>
          <w:sz w:val="21"/>
        </w:rPr>
        <w:t> </w:t>
      </w:r>
      <w:r>
        <w:rPr>
          <w:i/>
          <w:color w:val="231F20"/>
          <w:w w:val="105"/>
          <w:sz w:val="21"/>
        </w:rPr>
        <w:t>Quarterly</w:t>
      </w:r>
      <w:r>
        <w:rPr>
          <w:i/>
          <w:color w:val="231F20"/>
          <w:spacing w:val="-30"/>
          <w:w w:val="105"/>
          <w:sz w:val="21"/>
        </w:rPr>
        <w:t> </w:t>
      </w:r>
      <w:r>
        <w:rPr>
          <w:i/>
          <w:color w:val="231F20"/>
          <w:w w:val="105"/>
          <w:sz w:val="21"/>
        </w:rPr>
        <w:t>Journal</w:t>
      </w:r>
      <w:r>
        <w:rPr>
          <w:i/>
          <w:color w:val="231F20"/>
          <w:spacing w:val="-28"/>
          <w:w w:val="105"/>
          <w:sz w:val="21"/>
        </w:rPr>
        <w:t> </w:t>
      </w:r>
      <w:r>
        <w:rPr>
          <w:i/>
          <w:color w:val="231F20"/>
          <w:w w:val="105"/>
          <w:sz w:val="21"/>
        </w:rPr>
        <w:t>of</w:t>
      </w:r>
      <w:r>
        <w:rPr>
          <w:i/>
          <w:color w:val="231F20"/>
          <w:spacing w:val="-24"/>
          <w:w w:val="105"/>
          <w:sz w:val="21"/>
        </w:rPr>
        <w:t> </w:t>
      </w:r>
      <w:r>
        <w:rPr>
          <w:i/>
          <w:color w:val="231F20"/>
          <w:w w:val="105"/>
          <w:sz w:val="21"/>
        </w:rPr>
        <w:t>Economics</w:t>
      </w:r>
      <w:r>
        <w:rPr>
          <w:color w:val="231F20"/>
          <w:w w:val="105"/>
          <w:sz w:val="21"/>
        </w:rPr>
        <w:t>,</w:t>
      </w:r>
      <w:r>
        <w:rPr>
          <w:color w:val="231F20"/>
          <w:spacing w:val="-32"/>
          <w:w w:val="105"/>
          <w:sz w:val="21"/>
        </w:rPr>
        <w:t> </w:t>
      </w:r>
      <w:r>
        <w:rPr>
          <w:color w:val="231F20"/>
          <w:w w:val="105"/>
          <w:sz w:val="21"/>
        </w:rPr>
        <w:t>mayo.</w:t>
      </w:r>
    </w:p>
    <w:p>
      <w:pPr>
        <w:pStyle w:val="BodyText"/>
        <w:spacing w:line="259" w:lineRule="auto"/>
        <w:ind w:left="840" w:right="109" w:hanging="738"/>
        <w:jc w:val="both"/>
      </w:pPr>
      <w:r>
        <w:rPr>
          <w:color w:val="231F20"/>
        </w:rPr>
        <w:t>Villarreal, R. y Ramos, R. (2002). “La apertura de México y la paradoja de la competitividad: hacia un modelo de competitividad sistémica”. </w:t>
      </w:r>
      <w:r>
        <w:rPr>
          <w:i/>
          <w:color w:val="231F20"/>
        </w:rPr>
        <w:t>Revista de Comercio Exterior. </w:t>
      </w:r>
      <w:r>
        <w:rPr>
          <w:color w:val="231F20"/>
        </w:rPr>
        <w:t>México.</w:t>
      </w:r>
    </w:p>
    <w:p>
      <w:pPr>
        <w:pStyle w:val="BodyText"/>
        <w:spacing w:line="241" w:lineRule="exact"/>
        <w:ind w:left="103" w:right="17"/>
      </w:pPr>
      <w:r>
        <w:rPr>
          <w:color w:val="231F20"/>
        </w:rPr>
        <w:t>Villareal, R. (2002). México competitivo 2020. México:  Oceano.</w:t>
      </w:r>
    </w:p>
    <w:p>
      <w:pPr>
        <w:pStyle w:val="BodyText"/>
        <w:spacing w:line="259" w:lineRule="auto" w:before="18"/>
        <w:ind w:left="840" w:right="115" w:hanging="738"/>
        <w:jc w:val="both"/>
      </w:pPr>
      <w:r>
        <w:rPr>
          <w:color w:val="231F20"/>
          <w:w w:val="105"/>
        </w:rPr>
        <w:t>World Bank (2009) “World Development Indicators 2009”. Washington DC.</w:t>
      </w:r>
    </w:p>
    <w:p>
      <w:pPr>
        <w:spacing w:line="259" w:lineRule="auto" w:before="0"/>
        <w:ind w:left="840" w:right="115" w:hanging="737"/>
        <w:jc w:val="both"/>
        <w:rPr>
          <w:sz w:val="21"/>
        </w:rPr>
      </w:pPr>
      <w:r>
        <w:rPr>
          <w:color w:val="231F20"/>
          <w:w w:val="105"/>
          <w:sz w:val="21"/>
        </w:rPr>
        <w:t>World Economic Forum (2010). </w:t>
      </w:r>
      <w:r>
        <w:rPr>
          <w:color w:val="2B2E30"/>
          <w:w w:val="105"/>
          <w:sz w:val="21"/>
        </w:rPr>
        <w:t>The </w:t>
      </w:r>
      <w:r>
        <w:rPr>
          <w:i/>
          <w:color w:val="231F20"/>
          <w:w w:val="105"/>
          <w:sz w:val="21"/>
        </w:rPr>
        <w:t>Global Competitiveness Report </w:t>
      </w:r>
      <w:r>
        <w:rPr>
          <w:i/>
          <w:color w:val="231F20"/>
          <w:w w:val="105"/>
          <w:sz w:val="21"/>
        </w:rPr>
        <w:t>2012-2013. </w:t>
      </w:r>
      <w:r>
        <w:rPr>
          <w:color w:val="231F20"/>
          <w:w w:val="105"/>
          <w:sz w:val="21"/>
        </w:rPr>
        <w:t>Disponible en </w:t>
      </w:r>
      <w:hyperlink r:id="rId133">
        <w:r>
          <w:rPr>
            <w:color w:val="231F20"/>
            <w:w w:val="105"/>
            <w:sz w:val="21"/>
          </w:rPr>
          <w:t>http://www.weforum.org/issues/glob-</w:t>
        </w:r>
      </w:hyperlink>
      <w:r>
        <w:rPr>
          <w:color w:val="231F20"/>
          <w:w w:val="105"/>
          <w:sz w:val="21"/>
        </w:rPr>
        <w:t> al-competitiveness.</w:t>
      </w:r>
    </w:p>
    <w:p>
      <w:pPr>
        <w:spacing w:line="259" w:lineRule="auto" w:before="0"/>
        <w:ind w:left="840" w:right="115" w:hanging="737"/>
        <w:jc w:val="both"/>
        <w:rPr>
          <w:sz w:val="21"/>
        </w:rPr>
      </w:pPr>
      <w:r>
        <w:rPr>
          <w:color w:val="231F20"/>
          <w:w w:val="105"/>
          <w:sz w:val="21"/>
        </w:rPr>
        <w:t>World Economic Forum (2014). </w:t>
      </w:r>
      <w:r>
        <w:rPr>
          <w:color w:val="2B2E30"/>
          <w:w w:val="105"/>
          <w:sz w:val="21"/>
        </w:rPr>
        <w:t>The </w:t>
      </w:r>
      <w:r>
        <w:rPr>
          <w:i/>
          <w:color w:val="231F20"/>
          <w:w w:val="105"/>
          <w:sz w:val="21"/>
        </w:rPr>
        <w:t>Global Competitiveness Report </w:t>
      </w:r>
      <w:r>
        <w:rPr>
          <w:i/>
          <w:color w:val="231F20"/>
          <w:w w:val="105"/>
          <w:sz w:val="21"/>
        </w:rPr>
        <w:t>2014-2015. </w:t>
      </w:r>
      <w:r>
        <w:rPr>
          <w:color w:val="231F20"/>
          <w:w w:val="105"/>
          <w:sz w:val="21"/>
        </w:rPr>
        <w:t>Disponible en </w:t>
      </w:r>
      <w:hyperlink r:id="rId134">
        <w:r>
          <w:rPr>
            <w:color w:val="231F20"/>
            <w:w w:val="105"/>
            <w:sz w:val="21"/>
          </w:rPr>
          <w:t>http://www.weforum.org/issues/glo-</w:t>
        </w:r>
      </w:hyperlink>
      <w:r>
        <w:rPr>
          <w:color w:val="231F20"/>
          <w:w w:val="105"/>
          <w:sz w:val="21"/>
        </w:rPr>
        <w:t> bal-competitiveness.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tabs>
          <w:tab w:pos="1317" w:val="left" w:leader="none"/>
        </w:tabs>
        <w:spacing w:before="0"/>
        <w:ind w:left="212" w:right="17" w:firstLine="0"/>
        <w:jc w:val="left"/>
        <w:rPr>
          <w:rFonts w:ascii="Calibri" w:hAnsi="Calibri"/>
          <w:sz w:val="15"/>
        </w:rPr>
      </w:pPr>
      <w:r>
        <w:rPr/>
        <w:pict>
          <v:group style="position:absolute;margin-left:101.817299pt;margin-top:-20.299887pt;width:17.850pt;height:56.5pt;mso-position-horizontal-relative:page;mso-position-vertical-relative:paragraph;z-index:-237832"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position w:val="-5"/>
          <w:sz w:val="20"/>
        </w:rPr>
        <w:t>284</w:t>
        <w:tab/>
      </w:r>
      <w:r>
        <w:rPr>
          <w:rFonts w:ascii="Calibri" w:hAnsi="Calibri"/>
          <w:color w:val="6D6E71"/>
          <w:sz w:val="15"/>
        </w:rPr>
        <w:t>Gabriela Munguía Vázquez, Sara Quiroz Cuenca y Joel Martínez  </w:t>
      </w:r>
      <w:r>
        <w:rPr>
          <w:rFonts w:ascii="Calibri" w:hAnsi="Calibri"/>
          <w:color w:val="6D6E71"/>
          <w:spacing w:val="6"/>
          <w:sz w:val="15"/>
        </w:rPr>
        <w:t> </w:t>
      </w:r>
      <w:r>
        <w:rPr>
          <w:rFonts w:ascii="Calibri" w:hAnsi="Calibri"/>
          <w:color w:val="6D6E71"/>
          <w:sz w:val="15"/>
        </w:rPr>
        <w:t>Bello</w:t>
      </w:r>
    </w:p>
    <w:p>
      <w:pPr>
        <w:spacing w:after="0"/>
        <w:jc w:val="left"/>
        <w:rPr>
          <w:rFonts w:ascii="Calibri" w:hAnsi="Calibri"/>
          <w:sz w:val="15"/>
        </w:rPr>
        <w:sectPr>
          <w:pgSz w:w="9640" w:h="13890"/>
          <w:pgMar w:top="1300" w:bottom="0" w:left="1200" w:right="1300"/>
        </w:sectPr>
      </w:pPr>
    </w:p>
    <w:p>
      <w:pPr>
        <w:pStyle w:val="BodyText"/>
        <w:rPr>
          <w:rFonts w:ascii="Calibri"/>
          <w:sz w:val="20"/>
        </w:rPr>
      </w:pPr>
      <w:r>
        <w:rPr/>
        <w:drawing>
          <wp:anchor distT="0" distB="0" distL="0" distR="0" allowOverlap="1" layoutInCell="1" locked="0" behindDoc="1" simplePos="0" relativeHeight="268197647">
            <wp:simplePos x="0" y="0"/>
            <wp:positionH relativeFrom="page">
              <wp:posOffset>7200</wp:posOffset>
            </wp:positionH>
            <wp:positionV relativeFrom="page">
              <wp:posOffset>0</wp:posOffset>
            </wp:positionV>
            <wp:extent cx="6112802" cy="8819997"/>
            <wp:effectExtent l="0" t="0" r="0" b="0"/>
            <wp:wrapNone/>
            <wp:docPr id="119" name="image11.png" descr=""/>
            <wp:cNvGraphicFramePr>
              <a:graphicFrameLocks noChangeAspect="1"/>
            </wp:cNvGraphicFramePr>
            <a:graphic>
              <a:graphicData uri="http://schemas.openxmlformats.org/drawingml/2006/picture">
                <pic:pic>
                  <pic:nvPicPr>
                    <pic:cNvPr id="120" name="image11.png"/>
                    <pic:cNvPicPr/>
                  </pic:nvPicPr>
                  <pic:blipFill>
                    <a:blip r:embed="rId17" cstate="print"/>
                    <a:stretch>
                      <a:fillRect/>
                    </a:stretch>
                  </pic:blipFill>
                  <pic:spPr>
                    <a:xfrm>
                      <a:off x="0" y="0"/>
                      <a:ext cx="6112802" cy="8819997"/>
                    </a:xfrm>
                    <a:prstGeom prst="rect">
                      <a:avLst/>
                    </a:prstGeom>
                  </pic:spPr>
                </pic:pic>
              </a:graphicData>
            </a:graphic>
          </wp:anchor>
        </w:drawing>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8"/>
        </w:rPr>
      </w:pPr>
    </w:p>
    <w:p>
      <w:pPr>
        <w:pStyle w:val="Heading1"/>
        <w:numPr>
          <w:ilvl w:val="0"/>
          <w:numId w:val="62"/>
        </w:numPr>
        <w:tabs>
          <w:tab w:pos="2210" w:val="left" w:leader="none"/>
        </w:tabs>
        <w:spacing w:line="288" w:lineRule="exact" w:before="37" w:after="0"/>
        <w:ind w:left="429" w:right="3024" w:firstLine="1393"/>
        <w:jc w:val="right"/>
        <w:rPr>
          <w:color w:val="FFFFFF"/>
        </w:rPr>
      </w:pPr>
      <w:r>
        <w:rPr>
          <w:color w:val="FFFFFF"/>
          <w:w w:val="110"/>
        </w:rPr>
        <w:t>EL EMPLEO</w:t>
      </w:r>
      <w:r>
        <w:rPr>
          <w:color w:val="FFFFFF"/>
          <w:spacing w:val="1"/>
          <w:w w:val="110"/>
        </w:rPr>
        <w:t> </w:t>
      </w:r>
      <w:r>
        <w:rPr>
          <w:color w:val="FFFFFF"/>
          <w:w w:val="110"/>
        </w:rPr>
        <w:t>Y LA</w:t>
      </w:r>
      <w:r>
        <w:rPr>
          <w:color w:val="FFFFFF"/>
          <w:w w:val="108"/>
        </w:rPr>
        <w:t> </w:t>
      </w:r>
      <w:r>
        <w:rPr>
          <w:color w:val="FFFFFF"/>
          <w:w w:val="105"/>
        </w:rPr>
        <w:t>DESOCUPACIÓN:</w:t>
      </w:r>
      <w:r>
        <w:rPr>
          <w:color w:val="FFFFFF"/>
          <w:spacing w:val="19"/>
          <w:w w:val="105"/>
        </w:rPr>
        <w:t> </w:t>
      </w:r>
      <w:r>
        <w:rPr>
          <w:color w:val="FFFFFF"/>
          <w:w w:val="105"/>
        </w:rPr>
        <w:t>UN</w:t>
      </w:r>
      <w:r>
        <w:rPr>
          <w:color w:val="FFFFFF"/>
          <w:spacing w:val="19"/>
          <w:w w:val="105"/>
        </w:rPr>
        <w:t> </w:t>
      </w:r>
      <w:r>
        <w:rPr>
          <w:color w:val="FFFFFF"/>
          <w:w w:val="105"/>
        </w:rPr>
        <w:t>ANÁLISIS</w:t>
      </w:r>
      <w:r>
        <w:rPr>
          <w:color w:val="FFFFFF"/>
          <w:w w:val="109"/>
        </w:rPr>
        <w:t> </w:t>
      </w:r>
      <w:r>
        <w:rPr>
          <w:color w:val="FFFFFF"/>
          <w:w w:val="110"/>
        </w:rPr>
        <w:t>DESDE</w:t>
      </w:r>
      <w:r>
        <w:rPr>
          <w:color w:val="FFFFFF"/>
          <w:spacing w:val="-22"/>
          <w:w w:val="110"/>
        </w:rPr>
        <w:t> </w:t>
      </w:r>
      <w:r>
        <w:rPr>
          <w:color w:val="FFFFFF"/>
          <w:w w:val="110"/>
        </w:rPr>
        <w:t>LOS</w:t>
      </w:r>
      <w:r>
        <w:rPr>
          <w:color w:val="FFFFFF"/>
          <w:spacing w:val="-22"/>
          <w:w w:val="110"/>
        </w:rPr>
        <w:t> </w:t>
      </w:r>
      <w:r>
        <w:rPr>
          <w:color w:val="FFFFFF"/>
          <w:w w:val="110"/>
        </w:rPr>
        <w:t>ENFOQUES</w:t>
      </w:r>
      <w:r>
        <w:rPr>
          <w:color w:val="FFFFFF"/>
          <w:spacing w:val="-22"/>
          <w:w w:val="110"/>
        </w:rPr>
        <w:t> </w:t>
      </w:r>
      <w:r>
        <w:rPr>
          <w:color w:val="FFFFFF"/>
          <w:w w:val="110"/>
        </w:rPr>
        <w:t>TEÓRICOS</w:t>
      </w:r>
    </w:p>
    <w:p>
      <w:pPr>
        <w:spacing w:before="2"/>
        <w:ind w:left="1411" w:right="1998" w:firstLine="0"/>
        <w:jc w:val="center"/>
        <w:rPr>
          <w:rFonts w:ascii="Calibri"/>
          <w:sz w:val="24"/>
        </w:rPr>
      </w:pPr>
      <w:r>
        <w:rPr>
          <w:rFonts w:ascii="Calibri"/>
          <w:color w:val="FFFFFF"/>
          <w:w w:val="110"/>
          <w:sz w:val="24"/>
        </w:rPr>
        <w:t>KEYNESIANOS</w:t>
      </w:r>
    </w:p>
    <w:p>
      <w:pPr>
        <w:pStyle w:val="Heading3"/>
        <w:spacing w:line="240" w:lineRule="auto" w:before="122"/>
        <w:ind w:right="1037"/>
      </w:pPr>
      <w:bookmarkStart w:name="_TOC_250001" w:id="3"/>
      <w:bookmarkEnd w:id="3"/>
      <w:r>
        <w:rPr>
          <w:color w:val="FFFFFF"/>
          <w:w w:val="105"/>
        </w:rPr>
        <w:t>Luis Brito Cruz</w:t>
      </w:r>
    </w:p>
    <w:p>
      <w:pPr>
        <w:spacing w:after="0" w:line="240" w:lineRule="auto"/>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p>
      <w:pPr>
        <w:spacing w:before="55"/>
        <w:ind w:left="117" w:right="17" w:firstLine="0"/>
        <w:jc w:val="left"/>
        <w:rPr>
          <w:b/>
          <w:sz w:val="22"/>
        </w:rPr>
      </w:pPr>
      <w:r>
        <w:rPr>
          <w:b/>
          <w:color w:val="231F20"/>
          <w:sz w:val="22"/>
        </w:rPr>
        <w:t>Resumen</w:t>
      </w:r>
    </w:p>
    <w:p>
      <w:pPr>
        <w:pStyle w:val="BodyText"/>
        <w:rPr>
          <w:b/>
          <w:sz w:val="20"/>
        </w:rPr>
      </w:pPr>
    </w:p>
    <w:p>
      <w:pPr>
        <w:pStyle w:val="BodyText"/>
        <w:spacing w:before="10"/>
        <w:rPr>
          <w:b/>
          <w:sz w:val="15"/>
        </w:rPr>
      </w:pPr>
    </w:p>
    <w:p>
      <w:pPr>
        <w:pStyle w:val="BodyText"/>
        <w:spacing w:line="259" w:lineRule="auto"/>
        <w:ind w:left="1180" w:right="101"/>
        <w:jc w:val="both"/>
      </w:pPr>
      <w:r>
        <w:rPr/>
        <w:pict>
          <v:shape style="position:absolute;margin-left:82.218903pt;margin-top:13.282486pt;width:31.2pt;height:51pt;mso-position-horizontal-relative:page;mso-position-vertical-relative:paragraph;z-index:10144" type="#_x0000_t202" filled="false" stroked="false">
            <v:textbox inset="0,0,0,0">
              <w:txbxContent>
                <w:p>
                  <w:pPr>
                    <w:spacing w:line="1020" w:lineRule="exact" w:before="0"/>
                    <w:ind w:left="0" w:right="0" w:firstLine="0"/>
                    <w:jc w:val="left"/>
                    <w:rPr>
                      <w:rFonts w:ascii="Palatino Linotype"/>
                      <w:b/>
                      <w:sz w:val="102"/>
                    </w:rPr>
                  </w:pPr>
                  <w:r>
                    <w:rPr>
                      <w:rFonts w:ascii="Palatino Linotype"/>
                      <w:b/>
                      <w:color w:val="231F20"/>
                      <w:w w:val="100"/>
                      <w:sz w:val="102"/>
                    </w:rPr>
                    <w:t>E</w:t>
                  </w:r>
                </w:p>
              </w:txbxContent>
            </v:textbox>
            <w10:wrap type="none"/>
          </v:shape>
        </w:pict>
      </w:r>
      <w:r>
        <w:rPr>
          <w:color w:val="231F20"/>
          <w:w w:val="105"/>
        </w:rPr>
        <w:t>l objetivo es explicar el empleo y la desocupación a partir</w:t>
      </w:r>
      <w:r>
        <w:rPr>
          <w:color w:val="231F20"/>
          <w:spacing w:val="-35"/>
          <w:w w:val="105"/>
        </w:rPr>
        <w:t> </w:t>
      </w:r>
      <w:r>
        <w:rPr>
          <w:color w:val="231F20"/>
          <w:w w:val="105"/>
        </w:rPr>
        <w:t>de los fundamentos teóricos derivados del pensamiento</w:t>
      </w:r>
      <w:r>
        <w:rPr>
          <w:color w:val="231F20"/>
          <w:spacing w:val="-18"/>
          <w:w w:val="105"/>
        </w:rPr>
        <w:t> </w:t>
      </w:r>
      <w:r>
        <w:rPr>
          <w:color w:val="231F20"/>
          <w:w w:val="105"/>
        </w:rPr>
        <w:t>keyne- siano.</w:t>
      </w:r>
      <w:r>
        <w:rPr>
          <w:color w:val="231F20"/>
          <w:spacing w:val="-15"/>
          <w:w w:val="105"/>
        </w:rPr>
        <w:t> </w:t>
      </w:r>
      <w:r>
        <w:rPr>
          <w:color w:val="231F20"/>
          <w:w w:val="105"/>
        </w:rPr>
        <w:t>Inicialmente</w:t>
      </w:r>
      <w:r>
        <w:rPr>
          <w:color w:val="231F20"/>
          <w:spacing w:val="-9"/>
          <w:w w:val="105"/>
        </w:rPr>
        <w:t> </w:t>
      </w:r>
      <w:r>
        <w:rPr>
          <w:color w:val="231F20"/>
          <w:w w:val="105"/>
        </w:rPr>
        <w:t>se</w:t>
      </w:r>
      <w:r>
        <w:rPr>
          <w:color w:val="231F20"/>
          <w:spacing w:val="-9"/>
          <w:w w:val="105"/>
        </w:rPr>
        <w:t> </w:t>
      </w:r>
      <w:r>
        <w:rPr>
          <w:color w:val="231F20"/>
          <w:w w:val="105"/>
        </w:rPr>
        <w:t>exponen</w:t>
      </w:r>
      <w:r>
        <w:rPr>
          <w:color w:val="231F20"/>
          <w:spacing w:val="-9"/>
          <w:w w:val="105"/>
        </w:rPr>
        <w:t> </w:t>
      </w:r>
      <w:r>
        <w:rPr>
          <w:color w:val="231F20"/>
          <w:w w:val="105"/>
        </w:rPr>
        <w:t>los</w:t>
      </w:r>
      <w:r>
        <w:rPr>
          <w:color w:val="231F20"/>
          <w:spacing w:val="-9"/>
          <w:w w:val="105"/>
        </w:rPr>
        <w:t> </w:t>
      </w:r>
      <w:r>
        <w:rPr>
          <w:color w:val="231F20"/>
          <w:w w:val="105"/>
        </w:rPr>
        <w:t>principios</w:t>
      </w:r>
      <w:r>
        <w:rPr>
          <w:color w:val="231F20"/>
          <w:spacing w:val="-9"/>
          <w:w w:val="105"/>
        </w:rPr>
        <w:t> </w:t>
      </w:r>
      <w:r>
        <w:rPr>
          <w:color w:val="231F20"/>
          <w:w w:val="105"/>
        </w:rPr>
        <w:t>sustentados</w:t>
      </w:r>
      <w:r>
        <w:rPr>
          <w:color w:val="231F20"/>
          <w:spacing w:val="-9"/>
          <w:w w:val="105"/>
        </w:rPr>
        <w:t> </w:t>
      </w:r>
      <w:r>
        <w:rPr>
          <w:color w:val="231F20"/>
          <w:w w:val="105"/>
        </w:rPr>
        <w:t>en la teoría general de la ocupación, el interés y el dinero, que abordan</w:t>
      </w:r>
      <w:r>
        <w:rPr>
          <w:color w:val="231F20"/>
          <w:spacing w:val="-8"/>
          <w:w w:val="105"/>
        </w:rPr>
        <w:t> </w:t>
      </w:r>
      <w:r>
        <w:rPr>
          <w:color w:val="231F20"/>
          <w:w w:val="105"/>
        </w:rPr>
        <w:t>al</w:t>
      </w:r>
      <w:r>
        <w:rPr>
          <w:color w:val="231F20"/>
          <w:spacing w:val="-8"/>
          <w:w w:val="105"/>
        </w:rPr>
        <w:t> </w:t>
      </w:r>
      <w:r>
        <w:rPr>
          <w:color w:val="231F20"/>
          <w:w w:val="105"/>
        </w:rPr>
        <w:t>empleo</w:t>
      </w:r>
      <w:r>
        <w:rPr>
          <w:color w:val="231F20"/>
          <w:spacing w:val="-8"/>
          <w:w w:val="105"/>
        </w:rPr>
        <w:t> </w:t>
      </w:r>
      <w:r>
        <w:rPr>
          <w:color w:val="231F20"/>
          <w:w w:val="105"/>
        </w:rPr>
        <w:t>como</w:t>
      </w:r>
      <w:r>
        <w:rPr>
          <w:color w:val="231F20"/>
          <w:spacing w:val="-8"/>
          <w:w w:val="105"/>
        </w:rPr>
        <w:t> </w:t>
      </w:r>
      <w:r>
        <w:rPr>
          <w:color w:val="231F20"/>
          <w:w w:val="105"/>
        </w:rPr>
        <w:t>uno</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temas</w:t>
      </w:r>
      <w:r>
        <w:rPr>
          <w:color w:val="231F20"/>
          <w:spacing w:val="-8"/>
          <w:w w:val="105"/>
        </w:rPr>
        <w:t> </w:t>
      </w:r>
      <w:r>
        <w:rPr>
          <w:color w:val="231F20"/>
          <w:w w:val="105"/>
        </w:rPr>
        <w:t>centrales.</w:t>
      </w:r>
      <w:r>
        <w:rPr>
          <w:color w:val="231F20"/>
          <w:spacing w:val="-14"/>
          <w:w w:val="105"/>
        </w:rPr>
        <w:t> </w:t>
      </w:r>
      <w:r>
        <w:rPr>
          <w:color w:val="231F20"/>
          <w:spacing w:val="-3"/>
          <w:w w:val="105"/>
        </w:rPr>
        <w:t>Poste-</w:t>
      </w:r>
    </w:p>
    <w:p>
      <w:pPr>
        <w:pStyle w:val="BodyText"/>
        <w:spacing w:line="259" w:lineRule="auto"/>
        <w:ind w:left="117" w:right="101"/>
        <w:jc w:val="both"/>
      </w:pPr>
      <w:r>
        <w:rPr>
          <w:color w:val="231F20"/>
          <w:w w:val="105"/>
        </w:rPr>
        <w:t>riormente</w:t>
      </w:r>
      <w:r>
        <w:rPr>
          <w:color w:val="231F20"/>
          <w:spacing w:val="-11"/>
          <w:w w:val="105"/>
        </w:rPr>
        <w:t> </w:t>
      </w:r>
      <w:r>
        <w:rPr>
          <w:color w:val="231F20"/>
          <w:w w:val="105"/>
        </w:rPr>
        <w:t>se</w:t>
      </w:r>
      <w:r>
        <w:rPr>
          <w:color w:val="231F20"/>
          <w:spacing w:val="-11"/>
          <w:w w:val="105"/>
        </w:rPr>
        <w:t> </w:t>
      </w:r>
      <w:r>
        <w:rPr>
          <w:color w:val="231F20"/>
          <w:w w:val="105"/>
        </w:rPr>
        <w:t>explican</w:t>
      </w:r>
      <w:r>
        <w:rPr>
          <w:color w:val="231F20"/>
          <w:spacing w:val="-11"/>
          <w:w w:val="105"/>
        </w:rPr>
        <w:t> </w:t>
      </w:r>
      <w:r>
        <w:rPr>
          <w:color w:val="231F20"/>
          <w:w w:val="105"/>
        </w:rPr>
        <w:t>las</w:t>
      </w:r>
      <w:r>
        <w:rPr>
          <w:color w:val="231F20"/>
          <w:spacing w:val="-11"/>
          <w:w w:val="105"/>
        </w:rPr>
        <w:t> </w:t>
      </w:r>
      <w:r>
        <w:rPr>
          <w:color w:val="231F20"/>
          <w:w w:val="105"/>
        </w:rPr>
        <w:t>corrientes</w:t>
      </w:r>
      <w:r>
        <w:rPr>
          <w:color w:val="231F20"/>
          <w:spacing w:val="-11"/>
          <w:w w:val="105"/>
        </w:rPr>
        <w:t> </w:t>
      </w:r>
      <w:r>
        <w:rPr>
          <w:color w:val="231F20"/>
          <w:w w:val="105"/>
        </w:rPr>
        <w:t>teóricas</w:t>
      </w:r>
      <w:r>
        <w:rPr>
          <w:color w:val="231F20"/>
          <w:spacing w:val="-11"/>
          <w:w w:val="105"/>
        </w:rPr>
        <w:t> </w:t>
      </w:r>
      <w:r>
        <w:rPr>
          <w:color w:val="231F20"/>
          <w:w w:val="105"/>
        </w:rPr>
        <w:t>de</w:t>
      </w:r>
      <w:r>
        <w:rPr>
          <w:color w:val="231F20"/>
          <w:spacing w:val="-11"/>
          <w:w w:val="105"/>
        </w:rPr>
        <w:t> </w:t>
      </w:r>
      <w:r>
        <w:rPr>
          <w:color w:val="231F20"/>
          <w:w w:val="105"/>
        </w:rPr>
        <w:t>corte</w:t>
      </w:r>
      <w:r>
        <w:rPr>
          <w:color w:val="231F20"/>
          <w:spacing w:val="-11"/>
          <w:w w:val="105"/>
        </w:rPr>
        <w:t> </w:t>
      </w:r>
      <w:r>
        <w:rPr>
          <w:color w:val="231F20"/>
          <w:w w:val="105"/>
        </w:rPr>
        <w:t>keynesiano,</w:t>
      </w:r>
      <w:r>
        <w:rPr>
          <w:color w:val="231F20"/>
          <w:spacing w:val="-15"/>
          <w:w w:val="105"/>
        </w:rPr>
        <w:t> </w:t>
      </w:r>
      <w:r>
        <w:rPr>
          <w:color w:val="231F20"/>
          <w:w w:val="105"/>
        </w:rPr>
        <w:t>resal- tando</w:t>
      </w:r>
      <w:r>
        <w:rPr>
          <w:color w:val="231F20"/>
          <w:spacing w:val="-13"/>
          <w:w w:val="105"/>
        </w:rPr>
        <w:t> </w:t>
      </w:r>
      <w:r>
        <w:rPr>
          <w:color w:val="231F20"/>
          <w:w w:val="105"/>
        </w:rPr>
        <w:t>el</w:t>
      </w:r>
      <w:r>
        <w:rPr>
          <w:color w:val="231F20"/>
          <w:spacing w:val="-13"/>
          <w:w w:val="105"/>
        </w:rPr>
        <w:t> </w:t>
      </w:r>
      <w:r>
        <w:rPr>
          <w:color w:val="231F20"/>
          <w:w w:val="105"/>
        </w:rPr>
        <w:t>trato</w:t>
      </w:r>
      <w:r>
        <w:rPr>
          <w:color w:val="231F20"/>
          <w:spacing w:val="-13"/>
          <w:w w:val="105"/>
        </w:rPr>
        <w:t> </w:t>
      </w:r>
      <w:r>
        <w:rPr>
          <w:color w:val="231F20"/>
          <w:w w:val="105"/>
        </w:rPr>
        <w:t>que</w:t>
      </w:r>
      <w:r>
        <w:rPr>
          <w:color w:val="231F20"/>
          <w:spacing w:val="-13"/>
          <w:w w:val="105"/>
        </w:rPr>
        <w:t> </w:t>
      </w:r>
      <w:r>
        <w:rPr>
          <w:color w:val="231F20"/>
          <w:w w:val="105"/>
        </w:rPr>
        <w:t>dan</w:t>
      </w:r>
      <w:r>
        <w:rPr>
          <w:color w:val="231F20"/>
          <w:spacing w:val="-13"/>
          <w:w w:val="105"/>
        </w:rPr>
        <w:t> </w:t>
      </w:r>
      <w:r>
        <w:rPr>
          <w:color w:val="231F20"/>
          <w:w w:val="105"/>
        </w:rPr>
        <w:t>al</w:t>
      </w:r>
      <w:r>
        <w:rPr>
          <w:color w:val="231F20"/>
          <w:spacing w:val="-13"/>
          <w:w w:val="105"/>
        </w:rPr>
        <w:t> </w:t>
      </w:r>
      <w:r>
        <w:rPr>
          <w:color w:val="231F20"/>
          <w:w w:val="105"/>
        </w:rPr>
        <w:t>problema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desocupación,</w:t>
      </w:r>
      <w:r>
        <w:rPr>
          <w:color w:val="231F20"/>
          <w:spacing w:val="-18"/>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la</w:t>
      </w:r>
      <w:r>
        <w:rPr>
          <w:color w:val="231F20"/>
          <w:spacing w:val="-13"/>
          <w:w w:val="105"/>
        </w:rPr>
        <w:t> </w:t>
      </w:r>
      <w:r>
        <w:rPr>
          <w:color w:val="231F20"/>
          <w:w w:val="105"/>
        </w:rPr>
        <w:t>rela- ción entre el nivel de empleo y los salarios, el nivel de actividad económica</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productividad.</w:t>
      </w:r>
      <w:r>
        <w:rPr>
          <w:color w:val="231F20"/>
          <w:spacing w:val="-20"/>
          <w:w w:val="105"/>
        </w:rPr>
        <w:t> </w:t>
      </w:r>
      <w:r>
        <w:rPr>
          <w:color w:val="231F20"/>
          <w:w w:val="105"/>
        </w:rPr>
        <w:t>El</w:t>
      </w:r>
      <w:r>
        <w:rPr>
          <w:color w:val="231F20"/>
          <w:spacing w:val="-13"/>
          <w:w w:val="105"/>
        </w:rPr>
        <w:t> </w:t>
      </w:r>
      <w:r>
        <w:rPr>
          <w:color w:val="231F20"/>
          <w:w w:val="105"/>
        </w:rPr>
        <w:t>alcance</w:t>
      </w:r>
      <w:r>
        <w:rPr>
          <w:color w:val="231F20"/>
          <w:spacing w:val="-13"/>
          <w:w w:val="105"/>
        </w:rPr>
        <w:t> </w:t>
      </w:r>
      <w:r>
        <w:rPr>
          <w:color w:val="231F20"/>
          <w:w w:val="105"/>
        </w:rPr>
        <w:t>del</w:t>
      </w:r>
      <w:r>
        <w:rPr>
          <w:color w:val="231F20"/>
          <w:spacing w:val="-13"/>
          <w:w w:val="105"/>
        </w:rPr>
        <w:t> </w:t>
      </w:r>
      <w:r>
        <w:rPr>
          <w:color w:val="231F20"/>
          <w:w w:val="105"/>
        </w:rPr>
        <w:t>estudio</w:t>
      </w:r>
      <w:r>
        <w:rPr>
          <w:color w:val="231F20"/>
          <w:spacing w:val="-13"/>
          <w:w w:val="105"/>
        </w:rPr>
        <w:t> </w:t>
      </w:r>
      <w:r>
        <w:rPr>
          <w:color w:val="231F20"/>
          <w:w w:val="105"/>
        </w:rPr>
        <w:t>es</w:t>
      </w:r>
      <w:r>
        <w:rPr>
          <w:color w:val="231F20"/>
          <w:spacing w:val="-13"/>
          <w:w w:val="105"/>
        </w:rPr>
        <w:t> </w:t>
      </w:r>
      <w:r>
        <w:rPr>
          <w:color w:val="231F20"/>
          <w:w w:val="105"/>
        </w:rPr>
        <w:t>de</w:t>
      </w:r>
      <w:r>
        <w:rPr>
          <w:color w:val="231F20"/>
          <w:spacing w:val="-13"/>
          <w:w w:val="105"/>
        </w:rPr>
        <w:t> </w:t>
      </w:r>
      <w:r>
        <w:rPr>
          <w:color w:val="231F20"/>
          <w:w w:val="105"/>
        </w:rPr>
        <w:t>tipo</w:t>
      </w:r>
      <w:r>
        <w:rPr>
          <w:color w:val="231F20"/>
          <w:spacing w:val="-13"/>
          <w:w w:val="105"/>
        </w:rPr>
        <w:t> </w:t>
      </w:r>
      <w:r>
        <w:rPr>
          <w:color w:val="231F20"/>
          <w:w w:val="105"/>
        </w:rPr>
        <w:t>explicati- vo y entre las principales aportaciones se exponen diversos elementos teóricos</w:t>
      </w:r>
      <w:r>
        <w:rPr>
          <w:color w:val="231F20"/>
          <w:spacing w:val="-11"/>
          <w:w w:val="105"/>
        </w:rPr>
        <w:t> </w:t>
      </w:r>
      <w:r>
        <w:rPr>
          <w:color w:val="231F20"/>
          <w:w w:val="105"/>
        </w:rPr>
        <w:t>para</w:t>
      </w:r>
      <w:r>
        <w:rPr>
          <w:color w:val="231F20"/>
          <w:spacing w:val="-11"/>
          <w:w w:val="105"/>
        </w:rPr>
        <w:t> </w:t>
      </w:r>
      <w:r>
        <w:rPr>
          <w:color w:val="231F20"/>
          <w:w w:val="105"/>
        </w:rPr>
        <w:t>comprender</w:t>
      </w:r>
      <w:r>
        <w:rPr>
          <w:color w:val="231F20"/>
          <w:spacing w:val="-11"/>
          <w:w w:val="105"/>
        </w:rPr>
        <w:t> </w:t>
      </w:r>
      <w:r>
        <w:rPr>
          <w:color w:val="231F20"/>
          <w:w w:val="105"/>
        </w:rPr>
        <w:t>la</w:t>
      </w:r>
      <w:r>
        <w:rPr>
          <w:color w:val="231F20"/>
          <w:spacing w:val="-11"/>
          <w:w w:val="105"/>
        </w:rPr>
        <w:t> </w:t>
      </w:r>
      <w:r>
        <w:rPr>
          <w:color w:val="231F20"/>
          <w:w w:val="105"/>
        </w:rPr>
        <w:t>dinámica</w:t>
      </w:r>
      <w:r>
        <w:rPr>
          <w:color w:val="231F20"/>
          <w:spacing w:val="-11"/>
          <w:w w:val="105"/>
        </w:rPr>
        <w:t> </w:t>
      </w:r>
      <w:r>
        <w:rPr>
          <w:color w:val="231F20"/>
          <w:w w:val="105"/>
        </w:rPr>
        <w:t>del</w:t>
      </w:r>
      <w:r>
        <w:rPr>
          <w:color w:val="231F20"/>
          <w:spacing w:val="-11"/>
          <w:w w:val="105"/>
        </w:rPr>
        <w:t> </w:t>
      </w:r>
      <w:r>
        <w:rPr>
          <w:color w:val="231F20"/>
          <w:w w:val="105"/>
        </w:rPr>
        <w:t>empleo</w:t>
      </w:r>
      <w:r>
        <w:rPr>
          <w:color w:val="231F20"/>
          <w:spacing w:val="-11"/>
          <w:w w:val="105"/>
        </w:rPr>
        <w:t> </w:t>
      </w:r>
      <w:r>
        <w:rPr>
          <w:color w:val="231F20"/>
          <w:w w:val="105"/>
        </w:rPr>
        <w:t>y</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desocupación; asimismo,</w:t>
      </w:r>
      <w:r>
        <w:rPr>
          <w:color w:val="231F20"/>
          <w:spacing w:val="-25"/>
          <w:w w:val="105"/>
        </w:rPr>
        <w:t> </w:t>
      </w:r>
      <w:r>
        <w:rPr>
          <w:color w:val="231F20"/>
          <w:w w:val="105"/>
        </w:rPr>
        <w:t>se</w:t>
      </w:r>
      <w:r>
        <w:rPr>
          <w:color w:val="231F20"/>
          <w:spacing w:val="-19"/>
          <w:w w:val="105"/>
        </w:rPr>
        <w:t> </w:t>
      </w:r>
      <w:r>
        <w:rPr>
          <w:color w:val="231F20"/>
          <w:w w:val="105"/>
        </w:rPr>
        <w:t>muestra</w:t>
      </w:r>
      <w:r>
        <w:rPr>
          <w:color w:val="231F20"/>
          <w:spacing w:val="-19"/>
          <w:w w:val="105"/>
        </w:rPr>
        <w:t> </w:t>
      </w:r>
      <w:r>
        <w:rPr>
          <w:color w:val="231F20"/>
          <w:w w:val="105"/>
        </w:rPr>
        <w:t>que</w:t>
      </w:r>
      <w:r>
        <w:rPr>
          <w:color w:val="231F20"/>
          <w:spacing w:val="-19"/>
          <w:w w:val="105"/>
        </w:rPr>
        <w:t> </w:t>
      </w:r>
      <w:r>
        <w:rPr>
          <w:color w:val="231F20"/>
          <w:w w:val="105"/>
        </w:rPr>
        <w:t>entre</w:t>
      </w:r>
      <w:r>
        <w:rPr>
          <w:color w:val="231F20"/>
          <w:spacing w:val="-19"/>
          <w:w w:val="105"/>
        </w:rPr>
        <w:t> </w:t>
      </w:r>
      <w:r>
        <w:rPr>
          <w:color w:val="231F20"/>
          <w:w w:val="105"/>
        </w:rPr>
        <w:t>los</w:t>
      </w:r>
      <w:r>
        <w:rPr>
          <w:color w:val="231F20"/>
          <w:spacing w:val="-19"/>
          <w:w w:val="105"/>
        </w:rPr>
        <w:t> </w:t>
      </w:r>
      <w:r>
        <w:rPr>
          <w:color w:val="231F20"/>
          <w:w w:val="105"/>
        </w:rPr>
        <w:t>enfoques</w:t>
      </w:r>
      <w:r>
        <w:rPr>
          <w:color w:val="231F20"/>
          <w:spacing w:val="-19"/>
          <w:w w:val="105"/>
        </w:rPr>
        <w:t> </w:t>
      </w:r>
      <w:r>
        <w:rPr>
          <w:color w:val="231F20"/>
          <w:w w:val="105"/>
        </w:rPr>
        <w:t>de</w:t>
      </w:r>
      <w:r>
        <w:rPr>
          <w:color w:val="231F20"/>
          <w:spacing w:val="-19"/>
          <w:w w:val="105"/>
        </w:rPr>
        <w:t> </w:t>
      </w:r>
      <w:r>
        <w:rPr>
          <w:color w:val="231F20"/>
          <w:w w:val="105"/>
        </w:rPr>
        <w:t>tipo</w:t>
      </w:r>
      <w:r>
        <w:rPr>
          <w:color w:val="231F20"/>
          <w:spacing w:val="-19"/>
          <w:w w:val="105"/>
        </w:rPr>
        <w:t> </w:t>
      </w:r>
      <w:r>
        <w:rPr>
          <w:color w:val="231F20"/>
          <w:w w:val="105"/>
        </w:rPr>
        <w:t>keynesiano</w:t>
      </w:r>
      <w:r>
        <w:rPr>
          <w:color w:val="231F20"/>
          <w:spacing w:val="-19"/>
          <w:w w:val="105"/>
        </w:rPr>
        <w:t> </w:t>
      </w:r>
      <w:r>
        <w:rPr>
          <w:color w:val="231F20"/>
          <w:w w:val="105"/>
        </w:rPr>
        <w:t>existen discrepancias teóricas, pero en general mantienen la hipótesis central del</w:t>
      </w:r>
      <w:r>
        <w:rPr>
          <w:color w:val="231F20"/>
          <w:spacing w:val="-15"/>
          <w:w w:val="105"/>
        </w:rPr>
        <w:t> </w:t>
      </w:r>
      <w:r>
        <w:rPr>
          <w:color w:val="231F20"/>
          <w:w w:val="105"/>
        </w:rPr>
        <w:t>pensamiento</w:t>
      </w:r>
      <w:r>
        <w:rPr>
          <w:color w:val="231F20"/>
          <w:spacing w:val="-15"/>
          <w:w w:val="105"/>
        </w:rPr>
        <w:t> </w:t>
      </w:r>
      <w:r>
        <w:rPr>
          <w:color w:val="231F20"/>
          <w:w w:val="105"/>
        </w:rPr>
        <w:t>keynesiano</w:t>
      </w:r>
      <w:r>
        <w:rPr>
          <w:color w:val="231F20"/>
          <w:spacing w:val="-15"/>
          <w:w w:val="105"/>
        </w:rPr>
        <w:t> </w:t>
      </w:r>
      <w:r>
        <w:rPr>
          <w:color w:val="231F20"/>
          <w:w w:val="105"/>
        </w:rPr>
        <w:t>original,</w:t>
      </w:r>
      <w:r>
        <w:rPr>
          <w:color w:val="231F20"/>
          <w:spacing w:val="-20"/>
          <w:w w:val="105"/>
        </w:rPr>
        <w:t> </w:t>
      </w:r>
      <w:r>
        <w:rPr>
          <w:color w:val="231F20"/>
          <w:w w:val="105"/>
        </w:rPr>
        <w:t>el</w:t>
      </w:r>
      <w:r>
        <w:rPr>
          <w:color w:val="231F20"/>
          <w:spacing w:val="-15"/>
          <w:w w:val="105"/>
        </w:rPr>
        <w:t> </w:t>
      </w:r>
      <w:r>
        <w:rPr>
          <w:color w:val="231F20"/>
          <w:w w:val="105"/>
        </w:rPr>
        <w:t>cual</w:t>
      </w:r>
      <w:r>
        <w:rPr>
          <w:color w:val="231F20"/>
          <w:spacing w:val="-15"/>
          <w:w w:val="105"/>
        </w:rPr>
        <w:t> </w:t>
      </w:r>
      <w:r>
        <w:rPr>
          <w:color w:val="231F20"/>
          <w:w w:val="105"/>
        </w:rPr>
        <w:t>busca</w:t>
      </w:r>
      <w:r>
        <w:rPr>
          <w:color w:val="231F20"/>
          <w:spacing w:val="-15"/>
          <w:w w:val="105"/>
        </w:rPr>
        <w:t> </w:t>
      </w:r>
      <w:r>
        <w:rPr>
          <w:color w:val="231F20"/>
          <w:w w:val="105"/>
        </w:rPr>
        <w:t>explicar</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desocu- pación a partir de observar que los salarios son rígidos a la baja y ello evita el equilibrio de pleno empleo en el mercado de</w:t>
      </w:r>
      <w:r>
        <w:rPr>
          <w:color w:val="231F20"/>
          <w:spacing w:val="-16"/>
          <w:w w:val="105"/>
        </w:rPr>
        <w:t> </w:t>
      </w:r>
      <w:r>
        <w:rPr>
          <w:color w:val="231F20"/>
          <w:w w:val="105"/>
        </w:rPr>
        <w:t>trabajo.</w:t>
      </w:r>
    </w:p>
    <w:p>
      <w:pPr>
        <w:pStyle w:val="BodyText"/>
        <w:rPr>
          <w:sz w:val="20"/>
        </w:rPr>
      </w:pPr>
    </w:p>
    <w:p>
      <w:pPr>
        <w:pStyle w:val="BodyText"/>
        <w:spacing w:before="7"/>
        <w:rPr>
          <w:sz w:val="18"/>
        </w:rPr>
      </w:pPr>
    </w:p>
    <w:p>
      <w:pPr>
        <w:spacing w:before="0"/>
        <w:ind w:left="117" w:right="0" w:firstLine="0"/>
        <w:jc w:val="both"/>
        <w:rPr>
          <w:b/>
          <w:sz w:val="22"/>
        </w:rPr>
      </w:pPr>
      <w:r>
        <w:rPr>
          <w:b/>
          <w:color w:val="231F20"/>
          <w:sz w:val="22"/>
        </w:rPr>
        <w:t>Introducción</w:t>
      </w:r>
    </w:p>
    <w:p>
      <w:pPr>
        <w:pStyle w:val="BodyText"/>
        <w:rPr>
          <w:b/>
          <w:sz w:val="22"/>
        </w:rPr>
      </w:pPr>
    </w:p>
    <w:p>
      <w:pPr>
        <w:pStyle w:val="BodyText"/>
        <w:spacing w:line="259" w:lineRule="auto" w:before="160"/>
        <w:ind w:left="117" w:right="101"/>
        <w:jc w:val="both"/>
      </w:pPr>
      <w:r>
        <w:rPr>
          <w:color w:val="231F20"/>
          <w:w w:val="105"/>
        </w:rPr>
        <w:t>La</w:t>
      </w:r>
      <w:r>
        <w:rPr>
          <w:color w:val="231F20"/>
          <w:spacing w:val="-16"/>
          <w:w w:val="105"/>
        </w:rPr>
        <w:t> </w:t>
      </w:r>
      <w:r>
        <w:rPr>
          <w:color w:val="231F20"/>
          <w:w w:val="105"/>
        </w:rPr>
        <w:t>mayoría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países</w:t>
      </w:r>
      <w:r>
        <w:rPr>
          <w:color w:val="231F20"/>
          <w:spacing w:val="-16"/>
          <w:w w:val="105"/>
        </w:rPr>
        <w:t> </w:t>
      </w:r>
      <w:r>
        <w:rPr>
          <w:color w:val="231F20"/>
          <w:w w:val="105"/>
        </w:rPr>
        <w:t>en</w:t>
      </w:r>
      <w:r>
        <w:rPr>
          <w:color w:val="231F20"/>
          <w:spacing w:val="-16"/>
          <w:w w:val="105"/>
        </w:rPr>
        <w:t> </w:t>
      </w:r>
      <w:r>
        <w:rPr>
          <w:color w:val="231F20"/>
          <w:w w:val="105"/>
        </w:rPr>
        <w:t>desarrollo</w:t>
      </w:r>
      <w:r>
        <w:rPr>
          <w:color w:val="231F20"/>
          <w:spacing w:val="-16"/>
          <w:w w:val="105"/>
        </w:rPr>
        <w:t> </w:t>
      </w:r>
      <w:r>
        <w:rPr>
          <w:color w:val="231F20"/>
          <w:w w:val="105"/>
        </w:rPr>
        <w:t>enfrentan</w:t>
      </w:r>
      <w:r>
        <w:rPr>
          <w:color w:val="231F20"/>
          <w:spacing w:val="-16"/>
          <w:w w:val="105"/>
        </w:rPr>
        <w:t> </w:t>
      </w:r>
      <w:r>
        <w:rPr>
          <w:color w:val="231F20"/>
          <w:w w:val="105"/>
        </w:rPr>
        <w:t>dificultades</w:t>
      </w:r>
      <w:r>
        <w:rPr>
          <w:color w:val="231F20"/>
          <w:spacing w:val="-16"/>
          <w:w w:val="105"/>
        </w:rPr>
        <w:t> </w:t>
      </w:r>
      <w:r>
        <w:rPr>
          <w:color w:val="231F20"/>
          <w:w w:val="105"/>
        </w:rPr>
        <w:t>para</w:t>
      </w:r>
      <w:r>
        <w:rPr>
          <w:color w:val="231F20"/>
          <w:spacing w:val="-16"/>
          <w:w w:val="105"/>
        </w:rPr>
        <w:t> </w:t>
      </w:r>
      <w:r>
        <w:rPr>
          <w:color w:val="231F20"/>
          <w:w w:val="105"/>
        </w:rPr>
        <w:t>resol- ver cuestiones derivadas de la insuficiente generación de empleos; la creciente</w:t>
      </w:r>
      <w:r>
        <w:rPr>
          <w:color w:val="231F20"/>
          <w:spacing w:val="-13"/>
          <w:w w:val="105"/>
        </w:rPr>
        <w:t> </w:t>
      </w:r>
      <w:r>
        <w:rPr>
          <w:color w:val="231F20"/>
          <w:w w:val="105"/>
        </w:rPr>
        <w:t>desocupación</w:t>
      </w:r>
      <w:r>
        <w:rPr>
          <w:color w:val="231F20"/>
          <w:spacing w:val="-13"/>
          <w:w w:val="105"/>
        </w:rPr>
        <w:t> </w:t>
      </w:r>
      <w:r>
        <w:rPr>
          <w:color w:val="231F20"/>
          <w:w w:val="105"/>
        </w:rPr>
        <w:t>ha</w:t>
      </w:r>
      <w:r>
        <w:rPr>
          <w:color w:val="231F20"/>
          <w:spacing w:val="-13"/>
          <w:w w:val="105"/>
        </w:rPr>
        <w:t> </w:t>
      </w:r>
      <w:r>
        <w:rPr>
          <w:color w:val="231F20"/>
          <w:w w:val="105"/>
        </w:rPr>
        <w:t>generado</w:t>
      </w:r>
      <w:r>
        <w:rPr>
          <w:color w:val="231F20"/>
          <w:spacing w:val="-13"/>
          <w:w w:val="105"/>
        </w:rPr>
        <w:t> </w:t>
      </w:r>
      <w:r>
        <w:rPr>
          <w:color w:val="231F20"/>
          <w:w w:val="105"/>
        </w:rPr>
        <w:t>diversos</w:t>
      </w:r>
      <w:r>
        <w:rPr>
          <w:color w:val="231F20"/>
          <w:spacing w:val="-13"/>
          <w:w w:val="105"/>
        </w:rPr>
        <w:t> </w:t>
      </w:r>
      <w:r>
        <w:rPr>
          <w:color w:val="231F20"/>
          <w:w w:val="105"/>
        </w:rPr>
        <w:t>problemas</w:t>
      </w:r>
      <w:r>
        <w:rPr>
          <w:color w:val="231F20"/>
          <w:spacing w:val="-13"/>
          <w:w w:val="105"/>
        </w:rPr>
        <w:t> </w:t>
      </w:r>
      <w:r>
        <w:rPr>
          <w:color w:val="231F20"/>
          <w:w w:val="105"/>
        </w:rPr>
        <w:t>económicos</w:t>
      </w:r>
      <w:r>
        <w:rPr>
          <w:color w:val="231F20"/>
          <w:spacing w:val="-13"/>
          <w:w w:val="105"/>
        </w:rPr>
        <w:t> </w:t>
      </w:r>
      <w:r>
        <w:rPr>
          <w:color w:val="231F20"/>
          <w:w w:val="105"/>
        </w:rPr>
        <w:t>y sociales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han</w:t>
      </w:r>
      <w:r>
        <w:rPr>
          <w:color w:val="231F20"/>
          <w:spacing w:val="-5"/>
          <w:w w:val="105"/>
        </w:rPr>
        <w:t> </w:t>
      </w:r>
      <w:r>
        <w:rPr>
          <w:color w:val="231F20"/>
          <w:w w:val="105"/>
        </w:rPr>
        <w:t>agudizado</w:t>
      </w:r>
      <w:r>
        <w:rPr>
          <w:color w:val="231F20"/>
          <w:spacing w:val="-5"/>
          <w:w w:val="105"/>
        </w:rPr>
        <w:t> </w:t>
      </w:r>
      <w:r>
        <w:rPr>
          <w:color w:val="231F20"/>
          <w:w w:val="105"/>
        </w:rPr>
        <w:t>y</w:t>
      </w:r>
      <w:r>
        <w:rPr>
          <w:color w:val="231F20"/>
          <w:spacing w:val="-5"/>
          <w:w w:val="105"/>
        </w:rPr>
        <w:t> </w:t>
      </w:r>
      <w:r>
        <w:rPr>
          <w:color w:val="231F20"/>
          <w:w w:val="105"/>
        </w:rPr>
        <w:t>traducido</w:t>
      </w:r>
      <w:r>
        <w:rPr>
          <w:color w:val="231F20"/>
          <w:spacing w:val="-5"/>
          <w:w w:val="105"/>
        </w:rPr>
        <w:t> </w:t>
      </w:r>
      <w:r>
        <w:rPr>
          <w:color w:val="231F20"/>
          <w:w w:val="105"/>
        </w:rPr>
        <w:t>en</w:t>
      </w:r>
      <w:r>
        <w:rPr>
          <w:color w:val="231F20"/>
          <w:spacing w:val="-5"/>
          <w:w w:val="105"/>
        </w:rPr>
        <w:t> </w:t>
      </w:r>
      <w:r>
        <w:rPr>
          <w:color w:val="231F20"/>
          <w:w w:val="105"/>
        </w:rPr>
        <w:t>pérdida</w:t>
      </w:r>
      <w:r>
        <w:rPr>
          <w:color w:val="231F20"/>
          <w:spacing w:val="-5"/>
          <w:w w:val="105"/>
        </w:rPr>
        <w:t> </w:t>
      </w:r>
      <w:r>
        <w:rPr>
          <w:color w:val="231F20"/>
          <w:w w:val="105"/>
        </w:rPr>
        <w:t>de</w:t>
      </w:r>
      <w:r>
        <w:rPr>
          <w:color w:val="231F20"/>
          <w:spacing w:val="-5"/>
          <w:w w:val="105"/>
        </w:rPr>
        <w:t> </w:t>
      </w:r>
      <w:r>
        <w:rPr>
          <w:color w:val="231F20"/>
          <w:w w:val="105"/>
        </w:rPr>
        <w:t>productividad y</w:t>
      </w:r>
      <w:r>
        <w:rPr>
          <w:color w:val="231F20"/>
          <w:spacing w:val="-15"/>
          <w:w w:val="105"/>
        </w:rPr>
        <w:t> </w:t>
      </w:r>
      <w:r>
        <w:rPr>
          <w:color w:val="231F20"/>
          <w:w w:val="105"/>
        </w:rPr>
        <w:t>de</w:t>
      </w:r>
      <w:r>
        <w:rPr>
          <w:color w:val="231F20"/>
          <w:spacing w:val="-15"/>
          <w:w w:val="105"/>
        </w:rPr>
        <w:t> </w:t>
      </w:r>
      <w:r>
        <w:rPr>
          <w:color w:val="231F20"/>
          <w:w w:val="105"/>
        </w:rPr>
        <w:t>competitividad</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países</w:t>
      </w:r>
      <w:r>
        <w:rPr>
          <w:color w:val="231F20"/>
          <w:spacing w:val="-15"/>
          <w:w w:val="105"/>
        </w:rPr>
        <w:t> </w:t>
      </w:r>
      <w:r>
        <w:rPr>
          <w:color w:val="231F20"/>
          <w:w w:val="105"/>
        </w:rPr>
        <w:t>hacia</w:t>
      </w:r>
      <w:r>
        <w:rPr>
          <w:color w:val="231F20"/>
          <w:spacing w:val="-15"/>
          <w:w w:val="105"/>
        </w:rPr>
        <w:t> </w:t>
      </w:r>
      <w:r>
        <w:rPr>
          <w:color w:val="231F20"/>
          <w:w w:val="105"/>
        </w:rPr>
        <w:t>el</w:t>
      </w:r>
      <w:r>
        <w:rPr>
          <w:color w:val="231F20"/>
          <w:spacing w:val="-15"/>
          <w:w w:val="105"/>
        </w:rPr>
        <w:t> </w:t>
      </w:r>
      <w:r>
        <w:rPr>
          <w:color w:val="231F20"/>
          <w:w w:val="105"/>
        </w:rPr>
        <w:t>exterior.</w:t>
      </w:r>
    </w:p>
    <w:p>
      <w:pPr>
        <w:spacing w:after="0" w:line="259" w:lineRule="auto"/>
        <w:jc w:val="both"/>
        <w:sectPr>
          <w:pgSz w:w="9640" w:h="13890"/>
          <w:pgMar w:top="1300" w:bottom="280" w:left="1300" w:right="1200"/>
        </w:sectPr>
      </w:pPr>
    </w:p>
    <w:p>
      <w:pPr>
        <w:pStyle w:val="BodyText"/>
        <w:spacing w:line="259" w:lineRule="auto" w:before="120"/>
        <w:ind w:left="103" w:right="114"/>
        <w:jc w:val="both"/>
      </w:pPr>
      <w:r>
        <w:rPr>
          <w:color w:val="231F20"/>
          <w:w w:val="105"/>
        </w:rPr>
        <w:t>La desocupación ha profundizado desequilibrios en el mercado de tra- bajo,</w:t>
      </w:r>
      <w:r>
        <w:rPr>
          <w:color w:val="231F20"/>
          <w:spacing w:val="-14"/>
          <w:w w:val="105"/>
        </w:rPr>
        <w:t> </w:t>
      </w:r>
      <w:r>
        <w:rPr>
          <w:color w:val="231F20"/>
          <w:w w:val="105"/>
        </w:rPr>
        <w:t>caracterizados</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alta</w:t>
      </w:r>
      <w:r>
        <w:rPr>
          <w:color w:val="231F20"/>
          <w:spacing w:val="-8"/>
          <w:w w:val="105"/>
        </w:rPr>
        <w:t> </w:t>
      </w:r>
      <w:r>
        <w:rPr>
          <w:color w:val="231F20"/>
          <w:w w:val="105"/>
        </w:rPr>
        <w:t>concentración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fuerza</w:t>
      </w:r>
      <w:r>
        <w:rPr>
          <w:color w:val="231F20"/>
          <w:spacing w:val="-8"/>
          <w:w w:val="105"/>
        </w:rPr>
        <w:t> </w:t>
      </w:r>
      <w:r>
        <w:rPr>
          <w:color w:val="231F20"/>
          <w:w w:val="105"/>
        </w:rPr>
        <w:t>de</w:t>
      </w:r>
      <w:r>
        <w:rPr>
          <w:color w:val="231F20"/>
          <w:spacing w:val="-8"/>
          <w:w w:val="105"/>
        </w:rPr>
        <w:t> </w:t>
      </w:r>
      <w:r>
        <w:rPr>
          <w:color w:val="231F20"/>
          <w:w w:val="105"/>
        </w:rPr>
        <w:t>trabajo</w:t>
      </w:r>
      <w:r>
        <w:rPr>
          <w:color w:val="231F20"/>
          <w:spacing w:val="-8"/>
          <w:w w:val="105"/>
        </w:rPr>
        <w:t> </w:t>
      </w:r>
      <w:r>
        <w:rPr>
          <w:color w:val="231F20"/>
          <w:w w:val="105"/>
        </w:rPr>
        <w:t>en el sector terciario y en el de la construcción; aumento del desempleo juvenil y del empleo informal; mayor diferenciación de los mercados</w:t>
      </w:r>
      <w:r>
        <w:rPr>
          <w:color w:val="231F20"/>
          <w:spacing w:val="-18"/>
          <w:w w:val="105"/>
        </w:rPr>
        <w:t> </w:t>
      </w:r>
      <w:r>
        <w:rPr>
          <w:color w:val="231F20"/>
          <w:w w:val="105"/>
        </w:rPr>
        <w:t>de trabajo</w:t>
      </w:r>
      <w:r>
        <w:rPr>
          <w:color w:val="231F20"/>
          <w:spacing w:val="-26"/>
          <w:w w:val="105"/>
        </w:rPr>
        <w:t> </w:t>
      </w:r>
      <w:r>
        <w:rPr>
          <w:color w:val="231F20"/>
          <w:w w:val="105"/>
        </w:rPr>
        <w:t>urbano</w:t>
      </w:r>
      <w:r>
        <w:rPr>
          <w:color w:val="231F20"/>
          <w:spacing w:val="-26"/>
          <w:w w:val="105"/>
        </w:rPr>
        <w:t> </w:t>
      </w:r>
      <w:r>
        <w:rPr>
          <w:color w:val="231F20"/>
          <w:w w:val="105"/>
        </w:rPr>
        <w:t>y</w:t>
      </w:r>
      <w:r>
        <w:rPr>
          <w:color w:val="231F20"/>
          <w:spacing w:val="-26"/>
          <w:w w:val="105"/>
        </w:rPr>
        <w:t> </w:t>
      </w:r>
      <w:r>
        <w:rPr>
          <w:color w:val="231F20"/>
          <w:w w:val="105"/>
        </w:rPr>
        <w:t>rural;</w:t>
      </w:r>
      <w:r>
        <w:rPr>
          <w:color w:val="231F20"/>
          <w:spacing w:val="-26"/>
          <w:w w:val="105"/>
        </w:rPr>
        <w:t> </w:t>
      </w:r>
      <w:r>
        <w:rPr>
          <w:color w:val="231F20"/>
          <w:w w:val="105"/>
        </w:rPr>
        <w:t>incremento</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brechas</w:t>
      </w:r>
      <w:r>
        <w:rPr>
          <w:color w:val="231F20"/>
          <w:spacing w:val="-26"/>
          <w:w w:val="105"/>
        </w:rPr>
        <w:t> </w:t>
      </w:r>
      <w:r>
        <w:rPr>
          <w:color w:val="231F20"/>
          <w:w w:val="105"/>
        </w:rPr>
        <w:t>salariales</w:t>
      </w:r>
      <w:r>
        <w:rPr>
          <w:color w:val="231F20"/>
          <w:spacing w:val="-26"/>
          <w:w w:val="105"/>
        </w:rPr>
        <w:t> </w:t>
      </w:r>
      <w:r>
        <w:rPr>
          <w:color w:val="231F20"/>
          <w:w w:val="105"/>
        </w:rPr>
        <w:t>y</w:t>
      </w:r>
      <w:r>
        <w:rPr>
          <w:color w:val="231F20"/>
          <w:spacing w:val="-26"/>
          <w:w w:val="105"/>
        </w:rPr>
        <w:t> </w:t>
      </w:r>
      <w:r>
        <w:rPr>
          <w:color w:val="231F20"/>
          <w:w w:val="105"/>
        </w:rPr>
        <w:t>mayor</w:t>
      </w:r>
      <w:r>
        <w:rPr>
          <w:color w:val="231F20"/>
          <w:spacing w:val="-26"/>
          <w:w w:val="105"/>
        </w:rPr>
        <w:t> </w:t>
      </w:r>
      <w:r>
        <w:rPr>
          <w:color w:val="231F20"/>
          <w:w w:val="105"/>
        </w:rPr>
        <w:t>pola- rización</w:t>
      </w:r>
      <w:r>
        <w:rPr>
          <w:color w:val="231F20"/>
          <w:spacing w:val="-20"/>
          <w:w w:val="105"/>
        </w:rPr>
        <w:t> </w:t>
      </w:r>
      <w:r>
        <w:rPr>
          <w:color w:val="231F20"/>
          <w:w w:val="105"/>
        </w:rPr>
        <w:t>entre</w:t>
      </w:r>
      <w:r>
        <w:rPr>
          <w:color w:val="231F20"/>
          <w:spacing w:val="-20"/>
          <w:w w:val="105"/>
        </w:rPr>
        <w:t> </w:t>
      </w:r>
      <w:r>
        <w:rPr>
          <w:color w:val="231F20"/>
          <w:w w:val="105"/>
        </w:rPr>
        <w:t>los</w:t>
      </w:r>
      <w:r>
        <w:rPr>
          <w:color w:val="231F20"/>
          <w:spacing w:val="-20"/>
          <w:w w:val="105"/>
        </w:rPr>
        <w:t> </w:t>
      </w:r>
      <w:r>
        <w:rPr>
          <w:color w:val="231F20"/>
          <w:w w:val="105"/>
        </w:rPr>
        <w:t>mercados</w:t>
      </w:r>
      <w:r>
        <w:rPr>
          <w:color w:val="231F20"/>
          <w:spacing w:val="-20"/>
          <w:w w:val="105"/>
        </w:rPr>
        <w:t> </w:t>
      </w:r>
      <w:r>
        <w:rPr>
          <w:color w:val="231F20"/>
          <w:w w:val="105"/>
        </w:rPr>
        <w:t>laborales</w:t>
      </w:r>
      <w:r>
        <w:rPr>
          <w:color w:val="231F20"/>
          <w:spacing w:val="-20"/>
          <w:w w:val="105"/>
        </w:rPr>
        <w:t> </w:t>
      </w:r>
      <w:r>
        <w:rPr>
          <w:color w:val="231F20"/>
          <w:w w:val="105"/>
        </w:rPr>
        <w:t>primario</w:t>
      </w:r>
      <w:r>
        <w:rPr>
          <w:color w:val="231F20"/>
          <w:spacing w:val="-20"/>
          <w:w w:val="105"/>
        </w:rPr>
        <w:t> </w:t>
      </w:r>
      <w:r>
        <w:rPr>
          <w:color w:val="231F20"/>
          <w:w w:val="105"/>
        </w:rPr>
        <w:t>y</w:t>
      </w:r>
      <w:r>
        <w:rPr>
          <w:color w:val="231F20"/>
          <w:spacing w:val="-20"/>
          <w:w w:val="105"/>
        </w:rPr>
        <w:t> </w:t>
      </w:r>
      <w:r>
        <w:rPr>
          <w:color w:val="231F20"/>
          <w:w w:val="105"/>
        </w:rPr>
        <w:t>secundario.</w:t>
      </w:r>
    </w:p>
    <w:p>
      <w:pPr>
        <w:pStyle w:val="BodyText"/>
        <w:spacing w:line="259" w:lineRule="auto"/>
        <w:ind w:left="103" w:right="114" w:firstLine="567"/>
        <w:jc w:val="both"/>
      </w:pPr>
      <w:r>
        <w:rPr>
          <w:color w:val="231F20"/>
          <w:w w:val="105"/>
        </w:rPr>
        <w:t>Comprender el funcionamiento de los mercados de trabajo, iden- tificar las fuerzas que actúan sobre la oferta y demanda de empleo,</w:t>
      </w:r>
      <w:r>
        <w:rPr>
          <w:color w:val="231F20"/>
          <w:spacing w:val="-23"/>
          <w:w w:val="105"/>
        </w:rPr>
        <w:t> </w:t>
      </w:r>
      <w:r>
        <w:rPr>
          <w:color w:val="231F20"/>
          <w:w w:val="105"/>
        </w:rPr>
        <w:t>así como</w:t>
      </w:r>
      <w:r>
        <w:rPr>
          <w:color w:val="231F20"/>
          <w:spacing w:val="-26"/>
          <w:w w:val="105"/>
        </w:rPr>
        <w:t> </w:t>
      </w:r>
      <w:r>
        <w:rPr>
          <w:color w:val="231F20"/>
          <w:w w:val="105"/>
        </w:rPr>
        <w:t>análisis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determinantes</w:t>
      </w:r>
      <w:r>
        <w:rPr>
          <w:color w:val="231F20"/>
          <w:spacing w:val="-26"/>
          <w:w w:val="105"/>
        </w:rPr>
        <w:t> </w:t>
      </w:r>
      <w:r>
        <w:rPr>
          <w:color w:val="231F20"/>
          <w:w w:val="105"/>
        </w:rPr>
        <w:t>del</w:t>
      </w:r>
      <w:r>
        <w:rPr>
          <w:color w:val="231F20"/>
          <w:spacing w:val="-26"/>
          <w:w w:val="105"/>
        </w:rPr>
        <w:t> </w:t>
      </w:r>
      <w:r>
        <w:rPr>
          <w:color w:val="231F20"/>
          <w:w w:val="105"/>
        </w:rPr>
        <w:t>empleo,</w:t>
      </w:r>
      <w:r>
        <w:rPr>
          <w:color w:val="231F20"/>
          <w:spacing w:val="-31"/>
          <w:w w:val="105"/>
        </w:rPr>
        <w:t> </w:t>
      </w:r>
      <w:r>
        <w:rPr>
          <w:color w:val="231F20"/>
          <w:w w:val="105"/>
        </w:rPr>
        <w:t>resulta</w:t>
      </w:r>
      <w:r>
        <w:rPr>
          <w:color w:val="231F20"/>
          <w:spacing w:val="-26"/>
          <w:w w:val="105"/>
        </w:rPr>
        <w:t> </w:t>
      </w:r>
      <w:r>
        <w:rPr>
          <w:color w:val="231F20"/>
          <w:w w:val="105"/>
        </w:rPr>
        <w:t>fundamental</w:t>
      </w:r>
      <w:r>
        <w:rPr>
          <w:color w:val="231F20"/>
          <w:spacing w:val="-26"/>
          <w:w w:val="105"/>
        </w:rPr>
        <w:t> </w:t>
      </w:r>
      <w:r>
        <w:rPr>
          <w:color w:val="231F20"/>
          <w:w w:val="105"/>
        </w:rPr>
        <w:t>para la</w:t>
      </w:r>
      <w:r>
        <w:rPr>
          <w:color w:val="231F20"/>
          <w:spacing w:val="-18"/>
          <w:w w:val="105"/>
        </w:rPr>
        <w:t> </w:t>
      </w:r>
      <w:r>
        <w:rPr>
          <w:color w:val="231F20"/>
          <w:w w:val="105"/>
        </w:rPr>
        <w:t>toma</w:t>
      </w:r>
      <w:r>
        <w:rPr>
          <w:color w:val="231F20"/>
          <w:spacing w:val="-18"/>
          <w:w w:val="105"/>
        </w:rPr>
        <w:t> </w:t>
      </w:r>
      <w:r>
        <w:rPr>
          <w:color w:val="231F20"/>
          <w:w w:val="105"/>
        </w:rPr>
        <w:t>de</w:t>
      </w:r>
      <w:r>
        <w:rPr>
          <w:color w:val="231F20"/>
          <w:spacing w:val="-18"/>
          <w:w w:val="105"/>
        </w:rPr>
        <w:t> </w:t>
      </w:r>
      <w:r>
        <w:rPr>
          <w:color w:val="231F20"/>
          <w:w w:val="105"/>
        </w:rPr>
        <w:t>decisiones</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afán</w:t>
      </w:r>
      <w:r>
        <w:rPr>
          <w:color w:val="231F20"/>
          <w:spacing w:val="-18"/>
          <w:w w:val="105"/>
        </w:rPr>
        <w:t> </w:t>
      </w:r>
      <w:r>
        <w:rPr>
          <w:color w:val="231F20"/>
          <w:w w:val="105"/>
        </w:rPr>
        <w:t>de</w:t>
      </w:r>
      <w:r>
        <w:rPr>
          <w:color w:val="231F20"/>
          <w:spacing w:val="-18"/>
          <w:w w:val="105"/>
        </w:rPr>
        <w:t> </w:t>
      </w:r>
      <w:r>
        <w:rPr>
          <w:color w:val="231F20"/>
          <w:w w:val="105"/>
        </w:rPr>
        <w:t>disminuir</w:t>
      </w:r>
      <w:r>
        <w:rPr>
          <w:color w:val="231F20"/>
          <w:spacing w:val="-18"/>
          <w:w w:val="105"/>
        </w:rPr>
        <w:t> </w:t>
      </w:r>
      <w:r>
        <w:rPr>
          <w:color w:val="231F20"/>
          <w:w w:val="105"/>
        </w:rPr>
        <w:t>la</w:t>
      </w:r>
      <w:r>
        <w:rPr>
          <w:color w:val="231F20"/>
          <w:spacing w:val="-18"/>
          <w:w w:val="105"/>
        </w:rPr>
        <w:t> </w:t>
      </w:r>
      <w:r>
        <w:rPr>
          <w:color w:val="231F20"/>
          <w:w w:val="105"/>
        </w:rPr>
        <w:t>desocupación</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pro- blemas</w:t>
      </w:r>
      <w:r>
        <w:rPr>
          <w:color w:val="231F20"/>
          <w:spacing w:val="-28"/>
          <w:w w:val="105"/>
        </w:rPr>
        <w:t> </w:t>
      </w:r>
      <w:r>
        <w:rPr>
          <w:color w:val="231F20"/>
          <w:w w:val="105"/>
        </w:rPr>
        <w:t>inherentes</w:t>
      </w:r>
      <w:r>
        <w:rPr>
          <w:color w:val="231F20"/>
          <w:spacing w:val="-28"/>
          <w:w w:val="105"/>
        </w:rPr>
        <w:t> </w:t>
      </w:r>
      <w:r>
        <w:rPr>
          <w:color w:val="231F20"/>
          <w:w w:val="105"/>
        </w:rPr>
        <w:t>a</w:t>
      </w:r>
      <w:r>
        <w:rPr>
          <w:color w:val="231F20"/>
          <w:spacing w:val="-28"/>
          <w:w w:val="105"/>
        </w:rPr>
        <w:t> </w:t>
      </w:r>
      <w:r>
        <w:rPr>
          <w:color w:val="231F20"/>
          <w:w w:val="105"/>
        </w:rPr>
        <w:t>ella.</w:t>
      </w:r>
    </w:p>
    <w:p>
      <w:pPr>
        <w:pStyle w:val="BodyText"/>
        <w:spacing w:line="259" w:lineRule="auto"/>
        <w:ind w:left="103" w:right="114" w:firstLine="567"/>
        <w:jc w:val="both"/>
      </w:pPr>
      <w:r>
        <w:rPr>
          <w:color w:val="231F20"/>
          <w:spacing w:val="-6"/>
          <w:w w:val="105"/>
        </w:rPr>
        <w:t>Por </w:t>
      </w:r>
      <w:r>
        <w:rPr>
          <w:color w:val="231F20"/>
          <w:w w:val="105"/>
        </w:rPr>
        <w:t>lo anterior, el objetivo de este capítulo es exponer los funda- mentos</w:t>
      </w:r>
      <w:r>
        <w:rPr>
          <w:color w:val="231F20"/>
          <w:spacing w:val="-10"/>
          <w:w w:val="105"/>
        </w:rPr>
        <w:t> </w:t>
      </w:r>
      <w:r>
        <w:rPr>
          <w:color w:val="231F20"/>
          <w:w w:val="105"/>
        </w:rPr>
        <w:t>derivados</w:t>
      </w:r>
      <w:r>
        <w:rPr>
          <w:color w:val="231F20"/>
          <w:spacing w:val="-10"/>
          <w:w w:val="105"/>
        </w:rPr>
        <w:t> </w:t>
      </w:r>
      <w:r>
        <w:rPr>
          <w:color w:val="231F20"/>
          <w:w w:val="105"/>
        </w:rPr>
        <w:t>del</w:t>
      </w:r>
      <w:r>
        <w:rPr>
          <w:color w:val="231F20"/>
          <w:spacing w:val="-10"/>
          <w:w w:val="105"/>
        </w:rPr>
        <w:t> </w:t>
      </w:r>
      <w:r>
        <w:rPr>
          <w:color w:val="231F20"/>
          <w:w w:val="105"/>
        </w:rPr>
        <w:t>pensamiento</w:t>
      </w:r>
      <w:r>
        <w:rPr>
          <w:color w:val="231F20"/>
          <w:spacing w:val="-10"/>
          <w:w w:val="105"/>
        </w:rPr>
        <w:t> </w:t>
      </w:r>
      <w:r>
        <w:rPr>
          <w:color w:val="231F20"/>
          <w:w w:val="105"/>
        </w:rPr>
        <w:t>keynesiano</w:t>
      </w:r>
      <w:r>
        <w:rPr>
          <w:color w:val="231F20"/>
          <w:spacing w:val="-10"/>
          <w:w w:val="105"/>
        </w:rPr>
        <w:t> </w:t>
      </w:r>
      <w:r>
        <w:rPr>
          <w:color w:val="231F20"/>
          <w:w w:val="105"/>
        </w:rPr>
        <w:t>en</w:t>
      </w:r>
      <w:r>
        <w:rPr>
          <w:color w:val="231F20"/>
          <w:spacing w:val="-10"/>
          <w:w w:val="105"/>
        </w:rPr>
        <w:t> </w:t>
      </w:r>
      <w:r>
        <w:rPr>
          <w:color w:val="231F20"/>
          <w:w w:val="105"/>
        </w:rPr>
        <w:t>sus</w:t>
      </w:r>
      <w:r>
        <w:rPr>
          <w:color w:val="231F20"/>
          <w:spacing w:val="-10"/>
          <w:w w:val="105"/>
        </w:rPr>
        <w:t> </w:t>
      </w:r>
      <w:r>
        <w:rPr>
          <w:color w:val="231F20"/>
          <w:w w:val="105"/>
        </w:rPr>
        <w:t>distintas</w:t>
      </w:r>
      <w:r>
        <w:rPr>
          <w:color w:val="231F20"/>
          <w:spacing w:val="-10"/>
          <w:w w:val="105"/>
        </w:rPr>
        <w:t> </w:t>
      </w:r>
      <w:r>
        <w:rPr>
          <w:color w:val="231F20"/>
          <w:w w:val="105"/>
        </w:rPr>
        <w:t>corrien- tes que aporten elementos para comprender teóricamente la dinámica del empleo y de la desocupación. Particularmente se busca identificar interrelaciones</w:t>
      </w:r>
      <w:r>
        <w:rPr>
          <w:color w:val="231F20"/>
          <w:spacing w:val="-20"/>
          <w:w w:val="105"/>
        </w:rPr>
        <w:t> </w:t>
      </w:r>
      <w:r>
        <w:rPr>
          <w:color w:val="231F20"/>
          <w:w w:val="105"/>
        </w:rPr>
        <w:t>entre</w:t>
      </w:r>
      <w:r>
        <w:rPr>
          <w:color w:val="231F20"/>
          <w:spacing w:val="-20"/>
          <w:w w:val="105"/>
        </w:rPr>
        <w:t> </w:t>
      </w:r>
      <w:r>
        <w:rPr>
          <w:color w:val="231F20"/>
          <w:w w:val="105"/>
        </w:rPr>
        <w:t>el</w:t>
      </w:r>
      <w:r>
        <w:rPr>
          <w:color w:val="231F20"/>
          <w:spacing w:val="-20"/>
          <w:w w:val="105"/>
        </w:rPr>
        <w:t> </w:t>
      </w:r>
      <w:r>
        <w:rPr>
          <w:color w:val="231F20"/>
          <w:w w:val="105"/>
        </w:rPr>
        <w:t>empleo</w:t>
      </w:r>
      <w:r>
        <w:rPr>
          <w:color w:val="231F20"/>
          <w:spacing w:val="-20"/>
          <w:w w:val="105"/>
        </w:rPr>
        <w:t> </w:t>
      </w:r>
      <w:r>
        <w:rPr>
          <w:color w:val="231F20"/>
          <w:w w:val="105"/>
        </w:rPr>
        <w:t>y</w:t>
      </w:r>
      <w:r>
        <w:rPr>
          <w:color w:val="231F20"/>
          <w:spacing w:val="-20"/>
          <w:w w:val="105"/>
        </w:rPr>
        <w:t> </w:t>
      </w:r>
      <w:r>
        <w:rPr>
          <w:color w:val="231F20"/>
          <w:w w:val="105"/>
        </w:rPr>
        <w:t>los</w:t>
      </w:r>
      <w:r>
        <w:rPr>
          <w:color w:val="231F20"/>
          <w:spacing w:val="-20"/>
          <w:w w:val="105"/>
        </w:rPr>
        <w:t> </w:t>
      </w:r>
      <w:r>
        <w:rPr>
          <w:color w:val="231F20"/>
          <w:w w:val="105"/>
        </w:rPr>
        <w:t>salarios,</w:t>
      </w:r>
      <w:r>
        <w:rPr>
          <w:color w:val="231F20"/>
          <w:spacing w:val="-25"/>
          <w:w w:val="105"/>
        </w:rPr>
        <w:t> </w:t>
      </w:r>
      <w:r>
        <w:rPr>
          <w:color w:val="231F20"/>
          <w:w w:val="105"/>
        </w:rPr>
        <w:t>el</w:t>
      </w:r>
      <w:r>
        <w:rPr>
          <w:color w:val="231F20"/>
          <w:spacing w:val="-20"/>
          <w:w w:val="105"/>
        </w:rPr>
        <w:t> </w:t>
      </w:r>
      <w:r>
        <w:rPr>
          <w:color w:val="231F20"/>
          <w:w w:val="105"/>
        </w:rPr>
        <w:t>nivel</w:t>
      </w:r>
      <w:r>
        <w:rPr>
          <w:color w:val="231F20"/>
          <w:spacing w:val="-20"/>
          <w:w w:val="105"/>
        </w:rPr>
        <w:t> </w:t>
      </w:r>
      <w:r>
        <w:rPr>
          <w:color w:val="231F20"/>
          <w:w w:val="105"/>
        </w:rPr>
        <w:t>de</w:t>
      </w:r>
      <w:r>
        <w:rPr>
          <w:color w:val="231F20"/>
          <w:spacing w:val="-20"/>
          <w:w w:val="105"/>
        </w:rPr>
        <w:t> </w:t>
      </w:r>
      <w:r>
        <w:rPr>
          <w:color w:val="231F20"/>
          <w:w w:val="105"/>
        </w:rPr>
        <w:t>actividad</w:t>
      </w:r>
      <w:r>
        <w:rPr>
          <w:color w:val="231F20"/>
          <w:spacing w:val="-20"/>
          <w:w w:val="105"/>
        </w:rPr>
        <w:t> </w:t>
      </w:r>
      <w:r>
        <w:rPr>
          <w:color w:val="231F20"/>
          <w:w w:val="105"/>
        </w:rPr>
        <w:t>econó- mica y la</w:t>
      </w:r>
      <w:r>
        <w:rPr>
          <w:color w:val="231F20"/>
          <w:spacing w:val="-23"/>
          <w:w w:val="105"/>
        </w:rPr>
        <w:t> </w:t>
      </w:r>
      <w:r>
        <w:rPr>
          <w:color w:val="231F20"/>
          <w:w w:val="105"/>
        </w:rPr>
        <w:t>productividad.</w:t>
      </w:r>
    </w:p>
    <w:p>
      <w:pPr>
        <w:pStyle w:val="BodyText"/>
        <w:spacing w:line="259" w:lineRule="auto"/>
        <w:ind w:left="103" w:right="114" w:firstLine="567"/>
        <w:jc w:val="both"/>
      </w:pPr>
      <w:r>
        <w:rPr>
          <w:color w:val="231F20"/>
          <w:spacing w:val="-4"/>
          <w:w w:val="105"/>
        </w:rPr>
        <w:t>Para</w:t>
      </w:r>
      <w:r>
        <w:rPr>
          <w:color w:val="231F20"/>
          <w:spacing w:val="-22"/>
          <w:w w:val="105"/>
        </w:rPr>
        <w:t> </w:t>
      </w:r>
      <w:r>
        <w:rPr>
          <w:color w:val="231F20"/>
          <w:w w:val="105"/>
        </w:rPr>
        <w:t>ello,</w:t>
      </w:r>
      <w:r>
        <w:rPr>
          <w:color w:val="231F20"/>
          <w:spacing w:val="-27"/>
          <w:w w:val="105"/>
        </w:rPr>
        <w:t> </w:t>
      </w:r>
      <w:r>
        <w:rPr>
          <w:color w:val="231F20"/>
          <w:w w:val="105"/>
        </w:rPr>
        <w:t>en</w:t>
      </w:r>
      <w:r>
        <w:rPr>
          <w:color w:val="231F20"/>
          <w:spacing w:val="-22"/>
          <w:w w:val="105"/>
        </w:rPr>
        <w:t> </w:t>
      </w:r>
      <w:r>
        <w:rPr>
          <w:color w:val="231F20"/>
          <w:w w:val="105"/>
        </w:rPr>
        <w:t>la</w:t>
      </w:r>
      <w:r>
        <w:rPr>
          <w:color w:val="231F20"/>
          <w:spacing w:val="-22"/>
          <w:w w:val="105"/>
        </w:rPr>
        <w:t> </w:t>
      </w:r>
      <w:r>
        <w:rPr>
          <w:color w:val="231F20"/>
          <w:w w:val="105"/>
        </w:rPr>
        <w:t>primera</w:t>
      </w:r>
      <w:r>
        <w:rPr>
          <w:color w:val="231F20"/>
          <w:spacing w:val="-22"/>
          <w:w w:val="105"/>
        </w:rPr>
        <w:t> </w:t>
      </w:r>
      <w:r>
        <w:rPr>
          <w:color w:val="231F20"/>
          <w:w w:val="105"/>
        </w:rPr>
        <w:t>parte</w:t>
      </w:r>
      <w:r>
        <w:rPr>
          <w:color w:val="231F20"/>
          <w:spacing w:val="-22"/>
          <w:w w:val="105"/>
        </w:rPr>
        <w:t> </w:t>
      </w:r>
      <w:r>
        <w:rPr>
          <w:color w:val="231F20"/>
          <w:w w:val="105"/>
        </w:rPr>
        <w:t>se</w:t>
      </w:r>
      <w:r>
        <w:rPr>
          <w:color w:val="231F20"/>
          <w:spacing w:val="-22"/>
          <w:w w:val="105"/>
        </w:rPr>
        <w:t> </w:t>
      </w:r>
      <w:r>
        <w:rPr>
          <w:color w:val="231F20"/>
          <w:w w:val="105"/>
        </w:rPr>
        <w:t>exponen,</w:t>
      </w:r>
      <w:r>
        <w:rPr>
          <w:color w:val="231F20"/>
          <w:spacing w:val="-27"/>
          <w:w w:val="105"/>
        </w:rPr>
        <w:t> </w:t>
      </w:r>
      <w:r>
        <w:rPr>
          <w:color w:val="231F20"/>
          <w:w w:val="105"/>
        </w:rPr>
        <w:t>particularmente,</w:t>
      </w:r>
      <w:r>
        <w:rPr>
          <w:color w:val="231F20"/>
          <w:spacing w:val="-27"/>
          <w:w w:val="105"/>
        </w:rPr>
        <w:t> </w:t>
      </w:r>
      <w:r>
        <w:rPr>
          <w:color w:val="231F20"/>
          <w:w w:val="105"/>
        </w:rPr>
        <w:t>los</w:t>
      </w:r>
      <w:r>
        <w:rPr>
          <w:color w:val="231F20"/>
          <w:spacing w:val="-22"/>
          <w:w w:val="105"/>
        </w:rPr>
        <w:t> </w:t>
      </w:r>
      <w:r>
        <w:rPr>
          <w:color w:val="231F20"/>
          <w:w w:val="105"/>
        </w:rPr>
        <w:t>prin- cipios sustentados en la teoría general de la ocupación, el interés y el dinero que abordan al empleo como uno de sus temas centrales; en el segundo apartado se presentan con detalle, los postulados teóricos de la</w:t>
      </w:r>
      <w:r>
        <w:rPr>
          <w:color w:val="231F20"/>
          <w:spacing w:val="-6"/>
          <w:w w:val="105"/>
        </w:rPr>
        <w:t> </w:t>
      </w:r>
      <w:r>
        <w:rPr>
          <w:color w:val="231F20"/>
          <w:w w:val="105"/>
        </w:rPr>
        <w:t>corriente</w:t>
      </w:r>
      <w:r>
        <w:rPr>
          <w:color w:val="231F20"/>
          <w:spacing w:val="-6"/>
          <w:w w:val="105"/>
        </w:rPr>
        <w:t> </w:t>
      </w:r>
      <w:r>
        <w:rPr>
          <w:color w:val="231F20"/>
          <w:w w:val="105"/>
        </w:rPr>
        <w:t>postkeynesiana,</w:t>
      </w:r>
      <w:r>
        <w:rPr>
          <w:color w:val="231F20"/>
          <w:spacing w:val="-12"/>
          <w:w w:val="105"/>
        </w:rPr>
        <w:t> </w:t>
      </w:r>
      <w:r>
        <w:rPr>
          <w:color w:val="231F20"/>
          <w:w w:val="105"/>
        </w:rPr>
        <w:t>para</w:t>
      </w:r>
      <w:r>
        <w:rPr>
          <w:color w:val="231F20"/>
          <w:spacing w:val="-6"/>
          <w:w w:val="105"/>
        </w:rPr>
        <w:t> </w:t>
      </w:r>
      <w:r>
        <w:rPr>
          <w:color w:val="231F20"/>
          <w:w w:val="105"/>
        </w:rPr>
        <w:t>luego</w:t>
      </w:r>
      <w:r>
        <w:rPr>
          <w:color w:val="231F20"/>
          <w:spacing w:val="-6"/>
          <w:w w:val="105"/>
        </w:rPr>
        <w:t> </w:t>
      </w:r>
      <w:r>
        <w:rPr>
          <w:color w:val="231F20"/>
          <w:w w:val="105"/>
        </w:rPr>
        <w:t>pasar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explicación</w:t>
      </w:r>
      <w:r>
        <w:rPr>
          <w:color w:val="231F20"/>
          <w:spacing w:val="-6"/>
          <w:w w:val="105"/>
        </w:rPr>
        <w:t> </w:t>
      </w:r>
      <w:r>
        <w:rPr>
          <w:color w:val="231F20"/>
          <w:w w:val="105"/>
        </w:rPr>
        <w:t>que</w:t>
      </w:r>
      <w:r>
        <w:rPr>
          <w:color w:val="231F20"/>
          <w:spacing w:val="-6"/>
          <w:w w:val="105"/>
        </w:rPr>
        <w:t> </w:t>
      </w:r>
      <w:r>
        <w:rPr>
          <w:color w:val="231F20"/>
          <w:w w:val="105"/>
        </w:rPr>
        <w:t>otor- ga</w:t>
      </w:r>
      <w:r>
        <w:rPr>
          <w:color w:val="231F20"/>
          <w:spacing w:val="-25"/>
          <w:w w:val="105"/>
        </w:rPr>
        <w:t> </w:t>
      </w:r>
      <w:r>
        <w:rPr>
          <w:color w:val="231F20"/>
          <w:w w:val="105"/>
        </w:rPr>
        <w:t>al</w:t>
      </w:r>
      <w:r>
        <w:rPr>
          <w:color w:val="231F20"/>
          <w:spacing w:val="-25"/>
          <w:w w:val="105"/>
        </w:rPr>
        <w:t> </w:t>
      </w:r>
      <w:r>
        <w:rPr>
          <w:color w:val="231F20"/>
          <w:w w:val="105"/>
        </w:rPr>
        <w:t>desempleo</w:t>
      </w:r>
      <w:r>
        <w:rPr>
          <w:color w:val="231F20"/>
          <w:spacing w:val="-25"/>
          <w:w w:val="105"/>
        </w:rPr>
        <w:t> </w:t>
      </w:r>
      <w:r>
        <w:rPr>
          <w:color w:val="231F20"/>
          <w:w w:val="105"/>
        </w:rPr>
        <w:t>la</w:t>
      </w:r>
      <w:r>
        <w:rPr>
          <w:color w:val="231F20"/>
          <w:spacing w:val="-25"/>
          <w:w w:val="105"/>
        </w:rPr>
        <w:t> </w:t>
      </w:r>
      <w:r>
        <w:rPr>
          <w:color w:val="231F20"/>
          <w:w w:val="105"/>
        </w:rPr>
        <w:t>síntesis</w:t>
      </w:r>
      <w:r>
        <w:rPr>
          <w:color w:val="231F20"/>
          <w:spacing w:val="-25"/>
          <w:w w:val="105"/>
        </w:rPr>
        <w:t> </w:t>
      </w:r>
      <w:r>
        <w:rPr>
          <w:color w:val="231F20"/>
          <w:w w:val="105"/>
        </w:rPr>
        <w:t>neoclásico</w:t>
      </w:r>
      <w:r>
        <w:rPr>
          <w:color w:val="231F20"/>
          <w:spacing w:val="-25"/>
          <w:w w:val="105"/>
        </w:rPr>
        <w:t> </w:t>
      </w:r>
      <w:r>
        <w:rPr>
          <w:color w:val="231F20"/>
          <w:w w:val="105"/>
        </w:rPr>
        <w:t>keynesiana.</w:t>
      </w:r>
      <w:r>
        <w:rPr>
          <w:color w:val="231F20"/>
          <w:spacing w:val="-30"/>
          <w:w w:val="105"/>
        </w:rPr>
        <w:t> </w:t>
      </w:r>
      <w:r>
        <w:rPr>
          <w:color w:val="231F20"/>
          <w:w w:val="105"/>
        </w:rPr>
        <w:t>En</w:t>
      </w:r>
      <w:r>
        <w:rPr>
          <w:color w:val="231F20"/>
          <w:spacing w:val="-25"/>
          <w:w w:val="105"/>
        </w:rPr>
        <w:t> </w:t>
      </w:r>
      <w:r>
        <w:rPr>
          <w:color w:val="231F20"/>
          <w:w w:val="105"/>
        </w:rPr>
        <w:t>el</w:t>
      </w:r>
      <w:r>
        <w:rPr>
          <w:color w:val="231F20"/>
          <w:spacing w:val="-25"/>
          <w:w w:val="105"/>
        </w:rPr>
        <w:t> </w:t>
      </w:r>
      <w:r>
        <w:rPr>
          <w:color w:val="231F20"/>
          <w:w w:val="105"/>
        </w:rPr>
        <w:t>cuarto</w:t>
      </w:r>
      <w:r>
        <w:rPr>
          <w:color w:val="231F20"/>
          <w:spacing w:val="-25"/>
          <w:w w:val="105"/>
        </w:rPr>
        <w:t> </w:t>
      </w:r>
      <w:r>
        <w:rPr>
          <w:color w:val="231F20"/>
          <w:w w:val="105"/>
        </w:rPr>
        <w:t>apartado se aborda a la nueva economía keynesiana, destacándose tres de sus principales</w:t>
      </w:r>
      <w:r>
        <w:rPr>
          <w:color w:val="231F20"/>
          <w:spacing w:val="-25"/>
          <w:w w:val="105"/>
        </w:rPr>
        <w:t> </w:t>
      </w:r>
      <w:r>
        <w:rPr>
          <w:color w:val="231F20"/>
          <w:w w:val="105"/>
        </w:rPr>
        <w:t>hipótesis.</w:t>
      </w:r>
      <w:r>
        <w:rPr>
          <w:color w:val="231F20"/>
          <w:spacing w:val="-30"/>
          <w:w w:val="105"/>
        </w:rPr>
        <w:t> </w:t>
      </w:r>
      <w:r>
        <w:rPr>
          <w:color w:val="231F20"/>
          <w:w w:val="105"/>
        </w:rPr>
        <w:t>Finalmente,</w:t>
      </w:r>
      <w:r>
        <w:rPr>
          <w:color w:val="231F20"/>
          <w:spacing w:val="-30"/>
          <w:w w:val="105"/>
        </w:rPr>
        <w:t> </w:t>
      </w:r>
      <w:r>
        <w:rPr>
          <w:color w:val="231F20"/>
          <w:w w:val="105"/>
        </w:rPr>
        <w:t>a</w:t>
      </w:r>
      <w:r>
        <w:rPr>
          <w:color w:val="231F20"/>
          <w:spacing w:val="-25"/>
          <w:w w:val="105"/>
        </w:rPr>
        <w:t> </w:t>
      </w:r>
      <w:r>
        <w:rPr>
          <w:color w:val="231F20"/>
          <w:w w:val="105"/>
        </w:rPr>
        <w:t>modo</w:t>
      </w:r>
      <w:r>
        <w:rPr>
          <w:color w:val="231F20"/>
          <w:spacing w:val="-25"/>
          <w:w w:val="105"/>
        </w:rPr>
        <w:t> </w:t>
      </w:r>
      <w:r>
        <w:rPr>
          <w:color w:val="231F20"/>
          <w:w w:val="105"/>
        </w:rPr>
        <w:t>de</w:t>
      </w:r>
      <w:r>
        <w:rPr>
          <w:color w:val="231F20"/>
          <w:spacing w:val="-25"/>
          <w:w w:val="105"/>
        </w:rPr>
        <w:t> </w:t>
      </w:r>
      <w:r>
        <w:rPr>
          <w:color w:val="231F20"/>
          <w:w w:val="105"/>
        </w:rPr>
        <w:t>conclusión</w:t>
      </w:r>
      <w:r>
        <w:rPr>
          <w:color w:val="231F20"/>
          <w:spacing w:val="-25"/>
          <w:w w:val="105"/>
        </w:rPr>
        <w:t> </w:t>
      </w:r>
      <w:r>
        <w:rPr>
          <w:color w:val="231F20"/>
          <w:w w:val="105"/>
        </w:rPr>
        <w:t>se</w:t>
      </w:r>
      <w:r>
        <w:rPr>
          <w:color w:val="231F20"/>
          <w:spacing w:val="-25"/>
          <w:w w:val="105"/>
        </w:rPr>
        <w:t> </w:t>
      </w:r>
      <w:r>
        <w:rPr>
          <w:color w:val="231F20"/>
          <w:w w:val="105"/>
        </w:rPr>
        <w:t>presentan</w:t>
      </w:r>
      <w:r>
        <w:rPr>
          <w:color w:val="231F20"/>
          <w:spacing w:val="-25"/>
          <w:w w:val="105"/>
        </w:rPr>
        <w:t> </w:t>
      </w:r>
      <w:r>
        <w:rPr>
          <w:color w:val="231F20"/>
          <w:w w:val="105"/>
        </w:rPr>
        <w:t>las principales</w:t>
      </w:r>
      <w:r>
        <w:rPr>
          <w:color w:val="231F20"/>
          <w:spacing w:val="-18"/>
          <w:w w:val="105"/>
        </w:rPr>
        <w:t> </w:t>
      </w:r>
      <w:r>
        <w:rPr>
          <w:color w:val="231F20"/>
          <w:w w:val="105"/>
        </w:rPr>
        <w:t>aportaciones</w:t>
      </w:r>
      <w:r>
        <w:rPr>
          <w:color w:val="231F20"/>
          <w:spacing w:val="-18"/>
          <w:w w:val="105"/>
        </w:rPr>
        <w:t> </w:t>
      </w:r>
      <w:r>
        <w:rPr>
          <w:color w:val="231F20"/>
          <w:w w:val="105"/>
        </w:rPr>
        <w:t>de</w:t>
      </w:r>
      <w:r>
        <w:rPr>
          <w:color w:val="231F20"/>
          <w:spacing w:val="-18"/>
          <w:w w:val="105"/>
        </w:rPr>
        <w:t> </w:t>
      </w:r>
      <w:r>
        <w:rPr>
          <w:color w:val="231F20"/>
          <w:w w:val="105"/>
        </w:rPr>
        <w:t>este</w:t>
      </w:r>
      <w:r>
        <w:rPr>
          <w:color w:val="231F20"/>
          <w:spacing w:val="-18"/>
          <w:w w:val="105"/>
        </w:rPr>
        <w:t> </w:t>
      </w:r>
      <w:r>
        <w:rPr>
          <w:color w:val="231F20"/>
          <w:w w:val="105"/>
        </w:rPr>
        <w:t>capítulo.</w:t>
      </w:r>
    </w:p>
    <w:p>
      <w:pPr>
        <w:pStyle w:val="BodyText"/>
        <w:rPr>
          <w:sz w:val="20"/>
        </w:rPr>
      </w:pPr>
    </w:p>
    <w:p>
      <w:pPr>
        <w:pStyle w:val="BodyText"/>
        <w:spacing w:before="7"/>
        <w:rPr>
          <w:sz w:val="18"/>
        </w:rPr>
      </w:pPr>
    </w:p>
    <w:p>
      <w:pPr>
        <w:pStyle w:val="Heading2"/>
        <w:ind w:left="103"/>
      </w:pPr>
      <w:r>
        <w:rPr>
          <w:color w:val="231F20"/>
        </w:rPr>
        <w:t>La teoría keynesiana de la ocupación</w:t>
      </w:r>
    </w:p>
    <w:p>
      <w:pPr>
        <w:pStyle w:val="BodyText"/>
        <w:rPr>
          <w:b/>
          <w:sz w:val="22"/>
        </w:rPr>
      </w:pPr>
    </w:p>
    <w:p>
      <w:pPr>
        <w:pStyle w:val="BodyText"/>
        <w:spacing w:line="259" w:lineRule="auto" w:before="160"/>
        <w:ind w:left="103" w:right="110"/>
        <w:jc w:val="both"/>
      </w:pP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general</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ocupación,</w:t>
      </w:r>
      <w:r>
        <w:rPr>
          <w:color w:val="231F20"/>
          <w:spacing w:val="-11"/>
          <w:w w:val="105"/>
        </w:rPr>
        <w:t> </w:t>
      </w:r>
      <w:r>
        <w:rPr>
          <w:color w:val="231F20"/>
          <w:w w:val="105"/>
        </w:rPr>
        <w:t>el</w:t>
      </w:r>
      <w:r>
        <w:rPr>
          <w:color w:val="231F20"/>
          <w:spacing w:val="-6"/>
          <w:w w:val="105"/>
        </w:rPr>
        <w:t> </w:t>
      </w:r>
      <w:r>
        <w:rPr>
          <w:color w:val="231F20"/>
          <w:w w:val="105"/>
        </w:rPr>
        <w:t>interés</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dinero</w:t>
      </w:r>
      <w:r>
        <w:rPr>
          <w:color w:val="231F20"/>
          <w:spacing w:val="-6"/>
          <w:w w:val="105"/>
        </w:rPr>
        <w:t> </w:t>
      </w:r>
      <w:r>
        <w:rPr>
          <w:color w:val="231F20"/>
          <w:w w:val="105"/>
        </w:rPr>
        <w:t>(Keynes,</w:t>
      </w:r>
      <w:r>
        <w:rPr>
          <w:color w:val="231F20"/>
          <w:spacing w:val="-11"/>
          <w:w w:val="105"/>
        </w:rPr>
        <w:t> </w:t>
      </w:r>
      <w:r>
        <w:rPr>
          <w:color w:val="231F20"/>
          <w:w w:val="105"/>
        </w:rPr>
        <w:t>2010), constituye</w:t>
      </w:r>
      <w:r>
        <w:rPr>
          <w:color w:val="231F20"/>
          <w:spacing w:val="-20"/>
          <w:w w:val="105"/>
        </w:rPr>
        <w:t> </w:t>
      </w:r>
      <w:r>
        <w:rPr>
          <w:color w:val="231F20"/>
          <w:w w:val="105"/>
        </w:rPr>
        <w:t>un</w:t>
      </w:r>
      <w:r>
        <w:rPr>
          <w:color w:val="231F20"/>
          <w:spacing w:val="-20"/>
          <w:w w:val="105"/>
        </w:rPr>
        <w:t> </w:t>
      </w:r>
      <w:r>
        <w:rPr>
          <w:color w:val="231F20"/>
          <w:w w:val="105"/>
        </w:rPr>
        <w:t>ataque</w:t>
      </w:r>
      <w:r>
        <w:rPr>
          <w:color w:val="231F20"/>
          <w:spacing w:val="-20"/>
          <w:w w:val="105"/>
        </w:rPr>
        <w:t> </w:t>
      </w:r>
      <w:r>
        <w:rPr>
          <w:color w:val="231F20"/>
          <w:w w:val="105"/>
        </w:rPr>
        <w:t>frontal</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postulados</w:t>
      </w:r>
      <w:r>
        <w:rPr>
          <w:color w:val="231F20"/>
          <w:spacing w:val="-20"/>
          <w:w w:val="105"/>
        </w:rPr>
        <w:t> </w:t>
      </w:r>
      <w:r>
        <w:rPr>
          <w:color w:val="231F20"/>
          <w:w w:val="105"/>
        </w:rPr>
        <w:t>neoclásicos,</w:t>
      </w:r>
      <w:r>
        <w:rPr>
          <w:color w:val="231F20"/>
          <w:spacing w:val="-26"/>
          <w:w w:val="105"/>
        </w:rPr>
        <w:t> </w:t>
      </w:r>
      <w:r>
        <w:rPr>
          <w:color w:val="231F20"/>
          <w:w w:val="105"/>
        </w:rPr>
        <w:t>por</w:t>
      </w:r>
      <w:r>
        <w:rPr>
          <w:color w:val="231F20"/>
          <w:spacing w:val="-20"/>
          <w:w w:val="105"/>
        </w:rPr>
        <w:t> </w:t>
      </w:r>
      <w:r>
        <w:rPr>
          <w:color w:val="231F20"/>
          <w:w w:val="105"/>
        </w:rPr>
        <w:t>lo</w:t>
      </w:r>
      <w:r>
        <w:rPr>
          <w:color w:val="231F20"/>
          <w:spacing w:val="-20"/>
          <w:w w:val="105"/>
        </w:rPr>
        <w:t> </w:t>
      </w:r>
      <w:r>
        <w:rPr>
          <w:color w:val="231F20"/>
          <w:w w:val="105"/>
        </w:rPr>
        <w:t>que</w:t>
      </w:r>
      <w:r>
        <w:rPr>
          <w:color w:val="231F20"/>
          <w:spacing w:val="-20"/>
          <w:w w:val="105"/>
        </w:rPr>
        <w:t> </w:t>
      </w:r>
      <w:r>
        <w:rPr>
          <w:color w:val="231F20"/>
          <w:w w:val="105"/>
        </w:rPr>
        <w:t>pro- dujo</w:t>
      </w:r>
      <w:r>
        <w:rPr>
          <w:color w:val="231F20"/>
          <w:spacing w:val="-21"/>
          <w:w w:val="105"/>
        </w:rPr>
        <w:t> </w:t>
      </w:r>
      <w:r>
        <w:rPr>
          <w:color w:val="231F20"/>
          <w:w w:val="105"/>
        </w:rPr>
        <w:t>un</w:t>
      </w:r>
      <w:r>
        <w:rPr>
          <w:color w:val="231F20"/>
          <w:spacing w:val="-21"/>
          <w:w w:val="105"/>
        </w:rPr>
        <w:t> </w:t>
      </w:r>
      <w:r>
        <w:rPr>
          <w:color w:val="231F20"/>
          <w:w w:val="105"/>
        </w:rPr>
        <w:t>intenso</w:t>
      </w:r>
      <w:r>
        <w:rPr>
          <w:color w:val="231F20"/>
          <w:spacing w:val="-21"/>
          <w:w w:val="105"/>
        </w:rPr>
        <w:t> </w:t>
      </w:r>
      <w:r>
        <w:rPr>
          <w:color w:val="231F20"/>
          <w:w w:val="105"/>
        </w:rPr>
        <w:t>debate</w:t>
      </w:r>
      <w:r>
        <w:rPr>
          <w:color w:val="231F20"/>
          <w:spacing w:val="-21"/>
          <w:w w:val="105"/>
        </w:rPr>
        <w:t> </w:t>
      </w:r>
      <w:r>
        <w:rPr>
          <w:color w:val="231F20"/>
          <w:w w:val="105"/>
        </w:rPr>
        <w:t>teórico</w:t>
      </w:r>
      <w:r>
        <w:rPr>
          <w:color w:val="231F20"/>
          <w:spacing w:val="-21"/>
          <w:w w:val="105"/>
        </w:rPr>
        <w:t> </w:t>
      </w:r>
      <w:r>
        <w:rPr>
          <w:color w:val="231F20"/>
          <w:w w:val="105"/>
        </w:rPr>
        <w:t>entre</w:t>
      </w:r>
      <w:r>
        <w:rPr>
          <w:color w:val="231F20"/>
          <w:spacing w:val="-21"/>
          <w:w w:val="105"/>
        </w:rPr>
        <w:t> </w:t>
      </w:r>
      <w:r>
        <w:rPr>
          <w:color w:val="231F20"/>
          <w:w w:val="105"/>
        </w:rPr>
        <w:t>los</w:t>
      </w:r>
      <w:r>
        <w:rPr>
          <w:color w:val="231F20"/>
          <w:spacing w:val="-21"/>
          <w:w w:val="105"/>
        </w:rPr>
        <w:t> </w:t>
      </w:r>
      <w:r>
        <w:rPr>
          <w:color w:val="231F20"/>
          <w:w w:val="105"/>
        </w:rPr>
        <w:t>defensores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doctrina</w:t>
      </w:r>
      <w:r>
        <w:rPr>
          <w:color w:val="231F20"/>
          <w:spacing w:val="-21"/>
          <w:w w:val="105"/>
        </w:rPr>
        <w:t> </w:t>
      </w:r>
      <w:r>
        <w:rPr>
          <w:color w:val="231F20"/>
          <w:w w:val="105"/>
        </w:rPr>
        <w:t>clásica y</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acogieron</w:t>
      </w:r>
      <w:r>
        <w:rPr>
          <w:color w:val="231F20"/>
          <w:spacing w:val="-6"/>
          <w:w w:val="105"/>
        </w:rPr>
        <w:t> </w:t>
      </w:r>
      <w:r>
        <w:rPr>
          <w:color w:val="231F20"/>
          <w:w w:val="105"/>
        </w:rPr>
        <w:t>el</w:t>
      </w:r>
      <w:r>
        <w:rPr>
          <w:color w:val="231F20"/>
          <w:spacing w:val="-6"/>
          <w:w w:val="105"/>
        </w:rPr>
        <w:t> </w:t>
      </w:r>
      <w:r>
        <w:rPr>
          <w:color w:val="231F20"/>
          <w:w w:val="105"/>
        </w:rPr>
        <w:t>enfoque</w:t>
      </w:r>
      <w:r>
        <w:rPr>
          <w:color w:val="231F20"/>
          <w:spacing w:val="-6"/>
          <w:w w:val="105"/>
        </w:rPr>
        <w:t> </w:t>
      </w:r>
      <w:r>
        <w:rPr>
          <w:color w:val="231F20"/>
          <w:w w:val="105"/>
        </w:rPr>
        <w:t>sugerido</w:t>
      </w:r>
      <w:r>
        <w:rPr>
          <w:color w:val="231F20"/>
          <w:spacing w:val="-6"/>
          <w:w w:val="105"/>
        </w:rPr>
        <w:t> </w:t>
      </w:r>
      <w:r>
        <w:rPr>
          <w:color w:val="231F20"/>
          <w:w w:val="105"/>
        </w:rPr>
        <w:t>por</w:t>
      </w:r>
      <w:r>
        <w:rPr>
          <w:color w:val="231F20"/>
          <w:spacing w:val="-6"/>
          <w:w w:val="105"/>
        </w:rPr>
        <w:t> </w:t>
      </w:r>
      <w:r>
        <w:rPr>
          <w:color w:val="231F20"/>
          <w:w w:val="105"/>
        </w:rPr>
        <w:t>Keynes</w:t>
      </w:r>
      <w:r>
        <w:rPr>
          <w:color w:val="231F20"/>
          <w:spacing w:val="-6"/>
          <w:w w:val="105"/>
        </w:rPr>
        <w:t> </w:t>
      </w:r>
      <w:r>
        <w:rPr>
          <w:color w:val="231F20"/>
          <w:w w:val="105"/>
        </w:rPr>
        <w:t>respecto</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pro- blemas</w:t>
      </w:r>
      <w:r>
        <w:rPr>
          <w:color w:val="231F20"/>
          <w:spacing w:val="-11"/>
          <w:w w:val="105"/>
        </w:rPr>
        <w:t> </w:t>
      </w:r>
      <w:r>
        <w:rPr>
          <w:color w:val="231F20"/>
          <w:w w:val="105"/>
        </w:rPr>
        <w:t>del</w:t>
      </w:r>
      <w:r>
        <w:rPr>
          <w:color w:val="231F20"/>
          <w:spacing w:val="-11"/>
          <w:w w:val="105"/>
        </w:rPr>
        <w:t> </w:t>
      </w:r>
      <w:r>
        <w:rPr>
          <w:color w:val="231F20"/>
          <w:w w:val="105"/>
        </w:rPr>
        <w:t>desempleo</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inestabilidad</w:t>
      </w:r>
      <w:r>
        <w:rPr>
          <w:color w:val="231F20"/>
          <w:spacing w:val="-11"/>
          <w:w w:val="105"/>
        </w:rPr>
        <w:t> </w:t>
      </w:r>
      <w:r>
        <w:rPr>
          <w:color w:val="231F20"/>
          <w:w w:val="105"/>
        </w:rPr>
        <w:t>económica.</w:t>
      </w:r>
    </w:p>
    <w:p>
      <w:pPr>
        <w:pStyle w:val="BodyText"/>
        <w:spacing w:line="259" w:lineRule="auto"/>
        <w:ind w:left="103" w:right="114" w:firstLine="567"/>
        <w:jc w:val="both"/>
      </w:pPr>
      <w:r>
        <w:rPr>
          <w:color w:val="231F20"/>
          <w:w w:val="105"/>
        </w:rPr>
        <w:t>Hasta</w:t>
      </w:r>
      <w:r>
        <w:rPr>
          <w:color w:val="231F20"/>
          <w:spacing w:val="-30"/>
          <w:w w:val="105"/>
        </w:rPr>
        <w:t> </w:t>
      </w:r>
      <w:r>
        <w:rPr>
          <w:color w:val="231F20"/>
          <w:w w:val="105"/>
        </w:rPr>
        <w:t>antes</w:t>
      </w:r>
      <w:r>
        <w:rPr>
          <w:color w:val="231F20"/>
          <w:spacing w:val="-30"/>
          <w:w w:val="105"/>
        </w:rPr>
        <w:t> </w:t>
      </w:r>
      <w:r>
        <w:rPr>
          <w:color w:val="231F20"/>
          <w:w w:val="105"/>
        </w:rPr>
        <w:t>de</w:t>
      </w:r>
      <w:r>
        <w:rPr>
          <w:color w:val="231F20"/>
          <w:spacing w:val="-30"/>
          <w:w w:val="105"/>
        </w:rPr>
        <w:t> </w:t>
      </w:r>
      <w:r>
        <w:rPr>
          <w:color w:val="231F20"/>
          <w:w w:val="105"/>
        </w:rPr>
        <w:t>que</w:t>
      </w:r>
      <w:r>
        <w:rPr>
          <w:color w:val="231F20"/>
          <w:spacing w:val="-30"/>
          <w:w w:val="105"/>
        </w:rPr>
        <w:t> </w:t>
      </w:r>
      <w:r>
        <w:rPr>
          <w:color w:val="231F20"/>
          <w:w w:val="105"/>
        </w:rPr>
        <w:t>se</w:t>
      </w:r>
      <w:r>
        <w:rPr>
          <w:color w:val="231F20"/>
          <w:spacing w:val="-30"/>
          <w:w w:val="105"/>
        </w:rPr>
        <w:t> </w:t>
      </w:r>
      <w:r>
        <w:rPr>
          <w:color w:val="231F20"/>
          <w:w w:val="105"/>
        </w:rPr>
        <w:t>publicara</w:t>
      </w:r>
      <w:r>
        <w:rPr>
          <w:color w:val="231F20"/>
          <w:spacing w:val="-30"/>
          <w:w w:val="105"/>
        </w:rPr>
        <w:t> </w:t>
      </w:r>
      <w:r>
        <w:rPr>
          <w:color w:val="231F20"/>
          <w:w w:val="105"/>
        </w:rPr>
        <w:t>la</w:t>
      </w:r>
      <w:r>
        <w:rPr>
          <w:color w:val="231F20"/>
          <w:spacing w:val="-30"/>
          <w:w w:val="105"/>
        </w:rPr>
        <w:t> </w:t>
      </w:r>
      <w:r>
        <w:rPr>
          <w:color w:val="231F20"/>
          <w:w w:val="105"/>
        </w:rPr>
        <w:t>teoría</w:t>
      </w:r>
      <w:r>
        <w:rPr>
          <w:color w:val="231F20"/>
          <w:spacing w:val="-30"/>
          <w:w w:val="105"/>
        </w:rPr>
        <w:t> </w:t>
      </w:r>
      <w:r>
        <w:rPr>
          <w:color w:val="231F20"/>
          <w:w w:val="105"/>
        </w:rPr>
        <w:t>general,</w:t>
      </w:r>
      <w:r>
        <w:rPr>
          <w:color w:val="231F20"/>
          <w:spacing w:val="-35"/>
          <w:w w:val="105"/>
        </w:rPr>
        <w:t> </w:t>
      </w:r>
      <w:r>
        <w:rPr>
          <w:color w:val="231F20"/>
          <w:w w:val="105"/>
        </w:rPr>
        <w:t>prevalecía</w:t>
      </w:r>
      <w:r>
        <w:rPr>
          <w:color w:val="231F20"/>
          <w:spacing w:val="-30"/>
          <w:w w:val="105"/>
        </w:rPr>
        <w:t> </w:t>
      </w:r>
      <w:r>
        <w:rPr>
          <w:color w:val="231F20"/>
          <w:w w:val="105"/>
        </w:rPr>
        <w:t>la</w:t>
      </w:r>
      <w:r>
        <w:rPr>
          <w:color w:val="231F20"/>
          <w:spacing w:val="-30"/>
          <w:w w:val="105"/>
        </w:rPr>
        <w:t> </w:t>
      </w:r>
      <w:r>
        <w:rPr>
          <w:color w:val="231F20"/>
          <w:w w:val="105"/>
        </w:rPr>
        <w:t>con- cepción de los economistas neoclásicos, quienes consideraban que el desempleo sólo podía ser de dos tipos: i) friccional, debido a las per- sonas que cambian de trabajo y a las que entran por primera vez en la población activa o que retornan a ella, ii) voluntario, que resulta de la negativa</w:t>
      </w:r>
      <w:r>
        <w:rPr>
          <w:color w:val="231F20"/>
          <w:spacing w:val="-8"/>
          <w:w w:val="105"/>
        </w:rPr>
        <w:t> </w:t>
      </w:r>
      <w:r>
        <w:rPr>
          <w:color w:val="231F20"/>
          <w:w w:val="105"/>
        </w:rPr>
        <w:t>o</w:t>
      </w:r>
      <w:r>
        <w:rPr>
          <w:color w:val="231F20"/>
          <w:spacing w:val="-8"/>
          <w:w w:val="105"/>
        </w:rPr>
        <w:t> </w:t>
      </w:r>
      <w:r>
        <w:rPr>
          <w:color w:val="231F20"/>
          <w:w w:val="105"/>
        </w:rPr>
        <w:t>incapacidad</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trabajador</w:t>
      </w:r>
      <w:r>
        <w:rPr>
          <w:color w:val="231F20"/>
          <w:spacing w:val="-8"/>
          <w:w w:val="105"/>
        </w:rPr>
        <w:t> </w:t>
      </w:r>
      <w:r>
        <w:rPr>
          <w:color w:val="231F20"/>
          <w:w w:val="105"/>
        </w:rPr>
        <w:t>para</w:t>
      </w:r>
      <w:r>
        <w:rPr>
          <w:color w:val="231F20"/>
          <w:spacing w:val="-8"/>
          <w:w w:val="105"/>
        </w:rPr>
        <w:t> </w:t>
      </w:r>
      <w:r>
        <w:rPr>
          <w:color w:val="231F20"/>
          <w:w w:val="105"/>
        </w:rPr>
        <w:t>aceptar</w:t>
      </w:r>
      <w:r>
        <w:rPr>
          <w:color w:val="231F20"/>
          <w:spacing w:val="-8"/>
          <w:w w:val="105"/>
        </w:rPr>
        <w:t> </w:t>
      </w:r>
      <w:r>
        <w:rPr>
          <w:color w:val="231F20"/>
          <w:w w:val="105"/>
        </w:rPr>
        <w:t>un</w:t>
      </w:r>
      <w:r>
        <w:rPr>
          <w:color w:val="231F20"/>
          <w:spacing w:val="-8"/>
          <w:w w:val="105"/>
        </w:rPr>
        <w:t> </w:t>
      </w:r>
      <w:r>
        <w:rPr>
          <w:color w:val="231F20"/>
          <w:w w:val="105"/>
        </w:rPr>
        <w:t>sueldo</w:t>
      </w:r>
      <w:r>
        <w:rPr>
          <w:color w:val="231F20"/>
          <w:spacing w:val="-8"/>
          <w:w w:val="105"/>
        </w:rPr>
        <w:t> </w:t>
      </w:r>
      <w:r>
        <w:rPr>
          <w:color w:val="231F20"/>
          <w:w w:val="105"/>
        </w:rPr>
        <w:t>igual</w:t>
      </w:r>
      <w:r>
        <w:rPr>
          <w:color w:val="231F20"/>
          <w:spacing w:val="-8"/>
          <w:w w:val="105"/>
        </w:rPr>
        <w:t> </w:t>
      </w:r>
      <w:r>
        <w:rPr>
          <w:color w:val="231F20"/>
          <w:w w:val="105"/>
        </w:rPr>
        <w:t>al valor</w:t>
      </w:r>
      <w:r>
        <w:rPr>
          <w:color w:val="231F20"/>
          <w:spacing w:val="-8"/>
          <w:w w:val="105"/>
        </w:rPr>
        <w:t> </w:t>
      </w:r>
      <w:r>
        <w:rPr>
          <w:color w:val="231F20"/>
          <w:w w:val="105"/>
        </w:rPr>
        <w:t>del</w:t>
      </w:r>
      <w:r>
        <w:rPr>
          <w:color w:val="231F20"/>
          <w:spacing w:val="-8"/>
          <w:w w:val="105"/>
        </w:rPr>
        <w:t> </w:t>
      </w:r>
      <w:r>
        <w:rPr>
          <w:color w:val="231F20"/>
          <w:w w:val="105"/>
        </w:rPr>
        <w:t>producto</w:t>
      </w:r>
      <w:r>
        <w:rPr>
          <w:color w:val="231F20"/>
          <w:spacing w:val="-8"/>
          <w:w w:val="105"/>
        </w:rPr>
        <w:t> </w:t>
      </w:r>
      <w:r>
        <w:rPr>
          <w:color w:val="231F20"/>
          <w:w w:val="105"/>
        </w:rPr>
        <w:t>atribuible</w:t>
      </w:r>
      <w:r>
        <w:rPr>
          <w:color w:val="231F20"/>
          <w:spacing w:val="-8"/>
          <w:w w:val="105"/>
        </w:rPr>
        <w:t> </w:t>
      </w:r>
      <w:r>
        <w:rPr>
          <w:color w:val="231F20"/>
          <w:w w:val="105"/>
        </w:rPr>
        <w:t>a</w:t>
      </w:r>
      <w:r>
        <w:rPr>
          <w:color w:val="231F20"/>
          <w:spacing w:val="-8"/>
          <w:w w:val="105"/>
        </w:rPr>
        <w:t> </w:t>
      </w:r>
      <w:r>
        <w:rPr>
          <w:color w:val="231F20"/>
          <w:w w:val="105"/>
        </w:rPr>
        <w:t>su</w:t>
      </w:r>
      <w:r>
        <w:rPr>
          <w:color w:val="231F20"/>
          <w:spacing w:val="-8"/>
          <w:w w:val="105"/>
        </w:rPr>
        <w:t> </w:t>
      </w:r>
      <w:r>
        <w:rPr>
          <w:color w:val="231F20"/>
          <w:w w:val="105"/>
        </w:rPr>
        <w:t>productividad</w:t>
      </w:r>
      <w:r>
        <w:rPr>
          <w:color w:val="231F20"/>
          <w:spacing w:val="-8"/>
          <w:w w:val="105"/>
        </w:rPr>
        <w:t> </w:t>
      </w:r>
      <w:r>
        <w:rPr>
          <w:color w:val="231F20"/>
          <w:w w:val="105"/>
        </w:rPr>
        <w:t>marginal</w:t>
      </w:r>
      <w:r>
        <w:rPr>
          <w:color w:val="231F20"/>
          <w:spacing w:val="-8"/>
          <w:w w:val="105"/>
        </w:rPr>
        <w:t> </w:t>
      </w:r>
      <w:r>
        <w:rPr>
          <w:color w:val="231F20"/>
          <w:w w:val="105"/>
        </w:rPr>
        <w:t>(Pigou,</w:t>
      </w:r>
      <w:r>
        <w:rPr>
          <w:color w:val="231F20"/>
          <w:spacing w:val="-15"/>
          <w:w w:val="105"/>
        </w:rPr>
        <w:t> </w:t>
      </w:r>
      <w:r>
        <w:rPr>
          <w:color w:val="231F20"/>
          <w:w w:val="105"/>
        </w:rPr>
        <w:t>1933).</w:t>
      </w:r>
    </w:p>
    <w:p>
      <w:pPr>
        <w:pStyle w:val="BodyText"/>
        <w:rPr>
          <w:sz w:val="20"/>
        </w:rPr>
      </w:pPr>
    </w:p>
    <w:p>
      <w:pPr>
        <w:pStyle w:val="BodyText"/>
        <w:rPr>
          <w:sz w:val="20"/>
        </w:rPr>
      </w:pPr>
    </w:p>
    <w:p>
      <w:pPr>
        <w:pStyle w:val="BodyText"/>
        <w:rPr>
          <w:sz w:val="19"/>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76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288</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63"/>
        </w:numPr>
        <w:tabs>
          <w:tab w:pos="501" w:val="left" w:leader="none"/>
          <w:tab w:pos="6971" w:val="right" w:leader="none"/>
        </w:tabs>
        <w:spacing w:line="240" w:lineRule="auto" w:before="52" w:after="0"/>
        <w:ind w:left="500" w:right="0" w:hanging="215"/>
        <w:jc w:val="left"/>
        <w:rPr>
          <w:sz w:val="20"/>
        </w:rPr>
      </w:pPr>
      <w:r>
        <w:rPr/>
        <w:pict>
          <v:line style="position:absolute;mso-position-horizontal-relative:page;mso-position-vertical-relative:paragraph;z-index:-237736" from="384.061005pt,-25.30427pt" to="384.061005pt,9.561580pt" stroked="true" strokeweight=".3pt" strokecolor="#231f20">
            <w10:wrap type="none"/>
          </v:line>
        </w:pict>
      </w:r>
      <w:r>
        <w:rPr>
          <w:rFonts w:ascii="Lucida Sans Unicode" w:hAnsi="Lucida Sans Unicode"/>
          <w:color w:val="6D6E71"/>
          <w:w w:val="105"/>
          <w:sz w:val="14"/>
        </w:rPr>
        <w:t>El</w:t>
      </w:r>
      <w:r>
        <w:rPr>
          <w:rFonts w:ascii="Lucida Sans Unicode" w:hAnsi="Lucida Sans Unicode"/>
          <w:color w:val="6D6E71"/>
          <w:spacing w:val="-9"/>
          <w:w w:val="105"/>
          <w:sz w:val="14"/>
        </w:rPr>
        <w:t> </w:t>
      </w:r>
      <w:r>
        <w:rPr>
          <w:rFonts w:ascii="Lucida Sans Unicode" w:hAnsi="Lucida Sans Unicode"/>
          <w:color w:val="6D6E71"/>
          <w:w w:val="105"/>
          <w:sz w:val="14"/>
        </w:rPr>
        <w:t>EmplEo</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15"/>
          <w:sz w:val="14"/>
        </w:rPr>
        <w:t>la</w:t>
      </w:r>
      <w:r>
        <w:rPr>
          <w:rFonts w:ascii="Lucida Sans Unicode" w:hAnsi="Lucida Sans Unicode"/>
          <w:color w:val="6D6E71"/>
          <w:spacing w:val="-13"/>
          <w:w w:val="115"/>
          <w:sz w:val="14"/>
        </w:rPr>
        <w:t> </w:t>
      </w:r>
      <w:r>
        <w:rPr>
          <w:rFonts w:ascii="Lucida Sans Unicode" w:hAnsi="Lucida Sans Unicode"/>
          <w:color w:val="6D6E71"/>
          <w:w w:val="105"/>
          <w:sz w:val="14"/>
        </w:rPr>
        <w:t>dEsocupacIón:</w:t>
      </w:r>
      <w:r>
        <w:rPr>
          <w:rFonts w:ascii="Lucida Sans Unicode" w:hAnsi="Lucida Sans Unicode"/>
          <w:color w:val="6D6E71"/>
          <w:spacing w:val="-9"/>
          <w:w w:val="105"/>
          <w:sz w:val="14"/>
        </w:rPr>
        <w:t> </w:t>
      </w:r>
      <w:r>
        <w:rPr>
          <w:rFonts w:ascii="Lucida Sans Unicode" w:hAnsi="Lucida Sans Unicode"/>
          <w:color w:val="6D6E71"/>
          <w:w w:val="105"/>
          <w:sz w:val="14"/>
        </w:rPr>
        <w:t>un</w:t>
      </w:r>
      <w:r>
        <w:rPr>
          <w:rFonts w:ascii="Lucida Sans Unicode" w:hAnsi="Lucida Sans Unicode"/>
          <w:color w:val="6D6E71"/>
          <w:spacing w:val="-9"/>
          <w:w w:val="105"/>
          <w:sz w:val="14"/>
        </w:rPr>
        <w:t> </w:t>
      </w:r>
      <w:r>
        <w:rPr>
          <w:rFonts w:ascii="Lucida Sans Unicode" w:hAnsi="Lucida Sans Unicode"/>
          <w:color w:val="6D6E71"/>
          <w:w w:val="105"/>
          <w:sz w:val="14"/>
        </w:rPr>
        <w:t>análIsIs</w:t>
      </w:r>
      <w:r>
        <w:rPr>
          <w:rFonts w:ascii="Lucida Sans Unicode" w:hAnsi="Lucida Sans Unicode"/>
          <w:color w:val="6D6E71"/>
          <w:spacing w:val="-9"/>
          <w:w w:val="105"/>
          <w:sz w:val="14"/>
        </w:rPr>
        <w:t> </w:t>
      </w:r>
      <w:r>
        <w:rPr>
          <w:rFonts w:ascii="Lucida Sans Unicode" w:hAnsi="Lucida Sans Unicode"/>
          <w:color w:val="6D6E71"/>
          <w:w w:val="105"/>
          <w:sz w:val="14"/>
        </w:rPr>
        <w:t>dEsdE</w:t>
      </w:r>
      <w:r>
        <w:rPr>
          <w:rFonts w:ascii="Lucida Sans Unicode" w:hAnsi="Lucida Sans Unicode"/>
          <w:color w:val="6D6E71"/>
          <w:spacing w:val="-9"/>
          <w:w w:val="105"/>
          <w:sz w:val="14"/>
        </w:rPr>
        <w:t> </w:t>
      </w:r>
      <w:r>
        <w:rPr>
          <w:rFonts w:ascii="Lucida Sans Unicode" w:hAnsi="Lucida Sans Unicode"/>
          <w:color w:val="6D6E71"/>
          <w:w w:val="105"/>
          <w:sz w:val="14"/>
        </w:rPr>
        <w:t>los</w:t>
      </w:r>
      <w:r>
        <w:rPr>
          <w:rFonts w:ascii="Lucida Sans Unicode" w:hAnsi="Lucida Sans Unicode"/>
          <w:color w:val="6D6E71"/>
          <w:spacing w:val="-9"/>
          <w:w w:val="105"/>
          <w:sz w:val="14"/>
        </w:rPr>
        <w:t> </w:t>
      </w:r>
      <w:r>
        <w:rPr>
          <w:rFonts w:ascii="Lucida Sans Unicode" w:hAnsi="Lucida Sans Unicode"/>
          <w:color w:val="6D6E71"/>
          <w:w w:val="105"/>
          <w:sz w:val="14"/>
        </w:rPr>
        <w:t>EnfoquEs</w:t>
      </w:r>
      <w:r>
        <w:rPr>
          <w:rFonts w:ascii="Lucida Sans Unicode" w:hAnsi="Lucida Sans Unicode"/>
          <w:color w:val="6D6E71"/>
          <w:spacing w:val="-9"/>
          <w:w w:val="105"/>
          <w:sz w:val="14"/>
        </w:rPr>
        <w:t> </w:t>
      </w:r>
      <w:r>
        <w:rPr>
          <w:rFonts w:ascii="Lucida Sans Unicode" w:hAnsi="Lucida Sans Unicode"/>
          <w:color w:val="6D6E71"/>
          <w:w w:val="105"/>
          <w:sz w:val="14"/>
        </w:rPr>
        <w:t>tEórIcos</w:t>
      </w:r>
      <w:r>
        <w:rPr>
          <w:rFonts w:ascii="Lucida Sans Unicode" w:hAnsi="Lucida Sans Unicode"/>
          <w:color w:val="6D6E71"/>
          <w:spacing w:val="-9"/>
          <w:w w:val="105"/>
          <w:sz w:val="14"/>
        </w:rPr>
        <w:t> </w:t>
      </w:r>
      <w:r>
        <w:rPr>
          <w:rFonts w:ascii="Lucida Sans Unicode" w:hAnsi="Lucida Sans Unicode"/>
          <w:color w:val="6D6E71"/>
          <w:w w:val="105"/>
          <w:sz w:val="14"/>
        </w:rPr>
        <w:t>kEynEsIanos</w:t>
      </w:r>
      <w:r>
        <w:rPr>
          <w:color w:val="414042"/>
          <w:w w:val="105"/>
          <w:position w:val="-3"/>
          <w:sz w:val="20"/>
        </w:rPr>
        <w:tab/>
        <w:t>289</w:t>
      </w:r>
    </w:p>
    <w:p>
      <w:pPr>
        <w:pStyle w:val="BodyText"/>
        <w:rPr>
          <w:sz w:val="20"/>
        </w:rPr>
      </w:pPr>
    </w:p>
    <w:p>
      <w:pPr>
        <w:pStyle w:val="BodyText"/>
        <w:rPr>
          <w:sz w:val="20"/>
        </w:rPr>
      </w:pPr>
    </w:p>
    <w:p>
      <w:pPr>
        <w:pStyle w:val="BodyText"/>
        <w:spacing w:line="259" w:lineRule="auto" w:before="176"/>
        <w:ind w:left="117" w:right="115"/>
        <w:jc w:val="both"/>
      </w:pPr>
      <w:r>
        <w:rPr>
          <w:color w:val="231F20"/>
          <w:w w:val="105"/>
        </w:rPr>
        <w:t>Los neoclásicos también habían estudiado los procesos económicos, dando por hecho la existencia de un cierto nivel de ocupación que co- rrespondía</w:t>
      </w:r>
      <w:r>
        <w:rPr>
          <w:color w:val="231F20"/>
          <w:spacing w:val="-21"/>
          <w:w w:val="105"/>
        </w:rPr>
        <w:t> </w:t>
      </w:r>
      <w:r>
        <w:rPr>
          <w:color w:val="231F20"/>
          <w:w w:val="105"/>
        </w:rPr>
        <w:t>al</w:t>
      </w:r>
      <w:r>
        <w:rPr>
          <w:color w:val="231F20"/>
          <w:spacing w:val="-21"/>
          <w:w w:val="105"/>
        </w:rPr>
        <w:t> </w:t>
      </w:r>
      <w:r>
        <w:rPr>
          <w:color w:val="231F20"/>
          <w:w w:val="105"/>
        </w:rPr>
        <w:t>de</w:t>
      </w:r>
      <w:r>
        <w:rPr>
          <w:color w:val="231F20"/>
          <w:spacing w:val="-21"/>
          <w:w w:val="105"/>
        </w:rPr>
        <w:t> </w:t>
      </w:r>
      <w:r>
        <w:rPr>
          <w:color w:val="231F20"/>
          <w:w w:val="105"/>
        </w:rPr>
        <w:t>pleno</w:t>
      </w:r>
      <w:r>
        <w:rPr>
          <w:color w:val="231F20"/>
          <w:spacing w:val="-21"/>
          <w:w w:val="105"/>
        </w:rPr>
        <w:t> </w:t>
      </w:r>
      <w:r>
        <w:rPr>
          <w:color w:val="231F20"/>
          <w:w w:val="105"/>
        </w:rPr>
        <w:t>empleo</w:t>
      </w:r>
      <w:r>
        <w:rPr>
          <w:color w:val="231F20"/>
          <w:spacing w:val="-21"/>
          <w:w w:val="105"/>
        </w:rPr>
        <w:t> </w:t>
      </w:r>
      <w:r>
        <w:rPr>
          <w:color w:val="231F20"/>
          <w:w w:val="105"/>
        </w:rPr>
        <w:t>(Caballero,</w:t>
      </w:r>
      <w:r>
        <w:rPr>
          <w:color w:val="231F20"/>
          <w:spacing w:val="-26"/>
          <w:w w:val="105"/>
        </w:rPr>
        <w:t> </w:t>
      </w:r>
      <w:r>
        <w:rPr>
          <w:color w:val="231F20"/>
          <w:w w:val="105"/>
        </w:rPr>
        <w:t>2006)</w:t>
      </w:r>
      <w:r>
        <w:rPr>
          <w:color w:val="231F20"/>
          <w:spacing w:val="-21"/>
          <w:w w:val="105"/>
        </w:rPr>
        <w:t> </w:t>
      </w:r>
      <w:r>
        <w:rPr>
          <w:color w:val="231F20"/>
          <w:w w:val="105"/>
        </w:rPr>
        <w:t>y</w:t>
      </w:r>
      <w:r>
        <w:rPr>
          <w:color w:val="231F20"/>
          <w:spacing w:val="-21"/>
          <w:w w:val="105"/>
        </w:rPr>
        <w:t> </w:t>
      </w:r>
      <w:r>
        <w:rPr>
          <w:color w:val="231F20"/>
          <w:w w:val="105"/>
        </w:rPr>
        <w:t>hasta</w:t>
      </w:r>
      <w:r>
        <w:rPr>
          <w:color w:val="231F20"/>
          <w:spacing w:val="-21"/>
          <w:w w:val="105"/>
        </w:rPr>
        <w:t> </w:t>
      </w:r>
      <w:r>
        <w:rPr>
          <w:color w:val="231F20"/>
          <w:w w:val="105"/>
        </w:rPr>
        <w:t>entonces</w:t>
      </w:r>
      <w:r>
        <w:rPr>
          <w:color w:val="231F20"/>
          <w:spacing w:val="-21"/>
          <w:w w:val="105"/>
        </w:rPr>
        <w:t> </w:t>
      </w:r>
      <w:r>
        <w:rPr>
          <w:color w:val="231F20"/>
          <w:w w:val="105"/>
        </w:rPr>
        <w:t>pocas veces</w:t>
      </w:r>
      <w:r>
        <w:rPr>
          <w:color w:val="231F20"/>
          <w:spacing w:val="-24"/>
          <w:w w:val="105"/>
        </w:rPr>
        <w:t> </w:t>
      </w:r>
      <w:r>
        <w:rPr>
          <w:color w:val="231F20"/>
          <w:w w:val="105"/>
        </w:rPr>
        <w:t>la</w:t>
      </w:r>
      <w:r>
        <w:rPr>
          <w:color w:val="231F20"/>
          <w:spacing w:val="-24"/>
          <w:w w:val="105"/>
        </w:rPr>
        <w:t> </w:t>
      </w:r>
      <w:r>
        <w:rPr>
          <w:color w:val="231F20"/>
          <w:w w:val="105"/>
        </w:rPr>
        <w:t>‘teoría</w:t>
      </w:r>
      <w:r>
        <w:rPr>
          <w:color w:val="231F20"/>
          <w:spacing w:val="-24"/>
          <w:w w:val="105"/>
        </w:rPr>
        <w:t> </w:t>
      </w:r>
      <w:r>
        <w:rPr>
          <w:color w:val="231F20"/>
          <w:w w:val="105"/>
        </w:rPr>
        <w:t>pura’</w:t>
      </w:r>
      <w:r>
        <w:rPr>
          <w:color w:val="231F20"/>
          <w:spacing w:val="-24"/>
          <w:w w:val="105"/>
        </w:rPr>
        <w:t> </w:t>
      </w:r>
      <w:r>
        <w:rPr>
          <w:color w:val="231F20"/>
          <w:w w:val="105"/>
        </w:rPr>
        <w:t>se</w:t>
      </w:r>
      <w:r>
        <w:rPr>
          <w:color w:val="231F20"/>
          <w:spacing w:val="-24"/>
          <w:w w:val="105"/>
        </w:rPr>
        <w:t> </w:t>
      </w:r>
      <w:r>
        <w:rPr>
          <w:color w:val="231F20"/>
          <w:w w:val="105"/>
        </w:rPr>
        <w:t>había</w:t>
      </w:r>
      <w:r>
        <w:rPr>
          <w:color w:val="231F20"/>
          <w:spacing w:val="-24"/>
          <w:w w:val="105"/>
        </w:rPr>
        <w:t> </w:t>
      </w:r>
      <w:r>
        <w:rPr>
          <w:color w:val="231F20"/>
          <w:w w:val="105"/>
        </w:rPr>
        <w:t>interesado</w:t>
      </w:r>
      <w:r>
        <w:rPr>
          <w:color w:val="231F20"/>
          <w:spacing w:val="-24"/>
          <w:w w:val="105"/>
        </w:rPr>
        <w:t> </w:t>
      </w:r>
      <w:r>
        <w:rPr>
          <w:color w:val="231F20"/>
          <w:w w:val="105"/>
        </w:rPr>
        <w:t>por</w:t>
      </w:r>
      <w:r>
        <w:rPr>
          <w:color w:val="231F20"/>
          <w:spacing w:val="-24"/>
          <w:w w:val="105"/>
        </w:rPr>
        <w:t> </w:t>
      </w:r>
      <w:r>
        <w:rPr>
          <w:color w:val="231F20"/>
          <w:w w:val="105"/>
        </w:rPr>
        <w:t>conocer</w:t>
      </w:r>
      <w:r>
        <w:rPr>
          <w:color w:val="231F20"/>
          <w:spacing w:val="-24"/>
          <w:w w:val="105"/>
        </w:rPr>
        <w:t> </w:t>
      </w:r>
      <w:r>
        <w:rPr>
          <w:color w:val="231F20"/>
          <w:w w:val="105"/>
        </w:rPr>
        <w:t>los</w:t>
      </w:r>
      <w:r>
        <w:rPr>
          <w:color w:val="231F20"/>
          <w:spacing w:val="-24"/>
          <w:w w:val="105"/>
        </w:rPr>
        <w:t> </w:t>
      </w:r>
      <w:r>
        <w:rPr>
          <w:color w:val="231F20"/>
          <w:w w:val="105"/>
        </w:rPr>
        <w:t>elementos</w:t>
      </w:r>
      <w:r>
        <w:rPr>
          <w:color w:val="231F20"/>
          <w:spacing w:val="-24"/>
          <w:w w:val="105"/>
        </w:rPr>
        <w:t> </w:t>
      </w:r>
      <w:r>
        <w:rPr>
          <w:color w:val="231F20"/>
          <w:w w:val="105"/>
        </w:rPr>
        <w:t>y</w:t>
      </w:r>
      <w:r>
        <w:rPr>
          <w:color w:val="231F20"/>
          <w:spacing w:val="-24"/>
          <w:w w:val="105"/>
        </w:rPr>
        <w:t> </w:t>
      </w:r>
      <w:r>
        <w:rPr>
          <w:color w:val="231F20"/>
          <w:w w:val="105"/>
        </w:rPr>
        <w:t>las condiciones que determinan tal nivel de</w:t>
      </w:r>
      <w:r>
        <w:rPr>
          <w:color w:val="231F20"/>
          <w:spacing w:val="-40"/>
          <w:w w:val="105"/>
        </w:rPr>
        <w:t> </w:t>
      </w:r>
      <w:r>
        <w:rPr>
          <w:color w:val="231F20"/>
          <w:w w:val="105"/>
        </w:rPr>
        <w:t>ocupación.</w:t>
      </w:r>
    </w:p>
    <w:p>
      <w:pPr>
        <w:pStyle w:val="BodyText"/>
        <w:spacing w:line="259" w:lineRule="auto"/>
        <w:ind w:left="117" w:right="115" w:firstLine="567"/>
        <w:jc w:val="both"/>
      </w:pPr>
      <w:r>
        <w:rPr>
          <w:color w:val="231F20"/>
          <w:w w:val="105"/>
        </w:rPr>
        <w:t>Keynes</w:t>
      </w:r>
      <w:r>
        <w:rPr>
          <w:color w:val="231F20"/>
          <w:spacing w:val="-29"/>
          <w:w w:val="105"/>
        </w:rPr>
        <w:t> </w:t>
      </w:r>
      <w:r>
        <w:rPr>
          <w:color w:val="231F20"/>
          <w:w w:val="105"/>
        </w:rPr>
        <w:t>retoma</w:t>
      </w:r>
      <w:r>
        <w:rPr>
          <w:color w:val="231F20"/>
          <w:spacing w:val="-29"/>
          <w:w w:val="105"/>
        </w:rPr>
        <w:t> </w:t>
      </w:r>
      <w:r>
        <w:rPr>
          <w:color w:val="231F20"/>
          <w:w w:val="105"/>
        </w:rPr>
        <w:t>algunos</w:t>
      </w:r>
      <w:r>
        <w:rPr>
          <w:color w:val="231F20"/>
          <w:spacing w:val="-29"/>
          <w:w w:val="105"/>
        </w:rPr>
        <w:t> </w:t>
      </w:r>
      <w:r>
        <w:rPr>
          <w:color w:val="231F20"/>
          <w:w w:val="105"/>
        </w:rPr>
        <w:t>postulados</w:t>
      </w:r>
      <w:r>
        <w:rPr>
          <w:color w:val="231F20"/>
          <w:spacing w:val="-29"/>
          <w:w w:val="105"/>
        </w:rPr>
        <w:t> </w:t>
      </w:r>
      <w:r>
        <w:rPr>
          <w:color w:val="231F20"/>
          <w:w w:val="105"/>
        </w:rPr>
        <w:t>neoclásicos</w:t>
      </w:r>
      <w:r>
        <w:rPr>
          <w:color w:val="231F20"/>
          <w:spacing w:val="-29"/>
          <w:w w:val="105"/>
        </w:rPr>
        <w:t> </w:t>
      </w:r>
      <w:r>
        <w:rPr>
          <w:color w:val="231F20"/>
          <w:w w:val="105"/>
        </w:rPr>
        <w:t>basados</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sub- jetividad</w:t>
      </w:r>
      <w:r>
        <w:rPr>
          <w:color w:val="231F20"/>
          <w:spacing w:val="-4"/>
          <w:w w:val="105"/>
        </w:rPr>
        <w:t> </w:t>
      </w:r>
      <w:r>
        <w:rPr>
          <w:color w:val="231F20"/>
          <w:w w:val="105"/>
        </w:rPr>
        <w:t>del</w:t>
      </w:r>
      <w:r>
        <w:rPr>
          <w:color w:val="231F20"/>
          <w:spacing w:val="-4"/>
          <w:w w:val="105"/>
        </w:rPr>
        <w:t> </w:t>
      </w:r>
      <w:r>
        <w:rPr>
          <w:color w:val="231F20"/>
          <w:w w:val="105"/>
        </w:rPr>
        <w:t>individuo</w:t>
      </w:r>
      <w:r>
        <w:rPr>
          <w:color w:val="231F20"/>
          <w:spacing w:val="-4"/>
          <w:w w:val="105"/>
        </w:rPr>
        <w:t> </w:t>
      </w:r>
      <w:r>
        <w:rPr>
          <w:color w:val="231F20"/>
          <w:w w:val="105"/>
        </w:rPr>
        <w:t>y</w:t>
      </w:r>
      <w:r>
        <w:rPr>
          <w:color w:val="231F20"/>
          <w:spacing w:val="-4"/>
          <w:w w:val="105"/>
        </w:rPr>
        <w:t> </w:t>
      </w:r>
      <w:r>
        <w:rPr>
          <w:color w:val="231F20"/>
          <w:w w:val="105"/>
        </w:rPr>
        <w:t>su</w:t>
      </w:r>
      <w:r>
        <w:rPr>
          <w:color w:val="231F20"/>
          <w:spacing w:val="-4"/>
          <w:w w:val="105"/>
        </w:rPr>
        <w:t> </w:t>
      </w:r>
      <w:r>
        <w:rPr>
          <w:color w:val="231F20"/>
          <w:w w:val="105"/>
        </w:rPr>
        <w:t>‘racionalidad’</w:t>
      </w:r>
      <w:r>
        <w:rPr>
          <w:color w:val="231F20"/>
          <w:spacing w:val="-4"/>
          <w:w w:val="105"/>
        </w:rPr>
        <w:t> </w:t>
      </w:r>
      <w:r>
        <w:rPr>
          <w:color w:val="231F20"/>
          <w:w w:val="105"/>
        </w:rPr>
        <w:t>y</w:t>
      </w:r>
      <w:r>
        <w:rPr>
          <w:color w:val="231F20"/>
          <w:spacing w:val="-4"/>
          <w:w w:val="105"/>
        </w:rPr>
        <w:t> </w:t>
      </w:r>
      <w:r>
        <w:rPr>
          <w:color w:val="231F20"/>
          <w:w w:val="105"/>
        </w:rPr>
        <w:t>para</w:t>
      </w:r>
      <w:r>
        <w:rPr>
          <w:color w:val="231F20"/>
          <w:spacing w:val="-4"/>
          <w:w w:val="105"/>
        </w:rPr>
        <w:t> </w:t>
      </w:r>
      <w:r>
        <w:rPr>
          <w:color w:val="231F20"/>
          <w:w w:val="105"/>
        </w:rPr>
        <w:t>explicar</w:t>
      </w:r>
      <w:r>
        <w:rPr>
          <w:color w:val="231F20"/>
          <w:spacing w:val="-4"/>
          <w:w w:val="105"/>
        </w:rPr>
        <w:t> </w:t>
      </w:r>
      <w:r>
        <w:rPr>
          <w:color w:val="231F20"/>
          <w:w w:val="105"/>
        </w:rPr>
        <w:t>el</w:t>
      </w:r>
      <w:r>
        <w:rPr>
          <w:color w:val="231F20"/>
          <w:spacing w:val="-4"/>
          <w:w w:val="105"/>
        </w:rPr>
        <w:t> </w:t>
      </w:r>
      <w:r>
        <w:rPr>
          <w:color w:val="231F20"/>
          <w:w w:val="105"/>
        </w:rPr>
        <w:t>nivel</w:t>
      </w:r>
      <w:r>
        <w:rPr>
          <w:color w:val="231F20"/>
          <w:spacing w:val="-4"/>
          <w:w w:val="105"/>
        </w:rPr>
        <w:t> </w:t>
      </w:r>
      <w:r>
        <w:rPr>
          <w:color w:val="231F20"/>
          <w:w w:val="105"/>
        </w:rPr>
        <w:t>de</w:t>
      </w:r>
      <w:r>
        <w:rPr>
          <w:color w:val="231F20"/>
          <w:spacing w:val="-4"/>
          <w:w w:val="105"/>
        </w:rPr>
        <w:t> </w:t>
      </w:r>
      <w:r>
        <w:rPr>
          <w:color w:val="231F20"/>
          <w:w w:val="105"/>
        </w:rPr>
        <w:t>ocu- pación propone tres funciones macroeconómicas a las que denomina ‘leyes</w:t>
      </w:r>
      <w:r>
        <w:rPr>
          <w:color w:val="231F20"/>
          <w:spacing w:val="-11"/>
          <w:w w:val="105"/>
        </w:rPr>
        <w:t> </w:t>
      </w:r>
      <w:r>
        <w:rPr>
          <w:color w:val="231F20"/>
          <w:w w:val="105"/>
        </w:rPr>
        <w:t>psicológicas</w:t>
      </w:r>
      <w:r>
        <w:rPr>
          <w:color w:val="231F20"/>
          <w:spacing w:val="-11"/>
          <w:w w:val="105"/>
        </w:rPr>
        <w:t> </w:t>
      </w:r>
      <w:r>
        <w:rPr>
          <w:color w:val="231F20"/>
          <w:w w:val="105"/>
        </w:rPr>
        <w:t>fundamentales’</w:t>
      </w:r>
      <w:r>
        <w:rPr>
          <w:color w:val="231F20"/>
          <w:spacing w:val="-11"/>
          <w:w w:val="105"/>
        </w:rPr>
        <w:t> </w:t>
      </w:r>
      <w:r>
        <w:rPr>
          <w:color w:val="231F20"/>
          <w:w w:val="105"/>
        </w:rPr>
        <w:t>que,</w:t>
      </w:r>
      <w:r>
        <w:rPr>
          <w:color w:val="231F20"/>
          <w:spacing w:val="-16"/>
          <w:w w:val="105"/>
        </w:rPr>
        <w:t> </w:t>
      </w:r>
      <w:r>
        <w:rPr>
          <w:color w:val="231F20"/>
          <w:w w:val="105"/>
        </w:rPr>
        <w:t>al</w:t>
      </w:r>
      <w:r>
        <w:rPr>
          <w:color w:val="231F20"/>
          <w:spacing w:val="-11"/>
          <w:w w:val="105"/>
        </w:rPr>
        <w:t> </w:t>
      </w:r>
      <w:r>
        <w:rPr>
          <w:color w:val="231F20"/>
          <w:w w:val="105"/>
        </w:rPr>
        <w:t>estar</w:t>
      </w:r>
      <w:r>
        <w:rPr>
          <w:color w:val="231F20"/>
          <w:spacing w:val="-11"/>
          <w:w w:val="105"/>
        </w:rPr>
        <w:t> </w:t>
      </w:r>
      <w:r>
        <w:rPr>
          <w:color w:val="231F20"/>
          <w:w w:val="105"/>
        </w:rPr>
        <w:t>el</w:t>
      </w:r>
      <w:r>
        <w:rPr>
          <w:color w:val="231F20"/>
          <w:spacing w:val="-11"/>
          <w:w w:val="105"/>
        </w:rPr>
        <w:t> </w:t>
      </w:r>
      <w:r>
        <w:rPr>
          <w:color w:val="231F20"/>
          <w:w w:val="105"/>
        </w:rPr>
        <w:t>sistema</w:t>
      </w:r>
      <w:r>
        <w:rPr>
          <w:color w:val="231F20"/>
          <w:spacing w:val="-11"/>
          <w:w w:val="105"/>
        </w:rPr>
        <w:t> </w:t>
      </w:r>
      <w:r>
        <w:rPr>
          <w:color w:val="231F20"/>
          <w:w w:val="105"/>
        </w:rPr>
        <w:t>en</w:t>
      </w:r>
      <w:r>
        <w:rPr>
          <w:color w:val="231F20"/>
          <w:spacing w:val="-11"/>
          <w:w w:val="105"/>
        </w:rPr>
        <w:t> </w:t>
      </w:r>
      <w:r>
        <w:rPr>
          <w:color w:val="231F20"/>
          <w:w w:val="105"/>
        </w:rPr>
        <w:t>equilibrio, determinan el volumen de ocupación: i) la función de la demanda</w:t>
      </w:r>
      <w:r>
        <w:rPr>
          <w:color w:val="231F20"/>
          <w:spacing w:val="-41"/>
          <w:w w:val="105"/>
        </w:rPr>
        <w:t> </w:t>
      </w:r>
      <w:r>
        <w:rPr>
          <w:color w:val="231F20"/>
          <w:w w:val="105"/>
        </w:rPr>
        <w:t>agre- gada,</w:t>
      </w:r>
      <w:r>
        <w:rPr>
          <w:color w:val="231F20"/>
          <w:spacing w:val="-26"/>
          <w:w w:val="105"/>
        </w:rPr>
        <w:t> </w:t>
      </w:r>
      <w:r>
        <w:rPr>
          <w:color w:val="231F20"/>
          <w:w w:val="105"/>
        </w:rPr>
        <w:t>ii)</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propensión</w:t>
      </w:r>
      <w:r>
        <w:rPr>
          <w:color w:val="231F20"/>
          <w:spacing w:val="-21"/>
          <w:w w:val="105"/>
        </w:rPr>
        <w:t> </w:t>
      </w:r>
      <w:r>
        <w:rPr>
          <w:color w:val="231F20"/>
          <w:w w:val="105"/>
        </w:rPr>
        <w:t>a</w:t>
      </w:r>
      <w:r>
        <w:rPr>
          <w:color w:val="231F20"/>
          <w:spacing w:val="-21"/>
          <w:w w:val="105"/>
        </w:rPr>
        <w:t> </w:t>
      </w:r>
      <w:r>
        <w:rPr>
          <w:color w:val="231F20"/>
          <w:w w:val="105"/>
        </w:rPr>
        <w:t>consumir,</w:t>
      </w:r>
      <w:r>
        <w:rPr>
          <w:color w:val="231F20"/>
          <w:spacing w:val="-26"/>
          <w:w w:val="105"/>
        </w:rPr>
        <w:t> </w:t>
      </w:r>
      <w:r>
        <w:rPr>
          <w:color w:val="231F20"/>
          <w:w w:val="105"/>
        </w:rPr>
        <w:t>y</w:t>
      </w:r>
      <w:r>
        <w:rPr>
          <w:color w:val="231F20"/>
          <w:spacing w:val="-21"/>
          <w:w w:val="105"/>
        </w:rPr>
        <w:t> </w:t>
      </w:r>
      <w:r>
        <w:rPr>
          <w:color w:val="231F20"/>
          <w:w w:val="105"/>
        </w:rPr>
        <w:t>iii)</w:t>
      </w:r>
      <w:r>
        <w:rPr>
          <w:color w:val="231F20"/>
          <w:spacing w:val="-21"/>
          <w:w w:val="105"/>
        </w:rPr>
        <w:t> </w:t>
      </w:r>
      <w:r>
        <w:rPr>
          <w:color w:val="231F20"/>
          <w:w w:val="105"/>
        </w:rPr>
        <w:t>del</w:t>
      </w:r>
      <w:r>
        <w:rPr>
          <w:color w:val="231F20"/>
          <w:spacing w:val="-21"/>
          <w:w w:val="105"/>
        </w:rPr>
        <w:t> </w:t>
      </w:r>
      <w:r>
        <w:rPr>
          <w:color w:val="231F20"/>
          <w:w w:val="105"/>
        </w:rPr>
        <w:t>volumen</w:t>
      </w:r>
      <w:r>
        <w:rPr>
          <w:color w:val="231F20"/>
          <w:spacing w:val="-21"/>
          <w:w w:val="105"/>
        </w:rPr>
        <w:t> </w:t>
      </w:r>
      <w:r>
        <w:rPr>
          <w:color w:val="231F20"/>
          <w:w w:val="105"/>
        </w:rPr>
        <w:t>de</w:t>
      </w:r>
      <w:r>
        <w:rPr>
          <w:color w:val="231F20"/>
          <w:spacing w:val="-21"/>
          <w:w w:val="105"/>
        </w:rPr>
        <w:t> </w:t>
      </w:r>
      <w:r>
        <w:rPr>
          <w:color w:val="231F20"/>
          <w:w w:val="105"/>
        </w:rPr>
        <w:t>inversión.</w:t>
      </w:r>
      <w:r>
        <w:rPr>
          <w:color w:val="231F20"/>
          <w:spacing w:val="-26"/>
          <w:w w:val="105"/>
        </w:rPr>
        <w:t> </w:t>
      </w:r>
      <w:r>
        <w:rPr>
          <w:color w:val="231F20"/>
          <w:w w:val="105"/>
        </w:rPr>
        <w:t>Esta es</w:t>
      </w:r>
      <w:r>
        <w:rPr>
          <w:color w:val="231F20"/>
          <w:spacing w:val="-17"/>
          <w:w w:val="105"/>
        </w:rPr>
        <w:t> </w:t>
      </w:r>
      <w:r>
        <w:rPr>
          <w:color w:val="231F20"/>
          <w:w w:val="105"/>
        </w:rPr>
        <w:t>la</w:t>
      </w:r>
      <w:r>
        <w:rPr>
          <w:color w:val="231F20"/>
          <w:spacing w:val="-17"/>
          <w:w w:val="105"/>
        </w:rPr>
        <w:t> </w:t>
      </w:r>
      <w:r>
        <w:rPr>
          <w:color w:val="231F20"/>
          <w:w w:val="105"/>
        </w:rPr>
        <w:t>esencia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teoría</w:t>
      </w:r>
      <w:r>
        <w:rPr>
          <w:color w:val="231F20"/>
          <w:spacing w:val="-17"/>
          <w:w w:val="105"/>
        </w:rPr>
        <w:t> </w:t>
      </w:r>
      <w:r>
        <w:rPr>
          <w:color w:val="231F20"/>
          <w:w w:val="105"/>
        </w:rPr>
        <w:t>general</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ocupación.</w:t>
      </w:r>
    </w:p>
    <w:p>
      <w:pPr>
        <w:pStyle w:val="BodyText"/>
        <w:spacing w:line="259" w:lineRule="auto"/>
        <w:ind w:left="117" w:right="121" w:firstLine="567"/>
        <w:jc w:val="both"/>
      </w:pPr>
      <w:r>
        <w:rPr>
          <w:color w:val="231F20"/>
          <w:w w:val="105"/>
        </w:rPr>
        <w:t>El</w:t>
      </w:r>
      <w:r>
        <w:rPr>
          <w:color w:val="231F20"/>
          <w:spacing w:val="-25"/>
          <w:w w:val="105"/>
        </w:rPr>
        <w:t> </w:t>
      </w:r>
      <w:r>
        <w:rPr>
          <w:color w:val="231F20"/>
          <w:w w:val="105"/>
        </w:rPr>
        <w:t>comportamiento</w:t>
      </w:r>
      <w:r>
        <w:rPr>
          <w:color w:val="231F20"/>
          <w:spacing w:val="-25"/>
          <w:w w:val="105"/>
        </w:rPr>
        <w:t> </w:t>
      </w:r>
      <w:r>
        <w:rPr>
          <w:color w:val="231F20"/>
          <w:w w:val="105"/>
        </w:rPr>
        <w:t>de</w:t>
      </w:r>
      <w:r>
        <w:rPr>
          <w:color w:val="231F20"/>
          <w:spacing w:val="-25"/>
          <w:w w:val="105"/>
        </w:rPr>
        <w:t> </w:t>
      </w:r>
      <w:r>
        <w:rPr>
          <w:color w:val="231F20"/>
          <w:w w:val="105"/>
        </w:rPr>
        <w:t>estas</w:t>
      </w:r>
      <w:r>
        <w:rPr>
          <w:color w:val="231F20"/>
          <w:spacing w:val="-25"/>
          <w:w w:val="105"/>
        </w:rPr>
        <w:t> </w:t>
      </w:r>
      <w:r>
        <w:rPr>
          <w:color w:val="231F20"/>
          <w:w w:val="105"/>
        </w:rPr>
        <w:t>funciones</w:t>
      </w:r>
      <w:r>
        <w:rPr>
          <w:color w:val="231F20"/>
          <w:spacing w:val="-25"/>
          <w:w w:val="105"/>
        </w:rPr>
        <w:t> </w:t>
      </w:r>
      <w:r>
        <w:rPr>
          <w:color w:val="231F20"/>
          <w:w w:val="105"/>
        </w:rPr>
        <w:t>endógenas</w:t>
      </w:r>
      <w:r>
        <w:rPr>
          <w:color w:val="231F20"/>
          <w:spacing w:val="-25"/>
          <w:w w:val="105"/>
        </w:rPr>
        <w:t> </w:t>
      </w:r>
      <w:r>
        <w:rPr>
          <w:color w:val="231F20"/>
          <w:w w:val="105"/>
        </w:rPr>
        <w:t>al</w:t>
      </w:r>
      <w:r>
        <w:rPr>
          <w:color w:val="231F20"/>
          <w:spacing w:val="-25"/>
          <w:w w:val="105"/>
        </w:rPr>
        <w:t> </w:t>
      </w:r>
      <w:r>
        <w:rPr>
          <w:color w:val="231F20"/>
          <w:w w:val="105"/>
        </w:rPr>
        <w:t>sistema,</w:t>
      </w:r>
      <w:r>
        <w:rPr>
          <w:color w:val="231F20"/>
          <w:spacing w:val="-30"/>
          <w:w w:val="105"/>
        </w:rPr>
        <w:t> </w:t>
      </w:r>
      <w:r>
        <w:rPr>
          <w:color w:val="231F20"/>
          <w:w w:val="105"/>
        </w:rPr>
        <w:t>junto con la cantidad de dinero como variable exógena y los supuestos ade- cuados (estructura social, nivel de desarrollo técnico y grado de com- petencia),</w:t>
      </w:r>
      <w:r>
        <w:rPr>
          <w:color w:val="231F20"/>
          <w:spacing w:val="-13"/>
          <w:w w:val="105"/>
        </w:rPr>
        <w:t> </w:t>
      </w:r>
      <w:r>
        <w:rPr>
          <w:color w:val="231F20"/>
          <w:w w:val="105"/>
        </w:rPr>
        <w:t>determinarán</w:t>
      </w:r>
      <w:r>
        <w:rPr>
          <w:color w:val="231F20"/>
          <w:spacing w:val="-6"/>
          <w:w w:val="105"/>
        </w:rPr>
        <w:t> </w:t>
      </w:r>
      <w:r>
        <w:rPr>
          <w:color w:val="231F20"/>
          <w:w w:val="105"/>
        </w:rPr>
        <w:t>unívocamente</w:t>
      </w:r>
      <w:r>
        <w:rPr>
          <w:color w:val="231F20"/>
          <w:spacing w:val="-6"/>
          <w:w w:val="105"/>
        </w:rPr>
        <w:t> </w:t>
      </w:r>
      <w:r>
        <w:rPr>
          <w:color w:val="231F20"/>
          <w:w w:val="105"/>
        </w:rPr>
        <w:t>el</w:t>
      </w:r>
      <w:r>
        <w:rPr>
          <w:color w:val="231F20"/>
          <w:spacing w:val="-6"/>
          <w:w w:val="105"/>
        </w:rPr>
        <w:t> </w:t>
      </w:r>
      <w:r>
        <w:rPr>
          <w:color w:val="231F20"/>
          <w:w w:val="105"/>
        </w:rPr>
        <w:t>tipo</w:t>
      </w:r>
      <w:r>
        <w:rPr>
          <w:color w:val="231F20"/>
          <w:spacing w:val="-6"/>
          <w:w w:val="105"/>
        </w:rPr>
        <w:t> </w:t>
      </w:r>
      <w:r>
        <w:rPr>
          <w:color w:val="231F20"/>
          <w:w w:val="105"/>
        </w:rPr>
        <w:t>de</w:t>
      </w:r>
      <w:r>
        <w:rPr>
          <w:color w:val="231F20"/>
          <w:spacing w:val="-6"/>
          <w:w w:val="105"/>
        </w:rPr>
        <w:t> </w:t>
      </w:r>
      <w:r>
        <w:rPr>
          <w:color w:val="231F20"/>
          <w:w w:val="105"/>
        </w:rPr>
        <w:t>interés,</w:t>
      </w:r>
      <w:r>
        <w:rPr>
          <w:color w:val="231F20"/>
          <w:spacing w:val="-13"/>
          <w:w w:val="105"/>
        </w:rPr>
        <w:t> </w:t>
      </w:r>
      <w:r>
        <w:rPr>
          <w:color w:val="231F20"/>
          <w:w w:val="105"/>
        </w:rPr>
        <w:t>la</w:t>
      </w:r>
      <w:r>
        <w:rPr>
          <w:color w:val="231F20"/>
          <w:spacing w:val="-6"/>
          <w:w w:val="105"/>
        </w:rPr>
        <w:t> </w:t>
      </w:r>
      <w:r>
        <w:rPr>
          <w:color w:val="231F20"/>
          <w:w w:val="105"/>
        </w:rPr>
        <w:t>inversión,</w:t>
      </w:r>
      <w:r>
        <w:rPr>
          <w:color w:val="231F20"/>
          <w:spacing w:val="-13"/>
          <w:w w:val="105"/>
        </w:rPr>
        <w:t> </w:t>
      </w:r>
      <w:r>
        <w:rPr>
          <w:color w:val="231F20"/>
          <w:w w:val="105"/>
        </w:rPr>
        <w:t>el ahorro</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consumo,</w:t>
      </w:r>
      <w:r>
        <w:rPr>
          <w:color w:val="231F20"/>
          <w:spacing w:val="-11"/>
          <w:w w:val="105"/>
        </w:rPr>
        <w:t> </w:t>
      </w:r>
      <w:r>
        <w:rPr>
          <w:color w:val="231F20"/>
          <w:w w:val="105"/>
        </w:rPr>
        <w:t>alcanzándose</w:t>
      </w:r>
      <w:r>
        <w:rPr>
          <w:color w:val="231F20"/>
          <w:spacing w:val="-5"/>
          <w:w w:val="105"/>
        </w:rPr>
        <w:t> </w:t>
      </w:r>
      <w:r>
        <w:rPr>
          <w:color w:val="231F20"/>
          <w:w w:val="105"/>
        </w:rPr>
        <w:t>un</w:t>
      </w:r>
      <w:r>
        <w:rPr>
          <w:color w:val="231F20"/>
          <w:spacing w:val="-5"/>
          <w:w w:val="105"/>
        </w:rPr>
        <w:t> </w:t>
      </w:r>
      <w:r>
        <w:rPr>
          <w:color w:val="231F20"/>
          <w:w w:val="105"/>
        </w:rPr>
        <w:t>sistema</w:t>
      </w:r>
      <w:r>
        <w:rPr>
          <w:color w:val="231F20"/>
          <w:spacing w:val="-5"/>
          <w:w w:val="105"/>
        </w:rPr>
        <w:t> </w:t>
      </w:r>
      <w:r>
        <w:rPr>
          <w:color w:val="231F20"/>
          <w:w w:val="105"/>
        </w:rPr>
        <w:t>de</w:t>
      </w:r>
      <w:r>
        <w:rPr>
          <w:color w:val="231F20"/>
          <w:spacing w:val="-5"/>
          <w:w w:val="105"/>
        </w:rPr>
        <w:t> </w:t>
      </w:r>
      <w:r>
        <w:rPr>
          <w:color w:val="231F20"/>
          <w:w w:val="105"/>
        </w:rPr>
        <w:t>equilibrio</w:t>
      </w:r>
      <w:r>
        <w:rPr>
          <w:color w:val="231F20"/>
          <w:spacing w:val="-5"/>
          <w:w w:val="105"/>
        </w:rPr>
        <w:t> </w:t>
      </w:r>
      <w:r>
        <w:rPr>
          <w:color w:val="231F20"/>
          <w:w w:val="105"/>
        </w:rPr>
        <w:t>que</w:t>
      </w:r>
      <w:r>
        <w:rPr>
          <w:color w:val="231F20"/>
          <w:spacing w:val="-5"/>
          <w:w w:val="105"/>
        </w:rPr>
        <w:t> </w:t>
      </w:r>
      <w:r>
        <w:rPr>
          <w:color w:val="231F20"/>
          <w:w w:val="105"/>
        </w:rPr>
        <w:t>puede ser</w:t>
      </w:r>
      <w:r>
        <w:rPr>
          <w:color w:val="231F20"/>
          <w:spacing w:val="-16"/>
          <w:w w:val="105"/>
        </w:rPr>
        <w:t> </w:t>
      </w:r>
      <w:r>
        <w:rPr>
          <w:color w:val="231F20"/>
          <w:w w:val="105"/>
        </w:rPr>
        <w:t>con</w:t>
      </w:r>
      <w:r>
        <w:rPr>
          <w:color w:val="231F20"/>
          <w:spacing w:val="-16"/>
          <w:w w:val="105"/>
        </w:rPr>
        <w:t> </w:t>
      </w:r>
      <w:r>
        <w:rPr>
          <w:color w:val="231F20"/>
          <w:w w:val="105"/>
        </w:rPr>
        <w:t>subempleo.</w:t>
      </w:r>
      <w:r>
        <w:rPr>
          <w:color w:val="231F20"/>
          <w:spacing w:val="-20"/>
          <w:w w:val="105"/>
        </w:rPr>
        <w:t> </w:t>
      </w:r>
      <w:r>
        <w:rPr>
          <w:color w:val="231F20"/>
          <w:w w:val="105"/>
        </w:rPr>
        <w:t>En</w:t>
      </w:r>
      <w:r>
        <w:rPr>
          <w:color w:val="231F20"/>
          <w:spacing w:val="-16"/>
          <w:w w:val="105"/>
        </w:rPr>
        <w:t> </w:t>
      </w:r>
      <w:r>
        <w:rPr>
          <w:color w:val="231F20"/>
          <w:w w:val="105"/>
        </w:rPr>
        <w:t>ese</w:t>
      </w:r>
      <w:r>
        <w:rPr>
          <w:color w:val="231F20"/>
          <w:spacing w:val="-16"/>
          <w:w w:val="105"/>
        </w:rPr>
        <w:t> </w:t>
      </w:r>
      <w:r>
        <w:rPr>
          <w:color w:val="231F20"/>
          <w:w w:val="105"/>
        </w:rPr>
        <w:t>sentido,</w:t>
      </w:r>
      <w:r>
        <w:rPr>
          <w:color w:val="231F20"/>
          <w:spacing w:val="-20"/>
          <w:w w:val="105"/>
        </w:rPr>
        <w:t> </w:t>
      </w:r>
      <w:r>
        <w:rPr>
          <w:color w:val="231F20"/>
          <w:w w:val="105"/>
        </w:rPr>
        <w:t>Keynes</w:t>
      </w:r>
      <w:r>
        <w:rPr>
          <w:color w:val="231F20"/>
          <w:spacing w:val="-16"/>
          <w:w w:val="105"/>
        </w:rPr>
        <w:t> </w:t>
      </w:r>
      <w:r>
        <w:rPr>
          <w:color w:val="231F20"/>
          <w:w w:val="105"/>
        </w:rPr>
        <w:t>considera</w:t>
      </w:r>
      <w:r>
        <w:rPr>
          <w:color w:val="231F20"/>
          <w:spacing w:val="-16"/>
          <w:w w:val="105"/>
        </w:rPr>
        <w:t> </w:t>
      </w:r>
      <w:r>
        <w:rPr>
          <w:color w:val="231F20"/>
          <w:w w:val="105"/>
        </w:rPr>
        <w:t>una</w:t>
      </w:r>
      <w:r>
        <w:rPr>
          <w:color w:val="231F20"/>
          <w:spacing w:val="-16"/>
          <w:w w:val="105"/>
        </w:rPr>
        <w:t> </w:t>
      </w:r>
      <w:r>
        <w:rPr>
          <w:color w:val="231F20"/>
          <w:w w:val="105"/>
        </w:rPr>
        <w:t>tercera</w:t>
      </w:r>
      <w:r>
        <w:rPr>
          <w:color w:val="231F20"/>
          <w:spacing w:val="-16"/>
          <w:w w:val="105"/>
        </w:rPr>
        <w:t> </w:t>
      </w:r>
      <w:r>
        <w:rPr>
          <w:color w:val="231F20"/>
          <w:w w:val="105"/>
        </w:rPr>
        <w:t>clase de</w:t>
      </w:r>
      <w:r>
        <w:rPr>
          <w:color w:val="231F20"/>
          <w:spacing w:val="-24"/>
          <w:w w:val="105"/>
        </w:rPr>
        <w:t> </w:t>
      </w:r>
      <w:r>
        <w:rPr>
          <w:color w:val="231F20"/>
          <w:w w:val="105"/>
        </w:rPr>
        <w:t>desocupación,</w:t>
      </w:r>
      <w:r>
        <w:rPr>
          <w:color w:val="231F20"/>
          <w:spacing w:val="-29"/>
          <w:w w:val="105"/>
        </w:rPr>
        <w:t> </w:t>
      </w:r>
      <w:r>
        <w:rPr>
          <w:color w:val="231F20"/>
          <w:w w:val="105"/>
        </w:rPr>
        <w:t>la</w:t>
      </w:r>
      <w:r>
        <w:rPr>
          <w:color w:val="231F20"/>
          <w:spacing w:val="-24"/>
          <w:w w:val="105"/>
        </w:rPr>
        <w:t> </w:t>
      </w:r>
      <w:r>
        <w:rPr>
          <w:color w:val="231F20"/>
          <w:w w:val="105"/>
        </w:rPr>
        <w:t>llamada</w:t>
      </w:r>
      <w:r>
        <w:rPr>
          <w:color w:val="231F20"/>
          <w:spacing w:val="-24"/>
          <w:w w:val="105"/>
        </w:rPr>
        <w:t> </w:t>
      </w:r>
      <w:r>
        <w:rPr>
          <w:color w:val="231F20"/>
          <w:w w:val="105"/>
        </w:rPr>
        <w:t>involuntaria</w:t>
      </w:r>
      <w:r>
        <w:rPr>
          <w:color w:val="231F20"/>
          <w:spacing w:val="-24"/>
          <w:w w:val="105"/>
        </w:rPr>
        <w:t> </w:t>
      </w:r>
      <w:r>
        <w:rPr>
          <w:color w:val="231F20"/>
          <w:w w:val="105"/>
        </w:rPr>
        <w:t>en</w:t>
      </w:r>
      <w:r>
        <w:rPr>
          <w:color w:val="231F20"/>
          <w:spacing w:val="-24"/>
          <w:w w:val="105"/>
        </w:rPr>
        <w:t> </w:t>
      </w:r>
      <w:r>
        <w:rPr>
          <w:color w:val="231F20"/>
          <w:w w:val="105"/>
        </w:rPr>
        <w:t>sentido</w:t>
      </w:r>
      <w:r>
        <w:rPr>
          <w:color w:val="231F20"/>
          <w:spacing w:val="-24"/>
          <w:w w:val="105"/>
        </w:rPr>
        <w:t> </w:t>
      </w:r>
      <w:r>
        <w:rPr>
          <w:color w:val="231F20"/>
          <w:w w:val="105"/>
        </w:rPr>
        <w:t>estricto,</w:t>
      </w:r>
      <w:r>
        <w:rPr>
          <w:color w:val="231F20"/>
          <w:spacing w:val="-29"/>
          <w:w w:val="105"/>
        </w:rPr>
        <w:t> </w:t>
      </w:r>
      <w:r>
        <w:rPr>
          <w:color w:val="231F20"/>
          <w:w w:val="105"/>
        </w:rPr>
        <w:t>cuya</w:t>
      </w:r>
      <w:r>
        <w:rPr>
          <w:color w:val="231F20"/>
          <w:spacing w:val="-24"/>
          <w:w w:val="105"/>
        </w:rPr>
        <w:t> </w:t>
      </w:r>
      <w:r>
        <w:rPr>
          <w:color w:val="231F20"/>
          <w:w w:val="105"/>
        </w:rPr>
        <w:t>posibi- lidad</w:t>
      </w:r>
      <w:r>
        <w:rPr>
          <w:color w:val="231F20"/>
          <w:spacing w:val="-25"/>
          <w:w w:val="105"/>
        </w:rPr>
        <w:t> </w:t>
      </w:r>
      <w:r>
        <w:rPr>
          <w:color w:val="231F20"/>
          <w:w w:val="105"/>
        </w:rPr>
        <w:t>de</w:t>
      </w:r>
      <w:r>
        <w:rPr>
          <w:color w:val="231F20"/>
          <w:spacing w:val="-25"/>
          <w:w w:val="105"/>
        </w:rPr>
        <w:t> </w:t>
      </w:r>
      <w:r>
        <w:rPr>
          <w:color w:val="231F20"/>
          <w:w w:val="105"/>
        </w:rPr>
        <w:t>existencia</w:t>
      </w:r>
      <w:r>
        <w:rPr>
          <w:color w:val="231F20"/>
          <w:spacing w:val="-25"/>
          <w:w w:val="105"/>
        </w:rPr>
        <w:t> </w:t>
      </w:r>
      <w:r>
        <w:rPr>
          <w:color w:val="231F20"/>
          <w:w w:val="105"/>
        </w:rPr>
        <w:t>no</w:t>
      </w:r>
      <w:r>
        <w:rPr>
          <w:color w:val="231F20"/>
          <w:spacing w:val="-25"/>
          <w:w w:val="105"/>
        </w:rPr>
        <w:t> </w:t>
      </w:r>
      <w:r>
        <w:rPr>
          <w:color w:val="231F20"/>
          <w:w w:val="105"/>
        </w:rPr>
        <w:t>admite</w:t>
      </w:r>
      <w:r>
        <w:rPr>
          <w:color w:val="231F20"/>
          <w:spacing w:val="-25"/>
          <w:w w:val="105"/>
        </w:rPr>
        <w:t> </w:t>
      </w:r>
      <w:r>
        <w:rPr>
          <w:color w:val="231F20"/>
          <w:w w:val="105"/>
        </w:rPr>
        <w:t>la</w:t>
      </w:r>
      <w:r>
        <w:rPr>
          <w:color w:val="231F20"/>
          <w:spacing w:val="-25"/>
          <w:w w:val="105"/>
        </w:rPr>
        <w:t> </w:t>
      </w:r>
      <w:r>
        <w:rPr>
          <w:color w:val="231F20"/>
          <w:w w:val="105"/>
        </w:rPr>
        <w:t>teoría</w:t>
      </w:r>
      <w:r>
        <w:rPr>
          <w:color w:val="231F20"/>
          <w:spacing w:val="-25"/>
          <w:w w:val="105"/>
        </w:rPr>
        <w:t> </w:t>
      </w:r>
      <w:r>
        <w:rPr>
          <w:color w:val="231F20"/>
          <w:w w:val="105"/>
        </w:rPr>
        <w:t>clásica</w:t>
      </w:r>
      <w:r>
        <w:rPr>
          <w:color w:val="231F20"/>
          <w:spacing w:val="-25"/>
          <w:w w:val="105"/>
        </w:rPr>
        <w:t> </w:t>
      </w:r>
      <w:r>
        <w:rPr>
          <w:color w:val="231F20"/>
          <w:w w:val="105"/>
        </w:rPr>
        <w:t>y</w:t>
      </w:r>
      <w:r>
        <w:rPr>
          <w:color w:val="231F20"/>
          <w:spacing w:val="-25"/>
          <w:w w:val="105"/>
        </w:rPr>
        <w:t> </w:t>
      </w:r>
      <w:r>
        <w:rPr>
          <w:color w:val="231F20"/>
          <w:w w:val="105"/>
        </w:rPr>
        <w:t>que</w:t>
      </w:r>
      <w:r>
        <w:rPr>
          <w:color w:val="231F20"/>
          <w:spacing w:val="-25"/>
          <w:w w:val="105"/>
        </w:rPr>
        <w:t> </w:t>
      </w:r>
      <w:r>
        <w:rPr>
          <w:color w:val="231F20"/>
          <w:w w:val="105"/>
        </w:rPr>
        <w:t>se</w:t>
      </w:r>
      <w:r>
        <w:rPr>
          <w:color w:val="231F20"/>
          <w:spacing w:val="-25"/>
          <w:w w:val="105"/>
        </w:rPr>
        <w:t> </w:t>
      </w:r>
      <w:r>
        <w:rPr>
          <w:color w:val="231F20"/>
          <w:w w:val="105"/>
        </w:rPr>
        <w:t>deriva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rigidez a</w:t>
      </w:r>
      <w:r>
        <w:rPr>
          <w:color w:val="231F20"/>
          <w:spacing w:val="-23"/>
          <w:w w:val="105"/>
        </w:rPr>
        <w:t> </w:t>
      </w:r>
      <w:r>
        <w:rPr>
          <w:color w:val="231F20"/>
          <w:w w:val="105"/>
        </w:rPr>
        <w:t>la</w:t>
      </w:r>
      <w:r>
        <w:rPr>
          <w:color w:val="231F20"/>
          <w:spacing w:val="-23"/>
          <w:w w:val="105"/>
        </w:rPr>
        <w:t> </w:t>
      </w:r>
      <w:r>
        <w:rPr>
          <w:color w:val="231F20"/>
          <w:w w:val="105"/>
        </w:rPr>
        <w:t>baja</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salarios.</w:t>
      </w:r>
    </w:p>
    <w:p>
      <w:pPr>
        <w:pStyle w:val="BodyText"/>
        <w:spacing w:line="259" w:lineRule="auto"/>
        <w:ind w:left="117" w:right="114" w:firstLine="567"/>
        <w:jc w:val="both"/>
      </w:pPr>
      <w:r>
        <w:rPr>
          <w:color w:val="231F20"/>
          <w:w w:val="105"/>
        </w:rPr>
        <w:t>Al </w:t>
      </w:r>
      <w:r>
        <w:rPr>
          <w:color w:val="231F20"/>
          <w:spacing w:val="-3"/>
          <w:w w:val="105"/>
        </w:rPr>
        <w:t>respecto, Keynes </w:t>
      </w:r>
      <w:r>
        <w:rPr>
          <w:color w:val="231F20"/>
          <w:w w:val="105"/>
        </w:rPr>
        <w:t>(2010: 43) afirma que si efectivamente fuera cierto que el salario </w:t>
      </w:r>
      <w:r>
        <w:rPr>
          <w:color w:val="231F20"/>
          <w:spacing w:val="-3"/>
          <w:w w:val="105"/>
        </w:rPr>
        <w:t>real </w:t>
      </w:r>
      <w:r>
        <w:rPr>
          <w:color w:val="231F20"/>
          <w:w w:val="105"/>
        </w:rPr>
        <w:t>existente es un mínimo por debajo del cual no pudiera</w:t>
      </w:r>
      <w:r>
        <w:rPr>
          <w:color w:val="231F20"/>
          <w:spacing w:val="-8"/>
          <w:w w:val="105"/>
        </w:rPr>
        <w:t> </w:t>
      </w:r>
      <w:r>
        <w:rPr>
          <w:color w:val="231F20"/>
          <w:w w:val="105"/>
        </w:rPr>
        <w:t>contarse</w:t>
      </w:r>
      <w:r>
        <w:rPr>
          <w:color w:val="231F20"/>
          <w:spacing w:val="-8"/>
          <w:w w:val="105"/>
        </w:rPr>
        <w:t> </w:t>
      </w:r>
      <w:r>
        <w:rPr>
          <w:color w:val="231F20"/>
          <w:w w:val="105"/>
        </w:rPr>
        <w:t>en</w:t>
      </w:r>
      <w:r>
        <w:rPr>
          <w:color w:val="231F20"/>
          <w:spacing w:val="-8"/>
          <w:w w:val="105"/>
        </w:rPr>
        <w:t> </w:t>
      </w:r>
      <w:r>
        <w:rPr>
          <w:color w:val="231F20"/>
          <w:w w:val="105"/>
        </w:rPr>
        <w:t>cualquier</w:t>
      </w:r>
      <w:r>
        <w:rPr>
          <w:color w:val="231F20"/>
          <w:spacing w:val="-8"/>
          <w:w w:val="105"/>
        </w:rPr>
        <w:t> </w:t>
      </w:r>
      <w:r>
        <w:rPr>
          <w:color w:val="231F20"/>
          <w:spacing w:val="-3"/>
          <w:w w:val="105"/>
        </w:rPr>
        <w:t>circunstancia</w:t>
      </w:r>
      <w:r>
        <w:rPr>
          <w:color w:val="231F20"/>
          <w:spacing w:val="-8"/>
          <w:w w:val="105"/>
        </w:rPr>
        <w:t> </w:t>
      </w:r>
      <w:r>
        <w:rPr>
          <w:color w:val="231F20"/>
          <w:w w:val="105"/>
        </w:rPr>
        <w:t>con</w:t>
      </w:r>
      <w:r>
        <w:rPr>
          <w:color w:val="231F20"/>
          <w:spacing w:val="-8"/>
          <w:w w:val="105"/>
        </w:rPr>
        <w:t> </w:t>
      </w:r>
      <w:r>
        <w:rPr>
          <w:color w:val="231F20"/>
          <w:w w:val="105"/>
        </w:rPr>
        <w:t>más</w:t>
      </w:r>
      <w:r>
        <w:rPr>
          <w:color w:val="231F20"/>
          <w:spacing w:val="-8"/>
          <w:w w:val="105"/>
        </w:rPr>
        <w:t> </w:t>
      </w:r>
      <w:r>
        <w:rPr>
          <w:color w:val="231F20"/>
          <w:w w:val="105"/>
        </w:rPr>
        <w:t>trabajo</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em- pleado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actualidad,</w:t>
      </w:r>
      <w:r>
        <w:rPr>
          <w:color w:val="231F20"/>
          <w:spacing w:val="-21"/>
          <w:w w:val="105"/>
        </w:rPr>
        <w:t> </w:t>
      </w:r>
      <w:r>
        <w:rPr>
          <w:color w:val="231F20"/>
          <w:w w:val="105"/>
        </w:rPr>
        <w:t>no</w:t>
      </w:r>
      <w:r>
        <w:rPr>
          <w:color w:val="231F20"/>
          <w:spacing w:val="-16"/>
          <w:w w:val="105"/>
        </w:rPr>
        <w:t> </w:t>
      </w:r>
      <w:r>
        <w:rPr>
          <w:color w:val="231F20"/>
          <w:w w:val="105"/>
        </w:rPr>
        <w:t>existiría</w:t>
      </w:r>
      <w:r>
        <w:rPr>
          <w:color w:val="231F20"/>
          <w:spacing w:val="-16"/>
          <w:w w:val="105"/>
        </w:rPr>
        <w:t> </w:t>
      </w:r>
      <w:r>
        <w:rPr>
          <w:color w:val="231F20"/>
          <w:w w:val="105"/>
        </w:rPr>
        <w:t>la</w:t>
      </w:r>
      <w:r>
        <w:rPr>
          <w:color w:val="231F20"/>
          <w:spacing w:val="-16"/>
          <w:w w:val="105"/>
        </w:rPr>
        <w:t> </w:t>
      </w:r>
      <w:r>
        <w:rPr>
          <w:color w:val="231F20"/>
          <w:w w:val="105"/>
        </w:rPr>
        <w:t>desocupación</w:t>
      </w:r>
      <w:r>
        <w:rPr>
          <w:color w:val="231F20"/>
          <w:spacing w:val="-16"/>
          <w:w w:val="105"/>
        </w:rPr>
        <w:t> </w:t>
      </w:r>
      <w:r>
        <w:rPr>
          <w:color w:val="231F20"/>
          <w:w w:val="105"/>
        </w:rPr>
        <w:t>involuntaria,</w:t>
      </w:r>
      <w:r>
        <w:rPr>
          <w:color w:val="231F20"/>
          <w:spacing w:val="-21"/>
          <w:w w:val="105"/>
        </w:rPr>
        <w:t> </w:t>
      </w:r>
      <w:r>
        <w:rPr>
          <w:color w:val="231F20"/>
          <w:spacing w:val="-3"/>
          <w:w w:val="105"/>
        </w:rPr>
        <w:t>aparte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4"/>
          <w:w w:val="105"/>
        </w:rPr>
        <w:t>“friccional”.</w:t>
      </w:r>
      <w:r>
        <w:rPr>
          <w:color w:val="231F20"/>
          <w:spacing w:val="-26"/>
          <w:w w:val="105"/>
        </w:rPr>
        <w:t> </w:t>
      </w:r>
      <w:r>
        <w:rPr>
          <w:color w:val="231F20"/>
          <w:w w:val="105"/>
        </w:rPr>
        <w:t>Sin</w:t>
      </w:r>
      <w:r>
        <w:rPr>
          <w:color w:val="231F20"/>
          <w:spacing w:val="-22"/>
          <w:w w:val="105"/>
        </w:rPr>
        <w:t> </w:t>
      </w:r>
      <w:r>
        <w:rPr>
          <w:color w:val="231F20"/>
          <w:spacing w:val="-3"/>
          <w:w w:val="105"/>
        </w:rPr>
        <w:t>embargo,</w:t>
      </w:r>
      <w:r>
        <w:rPr>
          <w:color w:val="231F20"/>
          <w:spacing w:val="-26"/>
          <w:w w:val="105"/>
        </w:rPr>
        <w:t> </w:t>
      </w:r>
      <w:r>
        <w:rPr>
          <w:color w:val="231F20"/>
          <w:w w:val="105"/>
        </w:rPr>
        <w:t>sería</w:t>
      </w:r>
      <w:r>
        <w:rPr>
          <w:color w:val="231F20"/>
          <w:spacing w:val="-22"/>
          <w:w w:val="105"/>
        </w:rPr>
        <w:t> </w:t>
      </w:r>
      <w:r>
        <w:rPr>
          <w:color w:val="231F20"/>
          <w:spacing w:val="-3"/>
          <w:w w:val="105"/>
        </w:rPr>
        <w:t>absurdo</w:t>
      </w:r>
      <w:r>
        <w:rPr>
          <w:color w:val="231F20"/>
          <w:spacing w:val="-22"/>
          <w:w w:val="105"/>
        </w:rPr>
        <w:t> </w:t>
      </w:r>
      <w:r>
        <w:rPr>
          <w:color w:val="231F20"/>
          <w:w w:val="105"/>
        </w:rPr>
        <w:t>suponer</w:t>
      </w:r>
      <w:r>
        <w:rPr>
          <w:color w:val="231F20"/>
          <w:spacing w:val="-22"/>
          <w:w w:val="105"/>
        </w:rPr>
        <w:t> </w:t>
      </w:r>
      <w:r>
        <w:rPr>
          <w:color w:val="231F20"/>
          <w:w w:val="105"/>
        </w:rPr>
        <w:t>que</w:t>
      </w:r>
      <w:r>
        <w:rPr>
          <w:color w:val="231F20"/>
          <w:spacing w:val="-22"/>
          <w:w w:val="105"/>
        </w:rPr>
        <w:t> </w:t>
      </w:r>
      <w:r>
        <w:rPr>
          <w:color w:val="231F20"/>
          <w:spacing w:val="-3"/>
          <w:w w:val="105"/>
        </w:rPr>
        <w:t>siempre</w:t>
      </w:r>
      <w:r>
        <w:rPr>
          <w:color w:val="231F20"/>
          <w:spacing w:val="-22"/>
          <w:w w:val="105"/>
        </w:rPr>
        <w:t> </w:t>
      </w:r>
      <w:r>
        <w:rPr>
          <w:color w:val="231F20"/>
          <w:w w:val="105"/>
        </w:rPr>
        <w:t>es</w:t>
      </w:r>
      <w:r>
        <w:rPr>
          <w:color w:val="231F20"/>
          <w:spacing w:val="-22"/>
          <w:w w:val="105"/>
        </w:rPr>
        <w:t> </w:t>
      </w:r>
      <w:r>
        <w:rPr>
          <w:color w:val="231F20"/>
          <w:w w:val="105"/>
        </w:rPr>
        <w:t>así, </w:t>
      </w:r>
      <w:r>
        <w:rPr>
          <w:color w:val="231F20"/>
          <w:spacing w:val="-3"/>
          <w:w w:val="105"/>
        </w:rPr>
        <w:t>porque</w:t>
      </w:r>
      <w:r>
        <w:rPr>
          <w:color w:val="231F20"/>
          <w:spacing w:val="-25"/>
          <w:w w:val="105"/>
        </w:rPr>
        <w:t> </w:t>
      </w:r>
      <w:r>
        <w:rPr>
          <w:color w:val="231F20"/>
          <w:spacing w:val="-2"/>
          <w:w w:val="105"/>
        </w:rPr>
        <w:t>generalmente</w:t>
      </w:r>
      <w:r>
        <w:rPr>
          <w:color w:val="231F20"/>
          <w:spacing w:val="-25"/>
          <w:w w:val="105"/>
        </w:rPr>
        <w:t> </w:t>
      </w:r>
      <w:r>
        <w:rPr>
          <w:color w:val="231F20"/>
          <w:w w:val="105"/>
        </w:rPr>
        <w:t>hay</w:t>
      </w:r>
      <w:r>
        <w:rPr>
          <w:color w:val="231F20"/>
          <w:spacing w:val="-25"/>
          <w:w w:val="105"/>
        </w:rPr>
        <w:t> </w:t>
      </w:r>
      <w:r>
        <w:rPr>
          <w:color w:val="231F20"/>
          <w:w w:val="105"/>
        </w:rPr>
        <w:t>más</w:t>
      </w:r>
      <w:r>
        <w:rPr>
          <w:color w:val="231F20"/>
          <w:spacing w:val="-25"/>
          <w:w w:val="105"/>
        </w:rPr>
        <w:t> </w:t>
      </w:r>
      <w:r>
        <w:rPr>
          <w:color w:val="231F20"/>
          <w:w w:val="105"/>
        </w:rPr>
        <w:t>mano</w:t>
      </w:r>
      <w:r>
        <w:rPr>
          <w:color w:val="231F20"/>
          <w:spacing w:val="-25"/>
          <w:w w:val="105"/>
        </w:rPr>
        <w:t> </w:t>
      </w:r>
      <w:r>
        <w:rPr>
          <w:color w:val="231F20"/>
          <w:w w:val="105"/>
        </w:rPr>
        <w:t>de</w:t>
      </w:r>
      <w:r>
        <w:rPr>
          <w:color w:val="231F20"/>
          <w:spacing w:val="-25"/>
          <w:w w:val="105"/>
        </w:rPr>
        <w:t> </w:t>
      </w:r>
      <w:r>
        <w:rPr>
          <w:color w:val="231F20"/>
          <w:w w:val="105"/>
        </w:rPr>
        <w:t>obra</w:t>
      </w:r>
      <w:r>
        <w:rPr>
          <w:color w:val="231F20"/>
          <w:spacing w:val="-25"/>
          <w:w w:val="105"/>
        </w:rPr>
        <w:t> </w:t>
      </w:r>
      <w:r>
        <w:rPr>
          <w:color w:val="231F20"/>
          <w:w w:val="105"/>
        </w:rPr>
        <w:t>disponible</w:t>
      </w:r>
      <w:r>
        <w:rPr>
          <w:color w:val="231F20"/>
          <w:spacing w:val="-25"/>
          <w:w w:val="105"/>
        </w:rPr>
        <w:t> </w:t>
      </w:r>
      <w:r>
        <w:rPr>
          <w:color w:val="231F20"/>
          <w:w w:val="105"/>
        </w:rPr>
        <w:t>que</w:t>
      </w:r>
      <w:r>
        <w:rPr>
          <w:color w:val="231F20"/>
          <w:spacing w:val="-25"/>
          <w:w w:val="105"/>
        </w:rPr>
        <w:t> </w:t>
      </w:r>
      <w:r>
        <w:rPr>
          <w:color w:val="231F20"/>
          <w:w w:val="105"/>
        </w:rPr>
        <w:t>la</w:t>
      </w:r>
      <w:r>
        <w:rPr>
          <w:color w:val="231F20"/>
          <w:spacing w:val="-25"/>
          <w:w w:val="105"/>
        </w:rPr>
        <w:t> </w:t>
      </w:r>
      <w:r>
        <w:rPr>
          <w:color w:val="231F20"/>
          <w:w w:val="105"/>
        </w:rPr>
        <w:t>ahora</w:t>
      </w:r>
      <w:r>
        <w:rPr>
          <w:color w:val="231F20"/>
          <w:spacing w:val="-25"/>
          <w:w w:val="105"/>
        </w:rPr>
        <w:t> </w:t>
      </w:r>
      <w:r>
        <w:rPr>
          <w:color w:val="231F20"/>
          <w:w w:val="105"/>
        </w:rPr>
        <w:t>em- pleada</w:t>
      </w:r>
      <w:r>
        <w:rPr>
          <w:color w:val="231F20"/>
          <w:spacing w:val="-28"/>
          <w:w w:val="105"/>
        </w:rPr>
        <w:t> </w:t>
      </w:r>
      <w:r>
        <w:rPr>
          <w:color w:val="231F20"/>
          <w:w w:val="105"/>
        </w:rPr>
        <w:t>al</w:t>
      </w:r>
      <w:r>
        <w:rPr>
          <w:color w:val="231F20"/>
          <w:spacing w:val="-28"/>
          <w:w w:val="105"/>
        </w:rPr>
        <w:t> </w:t>
      </w:r>
      <w:r>
        <w:rPr>
          <w:color w:val="231F20"/>
          <w:w w:val="105"/>
        </w:rPr>
        <w:t>salario</w:t>
      </w:r>
      <w:r>
        <w:rPr>
          <w:color w:val="231F20"/>
          <w:spacing w:val="-28"/>
          <w:w w:val="105"/>
        </w:rPr>
        <w:t> </w:t>
      </w:r>
      <w:r>
        <w:rPr>
          <w:color w:val="231F20"/>
          <w:w w:val="105"/>
        </w:rPr>
        <w:t>nominal</w:t>
      </w:r>
      <w:r>
        <w:rPr>
          <w:color w:val="231F20"/>
          <w:spacing w:val="-28"/>
          <w:w w:val="105"/>
        </w:rPr>
        <w:t> </w:t>
      </w:r>
      <w:r>
        <w:rPr>
          <w:color w:val="231F20"/>
          <w:w w:val="105"/>
        </w:rPr>
        <w:t>vigente,</w:t>
      </w:r>
      <w:r>
        <w:rPr>
          <w:color w:val="231F20"/>
          <w:spacing w:val="-32"/>
          <w:w w:val="105"/>
        </w:rPr>
        <w:t> </w:t>
      </w:r>
      <w:r>
        <w:rPr>
          <w:color w:val="231F20"/>
          <w:w w:val="105"/>
        </w:rPr>
        <w:t>aun</w:t>
      </w:r>
      <w:r>
        <w:rPr>
          <w:color w:val="231F20"/>
          <w:spacing w:val="-28"/>
          <w:w w:val="105"/>
        </w:rPr>
        <w:t> </w:t>
      </w:r>
      <w:r>
        <w:rPr>
          <w:color w:val="231F20"/>
          <w:w w:val="105"/>
        </w:rPr>
        <w:t>cuando</w:t>
      </w:r>
      <w:r>
        <w:rPr>
          <w:color w:val="231F20"/>
          <w:spacing w:val="-28"/>
          <w:w w:val="105"/>
        </w:rPr>
        <w:t> </w:t>
      </w:r>
      <w:r>
        <w:rPr>
          <w:color w:val="231F20"/>
          <w:w w:val="105"/>
        </w:rPr>
        <w:t>el</w:t>
      </w:r>
      <w:r>
        <w:rPr>
          <w:color w:val="231F20"/>
          <w:spacing w:val="-28"/>
          <w:w w:val="105"/>
        </w:rPr>
        <w:t> </w:t>
      </w:r>
      <w:r>
        <w:rPr>
          <w:color w:val="231F20"/>
          <w:spacing w:val="-3"/>
          <w:w w:val="105"/>
        </w:rPr>
        <w:t>precio</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spacing w:val="-3"/>
          <w:w w:val="105"/>
        </w:rPr>
        <w:t>mercancías </w:t>
      </w:r>
      <w:r>
        <w:rPr>
          <w:color w:val="231F20"/>
          <w:w w:val="105"/>
        </w:rPr>
        <w:t>para</w:t>
      </w:r>
      <w:r>
        <w:rPr>
          <w:color w:val="231F20"/>
          <w:spacing w:val="-43"/>
          <w:w w:val="105"/>
        </w:rPr>
        <w:t> </w:t>
      </w:r>
      <w:r>
        <w:rPr>
          <w:color w:val="231F20"/>
          <w:w w:val="105"/>
        </w:rPr>
        <w:t>asalariados</w:t>
      </w:r>
      <w:r>
        <w:rPr>
          <w:color w:val="231F20"/>
          <w:spacing w:val="-43"/>
          <w:w w:val="105"/>
        </w:rPr>
        <w:t> </w:t>
      </w:r>
      <w:r>
        <w:rPr>
          <w:color w:val="231F20"/>
          <w:w w:val="105"/>
        </w:rPr>
        <w:t>esté</w:t>
      </w:r>
      <w:r>
        <w:rPr>
          <w:color w:val="231F20"/>
          <w:spacing w:val="-43"/>
          <w:w w:val="105"/>
        </w:rPr>
        <w:t> </w:t>
      </w:r>
      <w:r>
        <w:rPr>
          <w:color w:val="231F20"/>
          <w:w w:val="105"/>
        </w:rPr>
        <w:t>subiendo</w:t>
      </w:r>
      <w:r>
        <w:rPr>
          <w:color w:val="231F20"/>
          <w:spacing w:val="-43"/>
          <w:w w:val="105"/>
        </w:rPr>
        <w:t> </w:t>
      </w:r>
      <w:r>
        <w:rPr>
          <w:color w:val="231F20"/>
          <w:spacing w:val="-5"/>
          <w:w w:val="105"/>
        </w:rPr>
        <w:t>y,</w:t>
      </w:r>
      <w:r>
        <w:rPr>
          <w:color w:val="231F20"/>
          <w:spacing w:val="-46"/>
          <w:w w:val="105"/>
        </w:rPr>
        <w:t> </w:t>
      </w:r>
      <w:r>
        <w:rPr>
          <w:color w:val="231F20"/>
          <w:w w:val="105"/>
        </w:rPr>
        <w:t>en</w:t>
      </w:r>
      <w:r>
        <w:rPr>
          <w:color w:val="231F20"/>
          <w:spacing w:val="-43"/>
          <w:w w:val="105"/>
        </w:rPr>
        <w:t> </w:t>
      </w:r>
      <w:r>
        <w:rPr>
          <w:color w:val="231F20"/>
          <w:w w:val="105"/>
        </w:rPr>
        <w:t>consecuencia,</w:t>
      </w:r>
      <w:r>
        <w:rPr>
          <w:color w:val="231F20"/>
          <w:spacing w:val="-46"/>
          <w:w w:val="105"/>
        </w:rPr>
        <w:t> </w:t>
      </w:r>
      <w:r>
        <w:rPr>
          <w:color w:val="231F20"/>
          <w:w w:val="105"/>
        </w:rPr>
        <w:t>el</w:t>
      </w:r>
      <w:r>
        <w:rPr>
          <w:color w:val="231F20"/>
          <w:spacing w:val="-43"/>
          <w:w w:val="105"/>
        </w:rPr>
        <w:t> </w:t>
      </w:r>
      <w:r>
        <w:rPr>
          <w:color w:val="231F20"/>
          <w:w w:val="105"/>
        </w:rPr>
        <w:t>salario</w:t>
      </w:r>
      <w:r>
        <w:rPr>
          <w:color w:val="231F20"/>
          <w:spacing w:val="-43"/>
          <w:w w:val="105"/>
        </w:rPr>
        <w:t> </w:t>
      </w:r>
      <w:r>
        <w:rPr>
          <w:color w:val="231F20"/>
          <w:spacing w:val="-3"/>
          <w:w w:val="105"/>
        </w:rPr>
        <w:t>real</w:t>
      </w:r>
      <w:r>
        <w:rPr>
          <w:color w:val="231F20"/>
          <w:spacing w:val="-43"/>
          <w:w w:val="105"/>
        </w:rPr>
        <w:t> </w:t>
      </w:r>
      <w:r>
        <w:rPr>
          <w:color w:val="231F20"/>
          <w:w w:val="105"/>
        </w:rPr>
        <w:t>bajando. Si</w:t>
      </w:r>
      <w:r>
        <w:rPr>
          <w:color w:val="231F20"/>
          <w:spacing w:val="-29"/>
          <w:w w:val="105"/>
        </w:rPr>
        <w:t> </w:t>
      </w:r>
      <w:r>
        <w:rPr>
          <w:color w:val="231F20"/>
          <w:w w:val="105"/>
        </w:rPr>
        <w:t>esto</w:t>
      </w:r>
      <w:r>
        <w:rPr>
          <w:color w:val="231F20"/>
          <w:spacing w:val="-29"/>
          <w:w w:val="105"/>
        </w:rPr>
        <w:t> </w:t>
      </w:r>
      <w:r>
        <w:rPr>
          <w:color w:val="231F20"/>
          <w:w w:val="105"/>
        </w:rPr>
        <w:t>es</w:t>
      </w:r>
      <w:r>
        <w:rPr>
          <w:color w:val="231F20"/>
          <w:spacing w:val="-29"/>
          <w:w w:val="105"/>
        </w:rPr>
        <w:t> </w:t>
      </w:r>
      <w:r>
        <w:rPr>
          <w:color w:val="231F20"/>
          <w:spacing w:val="-3"/>
          <w:w w:val="105"/>
        </w:rPr>
        <w:t>verdad,</w:t>
      </w:r>
      <w:r>
        <w:rPr>
          <w:color w:val="231F20"/>
          <w:spacing w:val="-34"/>
          <w:w w:val="105"/>
        </w:rPr>
        <w:t> </w:t>
      </w:r>
      <w:r>
        <w:rPr>
          <w:color w:val="231F20"/>
          <w:w w:val="105"/>
        </w:rPr>
        <w:t>la</w:t>
      </w:r>
      <w:r>
        <w:rPr>
          <w:color w:val="231F20"/>
          <w:spacing w:val="-29"/>
          <w:w w:val="105"/>
        </w:rPr>
        <w:t> </w:t>
      </w:r>
      <w:r>
        <w:rPr>
          <w:color w:val="231F20"/>
          <w:w w:val="105"/>
        </w:rPr>
        <w:t>equivalencia</w:t>
      </w:r>
      <w:r>
        <w:rPr>
          <w:color w:val="231F20"/>
          <w:spacing w:val="-29"/>
          <w:w w:val="105"/>
        </w:rPr>
        <w:t> </w:t>
      </w:r>
      <w:r>
        <w:rPr>
          <w:color w:val="231F20"/>
          <w:w w:val="105"/>
        </w:rPr>
        <w:t>de</w:t>
      </w:r>
      <w:r>
        <w:rPr>
          <w:color w:val="231F20"/>
          <w:spacing w:val="-29"/>
          <w:w w:val="105"/>
        </w:rPr>
        <w:t> </w:t>
      </w:r>
      <w:r>
        <w:rPr>
          <w:color w:val="231F20"/>
          <w:w w:val="105"/>
        </w:rPr>
        <w:t>tales</w:t>
      </w:r>
      <w:r>
        <w:rPr>
          <w:color w:val="231F20"/>
          <w:spacing w:val="-29"/>
          <w:w w:val="105"/>
        </w:rPr>
        <w:t> </w:t>
      </w:r>
      <w:r>
        <w:rPr>
          <w:color w:val="231F20"/>
          <w:spacing w:val="-3"/>
          <w:w w:val="105"/>
        </w:rPr>
        <w:t>mercancías</w:t>
      </w:r>
      <w:r>
        <w:rPr>
          <w:color w:val="231F20"/>
          <w:spacing w:val="-29"/>
          <w:w w:val="105"/>
        </w:rPr>
        <w:t> </w:t>
      </w:r>
      <w:r>
        <w:rPr>
          <w:color w:val="231F20"/>
          <w:w w:val="105"/>
        </w:rPr>
        <w:t>con</w:t>
      </w:r>
      <w:r>
        <w:rPr>
          <w:color w:val="231F20"/>
          <w:spacing w:val="-29"/>
          <w:w w:val="105"/>
        </w:rPr>
        <w:t> </w:t>
      </w:r>
      <w:r>
        <w:rPr>
          <w:color w:val="231F20"/>
          <w:w w:val="105"/>
        </w:rPr>
        <w:t>el</w:t>
      </w:r>
      <w:r>
        <w:rPr>
          <w:color w:val="231F20"/>
          <w:spacing w:val="-29"/>
          <w:w w:val="105"/>
        </w:rPr>
        <w:t> </w:t>
      </w:r>
      <w:r>
        <w:rPr>
          <w:color w:val="231F20"/>
          <w:w w:val="105"/>
        </w:rPr>
        <w:t>salario</w:t>
      </w:r>
      <w:r>
        <w:rPr>
          <w:color w:val="231F20"/>
          <w:spacing w:val="-29"/>
          <w:w w:val="105"/>
        </w:rPr>
        <w:t> </w:t>
      </w:r>
      <w:r>
        <w:rPr>
          <w:color w:val="231F20"/>
          <w:w w:val="105"/>
        </w:rPr>
        <w:t>nomi- nal</w:t>
      </w:r>
      <w:r>
        <w:rPr>
          <w:color w:val="231F20"/>
          <w:spacing w:val="-7"/>
          <w:w w:val="105"/>
        </w:rPr>
        <w:t> </w:t>
      </w:r>
      <w:r>
        <w:rPr>
          <w:color w:val="231F20"/>
          <w:w w:val="105"/>
        </w:rPr>
        <w:t>existente</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una</w:t>
      </w:r>
      <w:r>
        <w:rPr>
          <w:color w:val="231F20"/>
          <w:spacing w:val="-7"/>
          <w:w w:val="105"/>
        </w:rPr>
        <w:t> </w:t>
      </w:r>
      <w:r>
        <w:rPr>
          <w:color w:val="231F20"/>
          <w:w w:val="105"/>
        </w:rPr>
        <w:t>indicación</w:t>
      </w:r>
      <w:r>
        <w:rPr>
          <w:color w:val="231F20"/>
          <w:spacing w:val="-7"/>
          <w:w w:val="105"/>
        </w:rPr>
        <w:t> </w:t>
      </w:r>
      <w:r>
        <w:rPr>
          <w:color w:val="231F20"/>
          <w:spacing w:val="-3"/>
          <w:w w:val="105"/>
        </w:rPr>
        <w:t>precisa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desutilidad</w:t>
      </w:r>
      <w:r>
        <w:rPr>
          <w:color w:val="231F20"/>
          <w:spacing w:val="-7"/>
          <w:w w:val="105"/>
        </w:rPr>
        <w:t> </w:t>
      </w:r>
      <w:r>
        <w:rPr>
          <w:color w:val="231F20"/>
          <w:spacing w:val="-3"/>
          <w:w w:val="105"/>
        </w:rPr>
        <w:t>marginal</w:t>
      </w:r>
      <w:r>
        <w:rPr>
          <w:color w:val="231F20"/>
          <w:spacing w:val="-7"/>
          <w:w w:val="105"/>
        </w:rPr>
        <w:t> </w:t>
      </w:r>
      <w:r>
        <w:rPr>
          <w:color w:val="231F20"/>
          <w:spacing w:val="-2"/>
          <w:w w:val="105"/>
        </w:rPr>
        <w:t>del </w:t>
      </w:r>
      <w:r>
        <w:rPr>
          <w:color w:val="231F20"/>
          <w:spacing w:val="-3"/>
          <w:w w:val="105"/>
        </w:rPr>
        <w:t>trabajo,</w:t>
      </w:r>
      <w:r>
        <w:rPr>
          <w:color w:val="231F20"/>
          <w:spacing w:val="-28"/>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segundo</w:t>
      </w:r>
      <w:r>
        <w:rPr>
          <w:color w:val="231F20"/>
          <w:spacing w:val="-22"/>
          <w:w w:val="105"/>
        </w:rPr>
        <w:t> </w:t>
      </w:r>
      <w:r>
        <w:rPr>
          <w:color w:val="231F20"/>
          <w:w w:val="105"/>
        </w:rPr>
        <w:t>postulado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teoría</w:t>
      </w:r>
      <w:r>
        <w:rPr>
          <w:color w:val="231F20"/>
          <w:spacing w:val="-22"/>
          <w:w w:val="105"/>
        </w:rPr>
        <w:t> </w:t>
      </w:r>
      <w:r>
        <w:rPr>
          <w:color w:val="231F20"/>
          <w:w w:val="105"/>
        </w:rPr>
        <w:t>clásica]</w:t>
      </w:r>
      <w:r>
        <w:rPr>
          <w:color w:val="231F20"/>
          <w:spacing w:val="-22"/>
          <w:w w:val="105"/>
        </w:rPr>
        <w:t> </w:t>
      </w:r>
      <w:r>
        <w:rPr>
          <w:color w:val="231F20"/>
          <w:w w:val="105"/>
        </w:rPr>
        <w:t>no</w:t>
      </w:r>
      <w:r>
        <w:rPr>
          <w:color w:val="231F20"/>
          <w:spacing w:val="-22"/>
          <w:w w:val="105"/>
        </w:rPr>
        <w:t> </w:t>
      </w:r>
      <w:r>
        <w:rPr>
          <w:color w:val="231F20"/>
          <w:w w:val="105"/>
        </w:rPr>
        <w:t>es</w:t>
      </w:r>
      <w:r>
        <w:rPr>
          <w:color w:val="231F20"/>
          <w:spacing w:val="-22"/>
          <w:w w:val="105"/>
        </w:rPr>
        <w:t> </w:t>
      </w:r>
      <w:r>
        <w:rPr>
          <w:color w:val="231F20"/>
          <w:w w:val="105"/>
        </w:rPr>
        <w:t>válido.</w:t>
      </w:r>
    </w:p>
    <w:p>
      <w:pPr>
        <w:pStyle w:val="BodyText"/>
        <w:spacing w:line="259" w:lineRule="auto"/>
        <w:ind w:left="117" w:right="121" w:firstLine="567"/>
        <w:jc w:val="both"/>
      </w:pPr>
      <w:r>
        <w:rPr>
          <w:color w:val="231F20"/>
          <w:w w:val="105"/>
        </w:rPr>
        <w:t>En</w:t>
      </w:r>
      <w:r>
        <w:rPr>
          <w:color w:val="231F20"/>
          <w:spacing w:val="-26"/>
          <w:w w:val="105"/>
        </w:rPr>
        <w:t> </w:t>
      </w:r>
      <w:r>
        <w:rPr>
          <w:color w:val="231F20"/>
          <w:w w:val="105"/>
        </w:rPr>
        <w:t>general,</w:t>
      </w:r>
      <w:r>
        <w:rPr>
          <w:color w:val="231F20"/>
          <w:spacing w:val="-30"/>
          <w:w w:val="105"/>
        </w:rPr>
        <w:t> </w:t>
      </w:r>
      <w:r>
        <w:rPr>
          <w:color w:val="231F20"/>
          <w:w w:val="105"/>
        </w:rPr>
        <w:t>las</w:t>
      </w:r>
      <w:r>
        <w:rPr>
          <w:color w:val="231F20"/>
          <w:spacing w:val="-26"/>
          <w:w w:val="105"/>
        </w:rPr>
        <w:t> </w:t>
      </w:r>
      <w:r>
        <w:rPr>
          <w:color w:val="231F20"/>
          <w:w w:val="105"/>
        </w:rPr>
        <w:t>ideas</w:t>
      </w:r>
      <w:r>
        <w:rPr>
          <w:color w:val="231F20"/>
          <w:spacing w:val="-26"/>
          <w:w w:val="105"/>
        </w:rPr>
        <w:t> </w:t>
      </w:r>
      <w:r>
        <w:rPr>
          <w:color w:val="231F20"/>
          <w:w w:val="105"/>
        </w:rPr>
        <w:t>de</w:t>
      </w:r>
      <w:r>
        <w:rPr>
          <w:color w:val="231F20"/>
          <w:spacing w:val="-26"/>
          <w:w w:val="105"/>
        </w:rPr>
        <w:t> </w:t>
      </w:r>
      <w:r>
        <w:rPr>
          <w:color w:val="231F20"/>
          <w:w w:val="105"/>
        </w:rPr>
        <w:t>Keynes,</w:t>
      </w:r>
      <w:r>
        <w:rPr>
          <w:color w:val="231F20"/>
          <w:spacing w:val="-30"/>
          <w:w w:val="105"/>
        </w:rPr>
        <w:t> </w:t>
      </w:r>
      <w:r>
        <w:rPr>
          <w:color w:val="231F20"/>
          <w:w w:val="105"/>
        </w:rPr>
        <w:t>respecto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relación</w:t>
      </w:r>
      <w:r>
        <w:rPr>
          <w:color w:val="231F20"/>
          <w:spacing w:val="-26"/>
          <w:w w:val="105"/>
        </w:rPr>
        <w:t> </w:t>
      </w:r>
      <w:r>
        <w:rPr>
          <w:color w:val="231F20"/>
          <w:w w:val="105"/>
        </w:rPr>
        <w:t>entre</w:t>
      </w:r>
      <w:r>
        <w:rPr>
          <w:color w:val="231F20"/>
          <w:spacing w:val="-26"/>
          <w:w w:val="105"/>
        </w:rPr>
        <w:t> </w:t>
      </w:r>
      <w:r>
        <w:rPr>
          <w:color w:val="231F20"/>
          <w:w w:val="105"/>
        </w:rPr>
        <w:t>los</w:t>
      </w:r>
      <w:r>
        <w:rPr>
          <w:color w:val="231F20"/>
          <w:spacing w:val="-26"/>
          <w:w w:val="105"/>
        </w:rPr>
        <w:t> </w:t>
      </w:r>
      <w:r>
        <w:rPr>
          <w:color w:val="231F20"/>
          <w:w w:val="105"/>
        </w:rPr>
        <w:t>sa- larios</w:t>
      </w:r>
      <w:r>
        <w:rPr>
          <w:color w:val="231F20"/>
          <w:spacing w:val="-10"/>
          <w:w w:val="105"/>
        </w:rPr>
        <w:t> </w:t>
      </w:r>
      <w:r>
        <w:rPr>
          <w:color w:val="231F20"/>
          <w:w w:val="105"/>
        </w:rPr>
        <w:t>y</w:t>
      </w:r>
      <w:r>
        <w:rPr>
          <w:color w:val="231F20"/>
          <w:spacing w:val="-9"/>
          <w:w w:val="105"/>
        </w:rPr>
        <w:t> </w:t>
      </w:r>
      <w:r>
        <w:rPr>
          <w:color w:val="231F20"/>
          <w:w w:val="105"/>
        </w:rPr>
        <w:t>su</w:t>
      </w:r>
      <w:r>
        <w:rPr>
          <w:color w:val="231F20"/>
          <w:spacing w:val="-10"/>
          <w:w w:val="105"/>
        </w:rPr>
        <w:t> </w:t>
      </w:r>
      <w:r>
        <w:rPr>
          <w:color w:val="231F20"/>
          <w:w w:val="105"/>
        </w:rPr>
        <w:t>incidencia</w:t>
      </w:r>
      <w:r>
        <w:rPr>
          <w:color w:val="231F20"/>
          <w:spacing w:val="-9"/>
          <w:w w:val="105"/>
        </w:rPr>
        <w:t> </w:t>
      </w:r>
      <w:r>
        <w:rPr>
          <w:color w:val="231F20"/>
          <w:w w:val="105"/>
        </w:rPr>
        <w:t>sobre</w:t>
      </w:r>
      <w:r>
        <w:rPr>
          <w:color w:val="231F20"/>
          <w:spacing w:val="-9"/>
          <w:w w:val="105"/>
        </w:rPr>
        <w:t> </w:t>
      </w:r>
      <w:r>
        <w:rPr>
          <w:color w:val="231F20"/>
          <w:w w:val="105"/>
        </w:rPr>
        <w:t>el</w:t>
      </w:r>
      <w:r>
        <w:rPr>
          <w:color w:val="231F20"/>
          <w:spacing w:val="-9"/>
          <w:w w:val="105"/>
        </w:rPr>
        <w:t> </w:t>
      </w:r>
      <w:r>
        <w:rPr>
          <w:color w:val="231F20"/>
          <w:w w:val="105"/>
        </w:rPr>
        <w:t>nivel</w:t>
      </w:r>
      <w:r>
        <w:rPr>
          <w:color w:val="231F20"/>
          <w:spacing w:val="-9"/>
          <w:w w:val="105"/>
        </w:rPr>
        <w:t> </w:t>
      </w:r>
      <w:r>
        <w:rPr>
          <w:color w:val="231F20"/>
          <w:w w:val="105"/>
        </w:rPr>
        <w:t>de</w:t>
      </w:r>
      <w:r>
        <w:rPr>
          <w:color w:val="231F20"/>
          <w:spacing w:val="-9"/>
          <w:w w:val="105"/>
        </w:rPr>
        <w:t> </w:t>
      </w:r>
      <w:r>
        <w:rPr>
          <w:color w:val="231F20"/>
          <w:w w:val="105"/>
        </w:rPr>
        <w:t>desocupación</w:t>
      </w:r>
      <w:r>
        <w:rPr>
          <w:color w:val="231F20"/>
          <w:spacing w:val="-9"/>
          <w:w w:val="105"/>
        </w:rPr>
        <w:t> </w:t>
      </w:r>
      <w:r>
        <w:rPr>
          <w:color w:val="231F20"/>
          <w:w w:val="105"/>
        </w:rPr>
        <w:t>se</w:t>
      </w:r>
      <w:r>
        <w:rPr>
          <w:color w:val="231F20"/>
          <w:spacing w:val="-9"/>
          <w:w w:val="105"/>
        </w:rPr>
        <w:t> </w:t>
      </w:r>
      <w:r>
        <w:rPr>
          <w:color w:val="231F20"/>
          <w:w w:val="105"/>
        </w:rPr>
        <w:t>pueden</w:t>
      </w:r>
      <w:r>
        <w:rPr>
          <w:color w:val="231F20"/>
          <w:spacing w:val="-10"/>
          <w:w w:val="105"/>
        </w:rPr>
        <w:t> </w:t>
      </w:r>
      <w:r>
        <w:rPr>
          <w:color w:val="231F20"/>
          <w:w w:val="105"/>
        </w:rPr>
        <w:t>resumir en</w:t>
      </w:r>
      <w:r>
        <w:rPr>
          <w:color w:val="231F20"/>
          <w:spacing w:val="-17"/>
          <w:w w:val="105"/>
        </w:rPr>
        <w:t> </w:t>
      </w:r>
      <w:r>
        <w:rPr>
          <w:color w:val="231F20"/>
          <w:w w:val="105"/>
        </w:rPr>
        <w:t>los</w:t>
      </w:r>
      <w:r>
        <w:rPr>
          <w:color w:val="231F20"/>
          <w:spacing w:val="-17"/>
          <w:w w:val="105"/>
        </w:rPr>
        <w:t> </w:t>
      </w:r>
      <w:r>
        <w:rPr>
          <w:color w:val="231F20"/>
          <w:w w:val="105"/>
        </w:rPr>
        <w:t>siguientes</w:t>
      </w:r>
      <w:r>
        <w:rPr>
          <w:color w:val="231F20"/>
          <w:spacing w:val="-17"/>
          <w:w w:val="105"/>
        </w:rPr>
        <w:t> </w:t>
      </w:r>
      <w:r>
        <w:rPr>
          <w:color w:val="231F20"/>
          <w:w w:val="105"/>
        </w:rPr>
        <w:t>puntos:</w:t>
      </w:r>
    </w:p>
    <w:p>
      <w:pPr>
        <w:pStyle w:val="BodyText"/>
        <w:spacing w:before="6"/>
        <w:rPr>
          <w:sz w:val="22"/>
        </w:rPr>
      </w:pPr>
    </w:p>
    <w:p>
      <w:pPr>
        <w:pStyle w:val="ListParagraph"/>
        <w:numPr>
          <w:ilvl w:val="1"/>
          <w:numId w:val="63"/>
        </w:numPr>
        <w:tabs>
          <w:tab w:pos="1328" w:val="left" w:leader="none"/>
        </w:tabs>
        <w:spacing w:line="259" w:lineRule="auto" w:before="0" w:after="0"/>
        <w:ind w:left="1327" w:right="123" w:hanging="360"/>
        <w:jc w:val="both"/>
        <w:rPr>
          <w:sz w:val="21"/>
        </w:rPr>
      </w:pPr>
      <w:r>
        <w:rPr>
          <w:color w:val="231F20"/>
          <w:spacing w:val="-3"/>
          <w:w w:val="105"/>
          <w:sz w:val="21"/>
        </w:rPr>
        <w:t>Los</w:t>
      </w:r>
      <w:r>
        <w:rPr>
          <w:color w:val="231F20"/>
          <w:spacing w:val="-28"/>
          <w:w w:val="105"/>
          <w:sz w:val="21"/>
        </w:rPr>
        <w:t> </w:t>
      </w:r>
      <w:r>
        <w:rPr>
          <w:color w:val="231F20"/>
          <w:spacing w:val="-3"/>
          <w:w w:val="105"/>
          <w:sz w:val="21"/>
        </w:rPr>
        <w:t>trabajadores</w:t>
      </w:r>
      <w:r>
        <w:rPr>
          <w:color w:val="231F20"/>
          <w:spacing w:val="-28"/>
          <w:w w:val="105"/>
          <w:sz w:val="21"/>
        </w:rPr>
        <w:t> </w:t>
      </w:r>
      <w:r>
        <w:rPr>
          <w:color w:val="231F20"/>
          <w:w w:val="105"/>
          <w:sz w:val="21"/>
        </w:rPr>
        <w:t>no</w:t>
      </w:r>
      <w:r>
        <w:rPr>
          <w:color w:val="231F20"/>
          <w:spacing w:val="-28"/>
          <w:w w:val="105"/>
          <w:sz w:val="21"/>
        </w:rPr>
        <w:t> </w:t>
      </w:r>
      <w:r>
        <w:rPr>
          <w:color w:val="231F20"/>
          <w:w w:val="105"/>
          <w:sz w:val="21"/>
        </w:rPr>
        <w:t>se</w:t>
      </w:r>
      <w:r>
        <w:rPr>
          <w:color w:val="231F20"/>
          <w:spacing w:val="-28"/>
          <w:w w:val="105"/>
          <w:sz w:val="21"/>
        </w:rPr>
        <w:t> </w:t>
      </w:r>
      <w:r>
        <w:rPr>
          <w:color w:val="231F20"/>
          <w:spacing w:val="-3"/>
          <w:w w:val="105"/>
          <w:sz w:val="21"/>
        </w:rPr>
        <w:t>resisten</w:t>
      </w:r>
      <w:r>
        <w:rPr>
          <w:color w:val="231F20"/>
          <w:spacing w:val="-28"/>
          <w:w w:val="105"/>
          <w:sz w:val="21"/>
        </w:rPr>
        <w:t> </w:t>
      </w:r>
      <w:r>
        <w:rPr>
          <w:color w:val="231F20"/>
          <w:w w:val="105"/>
          <w:sz w:val="21"/>
        </w:rPr>
        <w:t>a</w:t>
      </w:r>
      <w:r>
        <w:rPr>
          <w:color w:val="231F20"/>
          <w:spacing w:val="-28"/>
          <w:w w:val="105"/>
          <w:sz w:val="21"/>
        </w:rPr>
        <w:t> </w:t>
      </w:r>
      <w:r>
        <w:rPr>
          <w:color w:val="231F20"/>
          <w:w w:val="105"/>
          <w:sz w:val="21"/>
        </w:rPr>
        <w:t>una</w:t>
      </w:r>
      <w:r>
        <w:rPr>
          <w:color w:val="231F20"/>
          <w:spacing w:val="-28"/>
          <w:w w:val="105"/>
          <w:sz w:val="21"/>
        </w:rPr>
        <w:t> </w:t>
      </w:r>
      <w:r>
        <w:rPr>
          <w:color w:val="231F20"/>
          <w:spacing w:val="-3"/>
          <w:w w:val="105"/>
          <w:sz w:val="21"/>
        </w:rPr>
        <w:t>rebaja</w:t>
      </w:r>
      <w:r>
        <w:rPr>
          <w:color w:val="231F20"/>
          <w:spacing w:val="-28"/>
          <w:w w:val="105"/>
          <w:sz w:val="21"/>
        </w:rPr>
        <w:t> </w:t>
      </w:r>
      <w:r>
        <w:rPr>
          <w:color w:val="231F20"/>
          <w:w w:val="105"/>
          <w:sz w:val="21"/>
        </w:rPr>
        <w:t>salarial,</w:t>
      </w:r>
      <w:r>
        <w:rPr>
          <w:color w:val="231F20"/>
          <w:spacing w:val="-32"/>
          <w:w w:val="105"/>
          <w:sz w:val="21"/>
        </w:rPr>
        <w:t> </w:t>
      </w:r>
      <w:r>
        <w:rPr>
          <w:color w:val="231F20"/>
          <w:w w:val="105"/>
          <w:sz w:val="21"/>
        </w:rPr>
        <w:t>en</w:t>
      </w:r>
      <w:r>
        <w:rPr>
          <w:color w:val="231F20"/>
          <w:spacing w:val="-28"/>
          <w:w w:val="105"/>
          <w:sz w:val="21"/>
        </w:rPr>
        <w:t> </w:t>
      </w:r>
      <w:r>
        <w:rPr>
          <w:color w:val="231F20"/>
          <w:w w:val="105"/>
          <w:sz w:val="21"/>
        </w:rPr>
        <w:t>tanto el</w:t>
      </w:r>
      <w:r>
        <w:rPr>
          <w:color w:val="231F20"/>
          <w:spacing w:val="-33"/>
          <w:w w:val="105"/>
          <w:sz w:val="21"/>
        </w:rPr>
        <w:t> </w:t>
      </w:r>
      <w:r>
        <w:rPr>
          <w:color w:val="231F20"/>
          <w:w w:val="105"/>
          <w:sz w:val="21"/>
        </w:rPr>
        <w:t>nivel</w:t>
      </w:r>
      <w:r>
        <w:rPr>
          <w:color w:val="231F20"/>
          <w:spacing w:val="-33"/>
          <w:w w:val="105"/>
          <w:sz w:val="21"/>
        </w:rPr>
        <w:t> </w:t>
      </w:r>
      <w:r>
        <w:rPr>
          <w:color w:val="231F20"/>
          <w:w w:val="105"/>
          <w:sz w:val="21"/>
        </w:rPr>
        <w:t>de</w:t>
      </w:r>
      <w:r>
        <w:rPr>
          <w:color w:val="231F20"/>
          <w:spacing w:val="-33"/>
          <w:w w:val="105"/>
          <w:sz w:val="21"/>
        </w:rPr>
        <w:t> </w:t>
      </w:r>
      <w:r>
        <w:rPr>
          <w:color w:val="231F20"/>
          <w:w w:val="105"/>
          <w:sz w:val="21"/>
        </w:rPr>
        <w:t>ocupación</w:t>
      </w:r>
      <w:r>
        <w:rPr>
          <w:color w:val="231F20"/>
          <w:spacing w:val="-33"/>
          <w:w w:val="105"/>
          <w:sz w:val="21"/>
        </w:rPr>
        <w:t> </w:t>
      </w:r>
      <w:r>
        <w:rPr>
          <w:color w:val="231F20"/>
          <w:w w:val="105"/>
          <w:sz w:val="21"/>
        </w:rPr>
        <w:t>aumenta,</w:t>
      </w:r>
      <w:r>
        <w:rPr>
          <w:color w:val="231F20"/>
          <w:spacing w:val="-37"/>
          <w:w w:val="105"/>
          <w:sz w:val="21"/>
        </w:rPr>
        <w:t> </w:t>
      </w:r>
      <w:r>
        <w:rPr>
          <w:color w:val="231F20"/>
          <w:w w:val="105"/>
          <w:sz w:val="21"/>
        </w:rPr>
        <w:t>al</w:t>
      </w:r>
      <w:r>
        <w:rPr>
          <w:color w:val="231F20"/>
          <w:spacing w:val="-33"/>
          <w:w w:val="105"/>
          <w:sz w:val="21"/>
        </w:rPr>
        <w:t> </w:t>
      </w:r>
      <w:r>
        <w:rPr>
          <w:color w:val="231F20"/>
          <w:spacing w:val="-3"/>
          <w:w w:val="105"/>
          <w:sz w:val="21"/>
        </w:rPr>
        <w:t>contrario,</w:t>
      </w:r>
      <w:r>
        <w:rPr>
          <w:color w:val="231F20"/>
          <w:spacing w:val="-37"/>
          <w:w w:val="105"/>
          <w:sz w:val="21"/>
        </w:rPr>
        <w:t> </w:t>
      </w:r>
      <w:r>
        <w:rPr>
          <w:color w:val="231F20"/>
          <w:w w:val="105"/>
          <w:sz w:val="21"/>
        </w:rPr>
        <w:t>están</w:t>
      </w:r>
      <w:r>
        <w:rPr>
          <w:color w:val="231F20"/>
          <w:spacing w:val="-33"/>
          <w:w w:val="105"/>
          <w:sz w:val="21"/>
        </w:rPr>
        <w:t> </w:t>
      </w:r>
      <w:r>
        <w:rPr>
          <w:color w:val="231F20"/>
          <w:w w:val="105"/>
          <w:sz w:val="21"/>
        </w:rPr>
        <w:t>dispuestos a</w:t>
      </w:r>
      <w:r>
        <w:rPr>
          <w:color w:val="231F20"/>
          <w:spacing w:val="-21"/>
          <w:w w:val="105"/>
          <w:sz w:val="21"/>
        </w:rPr>
        <w:t> </w:t>
      </w:r>
      <w:r>
        <w:rPr>
          <w:color w:val="231F20"/>
          <w:w w:val="105"/>
          <w:sz w:val="21"/>
        </w:rPr>
        <w:t>aceptar</w:t>
      </w:r>
      <w:r>
        <w:rPr>
          <w:color w:val="231F20"/>
          <w:spacing w:val="-21"/>
          <w:w w:val="105"/>
          <w:sz w:val="21"/>
        </w:rPr>
        <w:t> </w:t>
      </w:r>
      <w:r>
        <w:rPr>
          <w:color w:val="231F20"/>
          <w:w w:val="105"/>
          <w:sz w:val="21"/>
        </w:rPr>
        <w:t>un</w:t>
      </w:r>
      <w:r>
        <w:rPr>
          <w:color w:val="231F20"/>
          <w:spacing w:val="-21"/>
          <w:w w:val="105"/>
          <w:sz w:val="21"/>
        </w:rPr>
        <w:t> </w:t>
      </w:r>
      <w:r>
        <w:rPr>
          <w:color w:val="231F20"/>
          <w:w w:val="105"/>
          <w:sz w:val="21"/>
        </w:rPr>
        <w:t>salario</w:t>
      </w:r>
      <w:r>
        <w:rPr>
          <w:color w:val="231F20"/>
          <w:spacing w:val="-21"/>
          <w:w w:val="105"/>
          <w:sz w:val="21"/>
        </w:rPr>
        <w:t> </w:t>
      </w:r>
      <w:r>
        <w:rPr>
          <w:color w:val="231F20"/>
          <w:w w:val="105"/>
          <w:sz w:val="21"/>
        </w:rPr>
        <w:t>menor</w:t>
      </w:r>
      <w:r>
        <w:rPr>
          <w:color w:val="231F20"/>
          <w:spacing w:val="-21"/>
          <w:w w:val="105"/>
          <w:sz w:val="21"/>
        </w:rPr>
        <w:t> </w:t>
      </w:r>
      <w:r>
        <w:rPr>
          <w:color w:val="231F20"/>
          <w:w w:val="105"/>
          <w:sz w:val="21"/>
        </w:rPr>
        <w:t>con</w:t>
      </w:r>
      <w:r>
        <w:rPr>
          <w:color w:val="231F20"/>
          <w:spacing w:val="-21"/>
          <w:w w:val="105"/>
          <w:sz w:val="21"/>
        </w:rPr>
        <w:t> </w:t>
      </w:r>
      <w:r>
        <w:rPr>
          <w:color w:val="231F20"/>
          <w:w w:val="105"/>
          <w:sz w:val="21"/>
        </w:rPr>
        <w:t>tal</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no</w:t>
      </w:r>
      <w:r>
        <w:rPr>
          <w:color w:val="231F20"/>
          <w:spacing w:val="-21"/>
          <w:w w:val="105"/>
          <w:sz w:val="21"/>
        </w:rPr>
        <w:t> </w:t>
      </w:r>
      <w:r>
        <w:rPr>
          <w:color w:val="231F20"/>
          <w:w w:val="105"/>
          <w:sz w:val="21"/>
        </w:rPr>
        <w:t>ser</w:t>
      </w:r>
      <w:r>
        <w:rPr>
          <w:color w:val="231F20"/>
          <w:spacing w:val="-21"/>
          <w:w w:val="105"/>
          <w:sz w:val="21"/>
        </w:rPr>
        <w:t> </w:t>
      </w:r>
      <w:r>
        <w:rPr>
          <w:color w:val="231F20"/>
          <w:spacing w:val="-3"/>
          <w:w w:val="105"/>
          <w:sz w:val="21"/>
        </w:rPr>
        <w:t>desempleados.</w:t>
      </w:r>
    </w:p>
    <w:p>
      <w:pPr>
        <w:pStyle w:val="ListParagraph"/>
        <w:numPr>
          <w:ilvl w:val="1"/>
          <w:numId w:val="63"/>
        </w:numPr>
        <w:tabs>
          <w:tab w:pos="1328" w:val="left" w:leader="none"/>
        </w:tabs>
        <w:spacing w:line="259" w:lineRule="auto" w:before="170" w:after="0"/>
        <w:ind w:left="1327" w:right="121" w:hanging="360"/>
        <w:jc w:val="both"/>
        <w:rPr>
          <w:sz w:val="21"/>
        </w:rPr>
      </w:pPr>
      <w:r>
        <w:rPr>
          <w:color w:val="231F20"/>
          <w:w w:val="105"/>
          <w:sz w:val="21"/>
        </w:rPr>
        <w:t>Los trabajadores no discuten el salario real, pues este de- pende del nivel de precios de los productos en el</w:t>
      </w:r>
      <w:r>
        <w:rPr>
          <w:color w:val="231F20"/>
          <w:spacing w:val="-1"/>
          <w:w w:val="105"/>
          <w:sz w:val="21"/>
        </w:rPr>
        <w:t> </w:t>
      </w:r>
      <w:r>
        <w:rPr>
          <w:color w:val="231F20"/>
          <w:w w:val="105"/>
          <w:sz w:val="21"/>
        </w:rPr>
        <w:t>mercado</w:t>
      </w:r>
    </w:p>
    <w:p>
      <w:pPr>
        <w:spacing w:after="0" w:line="259" w:lineRule="auto"/>
        <w:jc w:val="both"/>
        <w:rPr>
          <w:sz w:val="21"/>
        </w:rPr>
        <w:sectPr>
          <w:pgSz w:w="9640" w:h="13890"/>
          <w:pgMar w:top="0" w:bottom="280" w:left="1300" w:right="1180"/>
        </w:sectPr>
      </w:pPr>
    </w:p>
    <w:p>
      <w:pPr>
        <w:pStyle w:val="BodyText"/>
        <w:spacing w:line="259" w:lineRule="auto" w:before="120"/>
        <w:ind w:left="1314" w:right="17"/>
      </w:pPr>
      <w:r>
        <w:rPr>
          <w:color w:val="231F20"/>
          <w:w w:val="105"/>
        </w:rPr>
        <w:t>sino que ellos discuten el salario nominal; esto implica que actúan bajo ilusión monetaria</w:t>
      </w:r>
      <w:r>
        <w:rPr>
          <w:color w:val="231F20"/>
          <w:w w:val="105"/>
          <w:position w:val="7"/>
          <w:sz w:val="12"/>
        </w:rPr>
        <w:t>1</w:t>
      </w:r>
      <w:r>
        <w:rPr>
          <w:color w:val="231F20"/>
          <w:w w:val="105"/>
        </w:rPr>
        <w:t>.</w:t>
      </w:r>
    </w:p>
    <w:p>
      <w:pPr>
        <w:pStyle w:val="ListParagraph"/>
        <w:numPr>
          <w:ilvl w:val="1"/>
          <w:numId w:val="63"/>
        </w:numPr>
        <w:tabs>
          <w:tab w:pos="1315" w:val="left" w:leader="none"/>
        </w:tabs>
        <w:spacing w:line="259" w:lineRule="auto" w:before="170" w:after="0"/>
        <w:ind w:left="1314" w:right="114" w:hanging="360"/>
        <w:jc w:val="both"/>
        <w:rPr>
          <w:sz w:val="21"/>
        </w:rPr>
      </w:pPr>
      <w:r>
        <w:rPr>
          <w:color w:val="231F20"/>
          <w:w w:val="105"/>
          <w:sz w:val="21"/>
        </w:rPr>
        <w:t>Contradice</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planteamiento</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los</w:t>
      </w:r>
      <w:r>
        <w:rPr>
          <w:color w:val="231F20"/>
          <w:spacing w:val="-14"/>
          <w:w w:val="105"/>
          <w:sz w:val="21"/>
        </w:rPr>
        <w:t> </w:t>
      </w:r>
      <w:r>
        <w:rPr>
          <w:color w:val="231F20"/>
          <w:w w:val="105"/>
          <w:sz w:val="21"/>
        </w:rPr>
        <w:t>salarios</w:t>
      </w:r>
      <w:r>
        <w:rPr>
          <w:color w:val="231F20"/>
          <w:spacing w:val="-14"/>
          <w:w w:val="105"/>
          <w:sz w:val="21"/>
        </w:rPr>
        <w:t> </w:t>
      </w:r>
      <w:r>
        <w:rPr>
          <w:color w:val="231F20"/>
          <w:w w:val="105"/>
          <w:sz w:val="21"/>
        </w:rPr>
        <w:t>reales</w:t>
      </w:r>
      <w:r>
        <w:rPr>
          <w:color w:val="231F20"/>
          <w:spacing w:val="-14"/>
          <w:w w:val="105"/>
          <w:sz w:val="21"/>
        </w:rPr>
        <w:t> </w:t>
      </w:r>
      <w:r>
        <w:rPr>
          <w:color w:val="231F20"/>
          <w:w w:val="105"/>
          <w:sz w:val="21"/>
        </w:rPr>
        <w:t>y</w:t>
      </w:r>
      <w:r>
        <w:rPr>
          <w:color w:val="231F20"/>
          <w:spacing w:val="-14"/>
          <w:w w:val="105"/>
          <w:sz w:val="21"/>
        </w:rPr>
        <w:t> </w:t>
      </w:r>
      <w:r>
        <w:rPr>
          <w:color w:val="231F20"/>
          <w:w w:val="105"/>
          <w:sz w:val="21"/>
        </w:rPr>
        <w:t>los nominales varían de forma proporcional es decir, al bajar unos bajan los otros, por lo que los trabajadores se</w:t>
      </w:r>
      <w:r>
        <w:rPr>
          <w:color w:val="231F20"/>
          <w:spacing w:val="-20"/>
          <w:w w:val="105"/>
          <w:sz w:val="21"/>
        </w:rPr>
        <w:t> </w:t>
      </w:r>
      <w:r>
        <w:rPr>
          <w:color w:val="231F20"/>
          <w:w w:val="105"/>
          <w:sz w:val="21"/>
        </w:rPr>
        <w:t>niegan a</w:t>
      </w:r>
      <w:r>
        <w:rPr>
          <w:color w:val="231F20"/>
          <w:spacing w:val="-17"/>
          <w:w w:val="105"/>
          <w:sz w:val="21"/>
        </w:rPr>
        <w:t> </w:t>
      </w:r>
      <w:r>
        <w:rPr>
          <w:color w:val="231F20"/>
          <w:w w:val="105"/>
          <w:sz w:val="21"/>
        </w:rPr>
        <w:t>prestar</w:t>
      </w:r>
      <w:r>
        <w:rPr>
          <w:color w:val="231F20"/>
          <w:spacing w:val="-17"/>
          <w:w w:val="105"/>
          <w:sz w:val="21"/>
        </w:rPr>
        <w:t> </w:t>
      </w:r>
      <w:r>
        <w:rPr>
          <w:color w:val="231F20"/>
          <w:w w:val="105"/>
          <w:sz w:val="21"/>
        </w:rPr>
        <w:t>servicios</w:t>
      </w:r>
      <w:r>
        <w:rPr>
          <w:color w:val="231F20"/>
          <w:spacing w:val="-17"/>
          <w:w w:val="105"/>
          <w:sz w:val="21"/>
        </w:rPr>
        <w:t> </w:t>
      </w:r>
      <w:r>
        <w:rPr>
          <w:color w:val="231F20"/>
          <w:w w:val="105"/>
          <w:sz w:val="21"/>
        </w:rPr>
        <w:t>por</w:t>
      </w:r>
      <w:r>
        <w:rPr>
          <w:color w:val="231F20"/>
          <w:spacing w:val="-17"/>
          <w:w w:val="105"/>
          <w:sz w:val="21"/>
        </w:rPr>
        <w:t> </w:t>
      </w:r>
      <w:r>
        <w:rPr>
          <w:color w:val="231F20"/>
          <w:w w:val="105"/>
          <w:sz w:val="21"/>
        </w:rPr>
        <w:t>el</w:t>
      </w:r>
      <w:r>
        <w:rPr>
          <w:color w:val="231F20"/>
          <w:spacing w:val="-17"/>
          <w:w w:val="105"/>
          <w:sz w:val="21"/>
        </w:rPr>
        <w:t> </w:t>
      </w:r>
      <w:r>
        <w:rPr>
          <w:color w:val="231F20"/>
          <w:w w:val="105"/>
          <w:sz w:val="21"/>
        </w:rPr>
        <w:t>salario</w:t>
      </w:r>
      <w:r>
        <w:rPr>
          <w:color w:val="231F20"/>
          <w:spacing w:val="-17"/>
          <w:w w:val="105"/>
          <w:sz w:val="21"/>
        </w:rPr>
        <w:t> </w:t>
      </w:r>
      <w:r>
        <w:rPr>
          <w:color w:val="231F20"/>
          <w:w w:val="105"/>
          <w:sz w:val="21"/>
        </w:rPr>
        <w:t>nominal</w:t>
      </w:r>
      <w:r>
        <w:rPr>
          <w:color w:val="231F20"/>
          <w:spacing w:val="-17"/>
          <w:w w:val="105"/>
          <w:sz w:val="21"/>
        </w:rPr>
        <w:t> </w:t>
      </w:r>
      <w:r>
        <w:rPr>
          <w:color w:val="231F20"/>
          <w:w w:val="105"/>
          <w:sz w:val="21"/>
        </w:rPr>
        <w:t>ofrecido</w:t>
      </w:r>
      <w:r>
        <w:rPr>
          <w:color w:val="231F20"/>
          <w:spacing w:val="-17"/>
          <w:w w:val="105"/>
          <w:sz w:val="21"/>
        </w:rPr>
        <w:t> </w:t>
      </w:r>
      <w:r>
        <w:rPr>
          <w:color w:val="231F20"/>
          <w:w w:val="105"/>
          <w:sz w:val="21"/>
        </w:rPr>
        <w:t>y</w:t>
      </w:r>
      <w:r>
        <w:rPr>
          <w:color w:val="231F20"/>
          <w:spacing w:val="-17"/>
          <w:w w:val="105"/>
          <w:sz w:val="21"/>
        </w:rPr>
        <w:t> </w:t>
      </w:r>
      <w:r>
        <w:rPr>
          <w:color w:val="231F20"/>
          <w:w w:val="105"/>
          <w:sz w:val="21"/>
        </w:rPr>
        <w:t>actúan</w:t>
      </w:r>
      <w:r>
        <w:rPr>
          <w:color w:val="231F20"/>
          <w:spacing w:val="-17"/>
          <w:w w:val="105"/>
          <w:sz w:val="21"/>
        </w:rPr>
        <w:t> </w:t>
      </w:r>
      <w:r>
        <w:rPr>
          <w:color w:val="231F20"/>
          <w:w w:val="105"/>
          <w:sz w:val="21"/>
        </w:rPr>
        <w:t>a partir</w:t>
      </w:r>
      <w:r>
        <w:rPr>
          <w:color w:val="231F20"/>
          <w:spacing w:val="-29"/>
          <w:w w:val="105"/>
          <w:sz w:val="21"/>
        </w:rPr>
        <w:t> </w:t>
      </w:r>
      <w:r>
        <w:rPr>
          <w:color w:val="231F20"/>
          <w:w w:val="105"/>
          <w:sz w:val="21"/>
        </w:rPr>
        <w:t>del</w:t>
      </w:r>
      <w:r>
        <w:rPr>
          <w:color w:val="231F20"/>
          <w:spacing w:val="-29"/>
          <w:w w:val="105"/>
          <w:sz w:val="21"/>
        </w:rPr>
        <w:t> </w:t>
      </w:r>
      <w:r>
        <w:rPr>
          <w:color w:val="231F20"/>
          <w:w w:val="105"/>
          <w:sz w:val="21"/>
        </w:rPr>
        <w:t>salario</w:t>
      </w:r>
      <w:r>
        <w:rPr>
          <w:color w:val="231F20"/>
          <w:spacing w:val="-29"/>
          <w:w w:val="105"/>
          <w:sz w:val="21"/>
        </w:rPr>
        <w:t> </w:t>
      </w:r>
      <w:r>
        <w:rPr>
          <w:color w:val="231F20"/>
          <w:w w:val="105"/>
          <w:sz w:val="21"/>
        </w:rPr>
        <w:t>real</w:t>
      </w:r>
      <w:r>
        <w:rPr>
          <w:color w:val="231F20"/>
          <w:spacing w:val="-29"/>
          <w:w w:val="105"/>
          <w:sz w:val="21"/>
        </w:rPr>
        <w:t> </w:t>
      </w:r>
      <w:r>
        <w:rPr>
          <w:color w:val="231F20"/>
          <w:w w:val="105"/>
          <w:sz w:val="21"/>
        </w:rPr>
        <w:t>(Besada,</w:t>
      </w:r>
      <w:r>
        <w:rPr>
          <w:color w:val="231F20"/>
          <w:spacing w:val="-33"/>
          <w:w w:val="105"/>
          <w:sz w:val="21"/>
        </w:rPr>
        <w:t> </w:t>
      </w:r>
      <w:r>
        <w:rPr>
          <w:color w:val="231F20"/>
          <w:w w:val="105"/>
          <w:sz w:val="21"/>
        </w:rPr>
        <w:t>1981).</w:t>
      </w:r>
    </w:p>
    <w:p>
      <w:pPr>
        <w:pStyle w:val="BodyText"/>
        <w:spacing w:line="259" w:lineRule="auto" w:before="170"/>
        <w:ind w:left="103" w:right="114"/>
        <w:jc w:val="both"/>
      </w:pPr>
      <w:r>
        <w:rPr>
          <w:color w:val="231F20"/>
          <w:w w:val="105"/>
        </w:rPr>
        <w:t>Así,</w:t>
      </w:r>
      <w:r>
        <w:rPr>
          <w:color w:val="231F20"/>
          <w:spacing w:val="-15"/>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concepción</w:t>
      </w:r>
      <w:r>
        <w:rPr>
          <w:color w:val="231F20"/>
          <w:spacing w:val="-10"/>
          <w:w w:val="105"/>
        </w:rPr>
        <w:t> </w:t>
      </w:r>
      <w:r>
        <w:rPr>
          <w:color w:val="231F20"/>
          <w:w w:val="105"/>
        </w:rPr>
        <w:t>keynesiana,</w:t>
      </w:r>
      <w:r>
        <w:rPr>
          <w:color w:val="231F20"/>
          <w:spacing w:val="-15"/>
          <w:w w:val="105"/>
        </w:rPr>
        <w:t> </w:t>
      </w:r>
      <w:r>
        <w:rPr>
          <w:color w:val="231F20"/>
          <w:w w:val="105"/>
        </w:rPr>
        <w:t>el</w:t>
      </w:r>
      <w:r>
        <w:rPr>
          <w:color w:val="231F20"/>
          <w:spacing w:val="-10"/>
          <w:w w:val="105"/>
        </w:rPr>
        <w:t> </w:t>
      </w:r>
      <w:r>
        <w:rPr>
          <w:color w:val="231F20"/>
          <w:w w:val="105"/>
        </w:rPr>
        <w:t>nivel</w:t>
      </w:r>
      <w:r>
        <w:rPr>
          <w:color w:val="231F20"/>
          <w:spacing w:val="-10"/>
          <w:w w:val="105"/>
        </w:rPr>
        <w:t> </w:t>
      </w:r>
      <w:r>
        <w:rPr>
          <w:color w:val="231F20"/>
          <w:w w:val="105"/>
        </w:rPr>
        <w:t>de</w:t>
      </w:r>
      <w:r>
        <w:rPr>
          <w:color w:val="231F20"/>
          <w:spacing w:val="-10"/>
          <w:w w:val="105"/>
        </w:rPr>
        <w:t> </w:t>
      </w:r>
      <w:r>
        <w:rPr>
          <w:color w:val="231F20"/>
          <w:w w:val="105"/>
        </w:rPr>
        <w:t>ocupación</w:t>
      </w:r>
      <w:r>
        <w:rPr>
          <w:color w:val="231F20"/>
          <w:spacing w:val="-10"/>
          <w:w w:val="105"/>
        </w:rPr>
        <w:t> </w:t>
      </w:r>
      <w:r>
        <w:rPr>
          <w:color w:val="231F20"/>
          <w:w w:val="105"/>
        </w:rPr>
        <w:t>depende</w:t>
      </w:r>
      <w:r>
        <w:rPr>
          <w:color w:val="231F20"/>
          <w:spacing w:val="-10"/>
          <w:w w:val="105"/>
        </w:rPr>
        <w:t> </w:t>
      </w:r>
      <w:r>
        <w:rPr>
          <w:color w:val="231F20"/>
          <w:w w:val="105"/>
        </w:rPr>
        <w:t>de</w:t>
      </w:r>
      <w:r>
        <w:rPr>
          <w:color w:val="231F20"/>
          <w:spacing w:val="-10"/>
          <w:w w:val="105"/>
        </w:rPr>
        <w:t> </w:t>
      </w:r>
      <w:r>
        <w:rPr>
          <w:color w:val="231F20"/>
          <w:w w:val="105"/>
        </w:rPr>
        <w:t>las fluctuaciones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salarios</w:t>
      </w:r>
      <w:r>
        <w:rPr>
          <w:color w:val="231F20"/>
          <w:spacing w:val="-15"/>
          <w:w w:val="105"/>
        </w:rPr>
        <w:t> </w:t>
      </w:r>
      <w:r>
        <w:rPr>
          <w:color w:val="231F20"/>
          <w:w w:val="105"/>
        </w:rPr>
        <w:t>reales;</w:t>
      </w:r>
      <w:r>
        <w:rPr>
          <w:color w:val="231F20"/>
          <w:spacing w:val="-15"/>
          <w:w w:val="105"/>
        </w:rPr>
        <w:t> </w:t>
      </w:r>
      <w:r>
        <w:rPr>
          <w:color w:val="231F20"/>
          <w:w w:val="105"/>
        </w:rPr>
        <w:t>aquí</w:t>
      </w:r>
      <w:r>
        <w:rPr>
          <w:color w:val="231F20"/>
          <w:spacing w:val="-15"/>
          <w:w w:val="105"/>
        </w:rPr>
        <w:t> </w:t>
      </w:r>
      <w:r>
        <w:rPr>
          <w:color w:val="231F20"/>
          <w:w w:val="105"/>
        </w:rPr>
        <w:t>se</w:t>
      </w:r>
      <w:r>
        <w:rPr>
          <w:color w:val="231F20"/>
          <w:spacing w:val="-15"/>
          <w:w w:val="105"/>
        </w:rPr>
        <w:t> </w:t>
      </w:r>
      <w:r>
        <w:rPr>
          <w:color w:val="231F20"/>
          <w:w w:val="105"/>
        </w:rPr>
        <w:t>presenta</w:t>
      </w:r>
      <w:r>
        <w:rPr>
          <w:color w:val="231F20"/>
          <w:spacing w:val="-15"/>
          <w:w w:val="105"/>
        </w:rPr>
        <w:t> </w:t>
      </w:r>
      <w:r>
        <w:rPr>
          <w:color w:val="231F20"/>
          <w:w w:val="105"/>
        </w:rPr>
        <w:t>una</w:t>
      </w:r>
      <w:r>
        <w:rPr>
          <w:color w:val="231F20"/>
          <w:spacing w:val="-15"/>
          <w:w w:val="105"/>
        </w:rPr>
        <w:t> </w:t>
      </w:r>
      <w:r>
        <w:rPr>
          <w:color w:val="231F20"/>
          <w:w w:val="105"/>
        </w:rPr>
        <w:t>relación</w:t>
      </w:r>
      <w:r>
        <w:rPr>
          <w:color w:val="231F20"/>
          <w:spacing w:val="-15"/>
          <w:w w:val="105"/>
        </w:rPr>
        <w:t> </w:t>
      </w:r>
      <w:r>
        <w:rPr>
          <w:color w:val="231F20"/>
          <w:w w:val="105"/>
        </w:rPr>
        <w:t>inver- sa: a mayor salario real corresponde un menor nivel de ocupación. Sin embargo,</w:t>
      </w:r>
      <w:r>
        <w:rPr>
          <w:color w:val="231F20"/>
          <w:spacing w:val="-23"/>
          <w:w w:val="105"/>
        </w:rPr>
        <w:t> </w:t>
      </w:r>
      <w:r>
        <w:rPr>
          <w:color w:val="231F20"/>
          <w:w w:val="105"/>
        </w:rPr>
        <w:t>Keynes</w:t>
      </w:r>
      <w:r>
        <w:rPr>
          <w:color w:val="231F20"/>
          <w:spacing w:val="-19"/>
          <w:w w:val="105"/>
        </w:rPr>
        <w:t> </w:t>
      </w:r>
      <w:r>
        <w:rPr>
          <w:color w:val="231F20"/>
          <w:w w:val="105"/>
        </w:rPr>
        <w:t>advierte</w:t>
      </w:r>
      <w:r>
        <w:rPr>
          <w:color w:val="231F20"/>
          <w:spacing w:val="-19"/>
          <w:w w:val="105"/>
        </w:rPr>
        <w:t> </w:t>
      </w:r>
      <w:r>
        <w:rPr>
          <w:color w:val="231F20"/>
          <w:w w:val="105"/>
        </w:rPr>
        <w:t>que</w:t>
      </w:r>
      <w:r>
        <w:rPr>
          <w:color w:val="231F20"/>
          <w:spacing w:val="-19"/>
          <w:w w:val="105"/>
        </w:rPr>
        <w:t> </w:t>
      </w:r>
      <w:r>
        <w:rPr>
          <w:color w:val="231F20"/>
          <w:w w:val="105"/>
        </w:rPr>
        <w:t>si</w:t>
      </w:r>
      <w:r>
        <w:rPr>
          <w:color w:val="231F20"/>
          <w:spacing w:val="-19"/>
          <w:w w:val="105"/>
        </w:rPr>
        <w:t> </w:t>
      </w:r>
      <w:r>
        <w:rPr>
          <w:color w:val="231F20"/>
          <w:w w:val="105"/>
        </w:rPr>
        <w:t>la</w:t>
      </w:r>
      <w:r>
        <w:rPr>
          <w:color w:val="231F20"/>
          <w:spacing w:val="-19"/>
          <w:w w:val="105"/>
        </w:rPr>
        <w:t> </w:t>
      </w:r>
      <w:r>
        <w:rPr>
          <w:color w:val="231F20"/>
          <w:w w:val="105"/>
        </w:rPr>
        <w:t>demanda</w:t>
      </w:r>
      <w:r>
        <w:rPr>
          <w:color w:val="231F20"/>
          <w:spacing w:val="-19"/>
          <w:w w:val="105"/>
        </w:rPr>
        <w:t> </w:t>
      </w:r>
      <w:r>
        <w:rPr>
          <w:color w:val="231F20"/>
          <w:w w:val="105"/>
        </w:rPr>
        <w:t>efectiva</w:t>
      </w:r>
      <w:r>
        <w:rPr>
          <w:color w:val="231F20"/>
          <w:spacing w:val="-19"/>
          <w:w w:val="105"/>
        </w:rPr>
        <w:t> </w:t>
      </w:r>
      <w:r>
        <w:rPr>
          <w:color w:val="231F20"/>
          <w:w w:val="105"/>
        </w:rPr>
        <w:t>es</w:t>
      </w:r>
      <w:r>
        <w:rPr>
          <w:color w:val="231F20"/>
          <w:spacing w:val="-19"/>
          <w:w w:val="105"/>
        </w:rPr>
        <w:t> </w:t>
      </w:r>
      <w:r>
        <w:rPr>
          <w:color w:val="231F20"/>
          <w:w w:val="105"/>
        </w:rPr>
        <w:t>insuficiente</w:t>
      </w:r>
      <w:r>
        <w:rPr>
          <w:color w:val="231F20"/>
          <w:spacing w:val="-19"/>
          <w:w w:val="105"/>
        </w:rPr>
        <w:t> </w:t>
      </w:r>
      <w:r>
        <w:rPr>
          <w:color w:val="231F20"/>
          <w:w w:val="105"/>
        </w:rPr>
        <w:t>en- tonces la disminución de los salarios reales no erradica el desempleo involuntario; los hombres se encuentran involuntariamente sin empleo cuando,</w:t>
      </w:r>
      <w:r>
        <w:rPr>
          <w:color w:val="231F20"/>
          <w:spacing w:val="-24"/>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caso</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produzca</w:t>
      </w:r>
      <w:r>
        <w:rPr>
          <w:color w:val="231F20"/>
          <w:spacing w:val="-19"/>
          <w:w w:val="105"/>
        </w:rPr>
        <w:t> </w:t>
      </w:r>
      <w:r>
        <w:rPr>
          <w:color w:val="231F20"/>
          <w:w w:val="105"/>
        </w:rPr>
        <w:t>una</w:t>
      </w:r>
      <w:r>
        <w:rPr>
          <w:color w:val="231F20"/>
          <w:spacing w:val="-19"/>
          <w:w w:val="105"/>
        </w:rPr>
        <w:t> </w:t>
      </w:r>
      <w:r>
        <w:rPr>
          <w:color w:val="231F20"/>
          <w:w w:val="105"/>
        </w:rPr>
        <w:t>pequeña</w:t>
      </w:r>
      <w:r>
        <w:rPr>
          <w:color w:val="231F20"/>
          <w:spacing w:val="-19"/>
          <w:w w:val="105"/>
        </w:rPr>
        <w:t> </w:t>
      </w:r>
      <w:r>
        <w:rPr>
          <w:color w:val="231F20"/>
          <w:w w:val="105"/>
        </w:rPr>
        <w:t>alza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precio</w:t>
      </w:r>
      <w:r>
        <w:rPr>
          <w:color w:val="231F20"/>
          <w:spacing w:val="-19"/>
          <w:w w:val="105"/>
        </w:rPr>
        <w:t> </w:t>
      </w:r>
      <w:r>
        <w:rPr>
          <w:color w:val="231F20"/>
          <w:w w:val="105"/>
        </w:rPr>
        <w:t>de los</w:t>
      </w:r>
      <w:r>
        <w:rPr>
          <w:color w:val="231F20"/>
          <w:spacing w:val="-17"/>
          <w:w w:val="105"/>
        </w:rPr>
        <w:t> </w:t>
      </w:r>
      <w:r>
        <w:rPr>
          <w:color w:val="231F20"/>
          <w:w w:val="105"/>
        </w:rPr>
        <w:t>artículos</w:t>
      </w:r>
      <w:r>
        <w:rPr>
          <w:color w:val="231F20"/>
          <w:spacing w:val="-17"/>
          <w:w w:val="105"/>
        </w:rPr>
        <w:t> </w:t>
      </w:r>
      <w:r>
        <w:rPr>
          <w:color w:val="231F20"/>
          <w:w w:val="105"/>
        </w:rPr>
        <w:t>para</w:t>
      </w:r>
      <w:r>
        <w:rPr>
          <w:color w:val="231F20"/>
          <w:spacing w:val="-17"/>
          <w:w w:val="105"/>
        </w:rPr>
        <w:t> </w:t>
      </w:r>
      <w:r>
        <w:rPr>
          <w:color w:val="231F20"/>
          <w:w w:val="105"/>
        </w:rPr>
        <w:t>asalariados,</w:t>
      </w:r>
      <w:r>
        <w:rPr>
          <w:color w:val="231F20"/>
          <w:spacing w:val="-23"/>
          <w:w w:val="105"/>
        </w:rPr>
        <w:t> </w:t>
      </w:r>
      <w:r>
        <w:rPr>
          <w:color w:val="231F20"/>
          <w:w w:val="105"/>
        </w:rPr>
        <w:t>en</w:t>
      </w:r>
      <w:r>
        <w:rPr>
          <w:color w:val="231F20"/>
          <w:spacing w:val="-17"/>
          <w:w w:val="105"/>
        </w:rPr>
        <w:t> </w:t>
      </w:r>
      <w:r>
        <w:rPr>
          <w:color w:val="231F20"/>
          <w:w w:val="105"/>
        </w:rPr>
        <w:t>relación</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salario</w:t>
      </w:r>
      <w:r>
        <w:rPr>
          <w:color w:val="231F20"/>
          <w:spacing w:val="-17"/>
          <w:w w:val="105"/>
        </w:rPr>
        <w:t> </w:t>
      </w:r>
      <w:r>
        <w:rPr>
          <w:color w:val="231F20"/>
          <w:w w:val="105"/>
        </w:rPr>
        <w:t>nominal,</w:t>
      </w:r>
      <w:r>
        <w:rPr>
          <w:color w:val="231F20"/>
          <w:spacing w:val="-23"/>
          <w:w w:val="105"/>
        </w:rPr>
        <w:t> </w:t>
      </w:r>
      <w:r>
        <w:rPr>
          <w:color w:val="231F20"/>
          <w:w w:val="105"/>
        </w:rPr>
        <w:t>tanto</w:t>
      </w:r>
      <w:r>
        <w:rPr>
          <w:color w:val="231F20"/>
          <w:spacing w:val="-17"/>
          <w:w w:val="105"/>
        </w:rPr>
        <w:t> </w:t>
      </w:r>
      <w:r>
        <w:rPr>
          <w:color w:val="231F20"/>
          <w:w w:val="105"/>
        </w:rPr>
        <w:t>la oferta total de mano de obra dispuesta a trabajar por el salario</w:t>
      </w:r>
      <w:r>
        <w:rPr>
          <w:color w:val="231F20"/>
          <w:spacing w:val="-22"/>
          <w:w w:val="105"/>
        </w:rPr>
        <w:t> </w:t>
      </w:r>
      <w:r>
        <w:rPr>
          <w:color w:val="231F20"/>
          <w:w w:val="105"/>
        </w:rPr>
        <w:t>nominal corriente</w:t>
      </w:r>
      <w:r>
        <w:rPr>
          <w:color w:val="231F20"/>
          <w:spacing w:val="-25"/>
          <w:w w:val="105"/>
        </w:rPr>
        <w:t> </w:t>
      </w:r>
      <w:r>
        <w:rPr>
          <w:color w:val="231F20"/>
          <w:w w:val="105"/>
        </w:rPr>
        <w:t>como</w:t>
      </w:r>
      <w:r>
        <w:rPr>
          <w:color w:val="231F20"/>
          <w:spacing w:val="-25"/>
          <w:w w:val="105"/>
        </w:rPr>
        <w:t> </w:t>
      </w:r>
      <w:r>
        <w:rPr>
          <w:color w:val="231F20"/>
          <w:w w:val="105"/>
        </w:rPr>
        <w:t>la</w:t>
      </w:r>
      <w:r>
        <w:rPr>
          <w:color w:val="231F20"/>
          <w:spacing w:val="-25"/>
          <w:w w:val="105"/>
        </w:rPr>
        <w:t> </w:t>
      </w:r>
      <w:r>
        <w:rPr>
          <w:color w:val="231F20"/>
          <w:w w:val="105"/>
        </w:rPr>
        <w:t>demanda</w:t>
      </w:r>
      <w:r>
        <w:rPr>
          <w:color w:val="231F20"/>
          <w:spacing w:val="-25"/>
          <w:w w:val="105"/>
        </w:rPr>
        <w:t> </w:t>
      </w:r>
      <w:r>
        <w:rPr>
          <w:color w:val="231F20"/>
          <w:w w:val="105"/>
        </w:rPr>
        <w:t>total</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misma</w:t>
      </w:r>
      <w:r>
        <w:rPr>
          <w:color w:val="231F20"/>
          <w:spacing w:val="-25"/>
          <w:w w:val="105"/>
        </w:rPr>
        <w:t> </w:t>
      </w:r>
      <w:r>
        <w:rPr>
          <w:color w:val="231F20"/>
          <w:w w:val="105"/>
        </w:rPr>
        <w:t>a</w:t>
      </w:r>
      <w:r>
        <w:rPr>
          <w:color w:val="231F20"/>
          <w:spacing w:val="-25"/>
          <w:w w:val="105"/>
        </w:rPr>
        <w:t> </w:t>
      </w:r>
      <w:r>
        <w:rPr>
          <w:color w:val="231F20"/>
          <w:w w:val="105"/>
        </w:rPr>
        <w:t>dicho</w:t>
      </w:r>
      <w:r>
        <w:rPr>
          <w:color w:val="231F20"/>
          <w:spacing w:val="-25"/>
          <w:w w:val="105"/>
        </w:rPr>
        <w:t> </w:t>
      </w:r>
      <w:r>
        <w:rPr>
          <w:color w:val="231F20"/>
          <w:w w:val="105"/>
        </w:rPr>
        <w:t>salario</w:t>
      </w:r>
      <w:r>
        <w:rPr>
          <w:color w:val="231F20"/>
          <w:spacing w:val="-25"/>
          <w:w w:val="105"/>
        </w:rPr>
        <w:t> </w:t>
      </w:r>
      <w:r>
        <w:rPr>
          <w:color w:val="231F20"/>
          <w:w w:val="105"/>
        </w:rPr>
        <w:t>son</w:t>
      </w:r>
      <w:r>
        <w:rPr>
          <w:color w:val="231F20"/>
          <w:spacing w:val="-25"/>
          <w:w w:val="105"/>
        </w:rPr>
        <w:t> </w:t>
      </w:r>
      <w:r>
        <w:rPr>
          <w:color w:val="231F20"/>
          <w:w w:val="105"/>
        </w:rPr>
        <w:t>mayores que</w:t>
      </w:r>
      <w:r>
        <w:rPr>
          <w:color w:val="231F20"/>
          <w:spacing w:val="-14"/>
          <w:w w:val="105"/>
        </w:rPr>
        <w:t> </w:t>
      </w:r>
      <w:r>
        <w:rPr>
          <w:color w:val="231F20"/>
          <w:w w:val="105"/>
        </w:rPr>
        <w:t>el</w:t>
      </w:r>
      <w:r>
        <w:rPr>
          <w:color w:val="231F20"/>
          <w:spacing w:val="-14"/>
          <w:w w:val="105"/>
        </w:rPr>
        <w:t> </w:t>
      </w:r>
      <w:r>
        <w:rPr>
          <w:color w:val="231F20"/>
          <w:w w:val="105"/>
        </w:rPr>
        <w:t>volumen</w:t>
      </w:r>
      <w:r>
        <w:rPr>
          <w:color w:val="231F20"/>
          <w:spacing w:val="-14"/>
          <w:w w:val="105"/>
        </w:rPr>
        <w:t> </w:t>
      </w:r>
      <w:r>
        <w:rPr>
          <w:color w:val="231F20"/>
          <w:w w:val="105"/>
        </w:rPr>
        <w:t>de</w:t>
      </w:r>
      <w:r>
        <w:rPr>
          <w:color w:val="231F20"/>
          <w:spacing w:val="-14"/>
          <w:w w:val="105"/>
        </w:rPr>
        <w:t> </w:t>
      </w:r>
      <w:r>
        <w:rPr>
          <w:color w:val="231F20"/>
          <w:w w:val="105"/>
        </w:rPr>
        <w:t>ocupación</w:t>
      </w:r>
      <w:r>
        <w:rPr>
          <w:color w:val="231F20"/>
          <w:spacing w:val="-14"/>
          <w:w w:val="105"/>
        </w:rPr>
        <w:t> </w:t>
      </w:r>
      <w:r>
        <w:rPr>
          <w:color w:val="231F20"/>
          <w:w w:val="105"/>
        </w:rPr>
        <w:t>existente</w:t>
      </w:r>
      <w:r>
        <w:rPr>
          <w:color w:val="231F20"/>
          <w:spacing w:val="-14"/>
          <w:w w:val="105"/>
        </w:rPr>
        <w:t> </w:t>
      </w:r>
      <w:r>
        <w:rPr>
          <w:color w:val="231F20"/>
          <w:w w:val="105"/>
        </w:rPr>
        <w:t>(2010:</w:t>
      </w:r>
      <w:r>
        <w:rPr>
          <w:color w:val="231F20"/>
          <w:spacing w:val="-14"/>
          <w:w w:val="105"/>
        </w:rPr>
        <w:t> </w:t>
      </w:r>
      <w:r>
        <w:rPr>
          <w:color w:val="231F20"/>
          <w:w w:val="105"/>
        </w:rPr>
        <w:t>47).</w:t>
      </w:r>
    </w:p>
    <w:p>
      <w:pPr>
        <w:pStyle w:val="BodyText"/>
        <w:spacing w:line="259" w:lineRule="auto"/>
        <w:ind w:left="103" w:right="109" w:firstLine="567"/>
        <w:jc w:val="both"/>
      </w:pPr>
      <w:r>
        <w:rPr>
          <w:color w:val="231F20"/>
          <w:spacing w:val="-6"/>
          <w:w w:val="105"/>
        </w:rPr>
        <w:t>Por</w:t>
      </w:r>
      <w:r>
        <w:rPr>
          <w:color w:val="231F20"/>
          <w:spacing w:val="-11"/>
          <w:w w:val="105"/>
        </w:rPr>
        <w:t> </w:t>
      </w:r>
      <w:r>
        <w:rPr>
          <w:color w:val="231F20"/>
          <w:w w:val="105"/>
        </w:rPr>
        <w:t>otro</w:t>
      </w:r>
      <w:r>
        <w:rPr>
          <w:color w:val="231F20"/>
          <w:spacing w:val="-11"/>
          <w:w w:val="105"/>
        </w:rPr>
        <w:t> </w:t>
      </w:r>
      <w:r>
        <w:rPr>
          <w:color w:val="231F20"/>
          <w:w w:val="105"/>
        </w:rPr>
        <w:t>lado,</w:t>
      </w:r>
      <w:r>
        <w:rPr>
          <w:color w:val="231F20"/>
          <w:spacing w:val="-17"/>
          <w:w w:val="105"/>
        </w:rPr>
        <w:t> </w:t>
      </w:r>
      <w:r>
        <w:rPr>
          <w:color w:val="231F20"/>
          <w:w w:val="105"/>
        </w:rPr>
        <w:t>al</w:t>
      </w:r>
      <w:r>
        <w:rPr>
          <w:color w:val="231F20"/>
          <w:spacing w:val="-11"/>
          <w:w w:val="105"/>
        </w:rPr>
        <w:t> </w:t>
      </w:r>
      <w:r>
        <w:rPr>
          <w:color w:val="231F20"/>
          <w:w w:val="105"/>
        </w:rPr>
        <w:t>considerar</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demanda</w:t>
      </w:r>
      <w:r>
        <w:rPr>
          <w:color w:val="231F20"/>
          <w:spacing w:val="-11"/>
          <w:w w:val="105"/>
        </w:rPr>
        <w:t> </w:t>
      </w:r>
      <w:r>
        <w:rPr>
          <w:color w:val="231F20"/>
          <w:w w:val="105"/>
        </w:rPr>
        <w:t>efectiva</w:t>
      </w:r>
      <w:r>
        <w:rPr>
          <w:color w:val="231F20"/>
          <w:spacing w:val="-11"/>
          <w:w w:val="105"/>
        </w:rPr>
        <w:t> </w:t>
      </w:r>
      <w:r>
        <w:rPr>
          <w:color w:val="231F20"/>
          <w:w w:val="105"/>
        </w:rPr>
        <w:t>es</w:t>
      </w:r>
      <w:r>
        <w:rPr>
          <w:color w:val="231F20"/>
          <w:spacing w:val="-11"/>
          <w:w w:val="105"/>
        </w:rPr>
        <w:t> </w:t>
      </w:r>
      <w:r>
        <w:rPr>
          <w:color w:val="231F20"/>
          <w:w w:val="105"/>
        </w:rPr>
        <w:t>evidente</w:t>
      </w:r>
      <w:r>
        <w:rPr>
          <w:color w:val="231F20"/>
          <w:spacing w:val="-11"/>
          <w:w w:val="105"/>
        </w:rPr>
        <w:t> </w:t>
      </w:r>
      <w:r>
        <w:rPr>
          <w:color w:val="231F20"/>
          <w:w w:val="105"/>
        </w:rPr>
        <w:t>que la</w:t>
      </w:r>
      <w:r>
        <w:rPr>
          <w:color w:val="231F20"/>
          <w:spacing w:val="-12"/>
          <w:w w:val="105"/>
        </w:rPr>
        <w:t> </w:t>
      </w:r>
      <w:r>
        <w:rPr>
          <w:color w:val="231F20"/>
          <w:w w:val="105"/>
        </w:rPr>
        <w:t>propensión</w:t>
      </w:r>
      <w:r>
        <w:rPr>
          <w:color w:val="231F20"/>
          <w:spacing w:val="-12"/>
          <w:w w:val="105"/>
        </w:rPr>
        <w:t> </w:t>
      </w:r>
      <w:r>
        <w:rPr>
          <w:color w:val="231F20"/>
          <w:w w:val="105"/>
        </w:rPr>
        <w:t>marginal</w:t>
      </w:r>
      <w:r>
        <w:rPr>
          <w:color w:val="231F20"/>
          <w:spacing w:val="-12"/>
          <w:w w:val="105"/>
        </w:rPr>
        <w:t> </w:t>
      </w:r>
      <w:r>
        <w:rPr>
          <w:color w:val="231F20"/>
          <w:w w:val="105"/>
        </w:rPr>
        <w:t>a</w:t>
      </w:r>
      <w:r>
        <w:rPr>
          <w:color w:val="231F20"/>
          <w:spacing w:val="-12"/>
          <w:w w:val="105"/>
        </w:rPr>
        <w:t> </w:t>
      </w:r>
      <w:r>
        <w:rPr>
          <w:color w:val="231F20"/>
          <w:w w:val="105"/>
        </w:rPr>
        <w:t>consumir</w:t>
      </w:r>
      <w:r>
        <w:rPr>
          <w:color w:val="231F20"/>
          <w:spacing w:val="-12"/>
          <w:w w:val="105"/>
        </w:rPr>
        <w:t> </w:t>
      </w:r>
      <w:r>
        <w:rPr>
          <w:color w:val="231F20"/>
          <w:w w:val="105"/>
        </w:rPr>
        <w:t>juega</w:t>
      </w:r>
      <w:r>
        <w:rPr>
          <w:color w:val="231F20"/>
          <w:spacing w:val="-12"/>
          <w:w w:val="105"/>
        </w:rPr>
        <w:t> </w:t>
      </w:r>
      <w:r>
        <w:rPr>
          <w:color w:val="231F20"/>
          <w:w w:val="105"/>
        </w:rPr>
        <w:t>un</w:t>
      </w:r>
      <w:r>
        <w:rPr>
          <w:color w:val="231F20"/>
          <w:spacing w:val="-12"/>
          <w:w w:val="105"/>
        </w:rPr>
        <w:t> </w:t>
      </w:r>
      <w:r>
        <w:rPr>
          <w:color w:val="231F20"/>
          <w:w w:val="105"/>
        </w:rPr>
        <w:t>papel</w:t>
      </w:r>
      <w:r>
        <w:rPr>
          <w:color w:val="231F20"/>
          <w:spacing w:val="-12"/>
          <w:w w:val="105"/>
        </w:rPr>
        <w:t> </w:t>
      </w:r>
      <w:r>
        <w:rPr>
          <w:color w:val="231F20"/>
          <w:w w:val="105"/>
        </w:rPr>
        <w:t>fundamental,</w:t>
      </w:r>
      <w:r>
        <w:rPr>
          <w:color w:val="231F20"/>
          <w:spacing w:val="-18"/>
          <w:w w:val="105"/>
        </w:rPr>
        <w:t> </w:t>
      </w:r>
      <w:r>
        <w:rPr>
          <w:color w:val="231F20"/>
          <w:w w:val="105"/>
        </w:rPr>
        <w:t>aumen- ta el ingreso de una comunidad también se incrementará su consumo, no de manera proporcional. </w:t>
      </w:r>
      <w:r>
        <w:rPr>
          <w:color w:val="231F20"/>
          <w:spacing w:val="-6"/>
          <w:w w:val="105"/>
        </w:rPr>
        <w:t>Por </w:t>
      </w:r>
      <w:r>
        <w:rPr>
          <w:color w:val="231F20"/>
          <w:w w:val="105"/>
        </w:rPr>
        <w:t>tanto, para que haya una demanda</w:t>
      </w:r>
      <w:r>
        <w:rPr>
          <w:color w:val="231F20"/>
          <w:spacing w:val="-27"/>
          <w:w w:val="105"/>
        </w:rPr>
        <w:t> </w:t>
      </w:r>
      <w:r>
        <w:rPr>
          <w:color w:val="231F20"/>
          <w:w w:val="105"/>
        </w:rPr>
        <w:t>su- ficiente para mantener el nivel de empleo se debe generar un nivel de inversión</w:t>
      </w:r>
      <w:r>
        <w:rPr>
          <w:color w:val="231F20"/>
          <w:spacing w:val="-16"/>
          <w:w w:val="105"/>
        </w:rPr>
        <w:t> </w:t>
      </w:r>
      <w:r>
        <w:rPr>
          <w:color w:val="231F20"/>
          <w:w w:val="105"/>
        </w:rPr>
        <w:t>equivalente</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diferencia</w:t>
      </w:r>
      <w:r>
        <w:rPr>
          <w:color w:val="231F20"/>
          <w:spacing w:val="-16"/>
          <w:w w:val="105"/>
        </w:rPr>
        <w:t> </w:t>
      </w:r>
      <w:r>
        <w:rPr>
          <w:color w:val="231F20"/>
          <w:w w:val="105"/>
        </w:rPr>
        <w:t>entre</w:t>
      </w:r>
      <w:r>
        <w:rPr>
          <w:color w:val="231F20"/>
          <w:spacing w:val="-16"/>
          <w:w w:val="105"/>
        </w:rPr>
        <w:t> </w:t>
      </w:r>
      <w:r>
        <w:rPr>
          <w:color w:val="231F20"/>
          <w:w w:val="105"/>
        </w:rPr>
        <w:t>el</w:t>
      </w:r>
      <w:r>
        <w:rPr>
          <w:color w:val="231F20"/>
          <w:spacing w:val="-16"/>
          <w:w w:val="105"/>
        </w:rPr>
        <w:t> </w:t>
      </w:r>
      <w:r>
        <w:rPr>
          <w:color w:val="231F20"/>
          <w:w w:val="105"/>
        </w:rPr>
        <w:t>ingreso</w:t>
      </w:r>
      <w:r>
        <w:rPr>
          <w:color w:val="231F20"/>
          <w:spacing w:val="-16"/>
          <w:w w:val="105"/>
        </w:rPr>
        <w:t> </w:t>
      </w:r>
      <w:r>
        <w:rPr>
          <w:color w:val="231F20"/>
          <w:w w:val="105"/>
        </w:rPr>
        <w:t>y</w:t>
      </w:r>
      <w:r>
        <w:rPr>
          <w:color w:val="231F20"/>
          <w:spacing w:val="-16"/>
          <w:w w:val="105"/>
        </w:rPr>
        <w:t> </w:t>
      </w:r>
      <w:r>
        <w:rPr>
          <w:color w:val="231F20"/>
          <w:w w:val="105"/>
        </w:rPr>
        <w:t>el</w:t>
      </w:r>
      <w:r>
        <w:rPr>
          <w:color w:val="231F20"/>
          <w:spacing w:val="-16"/>
          <w:w w:val="105"/>
        </w:rPr>
        <w:t> </w:t>
      </w:r>
      <w:r>
        <w:rPr>
          <w:color w:val="231F20"/>
          <w:w w:val="105"/>
        </w:rPr>
        <w:t>consumo.</w:t>
      </w:r>
    </w:p>
    <w:p>
      <w:pPr>
        <w:pStyle w:val="BodyText"/>
        <w:spacing w:line="259" w:lineRule="auto"/>
        <w:ind w:left="103" w:right="109" w:firstLine="567"/>
        <w:jc w:val="both"/>
      </w:pPr>
      <w:r>
        <w:rPr>
          <w:color w:val="231F20"/>
          <w:w w:val="105"/>
        </w:rPr>
        <w:t>Debido a que la propensión al consumo es relativamente estable en</w:t>
      </w:r>
      <w:r>
        <w:rPr>
          <w:color w:val="231F20"/>
          <w:spacing w:val="-21"/>
          <w:w w:val="105"/>
        </w:rPr>
        <w:t> </w:t>
      </w:r>
      <w:r>
        <w:rPr>
          <w:color w:val="231F20"/>
          <w:w w:val="105"/>
        </w:rPr>
        <w:t>el</w:t>
      </w:r>
      <w:r>
        <w:rPr>
          <w:color w:val="231F20"/>
          <w:spacing w:val="-21"/>
          <w:w w:val="105"/>
        </w:rPr>
        <w:t> </w:t>
      </w:r>
      <w:r>
        <w:rPr>
          <w:color w:val="231F20"/>
          <w:w w:val="105"/>
        </w:rPr>
        <w:t>tiempo,</w:t>
      </w:r>
      <w:r>
        <w:rPr>
          <w:color w:val="231F20"/>
          <w:spacing w:val="-27"/>
          <w:w w:val="105"/>
        </w:rPr>
        <w:t> </w:t>
      </w:r>
      <w:r>
        <w:rPr>
          <w:color w:val="231F20"/>
          <w:w w:val="105"/>
        </w:rPr>
        <w:t>el</w:t>
      </w:r>
      <w:r>
        <w:rPr>
          <w:color w:val="231F20"/>
          <w:spacing w:val="-21"/>
          <w:w w:val="105"/>
        </w:rPr>
        <w:t> </w:t>
      </w:r>
      <w:r>
        <w:rPr>
          <w:color w:val="231F20"/>
          <w:w w:val="105"/>
        </w:rPr>
        <w:t>gasto</w:t>
      </w:r>
      <w:r>
        <w:rPr>
          <w:color w:val="231F20"/>
          <w:spacing w:val="-21"/>
          <w:w w:val="105"/>
        </w:rPr>
        <w:t> </w:t>
      </w:r>
      <w:r>
        <w:rPr>
          <w:color w:val="231F20"/>
          <w:w w:val="105"/>
        </w:rPr>
        <w:t>en</w:t>
      </w:r>
      <w:r>
        <w:rPr>
          <w:color w:val="231F20"/>
          <w:spacing w:val="-21"/>
          <w:w w:val="105"/>
        </w:rPr>
        <w:t> </w:t>
      </w:r>
      <w:r>
        <w:rPr>
          <w:color w:val="231F20"/>
          <w:w w:val="105"/>
        </w:rPr>
        <w:t>inversión</w:t>
      </w:r>
      <w:r>
        <w:rPr>
          <w:color w:val="231F20"/>
          <w:spacing w:val="-21"/>
          <w:w w:val="105"/>
        </w:rPr>
        <w:t> </w:t>
      </w:r>
      <w:r>
        <w:rPr>
          <w:color w:val="231F20"/>
          <w:w w:val="105"/>
        </w:rPr>
        <w:t>(variable</w:t>
      </w:r>
      <w:r>
        <w:rPr>
          <w:color w:val="231F20"/>
          <w:spacing w:val="-21"/>
          <w:w w:val="105"/>
        </w:rPr>
        <w:t> </w:t>
      </w:r>
      <w:r>
        <w:rPr>
          <w:color w:val="231F20"/>
          <w:w w:val="105"/>
        </w:rPr>
        <w:t>altamente</w:t>
      </w:r>
      <w:r>
        <w:rPr>
          <w:color w:val="231F20"/>
          <w:spacing w:val="-21"/>
          <w:w w:val="105"/>
        </w:rPr>
        <w:t> </w:t>
      </w:r>
      <w:r>
        <w:rPr>
          <w:color w:val="231F20"/>
          <w:w w:val="105"/>
        </w:rPr>
        <w:t>volátil)</w:t>
      </w:r>
      <w:r>
        <w:rPr>
          <w:color w:val="231F20"/>
          <w:spacing w:val="-21"/>
          <w:w w:val="105"/>
        </w:rPr>
        <w:t> </w:t>
      </w:r>
      <w:r>
        <w:rPr>
          <w:color w:val="231F20"/>
          <w:w w:val="105"/>
        </w:rPr>
        <w:t>resulta</w:t>
      </w:r>
      <w:r>
        <w:rPr>
          <w:color w:val="231F20"/>
          <w:spacing w:val="-21"/>
          <w:w w:val="105"/>
        </w:rPr>
        <w:t> </w:t>
      </w:r>
      <w:r>
        <w:rPr>
          <w:color w:val="231F20"/>
          <w:w w:val="105"/>
        </w:rPr>
        <w:t>fun- damental</w:t>
      </w:r>
      <w:r>
        <w:rPr>
          <w:color w:val="231F20"/>
          <w:spacing w:val="-13"/>
          <w:w w:val="105"/>
        </w:rPr>
        <w:t> </w:t>
      </w:r>
      <w:r>
        <w:rPr>
          <w:color w:val="231F20"/>
          <w:w w:val="105"/>
        </w:rPr>
        <w:t>para</w:t>
      </w:r>
      <w:r>
        <w:rPr>
          <w:color w:val="231F20"/>
          <w:spacing w:val="-13"/>
          <w:w w:val="105"/>
        </w:rPr>
        <w:t> </w:t>
      </w:r>
      <w:r>
        <w:rPr>
          <w:color w:val="231F20"/>
          <w:w w:val="105"/>
        </w:rPr>
        <w:t>modificar</w:t>
      </w:r>
      <w:r>
        <w:rPr>
          <w:color w:val="231F20"/>
          <w:spacing w:val="-13"/>
          <w:w w:val="105"/>
        </w:rPr>
        <w:t> </w:t>
      </w:r>
      <w:r>
        <w:rPr>
          <w:color w:val="231F20"/>
          <w:w w:val="105"/>
        </w:rPr>
        <w:t>los</w:t>
      </w:r>
      <w:r>
        <w:rPr>
          <w:color w:val="231F20"/>
          <w:spacing w:val="-13"/>
          <w:w w:val="105"/>
        </w:rPr>
        <w:t> </w:t>
      </w:r>
      <w:r>
        <w:rPr>
          <w:color w:val="231F20"/>
          <w:w w:val="105"/>
        </w:rPr>
        <w:t>niveles</w:t>
      </w:r>
      <w:r>
        <w:rPr>
          <w:color w:val="231F20"/>
          <w:spacing w:val="-13"/>
          <w:w w:val="105"/>
        </w:rPr>
        <w:t> </w:t>
      </w:r>
      <w:r>
        <w:rPr>
          <w:color w:val="231F20"/>
          <w:w w:val="105"/>
        </w:rPr>
        <w:t>de</w:t>
      </w:r>
      <w:r>
        <w:rPr>
          <w:color w:val="231F20"/>
          <w:spacing w:val="-13"/>
          <w:w w:val="105"/>
        </w:rPr>
        <w:t> </w:t>
      </w:r>
      <w:r>
        <w:rPr>
          <w:color w:val="231F20"/>
          <w:w w:val="105"/>
        </w:rPr>
        <w:t>demanda</w:t>
      </w:r>
      <w:r>
        <w:rPr>
          <w:color w:val="231F20"/>
          <w:spacing w:val="-13"/>
          <w:w w:val="105"/>
        </w:rPr>
        <w:t> </w:t>
      </w:r>
      <w:r>
        <w:rPr>
          <w:color w:val="231F20"/>
          <w:w w:val="105"/>
        </w:rPr>
        <w:t>efectiva</w:t>
      </w:r>
      <w:r>
        <w:rPr>
          <w:color w:val="231F20"/>
          <w:spacing w:val="-13"/>
          <w:w w:val="105"/>
        </w:rPr>
        <w:t> </w:t>
      </w:r>
      <w:r>
        <w:rPr>
          <w:color w:val="231F20"/>
          <w:w w:val="105"/>
        </w:rPr>
        <w:t>y</w:t>
      </w:r>
      <w:r>
        <w:rPr>
          <w:color w:val="231F20"/>
          <w:spacing w:val="-13"/>
          <w:w w:val="105"/>
        </w:rPr>
        <w:t> </w:t>
      </w:r>
      <w:r>
        <w:rPr>
          <w:color w:val="231F20"/>
          <w:w w:val="105"/>
        </w:rPr>
        <w:t>depende</w:t>
      </w:r>
      <w:r>
        <w:rPr>
          <w:color w:val="231F20"/>
          <w:spacing w:val="-13"/>
          <w:w w:val="105"/>
        </w:rPr>
        <w:t> </w:t>
      </w:r>
      <w:r>
        <w:rPr>
          <w:color w:val="231F20"/>
          <w:w w:val="105"/>
        </w:rPr>
        <w:t>bá- sicamente</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tasa</w:t>
      </w:r>
      <w:r>
        <w:rPr>
          <w:color w:val="231F20"/>
          <w:spacing w:val="-24"/>
          <w:w w:val="105"/>
        </w:rPr>
        <w:t> </w:t>
      </w:r>
      <w:r>
        <w:rPr>
          <w:color w:val="231F20"/>
          <w:w w:val="105"/>
        </w:rPr>
        <w:t>de</w:t>
      </w:r>
      <w:r>
        <w:rPr>
          <w:color w:val="231F20"/>
          <w:spacing w:val="-24"/>
          <w:w w:val="105"/>
        </w:rPr>
        <w:t> </w:t>
      </w:r>
      <w:r>
        <w:rPr>
          <w:color w:val="231F20"/>
          <w:w w:val="105"/>
        </w:rPr>
        <w:t>interés</w:t>
      </w:r>
      <w:r>
        <w:rPr>
          <w:color w:val="231F20"/>
          <w:spacing w:val="-24"/>
          <w:w w:val="105"/>
        </w:rPr>
        <w:t> </w:t>
      </w:r>
      <w:r>
        <w:rPr>
          <w:color w:val="231F20"/>
          <w:w w:val="105"/>
        </w:rPr>
        <w:t>y</w:t>
      </w:r>
      <w:r>
        <w:rPr>
          <w:color w:val="231F20"/>
          <w:spacing w:val="-24"/>
          <w:w w:val="105"/>
        </w:rPr>
        <w:t> </w:t>
      </w:r>
      <w:r>
        <w:rPr>
          <w:color w:val="231F20"/>
          <w:w w:val="105"/>
        </w:rPr>
        <w:t>la</w:t>
      </w:r>
      <w:r>
        <w:rPr>
          <w:color w:val="231F20"/>
          <w:spacing w:val="-24"/>
          <w:w w:val="105"/>
        </w:rPr>
        <w:t> </w:t>
      </w:r>
      <w:r>
        <w:rPr>
          <w:color w:val="231F20"/>
          <w:w w:val="105"/>
        </w:rPr>
        <w:t>eficacia</w:t>
      </w:r>
      <w:r>
        <w:rPr>
          <w:color w:val="231F20"/>
          <w:spacing w:val="-24"/>
          <w:w w:val="105"/>
        </w:rPr>
        <w:t> </w:t>
      </w:r>
      <w:r>
        <w:rPr>
          <w:color w:val="231F20"/>
          <w:w w:val="105"/>
        </w:rPr>
        <w:t>marginal</w:t>
      </w:r>
      <w:r>
        <w:rPr>
          <w:color w:val="231F20"/>
          <w:spacing w:val="-24"/>
          <w:w w:val="105"/>
        </w:rPr>
        <w:t> </w:t>
      </w:r>
      <w:r>
        <w:rPr>
          <w:color w:val="231F20"/>
          <w:w w:val="105"/>
        </w:rPr>
        <w:t>del</w:t>
      </w:r>
      <w:r>
        <w:rPr>
          <w:color w:val="231F20"/>
          <w:spacing w:val="-24"/>
          <w:w w:val="105"/>
        </w:rPr>
        <w:t> </w:t>
      </w:r>
      <w:r>
        <w:rPr>
          <w:color w:val="231F20"/>
          <w:w w:val="105"/>
        </w:rPr>
        <w:t>capital.</w:t>
      </w:r>
      <w:r>
        <w:rPr>
          <w:color w:val="231F20"/>
          <w:spacing w:val="-31"/>
          <w:w w:val="105"/>
        </w:rPr>
        <w:t> </w:t>
      </w:r>
      <w:r>
        <w:rPr>
          <w:color w:val="231F20"/>
          <w:w w:val="105"/>
        </w:rPr>
        <w:t>A</w:t>
      </w:r>
      <w:r>
        <w:rPr>
          <w:color w:val="231F20"/>
          <w:spacing w:val="-27"/>
          <w:w w:val="105"/>
        </w:rPr>
        <w:t> </w:t>
      </w:r>
      <w:r>
        <w:rPr>
          <w:color w:val="231F20"/>
          <w:w w:val="105"/>
        </w:rPr>
        <w:t>su</w:t>
      </w:r>
      <w:r>
        <w:rPr>
          <w:color w:val="231F20"/>
          <w:spacing w:val="-24"/>
          <w:w w:val="105"/>
        </w:rPr>
        <w:t> </w:t>
      </w:r>
      <w:r>
        <w:rPr>
          <w:color w:val="231F20"/>
          <w:w w:val="105"/>
        </w:rPr>
        <w:t>vez, la</w:t>
      </w:r>
      <w:r>
        <w:rPr>
          <w:color w:val="231F20"/>
          <w:spacing w:val="-24"/>
          <w:w w:val="105"/>
        </w:rPr>
        <w:t> </w:t>
      </w:r>
      <w:r>
        <w:rPr>
          <w:color w:val="231F20"/>
          <w:w w:val="105"/>
        </w:rPr>
        <w:t>tasa</w:t>
      </w:r>
      <w:r>
        <w:rPr>
          <w:color w:val="231F20"/>
          <w:spacing w:val="-24"/>
          <w:w w:val="105"/>
        </w:rPr>
        <w:t> </w:t>
      </w:r>
      <w:r>
        <w:rPr>
          <w:color w:val="231F20"/>
          <w:w w:val="105"/>
        </w:rPr>
        <w:t>de</w:t>
      </w:r>
      <w:r>
        <w:rPr>
          <w:color w:val="231F20"/>
          <w:spacing w:val="-24"/>
          <w:w w:val="105"/>
        </w:rPr>
        <w:t> </w:t>
      </w:r>
      <w:r>
        <w:rPr>
          <w:color w:val="231F20"/>
          <w:w w:val="105"/>
        </w:rPr>
        <w:t>interés</w:t>
      </w:r>
      <w:r>
        <w:rPr>
          <w:color w:val="231F20"/>
          <w:spacing w:val="-24"/>
          <w:w w:val="105"/>
        </w:rPr>
        <w:t> </w:t>
      </w:r>
      <w:r>
        <w:rPr>
          <w:color w:val="231F20"/>
          <w:w w:val="105"/>
        </w:rPr>
        <w:t>se</w:t>
      </w:r>
      <w:r>
        <w:rPr>
          <w:color w:val="231F20"/>
          <w:spacing w:val="-24"/>
          <w:w w:val="105"/>
        </w:rPr>
        <w:t> </w:t>
      </w:r>
      <w:r>
        <w:rPr>
          <w:color w:val="231F20"/>
          <w:w w:val="105"/>
        </w:rPr>
        <w:t>determina</w:t>
      </w:r>
      <w:r>
        <w:rPr>
          <w:color w:val="231F20"/>
          <w:spacing w:val="-24"/>
          <w:w w:val="105"/>
        </w:rPr>
        <w:t> </w:t>
      </w:r>
      <w:r>
        <w:rPr>
          <w:color w:val="231F20"/>
          <w:w w:val="105"/>
        </w:rPr>
        <w:t>por</w:t>
      </w:r>
      <w:r>
        <w:rPr>
          <w:color w:val="231F20"/>
          <w:spacing w:val="-24"/>
          <w:w w:val="105"/>
        </w:rPr>
        <w:t> </w:t>
      </w:r>
      <w:r>
        <w:rPr>
          <w:color w:val="231F20"/>
          <w:w w:val="105"/>
        </w:rPr>
        <w:t>la</w:t>
      </w:r>
      <w:r>
        <w:rPr>
          <w:color w:val="231F20"/>
          <w:spacing w:val="-24"/>
          <w:w w:val="105"/>
        </w:rPr>
        <w:t> </w:t>
      </w:r>
      <w:r>
        <w:rPr>
          <w:color w:val="231F20"/>
          <w:w w:val="105"/>
        </w:rPr>
        <w:t>preferencia</w:t>
      </w:r>
      <w:r>
        <w:rPr>
          <w:color w:val="231F20"/>
          <w:spacing w:val="-24"/>
          <w:w w:val="105"/>
        </w:rPr>
        <w:t> </w:t>
      </w:r>
      <w:r>
        <w:rPr>
          <w:color w:val="231F20"/>
          <w:w w:val="105"/>
        </w:rPr>
        <w:t>de</w:t>
      </w:r>
      <w:r>
        <w:rPr>
          <w:color w:val="231F20"/>
          <w:spacing w:val="-24"/>
          <w:w w:val="105"/>
        </w:rPr>
        <w:t> </w:t>
      </w:r>
      <w:r>
        <w:rPr>
          <w:color w:val="231F20"/>
          <w:w w:val="105"/>
        </w:rPr>
        <w:t>liquidez</w:t>
      </w:r>
      <w:r>
        <w:rPr>
          <w:color w:val="231F20"/>
          <w:spacing w:val="-24"/>
          <w:w w:val="105"/>
        </w:rPr>
        <w:t> </w:t>
      </w:r>
      <w:r>
        <w:rPr>
          <w:color w:val="231F20"/>
          <w:w w:val="105"/>
        </w:rPr>
        <w:t>y</w:t>
      </w:r>
      <w:r>
        <w:rPr>
          <w:color w:val="231F20"/>
          <w:spacing w:val="-24"/>
          <w:w w:val="105"/>
        </w:rPr>
        <w:t> </w:t>
      </w:r>
      <w:r>
        <w:rPr>
          <w:color w:val="231F20"/>
          <w:w w:val="105"/>
        </w:rPr>
        <w:t>el</w:t>
      </w:r>
      <w:r>
        <w:rPr>
          <w:color w:val="231F20"/>
          <w:spacing w:val="-24"/>
          <w:w w:val="105"/>
        </w:rPr>
        <w:t> </w:t>
      </w:r>
      <w:r>
        <w:rPr>
          <w:color w:val="231F20"/>
          <w:w w:val="105"/>
        </w:rPr>
        <w:t>volumen de</w:t>
      </w:r>
      <w:r>
        <w:rPr>
          <w:color w:val="231F20"/>
          <w:spacing w:val="-11"/>
          <w:w w:val="105"/>
        </w:rPr>
        <w:t> </w:t>
      </w:r>
      <w:r>
        <w:rPr>
          <w:color w:val="231F20"/>
          <w:w w:val="105"/>
        </w:rPr>
        <w:t>dinero</w:t>
      </w:r>
      <w:r>
        <w:rPr>
          <w:color w:val="231F20"/>
          <w:spacing w:val="-11"/>
          <w:w w:val="105"/>
        </w:rPr>
        <w:t> </w:t>
      </w:r>
      <w:r>
        <w:rPr>
          <w:color w:val="231F20"/>
          <w:w w:val="105"/>
        </w:rPr>
        <w:t>en</w:t>
      </w:r>
      <w:r>
        <w:rPr>
          <w:color w:val="231F20"/>
          <w:spacing w:val="-11"/>
          <w:w w:val="105"/>
        </w:rPr>
        <w:t> </w:t>
      </w:r>
      <w:r>
        <w:rPr>
          <w:color w:val="231F20"/>
          <w:w w:val="105"/>
        </w:rPr>
        <w:t>circulación;</w:t>
      </w:r>
      <w:r>
        <w:rPr>
          <w:color w:val="231F20"/>
          <w:spacing w:val="-11"/>
          <w:w w:val="105"/>
        </w:rPr>
        <w:t> </w:t>
      </w:r>
      <w:r>
        <w:rPr>
          <w:color w:val="231F20"/>
          <w:w w:val="105"/>
        </w:rPr>
        <w:t>mientras</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eficacia</w:t>
      </w:r>
      <w:r>
        <w:rPr>
          <w:color w:val="231F20"/>
          <w:spacing w:val="-11"/>
          <w:w w:val="105"/>
        </w:rPr>
        <w:t> </w:t>
      </w:r>
      <w:r>
        <w:rPr>
          <w:color w:val="231F20"/>
          <w:w w:val="105"/>
        </w:rPr>
        <w:t>marginal</w:t>
      </w:r>
      <w:r>
        <w:rPr>
          <w:color w:val="231F20"/>
          <w:spacing w:val="-11"/>
          <w:w w:val="105"/>
        </w:rPr>
        <w:t> </w:t>
      </w:r>
      <w:r>
        <w:rPr>
          <w:color w:val="231F20"/>
          <w:w w:val="105"/>
        </w:rPr>
        <w:t>del</w:t>
      </w:r>
      <w:r>
        <w:rPr>
          <w:color w:val="231F20"/>
          <w:spacing w:val="-11"/>
          <w:w w:val="105"/>
        </w:rPr>
        <w:t> </w:t>
      </w:r>
      <w:r>
        <w:rPr>
          <w:color w:val="231F20"/>
          <w:w w:val="105"/>
        </w:rPr>
        <w:t>capital</w:t>
      </w:r>
      <w:r>
        <w:rPr>
          <w:color w:val="231F20"/>
          <w:spacing w:val="-11"/>
          <w:w w:val="105"/>
        </w:rPr>
        <w:t> </w:t>
      </w:r>
      <w:r>
        <w:rPr>
          <w:color w:val="231F20"/>
          <w:w w:val="105"/>
        </w:rPr>
        <w:t>es resultado</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expectativas</w:t>
      </w:r>
      <w:r>
        <w:rPr>
          <w:color w:val="231F20"/>
          <w:spacing w:val="-19"/>
          <w:w w:val="105"/>
        </w:rPr>
        <w:t> </w:t>
      </w:r>
      <w:r>
        <w:rPr>
          <w:color w:val="231F20"/>
          <w:w w:val="105"/>
        </w:rPr>
        <w:t>sobre</w:t>
      </w:r>
      <w:r>
        <w:rPr>
          <w:color w:val="231F20"/>
          <w:spacing w:val="-19"/>
          <w:w w:val="105"/>
        </w:rPr>
        <w:t> </w:t>
      </w:r>
      <w:r>
        <w:rPr>
          <w:color w:val="231F20"/>
          <w:w w:val="105"/>
        </w:rPr>
        <w:t>la</w:t>
      </w:r>
      <w:r>
        <w:rPr>
          <w:color w:val="231F20"/>
          <w:spacing w:val="-19"/>
          <w:w w:val="105"/>
        </w:rPr>
        <w:t> </w:t>
      </w:r>
      <w:r>
        <w:rPr>
          <w:color w:val="231F20"/>
          <w:w w:val="105"/>
        </w:rPr>
        <w:t>rentabilidad</w:t>
      </w:r>
      <w:r>
        <w:rPr>
          <w:color w:val="231F20"/>
          <w:spacing w:val="-19"/>
          <w:w w:val="105"/>
        </w:rPr>
        <w:t> </w:t>
      </w:r>
      <w:r>
        <w:rPr>
          <w:color w:val="231F20"/>
          <w:w w:val="105"/>
        </w:rPr>
        <w:t>futura,</w:t>
      </w:r>
      <w:r>
        <w:rPr>
          <w:color w:val="231F20"/>
          <w:spacing w:val="-24"/>
          <w:w w:val="105"/>
        </w:rPr>
        <w:t> </w:t>
      </w:r>
      <w:r>
        <w:rPr>
          <w:color w:val="231F20"/>
          <w:w w:val="105"/>
        </w:rPr>
        <w:t>las</w:t>
      </w:r>
      <w:r>
        <w:rPr>
          <w:color w:val="231F20"/>
          <w:spacing w:val="-19"/>
          <w:w w:val="105"/>
        </w:rPr>
        <w:t> </w:t>
      </w:r>
      <w:r>
        <w:rPr>
          <w:color w:val="231F20"/>
          <w:w w:val="105"/>
        </w:rPr>
        <w:t>cuales</w:t>
      </w:r>
      <w:r>
        <w:rPr>
          <w:color w:val="231F20"/>
          <w:spacing w:val="-19"/>
          <w:w w:val="105"/>
        </w:rPr>
        <w:t> </w:t>
      </w:r>
      <w:r>
        <w:rPr>
          <w:color w:val="231F20"/>
          <w:w w:val="105"/>
        </w:rPr>
        <w:t>tien- den</w:t>
      </w:r>
      <w:r>
        <w:rPr>
          <w:color w:val="231F20"/>
          <w:spacing w:val="-14"/>
          <w:w w:val="105"/>
        </w:rPr>
        <w:t> </w:t>
      </w:r>
      <w:r>
        <w:rPr>
          <w:color w:val="231F20"/>
          <w:w w:val="105"/>
        </w:rPr>
        <w:t>a</w:t>
      </w:r>
      <w:r>
        <w:rPr>
          <w:color w:val="231F20"/>
          <w:spacing w:val="-14"/>
          <w:w w:val="105"/>
        </w:rPr>
        <w:t> </w:t>
      </w:r>
      <w:r>
        <w:rPr>
          <w:color w:val="231F20"/>
          <w:w w:val="105"/>
        </w:rPr>
        <w:t>ser</w:t>
      </w:r>
      <w:r>
        <w:rPr>
          <w:color w:val="231F20"/>
          <w:spacing w:val="-14"/>
          <w:w w:val="105"/>
        </w:rPr>
        <w:t> </w:t>
      </w:r>
      <w:r>
        <w:rPr>
          <w:color w:val="231F20"/>
          <w:w w:val="105"/>
        </w:rPr>
        <w:t>inestables</w:t>
      </w:r>
      <w:r>
        <w:rPr>
          <w:color w:val="231F20"/>
          <w:spacing w:val="-14"/>
          <w:w w:val="105"/>
        </w:rPr>
        <w:t> </w:t>
      </w:r>
      <w:r>
        <w:rPr>
          <w:color w:val="231F20"/>
          <w:w w:val="105"/>
        </w:rPr>
        <w:t>dados</w:t>
      </w:r>
      <w:r>
        <w:rPr>
          <w:color w:val="231F20"/>
          <w:spacing w:val="-14"/>
          <w:w w:val="105"/>
        </w:rPr>
        <w:t> </w:t>
      </w:r>
      <w:r>
        <w:rPr>
          <w:color w:val="231F20"/>
          <w:w w:val="105"/>
        </w:rPr>
        <w:t>los</w:t>
      </w:r>
      <w:r>
        <w:rPr>
          <w:color w:val="231F20"/>
          <w:spacing w:val="-14"/>
          <w:w w:val="105"/>
        </w:rPr>
        <w:t> </w:t>
      </w:r>
      <w:r>
        <w:rPr>
          <w:color w:val="231F20"/>
          <w:w w:val="105"/>
        </w:rPr>
        <w:t>cambios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optimismo</w:t>
      </w:r>
      <w:r>
        <w:rPr>
          <w:color w:val="231F20"/>
          <w:spacing w:val="-14"/>
          <w:w w:val="105"/>
        </w:rPr>
        <w:t> </w:t>
      </w:r>
      <w:r>
        <w:rPr>
          <w:color w:val="231F20"/>
          <w:w w:val="105"/>
        </w:rPr>
        <w:t>o</w:t>
      </w:r>
      <w:r>
        <w:rPr>
          <w:color w:val="231F20"/>
          <w:spacing w:val="-14"/>
          <w:w w:val="105"/>
        </w:rPr>
        <w:t> </w:t>
      </w:r>
      <w:r>
        <w:rPr>
          <w:color w:val="231F20"/>
          <w:w w:val="105"/>
        </w:rPr>
        <w:t>pesimismo</w:t>
      </w:r>
      <w:r>
        <w:rPr>
          <w:color w:val="231F20"/>
          <w:spacing w:val="-14"/>
          <w:w w:val="105"/>
        </w:rPr>
        <w:t> </w:t>
      </w:r>
      <w:r>
        <w:rPr>
          <w:color w:val="231F20"/>
          <w:w w:val="105"/>
        </w:rPr>
        <w:t>de los</w:t>
      </w:r>
      <w:r>
        <w:rPr>
          <w:color w:val="231F20"/>
          <w:spacing w:val="-28"/>
          <w:w w:val="105"/>
        </w:rPr>
        <w:t> </w:t>
      </w:r>
      <w:r>
        <w:rPr>
          <w:color w:val="231F20"/>
          <w:w w:val="105"/>
        </w:rPr>
        <w:t>inversionistas.</w:t>
      </w:r>
      <w:r>
        <w:rPr>
          <w:color w:val="231F20"/>
          <w:spacing w:val="-34"/>
          <w:w w:val="105"/>
        </w:rPr>
        <w:t> </w:t>
      </w:r>
      <w:r>
        <w:rPr>
          <w:color w:val="231F20"/>
          <w:w w:val="105"/>
        </w:rPr>
        <w:t>A</w:t>
      </w:r>
      <w:r>
        <w:rPr>
          <w:color w:val="231F20"/>
          <w:spacing w:val="-30"/>
          <w:w w:val="105"/>
        </w:rPr>
        <w:t> </w:t>
      </w:r>
      <w:r>
        <w:rPr>
          <w:color w:val="231F20"/>
          <w:w w:val="105"/>
        </w:rPr>
        <w:t>estas</w:t>
      </w:r>
      <w:r>
        <w:rPr>
          <w:color w:val="231F20"/>
          <w:spacing w:val="-28"/>
          <w:w w:val="105"/>
        </w:rPr>
        <w:t> </w:t>
      </w:r>
      <w:r>
        <w:rPr>
          <w:color w:val="231F20"/>
          <w:w w:val="105"/>
        </w:rPr>
        <w:t>variaciones</w:t>
      </w:r>
      <w:r>
        <w:rPr>
          <w:color w:val="231F20"/>
          <w:spacing w:val="-28"/>
          <w:w w:val="105"/>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ánimo</w:t>
      </w:r>
      <w:r>
        <w:rPr>
          <w:color w:val="231F20"/>
          <w:spacing w:val="-28"/>
          <w:w w:val="105"/>
        </w:rPr>
        <w:t> </w:t>
      </w:r>
      <w:r>
        <w:rPr>
          <w:color w:val="231F20"/>
          <w:w w:val="105"/>
        </w:rPr>
        <w:t>y</w:t>
      </w:r>
      <w:r>
        <w:rPr>
          <w:color w:val="231F20"/>
          <w:spacing w:val="-28"/>
          <w:w w:val="105"/>
        </w:rPr>
        <w:t> </w:t>
      </w:r>
      <w:r>
        <w:rPr>
          <w:color w:val="231F20"/>
          <w:w w:val="105"/>
        </w:rPr>
        <w:t>las</w:t>
      </w:r>
      <w:r>
        <w:rPr>
          <w:color w:val="231F20"/>
          <w:spacing w:val="-28"/>
          <w:w w:val="105"/>
        </w:rPr>
        <w:t> </w:t>
      </w:r>
      <w:r>
        <w:rPr>
          <w:color w:val="231F20"/>
          <w:w w:val="105"/>
        </w:rPr>
        <w:t>expectativas</w:t>
      </w:r>
      <w:r>
        <w:rPr>
          <w:color w:val="231F20"/>
          <w:spacing w:val="-28"/>
          <w:w w:val="105"/>
        </w:rPr>
        <w:t> </w:t>
      </w:r>
      <w:r>
        <w:rPr>
          <w:color w:val="231F20"/>
          <w:w w:val="105"/>
        </w:rPr>
        <w:t>Key- nes les llamó ‘espíritus animales’,</w:t>
      </w:r>
      <w:r>
        <w:rPr>
          <w:color w:val="231F20"/>
          <w:w w:val="105"/>
          <w:position w:val="7"/>
          <w:sz w:val="12"/>
        </w:rPr>
        <w:t>2 </w:t>
      </w:r>
      <w:r>
        <w:rPr>
          <w:color w:val="231F20"/>
          <w:w w:val="105"/>
        </w:rPr>
        <w:t>por considerarlas causantes de</w:t>
      </w:r>
      <w:r>
        <w:rPr>
          <w:color w:val="231F20"/>
          <w:spacing w:val="-27"/>
          <w:w w:val="105"/>
        </w:rPr>
        <w:t> </w:t>
      </w:r>
      <w:r>
        <w:rPr>
          <w:color w:val="231F20"/>
          <w:w w:val="105"/>
        </w:rPr>
        <w:t>des- plazamientos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demanda</w:t>
      </w:r>
      <w:r>
        <w:rPr>
          <w:color w:val="231F20"/>
          <w:spacing w:val="-13"/>
          <w:w w:val="105"/>
        </w:rPr>
        <w:t> </w:t>
      </w:r>
      <w:r>
        <w:rPr>
          <w:color w:val="231F20"/>
          <w:w w:val="105"/>
        </w:rPr>
        <w:t>agregada</w:t>
      </w:r>
      <w:r>
        <w:rPr>
          <w:color w:val="231F20"/>
          <w:spacing w:val="-12"/>
          <w:w w:val="105"/>
        </w:rPr>
        <w:t> </w:t>
      </w:r>
      <w:r>
        <w:rPr>
          <w:color w:val="231F20"/>
          <w:w w:val="105"/>
        </w:rPr>
        <w:t>y</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ella,</w:t>
      </w:r>
      <w:r>
        <w:rPr>
          <w:color w:val="231F20"/>
          <w:spacing w:val="-18"/>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producto agregado</w:t>
      </w:r>
      <w:r>
        <w:rPr>
          <w:color w:val="231F20"/>
          <w:spacing w:val="-13"/>
          <w:w w:val="105"/>
        </w:rPr>
        <w:t> </w:t>
      </w:r>
      <w:r>
        <w:rPr>
          <w:color w:val="231F20"/>
          <w:w w:val="105"/>
        </w:rPr>
        <w:t>y</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niveles</w:t>
      </w:r>
      <w:r>
        <w:rPr>
          <w:color w:val="231F20"/>
          <w:spacing w:val="-13"/>
          <w:w w:val="105"/>
        </w:rPr>
        <w:t> </w:t>
      </w:r>
      <w:r>
        <w:rPr>
          <w:color w:val="231F20"/>
          <w:w w:val="105"/>
        </w:rPr>
        <w:t>de</w:t>
      </w:r>
      <w:r>
        <w:rPr>
          <w:color w:val="231F20"/>
          <w:spacing w:val="-13"/>
          <w:w w:val="105"/>
        </w:rPr>
        <w:t> </w:t>
      </w:r>
      <w:r>
        <w:rPr>
          <w:color w:val="231F20"/>
          <w:w w:val="105"/>
        </w:rPr>
        <w:t>desempleo.</w:t>
      </w:r>
    </w:p>
    <w:p>
      <w:pPr>
        <w:pStyle w:val="BodyText"/>
        <w:spacing w:line="259" w:lineRule="auto"/>
        <w:ind w:left="103" w:right="115" w:firstLine="567"/>
        <w:jc w:val="both"/>
      </w:pPr>
      <w:r>
        <w:rPr>
          <w:color w:val="231F20"/>
          <w:spacing w:val="-7"/>
          <w:w w:val="105"/>
        </w:rPr>
        <w:t>Por</w:t>
      </w:r>
      <w:r>
        <w:rPr>
          <w:color w:val="231F20"/>
          <w:spacing w:val="-32"/>
          <w:w w:val="105"/>
        </w:rPr>
        <w:t> </w:t>
      </w:r>
      <w:r>
        <w:rPr>
          <w:color w:val="231F20"/>
          <w:w w:val="105"/>
        </w:rPr>
        <w:t>ello,</w:t>
      </w:r>
      <w:r>
        <w:rPr>
          <w:color w:val="231F20"/>
          <w:spacing w:val="-36"/>
          <w:w w:val="105"/>
        </w:rPr>
        <w:t> </w:t>
      </w:r>
      <w:r>
        <w:rPr>
          <w:color w:val="231F20"/>
          <w:w w:val="105"/>
        </w:rPr>
        <w:t>la</w:t>
      </w:r>
      <w:r>
        <w:rPr>
          <w:color w:val="231F20"/>
          <w:spacing w:val="-32"/>
          <w:w w:val="105"/>
        </w:rPr>
        <w:t> </w:t>
      </w:r>
      <w:r>
        <w:rPr>
          <w:color w:val="231F20"/>
          <w:w w:val="105"/>
        </w:rPr>
        <w:t>inflexibilidad</w:t>
      </w:r>
      <w:r>
        <w:rPr>
          <w:color w:val="231F20"/>
          <w:spacing w:val="-32"/>
          <w:w w:val="105"/>
        </w:rPr>
        <w:t> </w:t>
      </w:r>
      <w:r>
        <w:rPr>
          <w:color w:val="231F20"/>
          <w:w w:val="105"/>
        </w:rPr>
        <w:t>de</w:t>
      </w:r>
      <w:r>
        <w:rPr>
          <w:color w:val="231F20"/>
          <w:spacing w:val="-32"/>
          <w:w w:val="105"/>
        </w:rPr>
        <w:t> </w:t>
      </w:r>
      <w:r>
        <w:rPr>
          <w:color w:val="231F20"/>
          <w:w w:val="105"/>
        </w:rPr>
        <w:t>salarios</w:t>
      </w:r>
      <w:r>
        <w:rPr>
          <w:color w:val="231F20"/>
          <w:spacing w:val="-32"/>
          <w:w w:val="105"/>
        </w:rPr>
        <w:t> </w:t>
      </w:r>
      <w:r>
        <w:rPr>
          <w:color w:val="231F20"/>
          <w:w w:val="105"/>
        </w:rPr>
        <w:t>no</w:t>
      </w:r>
      <w:r>
        <w:rPr>
          <w:color w:val="231F20"/>
          <w:spacing w:val="-32"/>
          <w:w w:val="105"/>
        </w:rPr>
        <w:t> </w:t>
      </w:r>
      <w:r>
        <w:rPr>
          <w:color w:val="231F20"/>
          <w:w w:val="105"/>
        </w:rPr>
        <w:t>es</w:t>
      </w:r>
      <w:r>
        <w:rPr>
          <w:color w:val="231F20"/>
          <w:spacing w:val="-32"/>
          <w:w w:val="105"/>
        </w:rPr>
        <w:t> </w:t>
      </w:r>
      <w:r>
        <w:rPr>
          <w:color w:val="231F20"/>
          <w:w w:val="105"/>
        </w:rPr>
        <w:t>el</w:t>
      </w:r>
      <w:r>
        <w:rPr>
          <w:color w:val="231F20"/>
          <w:spacing w:val="-32"/>
          <w:w w:val="105"/>
        </w:rPr>
        <w:t> </w:t>
      </w:r>
      <w:r>
        <w:rPr>
          <w:color w:val="231F20"/>
          <w:w w:val="105"/>
        </w:rPr>
        <w:t>único</w:t>
      </w:r>
      <w:r>
        <w:rPr>
          <w:color w:val="231F20"/>
          <w:spacing w:val="-32"/>
          <w:w w:val="105"/>
        </w:rPr>
        <w:t> </w:t>
      </w:r>
      <w:r>
        <w:rPr>
          <w:color w:val="231F20"/>
          <w:w w:val="105"/>
        </w:rPr>
        <w:t>factor</w:t>
      </w:r>
      <w:r>
        <w:rPr>
          <w:color w:val="231F20"/>
          <w:spacing w:val="-32"/>
          <w:w w:val="105"/>
        </w:rPr>
        <w:t> </w:t>
      </w:r>
      <w:r>
        <w:rPr>
          <w:color w:val="231F20"/>
          <w:w w:val="105"/>
        </w:rPr>
        <w:t>desencade- nante</w:t>
      </w:r>
      <w:r>
        <w:rPr>
          <w:color w:val="231F20"/>
          <w:spacing w:val="-12"/>
          <w:w w:val="105"/>
        </w:rPr>
        <w:t> </w:t>
      </w:r>
      <w:r>
        <w:rPr>
          <w:color w:val="231F20"/>
          <w:w w:val="105"/>
        </w:rPr>
        <w:t>del</w:t>
      </w:r>
      <w:r>
        <w:rPr>
          <w:color w:val="231F20"/>
          <w:spacing w:val="-12"/>
          <w:w w:val="105"/>
        </w:rPr>
        <w:t> </w:t>
      </w:r>
      <w:r>
        <w:rPr>
          <w:color w:val="231F20"/>
          <w:w w:val="105"/>
        </w:rPr>
        <w:t>desempleo,</w:t>
      </w:r>
      <w:r>
        <w:rPr>
          <w:color w:val="231F20"/>
          <w:spacing w:val="-17"/>
          <w:w w:val="105"/>
        </w:rPr>
        <w:t> </w:t>
      </w:r>
      <w:r>
        <w:rPr>
          <w:color w:val="231F20"/>
          <w:w w:val="105"/>
        </w:rPr>
        <w:t>pues</w:t>
      </w:r>
      <w:r>
        <w:rPr>
          <w:color w:val="231F20"/>
          <w:spacing w:val="-12"/>
          <w:w w:val="105"/>
        </w:rPr>
        <w:t> </w:t>
      </w:r>
      <w:r>
        <w:rPr>
          <w:color w:val="231F20"/>
          <w:w w:val="105"/>
        </w:rPr>
        <w:t>aun</w:t>
      </w:r>
      <w:r>
        <w:rPr>
          <w:color w:val="231F20"/>
          <w:spacing w:val="-12"/>
          <w:w w:val="105"/>
        </w:rPr>
        <w:t> </w:t>
      </w:r>
      <w:r>
        <w:rPr>
          <w:color w:val="231F20"/>
          <w:w w:val="105"/>
        </w:rPr>
        <w:t>cuando</w:t>
      </w:r>
      <w:r>
        <w:rPr>
          <w:color w:val="231F20"/>
          <w:spacing w:val="-12"/>
          <w:w w:val="105"/>
        </w:rPr>
        <w:t> </w:t>
      </w:r>
      <w:r>
        <w:rPr>
          <w:color w:val="231F20"/>
          <w:w w:val="105"/>
        </w:rPr>
        <w:t>exista</w:t>
      </w:r>
      <w:r>
        <w:rPr>
          <w:color w:val="231F20"/>
          <w:spacing w:val="-12"/>
          <w:w w:val="105"/>
        </w:rPr>
        <w:t> </w:t>
      </w:r>
      <w:r>
        <w:rPr>
          <w:color w:val="231F20"/>
          <w:w w:val="105"/>
        </w:rPr>
        <w:t>competencia</w:t>
      </w:r>
      <w:r>
        <w:rPr>
          <w:color w:val="231F20"/>
          <w:spacing w:val="-12"/>
          <w:w w:val="105"/>
        </w:rPr>
        <w:t> </w:t>
      </w:r>
      <w:r>
        <w:rPr>
          <w:color w:val="231F20"/>
          <w:w w:val="105"/>
        </w:rPr>
        <w:t>perfecta</w:t>
      </w:r>
      <w:r>
        <w:rPr>
          <w:color w:val="231F20"/>
          <w:spacing w:val="-12"/>
          <w:w w:val="105"/>
        </w:rPr>
        <w:t> </w:t>
      </w:r>
      <w:r>
        <w:rPr>
          <w:color w:val="231F20"/>
          <w:w w:val="105"/>
        </w:rPr>
        <w:t>en</w:t>
      </w:r>
    </w:p>
    <w:p>
      <w:pPr>
        <w:pStyle w:val="BodyText"/>
        <w:spacing w:before="8"/>
        <w:rPr>
          <w:sz w:val="17"/>
        </w:rPr>
      </w:pPr>
      <w:r>
        <w:rPr/>
        <w:pict>
          <v:line style="position:absolute;mso-position-horizontal-relative:page;mso-position-vertical-relative:paragraph;z-index:10216;mso-wrap-distance-left:0;mso-wrap-distance-right:0" from="65.1968pt,12.288467pt" to="178.5828pt,12.288467pt" stroked="true" strokeweight=".25pt" strokecolor="#231f20">
            <w10:wrap type="topAndBottom"/>
          </v:line>
        </w:pict>
      </w:r>
    </w:p>
    <w:p>
      <w:pPr>
        <w:spacing w:line="194" w:lineRule="exact" w:before="8"/>
        <w:ind w:left="103" w:right="17" w:firstLine="0"/>
        <w:jc w:val="left"/>
        <w:rPr>
          <w:rFonts w:ascii="Calibri" w:hAnsi="Calibri"/>
          <w:sz w:val="16"/>
        </w:rPr>
      </w:pPr>
      <w:r>
        <w:rPr>
          <w:rFonts w:ascii="Calibri" w:hAnsi="Calibri"/>
          <w:color w:val="414042"/>
          <w:position w:val="5"/>
          <w:sz w:val="9"/>
        </w:rPr>
        <w:t>1     </w:t>
      </w:r>
      <w:r>
        <w:rPr>
          <w:rFonts w:ascii="Calibri" w:hAnsi="Calibri"/>
          <w:color w:val="414042"/>
          <w:sz w:val="16"/>
        </w:rPr>
        <w:t>“Si bien los trabajadores suelen resistirse a una reducción de su salario nominal, no acostumbran  aban-</w:t>
      </w:r>
    </w:p>
    <w:p>
      <w:pPr>
        <w:spacing w:line="192" w:lineRule="exact" w:before="0"/>
        <w:ind w:left="103" w:right="17" w:firstLine="0"/>
        <w:jc w:val="left"/>
        <w:rPr>
          <w:rFonts w:ascii="Calibri" w:hAnsi="Calibri"/>
          <w:sz w:val="16"/>
        </w:rPr>
      </w:pPr>
      <w:r>
        <w:rPr>
          <w:rFonts w:ascii="Calibri" w:hAnsi="Calibri"/>
          <w:color w:val="414042"/>
          <w:w w:val="105"/>
          <w:sz w:val="16"/>
        </w:rPr>
        <w:t>donar el trabajo cuando suben los precios de las mercancías para asalariados” (Keynes, 2010: 42).</w:t>
      </w:r>
    </w:p>
    <w:p>
      <w:pPr>
        <w:spacing w:line="194" w:lineRule="exact" w:before="0"/>
        <w:ind w:left="103" w:right="17" w:firstLine="0"/>
        <w:jc w:val="left"/>
        <w:rPr>
          <w:rFonts w:ascii="Calibri" w:hAnsi="Calibri"/>
          <w:sz w:val="16"/>
        </w:rPr>
      </w:pPr>
      <w:r>
        <w:rPr>
          <w:rFonts w:ascii="Calibri" w:hAnsi="Calibri"/>
          <w:color w:val="414042"/>
          <w:position w:val="5"/>
          <w:sz w:val="9"/>
        </w:rPr>
        <w:t>2      </w:t>
      </w:r>
      <w:r>
        <w:rPr>
          <w:rFonts w:ascii="Calibri" w:hAnsi="Calibri"/>
          <w:color w:val="414042"/>
          <w:sz w:val="16"/>
        </w:rPr>
        <w:t>Expresión que se traduce como ‘fogosidad’ en la versión traducida al español (véase Keynes, 2010: 169).</w:t>
      </w:r>
    </w:p>
    <w:p>
      <w:pPr>
        <w:pStyle w:val="BodyText"/>
        <w:rPr>
          <w:rFonts w:ascii="Calibri"/>
          <w:sz w:val="20"/>
        </w:rPr>
      </w:pPr>
    </w:p>
    <w:p>
      <w:pPr>
        <w:pStyle w:val="BodyText"/>
        <w:spacing w:before="10"/>
        <w:rPr>
          <w:rFonts w:ascii="Calibri"/>
          <w:sz w:val="27"/>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688"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290</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664"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291</w:t>
      </w:r>
    </w:p>
    <w:p>
      <w:pPr>
        <w:pStyle w:val="BodyText"/>
        <w:rPr>
          <w:sz w:val="20"/>
        </w:rPr>
      </w:pPr>
    </w:p>
    <w:p>
      <w:pPr>
        <w:pStyle w:val="BodyText"/>
        <w:rPr>
          <w:sz w:val="20"/>
        </w:rPr>
      </w:pPr>
    </w:p>
    <w:p>
      <w:pPr>
        <w:pStyle w:val="BodyText"/>
        <w:spacing w:line="259" w:lineRule="auto" w:before="176"/>
        <w:ind w:left="117" w:right="116"/>
        <w:jc w:val="both"/>
      </w:pPr>
      <w:r>
        <w:rPr>
          <w:color w:val="231F20"/>
          <w:w w:val="105"/>
        </w:rPr>
        <w:t>los</w:t>
      </w:r>
      <w:r>
        <w:rPr>
          <w:color w:val="231F20"/>
          <w:spacing w:val="-13"/>
          <w:w w:val="105"/>
        </w:rPr>
        <w:t> </w:t>
      </w:r>
      <w:r>
        <w:rPr>
          <w:color w:val="231F20"/>
          <w:spacing w:val="-3"/>
          <w:w w:val="105"/>
        </w:rPr>
        <w:t>mercados</w:t>
      </w:r>
      <w:r>
        <w:rPr>
          <w:color w:val="231F20"/>
          <w:spacing w:val="-13"/>
          <w:w w:val="105"/>
        </w:rPr>
        <w:t> </w:t>
      </w:r>
      <w:r>
        <w:rPr>
          <w:color w:val="231F20"/>
          <w:w w:val="105"/>
        </w:rPr>
        <w:t>y</w:t>
      </w:r>
      <w:r>
        <w:rPr>
          <w:color w:val="231F20"/>
          <w:spacing w:val="-13"/>
          <w:w w:val="105"/>
        </w:rPr>
        <w:t> </w:t>
      </w:r>
      <w:r>
        <w:rPr>
          <w:color w:val="231F20"/>
          <w:w w:val="105"/>
        </w:rPr>
        <w:t>todos</w:t>
      </w:r>
      <w:r>
        <w:rPr>
          <w:color w:val="231F20"/>
          <w:spacing w:val="-13"/>
          <w:w w:val="105"/>
        </w:rPr>
        <w:t> </w:t>
      </w:r>
      <w:r>
        <w:rPr>
          <w:color w:val="231F20"/>
          <w:w w:val="105"/>
        </w:rPr>
        <w:t>los</w:t>
      </w:r>
      <w:r>
        <w:rPr>
          <w:color w:val="231F20"/>
          <w:spacing w:val="-13"/>
          <w:w w:val="105"/>
        </w:rPr>
        <w:t> </w:t>
      </w:r>
      <w:r>
        <w:rPr>
          <w:color w:val="231F20"/>
          <w:spacing w:val="-3"/>
          <w:w w:val="105"/>
        </w:rPr>
        <w:t>precios</w:t>
      </w:r>
      <w:r>
        <w:rPr>
          <w:color w:val="231F20"/>
          <w:spacing w:val="-13"/>
          <w:w w:val="105"/>
        </w:rPr>
        <w:t> </w:t>
      </w:r>
      <w:r>
        <w:rPr>
          <w:color w:val="231F20"/>
          <w:w w:val="105"/>
        </w:rPr>
        <w:t>se</w:t>
      </w:r>
      <w:r>
        <w:rPr>
          <w:color w:val="231F20"/>
          <w:spacing w:val="-13"/>
          <w:w w:val="105"/>
        </w:rPr>
        <w:t> </w:t>
      </w:r>
      <w:r>
        <w:rPr>
          <w:color w:val="231F20"/>
          <w:w w:val="105"/>
        </w:rPr>
        <w:t>ajustaran</w:t>
      </w:r>
      <w:r>
        <w:rPr>
          <w:color w:val="231F20"/>
          <w:spacing w:val="-13"/>
          <w:w w:val="105"/>
        </w:rPr>
        <w:t> </w:t>
      </w:r>
      <w:r>
        <w:rPr>
          <w:color w:val="231F20"/>
          <w:w w:val="105"/>
        </w:rPr>
        <w:t>instantáneamente,</w:t>
      </w:r>
      <w:r>
        <w:rPr>
          <w:color w:val="231F20"/>
          <w:spacing w:val="-18"/>
          <w:w w:val="105"/>
        </w:rPr>
        <w:t> </w:t>
      </w:r>
      <w:r>
        <w:rPr>
          <w:color w:val="231F20"/>
          <w:w w:val="105"/>
        </w:rPr>
        <w:t>las</w:t>
      </w:r>
      <w:r>
        <w:rPr>
          <w:color w:val="231F20"/>
          <w:spacing w:val="-13"/>
          <w:w w:val="105"/>
        </w:rPr>
        <w:t> </w:t>
      </w:r>
      <w:r>
        <w:rPr>
          <w:color w:val="231F20"/>
          <w:w w:val="105"/>
        </w:rPr>
        <w:t>de- cisiones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inversionistas</w:t>
      </w:r>
      <w:r>
        <w:rPr>
          <w:color w:val="231F20"/>
          <w:spacing w:val="-20"/>
          <w:w w:val="105"/>
        </w:rPr>
        <w:t> </w:t>
      </w:r>
      <w:r>
        <w:rPr>
          <w:color w:val="231F20"/>
          <w:w w:val="105"/>
        </w:rPr>
        <w:t>influirán</w:t>
      </w:r>
      <w:r>
        <w:rPr>
          <w:color w:val="231F20"/>
          <w:spacing w:val="-20"/>
          <w:w w:val="105"/>
        </w:rPr>
        <w:t> </w:t>
      </w:r>
      <w:r>
        <w:rPr>
          <w:color w:val="231F20"/>
          <w:spacing w:val="-3"/>
          <w:w w:val="105"/>
        </w:rPr>
        <w:t>sobre</w:t>
      </w:r>
      <w:r>
        <w:rPr>
          <w:color w:val="231F20"/>
          <w:spacing w:val="-20"/>
          <w:w w:val="105"/>
        </w:rPr>
        <w:t> </w:t>
      </w:r>
      <w:r>
        <w:rPr>
          <w:color w:val="231F20"/>
          <w:w w:val="105"/>
        </w:rPr>
        <w:t>la</w:t>
      </w:r>
      <w:r>
        <w:rPr>
          <w:color w:val="231F20"/>
          <w:spacing w:val="-20"/>
          <w:w w:val="105"/>
        </w:rPr>
        <w:t> </w:t>
      </w:r>
      <w:r>
        <w:rPr>
          <w:color w:val="231F20"/>
          <w:w w:val="105"/>
        </w:rPr>
        <w:t>demanda</w:t>
      </w:r>
      <w:r>
        <w:rPr>
          <w:color w:val="231F20"/>
          <w:spacing w:val="-20"/>
          <w:w w:val="105"/>
        </w:rPr>
        <w:t> </w:t>
      </w:r>
      <w:r>
        <w:rPr>
          <w:color w:val="231F20"/>
          <w:w w:val="105"/>
        </w:rPr>
        <w:t>efectiva</w:t>
      </w:r>
      <w:r>
        <w:rPr>
          <w:color w:val="231F20"/>
          <w:spacing w:val="-20"/>
          <w:w w:val="105"/>
        </w:rPr>
        <w:t> </w:t>
      </w:r>
      <w:r>
        <w:rPr>
          <w:color w:val="231F20"/>
          <w:w w:val="105"/>
        </w:rPr>
        <w:t>y</w:t>
      </w:r>
      <w:r>
        <w:rPr>
          <w:color w:val="231F20"/>
          <w:spacing w:val="-20"/>
          <w:w w:val="105"/>
        </w:rPr>
        <w:t> </w:t>
      </w:r>
      <w:r>
        <w:rPr>
          <w:color w:val="231F20"/>
          <w:spacing w:val="-3"/>
          <w:w w:val="105"/>
        </w:rPr>
        <w:t>sobre </w:t>
      </w:r>
      <w:r>
        <w:rPr>
          <w:color w:val="231F20"/>
          <w:w w:val="105"/>
        </w:rPr>
        <w:t>el</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8"/>
          <w:w w:val="105"/>
        </w:rPr>
        <w:t> </w:t>
      </w:r>
      <w:r>
        <w:rPr>
          <w:color w:val="231F20"/>
          <w:w w:val="105"/>
        </w:rPr>
        <w:t>empleo.</w:t>
      </w:r>
      <w:r>
        <w:rPr>
          <w:color w:val="231F20"/>
          <w:spacing w:val="-13"/>
          <w:w w:val="105"/>
        </w:rPr>
        <w:t> </w:t>
      </w:r>
      <w:r>
        <w:rPr>
          <w:color w:val="231F20"/>
          <w:w w:val="105"/>
        </w:rPr>
        <w:t>Esto</w:t>
      </w:r>
      <w:r>
        <w:rPr>
          <w:color w:val="231F20"/>
          <w:spacing w:val="-8"/>
          <w:w w:val="105"/>
        </w:rPr>
        <w:t> </w:t>
      </w:r>
      <w:r>
        <w:rPr>
          <w:color w:val="231F20"/>
          <w:w w:val="105"/>
        </w:rPr>
        <w:t>se</w:t>
      </w:r>
      <w:r>
        <w:rPr>
          <w:color w:val="231F20"/>
          <w:spacing w:val="-8"/>
          <w:w w:val="105"/>
        </w:rPr>
        <w:t> </w:t>
      </w:r>
      <w:r>
        <w:rPr>
          <w:color w:val="231F20"/>
          <w:w w:val="105"/>
        </w:rPr>
        <w:t>explica</w:t>
      </w:r>
      <w:r>
        <w:rPr>
          <w:color w:val="231F20"/>
          <w:spacing w:val="-8"/>
          <w:w w:val="105"/>
        </w:rPr>
        <w:t> </w:t>
      </w:r>
      <w:r>
        <w:rPr>
          <w:color w:val="231F20"/>
          <w:spacing w:val="-3"/>
          <w:w w:val="105"/>
        </w:rPr>
        <w:t>porque</w:t>
      </w:r>
      <w:r>
        <w:rPr>
          <w:color w:val="231F20"/>
          <w:spacing w:val="-8"/>
          <w:w w:val="105"/>
        </w:rPr>
        <w:t> </w:t>
      </w:r>
      <w:r>
        <w:rPr>
          <w:color w:val="231F20"/>
          <w:w w:val="105"/>
        </w:rPr>
        <w:t>aun</w:t>
      </w:r>
      <w:r>
        <w:rPr>
          <w:color w:val="231F20"/>
          <w:spacing w:val="-8"/>
          <w:w w:val="105"/>
        </w:rPr>
        <w:t> </w:t>
      </w:r>
      <w:r>
        <w:rPr>
          <w:color w:val="231F20"/>
          <w:w w:val="105"/>
        </w:rPr>
        <w:t>cuando</w:t>
      </w:r>
      <w:r>
        <w:rPr>
          <w:color w:val="231F20"/>
          <w:spacing w:val="-8"/>
          <w:w w:val="105"/>
        </w:rPr>
        <w:t> </w:t>
      </w:r>
      <w:r>
        <w:rPr>
          <w:color w:val="231F20"/>
          <w:w w:val="105"/>
        </w:rPr>
        <w:t>los</w:t>
      </w:r>
      <w:r>
        <w:rPr>
          <w:color w:val="231F20"/>
          <w:spacing w:val="-8"/>
          <w:w w:val="105"/>
        </w:rPr>
        <w:t> </w:t>
      </w:r>
      <w:r>
        <w:rPr>
          <w:color w:val="231F20"/>
          <w:w w:val="105"/>
        </w:rPr>
        <w:t>movimientos de</w:t>
      </w:r>
      <w:r>
        <w:rPr>
          <w:color w:val="231F20"/>
          <w:spacing w:val="-23"/>
          <w:w w:val="105"/>
        </w:rPr>
        <w:t> </w:t>
      </w:r>
      <w:r>
        <w:rPr>
          <w:color w:val="231F20"/>
          <w:w w:val="105"/>
        </w:rPr>
        <w:t>la</w:t>
      </w:r>
      <w:r>
        <w:rPr>
          <w:color w:val="231F20"/>
          <w:spacing w:val="-23"/>
          <w:w w:val="105"/>
        </w:rPr>
        <w:t> </w:t>
      </w:r>
      <w:r>
        <w:rPr>
          <w:color w:val="231F20"/>
          <w:w w:val="105"/>
        </w:rPr>
        <w:t>tasa</w:t>
      </w:r>
      <w:r>
        <w:rPr>
          <w:color w:val="231F20"/>
          <w:spacing w:val="-23"/>
          <w:w w:val="105"/>
        </w:rPr>
        <w:t> </w:t>
      </w:r>
      <w:r>
        <w:rPr>
          <w:color w:val="231F20"/>
          <w:w w:val="105"/>
        </w:rPr>
        <w:t>de</w:t>
      </w:r>
      <w:r>
        <w:rPr>
          <w:color w:val="231F20"/>
          <w:spacing w:val="-23"/>
          <w:w w:val="105"/>
        </w:rPr>
        <w:t> </w:t>
      </w:r>
      <w:r>
        <w:rPr>
          <w:color w:val="231F20"/>
          <w:spacing w:val="-3"/>
          <w:w w:val="105"/>
        </w:rPr>
        <w:t>interés</w:t>
      </w:r>
      <w:r>
        <w:rPr>
          <w:color w:val="231F20"/>
          <w:spacing w:val="-23"/>
          <w:w w:val="105"/>
        </w:rPr>
        <w:t> </w:t>
      </w:r>
      <w:r>
        <w:rPr>
          <w:color w:val="231F20"/>
          <w:w w:val="105"/>
        </w:rPr>
        <w:t>señalen</w:t>
      </w:r>
      <w:r>
        <w:rPr>
          <w:color w:val="231F20"/>
          <w:spacing w:val="-23"/>
          <w:w w:val="105"/>
        </w:rPr>
        <w:t> </w:t>
      </w:r>
      <w:r>
        <w:rPr>
          <w:color w:val="231F20"/>
          <w:w w:val="105"/>
        </w:rPr>
        <w:t>la</w:t>
      </w:r>
      <w:r>
        <w:rPr>
          <w:color w:val="231F20"/>
          <w:spacing w:val="-23"/>
          <w:w w:val="105"/>
        </w:rPr>
        <w:t> </w:t>
      </w:r>
      <w:r>
        <w:rPr>
          <w:color w:val="231F20"/>
          <w:spacing w:val="-3"/>
          <w:w w:val="105"/>
        </w:rPr>
        <w:t>dirección</w:t>
      </w:r>
      <w:r>
        <w:rPr>
          <w:color w:val="231F20"/>
          <w:spacing w:val="-23"/>
          <w:w w:val="105"/>
        </w:rPr>
        <w:t> </w:t>
      </w:r>
      <w:r>
        <w:rPr>
          <w:color w:val="231F20"/>
          <w:spacing w:val="-3"/>
          <w:w w:val="105"/>
        </w:rPr>
        <w:t>correcta,</w:t>
      </w:r>
      <w:r>
        <w:rPr>
          <w:color w:val="231F20"/>
          <w:spacing w:val="-28"/>
          <w:w w:val="105"/>
        </w:rPr>
        <w:t> </w:t>
      </w:r>
      <w:r>
        <w:rPr>
          <w:color w:val="231F20"/>
          <w:w w:val="105"/>
        </w:rPr>
        <w:t>su</w:t>
      </w:r>
      <w:r>
        <w:rPr>
          <w:color w:val="231F20"/>
          <w:spacing w:val="-23"/>
          <w:w w:val="105"/>
        </w:rPr>
        <w:t> </w:t>
      </w:r>
      <w:r>
        <w:rPr>
          <w:color w:val="231F20"/>
          <w:w w:val="105"/>
        </w:rPr>
        <w:t>influencia</w:t>
      </w:r>
      <w:r>
        <w:rPr>
          <w:color w:val="231F20"/>
          <w:spacing w:val="-23"/>
          <w:w w:val="105"/>
        </w:rPr>
        <w:t> </w:t>
      </w:r>
      <w:r>
        <w:rPr>
          <w:color w:val="231F20"/>
          <w:w w:val="105"/>
        </w:rPr>
        <w:t>será</w:t>
      </w:r>
      <w:r>
        <w:rPr>
          <w:color w:val="231F20"/>
          <w:spacing w:val="-23"/>
          <w:w w:val="105"/>
        </w:rPr>
        <w:t> </w:t>
      </w:r>
      <w:r>
        <w:rPr>
          <w:color w:val="231F20"/>
          <w:w w:val="105"/>
        </w:rPr>
        <w:t>poca para</w:t>
      </w:r>
      <w:r>
        <w:rPr>
          <w:color w:val="231F20"/>
          <w:spacing w:val="-33"/>
          <w:w w:val="105"/>
        </w:rPr>
        <w:t> </w:t>
      </w:r>
      <w:r>
        <w:rPr>
          <w:color w:val="231F20"/>
          <w:spacing w:val="-3"/>
          <w:w w:val="105"/>
        </w:rPr>
        <w:t>regular</w:t>
      </w:r>
      <w:r>
        <w:rPr>
          <w:color w:val="231F20"/>
          <w:spacing w:val="-33"/>
          <w:w w:val="105"/>
        </w:rPr>
        <w:t> </w:t>
      </w:r>
      <w:r>
        <w:rPr>
          <w:color w:val="231F20"/>
          <w:w w:val="105"/>
        </w:rPr>
        <w:t>convenientemente</w:t>
      </w:r>
      <w:r>
        <w:rPr>
          <w:color w:val="231F20"/>
          <w:spacing w:val="-33"/>
          <w:w w:val="105"/>
        </w:rPr>
        <w:t> </w:t>
      </w:r>
      <w:r>
        <w:rPr>
          <w:color w:val="231F20"/>
          <w:w w:val="105"/>
        </w:rPr>
        <w:t>el</w:t>
      </w:r>
      <w:r>
        <w:rPr>
          <w:color w:val="231F20"/>
          <w:spacing w:val="-33"/>
          <w:w w:val="105"/>
        </w:rPr>
        <w:t> </w:t>
      </w:r>
      <w:r>
        <w:rPr>
          <w:color w:val="231F20"/>
          <w:w w:val="105"/>
        </w:rPr>
        <w:t>nivel</w:t>
      </w:r>
      <w:r>
        <w:rPr>
          <w:color w:val="231F20"/>
          <w:spacing w:val="-33"/>
          <w:w w:val="105"/>
        </w:rPr>
        <w:t> </w:t>
      </w:r>
      <w:r>
        <w:rPr>
          <w:color w:val="231F20"/>
          <w:w w:val="105"/>
        </w:rPr>
        <w:t>de</w:t>
      </w:r>
      <w:r>
        <w:rPr>
          <w:color w:val="231F20"/>
          <w:spacing w:val="-33"/>
          <w:w w:val="105"/>
        </w:rPr>
        <w:t> </w:t>
      </w:r>
      <w:r>
        <w:rPr>
          <w:color w:val="231F20"/>
          <w:w w:val="105"/>
        </w:rPr>
        <w:t>las</w:t>
      </w:r>
      <w:r>
        <w:rPr>
          <w:color w:val="231F20"/>
          <w:spacing w:val="-33"/>
          <w:w w:val="105"/>
        </w:rPr>
        <w:t> </w:t>
      </w:r>
      <w:r>
        <w:rPr>
          <w:color w:val="231F20"/>
          <w:w w:val="105"/>
        </w:rPr>
        <w:t>inversiones</w:t>
      </w:r>
      <w:r>
        <w:rPr>
          <w:color w:val="231F20"/>
          <w:spacing w:val="-33"/>
          <w:w w:val="105"/>
        </w:rPr>
        <w:t> </w:t>
      </w:r>
      <w:r>
        <w:rPr>
          <w:color w:val="231F20"/>
          <w:spacing w:val="-3"/>
          <w:w w:val="105"/>
        </w:rPr>
        <w:t>(Keynes,</w:t>
      </w:r>
      <w:r>
        <w:rPr>
          <w:color w:val="231F20"/>
          <w:spacing w:val="-36"/>
          <w:w w:val="105"/>
        </w:rPr>
        <w:t> </w:t>
      </w:r>
      <w:r>
        <w:rPr>
          <w:color w:val="231F20"/>
          <w:spacing w:val="-2"/>
          <w:w w:val="105"/>
        </w:rPr>
        <w:t>2010). </w:t>
      </w:r>
      <w:r>
        <w:rPr>
          <w:color w:val="231F20"/>
          <w:w w:val="105"/>
        </w:rPr>
        <w:t>Al</w:t>
      </w:r>
      <w:r>
        <w:rPr>
          <w:color w:val="231F20"/>
          <w:spacing w:val="-18"/>
          <w:w w:val="105"/>
        </w:rPr>
        <w:t> </w:t>
      </w:r>
      <w:r>
        <w:rPr>
          <w:color w:val="231F20"/>
          <w:spacing w:val="-3"/>
          <w:w w:val="105"/>
        </w:rPr>
        <w:t>respecto,</w:t>
      </w:r>
      <w:r>
        <w:rPr>
          <w:color w:val="231F20"/>
          <w:spacing w:val="-25"/>
          <w:w w:val="105"/>
        </w:rPr>
        <w:t> </w:t>
      </w:r>
      <w:r>
        <w:rPr>
          <w:color w:val="231F20"/>
          <w:w w:val="105"/>
        </w:rPr>
        <w:t>Joan</w:t>
      </w:r>
      <w:r>
        <w:rPr>
          <w:color w:val="231F20"/>
          <w:spacing w:val="-18"/>
          <w:w w:val="105"/>
        </w:rPr>
        <w:t> </w:t>
      </w:r>
      <w:r>
        <w:rPr>
          <w:color w:val="231F20"/>
          <w:w w:val="105"/>
        </w:rPr>
        <w:t>Robinson</w:t>
      </w:r>
      <w:r>
        <w:rPr>
          <w:color w:val="231F20"/>
          <w:spacing w:val="-18"/>
          <w:w w:val="105"/>
        </w:rPr>
        <w:t> </w:t>
      </w:r>
      <w:r>
        <w:rPr>
          <w:color w:val="231F20"/>
          <w:w w:val="105"/>
        </w:rPr>
        <w:t>(1968:</w:t>
      </w:r>
      <w:r>
        <w:rPr>
          <w:color w:val="231F20"/>
          <w:spacing w:val="-18"/>
          <w:w w:val="105"/>
        </w:rPr>
        <w:t> </w:t>
      </w:r>
      <w:r>
        <w:rPr>
          <w:color w:val="231F20"/>
          <w:w w:val="105"/>
        </w:rPr>
        <w:t>92,</w:t>
      </w:r>
      <w:r>
        <w:rPr>
          <w:color w:val="231F20"/>
          <w:spacing w:val="-22"/>
          <w:w w:val="105"/>
        </w:rPr>
        <w:t> </w:t>
      </w:r>
      <w:r>
        <w:rPr>
          <w:color w:val="231F20"/>
          <w:w w:val="105"/>
        </w:rPr>
        <w:t>94)</w:t>
      </w:r>
      <w:r>
        <w:rPr>
          <w:color w:val="231F20"/>
          <w:spacing w:val="-18"/>
          <w:w w:val="105"/>
        </w:rPr>
        <w:t> </w:t>
      </w:r>
      <w:r>
        <w:rPr>
          <w:color w:val="231F20"/>
          <w:w w:val="105"/>
        </w:rPr>
        <w:t>apoya</w:t>
      </w:r>
      <w:r>
        <w:rPr>
          <w:color w:val="231F20"/>
          <w:spacing w:val="-18"/>
          <w:w w:val="105"/>
        </w:rPr>
        <w:t> </w:t>
      </w:r>
      <w:r>
        <w:rPr>
          <w:color w:val="231F20"/>
          <w:w w:val="105"/>
        </w:rPr>
        <w:t>estos</w:t>
      </w:r>
      <w:r>
        <w:rPr>
          <w:color w:val="231F20"/>
          <w:spacing w:val="-18"/>
          <w:w w:val="105"/>
        </w:rPr>
        <w:t> </w:t>
      </w:r>
      <w:r>
        <w:rPr>
          <w:color w:val="231F20"/>
          <w:spacing w:val="-3"/>
          <w:w w:val="105"/>
        </w:rPr>
        <w:t>argumentos</w:t>
      </w:r>
      <w:r>
        <w:rPr>
          <w:color w:val="231F20"/>
          <w:spacing w:val="-18"/>
          <w:w w:val="105"/>
        </w:rPr>
        <w:t> </w:t>
      </w:r>
      <w:r>
        <w:rPr>
          <w:color w:val="231F20"/>
          <w:w w:val="105"/>
        </w:rPr>
        <w:t>y</w:t>
      </w:r>
      <w:r>
        <w:rPr>
          <w:color w:val="231F20"/>
          <w:spacing w:val="-18"/>
          <w:w w:val="105"/>
        </w:rPr>
        <w:t> </w:t>
      </w:r>
      <w:r>
        <w:rPr>
          <w:color w:val="231F20"/>
          <w:w w:val="105"/>
        </w:rPr>
        <w:t>co- menta</w:t>
      </w:r>
      <w:r>
        <w:rPr>
          <w:color w:val="231F20"/>
          <w:spacing w:val="-20"/>
          <w:w w:val="105"/>
        </w:rPr>
        <w:t> </w:t>
      </w:r>
      <w:r>
        <w:rPr>
          <w:color w:val="231F20"/>
          <w:w w:val="105"/>
        </w:rPr>
        <w:t>que</w:t>
      </w:r>
      <w:r>
        <w:rPr>
          <w:color w:val="231F20"/>
          <w:spacing w:val="-20"/>
          <w:w w:val="105"/>
        </w:rPr>
        <w:t> </w:t>
      </w:r>
      <w:r>
        <w:rPr>
          <w:color w:val="231F20"/>
          <w:w w:val="105"/>
        </w:rPr>
        <w:t>en</w:t>
      </w:r>
      <w:r>
        <w:rPr>
          <w:color w:val="231F20"/>
          <w:spacing w:val="-20"/>
          <w:w w:val="105"/>
        </w:rPr>
        <w:t> </w:t>
      </w:r>
      <w:r>
        <w:rPr>
          <w:color w:val="231F20"/>
          <w:w w:val="105"/>
        </w:rPr>
        <w:t>general,</w:t>
      </w:r>
      <w:r>
        <w:rPr>
          <w:color w:val="231F20"/>
          <w:spacing w:val="-26"/>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spacing w:val="-3"/>
          <w:w w:val="105"/>
        </w:rPr>
        <w:t>acuerdo</w:t>
      </w:r>
      <w:r>
        <w:rPr>
          <w:color w:val="231F20"/>
          <w:spacing w:val="-20"/>
          <w:w w:val="105"/>
        </w:rPr>
        <w:t> </w:t>
      </w:r>
      <w:r>
        <w:rPr>
          <w:color w:val="231F20"/>
          <w:w w:val="105"/>
        </w:rPr>
        <w:t>con</w:t>
      </w:r>
      <w:r>
        <w:rPr>
          <w:color w:val="231F20"/>
          <w:spacing w:val="-20"/>
          <w:w w:val="105"/>
        </w:rPr>
        <w:t> </w:t>
      </w:r>
      <w:r>
        <w:rPr>
          <w:color w:val="231F20"/>
          <w:spacing w:val="-3"/>
          <w:w w:val="105"/>
        </w:rPr>
        <w:t>Keynes,</w:t>
      </w:r>
      <w:r>
        <w:rPr>
          <w:color w:val="231F20"/>
          <w:spacing w:val="-26"/>
          <w:w w:val="105"/>
        </w:rPr>
        <w:t> </w:t>
      </w:r>
      <w:r>
        <w:rPr>
          <w:color w:val="231F20"/>
          <w:w w:val="105"/>
        </w:rPr>
        <w:t>la</w:t>
      </w:r>
      <w:r>
        <w:rPr>
          <w:color w:val="231F20"/>
          <w:spacing w:val="-20"/>
          <w:w w:val="105"/>
        </w:rPr>
        <w:t> </w:t>
      </w:r>
      <w:r>
        <w:rPr>
          <w:color w:val="231F20"/>
          <w:w w:val="105"/>
        </w:rPr>
        <w:t>tasa</w:t>
      </w:r>
      <w:r>
        <w:rPr>
          <w:color w:val="231F20"/>
          <w:spacing w:val="-20"/>
          <w:w w:val="105"/>
        </w:rPr>
        <w:t> </w:t>
      </w:r>
      <w:r>
        <w:rPr>
          <w:color w:val="231F20"/>
          <w:w w:val="105"/>
        </w:rPr>
        <w:t>de</w:t>
      </w:r>
      <w:r>
        <w:rPr>
          <w:color w:val="231F20"/>
          <w:spacing w:val="-20"/>
          <w:w w:val="105"/>
        </w:rPr>
        <w:t> </w:t>
      </w:r>
      <w:r>
        <w:rPr>
          <w:color w:val="231F20"/>
          <w:spacing w:val="-3"/>
          <w:w w:val="105"/>
        </w:rPr>
        <w:t>interés</w:t>
      </w:r>
      <w:r>
        <w:rPr>
          <w:color w:val="231F20"/>
          <w:spacing w:val="-20"/>
          <w:w w:val="105"/>
        </w:rPr>
        <w:t> </w:t>
      </w:r>
      <w:r>
        <w:rPr>
          <w:color w:val="231F20"/>
          <w:spacing w:val="-2"/>
          <w:w w:val="105"/>
        </w:rPr>
        <w:t>tiende </w:t>
      </w:r>
      <w:r>
        <w:rPr>
          <w:color w:val="231F20"/>
          <w:w w:val="105"/>
        </w:rPr>
        <w:t>a</w:t>
      </w:r>
      <w:r>
        <w:rPr>
          <w:color w:val="231F20"/>
          <w:spacing w:val="-13"/>
          <w:w w:val="105"/>
        </w:rPr>
        <w:t> </w:t>
      </w:r>
      <w:r>
        <w:rPr>
          <w:color w:val="231F20"/>
          <w:w w:val="105"/>
        </w:rPr>
        <w:t>decaer</w:t>
      </w:r>
      <w:r>
        <w:rPr>
          <w:color w:val="231F20"/>
          <w:spacing w:val="-13"/>
          <w:w w:val="105"/>
        </w:rPr>
        <w:t> </w:t>
      </w:r>
      <w:r>
        <w:rPr>
          <w:color w:val="231F20"/>
          <w:w w:val="105"/>
        </w:rPr>
        <w:t>cuando</w:t>
      </w:r>
      <w:r>
        <w:rPr>
          <w:color w:val="231F20"/>
          <w:spacing w:val="-13"/>
          <w:w w:val="105"/>
        </w:rPr>
        <w:t> </w:t>
      </w:r>
      <w:r>
        <w:rPr>
          <w:color w:val="231F20"/>
          <w:w w:val="105"/>
        </w:rPr>
        <w:t>la</w:t>
      </w:r>
      <w:r>
        <w:rPr>
          <w:color w:val="231F20"/>
          <w:spacing w:val="-13"/>
          <w:w w:val="105"/>
        </w:rPr>
        <w:t> </w:t>
      </w:r>
      <w:r>
        <w:rPr>
          <w:color w:val="231F20"/>
          <w:w w:val="105"/>
        </w:rPr>
        <w:t>actividad</w:t>
      </w:r>
      <w:r>
        <w:rPr>
          <w:color w:val="231F20"/>
          <w:spacing w:val="-13"/>
          <w:w w:val="105"/>
        </w:rPr>
        <w:t> </w:t>
      </w:r>
      <w:r>
        <w:rPr>
          <w:color w:val="231F20"/>
          <w:w w:val="105"/>
        </w:rPr>
        <w:t>es</w:t>
      </w:r>
      <w:r>
        <w:rPr>
          <w:color w:val="231F20"/>
          <w:spacing w:val="-13"/>
          <w:w w:val="105"/>
        </w:rPr>
        <w:t> </w:t>
      </w:r>
      <w:r>
        <w:rPr>
          <w:color w:val="231F20"/>
          <w:w w:val="105"/>
        </w:rPr>
        <w:t>baja,</w:t>
      </w:r>
      <w:r>
        <w:rPr>
          <w:color w:val="231F20"/>
          <w:spacing w:val="-18"/>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demanda</w:t>
      </w:r>
      <w:r>
        <w:rPr>
          <w:color w:val="231F20"/>
          <w:spacing w:val="-13"/>
          <w:w w:val="105"/>
        </w:rPr>
        <w:t> </w:t>
      </w:r>
      <w:r>
        <w:rPr>
          <w:color w:val="231F20"/>
          <w:w w:val="105"/>
        </w:rPr>
        <w:t>de</w:t>
      </w:r>
      <w:r>
        <w:rPr>
          <w:color w:val="231F20"/>
          <w:spacing w:val="-13"/>
          <w:w w:val="105"/>
        </w:rPr>
        <w:t> </w:t>
      </w:r>
      <w:r>
        <w:rPr>
          <w:color w:val="231F20"/>
          <w:spacing w:val="-3"/>
          <w:w w:val="105"/>
        </w:rPr>
        <w:t>dinero</w:t>
      </w:r>
      <w:r>
        <w:rPr>
          <w:color w:val="231F20"/>
          <w:spacing w:val="-13"/>
          <w:w w:val="105"/>
        </w:rPr>
        <w:t> </w:t>
      </w:r>
      <w:r>
        <w:rPr>
          <w:color w:val="231F20"/>
          <w:w w:val="105"/>
        </w:rPr>
        <w:t>en</w:t>
      </w:r>
      <w:r>
        <w:rPr>
          <w:color w:val="231F20"/>
          <w:spacing w:val="-13"/>
          <w:w w:val="105"/>
        </w:rPr>
        <w:t> </w:t>
      </w:r>
      <w:r>
        <w:rPr>
          <w:color w:val="231F20"/>
          <w:spacing w:val="-3"/>
          <w:w w:val="105"/>
        </w:rPr>
        <w:t>circula- </w:t>
      </w:r>
      <w:r>
        <w:rPr>
          <w:color w:val="231F20"/>
          <w:w w:val="105"/>
        </w:rPr>
        <w:t>ción</w:t>
      </w:r>
      <w:r>
        <w:rPr>
          <w:color w:val="231F20"/>
          <w:spacing w:val="-31"/>
          <w:w w:val="105"/>
        </w:rPr>
        <w:t> </w:t>
      </w:r>
      <w:r>
        <w:rPr>
          <w:color w:val="231F20"/>
          <w:w w:val="105"/>
        </w:rPr>
        <w:t>se</w:t>
      </w:r>
      <w:r>
        <w:rPr>
          <w:color w:val="231F20"/>
          <w:spacing w:val="-31"/>
          <w:w w:val="105"/>
        </w:rPr>
        <w:t> </w:t>
      </w:r>
      <w:r>
        <w:rPr>
          <w:color w:val="231F20"/>
          <w:spacing w:val="-3"/>
          <w:w w:val="105"/>
        </w:rPr>
        <w:t>reduce.</w:t>
      </w:r>
      <w:r>
        <w:rPr>
          <w:color w:val="231F20"/>
          <w:spacing w:val="-36"/>
          <w:w w:val="105"/>
        </w:rPr>
        <w:t> </w:t>
      </w:r>
      <w:r>
        <w:rPr>
          <w:color w:val="231F20"/>
          <w:w w:val="105"/>
        </w:rPr>
        <w:t>En</w:t>
      </w:r>
      <w:r>
        <w:rPr>
          <w:color w:val="231F20"/>
          <w:spacing w:val="-31"/>
          <w:w w:val="105"/>
        </w:rPr>
        <w:t> </w:t>
      </w:r>
      <w:r>
        <w:rPr>
          <w:color w:val="231F20"/>
          <w:w w:val="105"/>
        </w:rPr>
        <w:t>esa</w:t>
      </w:r>
      <w:r>
        <w:rPr>
          <w:color w:val="231F20"/>
          <w:spacing w:val="-31"/>
          <w:w w:val="105"/>
        </w:rPr>
        <w:t> </w:t>
      </w:r>
      <w:r>
        <w:rPr>
          <w:color w:val="231F20"/>
          <w:w w:val="105"/>
        </w:rPr>
        <w:t>forma</w:t>
      </w:r>
      <w:r>
        <w:rPr>
          <w:color w:val="231F20"/>
          <w:spacing w:val="-31"/>
          <w:w w:val="105"/>
        </w:rPr>
        <w:t> </w:t>
      </w:r>
      <w:r>
        <w:rPr>
          <w:color w:val="231F20"/>
          <w:w w:val="105"/>
        </w:rPr>
        <w:t>tiende</w:t>
      </w:r>
      <w:r>
        <w:rPr>
          <w:color w:val="231F20"/>
          <w:spacing w:val="-31"/>
          <w:w w:val="105"/>
        </w:rPr>
        <w:t> </w:t>
      </w:r>
      <w:r>
        <w:rPr>
          <w:color w:val="231F20"/>
          <w:w w:val="105"/>
        </w:rPr>
        <w:t>a</w:t>
      </w:r>
      <w:r>
        <w:rPr>
          <w:color w:val="231F20"/>
          <w:spacing w:val="-31"/>
          <w:w w:val="105"/>
        </w:rPr>
        <w:t> </w:t>
      </w:r>
      <w:r>
        <w:rPr>
          <w:color w:val="231F20"/>
          <w:spacing w:val="-3"/>
          <w:w w:val="105"/>
        </w:rPr>
        <w:t>reducir</w:t>
      </w:r>
      <w:r>
        <w:rPr>
          <w:color w:val="231F20"/>
          <w:spacing w:val="-31"/>
          <w:w w:val="105"/>
        </w:rPr>
        <w:t> </w:t>
      </w:r>
      <w:r>
        <w:rPr>
          <w:color w:val="231F20"/>
          <w:w w:val="105"/>
        </w:rPr>
        <w:t>el</w:t>
      </w:r>
      <w:r>
        <w:rPr>
          <w:color w:val="231F20"/>
          <w:spacing w:val="-31"/>
          <w:w w:val="105"/>
        </w:rPr>
        <w:t> </w:t>
      </w:r>
      <w:r>
        <w:rPr>
          <w:color w:val="231F20"/>
          <w:w w:val="105"/>
        </w:rPr>
        <w:t>incentivo</w:t>
      </w:r>
      <w:r>
        <w:rPr>
          <w:color w:val="231F20"/>
          <w:spacing w:val="-31"/>
          <w:w w:val="105"/>
        </w:rPr>
        <w:t> </w:t>
      </w:r>
      <w:r>
        <w:rPr>
          <w:color w:val="231F20"/>
          <w:w w:val="105"/>
        </w:rPr>
        <w:t>para</w:t>
      </w:r>
      <w:r>
        <w:rPr>
          <w:color w:val="231F20"/>
          <w:spacing w:val="-31"/>
          <w:w w:val="105"/>
        </w:rPr>
        <w:t> </w:t>
      </w:r>
      <w:r>
        <w:rPr>
          <w:color w:val="231F20"/>
          <w:w w:val="105"/>
        </w:rPr>
        <w:t>ahorrar</w:t>
      </w:r>
      <w:r>
        <w:rPr>
          <w:color w:val="231F20"/>
          <w:spacing w:val="-31"/>
          <w:w w:val="105"/>
        </w:rPr>
        <w:t> </w:t>
      </w:r>
      <w:r>
        <w:rPr>
          <w:color w:val="231F20"/>
          <w:w w:val="105"/>
        </w:rPr>
        <w:t>y</w:t>
      </w:r>
      <w:r>
        <w:rPr>
          <w:color w:val="231F20"/>
          <w:spacing w:val="-31"/>
          <w:w w:val="105"/>
        </w:rPr>
        <w:t> </w:t>
      </w:r>
      <w:r>
        <w:rPr>
          <w:color w:val="231F20"/>
          <w:w w:val="105"/>
        </w:rPr>
        <w:t>vi- goriza</w:t>
      </w:r>
      <w:r>
        <w:rPr>
          <w:color w:val="231F20"/>
          <w:spacing w:val="-23"/>
          <w:w w:val="105"/>
        </w:rPr>
        <w:t> </w:t>
      </w:r>
      <w:r>
        <w:rPr>
          <w:color w:val="231F20"/>
          <w:w w:val="105"/>
        </w:rPr>
        <w:t>el</w:t>
      </w:r>
      <w:r>
        <w:rPr>
          <w:color w:val="231F20"/>
          <w:spacing w:val="-23"/>
          <w:w w:val="105"/>
        </w:rPr>
        <w:t> </w:t>
      </w:r>
      <w:r>
        <w:rPr>
          <w:color w:val="231F20"/>
          <w:w w:val="105"/>
        </w:rPr>
        <w:t>estímulo</w:t>
      </w:r>
      <w:r>
        <w:rPr>
          <w:color w:val="231F20"/>
          <w:spacing w:val="-23"/>
          <w:w w:val="105"/>
        </w:rPr>
        <w:t> </w:t>
      </w:r>
      <w:r>
        <w:rPr>
          <w:color w:val="231F20"/>
          <w:w w:val="105"/>
        </w:rPr>
        <w:t>para</w:t>
      </w:r>
      <w:r>
        <w:rPr>
          <w:color w:val="231F20"/>
          <w:spacing w:val="-23"/>
          <w:w w:val="105"/>
        </w:rPr>
        <w:t> </w:t>
      </w:r>
      <w:r>
        <w:rPr>
          <w:color w:val="231F20"/>
          <w:w w:val="105"/>
        </w:rPr>
        <w:t>invertir</w:t>
      </w:r>
      <w:r>
        <w:rPr>
          <w:color w:val="231F20"/>
          <w:spacing w:val="-23"/>
          <w:w w:val="105"/>
        </w:rPr>
        <w:t> </w:t>
      </w:r>
      <w:r>
        <w:rPr>
          <w:color w:val="231F20"/>
          <w:w w:val="105"/>
        </w:rPr>
        <w:t>cuando</w:t>
      </w:r>
      <w:r>
        <w:rPr>
          <w:color w:val="231F20"/>
          <w:spacing w:val="-23"/>
          <w:w w:val="105"/>
        </w:rPr>
        <w:t> </w:t>
      </w:r>
      <w:r>
        <w:rPr>
          <w:color w:val="231F20"/>
          <w:w w:val="105"/>
        </w:rPr>
        <w:t>la</w:t>
      </w:r>
      <w:r>
        <w:rPr>
          <w:color w:val="231F20"/>
          <w:spacing w:val="-23"/>
          <w:w w:val="105"/>
        </w:rPr>
        <w:t> </w:t>
      </w:r>
      <w:r>
        <w:rPr>
          <w:color w:val="231F20"/>
          <w:w w:val="105"/>
        </w:rPr>
        <w:t>ocupación</w:t>
      </w:r>
      <w:r>
        <w:rPr>
          <w:color w:val="231F20"/>
          <w:spacing w:val="-23"/>
          <w:w w:val="105"/>
        </w:rPr>
        <w:t> </w:t>
      </w:r>
      <w:r>
        <w:rPr>
          <w:color w:val="231F20"/>
          <w:w w:val="105"/>
        </w:rPr>
        <w:t>decae;</w:t>
      </w:r>
      <w:r>
        <w:rPr>
          <w:color w:val="231F20"/>
          <w:spacing w:val="-23"/>
          <w:w w:val="105"/>
        </w:rPr>
        <w:t> </w:t>
      </w:r>
      <w:r>
        <w:rPr>
          <w:color w:val="231F20"/>
          <w:w w:val="105"/>
        </w:rPr>
        <w:t>por</w:t>
      </w:r>
      <w:r>
        <w:rPr>
          <w:color w:val="231F20"/>
          <w:spacing w:val="-23"/>
          <w:w w:val="105"/>
        </w:rPr>
        <w:t> </w:t>
      </w:r>
      <w:r>
        <w:rPr>
          <w:color w:val="231F20"/>
          <w:w w:val="105"/>
        </w:rPr>
        <w:t>el</w:t>
      </w:r>
      <w:r>
        <w:rPr>
          <w:color w:val="231F20"/>
          <w:spacing w:val="-23"/>
          <w:w w:val="105"/>
        </w:rPr>
        <w:t> </w:t>
      </w:r>
      <w:r>
        <w:rPr>
          <w:color w:val="231F20"/>
          <w:w w:val="105"/>
        </w:rPr>
        <w:t>contra- rio,</w:t>
      </w:r>
      <w:r>
        <w:rPr>
          <w:color w:val="231F20"/>
          <w:spacing w:val="-20"/>
          <w:w w:val="105"/>
        </w:rPr>
        <w:t> </w:t>
      </w:r>
      <w:r>
        <w:rPr>
          <w:color w:val="231F20"/>
          <w:w w:val="105"/>
        </w:rPr>
        <w:t>tiende</w:t>
      </w:r>
      <w:r>
        <w:rPr>
          <w:color w:val="231F20"/>
          <w:spacing w:val="-14"/>
          <w:w w:val="105"/>
        </w:rPr>
        <w:t> </w:t>
      </w:r>
      <w:r>
        <w:rPr>
          <w:color w:val="231F20"/>
          <w:w w:val="105"/>
        </w:rPr>
        <w:t>a</w:t>
      </w:r>
      <w:r>
        <w:rPr>
          <w:color w:val="231F20"/>
          <w:spacing w:val="-14"/>
          <w:w w:val="105"/>
        </w:rPr>
        <w:t> </w:t>
      </w:r>
      <w:r>
        <w:rPr>
          <w:color w:val="231F20"/>
          <w:w w:val="105"/>
        </w:rPr>
        <w:t>subir</w:t>
      </w:r>
      <w:r>
        <w:rPr>
          <w:color w:val="231F20"/>
          <w:spacing w:val="-14"/>
          <w:w w:val="105"/>
        </w:rPr>
        <w:t> </w:t>
      </w:r>
      <w:r>
        <w:rPr>
          <w:color w:val="231F20"/>
          <w:w w:val="105"/>
        </w:rPr>
        <w:t>cuando</w:t>
      </w:r>
      <w:r>
        <w:rPr>
          <w:color w:val="231F20"/>
          <w:spacing w:val="-14"/>
          <w:w w:val="105"/>
        </w:rPr>
        <w:t> </w:t>
      </w:r>
      <w:r>
        <w:rPr>
          <w:color w:val="231F20"/>
          <w:w w:val="105"/>
        </w:rPr>
        <w:t>la</w:t>
      </w:r>
      <w:r>
        <w:rPr>
          <w:color w:val="231F20"/>
          <w:spacing w:val="-14"/>
          <w:w w:val="105"/>
        </w:rPr>
        <w:t> </w:t>
      </w:r>
      <w:r>
        <w:rPr>
          <w:color w:val="231F20"/>
          <w:w w:val="105"/>
        </w:rPr>
        <w:t>actividad</w:t>
      </w:r>
      <w:r>
        <w:rPr>
          <w:color w:val="231F20"/>
          <w:spacing w:val="-14"/>
          <w:w w:val="105"/>
        </w:rPr>
        <w:t> </w:t>
      </w:r>
      <w:r>
        <w:rPr>
          <w:color w:val="231F20"/>
          <w:w w:val="105"/>
        </w:rPr>
        <w:t>aumenta.</w:t>
      </w:r>
      <w:r>
        <w:rPr>
          <w:color w:val="231F20"/>
          <w:spacing w:val="30"/>
          <w:w w:val="105"/>
        </w:rPr>
        <w:t> </w:t>
      </w:r>
      <w:r>
        <w:rPr>
          <w:color w:val="231F20"/>
          <w:w w:val="105"/>
        </w:rPr>
        <w:t>La</w:t>
      </w:r>
      <w:r>
        <w:rPr>
          <w:color w:val="231F20"/>
          <w:spacing w:val="-14"/>
          <w:w w:val="105"/>
        </w:rPr>
        <w:t> </w:t>
      </w:r>
      <w:r>
        <w:rPr>
          <w:color w:val="231F20"/>
          <w:spacing w:val="-3"/>
          <w:w w:val="105"/>
        </w:rPr>
        <w:t>propensión</w:t>
      </w:r>
      <w:r>
        <w:rPr>
          <w:color w:val="231F20"/>
          <w:spacing w:val="-14"/>
          <w:w w:val="105"/>
        </w:rPr>
        <w:t> </w:t>
      </w:r>
      <w:r>
        <w:rPr>
          <w:color w:val="231F20"/>
          <w:w w:val="105"/>
        </w:rPr>
        <w:t>a</w:t>
      </w:r>
      <w:r>
        <w:rPr>
          <w:color w:val="231F20"/>
          <w:spacing w:val="-14"/>
          <w:w w:val="105"/>
        </w:rPr>
        <w:t> </w:t>
      </w:r>
      <w:r>
        <w:rPr>
          <w:color w:val="231F20"/>
          <w:spacing w:val="-3"/>
          <w:w w:val="105"/>
        </w:rPr>
        <w:t>ahorrar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ritmo</w:t>
      </w:r>
      <w:r>
        <w:rPr>
          <w:color w:val="231F20"/>
          <w:spacing w:val="-26"/>
          <w:w w:val="105"/>
        </w:rPr>
        <w:t> </w:t>
      </w:r>
      <w:r>
        <w:rPr>
          <w:color w:val="231F20"/>
          <w:w w:val="105"/>
        </w:rPr>
        <w:t>de</w:t>
      </w:r>
      <w:r>
        <w:rPr>
          <w:color w:val="231F20"/>
          <w:spacing w:val="-26"/>
          <w:w w:val="105"/>
        </w:rPr>
        <w:t> </w:t>
      </w:r>
      <w:r>
        <w:rPr>
          <w:color w:val="231F20"/>
          <w:w w:val="105"/>
        </w:rPr>
        <w:t>las</w:t>
      </w:r>
      <w:r>
        <w:rPr>
          <w:color w:val="231F20"/>
          <w:spacing w:val="-26"/>
          <w:w w:val="105"/>
        </w:rPr>
        <w:t> </w:t>
      </w:r>
      <w:r>
        <w:rPr>
          <w:color w:val="231F20"/>
          <w:w w:val="105"/>
        </w:rPr>
        <w:t>inversiones</w:t>
      </w:r>
      <w:r>
        <w:rPr>
          <w:color w:val="231F20"/>
          <w:spacing w:val="-26"/>
          <w:w w:val="105"/>
        </w:rPr>
        <w:t> </w:t>
      </w:r>
      <w:r>
        <w:rPr>
          <w:color w:val="231F20"/>
          <w:w w:val="105"/>
        </w:rPr>
        <w:t>determinan</w:t>
      </w:r>
      <w:r>
        <w:rPr>
          <w:color w:val="231F20"/>
          <w:spacing w:val="-26"/>
          <w:w w:val="105"/>
        </w:rPr>
        <w:t> </w:t>
      </w:r>
      <w:r>
        <w:rPr>
          <w:color w:val="231F20"/>
          <w:w w:val="105"/>
        </w:rPr>
        <w:t>en</w:t>
      </w:r>
      <w:r>
        <w:rPr>
          <w:color w:val="231F20"/>
          <w:spacing w:val="-26"/>
          <w:w w:val="105"/>
        </w:rPr>
        <w:t> </w:t>
      </w:r>
      <w:r>
        <w:rPr>
          <w:color w:val="231F20"/>
          <w:w w:val="105"/>
        </w:rPr>
        <w:t>cualquier</w:t>
      </w:r>
      <w:r>
        <w:rPr>
          <w:color w:val="231F20"/>
          <w:spacing w:val="-26"/>
          <w:w w:val="105"/>
        </w:rPr>
        <w:t> </w:t>
      </w:r>
      <w:r>
        <w:rPr>
          <w:color w:val="231F20"/>
          <w:w w:val="105"/>
        </w:rPr>
        <w:t>momento</w:t>
      </w:r>
      <w:r>
        <w:rPr>
          <w:color w:val="231F20"/>
          <w:spacing w:val="-26"/>
          <w:w w:val="105"/>
        </w:rPr>
        <w:t> </w:t>
      </w:r>
      <w:r>
        <w:rPr>
          <w:color w:val="231F20"/>
          <w:w w:val="105"/>
        </w:rPr>
        <w:t>el</w:t>
      </w:r>
      <w:r>
        <w:rPr>
          <w:color w:val="231F20"/>
          <w:spacing w:val="-26"/>
          <w:w w:val="105"/>
        </w:rPr>
        <w:t> </w:t>
      </w:r>
      <w:r>
        <w:rPr>
          <w:color w:val="231F20"/>
          <w:w w:val="105"/>
        </w:rPr>
        <w:t>nivel</w:t>
      </w:r>
      <w:r>
        <w:rPr>
          <w:color w:val="231F20"/>
          <w:spacing w:val="-26"/>
          <w:w w:val="105"/>
        </w:rPr>
        <w:t> </w:t>
      </w:r>
      <w:r>
        <w:rPr>
          <w:color w:val="231F20"/>
          <w:w w:val="105"/>
        </w:rPr>
        <w:t>de la </w:t>
      </w:r>
      <w:r>
        <w:rPr>
          <w:color w:val="231F20"/>
          <w:spacing w:val="-3"/>
          <w:w w:val="105"/>
        </w:rPr>
        <w:t>producción real. </w:t>
      </w:r>
      <w:r>
        <w:rPr>
          <w:color w:val="231F20"/>
          <w:w w:val="105"/>
        </w:rPr>
        <w:t>Y a medida que el tiempo pasa, la </w:t>
      </w:r>
      <w:r>
        <w:rPr>
          <w:color w:val="231F20"/>
          <w:spacing w:val="-3"/>
          <w:w w:val="105"/>
        </w:rPr>
        <w:t>productividad </w:t>
      </w:r>
      <w:r>
        <w:rPr>
          <w:color w:val="231F20"/>
          <w:spacing w:val="-2"/>
          <w:w w:val="105"/>
        </w:rPr>
        <w:t>del </w:t>
      </w:r>
      <w:r>
        <w:rPr>
          <w:color w:val="231F20"/>
          <w:w w:val="105"/>
        </w:rPr>
        <w:t>trabajo</w:t>
      </w:r>
      <w:r>
        <w:rPr>
          <w:color w:val="231F20"/>
          <w:spacing w:val="-21"/>
          <w:w w:val="105"/>
        </w:rPr>
        <w:t> </w:t>
      </w:r>
      <w:r>
        <w:rPr>
          <w:color w:val="231F20"/>
          <w:spacing w:val="-3"/>
          <w:w w:val="105"/>
        </w:rPr>
        <w:t>crece</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volumen</w:t>
      </w:r>
      <w:r>
        <w:rPr>
          <w:color w:val="231F20"/>
          <w:spacing w:val="-21"/>
          <w:w w:val="105"/>
        </w:rPr>
        <w:t> </w:t>
      </w:r>
      <w:r>
        <w:rPr>
          <w:color w:val="231F20"/>
          <w:w w:val="105"/>
        </w:rPr>
        <w:t>de</w:t>
      </w:r>
      <w:r>
        <w:rPr>
          <w:color w:val="231F20"/>
          <w:spacing w:val="-21"/>
          <w:w w:val="105"/>
        </w:rPr>
        <w:t> </w:t>
      </w:r>
      <w:r>
        <w:rPr>
          <w:color w:val="231F20"/>
          <w:w w:val="105"/>
        </w:rPr>
        <w:t>empleo</w:t>
      </w:r>
      <w:r>
        <w:rPr>
          <w:color w:val="231F20"/>
          <w:spacing w:val="-21"/>
          <w:w w:val="105"/>
        </w:rPr>
        <w:t> </w:t>
      </w:r>
      <w:r>
        <w:rPr>
          <w:color w:val="231F20"/>
          <w:spacing w:val="-3"/>
          <w:w w:val="105"/>
        </w:rPr>
        <w:t>correspondiente</w:t>
      </w:r>
      <w:r>
        <w:rPr>
          <w:color w:val="231F20"/>
          <w:spacing w:val="-21"/>
          <w:w w:val="105"/>
        </w:rPr>
        <w:t> </w:t>
      </w:r>
      <w:r>
        <w:rPr>
          <w:color w:val="231F20"/>
          <w:w w:val="105"/>
        </w:rPr>
        <w:t>a</w:t>
      </w:r>
      <w:r>
        <w:rPr>
          <w:color w:val="231F20"/>
          <w:spacing w:val="-21"/>
          <w:w w:val="105"/>
        </w:rPr>
        <w:t> </w:t>
      </w:r>
      <w:r>
        <w:rPr>
          <w:color w:val="231F20"/>
          <w:w w:val="105"/>
        </w:rPr>
        <w:t>un</w:t>
      </w:r>
      <w:r>
        <w:rPr>
          <w:color w:val="231F20"/>
          <w:spacing w:val="-21"/>
          <w:w w:val="105"/>
        </w:rPr>
        <w:t> </w:t>
      </w:r>
      <w:r>
        <w:rPr>
          <w:color w:val="231F20"/>
          <w:w w:val="105"/>
        </w:rPr>
        <w:t>nivel</w:t>
      </w:r>
      <w:r>
        <w:rPr>
          <w:color w:val="231F20"/>
          <w:spacing w:val="-21"/>
          <w:w w:val="105"/>
        </w:rPr>
        <w:t> </w:t>
      </w:r>
      <w:r>
        <w:rPr>
          <w:color w:val="231F20"/>
          <w:w w:val="105"/>
        </w:rPr>
        <w:t>dado</w:t>
      </w:r>
      <w:r>
        <w:rPr>
          <w:color w:val="231F20"/>
          <w:spacing w:val="-21"/>
          <w:w w:val="105"/>
        </w:rPr>
        <w:t> </w:t>
      </w:r>
      <w:r>
        <w:rPr>
          <w:color w:val="231F20"/>
          <w:w w:val="105"/>
        </w:rPr>
        <w:t>de </w:t>
      </w:r>
      <w:r>
        <w:rPr>
          <w:color w:val="231F20"/>
          <w:spacing w:val="-3"/>
          <w:w w:val="105"/>
        </w:rPr>
        <w:t>producción</w:t>
      </w:r>
      <w:r>
        <w:rPr>
          <w:color w:val="231F20"/>
          <w:spacing w:val="-7"/>
          <w:w w:val="105"/>
        </w:rPr>
        <w:t> </w:t>
      </w:r>
      <w:r>
        <w:rPr>
          <w:color w:val="231F20"/>
          <w:w w:val="105"/>
        </w:rPr>
        <w:t>declina.</w:t>
      </w:r>
      <w:r>
        <w:rPr>
          <w:color w:val="231F20"/>
          <w:spacing w:val="-13"/>
          <w:w w:val="105"/>
        </w:rPr>
        <w:t> </w:t>
      </w:r>
      <w:r>
        <w:rPr>
          <w:color w:val="231F20"/>
          <w:w w:val="105"/>
        </w:rPr>
        <w:t>De</w:t>
      </w:r>
      <w:r>
        <w:rPr>
          <w:color w:val="231F20"/>
          <w:spacing w:val="-7"/>
          <w:w w:val="105"/>
        </w:rPr>
        <w:t> </w:t>
      </w:r>
      <w:r>
        <w:rPr>
          <w:color w:val="231F20"/>
          <w:w w:val="105"/>
        </w:rPr>
        <w:t>ahí</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técnica</w:t>
      </w:r>
      <w:r>
        <w:rPr>
          <w:color w:val="231F20"/>
          <w:spacing w:val="-7"/>
          <w:w w:val="105"/>
        </w:rPr>
        <w:t> </w:t>
      </w:r>
      <w:r>
        <w:rPr>
          <w:color w:val="231F20"/>
          <w:w w:val="105"/>
        </w:rPr>
        <w:t>de</w:t>
      </w:r>
      <w:r>
        <w:rPr>
          <w:color w:val="231F20"/>
          <w:spacing w:val="-7"/>
          <w:w w:val="105"/>
        </w:rPr>
        <w:t> </w:t>
      </w:r>
      <w:r>
        <w:rPr>
          <w:color w:val="231F20"/>
          <w:spacing w:val="-3"/>
          <w:w w:val="105"/>
        </w:rPr>
        <w:t>producción</w:t>
      </w:r>
      <w:r>
        <w:rPr>
          <w:color w:val="231F20"/>
          <w:spacing w:val="-7"/>
          <w:w w:val="105"/>
        </w:rPr>
        <w:t> </w:t>
      </w:r>
      <w:r>
        <w:rPr>
          <w:color w:val="231F20"/>
          <w:w w:val="105"/>
        </w:rPr>
        <w:t>desempeñe</w:t>
      </w:r>
      <w:r>
        <w:rPr>
          <w:color w:val="231F20"/>
          <w:spacing w:val="-7"/>
          <w:w w:val="105"/>
        </w:rPr>
        <w:t> </w:t>
      </w:r>
      <w:r>
        <w:rPr>
          <w:color w:val="231F20"/>
          <w:w w:val="105"/>
        </w:rPr>
        <w:t>un muy</w:t>
      </w:r>
      <w:r>
        <w:rPr>
          <w:color w:val="231F20"/>
          <w:spacing w:val="-15"/>
          <w:w w:val="105"/>
        </w:rPr>
        <w:t> </w:t>
      </w:r>
      <w:r>
        <w:rPr>
          <w:color w:val="231F20"/>
          <w:w w:val="105"/>
        </w:rPr>
        <w:t>importante</w:t>
      </w:r>
      <w:r>
        <w:rPr>
          <w:color w:val="231F20"/>
          <w:spacing w:val="-15"/>
          <w:w w:val="105"/>
        </w:rPr>
        <w:t> </w:t>
      </w:r>
      <w:r>
        <w:rPr>
          <w:color w:val="231F20"/>
          <w:w w:val="105"/>
        </w:rPr>
        <w:t>papel</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determinación</w:t>
      </w:r>
      <w:r>
        <w:rPr>
          <w:color w:val="231F20"/>
          <w:spacing w:val="-15"/>
          <w:w w:val="105"/>
        </w:rPr>
        <w:t> </w:t>
      </w:r>
      <w:r>
        <w:rPr>
          <w:color w:val="231F20"/>
          <w:w w:val="105"/>
        </w:rPr>
        <w:t>del</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empleo.</w:t>
      </w:r>
    </w:p>
    <w:p>
      <w:pPr>
        <w:pStyle w:val="BodyText"/>
        <w:spacing w:line="259" w:lineRule="auto"/>
        <w:ind w:left="117" w:right="121" w:firstLine="567"/>
        <w:jc w:val="both"/>
      </w:pPr>
      <w:r>
        <w:rPr>
          <w:color w:val="231F20"/>
          <w:w w:val="105"/>
        </w:rPr>
        <w:t>En el marco keynesiano, la inversión depende de la opinión que los</w:t>
      </w:r>
      <w:r>
        <w:rPr>
          <w:color w:val="231F20"/>
          <w:spacing w:val="-14"/>
          <w:w w:val="105"/>
        </w:rPr>
        <w:t> </w:t>
      </w:r>
      <w:r>
        <w:rPr>
          <w:color w:val="231F20"/>
          <w:w w:val="105"/>
        </w:rPr>
        <w:t>empresarios</w:t>
      </w:r>
      <w:r>
        <w:rPr>
          <w:color w:val="231F20"/>
          <w:spacing w:val="-14"/>
          <w:w w:val="105"/>
        </w:rPr>
        <w:t> </w:t>
      </w:r>
      <w:r>
        <w:rPr>
          <w:color w:val="231F20"/>
          <w:w w:val="105"/>
        </w:rPr>
        <w:t>se</w:t>
      </w:r>
      <w:r>
        <w:rPr>
          <w:color w:val="231F20"/>
          <w:spacing w:val="-14"/>
          <w:w w:val="105"/>
        </w:rPr>
        <w:t> </w:t>
      </w:r>
      <w:r>
        <w:rPr>
          <w:color w:val="231F20"/>
          <w:w w:val="105"/>
        </w:rPr>
        <w:t>formen</w:t>
      </w:r>
      <w:r>
        <w:rPr>
          <w:color w:val="231F20"/>
          <w:spacing w:val="-15"/>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rentabilidad</w:t>
      </w:r>
      <w:r>
        <w:rPr>
          <w:color w:val="231F20"/>
          <w:spacing w:val="-14"/>
          <w:w w:val="105"/>
        </w:rPr>
        <w:t> </w:t>
      </w:r>
      <w:r>
        <w:rPr>
          <w:color w:val="231F20"/>
          <w:w w:val="105"/>
        </w:rPr>
        <w:t>del</w:t>
      </w:r>
      <w:r>
        <w:rPr>
          <w:color w:val="231F20"/>
          <w:spacing w:val="-14"/>
          <w:w w:val="105"/>
        </w:rPr>
        <w:t> </w:t>
      </w:r>
      <w:r>
        <w:rPr>
          <w:color w:val="231F20"/>
          <w:w w:val="105"/>
        </w:rPr>
        <w:t>nuevo</w:t>
      </w:r>
      <w:r>
        <w:rPr>
          <w:color w:val="231F20"/>
          <w:spacing w:val="-14"/>
          <w:w w:val="105"/>
        </w:rPr>
        <w:t> </w:t>
      </w:r>
      <w:r>
        <w:rPr>
          <w:color w:val="231F20"/>
          <w:w w:val="105"/>
        </w:rPr>
        <w:t>capital</w:t>
      </w:r>
      <w:r>
        <w:rPr>
          <w:color w:val="231F20"/>
          <w:spacing w:val="-14"/>
          <w:w w:val="105"/>
        </w:rPr>
        <w:t> </w:t>
      </w:r>
      <w:r>
        <w:rPr>
          <w:color w:val="231F20"/>
          <w:w w:val="105"/>
        </w:rPr>
        <w:t>compara- da</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tipo</w:t>
      </w:r>
      <w:r>
        <w:rPr>
          <w:color w:val="231F20"/>
          <w:spacing w:val="-5"/>
          <w:w w:val="105"/>
        </w:rPr>
        <w:t> </w:t>
      </w:r>
      <w:r>
        <w:rPr>
          <w:color w:val="231F20"/>
          <w:w w:val="105"/>
        </w:rPr>
        <w:t>de</w:t>
      </w:r>
      <w:r>
        <w:rPr>
          <w:color w:val="231F20"/>
          <w:spacing w:val="-5"/>
          <w:w w:val="105"/>
        </w:rPr>
        <w:t> </w:t>
      </w:r>
      <w:r>
        <w:rPr>
          <w:color w:val="231F20"/>
          <w:w w:val="105"/>
        </w:rPr>
        <w:t>interés</w:t>
      </w:r>
      <w:r>
        <w:rPr>
          <w:color w:val="231F20"/>
          <w:spacing w:val="-5"/>
          <w:w w:val="105"/>
        </w:rPr>
        <w:t> </w:t>
      </w:r>
      <w:r>
        <w:rPr>
          <w:color w:val="231F20"/>
          <w:w w:val="105"/>
        </w:rPr>
        <w:t>que</w:t>
      </w:r>
      <w:r>
        <w:rPr>
          <w:color w:val="231F20"/>
          <w:spacing w:val="-5"/>
          <w:w w:val="105"/>
        </w:rPr>
        <w:t> </w:t>
      </w:r>
      <w:r>
        <w:rPr>
          <w:color w:val="231F20"/>
          <w:w w:val="105"/>
        </w:rPr>
        <w:t>deben</w:t>
      </w:r>
      <w:r>
        <w:rPr>
          <w:color w:val="231F20"/>
          <w:spacing w:val="-5"/>
          <w:w w:val="105"/>
        </w:rPr>
        <w:t> </w:t>
      </w:r>
      <w:r>
        <w:rPr>
          <w:color w:val="231F20"/>
          <w:w w:val="105"/>
        </w:rPr>
        <w:t>pagar.</w:t>
      </w:r>
      <w:r>
        <w:rPr>
          <w:color w:val="231F20"/>
          <w:spacing w:val="-14"/>
          <w:w w:val="105"/>
        </w:rPr>
        <w:t> </w:t>
      </w:r>
      <w:r>
        <w:rPr>
          <w:color w:val="231F20"/>
          <w:w w:val="105"/>
        </w:rPr>
        <w:t>Así,</w:t>
      </w:r>
      <w:r>
        <w:rPr>
          <w:color w:val="231F20"/>
          <w:spacing w:val="-10"/>
          <w:w w:val="105"/>
        </w:rPr>
        <w:t> </w:t>
      </w:r>
      <w:r>
        <w:rPr>
          <w:color w:val="231F20"/>
          <w:w w:val="105"/>
        </w:rPr>
        <w:t>cuando</w:t>
      </w:r>
      <w:r>
        <w:rPr>
          <w:color w:val="231F20"/>
          <w:spacing w:val="-5"/>
          <w:w w:val="105"/>
        </w:rPr>
        <w:t> </w:t>
      </w:r>
      <w:r>
        <w:rPr>
          <w:color w:val="231F20"/>
          <w:w w:val="105"/>
        </w:rPr>
        <w:t>los</w:t>
      </w:r>
      <w:r>
        <w:rPr>
          <w:color w:val="231F20"/>
          <w:spacing w:val="-5"/>
          <w:w w:val="105"/>
        </w:rPr>
        <w:t> </w:t>
      </w:r>
      <w:r>
        <w:rPr>
          <w:color w:val="231F20"/>
          <w:w w:val="105"/>
        </w:rPr>
        <w:t>empresarios deciden</w:t>
      </w:r>
      <w:r>
        <w:rPr>
          <w:color w:val="231F20"/>
          <w:spacing w:val="-20"/>
          <w:w w:val="105"/>
        </w:rPr>
        <w:t> </w:t>
      </w:r>
      <w:r>
        <w:rPr>
          <w:color w:val="231F20"/>
          <w:w w:val="105"/>
        </w:rPr>
        <w:t>aumentar</w:t>
      </w:r>
      <w:r>
        <w:rPr>
          <w:color w:val="231F20"/>
          <w:spacing w:val="-20"/>
          <w:w w:val="105"/>
        </w:rPr>
        <w:t> </w:t>
      </w:r>
      <w:r>
        <w:rPr>
          <w:color w:val="231F20"/>
          <w:w w:val="105"/>
        </w:rPr>
        <w:t>la</w:t>
      </w:r>
      <w:r>
        <w:rPr>
          <w:color w:val="231F20"/>
          <w:spacing w:val="-20"/>
          <w:w w:val="105"/>
        </w:rPr>
        <w:t> </w:t>
      </w:r>
      <w:r>
        <w:rPr>
          <w:color w:val="231F20"/>
          <w:w w:val="105"/>
        </w:rPr>
        <w:t>tasa</w:t>
      </w:r>
      <w:r>
        <w:rPr>
          <w:color w:val="231F20"/>
          <w:spacing w:val="-20"/>
          <w:w w:val="105"/>
        </w:rPr>
        <w:t> </w:t>
      </w:r>
      <w:r>
        <w:rPr>
          <w:color w:val="231F20"/>
          <w:w w:val="105"/>
        </w:rPr>
        <w:t>de</w:t>
      </w:r>
      <w:r>
        <w:rPr>
          <w:color w:val="231F20"/>
          <w:spacing w:val="-20"/>
          <w:w w:val="105"/>
        </w:rPr>
        <w:t> </w:t>
      </w:r>
      <w:r>
        <w:rPr>
          <w:color w:val="231F20"/>
          <w:w w:val="105"/>
        </w:rPr>
        <w:t>inversión</w:t>
      </w:r>
      <w:r>
        <w:rPr>
          <w:color w:val="231F20"/>
          <w:spacing w:val="-20"/>
          <w:w w:val="105"/>
        </w:rPr>
        <w:t> </w:t>
      </w:r>
      <w:r>
        <w:rPr>
          <w:color w:val="231F20"/>
          <w:w w:val="105"/>
        </w:rPr>
        <w:t>la</w:t>
      </w:r>
      <w:r>
        <w:rPr>
          <w:color w:val="231F20"/>
          <w:spacing w:val="-20"/>
          <w:w w:val="105"/>
        </w:rPr>
        <w:t> </w:t>
      </w:r>
      <w:r>
        <w:rPr>
          <w:color w:val="231F20"/>
          <w:w w:val="105"/>
        </w:rPr>
        <w:t>actividad</w:t>
      </w:r>
      <w:r>
        <w:rPr>
          <w:color w:val="231F20"/>
          <w:spacing w:val="-20"/>
          <w:w w:val="105"/>
        </w:rPr>
        <w:t> </w:t>
      </w:r>
      <w:r>
        <w:rPr>
          <w:color w:val="231F20"/>
          <w:w w:val="105"/>
        </w:rPr>
        <w:t>económica</w:t>
      </w:r>
      <w:r>
        <w:rPr>
          <w:color w:val="231F20"/>
          <w:spacing w:val="-20"/>
          <w:w w:val="105"/>
        </w:rPr>
        <w:t> </w:t>
      </w:r>
      <w:r>
        <w:rPr>
          <w:color w:val="231F20"/>
          <w:w w:val="105"/>
        </w:rPr>
        <w:t>aumenta</w:t>
      </w:r>
      <w:r>
        <w:rPr>
          <w:color w:val="231F20"/>
          <w:spacing w:val="-20"/>
          <w:w w:val="105"/>
        </w:rPr>
        <w:t> </w:t>
      </w:r>
      <w:r>
        <w:rPr>
          <w:color w:val="231F20"/>
          <w:w w:val="105"/>
        </w:rPr>
        <w:t>y se</w:t>
      </w:r>
      <w:r>
        <w:rPr>
          <w:color w:val="231F20"/>
          <w:spacing w:val="-9"/>
          <w:w w:val="105"/>
        </w:rPr>
        <w:t> </w:t>
      </w:r>
      <w:r>
        <w:rPr>
          <w:color w:val="231F20"/>
          <w:w w:val="105"/>
        </w:rPr>
        <w:t>incrementa</w:t>
      </w:r>
      <w:r>
        <w:rPr>
          <w:color w:val="231F20"/>
          <w:spacing w:val="-9"/>
          <w:w w:val="105"/>
        </w:rPr>
        <w:t> </w:t>
      </w:r>
      <w:r>
        <w:rPr>
          <w:color w:val="231F20"/>
          <w:w w:val="105"/>
        </w:rPr>
        <w:t>el</w:t>
      </w:r>
      <w:r>
        <w:rPr>
          <w:color w:val="231F20"/>
          <w:spacing w:val="-9"/>
          <w:w w:val="105"/>
        </w:rPr>
        <w:t> </w:t>
      </w:r>
      <w:r>
        <w:rPr>
          <w:color w:val="231F20"/>
          <w:w w:val="105"/>
        </w:rPr>
        <w:t>ingreso,</w:t>
      </w:r>
      <w:r>
        <w:rPr>
          <w:color w:val="231F20"/>
          <w:spacing w:val="-14"/>
          <w:w w:val="105"/>
        </w:rPr>
        <w:t> </w:t>
      </w:r>
      <w:r>
        <w:rPr>
          <w:color w:val="231F20"/>
          <w:w w:val="105"/>
        </w:rPr>
        <w:t>por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eleva</w:t>
      </w:r>
      <w:r>
        <w:rPr>
          <w:color w:val="231F20"/>
          <w:spacing w:val="-9"/>
          <w:w w:val="105"/>
        </w:rPr>
        <w:t> </w:t>
      </w:r>
      <w:r>
        <w:rPr>
          <w:color w:val="231F20"/>
          <w:w w:val="105"/>
        </w:rPr>
        <w:t>el</w:t>
      </w:r>
      <w:r>
        <w:rPr>
          <w:color w:val="231F20"/>
          <w:spacing w:val="-9"/>
          <w:w w:val="105"/>
        </w:rPr>
        <w:t> </w:t>
      </w:r>
      <w:r>
        <w:rPr>
          <w:color w:val="231F20"/>
          <w:w w:val="105"/>
        </w:rPr>
        <w:t>consumo</w:t>
      </w:r>
      <w:r>
        <w:rPr>
          <w:color w:val="231F20"/>
          <w:spacing w:val="-9"/>
          <w:w w:val="105"/>
        </w:rPr>
        <w:t> </w:t>
      </w:r>
      <w:r>
        <w:rPr>
          <w:color w:val="231F20"/>
          <w:w w:val="105"/>
        </w:rPr>
        <w:t>en</w:t>
      </w:r>
      <w:r>
        <w:rPr>
          <w:color w:val="231F20"/>
          <w:spacing w:val="-9"/>
          <w:w w:val="105"/>
        </w:rPr>
        <w:t> </w:t>
      </w:r>
      <w:r>
        <w:rPr>
          <w:color w:val="231F20"/>
          <w:w w:val="105"/>
        </w:rPr>
        <w:t>menor</w:t>
      </w:r>
      <w:r>
        <w:rPr>
          <w:color w:val="231F20"/>
          <w:spacing w:val="-9"/>
          <w:w w:val="105"/>
        </w:rPr>
        <w:t> </w:t>
      </w:r>
      <w:r>
        <w:rPr>
          <w:color w:val="231F20"/>
          <w:w w:val="105"/>
        </w:rPr>
        <w:t>pro- porción</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incremento</w:t>
      </w:r>
      <w:r>
        <w:rPr>
          <w:color w:val="231F20"/>
          <w:spacing w:val="-11"/>
          <w:w w:val="105"/>
        </w:rPr>
        <w:t> </w:t>
      </w:r>
      <w:r>
        <w:rPr>
          <w:color w:val="231F20"/>
          <w:w w:val="105"/>
        </w:rPr>
        <w:t>inicial</w:t>
      </w:r>
      <w:r>
        <w:rPr>
          <w:color w:val="231F20"/>
          <w:spacing w:val="-11"/>
          <w:w w:val="105"/>
        </w:rPr>
        <w:t> </w:t>
      </w:r>
      <w:r>
        <w:rPr>
          <w:color w:val="231F20"/>
          <w:w w:val="105"/>
        </w:rPr>
        <w:t>del</w:t>
      </w:r>
      <w:r>
        <w:rPr>
          <w:color w:val="231F20"/>
          <w:spacing w:val="-11"/>
          <w:w w:val="105"/>
        </w:rPr>
        <w:t> </w:t>
      </w:r>
      <w:r>
        <w:rPr>
          <w:color w:val="231F20"/>
          <w:w w:val="105"/>
        </w:rPr>
        <w:t>ingreso;</w:t>
      </w:r>
      <w:r>
        <w:rPr>
          <w:color w:val="231F20"/>
          <w:spacing w:val="-11"/>
          <w:w w:val="105"/>
        </w:rPr>
        <w:t> </w:t>
      </w:r>
      <w:r>
        <w:rPr>
          <w:color w:val="231F20"/>
          <w:w w:val="105"/>
        </w:rPr>
        <w:t>por</w:t>
      </w:r>
      <w:r>
        <w:rPr>
          <w:color w:val="231F20"/>
          <w:spacing w:val="-11"/>
          <w:w w:val="105"/>
        </w:rPr>
        <w:t> </w:t>
      </w:r>
      <w:r>
        <w:rPr>
          <w:color w:val="231F20"/>
          <w:w w:val="105"/>
        </w:rPr>
        <w:t>consiguiente,</w:t>
      </w:r>
      <w:r>
        <w:rPr>
          <w:color w:val="231F20"/>
          <w:spacing w:val="-18"/>
          <w:w w:val="105"/>
        </w:rPr>
        <w:t> </w:t>
      </w:r>
      <w:r>
        <w:rPr>
          <w:color w:val="231F20"/>
          <w:w w:val="105"/>
        </w:rPr>
        <w:t>el</w:t>
      </w:r>
      <w:r>
        <w:rPr>
          <w:color w:val="231F20"/>
          <w:spacing w:val="-11"/>
          <w:w w:val="105"/>
        </w:rPr>
        <w:t> </w:t>
      </w:r>
      <w:r>
        <w:rPr>
          <w:color w:val="231F20"/>
          <w:w w:val="105"/>
        </w:rPr>
        <w:t>ahorro crece con el ingreso. Así, el ritmo de la inversión gobierna el nivel de ahorros</w:t>
      </w:r>
      <w:r>
        <w:rPr>
          <w:color w:val="231F20"/>
          <w:spacing w:val="-37"/>
          <w:w w:val="105"/>
        </w:rPr>
        <w:t> </w:t>
      </w:r>
      <w:r>
        <w:rPr>
          <w:color w:val="231F20"/>
          <w:w w:val="105"/>
        </w:rPr>
        <w:t>y</w:t>
      </w:r>
      <w:r>
        <w:rPr>
          <w:color w:val="231F20"/>
          <w:spacing w:val="-37"/>
          <w:w w:val="105"/>
        </w:rPr>
        <w:t> </w:t>
      </w:r>
      <w:r>
        <w:rPr>
          <w:color w:val="231F20"/>
          <w:w w:val="105"/>
        </w:rPr>
        <w:t>no</w:t>
      </w:r>
      <w:r>
        <w:rPr>
          <w:color w:val="231F20"/>
          <w:spacing w:val="-37"/>
          <w:w w:val="105"/>
        </w:rPr>
        <w:t> </w:t>
      </w:r>
      <w:r>
        <w:rPr>
          <w:color w:val="231F20"/>
          <w:w w:val="105"/>
        </w:rPr>
        <w:t>viceversa</w:t>
      </w:r>
      <w:r>
        <w:rPr>
          <w:color w:val="231F20"/>
          <w:spacing w:val="-37"/>
          <w:w w:val="105"/>
        </w:rPr>
        <w:t> </w:t>
      </w:r>
      <w:r>
        <w:rPr>
          <w:color w:val="231F20"/>
          <w:w w:val="105"/>
        </w:rPr>
        <w:t>(Robinson,</w:t>
      </w:r>
      <w:r>
        <w:rPr>
          <w:color w:val="231F20"/>
          <w:spacing w:val="-40"/>
          <w:w w:val="105"/>
        </w:rPr>
        <w:t> </w:t>
      </w:r>
      <w:r>
        <w:rPr>
          <w:color w:val="231F20"/>
          <w:w w:val="105"/>
        </w:rPr>
        <w:t>1968).</w:t>
      </w:r>
    </w:p>
    <w:p>
      <w:pPr>
        <w:pStyle w:val="BodyText"/>
        <w:spacing w:line="259" w:lineRule="auto"/>
        <w:ind w:left="117" w:right="121" w:firstLine="567"/>
        <w:jc w:val="both"/>
      </w:pPr>
      <w:r>
        <w:rPr>
          <w:color w:val="231F20"/>
          <w:w w:val="105"/>
        </w:rPr>
        <w:t>Aunque el ahorro es condición necesaria para la acumulación de capital,</w:t>
      </w:r>
      <w:r>
        <w:rPr>
          <w:color w:val="231F20"/>
          <w:spacing w:val="-12"/>
          <w:w w:val="105"/>
        </w:rPr>
        <w:t> </w:t>
      </w:r>
      <w:r>
        <w:rPr>
          <w:color w:val="231F20"/>
          <w:w w:val="105"/>
        </w:rPr>
        <w:t>no</w:t>
      </w:r>
      <w:r>
        <w:rPr>
          <w:color w:val="231F20"/>
          <w:spacing w:val="-6"/>
          <w:w w:val="105"/>
        </w:rPr>
        <w:t> </w:t>
      </w:r>
      <w:r>
        <w:rPr>
          <w:color w:val="231F20"/>
          <w:w w:val="105"/>
        </w:rPr>
        <w:t>es</w:t>
      </w:r>
      <w:r>
        <w:rPr>
          <w:color w:val="231F20"/>
          <w:spacing w:val="-6"/>
          <w:w w:val="105"/>
        </w:rPr>
        <w:t> </w:t>
      </w:r>
      <w:r>
        <w:rPr>
          <w:color w:val="231F20"/>
          <w:w w:val="105"/>
        </w:rPr>
        <w:t>condición</w:t>
      </w:r>
      <w:r>
        <w:rPr>
          <w:color w:val="231F20"/>
          <w:spacing w:val="-6"/>
          <w:w w:val="105"/>
        </w:rPr>
        <w:t> </w:t>
      </w:r>
      <w:r>
        <w:rPr>
          <w:color w:val="231F20"/>
          <w:w w:val="105"/>
        </w:rPr>
        <w:t>suficiente.</w:t>
      </w:r>
      <w:r>
        <w:rPr>
          <w:color w:val="231F20"/>
          <w:spacing w:val="-12"/>
          <w:w w:val="105"/>
        </w:rPr>
        <w:t> </w:t>
      </w:r>
      <w:r>
        <w:rPr>
          <w:color w:val="231F20"/>
          <w:w w:val="105"/>
        </w:rPr>
        <w:t>El</w:t>
      </w:r>
      <w:r>
        <w:rPr>
          <w:color w:val="231F20"/>
          <w:spacing w:val="-6"/>
          <w:w w:val="105"/>
        </w:rPr>
        <w:t> </w:t>
      </w:r>
      <w:r>
        <w:rPr>
          <w:color w:val="231F20"/>
          <w:w w:val="105"/>
        </w:rPr>
        <w:t>interés</w:t>
      </w:r>
      <w:r>
        <w:rPr>
          <w:color w:val="231F20"/>
          <w:spacing w:val="-6"/>
          <w:w w:val="105"/>
        </w:rPr>
        <w:t> </w:t>
      </w:r>
      <w:r>
        <w:rPr>
          <w:color w:val="231F20"/>
          <w:w w:val="105"/>
        </w:rPr>
        <w:t>depende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cantidad</w:t>
      </w:r>
      <w:r>
        <w:rPr>
          <w:color w:val="231F20"/>
          <w:spacing w:val="-6"/>
          <w:w w:val="105"/>
        </w:rPr>
        <w:t> </w:t>
      </w:r>
      <w:r>
        <w:rPr>
          <w:color w:val="231F20"/>
          <w:w w:val="105"/>
        </w:rPr>
        <w:t>de dinero demandada por el volumen de negocios y por el estado de la actividad</w:t>
      </w:r>
      <w:r>
        <w:rPr>
          <w:color w:val="231F20"/>
          <w:spacing w:val="-9"/>
          <w:w w:val="105"/>
        </w:rPr>
        <w:t> </w:t>
      </w:r>
      <w:r>
        <w:rPr>
          <w:color w:val="231F20"/>
          <w:w w:val="105"/>
        </w:rPr>
        <w:t>económica;</w:t>
      </w:r>
      <w:r>
        <w:rPr>
          <w:color w:val="231F20"/>
          <w:spacing w:val="-9"/>
          <w:w w:val="105"/>
        </w:rPr>
        <w:t> </w:t>
      </w:r>
      <w:r>
        <w:rPr>
          <w:color w:val="231F20"/>
          <w:w w:val="105"/>
        </w:rPr>
        <w:t>por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Keynes</w:t>
      </w:r>
      <w:r>
        <w:rPr>
          <w:color w:val="231F20"/>
          <w:spacing w:val="-9"/>
          <w:w w:val="105"/>
        </w:rPr>
        <w:t> </w:t>
      </w:r>
      <w:r>
        <w:rPr>
          <w:color w:val="231F20"/>
          <w:w w:val="105"/>
        </w:rPr>
        <w:t>demostró</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aumento</w:t>
      </w:r>
      <w:r>
        <w:rPr>
          <w:color w:val="231F20"/>
          <w:spacing w:val="-9"/>
          <w:w w:val="105"/>
        </w:rPr>
        <w:t> </w:t>
      </w:r>
      <w:r>
        <w:rPr>
          <w:color w:val="231F20"/>
          <w:w w:val="105"/>
        </w:rPr>
        <w:t>de</w:t>
      </w:r>
      <w:r>
        <w:rPr>
          <w:color w:val="231F20"/>
          <w:spacing w:val="-9"/>
          <w:w w:val="105"/>
        </w:rPr>
        <w:t> </w:t>
      </w:r>
      <w:r>
        <w:rPr>
          <w:color w:val="231F20"/>
          <w:w w:val="105"/>
        </w:rPr>
        <w:t>la demanda</w:t>
      </w:r>
      <w:r>
        <w:rPr>
          <w:color w:val="231F20"/>
          <w:spacing w:val="-17"/>
          <w:w w:val="105"/>
        </w:rPr>
        <w:t> </w:t>
      </w:r>
      <w:r>
        <w:rPr>
          <w:color w:val="231F20"/>
          <w:w w:val="105"/>
        </w:rPr>
        <w:t>de</w:t>
      </w:r>
      <w:r>
        <w:rPr>
          <w:color w:val="231F20"/>
          <w:spacing w:val="-17"/>
          <w:w w:val="105"/>
        </w:rPr>
        <w:t> </w:t>
      </w:r>
      <w:r>
        <w:rPr>
          <w:color w:val="231F20"/>
          <w:w w:val="105"/>
        </w:rPr>
        <w:t>dinero</w:t>
      </w:r>
      <w:r>
        <w:rPr>
          <w:color w:val="231F20"/>
          <w:spacing w:val="-17"/>
          <w:w w:val="105"/>
        </w:rPr>
        <w:t> </w:t>
      </w:r>
      <w:r>
        <w:rPr>
          <w:color w:val="231F20"/>
          <w:w w:val="105"/>
        </w:rPr>
        <w:t>eleva</w:t>
      </w:r>
      <w:r>
        <w:rPr>
          <w:color w:val="231F20"/>
          <w:spacing w:val="-17"/>
          <w:w w:val="105"/>
        </w:rPr>
        <w:t> </w:t>
      </w:r>
      <w:r>
        <w:rPr>
          <w:color w:val="231F20"/>
          <w:w w:val="105"/>
        </w:rPr>
        <w:t>la</w:t>
      </w:r>
      <w:r>
        <w:rPr>
          <w:color w:val="231F20"/>
          <w:spacing w:val="-17"/>
          <w:w w:val="105"/>
        </w:rPr>
        <w:t> </w:t>
      </w:r>
      <w:r>
        <w:rPr>
          <w:color w:val="231F20"/>
          <w:w w:val="105"/>
        </w:rPr>
        <w:t>tasa</w:t>
      </w:r>
      <w:r>
        <w:rPr>
          <w:color w:val="231F20"/>
          <w:spacing w:val="-17"/>
          <w:w w:val="105"/>
        </w:rPr>
        <w:t> </w:t>
      </w:r>
      <w:r>
        <w:rPr>
          <w:color w:val="231F20"/>
          <w:w w:val="105"/>
        </w:rPr>
        <w:t>de</w:t>
      </w:r>
      <w:r>
        <w:rPr>
          <w:color w:val="231F20"/>
          <w:spacing w:val="-17"/>
          <w:w w:val="105"/>
        </w:rPr>
        <w:t> </w:t>
      </w:r>
      <w:r>
        <w:rPr>
          <w:color w:val="231F20"/>
          <w:w w:val="105"/>
        </w:rPr>
        <w:t>interés,</w:t>
      </w:r>
      <w:r>
        <w:rPr>
          <w:color w:val="231F20"/>
          <w:spacing w:val="-23"/>
          <w:w w:val="105"/>
        </w:rPr>
        <w:t> </w:t>
      </w:r>
      <w:r>
        <w:rPr>
          <w:color w:val="231F20"/>
          <w:w w:val="105"/>
        </w:rPr>
        <w:t>induciendo</w:t>
      </w:r>
      <w:r>
        <w:rPr>
          <w:color w:val="231F20"/>
          <w:spacing w:val="-17"/>
          <w:w w:val="105"/>
        </w:rPr>
        <w:t> </w:t>
      </w:r>
      <w:r>
        <w:rPr>
          <w:color w:val="231F20"/>
          <w:w w:val="105"/>
        </w:rPr>
        <w:t>a</w:t>
      </w:r>
      <w:r>
        <w:rPr>
          <w:color w:val="231F20"/>
          <w:spacing w:val="-17"/>
          <w:w w:val="105"/>
        </w:rPr>
        <w:t> </w:t>
      </w:r>
      <w:r>
        <w:rPr>
          <w:color w:val="231F20"/>
          <w:w w:val="105"/>
        </w:rPr>
        <w:t>quienes</w:t>
      </w:r>
      <w:r>
        <w:rPr>
          <w:color w:val="231F20"/>
          <w:spacing w:val="-17"/>
          <w:w w:val="105"/>
        </w:rPr>
        <w:t> </w:t>
      </w:r>
      <w:r>
        <w:rPr>
          <w:color w:val="231F20"/>
          <w:w w:val="105"/>
        </w:rPr>
        <w:t>tienen dinero</w:t>
      </w:r>
      <w:r>
        <w:rPr>
          <w:color w:val="231F20"/>
          <w:spacing w:val="-8"/>
          <w:w w:val="105"/>
        </w:rPr>
        <w:t> </w:t>
      </w:r>
      <w:r>
        <w:rPr>
          <w:color w:val="231F20"/>
          <w:w w:val="105"/>
        </w:rPr>
        <w:t>líquido</w:t>
      </w:r>
      <w:r>
        <w:rPr>
          <w:color w:val="231F20"/>
          <w:spacing w:val="-8"/>
          <w:w w:val="105"/>
        </w:rPr>
        <w:t> </w:t>
      </w:r>
      <w:r>
        <w:rPr>
          <w:color w:val="231F20"/>
          <w:w w:val="105"/>
        </w:rPr>
        <w:t>a</w:t>
      </w:r>
      <w:r>
        <w:rPr>
          <w:color w:val="231F20"/>
          <w:spacing w:val="-8"/>
          <w:w w:val="105"/>
        </w:rPr>
        <w:t> </w:t>
      </w:r>
      <w:r>
        <w:rPr>
          <w:color w:val="231F20"/>
          <w:w w:val="105"/>
        </w:rPr>
        <w:t>transferirlo</w:t>
      </w:r>
      <w:r>
        <w:rPr>
          <w:color w:val="231F20"/>
          <w:spacing w:val="-8"/>
          <w:w w:val="105"/>
        </w:rPr>
        <w:t> </w:t>
      </w:r>
      <w:r>
        <w:rPr>
          <w:color w:val="231F20"/>
          <w:w w:val="105"/>
        </w:rPr>
        <w:t>a</w:t>
      </w:r>
      <w:r>
        <w:rPr>
          <w:color w:val="231F20"/>
          <w:spacing w:val="-8"/>
          <w:w w:val="105"/>
        </w:rPr>
        <w:t> </w:t>
      </w:r>
      <w:r>
        <w:rPr>
          <w:color w:val="231F20"/>
          <w:w w:val="105"/>
        </w:rPr>
        <w:t>valores,</w:t>
      </w:r>
      <w:r>
        <w:rPr>
          <w:color w:val="231F20"/>
          <w:spacing w:val="-14"/>
          <w:w w:val="105"/>
        </w:rPr>
        <w:t> </w:t>
      </w:r>
      <w:r>
        <w:rPr>
          <w:color w:val="231F20"/>
          <w:w w:val="105"/>
        </w:rPr>
        <w:t>dejando</w:t>
      </w:r>
      <w:r>
        <w:rPr>
          <w:color w:val="231F20"/>
          <w:spacing w:val="-8"/>
          <w:w w:val="105"/>
        </w:rPr>
        <w:t> </w:t>
      </w:r>
      <w:r>
        <w:rPr>
          <w:color w:val="231F20"/>
          <w:w w:val="105"/>
        </w:rPr>
        <w:t>con</w:t>
      </w:r>
      <w:r>
        <w:rPr>
          <w:color w:val="231F20"/>
          <w:spacing w:val="-8"/>
          <w:w w:val="105"/>
        </w:rPr>
        <w:t> </w:t>
      </w:r>
      <w:r>
        <w:rPr>
          <w:color w:val="231F20"/>
          <w:w w:val="105"/>
        </w:rPr>
        <w:t>ello</w:t>
      </w:r>
      <w:r>
        <w:rPr>
          <w:color w:val="231F20"/>
          <w:spacing w:val="-8"/>
          <w:w w:val="105"/>
        </w:rPr>
        <w:t> </w:t>
      </w:r>
      <w:r>
        <w:rPr>
          <w:color w:val="231F20"/>
          <w:w w:val="105"/>
        </w:rPr>
        <w:t>parte</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ate- soramientos</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circulación</w:t>
      </w:r>
      <w:r>
        <w:rPr>
          <w:color w:val="231F20"/>
          <w:spacing w:val="-30"/>
          <w:w w:val="105"/>
        </w:rPr>
        <w:t> </w:t>
      </w:r>
      <w:r>
        <w:rPr>
          <w:color w:val="231F20"/>
          <w:w w:val="105"/>
        </w:rPr>
        <w:t>activa.</w:t>
      </w:r>
    </w:p>
    <w:p>
      <w:pPr>
        <w:pStyle w:val="BodyText"/>
        <w:spacing w:line="259" w:lineRule="auto"/>
        <w:ind w:left="117" w:right="107" w:firstLine="567"/>
      </w:pPr>
      <w:r>
        <w:rPr>
          <w:color w:val="231F20"/>
          <w:w w:val="105"/>
        </w:rPr>
        <w:t>Entonces, el desempleo y la inflación dependen del volumen de demanda</w:t>
      </w:r>
      <w:r>
        <w:rPr>
          <w:color w:val="231F20"/>
          <w:spacing w:val="-18"/>
          <w:w w:val="105"/>
        </w:rPr>
        <w:t> </w:t>
      </w:r>
      <w:r>
        <w:rPr>
          <w:color w:val="231F20"/>
          <w:w w:val="105"/>
        </w:rPr>
        <w:t>efectiva;</w:t>
      </w:r>
      <w:r>
        <w:rPr>
          <w:color w:val="231F20"/>
          <w:spacing w:val="-18"/>
          <w:w w:val="105"/>
        </w:rPr>
        <w:t> </w:t>
      </w:r>
      <w:r>
        <w:rPr>
          <w:color w:val="231F20"/>
          <w:w w:val="105"/>
        </w:rPr>
        <w:t>pues</w:t>
      </w:r>
      <w:r>
        <w:rPr>
          <w:color w:val="231F20"/>
          <w:spacing w:val="-18"/>
          <w:w w:val="105"/>
        </w:rPr>
        <w:t> </w:t>
      </w:r>
      <w:r>
        <w:rPr>
          <w:color w:val="231F20"/>
          <w:w w:val="105"/>
        </w:rPr>
        <w:t>cuando</w:t>
      </w:r>
      <w:r>
        <w:rPr>
          <w:color w:val="231F20"/>
          <w:spacing w:val="-18"/>
          <w:w w:val="105"/>
        </w:rPr>
        <w:t> </w:t>
      </w:r>
      <w:r>
        <w:rPr>
          <w:color w:val="231F20"/>
          <w:w w:val="105"/>
        </w:rPr>
        <w:t>ésta</w:t>
      </w:r>
      <w:r>
        <w:rPr>
          <w:color w:val="231F20"/>
          <w:spacing w:val="-18"/>
          <w:w w:val="105"/>
        </w:rPr>
        <w:t> </w:t>
      </w:r>
      <w:r>
        <w:rPr>
          <w:color w:val="231F20"/>
          <w:w w:val="105"/>
        </w:rPr>
        <w:t>es</w:t>
      </w:r>
      <w:r>
        <w:rPr>
          <w:color w:val="231F20"/>
          <w:spacing w:val="-18"/>
          <w:w w:val="105"/>
        </w:rPr>
        <w:t> </w:t>
      </w:r>
      <w:r>
        <w:rPr>
          <w:color w:val="231F20"/>
          <w:w w:val="105"/>
        </w:rPr>
        <w:t>deficiente</w:t>
      </w:r>
      <w:r>
        <w:rPr>
          <w:color w:val="231F20"/>
          <w:spacing w:val="-18"/>
          <w:w w:val="105"/>
        </w:rPr>
        <w:t> </w:t>
      </w:r>
      <w:r>
        <w:rPr>
          <w:color w:val="231F20"/>
          <w:w w:val="105"/>
        </w:rPr>
        <w:t>se</w:t>
      </w:r>
      <w:r>
        <w:rPr>
          <w:color w:val="231F20"/>
          <w:spacing w:val="-18"/>
          <w:w w:val="105"/>
        </w:rPr>
        <w:t> </w:t>
      </w:r>
      <w:r>
        <w:rPr>
          <w:color w:val="231F20"/>
          <w:w w:val="105"/>
        </w:rPr>
        <w:t>produce</w:t>
      </w:r>
      <w:r>
        <w:rPr>
          <w:color w:val="231F20"/>
          <w:spacing w:val="-18"/>
          <w:w w:val="105"/>
        </w:rPr>
        <w:t> </w:t>
      </w:r>
      <w:r>
        <w:rPr>
          <w:color w:val="231F20"/>
          <w:w w:val="105"/>
        </w:rPr>
        <w:t>el</w:t>
      </w:r>
      <w:r>
        <w:rPr>
          <w:color w:val="231F20"/>
          <w:spacing w:val="-18"/>
          <w:w w:val="105"/>
        </w:rPr>
        <w:t> </w:t>
      </w:r>
      <w:r>
        <w:rPr>
          <w:color w:val="231F20"/>
          <w:w w:val="105"/>
        </w:rPr>
        <w:t>desem- pleo y cuando es excesiva se produce la inflación. Al respecto,</w:t>
      </w:r>
      <w:r>
        <w:rPr>
          <w:color w:val="231F20"/>
          <w:spacing w:val="-16"/>
          <w:w w:val="105"/>
        </w:rPr>
        <w:t> </w:t>
      </w:r>
      <w:r>
        <w:rPr>
          <w:color w:val="231F20"/>
          <w:w w:val="105"/>
        </w:rPr>
        <w:t>Keynes acepta que los aumentos de la cantidad de dinero llevarán a elevar el nivel de precios, pues el impacto inicial del incremento en la oferta</w:t>
      </w:r>
      <w:r>
        <w:rPr>
          <w:color w:val="231F20"/>
          <w:spacing w:val="-20"/>
          <w:w w:val="105"/>
        </w:rPr>
        <w:t> </w:t>
      </w:r>
      <w:r>
        <w:rPr>
          <w:color w:val="231F20"/>
          <w:w w:val="105"/>
        </w:rPr>
        <w:t>mo- netaria,</w:t>
      </w:r>
      <w:r>
        <w:rPr>
          <w:color w:val="231F20"/>
          <w:spacing w:val="-26"/>
          <w:w w:val="105"/>
        </w:rPr>
        <w:t> </w:t>
      </w:r>
      <w:r>
        <w:rPr>
          <w:color w:val="231F20"/>
          <w:w w:val="105"/>
        </w:rPr>
        <w:t>disminuye</w:t>
      </w:r>
      <w:r>
        <w:rPr>
          <w:color w:val="231F20"/>
          <w:spacing w:val="-20"/>
          <w:w w:val="105"/>
        </w:rPr>
        <w:t> </w:t>
      </w:r>
      <w:r>
        <w:rPr>
          <w:color w:val="231F20"/>
          <w:w w:val="105"/>
        </w:rPr>
        <w:t>las</w:t>
      </w:r>
      <w:r>
        <w:rPr>
          <w:color w:val="231F20"/>
          <w:spacing w:val="-20"/>
          <w:w w:val="105"/>
        </w:rPr>
        <w:t> </w:t>
      </w:r>
      <w:r>
        <w:rPr>
          <w:color w:val="231F20"/>
          <w:w w:val="105"/>
        </w:rPr>
        <w:t>tasas</w:t>
      </w:r>
      <w:r>
        <w:rPr>
          <w:color w:val="231F20"/>
          <w:spacing w:val="-20"/>
          <w:w w:val="105"/>
        </w:rPr>
        <w:t> </w:t>
      </w:r>
      <w:r>
        <w:rPr>
          <w:color w:val="231F20"/>
          <w:w w:val="105"/>
        </w:rPr>
        <w:t>de</w:t>
      </w:r>
      <w:r>
        <w:rPr>
          <w:color w:val="231F20"/>
          <w:spacing w:val="-20"/>
          <w:w w:val="105"/>
        </w:rPr>
        <w:t> </w:t>
      </w:r>
      <w:r>
        <w:rPr>
          <w:color w:val="231F20"/>
          <w:w w:val="105"/>
        </w:rPr>
        <w:t>interés</w:t>
      </w:r>
      <w:r>
        <w:rPr>
          <w:color w:val="231F20"/>
          <w:spacing w:val="-20"/>
          <w:w w:val="105"/>
        </w:rPr>
        <w:t> </w:t>
      </w:r>
      <w:r>
        <w:rPr>
          <w:color w:val="231F20"/>
          <w:w w:val="105"/>
        </w:rPr>
        <w:t>e</w:t>
      </w:r>
      <w:r>
        <w:rPr>
          <w:color w:val="231F20"/>
          <w:spacing w:val="-20"/>
          <w:w w:val="105"/>
        </w:rPr>
        <w:t> </w:t>
      </w:r>
      <w:r>
        <w:rPr>
          <w:color w:val="231F20"/>
          <w:w w:val="105"/>
        </w:rPr>
        <w:t>incrementa</w:t>
      </w:r>
      <w:r>
        <w:rPr>
          <w:color w:val="231F20"/>
          <w:spacing w:val="-20"/>
          <w:w w:val="105"/>
        </w:rPr>
        <w:t> </w:t>
      </w:r>
      <w:r>
        <w:rPr>
          <w:color w:val="231F20"/>
          <w:w w:val="105"/>
        </w:rPr>
        <w:t>la</w:t>
      </w:r>
      <w:r>
        <w:rPr>
          <w:color w:val="231F20"/>
          <w:spacing w:val="-20"/>
          <w:w w:val="105"/>
        </w:rPr>
        <w:t> </w:t>
      </w:r>
      <w:r>
        <w:rPr>
          <w:color w:val="231F20"/>
          <w:w w:val="105"/>
        </w:rPr>
        <w:t>demanda</w:t>
      </w:r>
      <w:r>
        <w:rPr>
          <w:color w:val="231F20"/>
          <w:spacing w:val="-20"/>
          <w:w w:val="105"/>
        </w:rPr>
        <w:t> </w:t>
      </w:r>
      <w:r>
        <w:rPr>
          <w:color w:val="231F20"/>
          <w:w w:val="105"/>
        </w:rPr>
        <w:t>efectiva por inversión, asociada a un aumento del ingreso, del empleo y de la producción. </w:t>
      </w:r>
      <w:r>
        <w:rPr>
          <w:color w:val="231F20"/>
          <w:spacing w:val="-5"/>
          <w:w w:val="105"/>
        </w:rPr>
        <w:t>Pero, </w:t>
      </w:r>
      <w:r>
        <w:rPr>
          <w:color w:val="231F20"/>
          <w:w w:val="105"/>
        </w:rPr>
        <w:t>por otro lado, considera que los precios también co- mienzan</w:t>
      </w:r>
      <w:r>
        <w:rPr>
          <w:color w:val="231F20"/>
          <w:spacing w:val="-14"/>
          <w:w w:val="105"/>
        </w:rPr>
        <w:t> </w:t>
      </w:r>
      <w:r>
        <w:rPr>
          <w:color w:val="231F20"/>
          <w:w w:val="105"/>
        </w:rPr>
        <w:t>a</w:t>
      </w:r>
      <w:r>
        <w:rPr>
          <w:color w:val="231F20"/>
          <w:spacing w:val="-14"/>
          <w:w w:val="105"/>
        </w:rPr>
        <w:t> </w:t>
      </w:r>
      <w:r>
        <w:rPr>
          <w:color w:val="231F20"/>
          <w:w w:val="105"/>
        </w:rPr>
        <w:t>subir</w:t>
      </w:r>
      <w:r>
        <w:rPr>
          <w:color w:val="231F20"/>
          <w:spacing w:val="-14"/>
          <w:w w:val="105"/>
        </w:rPr>
        <w:t> </w:t>
      </w:r>
      <w:r>
        <w:rPr>
          <w:color w:val="231F20"/>
          <w:w w:val="105"/>
        </w:rPr>
        <w:t>a</w:t>
      </w:r>
      <w:r>
        <w:rPr>
          <w:color w:val="231F20"/>
          <w:spacing w:val="-14"/>
          <w:w w:val="105"/>
        </w:rPr>
        <w:t> </w:t>
      </w:r>
      <w:r>
        <w:rPr>
          <w:color w:val="231F20"/>
          <w:w w:val="105"/>
        </w:rPr>
        <w:t>causa</w:t>
      </w:r>
      <w:r>
        <w:rPr>
          <w:color w:val="231F20"/>
          <w:spacing w:val="-14"/>
          <w:w w:val="105"/>
        </w:rPr>
        <w:t> </w:t>
      </w:r>
      <w:r>
        <w:rPr>
          <w:color w:val="231F20"/>
          <w:w w:val="105"/>
        </w:rPr>
        <w:t>del</w:t>
      </w:r>
      <w:r>
        <w:rPr>
          <w:color w:val="231F20"/>
          <w:spacing w:val="-14"/>
          <w:w w:val="105"/>
        </w:rPr>
        <w:t> </w:t>
      </w:r>
      <w:r>
        <w:rPr>
          <w:color w:val="231F20"/>
          <w:w w:val="105"/>
        </w:rPr>
        <w:t>incremento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costo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mano</w:t>
      </w:r>
      <w:r>
        <w:rPr>
          <w:color w:val="231F20"/>
          <w:spacing w:val="-14"/>
          <w:w w:val="105"/>
        </w:rPr>
        <w:t> </w:t>
      </w:r>
      <w:r>
        <w:rPr>
          <w:color w:val="231F20"/>
          <w:w w:val="105"/>
        </w:rPr>
        <w:t>de</w:t>
      </w:r>
      <w:r>
        <w:rPr>
          <w:color w:val="231F20"/>
          <w:spacing w:val="-14"/>
          <w:w w:val="105"/>
        </w:rPr>
        <w:t> </w:t>
      </w:r>
      <w:r>
        <w:rPr>
          <w:color w:val="231F20"/>
          <w:w w:val="105"/>
        </w:rPr>
        <w:t>obra. Keynes</w:t>
      </w:r>
      <w:r>
        <w:rPr>
          <w:color w:val="231F20"/>
          <w:spacing w:val="-5"/>
          <w:w w:val="105"/>
        </w:rPr>
        <w:t> </w:t>
      </w:r>
      <w:r>
        <w:rPr>
          <w:color w:val="231F20"/>
          <w:w w:val="105"/>
        </w:rPr>
        <w:t>relaciona</w:t>
      </w:r>
      <w:r>
        <w:rPr>
          <w:color w:val="231F20"/>
          <w:spacing w:val="-5"/>
          <w:w w:val="105"/>
        </w:rPr>
        <w:t> </w:t>
      </w:r>
      <w:r>
        <w:rPr>
          <w:color w:val="231F20"/>
          <w:w w:val="105"/>
        </w:rPr>
        <w:t>el</w:t>
      </w:r>
      <w:r>
        <w:rPr>
          <w:color w:val="231F20"/>
          <w:spacing w:val="-5"/>
          <w:w w:val="105"/>
        </w:rPr>
        <w:t> </w:t>
      </w:r>
      <w:r>
        <w:rPr>
          <w:color w:val="231F20"/>
          <w:w w:val="105"/>
        </w:rPr>
        <w:t>nivel</w:t>
      </w:r>
      <w:r>
        <w:rPr>
          <w:color w:val="231F20"/>
          <w:spacing w:val="-5"/>
          <w:w w:val="105"/>
        </w:rPr>
        <w:t> </w:t>
      </w:r>
      <w:r>
        <w:rPr>
          <w:color w:val="231F20"/>
          <w:w w:val="105"/>
        </w:rPr>
        <w:t>de</w:t>
      </w:r>
      <w:r>
        <w:rPr>
          <w:color w:val="231F20"/>
          <w:spacing w:val="-5"/>
          <w:w w:val="105"/>
        </w:rPr>
        <w:t> </w:t>
      </w:r>
      <w:r>
        <w:rPr>
          <w:color w:val="231F20"/>
          <w:w w:val="105"/>
        </w:rPr>
        <w:t>ocupación</w:t>
      </w:r>
      <w:r>
        <w:rPr>
          <w:color w:val="231F20"/>
          <w:spacing w:val="-5"/>
          <w:w w:val="105"/>
        </w:rPr>
        <w:t> </w:t>
      </w:r>
      <w:r>
        <w:rPr>
          <w:color w:val="231F20"/>
          <w:w w:val="105"/>
        </w:rPr>
        <w:t>(</w:t>
      </w:r>
      <w:r>
        <w:rPr>
          <w:i/>
          <w:color w:val="231F20"/>
          <w:w w:val="105"/>
        </w:rPr>
        <w:t>N</w:t>
      </w:r>
      <w:r>
        <w:rPr>
          <w:color w:val="231F20"/>
          <w:w w:val="105"/>
        </w:rPr>
        <w:t>)</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modelo</w:t>
      </w:r>
      <w:r>
        <w:rPr>
          <w:color w:val="231F20"/>
          <w:spacing w:val="-5"/>
          <w:w w:val="105"/>
        </w:rPr>
        <w:t> </w:t>
      </w:r>
      <w:r>
        <w:rPr>
          <w:color w:val="231F20"/>
          <w:w w:val="105"/>
        </w:rPr>
        <w:t>macroeconó- mico</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curvas</w:t>
      </w:r>
      <w:r>
        <w:rPr>
          <w:color w:val="231F20"/>
          <w:spacing w:val="-8"/>
          <w:w w:val="105"/>
        </w:rPr>
        <w:t> </w:t>
      </w:r>
      <w:r>
        <w:rPr>
          <w:color w:val="231F20"/>
          <w:w w:val="105"/>
        </w:rPr>
        <w:t>de</w:t>
      </w:r>
      <w:r>
        <w:rPr>
          <w:color w:val="231F20"/>
          <w:spacing w:val="-8"/>
          <w:w w:val="105"/>
        </w:rPr>
        <w:t> </w:t>
      </w:r>
      <w:r>
        <w:rPr>
          <w:color w:val="231F20"/>
          <w:w w:val="105"/>
        </w:rPr>
        <w:t>oferta</w:t>
      </w:r>
      <w:r>
        <w:rPr>
          <w:color w:val="231F20"/>
          <w:spacing w:val="-8"/>
          <w:w w:val="105"/>
        </w:rPr>
        <w:t> </w:t>
      </w:r>
      <w:r>
        <w:rPr>
          <w:color w:val="231F20"/>
          <w:w w:val="105"/>
        </w:rPr>
        <w:t>agregada</w:t>
      </w:r>
      <w:r>
        <w:rPr>
          <w:color w:val="231F20"/>
          <w:spacing w:val="-8"/>
          <w:w w:val="105"/>
        </w:rPr>
        <w:t> </w:t>
      </w:r>
      <w:r>
        <w:rPr>
          <w:color w:val="231F20"/>
          <w:w w:val="105"/>
        </w:rPr>
        <w:t>(</w:t>
      </w:r>
      <w:r>
        <w:rPr>
          <w:i/>
          <w:color w:val="231F20"/>
          <w:w w:val="105"/>
        </w:rPr>
        <w:t>OA</w:t>
      </w:r>
      <w:r>
        <w:rPr>
          <w:color w:val="231F20"/>
          <w:w w:val="105"/>
        </w:rPr>
        <w:t>)</w:t>
      </w:r>
      <w:r>
        <w:rPr>
          <w:color w:val="231F20"/>
          <w:spacing w:val="-8"/>
          <w:w w:val="105"/>
        </w:rPr>
        <w:t> </w:t>
      </w:r>
      <w:r>
        <w:rPr>
          <w:color w:val="231F20"/>
          <w:w w:val="105"/>
        </w:rPr>
        <w:t>y</w:t>
      </w:r>
      <w:r>
        <w:rPr>
          <w:color w:val="231F20"/>
          <w:spacing w:val="-8"/>
          <w:w w:val="105"/>
        </w:rPr>
        <w:t> </w:t>
      </w:r>
      <w:r>
        <w:rPr>
          <w:color w:val="231F20"/>
          <w:w w:val="105"/>
        </w:rPr>
        <w:t>demanda</w:t>
      </w:r>
      <w:r>
        <w:rPr>
          <w:color w:val="231F20"/>
          <w:spacing w:val="-8"/>
          <w:w w:val="105"/>
        </w:rPr>
        <w:t> </w:t>
      </w:r>
      <w:r>
        <w:rPr>
          <w:color w:val="231F20"/>
          <w:w w:val="105"/>
        </w:rPr>
        <w:t>agregada</w:t>
      </w:r>
      <w:r>
        <w:rPr>
          <w:color w:val="231F20"/>
          <w:spacing w:val="-8"/>
          <w:w w:val="105"/>
        </w:rPr>
        <w:t> </w:t>
      </w:r>
      <w:r>
        <w:rPr>
          <w:color w:val="231F20"/>
          <w:w w:val="105"/>
        </w:rPr>
        <w:t>(</w:t>
      </w:r>
      <w:r>
        <w:rPr>
          <w:i/>
          <w:color w:val="231F20"/>
          <w:w w:val="105"/>
        </w:rPr>
        <w:t>DA</w:t>
      </w:r>
      <w:r>
        <w:rPr>
          <w:color w:val="231F20"/>
          <w:w w:val="105"/>
        </w:rPr>
        <w:t>);</w:t>
      </w:r>
    </w:p>
    <w:p>
      <w:pPr>
        <w:spacing w:after="0" w:line="259" w:lineRule="auto"/>
        <w:sectPr>
          <w:pgSz w:w="9640" w:h="13890"/>
          <w:pgMar w:top="0" w:bottom="280" w:left="1300" w:right="1180"/>
        </w:sectPr>
      </w:pPr>
    </w:p>
    <w:p>
      <w:pPr>
        <w:pStyle w:val="BodyText"/>
        <w:spacing w:line="259" w:lineRule="auto" w:before="120"/>
        <w:ind w:left="103" w:right="114"/>
        <w:jc w:val="both"/>
      </w:pP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punto</w:t>
      </w:r>
      <w:r>
        <w:rPr>
          <w:color w:val="231F20"/>
          <w:spacing w:val="-17"/>
          <w:w w:val="105"/>
        </w:rPr>
        <w:t> </w:t>
      </w:r>
      <w:r>
        <w:rPr>
          <w:color w:val="231F20"/>
          <w:w w:val="105"/>
        </w:rPr>
        <w:t>donde</w:t>
      </w:r>
      <w:r>
        <w:rPr>
          <w:color w:val="231F20"/>
          <w:spacing w:val="-17"/>
          <w:w w:val="105"/>
        </w:rPr>
        <w:t> </w:t>
      </w:r>
      <w:r>
        <w:rPr>
          <w:i/>
          <w:color w:val="231F20"/>
          <w:w w:val="105"/>
        </w:rPr>
        <w:t>OA</w:t>
      </w:r>
      <w:r>
        <w:rPr>
          <w:i/>
          <w:color w:val="231F20"/>
          <w:spacing w:val="-17"/>
          <w:w w:val="105"/>
        </w:rPr>
        <w:t> </w:t>
      </w:r>
      <w:r>
        <w:rPr>
          <w:color w:val="231F20"/>
          <w:w w:val="105"/>
        </w:rPr>
        <w:t>=</w:t>
      </w:r>
      <w:r>
        <w:rPr>
          <w:color w:val="231F20"/>
          <w:spacing w:val="-17"/>
          <w:w w:val="105"/>
        </w:rPr>
        <w:t> </w:t>
      </w:r>
      <w:r>
        <w:rPr>
          <w:i/>
          <w:color w:val="231F20"/>
          <w:spacing w:val="-3"/>
          <w:w w:val="105"/>
        </w:rPr>
        <w:t>DA</w:t>
      </w:r>
      <w:r>
        <w:rPr>
          <w:i/>
          <w:color w:val="231F20"/>
          <w:spacing w:val="-17"/>
          <w:w w:val="105"/>
        </w:rPr>
        <w:t> </w:t>
      </w:r>
      <w:r>
        <w:rPr>
          <w:color w:val="231F20"/>
          <w:w w:val="105"/>
        </w:rPr>
        <w:t>surgirá</w:t>
      </w:r>
      <w:r>
        <w:rPr>
          <w:color w:val="231F20"/>
          <w:spacing w:val="-17"/>
          <w:w w:val="105"/>
        </w:rPr>
        <w:t> </w:t>
      </w:r>
      <w:r>
        <w:rPr>
          <w:i/>
          <w:color w:val="231F20"/>
          <w:w w:val="105"/>
        </w:rPr>
        <w:t>N</w:t>
      </w:r>
      <w:r>
        <w:rPr>
          <w:color w:val="231F20"/>
          <w:w w:val="105"/>
        </w:rPr>
        <w:t>,</w:t>
      </w:r>
      <w:r>
        <w:rPr>
          <w:color w:val="231F20"/>
          <w:spacing w:val="-24"/>
          <w:w w:val="105"/>
        </w:rPr>
        <w:t> </w:t>
      </w:r>
      <w:r>
        <w:rPr>
          <w:color w:val="231F20"/>
          <w:w w:val="105"/>
        </w:rPr>
        <w:t>es</w:t>
      </w:r>
      <w:r>
        <w:rPr>
          <w:color w:val="231F20"/>
          <w:spacing w:val="-17"/>
          <w:w w:val="105"/>
        </w:rPr>
        <w:t> </w:t>
      </w:r>
      <w:r>
        <w:rPr>
          <w:color w:val="231F20"/>
          <w:w w:val="105"/>
        </w:rPr>
        <w:t>decir,</w:t>
      </w:r>
      <w:r>
        <w:rPr>
          <w:color w:val="231F20"/>
          <w:spacing w:val="-24"/>
          <w:w w:val="105"/>
        </w:rPr>
        <w:t> </w:t>
      </w:r>
      <w:r>
        <w:rPr>
          <w:color w:val="231F20"/>
          <w:w w:val="105"/>
        </w:rPr>
        <w:t>se</w:t>
      </w:r>
      <w:r>
        <w:rPr>
          <w:color w:val="231F20"/>
          <w:spacing w:val="-17"/>
          <w:w w:val="105"/>
        </w:rPr>
        <w:t> </w:t>
      </w:r>
      <w:r>
        <w:rPr>
          <w:color w:val="231F20"/>
          <w:w w:val="105"/>
        </w:rPr>
        <w:t>obtendrá</w:t>
      </w:r>
      <w:r>
        <w:rPr>
          <w:color w:val="231F20"/>
          <w:spacing w:val="-17"/>
          <w:w w:val="105"/>
        </w:rPr>
        <w:t> </w:t>
      </w:r>
      <w:r>
        <w:rPr>
          <w:color w:val="231F20"/>
          <w:w w:val="105"/>
        </w:rPr>
        <w:t>un determinado</w:t>
      </w:r>
      <w:r>
        <w:rPr>
          <w:color w:val="231F20"/>
          <w:spacing w:val="-8"/>
          <w:w w:val="105"/>
        </w:rPr>
        <w:t> </w:t>
      </w:r>
      <w:r>
        <w:rPr>
          <w:color w:val="231F20"/>
          <w:w w:val="105"/>
        </w:rPr>
        <w:t>nivel</w:t>
      </w:r>
      <w:r>
        <w:rPr>
          <w:color w:val="231F20"/>
          <w:spacing w:val="-8"/>
          <w:w w:val="105"/>
        </w:rPr>
        <w:t> </w:t>
      </w:r>
      <w:r>
        <w:rPr>
          <w:color w:val="231F20"/>
          <w:w w:val="105"/>
        </w:rPr>
        <w:t>de</w:t>
      </w:r>
      <w:r>
        <w:rPr>
          <w:color w:val="231F20"/>
          <w:spacing w:val="-8"/>
          <w:w w:val="105"/>
        </w:rPr>
        <w:t> </w:t>
      </w:r>
      <w:r>
        <w:rPr>
          <w:color w:val="231F20"/>
          <w:w w:val="105"/>
        </w:rPr>
        <w:t>ocupación</w:t>
      </w:r>
      <w:r>
        <w:rPr>
          <w:color w:val="231F20"/>
          <w:spacing w:val="-8"/>
          <w:w w:val="105"/>
        </w:rPr>
        <w:t> </w:t>
      </w:r>
      <w:r>
        <w:rPr>
          <w:color w:val="231F20"/>
          <w:w w:val="105"/>
        </w:rPr>
        <w:t>general.</w:t>
      </w:r>
      <w:r>
        <w:rPr>
          <w:color w:val="231F20"/>
          <w:spacing w:val="-14"/>
          <w:w w:val="105"/>
        </w:rPr>
        <w:t> </w:t>
      </w:r>
      <w:r>
        <w:rPr>
          <w:color w:val="231F20"/>
          <w:w w:val="105"/>
        </w:rPr>
        <w:t>Sin</w:t>
      </w:r>
      <w:r>
        <w:rPr>
          <w:color w:val="231F20"/>
          <w:spacing w:val="-8"/>
          <w:w w:val="105"/>
        </w:rPr>
        <w:t> </w:t>
      </w:r>
      <w:r>
        <w:rPr>
          <w:color w:val="231F20"/>
          <w:w w:val="105"/>
        </w:rPr>
        <w:t>embargo,</w:t>
      </w:r>
      <w:r>
        <w:rPr>
          <w:color w:val="231F20"/>
          <w:spacing w:val="-14"/>
          <w:w w:val="105"/>
        </w:rPr>
        <w:t> </w:t>
      </w:r>
      <w:r>
        <w:rPr>
          <w:color w:val="231F20"/>
          <w:w w:val="105"/>
        </w:rPr>
        <w:t>esto</w:t>
      </w:r>
      <w:r>
        <w:rPr>
          <w:color w:val="231F20"/>
          <w:spacing w:val="-8"/>
          <w:w w:val="105"/>
        </w:rPr>
        <w:t> </w:t>
      </w:r>
      <w:r>
        <w:rPr>
          <w:color w:val="231F20"/>
          <w:w w:val="105"/>
        </w:rPr>
        <w:t>no</w:t>
      </w:r>
      <w:r>
        <w:rPr>
          <w:color w:val="231F20"/>
          <w:spacing w:val="-8"/>
          <w:w w:val="105"/>
        </w:rPr>
        <w:t> </w:t>
      </w:r>
      <w:r>
        <w:rPr>
          <w:color w:val="231F20"/>
          <w:w w:val="105"/>
        </w:rPr>
        <w:t>significa que</w:t>
      </w:r>
      <w:r>
        <w:rPr>
          <w:color w:val="231F20"/>
          <w:spacing w:val="-14"/>
          <w:w w:val="105"/>
        </w:rPr>
        <w:t> </w:t>
      </w:r>
      <w:r>
        <w:rPr>
          <w:color w:val="231F20"/>
          <w:w w:val="105"/>
        </w:rPr>
        <w:t>haya</w:t>
      </w:r>
      <w:r>
        <w:rPr>
          <w:color w:val="231F20"/>
          <w:spacing w:val="-14"/>
          <w:w w:val="105"/>
        </w:rPr>
        <w:t> </w:t>
      </w:r>
      <w:r>
        <w:rPr>
          <w:color w:val="231F20"/>
          <w:w w:val="105"/>
        </w:rPr>
        <w:t>un</w:t>
      </w:r>
      <w:r>
        <w:rPr>
          <w:color w:val="231F20"/>
          <w:spacing w:val="-14"/>
          <w:w w:val="105"/>
        </w:rPr>
        <w:t> </w:t>
      </w:r>
      <w:r>
        <w:rPr>
          <w:color w:val="231F20"/>
          <w:w w:val="105"/>
        </w:rPr>
        <w:t>nivel</w:t>
      </w:r>
      <w:r>
        <w:rPr>
          <w:color w:val="231F20"/>
          <w:spacing w:val="-14"/>
          <w:w w:val="105"/>
        </w:rPr>
        <w:t> </w:t>
      </w:r>
      <w:r>
        <w:rPr>
          <w:color w:val="231F20"/>
          <w:w w:val="105"/>
        </w:rPr>
        <w:t>de</w:t>
      </w:r>
      <w:r>
        <w:rPr>
          <w:color w:val="231F20"/>
          <w:spacing w:val="-14"/>
          <w:w w:val="105"/>
        </w:rPr>
        <w:t> </w:t>
      </w:r>
      <w:r>
        <w:rPr>
          <w:color w:val="231F20"/>
          <w:w w:val="105"/>
        </w:rPr>
        <w:t>desocupación</w:t>
      </w:r>
      <w:r>
        <w:rPr>
          <w:color w:val="231F20"/>
          <w:spacing w:val="-14"/>
          <w:w w:val="105"/>
        </w:rPr>
        <w:t> </w:t>
      </w:r>
      <w:r>
        <w:rPr>
          <w:color w:val="231F20"/>
          <w:w w:val="105"/>
        </w:rPr>
        <w:t>nulo,</w:t>
      </w:r>
      <w:r>
        <w:rPr>
          <w:color w:val="231F20"/>
          <w:spacing w:val="-20"/>
          <w:w w:val="105"/>
        </w:rPr>
        <w:t> </w:t>
      </w:r>
      <w:r>
        <w:rPr>
          <w:color w:val="231F20"/>
          <w:w w:val="105"/>
        </w:rPr>
        <w:t>pues</w:t>
      </w:r>
      <w:r>
        <w:rPr>
          <w:color w:val="231F20"/>
          <w:spacing w:val="-14"/>
          <w:w w:val="105"/>
        </w:rPr>
        <w:t> </w:t>
      </w:r>
      <w:r>
        <w:rPr>
          <w:color w:val="231F20"/>
          <w:w w:val="105"/>
        </w:rPr>
        <w:t>nada</w:t>
      </w:r>
      <w:r>
        <w:rPr>
          <w:color w:val="231F20"/>
          <w:spacing w:val="-14"/>
          <w:w w:val="105"/>
        </w:rPr>
        <w:t> </w:t>
      </w:r>
      <w:r>
        <w:rPr>
          <w:color w:val="231F20"/>
          <w:w w:val="105"/>
        </w:rPr>
        <w:t>garantiza</w:t>
      </w:r>
      <w:r>
        <w:rPr>
          <w:color w:val="231F20"/>
          <w:spacing w:val="-14"/>
          <w:w w:val="105"/>
        </w:rPr>
        <w:t> </w:t>
      </w:r>
      <w:r>
        <w:rPr>
          <w:color w:val="231F20"/>
          <w:w w:val="105"/>
        </w:rPr>
        <w:t>que</w:t>
      </w:r>
      <w:r>
        <w:rPr>
          <w:color w:val="231F20"/>
          <w:spacing w:val="-14"/>
          <w:w w:val="105"/>
        </w:rPr>
        <w:t> </w:t>
      </w:r>
      <w:r>
        <w:rPr>
          <w:color w:val="231F20"/>
          <w:w w:val="105"/>
        </w:rPr>
        <w:t>estas curvas</w:t>
      </w:r>
      <w:r>
        <w:rPr>
          <w:color w:val="231F20"/>
          <w:spacing w:val="-15"/>
          <w:w w:val="105"/>
        </w:rPr>
        <w:t> </w:t>
      </w:r>
      <w:r>
        <w:rPr>
          <w:color w:val="231F20"/>
          <w:w w:val="105"/>
        </w:rPr>
        <w:t>se</w:t>
      </w:r>
      <w:r>
        <w:rPr>
          <w:color w:val="231F20"/>
          <w:spacing w:val="-15"/>
          <w:w w:val="105"/>
        </w:rPr>
        <w:t> </w:t>
      </w:r>
      <w:r>
        <w:rPr>
          <w:color w:val="231F20"/>
          <w:w w:val="105"/>
        </w:rPr>
        <w:t>encuentren</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nivel</w:t>
      </w:r>
      <w:r>
        <w:rPr>
          <w:color w:val="231F20"/>
          <w:spacing w:val="-15"/>
          <w:w w:val="105"/>
        </w:rPr>
        <w:t> </w:t>
      </w:r>
      <w:r>
        <w:rPr>
          <w:color w:val="231F20"/>
          <w:w w:val="105"/>
        </w:rPr>
        <w:t>de</w:t>
      </w:r>
      <w:r>
        <w:rPr>
          <w:color w:val="231F20"/>
          <w:spacing w:val="-15"/>
          <w:w w:val="105"/>
        </w:rPr>
        <w:t> </w:t>
      </w:r>
      <w:r>
        <w:rPr>
          <w:color w:val="231F20"/>
          <w:w w:val="105"/>
        </w:rPr>
        <w:t>pleno</w:t>
      </w:r>
      <w:r>
        <w:rPr>
          <w:color w:val="231F20"/>
          <w:spacing w:val="-15"/>
          <w:w w:val="105"/>
        </w:rPr>
        <w:t> </w:t>
      </w:r>
      <w:r>
        <w:rPr>
          <w:color w:val="231F20"/>
          <w:w w:val="105"/>
        </w:rPr>
        <w:t>empleo.</w:t>
      </w:r>
    </w:p>
    <w:p>
      <w:pPr>
        <w:pStyle w:val="BodyText"/>
        <w:spacing w:line="259" w:lineRule="auto"/>
        <w:ind w:left="103" w:right="115" w:firstLine="567"/>
        <w:jc w:val="both"/>
      </w:pPr>
      <w:r>
        <w:rPr>
          <w:color w:val="231F20"/>
          <w:w w:val="105"/>
        </w:rPr>
        <w:t>En este enfoque se considera a la </w:t>
      </w:r>
      <w:r>
        <w:rPr>
          <w:i/>
          <w:color w:val="231F20"/>
          <w:w w:val="105"/>
        </w:rPr>
        <w:t>OA </w:t>
      </w:r>
      <w:r>
        <w:rPr>
          <w:color w:val="231F20"/>
          <w:w w:val="105"/>
        </w:rPr>
        <w:t>como variable exógena</w:t>
      </w:r>
      <w:r>
        <w:rPr>
          <w:color w:val="231F20"/>
          <w:spacing w:val="-23"/>
          <w:w w:val="105"/>
        </w:rPr>
        <w:t> </w:t>
      </w:r>
      <w:r>
        <w:rPr>
          <w:color w:val="231F20"/>
          <w:w w:val="105"/>
        </w:rPr>
        <w:t>en el</w:t>
      </w:r>
      <w:r>
        <w:rPr>
          <w:color w:val="231F20"/>
          <w:spacing w:val="-5"/>
          <w:w w:val="105"/>
        </w:rPr>
        <w:t> </w:t>
      </w:r>
      <w:r>
        <w:rPr>
          <w:color w:val="231F20"/>
          <w:w w:val="105"/>
        </w:rPr>
        <w:t>modelo</w:t>
      </w:r>
      <w:r>
        <w:rPr>
          <w:color w:val="231F20"/>
          <w:spacing w:val="-5"/>
          <w:w w:val="105"/>
        </w:rPr>
        <w:t> </w:t>
      </w:r>
      <w:r>
        <w:rPr>
          <w:color w:val="231F20"/>
          <w:w w:val="105"/>
        </w:rPr>
        <w:t>y</w:t>
      </w:r>
      <w:r>
        <w:rPr>
          <w:color w:val="231F20"/>
          <w:spacing w:val="-5"/>
          <w:w w:val="105"/>
        </w:rPr>
        <w:t> </w:t>
      </w:r>
      <w:r>
        <w:rPr>
          <w:color w:val="231F20"/>
          <w:w w:val="105"/>
        </w:rPr>
        <w:t>expresa</w:t>
      </w:r>
      <w:r>
        <w:rPr>
          <w:color w:val="231F20"/>
          <w:spacing w:val="-5"/>
          <w:w w:val="105"/>
        </w:rPr>
        <w:t> </w:t>
      </w:r>
      <w:r>
        <w:rPr>
          <w:color w:val="231F20"/>
          <w:w w:val="105"/>
        </w:rPr>
        <w:t>el</w:t>
      </w:r>
      <w:r>
        <w:rPr>
          <w:color w:val="231F20"/>
          <w:spacing w:val="-5"/>
          <w:w w:val="105"/>
        </w:rPr>
        <w:t> </w:t>
      </w:r>
      <w:r>
        <w:rPr>
          <w:color w:val="231F20"/>
          <w:w w:val="105"/>
        </w:rPr>
        <w:t>rendimiento</w:t>
      </w:r>
      <w:r>
        <w:rPr>
          <w:color w:val="231F20"/>
          <w:spacing w:val="-5"/>
          <w:w w:val="105"/>
        </w:rPr>
        <w:t> </w:t>
      </w:r>
      <w:r>
        <w:rPr>
          <w:color w:val="231F20"/>
          <w:w w:val="105"/>
        </w:rPr>
        <w:t>obtenido</w:t>
      </w:r>
      <w:r>
        <w:rPr>
          <w:color w:val="231F20"/>
          <w:spacing w:val="-5"/>
          <w:w w:val="105"/>
        </w:rPr>
        <w:t> </w:t>
      </w:r>
      <w:r>
        <w:rPr>
          <w:color w:val="231F20"/>
          <w:w w:val="105"/>
        </w:rPr>
        <w:t>al</w:t>
      </w:r>
      <w:r>
        <w:rPr>
          <w:color w:val="231F20"/>
          <w:spacing w:val="-5"/>
          <w:w w:val="105"/>
        </w:rPr>
        <w:t> </w:t>
      </w:r>
      <w:r>
        <w:rPr>
          <w:color w:val="231F20"/>
          <w:w w:val="105"/>
        </w:rPr>
        <w:t>variar</w:t>
      </w:r>
      <w:r>
        <w:rPr>
          <w:color w:val="231F20"/>
          <w:spacing w:val="-5"/>
          <w:w w:val="105"/>
        </w:rPr>
        <w:t> </w:t>
      </w:r>
      <w:r>
        <w:rPr>
          <w:color w:val="231F20"/>
          <w:w w:val="105"/>
        </w:rPr>
        <w:t>el</w:t>
      </w:r>
      <w:r>
        <w:rPr>
          <w:color w:val="231F20"/>
          <w:spacing w:val="-5"/>
          <w:w w:val="105"/>
        </w:rPr>
        <w:t> </w:t>
      </w:r>
      <w:r>
        <w:rPr>
          <w:color w:val="231F20"/>
          <w:w w:val="105"/>
        </w:rPr>
        <w:t>nivel</w:t>
      </w:r>
      <w:r>
        <w:rPr>
          <w:color w:val="231F20"/>
          <w:spacing w:val="-5"/>
          <w:w w:val="105"/>
        </w:rPr>
        <w:t> </w:t>
      </w:r>
      <w:r>
        <w:rPr>
          <w:color w:val="231F20"/>
          <w:w w:val="105"/>
        </w:rPr>
        <w:t>de</w:t>
      </w:r>
      <w:r>
        <w:rPr>
          <w:color w:val="231F20"/>
          <w:spacing w:val="-5"/>
          <w:w w:val="105"/>
        </w:rPr>
        <w:t> </w:t>
      </w:r>
      <w:r>
        <w:rPr>
          <w:color w:val="231F20"/>
          <w:w w:val="105"/>
        </w:rPr>
        <w:t>ocupa- ción,</w:t>
      </w:r>
      <w:r>
        <w:rPr>
          <w:color w:val="231F20"/>
          <w:spacing w:val="-23"/>
          <w:w w:val="105"/>
        </w:rPr>
        <w:t> </w:t>
      </w:r>
      <w:r>
        <w:rPr>
          <w:color w:val="231F20"/>
          <w:w w:val="105"/>
        </w:rPr>
        <w:t>por</w:t>
      </w:r>
      <w:r>
        <w:rPr>
          <w:color w:val="231F20"/>
          <w:spacing w:val="-17"/>
          <w:w w:val="105"/>
        </w:rPr>
        <w:t> </w:t>
      </w:r>
      <w:r>
        <w:rPr>
          <w:color w:val="231F20"/>
          <w:w w:val="105"/>
        </w:rPr>
        <w:t>ello</w:t>
      </w:r>
      <w:r>
        <w:rPr>
          <w:color w:val="231F20"/>
          <w:spacing w:val="-17"/>
          <w:w w:val="105"/>
        </w:rPr>
        <w:t> </w:t>
      </w:r>
      <w:r>
        <w:rPr>
          <w:color w:val="231F20"/>
          <w:w w:val="105"/>
        </w:rPr>
        <w:t>el</w:t>
      </w:r>
      <w:r>
        <w:rPr>
          <w:color w:val="231F20"/>
          <w:spacing w:val="-17"/>
          <w:w w:val="105"/>
        </w:rPr>
        <w:t> </w:t>
      </w:r>
      <w:r>
        <w:rPr>
          <w:color w:val="231F20"/>
          <w:w w:val="105"/>
        </w:rPr>
        <w:t>análisis</w:t>
      </w:r>
      <w:r>
        <w:rPr>
          <w:color w:val="231F20"/>
          <w:spacing w:val="-17"/>
          <w:w w:val="105"/>
        </w:rPr>
        <w:t> </w:t>
      </w:r>
      <w:r>
        <w:rPr>
          <w:color w:val="231F20"/>
          <w:w w:val="105"/>
        </w:rPr>
        <w:t>se</w:t>
      </w:r>
      <w:r>
        <w:rPr>
          <w:color w:val="231F20"/>
          <w:spacing w:val="-17"/>
          <w:w w:val="105"/>
        </w:rPr>
        <w:t> </w:t>
      </w:r>
      <w:r>
        <w:rPr>
          <w:color w:val="231F20"/>
          <w:w w:val="105"/>
        </w:rPr>
        <w:t>centra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i/>
          <w:color w:val="231F20"/>
          <w:spacing w:val="-3"/>
          <w:w w:val="105"/>
        </w:rPr>
        <w:t>DA</w:t>
      </w:r>
      <w:r>
        <w:rPr>
          <w:i/>
          <w:color w:val="231F20"/>
          <w:spacing w:val="-17"/>
          <w:w w:val="105"/>
        </w:rPr>
        <w:t> </w:t>
      </w:r>
      <w:r>
        <w:rPr>
          <w:color w:val="231F20"/>
          <w:w w:val="105"/>
        </w:rPr>
        <w:t>que</w:t>
      </w:r>
      <w:r>
        <w:rPr>
          <w:color w:val="231F20"/>
          <w:spacing w:val="-17"/>
          <w:w w:val="105"/>
        </w:rPr>
        <w:t> </w:t>
      </w:r>
      <w:r>
        <w:rPr>
          <w:color w:val="231F20"/>
          <w:w w:val="105"/>
        </w:rPr>
        <w:t>indica</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ingresos y</w:t>
      </w:r>
      <w:r>
        <w:rPr>
          <w:color w:val="231F20"/>
          <w:spacing w:val="-11"/>
          <w:w w:val="105"/>
        </w:rPr>
        <w:t> </w:t>
      </w:r>
      <w:r>
        <w:rPr>
          <w:color w:val="231F20"/>
          <w:w w:val="105"/>
        </w:rPr>
        <w:t>el</w:t>
      </w:r>
      <w:r>
        <w:rPr>
          <w:color w:val="231F20"/>
          <w:spacing w:val="-11"/>
          <w:w w:val="105"/>
        </w:rPr>
        <w:t> </w:t>
      </w:r>
      <w:r>
        <w:rPr>
          <w:color w:val="231F20"/>
          <w:w w:val="105"/>
        </w:rPr>
        <w:t>beneficio</w:t>
      </w:r>
      <w:r>
        <w:rPr>
          <w:color w:val="231F20"/>
          <w:spacing w:val="-11"/>
          <w:w w:val="105"/>
        </w:rPr>
        <w:t> </w:t>
      </w:r>
      <w:r>
        <w:rPr>
          <w:color w:val="231F20"/>
          <w:w w:val="105"/>
        </w:rPr>
        <w:t>obtenido</w:t>
      </w:r>
      <w:r>
        <w:rPr>
          <w:color w:val="231F20"/>
          <w:spacing w:val="-11"/>
          <w:w w:val="105"/>
        </w:rPr>
        <w:t> </w:t>
      </w:r>
      <w:r>
        <w:rPr>
          <w:color w:val="231F20"/>
          <w:w w:val="105"/>
        </w:rPr>
        <w:t>por</w:t>
      </w:r>
      <w:r>
        <w:rPr>
          <w:color w:val="231F20"/>
          <w:spacing w:val="-11"/>
          <w:w w:val="105"/>
        </w:rPr>
        <w:t> </w:t>
      </w:r>
      <w:r>
        <w:rPr>
          <w:color w:val="231F20"/>
          <w:w w:val="105"/>
        </w:rPr>
        <w:t>los</w:t>
      </w:r>
      <w:r>
        <w:rPr>
          <w:color w:val="231F20"/>
          <w:spacing w:val="-11"/>
          <w:w w:val="105"/>
        </w:rPr>
        <w:t> </w:t>
      </w:r>
      <w:r>
        <w:rPr>
          <w:color w:val="231F20"/>
          <w:w w:val="105"/>
        </w:rPr>
        <w:t>empresarios.</w:t>
      </w:r>
      <w:r>
        <w:rPr>
          <w:color w:val="231F20"/>
          <w:spacing w:val="-17"/>
          <w:w w:val="105"/>
        </w:rPr>
        <w:t> </w:t>
      </w:r>
      <w:r>
        <w:rPr>
          <w:color w:val="231F20"/>
          <w:w w:val="105"/>
        </w:rPr>
        <w:t>Mientras</w:t>
      </w:r>
      <w:r>
        <w:rPr>
          <w:color w:val="231F20"/>
          <w:spacing w:val="-11"/>
          <w:w w:val="105"/>
        </w:rPr>
        <w:t> </w:t>
      </w:r>
      <w:r>
        <w:rPr>
          <w:color w:val="231F20"/>
          <w:w w:val="105"/>
        </w:rPr>
        <w:t>que</w:t>
      </w:r>
      <w:r>
        <w:rPr>
          <w:color w:val="231F20"/>
          <w:spacing w:val="-11"/>
          <w:w w:val="105"/>
        </w:rPr>
        <w:t> </w:t>
      </w:r>
      <w:r>
        <w:rPr>
          <w:i/>
          <w:color w:val="231F20"/>
          <w:spacing w:val="-3"/>
          <w:w w:val="105"/>
        </w:rPr>
        <w:t>DA</w:t>
      </w:r>
      <w:r>
        <w:rPr>
          <w:i/>
          <w:color w:val="231F20"/>
          <w:spacing w:val="-11"/>
          <w:w w:val="105"/>
        </w:rPr>
        <w:t> </w:t>
      </w:r>
      <w:r>
        <w:rPr>
          <w:color w:val="231F20"/>
          <w:w w:val="105"/>
        </w:rPr>
        <w:t>&gt;</w:t>
      </w:r>
      <w:r>
        <w:rPr>
          <w:color w:val="231F20"/>
          <w:spacing w:val="-11"/>
          <w:w w:val="105"/>
        </w:rPr>
        <w:t> </w:t>
      </w:r>
      <w:r>
        <w:rPr>
          <w:i/>
          <w:color w:val="231F20"/>
          <w:w w:val="105"/>
        </w:rPr>
        <w:t>OA</w:t>
      </w:r>
      <w:r>
        <w:rPr>
          <w:i/>
          <w:color w:val="231F20"/>
          <w:spacing w:val="-11"/>
          <w:w w:val="105"/>
        </w:rPr>
        <w:t> </w:t>
      </w:r>
      <w:r>
        <w:rPr>
          <w:color w:val="231F20"/>
          <w:w w:val="105"/>
        </w:rPr>
        <w:t>o</w:t>
      </w:r>
      <w:r>
        <w:rPr>
          <w:color w:val="231F20"/>
          <w:spacing w:val="-11"/>
          <w:w w:val="105"/>
        </w:rPr>
        <w:t> </w:t>
      </w:r>
      <w:r>
        <w:rPr>
          <w:color w:val="231F20"/>
          <w:w w:val="105"/>
        </w:rPr>
        <w:t>los ingresos</w:t>
      </w:r>
      <w:r>
        <w:rPr>
          <w:color w:val="231F20"/>
          <w:spacing w:val="-14"/>
          <w:w w:val="105"/>
        </w:rPr>
        <w:t> </w:t>
      </w:r>
      <w:r>
        <w:rPr>
          <w:color w:val="231F20"/>
          <w:w w:val="105"/>
        </w:rPr>
        <w:t>mayores</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rendimientos,</w:t>
      </w:r>
      <w:r>
        <w:rPr>
          <w:color w:val="231F20"/>
          <w:spacing w:val="-20"/>
          <w:w w:val="105"/>
        </w:rPr>
        <w:t> </w:t>
      </w:r>
      <w:r>
        <w:rPr>
          <w:color w:val="231F20"/>
          <w:w w:val="105"/>
        </w:rPr>
        <w:t>no</w:t>
      </w:r>
      <w:r>
        <w:rPr>
          <w:color w:val="231F20"/>
          <w:spacing w:val="-14"/>
          <w:w w:val="105"/>
        </w:rPr>
        <w:t> </w:t>
      </w:r>
      <w:r>
        <w:rPr>
          <w:color w:val="231F20"/>
          <w:w w:val="105"/>
        </w:rPr>
        <w:t>existirá</w:t>
      </w:r>
      <w:r>
        <w:rPr>
          <w:color w:val="231F20"/>
          <w:spacing w:val="-14"/>
          <w:w w:val="105"/>
        </w:rPr>
        <w:t> </w:t>
      </w:r>
      <w:r>
        <w:rPr>
          <w:color w:val="231F20"/>
          <w:w w:val="105"/>
        </w:rPr>
        <w:t>desempleo,</w:t>
      </w:r>
      <w:r>
        <w:rPr>
          <w:color w:val="231F20"/>
          <w:spacing w:val="-20"/>
          <w:w w:val="105"/>
        </w:rPr>
        <w:t> </w:t>
      </w:r>
      <w:r>
        <w:rPr>
          <w:color w:val="231F20"/>
          <w:w w:val="105"/>
        </w:rPr>
        <w:t>pues</w:t>
      </w:r>
      <w:r>
        <w:rPr>
          <w:color w:val="231F20"/>
          <w:spacing w:val="-14"/>
          <w:w w:val="105"/>
        </w:rPr>
        <w:t> </w:t>
      </w:r>
      <w:r>
        <w:rPr>
          <w:color w:val="231F20"/>
          <w:w w:val="105"/>
        </w:rPr>
        <w:t>los empresarios incrementarán el número de trabajadores como único</w:t>
      </w:r>
      <w:r>
        <w:rPr>
          <w:color w:val="231F20"/>
          <w:spacing w:val="-26"/>
          <w:w w:val="105"/>
        </w:rPr>
        <w:t> </w:t>
      </w:r>
      <w:r>
        <w:rPr>
          <w:color w:val="231F20"/>
          <w:w w:val="105"/>
        </w:rPr>
        <w:t>fac- tor</w:t>
      </w:r>
      <w:r>
        <w:rPr>
          <w:color w:val="231F20"/>
          <w:spacing w:val="-19"/>
          <w:w w:val="105"/>
        </w:rPr>
        <w:t> </w:t>
      </w:r>
      <w:r>
        <w:rPr>
          <w:color w:val="231F20"/>
          <w:w w:val="105"/>
        </w:rPr>
        <w:t>variable</w:t>
      </w:r>
      <w:r>
        <w:rPr>
          <w:color w:val="231F20"/>
          <w:spacing w:val="-19"/>
          <w:w w:val="105"/>
        </w:rPr>
        <w:t> </w:t>
      </w:r>
      <w:r>
        <w:rPr>
          <w:color w:val="231F20"/>
          <w:w w:val="105"/>
        </w:rPr>
        <w:t>para</w:t>
      </w:r>
      <w:r>
        <w:rPr>
          <w:color w:val="231F20"/>
          <w:spacing w:val="-19"/>
          <w:w w:val="105"/>
        </w:rPr>
        <w:t> </w:t>
      </w:r>
      <w:r>
        <w:rPr>
          <w:color w:val="231F20"/>
          <w:w w:val="105"/>
        </w:rPr>
        <w:t>aumentar</w:t>
      </w:r>
      <w:r>
        <w:rPr>
          <w:color w:val="231F20"/>
          <w:spacing w:val="-19"/>
          <w:w w:val="105"/>
        </w:rPr>
        <w:t> </w:t>
      </w:r>
      <w:r>
        <w:rPr>
          <w:color w:val="231F20"/>
          <w:w w:val="105"/>
        </w:rPr>
        <w:t>sus</w:t>
      </w:r>
      <w:r>
        <w:rPr>
          <w:color w:val="231F20"/>
          <w:spacing w:val="-19"/>
          <w:w w:val="105"/>
        </w:rPr>
        <w:t> </w:t>
      </w:r>
      <w:r>
        <w:rPr>
          <w:color w:val="231F20"/>
          <w:w w:val="105"/>
        </w:rPr>
        <w:t>ingresos</w:t>
      </w:r>
      <w:r>
        <w:rPr>
          <w:color w:val="231F20"/>
          <w:spacing w:val="-19"/>
          <w:w w:val="105"/>
        </w:rPr>
        <w:t> </w:t>
      </w:r>
      <w:r>
        <w:rPr>
          <w:color w:val="231F20"/>
          <w:w w:val="105"/>
        </w:rPr>
        <w:t>(aplicando</w:t>
      </w:r>
      <w:r>
        <w:rPr>
          <w:color w:val="231F20"/>
          <w:spacing w:val="-19"/>
          <w:w w:val="105"/>
        </w:rPr>
        <w:t> </w:t>
      </w:r>
      <w:r>
        <w:rPr>
          <w:color w:val="231F20"/>
          <w:w w:val="105"/>
        </w:rPr>
        <w:t>el</w:t>
      </w:r>
      <w:r>
        <w:rPr>
          <w:color w:val="231F20"/>
          <w:spacing w:val="-19"/>
          <w:w w:val="105"/>
        </w:rPr>
        <w:t> </w:t>
      </w:r>
      <w:r>
        <w:rPr>
          <w:color w:val="231F20"/>
          <w:w w:val="105"/>
        </w:rPr>
        <w:t>principio</w:t>
      </w:r>
      <w:r>
        <w:rPr>
          <w:color w:val="231F20"/>
          <w:spacing w:val="-19"/>
          <w:w w:val="105"/>
        </w:rPr>
        <w:t> </w:t>
      </w:r>
      <w:r>
        <w:rPr>
          <w:color w:val="231F20"/>
          <w:w w:val="105"/>
        </w:rPr>
        <w:t>de</w:t>
      </w:r>
      <w:r>
        <w:rPr>
          <w:color w:val="231F20"/>
          <w:spacing w:val="-19"/>
          <w:w w:val="105"/>
        </w:rPr>
        <w:t> </w:t>
      </w:r>
      <w:r>
        <w:rPr>
          <w:color w:val="231F20"/>
          <w:w w:val="105"/>
        </w:rPr>
        <w:t>ceteris </w:t>
      </w:r>
      <w:r>
        <w:rPr>
          <w:color w:val="231F20"/>
        </w:rPr>
        <w:t>paribus) (León-León,</w:t>
      </w:r>
      <w:r>
        <w:rPr>
          <w:color w:val="231F20"/>
          <w:spacing w:val="16"/>
        </w:rPr>
        <w:t> </w:t>
      </w:r>
      <w:r>
        <w:rPr>
          <w:color w:val="231F20"/>
        </w:rPr>
        <w:t>2008).</w:t>
      </w:r>
    </w:p>
    <w:p>
      <w:pPr>
        <w:pStyle w:val="BodyText"/>
        <w:spacing w:line="259" w:lineRule="auto"/>
        <w:ind w:left="103" w:right="110" w:firstLine="567"/>
        <w:jc w:val="right"/>
      </w:pPr>
      <w:r>
        <w:rPr>
          <w:color w:val="231F20"/>
          <w:w w:val="105"/>
        </w:rPr>
        <w:t>Entonces, cuando </w:t>
      </w:r>
      <w:r>
        <w:rPr>
          <w:i/>
          <w:color w:val="231F20"/>
          <w:w w:val="105"/>
        </w:rPr>
        <w:t>OA </w:t>
      </w:r>
      <w:r>
        <w:rPr>
          <w:color w:val="231F20"/>
          <w:w w:val="105"/>
        </w:rPr>
        <w:t>= </w:t>
      </w:r>
      <w:r>
        <w:rPr>
          <w:i/>
          <w:color w:val="231F20"/>
          <w:w w:val="105"/>
        </w:rPr>
        <w:t>DA, </w:t>
      </w:r>
      <w:r>
        <w:rPr>
          <w:color w:val="231F20"/>
          <w:w w:val="105"/>
        </w:rPr>
        <w:t>el ingreso obtenido coincide</w:t>
      </w:r>
      <w:r>
        <w:rPr>
          <w:color w:val="231F20"/>
          <w:spacing w:val="59"/>
          <w:w w:val="105"/>
        </w:rPr>
        <w:t> </w:t>
      </w:r>
      <w:r>
        <w:rPr>
          <w:color w:val="231F20"/>
          <w:w w:val="105"/>
        </w:rPr>
        <w:t>con</w:t>
      </w:r>
      <w:r>
        <w:rPr>
          <w:color w:val="231F20"/>
          <w:spacing w:val="14"/>
          <w:w w:val="105"/>
        </w:rPr>
        <w:t> </w:t>
      </w:r>
      <w:r>
        <w:rPr>
          <w:color w:val="231F20"/>
          <w:w w:val="105"/>
        </w:rPr>
        <w:t>el</w:t>
      </w:r>
      <w:r>
        <w:rPr>
          <w:color w:val="231F20"/>
          <w:w w:val="105"/>
        </w:rPr>
        <w:t> </w:t>
      </w:r>
      <w:r>
        <w:rPr>
          <w:color w:val="231F20"/>
          <w:w w:val="105"/>
        </w:rPr>
        <w:t>rendimiento y ahí queda fijado el nivel de ocupación; más allá</w:t>
      </w:r>
      <w:r>
        <w:rPr>
          <w:color w:val="231F20"/>
          <w:spacing w:val="33"/>
          <w:w w:val="105"/>
        </w:rPr>
        <w:t> </w:t>
      </w:r>
      <w:r>
        <w:rPr>
          <w:color w:val="231F20"/>
          <w:w w:val="105"/>
        </w:rPr>
        <w:t>de</w:t>
      </w:r>
      <w:r>
        <w:rPr>
          <w:color w:val="231F20"/>
          <w:spacing w:val="8"/>
          <w:w w:val="105"/>
        </w:rPr>
        <w:t> </w:t>
      </w:r>
      <w:r>
        <w:rPr>
          <w:color w:val="231F20"/>
          <w:w w:val="105"/>
        </w:rPr>
        <w:t>este</w:t>
      </w:r>
      <w:r>
        <w:rPr>
          <w:color w:val="231F20"/>
          <w:w w:val="100"/>
        </w:rPr>
        <w:t> </w:t>
      </w:r>
      <w:r>
        <w:rPr>
          <w:color w:val="231F20"/>
          <w:w w:val="105"/>
        </w:rPr>
        <w:t>punto cada unidad adicional de factor trabajo dará rendimientos</w:t>
      </w:r>
      <w:r>
        <w:rPr>
          <w:color w:val="231F20"/>
          <w:spacing w:val="10"/>
          <w:w w:val="105"/>
        </w:rPr>
        <w:t> </w:t>
      </w:r>
      <w:r>
        <w:rPr>
          <w:color w:val="231F20"/>
          <w:w w:val="105"/>
        </w:rPr>
        <w:t>en</w:t>
      </w:r>
      <w:r>
        <w:rPr>
          <w:color w:val="231F20"/>
          <w:spacing w:val="14"/>
          <w:w w:val="105"/>
        </w:rPr>
        <w:t> </w:t>
      </w:r>
      <w:r>
        <w:rPr>
          <w:color w:val="231F20"/>
          <w:w w:val="105"/>
        </w:rPr>
        <w:t>la</w:t>
      </w:r>
      <w:r>
        <w:rPr>
          <w:color w:val="231F20"/>
          <w:w w:val="100"/>
        </w:rPr>
        <w:t> </w:t>
      </w:r>
      <w:r>
        <w:rPr>
          <w:color w:val="231F20"/>
          <w:w w:val="105"/>
        </w:rPr>
        <w:t>producción que exceden el nivel de ingresos posibles de</w:t>
      </w:r>
      <w:r>
        <w:rPr>
          <w:color w:val="231F20"/>
          <w:spacing w:val="-23"/>
          <w:w w:val="105"/>
        </w:rPr>
        <w:t> </w:t>
      </w:r>
      <w:r>
        <w:rPr>
          <w:color w:val="231F20"/>
          <w:w w:val="105"/>
        </w:rPr>
        <w:t>obtener,</w:t>
      </w:r>
      <w:r>
        <w:rPr>
          <w:color w:val="231F20"/>
          <w:spacing w:val="-9"/>
          <w:w w:val="105"/>
        </w:rPr>
        <w:t> </w:t>
      </w:r>
      <w:r>
        <w:rPr>
          <w:color w:val="231F20"/>
          <w:w w:val="105"/>
        </w:rPr>
        <w:t>pues</w:t>
      </w:r>
      <w:r>
        <w:rPr>
          <w:color w:val="231F20"/>
          <w:w w:val="102"/>
        </w:rPr>
        <w:t> </w:t>
      </w:r>
      <w:r>
        <w:rPr>
          <w:color w:val="231F20"/>
          <w:w w:val="105"/>
        </w:rPr>
        <w:t>no habrá demanda en el mercado que pueda ofrecerlos. Así, si</w:t>
      </w:r>
      <w:r>
        <w:rPr>
          <w:color w:val="231F20"/>
          <w:spacing w:val="-37"/>
          <w:w w:val="105"/>
        </w:rPr>
        <w:t> </w:t>
      </w:r>
      <w:r>
        <w:rPr>
          <w:color w:val="231F20"/>
          <w:w w:val="105"/>
        </w:rPr>
        <w:t>los</w:t>
      </w:r>
      <w:r>
        <w:rPr>
          <w:color w:val="231F20"/>
          <w:spacing w:val="-2"/>
          <w:w w:val="105"/>
        </w:rPr>
        <w:t> </w:t>
      </w:r>
      <w:r>
        <w:rPr>
          <w:color w:val="231F20"/>
          <w:w w:val="105"/>
        </w:rPr>
        <w:t>em-</w:t>
      </w:r>
      <w:r>
        <w:rPr>
          <w:color w:val="231F20"/>
          <w:w w:val="96"/>
        </w:rPr>
        <w:t> </w:t>
      </w:r>
      <w:r>
        <w:rPr>
          <w:color w:val="231F20"/>
          <w:w w:val="105"/>
        </w:rPr>
        <w:t>presarios</w:t>
      </w:r>
      <w:r>
        <w:rPr>
          <w:color w:val="231F20"/>
          <w:spacing w:val="-7"/>
          <w:w w:val="105"/>
        </w:rPr>
        <w:t> </w:t>
      </w:r>
      <w:r>
        <w:rPr>
          <w:color w:val="231F20"/>
          <w:w w:val="105"/>
        </w:rPr>
        <w:t>desean</w:t>
      </w:r>
      <w:r>
        <w:rPr>
          <w:color w:val="231F20"/>
          <w:spacing w:val="-7"/>
          <w:w w:val="105"/>
        </w:rPr>
        <w:t> </w:t>
      </w:r>
      <w:r>
        <w:rPr>
          <w:color w:val="231F20"/>
          <w:w w:val="105"/>
        </w:rPr>
        <w:t>mayores</w:t>
      </w:r>
      <w:r>
        <w:rPr>
          <w:color w:val="231F20"/>
          <w:spacing w:val="-7"/>
          <w:w w:val="105"/>
        </w:rPr>
        <w:t> </w:t>
      </w:r>
      <w:r>
        <w:rPr>
          <w:color w:val="231F20"/>
          <w:w w:val="105"/>
        </w:rPr>
        <w:t>beneficios</w:t>
      </w:r>
      <w:r>
        <w:rPr>
          <w:color w:val="231F20"/>
          <w:spacing w:val="-7"/>
          <w:w w:val="105"/>
        </w:rPr>
        <w:t> </w:t>
      </w:r>
      <w:r>
        <w:rPr>
          <w:color w:val="231F20"/>
          <w:w w:val="105"/>
        </w:rPr>
        <w:t>deberán</w:t>
      </w:r>
      <w:r>
        <w:rPr>
          <w:color w:val="231F20"/>
          <w:spacing w:val="-7"/>
          <w:w w:val="105"/>
        </w:rPr>
        <w:t> </w:t>
      </w:r>
      <w:r>
        <w:rPr>
          <w:color w:val="231F20"/>
          <w:w w:val="105"/>
        </w:rPr>
        <w:t>variar</w:t>
      </w:r>
      <w:r>
        <w:rPr>
          <w:color w:val="231F20"/>
          <w:spacing w:val="-7"/>
          <w:w w:val="105"/>
        </w:rPr>
        <w:t> </w:t>
      </w:r>
      <w:r>
        <w:rPr>
          <w:color w:val="231F20"/>
          <w:w w:val="105"/>
        </w:rPr>
        <w:t>otros</w:t>
      </w:r>
      <w:r>
        <w:rPr>
          <w:color w:val="231F20"/>
          <w:spacing w:val="-7"/>
          <w:w w:val="105"/>
        </w:rPr>
        <w:t> </w:t>
      </w:r>
      <w:r>
        <w:rPr>
          <w:color w:val="231F20"/>
          <w:w w:val="105"/>
        </w:rPr>
        <w:t>factores</w:t>
      </w:r>
      <w:r>
        <w:rPr>
          <w:color w:val="231F20"/>
          <w:spacing w:val="-7"/>
          <w:w w:val="105"/>
        </w:rPr>
        <w:t> </w:t>
      </w:r>
      <w:r>
        <w:rPr>
          <w:color w:val="231F20"/>
          <w:w w:val="105"/>
        </w:rPr>
        <w:t>que</w:t>
      </w:r>
      <w:r>
        <w:rPr>
          <w:color w:val="231F20"/>
          <w:w w:val="107"/>
        </w:rPr>
        <w:t> </w:t>
      </w:r>
      <w:r>
        <w:rPr>
          <w:color w:val="231F20"/>
          <w:w w:val="105"/>
        </w:rPr>
        <w:t>intervengan</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producción,</w:t>
      </w:r>
      <w:r>
        <w:rPr>
          <w:color w:val="231F20"/>
          <w:spacing w:val="-24"/>
          <w:w w:val="105"/>
        </w:rPr>
        <w:t> </w:t>
      </w:r>
      <w:r>
        <w:rPr>
          <w:color w:val="231F20"/>
          <w:w w:val="105"/>
        </w:rPr>
        <w:t>como</w:t>
      </w:r>
      <w:r>
        <w:rPr>
          <w:color w:val="231F20"/>
          <w:spacing w:val="-19"/>
          <w:w w:val="105"/>
        </w:rPr>
        <w:t> </w:t>
      </w:r>
      <w:r>
        <w:rPr>
          <w:color w:val="231F20"/>
          <w:w w:val="105"/>
        </w:rPr>
        <w:t>el</w:t>
      </w:r>
      <w:r>
        <w:rPr>
          <w:color w:val="231F20"/>
          <w:spacing w:val="-19"/>
          <w:w w:val="105"/>
        </w:rPr>
        <w:t> </w:t>
      </w:r>
      <w:r>
        <w:rPr>
          <w:color w:val="231F20"/>
          <w:w w:val="105"/>
        </w:rPr>
        <w:t>capital,</w:t>
      </w:r>
      <w:r>
        <w:rPr>
          <w:color w:val="231F20"/>
          <w:spacing w:val="-24"/>
          <w:w w:val="105"/>
        </w:rPr>
        <w:t> </w:t>
      </w:r>
      <w:r>
        <w:rPr>
          <w:color w:val="231F20"/>
          <w:w w:val="105"/>
        </w:rPr>
        <w:t>la</w:t>
      </w:r>
      <w:r>
        <w:rPr>
          <w:color w:val="231F20"/>
          <w:spacing w:val="-19"/>
          <w:w w:val="105"/>
        </w:rPr>
        <w:t> </w:t>
      </w:r>
      <w:r>
        <w:rPr>
          <w:color w:val="231F20"/>
          <w:w w:val="105"/>
        </w:rPr>
        <w:t>tierra,</w:t>
      </w:r>
      <w:r>
        <w:rPr>
          <w:color w:val="231F20"/>
          <w:spacing w:val="-24"/>
          <w:w w:val="105"/>
        </w:rPr>
        <w:t> </w:t>
      </w:r>
      <w:r>
        <w:rPr>
          <w:color w:val="231F20"/>
          <w:w w:val="105"/>
        </w:rPr>
        <w:t>la</w:t>
      </w:r>
      <w:r>
        <w:rPr>
          <w:color w:val="231F20"/>
          <w:spacing w:val="-19"/>
          <w:w w:val="105"/>
        </w:rPr>
        <w:t> </w:t>
      </w:r>
      <w:r>
        <w:rPr>
          <w:color w:val="231F20"/>
          <w:w w:val="105"/>
        </w:rPr>
        <w:t>tecnología,</w:t>
      </w:r>
      <w:r>
        <w:rPr>
          <w:color w:val="231F20"/>
          <w:spacing w:val="-24"/>
          <w:w w:val="105"/>
        </w:rPr>
        <w:t> </w:t>
      </w:r>
      <w:r>
        <w:rPr>
          <w:color w:val="231F20"/>
          <w:w w:val="105"/>
        </w:rPr>
        <w:t>etc.</w:t>
      </w:r>
      <w:r>
        <w:rPr>
          <w:color w:val="231F20"/>
          <w:w w:val="102"/>
        </w:rPr>
        <w:t> </w:t>
      </w:r>
      <w:r>
        <w:rPr>
          <w:color w:val="231F20"/>
          <w:w w:val="105"/>
        </w:rPr>
        <w:t>Debido a que la desocupación surge cuando </w:t>
      </w:r>
      <w:r>
        <w:rPr>
          <w:i/>
          <w:color w:val="231F20"/>
          <w:w w:val="105"/>
        </w:rPr>
        <w:t>OA </w:t>
      </w:r>
      <w:r>
        <w:rPr>
          <w:color w:val="231F20"/>
          <w:w w:val="105"/>
        </w:rPr>
        <w:t>&gt; </w:t>
      </w:r>
      <w:r>
        <w:rPr>
          <w:i/>
          <w:color w:val="231F20"/>
          <w:spacing w:val="-3"/>
          <w:w w:val="105"/>
        </w:rPr>
        <w:t>DA</w:t>
      </w:r>
      <w:r>
        <w:rPr>
          <w:i/>
          <w:color w:val="231F20"/>
          <w:spacing w:val="-42"/>
          <w:w w:val="105"/>
        </w:rPr>
        <w:t> </w:t>
      </w:r>
      <w:r>
        <w:rPr>
          <w:color w:val="231F20"/>
          <w:w w:val="105"/>
        </w:rPr>
        <w:t>resulta</w:t>
      </w:r>
      <w:r>
        <w:rPr>
          <w:color w:val="231F20"/>
          <w:spacing w:val="-5"/>
          <w:w w:val="105"/>
        </w:rPr>
        <w:t> </w:t>
      </w:r>
      <w:r>
        <w:rPr>
          <w:color w:val="231F20"/>
          <w:w w:val="105"/>
        </w:rPr>
        <w:t>im-</w:t>
      </w:r>
      <w:r>
        <w:rPr>
          <w:color w:val="231F20"/>
          <w:w w:val="96"/>
        </w:rPr>
        <w:t> </w:t>
      </w:r>
      <w:r>
        <w:rPr>
          <w:color w:val="231F20"/>
          <w:w w:val="105"/>
        </w:rPr>
        <w:t>portante analizar los elementos de la </w:t>
      </w:r>
      <w:r>
        <w:rPr>
          <w:i/>
          <w:color w:val="231F20"/>
          <w:spacing w:val="-3"/>
          <w:w w:val="105"/>
        </w:rPr>
        <w:t>DA </w:t>
      </w:r>
      <w:r>
        <w:rPr>
          <w:color w:val="231F20"/>
          <w:w w:val="105"/>
        </w:rPr>
        <w:t>sobre los que se</w:t>
      </w:r>
      <w:r>
        <w:rPr>
          <w:color w:val="231F20"/>
          <w:spacing w:val="-4"/>
          <w:w w:val="105"/>
        </w:rPr>
        <w:t> </w:t>
      </w:r>
      <w:r>
        <w:rPr>
          <w:color w:val="231F20"/>
          <w:w w:val="105"/>
        </w:rPr>
        <w:t>podría</w:t>
      </w:r>
      <w:r>
        <w:rPr>
          <w:color w:val="231F20"/>
          <w:spacing w:val="-1"/>
          <w:w w:val="105"/>
        </w:rPr>
        <w:t> </w:t>
      </w:r>
      <w:r>
        <w:rPr>
          <w:color w:val="231F20"/>
          <w:w w:val="105"/>
        </w:rPr>
        <w:t>influir</w:t>
      </w:r>
      <w:r>
        <w:rPr>
          <w:color w:val="231F20"/>
          <w:w w:val="107"/>
        </w:rPr>
        <w:t> </w:t>
      </w:r>
      <w:r>
        <w:rPr>
          <w:color w:val="231F20"/>
          <w:w w:val="105"/>
        </w:rPr>
        <w:t>y</w:t>
      </w:r>
      <w:r>
        <w:rPr>
          <w:color w:val="231F20"/>
          <w:spacing w:val="-17"/>
          <w:w w:val="105"/>
        </w:rPr>
        <w:t> </w:t>
      </w:r>
      <w:r>
        <w:rPr>
          <w:color w:val="231F20"/>
          <w:w w:val="105"/>
        </w:rPr>
        <w:t>hallar</w:t>
      </w:r>
      <w:r>
        <w:rPr>
          <w:color w:val="231F20"/>
          <w:spacing w:val="-17"/>
          <w:w w:val="105"/>
        </w:rPr>
        <w:t> </w:t>
      </w:r>
      <w:r>
        <w:rPr>
          <w:color w:val="231F20"/>
          <w:w w:val="105"/>
        </w:rPr>
        <w:t>los</w:t>
      </w:r>
      <w:r>
        <w:rPr>
          <w:color w:val="231F20"/>
          <w:spacing w:val="-17"/>
          <w:w w:val="105"/>
        </w:rPr>
        <w:t> </w:t>
      </w:r>
      <w:r>
        <w:rPr>
          <w:color w:val="231F20"/>
          <w:w w:val="105"/>
        </w:rPr>
        <w:t>orígenes</w:t>
      </w:r>
      <w:r>
        <w:rPr>
          <w:color w:val="231F20"/>
          <w:spacing w:val="-17"/>
          <w:w w:val="105"/>
        </w:rPr>
        <w:t> </w:t>
      </w:r>
      <w:r>
        <w:rPr>
          <w:color w:val="231F20"/>
          <w:w w:val="105"/>
        </w:rPr>
        <w:t>de</w:t>
      </w:r>
      <w:r>
        <w:rPr>
          <w:color w:val="231F20"/>
          <w:spacing w:val="-17"/>
          <w:w w:val="105"/>
        </w:rPr>
        <w:t> </w:t>
      </w:r>
      <w:r>
        <w:rPr>
          <w:color w:val="231F20"/>
          <w:w w:val="105"/>
        </w:rPr>
        <w:t>tal</w:t>
      </w:r>
      <w:r>
        <w:rPr>
          <w:color w:val="231F20"/>
          <w:spacing w:val="-17"/>
          <w:w w:val="105"/>
        </w:rPr>
        <w:t> </w:t>
      </w:r>
      <w:r>
        <w:rPr>
          <w:color w:val="231F20"/>
          <w:w w:val="105"/>
        </w:rPr>
        <w:t>desocupación.</w:t>
      </w:r>
      <w:r>
        <w:rPr>
          <w:color w:val="231F20"/>
          <w:spacing w:val="-22"/>
          <w:w w:val="105"/>
        </w:rPr>
        <w:t> </w:t>
      </w:r>
      <w:r>
        <w:rPr>
          <w:color w:val="231F20"/>
          <w:w w:val="105"/>
        </w:rPr>
        <w:t>Como</w:t>
      </w:r>
      <w:r>
        <w:rPr>
          <w:color w:val="231F20"/>
          <w:spacing w:val="-17"/>
          <w:w w:val="105"/>
        </w:rPr>
        <w:t> </w:t>
      </w:r>
      <w:r>
        <w:rPr>
          <w:color w:val="231F20"/>
          <w:w w:val="105"/>
        </w:rPr>
        <w:t>la</w:t>
      </w:r>
      <w:r>
        <w:rPr>
          <w:color w:val="231F20"/>
          <w:spacing w:val="-17"/>
          <w:w w:val="105"/>
        </w:rPr>
        <w:t> </w:t>
      </w:r>
      <w:r>
        <w:rPr>
          <w:i/>
          <w:color w:val="231F20"/>
          <w:spacing w:val="-3"/>
          <w:w w:val="105"/>
        </w:rPr>
        <w:t>DA</w:t>
      </w:r>
      <w:r>
        <w:rPr>
          <w:i/>
          <w:color w:val="231F20"/>
          <w:spacing w:val="-16"/>
          <w:w w:val="105"/>
        </w:rPr>
        <w:t> </w:t>
      </w:r>
      <w:r>
        <w:rPr>
          <w:color w:val="231F20"/>
          <w:w w:val="105"/>
        </w:rPr>
        <w:t>es</w:t>
      </w:r>
      <w:r>
        <w:rPr>
          <w:color w:val="231F20"/>
          <w:spacing w:val="-16"/>
          <w:w w:val="105"/>
        </w:rPr>
        <w:t> </w:t>
      </w:r>
      <w:r>
        <w:rPr>
          <w:color w:val="231F20"/>
          <w:w w:val="105"/>
        </w:rPr>
        <w:t>igual</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suma</w:t>
      </w:r>
      <w:r>
        <w:rPr>
          <w:color w:val="231F20"/>
          <w:w w:val="99"/>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demanda</w:t>
      </w:r>
      <w:r>
        <w:rPr>
          <w:color w:val="231F20"/>
          <w:spacing w:val="-14"/>
          <w:w w:val="105"/>
        </w:rPr>
        <w:t> </w:t>
      </w:r>
      <w:r>
        <w:rPr>
          <w:color w:val="231F20"/>
          <w:w w:val="105"/>
        </w:rPr>
        <w:t>de</w:t>
      </w:r>
      <w:r>
        <w:rPr>
          <w:color w:val="231F20"/>
          <w:spacing w:val="-14"/>
          <w:w w:val="105"/>
        </w:rPr>
        <w:t> </w:t>
      </w:r>
      <w:r>
        <w:rPr>
          <w:color w:val="231F20"/>
          <w:w w:val="105"/>
        </w:rPr>
        <w:t>consumo</w:t>
      </w:r>
      <w:r>
        <w:rPr>
          <w:color w:val="231F20"/>
          <w:spacing w:val="-14"/>
          <w:w w:val="105"/>
        </w:rPr>
        <w:t> </w:t>
      </w:r>
      <w:r>
        <w:rPr>
          <w:color w:val="231F20"/>
          <w:w w:val="105"/>
        </w:rPr>
        <w:t>(</w:t>
      </w:r>
      <w:r>
        <w:rPr>
          <w:i/>
          <w:color w:val="231F20"/>
          <w:w w:val="105"/>
        </w:rPr>
        <w:t>C</w:t>
      </w:r>
      <w:r>
        <w:rPr>
          <w:color w:val="231F20"/>
          <w:w w:val="105"/>
        </w:rPr>
        <w:t>),</w:t>
      </w:r>
      <w:r>
        <w:rPr>
          <w:color w:val="231F20"/>
          <w:spacing w:val="-19"/>
          <w:w w:val="105"/>
        </w:rPr>
        <w:t> </w:t>
      </w:r>
      <w:r>
        <w:rPr>
          <w:color w:val="231F20"/>
          <w:w w:val="105"/>
        </w:rPr>
        <w:t>la</w:t>
      </w:r>
      <w:r>
        <w:rPr>
          <w:color w:val="231F20"/>
          <w:spacing w:val="-14"/>
          <w:w w:val="105"/>
        </w:rPr>
        <w:t> </w:t>
      </w:r>
      <w:r>
        <w:rPr>
          <w:color w:val="231F20"/>
          <w:w w:val="105"/>
        </w:rPr>
        <w:t>demanda</w:t>
      </w:r>
      <w:r>
        <w:rPr>
          <w:color w:val="231F20"/>
          <w:spacing w:val="-14"/>
          <w:w w:val="105"/>
        </w:rPr>
        <w:t> </w:t>
      </w:r>
      <w:r>
        <w:rPr>
          <w:color w:val="231F20"/>
          <w:w w:val="105"/>
        </w:rPr>
        <w:t>de</w:t>
      </w:r>
      <w:r>
        <w:rPr>
          <w:color w:val="231F20"/>
          <w:spacing w:val="-14"/>
          <w:w w:val="105"/>
        </w:rPr>
        <w:t> </w:t>
      </w:r>
      <w:r>
        <w:rPr>
          <w:color w:val="231F20"/>
          <w:w w:val="105"/>
        </w:rPr>
        <w:t>inversiones</w:t>
      </w:r>
      <w:r>
        <w:rPr>
          <w:color w:val="231F20"/>
          <w:spacing w:val="-14"/>
          <w:w w:val="105"/>
        </w:rPr>
        <w:t> </w:t>
      </w:r>
      <w:r>
        <w:rPr>
          <w:color w:val="231F20"/>
          <w:w w:val="105"/>
        </w:rPr>
        <w:t>privadas</w:t>
      </w:r>
      <w:r>
        <w:rPr>
          <w:color w:val="231F20"/>
          <w:spacing w:val="-14"/>
          <w:w w:val="105"/>
        </w:rPr>
        <w:t> </w:t>
      </w:r>
      <w:r>
        <w:rPr>
          <w:color w:val="231F20"/>
          <w:w w:val="105"/>
        </w:rPr>
        <w:t>(</w:t>
      </w:r>
      <w:r>
        <w:rPr>
          <w:i/>
          <w:color w:val="231F20"/>
          <w:w w:val="105"/>
        </w:rPr>
        <w:t>I</w:t>
      </w:r>
      <w:r>
        <w:rPr>
          <w:color w:val="231F20"/>
          <w:w w:val="105"/>
        </w:rPr>
        <w:t>),</w:t>
      </w:r>
      <w:r>
        <w:rPr>
          <w:color w:val="231F20"/>
          <w:w w:val="93"/>
        </w:rPr>
        <w:t> </w:t>
      </w:r>
      <w:r>
        <w:rPr>
          <w:color w:val="231F20"/>
          <w:w w:val="105"/>
        </w:rPr>
        <w:t>la</w:t>
      </w:r>
      <w:r>
        <w:rPr>
          <w:color w:val="231F20"/>
          <w:spacing w:val="-20"/>
          <w:w w:val="105"/>
        </w:rPr>
        <w:t> </w:t>
      </w:r>
      <w:r>
        <w:rPr>
          <w:color w:val="231F20"/>
          <w:w w:val="105"/>
        </w:rPr>
        <w:t>demanda</w:t>
      </w:r>
      <w:r>
        <w:rPr>
          <w:color w:val="231F20"/>
          <w:spacing w:val="-20"/>
          <w:w w:val="105"/>
        </w:rPr>
        <w:t> </w:t>
      </w:r>
      <w:r>
        <w:rPr>
          <w:color w:val="231F20"/>
          <w:w w:val="105"/>
        </w:rPr>
        <w:t>de</w:t>
      </w:r>
      <w:r>
        <w:rPr>
          <w:color w:val="231F20"/>
          <w:spacing w:val="-20"/>
          <w:w w:val="105"/>
        </w:rPr>
        <w:t> </w:t>
      </w:r>
      <w:r>
        <w:rPr>
          <w:color w:val="231F20"/>
          <w:w w:val="105"/>
        </w:rPr>
        <w:t>inversiones</w:t>
      </w:r>
      <w:r>
        <w:rPr>
          <w:color w:val="231F20"/>
          <w:spacing w:val="-20"/>
          <w:w w:val="105"/>
        </w:rPr>
        <w:t> </w:t>
      </w:r>
      <w:r>
        <w:rPr>
          <w:color w:val="231F20"/>
          <w:w w:val="105"/>
        </w:rPr>
        <w:t>públicas</w:t>
      </w:r>
      <w:r>
        <w:rPr>
          <w:color w:val="231F20"/>
          <w:spacing w:val="-20"/>
          <w:w w:val="105"/>
        </w:rPr>
        <w:t> </w:t>
      </w:r>
      <w:r>
        <w:rPr>
          <w:color w:val="231F20"/>
          <w:w w:val="105"/>
        </w:rPr>
        <w:t>(</w:t>
      </w:r>
      <w:r>
        <w:rPr>
          <w:i/>
          <w:color w:val="231F20"/>
          <w:w w:val="105"/>
        </w:rPr>
        <w:t>G</w:t>
      </w:r>
      <w:r>
        <w:rPr>
          <w:color w:val="231F20"/>
          <w:w w:val="105"/>
        </w:rPr>
        <w:t>)</w:t>
      </w:r>
      <w:r>
        <w:rPr>
          <w:color w:val="231F20"/>
          <w:spacing w:val="-20"/>
          <w:w w:val="105"/>
        </w:rPr>
        <w:t> </w:t>
      </w:r>
      <w:r>
        <w:rPr>
          <w:color w:val="231F20"/>
          <w:w w:val="105"/>
        </w:rPr>
        <w:t>y</w:t>
      </w:r>
      <w:r>
        <w:rPr>
          <w:color w:val="231F20"/>
          <w:spacing w:val="-20"/>
          <w:w w:val="105"/>
        </w:rPr>
        <w:t> </w:t>
      </w:r>
      <w:r>
        <w:rPr>
          <w:color w:val="231F20"/>
          <w:w w:val="105"/>
        </w:rPr>
        <w:t>las</w:t>
      </w:r>
      <w:r>
        <w:rPr>
          <w:color w:val="231F20"/>
          <w:spacing w:val="-20"/>
          <w:w w:val="105"/>
        </w:rPr>
        <w:t> </w:t>
      </w:r>
      <w:r>
        <w:rPr>
          <w:color w:val="231F20"/>
          <w:w w:val="105"/>
        </w:rPr>
        <w:t>exportaciones</w:t>
      </w:r>
      <w:r>
        <w:rPr>
          <w:color w:val="231F20"/>
          <w:spacing w:val="-20"/>
          <w:w w:val="105"/>
        </w:rPr>
        <w:t> </w:t>
      </w:r>
      <w:r>
        <w:rPr>
          <w:color w:val="231F20"/>
          <w:w w:val="105"/>
        </w:rPr>
        <w:t>netas</w:t>
      </w:r>
      <w:r>
        <w:rPr>
          <w:color w:val="231F20"/>
          <w:spacing w:val="-20"/>
          <w:w w:val="105"/>
        </w:rPr>
        <w:t> </w:t>
      </w:r>
      <w:r>
        <w:rPr>
          <w:color w:val="231F20"/>
          <w:w w:val="105"/>
        </w:rPr>
        <w:t>(</w:t>
      </w:r>
      <w:r>
        <w:rPr>
          <w:i/>
          <w:color w:val="231F20"/>
          <w:w w:val="105"/>
        </w:rPr>
        <w:t>X-M</w:t>
      </w:r>
      <w:r>
        <w:rPr>
          <w:color w:val="231F20"/>
          <w:w w:val="105"/>
        </w:rPr>
        <w:t>),</w:t>
      </w:r>
      <w:r>
        <w:rPr>
          <w:color w:val="231F20"/>
          <w:w w:val="93"/>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siguientes</w:t>
      </w:r>
      <w:r>
        <w:rPr>
          <w:color w:val="231F20"/>
          <w:spacing w:val="-6"/>
          <w:w w:val="105"/>
        </w:rPr>
        <w:t> </w:t>
      </w:r>
      <w:r>
        <w:rPr>
          <w:color w:val="231F20"/>
          <w:w w:val="105"/>
        </w:rPr>
        <w:t>apartados</w:t>
      </w:r>
      <w:r>
        <w:rPr>
          <w:color w:val="231F20"/>
          <w:spacing w:val="-6"/>
          <w:w w:val="105"/>
        </w:rPr>
        <w:t> </w:t>
      </w:r>
      <w:r>
        <w:rPr>
          <w:color w:val="231F20"/>
          <w:w w:val="105"/>
        </w:rPr>
        <w:t>se</w:t>
      </w:r>
      <w:r>
        <w:rPr>
          <w:color w:val="231F20"/>
          <w:spacing w:val="-6"/>
          <w:w w:val="105"/>
        </w:rPr>
        <w:t> </w:t>
      </w:r>
      <w:r>
        <w:rPr>
          <w:color w:val="231F20"/>
          <w:w w:val="105"/>
        </w:rPr>
        <w:t>analizarán</w:t>
      </w:r>
      <w:r>
        <w:rPr>
          <w:color w:val="231F20"/>
          <w:spacing w:val="-6"/>
          <w:w w:val="105"/>
        </w:rPr>
        <w:t> </w:t>
      </w:r>
      <w:r>
        <w:rPr>
          <w:color w:val="231F20"/>
          <w:w w:val="105"/>
        </w:rPr>
        <w:t>brevemente</w:t>
      </w:r>
      <w:r>
        <w:rPr>
          <w:color w:val="231F20"/>
          <w:spacing w:val="-6"/>
          <w:w w:val="105"/>
        </w:rPr>
        <w:t> </w:t>
      </w:r>
      <w:r>
        <w:rPr>
          <w:color w:val="231F20"/>
          <w:w w:val="105"/>
        </w:rPr>
        <w:t>los</w:t>
      </w:r>
      <w:r>
        <w:rPr>
          <w:color w:val="231F20"/>
          <w:spacing w:val="-6"/>
          <w:w w:val="105"/>
        </w:rPr>
        <w:t> </w:t>
      </w:r>
      <w:r>
        <w:rPr>
          <w:color w:val="231F20"/>
          <w:w w:val="105"/>
        </w:rPr>
        <w:t>dos</w:t>
      </w:r>
      <w:r>
        <w:rPr>
          <w:color w:val="231F20"/>
          <w:spacing w:val="-6"/>
          <w:w w:val="105"/>
        </w:rPr>
        <w:t> </w:t>
      </w:r>
      <w:r>
        <w:rPr>
          <w:color w:val="231F20"/>
          <w:w w:val="105"/>
        </w:rPr>
        <w:t>primeros</w:t>
      </w:r>
    </w:p>
    <w:p>
      <w:pPr>
        <w:pStyle w:val="BodyText"/>
        <w:spacing w:line="241" w:lineRule="exact"/>
        <w:ind w:left="103"/>
        <w:jc w:val="both"/>
      </w:pPr>
      <w:r>
        <w:rPr>
          <w:color w:val="231F20"/>
          <w:w w:val="105"/>
        </w:rPr>
        <w:t>componentes por resultar de especial interés para esta investigación.</w:t>
      </w:r>
    </w:p>
    <w:p>
      <w:pPr>
        <w:pStyle w:val="BodyText"/>
        <w:spacing w:before="8"/>
        <w:rPr>
          <w:sz w:val="15"/>
        </w:rPr>
      </w:pPr>
    </w:p>
    <w:p>
      <w:pPr>
        <w:spacing w:before="0"/>
        <w:ind w:left="103" w:right="0" w:firstLine="0"/>
        <w:jc w:val="both"/>
        <w:rPr>
          <w:i/>
          <w:sz w:val="21"/>
        </w:rPr>
      </w:pPr>
      <w:r>
        <w:rPr>
          <w:i/>
          <w:color w:val="231F20"/>
          <w:w w:val="105"/>
          <w:sz w:val="21"/>
        </w:rPr>
        <w:t>Demanda de consumo (C)</w:t>
      </w:r>
    </w:p>
    <w:p>
      <w:pPr>
        <w:pStyle w:val="BodyText"/>
        <w:spacing w:before="4"/>
        <w:rPr>
          <w:i/>
          <w:sz w:val="16"/>
        </w:rPr>
      </w:pPr>
    </w:p>
    <w:p>
      <w:pPr>
        <w:pStyle w:val="BodyText"/>
        <w:spacing w:line="259" w:lineRule="auto"/>
        <w:ind w:left="103" w:right="115"/>
        <w:jc w:val="both"/>
      </w:pPr>
      <w:r>
        <w:rPr>
          <w:color w:val="231F20"/>
          <w:w w:val="105"/>
        </w:rPr>
        <w:t>El consumo privado depende de los ingresos </w:t>
      </w:r>
      <w:r>
        <w:rPr>
          <w:color w:val="231F20"/>
          <w:spacing w:val="-4"/>
          <w:w w:val="105"/>
        </w:rPr>
        <w:t>y, </w:t>
      </w:r>
      <w:r>
        <w:rPr>
          <w:color w:val="231F20"/>
          <w:w w:val="105"/>
        </w:rPr>
        <w:t>a su vez, de la primera ley</w:t>
      </w:r>
      <w:r>
        <w:rPr>
          <w:color w:val="231F20"/>
          <w:spacing w:val="-16"/>
          <w:w w:val="105"/>
        </w:rPr>
        <w:t> </w:t>
      </w:r>
      <w:r>
        <w:rPr>
          <w:color w:val="231F20"/>
          <w:w w:val="105"/>
        </w:rPr>
        <w:t>psicológica</w:t>
      </w:r>
      <w:r>
        <w:rPr>
          <w:color w:val="231F20"/>
          <w:spacing w:val="-16"/>
          <w:w w:val="105"/>
        </w:rPr>
        <w:t> </w:t>
      </w:r>
      <w:r>
        <w:rPr>
          <w:color w:val="231F20"/>
          <w:w w:val="105"/>
        </w:rPr>
        <w:t>fundamental.</w:t>
      </w:r>
      <w:r>
        <w:rPr>
          <w:color w:val="231F20"/>
          <w:spacing w:val="-22"/>
          <w:w w:val="105"/>
        </w:rPr>
        <w:t> </w:t>
      </w:r>
      <w:r>
        <w:rPr>
          <w:color w:val="231F20"/>
          <w:spacing w:val="-6"/>
          <w:w w:val="105"/>
        </w:rPr>
        <w:t>Por</w:t>
      </w:r>
      <w:r>
        <w:rPr>
          <w:color w:val="231F20"/>
          <w:spacing w:val="-16"/>
          <w:w w:val="105"/>
        </w:rPr>
        <w:t> </w:t>
      </w:r>
      <w:r>
        <w:rPr>
          <w:color w:val="231F20"/>
          <w:w w:val="105"/>
        </w:rPr>
        <w:t>lo</w:t>
      </w:r>
      <w:r>
        <w:rPr>
          <w:color w:val="231F20"/>
          <w:spacing w:val="-16"/>
          <w:w w:val="105"/>
        </w:rPr>
        <w:t> </w:t>
      </w:r>
      <w:r>
        <w:rPr>
          <w:color w:val="231F20"/>
          <w:w w:val="105"/>
        </w:rPr>
        <w:t>que</w:t>
      </w:r>
      <w:r>
        <w:rPr>
          <w:color w:val="231F20"/>
          <w:spacing w:val="-16"/>
          <w:w w:val="105"/>
        </w:rPr>
        <w:t> </w:t>
      </w:r>
      <w:r>
        <w:rPr>
          <w:color w:val="231F20"/>
          <w:w w:val="105"/>
        </w:rPr>
        <w:t>un</w:t>
      </w:r>
      <w:r>
        <w:rPr>
          <w:color w:val="231F20"/>
          <w:spacing w:val="-16"/>
          <w:w w:val="105"/>
        </w:rPr>
        <w:t> </w:t>
      </w:r>
      <w:r>
        <w:rPr>
          <w:color w:val="231F20"/>
          <w:w w:val="105"/>
        </w:rPr>
        <w:t>incremento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ingreso</w:t>
      </w:r>
      <w:r>
        <w:rPr>
          <w:color w:val="231F20"/>
          <w:spacing w:val="-16"/>
          <w:w w:val="105"/>
        </w:rPr>
        <w:t> </w:t>
      </w:r>
      <w:r>
        <w:rPr>
          <w:color w:val="231F20"/>
          <w:w w:val="105"/>
        </w:rPr>
        <w:t>total</w:t>
      </w:r>
    </w:p>
    <w:p>
      <w:pPr>
        <w:pStyle w:val="BodyText"/>
        <w:spacing w:line="259" w:lineRule="auto"/>
        <w:ind w:left="103" w:right="115"/>
        <w:jc w:val="both"/>
      </w:pPr>
      <w:r>
        <w:rPr>
          <w:color w:val="231F20"/>
          <w:w w:val="105"/>
        </w:rPr>
        <w:t>(</w:t>
      </w:r>
      <w:r>
        <w:rPr>
          <w:i/>
          <w:color w:val="231F20"/>
          <w:w w:val="105"/>
        </w:rPr>
        <w:t>Y</w:t>
      </w:r>
      <w:r>
        <w:rPr>
          <w:color w:val="231F20"/>
          <w:w w:val="105"/>
        </w:rPr>
        <w:t>) se traduce en un aumento de </w:t>
      </w:r>
      <w:r>
        <w:rPr>
          <w:i/>
          <w:color w:val="231F20"/>
          <w:w w:val="105"/>
        </w:rPr>
        <w:t>C</w:t>
      </w:r>
      <w:r>
        <w:rPr>
          <w:color w:val="231F20"/>
          <w:w w:val="105"/>
        </w:rPr>
        <w:t>, tal que Δ</w:t>
      </w:r>
      <w:r>
        <w:rPr>
          <w:i/>
          <w:color w:val="231F20"/>
          <w:w w:val="105"/>
        </w:rPr>
        <w:t>Y </w:t>
      </w:r>
      <w:r>
        <w:rPr>
          <w:color w:val="231F20"/>
          <w:w w:val="105"/>
        </w:rPr>
        <w:t>&gt; Δ</w:t>
      </w:r>
      <w:r>
        <w:rPr>
          <w:i/>
          <w:color w:val="231F20"/>
          <w:w w:val="105"/>
        </w:rPr>
        <w:t>C</w:t>
      </w:r>
      <w:r>
        <w:rPr>
          <w:color w:val="231F20"/>
          <w:w w:val="105"/>
        </w:rPr>
        <w:t>. Esto implica que las</w:t>
      </w:r>
      <w:r>
        <w:rPr>
          <w:color w:val="231F20"/>
          <w:spacing w:val="-8"/>
          <w:w w:val="105"/>
        </w:rPr>
        <w:t> </w:t>
      </w:r>
      <w:r>
        <w:rPr>
          <w:color w:val="231F20"/>
          <w:w w:val="105"/>
        </w:rPr>
        <w:t>personas</w:t>
      </w:r>
      <w:r>
        <w:rPr>
          <w:color w:val="231F20"/>
          <w:spacing w:val="-8"/>
          <w:w w:val="105"/>
        </w:rPr>
        <w:t> </w:t>
      </w:r>
      <w:r>
        <w:rPr>
          <w:color w:val="231F20"/>
          <w:w w:val="105"/>
        </w:rPr>
        <w:t>no</w:t>
      </w:r>
      <w:r>
        <w:rPr>
          <w:color w:val="231F20"/>
          <w:spacing w:val="-8"/>
          <w:w w:val="105"/>
        </w:rPr>
        <w:t> </w:t>
      </w:r>
      <w:r>
        <w:rPr>
          <w:color w:val="231F20"/>
          <w:w w:val="105"/>
        </w:rPr>
        <w:t>podrían</w:t>
      </w:r>
      <w:r>
        <w:rPr>
          <w:color w:val="231F20"/>
          <w:spacing w:val="-8"/>
          <w:w w:val="105"/>
        </w:rPr>
        <w:t> </w:t>
      </w:r>
      <w:r>
        <w:rPr>
          <w:color w:val="231F20"/>
          <w:w w:val="105"/>
        </w:rPr>
        <w:t>consumir</w:t>
      </w:r>
      <w:r>
        <w:rPr>
          <w:color w:val="231F20"/>
          <w:spacing w:val="-8"/>
          <w:w w:val="105"/>
        </w:rPr>
        <w:t> </w:t>
      </w:r>
      <w:r>
        <w:rPr>
          <w:color w:val="231F20"/>
          <w:w w:val="105"/>
        </w:rPr>
        <w:t>por</w:t>
      </w:r>
      <w:r>
        <w:rPr>
          <w:color w:val="231F20"/>
          <w:spacing w:val="-8"/>
          <w:w w:val="105"/>
        </w:rPr>
        <w:t> </w:t>
      </w:r>
      <w:r>
        <w:rPr>
          <w:color w:val="231F20"/>
          <w:w w:val="105"/>
        </w:rPr>
        <w:t>mucho</w:t>
      </w:r>
      <w:r>
        <w:rPr>
          <w:color w:val="231F20"/>
          <w:spacing w:val="-8"/>
          <w:w w:val="105"/>
        </w:rPr>
        <w:t> </w:t>
      </w:r>
      <w:r>
        <w:rPr>
          <w:color w:val="231F20"/>
          <w:w w:val="105"/>
        </w:rPr>
        <w:t>tiempo</w:t>
      </w:r>
      <w:r>
        <w:rPr>
          <w:color w:val="231F20"/>
          <w:spacing w:val="-8"/>
          <w:w w:val="105"/>
        </w:rPr>
        <w:t> </w:t>
      </w:r>
      <w:r>
        <w:rPr>
          <w:color w:val="231F20"/>
          <w:w w:val="105"/>
        </w:rPr>
        <w:t>más</w:t>
      </w:r>
      <w:r>
        <w:rPr>
          <w:color w:val="231F20"/>
          <w:spacing w:val="-8"/>
          <w:w w:val="105"/>
        </w:rPr>
        <w:t> </w:t>
      </w:r>
      <w:r>
        <w:rPr>
          <w:color w:val="231F20"/>
          <w:w w:val="105"/>
        </w:rPr>
        <w:t>allá</w:t>
      </w:r>
      <w:r>
        <w:rPr>
          <w:color w:val="231F20"/>
          <w:spacing w:val="-8"/>
          <w:w w:val="105"/>
        </w:rPr>
        <w:t> </w:t>
      </w:r>
      <w:r>
        <w:rPr>
          <w:color w:val="231F20"/>
          <w:w w:val="105"/>
        </w:rPr>
        <w:t>de</w:t>
      </w:r>
      <w:r>
        <w:rPr>
          <w:color w:val="231F20"/>
          <w:spacing w:val="-8"/>
          <w:w w:val="105"/>
        </w:rPr>
        <w:t> </w:t>
      </w:r>
      <w:r>
        <w:rPr>
          <w:color w:val="231F20"/>
          <w:w w:val="105"/>
        </w:rPr>
        <w:t>lo</w:t>
      </w:r>
      <w:r>
        <w:rPr>
          <w:color w:val="231F20"/>
          <w:spacing w:val="-8"/>
          <w:w w:val="105"/>
        </w:rPr>
        <w:t> </w:t>
      </w:r>
      <w:r>
        <w:rPr>
          <w:color w:val="231F20"/>
          <w:w w:val="105"/>
        </w:rPr>
        <w:t>que ingresan</w:t>
      </w:r>
      <w:r>
        <w:rPr>
          <w:color w:val="231F20"/>
          <w:spacing w:val="-23"/>
          <w:w w:val="105"/>
        </w:rPr>
        <w:t> </w:t>
      </w:r>
      <w:r>
        <w:rPr>
          <w:color w:val="231F20"/>
          <w:w w:val="105"/>
        </w:rPr>
        <w:t>de</w:t>
      </w:r>
      <w:r>
        <w:rPr>
          <w:color w:val="231F20"/>
          <w:spacing w:val="-23"/>
          <w:w w:val="105"/>
        </w:rPr>
        <w:t> </w:t>
      </w:r>
      <w:r>
        <w:rPr>
          <w:color w:val="231F20"/>
          <w:w w:val="105"/>
        </w:rPr>
        <w:t>manera</w:t>
      </w:r>
      <w:r>
        <w:rPr>
          <w:color w:val="231F20"/>
          <w:spacing w:val="-23"/>
          <w:w w:val="105"/>
        </w:rPr>
        <w:t> </w:t>
      </w:r>
      <w:r>
        <w:rPr>
          <w:color w:val="231F20"/>
          <w:w w:val="105"/>
        </w:rPr>
        <w:t>adicional.</w:t>
      </w:r>
    </w:p>
    <w:p>
      <w:pPr>
        <w:pStyle w:val="BodyText"/>
        <w:spacing w:line="259" w:lineRule="auto"/>
        <w:ind w:left="103" w:right="109" w:firstLine="567"/>
        <w:jc w:val="both"/>
      </w:pPr>
      <w:r>
        <w:rPr>
          <w:color w:val="231F20"/>
          <w:w w:val="105"/>
        </w:rPr>
        <w:t>El</w:t>
      </w:r>
      <w:r>
        <w:rPr>
          <w:color w:val="231F20"/>
          <w:spacing w:val="-18"/>
          <w:w w:val="105"/>
        </w:rPr>
        <w:t> </w:t>
      </w:r>
      <w:r>
        <w:rPr>
          <w:color w:val="231F20"/>
          <w:w w:val="105"/>
        </w:rPr>
        <w:t>modelo</w:t>
      </w:r>
      <w:r>
        <w:rPr>
          <w:color w:val="231F20"/>
          <w:spacing w:val="-18"/>
          <w:w w:val="105"/>
        </w:rPr>
        <w:t> </w:t>
      </w:r>
      <w:r>
        <w:rPr>
          <w:color w:val="231F20"/>
          <w:w w:val="105"/>
        </w:rPr>
        <w:t>keynesiano</w:t>
      </w:r>
      <w:r>
        <w:rPr>
          <w:color w:val="231F20"/>
          <w:spacing w:val="-18"/>
          <w:w w:val="105"/>
        </w:rPr>
        <w:t> </w:t>
      </w:r>
      <w:r>
        <w:rPr>
          <w:color w:val="231F20"/>
          <w:w w:val="105"/>
        </w:rPr>
        <w:t>toma</w:t>
      </w:r>
      <w:r>
        <w:rPr>
          <w:color w:val="231F20"/>
          <w:spacing w:val="-18"/>
          <w:w w:val="105"/>
        </w:rPr>
        <w:t> </w:t>
      </w:r>
      <w:r>
        <w:rPr>
          <w:color w:val="231F20"/>
          <w:w w:val="105"/>
        </w:rPr>
        <w:t>como</w:t>
      </w:r>
      <w:r>
        <w:rPr>
          <w:color w:val="231F20"/>
          <w:spacing w:val="-18"/>
          <w:w w:val="105"/>
        </w:rPr>
        <w:t> </w:t>
      </w:r>
      <w:r>
        <w:rPr>
          <w:color w:val="231F20"/>
          <w:w w:val="105"/>
        </w:rPr>
        <w:t>idea</w:t>
      </w:r>
      <w:r>
        <w:rPr>
          <w:color w:val="231F20"/>
          <w:spacing w:val="-18"/>
          <w:w w:val="105"/>
        </w:rPr>
        <w:t> </w:t>
      </w:r>
      <w:r>
        <w:rPr>
          <w:color w:val="231F20"/>
          <w:w w:val="105"/>
        </w:rPr>
        <w:t>general</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curva</w:t>
      </w:r>
      <w:r>
        <w:rPr>
          <w:color w:val="231F20"/>
          <w:spacing w:val="-18"/>
          <w:w w:val="105"/>
        </w:rPr>
        <w:t> </w:t>
      </w:r>
      <w:r>
        <w:rPr>
          <w:color w:val="231F20"/>
          <w:w w:val="105"/>
        </w:rPr>
        <w:t>de</w:t>
      </w:r>
      <w:r>
        <w:rPr>
          <w:color w:val="231F20"/>
          <w:spacing w:val="-18"/>
          <w:w w:val="105"/>
        </w:rPr>
        <w:t> </w:t>
      </w:r>
      <w:r>
        <w:rPr>
          <w:color w:val="231F20"/>
          <w:w w:val="105"/>
        </w:rPr>
        <w:t>de- manda</w:t>
      </w:r>
      <w:r>
        <w:rPr>
          <w:color w:val="231F20"/>
          <w:spacing w:val="-9"/>
          <w:w w:val="105"/>
        </w:rPr>
        <w:t> </w:t>
      </w:r>
      <w:r>
        <w:rPr>
          <w:color w:val="231F20"/>
          <w:w w:val="105"/>
        </w:rPr>
        <w:t>de</w:t>
      </w:r>
      <w:r>
        <w:rPr>
          <w:color w:val="231F20"/>
          <w:spacing w:val="-9"/>
          <w:w w:val="105"/>
        </w:rPr>
        <w:t> </w:t>
      </w:r>
      <w:r>
        <w:rPr>
          <w:color w:val="231F20"/>
          <w:w w:val="105"/>
        </w:rPr>
        <w:t>consumo</w:t>
      </w:r>
      <w:r>
        <w:rPr>
          <w:color w:val="231F20"/>
          <w:spacing w:val="-9"/>
          <w:w w:val="105"/>
        </w:rPr>
        <w:t> </w:t>
      </w:r>
      <w:r>
        <w:rPr>
          <w:color w:val="231F20"/>
          <w:w w:val="105"/>
        </w:rPr>
        <w:t>es</w:t>
      </w:r>
      <w:r>
        <w:rPr>
          <w:color w:val="231F20"/>
          <w:spacing w:val="-9"/>
          <w:w w:val="105"/>
        </w:rPr>
        <w:t> </w:t>
      </w:r>
      <w:r>
        <w:rPr>
          <w:color w:val="231F20"/>
          <w:w w:val="105"/>
        </w:rPr>
        <w:t>creciente</w:t>
      </w:r>
      <w:r>
        <w:rPr>
          <w:color w:val="231F20"/>
          <w:spacing w:val="-9"/>
          <w:w w:val="105"/>
        </w:rPr>
        <w:t> </w:t>
      </w:r>
      <w:r>
        <w:rPr>
          <w:color w:val="231F20"/>
          <w:w w:val="105"/>
        </w:rPr>
        <w:t>pero,</w:t>
      </w:r>
      <w:r>
        <w:rPr>
          <w:color w:val="231F20"/>
          <w:spacing w:val="-16"/>
          <w:w w:val="105"/>
        </w:rPr>
        <w:t> </w:t>
      </w:r>
      <w:r>
        <w:rPr>
          <w:color w:val="231F20"/>
          <w:w w:val="105"/>
        </w:rPr>
        <w:t>debido</w:t>
      </w:r>
      <w:r>
        <w:rPr>
          <w:color w:val="231F20"/>
          <w:spacing w:val="-9"/>
          <w:w w:val="105"/>
        </w:rPr>
        <w:t> </w:t>
      </w:r>
      <w:r>
        <w:rPr>
          <w:color w:val="231F20"/>
          <w:w w:val="105"/>
        </w:rPr>
        <w:t>al</w:t>
      </w:r>
      <w:r>
        <w:rPr>
          <w:color w:val="231F20"/>
          <w:spacing w:val="-9"/>
          <w:w w:val="105"/>
        </w:rPr>
        <w:t> </w:t>
      </w:r>
      <w:r>
        <w:rPr>
          <w:color w:val="231F20"/>
          <w:w w:val="105"/>
        </w:rPr>
        <w:t>supuesto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primera ley</w:t>
      </w:r>
      <w:r>
        <w:rPr>
          <w:color w:val="231F20"/>
          <w:spacing w:val="-27"/>
          <w:w w:val="105"/>
        </w:rPr>
        <w:t> </w:t>
      </w:r>
      <w:r>
        <w:rPr>
          <w:color w:val="231F20"/>
          <w:w w:val="105"/>
        </w:rPr>
        <w:t>psicológica</w:t>
      </w:r>
      <w:r>
        <w:rPr>
          <w:color w:val="231F20"/>
          <w:spacing w:val="-27"/>
          <w:w w:val="105"/>
        </w:rPr>
        <w:t> </w:t>
      </w:r>
      <w:r>
        <w:rPr>
          <w:color w:val="231F20"/>
          <w:w w:val="105"/>
        </w:rPr>
        <w:t>fundamental,</w:t>
      </w:r>
      <w:r>
        <w:rPr>
          <w:color w:val="231F20"/>
          <w:spacing w:val="-32"/>
          <w:w w:val="105"/>
        </w:rPr>
        <w:t> </w:t>
      </w:r>
      <w:r>
        <w:rPr>
          <w:color w:val="231F20"/>
          <w:w w:val="105"/>
        </w:rPr>
        <w:t>comienza</w:t>
      </w:r>
      <w:r>
        <w:rPr>
          <w:color w:val="231F20"/>
          <w:spacing w:val="-27"/>
          <w:w w:val="105"/>
        </w:rPr>
        <w:t> </w:t>
      </w:r>
      <w:r>
        <w:rPr>
          <w:color w:val="231F20"/>
          <w:w w:val="105"/>
        </w:rPr>
        <w:t>a</w:t>
      </w:r>
      <w:r>
        <w:rPr>
          <w:color w:val="231F20"/>
          <w:spacing w:val="-27"/>
          <w:w w:val="105"/>
        </w:rPr>
        <w:t> </w:t>
      </w:r>
      <w:r>
        <w:rPr>
          <w:color w:val="231F20"/>
          <w:w w:val="105"/>
        </w:rPr>
        <w:t>decrecer</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límite.</w:t>
      </w:r>
      <w:r>
        <w:rPr>
          <w:color w:val="231F20"/>
          <w:spacing w:val="-32"/>
          <w:w w:val="105"/>
        </w:rPr>
        <w:t> </w:t>
      </w:r>
      <w:r>
        <w:rPr>
          <w:color w:val="231F20"/>
          <w:spacing w:val="-3"/>
          <w:w w:val="105"/>
        </w:rPr>
        <w:t>Parece</w:t>
      </w:r>
      <w:r>
        <w:rPr>
          <w:color w:val="231F20"/>
          <w:spacing w:val="-27"/>
          <w:w w:val="105"/>
        </w:rPr>
        <w:t> </w:t>
      </w:r>
      <w:r>
        <w:rPr>
          <w:color w:val="231F20"/>
          <w:w w:val="105"/>
        </w:rPr>
        <w:t>ob- vio</w:t>
      </w:r>
      <w:r>
        <w:rPr>
          <w:color w:val="231F20"/>
          <w:spacing w:val="-15"/>
          <w:w w:val="105"/>
        </w:rPr>
        <w:t> </w:t>
      </w:r>
      <w:r>
        <w:rPr>
          <w:color w:val="231F20"/>
          <w:w w:val="105"/>
        </w:rPr>
        <w:t>que,</w:t>
      </w:r>
      <w:r>
        <w:rPr>
          <w:color w:val="231F20"/>
          <w:spacing w:val="-21"/>
          <w:w w:val="105"/>
        </w:rPr>
        <w:t> </w:t>
      </w:r>
      <w:r>
        <w:rPr>
          <w:color w:val="231F20"/>
          <w:w w:val="105"/>
        </w:rPr>
        <w:t>sin</w:t>
      </w:r>
      <w:r>
        <w:rPr>
          <w:color w:val="231F20"/>
          <w:spacing w:val="-15"/>
          <w:w w:val="105"/>
        </w:rPr>
        <w:t> </w:t>
      </w:r>
      <w:r>
        <w:rPr>
          <w:color w:val="231F20"/>
          <w:w w:val="105"/>
        </w:rPr>
        <w:t>modificar</w:t>
      </w:r>
      <w:r>
        <w:rPr>
          <w:color w:val="231F20"/>
          <w:spacing w:val="-15"/>
          <w:w w:val="105"/>
        </w:rPr>
        <w:t> </w:t>
      </w:r>
      <w:r>
        <w:rPr>
          <w:color w:val="231F20"/>
          <w:w w:val="105"/>
        </w:rPr>
        <w:t>radicalmente</w:t>
      </w:r>
      <w:r>
        <w:rPr>
          <w:color w:val="231F20"/>
          <w:spacing w:val="-15"/>
          <w:w w:val="105"/>
        </w:rPr>
        <w:t> </w:t>
      </w:r>
      <w:r>
        <w:rPr>
          <w:color w:val="231F20"/>
          <w:w w:val="105"/>
        </w:rPr>
        <w:t>la</w:t>
      </w:r>
      <w:r>
        <w:rPr>
          <w:color w:val="231F20"/>
          <w:spacing w:val="-15"/>
          <w:w w:val="105"/>
        </w:rPr>
        <w:t> </w:t>
      </w:r>
      <w:r>
        <w:rPr>
          <w:color w:val="231F20"/>
          <w:w w:val="105"/>
        </w:rPr>
        <w:t>estructura</w:t>
      </w:r>
      <w:r>
        <w:rPr>
          <w:color w:val="231F20"/>
          <w:spacing w:val="-15"/>
          <w:w w:val="105"/>
        </w:rPr>
        <w:t> </w:t>
      </w:r>
      <w:r>
        <w:rPr>
          <w:color w:val="231F20"/>
          <w:w w:val="105"/>
        </w:rPr>
        <w:t>social</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distribución, el consumo no podría aumentar en el volumen necesario para llenar la brecha</w:t>
      </w:r>
      <w:r>
        <w:rPr>
          <w:color w:val="231F20"/>
          <w:spacing w:val="-18"/>
          <w:w w:val="105"/>
        </w:rPr>
        <w:t> </w:t>
      </w:r>
      <w:r>
        <w:rPr>
          <w:color w:val="231F20"/>
          <w:w w:val="105"/>
        </w:rPr>
        <w:t>entre</w:t>
      </w:r>
      <w:r>
        <w:rPr>
          <w:color w:val="231F20"/>
          <w:spacing w:val="-18"/>
          <w:w w:val="105"/>
        </w:rPr>
        <w:t> </w:t>
      </w:r>
      <w:r>
        <w:rPr>
          <w:i/>
          <w:color w:val="231F20"/>
          <w:w w:val="105"/>
        </w:rPr>
        <w:t>OA</w:t>
      </w:r>
      <w:r>
        <w:rPr>
          <w:i/>
          <w:color w:val="231F20"/>
          <w:spacing w:val="-18"/>
          <w:w w:val="105"/>
        </w:rPr>
        <w:t> </w:t>
      </w:r>
      <w:r>
        <w:rPr>
          <w:color w:val="231F20"/>
          <w:w w:val="105"/>
        </w:rPr>
        <w:t>y</w:t>
      </w:r>
      <w:r>
        <w:rPr>
          <w:color w:val="231F20"/>
          <w:spacing w:val="-18"/>
          <w:w w:val="105"/>
        </w:rPr>
        <w:t> </w:t>
      </w:r>
      <w:r>
        <w:rPr>
          <w:i/>
          <w:color w:val="231F20"/>
          <w:w w:val="105"/>
        </w:rPr>
        <w:t>DA</w:t>
      </w:r>
      <w:r>
        <w:rPr>
          <w:color w:val="231F20"/>
          <w:w w:val="105"/>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64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292</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64"/>
        </w:numPr>
        <w:tabs>
          <w:tab w:pos="501" w:val="left" w:leader="none"/>
          <w:tab w:pos="6971" w:val="right" w:leader="none"/>
        </w:tabs>
        <w:spacing w:line="240" w:lineRule="auto" w:before="52" w:after="0"/>
        <w:ind w:left="500" w:right="0" w:hanging="215"/>
        <w:jc w:val="left"/>
        <w:rPr>
          <w:sz w:val="20"/>
        </w:rPr>
      </w:pPr>
      <w:r>
        <w:rPr/>
        <w:pict>
          <v:line style="position:absolute;mso-position-horizontal-relative:page;mso-position-vertical-relative:paragraph;z-index:-237616" from="384.061005pt,-25.30427pt" to="384.061005pt,9.561580pt" stroked="true" strokeweight=".3pt" strokecolor="#231f20">
            <w10:wrap type="none"/>
          </v:line>
        </w:pict>
      </w:r>
      <w:r>
        <w:rPr>
          <w:rFonts w:ascii="Lucida Sans Unicode" w:hAnsi="Lucida Sans Unicode"/>
          <w:color w:val="6D6E71"/>
          <w:w w:val="105"/>
          <w:sz w:val="14"/>
        </w:rPr>
        <w:t>El</w:t>
      </w:r>
      <w:r>
        <w:rPr>
          <w:rFonts w:ascii="Lucida Sans Unicode" w:hAnsi="Lucida Sans Unicode"/>
          <w:color w:val="6D6E71"/>
          <w:spacing w:val="-9"/>
          <w:w w:val="105"/>
          <w:sz w:val="14"/>
        </w:rPr>
        <w:t> </w:t>
      </w:r>
      <w:r>
        <w:rPr>
          <w:rFonts w:ascii="Lucida Sans Unicode" w:hAnsi="Lucida Sans Unicode"/>
          <w:color w:val="6D6E71"/>
          <w:w w:val="105"/>
          <w:sz w:val="14"/>
        </w:rPr>
        <w:t>EmplEo</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15"/>
          <w:sz w:val="14"/>
        </w:rPr>
        <w:t>la</w:t>
      </w:r>
      <w:r>
        <w:rPr>
          <w:rFonts w:ascii="Lucida Sans Unicode" w:hAnsi="Lucida Sans Unicode"/>
          <w:color w:val="6D6E71"/>
          <w:spacing w:val="-13"/>
          <w:w w:val="115"/>
          <w:sz w:val="14"/>
        </w:rPr>
        <w:t> </w:t>
      </w:r>
      <w:r>
        <w:rPr>
          <w:rFonts w:ascii="Lucida Sans Unicode" w:hAnsi="Lucida Sans Unicode"/>
          <w:color w:val="6D6E71"/>
          <w:w w:val="105"/>
          <w:sz w:val="14"/>
        </w:rPr>
        <w:t>dEsocupacIón:</w:t>
      </w:r>
      <w:r>
        <w:rPr>
          <w:rFonts w:ascii="Lucida Sans Unicode" w:hAnsi="Lucida Sans Unicode"/>
          <w:color w:val="6D6E71"/>
          <w:spacing w:val="-9"/>
          <w:w w:val="105"/>
          <w:sz w:val="14"/>
        </w:rPr>
        <w:t> </w:t>
      </w:r>
      <w:r>
        <w:rPr>
          <w:rFonts w:ascii="Lucida Sans Unicode" w:hAnsi="Lucida Sans Unicode"/>
          <w:color w:val="6D6E71"/>
          <w:w w:val="105"/>
          <w:sz w:val="14"/>
        </w:rPr>
        <w:t>un</w:t>
      </w:r>
      <w:r>
        <w:rPr>
          <w:rFonts w:ascii="Lucida Sans Unicode" w:hAnsi="Lucida Sans Unicode"/>
          <w:color w:val="6D6E71"/>
          <w:spacing w:val="-9"/>
          <w:w w:val="105"/>
          <w:sz w:val="14"/>
        </w:rPr>
        <w:t> </w:t>
      </w:r>
      <w:r>
        <w:rPr>
          <w:rFonts w:ascii="Lucida Sans Unicode" w:hAnsi="Lucida Sans Unicode"/>
          <w:color w:val="6D6E71"/>
          <w:w w:val="105"/>
          <w:sz w:val="14"/>
        </w:rPr>
        <w:t>análIsIs</w:t>
      </w:r>
      <w:r>
        <w:rPr>
          <w:rFonts w:ascii="Lucida Sans Unicode" w:hAnsi="Lucida Sans Unicode"/>
          <w:color w:val="6D6E71"/>
          <w:spacing w:val="-9"/>
          <w:w w:val="105"/>
          <w:sz w:val="14"/>
        </w:rPr>
        <w:t> </w:t>
      </w:r>
      <w:r>
        <w:rPr>
          <w:rFonts w:ascii="Lucida Sans Unicode" w:hAnsi="Lucida Sans Unicode"/>
          <w:color w:val="6D6E71"/>
          <w:w w:val="105"/>
          <w:sz w:val="14"/>
        </w:rPr>
        <w:t>dEsdE</w:t>
      </w:r>
      <w:r>
        <w:rPr>
          <w:rFonts w:ascii="Lucida Sans Unicode" w:hAnsi="Lucida Sans Unicode"/>
          <w:color w:val="6D6E71"/>
          <w:spacing w:val="-9"/>
          <w:w w:val="105"/>
          <w:sz w:val="14"/>
        </w:rPr>
        <w:t> </w:t>
      </w:r>
      <w:r>
        <w:rPr>
          <w:rFonts w:ascii="Lucida Sans Unicode" w:hAnsi="Lucida Sans Unicode"/>
          <w:color w:val="6D6E71"/>
          <w:w w:val="105"/>
          <w:sz w:val="14"/>
        </w:rPr>
        <w:t>los</w:t>
      </w:r>
      <w:r>
        <w:rPr>
          <w:rFonts w:ascii="Lucida Sans Unicode" w:hAnsi="Lucida Sans Unicode"/>
          <w:color w:val="6D6E71"/>
          <w:spacing w:val="-9"/>
          <w:w w:val="105"/>
          <w:sz w:val="14"/>
        </w:rPr>
        <w:t> </w:t>
      </w:r>
      <w:r>
        <w:rPr>
          <w:rFonts w:ascii="Lucida Sans Unicode" w:hAnsi="Lucida Sans Unicode"/>
          <w:color w:val="6D6E71"/>
          <w:w w:val="105"/>
          <w:sz w:val="14"/>
        </w:rPr>
        <w:t>EnfoquEs</w:t>
      </w:r>
      <w:r>
        <w:rPr>
          <w:rFonts w:ascii="Lucida Sans Unicode" w:hAnsi="Lucida Sans Unicode"/>
          <w:color w:val="6D6E71"/>
          <w:spacing w:val="-9"/>
          <w:w w:val="105"/>
          <w:sz w:val="14"/>
        </w:rPr>
        <w:t> </w:t>
      </w:r>
      <w:r>
        <w:rPr>
          <w:rFonts w:ascii="Lucida Sans Unicode" w:hAnsi="Lucida Sans Unicode"/>
          <w:color w:val="6D6E71"/>
          <w:w w:val="105"/>
          <w:sz w:val="14"/>
        </w:rPr>
        <w:t>tEórIcos</w:t>
      </w:r>
      <w:r>
        <w:rPr>
          <w:rFonts w:ascii="Lucida Sans Unicode" w:hAnsi="Lucida Sans Unicode"/>
          <w:color w:val="6D6E71"/>
          <w:spacing w:val="-9"/>
          <w:w w:val="105"/>
          <w:sz w:val="14"/>
        </w:rPr>
        <w:t> </w:t>
      </w:r>
      <w:r>
        <w:rPr>
          <w:rFonts w:ascii="Lucida Sans Unicode" w:hAnsi="Lucida Sans Unicode"/>
          <w:color w:val="6D6E71"/>
          <w:w w:val="105"/>
          <w:sz w:val="14"/>
        </w:rPr>
        <w:t>kEynEsIanos</w:t>
      </w:r>
      <w:r>
        <w:rPr>
          <w:color w:val="414042"/>
          <w:w w:val="105"/>
          <w:position w:val="-3"/>
          <w:sz w:val="20"/>
        </w:rPr>
        <w:tab/>
        <w:t>293</w:t>
      </w:r>
    </w:p>
    <w:p>
      <w:pPr>
        <w:pStyle w:val="BodyText"/>
        <w:rPr>
          <w:sz w:val="20"/>
        </w:rPr>
      </w:pPr>
    </w:p>
    <w:p>
      <w:pPr>
        <w:pStyle w:val="BodyText"/>
        <w:rPr>
          <w:sz w:val="20"/>
        </w:rPr>
      </w:pPr>
    </w:p>
    <w:p>
      <w:pPr>
        <w:spacing w:before="176"/>
        <w:ind w:left="117" w:right="0" w:firstLine="0"/>
        <w:jc w:val="both"/>
        <w:rPr>
          <w:i/>
          <w:sz w:val="21"/>
        </w:rPr>
      </w:pPr>
      <w:r>
        <w:rPr>
          <w:i/>
          <w:color w:val="231F20"/>
          <w:sz w:val="21"/>
        </w:rPr>
        <w:t>Demanda de inversiones privadas</w:t>
      </w:r>
      <w:r>
        <w:rPr>
          <w:i/>
          <w:color w:val="231F20"/>
          <w:spacing w:val="50"/>
          <w:sz w:val="21"/>
        </w:rPr>
        <w:t> </w:t>
      </w:r>
      <w:r>
        <w:rPr>
          <w:i/>
          <w:color w:val="231F20"/>
          <w:sz w:val="21"/>
        </w:rPr>
        <w:t>(I)</w:t>
      </w:r>
    </w:p>
    <w:p>
      <w:pPr>
        <w:pStyle w:val="BodyText"/>
        <w:spacing w:before="4"/>
        <w:rPr>
          <w:i/>
          <w:sz w:val="16"/>
        </w:rPr>
      </w:pPr>
    </w:p>
    <w:p>
      <w:pPr>
        <w:pStyle w:val="BodyText"/>
        <w:spacing w:line="259" w:lineRule="auto"/>
        <w:ind w:left="117" w:right="115"/>
        <w:jc w:val="both"/>
      </w:pPr>
      <w:r>
        <w:rPr>
          <w:color w:val="231F20"/>
          <w:w w:val="105"/>
        </w:rPr>
        <w:t>Según</w:t>
      </w:r>
      <w:r>
        <w:rPr>
          <w:color w:val="231F20"/>
          <w:spacing w:val="-13"/>
          <w:w w:val="105"/>
        </w:rPr>
        <w:t> </w:t>
      </w:r>
      <w:r>
        <w:rPr>
          <w:color w:val="231F20"/>
          <w:w w:val="105"/>
        </w:rPr>
        <w:t>el</w:t>
      </w:r>
      <w:r>
        <w:rPr>
          <w:color w:val="231F20"/>
          <w:spacing w:val="-13"/>
          <w:w w:val="105"/>
        </w:rPr>
        <w:t> </w:t>
      </w:r>
      <w:r>
        <w:rPr>
          <w:color w:val="231F20"/>
          <w:w w:val="105"/>
        </w:rPr>
        <w:t>modelo</w:t>
      </w:r>
      <w:r>
        <w:rPr>
          <w:color w:val="231F20"/>
          <w:spacing w:val="-13"/>
          <w:w w:val="105"/>
        </w:rPr>
        <w:t> </w:t>
      </w:r>
      <w:r>
        <w:rPr>
          <w:color w:val="231F20"/>
          <w:w w:val="105"/>
        </w:rPr>
        <w:t>keynesiano,</w:t>
      </w:r>
      <w:r>
        <w:rPr>
          <w:color w:val="231F20"/>
          <w:spacing w:val="-18"/>
          <w:w w:val="105"/>
        </w:rPr>
        <w:t> </w:t>
      </w:r>
      <w:r>
        <w:rPr>
          <w:color w:val="231F20"/>
          <w:w w:val="105"/>
        </w:rPr>
        <w:t>el</w:t>
      </w:r>
      <w:r>
        <w:rPr>
          <w:color w:val="231F20"/>
          <w:spacing w:val="-13"/>
          <w:w w:val="105"/>
        </w:rPr>
        <w:t> </w:t>
      </w:r>
      <w:r>
        <w:rPr>
          <w:color w:val="231F20"/>
          <w:w w:val="105"/>
        </w:rPr>
        <w:t>ingreso</w:t>
      </w:r>
      <w:r>
        <w:rPr>
          <w:color w:val="231F20"/>
          <w:spacing w:val="-13"/>
          <w:w w:val="105"/>
        </w:rPr>
        <w:t> </w:t>
      </w:r>
      <w:r>
        <w:rPr>
          <w:color w:val="231F20"/>
          <w:w w:val="105"/>
        </w:rPr>
        <w:t>se</w:t>
      </w:r>
      <w:r>
        <w:rPr>
          <w:color w:val="231F20"/>
          <w:spacing w:val="-13"/>
          <w:w w:val="105"/>
        </w:rPr>
        <w:t> </w:t>
      </w:r>
      <w:r>
        <w:rPr>
          <w:color w:val="231F20"/>
          <w:w w:val="105"/>
        </w:rPr>
        <w:t>destina</w:t>
      </w:r>
      <w:r>
        <w:rPr>
          <w:color w:val="231F20"/>
          <w:spacing w:val="-13"/>
          <w:w w:val="105"/>
        </w:rPr>
        <w:t> </w:t>
      </w:r>
      <w:r>
        <w:rPr>
          <w:color w:val="231F20"/>
          <w:w w:val="105"/>
        </w:rPr>
        <w:t>al</w:t>
      </w:r>
      <w:r>
        <w:rPr>
          <w:color w:val="231F20"/>
          <w:spacing w:val="-13"/>
          <w:w w:val="105"/>
        </w:rPr>
        <w:t> </w:t>
      </w:r>
      <w:r>
        <w:rPr>
          <w:color w:val="231F20"/>
          <w:w w:val="105"/>
        </w:rPr>
        <w:t>consumo</w:t>
      </w:r>
      <w:r>
        <w:rPr>
          <w:color w:val="231F20"/>
          <w:spacing w:val="-13"/>
          <w:w w:val="105"/>
        </w:rPr>
        <w:t> </w:t>
      </w:r>
      <w:r>
        <w:rPr>
          <w:color w:val="231F20"/>
          <w:w w:val="105"/>
        </w:rPr>
        <w:t>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in- versión,</w:t>
      </w:r>
      <w:r>
        <w:rPr>
          <w:color w:val="231F20"/>
          <w:spacing w:val="-15"/>
          <w:w w:val="105"/>
        </w:rPr>
        <w:t> </w:t>
      </w:r>
      <w:r>
        <w:rPr>
          <w:color w:val="231F20"/>
          <w:w w:val="105"/>
        </w:rPr>
        <w:t>donde</w:t>
      </w:r>
      <w:r>
        <w:rPr>
          <w:color w:val="231F20"/>
          <w:spacing w:val="-9"/>
          <w:w w:val="105"/>
        </w:rPr>
        <w:t> </w:t>
      </w:r>
      <w:r>
        <w:rPr>
          <w:color w:val="231F20"/>
          <w:w w:val="105"/>
        </w:rPr>
        <w:t>el</w:t>
      </w:r>
      <w:r>
        <w:rPr>
          <w:color w:val="231F20"/>
          <w:spacing w:val="-9"/>
          <w:w w:val="105"/>
        </w:rPr>
        <w:t> </w:t>
      </w:r>
      <w:r>
        <w:rPr>
          <w:color w:val="231F20"/>
          <w:w w:val="105"/>
        </w:rPr>
        <w:t>consumo</w:t>
      </w:r>
      <w:r>
        <w:rPr>
          <w:color w:val="231F20"/>
          <w:spacing w:val="-9"/>
          <w:w w:val="105"/>
        </w:rPr>
        <w:t> </w:t>
      </w:r>
      <w:r>
        <w:rPr>
          <w:color w:val="231F20"/>
          <w:w w:val="105"/>
        </w:rPr>
        <w:t>está</w:t>
      </w:r>
      <w:r>
        <w:rPr>
          <w:color w:val="231F20"/>
          <w:spacing w:val="-9"/>
          <w:w w:val="105"/>
        </w:rPr>
        <w:t> </w:t>
      </w:r>
      <w:r>
        <w:rPr>
          <w:color w:val="231F20"/>
          <w:w w:val="105"/>
        </w:rPr>
        <w:t>dado</w:t>
      </w:r>
      <w:r>
        <w:rPr>
          <w:color w:val="231F20"/>
          <w:spacing w:val="-9"/>
          <w:w w:val="105"/>
        </w:rPr>
        <w:t> </w:t>
      </w:r>
      <w:r>
        <w:rPr>
          <w:color w:val="231F20"/>
          <w:w w:val="105"/>
        </w:rPr>
        <w:t>por</w:t>
      </w:r>
      <w:r>
        <w:rPr>
          <w:color w:val="231F20"/>
          <w:spacing w:val="-9"/>
          <w:w w:val="105"/>
        </w:rPr>
        <w:t> </w:t>
      </w:r>
      <w:r>
        <w:rPr>
          <w:color w:val="231F20"/>
          <w:w w:val="105"/>
        </w:rPr>
        <w:t>la</w:t>
      </w:r>
      <w:r>
        <w:rPr>
          <w:color w:val="231F20"/>
          <w:spacing w:val="-9"/>
          <w:w w:val="105"/>
        </w:rPr>
        <w:t> </w:t>
      </w:r>
      <w:r>
        <w:rPr>
          <w:color w:val="231F20"/>
          <w:w w:val="105"/>
        </w:rPr>
        <w:t>propensión</w:t>
      </w:r>
      <w:r>
        <w:rPr>
          <w:color w:val="231F20"/>
          <w:spacing w:val="-9"/>
          <w:w w:val="105"/>
        </w:rPr>
        <w:t> </w:t>
      </w:r>
      <w:r>
        <w:rPr>
          <w:color w:val="231F20"/>
          <w:w w:val="105"/>
        </w:rPr>
        <w:t>marginal</w:t>
      </w:r>
      <w:r>
        <w:rPr>
          <w:color w:val="231F20"/>
          <w:spacing w:val="-9"/>
          <w:w w:val="105"/>
        </w:rPr>
        <w:t> </w:t>
      </w:r>
      <w:r>
        <w:rPr>
          <w:color w:val="231F20"/>
          <w:w w:val="105"/>
        </w:rPr>
        <w:t>a</w:t>
      </w:r>
      <w:r>
        <w:rPr>
          <w:color w:val="231F20"/>
          <w:spacing w:val="-9"/>
          <w:w w:val="105"/>
        </w:rPr>
        <w:t> </w:t>
      </w:r>
      <w:r>
        <w:rPr>
          <w:color w:val="231F20"/>
          <w:w w:val="105"/>
        </w:rPr>
        <w:t>con- sumir y la inversión se determina por el incentivo proporcionado por la tasa de interés que depende de la liquidez y la cantidad de dinero.</w:t>
      </w:r>
      <w:r>
        <w:rPr>
          <w:color w:val="231F20"/>
          <w:spacing w:val="-5"/>
          <w:w w:val="105"/>
        </w:rPr>
        <w:t> </w:t>
      </w:r>
      <w:r>
        <w:rPr>
          <w:color w:val="231F20"/>
          <w:w w:val="105"/>
        </w:rPr>
        <w:t>Así, para</w:t>
      </w:r>
      <w:r>
        <w:rPr>
          <w:color w:val="231F20"/>
          <w:spacing w:val="-15"/>
          <w:w w:val="105"/>
        </w:rPr>
        <w:t> </w:t>
      </w:r>
      <w:r>
        <w:rPr>
          <w:color w:val="231F20"/>
          <w:w w:val="105"/>
        </w:rPr>
        <w:t>que</w:t>
      </w:r>
      <w:r>
        <w:rPr>
          <w:color w:val="231F20"/>
          <w:spacing w:val="-15"/>
          <w:w w:val="105"/>
        </w:rPr>
        <w:t> </w:t>
      </w:r>
      <w:r>
        <w:rPr>
          <w:color w:val="231F20"/>
          <w:w w:val="105"/>
        </w:rPr>
        <w:t>haya</w:t>
      </w:r>
      <w:r>
        <w:rPr>
          <w:color w:val="231F20"/>
          <w:spacing w:val="-15"/>
          <w:w w:val="105"/>
        </w:rPr>
        <w:t> </w:t>
      </w:r>
      <w:r>
        <w:rPr>
          <w:color w:val="231F20"/>
          <w:w w:val="105"/>
        </w:rPr>
        <w:t>empleo</w:t>
      </w:r>
      <w:r>
        <w:rPr>
          <w:color w:val="231F20"/>
          <w:spacing w:val="-15"/>
          <w:w w:val="105"/>
        </w:rPr>
        <w:t> </w:t>
      </w:r>
      <w:r>
        <w:rPr>
          <w:color w:val="231F20"/>
          <w:w w:val="105"/>
        </w:rPr>
        <w:t>debe</w:t>
      </w:r>
      <w:r>
        <w:rPr>
          <w:color w:val="231F20"/>
          <w:spacing w:val="-15"/>
          <w:w w:val="105"/>
        </w:rPr>
        <w:t> </w:t>
      </w:r>
      <w:r>
        <w:rPr>
          <w:color w:val="231F20"/>
          <w:w w:val="105"/>
        </w:rPr>
        <w:t>aumentar</w:t>
      </w:r>
      <w:r>
        <w:rPr>
          <w:color w:val="231F20"/>
          <w:spacing w:val="-15"/>
          <w:w w:val="105"/>
        </w:rPr>
        <w:t> </w:t>
      </w:r>
      <w:r>
        <w:rPr>
          <w:color w:val="231F20"/>
          <w:w w:val="105"/>
        </w:rPr>
        <w:t>la</w:t>
      </w:r>
      <w:r>
        <w:rPr>
          <w:color w:val="231F20"/>
          <w:spacing w:val="-15"/>
          <w:w w:val="105"/>
        </w:rPr>
        <w:t> </w:t>
      </w:r>
      <w:r>
        <w:rPr>
          <w:color w:val="231F20"/>
          <w:w w:val="105"/>
        </w:rPr>
        <w:t>inversión</w:t>
      </w:r>
      <w:r>
        <w:rPr>
          <w:color w:val="231F20"/>
          <w:spacing w:val="-15"/>
          <w:w w:val="105"/>
        </w:rPr>
        <w:t> </w:t>
      </w:r>
      <w:r>
        <w:rPr>
          <w:color w:val="231F20"/>
          <w:w w:val="105"/>
        </w:rPr>
        <w:t>y</w:t>
      </w:r>
      <w:r>
        <w:rPr>
          <w:color w:val="231F20"/>
          <w:spacing w:val="-15"/>
          <w:w w:val="105"/>
        </w:rPr>
        <w:t> </w:t>
      </w:r>
      <w:r>
        <w:rPr>
          <w:color w:val="231F20"/>
          <w:w w:val="105"/>
        </w:rPr>
        <w:t>esto</w:t>
      </w:r>
      <w:r>
        <w:rPr>
          <w:color w:val="231F20"/>
          <w:spacing w:val="-15"/>
          <w:w w:val="105"/>
        </w:rPr>
        <w:t> </w:t>
      </w:r>
      <w:r>
        <w:rPr>
          <w:color w:val="231F20"/>
          <w:w w:val="105"/>
        </w:rPr>
        <w:t>sólo</w:t>
      </w:r>
      <w:r>
        <w:rPr>
          <w:color w:val="231F20"/>
          <w:spacing w:val="-15"/>
          <w:w w:val="105"/>
        </w:rPr>
        <w:t> </w:t>
      </w:r>
      <w:r>
        <w:rPr>
          <w:color w:val="231F20"/>
          <w:w w:val="105"/>
        </w:rPr>
        <w:t>se</w:t>
      </w:r>
      <w:r>
        <w:rPr>
          <w:color w:val="231F20"/>
          <w:spacing w:val="-15"/>
          <w:w w:val="105"/>
        </w:rPr>
        <w:t> </w:t>
      </w:r>
      <w:r>
        <w:rPr>
          <w:color w:val="231F20"/>
          <w:w w:val="105"/>
        </w:rPr>
        <w:t>logra</w:t>
      </w:r>
      <w:r>
        <w:rPr>
          <w:color w:val="231F20"/>
          <w:spacing w:val="-15"/>
          <w:w w:val="105"/>
        </w:rPr>
        <w:t> </w:t>
      </w:r>
      <w:r>
        <w:rPr>
          <w:color w:val="231F20"/>
          <w:w w:val="105"/>
        </w:rPr>
        <w:t>si disminuye la propensión marginal a consumir ante los incrementos del ingreso.</w:t>
      </w:r>
      <w:r>
        <w:rPr>
          <w:color w:val="231F20"/>
          <w:spacing w:val="-10"/>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enfoque</w:t>
      </w:r>
      <w:r>
        <w:rPr>
          <w:color w:val="231F20"/>
          <w:spacing w:val="-5"/>
          <w:w w:val="105"/>
        </w:rPr>
        <w:t> </w:t>
      </w:r>
      <w:r>
        <w:rPr>
          <w:color w:val="231F20"/>
          <w:w w:val="105"/>
        </w:rPr>
        <w:t>hacia</w:t>
      </w:r>
      <w:r>
        <w:rPr>
          <w:color w:val="231F20"/>
          <w:spacing w:val="-5"/>
          <w:w w:val="105"/>
        </w:rPr>
        <w:t> </w:t>
      </w:r>
      <w:r>
        <w:rPr>
          <w:color w:val="231F20"/>
          <w:w w:val="105"/>
        </w:rPr>
        <w:t>la</w:t>
      </w:r>
      <w:r>
        <w:rPr>
          <w:color w:val="231F20"/>
          <w:spacing w:val="-5"/>
          <w:w w:val="105"/>
        </w:rPr>
        <w:t> </w:t>
      </w:r>
      <w:r>
        <w:rPr>
          <w:color w:val="231F20"/>
          <w:w w:val="105"/>
        </w:rPr>
        <w:t>inversión</w:t>
      </w:r>
      <w:r>
        <w:rPr>
          <w:color w:val="231F20"/>
          <w:spacing w:val="-5"/>
          <w:w w:val="105"/>
        </w:rPr>
        <w:t> </w:t>
      </w:r>
      <w:r>
        <w:rPr>
          <w:color w:val="231F20"/>
          <w:w w:val="105"/>
        </w:rPr>
        <w:t>privada</w:t>
      </w:r>
      <w:r>
        <w:rPr>
          <w:color w:val="231F20"/>
          <w:spacing w:val="-5"/>
          <w:w w:val="105"/>
        </w:rPr>
        <w:t> </w:t>
      </w:r>
      <w:r>
        <w:rPr>
          <w:color w:val="231F20"/>
          <w:w w:val="105"/>
        </w:rPr>
        <w:t>considera</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tasa de inversión se moverá hasta aquel punto de la curva de demanda de inversión</w:t>
      </w:r>
      <w:r>
        <w:rPr>
          <w:color w:val="231F20"/>
          <w:spacing w:val="-14"/>
          <w:w w:val="105"/>
        </w:rPr>
        <w:t> </w:t>
      </w:r>
      <w:r>
        <w:rPr>
          <w:color w:val="231F20"/>
          <w:w w:val="105"/>
        </w:rPr>
        <w:t>en</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eficacia</w:t>
      </w:r>
      <w:r>
        <w:rPr>
          <w:color w:val="231F20"/>
          <w:spacing w:val="-14"/>
          <w:w w:val="105"/>
        </w:rPr>
        <w:t> </w:t>
      </w:r>
      <w:r>
        <w:rPr>
          <w:color w:val="231F20"/>
          <w:w w:val="105"/>
        </w:rPr>
        <w:t>marginal</w:t>
      </w:r>
      <w:r>
        <w:rPr>
          <w:color w:val="231F20"/>
          <w:spacing w:val="-14"/>
          <w:w w:val="105"/>
        </w:rPr>
        <w:t> </w:t>
      </w:r>
      <w:r>
        <w:rPr>
          <w:color w:val="231F20"/>
          <w:w w:val="105"/>
        </w:rPr>
        <w:t>del</w:t>
      </w:r>
      <w:r>
        <w:rPr>
          <w:color w:val="231F20"/>
          <w:spacing w:val="-14"/>
          <w:w w:val="105"/>
        </w:rPr>
        <w:t> </w:t>
      </w:r>
      <w:r>
        <w:rPr>
          <w:color w:val="231F20"/>
          <w:w w:val="105"/>
        </w:rPr>
        <w:t>capital</w:t>
      </w:r>
      <w:r>
        <w:rPr>
          <w:color w:val="231F20"/>
          <w:spacing w:val="-14"/>
          <w:w w:val="105"/>
        </w:rPr>
        <w:t> </w:t>
      </w:r>
      <w:r>
        <w:rPr>
          <w:color w:val="231F20"/>
          <w:w w:val="105"/>
        </w:rPr>
        <w:t>en</w:t>
      </w:r>
      <w:r>
        <w:rPr>
          <w:color w:val="231F20"/>
          <w:spacing w:val="-14"/>
          <w:w w:val="105"/>
        </w:rPr>
        <w:t> </w:t>
      </w:r>
      <w:r>
        <w:rPr>
          <w:color w:val="231F20"/>
          <w:w w:val="105"/>
        </w:rPr>
        <w:t>general</w:t>
      </w:r>
      <w:r>
        <w:rPr>
          <w:color w:val="231F20"/>
          <w:spacing w:val="-14"/>
          <w:w w:val="105"/>
        </w:rPr>
        <w:t> </w:t>
      </w:r>
      <w:r>
        <w:rPr>
          <w:color w:val="231F20"/>
          <w:w w:val="105"/>
        </w:rPr>
        <w:t>sea</w:t>
      </w:r>
      <w:r>
        <w:rPr>
          <w:color w:val="231F20"/>
          <w:spacing w:val="-14"/>
          <w:w w:val="105"/>
        </w:rPr>
        <w:t> </w:t>
      </w:r>
      <w:r>
        <w:rPr>
          <w:color w:val="231F20"/>
          <w:w w:val="105"/>
        </w:rPr>
        <w:t>igual</w:t>
      </w:r>
      <w:r>
        <w:rPr>
          <w:color w:val="231F20"/>
          <w:spacing w:val="-14"/>
          <w:w w:val="105"/>
        </w:rPr>
        <w:t> </w:t>
      </w:r>
      <w:r>
        <w:rPr>
          <w:color w:val="231F20"/>
          <w:w w:val="105"/>
        </w:rPr>
        <w:t>a</w:t>
      </w:r>
      <w:r>
        <w:rPr>
          <w:color w:val="231F20"/>
          <w:spacing w:val="-14"/>
          <w:w w:val="105"/>
        </w:rPr>
        <w:t> </w:t>
      </w:r>
      <w:r>
        <w:rPr>
          <w:color w:val="231F20"/>
          <w:w w:val="105"/>
        </w:rPr>
        <w:t>la tasa</w:t>
      </w:r>
      <w:r>
        <w:rPr>
          <w:color w:val="231F20"/>
          <w:spacing w:val="-20"/>
          <w:w w:val="105"/>
        </w:rPr>
        <w:t> </w:t>
      </w:r>
      <w:r>
        <w:rPr>
          <w:color w:val="231F20"/>
          <w:w w:val="105"/>
        </w:rPr>
        <w:t>de</w:t>
      </w:r>
      <w:r>
        <w:rPr>
          <w:color w:val="231F20"/>
          <w:spacing w:val="-20"/>
          <w:w w:val="105"/>
        </w:rPr>
        <w:t> </w:t>
      </w:r>
      <w:r>
        <w:rPr>
          <w:color w:val="231F20"/>
          <w:w w:val="105"/>
        </w:rPr>
        <w:t>interés</w:t>
      </w:r>
      <w:r>
        <w:rPr>
          <w:color w:val="231F20"/>
          <w:spacing w:val="-20"/>
          <w:w w:val="105"/>
        </w:rPr>
        <w:t> </w:t>
      </w:r>
      <w:r>
        <w:rPr>
          <w:color w:val="231F20"/>
          <w:w w:val="105"/>
        </w:rPr>
        <w:t>de</w:t>
      </w:r>
      <w:r>
        <w:rPr>
          <w:color w:val="231F20"/>
          <w:spacing w:val="-20"/>
          <w:w w:val="105"/>
        </w:rPr>
        <w:t> </w:t>
      </w:r>
      <w:r>
        <w:rPr>
          <w:color w:val="231F20"/>
          <w:w w:val="105"/>
        </w:rPr>
        <w:t>mercado.</w:t>
      </w:r>
    </w:p>
    <w:p>
      <w:pPr>
        <w:pStyle w:val="BodyText"/>
        <w:spacing w:line="256" w:lineRule="auto"/>
        <w:ind w:left="117" w:right="121" w:firstLine="567"/>
        <w:jc w:val="both"/>
      </w:pPr>
      <w:r>
        <w:rPr>
          <w:color w:val="231F20"/>
          <w:w w:val="105"/>
        </w:rPr>
        <w:t>A largo plazo, la eficacia marginal del capital tiene una tendencia decreciente, pero lo que mueve al capitalista privado a invertir es la</w:t>
      </w:r>
      <w:r>
        <w:rPr>
          <w:color w:val="231F20"/>
          <w:spacing w:val="-42"/>
          <w:w w:val="105"/>
        </w:rPr>
        <w:t> </w:t>
      </w:r>
      <w:r>
        <w:rPr>
          <w:color w:val="231F20"/>
          <w:w w:val="105"/>
        </w:rPr>
        <w:t>ex- pectativa de obtener o maximizar sus ganancias. Aun cuando se haya logrado</w:t>
      </w:r>
      <w:r>
        <w:rPr>
          <w:color w:val="231F20"/>
          <w:spacing w:val="-9"/>
          <w:w w:val="105"/>
        </w:rPr>
        <w:t> </w:t>
      </w:r>
      <w:r>
        <w:rPr>
          <w:color w:val="231F20"/>
          <w:w w:val="105"/>
        </w:rPr>
        <w:t>un</w:t>
      </w:r>
      <w:r>
        <w:rPr>
          <w:color w:val="231F20"/>
          <w:spacing w:val="-9"/>
          <w:w w:val="105"/>
        </w:rPr>
        <w:t> </w:t>
      </w:r>
      <w:r>
        <w:rPr>
          <w:color w:val="231F20"/>
          <w:w w:val="105"/>
        </w:rPr>
        <w:t>incremento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demanda</w:t>
      </w:r>
      <w:r>
        <w:rPr>
          <w:color w:val="231F20"/>
          <w:spacing w:val="-9"/>
          <w:w w:val="105"/>
        </w:rPr>
        <w:t> </w:t>
      </w:r>
      <w:r>
        <w:rPr>
          <w:color w:val="231F20"/>
          <w:w w:val="105"/>
        </w:rPr>
        <w:t>de</w:t>
      </w:r>
      <w:r>
        <w:rPr>
          <w:color w:val="231F20"/>
          <w:spacing w:val="-9"/>
          <w:w w:val="105"/>
        </w:rPr>
        <w:t> </w:t>
      </w:r>
      <w:r>
        <w:rPr>
          <w:color w:val="231F20"/>
          <w:w w:val="105"/>
        </w:rPr>
        <w:t>consumo</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inversión</w:t>
      </w:r>
      <w:r>
        <w:rPr>
          <w:color w:val="231F20"/>
          <w:spacing w:val="-9"/>
          <w:w w:val="105"/>
        </w:rPr>
        <w:t> </w:t>
      </w:r>
      <w:r>
        <w:rPr>
          <w:color w:val="231F20"/>
          <w:w w:val="105"/>
        </w:rPr>
        <w:t>pri- vada,</w:t>
      </w:r>
      <w:r>
        <w:rPr>
          <w:color w:val="231F20"/>
          <w:spacing w:val="-25"/>
          <w:w w:val="105"/>
        </w:rPr>
        <w:t> </w:t>
      </w:r>
      <w:r>
        <w:rPr>
          <w:color w:val="231F20"/>
          <w:w w:val="105"/>
        </w:rPr>
        <w:t>la</w:t>
      </w:r>
      <w:r>
        <w:rPr>
          <w:color w:val="231F20"/>
          <w:spacing w:val="-19"/>
          <w:w w:val="105"/>
        </w:rPr>
        <w:t> </w:t>
      </w:r>
      <w:r>
        <w:rPr>
          <w:color w:val="231F20"/>
          <w:w w:val="105"/>
        </w:rPr>
        <w:t>ecuación</w:t>
      </w:r>
      <w:r>
        <w:rPr>
          <w:color w:val="231F20"/>
          <w:spacing w:val="-19"/>
          <w:w w:val="105"/>
        </w:rPr>
        <w:t> </w:t>
      </w:r>
      <w:r>
        <w:rPr>
          <w:color w:val="231F20"/>
          <w:w w:val="105"/>
        </w:rPr>
        <w:t>quedaría</w:t>
      </w:r>
      <w:r>
        <w:rPr>
          <w:color w:val="231F20"/>
          <w:spacing w:val="-19"/>
          <w:w w:val="105"/>
        </w:rPr>
        <w:t> </w:t>
      </w:r>
      <w:r>
        <w:rPr>
          <w:color w:val="231F20"/>
          <w:w w:val="105"/>
        </w:rPr>
        <w:t>así:</w:t>
      </w:r>
      <w:r>
        <w:rPr>
          <w:color w:val="231F20"/>
          <w:spacing w:val="-19"/>
          <w:w w:val="105"/>
        </w:rPr>
        <w:t> </w:t>
      </w:r>
      <w:r>
        <w:rPr>
          <w:i/>
          <w:color w:val="231F20"/>
          <w:w w:val="105"/>
        </w:rPr>
        <w:t>OA</w:t>
      </w:r>
      <w:r>
        <w:rPr>
          <w:i/>
          <w:color w:val="231F20"/>
          <w:spacing w:val="-22"/>
          <w:w w:val="105"/>
        </w:rPr>
        <w:t> </w:t>
      </w:r>
      <w:r>
        <w:rPr>
          <w:i/>
          <w:color w:val="231F20"/>
          <w:w w:val="105"/>
        </w:rPr>
        <w:t>&gt;</w:t>
      </w:r>
      <w:r>
        <w:rPr>
          <w:i/>
          <w:color w:val="231F20"/>
          <w:spacing w:val="-27"/>
          <w:w w:val="105"/>
        </w:rPr>
        <w:t> </w:t>
      </w:r>
      <w:r>
        <w:rPr>
          <w:rFonts w:ascii="Times New Roman" w:hAnsi="Times New Roman"/>
          <w:color w:val="231F20"/>
          <w:w w:val="105"/>
          <w:sz w:val="22"/>
        </w:rPr>
        <w:t>Δ</w:t>
      </w:r>
      <w:r>
        <w:rPr>
          <w:i/>
          <w:color w:val="231F20"/>
          <w:w w:val="105"/>
        </w:rPr>
        <w:t>C</w:t>
      </w:r>
      <w:r>
        <w:rPr>
          <w:i/>
          <w:color w:val="231F20"/>
          <w:spacing w:val="-19"/>
          <w:w w:val="105"/>
        </w:rPr>
        <w:t> </w:t>
      </w:r>
      <w:r>
        <w:rPr>
          <w:i/>
          <w:color w:val="231F20"/>
          <w:w w:val="105"/>
        </w:rPr>
        <w:t>+</w:t>
      </w:r>
      <w:r>
        <w:rPr>
          <w:i/>
          <w:color w:val="231F20"/>
          <w:spacing w:val="-19"/>
          <w:w w:val="105"/>
        </w:rPr>
        <w:t> </w:t>
      </w:r>
      <w:r>
        <w:rPr>
          <w:i/>
          <w:color w:val="231F20"/>
          <w:w w:val="105"/>
        </w:rPr>
        <w:t>G</w:t>
      </w:r>
      <w:r>
        <w:rPr>
          <w:i/>
          <w:color w:val="231F20"/>
          <w:spacing w:val="-19"/>
          <w:w w:val="105"/>
        </w:rPr>
        <w:t> </w:t>
      </w:r>
      <w:r>
        <w:rPr>
          <w:i/>
          <w:color w:val="231F20"/>
          <w:w w:val="105"/>
        </w:rPr>
        <w:t>+</w:t>
      </w:r>
      <w:r>
        <w:rPr>
          <w:i/>
          <w:color w:val="231F20"/>
          <w:spacing w:val="-19"/>
          <w:w w:val="105"/>
        </w:rPr>
        <w:t> </w:t>
      </w:r>
      <w:r>
        <w:rPr>
          <w:rFonts w:ascii="Times New Roman" w:hAnsi="Times New Roman"/>
          <w:color w:val="231F20"/>
          <w:w w:val="105"/>
          <w:sz w:val="22"/>
        </w:rPr>
        <w:t>Δ</w:t>
      </w:r>
      <w:r>
        <w:rPr>
          <w:i/>
          <w:color w:val="231F20"/>
          <w:w w:val="105"/>
        </w:rPr>
        <w:t>I</w:t>
      </w:r>
      <w:r>
        <w:rPr>
          <w:color w:val="231F20"/>
          <w:w w:val="105"/>
        </w:rPr>
        <w:t>.</w:t>
      </w:r>
    </w:p>
    <w:p>
      <w:pPr>
        <w:pStyle w:val="BodyText"/>
        <w:spacing w:line="259" w:lineRule="auto"/>
        <w:ind w:left="117" w:right="115" w:firstLine="567"/>
        <w:jc w:val="both"/>
      </w:pPr>
      <w:r>
        <w:rPr>
          <w:color w:val="231F20"/>
          <w:w w:val="105"/>
        </w:rPr>
        <w:t>Debido a que la inversión privada varía en el tiempo y desenca- dena</w:t>
      </w:r>
      <w:r>
        <w:rPr>
          <w:color w:val="231F20"/>
          <w:spacing w:val="-12"/>
          <w:w w:val="105"/>
        </w:rPr>
        <w:t> </w:t>
      </w:r>
      <w:r>
        <w:rPr>
          <w:color w:val="231F20"/>
          <w:w w:val="105"/>
        </w:rPr>
        <w:t>fluctuaciones</w:t>
      </w:r>
      <w:r>
        <w:rPr>
          <w:color w:val="231F20"/>
          <w:spacing w:val="-12"/>
          <w:w w:val="105"/>
        </w:rPr>
        <w:t> </w:t>
      </w:r>
      <w:r>
        <w:rPr>
          <w:color w:val="231F20"/>
          <w:w w:val="105"/>
        </w:rPr>
        <w:t>económicas,</w:t>
      </w:r>
      <w:r>
        <w:rPr>
          <w:color w:val="231F20"/>
          <w:spacing w:val="-18"/>
          <w:w w:val="105"/>
        </w:rPr>
        <w:t> </w:t>
      </w:r>
      <w:r>
        <w:rPr>
          <w:color w:val="231F20"/>
          <w:w w:val="105"/>
        </w:rPr>
        <w:t>no</w:t>
      </w:r>
      <w:r>
        <w:rPr>
          <w:color w:val="231F20"/>
          <w:spacing w:val="-12"/>
          <w:w w:val="105"/>
        </w:rPr>
        <w:t> </w:t>
      </w:r>
      <w:r>
        <w:rPr>
          <w:color w:val="231F20"/>
          <w:w w:val="105"/>
        </w:rPr>
        <w:t>es</w:t>
      </w:r>
      <w:r>
        <w:rPr>
          <w:color w:val="231F20"/>
          <w:spacing w:val="-12"/>
          <w:w w:val="105"/>
        </w:rPr>
        <w:t> </w:t>
      </w:r>
      <w:r>
        <w:rPr>
          <w:color w:val="231F20"/>
          <w:w w:val="105"/>
        </w:rPr>
        <w:t>posible</w:t>
      </w:r>
      <w:r>
        <w:rPr>
          <w:color w:val="231F20"/>
          <w:spacing w:val="-12"/>
          <w:w w:val="105"/>
        </w:rPr>
        <w:t> </w:t>
      </w:r>
      <w:r>
        <w:rPr>
          <w:color w:val="231F20"/>
          <w:w w:val="105"/>
        </w:rPr>
        <w:t>preservar</w:t>
      </w:r>
      <w:r>
        <w:rPr>
          <w:color w:val="231F20"/>
          <w:spacing w:val="-12"/>
          <w:w w:val="105"/>
        </w:rPr>
        <w:t> </w:t>
      </w:r>
      <w:r>
        <w:rPr>
          <w:color w:val="231F20"/>
          <w:w w:val="105"/>
        </w:rPr>
        <w:t>un</w:t>
      </w:r>
      <w:r>
        <w:rPr>
          <w:color w:val="231F20"/>
          <w:spacing w:val="-12"/>
          <w:w w:val="105"/>
        </w:rPr>
        <w:t> </w:t>
      </w:r>
      <w:r>
        <w:rPr>
          <w:color w:val="231F20"/>
          <w:w w:val="105"/>
        </w:rPr>
        <w:t>alto</w:t>
      </w:r>
      <w:r>
        <w:rPr>
          <w:color w:val="231F20"/>
          <w:spacing w:val="-12"/>
          <w:w w:val="105"/>
        </w:rPr>
        <w:t> </w:t>
      </w:r>
      <w:r>
        <w:rPr>
          <w:color w:val="231F20"/>
          <w:w w:val="105"/>
        </w:rPr>
        <w:t>nivel</w:t>
      </w:r>
      <w:r>
        <w:rPr>
          <w:color w:val="231F20"/>
          <w:spacing w:val="-12"/>
          <w:w w:val="105"/>
        </w:rPr>
        <w:t> </w:t>
      </w:r>
      <w:r>
        <w:rPr>
          <w:color w:val="231F20"/>
          <w:w w:val="105"/>
        </w:rPr>
        <w:t>de empleo</w:t>
      </w:r>
      <w:r>
        <w:rPr>
          <w:color w:val="231F20"/>
          <w:spacing w:val="-15"/>
          <w:w w:val="105"/>
        </w:rPr>
        <w:t> </w:t>
      </w:r>
      <w:r>
        <w:rPr>
          <w:color w:val="231F20"/>
          <w:w w:val="105"/>
        </w:rPr>
        <w:t>ni</w:t>
      </w:r>
      <w:r>
        <w:rPr>
          <w:color w:val="231F20"/>
          <w:spacing w:val="-15"/>
          <w:w w:val="105"/>
        </w:rPr>
        <w:t> </w:t>
      </w:r>
      <w:r>
        <w:rPr>
          <w:color w:val="231F20"/>
          <w:w w:val="105"/>
        </w:rPr>
        <w:t>ingresos</w:t>
      </w:r>
      <w:r>
        <w:rPr>
          <w:color w:val="231F20"/>
          <w:spacing w:val="-15"/>
          <w:w w:val="105"/>
        </w:rPr>
        <w:t> </w:t>
      </w:r>
      <w:r>
        <w:rPr>
          <w:color w:val="231F20"/>
          <w:w w:val="105"/>
        </w:rPr>
        <w:t>estables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largo</w:t>
      </w:r>
      <w:r>
        <w:rPr>
          <w:color w:val="231F20"/>
          <w:spacing w:val="-15"/>
          <w:w w:val="105"/>
        </w:rPr>
        <w:t> </w:t>
      </w:r>
      <w:r>
        <w:rPr>
          <w:color w:val="231F20"/>
          <w:w w:val="105"/>
        </w:rPr>
        <w:t>plazo.</w:t>
      </w:r>
      <w:r>
        <w:rPr>
          <w:color w:val="231F20"/>
          <w:spacing w:val="-25"/>
          <w:w w:val="105"/>
        </w:rPr>
        <w:t> </w:t>
      </w:r>
      <w:r>
        <w:rPr>
          <w:color w:val="231F20"/>
          <w:w w:val="105"/>
        </w:rPr>
        <w:t>Además,</w:t>
      </w:r>
      <w:r>
        <w:rPr>
          <w:color w:val="231F20"/>
          <w:spacing w:val="-21"/>
          <w:w w:val="105"/>
        </w:rPr>
        <w:t> </w:t>
      </w:r>
      <w:r>
        <w:rPr>
          <w:color w:val="231F20"/>
          <w:w w:val="105"/>
        </w:rPr>
        <w:t>como</w:t>
      </w:r>
      <w:r>
        <w:rPr>
          <w:color w:val="231F20"/>
          <w:spacing w:val="-15"/>
          <w:w w:val="105"/>
        </w:rPr>
        <w:t> </w:t>
      </w:r>
      <w:r>
        <w:rPr>
          <w:color w:val="231F20"/>
          <w:w w:val="105"/>
        </w:rPr>
        <w:t>los</w:t>
      </w:r>
      <w:r>
        <w:rPr>
          <w:color w:val="231F20"/>
          <w:spacing w:val="-15"/>
          <w:w w:val="105"/>
        </w:rPr>
        <w:t> </w:t>
      </w:r>
      <w:r>
        <w:rPr>
          <w:color w:val="231F20"/>
          <w:w w:val="105"/>
        </w:rPr>
        <w:t>merca- dos</w:t>
      </w:r>
      <w:r>
        <w:rPr>
          <w:color w:val="231F20"/>
          <w:spacing w:val="-21"/>
          <w:w w:val="105"/>
        </w:rPr>
        <w:t> </w:t>
      </w:r>
      <w:r>
        <w:rPr>
          <w:color w:val="231F20"/>
          <w:w w:val="105"/>
        </w:rPr>
        <w:t>no</w:t>
      </w:r>
      <w:r>
        <w:rPr>
          <w:color w:val="231F20"/>
          <w:spacing w:val="-21"/>
          <w:w w:val="105"/>
        </w:rPr>
        <w:t> </w:t>
      </w:r>
      <w:r>
        <w:rPr>
          <w:color w:val="231F20"/>
          <w:w w:val="105"/>
        </w:rPr>
        <w:t>son</w:t>
      </w:r>
      <w:r>
        <w:rPr>
          <w:color w:val="231F20"/>
          <w:spacing w:val="-21"/>
          <w:w w:val="105"/>
        </w:rPr>
        <w:t> </w:t>
      </w:r>
      <w:r>
        <w:rPr>
          <w:color w:val="231F20"/>
          <w:w w:val="105"/>
        </w:rPr>
        <w:t>autorregulables,</w:t>
      </w:r>
      <w:r>
        <w:rPr>
          <w:color w:val="231F20"/>
          <w:spacing w:val="-25"/>
          <w:w w:val="105"/>
        </w:rPr>
        <w:t> </w:t>
      </w:r>
      <w:r>
        <w:rPr>
          <w:color w:val="231F20"/>
          <w:w w:val="105"/>
        </w:rPr>
        <w:t>es</w:t>
      </w:r>
      <w:r>
        <w:rPr>
          <w:color w:val="231F20"/>
          <w:spacing w:val="-21"/>
          <w:w w:val="105"/>
        </w:rPr>
        <w:t> </w:t>
      </w:r>
      <w:r>
        <w:rPr>
          <w:color w:val="231F20"/>
          <w:w w:val="105"/>
        </w:rPr>
        <w:t>necesaria</w:t>
      </w:r>
      <w:r>
        <w:rPr>
          <w:color w:val="231F20"/>
          <w:spacing w:val="-21"/>
          <w:w w:val="105"/>
        </w:rPr>
        <w:t> </w:t>
      </w:r>
      <w:r>
        <w:rPr>
          <w:color w:val="231F20"/>
          <w:w w:val="105"/>
        </w:rPr>
        <w:t>la</w:t>
      </w:r>
      <w:r>
        <w:rPr>
          <w:color w:val="231F20"/>
          <w:spacing w:val="-21"/>
          <w:w w:val="105"/>
        </w:rPr>
        <w:t> </w:t>
      </w:r>
      <w:r>
        <w:rPr>
          <w:color w:val="231F20"/>
          <w:w w:val="105"/>
        </w:rPr>
        <w:t>intervención</w:t>
      </w:r>
      <w:r>
        <w:rPr>
          <w:color w:val="231F20"/>
          <w:spacing w:val="-21"/>
          <w:w w:val="105"/>
        </w:rPr>
        <w:t> </w:t>
      </w:r>
      <w:r>
        <w:rPr>
          <w:color w:val="231F20"/>
          <w:w w:val="105"/>
        </w:rPr>
        <w:t>del</w:t>
      </w:r>
      <w:r>
        <w:rPr>
          <w:color w:val="231F20"/>
          <w:spacing w:val="-21"/>
          <w:w w:val="105"/>
        </w:rPr>
        <w:t> </w:t>
      </w:r>
      <w:r>
        <w:rPr>
          <w:color w:val="231F20"/>
          <w:w w:val="105"/>
        </w:rPr>
        <w:t>Estado</w:t>
      </w:r>
      <w:r>
        <w:rPr>
          <w:color w:val="231F20"/>
          <w:spacing w:val="-21"/>
          <w:w w:val="105"/>
        </w:rPr>
        <w:t> </w:t>
      </w:r>
      <w:r>
        <w:rPr>
          <w:color w:val="231F20"/>
          <w:w w:val="105"/>
        </w:rPr>
        <w:t>para contrarrestar</w:t>
      </w:r>
      <w:r>
        <w:rPr>
          <w:color w:val="231F20"/>
          <w:spacing w:val="-26"/>
          <w:w w:val="105"/>
        </w:rPr>
        <w:t> </w:t>
      </w:r>
      <w:r>
        <w:rPr>
          <w:color w:val="231F20"/>
          <w:w w:val="105"/>
        </w:rPr>
        <w:t>las</w:t>
      </w:r>
      <w:r>
        <w:rPr>
          <w:color w:val="231F20"/>
          <w:spacing w:val="-26"/>
          <w:w w:val="105"/>
        </w:rPr>
        <w:t> </w:t>
      </w:r>
      <w:r>
        <w:rPr>
          <w:color w:val="231F20"/>
          <w:w w:val="105"/>
        </w:rPr>
        <w:t>fases</w:t>
      </w:r>
      <w:r>
        <w:rPr>
          <w:color w:val="231F20"/>
          <w:spacing w:val="-26"/>
          <w:w w:val="105"/>
        </w:rPr>
        <w:t> </w:t>
      </w:r>
      <w:r>
        <w:rPr>
          <w:color w:val="231F20"/>
          <w:w w:val="105"/>
        </w:rPr>
        <w:t>recesivas</w:t>
      </w:r>
      <w:r>
        <w:rPr>
          <w:color w:val="231F20"/>
          <w:spacing w:val="-26"/>
          <w:w w:val="105"/>
        </w:rPr>
        <w:t> </w:t>
      </w:r>
      <w:r>
        <w:rPr>
          <w:color w:val="231F20"/>
          <w:w w:val="105"/>
        </w:rPr>
        <w:t>del</w:t>
      </w:r>
      <w:r>
        <w:rPr>
          <w:color w:val="231F20"/>
          <w:spacing w:val="-26"/>
          <w:w w:val="105"/>
        </w:rPr>
        <w:t> </w:t>
      </w:r>
      <w:r>
        <w:rPr>
          <w:color w:val="231F20"/>
          <w:w w:val="105"/>
        </w:rPr>
        <w:t>ciclo.</w:t>
      </w:r>
      <w:r>
        <w:rPr>
          <w:color w:val="231F20"/>
          <w:spacing w:val="-30"/>
          <w:w w:val="105"/>
        </w:rPr>
        <w:t> </w:t>
      </w:r>
      <w:r>
        <w:rPr>
          <w:color w:val="231F20"/>
          <w:spacing w:val="-6"/>
          <w:w w:val="105"/>
        </w:rPr>
        <w:t>Por</w:t>
      </w:r>
      <w:r>
        <w:rPr>
          <w:color w:val="231F20"/>
          <w:spacing w:val="-26"/>
          <w:w w:val="105"/>
        </w:rPr>
        <w:t> </w:t>
      </w:r>
      <w:r>
        <w:rPr>
          <w:color w:val="231F20"/>
          <w:w w:val="105"/>
        </w:rPr>
        <w:t>ello,</w:t>
      </w:r>
      <w:r>
        <w:rPr>
          <w:color w:val="231F20"/>
          <w:spacing w:val="-30"/>
          <w:w w:val="105"/>
        </w:rPr>
        <w:t> </w:t>
      </w:r>
      <w:r>
        <w:rPr>
          <w:color w:val="231F20"/>
          <w:w w:val="105"/>
        </w:rPr>
        <w:t>se</w:t>
      </w:r>
      <w:r>
        <w:rPr>
          <w:color w:val="231F20"/>
          <w:spacing w:val="-26"/>
          <w:w w:val="105"/>
        </w:rPr>
        <w:t> </w:t>
      </w:r>
      <w:r>
        <w:rPr>
          <w:color w:val="231F20"/>
          <w:w w:val="105"/>
        </w:rPr>
        <w:t>requiere</w:t>
      </w:r>
      <w:r>
        <w:rPr>
          <w:color w:val="231F20"/>
          <w:spacing w:val="-26"/>
          <w:w w:val="105"/>
        </w:rPr>
        <w:t> </w:t>
      </w:r>
      <w:r>
        <w:rPr>
          <w:color w:val="231F20"/>
          <w:w w:val="105"/>
        </w:rPr>
        <w:t>de</w:t>
      </w:r>
      <w:r>
        <w:rPr>
          <w:color w:val="231F20"/>
          <w:spacing w:val="-26"/>
          <w:w w:val="105"/>
        </w:rPr>
        <w:t> </w:t>
      </w:r>
      <w:r>
        <w:rPr>
          <w:color w:val="231F20"/>
          <w:w w:val="105"/>
        </w:rPr>
        <w:t>una</w:t>
      </w:r>
      <w:r>
        <w:rPr>
          <w:color w:val="231F20"/>
          <w:spacing w:val="-26"/>
          <w:w w:val="105"/>
        </w:rPr>
        <w:t> </w:t>
      </w:r>
      <w:r>
        <w:rPr>
          <w:color w:val="231F20"/>
          <w:w w:val="105"/>
        </w:rPr>
        <w:t>po- lítica</w:t>
      </w:r>
      <w:r>
        <w:rPr>
          <w:color w:val="231F20"/>
          <w:spacing w:val="-24"/>
          <w:w w:val="105"/>
        </w:rPr>
        <w:t> </w:t>
      </w:r>
      <w:r>
        <w:rPr>
          <w:color w:val="231F20"/>
          <w:w w:val="105"/>
        </w:rPr>
        <w:t>fiscal</w:t>
      </w:r>
      <w:r>
        <w:rPr>
          <w:color w:val="231F20"/>
          <w:spacing w:val="-24"/>
          <w:w w:val="105"/>
        </w:rPr>
        <w:t> </w:t>
      </w:r>
      <w:r>
        <w:rPr>
          <w:color w:val="231F20"/>
          <w:w w:val="105"/>
        </w:rPr>
        <w:t>expansiva</w:t>
      </w:r>
      <w:r>
        <w:rPr>
          <w:color w:val="231F20"/>
          <w:spacing w:val="-24"/>
          <w:w w:val="105"/>
        </w:rPr>
        <w:t> </w:t>
      </w:r>
      <w:r>
        <w:rPr>
          <w:color w:val="231F20"/>
          <w:w w:val="105"/>
        </w:rPr>
        <w:t>en</w:t>
      </w:r>
      <w:r>
        <w:rPr>
          <w:color w:val="231F20"/>
          <w:spacing w:val="-24"/>
          <w:w w:val="105"/>
        </w:rPr>
        <w:t> </w:t>
      </w:r>
      <w:r>
        <w:rPr>
          <w:color w:val="231F20"/>
          <w:w w:val="105"/>
        </w:rPr>
        <w:t>inversión</w:t>
      </w:r>
      <w:r>
        <w:rPr>
          <w:color w:val="231F20"/>
          <w:spacing w:val="-24"/>
          <w:w w:val="105"/>
        </w:rPr>
        <w:t> </w:t>
      </w:r>
      <w:r>
        <w:rPr>
          <w:color w:val="231F20"/>
          <w:w w:val="105"/>
        </w:rPr>
        <w:t>pública</w:t>
      </w:r>
      <w:r>
        <w:rPr>
          <w:color w:val="231F20"/>
          <w:spacing w:val="-24"/>
          <w:w w:val="105"/>
        </w:rPr>
        <w:t> </w:t>
      </w:r>
      <w:r>
        <w:rPr>
          <w:color w:val="231F20"/>
          <w:w w:val="105"/>
        </w:rPr>
        <w:t>que</w:t>
      </w:r>
      <w:r>
        <w:rPr>
          <w:color w:val="231F20"/>
          <w:spacing w:val="-24"/>
          <w:w w:val="105"/>
        </w:rPr>
        <w:t> </w:t>
      </w:r>
      <w:r>
        <w:rPr>
          <w:color w:val="231F20"/>
          <w:w w:val="105"/>
        </w:rPr>
        <w:t>complemente</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privada, y</w:t>
      </w:r>
      <w:r>
        <w:rPr>
          <w:color w:val="231F20"/>
          <w:spacing w:val="-7"/>
          <w:w w:val="105"/>
        </w:rPr>
        <w:t> </w:t>
      </w:r>
      <w:r>
        <w:rPr>
          <w:color w:val="231F20"/>
          <w:w w:val="105"/>
        </w:rPr>
        <w:t>una</w:t>
      </w:r>
      <w:r>
        <w:rPr>
          <w:color w:val="231F20"/>
          <w:spacing w:val="-7"/>
          <w:w w:val="105"/>
        </w:rPr>
        <w:t> </w:t>
      </w:r>
      <w:r>
        <w:rPr>
          <w:color w:val="231F20"/>
          <w:w w:val="105"/>
        </w:rPr>
        <w:t>política</w:t>
      </w:r>
      <w:r>
        <w:rPr>
          <w:color w:val="231F20"/>
          <w:spacing w:val="-7"/>
          <w:w w:val="105"/>
        </w:rPr>
        <w:t> </w:t>
      </w:r>
      <w:r>
        <w:rPr>
          <w:color w:val="231F20"/>
          <w:w w:val="105"/>
        </w:rPr>
        <w:t>monetaria</w:t>
      </w:r>
      <w:r>
        <w:rPr>
          <w:color w:val="231F20"/>
          <w:spacing w:val="-7"/>
          <w:w w:val="105"/>
        </w:rPr>
        <w:t> </w:t>
      </w:r>
      <w:r>
        <w:rPr>
          <w:color w:val="231F20"/>
          <w:w w:val="105"/>
        </w:rPr>
        <w:t>que</w:t>
      </w:r>
      <w:r>
        <w:rPr>
          <w:color w:val="231F20"/>
          <w:spacing w:val="-7"/>
          <w:w w:val="105"/>
        </w:rPr>
        <w:t> </w:t>
      </w:r>
      <w:r>
        <w:rPr>
          <w:color w:val="231F20"/>
          <w:w w:val="105"/>
        </w:rPr>
        <w:t>permita</w:t>
      </w:r>
      <w:r>
        <w:rPr>
          <w:color w:val="231F20"/>
          <w:spacing w:val="-7"/>
          <w:w w:val="105"/>
        </w:rPr>
        <w:t> </w:t>
      </w:r>
      <w:r>
        <w:rPr>
          <w:color w:val="231F20"/>
          <w:w w:val="105"/>
        </w:rPr>
        <w:t>modificar</w:t>
      </w:r>
      <w:r>
        <w:rPr>
          <w:color w:val="231F20"/>
          <w:spacing w:val="-7"/>
          <w:w w:val="105"/>
        </w:rPr>
        <w:t> </w:t>
      </w:r>
      <w:r>
        <w:rPr>
          <w:color w:val="231F20"/>
          <w:w w:val="105"/>
        </w:rPr>
        <w:t>la</w:t>
      </w:r>
      <w:r>
        <w:rPr>
          <w:color w:val="231F20"/>
          <w:spacing w:val="-7"/>
          <w:w w:val="105"/>
        </w:rPr>
        <w:t> </w:t>
      </w:r>
      <w:r>
        <w:rPr>
          <w:color w:val="231F20"/>
          <w:w w:val="105"/>
        </w:rPr>
        <w:t>tasa</w:t>
      </w:r>
      <w:r>
        <w:rPr>
          <w:color w:val="231F20"/>
          <w:spacing w:val="-7"/>
          <w:w w:val="105"/>
        </w:rPr>
        <w:t> </w:t>
      </w:r>
      <w:r>
        <w:rPr>
          <w:color w:val="231F20"/>
          <w:w w:val="105"/>
        </w:rPr>
        <w:t>de</w:t>
      </w:r>
      <w:r>
        <w:rPr>
          <w:color w:val="231F20"/>
          <w:spacing w:val="-7"/>
          <w:w w:val="105"/>
        </w:rPr>
        <w:t> </w:t>
      </w:r>
      <w:r>
        <w:rPr>
          <w:color w:val="231F20"/>
          <w:w w:val="105"/>
        </w:rPr>
        <w:t>interés</w:t>
      </w:r>
      <w:r>
        <w:rPr>
          <w:color w:val="231F20"/>
          <w:spacing w:val="-7"/>
          <w:w w:val="105"/>
        </w:rPr>
        <w:t> </w:t>
      </w:r>
      <w:r>
        <w:rPr>
          <w:color w:val="231F20"/>
          <w:w w:val="105"/>
        </w:rPr>
        <w:t>y</w:t>
      </w:r>
      <w:r>
        <w:rPr>
          <w:color w:val="231F20"/>
          <w:spacing w:val="-7"/>
          <w:w w:val="105"/>
        </w:rPr>
        <w:t> </w:t>
      </w:r>
      <w:r>
        <w:rPr>
          <w:color w:val="231F20"/>
          <w:w w:val="105"/>
        </w:rPr>
        <w:t>haga </w:t>
      </w:r>
      <w:r>
        <w:rPr>
          <w:color w:val="231F20"/>
        </w:rPr>
        <w:t>atractivo realizar nuevas inversiones</w:t>
      </w:r>
      <w:r>
        <w:rPr>
          <w:color w:val="231F20"/>
          <w:spacing w:val="29"/>
        </w:rPr>
        <w:t> </w:t>
      </w:r>
      <w:r>
        <w:rPr>
          <w:color w:val="231F20"/>
        </w:rPr>
        <w:t>privadas.</w:t>
      </w:r>
    </w:p>
    <w:p>
      <w:pPr>
        <w:pStyle w:val="BodyText"/>
        <w:spacing w:line="259" w:lineRule="auto"/>
        <w:ind w:left="117" w:right="121" w:firstLine="567"/>
        <w:jc w:val="both"/>
      </w:pPr>
      <w:r>
        <w:rPr>
          <w:color w:val="231F20"/>
          <w:w w:val="105"/>
        </w:rPr>
        <w:t>Keynes</w:t>
      </w:r>
      <w:r>
        <w:rPr>
          <w:color w:val="231F20"/>
          <w:spacing w:val="-5"/>
          <w:w w:val="105"/>
        </w:rPr>
        <w:t> </w:t>
      </w:r>
      <w:r>
        <w:rPr>
          <w:color w:val="231F20"/>
          <w:w w:val="105"/>
        </w:rPr>
        <w:t>da</w:t>
      </w:r>
      <w:r>
        <w:rPr>
          <w:color w:val="231F20"/>
          <w:spacing w:val="-5"/>
          <w:w w:val="105"/>
        </w:rPr>
        <w:t> </w:t>
      </w:r>
      <w:r>
        <w:rPr>
          <w:color w:val="231F20"/>
          <w:w w:val="105"/>
        </w:rPr>
        <w:t>los</w:t>
      </w:r>
      <w:r>
        <w:rPr>
          <w:color w:val="231F20"/>
          <w:spacing w:val="-5"/>
          <w:w w:val="105"/>
        </w:rPr>
        <w:t> </w:t>
      </w:r>
      <w:r>
        <w:rPr>
          <w:color w:val="231F20"/>
          <w:w w:val="105"/>
        </w:rPr>
        <w:t>elementos</w:t>
      </w:r>
      <w:r>
        <w:rPr>
          <w:color w:val="231F20"/>
          <w:spacing w:val="-5"/>
          <w:w w:val="105"/>
        </w:rPr>
        <w:t> </w:t>
      </w:r>
      <w:r>
        <w:rPr>
          <w:color w:val="231F20"/>
          <w:w w:val="105"/>
        </w:rPr>
        <w:t>más</w:t>
      </w:r>
      <w:r>
        <w:rPr>
          <w:color w:val="231F20"/>
          <w:spacing w:val="-5"/>
          <w:w w:val="105"/>
        </w:rPr>
        <w:t> </w:t>
      </w:r>
      <w:r>
        <w:rPr>
          <w:color w:val="231F20"/>
          <w:w w:val="105"/>
        </w:rPr>
        <w:t>generales</w:t>
      </w:r>
      <w:r>
        <w:rPr>
          <w:color w:val="231F20"/>
          <w:spacing w:val="-5"/>
          <w:w w:val="105"/>
        </w:rPr>
        <w:t> </w:t>
      </w:r>
      <w:r>
        <w:rPr>
          <w:color w:val="231F20"/>
          <w:w w:val="105"/>
        </w:rPr>
        <w:t>acerca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de</w:t>
      </w:r>
      <w:r>
        <w:rPr>
          <w:color w:val="231F20"/>
          <w:spacing w:val="-5"/>
          <w:w w:val="105"/>
        </w:rPr>
        <w:t> </w:t>
      </w:r>
      <w:r>
        <w:rPr>
          <w:color w:val="231F20"/>
          <w:w w:val="105"/>
        </w:rPr>
        <w:t>la ocupación,</w:t>
      </w:r>
      <w:r>
        <w:rPr>
          <w:color w:val="231F20"/>
          <w:spacing w:val="-44"/>
          <w:w w:val="105"/>
        </w:rPr>
        <w:t> </w:t>
      </w:r>
      <w:r>
        <w:rPr>
          <w:color w:val="231F20"/>
          <w:w w:val="105"/>
        </w:rPr>
        <w:t>y</w:t>
      </w:r>
      <w:r>
        <w:rPr>
          <w:color w:val="231F20"/>
          <w:spacing w:val="-39"/>
          <w:w w:val="105"/>
        </w:rPr>
        <w:t> </w:t>
      </w:r>
      <w:r>
        <w:rPr>
          <w:color w:val="231F20"/>
          <w:w w:val="105"/>
        </w:rPr>
        <w:t>considera</w:t>
      </w:r>
      <w:r>
        <w:rPr>
          <w:color w:val="231F20"/>
          <w:spacing w:val="-39"/>
          <w:w w:val="105"/>
        </w:rPr>
        <w:t> </w:t>
      </w:r>
      <w:r>
        <w:rPr>
          <w:color w:val="231F20"/>
          <w:w w:val="105"/>
        </w:rPr>
        <w:t>como</w:t>
      </w:r>
      <w:r>
        <w:rPr>
          <w:color w:val="231F20"/>
          <w:spacing w:val="-39"/>
          <w:w w:val="105"/>
        </w:rPr>
        <w:t> </w:t>
      </w:r>
      <w:r>
        <w:rPr>
          <w:color w:val="231F20"/>
          <w:w w:val="105"/>
        </w:rPr>
        <w:t>variables</w:t>
      </w:r>
      <w:r>
        <w:rPr>
          <w:color w:val="231F20"/>
          <w:spacing w:val="-39"/>
          <w:w w:val="105"/>
        </w:rPr>
        <w:t> </w:t>
      </w:r>
      <w:r>
        <w:rPr>
          <w:color w:val="231F20"/>
          <w:w w:val="105"/>
        </w:rPr>
        <w:t>independientes</w:t>
      </w:r>
      <w:r>
        <w:rPr>
          <w:color w:val="231F20"/>
          <w:spacing w:val="-39"/>
          <w:w w:val="105"/>
        </w:rPr>
        <w:t> </w:t>
      </w:r>
      <w:r>
        <w:rPr>
          <w:color w:val="231F20"/>
          <w:w w:val="105"/>
        </w:rPr>
        <w:t>finales</w:t>
      </w:r>
      <w:r>
        <w:rPr>
          <w:color w:val="231F20"/>
          <w:spacing w:val="-39"/>
          <w:w w:val="105"/>
        </w:rPr>
        <w:t> </w:t>
      </w:r>
      <w:r>
        <w:rPr>
          <w:color w:val="231F20"/>
          <w:w w:val="105"/>
        </w:rPr>
        <w:t>las</w:t>
      </w:r>
      <w:r>
        <w:rPr>
          <w:color w:val="231F20"/>
          <w:spacing w:val="-39"/>
          <w:w w:val="105"/>
        </w:rPr>
        <w:t> </w:t>
      </w:r>
      <w:r>
        <w:rPr>
          <w:color w:val="231F20"/>
          <w:w w:val="105"/>
        </w:rPr>
        <w:t>siguien- tes:</w:t>
      </w:r>
      <w:r>
        <w:rPr>
          <w:color w:val="231F20"/>
          <w:spacing w:val="-29"/>
          <w:w w:val="105"/>
        </w:rPr>
        <w:t> </w:t>
      </w:r>
      <w:r>
        <w:rPr>
          <w:color w:val="231F20"/>
          <w:w w:val="105"/>
        </w:rPr>
        <w:t>i)</w:t>
      </w:r>
      <w:r>
        <w:rPr>
          <w:color w:val="231F20"/>
          <w:spacing w:val="-29"/>
          <w:w w:val="105"/>
        </w:rPr>
        <w:t> </w:t>
      </w:r>
      <w:r>
        <w:rPr>
          <w:color w:val="231F20"/>
          <w:w w:val="105"/>
        </w:rPr>
        <w:t>los</w:t>
      </w:r>
      <w:r>
        <w:rPr>
          <w:color w:val="231F20"/>
          <w:spacing w:val="-29"/>
          <w:w w:val="105"/>
        </w:rPr>
        <w:t> </w:t>
      </w:r>
      <w:r>
        <w:rPr>
          <w:color w:val="231F20"/>
          <w:w w:val="105"/>
        </w:rPr>
        <w:t>tres</w:t>
      </w:r>
      <w:r>
        <w:rPr>
          <w:color w:val="231F20"/>
          <w:spacing w:val="-29"/>
          <w:w w:val="105"/>
        </w:rPr>
        <w:t> </w:t>
      </w:r>
      <w:r>
        <w:rPr>
          <w:color w:val="231F20"/>
          <w:w w:val="105"/>
        </w:rPr>
        <w:t>factores</w:t>
      </w:r>
      <w:r>
        <w:rPr>
          <w:color w:val="231F20"/>
          <w:spacing w:val="-29"/>
          <w:w w:val="105"/>
        </w:rPr>
        <w:t> </w:t>
      </w:r>
      <w:r>
        <w:rPr>
          <w:color w:val="231F20"/>
          <w:w w:val="105"/>
        </w:rPr>
        <w:t>psicológicos</w:t>
      </w:r>
      <w:r>
        <w:rPr>
          <w:color w:val="231F20"/>
          <w:spacing w:val="-29"/>
          <w:w w:val="105"/>
        </w:rPr>
        <w:t> </w:t>
      </w:r>
      <w:r>
        <w:rPr>
          <w:color w:val="231F20"/>
          <w:w w:val="105"/>
        </w:rPr>
        <w:t>fundamentales</w:t>
      </w:r>
      <w:r>
        <w:rPr>
          <w:color w:val="231F20"/>
          <w:spacing w:val="-29"/>
          <w:w w:val="105"/>
        </w:rPr>
        <w:t> </w:t>
      </w:r>
      <w:r>
        <w:rPr>
          <w:color w:val="231F20"/>
          <w:w w:val="105"/>
        </w:rPr>
        <w:t>es</w:t>
      </w:r>
      <w:r>
        <w:rPr>
          <w:color w:val="231F20"/>
          <w:spacing w:val="-29"/>
          <w:w w:val="105"/>
        </w:rPr>
        <w:t> </w:t>
      </w:r>
      <w:r>
        <w:rPr>
          <w:color w:val="231F20"/>
          <w:w w:val="105"/>
        </w:rPr>
        <w:t>decir,</w:t>
      </w:r>
      <w:r>
        <w:rPr>
          <w:color w:val="231F20"/>
          <w:spacing w:val="-34"/>
          <w:w w:val="105"/>
        </w:rPr>
        <w:t> </w:t>
      </w:r>
      <w:r>
        <w:rPr>
          <w:color w:val="231F20"/>
          <w:w w:val="105"/>
        </w:rPr>
        <w:t>la</w:t>
      </w:r>
      <w:r>
        <w:rPr>
          <w:color w:val="231F20"/>
          <w:spacing w:val="-29"/>
          <w:w w:val="105"/>
        </w:rPr>
        <w:t> </w:t>
      </w:r>
      <w:r>
        <w:rPr>
          <w:color w:val="231F20"/>
          <w:w w:val="105"/>
        </w:rPr>
        <w:t>propensión marginal a consumir, la actitud respecto a la liquidez y la esperanza</w:t>
      </w:r>
      <w:r>
        <w:rPr>
          <w:color w:val="231F20"/>
          <w:spacing w:val="-17"/>
          <w:w w:val="105"/>
        </w:rPr>
        <w:t> </w:t>
      </w:r>
      <w:r>
        <w:rPr>
          <w:color w:val="231F20"/>
          <w:w w:val="105"/>
        </w:rPr>
        <w:t>de rendimiento</w:t>
      </w:r>
      <w:r>
        <w:rPr>
          <w:color w:val="231F20"/>
          <w:spacing w:val="-9"/>
          <w:w w:val="105"/>
        </w:rPr>
        <w:t> </w:t>
      </w:r>
      <w:r>
        <w:rPr>
          <w:color w:val="231F20"/>
          <w:w w:val="105"/>
        </w:rPr>
        <w:t>futuro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bienes</w:t>
      </w:r>
      <w:r>
        <w:rPr>
          <w:color w:val="231F20"/>
          <w:spacing w:val="-9"/>
          <w:w w:val="105"/>
        </w:rPr>
        <w:t> </w:t>
      </w:r>
      <w:r>
        <w:rPr>
          <w:color w:val="231F20"/>
          <w:w w:val="105"/>
        </w:rPr>
        <w:t>de</w:t>
      </w:r>
      <w:r>
        <w:rPr>
          <w:color w:val="231F20"/>
          <w:spacing w:val="-9"/>
          <w:w w:val="105"/>
        </w:rPr>
        <w:t> </w:t>
      </w:r>
      <w:r>
        <w:rPr>
          <w:color w:val="231F20"/>
          <w:w w:val="105"/>
        </w:rPr>
        <w:t>capital;</w:t>
      </w:r>
      <w:r>
        <w:rPr>
          <w:color w:val="231F20"/>
          <w:spacing w:val="-9"/>
          <w:w w:val="105"/>
        </w:rPr>
        <w:t> </w:t>
      </w:r>
      <w:r>
        <w:rPr>
          <w:color w:val="231F20"/>
          <w:w w:val="105"/>
        </w:rPr>
        <w:t>ii)</w:t>
      </w:r>
      <w:r>
        <w:rPr>
          <w:color w:val="231F20"/>
          <w:spacing w:val="-9"/>
          <w:w w:val="105"/>
        </w:rPr>
        <w:t> </w:t>
      </w:r>
      <w:r>
        <w:rPr>
          <w:color w:val="231F20"/>
          <w:w w:val="105"/>
        </w:rPr>
        <w:t>la</w:t>
      </w:r>
      <w:r>
        <w:rPr>
          <w:color w:val="231F20"/>
          <w:spacing w:val="-9"/>
          <w:w w:val="105"/>
        </w:rPr>
        <w:t> </w:t>
      </w:r>
      <w:r>
        <w:rPr>
          <w:color w:val="231F20"/>
          <w:w w:val="105"/>
        </w:rPr>
        <w:t>unidad</w:t>
      </w:r>
      <w:r>
        <w:rPr>
          <w:color w:val="231F20"/>
          <w:spacing w:val="-9"/>
          <w:w w:val="105"/>
        </w:rPr>
        <w:t> </w:t>
      </w:r>
      <w:r>
        <w:rPr>
          <w:color w:val="231F20"/>
          <w:w w:val="105"/>
        </w:rPr>
        <w:t>de</w:t>
      </w:r>
      <w:r>
        <w:rPr>
          <w:color w:val="231F20"/>
          <w:spacing w:val="-9"/>
          <w:w w:val="105"/>
        </w:rPr>
        <w:t> </w:t>
      </w:r>
      <w:r>
        <w:rPr>
          <w:color w:val="231F20"/>
          <w:w w:val="105"/>
        </w:rPr>
        <w:t>salarios,</w:t>
      </w:r>
      <w:r>
        <w:rPr>
          <w:color w:val="231F20"/>
          <w:spacing w:val="-16"/>
          <w:w w:val="105"/>
        </w:rPr>
        <w:t> </w:t>
      </w:r>
      <w:r>
        <w:rPr>
          <w:color w:val="231F20"/>
          <w:w w:val="105"/>
        </w:rPr>
        <w:t>y</w:t>
      </w:r>
      <w:r>
        <w:rPr>
          <w:color w:val="231F20"/>
          <w:spacing w:val="-9"/>
          <w:w w:val="105"/>
        </w:rPr>
        <w:t> </w:t>
      </w:r>
      <w:r>
        <w:rPr>
          <w:color w:val="231F20"/>
          <w:w w:val="105"/>
        </w:rPr>
        <w:t>iii) la</w:t>
      </w:r>
      <w:r>
        <w:rPr>
          <w:color w:val="231F20"/>
          <w:spacing w:val="-11"/>
          <w:w w:val="105"/>
        </w:rPr>
        <w:t> </w:t>
      </w:r>
      <w:r>
        <w:rPr>
          <w:color w:val="231F20"/>
          <w:w w:val="105"/>
        </w:rPr>
        <w:t>cantidad</w:t>
      </w:r>
      <w:r>
        <w:rPr>
          <w:color w:val="231F20"/>
          <w:spacing w:val="-11"/>
          <w:w w:val="105"/>
        </w:rPr>
        <w:t> </w:t>
      </w:r>
      <w:r>
        <w:rPr>
          <w:color w:val="231F20"/>
          <w:w w:val="105"/>
        </w:rPr>
        <w:t>de</w:t>
      </w:r>
      <w:r>
        <w:rPr>
          <w:color w:val="231F20"/>
          <w:spacing w:val="-11"/>
          <w:w w:val="105"/>
        </w:rPr>
        <w:t> </w:t>
      </w:r>
      <w:r>
        <w:rPr>
          <w:color w:val="231F20"/>
          <w:w w:val="105"/>
        </w:rPr>
        <w:t>dinero</w:t>
      </w:r>
      <w:r>
        <w:rPr>
          <w:color w:val="231F20"/>
          <w:spacing w:val="-11"/>
          <w:w w:val="105"/>
        </w:rPr>
        <w:t> </w:t>
      </w:r>
      <w:r>
        <w:rPr>
          <w:color w:val="231F20"/>
          <w:w w:val="105"/>
        </w:rPr>
        <w:t>según</w:t>
      </w:r>
      <w:r>
        <w:rPr>
          <w:color w:val="231F20"/>
          <w:spacing w:val="-11"/>
          <w:w w:val="105"/>
        </w:rPr>
        <w:t> </w:t>
      </w:r>
      <w:r>
        <w:rPr>
          <w:color w:val="231F20"/>
          <w:w w:val="105"/>
        </w:rPr>
        <w:t>se</w:t>
      </w:r>
      <w:r>
        <w:rPr>
          <w:color w:val="231F20"/>
          <w:spacing w:val="-11"/>
          <w:w w:val="105"/>
        </w:rPr>
        <w:t> </w:t>
      </w:r>
      <w:r>
        <w:rPr>
          <w:color w:val="231F20"/>
          <w:w w:val="105"/>
        </w:rPr>
        <w:t>fija</w:t>
      </w:r>
      <w:r>
        <w:rPr>
          <w:color w:val="231F20"/>
          <w:spacing w:val="-11"/>
          <w:w w:val="105"/>
        </w:rPr>
        <w:t> </w:t>
      </w:r>
      <w:r>
        <w:rPr>
          <w:color w:val="231F20"/>
          <w:w w:val="105"/>
        </w:rPr>
        <w:t>por</w:t>
      </w:r>
      <w:r>
        <w:rPr>
          <w:color w:val="231F20"/>
          <w:spacing w:val="-11"/>
          <w:w w:val="105"/>
        </w:rPr>
        <w:t> </w:t>
      </w:r>
      <w:r>
        <w:rPr>
          <w:color w:val="231F20"/>
          <w:w w:val="105"/>
        </w:rPr>
        <w:t>la</w:t>
      </w:r>
      <w:r>
        <w:rPr>
          <w:color w:val="231F20"/>
          <w:spacing w:val="-11"/>
          <w:w w:val="105"/>
        </w:rPr>
        <w:t> </w:t>
      </w:r>
      <w:r>
        <w:rPr>
          <w:color w:val="231F20"/>
          <w:w w:val="105"/>
        </w:rPr>
        <w:t>acción</w:t>
      </w:r>
      <w:r>
        <w:rPr>
          <w:color w:val="231F20"/>
          <w:spacing w:val="-11"/>
          <w:w w:val="105"/>
        </w:rPr>
        <w:t> </w:t>
      </w:r>
      <w:r>
        <w:rPr>
          <w:color w:val="231F20"/>
          <w:w w:val="105"/>
        </w:rPr>
        <w:t>del</w:t>
      </w:r>
      <w:r>
        <w:rPr>
          <w:color w:val="231F20"/>
          <w:spacing w:val="-11"/>
          <w:w w:val="105"/>
        </w:rPr>
        <w:t> </w:t>
      </w:r>
      <w:r>
        <w:rPr>
          <w:color w:val="231F20"/>
          <w:w w:val="105"/>
        </w:rPr>
        <w:t>banco</w:t>
      </w:r>
      <w:r>
        <w:rPr>
          <w:color w:val="231F20"/>
          <w:spacing w:val="-11"/>
          <w:w w:val="105"/>
        </w:rPr>
        <w:t> </w:t>
      </w:r>
      <w:r>
        <w:rPr>
          <w:color w:val="231F20"/>
          <w:w w:val="105"/>
        </w:rPr>
        <w:t>central.</w:t>
      </w:r>
    </w:p>
    <w:p>
      <w:pPr>
        <w:pStyle w:val="BodyText"/>
        <w:spacing w:line="259" w:lineRule="auto"/>
        <w:ind w:left="117" w:right="121" w:firstLine="567"/>
        <w:jc w:val="both"/>
      </w:pPr>
      <w:r>
        <w:rPr>
          <w:color w:val="231F20"/>
          <w:w w:val="105"/>
        </w:rPr>
        <w:t>A</w:t>
      </w:r>
      <w:r>
        <w:rPr>
          <w:color w:val="231F20"/>
          <w:spacing w:val="-22"/>
          <w:w w:val="105"/>
        </w:rPr>
        <w:t> </w:t>
      </w:r>
      <w:r>
        <w:rPr>
          <w:color w:val="231F20"/>
          <w:w w:val="105"/>
        </w:rPr>
        <w:t>manera</w:t>
      </w:r>
      <w:r>
        <w:rPr>
          <w:color w:val="231F20"/>
          <w:spacing w:val="-20"/>
          <w:w w:val="105"/>
        </w:rPr>
        <w:t> </w:t>
      </w:r>
      <w:r>
        <w:rPr>
          <w:color w:val="231F20"/>
          <w:w w:val="105"/>
        </w:rPr>
        <w:t>de</w:t>
      </w:r>
      <w:r>
        <w:rPr>
          <w:color w:val="231F20"/>
          <w:spacing w:val="-20"/>
          <w:w w:val="105"/>
        </w:rPr>
        <w:t> </w:t>
      </w:r>
      <w:r>
        <w:rPr>
          <w:color w:val="231F20"/>
          <w:w w:val="105"/>
        </w:rPr>
        <w:t>resumen,</w:t>
      </w:r>
      <w:r>
        <w:rPr>
          <w:color w:val="231F20"/>
          <w:spacing w:val="-24"/>
          <w:w w:val="105"/>
        </w:rPr>
        <w:t> </w:t>
      </w:r>
      <w:r>
        <w:rPr>
          <w:color w:val="231F20"/>
          <w:w w:val="105"/>
        </w:rPr>
        <w:t>las</w:t>
      </w:r>
      <w:r>
        <w:rPr>
          <w:color w:val="231F20"/>
          <w:spacing w:val="-20"/>
          <w:w w:val="105"/>
        </w:rPr>
        <w:t> </w:t>
      </w:r>
      <w:r>
        <w:rPr>
          <w:color w:val="231F20"/>
          <w:w w:val="105"/>
        </w:rPr>
        <w:t>principales</w:t>
      </w:r>
      <w:r>
        <w:rPr>
          <w:color w:val="231F20"/>
          <w:spacing w:val="-20"/>
          <w:w w:val="105"/>
        </w:rPr>
        <w:t> </w:t>
      </w:r>
      <w:r>
        <w:rPr>
          <w:color w:val="231F20"/>
          <w:w w:val="105"/>
        </w:rPr>
        <w:t>premisas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teoría</w:t>
      </w:r>
      <w:r>
        <w:rPr>
          <w:color w:val="231F20"/>
          <w:spacing w:val="-20"/>
          <w:w w:val="105"/>
        </w:rPr>
        <w:t> </w:t>
      </w:r>
      <w:r>
        <w:rPr>
          <w:color w:val="231F20"/>
          <w:w w:val="105"/>
        </w:rPr>
        <w:t>keyne- siana</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ocupación</w:t>
      </w:r>
      <w:r>
        <w:rPr>
          <w:color w:val="231F20"/>
          <w:spacing w:val="-30"/>
          <w:w w:val="105"/>
        </w:rPr>
        <w:t> </w:t>
      </w:r>
      <w:r>
        <w:rPr>
          <w:color w:val="231F20"/>
          <w:w w:val="105"/>
        </w:rPr>
        <w:t>son</w:t>
      </w:r>
      <w:r>
        <w:rPr>
          <w:color w:val="231F20"/>
          <w:spacing w:val="-30"/>
          <w:w w:val="105"/>
        </w:rPr>
        <w:t> </w:t>
      </w:r>
      <w:r>
        <w:rPr>
          <w:color w:val="231F20"/>
          <w:w w:val="105"/>
        </w:rPr>
        <w:t>(Keynes,</w:t>
      </w:r>
      <w:r>
        <w:rPr>
          <w:color w:val="231F20"/>
          <w:spacing w:val="-35"/>
          <w:w w:val="105"/>
        </w:rPr>
        <w:t> </w:t>
      </w:r>
      <w:r>
        <w:rPr>
          <w:color w:val="231F20"/>
          <w:w w:val="105"/>
        </w:rPr>
        <w:t>2010):</w:t>
      </w:r>
    </w:p>
    <w:p>
      <w:pPr>
        <w:pStyle w:val="BodyText"/>
        <w:spacing w:before="6"/>
        <w:rPr>
          <w:sz w:val="22"/>
        </w:rPr>
      </w:pPr>
    </w:p>
    <w:p>
      <w:pPr>
        <w:pStyle w:val="ListParagraph"/>
        <w:numPr>
          <w:ilvl w:val="1"/>
          <w:numId w:val="64"/>
        </w:numPr>
        <w:tabs>
          <w:tab w:pos="1328" w:val="left" w:leader="none"/>
        </w:tabs>
        <w:spacing w:line="240" w:lineRule="auto" w:before="0" w:after="0"/>
        <w:ind w:left="1327" w:right="0" w:hanging="360"/>
        <w:jc w:val="left"/>
        <w:rPr>
          <w:sz w:val="21"/>
        </w:rPr>
      </w:pPr>
      <w:r>
        <w:rPr>
          <w:color w:val="231F20"/>
          <w:sz w:val="21"/>
        </w:rPr>
        <w:t>El salario es una renta y no sólo un</w:t>
      </w:r>
      <w:r>
        <w:rPr>
          <w:color w:val="231F20"/>
          <w:spacing w:val="10"/>
          <w:sz w:val="21"/>
        </w:rPr>
        <w:t> </w:t>
      </w:r>
      <w:r>
        <w:rPr>
          <w:color w:val="231F20"/>
          <w:sz w:val="21"/>
        </w:rPr>
        <w:t>costo.</w:t>
      </w:r>
    </w:p>
    <w:p>
      <w:pPr>
        <w:pStyle w:val="BodyText"/>
        <w:spacing w:before="4"/>
        <w:rPr>
          <w:sz w:val="16"/>
        </w:rPr>
      </w:pPr>
    </w:p>
    <w:p>
      <w:pPr>
        <w:pStyle w:val="ListParagraph"/>
        <w:numPr>
          <w:ilvl w:val="1"/>
          <w:numId w:val="64"/>
        </w:numPr>
        <w:tabs>
          <w:tab w:pos="1328" w:val="left" w:leader="none"/>
        </w:tabs>
        <w:spacing w:line="259" w:lineRule="auto" w:before="0" w:after="0"/>
        <w:ind w:left="1327" w:right="121" w:hanging="360"/>
        <w:jc w:val="left"/>
        <w:rPr>
          <w:sz w:val="21"/>
        </w:rPr>
      </w:pPr>
      <w:r>
        <w:rPr>
          <w:color w:val="231F20"/>
          <w:w w:val="105"/>
          <w:sz w:val="21"/>
        </w:rPr>
        <w:t>Los</w:t>
      </w:r>
      <w:r>
        <w:rPr>
          <w:color w:val="231F20"/>
          <w:spacing w:val="-27"/>
          <w:w w:val="105"/>
          <w:sz w:val="21"/>
        </w:rPr>
        <w:t> </w:t>
      </w:r>
      <w:r>
        <w:rPr>
          <w:color w:val="231F20"/>
          <w:w w:val="105"/>
          <w:sz w:val="21"/>
        </w:rPr>
        <w:t>salarios</w:t>
      </w:r>
      <w:r>
        <w:rPr>
          <w:color w:val="231F20"/>
          <w:spacing w:val="-27"/>
          <w:w w:val="105"/>
          <w:sz w:val="21"/>
        </w:rPr>
        <w:t> </w:t>
      </w:r>
      <w:r>
        <w:rPr>
          <w:color w:val="231F20"/>
          <w:w w:val="105"/>
          <w:sz w:val="21"/>
        </w:rPr>
        <w:t>nominales</w:t>
      </w:r>
      <w:r>
        <w:rPr>
          <w:color w:val="231F20"/>
          <w:spacing w:val="-27"/>
          <w:w w:val="105"/>
          <w:sz w:val="21"/>
        </w:rPr>
        <w:t> </w:t>
      </w:r>
      <w:r>
        <w:rPr>
          <w:color w:val="231F20"/>
          <w:w w:val="105"/>
          <w:sz w:val="21"/>
        </w:rPr>
        <w:t>causan</w:t>
      </w:r>
      <w:r>
        <w:rPr>
          <w:color w:val="231F20"/>
          <w:spacing w:val="-27"/>
          <w:w w:val="105"/>
          <w:sz w:val="21"/>
        </w:rPr>
        <w:t> </w:t>
      </w:r>
      <w:r>
        <w:rPr>
          <w:color w:val="231F20"/>
          <w:w w:val="105"/>
          <w:sz w:val="21"/>
        </w:rPr>
        <w:t>el</w:t>
      </w:r>
      <w:r>
        <w:rPr>
          <w:color w:val="231F20"/>
          <w:spacing w:val="-27"/>
          <w:w w:val="105"/>
          <w:sz w:val="21"/>
        </w:rPr>
        <w:t> </w:t>
      </w:r>
      <w:r>
        <w:rPr>
          <w:color w:val="231F20"/>
          <w:w w:val="105"/>
          <w:sz w:val="21"/>
        </w:rPr>
        <w:t>desempleo,</w:t>
      </w:r>
      <w:r>
        <w:rPr>
          <w:color w:val="231F20"/>
          <w:spacing w:val="-31"/>
          <w:w w:val="105"/>
          <w:sz w:val="21"/>
        </w:rPr>
        <w:t> </w:t>
      </w:r>
      <w:r>
        <w:rPr>
          <w:color w:val="231F20"/>
          <w:w w:val="105"/>
          <w:sz w:val="21"/>
        </w:rPr>
        <w:t>no</w:t>
      </w:r>
      <w:r>
        <w:rPr>
          <w:color w:val="231F20"/>
          <w:spacing w:val="-27"/>
          <w:w w:val="105"/>
          <w:sz w:val="21"/>
        </w:rPr>
        <w:t> </w:t>
      </w:r>
      <w:r>
        <w:rPr>
          <w:color w:val="231F20"/>
          <w:w w:val="105"/>
          <w:sz w:val="21"/>
        </w:rPr>
        <w:t>los</w:t>
      </w:r>
      <w:r>
        <w:rPr>
          <w:color w:val="231F20"/>
          <w:spacing w:val="-27"/>
          <w:w w:val="105"/>
          <w:sz w:val="21"/>
        </w:rPr>
        <w:t> </w:t>
      </w:r>
      <w:r>
        <w:rPr>
          <w:color w:val="231F20"/>
          <w:w w:val="105"/>
          <w:sz w:val="21"/>
        </w:rPr>
        <w:t>salarios reales,</w:t>
      </w:r>
      <w:r>
        <w:rPr>
          <w:color w:val="231F20"/>
          <w:spacing w:val="-29"/>
          <w:w w:val="105"/>
          <w:sz w:val="21"/>
        </w:rPr>
        <w:t> </w:t>
      </w:r>
      <w:r>
        <w:rPr>
          <w:color w:val="231F20"/>
          <w:w w:val="105"/>
          <w:sz w:val="21"/>
        </w:rPr>
        <w:t>pues</w:t>
      </w:r>
      <w:r>
        <w:rPr>
          <w:color w:val="231F20"/>
          <w:spacing w:val="-24"/>
          <w:w w:val="105"/>
          <w:sz w:val="21"/>
        </w:rPr>
        <w:t> </w:t>
      </w:r>
      <w:r>
        <w:rPr>
          <w:color w:val="231F20"/>
          <w:w w:val="105"/>
          <w:sz w:val="21"/>
        </w:rPr>
        <w:t>los</w:t>
      </w:r>
      <w:r>
        <w:rPr>
          <w:color w:val="231F20"/>
          <w:spacing w:val="-24"/>
          <w:w w:val="105"/>
          <w:sz w:val="21"/>
        </w:rPr>
        <w:t> </w:t>
      </w:r>
      <w:r>
        <w:rPr>
          <w:color w:val="231F20"/>
          <w:w w:val="105"/>
          <w:sz w:val="21"/>
        </w:rPr>
        <w:t>trabajadores</w:t>
      </w:r>
      <w:r>
        <w:rPr>
          <w:color w:val="231F20"/>
          <w:spacing w:val="-24"/>
          <w:w w:val="105"/>
          <w:sz w:val="21"/>
        </w:rPr>
        <w:t> </w:t>
      </w:r>
      <w:r>
        <w:rPr>
          <w:color w:val="231F20"/>
          <w:w w:val="105"/>
          <w:sz w:val="21"/>
        </w:rPr>
        <w:t>actúan</w:t>
      </w:r>
      <w:r>
        <w:rPr>
          <w:color w:val="231F20"/>
          <w:spacing w:val="-24"/>
          <w:w w:val="105"/>
          <w:sz w:val="21"/>
        </w:rPr>
        <w:t> </w:t>
      </w:r>
      <w:r>
        <w:rPr>
          <w:color w:val="231F20"/>
          <w:w w:val="105"/>
          <w:sz w:val="21"/>
        </w:rPr>
        <w:t>bajo</w:t>
      </w:r>
      <w:r>
        <w:rPr>
          <w:color w:val="231F20"/>
          <w:spacing w:val="-24"/>
          <w:w w:val="105"/>
          <w:sz w:val="21"/>
        </w:rPr>
        <w:t> </w:t>
      </w:r>
      <w:r>
        <w:rPr>
          <w:color w:val="231F20"/>
          <w:w w:val="105"/>
          <w:sz w:val="21"/>
        </w:rPr>
        <w:t>ilusión</w:t>
      </w:r>
      <w:r>
        <w:rPr>
          <w:color w:val="231F20"/>
          <w:spacing w:val="-24"/>
          <w:w w:val="105"/>
          <w:sz w:val="21"/>
        </w:rPr>
        <w:t> </w:t>
      </w:r>
      <w:r>
        <w:rPr>
          <w:color w:val="231F20"/>
          <w:w w:val="105"/>
          <w:sz w:val="21"/>
        </w:rPr>
        <w:t>monetaria.</w:t>
      </w:r>
    </w:p>
    <w:p>
      <w:pPr>
        <w:pStyle w:val="ListParagraph"/>
        <w:numPr>
          <w:ilvl w:val="1"/>
          <w:numId w:val="64"/>
        </w:numPr>
        <w:tabs>
          <w:tab w:pos="1327" w:val="left" w:leader="none"/>
          <w:tab w:pos="1328" w:val="left" w:leader="none"/>
        </w:tabs>
        <w:spacing w:line="259" w:lineRule="auto" w:before="170" w:after="0"/>
        <w:ind w:left="1327" w:right="122" w:hanging="360"/>
        <w:jc w:val="left"/>
        <w:rPr>
          <w:sz w:val="21"/>
        </w:rPr>
      </w:pPr>
      <w:r>
        <w:rPr>
          <w:color w:val="231F20"/>
          <w:w w:val="105"/>
          <w:sz w:val="21"/>
        </w:rPr>
        <w:t>Nunca</w:t>
      </w:r>
      <w:r>
        <w:rPr>
          <w:color w:val="231F20"/>
          <w:spacing w:val="-24"/>
          <w:w w:val="105"/>
          <w:sz w:val="21"/>
        </w:rPr>
        <w:t> </w:t>
      </w:r>
      <w:r>
        <w:rPr>
          <w:color w:val="231F20"/>
          <w:w w:val="105"/>
          <w:sz w:val="21"/>
        </w:rPr>
        <w:t>se</w:t>
      </w:r>
      <w:r>
        <w:rPr>
          <w:color w:val="231F20"/>
          <w:spacing w:val="-24"/>
          <w:w w:val="105"/>
          <w:sz w:val="21"/>
        </w:rPr>
        <w:t> </w:t>
      </w:r>
      <w:r>
        <w:rPr>
          <w:color w:val="231F20"/>
          <w:w w:val="105"/>
          <w:sz w:val="21"/>
        </w:rPr>
        <w:t>alcanza</w:t>
      </w:r>
      <w:r>
        <w:rPr>
          <w:color w:val="231F20"/>
          <w:spacing w:val="-24"/>
          <w:w w:val="105"/>
          <w:sz w:val="21"/>
        </w:rPr>
        <w:t> </w:t>
      </w:r>
      <w:r>
        <w:rPr>
          <w:color w:val="231F20"/>
          <w:w w:val="105"/>
          <w:sz w:val="21"/>
        </w:rPr>
        <w:t>la</w:t>
      </w:r>
      <w:r>
        <w:rPr>
          <w:color w:val="231F20"/>
          <w:spacing w:val="-24"/>
          <w:w w:val="105"/>
          <w:sz w:val="21"/>
        </w:rPr>
        <w:t> </w:t>
      </w:r>
      <w:r>
        <w:rPr>
          <w:color w:val="231F20"/>
          <w:w w:val="105"/>
          <w:sz w:val="21"/>
        </w:rPr>
        <w:t>suficiente</w:t>
      </w:r>
      <w:r>
        <w:rPr>
          <w:color w:val="231F20"/>
          <w:spacing w:val="-24"/>
          <w:w w:val="105"/>
          <w:sz w:val="21"/>
        </w:rPr>
        <w:t> </w:t>
      </w:r>
      <w:r>
        <w:rPr>
          <w:color w:val="231F20"/>
          <w:w w:val="105"/>
          <w:sz w:val="21"/>
        </w:rPr>
        <w:t>flexibilidad</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los</w:t>
      </w:r>
      <w:r>
        <w:rPr>
          <w:color w:val="231F20"/>
          <w:spacing w:val="-24"/>
          <w:w w:val="105"/>
          <w:sz w:val="21"/>
        </w:rPr>
        <w:t> </w:t>
      </w:r>
      <w:r>
        <w:rPr>
          <w:color w:val="231F20"/>
          <w:w w:val="105"/>
          <w:sz w:val="21"/>
        </w:rPr>
        <w:t>salarios</w:t>
      </w:r>
      <w:r>
        <w:rPr>
          <w:color w:val="231F20"/>
          <w:spacing w:val="-24"/>
          <w:w w:val="105"/>
          <w:sz w:val="21"/>
        </w:rPr>
        <w:t> </w:t>
      </w:r>
      <w:r>
        <w:rPr>
          <w:color w:val="231F20"/>
          <w:w w:val="105"/>
          <w:sz w:val="21"/>
        </w:rPr>
        <w:t>no- minales para llegar al equilibrio de pleno</w:t>
      </w:r>
      <w:r>
        <w:rPr>
          <w:color w:val="231F20"/>
          <w:spacing w:val="-21"/>
          <w:w w:val="105"/>
          <w:sz w:val="21"/>
        </w:rPr>
        <w:t> </w:t>
      </w:r>
      <w:r>
        <w:rPr>
          <w:color w:val="231F20"/>
          <w:w w:val="105"/>
          <w:sz w:val="21"/>
        </w:rPr>
        <w:t>empleo.</w:t>
      </w:r>
    </w:p>
    <w:p>
      <w:pPr>
        <w:pStyle w:val="ListParagraph"/>
        <w:numPr>
          <w:ilvl w:val="1"/>
          <w:numId w:val="64"/>
        </w:numPr>
        <w:tabs>
          <w:tab w:pos="1328" w:val="left" w:leader="none"/>
        </w:tabs>
        <w:spacing w:line="259" w:lineRule="auto" w:before="170" w:after="0"/>
        <w:ind w:left="1327" w:right="122" w:hanging="360"/>
        <w:jc w:val="left"/>
        <w:rPr>
          <w:sz w:val="21"/>
        </w:rPr>
      </w:pPr>
      <w:r>
        <w:rPr>
          <w:color w:val="231F20"/>
          <w:w w:val="105"/>
          <w:sz w:val="21"/>
        </w:rPr>
        <w:t>Existe</w:t>
      </w:r>
      <w:r>
        <w:rPr>
          <w:color w:val="231F20"/>
          <w:spacing w:val="-10"/>
          <w:w w:val="105"/>
          <w:sz w:val="21"/>
        </w:rPr>
        <w:t> </w:t>
      </w:r>
      <w:r>
        <w:rPr>
          <w:color w:val="231F20"/>
          <w:w w:val="105"/>
          <w:sz w:val="21"/>
        </w:rPr>
        <w:t>el</w:t>
      </w:r>
      <w:r>
        <w:rPr>
          <w:color w:val="231F20"/>
          <w:spacing w:val="-10"/>
          <w:w w:val="105"/>
          <w:sz w:val="21"/>
        </w:rPr>
        <w:t> </w:t>
      </w:r>
      <w:r>
        <w:rPr>
          <w:color w:val="231F20"/>
          <w:w w:val="105"/>
          <w:sz w:val="21"/>
        </w:rPr>
        <w:t>desempleo</w:t>
      </w:r>
      <w:r>
        <w:rPr>
          <w:color w:val="231F20"/>
          <w:spacing w:val="-10"/>
          <w:w w:val="105"/>
          <w:sz w:val="21"/>
        </w:rPr>
        <w:t> </w:t>
      </w:r>
      <w:r>
        <w:rPr>
          <w:color w:val="231F20"/>
          <w:w w:val="105"/>
          <w:sz w:val="21"/>
        </w:rPr>
        <w:t>involuntario,</w:t>
      </w:r>
      <w:r>
        <w:rPr>
          <w:color w:val="231F20"/>
          <w:spacing w:val="-15"/>
          <w:w w:val="105"/>
          <w:sz w:val="21"/>
        </w:rPr>
        <w:t> </w:t>
      </w:r>
      <w:r>
        <w:rPr>
          <w:color w:val="231F20"/>
          <w:w w:val="105"/>
          <w:sz w:val="21"/>
        </w:rPr>
        <w:t>pues</w:t>
      </w:r>
      <w:r>
        <w:rPr>
          <w:color w:val="231F20"/>
          <w:spacing w:val="-10"/>
          <w:w w:val="105"/>
          <w:sz w:val="21"/>
        </w:rPr>
        <w:t> </w:t>
      </w:r>
      <w:r>
        <w:rPr>
          <w:color w:val="231F20"/>
          <w:w w:val="105"/>
          <w:sz w:val="21"/>
        </w:rPr>
        <w:t>los</w:t>
      </w:r>
      <w:r>
        <w:rPr>
          <w:color w:val="231F20"/>
          <w:spacing w:val="-10"/>
          <w:w w:val="105"/>
          <w:sz w:val="21"/>
        </w:rPr>
        <w:t> </w:t>
      </w:r>
      <w:r>
        <w:rPr>
          <w:color w:val="231F20"/>
          <w:w w:val="105"/>
          <w:sz w:val="21"/>
        </w:rPr>
        <w:t>salarios</w:t>
      </w:r>
      <w:r>
        <w:rPr>
          <w:color w:val="231F20"/>
          <w:spacing w:val="-10"/>
          <w:w w:val="105"/>
          <w:sz w:val="21"/>
        </w:rPr>
        <w:t> </w:t>
      </w:r>
      <w:r>
        <w:rPr>
          <w:color w:val="231F20"/>
          <w:w w:val="105"/>
          <w:sz w:val="21"/>
        </w:rPr>
        <w:t>son</w:t>
      </w:r>
      <w:r>
        <w:rPr>
          <w:color w:val="231F20"/>
          <w:spacing w:val="-10"/>
          <w:w w:val="105"/>
          <w:sz w:val="21"/>
        </w:rPr>
        <w:t> </w:t>
      </w:r>
      <w:r>
        <w:rPr>
          <w:color w:val="231F20"/>
          <w:w w:val="105"/>
          <w:sz w:val="21"/>
        </w:rPr>
        <w:t>rígi- dos</w:t>
      </w:r>
      <w:r>
        <w:rPr>
          <w:color w:val="231F20"/>
          <w:spacing w:val="-19"/>
          <w:w w:val="105"/>
          <w:sz w:val="21"/>
        </w:rPr>
        <w:t> </w:t>
      </w:r>
      <w:r>
        <w:rPr>
          <w:color w:val="231F20"/>
          <w:w w:val="105"/>
          <w:sz w:val="21"/>
        </w:rPr>
        <w:t>a</w:t>
      </w:r>
      <w:r>
        <w:rPr>
          <w:color w:val="231F20"/>
          <w:spacing w:val="-19"/>
          <w:w w:val="105"/>
          <w:sz w:val="21"/>
        </w:rPr>
        <w:t> </w:t>
      </w:r>
      <w:r>
        <w:rPr>
          <w:color w:val="231F20"/>
          <w:w w:val="105"/>
          <w:sz w:val="21"/>
        </w:rPr>
        <w:t>la</w:t>
      </w:r>
      <w:r>
        <w:rPr>
          <w:color w:val="231F20"/>
          <w:spacing w:val="-19"/>
          <w:w w:val="105"/>
          <w:sz w:val="21"/>
        </w:rPr>
        <w:t> </w:t>
      </w:r>
      <w:r>
        <w:rPr>
          <w:color w:val="231F20"/>
          <w:w w:val="105"/>
          <w:sz w:val="21"/>
        </w:rPr>
        <w:t>baja.</w:t>
      </w:r>
    </w:p>
    <w:p>
      <w:pPr>
        <w:spacing w:after="0" w:line="259" w:lineRule="auto"/>
        <w:jc w:val="left"/>
        <w:rPr>
          <w:sz w:val="21"/>
        </w:rPr>
        <w:sectPr>
          <w:pgSz w:w="9640" w:h="13890"/>
          <w:pgMar w:top="0" w:bottom="280" w:left="1300" w:right="1180"/>
        </w:sectPr>
      </w:pPr>
    </w:p>
    <w:p>
      <w:pPr>
        <w:pStyle w:val="ListParagraph"/>
        <w:numPr>
          <w:ilvl w:val="1"/>
          <w:numId w:val="64"/>
        </w:numPr>
        <w:tabs>
          <w:tab w:pos="1329" w:val="left" w:leader="none"/>
        </w:tabs>
        <w:spacing w:line="259" w:lineRule="auto" w:before="120" w:after="0"/>
        <w:ind w:left="1328" w:right="115" w:hanging="360"/>
        <w:jc w:val="both"/>
        <w:rPr>
          <w:sz w:val="21"/>
        </w:rPr>
      </w:pPr>
      <w:r>
        <w:rPr>
          <w:color w:val="231F20"/>
          <w:w w:val="105"/>
          <w:sz w:val="21"/>
        </w:rPr>
        <w:t>El nivel de empleo lo determina el equilibrio entre oferta y demanda</w:t>
      </w:r>
      <w:r>
        <w:rPr>
          <w:color w:val="231F20"/>
          <w:spacing w:val="-38"/>
          <w:w w:val="105"/>
          <w:sz w:val="21"/>
        </w:rPr>
        <w:t> </w:t>
      </w:r>
      <w:r>
        <w:rPr>
          <w:color w:val="231F20"/>
          <w:w w:val="105"/>
          <w:sz w:val="21"/>
        </w:rPr>
        <w:t>agregadas.</w:t>
      </w:r>
    </w:p>
    <w:p>
      <w:pPr>
        <w:pStyle w:val="ListParagraph"/>
        <w:numPr>
          <w:ilvl w:val="1"/>
          <w:numId w:val="64"/>
        </w:numPr>
        <w:tabs>
          <w:tab w:pos="1329" w:val="left" w:leader="none"/>
        </w:tabs>
        <w:spacing w:line="259" w:lineRule="auto" w:before="170" w:after="0"/>
        <w:ind w:left="1328" w:right="115" w:hanging="360"/>
        <w:jc w:val="both"/>
        <w:rPr>
          <w:sz w:val="21"/>
        </w:rPr>
      </w:pPr>
      <w:r>
        <w:rPr>
          <w:color w:val="231F20"/>
          <w:w w:val="105"/>
          <w:sz w:val="21"/>
        </w:rPr>
        <w:t>El</w:t>
      </w:r>
      <w:r>
        <w:rPr>
          <w:color w:val="231F20"/>
          <w:spacing w:val="-17"/>
          <w:w w:val="105"/>
          <w:sz w:val="21"/>
        </w:rPr>
        <w:t> </w:t>
      </w:r>
      <w:r>
        <w:rPr>
          <w:color w:val="231F20"/>
          <w:w w:val="105"/>
          <w:sz w:val="21"/>
        </w:rPr>
        <w:t>nivel</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empleo</w:t>
      </w:r>
      <w:r>
        <w:rPr>
          <w:color w:val="231F20"/>
          <w:spacing w:val="-17"/>
          <w:w w:val="105"/>
          <w:sz w:val="21"/>
        </w:rPr>
        <w:t> </w:t>
      </w:r>
      <w:r>
        <w:rPr>
          <w:color w:val="231F20"/>
          <w:w w:val="105"/>
          <w:sz w:val="21"/>
        </w:rPr>
        <w:t>no</w:t>
      </w:r>
      <w:r>
        <w:rPr>
          <w:color w:val="231F20"/>
          <w:spacing w:val="-17"/>
          <w:w w:val="105"/>
          <w:sz w:val="21"/>
        </w:rPr>
        <w:t> </w:t>
      </w:r>
      <w:r>
        <w:rPr>
          <w:color w:val="231F20"/>
          <w:w w:val="105"/>
          <w:sz w:val="21"/>
        </w:rPr>
        <w:t>se</w:t>
      </w:r>
      <w:r>
        <w:rPr>
          <w:color w:val="231F20"/>
          <w:spacing w:val="-17"/>
          <w:w w:val="105"/>
          <w:sz w:val="21"/>
        </w:rPr>
        <w:t> </w:t>
      </w:r>
      <w:r>
        <w:rPr>
          <w:color w:val="231F20"/>
          <w:w w:val="105"/>
          <w:sz w:val="21"/>
        </w:rPr>
        <w:t>determina</w:t>
      </w:r>
      <w:r>
        <w:rPr>
          <w:color w:val="231F20"/>
          <w:spacing w:val="-17"/>
          <w:w w:val="105"/>
          <w:sz w:val="21"/>
        </w:rPr>
        <w:t> </w:t>
      </w:r>
      <w:r>
        <w:rPr>
          <w:color w:val="231F20"/>
          <w:w w:val="105"/>
          <w:sz w:val="21"/>
        </w:rPr>
        <w:t>en</w:t>
      </w:r>
      <w:r>
        <w:rPr>
          <w:color w:val="231F20"/>
          <w:spacing w:val="-17"/>
          <w:w w:val="105"/>
          <w:sz w:val="21"/>
        </w:rPr>
        <w:t> </w:t>
      </w:r>
      <w:r>
        <w:rPr>
          <w:color w:val="231F20"/>
          <w:w w:val="105"/>
          <w:sz w:val="21"/>
        </w:rPr>
        <w:t>el</w:t>
      </w:r>
      <w:r>
        <w:rPr>
          <w:color w:val="231F20"/>
          <w:spacing w:val="-17"/>
          <w:w w:val="105"/>
          <w:sz w:val="21"/>
        </w:rPr>
        <w:t> </w:t>
      </w:r>
      <w:r>
        <w:rPr>
          <w:color w:val="231F20"/>
          <w:w w:val="105"/>
          <w:sz w:val="21"/>
        </w:rPr>
        <w:t>mercado</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traba- jo,</w:t>
      </w:r>
      <w:r>
        <w:rPr>
          <w:color w:val="231F20"/>
          <w:spacing w:val="-16"/>
          <w:w w:val="105"/>
          <w:sz w:val="21"/>
        </w:rPr>
        <w:t> </w:t>
      </w:r>
      <w:r>
        <w:rPr>
          <w:color w:val="231F20"/>
          <w:w w:val="105"/>
          <w:sz w:val="21"/>
        </w:rPr>
        <w:t>sino</w:t>
      </w:r>
      <w:r>
        <w:rPr>
          <w:color w:val="231F20"/>
          <w:spacing w:val="-10"/>
          <w:w w:val="105"/>
          <w:sz w:val="21"/>
        </w:rPr>
        <w:t> </w:t>
      </w:r>
      <w:r>
        <w:rPr>
          <w:color w:val="231F20"/>
          <w:w w:val="105"/>
          <w:sz w:val="21"/>
        </w:rPr>
        <w:t>en</w:t>
      </w:r>
      <w:r>
        <w:rPr>
          <w:color w:val="231F20"/>
          <w:spacing w:val="-10"/>
          <w:w w:val="105"/>
          <w:sz w:val="21"/>
        </w:rPr>
        <w:t> </w:t>
      </w:r>
      <w:r>
        <w:rPr>
          <w:color w:val="231F20"/>
          <w:w w:val="105"/>
          <w:sz w:val="21"/>
        </w:rPr>
        <w:t>el</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bienes</w:t>
      </w:r>
      <w:r>
        <w:rPr>
          <w:color w:val="231F20"/>
          <w:spacing w:val="-10"/>
          <w:w w:val="105"/>
          <w:sz w:val="21"/>
        </w:rPr>
        <w:t> </w:t>
      </w:r>
      <w:r>
        <w:rPr>
          <w:color w:val="231F20"/>
          <w:w w:val="105"/>
          <w:sz w:val="21"/>
        </w:rPr>
        <w:t>y</w:t>
      </w:r>
      <w:r>
        <w:rPr>
          <w:color w:val="231F20"/>
          <w:spacing w:val="-10"/>
          <w:w w:val="105"/>
          <w:sz w:val="21"/>
        </w:rPr>
        <w:t> </w:t>
      </w:r>
      <w:r>
        <w:rPr>
          <w:color w:val="231F20"/>
          <w:w w:val="105"/>
          <w:sz w:val="21"/>
        </w:rPr>
        <w:t>servicios,</w:t>
      </w:r>
      <w:r>
        <w:rPr>
          <w:color w:val="231F20"/>
          <w:spacing w:val="-16"/>
          <w:w w:val="105"/>
          <w:sz w:val="21"/>
        </w:rPr>
        <w:t> </w:t>
      </w:r>
      <w:r>
        <w:rPr>
          <w:color w:val="231F20"/>
          <w:w w:val="105"/>
          <w:sz w:val="21"/>
        </w:rPr>
        <w:t>y</w:t>
      </w:r>
      <w:r>
        <w:rPr>
          <w:color w:val="231F20"/>
          <w:spacing w:val="-10"/>
          <w:w w:val="105"/>
          <w:sz w:val="21"/>
        </w:rPr>
        <w:t> </w:t>
      </w:r>
      <w:r>
        <w:rPr>
          <w:color w:val="231F20"/>
          <w:w w:val="105"/>
          <w:sz w:val="21"/>
        </w:rPr>
        <w:t>sobre</w:t>
      </w:r>
      <w:r>
        <w:rPr>
          <w:color w:val="231F20"/>
          <w:spacing w:val="-10"/>
          <w:w w:val="105"/>
          <w:sz w:val="21"/>
        </w:rPr>
        <w:t> </w:t>
      </w:r>
      <w:r>
        <w:rPr>
          <w:color w:val="231F20"/>
          <w:w w:val="105"/>
          <w:sz w:val="21"/>
        </w:rPr>
        <w:t>él</w:t>
      </w:r>
      <w:r>
        <w:rPr>
          <w:color w:val="231F20"/>
          <w:spacing w:val="-10"/>
          <w:w w:val="105"/>
          <w:sz w:val="21"/>
        </w:rPr>
        <w:t> </w:t>
      </w:r>
      <w:r>
        <w:rPr>
          <w:color w:val="231F20"/>
          <w:w w:val="105"/>
          <w:sz w:val="21"/>
        </w:rPr>
        <w:t>inciden</w:t>
      </w:r>
      <w:r>
        <w:rPr>
          <w:color w:val="231F20"/>
          <w:spacing w:val="-10"/>
          <w:w w:val="105"/>
          <w:sz w:val="21"/>
        </w:rPr>
        <w:t> </w:t>
      </w:r>
      <w:r>
        <w:rPr>
          <w:color w:val="231F20"/>
          <w:w w:val="105"/>
          <w:sz w:val="21"/>
        </w:rPr>
        <w:t>varia- ciones</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la</w:t>
      </w:r>
      <w:r>
        <w:rPr>
          <w:color w:val="231F20"/>
          <w:spacing w:val="-19"/>
          <w:w w:val="105"/>
          <w:sz w:val="21"/>
        </w:rPr>
        <w:t> </w:t>
      </w:r>
      <w:r>
        <w:rPr>
          <w:color w:val="231F20"/>
          <w:w w:val="105"/>
          <w:sz w:val="21"/>
        </w:rPr>
        <w:t>demanda</w:t>
      </w:r>
      <w:r>
        <w:rPr>
          <w:color w:val="231F20"/>
          <w:spacing w:val="-19"/>
          <w:w w:val="105"/>
          <w:sz w:val="21"/>
        </w:rPr>
        <w:t> </w:t>
      </w:r>
      <w:r>
        <w:rPr>
          <w:color w:val="231F20"/>
          <w:w w:val="105"/>
          <w:sz w:val="21"/>
        </w:rPr>
        <w:t>efectiva.</w:t>
      </w:r>
    </w:p>
    <w:p>
      <w:pPr>
        <w:pStyle w:val="ListParagraph"/>
        <w:numPr>
          <w:ilvl w:val="1"/>
          <w:numId w:val="64"/>
        </w:numPr>
        <w:tabs>
          <w:tab w:pos="1329" w:val="left" w:leader="none"/>
        </w:tabs>
        <w:spacing w:line="259" w:lineRule="auto" w:before="170" w:after="0"/>
        <w:ind w:left="1328" w:right="116" w:hanging="360"/>
        <w:jc w:val="both"/>
        <w:rPr>
          <w:sz w:val="21"/>
        </w:rPr>
      </w:pPr>
      <w:r>
        <w:rPr>
          <w:color w:val="231F20"/>
          <w:w w:val="105"/>
          <w:sz w:val="21"/>
        </w:rPr>
        <w:t>El empleo depende de la función de demanda efectiva, la propensión</w:t>
      </w:r>
      <w:r>
        <w:rPr>
          <w:color w:val="231F20"/>
          <w:spacing w:val="-13"/>
          <w:w w:val="105"/>
          <w:sz w:val="21"/>
        </w:rPr>
        <w:t> </w:t>
      </w:r>
      <w:r>
        <w:rPr>
          <w:color w:val="231F20"/>
          <w:w w:val="105"/>
          <w:sz w:val="21"/>
        </w:rPr>
        <w:t>marginal</w:t>
      </w:r>
      <w:r>
        <w:rPr>
          <w:color w:val="231F20"/>
          <w:spacing w:val="-13"/>
          <w:w w:val="105"/>
          <w:sz w:val="21"/>
        </w:rPr>
        <w:t> </w:t>
      </w:r>
      <w:r>
        <w:rPr>
          <w:color w:val="231F20"/>
          <w:w w:val="105"/>
          <w:sz w:val="21"/>
        </w:rPr>
        <w:t>a</w:t>
      </w:r>
      <w:r>
        <w:rPr>
          <w:color w:val="231F20"/>
          <w:spacing w:val="-13"/>
          <w:w w:val="105"/>
          <w:sz w:val="21"/>
        </w:rPr>
        <w:t> </w:t>
      </w:r>
      <w:r>
        <w:rPr>
          <w:color w:val="231F20"/>
          <w:w w:val="105"/>
          <w:sz w:val="21"/>
        </w:rPr>
        <w:t>consumir</w:t>
      </w:r>
      <w:r>
        <w:rPr>
          <w:color w:val="231F20"/>
          <w:spacing w:val="-13"/>
          <w:w w:val="105"/>
          <w:sz w:val="21"/>
        </w:rPr>
        <w:t> </w:t>
      </w:r>
      <w:r>
        <w:rPr>
          <w:color w:val="231F20"/>
          <w:w w:val="105"/>
          <w:sz w:val="21"/>
        </w:rPr>
        <w:t>y</w:t>
      </w:r>
      <w:r>
        <w:rPr>
          <w:color w:val="231F20"/>
          <w:spacing w:val="-13"/>
          <w:w w:val="105"/>
          <w:sz w:val="21"/>
        </w:rPr>
        <w:t> </w:t>
      </w:r>
      <w:r>
        <w:rPr>
          <w:color w:val="231F20"/>
          <w:w w:val="105"/>
          <w:sz w:val="21"/>
        </w:rPr>
        <w:t>el</w:t>
      </w:r>
      <w:r>
        <w:rPr>
          <w:color w:val="231F20"/>
          <w:spacing w:val="-13"/>
          <w:w w:val="105"/>
          <w:sz w:val="21"/>
        </w:rPr>
        <w:t> </w:t>
      </w:r>
      <w:r>
        <w:rPr>
          <w:color w:val="231F20"/>
          <w:w w:val="105"/>
          <w:sz w:val="21"/>
        </w:rPr>
        <w:t>nivel</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inversión.</w:t>
      </w:r>
    </w:p>
    <w:p>
      <w:pPr>
        <w:pStyle w:val="ListParagraph"/>
        <w:numPr>
          <w:ilvl w:val="1"/>
          <w:numId w:val="64"/>
        </w:numPr>
        <w:tabs>
          <w:tab w:pos="1329" w:val="left" w:leader="none"/>
        </w:tabs>
        <w:spacing w:line="259" w:lineRule="auto" w:before="170" w:after="0"/>
        <w:ind w:left="1328" w:right="115" w:hanging="360"/>
        <w:jc w:val="both"/>
        <w:rPr>
          <w:sz w:val="21"/>
        </w:rPr>
      </w:pPr>
      <w:r>
        <w:rPr>
          <w:color w:val="231F20"/>
          <w:w w:val="105"/>
          <w:sz w:val="21"/>
        </w:rPr>
        <w:t>La inversión privada depende de la creación de nuevos mercados,</w:t>
      </w:r>
      <w:r>
        <w:rPr>
          <w:color w:val="231F20"/>
          <w:spacing w:val="-24"/>
          <w:w w:val="105"/>
          <w:sz w:val="21"/>
        </w:rPr>
        <w:t> </w:t>
      </w:r>
      <w:r>
        <w:rPr>
          <w:color w:val="231F20"/>
          <w:w w:val="105"/>
          <w:sz w:val="21"/>
        </w:rPr>
        <w:t>nuevos</w:t>
      </w:r>
      <w:r>
        <w:rPr>
          <w:color w:val="231F20"/>
          <w:spacing w:val="-20"/>
          <w:w w:val="105"/>
          <w:sz w:val="21"/>
        </w:rPr>
        <w:t> </w:t>
      </w:r>
      <w:r>
        <w:rPr>
          <w:color w:val="231F20"/>
          <w:w w:val="105"/>
          <w:sz w:val="21"/>
        </w:rPr>
        <w:t>adelantos</w:t>
      </w:r>
      <w:r>
        <w:rPr>
          <w:color w:val="231F20"/>
          <w:spacing w:val="-20"/>
          <w:w w:val="105"/>
          <w:sz w:val="21"/>
        </w:rPr>
        <w:t> </w:t>
      </w:r>
      <w:r>
        <w:rPr>
          <w:color w:val="231F20"/>
          <w:w w:val="105"/>
          <w:sz w:val="21"/>
        </w:rPr>
        <w:t>técnicos</w:t>
      </w:r>
      <w:r>
        <w:rPr>
          <w:color w:val="231F20"/>
          <w:spacing w:val="-20"/>
          <w:w w:val="105"/>
          <w:sz w:val="21"/>
        </w:rPr>
        <w:t> </w:t>
      </w:r>
      <w:r>
        <w:rPr>
          <w:color w:val="231F20"/>
          <w:w w:val="105"/>
          <w:sz w:val="21"/>
        </w:rPr>
        <w:t>y</w:t>
      </w:r>
      <w:r>
        <w:rPr>
          <w:color w:val="231F20"/>
          <w:spacing w:val="-20"/>
          <w:w w:val="105"/>
          <w:sz w:val="21"/>
        </w:rPr>
        <w:t> </w:t>
      </w:r>
      <w:r>
        <w:rPr>
          <w:color w:val="231F20"/>
          <w:w w:val="105"/>
          <w:sz w:val="21"/>
        </w:rPr>
        <w:t>otros</w:t>
      </w:r>
      <w:r>
        <w:rPr>
          <w:color w:val="231F20"/>
          <w:spacing w:val="-20"/>
          <w:w w:val="105"/>
          <w:sz w:val="21"/>
        </w:rPr>
        <w:t> </w:t>
      </w:r>
      <w:r>
        <w:rPr>
          <w:color w:val="231F20"/>
          <w:w w:val="105"/>
          <w:sz w:val="21"/>
        </w:rPr>
        <w:t>factores</w:t>
      </w:r>
      <w:r>
        <w:rPr>
          <w:color w:val="231F20"/>
          <w:spacing w:val="-20"/>
          <w:w w:val="105"/>
          <w:sz w:val="21"/>
        </w:rPr>
        <w:t> </w:t>
      </w:r>
      <w:r>
        <w:rPr>
          <w:color w:val="231F20"/>
          <w:w w:val="105"/>
          <w:sz w:val="21"/>
        </w:rPr>
        <w:t>inde- pendientes del interés o del</w:t>
      </w:r>
      <w:r>
        <w:rPr>
          <w:color w:val="231F20"/>
          <w:spacing w:val="-34"/>
          <w:w w:val="105"/>
          <w:sz w:val="21"/>
        </w:rPr>
        <w:t> </w:t>
      </w:r>
      <w:r>
        <w:rPr>
          <w:color w:val="231F20"/>
          <w:w w:val="105"/>
          <w:sz w:val="21"/>
        </w:rPr>
        <w:t>ahorro.</w:t>
      </w:r>
    </w:p>
    <w:p>
      <w:pPr>
        <w:pStyle w:val="ListParagraph"/>
        <w:numPr>
          <w:ilvl w:val="1"/>
          <w:numId w:val="64"/>
        </w:numPr>
        <w:tabs>
          <w:tab w:pos="1329" w:val="left" w:leader="none"/>
        </w:tabs>
        <w:spacing w:line="259" w:lineRule="auto" w:before="170" w:after="0"/>
        <w:ind w:left="1328" w:right="115" w:hanging="360"/>
        <w:jc w:val="both"/>
        <w:rPr>
          <w:sz w:val="21"/>
        </w:rPr>
      </w:pPr>
      <w:r>
        <w:rPr>
          <w:color w:val="231F20"/>
          <w:w w:val="105"/>
          <w:sz w:val="21"/>
        </w:rPr>
        <w:t>No</w:t>
      </w:r>
      <w:r>
        <w:rPr>
          <w:color w:val="231F20"/>
          <w:spacing w:val="-19"/>
          <w:w w:val="105"/>
          <w:sz w:val="21"/>
        </w:rPr>
        <w:t> </w:t>
      </w:r>
      <w:r>
        <w:rPr>
          <w:color w:val="231F20"/>
          <w:w w:val="105"/>
          <w:sz w:val="21"/>
        </w:rPr>
        <w:t>existen</w:t>
      </w:r>
      <w:r>
        <w:rPr>
          <w:color w:val="231F20"/>
          <w:spacing w:val="-19"/>
          <w:w w:val="105"/>
          <w:sz w:val="21"/>
        </w:rPr>
        <w:t> </w:t>
      </w:r>
      <w:r>
        <w:rPr>
          <w:color w:val="231F20"/>
          <w:w w:val="105"/>
          <w:sz w:val="21"/>
        </w:rPr>
        <w:t>mecanismos</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ajustes</w:t>
      </w:r>
      <w:r>
        <w:rPr>
          <w:color w:val="231F20"/>
          <w:spacing w:val="-19"/>
          <w:w w:val="105"/>
          <w:sz w:val="21"/>
        </w:rPr>
        <w:t> </w:t>
      </w:r>
      <w:r>
        <w:rPr>
          <w:color w:val="231F20"/>
          <w:w w:val="105"/>
          <w:sz w:val="21"/>
        </w:rPr>
        <w:t>automáticos</w:t>
      </w:r>
      <w:r>
        <w:rPr>
          <w:color w:val="231F20"/>
          <w:spacing w:val="-19"/>
          <w:w w:val="105"/>
          <w:sz w:val="21"/>
        </w:rPr>
        <w:t> </w:t>
      </w:r>
      <w:r>
        <w:rPr>
          <w:color w:val="231F20"/>
          <w:w w:val="105"/>
          <w:sz w:val="21"/>
        </w:rPr>
        <w:t>en</w:t>
      </w:r>
      <w:r>
        <w:rPr>
          <w:color w:val="231F20"/>
          <w:spacing w:val="-19"/>
          <w:w w:val="105"/>
          <w:sz w:val="21"/>
        </w:rPr>
        <w:t> </w:t>
      </w:r>
      <w:r>
        <w:rPr>
          <w:color w:val="231F20"/>
          <w:w w:val="105"/>
          <w:sz w:val="21"/>
        </w:rPr>
        <w:t>los</w:t>
      </w:r>
      <w:r>
        <w:rPr>
          <w:color w:val="231F20"/>
          <w:spacing w:val="-19"/>
          <w:w w:val="105"/>
          <w:sz w:val="21"/>
        </w:rPr>
        <w:t> </w:t>
      </w:r>
      <w:r>
        <w:rPr>
          <w:color w:val="231F20"/>
          <w:w w:val="105"/>
          <w:sz w:val="21"/>
        </w:rPr>
        <w:t>mer- cados.</w:t>
      </w:r>
    </w:p>
    <w:p>
      <w:pPr>
        <w:pStyle w:val="ListParagraph"/>
        <w:numPr>
          <w:ilvl w:val="1"/>
          <w:numId w:val="64"/>
        </w:numPr>
        <w:tabs>
          <w:tab w:pos="1329" w:val="left" w:leader="none"/>
        </w:tabs>
        <w:spacing w:line="259" w:lineRule="auto" w:before="170" w:after="0"/>
        <w:ind w:left="1328" w:right="115" w:hanging="360"/>
        <w:jc w:val="both"/>
        <w:rPr>
          <w:sz w:val="21"/>
        </w:rPr>
      </w:pPr>
      <w:r>
        <w:rPr>
          <w:color w:val="231F20"/>
          <w:w w:val="105"/>
          <w:sz w:val="21"/>
        </w:rPr>
        <w:t>El Estado debe aplicar políticas discrecionales en el corto plazo</w:t>
      </w:r>
      <w:r>
        <w:rPr>
          <w:color w:val="231F20"/>
          <w:spacing w:val="-13"/>
          <w:w w:val="105"/>
          <w:sz w:val="21"/>
        </w:rPr>
        <w:t> </w:t>
      </w:r>
      <w:r>
        <w:rPr>
          <w:color w:val="231F20"/>
          <w:w w:val="105"/>
          <w:sz w:val="21"/>
        </w:rPr>
        <w:t>de</w:t>
      </w:r>
      <w:r>
        <w:rPr>
          <w:color w:val="231F20"/>
          <w:spacing w:val="-13"/>
          <w:w w:val="105"/>
          <w:sz w:val="21"/>
        </w:rPr>
        <w:t> </w:t>
      </w:r>
      <w:r>
        <w:rPr>
          <w:color w:val="231F20"/>
          <w:w w:val="105"/>
          <w:sz w:val="21"/>
        </w:rPr>
        <w:t>tipo</w:t>
      </w:r>
      <w:r>
        <w:rPr>
          <w:color w:val="231F20"/>
          <w:spacing w:val="-13"/>
          <w:w w:val="105"/>
          <w:sz w:val="21"/>
        </w:rPr>
        <w:t> </w:t>
      </w:r>
      <w:r>
        <w:rPr>
          <w:color w:val="231F20"/>
          <w:w w:val="105"/>
          <w:sz w:val="21"/>
        </w:rPr>
        <w:t>fiscal</w:t>
      </w:r>
      <w:r>
        <w:rPr>
          <w:color w:val="231F20"/>
          <w:spacing w:val="-13"/>
          <w:w w:val="105"/>
          <w:sz w:val="21"/>
        </w:rPr>
        <w:t> </w:t>
      </w:r>
      <w:r>
        <w:rPr>
          <w:color w:val="231F20"/>
          <w:w w:val="105"/>
          <w:sz w:val="21"/>
        </w:rPr>
        <w:t>y</w:t>
      </w:r>
      <w:r>
        <w:rPr>
          <w:color w:val="231F20"/>
          <w:spacing w:val="-13"/>
          <w:w w:val="105"/>
          <w:sz w:val="21"/>
        </w:rPr>
        <w:t> </w:t>
      </w:r>
      <w:r>
        <w:rPr>
          <w:color w:val="231F20"/>
          <w:w w:val="105"/>
          <w:sz w:val="21"/>
        </w:rPr>
        <w:t>monetaria.</w:t>
      </w:r>
    </w:p>
    <w:p>
      <w:pPr>
        <w:pStyle w:val="BodyText"/>
        <w:rPr>
          <w:sz w:val="20"/>
        </w:rPr>
      </w:pPr>
    </w:p>
    <w:p>
      <w:pPr>
        <w:pStyle w:val="BodyText"/>
        <w:rPr>
          <w:sz w:val="20"/>
        </w:rPr>
      </w:pPr>
    </w:p>
    <w:p>
      <w:pPr>
        <w:pStyle w:val="Heading2"/>
        <w:spacing w:before="154"/>
      </w:pPr>
      <w:r>
        <w:rPr>
          <w:color w:val="231F20"/>
          <w:w w:val="95"/>
        </w:rPr>
        <w:t>La corriente postkeynesiana</w:t>
      </w:r>
    </w:p>
    <w:p>
      <w:pPr>
        <w:pStyle w:val="BodyText"/>
        <w:rPr>
          <w:b/>
          <w:sz w:val="22"/>
        </w:rPr>
      </w:pPr>
    </w:p>
    <w:p>
      <w:pPr>
        <w:pStyle w:val="BodyText"/>
        <w:spacing w:line="259" w:lineRule="auto" w:before="160"/>
        <w:ind w:left="117" w:right="115"/>
        <w:jc w:val="both"/>
      </w:pPr>
      <w:r>
        <w:rPr>
          <w:color w:val="231F20"/>
          <w:w w:val="105"/>
        </w:rPr>
        <w:t>El</w:t>
      </w:r>
      <w:r>
        <w:rPr>
          <w:color w:val="231F20"/>
          <w:spacing w:val="-31"/>
          <w:w w:val="105"/>
        </w:rPr>
        <w:t> </w:t>
      </w:r>
      <w:r>
        <w:rPr>
          <w:color w:val="231F20"/>
          <w:w w:val="105"/>
        </w:rPr>
        <w:t>postkeynesianismo</w:t>
      </w:r>
      <w:r>
        <w:rPr>
          <w:color w:val="231F20"/>
          <w:spacing w:val="-31"/>
          <w:w w:val="105"/>
        </w:rPr>
        <w:t> </w:t>
      </w:r>
      <w:r>
        <w:rPr>
          <w:color w:val="231F20"/>
          <w:w w:val="105"/>
        </w:rPr>
        <w:t>surge</w:t>
      </w:r>
      <w:r>
        <w:rPr>
          <w:color w:val="231F20"/>
          <w:spacing w:val="-31"/>
          <w:w w:val="105"/>
        </w:rPr>
        <w:t> </w:t>
      </w:r>
      <w:r>
        <w:rPr>
          <w:color w:val="231F20"/>
          <w:w w:val="105"/>
        </w:rPr>
        <w:t>como</w:t>
      </w:r>
      <w:r>
        <w:rPr>
          <w:color w:val="231F20"/>
          <w:spacing w:val="-31"/>
          <w:w w:val="105"/>
        </w:rPr>
        <w:t> </w:t>
      </w:r>
      <w:r>
        <w:rPr>
          <w:color w:val="231F20"/>
          <w:w w:val="105"/>
        </w:rPr>
        <w:t>contraposición</w:t>
      </w:r>
      <w:r>
        <w:rPr>
          <w:color w:val="231F20"/>
          <w:spacing w:val="-31"/>
          <w:w w:val="105"/>
        </w:rPr>
        <w:t> </w:t>
      </w:r>
      <w:r>
        <w:rPr>
          <w:color w:val="231F20"/>
          <w:w w:val="105"/>
        </w:rPr>
        <w:t>a</w:t>
      </w:r>
      <w:r>
        <w:rPr>
          <w:color w:val="231F20"/>
          <w:spacing w:val="-31"/>
          <w:w w:val="105"/>
        </w:rPr>
        <w:t> </w:t>
      </w:r>
      <w:r>
        <w:rPr>
          <w:color w:val="231F20"/>
          <w:w w:val="105"/>
        </w:rPr>
        <w:t>la</w:t>
      </w:r>
      <w:r>
        <w:rPr>
          <w:color w:val="231F20"/>
          <w:spacing w:val="-31"/>
          <w:w w:val="105"/>
        </w:rPr>
        <w:t> </w:t>
      </w:r>
      <w:r>
        <w:rPr>
          <w:color w:val="231F20"/>
          <w:w w:val="105"/>
        </w:rPr>
        <w:t>teoría</w:t>
      </w:r>
      <w:r>
        <w:rPr>
          <w:color w:val="231F20"/>
          <w:spacing w:val="-31"/>
          <w:w w:val="105"/>
        </w:rPr>
        <w:t> </w:t>
      </w:r>
      <w:r>
        <w:rPr>
          <w:color w:val="231F20"/>
          <w:w w:val="105"/>
        </w:rPr>
        <w:t>marginalista y</w:t>
      </w:r>
      <w:r>
        <w:rPr>
          <w:color w:val="231F20"/>
          <w:spacing w:val="-6"/>
          <w:w w:val="105"/>
        </w:rPr>
        <w:t> </w:t>
      </w:r>
      <w:r>
        <w:rPr>
          <w:color w:val="231F20"/>
          <w:w w:val="105"/>
        </w:rPr>
        <w:t>pretende</w:t>
      </w:r>
      <w:r>
        <w:rPr>
          <w:color w:val="231F20"/>
          <w:spacing w:val="-6"/>
          <w:w w:val="105"/>
        </w:rPr>
        <w:t> </w:t>
      </w:r>
      <w:r>
        <w:rPr>
          <w:color w:val="231F20"/>
          <w:w w:val="105"/>
        </w:rPr>
        <w:t>ser</w:t>
      </w:r>
      <w:r>
        <w:rPr>
          <w:color w:val="231F20"/>
          <w:spacing w:val="-6"/>
          <w:w w:val="105"/>
        </w:rPr>
        <w:t> </w:t>
      </w:r>
      <w:r>
        <w:rPr>
          <w:color w:val="231F20"/>
          <w:w w:val="105"/>
        </w:rPr>
        <w:t>la</w:t>
      </w:r>
      <w:r>
        <w:rPr>
          <w:color w:val="231F20"/>
          <w:spacing w:val="-6"/>
          <w:w w:val="105"/>
        </w:rPr>
        <w:t> </w:t>
      </w:r>
      <w:r>
        <w:rPr>
          <w:color w:val="231F20"/>
          <w:w w:val="105"/>
        </w:rPr>
        <w:t>continuación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teoría</w:t>
      </w:r>
      <w:r>
        <w:rPr>
          <w:color w:val="231F20"/>
          <w:spacing w:val="-6"/>
          <w:w w:val="105"/>
        </w:rPr>
        <w:t> </w:t>
      </w:r>
      <w:r>
        <w:rPr>
          <w:color w:val="231F20"/>
          <w:w w:val="105"/>
        </w:rPr>
        <w:t>keynesiana;</w:t>
      </w:r>
      <w:r>
        <w:rPr>
          <w:color w:val="231F20"/>
          <w:spacing w:val="-6"/>
          <w:w w:val="105"/>
        </w:rPr>
        <w:t> </w:t>
      </w:r>
      <w:r>
        <w:rPr>
          <w:color w:val="231F20"/>
          <w:w w:val="105"/>
        </w:rPr>
        <w:t>su</w:t>
      </w:r>
      <w:r>
        <w:rPr>
          <w:color w:val="231F20"/>
          <w:spacing w:val="-6"/>
          <w:w w:val="105"/>
        </w:rPr>
        <w:t> </w:t>
      </w:r>
      <w:r>
        <w:rPr>
          <w:color w:val="231F20"/>
          <w:w w:val="105"/>
        </w:rPr>
        <w:t>marco</w:t>
      </w:r>
      <w:r>
        <w:rPr>
          <w:color w:val="231F20"/>
          <w:spacing w:val="-6"/>
          <w:w w:val="105"/>
        </w:rPr>
        <w:t> </w:t>
      </w:r>
      <w:r>
        <w:rPr>
          <w:color w:val="231F20"/>
          <w:w w:val="105"/>
        </w:rPr>
        <w:t>meto- dológico</w:t>
      </w:r>
      <w:r>
        <w:rPr>
          <w:color w:val="231F20"/>
          <w:spacing w:val="-18"/>
          <w:w w:val="105"/>
        </w:rPr>
        <w:t> </w:t>
      </w:r>
      <w:r>
        <w:rPr>
          <w:color w:val="231F20"/>
          <w:w w:val="105"/>
        </w:rPr>
        <w:t>se</w:t>
      </w:r>
      <w:r>
        <w:rPr>
          <w:color w:val="231F20"/>
          <w:spacing w:val="-18"/>
          <w:w w:val="105"/>
        </w:rPr>
        <w:t> </w:t>
      </w:r>
      <w:r>
        <w:rPr>
          <w:color w:val="231F20"/>
          <w:w w:val="105"/>
        </w:rPr>
        <w:t>basa</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siguientes</w:t>
      </w:r>
      <w:r>
        <w:rPr>
          <w:color w:val="231F20"/>
          <w:spacing w:val="-18"/>
          <w:w w:val="105"/>
        </w:rPr>
        <w:t> </w:t>
      </w:r>
      <w:r>
        <w:rPr>
          <w:color w:val="231F20"/>
          <w:w w:val="105"/>
        </w:rPr>
        <w:t>argumentos.</w:t>
      </w:r>
    </w:p>
    <w:p>
      <w:pPr>
        <w:pStyle w:val="BodyText"/>
        <w:spacing w:before="6"/>
        <w:rPr>
          <w:sz w:val="22"/>
        </w:rPr>
      </w:pPr>
    </w:p>
    <w:p>
      <w:pPr>
        <w:pStyle w:val="ListParagraph"/>
        <w:numPr>
          <w:ilvl w:val="0"/>
          <w:numId w:val="65"/>
        </w:numPr>
        <w:tabs>
          <w:tab w:pos="1329" w:val="left" w:leader="none"/>
        </w:tabs>
        <w:spacing w:line="259" w:lineRule="auto" w:before="0" w:after="0"/>
        <w:ind w:left="1328" w:right="108" w:hanging="360"/>
        <w:jc w:val="both"/>
        <w:rPr>
          <w:sz w:val="21"/>
        </w:rPr>
      </w:pPr>
      <w:r>
        <w:rPr>
          <w:color w:val="231F20"/>
          <w:spacing w:val="-4"/>
          <w:w w:val="105"/>
          <w:sz w:val="21"/>
        </w:rPr>
        <w:t>Para </w:t>
      </w:r>
      <w:r>
        <w:rPr>
          <w:color w:val="231F20"/>
          <w:w w:val="105"/>
          <w:sz w:val="21"/>
        </w:rPr>
        <w:t>los postkeynesianos, el objeto de análisis no es el</w:t>
      </w:r>
      <w:r>
        <w:rPr>
          <w:color w:val="231F20"/>
          <w:spacing w:val="-22"/>
          <w:w w:val="105"/>
          <w:sz w:val="21"/>
        </w:rPr>
        <w:t> </w:t>
      </w:r>
      <w:r>
        <w:rPr>
          <w:color w:val="231F20"/>
          <w:w w:val="105"/>
          <w:sz w:val="21"/>
        </w:rPr>
        <w:t>in- dividuo sino el grupo, donde las instituciones, las normas y convenciones sociales juegan un papel fundamental y son factores a los que incluso atribuyen la determinación del</w:t>
      </w:r>
      <w:r>
        <w:rPr>
          <w:color w:val="231F20"/>
          <w:spacing w:val="-13"/>
          <w:w w:val="105"/>
          <w:sz w:val="21"/>
        </w:rPr>
        <w:t> </w:t>
      </w:r>
      <w:r>
        <w:rPr>
          <w:color w:val="231F20"/>
          <w:w w:val="105"/>
          <w:sz w:val="21"/>
        </w:rPr>
        <w:t>salario.</w:t>
      </w:r>
      <w:r>
        <w:rPr>
          <w:color w:val="231F20"/>
          <w:spacing w:val="-18"/>
          <w:w w:val="105"/>
          <w:sz w:val="21"/>
        </w:rPr>
        <w:t> </w:t>
      </w:r>
      <w:r>
        <w:rPr>
          <w:color w:val="231F20"/>
          <w:spacing w:val="-6"/>
          <w:w w:val="105"/>
          <w:sz w:val="21"/>
        </w:rPr>
        <w:t>Por</w:t>
      </w:r>
      <w:r>
        <w:rPr>
          <w:color w:val="231F20"/>
          <w:spacing w:val="-13"/>
          <w:w w:val="105"/>
          <w:sz w:val="21"/>
        </w:rPr>
        <w:t> </w:t>
      </w:r>
      <w:r>
        <w:rPr>
          <w:color w:val="231F20"/>
          <w:w w:val="105"/>
          <w:sz w:val="21"/>
        </w:rPr>
        <w:t>ello,</w:t>
      </w:r>
      <w:r>
        <w:rPr>
          <w:color w:val="231F20"/>
          <w:spacing w:val="-18"/>
          <w:w w:val="105"/>
          <w:sz w:val="21"/>
        </w:rPr>
        <w:t> </w:t>
      </w:r>
      <w:r>
        <w:rPr>
          <w:color w:val="231F20"/>
          <w:w w:val="105"/>
          <w:sz w:val="21"/>
        </w:rPr>
        <w:t>el</w:t>
      </w:r>
      <w:r>
        <w:rPr>
          <w:color w:val="231F20"/>
          <w:spacing w:val="-13"/>
          <w:w w:val="105"/>
          <w:sz w:val="21"/>
        </w:rPr>
        <w:t> </w:t>
      </w:r>
      <w:r>
        <w:rPr>
          <w:color w:val="231F20"/>
          <w:w w:val="105"/>
          <w:sz w:val="21"/>
        </w:rPr>
        <w:t>salario</w:t>
      </w:r>
      <w:r>
        <w:rPr>
          <w:color w:val="231F20"/>
          <w:spacing w:val="-13"/>
          <w:w w:val="105"/>
          <w:sz w:val="21"/>
        </w:rPr>
        <w:t> </w:t>
      </w:r>
      <w:r>
        <w:rPr>
          <w:color w:val="231F20"/>
          <w:w w:val="105"/>
          <w:sz w:val="21"/>
        </w:rPr>
        <w:t>real</w:t>
      </w:r>
      <w:r>
        <w:rPr>
          <w:color w:val="231F20"/>
          <w:spacing w:val="-13"/>
          <w:w w:val="105"/>
          <w:sz w:val="21"/>
        </w:rPr>
        <w:t> </w:t>
      </w:r>
      <w:r>
        <w:rPr>
          <w:color w:val="231F20"/>
          <w:w w:val="105"/>
          <w:sz w:val="21"/>
        </w:rPr>
        <w:t>no</w:t>
      </w:r>
      <w:r>
        <w:rPr>
          <w:color w:val="231F20"/>
          <w:spacing w:val="-13"/>
          <w:w w:val="105"/>
          <w:sz w:val="21"/>
        </w:rPr>
        <w:t> </w:t>
      </w:r>
      <w:r>
        <w:rPr>
          <w:color w:val="231F20"/>
          <w:w w:val="105"/>
          <w:sz w:val="21"/>
        </w:rPr>
        <w:t>puede</w:t>
      </w:r>
      <w:r>
        <w:rPr>
          <w:color w:val="231F20"/>
          <w:spacing w:val="-13"/>
          <w:w w:val="105"/>
          <w:sz w:val="21"/>
        </w:rPr>
        <w:t> </w:t>
      </w:r>
      <w:r>
        <w:rPr>
          <w:color w:val="231F20"/>
          <w:w w:val="105"/>
          <w:sz w:val="21"/>
        </w:rPr>
        <w:t>utilizarse</w:t>
      </w:r>
      <w:r>
        <w:rPr>
          <w:color w:val="231F20"/>
          <w:spacing w:val="-13"/>
          <w:w w:val="105"/>
          <w:sz w:val="21"/>
        </w:rPr>
        <w:t> </w:t>
      </w:r>
      <w:r>
        <w:rPr>
          <w:color w:val="231F20"/>
          <w:w w:val="105"/>
          <w:sz w:val="21"/>
        </w:rPr>
        <w:t>como variable</w:t>
      </w:r>
      <w:r>
        <w:rPr>
          <w:color w:val="231F20"/>
          <w:spacing w:val="-14"/>
          <w:w w:val="105"/>
          <w:sz w:val="21"/>
        </w:rPr>
        <w:t> </w:t>
      </w:r>
      <w:r>
        <w:rPr>
          <w:color w:val="231F20"/>
          <w:w w:val="105"/>
          <w:sz w:val="21"/>
        </w:rPr>
        <w:t>de</w:t>
      </w:r>
      <w:r>
        <w:rPr>
          <w:color w:val="231F20"/>
          <w:spacing w:val="-14"/>
          <w:w w:val="105"/>
          <w:sz w:val="21"/>
        </w:rPr>
        <w:t> </w:t>
      </w:r>
      <w:r>
        <w:rPr>
          <w:color w:val="231F20"/>
          <w:w w:val="105"/>
          <w:sz w:val="21"/>
        </w:rPr>
        <w:t>control</w:t>
      </w:r>
      <w:r>
        <w:rPr>
          <w:color w:val="231F20"/>
          <w:spacing w:val="-14"/>
          <w:w w:val="105"/>
          <w:sz w:val="21"/>
        </w:rPr>
        <w:t> </w:t>
      </w:r>
      <w:r>
        <w:rPr>
          <w:color w:val="231F20"/>
          <w:w w:val="105"/>
          <w:sz w:val="21"/>
        </w:rPr>
        <w:t>para</w:t>
      </w:r>
      <w:r>
        <w:rPr>
          <w:color w:val="231F20"/>
          <w:spacing w:val="-14"/>
          <w:w w:val="105"/>
          <w:sz w:val="21"/>
        </w:rPr>
        <w:t> </w:t>
      </w:r>
      <w:r>
        <w:rPr>
          <w:color w:val="231F20"/>
          <w:w w:val="105"/>
          <w:sz w:val="21"/>
        </w:rPr>
        <w:t>un</w:t>
      </w:r>
      <w:r>
        <w:rPr>
          <w:color w:val="231F20"/>
          <w:spacing w:val="-14"/>
          <w:w w:val="105"/>
          <w:sz w:val="21"/>
        </w:rPr>
        <w:t> </w:t>
      </w:r>
      <w:r>
        <w:rPr>
          <w:color w:val="231F20"/>
          <w:w w:val="105"/>
          <w:sz w:val="21"/>
        </w:rPr>
        <w:t>ajuste</w:t>
      </w:r>
      <w:r>
        <w:rPr>
          <w:color w:val="231F20"/>
          <w:spacing w:val="-14"/>
          <w:w w:val="105"/>
          <w:sz w:val="21"/>
        </w:rPr>
        <w:t> </w:t>
      </w:r>
      <w:r>
        <w:rPr>
          <w:color w:val="231F20"/>
          <w:w w:val="105"/>
          <w:sz w:val="21"/>
        </w:rPr>
        <w:t>que</w:t>
      </w:r>
      <w:r>
        <w:rPr>
          <w:color w:val="231F20"/>
          <w:spacing w:val="-14"/>
          <w:w w:val="105"/>
          <w:sz w:val="21"/>
        </w:rPr>
        <w:t> </w:t>
      </w:r>
      <w:r>
        <w:rPr>
          <w:color w:val="231F20"/>
          <w:w w:val="105"/>
          <w:sz w:val="21"/>
        </w:rPr>
        <w:t>equilibre</w:t>
      </w:r>
      <w:r>
        <w:rPr>
          <w:color w:val="231F20"/>
          <w:spacing w:val="-14"/>
          <w:w w:val="105"/>
          <w:sz w:val="21"/>
        </w:rPr>
        <w:t> </w:t>
      </w:r>
      <w:r>
        <w:rPr>
          <w:color w:val="231F20"/>
          <w:w w:val="105"/>
          <w:sz w:val="21"/>
        </w:rPr>
        <w:t>el</w:t>
      </w:r>
      <w:r>
        <w:rPr>
          <w:color w:val="231F20"/>
          <w:spacing w:val="-14"/>
          <w:w w:val="105"/>
          <w:sz w:val="21"/>
        </w:rPr>
        <w:t> </w:t>
      </w:r>
      <w:r>
        <w:rPr>
          <w:color w:val="231F20"/>
          <w:w w:val="105"/>
          <w:sz w:val="21"/>
        </w:rPr>
        <w:t>mercado, pues</w:t>
      </w:r>
      <w:r>
        <w:rPr>
          <w:color w:val="231F20"/>
          <w:spacing w:val="-16"/>
          <w:w w:val="105"/>
          <w:sz w:val="21"/>
        </w:rPr>
        <w:t> </w:t>
      </w:r>
      <w:r>
        <w:rPr>
          <w:color w:val="231F20"/>
          <w:w w:val="105"/>
          <w:sz w:val="21"/>
        </w:rPr>
        <w:t>consideran</w:t>
      </w:r>
      <w:r>
        <w:rPr>
          <w:color w:val="231F20"/>
          <w:spacing w:val="-16"/>
          <w:w w:val="105"/>
          <w:sz w:val="21"/>
        </w:rPr>
        <w:t> </w:t>
      </w:r>
      <w:r>
        <w:rPr>
          <w:color w:val="231F20"/>
          <w:w w:val="105"/>
          <w:sz w:val="21"/>
        </w:rPr>
        <w:t>que</w:t>
      </w:r>
      <w:r>
        <w:rPr>
          <w:color w:val="231F20"/>
          <w:spacing w:val="-16"/>
          <w:w w:val="105"/>
          <w:sz w:val="21"/>
        </w:rPr>
        <w:t> </w:t>
      </w:r>
      <w:r>
        <w:rPr>
          <w:color w:val="231F20"/>
          <w:w w:val="105"/>
          <w:sz w:val="21"/>
        </w:rPr>
        <w:t>no</w:t>
      </w:r>
      <w:r>
        <w:rPr>
          <w:color w:val="231F20"/>
          <w:spacing w:val="-16"/>
          <w:w w:val="105"/>
          <w:sz w:val="21"/>
        </w:rPr>
        <w:t> </w:t>
      </w:r>
      <w:r>
        <w:rPr>
          <w:color w:val="231F20"/>
          <w:w w:val="105"/>
          <w:sz w:val="21"/>
        </w:rPr>
        <w:t>existe</w:t>
      </w:r>
      <w:r>
        <w:rPr>
          <w:color w:val="231F20"/>
          <w:spacing w:val="-16"/>
          <w:w w:val="105"/>
          <w:sz w:val="21"/>
        </w:rPr>
        <w:t> </w:t>
      </w:r>
      <w:r>
        <w:rPr>
          <w:color w:val="231F20"/>
          <w:w w:val="105"/>
          <w:sz w:val="21"/>
        </w:rPr>
        <w:t>un</w:t>
      </w:r>
      <w:r>
        <w:rPr>
          <w:color w:val="231F20"/>
          <w:spacing w:val="-16"/>
          <w:w w:val="105"/>
          <w:sz w:val="21"/>
        </w:rPr>
        <w:t> </w:t>
      </w:r>
      <w:r>
        <w:rPr>
          <w:color w:val="231F20"/>
          <w:w w:val="105"/>
          <w:sz w:val="21"/>
        </w:rPr>
        <w:t>precio</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referencia</w:t>
      </w:r>
      <w:r>
        <w:rPr>
          <w:color w:val="231F20"/>
          <w:spacing w:val="-16"/>
          <w:w w:val="105"/>
          <w:sz w:val="21"/>
        </w:rPr>
        <w:t> </w:t>
      </w:r>
      <w:r>
        <w:rPr>
          <w:color w:val="231F20"/>
          <w:w w:val="105"/>
          <w:sz w:val="21"/>
        </w:rPr>
        <w:t>para el servicio que se transe entre trabajadores y empresarios (Caraballo</w:t>
      </w:r>
      <w:r>
        <w:rPr>
          <w:color w:val="231F20"/>
          <w:spacing w:val="-34"/>
          <w:w w:val="105"/>
          <w:sz w:val="21"/>
        </w:rPr>
        <w:t> </w:t>
      </w:r>
      <w:r>
        <w:rPr>
          <w:i/>
          <w:color w:val="231F20"/>
          <w:w w:val="105"/>
          <w:sz w:val="21"/>
        </w:rPr>
        <w:t>et</w:t>
      </w:r>
      <w:r>
        <w:rPr>
          <w:i/>
          <w:color w:val="231F20"/>
          <w:spacing w:val="-34"/>
          <w:w w:val="105"/>
          <w:sz w:val="21"/>
        </w:rPr>
        <w:t> </w:t>
      </w:r>
      <w:r>
        <w:rPr>
          <w:i/>
          <w:color w:val="231F20"/>
          <w:w w:val="105"/>
          <w:sz w:val="21"/>
        </w:rPr>
        <w:t>al</w:t>
      </w:r>
      <w:r>
        <w:rPr>
          <w:color w:val="231F20"/>
          <w:w w:val="105"/>
          <w:sz w:val="21"/>
        </w:rPr>
        <w:t>.,</w:t>
      </w:r>
      <w:r>
        <w:rPr>
          <w:color w:val="231F20"/>
          <w:spacing w:val="-38"/>
          <w:w w:val="105"/>
          <w:sz w:val="21"/>
        </w:rPr>
        <w:t> </w:t>
      </w:r>
      <w:r>
        <w:rPr>
          <w:color w:val="231F20"/>
          <w:w w:val="105"/>
          <w:sz w:val="21"/>
        </w:rPr>
        <w:t>2000).</w:t>
      </w:r>
    </w:p>
    <w:p>
      <w:pPr>
        <w:pStyle w:val="ListParagraph"/>
        <w:numPr>
          <w:ilvl w:val="0"/>
          <w:numId w:val="65"/>
        </w:numPr>
        <w:tabs>
          <w:tab w:pos="1329" w:val="left" w:leader="none"/>
        </w:tabs>
        <w:spacing w:line="259" w:lineRule="auto" w:before="170" w:after="0"/>
        <w:ind w:left="1328" w:right="114" w:hanging="360"/>
        <w:jc w:val="both"/>
        <w:rPr>
          <w:sz w:val="21"/>
        </w:rPr>
      </w:pPr>
      <w:r>
        <w:rPr>
          <w:color w:val="231F20"/>
          <w:w w:val="105"/>
          <w:sz w:val="21"/>
        </w:rPr>
        <w:t>Los</w:t>
      </w:r>
      <w:r>
        <w:rPr>
          <w:color w:val="231F20"/>
          <w:spacing w:val="-15"/>
          <w:w w:val="105"/>
          <w:sz w:val="21"/>
        </w:rPr>
        <w:t> </w:t>
      </w:r>
      <w:r>
        <w:rPr>
          <w:color w:val="231F20"/>
          <w:w w:val="105"/>
          <w:sz w:val="21"/>
        </w:rPr>
        <w:t>individuos</w:t>
      </w:r>
      <w:r>
        <w:rPr>
          <w:color w:val="231F20"/>
          <w:spacing w:val="-15"/>
          <w:w w:val="105"/>
          <w:sz w:val="21"/>
        </w:rPr>
        <w:t> </w:t>
      </w:r>
      <w:r>
        <w:rPr>
          <w:color w:val="231F20"/>
          <w:w w:val="105"/>
          <w:sz w:val="21"/>
        </w:rPr>
        <w:t>no</w:t>
      </w:r>
      <w:r>
        <w:rPr>
          <w:color w:val="231F20"/>
          <w:spacing w:val="-15"/>
          <w:w w:val="105"/>
          <w:sz w:val="21"/>
        </w:rPr>
        <w:t> </w:t>
      </w:r>
      <w:r>
        <w:rPr>
          <w:color w:val="231F20"/>
          <w:w w:val="105"/>
          <w:sz w:val="21"/>
        </w:rPr>
        <w:t>tienen</w:t>
      </w:r>
      <w:r>
        <w:rPr>
          <w:color w:val="231F20"/>
          <w:spacing w:val="-15"/>
          <w:w w:val="105"/>
          <w:sz w:val="21"/>
        </w:rPr>
        <w:t> </w:t>
      </w:r>
      <w:r>
        <w:rPr>
          <w:color w:val="231F20"/>
          <w:w w:val="105"/>
          <w:sz w:val="21"/>
        </w:rPr>
        <w:t>por</w:t>
      </w:r>
      <w:r>
        <w:rPr>
          <w:color w:val="231F20"/>
          <w:spacing w:val="-15"/>
          <w:w w:val="105"/>
          <w:sz w:val="21"/>
        </w:rPr>
        <w:t> </w:t>
      </w:r>
      <w:r>
        <w:rPr>
          <w:color w:val="231F20"/>
          <w:w w:val="105"/>
          <w:sz w:val="21"/>
        </w:rPr>
        <w:t>qué</w:t>
      </w:r>
      <w:r>
        <w:rPr>
          <w:color w:val="231F20"/>
          <w:spacing w:val="-15"/>
          <w:w w:val="105"/>
          <w:sz w:val="21"/>
        </w:rPr>
        <w:t> </w:t>
      </w:r>
      <w:r>
        <w:rPr>
          <w:color w:val="231F20"/>
          <w:w w:val="105"/>
          <w:sz w:val="21"/>
        </w:rPr>
        <w:t>seguir</w:t>
      </w:r>
      <w:r>
        <w:rPr>
          <w:color w:val="231F20"/>
          <w:spacing w:val="-15"/>
          <w:w w:val="105"/>
          <w:sz w:val="21"/>
        </w:rPr>
        <w:t> </w:t>
      </w:r>
      <w:r>
        <w:rPr>
          <w:color w:val="231F20"/>
          <w:w w:val="105"/>
          <w:sz w:val="21"/>
        </w:rPr>
        <w:t>un</w:t>
      </w:r>
      <w:r>
        <w:rPr>
          <w:color w:val="231F20"/>
          <w:spacing w:val="-15"/>
          <w:w w:val="105"/>
          <w:sz w:val="21"/>
        </w:rPr>
        <w:t> </w:t>
      </w:r>
      <w:r>
        <w:rPr>
          <w:color w:val="231F20"/>
          <w:w w:val="105"/>
          <w:sz w:val="21"/>
        </w:rPr>
        <w:t>comportamiento optimizador, sino que se mueven más bien dentro de una ‘racionalidad </w:t>
      </w:r>
      <w:r>
        <w:rPr>
          <w:color w:val="231F20"/>
          <w:spacing w:val="-3"/>
          <w:w w:val="105"/>
          <w:sz w:val="21"/>
        </w:rPr>
        <w:t>limitada’, </w:t>
      </w:r>
      <w:r>
        <w:rPr>
          <w:color w:val="231F20"/>
          <w:w w:val="105"/>
          <w:sz w:val="21"/>
        </w:rPr>
        <w:t>guiada por una serie de convencio- nalismos</w:t>
      </w:r>
      <w:r>
        <w:rPr>
          <w:color w:val="231F20"/>
          <w:spacing w:val="-28"/>
          <w:w w:val="105"/>
          <w:sz w:val="21"/>
        </w:rPr>
        <w:t> </w:t>
      </w:r>
      <w:r>
        <w:rPr>
          <w:color w:val="231F20"/>
          <w:w w:val="105"/>
          <w:sz w:val="21"/>
        </w:rPr>
        <w:t>y</w:t>
      </w:r>
      <w:r>
        <w:rPr>
          <w:color w:val="231F20"/>
          <w:spacing w:val="-28"/>
          <w:w w:val="105"/>
          <w:sz w:val="21"/>
        </w:rPr>
        <w:t> </w:t>
      </w:r>
      <w:r>
        <w:rPr>
          <w:color w:val="231F20"/>
          <w:w w:val="105"/>
          <w:sz w:val="21"/>
        </w:rPr>
        <w:t>regularidades</w:t>
      </w:r>
      <w:r>
        <w:rPr>
          <w:color w:val="231F20"/>
          <w:spacing w:val="-28"/>
          <w:w w:val="105"/>
          <w:sz w:val="21"/>
        </w:rPr>
        <w:t> </w:t>
      </w:r>
      <w:r>
        <w:rPr>
          <w:color w:val="231F20"/>
          <w:w w:val="105"/>
          <w:sz w:val="21"/>
        </w:rPr>
        <w:t>empíricas</w:t>
      </w:r>
      <w:r>
        <w:rPr>
          <w:color w:val="231F20"/>
          <w:spacing w:val="-28"/>
          <w:w w:val="105"/>
          <w:sz w:val="21"/>
        </w:rPr>
        <w:t> </w:t>
      </w:r>
      <w:r>
        <w:rPr>
          <w:color w:val="231F20"/>
          <w:w w:val="105"/>
          <w:sz w:val="21"/>
        </w:rPr>
        <w:t>(Akerlof</w:t>
      </w:r>
      <w:r>
        <w:rPr>
          <w:color w:val="231F20"/>
          <w:spacing w:val="-25"/>
          <w:w w:val="105"/>
          <w:sz w:val="21"/>
        </w:rPr>
        <w:t> </w:t>
      </w:r>
      <w:r>
        <w:rPr>
          <w:color w:val="231F20"/>
          <w:w w:val="105"/>
          <w:sz w:val="21"/>
        </w:rPr>
        <w:t>y</w:t>
      </w:r>
      <w:r>
        <w:rPr>
          <w:color w:val="231F20"/>
          <w:spacing w:val="-31"/>
          <w:w w:val="105"/>
          <w:sz w:val="21"/>
        </w:rPr>
        <w:t> </w:t>
      </w:r>
      <w:r>
        <w:rPr>
          <w:color w:val="231F20"/>
          <w:spacing w:val="-3"/>
          <w:w w:val="105"/>
          <w:sz w:val="21"/>
        </w:rPr>
        <w:t>Yellen,</w:t>
      </w:r>
      <w:r>
        <w:rPr>
          <w:color w:val="231F20"/>
          <w:spacing w:val="-32"/>
          <w:w w:val="105"/>
          <w:sz w:val="21"/>
        </w:rPr>
        <w:t> </w:t>
      </w:r>
      <w:r>
        <w:rPr>
          <w:color w:val="231F20"/>
          <w:w w:val="105"/>
          <w:sz w:val="21"/>
        </w:rPr>
        <w:t>1985).</w:t>
      </w:r>
    </w:p>
    <w:p>
      <w:pPr>
        <w:pStyle w:val="ListParagraph"/>
        <w:numPr>
          <w:ilvl w:val="0"/>
          <w:numId w:val="65"/>
        </w:numPr>
        <w:tabs>
          <w:tab w:pos="1329" w:val="left" w:leader="none"/>
        </w:tabs>
        <w:spacing w:line="259" w:lineRule="auto" w:before="170" w:after="0"/>
        <w:ind w:left="1328" w:right="115" w:hanging="360"/>
        <w:jc w:val="both"/>
        <w:rPr>
          <w:sz w:val="21"/>
        </w:rPr>
      </w:pPr>
      <w:r>
        <w:rPr>
          <w:color w:val="231F20"/>
          <w:w w:val="105"/>
          <w:sz w:val="21"/>
        </w:rPr>
        <w:t>En</w:t>
      </w:r>
      <w:r>
        <w:rPr>
          <w:color w:val="231F20"/>
          <w:spacing w:val="-16"/>
          <w:w w:val="105"/>
          <w:sz w:val="21"/>
        </w:rPr>
        <w:t> </w:t>
      </w:r>
      <w:r>
        <w:rPr>
          <w:color w:val="231F20"/>
          <w:w w:val="105"/>
          <w:sz w:val="21"/>
        </w:rPr>
        <w:t>el</w:t>
      </w:r>
      <w:r>
        <w:rPr>
          <w:color w:val="231F20"/>
          <w:spacing w:val="-16"/>
          <w:w w:val="105"/>
          <w:sz w:val="21"/>
        </w:rPr>
        <w:t> </w:t>
      </w:r>
      <w:r>
        <w:rPr>
          <w:color w:val="231F20"/>
          <w:w w:val="105"/>
          <w:sz w:val="21"/>
        </w:rPr>
        <w:t>análisis</w:t>
      </w:r>
      <w:r>
        <w:rPr>
          <w:color w:val="231F20"/>
          <w:spacing w:val="-16"/>
          <w:w w:val="105"/>
          <w:sz w:val="21"/>
        </w:rPr>
        <w:t> </w:t>
      </w:r>
      <w:r>
        <w:rPr>
          <w:color w:val="231F20"/>
          <w:w w:val="105"/>
          <w:sz w:val="21"/>
        </w:rPr>
        <w:t>postkeynesiano</w:t>
      </w:r>
      <w:r>
        <w:rPr>
          <w:color w:val="231F20"/>
          <w:spacing w:val="-16"/>
          <w:w w:val="105"/>
          <w:sz w:val="21"/>
        </w:rPr>
        <w:t> </w:t>
      </w:r>
      <w:r>
        <w:rPr>
          <w:color w:val="231F20"/>
          <w:w w:val="105"/>
          <w:sz w:val="21"/>
        </w:rPr>
        <w:t>juega</w:t>
      </w:r>
      <w:r>
        <w:rPr>
          <w:color w:val="231F20"/>
          <w:spacing w:val="-16"/>
          <w:w w:val="105"/>
          <w:sz w:val="21"/>
        </w:rPr>
        <w:t> </w:t>
      </w:r>
      <w:r>
        <w:rPr>
          <w:color w:val="231F20"/>
          <w:w w:val="105"/>
          <w:sz w:val="21"/>
        </w:rPr>
        <w:t>un</w:t>
      </w:r>
      <w:r>
        <w:rPr>
          <w:color w:val="231F20"/>
          <w:spacing w:val="-16"/>
          <w:w w:val="105"/>
          <w:sz w:val="21"/>
        </w:rPr>
        <w:t> </w:t>
      </w:r>
      <w:r>
        <w:rPr>
          <w:color w:val="231F20"/>
          <w:w w:val="105"/>
          <w:sz w:val="21"/>
        </w:rPr>
        <w:t>papel</w:t>
      </w:r>
      <w:r>
        <w:rPr>
          <w:color w:val="231F20"/>
          <w:spacing w:val="-16"/>
          <w:w w:val="105"/>
          <w:sz w:val="21"/>
        </w:rPr>
        <w:t> </w:t>
      </w:r>
      <w:r>
        <w:rPr>
          <w:color w:val="231F20"/>
          <w:w w:val="105"/>
          <w:sz w:val="21"/>
        </w:rPr>
        <w:t>esencial</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in- certidumbre sobre el futuro, concebida al estilo de los</w:t>
      </w:r>
      <w:r>
        <w:rPr>
          <w:color w:val="231F20"/>
          <w:spacing w:val="39"/>
          <w:w w:val="105"/>
          <w:sz w:val="21"/>
        </w:rPr>
        <w:t> </w:t>
      </w:r>
      <w:r>
        <w:rPr>
          <w:color w:val="231F20"/>
          <w:spacing w:val="-3"/>
          <w:w w:val="105"/>
          <w:sz w:val="21"/>
        </w:rPr>
        <w:t>‘es-</w:t>
      </w:r>
    </w:p>
    <w:p>
      <w:pPr>
        <w:pStyle w:val="BodyText"/>
        <w:rPr>
          <w:sz w:val="20"/>
        </w:rPr>
      </w:pPr>
    </w:p>
    <w:p>
      <w:pPr>
        <w:pStyle w:val="BodyText"/>
        <w:rPr>
          <w:sz w:val="20"/>
        </w:rPr>
      </w:pPr>
    </w:p>
    <w:p>
      <w:pPr>
        <w:pStyle w:val="BodyText"/>
        <w:spacing w:before="9"/>
        <w:rPr>
          <w:sz w:val="19"/>
        </w:rPr>
      </w:pPr>
    </w:p>
    <w:p>
      <w:pPr>
        <w:tabs>
          <w:tab w:pos="1297" w:val="left" w:leader="none"/>
        </w:tabs>
        <w:spacing w:before="1"/>
        <w:ind w:left="192" w:right="0" w:firstLine="0"/>
        <w:jc w:val="left"/>
        <w:rPr>
          <w:rFonts w:ascii="Calibri"/>
          <w:sz w:val="15"/>
        </w:rPr>
      </w:pPr>
      <w:r>
        <w:rPr/>
        <w:pict>
          <v:group style="position:absolute;margin-left:101.817299pt;margin-top:-20.249887pt;width:17.850pt;height:56.5pt;mso-position-horizontal-relative:page;mso-position-vertical-relative:paragraph;z-index:-237592" coordorigin="2036,-405" coordsize="357,1130">
            <v:line style="position:absolute" from="2211,5" to="2211,721" stroked="true" strokeweight=".3pt" strokecolor="#231f20"/>
            <v:shape style="position:absolute;left:2036;top:-231;width:356;height:609" type="#_x0000_t75" stroked="false">
              <v:imagedata r:id="rId18" o:title=""/>
            </v:shape>
            <v:shape style="position:absolute;left:2036;top:-405;width:356;height:783" type="#_x0000_t75" stroked="false">
              <v:imagedata r:id="rId19" o:title=""/>
            </v:shape>
            <w10:wrap type="none"/>
          </v:group>
        </w:pict>
      </w:r>
      <w:r>
        <w:rPr>
          <w:color w:val="414042"/>
          <w:w w:val="105"/>
          <w:position w:val="-5"/>
          <w:sz w:val="20"/>
        </w:rPr>
        <w:t>294</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2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568"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295</w:t>
      </w:r>
    </w:p>
    <w:p>
      <w:pPr>
        <w:pStyle w:val="BodyText"/>
        <w:rPr>
          <w:sz w:val="20"/>
        </w:rPr>
      </w:pPr>
    </w:p>
    <w:p>
      <w:pPr>
        <w:pStyle w:val="BodyText"/>
        <w:rPr>
          <w:sz w:val="20"/>
        </w:rPr>
      </w:pPr>
    </w:p>
    <w:p>
      <w:pPr>
        <w:pStyle w:val="BodyText"/>
        <w:spacing w:line="259" w:lineRule="auto" w:before="134"/>
        <w:ind w:left="1327" w:right="101"/>
        <w:jc w:val="both"/>
      </w:pPr>
      <w:r>
        <w:rPr>
          <w:color w:val="231F20"/>
          <w:w w:val="105"/>
        </w:rPr>
        <w:t>píritus</w:t>
      </w:r>
      <w:r>
        <w:rPr>
          <w:color w:val="231F20"/>
          <w:spacing w:val="-29"/>
          <w:w w:val="105"/>
        </w:rPr>
        <w:t> </w:t>
      </w:r>
      <w:r>
        <w:rPr>
          <w:color w:val="231F20"/>
          <w:w w:val="105"/>
        </w:rPr>
        <w:t>animales’</w:t>
      </w:r>
      <w:r>
        <w:rPr>
          <w:color w:val="231F20"/>
          <w:spacing w:val="-29"/>
          <w:w w:val="105"/>
        </w:rPr>
        <w:t> </w:t>
      </w:r>
      <w:r>
        <w:rPr>
          <w:color w:val="231F20"/>
          <w:w w:val="105"/>
        </w:rPr>
        <w:t>de</w:t>
      </w:r>
      <w:r>
        <w:rPr>
          <w:color w:val="231F20"/>
          <w:spacing w:val="-29"/>
          <w:w w:val="105"/>
        </w:rPr>
        <w:t> </w:t>
      </w:r>
      <w:r>
        <w:rPr>
          <w:color w:val="231F20"/>
          <w:w w:val="105"/>
        </w:rPr>
        <w:t>Keynes</w:t>
      </w:r>
      <w:r>
        <w:rPr>
          <w:color w:val="231F20"/>
          <w:spacing w:val="-29"/>
          <w:w w:val="105"/>
        </w:rPr>
        <w:t> </w:t>
      </w:r>
      <w:r>
        <w:rPr>
          <w:color w:val="231F20"/>
          <w:w w:val="105"/>
        </w:rPr>
        <w:t>(2010).</w:t>
      </w:r>
      <w:r>
        <w:rPr>
          <w:color w:val="231F20"/>
          <w:spacing w:val="-33"/>
          <w:w w:val="105"/>
        </w:rPr>
        <w:t> </w:t>
      </w:r>
      <w:r>
        <w:rPr>
          <w:color w:val="231F20"/>
          <w:w w:val="105"/>
        </w:rPr>
        <w:t>El</w:t>
      </w:r>
      <w:r>
        <w:rPr>
          <w:color w:val="231F20"/>
          <w:spacing w:val="-29"/>
          <w:w w:val="105"/>
        </w:rPr>
        <w:t> </w:t>
      </w:r>
      <w:r>
        <w:rPr>
          <w:color w:val="231F20"/>
          <w:w w:val="105"/>
        </w:rPr>
        <w:t>futuro</w:t>
      </w:r>
      <w:r>
        <w:rPr>
          <w:color w:val="231F20"/>
          <w:spacing w:val="-29"/>
          <w:w w:val="105"/>
        </w:rPr>
        <w:t> </w:t>
      </w:r>
      <w:r>
        <w:rPr>
          <w:color w:val="231F20"/>
          <w:w w:val="105"/>
        </w:rPr>
        <w:t>es</w:t>
      </w:r>
      <w:r>
        <w:rPr>
          <w:color w:val="231F20"/>
          <w:spacing w:val="-29"/>
          <w:w w:val="105"/>
        </w:rPr>
        <w:t> </w:t>
      </w:r>
      <w:r>
        <w:rPr>
          <w:color w:val="231F20"/>
          <w:w w:val="105"/>
        </w:rPr>
        <w:t>desconocido e impredecible, por lo que esa incertidumbre impide la</w:t>
      </w:r>
      <w:r>
        <w:rPr>
          <w:color w:val="231F20"/>
          <w:spacing w:val="-34"/>
          <w:w w:val="105"/>
        </w:rPr>
        <w:t> </w:t>
      </w:r>
      <w:r>
        <w:rPr>
          <w:color w:val="231F20"/>
          <w:w w:val="105"/>
        </w:rPr>
        <w:t>mo- delización del comportamiento</w:t>
      </w:r>
      <w:r>
        <w:rPr>
          <w:color w:val="231F20"/>
          <w:spacing w:val="1"/>
          <w:w w:val="105"/>
        </w:rPr>
        <w:t> </w:t>
      </w:r>
      <w:r>
        <w:rPr>
          <w:color w:val="231F20"/>
          <w:w w:val="105"/>
        </w:rPr>
        <w:t>económico.</w:t>
      </w:r>
    </w:p>
    <w:p>
      <w:pPr>
        <w:pStyle w:val="ListParagraph"/>
        <w:numPr>
          <w:ilvl w:val="0"/>
          <w:numId w:val="65"/>
        </w:numPr>
        <w:tabs>
          <w:tab w:pos="1328" w:val="left" w:leader="none"/>
        </w:tabs>
        <w:spacing w:line="259" w:lineRule="auto" w:before="170" w:after="0"/>
        <w:ind w:left="1327" w:right="101" w:hanging="360"/>
        <w:jc w:val="both"/>
        <w:rPr>
          <w:sz w:val="21"/>
        </w:rPr>
      </w:pPr>
      <w:r>
        <w:rPr>
          <w:color w:val="231F20"/>
          <w:w w:val="105"/>
          <w:sz w:val="21"/>
        </w:rPr>
        <w:t>Se acepta la idea de la endogeneidad de la oferta</w:t>
      </w:r>
      <w:r>
        <w:rPr>
          <w:color w:val="231F20"/>
          <w:spacing w:val="-42"/>
          <w:w w:val="105"/>
          <w:sz w:val="21"/>
        </w:rPr>
        <w:t> </w:t>
      </w:r>
      <w:r>
        <w:rPr>
          <w:color w:val="231F20"/>
          <w:w w:val="105"/>
          <w:sz w:val="21"/>
        </w:rPr>
        <w:t>moneta- ria,</w:t>
      </w:r>
      <w:r>
        <w:rPr>
          <w:color w:val="231F20"/>
          <w:spacing w:val="-30"/>
          <w:w w:val="105"/>
          <w:sz w:val="21"/>
        </w:rPr>
        <w:t> </w:t>
      </w:r>
      <w:r>
        <w:rPr>
          <w:color w:val="231F20"/>
          <w:w w:val="105"/>
          <w:sz w:val="21"/>
        </w:rPr>
        <w:t>contrario</w:t>
      </w:r>
      <w:r>
        <w:rPr>
          <w:color w:val="231F20"/>
          <w:spacing w:val="-26"/>
          <w:w w:val="105"/>
          <w:sz w:val="21"/>
        </w:rPr>
        <w:t> </w:t>
      </w:r>
      <w:r>
        <w:rPr>
          <w:color w:val="231F20"/>
          <w:w w:val="105"/>
          <w:sz w:val="21"/>
        </w:rPr>
        <w:t>al</w:t>
      </w:r>
      <w:r>
        <w:rPr>
          <w:color w:val="231F20"/>
          <w:spacing w:val="-26"/>
          <w:w w:val="105"/>
          <w:sz w:val="21"/>
        </w:rPr>
        <w:t> </w:t>
      </w:r>
      <w:r>
        <w:rPr>
          <w:color w:val="231F20"/>
          <w:w w:val="105"/>
          <w:sz w:val="21"/>
        </w:rPr>
        <w:t>tratamiento</w:t>
      </w:r>
      <w:r>
        <w:rPr>
          <w:color w:val="231F20"/>
          <w:spacing w:val="-26"/>
          <w:w w:val="105"/>
          <w:sz w:val="21"/>
        </w:rPr>
        <w:t> </w:t>
      </w:r>
      <w:r>
        <w:rPr>
          <w:color w:val="231F20"/>
          <w:w w:val="105"/>
          <w:sz w:val="21"/>
        </w:rPr>
        <w:t>que</w:t>
      </w:r>
      <w:r>
        <w:rPr>
          <w:color w:val="231F20"/>
          <w:spacing w:val="-26"/>
          <w:w w:val="105"/>
          <w:sz w:val="21"/>
        </w:rPr>
        <w:t> </w:t>
      </w:r>
      <w:r>
        <w:rPr>
          <w:color w:val="231F20"/>
          <w:w w:val="105"/>
          <w:sz w:val="21"/>
        </w:rPr>
        <w:t>da</w:t>
      </w:r>
      <w:r>
        <w:rPr>
          <w:color w:val="231F20"/>
          <w:spacing w:val="-26"/>
          <w:w w:val="105"/>
          <w:sz w:val="21"/>
        </w:rPr>
        <w:t> </w:t>
      </w:r>
      <w:r>
        <w:rPr>
          <w:color w:val="231F20"/>
          <w:w w:val="105"/>
          <w:sz w:val="21"/>
        </w:rPr>
        <w:t>Keynes</w:t>
      </w:r>
      <w:r>
        <w:rPr>
          <w:color w:val="231F20"/>
          <w:spacing w:val="-26"/>
          <w:w w:val="105"/>
          <w:sz w:val="21"/>
        </w:rPr>
        <w:t> </w:t>
      </w:r>
      <w:r>
        <w:rPr>
          <w:color w:val="231F20"/>
          <w:w w:val="105"/>
          <w:sz w:val="21"/>
        </w:rPr>
        <w:t>a</w:t>
      </w:r>
      <w:r>
        <w:rPr>
          <w:color w:val="231F20"/>
          <w:spacing w:val="-26"/>
          <w:w w:val="105"/>
          <w:sz w:val="21"/>
        </w:rPr>
        <w:t> </w:t>
      </w:r>
      <w:r>
        <w:rPr>
          <w:color w:val="231F20"/>
          <w:w w:val="105"/>
          <w:sz w:val="21"/>
        </w:rPr>
        <w:t>esta</w:t>
      </w:r>
      <w:r>
        <w:rPr>
          <w:color w:val="231F20"/>
          <w:spacing w:val="-26"/>
          <w:w w:val="105"/>
          <w:sz w:val="21"/>
        </w:rPr>
        <w:t> </w:t>
      </w:r>
      <w:r>
        <w:rPr>
          <w:color w:val="231F20"/>
          <w:w w:val="105"/>
          <w:sz w:val="21"/>
        </w:rPr>
        <w:t>variable</w:t>
      </w:r>
      <w:r>
        <w:rPr>
          <w:color w:val="231F20"/>
          <w:spacing w:val="-26"/>
          <w:w w:val="105"/>
          <w:sz w:val="21"/>
        </w:rPr>
        <w:t> </w:t>
      </w:r>
      <w:r>
        <w:rPr>
          <w:color w:val="231F20"/>
          <w:w w:val="105"/>
          <w:sz w:val="21"/>
        </w:rPr>
        <w:t>en su</w:t>
      </w:r>
      <w:r>
        <w:rPr>
          <w:color w:val="231F20"/>
          <w:spacing w:val="-6"/>
          <w:w w:val="105"/>
          <w:sz w:val="21"/>
        </w:rPr>
        <w:t> </w:t>
      </w:r>
      <w:r>
        <w:rPr>
          <w:color w:val="231F20"/>
          <w:w w:val="105"/>
          <w:sz w:val="21"/>
        </w:rPr>
        <w:t>teoría.</w:t>
      </w:r>
      <w:r>
        <w:rPr>
          <w:color w:val="231F20"/>
          <w:spacing w:val="-11"/>
          <w:w w:val="105"/>
          <w:sz w:val="21"/>
        </w:rPr>
        <w:t> </w:t>
      </w:r>
      <w:r>
        <w:rPr>
          <w:color w:val="231F20"/>
          <w:w w:val="105"/>
          <w:sz w:val="21"/>
        </w:rPr>
        <w:t>Esto</w:t>
      </w:r>
      <w:r>
        <w:rPr>
          <w:color w:val="231F20"/>
          <w:spacing w:val="-6"/>
          <w:w w:val="105"/>
          <w:sz w:val="21"/>
        </w:rPr>
        <w:t> </w:t>
      </w:r>
      <w:r>
        <w:rPr>
          <w:color w:val="231F20"/>
          <w:w w:val="105"/>
          <w:sz w:val="21"/>
        </w:rPr>
        <w:t>implica</w:t>
      </w:r>
      <w:r>
        <w:rPr>
          <w:color w:val="231F20"/>
          <w:spacing w:val="-6"/>
          <w:w w:val="105"/>
          <w:sz w:val="21"/>
        </w:rPr>
        <w:t> </w:t>
      </w:r>
      <w:r>
        <w:rPr>
          <w:color w:val="231F20"/>
          <w:w w:val="105"/>
          <w:sz w:val="21"/>
        </w:rPr>
        <w:t>que</w:t>
      </w:r>
      <w:r>
        <w:rPr>
          <w:color w:val="231F20"/>
          <w:spacing w:val="-6"/>
          <w:w w:val="105"/>
          <w:sz w:val="21"/>
        </w:rPr>
        <w:t> </w:t>
      </w:r>
      <w:r>
        <w:rPr>
          <w:color w:val="231F20"/>
          <w:w w:val="105"/>
          <w:sz w:val="21"/>
        </w:rPr>
        <w:t>en</w:t>
      </w:r>
      <w:r>
        <w:rPr>
          <w:color w:val="231F20"/>
          <w:spacing w:val="-6"/>
          <w:w w:val="105"/>
          <w:sz w:val="21"/>
        </w:rPr>
        <w:t> </w:t>
      </w:r>
      <w:r>
        <w:rPr>
          <w:color w:val="231F20"/>
          <w:w w:val="105"/>
          <w:sz w:val="21"/>
        </w:rPr>
        <w:t>un</w:t>
      </w:r>
      <w:r>
        <w:rPr>
          <w:color w:val="231F20"/>
          <w:spacing w:val="-6"/>
          <w:w w:val="105"/>
          <w:sz w:val="21"/>
        </w:rPr>
        <w:t> </w:t>
      </w:r>
      <w:r>
        <w:rPr>
          <w:color w:val="231F20"/>
          <w:w w:val="105"/>
          <w:sz w:val="21"/>
        </w:rPr>
        <w:t>sistema</w:t>
      </w:r>
      <w:r>
        <w:rPr>
          <w:color w:val="231F20"/>
          <w:spacing w:val="-6"/>
          <w:w w:val="105"/>
          <w:sz w:val="21"/>
        </w:rPr>
        <w:t> </w:t>
      </w:r>
      <w:r>
        <w:rPr>
          <w:color w:val="231F20"/>
          <w:w w:val="105"/>
          <w:sz w:val="21"/>
        </w:rPr>
        <w:t>económico</w:t>
      </w:r>
      <w:r>
        <w:rPr>
          <w:color w:val="231F20"/>
          <w:spacing w:val="-6"/>
          <w:w w:val="105"/>
          <w:sz w:val="21"/>
        </w:rPr>
        <w:t> </w:t>
      </w:r>
      <w:r>
        <w:rPr>
          <w:color w:val="231F20"/>
          <w:w w:val="105"/>
          <w:sz w:val="21"/>
        </w:rPr>
        <w:t>no</w:t>
      </w:r>
      <w:r>
        <w:rPr>
          <w:color w:val="231F20"/>
          <w:spacing w:val="-6"/>
          <w:w w:val="105"/>
          <w:sz w:val="21"/>
        </w:rPr>
        <w:t> </w:t>
      </w:r>
      <w:r>
        <w:rPr>
          <w:color w:val="231F20"/>
          <w:w w:val="105"/>
          <w:sz w:val="21"/>
        </w:rPr>
        <w:t>se puede</w:t>
      </w:r>
      <w:r>
        <w:rPr>
          <w:color w:val="231F20"/>
          <w:spacing w:val="-14"/>
          <w:w w:val="105"/>
          <w:sz w:val="21"/>
        </w:rPr>
        <w:t> </w:t>
      </w:r>
      <w:r>
        <w:rPr>
          <w:color w:val="231F20"/>
          <w:w w:val="105"/>
          <w:sz w:val="21"/>
        </w:rPr>
        <w:t>separar</w:t>
      </w:r>
      <w:r>
        <w:rPr>
          <w:color w:val="231F20"/>
          <w:spacing w:val="-14"/>
          <w:w w:val="105"/>
          <w:sz w:val="21"/>
        </w:rPr>
        <w:t> </w:t>
      </w:r>
      <w:r>
        <w:rPr>
          <w:color w:val="231F20"/>
          <w:w w:val="105"/>
          <w:sz w:val="21"/>
        </w:rPr>
        <w:t>al</w:t>
      </w:r>
      <w:r>
        <w:rPr>
          <w:color w:val="231F20"/>
          <w:spacing w:val="-14"/>
          <w:w w:val="105"/>
          <w:sz w:val="21"/>
        </w:rPr>
        <w:t> </w:t>
      </w:r>
      <w:r>
        <w:rPr>
          <w:color w:val="231F20"/>
          <w:w w:val="105"/>
          <w:sz w:val="21"/>
        </w:rPr>
        <w:t>sector</w:t>
      </w:r>
      <w:r>
        <w:rPr>
          <w:color w:val="231F20"/>
          <w:spacing w:val="-14"/>
          <w:w w:val="105"/>
          <w:sz w:val="21"/>
        </w:rPr>
        <w:t> </w:t>
      </w:r>
      <w:r>
        <w:rPr>
          <w:color w:val="231F20"/>
          <w:w w:val="105"/>
          <w:sz w:val="21"/>
        </w:rPr>
        <w:t>real</w:t>
      </w:r>
      <w:r>
        <w:rPr>
          <w:color w:val="231F20"/>
          <w:spacing w:val="-14"/>
          <w:w w:val="105"/>
          <w:sz w:val="21"/>
        </w:rPr>
        <w:t> </w:t>
      </w:r>
      <w:r>
        <w:rPr>
          <w:color w:val="231F20"/>
          <w:w w:val="105"/>
          <w:sz w:val="21"/>
        </w:rPr>
        <w:t>del</w:t>
      </w:r>
      <w:r>
        <w:rPr>
          <w:color w:val="231F20"/>
          <w:spacing w:val="-14"/>
          <w:w w:val="105"/>
          <w:sz w:val="21"/>
        </w:rPr>
        <w:t> </w:t>
      </w:r>
      <w:r>
        <w:rPr>
          <w:color w:val="231F20"/>
          <w:w w:val="105"/>
          <w:sz w:val="21"/>
        </w:rPr>
        <w:t>monetario.</w:t>
      </w:r>
    </w:p>
    <w:p>
      <w:pPr>
        <w:pStyle w:val="ListParagraph"/>
        <w:numPr>
          <w:ilvl w:val="0"/>
          <w:numId w:val="65"/>
        </w:numPr>
        <w:tabs>
          <w:tab w:pos="1328" w:val="left" w:leader="none"/>
        </w:tabs>
        <w:spacing w:line="259" w:lineRule="auto" w:before="170" w:after="0"/>
        <w:ind w:left="1327" w:right="101" w:hanging="360"/>
        <w:jc w:val="both"/>
        <w:rPr>
          <w:sz w:val="21"/>
        </w:rPr>
      </w:pPr>
      <w:r>
        <w:rPr>
          <w:color w:val="231F20"/>
          <w:w w:val="105"/>
          <w:sz w:val="21"/>
        </w:rPr>
        <w:t>Los</w:t>
      </w:r>
      <w:r>
        <w:rPr>
          <w:color w:val="231F20"/>
          <w:spacing w:val="-10"/>
          <w:w w:val="105"/>
          <w:sz w:val="21"/>
        </w:rPr>
        <w:t> </w:t>
      </w:r>
      <w:r>
        <w:rPr>
          <w:color w:val="231F20"/>
          <w:w w:val="105"/>
          <w:sz w:val="21"/>
        </w:rPr>
        <w:t>postkeynesianos</w:t>
      </w:r>
      <w:r>
        <w:rPr>
          <w:color w:val="231F20"/>
          <w:spacing w:val="-10"/>
          <w:w w:val="105"/>
          <w:sz w:val="21"/>
        </w:rPr>
        <w:t> </w:t>
      </w:r>
      <w:r>
        <w:rPr>
          <w:color w:val="231F20"/>
          <w:w w:val="105"/>
          <w:sz w:val="21"/>
        </w:rPr>
        <w:t>desconfían</w:t>
      </w:r>
      <w:r>
        <w:rPr>
          <w:color w:val="231F20"/>
          <w:spacing w:val="-10"/>
          <w:w w:val="105"/>
          <w:sz w:val="21"/>
        </w:rPr>
        <w:t> </w:t>
      </w:r>
      <w:r>
        <w:rPr>
          <w:color w:val="231F20"/>
          <w:w w:val="105"/>
          <w:sz w:val="21"/>
        </w:rPr>
        <w:t>del</w:t>
      </w:r>
      <w:r>
        <w:rPr>
          <w:color w:val="231F20"/>
          <w:spacing w:val="-10"/>
          <w:w w:val="105"/>
          <w:sz w:val="21"/>
        </w:rPr>
        <w:t> </w:t>
      </w:r>
      <w:r>
        <w:rPr>
          <w:color w:val="231F20"/>
          <w:w w:val="105"/>
          <w:sz w:val="21"/>
        </w:rPr>
        <w:t>funcionamiento</w:t>
      </w:r>
      <w:r>
        <w:rPr>
          <w:color w:val="231F20"/>
          <w:spacing w:val="-10"/>
          <w:w w:val="105"/>
          <w:sz w:val="21"/>
        </w:rPr>
        <w:t> </w:t>
      </w:r>
      <w:r>
        <w:rPr>
          <w:color w:val="231F20"/>
          <w:w w:val="105"/>
          <w:sz w:val="21"/>
        </w:rPr>
        <w:t>de</w:t>
      </w:r>
      <w:r>
        <w:rPr>
          <w:color w:val="231F20"/>
          <w:spacing w:val="-10"/>
          <w:w w:val="105"/>
          <w:sz w:val="21"/>
        </w:rPr>
        <w:t> </w:t>
      </w:r>
      <w:r>
        <w:rPr>
          <w:color w:val="231F20"/>
          <w:w w:val="105"/>
          <w:sz w:val="21"/>
        </w:rPr>
        <w:t>los mercados, al grado de considerar que el no vaciado del mercado</w:t>
      </w:r>
      <w:r>
        <w:rPr>
          <w:color w:val="231F20"/>
          <w:spacing w:val="-18"/>
          <w:w w:val="105"/>
          <w:sz w:val="21"/>
        </w:rPr>
        <w:t> </w:t>
      </w:r>
      <w:r>
        <w:rPr>
          <w:color w:val="231F20"/>
          <w:w w:val="105"/>
          <w:sz w:val="21"/>
        </w:rPr>
        <w:t>es</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regla</w:t>
      </w:r>
      <w:r>
        <w:rPr>
          <w:color w:val="231F20"/>
          <w:spacing w:val="-18"/>
          <w:w w:val="105"/>
          <w:sz w:val="21"/>
        </w:rPr>
        <w:t> </w:t>
      </w:r>
      <w:r>
        <w:rPr>
          <w:color w:val="231F20"/>
          <w:w w:val="105"/>
          <w:sz w:val="21"/>
        </w:rPr>
        <w:t>y</w:t>
      </w:r>
      <w:r>
        <w:rPr>
          <w:color w:val="231F20"/>
          <w:spacing w:val="-18"/>
          <w:w w:val="105"/>
          <w:sz w:val="21"/>
        </w:rPr>
        <w:t> </w:t>
      </w:r>
      <w:r>
        <w:rPr>
          <w:color w:val="231F20"/>
          <w:w w:val="105"/>
          <w:sz w:val="21"/>
        </w:rPr>
        <w:t>el</w:t>
      </w:r>
      <w:r>
        <w:rPr>
          <w:color w:val="231F20"/>
          <w:spacing w:val="-18"/>
          <w:w w:val="105"/>
          <w:sz w:val="21"/>
        </w:rPr>
        <w:t> </w:t>
      </w:r>
      <w:r>
        <w:rPr>
          <w:color w:val="231F20"/>
          <w:w w:val="105"/>
          <w:sz w:val="21"/>
        </w:rPr>
        <w:t>vaciado</w:t>
      </w:r>
      <w:r>
        <w:rPr>
          <w:color w:val="231F20"/>
          <w:spacing w:val="-18"/>
          <w:w w:val="105"/>
          <w:sz w:val="21"/>
        </w:rPr>
        <w:t> </w:t>
      </w:r>
      <w:r>
        <w:rPr>
          <w:color w:val="231F20"/>
          <w:w w:val="105"/>
          <w:sz w:val="21"/>
        </w:rPr>
        <w:t>la</w:t>
      </w:r>
      <w:r>
        <w:rPr>
          <w:color w:val="231F20"/>
          <w:spacing w:val="-18"/>
          <w:w w:val="105"/>
          <w:sz w:val="21"/>
        </w:rPr>
        <w:t> </w:t>
      </w:r>
      <w:r>
        <w:rPr>
          <w:color w:val="231F20"/>
          <w:w w:val="105"/>
          <w:sz w:val="21"/>
        </w:rPr>
        <w:t>excepción.</w:t>
      </w:r>
    </w:p>
    <w:p>
      <w:pPr>
        <w:pStyle w:val="BodyText"/>
        <w:spacing w:before="170"/>
        <w:ind w:left="117"/>
        <w:jc w:val="both"/>
      </w:pPr>
      <w:r>
        <w:rPr>
          <w:color w:val="231F20"/>
          <w:spacing w:val="-3"/>
          <w:w w:val="105"/>
        </w:rPr>
        <w:t>Entre </w:t>
      </w:r>
      <w:r>
        <w:rPr>
          <w:color w:val="231F20"/>
          <w:w w:val="105"/>
        </w:rPr>
        <w:t>los principales </w:t>
      </w:r>
      <w:r>
        <w:rPr>
          <w:color w:val="231F20"/>
          <w:spacing w:val="-3"/>
          <w:w w:val="105"/>
        </w:rPr>
        <w:t>representantes </w:t>
      </w:r>
      <w:r>
        <w:rPr>
          <w:color w:val="231F20"/>
          <w:w w:val="105"/>
        </w:rPr>
        <w:t>de la corriente </w:t>
      </w:r>
      <w:r>
        <w:rPr>
          <w:color w:val="231F20"/>
          <w:spacing w:val="-3"/>
          <w:w w:val="105"/>
        </w:rPr>
        <w:t>postkeynesiana </w:t>
      </w:r>
      <w:r>
        <w:rPr>
          <w:color w:val="231F20"/>
          <w:w w:val="105"/>
        </w:rPr>
        <w:t>está</w:t>
      </w:r>
    </w:p>
    <w:p>
      <w:pPr>
        <w:pStyle w:val="BodyText"/>
        <w:spacing w:line="259" w:lineRule="auto" w:before="18"/>
        <w:ind w:left="117" w:right="101"/>
        <w:jc w:val="both"/>
      </w:pPr>
      <w:r>
        <w:rPr>
          <w:color w:val="231F20"/>
          <w:w w:val="105"/>
        </w:rPr>
        <w:t>M.</w:t>
      </w:r>
      <w:r>
        <w:rPr>
          <w:color w:val="231F20"/>
          <w:spacing w:val="-18"/>
          <w:w w:val="105"/>
        </w:rPr>
        <w:t> </w:t>
      </w:r>
      <w:r>
        <w:rPr>
          <w:color w:val="231F20"/>
          <w:w w:val="105"/>
        </w:rPr>
        <w:t>Kalecki,</w:t>
      </w:r>
      <w:r>
        <w:rPr>
          <w:color w:val="231F20"/>
          <w:spacing w:val="-18"/>
          <w:w w:val="105"/>
        </w:rPr>
        <w:t> </w:t>
      </w:r>
      <w:r>
        <w:rPr>
          <w:color w:val="231F20"/>
          <w:w w:val="105"/>
        </w:rPr>
        <w:t>quien</w:t>
      </w:r>
      <w:r>
        <w:rPr>
          <w:color w:val="231F20"/>
          <w:spacing w:val="-12"/>
          <w:w w:val="105"/>
        </w:rPr>
        <w:t> </w:t>
      </w:r>
      <w:r>
        <w:rPr>
          <w:color w:val="231F20"/>
          <w:w w:val="105"/>
        </w:rPr>
        <w:t>planteó</w:t>
      </w:r>
      <w:r>
        <w:rPr>
          <w:color w:val="231F20"/>
          <w:spacing w:val="-12"/>
          <w:w w:val="105"/>
        </w:rPr>
        <w:t> </w:t>
      </w:r>
      <w:r>
        <w:rPr>
          <w:color w:val="231F20"/>
          <w:w w:val="105"/>
        </w:rPr>
        <w:t>un</w:t>
      </w:r>
      <w:r>
        <w:rPr>
          <w:color w:val="231F20"/>
          <w:spacing w:val="-12"/>
          <w:w w:val="105"/>
        </w:rPr>
        <w:t> </w:t>
      </w:r>
      <w:r>
        <w:rPr>
          <w:color w:val="231F20"/>
          <w:w w:val="105"/>
        </w:rPr>
        <w:t>modelo</w:t>
      </w:r>
      <w:r>
        <w:rPr>
          <w:color w:val="231F20"/>
          <w:spacing w:val="-12"/>
          <w:w w:val="105"/>
        </w:rPr>
        <w:t> </w:t>
      </w:r>
      <w:r>
        <w:rPr>
          <w:color w:val="231F20"/>
          <w:w w:val="105"/>
        </w:rPr>
        <w:t>dinámico</w:t>
      </w:r>
      <w:r>
        <w:rPr>
          <w:color w:val="231F20"/>
          <w:spacing w:val="-12"/>
          <w:w w:val="105"/>
        </w:rPr>
        <w:t> </w:t>
      </w:r>
      <w:r>
        <w:rPr>
          <w:color w:val="231F20"/>
          <w:w w:val="105"/>
        </w:rPr>
        <w:t>de</w:t>
      </w:r>
      <w:r>
        <w:rPr>
          <w:color w:val="231F20"/>
          <w:spacing w:val="-12"/>
          <w:w w:val="105"/>
        </w:rPr>
        <w:t> </w:t>
      </w:r>
      <w:r>
        <w:rPr>
          <w:color w:val="231F20"/>
          <w:spacing w:val="-3"/>
          <w:w w:val="105"/>
        </w:rPr>
        <w:t>crecimiento</w:t>
      </w:r>
      <w:r>
        <w:rPr>
          <w:color w:val="231F20"/>
          <w:spacing w:val="-12"/>
          <w:w w:val="105"/>
        </w:rPr>
        <w:t> </w:t>
      </w:r>
      <w:r>
        <w:rPr>
          <w:color w:val="231F20"/>
          <w:w w:val="105"/>
        </w:rPr>
        <w:t>suponien- do</w:t>
      </w:r>
      <w:r>
        <w:rPr>
          <w:color w:val="231F20"/>
          <w:spacing w:val="-16"/>
          <w:w w:val="105"/>
        </w:rPr>
        <w:t> </w:t>
      </w:r>
      <w:r>
        <w:rPr>
          <w:color w:val="231F20"/>
          <w:w w:val="105"/>
        </w:rPr>
        <w:t>la</w:t>
      </w:r>
      <w:r>
        <w:rPr>
          <w:color w:val="231F20"/>
          <w:spacing w:val="-16"/>
          <w:w w:val="105"/>
        </w:rPr>
        <w:t> </w:t>
      </w:r>
      <w:r>
        <w:rPr>
          <w:color w:val="231F20"/>
          <w:w w:val="105"/>
        </w:rPr>
        <w:t>existencia</w:t>
      </w:r>
      <w:r>
        <w:rPr>
          <w:color w:val="231F20"/>
          <w:spacing w:val="-16"/>
          <w:w w:val="105"/>
        </w:rPr>
        <w:t> </w:t>
      </w:r>
      <w:r>
        <w:rPr>
          <w:color w:val="231F20"/>
          <w:w w:val="105"/>
        </w:rPr>
        <w:t>de</w:t>
      </w:r>
      <w:r>
        <w:rPr>
          <w:color w:val="231F20"/>
          <w:spacing w:val="-16"/>
          <w:w w:val="105"/>
        </w:rPr>
        <w:t> </w:t>
      </w:r>
      <w:r>
        <w:rPr>
          <w:color w:val="231F20"/>
          <w:w w:val="105"/>
        </w:rPr>
        <w:t>subutilización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capacidad</w:t>
      </w:r>
      <w:r>
        <w:rPr>
          <w:color w:val="231F20"/>
          <w:spacing w:val="-16"/>
          <w:w w:val="105"/>
        </w:rPr>
        <w:t> </w:t>
      </w:r>
      <w:r>
        <w:rPr>
          <w:color w:val="231F20"/>
          <w:w w:val="105"/>
        </w:rPr>
        <w:t>instalada.</w:t>
      </w:r>
      <w:r>
        <w:rPr>
          <w:color w:val="231F20"/>
          <w:spacing w:val="-21"/>
          <w:w w:val="105"/>
        </w:rPr>
        <w:t> </w:t>
      </w:r>
      <w:r>
        <w:rPr>
          <w:color w:val="231F20"/>
          <w:w w:val="105"/>
        </w:rPr>
        <w:t>En</w:t>
      </w:r>
      <w:r>
        <w:rPr>
          <w:color w:val="231F20"/>
          <w:spacing w:val="-16"/>
          <w:w w:val="105"/>
        </w:rPr>
        <w:t> </w:t>
      </w:r>
      <w:r>
        <w:rPr>
          <w:color w:val="231F20"/>
          <w:w w:val="105"/>
        </w:rPr>
        <w:t>ese</w:t>
      </w:r>
      <w:r>
        <w:rPr>
          <w:color w:val="231F20"/>
          <w:spacing w:val="-16"/>
          <w:w w:val="105"/>
        </w:rPr>
        <w:t> </w:t>
      </w:r>
      <w:r>
        <w:rPr>
          <w:color w:val="231F20"/>
          <w:w w:val="105"/>
        </w:rPr>
        <w:t>con- </w:t>
      </w:r>
      <w:r>
        <w:rPr>
          <w:color w:val="231F20"/>
          <w:spacing w:val="-3"/>
          <w:w w:val="105"/>
        </w:rPr>
        <w:t>texto,</w:t>
      </w:r>
      <w:r>
        <w:rPr>
          <w:color w:val="231F20"/>
          <w:spacing w:val="-16"/>
          <w:w w:val="105"/>
        </w:rPr>
        <w:t> </w:t>
      </w:r>
      <w:r>
        <w:rPr>
          <w:color w:val="231F20"/>
          <w:w w:val="105"/>
        </w:rPr>
        <w:t>consideraba</w:t>
      </w:r>
      <w:r>
        <w:rPr>
          <w:color w:val="231F20"/>
          <w:spacing w:val="-10"/>
          <w:w w:val="105"/>
        </w:rPr>
        <w:t> </w:t>
      </w:r>
      <w:r>
        <w:rPr>
          <w:color w:val="231F20"/>
          <w:w w:val="105"/>
        </w:rPr>
        <w:t>que</w:t>
      </w:r>
      <w:r>
        <w:rPr>
          <w:color w:val="231F20"/>
          <w:spacing w:val="-10"/>
          <w:w w:val="105"/>
        </w:rPr>
        <w:t> </w:t>
      </w:r>
      <w:r>
        <w:rPr>
          <w:color w:val="231F20"/>
          <w:w w:val="105"/>
        </w:rPr>
        <w:t>una</w:t>
      </w:r>
      <w:r>
        <w:rPr>
          <w:color w:val="231F20"/>
          <w:spacing w:val="-10"/>
          <w:w w:val="105"/>
        </w:rPr>
        <w:t> </w:t>
      </w:r>
      <w:r>
        <w:rPr>
          <w:color w:val="231F20"/>
          <w:spacing w:val="-3"/>
          <w:w w:val="105"/>
        </w:rPr>
        <w:t>redistribución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beneficios</w:t>
      </w:r>
      <w:r>
        <w:rPr>
          <w:color w:val="231F20"/>
          <w:spacing w:val="-10"/>
          <w:w w:val="105"/>
        </w:rPr>
        <w:t> </w:t>
      </w:r>
      <w:r>
        <w:rPr>
          <w:color w:val="231F20"/>
          <w:w w:val="105"/>
        </w:rPr>
        <w:t>hacia</w:t>
      </w:r>
      <w:r>
        <w:rPr>
          <w:color w:val="231F20"/>
          <w:spacing w:val="-10"/>
          <w:w w:val="105"/>
        </w:rPr>
        <w:t> </w:t>
      </w:r>
      <w:r>
        <w:rPr>
          <w:color w:val="231F20"/>
          <w:w w:val="105"/>
        </w:rPr>
        <w:t>los</w:t>
      </w:r>
      <w:r>
        <w:rPr>
          <w:color w:val="231F20"/>
          <w:spacing w:val="-10"/>
          <w:w w:val="105"/>
        </w:rPr>
        <w:t> </w:t>
      </w:r>
      <w:r>
        <w:rPr>
          <w:color w:val="231F20"/>
          <w:w w:val="105"/>
        </w:rPr>
        <w:t>sa- larios puede acelerar el </w:t>
      </w:r>
      <w:r>
        <w:rPr>
          <w:color w:val="231F20"/>
          <w:spacing w:val="-3"/>
          <w:w w:val="105"/>
        </w:rPr>
        <w:t>crecimiento </w:t>
      </w:r>
      <w:r>
        <w:rPr>
          <w:color w:val="231F20"/>
          <w:w w:val="105"/>
        </w:rPr>
        <w:t>debido a que la mayor </w:t>
      </w:r>
      <w:r>
        <w:rPr>
          <w:color w:val="231F20"/>
          <w:spacing w:val="-3"/>
          <w:w w:val="105"/>
        </w:rPr>
        <w:t>propensión marginal</w:t>
      </w:r>
      <w:r>
        <w:rPr>
          <w:color w:val="231F20"/>
          <w:spacing w:val="-13"/>
          <w:w w:val="105"/>
        </w:rPr>
        <w:t> </w:t>
      </w:r>
      <w:r>
        <w:rPr>
          <w:color w:val="231F20"/>
          <w:w w:val="105"/>
        </w:rPr>
        <w:t>a</w:t>
      </w:r>
      <w:r>
        <w:rPr>
          <w:color w:val="231F20"/>
          <w:spacing w:val="-13"/>
          <w:w w:val="105"/>
        </w:rPr>
        <w:t> </w:t>
      </w:r>
      <w:r>
        <w:rPr>
          <w:color w:val="231F20"/>
          <w:w w:val="105"/>
        </w:rPr>
        <w:t>consumir</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spacing w:val="-3"/>
          <w:w w:val="105"/>
        </w:rPr>
        <w:t>trabajadores</w:t>
      </w:r>
      <w:r>
        <w:rPr>
          <w:color w:val="231F20"/>
          <w:spacing w:val="-13"/>
          <w:w w:val="105"/>
        </w:rPr>
        <w:t> </w:t>
      </w:r>
      <w:r>
        <w:rPr>
          <w:color w:val="231F20"/>
          <w:w w:val="105"/>
        </w:rPr>
        <w:t>puede</w:t>
      </w:r>
      <w:r>
        <w:rPr>
          <w:color w:val="231F20"/>
          <w:spacing w:val="-13"/>
          <w:w w:val="105"/>
        </w:rPr>
        <w:t> </w:t>
      </w:r>
      <w:r>
        <w:rPr>
          <w:color w:val="231F20"/>
          <w:w w:val="105"/>
        </w:rPr>
        <w:t>causar</w:t>
      </w:r>
      <w:r>
        <w:rPr>
          <w:color w:val="231F20"/>
          <w:spacing w:val="-13"/>
          <w:w w:val="105"/>
        </w:rPr>
        <w:t> </w:t>
      </w:r>
      <w:r>
        <w:rPr>
          <w:color w:val="231F20"/>
          <w:w w:val="105"/>
        </w:rPr>
        <w:t>un</w:t>
      </w:r>
      <w:r>
        <w:rPr>
          <w:color w:val="231F20"/>
          <w:spacing w:val="-13"/>
          <w:w w:val="105"/>
        </w:rPr>
        <w:t> </w:t>
      </w:r>
      <w:r>
        <w:rPr>
          <w:color w:val="231F20"/>
          <w:spacing w:val="-3"/>
          <w:w w:val="105"/>
        </w:rPr>
        <w:t>incremento</w:t>
      </w:r>
      <w:r>
        <w:rPr>
          <w:color w:val="231F20"/>
          <w:spacing w:val="-13"/>
          <w:w w:val="105"/>
        </w:rPr>
        <w:t> </w:t>
      </w:r>
      <w:r>
        <w:rPr>
          <w:color w:val="231F20"/>
          <w:w w:val="105"/>
        </w:rPr>
        <w:t>en el</w:t>
      </w:r>
      <w:r>
        <w:rPr>
          <w:color w:val="231F20"/>
          <w:spacing w:val="-19"/>
          <w:w w:val="105"/>
        </w:rPr>
        <w:t> </w:t>
      </w:r>
      <w:r>
        <w:rPr>
          <w:color w:val="231F20"/>
          <w:spacing w:val="-3"/>
          <w:w w:val="105"/>
        </w:rPr>
        <w:t>producto</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utilización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capacidad</w:t>
      </w:r>
      <w:r>
        <w:rPr>
          <w:color w:val="231F20"/>
          <w:spacing w:val="-19"/>
          <w:w w:val="105"/>
        </w:rPr>
        <w:t> </w:t>
      </w:r>
      <w:r>
        <w:rPr>
          <w:color w:val="231F20"/>
          <w:w w:val="105"/>
        </w:rPr>
        <w:t>instalada,</w:t>
      </w:r>
      <w:r>
        <w:rPr>
          <w:color w:val="231F20"/>
          <w:spacing w:val="-25"/>
          <w:w w:val="105"/>
        </w:rPr>
        <w:t> </w:t>
      </w:r>
      <w:r>
        <w:rPr>
          <w:color w:val="231F20"/>
          <w:w w:val="105"/>
        </w:rPr>
        <w:t>así</w:t>
      </w:r>
      <w:r>
        <w:rPr>
          <w:color w:val="231F20"/>
          <w:spacing w:val="-19"/>
          <w:w w:val="105"/>
        </w:rPr>
        <w:t> </w:t>
      </w:r>
      <w:r>
        <w:rPr>
          <w:color w:val="231F20"/>
          <w:w w:val="105"/>
        </w:rPr>
        <w:t>como</w:t>
      </w:r>
      <w:r>
        <w:rPr>
          <w:color w:val="231F20"/>
          <w:spacing w:val="-19"/>
          <w:w w:val="105"/>
        </w:rPr>
        <w:t> </w:t>
      </w:r>
      <w:r>
        <w:rPr>
          <w:color w:val="231F20"/>
          <w:w w:val="105"/>
        </w:rPr>
        <w:t>afectar positivamente</w:t>
      </w:r>
      <w:r>
        <w:rPr>
          <w:color w:val="231F20"/>
          <w:spacing w:val="-29"/>
          <w:w w:val="105"/>
        </w:rPr>
        <w:t> </w:t>
      </w:r>
      <w:r>
        <w:rPr>
          <w:color w:val="231F20"/>
          <w:w w:val="105"/>
        </w:rPr>
        <w:t>a</w:t>
      </w:r>
      <w:r>
        <w:rPr>
          <w:color w:val="231F20"/>
          <w:spacing w:val="-29"/>
          <w:w w:val="105"/>
        </w:rPr>
        <w:t> </w:t>
      </w:r>
      <w:r>
        <w:rPr>
          <w:color w:val="231F20"/>
          <w:w w:val="105"/>
        </w:rPr>
        <w:t>la</w:t>
      </w:r>
      <w:r>
        <w:rPr>
          <w:color w:val="231F20"/>
          <w:spacing w:val="-29"/>
          <w:w w:val="105"/>
        </w:rPr>
        <w:t> </w:t>
      </w:r>
      <w:r>
        <w:rPr>
          <w:color w:val="231F20"/>
          <w:w w:val="105"/>
        </w:rPr>
        <w:t>inversión,</w:t>
      </w:r>
      <w:r>
        <w:rPr>
          <w:color w:val="231F20"/>
          <w:spacing w:val="-33"/>
          <w:w w:val="105"/>
        </w:rPr>
        <w:t> </w:t>
      </w:r>
      <w:r>
        <w:rPr>
          <w:color w:val="231F20"/>
          <w:w w:val="105"/>
        </w:rPr>
        <w:t>lo</w:t>
      </w:r>
      <w:r>
        <w:rPr>
          <w:color w:val="231F20"/>
          <w:spacing w:val="-29"/>
          <w:w w:val="105"/>
        </w:rPr>
        <w:t> </w:t>
      </w:r>
      <w:r>
        <w:rPr>
          <w:color w:val="231F20"/>
          <w:w w:val="105"/>
        </w:rPr>
        <w:t>que</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spacing w:val="-3"/>
          <w:w w:val="105"/>
        </w:rPr>
        <w:t>largo</w:t>
      </w:r>
      <w:r>
        <w:rPr>
          <w:color w:val="231F20"/>
          <w:spacing w:val="-29"/>
          <w:w w:val="105"/>
        </w:rPr>
        <w:t> </w:t>
      </w:r>
      <w:r>
        <w:rPr>
          <w:color w:val="231F20"/>
          <w:w w:val="105"/>
        </w:rPr>
        <w:t>plazo</w:t>
      </w:r>
      <w:r>
        <w:rPr>
          <w:color w:val="231F20"/>
          <w:spacing w:val="-29"/>
          <w:w w:val="105"/>
        </w:rPr>
        <w:t> </w:t>
      </w:r>
      <w:r>
        <w:rPr>
          <w:color w:val="231F20"/>
          <w:spacing w:val="-2"/>
          <w:w w:val="105"/>
        </w:rPr>
        <w:t>genera</w:t>
      </w:r>
      <w:r>
        <w:rPr>
          <w:color w:val="231F20"/>
          <w:spacing w:val="-29"/>
          <w:w w:val="105"/>
        </w:rPr>
        <w:t> </w:t>
      </w:r>
      <w:r>
        <w:rPr>
          <w:color w:val="231F20"/>
          <w:w w:val="105"/>
        </w:rPr>
        <w:t>una</w:t>
      </w:r>
      <w:r>
        <w:rPr>
          <w:color w:val="231F20"/>
          <w:spacing w:val="-29"/>
          <w:w w:val="105"/>
        </w:rPr>
        <w:t> </w:t>
      </w:r>
      <w:r>
        <w:rPr>
          <w:color w:val="231F20"/>
          <w:w w:val="105"/>
        </w:rPr>
        <w:t>potencial expansión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economía.</w:t>
      </w:r>
      <w:r>
        <w:rPr>
          <w:color w:val="231F20"/>
          <w:spacing w:val="-23"/>
          <w:w w:val="105"/>
        </w:rPr>
        <w:t> </w:t>
      </w:r>
      <w:r>
        <w:rPr>
          <w:color w:val="231F20"/>
          <w:spacing w:val="-3"/>
          <w:w w:val="105"/>
        </w:rPr>
        <w:t>Los</w:t>
      </w:r>
      <w:r>
        <w:rPr>
          <w:color w:val="231F20"/>
          <w:spacing w:val="-19"/>
          <w:w w:val="105"/>
        </w:rPr>
        <w:t> </w:t>
      </w:r>
      <w:r>
        <w:rPr>
          <w:color w:val="231F20"/>
          <w:spacing w:val="-3"/>
          <w:w w:val="105"/>
        </w:rPr>
        <w:t>resultados</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modelo</w:t>
      </w:r>
      <w:r>
        <w:rPr>
          <w:color w:val="231F20"/>
          <w:spacing w:val="-19"/>
          <w:w w:val="105"/>
        </w:rPr>
        <w:t> </w:t>
      </w:r>
      <w:r>
        <w:rPr>
          <w:color w:val="231F20"/>
          <w:w w:val="105"/>
        </w:rPr>
        <w:t>indican</w:t>
      </w:r>
      <w:r>
        <w:rPr>
          <w:color w:val="231F20"/>
          <w:spacing w:val="-19"/>
          <w:w w:val="105"/>
        </w:rPr>
        <w:t> </w:t>
      </w:r>
      <w:r>
        <w:rPr>
          <w:color w:val="231F20"/>
          <w:w w:val="105"/>
        </w:rPr>
        <w:t>que</w:t>
      </w:r>
      <w:r>
        <w:rPr>
          <w:color w:val="231F20"/>
          <w:spacing w:val="-19"/>
          <w:w w:val="105"/>
        </w:rPr>
        <w:t> </w:t>
      </w:r>
      <w:r>
        <w:rPr>
          <w:color w:val="231F20"/>
          <w:w w:val="105"/>
        </w:rPr>
        <w:t>el </w:t>
      </w:r>
      <w:r>
        <w:rPr>
          <w:color w:val="231F20"/>
          <w:spacing w:val="-3"/>
          <w:w w:val="105"/>
        </w:rPr>
        <w:t>ahorro, </w:t>
      </w:r>
      <w:r>
        <w:rPr>
          <w:color w:val="231F20"/>
          <w:w w:val="105"/>
        </w:rPr>
        <w:t>al </w:t>
      </w:r>
      <w:r>
        <w:rPr>
          <w:color w:val="231F20"/>
          <w:spacing w:val="-3"/>
          <w:w w:val="105"/>
        </w:rPr>
        <w:t>reducir </w:t>
      </w:r>
      <w:r>
        <w:rPr>
          <w:color w:val="231F20"/>
          <w:w w:val="105"/>
        </w:rPr>
        <w:t>la demanda </w:t>
      </w:r>
      <w:r>
        <w:rPr>
          <w:color w:val="231F20"/>
          <w:spacing w:val="-3"/>
          <w:w w:val="105"/>
        </w:rPr>
        <w:t>agregada, erosiona </w:t>
      </w:r>
      <w:r>
        <w:rPr>
          <w:color w:val="231F20"/>
          <w:w w:val="105"/>
        </w:rPr>
        <w:t>la tasa de </w:t>
      </w:r>
      <w:r>
        <w:rPr>
          <w:color w:val="231F20"/>
          <w:spacing w:val="-3"/>
          <w:w w:val="105"/>
        </w:rPr>
        <w:t>crecimiento </w:t>
      </w:r>
      <w:r>
        <w:rPr>
          <w:color w:val="231F20"/>
          <w:w w:val="105"/>
        </w:rPr>
        <w:t>del</w:t>
      </w:r>
      <w:r>
        <w:rPr>
          <w:color w:val="231F20"/>
          <w:spacing w:val="-20"/>
          <w:w w:val="105"/>
        </w:rPr>
        <w:t> </w:t>
      </w:r>
      <w:r>
        <w:rPr>
          <w:color w:val="231F20"/>
          <w:w w:val="105"/>
        </w:rPr>
        <w:t>empleo</w:t>
      </w:r>
      <w:r>
        <w:rPr>
          <w:color w:val="231F20"/>
          <w:spacing w:val="-20"/>
          <w:w w:val="105"/>
        </w:rPr>
        <w:t> </w:t>
      </w:r>
      <w:r>
        <w:rPr>
          <w:color w:val="231F20"/>
          <w:w w:val="105"/>
        </w:rPr>
        <w:t>y</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producción</w:t>
      </w:r>
      <w:r>
        <w:rPr>
          <w:color w:val="231F20"/>
          <w:spacing w:val="-20"/>
          <w:w w:val="105"/>
        </w:rPr>
        <w:t> </w:t>
      </w:r>
      <w:r>
        <w:rPr>
          <w:color w:val="231F20"/>
          <w:spacing w:val="-2"/>
          <w:w w:val="105"/>
        </w:rPr>
        <w:t>(Kalecki,</w:t>
      </w:r>
      <w:r>
        <w:rPr>
          <w:color w:val="231F20"/>
          <w:spacing w:val="-26"/>
          <w:w w:val="105"/>
        </w:rPr>
        <w:t> </w:t>
      </w:r>
      <w:r>
        <w:rPr>
          <w:color w:val="231F20"/>
          <w:w w:val="105"/>
        </w:rPr>
        <w:t>1954;</w:t>
      </w:r>
      <w:r>
        <w:rPr>
          <w:color w:val="231F20"/>
          <w:spacing w:val="-20"/>
          <w:w w:val="105"/>
        </w:rPr>
        <w:t> </w:t>
      </w:r>
      <w:r>
        <w:rPr>
          <w:color w:val="231F20"/>
          <w:w w:val="105"/>
        </w:rPr>
        <w:t>Lavoie,</w:t>
      </w:r>
      <w:r>
        <w:rPr>
          <w:color w:val="231F20"/>
          <w:spacing w:val="-26"/>
          <w:w w:val="105"/>
        </w:rPr>
        <w:t> </w:t>
      </w:r>
      <w:r>
        <w:rPr>
          <w:color w:val="231F20"/>
          <w:w w:val="105"/>
        </w:rPr>
        <w:t>1992</w:t>
      </w:r>
      <w:r>
        <w:rPr>
          <w:color w:val="231F20"/>
          <w:spacing w:val="-20"/>
          <w:w w:val="105"/>
        </w:rPr>
        <w:t> </w:t>
      </w:r>
      <w:r>
        <w:rPr>
          <w:color w:val="231F20"/>
          <w:w w:val="105"/>
        </w:rPr>
        <w:t>y</w:t>
      </w:r>
      <w:r>
        <w:rPr>
          <w:color w:val="231F20"/>
          <w:spacing w:val="-20"/>
          <w:w w:val="105"/>
        </w:rPr>
        <w:t> </w:t>
      </w:r>
      <w:r>
        <w:rPr>
          <w:color w:val="231F20"/>
          <w:spacing w:val="-2"/>
          <w:w w:val="105"/>
        </w:rPr>
        <w:t>2006).</w:t>
      </w:r>
    </w:p>
    <w:p>
      <w:pPr>
        <w:pStyle w:val="BodyText"/>
        <w:spacing w:line="259" w:lineRule="auto"/>
        <w:ind w:left="117" w:right="101" w:firstLine="567"/>
        <w:jc w:val="both"/>
      </w:pPr>
      <w:r>
        <w:rPr>
          <w:color w:val="231F20"/>
          <w:spacing w:val="-6"/>
          <w:w w:val="105"/>
        </w:rPr>
        <w:t>Por</w:t>
      </w:r>
      <w:r>
        <w:rPr>
          <w:color w:val="231F20"/>
          <w:spacing w:val="-25"/>
          <w:w w:val="105"/>
        </w:rPr>
        <w:t> </w:t>
      </w:r>
      <w:r>
        <w:rPr>
          <w:color w:val="231F20"/>
          <w:w w:val="105"/>
        </w:rPr>
        <w:t>otro</w:t>
      </w:r>
      <w:r>
        <w:rPr>
          <w:color w:val="231F20"/>
          <w:spacing w:val="-25"/>
          <w:w w:val="105"/>
        </w:rPr>
        <w:t> </w:t>
      </w:r>
      <w:r>
        <w:rPr>
          <w:color w:val="231F20"/>
          <w:w w:val="105"/>
        </w:rPr>
        <w:t>lado</w:t>
      </w:r>
      <w:r>
        <w:rPr>
          <w:color w:val="231F20"/>
          <w:spacing w:val="-25"/>
          <w:w w:val="105"/>
        </w:rPr>
        <w:t> </w:t>
      </w:r>
      <w:r>
        <w:rPr>
          <w:color w:val="231F20"/>
          <w:w w:val="105"/>
        </w:rPr>
        <w:t>Kaldor</w:t>
      </w:r>
      <w:r>
        <w:rPr>
          <w:color w:val="231F20"/>
          <w:spacing w:val="-25"/>
          <w:w w:val="105"/>
        </w:rPr>
        <w:t> </w:t>
      </w:r>
      <w:r>
        <w:rPr>
          <w:color w:val="231F20"/>
          <w:w w:val="105"/>
        </w:rPr>
        <w:t>(1957)</w:t>
      </w:r>
      <w:r>
        <w:rPr>
          <w:color w:val="231F20"/>
          <w:spacing w:val="-25"/>
          <w:w w:val="105"/>
        </w:rPr>
        <w:t> </w:t>
      </w:r>
      <w:r>
        <w:rPr>
          <w:color w:val="231F20"/>
          <w:w w:val="105"/>
        </w:rPr>
        <w:t>y</w:t>
      </w:r>
      <w:r>
        <w:rPr>
          <w:color w:val="231F20"/>
          <w:spacing w:val="-25"/>
          <w:w w:val="105"/>
        </w:rPr>
        <w:t> </w:t>
      </w:r>
      <w:r>
        <w:rPr>
          <w:color w:val="231F20"/>
          <w:w w:val="105"/>
        </w:rPr>
        <w:t>Robinson</w:t>
      </w:r>
      <w:r>
        <w:rPr>
          <w:color w:val="231F20"/>
          <w:spacing w:val="-25"/>
          <w:w w:val="105"/>
        </w:rPr>
        <w:t> </w:t>
      </w:r>
      <w:r>
        <w:rPr>
          <w:color w:val="231F20"/>
          <w:w w:val="105"/>
        </w:rPr>
        <w:t>(1962)</w:t>
      </w:r>
      <w:r>
        <w:rPr>
          <w:color w:val="231F20"/>
          <w:spacing w:val="-25"/>
          <w:w w:val="105"/>
        </w:rPr>
        <w:t> </w:t>
      </w:r>
      <w:r>
        <w:rPr>
          <w:color w:val="231F20"/>
          <w:w w:val="105"/>
        </w:rPr>
        <w:t>construyeron</w:t>
      </w:r>
      <w:r>
        <w:rPr>
          <w:color w:val="231F20"/>
          <w:spacing w:val="-25"/>
          <w:w w:val="105"/>
        </w:rPr>
        <w:t> </w:t>
      </w:r>
      <w:r>
        <w:rPr>
          <w:color w:val="231F20"/>
          <w:w w:val="105"/>
        </w:rPr>
        <w:t>un</w:t>
      </w:r>
      <w:r>
        <w:rPr>
          <w:color w:val="231F20"/>
          <w:spacing w:val="-25"/>
          <w:w w:val="105"/>
        </w:rPr>
        <w:t> </w:t>
      </w:r>
      <w:r>
        <w:rPr>
          <w:color w:val="231F20"/>
          <w:w w:val="105"/>
        </w:rPr>
        <w:t>mo- delo de crecimiento que supone la completa utilización de la</w:t>
      </w:r>
      <w:r>
        <w:rPr>
          <w:color w:val="231F20"/>
          <w:spacing w:val="-38"/>
          <w:w w:val="105"/>
        </w:rPr>
        <w:t> </w:t>
      </w:r>
      <w:r>
        <w:rPr>
          <w:color w:val="231F20"/>
          <w:w w:val="105"/>
        </w:rPr>
        <w:t>capacidad instalada. Concluyen que la tasa de crecimiento de equilibrio y la de- manda de trabajo dependen negativamente de la propensión marginal a ahorrar y que un mayor crecimiento autónomo de la inversión</w:t>
      </w:r>
      <w:r>
        <w:rPr>
          <w:color w:val="231F20"/>
          <w:spacing w:val="-25"/>
          <w:w w:val="105"/>
        </w:rPr>
        <w:t> </w:t>
      </w:r>
      <w:r>
        <w:rPr>
          <w:color w:val="231F20"/>
          <w:w w:val="105"/>
        </w:rPr>
        <w:t>genera una</w:t>
      </w:r>
      <w:r>
        <w:rPr>
          <w:color w:val="231F20"/>
          <w:spacing w:val="-20"/>
          <w:w w:val="105"/>
        </w:rPr>
        <w:t> </w:t>
      </w:r>
      <w:r>
        <w:rPr>
          <w:color w:val="231F20"/>
          <w:w w:val="105"/>
        </w:rPr>
        <w:t>caída</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salarios</w:t>
      </w:r>
      <w:r>
        <w:rPr>
          <w:color w:val="231F20"/>
          <w:spacing w:val="-20"/>
          <w:w w:val="105"/>
        </w:rPr>
        <w:t> </w:t>
      </w:r>
      <w:r>
        <w:rPr>
          <w:color w:val="231F20"/>
          <w:w w:val="105"/>
        </w:rPr>
        <w:t>reales.</w:t>
      </w:r>
      <w:r>
        <w:rPr>
          <w:color w:val="231F20"/>
          <w:spacing w:val="-29"/>
          <w:w w:val="105"/>
        </w:rPr>
        <w:t> </w:t>
      </w:r>
      <w:r>
        <w:rPr>
          <w:color w:val="231F20"/>
          <w:spacing w:val="-3"/>
          <w:w w:val="105"/>
        </w:rPr>
        <w:t>También</w:t>
      </w:r>
      <w:r>
        <w:rPr>
          <w:color w:val="231F20"/>
          <w:spacing w:val="-20"/>
          <w:w w:val="105"/>
        </w:rPr>
        <w:t> </w:t>
      </w:r>
      <w:r>
        <w:rPr>
          <w:color w:val="231F20"/>
          <w:w w:val="105"/>
        </w:rPr>
        <w:t>establecen</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demanda</w:t>
      </w:r>
      <w:r>
        <w:rPr>
          <w:color w:val="231F20"/>
          <w:spacing w:val="-20"/>
          <w:w w:val="105"/>
        </w:rPr>
        <w:t> </w:t>
      </w:r>
      <w:r>
        <w:rPr>
          <w:color w:val="231F20"/>
          <w:w w:val="105"/>
        </w:rPr>
        <w:t>de trabajo</w:t>
      </w:r>
      <w:r>
        <w:rPr>
          <w:color w:val="231F20"/>
          <w:spacing w:val="-11"/>
          <w:w w:val="105"/>
        </w:rPr>
        <w:t> </w:t>
      </w:r>
      <w:r>
        <w:rPr>
          <w:color w:val="231F20"/>
          <w:w w:val="105"/>
        </w:rPr>
        <w:t>se</w:t>
      </w:r>
      <w:r>
        <w:rPr>
          <w:color w:val="231F20"/>
          <w:spacing w:val="-11"/>
          <w:w w:val="105"/>
        </w:rPr>
        <w:t> </w:t>
      </w:r>
      <w:r>
        <w:rPr>
          <w:color w:val="231F20"/>
          <w:w w:val="105"/>
        </w:rPr>
        <w:t>relaciona</w:t>
      </w:r>
      <w:r>
        <w:rPr>
          <w:color w:val="231F20"/>
          <w:spacing w:val="-11"/>
          <w:w w:val="105"/>
        </w:rPr>
        <w:t> </w:t>
      </w:r>
      <w:r>
        <w:rPr>
          <w:color w:val="231F20"/>
          <w:w w:val="105"/>
        </w:rPr>
        <w:t>positivamente</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participación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ganancias en el ingreso, o lo que es igual, negativamente con el salario real. Este último resultado ha sido criticado en el sentido de no corresponder a las</w:t>
      </w:r>
      <w:r>
        <w:rPr>
          <w:color w:val="231F20"/>
          <w:spacing w:val="-19"/>
          <w:w w:val="105"/>
        </w:rPr>
        <w:t> </w:t>
      </w:r>
      <w:r>
        <w:rPr>
          <w:color w:val="231F20"/>
          <w:w w:val="105"/>
        </w:rPr>
        <w:t>recomendaciones</w:t>
      </w:r>
      <w:r>
        <w:rPr>
          <w:color w:val="231F20"/>
          <w:spacing w:val="-19"/>
          <w:w w:val="105"/>
        </w:rPr>
        <w:t> </w:t>
      </w:r>
      <w:r>
        <w:rPr>
          <w:color w:val="231F20"/>
          <w:w w:val="105"/>
        </w:rPr>
        <w:t>postkeynesianas</w:t>
      </w:r>
      <w:r>
        <w:rPr>
          <w:color w:val="231F20"/>
          <w:spacing w:val="-19"/>
          <w:w w:val="105"/>
        </w:rPr>
        <w:t> </w:t>
      </w:r>
      <w:r>
        <w:rPr>
          <w:color w:val="231F20"/>
          <w:w w:val="105"/>
        </w:rPr>
        <w:t>de</w:t>
      </w:r>
      <w:r>
        <w:rPr>
          <w:color w:val="231F20"/>
          <w:spacing w:val="-19"/>
          <w:w w:val="105"/>
        </w:rPr>
        <w:t> </w:t>
      </w:r>
      <w:r>
        <w:rPr>
          <w:color w:val="231F20"/>
          <w:w w:val="105"/>
        </w:rPr>
        <w:t>aumentar</w:t>
      </w:r>
      <w:r>
        <w:rPr>
          <w:color w:val="231F20"/>
          <w:spacing w:val="-19"/>
          <w:w w:val="105"/>
        </w:rPr>
        <w:t> </w:t>
      </w:r>
      <w:r>
        <w:rPr>
          <w:color w:val="231F20"/>
          <w:w w:val="105"/>
        </w:rPr>
        <w:t>los</w:t>
      </w:r>
      <w:r>
        <w:rPr>
          <w:color w:val="231F20"/>
          <w:spacing w:val="-19"/>
          <w:w w:val="105"/>
        </w:rPr>
        <w:t> </w:t>
      </w:r>
      <w:r>
        <w:rPr>
          <w:color w:val="231F20"/>
          <w:w w:val="105"/>
        </w:rPr>
        <w:t>salarios</w:t>
      </w:r>
      <w:r>
        <w:rPr>
          <w:color w:val="231F20"/>
          <w:spacing w:val="-19"/>
          <w:w w:val="105"/>
        </w:rPr>
        <w:t> </w:t>
      </w:r>
      <w:r>
        <w:rPr>
          <w:color w:val="231F20"/>
          <w:w w:val="105"/>
        </w:rPr>
        <w:t>para</w:t>
      </w:r>
      <w:r>
        <w:rPr>
          <w:color w:val="231F20"/>
          <w:spacing w:val="-19"/>
          <w:w w:val="105"/>
        </w:rPr>
        <w:t> </w:t>
      </w:r>
      <w:r>
        <w:rPr>
          <w:color w:val="231F20"/>
          <w:w w:val="105"/>
        </w:rPr>
        <w:t>in- crementar la ocupación por medio de una mayor demanda agregada (Lavoie,</w:t>
      </w:r>
      <w:r>
        <w:rPr>
          <w:color w:val="231F20"/>
          <w:spacing w:val="-46"/>
          <w:w w:val="105"/>
        </w:rPr>
        <w:t> </w:t>
      </w:r>
      <w:r>
        <w:rPr>
          <w:color w:val="231F20"/>
          <w:w w:val="105"/>
        </w:rPr>
        <w:t>2006;</w:t>
      </w:r>
      <w:r>
        <w:rPr>
          <w:color w:val="231F20"/>
          <w:spacing w:val="-44"/>
          <w:w w:val="105"/>
        </w:rPr>
        <w:t> </w:t>
      </w:r>
      <w:r>
        <w:rPr>
          <w:color w:val="231F20"/>
          <w:w w:val="105"/>
        </w:rPr>
        <w:t>Antunez,</w:t>
      </w:r>
      <w:r>
        <w:rPr>
          <w:color w:val="231F20"/>
          <w:spacing w:val="-46"/>
          <w:w w:val="105"/>
        </w:rPr>
        <w:t> </w:t>
      </w:r>
      <w:r>
        <w:rPr>
          <w:color w:val="231F20"/>
          <w:w w:val="105"/>
        </w:rPr>
        <w:t>2009).</w:t>
      </w:r>
    </w:p>
    <w:p>
      <w:pPr>
        <w:pStyle w:val="BodyText"/>
        <w:spacing w:line="259" w:lineRule="auto"/>
        <w:ind w:left="117" w:right="101" w:firstLine="567"/>
        <w:jc w:val="both"/>
      </w:pPr>
      <w:r>
        <w:rPr>
          <w:color w:val="231F20"/>
          <w:w w:val="105"/>
        </w:rPr>
        <w:t>En general, se identifican seis aspectos principales sobre los</w:t>
      </w:r>
      <w:r>
        <w:rPr>
          <w:color w:val="231F20"/>
          <w:spacing w:val="-28"/>
          <w:w w:val="105"/>
        </w:rPr>
        <w:t> </w:t>
      </w:r>
      <w:r>
        <w:rPr>
          <w:color w:val="231F20"/>
          <w:w w:val="105"/>
        </w:rPr>
        <w:t>que se enfoca esta corriente teórica: i) la noción de que el sistema econó- mico es un proceso dinámico de carácter irreversible en el tiempo; ii)</w:t>
      </w:r>
      <w:r>
        <w:rPr>
          <w:color w:val="231F20"/>
          <w:spacing w:val="-38"/>
          <w:w w:val="105"/>
        </w:rPr>
        <w:t> </w:t>
      </w:r>
      <w:r>
        <w:rPr>
          <w:color w:val="231F20"/>
          <w:w w:val="105"/>
        </w:rPr>
        <w:t>el rol</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expectativas</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mundo</w:t>
      </w:r>
      <w:r>
        <w:rPr>
          <w:color w:val="231F20"/>
          <w:spacing w:val="-8"/>
          <w:w w:val="105"/>
        </w:rPr>
        <w:t> </w:t>
      </w:r>
      <w:r>
        <w:rPr>
          <w:color w:val="231F20"/>
          <w:w w:val="105"/>
        </w:rPr>
        <w:t>caracterizado</w:t>
      </w:r>
      <w:r>
        <w:rPr>
          <w:color w:val="231F20"/>
          <w:spacing w:val="-8"/>
          <w:w w:val="105"/>
        </w:rPr>
        <w:t> </w:t>
      </w:r>
      <w:r>
        <w:rPr>
          <w:color w:val="231F20"/>
          <w:w w:val="105"/>
        </w:rPr>
        <w:t>por</w:t>
      </w:r>
      <w:r>
        <w:rPr>
          <w:color w:val="231F20"/>
          <w:spacing w:val="-8"/>
          <w:w w:val="105"/>
        </w:rPr>
        <w:t> </w:t>
      </w:r>
      <w:r>
        <w:rPr>
          <w:color w:val="231F20"/>
          <w:w w:val="105"/>
        </w:rPr>
        <w:t>la</w:t>
      </w:r>
      <w:r>
        <w:rPr>
          <w:color w:val="231F20"/>
          <w:spacing w:val="-8"/>
          <w:w w:val="105"/>
        </w:rPr>
        <w:t> </w:t>
      </w:r>
      <w:r>
        <w:rPr>
          <w:color w:val="231F20"/>
          <w:w w:val="105"/>
        </w:rPr>
        <w:t>incertidumbre;</w:t>
      </w:r>
    </w:p>
    <w:p>
      <w:pPr>
        <w:pStyle w:val="BodyText"/>
        <w:spacing w:line="259" w:lineRule="auto"/>
        <w:ind w:left="117" w:right="101"/>
        <w:jc w:val="both"/>
      </w:pPr>
      <w:r>
        <w:rPr>
          <w:color w:val="231F20"/>
          <w:w w:val="105"/>
        </w:rPr>
        <w:t>iii)</w:t>
      </w:r>
      <w:r>
        <w:rPr>
          <w:color w:val="231F20"/>
          <w:spacing w:val="-8"/>
          <w:w w:val="105"/>
        </w:rPr>
        <w:t> </w:t>
      </w:r>
      <w:r>
        <w:rPr>
          <w:color w:val="231F20"/>
          <w:w w:val="105"/>
        </w:rPr>
        <w:t>el</w:t>
      </w:r>
      <w:r>
        <w:rPr>
          <w:color w:val="231F20"/>
          <w:spacing w:val="-8"/>
          <w:w w:val="105"/>
        </w:rPr>
        <w:t> </w:t>
      </w:r>
      <w:r>
        <w:rPr>
          <w:color w:val="231F20"/>
          <w:w w:val="105"/>
        </w:rPr>
        <w:t>papel</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expectativas</w:t>
      </w:r>
      <w:r>
        <w:rPr>
          <w:color w:val="231F20"/>
          <w:spacing w:val="-8"/>
          <w:w w:val="105"/>
        </w:rPr>
        <w:t> </w:t>
      </w:r>
      <w:r>
        <w:rPr>
          <w:color w:val="231F20"/>
          <w:w w:val="105"/>
        </w:rPr>
        <w:t>y</w:t>
      </w:r>
      <w:r>
        <w:rPr>
          <w:color w:val="231F20"/>
          <w:spacing w:val="-8"/>
          <w:w w:val="105"/>
        </w:rPr>
        <w:t> </w:t>
      </w:r>
      <w:r>
        <w:rPr>
          <w:color w:val="231F20"/>
          <w:w w:val="105"/>
        </w:rPr>
        <w:t>las</w:t>
      </w:r>
      <w:r>
        <w:rPr>
          <w:color w:val="231F20"/>
          <w:spacing w:val="-8"/>
          <w:w w:val="105"/>
        </w:rPr>
        <w:t> </w:t>
      </w:r>
      <w:r>
        <w:rPr>
          <w:color w:val="231F20"/>
          <w:w w:val="105"/>
        </w:rPr>
        <w:t>instituciones</w:t>
      </w:r>
      <w:r>
        <w:rPr>
          <w:color w:val="231F20"/>
          <w:spacing w:val="-8"/>
          <w:w w:val="105"/>
        </w:rPr>
        <w:t> </w:t>
      </w:r>
      <w:r>
        <w:rPr>
          <w:color w:val="231F20"/>
          <w:w w:val="105"/>
        </w:rPr>
        <w:t>políticas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sistema económico;</w:t>
      </w:r>
      <w:r>
        <w:rPr>
          <w:color w:val="231F20"/>
          <w:spacing w:val="-15"/>
          <w:w w:val="105"/>
        </w:rPr>
        <w:t> </w:t>
      </w:r>
      <w:r>
        <w:rPr>
          <w:color w:val="231F20"/>
          <w:w w:val="105"/>
        </w:rPr>
        <w:t>iv)</w:t>
      </w:r>
      <w:r>
        <w:rPr>
          <w:color w:val="231F20"/>
          <w:spacing w:val="-15"/>
          <w:w w:val="105"/>
        </w:rPr>
        <w:t> </w:t>
      </w:r>
      <w:r>
        <w:rPr>
          <w:color w:val="231F20"/>
          <w:w w:val="105"/>
        </w:rPr>
        <w:t>la</w:t>
      </w:r>
      <w:r>
        <w:rPr>
          <w:color w:val="231F20"/>
          <w:spacing w:val="-15"/>
          <w:w w:val="105"/>
        </w:rPr>
        <w:t> </w:t>
      </w:r>
      <w:r>
        <w:rPr>
          <w:color w:val="231F20"/>
          <w:w w:val="105"/>
        </w:rPr>
        <w:t>relevancia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distribución</w:t>
      </w:r>
      <w:r>
        <w:rPr>
          <w:color w:val="231F20"/>
          <w:spacing w:val="-15"/>
          <w:w w:val="105"/>
        </w:rPr>
        <w:t> </w:t>
      </w:r>
      <w:r>
        <w:rPr>
          <w:color w:val="231F20"/>
          <w:w w:val="105"/>
        </w:rPr>
        <w:t>del</w:t>
      </w:r>
      <w:r>
        <w:rPr>
          <w:color w:val="231F20"/>
          <w:spacing w:val="-15"/>
          <w:w w:val="105"/>
        </w:rPr>
        <w:t> </w:t>
      </w:r>
      <w:r>
        <w:rPr>
          <w:color w:val="231F20"/>
          <w:w w:val="105"/>
        </w:rPr>
        <w:t>ingreso;</w:t>
      </w:r>
      <w:r>
        <w:rPr>
          <w:color w:val="231F20"/>
          <w:spacing w:val="-15"/>
          <w:w w:val="105"/>
        </w:rPr>
        <w:t> </w:t>
      </w:r>
      <w:r>
        <w:rPr>
          <w:color w:val="231F20"/>
          <w:w w:val="105"/>
        </w:rPr>
        <w:t>v)</w:t>
      </w:r>
      <w:r>
        <w:rPr>
          <w:color w:val="231F20"/>
          <w:spacing w:val="-15"/>
          <w:w w:val="105"/>
        </w:rPr>
        <w:t> </w:t>
      </w:r>
      <w:r>
        <w:rPr>
          <w:color w:val="231F20"/>
          <w:w w:val="105"/>
        </w:rPr>
        <w:t>el</w:t>
      </w:r>
      <w:r>
        <w:rPr>
          <w:color w:val="231F20"/>
          <w:spacing w:val="-15"/>
          <w:w w:val="105"/>
        </w:rPr>
        <w:t> </w:t>
      </w:r>
      <w:r>
        <w:rPr>
          <w:color w:val="231F20"/>
          <w:w w:val="105"/>
        </w:rPr>
        <w:t>concepto del capital en el sistema económico; </w:t>
      </w:r>
      <w:r>
        <w:rPr>
          <w:color w:val="231F20"/>
          <w:spacing w:val="-4"/>
          <w:w w:val="105"/>
        </w:rPr>
        <w:t>y, </w:t>
      </w:r>
      <w:r>
        <w:rPr>
          <w:color w:val="231F20"/>
          <w:w w:val="105"/>
        </w:rPr>
        <w:t>vi) el dominio del efecto</w:t>
      </w:r>
      <w:r>
        <w:rPr>
          <w:color w:val="231F20"/>
          <w:spacing w:val="-17"/>
          <w:w w:val="105"/>
        </w:rPr>
        <w:t> </w:t>
      </w:r>
      <w:r>
        <w:rPr>
          <w:color w:val="231F20"/>
          <w:w w:val="105"/>
        </w:rPr>
        <w:t>ingreso sobre</w:t>
      </w:r>
      <w:r>
        <w:rPr>
          <w:color w:val="231F20"/>
          <w:spacing w:val="-33"/>
          <w:w w:val="105"/>
        </w:rPr>
        <w:t> </w:t>
      </w:r>
      <w:r>
        <w:rPr>
          <w:color w:val="231F20"/>
          <w:w w:val="105"/>
        </w:rPr>
        <w:t>el</w:t>
      </w:r>
      <w:r>
        <w:rPr>
          <w:color w:val="231F20"/>
          <w:spacing w:val="-33"/>
          <w:w w:val="105"/>
        </w:rPr>
        <w:t> </w:t>
      </w:r>
      <w:r>
        <w:rPr>
          <w:color w:val="231F20"/>
          <w:w w:val="105"/>
        </w:rPr>
        <w:t>efecto</w:t>
      </w:r>
      <w:r>
        <w:rPr>
          <w:color w:val="231F20"/>
          <w:spacing w:val="-33"/>
          <w:w w:val="105"/>
        </w:rPr>
        <w:t> </w:t>
      </w:r>
      <w:r>
        <w:rPr>
          <w:color w:val="231F20"/>
          <w:w w:val="105"/>
        </w:rPr>
        <w:t>sustitución</w:t>
      </w:r>
      <w:r>
        <w:rPr>
          <w:color w:val="231F20"/>
          <w:spacing w:val="-33"/>
          <w:w w:val="105"/>
        </w:rPr>
        <w:t> </w:t>
      </w:r>
      <w:r>
        <w:rPr>
          <w:color w:val="231F20"/>
          <w:w w:val="105"/>
        </w:rPr>
        <w:t>(León-Díaz,</w:t>
      </w:r>
      <w:r>
        <w:rPr>
          <w:color w:val="231F20"/>
          <w:spacing w:val="-37"/>
          <w:w w:val="105"/>
        </w:rPr>
        <w:t> </w:t>
      </w:r>
      <w:r>
        <w:rPr>
          <w:color w:val="231F20"/>
          <w:w w:val="105"/>
        </w:rPr>
        <w:t>2007).</w:t>
      </w:r>
    </w:p>
    <w:p>
      <w:pPr>
        <w:spacing w:after="0" w:line="259" w:lineRule="auto"/>
        <w:jc w:val="both"/>
        <w:sectPr>
          <w:pgSz w:w="9640" w:h="13890"/>
          <w:pgMar w:top="0" w:bottom="280" w:left="1300" w:right="1200"/>
        </w:sectPr>
      </w:pPr>
    </w:p>
    <w:p>
      <w:pPr>
        <w:pStyle w:val="BodyText"/>
        <w:spacing w:line="259" w:lineRule="auto" w:before="33"/>
        <w:ind w:left="103" w:right="115"/>
        <w:jc w:val="both"/>
      </w:pPr>
      <w:r>
        <w:rPr>
          <w:color w:val="231F20"/>
        </w:rPr>
        <w:t>Los postkeynesianos explican al desempleo involuntario a partir de las fallas en la economía asociadas a una demanda efectiva insuficiente, que a su vez se originan de desigualdades distributivas y prácticas monopóli- cas en el mercado de</w:t>
      </w:r>
      <w:r>
        <w:rPr>
          <w:color w:val="231F20"/>
          <w:spacing w:val="50"/>
        </w:rPr>
        <w:t> </w:t>
      </w:r>
      <w:r>
        <w:rPr>
          <w:color w:val="231F20"/>
        </w:rPr>
        <w:t>bienes.</w:t>
      </w:r>
    </w:p>
    <w:p>
      <w:pPr>
        <w:pStyle w:val="BodyText"/>
        <w:spacing w:line="259" w:lineRule="auto"/>
        <w:ind w:left="103" w:right="114" w:firstLine="567"/>
        <w:jc w:val="both"/>
      </w:pPr>
      <w:r>
        <w:rPr>
          <w:color w:val="231F20"/>
          <w:spacing w:val="-4"/>
          <w:w w:val="105"/>
        </w:rPr>
        <w:t>Para</w:t>
      </w:r>
      <w:r>
        <w:rPr>
          <w:color w:val="231F20"/>
          <w:spacing w:val="-29"/>
          <w:w w:val="105"/>
        </w:rPr>
        <w:t> </w:t>
      </w:r>
      <w:r>
        <w:rPr>
          <w:color w:val="231F20"/>
          <w:w w:val="105"/>
        </w:rPr>
        <w:t>el</w:t>
      </w:r>
      <w:r>
        <w:rPr>
          <w:color w:val="231F20"/>
          <w:spacing w:val="-29"/>
          <w:w w:val="105"/>
        </w:rPr>
        <w:t> </w:t>
      </w:r>
      <w:r>
        <w:rPr>
          <w:color w:val="231F20"/>
          <w:w w:val="105"/>
        </w:rPr>
        <w:t>enfoque</w:t>
      </w:r>
      <w:r>
        <w:rPr>
          <w:color w:val="231F20"/>
          <w:spacing w:val="-29"/>
          <w:w w:val="105"/>
        </w:rPr>
        <w:t> </w:t>
      </w:r>
      <w:r>
        <w:rPr>
          <w:color w:val="231F20"/>
          <w:w w:val="105"/>
        </w:rPr>
        <w:t>postkeynesiano,</w:t>
      </w:r>
      <w:r>
        <w:rPr>
          <w:color w:val="231F20"/>
          <w:spacing w:val="-35"/>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corto</w:t>
      </w:r>
      <w:r>
        <w:rPr>
          <w:color w:val="231F20"/>
          <w:spacing w:val="-29"/>
          <w:w w:val="105"/>
        </w:rPr>
        <w:t> </w:t>
      </w:r>
      <w:r>
        <w:rPr>
          <w:color w:val="231F20"/>
          <w:w w:val="105"/>
        </w:rPr>
        <w:t>plazo</w:t>
      </w:r>
      <w:r>
        <w:rPr>
          <w:color w:val="231F20"/>
          <w:spacing w:val="-29"/>
          <w:w w:val="105"/>
        </w:rPr>
        <w:t> </w:t>
      </w:r>
      <w:r>
        <w:rPr>
          <w:color w:val="231F20"/>
          <w:w w:val="105"/>
        </w:rPr>
        <w:t>los</w:t>
      </w:r>
      <w:r>
        <w:rPr>
          <w:color w:val="231F20"/>
          <w:spacing w:val="-29"/>
          <w:w w:val="105"/>
        </w:rPr>
        <w:t> </w:t>
      </w:r>
      <w:r>
        <w:rPr>
          <w:color w:val="231F20"/>
          <w:w w:val="105"/>
        </w:rPr>
        <w:t>distintos</w:t>
      </w:r>
      <w:r>
        <w:rPr>
          <w:color w:val="231F20"/>
          <w:spacing w:val="-29"/>
          <w:w w:val="105"/>
        </w:rPr>
        <w:t> </w:t>
      </w:r>
      <w:r>
        <w:rPr>
          <w:color w:val="231F20"/>
          <w:w w:val="105"/>
        </w:rPr>
        <w:t>com- ponentes de la demanda agregada deben considerarse los principales determinantes</w:t>
      </w:r>
      <w:r>
        <w:rPr>
          <w:color w:val="231F20"/>
          <w:spacing w:val="-13"/>
          <w:w w:val="105"/>
        </w:rPr>
        <w:t> </w:t>
      </w:r>
      <w:r>
        <w:rPr>
          <w:color w:val="231F20"/>
          <w:w w:val="105"/>
        </w:rPr>
        <w:t>del</w:t>
      </w:r>
      <w:r>
        <w:rPr>
          <w:color w:val="231F20"/>
          <w:spacing w:val="-13"/>
          <w:w w:val="105"/>
        </w:rPr>
        <w:t> </w:t>
      </w:r>
      <w:r>
        <w:rPr>
          <w:color w:val="231F20"/>
          <w:w w:val="105"/>
        </w:rPr>
        <w:t>nivel</w:t>
      </w:r>
      <w:r>
        <w:rPr>
          <w:color w:val="231F20"/>
          <w:spacing w:val="-13"/>
          <w:w w:val="105"/>
        </w:rPr>
        <w:t> </w:t>
      </w:r>
      <w:r>
        <w:rPr>
          <w:color w:val="231F20"/>
          <w:w w:val="105"/>
        </w:rPr>
        <w:t>de</w:t>
      </w:r>
      <w:r>
        <w:rPr>
          <w:color w:val="231F20"/>
          <w:spacing w:val="-13"/>
          <w:w w:val="105"/>
        </w:rPr>
        <w:t> </w:t>
      </w:r>
      <w:r>
        <w:rPr>
          <w:color w:val="231F20"/>
          <w:w w:val="105"/>
        </w:rPr>
        <w:t>empleo</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economía</w:t>
      </w:r>
      <w:r>
        <w:rPr>
          <w:color w:val="231F20"/>
          <w:spacing w:val="-13"/>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variaciones salariales</w:t>
      </w:r>
      <w:r>
        <w:rPr>
          <w:color w:val="231F20"/>
          <w:spacing w:val="-22"/>
          <w:w w:val="105"/>
        </w:rPr>
        <w:t> </w:t>
      </w:r>
      <w:r>
        <w:rPr>
          <w:color w:val="231F20"/>
          <w:w w:val="105"/>
        </w:rPr>
        <w:t>juegan</w:t>
      </w:r>
      <w:r>
        <w:rPr>
          <w:color w:val="231F20"/>
          <w:spacing w:val="-22"/>
          <w:w w:val="105"/>
        </w:rPr>
        <w:t> </w:t>
      </w:r>
      <w:r>
        <w:rPr>
          <w:color w:val="231F20"/>
          <w:w w:val="105"/>
        </w:rPr>
        <w:t>un</w:t>
      </w:r>
      <w:r>
        <w:rPr>
          <w:color w:val="231F20"/>
          <w:spacing w:val="-22"/>
          <w:w w:val="105"/>
        </w:rPr>
        <w:t> </w:t>
      </w:r>
      <w:r>
        <w:rPr>
          <w:color w:val="231F20"/>
          <w:w w:val="105"/>
        </w:rPr>
        <w:t>papel</w:t>
      </w:r>
      <w:r>
        <w:rPr>
          <w:color w:val="231F20"/>
          <w:spacing w:val="-22"/>
          <w:w w:val="105"/>
        </w:rPr>
        <w:t> </w:t>
      </w:r>
      <w:r>
        <w:rPr>
          <w:color w:val="231F20"/>
          <w:w w:val="105"/>
        </w:rPr>
        <w:t>secundario.</w:t>
      </w:r>
      <w:r>
        <w:rPr>
          <w:color w:val="231F20"/>
          <w:spacing w:val="-30"/>
          <w:w w:val="105"/>
        </w:rPr>
        <w:t> </w:t>
      </w:r>
      <w:r>
        <w:rPr>
          <w:color w:val="231F20"/>
          <w:w w:val="105"/>
        </w:rPr>
        <w:t>Así,</w:t>
      </w:r>
      <w:r>
        <w:rPr>
          <w:color w:val="231F20"/>
          <w:spacing w:val="-27"/>
          <w:w w:val="105"/>
        </w:rPr>
        <w:t> </w:t>
      </w:r>
      <w:r>
        <w:rPr>
          <w:color w:val="231F20"/>
          <w:w w:val="105"/>
        </w:rPr>
        <w:t>la</w:t>
      </w:r>
      <w:r>
        <w:rPr>
          <w:color w:val="231F20"/>
          <w:spacing w:val="-22"/>
          <w:w w:val="105"/>
        </w:rPr>
        <w:t> </w:t>
      </w:r>
      <w:r>
        <w:rPr>
          <w:color w:val="231F20"/>
          <w:w w:val="105"/>
        </w:rPr>
        <w:t>oferta</w:t>
      </w:r>
      <w:r>
        <w:rPr>
          <w:color w:val="231F20"/>
          <w:spacing w:val="-22"/>
          <w:w w:val="105"/>
        </w:rPr>
        <w:t> </w:t>
      </w:r>
      <w:r>
        <w:rPr>
          <w:color w:val="231F20"/>
          <w:w w:val="105"/>
        </w:rPr>
        <w:t>de</w:t>
      </w:r>
      <w:r>
        <w:rPr>
          <w:color w:val="231F20"/>
          <w:spacing w:val="-22"/>
          <w:w w:val="105"/>
        </w:rPr>
        <w:t> </w:t>
      </w:r>
      <w:r>
        <w:rPr>
          <w:color w:val="231F20"/>
          <w:w w:val="105"/>
        </w:rPr>
        <w:t>trabajo</w:t>
      </w:r>
      <w:r>
        <w:rPr>
          <w:color w:val="231F20"/>
          <w:spacing w:val="-22"/>
          <w:w w:val="105"/>
        </w:rPr>
        <w:t> </w:t>
      </w:r>
      <w:r>
        <w:rPr>
          <w:color w:val="231F20"/>
          <w:w w:val="105"/>
        </w:rPr>
        <w:t>no</w:t>
      </w:r>
      <w:r>
        <w:rPr>
          <w:color w:val="231F20"/>
          <w:spacing w:val="-22"/>
          <w:w w:val="105"/>
        </w:rPr>
        <w:t> </w:t>
      </w:r>
      <w:r>
        <w:rPr>
          <w:color w:val="231F20"/>
          <w:w w:val="105"/>
        </w:rPr>
        <w:t>depen- de</w:t>
      </w:r>
      <w:r>
        <w:rPr>
          <w:color w:val="231F20"/>
          <w:spacing w:val="-5"/>
          <w:w w:val="105"/>
        </w:rPr>
        <w:t> </w:t>
      </w:r>
      <w:r>
        <w:rPr>
          <w:color w:val="231F20"/>
          <w:w w:val="105"/>
        </w:rPr>
        <w:t>del</w:t>
      </w:r>
      <w:r>
        <w:rPr>
          <w:color w:val="231F20"/>
          <w:spacing w:val="-5"/>
          <w:w w:val="105"/>
        </w:rPr>
        <w:t> </w:t>
      </w:r>
      <w:r>
        <w:rPr>
          <w:color w:val="231F20"/>
          <w:w w:val="105"/>
        </w:rPr>
        <w:t>salario</w:t>
      </w:r>
      <w:r>
        <w:rPr>
          <w:color w:val="231F20"/>
          <w:spacing w:val="-5"/>
          <w:w w:val="105"/>
        </w:rPr>
        <w:t> </w:t>
      </w:r>
      <w:r>
        <w:rPr>
          <w:color w:val="231F20"/>
          <w:w w:val="105"/>
        </w:rPr>
        <w:t>real</w:t>
      </w:r>
      <w:r>
        <w:rPr>
          <w:color w:val="231F20"/>
          <w:spacing w:val="-5"/>
          <w:w w:val="105"/>
        </w:rPr>
        <w:t> </w:t>
      </w:r>
      <w:r>
        <w:rPr>
          <w:color w:val="231F20"/>
          <w:w w:val="105"/>
        </w:rPr>
        <w:t>sino</w:t>
      </w:r>
      <w:r>
        <w:rPr>
          <w:color w:val="231F20"/>
          <w:spacing w:val="-5"/>
          <w:w w:val="105"/>
        </w:rPr>
        <w:t> </w:t>
      </w:r>
      <w:r>
        <w:rPr>
          <w:color w:val="231F20"/>
          <w:w w:val="105"/>
        </w:rPr>
        <w:t>del</w:t>
      </w:r>
      <w:r>
        <w:rPr>
          <w:color w:val="231F20"/>
          <w:spacing w:val="-5"/>
          <w:w w:val="105"/>
        </w:rPr>
        <w:t> </w:t>
      </w:r>
      <w:r>
        <w:rPr>
          <w:color w:val="231F20"/>
          <w:w w:val="105"/>
        </w:rPr>
        <w:t>salario</w:t>
      </w:r>
      <w:r>
        <w:rPr>
          <w:color w:val="231F20"/>
          <w:spacing w:val="-5"/>
          <w:w w:val="105"/>
        </w:rPr>
        <w:t> </w:t>
      </w:r>
      <w:r>
        <w:rPr>
          <w:color w:val="231F20"/>
          <w:w w:val="105"/>
        </w:rPr>
        <w:t>nominal</w:t>
      </w:r>
      <w:r>
        <w:rPr>
          <w:color w:val="231F20"/>
          <w:spacing w:val="-5"/>
          <w:w w:val="105"/>
        </w:rPr>
        <w:t> </w:t>
      </w:r>
      <w:r>
        <w:rPr>
          <w:color w:val="231F20"/>
          <w:w w:val="105"/>
        </w:rPr>
        <w:t>y</w:t>
      </w:r>
      <w:r>
        <w:rPr>
          <w:color w:val="231F20"/>
          <w:spacing w:val="-5"/>
          <w:w w:val="105"/>
        </w:rPr>
        <w:t> </w:t>
      </w:r>
      <w:r>
        <w:rPr>
          <w:color w:val="231F20"/>
          <w:w w:val="105"/>
        </w:rPr>
        <w:t>por</w:t>
      </w:r>
      <w:r>
        <w:rPr>
          <w:color w:val="231F20"/>
          <w:spacing w:val="-5"/>
          <w:w w:val="105"/>
        </w:rPr>
        <w:t> </w:t>
      </w:r>
      <w:r>
        <w:rPr>
          <w:color w:val="231F20"/>
          <w:w w:val="105"/>
        </w:rPr>
        <w:t>ello</w:t>
      </w:r>
      <w:r>
        <w:rPr>
          <w:color w:val="231F20"/>
          <w:spacing w:val="-5"/>
          <w:w w:val="105"/>
        </w:rPr>
        <w:t> </w:t>
      </w:r>
      <w:r>
        <w:rPr>
          <w:color w:val="231F20"/>
          <w:w w:val="105"/>
        </w:rPr>
        <w:t>la</w:t>
      </w:r>
      <w:r>
        <w:rPr>
          <w:color w:val="231F20"/>
          <w:spacing w:val="-5"/>
          <w:w w:val="105"/>
        </w:rPr>
        <w:t> </w:t>
      </w:r>
      <w:r>
        <w:rPr>
          <w:color w:val="231F20"/>
          <w:w w:val="105"/>
        </w:rPr>
        <w:t>oferta</w:t>
      </w:r>
      <w:r>
        <w:rPr>
          <w:color w:val="231F20"/>
          <w:spacing w:val="-5"/>
          <w:w w:val="105"/>
        </w:rPr>
        <w:t> </w:t>
      </w:r>
      <w:r>
        <w:rPr>
          <w:color w:val="231F20"/>
          <w:w w:val="105"/>
        </w:rPr>
        <w:t>de</w:t>
      </w:r>
      <w:r>
        <w:rPr>
          <w:color w:val="231F20"/>
          <w:spacing w:val="-5"/>
          <w:w w:val="105"/>
        </w:rPr>
        <w:t> </w:t>
      </w:r>
      <w:r>
        <w:rPr>
          <w:color w:val="231F20"/>
          <w:w w:val="105"/>
        </w:rPr>
        <w:t>trabajo no</w:t>
      </w:r>
      <w:r>
        <w:rPr>
          <w:color w:val="231F20"/>
          <w:spacing w:val="-22"/>
          <w:w w:val="105"/>
        </w:rPr>
        <w:t> </w:t>
      </w:r>
      <w:r>
        <w:rPr>
          <w:color w:val="231F20"/>
          <w:w w:val="105"/>
        </w:rPr>
        <w:t>es</w:t>
      </w:r>
      <w:r>
        <w:rPr>
          <w:color w:val="231F20"/>
          <w:spacing w:val="-22"/>
          <w:w w:val="105"/>
        </w:rPr>
        <w:t> </w:t>
      </w:r>
      <w:r>
        <w:rPr>
          <w:color w:val="231F20"/>
          <w:w w:val="105"/>
        </w:rPr>
        <w:t>sensible</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variaciones</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salario</w:t>
      </w:r>
      <w:r>
        <w:rPr>
          <w:color w:val="231F20"/>
          <w:spacing w:val="-22"/>
          <w:w w:val="105"/>
        </w:rPr>
        <w:t> </w:t>
      </w:r>
      <w:r>
        <w:rPr>
          <w:color w:val="231F20"/>
          <w:w w:val="105"/>
        </w:rPr>
        <w:t>en</w:t>
      </w:r>
      <w:r>
        <w:rPr>
          <w:color w:val="231F20"/>
          <w:spacing w:val="-22"/>
          <w:w w:val="105"/>
        </w:rPr>
        <w:t> </w:t>
      </w:r>
      <w:r>
        <w:rPr>
          <w:color w:val="231F20"/>
          <w:w w:val="105"/>
        </w:rPr>
        <w:t>tanto</w:t>
      </w:r>
      <w:r>
        <w:rPr>
          <w:color w:val="231F20"/>
          <w:spacing w:val="-22"/>
          <w:w w:val="105"/>
        </w:rPr>
        <w:t> </w:t>
      </w:r>
      <w:r>
        <w:rPr>
          <w:color w:val="231F20"/>
          <w:w w:val="105"/>
        </w:rPr>
        <w:t>éstas</w:t>
      </w:r>
      <w:r>
        <w:rPr>
          <w:color w:val="231F20"/>
          <w:spacing w:val="-22"/>
          <w:w w:val="105"/>
        </w:rPr>
        <w:t> </w:t>
      </w:r>
      <w:r>
        <w:rPr>
          <w:color w:val="231F20"/>
          <w:w w:val="105"/>
        </w:rPr>
        <w:t>no</w:t>
      </w:r>
      <w:r>
        <w:rPr>
          <w:color w:val="231F20"/>
          <w:spacing w:val="-22"/>
          <w:w w:val="105"/>
        </w:rPr>
        <w:t> </w:t>
      </w:r>
      <w:r>
        <w:rPr>
          <w:color w:val="231F20"/>
          <w:w w:val="105"/>
        </w:rPr>
        <w:t>afecten</w:t>
      </w:r>
      <w:r>
        <w:rPr>
          <w:color w:val="231F20"/>
          <w:spacing w:val="-22"/>
          <w:w w:val="105"/>
        </w:rPr>
        <w:t> </w:t>
      </w:r>
      <w:r>
        <w:rPr>
          <w:color w:val="231F20"/>
          <w:w w:val="105"/>
        </w:rPr>
        <w:t>de manera</w:t>
      </w:r>
      <w:r>
        <w:rPr>
          <w:color w:val="231F20"/>
          <w:spacing w:val="-22"/>
          <w:w w:val="105"/>
        </w:rPr>
        <w:t> </w:t>
      </w:r>
      <w:r>
        <w:rPr>
          <w:color w:val="231F20"/>
          <w:w w:val="105"/>
        </w:rPr>
        <w:t>proporcional</w:t>
      </w:r>
      <w:r>
        <w:rPr>
          <w:color w:val="231F20"/>
          <w:spacing w:val="-22"/>
          <w:w w:val="105"/>
        </w:rPr>
        <w:t> </w:t>
      </w:r>
      <w:r>
        <w:rPr>
          <w:color w:val="231F20"/>
          <w:w w:val="105"/>
        </w:rPr>
        <w:t>a</w:t>
      </w:r>
      <w:r>
        <w:rPr>
          <w:color w:val="231F20"/>
          <w:spacing w:val="-22"/>
          <w:w w:val="105"/>
        </w:rPr>
        <w:t> </w:t>
      </w:r>
      <w:r>
        <w:rPr>
          <w:color w:val="231F20"/>
          <w:w w:val="105"/>
        </w:rPr>
        <w:t>todos</w:t>
      </w:r>
      <w:r>
        <w:rPr>
          <w:color w:val="231F20"/>
          <w:spacing w:val="-22"/>
          <w:w w:val="105"/>
        </w:rPr>
        <w:t> </w:t>
      </w:r>
      <w:r>
        <w:rPr>
          <w:color w:val="231F20"/>
          <w:w w:val="105"/>
        </w:rPr>
        <w:t>los</w:t>
      </w:r>
      <w:r>
        <w:rPr>
          <w:color w:val="231F20"/>
          <w:spacing w:val="-22"/>
          <w:w w:val="105"/>
        </w:rPr>
        <w:t> </w:t>
      </w:r>
      <w:r>
        <w:rPr>
          <w:color w:val="231F20"/>
          <w:w w:val="105"/>
        </w:rPr>
        <w:t>asalariados.</w:t>
      </w:r>
    </w:p>
    <w:p>
      <w:pPr>
        <w:pStyle w:val="BodyText"/>
        <w:spacing w:line="259" w:lineRule="auto"/>
        <w:ind w:left="103" w:right="114" w:firstLine="567"/>
        <w:jc w:val="both"/>
      </w:pPr>
      <w:r>
        <w:rPr>
          <w:color w:val="231F20"/>
          <w:spacing w:val="-3"/>
          <w:w w:val="105"/>
        </w:rPr>
        <w:t>Particularmente,</w:t>
      </w:r>
      <w:r>
        <w:rPr>
          <w:color w:val="231F20"/>
          <w:spacing w:val="-37"/>
          <w:w w:val="105"/>
        </w:rPr>
        <w:t> </w:t>
      </w:r>
      <w:r>
        <w:rPr>
          <w:color w:val="231F20"/>
          <w:spacing w:val="-3"/>
          <w:w w:val="105"/>
        </w:rPr>
        <w:t>respecto</w:t>
      </w:r>
      <w:r>
        <w:rPr>
          <w:color w:val="231F20"/>
          <w:spacing w:val="-33"/>
          <w:w w:val="105"/>
        </w:rPr>
        <w:t> </w:t>
      </w:r>
      <w:r>
        <w:rPr>
          <w:color w:val="231F20"/>
          <w:w w:val="105"/>
        </w:rPr>
        <w:t>a</w:t>
      </w:r>
      <w:r>
        <w:rPr>
          <w:color w:val="231F20"/>
          <w:spacing w:val="-33"/>
          <w:w w:val="105"/>
        </w:rPr>
        <w:t> </w:t>
      </w:r>
      <w:r>
        <w:rPr>
          <w:color w:val="231F20"/>
          <w:w w:val="105"/>
        </w:rPr>
        <w:t>la</w:t>
      </w:r>
      <w:r>
        <w:rPr>
          <w:color w:val="231F20"/>
          <w:spacing w:val="-33"/>
          <w:w w:val="105"/>
        </w:rPr>
        <w:t> </w:t>
      </w:r>
      <w:r>
        <w:rPr>
          <w:color w:val="231F20"/>
          <w:w w:val="105"/>
        </w:rPr>
        <w:t>oferta</w:t>
      </w:r>
      <w:r>
        <w:rPr>
          <w:color w:val="231F20"/>
          <w:spacing w:val="-33"/>
          <w:w w:val="105"/>
        </w:rPr>
        <w:t> </w:t>
      </w:r>
      <w:r>
        <w:rPr>
          <w:color w:val="231F20"/>
          <w:w w:val="105"/>
        </w:rPr>
        <w:t>de</w:t>
      </w:r>
      <w:r>
        <w:rPr>
          <w:color w:val="231F20"/>
          <w:spacing w:val="-33"/>
          <w:w w:val="105"/>
        </w:rPr>
        <w:t> </w:t>
      </w:r>
      <w:r>
        <w:rPr>
          <w:color w:val="231F20"/>
          <w:spacing w:val="-3"/>
          <w:w w:val="105"/>
        </w:rPr>
        <w:t>trabajo,</w:t>
      </w:r>
      <w:r>
        <w:rPr>
          <w:color w:val="231F20"/>
          <w:spacing w:val="-37"/>
          <w:w w:val="105"/>
        </w:rPr>
        <w:t> </w:t>
      </w:r>
      <w:r>
        <w:rPr>
          <w:color w:val="231F20"/>
          <w:w w:val="105"/>
        </w:rPr>
        <w:t>Robinson</w:t>
      </w:r>
      <w:r>
        <w:rPr>
          <w:color w:val="231F20"/>
          <w:spacing w:val="-33"/>
          <w:w w:val="105"/>
        </w:rPr>
        <w:t> </w:t>
      </w:r>
      <w:r>
        <w:rPr>
          <w:color w:val="231F20"/>
          <w:w w:val="105"/>
        </w:rPr>
        <w:t>(1968)</w:t>
      </w:r>
      <w:r>
        <w:rPr>
          <w:color w:val="231F20"/>
          <w:spacing w:val="-33"/>
          <w:w w:val="105"/>
        </w:rPr>
        <w:t> </w:t>
      </w:r>
      <w:r>
        <w:rPr>
          <w:color w:val="231F20"/>
          <w:w w:val="105"/>
        </w:rPr>
        <w:t>cri- tica</w:t>
      </w:r>
      <w:r>
        <w:rPr>
          <w:color w:val="231F20"/>
          <w:spacing w:val="-24"/>
          <w:w w:val="105"/>
        </w:rPr>
        <w:t> </w:t>
      </w:r>
      <w:r>
        <w:rPr>
          <w:color w:val="231F20"/>
          <w:w w:val="105"/>
        </w:rPr>
        <w:t>la</w:t>
      </w:r>
      <w:r>
        <w:rPr>
          <w:color w:val="231F20"/>
          <w:spacing w:val="-24"/>
          <w:w w:val="105"/>
        </w:rPr>
        <w:t> </w:t>
      </w:r>
      <w:r>
        <w:rPr>
          <w:color w:val="231F20"/>
          <w:w w:val="105"/>
        </w:rPr>
        <w:t>idea</w:t>
      </w:r>
      <w:r>
        <w:rPr>
          <w:color w:val="231F20"/>
          <w:spacing w:val="-24"/>
          <w:w w:val="105"/>
        </w:rPr>
        <w:t> </w:t>
      </w:r>
      <w:r>
        <w:rPr>
          <w:color w:val="231F20"/>
          <w:spacing w:val="-3"/>
          <w:w w:val="105"/>
        </w:rPr>
        <w:t>keynesiana</w:t>
      </w:r>
      <w:r>
        <w:rPr>
          <w:color w:val="231F20"/>
          <w:spacing w:val="-24"/>
          <w:w w:val="105"/>
        </w:rPr>
        <w:t> </w:t>
      </w:r>
      <w:r>
        <w:rPr>
          <w:color w:val="231F20"/>
          <w:w w:val="105"/>
        </w:rPr>
        <w:t>de</w:t>
      </w:r>
      <w:r>
        <w:rPr>
          <w:color w:val="231F20"/>
          <w:spacing w:val="-24"/>
          <w:w w:val="105"/>
        </w:rPr>
        <w:t> </w:t>
      </w:r>
      <w:r>
        <w:rPr>
          <w:color w:val="231F20"/>
          <w:w w:val="105"/>
        </w:rPr>
        <w:t>que</w:t>
      </w:r>
      <w:r>
        <w:rPr>
          <w:color w:val="231F20"/>
          <w:spacing w:val="-24"/>
          <w:w w:val="105"/>
        </w:rPr>
        <w:t> </w:t>
      </w:r>
      <w:r>
        <w:rPr>
          <w:color w:val="231F20"/>
          <w:w w:val="105"/>
        </w:rPr>
        <w:t>cuando</w:t>
      </w:r>
      <w:r>
        <w:rPr>
          <w:color w:val="231F20"/>
          <w:spacing w:val="-24"/>
          <w:w w:val="105"/>
        </w:rPr>
        <w:t> </w:t>
      </w:r>
      <w:r>
        <w:rPr>
          <w:color w:val="231F20"/>
          <w:spacing w:val="-3"/>
          <w:w w:val="105"/>
        </w:rPr>
        <w:t>crece</w:t>
      </w:r>
      <w:r>
        <w:rPr>
          <w:color w:val="231F20"/>
          <w:spacing w:val="-24"/>
          <w:w w:val="105"/>
        </w:rPr>
        <w:t> </w:t>
      </w:r>
      <w:r>
        <w:rPr>
          <w:color w:val="231F20"/>
          <w:w w:val="105"/>
        </w:rPr>
        <w:t>la</w:t>
      </w:r>
      <w:r>
        <w:rPr>
          <w:color w:val="231F20"/>
          <w:spacing w:val="-24"/>
          <w:w w:val="105"/>
        </w:rPr>
        <w:t> </w:t>
      </w:r>
      <w:r>
        <w:rPr>
          <w:color w:val="231F20"/>
          <w:w w:val="105"/>
        </w:rPr>
        <w:t>demanda</w:t>
      </w:r>
      <w:r>
        <w:rPr>
          <w:color w:val="231F20"/>
          <w:spacing w:val="-24"/>
          <w:w w:val="105"/>
        </w:rPr>
        <w:t> </w:t>
      </w:r>
      <w:r>
        <w:rPr>
          <w:color w:val="231F20"/>
          <w:w w:val="105"/>
        </w:rPr>
        <w:t>efectiva</w:t>
      </w:r>
      <w:r>
        <w:rPr>
          <w:color w:val="231F20"/>
          <w:spacing w:val="-24"/>
          <w:w w:val="105"/>
        </w:rPr>
        <w:t> </w:t>
      </w:r>
      <w:r>
        <w:rPr>
          <w:color w:val="231F20"/>
          <w:w w:val="105"/>
        </w:rPr>
        <w:t>y</w:t>
      </w:r>
      <w:r>
        <w:rPr>
          <w:color w:val="231F20"/>
          <w:spacing w:val="-24"/>
          <w:w w:val="105"/>
        </w:rPr>
        <w:t> </w:t>
      </w:r>
      <w:r>
        <w:rPr>
          <w:color w:val="231F20"/>
          <w:w w:val="105"/>
        </w:rPr>
        <w:t>dismi- nuyen</w:t>
      </w:r>
      <w:r>
        <w:rPr>
          <w:color w:val="231F20"/>
          <w:spacing w:val="-17"/>
          <w:w w:val="105"/>
        </w:rPr>
        <w:t> </w:t>
      </w:r>
      <w:r>
        <w:rPr>
          <w:color w:val="231F20"/>
          <w:w w:val="105"/>
        </w:rPr>
        <w:t>los</w:t>
      </w:r>
      <w:r>
        <w:rPr>
          <w:color w:val="231F20"/>
          <w:spacing w:val="-17"/>
          <w:w w:val="105"/>
        </w:rPr>
        <w:t> </w:t>
      </w:r>
      <w:r>
        <w:rPr>
          <w:color w:val="231F20"/>
          <w:w w:val="105"/>
        </w:rPr>
        <w:t>salarios</w:t>
      </w:r>
      <w:r>
        <w:rPr>
          <w:color w:val="231F20"/>
          <w:spacing w:val="-17"/>
          <w:w w:val="105"/>
        </w:rPr>
        <w:t> </w:t>
      </w:r>
      <w:r>
        <w:rPr>
          <w:color w:val="231F20"/>
          <w:spacing w:val="-3"/>
          <w:w w:val="105"/>
        </w:rPr>
        <w:t>reales,</w:t>
      </w:r>
      <w:r>
        <w:rPr>
          <w:color w:val="231F20"/>
          <w:spacing w:val="-21"/>
          <w:w w:val="105"/>
        </w:rPr>
        <w:t> </w:t>
      </w:r>
      <w:r>
        <w:rPr>
          <w:color w:val="231F20"/>
          <w:w w:val="105"/>
        </w:rPr>
        <w:t>se</w:t>
      </w:r>
      <w:r>
        <w:rPr>
          <w:color w:val="231F20"/>
          <w:spacing w:val="-17"/>
          <w:w w:val="105"/>
        </w:rPr>
        <w:t> </w:t>
      </w:r>
      <w:r>
        <w:rPr>
          <w:color w:val="231F20"/>
          <w:w w:val="105"/>
        </w:rPr>
        <w:t>alcanza</w:t>
      </w:r>
      <w:r>
        <w:rPr>
          <w:color w:val="231F20"/>
          <w:spacing w:val="-17"/>
          <w:w w:val="105"/>
        </w:rPr>
        <w:t> </w:t>
      </w:r>
      <w:r>
        <w:rPr>
          <w:color w:val="231F20"/>
          <w:w w:val="105"/>
        </w:rPr>
        <w:t>un</w:t>
      </w:r>
      <w:r>
        <w:rPr>
          <w:color w:val="231F20"/>
          <w:spacing w:val="-17"/>
          <w:w w:val="105"/>
        </w:rPr>
        <w:t> </w:t>
      </w:r>
      <w:r>
        <w:rPr>
          <w:color w:val="231F20"/>
          <w:w w:val="105"/>
        </w:rPr>
        <w:t>punto</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nivel</w:t>
      </w:r>
      <w:r>
        <w:rPr>
          <w:color w:val="231F20"/>
          <w:spacing w:val="-17"/>
          <w:w w:val="105"/>
        </w:rPr>
        <w:t> </w:t>
      </w:r>
      <w:r>
        <w:rPr>
          <w:color w:val="231F20"/>
          <w:w w:val="105"/>
        </w:rPr>
        <w:t>de</w:t>
      </w:r>
      <w:r>
        <w:rPr>
          <w:color w:val="231F20"/>
          <w:spacing w:val="-17"/>
          <w:w w:val="105"/>
        </w:rPr>
        <w:t> </w:t>
      </w:r>
      <w:r>
        <w:rPr>
          <w:color w:val="231F20"/>
          <w:w w:val="105"/>
        </w:rPr>
        <w:t>éstos es</w:t>
      </w:r>
      <w:r>
        <w:rPr>
          <w:color w:val="231F20"/>
          <w:spacing w:val="-29"/>
          <w:w w:val="105"/>
        </w:rPr>
        <w:t> </w:t>
      </w:r>
      <w:r>
        <w:rPr>
          <w:color w:val="231F20"/>
          <w:w w:val="105"/>
        </w:rPr>
        <w:t>tan</w:t>
      </w:r>
      <w:r>
        <w:rPr>
          <w:color w:val="231F20"/>
          <w:spacing w:val="-29"/>
          <w:w w:val="105"/>
        </w:rPr>
        <w:t> </w:t>
      </w:r>
      <w:r>
        <w:rPr>
          <w:color w:val="231F20"/>
          <w:w w:val="105"/>
        </w:rPr>
        <w:t>bajo</w:t>
      </w:r>
      <w:r>
        <w:rPr>
          <w:color w:val="231F20"/>
          <w:spacing w:val="-29"/>
          <w:w w:val="105"/>
        </w:rPr>
        <w:t> </w:t>
      </w:r>
      <w:r>
        <w:rPr>
          <w:color w:val="231F20"/>
          <w:w w:val="105"/>
        </w:rPr>
        <w:t>que</w:t>
      </w:r>
      <w:r>
        <w:rPr>
          <w:color w:val="231F20"/>
          <w:spacing w:val="-29"/>
          <w:w w:val="105"/>
        </w:rPr>
        <w:t> </w:t>
      </w:r>
      <w:r>
        <w:rPr>
          <w:color w:val="231F20"/>
          <w:w w:val="105"/>
        </w:rPr>
        <w:t>los</w:t>
      </w:r>
      <w:r>
        <w:rPr>
          <w:color w:val="231F20"/>
          <w:spacing w:val="-29"/>
          <w:w w:val="105"/>
        </w:rPr>
        <w:t> </w:t>
      </w:r>
      <w:r>
        <w:rPr>
          <w:color w:val="231F20"/>
          <w:spacing w:val="-3"/>
          <w:w w:val="105"/>
        </w:rPr>
        <w:t>trabajadores</w:t>
      </w:r>
      <w:r>
        <w:rPr>
          <w:color w:val="231F20"/>
          <w:spacing w:val="-29"/>
          <w:w w:val="105"/>
        </w:rPr>
        <w:t> </w:t>
      </w:r>
      <w:r>
        <w:rPr>
          <w:color w:val="231F20"/>
          <w:w w:val="105"/>
        </w:rPr>
        <w:t>se</w:t>
      </w:r>
      <w:r>
        <w:rPr>
          <w:color w:val="231F20"/>
          <w:spacing w:val="-29"/>
          <w:w w:val="105"/>
        </w:rPr>
        <w:t> </w:t>
      </w:r>
      <w:r>
        <w:rPr>
          <w:color w:val="231F20"/>
          <w:spacing w:val="-3"/>
          <w:w w:val="105"/>
        </w:rPr>
        <w:t>rehúsan</w:t>
      </w:r>
      <w:r>
        <w:rPr>
          <w:color w:val="231F20"/>
          <w:spacing w:val="-29"/>
          <w:w w:val="105"/>
        </w:rPr>
        <w:t> </w:t>
      </w:r>
      <w:r>
        <w:rPr>
          <w:color w:val="231F20"/>
          <w:w w:val="105"/>
        </w:rPr>
        <w:t>a</w:t>
      </w:r>
      <w:r>
        <w:rPr>
          <w:color w:val="231F20"/>
          <w:spacing w:val="-29"/>
          <w:w w:val="105"/>
        </w:rPr>
        <w:t> </w:t>
      </w:r>
      <w:r>
        <w:rPr>
          <w:color w:val="231F20"/>
          <w:spacing w:val="-3"/>
          <w:w w:val="105"/>
        </w:rPr>
        <w:t>ofrecer</w:t>
      </w:r>
      <w:r>
        <w:rPr>
          <w:color w:val="231F20"/>
          <w:spacing w:val="-29"/>
          <w:w w:val="105"/>
        </w:rPr>
        <w:t> </w:t>
      </w:r>
      <w:r>
        <w:rPr>
          <w:color w:val="231F20"/>
          <w:w w:val="105"/>
        </w:rPr>
        <w:t>la</w:t>
      </w:r>
      <w:r>
        <w:rPr>
          <w:color w:val="231F20"/>
          <w:spacing w:val="-29"/>
          <w:w w:val="105"/>
        </w:rPr>
        <w:t> </w:t>
      </w:r>
      <w:r>
        <w:rPr>
          <w:color w:val="231F20"/>
          <w:w w:val="105"/>
        </w:rPr>
        <w:t>fuerza</w:t>
      </w:r>
      <w:r>
        <w:rPr>
          <w:color w:val="231F20"/>
          <w:spacing w:val="-29"/>
          <w:w w:val="105"/>
        </w:rPr>
        <w:t> </w:t>
      </w:r>
      <w:r>
        <w:rPr>
          <w:color w:val="231F20"/>
          <w:w w:val="105"/>
        </w:rPr>
        <w:t>de</w:t>
      </w:r>
      <w:r>
        <w:rPr>
          <w:color w:val="231F20"/>
          <w:spacing w:val="-29"/>
          <w:w w:val="105"/>
        </w:rPr>
        <w:t> </w:t>
      </w:r>
      <w:r>
        <w:rPr>
          <w:color w:val="231F20"/>
          <w:w w:val="105"/>
        </w:rPr>
        <w:t>trabajo</w:t>
      </w:r>
      <w:r>
        <w:rPr>
          <w:color w:val="231F20"/>
          <w:spacing w:val="-29"/>
          <w:w w:val="105"/>
        </w:rPr>
        <w:t> </w:t>
      </w:r>
      <w:r>
        <w:rPr>
          <w:color w:val="231F20"/>
          <w:w w:val="105"/>
        </w:rPr>
        <w:t>a una</w:t>
      </w:r>
      <w:r>
        <w:rPr>
          <w:color w:val="231F20"/>
          <w:spacing w:val="-25"/>
          <w:w w:val="105"/>
        </w:rPr>
        <w:t> </w:t>
      </w:r>
      <w:r>
        <w:rPr>
          <w:color w:val="231F20"/>
          <w:w w:val="105"/>
        </w:rPr>
        <w:t>tasa</w:t>
      </w:r>
      <w:r>
        <w:rPr>
          <w:color w:val="231F20"/>
          <w:spacing w:val="-25"/>
          <w:w w:val="105"/>
        </w:rPr>
        <w:t> </w:t>
      </w:r>
      <w:r>
        <w:rPr>
          <w:color w:val="231F20"/>
          <w:w w:val="105"/>
        </w:rPr>
        <w:t>más</w:t>
      </w:r>
      <w:r>
        <w:rPr>
          <w:color w:val="231F20"/>
          <w:spacing w:val="-25"/>
          <w:w w:val="105"/>
        </w:rPr>
        <w:t> </w:t>
      </w:r>
      <w:r>
        <w:rPr>
          <w:color w:val="231F20"/>
          <w:w w:val="105"/>
        </w:rPr>
        <w:t>baja.</w:t>
      </w:r>
      <w:r>
        <w:rPr>
          <w:color w:val="231F20"/>
          <w:spacing w:val="-30"/>
          <w:w w:val="105"/>
        </w:rPr>
        <w:t> </w:t>
      </w:r>
      <w:r>
        <w:rPr>
          <w:color w:val="231F20"/>
          <w:w w:val="105"/>
        </w:rPr>
        <w:t>Robinson</w:t>
      </w:r>
      <w:r>
        <w:rPr>
          <w:color w:val="231F20"/>
          <w:spacing w:val="-25"/>
          <w:w w:val="105"/>
        </w:rPr>
        <w:t> </w:t>
      </w:r>
      <w:r>
        <w:rPr>
          <w:color w:val="231F20"/>
          <w:spacing w:val="-2"/>
          <w:w w:val="105"/>
        </w:rPr>
        <w:t>considera</w:t>
      </w:r>
      <w:r>
        <w:rPr>
          <w:color w:val="231F20"/>
          <w:spacing w:val="-25"/>
          <w:w w:val="105"/>
        </w:rPr>
        <w:t> </w:t>
      </w:r>
      <w:r>
        <w:rPr>
          <w:color w:val="231F20"/>
          <w:w w:val="105"/>
        </w:rPr>
        <w:t>que</w:t>
      </w:r>
      <w:r>
        <w:rPr>
          <w:color w:val="231F20"/>
          <w:spacing w:val="-25"/>
          <w:w w:val="105"/>
        </w:rPr>
        <w:t> </w:t>
      </w:r>
      <w:r>
        <w:rPr>
          <w:color w:val="231F20"/>
          <w:w w:val="105"/>
        </w:rPr>
        <w:t>el</w:t>
      </w:r>
      <w:r>
        <w:rPr>
          <w:color w:val="231F20"/>
          <w:spacing w:val="-25"/>
          <w:w w:val="105"/>
        </w:rPr>
        <w:t> </w:t>
      </w:r>
      <w:r>
        <w:rPr>
          <w:color w:val="231F20"/>
          <w:spacing w:val="-3"/>
          <w:w w:val="105"/>
        </w:rPr>
        <w:t>obrero</w:t>
      </w:r>
      <w:r>
        <w:rPr>
          <w:color w:val="231F20"/>
          <w:spacing w:val="-25"/>
          <w:w w:val="105"/>
        </w:rPr>
        <w:t> </w:t>
      </w:r>
      <w:r>
        <w:rPr>
          <w:color w:val="231F20"/>
          <w:w w:val="105"/>
        </w:rPr>
        <w:t>individual</w:t>
      </w:r>
      <w:r>
        <w:rPr>
          <w:color w:val="231F20"/>
          <w:spacing w:val="-25"/>
          <w:w w:val="105"/>
        </w:rPr>
        <w:t> </w:t>
      </w:r>
      <w:r>
        <w:rPr>
          <w:color w:val="231F20"/>
          <w:w w:val="105"/>
        </w:rPr>
        <w:t>no</w:t>
      </w:r>
      <w:r>
        <w:rPr>
          <w:color w:val="231F20"/>
          <w:spacing w:val="-25"/>
          <w:w w:val="105"/>
        </w:rPr>
        <w:t> </w:t>
      </w:r>
      <w:r>
        <w:rPr>
          <w:color w:val="231F20"/>
          <w:w w:val="105"/>
        </w:rPr>
        <w:t>puede estar</w:t>
      </w:r>
      <w:r>
        <w:rPr>
          <w:color w:val="231F20"/>
          <w:spacing w:val="-9"/>
          <w:w w:val="105"/>
        </w:rPr>
        <w:t> </w:t>
      </w:r>
      <w:r>
        <w:rPr>
          <w:color w:val="231F20"/>
          <w:w w:val="105"/>
        </w:rPr>
        <w:t>en</w:t>
      </w:r>
      <w:r>
        <w:rPr>
          <w:color w:val="231F20"/>
          <w:spacing w:val="-9"/>
          <w:w w:val="105"/>
        </w:rPr>
        <w:t> </w:t>
      </w:r>
      <w:r>
        <w:rPr>
          <w:color w:val="231F20"/>
          <w:w w:val="105"/>
        </w:rPr>
        <w:t>posición</w:t>
      </w:r>
      <w:r>
        <w:rPr>
          <w:color w:val="231F20"/>
          <w:spacing w:val="-9"/>
          <w:w w:val="105"/>
        </w:rPr>
        <w:t> </w:t>
      </w:r>
      <w:r>
        <w:rPr>
          <w:color w:val="231F20"/>
          <w:w w:val="105"/>
        </w:rPr>
        <w:t>de</w:t>
      </w:r>
      <w:r>
        <w:rPr>
          <w:color w:val="231F20"/>
          <w:spacing w:val="-9"/>
          <w:w w:val="105"/>
        </w:rPr>
        <w:t> </w:t>
      </w:r>
      <w:r>
        <w:rPr>
          <w:color w:val="231F20"/>
          <w:spacing w:val="-3"/>
          <w:w w:val="105"/>
        </w:rPr>
        <w:t>rechazar</w:t>
      </w:r>
      <w:r>
        <w:rPr>
          <w:color w:val="231F20"/>
          <w:spacing w:val="-9"/>
          <w:w w:val="105"/>
        </w:rPr>
        <w:t> </w:t>
      </w:r>
      <w:r>
        <w:rPr>
          <w:color w:val="231F20"/>
          <w:w w:val="105"/>
        </w:rPr>
        <w:t>un</w:t>
      </w:r>
      <w:r>
        <w:rPr>
          <w:color w:val="231F20"/>
          <w:spacing w:val="-9"/>
          <w:w w:val="105"/>
        </w:rPr>
        <w:t> </w:t>
      </w:r>
      <w:r>
        <w:rPr>
          <w:color w:val="231F20"/>
          <w:w w:val="105"/>
        </w:rPr>
        <w:t>trabajo</w:t>
      </w:r>
      <w:r>
        <w:rPr>
          <w:color w:val="231F20"/>
          <w:spacing w:val="-9"/>
          <w:w w:val="105"/>
        </w:rPr>
        <w:t> </w:t>
      </w:r>
      <w:r>
        <w:rPr>
          <w:color w:val="231F20"/>
          <w:spacing w:val="-3"/>
          <w:w w:val="105"/>
        </w:rPr>
        <w:t>porque</w:t>
      </w:r>
      <w:r>
        <w:rPr>
          <w:color w:val="231F20"/>
          <w:spacing w:val="-9"/>
          <w:w w:val="105"/>
        </w:rPr>
        <w:t> </w:t>
      </w:r>
      <w:r>
        <w:rPr>
          <w:color w:val="231F20"/>
          <w:w w:val="105"/>
        </w:rPr>
        <w:t>los</w:t>
      </w:r>
      <w:r>
        <w:rPr>
          <w:color w:val="231F20"/>
          <w:spacing w:val="-9"/>
          <w:w w:val="105"/>
        </w:rPr>
        <w:t> </w:t>
      </w:r>
      <w:r>
        <w:rPr>
          <w:color w:val="231F20"/>
          <w:w w:val="105"/>
        </w:rPr>
        <w:t>salarios</w:t>
      </w:r>
      <w:r>
        <w:rPr>
          <w:color w:val="231F20"/>
          <w:spacing w:val="-9"/>
          <w:w w:val="105"/>
        </w:rPr>
        <w:t> </w:t>
      </w:r>
      <w:r>
        <w:rPr>
          <w:color w:val="231F20"/>
          <w:spacing w:val="-3"/>
          <w:w w:val="105"/>
        </w:rPr>
        <w:t>reales</w:t>
      </w:r>
      <w:r>
        <w:rPr>
          <w:color w:val="231F20"/>
          <w:spacing w:val="-9"/>
          <w:w w:val="105"/>
        </w:rPr>
        <w:t> </w:t>
      </w:r>
      <w:r>
        <w:rPr>
          <w:color w:val="231F20"/>
          <w:spacing w:val="-3"/>
          <w:w w:val="105"/>
        </w:rPr>
        <w:t>sean </w:t>
      </w:r>
      <w:r>
        <w:rPr>
          <w:color w:val="231F20"/>
          <w:w w:val="105"/>
        </w:rPr>
        <w:t>tan</w:t>
      </w:r>
      <w:r>
        <w:rPr>
          <w:color w:val="231F20"/>
          <w:spacing w:val="-26"/>
          <w:w w:val="105"/>
        </w:rPr>
        <w:t> </w:t>
      </w:r>
      <w:r>
        <w:rPr>
          <w:color w:val="231F20"/>
          <w:w w:val="105"/>
        </w:rPr>
        <w:t>bajos</w:t>
      </w:r>
      <w:r>
        <w:rPr>
          <w:color w:val="231F20"/>
          <w:spacing w:val="-26"/>
          <w:w w:val="105"/>
        </w:rPr>
        <w:t> </w:t>
      </w:r>
      <w:r>
        <w:rPr>
          <w:color w:val="231F20"/>
          <w:w w:val="105"/>
        </w:rPr>
        <w:t>que</w:t>
      </w:r>
      <w:r>
        <w:rPr>
          <w:color w:val="231F20"/>
          <w:spacing w:val="-26"/>
          <w:w w:val="105"/>
        </w:rPr>
        <w:t> </w:t>
      </w:r>
      <w:r>
        <w:rPr>
          <w:color w:val="231F20"/>
          <w:w w:val="105"/>
        </w:rPr>
        <w:t>no</w:t>
      </w:r>
      <w:r>
        <w:rPr>
          <w:color w:val="231F20"/>
          <w:spacing w:val="-26"/>
          <w:w w:val="105"/>
        </w:rPr>
        <w:t> </w:t>
      </w:r>
      <w:r>
        <w:rPr>
          <w:color w:val="231F20"/>
          <w:w w:val="105"/>
        </w:rPr>
        <w:t>valga</w:t>
      </w:r>
      <w:r>
        <w:rPr>
          <w:color w:val="231F20"/>
          <w:spacing w:val="-26"/>
          <w:w w:val="105"/>
        </w:rPr>
        <w:t> </w:t>
      </w:r>
      <w:r>
        <w:rPr>
          <w:color w:val="231F20"/>
          <w:w w:val="105"/>
        </w:rPr>
        <w:t>la</w:t>
      </w:r>
      <w:r>
        <w:rPr>
          <w:color w:val="231F20"/>
          <w:spacing w:val="-26"/>
          <w:w w:val="105"/>
        </w:rPr>
        <w:t> </w:t>
      </w:r>
      <w:r>
        <w:rPr>
          <w:color w:val="231F20"/>
          <w:w w:val="105"/>
        </w:rPr>
        <w:t>pena</w:t>
      </w:r>
      <w:r>
        <w:rPr>
          <w:color w:val="231F20"/>
          <w:spacing w:val="-26"/>
          <w:w w:val="105"/>
        </w:rPr>
        <w:t> </w:t>
      </w:r>
      <w:r>
        <w:rPr>
          <w:color w:val="231F20"/>
          <w:w w:val="105"/>
        </w:rPr>
        <w:t>hacer</w:t>
      </w:r>
      <w:r>
        <w:rPr>
          <w:color w:val="231F20"/>
          <w:spacing w:val="-26"/>
          <w:w w:val="105"/>
        </w:rPr>
        <w:t> </w:t>
      </w:r>
      <w:r>
        <w:rPr>
          <w:color w:val="231F20"/>
          <w:w w:val="105"/>
        </w:rPr>
        <w:t>un</w:t>
      </w:r>
      <w:r>
        <w:rPr>
          <w:color w:val="231F20"/>
          <w:spacing w:val="-26"/>
          <w:w w:val="105"/>
        </w:rPr>
        <w:t> </w:t>
      </w:r>
      <w:r>
        <w:rPr>
          <w:color w:val="231F20"/>
          <w:w w:val="105"/>
        </w:rPr>
        <w:t>esfuerzo</w:t>
      </w:r>
      <w:r>
        <w:rPr>
          <w:color w:val="231F20"/>
          <w:spacing w:val="-26"/>
          <w:w w:val="105"/>
        </w:rPr>
        <w:t> </w:t>
      </w:r>
      <w:r>
        <w:rPr>
          <w:color w:val="231F20"/>
          <w:w w:val="105"/>
        </w:rPr>
        <w:t>por</w:t>
      </w:r>
      <w:r>
        <w:rPr>
          <w:color w:val="231F20"/>
          <w:spacing w:val="-26"/>
          <w:w w:val="105"/>
        </w:rPr>
        <w:t> </w:t>
      </w:r>
      <w:r>
        <w:rPr>
          <w:color w:val="231F20"/>
          <w:w w:val="105"/>
        </w:rPr>
        <w:t>ganarlos.</w:t>
      </w:r>
    </w:p>
    <w:p>
      <w:pPr>
        <w:pStyle w:val="BodyText"/>
        <w:spacing w:line="259" w:lineRule="auto"/>
        <w:ind w:left="103" w:right="115" w:firstLine="567"/>
        <w:jc w:val="both"/>
      </w:pPr>
      <w:r>
        <w:rPr>
          <w:color w:val="231F20"/>
        </w:rPr>
        <w:t>En el largo plazo la teoría postkeynesiana trabaja bajo el supuesto de que al crecer el producto también se incrementa la ocupación, aun-  que a una menor tasa, es decir, el empleo es inelástico al   producto.</w:t>
      </w:r>
    </w:p>
    <w:p>
      <w:pPr>
        <w:pStyle w:val="BodyText"/>
        <w:spacing w:line="259" w:lineRule="auto"/>
        <w:ind w:left="103" w:right="111" w:firstLine="567"/>
        <w:jc w:val="both"/>
      </w:pPr>
      <w:r>
        <w:rPr>
          <w:color w:val="231F20"/>
          <w:w w:val="105"/>
        </w:rPr>
        <w:t>En</w:t>
      </w:r>
      <w:r>
        <w:rPr>
          <w:color w:val="231F20"/>
          <w:spacing w:val="-9"/>
          <w:w w:val="105"/>
        </w:rPr>
        <w:t> </w:t>
      </w:r>
      <w:r>
        <w:rPr>
          <w:color w:val="231F20"/>
          <w:spacing w:val="-3"/>
          <w:w w:val="105"/>
        </w:rPr>
        <w:t>resumen,</w:t>
      </w:r>
      <w:r>
        <w:rPr>
          <w:color w:val="231F20"/>
          <w:spacing w:val="-13"/>
          <w:w w:val="105"/>
        </w:rPr>
        <w:t> </w:t>
      </w:r>
      <w:r>
        <w:rPr>
          <w:color w:val="231F20"/>
          <w:w w:val="105"/>
        </w:rPr>
        <w:t>la</w:t>
      </w:r>
      <w:r>
        <w:rPr>
          <w:color w:val="231F20"/>
          <w:spacing w:val="-9"/>
          <w:w w:val="105"/>
        </w:rPr>
        <w:t> </w:t>
      </w:r>
      <w:r>
        <w:rPr>
          <w:color w:val="231F20"/>
          <w:spacing w:val="-3"/>
          <w:w w:val="105"/>
        </w:rPr>
        <w:t>corriente</w:t>
      </w:r>
      <w:r>
        <w:rPr>
          <w:color w:val="231F20"/>
          <w:spacing w:val="-9"/>
          <w:w w:val="105"/>
        </w:rPr>
        <w:t> </w:t>
      </w:r>
      <w:r>
        <w:rPr>
          <w:color w:val="231F20"/>
          <w:spacing w:val="-3"/>
          <w:w w:val="105"/>
        </w:rPr>
        <w:t>postkeynesiana</w:t>
      </w:r>
      <w:r>
        <w:rPr>
          <w:color w:val="231F20"/>
          <w:spacing w:val="-9"/>
          <w:w w:val="105"/>
        </w:rPr>
        <w:t> </w:t>
      </w:r>
      <w:r>
        <w:rPr>
          <w:color w:val="231F20"/>
          <w:spacing w:val="-3"/>
          <w:w w:val="105"/>
        </w:rPr>
        <w:t>asume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spacing w:val="-3"/>
          <w:w w:val="105"/>
        </w:rPr>
        <w:t>desempleo </w:t>
      </w:r>
      <w:r>
        <w:rPr>
          <w:color w:val="231F20"/>
          <w:w w:val="105"/>
        </w:rPr>
        <w:t>es</w:t>
      </w:r>
      <w:r>
        <w:rPr>
          <w:color w:val="231F20"/>
          <w:spacing w:val="-16"/>
          <w:w w:val="105"/>
        </w:rPr>
        <w:t> </w:t>
      </w:r>
      <w:r>
        <w:rPr>
          <w:color w:val="231F20"/>
          <w:spacing w:val="-3"/>
          <w:w w:val="105"/>
        </w:rPr>
        <w:t>generado</w:t>
      </w:r>
      <w:r>
        <w:rPr>
          <w:color w:val="231F20"/>
          <w:spacing w:val="-16"/>
          <w:w w:val="105"/>
        </w:rPr>
        <w:t> </w:t>
      </w:r>
      <w:r>
        <w:rPr>
          <w:color w:val="231F20"/>
          <w:w w:val="105"/>
        </w:rPr>
        <w:t>por</w:t>
      </w:r>
      <w:r>
        <w:rPr>
          <w:color w:val="231F20"/>
          <w:spacing w:val="-16"/>
          <w:w w:val="105"/>
        </w:rPr>
        <w:t> </w:t>
      </w:r>
      <w:r>
        <w:rPr>
          <w:color w:val="231F20"/>
          <w:w w:val="105"/>
        </w:rPr>
        <w:t>una</w:t>
      </w:r>
      <w:r>
        <w:rPr>
          <w:color w:val="231F20"/>
          <w:spacing w:val="-16"/>
          <w:w w:val="105"/>
        </w:rPr>
        <w:t> </w:t>
      </w:r>
      <w:r>
        <w:rPr>
          <w:color w:val="231F20"/>
          <w:spacing w:val="-3"/>
          <w:w w:val="105"/>
        </w:rPr>
        <w:t>insuficiente</w:t>
      </w:r>
      <w:r>
        <w:rPr>
          <w:color w:val="231F20"/>
          <w:spacing w:val="-16"/>
          <w:w w:val="105"/>
        </w:rPr>
        <w:t> </w:t>
      </w:r>
      <w:r>
        <w:rPr>
          <w:color w:val="231F20"/>
          <w:spacing w:val="-3"/>
          <w:w w:val="105"/>
        </w:rPr>
        <w:t>demanda</w:t>
      </w:r>
      <w:r>
        <w:rPr>
          <w:color w:val="231F20"/>
          <w:spacing w:val="-16"/>
          <w:w w:val="105"/>
        </w:rPr>
        <w:t> </w:t>
      </w:r>
      <w:r>
        <w:rPr>
          <w:color w:val="231F20"/>
          <w:spacing w:val="-3"/>
          <w:w w:val="105"/>
        </w:rPr>
        <w:t>efectiva,</w:t>
      </w:r>
      <w:r>
        <w:rPr>
          <w:color w:val="231F20"/>
          <w:spacing w:val="-23"/>
          <w:w w:val="105"/>
        </w:rPr>
        <w:t> </w:t>
      </w:r>
      <w:r>
        <w:rPr>
          <w:color w:val="231F20"/>
          <w:w w:val="105"/>
        </w:rPr>
        <w:t>y</w:t>
      </w:r>
      <w:r>
        <w:rPr>
          <w:color w:val="231F20"/>
          <w:spacing w:val="-16"/>
          <w:w w:val="105"/>
        </w:rPr>
        <w:t> </w:t>
      </w:r>
      <w:r>
        <w:rPr>
          <w:color w:val="231F20"/>
          <w:w w:val="105"/>
        </w:rPr>
        <w:t>da</w:t>
      </w:r>
      <w:r>
        <w:rPr>
          <w:color w:val="231F20"/>
          <w:spacing w:val="-16"/>
          <w:w w:val="105"/>
        </w:rPr>
        <w:t> </w:t>
      </w:r>
      <w:r>
        <w:rPr>
          <w:color w:val="231F20"/>
          <w:spacing w:val="-3"/>
          <w:w w:val="105"/>
        </w:rPr>
        <w:t>particular</w:t>
      </w:r>
      <w:r>
        <w:rPr>
          <w:color w:val="231F20"/>
          <w:spacing w:val="-16"/>
          <w:w w:val="105"/>
        </w:rPr>
        <w:t> </w:t>
      </w:r>
      <w:r>
        <w:rPr>
          <w:color w:val="231F20"/>
          <w:spacing w:val="-4"/>
          <w:w w:val="105"/>
        </w:rPr>
        <w:t>impor- </w:t>
      </w:r>
      <w:r>
        <w:rPr>
          <w:color w:val="231F20"/>
          <w:spacing w:val="-3"/>
          <w:w w:val="105"/>
        </w:rPr>
        <w:t>tancia</w:t>
      </w:r>
      <w:r>
        <w:rPr>
          <w:color w:val="231F20"/>
          <w:spacing w:val="-18"/>
          <w:w w:val="105"/>
        </w:rPr>
        <w:t> </w:t>
      </w:r>
      <w:r>
        <w:rPr>
          <w:color w:val="231F20"/>
          <w:w w:val="105"/>
        </w:rPr>
        <w:t>al</w:t>
      </w:r>
      <w:r>
        <w:rPr>
          <w:color w:val="231F20"/>
          <w:spacing w:val="-18"/>
          <w:w w:val="105"/>
        </w:rPr>
        <w:t> </w:t>
      </w:r>
      <w:r>
        <w:rPr>
          <w:color w:val="231F20"/>
          <w:spacing w:val="-3"/>
          <w:w w:val="105"/>
        </w:rPr>
        <w:t>nivel</w:t>
      </w:r>
      <w:r>
        <w:rPr>
          <w:color w:val="231F20"/>
          <w:spacing w:val="-18"/>
          <w:w w:val="105"/>
        </w:rPr>
        <w:t> </w:t>
      </w:r>
      <w:r>
        <w:rPr>
          <w:color w:val="231F20"/>
          <w:w w:val="105"/>
        </w:rPr>
        <w:t>de</w:t>
      </w:r>
      <w:r>
        <w:rPr>
          <w:color w:val="231F20"/>
          <w:spacing w:val="-18"/>
          <w:w w:val="105"/>
        </w:rPr>
        <w:t> </w:t>
      </w:r>
      <w:r>
        <w:rPr>
          <w:color w:val="231F20"/>
          <w:spacing w:val="-3"/>
          <w:w w:val="105"/>
        </w:rPr>
        <w:t>inversión</w:t>
      </w:r>
      <w:r>
        <w:rPr>
          <w:color w:val="231F20"/>
          <w:spacing w:val="-18"/>
          <w:w w:val="105"/>
        </w:rPr>
        <w:t> </w:t>
      </w:r>
      <w:r>
        <w:rPr>
          <w:color w:val="231F20"/>
          <w:spacing w:val="-3"/>
          <w:w w:val="105"/>
        </w:rPr>
        <w:t>privada,</w:t>
      </w:r>
      <w:r>
        <w:rPr>
          <w:color w:val="231F20"/>
          <w:spacing w:val="-24"/>
          <w:w w:val="105"/>
        </w:rPr>
        <w:t> </w:t>
      </w:r>
      <w:r>
        <w:rPr>
          <w:color w:val="231F20"/>
          <w:w w:val="105"/>
        </w:rPr>
        <w:t>por</w:t>
      </w:r>
      <w:r>
        <w:rPr>
          <w:color w:val="231F20"/>
          <w:spacing w:val="-18"/>
          <w:w w:val="105"/>
        </w:rPr>
        <w:t> </w:t>
      </w:r>
      <w:r>
        <w:rPr>
          <w:color w:val="231F20"/>
          <w:w w:val="105"/>
        </w:rPr>
        <w:t>lo</w:t>
      </w:r>
      <w:r>
        <w:rPr>
          <w:color w:val="231F20"/>
          <w:spacing w:val="-18"/>
          <w:w w:val="105"/>
        </w:rPr>
        <w:t> </w:t>
      </w:r>
      <w:r>
        <w:rPr>
          <w:color w:val="231F20"/>
          <w:w w:val="105"/>
        </w:rPr>
        <w:t>que</w:t>
      </w:r>
      <w:r>
        <w:rPr>
          <w:color w:val="231F20"/>
          <w:spacing w:val="-18"/>
          <w:w w:val="105"/>
        </w:rPr>
        <w:t> </w:t>
      </w:r>
      <w:r>
        <w:rPr>
          <w:color w:val="231F20"/>
          <w:w w:val="105"/>
        </w:rPr>
        <w:t>un</w:t>
      </w:r>
      <w:r>
        <w:rPr>
          <w:color w:val="231F20"/>
          <w:spacing w:val="-18"/>
          <w:w w:val="105"/>
        </w:rPr>
        <w:t> </w:t>
      </w:r>
      <w:r>
        <w:rPr>
          <w:color w:val="231F20"/>
          <w:spacing w:val="-3"/>
          <w:w w:val="105"/>
        </w:rPr>
        <w:t>descenso</w:t>
      </w:r>
      <w:r>
        <w:rPr>
          <w:color w:val="231F20"/>
          <w:spacing w:val="-18"/>
          <w:w w:val="105"/>
        </w:rPr>
        <w:t> </w:t>
      </w:r>
      <w:r>
        <w:rPr>
          <w:color w:val="231F20"/>
          <w:w w:val="105"/>
        </w:rPr>
        <w:t>del</w:t>
      </w:r>
      <w:r>
        <w:rPr>
          <w:color w:val="231F20"/>
          <w:spacing w:val="-18"/>
          <w:w w:val="105"/>
        </w:rPr>
        <w:t> </w:t>
      </w:r>
      <w:r>
        <w:rPr>
          <w:color w:val="231F20"/>
          <w:spacing w:val="-3"/>
          <w:w w:val="105"/>
        </w:rPr>
        <w:t>salario</w:t>
      </w:r>
      <w:r>
        <w:rPr>
          <w:color w:val="231F20"/>
          <w:spacing w:val="-18"/>
          <w:w w:val="105"/>
        </w:rPr>
        <w:t> </w:t>
      </w:r>
      <w:r>
        <w:rPr>
          <w:color w:val="231F20"/>
          <w:w w:val="105"/>
        </w:rPr>
        <w:t>po- </w:t>
      </w:r>
      <w:r>
        <w:rPr>
          <w:color w:val="231F20"/>
          <w:spacing w:val="-3"/>
          <w:w w:val="105"/>
        </w:rPr>
        <w:t>dría</w:t>
      </w:r>
      <w:r>
        <w:rPr>
          <w:color w:val="231F20"/>
          <w:spacing w:val="-21"/>
          <w:w w:val="105"/>
        </w:rPr>
        <w:t> </w:t>
      </w:r>
      <w:r>
        <w:rPr>
          <w:color w:val="231F20"/>
          <w:spacing w:val="-3"/>
          <w:w w:val="105"/>
        </w:rPr>
        <w:t>incluso</w:t>
      </w:r>
      <w:r>
        <w:rPr>
          <w:color w:val="231F20"/>
          <w:spacing w:val="-21"/>
          <w:w w:val="105"/>
        </w:rPr>
        <w:t> </w:t>
      </w:r>
      <w:r>
        <w:rPr>
          <w:color w:val="231F20"/>
          <w:spacing w:val="-3"/>
          <w:w w:val="105"/>
        </w:rPr>
        <w:t>empeorar</w:t>
      </w:r>
      <w:r>
        <w:rPr>
          <w:color w:val="231F20"/>
          <w:spacing w:val="-21"/>
          <w:w w:val="105"/>
        </w:rPr>
        <w:t> </w:t>
      </w:r>
      <w:r>
        <w:rPr>
          <w:color w:val="231F20"/>
          <w:w w:val="105"/>
        </w:rPr>
        <w:t>la</w:t>
      </w:r>
      <w:r>
        <w:rPr>
          <w:color w:val="231F20"/>
          <w:spacing w:val="-21"/>
          <w:w w:val="105"/>
        </w:rPr>
        <w:t> </w:t>
      </w:r>
      <w:r>
        <w:rPr>
          <w:color w:val="231F20"/>
          <w:spacing w:val="-3"/>
          <w:w w:val="105"/>
        </w:rPr>
        <w:t>situación</w:t>
      </w:r>
      <w:r>
        <w:rPr>
          <w:color w:val="231F20"/>
          <w:spacing w:val="-21"/>
          <w:w w:val="105"/>
        </w:rPr>
        <w:t> </w:t>
      </w:r>
      <w:r>
        <w:rPr>
          <w:color w:val="231F20"/>
          <w:spacing w:val="-3"/>
          <w:w w:val="105"/>
        </w:rPr>
        <w:t>(Lavoie,</w:t>
      </w:r>
      <w:r>
        <w:rPr>
          <w:color w:val="231F20"/>
          <w:spacing w:val="-27"/>
          <w:w w:val="105"/>
        </w:rPr>
        <w:t> </w:t>
      </w:r>
      <w:r>
        <w:rPr>
          <w:color w:val="231F20"/>
          <w:spacing w:val="-3"/>
          <w:w w:val="105"/>
        </w:rPr>
        <w:t>1992).</w:t>
      </w:r>
      <w:r>
        <w:rPr>
          <w:color w:val="231F20"/>
          <w:spacing w:val="-31"/>
          <w:w w:val="105"/>
        </w:rPr>
        <w:t> </w:t>
      </w:r>
      <w:r>
        <w:rPr>
          <w:color w:val="231F20"/>
          <w:spacing w:val="-6"/>
          <w:w w:val="105"/>
        </w:rPr>
        <w:t>También</w:t>
      </w:r>
      <w:r>
        <w:rPr>
          <w:color w:val="231F20"/>
          <w:spacing w:val="-21"/>
          <w:w w:val="105"/>
        </w:rPr>
        <w:t> </w:t>
      </w:r>
      <w:r>
        <w:rPr>
          <w:color w:val="231F20"/>
          <w:spacing w:val="-3"/>
          <w:w w:val="105"/>
        </w:rPr>
        <w:t>resalta</w:t>
      </w:r>
      <w:r>
        <w:rPr>
          <w:color w:val="231F20"/>
          <w:spacing w:val="-21"/>
          <w:w w:val="105"/>
        </w:rPr>
        <w:t> </w:t>
      </w:r>
      <w:r>
        <w:rPr>
          <w:color w:val="231F20"/>
          <w:w w:val="105"/>
        </w:rPr>
        <w:t>el</w:t>
      </w:r>
      <w:r>
        <w:rPr>
          <w:color w:val="231F20"/>
          <w:spacing w:val="-21"/>
          <w:w w:val="105"/>
        </w:rPr>
        <w:t> </w:t>
      </w:r>
      <w:r>
        <w:rPr>
          <w:color w:val="231F20"/>
          <w:spacing w:val="-3"/>
          <w:w w:val="105"/>
        </w:rPr>
        <w:t>papel </w:t>
      </w:r>
      <w:r>
        <w:rPr>
          <w:color w:val="231F20"/>
          <w:w w:val="105"/>
        </w:rPr>
        <w:t>del </w:t>
      </w:r>
      <w:r>
        <w:rPr>
          <w:color w:val="231F20"/>
          <w:spacing w:val="-3"/>
          <w:w w:val="105"/>
        </w:rPr>
        <w:t>Estado como </w:t>
      </w:r>
      <w:r>
        <w:rPr>
          <w:color w:val="231F20"/>
          <w:spacing w:val="-4"/>
          <w:w w:val="105"/>
        </w:rPr>
        <w:t>empleador, </w:t>
      </w:r>
      <w:r>
        <w:rPr>
          <w:color w:val="231F20"/>
          <w:w w:val="105"/>
        </w:rPr>
        <w:t>al </w:t>
      </w:r>
      <w:r>
        <w:rPr>
          <w:color w:val="231F20"/>
          <w:spacing w:val="-3"/>
          <w:w w:val="105"/>
        </w:rPr>
        <w:t>argumentar </w:t>
      </w:r>
      <w:r>
        <w:rPr>
          <w:color w:val="231F20"/>
          <w:w w:val="105"/>
        </w:rPr>
        <w:t>que </w:t>
      </w:r>
      <w:r>
        <w:rPr>
          <w:color w:val="231F20"/>
          <w:spacing w:val="-3"/>
          <w:w w:val="105"/>
        </w:rPr>
        <w:t>éste puede alcanzar un nivel</w:t>
      </w:r>
      <w:r>
        <w:rPr>
          <w:color w:val="231F20"/>
          <w:spacing w:val="-21"/>
          <w:w w:val="105"/>
        </w:rPr>
        <w:t> </w:t>
      </w:r>
      <w:r>
        <w:rPr>
          <w:color w:val="231F20"/>
          <w:spacing w:val="-3"/>
          <w:w w:val="105"/>
        </w:rPr>
        <w:t>cero</w:t>
      </w:r>
      <w:r>
        <w:rPr>
          <w:color w:val="231F20"/>
          <w:spacing w:val="-21"/>
          <w:w w:val="105"/>
        </w:rPr>
        <w:t> </w:t>
      </w:r>
      <w:r>
        <w:rPr>
          <w:color w:val="231F20"/>
          <w:w w:val="105"/>
        </w:rPr>
        <w:t>de</w:t>
      </w:r>
      <w:r>
        <w:rPr>
          <w:color w:val="231F20"/>
          <w:spacing w:val="-21"/>
          <w:w w:val="105"/>
        </w:rPr>
        <w:t> </w:t>
      </w:r>
      <w:r>
        <w:rPr>
          <w:color w:val="231F20"/>
          <w:spacing w:val="-3"/>
          <w:w w:val="105"/>
        </w:rPr>
        <w:t>desempleo</w:t>
      </w:r>
      <w:r>
        <w:rPr>
          <w:color w:val="231F20"/>
          <w:spacing w:val="-21"/>
          <w:w w:val="105"/>
        </w:rPr>
        <w:t> </w:t>
      </w:r>
      <w:r>
        <w:rPr>
          <w:color w:val="231F20"/>
          <w:w w:val="105"/>
        </w:rPr>
        <w:t>al</w:t>
      </w:r>
      <w:r>
        <w:rPr>
          <w:color w:val="231F20"/>
          <w:spacing w:val="-21"/>
          <w:w w:val="105"/>
        </w:rPr>
        <w:t> </w:t>
      </w:r>
      <w:r>
        <w:rPr>
          <w:color w:val="231F20"/>
          <w:spacing w:val="-3"/>
          <w:w w:val="105"/>
        </w:rPr>
        <w:t>ofrecer</w:t>
      </w:r>
      <w:r>
        <w:rPr>
          <w:color w:val="231F20"/>
          <w:spacing w:val="-21"/>
          <w:w w:val="105"/>
        </w:rPr>
        <w:t> </w:t>
      </w:r>
      <w:r>
        <w:rPr>
          <w:color w:val="231F20"/>
          <w:w w:val="105"/>
        </w:rPr>
        <w:t>un</w:t>
      </w:r>
      <w:r>
        <w:rPr>
          <w:color w:val="231F20"/>
          <w:spacing w:val="-21"/>
          <w:w w:val="105"/>
        </w:rPr>
        <w:t> </w:t>
      </w:r>
      <w:r>
        <w:rPr>
          <w:color w:val="231F20"/>
          <w:spacing w:val="-3"/>
          <w:w w:val="105"/>
        </w:rPr>
        <w:t>puesto</w:t>
      </w:r>
      <w:r>
        <w:rPr>
          <w:color w:val="231F20"/>
          <w:spacing w:val="-21"/>
          <w:w w:val="105"/>
        </w:rPr>
        <w:t> </w:t>
      </w:r>
      <w:r>
        <w:rPr>
          <w:color w:val="231F20"/>
          <w:w w:val="105"/>
        </w:rPr>
        <w:t>de</w:t>
      </w:r>
      <w:r>
        <w:rPr>
          <w:color w:val="231F20"/>
          <w:spacing w:val="-21"/>
          <w:w w:val="105"/>
        </w:rPr>
        <w:t> </w:t>
      </w:r>
      <w:r>
        <w:rPr>
          <w:color w:val="231F20"/>
          <w:spacing w:val="-3"/>
          <w:w w:val="105"/>
        </w:rPr>
        <w:t>trabajo</w:t>
      </w:r>
      <w:r>
        <w:rPr>
          <w:color w:val="231F20"/>
          <w:spacing w:val="-21"/>
          <w:w w:val="105"/>
        </w:rPr>
        <w:t> </w:t>
      </w:r>
      <w:r>
        <w:rPr>
          <w:color w:val="231F20"/>
          <w:w w:val="105"/>
        </w:rPr>
        <w:t>en</w:t>
      </w:r>
      <w:r>
        <w:rPr>
          <w:color w:val="231F20"/>
          <w:spacing w:val="-21"/>
          <w:w w:val="105"/>
        </w:rPr>
        <w:t> </w:t>
      </w:r>
      <w:r>
        <w:rPr>
          <w:color w:val="231F20"/>
          <w:spacing w:val="-3"/>
          <w:w w:val="105"/>
        </w:rPr>
        <w:t>servicios</w:t>
      </w:r>
      <w:r>
        <w:rPr>
          <w:color w:val="231F20"/>
          <w:spacing w:val="-21"/>
          <w:w w:val="105"/>
        </w:rPr>
        <w:t> </w:t>
      </w:r>
      <w:r>
        <w:rPr>
          <w:color w:val="231F20"/>
          <w:spacing w:val="-3"/>
          <w:w w:val="105"/>
        </w:rPr>
        <w:t>públi- </w:t>
      </w:r>
      <w:r>
        <w:rPr>
          <w:color w:val="231F20"/>
          <w:w w:val="105"/>
        </w:rPr>
        <w:t>cos</w:t>
      </w:r>
      <w:r>
        <w:rPr>
          <w:color w:val="231F20"/>
          <w:spacing w:val="-24"/>
          <w:w w:val="105"/>
        </w:rPr>
        <w:t> </w:t>
      </w:r>
      <w:r>
        <w:rPr>
          <w:color w:val="231F20"/>
          <w:w w:val="105"/>
        </w:rPr>
        <w:t>a</w:t>
      </w:r>
      <w:r>
        <w:rPr>
          <w:color w:val="231F20"/>
          <w:spacing w:val="-24"/>
          <w:w w:val="105"/>
        </w:rPr>
        <w:t> </w:t>
      </w:r>
      <w:r>
        <w:rPr>
          <w:color w:val="231F20"/>
          <w:spacing w:val="-3"/>
          <w:w w:val="105"/>
        </w:rPr>
        <w:t>todos</w:t>
      </w:r>
      <w:r>
        <w:rPr>
          <w:color w:val="231F20"/>
          <w:spacing w:val="-24"/>
          <w:w w:val="105"/>
        </w:rPr>
        <w:t> </w:t>
      </w:r>
      <w:r>
        <w:rPr>
          <w:color w:val="231F20"/>
          <w:spacing w:val="-3"/>
          <w:w w:val="105"/>
        </w:rPr>
        <w:t>aquellos</w:t>
      </w:r>
      <w:r>
        <w:rPr>
          <w:color w:val="231F20"/>
          <w:spacing w:val="-24"/>
          <w:w w:val="105"/>
        </w:rPr>
        <w:t> </w:t>
      </w:r>
      <w:r>
        <w:rPr>
          <w:color w:val="231F20"/>
          <w:w w:val="105"/>
        </w:rPr>
        <w:t>que</w:t>
      </w:r>
      <w:r>
        <w:rPr>
          <w:color w:val="231F20"/>
          <w:spacing w:val="-24"/>
          <w:w w:val="105"/>
        </w:rPr>
        <w:t> </w:t>
      </w:r>
      <w:r>
        <w:rPr>
          <w:color w:val="231F20"/>
          <w:w w:val="105"/>
        </w:rPr>
        <w:t>lo</w:t>
      </w:r>
      <w:r>
        <w:rPr>
          <w:color w:val="231F20"/>
          <w:spacing w:val="-24"/>
          <w:w w:val="105"/>
        </w:rPr>
        <w:t> </w:t>
      </w:r>
      <w:r>
        <w:rPr>
          <w:color w:val="231F20"/>
          <w:spacing w:val="-3"/>
          <w:w w:val="105"/>
        </w:rPr>
        <w:t>deseen;</w:t>
      </w:r>
      <w:r>
        <w:rPr>
          <w:color w:val="231F20"/>
          <w:spacing w:val="-24"/>
          <w:w w:val="105"/>
        </w:rPr>
        <w:t> </w:t>
      </w:r>
      <w:r>
        <w:rPr>
          <w:color w:val="231F20"/>
          <w:w w:val="105"/>
        </w:rPr>
        <w:t>lo</w:t>
      </w:r>
      <w:r>
        <w:rPr>
          <w:color w:val="231F20"/>
          <w:spacing w:val="-24"/>
          <w:w w:val="105"/>
        </w:rPr>
        <w:t> </w:t>
      </w:r>
      <w:r>
        <w:rPr>
          <w:color w:val="231F20"/>
          <w:spacing w:val="-3"/>
          <w:w w:val="105"/>
        </w:rPr>
        <w:t>cual</w:t>
      </w:r>
      <w:r>
        <w:rPr>
          <w:color w:val="231F20"/>
          <w:spacing w:val="-24"/>
          <w:w w:val="105"/>
        </w:rPr>
        <w:t> </w:t>
      </w:r>
      <w:r>
        <w:rPr>
          <w:color w:val="231F20"/>
          <w:w w:val="105"/>
        </w:rPr>
        <w:t>se</w:t>
      </w:r>
      <w:r>
        <w:rPr>
          <w:color w:val="231F20"/>
          <w:spacing w:val="-24"/>
          <w:w w:val="105"/>
        </w:rPr>
        <w:t> </w:t>
      </w:r>
      <w:r>
        <w:rPr>
          <w:color w:val="231F20"/>
          <w:spacing w:val="-3"/>
          <w:w w:val="105"/>
        </w:rPr>
        <w:t>logra</w:t>
      </w:r>
      <w:r>
        <w:rPr>
          <w:color w:val="231F20"/>
          <w:spacing w:val="-24"/>
          <w:w w:val="105"/>
        </w:rPr>
        <w:t> </w:t>
      </w:r>
      <w:r>
        <w:rPr>
          <w:color w:val="231F20"/>
          <w:w w:val="105"/>
        </w:rPr>
        <w:t>si</w:t>
      </w:r>
      <w:r>
        <w:rPr>
          <w:color w:val="231F20"/>
          <w:spacing w:val="-24"/>
          <w:w w:val="105"/>
        </w:rPr>
        <w:t> </w:t>
      </w:r>
      <w:r>
        <w:rPr>
          <w:color w:val="231F20"/>
          <w:w w:val="105"/>
        </w:rPr>
        <w:t>se</w:t>
      </w:r>
      <w:r>
        <w:rPr>
          <w:color w:val="231F20"/>
          <w:spacing w:val="-24"/>
          <w:w w:val="105"/>
        </w:rPr>
        <w:t> </w:t>
      </w:r>
      <w:r>
        <w:rPr>
          <w:color w:val="231F20"/>
          <w:w w:val="105"/>
        </w:rPr>
        <w:t>fijan</w:t>
      </w:r>
      <w:r>
        <w:rPr>
          <w:color w:val="231F20"/>
          <w:spacing w:val="-24"/>
          <w:w w:val="105"/>
        </w:rPr>
        <w:t> </w:t>
      </w:r>
      <w:r>
        <w:rPr>
          <w:color w:val="231F20"/>
          <w:spacing w:val="-3"/>
          <w:w w:val="105"/>
        </w:rPr>
        <w:t>salarios</w:t>
      </w:r>
      <w:r>
        <w:rPr>
          <w:color w:val="231F20"/>
          <w:spacing w:val="-24"/>
          <w:w w:val="105"/>
        </w:rPr>
        <w:t> </w:t>
      </w:r>
      <w:r>
        <w:rPr>
          <w:color w:val="231F20"/>
          <w:spacing w:val="-3"/>
          <w:w w:val="105"/>
        </w:rPr>
        <w:t>más altos </w:t>
      </w:r>
      <w:r>
        <w:rPr>
          <w:color w:val="231F20"/>
          <w:w w:val="105"/>
        </w:rPr>
        <w:t>a los </w:t>
      </w:r>
      <w:r>
        <w:rPr>
          <w:color w:val="231F20"/>
          <w:spacing w:val="-3"/>
          <w:w w:val="105"/>
        </w:rPr>
        <w:t>niveles mínimos vigentes </w:t>
      </w:r>
      <w:r>
        <w:rPr>
          <w:color w:val="231F20"/>
          <w:w w:val="105"/>
        </w:rPr>
        <w:t>en el </w:t>
      </w:r>
      <w:r>
        <w:rPr>
          <w:color w:val="231F20"/>
          <w:spacing w:val="-3"/>
          <w:w w:val="105"/>
        </w:rPr>
        <w:t>ámbito privado. Esta situación determina </w:t>
      </w:r>
      <w:r>
        <w:rPr>
          <w:color w:val="231F20"/>
          <w:w w:val="105"/>
        </w:rPr>
        <w:t>la </w:t>
      </w:r>
      <w:r>
        <w:rPr>
          <w:color w:val="231F20"/>
          <w:spacing w:val="-3"/>
          <w:w w:val="105"/>
        </w:rPr>
        <w:t>contraciclicidad </w:t>
      </w:r>
      <w:r>
        <w:rPr>
          <w:color w:val="231F20"/>
          <w:w w:val="105"/>
        </w:rPr>
        <w:t>del </w:t>
      </w:r>
      <w:r>
        <w:rPr>
          <w:color w:val="231F20"/>
          <w:spacing w:val="-3"/>
          <w:w w:val="105"/>
        </w:rPr>
        <w:t>gasto público dirigido </w:t>
      </w:r>
      <w:r>
        <w:rPr>
          <w:color w:val="231F20"/>
          <w:w w:val="105"/>
        </w:rPr>
        <w:t>a </w:t>
      </w:r>
      <w:r>
        <w:rPr>
          <w:color w:val="231F20"/>
          <w:spacing w:val="-4"/>
          <w:w w:val="105"/>
        </w:rPr>
        <w:t>crear </w:t>
      </w:r>
      <w:r>
        <w:rPr>
          <w:color w:val="231F20"/>
          <w:spacing w:val="-3"/>
          <w:w w:val="105"/>
        </w:rPr>
        <w:t>empleos, pues</w:t>
      </w:r>
      <w:r>
        <w:rPr>
          <w:color w:val="231F20"/>
          <w:spacing w:val="-27"/>
          <w:w w:val="105"/>
        </w:rPr>
        <w:t> </w:t>
      </w:r>
      <w:r>
        <w:rPr>
          <w:color w:val="231F20"/>
          <w:spacing w:val="-3"/>
          <w:w w:val="105"/>
        </w:rPr>
        <w:t>aumenta</w:t>
      </w:r>
      <w:r>
        <w:rPr>
          <w:color w:val="231F20"/>
          <w:spacing w:val="-27"/>
          <w:w w:val="105"/>
        </w:rPr>
        <w:t> </w:t>
      </w:r>
      <w:r>
        <w:rPr>
          <w:color w:val="231F20"/>
          <w:w w:val="105"/>
        </w:rPr>
        <w:t>en</w:t>
      </w:r>
      <w:r>
        <w:rPr>
          <w:color w:val="231F20"/>
          <w:spacing w:val="-27"/>
          <w:w w:val="105"/>
        </w:rPr>
        <w:t> </w:t>
      </w:r>
      <w:r>
        <w:rPr>
          <w:color w:val="231F20"/>
          <w:spacing w:val="-3"/>
          <w:w w:val="105"/>
        </w:rPr>
        <w:t>épocas</w:t>
      </w:r>
      <w:r>
        <w:rPr>
          <w:color w:val="231F20"/>
          <w:spacing w:val="-27"/>
          <w:w w:val="105"/>
        </w:rPr>
        <w:t> </w:t>
      </w:r>
      <w:r>
        <w:rPr>
          <w:color w:val="231F20"/>
          <w:w w:val="105"/>
        </w:rPr>
        <w:t>de</w:t>
      </w:r>
      <w:r>
        <w:rPr>
          <w:color w:val="231F20"/>
          <w:spacing w:val="-27"/>
          <w:w w:val="105"/>
        </w:rPr>
        <w:t> </w:t>
      </w:r>
      <w:r>
        <w:rPr>
          <w:color w:val="231F20"/>
          <w:spacing w:val="-3"/>
          <w:w w:val="105"/>
        </w:rPr>
        <w:t>recesión</w:t>
      </w:r>
      <w:r>
        <w:rPr>
          <w:color w:val="231F20"/>
          <w:spacing w:val="-27"/>
          <w:w w:val="105"/>
        </w:rPr>
        <w:t> </w:t>
      </w:r>
      <w:r>
        <w:rPr>
          <w:color w:val="231F20"/>
          <w:w w:val="105"/>
        </w:rPr>
        <w:t>y</w:t>
      </w:r>
      <w:r>
        <w:rPr>
          <w:color w:val="231F20"/>
          <w:spacing w:val="-27"/>
          <w:w w:val="105"/>
        </w:rPr>
        <w:t> </w:t>
      </w:r>
      <w:r>
        <w:rPr>
          <w:color w:val="231F20"/>
          <w:spacing w:val="-3"/>
          <w:w w:val="105"/>
        </w:rPr>
        <w:t>disminuye</w:t>
      </w:r>
      <w:r>
        <w:rPr>
          <w:color w:val="231F20"/>
          <w:spacing w:val="-27"/>
          <w:w w:val="105"/>
        </w:rPr>
        <w:t> </w:t>
      </w:r>
      <w:r>
        <w:rPr>
          <w:color w:val="231F20"/>
          <w:w w:val="105"/>
        </w:rPr>
        <w:t>en</w:t>
      </w:r>
      <w:r>
        <w:rPr>
          <w:color w:val="231F20"/>
          <w:spacing w:val="-27"/>
          <w:w w:val="105"/>
        </w:rPr>
        <w:t> </w:t>
      </w:r>
      <w:r>
        <w:rPr>
          <w:color w:val="231F20"/>
          <w:w w:val="105"/>
        </w:rPr>
        <w:t>las</w:t>
      </w:r>
      <w:r>
        <w:rPr>
          <w:color w:val="231F20"/>
          <w:spacing w:val="-27"/>
          <w:w w:val="105"/>
        </w:rPr>
        <w:t> </w:t>
      </w:r>
      <w:r>
        <w:rPr>
          <w:color w:val="231F20"/>
          <w:spacing w:val="-3"/>
          <w:w w:val="105"/>
        </w:rPr>
        <w:t>fases</w:t>
      </w:r>
      <w:r>
        <w:rPr>
          <w:color w:val="231F20"/>
          <w:spacing w:val="-27"/>
          <w:w w:val="105"/>
        </w:rPr>
        <w:t> </w:t>
      </w:r>
      <w:r>
        <w:rPr>
          <w:color w:val="231F20"/>
          <w:w w:val="105"/>
        </w:rPr>
        <w:t>de</w:t>
      </w:r>
      <w:r>
        <w:rPr>
          <w:color w:val="231F20"/>
          <w:spacing w:val="-27"/>
          <w:w w:val="105"/>
        </w:rPr>
        <w:t> </w:t>
      </w:r>
      <w:r>
        <w:rPr>
          <w:color w:val="231F20"/>
          <w:spacing w:val="-3"/>
          <w:w w:val="105"/>
        </w:rPr>
        <w:t>auge.</w:t>
      </w:r>
    </w:p>
    <w:p>
      <w:pPr>
        <w:pStyle w:val="BodyText"/>
        <w:rPr>
          <w:sz w:val="20"/>
        </w:rPr>
      </w:pPr>
    </w:p>
    <w:p>
      <w:pPr>
        <w:pStyle w:val="BodyText"/>
        <w:spacing w:before="7"/>
        <w:rPr>
          <w:sz w:val="18"/>
        </w:rPr>
      </w:pPr>
    </w:p>
    <w:p>
      <w:pPr>
        <w:pStyle w:val="Heading2"/>
        <w:ind w:left="103"/>
      </w:pPr>
      <w:r>
        <w:rPr>
          <w:color w:val="231F20"/>
          <w:w w:val="95"/>
        </w:rPr>
        <w:t>La corriente neokeynesiana</w:t>
      </w:r>
    </w:p>
    <w:p>
      <w:pPr>
        <w:pStyle w:val="BodyText"/>
        <w:rPr>
          <w:b/>
          <w:sz w:val="22"/>
        </w:rPr>
      </w:pPr>
    </w:p>
    <w:p>
      <w:pPr>
        <w:pStyle w:val="BodyText"/>
        <w:spacing w:line="259" w:lineRule="auto" w:before="160"/>
        <w:ind w:left="103" w:right="115"/>
        <w:jc w:val="both"/>
      </w:pPr>
      <w:r>
        <w:rPr>
          <w:color w:val="231F20"/>
          <w:w w:val="105"/>
        </w:rPr>
        <w:t>El</w:t>
      </w:r>
      <w:r>
        <w:rPr>
          <w:color w:val="231F20"/>
          <w:spacing w:val="-12"/>
          <w:w w:val="105"/>
        </w:rPr>
        <w:t> </w:t>
      </w:r>
      <w:r>
        <w:rPr>
          <w:color w:val="231F20"/>
          <w:w w:val="105"/>
        </w:rPr>
        <w:t>enfoque</w:t>
      </w:r>
      <w:r>
        <w:rPr>
          <w:color w:val="231F20"/>
          <w:spacing w:val="-12"/>
          <w:w w:val="105"/>
        </w:rPr>
        <w:t> </w:t>
      </w:r>
      <w:r>
        <w:rPr>
          <w:color w:val="231F20"/>
          <w:w w:val="105"/>
        </w:rPr>
        <w:t>neokeynesiano</w:t>
      </w:r>
      <w:r>
        <w:rPr>
          <w:color w:val="231F20"/>
          <w:spacing w:val="-12"/>
          <w:w w:val="105"/>
        </w:rPr>
        <w:t> </w:t>
      </w:r>
      <w:r>
        <w:rPr>
          <w:color w:val="231F20"/>
          <w:w w:val="105"/>
        </w:rPr>
        <w:t>surge</w:t>
      </w:r>
      <w:r>
        <w:rPr>
          <w:color w:val="231F20"/>
          <w:spacing w:val="-12"/>
          <w:w w:val="105"/>
        </w:rPr>
        <w:t> </w:t>
      </w:r>
      <w:r>
        <w:rPr>
          <w:color w:val="231F20"/>
          <w:w w:val="105"/>
        </w:rPr>
        <w:t>a</w:t>
      </w:r>
      <w:r>
        <w:rPr>
          <w:color w:val="231F20"/>
          <w:spacing w:val="-12"/>
          <w:w w:val="105"/>
        </w:rPr>
        <w:t> </w:t>
      </w:r>
      <w:r>
        <w:rPr>
          <w:color w:val="231F20"/>
          <w:w w:val="105"/>
        </w:rPr>
        <w:t>mediados</w:t>
      </w:r>
      <w:r>
        <w:rPr>
          <w:color w:val="231F20"/>
          <w:spacing w:val="-12"/>
          <w:w w:val="105"/>
        </w:rPr>
        <w:t> </w:t>
      </w:r>
      <w:r>
        <w:rPr>
          <w:color w:val="231F20"/>
          <w:w w:val="105"/>
        </w:rPr>
        <w:t>del</w:t>
      </w:r>
      <w:r>
        <w:rPr>
          <w:color w:val="231F20"/>
          <w:spacing w:val="-12"/>
          <w:w w:val="105"/>
        </w:rPr>
        <w:t> </w:t>
      </w:r>
      <w:r>
        <w:rPr>
          <w:color w:val="231F20"/>
          <w:w w:val="105"/>
        </w:rPr>
        <w:t>siglo</w:t>
      </w:r>
      <w:r>
        <w:rPr>
          <w:color w:val="231F20"/>
          <w:spacing w:val="-14"/>
          <w:w w:val="105"/>
        </w:rPr>
        <w:t> </w:t>
      </w:r>
      <w:r>
        <w:rPr>
          <w:color w:val="231F20"/>
          <w:w w:val="105"/>
        </w:rPr>
        <w:t>XX,</w:t>
      </w:r>
      <w:r>
        <w:rPr>
          <w:color w:val="231F20"/>
          <w:spacing w:val="-18"/>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síntesis entre</w:t>
      </w:r>
      <w:r>
        <w:rPr>
          <w:color w:val="231F20"/>
          <w:spacing w:val="-10"/>
          <w:w w:val="105"/>
        </w:rPr>
        <w:t> </w:t>
      </w:r>
      <w:r>
        <w:rPr>
          <w:color w:val="231F20"/>
          <w:w w:val="105"/>
        </w:rPr>
        <w:t>las</w:t>
      </w:r>
      <w:r>
        <w:rPr>
          <w:color w:val="231F20"/>
          <w:spacing w:val="-10"/>
          <w:w w:val="105"/>
        </w:rPr>
        <w:t> </w:t>
      </w:r>
      <w:r>
        <w:rPr>
          <w:color w:val="231F20"/>
          <w:w w:val="105"/>
        </w:rPr>
        <w:t>primeras</w:t>
      </w:r>
      <w:r>
        <w:rPr>
          <w:color w:val="231F20"/>
          <w:spacing w:val="-10"/>
          <w:w w:val="105"/>
        </w:rPr>
        <w:t> </w:t>
      </w:r>
      <w:r>
        <w:rPr>
          <w:color w:val="231F20"/>
          <w:w w:val="105"/>
        </w:rPr>
        <w:t>ideas</w:t>
      </w:r>
      <w:r>
        <w:rPr>
          <w:color w:val="231F20"/>
          <w:spacing w:val="-10"/>
          <w:w w:val="105"/>
        </w:rPr>
        <w:t> </w:t>
      </w:r>
      <w:r>
        <w:rPr>
          <w:color w:val="231F20"/>
          <w:w w:val="105"/>
        </w:rPr>
        <w:t>de</w:t>
      </w:r>
      <w:r>
        <w:rPr>
          <w:color w:val="231F20"/>
          <w:spacing w:val="-12"/>
          <w:w w:val="105"/>
        </w:rPr>
        <w:t> </w:t>
      </w:r>
      <w:r>
        <w:rPr>
          <w:color w:val="231F20"/>
          <w:w w:val="105"/>
        </w:rPr>
        <w:t>J.</w:t>
      </w:r>
      <w:r>
        <w:rPr>
          <w:color w:val="231F20"/>
          <w:spacing w:val="-15"/>
          <w:w w:val="105"/>
        </w:rPr>
        <w:t> </w:t>
      </w:r>
      <w:r>
        <w:rPr>
          <w:color w:val="231F20"/>
          <w:w w:val="105"/>
        </w:rPr>
        <w:t>M.</w:t>
      </w:r>
      <w:r>
        <w:rPr>
          <w:color w:val="231F20"/>
          <w:spacing w:val="-15"/>
          <w:w w:val="105"/>
        </w:rPr>
        <w:t> </w:t>
      </w:r>
      <w:r>
        <w:rPr>
          <w:color w:val="231F20"/>
          <w:w w:val="105"/>
        </w:rPr>
        <w:t>Keynes</w:t>
      </w:r>
      <w:r>
        <w:rPr>
          <w:color w:val="231F20"/>
          <w:spacing w:val="-10"/>
          <w:w w:val="105"/>
        </w:rPr>
        <w:t> </w:t>
      </w:r>
      <w:r>
        <w:rPr>
          <w:color w:val="231F20"/>
          <w:w w:val="105"/>
        </w:rPr>
        <w:t>y</w:t>
      </w:r>
      <w:r>
        <w:rPr>
          <w:color w:val="231F20"/>
          <w:spacing w:val="-10"/>
          <w:w w:val="105"/>
        </w:rPr>
        <w:t> </w:t>
      </w:r>
      <w:r>
        <w:rPr>
          <w:color w:val="231F20"/>
          <w:w w:val="105"/>
        </w:rPr>
        <w:t>las</w:t>
      </w:r>
      <w:r>
        <w:rPr>
          <w:color w:val="231F20"/>
          <w:spacing w:val="-10"/>
          <w:w w:val="105"/>
        </w:rPr>
        <w:t> </w:t>
      </w:r>
      <w:r>
        <w:rPr>
          <w:color w:val="231F20"/>
          <w:w w:val="105"/>
        </w:rPr>
        <w:t>procedentes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escue- la neoclásica, por lo que también se le conoce como síntesis neoclási- ca-keynesiana</w:t>
      </w:r>
      <w:r>
        <w:rPr>
          <w:b/>
          <w:color w:val="231F20"/>
          <w:w w:val="105"/>
        </w:rPr>
        <w:t>.</w:t>
      </w:r>
      <w:r>
        <w:rPr>
          <w:b/>
          <w:color w:val="231F20"/>
          <w:spacing w:val="-26"/>
          <w:w w:val="105"/>
        </w:rPr>
        <w:t> </w:t>
      </w:r>
      <w:r>
        <w:rPr>
          <w:color w:val="231F20"/>
          <w:w w:val="105"/>
        </w:rPr>
        <w:t>El</w:t>
      </w:r>
      <w:r>
        <w:rPr>
          <w:color w:val="231F20"/>
          <w:spacing w:val="-21"/>
          <w:w w:val="105"/>
        </w:rPr>
        <w:t> </w:t>
      </w:r>
      <w:r>
        <w:rPr>
          <w:color w:val="231F20"/>
          <w:w w:val="105"/>
        </w:rPr>
        <w:t>término</w:t>
      </w:r>
      <w:r>
        <w:rPr>
          <w:color w:val="231F20"/>
          <w:spacing w:val="-21"/>
          <w:w w:val="105"/>
        </w:rPr>
        <w:t> </w:t>
      </w:r>
      <w:r>
        <w:rPr>
          <w:color w:val="231F20"/>
          <w:w w:val="105"/>
        </w:rPr>
        <w:t>introducido</w:t>
      </w:r>
      <w:r>
        <w:rPr>
          <w:color w:val="231F20"/>
          <w:spacing w:val="-21"/>
          <w:w w:val="105"/>
        </w:rPr>
        <w:t> </w:t>
      </w:r>
      <w:r>
        <w:rPr>
          <w:color w:val="231F20"/>
          <w:w w:val="105"/>
        </w:rPr>
        <w:t>por</w:t>
      </w:r>
      <w:r>
        <w:rPr>
          <w:color w:val="231F20"/>
          <w:spacing w:val="-21"/>
          <w:w w:val="105"/>
        </w:rPr>
        <w:t> </w:t>
      </w:r>
      <w:r>
        <w:rPr>
          <w:color w:val="231F20"/>
          <w:spacing w:val="-4"/>
          <w:w w:val="105"/>
        </w:rPr>
        <w:t>Paul</w:t>
      </w:r>
      <w:r>
        <w:rPr>
          <w:color w:val="231F20"/>
          <w:spacing w:val="-21"/>
          <w:w w:val="105"/>
        </w:rPr>
        <w:t> </w:t>
      </w:r>
      <w:r>
        <w:rPr>
          <w:color w:val="231F20"/>
          <w:w w:val="105"/>
        </w:rPr>
        <w:t>Samuelson</w:t>
      </w:r>
      <w:r>
        <w:rPr>
          <w:color w:val="231F20"/>
          <w:spacing w:val="-21"/>
          <w:w w:val="105"/>
        </w:rPr>
        <w:t> </w:t>
      </w:r>
      <w:r>
        <w:rPr>
          <w:color w:val="231F20"/>
          <w:w w:val="105"/>
        </w:rPr>
        <w:t>para</w:t>
      </w:r>
      <w:r>
        <w:rPr>
          <w:color w:val="231F20"/>
          <w:spacing w:val="-21"/>
          <w:w w:val="105"/>
        </w:rPr>
        <w:t> </w:t>
      </w:r>
      <w:r>
        <w:rPr>
          <w:color w:val="231F20"/>
          <w:w w:val="105"/>
        </w:rPr>
        <w:t>referirse al</w:t>
      </w:r>
      <w:r>
        <w:rPr>
          <w:color w:val="231F20"/>
          <w:spacing w:val="-15"/>
          <w:w w:val="105"/>
        </w:rPr>
        <w:t> </w:t>
      </w:r>
      <w:r>
        <w:rPr>
          <w:color w:val="231F20"/>
          <w:w w:val="105"/>
        </w:rPr>
        <w:t>proyecto</w:t>
      </w:r>
      <w:r>
        <w:rPr>
          <w:color w:val="231F20"/>
          <w:spacing w:val="-15"/>
          <w:w w:val="105"/>
        </w:rPr>
        <w:t> </w:t>
      </w:r>
      <w:r>
        <w:rPr>
          <w:color w:val="231F20"/>
          <w:w w:val="105"/>
        </w:rPr>
        <w:t>de</w:t>
      </w:r>
      <w:r>
        <w:rPr>
          <w:color w:val="231F20"/>
          <w:spacing w:val="-15"/>
          <w:w w:val="105"/>
        </w:rPr>
        <w:t> </w:t>
      </w:r>
      <w:r>
        <w:rPr>
          <w:color w:val="231F20"/>
          <w:w w:val="105"/>
        </w:rPr>
        <w:t>integrar</w:t>
      </w:r>
      <w:r>
        <w:rPr>
          <w:color w:val="231F20"/>
          <w:spacing w:val="-15"/>
          <w:w w:val="105"/>
        </w:rPr>
        <w:t> </w:t>
      </w:r>
      <w:r>
        <w:rPr>
          <w:color w:val="231F20"/>
          <w:w w:val="105"/>
        </w:rPr>
        <w:t>ambas</w:t>
      </w:r>
      <w:r>
        <w:rPr>
          <w:color w:val="231F20"/>
          <w:spacing w:val="-15"/>
          <w:w w:val="105"/>
        </w:rPr>
        <w:t> </w:t>
      </w:r>
      <w:r>
        <w:rPr>
          <w:color w:val="231F20"/>
          <w:w w:val="105"/>
        </w:rPr>
        <w:t>visiones.</w:t>
      </w:r>
      <w:r>
        <w:rPr>
          <w:color w:val="231F20"/>
          <w:spacing w:val="-20"/>
          <w:w w:val="105"/>
        </w:rPr>
        <w:t> </w:t>
      </w:r>
      <w:r>
        <w:rPr>
          <w:color w:val="231F20"/>
          <w:w w:val="105"/>
        </w:rPr>
        <w:t>Este</w:t>
      </w:r>
      <w:r>
        <w:rPr>
          <w:color w:val="231F20"/>
          <w:spacing w:val="-15"/>
          <w:w w:val="105"/>
        </w:rPr>
        <w:t> </w:t>
      </w:r>
      <w:r>
        <w:rPr>
          <w:color w:val="231F20"/>
          <w:w w:val="105"/>
        </w:rPr>
        <w:t>enfoque</w:t>
      </w:r>
      <w:r>
        <w:rPr>
          <w:color w:val="231F20"/>
          <w:spacing w:val="-15"/>
          <w:w w:val="105"/>
        </w:rPr>
        <w:t> </w:t>
      </w:r>
      <w:r>
        <w:rPr>
          <w:color w:val="231F20"/>
          <w:w w:val="105"/>
        </w:rPr>
        <w:t>teórico</w:t>
      </w:r>
      <w:r>
        <w:rPr>
          <w:color w:val="231F20"/>
          <w:spacing w:val="-15"/>
          <w:w w:val="105"/>
        </w:rPr>
        <w:t> </w:t>
      </w:r>
      <w:r>
        <w:rPr>
          <w:color w:val="231F20"/>
          <w:w w:val="105"/>
        </w:rPr>
        <w:t>tiene</w:t>
      </w:r>
      <w:r>
        <w:rPr>
          <w:color w:val="231F20"/>
          <w:spacing w:val="-15"/>
          <w:w w:val="105"/>
        </w:rPr>
        <w:t> </w:t>
      </w:r>
      <w:r>
        <w:rPr>
          <w:color w:val="231F20"/>
          <w:w w:val="105"/>
        </w:rPr>
        <w:t>como eje</w:t>
      </w:r>
      <w:r>
        <w:rPr>
          <w:color w:val="231F20"/>
          <w:spacing w:val="-20"/>
          <w:w w:val="105"/>
        </w:rPr>
        <w:t> </w:t>
      </w:r>
      <w:r>
        <w:rPr>
          <w:color w:val="231F20"/>
          <w:w w:val="105"/>
        </w:rPr>
        <w:t>central</w:t>
      </w:r>
      <w:r>
        <w:rPr>
          <w:color w:val="231F20"/>
          <w:spacing w:val="-20"/>
          <w:w w:val="105"/>
        </w:rPr>
        <w:t> </w:t>
      </w:r>
      <w:r>
        <w:rPr>
          <w:color w:val="231F20"/>
          <w:w w:val="105"/>
        </w:rPr>
        <w:t>al</w:t>
      </w:r>
      <w:r>
        <w:rPr>
          <w:color w:val="231F20"/>
          <w:spacing w:val="-20"/>
          <w:w w:val="105"/>
        </w:rPr>
        <w:t> </w:t>
      </w:r>
      <w:r>
        <w:rPr>
          <w:color w:val="231F20"/>
          <w:w w:val="105"/>
        </w:rPr>
        <w:t>modelo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curvas</w:t>
      </w:r>
      <w:r>
        <w:rPr>
          <w:color w:val="231F20"/>
          <w:spacing w:val="-20"/>
          <w:w w:val="105"/>
        </w:rPr>
        <w:t> </w:t>
      </w:r>
      <w:r>
        <w:rPr>
          <w:color w:val="231F20"/>
          <w:w w:val="105"/>
        </w:rPr>
        <w:t>IS-LM,</w:t>
      </w:r>
      <w:r>
        <w:rPr>
          <w:color w:val="231F20"/>
          <w:w w:val="105"/>
          <w:position w:val="7"/>
          <w:sz w:val="12"/>
        </w:rPr>
        <w:t>3</w:t>
      </w:r>
      <w:r>
        <w:rPr>
          <w:color w:val="231F20"/>
          <w:spacing w:val="6"/>
          <w:w w:val="105"/>
          <w:position w:val="7"/>
          <w:sz w:val="12"/>
        </w:rPr>
        <w:t> </w:t>
      </w:r>
      <w:r>
        <w:rPr>
          <w:color w:val="231F20"/>
          <w:w w:val="105"/>
        </w:rPr>
        <w:t>desarrollado</w:t>
      </w:r>
      <w:r>
        <w:rPr>
          <w:color w:val="231F20"/>
          <w:spacing w:val="-20"/>
          <w:w w:val="105"/>
        </w:rPr>
        <w:t> </w:t>
      </w:r>
      <w:r>
        <w:rPr>
          <w:color w:val="231F20"/>
          <w:w w:val="105"/>
        </w:rPr>
        <w:t>por</w:t>
      </w:r>
      <w:r>
        <w:rPr>
          <w:color w:val="231F20"/>
          <w:spacing w:val="-20"/>
          <w:w w:val="105"/>
        </w:rPr>
        <w:t> </w:t>
      </w:r>
      <w:r>
        <w:rPr>
          <w:color w:val="231F20"/>
          <w:w w:val="105"/>
        </w:rPr>
        <w:t>Hicks</w:t>
      </w:r>
      <w:r>
        <w:rPr>
          <w:color w:val="231F20"/>
          <w:spacing w:val="-20"/>
          <w:w w:val="105"/>
        </w:rPr>
        <w:t> </w:t>
      </w:r>
      <w:r>
        <w:rPr>
          <w:color w:val="231F20"/>
          <w:w w:val="105"/>
        </w:rPr>
        <w:t>(1937)</w:t>
      </w:r>
    </w:p>
    <w:p>
      <w:pPr>
        <w:pStyle w:val="BodyText"/>
        <w:spacing w:before="3"/>
        <w:rPr>
          <w:sz w:val="12"/>
        </w:rPr>
      </w:pPr>
      <w:r>
        <w:rPr/>
        <w:pict>
          <v:line style="position:absolute;mso-position-horizontal-relative:page;mso-position-vertical-relative:paragraph;z-index:10384;mso-wrap-distance-left:0;mso-wrap-distance-right:0" from="65.196899pt,9.133563pt" to="178.582899pt,9.133563pt" stroked="true" strokeweight=".25pt" strokecolor="#231f20">
            <w10:wrap type="topAndBottom"/>
          </v:line>
        </w:pict>
      </w:r>
    </w:p>
    <w:p>
      <w:pPr>
        <w:spacing w:line="192" w:lineRule="exact" w:before="7"/>
        <w:ind w:left="103" w:right="106" w:hanging="1"/>
        <w:jc w:val="left"/>
        <w:rPr>
          <w:rFonts w:ascii="Calibri" w:hAnsi="Calibri"/>
          <w:sz w:val="16"/>
        </w:rPr>
      </w:pPr>
      <w:r>
        <w:rPr>
          <w:rFonts w:ascii="Calibri" w:hAnsi="Calibri"/>
          <w:color w:val="414042"/>
          <w:w w:val="105"/>
          <w:position w:val="5"/>
          <w:sz w:val="9"/>
        </w:rPr>
        <w:t>3 </w:t>
      </w:r>
      <w:r>
        <w:rPr>
          <w:rFonts w:ascii="Calibri" w:hAnsi="Calibri"/>
          <w:color w:val="414042"/>
          <w:w w:val="105"/>
          <w:sz w:val="16"/>
        </w:rPr>
        <w:t>Muestra la interacción entre los mercados reales y los monetarios, donde IS = Investment-Saving y LM = Liquidity preference-Money Supplay.</w:t>
      </w:r>
    </w:p>
    <w:p>
      <w:pPr>
        <w:pStyle w:val="BodyText"/>
        <w:rPr>
          <w:rFonts w:ascii="Calibri"/>
          <w:sz w:val="20"/>
        </w:rPr>
      </w:pPr>
    </w:p>
    <w:p>
      <w:pPr>
        <w:pStyle w:val="BodyText"/>
        <w:spacing w:before="9"/>
        <w:rPr>
          <w:rFonts w:ascii="Calibri"/>
          <w:sz w:val="17"/>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52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296</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260" w:bottom="0" w:left="1200" w:right="1300"/>
        </w:sectPr>
      </w:pPr>
    </w:p>
    <w:p>
      <w:pPr>
        <w:pStyle w:val="BodyText"/>
        <w:rPr>
          <w:rFonts w:ascii="Calibri"/>
          <w:sz w:val="20"/>
        </w:rPr>
      </w:pPr>
    </w:p>
    <w:p>
      <w:pPr>
        <w:pStyle w:val="BodyText"/>
        <w:spacing w:before="8"/>
        <w:rPr>
          <w:rFonts w:ascii="Calibri"/>
          <w:sz w:val="20"/>
        </w:rPr>
      </w:pPr>
    </w:p>
    <w:p>
      <w:pPr>
        <w:pStyle w:val="ListParagraph"/>
        <w:numPr>
          <w:ilvl w:val="0"/>
          <w:numId w:val="66"/>
        </w:numPr>
        <w:tabs>
          <w:tab w:pos="501" w:val="left" w:leader="none"/>
          <w:tab w:pos="6971" w:val="right" w:leader="none"/>
        </w:tabs>
        <w:spacing w:line="240" w:lineRule="auto" w:before="52" w:after="0"/>
        <w:ind w:left="500" w:right="0" w:hanging="215"/>
        <w:jc w:val="left"/>
        <w:rPr>
          <w:sz w:val="20"/>
        </w:rPr>
      </w:pPr>
      <w:r>
        <w:rPr/>
        <w:pict>
          <v:line style="position:absolute;mso-position-horizontal-relative:page;mso-position-vertical-relative:paragraph;z-index:-237472" from="384.061005pt,-25.30427pt" to="384.061005pt,9.561580pt" stroked="true" strokeweight=".3pt" strokecolor="#231f20">
            <w10:wrap type="none"/>
          </v:line>
        </w:pict>
      </w:r>
      <w:r>
        <w:rPr>
          <w:rFonts w:ascii="Lucida Sans Unicode" w:hAnsi="Lucida Sans Unicode"/>
          <w:color w:val="6D6E71"/>
          <w:w w:val="105"/>
          <w:sz w:val="14"/>
        </w:rPr>
        <w:t>El</w:t>
      </w:r>
      <w:r>
        <w:rPr>
          <w:rFonts w:ascii="Lucida Sans Unicode" w:hAnsi="Lucida Sans Unicode"/>
          <w:color w:val="6D6E71"/>
          <w:spacing w:val="-9"/>
          <w:w w:val="105"/>
          <w:sz w:val="14"/>
        </w:rPr>
        <w:t> </w:t>
      </w:r>
      <w:r>
        <w:rPr>
          <w:rFonts w:ascii="Lucida Sans Unicode" w:hAnsi="Lucida Sans Unicode"/>
          <w:color w:val="6D6E71"/>
          <w:w w:val="105"/>
          <w:sz w:val="14"/>
        </w:rPr>
        <w:t>EmplEo</w:t>
      </w:r>
      <w:r>
        <w:rPr>
          <w:rFonts w:ascii="Lucida Sans Unicode" w:hAnsi="Lucida Sans Unicode"/>
          <w:color w:val="6D6E71"/>
          <w:spacing w:val="-9"/>
          <w:w w:val="105"/>
          <w:sz w:val="14"/>
        </w:rPr>
        <w:t> </w:t>
      </w:r>
      <w:r>
        <w:rPr>
          <w:rFonts w:ascii="Lucida Sans Unicode" w:hAnsi="Lucida Sans Unicode"/>
          <w:color w:val="6D6E71"/>
          <w:w w:val="105"/>
          <w:sz w:val="14"/>
        </w:rPr>
        <w:t>y</w:t>
      </w:r>
      <w:r>
        <w:rPr>
          <w:rFonts w:ascii="Lucida Sans Unicode" w:hAnsi="Lucida Sans Unicode"/>
          <w:color w:val="6D6E71"/>
          <w:spacing w:val="-9"/>
          <w:w w:val="105"/>
          <w:sz w:val="14"/>
        </w:rPr>
        <w:t> </w:t>
      </w:r>
      <w:r>
        <w:rPr>
          <w:rFonts w:ascii="Lucida Sans Unicode" w:hAnsi="Lucida Sans Unicode"/>
          <w:color w:val="6D6E71"/>
          <w:w w:val="115"/>
          <w:sz w:val="14"/>
        </w:rPr>
        <w:t>la</w:t>
      </w:r>
      <w:r>
        <w:rPr>
          <w:rFonts w:ascii="Lucida Sans Unicode" w:hAnsi="Lucida Sans Unicode"/>
          <w:color w:val="6D6E71"/>
          <w:spacing w:val="-13"/>
          <w:w w:val="115"/>
          <w:sz w:val="14"/>
        </w:rPr>
        <w:t> </w:t>
      </w:r>
      <w:r>
        <w:rPr>
          <w:rFonts w:ascii="Lucida Sans Unicode" w:hAnsi="Lucida Sans Unicode"/>
          <w:color w:val="6D6E71"/>
          <w:w w:val="105"/>
          <w:sz w:val="14"/>
        </w:rPr>
        <w:t>dEsocupacIón:</w:t>
      </w:r>
      <w:r>
        <w:rPr>
          <w:rFonts w:ascii="Lucida Sans Unicode" w:hAnsi="Lucida Sans Unicode"/>
          <w:color w:val="6D6E71"/>
          <w:spacing w:val="-9"/>
          <w:w w:val="105"/>
          <w:sz w:val="14"/>
        </w:rPr>
        <w:t> </w:t>
      </w:r>
      <w:r>
        <w:rPr>
          <w:rFonts w:ascii="Lucida Sans Unicode" w:hAnsi="Lucida Sans Unicode"/>
          <w:color w:val="6D6E71"/>
          <w:w w:val="105"/>
          <w:sz w:val="14"/>
        </w:rPr>
        <w:t>un</w:t>
      </w:r>
      <w:r>
        <w:rPr>
          <w:rFonts w:ascii="Lucida Sans Unicode" w:hAnsi="Lucida Sans Unicode"/>
          <w:color w:val="6D6E71"/>
          <w:spacing w:val="-9"/>
          <w:w w:val="105"/>
          <w:sz w:val="14"/>
        </w:rPr>
        <w:t> </w:t>
      </w:r>
      <w:r>
        <w:rPr>
          <w:rFonts w:ascii="Lucida Sans Unicode" w:hAnsi="Lucida Sans Unicode"/>
          <w:color w:val="6D6E71"/>
          <w:w w:val="105"/>
          <w:sz w:val="14"/>
        </w:rPr>
        <w:t>análIsIs</w:t>
      </w:r>
      <w:r>
        <w:rPr>
          <w:rFonts w:ascii="Lucida Sans Unicode" w:hAnsi="Lucida Sans Unicode"/>
          <w:color w:val="6D6E71"/>
          <w:spacing w:val="-9"/>
          <w:w w:val="105"/>
          <w:sz w:val="14"/>
        </w:rPr>
        <w:t> </w:t>
      </w:r>
      <w:r>
        <w:rPr>
          <w:rFonts w:ascii="Lucida Sans Unicode" w:hAnsi="Lucida Sans Unicode"/>
          <w:color w:val="6D6E71"/>
          <w:w w:val="105"/>
          <w:sz w:val="14"/>
        </w:rPr>
        <w:t>dEsdE</w:t>
      </w:r>
      <w:r>
        <w:rPr>
          <w:rFonts w:ascii="Lucida Sans Unicode" w:hAnsi="Lucida Sans Unicode"/>
          <w:color w:val="6D6E71"/>
          <w:spacing w:val="-9"/>
          <w:w w:val="105"/>
          <w:sz w:val="14"/>
        </w:rPr>
        <w:t> </w:t>
      </w:r>
      <w:r>
        <w:rPr>
          <w:rFonts w:ascii="Lucida Sans Unicode" w:hAnsi="Lucida Sans Unicode"/>
          <w:color w:val="6D6E71"/>
          <w:w w:val="105"/>
          <w:sz w:val="14"/>
        </w:rPr>
        <w:t>los</w:t>
      </w:r>
      <w:r>
        <w:rPr>
          <w:rFonts w:ascii="Lucida Sans Unicode" w:hAnsi="Lucida Sans Unicode"/>
          <w:color w:val="6D6E71"/>
          <w:spacing w:val="-9"/>
          <w:w w:val="105"/>
          <w:sz w:val="14"/>
        </w:rPr>
        <w:t> </w:t>
      </w:r>
      <w:r>
        <w:rPr>
          <w:rFonts w:ascii="Lucida Sans Unicode" w:hAnsi="Lucida Sans Unicode"/>
          <w:color w:val="6D6E71"/>
          <w:w w:val="105"/>
          <w:sz w:val="14"/>
        </w:rPr>
        <w:t>EnfoquEs</w:t>
      </w:r>
      <w:r>
        <w:rPr>
          <w:rFonts w:ascii="Lucida Sans Unicode" w:hAnsi="Lucida Sans Unicode"/>
          <w:color w:val="6D6E71"/>
          <w:spacing w:val="-9"/>
          <w:w w:val="105"/>
          <w:sz w:val="14"/>
        </w:rPr>
        <w:t> </w:t>
      </w:r>
      <w:r>
        <w:rPr>
          <w:rFonts w:ascii="Lucida Sans Unicode" w:hAnsi="Lucida Sans Unicode"/>
          <w:color w:val="6D6E71"/>
          <w:w w:val="105"/>
          <w:sz w:val="14"/>
        </w:rPr>
        <w:t>tEórIcos</w:t>
      </w:r>
      <w:r>
        <w:rPr>
          <w:rFonts w:ascii="Lucida Sans Unicode" w:hAnsi="Lucida Sans Unicode"/>
          <w:color w:val="6D6E71"/>
          <w:spacing w:val="-9"/>
          <w:w w:val="105"/>
          <w:sz w:val="14"/>
        </w:rPr>
        <w:t> </w:t>
      </w:r>
      <w:r>
        <w:rPr>
          <w:rFonts w:ascii="Lucida Sans Unicode" w:hAnsi="Lucida Sans Unicode"/>
          <w:color w:val="6D6E71"/>
          <w:w w:val="105"/>
          <w:sz w:val="14"/>
        </w:rPr>
        <w:t>kEynEsIanos</w:t>
      </w:r>
      <w:r>
        <w:rPr>
          <w:color w:val="414042"/>
          <w:w w:val="105"/>
          <w:position w:val="-3"/>
          <w:sz w:val="20"/>
        </w:rPr>
        <w:tab/>
        <w:t>297</w:t>
      </w:r>
    </w:p>
    <w:p>
      <w:pPr>
        <w:pStyle w:val="BodyText"/>
        <w:rPr>
          <w:sz w:val="20"/>
        </w:rPr>
      </w:pPr>
    </w:p>
    <w:p>
      <w:pPr>
        <w:pStyle w:val="BodyText"/>
        <w:rPr>
          <w:sz w:val="20"/>
        </w:rPr>
      </w:pPr>
    </w:p>
    <w:p>
      <w:pPr>
        <w:pStyle w:val="BodyText"/>
        <w:spacing w:line="259" w:lineRule="auto" w:before="176"/>
        <w:ind w:left="117" w:right="121"/>
        <w:jc w:val="both"/>
      </w:pPr>
      <w:r>
        <w:rPr>
          <w:color w:val="231F20"/>
        </w:rPr>
        <w:t>y Modigliani (1944), como base de la demanda agregada, y es una forma- lización neo-walrasiana (de equilibrio   general).</w:t>
      </w:r>
    </w:p>
    <w:p>
      <w:pPr>
        <w:pStyle w:val="BodyText"/>
        <w:spacing w:line="259" w:lineRule="auto"/>
        <w:ind w:left="117" w:right="116" w:firstLine="567"/>
        <w:jc w:val="right"/>
      </w:pPr>
      <w:r>
        <w:rPr>
          <w:color w:val="231F20"/>
        </w:rPr>
        <w:t>La síntesis </w:t>
      </w:r>
      <w:r>
        <w:rPr>
          <w:color w:val="231F20"/>
          <w:spacing w:val="-3"/>
        </w:rPr>
        <w:t>neoclásica-keynesiana </w:t>
      </w:r>
      <w:r>
        <w:rPr>
          <w:color w:val="231F20"/>
        </w:rPr>
        <w:t>señala que a </w:t>
      </w:r>
      <w:r>
        <w:rPr>
          <w:color w:val="231F20"/>
          <w:spacing w:val="-3"/>
        </w:rPr>
        <w:t>largo </w:t>
      </w:r>
      <w:r>
        <w:rPr>
          <w:color w:val="231F20"/>
        </w:rPr>
        <w:t>plazo se </w:t>
      </w:r>
      <w:r>
        <w:rPr>
          <w:color w:val="231F20"/>
          <w:spacing w:val="-2"/>
        </w:rPr>
        <w:t>tiende</w:t>
      </w:r>
      <w:r>
        <w:rPr>
          <w:color w:val="231F20"/>
          <w:spacing w:val="-2"/>
          <w:w w:val="107"/>
        </w:rPr>
        <w:t> </w:t>
      </w:r>
      <w:r>
        <w:rPr>
          <w:color w:val="231F20"/>
        </w:rPr>
        <w:t>al pleno empleo, </w:t>
      </w:r>
      <w:r>
        <w:rPr>
          <w:color w:val="231F20"/>
          <w:spacing w:val="-3"/>
        </w:rPr>
        <w:t>pero </w:t>
      </w:r>
      <w:r>
        <w:rPr>
          <w:color w:val="231F20"/>
        </w:rPr>
        <w:t>a corto plazo existen imperfecciones de </w:t>
      </w:r>
      <w:r>
        <w:rPr>
          <w:color w:val="231F20"/>
          <w:spacing w:val="-3"/>
        </w:rPr>
        <w:t>mercado</w:t>
      </w:r>
      <w:r>
        <w:rPr>
          <w:color w:val="231F20"/>
          <w:spacing w:val="-2"/>
          <w:w w:val="105"/>
        </w:rPr>
        <w:t> </w:t>
      </w:r>
      <w:r>
        <w:rPr>
          <w:color w:val="231F20"/>
        </w:rPr>
        <w:t>que impiden que la economía vuelva rápidamente al nivel de </w:t>
      </w:r>
      <w:r>
        <w:rPr>
          <w:color w:val="231F20"/>
          <w:spacing w:val="-3"/>
        </w:rPr>
        <w:t>producción</w:t>
      </w:r>
      <w:r>
        <w:rPr>
          <w:color w:val="231F20"/>
          <w:spacing w:val="-2"/>
          <w:w w:val="106"/>
        </w:rPr>
        <w:t> </w:t>
      </w:r>
      <w:r>
        <w:rPr>
          <w:color w:val="231F20"/>
        </w:rPr>
        <w:t>potencial. </w:t>
      </w:r>
      <w:r>
        <w:rPr>
          <w:color w:val="231F20"/>
          <w:spacing w:val="-7"/>
        </w:rPr>
        <w:t>Por </w:t>
      </w:r>
      <w:r>
        <w:rPr>
          <w:color w:val="231F20"/>
        </w:rPr>
        <w:t>ello </w:t>
      </w:r>
      <w:r>
        <w:rPr>
          <w:color w:val="231F20"/>
          <w:spacing w:val="-3"/>
        </w:rPr>
        <w:t>proponen </w:t>
      </w:r>
      <w:r>
        <w:rPr>
          <w:color w:val="231F20"/>
        </w:rPr>
        <w:t>la intervención del </w:t>
      </w:r>
      <w:r>
        <w:rPr>
          <w:color w:val="231F20"/>
          <w:spacing w:val="-2"/>
        </w:rPr>
        <w:t>gobierno, </w:t>
      </w:r>
      <w:r>
        <w:rPr>
          <w:color w:val="231F20"/>
        </w:rPr>
        <w:t>mediante </w:t>
      </w:r>
      <w:r>
        <w:rPr>
          <w:color w:val="231F20"/>
          <w:spacing w:val="-2"/>
        </w:rPr>
        <w:t>los</w:t>
      </w:r>
      <w:r>
        <w:rPr>
          <w:color w:val="231F20"/>
          <w:spacing w:val="-2"/>
          <w:w w:val="102"/>
        </w:rPr>
        <w:t> </w:t>
      </w:r>
      <w:r>
        <w:rPr>
          <w:color w:val="231F20"/>
        </w:rPr>
        <w:t>instrumentos de política económica, en vez de confiar en la </w:t>
      </w:r>
      <w:r>
        <w:rPr>
          <w:color w:val="231F20"/>
          <w:spacing w:val="-3"/>
        </w:rPr>
        <w:t>libre iniciativa.</w:t>
      </w:r>
      <w:r>
        <w:rPr>
          <w:color w:val="231F20"/>
          <w:spacing w:val="-2"/>
          <w:w w:val="100"/>
        </w:rPr>
        <w:t> </w:t>
      </w:r>
      <w:r>
        <w:rPr>
          <w:color w:val="231F20"/>
        </w:rPr>
        <w:t>En  resumen, el  modelo  IS-LM  determina  las  funciones  de oferta</w:t>
      </w:r>
    </w:p>
    <w:p>
      <w:pPr>
        <w:pStyle w:val="BodyText"/>
        <w:spacing w:line="247" w:lineRule="auto"/>
        <w:ind w:left="117" w:right="121" w:hanging="1"/>
        <w:jc w:val="both"/>
      </w:pPr>
      <w:r>
        <w:rPr>
          <w:i/>
          <w:color w:val="231F20"/>
          <w:w w:val="105"/>
        </w:rPr>
        <w:t>N</w:t>
      </w:r>
      <w:r>
        <w:rPr>
          <w:i/>
          <w:color w:val="231F20"/>
          <w:w w:val="105"/>
          <w:position w:val="7"/>
          <w:sz w:val="12"/>
        </w:rPr>
        <w:t>s</w:t>
      </w:r>
      <w:r>
        <w:rPr>
          <w:i/>
          <w:color w:val="231F20"/>
          <w:spacing w:val="15"/>
          <w:w w:val="105"/>
          <w:position w:val="7"/>
          <w:sz w:val="12"/>
        </w:rPr>
        <w:t> </w:t>
      </w:r>
      <w:r>
        <w:rPr>
          <w:color w:val="231F20"/>
          <w:w w:val="105"/>
        </w:rPr>
        <w:t>=</w:t>
      </w:r>
      <w:r>
        <w:rPr>
          <w:color w:val="231F20"/>
          <w:spacing w:val="-12"/>
          <w:w w:val="105"/>
        </w:rPr>
        <w:t> </w:t>
      </w:r>
      <w:r>
        <w:rPr>
          <w:color w:val="231F20"/>
          <w:w w:val="105"/>
        </w:rPr>
        <w:t>ψ</w:t>
      </w:r>
      <w:r>
        <w:rPr>
          <w:color w:val="231F20"/>
          <w:spacing w:val="-12"/>
          <w:w w:val="105"/>
        </w:rPr>
        <w:t> </w:t>
      </w:r>
      <w:r>
        <w:rPr>
          <w:color w:val="231F20"/>
          <w:w w:val="105"/>
        </w:rPr>
        <w:t>(</w:t>
      </w:r>
      <w:r>
        <w:rPr>
          <w:i/>
          <w:color w:val="231F20"/>
          <w:w w:val="105"/>
        </w:rPr>
        <w:t>W/P</w:t>
      </w:r>
      <w:r>
        <w:rPr>
          <w:color w:val="231F20"/>
          <w:w w:val="105"/>
        </w:rPr>
        <w:t>)</w:t>
      </w:r>
      <w:r>
        <w:rPr>
          <w:color w:val="231F20"/>
          <w:spacing w:val="-12"/>
          <w:w w:val="105"/>
        </w:rPr>
        <w:t> </w:t>
      </w:r>
      <w:r>
        <w:rPr>
          <w:color w:val="231F20"/>
          <w:w w:val="105"/>
        </w:rPr>
        <w:t>y</w:t>
      </w:r>
      <w:r>
        <w:rPr>
          <w:color w:val="231F20"/>
          <w:spacing w:val="-12"/>
          <w:w w:val="105"/>
        </w:rPr>
        <w:t> </w:t>
      </w:r>
      <w:r>
        <w:rPr>
          <w:color w:val="231F20"/>
          <w:w w:val="105"/>
        </w:rPr>
        <w:t>demanda</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i/>
          <w:color w:val="231F20"/>
          <w:w w:val="105"/>
        </w:rPr>
        <w:t>F</w:t>
      </w:r>
      <w:r>
        <w:rPr>
          <w:i/>
          <w:color w:val="231F20"/>
          <w:w w:val="105"/>
          <w:position w:val="-4"/>
          <w:sz w:val="12"/>
        </w:rPr>
        <w:t>N</w:t>
      </w:r>
      <w:r>
        <w:rPr>
          <w:i/>
          <w:color w:val="231F20"/>
          <w:spacing w:val="15"/>
          <w:w w:val="105"/>
          <w:position w:val="-4"/>
          <w:sz w:val="12"/>
        </w:rPr>
        <w:t> </w:t>
      </w:r>
      <w:r>
        <w:rPr>
          <w:color w:val="231F20"/>
          <w:w w:val="105"/>
        </w:rPr>
        <w:t>(</w:t>
      </w:r>
      <w:r>
        <w:rPr>
          <w:i/>
          <w:color w:val="231F20"/>
          <w:w w:val="105"/>
        </w:rPr>
        <w:t>N</w:t>
      </w:r>
      <w:r>
        <w:rPr>
          <w:i/>
          <w:color w:val="231F20"/>
          <w:w w:val="105"/>
          <w:position w:val="7"/>
          <w:sz w:val="12"/>
        </w:rPr>
        <w:t>d</w:t>
      </w:r>
      <w:r>
        <w:rPr>
          <w:color w:val="231F20"/>
          <w:w w:val="105"/>
        </w:rPr>
        <w:t>)</w:t>
      </w:r>
      <w:r>
        <w:rPr>
          <w:color w:val="231F20"/>
          <w:spacing w:val="-12"/>
          <w:w w:val="105"/>
        </w:rPr>
        <w:t> </w:t>
      </w:r>
      <w:r>
        <w:rPr>
          <w:i/>
          <w:color w:val="231F20"/>
          <w:w w:val="105"/>
        </w:rPr>
        <w:t>=</w:t>
      </w:r>
      <w:r>
        <w:rPr>
          <w:i/>
          <w:color w:val="231F20"/>
          <w:spacing w:val="-14"/>
          <w:w w:val="105"/>
        </w:rPr>
        <w:t> </w:t>
      </w:r>
      <w:r>
        <w:rPr>
          <w:i/>
          <w:color w:val="231F20"/>
          <w:spacing w:val="-8"/>
          <w:w w:val="105"/>
        </w:rPr>
        <w:t>W/P.</w:t>
      </w:r>
      <w:r>
        <w:rPr>
          <w:i/>
          <w:color w:val="231F20"/>
          <w:spacing w:val="-18"/>
          <w:w w:val="105"/>
        </w:rPr>
        <w:t> </w:t>
      </w:r>
      <w:r>
        <w:rPr>
          <w:color w:val="231F20"/>
          <w:spacing w:val="-6"/>
          <w:w w:val="105"/>
        </w:rPr>
        <w:t>Por</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equilibrio del mercado de trabajo determina el nivel de empleo y salario real, tal que </w:t>
      </w:r>
      <w:r>
        <w:rPr>
          <w:i/>
          <w:color w:val="231F20"/>
          <w:w w:val="105"/>
        </w:rPr>
        <w:t>N</w:t>
      </w:r>
      <w:r>
        <w:rPr>
          <w:i/>
          <w:color w:val="231F20"/>
          <w:w w:val="105"/>
          <w:position w:val="7"/>
          <w:sz w:val="12"/>
        </w:rPr>
        <w:t>d </w:t>
      </w:r>
      <w:r>
        <w:rPr>
          <w:color w:val="231F20"/>
          <w:w w:val="105"/>
        </w:rPr>
        <w:t>(</w:t>
      </w:r>
      <w:r>
        <w:rPr>
          <w:i/>
          <w:color w:val="231F20"/>
          <w:w w:val="105"/>
        </w:rPr>
        <w:t>w</w:t>
      </w:r>
      <w:r>
        <w:rPr>
          <w:color w:val="231F20"/>
          <w:w w:val="105"/>
        </w:rPr>
        <w:t>) = </w:t>
      </w:r>
      <w:r>
        <w:rPr>
          <w:i/>
          <w:color w:val="231F20"/>
          <w:w w:val="105"/>
        </w:rPr>
        <w:t>N</w:t>
      </w:r>
      <w:r>
        <w:rPr>
          <w:i/>
          <w:color w:val="231F20"/>
          <w:w w:val="105"/>
          <w:position w:val="7"/>
          <w:sz w:val="12"/>
        </w:rPr>
        <w:t>s </w:t>
      </w:r>
      <w:r>
        <w:rPr>
          <w:color w:val="231F20"/>
          <w:w w:val="105"/>
        </w:rPr>
        <w:t>(</w:t>
      </w:r>
      <w:r>
        <w:rPr>
          <w:i/>
          <w:color w:val="231F20"/>
          <w:w w:val="105"/>
        </w:rPr>
        <w:t>w</w:t>
      </w:r>
      <w:r>
        <w:rPr>
          <w:color w:val="231F20"/>
          <w:w w:val="105"/>
        </w:rPr>
        <w:t>) </w:t>
      </w:r>
      <w:r>
        <w:rPr>
          <w:rFonts w:ascii="Cambria Math" w:hAnsi="Cambria Math"/>
          <w:color w:val="231F20"/>
          <w:w w:val="105"/>
        </w:rPr>
        <w:t>⇒ </w:t>
      </w:r>
      <w:r>
        <w:rPr>
          <w:i/>
          <w:color w:val="231F20"/>
          <w:w w:val="105"/>
        </w:rPr>
        <w:t>N</w:t>
      </w:r>
      <w:r>
        <w:rPr>
          <w:color w:val="231F20"/>
          <w:w w:val="105"/>
        </w:rPr>
        <w:t>*, </w:t>
      </w:r>
      <w:r>
        <w:rPr>
          <w:i/>
          <w:color w:val="231F20"/>
          <w:w w:val="105"/>
        </w:rPr>
        <w:t>w</w:t>
      </w:r>
      <w:r>
        <w:rPr>
          <w:color w:val="231F20"/>
          <w:w w:val="105"/>
        </w:rPr>
        <w:t>*; y dado el nivel de empleo, la función de producción</w:t>
      </w:r>
      <w:r>
        <w:rPr>
          <w:color w:val="231F20"/>
          <w:spacing w:val="-4"/>
          <w:w w:val="105"/>
        </w:rPr>
        <w:t> </w:t>
      </w:r>
      <w:r>
        <w:rPr>
          <w:color w:val="231F20"/>
          <w:w w:val="105"/>
        </w:rPr>
        <w:t>es:</w:t>
      </w:r>
    </w:p>
    <w:p>
      <w:pPr>
        <w:tabs>
          <w:tab w:pos="6750" w:val="left" w:leader="none"/>
        </w:tabs>
        <w:spacing w:before="173"/>
        <w:ind w:left="967" w:right="114" w:firstLine="0"/>
        <w:jc w:val="left"/>
        <w:rPr>
          <w:sz w:val="21"/>
        </w:rPr>
      </w:pPr>
      <w:r>
        <w:rPr>
          <w:rFonts w:ascii="Times New Roman" w:hAnsi="Times New Roman"/>
          <w:i/>
          <w:color w:val="231F20"/>
          <w:sz w:val="22"/>
        </w:rPr>
        <w:t>Y = F(N)</w:t>
      </w:r>
      <w:r>
        <w:rPr>
          <w:rFonts w:ascii="Times New Roman" w:hAnsi="Times New Roman"/>
          <w:i/>
          <w:color w:val="231F20"/>
          <w:spacing w:val="-2"/>
          <w:sz w:val="22"/>
        </w:rPr>
        <w:t> </w:t>
      </w:r>
      <w:r>
        <w:rPr>
          <w:rFonts w:ascii="Cambria Math" w:hAnsi="Cambria Math"/>
          <w:color w:val="231F20"/>
          <w:sz w:val="22"/>
        </w:rPr>
        <w:t>⇒</w:t>
      </w:r>
      <w:r>
        <w:rPr>
          <w:rFonts w:ascii="Cambria Math" w:hAnsi="Cambria Math"/>
          <w:color w:val="231F20"/>
          <w:spacing w:val="6"/>
          <w:sz w:val="22"/>
        </w:rPr>
        <w:t> </w:t>
      </w:r>
      <w:r>
        <w:rPr>
          <w:rFonts w:ascii="Times New Roman" w:hAnsi="Times New Roman"/>
          <w:i/>
          <w:color w:val="231F20"/>
          <w:sz w:val="22"/>
        </w:rPr>
        <w:t>Y*</w:t>
        <w:tab/>
      </w:r>
      <w:r>
        <w:rPr>
          <w:color w:val="231F20"/>
          <w:sz w:val="21"/>
        </w:rPr>
        <w:t>[1]</w:t>
      </w:r>
    </w:p>
    <w:p>
      <w:pPr>
        <w:pStyle w:val="BodyText"/>
        <w:spacing w:line="259" w:lineRule="auto" w:before="184"/>
        <w:ind w:left="117" w:right="122"/>
        <w:jc w:val="both"/>
        <w:rPr>
          <w:sz w:val="12"/>
        </w:rPr>
      </w:pPr>
      <w:r>
        <w:rPr>
          <w:color w:val="231F20"/>
        </w:rPr>
        <w:t>Las ecuaciones del modelo IS-LM también determinan la tasa de interés  y el nivel de</w:t>
      </w:r>
      <w:r>
        <w:rPr>
          <w:color w:val="231F20"/>
          <w:spacing w:val="56"/>
        </w:rPr>
        <w:t> </w:t>
      </w:r>
      <w:r>
        <w:rPr>
          <w:color w:val="231F20"/>
        </w:rPr>
        <w:t>precios:</w:t>
      </w:r>
      <w:r>
        <w:rPr>
          <w:color w:val="231F20"/>
          <w:position w:val="7"/>
          <w:sz w:val="12"/>
        </w:rPr>
        <w:t>4</w:t>
      </w:r>
    </w:p>
    <w:p>
      <w:pPr>
        <w:tabs>
          <w:tab w:pos="6750" w:val="left" w:leader="none"/>
        </w:tabs>
        <w:spacing w:before="161"/>
        <w:ind w:left="967" w:right="114" w:firstLine="0"/>
        <w:jc w:val="left"/>
        <w:rPr>
          <w:sz w:val="21"/>
        </w:rPr>
      </w:pPr>
      <w:r>
        <w:rPr/>
        <w:pict>
          <v:line style="position:absolute;mso-position-horizontal-relative:page;mso-position-vertical-relative:paragraph;z-index:-237448" from="203.527603pt,9.235845pt" to="210.330603pt,9.235845pt" stroked="true" strokeweight=".25pt" strokecolor="#231f20">
            <w10:wrap type="none"/>
          </v:line>
        </w:pict>
      </w:r>
      <w:r>
        <w:rPr/>
        <w:pict>
          <v:line style="position:absolute;mso-position-horizontal-relative:page;mso-position-vertical-relative:paragraph;z-index:-237424" from="221.669296pt,9.485845pt" to="228.472296pt,9.485845pt" stroked="true" strokeweight=".25pt" strokecolor="#231f20">
            <w10:wrap type="none"/>
          </v:line>
        </w:pict>
      </w:r>
      <w:r>
        <w:rPr>
          <w:rFonts w:ascii="Times New Roman" w:hAnsi="Times New Roman"/>
          <w:i/>
          <w:color w:val="231F20"/>
          <w:sz w:val="22"/>
        </w:rPr>
        <w:t>Y = C(YD) + I(r) + G ; M/P = </w:t>
      </w:r>
      <w:r>
        <w:rPr>
          <w:rFonts w:ascii="Times New Roman" w:hAnsi="Times New Roman"/>
          <w:i/>
          <w:color w:val="231F20"/>
          <w:spacing w:val="-6"/>
          <w:sz w:val="22"/>
        </w:rPr>
        <w:t>L(Y, </w:t>
      </w:r>
      <w:r>
        <w:rPr>
          <w:rFonts w:ascii="Times New Roman" w:hAnsi="Times New Roman"/>
          <w:i/>
          <w:color w:val="231F20"/>
          <w:sz w:val="22"/>
        </w:rPr>
        <w:t>i) </w:t>
      </w:r>
      <w:r>
        <w:rPr>
          <w:rFonts w:ascii="Cambria Math" w:hAnsi="Cambria Math"/>
          <w:color w:val="231F20"/>
          <w:sz w:val="22"/>
        </w:rPr>
        <w:t>⇒ </w:t>
      </w:r>
      <w:r>
        <w:rPr>
          <w:rFonts w:ascii="Times New Roman" w:hAnsi="Times New Roman"/>
          <w:i/>
          <w:color w:val="231F20"/>
          <w:sz w:val="22"/>
        </w:rPr>
        <w:t>r* =</w:t>
      </w:r>
      <w:r>
        <w:rPr>
          <w:rFonts w:ascii="Times New Roman" w:hAnsi="Times New Roman"/>
          <w:i/>
          <w:color w:val="231F20"/>
          <w:spacing w:val="3"/>
          <w:sz w:val="22"/>
        </w:rPr>
        <w:t> </w:t>
      </w:r>
      <w:r>
        <w:rPr>
          <w:rFonts w:ascii="Times New Roman" w:hAnsi="Times New Roman"/>
          <w:i/>
          <w:color w:val="231F20"/>
          <w:sz w:val="22"/>
        </w:rPr>
        <w:t>i*, P*</w:t>
        <w:tab/>
      </w:r>
      <w:r>
        <w:rPr>
          <w:color w:val="231F20"/>
          <w:sz w:val="21"/>
        </w:rPr>
        <w:t>[2]</w:t>
      </w:r>
    </w:p>
    <w:p>
      <w:pPr>
        <w:pStyle w:val="BodyText"/>
        <w:spacing w:line="259" w:lineRule="auto" w:before="184"/>
        <w:ind w:left="117" w:right="121"/>
        <w:jc w:val="both"/>
      </w:pPr>
      <w:r>
        <w:rPr>
          <w:color w:val="231F20"/>
          <w:w w:val="105"/>
        </w:rPr>
        <w:t>Al</w:t>
      </w:r>
      <w:r>
        <w:rPr>
          <w:color w:val="231F20"/>
          <w:spacing w:val="-5"/>
          <w:w w:val="105"/>
        </w:rPr>
        <w:t> </w:t>
      </w:r>
      <w:r>
        <w:rPr>
          <w:color w:val="231F20"/>
          <w:w w:val="105"/>
        </w:rPr>
        <w:t>final,</w:t>
      </w:r>
      <w:r>
        <w:rPr>
          <w:color w:val="231F20"/>
          <w:spacing w:val="-11"/>
          <w:w w:val="105"/>
        </w:rPr>
        <w:t> </w:t>
      </w:r>
      <w:r>
        <w:rPr>
          <w:color w:val="231F20"/>
          <w:w w:val="105"/>
        </w:rPr>
        <w:t>dado</w:t>
      </w:r>
      <w:r>
        <w:rPr>
          <w:color w:val="231F20"/>
          <w:spacing w:val="-5"/>
          <w:w w:val="105"/>
        </w:rPr>
        <w:t> </w:t>
      </w:r>
      <w:r>
        <w:rPr>
          <w:color w:val="231F20"/>
          <w:w w:val="105"/>
        </w:rPr>
        <w:t>el</w:t>
      </w:r>
      <w:r>
        <w:rPr>
          <w:color w:val="231F20"/>
          <w:spacing w:val="-5"/>
          <w:w w:val="105"/>
        </w:rPr>
        <w:t> </w:t>
      </w:r>
      <w:r>
        <w:rPr>
          <w:color w:val="231F20"/>
          <w:w w:val="105"/>
        </w:rPr>
        <w:t>salario</w:t>
      </w:r>
      <w:r>
        <w:rPr>
          <w:color w:val="231F20"/>
          <w:spacing w:val="-5"/>
          <w:w w:val="105"/>
        </w:rPr>
        <w:t> </w:t>
      </w:r>
      <w:r>
        <w:rPr>
          <w:color w:val="231F20"/>
          <w:w w:val="105"/>
        </w:rPr>
        <w:t>real</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nivel</w:t>
      </w:r>
      <w:r>
        <w:rPr>
          <w:color w:val="231F20"/>
          <w:spacing w:val="-5"/>
          <w:w w:val="105"/>
        </w:rPr>
        <w:t> </w:t>
      </w:r>
      <w:r>
        <w:rPr>
          <w:color w:val="231F20"/>
          <w:w w:val="105"/>
        </w:rPr>
        <w:t>de</w:t>
      </w:r>
      <w:r>
        <w:rPr>
          <w:color w:val="231F20"/>
          <w:spacing w:val="-5"/>
          <w:w w:val="105"/>
        </w:rPr>
        <w:t> </w:t>
      </w:r>
      <w:r>
        <w:rPr>
          <w:color w:val="231F20"/>
          <w:w w:val="105"/>
        </w:rPr>
        <w:t>precios,</w:t>
      </w:r>
      <w:r>
        <w:rPr>
          <w:color w:val="231F20"/>
          <w:spacing w:val="-11"/>
          <w:w w:val="105"/>
        </w:rPr>
        <w:t> </w:t>
      </w:r>
      <w:r>
        <w:rPr>
          <w:color w:val="231F20"/>
          <w:w w:val="105"/>
        </w:rPr>
        <w:t>se</w:t>
      </w:r>
      <w:r>
        <w:rPr>
          <w:color w:val="231F20"/>
          <w:spacing w:val="-5"/>
          <w:w w:val="105"/>
        </w:rPr>
        <w:t> </w:t>
      </w:r>
      <w:r>
        <w:rPr>
          <w:color w:val="231F20"/>
          <w:w w:val="105"/>
        </w:rPr>
        <w:t>determina</w:t>
      </w:r>
      <w:r>
        <w:rPr>
          <w:color w:val="231F20"/>
          <w:spacing w:val="-5"/>
          <w:w w:val="105"/>
        </w:rPr>
        <w:t> </w:t>
      </w:r>
      <w:r>
        <w:rPr>
          <w:color w:val="231F20"/>
          <w:w w:val="105"/>
        </w:rPr>
        <w:t>el</w:t>
      </w:r>
      <w:r>
        <w:rPr>
          <w:color w:val="231F20"/>
          <w:spacing w:val="-5"/>
          <w:w w:val="105"/>
        </w:rPr>
        <w:t> </w:t>
      </w:r>
      <w:r>
        <w:rPr>
          <w:color w:val="231F20"/>
          <w:w w:val="105"/>
        </w:rPr>
        <w:t>salario nominal</w:t>
      </w:r>
      <w:r>
        <w:rPr>
          <w:color w:val="231F20"/>
          <w:spacing w:val="-23"/>
          <w:w w:val="105"/>
        </w:rPr>
        <w:t> </w:t>
      </w:r>
      <w:r>
        <w:rPr>
          <w:color w:val="231F20"/>
          <w:w w:val="105"/>
        </w:rPr>
        <w:t>por</w:t>
      </w:r>
      <w:r>
        <w:rPr>
          <w:color w:val="231F20"/>
          <w:spacing w:val="-23"/>
          <w:w w:val="105"/>
        </w:rPr>
        <w:t> </w:t>
      </w:r>
      <w:r>
        <w:rPr>
          <w:color w:val="231F20"/>
          <w:w w:val="105"/>
        </w:rPr>
        <w:t>(Hicks,</w:t>
      </w:r>
      <w:r>
        <w:rPr>
          <w:color w:val="231F20"/>
          <w:spacing w:val="-28"/>
          <w:w w:val="105"/>
        </w:rPr>
        <w:t> </w:t>
      </w:r>
      <w:r>
        <w:rPr>
          <w:color w:val="231F20"/>
          <w:w w:val="105"/>
        </w:rPr>
        <w:t>1937):</w:t>
      </w:r>
    </w:p>
    <w:p>
      <w:pPr>
        <w:tabs>
          <w:tab w:pos="6750" w:val="left" w:leader="none"/>
        </w:tabs>
        <w:spacing w:before="161"/>
        <w:ind w:left="967" w:right="114" w:firstLine="0"/>
        <w:jc w:val="left"/>
        <w:rPr>
          <w:sz w:val="21"/>
        </w:rPr>
      </w:pPr>
      <w:r>
        <w:rPr>
          <w:rFonts w:ascii="Times New Roman" w:hAnsi="Times New Roman"/>
          <w:i/>
          <w:color w:val="231F20"/>
          <w:sz w:val="22"/>
        </w:rPr>
        <w:t>W =</w:t>
      </w:r>
      <w:r>
        <w:rPr>
          <w:rFonts w:ascii="Times New Roman" w:hAnsi="Times New Roman"/>
          <w:i/>
          <w:color w:val="231F20"/>
          <w:spacing w:val="-2"/>
          <w:sz w:val="22"/>
        </w:rPr>
        <w:t> </w:t>
      </w:r>
      <w:r>
        <w:rPr>
          <w:rFonts w:ascii="Times New Roman" w:hAnsi="Times New Roman"/>
          <w:i/>
          <w:color w:val="231F20"/>
          <w:sz w:val="22"/>
        </w:rPr>
        <w:t>w</w:t>
      </w:r>
      <w:r>
        <w:rPr>
          <w:i/>
          <w:color w:val="231F20"/>
          <w:sz w:val="21"/>
        </w:rPr>
        <w:t>·</w:t>
      </w:r>
      <w:r>
        <w:rPr>
          <w:rFonts w:ascii="Times New Roman" w:hAnsi="Times New Roman"/>
          <w:i/>
          <w:color w:val="231F20"/>
          <w:sz w:val="22"/>
        </w:rPr>
        <w:t>P</w:t>
      </w:r>
      <w:r>
        <w:rPr>
          <w:rFonts w:ascii="Times New Roman" w:hAnsi="Times New Roman"/>
          <w:i/>
          <w:color w:val="231F20"/>
          <w:spacing w:val="-5"/>
          <w:sz w:val="22"/>
        </w:rPr>
        <w:t> </w:t>
      </w:r>
      <w:r>
        <w:rPr>
          <w:rFonts w:ascii="Cambria Math" w:hAnsi="Cambria Math"/>
          <w:color w:val="231F20"/>
          <w:sz w:val="22"/>
        </w:rPr>
        <w:t>⇒</w:t>
      </w:r>
      <w:r>
        <w:rPr>
          <w:rFonts w:ascii="Cambria Math" w:hAnsi="Cambria Math"/>
          <w:color w:val="231F20"/>
          <w:sz w:val="21"/>
        </w:rPr>
        <w:t>⋅</w:t>
      </w:r>
      <w:r>
        <w:rPr>
          <w:rFonts w:ascii="Times New Roman" w:hAnsi="Times New Roman"/>
          <w:i/>
          <w:color w:val="231F20"/>
          <w:sz w:val="22"/>
        </w:rPr>
        <w:t>W</w:t>
      </w:r>
      <w:r>
        <w:rPr>
          <w:rFonts w:ascii="Times New Roman" w:hAnsi="Times New Roman"/>
          <w:color w:val="231F20"/>
          <w:sz w:val="22"/>
        </w:rPr>
        <w:t>*</w:t>
        <w:tab/>
      </w:r>
      <w:r>
        <w:rPr>
          <w:color w:val="231F20"/>
          <w:sz w:val="21"/>
        </w:rPr>
        <w:t>[3]</w:t>
      </w:r>
    </w:p>
    <w:p>
      <w:pPr>
        <w:pStyle w:val="BodyText"/>
        <w:spacing w:line="259" w:lineRule="auto" w:before="184"/>
        <w:ind w:left="117" w:right="121"/>
        <w:jc w:val="both"/>
      </w:pPr>
      <w:r>
        <w:rPr>
          <w:color w:val="231F20"/>
        </w:rPr>
        <w:t>Al analizar la economía utilizando estas ecuaciones, el modelo neoclási- co keynesiano concluye  que:</w:t>
      </w:r>
    </w:p>
    <w:p>
      <w:pPr>
        <w:pStyle w:val="BodyText"/>
        <w:spacing w:before="6"/>
        <w:rPr>
          <w:sz w:val="22"/>
        </w:rPr>
      </w:pPr>
    </w:p>
    <w:p>
      <w:pPr>
        <w:pStyle w:val="ListParagraph"/>
        <w:numPr>
          <w:ilvl w:val="1"/>
          <w:numId w:val="66"/>
        </w:numPr>
        <w:tabs>
          <w:tab w:pos="1328" w:val="left" w:leader="none"/>
        </w:tabs>
        <w:spacing w:line="259" w:lineRule="auto" w:before="0" w:after="0"/>
        <w:ind w:left="1327" w:right="121" w:hanging="360"/>
        <w:jc w:val="both"/>
        <w:rPr>
          <w:sz w:val="21"/>
        </w:rPr>
      </w:pPr>
      <w:r>
        <w:rPr>
          <w:color w:val="231F20"/>
          <w:w w:val="110"/>
          <w:sz w:val="21"/>
        </w:rPr>
        <w:t>El</w:t>
      </w:r>
      <w:r>
        <w:rPr>
          <w:color w:val="231F20"/>
          <w:spacing w:val="-39"/>
          <w:w w:val="110"/>
          <w:sz w:val="21"/>
        </w:rPr>
        <w:t> </w:t>
      </w:r>
      <w:r>
        <w:rPr>
          <w:color w:val="231F20"/>
          <w:w w:val="110"/>
          <w:sz w:val="21"/>
        </w:rPr>
        <w:t>nivel</w:t>
      </w:r>
      <w:r>
        <w:rPr>
          <w:color w:val="231F20"/>
          <w:spacing w:val="-39"/>
          <w:w w:val="110"/>
          <w:sz w:val="21"/>
        </w:rPr>
        <w:t> </w:t>
      </w:r>
      <w:r>
        <w:rPr>
          <w:color w:val="231F20"/>
          <w:w w:val="110"/>
          <w:sz w:val="21"/>
        </w:rPr>
        <w:t>de</w:t>
      </w:r>
      <w:r>
        <w:rPr>
          <w:color w:val="231F20"/>
          <w:spacing w:val="-39"/>
          <w:w w:val="110"/>
          <w:sz w:val="21"/>
        </w:rPr>
        <w:t> </w:t>
      </w:r>
      <w:r>
        <w:rPr>
          <w:color w:val="231F20"/>
          <w:w w:val="110"/>
          <w:sz w:val="21"/>
        </w:rPr>
        <w:t>precios</w:t>
      </w:r>
      <w:r>
        <w:rPr>
          <w:color w:val="231F20"/>
          <w:spacing w:val="-39"/>
          <w:w w:val="110"/>
          <w:sz w:val="21"/>
        </w:rPr>
        <w:t> </w:t>
      </w:r>
      <w:r>
        <w:rPr>
          <w:color w:val="231F20"/>
          <w:w w:val="110"/>
          <w:sz w:val="21"/>
        </w:rPr>
        <w:t>no</w:t>
      </w:r>
      <w:r>
        <w:rPr>
          <w:color w:val="231F20"/>
          <w:spacing w:val="-39"/>
          <w:w w:val="110"/>
          <w:sz w:val="21"/>
        </w:rPr>
        <w:t> </w:t>
      </w:r>
      <w:r>
        <w:rPr>
          <w:color w:val="231F20"/>
          <w:w w:val="110"/>
          <w:sz w:val="21"/>
        </w:rPr>
        <w:t>afecta</w:t>
      </w:r>
      <w:r>
        <w:rPr>
          <w:color w:val="231F20"/>
          <w:spacing w:val="-39"/>
          <w:w w:val="110"/>
          <w:sz w:val="21"/>
        </w:rPr>
        <w:t> </w:t>
      </w:r>
      <w:r>
        <w:rPr>
          <w:color w:val="231F20"/>
          <w:w w:val="110"/>
          <w:sz w:val="21"/>
        </w:rPr>
        <w:t>al</w:t>
      </w:r>
      <w:r>
        <w:rPr>
          <w:color w:val="231F20"/>
          <w:spacing w:val="-39"/>
          <w:w w:val="110"/>
          <w:sz w:val="21"/>
        </w:rPr>
        <w:t> </w:t>
      </w:r>
      <w:r>
        <w:rPr>
          <w:color w:val="231F20"/>
          <w:w w:val="110"/>
          <w:sz w:val="21"/>
        </w:rPr>
        <w:t>nivel</w:t>
      </w:r>
      <w:r>
        <w:rPr>
          <w:color w:val="231F20"/>
          <w:spacing w:val="-39"/>
          <w:w w:val="110"/>
          <w:sz w:val="21"/>
        </w:rPr>
        <w:t> </w:t>
      </w:r>
      <w:r>
        <w:rPr>
          <w:color w:val="231F20"/>
          <w:w w:val="110"/>
          <w:sz w:val="21"/>
        </w:rPr>
        <w:t>de</w:t>
      </w:r>
      <w:r>
        <w:rPr>
          <w:color w:val="231F20"/>
          <w:spacing w:val="-39"/>
          <w:w w:val="110"/>
          <w:sz w:val="21"/>
        </w:rPr>
        <w:t> </w:t>
      </w:r>
      <w:r>
        <w:rPr>
          <w:color w:val="231F20"/>
          <w:w w:val="110"/>
          <w:sz w:val="21"/>
        </w:rPr>
        <w:t>empleo</w:t>
      </w:r>
      <w:r>
        <w:rPr>
          <w:color w:val="231F20"/>
          <w:spacing w:val="-39"/>
          <w:w w:val="110"/>
          <w:sz w:val="21"/>
        </w:rPr>
        <w:t> </w:t>
      </w:r>
      <w:r>
        <w:rPr>
          <w:color w:val="231F20"/>
          <w:w w:val="110"/>
          <w:sz w:val="21"/>
        </w:rPr>
        <w:t>de</w:t>
      </w:r>
      <w:r>
        <w:rPr>
          <w:color w:val="231F20"/>
          <w:spacing w:val="-39"/>
          <w:w w:val="110"/>
          <w:sz w:val="21"/>
        </w:rPr>
        <w:t> </w:t>
      </w:r>
      <w:r>
        <w:rPr>
          <w:color w:val="231F20"/>
          <w:w w:val="110"/>
          <w:sz w:val="21"/>
        </w:rPr>
        <w:t>equilibrio de</w:t>
      </w:r>
      <w:r>
        <w:rPr>
          <w:color w:val="231F20"/>
          <w:spacing w:val="-44"/>
          <w:w w:val="110"/>
          <w:sz w:val="21"/>
        </w:rPr>
        <w:t> </w:t>
      </w:r>
      <w:r>
        <w:rPr>
          <w:color w:val="231F20"/>
          <w:w w:val="110"/>
          <w:sz w:val="21"/>
        </w:rPr>
        <w:t>largo</w:t>
      </w:r>
      <w:r>
        <w:rPr>
          <w:color w:val="231F20"/>
          <w:spacing w:val="-44"/>
          <w:w w:val="110"/>
          <w:sz w:val="21"/>
        </w:rPr>
        <w:t> </w:t>
      </w:r>
      <w:r>
        <w:rPr>
          <w:color w:val="231F20"/>
          <w:w w:val="110"/>
          <w:sz w:val="21"/>
        </w:rPr>
        <w:t>plazo.</w:t>
      </w:r>
    </w:p>
    <w:p>
      <w:pPr>
        <w:pStyle w:val="ListParagraph"/>
        <w:numPr>
          <w:ilvl w:val="1"/>
          <w:numId w:val="66"/>
        </w:numPr>
        <w:tabs>
          <w:tab w:pos="1328" w:val="left" w:leader="none"/>
        </w:tabs>
        <w:spacing w:line="259" w:lineRule="auto" w:before="170" w:after="0"/>
        <w:ind w:left="1327" w:right="122" w:hanging="360"/>
        <w:jc w:val="both"/>
        <w:rPr>
          <w:sz w:val="21"/>
        </w:rPr>
      </w:pPr>
      <w:r>
        <w:rPr>
          <w:color w:val="231F20"/>
          <w:w w:val="105"/>
          <w:sz w:val="21"/>
        </w:rPr>
        <w:t>Los</w:t>
      </w:r>
      <w:r>
        <w:rPr>
          <w:color w:val="231F20"/>
          <w:spacing w:val="-8"/>
          <w:w w:val="105"/>
          <w:sz w:val="21"/>
        </w:rPr>
        <w:t> </w:t>
      </w:r>
      <w:r>
        <w:rPr>
          <w:color w:val="231F20"/>
          <w:w w:val="105"/>
          <w:sz w:val="21"/>
        </w:rPr>
        <w:t>cambios</w:t>
      </w:r>
      <w:r>
        <w:rPr>
          <w:color w:val="231F20"/>
          <w:spacing w:val="-8"/>
          <w:w w:val="105"/>
          <w:sz w:val="21"/>
        </w:rPr>
        <w:t> </w:t>
      </w:r>
      <w:r>
        <w:rPr>
          <w:color w:val="231F20"/>
          <w:w w:val="105"/>
          <w:sz w:val="21"/>
        </w:rPr>
        <w:t>del</w:t>
      </w:r>
      <w:r>
        <w:rPr>
          <w:color w:val="231F20"/>
          <w:spacing w:val="-8"/>
          <w:w w:val="105"/>
          <w:sz w:val="21"/>
        </w:rPr>
        <w:t> </w:t>
      </w:r>
      <w:r>
        <w:rPr>
          <w:color w:val="231F20"/>
          <w:w w:val="105"/>
          <w:sz w:val="21"/>
        </w:rPr>
        <w:t>nivel</w:t>
      </w:r>
      <w:r>
        <w:rPr>
          <w:color w:val="231F20"/>
          <w:spacing w:val="-8"/>
          <w:w w:val="105"/>
          <w:sz w:val="21"/>
        </w:rPr>
        <w:t> </w:t>
      </w:r>
      <w:r>
        <w:rPr>
          <w:color w:val="231F20"/>
          <w:w w:val="105"/>
          <w:sz w:val="21"/>
        </w:rPr>
        <w:t>de</w:t>
      </w:r>
      <w:r>
        <w:rPr>
          <w:color w:val="231F20"/>
          <w:spacing w:val="-8"/>
          <w:w w:val="105"/>
          <w:sz w:val="21"/>
        </w:rPr>
        <w:t> </w:t>
      </w:r>
      <w:r>
        <w:rPr>
          <w:color w:val="231F20"/>
          <w:w w:val="105"/>
          <w:sz w:val="21"/>
        </w:rPr>
        <w:t>precios</w:t>
      </w:r>
      <w:r>
        <w:rPr>
          <w:color w:val="231F20"/>
          <w:spacing w:val="-8"/>
          <w:w w:val="105"/>
          <w:sz w:val="21"/>
        </w:rPr>
        <w:t> </w:t>
      </w:r>
      <w:r>
        <w:rPr>
          <w:color w:val="231F20"/>
          <w:w w:val="105"/>
          <w:sz w:val="21"/>
        </w:rPr>
        <w:t>no</w:t>
      </w:r>
      <w:r>
        <w:rPr>
          <w:color w:val="231F20"/>
          <w:spacing w:val="-8"/>
          <w:w w:val="105"/>
          <w:sz w:val="21"/>
        </w:rPr>
        <w:t> </w:t>
      </w:r>
      <w:r>
        <w:rPr>
          <w:color w:val="231F20"/>
          <w:w w:val="105"/>
          <w:sz w:val="21"/>
        </w:rPr>
        <w:t>afectan</w:t>
      </w:r>
      <w:r>
        <w:rPr>
          <w:color w:val="231F20"/>
          <w:spacing w:val="-8"/>
          <w:w w:val="105"/>
          <w:sz w:val="21"/>
        </w:rPr>
        <w:t> </w:t>
      </w:r>
      <w:r>
        <w:rPr>
          <w:color w:val="231F20"/>
          <w:w w:val="105"/>
          <w:sz w:val="21"/>
        </w:rPr>
        <w:t>al</w:t>
      </w:r>
      <w:r>
        <w:rPr>
          <w:color w:val="231F20"/>
          <w:spacing w:val="-8"/>
          <w:w w:val="105"/>
          <w:sz w:val="21"/>
        </w:rPr>
        <w:t> </w:t>
      </w:r>
      <w:r>
        <w:rPr>
          <w:color w:val="231F20"/>
          <w:w w:val="105"/>
          <w:sz w:val="21"/>
        </w:rPr>
        <w:t>nivel</w:t>
      </w:r>
      <w:r>
        <w:rPr>
          <w:color w:val="231F20"/>
          <w:spacing w:val="-8"/>
          <w:w w:val="105"/>
          <w:sz w:val="21"/>
        </w:rPr>
        <w:t> </w:t>
      </w:r>
      <w:r>
        <w:rPr>
          <w:color w:val="231F20"/>
          <w:w w:val="105"/>
          <w:sz w:val="21"/>
        </w:rPr>
        <w:t>de</w:t>
      </w:r>
      <w:r>
        <w:rPr>
          <w:color w:val="231F20"/>
          <w:spacing w:val="-8"/>
          <w:w w:val="105"/>
          <w:sz w:val="21"/>
        </w:rPr>
        <w:t> </w:t>
      </w:r>
      <w:r>
        <w:rPr>
          <w:color w:val="231F20"/>
          <w:w w:val="105"/>
          <w:sz w:val="21"/>
        </w:rPr>
        <w:t>pro- ducción</w:t>
      </w:r>
      <w:r>
        <w:rPr>
          <w:color w:val="231F20"/>
          <w:spacing w:val="-7"/>
          <w:w w:val="105"/>
          <w:sz w:val="21"/>
        </w:rPr>
        <w:t> </w:t>
      </w:r>
      <w:r>
        <w:rPr>
          <w:color w:val="231F20"/>
          <w:w w:val="105"/>
          <w:sz w:val="21"/>
        </w:rPr>
        <w:t>ofrecido,</w:t>
      </w:r>
      <w:r>
        <w:rPr>
          <w:color w:val="231F20"/>
          <w:spacing w:val="-13"/>
          <w:w w:val="105"/>
          <w:sz w:val="21"/>
        </w:rPr>
        <w:t> </w:t>
      </w:r>
      <w:r>
        <w:rPr>
          <w:color w:val="231F20"/>
          <w:w w:val="105"/>
          <w:sz w:val="21"/>
        </w:rPr>
        <w:t>por</w:t>
      </w:r>
      <w:r>
        <w:rPr>
          <w:color w:val="231F20"/>
          <w:spacing w:val="-7"/>
          <w:w w:val="105"/>
          <w:sz w:val="21"/>
        </w:rPr>
        <w:t> </w:t>
      </w:r>
      <w:r>
        <w:rPr>
          <w:color w:val="231F20"/>
          <w:w w:val="105"/>
          <w:sz w:val="21"/>
        </w:rPr>
        <w:t>lo</w:t>
      </w:r>
      <w:r>
        <w:rPr>
          <w:color w:val="231F20"/>
          <w:spacing w:val="-7"/>
          <w:w w:val="105"/>
          <w:sz w:val="21"/>
        </w:rPr>
        <w:t> </w:t>
      </w:r>
      <w:r>
        <w:rPr>
          <w:color w:val="231F20"/>
          <w:w w:val="105"/>
          <w:sz w:val="21"/>
        </w:rPr>
        <w:t>que</w:t>
      </w:r>
      <w:r>
        <w:rPr>
          <w:color w:val="231F20"/>
          <w:spacing w:val="-7"/>
          <w:w w:val="105"/>
          <w:sz w:val="21"/>
        </w:rPr>
        <w:t> </w:t>
      </w:r>
      <w:r>
        <w:rPr>
          <w:color w:val="231F20"/>
          <w:w w:val="105"/>
          <w:sz w:val="21"/>
        </w:rPr>
        <w:t>la</w:t>
      </w:r>
      <w:r>
        <w:rPr>
          <w:color w:val="231F20"/>
          <w:spacing w:val="-7"/>
          <w:w w:val="105"/>
          <w:sz w:val="21"/>
        </w:rPr>
        <w:t> </w:t>
      </w:r>
      <w:r>
        <w:rPr>
          <w:color w:val="231F20"/>
          <w:w w:val="105"/>
          <w:sz w:val="21"/>
        </w:rPr>
        <w:t>curva</w:t>
      </w:r>
      <w:r>
        <w:rPr>
          <w:color w:val="231F20"/>
          <w:spacing w:val="-7"/>
          <w:w w:val="105"/>
          <w:sz w:val="21"/>
        </w:rPr>
        <w:t> </w:t>
      </w:r>
      <w:r>
        <w:rPr>
          <w:color w:val="231F20"/>
          <w:w w:val="105"/>
          <w:sz w:val="21"/>
        </w:rPr>
        <w:t>de</w:t>
      </w:r>
      <w:r>
        <w:rPr>
          <w:color w:val="231F20"/>
          <w:spacing w:val="-7"/>
          <w:w w:val="105"/>
          <w:sz w:val="21"/>
        </w:rPr>
        <w:t> </w:t>
      </w:r>
      <w:r>
        <w:rPr>
          <w:color w:val="231F20"/>
          <w:w w:val="105"/>
          <w:sz w:val="21"/>
        </w:rPr>
        <w:t>oferta</w:t>
      </w:r>
      <w:r>
        <w:rPr>
          <w:color w:val="231F20"/>
          <w:spacing w:val="-7"/>
          <w:w w:val="105"/>
          <w:sz w:val="21"/>
        </w:rPr>
        <w:t> </w:t>
      </w:r>
      <w:r>
        <w:rPr>
          <w:color w:val="231F20"/>
          <w:w w:val="105"/>
          <w:sz w:val="21"/>
        </w:rPr>
        <w:t>agregada</w:t>
      </w:r>
      <w:r>
        <w:rPr>
          <w:color w:val="231F20"/>
          <w:spacing w:val="-7"/>
          <w:w w:val="105"/>
          <w:sz w:val="21"/>
        </w:rPr>
        <w:t> </w:t>
      </w:r>
      <w:r>
        <w:rPr>
          <w:color w:val="231F20"/>
          <w:w w:val="105"/>
          <w:sz w:val="21"/>
        </w:rPr>
        <w:t>en el</w:t>
      </w:r>
      <w:r>
        <w:rPr>
          <w:color w:val="231F20"/>
          <w:spacing w:val="-32"/>
          <w:w w:val="105"/>
          <w:sz w:val="21"/>
        </w:rPr>
        <w:t> </w:t>
      </w:r>
      <w:r>
        <w:rPr>
          <w:color w:val="231F20"/>
          <w:w w:val="105"/>
          <w:sz w:val="21"/>
        </w:rPr>
        <w:t>plano</w:t>
      </w:r>
      <w:r>
        <w:rPr>
          <w:color w:val="231F20"/>
          <w:spacing w:val="-32"/>
          <w:w w:val="105"/>
          <w:sz w:val="21"/>
        </w:rPr>
        <w:t> </w:t>
      </w:r>
      <w:r>
        <w:rPr>
          <w:i/>
          <w:color w:val="231F20"/>
          <w:spacing w:val="-6"/>
          <w:w w:val="105"/>
          <w:sz w:val="21"/>
        </w:rPr>
        <w:t>Y,P</w:t>
      </w:r>
      <w:r>
        <w:rPr>
          <w:i/>
          <w:color w:val="231F20"/>
          <w:spacing w:val="-32"/>
          <w:w w:val="105"/>
          <w:sz w:val="21"/>
        </w:rPr>
        <w:t> </w:t>
      </w:r>
      <w:r>
        <w:rPr>
          <w:color w:val="231F20"/>
          <w:w w:val="105"/>
          <w:sz w:val="21"/>
        </w:rPr>
        <w:t>es</w:t>
      </w:r>
      <w:r>
        <w:rPr>
          <w:color w:val="231F20"/>
          <w:spacing w:val="-32"/>
          <w:w w:val="105"/>
          <w:sz w:val="21"/>
        </w:rPr>
        <w:t> </w:t>
      </w:r>
      <w:r>
        <w:rPr>
          <w:color w:val="231F20"/>
          <w:w w:val="105"/>
          <w:sz w:val="21"/>
        </w:rPr>
        <w:t>vertical.</w:t>
      </w:r>
    </w:p>
    <w:p>
      <w:pPr>
        <w:pStyle w:val="ListParagraph"/>
        <w:numPr>
          <w:ilvl w:val="1"/>
          <w:numId w:val="66"/>
        </w:numPr>
        <w:tabs>
          <w:tab w:pos="1328" w:val="left" w:leader="none"/>
        </w:tabs>
        <w:spacing w:line="259" w:lineRule="auto" w:before="170" w:after="0"/>
        <w:ind w:left="1327" w:right="122" w:hanging="360"/>
        <w:jc w:val="both"/>
        <w:rPr>
          <w:sz w:val="21"/>
        </w:rPr>
      </w:pPr>
      <w:r>
        <w:rPr>
          <w:color w:val="231F20"/>
          <w:w w:val="105"/>
          <w:sz w:val="21"/>
        </w:rPr>
        <w:t>Los</w:t>
      </w:r>
      <w:r>
        <w:rPr>
          <w:color w:val="231F20"/>
          <w:spacing w:val="-8"/>
          <w:w w:val="105"/>
          <w:sz w:val="21"/>
        </w:rPr>
        <w:t> </w:t>
      </w:r>
      <w:r>
        <w:rPr>
          <w:color w:val="231F20"/>
          <w:w w:val="105"/>
          <w:sz w:val="21"/>
        </w:rPr>
        <w:t>cambios</w:t>
      </w:r>
      <w:r>
        <w:rPr>
          <w:color w:val="231F20"/>
          <w:spacing w:val="-8"/>
          <w:w w:val="105"/>
          <w:sz w:val="21"/>
        </w:rPr>
        <w:t> </w:t>
      </w:r>
      <w:r>
        <w:rPr>
          <w:color w:val="231F20"/>
          <w:w w:val="105"/>
          <w:sz w:val="21"/>
        </w:rPr>
        <w:t>en</w:t>
      </w:r>
      <w:r>
        <w:rPr>
          <w:color w:val="231F20"/>
          <w:spacing w:val="-8"/>
          <w:w w:val="105"/>
          <w:sz w:val="21"/>
        </w:rPr>
        <w:t> </w:t>
      </w:r>
      <w:r>
        <w:rPr>
          <w:color w:val="231F20"/>
          <w:w w:val="105"/>
          <w:sz w:val="21"/>
        </w:rPr>
        <w:t>el</w:t>
      </w:r>
      <w:r>
        <w:rPr>
          <w:color w:val="231F20"/>
          <w:spacing w:val="-8"/>
          <w:w w:val="105"/>
          <w:sz w:val="21"/>
        </w:rPr>
        <w:t> </w:t>
      </w:r>
      <w:r>
        <w:rPr>
          <w:color w:val="231F20"/>
          <w:w w:val="105"/>
          <w:sz w:val="21"/>
        </w:rPr>
        <w:t>nivel</w:t>
      </w:r>
      <w:r>
        <w:rPr>
          <w:color w:val="231F20"/>
          <w:spacing w:val="-8"/>
          <w:w w:val="105"/>
          <w:sz w:val="21"/>
        </w:rPr>
        <w:t> </w:t>
      </w:r>
      <w:r>
        <w:rPr>
          <w:color w:val="231F20"/>
          <w:w w:val="105"/>
          <w:sz w:val="21"/>
        </w:rPr>
        <w:t>de</w:t>
      </w:r>
      <w:r>
        <w:rPr>
          <w:color w:val="231F20"/>
          <w:spacing w:val="-8"/>
          <w:w w:val="105"/>
          <w:sz w:val="21"/>
        </w:rPr>
        <w:t> </w:t>
      </w:r>
      <w:r>
        <w:rPr>
          <w:color w:val="231F20"/>
          <w:w w:val="105"/>
          <w:sz w:val="21"/>
        </w:rPr>
        <w:t>precios</w:t>
      </w:r>
      <w:r>
        <w:rPr>
          <w:color w:val="231F20"/>
          <w:spacing w:val="-8"/>
          <w:w w:val="105"/>
          <w:sz w:val="21"/>
        </w:rPr>
        <w:t> </w:t>
      </w:r>
      <w:r>
        <w:rPr>
          <w:color w:val="231F20"/>
          <w:w w:val="105"/>
          <w:sz w:val="21"/>
        </w:rPr>
        <w:t>afectan</w:t>
      </w:r>
      <w:r>
        <w:rPr>
          <w:color w:val="231F20"/>
          <w:spacing w:val="-8"/>
          <w:w w:val="105"/>
          <w:sz w:val="21"/>
        </w:rPr>
        <w:t> </w:t>
      </w:r>
      <w:r>
        <w:rPr>
          <w:color w:val="231F20"/>
          <w:w w:val="105"/>
          <w:sz w:val="21"/>
        </w:rPr>
        <w:t>inversamente</w:t>
      </w:r>
      <w:r>
        <w:rPr>
          <w:color w:val="231F20"/>
          <w:spacing w:val="-8"/>
          <w:w w:val="105"/>
          <w:sz w:val="21"/>
        </w:rPr>
        <w:t> </w:t>
      </w:r>
      <w:r>
        <w:rPr>
          <w:color w:val="231F20"/>
          <w:w w:val="105"/>
          <w:sz w:val="21"/>
        </w:rPr>
        <w:t>al nivel de producción</w:t>
      </w:r>
      <w:r>
        <w:rPr>
          <w:color w:val="231F20"/>
          <w:spacing w:val="8"/>
          <w:w w:val="105"/>
          <w:sz w:val="21"/>
        </w:rPr>
        <w:t> </w:t>
      </w:r>
      <w:r>
        <w:rPr>
          <w:color w:val="231F20"/>
          <w:w w:val="105"/>
          <w:sz w:val="21"/>
        </w:rPr>
        <w:t>demandado.</w:t>
      </w:r>
    </w:p>
    <w:p>
      <w:pPr>
        <w:pStyle w:val="ListParagraph"/>
        <w:numPr>
          <w:ilvl w:val="1"/>
          <w:numId w:val="66"/>
        </w:numPr>
        <w:tabs>
          <w:tab w:pos="1328" w:val="left" w:leader="none"/>
        </w:tabs>
        <w:spacing w:line="259" w:lineRule="auto" w:before="170" w:after="0"/>
        <w:ind w:left="1327" w:right="122" w:hanging="360"/>
        <w:jc w:val="both"/>
        <w:rPr>
          <w:sz w:val="21"/>
        </w:rPr>
      </w:pPr>
      <w:r>
        <w:rPr>
          <w:color w:val="231F20"/>
          <w:w w:val="105"/>
          <w:sz w:val="21"/>
        </w:rPr>
        <w:t>La</w:t>
      </w:r>
      <w:r>
        <w:rPr>
          <w:color w:val="231F20"/>
          <w:spacing w:val="-14"/>
          <w:w w:val="105"/>
          <w:sz w:val="21"/>
        </w:rPr>
        <w:t> </w:t>
      </w:r>
      <w:r>
        <w:rPr>
          <w:color w:val="231F20"/>
          <w:w w:val="105"/>
          <w:sz w:val="21"/>
        </w:rPr>
        <w:t>neutralidad</w:t>
      </w:r>
      <w:r>
        <w:rPr>
          <w:color w:val="231F20"/>
          <w:spacing w:val="-14"/>
          <w:w w:val="105"/>
          <w:sz w:val="21"/>
        </w:rPr>
        <w:t> </w:t>
      </w:r>
      <w:r>
        <w:rPr>
          <w:color w:val="231F20"/>
          <w:w w:val="105"/>
          <w:sz w:val="21"/>
        </w:rPr>
        <w:t>del</w:t>
      </w:r>
      <w:r>
        <w:rPr>
          <w:color w:val="231F20"/>
          <w:spacing w:val="-14"/>
          <w:w w:val="105"/>
          <w:sz w:val="21"/>
        </w:rPr>
        <w:t> </w:t>
      </w:r>
      <w:r>
        <w:rPr>
          <w:color w:val="231F20"/>
          <w:w w:val="105"/>
          <w:sz w:val="21"/>
        </w:rPr>
        <w:t>dinero</w:t>
      </w:r>
      <w:r>
        <w:rPr>
          <w:color w:val="231F20"/>
          <w:spacing w:val="-14"/>
          <w:w w:val="105"/>
          <w:sz w:val="21"/>
        </w:rPr>
        <w:t> </w:t>
      </w:r>
      <w:r>
        <w:rPr>
          <w:color w:val="231F20"/>
          <w:w w:val="105"/>
          <w:sz w:val="21"/>
        </w:rPr>
        <w:t>se</w:t>
      </w:r>
      <w:r>
        <w:rPr>
          <w:color w:val="231F20"/>
          <w:spacing w:val="-14"/>
          <w:w w:val="105"/>
          <w:sz w:val="21"/>
        </w:rPr>
        <w:t> </w:t>
      </w:r>
      <w:r>
        <w:rPr>
          <w:color w:val="231F20"/>
          <w:w w:val="105"/>
          <w:sz w:val="21"/>
        </w:rPr>
        <w:t>mantiene</w:t>
      </w:r>
      <w:r>
        <w:rPr>
          <w:color w:val="231F20"/>
          <w:spacing w:val="-14"/>
          <w:w w:val="105"/>
          <w:sz w:val="21"/>
        </w:rPr>
        <w:t> </w:t>
      </w:r>
      <w:r>
        <w:rPr>
          <w:color w:val="231F20"/>
          <w:w w:val="105"/>
          <w:sz w:val="21"/>
        </w:rPr>
        <w:t>en</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síntesis</w:t>
      </w:r>
      <w:r>
        <w:rPr>
          <w:color w:val="231F20"/>
          <w:spacing w:val="-14"/>
          <w:w w:val="105"/>
          <w:sz w:val="21"/>
        </w:rPr>
        <w:t> </w:t>
      </w:r>
      <w:r>
        <w:rPr>
          <w:color w:val="231F20"/>
          <w:w w:val="105"/>
          <w:sz w:val="21"/>
        </w:rPr>
        <w:t>neoclá- sica, pues el cambio de la cantidad nominal de dinero  </w:t>
      </w:r>
      <w:r>
        <w:rPr>
          <w:color w:val="231F20"/>
          <w:spacing w:val="23"/>
          <w:w w:val="105"/>
          <w:sz w:val="21"/>
        </w:rPr>
        <w:t> </w:t>
      </w:r>
      <w:r>
        <w:rPr>
          <w:color w:val="231F20"/>
          <w:w w:val="105"/>
          <w:sz w:val="21"/>
        </w:rPr>
        <w:t>no</w:t>
      </w:r>
    </w:p>
    <w:p>
      <w:pPr>
        <w:pStyle w:val="BodyText"/>
        <w:rPr>
          <w:sz w:val="20"/>
        </w:rPr>
      </w:pPr>
    </w:p>
    <w:p>
      <w:pPr>
        <w:pStyle w:val="BodyText"/>
        <w:spacing w:before="9"/>
        <w:rPr>
          <w:sz w:val="11"/>
        </w:rPr>
      </w:pPr>
      <w:r>
        <w:rPr/>
        <w:pict>
          <v:line style="position:absolute;mso-position-horizontal-relative:page;mso-position-vertical-relative:paragraph;z-index:10432;mso-wrap-distance-left:0;mso-wrap-distance-right:0" from="70.866096pt,8.865642pt" to="184.252096pt,8.865642pt" stroked="true" strokeweight=".25pt" strokecolor="#231f20">
            <w10:wrap type="topAndBottom"/>
          </v:line>
        </w:pict>
      </w:r>
    </w:p>
    <w:p>
      <w:pPr>
        <w:spacing w:line="211" w:lineRule="exact" w:before="80"/>
        <w:ind w:left="117" w:right="0" w:firstLine="0"/>
        <w:jc w:val="both"/>
        <w:rPr>
          <w:rFonts w:ascii="Calibri"/>
          <w:i/>
          <w:sz w:val="16"/>
        </w:rPr>
      </w:pPr>
      <w:r>
        <w:rPr>
          <w:rFonts w:ascii="Times New Roman"/>
          <w:color w:val="414042"/>
          <w:w w:val="105"/>
          <w:position w:val="-4"/>
          <w:sz w:val="13"/>
        </w:rPr>
        <w:t>4  </w:t>
      </w:r>
      <w:r>
        <w:rPr>
          <w:rFonts w:ascii="Calibri"/>
          <w:color w:val="414042"/>
          <w:w w:val="105"/>
          <w:sz w:val="16"/>
        </w:rPr>
        <w:t>Donde: </w:t>
      </w:r>
      <w:r>
        <w:rPr>
          <w:rFonts w:ascii="Calibri"/>
          <w:i/>
          <w:color w:val="414042"/>
          <w:w w:val="105"/>
          <w:sz w:val="16"/>
        </w:rPr>
        <w:t>N</w:t>
      </w:r>
      <w:r>
        <w:rPr>
          <w:rFonts w:ascii="Calibri"/>
          <w:i/>
          <w:color w:val="414042"/>
          <w:w w:val="105"/>
          <w:position w:val="5"/>
          <w:sz w:val="9"/>
        </w:rPr>
        <w:t>s </w:t>
      </w:r>
      <w:r>
        <w:rPr>
          <w:rFonts w:ascii="Calibri"/>
          <w:color w:val="414042"/>
          <w:w w:val="105"/>
          <w:sz w:val="16"/>
        </w:rPr>
        <w:t>= Oferta de trabajo; </w:t>
      </w:r>
      <w:r>
        <w:rPr>
          <w:rFonts w:ascii="Calibri"/>
          <w:i/>
          <w:color w:val="414042"/>
          <w:w w:val="105"/>
          <w:sz w:val="16"/>
        </w:rPr>
        <w:t>N</w:t>
      </w:r>
      <w:r>
        <w:rPr>
          <w:rFonts w:ascii="Calibri"/>
          <w:i/>
          <w:color w:val="414042"/>
          <w:w w:val="105"/>
          <w:position w:val="5"/>
          <w:sz w:val="9"/>
        </w:rPr>
        <w:t>d </w:t>
      </w:r>
      <w:r>
        <w:rPr>
          <w:rFonts w:ascii="Calibri"/>
          <w:color w:val="414042"/>
          <w:w w:val="105"/>
          <w:sz w:val="16"/>
        </w:rPr>
        <w:t>= Demanda de trabajo; </w:t>
      </w:r>
      <w:r>
        <w:rPr>
          <w:rFonts w:ascii="Calibri"/>
          <w:i/>
          <w:color w:val="414042"/>
          <w:w w:val="105"/>
          <w:sz w:val="16"/>
        </w:rPr>
        <w:t>W </w:t>
      </w:r>
      <w:r>
        <w:rPr>
          <w:rFonts w:ascii="Calibri"/>
          <w:color w:val="414042"/>
          <w:w w:val="105"/>
          <w:sz w:val="16"/>
        </w:rPr>
        <w:t>= Salario nominal; </w:t>
      </w:r>
      <w:r>
        <w:rPr>
          <w:rFonts w:ascii="Calibri"/>
          <w:i/>
          <w:color w:val="414042"/>
          <w:w w:val="105"/>
          <w:sz w:val="16"/>
        </w:rPr>
        <w:t>P </w:t>
      </w:r>
      <w:r>
        <w:rPr>
          <w:rFonts w:ascii="Calibri"/>
          <w:color w:val="414042"/>
          <w:w w:val="105"/>
          <w:sz w:val="16"/>
        </w:rPr>
        <w:t>= Nivel de precios; </w:t>
      </w:r>
      <w:r>
        <w:rPr>
          <w:rFonts w:ascii="Calibri"/>
          <w:i/>
          <w:color w:val="414042"/>
          <w:w w:val="105"/>
          <w:sz w:val="16"/>
        </w:rPr>
        <w:t>w</w:t>
      </w:r>
    </w:p>
    <w:p>
      <w:pPr>
        <w:spacing w:line="174" w:lineRule="exact" w:before="0"/>
        <w:ind w:left="117" w:right="0" w:firstLine="0"/>
        <w:jc w:val="both"/>
        <w:rPr>
          <w:rFonts w:ascii="Calibri"/>
          <w:sz w:val="16"/>
        </w:rPr>
      </w:pPr>
      <w:r>
        <w:rPr>
          <w:rFonts w:ascii="Calibri"/>
          <w:color w:val="414042"/>
          <w:w w:val="105"/>
          <w:sz w:val="16"/>
        </w:rPr>
        <w:t>= Salario real; </w:t>
      </w:r>
      <w:r>
        <w:rPr>
          <w:rFonts w:ascii="Calibri"/>
          <w:i/>
          <w:color w:val="414042"/>
          <w:w w:val="105"/>
          <w:sz w:val="16"/>
        </w:rPr>
        <w:t>Y </w:t>
      </w:r>
      <w:r>
        <w:rPr>
          <w:rFonts w:ascii="Calibri"/>
          <w:color w:val="414042"/>
          <w:w w:val="105"/>
          <w:sz w:val="16"/>
        </w:rPr>
        <w:t>= Nivel del producto; </w:t>
      </w:r>
      <w:r>
        <w:rPr>
          <w:rFonts w:ascii="Calibri"/>
          <w:i/>
          <w:color w:val="414042"/>
          <w:w w:val="105"/>
          <w:sz w:val="16"/>
        </w:rPr>
        <w:t>N* </w:t>
      </w:r>
      <w:r>
        <w:rPr>
          <w:rFonts w:ascii="Calibri"/>
          <w:color w:val="414042"/>
          <w:w w:val="105"/>
          <w:sz w:val="16"/>
        </w:rPr>
        <w:t>= Nivel de empleo de equilibrio; </w:t>
      </w:r>
      <w:r>
        <w:rPr>
          <w:rFonts w:ascii="Calibri"/>
          <w:i/>
          <w:color w:val="414042"/>
          <w:w w:val="105"/>
          <w:sz w:val="16"/>
        </w:rPr>
        <w:t>W* </w:t>
      </w:r>
      <w:r>
        <w:rPr>
          <w:rFonts w:ascii="Calibri"/>
          <w:color w:val="414042"/>
          <w:w w:val="105"/>
          <w:sz w:val="16"/>
        </w:rPr>
        <w:t>= Salario nominal de equi-</w:t>
      </w:r>
    </w:p>
    <w:p>
      <w:pPr>
        <w:spacing w:line="235" w:lineRule="auto" w:before="1"/>
        <w:ind w:left="117" w:right="121" w:firstLine="0"/>
        <w:jc w:val="both"/>
        <w:rPr>
          <w:rFonts w:ascii="Calibri" w:hAnsi="Calibri"/>
          <w:sz w:val="16"/>
        </w:rPr>
      </w:pPr>
      <w:r>
        <w:rPr/>
        <w:pict>
          <v:line style="position:absolute;mso-position-horizontal-relative:page;mso-position-vertical-relative:paragraph;z-index:-237400" from="349.228302pt,10.432644pt" to="354.047302pt,10.432644pt" stroked="true" strokeweight=".25pt" strokecolor="#231f20">
            <w10:wrap type="none"/>
          </v:line>
        </w:pict>
      </w:r>
      <w:r>
        <w:rPr/>
        <w:pict>
          <v:line style="position:absolute;mso-position-horizontal-relative:page;mso-position-vertical-relative:paragraph;z-index:-237376" from="234.283493pt,10.432644pt" to="239.102493pt,10.432644pt" stroked="true" strokeweight=".25pt" strokecolor="#231f20">
            <w10:wrap type="none"/>
          </v:line>
        </w:pict>
      </w:r>
      <w:r>
        <w:rPr>
          <w:rFonts w:ascii="Calibri" w:hAnsi="Calibri"/>
          <w:color w:val="414042"/>
          <w:w w:val="105"/>
          <w:sz w:val="16"/>
        </w:rPr>
        <w:t>librio;</w:t>
      </w:r>
      <w:r>
        <w:rPr>
          <w:rFonts w:ascii="Calibri" w:hAnsi="Calibri"/>
          <w:color w:val="414042"/>
          <w:spacing w:val="-2"/>
          <w:w w:val="105"/>
          <w:sz w:val="16"/>
        </w:rPr>
        <w:t> </w:t>
      </w:r>
      <w:r>
        <w:rPr>
          <w:rFonts w:ascii="Calibri" w:hAnsi="Calibri"/>
          <w:i/>
          <w:color w:val="414042"/>
          <w:w w:val="105"/>
          <w:sz w:val="16"/>
        </w:rPr>
        <w:t>w*</w:t>
      </w:r>
      <w:r>
        <w:rPr>
          <w:rFonts w:ascii="Calibri" w:hAnsi="Calibri"/>
          <w:i/>
          <w:color w:val="414042"/>
          <w:spacing w:val="-2"/>
          <w:w w:val="105"/>
          <w:sz w:val="16"/>
        </w:rPr>
        <w:t> </w:t>
      </w:r>
      <w:r>
        <w:rPr>
          <w:rFonts w:ascii="Calibri" w:hAnsi="Calibri"/>
          <w:color w:val="414042"/>
          <w:w w:val="105"/>
          <w:sz w:val="16"/>
        </w:rPr>
        <w:t>=</w:t>
      </w:r>
      <w:r>
        <w:rPr>
          <w:rFonts w:ascii="Calibri" w:hAnsi="Calibri"/>
          <w:color w:val="414042"/>
          <w:spacing w:val="-2"/>
          <w:w w:val="105"/>
          <w:sz w:val="16"/>
        </w:rPr>
        <w:t> </w:t>
      </w:r>
      <w:r>
        <w:rPr>
          <w:rFonts w:ascii="Calibri" w:hAnsi="Calibri"/>
          <w:color w:val="414042"/>
          <w:w w:val="105"/>
          <w:sz w:val="16"/>
        </w:rPr>
        <w:t>Salario</w:t>
      </w:r>
      <w:r>
        <w:rPr>
          <w:rFonts w:ascii="Calibri" w:hAnsi="Calibri"/>
          <w:color w:val="414042"/>
          <w:spacing w:val="-2"/>
          <w:w w:val="105"/>
          <w:sz w:val="16"/>
        </w:rPr>
        <w:t> </w:t>
      </w:r>
      <w:r>
        <w:rPr>
          <w:rFonts w:ascii="Calibri" w:hAnsi="Calibri"/>
          <w:color w:val="414042"/>
          <w:w w:val="105"/>
          <w:sz w:val="16"/>
        </w:rPr>
        <w:t>real</w:t>
      </w:r>
      <w:r>
        <w:rPr>
          <w:rFonts w:ascii="Calibri" w:hAnsi="Calibri"/>
          <w:color w:val="414042"/>
          <w:spacing w:val="-2"/>
          <w:w w:val="105"/>
          <w:sz w:val="16"/>
        </w:rPr>
        <w:t> </w:t>
      </w:r>
      <w:r>
        <w:rPr>
          <w:rFonts w:ascii="Calibri" w:hAnsi="Calibri"/>
          <w:color w:val="414042"/>
          <w:w w:val="105"/>
          <w:sz w:val="16"/>
        </w:rPr>
        <w:t>de</w:t>
      </w:r>
      <w:r>
        <w:rPr>
          <w:rFonts w:ascii="Calibri" w:hAnsi="Calibri"/>
          <w:color w:val="414042"/>
          <w:spacing w:val="-2"/>
          <w:w w:val="105"/>
          <w:sz w:val="16"/>
        </w:rPr>
        <w:t> </w:t>
      </w:r>
      <w:r>
        <w:rPr>
          <w:rFonts w:ascii="Calibri" w:hAnsi="Calibri"/>
          <w:color w:val="414042"/>
          <w:w w:val="105"/>
          <w:sz w:val="16"/>
        </w:rPr>
        <w:t>equilibrio;</w:t>
      </w:r>
      <w:r>
        <w:rPr>
          <w:rFonts w:ascii="Calibri" w:hAnsi="Calibri"/>
          <w:color w:val="414042"/>
          <w:spacing w:val="-2"/>
          <w:w w:val="105"/>
          <w:sz w:val="16"/>
        </w:rPr>
        <w:t> </w:t>
      </w:r>
      <w:r>
        <w:rPr>
          <w:rFonts w:ascii="Calibri" w:hAnsi="Calibri"/>
          <w:i/>
          <w:color w:val="414042"/>
          <w:w w:val="105"/>
          <w:sz w:val="16"/>
        </w:rPr>
        <w:t>Y*</w:t>
      </w:r>
      <w:r>
        <w:rPr>
          <w:rFonts w:ascii="Calibri" w:hAnsi="Calibri"/>
          <w:i/>
          <w:color w:val="414042"/>
          <w:spacing w:val="-2"/>
          <w:w w:val="105"/>
          <w:sz w:val="16"/>
        </w:rPr>
        <w:t> </w:t>
      </w:r>
      <w:r>
        <w:rPr>
          <w:rFonts w:ascii="Calibri" w:hAnsi="Calibri"/>
          <w:color w:val="414042"/>
          <w:w w:val="105"/>
          <w:sz w:val="16"/>
        </w:rPr>
        <w:t>=</w:t>
      </w:r>
      <w:r>
        <w:rPr>
          <w:rFonts w:ascii="Calibri" w:hAnsi="Calibri"/>
          <w:color w:val="414042"/>
          <w:spacing w:val="-2"/>
          <w:w w:val="105"/>
          <w:sz w:val="16"/>
        </w:rPr>
        <w:t> </w:t>
      </w:r>
      <w:r>
        <w:rPr>
          <w:rFonts w:ascii="Calibri" w:hAnsi="Calibri"/>
          <w:color w:val="414042"/>
          <w:w w:val="105"/>
          <w:sz w:val="16"/>
        </w:rPr>
        <w:t>Nivel</w:t>
      </w:r>
      <w:r>
        <w:rPr>
          <w:rFonts w:ascii="Calibri" w:hAnsi="Calibri"/>
          <w:color w:val="414042"/>
          <w:spacing w:val="-2"/>
          <w:w w:val="105"/>
          <w:sz w:val="16"/>
        </w:rPr>
        <w:t> </w:t>
      </w:r>
      <w:r>
        <w:rPr>
          <w:rFonts w:ascii="Calibri" w:hAnsi="Calibri"/>
          <w:color w:val="414042"/>
          <w:w w:val="105"/>
          <w:sz w:val="16"/>
        </w:rPr>
        <w:t>del</w:t>
      </w:r>
      <w:r>
        <w:rPr>
          <w:rFonts w:ascii="Calibri" w:hAnsi="Calibri"/>
          <w:color w:val="414042"/>
          <w:spacing w:val="-2"/>
          <w:w w:val="105"/>
          <w:sz w:val="16"/>
        </w:rPr>
        <w:t> </w:t>
      </w:r>
      <w:r>
        <w:rPr>
          <w:rFonts w:ascii="Calibri" w:hAnsi="Calibri"/>
          <w:color w:val="414042"/>
          <w:w w:val="105"/>
          <w:sz w:val="16"/>
        </w:rPr>
        <w:t>producto</w:t>
      </w:r>
      <w:r>
        <w:rPr>
          <w:rFonts w:ascii="Calibri" w:hAnsi="Calibri"/>
          <w:color w:val="414042"/>
          <w:spacing w:val="-2"/>
          <w:w w:val="105"/>
          <w:sz w:val="16"/>
        </w:rPr>
        <w:t> </w:t>
      </w:r>
      <w:r>
        <w:rPr>
          <w:rFonts w:ascii="Calibri" w:hAnsi="Calibri"/>
          <w:color w:val="414042"/>
          <w:w w:val="105"/>
          <w:sz w:val="16"/>
        </w:rPr>
        <w:t>de</w:t>
      </w:r>
      <w:r>
        <w:rPr>
          <w:rFonts w:ascii="Calibri" w:hAnsi="Calibri"/>
          <w:color w:val="414042"/>
          <w:spacing w:val="-2"/>
          <w:w w:val="105"/>
          <w:sz w:val="16"/>
        </w:rPr>
        <w:t> </w:t>
      </w:r>
      <w:r>
        <w:rPr>
          <w:rFonts w:ascii="Calibri" w:hAnsi="Calibri"/>
          <w:color w:val="414042"/>
          <w:w w:val="105"/>
          <w:sz w:val="16"/>
        </w:rPr>
        <w:t>equilibrio;</w:t>
      </w:r>
      <w:r>
        <w:rPr>
          <w:rFonts w:ascii="Calibri" w:hAnsi="Calibri"/>
          <w:color w:val="414042"/>
          <w:spacing w:val="-2"/>
          <w:w w:val="105"/>
          <w:sz w:val="16"/>
        </w:rPr>
        <w:t> </w:t>
      </w:r>
      <w:r>
        <w:rPr>
          <w:rFonts w:ascii="Calibri" w:hAnsi="Calibri"/>
          <w:i/>
          <w:color w:val="414042"/>
          <w:w w:val="105"/>
          <w:sz w:val="16"/>
        </w:rPr>
        <w:t>C</w:t>
      </w:r>
      <w:r>
        <w:rPr>
          <w:rFonts w:ascii="Calibri" w:hAnsi="Calibri"/>
          <w:i/>
          <w:color w:val="414042"/>
          <w:spacing w:val="-2"/>
          <w:w w:val="105"/>
          <w:sz w:val="16"/>
        </w:rPr>
        <w:t> </w:t>
      </w:r>
      <w:r>
        <w:rPr>
          <w:rFonts w:ascii="Calibri" w:hAnsi="Calibri"/>
          <w:color w:val="414042"/>
          <w:w w:val="105"/>
          <w:sz w:val="16"/>
        </w:rPr>
        <w:t>=</w:t>
      </w:r>
      <w:r>
        <w:rPr>
          <w:rFonts w:ascii="Calibri" w:hAnsi="Calibri"/>
          <w:color w:val="414042"/>
          <w:spacing w:val="-2"/>
          <w:w w:val="105"/>
          <w:sz w:val="16"/>
        </w:rPr>
        <w:t> </w:t>
      </w:r>
      <w:r>
        <w:rPr>
          <w:rFonts w:ascii="Calibri" w:hAnsi="Calibri"/>
          <w:color w:val="414042"/>
          <w:w w:val="105"/>
          <w:sz w:val="16"/>
        </w:rPr>
        <w:t>Consumo</w:t>
      </w:r>
      <w:r>
        <w:rPr>
          <w:rFonts w:ascii="Calibri" w:hAnsi="Calibri"/>
          <w:color w:val="414042"/>
          <w:spacing w:val="-2"/>
          <w:w w:val="105"/>
          <w:sz w:val="16"/>
        </w:rPr>
        <w:t> </w:t>
      </w:r>
      <w:r>
        <w:rPr>
          <w:rFonts w:ascii="Calibri" w:hAnsi="Calibri"/>
          <w:color w:val="414042"/>
          <w:w w:val="105"/>
          <w:sz w:val="16"/>
        </w:rPr>
        <w:t>privado;</w:t>
      </w:r>
      <w:r>
        <w:rPr>
          <w:rFonts w:ascii="Calibri" w:hAnsi="Calibri"/>
          <w:color w:val="414042"/>
          <w:spacing w:val="-2"/>
          <w:w w:val="105"/>
          <w:sz w:val="16"/>
        </w:rPr>
        <w:t> </w:t>
      </w:r>
      <w:r>
        <w:rPr>
          <w:rFonts w:ascii="Calibri" w:hAnsi="Calibri"/>
          <w:i/>
          <w:color w:val="414042"/>
          <w:w w:val="105"/>
          <w:sz w:val="16"/>
        </w:rPr>
        <w:t>YD</w:t>
      </w:r>
      <w:r>
        <w:rPr>
          <w:rFonts w:ascii="Calibri" w:hAnsi="Calibri"/>
          <w:i/>
          <w:color w:val="414042"/>
          <w:spacing w:val="-2"/>
          <w:w w:val="105"/>
          <w:sz w:val="16"/>
        </w:rPr>
        <w:t> </w:t>
      </w:r>
      <w:r>
        <w:rPr>
          <w:rFonts w:ascii="Calibri" w:hAnsi="Calibri"/>
          <w:color w:val="414042"/>
          <w:w w:val="105"/>
          <w:sz w:val="16"/>
        </w:rPr>
        <w:t>= Ingreso</w:t>
      </w:r>
      <w:r>
        <w:rPr>
          <w:rFonts w:ascii="Calibri" w:hAnsi="Calibri"/>
          <w:color w:val="414042"/>
          <w:spacing w:val="-16"/>
          <w:w w:val="105"/>
          <w:sz w:val="16"/>
        </w:rPr>
        <w:t> </w:t>
      </w:r>
      <w:r>
        <w:rPr>
          <w:rFonts w:ascii="Calibri" w:hAnsi="Calibri"/>
          <w:color w:val="414042"/>
          <w:w w:val="105"/>
          <w:sz w:val="16"/>
        </w:rPr>
        <w:t>disponible;</w:t>
      </w:r>
      <w:r>
        <w:rPr>
          <w:rFonts w:ascii="Calibri" w:hAnsi="Calibri"/>
          <w:color w:val="414042"/>
          <w:spacing w:val="-16"/>
          <w:w w:val="105"/>
          <w:sz w:val="16"/>
        </w:rPr>
        <w:t> </w:t>
      </w:r>
      <w:r>
        <w:rPr>
          <w:rFonts w:ascii="Calibri" w:hAnsi="Calibri"/>
          <w:i/>
          <w:color w:val="414042"/>
          <w:w w:val="105"/>
          <w:sz w:val="16"/>
        </w:rPr>
        <w:t>I</w:t>
      </w:r>
      <w:r>
        <w:rPr>
          <w:rFonts w:ascii="Calibri" w:hAnsi="Calibri"/>
          <w:i/>
          <w:color w:val="414042"/>
          <w:spacing w:val="-16"/>
          <w:w w:val="105"/>
          <w:sz w:val="16"/>
        </w:rPr>
        <w:t> </w:t>
      </w:r>
      <w:r>
        <w:rPr>
          <w:rFonts w:ascii="Calibri" w:hAnsi="Calibri"/>
          <w:color w:val="414042"/>
          <w:w w:val="105"/>
          <w:sz w:val="16"/>
        </w:rPr>
        <w:t>=</w:t>
      </w:r>
      <w:r>
        <w:rPr>
          <w:rFonts w:ascii="Calibri" w:hAnsi="Calibri"/>
          <w:color w:val="414042"/>
          <w:spacing w:val="-16"/>
          <w:w w:val="105"/>
          <w:sz w:val="16"/>
        </w:rPr>
        <w:t> </w:t>
      </w:r>
      <w:r>
        <w:rPr>
          <w:rFonts w:ascii="Calibri" w:hAnsi="Calibri"/>
          <w:color w:val="414042"/>
          <w:w w:val="105"/>
          <w:sz w:val="16"/>
        </w:rPr>
        <w:t>Nivel</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inversión</w:t>
      </w:r>
      <w:r>
        <w:rPr>
          <w:rFonts w:ascii="Calibri" w:hAnsi="Calibri"/>
          <w:color w:val="414042"/>
          <w:spacing w:val="-16"/>
          <w:w w:val="105"/>
          <w:sz w:val="16"/>
        </w:rPr>
        <w:t> </w:t>
      </w:r>
      <w:r>
        <w:rPr>
          <w:rFonts w:ascii="Calibri" w:hAnsi="Calibri"/>
          <w:color w:val="414042"/>
          <w:w w:val="105"/>
          <w:sz w:val="16"/>
        </w:rPr>
        <w:t>privada;</w:t>
      </w:r>
      <w:r>
        <w:rPr>
          <w:rFonts w:ascii="Calibri" w:hAnsi="Calibri"/>
          <w:color w:val="414042"/>
          <w:spacing w:val="-16"/>
          <w:w w:val="105"/>
          <w:sz w:val="16"/>
        </w:rPr>
        <w:t> </w:t>
      </w:r>
      <w:r>
        <w:rPr>
          <w:rFonts w:ascii="Calibri" w:hAnsi="Calibri"/>
          <w:i/>
          <w:color w:val="414042"/>
          <w:w w:val="105"/>
          <w:sz w:val="16"/>
        </w:rPr>
        <w:t>G</w:t>
      </w:r>
      <w:r>
        <w:rPr>
          <w:rFonts w:ascii="Calibri" w:hAnsi="Calibri"/>
          <w:i/>
          <w:color w:val="414042"/>
          <w:spacing w:val="-16"/>
          <w:w w:val="105"/>
          <w:sz w:val="16"/>
        </w:rPr>
        <w:t> </w:t>
      </w:r>
      <w:r>
        <w:rPr>
          <w:rFonts w:ascii="Calibri" w:hAnsi="Calibri"/>
          <w:color w:val="414042"/>
          <w:w w:val="105"/>
          <w:sz w:val="16"/>
        </w:rPr>
        <w:t>=</w:t>
      </w:r>
      <w:r>
        <w:rPr>
          <w:rFonts w:ascii="Calibri" w:hAnsi="Calibri"/>
          <w:color w:val="414042"/>
          <w:spacing w:val="-16"/>
          <w:w w:val="105"/>
          <w:sz w:val="16"/>
        </w:rPr>
        <w:t> </w:t>
      </w:r>
      <w:r>
        <w:rPr>
          <w:rFonts w:ascii="Calibri" w:hAnsi="Calibri"/>
          <w:color w:val="414042"/>
          <w:w w:val="105"/>
          <w:sz w:val="16"/>
        </w:rPr>
        <w:t>Gasto</w:t>
      </w:r>
      <w:r>
        <w:rPr>
          <w:rFonts w:ascii="Calibri" w:hAnsi="Calibri"/>
          <w:color w:val="414042"/>
          <w:spacing w:val="-16"/>
          <w:w w:val="105"/>
          <w:sz w:val="16"/>
        </w:rPr>
        <w:t> </w:t>
      </w:r>
      <w:r>
        <w:rPr>
          <w:rFonts w:ascii="Calibri" w:hAnsi="Calibri"/>
          <w:color w:val="414042"/>
          <w:w w:val="105"/>
          <w:sz w:val="16"/>
        </w:rPr>
        <w:t>autónomo</w:t>
      </w:r>
      <w:r>
        <w:rPr>
          <w:rFonts w:ascii="Calibri" w:hAnsi="Calibri"/>
          <w:color w:val="414042"/>
          <w:spacing w:val="-16"/>
          <w:w w:val="105"/>
          <w:sz w:val="16"/>
        </w:rPr>
        <w:t> </w:t>
      </w:r>
      <w:r>
        <w:rPr>
          <w:rFonts w:ascii="Calibri" w:hAnsi="Calibri"/>
          <w:color w:val="414042"/>
          <w:w w:val="105"/>
          <w:sz w:val="16"/>
        </w:rPr>
        <w:t>de</w:t>
      </w:r>
      <w:r>
        <w:rPr>
          <w:rFonts w:ascii="Calibri" w:hAnsi="Calibri"/>
          <w:color w:val="414042"/>
          <w:spacing w:val="-16"/>
          <w:w w:val="105"/>
          <w:sz w:val="16"/>
        </w:rPr>
        <w:t> </w:t>
      </w:r>
      <w:r>
        <w:rPr>
          <w:rFonts w:ascii="Calibri" w:hAnsi="Calibri"/>
          <w:color w:val="414042"/>
          <w:w w:val="105"/>
          <w:sz w:val="16"/>
        </w:rPr>
        <w:t>gobierno;</w:t>
      </w:r>
      <w:r>
        <w:rPr>
          <w:rFonts w:ascii="Calibri" w:hAnsi="Calibri"/>
          <w:color w:val="414042"/>
          <w:spacing w:val="-16"/>
          <w:w w:val="105"/>
          <w:sz w:val="16"/>
        </w:rPr>
        <w:t> </w:t>
      </w:r>
      <w:r>
        <w:rPr>
          <w:rFonts w:ascii="Calibri" w:hAnsi="Calibri"/>
          <w:i/>
          <w:color w:val="414042"/>
          <w:w w:val="105"/>
          <w:sz w:val="16"/>
        </w:rPr>
        <w:t>M</w:t>
      </w:r>
      <w:r>
        <w:rPr>
          <w:rFonts w:ascii="Calibri" w:hAnsi="Calibri"/>
          <w:i/>
          <w:color w:val="414042"/>
          <w:spacing w:val="-16"/>
          <w:w w:val="105"/>
          <w:sz w:val="16"/>
        </w:rPr>
        <w:t> </w:t>
      </w:r>
      <w:r>
        <w:rPr>
          <w:rFonts w:ascii="Calibri" w:hAnsi="Calibri"/>
          <w:color w:val="414042"/>
          <w:w w:val="105"/>
          <w:sz w:val="16"/>
        </w:rPr>
        <w:t>=</w:t>
      </w:r>
      <w:r>
        <w:rPr>
          <w:rFonts w:ascii="Calibri" w:hAnsi="Calibri"/>
          <w:color w:val="414042"/>
          <w:spacing w:val="-16"/>
          <w:w w:val="105"/>
          <w:sz w:val="16"/>
        </w:rPr>
        <w:t> </w:t>
      </w:r>
      <w:r>
        <w:rPr>
          <w:rFonts w:ascii="Calibri" w:hAnsi="Calibri"/>
          <w:color w:val="414042"/>
          <w:w w:val="105"/>
          <w:sz w:val="16"/>
        </w:rPr>
        <w:t>Masa</w:t>
      </w:r>
      <w:r>
        <w:rPr>
          <w:rFonts w:ascii="Calibri" w:hAnsi="Calibri"/>
          <w:color w:val="414042"/>
          <w:spacing w:val="-16"/>
          <w:w w:val="105"/>
          <w:sz w:val="16"/>
        </w:rPr>
        <w:t> </w:t>
      </w:r>
      <w:r>
        <w:rPr>
          <w:rFonts w:ascii="Calibri" w:hAnsi="Calibri"/>
          <w:color w:val="414042"/>
          <w:w w:val="105"/>
          <w:sz w:val="16"/>
        </w:rPr>
        <w:t>monetaria autónoma;</w:t>
      </w:r>
      <w:r>
        <w:rPr>
          <w:rFonts w:ascii="Calibri" w:hAnsi="Calibri"/>
          <w:color w:val="414042"/>
          <w:spacing w:val="-14"/>
          <w:w w:val="105"/>
          <w:sz w:val="16"/>
        </w:rPr>
        <w:t> </w:t>
      </w:r>
      <w:r>
        <w:rPr>
          <w:rFonts w:ascii="Calibri" w:hAnsi="Calibri"/>
          <w:i/>
          <w:color w:val="414042"/>
          <w:w w:val="105"/>
          <w:sz w:val="16"/>
        </w:rPr>
        <w:t>r</w:t>
      </w:r>
      <w:r>
        <w:rPr>
          <w:rFonts w:ascii="Calibri" w:hAnsi="Calibri"/>
          <w:color w:val="414042"/>
          <w:w w:val="105"/>
          <w:sz w:val="16"/>
        </w:rPr>
        <w:t>,</w:t>
      </w:r>
      <w:r>
        <w:rPr>
          <w:rFonts w:ascii="Calibri" w:hAnsi="Calibri"/>
          <w:color w:val="414042"/>
          <w:spacing w:val="-14"/>
          <w:w w:val="105"/>
          <w:sz w:val="16"/>
        </w:rPr>
        <w:t> </w:t>
      </w:r>
      <w:r>
        <w:rPr>
          <w:rFonts w:ascii="Calibri" w:hAnsi="Calibri"/>
          <w:i/>
          <w:color w:val="414042"/>
          <w:w w:val="105"/>
          <w:sz w:val="16"/>
        </w:rPr>
        <w:t>i</w:t>
      </w:r>
      <w:r>
        <w:rPr>
          <w:rFonts w:ascii="Calibri" w:hAnsi="Calibri"/>
          <w:i/>
          <w:color w:val="414042"/>
          <w:spacing w:val="-14"/>
          <w:w w:val="105"/>
          <w:sz w:val="16"/>
        </w:rPr>
        <w:t> </w:t>
      </w:r>
      <w:r>
        <w:rPr>
          <w:rFonts w:ascii="Calibri" w:hAnsi="Calibri"/>
          <w:color w:val="414042"/>
          <w:w w:val="105"/>
          <w:sz w:val="16"/>
        </w:rPr>
        <w:t>=</w:t>
      </w:r>
      <w:r>
        <w:rPr>
          <w:rFonts w:ascii="Calibri" w:hAnsi="Calibri"/>
          <w:color w:val="414042"/>
          <w:spacing w:val="-16"/>
          <w:w w:val="105"/>
          <w:sz w:val="16"/>
        </w:rPr>
        <w:t> </w:t>
      </w:r>
      <w:r>
        <w:rPr>
          <w:rFonts w:ascii="Calibri" w:hAnsi="Calibri"/>
          <w:color w:val="414042"/>
          <w:spacing w:val="-3"/>
          <w:w w:val="105"/>
          <w:sz w:val="16"/>
        </w:rPr>
        <w:t>Tasa</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interés;</w:t>
      </w:r>
      <w:r>
        <w:rPr>
          <w:rFonts w:ascii="Calibri" w:hAnsi="Calibri"/>
          <w:color w:val="414042"/>
          <w:spacing w:val="-14"/>
          <w:w w:val="105"/>
          <w:sz w:val="16"/>
        </w:rPr>
        <w:t> </w:t>
      </w:r>
      <w:r>
        <w:rPr>
          <w:rFonts w:ascii="Calibri" w:hAnsi="Calibri"/>
          <w:i/>
          <w:color w:val="414042"/>
          <w:w w:val="105"/>
          <w:sz w:val="16"/>
        </w:rPr>
        <w:t>r*</w:t>
      </w:r>
      <w:r>
        <w:rPr>
          <w:rFonts w:ascii="Calibri" w:hAnsi="Calibri"/>
          <w:color w:val="414042"/>
          <w:w w:val="105"/>
          <w:sz w:val="16"/>
        </w:rPr>
        <w:t>,</w:t>
      </w:r>
      <w:r>
        <w:rPr>
          <w:rFonts w:ascii="Calibri" w:hAnsi="Calibri"/>
          <w:color w:val="414042"/>
          <w:spacing w:val="-14"/>
          <w:w w:val="105"/>
          <w:sz w:val="16"/>
        </w:rPr>
        <w:t> </w:t>
      </w:r>
      <w:r>
        <w:rPr>
          <w:rFonts w:ascii="Calibri" w:hAnsi="Calibri"/>
          <w:i/>
          <w:color w:val="414042"/>
          <w:w w:val="105"/>
          <w:sz w:val="16"/>
        </w:rPr>
        <w:t>i*</w:t>
      </w:r>
      <w:r>
        <w:rPr>
          <w:rFonts w:ascii="Calibri" w:hAnsi="Calibri"/>
          <w:i/>
          <w:color w:val="414042"/>
          <w:spacing w:val="-14"/>
          <w:w w:val="105"/>
          <w:sz w:val="16"/>
        </w:rPr>
        <w:t> </w:t>
      </w:r>
      <w:r>
        <w:rPr>
          <w:rFonts w:ascii="Calibri" w:hAnsi="Calibri"/>
          <w:color w:val="414042"/>
          <w:w w:val="105"/>
          <w:sz w:val="16"/>
        </w:rPr>
        <w:t>=</w:t>
      </w:r>
      <w:r>
        <w:rPr>
          <w:rFonts w:ascii="Calibri" w:hAnsi="Calibri"/>
          <w:color w:val="414042"/>
          <w:spacing w:val="-16"/>
          <w:w w:val="105"/>
          <w:sz w:val="16"/>
        </w:rPr>
        <w:t> </w:t>
      </w:r>
      <w:r>
        <w:rPr>
          <w:rFonts w:ascii="Calibri" w:hAnsi="Calibri"/>
          <w:color w:val="414042"/>
          <w:spacing w:val="-3"/>
          <w:w w:val="105"/>
          <w:sz w:val="16"/>
        </w:rPr>
        <w:t>Tasa</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interés</w:t>
      </w:r>
      <w:r>
        <w:rPr>
          <w:rFonts w:ascii="Calibri" w:hAnsi="Calibri"/>
          <w:color w:val="414042"/>
          <w:spacing w:val="-14"/>
          <w:w w:val="105"/>
          <w:sz w:val="16"/>
        </w:rPr>
        <w:t> </w:t>
      </w:r>
      <w:r>
        <w:rPr>
          <w:rFonts w:ascii="Calibri" w:hAnsi="Calibri"/>
          <w:color w:val="414042"/>
          <w:w w:val="105"/>
          <w:sz w:val="16"/>
        </w:rPr>
        <w:t>de</w:t>
      </w:r>
      <w:r>
        <w:rPr>
          <w:rFonts w:ascii="Calibri" w:hAnsi="Calibri"/>
          <w:color w:val="414042"/>
          <w:spacing w:val="-14"/>
          <w:w w:val="105"/>
          <w:sz w:val="16"/>
        </w:rPr>
        <w:t> </w:t>
      </w:r>
      <w:r>
        <w:rPr>
          <w:rFonts w:ascii="Calibri" w:hAnsi="Calibri"/>
          <w:color w:val="414042"/>
          <w:w w:val="105"/>
          <w:sz w:val="16"/>
        </w:rPr>
        <w:t>equilibrio.</w:t>
      </w:r>
    </w:p>
    <w:p>
      <w:pPr>
        <w:spacing w:after="0" w:line="235" w:lineRule="auto"/>
        <w:jc w:val="both"/>
        <w:rPr>
          <w:rFonts w:ascii="Calibri" w:hAnsi="Calibri"/>
          <w:sz w:val="16"/>
        </w:rPr>
        <w:sectPr>
          <w:pgSz w:w="9640" w:h="13890"/>
          <w:pgMar w:top="0" w:bottom="280" w:left="1300" w:right="1180"/>
        </w:sectPr>
      </w:pPr>
    </w:p>
    <w:p>
      <w:pPr>
        <w:pStyle w:val="BodyText"/>
        <w:spacing w:line="259" w:lineRule="auto" w:before="120"/>
        <w:ind w:left="1314" w:right="109"/>
      </w:pPr>
      <w:r>
        <w:rPr>
          <w:color w:val="231F20"/>
          <w:w w:val="105"/>
        </w:rPr>
        <w:t>afecta</w:t>
      </w:r>
      <w:r>
        <w:rPr>
          <w:color w:val="231F20"/>
          <w:spacing w:val="-14"/>
          <w:w w:val="105"/>
        </w:rPr>
        <w:t> </w:t>
      </w:r>
      <w:r>
        <w:rPr>
          <w:color w:val="231F20"/>
          <w:w w:val="105"/>
        </w:rPr>
        <w:t>a</w:t>
      </w:r>
      <w:r>
        <w:rPr>
          <w:color w:val="231F20"/>
          <w:spacing w:val="-14"/>
          <w:w w:val="105"/>
        </w:rPr>
        <w:t> </w:t>
      </w:r>
      <w:r>
        <w:rPr>
          <w:color w:val="231F20"/>
          <w:w w:val="105"/>
        </w:rPr>
        <w:t>ninguna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variables</w:t>
      </w:r>
      <w:r>
        <w:rPr>
          <w:color w:val="231F20"/>
          <w:spacing w:val="-14"/>
          <w:w w:val="105"/>
        </w:rPr>
        <w:t> </w:t>
      </w:r>
      <w:r>
        <w:rPr>
          <w:color w:val="231F20"/>
          <w:w w:val="105"/>
        </w:rPr>
        <w:t>reales</w:t>
      </w:r>
      <w:r>
        <w:rPr>
          <w:color w:val="231F20"/>
          <w:spacing w:val="-14"/>
          <w:w w:val="105"/>
        </w:rPr>
        <w:t> </w:t>
      </w:r>
      <w:r>
        <w:rPr>
          <w:color w:val="231F20"/>
          <w:w w:val="105"/>
        </w:rPr>
        <w:t>de</w:t>
      </w:r>
      <w:r>
        <w:rPr>
          <w:color w:val="231F20"/>
          <w:spacing w:val="-14"/>
          <w:w w:val="105"/>
        </w:rPr>
        <w:t> </w:t>
      </w:r>
      <w:r>
        <w:rPr>
          <w:color w:val="231F20"/>
          <w:w w:val="105"/>
        </w:rPr>
        <w:t>equilibrio</w:t>
      </w:r>
      <w:r>
        <w:rPr>
          <w:color w:val="231F20"/>
          <w:spacing w:val="-14"/>
          <w:w w:val="105"/>
        </w:rPr>
        <w:t> </w:t>
      </w:r>
      <w:r>
        <w:rPr>
          <w:color w:val="231F20"/>
          <w:w w:val="105"/>
        </w:rPr>
        <w:t>(Modi- gliani,</w:t>
      </w:r>
      <w:r>
        <w:rPr>
          <w:color w:val="231F20"/>
          <w:spacing w:val="-34"/>
          <w:w w:val="105"/>
        </w:rPr>
        <w:t> </w:t>
      </w:r>
      <w:r>
        <w:rPr>
          <w:color w:val="231F20"/>
          <w:w w:val="105"/>
        </w:rPr>
        <w:t>1944).</w:t>
      </w:r>
    </w:p>
    <w:p>
      <w:pPr>
        <w:pStyle w:val="BodyText"/>
        <w:spacing w:line="259" w:lineRule="auto" w:before="170"/>
        <w:ind w:left="103" w:right="114"/>
        <w:jc w:val="both"/>
      </w:pP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largo</w:t>
      </w:r>
      <w:r>
        <w:rPr>
          <w:color w:val="231F20"/>
          <w:spacing w:val="-21"/>
          <w:w w:val="105"/>
        </w:rPr>
        <w:t> </w:t>
      </w:r>
      <w:r>
        <w:rPr>
          <w:color w:val="231F20"/>
          <w:w w:val="105"/>
        </w:rPr>
        <w:t>plazo,</w:t>
      </w:r>
      <w:r>
        <w:rPr>
          <w:color w:val="231F20"/>
          <w:spacing w:val="-26"/>
          <w:w w:val="105"/>
        </w:rPr>
        <w:t> </w:t>
      </w:r>
      <w:r>
        <w:rPr>
          <w:color w:val="231F20"/>
          <w:w w:val="105"/>
        </w:rPr>
        <w:t>el</w:t>
      </w:r>
      <w:r>
        <w:rPr>
          <w:color w:val="231F20"/>
          <w:spacing w:val="-21"/>
          <w:w w:val="105"/>
        </w:rPr>
        <w:t> </w:t>
      </w:r>
      <w:r>
        <w:rPr>
          <w:color w:val="231F20"/>
          <w:w w:val="105"/>
        </w:rPr>
        <w:t>sistema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síntesis</w:t>
      </w:r>
      <w:r>
        <w:rPr>
          <w:color w:val="231F20"/>
          <w:spacing w:val="-21"/>
          <w:w w:val="105"/>
        </w:rPr>
        <w:t> </w:t>
      </w:r>
      <w:r>
        <w:rPr>
          <w:color w:val="231F20"/>
          <w:w w:val="105"/>
        </w:rPr>
        <w:t>neoclásica</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modelo</w:t>
      </w:r>
      <w:r>
        <w:rPr>
          <w:color w:val="231F20"/>
          <w:spacing w:val="-21"/>
          <w:w w:val="105"/>
        </w:rPr>
        <w:t> </w:t>
      </w:r>
      <w:r>
        <w:rPr>
          <w:color w:val="231F20"/>
          <w:w w:val="105"/>
        </w:rPr>
        <w:t>neoclá- sico tienen los mismos resultados; por lo que se deduce que la función consumo, la eficiencia marginal del capital ni la preferencia por</w:t>
      </w:r>
      <w:r>
        <w:rPr>
          <w:color w:val="231F20"/>
          <w:spacing w:val="-37"/>
          <w:w w:val="105"/>
        </w:rPr>
        <w:t> </w:t>
      </w:r>
      <w:r>
        <w:rPr>
          <w:color w:val="231F20"/>
          <w:w w:val="105"/>
        </w:rPr>
        <w:t>liquidez implican</w:t>
      </w:r>
      <w:r>
        <w:rPr>
          <w:color w:val="231F20"/>
          <w:spacing w:val="-27"/>
          <w:w w:val="105"/>
        </w:rPr>
        <w:t> </w:t>
      </w:r>
      <w:r>
        <w:rPr>
          <w:color w:val="231F20"/>
          <w:w w:val="105"/>
        </w:rPr>
        <w:t>resultados</w:t>
      </w:r>
      <w:r>
        <w:rPr>
          <w:color w:val="231F20"/>
          <w:spacing w:val="-27"/>
          <w:w w:val="105"/>
        </w:rPr>
        <w:t> </w:t>
      </w:r>
      <w:r>
        <w:rPr>
          <w:color w:val="231F20"/>
          <w:w w:val="105"/>
        </w:rPr>
        <w:t>diferentes</w:t>
      </w:r>
      <w:r>
        <w:rPr>
          <w:color w:val="231F20"/>
          <w:spacing w:val="-27"/>
          <w:w w:val="105"/>
        </w:rPr>
        <w:t> </w:t>
      </w:r>
      <w:r>
        <w:rPr>
          <w:color w:val="231F20"/>
          <w:w w:val="105"/>
        </w:rPr>
        <w:t>por</w:t>
      </w:r>
      <w:r>
        <w:rPr>
          <w:color w:val="231F20"/>
          <w:spacing w:val="-27"/>
          <w:w w:val="105"/>
        </w:rPr>
        <w:t> </w:t>
      </w:r>
      <w:r>
        <w:rPr>
          <w:color w:val="231F20"/>
          <w:w w:val="105"/>
        </w:rPr>
        <w:t>sí</w:t>
      </w:r>
      <w:r>
        <w:rPr>
          <w:color w:val="231F20"/>
          <w:spacing w:val="-27"/>
          <w:w w:val="105"/>
        </w:rPr>
        <w:t> </w:t>
      </w:r>
      <w:r>
        <w:rPr>
          <w:color w:val="231F20"/>
          <w:w w:val="105"/>
        </w:rPr>
        <w:t>mismos</w:t>
      </w:r>
      <w:r>
        <w:rPr>
          <w:color w:val="231F20"/>
          <w:spacing w:val="-27"/>
          <w:w w:val="105"/>
        </w:rPr>
        <w:t> </w:t>
      </w:r>
      <w:r>
        <w:rPr>
          <w:color w:val="231F20"/>
          <w:w w:val="105"/>
        </w:rPr>
        <w:t>(Hicks,</w:t>
      </w:r>
      <w:r>
        <w:rPr>
          <w:color w:val="231F20"/>
          <w:spacing w:val="-32"/>
          <w:w w:val="105"/>
        </w:rPr>
        <w:t> </w:t>
      </w:r>
      <w:r>
        <w:rPr>
          <w:color w:val="231F20"/>
          <w:w w:val="105"/>
        </w:rPr>
        <w:t>1937).</w:t>
      </w:r>
    </w:p>
    <w:p>
      <w:pPr>
        <w:pStyle w:val="BodyText"/>
        <w:spacing w:line="259" w:lineRule="auto"/>
        <w:ind w:left="103" w:right="114" w:firstLine="567"/>
        <w:jc w:val="both"/>
      </w:pPr>
      <w:r>
        <w:rPr>
          <w:color w:val="231F20"/>
          <w:w w:val="105"/>
        </w:rPr>
        <w:t>Sin</w:t>
      </w:r>
      <w:r>
        <w:rPr>
          <w:color w:val="231F20"/>
          <w:spacing w:val="-15"/>
          <w:w w:val="105"/>
        </w:rPr>
        <w:t> </w:t>
      </w:r>
      <w:r>
        <w:rPr>
          <w:color w:val="231F20"/>
          <w:w w:val="105"/>
        </w:rPr>
        <w:t>embargo,</w:t>
      </w:r>
      <w:r>
        <w:rPr>
          <w:color w:val="231F20"/>
          <w:spacing w:val="-20"/>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corto</w:t>
      </w:r>
      <w:r>
        <w:rPr>
          <w:color w:val="231F20"/>
          <w:spacing w:val="-15"/>
          <w:w w:val="105"/>
        </w:rPr>
        <w:t> </w:t>
      </w:r>
      <w:r>
        <w:rPr>
          <w:color w:val="231F20"/>
          <w:w w:val="105"/>
        </w:rPr>
        <w:t>plazo</w:t>
      </w:r>
      <w:r>
        <w:rPr>
          <w:color w:val="231F20"/>
          <w:spacing w:val="-15"/>
          <w:w w:val="105"/>
        </w:rPr>
        <w:t> </w:t>
      </w:r>
      <w:r>
        <w:rPr>
          <w:color w:val="231F20"/>
          <w:w w:val="105"/>
        </w:rPr>
        <w:t>se</w:t>
      </w:r>
      <w:r>
        <w:rPr>
          <w:color w:val="231F20"/>
          <w:spacing w:val="-15"/>
          <w:w w:val="105"/>
        </w:rPr>
        <w:t> </w:t>
      </w:r>
      <w:r>
        <w:rPr>
          <w:color w:val="231F20"/>
          <w:w w:val="105"/>
        </w:rPr>
        <w:t>considera</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salarios</w:t>
      </w:r>
      <w:r>
        <w:rPr>
          <w:color w:val="231F20"/>
          <w:spacing w:val="-15"/>
          <w:w w:val="105"/>
        </w:rPr>
        <w:t> </w:t>
      </w:r>
      <w:r>
        <w:rPr>
          <w:color w:val="231F20"/>
          <w:w w:val="105"/>
        </w:rPr>
        <w:t>nomi- nales</w:t>
      </w:r>
      <w:r>
        <w:rPr>
          <w:color w:val="231F20"/>
          <w:spacing w:val="-21"/>
          <w:w w:val="105"/>
        </w:rPr>
        <w:t> </w:t>
      </w:r>
      <w:r>
        <w:rPr>
          <w:color w:val="231F20"/>
          <w:w w:val="105"/>
        </w:rPr>
        <w:t>se</w:t>
      </w:r>
      <w:r>
        <w:rPr>
          <w:color w:val="231F20"/>
          <w:spacing w:val="-21"/>
          <w:w w:val="105"/>
        </w:rPr>
        <w:t> </w:t>
      </w:r>
      <w:r>
        <w:rPr>
          <w:color w:val="231F20"/>
          <w:w w:val="105"/>
        </w:rPr>
        <w:t>ajustan</w:t>
      </w:r>
      <w:r>
        <w:rPr>
          <w:color w:val="231F20"/>
          <w:spacing w:val="-21"/>
          <w:w w:val="105"/>
        </w:rPr>
        <w:t> </w:t>
      </w:r>
      <w:r>
        <w:rPr>
          <w:color w:val="231F20"/>
          <w:w w:val="105"/>
        </w:rPr>
        <w:t>en</w:t>
      </w:r>
      <w:r>
        <w:rPr>
          <w:color w:val="231F20"/>
          <w:spacing w:val="-21"/>
          <w:w w:val="105"/>
        </w:rPr>
        <w:t> </w:t>
      </w:r>
      <w:r>
        <w:rPr>
          <w:color w:val="231F20"/>
          <w:w w:val="105"/>
        </w:rPr>
        <w:t>función</w:t>
      </w:r>
      <w:r>
        <w:rPr>
          <w:color w:val="231F20"/>
          <w:spacing w:val="-21"/>
          <w:w w:val="105"/>
        </w:rPr>
        <w:t> </w:t>
      </w:r>
      <w:r>
        <w:rPr>
          <w:color w:val="231F20"/>
          <w:w w:val="105"/>
        </w:rPr>
        <w:t>del</w:t>
      </w:r>
      <w:r>
        <w:rPr>
          <w:color w:val="231F20"/>
          <w:spacing w:val="-21"/>
          <w:w w:val="105"/>
        </w:rPr>
        <w:t> </w:t>
      </w:r>
      <w:r>
        <w:rPr>
          <w:color w:val="231F20"/>
          <w:w w:val="105"/>
        </w:rPr>
        <w:t>exceso</w:t>
      </w:r>
      <w:r>
        <w:rPr>
          <w:color w:val="231F20"/>
          <w:spacing w:val="-21"/>
          <w:w w:val="105"/>
        </w:rPr>
        <w:t> </w:t>
      </w:r>
      <w:r>
        <w:rPr>
          <w:color w:val="231F20"/>
          <w:w w:val="105"/>
        </w:rPr>
        <w:t>de</w:t>
      </w:r>
      <w:r>
        <w:rPr>
          <w:color w:val="231F20"/>
          <w:spacing w:val="-21"/>
          <w:w w:val="105"/>
        </w:rPr>
        <w:t> </w:t>
      </w:r>
      <w:r>
        <w:rPr>
          <w:color w:val="231F20"/>
          <w:w w:val="105"/>
        </w:rPr>
        <w:t>demanda</w:t>
      </w:r>
      <w:r>
        <w:rPr>
          <w:color w:val="231F20"/>
          <w:spacing w:val="-21"/>
          <w:w w:val="105"/>
        </w:rPr>
        <w:t> </w:t>
      </w:r>
      <w:r>
        <w:rPr>
          <w:color w:val="231F20"/>
          <w:w w:val="105"/>
        </w:rPr>
        <w:t>laboral:</w:t>
      </w:r>
      <w:r>
        <w:rPr>
          <w:color w:val="231F20"/>
          <w:spacing w:val="-21"/>
          <w:w w:val="105"/>
        </w:rPr>
        <w:t> </w:t>
      </w:r>
      <w:r>
        <w:rPr>
          <w:color w:val="231F20"/>
          <w:w w:val="105"/>
        </w:rPr>
        <w:t>suben</w:t>
      </w:r>
      <w:r>
        <w:rPr>
          <w:color w:val="231F20"/>
          <w:spacing w:val="-21"/>
          <w:w w:val="105"/>
        </w:rPr>
        <w:t> </w:t>
      </w:r>
      <w:r>
        <w:rPr>
          <w:color w:val="231F20"/>
          <w:w w:val="105"/>
        </w:rPr>
        <w:t>cuan- do hay exceso de demanda laboral y con exceso de oferta de trabajo caen</w:t>
      </w:r>
      <w:r>
        <w:rPr>
          <w:color w:val="231F20"/>
          <w:spacing w:val="-9"/>
          <w:w w:val="105"/>
        </w:rPr>
        <w:t> </w:t>
      </w:r>
      <w:r>
        <w:rPr>
          <w:color w:val="231F20"/>
          <w:w w:val="105"/>
        </w:rPr>
        <w:t>los</w:t>
      </w:r>
      <w:r>
        <w:rPr>
          <w:color w:val="231F20"/>
          <w:spacing w:val="-9"/>
          <w:w w:val="105"/>
        </w:rPr>
        <w:t> </w:t>
      </w:r>
      <w:r>
        <w:rPr>
          <w:color w:val="231F20"/>
          <w:w w:val="105"/>
        </w:rPr>
        <w:t>salarios.</w:t>
      </w:r>
      <w:r>
        <w:rPr>
          <w:color w:val="231F20"/>
          <w:spacing w:val="-15"/>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equilibrio</w:t>
      </w:r>
      <w:r>
        <w:rPr>
          <w:color w:val="231F20"/>
          <w:spacing w:val="-9"/>
          <w:w w:val="105"/>
        </w:rPr>
        <w:t> </w:t>
      </w:r>
      <w:r>
        <w:rPr>
          <w:color w:val="231F20"/>
          <w:w w:val="105"/>
        </w:rPr>
        <w:t>del</w:t>
      </w:r>
      <w:r>
        <w:rPr>
          <w:color w:val="231F20"/>
          <w:spacing w:val="-9"/>
          <w:w w:val="105"/>
        </w:rPr>
        <w:t> </w:t>
      </w:r>
      <w:r>
        <w:rPr>
          <w:color w:val="231F20"/>
          <w:w w:val="105"/>
        </w:rPr>
        <w:t>mercado</w:t>
      </w:r>
      <w:r>
        <w:rPr>
          <w:color w:val="231F20"/>
          <w:spacing w:val="-9"/>
          <w:w w:val="105"/>
        </w:rPr>
        <w:t> </w:t>
      </w:r>
      <w:r>
        <w:rPr>
          <w:color w:val="231F20"/>
          <w:w w:val="105"/>
        </w:rPr>
        <w:t>laboral</w:t>
      </w:r>
      <w:r>
        <w:rPr>
          <w:color w:val="231F20"/>
          <w:spacing w:val="-9"/>
          <w:w w:val="105"/>
        </w:rPr>
        <w:t> </w:t>
      </w:r>
      <w:r>
        <w:rPr>
          <w:color w:val="231F20"/>
          <w:w w:val="105"/>
        </w:rPr>
        <w:t>hay</w:t>
      </w:r>
      <w:r>
        <w:rPr>
          <w:color w:val="231F20"/>
          <w:spacing w:val="-9"/>
          <w:w w:val="105"/>
        </w:rPr>
        <w:t> </w:t>
      </w:r>
      <w:r>
        <w:rPr>
          <w:color w:val="231F20"/>
          <w:w w:val="105"/>
        </w:rPr>
        <w:t>pleno</w:t>
      </w:r>
      <w:r>
        <w:rPr>
          <w:color w:val="231F20"/>
          <w:spacing w:val="-9"/>
          <w:w w:val="105"/>
        </w:rPr>
        <w:t> </w:t>
      </w:r>
      <w:r>
        <w:rPr>
          <w:color w:val="231F20"/>
          <w:w w:val="105"/>
        </w:rPr>
        <w:t>empleo y</w:t>
      </w:r>
      <w:r>
        <w:rPr>
          <w:color w:val="231F20"/>
          <w:spacing w:val="-32"/>
          <w:w w:val="105"/>
        </w:rPr>
        <w:t> </w:t>
      </w:r>
      <w:r>
        <w:rPr>
          <w:color w:val="231F20"/>
          <w:w w:val="105"/>
        </w:rPr>
        <w:t>los</w:t>
      </w:r>
      <w:r>
        <w:rPr>
          <w:color w:val="231F20"/>
          <w:spacing w:val="-32"/>
          <w:w w:val="105"/>
        </w:rPr>
        <w:t> </w:t>
      </w:r>
      <w:r>
        <w:rPr>
          <w:color w:val="231F20"/>
          <w:w w:val="105"/>
        </w:rPr>
        <w:t>salarios</w:t>
      </w:r>
      <w:r>
        <w:rPr>
          <w:color w:val="231F20"/>
          <w:spacing w:val="-32"/>
          <w:w w:val="105"/>
        </w:rPr>
        <w:t> </w:t>
      </w:r>
      <w:r>
        <w:rPr>
          <w:color w:val="231F20"/>
          <w:w w:val="105"/>
        </w:rPr>
        <w:t>no</w:t>
      </w:r>
      <w:r>
        <w:rPr>
          <w:color w:val="231F20"/>
          <w:spacing w:val="-32"/>
          <w:w w:val="105"/>
        </w:rPr>
        <w:t> </w:t>
      </w:r>
      <w:r>
        <w:rPr>
          <w:color w:val="231F20"/>
          <w:w w:val="105"/>
        </w:rPr>
        <w:t>cambian</w:t>
      </w:r>
      <w:r>
        <w:rPr>
          <w:color w:val="231F20"/>
          <w:spacing w:val="-32"/>
          <w:w w:val="105"/>
        </w:rPr>
        <w:t> </w:t>
      </w:r>
      <w:r>
        <w:rPr>
          <w:color w:val="231F20"/>
          <w:w w:val="105"/>
        </w:rPr>
        <w:t>(Lipsey,</w:t>
      </w:r>
      <w:r>
        <w:rPr>
          <w:color w:val="231F20"/>
          <w:spacing w:val="-36"/>
          <w:w w:val="105"/>
        </w:rPr>
        <w:t> </w:t>
      </w:r>
      <w:r>
        <w:rPr>
          <w:color w:val="231F20"/>
          <w:w w:val="105"/>
        </w:rPr>
        <w:t>1960).</w:t>
      </w:r>
    </w:p>
    <w:p>
      <w:pPr>
        <w:pStyle w:val="BodyText"/>
        <w:spacing w:line="259" w:lineRule="auto"/>
        <w:ind w:left="103" w:right="109" w:firstLine="567"/>
        <w:jc w:val="right"/>
      </w:pPr>
      <w:r>
        <w:rPr>
          <w:color w:val="231F20"/>
          <w:w w:val="105"/>
        </w:rPr>
        <w:t>Bajo</w:t>
      </w:r>
      <w:r>
        <w:rPr>
          <w:color w:val="231F20"/>
          <w:spacing w:val="-10"/>
          <w:w w:val="105"/>
        </w:rPr>
        <w:t> </w:t>
      </w:r>
      <w:r>
        <w:rPr>
          <w:color w:val="231F20"/>
          <w:w w:val="105"/>
        </w:rPr>
        <w:t>este</w:t>
      </w:r>
      <w:r>
        <w:rPr>
          <w:color w:val="231F20"/>
          <w:spacing w:val="-10"/>
          <w:w w:val="105"/>
        </w:rPr>
        <w:t> </w:t>
      </w:r>
      <w:r>
        <w:rPr>
          <w:color w:val="231F20"/>
          <w:w w:val="105"/>
        </w:rPr>
        <w:t>esquema,</w:t>
      </w:r>
      <w:r>
        <w:rPr>
          <w:color w:val="231F20"/>
          <w:spacing w:val="-15"/>
          <w:w w:val="105"/>
        </w:rPr>
        <w:t> </w:t>
      </w:r>
      <w:r>
        <w:rPr>
          <w:color w:val="231F20"/>
          <w:w w:val="105"/>
        </w:rPr>
        <w:t>Phillips</w:t>
      </w:r>
      <w:r>
        <w:rPr>
          <w:color w:val="231F20"/>
          <w:spacing w:val="-10"/>
          <w:w w:val="105"/>
        </w:rPr>
        <w:t> </w:t>
      </w:r>
      <w:r>
        <w:rPr>
          <w:color w:val="231F20"/>
          <w:w w:val="105"/>
        </w:rPr>
        <w:t>(1958)</w:t>
      </w:r>
      <w:r>
        <w:rPr>
          <w:color w:val="231F20"/>
          <w:spacing w:val="-10"/>
          <w:w w:val="105"/>
        </w:rPr>
        <w:t> </w:t>
      </w:r>
      <w:r>
        <w:rPr>
          <w:color w:val="231F20"/>
          <w:w w:val="105"/>
        </w:rPr>
        <w:t>desarrolló</w:t>
      </w:r>
      <w:r>
        <w:rPr>
          <w:color w:val="231F20"/>
          <w:spacing w:val="-10"/>
          <w:w w:val="105"/>
        </w:rPr>
        <w:t> </w:t>
      </w:r>
      <w:r>
        <w:rPr>
          <w:color w:val="231F20"/>
          <w:w w:val="105"/>
        </w:rPr>
        <w:t>un</w:t>
      </w:r>
      <w:r>
        <w:rPr>
          <w:color w:val="231F20"/>
          <w:spacing w:val="-10"/>
          <w:w w:val="105"/>
        </w:rPr>
        <w:t> </w:t>
      </w:r>
      <w:r>
        <w:rPr>
          <w:color w:val="231F20"/>
          <w:w w:val="105"/>
        </w:rPr>
        <w:t>modelo</w:t>
      </w:r>
      <w:r>
        <w:rPr>
          <w:color w:val="231F20"/>
          <w:spacing w:val="-10"/>
          <w:w w:val="105"/>
        </w:rPr>
        <w:t> </w:t>
      </w:r>
      <w:r>
        <w:rPr>
          <w:color w:val="231F20"/>
          <w:w w:val="105"/>
        </w:rPr>
        <w:t>curva</w:t>
      </w:r>
      <w:r>
        <w:rPr>
          <w:color w:val="231F20"/>
          <w:spacing w:val="-10"/>
          <w:w w:val="105"/>
        </w:rPr>
        <w:t> </w:t>
      </w:r>
      <w:r>
        <w:rPr>
          <w:color w:val="231F20"/>
          <w:w w:val="105"/>
        </w:rPr>
        <w:t>de</w:t>
      </w:r>
      <w:r>
        <w:rPr>
          <w:color w:val="231F20"/>
          <w:w w:val="108"/>
        </w:rPr>
        <w:t> </w:t>
      </w:r>
      <w:r>
        <w:rPr>
          <w:color w:val="231F20"/>
          <w:w w:val="105"/>
        </w:rPr>
        <w:t>Phillips,</w:t>
      </w:r>
      <w:r>
        <w:rPr>
          <w:color w:val="231F20"/>
          <w:spacing w:val="-31"/>
          <w:w w:val="105"/>
        </w:rPr>
        <w:t> </w:t>
      </w:r>
      <w:r>
        <w:rPr>
          <w:color w:val="231F20"/>
          <w:w w:val="105"/>
        </w:rPr>
        <w:t>más</w:t>
      </w:r>
      <w:r>
        <w:rPr>
          <w:color w:val="231F20"/>
          <w:spacing w:val="-25"/>
          <w:w w:val="105"/>
        </w:rPr>
        <w:t> </w:t>
      </w:r>
      <w:r>
        <w:rPr>
          <w:color w:val="231F20"/>
          <w:w w:val="105"/>
        </w:rPr>
        <w:t>de</w:t>
      </w:r>
      <w:r>
        <w:rPr>
          <w:color w:val="231F20"/>
          <w:spacing w:val="-25"/>
          <w:w w:val="105"/>
        </w:rPr>
        <w:t> </w:t>
      </w:r>
      <w:r>
        <w:rPr>
          <w:color w:val="231F20"/>
          <w:w w:val="105"/>
        </w:rPr>
        <w:t>carácter</w:t>
      </w:r>
      <w:r>
        <w:rPr>
          <w:color w:val="231F20"/>
          <w:spacing w:val="-25"/>
          <w:w w:val="105"/>
        </w:rPr>
        <w:t> </w:t>
      </w:r>
      <w:r>
        <w:rPr>
          <w:color w:val="231F20"/>
          <w:w w:val="105"/>
        </w:rPr>
        <w:t>empírico,</w:t>
      </w:r>
      <w:r>
        <w:rPr>
          <w:color w:val="231F20"/>
          <w:spacing w:val="-31"/>
          <w:w w:val="105"/>
        </w:rPr>
        <w:t> </w:t>
      </w:r>
      <w:r>
        <w:rPr>
          <w:color w:val="231F20"/>
          <w:w w:val="105"/>
        </w:rPr>
        <w:t>para</w:t>
      </w:r>
      <w:r>
        <w:rPr>
          <w:color w:val="231F20"/>
          <w:spacing w:val="-25"/>
          <w:w w:val="105"/>
        </w:rPr>
        <w:t> </w:t>
      </w:r>
      <w:r>
        <w:rPr>
          <w:color w:val="231F20"/>
          <w:w w:val="105"/>
        </w:rPr>
        <w:t>explicar</w:t>
      </w:r>
      <w:r>
        <w:rPr>
          <w:color w:val="231F20"/>
          <w:spacing w:val="-25"/>
          <w:w w:val="105"/>
        </w:rPr>
        <w:t> </w:t>
      </w:r>
      <w:r>
        <w:rPr>
          <w:color w:val="231F20"/>
          <w:w w:val="105"/>
        </w:rPr>
        <w:t>originalmente</w:t>
      </w:r>
      <w:r>
        <w:rPr>
          <w:color w:val="231F20"/>
          <w:spacing w:val="-25"/>
          <w:w w:val="105"/>
        </w:rPr>
        <w:t> </w:t>
      </w:r>
      <w:r>
        <w:rPr>
          <w:color w:val="231F20"/>
          <w:w w:val="105"/>
        </w:rPr>
        <w:t>la</w:t>
      </w:r>
      <w:r>
        <w:rPr>
          <w:color w:val="231F20"/>
          <w:spacing w:val="-25"/>
          <w:w w:val="105"/>
        </w:rPr>
        <w:t> </w:t>
      </w:r>
      <w:r>
        <w:rPr>
          <w:color w:val="231F20"/>
          <w:w w:val="105"/>
        </w:rPr>
        <w:t>relación</w:t>
      </w:r>
      <w:r>
        <w:rPr>
          <w:color w:val="231F20"/>
          <w:w w:val="104"/>
        </w:rPr>
        <w:t> </w:t>
      </w:r>
      <w:r>
        <w:rPr>
          <w:color w:val="231F20"/>
          <w:w w:val="105"/>
        </w:rPr>
        <w:t>entre salarios nominales y tasa de desempleo, y</w:t>
      </w:r>
      <w:r>
        <w:rPr>
          <w:color w:val="231F20"/>
          <w:spacing w:val="-33"/>
          <w:w w:val="105"/>
        </w:rPr>
        <w:t> </w:t>
      </w:r>
      <w:r>
        <w:rPr>
          <w:color w:val="231F20"/>
          <w:w w:val="105"/>
        </w:rPr>
        <w:t>posteriormente</w:t>
      </w:r>
      <w:r>
        <w:rPr>
          <w:color w:val="231F20"/>
          <w:spacing w:val="-4"/>
          <w:w w:val="105"/>
        </w:rPr>
        <w:t> </w:t>
      </w:r>
      <w:r>
        <w:rPr>
          <w:color w:val="231F20"/>
          <w:w w:val="105"/>
        </w:rPr>
        <w:t>Lipsey</w:t>
      </w:r>
      <w:r>
        <w:rPr>
          <w:color w:val="231F20"/>
          <w:w w:val="100"/>
        </w:rPr>
        <w:t> </w:t>
      </w:r>
      <w:r>
        <w:rPr>
          <w:color w:val="231F20"/>
          <w:w w:val="105"/>
        </w:rPr>
        <w:t>(1960)</w:t>
      </w:r>
      <w:r>
        <w:rPr>
          <w:color w:val="231F20"/>
          <w:spacing w:val="-13"/>
          <w:w w:val="105"/>
        </w:rPr>
        <w:t> </w:t>
      </w:r>
      <w:r>
        <w:rPr>
          <w:color w:val="231F20"/>
          <w:w w:val="105"/>
        </w:rPr>
        <w:t>introdujo</w:t>
      </w:r>
      <w:r>
        <w:rPr>
          <w:color w:val="231F20"/>
          <w:spacing w:val="-13"/>
          <w:w w:val="105"/>
        </w:rPr>
        <w:t> </w:t>
      </w:r>
      <w:r>
        <w:rPr>
          <w:color w:val="231F20"/>
          <w:w w:val="105"/>
        </w:rPr>
        <w:t>el</w:t>
      </w:r>
      <w:r>
        <w:rPr>
          <w:color w:val="231F20"/>
          <w:spacing w:val="-13"/>
          <w:w w:val="105"/>
        </w:rPr>
        <w:t> </w:t>
      </w:r>
      <w:r>
        <w:rPr>
          <w:color w:val="231F20"/>
          <w:w w:val="105"/>
        </w:rPr>
        <w:t>sustento</w:t>
      </w:r>
      <w:r>
        <w:rPr>
          <w:color w:val="231F20"/>
          <w:spacing w:val="-13"/>
          <w:w w:val="105"/>
        </w:rPr>
        <w:t> </w:t>
      </w:r>
      <w:r>
        <w:rPr>
          <w:color w:val="231F20"/>
          <w:w w:val="105"/>
        </w:rPr>
        <w:t>teórico</w:t>
      </w:r>
      <w:r>
        <w:rPr>
          <w:color w:val="231F20"/>
          <w:spacing w:val="-13"/>
          <w:w w:val="105"/>
        </w:rPr>
        <w:t> </w:t>
      </w:r>
      <w:r>
        <w:rPr>
          <w:color w:val="231F20"/>
          <w:w w:val="105"/>
        </w:rPr>
        <w:t>para</w:t>
      </w:r>
      <w:r>
        <w:rPr>
          <w:color w:val="231F20"/>
          <w:spacing w:val="-13"/>
          <w:w w:val="105"/>
        </w:rPr>
        <w:t> </w:t>
      </w:r>
      <w:r>
        <w:rPr>
          <w:color w:val="231F20"/>
          <w:w w:val="105"/>
        </w:rPr>
        <w:t>analizar</w:t>
      </w:r>
      <w:r>
        <w:rPr>
          <w:color w:val="231F20"/>
          <w:spacing w:val="-13"/>
          <w:w w:val="105"/>
        </w:rPr>
        <w:t> </w:t>
      </w:r>
      <w:r>
        <w:rPr>
          <w:color w:val="231F20"/>
          <w:w w:val="105"/>
        </w:rPr>
        <w:t>el</w:t>
      </w:r>
      <w:r>
        <w:rPr>
          <w:color w:val="231F20"/>
          <w:spacing w:val="-13"/>
          <w:w w:val="105"/>
        </w:rPr>
        <w:t> </w:t>
      </w:r>
      <w:r>
        <w:rPr>
          <w:color w:val="231F20"/>
          <w:w w:val="105"/>
        </w:rPr>
        <w:t>intercambio</w:t>
      </w:r>
      <w:r>
        <w:rPr>
          <w:color w:val="231F20"/>
          <w:spacing w:val="-13"/>
          <w:w w:val="105"/>
        </w:rPr>
        <w:t> </w:t>
      </w:r>
      <w:r>
        <w:rPr>
          <w:color w:val="231F20"/>
          <w:w w:val="105"/>
        </w:rPr>
        <w:t>entre</w:t>
      </w:r>
      <w:r>
        <w:rPr>
          <w:color w:val="231F20"/>
          <w:spacing w:val="-13"/>
          <w:w w:val="105"/>
        </w:rPr>
        <w:t> </w:t>
      </w:r>
      <w:r>
        <w:rPr>
          <w:color w:val="231F20"/>
          <w:w w:val="105"/>
        </w:rPr>
        <w:t>in-</w:t>
      </w:r>
      <w:r>
        <w:rPr>
          <w:color w:val="231F20"/>
          <w:w w:val="96"/>
        </w:rPr>
        <w:t> </w:t>
      </w:r>
      <w:r>
        <w:rPr>
          <w:color w:val="231F20"/>
          <w:w w:val="105"/>
        </w:rPr>
        <w:t>flación</w:t>
      </w:r>
      <w:r>
        <w:rPr>
          <w:color w:val="231F20"/>
          <w:spacing w:val="-8"/>
          <w:w w:val="105"/>
        </w:rPr>
        <w:t> </w:t>
      </w:r>
      <w:r>
        <w:rPr>
          <w:color w:val="231F20"/>
          <w:w w:val="105"/>
        </w:rPr>
        <w:t>y</w:t>
      </w:r>
      <w:r>
        <w:rPr>
          <w:color w:val="231F20"/>
          <w:spacing w:val="-8"/>
          <w:w w:val="105"/>
        </w:rPr>
        <w:t> </w:t>
      </w:r>
      <w:r>
        <w:rPr>
          <w:color w:val="231F20"/>
          <w:w w:val="105"/>
        </w:rPr>
        <w:t>desempleo,</w:t>
      </w:r>
      <w:r>
        <w:rPr>
          <w:color w:val="231F20"/>
          <w:spacing w:val="-14"/>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permitió</w:t>
      </w:r>
      <w:r>
        <w:rPr>
          <w:color w:val="231F20"/>
          <w:spacing w:val="-8"/>
          <w:w w:val="105"/>
        </w:rPr>
        <w:t> </w:t>
      </w:r>
      <w:r>
        <w:rPr>
          <w:color w:val="231F20"/>
          <w:w w:val="105"/>
        </w:rPr>
        <w:t>proponer</w:t>
      </w:r>
      <w:r>
        <w:rPr>
          <w:color w:val="231F20"/>
          <w:spacing w:val="-8"/>
          <w:w w:val="105"/>
        </w:rPr>
        <w:t> </w:t>
      </w:r>
      <w:r>
        <w:rPr>
          <w:color w:val="231F20"/>
          <w:w w:val="105"/>
        </w:rPr>
        <w:t>una</w:t>
      </w:r>
      <w:r>
        <w:rPr>
          <w:color w:val="231F20"/>
          <w:spacing w:val="-8"/>
          <w:w w:val="105"/>
        </w:rPr>
        <w:t> </w:t>
      </w:r>
      <w:r>
        <w:rPr>
          <w:color w:val="231F20"/>
          <w:w w:val="105"/>
        </w:rPr>
        <w:t>curva</w:t>
      </w:r>
      <w:r>
        <w:rPr>
          <w:color w:val="231F20"/>
          <w:spacing w:val="-8"/>
          <w:w w:val="105"/>
        </w:rPr>
        <w:t> </w:t>
      </w:r>
      <w:r>
        <w:rPr>
          <w:color w:val="231F20"/>
          <w:w w:val="105"/>
        </w:rPr>
        <w:t>de</w:t>
      </w:r>
      <w:r>
        <w:rPr>
          <w:color w:val="231F20"/>
          <w:spacing w:val="-8"/>
          <w:w w:val="105"/>
        </w:rPr>
        <w:t> </w:t>
      </w:r>
      <w:r>
        <w:rPr>
          <w:color w:val="231F20"/>
          <w:w w:val="105"/>
        </w:rPr>
        <w:t>oferta</w:t>
      </w:r>
      <w:r>
        <w:rPr>
          <w:color w:val="231F20"/>
          <w:spacing w:val="-8"/>
          <w:w w:val="105"/>
        </w:rPr>
        <w:t> </w:t>
      </w:r>
      <w:r>
        <w:rPr>
          <w:color w:val="231F20"/>
          <w:w w:val="105"/>
        </w:rPr>
        <w:t>agre-</w:t>
      </w:r>
      <w:r>
        <w:rPr>
          <w:color w:val="231F20"/>
          <w:w w:val="96"/>
        </w:rPr>
        <w:t> </w:t>
      </w:r>
      <w:r>
        <w:rPr>
          <w:color w:val="231F20"/>
          <w:w w:val="105"/>
        </w:rPr>
        <w:t>gada</w:t>
      </w:r>
      <w:r>
        <w:rPr>
          <w:color w:val="231F20"/>
          <w:spacing w:val="-23"/>
          <w:w w:val="105"/>
        </w:rPr>
        <w:t> </w:t>
      </w:r>
      <w:r>
        <w:rPr>
          <w:color w:val="231F20"/>
          <w:w w:val="105"/>
        </w:rPr>
        <w:t>más</w:t>
      </w:r>
      <w:r>
        <w:rPr>
          <w:color w:val="231F20"/>
          <w:spacing w:val="-23"/>
          <w:w w:val="105"/>
        </w:rPr>
        <w:t> </w:t>
      </w:r>
      <w:r>
        <w:rPr>
          <w:color w:val="231F20"/>
          <w:w w:val="105"/>
        </w:rPr>
        <w:t>parecida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largo</w:t>
      </w:r>
      <w:r>
        <w:rPr>
          <w:color w:val="231F20"/>
          <w:spacing w:val="-23"/>
          <w:w w:val="105"/>
        </w:rPr>
        <w:t> </w:t>
      </w:r>
      <w:r>
        <w:rPr>
          <w:color w:val="231F20"/>
          <w:w w:val="105"/>
        </w:rPr>
        <w:t>plazo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teoría</w:t>
      </w:r>
      <w:r>
        <w:rPr>
          <w:color w:val="231F20"/>
          <w:spacing w:val="-23"/>
          <w:w w:val="105"/>
        </w:rPr>
        <w:t> </w:t>
      </w:r>
      <w:r>
        <w:rPr>
          <w:color w:val="231F20"/>
          <w:w w:val="105"/>
        </w:rPr>
        <w:t>neoclásica</w:t>
      </w:r>
      <w:r>
        <w:rPr>
          <w:color w:val="231F20"/>
          <w:spacing w:val="-23"/>
          <w:w w:val="105"/>
        </w:rPr>
        <w:t> </w:t>
      </w:r>
      <w:r>
        <w:rPr>
          <w:color w:val="231F20"/>
          <w:w w:val="105"/>
        </w:rPr>
        <w:t>(vertical),</w:t>
      </w:r>
      <w:r>
        <w:rPr>
          <w:color w:val="231F20"/>
          <w:w w:val="100"/>
        </w:rPr>
        <w:t> </w:t>
      </w:r>
      <w:r>
        <w:rPr>
          <w:color w:val="231F20"/>
          <w:w w:val="105"/>
        </w:rPr>
        <w:t>pues considera que el mercado laboral funciona con</w:t>
      </w:r>
      <w:r>
        <w:rPr>
          <w:color w:val="231F20"/>
          <w:spacing w:val="57"/>
          <w:w w:val="105"/>
        </w:rPr>
        <w:t> </w:t>
      </w:r>
      <w:r>
        <w:rPr>
          <w:color w:val="231F20"/>
          <w:w w:val="105"/>
        </w:rPr>
        <w:t>salarios</w:t>
      </w:r>
      <w:r>
        <w:rPr>
          <w:color w:val="231F20"/>
          <w:spacing w:val="7"/>
          <w:w w:val="105"/>
        </w:rPr>
        <w:t> </w:t>
      </w:r>
      <w:r>
        <w:rPr>
          <w:color w:val="231F20"/>
          <w:w w:val="105"/>
        </w:rPr>
        <w:t>flexibles,</w:t>
      </w:r>
      <w:r>
        <w:rPr>
          <w:color w:val="231F20"/>
          <w:w w:val="102"/>
        </w:rPr>
        <w:t> </w:t>
      </w:r>
      <w:r>
        <w:rPr>
          <w:color w:val="231F20"/>
          <w:w w:val="105"/>
        </w:rPr>
        <w:t>aunque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corto</w:t>
      </w:r>
      <w:r>
        <w:rPr>
          <w:color w:val="231F20"/>
          <w:spacing w:val="-9"/>
          <w:w w:val="105"/>
        </w:rPr>
        <w:t> </w:t>
      </w:r>
      <w:r>
        <w:rPr>
          <w:color w:val="231F20"/>
          <w:w w:val="105"/>
        </w:rPr>
        <w:t>plazo</w:t>
      </w:r>
      <w:r>
        <w:rPr>
          <w:color w:val="231F20"/>
          <w:spacing w:val="-9"/>
          <w:w w:val="105"/>
        </w:rPr>
        <w:t> </w:t>
      </w:r>
      <w:r>
        <w:rPr>
          <w:color w:val="231F20"/>
          <w:w w:val="105"/>
        </w:rPr>
        <w:t>sea</w:t>
      </w:r>
      <w:r>
        <w:rPr>
          <w:color w:val="231F20"/>
          <w:spacing w:val="-9"/>
          <w:w w:val="105"/>
        </w:rPr>
        <w:t> </w:t>
      </w:r>
      <w:r>
        <w:rPr>
          <w:color w:val="231F20"/>
          <w:w w:val="105"/>
        </w:rPr>
        <w:t>algo</w:t>
      </w:r>
      <w:r>
        <w:rPr>
          <w:color w:val="231F20"/>
          <w:spacing w:val="-9"/>
          <w:w w:val="105"/>
        </w:rPr>
        <w:t> </w:t>
      </w:r>
      <w:r>
        <w:rPr>
          <w:color w:val="231F20"/>
          <w:w w:val="105"/>
        </w:rPr>
        <w:t>rígido.</w:t>
      </w:r>
      <w:r>
        <w:rPr>
          <w:color w:val="231F20"/>
          <w:spacing w:val="-14"/>
          <w:w w:val="105"/>
        </w:rPr>
        <w:t> </w:t>
      </w:r>
      <w:r>
        <w:rPr>
          <w:color w:val="231F20"/>
          <w:spacing w:val="-6"/>
          <w:w w:val="105"/>
        </w:rPr>
        <w:t>Por</w:t>
      </w:r>
      <w:r>
        <w:rPr>
          <w:color w:val="231F20"/>
          <w:spacing w:val="-9"/>
          <w:w w:val="105"/>
        </w:rPr>
        <w:t> </w:t>
      </w:r>
      <w:r>
        <w:rPr>
          <w:color w:val="231F20"/>
          <w:w w:val="105"/>
        </w:rPr>
        <w:t>ello,</w:t>
      </w:r>
      <w:r>
        <w:rPr>
          <w:color w:val="231F20"/>
          <w:spacing w:val="-14"/>
          <w:w w:val="105"/>
        </w:rPr>
        <w:t> </w:t>
      </w:r>
      <w:r>
        <w:rPr>
          <w:color w:val="231F20"/>
          <w:w w:val="105"/>
        </w:rPr>
        <w:t>el</w:t>
      </w:r>
      <w:r>
        <w:rPr>
          <w:color w:val="231F20"/>
          <w:spacing w:val="-9"/>
          <w:w w:val="105"/>
        </w:rPr>
        <w:t> </w:t>
      </w:r>
      <w:r>
        <w:rPr>
          <w:color w:val="231F20"/>
          <w:w w:val="105"/>
        </w:rPr>
        <w:t>enfoque</w:t>
      </w:r>
      <w:r>
        <w:rPr>
          <w:color w:val="231F20"/>
          <w:spacing w:val="-9"/>
          <w:w w:val="105"/>
        </w:rPr>
        <w:t> </w:t>
      </w:r>
      <w:r>
        <w:rPr>
          <w:color w:val="231F20"/>
          <w:w w:val="105"/>
        </w:rPr>
        <w:t>neokeyne-</w:t>
      </w:r>
      <w:r>
        <w:rPr>
          <w:color w:val="231F20"/>
          <w:w w:val="96"/>
        </w:rPr>
        <w:t> </w:t>
      </w:r>
      <w:r>
        <w:rPr>
          <w:color w:val="231F20"/>
          <w:w w:val="105"/>
        </w:rPr>
        <w:t>siano</w:t>
      </w:r>
      <w:r>
        <w:rPr>
          <w:color w:val="231F20"/>
          <w:spacing w:val="-6"/>
          <w:w w:val="105"/>
        </w:rPr>
        <w:t> </w:t>
      </w:r>
      <w:r>
        <w:rPr>
          <w:color w:val="231F20"/>
          <w:w w:val="105"/>
        </w:rPr>
        <w:t>asume</w:t>
      </w:r>
      <w:r>
        <w:rPr>
          <w:color w:val="231F20"/>
          <w:spacing w:val="-6"/>
          <w:w w:val="105"/>
        </w:rPr>
        <w:t> </w:t>
      </w:r>
      <w:r>
        <w:rPr>
          <w:color w:val="231F20"/>
          <w:w w:val="105"/>
        </w:rPr>
        <w:t>la</w:t>
      </w:r>
      <w:r>
        <w:rPr>
          <w:color w:val="231F20"/>
          <w:spacing w:val="-6"/>
          <w:w w:val="105"/>
        </w:rPr>
        <w:t> </w:t>
      </w:r>
      <w:r>
        <w:rPr>
          <w:color w:val="231F20"/>
          <w:w w:val="105"/>
        </w:rPr>
        <w:t>rigidez</w:t>
      </w:r>
      <w:r>
        <w:rPr>
          <w:color w:val="231F20"/>
          <w:spacing w:val="-6"/>
          <w:w w:val="105"/>
        </w:rPr>
        <w:t> </w:t>
      </w:r>
      <w:r>
        <w:rPr>
          <w:color w:val="231F20"/>
          <w:w w:val="105"/>
        </w:rPr>
        <w:t>exógena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nivel</w:t>
      </w:r>
      <w:r>
        <w:rPr>
          <w:color w:val="231F20"/>
          <w:spacing w:val="-6"/>
          <w:w w:val="105"/>
        </w:rPr>
        <w:t> </w:t>
      </w:r>
      <w:r>
        <w:rPr>
          <w:color w:val="231F20"/>
          <w:w w:val="105"/>
        </w:rPr>
        <w:t>de</w:t>
      </w:r>
      <w:r>
        <w:rPr>
          <w:color w:val="231F20"/>
          <w:spacing w:val="-6"/>
          <w:w w:val="105"/>
        </w:rPr>
        <w:t> </w:t>
      </w:r>
      <w:r>
        <w:rPr>
          <w:color w:val="231F20"/>
          <w:w w:val="105"/>
        </w:rPr>
        <w:t>precios,</w:t>
      </w:r>
      <w:r>
        <w:rPr>
          <w:color w:val="231F20"/>
          <w:spacing w:val="-11"/>
          <w:w w:val="105"/>
        </w:rPr>
        <w:t> </w:t>
      </w:r>
      <w:r>
        <w:rPr>
          <w:color w:val="231F20"/>
          <w:w w:val="105"/>
        </w:rPr>
        <w:t>mientras</w:t>
      </w:r>
      <w:r>
        <w:rPr>
          <w:color w:val="231F20"/>
          <w:spacing w:val="-6"/>
          <w:w w:val="105"/>
        </w:rPr>
        <w:t> </w:t>
      </w:r>
      <w:r>
        <w:rPr>
          <w:color w:val="231F20"/>
          <w:w w:val="105"/>
        </w:rPr>
        <w:t>que</w:t>
      </w:r>
      <w:r>
        <w:rPr>
          <w:color w:val="231F20"/>
          <w:spacing w:val="-6"/>
          <w:w w:val="105"/>
        </w:rPr>
        <w:t> </w:t>
      </w:r>
      <w:r>
        <w:rPr>
          <w:color w:val="231F20"/>
          <w:w w:val="105"/>
        </w:rPr>
        <w:t>los</w:t>
      </w:r>
      <w:r>
        <w:rPr>
          <w:color w:val="231F20"/>
          <w:w w:val="102"/>
        </w:rPr>
        <w:t> </w:t>
      </w:r>
      <w:r>
        <w:rPr>
          <w:color w:val="231F20"/>
          <w:w w:val="105"/>
        </w:rPr>
        <w:t>keynesianos</w:t>
      </w:r>
      <w:r>
        <w:rPr>
          <w:color w:val="231F20"/>
          <w:spacing w:val="-30"/>
          <w:w w:val="105"/>
        </w:rPr>
        <w:t> </w:t>
      </w:r>
      <w:r>
        <w:rPr>
          <w:color w:val="231F20"/>
          <w:w w:val="105"/>
        </w:rPr>
        <w:t>suponen</w:t>
      </w:r>
      <w:r>
        <w:rPr>
          <w:color w:val="231F20"/>
          <w:spacing w:val="-30"/>
          <w:w w:val="105"/>
        </w:rPr>
        <w:t> </w:t>
      </w:r>
      <w:r>
        <w:rPr>
          <w:color w:val="231F20"/>
          <w:w w:val="105"/>
        </w:rPr>
        <w:t>que</w:t>
      </w:r>
      <w:r>
        <w:rPr>
          <w:color w:val="231F20"/>
          <w:spacing w:val="-30"/>
          <w:w w:val="105"/>
        </w:rPr>
        <w:t> </w:t>
      </w:r>
      <w:r>
        <w:rPr>
          <w:color w:val="231F20"/>
          <w:w w:val="105"/>
        </w:rPr>
        <w:t>el</w:t>
      </w:r>
      <w:r>
        <w:rPr>
          <w:color w:val="231F20"/>
          <w:spacing w:val="-30"/>
          <w:w w:val="105"/>
        </w:rPr>
        <w:t> </w:t>
      </w:r>
      <w:r>
        <w:rPr>
          <w:color w:val="231F20"/>
          <w:w w:val="105"/>
        </w:rPr>
        <w:t>salario</w:t>
      </w:r>
      <w:r>
        <w:rPr>
          <w:color w:val="231F20"/>
          <w:spacing w:val="-30"/>
          <w:w w:val="105"/>
        </w:rPr>
        <w:t> </w:t>
      </w:r>
      <w:r>
        <w:rPr>
          <w:color w:val="231F20"/>
          <w:w w:val="105"/>
        </w:rPr>
        <w:t>nominal</w:t>
      </w:r>
      <w:r>
        <w:rPr>
          <w:color w:val="231F20"/>
          <w:spacing w:val="-30"/>
          <w:w w:val="105"/>
        </w:rPr>
        <w:t> </w:t>
      </w:r>
      <w:r>
        <w:rPr>
          <w:color w:val="231F20"/>
          <w:w w:val="105"/>
        </w:rPr>
        <w:t>es</w:t>
      </w:r>
      <w:r>
        <w:rPr>
          <w:color w:val="231F20"/>
          <w:spacing w:val="-30"/>
          <w:w w:val="105"/>
        </w:rPr>
        <w:t> </w:t>
      </w:r>
      <w:r>
        <w:rPr>
          <w:color w:val="231F20"/>
          <w:w w:val="105"/>
        </w:rPr>
        <w:t>rígido</w:t>
      </w:r>
      <w:r>
        <w:rPr>
          <w:color w:val="231F20"/>
          <w:spacing w:val="-30"/>
          <w:w w:val="105"/>
        </w:rPr>
        <w:t> </w:t>
      </w:r>
      <w:r>
        <w:rPr>
          <w:color w:val="231F20"/>
          <w:w w:val="105"/>
        </w:rPr>
        <w:t>(León-León,</w:t>
      </w:r>
      <w:r>
        <w:rPr>
          <w:color w:val="231F20"/>
          <w:spacing w:val="-34"/>
          <w:w w:val="105"/>
        </w:rPr>
        <w:t> </w:t>
      </w:r>
      <w:r>
        <w:rPr>
          <w:color w:val="231F20"/>
          <w:w w:val="105"/>
        </w:rPr>
        <w:t>2008).</w:t>
      </w:r>
      <w:r>
        <w:rPr>
          <w:color w:val="231F20"/>
          <w:w w:val="101"/>
        </w:rPr>
        <w:t> </w:t>
      </w:r>
      <w:r>
        <w:rPr>
          <w:color w:val="231F20"/>
          <w:spacing w:val="-6"/>
          <w:w w:val="105"/>
        </w:rPr>
        <w:t>Por</w:t>
      </w:r>
      <w:r>
        <w:rPr>
          <w:color w:val="231F20"/>
          <w:spacing w:val="-20"/>
          <w:w w:val="105"/>
        </w:rPr>
        <w:t> </w:t>
      </w:r>
      <w:r>
        <w:rPr>
          <w:color w:val="231F20"/>
          <w:w w:val="105"/>
        </w:rPr>
        <w:t>su</w:t>
      </w:r>
      <w:r>
        <w:rPr>
          <w:color w:val="231F20"/>
          <w:spacing w:val="-20"/>
          <w:w w:val="105"/>
        </w:rPr>
        <w:t> </w:t>
      </w:r>
      <w:r>
        <w:rPr>
          <w:color w:val="231F20"/>
          <w:w w:val="105"/>
        </w:rPr>
        <w:t>parte,</w:t>
      </w:r>
      <w:r>
        <w:rPr>
          <w:color w:val="231F20"/>
          <w:spacing w:val="-25"/>
          <w:w w:val="105"/>
        </w:rPr>
        <w:t> </w:t>
      </w:r>
      <w:r>
        <w:rPr>
          <w:color w:val="231F20"/>
          <w:w w:val="105"/>
        </w:rPr>
        <w:t>Samuelson</w:t>
      </w:r>
      <w:r>
        <w:rPr>
          <w:color w:val="231F20"/>
          <w:spacing w:val="-20"/>
          <w:w w:val="105"/>
        </w:rPr>
        <w:t> </w:t>
      </w:r>
      <w:r>
        <w:rPr>
          <w:color w:val="231F20"/>
          <w:w w:val="105"/>
        </w:rPr>
        <w:t>y</w:t>
      </w:r>
      <w:r>
        <w:rPr>
          <w:color w:val="231F20"/>
          <w:spacing w:val="-20"/>
          <w:w w:val="105"/>
        </w:rPr>
        <w:t> </w:t>
      </w:r>
      <w:r>
        <w:rPr>
          <w:color w:val="231F20"/>
          <w:w w:val="105"/>
        </w:rPr>
        <w:t>Solow</w:t>
      </w:r>
      <w:r>
        <w:rPr>
          <w:color w:val="231F20"/>
          <w:spacing w:val="-20"/>
          <w:w w:val="105"/>
        </w:rPr>
        <w:t> </w:t>
      </w:r>
      <w:r>
        <w:rPr>
          <w:color w:val="231F20"/>
          <w:w w:val="105"/>
        </w:rPr>
        <w:t>(1960)</w:t>
      </w:r>
      <w:r>
        <w:rPr>
          <w:color w:val="231F20"/>
          <w:spacing w:val="-20"/>
          <w:w w:val="105"/>
        </w:rPr>
        <w:t> </w:t>
      </w:r>
      <w:r>
        <w:rPr>
          <w:color w:val="231F20"/>
          <w:w w:val="105"/>
        </w:rPr>
        <w:t>mostraron</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curva</w:t>
      </w:r>
      <w:r>
        <w:rPr>
          <w:color w:val="231F20"/>
          <w:spacing w:val="-20"/>
          <w:w w:val="105"/>
        </w:rPr>
        <w:t> </w:t>
      </w:r>
      <w:r>
        <w:rPr>
          <w:color w:val="231F20"/>
          <w:w w:val="105"/>
        </w:rPr>
        <w:t>de</w:t>
      </w:r>
      <w:r>
        <w:rPr>
          <w:color w:val="231F20"/>
          <w:w w:val="108"/>
        </w:rPr>
        <w:t> </w:t>
      </w:r>
      <w:r>
        <w:rPr>
          <w:color w:val="231F20"/>
          <w:w w:val="105"/>
        </w:rPr>
        <w:t>Phillips en el largo plazo se torna estable, de tal forma que</w:t>
      </w:r>
      <w:r>
        <w:rPr>
          <w:color w:val="231F20"/>
          <w:spacing w:val="12"/>
          <w:w w:val="105"/>
        </w:rPr>
        <w:t> </w:t>
      </w:r>
      <w:r>
        <w:rPr>
          <w:color w:val="231F20"/>
          <w:w w:val="105"/>
        </w:rPr>
        <w:t>ofrece</w:t>
      </w:r>
      <w:r>
        <w:rPr>
          <w:color w:val="231F20"/>
          <w:spacing w:val="6"/>
          <w:w w:val="105"/>
        </w:rPr>
        <w:t> </w:t>
      </w:r>
      <w:r>
        <w:rPr>
          <w:color w:val="231F20"/>
          <w:w w:val="105"/>
        </w:rPr>
        <w:t>una</w:t>
      </w:r>
      <w:r>
        <w:rPr>
          <w:color w:val="231F20"/>
          <w:w w:val="101"/>
        </w:rPr>
        <w:t> </w:t>
      </w:r>
      <w:r>
        <w:rPr>
          <w:color w:val="231F20"/>
          <w:w w:val="105"/>
        </w:rPr>
        <w:t>serie</w:t>
      </w:r>
      <w:r>
        <w:rPr>
          <w:color w:val="231F20"/>
          <w:spacing w:val="-14"/>
          <w:w w:val="105"/>
        </w:rPr>
        <w:t> </w:t>
      </w:r>
      <w:r>
        <w:rPr>
          <w:color w:val="231F20"/>
          <w:w w:val="105"/>
        </w:rPr>
        <w:t>de</w:t>
      </w:r>
      <w:r>
        <w:rPr>
          <w:color w:val="231F20"/>
          <w:spacing w:val="-13"/>
          <w:w w:val="105"/>
        </w:rPr>
        <w:t> </w:t>
      </w:r>
      <w:r>
        <w:rPr>
          <w:color w:val="231F20"/>
          <w:w w:val="105"/>
        </w:rPr>
        <w:t>posibles</w:t>
      </w:r>
      <w:r>
        <w:rPr>
          <w:color w:val="231F20"/>
          <w:spacing w:val="-14"/>
          <w:w w:val="105"/>
        </w:rPr>
        <w:t> </w:t>
      </w:r>
      <w:r>
        <w:rPr>
          <w:color w:val="231F20"/>
          <w:w w:val="105"/>
        </w:rPr>
        <w:t>combinaciones</w:t>
      </w:r>
      <w:r>
        <w:rPr>
          <w:color w:val="231F20"/>
          <w:spacing w:val="-13"/>
          <w:w w:val="105"/>
        </w:rPr>
        <w:t> </w:t>
      </w:r>
      <w:r>
        <w:rPr>
          <w:color w:val="231F20"/>
          <w:w w:val="105"/>
        </w:rPr>
        <w:t>entre</w:t>
      </w:r>
      <w:r>
        <w:rPr>
          <w:color w:val="231F20"/>
          <w:spacing w:val="-13"/>
          <w:w w:val="105"/>
        </w:rPr>
        <w:t> </w:t>
      </w:r>
      <w:r>
        <w:rPr>
          <w:color w:val="231F20"/>
          <w:w w:val="105"/>
        </w:rPr>
        <w:t>inflación</w:t>
      </w:r>
      <w:r>
        <w:rPr>
          <w:color w:val="231F20"/>
          <w:spacing w:val="-13"/>
          <w:w w:val="105"/>
        </w:rPr>
        <w:t> </w:t>
      </w:r>
      <w:r>
        <w:rPr>
          <w:color w:val="231F20"/>
          <w:w w:val="105"/>
        </w:rPr>
        <w:t>y</w:t>
      </w:r>
      <w:r>
        <w:rPr>
          <w:color w:val="231F20"/>
          <w:spacing w:val="-14"/>
          <w:w w:val="105"/>
        </w:rPr>
        <w:t> </w:t>
      </w:r>
      <w:r>
        <w:rPr>
          <w:color w:val="231F20"/>
          <w:w w:val="105"/>
        </w:rPr>
        <w:t>desempleo</w:t>
      </w:r>
      <w:r>
        <w:rPr>
          <w:color w:val="231F20"/>
          <w:spacing w:val="-14"/>
          <w:w w:val="105"/>
        </w:rPr>
        <w:t> </w:t>
      </w:r>
      <w:r>
        <w:rPr>
          <w:color w:val="231F20"/>
          <w:w w:val="105"/>
        </w:rPr>
        <w:t>(</w:t>
      </w:r>
      <w:r>
        <w:rPr>
          <w:i/>
          <w:color w:val="231F20"/>
          <w:w w:val="105"/>
        </w:rPr>
        <w:t>trade-off</w:t>
      </w:r>
      <w:r>
        <w:rPr>
          <w:color w:val="231F20"/>
          <w:w w:val="105"/>
        </w:rPr>
        <w:t>),</w:t>
      </w:r>
      <w:r>
        <w:rPr>
          <w:color w:val="231F20"/>
          <w:w w:val="93"/>
        </w:rPr>
        <w:t> </w:t>
      </w:r>
      <w:r>
        <w:rPr>
          <w:color w:val="231F20"/>
          <w:w w:val="105"/>
        </w:rPr>
        <w:t>para</w:t>
      </w:r>
      <w:r>
        <w:rPr>
          <w:color w:val="231F20"/>
          <w:spacing w:val="-6"/>
          <w:w w:val="105"/>
        </w:rPr>
        <w:t> </w:t>
      </w:r>
      <w:r>
        <w:rPr>
          <w:color w:val="231F20"/>
          <w:w w:val="105"/>
        </w:rPr>
        <w:t>elegir</w:t>
      </w:r>
      <w:r>
        <w:rPr>
          <w:color w:val="231F20"/>
          <w:spacing w:val="-6"/>
          <w:w w:val="105"/>
        </w:rPr>
        <w:t> </w:t>
      </w:r>
      <w:r>
        <w:rPr>
          <w:color w:val="231F20"/>
          <w:w w:val="105"/>
        </w:rPr>
        <w:t>entre</w:t>
      </w:r>
      <w:r>
        <w:rPr>
          <w:color w:val="231F20"/>
          <w:spacing w:val="-7"/>
          <w:w w:val="105"/>
        </w:rPr>
        <w:t> </w:t>
      </w:r>
      <w:r>
        <w:rPr>
          <w:color w:val="231F20"/>
          <w:w w:val="105"/>
        </w:rPr>
        <w:t>ellas</w:t>
      </w:r>
      <w:r>
        <w:rPr>
          <w:color w:val="231F20"/>
          <w:spacing w:val="-6"/>
          <w:w w:val="105"/>
        </w:rPr>
        <w:t> </w:t>
      </w:r>
      <w:r>
        <w:rPr>
          <w:color w:val="231F20"/>
          <w:w w:val="105"/>
        </w:rPr>
        <w:t>según</w:t>
      </w:r>
      <w:r>
        <w:rPr>
          <w:color w:val="231F20"/>
          <w:spacing w:val="-7"/>
          <w:w w:val="105"/>
        </w:rPr>
        <w:t> </w:t>
      </w:r>
      <w:r>
        <w:rPr>
          <w:color w:val="231F20"/>
          <w:w w:val="105"/>
        </w:rPr>
        <w:t>los</w:t>
      </w:r>
      <w:r>
        <w:rPr>
          <w:color w:val="231F20"/>
          <w:spacing w:val="-6"/>
          <w:w w:val="105"/>
        </w:rPr>
        <w:t> </w:t>
      </w:r>
      <w:r>
        <w:rPr>
          <w:color w:val="231F20"/>
          <w:w w:val="105"/>
        </w:rPr>
        <w:t>objetivos</w:t>
      </w:r>
      <w:r>
        <w:rPr>
          <w:color w:val="231F20"/>
          <w:spacing w:val="-6"/>
          <w:w w:val="105"/>
        </w:rPr>
        <w:t> </w:t>
      </w:r>
      <w:r>
        <w:rPr>
          <w:color w:val="231F20"/>
          <w:w w:val="105"/>
        </w:rPr>
        <w:t>de</w:t>
      </w:r>
      <w:r>
        <w:rPr>
          <w:color w:val="231F20"/>
          <w:spacing w:val="-6"/>
          <w:w w:val="105"/>
        </w:rPr>
        <w:t> </w:t>
      </w:r>
      <w:r>
        <w:rPr>
          <w:color w:val="231F20"/>
          <w:w w:val="105"/>
        </w:rPr>
        <w:t>política</w:t>
      </w:r>
      <w:r>
        <w:rPr>
          <w:color w:val="231F20"/>
          <w:spacing w:val="-6"/>
          <w:w w:val="105"/>
        </w:rPr>
        <w:t> </w:t>
      </w:r>
      <w:r>
        <w:rPr>
          <w:color w:val="231F20"/>
          <w:w w:val="105"/>
        </w:rPr>
        <w:t>económica</w:t>
      </w:r>
      <w:r>
        <w:rPr>
          <w:color w:val="231F20"/>
          <w:spacing w:val="-6"/>
          <w:w w:val="105"/>
        </w:rPr>
        <w:t> </w:t>
      </w:r>
      <w:r>
        <w:rPr>
          <w:color w:val="231F20"/>
          <w:w w:val="105"/>
        </w:rPr>
        <w:t>que</w:t>
      </w:r>
      <w:r>
        <w:rPr>
          <w:color w:val="231F20"/>
          <w:spacing w:val="-6"/>
          <w:w w:val="105"/>
        </w:rPr>
        <w:t> </w:t>
      </w:r>
      <w:r>
        <w:rPr>
          <w:color w:val="231F20"/>
          <w:w w:val="105"/>
        </w:rPr>
        <w:t>se</w:t>
      </w:r>
    </w:p>
    <w:p>
      <w:pPr>
        <w:pStyle w:val="BodyText"/>
        <w:spacing w:line="241" w:lineRule="exact"/>
        <w:ind w:left="103"/>
        <w:jc w:val="both"/>
      </w:pPr>
      <w:r>
        <w:rPr>
          <w:color w:val="231F20"/>
        </w:rPr>
        <w:t>busque alcanzar.</w:t>
      </w:r>
    </w:p>
    <w:p>
      <w:pPr>
        <w:pStyle w:val="BodyText"/>
        <w:spacing w:line="259" w:lineRule="auto" w:before="18"/>
        <w:ind w:left="103" w:right="114" w:firstLine="567"/>
        <w:jc w:val="both"/>
      </w:pPr>
      <w:r>
        <w:rPr>
          <w:color w:val="231F20"/>
          <w:w w:val="105"/>
        </w:rPr>
        <w:t>Entre los principales aportes de esta corriente se tiene que en el largo plazo ya no se mantiene un ‘desempleo de equilibrio’, dando</w:t>
      </w:r>
      <w:r>
        <w:rPr>
          <w:color w:val="231F20"/>
          <w:spacing w:val="-37"/>
          <w:w w:val="105"/>
        </w:rPr>
        <w:t> </w:t>
      </w:r>
      <w:r>
        <w:rPr>
          <w:color w:val="231F20"/>
          <w:w w:val="105"/>
        </w:rPr>
        <w:t>más bien</w:t>
      </w:r>
      <w:r>
        <w:rPr>
          <w:color w:val="231F20"/>
          <w:spacing w:val="-18"/>
          <w:w w:val="105"/>
        </w:rPr>
        <w:t> </w:t>
      </w:r>
      <w:r>
        <w:rPr>
          <w:color w:val="231F20"/>
          <w:w w:val="105"/>
        </w:rPr>
        <w:t>el</w:t>
      </w:r>
      <w:r>
        <w:rPr>
          <w:color w:val="231F20"/>
          <w:spacing w:val="-18"/>
          <w:w w:val="105"/>
        </w:rPr>
        <w:t> </w:t>
      </w:r>
      <w:r>
        <w:rPr>
          <w:color w:val="231F20"/>
          <w:w w:val="105"/>
        </w:rPr>
        <w:t>resultado</w:t>
      </w:r>
      <w:r>
        <w:rPr>
          <w:color w:val="231F20"/>
          <w:spacing w:val="-18"/>
          <w:w w:val="105"/>
        </w:rPr>
        <w:t> </w:t>
      </w:r>
      <w:r>
        <w:rPr>
          <w:color w:val="231F20"/>
          <w:w w:val="105"/>
        </w:rPr>
        <w:t>neoclásico</w:t>
      </w:r>
      <w:r>
        <w:rPr>
          <w:color w:val="231F20"/>
          <w:spacing w:val="-18"/>
          <w:w w:val="105"/>
        </w:rPr>
        <w:t> </w:t>
      </w:r>
      <w:r>
        <w:rPr>
          <w:color w:val="231F20"/>
          <w:w w:val="105"/>
        </w:rPr>
        <w:t>de</w:t>
      </w:r>
      <w:r>
        <w:rPr>
          <w:color w:val="231F20"/>
          <w:spacing w:val="-18"/>
          <w:w w:val="105"/>
        </w:rPr>
        <w:t> </w:t>
      </w:r>
      <w:r>
        <w:rPr>
          <w:color w:val="231F20"/>
          <w:w w:val="105"/>
        </w:rPr>
        <w:t>pleno</w:t>
      </w:r>
      <w:r>
        <w:rPr>
          <w:color w:val="231F20"/>
          <w:spacing w:val="-18"/>
          <w:w w:val="105"/>
        </w:rPr>
        <w:t> </w:t>
      </w:r>
      <w:r>
        <w:rPr>
          <w:color w:val="231F20"/>
          <w:w w:val="105"/>
        </w:rPr>
        <w:t>empleo.</w:t>
      </w:r>
      <w:r>
        <w:rPr>
          <w:color w:val="231F20"/>
          <w:spacing w:val="-23"/>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corto</w:t>
      </w:r>
      <w:r>
        <w:rPr>
          <w:color w:val="231F20"/>
          <w:spacing w:val="-18"/>
          <w:w w:val="105"/>
        </w:rPr>
        <w:t> </w:t>
      </w:r>
      <w:r>
        <w:rPr>
          <w:color w:val="231F20"/>
          <w:w w:val="105"/>
        </w:rPr>
        <w:t>plazo</w:t>
      </w:r>
      <w:r>
        <w:rPr>
          <w:color w:val="231F20"/>
          <w:spacing w:val="-18"/>
          <w:w w:val="105"/>
        </w:rPr>
        <w:t> </w:t>
      </w:r>
      <w:r>
        <w:rPr>
          <w:color w:val="231F20"/>
          <w:w w:val="105"/>
        </w:rPr>
        <w:t>se</w:t>
      </w:r>
      <w:r>
        <w:rPr>
          <w:color w:val="231F20"/>
          <w:spacing w:val="-18"/>
          <w:w w:val="105"/>
        </w:rPr>
        <w:t> </w:t>
      </w:r>
      <w:r>
        <w:rPr>
          <w:color w:val="231F20"/>
          <w:w w:val="105"/>
        </w:rPr>
        <w:t>consi- dera</w:t>
      </w:r>
      <w:r>
        <w:rPr>
          <w:color w:val="231F20"/>
          <w:spacing w:val="-13"/>
          <w:w w:val="105"/>
        </w:rPr>
        <w:t> </w:t>
      </w:r>
      <w:r>
        <w:rPr>
          <w:color w:val="231F20"/>
          <w:w w:val="105"/>
        </w:rPr>
        <w:t>que</w:t>
      </w:r>
      <w:r>
        <w:rPr>
          <w:color w:val="231F20"/>
          <w:spacing w:val="-13"/>
          <w:w w:val="105"/>
        </w:rPr>
        <w:t> </w:t>
      </w:r>
      <w:r>
        <w:rPr>
          <w:color w:val="231F20"/>
          <w:w w:val="105"/>
        </w:rPr>
        <w:t>los</w:t>
      </w:r>
      <w:r>
        <w:rPr>
          <w:color w:val="231F20"/>
          <w:spacing w:val="-13"/>
          <w:w w:val="105"/>
        </w:rPr>
        <w:t> </w:t>
      </w:r>
      <w:r>
        <w:rPr>
          <w:color w:val="231F20"/>
          <w:w w:val="105"/>
        </w:rPr>
        <w:t>salarios</w:t>
      </w:r>
      <w:r>
        <w:rPr>
          <w:color w:val="231F20"/>
          <w:spacing w:val="-13"/>
          <w:w w:val="105"/>
        </w:rPr>
        <w:t> </w:t>
      </w:r>
      <w:r>
        <w:rPr>
          <w:color w:val="231F20"/>
          <w:w w:val="105"/>
        </w:rPr>
        <w:t>son</w:t>
      </w:r>
      <w:r>
        <w:rPr>
          <w:color w:val="231F20"/>
          <w:spacing w:val="-13"/>
          <w:w w:val="105"/>
        </w:rPr>
        <w:t> </w:t>
      </w:r>
      <w:r>
        <w:rPr>
          <w:color w:val="231F20"/>
          <w:w w:val="105"/>
        </w:rPr>
        <w:t>rígidos,</w:t>
      </w:r>
      <w:r>
        <w:rPr>
          <w:color w:val="231F20"/>
          <w:spacing w:val="-19"/>
          <w:w w:val="105"/>
        </w:rPr>
        <w:t> </w:t>
      </w:r>
      <w:r>
        <w:rPr>
          <w:color w:val="231F20"/>
          <w:w w:val="105"/>
        </w:rPr>
        <w:t>o</w:t>
      </w:r>
      <w:r>
        <w:rPr>
          <w:color w:val="231F20"/>
          <w:spacing w:val="-13"/>
          <w:w w:val="105"/>
        </w:rPr>
        <w:t> </w:t>
      </w:r>
      <w:r>
        <w:rPr>
          <w:color w:val="231F20"/>
          <w:w w:val="105"/>
        </w:rPr>
        <w:t>que</w:t>
      </w:r>
      <w:r>
        <w:rPr>
          <w:color w:val="231F20"/>
          <w:spacing w:val="-13"/>
          <w:w w:val="105"/>
        </w:rPr>
        <w:t> </w:t>
      </w:r>
      <w:r>
        <w:rPr>
          <w:color w:val="231F20"/>
          <w:w w:val="105"/>
        </w:rPr>
        <w:t>habría</w:t>
      </w:r>
      <w:r>
        <w:rPr>
          <w:color w:val="231F20"/>
          <w:spacing w:val="-13"/>
          <w:w w:val="105"/>
        </w:rPr>
        <w:t> </w:t>
      </w:r>
      <w:r>
        <w:rPr>
          <w:color w:val="231F20"/>
          <w:w w:val="105"/>
        </w:rPr>
        <w:t>insensibilidad</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inver- sión</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tasa</w:t>
      </w:r>
      <w:r>
        <w:rPr>
          <w:color w:val="231F20"/>
          <w:spacing w:val="-11"/>
          <w:w w:val="105"/>
        </w:rPr>
        <w:t> </w:t>
      </w:r>
      <w:r>
        <w:rPr>
          <w:color w:val="231F20"/>
          <w:w w:val="105"/>
        </w:rPr>
        <w:t>de</w:t>
      </w:r>
      <w:r>
        <w:rPr>
          <w:color w:val="231F20"/>
          <w:spacing w:val="-11"/>
          <w:w w:val="105"/>
        </w:rPr>
        <w:t> </w:t>
      </w:r>
      <w:r>
        <w:rPr>
          <w:color w:val="231F20"/>
          <w:w w:val="105"/>
        </w:rPr>
        <w:t>interés,</w:t>
      </w:r>
      <w:r>
        <w:rPr>
          <w:color w:val="231F20"/>
          <w:spacing w:val="-16"/>
          <w:w w:val="105"/>
        </w:rPr>
        <w:t> </w:t>
      </w:r>
      <w:r>
        <w:rPr>
          <w:color w:val="231F20"/>
          <w:w w:val="105"/>
        </w:rPr>
        <w:t>por</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a</w:t>
      </w:r>
      <w:r>
        <w:rPr>
          <w:color w:val="231F20"/>
          <w:spacing w:val="-11"/>
          <w:w w:val="105"/>
        </w:rPr>
        <w:t> </w:t>
      </w:r>
      <w:r>
        <w:rPr>
          <w:color w:val="231F20"/>
          <w:w w:val="105"/>
        </w:rPr>
        <w:t>corto</w:t>
      </w:r>
      <w:r>
        <w:rPr>
          <w:color w:val="231F20"/>
          <w:spacing w:val="-11"/>
          <w:w w:val="105"/>
        </w:rPr>
        <w:t> </w:t>
      </w:r>
      <w:r>
        <w:rPr>
          <w:color w:val="231F20"/>
          <w:w w:val="105"/>
        </w:rPr>
        <w:t>plazo</w:t>
      </w:r>
      <w:r>
        <w:rPr>
          <w:color w:val="231F20"/>
          <w:spacing w:val="-11"/>
          <w:w w:val="105"/>
        </w:rPr>
        <w:t> </w:t>
      </w:r>
      <w:r>
        <w:rPr>
          <w:color w:val="231F20"/>
          <w:w w:val="105"/>
        </w:rPr>
        <w:t>tendría</w:t>
      </w:r>
      <w:r>
        <w:rPr>
          <w:color w:val="231F20"/>
          <w:spacing w:val="-11"/>
          <w:w w:val="105"/>
        </w:rPr>
        <w:t> </w:t>
      </w:r>
      <w:r>
        <w:rPr>
          <w:color w:val="231F20"/>
          <w:w w:val="105"/>
        </w:rPr>
        <w:t>resultados</w:t>
      </w:r>
      <w:r>
        <w:rPr>
          <w:color w:val="231F20"/>
          <w:spacing w:val="-11"/>
          <w:w w:val="105"/>
        </w:rPr>
        <w:t> </w:t>
      </w:r>
      <w:r>
        <w:rPr>
          <w:color w:val="231F20"/>
          <w:w w:val="105"/>
        </w:rPr>
        <w:t>key- nesianos</w:t>
      </w:r>
      <w:r>
        <w:rPr>
          <w:color w:val="231F20"/>
          <w:spacing w:val="-11"/>
          <w:w w:val="105"/>
        </w:rPr>
        <w:t> </w:t>
      </w:r>
      <w:r>
        <w:rPr>
          <w:color w:val="231F20"/>
          <w:w w:val="105"/>
        </w:rPr>
        <w:t>mientras</w:t>
      </w:r>
      <w:r>
        <w:rPr>
          <w:color w:val="231F20"/>
          <w:spacing w:val="-11"/>
          <w:w w:val="105"/>
        </w:rPr>
        <w:t> </w:t>
      </w:r>
      <w:r>
        <w:rPr>
          <w:color w:val="231F20"/>
          <w:w w:val="105"/>
        </w:rPr>
        <w:t>que</w:t>
      </w:r>
      <w:r>
        <w:rPr>
          <w:color w:val="231F20"/>
          <w:spacing w:val="-11"/>
          <w:w w:val="105"/>
        </w:rPr>
        <w:t> </w:t>
      </w:r>
      <w:r>
        <w:rPr>
          <w:color w:val="231F20"/>
          <w:w w:val="105"/>
        </w:rPr>
        <w:t>a</w:t>
      </w:r>
      <w:r>
        <w:rPr>
          <w:color w:val="231F20"/>
          <w:spacing w:val="-11"/>
          <w:w w:val="105"/>
        </w:rPr>
        <w:t> </w:t>
      </w:r>
      <w:r>
        <w:rPr>
          <w:color w:val="231F20"/>
          <w:w w:val="105"/>
        </w:rPr>
        <w:t>largo</w:t>
      </w:r>
      <w:r>
        <w:rPr>
          <w:color w:val="231F20"/>
          <w:spacing w:val="-11"/>
          <w:w w:val="105"/>
        </w:rPr>
        <w:t> </w:t>
      </w:r>
      <w:r>
        <w:rPr>
          <w:color w:val="231F20"/>
          <w:w w:val="105"/>
        </w:rPr>
        <w:t>plazo,</w:t>
      </w:r>
      <w:r>
        <w:rPr>
          <w:color w:val="231F20"/>
          <w:spacing w:val="-16"/>
          <w:w w:val="105"/>
        </w:rPr>
        <w:t> </w:t>
      </w:r>
      <w:r>
        <w:rPr>
          <w:color w:val="231F20"/>
          <w:w w:val="105"/>
        </w:rPr>
        <w:t>cuando</w:t>
      </w:r>
      <w:r>
        <w:rPr>
          <w:color w:val="231F20"/>
          <w:spacing w:val="-11"/>
          <w:w w:val="105"/>
        </w:rPr>
        <w:t> </w:t>
      </w:r>
      <w:r>
        <w:rPr>
          <w:color w:val="231F20"/>
          <w:w w:val="105"/>
        </w:rPr>
        <w:t>los</w:t>
      </w:r>
      <w:r>
        <w:rPr>
          <w:color w:val="231F20"/>
          <w:spacing w:val="-11"/>
          <w:w w:val="105"/>
        </w:rPr>
        <w:t> </w:t>
      </w:r>
      <w:r>
        <w:rPr>
          <w:color w:val="231F20"/>
          <w:w w:val="105"/>
        </w:rPr>
        <w:t>salarios</w:t>
      </w:r>
      <w:r>
        <w:rPr>
          <w:color w:val="231F20"/>
          <w:spacing w:val="-11"/>
          <w:w w:val="105"/>
        </w:rPr>
        <w:t> </w:t>
      </w:r>
      <w:r>
        <w:rPr>
          <w:color w:val="231F20"/>
          <w:w w:val="105"/>
        </w:rPr>
        <w:t>y</w:t>
      </w:r>
      <w:r>
        <w:rPr>
          <w:color w:val="231F20"/>
          <w:spacing w:val="-11"/>
          <w:w w:val="105"/>
        </w:rPr>
        <w:t> </w:t>
      </w:r>
      <w:r>
        <w:rPr>
          <w:color w:val="231F20"/>
          <w:w w:val="105"/>
        </w:rPr>
        <w:t>precios</w:t>
      </w:r>
      <w:r>
        <w:rPr>
          <w:color w:val="231F20"/>
          <w:spacing w:val="-11"/>
          <w:w w:val="105"/>
        </w:rPr>
        <w:t> </w:t>
      </w:r>
      <w:r>
        <w:rPr>
          <w:color w:val="231F20"/>
          <w:w w:val="105"/>
        </w:rPr>
        <w:t>sean flexibles,</w:t>
      </w:r>
      <w:r>
        <w:rPr>
          <w:color w:val="231F20"/>
          <w:spacing w:val="-43"/>
          <w:w w:val="105"/>
        </w:rPr>
        <w:t> </w:t>
      </w:r>
      <w:r>
        <w:rPr>
          <w:color w:val="231F20"/>
          <w:w w:val="105"/>
        </w:rPr>
        <w:t>los</w:t>
      </w:r>
      <w:r>
        <w:rPr>
          <w:color w:val="231F20"/>
          <w:spacing w:val="-40"/>
          <w:w w:val="105"/>
        </w:rPr>
        <w:t> </w:t>
      </w:r>
      <w:r>
        <w:rPr>
          <w:color w:val="231F20"/>
          <w:w w:val="105"/>
        </w:rPr>
        <w:t>resultados</w:t>
      </w:r>
      <w:r>
        <w:rPr>
          <w:color w:val="231F20"/>
          <w:spacing w:val="-40"/>
          <w:w w:val="105"/>
        </w:rPr>
        <w:t> </w:t>
      </w:r>
      <w:r>
        <w:rPr>
          <w:color w:val="231F20"/>
          <w:w w:val="105"/>
        </w:rPr>
        <w:t>serían</w:t>
      </w:r>
      <w:r>
        <w:rPr>
          <w:color w:val="231F20"/>
          <w:spacing w:val="-40"/>
          <w:w w:val="105"/>
        </w:rPr>
        <w:t> </w:t>
      </w:r>
      <w:r>
        <w:rPr>
          <w:color w:val="231F20"/>
          <w:w w:val="105"/>
        </w:rPr>
        <w:t>neoclásicos</w:t>
      </w:r>
      <w:r>
        <w:rPr>
          <w:color w:val="231F20"/>
          <w:spacing w:val="-40"/>
          <w:w w:val="105"/>
        </w:rPr>
        <w:t> </w:t>
      </w:r>
      <w:r>
        <w:rPr>
          <w:color w:val="231F20"/>
          <w:w w:val="105"/>
        </w:rPr>
        <w:t>(Caballero,</w:t>
      </w:r>
      <w:r>
        <w:rPr>
          <w:color w:val="231F20"/>
          <w:spacing w:val="-43"/>
          <w:w w:val="105"/>
        </w:rPr>
        <w:t> </w:t>
      </w:r>
      <w:r>
        <w:rPr>
          <w:color w:val="231F20"/>
          <w:w w:val="105"/>
        </w:rPr>
        <w:t>2006).</w:t>
      </w:r>
    </w:p>
    <w:p>
      <w:pPr>
        <w:pStyle w:val="BodyText"/>
        <w:spacing w:line="259" w:lineRule="auto"/>
        <w:ind w:left="103" w:right="115" w:firstLine="567"/>
        <w:jc w:val="both"/>
      </w:pPr>
      <w:r>
        <w:rPr>
          <w:color w:val="231F20"/>
        </w:rPr>
        <w:t>La síntesis neoclásica-keynesiana permitió que mediante apropia- das políticas fiscales y monetarias, los gobiernos evitaran que la econo- mía cayera en cualquiera de los extremos: elevado desempleo o alta inflación, buscando suavizar notoriamente los ciclos económicos. El desa- rrollo de las técnicas econométricas por Jan Tinbergen (1952), Lawrence Klein (1950), y de los modelos de política económica óptima por William Poole (1970), dieron un gran impulso adicional para estimar los impactos cuantitativos de las diversas medidas de política fiscal y monetaria sobre el nivel de producción, el empleo y la   inflación.</w:t>
      </w:r>
    </w:p>
    <w:p>
      <w:pPr>
        <w:pStyle w:val="BodyText"/>
        <w:rPr>
          <w:sz w:val="20"/>
        </w:rPr>
      </w:pPr>
    </w:p>
    <w:p>
      <w:pPr>
        <w:pStyle w:val="BodyText"/>
        <w:rPr>
          <w:sz w:val="20"/>
        </w:rPr>
      </w:pPr>
    </w:p>
    <w:p>
      <w:pPr>
        <w:tabs>
          <w:tab w:pos="1317" w:val="left" w:leader="none"/>
        </w:tabs>
        <w:spacing w:before="190"/>
        <w:ind w:left="212" w:right="17" w:firstLine="0"/>
        <w:jc w:val="left"/>
        <w:rPr>
          <w:rFonts w:ascii="Calibri"/>
          <w:sz w:val="15"/>
        </w:rPr>
      </w:pPr>
      <w:r>
        <w:rPr/>
        <w:pict>
          <v:group style="position:absolute;margin-left:101.817299pt;margin-top:-10.799887pt;width:17.850pt;height:56.5pt;mso-position-horizontal-relative:page;mso-position-vertical-relative:paragraph;z-index:-237352" coordorigin="2036,-216" coordsize="357,1130">
            <v:line style="position:absolute" from="2211,194" to="2211,910" stroked="true" strokeweight=".3pt" strokecolor="#231f20"/>
            <v:shape style="position:absolute;left:2036;top:-42;width:356;height:609" type="#_x0000_t75" stroked="false">
              <v:imagedata r:id="rId18" o:title=""/>
            </v:shape>
            <v:shape style="position:absolute;left:2036;top:-216;width:356;height:783" type="#_x0000_t75" stroked="false">
              <v:imagedata r:id="rId19" o:title=""/>
            </v:shape>
            <w10:wrap type="none"/>
          </v:group>
        </w:pict>
      </w:r>
      <w:r>
        <w:rPr>
          <w:color w:val="414042"/>
          <w:w w:val="105"/>
          <w:position w:val="-5"/>
          <w:sz w:val="20"/>
        </w:rPr>
        <w:t>298</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304"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299</w:t>
      </w:r>
    </w:p>
    <w:p>
      <w:pPr>
        <w:pStyle w:val="BodyText"/>
        <w:rPr>
          <w:sz w:val="20"/>
        </w:rPr>
      </w:pPr>
    </w:p>
    <w:p>
      <w:pPr>
        <w:pStyle w:val="BodyText"/>
        <w:rPr>
          <w:sz w:val="20"/>
        </w:rPr>
      </w:pPr>
    </w:p>
    <w:p>
      <w:pPr>
        <w:pStyle w:val="BodyText"/>
        <w:spacing w:line="259" w:lineRule="auto" w:before="176"/>
        <w:ind w:left="117" w:right="115"/>
        <w:jc w:val="both"/>
      </w:pPr>
      <w:r>
        <w:rPr>
          <w:color w:val="231F20"/>
          <w:w w:val="105"/>
        </w:rPr>
        <w:t>Durante los años setenta se presentó una serie de fenómenos econó- micos</w:t>
      </w:r>
      <w:r>
        <w:rPr>
          <w:color w:val="231F20"/>
          <w:spacing w:val="-10"/>
          <w:w w:val="105"/>
        </w:rPr>
        <w:t> </w:t>
      </w:r>
      <w:r>
        <w:rPr>
          <w:color w:val="231F20"/>
          <w:w w:val="105"/>
        </w:rPr>
        <w:t>que</w:t>
      </w:r>
      <w:r>
        <w:rPr>
          <w:color w:val="231F20"/>
          <w:spacing w:val="-10"/>
          <w:w w:val="105"/>
        </w:rPr>
        <w:t> </w:t>
      </w:r>
      <w:r>
        <w:rPr>
          <w:color w:val="231F20"/>
          <w:w w:val="105"/>
        </w:rPr>
        <w:t>evidenciaron</w:t>
      </w:r>
      <w:r>
        <w:rPr>
          <w:color w:val="231F20"/>
          <w:spacing w:val="-10"/>
          <w:w w:val="105"/>
        </w:rPr>
        <w:t> </w:t>
      </w:r>
      <w:r>
        <w:rPr>
          <w:color w:val="231F20"/>
          <w:w w:val="105"/>
        </w:rPr>
        <w:t>la</w:t>
      </w:r>
      <w:r>
        <w:rPr>
          <w:color w:val="231F20"/>
          <w:spacing w:val="-10"/>
          <w:w w:val="105"/>
        </w:rPr>
        <w:t> </w:t>
      </w:r>
      <w:r>
        <w:rPr>
          <w:color w:val="231F20"/>
          <w:w w:val="105"/>
        </w:rPr>
        <w:t>incapacidad</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neokeynesiana</w:t>
      </w:r>
      <w:r>
        <w:rPr>
          <w:color w:val="231F20"/>
          <w:spacing w:val="-10"/>
          <w:w w:val="105"/>
        </w:rPr>
        <w:t> </w:t>
      </w:r>
      <w:r>
        <w:rPr>
          <w:color w:val="231F20"/>
          <w:w w:val="105"/>
        </w:rPr>
        <w:t>para explicar</w:t>
      </w:r>
      <w:r>
        <w:rPr>
          <w:color w:val="231F20"/>
          <w:spacing w:val="-25"/>
          <w:w w:val="105"/>
        </w:rPr>
        <w:t> </w:t>
      </w:r>
      <w:r>
        <w:rPr>
          <w:color w:val="231F20"/>
          <w:w w:val="105"/>
        </w:rPr>
        <w:t>satisfactoriamente</w:t>
      </w:r>
      <w:r>
        <w:rPr>
          <w:color w:val="231F20"/>
          <w:spacing w:val="-25"/>
          <w:w w:val="105"/>
        </w:rPr>
        <w:t> </w:t>
      </w:r>
      <w:r>
        <w:rPr>
          <w:color w:val="231F20"/>
          <w:w w:val="105"/>
        </w:rPr>
        <w:t>las</w:t>
      </w:r>
      <w:r>
        <w:rPr>
          <w:color w:val="231F20"/>
          <w:spacing w:val="-25"/>
          <w:w w:val="105"/>
        </w:rPr>
        <w:t> </w:t>
      </w:r>
      <w:r>
        <w:rPr>
          <w:color w:val="231F20"/>
          <w:w w:val="105"/>
        </w:rPr>
        <w:t>nuevas</w:t>
      </w:r>
      <w:r>
        <w:rPr>
          <w:color w:val="231F20"/>
          <w:spacing w:val="-25"/>
          <w:w w:val="105"/>
        </w:rPr>
        <w:t> </w:t>
      </w:r>
      <w:r>
        <w:rPr>
          <w:color w:val="231F20"/>
          <w:w w:val="105"/>
        </w:rPr>
        <w:t>condiciones</w:t>
      </w:r>
      <w:r>
        <w:rPr>
          <w:color w:val="231F20"/>
          <w:spacing w:val="-25"/>
          <w:w w:val="105"/>
        </w:rPr>
        <w:t> </w:t>
      </w:r>
      <w:r>
        <w:rPr>
          <w:color w:val="231F20"/>
          <w:w w:val="105"/>
        </w:rPr>
        <w:t>de</w:t>
      </w:r>
      <w:r>
        <w:rPr>
          <w:color w:val="231F20"/>
          <w:spacing w:val="-25"/>
          <w:w w:val="105"/>
        </w:rPr>
        <w:t> </w:t>
      </w:r>
      <w:r>
        <w:rPr>
          <w:color w:val="231F20"/>
          <w:w w:val="105"/>
        </w:rPr>
        <w:t>interrelación</w:t>
      </w:r>
      <w:r>
        <w:rPr>
          <w:color w:val="231F20"/>
          <w:spacing w:val="-25"/>
          <w:w w:val="105"/>
        </w:rPr>
        <w:t> </w:t>
      </w:r>
      <w:r>
        <w:rPr>
          <w:color w:val="231F20"/>
          <w:w w:val="105"/>
        </w:rPr>
        <w:t>entre las</w:t>
      </w:r>
      <w:r>
        <w:rPr>
          <w:color w:val="231F20"/>
          <w:spacing w:val="-37"/>
          <w:w w:val="105"/>
        </w:rPr>
        <w:t> </w:t>
      </w:r>
      <w:r>
        <w:rPr>
          <w:color w:val="231F20"/>
          <w:w w:val="105"/>
        </w:rPr>
        <w:t>variables</w:t>
      </w:r>
      <w:r>
        <w:rPr>
          <w:color w:val="231F20"/>
          <w:spacing w:val="-37"/>
          <w:w w:val="105"/>
        </w:rPr>
        <w:t> </w:t>
      </w:r>
      <w:r>
        <w:rPr>
          <w:color w:val="231F20"/>
          <w:w w:val="105"/>
        </w:rPr>
        <w:t>económicas,</w:t>
      </w:r>
      <w:r>
        <w:rPr>
          <w:color w:val="231F20"/>
          <w:spacing w:val="-40"/>
          <w:w w:val="105"/>
        </w:rPr>
        <w:t> </w:t>
      </w:r>
      <w:r>
        <w:rPr>
          <w:color w:val="231F20"/>
          <w:w w:val="105"/>
        </w:rPr>
        <w:t>particularmente</w:t>
      </w:r>
      <w:r>
        <w:rPr>
          <w:color w:val="231F20"/>
          <w:spacing w:val="-37"/>
          <w:w w:val="105"/>
        </w:rPr>
        <w:t> </w:t>
      </w:r>
      <w:r>
        <w:rPr>
          <w:color w:val="231F20"/>
          <w:w w:val="105"/>
        </w:rPr>
        <w:t>la</w:t>
      </w:r>
      <w:r>
        <w:rPr>
          <w:color w:val="231F20"/>
          <w:spacing w:val="-37"/>
          <w:w w:val="105"/>
        </w:rPr>
        <w:t> </w:t>
      </w:r>
      <w:r>
        <w:rPr>
          <w:color w:val="231F20"/>
          <w:w w:val="105"/>
        </w:rPr>
        <w:t>existencia</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estanflación. Como resultado, surgieron nuevas ideas para proporcionar herramien- tas</w:t>
      </w:r>
      <w:r>
        <w:rPr>
          <w:color w:val="231F20"/>
          <w:spacing w:val="-27"/>
          <w:w w:val="105"/>
        </w:rPr>
        <w:t> </w:t>
      </w:r>
      <w:r>
        <w:rPr>
          <w:color w:val="231F20"/>
          <w:w w:val="105"/>
        </w:rPr>
        <w:t>al</w:t>
      </w:r>
      <w:r>
        <w:rPr>
          <w:color w:val="231F20"/>
          <w:spacing w:val="-27"/>
          <w:w w:val="105"/>
        </w:rPr>
        <w:t> </w:t>
      </w:r>
      <w:r>
        <w:rPr>
          <w:color w:val="231F20"/>
          <w:w w:val="105"/>
        </w:rPr>
        <w:t>análisis</w:t>
      </w:r>
      <w:r>
        <w:rPr>
          <w:color w:val="231F20"/>
          <w:spacing w:val="-27"/>
          <w:w w:val="105"/>
        </w:rPr>
        <w:t> </w:t>
      </w:r>
      <w:r>
        <w:rPr>
          <w:color w:val="231F20"/>
          <w:w w:val="105"/>
        </w:rPr>
        <w:t>keynesiano,</w:t>
      </w:r>
      <w:r>
        <w:rPr>
          <w:color w:val="231F20"/>
          <w:spacing w:val="-31"/>
          <w:w w:val="105"/>
        </w:rPr>
        <w:t> </w:t>
      </w:r>
      <w:r>
        <w:rPr>
          <w:color w:val="231F20"/>
          <w:w w:val="105"/>
        </w:rPr>
        <w:t>dándole</w:t>
      </w:r>
      <w:r>
        <w:rPr>
          <w:color w:val="231F20"/>
          <w:spacing w:val="-27"/>
          <w:w w:val="105"/>
        </w:rPr>
        <w:t> </w:t>
      </w:r>
      <w:r>
        <w:rPr>
          <w:color w:val="231F20"/>
          <w:w w:val="105"/>
        </w:rPr>
        <w:t>al</w:t>
      </w:r>
      <w:r>
        <w:rPr>
          <w:color w:val="231F20"/>
          <w:spacing w:val="-27"/>
          <w:w w:val="105"/>
        </w:rPr>
        <w:t> </w:t>
      </w:r>
      <w:r>
        <w:rPr>
          <w:color w:val="231F20"/>
          <w:w w:val="105"/>
        </w:rPr>
        <w:t>pensamiento</w:t>
      </w:r>
      <w:r>
        <w:rPr>
          <w:color w:val="231F20"/>
          <w:spacing w:val="-27"/>
          <w:w w:val="105"/>
        </w:rPr>
        <w:t> </w:t>
      </w:r>
      <w:r>
        <w:rPr>
          <w:color w:val="231F20"/>
          <w:w w:val="105"/>
        </w:rPr>
        <w:t>macroeconómico</w:t>
      </w:r>
      <w:r>
        <w:rPr>
          <w:color w:val="231F20"/>
          <w:spacing w:val="-27"/>
          <w:w w:val="105"/>
        </w:rPr>
        <w:t> </w:t>
      </w:r>
      <w:r>
        <w:rPr>
          <w:color w:val="231F20"/>
          <w:w w:val="105"/>
        </w:rPr>
        <w:t>una base</w:t>
      </w:r>
      <w:r>
        <w:rPr>
          <w:color w:val="231F20"/>
          <w:spacing w:val="-39"/>
          <w:w w:val="105"/>
        </w:rPr>
        <w:t> </w:t>
      </w:r>
      <w:r>
        <w:rPr>
          <w:color w:val="231F20"/>
          <w:w w:val="105"/>
        </w:rPr>
        <w:t>microeconómica.</w:t>
      </w:r>
    </w:p>
    <w:p>
      <w:pPr>
        <w:pStyle w:val="BodyText"/>
        <w:rPr>
          <w:sz w:val="20"/>
        </w:rPr>
      </w:pPr>
    </w:p>
    <w:p>
      <w:pPr>
        <w:pStyle w:val="BodyText"/>
        <w:spacing w:before="7"/>
        <w:rPr>
          <w:sz w:val="18"/>
        </w:rPr>
      </w:pPr>
    </w:p>
    <w:p>
      <w:pPr>
        <w:pStyle w:val="Heading2"/>
      </w:pPr>
      <w:r>
        <w:rPr>
          <w:color w:val="231F20"/>
        </w:rPr>
        <w:t>El enfoque de la nueva economía keynesiana</w:t>
      </w:r>
    </w:p>
    <w:p>
      <w:pPr>
        <w:pStyle w:val="BodyText"/>
        <w:rPr>
          <w:b/>
          <w:sz w:val="22"/>
        </w:rPr>
      </w:pPr>
    </w:p>
    <w:p>
      <w:pPr>
        <w:pStyle w:val="BodyText"/>
        <w:spacing w:before="9"/>
        <w:rPr>
          <w:b/>
          <w:sz w:val="26"/>
        </w:rPr>
      </w:pPr>
    </w:p>
    <w:p>
      <w:pPr>
        <w:spacing w:before="0"/>
        <w:ind w:left="117" w:right="0" w:firstLine="0"/>
        <w:jc w:val="both"/>
        <w:rPr>
          <w:rFonts w:ascii="Verdana" w:hAnsi="Verdana"/>
          <w:i/>
          <w:sz w:val="21"/>
        </w:rPr>
      </w:pPr>
      <w:r>
        <w:rPr>
          <w:rFonts w:ascii="Verdana" w:hAnsi="Verdana"/>
          <w:i/>
          <w:color w:val="231F20"/>
          <w:w w:val="95"/>
          <w:sz w:val="21"/>
        </w:rPr>
        <w:t>¿Qué es la nueva economía keynesiana?</w:t>
      </w:r>
    </w:p>
    <w:p>
      <w:pPr>
        <w:pStyle w:val="BodyText"/>
        <w:spacing w:before="6"/>
        <w:rPr>
          <w:rFonts w:ascii="Verdana"/>
          <w:i/>
          <w:sz w:val="15"/>
        </w:rPr>
      </w:pPr>
    </w:p>
    <w:p>
      <w:pPr>
        <w:pStyle w:val="BodyText"/>
        <w:spacing w:line="259" w:lineRule="auto"/>
        <w:ind w:left="117" w:right="121"/>
        <w:jc w:val="both"/>
      </w:pPr>
      <w:r>
        <w:rPr>
          <w:color w:val="231F20"/>
          <w:w w:val="105"/>
        </w:rPr>
        <w:t>Durante</w:t>
      </w:r>
      <w:r>
        <w:rPr>
          <w:color w:val="231F20"/>
          <w:spacing w:val="-29"/>
          <w:w w:val="105"/>
        </w:rPr>
        <w:t> </w:t>
      </w:r>
      <w:r>
        <w:rPr>
          <w:color w:val="231F20"/>
          <w:w w:val="105"/>
        </w:rPr>
        <w:t>los</w:t>
      </w:r>
      <w:r>
        <w:rPr>
          <w:color w:val="231F20"/>
          <w:spacing w:val="-29"/>
          <w:w w:val="105"/>
        </w:rPr>
        <w:t> </w:t>
      </w:r>
      <w:r>
        <w:rPr>
          <w:color w:val="231F20"/>
          <w:w w:val="105"/>
        </w:rPr>
        <w:t>años</w:t>
      </w:r>
      <w:r>
        <w:rPr>
          <w:color w:val="231F20"/>
          <w:spacing w:val="-29"/>
          <w:w w:val="105"/>
        </w:rPr>
        <w:t> </w:t>
      </w:r>
      <w:r>
        <w:rPr>
          <w:color w:val="231F20"/>
          <w:w w:val="105"/>
        </w:rPr>
        <w:t>setenta,</w:t>
      </w:r>
      <w:r>
        <w:rPr>
          <w:color w:val="231F20"/>
          <w:spacing w:val="-34"/>
          <w:w w:val="105"/>
        </w:rPr>
        <w:t> </w:t>
      </w:r>
      <w:r>
        <w:rPr>
          <w:color w:val="231F20"/>
          <w:w w:val="105"/>
        </w:rPr>
        <w:t>el</w:t>
      </w:r>
      <w:r>
        <w:rPr>
          <w:color w:val="231F20"/>
          <w:spacing w:val="-29"/>
          <w:w w:val="105"/>
        </w:rPr>
        <w:t> </w:t>
      </w:r>
      <w:r>
        <w:rPr>
          <w:color w:val="231F20"/>
          <w:w w:val="105"/>
        </w:rPr>
        <w:t>keynesianismo</w:t>
      </w:r>
      <w:r>
        <w:rPr>
          <w:color w:val="231F20"/>
          <w:spacing w:val="-29"/>
          <w:w w:val="105"/>
        </w:rPr>
        <w:t> </w:t>
      </w:r>
      <w:r>
        <w:rPr>
          <w:color w:val="231F20"/>
          <w:w w:val="105"/>
        </w:rPr>
        <w:t>se</w:t>
      </w:r>
      <w:r>
        <w:rPr>
          <w:color w:val="231F20"/>
          <w:spacing w:val="-29"/>
          <w:w w:val="105"/>
        </w:rPr>
        <w:t> </w:t>
      </w:r>
      <w:r>
        <w:rPr>
          <w:color w:val="231F20"/>
          <w:w w:val="105"/>
        </w:rPr>
        <w:t>situó</w:t>
      </w:r>
      <w:r>
        <w:rPr>
          <w:color w:val="231F20"/>
          <w:spacing w:val="-29"/>
          <w:w w:val="105"/>
        </w:rPr>
        <w:t> </w:t>
      </w:r>
      <w:r>
        <w:rPr>
          <w:color w:val="231F20"/>
          <w:w w:val="105"/>
        </w:rPr>
        <w:t>en</w:t>
      </w:r>
      <w:r>
        <w:rPr>
          <w:color w:val="231F20"/>
          <w:spacing w:val="-29"/>
          <w:w w:val="105"/>
        </w:rPr>
        <w:t> </w:t>
      </w:r>
      <w:r>
        <w:rPr>
          <w:color w:val="231F20"/>
          <w:w w:val="105"/>
        </w:rPr>
        <w:t>el</w:t>
      </w:r>
      <w:r>
        <w:rPr>
          <w:color w:val="231F20"/>
          <w:spacing w:val="-29"/>
          <w:w w:val="105"/>
        </w:rPr>
        <w:t> </w:t>
      </w:r>
      <w:r>
        <w:rPr>
          <w:color w:val="231F20"/>
          <w:w w:val="105"/>
        </w:rPr>
        <w:t>centro</w:t>
      </w:r>
      <w:r>
        <w:rPr>
          <w:color w:val="231F20"/>
          <w:spacing w:val="-29"/>
          <w:w w:val="105"/>
        </w:rPr>
        <w:t> </w:t>
      </w:r>
      <w:r>
        <w:rPr>
          <w:color w:val="231F20"/>
          <w:w w:val="105"/>
        </w:rPr>
        <w:t>de</w:t>
      </w:r>
      <w:r>
        <w:rPr>
          <w:color w:val="231F20"/>
          <w:spacing w:val="-29"/>
          <w:w w:val="105"/>
        </w:rPr>
        <w:t> </w:t>
      </w:r>
      <w:r>
        <w:rPr>
          <w:color w:val="231F20"/>
          <w:w w:val="105"/>
        </w:rPr>
        <w:t>un</w:t>
      </w:r>
      <w:r>
        <w:rPr>
          <w:color w:val="231F20"/>
          <w:spacing w:val="-29"/>
          <w:w w:val="105"/>
        </w:rPr>
        <w:t> </w:t>
      </w:r>
      <w:r>
        <w:rPr>
          <w:color w:val="231F20"/>
          <w:w w:val="105"/>
        </w:rPr>
        <w:t>de- bate</w:t>
      </w:r>
      <w:r>
        <w:rPr>
          <w:color w:val="231F20"/>
          <w:spacing w:val="-5"/>
          <w:w w:val="105"/>
        </w:rPr>
        <w:t> </w:t>
      </w:r>
      <w:r>
        <w:rPr>
          <w:color w:val="231F20"/>
          <w:w w:val="105"/>
        </w:rPr>
        <w:t>teórico</w:t>
      </w:r>
      <w:r>
        <w:rPr>
          <w:color w:val="231F20"/>
          <w:spacing w:val="-5"/>
          <w:w w:val="105"/>
        </w:rPr>
        <w:t> </w:t>
      </w:r>
      <w:r>
        <w:rPr>
          <w:color w:val="231F20"/>
          <w:w w:val="105"/>
        </w:rPr>
        <w:t>caracterizado</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crítica</w:t>
      </w:r>
      <w:r>
        <w:rPr>
          <w:color w:val="231F20"/>
          <w:spacing w:val="-5"/>
          <w:w w:val="105"/>
        </w:rPr>
        <w:t> </w:t>
      </w:r>
      <w:r>
        <w:rPr>
          <w:color w:val="231F20"/>
          <w:w w:val="105"/>
        </w:rPr>
        <w:t>directa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general,</w:t>
      </w:r>
      <w:r>
        <w:rPr>
          <w:color w:val="231F20"/>
          <w:spacing w:val="-10"/>
          <w:w w:val="105"/>
        </w:rPr>
        <w:t> </w:t>
      </w:r>
      <w:r>
        <w:rPr>
          <w:color w:val="231F20"/>
          <w:w w:val="105"/>
        </w:rPr>
        <w:t>pues se</w:t>
      </w:r>
      <w:r>
        <w:rPr>
          <w:color w:val="231F20"/>
          <w:spacing w:val="-23"/>
          <w:w w:val="105"/>
        </w:rPr>
        <w:t> </w:t>
      </w:r>
      <w:r>
        <w:rPr>
          <w:color w:val="231F20"/>
          <w:w w:val="105"/>
        </w:rPr>
        <w:t>expuso</w:t>
      </w:r>
      <w:r>
        <w:rPr>
          <w:color w:val="231F20"/>
          <w:spacing w:val="-23"/>
          <w:w w:val="105"/>
        </w:rPr>
        <w:t> </w:t>
      </w:r>
      <w:r>
        <w:rPr>
          <w:color w:val="231F20"/>
          <w:w w:val="105"/>
        </w:rPr>
        <w:t>su</w:t>
      </w:r>
      <w:r>
        <w:rPr>
          <w:color w:val="231F20"/>
          <w:spacing w:val="-23"/>
          <w:w w:val="105"/>
        </w:rPr>
        <w:t> </w:t>
      </w:r>
      <w:r>
        <w:rPr>
          <w:color w:val="231F20"/>
          <w:w w:val="105"/>
        </w:rPr>
        <w:t>carencia</w:t>
      </w:r>
      <w:r>
        <w:rPr>
          <w:color w:val="231F20"/>
          <w:spacing w:val="-23"/>
          <w:w w:val="105"/>
        </w:rPr>
        <w:t> </w:t>
      </w:r>
      <w:r>
        <w:rPr>
          <w:color w:val="231F20"/>
          <w:w w:val="105"/>
        </w:rPr>
        <w:t>de</w:t>
      </w:r>
      <w:r>
        <w:rPr>
          <w:color w:val="231F20"/>
          <w:spacing w:val="-23"/>
          <w:w w:val="105"/>
        </w:rPr>
        <w:t> </w:t>
      </w:r>
      <w:r>
        <w:rPr>
          <w:color w:val="231F20"/>
          <w:w w:val="105"/>
        </w:rPr>
        <w:t>fundamentos</w:t>
      </w:r>
      <w:r>
        <w:rPr>
          <w:color w:val="231F20"/>
          <w:spacing w:val="-23"/>
          <w:w w:val="105"/>
        </w:rPr>
        <w:t> </w:t>
      </w:r>
      <w:r>
        <w:rPr>
          <w:color w:val="231F20"/>
          <w:w w:val="105"/>
        </w:rPr>
        <w:t>microeconómicos</w:t>
      </w:r>
      <w:r>
        <w:rPr>
          <w:color w:val="231F20"/>
          <w:spacing w:val="-23"/>
          <w:w w:val="105"/>
        </w:rPr>
        <w:t> </w:t>
      </w:r>
      <w:r>
        <w:rPr>
          <w:color w:val="231F20"/>
          <w:w w:val="105"/>
        </w:rPr>
        <w:t>sólidos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ex- cesiva</w:t>
      </w:r>
      <w:r>
        <w:rPr>
          <w:color w:val="231F20"/>
          <w:spacing w:val="-7"/>
          <w:w w:val="105"/>
        </w:rPr>
        <w:t> </w:t>
      </w:r>
      <w:r>
        <w:rPr>
          <w:color w:val="231F20"/>
          <w:w w:val="105"/>
        </w:rPr>
        <w:t>importancia</w:t>
      </w:r>
      <w:r>
        <w:rPr>
          <w:color w:val="231F20"/>
          <w:spacing w:val="-7"/>
          <w:w w:val="105"/>
        </w:rPr>
        <w:t> </w:t>
      </w:r>
      <w:r>
        <w:rPr>
          <w:color w:val="231F20"/>
          <w:w w:val="105"/>
        </w:rPr>
        <w:t>que</w:t>
      </w:r>
      <w:r>
        <w:rPr>
          <w:color w:val="231F20"/>
          <w:spacing w:val="-7"/>
          <w:w w:val="105"/>
        </w:rPr>
        <w:t> </w:t>
      </w:r>
      <w:r>
        <w:rPr>
          <w:color w:val="231F20"/>
          <w:w w:val="105"/>
        </w:rPr>
        <w:t>otorgaba</w:t>
      </w:r>
      <w:r>
        <w:rPr>
          <w:color w:val="231F20"/>
          <w:spacing w:val="-7"/>
          <w:w w:val="105"/>
        </w:rPr>
        <w:t> </w:t>
      </w:r>
      <w:r>
        <w:rPr>
          <w:color w:val="231F20"/>
          <w:w w:val="105"/>
        </w:rPr>
        <w:t>a</w:t>
      </w:r>
      <w:r>
        <w:rPr>
          <w:color w:val="231F20"/>
          <w:spacing w:val="-7"/>
          <w:w w:val="105"/>
        </w:rPr>
        <w:t> </w:t>
      </w:r>
      <w:r>
        <w:rPr>
          <w:color w:val="231F20"/>
          <w:w w:val="105"/>
        </w:rPr>
        <w:t>los</w:t>
      </w:r>
      <w:r>
        <w:rPr>
          <w:color w:val="231F20"/>
          <w:spacing w:val="-7"/>
          <w:w w:val="105"/>
        </w:rPr>
        <w:t> </w:t>
      </w:r>
      <w:r>
        <w:rPr>
          <w:color w:val="231F20"/>
          <w:w w:val="105"/>
        </w:rPr>
        <w:t>choques</w:t>
      </w:r>
      <w:r>
        <w:rPr>
          <w:color w:val="231F20"/>
          <w:spacing w:val="-7"/>
          <w:w w:val="105"/>
        </w:rPr>
        <w:t> </w:t>
      </w:r>
      <w:r>
        <w:rPr>
          <w:color w:val="231F20"/>
          <w:w w:val="105"/>
        </w:rPr>
        <w:t>de</w:t>
      </w:r>
      <w:r>
        <w:rPr>
          <w:color w:val="231F20"/>
          <w:spacing w:val="-7"/>
          <w:w w:val="105"/>
        </w:rPr>
        <w:t> </w:t>
      </w:r>
      <w:r>
        <w:rPr>
          <w:color w:val="231F20"/>
          <w:w w:val="105"/>
        </w:rPr>
        <w:t>demanda</w:t>
      </w:r>
      <w:r>
        <w:rPr>
          <w:color w:val="231F20"/>
          <w:spacing w:val="-7"/>
          <w:w w:val="105"/>
        </w:rPr>
        <w:t> </w:t>
      </w:r>
      <w:r>
        <w:rPr>
          <w:color w:val="231F20"/>
          <w:w w:val="105"/>
        </w:rPr>
        <w:t>que</w:t>
      </w:r>
      <w:r>
        <w:rPr>
          <w:color w:val="231F20"/>
          <w:spacing w:val="-7"/>
          <w:w w:val="105"/>
        </w:rPr>
        <w:t> </w:t>
      </w:r>
      <w:r>
        <w:rPr>
          <w:color w:val="231F20"/>
          <w:w w:val="105"/>
        </w:rPr>
        <w:t>sosla- yan</w:t>
      </w:r>
      <w:r>
        <w:rPr>
          <w:color w:val="231F20"/>
          <w:spacing w:val="-10"/>
          <w:w w:val="105"/>
        </w:rPr>
        <w:t> </w:t>
      </w:r>
      <w:r>
        <w:rPr>
          <w:color w:val="231F20"/>
          <w:w w:val="105"/>
        </w:rPr>
        <w:t>el</w:t>
      </w:r>
      <w:r>
        <w:rPr>
          <w:color w:val="231F20"/>
          <w:spacing w:val="-10"/>
          <w:w w:val="105"/>
        </w:rPr>
        <w:t> </w:t>
      </w:r>
      <w:r>
        <w:rPr>
          <w:color w:val="231F20"/>
          <w:w w:val="105"/>
        </w:rPr>
        <w:t>papel</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choques</w:t>
      </w:r>
      <w:r>
        <w:rPr>
          <w:color w:val="231F20"/>
          <w:spacing w:val="-10"/>
          <w:w w:val="105"/>
        </w:rPr>
        <w:t> </w:t>
      </w:r>
      <w:r>
        <w:rPr>
          <w:color w:val="231F20"/>
          <w:w w:val="105"/>
        </w:rPr>
        <w:t>de</w:t>
      </w:r>
      <w:r>
        <w:rPr>
          <w:color w:val="231F20"/>
          <w:spacing w:val="-10"/>
          <w:w w:val="105"/>
        </w:rPr>
        <w:t> </w:t>
      </w:r>
      <w:r>
        <w:rPr>
          <w:color w:val="231F20"/>
          <w:w w:val="105"/>
        </w:rPr>
        <w:t>oferta</w:t>
      </w:r>
      <w:r>
        <w:rPr>
          <w:color w:val="231F20"/>
          <w:spacing w:val="-10"/>
          <w:w w:val="105"/>
        </w:rPr>
        <w:t> </w:t>
      </w:r>
      <w:r>
        <w:rPr>
          <w:color w:val="231F20"/>
          <w:w w:val="105"/>
        </w:rPr>
        <w:t>dentro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teoría</w:t>
      </w:r>
      <w:r>
        <w:rPr>
          <w:color w:val="231F20"/>
          <w:spacing w:val="-10"/>
          <w:w w:val="105"/>
        </w:rPr>
        <w:t> </w:t>
      </w:r>
      <w:r>
        <w:rPr>
          <w:color w:val="231F20"/>
          <w:w w:val="105"/>
        </w:rPr>
        <w:t>económica.</w:t>
      </w:r>
    </w:p>
    <w:p>
      <w:pPr>
        <w:pStyle w:val="BodyText"/>
        <w:spacing w:line="259" w:lineRule="auto"/>
        <w:ind w:left="117" w:right="115" w:firstLine="567"/>
        <w:jc w:val="both"/>
      </w:pPr>
      <w:r>
        <w:rPr>
          <w:color w:val="231F20"/>
          <w:spacing w:val="-4"/>
          <w:w w:val="105"/>
        </w:rPr>
        <w:t>Para</w:t>
      </w:r>
      <w:r>
        <w:rPr>
          <w:color w:val="231F20"/>
          <w:spacing w:val="-13"/>
          <w:w w:val="105"/>
        </w:rPr>
        <w:t> </w:t>
      </w:r>
      <w:r>
        <w:rPr>
          <w:color w:val="231F20"/>
          <w:w w:val="105"/>
        </w:rPr>
        <w:t>dar</w:t>
      </w:r>
      <w:r>
        <w:rPr>
          <w:color w:val="231F20"/>
          <w:spacing w:val="-13"/>
          <w:w w:val="105"/>
        </w:rPr>
        <w:t> </w:t>
      </w:r>
      <w:r>
        <w:rPr>
          <w:color w:val="231F20"/>
          <w:w w:val="105"/>
        </w:rPr>
        <w:t>respuesta</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críticas</w:t>
      </w:r>
      <w:r>
        <w:rPr>
          <w:color w:val="231F20"/>
          <w:spacing w:val="-13"/>
          <w:w w:val="105"/>
        </w:rPr>
        <w:t> </w:t>
      </w:r>
      <w:r>
        <w:rPr>
          <w:color w:val="231F20"/>
          <w:w w:val="105"/>
        </w:rPr>
        <w:t>planteadas,</w:t>
      </w:r>
      <w:r>
        <w:rPr>
          <w:color w:val="231F20"/>
          <w:spacing w:val="-18"/>
          <w:w w:val="105"/>
        </w:rPr>
        <w:t> </w:t>
      </w:r>
      <w:r>
        <w:rPr>
          <w:color w:val="231F20"/>
          <w:w w:val="105"/>
        </w:rPr>
        <w:t>durante</w:t>
      </w:r>
      <w:r>
        <w:rPr>
          <w:color w:val="231F20"/>
          <w:spacing w:val="-13"/>
          <w:w w:val="105"/>
        </w:rPr>
        <w:t> </w:t>
      </w:r>
      <w:r>
        <w:rPr>
          <w:color w:val="231F20"/>
          <w:w w:val="105"/>
        </w:rPr>
        <w:t>la</w:t>
      </w:r>
      <w:r>
        <w:rPr>
          <w:color w:val="231F20"/>
          <w:spacing w:val="-13"/>
          <w:w w:val="105"/>
        </w:rPr>
        <w:t> </w:t>
      </w:r>
      <w:r>
        <w:rPr>
          <w:color w:val="231F20"/>
          <w:w w:val="105"/>
        </w:rPr>
        <w:t>década</w:t>
      </w:r>
      <w:r>
        <w:rPr>
          <w:color w:val="231F20"/>
          <w:spacing w:val="-13"/>
          <w:w w:val="105"/>
        </w:rPr>
        <w:t> </w:t>
      </w:r>
      <w:r>
        <w:rPr>
          <w:color w:val="231F20"/>
          <w:w w:val="105"/>
        </w:rPr>
        <w:t>de los</w:t>
      </w:r>
      <w:r>
        <w:rPr>
          <w:color w:val="231F20"/>
          <w:spacing w:val="-18"/>
          <w:w w:val="105"/>
        </w:rPr>
        <w:t> </w:t>
      </w:r>
      <w:r>
        <w:rPr>
          <w:color w:val="231F20"/>
          <w:w w:val="105"/>
        </w:rPr>
        <w:t>ochenta</w:t>
      </w:r>
      <w:r>
        <w:rPr>
          <w:color w:val="231F20"/>
          <w:spacing w:val="-18"/>
          <w:w w:val="105"/>
        </w:rPr>
        <w:t> </w:t>
      </w:r>
      <w:r>
        <w:rPr>
          <w:color w:val="231F20"/>
          <w:w w:val="105"/>
        </w:rPr>
        <w:t>se</w:t>
      </w:r>
      <w:r>
        <w:rPr>
          <w:color w:val="231F20"/>
          <w:spacing w:val="-18"/>
          <w:w w:val="105"/>
        </w:rPr>
        <w:t> </w:t>
      </w:r>
      <w:r>
        <w:rPr>
          <w:color w:val="231F20"/>
          <w:w w:val="105"/>
        </w:rPr>
        <w:t>desarrolló</w:t>
      </w:r>
      <w:r>
        <w:rPr>
          <w:color w:val="231F20"/>
          <w:spacing w:val="-18"/>
          <w:w w:val="105"/>
        </w:rPr>
        <w:t> </w:t>
      </w:r>
      <w:r>
        <w:rPr>
          <w:color w:val="231F20"/>
          <w:w w:val="105"/>
        </w:rPr>
        <w:t>una</w:t>
      </w:r>
      <w:r>
        <w:rPr>
          <w:color w:val="231F20"/>
          <w:spacing w:val="-18"/>
          <w:w w:val="105"/>
        </w:rPr>
        <w:t> </w:t>
      </w:r>
      <w:r>
        <w:rPr>
          <w:color w:val="231F20"/>
          <w:w w:val="105"/>
        </w:rPr>
        <w:t>corriente</w:t>
      </w:r>
      <w:r>
        <w:rPr>
          <w:color w:val="231F20"/>
          <w:spacing w:val="-18"/>
          <w:w w:val="105"/>
        </w:rPr>
        <w:t> </w:t>
      </w:r>
      <w:r>
        <w:rPr>
          <w:color w:val="231F20"/>
          <w:w w:val="105"/>
        </w:rPr>
        <w:t>ortodoxa</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le</w:t>
      </w:r>
      <w:r>
        <w:rPr>
          <w:color w:val="231F20"/>
          <w:spacing w:val="-18"/>
          <w:w w:val="105"/>
        </w:rPr>
        <w:t> </w:t>
      </w:r>
      <w:r>
        <w:rPr>
          <w:color w:val="231F20"/>
          <w:w w:val="105"/>
        </w:rPr>
        <w:t>denominó nueva economía keynesiana (NEK),</w:t>
      </w:r>
      <w:r>
        <w:rPr>
          <w:color w:val="231F20"/>
          <w:spacing w:val="-44"/>
          <w:w w:val="105"/>
        </w:rPr>
        <w:t> </w:t>
      </w:r>
      <w:r>
        <w:rPr>
          <w:color w:val="231F20"/>
          <w:w w:val="105"/>
        </w:rPr>
        <w:t>y que se refiere a la nueva versión de la teoría macroeconómica que recoge la tradición keynesiana pero apoyándose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moderna</w:t>
      </w:r>
      <w:r>
        <w:rPr>
          <w:color w:val="231F20"/>
          <w:spacing w:val="-18"/>
          <w:w w:val="105"/>
        </w:rPr>
        <w:t> </w:t>
      </w:r>
      <w:r>
        <w:rPr>
          <w:color w:val="231F20"/>
          <w:w w:val="105"/>
        </w:rPr>
        <w:t>teoría</w:t>
      </w:r>
      <w:r>
        <w:rPr>
          <w:color w:val="231F20"/>
          <w:spacing w:val="-18"/>
          <w:w w:val="105"/>
        </w:rPr>
        <w:t> </w:t>
      </w:r>
      <w:r>
        <w:rPr>
          <w:color w:val="231F20"/>
          <w:w w:val="105"/>
        </w:rPr>
        <w:t>microeconómica.</w:t>
      </w:r>
      <w:r>
        <w:rPr>
          <w:color w:val="231F20"/>
          <w:spacing w:val="-23"/>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estado</w:t>
      </w:r>
      <w:r>
        <w:rPr>
          <w:color w:val="231F20"/>
          <w:spacing w:val="-18"/>
          <w:w w:val="105"/>
        </w:rPr>
        <w:t> </w:t>
      </w:r>
      <w:r>
        <w:rPr>
          <w:color w:val="231F20"/>
          <w:w w:val="105"/>
        </w:rPr>
        <w:t>actual, la</w:t>
      </w:r>
      <w:r>
        <w:rPr>
          <w:color w:val="231F20"/>
          <w:spacing w:val="-10"/>
          <w:w w:val="105"/>
        </w:rPr>
        <w:t> </w:t>
      </w:r>
      <w:r>
        <w:rPr>
          <w:color w:val="231F20"/>
          <w:w w:val="105"/>
        </w:rPr>
        <w:t>NEK</w:t>
      </w:r>
      <w:r>
        <w:rPr>
          <w:color w:val="231F20"/>
          <w:spacing w:val="-13"/>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conjunto</w:t>
      </w:r>
      <w:r>
        <w:rPr>
          <w:color w:val="231F20"/>
          <w:spacing w:val="-10"/>
          <w:w w:val="105"/>
        </w:rPr>
        <w:t> </w:t>
      </w:r>
      <w:r>
        <w:rPr>
          <w:color w:val="231F20"/>
          <w:w w:val="105"/>
        </w:rPr>
        <w:t>de</w:t>
      </w:r>
      <w:r>
        <w:rPr>
          <w:color w:val="231F20"/>
          <w:spacing w:val="-10"/>
          <w:w w:val="105"/>
        </w:rPr>
        <w:t> </w:t>
      </w:r>
      <w:r>
        <w:rPr>
          <w:color w:val="231F20"/>
          <w:w w:val="105"/>
        </w:rPr>
        <w:t>teorías</w:t>
      </w:r>
      <w:r>
        <w:rPr>
          <w:color w:val="231F20"/>
          <w:spacing w:val="-10"/>
          <w:w w:val="105"/>
        </w:rPr>
        <w:t> </w:t>
      </w:r>
      <w:r>
        <w:rPr>
          <w:color w:val="231F20"/>
          <w:w w:val="105"/>
        </w:rPr>
        <w:t>cuya</w:t>
      </w:r>
      <w:r>
        <w:rPr>
          <w:color w:val="231F20"/>
          <w:spacing w:val="-10"/>
          <w:w w:val="105"/>
        </w:rPr>
        <w:t> </w:t>
      </w:r>
      <w:r>
        <w:rPr>
          <w:color w:val="231F20"/>
          <w:w w:val="105"/>
        </w:rPr>
        <w:t>amplitud</w:t>
      </w:r>
      <w:r>
        <w:rPr>
          <w:color w:val="231F20"/>
          <w:spacing w:val="-10"/>
          <w:w w:val="105"/>
        </w:rPr>
        <w:t> </w:t>
      </w:r>
      <w:r>
        <w:rPr>
          <w:color w:val="231F20"/>
          <w:w w:val="105"/>
        </w:rPr>
        <w:t>y</w:t>
      </w:r>
      <w:r>
        <w:rPr>
          <w:color w:val="231F20"/>
          <w:spacing w:val="-10"/>
          <w:w w:val="105"/>
        </w:rPr>
        <w:t> </w:t>
      </w:r>
      <w:r>
        <w:rPr>
          <w:color w:val="231F20"/>
          <w:w w:val="105"/>
        </w:rPr>
        <w:t>diversidad</w:t>
      </w:r>
      <w:r>
        <w:rPr>
          <w:color w:val="231F20"/>
          <w:spacing w:val="-10"/>
          <w:w w:val="105"/>
        </w:rPr>
        <w:t> </w:t>
      </w:r>
      <w:r>
        <w:rPr>
          <w:color w:val="231F20"/>
          <w:w w:val="105"/>
        </w:rPr>
        <w:t>permiten</w:t>
      </w:r>
      <w:r>
        <w:rPr>
          <w:color w:val="231F20"/>
          <w:spacing w:val="-10"/>
          <w:w w:val="105"/>
        </w:rPr>
        <w:t> </w:t>
      </w:r>
      <w:r>
        <w:rPr>
          <w:color w:val="231F20"/>
          <w:w w:val="105"/>
        </w:rPr>
        <w:t>la coexistencia</w:t>
      </w:r>
      <w:r>
        <w:rPr>
          <w:color w:val="231F20"/>
          <w:spacing w:val="-26"/>
          <w:w w:val="105"/>
        </w:rPr>
        <w:t> </w:t>
      </w:r>
      <w:r>
        <w:rPr>
          <w:color w:val="231F20"/>
          <w:w w:val="105"/>
        </w:rPr>
        <w:t>de</w:t>
      </w:r>
      <w:r>
        <w:rPr>
          <w:color w:val="231F20"/>
          <w:spacing w:val="-26"/>
          <w:w w:val="105"/>
        </w:rPr>
        <w:t> </w:t>
      </w:r>
      <w:r>
        <w:rPr>
          <w:color w:val="231F20"/>
          <w:w w:val="105"/>
        </w:rPr>
        <w:t>modelos</w:t>
      </w:r>
      <w:r>
        <w:rPr>
          <w:color w:val="231F20"/>
          <w:spacing w:val="-26"/>
          <w:w w:val="105"/>
        </w:rPr>
        <w:t> </w:t>
      </w:r>
      <w:r>
        <w:rPr>
          <w:color w:val="231F20"/>
          <w:w w:val="105"/>
        </w:rPr>
        <w:t>con</w:t>
      </w:r>
      <w:r>
        <w:rPr>
          <w:color w:val="231F20"/>
          <w:spacing w:val="-26"/>
          <w:w w:val="105"/>
        </w:rPr>
        <w:t> </w:t>
      </w:r>
      <w:r>
        <w:rPr>
          <w:color w:val="231F20"/>
          <w:w w:val="105"/>
        </w:rPr>
        <w:t>resultados</w:t>
      </w:r>
      <w:r>
        <w:rPr>
          <w:color w:val="231F20"/>
          <w:spacing w:val="-26"/>
          <w:w w:val="105"/>
        </w:rPr>
        <w:t> </w:t>
      </w:r>
      <w:r>
        <w:rPr>
          <w:color w:val="231F20"/>
          <w:w w:val="105"/>
        </w:rPr>
        <w:t>a</w:t>
      </w:r>
      <w:r>
        <w:rPr>
          <w:color w:val="231F20"/>
          <w:spacing w:val="-26"/>
          <w:w w:val="105"/>
        </w:rPr>
        <w:t> </w:t>
      </w:r>
      <w:r>
        <w:rPr>
          <w:color w:val="231F20"/>
          <w:w w:val="105"/>
        </w:rPr>
        <w:t>veces</w:t>
      </w:r>
      <w:r>
        <w:rPr>
          <w:color w:val="231F20"/>
          <w:spacing w:val="-26"/>
          <w:w w:val="105"/>
        </w:rPr>
        <w:t> </w:t>
      </w:r>
      <w:r>
        <w:rPr>
          <w:color w:val="231F20"/>
          <w:w w:val="105"/>
        </w:rPr>
        <w:t>contrapuestos.</w:t>
      </w:r>
      <w:r>
        <w:rPr>
          <w:color w:val="231F20"/>
          <w:w w:val="105"/>
          <w:position w:val="7"/>
          <w:sz w:val="12"/>
        </w:rPr>
        <w:t>5</w:t>
      </w:r>
      <w:r>
        <w:rPr>
          <w:color w:val="231F20"/>
          <w:spacing w:val="1"/>
          <w:w w:val="105"/>
          <w:position w:val="7"/>
          <w:sz w:val="12"/>
        </w:rPr>
        <w:t> </w:t>
      </w:r>
      <w:r>
        <w:rPr>
          <w:color w:val="231F20"/>
          <w:w w:val="105"/>
        </w:rPr>
        <w:t>Su</w:t>
      </w:r>
      <w:r>
        <w:rPr>
          <w:color w:val="231F20"/>
          <w:spacing w:val="-26"/>
          <w:w w:val="105"/>
        </w:rPr>
        <w:t> </w:t>
      </w:r>
      <w:r>
        <w:rPr>
          <w:color w:val="231F20"/>
          <w:w w:val="105"/>
        </w:rPr>
        <w:t>prin- cipal</w:t>
      </w:r>
      <w:r>
        <w:rPr>
          <w:color w:val="231F20"/>
          <w:spacing w:val="-17"/>
          <w:w w:val="105"/>
        </w:rPr>
        <w:t> </w:t>
      </w:r>
      <w:r>
        <w:rPr>
          <w:color w:val="231F20"/>
          <w:w w:val="105"/>
        </w:rPr>
        <w:t>propósito</w:t>
      </w:r>
      <w:r>
        <w:rPr>
          <w:color w:val="231F20"/>
          <w:spacing w:val="-17"/>
          <w:w w:val="105"/>
        </w:rPr>
        <w:t> </w:t>
      </w:r>
      <w:r>
        <w:rPr>
          <w:color w:val="231F20"/>
          <w:w w:val="105"/>
        </w:rPr>
        <w:t>es</w:t>
      </w:r>
      <w:r>
        <w:rPr>
          <w:color w:val="231F20"/>
          <w:spacing w:val="-17"/>
          <w:w w:val="105"/>
        </w:rPr>
        <w:t> </w:t>
      </w:r>
      <w:r>
        <w:rPr>
          <w:color w:val="231F20"/>
          <w:w w:val="105"/>
        </w:rPr>
        <w:t>brindar</w:t>
      </w:r>
      <w:r>
        <w:rPr>
          <w:color w:val="231F20"/>
          <w:spacing w:val="-17"/>
          <w:w w:val="105"/>
        </w:rPr>
        <w:t> </w:t>
      </w:r>
      <w:r>
        <w:rPr>
          <w:color w:val="231F20"/>
          <w:w w:val="105"/>
        </w:rPr>
        <w:t>los</w:t>
      </w:r>
      <w:r>
        <w:rPr>
          <w:color w:val="231F20"/>
          <w:spacing w:val="-17"/>
          <w:w w:val="105"/>
        </w:rPr>
        <w:t> </w:t>
      </w:r>
      <w:r>
        <w:rPr>
          <w:color w:val="231F20"/>
          <w:w w:val="105"/>
        </w:rPr>
        <w:t>fundamentos</w:t>
      </w:r>
      <w:r>
        <w:rPr>
          <w:color w:val="231F20"/>
          <w:spacing w:val="-17"/>
          <w:w w:val="105"/>
        </w:rPr>
        <w:t> </w:t>
      </w:r>
      <w:r>
        <w:rPr>
          <w:color w:val="231F20"/>
          <w:w w:val="105"/>
        </w:rPr>
        <w:t>micro</w:t>
      </w:r>
      <w:r>
        <w:rPr>
          <w:color w:val="231F20"/>
          <w:spacing w:val="-17"/>
          <w:w w:val="105"/>
        </w:rPr>
        <w:t> </w:t>
      </w:r>
      <w:r>
        <w:rPr>
          <w:color w:val="231F20"/>
          <w:w w:val="105"/>
        </w:rPr>
        <w:t>teóricos</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dos</w:t>
      </w:r>
      <w:r>
        <w:rPr>
          <w:color w:val="231F20"/>
          <w:spacing w:val="-17"/>
          <w:w w:val="105"/>
        </w:rPr>
        <w:t> </w:t>
      </w:r>
      <w:r>
        <w:rPr>
          <w:color w:val="231F20"/>
          <w:w w:val="105"/>
        </w:rPr>
        <w:t>pro- posiciones</w:t>
      </w:r>
      <w:r>
        <w:rPr>
          <w:color w:val="231F20"/>
          <w:spacing w:val="-16"/>
          <w:w w:val="105"/>
        </w:rPr>
        <w:t> </w:t>
      </w:r>
      <w:r>
        <w:rPr>
          <w:color w:val="231F20"/>
          <w:w w:val="105"/>
        </w:rPr>
        <w:t>principales</w:t>
      </w:r>
      <w:r>
        <w:rPr>
          <w:color w:val="231F20"/>
          <w:spacing w:val="-16"/>
          <w:w w:val="105"/>
        </w:rPr>
        <w:t> </w:t>
      </w:r>
      <w:r>
        <w:rPr>
          <w:color w:val="231F20"/>
          <w:w w:val="105"/>
        </w:rPr>
        <w:t>del</w:t>
      </w:r>
      <w:r>
        <w:rPr>
          <w:color w:val="231F20"/>
          <w:spacing w:val="-16"/>
          <w:w w:val="105"/>
        </w:rPr>
        <w:t> </w:t>
      </w:r>
      <w:r>
        <w:rPr>
          <w:color w:val="231F20"/>
          <w:w w:val="105"/>
        </w:rPr>
        <w:t>keynesianismo: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posibilidad</w:t>
      </w:r>
      <w:r>
        <w:rPr>
          <w:color w:val="231F20"/>
          <w:spacing w:val="-16"/>
          <w:w w:val="105"/>
        </w:rPr>
        <w:t> </w:t>
      </w:r>
      <w:r>
        <w:rPr>
          <w:color w:val="231F20"/>
          <w:w w:val="105"/>
        </w:rPr>
        <w:t>de</w:t>
      </w:r>
      <w:r>
        <w:rPr>
          <w:color w:val="231F20"/>
          <w:spacing w:val="-16"/>
          <w:w w:val="105"/>
        </w:rPr>
        <w:t> </w:t>
      </w:r>
      <w:r>
        <w:rPr>
          <w:color w:val="231F20"/>
          <w:w w:val="105"/>
        </w:rPr>
        <w:t>existencia del equilibrio asociado al desempleo involuntario; </w:t>
      </w:r>
      <w:r>
        <w:rPr>
          <w:color w:val="231F20"/>
          <w:spacing w:val="-4"/>
          <w:w w:val="105"/>
        </w:rPr>
        <w:t>y, </w:t>
      </w:r>
      <w:r>
        <w:rPr>
          <w:color w:val="231F20"/>
          <w:w w:val="105"/>
        </w:rPr>
        <w:t>b) la efectividad</w:t>
      </w:r>
      <w:r>
        <w:rPr>
          <w:color w:val="231F20"/>
          <w:spacing w:val="-28"/>
          <w:w w:val="105"/>
        </w:rPr>
        <w:t> </w:t>
      </w:r>
      <w:r>
        <w:rPr>
          <w:color w:val="231F20"/>
          <w:w w:val="105"/>
        </w:rPr>
        <w:t>de la</w:t>
      </w:r>
      <w:r>
        <w:rPr>
          <w:color w:val="231F20"/>
          <w:spacing w:val="-17"/>
          <w:w w:val="105"/>
        </w:rPr>
        <w:t> </w:t>
      </w:r>
      <w:r>
        <w:rPr>
          <w:color w:val="231F20"/>
          <w:w w:val="105"/>
        </w:rPr>
        <w:t>política</w:t>
      </w:r>
      <w:r>
        <w:rPr>
          <w:color w:val="231F20"/>
          <w:spacing w:val="-17"/>
          <w:w w:val="105"/>
        </w:rPr>
        <w:t> </w:t>
      </w:r>
      <w:r>
        <w:rPr>
          <w:color w:val="231F20"/>
          <w:w w:val="105"/>
        </w:rPr>
        <w:t>de</w:t>
      </w:r>
      <w:r>
        <w:rPr>
          <w:color w:val="231F20"/>
          <w:spacing w:val="-17"/>
          <w:w w:val="105"/>
        </w:rPr>
        <w:t> </w:t>
      </w:r>
      <w:r>
        <w:rPr>
          <w:color w:val="231F20"/>
          <w:w w:val="105"/>
        </w:rPr>
        <w:t>demanda</w:t>
      </w:r>
      <w:r>
        <w:rPr>
          <w:color w:val="231F20"/>
          <w:spacing w:val="-17"/>
          <w:w w:val="105"/>
        </w:rPr>
        <w:t> </w:t>
      </w:r>
      <w:r>
        <w:rPr>
          <w:color w:val="231F20"/>
          <w:w w:val="105"/>
        </w:rPr>
        <w:t>concretizada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no</w:t>
      </w:r>
      <w:r>
        <w:rPr>
          <w:color w:val="231F20"/>
          <w:spacing w:val="-17"/>
          <w:w w:val="105"/>
        </w:rPr>
        <w:t> </w:t>
      </w:r>
      <w:r>
        <w:rPr>
          <w:color w:val="231F20"/>
          <w:w w:val="105"/>
        </w:rPr>
        <w:t>neutralidad</w:t>
      </w:r>
      <w:r>
        <w:rPr>
          <w:color w:val="231F20"/>
          <w:spacing w:val="-17"/>
          <w:w w:val="105"/>
        </w:rPr>
        <w:t> </w:t>
      </w:r>
      <w:r>
        <w:rPr>
          <w:color w:val="231F20"/>
          <w:w w:val="105"/>
        </w:rPr>
        <w:t>del</w:t>
      </w:r>
      <w:r>
        <w:rPr>
          <w:color w:val="231F20"/>
          <w:spacing w:val="-17"/>
          <w:w w:val="105"/>
        </w:rPr>
        <w:t> </w:t>
      </w:r>
      <w:r>
        <w:rPr>
          <w:color w:val="231F20"/>
          <w:w w:val="105"/>
        </w:rPr>
        <w:t>dinero</w:t>
      </w:r>
      <w:r>
        <w:rPr>
          <w:color w:val="231F20"/>
          <w:spacing w:val="-17"/>
          <w:w w:val="105"/>
        </w:rPr>
        <w:t> </w:t>
      </w:r>
      <w:r>
        <w:rPr>
          <w:color w:val="231F20"/>
          <w:w w:val="105"/>
        </w:rPr>
        <w:t>en</w:t>
      </w:r>
      <w:r>
        <w:rPr>
          <w:color w:val="231F20"/>
          <w:spacing w:val="-17"/>
          <w:w w:val="105"/>
        </w:rPr>
        <w:t> </w:t>
      </w:r>
      <w:r>
        <w:rPr>
          <w:color w:val="231F20"/>
          <w:w w:val="105"/>
        </w:rPr>
        <w:t>el corto</w:t>
      </w:r>
      <w:r>
        <w:rPr>
          <w:color w:val="231F20"/>
          <w:spacing w:val="-42"/>
          <w:w w:val="105"/>
        </w:rPr>
        <w:t> </w:t>
      </w:r>
      <w:r>
        <w:rPr>
          <w:color w:val="231F20"/>
          <w:w w:val="105"/>
        </w:rPr>
        <w:t>plazo</w:t>
      </w:r>
      <w:r>
        <w:rPr>
          <w:color w:val="231F20"/>
          <w:spacing w:val="-42"/>
          <w:w w:val="105"/>
        </w:rPr>
        <w:t> </w:t>
      </w:r>
      <w:r>
        <w:rPr>
          <w:color w:val="231F20"/>
          <w:w w:val="105"/>
        </w:rPr>
        <w:t>(León-Díaz,</w:t>
      </w:r>
      <w:r>
        <w:rPr>
          <w:color w:val="231F20"/>
          <w:spacing w:val="-45"/>
          <w:w w:val="105"/>
        </w:rPr>
        <w:t> </w:t>
      </w:r>
      <w:r>
        <w:rPr>
          <w:color w:val="231F20"/>
          <w:w w:val="105"/>
        </w:rPr>
        <w:t>2007).</w:t>
      </w:r>
    </w:p>
    <w:p>
      <w:pPr>
        <w:pStyle w:val="BodyText"/>
        <w:spacing w:line="259" w:lineRule="auto"/>
        <w:ind w:left="117" w:right="121" w:firstLine="567"/>
        <w:jc w:val="both"/>
      </w:pPr>
      <w:r>
        <w:rPr>
          <w:color w:val="231F20"/>
          <w:w w:val="105"/>
        </w:rPr>
        <w:t>En</w:t>
      </w:r>
      <w:r>
        <w:rPr>
          <w:color w:val="231F20"/>
          <w:spacing w:val="-22"/>
          <w:w w:val="105"/>
        </w:rPr>
        <w:t> </w:t>
      </w:r>
      <w:r>
        <w:rPr>
          <w:color w:val="231F20"/>
          <w:w w:val="105"/>
        </w:rPr>
        <w:t>ese</w:t>
      </w:r>
      <w:r>
        <w:rPr>
          <w:color w:val="231F20"/>
          <w:spacing w:val="-22"/>
          <w:w w:val="105"/>
        </w:rPr>
        <w:t> </w:t>
      </w:r>
      <w:r>
        <w:rPr>
          <w:color w:val="231F20"/>
          <w:w w:val="105"/>
        </w:rPr>
        <w:t>sentido,</w:t>
      </w:r>
      <w:r>
        <w:rPr>
          <w:color w:val="231F20"/>
          <w:spacing w:val="-27"/>
          <w:w w:val="105"/>
        </w:rPr>
        <w:t> </w:t>
      </w:r>
      <w:r>
        <w:rPr>
          <w:color w:val="231F20"/>
          <w:w w:val="105"/>
        </w:rPr>
        <w:t>dentro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NEK</w:t>
      </w:r>
      <w:r>
        <w:rPr>
          <w:color w:val="231F20"/>
          <w:spacing w:val="-24"/>
          <w:w w:val="105"/>
        </w:rPr>
        <w:t> </w:t>
      </w:r>
      <w:r>
        <w:rPr>
          <w:color w:val="231F20"/>
          <w:w w:val="105"/>
        </w:rPr>
        <w:t>han</w:t>
      </w:r>
      <w:r>
        <w:rPr>
          <w:color w:val="231F20"/>
          <w:spacing w:val="-22"/>
          <w:w w:val="105"/>
        </w:rPr>
        <w:t> </w:t>
      </w:r>
      <w:r>
        <w:rPr>
          <w:color w:val="231F20"/>
          <w:w w:val="105"/>
        </w:rPr>
        <w:t>surgido</w:t>
      </w:r>
      <w:r>
        <w:rPr>
          <w:color w:val="231F20"/>
          <w:spacing w:val="-22"/>
          <w:w w:val="105"/>
        </w:rPr>
        <w:t> </w:t>
      </w:r>
      <w:r>
        <w:rPr>
          <w:color w:val="231F20"/>
          <w:w w:val="105"/>
        </w:rPr>
        <w:t>distintas</w:t>
      </w:r>
      <w:r>
        <w:rPr>
          <w:color w:val="231F20"/>
          <w:spacing w:val="-22"/>
          <w:w w:val="105"/>
        </w:rPr>
        <w:t> </w:t>
      </w:r>
      <w:r>
        <w:rPr>
          <w:color w:val="231F20"/>
          <w:w w:val="105"/>
        </w:rPr>
        <w:t>líneas</w:t>
      </w:r>
      <w:r>
        <w:rPr>
          <w:color w:val="231F20"/>
          <w:spacing w:val="-22"/>
          <w:w w:val="105"/>
        </w:rPr>
        <w:t> </w:t>
      </w:r>
      <w:r>
        <w:rPr>
          <w:color w:val="231F20"/>
          <w:w w:val="105"/>
        </w:rPr>
        <w:t>de</w:t>
      </w:r>
      <w:r>
        <w:rPr>
          <w:color w:val="231F20"/>
          <w:spacing w:val="-22"/>
          <w:w w:val="105"/>
        </w:rPr>
        <w:t> </w:t>
      </w:r>
      <w:r>
        <w:rPr>
          <w:color w:val="231F20"/>
          <w:w w:val="105"/>
        </w:rPr>
        <w:t>in- vestigación,</w:t>
      </w:r>
      <w:r>
        <w:rPr>
          <w:color w:val="231F20"/>
          <w:spacing w:val="-20"/>
          <w:w w:val="105"/>
        </w:rPr>
        <w:t> </w:t>
      </w:r>
      <w:r>
        <w:rPr>
          <w:color w:val="231F20"/>
          <w:w w:val="105"/>
        </w:rPr>
        <w:t>aunque</w:t>
      </w:r>
      <w:r>
        <w:rPr>
          <w:color w:val="231F20"/>
          <w:spacing w:val="-15"/>
          <w:w w:val="105"/>
        </w:rPr>
        <w:t> </w:t>
      </w:r>
      <w:r>
        <w:rPr>
          <w:color w:val="231F20"/>
          <w:w w:val="105"/>
        </w:rPr>
        <w:t>con</w:t>
      </w:r>
      <w:r>
        <w:rPr>
          <w:color w:val="231F20"/>
          <w:spacing w:val="-15"/>
          <w:w w:val="105"/>
        </w:rPr>
        <w:t> </w:t>
      </w:r>
      <w:r>
        <w:rPr>
          <w:color w:val="231F20"/>
          <w:w w:val="105"/>
        </w:rPr>
        <w:t>un</w:t>
      </w:r>
      <w:r>
        <w:rPr>
          <w:color w:val="231F20"/>
          <w:spacing w:val="-15"/>
          <w:w w:val="105"/>
        </w:rPr>
        <w:t> </w:t>
      </w:r>
      <w:r>
        <w:rPr>
          <w:color w:val="231F20"/>
          <w:w w:val="105"/>
        </w:rPr>
        <w:t>reto</w:t>
      </w:r>
      <w:r>
        <w:rPr>
          <w:color w:val="231F20"/>
          <w:spacing w:val="-15"/>
          <w:w w:val="105"/>
        </w:rPr>
        <w:t> </w:t>
      </w:r>
      <w:r>
        <w:rPr>
          <w:color w:val="231F20"/>
          <w:w w:val="105"/>
        </w:rPr>
        <w:t>común:</w:t>
      </w:r>
      <w:r>
        <w:rPr>
          <w:color w:val="231F20"/>
          <w:spacing w:val="-15"/>
          <w:w w:val="105"/>
        </w:rPr>
        <w:t> </w:t>
      </w:r>
      <w:r>
        <w:rPr>
          <w:color w:val="231F20"/>
          <w:w w:val="105"/>
        </w:rPr>
        <w:t>explicar</w:t>
      </w:r>
      <w:r>
        <w:rPr>
          <w:color w:val="231F20"/>
          <w:spacing w:val="-15"/>
          <w:w w:val="105"/>
        </w:rPr>
        <w:t> </w:t>
      </w:r>
      <w:r>
        <w:rPr>
          <w:color w:val="231F20"/>
          <w:w w:val="105"/>
        </w:rPr>
        <w:t>las</w:t>
      </w:r>
      <w:r>
        <w:rPr>
          <w:color w:val="231F20"/>
          <w:spacing w:val="-15"/>
          <w:w w:val="105"/>
        </w:rPr>
        <w:t> </w:t>
      </w:r>
      <w:r>
        <w:rPr>
          <w:color w:val="231F20"/>
          <w:w w:val="105"/>
        </w:rPr>
        <w:t>razones</w:t>
      </w:r>
      <w:r>
        <w:rPr>
          <w:color w:val="231F20"/>
          <w:spacing w:val="-15"/>
          <w:w w:val="105"/>
        </w:rPr>
        <w:t> </w:t>
      </w:r>
      <w:r>
        <w:rPr>
          <w:color w:val="231F20"/>
          <w:w w:val="105"/>
        </w:rPr>
        <w:t>por</w:t>
      </w:r>
      <w:r>
        <w:rPr>
          <w:color w:val="231F20"/>
          <w:spacing w:val="-15"/>
          <w:w w:val="105"/>
        </w:rPr>
        <w:t> </w:t>
      </w:r>
      <w:r>
        <w:rPr>
          <w:color w:val="231F20"/>
          <w:w w:val="105"/>
        </w:rPr>
        <w:t>las</w:t>
      </w:r>
      <w:r>
        <w:rPr>
          <w:color w:val="231F20"/>
          <w:spacing w:val="-15"/>
          <w:w w:val="105"/>
        </w:rPr>
        <w:t> </w:t>
      </w:r>
      <w:r>
        <w:rPr>
          <w:color w:val="231F20"/>
          <w:w w:val="105"/>
        </w:rPr>
        <w:t>que las</w:t>
      </w:r>
      <w:r>
        <w:rPr>
          <w:color w:val="231F20"/>
          <w:spacing w:val="-23"/>
          <w:w w:val="105"/>
        </w:rPr>
        <w:t> </w:t>
      </w:r>
      <w:r>
        <w:rPr>
          <w:color w:val="231F20"/>
          <w:w w:val="105"/>
        </w:rPr>
        <w:t>políticas</w:t>
      </w:r>
      <w:r>
        <w:rPr>
          <w:color w:val="231F20"/>
          <w:spacing w:val="-23"/>
          <w:w w:val="105"/>
        </w:rPr>
        <w:t> </w:t>
      </w:r>
      <w:r>
        <w:rPr>
          <w:color w:val="231F20"/>
          <w:w w:val="105"/>
        </w:rPr>
        <w:t>monetarias</w:t>
      </w:r>
      <w:r>
        <w:rPr>
          <w:color w:val="231F20"/>
          <w:spacing w:val="-23"/>
          <w:w w:val="105"/>
        </w:rPr>
        <w:t> </w:t>
      </w:r>
      <w:r>
        <w:rPr>
          <w:color w:val="231F20"/>
          <w:w w:val="105"/>
        </w:rPr>
        <w:t>y</w:t>
      </w:r>
      <w:r>
        <w:rPr>
          <w:color w:val="231F20"/>
          <w:spacing w:val="-23"/>
          <w:w w:val="105"/>
        </w:rPr>
        <w:t> </w:t>
      </w:r>
      <w:r>
        <w:rPr>
          <w:color w:val="231F20"/>
          <w:w w:val="105"/>
        </w:rPr>
        <w:t>fiscales</w:t>
      </w:r>
      <w:r>
        <w:rPr>
          <w:color w:val="231F20"/>
          <w:spacing w:val="-23"/>
          <w:w w:val="105"/>
        </w:rPr>
        <w:t> </w:t>
      </w:r>
      <w:r>
        <w:rPr>
          <w:color w:val="231F20"/>
          <w:w w:val="105"/>
        </w:rPr>
        <w:t>pueden</w:t>
      </w:r>
      <w:r>
        <w:rPr>
          <w:color w:val="231F20"/>
          <w:spacing w:val="-23"/>
          <w:w w:val="105"/>
        </w:rPr>
        <w:t> </w:t>
      </w:r>
      <w:r>
        <w:rPr>
          <w:color w:val="231F20"/>
          <w:w w:val="105"/>
        </w:rPr>
        <w:t>no</w:t>
      </w:r>
      <w:r>
        <w:rPr>
          <w:color w:val="231F20"/>
          <w:spacing w:val="-23"/>
          <w:w w:val="105"/>
        </w:rPr>
        <w:t> </w:t>
      </w:r>
      <w:r>
        <w:rPr>
          <w:color w:val="231F20"/>
          <w:w w:val="105"/>
        </w:rPr>
        <w:t>ser</w:t>
      </w:r>
      <w:r>
        <w:rPr>
          <w:color w:val="231F20"/>
          <w:spacing w:val="-23"/>
          <w:w w:val="105"/>
        </w:rPr>
        <w:t> </w:t>
      </w:r>
      <w:r>
        <w:rPr>
          <w:color w:val="231F20"/>
          <w:w w:val="105"/>
        </w:rPr>
        <w:t>neutrales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existencia de</w:t>
      </w:r>
      <w:r>
        <w:rPr>
          <w:color w:val="231F20"/>
          <w:spacing w:val="-8"/>
          <w:w w:val="105"/>
        </w:rPr>
        <w:t> </w:t>
      </w:r>
      <w:r>
        <w:rPr>
          <w:color w:val="231F20"/>
          <w:w w:val="105"/>
        </w:rPr>
        <w:t>desequilibrios</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mercados</w:t>
      </w:r>
      <w:r>
        <w:rPr>
          <w:color w:val="231F20"/>
          <w:spacing w:val="-8"/>
          <w:w w:val="105"/>
        </w:rPr>
        <w:t> </w:t>
      </w:r>
      <w:r>
        <w:rPr>
          <w:color w:val="231F20"/>
          <w:w w:val="105"/>
        </w:rPr>
        <w:t>de</w:t>
      </w:r>
      <w:r>
        <w:rPr>
          <w:color w:val="231F20"/>
          <w:spacing w:val="-8"/>
          <w:w w:val="105"/>
        </w:rPr>
        <w:t> </w:t>
      </w:r>
      <w:r>
        <w:rPr>
          <w:color w:val="231F20"/>
          <w:w w:val="105"/>
        </w:rPr>
        <w:t>bienes</w:t>
      </w:r>
      <w:r>
        <w:rPr>
          <w:color w:val="231F20"/>
          <w:spacing w:val="-8"/>
          <w:w w:val="105"/>
        </w:rPr>
        <w:t> </w:t>
      </w:r>
      <w:r>
        <w:rPr>
          <w:color w:val="231F20"/>
          <w:w w:val="105"/>
        </w:rPr>
        <w:t>y/o</w:t>
      </w:r>
      <w:r>
        <w:rPr>
          <w:color w:val="231F20"/>
          <w:spacing w:val="-8"/>
          <w:w w:val="105"/>
        </w:rPr>
        <w:t> </w:t>
      </w:r>
      <w:r>
        <w:rPr>
          <w:color w:val="231F20"/>
          <w:w w:val="105"/>
        </w:rPr>
        <w:t>de</w:t>
      </w:r>
      <w:r>
        <w:rPr>
          <w:color w:val="231F20"/>
          <w:spacing w:val="-8"/>
          <w:w w:val="105"/>
        </w:rPr>
        <w:t> </w:t>
      </w:r>
      <w:r>
        <w:rPr>
          <w:color w:val="231F20"/>
          <w:w w:val="105"/>
        </w:rPr>
        <w:t>trabajo.</w:t>
      </w:r>
    </w:p>
    <w:p>
      <w:pPr>
        <w:pStyle w:val="BodyText"/>
        <w:spacing w:line="259" w:lineRule="auto"/>
        <w:ind w:left="117" w:right="116" w:firstLine="567"/>
        <w:jc w:val="both"/>
      </w:pPr>
      <w:r>
        <w:rPr>
          <w:color w:val="231F20"/>
          <w:spacing w:val="-6"/>
          <w:w w:val="105"/>
        </w:rPr>
        <w:t>Por </w:t>
      </w:r>
      <w:r>
        <w:rPr>
          <w:color w:val="231F20"/>
          <w:w w:val="105"/>
        </w:rPr>
        <w:t>otro</w:t>
      </w:r>
      <w:r>
        <w:rPr>
          <w:color w:val="231F20"/>
          <w:spacing w:val="-6"/>
          <w:w w:val="105"/>
        </w:rPr>
        <w:t> </w:t>
      </w:r>
      <w:r>
        <w:rPr>
          <w:color w:val="231F20"/>
          <w:w w:val="105"/>
        </w:rPr>
        <w:t>lado,</w:t>
      </w:r>
      <w:r>
        <w:rPr>
          <w:color w:val="231F20"/>
          <w:spacing w:val="-11"/>
          <w:w w:val="105"/>
        </w:rPr>
        <w:t> </w:t>
      </w:r>
      <w:r>
        <w:rPr>
          <w:color w:val="231F20"/>
          <w:w w:val="105"/>
        </w:rPr>
        <w:t>la</w:t>
      </w:r>
      <w:r>
        <w:rPr>
          <w:color w:val="231F20"/>
          <w:spacing w:val="-6"/>
          <w:w w:val="105"/>
        </w:rPr>
        <w:t> </w:t>
      </w:r>
      <w:r>
        <w:rPr>
          <w:color w:val="231F20"/>
          <w:w w:val="105"/>
        </w:rPr>
        <w:t>NEK</w:t>
      </w:r>
      <w:r>
        <w:rPr>
          <w:color w:val="231F20"/>
          <w:spacing w:val="-8"/>
          <w:w w:val="105"/>
        </w:rPr>
        <w:t> </w:t>
      </w:r>
      <w:r>
        <w:rPr>
          <w:color w:val="231F20"/>
          <w:w w:val="105"/>
        </w:rPr>
        <w:t>ha</w:t>
      </w:r>
      <w:r>
        <w:rPr>
          <w:color w:val="231F20"/>
          <w:spacing w:val="-6"/>
          <w:w w:val="105"/>
        </w:rPr>
        <w:t> </w:t>
      </w:r>
      <w:r>
        <w:rPr>
          <w:color w:val="231F20"/>
          <w:w w:val="105"/>
        </w:rPr>
        <w:t>abandonado</w:t>
      </w:r>
      <w:r>
        <w:rPr>
          <w:color w:val="231F20"/>
          <w:spacing w:val="-6"/>
          <w:w w:val="105"/>
        </w:rPr>
        <w:t> </w:t>
      </w:r>
      <w:r>
        <w:rPr>
          <w:color w:val="231F20"/>
          <w:w w:val="105"/>
        </w:rPr>
        <w:t>el</w:t>
      </w:r>
      <w:r>
        <w:rPr>
          <w:color w:val="231F20"/>
          <w:spacing w:val="-6"/>
          <w:w w:val="105"/>
        </w:rPr>
        <w:t> </w:t>
      </w:r>
      <w:r>
        <w:rPr>
          <w:color w:val="231F20"/>
          <w:w w:val="105"/>
        </w:rPr>
        <w:t>paradigma</w:t>
      </w:r>
      <w:r>
        <w:rPr>
          <w:color w:val="231F20"/>
          <w:spacing w:val="-6"/>
          <w:w w:val="105"/>
        </w:rPr>
        <w:t> </w:t>
      </w:r>
      <w:r>
        <w:rPr>
          <w:color w:val="231F20"/>
          <w:w w:val="105"/>
        </w:rPr>
        <w:t>walrasiano</w:t>
      </w:r>
      <w:r>
        <w:rPr>
          <w:color w:val="231F20"/>
          <w:spacing w:val="-6"/>
          <w:w w:val="105"/>
        </w:rPr>
        <w:t> </w:t>
      </w:r>
      <w:r>
        <w:rPr>
          <w:color w:val="231F20"/>
          <w:w w:val="105"/>
        </w:rPr>
        <w:t>de competencia</w:t>
      </w:r>
      <w:r>
        <w:rPr>
          <w:color w:val="231F20"/>
          <w:spacing w:val="-16"/>
          <w:w w:val="105"/>
        </w:rPr>
        <w:t> </w:t>
      </w:r>
      <w:r>
        <w:rPr>
          <w:color w:val="231F20"/>
          <w:w w:val="105"/>
        </w:rPr>
        <w:t>perfecta</w:t>
      </w:r>
      <w:r>
        <w:rPr>
          <w:color w:val="231F20"/>
          <w:spacing w:val="-16"/>
          <w:w w:val="105"/>
        </w:rPr>
        <w:t> </w:t>
      </w:r>
      <w:r>
        <w:rPr>
          <w:color w:val="231F20"/>
          <w:w w:val="105"/>
        </w:rPr>
        <w:t>para</w:t>
      </w:r>
      <w:r>
        <w:rPr>
          <w:color w:val="231F20"/>
          <w:spacing w:val="-16"/>
          <w:w w:val="105"/>
        </w:rPr>
        <w:t> </w:t>
      </w:r>
      <w:r>
        <w:rPr>
          <w:color w:val="231F20"/>
          <w:w w:val="105"/>
        </w:rPr>
        <w:t>buscar</w:t>
      </w:r>
      <w:r>
        <w:rPr>
          <w:color w:val="231F20"/>
          <w:spacing w:val="-16"/>
          <w:w w:val="105"/>
        </w:rPr>
        <w:t> </w:t>
      </w:r>
      <w:r>
        <w:rPr>
          <w:color w:val="231F20"/>
          <w:w w:val="105"/>
        </w:rPr>
        <w:t>nuevas</w:t>
      </w:r>
      <w:r>
        <w:rPr>
          <w:color w:val="231F20"/>
          <w:spacing w:val="-16"/>
          <w:w w:val="105"/>
        </w:rPr>
        <w:t> </w:t>
      </w:r>
      <w:r>
        <w:rPr>
          <w:color w:val="231F20"/>
          <w:w w:val="105"/>
        </w:rPr>
        <w:t>descripciones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organiza- ción de los mercados más coherentes con la realidad. En ese sentido, los autores del nuevo keynesianos coinciden en que las fallas del mer- cado son inherentes al funcionamiento de una economía capitalista</w:t>
      </w:r>
      <w:r>
        <w:rPr>
          <w:color w:val="231F20"/>
          <w:spacing w:val="26"/>
          <w:w w:val="105"/>
        </w:rPr>
        <w:t> </w:t>
      </w:r>
      <w:r>
        <w:rPr>
          <w:color w:val="231F20"/>
          <w:w w:val="105"/>
        </w:rPr>
        <w:t>en</w:t>
      </w:r>
    </w:p>
    <w:p>
      <w:pPr>
        <w:pStyle w:val="BodyText"/>
        <w:rPr>
          <w:sz w:val="29"/>
        </w:rPr>
      </w:pPr>
      <w:r>
        <w:rPr/>
        <w:pict>
          <v:line style="position:absolute;mso-position-horizontal-relative:page;mso-position-vertical-relative:paragraph;z-index:10600;mso-wrap-distance-left:0;mso-wrap-distance-right:0" from="70.866096pt,18.778864pt" to="184.252096pt,18.778864pt" stroked="true" strokeweight=".25pt" strokecolor="#231f20">
            <w10:wrap type="topAndBottom"/>
          </v:line>
        </w:pict>
      </w:r>
    </w:p>
    <w:p>
      <w:pPr>
        <w:spacing w:line="192" w:lineRule="exact" w:before="7"/>
        <w:ind w:left="117" w:right="114" w:hanging="1"/>
        <w:jc w:val="left"/>
        <w:rPr>
          <w:rFonts w:ascii="Calibri" w:hAnsi="Calibri"/>
          <w:sz w:val="16"/>
        </w:rPr>
      </w:pPr>
      <w:r>
        <w:rPr>
          <w:rFonts w:ascii="Calibri" w:hAnsi="Calibri"/>
          <w:color w:val="414042"/>
          <w:w w:val="105"/>
          <w:position w:val="5"/>
          <w:sz w:val="9"/>
        </w:rPr>
        <w:t>5 </w:t>
      </w:r>
      <w:r>
        <w:rPr>
          <w:rFonts w:ascii="Calibri" w:hAnsi="Calibri"/>
          <w:color w:val="414042"/>
          <w:w w:val="105"/>
          <w:sz w:val="16"/>
        </w:rPr>
        <w:t>El cuerpo de investigación de la NEK comprende una amplia lista de autores, cuyos planteamientos teóricos se exponen de manera detallada en Mankiw y Romer (1991).</w:t>
      </w:r>
    </w:p>
    <w:p>
      <w:pPr>
        <w:spacing w:after="0" w:line="192" w:lineRule="exact"/>
        <w:jc w:val="left"/>
        <w:rPr>
          <w:rFonts w:ascii="Calibri" w:hAnsi="Calibri"/>
          <w:sz w:val="16"/>
        </w:rPr>
        <w:sectPr>
          <w:pgSz w:w="9640" w:h="13890"/>
          <w:pgMar w:top="0" w:bottom="280" w:left="1300" w:right="1180"/>
        </w:sectPr>
      </w:pPr>
    </w:p>
    <w:p>
      <w:pPr>
        <w:pStyle w:val="BodyText"/>
        <w:spacing w:line="259" w:lineRule="auto" w:before="120"/>
        <w:ind w:left="103" w:right="108"/>
        <w:jc w:val="both"/>
      </w:pPr>
      <w:r>
        <w:rPr>
          <w:color w:val="231F20"/>
          <w:w w:val="105"/>
        </w:rPr>
        <w:t>el</w:t>
      </w:r>
      <w:r>
        <w:rPr>
          <w:color w:val="231F20"/>
          <w:spacing w:val="-13"/>
          <w:w w:val="105"/>
        </w:rPr>
        <w:t> </w:t>
      </w:r>
      <w:r>
        <w:rPr>
          <w:color w:val="231F20"/>
          <w:w w:val="105"/>
        </w:rPr>
        <w:t>corto</w:t>
      </w:r>
      <w:r>
        <w:rPr>
          <w:color w:val="231F20"/>
          <w:spacing w:val="-13"/>
          <w:w w:val="105"/>
        </w:rPr>
        <w:t> </w:t>
      </w:r>
      <w:r>
        <w:rPr>
          <w:color w:val="231F20"/>
          <w:w w:val="105"/>
        </w:rPr>
        <w:t>plazo,</w:t>
      </w:r>
      <w:r>
        <w:rPr>
          <w:color w:val="231F20"/>
          <w:spacing w:val="-18"/>
          <w:w w:val="105"/>
        </w:rPr>
        <w:t> </w:t>
      </w:r>
      <w:r>
        <w:rPr>
          <w:color w:val="231F20"/>
          <w:w w:val="105"/>
        </w:rPr>
        <w:t>y</w:t>
      </w:r>
      <w:r>
        <w:rPr>
          <w:color w:val="231F20"/>
          <w:spacing w:val="-13"/>
          <w:w w:val="105"/>
        </w:rPr>
        <w:t> </w:t>
      </w:r>
      <w:r>
        <w:rPr>
          <w:color w:val="231F20"/>
          <w:w w:val="105"/>
        </w:rPr>
        <w:t>entre</w:t>
      </w:r>
      <w:r>
        <w:rPr>
          <w:color w:val="231F20"/>
          <w:spacing w:val="-13"/>
          <w:w w:val="105"/>
        </w:rPr>
        <w:t> </w:t>
      </w:r>
      <w:r>
        <w:rPr>
          <w:color w:val="231F20"/>
          <w:w w:val="105"/>
        </w:rPr>
        <w:t>ellas</w:t>
      </w:r>
      <w:r>
        <w:rPr>
          <w:color w:val="231F20"/>
          <w:spacing w:val="-13"/>
          <w:w w:val="105"/>
        </w:rPr>
        <w:t> </w:t>
      </w:r>
      <w:r>
        <w:rPr>
          <w:color w:val="231F20"/>
          <w:w w:val="105"/>
        </w:rPr>
        <w:t>destacan</w:t>
      </w:r>
      <w:r>
        <w:rPr>
          <w:color w:val="231F20"/>
          <w:spacing w:val="-13"/>
          <w:w w:val="105"/>
        </w:rPr>
        <w:t> </w:t>
      </w:r>
      <w:r>
        <w:rPr>
          <w:color w:val="231F20"/>
          <w:w w:val="105"/>
        </w:rPr>
        <w:t>las</w:t>
      </w:r>
      <w:r>
        <w:rPr>
          <w:color w:val="231F20"/>
          <w:spacing w:val="-13"/>
          <w:w w:val="105"/>
        </w:rPr>
        <w:t> </w:t>
      </w:r>
      <w:r>
        <w:rPr>
          <w:color w:val="231F20"/>
          <w:w w:val="105"/>
        </w:rPr>
        <w:t>rigideces</w:t>
      </w:r>
      <w:r>
        <w:rPr>
          <w:color w:val="231F20"/>
          <w:spacing w:val="-13"/>
          <w:w w:val="105"/>
        </w:rPr>
        <w:t> </w:t>
      </w:r>
      <w:r>
        <w:rPr>
          <w:color w:val="231F20"/>
          <w:w w:val="105"/>
        </w:rPr>
        <w:t>reales</w:t>
      </w:r>
      <w:r>
        <w:rPr>
          <w:color w:val="231F20"/>
          <w:spacing w:val="-13"/>
          <w:w w:val="105"/>
        </w:rPr>
        <w:t> </w:t>
      </w:r>
      <w:r>
        <w:rPr>
          <w:color w:val="231F20"/>
          <w:w w:val="105"/>
        </w:rPr>
        <w:t>y</w:t>
      </w:r>
      <w:r>
        <w:rPr>
          <w:color w:val="231F20"/>
          <w:spacing w:val="-13"/>
          <w:w w:val="105"/>
        </w:rPr>
        <w:t> </w:t>
      </w:r>
      <w:r>
        <w:rPr>
          <w:color w:val="231F20"/>
          <w:w w:val="105"/>
        </w:rPr>
        <w:t>nominales</w:t>
      </w:r>
      <w:r>
        <w:rPr>
          <w:color w:val="231F20"/>
          <w:spacing w:val="-13"/>
          <w:w w:val="105"/>
        </w:rPr>
        <w:t> </w:t>
      </w:r>
      <w:r>
        <w:rPr>
          <w:color w:val="231F20"/>
          <w:w w:val="105"/>
        </w:rPr>
        <w:t>en precios,</w:t>
      </w:r>
      <w:r>
        <w:rPr>
          <w:color w:val="231F20"/>
          <w:spacing w:val="-23"/>
          <w:w w:val="105"/>
        </w:rPr>
        <w:t> </w:t>
      </w:r>
      <w:r>
        <w:rPr>
          <w:color w:val="231F20"/>
          <w:w w:val="105"/>
        </w:rPr>
        <w:t>salarios</w:t>
      </w:r>
      <w:r>
        <w:rPr>
          <w:color w:val="231F20"/>
          <w:spacing w:val="-18"/>
          <w:w w:val="105"/>
        </w:rPr>
        <w:t> </w:t>
      </w:r>
      <w:r>
        <w:rPr>
          <w:color w:val="231F20"/>
          <w:w w:val="105"/>
        </w:rPr>
        <w:t>y</w:t>
      </w:r>
      <w:r>
        <w:rPr>
          <w:color w:val="231F20"/>
          <w:spacing w:val="-18"/>
          <w:w w:val="105"/>
        </w:rPr>
        <w:t> </w:t>
      </w:r>
      <w:r>
        <w:rPr>
          <w:color w:val="231F20"/>
          <w:w w:val="105"/>
        </w:rPr>
        <w:t>tasas</w:t>
      </w:r>
      <w:r>
        <w:rPr>
          <w:color w:val="231F20"/>
          <w:spacing w:val="-18"/>
          <w:w w:val="105"/>
        </w:rPr>
        <w:t> </w:t>
      </w:r>
      <w:r>
        <w:rPr>
          <w:color w:val="231F20"/>
          <w:w w:val="105"/>
        </w:rPr>
        <w:t>de</w:t>
      </w:r>
      <w:r>
        <w:rPr>
          <w:color w:val="231F20"/>
          <w:spacing w:val="-18"/>
          <w:w w:val="105"/>
        </w:rPr>
        <w:t> </w:t>
      </w:r>
      <w:r>
        <w:rPr>
          <w:color w:val="231F20"/>
          <w:w w:val="105"/>
        </w:rPr>
        <w:t>interés;</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incompleta</w:t>
      </w:r>
      <w:r>
        <w:rPr>
          <w:color w:val="231F20"/>
          <w:spacing w:val="-18"/>
          <w:w w:val="105"/>
        </w:rPr>
        <w:t> </w:t>
      </w:r>
      <w:r>
        <w:rPr>
          <w:color w:val="231F20"/>
          <w:w w:val="105"/>
        </w:rPr>
        <w:t>o</w:t>
      </w:r>
      <w:r>
        <w:rPr>
          <w:color w:val="231F20"/>
          <w:spacing w:val="-18"/>
          <w:w w:val="105"/>
        </w:rPr>
        <w:t> </w:t>
      </w:r>
      <w:r>
        <w:rPr>
          <w:color w:val="231F20"/>
          <w:w w:val="105"/>
        </w:rPr>
        <w:t>asimétri- ca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agentes</w:t>
      </w:r>
      <w:r>
        <w:rPr>
          <w:color w:val="231F20"/>
          <w:spacing w:val="-15"/>
          <w:w w:val="105"/>
        </w:rPr>
        <w:t> </w:t>
      </w:r>
      <w:r>
        <w:rPr>
          <w:color w:val="231F20"/>
          <w:w w:val="105"/>
        </w:rPr>
        <w:t>económicos</w:t>
      </w:r>
      <w:r>
        <w:rPr>
          <w:color w:val="231F20"/>
          <w:spacing w:val="-15"/>
          <w:w w:val="105"/>
        </w:rPr>
        <w:t> </w:t>
      </w:r>
      <w:r>
        <w:rPr>
          <w:color w:val="231F20"/>
          <w:w w:val="105"/>
        </w:rPr>
        <w:t>que</w:t>
      </w:r>
      <w:r>
        <w:rPr>
          <w:color w:val="231F20"/>
          <w:spacing w:val="-15"/>
          <w:w w:val="105"/>
        </w:rPr>
        <w:t> </w:t>
      </w:r>
      <w:r>
        <w:rPr>
          <w:color w:val="231F20"/>
          <w:w w:val="105"/>
        </w:rPr>
        <w:t>conduce</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w w:val="105"/>
        </w:rPr>
        <w:t>fallas</w:t>
      </w:r>
      <w:r>
        <w:rPr>
          <w:color w:val="231F20"/>
          <w:spacing w:val="-15"/>
          <w:w w:val="105"/>
        </w:rPr>
        <w:t> </w:t>
      </w:r>
      <w:r>
        <w:rPr>
          <w:color w:val="231F20"/>
          <w:w w:val="105"/>
        </w:rPr>
        <w:t>de</w:t>
      </w:r>
      <w:r>
        <w:rPr>
          <w:color w:val="231F20"/>
          <w:spacing w:val="-15"/>
          <w:w w:val="105"/>
        </w:rPr>
        <w:t> </w:t>
      </w:r>
      <w:r>
        <w:rPr>
          <w:color w:val="231F20"/>
          <w:w w:val="105"/>
        </w:rPr>
        <w:t>coordinación, racionamiento</w:t>
      </w:r>
      <w:r>
        <w:rPr>
          <w:color w:val="231F20"/>
          <w:spacing w:val="-7"/>
          <w:w w:val="105"/>
        </w:rPr>
        <w:t> </w:t>
      </w:r>
      <w:r>
        <w:rPr>
          <w:color w:val="231F20"/>
          <w:w w:val="105"/>
        </w:rPr>
        <w:t>del</w:t>
      </w:r>
      <w:r>
        <w:rPr>
          <w:color w:val="231F20"/>
          <w:spacing w:val="-7"/>
          <w:w w:val="105"/>
        </w:rPr>
        <w:t> </w:t>
      </w:r>
      <w:r>
        <w:rPr>
          <w:color w:val="231F20"/>
          <w:w w:val="105"/>
        </w:rPr>
        <w:t>crédito</w:t>
      </w:r>
      <w:r>
        <w:rPr>
          <w:color w:val="231F20"/>
          <w:spacing w:val="-7"/>
          <w:w w:val="105"/>
        </w:rPr>
        <w:t> </w:t>
      </w:r>
      <w:r>
        <w:rPr>
          <w:color w:val="231F20"/>
          <w:w w:val="105"/>
        </w:rPr>
        <w:t>y</w:t>
      </w:r>
      <w:r>
        <w:rPr>
          <w:color w:val="231F20"/>
          <w:spacing w:val="-7"/>
          <w:w w:val="105"/>
        </w:rPr>
        <w:t> </w:t>
      </w:r>
      <w:r>
        <w:rPr>
          <w:color w:val="231F20"/>
          <w:w w:val="105"/>
        </w:rPr>
        <w:t>estructuras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mercados</w:t>
      </w:r>
      <w:r>
        <w:rPr>
          <w:color w:val="231F20"/>
          <w:spacing w:val="-7"/>
          <w:w w:val="105"/>
        </w:rPr>
        <w:t> </w:t>
      </w:r>
      <w:r>
        <w:rPr>
          <w:color w:val="231F20"/>
          <w:w w:val="105"/>
        </w:rPr>
        <w:t>de</w:t>
      </w:r>
      <w:r>
        <w:rPr>
          <w:color w:val="231F20"/>
          <w:spacing w:val="-7"/>
          <w:w w:val="105"/>
        </w:rPr>
        <w:t> </w:t>
      </w:r>
      <w:r>
        <w:rPr>
          <w:color w:val="231F20"/>
          <w:w w:val="105"/>
        </w:rPr>
        <w:t>trabajo</w:t>
      </w:r>
      <w:r>
        <w:rPr>
          <w:color w:val="231F20"/>
          <w:spacing w:val="-7"/>
          <w:w w:val="105"/>
        </w:rPr>
        <w:t> </w:t>
      </w:r>
      <w:r>
        <w:rPr>
          <w:color w:val="231F20"/>
          <w:w w:val="105"/>
        </w:rPr>
        <w:t>y</w:t>
      </w:r>
      <w:r>
        <w:rPr>
          <w:color w:val="231F20"/>
          <w:spacing w:val="-7"/>
          <w:w w:val="105"/>
        </w:rPr>
        <w:t> </w:t>
      </w:r>
      <w:r>
        <w:rPr>
          <w:color w:val="231F20"/>
          <w:w w:val="105"/>
        </w:rPr>
        <w:t>de bienes regidos por competencia imperfecta. Estos elementos soportan el</w:t>
      </w:r>
      <w:r>
        <w:rPr>
          <w:color w:val="231F20"/>
          <w:spacing w:val="-10"/>
          <w:w w:val="105"/>
        </w:rPr>
        <w:t> </w:t>
      </w:r>
      <w:r>
        <w:rPr>
          <w:color w:val="231F20"/>
          <w:w w:val="105"/>
        </w:rPr>
        <w:t>supuesto</w:t>
      </w:r>
      <w:r>
        <w:rPr>
          <w:color w:val="231F20"/>
          <w:spacing w:val="-10"/>
          <w:w w:val="105"/>
        </w:rPr>
        <w:t> </w:t>
      </w:r>
      <w:r>
        <w:rPr>
          <w:color w:val="231F20"/>
          <w:w w:val="105"/>
        </w:rPr>
        <w:t>fundamental</w:t>
      </w:r>
      <w:r>
        <w:rPr>
          <w:color w:val="231F20"/>
          <w:spacing w:val="-10"/>
          <w:w w:val="105"/>
        </w:rPr>
        <w:t> </w:t>
      </w:r>
      <w:r>
        <w:rPr>
          <w:color w:val="231F20"/>
          <w:w w:val="105"/>
        </w:rPr>
        <w:t>de</w:t>
      </w:r>
      <w:r>
        <w:rPr>
          <w:color w:val="231F20"/>
          <w:spacing w:val="-10"/>
          <w:w w:val="105"/>
        </w:rPr>
        <w:t> </w:t>
      </w:r>
      <w:r>
        <w:rPr>
          <w:color w:val="231F20"/>
          <w:w w:val="105"/>
        </w:rPr>
        <w:t>no</w:t>
      </w:r>
      <w:r>
        <w:rPr>
          <w:color w:val="231F20"/>
          <w:spacing w:val="-10"/>
          <w:w w:val="105"/>
        </w:rPr>
        <w:t> </w:t>
      </w:r>
      <w:r>
        <w:rPr>
          <w:color w:val="231F20"/>
          <w:w w:val="105"/>
        </w:rPr>
        <w:t>vaciado</w:t>
      </w:r>
      <w:r>
        <w:rPr>
          <w:color w:val="231F20"/>
          <w:spacing w:val="-10"/>
          <w:w w:val="105"/>
        </w:rPr>
        <w:t> </w:t>
      </w:r>
      <w:r>
        <w:rPr>
          <w:color w:val="231F20"/>
          <w:w w:val="105"/>
        </w:rPr>
        <w:t>continuo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mercados,</w:t>
      </w:r>
      <w:r>
        <w:rPr>
          <w:color w:val="231F20"/>
          <w:spacing w:val="-16"/>
          <w:w w:val="105"/>
        </w:rPr>
        <w:t> </w:t>
      </w:r>
      <w:r>
        <w:rPr>
          <w:color w:val="231F20"/>
          <w:w w:val="105"/>
        </w:rPr>
        <w:t>pues crean</w:t>
      </w:r>
      <w:r>
        <w:rPr>
          <w:color w:val="231F20"/>
          <w:spacing w:val="-10"/>
          <w:w w:val="105"/>
        </w:rPr>
        <w:t> </w:t>
      </w:r>
      <w:r>
        <w:rPr>
          <w:color w:val="231F20"/>
          <w:w w:val="105"/>
        </w:rPr>
        <w:t>ineficiencias</w:t>
      </w:r>
      <w:r>
        <w:rPr>
          <w:color w:val="231F20"/>
          <w:spacing w:val="-10"/>
          <w:w w:val="105"/>
        </w:rPr>
        <w:t> </w:t>
      </w:r>
      <w:r>
        <w:rPr>
          <w:color w:val="231F20"/>
          <w:w w:val="105"/>
        </w:rPr>
        <w:t>que</w:t>
      </w:r>
      <w:r>
        <w:rPr>
          <w:color w:val="231F20"/>
          <w:spacing w:val="-10"/>
          <w:w w:val="105"/>
        </w:rPr>
        <w:t> </w:t>
      </w:r>
      <w:r>
        <w:rPr>
          <w:color w:val="231F20"/>
          <w:w w:val="105"/>
        </w:rPr>
        <w:t>imposibilitan</w:t>
      </w:r>
      <w:r>
        <w:rPr>
          <w:color w:val="231F20"/>
          <w:spacing w:val="-10"/>
          <w:w w:val="105"/>
        </w:rPr>
        <w:t> </w:t>
      </w:r>
      <w:r>
        <w:rPr>
          <w:color w:val="231F20"/>
          <w:w w:val="105"/>
        </w:rPr>
        <w:t>el</w:t>
      </w:r>
      <w:r>
        <w:rPr>
          <w:color w:val="231F20"/>
          <w:spacing w:val="-10"/>
          <w:w w:val="105"/>
        </w:rPr>
        <w:t> </w:t>
      </w:r>
      <w:r>
        <w:rPr>
          <w:color w:val="231F20"/>
          <w:w w:val="105"/>
        </w:rPr>
        <w:t>alcance</w:t>
      </w:r>
      <w:r>
        <w:rPr>
          <w:color w:val="231F20"/>
          <w:spacing w:val="-10"/>
          <w:w w:val="105"/>
        </w:rPr>
        <w:t> </w:t>
      </w:r>
      <w:r>
        <w:rPr>
          <w:color w:val="231F20"/>
          <w:w w:val="105"/>
        </w:rPr>
        <w:t>del</w:t>
      </w:r>
      <w:r>
        <w:rPr>
          <w:color w:val="231F20"/>
          <w:spacing w:val="-10"/>
          <w:w w:val="105"/>
        </w:rPr>
        <w:t> </w:t>
      </w:r>
      <w:r>
        <w:rPr>
          <w:color w:val="231F20"/>
          <w:w w:val="105"/>
        </w:rPr>
        <w:t>pleno</w:t>
      </w:r>
      <w:r>
        <w:rPr>
          <w:color w:val="231F20"/>
          <w:spacing w:val="-10"/>
          <w:w w:val="105"/>
        </w:rPr>
        <w:t> </w:t>
      </w:r>
      <w:r>
        <w:rPr>
          <w:color w:val="231F20"/>
          <w:w w:val="105"/>
        </w:rPr>
        <w:t>empleo</w:t>
      </w:r>
      <w:r>
        <w:rPr>
          <w:color w:val="231F20"/>
          <w:spacing w:val="-10"/>
          <w:w w:val="105"/>
        </w:rPr>
        <w:t> </w:t>
      </w:r>
      <w:r>
        <w:rPr>
          <w:color w:val="231F20"/>
          <w:w w:val="105"/>
        </w:rPr>
        <w:t>(Cara- ballo</w:t>
      </w:r>
      <w:r>
        <w:rPr>
          <w:color w:val="231F20"/>
          <w:spacing w:val="-19"/>
          <w:w w:val="105"/>
        </w:rPr>
        <w:t> </w:t>
      </w:r>
      <w:r>
        <w:rPr>
          <w:i/>
          <w:color w:val="231F20"/>
          <w:w w:val="105"/>
        </w:rPr>
        <w:t>et</w:t>
      </w:r>
      <w:r>
        <w:rPr>
          <w:i/>
          <w:color w:val="231F20"/>
          <w:spacing w:val="-19"/>
          <w:w w:val="105"/>
        </w:rPr>
        <w:t> </w:t>
      </w:r>
      <w:r>
        <w:rPr>
          <w:i/>
          <w:color w:val="231F20"/>
          <w:w w:val="105"/>
        </w:rPr>
        <w:t>al</w:t>
      </w:r>
      <w:r>
        <w:rPr>
          <w:color w:val="231F20"/>
          <w:w w:val="105"/>
        </w:rPr>
        <w:t>.,</w:t>
      </w:r>
      <w:r>
        <w:rPr>
          <w:color w:val="231F20"/>
          <w:spacing w:val="-24"/>
          <w:w w:val="105"/>
        </w:rPr>
        <w:t> </w:t>
      </w:r>
      <w:r>
        <w:rPr>
          <w:color w:val="231F20"/>
          <w:w w:val="105"/>
        </w:rPr>
        <w:t>2000).</w:t>
      </w:r>
    </w:p>
    <w:p>
      <w:pPr>
        <w:pStyle w:val="BodyText"/>
        <w:spacing w:line="259" w:lineRule="auto"/>
        <w:ind w:left="103" w:right="115" w:firstLine="567"/>
        <w:jc w:val="both"/>
      </w:pPr>
      <w:r>
        <w:rPr>
          <w:color w:val="231F20"/>
          <w:w w:val="105"/>
        </w:rPr>
        <w:t>Hasta</w:t>
      </w:r>
      <w:r>
        <w:rPr>
          <w:color w:val="231F20"/>
          <w:spacing w:val="-19"/>
          <w:w w:val="105"/>
        </w:rPr>
        <w:t> </w:t>
      </w:r>
      <w:r>
        <w:rPr>
          <w:color w:val="231F20"/>
          <w:w w:val="105"/>
        </w:rPr>
        <w:t>finales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años</w:t>
      </w:r>
      <w:r>
        <w:rPr>
          <w:color w:val="231F20"/>
          <w:spacing w:val="-19"/>
          <w:w w:val="105"/>
        </w:rPr>
        <w:t> </w:t>
      </w:r>
      <w:r>
        <w:rPr>
          <w:color w:val="231F20"/>
          <w:w w:val="105"/>
        </w:rPr>
        <w:t>setenta</w:t>
      </w:r>
      <w:r>
        <w:rPr>
          <w:color w:val="231F20"/>
          <w:spacing w:val="-19"/>
          <w:w w:val="105"/>
        </w:rPr>
        <w:t> </w:t>
      </w:r>
      <w:r>
        <w:rPr>
          <w:color w:val="231F20"/>
          <w:w w:val="105"/>
        </w:rPr>
        <w:t>los</w:t>
      </w:r>
      <w:r>
        <w:rPr>
          <w:color w:val="231F20"/>
          <w:spacing w:val="-19"/>
          <w:w w:val="105"/>
        </w:rPr>
        <w:t> </w:t>
      </w:r>
      <w:r>
        <w:rPr>
          <w:color w:val="231F20"/>
          <w:w w:val="105"/>
        </w:rPr>
        <w:t>análisis</w:t>
      </w:r>
      <w:r>
        <w:rPr>
          <w:color w:val="231F20"/>
          <w:spacing w:val="-19"/>
          <w:w w:val="105"/>
        </w:rPr>
        <w:t> </w:t>
      </w:r>
      <w:r>
        <w:rPr>
          <w:color w:val="231F20"/>
          <w:w w:val="105"/>
        </w:rPr>
        <w:t>económicos</w:t>
      </w:r>
      <w:r>
        <w:rPr>
          <w:color w:val="231F20"/>
          <w:spacing w:val="-19"/>
          <w:w w:val="105"/>
        </w:rPr>
        <w:t> </w:t>
      </w:r>
      <w:r>
        <w:rPr>
          <w:color w:val="231F20"/>
          <w:w w:val="105"/>
        </w:rPr>
        <w:t>se</w:t>
      </w:r>
      <w:r>
        <w:rPr>
          <w:color w:val="231F20"/>
          <w:spacing w:val="-19"/>
          <w:w w:val="105"/>
        </w:rPr>
        <w:t> </w:t>
      </w:r>
      <w:r>
        <w:rPr>
          <w:color w:val="231F20"/>
          <w:w w:val="105"/>
        </w:rPr>
        <w:t>basa- ban en modelos con competencia perfecta, donde los agentes eran to- madores</w:t>
      </w:r>
      <w:r>
        <w:rPr>
          <w:color w:val="231F20"/>
          <w:spacing w:val="-18"/>
          <w:w w:val="105"/>
        </w:rPr>
        <w:t> </w:t>
      </w:r>
      <w:r>
        <w:rPr>
          <w:color w:val="231F20"/>
          <w:w w:val="105"/>
        </w:rPr>
        <w:t>de</w:t>
      </w:r>
      <w:r>
        <w:rPr>
          <w:color w:val="231F20"/>
          <w:spacing w:val="-18"/>
          <w:w w:val="105"/>
        </w:rPr>
        <w:t> </w:t>
      </w:r>
      <w:r>
        <w:rPr>
          <w:color w:val="231F20"/>
          <w:w w:val="105"/>
        </w:rPr>
        <w:t>precios</w:t>
      </w:r>
      <w:r>
        <w:rPr>
          <w:color w:val="231F20"/>
          <w:spacing w:val="-18"/>
          <w:w w:val="105"/>
        </w:rPr>
        <w:t> </w:t>
      </w:r>
      <w:r>
        <w:rPr>
          <w:color w:val="231F20"/>
          <w:w w:val="105"/>
        </w:rPr>
        <w:t>(exógenos),</w:t>
      </w:r>
      <w:r>
        <w:rPr>
          <w:color w:val="231F20"/>
          <w:spacing w:val="-22"/>
          <w:w w:val="105"/>
        </w:rPr>
        <w:t> </w:t>
      </w:r>
      <w:r>
        <w:rPr>
          <w:color w:val="231F20"/>
          <w:w w:val="105"/>
        </w:rPr>
        <w:t>sin</w:t>
      </w:r>
      <w:r>
        <w:rPr>
          <w:color w:val="231F20"/>
          <w:spacing w:val="-18"/>
          <w:w w:val="105"/>
        </w:rPr>
        <w:t> </w:t>
      </w:r>
      <w:r>
        <w:rPr>
          <w:color w:val="231F20"/>
          <w:w w:val="105"/>
        </w:rPr>
        <w:t>embargo,</w:t>
      </w:r>
      <w:r>
        <w:rPr>
          <w:color w:val="231F20"/>
          <w:spacing w:val="-22"/>
          <w:w w:val="105"/>
        </w:rPr>
        <w:t> </w:t>
      </w:r>
      <w:r>
        <w:rPr>
          <w:color w:val="231F20"/>
          <w:w w:val="105"/>
        </w:rPr>
        <w:t>esta</w:t>
      </w:r>
      <w:r>
        <w:rPr>
          <w:color w:val="231F20"/>
          <w:spacing w:val="-18"/>
          <w:w w:val="105"/>
        </w:rPr>
        <w:t> </w:t>
      </w:r>
      <w:r>
        <w:rPr>
          <w:color w:val="231F20"/>
          <w:w w:val="105"/>
        </w:rPr>
        <w:t>idea</w:t>
      </w:r>
      <w:r>
        <w:rPr>
          <w:color w:val="231F20"/>
          <w:spacing w:val="-18"/>
          <w:w w:val="105"/>
        </w:rPr>
        <w:t> </w:t>
      </w:r>
      <w:r>
        <w:rPr>
          <w:color w:val="231F20"/>
          <w:w w:val="105"/>
        </w:rPr>
        <w:t>solamente</w:t>
      </w:r>
      <w:r>
        <w:rPr>
          <w:color w:val="231F20"/>
          <w:spacing w:val="-18"/>
          <w:w w:val="105"/>
        </w:rPr>
        <w:t> </w:t>
      </w:r>
      <w:r>
        <w:rPr>
          <w:color w:val="231F20"/>
          <w:w w:val="105"/>
        </w:rPr>
        <w:t>tiene sentido</w:t>
      </w:r>
      <w:r>
        <w:rPr>
          <w:color w:val="231F20"/>
          <w:spacing w:val="-13"/>
          <w:w w:val="105"/>
        </w:rPr>
        <w:t> </w:t>
      </w:r>
      <w:r>
        <w:rPr>
          <w:color w:val="231F20"/>
          <w:w w:val="105"/>
        </w:rPr>
        <w:t>cuando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mercado</w:t>
      </w:r>
      <w:r>
        <w:rPr>
          <w:color w:val="231F20"/>
          <w:spacing w:val="-13"/>
          <w:w w:val="105"/>
        </w:rPr>
        <w:t> </w:t>
      </w:r>
      <w:r>
        <w:rPr>
          <w:color w:val="231F20"/>
          <w:w w:val="105"/>
        </w:rPr>
        <w:t>la</w:t>
      </w:r>
      <w:r>
        <w:rPr>
          <w:color w:val="231F20"/>
          <w:spacing w:val="-13"/>
          <w:w w:val="105"/>
        </w:rPr>
        <w:t> </w:t>
      </w:r>
      <w:r>
        <w:rPr>
          <w:color w:val="231F20"/>
          <w:w w:val="105"/>
        </w:rPr>
        <w:t>oferta</w:t>
      </w:r>
      <w:r>
        <w:rPr>
          <w:color w:val="231F20"/>
          <w:spacing w:val="-13"/>
          <w:w w:val="105"/>
        </w:rPr>
        <w:t> </w:t>
      </w:r>
      <w:r>
        <w:rPr>
          <w:color w:val="231F20"/>
          <w:w w:val="105"/>
        </w:rPr>
        <w:t>iguala</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demanda.</w:t>
      </w:r>
    </w:p>
    <w:p>
      <w:pPr>
        <w:pStyle w:val="BodyText"/>
        <w:spacing w:line="259" w:lineRule="auto"/>
        <w:ind w:left="103" w:right="109" w:firstLine="567"/>
        <w:jc w:val="both"/>
      </w:pPr>
      <w:r>
        <w:rPr>
          <w:color w:val="231F20"/>
          <w:w w:val="105"/>
        </w:rPr>
        <w:t>La</w:t>
      </w:r>
      <w:r>
        <w:rPr>
          <w:color w:val="231F20"/>
          <w:spacing w:val="-25"/>
          <w:w w:val="105"/>
        </w:rPr>
        <w:t> </w:t>
      </w:r>
      <w:r>
        <w:rPr>
          <w:color w:val="231F20"/>
          <w:w w:val="105"/>
        </w:rPr>
        <w:t>NEK</w:t>
      </w:r>
      <w:r>
        <w:rPr>
          <w:color w:val="231F20"/>
          <w:spacing w:val="-27"/>
          <w:w w:val="105"/>
        </w:rPr>
        <w:t> </w:t>
      </w:r>
      <w:r>
        <w:rPr>
          <w:color w:val="231F20"/>
          <w:w w:val="105"/>
        </w:rPr>
        <w:t>difiere</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síntesis</w:t>
      </w:r>
      <w:r>
        <w:rPr>
          <w:color w:val="231F20"/>
          <w:spacing w:val="-25"/>
          <w:w w:val="105"/>
        </w:rPr>
        <w:t> </w:t>
      </w:r>
      <w:r>
        <w:rPr>
          <w:color w:val="231F20"/>
          <w:w w:val="105"/>
        </w:rPr>
        <w:t>neoclásica</w:t>
      </w:r>
      <w:r>
        <w:rPr>
          <w:color w:val="231F20"/>
          <w:spacing w:val="-25"/>
          <w:w w:val="105"/>
        </w:rPr>
        <w:t> </w:t>
      </w:r>
      <w:r>
        <w:rPr>
          <w:color w:val="231F20"/>
          <w:w w:val="105"/>
        </w:rPr>
        <w:t>en</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modelos</w:t>
      </w:r>
      <w:r>
        <w:rPr>
          <w:color w:val="231F20"/>
          <w:spacing w:val="-25"/>
          <w:w w:val="105"/>
        </w:rPr>
        <w:t> </w:t>
      </w:r>
      <w:r>
        <w:rPr>
          <w:color w:val="231F20"/>
          <w:w w:val="105"/>
        </w:rPr>
        <w:t>nuevos son</w:t>
      </w:r>
      <w:r>
        <w:rPr>
          <w:color w:val="231F20"/>
          <w:spacing w:val="-7"/>
          <w:w w:val="105"/>
        </w:rPr>
        <w:t> </w:t>
      </w:r>
      <w:r>
        <w:rPr>
          <w:color w:val="231F20"/>
          <w:w w:val="105"/>
        </w:rPr>
        <w:t>totalmente</w:t>
      </w:r>
      <w:r>
        <w:rPr>
          <w:color w:val="231F20"/>
          <w:spacing w:val="-7"/>
          <w:w w:val="105"/>
        </w:rPr>
        <w:t> </w:t>
      </w:r>
      <w:r>
        <w:rPr>
          <w:color w:val="231F20"/>
          <w:w w:val="105"/>
        </w:rPr>
        <w:t>dinámicos</w:t>
      </w:r>
      <w:r>
        <w:rPr>
          <w:color w:val="231F20"/>
          <w:spacing w:val="-7"/>
          <w:w w:val="105"/>
        </w:rPr>
        <w:t> </w:t>
      </w:r>
      <w:r>
        <w:rPr>
          <w:color w:val="231F20"/>
          <w:w w:val="105"/>
        </w:rPr>
        <w:t>y</w:t>
      </w:r>
      <w:r>
        <w:rPr>
          <w:color w:val="231F20"/>
          <w:spacing w:val="-7"/>
          <w:w w:val="105"/>
        </w:rPr>
        <w:t> </w:t>
      </w:r>
      <w:r>
        <w:rPr>
          <w:color w:val="231F20"/>
          <w:w w:val="105"/>
        </w:rPr>
        <w:t>microfundados</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que</w:t>
      </w:r>
      <w:r>
        <w:rPr>
          <w:color w:val="231F20"/>
          <w:spacing w:val="-7"/>
          <w:w w:val="105"/>
        </w:rPr>
        <w:t> </w:t>
      </w:r>
      <w:r>
        <w:rPr>
          <w:color w:val="231F20"/>
          <w:w w:val="105"/>
        </w:rPr>
        <w:t>utilizan</w:t>
      </w:r>
      <w:r>
        <w:rPr>
          <w:color w:val="231F20"/>
          <w:spacing w:val="-7"/>
          <w:w w:val="105"/>
        </w:rPr>
        <w:t> </w:t>
      </w:r>
      <w:r>
        <w:rPr>
          <w:color w:val="231F20"/>
          <w:w w:val="105"/>
        </w:rPr>
        <w:t>una</w:t>
      </w:r>
      <w:r>
        <w:rPr>
          <w:color w:val="231F20"/>
          <w:spacing w:val="-7"/>
          <w:w w:val="105"/>
        </w:rPr>
        <w:t> </w:t>
      </w:r>
      <w:r>
        <w:rPr>
          <w:color w:val="231F20"/>
          <w:w w:val="105"/>
        </w:rPr>
        <w:t>noción de</w:t>
      </w:r>
      <w:r>
        <w:rPr>
          <w:color w:val="231F20"/>
          <w:spacing w:val="-11"/>
          <w:w w:val="105"/>
        </w:rPr>
        <w:t> </w:t>
      </w:r>
      <w:r>
        <w:rPr>
          <w:color w:val="231F20"/>
          <w:w w:val="105"/>
        </w:rPr>
        <w:t>equilibrio</w:t>
      </w:r>
      <w:r>
        <w:rPr>
          <w:color w:val="231F20"/>
          <w:spacing w:val="-11"/>
          <w:w w:val="105"/>
        </w:rPr>
        <w:t> </w:t>
      </w:r>
      <w:r>
        <w:rPr>
          <w:color w:val="231F20"/>
          <w:w w:val="105"/>
        </w:rPr>
        <w:t>imperfectamente</w:t>
      </w:r>
      <w:r>
        <w:rPr>
          <w:color w:val="231F20"/>
          <w:spacing w:val="-11"/>
          <w:w w:val="105"/>
        </w:rPr>
        <w:t> </w:t>
      </w:r>
      <w:r>
        <w:rPr>
          <w:color w:val="231F20"/>
          <w:w w:val="105"/>
        </w:rPr>
        <w:t>competitivo.</w:t>
      </w:r>
      <w:r>
        <w:rPr>
          <w:color w:val="231F20"/>
          <w:spacing w:val="-17"/>
          <w:w w:val="105"/>
        </w:rPr>
        <w:t> </w:t>
      </w:r>
      <w:r>
        <w:rPr>
          <w:color w:val="231F20"/>
          <w:w w:val="105"/>
        </w:rPr>
        <w:t>Durante</w:t>
      </w:r>
      <w:r>
        <w:rPr>
          <w:color w:val="231F20"/>
          <w:spacing w:val="-11"/>
          <w:w w:val="105"/>
        </w:rPr>
        <w:t> </w:t>
      </w:r>
      <w:r>
        <w:rPr>
          <w:color w:val="231F20"/>
          <w:w w:val="105"/>
        </w:rPr>
        <w:t>los</w:t>
      </w:r>
      <w:r>
        <w:rPr>
          <w:color w:val="231F20"/>
          <w:spacing w:val="-11"/>
          <w:w w:val="105"/>
        </w:rPr>
        <w:t> </w:t>
      </w:r>
      <w:r>
        <w:rPr>
          <w:color w:val="231F20"/>
          <w:w w:val="105"/>
        </w:rPr>
        <w:t>años</w:t>
      </w:r>
      <w:r>
        <w:rPr>
          <w:color w:val="231F20"/>
          <w:spacing w:val="-11"/>
          <w:w w:val="105"/>
        </w:rPr>
        <w:t> </w:t>
      </w:r>
      <w:r>
        <w:rPr>
          <w:color w:val="231F20"/>
          <w:w w:val="105"/>
        </w:rPr>
        <w:t>ochenta</w:t>
      </w:r>
      <w:r>
        <w:rPr>
          <w:color w:val="231F20"/>
          <w:spacing w:val="-11"/>
          <w:w w:val="105"/>
        </w:rPr>
        <w:t> </w:t>
      </w:r>
      <w:r>
        <w:rPr>
          <w:color w:val="231F20"/>
          <w:w w:val="105"/>
        </w:rPr>
        <w:t>se desarrolló</w:t>
      </w:r>
      <w:r>
        <w:rPr>
          <w:color w:val="231F20"/>
          <w:spacing w:val="-20"/>
          <w:w w:val="105"/>
        </w:rPr>
        <w:t> </w:t>
      </w:r>
      <w:r>
        <w:rPr>
          <w:color w:val="231F20"/>
          <w:w w:val="105"/>
        </w:rPr>
        <w:t>la</w:t>
      </w:r>
      <w:r>
        <w:rPr>
          <w:color w:val="231F20"/>
          <w:spacing w:val="-20"/>
          <w:w w:val="105"/>
        </w:rPr>
        <w:t> </w:t>
      </w:r>
      <w:r>
        <w:rPr>
          <w:color w:val="231F20"/>
          <w:w w:val="105"/>
        </w:rPr>
        <w:t>teoría</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rigideces</w:t>
      </w:r>
      <w:r>
        <w:rPr>
          <w:color w:val="231F20"/>
          <w:spacing w:val="-20"/>
          <w:w w:val="105"/>
        </w:rPr>
        <w:t> </w:t>
      </w:r>
      <w:r>
        <w:rPr>
          <w:color w:val="231F20"/>
          <w:w w:val="105"/>
        </w:rPr>
        <w:t>nominales,</w:t>
      </w:r>
      <w:r>
        <w:rPr>
          <w:color w:val="231F20"/>
          <w:spacing w:val="-25"/>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basó</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compe- tencia</w:t>
      </w:r>
      <w:r>
        <w:rPr>
          <w:color w:val="231F20"/>
          <w:spacing w:val="-28"/>
          <w:w w:val="105"/>
        </w:rPr>
        <w:t> </w:t>
      </w:r>
      <w:r>
        <w:rPr>
          <w:color w:val="231F20"/>
          <w:w w:val="105"/>
        </w:rPr>
        <w:t>imperfecta</w:t>
      </w:r>
      <w:r>
        <w:rPr>
          <w:color w:val="231F20"/>
          <w:spacing w:val="-28"/>
          <w:w w:val="105"/>
        </w:rPr>
        <w:t> </w:t>
      </w:r>
      <w:r>
        <w:rPr>
          <w:color w:val="231F20"/>
          <w:w w:val="105"/>
        </w:rPr>
        <w:t>y</w:t>
      </w:r>
      <w:r>
        <w:rPr>
          <w:color w:val="231F20"/>
          <w:spacing w:val="-28"/>
          <w:w w:val="105"/>
        </w:rPr>
        <w:t> </w:t>
      </w:r>
      <w:r>
        <w:rPr>
          <w:color w:val="231F20"/>
          <w:w w:val="105"/>
        </w:rPr>
        <w:t>en</w:t>
      </w:r>
      <w:r>
        <w:rPr>
          <w:color w:val="231F20"/>
          <w:spacing w:val="-28"/>
          <w:w w:val="105"/>
        </w:rPr>
        <w:t> </w:t>
      </w:r>
      <w:r>
        <w:rPr>
          <w:color w:val="231F20"/>
          <w:w w:val="105"/>
        </w:rPr>
        <w:t>los</w:t>
      </w:r>
      <w:r>
        <w:rPr>
          <w:color w:val="231F20"/>
          <w:spacing w:val="-28"/>
          <w:w w:val="105"/>
        </w:rPr>
        <w:t> </w:t>
      </w:r>
      <w:r>
        <w:rPr>
          <w:color w:val="231F20"/>
          <w:w w:val="105"/>
        </w:rPr>
        <w:t>llamados</w:t>
      </w:r>
      <w:r>
        <w:rPr>
          <w:color w:val="231F20"/>
          <w:spacing w:val="-28"/>
          <w:w w:val="105"/>
        </w:rPr>
        <w:t> </w:t>
      </w:r>
      <w:r>
        <w:rPr>
          <w:color w:val="231F20"/>
          <w:w w:val="105"/>
        </w:rPr>
        <w:t>‘costos</w:t>
      </w:r>
      <w:r>
        <w:rPr>
          <w:color w:val="231F20"/>
          <w:spacing w:val="-28"/>
          <w:w w:val="105"/>
        </w:rPr>
        <w:t> </w:t>
      </w:r>
      <w:r>
        <w:rPr>
          <w:color w:val="231F20"/>
          <w:w w:val="105"/>
        </w:rPr>
        <w:t>de</w:t>
      </w:r>
      <w:r>
        <w:rPr>
          <w:color w:val="231F20"/>
          <w:spacing w:val="-28"/>
          <w:w w:val="105"/>
        </w:rPr>
        <w:t> </w:t>
      </w:r>
      <w:r>
        <w:rPr>
          <w:color w:val="231F20"/>
          <w:spacing w:val="-4"/>
          <w:w w:val="105"/>
        </w:rPr>
        <w:t>menú’,</w:t>
      </w:r>
      <w:r>
        <w:rPr>
          <w:color w:val="231F20"/>
          <w:spacing w:val="-32"/>
          <w:w w:val="105"/>
        </w:rPr>
        <w:t> </w:t>
      </w:r>
      <w:r>
        <w:rPr>
          <w:color w:val="231F20"/>
          <w:w w:val="105"/>
        </w:rPr>
        <w:t>según</w:t>
      </w:r>
      <w:r>
        <w:rPr>
          <w:color w:val="231F20"/>
          <w:spacing w:val="-28"/>
          <w:w w:val="105"/>
        </w:rPr>
        <w:t> </w:t>
      </w:r>
      <w:r>
        <w:rPr>
          <w:color w:val="231F20"/>
          <w:w w:val="105"/>
        </w:rPr>
        <w:t>los</w:t>
      </w:r>
      <w:r>
        <w:rPr>
          <w:color w:val="231F20"/>
          <w:spacing w:val="-28"/>
          <w:w w:val="105"/>
        </w:rPr>
        <w:t> </w:t>
      </w:r>
      <w:r>
        <w:rPr>
          <w:color w:val="231F20"/>
          <w:w w:val="105"/>
        </w:rPr>
        <w:t>cuales</w:t>
      </w:r>
      <w:r>
        <w:rPr>
          <w:color w:val="231F20"/>
          <w:spacing w:val="-28"/>
          <w:w w:val="105"/>
        </w:rPr>
        <w:t> </w:t>
      </w:r>
      <w:r>
        <w:rPr>
          <w:color w:val="231F20"/>
          <w:w w:val="105"/>
        </w:rPr>
        <w:t>los agentes</w:t>
      </w:r>
      <w:r>
        <w:rPr>
          <w:color w:val="231F20"/>
          <w:spacing w:val="-16"/>
          <w:w w:val="105"/>
        </w:rPr>
        <w:t> </w:t>
      </w:r>
      <w:r>
        <w:rPr>
          <w:color w:val="231F20"/>
          <w:w w:val="105"/>
        </w:rPr>
        <w:t>que</w:t>
      </w:r>
      <w:r>
        <w:rPr>
          <w:color w:val="231F20"/>
          <w:spacing w:val="-16"/>
          <w:w w:val="105"/>
        </w:rPr>
        <w:t> </w:t>
      </w:r>
      <w:r>
        <w:rPr>
          <w:color w:val="231F20"/>
          <w:w w:val="105"/>
        </w:rPr>
        <w:t>pueden</w:t>
      </w:r>
      <w:r>
        <w:rPr>
          <w:color w:val="231F20"/>
          <w:spacing w:val="-16"/>
          <w:w w:val="105"/>
        </w:rPr>
        <w:t> </w:t>
      </w:r>
      <w:r>
        <w:rPr>
          <w:color w:val="231F20"/>
          <w:w w:val="105"/>
        </w:rPr>
        <w:t>fijar</w:t>
      </w:r>
      <w:r>
        <w:rPr>
          <w:color w:val="231F20"/>
          <w:spacing w:val="-16"/>
          <w:w w:val="105"/>
        </w:rPr>
        <w:t> </w:t>
      </w:r>
      <w:r>
        <w:rPr>
          <w:color w:val="231F20"/>
          <w:w w:val="105"/>
        </w:rPr>
        <w:t>precios</w:t>
      </w:r>
      <w:r>
        <w:rPr>
          <w:color w:val="231F20"/>
          <w:spacing w:val="-16"/>
          <w:w w:val="105"/>
        </w:rPr>
        <w:t> </w:t>
      </w:r>
      <w:r>
        <w:rPr>
          <w:color w:val="231F20"/>
          <w:w w:val="105"/>
        </w:rPr>
        <w:t>incurren</w:t>
      </w:r>
      <w:r>
        <w:rPr>
          <w:color w:val="231F20"/>
          <w:spacing w:val="-16"/>
          <w:w w:val="105"/>
        </w:rPr>
        <w:t> </w:t>
      </w:r>
      <w:r>
        <w:rPr>
          <w:color w:val="231F20"/>
          <w:w w:val="105"/>
        </w:rPr>
        <w:t>en</w:t>
      </w:r>
      <w:r>
        <w:rPr>
          <w:color w:val="231F20"/>
          <w:spacing w:val="-16"/>
          <w:w w:val="105"/>
        </w:rPr>
        <w:t> </w:t>
      </w:r>
      <w:r>
        <w:rPr>
          <w:color w:val="231F20"/>
          <w:w w:val="105"/>
        </w:rPr>
        <w:t>costos</w:t>
      </w:r>
      <w:r>
        <w:rPr>
          <w:color w:val="231F20"/>
          <w:spacing w:val="-16"/>
          <w:w w:val="105"/>
        </w:rPr>
        <w:t> </w:t>
      </w:r>
      <w:r>
        <w:rPr>
          <w:color w:val="231F20"/>
          <w:w w:val="105"/>
        </w:rPr>
        <w:t>de</w:t>
      </w:r>
      <w:r>
        <w:rPr>
          <w:color w:val="231F20"/>
          <w:spacing w:val="-16"/>
          <w:w w:val="105"/>
        </w:rPr>
        <w:t> </w:t>
      </w:r>
      <w:r>
        <w:rPr>
          <w:color w:val="231F20"/>
          <w:w w:val="105"/>
        </w:rPr>
        <w:t>decisión</w:t>
      </w:r>
      <w:r>
        <w:rPr>
          <w:color w:val="231F20"/>
          <w:spacing w:val="-16"/>
          <w:w w:val="105"/>
        </w:rPr>
        <w:t> </w:t>
      </w:r>
      <w:r>
        <w:rPr>
          <w:color w:val="231F20"/>
          <w:w w:val="105"/>
        </w:rPr>
        <w:t>e</w:t>
      </w:r>
      <w:r>
        <w:rPr>
          <w:color w:val="231F20"/>
          <w:spacing w:val="-16"/>
          <w:w w:val="105"/>
        </w:rPr>
        <w:t> </w:t>
      </w:r>
      <w:r>
        <w:rPr>
          <w:color w:val="231F20"/>
          <w:w w:val="105"/>
        </w:rPr>
        <w:t>imple- mentación o simplemente como costos de aplicación de un cambio de precios</w:t>
      </w:r>
      <w:r>
        <w:rPr>
          <w:color w:val="231F20"/>
          <w:spacing w:val="-19"/>
          <w:w w:val="105"/>
        </w:rPr>
        <w:t> </w:t>
      </w:r>
      <w:r>
        <w:rPr>
          <w:color w:val="231F20"/>
          <w:w w:val="105"/>
        </w:rPr>
        <w:t>(a</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23"/>
          <w:w w:val="105"/>
        </w:rPr>
        <w:t> </w:t>
      </w:r>
      <w:r>
        <w:rPr>
          <w:color w:val="231F20"/>
          <w:w w:val="105"/>
        </w:rPr>
        <w:t>Akerlof</w:t>
      </w:r>
      <w:r>
        <w:rPr>
          <w:color w:val="231F20"/>
          <w:spacing w:val="-15"/>
          <w:w w:val="105"/>
        </w:rPr>
        <w:t> </w:t>
      </w:r>
      <w:r>
        <w:rPr>
          <w:color w:val="231F20"/>
          <w:w w:val="105"/>
        </w:rPr>
        <w:t>y</w:t>
      </w:r>
      <w:r>
        <w:rPr>
          <w:color w:val="231F20"/>
          <w:spacing w:val="-23"/>
          <w:w w:val="105"/>
        </w:rPr>
        <w:t> </w:t>
      </w:r>
      <w:r>
        <w:rPr>
          <w:color w:val="231F20"/>
          <w:spacing w:val="-4"/>
          <w:w w:val="105"/>
        </w:rPr>
        <w:t>Yellen</w:t>
      </w:r>
      <w:r>
        <w:rPr>
          <w:color w:val="231F20"/>
          <w:spacing w:val="-19"/>
          <w:w w:val="105"/>
        </w:rPr>
        <w:t> </w:t>
      </w:r>
      <w:r>
        <w:rPr>
          <w:color w:val="231F20"/>
          <w:w w:val="105"/>
        </w:rPr>
        <w:t>(1985)</w:t>
      </w:r>
      <w:r>
        <w:rPr>
          <w:color w:val="231F20"/>
          <w:spacing w:val="-19"/>
          <w:w w:val="105"/>
        </w:rPr>
        <w:t> </w:t>
      </w:r>
      <w:r>
        <w:rPr>
          <w:color w:val="231F20"/>
          <w:w w:val="105"/>
        </w:rPr>
        <w:t>llamaron</w:t>
      </w:r>
      <w:r>
        <w:rPr>
          <w:color w:val="231F20"/>
          <w:spacing w:val="-19"/>
          <w:w w:val="105"/>
        </w:rPr>
        <w:t> </w:t>
      </w:r>
      <w:r>
        <w:rPr>
          <w:color w:val="231F20"/>
          <w:w w:val="105"/>
        </w:rPr>
        <w:t>‘racionalidad</w:t>
      </w:r>
      <w:r>
        <w:rPr>
          <w:color w:val="231F20"/>
          <w:spacing w:val="-19"/>
          <w:w w:val="105"/>
        </w:rPr>
        <w:t> </w:t>
      </w:r>
      <w:r>
        <w:rPr>
          <w:color w:val="231F20"/>
          <w:w w:val="105"/>
        </w:rPr>
        <w:t>limitada’). Si hay un pequeño costo pero de suma fija de cambiar los precios, en- tonces</w:t>
      </w:r>
      <w:r>
        <w:rPr>
          <w:color w:val="231F20"/>
          <w:spacing w:val="-18"/>
          <w:w w:val="105"/>
        </w:rPr>
        <w:t> </w:t>
      </w:r>
      <w:r>
        <w:rPr>
          <w:color w:val="231F20"/>
          <w:w w:val="105"/>
        </w:rPr>
        <w:t>la</w:t>
      </w:r>
      <w:r>
        <w:rPr>
          <w:color w:val="231F20"/>
          <w:spacing w:val="-18"/>
          <w:w w:val="105"/>
        </w:rPr>
        <w:t> </w:t>
      </w:r>
      <w:r>
        <w:rPr>
          <w:color w:val="231F20"/>
          <w:w w:val="105"/>
        </w:rPr>
        <w:t>reacción</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monopolista</w:t>
      </w:r>
      <w:r>
        <w:rPr>
          <w:color w:val="231F20"/>
          <w:spacing w:val="-18"/>
          <w:w w:val="105"/>
        </w:rPr>
        <w:t> </w:t>
      </w:r>
      <w:r>
        <w:rPr>
          <w:color w:val="231F20"/>
          <w:w w:val="105"/>
        </w:rPr>
        <w:t>ante</w:t>
      </w:r>
      <w:r>
        <w:rPr>
          <w:color w:val="231F20"/>
          <w:spacing w:val="-18"/>
          <w:w w:val="105"/>
        </w:rPr>
        <w:t> </w:t>
      </w:r>
      <w:r>
        <w:rPr>
          <w:color w:val="231F20"/>
          <w:w w:val="105"/>
        </w:rPr>
        <w:t>un</w:t>
      </w:r>
      <w:r>
        <w:rPr>
          <w:color w:val="231F20"/>
          <w:spacing w:val="-18"/>
          <w:w w:val="105"/>
        </w:rPr>
        <w:t> </w:t>
      </w:r>
      <w:r>
        <w:rPr>
          <w:color w:val="231F20"/>
          <w:w w:val="105"/>
        </w:rPr>
        <w:t>incremento</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demanda (o</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costos)</w:t>
      </w:r>
      <w:r>
        <w:rPr>
          <w:color w:val="231F20"/>
          <w:spacing w:val="-4"/>
          <w:w w:val="105"/>
        </w:rPr>
        <w:t> </w:t>
      </w:r>
      <w:r>
        <w:rPr>
          <w:color w:val="231F20"/>
          <w:w w:val="105"/>
        </w:rPr>
        <w:t>podría</w:t>
      </w:r>
      <w:r>
        <w:rPr>
          <w:color w:val="231F20"/>
          <w:spacing w:val="-4"/>
          <w:w w:val="105"/>
        </w:rPr>
        <w:t> </w:t>
      </w:r>
      <w:r>
        <w:rPr>
          <w:color w:val="231F20"/>
          <w:w w:val="105"/>
        </w:rPr>
        <w:t>ser</w:t>
      </w:r>
      <w:r>
        <w:rPr>
          <w:color w:val="231F20"/>
          <w:spacing w:val="-4"/>
          <w:w w:val="105"/>
        </w:rPr>
        <w:t> </w:t>
      </w:r>
      <w:r>
        <w:rPr>
          <w:color w:val="231F20"/>
          <w:w w:val="105"/>
        </w:rPr>
        <w:t>dejar</w:t>
      </w:r>
      <w:r>
        <w:rPr>
          <w:color w:val="231F20"/>
          <w:spacing w:val="-4"/>
          <w:w w:val="105"/>
        </w:rPr>
        <w:t> </w:t>
      </w:r>
      <w:r>
        <w:rPr>
          <w:color w:val="231F20"/>
          <w:w w:val="105"/>
        </w:rPr>
        <w:t>el</w:t>
      </w:r>
      <w:r>
        <w:rPr>
          <w:color w:val="231F20"/>
          <w:spacing w:val="-4"/>
          <w:w w:val="105"/>
        </w:rPr>
        <w:t> </w:t>
      </w:r>
      <w:r>
        <w:rPr>
          <w:color w:val="231F20"/>
          <w:w w:val="105"/>
        </w:rPr>
        <w:t>precio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mismo</w:t>
      </w:r>
      <w:r>
        <w:rPr>
          <w:color w:val="231F20"/>
          <w:spacing w:val="-4"/>
          <w:w w:val="105"/>
        </w:rPr>
        <w:t> </w:t>
      </w:r>
      <w:r>
        <w:rPr>
          <w:color w:val="231F20"/>
          <w:w w:val="105"/>
        </w:rPr>
        <w:t>nivel,</w:t>
      </w:r>
      <w:r>
        <w:rPr>
          <w:color w:val="231F20"/>
          <w:spacing w:val="-9"/>
          <w:w w:val="105"/>
        </w:rPr>
        <w:t> </w:t>
      </w:r>
      <w:r>
        <w:rPr>
          <w:color w:val="231F20"/>
          <w:w w:val="105"/>
        </w:rPr>
        <w:t>en</w:t>
      </w:r>
      <w:r>
        <w:rPr>
          <w:color w:val="231F20"/>
          <w:spacing w:val="-4"/>
          <w:w w:val="105"/>
        </w:rPr>
        <w:t> </w:t>
      </w:r>
      <w:r>
        <w:rPr>
          <w:color w:val="231F20"/>
          <w:w w:val="105"/>
        </w:rPr>
        <w:t>vez</w:t>
      </w:r>
      <w:r>
        <w:rPr>
          <w:color w:val="231F20"/>
          <w:spacing w:val="-4"/>
          <w:w w:val="105"/>
        </w:rPr>
        <w:t> </w:t>
      </w:r>
      <w:r>
        <w:rPr>
          <w:color w:val="231F20"/>
          <w:w w:val="105"/>
        </w:rPr>
        <w:t>de cambiarlo.</w:t>
      </w:r>
      <w:r>
        <w:rPr>
          <w:color w:val="231F20"/>
          <w:spacing w:val="-18"/>
          <w:w w:val="105"/>
        </w:rPr>
        <w:t> </w:t>
      </w:r>
      <w:r>
        <w:rPr>
          <w:color w:val="231F20"/>
          <w:w w:val="105"/>
        </w:rPr>
        <w:t>Entonces,</w:t>
      </w:r>
      <w:r>
        <w:rPr>
          <w:color w:val="231F20"/>
          <w:spacing w:val="-18"/>
          <w:w w:val="105"/>
        </w:rPr>
        <w:t> </w:t>
      </w:r>
      <w:r>
        <w:rPr>
          <w:color w:val="231F20"/>
          <w:w w:val="105"/>
        </w:rPr>
        <w:t>aun</w:t>
      </w:r>
      <w:r>
        <w:rPr>
          <w:color w:val="231F20"/>
          <w:spacing w:val="-13"/>
          <w:w w:val="105"/>
        </w:rPr>
        <w:t> </w:t>
      </w:r>
      <w:r>
        <w:rPr>
          <w:color w:val="231F20"/>
          <w:w w:val="105"/>
        </w:rPr>
        <w:t>pequeños</w:t>
      </w:r>
      <w:r>
        <w:rPr>
          <w:color w:val="231F20"/>
          <w:spacing w:val="-13"/>
          <w:w w:val="105"/>
        </w:rPr>
        <w:t> </w:t>
      </w:r>
      <w:r>
        <w:rPr>
          <w:color w:val="231F20"/>
          <w:w w:val="105"/>
        </w:rPr>
        <w:t>costos</w:t>
      </w:r>
      <w:r>
        <w:rPr>
          <w:color w:val="231F20"/>
          <w:spacing w:val="-13"/>
          <w:w w:val="105"/>
        </w:rPr>
        <w:t> </w:t>
      </w:r>
      <w:r>
        <w:rPr>
          <w:color w:val="231F20"/>
          <w:w w:val="105"/>
        </w:rPr>
        <w:t>de</w:t>
      </w:r>
      <w:r>
        <w:rPr>
          <w:color w:val="231F20"/>
          <w:spacing w:val="-13"/>
          <w:w w:val="105"/>
        </w:rPr>
        <w:t> </w:t>
      </w:r>
      <w:r>
        <w:rPr>
          <w:color w:val="231F20"/>
          <w:w w:val="105"/>
        </w:rPr>
        <w:t>menú</w:t>
      </w:r>
      <w:r>
        <w:rPr>
          <w:color w:val="231F20"/>
          <w:spacing w:val="-13"/>
          <w:w w:val="105"/>
        </w:rPr>
        <w:t> </w:t>
      </w:r>
      <w:r>
        <w:rPr>
          <w:color w:val="231F20"/>
          <w:w w:val="105"/>
        </w:rPr>
        <w:t>pueden</w:t>
      </w:r>
      <w:r>
        <w:rPr>
          <w:color w:val="231F20"/>
          <w:spacing w:val="-13"/>
          <w:w w:val="105"/>
        </w:rPr>
        <w:t> </w:t>
      </w:r>
      <w:r>
        <w:rPr>
          <w:color w:val="231F20"/>
          <w:w w:val="105"/>
        </w:rPr>
        <w:t>dar</w:t>
      </w:r>
      <w:r>
        <w:rPr>
          <w:color w:val="231F20"/>
          <w:spacing w:val="-13"/>
          <w:w w:val="105"/>
        </w:rPr>
        <w:t> </w:t>
      </w:r>
      <w:r>
        <w:rPr>
          <w:color w:val="231F20"/>
          <w:w w:val="105"/>
        </w:rPr>
        <w:t>lugar</w:t>
      </w:r>
      <w:r>
        <w:rPr>
          <w:color w:val="231F20"/>
          <w:spacing w:val="-13"/>
          <w:w w:val="105"/>
        </w:rPr>
        <w:t> </w:t>
      </w:r>
      <w:r>
        <w:rPr>
          <w:color w:val="231F20"/>
          <w:w w:val="105"/>
        </w:rPr>
        <w:t>a algún</w:t>
      </w:r>
      <w:r>
        <w:rPr>
          <w:color w:val="231F20"/>
          <w:spacing w:val="-14"/>
          <w:w w:val="105"/>
        </w:rPr>
        <w:t> </w:t>
      </w:r>
      <w:r>
        <w:rPr>
          <w:color w:val="231F20"/>
          <w:w w:val="105"/>
        </w:rPr>
        <w:t>tipo</w:t>
      </w:r>
      <w:r>
        <w:rPr>
          <w:color w:val="231F20"/>
          <w:spacing w:val="-14"/>
          <w:w w:val="105"/>
        </w:rPr>
        <w:t> </w:t>
      </w:r>
      <w:r>
        <w:rPr>
          <w:color w:val="231F20"/>
          <w:w w:val="105"/>
        </w:rPr>
        <w:t>de</w:t>
      </w:r>
      <w:r>
        <w:rPr>
          <w:color w:val="231F20"/>
          <w:spacing w:val="-14"/>
          <w:w w:val="105"/>
        </w:rPr>
        <w:t> </w:t>
      </w:r>
      <w:r>
        <w:rPr>
          <w:color w:val="231F20"/>
          <w:w w:val="105"/>
        </w:rPr>
        <w:t>rigidez</w:t>
      </w:r>
      <w:r>
        <w:rPr>
          <w:color w:val="231F20"/>
          <w:spacing w:val="-14"/>
          <w:w w:val="105"/>
        </w:rPr>
        <w:t> </w:t>
      </w:r>
      <w:r>
        <w:rPr>
          <w:color w:val="231F20"/>
          <w:w w:val="105"/>
        </w:rPr>
        <w:t>nominal</w:t>
      </w:r>
      <w:r>
        <w:rPr>
          <w:color w:val="231F20"/>
          <w:spacing w:val="-14"/>
          <w:w w:val="105"/>
        </w:rPr>
        <w:t> </w:t>
      </w:r>
      <w:r>
        <w:rPr>
          <w:color w:val="231F20"/>
          <w:w w:val="105"/>
        </w:rPr>
        <w:t>en</w:t>
      </w:r>
      <w:r>
        <w:rPr>
          <w:color w:val="231F20"/>
          <w:spacing w:val="-14"/>
          <w:w w:val="105"/>
        </w:rPr>
        <w:t> </w:t>
      </w:r>
      <w:r>
        <w:rPr>
          <w:color w:val="231F20"/>
          <w:w w:val="105"/>
        </w:rPr>
        <w:t>precios</w:t>
      </w:r>
      <w:r>
        <w:rPr>
          <w:color w:val="231F20"/>
          <w:spacing w:val="-14"/>
          <w:w w:val="105"/>
        </w:rPr>
        <w:t> </w:t>
      </w:r>
      <w:r>
        <w:rPr>
          <w:color w:val="231F20"/>
          <w:w w:val="105"/>
        </w:rPr>
        <w:t>y</w:t>
      </w:r>
      <w:r>
        <w:rPr>
          <w:color w:val="231F20"/>
          <w:spacing w:val="-14"/>
          <w:w w:val="105"/>
        </w:rPr>
        <w:t> </w:t>
      </w:r>
      <w:r>
        <w:rPr>
          <w:color w:val="231F20"/>
          <w:w w:val="105"/>
        </w:rPr>
        <w:t>salarios</w:t>
      </w:r>
      <w:r>
        <w:rPr>
          <w:color w:val="231F20"/>
          <w:spacing w:val="-14"/>
          <w:w w:val="105"/>
        </w:rPr>
        <w:t> </w:t>
      </w:r>
      <w:r>
        <w:rPr>
          <w:color w:val="231F20"/>
          <w:w w:val="105"/>
        </w:rPr>
        <w:t>(Dixon,</w:t>
      </w:r>
      <w:r>
        <w:rPr>
          <w:color w:val="231F20"/>
          <w:spacing w:val="-21"/>
          <w:w w:val="105"/>
        </w:rPr>
        <w:t> </w:t>
      </w:r>
      <w:r>
        <w:rPr>
          <w:color w:val="231F20"/>
          <w:w w:val="105"/>
        </w:rPr>
        <w:t>2008).</w:t>
      </w:r>
    </w:p>
    <w:p>
      <w:pPr>
        <w:pStyle w:val="BodyText"/>
        <w:spacing w:line="259" w:lineRule="auto"/>
        <w:ind w:left="103" w:right="115" w:firstLine="567"/>
        <w:jc w:val="both"/>
      </w:pPr>
      <w:r>
        <w:rPr>
          <w:color w:val="231F20"/>
          <w:spacing w:val="-6"/>
          <w:w w:val="105"/>
        </w:rPr>
        <w:t>Por</w:t>
      </w:r>
      <w:r>
        <w:rPr>
          <w:color w:val="231F20"/>
          <w:spacing w:val="-14"/>
          <w:w w:val="105"/>
        </w:rPr>
        <w:t> </w:t>
      </w:r>
      <w:r>
        <w:rPr>
          <w:color w:val="231F20"/>
          <w:w w:val="105"/>
        </w:rPr>
        <w:t>lo</w:t>
      </w:r>
      <w:r>
        <w:rPr>
          <w:color w:val="231F20"/>
          <w:spacing w:val="-14"/>
          <w:w w:val="105"/>
        </w:rPr>
        <w:t> </w:t>
      </w:r>
      <w:r>
        <w:rPr>
          <w:color w:val="231F20"/>
          <w:w w:val="105"/>
        </w:rPr>
        <w:t>anterior,</w:t>
      </w:r>
      <w:r>
        <w:rPr>
          <w:color w:val="231F20"/>
          <w:spacing w:val="-20"/>
          <w:w w:val="105"/>
        </w:rPr>
        <w:t> </w:t>
      </w:r>
      <w:r>
        <w:rPr>
          <w:color w:val="231F20"/>
          <w:w w:val="105"/>
        </w:rPr>
        <w:t>el</w:t>
      </w:r>
      <w:r>
        <w:rPr>
          <w:color w:val="231F20"/>
          <w:spacing w:val="-14"/>
          <w:w w:val="105"/>
        </w:rPr>
        <w:t> </w:t>
      </w:r>
      <w:r>
        <w:rPr>
          <w:color w:val="231F20"/>
          <w:w w:val="105"/>
        </w:rPr>
        <w:t>reto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NEK</w:t>
      </w:r>
      <w:r>
        <w:rPr>
          <w:color w:val="231F20"/>
          <w:spacing w:val="-16"/>
          <w:w w:val="105"/>
        </w:rPr>
        <w:t> </w:t>
      </w:r>
      <w:r>
        <w:rPr>
          <w:color w:val="231F20"/>
          <w:w w:val="105"/>
        </w:rPr>
        <w:t>es</w:t>
      </w:r>
      <w:r>
        <w:rPr>
          <w:color w:val="231F20"/>
          <w:spacing w:val="-14"/>
          <w:w w:val="105"/>
        </w:rPr>
        <w:t> </w:t>
      </w:r>
      <w:r>
        <w:rPr>
          <w:color w:val="231F20"/>
          <w:w w:val="105"/>
        </w:rPr>
        <w:t>endogeneizar</w:t>
      </w:r>
      <w:r>
        <w:rPr>
          <w:color w:val="231F20"/>
          <w:spacing w:val="-14"/>
          <w:w w:val="105"/>
        </w:rPr>
        <w:t> </w:t>
      </w:r>
      <w:r>
        <w:rPr>
          <w:color w:val="231F20"/>
          <w:w w:val="105"/>
        </w:rPr>
        <w:t>las</w:t>
      </w:r>
      <w:r>
        <w:rPr>
          <w:color w:val="231F20"/>
          <w:spacing w:val="-14"/>
          <w:w w:val="105"/>
        </w:rPr>
        <w:t> </w:t>
      </w:r>
      <w:r>
        <w:rPr>
          <w:color w:val="231F20"/>
          <w:w w:val="105"/>
        </w:rPr>
        <w:t>rigideces</w:t>
      </w:r>
      <w:r>
        <w:rPr>
          <w:color w:val="231F20"/>
          <w:spacing w:val="-14"/>
          <w:w w:val="105"/>
        </w:rPr>
        <w:t> </w:t>
      </w:r>
      <w:r>
        <w:rPr>
          <w:color w:val="231F20"/>
          <w:w w:val="105"/>
        </w:rPr>
        <w:t>no- minales</w:t>
      </w:r>
      <w:r>
        <w:rPr>
          <w:color w:val="231F20"/>
          <w:spacing w:val="-11"/>
          <w:w w:val="105"/>
        </w:rPr>
        <w:t> </w:t>
      </w:r>
      <w:r>
        <w:rPr>
          <w:color w:val="231F20"/>
          <w:w w:val="105"/>
        </w:rPr>
        <w:t>y</w:t>
      </w:r>
      <w:r>
        <w:rPr>
          <w:color w:val="231F20"/>
          <w:spacing w:val="-11"/>
          <w:w w:val="105"/>
        </w:rPr>
        <w:t> </w:t>
      </w:r>
      <w:r>
        <w:rPr>
          <w:color w:val="231F20"/>
          <w:w w:val="105"/>
        </w:rPr>
        <w:t>reales</w:t>
      </w:r>
      <w:r>
        <w:rPr>
          <w:color w:val="231F20"/>
          <w:spacing w:val="-11"/>
          <w:w w:val="105"/>
        </w:rPr>
        <w:t> </w:t>
      </w:r>
      <w:r>
        <w:rPr>
          <w:color w:val="231F20"/>
          <w:w w:val="105"/>
        </w:rPr>
        <w:t>de</w:t>
      </w:r>
      <w:r>
        <w:rPr>
          <w:color w:val="231F20"/>
          <w:spacing w:val="-11"/>
          <w:w w:val="105"/>
        </w:rPr>
        <w:t> </w:t>
      </w:r>
      <w:r>
        <w:rPr>
          <w:color w:val="231F20"/>
          <w:w w:val="105"/>
        </w:rPr>
        <w:t>precios</w:t>
      </w:r>
      <w:r>
        <w:rPr>
          <w:color w:val="231F20"/>
          <w:spacing w:val="-11"/>
          <w:w w:val="105"/>
        </w:rPr>
        <w:t> </w:t>
      </w:r>
      <w:r>
        <w:rPr>
          <w:color w:val="231F20"/>
          <w:w w:val="105"/>
        </w:rPr>
        <w:t>y</w:t>
      </w:r>
      <w:r>
        <w:rPr>
          <w:color w:val="231F20"/>
          <w:spacing w:val="-11"/>
          <w:w w:val="105"/>
        </w:rPr>
        <w:t> </w:t>
      </w:r>
      <w:r>
        <w:rPr>
          <w:color w:val="231F20"/>
          <w:w w:val="105"/>
        </w:rPr>
        <w:t>salarios</w:t>
      </w:r>
      <w:r>
        <w:rPr>
          <w:color w:val="231F20"/>
          <w:spacing w:val="-11"/>
          <w:w w:val="105"/>
        </w:rPr>
        <w:t> </w:t>
      </w:r>
      <w:r>
        <w:rPr>
          <w:color w:val="231F20"/>
          <w:w w:val="105"/>
        </w:rPr>
        <w:t>en</w:t>
      </w:r>
      <w:r>
        <w:rPr>
          <w:color w:val="231F20"/>
          <w:spacing w:val="-11"/>
          <w:w w:val="105"/>
        </w:rPr>
        <w:t> </w:t>
      </w:r>
      <w:r>
        <w:rPr>
          <w:color w:val="231F20"/>
          <w:w w:val="105"/>
        </w:rPr>
        <w:t>un</w:t>
      </w:r>
      <w:r>
        <w:rPr>
          <w:color w:val="231F20"/>
          <w:spacing w:val="-11"/>
          <w:w w:val="105"/>
        </w:rPr>
        <w:t> </w:t>
      </w:r>
      <w:r>
        <w:rPr>
          <w:color w:val="231F20"/>
          <w:w w:val="105"/>
        </w:rPr>
        <w:t>contexto</w:t>
      </w:r>
      <w:r>
        <w:rPr>
          <w:color w:val="231F20"/>
          <w:spacing w:val="-11"/>
          <w:w w:val="105"/>
        </w:rPr>
        <w:t> </w:t>
      </w:r>
      <w:r>
        <w:rPr>
          <w:color w:val="231F20"/>
          <w:w w:val="105"/>
        </w:rPr>
        <w:t>donde</w:t>
      </w:r>
      <w:r>
        <w:rPr>
          <w:color w:val="231F20"/>
          <w:spacing w:val="-11"/>
          <w:w w:val="105"/>
        </w:rPr>
        <w:t> </w:t>
      </w:r>
      <w:r>
        <w:rPr>
          <w:color w:val="231F20"/>
          <w:w w:val="105"/>
        </w:rPr>
        <w:t>los</w:t>
      </w:r>
      <w:r>
        <w:rPr>
          <w:color w:val="231F20"/>
          <w:spacing w:val="-11"/>
          <w:w w:val="105"/>
        </w:rPr>
        <w:t> </w:t>
      </w:r>
      <w:r>
        <w:rPr>
          <w:color w:val="231F20"/>
          <w:w w:val="105"/>
        </w:rPr>
        <w:t>agentes económicos</w:t>
      </w:r>
      <w:r>
        <w:rPr>
          <w:color w:val="231F20"/>
          <w:spacing w:val="-10"/>
          <w:w w:val="105"/>
        </w:rPr>
        <w:t> </w:t>
      </w:r>
      <w:r>
        <w:rPr>
          <w:color w:val="231F20"/>
          <w:w w:val="105"/>
        </w:rPr>
        <w:t>son</w:t>
      </w:r>
      <w:r>
        <w:rPr>
          <w:color w:val="231F20"/>
          <w:spacing w:val="-10"/>
          <w:w w:val="105"/>
        </w:rPr>
        <w:t> </w:t>
      </w:r>
      <w:r>
        <w:rPr>
          <w:color w:val="231F20"/>
          <w:w w:val="105"/>
        </w:rPr>
        <w:t>maximizadores</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utilidad</w:t>
      </w:r>
      <w:r>
        <w:rPr>
          <w:color w:val="231F20"/>
          <w:spacing w:val="-10"/>
          <w:w w:val="105"/>
        </w:rPr>
        <w:t> </w:t>
      </w:r>
      <w:r>
        <w:rPr>
          <w:color w:val="231F20"/>
          <w:w w:val="105"/>
        </w:rPr>
        <w:t>o</w:t>
      </w:r>
      <w:r>
        <w:rPr>
          <w:color w:val="231F20"/>
          <w:spacing w:val="-10"/>
          <w:w w:val="105"/>
        </w:rPr>
        <w:t> </w:t>
      </w:r>
      <w:r>
        <w:rPr>
          <w:color w:val="231F20"/>
          <w:w w:val="105"/>
        </w:rPr>
        <w:t>beneficio</w:t>
      </w:r>
      <w:r>
        <w:rPr>
          <w:color w:val="231F20"/>
          <w:spacing w:val="-10"/>
          <w:w w:val="105"/>
        </w:rPr>
        <w:t> </w:t>
      </w:r>
      <w:r>
        <w:rPr>
          <w:color w:val="231F20"/>
          <w:w w:val="105"/>
        </w:rPr>
        <w:t>y</w:t>
      </w:r>
      <w:r>
        <w:rPr>
          <w:color w:val="231F20"/>
          <w:spacing w:val="-10"/>
          <w:w w:val="105"/>
        </w:rPr>
        <w:t> </w:t>
      </w:r>
      <w:r>
        <w:rPr>
          <w:color w:val="231F20"/>
          <w:w w:val="105"/>
        </w:rPr>
        <w:t>además</w:t>
      </w:r>
      <w:r>
        <w:rPr>
          <w:color w:val="231F20"/>
          <w:spacing w:val="-10"/>
          <w:w w:val="105"/>
        </w:rPr>
        <w:t> </w:t>
      </w:r>
      <w:r>
        <w:rPr>
          <w:color w:val="231F20"/>
          <w:w w:val="105"/>
        </w:rPr>
        <w:t>tie- </w:t>
      </w:r>
      <w:r>
        <w:rPr>
          <w:color w:val="231F20"/>
        </w:rPr>
        <w:t>nen expectativas</w:t>
      </w:r>
      <w:r>
        <w:rPr>
          <w:color w:val="231F20"/>
          <w:spacing w:val="25"/>
        </w:rPr>
        <w:t> </w:t>
      </w:r>
      <w:r>
        <w:rPr>
          <w:color w:val="231F20"/>
        </w:rPr>
        <w:t>racionales.</w:t>
      </w:r>
    </w:p>
    <w:p>
      <w:pPr>
        <w:pStyle w:val="BodyText"/>
        <w:spacing w:line="259" w:lineRule="auto"/>
        <w:ind w:left="103" w:right="108" w:firstLine="567"/>
        <w:jc w:val="both"/>
      </w:pPr>
      <w:r>
        <w:rPr>
          <w:color w:val="231F20"/>
          <w:w w:val="105"/>
        </w:rPr>
        <w:t>El enfoque de la NEK ofrece una serie de ventajas (León-Díaz, 2007),</w:t>
      </w:r>
      <w:r>
        <w:rPr>
          <w:color w:val="231F20"/>
          <w:spacing w:val="-23"/>
          <w:w w:val="105"/>
        </w:rPr>
        <w:t> </w:t>
      </w:r>
      <w:r>
        <w:rPr>
          <w:color w:val="231F20"/>
          <w:w w:val="105"/>
        </w:rPr>
        <w:t>pues</w:t>
      </w:r>
      <w:r>
        <w:rPr>
          <w:color w:val="231F20"/>
          <w:spacing w:val="-16"/>
          <w:w w:val="105"/>
        </w:rPr>
        <w:t> </w:t>
      </w:r>
      <w:r>
        <w:rPr>
          <w:color w:val="231F20"/>
          <w:w w:val="105"/>
        </w:rPr>
        <w:t>permite</w:t>
      </w:r>
      <w:r>
        <w:rPr>
          <w:color w:val="231F20"/>
          <w:spacing w:val="-16"/>
          <w:w w:val="105"/>
        </w:rPr>
        <w:t> </w:t>
      </w:r>
      <w:r>
        <w:rPr>
          <w:color w:val="231F20"/>
          <w:w w:val="105"/>
        </w:rPr>
        <w:t>explicar</w:t>
      </w:r>
      <w:r>
        <w:rPr>
          <w:color w:val="231F20"/>
          <w:spacing w:val="-16"/>
          <w:w w:val="105"/>
        </w:rPr>
        <w:t> </w:t>
      </w:r>
      <w:r>
        <w:rPr>
          <w:color w:val="231F20"/>
          <w:w w:val="105"/>
        </w:rPr>
        <w:t>el</w:t>
      </w:r>
      <w:r>
        <w:rPr>
          <w:color w:val="231F20"/>
          <w:spacing w:val="-16"/>
          <w:w w:val="105"/>
        </w:rPr>
        <w:t> </w:t>
      </w:r>
      <w:r>
        <w:rPr>
          <w:color w:val="231F20"/>
          <w:w w:val="105"/>
        </w:rPr>
        <w:t>desempleo</w:t>
      </w:r>
      <w:r>
        <w:rPr>
          <w:color w:val="231F20"/>
          <w:spacing w:val="-16"/>
          <w:w w:val="105"/>
        </w:rPr>
        <w:t> </w:t>
      </w:r>
      <w:r>
        <w:rPr>
          <w:color w:val="231F20"/>
          <w:w w:val="105"/>
        </w:rPr>
        <w:t>involuntario</w:t>
      </w:r>
      <w:r>
        <w:rPr>
          <w:color w:val="231F20"/>
          <w:spacing w:val="-16"/>
          <w:w w:val="105"/>
        </w:rPr>
        <w:t> </w:t>
      </w:r>
      <w:r>
        <w:rPr>
          <w:color w:val="231F20"/>
          <w:w w:val="105"/>
        </w:rPr>
        <w:t>y</w:t>
      </w:r>
      <w:r>
        <w:rPr>
          <w:color w:val="231F20"/>
          <w:spacing w:val="-16"/>
          <w:w w:val="105"/>
        </w:rPr>
        <w:t> </w:t>
      </w:r>
      <w:r>
        <w:rPr>
          <w:color w:val="231F20"/>
          <w:w w:val="105"/>
        </w:rPr>
        <w:t>explica</w:t>
      </w:r>
      <w:r>
        <w:rPr>
          <w:color w:val="231F20"/>
          <w:spacing w:val="-16"/>
          <w:w w:val="105"/>
        </w:rPr>
        <w:t> </w:t>
      </w:r>
      <w:r>
        <w:rPr>
          <w:color w:val="231F20"/>
          <w:w w:val="105"/>
        </w:rPr>
        <w:t>por</w:t>
      </w:r>
      <w:r>
        <w:rPr>
          <w:color w:val="231F20"/>
          <w:spacing w:val="-16"/>
          <w:w w:val="105"/>
        </w:rPr>
        <w:t> </w:t>
      </w:r>
      <w:r>
        <w:rPr>
          <w:color w:val="231F20"/>
          <w:w w:val="105"/>
        </w:rPr>
        <w:t>qué el</w:t>
      </w:r>
      <w:r>
        <w:rPr>
          <w:color w:val="231F20"/>
          <w:spacing w:val="-9"/>
          <w:w w:val="105"/>
        </w:rPr>
        <w:t> </w:t>
      </w:r>
      <w:r>
        <w:rPr>
          <w:color w:val="231F20"/>
          <w:w w:val="105"/>
        </w:rPr>
        <w:t>equilibrio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economía</w:t>
      </w:r>
      <w:r>
        <w:rPr>
          <w:color w:val="231F20"/>
          <w:spacing w:val="-9"/>
          <w:w w:val="105"/>
        </w:rPr>
        <w:t> </w:t>
      </w:r>
      <w:r>
        <w:rPr>
          <w:color w:val="231F20"/>
          <w:w w:val="105"/>
        </w:rPr>
        <w:t>no</w:t>
      </w:r>
      <w:r>
        <w:rPr>
          <w:color w:val="231F20"/>
          <w:spacing w:val="-9"/>
          <w:w w:val="105"/>
        </w:rPr>
        <w:t> </w:t>
      </w:r>
      <w:r>
        <w:rPr>
          <w:color w:val="231F20"/>
          <w:w w:val="105"/>
        </w:rPr>
        <w:t>es</w:t>
      </w:r>
      <w:r>
        <w:rPr>
          <w:color w:val="231F20"/>
          <w:spacing w:val="-9"/>
          <w:w w:val="105"/>
        </w:rPr>
        <w:t> </w:t>
      </w:r>
      <w:r>
        <w:rPr>
          <w:color w:val="231F20"/>
          <w:w w:val="105"/>
        </w:rPr>
        <w:t>eficiente.</w:t>
      </w:r>
      <w:r>
        <w:rPr>
          <w:color w:val="231F20"/>
          <w:spacing w:val="-18"/>
          <w:w w:val="105"/>
        </w:rPr>
        <w:t> </w:t>
      </w:r>
      <w:r>
        <w:rPr>
          <w:color w:val="231F20"/>
          <w:w w:val="105"/>
        </w:rPr>
        <w:t>Además,</w:t>
      </w:r>
      <w:r>
        <w:rPr>
          <w:color w:val="231F20"/>
          <w:spacing w:val="-15"/>
          <w:w w:val="105"/>
        </w:rPr>
        <w:t> </w:t>
      </w:r>
      <w:r>
        <w:rPr>
          <w:color w:val="231F20"/>
          <w:w w:val="105"/>
        </w:rPr>
        <w:t>plantea</w:t>
      </w:r>
      <w:r>
        <w:rPr>
          <w:color w:val="231F20"/>
          <w:spacing w:val="-9"/>
          <w:w w:val="105"/>
        </w:rPr>
        <w:t> </w:t>
      </w:r>
      <w:r>
        <w:rPr>
          <w:color w:val="231F20"/>
          <w:w w:val="105"/>
        </w:rPr>
        <w:t>el</w:t>
      </w:r>
      <w:r>
        <w:rPr>
          <w:color w:val="231F20"/>
          <w:spacing w:val="-9"/>
          <w:w w:val="105"/>
        </w:rPr>
        <w:t> </w:t>
      </w:r>
      <w:r>
        <w:rPr>
          <w:color w:val="231F20"/>
          <w:w w:val="105"/>
        </w:rPr>
        <w:t>supues- to de que las rigideces presentes en el mercado de trabajo tienen su origen en el comportamiento de agentes que actúan racionalmente, lo que resulta fundamental para explicar el comportamiento cíclico de los salarios</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empleo,</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5"/>
          <w:w w:val="105"/>
        </w:rPr>
        <w:t> </w:t>
      </w:r>
      <w:r>
        <w:rPr>
          <w:color w:val="231F20"/>
          <w:w w:val="105"/>
        </w:rPr>
        <w:t>situaciones</w:t>
      </w:r>
      <w:r>
        <w:rPr>
          <w:color w:val="231F20"/>
          <w:spacing w:val="-5"/>
          <w:w w:val="105"/>
        </w:rPr>
        <w:t> </w:t>
      </w:r>
      <w:r>
        <w:rPr>
          <w:color w:val="231F20"/>
          <w:w w:val="105"/>
        </w:rPr>
        <w:t>de</w:t>
      </w:r>
      <w:r>
        <w:rPr>
          <w:color w:val="231F20"/>
          <w:spacing w:val="-5"/>
          <w:w w:val="105"/>
        </w:rPr>
        <w:t> </w:t>
      </w:r>
      <w:r>
        <w:rPr>
          <w:color w:val="231F20"/>
          <w:w w:val="105"/>
        </w:rPr>
        <w:t>equilibrios</w:t>
      </w:r>
      <w:r>
        <w:rPr>
          <w:color w:val="231F20"/>
          <w:spacing w:val="-5"/>
          <w:w w:val="105"/>
        </w:rPr>
        <w:t> </w:t>
      </w:r>
      <w:r>
        <w:rPr>
          <w:color w:val="231F20"/>
          <w:w w:val="105"/>
        </w:rPr>
        <w:t>múltiples</w:t>
      </w:r>
      <w:r>
        <w:rPr>
          <w:color w:val="231F20"/>
          <w:spacing w:val="-5"/>
          <w:w w:val="105"/>
        </w:rPr>
        <w:t> </w:t>
      </w:r>
      <w:r>
        <w:rPr>
          <w:color w:val="231F20"/>
          <w:w w:val="105"/>
        </w:rPr>
        <w:t>(Co- </w:t>
      </w:r>
      <w:r>
        <w:rPr>
          <w:color w:val="231F20"/>
        </w:rPr>
        <w:t>lander,</w:t>
      </w:r>
      <w:r>
        <w:rPr>
          <w:color w:val="231F20"/>
          <w:spacing w:val="14"/>
        </w:rPr>
        <w:t> </w:t>
      </w:r>
      <w:r>
        <w:rPr>
          <w:color w:val="231F20"/>
        </w:rPr>
        <w:t>1992).</w:t>
      </w:r>
    </w:p>
    <w:p>
      <w:pPr>
        <w:pStyle w:val="BodyText"/>
        <w:spacing w:line="259" w:lineRule="auto"/>
        <w:ind w:left="103" w:right="114" w:firstLine="567"/>
        <w:jc w:val="both"/>
      </w:pPr>
      <w:r>
        <w:rPr>
          <w:color w:val="231F20"/>
          <w:spacing w:val="-6"/>
          <w:w w:val="105"/>
        </w:rPr>
        <w:t>Por</w:t>
      </w:r>
      <w:r>
        <w:rPr>
          <w:color w:val="231F20"/>
          <w:spacing w:val="-19"/>
          <w:w w:val="105"/>
        </w:rPr>
        <w:t> </w:t>
      </w:r>
      <w:r>
        <w:rPr>
          <w:color w:val="231F20"/>
          <w:w w:val="105"/>
        </w:rPr>
        <w:t>otro</w:t>
      </w:r>
      <w:r>
        <w:rPr>
          <w:color w:val="231F20"/>
          <w:spacing w:val="-19"/>
          <w:w w:val="105"/>
        </w:rPr>
        <w:t> </w:t>
      </w:r>
      <w:r>
        <w:rPr>
          <w:color w:val="231F20"/>
          <w:w w:val="105"/>
        </w:rPr>
        <w:t>lado,</w:t>
      </w:r>
      <w:r>
        <w:rPr>
          <w:color w:val="231F20"/>
          <w:spacing w:val="-25"/>
          <w:w w:val="105"/>
        </w:rPr>
        <w:t> </w:t>
      </w:r>
      <w:r>
        <w:rPr>
          <w:color w:val="231F20"/>
          <w:w w:val="105"/>
        </w:rPr>
        <w:t>explica</w:t>
      </w:r>
      <w:r>
        <w:rPr>
          <w:color w:val="231F20"/>
          <w:spacing w:val="-19"/>
          <w:w w:val="105"/>
        </w:rPr>
        <w:t> </w:t>
      </w:r>
      <w:r>
        <w:rPr>
          <w:color w:val="231F20"/>
          <w:w w:val="105"/>
        </w:rPr>
        <w:t>la</w:t>
      </w:r>
      <w:r>
        <w:rPr>
          <w:color w:val="231F20"/>
          <w:spacing w:val="-19"/>
          <w:w w:val="105"/>
        </w:rPr>
        <w:t> </w:t>
      </w:r>
      <w:r>
        <w:rPr>
          <w:color w:val="231F20"/>
          <w:w w:val="105"/>
        </w:rPr>
        <w:t>relación</w:t>
      </w:r>
      <w:r>
        <w:rPr>
          <w:color w:val="231F20"/>
          <w:spacing w:val="-19"/>
          <w:w w:val="105"/>
        </w:rPr>
        <w:t> </w:t>
      </w:r>
      <w:r>
        <w:rPr>
          <w:color w:val="231F20"/>
          <w:w w:val="105"/>
        </w:rPr>
        <w:t>entre</w:t>
      </w:r>
      <w:r>
        <w:rPr>
          <w:color w:val="231F20"/>
          <w:spacing w:val="-19"/>
          <w:w w:val="105"/>
        </w:rPr>
        <w:t> </w:t>
      </w:r>
      <w:r>
        <w:rPr>
          <w:color w:val="231F20"/>
          <w:w w:val="105"/>
        </w:rPr>
        <w:t>el</w:t>
      </w:r>
      <w:r>
        <w:rPr>
          <w:color w:val="231F20"/>
          <w:spacing w:val="-19"/>
          <w:w w:val="105"/>
        </w:rPr>
        <w:t> </w:t>
      </w:r>
      <w:r>
        <w:rPr>
          <w:color w:val="231F20"/>
          <w:w w:val="105"/>
        </w:rPr>
        <w:t>salario</w:t>
      </w:r>
      <w:r>
        <w:rPr>
          <w:color w:val="231F20"/>
          <w:spacing w:val="-19"/>
          <w:w w:val="105"/>
        </w:rPr>
        <w:t> </w:t>
      </w:r>
      <w:r>
        <w:rPr>
          <w:color w:val="231F20"/>
          <w:w w:val="105"/>
        </w:rPr>
        <w:t>real</w:t>
      </w:r>
      <w:r>
        <w:rPr>
          <w:color w:val="231F20"/>
          <w:spacing w:val="-19"/>
          <w:w w:val="105"/>
        </w:rPr>
        <w:t> </w:t>
      </w:r>
      <w:r>
        <w:rPr>
          <w:color w:val="231F20"/>
          <w:w w:val="105"/>
        </w:rPr>
        <w:t>y</w:t>
      </w:r>
      <w:r>
        <w:rPr>
          <w:color w:val="231F20"/>
          <w:spacing w:val="-19"/>
          <w:w w:val="105"/>
        </w:rPr>
        <w:t> </w:t>
      </w:r>
      <w:r>
        <w:rPr>
          <w:color w:val="231F20"/>
          <w:w w:val="105"/>
        </w:rPr>
        <w:t>el</w:t>
      </w:r>
      <w:r>
        <w:rPr>
          <w:color w:val="231F20"/>
          <w:spacing w:val="-19"/>
          <w:w w:val="105"/>
        </w:rPr>
        <w:t> </w:t>
      </w:r>
      <w:r>
        <w:rPr>
          <w:color w:val="231F20"/>
          <w:w w:val="105"/>
        </w:rPr>
        <w:t>empleo</w:t>
      </w:r>
      <w:r>
        <w:rPr>
          <w:color w:val="231F20"/>
          <w:spacing w:val="-19"/>
          <w:w w:val="105"/>
        </w:rPr>
        <w:t> </w:t>
      </w:r>
      <w:r>
        <w:rPr>
          <w:color w:val="231F20"/>
          <w:w w:val="105"/>
        </w:rPr>
        <w:t>sin recurrir</w:t>
      </w:r>
      <w:r>
        <w:rPr>
          <w:color w:val="231F20"/>
          <w:spacing w:val="-16"/>
          <w:w w:val="105"/>
        </w:rPr>
        <w:t> </w:t>
      </w:r>
      <w:r>
        <w:rPr>
          <w:color w:val="231F20"/>
          <w:w w:val="105"/>
        </w:rPr>
        <w:t>a</w:t>
      </w:r>
      <w:r>
        <w:rPr>
          <w:color w:val="231F20"/>
          <w:spacing w:val="-16"/>
          <w:w w:val="105"/>
        </w:rPr>
        <w:t> </w:t>
      </w:r>
      <w:r>
        <w:rPr>
          <w:color w:val="231F20"/>
          <w:w w:val="105"/>
        </w:rPr>
        <w:t>un</w:t>
      </w:r>
      <w:r>
        <w:rPr>
          <w:color w:val="231F20"/>
          <w:spacing w:val="-16"/>
          <w:w w:val="105"/>
        </w:rPr>
        <w:t> </w:t>
      </w:r>
      <w:r>
        <w:rPr>
          <w:color w:val="231F20"/>
          <w:w w:val="105"/>
        </w:rPr>
        <w:t>efecto</w:t>
      </w:r>
      <w:r>
        <w:rPr>
          <w:color w:val="231F20"/>
          <w:spacing w:val="-16"/>
          <w:w w:val="105"/>
        </w:rPr>
        <w:t> </w:t>
      </w:r>
      <w:r>
        <w:rPr>
          <w:color w:val="231F20"/>
          <w:w w:val="105"/>
        </w:rPr>
        <w:t>intertemporal</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oferta</w:t>
      </w:r>
      <w:r>
        <w:rPr>
          <w:color w:val="231F20"/>
          <w:spacing w:val="-16"/>
          <w:w w:val="105"/>
        </w:rPr>
        <w:t> </w:t>
      </w:r>
      <w:r>
        <w:rPr>
          <w:color w:val="231F20"/>
          <w:w w:val="105"/>
        </w:rPr>
        <w:t>de</w:t>
      </w:r>
      <w:r>
        <w:rPr>
          <w:color w:val="231F20"/>
          <w:spacing w:val="-16"/>
          <w:w w:val="105"/>
        </w:rPr>
        <w:t> </w:t>
      </w:r>
      <w:r>
        <w:rPr>
          <w:color w:val="231F20"/>
          <w:w w:val="105"/>
        </w:rPr>
        <w:t>empleo;</w:t>
      </w:r>
      <w:r>
        <w:rPr>
          <w:color w:val="231F20"/>
          <w:spacing w:val="-16"/>
          <w:w w:val="105"/>
        </w:rPr>
        <w:t> </w:t>
      </w:r>
      <w:r>
        <w:rPr>
          <w:color w:val="231F20"/>
          <w:w w:val="105"/>
        </w:rPr>
        <w:t>asume</w:t>
      </w:r>
      <w:r>
        <w:rPr>
          <w:color w:val="231F20"/>
          <w:spacing w:val="-16"/>
          <w:w w:val="105"/>
        </w:rPr>
        <w:t> </w:t>
      </w:r>
      <w:r>
        <w:rPr>
          <w:color w:val="231F20"/>
          <w:w w:val="105"/>
        </w:rPr>
        <w:t>también que</w:t>
      </w:r>
      <w:r>
        <w:rPr>
          <w:color w:val="231F20"/>
          <w:spacing w:val="-14"/>
          <w:w w:val="105"/>
        </w:rPr>
        <w:t> </w:t>
      </w:r>
      <w:r>
        <w:rPr>
          <w:color w:val="231F20"/>
          <w:w w:val="105"/>
        </w:rPr>
        <w:t>la</w:t>
      </w:r>
      <w:r>
        <w:rPr>
          <w:color w:val="231F20"/>
          <w:spacing w:val="-14"/>
          <w:w w:val="105"/>
        </w:rPr>
        <w:t> </w:t>
      </w:r>
      <w:r>
        <w:rPr>
          <w:color w:val="231F20"/>
          <w:w w:val="105"/>
        </w:rPr>
        <w:t>productividad</w:t>
      </w:r>
      <w:r>
        <w:rPr>
          <w:color w:val="231F20"/>
          <w:spacing w:val="-14"/>
          <w:w w:val="105"/>
        </w:rPr>
        <w:t> </w:t>
      </w:r>
      <w:r>
        <w:rPr>
          <w:color w:val="231F20"/>
          <w:w w:val="105"/>
        </w:rPr>
        <w:t>depende</w:t>
      </w:r>
      <w:r>
        <w:rPr>
          <w:color w:val="231F20"/>
          <w:spacing w:val="-14"/>
          <w:w w:val="105"/>
        </w:rPr>
        <w:t> </w:t>
      </w:r>
      <w:r>
        <w:rPr>
          <w:color w:val="231F20"/>
          <w:w w:val="105"/>
        </w:rPr>
        <w:t>positivamente</w:t>
      </w:r>
      <w:r>
        <w:rPr>
          <w:color w:val="231F20"/>
          <w:spacing w:val="-14"/>
          <w:w w:val="105"/>
        </w:rPr>
        <w:t> </w:t>
      </w:r>
      <w:r>
        <w:rPr>
          <w:color w:val="231F20"/>
          <w:w w:val="105"/>
        </w:rPr>
        <w:t>del</w:t>
      </w:r>
      <w:r>
        <w:rPr>
          <w:color w:val="231F20"/>
          <w:spacing w:val="-14"/>
          <w:w w:val="105"/>
        </w:rPr>
        <w:t> </w:t>
      </w:r>
      <w:r>
        <w:rPr>
          <w:color w:val="231F20"/>
          <w:w w:val="105"/>
        </w:rPr>
        <w:t>salario</w:t>
      </w:r>
      <w:r>
        <w:rPr>
          <w:color w:val="231F20"/>
          <w:spacing w:val="-14"/>
          <w:w w:val="105"/>
        </w:rPr>
        <w:t> </w:t>
      </w:r>
      <w:r>
        <w:rPr>
          <w:color w:val="231F20"/>
          <w:w w:val="105"/>
        </w:rPr>
        <w:t>(hipótesis</w:t>
      </w:r>
      <w:r>
        <w:rPr>
          <w:color w:val="231F20"/>
          <w:spacing w:val="-14"/>
          <w:w w:val="105"/>
        </w:rPr>
        <w:t> </w:t>
      </w:r>
      <w:r>
        <w:rPr>
          <w:color w:val="231F20"/>
          <w:w w:val="105"/>
        </w:rPr>
        <w:t>de</w:t>
      </w:r>
      <w:r>
        <w:rPr>
          <w:color w:val="231F20"/>
          <w:spacing w:val="-14"/>
          <w:w w:val="105"/>
        </w:rPr>
        <w:t> </w:t>
      </w:r>
      <w:r>
        <w:rPr>
          <w:color w:val="231F20"/>
          <w:w w:val="105"/>
        </w:rPr>
        <w:t>los salarios</w:t>
      </w:r>
      <w:r>
        <w:rPr>
          <w:color w:val="231F20"/>
          <w:spacing w:val="-9"/>
          <w:w w:val="105"/>
        </w:rPr>
        <w:t> </w:t>
      </w:r>
      <w:r>
        <w:rPr>
          <w:color w:val="231F20"/>
          <w:w w:val="105"/>
        </w:rPr>
        <w:t>de</w:t>
      </w:r>
      <w:r>
        <w:rPr>
          <w:color w:val="231F20"/>
          <w:spacing w:val="-9"/>
          <w:w w:val="105"/>
        </w:rPr>
        <w:t> </w:t>
      </w:r>
      <w:r>
        <w:rPr>
          <w:color w:val="231F20"/>
          <w:w w:val="105"/>
        </w:rPr>
        <w:t>eficiencia,</w:t>
      </w:r>
      <w:r>
        <w:rPr>
          <w:color w:val="231F20"/>
          <w:spacing w:val="-15"/>
          <w:w w:val="105"/>
        </w:rPr>
        <w:t> </w:t>
      </w:r>
      <w:r>
        <w:rPr>
          <w:color w:val="231F20"/>
          <w:w w:val="105"/>
        </w:rPr>
        <w:t>pero</w:t>
      </w:r>
      <w:r>
        <w:rPr>
          <w:color w:val="231F20"/>
          <w:spacing w:val="-9"/>
          <w:w w:val="105"/>
        </w:rPr>
        <w:t> </w:t>
      </w:r>
      <w:r>
        <w:rPr>
          <w:color w:val="231F20"/>
          <w:w w:val="105"/>
        </w:rPr>
        <w:t>sobre</w:t>
      </w:r>
      <w:r>
        <w:rPr>
          <w:color w:val="231F20"/>
          <w:spacing w:val="-9"/>
          <w:w w:val="105"/>
        </w:rPr>
        <w:t> </w:t>
      </w:r>
      <w:r>
        <w:rPr>
          <w:color w:val="231F20"/>
          <w:w w:val="105"/>
        </w:rPr>
        <w:t>todo</w:t>
      </w:r>
      <w:r>
        <w:rPr>
          <w:color w:val="231F20"/>
          <w:spacing w:val="-9"/>
          <w:w w:val="105"/>
        </w:rPr>
        <w:t> </w:t>
      </w:r>
      <w:r>
        <w:rPr>
          <w:color w:val="231F20"/>
          <w:w w:val="105"/>
        </w:rPr>
        <w:t>evita</w:t>
      </w:r>
      <w:r>
        <w:rPr>
          <w:color w:val="231F20"/>
          <w:spacing w:val="-9"/>
          <w:w w:val="105"/>
        </w:rPr>
        <w:t> </w:t>
      </w:r>
      <w:r>
        <w:rPr>
          <w:color w:val="231F20"/>
          <w:w w:val="105"/>
        </w:rPr>
        <w:t>atribuir</w:t>
      </w:r>
      <w:r>
        <w:rPr>
          <w:color w:val="231F20"/>
          <w:spacing w:val="-9"/>
          <w:w w:val="105"/>
        </w:rPr>
        <w:t> </w:t>
      </w:r>
      <w:r>
        <w:rPr>
          <w:color w:val="231F20"/>
          <w:w w:val="105"/>
        </w:rPr>
        <w:t>el</w:t>
      </w:r>
      <w:r>
        <w:rPr>
          <w:color w:val="231F20"/>
          <w:spacing w:val="-9"/>
          <w:w w:val="105"/>
        </w:rPr>
        <w:t> </w:t>
      </w:r>
      <w:r>
        <w:rPr>
          <w:color w:val="231F20"/>
          <w:w w:val="105"/>
        </w:rPr>
        <w:t>descenso</w:t>
      </w:r>
      <w:r>
        <w:rPr>
          <w:color w:val="231F20"/>
          <w:spacing w:val="-9"/>
          <w:w w:val="105"/>
        </w:rPr>
        <w:t> </w:t>
      </w:r>
      <w:r>
        <w:rPr>
          <w:color w:val="231F20"/>
          <w:w w:val="105"/>
        </w:rPr>
        <w:t>del</w:t>
      </w:r>
      <w:r>
        <w:rPr>
          <w:color w:val="231F20"/>
          <w:spacing w:val="-9"/>
          <w:w w:val="105"/>
        </w:rPr>
        <w:t> </w:t>
      </w:r>
      <w:r>
        <w:rPr>
          <w:color w:val="231F20"/>
          <w:w w:val="105"/>
        </w:rPr>
        <w:t>em- pleo</w:t>
      </w:r>
      <w:r>
        <w:rPr>
          <w:color w:val="231F20"/>
          <w:spacing w:val="-20"/>
          <w:w w:val="105"/>
        </w:rPr>
        <w:t> </w:t>
      </w:r>
      <w:r>
        <w:rPr>
          <w:color w:val="231F20"/>
          <w:w w:val="105"/>
        </w:rPr>
        <w:t>a</w:t>
      </w:r>
      <w:r>
        <w:rPr>
          <w:color w:val="231F20"/>
          <w:spacing w:val="-20"/>
          <w:w w:val="105"/>
        </w:rPr>
        <w:t> </w:t>
      </w:r>
      <w:r>
        <w:rPr>
          <w:color w:val="231F20"/>
          <w:w w:val="105"/>
        </w:rPr>
        <w:t>decisiones</w:t>
      </w:r>
      <w:r>
        <w:rPr>
          <w:color w:val="231F20"/>
          <w:spacing w:val="-20"/>
          <w:w w:val="105"/>
        </w:rPr>
        <w:t> </w:t>
      </w:r>
      <w:r>
        <w:rPr>
          <w:color w:val="231F20"/>
          <w:w w:val="105"/>
        </w:rPr>
        <w:t>voluntarias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trabajadores.</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280"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300</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256"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301</w:t>
      </w:r>
    </w:p>
    <w:p>
      <w:pPr>
        <w:pStyle w:val="BodyText"/>
        <w:rPr>
          <w:sz w:val="20"/>
        </w:rPr>
      </w:pPr>
    </w:p>
    <w:p>
      <w:pPr>
        <w:pStyle w:val="BodyText"/>
        <w:rPr>
          <w:sz w:val="20"/>
        </w:rPr>
      </w:pPr>
    </w:p>
    <w:p>
      <w:pPr>
        <w:spacing w:before="176"/>
        <w:ind w:left="117" w:right="114" w:firstLine="0"/>
        <w:jc w:val="left"/>
        <w:rPr>
          <w:i/>
          <w:sz w:val="21"/>
        </w:rPr>
      </w:pPr>
      <w:r>
        <w:rPr>
          <w:i/>
          <w:color w:val="231F20"/>
          <w:w w:val="105"/>
          <w:sz w:val="21"/>
        </w:rPr>
        <w:t>El mercado de trabajo en la perspectiva de la NEK</w:t>
      </w:r>
    </w:p>
    <w:p>
      <w:pPr>
        <w:pStyle w:val="BodyText"/>
        <w:spacing w:before="4"/>
        <w:rPr>
          <w:i/>
          <w:sz w:val="16"/>
        </w:rPr>
      </w:pPr>
    </w:p>
    <w:p>
      <w:pPr>
        <w:pStyle w:val="BodyText"/>
        <w:spacing w:line="259" w:lineRule="auto"/>
        <w:ind w:left="77" w:right="115"/>
        <w:jc w:val="right"/>
      </w:pPr>
      <w:r>
        <w:rPr>
          <w:color w:val="231F20"/>
          <w:w w:val="105"/>
        </w:rPr>
        <w:t>Las</w:t>
      </w:r>
      <w:r>
        <w:rPr>
          <w:color w:val="231F20"/>
          <w:spacing w:val="-17"/>
          <w:w w:val="105"/>
        </w:rPr>
        <w:t> </w:t>
      </w:r>
      <w:r>
        <w:rPr>
          <w:color w:val="231F20"/>
          <w:w w:val="105"/>
        </w:rPr>
        <w:t>explicaciones</w:t>
      </w:r>
      <w:r>
        <w:rPr>
          <w:color w:val="231F20"/>
          <w:spacing w:val="-17"/>
          <w:w w:val="105"/>
        </w:rPr>
        <w:t> </w:t>
      </w:r>
      <w:r>
        <w:rPr>
          <w:color w:val="231F20"/>
          <w:w w:val="105"/>
        </w:rPr>
        <w:t>que</w:t>
      </w:r>
      <w:r>
        <w:rPr>
          <w:color w:val="231F20"/>
          <w:spacing w:val="-17"/>
          <w:w w:val="105"/>
        </w:rPr>
        <w:t> </w:t>
      </w:r>
      <w:r>
        <w:rPr>
          <w:color w:val="231F20"/>
          <w:w w:val="105"/>
        </w:rPr>
        <w:t>ofrece</w:t>
      </w:r>
      <w:r>
        <w:rPr>
          <w:color w:val="231F20"/>
          <w:spacing w:val="-17"/>
          <w:w w:val="105"/>
        </w:rPr>
        <w:t> </w:t>
      </w:r>
      <w:r>
        <w:rPr>
          <w:color w:val="231F20"/>
          <w:w w:val="105"/>
        </w:rPr>
        <w:t>la</w:t>
      </w:r>
      <w:r>
        <w:rPr>
          <w:color w:val="231F20"/>
          <w:spacing w:val="-17"/>
          <w:w w:val="105"/>
        </w:rPr>
        <w:t> </w:t>
      </w:r>
      <w:r>
        <w:rPr>
          <w:color w:val="231F20"/>
          <w:w w:val="105"/>
        </w:rPr>
        <w:t>NEK</w:t>
      </w:r>
      <w:r>
        <w:rPr>
          <w:color w:val="231F20"/>
          <w:spacing w:val="-19"/>
          <w:w w:val="105"/>
        </w:rPr>
        <w:t> </w:t>
      </w:r>
      <w:r>
        <w:rPr>
          <w:color w:val="231F20"/>
          <w:w w:val="105"/>
        </w:rPr>
        <w:t>acerca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rigidez</w:t>
      </w:r>
      <w:r>
        <w:rPr>
          <w:color w:val="231F20"/>
          <w:spacing w:val="-17"/>
          <w:w w:val="105"/>
        </w:rPr>
        <w:t> </w:t>
      </w:r>
      <w:r>
        <w:rPr>
          <w:color w:val="231F20"/>
          <w:w w:val="105"/>
        </w:rPr>
        <w:t>del</w:t>
      </w:r>
      <w:r>
        <w:rPr>
          <w:color w:val="231F20"/>
          <w:spacing w:val="-17"/>
          <w:w w:val="105"/>
        </w:rPr>
        <w:t> </w:t>
      </w:r>
      <w:r>
        <w:rPr>
          <w:color w:val="231F20"/>
          <w:w w:val="105"/>
        </w:rPr>
        <w:t>salario</w:t>
      </w:r>
      <w:r>
        <w:rPr>
          <w:color w:val="231F20"/>
          <w:spacing w:val="-17"/>
          <w:w w:val="105"/>
        </w:rPr>
        <w:t> </w:t>
      </w:r>
      <w:r>
        <w:rPr>
          <w:color w:val="231F20"/>
          <w:w w:val="105"/>
        </w:rPr>
        <w:t>real,</w:t>
      </w:r>
      <w:r>
        <w:rPr>
          <w:color w:val="231F20"/>
          <w:w w:val="99"/>
        </w:rPr>
        <w:t> </w:t>
      </w:r>
      <w:r>
        <w:rPr>
          <w:color w:val="231F20"/>
          <w:w w:val="105"/>
        </w:rPr>
        <w:t>se</w:t>
      </w:r>
      <w:r>
        <w:rPr>
          <w:color w:val="231F20"/>
          <w:spacing w:val="-18"/>
          <w:w w:val="105"/>
        </w:rPr>
        <w:t> </w:t>
      </w:r>
      <w:r>
        <w:rPr>
          <w:color w:val="231F20"/>
          <w:w w:val="105"/>
        </w:rPr>
        <w:t>clasifican</w:t>
      </w:r>
      <w:r>
        <w:rPr>
          <w:color w:val="231F20"/>
          <w:spacing w:val="-18"/>
          <w:w w:val="105"/>
        </w:rPr>
        <w:t> </w:t>
      </w:r>
      <w:r>
        <w:rPr>
          <w:color w:val="231F20"/>
          <w:w w:val="105"/>
        </w:rPr>
        <w:t>en</w:t>
      </w:r>
      <w:r>
        <w:rPr>
          <w:color w:val="231F20"/>
          <w:spacing w:val="-18"/>
          <w:w w:val="105"/>
        </w:rPr>
        <w:t> </w:t>
      </w:r>
      <w:r>
        <w:rPr>
          <w:color w:val="231F20"/>
          <w:w w:val="105"/>
        </w:rPr>
        <w:t>tres</w:t>
      </w:r>
      <w:r>
        <w:rPr>
          <w:color w:val="231F20"/>
          <w:spacing w:val="-18"/>
          <w:w w:val="105"/>
        </w:rPr>
        <w:t> </w:t>
      </w:r>
      <w:r>
        <w:rPr>
          <w:color w:val="231F20"/>
          <w:w w:val="105"/>
        </w:rPr>
        <w:t>grupos</w:t>
      </w:r>
      <w:r>
        <w:rPr>
          <w:color w:val="231F20"/>
          <w:spacing w:val="-18"/>
          <w:w w:val="105"/>
        </w:rPr>
        <w:t> </w:t>
      </w:r>
      <w:r>
        <w:rPr>
          <w:color w:val="231F20"/>
          <w:w w:val="105"/>
        </w:rPr>
        <w:t>principales:</w:t>
      </w:r>
      <w:r>
        <w:rPr>
          <w:color w:val="231F20"/>
          <w:spacing w:val="-18"/>
          <w:w w:val="105"/>
        </w:rPr>
        <w:t> </w:t>
      </w:r>
      <w:r>
        <w:rPr>
          <w:color w:val="231F20"/>
          <w:w w:val="105"/>
        </w:rPr>
        <w:t>i)</w:t>
      </w:r>
      <w:r>
        <w:rPr>
          <w:color w:val="231F20"/>
          <w:spacing w:val="-18"/>
          <w:w w:val="105"/>
        </w:rPr>
        <w:t> </w:t>
      </w:r>
      <w:r>
        <w:rPr>
          <w:color w:val="231F20"/>
          <w:w w:val="105"/>
        </w:rPr>
        <w:t>teorías</w:t>
      </w:r>
      <w:r>
        <w:rPr>
          <w:color w:val="231F20"/>
          <w:spacing w:val="-18"/>
          <w:w w:val="105"/>
        </w:rPr>
        <w:t> </w:t>
      </w:r>
      <w:r>
        <w:rPr>
          <w:color w:val="231F20"/>
          <w:w w:val="105"/>
        </w:rPr>
        <w:t>de</w:t>
      </w:r>
      <w:r>
        <w:rPr>
          <w:color w:val="231F20"/>
          <w:spacing w:val="-18"/>
          <w:w w:val="105"/>
        </w:rPr>
        <w:t> </w:t>
      </w:r>
      <w:r>
        <w:rPr>
          <w:color w:val="231F20"/>
          <w:w w:val="105"/>
        </w:rPr>
        <w:t>contratos</w:t>
      </w:r>
      <w:r>
        <w:rPr>
          <w:color w:val="231F20"/>
          <w:spacing w:val="-18"/>
          <w:w w:val="105"/>
        </w:rPr>
        <w:t> </w:t>
      </w:r>
      <w:r>
        <w:rPr>
          <w:color w:val="231F20"/>
          <w:w w:val="105"/>
        </w:rPr>
        <w:t>implícitos;</w:t>
      </w:r>
    </w:p>
    <w:p>
      <w:pPr>
        <w:pStyle w:val="ListParagraph"/>
        <w:numPr>
          <w:ilvl w:val="0"/>
          <w:numId w:val="67"/>
        </w:numPr>
        <w:tabs>
          <w:tab w:pos="340" w:val="left" w:leader="none"/>
        </w:tabs>
        <w:spacing w:line="259" w:lineRule="auto" w:before="0" w:after="0"/>
        <w:ind w:left="117" w:right="121" w:firstLine="0"/>
        <w:jc w:val="left"/>
        <w:rPr>
          <w:sz w:val="21"/>
        </w:rPr>
      </w:pPr>
      <w:r>
        <w:rPr>
          <w:color w:val="231F20"/>
          <w:sz w:val="21"/>
        </w:rPr>
        <w:t>teorías de los salarios de eficiencia; </w:t>
      </w:r>
      <w:r>
        <w:rPr>
          <w:color w:val="231F20"/>
          <w:spacing w:val="-4"/>
          <w:sz w:val="21"/>
        </w:rPr>
        <w:t>y, </w:t>
      </w:r>
      <w:r>
        <w:rPr>
          <w:color w:val="231F20"/>
          <w:sz w:val="21"/>
        </w:rPr>
        <w:t>iii) teorías de trabajadores inter- nos-externos.</w:t>
      </w:r>
    </w:p>
    <w:p>
      <w:pPr>
        <w:pStyle w:val="ListParagraph"/>
        <w:numPr>
          <w:ilvl w:val="1"/>
          <w:numId w:val="67"/>
        </w:numPr>
        <w:tabs>
          <w:tab w:pos="899" w:val="left" w:leader="none"/>
        </w:tabs>
        <w:spacing w:line="259" w:lineRule="auto" w:before="0" w:after="0"/>
        <w:ind w:left="117" w:right="121" w:firstLine="567"/>
        <w:jc w:val="both"/>
        <w:rPr>
          <w:sz w:val="21"/>
        </w:rPr>
      </w:pPr>
      <w:r>
        <w:rPr>
          <w:color w:val="231F20"/>
          <w:spacing w:val="-3"/>
          <w:w w:val="105"/>
          <w:sz w:val="21"/>
        </w:rPr>
        <w:t>Modelos</w:t>
      </w:r>
      <w:r>
        <w:rPr>
          <w:color w:val="231F20"/>
          <w:spacing w:val="-23"/>
          <w:w w:val="105"/>
          <w:sz w:val="21"/>
        </w:rPr>
        <w:t> </w:t>
      </w:r>
      <w:r>
        <w:rPr>
          <w:color w:val="231F20"/>
          <w:w w:val="105"/>
          <w:sz w:val="21"/>
        </w:rPr>
        <w:t>de</w:t>
      </w:r>
      <w:r>
        <w:rPr>
          <w:color w:val="231F20"/>
          <w:spacing w:val="-23"/>
          <w:w w:val="105"/>
          <w:sz w:val="21"/>
        </w:rPr>
        <w:t> </w:t>
      </w:r>
      <w:r>
        <w:rPr>
          <w:color w:val="231F20"/>
          <w:spacing w:val="-4"/>
          <w:w w:val="105"/>
          <w:sz w:val="21"/>
        </w:rPr>
        <w:t>contratos</w:t>
      </w:r>
      <w:r>
        <w:rPr>
          <w:color w:val="231F20"/>
          <w:spacing w:val="-23"/>
          <w:w w:val="105"/>
          <w:sz w:val="21"/>
        </w:rPr>
        <w:t> </w:t>
      </w:r>
      <w:r>
        <w:rPr>
          <w:color w:val="231F20"/>
          <w:spacing w:val="-3"/>
          <w:w w:val="105"/>
          <w:sz w:val="21"/>
        </w:rPr>
        <w:t>implícitos.</w:t>
      </w:r>
      <w:r>
        <w:rPr>
          <w:color w:val="231F20"/>
          <w:spacing w:val="-29"/>
          <w:w w:val="105"/>
          <w:sz w:val="21"/>
        </w:rPr>
        <w:t> </w:t>
      </w:r>
      <w:r>
        <w:rPr>
          <w:color w:val="231F20"/>
          <w:spacing w:val="-3"/>
          <w:w w:val="105"/>
          <w:sz w:val="21"/>
        </w:rPr>
        <w:t>Este</w:t>
      </w:r>
      <w:r>
        <w:rPr>
          <w:color w:val="231F20"/>
          <w:spacing w:val="-23"/>
          <w:w w:val="105"/>
          <w:sz w:val="21"/>
        </w:rPr>
        <w:t> </w:t>
      </w:r>
      <w:r>
        <w:rPr>
          <w:color w:val="231F20"/>
          <w:spacing w:val="-3"/>
          <w:w w:val="105"/>
          <w:sz w:val="21"/>
        </w:rPr>
        <w:t>tipo</w:t>
      </w:r>
      <w:r>
        <w:rPr>
          <w:color w:val="231F20"/>
          <w:spacing w:val="-23"/>
          <w:w w:val="105"/>
          <w:sz w:val="21"/>
        </w:rPr>
        <w:t> </w:t>
      </w:r>
      <w:r>
        <w:rPr>
          <w:color w:val="231F20"/>
          <w:w w:val="105"/>
          <w:sz w:val="21"/>
        </w:rPr>
        <w:t>de</w:t>
      </w:r>
      <w:r>
        <w:rPr>
          <w:color w:val="231F20"/>
          <w:spacing w:val="-23"/>
          <w:w w:val="105"/>
          <w:sz w:val="21"/>
        </w:rPr>
        <w:t> </w:t>
      </w:r>
      <w:r>
        <w:rPr>
          <w:color w:val="231F20"/>
          <w:spacing w:val="-3"/>
          <w:w w:val="105"/>
          <w:sz w:val="21"/>
        </w:rPr>
        <w:t>modelos</w:t>
      </w:r>
      <w:r>
        <w:rPr>
          <w:color w:val="231F20"/>
          <w:spacing w:val="-23"/>
          <w:w w:val="105"/>
          <w:sz w:val="21"/>
        </w:rPr>
        <w:t> </w:t>
      </w:r>
      <w:r>
        <w:rPr>
          <w:color w:val="231F20"/>
          <w:w w:val="105"/>
          <w:sz w:val="21"/>
        </w:rPr>
        <w:t>se</w:t>
      </w:r>
      <w:r>
        <w:rPr>
          <w:color w:val="231F20"/>
          <w:spacing w:val="-23"/>
          <w:w w:val="105"/>
          <w:sz w:val="21"/>
        </w:rPr>
        <w:t> </w:t>
      </w:r>
      <w:r>
        <w:rPr>
          <w:color w:val="231F20"/>
          <w:spacing w:val="-3"/>
          <w:w w:val="105"/>
          <w:sz w:val="21"/>
        </w:rPr>
        <w:t>expusie- ron </w:t>
      </w:r>
      <w:r>
        <w:rPr>
          <w:color w:val="231F20"/>
          <w:w w:val="105"/>
          <w:sz w:val="21"/>
        </w:rPr>
        <w:t>en la </w:t>
      </w:r>
      <w:r>
        <w:rPr>
          <w:color w:val="231F20"/>
          <w:spacing w:val="-3"/>
          <w:w w:val="105"/>
          <w:sz w:val="21"/>
        </w:rPr>
        <w:t>década </w:t>
      </w:r>
      <w:r>
        <w:rPr>
          <w:color w:val="231F20"/>
          <w:w w:val="105"/>
          <w:sz w:val="21"/>
        </w:rPr>
        <w:t>de los </w:t>
      </w:r>
      <w:r>
        <w:rPr>
          <w:color w:val="231F20"/>
          <w:spacing w:val="-3"/>
          <w:w w:val="105"/>
          <w:sz w:val="21"/>
        </w:rPr>
        <w:t>años setenta, siguiendo </w:t>
      </w:r>
      <w:r>
        <w:rPr>
          <w:color w:val="231F20"/>
          <w:w w:val="105"/>
          <w:sz w:val="21"/>
        </w:rPr>
        <w:t>el </w:t>
      </w:r>
      <w:r>
        <w:rPr>
          <w:color w:val="231F20"/>
          <w:spacing w:val="-3"/>
          <w:w w:val="105"/>
          <w:sz w:val="21"/>
        </w:rPr>
        <w:t>desarrollo </w:t>
      </w:r>
      <w:r>
        <w:rPr>
          <w:color w:val="231F20"/>
          <w:w w:val="105"/>
          <w:sz w:val="21"/>
        </w:rPr>
        <w:t>de la </w:t>
      </w:r>
      <w:r>
        <w:rPr>
          <w:color w:val="231F20"/>
          <w:spacing w:val="-3"/>
          <w:w w:val="105"/>
          <w:sz w:val="21"/>
        </w:rPr>
        <w:t>hipó- tesis</w:t>
      </w:r>
      <w:r>
        <w:rPr>
          <w:color w:val="231F20"/>
          <w:spacing w:val="-16"/>
          <w:w w:val="105"/>
          <w:sz w:val="21"/>
        </w:rPr>
        <w:t> </w:t>
      </w:r>
      <w:r>
        <w:rPr>
          <w:color w:val="231F20"/>
          <w:w w:val="105"/>
          <w:sz w:val="21"/>
        </w:rPr>
        <w:t>de</w:t>
      </w:r>
      <w:r>
        <w:rPr>
          <w:color w:val="231F20"/>
          <w:spacing w:val="-16"/>
          <w:w w:val="105"/>
          <w:sz w:val="21"/>
        </w:rPr>
        <w:t> </w:t>
      </w:r>
      <w:r>
        <w:rPr>
          <w:color w:val="231F20"/>
          <w:w w:val="105"/>
          <w:sz w:val="21"/>
        </w:rPr>
        <w:t>la</w:t>
      </w:r>
      <w:r>
        <w:rPr>
          <w:color w:val="231F20"/>
          <w:spacing w:val="-16"/>
          <w:w w:val="105"/>
          <w:sz w:val="21"/>
        </w:rPr>
        <w:t> </w:t>
      </w:r>
      <w:r>
        <w:rPr>
          <w:color w:val="231F20"/>
          <w:spacing w:val="-3"/>
          <w:w w:val="105"/>
          <w:sz w:val="21"/>
        </w:rPr>
        <w:t>tasa</w:t>
      </w:r>
      <w:r>
        <w:rPr>
          <w:color w:val="231F20"/>
          <w:spacing w:val="-16"/>
          <w:w w:val="105"/>
          <w:sz w:val="21"/>
        </w:rPr>
        <w:t> </w:t>
      </w:r>
      <w:r>
        <w:rPr>
          <w:color w:val="231F20"/>
          <w:w w:val="105"/>
          <w:sz w:val="21"/>
        </w:rPr>
        <w:t>de</w:t>
      </w:r>
      <w:r>
        <w:rPr>
          <w:color w:val="231F20"/>
          <w:spacing w:val="-16"/>
          <w:w w:val="105"/>
          <w:sz w:val="21"/>
        </w:rPr>
        <w:t> </w:t>
      </w:r>
      <w:r>
        <w:rPr>
          <w:color w:val="231F20"/>
          <w:spacing w:val="-3"/>
          <w:w w:val="105"/>
          <w:sz w:val="21"/>
        </w:rPr>
        <w:t>desempleo</w:t>
      </w:r>
      <w:r>
        <w:rPr>
          <w:color w:val="231F20"/>
          <w:spacing w:val="-16"/>
          <w:w w:val="105"/>
          <w:sz w:val="21"/>
        </w:rPr>
        <w:t> </w:t>
      </w:r>
      <w:r>
        <w:rPr>
          <w:color w:val="231F20"/>
          <w:spacing w:val="-4"/>
          <w:w w:val="105"/>
          <w:sz w:val="21"/>
        </w:rPr>
        <w:t>natural</w:t>
      </w:r>
      <w:r>
        <w:rPr>
          <w:color w:val="231F20"/>
          <w:spacing w:val="-16"/>
          <w:w w:val="105"/>
          <w:sz w:val="21"/>
        </w:rPr>
        <w:t> </w:t>
      </w:r>
      <w:r>
        <w:rPr>
          <w:color w:val="231F20"/>
          <w:spacing w:val="-3"/>
          <w:w w:val="105"/>
          <w:sz w:val="21"/>
        </w:rPr>
        <w:t>expuesta</w:t>
      </w:r>
      <w:r>
        <w:rPr>
          <w:color w:val="231F20"/>
          <w:spacing w:val="-16"/>
          <w:w w:val="105"/>
          <w:sz w:val="21"/>
        </w:rPr>
        <w:t> </w:t>
      </w:r>
      <w:r>
        <w:rPr>
          <w:color w:val="231F20"/>
          <w:w w:val="105"/>
          <w:sz w:val="21"/>
        </w:rPr>
        <w:t>por</w:t>
      </w:r>
      <w:r>
        <w:rPr>
          <w:color w:val="231F20"/>
          <w:spacing w:val="-16"/>
          <w:w w:val="105"/>
          <w:sz w:val="21"/>
        </w:rPr>
        <w:t> </w:t>
      </w:r>
      <w:r>
        <w:rPr>
          <w:color w:val="231F20"/>
          <w:spacing w:val="-4"/>
          <w:w w:val="105"/>
          <w:sz w:val="21"/>
        </w:rPr>
        <w:t>Friedman</w:t>
      </w:r>
      <w:r>
        <w:rPr>
          <w:color w:val="231F20"/>
          <w:spacing w:val="-16"/>
          <w:w w:val="105"/>
          <w:sz w:val="21"/>
        </w:rPr>
        <w:t> </w:t>
      </w:r>
      <w:r>
        <w:rPr>
          <w:color w:val="231F20"/>
          <w:spacing w:val="-3"/>
          <w:w w:val="105"/>
          <w:sz w:val="21"/>
        </w:rPr>
        <w:t>(1968)</w:t>
      </w:r>
      <w:r>
        <w:rPr>
          <w:color w:val="231F20"/>
          <w:spacing w:val="-16"/>
          <w:w w:val="105"/>
          <w:sz w:val="21"/>
        </w:rPr>
        <w:t> </w:t>
      </w:r>
      <w:r>
        <w:rPr>
          <w:color w:val="231F20"/>
          <w:w w:val="105"/>
          <w:sz w:val="21"/>
        </w:rPr>
        <w:t>y</w:t>
      </w:r>
      <w:r>
        <w:rPr>
          <w:color w:val="231F20"/>
          <w:spacing w:val="-16"/>
          <w:w w:val="105"/>
          <w:sz w:val="21"/>
        </w:rPr>
        <w:t> </w:t>
      </w:r>
      <w:r>
        <w:rPr>
          <w:color w:val="231F20"/>
          <w:spacing w:val="-3"/>
          <w:w w:val="105"/>
          <w:sz w:val="21"/>
        </w:rPr>
        <w:t>por Phelps</w:t>
      </w:r>
      <w:r>
        <w:rPr>
          <w:color w:val="231F20"/>
          <w:spacing w:val="-18"/>
          <w:w w:val="105"/>
          <w:sz w:val="21"/>
        </w:rPr>
        <w:t> </w:t>
      </w:r>
      <w:r>
        <w:rPr>
          <w:color w:val="231F20"/>
          <w:spacing w:val="-3"/>
          <w:w w:val="105"/>
          <w:sz w:val="21"/>
        </w:rPr>
        <w:t>(1967,</w:t>
      </w:r>
      <w:r>
        <w:rPr>
          <w:color w:val="231F20"/>
          <w:spacing w:val="-23"/>
          <w:w w:val="105"/>
          <w:sz w:val="21"/>
        </w:rPr>
        <w:t> </w:t>
      </w:r>
      <w:r>
        <w:rPr>
          <w:color w:val="231F20"/>
          <w:spacing w:val="-3"/>
          <w:w w:val="105"/>
          <w:sz w:val="21"/>
        </w:rPr>
        <w:t>1968).</w:t>
      </w:r>
      <w:r>
        <w:rPr>
          <w:color w:val="231F20"/>
          <w:spacing w:val="-23"/>
          <w:w w:val="105"/>
          <w:sz w:val="21"/>
        </w:rPr>
        <w:t> </w:t>
      </w:r>
      <w:r>
        <w:rPr>
          <w:color w:val="231F20"/>
          <w:w w:val="105"/>
          <w:sz w:val="21"/>
        </w:rPr>
        <w:t>Su</w:t>
      </w:r>
      <w:r>
        <w:rPr>
          <w:color w:val="231F20"/>
          <w:spacing w:val="-18"/>
          <w:w w:val="105"/>
          <w:sz w:val="21"/>
        </w:rPr>
        <w:t> </w:t>
      </w:r>
      <w:r>
        <w:rPr>
          <w:color w:val="231F20"/>
          <w:spacing w:val="-3"/>
          <w:w w:val="105"/>
          <w:sz w:val="21"/>
        </w:rPr>
        <w:t>principal</w:t>
      </w:r>
      <w:r>
        <w:rPr>
          <w:color w:val="231F20"/>
          <w:spacing w:val="-18"/>
          <w:w w:val="105"/>
          <w:sz w:val="21"/>
        </w:rPr>
        <w:t> </w:t>
      </w:r>
      <w:r>
        <w:rPr>
          <w:color w:val="231F20"/>
          <w:spacing w:val="-3"/>
          <w:w w:val="105"/>
          <w:sz w:val="21"/>
        </w:rPr>
        <w:t>contribución</w:t>
      </w:r>
      <w:r>
        <w:rPr>
          <w:color w:val="231F20"/>
          <w:spacing w:val="-18"/>
          <w:w w:val="105"/>
          <w:sz w:val="21"/>
        </w:rPr>
        <w:t> </w:t>
      </w:r>
      <w:r>
        <w:rPr>
          <w:color w:val="231F20"/>
          <w:w w:val="105"/>
          <w:sz w:val="21"/>
        </w:rPr>
        <w:t>fue</w:t>
      </w:r>
      <w:r>
        <w:rPr>
          <w:color w:val="231F20"/>
          <w:spacing w:val="-18"/>
          <w:w w:val="105"/>
          <w:sz w:val="21"/>
        </w:rPr>
        <w:t> </w:t>
      </w:r>
      <w:r>
        <w:rPr>
          <w:color w:val="231F20"/>
          <w:spacing w:val="-3"/>
          <w:w w:val="105"/>
          <w:sz w:val="21"/>
        </w:rPr>
        <w:t>explicar</w:t>
      </w:r>
      <w:r>
        <w:rPr>
          <w:color w:val="231F20"/>
          <w:spacing w:val="-18"/>
          <w:w w:val="105"/>
          <w:sz w:val="21"/>
        </w:rPr>
        <w:t> </w:t>
      </w:r>
      <w:r>
        <w:rPr>
          <w:color w:val="231F20"/>
          <w:w w:val="105"/>
          <w:sz w:val="21"/>
        </w:rPr>
        <w:t>por</w:t>
      </w:r>
      <w:r>
        <w:rPr>
          <w:color w:val="231F20"/>
          <w:spacing w:val="-18"/>
          <w:w w:val="105"/>
          <w:sz w:val="21"/>
        </w:rPr>
        <w:t> </w:t>
      </w:r>
      <w:r>
        <w:rPr>
          <w:color w:val="231F20"/>
          <w:w w:val="105"/>
          <w:sz w:val="21"/>
        </w:rPr>
        <w:t>qué</w:t>
      </w:r>
      <w:r>
        <w:rPr>
          <w:color w:val="231F20"/>
          <w:spacing w:val="-18"/>
          <w:w w:val="105"/>
          <w:sz w:val="21"/>
        </w:rPr>
        <w:t> </w:t>
      </w:r>
      <w:r>
        <w:rPr>
          <w:color w:val="231F20"/>
          <w:w w:val="105"/>
          <w:sz w:val="21"/>
        </w:rPr>
        <w:t>la</w:t>
      </w:r>
      <w:r>
        <w:rPr>
          <w:color w:val="231F20"/>
          <w:spacing w:val="-18"/>
          <w:w w:val="105"/>
          <w:sz w:val="21"/>
        </w:rPr>
        <w:t> </w:t>
      </w:r>
      <w:r>
        <w:rPr>
          <w:color w:val="231F20"/>
          <w:spacing w:val="-3"/>
          <w:w w:val="105"/>
          <w:sz w:val="21"/>
        </w:rPr>
        <w:t>tasa </w:t>
      </w:r>
      <w:r>
        <w:rPr>
          <w:color w:val="231F20"/>
          <w:spacing w:val="-4"/>
          <w:w w:val="105"/>
          <w:sz w:val="21"/>
        </w:rPr>
        <w:t>natural </w:t>
      </w:r>
      <w:r>
        <w:rPr>
          <w:color w:val="231F20"/>
          <w:w w:val="105"/>
          <w:sz w:val="21"/>
        </w:rPr>
        <w:t>de </w:t>
      </w:r>
      <w:r>
        <w:rPr>
          <w:color w:val="231F20"/>
          <w:spacing w:val="-3"/>
          <w:w w:val="105"/>
          <w:sz w:val="21"/>
        </w:rPr>
        <w:t>desempleo era positiva, </w:t>
      </w:r>
      <w:r>
        <w:rPr>
          <w:color w:val="231F20"/>
          <w:w w:val="105"/>
          <w:sz w:val="21"/>
        </w:rPr>
        <w:t>y </w:t>
      </w:r>
      <w:r>
        <w:rPr>
          <w:color w:val="231F20"/>
          <w:spacing w:val="-3"/>
          <w:w w:val="105"/>
          <w:sz w:val="21"/>
        </w:rPr>
        <w:t>señalaron </w:t>
      </w:r>
      <w:r>
        <w:rPr>
          <w:color w:val="231F20"/>
          <w:w w:val="105"/>
          <w:sz w:val="21"/>
        </w:rPr>
        <w:t>que los </w:t>
      </w:r>
      <w:r>
        <w:rPr>
          <w:color w:val="231F20"/>
          <w:spacing w:val="-3"/>
          <w:w w:val="105"/>
          <w:sz w:val="21"/>
        </w:rPr>
        <w:t>salarios frecuen- temente</w:t>
      </w:r>
      <w:r>
        <w:rPr>
          <w:color w:val="231F20"/>
          <w:spacing w:val="-17"/>
          <w:w w:val="105"/>
          <w:sz w:val="21"/>
        </w:rPr>
        <w:t> </w:t>
      </w:r>
      <w:r>
        <w:rPr>
          <w:color w:val="231F20"/>
          <w:spacing w:val="-3"/>
          <w:w w:val="105"/>
          <w:sz w:val="21"/>
        </w:rPr>
        <w:t>divergen</w:t>
      </w:r>
      <w:r>
        <w:rPr>
          <w:color w:val="231F20"/>
          <w:spacing w:val="-17"/>
          <w:w w:val="105"/>
          <w:sz w:val="21"/>
        </w:rPr>
        <w:t> </w:t>
      </w:r>
      <w:r>
        <w:rPr>
          <w:color w:val="231F20"/>
          <w:w w:val="105"/>
          <w:sz w:val="21"/>
        </w:rPr>
        <w:t>en</w:t>
      </w:r>
      <w:r>
        <w:rPr>
          <w:color w:val="231F20"/>
          <w:spacing w:val="-17"/>
          <w:w w:val="105"/>
          <w:sz w:val="21"/>
        </w:rPr>
        <w:t> </w:t>
      </w:r>
      <w:r>
        <w:rPr>
          <w:color w:val="231F20"/>
          <w:spacing w:val="-3"/>
          <w:w w:val="105"/>
          <w:sz w:val="21"/>
        </w:rPr>
        <w:t>relación</w:t>
      </w:r>
      <w:r>
        <w:rPr>
          <w:color w:val="231F20"/>
          <w:spacing w:val="-17"/>
          <w:w w:val="105"/>
          <w:sz w:val="21"/>
        </w:rPr>
        <w:t> </w:t>
      </w:r>
      <w:r>
        <w:rPr>
          <w:color w:val="231F20"/>
          <w:w w:val="105"/>
          <w:sz w:val="21"/>
        </w:rPr>
        <w:t>con</w:t>
      </w:r>
      <w:r>
        <w:rPr>
          <w:color w:val="231F20"/>
          <w:spacing w:val="-17"/>
          <w:w w:val="105"/>
          <w:sz w:val="21"/>
        </w:rPr>
        <w:t> </w:t>
      </w:r>
      <w:r>
        <w:rPr>
          <w:color w:val="231F20"/>
          <w:w w:val="105"/>
          <w:sz w:val="21"/>
        </w:rPr>
        <w:t>la</w:t>
      </w:r>
      <w:r>
        <w:rPr>
          <w:color w:val="231F20"/>
          <w:spacing w:val="-17"/>
          <w:w w:val="105"/>
          <w:sz w:val="21"/>
        </w:rPr>
        <w:t> </w:t>
      </w:r>
      <w:r>
        <w:rPr>
          <w:color w:val="231F20"/>
          <w:spacing w:val="-3"/>
          <w:w w:val="105"/>
          <w:sz w:val="21"/>
        </w:rPr>
        <w:t>productividad</w:t>
      </w:r>
      <w:r>
        <w:rPr>
          <w:color w:val="231F20"/>
          <w:spacing w:val="-17"/>
          <w:w w:val="105"/>
          <w:sz w:val="21"/>
        </w:rPr>
        <w:t> </w:t>
      </w:r>
      <w:r>
        <w:rPr>
          <w:color w:val="231F20"/>
          <w:spacing w:val="-3"/>
          <w:w w:val="105"/>
          <w:sz w:val="21"/>
        </w:rPr>
        <w:t>marginal</w:t>
      </w:r>
      <w:r>
        <w:rPr>
          <w:color w:val="231F20"/>
          <w:spacing w:val="-17"/>
          <w:w w:val="105"/>
          <w:sz w:val="21"/>
        </w:rPr>
        <w:t> </w:t>
      </w:r>
      <w:r>
        <w:rPr>
          <w:color w:val="231F20"/>
          <w:spacing w:val="-3"/>
          <w:w w:val="105"/>
          <w:sz w:val="21"/>
        </w:rPr>
        <w:t>(Mas,</w:t>
      </w:r>
      <w:r>
        <w:rPr>
          <w:color w:val="231F20"/>
          <w:spacing w:val="-23"/>
          <w:w w:val="105"/>
          <w:sz w:val="21"/>
        </w:rPr>
        <w:t> </w:t>
      </w:r>
      <w:r>
        <w:rPr>
          <w:color w:val="231F20"/>
          <w:spacing w:val="-3"/>
          <w:w w:val="105"/>
          <w:sz w:val="21"/>
        </w:rPr>
        <w:t>1983).</w:t>
      </w:r>
    </w:p>
    <w:p>
      <w:pPr>
        <w:pStyle w:val="BodyText"/>
        <w:spacing w:line="259" w:lineRule="auto"/>
        <w:ind w:left="117" w:right="120" w:firstLine="567"/>
        <w:jc w:val="both"/>
      </w:pPr>
      <w:r>
        <w:rPr>
          <w:color w:val="231F20"/>
          <w:w w:val="105"/>
        </w:rPr>
        <w:t>El</w:t>
      </w:r>
      <w:r>
        <w:rPr>
          <w:color w:val="231F20"/>
          <w:spacing w:val="-22"/>
          <w:w w:val="105"/>
        </w:rPr>
        <w:t> </w:t>
      </w:r>
      <w:r>
        <w:rPr>
          <w:color w:val="231F20"/>
          <w:w w:val="105"/>
        </w:rPr>
        <w:t>enfoque</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contratos</w:t>
      </w:r>
      <w:r>
        <w:rPr>
          <w:color w:val="231F20"/>
          <w:spacing w:val="-22"/>
          <w:w w:val="105"/>
        </w:rPr>
        <w:t> </w:t>
      </w:r>
      <w:r>
        <w:rPr>
          <w:color w:val="231F20"/>
          <w:w w:val="105"/>
        </w:rPr>
        <w:t>implícitos</w:t>
      </w:r>
      <w:r>
        <w:rPr>
          <w:color w:val="231F20"/>
          <w:spacing w:val="-22"/>
          <w:w w:val="105"/>
        </w:rPr>
        <w:t> </w:t>
      </w:r>
      <w:r>
        <w:rPr>
          <w:color w:val="231F20"/>
          <w:w w:val="105"/>
        </w:rPr>
        <w:t>pretende</w:t>
      </w:r>
      <w:r>
        <w:rPr>
          <w:color w:val="231F20"/>
          <w:spacing w:val="-22"/>
          <w:w w:val="105"/>
        </w:rPr>
        <w:t> </w:t>
      </w:r>
      <w:r>
        <w:rPr>
          <w:color w:val="231F20"/>
          <w:w w:val="105"/>
        </w:rPr>
        <w:t>explicar</w:t>
      </w:r>
      <w:r>
        <w:rPr>
          <w:color w:val="231F20"/>
          <w:spacing w:val="-22"/>
          <w:w w:val="105"/>
        </w:rPr>
        <w:t> </w:t>
      </w:r>
      <w:r>
        <w:rPr>
          <w:color w:val="231F20"/>
          <w:w w:val="105"/>
        </w:rPr>
        <w:t>por</w:t>
      </w:r>
      <w:r>
        <w:rPr>
          <w:color w:val="231F20"/>
          <w:spacing w:val="-22"/>
          <w:w w:val="105"/>
        </w:rPr>
        <w:t> </w:t>
      </w:r>
      <w:r>
        <w:rPr>
          <w:color w:val="231F20"/>
          <w:w w:val="105"/>
        </w:rPr>
        <w:t>qué</w:t>
      </w:r>
      <w:r>
        <w:rPr>
          <w:color w:val="231F20"/>
          <w:spacing w:val="-22"/>
          <w:w w:val="105"/>
        </w:rPr>
        <w:t> </w:t>
      </w:r>
      <w:r>
        <w:rPr>
          <w:color w:val="231F20"/>
          <w:w w:val="105"/>
        </w:rPr>
        <w:t>los trabajadores</w:t>
      </w:r>
      <w:r>
        <w:rPr>
          <w:color w:val="231F20"/>
          <w:spacing w:val="-18"/>
          <w:w w:val="105"/>
        </w:rPr>
        <w:t> </w:t>
      </w:r>
      <w:r>
        <w:rPr>
          <w:color w:val="231F20"/>
          <w:w w:val="105"/>
        </w:rPr>
        <w:t>y</w:t>
      </w:r>
      <w:r>
        <w:rPr>
          <w:color w:val="231F20"/>
          <w:spacing w:val="-18"/>
          <w:w w:val="105"/>
        </w:rPr>
        <w:t> </w:t>
      </w:r>
      <w:r>
        <w:rPr>
          <w:color w:val="231F20"/>
          <w:w w:val="105"/>
        </w:rPr>
        <w:t>las</w:t>
      </w:r>
      <w:r>
        <w:rPr>
          <w:color w:val="231F20"/>
          <w:spacing w:val="-18"/>
          <w:w w:val="105"/>
        </w:rPr>
        <w:t> </w:t>
      </w:r>
      <w:r>
        <w:rPr>
          <w:color w:val="231F20"/>
          <w:w w:val="105"/>
        </w:rPr>
        <w:t>empresas</w:t>
      </w:r>
      <w:r>
        <w:rPr>
          <w:color w:val="231F20"/>
          <w:spacing w:val="-18"/>
          <w:w w:val="105"/>
        </w:rPr>
        <w:t> </w:t>
      </w:r>
      <w:r>
        <w:rPr>
          <w:color w:val="231F20"/>
          <w:w w:val="105"/>
        </w:rPr>
        <w:t>mantienen</w:t>
      </w:r>
      <w:r>
        <w:rPr>
          <w:color w:val="231F20"/>
          <w:spacing w:val="-18"/>
          <w:w w:val="105"/>
        </w:rPr>
        <w:t> </w:t>
      </w:r>
      <w:r>
        <w:rPr>
          <w:color w:val="231F20"/>
          <w:w w:val="105"/>
        </w:rPr>
        <w:t>relaciones</w:t>
      </w:r>
      <w:r>
        <w:rPr>
          <w:color w:val="231F20"/>
          <w:spacing w:val="-18"/>
          <w:w w:val="105"/>
        </w:rPr>
        <w:t> </w:t>
      </w:r>
      <w:r>
        <w:rPr>
          <w:color w:val="231F20"/>
          <w:w w:val="105"/>
        </w:rPr>
        <w:t>de</w:t>
      </w:r>
      <w:r>
        <w:rPr>
          <w:color w:val="231F20"/>
          <w:spacing w:val="-18"/>
          <w:w w:val="105"/>
        </w:rPr>
        <w:t> </w:t>
      </w:r>
      <w:r>
        <w:rPr>
          <w:color w:val="231F20"/>
          <w:w w:val="105"/>
        </w:rPr>
        <w:t>largo</w:t>
      </w:r>
      <w:r>
        <w:rPr>
          <w:color w:val="231F20"/>
          <w:spacing w:val="-18"/>
          <w:w w:val="105"/>
        </w:rPr>
        <w:t> </w:t>
      </w:r>
      <w:r>
        <w:rPr>
          <w:color w:val="231F20"/>
          <w:w w:val="105"/>
        </w:rPr>
        <w:t>plazo</w:t>
      </w:r>
      <w:r>
        <w:rPr>
          <w:color w:val="231F20"/>
          <w:spacing w:val="-18"/>
          <w:w w:val="105"/>
        </w:rPr>
        <w:t> </w:t>
      </w:r>
      <w:r>
        <w:rPr>
          <w:color w:val="231F20"/>
          <w:w w:val="105"/>
        </w:rPr>
        <w:t>(León- León,</w:t>
      </w:r>
      <w:r>
        <w:rPr>
          <w:color w:val="231F20"/>
          <w:spacing w:val="-26"/>
          <w:w w:val="105"/>
        </w:rPr>
        <w:t> </w:t>
      </w:r>
      <w:r>
        <w:rPr>
          <w:color w:val="231F20"/>
          <w:w w:val="105"/>
        </w:rPr>
        <w:t>2008),</w:t>
      </w:r>
      <w:r>
        <w:rPr>
          <w:color w:val="231F20"/>
          <w:spacing w:val="-26"/>
          <w:w w:val="105"/>
        </w:rPr>
        <w:t> </w:t>
      </w:r>
      <w:r>
        <w:rPr>
          <w:color w:val="231F20"/>
          <w:w w:val="105"/>
        </w:rPr>
        <w:t>y</w:t>
      </w:r>
      <w:r>
        <w:rPr>
          <w:color w:val="231F20"/>
          <w:spacing w:val="-22"/>
          <w:w w:val="105"/>
        </w:rPr>
        <w:t> </w:t>
      </w:r>
      <w:r>
        <w:rPr>
          <w:color w:val="231F20"/>
          <w:w w:val="105"/>
        </w:rPr>
        <w:t>concluye</w:t>
      </w:r>
      <w:r>
        <w:rPr>
          <w:color w:val="231F20"/>
          <w:spacing w:val="-22"/>
          <w:w w:val="105"/>
        </w:rPr>
        <w:t> </w:t>
      </w:r>
      <w:r>
        <w:rPr>
          <w:color w:val="231F20"/>
          <w:w w:val="105"/>
        </w:rPr>
        <w:t>que</w:t>
      </w:r>
      <w:r>
        <w:rPr>
          <w:color w:val="231F20"/>
          <w:spacing w:val="-22"/>
          <w:w w:val="105"/>
        </w:rPr>
        <w:t> </w:t>
      </w:r>
      <w:r>
        <w:rPr>
          <w:color w:val="231F20"/>
          <w:w w:val="105"/>
        </w:rPr>
        <w:t>las</w:t>
      </w:r>
      <w:r>
        <w:rPr>
          <w:color w:val="231F20"/>
          <w:spacing w:val="-22"/>
          <w:w w:val="105"/>
        </w:rPr>
        <w:t> </w:t>
      </w:r>
      <w:r>
        <w:rPr>
          <w:color w:val="231F20"/>
          <w:w w:val="105"/>
        </w:rPr>
        <w:t>empresas</w:t>
      </w:r>
      <w:r>
        <w:rPr>
          <w:color w:val="231F20"/>
          <w:spacing w:val="-22"/>
          <w:w w:val="105"/>
        </w:rPr>
        <w:t> </w:t>
      </w:r>
      <w:r>
        <w:rPr>
          <w:color w:val="231F20"/>
          <w:w w:val="105"/>
        </w:rPr>
        <w:t>buscan</w:t>
      </w:r>
      <w:r>
        <w:rPr>
          <w:color w:val="231F20"/>
          <w:spacing w:val="-22"/>
          <w:w w:val="105"/>
        </w:rPr>
        <w:t> </w:t>
      </w:r>
      <w:r>
        <w:rPr>
          <w:color w:val="231F20"/>
          <w:w w:val="105"/>
        </w:rPr>
        <w:t>mantener</w:t>
      </w:r>
      <w:r>
        <w:rPr>
          <w:color w:val="231F20"/>
          <w:spacing w:val="-22"/>
          <w:w w:val="105"/>
        </w:rPr>
        <w:t> </w:t>
      </w:r>
      <w:r>
        <w:rPr>
          <w:color w:val="231F20"/>
          <w:w w:val="105"/>
        </w:rPr>
        <w:t>la</w:t>
      </w:r>
      <w:r>
        <w:rPr>
          <w:color w:val="231F20"/>
          <w:spacing w:val="-22"/>
          <w:w w:val="105"/>
        </w:rPr>
        <w:t> </w:t>
      </w:r>
      <w:r>
        <w:rPr>
          <w:color w:val="231F20"/>
          <w:w w:val="105"/>
        </w:rPr>
        <w:t>lealtad</w:t>
      </w:r>
      <w:r>
        <w:rPr>
          <w:color w:val="231F20"/>
          <w:spacing w:val="-22"/>
          <w:w w:val="105"/>
        </w:rPr>
        <w:t> </w:t>
      </w:r>
      <w:r>
        <w:rPr>
          <w:color w:val="231F20"/>
          <w:w w:val="105"/>
        </w:rPr>
        <w:t>de su</w:t>
      </w:r>
      <w:r>
        <w:rPr>
          <w:color w:val="231F20"/>
          <w:spacing w:val="-15"/>
          <w:w w:val="105"/>
        </w:rPr>
        <w:t> </w:t>
      </w:r>
      <w:r>
        <w:rPr>
          <w:color w:val="231F20"/>
          <w:w w:val="105"/>
        </w:rPr>
        <w:t>mano</w:t>
      </w:r>
      <w:r>
        <w:rPr>
          <w:color w:val="231F20"/>
          <w:spacing w:val="-15"/>
          <w:w w:val="105"/>
        </w:rPr>
        <w:t> </w:t>
      </w:r>
      <w:r>
        <w:rPr>
          <w:color w:val="231F20"/>
          <w:w w:val="105"/>
        </w:rPr>
        <w:t>de</w:t>
      </w:r>
      <w:r>
        <w:rPr>
          <w:color w:val="231F20"/>
          <w:spacing w:val="-15"/>
          <w:w w:val="105"/>
        </w:rPr>
        <w:t> </w:t>
      </w:r>
      <w:r>
        <w:rPr>
          <w:color w:val="231F20"/>
          <w:w w:val="105"/>
        </w:rPr>
        <w:t>obra,</w:t>
      </w:r>
      <w:r>
        <w:rPr>
          <w:color w:val="231F20"/>
          <w:spacing w:val="-20"/>
          <w:w w:val="105"/>
        </w:rPr>
        <w:t> </w:t>
      </w:r>
      <w:r>
        <w:rPr>
          <w:color w:val="231F20"/>
          <w:w w:val="105"/>
        </w:rPr>
        <w:t>pues</w:t>
      </w:r>
      <w:r>
        <w:rPr>
          <w:color w:val="231F20"/>
          <w:spacing w:val="-15"/>
          <w:w w:val="105"/>
        </w:rPr>
        <w:t> </w:t>
      </w:r>
      <w:r>
        <w:rPr>
          <w:color w:val="231F20"/>
          <w:w w:val="105"/>
        </w:rPr>
        <w:t>la</w:t>
      </w:r>
      <w:r>
        <w:rPr>
          <w:color w:val="231F20"/>
          <w:spacing w:val="-15"/>
          <w:w w:val="105"/>
        </w:rPr>
        <w:t> </w:t>
      </w:r>
      <w:r>
        <w:rPr>
          <w:color w:val="231F20"/>
          <w:w w:val="105"/>
        </w:rPr>
        <w:t>consideran</w:t>
      </w:r>
      <w:r>
        <w:rPr>
          <w:color w:val="231F20"/>
          <w:spacing w:val="-15"/>
          <w:w w:val="105"/>
        </w:rPr>
        <w:t> </w:t>
      </w:r>
      <w:r>
        <w:rPr>
          <w:color w:val="231F20"/>
          <w:w w:val="105"/>
        </w:rPr>
        <w:t>necesaria,</w:t>
      </w:r>
      <w:r>
        <w:rPr>
          <w:color w:val="231F20"/>
          <w:spacing w:val="-20"/>
          <w:w w:val="105"/>
        </w:rPr>
        <w:t> </w:t>
      </w:r>
      <w:r>
        <w:rPr>
          <w:color w:val="231F20"/>
          <w:w w:val="105"/>
        </w:rPr>
        <w:t>y</w:t>
      </w:r>
      <w:r>
        <w:rPr>
          <w:color w:val="231F20"/>
          <w:spacing w:val="-15"/>
          <w:w w:val="105"/>
        </w:rPr>
        <w:t> </w:t>
      </w:r>
      <w:r>
        <w:rPr>
          <w:color w:val="231F20"/>
          <w:w w:val="105"/>
        </w:rPr>
        <w:t>esa</w:t>
      </w:r>
      <w:r>
        <w:rPr>
          <w:color w:val="231F20"/>
          <w:spacing w:val="-15"/>
          <w:w w:val="105"/>
        </w:rPr>
        <w:t> </w:t>
      </w:r>
      <w:r>
        <w:rPr>
          <w:color w:val="231F20"/>
          <w:w w:val="105"/>
        </w:rPr>
        <w:t>‘unión</w:t>
      </w:r>
      <w:r>
        <w:rPr>
          <w:color w:val="231F20"/>
          <w:spacing w:val="-15"/>
          <w:w w:val="105"/>
        </w:rPr>
        <w:t> </w:t>
      </w:r>
      <w:r>
        <w:rPr>
          <w:color w:val="231F20"/>
          <w:w w:val="105"/>
        </w:rPr>
        <w:t>invisible</w:t>
      </w:r>
      <w:r>
        <w:rPr>
          <w:color w:val="231F20"/>
          <w:spacing w:val="-15"/>
          <w:w w:val="105"/>
        </w:rPr>
        <w:t> </w:t>
      </w:r>
      <w:r>
        <w:rPr>
          <w:color w:val="231F20"/>
          <w:w w:val="105"/>
        </w:rPr>
        <w:t>de manos’</w:t>
      </w:r>
      <w:r>
        <w:rPr>
          <w:color w:val="231F20"/>
          <w:spacing w:val="-13"/>
          <w:w w:val="105"/>
        </w:rPr>
        <w:t> </w:t>
      </w:r>
      <w:r>
        <w:rPr>
          <w:color w:val="231F20"/>
          <w:w w:val="105"/>
        </w:rPr>
        <w:t>se</w:t>
      </w:r>
      <w:r>
        <w:rPr>
          <w:color w:val="231F20"/>
          <w:spacing w:val="-13"/>
          <w:w w:val="105"/>
        </w:rPr>
        <w:t> </w:t>
      </w:r>
      <w:r>
        <w:rPr>
          <w:color w:val="231F20"/>
          <w:w w:val="105"/>
        </w:rPr>
        <w:t>fundamenta</w:t>
      </w:r>
      <w:r>
        <w:rPr>
          <w:color w:val="231F20"/>
          <w:spacing w:val="-13"/>
          <w:w w:val="105"/>
        </w:rPr>
        <w:t> </w:t>
      </w:r>
      <w:r>
        <w:rPr>
          <w:color w:val="231F20"/>
          <w:w w:val="105"/>
        </w:rPr>
        <w:t>en</w:t>
      </w:r>
      <w:r>
        <w:rPr>
          <w:color w:val="231F20"/>
          <w:spacing w:val="-13"/>
          <w:w w:val="105"/>
        </w:rPr>
        <w:t> </w:t>
      </w:r>
      <w:r>
        <w:rPr>
          <w:color w:val="231F20"/>
          <w:w w:val="105"/>
        </w:rPr>
        <w:t>establecer</w:t>
      </w:r>
      <w:r>
        <w:rPr>
          <w:color w:val="231F20"/>
          <w:spacing w:val="-13"/>
          <w:w w:val="105"/>
        </w:rPr>
        <w:t> </w:t>
      </w:r>
      <w:r>
        <w:rPr>
          <w:color w:val="231F20"/>
          <w:w w:val="105"/>
        </w:rPr>
        <w:t>contratos</w:t>
      </w:r>
      <w:r>
        <w:rPr>
          <w:color w:val="231F20"/>
          <w:spacing w:val="-13"/>
          <w:w w:val="105"/>
        </w:rPr>
        <w:t> </w:t>
      </w:r>
      <w:r>
        <w:rPr>
          <w:color w:val="231F20"/>
          <w:w w:val="105"/>
        </w:rPr>
        <w:t>de</w:t>
      </w:r>
      <w:r>
        <w:rPr>
          <w:color w:val="231F20"/>
          <w:spacing w:val="-13"/>
          <w:w w:val="105"/>
        </w:rPr>
        <w:t> </w:t>
      </w:r>
      <w:r>
        <w:rPr>
          <w:color w:val="231F20"/>
          <w:w w:val="105"/>
        </w:rPr>
        <w:t>trabajo</w:t>
      </w:r>
      <w:r>
        <w:rPr>
          <w:color w:val="231F20"/>
          <w:spacing w:val="-13"/>
          <w:w w:val="105"/>
        </w:rPr>
        <w:t> </w:t>
      </w:r>
      <w:r>
        <w:rPr>
          <w:color w:val="231F20"/>
          <w:w w:val="105"/>
        </w:rPr>
        <w:t>óptimos</w:t>
      </w:r>
      <w:r>
        <w:rPr>
          <w:color w:val="231F20"/>
          <w:spacing w:val="-13"/>
          <w:w w:val="105"/>
        </w:rPr>
        <w:t> </w:t>
      </w:r>
      <w:r>
        <w:rPr>
          <w:color w:val="231F20"/>
          <w:w w:val="105"/>
        </w:rPr>
        <w:t>entre empresas,</w:t>
      </w:r>
      <w:r>
        <w:rPr>
          <w:color w:val="231F20"/>
          <w:spacing w:val="-19"/>
          <w:w w:val="105"/>
        </w:rPr>
        <w:t> </w:t>
      </w:r>
      <w:r>
        <w:rPr>
          <w:color w:val="231F20"/>
          <w:w w:val="105"/>
        </w:rPr>
        <w:t>que</w:t>
      </w:r>
      <w:r>
        <w:rPr>
          <w:color w:val="231F20"/>
          <w:spacing w:val="-14"/>
          <w:w w:val="105"/>
        </w:rPr>
        <w:t> </w:t>
      </w:r>
      <w:r>
        <w:rPr>
          <w:color w:val="231F20"/>
          <w:w w:val="105"/>
        </w:rPr>
        <w:t>son</w:t>
      </w:r>
      <w:r>
        <w:rPr>
          <w:color w:val="231F20"/>
          <w:spacing w:val="-14"/>
          <w:w w:val="105"/>
        </w:rPr>
        <w:t> </w:t>
      </w:r>
      <w:r>
        <w:rPr>
          <w:color w:val="231F20"/>
          <w:w w:val="105"/>
        </w:rPr>
        <w:t>neutrales</w:t>
      </w:r>
      <w:r>
        <w:rPr>
          <w:color w:val="231F20"/>
          <w:spacing w:val="-14"/>
          <w:w w:val="105"/>
        </w:rPr>
        <w:t> </w:t>
      </w:r>
      <w:r>
        <w:rPr>
          <w:color w:val="231F20"/>
          <w:w w:val="105"/>
        </w:rPr>
        <w:t>al</w:t>
      </w:r>
      <w:r>
        <w:rPr>
          <w:color w:val="231F20"/>
          <w:spacing w:val="-14"/>
          <w:w w:val="105"/>
        </w:rPr>
        <w:t> </w:t>
      </w:r>
      <w:r>
        <w:rPr>
          <w:color w:val="231F20"/>
          <w:w w:val="105"/>
        </w:rPr>
        <w:t>riesgo,</w:t>
      </w:r>
      <w:r>
        <w:rPr>
          <w:color w:val="231F20"/>
          <w:spacing w:val="-19"/>
          <w:w w:val="105"/>
        </w:rPr>
        <w:t> </w:t>
      </w:r>
      <w:r>
        <w:rPr>
          <w:color w:val="231F20"/>
          <w:w w:val="105"/>
        </w:rPr>
        <w:t>y</w:t>
      </w:r>
      <w:r>
        <w:rPr>
          <w:color w:val="231F20"/>
          <w:spacing w:val="-14"/>
          <w:w w:val="105"/>
        </w:rPr>
        <w:t> </w:t>
      </w:r>
      <w:r>
        <w:rPr>
          <w:color w:val="231F20"/>
          <w:w w:val="105"/>
        </w:rPr>
        <w:t>trabajadores</w:t>
      </w:r>
      <w:r>
        <w:rPr>
          <w:color w:val="231F20"/>
          <w:spacing w:val="-14"/>
          <w:w w:val="105"/>
        </w:rPr>
        <w:t> </w:t>
      </w:r>
      <w:r>
        <w:rPr>
          <w:color w:val="231F20"/>
          <w:w w:val="105"/>
        </w:rPr>
        <w:t>que</w:t>
      </w:r>
      <w:r>
        <w:rPr>
          <w:color w:val="231F20"/>
          <w:spacing w:val="-14"/>
          <w:w w:val="105"/>
        </w:rPr>
        <w:t> </w:t>
      </w:r>
      <w:r>
        <w:rPr>
          <w:color w:val="231F20"/>
          <w:w w:val="105"/>
        </w:rPr>
        <w:t>son</w:t>
      </w:r>
      <w:r>
        <w:rPr>
          <w:color w:val="231F20"/>
          <w:spacing w:val="-14"/>
          <w:w w:val="105"/>
        </w:rPr>
        <w:t> </w:t>
      </w:r>
      <w:r>
        <w:rPr>
          <w:color w:val="231F20"/>
          <w:w w:val="105"/>
        </w:rPr>
        <w:t>adversos al</w:t>
      </w:r>
      <w:r>
        <w:rPr>
          <w:color w:val="231F20"/>
          <w:spacing w:val="-20"/>
          <w:w w:val="105"/>
        </w:rPr>
        <w:t> </w:t>
      </w:r>
      <w:r>
        <w:rPr>
          <w:color w:val="231F20"/>
          <w:w w:val="105"/>
        </w:rPr>
        <w:t>riesgo</w:t>
      </w:r>
      <w:r>
        <w:rPr>
          <w:color w:val="231F20"/>
          <w:spacing w:val="-20"/>
          <w:w w:val="105"/>
        </w:rPr>
        <w:t> </w:t>
      </w:r>
      <w:r>
        <w:rPr>
          <w:color w:val="231F20"/>
          <w:w w:val="105"/>
        </w:rPr>
        <w:t>(Gordon,</w:t>
      </w:r>
      <w:r>
        <w:rPr>
          <w:color w:val="231F20"/>
          <w:spacing w:val="-25"/>
          <w:w w:val="105"/>
        </w:rPr>
        <w:t> </w:t>
      </w:r>
      <w:r>
        <w:rPr>
          <w:color w:val="231F20"/>
          <w:w w:val="105"/>
        </w:rPr>
        <w:t>1990).</w:t>
      </w:r>
    </w:p>
    <w:p>
      <w:pPr>
        <w:pStyle w:val="BodyText"/>
        <w:spacing w:line="259" w:lineRule="auto"/>
        <w:ind w:left="117" w:right="121" w:firstLine="567"/>
        <w:jc w:val="both"/>
      </w:pPr>
      <w:r>
        <w:rPr>
          <w:color w:val="231F20"/>
          <w:w w:val="105"/>
        </w:rPr>
        <w:t>En esas circunstancias, el salario representa un seguro contra el riesgo</w:t>
      </w:r>
      <w:r>
        <w:rPr>
          <w:color w:val="231F20"/>
          <w:spacing w:val="-29"/>
          <w:w w:val="105"/>
        </w:rPr>
        <w:t> </w:t>
      </w:r>
      <w:r>
        <w:rPr>
          <w:color w:val="231F20"/>
          <w:w w:val="105"/>
        </w:rPr>
        <w:t>de</w:t>
      </w:r>
      <w:r>
        <w:rPr>
          <w:color w:val="231F20"/>
          <w:spacing w:val="-29"/>
          <w:w w:val="105"/>
        </w:rPr>
        <w:t> </w:t>
      </w:r>
      <w:r>
        <w:rPr>
          <w:color w:val="231F20"/>
          <w:w w:val="105"/>
        </w:rPr>
        <w:t>que</w:t>
      </w:r>
      <w:r>
        <w:rPr>
          <w:color w:val="231F20"/>
          <w:spacing w:val="-29"/>
          <w:w w:val="105"/>
        </w:rPr>
        <w:t> </w:t>
      </w:r>
      <w:r>
        <w:rPr>
          <w:color w:val="231F20"/>
          <w:w w:val="105"/>
        </w:rPr>
        <w:t>varíen</w:t>
      </w:r>
      <w:r>
        <w:rPr>
          <w:color w:val="231F20"/>
          <w:spacing w:val="-29"/>
          <w:w w:val="105"/>
        </w:rPr>
        <w:t> </w:t>
      </w:r>
      <w:r>
        <w:rPr>
          <w:color w:val="231F20"/>
          <w:w w:val="105"/>
        </w:rPr>
        <w:t>los</w:t>
      </w:r>
      <w:r>
        <w:rPr>
          <w:color w:val="231F20"/>
          <w:spacing w:val="-29"/>
          <w:w w:val="105"/>
        </w:rPr>
        <w:t> </w:t>
      </w:r>
      <w:r>
        <w:rPr>
          <w:color w:val="231F20"/>
          <w:w w:val="105"/>
        </w:rPr>
        <w:t>ingresos</w:t>
      </w:r>
      <w:r>
        <w:rPr>
          <w:color w:val="231F20"/>
          <w:spacing w:val="-29"/>
          <w:w w:val="105"/>
        </w:rPr>
        <w:t> </w:t>
      </w:r>
      <w:r>
        <w:rPr>
          <w:color w:val="231F20"/>
          <w:w w:val="105"/>
        </w:rPr>
        <w:t>del</w:t>
      </w:r>
      <w:r>
        <w:rPr>
          <w:color w:val="231F20"/>
          <w:spacing w:val="-29"/>
          <w:w w:val="105"/>
        </w:rPr>
        <w:t> </w:t>
      </w:r>
      <w:r>
        <w:rPr>
          <w:color w:val="231F20"/>
          <w:w w:val="105"/>
        </w:rPr>
        <w:t>trabajador</w:t>
      </w:r>
      <w:r>
        <w:rPr>
          <w:color w:val="231F20"/>
          <w:spacing w:val="-29"/>
          <w:w w:val="105"/>
        </w:rPr>
        <w:t> </w:t>
      </w:r>
      <w:r>
        <w:rPr>
          <w:color w:val="231F20"/>
          <w:w w:val="105"/>
        </w:rPr>
        <w:t>al</w:t>
      </w:r>
      <w:r>
        <w:rPr>
          <w:color w:val="231F20"/>
          <w:spacing w:val="-29"/>
          <w:w w:val="105"/>
        </w:rPr>
        <w:t> </w:t>
      </w:r>
      <w:r>
        <w:rPr>
          <w:color w:val="231F20"/>
          <w:w w:val="105"/>
        </w:rPr>
        <w:t>enfrentar</w:t>
      </w:r>
      <w:r>
        <w:rPr>
          <w:color w:val="231F20"/>
          <w:spacing w:val="-29"/>
          <w:w w:val="105"/>
        </w:rPr>
        <w:t> </w:t>
      </w:r>
      <w:r>
        <w:rPr>
          <w:color w:val="231F20"/>
          <w:w w:val="105"/>
        </w:rPr>
        <w:t>choques</w:t>
      </w:r>
      <w:r>
        <w:rPr>
          <w:color w:val="231F20"/>
          <w:spacing w:val="-29"/>
          <w:w w:val="105"/>
        </w:rPr>
        <w:t> </w:t>
      </w:r>
      <w:r>
        <w:rPr>
          <w:color w:val="231F20"/>
          <w:w w:val="105"/>
        </w:rPr>
        <w:t>exó- genos,</w:t>
      </w:r>
      <w:r>
        <w:rPr>
          <w:color w:val="231F20"/>
          <w:spacing w:val="-21"/>
          <w:w w:val="105"/>
        </w:rPr>
        <w:t> </w:t>
      </w:r>
      <w:r>
        <w:rPr>
          <w:color w:val="231F20"/>
          <w:w w:val="105"/>
        </w:rPr>
        <w:t>pues</w:t>
      </w:r>
      <w:r>
        <w:rPr>
          <w:color w:val="231F20"/>
          <w:spacing w:val="-16"/>
          <w:w w:val="105"/>
        </w:rPr>
        <w:t> </w:t>
      </w:r>
      <w:r>
        <w:rPr>
          <w:color w:val="231F20"/>
          <w:w w:val="105"/>
        </w:rPr>
        <w:t>un</w:t>
      </w:r>
      <w:r>
        <w:rPr>
          <w:color w:val="231F20"/>
          <w:spacing w:val="-16"/>
          <w:w w:val="105"/>
        </w:rPr>
        <w:t> </w:t>
      </w:r>
      <w:r>
        <w:rPr>
          <w:color w:val="231F20"/>
          <w:w w:val="105"/>
        </w:rPr>
        <w:t>salario</w:t>
      </w:r>
      <w:r>
        <w:rPr>
          <w:color w:val="231F20"/>
          <w:spacing w:val="-16"/>
          <w:w w:val="105"/>
        </w:rPr>
        <w:t> </w:t>
      </w:r>
      <w:r>
        <w:rPr>
          <w:color w:val="231F20"/>
          <w:w w:val="105"/>
        </w:rPr>
        <w:t>real</w:t>
      </w:r>
      <w:r>
        <w:rPr>
          <w:color w:val="231F20"/>
          <w:spacing w:val="-16"/>
          <w:w w:val="105"/>
        </w:rPr>
        <w:t> </w:t>
      </w:r>
      <w:r>
        <w:rPr>
          <w:color w:val="231F20"/>
          <w:w w:val="105"/>
        </w:rPr>
        <w:t>constante</w:t>
      </w:r>
      <w:r>
        <w:rPr>
          <w:color w:val="231F20"/>
          <w:spacing w:val="-16"/>
          <w:w w:val="105"/>
        </w:rPr>
        <w:t> </w:t>
      </w:r>
      <w:r>
        <w:rPr>
          <w:color w:val="231F20"/>
          <w:w w:val="105"/>
        </w:rPr>
        <w:t>suaviza</w:t>
      </w:r>
      <w:r>
        <w:rPr>
          <w:color w:val="231F20"/>
          <w:spacing w:val="-16"/>
          <w:w w:val="105"/>
        </w:rPr>
        <w:t> </w:t>
      </w:r>
      <w:r>
        <w:rPr>
          <w:color w:val="231F20"/>
          <w:w w:val="105"/>
        </w:rPr>
        <w:t>el</w:t>
      </w:r>
      <w:r>
        <w:rPr>
          <w:color w:val="231F20"/>
          <w:spacing w:val="-16"/>
          <w:w w:val="105"/>
        </w:rPr>
        <w:t> </w:t>
      </w:r>
      <w:r>
        <w:rPr>
          <w:color w:val="231F20"/>
          <w:w w:val="105"/>
        </w:rPr>
        <w:t>consumo</w:t>
      </w:r>
      <w:r>
        <w:rPr>
          <w:color w:val="231F20"/>
          <w:spacing w:val="-16"/>
          <w:w w:val="105"/>
        </w:rPr>
        <w:t> </w:t>
      </w:r>
      <w:r>
        <w:rPr>
          <w:color w:val="231F20"/>
          <w:w w:val="105"/>
        </w:rPr>
        <w:t>del</w:t>
      </w:r>
      <w:r>
        <w:rPr>
          <w:color w:val="231F20"/>
          <w:spacing w:val="-16"/>
          <w:w w:val="105"/>
        </w:rPr>
        <w:t> </w:t>
      </w:r>
      <w:r>
        <w:rPr>
          <w:color w:val="231F20"/>
          <w:w w:val="105"/>
        </w:rPr>
        <w:t>trabajador individual</w:t>
      </w:r>
      <w:r>
        <w:rPr>
          <w:color w:val="231F20"/>
          <w:spacing w:val="-26"/>
          <w:w w:val="105"/>
        </w:rPr>
        <w:t> </w:t>
      </w:r>
      <w:r>
        <w:rPr>
          <w:color w:val="231F20"/>
          <w:w w:val="105"/>
        </w:rPr>
        <w:t>frente</w:t>
      </w:r>
      <w:r>
        <w:rPr>
          <w:color w:val="231F20"/>
          <w:spacing w:val="-26"/>
          <w:w w:val="105"/>
        </w:rPr>
        <w:t> </w:t>
      </w:r>
      <w:r>
        <w:rPr>
          <w:color w:val="231F20"/>
          <w:w w:val="105"/>
        </w:rPr>
        <w:t>a</w:t>
      </w:r>
      <w:r>
        <w:rPr>
          <w:color w:val="231F20"/>
          <w:spacing w:val="-26"/>
          <w:w w:val="105"/>
        </w:rPr>
        <w:t> </w:t>
      </w:r>
      <w:r>
        <w:rPr>
          <w:color w:val="231F20"/>
          <w:w w:val="105"/>
        </w:rPr>
        <w:t>las</w:t>
      </w:r>
      <w:r>
        <w:rPr>
          <w:color w:val="231F20"/>
          <w:spacing w:val="-26"/>
          <w:w w:val="105"/>
        </w:rPr>
        <w:t> </w:t>
      </w:r>
      <w:r>
        <w:rPr>
          <w:color w:val="231F20"/>
          <w:w w:val="105"/>
        </w:rPr>
        <w:t>fluctuaciones</w:t>
      </w:r>
      <w:r>
        <w:rPr>
          <w:color w:val="231F20"/>
          <w:spacing w:val="-26"/>
          <w:w w:val="105"/>
        </w:rPr>
        <w:t> </w:t>
      </w:r>
      <w:r>
        <w:rPr>
          <w:color w:val="231F20"/>
          <w:w w:val="105"/>
        </w:rPr>
        <w:t>económicas,</w:t>
      </w:r>
      <w:r>
        <w:rPr>
          <w:color w:val="231F20"/>
          <w:spacing w:val="-30"/>
          <w:w w:val="105"/>
        </w:rPr>
        <w:t> </w:t>
      </w:r>
      <w:r>
        <w:rPr>
          <w:color w:val="231F20"/>
          <w:w w:val="105"/>
        </w:rPr>
        <w:t>dado</w:t>
      </w:r>
      <w:r>
        <w:rPr>
          <w:color w:val="231F20"/>
          <w:spacing w:val="-26"/>
          <w:w w:val="105"/>
        </w:rPr>
        <w:t> </w:t>
      </w:r>
      <w:r>
        <w:rPr>
          <w:color w:val="231F20"/>
          <w:w w:val="105"/>
        </w:rPr>
        <w:t>su</w:t>
      </w:r>
      <w:r>
        <w:rPr>
          <w:color w:val="231F20"/>
          <w:spacing w:val="-26"/>
          <w:w w:val="105"/>
        </w:rPr>
        <w:t> </w:t>
      </w:r>
      <w:r>
        <w:rPr>
          <w:color w:val="231F20"/>
          <w:w w:val="105"/>
        </w:rPr>
        <w:t>mejor</w:t>
      </w:r>
      <w:r>
        <w:rPr>
          <w:color w:val="231F20"/>
          <w:spacing w:val="-26"/>
          <w:w w:val="105"/>
        </w:rPr>
        <w:t> </w:t>
      </w:r>
      <w:r>
        <w:rPr>
          <w:color w:val="231F20"/>
          <w:w w:val="105"/>
        </w:rPr>
        <w:t>acceso</w:t>
      </w:r>
      <w:r>
        <w:rPr>
          <w:color w:val="231F20"/>
          <w:spacing w:val="-26"/>
          <w:w w:val="105"/>
        </w:rPr>
        <w:t> </w:t>
      </w:r>
      <w:r>
        <w:rPr>
          <w:color w:val="231F20"/>
          <w:w w:val="105"/>
        </w:rPr>
        <w:t>al capital</w:t>
      </w:r>
      <w:r>
        <w:rPr>
          <w:color w:val="231F20"/>
          <w:spacing w:val="-28"/>
          <w:w w:val="105"/>
        </w:rPr>
        <w:t> </w:t>
      </w:r>
      <w:r>
        <w:rPr>
          <w:color w:val="231F20"/>
          <w:w w:val="105"/>
        </w:rPr>
        <w:t>y</w:t>
      </w:r>
      <w:r>
        <w:rPr>
          <w:color w:val="231F20"/>
          <w:spacing w:val="-28"/>
          <w:w w:val="105"/>
        </w:rPr>
        <w:t> </w:t>
      </w:r>
      <w:r>
        <w:rPr>
          <w:color w:val="231F20"/>
          <w:w w:val="105"/>
        </w:rPr>
        <w:t>al</w:t>
      </w:r>
      <w:r>
        <w:rPr>
          <w:color w:val="231F20"/>
          <w:spacing w:val="-28"/>
          <w:w w:val="105"/>
        </w:rPr>
        <w:t> </w:t>
      </w:r>
      <w:r>
        <w:rPr>
          <w:color w:val="231F20"/>
          <w:w w:val="105"/>
        </w:rPr>
        <w:t>mercado</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w w:val="105"/>
        </w:rPr>
        <w:t>seguros.</w:t>
      </w:r>
      <w:r>
        <w:rPr>
          <w:color w:val="231F20"/>
          <w:spacing w:val="-33"/>
          <w:w w:val="105"/>
        </w:rPr>
        <w:t> </w:t>
      </w:r>
      <w:r>
        <w:rPr>
          <w:color w:val="231F20"/>
          <w:w w:val="105"/>
        </w:rPr>
        <w:t>Como</w:t>
      </w:r>
      <w:r>
        <w:rPr>
          <w:color w:val="231F20"/>
          <w:spacing w:val="-28"/>
          <w:w w:val="105"/>
        </w:rPr>
        <w:t> </w:t>
      </w:r>
      <w:r>
        <w:rPr>
          <w:color w:val="231F20"/>
          <w:w w:val="105"/>
        </w:rPr>
        <w:t>las</w:t>
      </w:r>
      <w:r>
        <w:rPr>
          <w:color w:val="231F20"/>
          <w:spacing w:val="-28"/>
          <w:w w:val="105"/>
        </w:rPr>
        <w:t> </w:t>
      </w:r>
      <w:r>
        <w:rPr>
          <w:color w:val="231F20"/>
          <w:w w:val="105"/>
        </w:rPr>
        <w:t>empresas</w:t>
      </w:r>
      <w:r>
        <w:rPr>
          <w:color w:val="231F20"/>
          <w:spacing w:val="-28"/>
          <w:w w:val="105"/>
        </w:rPr>
        <w:t> </w:t>
      </w:r>
      <w:r>
        <w:rPr>
          <w:color w:val="231F20"/>
          <w:w w:val="105"/>
        </w:rPr>
        <w:t>proveen</w:t>
      </w:r>
      <w:r>
        <w:rPr>
          <w:color w:val="231F20"/>
          <w:spacing w:val="-28"/>
          <w:w w:val="105"/>
        </w:rPr>
        <w:t> </w:t>
      </w:r>
      <w:r>
        <w:rPr>
          <w:color w:val="231F20"/>
          <w:w w:val="105"/>
        </w:rPr>
        <w:t>salarios estables en el tiempo, los trabajadores aceptan un nivel salarial que</w:t>
      </w:r>
      <w:r>
        <w:rPr>
          <w:color w:val="231F20"/>
          <w:spacing w:val="-27"/>
          <w:w w:val="105"/>
        </w:rPr>
        <w:t> </w:t>
      </w:r>
      <w:r>
        <w:rPr>
          <w:color w:val="231F20"/>
          <w:w w:val="105"/>
        </w:rPr>
        <w:t>en promedio</w:t>
      </w:r>
      <w:r>
        <w:rPr>
          <w:color w:val="231F20"/>
          <w:spacing w:val="-17"/>
          <w:w w:val="105"/>
        </w:rPr>
        <w:t> </w:t>
      </w:r>
      <w:r>
        <w:rPr>
          <w:color w:val="231F20"/>
          <w:w w:val="105"/>
        </w:rPr>
        <w:t>es</w:t>
      </w:r>
      <w:r>
        <w:rPr>
          <w:color w:val="231F20"/>
          <w:spacing w:val="-17"/>
          <w:w w:val="105"/>
        </w:rPr>
        <w:t> </w:t>
      </w:r>
      <w:r>
        <w:rPr>
          <w:color w:val="231F20"/>
          <w:w w:val="105"/>
        </w:rPr>
        <w:t>menor</w:t>
      </w:r>
      <w:r>
        <w:rPr>
          <w:color w:val="231F20"/>
          <w:spacing w:val="-17"/>
          <w:w w:val="105"/>
        </w:rPr>
        <w:t> </w:t>
      </w:r>
      <w:r>
        <w:rPr>
          <w:color w:val="231F20"/>
          <w:w w:val="105"/>
        </w:rPr>
        <w:t>al</w:t>
      </w:r>
      <w:r>
        <w:rPr>
          <w:color w:val="231F20"/>
          <w:spacing w:val="-17"/>
          <w:w w:val="105"/>
        </w:rPr>
        <w:t> </w:t>
      </w:r>
      <w:r>
        <w:rPr>
          <w:color w:val="231F20"/>
          <w:w w:val="105"/>
        </w:rPr>
        <w:t>del</w:t>
      </w:r>
      <w:r>
        <w:rPr>
          <w:color w:val="231F20"/>
          <w:spacing w:val="-17"/>
          <w:w w:val="105"/>
        </w:rPr>
        <w:t> </w:t>
      </w:r>
      <w:r>
        <w:rPr>
          <w:color w:val="231F20"/>
          <w:w w:val="105"/>
        </w:rPr>
        <w:t>mercado,</w:t>
      </w:r>
      <w:r>
        <w:rPr>
          <w:color w:val="231F20"/>
          <w:spacing w:val="-22"/>
          <w:w w:val="105"/>
        </w:rPr>
        <w:t> </w:t>
      </w:r>
      <w:r>
        <w:rPr>
          <w:color w:val="231F20"/>
          <w:w w:val="105"/>
        </w:rPr>
        <w:t>el</w:t>
      </w:r>
      <w:r>
        <w:rPr>
          <w:color w:val="231F20"/>
          <w:spacing w:val="-17"/>
          <w:w w:val="105"/>
        </w:rPr>
        <w:t> </w:t>
      </w:r>
      <w:r>
        <w:rPr>
          <w:color w:val="231F20"/>
          <w:w w:val="105"/>
        </w:rPr>
        <w:t>cual</w:t>
      </w:r>
      <w:r>
        <w:rPr>
          <w:color w:val="231F20"/>
          <w:spacing w:val="-17"/>
          <w:w w:val="105"/>
        </w:rPr>
        <w:t> </w:t>
      </w:r>
      <w:r>
        <w:rPr>
          <w:color w:val="231F20"/>
          <w:w w:val="105"/>
        </w:rPr>
        <w:t>está</w:t>
      </w:r>
      <w:r>
        <w:rPr>
          <w:color w:val="231F20"/>
          <w:spacing w:val="-17"/>
          <w:w w:val="105"/>
        </w:rPr>
        <w:t> </w:t>
      </w:r>
      <w:r>
        <w:rPr>
          <w:color w:val="231F20"/>
          <w:w w:val="105"/>
        </w:rPr>
        <w:t>sujeto</w:t>
      </w:r>
      <w:r>
        <w:rPr>
          <w:color w:val="231F20"/>
          <w:spacing w:val="-17"/>
          <w:w w:val="105"/>
        </w:rPr>
        <w:t> </w:t>
      </w:r>
      <w:r>
        <w:rPr>
          <w:color w:val="231F20"/>
          <w:w w:val="105"/>
        </w:rPr>
        <w:t>a</w:t>
      </w:r>
      <w:r>
        <w:rPr>
          <w:color w:val="231F20"/>
          <w:spacing w:val="-17"/>
          <w:w w:val="105"/>
        </w:rPr>
        <w:t> </w:t>
      </w:r>
      <w:r>
        <w:rPr>
          <w:color w:val="231F20"/>
          <w:w w:val="105"/>
        </w:rPr>
        <w:t>fuertes</w:t>
      </w:r>
      <w:r>
        <w:rPr>
          <w:color w:val="231F20"/>
          <w:spacing w:val="-17"/>
          <w:w w:val="105"/>
        </w:rPr>
        <w:t> </w:t>
      </w:r>
      <w:r>
        <w:rPr>
          <w:color w:val="231F20"/>
          <w:w w:val="105"/>
        </w:rPr>
        <w:t>variacio- nes</w:t>
      </w:r>
      <w:r>
        <w:rPr>
          <w:color w:val="231F20"/>
          <w:spacing w:val="-29"/>
          <w:w w:val="105"/>
        </w:rPr>
        <w:t> </w:t>
      </w:r>
      <w:r>
        <w:rPr>
          <w:color w:val="231F20"/>
          <w:w w:val="105"/>
        </w:rPr>
        <w:t>impulsadas</w:t>
      </w:r>
      <w:r>
        <w:rPr>
          <w:color w:val="231F20"/>
          <w:spacing w:val="-29"/>
          <w:w w:val="105"/>
        </w:rPr>
        <w:t> </w:t>
      </w:r>
      <w:r>
        <w:rPr>
          <w:color w:val="231F20"/>
          <w:w w:val="105"/>
        </w:rPr>
        <w:t>por</w:t>
      </w:r>
      <w:r>
        <w:rPr>
          <w:color w:val="231F20"/>
          <w:spacing w:val="-29"/>
          <w:w w:val="105"/>
        </w:rPr>
        <w:t> </w:t>
      </w:r>
      <w:r>
        <w:rPr>
          <w:color w:val="231F20"/>
          <w:w w:val="105"/>
        </w:rPr>
        <w:t>las</w:t>
      </w:r>
      <w:r>
        <w:rPr>
          <w:color w:val="231F20"/>
          <w:spacing w:val="-29"/>
          <w:w w:val="105"/>
        </w:rPr>
        <w:t> </w:t>
      </w:r>
      <w:r>
        <w:rPr>
          <w:color w:val="231F20"/>
          <w:w w:val="105"/>
        </w:rPr>
        <w:t>propias</w:t>
      </w:r>
      <w:r>
        <w:rPr>
          <w:color w:val="231F20"/>
          <w:spacing w:val="-29"/>
          <w:w w:val="105"/>
        </w:rPr>
        <w:t> </w:t>
      </w:r>
      <w:r>
        <w:rPr>
          <w:color w:val="231F20"/>
          <w:w w:val="105"/>
        </w:rPr>
        <w:t>fuerzas</w:t>
      </w:r>
      <w:r>
        <w:rPr>
          <w:color w:val="231F20"/>
          <w:spacing w:val="-29"/>
          <w:w w:val="105"/>
        </w:rPr>
        <w:t> </w:t>
      </w:r>
      <w:r>
        <w:rPr>
          <w:color w:val="231F20"/>
          <w:w w:val="105"/>
        </w:rPr>
        <w:t>del</w:t>
      </w:r>
      <w:r>
        <w:rPr>
          <w:color w:val="231F20"/>
          <w:spacing w:val="-29"/>
          <w:w w:val="105"/>
        </w:rPr>
        <w:t> </w:t>
      </w:r>
      <w:r>
        <w:rPr>
          <w:color w:val="231F20"/>
          <w:w w:val="105"/>
        </w:rPr>
        <w:t>mercado</w:t>
      </w:r>
      <w:r>
        <w:rPr>
          <w:color w:val="231F20"/>
          <w:spacing w:val="-29"/>
          <w:w w:val="105"/>
        </w:rPr>
        <w:t> </w:t>
      </w:r>
      <w:r>
        <w:rPr>
          <w:color w:val="231F20"/>
          <w:w w:val="105"/>
        </w:rPr>
        <w:t>(Fischer,</w:t>
      </w:r>
      <w:r>
        <w:rPr>
          <w:color w:val="231F20"/>
          <w:spacing w:val="-33"/>
          <w:w w:val="105"/>
        </w:rPr>
        <w:t> </w:t>
      </w:r>
      <w:r>
        <w:rPr>
          <w:color w:val="231F20"/>
          <w:w w:val="105"/>
        </w:rPr>
        <w:t>1977).</w:t>
      </w:r>
    </w:p>
    <w:p>
      <w:pPr>
        <w:pStyle w:val="ListParagraph"/>
        <w:numPr>
          <w:ilvl w:val="1"/>
          <w:numId w:val="67"/>
        </w:numPr>
        <w:tabs>
          <w:tab w:pos="965" w:val="left" w:leader="none"/>
        </w:tabs>
        <w:spacing w:line="259" w:lineRule="auto" w:before="0" w:after="0"/>
        <w:ind w:left="117" w:right="121" w:firstLine="567"/>
        <w:jc w:val="right"/>
        <w:rPr>
          <w:sz w:val="21"/>
        </w:rPr>
      </w:pPr>
      <w:r>
        <w:rPr>
          <w:color w:val="231F20"/>
          <w:w w:val="105"/>
          <w:sz w:val="21"/>
        </w:rPr>
        <w:t>Modelo de salarios de eficiencia. Estos modelos parten</w:t>
      </w:r>
      <w:r>
        <w:rPr>
          <w:color w:val="231F20"/>
          <w:spacing w:val="55"/>
          <w:w w:val="105"/>
          <w:sz w:val="21"/>
        </w:rPr>
        <w:t> </w:t>
      </w:r>
      <w:r>
        <w:rPr>
          <w:color w:val="231F20"/>
          <w:w w:val="105"/>
          <w:sz w:val="21"/>
        </w:rPr>
        <w:t>de</w:t>
      </w:r>
      <w:r>
        <w:rPr>
          <w:color w:val="231F20"/>
          <w:spacing w:val="15"/>
          <w:w w:val="105"/>
          <w:sz w:val="21"/>
        </w:rPr>
        <w:t> </w:t>
      </w:r>
      <w:r>
        <w:rPr>
          <w:color w:val="231F20"/>
          <w:w w:val="105"/>
          <w:sz w:val="21"/>
        </w:rPr>
        <w:t>la</w:t>
      </w:r>
      <w:r>
        <w:rPr>
          <w:color w:val="231F20"/>
          <w:w w:val="100"/>
          <w:sz w:val="21"/>
        </w:rPr>
        <w:t> </w:t>
      </w:r>
      <w:r>
        <w:rPr>
          <w:color w:val="231F20"/>
          <w:w w:val="105"/>
          <w:sz w:val="21"/>
        </w:rPr>
        <w:t>teoría</w:t>
      </w:r>
      <w:r>
        <w:rPr>
          <w:color w:val="231F20"/>
          <w:spacing w:val="-22"/>
          <w:w w:val="105"/>
          <w:sz w:val="21"/>
        </w:rPr>
        <w:t> </w:t>
      </w:r>
      <w:r>
        <w:rPr>
          <w:color w:val="231F20"/>
          <w:w w:val="105"/>
          <w:sz w:val="21"/>
        </w:rPr>
        <w:t>del</w:t>
      </w:r>
      <w:r>
        <w:rPr>
          <w:color w:val="231F20"/>
          <w:spacing w:val="-22"/>
          <w:w w:val="105"/>
          <w:sz w:val="21"/>
        </w:rPr>
        <w:t> </w:t>
      </w:r>
      <w:r>
        <w:rPr>
          <w:color w:val="231F20"/>
          <w:w w:val="105"/>
          <w:sz w:val="21"/>
        </w:rPr>
        <w:t>salario</w:t>
      </w:r>
      <w:r>
        <w:rPr>
          <w:color w:val="231F20"/>
          <w:spacing w:val="-22"/>
          <w:w w:val="105"/>
          <w:sz w:val="21"/>
        </w:rPr>
        <w:t> </w:t>
      </w:r>
      <w:r>
        <w:rPr>
          <w:color w:val="231F20"/>
          <w:w w:val="105"/>
          <w:sz w:val="21"/>
        </w:rPr>
        <w:t>de</w:t>
      </w:r>
      <w:r>
        <w:rPr>
          <w:color w:val="231F20"/>
          <w:spacing w:val="-22"/>
          <w:w w:val="105"/>
          <w:sz w:val="21"/>
        </w:rPr>
        <w:t> </w:t>
      </w:r>
      <w:r>
        <w:rPr>
          <w:color w:val="231F20"/>
          <w:w w:val="105"/>
          <w:sz w:val="21"/>
        </w:rPr>
        <w:t>eficiencia,</w:t>
      </w:r>
      <w:r>
        <w:rPr>
          <w:color w:val="231F20"/>
          <w:spacing w:val="-26"/>
          <w:w w:val="105"/>
          <w:sz w:val="21"/>
        </w:rPr>
        <w:t> </w:t>
      </w:r>
      <w:r>
        <w:rPr>
          <w:color w:val="231F20"/>
          <w:w w:val="105"/>
          <w:sz w:val="21"/>
        </w:rPr>
        <w:t>desarrollada</w:t>
      </w:r>
      <w:r>
        <w:rPr>
          <w:color w:val="231F20"/>
          <w:spacing w:val="-22"/>
          <w:w w:val="105"/>
          <w:sz w:val="21"/>
        </w:rPr>
        <w:t> </w:t>
      </w:r>
      <w:r>
        <w:rPr>
          <w:color w:val="231F20"/>
          <w:w w:val="105"/>
          <w:sz w:val="21"/>
        </w:rPr>
        <w:t>en</w:t>
      </w:r>
      <w:r>
        <w:rPr>
          <w:color w:val="231F20"/>
          <w:spacing w:val="-22"/>
          <w:w w:val="105"/>
          <w:sz w:val="21"/>
        </w:rPr>
        <w:t> </w:t>
      </w:r>
      <w:r>
        <w:rPr>
          <w:color w:val="231F20"/>
          <w:w w:val="105"/>
          <w:sz w:val="21"/>
        </w:rPr>
        <w:t>los</w:t>
      </w:r>
      <w:r>
        <w:rPr>
          <w:color w:val="231F20"/>
          <w:spacing w:val="-22"/>
          <w:w w:val="105"/>
          <w:sz w:val="21"/>
        </w:rPr>
        <w:t> </w:t>
      </w:r>
      <w:r>
        <w:rPr>
          <w:color w:val="231F20"/>
          <w:w w:val="105"/>
          <w:sz w:val="21"/>
        </w:rPr>
        <w:t>años</w:t>
      </w:r>
      <w:r>
        <w:rPr>
          <w:color w:val="231F20"/>
          <w:spacing w:val="-22"/>
          <w:w w:val="105"/>
          <w:sz w:val="21"/>
        </w:rPr>
        <w:t> </w:t>
      </w:r>
      <w:r>
        <w:rPr>
          <w:color w:val="231F20"/>
          <w:w w:val="105"/>
          <w:sz w:val="21"/>
        </w:rPr>
        <w:t>ochenta,</w:t>
      </w:r>
      <w:r>
        <w:rPr>
          <w:color w:val="231F20"/>
          <w:spacing w:val="-26"/>
          <w:w w:val="105"/>
          <w:sz w:val="21"/>
        </w:rPr>
        <w:t> </w:t>
      </w:r>
      <w:r>
        <w:rPr>
          <w:color w:val="231F20"/>
          <w:w w:val="105"/>
          <w:sz w:val="21"/>
        </w:rPr>
        <w:t>basada</w:t>
      </w:r>
      <w:r>
        <w:rPr>
          <w:color w:val="231F20"/>
          <w:w w:val="101"/>
          <w:sz w:val="21"/>
        </w:rPr>
        <w:t> </w:t>
      </w:r>
      <w:r>
        <w:rPr>
          <w:color w:val="231F20"/>
          <w:w w:val="105"/>
          <w:sz w:val="21"/>
        </w:rPr>
        <w:t>en el modelo de Solow (1979), en el que postula que la rigidez</w:t>
      </w:r>
      <w:r>
        <w:rPr>
          <w:color w:val="231F20"/>
          <w:spacing w:val="20"/>
          <w:w w:val="105"/>
          <w:sz w:val="21"/>
        </w:rPr>
        <w:t> </w:t>
      </w:r>
      <w:r>
        <w:rPr>
          <w:color w:val="231F20"/>
          <w:w w:val="105"/>
          <w:sz w:val="21"/>
        </w:rPr>
        <w:t>real</w:t>
      </w:r>
      <w:r>
        <w:rPr>
          <w:color w:val="231F20"/>
          <w:spacing w:val="2"/>
          <w:w w:val="105"/>
          <w:sz w:val="21"/>
        </w:rPr>
        <w:t> </w:t>
      </w:r>
      <w:r>
        <w:rPr>
          <w:color w:val="231F20"/>
          <w:w w:val="105"/>
          <w:sz w:val="21"/>
        </w:rPr>
        <w:t>del</w:t>
      </w:r>
      <w:r>
        <w:rPr>
          <w:color w:val="231F20"/>
          <w:w w:val="109"/>
          <w:sz w:val="21"/>
        </w:rPr>
        <w:t> </w:t>
      </w:r>
      <w:r>
        <w:rPr>
          <w:color w:val="231F20"/>
          <w:w w:val="105"/>
          <w:sz w:val="21"/>
        </w:rPr>
        <w:t>salario se asocia al interés que tiene la propia empresa de</w:t>
      </w:r>
      <w:r>
        <w:rPr>
          <w:color w:val="231F20"/>
          <w:spacing w:val="-14"/>
          <w:w w:val="105"/>
          <w:sz w:val="21"/>
        </w:rPr>
        <w:t> </w:t>
      </w:r>
      <w:r>
        <w:rPr>
          <w:color w:val="231F20"/>
          <w:w w:val="105"/>
          <w:sz w:val="21"/>
        </w:rPr>
        <w:t>aumentar</w:t>
      </w:r>
      <w:r>
        <w:rPr>
          <w:color w:val="231F20"/>
          <w:spacing w:val="-2"/>
          <w:w w:val="105"/>
          <w:sz w:val="21"/>
        </w:rPr>
        <w:t> </w:t>
      </w:r>
      <w:r>
        <w:rPr>
          <w:color w:val="231F20"/>
          <w:w w:val="105"/>
          <w:sz w:val="21"/>
        </w:rPr>
        <w:t>la</w:t>
      </w:r>
      <w:r>
        <w:rPr>
          <w:color w:val="231F20"/>
          <w:w w:val="100"/>
          <w:sz w:val="21"/>
        </w:rPr>
        <w:t> </w:t>
      </w:r>
      <w:r>
        <w:rPr>
          <w:color w:val="231F20"/>
          <w:w w:val="105"/>
          <w:sz w:val="21"/>
        </w:rPr>
        <w:t>productividad y no elevar los costos. La hipótesis central plantea</w:t>
      </w:r>
      <w:r>
        <w:rPr>
          <w:color w:val="231F20"/>
          <w:spacing w:val="-7"/>
          <w:w w:val="105"/>
          <w:sz w:val="21"/>
        </w:rPr>
        <w:t> </w:t>
      </w:r>
      <w:r>
        <w:rPr>
          <w:color w:val="231F20"/>
          <w:w w:val="105"/>
          <w:sz w:val="21"/>
        </w:rPr>
        <w:t>la</w:t>
      </w:r>
      <w:r>
        <w:rPr>
          <w:color w:val="231F20"/>
          <w:spacing w:val="-1"/>
          <w:w w:val="105"/>
          <w:sz w:val="21"/>
        </w:rPr>
        <w:t> </w:t>
      </w:r>
      <w:r>
        <w:rPr>
          <w:color w:val="231F20"/>
          <w:w w:val="105"/>
          <w:sz w:val="21"/>
        </w:rPr>
        <w:t>po-</w:t>
      </w:r>
      <w:r>
        <w:rPr>
          <w:color w:val="231F20"/>
          <w:w w:val="96"/>
          <w:sz w:val="21"/>
        </w:rPr>
        <w:t> </w:t>
      </w:r>
      <w:r>
        <w:rPr>
          <w:color w:val="231F20"/>
          <w:w w:val="105"/>
          <w:sz w:val="21"/>
        </w:rPr>
        <w:t>sibilidad de que aun cuando el pago de un salario más</w:t>
      </w:r>
      <w:r>
        <w:rPr>
          <w:color w:val="231F20"/>
          <w:spacing w:val="-7"/>
          <w:w w:val="105"/>
          <w:sz w:val="21"/>
        </w:rPr>
        <w:t> </w:t>
      </w:r>
      <w:r>
        <w:rPr>
          <w:color w:val="231F20"/>
          <w:w w:val="105"/>
          <w:sz w:val="21"/>
        </w:rPr>
        <w:t>elevado</w:t>
      </w:r>
      <w:r>
        <w:rPr>
          <w:color w:val="231F20"/>
          <w:spacing w:val="-1"/>
          <w:w w:val="105"/>
          <w:sz w:val="21"/>
        </w:rPr>
        <w:t> </w:t>
      </w:r>
      <w:r>
        <w:rPr>
          <w:color w:val="231F20"/>
          <w:w w:val="105"/>
          <w:sz w:val="21"/>
        </w:rPr>
        <w:t>genera</w:t>
      </w:r>
      <w:r>
        <w:rPr>
          <w:color w:val="231F20"/>
          <w:w w:val="96"/>
          <w:sz w:val="21"/>
        </w:rPr>
        <w:t> </w:t>
      </w:r>
      <w:r>
        <w:rPr>
          <w:color w:val="231F20"/>
          <w:w w:val="105"/>
          <w:sz w:val="21"/>
        </w:rPr>
        <w:t>mayores costos para la empresa, también proporciona</w:t>
      </w:r>
      <w:r>
        <w:rPr>
          <w:color w:val="231F20"/>
          <w:spacing w:val="39"/>
          <w:w w:val="105"/>
          <w:sz w:val="21"/>
        </w:rPr>
        <w:t> </w:t>
      </w:r>
      <w:r>
        <w:rPr>
          <w:color w:val="231F20"/>
          <w:w w:val="105"/>
          <w:sz w:val="21"/>
        </w:rPr>
        <w:t>más</w:t>
      </w:r>
      <w:r>
        <w:rPr>
          <w:color w:val="231F20"/>
          <w:spacing w:val="6"/>
          <w:w w:val="105"/>
          <w:sz w:val="21"/>
        </w:rPr>
        <w:t> </w:t>
      </w:r>
      <w:r>
        <w:rPr>
          <w:color w:val="231F20"/>
          <w:w w:val="105"/>
          <w:sz w:val="21"/>
        </w:rPr>
        <w:t>beneficios</w:t>
      </w:r>
      <w:r>
        <w:rPr>
          <w:color w:val="231F20"/>
          <w:w w:val="104"/>
          <w:sz w:val="21"/>
        </w:rPr>
        <w:t> </w:t>
      </w:r>
      <w:r>
        <w:rPr>
          <w:color w:val="231F20"/>
          <w:w w:val="105"/>
          <w:sz w:val="21"/>
        </w:rPr>
        <w:t>por su repercusión positiva sobre el esfuerzo (productividad) de</w:t>
      </w:r>
      <w:r>
        <w:rPr>
          <w:color w:val="231F20"/>
          <w:spacing w:val="-34"/>
          <w:w w:val="105"/>
          <w:sz w:val="21"/>
        </w:rPr>
        <w:t> </w:t>
      </w:r>
      <w:r>
        <w:rPr>
          <w:color w:val="231F20"/>
          <w:w w:val="105"/>
          <w:sz w:val="21"/>
        </w:rPr>
        <w:t>los</w:t>
      </w:r>
      <w:r>
        <w:rPr>
          <w:color w:val="231F20"/>
          <w:spacing w:val="-4"/>
          <w:w w:val="105"/>
          <w:sz w:val="21"/>
        </w:rPr>
        <w:t> </w:t>
      </w:r>
      <w:r>
        <w:rPr>
          <w:color w:val="231F20"/>
          <w:w w:val="105"/>
          <w:sz w:val="21"/>
        </w:rPr>
        <w:t>tra-</w:t>
      </w:r>
      <w:r>
        <w:rPr>
          <w:color w:val="231F20"/>
          <w:w w:val="96"/>
          <w:sz w:val="21"/>
        </w:rPr>
        <w:t> </w:t>
      </w:r>
      <w:r>
        <w:rPr>
          <w:color w:val="231F20"/>
          <w:w w:val="105"/>
          <w:sz w:val="21"/>
        </w:rPr>
        <w:t>bajadores; por lo que los salarios de eficiencia serían aquellos</w:t>
      </w:r>
      <w:r>
        <w:rPr>
          <w:color w:val="231F20"/>
          <w:spacing w:val="51"/>
          <w:w w:val="105"/>
          <w:sz w:val="21"/>
        </w:rPr>
        <w:t> </w:t>
      </w:r>
      <w:r>
        <w:rPr>
          <w:color w:val="231F20"/>
          <w:w w:val="105"/>
          <w:sz w:val="21"/>
        </w:rPr>
        <w:t>que</w:t>
      </w:r>
      <w:r>
        <w:rPr>
          <w:color w:val="231F20"/>
          <w:spacing w:val="5"/>
          <w:w w:val="105"/>
          <w:sz w:val="21"/>
        </w:rPr>
        <w:t> </w:t>
      </w:r>
      <w:r>
        <w:rPr>
          <w:color w:val="231F20"/>
          <w:w w:val="105"/>
          <w:sz w:val="21"/>
        </w:rPr>
        <w:t>las</w:t>
      </w:r>
      <w:r>
        <w:rPr>
          <w:color w:val="231F20"/>
          <w:w w:val="96"/>
          <w:sz w:val="21"/>
        </w:rPr>
        <w:t> </w:t>
      </w:r>
      <w:r>
        <w:rPr>
          <w:color w:val="231F20"/>
          <w:w w:val="105"/>
          <w:sz w:val="21"/>
        </w:rPr>
        <w:t>empresas</w:t>
      </w:r>
      <w:r>
        <w:rPr>
          <w:color w:val="231F20"/>
          <w:spacing w:val="-21"/>
          <w:w w:val="105"/>
          <w:sz w:val="21"/>
        </w:rPr>
        <w:t> </w:t>
      </w:r>
      <w:r>
        <w:rPr>
          <w:color w:val="231F20"/>
          <w:w w:val="105"/>
          <w:sz w:val="21"/>
        </w:rPr>
        <w:t>pagarían</w:t>
      </w:r>
      <w:r>
        <w:rPr>
          <w:color w:val="231F20"/>
          <w:spacing w:val="-21"/>
          <w:w w:val="105"/>
          <w:sz w:val="21"/>
        </w:rPr>
        <w:t> </w:t>
      </w:r>
      <w:r>
        <w:rPr>
          <w:color w:val="231F20"/>
          <w:w w:val="105"/>
          <w:sz w:val="21"/>
        </w:rPr>
        <w:t>por</w:t>
      </w:r>
      <w:r>
        <w:rPr>
          <w:color w:val="231F20"/>
          <w:spacing w:val="-21"/>
          <w:w w:val="105"/>
          <w:sz w:val="21"/>
        </w:rPr>
        <w:t> </w:t>
      </w:r>
      <w:r>
        <w:rPr>
          <w:color w:val="231F20"/>
          <w:w w:val="105"/>
          <w:sz w:val="21"/>
        </w:rPr>
        <w:t>encima</w:t>
      </w:r>
      <w:r>
        <w:rPr>
          <w:color w:val="231F20"/>
          <w:spacing w:val="-21"/>
          <w:w w:val="105"/>
          <w:sz w:val="21"/>
        </w:rPr>
        <w:t> </w:t>
      </w:r>
      <w:r>
        <w:rPr>
          <w:color w:val="231F20"/>
          <w:w w:val="105"/>
          <w:sz w:val="21"/>
        </w:rPr>
        <w:t>del</w:t>
      </w:r>
      <w:r>
        <w:rPr>
          <w:color w:val="231F20"/>
          <w:spacing w:val="-21"/>
          <w:w w:val="105"/>
          <w:sz w:val="21"/>
        </w:rPr>
        <w:t> </w:t>
      </w:r>
      <w:r>
        <w:rPr>
          <w:color w:val="231F20"/>
          <w:w w:val="105"/>
          <w:sz w:val="21"/>
        </w:rPr>
        <w:t>valor</w:t>
      </w:r>
      <w:r>
        <w:rPr>
          <w:color w:val="231F20"/>
          <w:spacing w:val="-21"/>
          <w:w w:val="105"/>
          <w:sz w:val="21"/>
        </w:rPr>
        <w:t> </w:t>
      </w:r>
      <w:r>
        <w:rPr>
          <w:color w:val="231F20"/>
          <w:w w:val="105"/>
          <w:sz w:val="21"/>
        </w:rPr>
        <w:t>del</w:t>
      </w:r>
      <w:r>
        <w:rPr>
          <w:color w:val="231F20"/>
          <w:spacing w:val="-21"/>
          <w:w w:val="105"/>
          <w:sz w:val="21"/>
        </w:rPr>
        <w:t> </w:t>
      </w:r>
      <w:r>
        <w:rPr>
          <w:color w:val="231F20"/>
          <w:w w:val="105"/>
          <w:sz w:val="21"/>
        </w:rPr>
        <w:t>salario</w:t>
      </w:r>
      <w:r>
        <w:rPr>
          <w:color w:val="231F20"/>
          <w:spacing w:val="-21"/>
          <w:w w:val="105"/>
          <w:sz w:val="21"/>
        </w:rPr>
        <w:t> </w:t>
      </w:r>
      <w:r>
        <w:rPr>
          <w:color w:val="231F20"/>
          <w:w w:val="105"/>
          <w:sz w:val="21"/>
        </w:rPr>
        <w:t>de</w:t>
      </w:r>
      <w:r>
        <w:rPr>
          <w:color w:val="231F20"/>
          <w:spacing w:val="-21"/>
          <w:w w:val="105"/>
          <w:sz w:val="21"/>
        </w:rPr>
        <w:t> </w:t>
      </w:r>
      <w:r>
        <w:rPr>
          <w:color w:val="231F20"/>
          <w:w w:val="105"/>
          <w:sz w:val="21"/>
        </w:rPr>
        <w:t>equilibrio</w:t>
      </w:r>
      <w:r>
        <w:rPr>
          <w:color w:val="231F20"/>
          <w:spacing w:val="-21"/>
          <w:w w:val="105"/>
          <w:sz w:val="21"/>
        </w:rPr>
        <w:t> </w:t>
      </w:r>
      <w:r>
        <w:rPr>
          <w:color w:val="231F20"/>
          <w:w w:val="105"/>
          <w:sz w:val="21"/>
        </w:rPr>
        <w:t>del</w:t>
      </w:r>
      <w:r>
        <w:rPr>
          <w:color w:val="231F20"/>
          <w:spacing w:val="-21"/>
          <w:w w:val="105"/>
          <w:sz w:val="21"/>
        </w:rPr>
        <w:t> </w:t>
      </w:r>
      <w:r>
        <w:rPr>
          <w:color w:val="231F20"/>
          <w:w w:val="105"/>
          <w:sz w:val="21"/>
        </w:rPr>
        <w:t>mer-</w:t>
      </w:r>
      <w:r>
        <w:rPr>
          <w:color w:val="231F20"/>
          <w:w w:val="96"/>
          <w:sz w:val="21"/>
        </w:rPr>
        <w:t> </w:t>
      </w:r>
      <w:r>
        <w:rPr>
          <w:color w:val="231F20"/>
          <w:w w:val="105"/>
          <w:sz w:val="21"/>
        </w:rPr>
        <w:t>cado</w:t>
      </w:r>
      <w:r>
        <w:rPr>
          <w:color w:val="231F20"/>
          <w:spacing w:val="-21"/>
          <w:w w:val="105"/>
          <w:sz w:val="21"/>
        </w:rPr>
        <w:t> </w:t>
      </w:r>
      <w:r>
        <w:rPr>
          <w:color w:val="231F20"/>
          <w:w w:val="105"/>
          <w:sz w:val="21"/>
        </w:rPr>
        <w:t>para</w:t>
      </w:r>
      <w:r>
        <w:rPr>
          <w:color w:val="231F20"/>
          <w:spacing w:val="-21"/>
          <w:w w:val="105"/>
          <w:sz w:val="21"/>
        </w:rPr>
        <w:t> </w:t>
      </w:r>
      <w:r>
        <w:rPr>
          <w:color w:val="231F20"/>
          <w:w w:val="105"/>
          <w:sz w:val="21"/>
        </w:rPr>
        <w:t>evitar</w:t>
      </w:r>
      <w:r>
        <w:rPr>
          <w:color w:val="231F20"/>
          <w:spacing w:val="-21"/>
          <w:w w:val="105"/>
          <w:sz w:val="21"/>
        </w:rPr>
        <w:t> </w:t>
      </w:r>
      <w:r>
        <w:rPr>
          <w:color w:val="231F20"/>
          <w:w w:val="105"/>
          <w:sz w:val="21"/>
        </w:rPr>
        <w:t>caídas</w:t>
      </w:r>
      <w:r>
        <w:rPr>
          <w:color w:val="231F20"/>
          <w:spacing w:val="-21"/>
          <w:w w:val="105"/>
          <w:sz w:val="21"/>
        </w:rPr>
        <w:t> </w:t>
      </w:r>
      <w:r>
        <w:rPr>
          <w:color w:val="231F20"/>
          <w:w w:val="105"/>
          <w:sz w:val="21"/>
        </w:rPr>
        <w:t>en</w:t>
      </w:r>
      <w:r>
        <w:rPr>
          <w:color w:val="231F20"/>
          <w:spacing w:val="-21"/>
          <w:w w:val="105"/>
          <w:sz w:val="21"/>
        </w:rPr>
        <w:t> </w:t>
      </w:r>
      <w:r>
        <w:rPr>
          <w:color w:val="231F20"/>
          <w:w w:val="105"/>
          <w:sz w:val="21"/>
        </w:rPr>
        <w:t>la</w:t>
      </w:r>
      <w:r>
        <w:rPr>
          <w:color w:val="231F20"/>
          <w:spacing w:val="-21"/>
          <w:w w:val="105"/>
          <w:sz w:val="21"/>
        </w:rPr>
        <w:t> </w:t>
      </w:r>
      <w:r>
        <w:rPr>
          <w:color w:val="231F20"/>
          <w:w w:val="105"/>
          <w:sz w:val="21"/>
        </w:rPr>
        <w:t>productividad</w:t>
      </w:r>
      <w:r>
        <w:rPr>
          <w:color w:val="231F20"/>
          <w:spacing w:val="-21"/>
          <w:w w:val="105"/>
          <w:sz w:val="21"/>
        </w:rPr>
        <w:t> </w:t>
      </w:r>
      <w:r>
        <w:rPr>
          <w:color w:val="231F20"/>
          <w:w w:val="105"/>
          <w:sz w:val="21"/>
        </w:rPr>
        <w:t>(Katz,</w:t>
      </w:r>
      <w:r>
        <w:rPr>
          <w:color w:val="231F20"/>
          <w:spacing w:val="-26"/>
          <w:w w:val="105"/>
          <w:sz w:val="21"/>
        </w:rPr>
        <w:t> </w:t>
      </w:r>
      <w:r>
        <w:rPr>
          <w:color w:val="231F20"/>
          <w:w w:val="105"/>
          <w:sz w:val="21"/>
        </w:rPr>
        <w:t>1986</w:t>
      </w:r>
      <w:r>
        <w:rPr>
          <w:color w:val="231F20"/>
          <w:spacing w:val="-21"/>
          <w:w w:val="105"/>
          <w:sz w:val="21"/>
        </w:rPr>
        <w:t> </w:t>
      </w:r>
      <w:r>
        <w:rPr>
          <w:color w:val="231F20"/>
          <w:w w:val="105"/>
          <w:sz w:val="21"/>
        </w:rPr>
        <w:t>y</w:t>
      </w:r>
      <w:r>
        <w:rPr>
          <w:color w:val="231F20"/>
          <w:spacing w:val="-21"/>
          <w:w w:val="105"/>
          <w:sz w:val="21"/>
        </w:rPr>
        <w:t> </w:t>
      </w:r>
      <w:r>
        <w:rPr>
          <w:color w:val="231F20"/>
          <w:w w:val="105"/>
          <w:sz w:val="21"/>
        </w:rPr>
        <w:t>Gordon,</w:t>
      </w:r>
      <w:r>
        <w:rPr>
          <w:color w:val="231F20"/>
          <w:spacing w:val="-26"/>
          <w:w w:val="105"/>
          <w:sz w:val="21"/>
        </w:rPr>
        <w:t> </w:t>
      </w:r>
      <w:r>
        <w:rPr>
          <w:color w:val="231F20"/>
          <w:w w:val="105"/>
          <w:sz w:val="21"/>
        </w:rPr>
        <w:t>1990).</w:t>
      </w:r>
    </w:p>
    <w:p>
      <w:pPr>
        <w:pStyle w:val="BodyText"/>
        <w:spacing w:line="259" w:lineRule="auto"/>
        <w:ind w:left="117" w:right="121" w:firstLine="567"/>
        <w:jc w:val="both"/>
      </w:pPr>
      <w:r>
        <w:rPr>
          <w:color w:val="231F20"/>
        </w:rPr>
        <w:t>Según Mankiw y Romer (1991), este tipo de salarios obedece a tres razones:</w:t>
      </w:r>
    </w:p>
    <w:p>
      <w:pPr>
        <w:pStyle w:val="BodyText"/>
        <w:spacing w:before="6"/>
        <w:rPr>
          <w:sz w:val="22"/>
        </w:rPr>
      </w:pPr>
    </w:p>
    <w:p>
      <w:pPr>
        <w:pStyle w:val="ListParagraph"/>
        <w:numPr>
          <w:ilvl w:val="2"/>
          <w:numId w:val="67"/>
        </w:numPr>
        <w:tabs>
          <w:tab w:pos="1328" w:val="left" w:leader="none"/>
        </w:tabs>
        <w:spacing w:line="259" w:lineRule="auto" w:before="0" w:after="0"/>
        <w:ind w:left="1327" w:right="122" w:hanging="360"/>
        <w:jc w:val="left"/>
        <w:rPr>
          <w:sz w:val="21"/>
        </w:rPr>
      </w:pPr>
      <w:r>
        <w:rPr>
          <w:color w:val="231F20"/>
          <w:w w:val="105"/>
          <w:sz w:val="21"/>
        </w:rPr>
        <w:t>Un</w:t>
      </w:r>
      <w:r>
        <w:rPr>
          <w:color w:val="231F20"/>
          <w:spacing w:val="-12"/>
          <w:w w:val="105"/>
          <w:sz w:val="21"/>
        </w:rPr>
        <w:t> </w:t>
      </w:r>
      <w:r>
        <w:rPr>
          <w:color w:val="231F20"/>
          <w:w w:val="105"/>
          <w:sz w:val="21"/>
        </w:rPr>
        <w:t>salario</w:t>
      </w:r>
      <w:r>
        <w:rPr>
          <w:color w:val="231F20"/>
          <w:spacing w:val="-12"/>
          <w:w w:val="105"/>
          <w:sz w:val="21"/>
        </w:rPr>
        <w:t> </w:t>
      </w:r>
      <w:r>
        <w:rPr>
          <w:color w:val="231F20"/>
          <w:w w:val="105"/>
          <w:sz w:val="21"/>
        </w:rPr>
        <w:t>elevado</w:t>
      </w:r>
      <w:r>
        <w:rPr>
          <w:color w:val="231F20"/>
          <w:spacing w:val="-12"/>
          <w:w w:val="105"/>
          <w:sz w:val="21"/>
        </w:rPr>
        <w:t> </w:t>
      </w:r>
      <w:r>
        <w:rPr>
          <w:color w:val="231F20"/>
          <w:w w:val="105"/>
          <w:sz w:val="21"/>
        </w:rPr>
        <w:t>estimula</w:t>
      </w:r>
      <w:r>
        <w:rPr>
          <w:color w:val="231F20"/>
          <w:spacing w:val="-12"/>
          <w:w w:val="105"/>
          <w:sz w:val="21"/>
        </w:rPr>
        <w:t> </w:t>
      </w:r>
      <w:r>
        <w:rPr>
          <w:color w:val="231F20"/>
          <w:w w:val="105"/>
          <w:sz w:val="21"/>
        </w:rPr>
        <w:t>el</w:t>
      </w:r>
      <w:r>
        <w:rPr>
          <w:color w:val="231F20"/>
          <w:spacing w:val="-12"/>
          <w:w w:val="105"/>
          <w:sz w:val="21"/>
        </w:rPr>
        <w:t> </w:t>
      </w:r>
      <w:r>
        <w:rPr>
          <w:color w:val="231F20"/>
          <w:w w:val="105"/>
          <w:sz w:val="21"/>
        </w:rPr>
        <w:t>mayor</w:t>
      </w:r>
      <w:r>
        <w:rPr>
          <w:color w:val="231F20"/>
          <w:spacing w:val="-12"/>
          <w:w w:val="105"/>
          <w:sz w:val="21"/>
        </w:rPr>
        <w:t> </w:t>
      </w:r>
      <w:r>
        <w:rPr>
          <w:color w:val="231F20"/>
          <w:w w:val="105"/>
          <w:sz w:val="21"/>
        </w:rPr>
        <w:t>esfuerzo</w:t>
      </w:r>
      <w:r>
        <w:rPr>
          <w:color w:val="231F20"/>
          <w:spacing w:val="-12"/>
          <w:w w:val="105"/>
          <w:sz w:val="21"/>
        </w:rPr>
        <w:t> </w:t>
      </w:r>
      <w:r>
        <w:rPr>
          <w:color w:val="231F20"/>
          <w:w w:val="105"/>
          <w:sz w:val="21"/>
        </w:rPr>
        <w:t>de</w:t>
      </w:r>
      <w:r>
        <w:rPr>
          <w:color w:val="231F20"/>
          <w:spacing w:val="-12"/>
          <w:w w:val="105"/>
          <w:sz w:val="21"/>
        </w:rPr>
        <w:t> </w:t>
      </w:r>
      <w:r>
        <w:rPr>
          <w:color w:val="231F20"/>
          <w:w w:val="105"/>
          <w:sz w:val="21"/>
        </w:rPr>
        <w:t>los</w:t>
      </w:r>
      <w:r>
        <w:rPr>
          <w:color w:val="231F20"/>
          <w:spacing w:val="-12"/>
          <w:w w:val="105"/>
          <w:sz w:val="21"/>
        </w:rPr>
        <w:t> </w:t>
      </w:r>
      <w:r>
        <w:rPr>
          <w:color w:val="231F20"/>
          <w:w w:val="105"/>
          <w:sz w:val="21"/>
        </w:rPr>
        <w:t>traba- jadores</w:t>
      </w:r>
      <w:r>
        <w:rPr>
          <w:color w:val="231F20"/>
          <w:spacing w:val="-13"/>
          <w:w w:val="105"/>
          <w:sz w:val="21"/>
        </w:rPr>
        <w:t> </w:t>
      </w:r>
      <w:r>
        <w:rPr>
          <w:color w:val="231F20"/>
          <w:w w:val="105"/>
          <w:sz w:val="21"/>
        </w:rPr>
        <w:t>e</w:t>
      </w:r>
      <w:r>
        <w:rPr>
          <w:color w:val="231F20"/>
          <w:spacing w:val="-13"/>
          <w:w w:val="105"/>
          <w:sz w:val="21"/>
        </w:rPr>
        <w:t> </w:t>
      </w:r>
      <w:r>
        <w:rPr>
          <w:color w:val="231F20"/>
          <w:w w:val="105"/>
          <w:sz w:val="21"/>
        </w:rPr>
        <w:t>incrementa</w:t>
      </w:r>
      <w:r>
        <w:rPr>
          <w:color w:val="231F20"/>
          <w:spacing w:val="-13"/>
          <w:w w:val="105"/>
          <w:sz w:val="21"/>
        </w:rPr>
        <w:t> </w:t>
      </w:r>
      <w:r>
        <w:rPr>
          <w:color w:val="231F20"/>
          <w:w w:val="105"/>
          <w:sz w:val="21"/>
        </w:rPr>
        <w:t>su</w:t>
      </w:r>
      <w:r>
        <w:rPr>
          <w:color w:val="231F20"/>
          <w:spacing w:val="-13"/>
          <w:w w:val="105"/>
          <w:sz w:val="21"/>
        </w:rPr>
        <w:t> </w:t>
      </w:r>
      <w:r>
        <w:rPr>
          <w:color w:val="231F20"/>
          <w:w w:val="105"/>
          <w:sz w:val="21"/>
        </w:rPr>
        <w:t>productividad.</w:t>
      </w:r>
    </w:p>
    <w:p>
      <w:pPr>
        <w:spacing w:after="0" w:line="259" w:lineRule="auto"/>
        <w:jc w:val="left"/>
        <w:rPr>
          <w:sz w:val="21"/>
        </w:rPr>
        <w:sectPr>
          <w:pgSz w:w="9640" w:h="13890"/>
          <w:pgMar w:top="0" w:bottom="280" w:left="1300" w:right="1180"/>
        </w:sectPr>
      </w:pPr>
    </w:p>
    <w:p>
      <w:pPr>
        <w:pStyle w:val="ListParagraph"/>
        <w:numPr>
          <w:ilvl w:val="2"/>
          <w:numId w:val="67"/>
        </w:numPr>
        <w:tabs>
          <w:tab w:pos="1326" w:val="left" w:leader="none"/>
        </w:tabs>
        <w:spacing w:line="259" w:lineRule="auto" w:before="120" w:after="0"/>
        <w:ind w:left="1325" w:right="103" w:hanging="359"/>
        <w:jc w:val="both"/>
        <w:rPr>
          <w:sz w:val="21"/>
        </w:rPr>
      </w:pPr>
      <w:r>
        <w:rPr>
          <w:color w:val="231F20"/>
          <w:w w:val="105"/>
          <w:sz w:val="21"/>
        </w:rPr>
        <w:t>Si</w:t>
      </w:r>
      <w:r>
        <w:rPr>
          <w:color w:val="231F20"/>
          <w:spacing w:val="-17"/>
          <w:w w:val="105"/>
          <w:sz w:val="21"/>
        </w:rPr>
        <w:t> </w:t>
      </w:r>
      <w:r>
        <w:rPr>
          <w:color w:val="231F20"/>
          <w:w w:val="105"/>
          <w:sz w:val="21"/>
        </w:rPr>
        <w:t>la</w:t>
      </w:r>
      <w:r>
        <w:rPr>
          <w:color w:val="231F20"/>
          <w:spacing w:val="-17"/>
          <w:w w:val="105"/>
          <w:sz w:val="21"/>
        </w:rPr>
        <w:t> </w:t>
      </w:r>
      <w:r>
        <w:rPr>
          <w:color w:val="231F20"/>
          <w:w w:val="105"/>
          <w:sz w:val="21"/>
        </w:rPr>
        <w:t>empresa</w:t>
      </w:r>
      <w:r>
        <w:rPr>
          <w:color w:val="231F20"/>
          <w:spacing w:val="-17"/>
          <w:w w:val="105"/>
          <w:sz w:val="21"/>
        </w:rPr>
        <w:t> </w:t>
      </w:r>
      <w:r>
        <w:rPr>
          <w:color w:val="231F20"/>
          <w:w w:val="105"/>
          <w:sz w:val="21"/>
        </w:rPr>
        <w:t>paga</w:t>
      </w:r>
      <w:r>
        <w:rPr>
          <w:color w:val="231F20"/>
          <w:spacing w:val="-17"/>
          <w:w w:val="105"/>
          <w:sz w:val="21"/>
        </w:rPr>
        <w:t> </w:t>
      </w:r>
      <w:r>
        <w:rPr>
          <w:color w:val="231F20"/>
          <w:w w:val="105"/>
          <w:sz w:val="21"/>
        </w:rPr>
        <w:t>salarios</w:t>
      </w:r>
      <w:r>
        <w:rPr>
          <w:color w:val="231F20"/>
          <w:spacing w:val="-17"/>
          <w:w w:val="105"/>
          <w:sz w:val="21"/>
        </w:rPr>
        <w:t> </w:t>
      </w:r>
      <w:r>
        <w:rPr>
          <w:color w:val="231F20"/>
          <w:w w:val="105"/>
          <w:sz w:val="21"/>
        </w:rPr>
        <w:t>superiores</w:t>
      </w:r>
      <w:r>
        <w:rPr>
          <w:color w:val="231F20"/>
          <w:spacing w:val="-17"/>
          <w:w w:val="105"/>
          <w:sz w:val="21"/>
        </w:rPr>
        <w:t> </w:t>
      </w:r>
      <w:r>
        <w:rPr>
          <w:color w:val="231F20"/>
          <w:w w:val="105"/>
          <w:sz w:val="21"/>
        </w:rPr>
        <w:t>a</w:t>
      </w:r>
      <w:r>
        <w:rPr>
          <w:color w:val="231F20"/>
          <w:spacing w:val="-17"/>
          <w:w w:val="105"/>
          <w:sz w:val="21"/>
        </w:rPr>
        <w:t> </w:t>
      </w:r>
      <w:r>
        <w:rPr>
          <w:color w:val="231F20"/>
          <w:w w:val="105"/>
          <w:sz w:val="21"/>
        </w:rPr>
        <w:t>los</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equilibrio</w:t>
      </w:r>
      <w:r>
        <w:rPr>
          <w:color w:val="231F20"/>
          <w:spacing w:val="-17"/>
          <w:w w:val="105"/>
          <w:sz w:val="21"/>
        </w:rPr>
        <w:t> </w:t>
      </w:r>
      <w:r>
        <w:rPr>
          <w:color w:val="231F20"/>
          <w:w w:val="105"/>
          <w:sz w:val="21"/>
        </w:rPr>
        <w:t>del mercado,</w:t>
      </w:r>
      <w:r>
        <w:rPr>
          <w:color w:val="231F20"/>
          <w:spacing w:val="-21"/>
          <w:w w:val="105"/>
          <w:sz w:val="21"/>
        </w:rPr>
        <w:t> </w:t>
      </w:r>
      <w:r>
        <w:rPr>
          <w:color w:val="231F20"/>
          <w:w w:val="105"/>
          <w:sz w:val="21"/>
        </w:rPr>
        <w:t>atraerá</w:t>
      </w:r>
      <w:r>
        <w:rPr>
          <w:color w:val="231F20"/>
          <w:spacing w:val="-17"/>
          <w:w w:val="105"/>
          <w:sz w:val="21"/>
        </w:rPr>
        <w:t> </w:t>
      </w:r>
      <w:r>
        <w:rPr>
          <w:color w:val="231F20"/>
          <w:w w:val="105"/>
          <w:sz w:val="21"/>
        </w:rPr>
        <w:t>hacia</w:t>
      </w:r>
      <w:r>
        <w:rPr>
          <w:color w:val="231F20"/>
          <w:spacing w:val="-17"/>
          <w:w w:val="105"/>
          <w:sz w:val="21"/>
        </w:rPr>
        <w:t> </w:t>
      </w:r>
      <w:r>
        <w:rPr>
          <w:color w:val="231F20"/>
          <w:w w:val="105"/>
          <w:sz w:val="21"/>
        </w:rPr>
        <w:t>ella</w:t>
      </w:r>
      <w:r>
        <w:rPr>
          <w:color w:val="231F20"/>
          <w:spacing w:val="-17"/>
          <w:w w:val="105"/>
          <w:sz w:val="21"/>
        </w:rPr>
        <w:t> </w:t>
      </w:r>
      <w:r>
        <w:rPr>
          <w:color w:val="231F20"/>
          <w:w w:val="105"/>
          <w:sz w:val="21"/>
        </w:rPr>
        <w:t>a</w:t>
      </w:r>
      <w:r>
        <w:rPr>
          <w:color w:val="231F20"/>
          <w:spacing w:val="-17"/>
          <w:w w:val="105"/>
          <w:sz w:val="21"/>
        </w:rPr>
        <w:t> </w:t>
      </w:r>
      <w:r>
        <w:rPr>
          <w:color w:val="231F20"/>
          <w:w w:val="105"/>
          <w:sz w:val="21"/>
        </w:rPr>
        <w:t>los</w:t>
      </w:r>
      <w:r>
        <w:rPr>
          <w:color w:val="231F20"/>
          <w:spacing w:val="-17"/>
          <w:w w:val="105"/>
          <w:sz w:val="21"/>
        </w:rPr>
        <w:t> </w:t>
      </w:r>
      <w:r>
        <w:rPr>
          <w:color w:val="231F20"/>
          <w:w w:val="105"/>
          <w:sz w:val="21"/>
        </w:rPr>
        <w:t>trabajadores</w:t>
      </w:r>
      <w:r>
        <w:rPr>
          <w:color w:val="231F20"/>
          <w:spacing w:val="-17"/>
          <w:w w:val="105"/>
          <w:sz w:val="21"/>
        </w:rPr>
        <w:t> </w:t>
      </w:r>
      <w:r>
        <w:rPr>
          <w:color w:val="231F20"/>
          <w:w w:val="105"/>
          <w:sz w:val="21"/>
        </w:rPr>
        <w:t>más</w:t>
      </w:r>
      <w:r>
        <w:rPr>
          <w:color w:val="231F20"/>
          <w:spacing w:val="-17"/>
          <w:w w:val="105"/>
          <w:sz w:val="21"/>
        </w:rPr>
        <w:t> </w:t>
      </w:r>
      <w:r>
        <w:rPr>
          <w:color w:val="231F20"/>
          <w:w w:val="105"/>
          <w:sz w:val="21"/>
        </w:rPr>
        <w:t>capacita- dos</w:t>
      </w:r>
      <w:r>
        <w:rPr>
          <w:color w:val="231F20"/>
          <w:spacing w:val="-12"/>
          <w:w w:val="105"/>
          <w:sz w:val="21"/>
        </w:rPr>
        <w:t> </w:t>
      </w:r>
      <w:r>
        <w:rPr>
          <w:color w:val="231F20"/>
          <w:w w:val="105"/>
          <w:sz w:val="21"/>
        </w:rPr>
        <w:t>y</w:t>
      </w:r>
      <w:r>
        <w:rPr>
          <w:color w:val="231F20"/>
          <w:spacing w:val="-12"/>
          <w:w w:val="105"/>
          <w:sz w:val="21"/>
        </w:rPr>
        <w:t> </w:t>
      </w:r>
      <w:r>
        <w:rPr>
          <w:color w:val="231F20"/>
          <w:w w:val="105"/>
          <w:sz w:val="21"/>
        </w:rPr>
        <w:t>aumentará</w:t>
      </w:r>
      <w:r>
        <w:rPr>
          <w:color w:val="231F20"/>
          <w:spacing w:val="-12"/>
          <w:w w:val="105"/>
          <w:sz w:val="21"/>
        </w:rPr>
        <w:t> </w:t>
      </w:r>
      <w:r>
        <w:rPr>
          <w:color w:val="231F20"/>
          <w:w w:val="105"/>
          <w:sz w:val="21"/>
        </w:rPr>
        <w:t>la</w:t>
      </w:r>
      <w:r>
        <w:rPr>
          <w:color w:val="231F20"/>
          <w:spacing w:val="-12"/>
          <w:w w:val="105"/>
          <w:sz w:val="21"/>
        </w:rPr>
        <w:t> </w:t>
      </w:r>
      <w:r>
        <w:rPr>
          <w:color w:val="231F20"/>
          <w:w w:val="105"/>
          <w:sz w:val="21"/>
        </w:rPr>
        <w:t>productividad</w:t>
      </w:r>
      <w:r>
        <w:rPr>
          <w:color w:val="231F20"/>
          <w:spacing w:val="-12"/>
          <w:w w:val="105"/>
          <w:sz w:val="21"/>
        </w:rPr>
        <w:t> </w:t>
      </w:r>
      <w:r>
        <w:rPr>
          <w:color w:val="231F20"/>
          <w:w w:val="105"/>
          <w:sz w:val="21"/>
        </w:rPr>
        <w:t>media.</w:t>
      </w:r>
    </w:p>
    <w:p>
      <w:pPr>
        <w:pStyle w:val="ListParagraph"/>
        <w:numPr>
          <w:ilvl w:val="2"/>
          <w:numId w:val="67"/>
        </w:numPr>
        <w:tabs>
          <w:tab w:pos="1326" w:val="left" w:leader="none"/>
        </w:tabs>
        <w:spacing w:line="259" w:lineRule="auto" w:before="170" w:after="0"/>
        <w:ind w:left="1325" w:right="99" w:hanging="359"/>
        <w:jc w:val="both"/>
        <w:rPr>
          <w:sz w:val="21"/>
        </w:rPr>
      </w:pPr>
      <w:r>
        <w:rPr>
          <w:color w:val="231F20"/>
          <w:w w:val="105"/>
          <w:sz w:val="21"/>
        </w:rPr>
        <w:t>El</w:t>
      </w:r>
      <w:r>
        <w:rPr>
          <w:color w:val="231F20"/>
          <w:spacing w:val="-30"/>
          <w:w w:val="105"/>
          <w:sz w:val="21"/>
        </w:rPr>
        <w:t> </w:t>
      </w:r>
      <w:r>
        <w:rPr>
          <w:color w:val="231F20"/>
          <w:spacing w:val="-3"/>
          <w:w w:val="105"/>
          <w:sz w:val="21"/>
        </w:rPr>
        <w:t>salario</w:t>
      </w:r>
      <w:r>
        <w:rPr>
          <w:color w:val="231F20"/>
          <w:spacing w:val="-30"/>
          <w:w w:val="105"/>
          <w:sz w:val="21"/>
        </w:rPr>
        <w:t> </w:t>
      </w:r>
      <w:r>
        <w:rPr>
          <w:color w:val="231F20"/>
          <w:spacing w:val="-3"/>
          <w:w w:val="105"/>
          <w:sz w:val="21"/>
        </w:rPr>
        <w:t>elevado</w:t>
      </w:r>
      <w:r>
        <w:rPr>
          <w:color w:val="231F20"/>
          <w:spacing w:val="-30"/>
          <w:w w:val="105"/>
          <w:sz w:val="21"/>
        </w:rPr>
        <w:t> </w:t>
      </w:r>
      <w:r>
        <w:rPr>
          <w:color w:val="231F20"/>
          <w:spacing w:val="-3"/>
          <w:w w:val="105"/>
          <w:sz w:val="21"/>
        </w:rPr>
        <w:t>estimula</w:t>
      </w:r>
      <w:r>
        <w:rPr>
          <w:color w:val="231F20"/>
          <w:spacing w:val="-30"/>
          <w:w w:val="105"/>
          <w:sz w:val="21"/>
        </w:rPr>
        <w:t> </w:t>
      </w:r>
      <w:r>
        <w:rPr>
          <w:color w:val="231F20"/>
          <w:w w:val="105"/>
          <w:sz w:val="21"/>
        </w:rPr>
        <w:t>un</w:t>
      </w:r>
      <w:r>
        <w:rPr>
          <w:color w:val="231F20"/>
          <w:spacing w:val="-30"/>
          <w:w w:val="105"/>
          <w:sz w:val="21"/>
        </w:rPr>
        <w:t> </w:t>
      </w:r>
      <w:r>
        <w:rPr>
          <w:color w:val="231F20"/>
          <w:spacing w:val="-3"/>
          <w:w w:val="105"/>
          <w:sz w:val="21"/>
        </w:rPr>
        <w:t>sentimiento</w:t>
      </w:r>
      <w:r>
        <w:rPr>
          <w:color w:val="231F20"/>
          <w:spacing w:val="-30"/>
          <w:w w:val="105"/>
          <w:sz w:val="21"/>
        </w:rPr>
        <w:t> </w:t>
      </w:r>
      <w:r>
        <w:rPr>
          <w:color w:val="231F20"/>
          <w:w w:val="105"/>
          <w:sz w:val="21"/>
        </w:rPr>
        <w:t>de</w:t>
      </w:r>
      <w:r>
        <w:rPr>
          <w:color w:val="231F20"/>
          <w:spacing w:val="-30"/>
          <w:w w:val="105"/>
          <w:sz w:val="21"/>
        </w:rPr>
        <w:t> </w:t>
      </w:r>
      <w:r>
        <w:rPr>
          <w:color w:val="231F20"/>
          <w:spacing w:val="-3"/>
          <w:w w:val="105"/>
          <w:sz w:val="21"/>
        </w:rPr>
        <w:t>lealtad</w:t>
      </w:r>
      <w:r>
        <w:rPr>
          <w:color w:val="231F20"/>
          <w:spacing w:val="-30"/>
          <w:w w:val="105"/>
          <w:sz w:val="21"/>
        </w:rPr>
        <w:t> </w:t>
      </w:r>
      <w:r>
        <w:rPr>
          <w:color w:val="231F20"/>
          <w:w w:val="105"/>
          <w:sz w:val="21"/>
        </w:rPr>
        <w:t>en</w:t>
      </w:r>
      <w:r>
        <w:rPr>
          <w:color w:val="231F20"/>
          <w:spacing w:val="-30"/>
          <w:w w:val="105"/>
          <w:sz w:val="21"/>
        </w:rPr>
        <w:t> </w:t>
      </w:r>
      <w:r>
        <w:rPr>
          <w:color w:val="231F20"/>
          <w:w w:val="105"/>
          <w:sz w:val="21"/>
        </w:rPr>
        <w:t>los</w:t>
      </w:r>
      <w:r>
        <w:rPr>
          <w:color w:val="231F20"/>
          <w:spacing w:val="-30"/>
          <w:w w:val="105"/>
          <w:sz w:val="21"/>
        </w:rPr>
        <w:t> </w:t>
      </w:r>
      <w:r>
        <w:rPr>
          <w:color w:val="231F20"/>
          <w:spacing w:val="-3"/>
          <w:w w:val="105"/>
          <w:sz w:val="21"/>
        </w:rPr>
        <w:t>tra- bajadores</w:t>
      </w:r>
      <w:r>
        <w:rPr>
          <w:color w:val="231F20"/>
          <w:spacing w:val="-22"/>
          <w:w w:val="105"/>
          <w:sz w:val="21"/>
        </w:rPr>
        <w:t> </w:t>
      </w:r>
      <w:r>
        <w:rPr>
          <w:color w:val="231F20"/>
          <w:w w:val="105"/>
          <w:sz w:val="21"/>
        </w:rPr>
        <w:t>y</w:t>
      </w:r>
      <w:r>
        <w:rPr>
          <w:color w:val="231F20"/>
          <w:spacing w:val="-22"/>
          <w:w w:val="105"/>
          <w:sz w:val="21"/>
        </w:rPr>
        <w:t> </w:t>
      </w:r>
      <w:r>
        <w:rPr>
          <w:color w:val="231F20"/>
          <w:w w:val="105"/>
          <w:sz w:val="21"/>
        </w:rPr>
        <w:t>les</w:t>
      </w:r>
      <w:r>
        <w:rPr>
          <w:color w:val="231F20"/>
          <w:spacing w:val="-22"/>
          <w:w w:val="105"/>
          <w:sz w:val="21"/>
        </w:rPr>
        <w:t> </w:t>
      </w:r>
      <w:r>
        <w:rPr>
          <w:color w:val="231F20"/>
          <w:spacing w:val="-3"/>
          <w:w w:val="105"/>
          <w:sz w:val="21"/>
        </w:rPr>
        <w:t>induce</w:t>
      </w:r>
      <w:r>
        <w:rPr>
          <w:color w:val="231F20"/>
          <w:spacing w:val="-22"/>
          <w:w w:val="105"/>
          <w:sz w:val="21"/>
        </w:rPr>
        <w:t> </w:t>
      </w:r>
      <w:r>
        <w:rPr>
          <w:color w:val="231F20"/>
          <w:w w:val="105"/>
          <w:sz w:val="21"/>
        </w:rPr>
        <w:t>un</w:t>
      </w:r>
      <w:r>
        <w:rPr>
          <w:color w:val="231F20"/>
          <w:spacing w:val="-22"/>
          <w:w w:val="105"/>
          <w:sz w:val="21"/>
        </w:rPr>
        <w:t> </w:t>
      </w:r>
      <w:r>
        <w:rPr>
          <w:color w:val="231F20"/>
          <w:spacing w:val="-3"/>
          <w:w w:val="105"/>
          <w:sz w:val="21"/>
        </w:rPr>
        <w:t>mayor</w:t>
      </w:r>
      <w:r>
        <w:rPr>
          <w:color w:val="231F20"/>
          <w:spacing w:val="-22"/>
          <w:w w:val="105"/>
          <w:sz w:val="21"/>
        </w:rPr>
        <w:t> </w:t>
      </w:r>
      <w:r>
        <w:rPr>
          <w:color w:val="231F20"/>
          <w:spacing w:val="-3"/>
          <w:w w:val="105"/>
          <w:sz w:val="21"/>
        </w:rPr>
        <w:t>compromiso</w:t>
      </w:r>
      <w:r>
        <w:rPr>
          <w:color w:val="231F20"/>
          <w:spacing w:val="-22"/>
          <w:w w:val="105"/>
          <w:sz w:val="21"/>
        </w:rPr>
        <w:t> </w:t>
      </w:r>
      <w:r>
        <w:rPr>
          <w:color w:val="231F20"/>
          <w:w w:val="105"/>
          <w:sz w:val="21"/>
        </w:rPr>
        <w:t>con</w:t>
      </w:r>
      <w:r>
        <w:rPr>
          <w:color w:val="231F20"/>
          <w:spacing w:val="-22"/>
          <w:w w:val="105"/>
          <w:sz w:val="21"/>
        </w:rPr>
        <w:t> </w:t>
      </w:r>
      <w:r>
        <w:rPr>
          <w:color w:val="231F20"/>
          <w:w w:val="105"/>
          <w:sz w:val="21"/>
        </w:rPr>
        <w:t>la</w:t>
      </w:r>
      <w:r>
        <w:rPr>
          <w:color w:val="231F20"/>
          <w:spacing w:val="-22"/>
          <w:w w:val="105"/>
          <w:sz w:val="21"/>
        </w:rPr>
        <w:t> </w:t>
      </w:r>
      <w:r>
        <w:rPr>
          <w:color w:val="231F20"/>
          <w:spacing w:val="-4"/>
          <w:w w:val="105"/>
          <w:sz w:val="21"/>
        </w:rPr>
        <w:t>empresa.</w:t>
      </w:r>
    </w:p>
    <w:p>
      <w:pPr>
        <w:pStyle w:val="BodyText"/>
        <w:spacing w:line="259" w:lineRule="auto" w:before="170"/>
        <w:ind w:left="115" w:right="104"/>
        <w:jc w:val="both"/>
      </w:pPr>
      <w:r>
        <w:rPr>
          <w:color w:val="231F20"/>
          <w:w w:val="105"/>
        </w:rPr>
        <w:t>A</w:t>
      </w:r>
      <w:r>
        <w:rPr>
          <w:color w:val="231F20"/>
          <w:spacing w:val="-24"/>
          <w:w w:val="105"/>
        </w:rPr>
        <w:t> </w:t>
      </w:r>
      <w:r>
        <w:rPr>
          <w:color w:val="231F20"/>
          <w:w w:val="105"/>
        </w:rPr>
        <w:t>partir</w:t>
      </w:r>
      <w:r>
        <w:rPr>
          <w:color w:val="231F20"/>
          <w:spacing w:val="-20"/>
          <w:w w:val="105"/>
        </w:rPr>
        <w:t> </w:t>
      </w:r>
      <w:r>
        <w:rPr>
          <w:color w:val="231F20"/>
          <w:w w:val="105"/>
        </w:rPr>
        <w:t>de</w:t>
      </w:r>
      <w:r>
        <w:rPr>
          <w:color w:val="231F20"/>
          <w:spacing w:val="-20"/>
          <w:w w:val="105"/>
        </w:rPr>
        <w:t> </w:t>
      </w:r>
      <w:r>
        <w:rPr>
          <w:color w:val="231F20"/>
          <w:w w:val="105"/>
        </w:rPr>
        <w:t>lo</w:t>
      </w:r>
      <w:r>
        <w:rPr>
          <w:color w:val="231F20"/>
          <w:spacing w:val="-20"/>
          <w:w w:val="105"/>
        </w:rPr>
        <w:t> </w:t>
      </w:r>
      <w:r>
        <w:rPr>
          <w:color w:val="231F20"/>
          <w:w w:val="105"/>
        </w:rPr>
        <w:t>anterior,</w:t>
      </w:r>
      <w:r>
        <w:rPr>
          <w:color w:val="231F20"/>
          <w:spacing w:val="-27"/>
          <w:w w:val="105"/>
        </w:rPr>
        <w:t> </w:t>
      </w:r>
      <w:r>
        <w:rPr>
          <w:color w:val="231F20"/>
          <w:w w:val="105"/>
        </w:rPr>
        <w:t>el</w:t>
      </w:r>
      <w:r>
        <w:rPr>
          <w:color w:val="231F20"/>
          <w:spacing w:val="-20"/>
          <w:w w:val="105"/>
        </w:rPr>
        <w:t> </w:t>
      </w:r>
      <w:r>
        <w:rPr>
          <w:color w:val="231F20"/>
          <w:w w:val="105"/>
        </w:rPr>
        <w:t>modelo</w:t>
      </w:r>
      <w:r>
        <w:rPr>
          <w:color w:val="231F20"/>
          <w:spacing w:val="-20"/>
          <w:w w:val="105"/>
        </w:rPr>
        <w:t> </w:t>
      </w:r>
      <w:r>
        <w:rPr>
          <w:color w:val="231F20"/>
          <w:w w:val="105"/>
        </w:rPr>
        <w:t>de</w:t>
      </w:r>
      <w:r>
        <w:rPr>
          <w:color w:val="231F20"/>
          <w:spacing w:val="-20"/>
          <w:w w:val="105"/>
        </w:rPr>
        <w:t> </w:t>
      </w:r>
      <w:r>
        <w:rPr>
          <w:color w:val="231F20"/>
          <w:w w:val="105"/>
        </w:rPr>
        <w:t>salarios</w:t>
      </w:r>
      <w:r>
        <w:rPr>
          <w:color w:val="231F20"/>
          <w:spacing w:val="-20"/>
          <w:w w:val="105"/>
        </w:rPr>
        <w:t> </w:t>
      </w:r>
      <w:r>
        <w:rPr>
          <w:color w:val="231F20"/>
          <w:w w:val="105"/>
        </w:rPr>
        <w:t>de</w:t>
      </w:r>
      <w:r>
        <w:rPr>
          <w:color w:val="231F20"/>
          <w:spacing w:val="-20"/>
          <w:w w:val="105"/>
        </w:rPr>
        <w:t> </w:t>
      </w:r>
      <w:r>
        <w:rPr>
          <w:color w:val="231F20"/>
          <w:w w:val="105"/>
        </w:rPr>
        <w:t>eficiencia</w:t>
      </w:r>
      <w:r>
        <w:rPr>
          <w:color w:val="231F20"/>
          <w:spacing w:val="-20"/>
          <w:w w:val="105"/>
        </w:rPr>
        <w:t> </w:t>
      </w:r>
      <w:r>
        <w:rPr>
          <w:color w:val="231F20"/>
          <w:w w:val="105"/>
        </w:rPr>
        <w:t>supone</w:t>
      </w:r>
      <w:r>
        <w:rPr>
          <w:color w:val="231F20"/>
          <w:spacing w:val="-20"/>
          <w:w w:val="105"/>
        </w:rPr>
        <w:t> </w:t>
      </w:r>
      <w:r>
        <w:rPr>
          <w:color w:val="231F20"/>
          <w:w w:val="105"/>
        </w:rPr>
        <w:t>una</w:t>
      </w:r>
      <w:r>
        <w:rPr>
          <w:color w:val="231F20"/>
          <w:spacing w:val="-20"/>
          <w:w w:val="105"/>
        </w:rPr>
        <w:t> </w:t>
      </w:r>
      <w:r>
        <w:rPr>
          <w:color w:val="231F20"/>
          <w:w w:val="105"/>
        </w:rPr>
        <w:t>eco- nomía</w:t>
      </w:r>
      <w:r>
        <w:rPr>
          <w:color w:val="231F20"/>
          <w:spacing w:val="-25"/>
          <w:w w:val="105"/>
        </w:rPr>
        <w:t> </w:t>
      </w:r>
      <w:r>
        <w:rPr>
          <w:color w:val="231F20"/>
          <w:w w:val="105"/>
        </w:rPr>
        <w:t>con</w:t>
      </w:r>
      <w:r>
        <w:rPr>
          <w:color w:val="231F20"/>
          <w:spacing w:val="-25"/>
          <w:w w:val="105"/>
        </w:rPr>
        <w:t> </w:t>
      </w:r>
      <w:r>
        <w:rPr>
          <w:color w:val="231F20"/>
          <w:w w:val="105"/>
        </w:rPr>
        <w:t>empresas</w:t>
      </w:r>
      <w:r>
        <w:rPr>
          <w:color w:val="231F20"/>
          <w:spacing w:val="-25"/>
          <w:w w:val="105"/>
        </w:rPr>
        <w:t> </w:t>
      </w:r>
      <w:r>
        <w:rPr>
          <w:color w:val="231F20"/>
          <w:w w:val="105"/>
        </w:rPr>
        <w:t>idénticas</w:t>
      </w:r>
      <w:r>
        <w:rPr>
          <w:color w:val="231F20"/>
          <w:spacing w:val="-25"/>
          <w:w w:val="105"/>
        </w:rPr>
        <w:t> </w:t>
      </w:r>
      <w:r>
        <w:rPr>
          <w:color w:val="231F20"/>
          <w:w w:val="105"/>
        </w:rPr>
        <w:t>y</w:t>
      </w:r>
      <w:r>
        <w:rPr>
          <w:color w:val="231F20"/>
          <w:spacing w:val="-25"/>
          <w:w w:val="105"/>
        </w:rPr>
        <w:t> </w:t>
      </w:r>
      <w:r>
        <w:rPr>
          <w:color w:val="231F20"/>
          <w:w w:val="105"/>
        </w:rPr>
        <w:t>perfectamente</w:t>
      </w:r>
      <w:r>
        <w:rPr>
          <w:color w:val="231F20"/>
          <w:spacing w:val="-25"/>
          <w:w w:val="105"/>
        </w:rPr>
        <w:t> </w:t>
      </w:r>
      <w:r>
        <w:rPr>
          <w:color w:val="231F20"/>
          <w:w w:val="105"/>
        </w:rPr>
        <w:t>competitivas,</w:t>
      </w:r>
      <w:r>
        <w:rPr>
          <w:color w:val="231F20"/>
          <w:spacing w:val="-30"/>
          <w:w w:val="105"/>
        </w:rPr>
        <w:t> </w:t>
      </w:r>
      <w:r>
        <w:rPr>
          <w:color w:val="231F20"/>
          <w:w w:val="105"/>
        </w:rPr>
        <w:t>donde</w:t>
      </w:r>
      <w:r>
        <w:rPr>
          <w:color w:val="231F20"/>
          <w:spacing w:val="-25"/>
          <w:w w:val="105"/>
        </w:rPr>
        <w:t> </w:t>
      </w:r>
      <w:r>
        <w:rPr>
          <w:color w:val="231F20"/>
          <w:w w:val="105"/>
        </w:rPr>
        <w:t>cada una</w:t>
      </w:r>
      <w:r>
        <w:rPr>
          <w:color w:val="231F20"/>
          <w:spacing w:val="-9"/>
          <w:w w:val="105"/>
        </w:rPr>
        <w:t> </w:t>
      </w:r>
      <w:r>
        <w:rPr>
          <w:color w:val="231F20"/>
          <w:w w:val="105"/>
        </w:rPr>
        <w:t>de</w:t>
      </w:r>
      <w:r>
        <w:rPr>
          <w:color w:val="231F20"/>
          <w:spacing w:val="-9"/>
          <w:w w:val="105"/>
        </w:rPr>
        <w:t> </w:t>
      </w:r>
      <w:r>
        <w:rPr>
          <w:color w:val="231F20"/>
          <w:w w:val="105"/>
        </w:rPr>
        <w:t>ellas</w:t>
      </w:r>
      <w:r>
        <w:rPr>
          <w:color w:val="231F20"/>
          <w:spacing w:val="-9"/>
          <w:w w:val="105"/>
        </w:rPr>
        <w:t> </w:t>
      </w:r>
      <w:r>
        <w:rPr>
          <w:color w:val="231F20"/>
          <w:w w:val="105"/>
        </w:rPr>
        <w:t>tiene</w:t>
      </w:r>
      <w:r>
        <w:rPr>
          <w:color w:val="231F20"/>
          <w:spacing w:val="-9"/>
          <w:w w:val="105"/>
        </w:rPr>
        <w:t> </w:t>
      </w:r>
      <w:r>
        <w:rPr>
          <w:color w:val="231F20"/>
          <w:w w:val="105"/>
        </w:rPr>
        <w:t>la</w:t>
      </w:r>
      <w:r>
        <w:rPr>
          <w:color w:val="231F20"/>
          <w:spacing w:val="-9"/>
          <w:w w:val="105"/>
        </w:rPr>
        <w:t> </w:t>
      </w:r>
      <w:r>
        <w:rPr>
          <w:color w:val="231F20"/>
          <w:w w:val="105"/>
        </w:rPr>
        <w:t>siguiente</w:t>
      </w:r>
      <w:r>
        <w:rPr>
          <w:color w:val="231F20"/>
          <w:spacing w:val="-9"/>
          <w:w w:val="105"/>
        </w:rPr>
        <w:t> </w:t>
      </w:r>
      <w:r>
        <w:rPr>
          <w:color w:val="231F20"/>
          <w:w w:val="105"/>
        </w:rPr>
        <w:t>función</w:t>
      </w:r>
      <w:r>
        <w:rPr>
          <w:color w:val="231F20"/>
          <w:spacing w:val="-9"/>
          <w:w w:val="105"/>
        </w:rPr>
        <w:t> </w:t>
      </w:r>
      <w:r>
        <w:rPr>
          <w:color w:val="231F20"/>
          <w:w w:val="105"/>
        </w:rPr>
        <w:t>de</w:t>
      </w:r>
      <w:r>
        <w:rPr>
          <w:color w:val="231F20"/>
          <w:spacing w:val="-9"/>
          <w:w w:val="105"/>
        </w:rPr>
        <w:t> </w:t>
      </w:r>
      <w:r>
        <w:rPr>
          <w:color w:val="231F20"/>
          <w:w w:val="105"/>
        </w:rPr>
        <w:t>producción:</w:t>
      </w:r>
    </w:p>
    <w:p>
      <w:pPr>
        <w:tabs>
          <w:tab w:pos="6748" w:val="left" w:leader="none"/>
        </w:tabs>
        <w:spacing w:before="165"/>
        <w:ind w:left="965" w:right="0" w:firstLine="0"/>
        <w:jc w:val="left"/>
        <w:rPr>
          <w:sz w:val="21"/>
        </w:rPr>
      </w:pPr>
      <w:r>
        <w:rPr>
          <w:rFonts w:ascii="Times New Roman" w:hAnsi="Times New Roman"/>
          <w:i/>
          <w:color w:val="231F20"/>
          <w:sz w:val="22"/>
        </w:rPr>
        <w:t>Y </w:t>
      </w:r>
      <w:r>
        <w:rPr>
          <w:rFonts w:ascii="Times New Roman" w:hAnsi="Times New Roman"/>
          <w:color w:val="231F20"/>
          <w:sz w:val="22"/>
        </w:rPr>
        <w:t>= </w:t>
      </w:r>
      <w:r>
        <w:rPr>
          <w:rFonts w:ascii="Times New Roman" w:hAnsi="Times New Roman"/>
          <w:i/>
          <w:color w:val="231F20"/>
          <w:sz w:val="22"/>
        </w:rPr>
        <w:t>AF</w:t>
      </w:r>
      <w:r>
        <w:rPr>
          <w:rFonts w:ascii="Times New Roman" w:hAnsi="Times New Roman"/>
          <w:color w:val="231F20"/>
          <w:sz w:val="22"/>
        </w:rPr>
        <w:t>[</w:t>
      </w:r>
      <w:r>
        <w:rPr>
          <w:rFonts w:ascii="Times New Roman" w:hAnsi="Times New Roman"/>
          <w:i/>
          <w:color w:val="231F20"/>
          <w:sz w:val="22"/>
        </w:rPr>
        <w:t>e</w:t>
      </w:r>
      <w:r>
        <w:rPr>
          <w:rFonts w:ascii="Times New Roman" w:hAnsi="Times New Roman"/>
          <w:color w:val="231F20"/>
          <w:sz w:val="22"/>
        </w:rPr>
        <w:t>(</w:t>
      </w:r>
      <w:r>
        <w:rPr>
          <w:rFonts w:ascii="Times New Roman" w:hAnsi="Times New Roman"/>
          <w:i/>
          <w:color w:val="231F20"/>
          <w:sz w:val="22"/>
        </w:rPr>
        <w:t>w</w:t>
      </w:r>
      <w:r>
        <w:rPr>
          <w:rFonts w:ascii="Times New Roman" w:hAnsi="Times New Roman"/>
          <w:color w:val="231F20"/>
          <w:sz w:val="22"/>
        </w:rPr>
        <w:t>)</w:t>
      </w:r>
      <w:r>
        <w:rPr>
          <w:rFonts w:ascii="Times New Roman" w:hAnsi="Times New Roman"/>
          <w:i/>
          <w:color w:val="231F20"/>
          <w:sz w:val="22"/>
        </w:rPr>
        <w:t>L</w:t>
      </w:r>
      <w:r>
        <w:rPr>
          <w:rFonts w:ascii="Times New Roman" w:hAnsi="Times New Roman"/>
          <w:color w:val="231F20"/>
          <w:sz w:val="22"/>
        </w:rPr>
        <w:t>], con </w:t>
      </w:r>
      <w:r>
        <w:rPr>
          <w:rFonts w:ascii="Times New Roman" w:hAnsi="Times New Roman"/>
          <w:i/>
          <w:color w:val="231F20"/>
          <w:sz w:val="22"/>
        </w:rPr>
        <w:t>e</w:t>
      </w:r>
      <w:r>
        <w:rPr>
          <w:rFonts w:ascii="Times New Roman" w:hAnsi="Times New Roman"/>
          <w:color w:val="231F20"/>
          <w:sz w:val="22"/>
        </w:rPr>
        <w:t>’(</w:t>
      </w:r>
      <w:r>
        <w:rPr>
          <w:rFonts w:ascii="Times New Roman" w:hAnsi="Times New Roman"/>
          <w:i/>
          <w:color w:val="231F20"/>
          <w:sz w:val="22"/>
        </w:rPr>
        <w:t>w</w:t>
      </w:r>
      <w:r>
        <w:rPr>
          <w:rFonts w:ascii="Times New Roman" w:hAnsi="Times New Roman"/>
          <w:color w:val="231F20"/>
          <w:sz w:val="22"/>
        </w:rPr>
        <w:t>)</w:t>
      </w:r>
      <w:r>
        <w:rPr>
          <w:rFonts w:ascii="Times New Roman" w:hAnsi="Times New Roman"/>
          <w:color w:val="231F20"/>
          <w:spacing w:val="-3"/>
          <w:sz w:val="22"/>
        </w:rPr>
        <w:t> </w:t>
      </w:r>
      <w:r>
        <w:rPr>
          <w:rFonts w:ascii="Times New Roman" w:hAnsi="Times New Roman"/>
          <w:color w:val="231F20"/>
          <w:sz w:val="22"/>
        </w:rPr>
        <w:t>&gt;</w:t>
      </w:r>
      <w:r>
        <w:rPr>
          <w:rFonts w:ascii="Times New Roman" w:hAnsi="Times New Roman"/>
          <w:color w:val="231F20"/>
          <w:spacing w:val="-1"/>
          <w:sz w:val="22"/>
        </w:rPr>
        <w:t> </w:t>
      </w:r>
      <w:r>
        <w:rPr>
          <w:rFonts w:ascii="Times New Roman" w:hAnsi="Times New Roman"/>
          <w:color w:val="231F20"/>
          <w:sz w:val="22"/>
        </w:rPr>
        <w:t>0</w:t>
        <w:tab/>
      </w:r>
      <w:r>
        <w:rPr>
          <w:color w:val="231F20"/>
          <w:sz w:val="21"/>
        </w:rPr>
        <w:t>[4]</w:t>
      </w:r>
    </w:p>
    <w:p>
      <w:pPr>
        <w:pStyle w:val="BodyText"/>
        <w:spacing w:line="254" w:lineRule="auto" w:before="185"/>
        <w:ind w:left="115" w:right="103"/>
        <w:jc w:val="both"/>
      </w:pPr>
      <w:r>
        <w:rPr>
          <w:color w:val="231F20"/>
          <w:w w:val="105"/>
        </w:rPr>
        <w:t>Donde</w:t>
      </w:r>
      <w:r>
        <w:rPr>
          <w:color w:val="231F20"/>
          <w:spacing w:val="-12"/>
          <w:w w:val="105"/>
        </w:rPr>
        <w:t> </w:t>
      </w:r>
      <w:r>
        <w:rPr>
          <w:i/>
          <w:color w:val="231F20"/>
          <w:w w:val="105"/>
        </w:rPr>
        <w:t>Y</w:t>
      </w:r>
      <w:r>
        <w:rPr>
          <w:i/>
          <w:color w:val="231F20"/>
          <w:spacing w:val="-12"/>
          <w:w w:val="105"/>
        </w:rPr>
        <w:t> </w:t>
      </w:r>
      <w:r>
        <w:rPr>
          <w:color w:val="231F20"/>
          <w:w w:val="105"/>
        </w:rPr>
        <w:t>es</w:t>
      </w:r>
      <w:r>
        <w:rPr>
          <w:color w:val="231F20"/>
          <w:spacing w:val="-12"/>
          <w:w w:val="105"/>
        </w:rPr>
        <w:t> </w:t>
      </w:r>
      <w:r>
        <w:rPr>
          <w:color w:val="231F20"/>
          <w:w w:val="105"/>
        </w:rPr>
        <w:t>el</w:t>
      </w:r>
      <w:r>
        <w:rPr>
          <w:color w:val="231F20"/>
          <w:spacing w:val="-12"/>
          <w:w w:val="105"/>
        </w:rPr>
        <w:t> </w:t>
      </w:r>
      <w:r>
        <w:rPr>
          <w:color w:val="231F20"/>
          <w:w w:val="105"/>
        </w:rPr>
        <w:t>producto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empresa,</w:t>
      </w:r>
      <w:r>
        <w:rPr>
          <w:color w:val="231F20"/>
          <w:spacing w:val="-18"/>
          <w:w w:val="105"/>
        </w:rPr>
        <w:t> </w:t>
      </w:r>
      <w:r>
        <w:rPr>
          <w:i/>
          <w:color w:val="231F20"/>
          <w:w w:val="105"/>
        </w:rPr>
        <w:t>A</w:t>
      </w:r>
      <w:r>
        <w:rPr>
          <w:i/>
          <w:color w:val="231F20"/>
          <w:spacing w:val="-12"/>
          <w:w w:val="105"/>
        </w:rPr>
        <w:t> </w:t>
      </w:r>
      <w:r>
        <w:rPr>
          <w:color w:val="231F20"/>
          <w:w w:val="105"/>
        </w:rPr>
        <w:t>representa</w:t>
      </w:r>
      <w:r>
        <w:rPr>
          <w:color w:val="231F20"/>
          <w:spacing w:val="-12"/>
          <w:w w:val="105"/>
        </w:rPr>
        <w:t> </w:t>
      </w:r>
      <w:r>
        <w:rPr>
          <w:color w:val="231F20"/>
          <w:w w:val="105"/>
        </w:rPr>
        <w:t>un</w:t>
      </w:r>
      <w:r>
        <w:rPr>
          <w:color w:val="231F20"/>
          <w:spacing w:val="-12"/>
          <w:w w:val="105"/>
        </w:rPr>
        <w:t> </w:t>
      </w:r>
      <w:r>
        <w:rPr>
          <w:color w:val="231F20"/>
          <w:w w:val="105"/>
        </w:rPr>
        <w:t>factor</w:t>
      </w:r>
      <w:r>
        <w:rPr>
          <w:color w:val="231F20"/>
          <w:spacing w:val="-12"/>
          <w:w w:val="105"/>
        </w:rPr>
        <w:t> </w:t>
      </w:r>
      <w:r>
        <w:rPr>
          <w:color w:val="231F20"/>
          <w:w w:val="105"/>
        </w:rPr>
        <w:t>de</w:t>
      </w:r>
      <w:r>
        <w:rPr>
          <w:color w:val="231F20"/>
          <w:spacing w:val="-12"/>
          <w:w w:val="105"/>
        </w:rPr>
        <w:t> </w:t>
      </w:r>
      <w:r>
        <w:rPr>
          <w:color w:val="231F20"/>
          <w:w w:val="105"/>
        </w:rPr>
        <w:t>cambio de</w:t>
      </w:r>
      <w:r>
        <w:rPr>
          <w:color w:val="231F20"/>
          <w:spacing w:val="-17"/>
          <w:w w:val="105"/>
        </w:rPr>
        <w:t> </w:t>
      </w:r>
      <w:r>
        <w:rPr>
          <w:color w:val="231F20"/>
          <w:w w:val="105"/>
        </w:rPr>
        <w:t>la</w:t>
      </w:r>
      <w:r>
        <w:rPr>
          <w:color w:val="231F20"/>
          <w:spacing w:val="-17"/>
          <w:w w:val="105"/>
        </w:rPr>
        <w:t> </w:t>
      </w:r>
      <w:r>
        <w:rPr>
          <w:color w:val="231F20"/>
          <w:w w:val="105"/>
        </w:rPr>
        <w:t>productividad,</w:t>
      </w:r>
      <w:r>
        <w:rPr>
          <w:color w:val="231F20"/>
          <w:spacing w:val="-23"/>
          <w:w w:val="105"/>
        </w:rPr>
        <w:t> </w:t>
      </w:r>
      <w:r>
        <w:rPr>
          <w:rFonts w:ascii="Times New Roman" w:hAnsi="Times New Roman"/>
          <w:i/>
          <w:color w:val="231F20"/>
          <w:w w:val="105"/>
          <w:sz w:val="22"/>
        </w:rPr>
        <w:t>e</w:t>
      </w:r>
      <w:r>
        <w:rPr>
          <w:rFonts w:ascii="Times New Roman" w:hAnsi="Times New Roman"/>
          <w:i/>
          <w:color w:val="231F20"/>
          <w:spacing w:val="-13"/>
          <w:w w:val="105"/>
          <w:sz w:val="22"/>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esfuerzo</w:t>
      </w:r>
      <w:r>
        <w:rPr>
          <w:color w:val="231F20"/>
          <w:spacing w:val="-17"/>
          <w:w w:val="105"/>
        </w:rPr>
        <w:t> </w:t>
      </w:r>
      <w:r>
        <w:rPr>
          <w:color w:val="231F20"/>
          <w:w w:val="105"/>
        </w:rPr>
        <w:t>por</w:t>
      </w:r>
      <w:r>
        <w:rPr>
          <w:color w:val="231F20"/>
          <w:spacing w:val="-17"/>
          <w:w w:val="105"/>
        </w:rPr>
        <w:t> </w:t>
      </w:r>
      <w:r>
        <w:rPr>
          <w:color w:val="231F20"/>
          <w:w w:val="105"/>
        </w:rPr>
        <w:t>trabajador,</w:t>
      </w:r>
      <w:r>
        <w:rPr>
          <w:color w:val="231F20"/>
          <w:spacing w:val="-23"/>
          <w:w w:val="105"/>
        </w:rPr>
        <w:t> </w:t>
      </w:r>
      <w:r>
        <w:rPr>
          <w:rFonts w:ascii="Times New Roman" w:hAnsi="Times New Roman"/>
          <w:i/>
          <w:color w:val="231F20"/>
          <w:w w:val="105"/>
          <w:sz w:val="22"/>
        </w:rPr>
        <w:t>w</w:t>
      </w:r>
      <w:r>
        <w:rPr>
          <w:rFonts w:ascii="Times New Roman" w:hAnsi="Times New Roman"/>
          <w:i/>
          <w:color w:val="231F20"/>
          <w:spacing w:val="-13"/>
          <w:w w:val="105"/>
          <w:sz w:val="22"/>
        </w:rPr>
        <w:t> </w:t>
      </w: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salario</w:t>
      </w:r>
      <w:r>
        <w:rPr>
          <w:color w:val="231F20"/>
          <w:spacing w:val="-17"/>
          <w:w w:val="105"/>
        </w:rPr>
        <w:t> </w:t>
      </w:r>
      <w:r>
        <w:rPr>
          <w:color w:val="231F20"/>
          <w:w w:val="105"/>
        </w:rPr>
        <w:t>real</w:t>
      </w:r>
      <w:r>
        <w:rPr>
          <w:color w:val="231F20"/>
          <w:spacing w:val="-17"/>
          <w:w w:val="105"/>
        </w:rPr>
        <w:t> </w:t>
      </w:r>
      <w:r>
        <w:rPr>
          <w:color w:val="231F20"/>
          <w:w w:val="105"/>
        </w:rPr>
        <w:t>y</w:t>
      </w:r>
      <w:r>
        <w:rPr>
          <w:color w:val="231F20"/>
          <w:spacing w:val="-16"/>
          <w:w w:val="105"/>
        </w:rPr>
        <w:t> </w:t>
      </w:r>
      <w:r>
        <w:rPr>
          <w:rFonts w:ascii="Times New Roman" w:hAnsi="Times New Roman"/>
          <w:i/>
          <w:color w:val="231F20"/>
          <w:w w:val="105"/>
          <w:sz w:val="22"/>
        </w:rPr>
        <w:t>L </w:t>
      </w:r>
      <w:r>
        <w:rPr>
          <w:color w:val="231F20"/>
          <w:w w:val="105"/>
        </w:rPr>
        <w:t>es</w:t>
      </w:r>
      <w:r>
        <w:rPr>
          <w:color w:val="231F20"/>
          <w:spacing w:val="-29"/>
          <w:w w:val="105"/>
        </w:rPr>
        <w:t> </w:t>
      </w:r>
      <w:r>
        <w:rPr>
          <w:color w:val="231F20"/>
          <w:w w:val="105"/>
        </w:rPr>
        <w:t>el</w:t>
      </w:r>
      <w:r>
        <w:rPr>
          <w:color w:val="231F20"/>
          <w:spacing w:val="-29"/>
          <w:w w:val="105"/>
        </w:rPr>
        <w:t> </w:t>
      </w:r>
      <w:r>
        <w:rPr>
          <w:color w:val="231F20"/>
          <w:w w:val="105"/>
        </w:rPr>
        <w:t>insumo</w:t>
      </w:r>
      <w:r>
        <w:rPr>
          <w:color w:val="231F20"/>
          <w:spacing w:val="-29"/>
          <w:w w:val="105"/>
        </w:rPr>
        <w:t> </w:t>
      </w:r>
      <w:r>
        <w:rPr>
          <w:color w:val="231F20"/>
          <w:w w:val="105"/>
        </w:rPr>
        <w:t>de</w:t>
      </w:r>
      <w:r>
        <w:rPr>
          <w:color w:val="231F20"/>
          <w:spacing w:val="-29"/>
          <w:w w:val="105"/>
        </w:rPr>
        <w:t> </w:t>
      </w:r>
      <w:r>
        <w:rPr>
          <w:color w:val="231F20"/>
          <w:w w:val="105"/>
        </w:rPr>
        <w:t>trabajo.</w:t>
      </w:r>
      <w:r>
        <w:rPr>
          <w:color w:val="231F20"/>
          <w:spacing w:val="-34"/>
          <w:w w:val="105"/>
        </w:rPr>
        <w:t> </w:t>
      </w:r>
      <w:r>
        <w:rPr>
          <w:color w:val="231F20"/>
          <w:w w:val="105"/>
        </w:rPr>
        <w:t>Se</w:t>
      </w:r>
      <w:r>
        <w:rPr>
          <w:color w:val="231F20"/>
          <w:spacing w:val="-29"/>
          <w:w w:val="105"/>
        </w:rPr>
        <w:t> </w:t>
      </w:r>
      <w:r>
        <w:rPr>
          <w:color w:val="231F20"/>
          <w:w w:val="105"/>
        </w:rPr>
        <w:t>supone</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esfuerzo</w:t>
      </w:r>
      <w:r>
        <w:rPr>
          <w:color w:val="231F20"/>
          <w:spacing w:val="-29"/>
          <w:w w:val="105"/>
        </w:rPr>
        <w:t> </w:t>
      </w:r>
      <w:r>
        <w:rPr>
          <w:color w:val="231F20"/>
          <w:w w:val="105"/>
        </w:rPr>
        <w:t>es</w:t>
      </w:r>
      <w:r>
        <w:rPr>
          <w:color w:val="231F20"/>
          <w:spacing w:val="-29"/>
          <w:w w:val="105"/>
        </w:rPr>
        <w:t> </w:t>
      </w:r>
      <w:r>
        <w:rPr>
          <w:color w:val="231F20"/>
          <w:w w:val="105"/>
        </w:rPr>
        <w:t>una</w:t>
      </w:r>
      <w:r>
        <w:rPr>
          <w:color w:val="231F20"/>
          <w:spacing w:val="-29"/>
          <w:w w:val="105"/>
        </w:rPr>
        <w:t> </w:t>
      </w:r>
      <w:r>
        <w:rPr>
          <w:color w:val="231F20"/>
          <w:w w:val="105"/>
        </w:rPr>
        <w:t>función</w:t>
      </w:r>
      <w:r>
        <w:rPr>
          <w:color w:val="231F20"/>
          <w:spacing w:val="-29"/>
          <w:w w:val="105"/>
        </w:rPr>
        <w:t> </w:t>
      </w:r>
      <w:r>
        <w:rPr>
          <w:color w:val="231F20"/>
          <w:w w:val="105"/>
        </w:rPr>
        <w:t>crecien- te</w:t>
      </w:r>
      <w:r>
        <w:rPr>
          <w:color w:val="231F20"/>
          <w:spacing w:val="-16"/>
          <w:w w:val="105"/>
        </w:rPr>
        <w:t> </w:t>
      </w:r>
      <w:r>
        <w:rPr>
          <w:color w:val="231F20"/>
          <w:w w:val="105"/>
        </w:rPr>
        <w:t>del</w:t>
      </w:r>
      <w:r>
        <w:rPr>
          <w:color w:val="231F20"/>
          <w:spacing w:val="-16"/>
          <w:w w:val="105"/>
        </w:rPr>
        <w:t> </w:t>
      </w:r>
      <w:r>
        <w:rPr>
          <w:color w:val="231F20"/>
          <w:w w:val="105"/>
        </w:rPr>
        <w:t>salario</w:t>
      </w:r>
      <w:r>
        <w:rPr>
          <w:color w:val="231F20"/>
          <w:spacing w:val="-16"/>
          <w:w w:val="105"/>
        </w:rPr>
        <w:t> </w:t>
      </w:r>
      <w:r>
        <w:rPr>
          <w:color w:val="231F20"/>
          <w:w w:val="105"/>
        </w:rPr>
        <w:t>real</w:t>
      </w:r>
      <w:r>
        <w:rPr>
          <w:color w:val="231F20"/>
          <w:spacing w:val="-16"/>
          <w:w w:val="105"/>
        </w:rPr>
        <w:t> </w:t>
      </w:r>
      <w:r>
        <w:rPr>
          <w:color w:val="231F20"/>
          <w:w w:val="105"/>
        </w:rPr>
        <w:t>y</w:t>
      </w:r>
      <w:r>
        <w:rPr>
          <w:color w:val="231F20"/>
          <w:spacing w:val="-16"/>
          <w:w w:val="105"/>
        </w:rPr>
        <w:t> </w:t>
      </w:r>
      <w:r>
        <w:rPr>
          <w:color w:val="231F20"/>
          <w:w w:val="105"/>
        </w:rPr>
        <w:t>todos</w:t>
      </w:r>
      <w:r>
        <w:rPr>
          <w:color w:val="231F20"/>
          <w:spacing w:val="-16"/>
          <w:w w:val="105"/>
        </w:rPr>
        <w:t> </w:t>
      </w:r>
      <w:r>
        <w:rPr>
          <w:color w:val="231F20"/>
          <w:w w:val="105"/>
        </w:rPr>
        <w:t>los</w:t>
      </w:r>
      <w:r>
        <w:rPr>
          <w:color w:val="231F20"/>
          <w:spacing w:val="-16"/>
          <w:w w:val="105"/>
        </w:rPr>
        <w:t> </w:t>
      </w:r>
      <w:r>
        <w:rPr>
          <w:color w:val="231F20"/>
          <w:w w:val="105"/>
        </w:rPr>
        <w:t>trabajadores</w:t>
      </w:r>
      <w:r>
        <w:rPr>
          <w:color w:val="231F20"/>
          <w:spacing w:val="-16"/>
          <w:w w:val="105"/>
        </w:rPr>
        <w:t> </w:t>
      </w:r>
      <w:r>
        <w:rPr>
          <w:color w:val="231F20"/>
          <w:w w:val="105"/>
        </w:rPr>
        <w:t>son</w:t>
      </w:r>
      <w:r>
        <w:rPr>
          <w:color w:val="231F20"/>
          <w:spacing w:val="-16"/>
          <w:w w:val="105"/>
        </w:rPr>
        <w:t> </w:t>
      </w:r>
      <w:r>
        <w:rPr>
          <w:color w:val="231F20"/>
          <w:w w:val="105"/>
        </w:rPr>
        <w:t>idénticos.</w:t>
      </w:r>
    </w:p>
    <w:p>
      <w:pPr>
        <w:pStyle w:val="BodyText"/>
        <w:spacing w:line="254" w:lineRule="auto"/>
        <w:ind w:left="115" w:right="98" w:firstLine="567"/>
        <w:jc w:val="both"/>
      </w:pPr>
      <w:r>
        <w:rPr>
          <w:color w:val="231F20"/>
        </w:rPr>
        <w:t>Por otro lado, la empresa se propone maximizar sus beneficios (</w:t>
      </w:r>
      <w:r>
        <w:rPr>
          <w:rFonts w:ascii="Times New Roman" w:hAnsi="Times New Roman"/>
          <w:color w:val="231F20"/>
          <w:sz w:val="22"/>
        </w:rPr>
        <w:t>π</w:t>
      </w:r>
      <w:r>
        <w:rPr>
          <w:color w:val="231F20"/>
        </w:rPr>
        <w:t>), los cuales están dados por la  ecuación:</w:t>
      </w:r>
    </w:p>
    <w:p>
      <w:pPr>
        <w:tabs>
          <w:tab w:pos="6748" w:val="left" w:leader="none"/>
        </w:tabs>
        <w:spacing w:before="170"/>
        <w:ind w:left="965" w:right="0" w:firstLine="0"/>
        <w:jc w:val="left"/>
        <w:rPr>
          <w:sz w:val="21"/>
        </w:rPr>
      </w:pPr>
      <w:r>
        <w:rPr>
          <w:rFonts w:ascii="Times New Roman" w:hAnsi="Times New Roman"/>
          <w:color w:val="231F20"/>
          <w:sz w:val="22"/>
        </w:rPr>
        <w:t>π = </w:t>
      </w:r>
      <w:r>
        <w:rPr>
          <w:rFonts w:ascii="Times New Roman" w:hAnsi="Times New Roman"/>
          <w:i/>
          <w:color w:val="231F20"/>
          <w:sz w:val="22"/>
        </w:rPr>
        <w:t>A</w:t>
      </w:r>
      <w:r>
        <w:rPr>
          <w:rFonts w:ascii="Times New Roman" w:hAnsi="Times New Roman"/>
          <w:color w:val="231F20"/>
          <w:sz w:val="22"/>
        </w:rPr>
        <w:t>F[</w:t>
      </w:r>
      <w:r>
        <w:rPr>
          <w:rFonts w:ascii="Times New Roman" w:hAnsi="Times New Roman"/>
          <w:i/>
          <w:color w:val="231F20"/>
          <w:sz w:val="22"/>
        </w:rPr>
        <w:t>e</w:t>
      </w:r>
      <w:r>
        <w:rPr>
          <w:rFonts w:ascii="Times New Roman" w:hAnsi="Times New Roman"/>
          <w:color w:val="231F20"/>
          <w:sz w:val="22"/>
        </w:rPr>
        <w:t>(</w:t>
      </w:r>
      <w:r>
        <w:rPr>
          <w:rFonts w:ascii="Times New Roman" w:hAnsi="Times New Roman"/>
          <w:i/>
          <w:color w:val="231F20"/>
          <w:sz w:val="22"/>
        </w:rPr>
        <w:t>w</w:t>
      </w:r>
      <w:r>
        <w:rPr>
          <w:rFonts w:ascii="Times New Roman" w:hAnsi="Times New Roman"/>
          <w:color w:val="231F20"/>
          <w:sz w:val="22"/>
        </w:rPr>
        <w:t>)</w:t>
      </w:r>
      <w:r>
        <w:rPr>
          <w:rFonts w:ascii="Times New Roman" w:hAnsi="Times New Roman"/>
          <w:i/>
          <w:color w:val="231F20"/>
          <w:sz w:val="22"/>
        </w:rPr>
        <w:t>L</w:t>
      </w:r>
      <w:r>
        <w:rPr>
          <w:rFonts w:ascii="Times New Roman" w:hAnsi="Times New Roman"/>
          <w:color w:val="231F20"/>
          <w:sz w:val="22"/>
        </w:rPr>
        <w:t>]</w:t>
      </w:r>
      <w:r>
        <w:rPr>
          <w:rFonts w:ascii="Times New Roman" w:hAnsi="Times New Roman"/>
          <w:color w:val="231F20"/>
          <w:spacing w:val="-1"/>
          <w:sz w:val="22"/>
        </w:rPr>
        <w:t> </w:t>
      </w:r>
      <w:r>
        <w:rPr>
          <w:rFonts w:ascii="Times New Roman" w:hAnsi="Times New Roman"/>
          <w:color w:val="231F20"/>
          <w:sz w:val="22"/>
        </w:rPr>
        <w:t>–</w:t>
      </w:r>
      <w:r>
        <w:rPr>
          <w:rFonts w:ascii="Times New Roman" w:hAnsi="Times New Roman"/>
          <w:color w:val="231F20"/>
          <w:spacing w:val="-1"/>
          <w:sz w:val="22"/>
        </w:rPr>
        <w:t> </w:t>
      </w:r>
      <w:r>
        <w:rPr>
          <w:rFonts w:ascii="Times New Roman" w:hAnsi="Times New Roman"/>
          <w:i/>
          <w:color w:val="231F20"/>
          <w:sz w:val="22"/>
        </w:rPr>
        <w:t>wL</w:t>
        <w:tab/>
      </w:r>
      <w:r>
        <w:rPr>
          <w:color w:val="231F20"/>
          <w:sz w:val="21"/>
        </w:rPr>
        <w:t>[5]</w:t>
      </w:r>
    </w:p>
    <w:p>
      <w:pPr>
        <w:pStyle w:val="BodyText"/>
        <w:spacing w:line="256" w:lineRule="auto" w:before="177"/>
        <w:ind w:left="115" w:right="98"/>
        <w:jc w:val="both"/>
      </w:pPr>
      <w:r>
        <w:rPr>
          <w:color w:val="231F20"/>
          <w:w w:val="105"/>
        </w:rPr>
        <w:t>Debido a que el esfuerzo entra en la ecuación del beneficio como </w:t>
      </w:r>
      <w:r>
        <w:rPr>
          <w:rFonts w:ascii="Times New Roman" w:hAnsi="Times New Roman"/>
          <w:i/>
          <w:color w:val="231F20"/>
          <w:w w:val="105"/>
          <w:sz w:val="22"/>
        </w:rPr>
        <w:t>e </w:t>
      </w:r>
      <w:r>
        <w:rPr>
          <w:color w:val="231F20"/>
          <w:w w:val="105"/>
        </w:rPr>
        <w:t>(</w:t>
      </w:r>
      <w:r>
        <w:rPr>
          <w:rFonts w:ascii="Times New Roman" w:hAnsi="Times New Roman"/>
          <w:i/>
          <w:color w:val="231F20"/>
          <w:w w:val="105"/>
          <w:sz w:val="22"/>
        </w:rPr>
        <w:t>w</w:t>
      </w:r>
      <w:r>
        <w:rPr>
          <w:color w:val="231F20"/>
          <w:w w:val="105"/>
        </w:rPr>
        <w:t>), una</w:t>
      </w:r>
      <w:r>
        <w:rPr>
          <w:color w:val="231F20"/>
          <w:spacing w:val="-9"/>
          <w:w w:val="105"/>
        </w:rPr>
        <w:t> </w:t>
      </w:r>
      <w:r>
        <w:rPr>
          <w:color w:val="231F20"/>
          <w:w w:val="105"/>
        </w:rPr>
        <w:t>reducción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salario</w:t>
      </w:r>
      <w:r>
        <w:rPr>
          <w:color w:val="231F20"/>
          <w:spacing w:val="-9"/>
          <w:w w:val="105"/>
        </w:rPr>
        <w:t> </w:t>
      </w:r>
      <w:r>
        <w:rPr>
          <w:color w:val="231F20"/>
          <w:w w:val="105"/>
        </w:rPr>
        <w:t>real</w:t>
      </w:r>
      <w:r>
        <w:rPr>
          <w:color w:val="231F20"/>
          <w:spacing w:val="-9"/>
          <w:w w:val="105"/>
        </w:rPr>
        <w:t> </w:t>
      </w:r>
      <w:r>
        <w:rPr>
          <w:color w:val="231F20"/>
          <w:w w:val="105"/>
        </w:rPr>
        <w:t>hace</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trabajadores</w:t>
      </w:r>
      <w:r>
        <w:rPr>
          <w:color w:val="231F20"/>
          <w:spacing w:val="-9"/>
          <w:w w:val="105"/>
        </w:rPr>
        <w:t> </w:t>
      </w:r>
      <w:r>
        <w:rPr>
          <w:color w:val="231F20"/>
          <w:w w:val="105"/>
        </w:rPr>
        <w:t>no</w:t>
      </w:r>
      <w:r>
        <w:rPr>
          <w:color w:val="231F20"/>
          <w:spacing w:val="-9"/>
          <w:w w:val="105"/>
        </w:rPr>
        <w:t> </w:t>
      </w:r>
      <w:r>
        <w:rPr>
          <w:color w:val="231F20"/>
          <w:w w:val="105"/>
        </w:rPr>
        <w:t>realicen</w:t>
      </w:r>
      <w:r>
        <w:rPr>
          <w:color w:val="231F20"/>
          <w:spacing w:val="-9"/>
          <w:w w:val="105"/>
        </w:rPr>
        <w:t> </w:t>
      </w:r>
      <w:r>
        <w:rPr>
          <w:color w:val="231F20"/>
          <w:w w:val="105"/>
        </w:rPr>
        <w:t>su máximo</w:t>
      </w:r>
      <w:r>
        <w:rPr>
          <w:color w:val="231F20"/>
          <w:spacing w:val="-29"/>
          <w:w w:val="105"/>
        </w:rPr>
        <w:t> </w:t>
      </w:r>
      <w:r>
        <w:rPr>
          <w:color w:val="231F20"/>
          <w:w w:val="105"/>
        </w:rPr>
        <w:t>esfuerzo,</w:t>
      </w:r>
      <w:r>
        <w:rPr>
          <w:color w:val="231F20"/>
          <w:spacing w:val="-33"/>
          <w:w w:val="105"/>
        </w:rPr>
        <w:t> </w:t>
      </w:r>
      <w:r>
        <w:rPr>
          <w:color w:val="231F20"/>
          <w:w w:val="105"/>
        </w:rPr>
        <w:t>lo</w:t>
      </w:r>
      <w:r>
        <w:rPr>
          <w:color w:val="231F20"/>
          <w:spacing w:val="-29"/>
          <w:w w:val="105"/>
        </w:rPr>
        <w:t> </w:t>
      </w:r>
      <w:r>
        <w:rPr>
          <w:color w:val="231F20"/>
          <w:w w:val="105"/>
        </w:rPr>
        <w:t>cual</w:t>
      </w:r>
      <w:r>
        <w:rPr>
          <w:color w:val="231F20"/>
          <w:spacing w:val="-29"/>
          <w:w w:val="105"/>
        </w:rPr>
        <w:t> </w:t>
      </w:r>
      <w:r>
        <w:rPr>
          <w:color w:val="231F20"/>
          <w:w w:val="105"/>
        </w:rPr>
        <w:t>disminuye</w:t>
      </w:r>
      <w:r>
        <w:rPr>
          <w:color w:val="231F20"/>
          <w:spacing w:val="-29"/>
          <w:w w:val="105"/>
        </w:rPr>
        <w:t> </w:t>
      </w:r>
      <w:r>
        <w:rPr>
          <w:color w:val="231F20"/>
          <w:w w:val="105"/>
        </w:rPr>
        <w:t>los</w:t>
      </w:r>
      <w:r>
        <w:rPr>
          <w:color w:val="231F20"/>
          <w:spacing w:val="-29"/>
          <w:w w:val="105"/>
        </w:rPr>
        <w:t> </w:t>
      </w:r>
      <w:r>
        <w:rPr>
          <w:color w:val="231F20"/>
          <w:w w:val="105"/>
        </w:rPr>
        <w:t>beneficios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empresa.</w:t>
      </w:r>
      <w:r>
        <w:rPr>
          <w:color w:val="231F20"/>
          <w:spacing w:val="-33"/>
          <w:w w:val="105"/>
        </w:rPr>
        <w:t> </w:t>
      </w:r>
      <w:r>
        <w:rPr>
          <w:color w:val="231F20"/>
          <w:w w:val="105"/>
        </w:rPr>
        <w:t>Si</w:t>
      </w:r>
      <w:r>
        <w:rPr>
          <w:color w:val="231F20"/>
          <w:spacing w:val="-29"/>
          <w:w w:val="105"/>
        </w:rPr>
        <w:t> </w:t>
      </w:r>
      <w:r>
        <w:rPr>
          <w:color w:val="231F20"/>
          <w:w w:val="105"/>
        </w:rPr>
        <w:t>la</w:t>
      </w:r>
      <w:r>
        <w:rPr>
          <w:color w:val="231F20"/>
          <w:spacing w:val="-29"/>
          <w:w w:val="105"/>
        </w:rPr>
        <w:t> </w:t>
      </w:r>
      <w:r>
        <w:rPr>
          <w:color w:val="231F20"/>
          <w:w w:val="105"/>
        </w:rPr>
        <w:t>em- presa desea contratar a los trabajadores más calificados deberá</w:t>
      </w:r>
      <w:r>
        <w:rPr>
          <w:color w:val="231F20"/>
          <w:spacing w:val="-32"/>
          <w:w w:val="105"/>
        </w:rPr>
        <w:t> </w:t>
      </w:r>
      <w:r>
        <w:rPr>
          <w:color w:val="231F20"/>
          <w:w w:val="105"/>
        </w:rPr>
        <w:t>ofrecer un</w:t>
      </w:r>
      <w:r>
        <w:rPr>
          <w:color w:val="231F20"/>
          <w:spacing w:val="-15"/>
          <w:w w:val="105"/>
        </w:rPr>
        <w:t> </w:t>
      </w:r>
      <w:r>
        <w:rPr>
          <w:color w:val="231F20"/>
          <w:w w:val="105"/>
        </w:rPr>
        <w:t>salario</w:t>
      </w:r>
      <w:r>
        <w:rPr>
          <w:color w:val="231F20"/>
          <w:spacing w:val="-15"/>
          <w:w w:val="105"/>
        </w:rPr>
        <w:t> </w:t>
      </w:r>
      <w:r>
        <w:rPr>
          <w:color w:val="231F20"/>
          <w:w w:val="105"/>
        </w:rPr>
        <w:t>eficiente</w:t>
      </w:r>
      <w:r>
        <w:rPr>
          <w:color w:val="231F20"/>
          <w:spacing w:val="-15"/>
          <w:w w:val="105"/>
        </w:rPr>
        <w:t> </w:t>
      </w:r>
      <w:r>
        <w:rPr>
          <w:rFonts w:ascii="Times New Roman" w:hAnsi="Times New Roman"/>
          <w:i/>
          <w:color w:val="231F20"/>
          <w:w w:val="105"/>
          <w:sz w:val="22"/>
        </w:rPr>
        <w:t>w*</w:t>
      </w:r>
      <w:r>
        <w:rPr>
          <w:rFonts w:ascii="Times New Roman" w:hAnsi="Times New Roman"/>
          <w:i/>
          <w:color w:val="231F20"/>
          <w:spacing w:val="-12"/>
          <w:w w:val="105"/>
          <w:sz w:val="22"/>
        </w:rPr>
        <w:t> </w:t>
      </w:r>
      <w:r>
        <w:rPr>
          <w:color w:val="231F20"/>
          <w:w w:val="105"/>
        </w:rPr>
        <w:t>que</w:t>
      </w:r>
      <w:r>
        <w:rPr>
          <w:color w:val="231F20"/>
          <w:spacing w:val="-15"/>
          <w:w w:val="105"/>
        </w:rPr>
        <w:t> </w:t>
      </w:r>
      <w:r>
        <w:rPr>
          <w:color w:val="231F20"/>
          <w:w w:val="105"/>
        </w:rPr>
        <w:t>maximice</w:t>
      </w:r>
      <w:r>
        <w:rPr>
          <w:color w:val="231F20"/>
          <w:spacing w:val="-15"/>
          <w:w w:val="105"/>
        </w:rPr>
        <w:t> </w:t>
      </w:r>
      <w:r>
        <w:rPr>
          <w:color w:val="231F20"/>
          <w:w w:val="105"/>
        </w:rPr>
        <w:t>sus</w:t>
      </w:r>
      <w:r>
        <w:rPr>
          <w:color w:val="231F20"/>
          <w:spacing w:val="-15"/>
          <w:w w:val="105"/>
        </w:rPr>
        <w:t> </w:t>
      </w:r>
      <w:r>
        <w:rPr>
          <w:color w:val="231F20"/>
          <w:w w:val="105"/>
        </w:rPr>
        <w:t>beneficios,</w:t>
      </w:r>
      <w:r>
        <w:rPr>
          <w:color w:val="231F20"/>
          <w:spacing w:val="-20"/>
          <w:w w:val="105"/>
        </w:rPr>
        <w:t> </w:t>
      </w:r>
      <w:r>
        <w:rPr>
          <w:color w:val="231F20"/>
          <w:w w:val="105"/>
        </w:rPr>
        <w:t>lo</w:t>
      </w:r>
      <w:r>
        <w:rPr>
          <w:color w:val="231F20"/>
          <w:spacing w:val="-15"/>
          <w:w w:val="105"/>
        </w:rPr>
        <w:t> </w:t>
      </w:r>
      <w:r>
        <w:rPr>
          <w:color w:val="231F20"/>
          <w:w w:val="105"/>
        </w:rPr>
        <w:t>cual</w:t>
      </w:r>
      <w:r>
        <w:rPr>
          <w:color w:val="231F20"/>
          <w:spacing w:val="-15"/>
          <w:w w:val="105"/>
        </w:rPr>
        <w:t> </w:t>
      </w:r>
      <w:r>
        <w:rPr>
          <w:color w:val="231F20"/>
          <w:w w:val="105"/>
        </w:rPr>
        <w:t>satisface</w:t>
      </w:r>
      <w:r>
        <w:rPr>
          <w:color w:val="231F20"/>
          <w:spacing w:val="-15"/>
          <w:w w:val="105"/>
        </w:rPr>
        <w:t> </w:t>
      </w:r>
      <w:r>
        <w:rPr>
          <w:color w:val="231F20"/>
          <w:w w:val="105"/>
        </w:rPr>
        <w:t>dos condiciones. La primera es que la elasticidad del esfuerzo con respecto al</w:t>
      </w:r>
      <w:r>
        <w:rPr>
          <w:color w:val="231F20"/>
          <w:spacing w:val="-14"/>
          <w:w w:val="105"/>
        </w:rPr>
        <w:t> </w:t>
      </w:r>
      <w:r>
        <w:rPr>
          <w:color w:val="231F20"/>
          <w:w w:val="105"/>
        </w:rPr>
        <w:t>salario</w:t>
      </w:r>
      <w:r>
        <w:rPr>
          <w:color w:val="231F20"/>
          <w:spacing w:val="-14"/>
          <w:w w:val="105"/>
        </w:rPr>
        <w:t> </w:t>
      </w:r>
      <w:r>
        <w:rPr>
          <w:color w:val="231F20"/>
          <w:w w:val="105"/>
        </w:rPr>
        <w:t>es</w:t>
      </w:r>
      <w:r>
        <w:rPr>
          <w:color w:val="231F20"/>
          <w:spacing w:val="-14"/>
          <w:w w:val="105"/>
        </w:rPr>
        <w:t> </w:t>
      </w:r>
      <w:r>
        <w:rPr>
          <w:color w:val="231F20"/>
          <w:w w:val="105"/>
        </w:rPr>
        <w:t>unitaria;</w:t>
      </w:r>
      <w:r>
        <w:rPr>
          <w:color w:val="231F20"/>
          <w:spacing w:val="-14"/>
          <w:w w:val="105"/>
        </w:rPr>
        <w:t> </w:t>
      </w:r>
      <w:r>
        <w:rPr>
          <w:color w:val="231F20"/>
          <w:w w:val="105"/>
        </w:rPr>
        <w:t>esto</w:t>
      </w:r>
      <w:r>
        <w:rPr>
          <w:color w:val="231F20"/>
          <w:spacing w:val="-14"/>
          <w:w w:val="105"/>
        </w:rPr>
        <w:t> </w:t>
      </w:r>
      <w:r>
        <w:rPr>
          <w:color w:val="231F20"/>
          <w:w w:val="105"/>
        </w:rPr>
        <w:t>significa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empresa</w:t>
      </w:r>
      <w:r>
        <w:rPr>
          <w:color w:val="231F20"/>
          <w:spacing w:val="-14"/>
          <w:w w:val="105"/>
        </w:rPr>
        <w:t> </w:t>
      </w:r>
      <w:r>
        <w:rPr>
          <w:color w:val="231F20"/>
          <w:w w:val="105"/>
        </w:rPr>
        <w:t>debería</w:t>
      </w:r>
      <w:r>
        <w:rPr>
          <w:color w:val="231F20"/>
          <w:spacing w:val="-14"/>
          <w:w w:val="105"/>
        </w:rPr>
        <w:t> </w:t>
      </w:r>
      <w:r>
        <w:rPr>
          <w:color w:val="231F20"/>
          <w:w w:val="105"/>
        </w:rPr>
        <w:t>establecer</w:t>
      </w:r>
      <w:r>
        <w:rPr>
          <w:color w:val="231F20"/>
          <w:spacing w:val="-14"/>
          <w:w w:val="105"/>
        </w:rPr>
        <w:t> </w:t>
      </w:r>
      <w:r>
        <w:rPr>
          <w:color w:val="231F20"/>
          <w:w w:val="105"/>
        </w:rPr>
        <w:t>un salario</w:t>
      </w:r>
      <w:r>
        <w:rPr>
          <w:color w:val="231F20"/>
          <w:spacing w:val="-10"/>
          <w:w w:val="105"/>
        </w:rPr>
        <w:t> </w:t>
      </w:r>
      <w:r>
        <w:rPr>
          <w:color w:val="231F20"/>
          <w:w w:val="105"/>
        </w:rPr>
        <w:t>que</w:t>
      </w:r>
      <w:r>
        <w:rPr>
          <w:color w:val="231F20"/>
          <w:spacing w:val="-10"/>
          <w:w w:val="105"/>
        </w:rPr>
        <w:t> </w:t>
      </w:r>
      <w:r>
        <w:rPr>
          <w:color w:val="231F20"/>
          <w:w w:val="105"/>
        </w:rPr>
        <w:t>minimice</w:t>
      </w:r>
      <w:r>
        <w:rPr>
          <w:color w:val="231F20"/>
          <w:spacing w:val="-10"/>
          <w:w w:val="105"/>
        </w:rPr>
        <w:t> </w:t>
      </w:r>
      <w:r>
        <w:rPr>
          <w:color w:val="231F20"/>
          <w:w w:val="105"/>
        </w:rPr>
        <w:t>los</w:t>
      </w:r>
      <w:r>
        <w:rPr>
          <w:color w:val="231F20"/>
          <w:spacing w:val="-10"/>
          <w:w w:val="105"/>
        </w:rPr>
        <w:t> </w:t>
      </w:r>
      <w:r>
        <w:rPr>
          <w:color w:val="231F20"/>
          <w:w w:val="105"/>
        </w:rPr>
        <w:t>costos</w:t>
      </w:r>
      <w:r>
        <w:rPr>
          <w:color w:val="231F20"/>
          <w:spacing w:val="-10"/>
          <w:w w:val="105"/>
        </w:rPr>
        <w:t> </w:t>
      </w:r>
      <w:r>
        <w:rPr>
          <w:color w:val="231F20"/>
          <w:w w:val="105"/>
        </w:rPr>
        <w:t>laborales</w:t>
      </w:r>
      <w:r>
        <w:rPr>
          <w:color w:val="231F20"/>
          <w:spacing w:val="-10"/>
          <w:w w:val="105"/>
        </w:rPr>
        <w:t> </w:t>
      </w:r>
      <w:r>
        <w:rPr>
          <w:color w:val="231F20"/>
          <w:w w:val="105"/>
        </w:rPr>
        <w:t>por</w:t>
      </w:r>
      <w:r>
        <w:rPr>
          <w:color w:val="231F20"/>
          <w:spacing w:val="-10"/>
          <w:w w:val="105"/>
        </w:rPr>
        <w:t> </w:t>
      </w:r>
      <w:r>
        <w:rPr>
          <w:color w:val="231F20"/>
          <w:w w:val="105"/>
        </w:rPr>
        <w:t>unidad</w:t>
      </w:r>
      <w:r>
        <w:rPr>
          <w:color w:val="231F20"/>
          <w:spacing w:val="-10"/>
          <w:w w:val="105"/>
        </w:rPr>
        <w:t> </w:t>
      </w:r>
      <w:r>
        <w:rPr>
          <w:color w:val="231F20"/>
          <w:w w:val="105"/>
        </w:rPr>
        <w:t>eficiente</w:t>
      </w:r>
      <w:r>
        <w:rPr>
          <w:color w:val="231F20"/>
          <w:spacing w:val="-10"/>
          <w:w w:val="105"/>
        </w:rPr>
        <w:t> </w:t>
      </w:r>
      <w:r>
        <w:rPr>
          <w:color w:val="231F20"/>
          <w:w w:val="105"/>
        </w:rPr>
        <w:t>del</w:t>
      </w:r>
      <w:r>
        <w:rPr>
          <w:color w:val="231F20"/>
          <w:spacing w:val="-10"/>
          <w:w w:val="105"/>
        </w:rPr>
        <w:t> </w:t>
      </w:r>
      <w:r>
        <w:rPr>
          <w:color w:val="231F20"/>
          <w:w w:val="105"/>
        </w:rPr>
        <w:t>trabajo </w:t>
      </w:r>
      <w:r>
        <w:rPr>
          <w:color w:val="231F20"/>
        </w:rPr>
        <w:t>(Solow,</w:t>
      </w:r>
      <w:r>
        <w:rPr>
          <w:color w:val="231F20"/>
          <w:spacing w:val="-10"/>
        </w:rPr>
        <w:t> </w:t>
      </w:r>
      <w:r>
        <w:rPr>
          <w:color w:val="231F20"/>
        </w:rPr>
        <w:t>1979).</w:t>
      </w:r>
    </w:p>
    <w:p>
      <w:pPr>
        <w:pStyle w:val="BodyText"/>
        <w:spacing w:line="254" w:lineRule="auto" w:before="2"/>
        <w:ind w:left="115" w:right="103" w:firstLine="567"/>
        <w:jc w:val="both"/>
      </w:pPr>
      <w:r>
        <w:rPr>
          <w:color w:val="231F20"/>
          <w:w w:val="105"/>
        </w:rPr>
        <w:t>La</w:t>
      </w:r>
      <w:r>
        <w:rPr>
          <w:color w:val="231F20"/>
          <w:spacing w:val="-19"/>
          <w:w w:val="105"/>
        </w:rPr>
        <w:t> </w:t>
      </w:r>
      <w:r>
        <w:rPr>
          <w:color w:val="231F20"/>
          <w:w w:val="105"/>
        </w:rPr>
        <w:t>segunda</w:t>
      </w:r>
      <w:r>
        <w:rPr>
          <w:color w:val="231F20"/>
          <w:spacing w:val="-19"/>
          <w:w w:val="105"/>
        </w:rPr>
        <w:t> </w:t>
      </w:r>
      <w:r>
        <w:rPr>
          <w:color w:val="231F20"/>
          <w:w w:val="105"/>
        </w:rPr>
        <w:t>condición</w:t>
      </w:r>
      <w:r>
        <w:rPr>
          <w:color w:val="231F20"/>
          <w:spacing w:val="-19"/>
          <w:w w:val="105"/>
        </w:rPr>
        <w:t> </w:t>
      </w:r>
      <w:r>
        <w:rPr>
          <w:color w:val="231F20"/>
          <w:w w:val="105"/>
        </w:rPr>
        <w:t>para</w:t>
      </w:r>
      <w:r>
        <w:rPr>
          <w:color w:val="231F20"/>
          <w:spacing w:val="-19"/>
          <w:w w:val="105"/>
        </w:rPr>
        <w:t> </w:t>
      </w:r>
      <w:r>
        <w:rPr>
          <w:color w:val="231F20"/>
          <w:w w:val="105"/>
        </w:rPr>
        <w:t>maximizar</w:t>
      </w:r>
      <w:r>
        <w:rPr>
          <w:color w:val="231F20"/>
          <w:spacing w:val="-19"/>
          <w:w w:val="105"/>
        </w:rPr>
        <w:t> </w:t>
      </w:r>
      <w:r>
        <w:rPr>
          <w:color w:val="231F20"/>
          <w:w w:val="105"/>
        </w:rPr>
        <w:t>el</w:t>
      </w:r>
      <w:r>
        <w:rPr>
          <w:color w:val="231F20"/>
          <w:spacing w:val="-19"/>
          <w:w w:val="105"/>
        </w:rPr>
        <w:t> </w:t>
      </w:r>
      <w:r>
        <w:rPr>
          <w:color w:val="231F20"/>
          <w:w w:val="105"/>
        </w:rPr>
        <w:t>beneficio</w:t>
      </w:r>
      <w:r>
        <w:rPr>
          <w:color w:val="231F20"/>
          <w:spacing w:val="-19"/>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la</w:t>
      </w:r>
      <w:r>
        <w:rPr>
          <w:color w:val="231F20"/>
          <w:spacing w:val="-19"/>
          <w:w w:val="105"/>
        </w:rPr>
        <w:t> </w:t>
      </w:r>
      <w:r>
        <w:rPr>
          <w:color w:val="231F20"/>
          <w:w w:val="105"/>
        </w:rPr>
        <w:t>empre- sa contrate trabajo en el punto donde su producto marginal sea igual al salario</w:t>
      </w:r>
      <w:r>
        <w:rPr>
          <w:color w:val="231F20"/>
          <w:spacing w:val="-20"/>
          <w:w w:val="105"/>
        </w:rPr>
        <w:t> </w:t>
      </w:r>
      <w:r>
        <w:rPr>
          <w:color w:val="231F20"/>
          <w:w w:val="105"/>
        </w:rPr>
        <w:t>eficiente.</w:t>
      </w:r>
      <w:r>
        <w:rPr>
          <w:color w:val="231F20"/>
          <w:spacing w:val="-26"/>
          <w:w w:val="105"/>
        </w:rPr>
        <w:t> </w:t>
      </w:r>
      <w:r>
        <w:rPr>
          <w:color w:val="231F20"/>
          <w:w w:val="105"/>
        </w:rPr>
        <w:t>Si</w:t>
      </w:r>
      <w:r>
        <w:rPr>
          <w:color w:val="231F20"/>
          <w:spacing w:val="-20"/>
          <w:w w:val="105"/>
        </w:rPr>
        <w:t> </w:t>
      </w:r>
      <w:r>
        <w:rPr>
          <w:color w:val="231F20"/>
          <w:w w:val="105"/>
        </w:rPr>
        <w:t>la</w:t>
      </w:r>
      <w:r>
        <w:rPr>
          <w:color w:val="231F20"/>
          <w:spacing w:val="-20"/>
          <w:w w:val="105"/>
        </w:rPr>
        <w:t> </w:t>
      </w:r>
      <w:r>
        <w:rPr>
          <w:color w:val="231F20"/>
          <w:w w:val="105"/>
        </w:rPr>
        <w:t>demanda</w:t>
      </w:r>
      <w:r>
        <w:rPr>
          <w:color w:val="231F20"/>
          <w:spacing w:val="-20"/>
          <w:w w:val="105"/>
        </w:rPr>
        <w:t> </w:t>
      </w:r>
      <w:r>
        <w:rPr>
          <w:color w:val="231F20"/>
          <w:w w:val="105"/>
        </w:rPr>
        <w:t>agregada</w:t>
      </w:r>
      <w:r>
        <w:rPr>
          <w:color w:val="231F20"/>
          <w:spacing w:val="-20"/>
          <w:w w:val="105"/>
        </w:rPr>
        <w:t> </w:t>
      </w:r>
      <w:r>
        <w:rPr>
          <w:color w:val="231F20"/>
          <w:w w:val="105"/>
        </w:rPr>
        <w:t>de</w:t>
      </w:r>
      <w:r>
        <w:rPr>
          <w:color w:val="231F20"/>
          <w:spacing w:val="-20"/>
          <w:w w:val="105"/>
        </w:rPr>
        <w:t> </w:t>
      </w:r>
      <w:r>
        <w:rPr>
          <w:color w:val="231F20"/>
          <w:w w:val="105"/>
        </w:rPr>
        <w:t>trabajo</w:t>
      </w:r>
      <w:r>
        <w:rPr>
          <w:color w:val="231F20"/>
          <w:spacing w:val="-20"/>
          <w:w w:val="105"/>
        </w:rPr>
        <w:t> </w:t>
      </w:r>
      <w:r>
        <w:rPr>
          <w:color w:val="231F20"/>
          <w:w w:val="105"/>
        </w:rPr>
        <w:t>a</w:t>
      </w:r>
      <w:r>
        <w:rPr>
          <w:color w:val="231F20"/>
          <w:spacing w:val="-20"/>
          <w:w w:val="105"/>
        </w:rPr>
        <w:t> </w:t>
      </w:r>
      <w:r>
        <w:rPr>
          <w:rFonts w:ascii="Times New Roman" w:hAnsi="Times New Roman"/>
          <w:i/>
          <w:color w:val="231F20"/>
          <w:w w:val="105"/>
          <w:sz w:val="22"/>
        </w:rPr>
        <w:t>w*</w:t>
      </w:r>
      <w:r>
        <w:rPr>
          <w:rFonts w:ascii="Times New Roman" w:hAnsi="Times New Roman"/>
          <w:i/>
          <w:color w:val="231F20"/>
          <w:spacing w:val="-17"/>
          <w:w w:val="105"/>
          <w:sz w:val="22"/>
        </w:rPr>
        <w:t> </w:t>
      </w:r>
      <w:r>
        <w:rPr>
          <w:color w:val="231F20"/>
          <w:w w:val="105"/>
        </w:rPr>
        <w:t>es</w:t>
      </w:r>
      <w:r>
        <w:rPr>
          <w:color w:val="231F20"/>
          <w:spacing w:val="-20"/>
          <w:w w:val="105"/>
        </w:rPr>
        <w:t> </w:t>
      </w:r>
      <w:r>
        <w:rPr>
          <w:color w:val="231F20"/>
          <w:w w:val="105"/>
        </w:rPr>
        <w:t>menor</w:t>
      </w:r>
      <w:r>
        <w:rPr>
          <w:color w:val="231F20"/>
          <w:spacing w:val="-20"/>
          <w:w w:val="105"/>
        </w:rPr>
        <w:t> </w:t>
      </w:r>
      <w:r>
        <w:rPr>
          <w:color w:val="231F20"/>
          <w:w w:val="105"/>
        </w:rPr>
        <w:t>que</w:t>
      </w:r>
      <w:r>
        <w:rPr>
          <w:color w:val="231F20"/>
          <w:spacing w:val="-20"/>
          <w:w w:val="105"/>
        </w:rPr>
        <w:t> </w:t>
      </w:r>
      <w:r>
        <w:rPr>
          <w:color w:val="231F20"/>
          <w:w w:val="105"/>
        </w:rPr>
        <w:t>la oferta agregada de trabajo, entonces el equilibrio del mercado</w:t>
      </w:r>
      <w:r>
        <w:rPr>
          <w:color w:val="231F20"/>
          <w:spacing w:val="-23"/>
          <w:w w:val="105"/>
        </w:rPr>
        <w:t> </w:t>
      </w:r>
      <w:r>
        <w:rPr>
          <w:color w:val="231F20"/>
          <w:w w:val="105"/>
        </w:rPr>
        <w:t>implicará desempleo</w:t>
      </w:r>
      <w:r>
        <w:rPr>
          <w:color w:val="231F20"/>
          <w:spacing w:val="-31"/>
          <w:w w:val="105"/>
        </w:rPr>
        <w:t> </w:t>
      </w:r>
      <w:r>
        <w:rPr>
          <w:color w:val="231F20"/>
          <w:w w:val="105"/>
        </w:rPr>
        <w:t>involuntario</w:t>
      </w:r>
      <w:r>
        <w:rPr>
          <w:color w:val="231F20"/>
          <w:spacing w:val="-31"/>
          <w:w w:val="105"/>
        </w:rPr>
        <w:t> </w:t>
      </w:r>
      <w:r>
        <w:rPr>
          <w:color w:val="231F20"/>
          <w:w w:val="105"/>
        </w:rPr>
        <w:t>(Katz,</w:t>
      </w:r>
      <w:r>
        <w:rPr>
          <w:color w:val="231F20"/>
          <w:spacing w:val="-35"/>
          <w:w w:val="105"/>
        </w:rPr>
        <w:t> </w:t>
      </w:r>
      <w:r>
        <w:rPr>
          <w:color w:val="231F20"/>
          <w:w w:val="105"/>
        </w:rPr>
        <w:t>1986).</w:t>
      </w:r>
    </w:p>
    <w:p>
      <w:pPr>
        <w:pStyle w:val="BodyText"/>
        <w:spacing w:line="259" w:lineRule="auto" w:before="4"/>
        <w:ind w:left="115" w:right="103" w:firstLine="567"/>
        <w:jc w:val="both"/>
      </w:pPr>
      <w:r>
        <w:rPr>
          <w:color w:val="231F20"/>
          <w:w w:val="105"/>
        </w:rPr>
        <w:t>Hasta aquí se ha asumido que el esfuerzo está relacionado</w:t>
      </w:r>
      <w:r>
        <w:rPr>
          <w:color w:val="231F20"/>
          <w:spacing w:val="-37"/>
          <w:w w:val="105"/>
        </w:rPr>
        <w:t> </w:t>
      </w:r>
      <w:r>
        <w:rPr>
          <w:color w:val="231F20"/>
          <w:w w:val="105"/>
        </w:rPr>
        <w:t>positi- vamente</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tasa</w:t>
      </w:r>
      <w:r>
        <w:rPr>
          <w:color w:val="231F20"/>
          <w:spacing w:val="-17"/>
          <w:w w:val="105"/>
        </w:rPr>
        <w:t> </w:t>
      </w:r>
      <w:r>
        <w:rPr>
          <w:color w:val="231F20"/>
          <w:w w:val="105"/>
        </w:rPr>
        <w:t>de</w:t>
      </w:r>
      <w:r>
        <w:rPr>
          <w:color w:val="231F20"/>
          <w:spacing w:val="-17"/>
          <w:w w:val="105"/>
        </w:rPr>
        <w:t> </w:t>
      </w:r>
      <w:r>
        <w:rPr>
          <w:color w:val="231F20"/>
          <w:w w:val="105"/>
        </w:rPr>
        <w:t>salario</w:t>
      </w:r>
      <w:r>
        <w:rPr>
          <w:color w:val="231F20"/>
          <w:spacing w:val="-17"/>
          <w:w w:val="105"/>
        </w:rPr>
        <w:t> </w:t>
      </w:r>
      <w:r>
        <w:rPr>
          <w:color w:val="231F20"/>
          <w:w w:val="105"/>
        </w:rPr>
        <w:t>real,</w:t>
      </w:r>
      <w:r>
        <w:rPr>
          <w:color w:val="231F20"/>
          <w:spacing w:val="-21"/>
          <w:w w:val="105"/>
        </w:rPr>
        <w:t> </w:t>
      </w:r>
      <w:r>
        <w:rPr>
          <w:color w:val="231F20"/>
          <w:w w:val="105"/>
        </w:rPr>
        <w:t>pero</w:t>
      </w:r>
      <w:r>
        <w:rPr>
          <w:color w:val="231F20"/>
          <w:spacing w:val="-17"/>
          <w:w w:val="105"/>
        </w:rPr>
        <w:t> </w:t>
      </w:r>
      <w:r>
        <w:rPr>
          <w:color w:val="231F20"/>
          <w:w w:val="105"/>
        </w:rPr>
        <w:t>¿cómo</w:t>
      </w:r>
      <w:r>
        <w:rPr>
          <w:color w:val="231F20"/>
          <w:spacing w:val="-17"/>
          <w:w w:val="105"/>
        </w:rPr>
        <w:t> </w:t>
      </w:r>
      <w:r>
        <w:rPr>
          <w:color w:val="231F20"/>
          <w:w w:val="105"/>
        </w:rPr>
        <w:t>se</w:t>
      </w:r>
      <w:r>
        <w:rPr>
          <w:color w:val="231F20"/>
          <w:spacing w:val="-17"/>
          <w:w w:val="105"/>
        </w:rPr>
        <w:t> </w:t>
      </w:r>
      <w:r>
        <w:rPr>
          <w:color w:val="231F20"/>
          <w:w w:val="105"/>
        </w:rPr>
        <w:t>explica</w:t>
      </w:r>
      <w:r>
        <w:rPr>
          <w:color w:val="231F20"/>
          <w:spacing w:val="-17"/>
          <w:w w:val="105"/>
        </w:rPr>
        <w:t> </w:t>
      </w:r>
      <w:r>
        <w:rPr>
          <w:color w:val="231F20"/>
          <w:w w:val="105"/>
        </w:rPr>
        <w:t>esta</w:t>
      </w:r>
      <w:r>
        <w:rPr>
          <w:color w:val="231F20"/>
          <w:spacing w:val="-17"/>
          <w:w w:val="105"/>
        </w:rPr>
        <w:t> </w:t>
      </w:r>
      <w:r>
        <w:rPr>
          <w:color w:val="231F20"/>
          <w:w w:val="105"/>
        </w:rPr>
        <w:t>relación? Al respecto Alfred Marshall observó que con el objeto de facilitar el co- rrecto sentido de la afirmación de que la libertad económica y de la em- presa</w:t>
      </w:r>
      <w:r>
        <w:rPr>
          <w:color w:val="231F20"/>
          <w:spacing w:val="-8"/>
          <w:w w:val="105"/>
        </w:rPr>
        <w:t> </w:t>
      </w:r>
      <w:r>
        <w:rPr>
          <w:color w:val="231F20"/>
          <w:w w:val="105"/>
        </w:rPr>
        <w:t>tiende</w:t>
      </w:r>
      <w:r>
        <w:rPr>
          <w:color w:val="231F20"/>
          <w:spacing w:val="-8"/>
          <w:w w:val="105"/>
        </w:rPr>
        <w:t> </w:t>
      </w:r>
      <w:r>
        <w:rPr>
          <w:color w:val="231F20"/>
          <w:w w:val="105"/>
        </w:rPr>
        <w:t>a</w:t>
      </w:r>
      <w:r>
        <w:rPr>
          <w:color w:val="231F20"/>
          <w:spacing w:val="-8"/>
          <w:w w:val="105"/>
        </w:rPr>
        <w:t> </w:t>
      </w:r>
      <w:r>
        <w:rPr>
          <w:color w:val="231F20"/>
          <w:w w:val="105"/>
        </w:rPr>
        <w:t>igualar</w:t>
      </w:r>
      <w:r>
        <w:rPr>
          <w:color w:val="231F20"/>
          <w:spacing w:val="-8"/>
          <w:w w:val="105"/>
        </w:rPr>
        <w:t> </w:t>
      </w:r>
      <w:r>
        <w:rPr>
          <w:color w:val="231F20"/>
          <w:w w:val="105"/>
        </w:rPr>
        <w:t>los</w:t>
      </w:r>
      <w:r>
        <w:rPr>
          <w:color w:val="231F20"/>
          <w:spacing w:val="-8"/>
          <w:w w:val="105"/>
        </w:rPr>
        <w:t> </w:t>
      </w:r>
      <w:r>
        <w:rPr>
          <w:color w:val="231F20"/>
          <w:w w:val="105"/>
        </w:rPr>
        <w:t>salarios</w:t>
      </w:r>
      <w:r>
        <w:rPr>
          <w:color w:val="231F20"/>
          <w:spacing w:val="-8"/>
          <w:w w:val="105"/>
        </w:rPr>
        <w:t> </w:t>
      </w:r>
      <w:r>
        <w:rPr>
          <w:color w:val="231F20"/>
          <w:w w:val="105"/>
        </w:rPr>
        <w:t>en</w:t>
      </w:r>
      <w:r>
        <w:rPr>
          <w:color w:val="231F20"/>
          <w:spacing w:val="-8"/>
          <w:w w:val="105"/>
        </w:rPr>
        <w:t> </w:t>
      </w:r>
      <w:r>
        <w:rPr>
          <w:color w:val="231F20"/>
          <w:w w:val="105"/>
        </w:rPr>
        <w:t>ocupaciones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misma</w:t>
      </w:r>
      <w:r>
        <w:rPr>
          <w:color w:val="231F20"/>
          <w:spacing w:val="-8"/>
          <w:w w:val="105"/>
        </w:rPr>
        <w:t> </w:t>
      </w:r>
      <w:r>
        <w:rPr>
          <w:color w:val="231F20"/>
          <w:w w:val="105"/>
        </w:rPr>
        <w:t>dificultad y en el mismo barrio, requerimos el uso de un nuevo término. </w:t>
      </w:r>
      <w:r>
        <w:rPr>
          <w:color w:val="231F20"/>
          <w:spacing w:val="-3"/>
          <w:w w:val="105"/>
        </w:rPr>
        <w:t>Podemos </w:t>
      </w:r>
      <w:r>
        <w:rPr>
          <w:color w:val="231F20"/>
          <w:w w:val="105"/>
        </w:rPr>
        <w:t>encontrar</w:t>
      </w:r>
      <w:r>
        <w:rPr>
          <w:color w:val="231F20"/>
          <w:spacing w:val="-9"/>
          <w:w w:val="105"/>
        </w:rPr>
        <w:t> </w:t>
      </w:r>
      <w:r>
        <w:rPr>
          <w:color w:val="231F20"/>
          <w:w w:val="105"/>
        </w:rPr>
        <w:t>a</w:t>
      </w:r>
      <w:r>
        <w:rPr>
          <w:color w:val="231F20"/>
          <w:spacing w:val="-9"/>
          <w:w w:val="105"/>
        </w:rPr>
        <w:t> </w:t>
      </w:r>
      <w:r>
        <w:rPr>
          <w:color w:val="231F20"/>
          <w:w w:val="105"/>
        </w:rPr>
        <w:t>éste</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salarios</w:t>
      </w:r>
      <w:r>
        <w:rPr>
          <w:color w:val="231F20"/>
          <w:spacing w:val="-9"/>
          <w:w w:val="105"/>
        </w:rPr>
        <w:t> </w:t>
      </w:r>
      <w:r>
        <w:rPr>
          <w:color w:val="231F20"/>
          <w:w w:val="105"/>
        </w:rPr>
        <w:t>de</w:t>
      </w:r>
      <w:r>
        <w:rPr>
          <w:color w:val="231F20"/>
          <w:spacing w:val="-9"/>
          <w:w w:val="105"/>
        </w:rPr>
        <w:t> </w:t>
      </w:r>
      <w:r>
        <w:rPr>
          <w:color w:val="231F20"/>
          <w:w w:val="105"/>
        </w:rPr>
        <w:t>eficiencia,</w:t>
      </w:r>
      <w:r>
        <w:rPr>
          <w:color w:val="231F20"/>
          <w:spacing w:val="-15"/>
          <w:w w:val="105"/>
        </w:rPr>
        <w:t> </w:t>
      </w:r>
      <w:r>
        <w:rPr>
          <w:color w:val="231F20"/>
          <w:w w:val="105"/>
        </w:rPr>
        <w:t>o</w:t>
      </w:r>
      <w:r>
        <w:rPr>
          <w:color w:val="231F20"/>
          <w:spacing w:val="-9"/>
          <w:w w:val="105"/>
        </w:rPr>
        <w:t> </w:t>
      </w:r>
      <w:r>
        <w:rPr>
          <w:color w:val="231F20"/>
          <w:w w:val="105"/>
        </w:rPr>
        <w:t>más</w:t>
      </w:r>
      <w:r>
        <w:rPr>
          <w:color w:val="231F20"/>
          <w:spacing w:val="-9"/>
          <w:w w:val="105"/>
        </w:rPr>
        <w:t> </w:t>
      </w:r>
      <w:r>
        <w:rPr>
          <w:color w:val="231F20"/>
          <w:w w:val="105"/>
        </w:rPr>
        <w:t>ampliamente,</w:t>
      </w:r>
      <w:r>
        <w:rPr>
          <w:color w:val="231F20"/>
          <w:spacing w:val="-15"/>
          <w:w w:val="105"/>
        </w:rPr>
        <w:t> </w:t>
      </w:r>
      <w:r>
        <w:rPr>
          <w:color w:val="231F20"/>
          <w:w w:val="105"/>
        </w:rPr>
        <w:t>en</w:t>
      </w:r>
      <w:r>
        <w:rPr>
          <w:color w:val="231F20"/>
          <w:spacing w:val="-9"/>
          <w:w w:val="105"/>
        </w:rPr>
        <w:t> </w:t>
      </w:r>
      <w:r>
        <w:rPr>
          <w:color w:val="231F20"/>
          <w:w w:val="105"/>
        </w:rPr>
        <w:t>las ganancias</w:t>
      </w:r>
      <w:r>
        <w:rPr>
          <w:color w:val="231F20"/>
          <w:spacing w:val="-5"/>
          <w:w w:val="105"/>
        </w:rPr>
        <w:t> </w:t>
      </w:r>
      <w:r>
        <w:rPr>
          <w:color w:val="231F20"/>
          <w:w w:val="105"/>
        </w:rPr>
        <w:t>de</w:t>
      </w:r>
      <w:r>
        <w:rPr>
          <w:color w:val="231F20"/>
          <w:spacing w:val="-5"/>
          <w:w w:val="105"/>
        </w:rPr>
        <w:t> </w:t>
      </w:r>
      <w:r>
        <w:rPr>
          <w:color w:val="231F20"/>
          <w:w w:val="105"/>
        </w:rPr>
        <w:t>eficiencia;</w:t>
      </w:r>
      <w:r>
        <w:rPr>
          <w:color w:val="231F20"/>
          <w:spacing w:val="-5"/>
          <w:w w:val="105"/>
        </w:rPr>
        <w:t> </w:t>
      </w:r>
      <w:r>
        <w:rPr>
          <w:color w:val="231F20"/>
          <w:w w:val="105"/>
        </w:rPr>
        <w:t>es</w:t>
      </w:r>
      <w:r>
        <w:rPr>
          <w:color w:val="231F20"/>
          <w:spacing w:val="-5"/>
          <w:w w:val="105"/>
        </w:rPr>
        <w:t> </w:t>
      </w:r>
      <w:r>
        <w:rPr>
          <w:color w:val="231F20"/>
          <w:w w:val="105"/>
        </w:rPr>
        <w:t>decir,</w:t>
      </w:r>
      <w:r>
        <w:rPr>
          <w:color w:val="231F20"/>
          <w:spacing w:val="-10"/>
          <w:w w:val="105"/>
        </w:rPr>
        <w:t> </w:t>
      </w:r>
      <w:r>
        <w:rPr>
          <w:color w:val="231F20"/>
          <w:w w:val="105"/>
        </w:rPr>
        <w:t>los</w:t>
      </w:r>
      <w:r>
        <w:rPr>
          <w:color w:val="231F20"/>
          <w:spacing w:val="-5"/>
          <w:w w:val="105"/>
        </w:rPr>
        <w:t> </w:t>
      </w:r>
      <w:r>
        <w:rPr>
          <w:color w:val="231F20"/>
          <w:w w:val="105"/>
        </w:rPr>
        <w:t>ingresos</w:t>
      </w:r>
      <w:r>
        <w:rPr>
          <w:color w:val="231F20"/>
          <w:spacing w:val="-5"/>
          <w:w w:val="105"/>
        </w:rPr>
        <w:t> </w:t>
      </w:r>
      <w:r>
        <w:rPr>
          <w:color w:val="231F20"/>
          <w:w w:val="105"/>
        </w:rPr>
        <w:t>medidos</w:t>
      </w:r>
      <w:r>
        <w:rPr>
          <w:color w:val="231F20"/>
          <w:spacing w:val="-5"/>
          <w:w w:val="105"/>
        </w:rPr>
        <w:t> </w:t>
      </w:r>
      <w:r>
        <w:rPr>
          <w:color w:val="231F20"/>
          <w:w w:val="105"/>
        </w:rPr>
        <w:t>no</w:t>
      </w:r>
      <w:r>
        <w:rPr>
          <w:color w:val="231F20"/>
          <w:spacing w:val="-5"/>
          <w:w w:val="105"/>
        </w:rPr>
        <w:t> </w:t>
      </w:r>
      <w:r>
        <w:rPr>
          <w:color w:val="231F20"/>
          <w:w w:val="105"/>
        </w:rPr>
        <w:t>como</w:t>
      </w:r>
      <w:r>
        <w:rPr>
          <w:color w:val="231F20"/>
          <w:spacing w:val="-5"/>
          <w:w w:val="105"/>
        </w:rPr>
        <w:t> </w:t>
      </w:r>
      <w:r>
        <w:rPr>
          <w:color w:val="231F20"/>
          <w:w w:val="105"/>
        </w:rPr>
        <w:t>ganan-</w:t>
      </w:r>
    </w:p>
    <w:p>
      <w:pPr>
        <w:pStyle w:val="BodyText"/>
        <w:rPr>
          <w:sz w:val="20"/>
        </w:rPr>
      </w:pPr>
    </w:p>
    <w:p>
      <w:pPr>
        <w:pStyle w:val="BodyText"/>
        <w:rPr>
          <w:sz w:val="20"/>
        </w:rPr>
      </w:pPr>
    </w:p>
    <w:p>
      <w:pPr>
        <w:pStyle w:val="BodyText"/>
        <w:spacing w:before="1"/>
        <w:rPr>
          <w:sz w:val="26"/>
        </w:rPr>
      </w:pPr>
    </w:p>
    <w:p>
      <w:pPr>
        <w:tabs>
          <w:tab w:pos="1357" w:val="left" w:leader="none"/>
        </w:tabs>
        <w:spacing w:before="71"/>
        <w:ind w:left="252" w:right="0" w:firstLine="0"/>
        <w:jc w:val="left"/>
        <w:rPr>
          <w:rFonts w:ascii="Calibri"/>
          <w:sz w:val="15"/>
        </w:rPr>
      </w:pPr>
      <w:r>
        <w:rPr/>
        <w:pict>
          <v:group style="position:absolute;margin-left:101.817299pt;margin-top:-16.749887pt;width:17.850pt;height:56.5pt;mso-position-horizontal-relative:page;mso-position-vertical-relative:paragraph;z-index:-237232" coordorigin="2036,-335" coordsize="357,1130">
            <v:line style="position:absolute" from="2211,75" to="2211,791" stroked="true" strokeweight=".3pt" strokecolor="#231f20"/>
            <v:shape style="position:absolute;left:2036;top:-161;width:356;height:609" type="#_x0000_t75" stroked="false">
              <v:imagedata r:id="rId18" o:title=""/>
            </v:shape>
            <v:shape style="position:absolute;left:2036;top:-335;width:356;height:783" type="#_x0000_t75" stroked="false">
              <v:imagedata r:id="rId19" o:title=""/>
            </v:shape>
            <w10:wrap type="none"/>
          </v:group>
        </w:pict>
      </w:r>
      <w:r>
        <w:rPr>
          <w:color w:val="414042"/>
          <w:w w:val="105"/>
          <w:position w:val="-5"/>
          <w:sz w:val="20"/>
        </w:rPr>
        <w:t>302</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160" w:right="126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208"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303</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cia-tiempo</w:t>
      </w:r>
      <w:r>
        <w:rPr>
          <w:color w:val="231F20"/>
          <w:spacing w:val="-17"/>
          <w:w w:val="105"/>
        </w:rPr>
        <w:t> </w:t>
      </w:r>
      <w:r>
        <w:rPr>
          <w:color w:val="231F20"/>
          <w:w w:val="105"/>
        </w:rPr>
        <w:t>con</w:t>
      </w:r>
      <w:r>
        <w:rPr>
          <w:color w:val="231F20"/>
          <w:spacing w:val="-17"/>
          <w:w w:val="105"/>
        </w:rPr>
        <w:t> </w:t>
      </w:r>
      <w:r>
        <w:rPr>
          <w:color w:val="231F20"/>
          <w:w w:val="105"/>
        </w:rPr>
        <w:t>referencia</w:t>
      </w:r>
      <w:r>
        <w:rPr>
          <w:color w:val="231F20"/>
          <w:spacing w:val="-17"/>
          <w:w w:val="105"/>
        </w:rPr>
        <w:t> </w:t>
      </w:r>
      <w:r>
        <w:rPr>
          <w:color w:val="231F20"/>
          <w:w w:val="105"/>
        </w:rPr>
        <w:t>al</w:t>
      </w:r>
      <w:r>
        <w:rPr>
          <w:color w:val="231F20"/>
          <w:spacing w:val="-17"/>
          <w:w w:val="105"/>
        </w:rPr>
        <w:t> </w:t>
      </w:r>
      <w:r>
        <w:rPr>
          <w:color w:val="231F20"/>
          <w:w w:val="105"/>
        </w:rPr>
        <w:t>tiempo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ha</w:t>
      </w:r>
      <w:r>
        <w:rPr>
          <w:color w:val="231F20"/>
          <w:spacing w:val="-17"/>
          <w:w w:val="105"/>
        </w:rPr>
        <w:t> </w:t>
      </w:r>
      <w:r>
        <w:rPr>
          <w:color w:val="231F20"/>
          <w:w w:val="105"/>
        </w:rPr>
        <w:t>pasado</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obtención</w:t>
      </w:r>
      <w:r>
        <w:rPr>
          <w:color w:val="231F20"/>
          <w:spacing w:val="-17"/>
          <w:w w:val="105"/>
        </w:rPr>
        <w:t> </w:t>
      </w:r>
      <w:r>
        <w:rPr>
          <w:color w:val="231F20"/>
          <w:w w:val="105"/>
        </w:rPr>
        <w:t>de ellos,</w:t>
      </w:r>
      <w:r>
        <w:rPr>
          <w:color w:val="231F20"/>
          <w:spacing w:val="-14"/>
          <w:w w:val="105"/>
        </w:rPr>
        <w:t> </w:t>
      </w:r>
      <w:r>
        <w:rPr>
          <w:color w:val="231F20"/>
          <w:w w:val="105"/>
        </w:rPr>
        <w:t>ni</w:t>
      </w:r>
      <w:r>
        <w:rPr>
          <w:color w:val="231F20"/>
          <w:spacing w:val="-9"/>
          <w:w w:val="105"/>
        </w:rPr>
        <w:t> </w:t>
      </w:r>
      <w:r>
        <w:rPr>
          <w:color w:val="231F20"/>
          <w:w w:val="105"/>
        </w:rPr>
        <w:t>tampoco</w:t>
      </w:r>
      <w:r>
        <w:rPr>
          <w:color w:val="231F20"/>
          <w:spacing w:val="-9"/>
          <w:w w:val="105"/>
        </w:rPr>
        <w:t> </w:t>
      </w:r>
      <w:r>
        <w:rPr>
          <w:color w:val="231F20"/>
          <w:w w:val="105"/>
        </w:rPr>
        <w:t>como</w:t>
      </w:r>
      <w:r>
        <w:rPr>
          <w:color w:val="231F20"/>
          <w:spacing w:val="-9"/>
          <w:w w:val="105"/>
        </w:rPr>
        <w:t> </w:t>
      </w:r>
      <w:r>
        <w:rPr>
          <w:color w:val="231F20"/>
          <w:w w:val="105"/>
        </w:rPr>
        <w:t>ganancias</w:t>
      </w:r>
      <w:r>
        <w:rPr>
          <w:color w:val="231F20"/>
          <w:spacing w:val="-9"/>
          <w:w w:val="105"/>
        </w:rPr>
        <w:t> </w:t>
      </w:r>
      <w:r>
        <w:rPr>
          <w:color w:val="231F20"/>
          <w:w w:val="105"/>
        </w:rPr>
        <w:t>del</w:t>
      </w:r>
      <w:r>
        <w:rPr>
          <w:color w:val="231F20"/>
          <w:spacing w:val="-9"/>
          <w:w w:val="105"/>
        </w:rPr>
        <w:t> </w:t>
      </w:r>
      <w:r>
        <w:rPr>
          <w:color w:val="231F20"/>
          <w:w w:val="105"/>
        </w:rPr>
        <w:t>trabajo</w:t>
      </w:r>
      <w:r>
        <w:rPr>
          <w:color w:val="231F20"/>
          <w:spacing w:val="-9"/>
          <w:w w:val="105"/>
        </w:rPr>
        <w:t> </w:t>
      </w:r>
      <w:r>
        <w:rPr>
          <w:color w:val="231F20"/>
          <w:w w:val="105"/>
        </w:rPr>
        <w:t>a</w:t>
      </w:r>
      <w:r>
        <w:rPr>
          <w:color w:val="231F20"/>
          <w:spacing w:val="-9"/>
          <w:w w:val="105"/>
        </w:rPr>
        <w:t> </w:t>
      </w:r>
      <w:r>
        <w:rPr>
          <w:color w:val="231F20"/>
          <w:w w:val="105"/>
        </w:rPr>
        <w:t>destajo</w:t>
      </w:r>
      <w:r>
        <w:rPr>
          <w:color w:val="231F20"/>
          <w:spacing w:val="-9"/>
          <w:w w:val="105"/>
        </w:rPr>
        <w:t> </w:t>
      </w:r>
      <w:r>
        <w:rPr>
          <w:color w:val="231F20"/>
          <w:w w:val="105"/>
        </w:rPr>
        <w:t>con</w:t>
      </w:r>
      <w:r>
        <w:rPr>
          <w:color w:val="231F20"/>
          <w:spacing w:val="-9"/>
          <w:w w:val="105"/>
        </w:rPr>
        <w:t> </w:t>
      </w:r>
      <w:r>
        <w:rPr>
          <w:color w:val="231F20"/>
          <w:w w:val="105"/>
        </w:rPr>
        <w:t>referencia</w:t>
      </w:r>
      <w:r>
        <w:rPr>
          <w:color w:val="231F20"/>
          <w:spacing w:val="-9"/>
          <w:w w:val="105"/>
        </w:rPr>
        <w:t> </w:t>
      </w:r>
      <w:r>
        <w:rPr>
          <w:color w:val="231F20"/>
          <w:w w:val="105"/>
        </w:rPr>
        <w:t>a la</w:t>
      </w:r>
      <w:r>
        <w:rPr>
          <w:color w:val="231F20"/>
          <w:spacing w:val="-7"/>
          <w:w w:val="105"/>
        </w:rPr>
        <w:t> </w:t>
      </w:r>
      <w:r>
        <w:rPr>
          <w:color w:val="231F20"/>
          <w:w w:val="105"/>
        </w:rPr>
        <w:t>cantidad</w:t>
      </w:r>
      <w:r>
        <w:rPr>
          <w:color w:val="231F20"/>
          <w:spacing w:val="-7"/>
          <w:w w:val="105"/>
        </w:rPr>
        <w:t> </w:t>
      </w:r>
      <w:r>
        <w:rPr>
          <w:color w:val="231F20"/>
          <w:w w:val="105"/>
        </w:rPr>
        <w:t>de</w:t>
      </w:r>
      <w:r>
        <w:rPr>
          <w:color w:val="231F20"/>
          <w:spacing w:val="-7"/>
          <w:w w:val="105"/>
        </w:rPr>
        <w:t> </w:t>
      </w:r>
      <w:r>
        <w:rPr>
          <w:color w:val="231F20"/>
          <w:w w:val="105"/>
        </w:rPr>
        <w:t>producto</w:t>
      </w:r>
      <w:r>
        <w:rPr>
          <w:color w:val="231F20"/>
          <w:spacing w:val="-7"/>
          <w:w w:val="105"/>
        </w:rPr>
        <w:t> </w:t>
      </w:r>
      <w:r>
        <w:rPr>
          <w:color w:val="231F20"/>
          <w:w w:val="105"/>
        </w:rPr>
        <w:t>resultante;</w:t>
      </w:r>
      <w:r>
        <w:rPr>
          <w:color w:val="231F20"/>
          <w:spacing w:val="-7"/>
          <w:w w:val="105"/>
        </w:rPr>
        <w:t> </w:t>
      </w:r>
      <w:r>
        <w:rPr>
          <w:color w:val="231F20"/>
          <w:w w:val="105"/>
        </w:rPr>
        <w:t>sino</w:t>
      </w:r>
      <w:r>
        <w:rPr>
          <w:color w:val="231F20"/>
          <w:spacing w:val="-7"/>
          <w:w w:val="105"/>
        </w:rPr>
        <w:t> </w:t>
      </w:r>
      <w:r>
        <w:rPr>
          <w:color w:val="231F20"/>
          <w:w w:val="105"/>
        </w:rPr>
        <w:t>con</w:t>
      </w:r>
      <w:r>
        <w:rPr>
          <w:color w:val="231F20"/>
          <w:spacing w:val="-7"/>
          <w:w w:val="105"/>
        </w:rPr>
        <w:t> </w:t>
      </w:r>
      <w:r>
        <w:rPr>
          <w:color w:val="231F20"/>
          <w:w w:val="105"/>
        </w:rPr>
        <w:t>referencia</w:t>
      </w:r>
      <w:r>
        <w:rPr>
          <w:color w:val="231F20"/>
          <w:spacing w:val="-7"/>
          <w:w w:val="105"/>
        </w:rPr>
        <w:t> </w:t>
      </w:r>
      <w:r>
        <w:rPr>
          <w:color w:val="231F20"/>
          <w:w w:val="105"/>
        </w:rPr>
        <w:t>al</w:t>
      </w:r>
      <w:r>
        <w:rPr>
          <w:color w:val="231F20"/>
          <w:spacing w:val="-7"/>
          <w:w w:val="105"/>
        </w:rPr>
        <w:t> </w:t>
      </w:r>
      <w:r>
        <w:rPr>
          <w:color w:val="231F20"/>
          <w:w w:val="105"/>
        </w:rPr>
        <w:t>esfuerzo</w:t>
      </w:r>
      <w:r>
        <w:rPr>
          <w:color w:val="231F20"/>
          <w:spacing w:val="-7"/>
          <w:w w:val="105"/>
        </w:rPr>
        <w:t> </w:t>
      </w:r>
      <w:r>
        <w:rPr>
          <w:color w:val="231F20"/>
          <w:w w:val="105"/>
        </w:rPr>
        <w:t>de</w:t>
      </w:r>
      <w:r>
        <w:rPr>
          <w:color w:val="231F20"/>
          <w:spacing w:val="-7"/>
          <w:w w:val="105"/>
        </w:rPr>
        <w:t> </w:t>
      </w:r>
      <w:r>
        <w:rPr>
          <w:color w:val="231F20"/>
          <w:w w:val="105"/>
        </w:rPr>
        <w:t>la capacidad</w:t>
      </w:r>
      <w:r>
        <w:rPr>
          <w:color w:val="231F20"/>
          <w:spacing w:val="-22"/>
          <w:w w:val="105"/>
        </w:rPr>
        <w:t> </w:t>
      </w:r>
      <w:r>
        <w:rPr>
          <w:color w:val="231F20"/>
          <w:w w:val="105"/>
        </w:rPr>
        <w:t>y</w:t>
      </w:r>
      <w:r>
        <w:rPr>
          <w:color w:val="231F20"/>
          <w:spacing w:val="-22"/>
          <w:w w:val="105"/>
        </w:rPr>
        <w:t> </w:t>
      </w:r>
      <w:r>
        <w:rPr>
          <w:color w:val="231F20"/>
          <w:w w:val="105"/>
        </w:rPr>
        <w:t>eficiencia</w:t>
      </w:r>
      <w:r>
        <w:rPr>
          <w:color w:val="231F20"/>
          <w:spacing w:val="-22"/>
          <w:w w:val="105"/>
        </w:rPr>
        <w:t> </w:t>
      </w:r>
      <w:r>
        <w:rPr>
          <w:color w:val="231F20"/>
          <w:w w:val="105"/>
        </w:rPr>
        <w:t>requerida</w:t>
      </w:r>
      <w:r>
        <w:rPr>
          <w:color w:val="231F20"/>
          <w:spacing w:val="-22"/>
          <w:w w:val="105"/>
        </w:rPr>
        <w:t> </w:t>
      </w:r>
      <w:r>
        <w:rPr>
          <w:color w:val="231F20"/>
          <w:w w:val="105"/>
        </w:rPr>
        <w:t>del</w:t>
      </w:r>
      <w:r>
        <w:rPr>
          <w:color w:val="231F20"/>
          <w:spacing w:val="-22"/>
          <w:w w:val="105"/>
        </w:rPr>
        <w:t> </w:t>
      </w:r>
      <w:r>
        <w:rPr>
          <w:color w:val="231F20"/>
          <w:w w:val="105"/>
        </w:rPr>
        <w:t>trabajador</w:t>
      </w:r>
      <w:r>
        <w:rPr>
          <w:color w:val="231F20"/>
          <w:spacing w:val="-22"/>
          <w:w w:val="105"/>
        </w:rPr>
        <w:t> </w:t>
      </w:r>
      <w:r>
        <w:rPr>
          <w:color w:val="231F20"/>
          <w:w w:val="105"/>
        </w:rPr>
        <w:t>(1920:</w:t>
      </w:r>
      <w:r>
        <w:rPr>
          <w:color w:val="231F20"/>
          <w:spacing w:val="-25"/>
          <w:w w:val="105"/>
        </w:rPr>
        <w:t> </w:t>
      </w:r>
      <w:r>
        <w:rPr>
          <w:color w:val="231F20"/>
          <w:w w:val="105"/>
        </w:rPr>
        <w:t>VI.III.9).</w:t>
      </w:r>
    </w:p>
    <w:p>
      <w:pPr>
        <w:pStyle w:val="BodyText"/>
        <w:spacing w:line="259" w:lineRule="auto"/>
        <w:ind w:left="117" w:right="115" w:firstLine="567"/>
        <w:jc w:val="both"/>
      </w:pPr>
      <w:r>
        <w:rPr>
          <w:color w:val="231F20"/>
          <w:w w:val="105"/>
        </w:rPr>
        <w:t>Mucho después, la idea del salario de eficiencia reapareció en la literatura relacionándolo con el desarrollo de las economías, pues se asume</w:t>
      </w:r>
      <w:r>
        <w:rPr>
          <w:color w:val="231F20"/>
          <w:spacing w:val="-19"/>
          <w:w w:val="105"/>
        </w:rPr>
        <w:t> </w:t>
      </w:r>
      <w:r>
        <w:rPr>
          <w:color w:val="231F20"/>
          <w:w w:val="105"/>
        </w:rPr>
        <w:t>que</w:t>
      </w:r>
      <w:r>
        <w:rPr>
          <w:color w:val="231F20"/>
          <w:spacing w:val="-19"/>
          <w:w w:val="105"/>
        </w:rPr>
        <w:t> </w:t>
      </w:r>
      <w:r>
        <w:rPr>
          <w:color w:val="231F20"/>
          <w:w w:val="105"/>
        </w:rPr>
        <w:t>los</w:t>
      </w:r>
      <w:r>
        <w:rPr>
          <w:color w:val="231F20"/>
          <w:spacing w:val="-19"/>
          <w:w w:val="105"/>
        </w:rPr>
        <w:t> </w:t>
      </w:r>
      <w:r>
        <w:rPr>
          <w:color w:val="231F20"/>
          <w:w w:val="105"/>
        </w:rPr>
        <w:t>salarios</w:t>
      </w:r>
      <w:r>
        <w:rPr>
          <w:color w:val="231F20"/>
          <w:spacing w:val="-19"/>
          <w:w w:val="105"/>
        </w:rPr>
        <w:t> </w:t>
      </w:r>
      <w:r>
        <w:rPr>
          <w:color w:val="231F20"/>
          <w:w w:val="105"/>
        </w:rPr>
        <w:t>altos</w:t>
      </w:r>
      <w:r>
        <w:rPr>
          <w:color w:val="231F20"/>
          <w:spacing w:val="-19"/>
          <w:w w:val="105"/>
        </w:rPr>
        <w:t> </w:t>
      </w:r>
      <w:r>
        <w:rPr>
          <w:color w:val="231F20"/>
          <w:w w:val="105"/>
        </w:rPr>
        <w:t>incrementan</w:t>
      </w:r>
      <w:r>
        <w:rPr>
          <w:color w:val="231F20"/>
          <w:spacing w:val="-19"/>
          <w:w w:val="105"/>
        </w:rPr>
        <w:t> </w:t>
      </w:r>
      <w:r>
        <w:rPr>
          <w:color w:val="231F20"/>
          <w:w w:val="105"/>
        </w:rPr>
        <w:t>el</w:t>
      </w:r>
      <w:r>
        <w:rPr>
          <w:color w:val="231F20"/>
          <w:spacing w:val="-19"/>
          <w:w w:val="105"/>
        </w:rPr>
        <w:t> </w:t>
      </w:r>
      <w:r>
        <w:rPr>
          <w:color w:val="231F20"/>
          <w:w w:val="105"/>
        </w:rPr>
        <w:t>bienestar</w:t>
      </w:r>
      <w:r>
        <w:rPr>
          <w:color w:val="231F20"/>
          <w:spacing w:val="-19"/>
          <w:w w:val="105"/>
        </w:rPr>
        <w:t> </w:t>
      </w:r>
      <w:r>
        <w:rPr>
          <w:color w:val="231F20"/>
          <w:w w:val="105"/>
        </w:rPr>
        <w:t>físico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traba- jadores</w:t>
      </w:r>
      <w:r>
        <w:rPr>
          <w:color w:val="231F20"/>
          <w:spacing w:val="-6"/>
          <w:w w:val="105"/>
        </w:rPr>
        <w:t> </w:t>
      </w:r>
      <w:r>
        <w:rPr>
          <w:color w:val="231F20"/>
          <w:w w:val="105"/>
        </w:rPr>
        <w:t>a</w:t>
      </w:r>
      <w:r>
        <w:rPr>
          <w:color w:val="231F20"/>
          <w:spacing w:val="-6"/>
          <w:w w:val="105"/>
        </w:rPr>
        <w:t> </w:t>
      </w:r>
      <w:r>
        <w:rPr>
          <w:color w:val="231F20"/>
          <w:w w:val="105"/>
        </w:rPr>
        <w:t>través</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mejor</w:t>
      </w:r>
      <w:r>
        <w:rPr>
          <w:color w:val="231F20"/>
          <w:spacing w:val="-6"/>
          <w:w w:val="105"/>
        </w:rPr>
        <w:t> </w:t>
      </w:r>
      <w:r>
        <w:rPr>
          <w:color w:val="231F20"/>
          <w:w w:val="105"/>
        </w:rPr>
        <w:t>nutrición,</w:t>
      </w:r>
      <w:r>
        <w:rPr>
          <w:color w:val="231F20"/>
          <w:spacing w:val="-12"/>
          <w:w w:val="105"/>
        </w:rPr>
        <w:t> </w:t>
      </w:r>
      <w:r>
        <w:rPr>
          <w:color w:val="231F20"/>
          <w:w w:val="105"/>
        </w:rPr>
        <w:t>y</w:t>
      </w:r>
      <w:r>
        <w:rPr>
          <w:color w:val="231F20"/>
          <w:spacing w:val="-6"/>
          <w:w w:val="105"/>
        </w:rPr>
        <w:t> </w:t>
      </w:r>
      <w:r>
        <w:rPr>
          <w:color w:val="231F20"/>
          <w:w w:val="105"/>
        </w:rPr>
        <w:t>así</w:t>
      </w:r>
      <w:r>
        <w:rPr>
          <w:color w:val="231F20"/>
          <w:spacing w:val="-6"/>
          <w:w w:val="105"/>
        </w:rPr>
        <w:t> </w:t>
      </w:r>
      <w:r>
        <w:rPr>
          <w:color w:val="231F20"/>
          <w:w w:val="105"/>
        </w:rPr>
        <w:t>se</w:t>
      </w:r>
      <w:r>
        <w:rPr>
          <w:color w:val="231F20"/>
          <w:spacing w:val="-6"/>
          <w:w w:val="105"/>
        </w:rPr>
        <w:t> </w:t>
      </w:r>
      <w:r>
        <w:rPr>
          <w:color w:val="231F20"/>
          <w:w w:val="105"/>
        </w:rPr>
        <w:t>mejora</w:t>
      </w:r>
      <w:r>
        <w:rPr>
          <w:color w:val="231F20"/>
          <w:spacing w:val="-6"/>
          <w:w w:val="105"/>
        </w:rPr>
        <w:t> </w:t>
      </w:r>
      <w:r>
        <w:rPr>
          <w:color w:val="231F20"/>
          <w:w w:val="105"/>
        </w:rPr>
        <w:t>la</w:t>
      </w:r>
      <w:r>
        <w:rPr>
          <w:color w:val="231F20"/>
          <w:spacing w:val="-6"/>
          <w:w w:val="105"/>
        </w:rPr>
        <w:t> </w:t>
      </w:r>
      <w:r>
        <w:rPr>
          <w:color w:val="231F20"/>
          <w:w w:val="105"/>
        </w:rPr>
        <w:t>eficiencia</w:t>
      </w:r>
      <w:r>
        <w:rPr>
          <w:color w:val="231F20"/>
          <w:spacing w:val="-6"/>
          <w:w w:val="105"/>
        </w:rPr>
        <w:t> </w:t>
      </w:r>
      <w:r>
        <w:rPr>
          <w:color w:val="231F20"/>
          <w:w w:val="105"/>
        </w:rPr>
        <w:t>del trabajo</w:t>
      </w:r>
      <w:r>
        <w:rPr>
          <w:color w:val="231F20"/>
          <w:spacing w:val="-10"/>
          <w:w w:val="105"/>
        </w:rPr>
        <w:t> </w:t>
      </w:r>
      <w:r>
        <w:rPr>
          <w:color w:val="231F20"/>
          <w:w w:val="105"/>
        </w:rPr>
        <w:t>(véase</w:t>
      </w:r>
      <w:r>
        <w:rPr>
          <w:color w:val="231F20"/>
          <w:spacing w:val="-10"/>
          <w:w w:val="105"/>
        </w:rPr>
        <w:t> </w:t>
      </w:r>
      <w:r>
        <w:rPr>
          <w:color w:val="231F20"/>
          <w:w w:val="105"/>
        </w:rPr>
        <w:t>Robinson,</w:t>
      </w:r>
      <w:r>
        <w:rPr>
          <w:color w:val="231F20"/>
          <w:spacing w:val="-15"/>
          <w:w w:val="105"/>
        </w:rPr>
        <w:t> </w:t>
      </w:r>
      <w:r>
        <w:rPr>
          <w:color w:val="231F20"/>
          <w:w w:val="105"/>
        </w:rPr>
        <w:t>1981).</w:t>
      </w:r>
      <w:r>
        <w:rPr>
          <w:color w:val="231F20"/>
          <w:spacing w:val="-15"/>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contexto</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país</w:t>
      </w:r>
      <w:r>
        <w:rPr>
          <w:color w:val="231F20"/>
          <w:spacing w:val="-10"/>
          <w:w w:val="105"/>
        </w:rPr>
        <w:t> </w:t>
      </w:r>
      <w:r>
        <w:rPr>
          <w:color w:val="231F20"/>
          <w:w w:val="105"/>
        </w:rPr>
        <w:t>desarrollado, donde</w:t>
      </w:r>
      <w:r>
        <w:rPr>
          <w:color w:val="231F20"/>
          <w:spacing w:val="-31"/>
          <w:w w:val="105"/>
        </w:rPr>
        <w:t> </w:t>
      </w:r>
      <w:r>
        <w:rPr>
          <w:color w:val="231F20"/>
          <w:w w:val="105"/>
        </w:rPr>
        <w:t>más</w:t>
      </w:r>
      <w:r>
        <w:rPr>
          <w:color w:val="231F20"/>
          <w:spacing w:val="-31"/>
          <w:w w:val="105"/>
        </w:rPr>
        <w:t> </w:t>
      </w:r>
      <w:r>
        <w:rPr>
          <w:color w:val="231F20"/>
          <w:w w:val="105"/>
        </w:rPr>
        <w:t>trabajadores</w:t>
      </w:r>
      <w:r>
        <w:rPr>
          <w:color w:val="231F20"/>
          <w:spacing w:val="-31"/>
          <w:w w:val="105"/>
        </w:rPr>
        <w:t> </w:t>
      </w:r>
      <w:r>
        <w:rPr>
          <w:color w:val="231F20"/>
          <w:w w:val="105"/>
        </w:rPr>
        <w:t>tienen</w:t>
      </w:r>
      <w:r>
        <w:rPr>
          <w:color w:val="231F20"/>
          <w:spacing w:val="-31"/>
          <w:w w:val="105"/>
        </w:rPr>
        <w:t> </w:t>
      </w:r>
      <w:r>
        <w:rPr>
          <w:color w:val="231F20"/>
          <w:w w:val="105"/>
        </w:rPr>
        <w:t>una</w:t>
      </w:r>
      <w:r>
        <w:rPr>
          <w:color w:val="231F20"/>
          <w:spacing w:val="-31"/>
          <w:w w:val="105"/>
        </w:rPr>
        <w:t> </w:t>
      </w:r>
      <w:r>
        <w:rPr>
          <w:color w:val="231F20"/>
          <w:w w:val="105"/>
        </w:rPr>
        <w:t>adecuada</w:t>
      </w:r>
      <w:r>
        <w:rPr>
          <w:color w:val="231F20"/>
          <w:spacing w:val="-31"/>
          <w:w w:val="105"/>
        </w:rPr>
        <w:t> </w:t>
      </w:r>
      <w:r>
        <w:rPr>
          <w:color w:val="231F20"/>
          <w:w w:val="105"/>
        </w:rPr>
        <w:t>nutrición,</w:t>
      </w:r>
      <w:r>
        <w:rPr>
          <w:color w:val="231F20"/>
          <w:spacing w:val="-36"/>
          <w:w w:val="105"/>
        </w:rPr>
        <w:t> </w:t>
      </w:r>
      <w:r>
        <w:rPr>
          <w:color w:val="231F20"/>
          <w:w w:val="105"/>
        </w:rPr>
        <w:t>es</w:t>
      </w:r>
      <w:r>
        <w:rPr>
          <w:color w:val="231F20"/>
          <w:spacing w:val="-31"/>
          <w:w w:val="105"/>
        </w:rPr>
        <w:t> </w:t>
      </w:r>
      <w:r>
        <w:rPr>
          <w:color w:val="231F20"/>
          <w:w w:val="105"/>
        </w:rPr>
        <w:t>necesaria</w:t>
      </w:r>
      <w:r>
        <w:rPr>
          <w:color w:val="231F20"/>
          <w:spacing w:val="-31"/>
          <w:w w:val="105"/>
        </w:rPr>
        <w:t> </w:t>
      </w:r>
      <w:r>
        <w:rPr>
          <w:color w:val="231F20"/>
          <w:w w:val="105"/>
        </w:rPr>
        <w:t>una explicación</w:t>
      </w:r>
      <w:r>
        <w:rPr>
          <w:color w:val="231F20"/>
          <w:spacing w:val="-13"/>
          <w:w w:val="105"/>
        </w:rPr>
        <w:t> </w:t>
      </w:r>
      <w:r>
        <w:rPr>
          <w:color w:val="231F20"/>
          <w:w w:val="105"/>
        </w:rPr>
        <w:t>diferente.</w:t>
      </w:r>
    </w:p>
    <w:p>
      <w:pPr>
        <w:pStyle w:val="ListParagraph"/>
        <w:numPr>
          <w:ilvl w:val="1"/>
          <w:numId w:val="67"/>
        </w:numPr>
        <w:tabs>
          <w:tab w:pos="921" w:val="left" w:leader="none"/>
        </w:tabs>
        <w:spacing w:line="259" w:lineRule="auto" w:before="0" w:after="0"/>
        <w:ind w:left="117" w:right="121" w:firstLine="567"/>
        <w:jc w:val="both"/>
        <w:rPr>
          <w:sz w:val="21"/>
        </w:rPr>
      </w:pPr>
      <w:r>
        <w:rPr>
          <w:color w:val="231F20"/>
          <w:w w:val="105"/>
          <w:sz w:val="21"/>
        </w:rPr>
        <w:t>Modelos</w:t>
      </w:r>
      <w:r>
        <w:rPr>
          <w:color w:val="231F20"/>
          <w:spacing w:val="-7"/>
          <w:w w:val="105"/>
          <w:sz w:val="21"/>
        </w:rPr>
        <w:t> </w:t>
      </w:r>
      <w:r>
        <w:rPr>
          <w:color w:val="231F20"/>
          <w:w w:val="105"/>
          <w:sz w:val="21"/>
        </w:rPr>
        <w:t>de</w:t>
      </w:r>
      <w:r>
        <w:rPr>
          <w:color w:val="231F20"/>
          <w:spacing w:val="-7"/>
          <w:w w:val="105"/>
          <w:sz w:val="21"/>
        </w:rPr>
        <w:t> </w:t>
      </w:r>
      <w:r>
        <w:rPr>
          <w:color w:val="231F20"/>
          <w:w w:val="105"/>
          <w:sz w:val="21"/>
        </w:rPr>
        <w:t>trabajadores</w:t>
      </w:r>
      <w:r>
        <w:rPr>
          <w:color w:val="231F20"/>
          <w:spacing w:val="-7"/>
          <w:w w:val="105"/>
          <w:sz w:val="21"/>
        </w:rPr>
        <w:t> </w:t>
      </w:r>
      <w:r>
        <w:rPr>
          <w:color w:val="231F20"/>
          <w:w w:val="105"/>
          <w:sz w:val="21"/>
        </w:rPr>
        <w:t>internos-externos.</w:t>
      </w:r>
      <w:r>
        <w:rPr>
          <w:color w:val="231F20"/>
          <w:spacing w:val="-13"/>
          <w:w w:val="105"/>
          <w:sz w:val="21"/>
        </w:rPr>
        <w:t> </w:t>
      </w:r>
      <w:r>
        <w:rPr>
          <w:color w:val="231F20"/>
          <w:w w:val="105"/>
          <w:sz w:val="21"/>
        </w:rPr>
        <w:t>La</w:t>
      </w:r>
      <w:r>
        <w:rPr>
          <w:color w:val="231F20"/>
          <w:spacing w:val="-7"/>
          <w:w w:val="105"/>
          <w:sz w:val="21"/>
        </w:rPr>
        <w:t> </w:t>
      </w:r>
      <w:r>
        <w:rPr>
          <w:color w:val="231F20"/>
          <w:w w:val="105"/>
          <w:sz w:val="21"/>
        </w:rPr>
        <w:t>teoría</w:t>
      </w:r>
      <w:r>
        <w:rPr>
          <w:color w:val="231F20"/>
          <w:spacing w:val="-7"/>
          <w:w w:val="105"/>
          <w:sz w:val="21"/>
        </w:rPr>
        <w:t> </w:t>
      </w:r>
      <w:r>
        <w:rPr>
          <w:color w:val="231F20"/>
          <w:w w:val="105"/>
          <w:sz w:val="21"/>
        </w:rPr>
        <w:t>fue</w:t>
      </w:r>
      <w:r>
        <w:rPr>
          <w:color w:val="231F20"/>
          <w:spacing w:val="-7"/>
          <w:w w:val="105"/>
          <w:sz w:val="21"/>
        </w:rPr>
        <w:t> </w:t>
      </w:r>
      <w:r>
        <w:rPr>
          <w:color w:val="231F20"/>
          <w:w w:val="105"/>
          <w:sz w:val="21"/>
        </w:rPr>
        <w:t>desa- rrollada</w:t>
      </w:r>
      <w:r>
        <w:rPr>
          <w:color w:val="231F20"/>
          <w:spacing w:val="-13"/>
          <w:w w:val="105"/>
          <w:sz w:val="21"/>
        </w:rPr>
        <w:t> </w:t>
      </w:r>
      <w:r>
        <w:rPr>
          <w:color w:val="231F20"/>
          <w:w w:val="105"/>
          <w:sz w:val="21"/>
        </w:rPr>
        <w:t>por</w:t>
      </w:r>
      <w:r>
        <w:rPr>
          <w:color w:val="231F20"/>
          <w:spacing w:val="-13"/>
          <w:w w:val="105"/>
          <w:sz w:val="21"/>
        </w:rPr>
        <w:t> </w:t>
      </w:r>
      <w:r>
        <w:rPr>
          <w:color w:val="231F20"/>
          <w:w w:val="105"/>
          <w:sz w:val="21"/>
        </w:rPr>
        <w:t>Lindbeck</w:t>
      </w:r>
      <w:r>
        <w:rPr>
          <w:color w:val="231F20"/>
          <w:spacing w:val="-13"/>
          <w:w w:val="105"/>
          <w:sz w:val="21"/>
        </w:rPr>
        <w:t> </w:t>
      </w:r>
      <w:r>
        <w:rPr>
          <w:color w:val="231F20"/>
          <w:w w:val="105"/>
          <w:sz w:val="21"/>
        </w:rPr>
        <w:t>y</w:t>
      </w:r>
      <w:r>
        <w:rPr>
          <w:color w:val="231F20"/>
          <w:spacing w:val="-13"/>
          <w:w w:val="105"/>
          <w:sz w:val="21"/>
        </w:rPr>
        <w:t> </w:t>
      </w:r>
      <w:r>
        <w:rPr>
          <w:color w:val="231F20"/>
          <w:w w:val="105"/>
          <w:sz w:val="21"/>
        </w:rPr>
        <w:t>Snower</w:t>
      </w:r>
      <w:r>
        <w:rPr>
          <w:color w:val="231F20"/>
          <w:spacing w:val="-13"/>
          <w:w w:val="105"/>
          <w:sz w:val="21"/>
        </w:rPr>
        <w:t> </w:t>
      </w:r>
      <w:r>
        <w:rPr>
          <w:color w:val="231F20"/>
          <w:w w:val="105"/>
          <w:sz w:val="21"/>
        </w:rPr>
        <w:t>(1988),</w:t>
      </w:r>
      <w:r>
        <w:rPr>
          <w:color w:val="231F20"/>
          <w:spacing w:val="-19"/>
          <w:w w:val="105"/>
          <w:sz w:val="21"/>
        </w:rPr>
        <w:t> </w:t>
      </w:r>
      <w:r>
        <w:rPr>
          <w:color w:val="231F20"/>
          <w:w w:val="105"/>
          <w:sz w:val="21"/>
        </w:rPr>
        <w:t>y</w:t>
      </w:r>
      <w:r>
        <w:rPr>
          <w:color w:val="231F20"/>
          <w:spacing w:val="-13"/>
          <w:w w:val="105"/>
          <w:sz w:val="21"/>
        </w:rPr>
        <w:t> </w:t>
      </w:r>
      <w:r>
        <w:rPr>
          <w:color w:val="231F20"/>
          <w:w w:val="105"/>
          <w:sz w:val="21"/>
        </w:rPr>
        <w:t>busca</w:t>
      </w:r>
      <w:r>
        <w:rPr>
          <w:color w:val="231F20"/>
          <w:spacing w:val="-13"/>
          <w:w w:val="105"/>
          <w:sz w:val="21"/>
        </w:rPr>
        <w:t> </w:t>
      </w:r>
      <w:r>
        <w:rPr>
          <w:color w:val="231F20"/>
          <w:w w:val="105"/>
          <w:sz w:val="21"/>
        </w:rPr>
        <w:t>explicar</w:t>
      </w:r>
      <w:r>
        <w:rPr>
          <w:color w:val="231F20"/>
          <w:spacing w:val="-13"/>
          <w:w w:val="105"/>
          <w:sz w:val="21"/>
        </w:rPr>
        <w:t> </w:t>
      </w:r>
      <w:r>
        <w:rPr>
          <w:color w:val="231F20"/>
          <w:w w:val="105"/>
          <w:sz w:val="21"/>
        </w:rPr>
        <w:t>por</w:t>
      </w:r>
      <w:r>
        <w:rPr>
          <w:color w:val="231F20"/>
          <w:spacing w:val="-13"/>
          <w:w w:val="105"/>
          <w:sz w:val="21"/>
        </w:rPr>
        <w:t> </w:t>
      </w:r>
      <w:r>
        <w:rPr>
          <w:color w:val="231F20"/>
          <w:w w:val="105"/>
          <w:sz w:val="21"/>
        </w:rPr>
        <w:t>qué</w:t>
      </w:r>
      <w:r>
        <w:rPr>
          <w:color w:val="231F20"/>
          <w:spacing w:val="-13"/>
          <w:w w:val="105"/>
          <w:sz w:val="21"/>
        </w:rPr>
        <w:t> </w:t>
      </w:r>
      <w:r>
        <w:rPr>
          <w:color w:val="231F20"/>
          <w:w w:val="105"/>
          <w:sz w:val="21"/>
        </w:rPr>
        <w:t>trabaja- dores</w:t>
      </w:r>
      <w:r>
        <w:rPr>
          <w:color w:val="231F20"/>
          <w:spacing w:val="-20"/>
          <w:w w:val="105"/>
          <w:sz w:val="21"/>
        </w:rPr>
        <w:t> </w:t>
      </w:r>
      <w:r>
        <w:rPr>
          <w:color w:val="231F20"/>
          <w:w w:val="105"/>
          <w:sz w:val="21"/>
        </w:rPr>
        <w:t>empleados</w:t>
      </w:r>
      <w:r>
        <w:rPr>
          <w:color w:val="231F20"/>
          <w:spacing w:val="-20"/>
          <w:w w:val="105"/>
          <w:sz w:val="21"/>
        </w:rPr>
        <w:t> </w:t>
      </w:r>
      <w:r>
        <w:rPr>
          <w:color w:val="231F20"/>
          <w:w w:val="105"/>
          <w:sz w:val="21"/>
        </w:rPr>
        <w:t>(internos)</w:t>
      </w:r>
      <w:r>
        <w:rPr>
          <w:color w:val="231F20"/>
          <w:spacing w:val="-20"/>
          <w:w w:val="105"/>
          <w:sz w:val="21"/>
        </w:rPr>
        <w:t> </w:t>
      </w:r>
      <w:r>
        <w:rPr>
          <w:color w:val="231F20"/>
          <w:w w:val="105"/>
          <w:sz w:val="21"/>
        </w:rPr>
        <w:t>determinan</w:t>
      </w:r>
      <w:r>
        <w:rPr>
          <w:color w:val="231F20"/>
          <w:spacing w:val="-20"/>
          <w:w w:val="105"/>
          <w:sz w:val="21"/>
        </w:rPr>
        <w:t> </w:t>
      </w:r>
      <w:r>
        <w:rPr>
          <w:color w:val="231F20"/>
          <w:w w:val="105"/>
          <w:sz w:val="21"/>
        </w:rPr>
        <w:t>al</w:t>
      </w:r>
      <w:r>
        <w:rPr>
          <w:color w:val="231F20"/>
          <w:spacing w:val="-20"/>
          <w:w w:val="105"/>
          <w:sz w:val="21"/>
        </w:rPr>
        <w:t> </w:t>
      </w:r>
      <w:r>
        <w:rPr>
          <w:color w:val="231F20"/>
          <w:w w:val="105"/>
          <w:sz w:val="21"/>
        </w:rPr>
        <w:t>menos</w:t>
      </w:r>
      <w:r>
        <w:rPr>
          <w:color w:val="231F20"/>
          <w:spacing w:val="-20"/>
          <w:w w:val="105"/>
          <w:sz w:val="21"/>
        </w:rPr>
        <w:t> </w:t>
      </w:r>
      <w:r>
        <w:rPr>
          <w:color w:val="231F20"/>
          <w:w w:val="105"/>
          <w:sz w:val="21"/>
        </w:rPr>
        <w:t>parcialmente</w:t>
      </w:r>
      <w:r>
        <w:rPr>
          <w:color w:val="231F20"/>
          <w:spacing w:val="-20"/>
          <w:w w:val="105"/>
          <w:sz w:val="21"/>
        </w:rPr>
        <w:t> </w:t>
      </w:r>
      <w:r>
        <w:rPr>
          <w:color w:val="231F20"/>
          <w:w w:val="105"/>
          <w:sz w:val="21"/>
        </w:rPr>
        <w:t>el</w:t>
      </w:r>
      <w:r>
        <w:rPr>
          <w:color w:val="231F20"/>
          <w:spacing w:val="-20"/>
          <w:w w:val="105"/>
          <w:sz w:val="21"/>
        </w:rPr>
        <w:t> </w:t>
      </w:r>
      <w:r>
        <w:rPr>
          <w:color w:val="231F20"/>
          <w:w w:val="105"/>
          <w:sz w:val="21"/>
        </w:rPr>
        <w:t>salario y las decisiones de empleo, en detrimento de los trabajadores desem- </w:t>
      </w:r>
      <w:r>
        <w:rPr>
          <w:color w:val="231F20"/>
          <w:sz w:val="21"/>
        </w:rPr>
        <w:t>pleados</w:t>
      </w:r>
      <w:r>
        <w:rPr>
          <w:color w:val="231F20"/>
          <w:spacing w:val="32"/>
          <w:sz w:val="21"/>
        </w:rPr>
        <w:t> </w:t>
      </w:r>
      <w:r>
        <w:rPr>
          <w:color w:val="231F20"/>
          <w:sz w:val="21"/>
        </w:rPr>
        <w:t>(externos).</w:t>
      </w:r>
    </w:p>
    <w:p>
      <w:pPr>
        <w:pStyle w:val="BodyText"/>
        <w:spacing w:line="259" w:lineRule="auto"/>
        <w:ind w:left="117" w:right="121" w:firstLine="567"/>
        <w:jc w:val="both"/>
      </w:pPr>
      <w:r>
        <w:rPr>
          <w:color w:val="231F20"/>
          <w:w w:val="105"/>
        </w:rPr>
        <w:t>El</w:t>
      </w:r>
      <w:r>
        <w:rPr>
          <w:color w:val="231F20"/>
          <w:spacing w:val="-6"/>
          <w:w w:val="105"/>
        </w:rPr>
        <w:t> </w:t>
      </w:r>
      <w:r>
        <w:rPr>
          <w:color w:val="231F20"/>
          <w:w w:val="105"/>
        </w:rPr>
        <w:t>‘poder’</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internos</w:t>
      </w:r>
      <w:r>
        <w:rPr>
          <w:color w:val="231F20"/>
          <w:spacing w:val="-6"/>
          <w:w w:val="105"/>
        </w:rPr>
        <w:t> </w:t>
      </w:r>
      <w:r>
        <w:rPr>
          <w:color w:val="231F20"/>
          <w:w w:val="105"/>
        </w:rPr>
        <w:t>es</w:t>
      </w:r>
      <w:r>
        <w:rPr>
          <w:color w:val="231F20"/>
          <w:spacing w:val="-6"/>
          <w:w w:val="105"/>
        </w:rPr>
        <w:t> </w:t>
      </w:r>
      <w:r>
        <w:rPr>
          <w:color w:val="231F20"/>
          <w:w w:val="105"/>
        </w:rPr>
        <w:t>el</w:t>
      </w:r>
      <w:r>
        <w:rPr>
          <w:color w:val="231F20"/>
          <w:spacing w:val="-6"/>
          <w:w w:val="105"/>
        </w:rPr>
        <w:t> </w:t>
      </w:r>
      <w:r>
        <w:rPr>
          <w:color w:val="231F20"/>
          <w:w w:val="105"/>
        </w:rPr>
        <w:t>resultado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costos</w:t>
      </w:r>
      <w:r>
        <w:rPr>
          <w:color w:val="231F20"/>
          <w:spacing w:val="-6"/>
          <w:w w:val="105"/>
        </w:rPr>
        <w:t> </w:t>
      </w:r>
      <w:r>
        <w:rPr>
          <w:color w:val="231F20"/>
          <w:w w:val="105"/>
        </w:rPr>
        <w:t>de</w:t>
      </w:r>
      <w:r>
        <w:rPr>
          <w:color w:val="231F20"/>
          <w:spacing w:val="-6"/>
          <w:w w:val="105"/>
        </w:rPr>
        <w:t> </w:t>
      </w:r>
      <w:r>
        <w:rPr>
          <w:color w:val="231F20"/>
          <w:w w:val="105"/>
        </w:rPr>
        <w:t>rotación en</w:t>
      </w:r>
      <w:r>
        <w:rPr>
          <w:color w:val="231F20"/>
          <w:spacing w:val="-17"/>
          <w:w w:val="105"/>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puede</w:t>
      </w:r>
      <w:r>
        <w:rPr>
          <w:color w:val="231F20"/>
          <w:spacing w:val="-17"/>
          <w:w w:val="105"/>
        </w:rPr>
        <w:t> </w:t>
      </w:r>
      <w:r>
        <w:rPr>
          <w:color w:val="231F20"/>
          <w:w w:val="105"/>
        </w:rPr>
        <w:t>incurrir</w:t>
      </w:r>
      <w:r>
        <w:rPr>
          <w:color w:val="231F20"/>
          <w:spacing w:val="-17"/>
          <w:w w:val="105"/>
        </w:rPr>
        <w:t> </w:t>
      </w:r>
      <w:r>
        <w:rPr>
          <w:color w:val="231F20"/>
          <w:w w:val="105"/>
        </w:rPr>
        <w:t>la</w:t>
      </w:r>
      <w:r>
        <w:rPr>
          <w:color w:val="231F20"/>
          <w:spacing w:val="-17"/>
          <w:w w:val="105"/>
        </w:rPr>
        <w:t> </w:t>
      </w:r>
      <w:r>
        <w:rPr>
          <w:color w:val="231F20"/>
          <w:w w:val="105"/>
        </w:rPr>
        <w:t>empresa</w:t>
      </w:r>
      <w:r>
        <w:rPr>
          <w:color w:val="231F20"/>
          <w:spacing w:val="-17"/>
          <w:w w:val="105"/>
        </w:rPr>
        <w:t> </w:t>
      </w:r>
      <w:r>
        <w:rPr>
          <w:color w:val="231F20"/>
          <w:w w:val="105"/>
        </w:rPr>
        <w:t>si</w:t>
      </w:r>
      <w:r>
        <w:rPr>
          <w:color w:val="231F20"/>
          <w:spacing w:val="-17"/>
          <w:w w:val="105"/>
        </w:rPr>
        <w:t> </w:t>
      </w:r>
      <w:r>
        <w:rPr>
          <w:color w:val="231F20"/>
          <w:w w:val="105"/>
        </w:rPr>
        <w:t>considera</w:t>
      </w:r>
      <w:r>
        <w:rPr>
          <w:color w:val="231F20"/>
          <w:spacing w:val="-17"/>
          <w:w w:val="105"/>
        </w:rPr>
        <w:t> </w:t>
      </w:r>
      <w:r>
        <w:rPr>
          <w:color w:val="231F20"/>
          <w:w w:val="105"/>
        </w:rPr>
        <w:t>gastos</w:t>
      </w:r>
      <w:r>
        <w:rPr>
          <w:color w:val="231F20"/>
          <w:spacing w:val="-17"/>
          <w:w w:val="105"/>
        </w:rPr>
        <w:t> </w:t>
      </w:r>
      <w:r>
        <w:rPr>
          <w:color w:val="231F20"/>
          <w:w w:val="105"/>
        </w:rPr>
        <w:t>de</w:t>
      </w:r>
      <w:r>
        <w:rPr>
          <w:color w:val="231F20"/>
          <w:spacing w:val="-17"/>
          <w:w w:val="105"/>
        </w:rPr>
        <w:t> </w:t>
      </w:r>
      <w:r>
        <w:rPr>
          <w:color w:val="231F20"/>
          <w:w w:val="105"/>
        </w:rPr>
        <w:t>contratación y despido, así como otros costos relacionados con la producción y con la</w:t>
      </w:r>
      <w:r>
        <w:rPr>
          <w:color w:val="231F20"/>
          <w:spacing w:val="-9"/>
          <w:w w:val="105"/>
        </w:rPr>
        <w:t> </w:t>
      </w:r>
      <w:r>
        <w:rPr>
          <w:color w:val="231F20"/>
          <w:w w:val="105"/>
        </w:rPr>
        <w:t>necesidad</w:t>
      </w:r>
      <w:r>
        <w:rPr>
          <w:color w:val="231F20"/>
          <w:spacing w:val="-9"/>
          <w:w w:val="105"/>
        </w:rPr>
        <w:t> </w:t>
      </w:r>
      <w:r>
        <w:rPr>
          <w:color w:val="231F20"/>
          <w:w w:val="105"/>
        </w:rPr>
        <w:t>de</w:t>
      </w:r>
      <w:r>
        <w:rPr>
          <w:color w:val="231F20"/>
          <w:spacing w:val="-9"/>
          <w:w w:val="105"/>
        </w:rPr>
        <w:t> </w:t>
      </w:r>
      <w:r>
        <w:rPr>
          <w:color w:val="231F20"/>
          <w:w w:val="105"/>
        </w:rPr>
        <w:t>entrenar</w:t>
      </w:r>
      <w:r>
        <w:rPr>
          <w:color w:val="231F20"/>
          <w:spacing w:val="-9"/>
          <w:w w:val="105"/>
        </w:rPr>
        <w:t> </w:t>
      </w:r>
      <w:r>
        <w:rPr>
          <w:color w:val="231F20"/>
          <w:w w:val="105"/>
        </w:rPr>
        <w:t>a</w:t>
      </w:r>
      <w:r>
        <w:rPr>
          <w:color w:val="231F20"/>
          <w:spacing w:val="-9"/>
          <w:w w:val="105"/>
        </w:rPr>
        <w:t> </w:t>
      </w:r>
      <w:r>
        <w:rPr>
          <w:color w:val="231F20"/>
          <w:w w:val="105"/>
        </w:rPr>
        <w:t>nuevos</w:t>
      </w:r>
      <w:r>
        <w:rPr>
          <w:color w:val="231F20"/>
          <w:spacing w:val="-9"/>
          <w:w w:val="105"/>
        </w:rPr>
        <w:t> </w:t>
      </w:r>
      <w:r>
        <w:rPr>
          <w:color w:val="231F20"/>
          <w:w w:val="105"/>
        </w:rPr>
        <w:t>empleados.</w:t>
      </w:r>
      <w:r>
        <w:rPr>
          <w:color w:val="231F20"/>
          <w:spacing w:val="-17"/>
          <w:w w:val="105"/>
        </w:rPr>
        <w:t> </w:t>
      </w:r>
      <w:r>
        <w:rPr>
          <w:color w:val="231F20"/>
          <w:w w:val="105"/>
        </w:rPr>
        <w:t>Además,</w:t>
      </w:r>
      <w:r>
        <w:rPr>
          <w:color w:val="231F20"/>
          <w:spacing w:val="-14"/>
          <w:w w:val="105"/>
        </w:rPr>
        <w:t> </w:t>
      </w:r>
      <w:r>
        <w:rPr>
          <w:color w:val="231F20"/>
          <w:w w:val="105"/>
        </w:rPr>
        <w:t>estos</w:t>
      </w:r>
      <w:r>
        <w:rPr>
          <w:color w:val="231F20"/>
          <w:spacing w:val="-9"/>
          <w:w w:val="105"/>
        </w:rPr>
        <w:t> </w:t>
      </w:r>
      <w:r>
        <w:rPr>
          <w:color w:val="231F20"/>
          <w:w w:val="105"/>
        </w:rPr>
        <w:t>modelos agregan otros costos derivados del hecho de que los internos, al sentir amenazada su posición por los externos, pueden negarse a cooperar</w:t>
      </w:r>
      <w:r>
        <w:rPr>
          <w:color w:val="231F20"/>
          <w:spacing w:val="-39"/>
          <w:w w:val="105"/>
        </w:rPr>
        <w:t> </w:t>
      </w:r>
      <w:r>
        <w:rPr>
          <w:color w:val="231F20"/>
          <w:w w:val="105"/>
        </w:rPr>
        <w:t>y entrenar</w:t>
      </w:r>
      <w:r>
        <w:rPr>
          <w:color w:val="231F20"/>
          <w:spacing w:val="-23"/>
          <w:w w:val="105"/>
        </w:rPr>
        <w:t> </w:t>
      </w:r>
      <w:r>
        <w:rPr>
          <w:color w:val="231F20"/>
          <w:w w:val="105"/>
        </w:rPr>
        <w:t>a</w:t>
      </w:r>
      <w:r>
        <w:rPr>
          <w:color w:val="231F20"/>
          <w:spacing w:val="-23"/>
          <w:w w:val="105"/>
        </w:rPr>
        <w:t> </w:t>
      </w:r>
      <w:r>
        <w:rPr>
          <w:color w:val="231F20"/>
          <w:w w:val="105"/>
        </w:rPr>
        <w:t>nuevos</w:t>
      </w:r>
      <w:r>
        <w:rPr>
          <w:color w:val="231F20"/>
          <w:spacing w:val="-23"/>
          <w:w w:val="105"/>
        </w:rPr>
        <w:t> </w:t>
      </w:r>
      <w:r>
        <w:rPr>
          <w:color w:val="231F20"/>
          <w:w w:val="105"/>
        </w:rPr>
        <w:t>trabajadores,</w:t>
      </w:r>
      <w:r>
        <w:rPr>
          <w:color w:val="231F20"/>
          <w:spacing w:val="-28"/>
          <w:w w:val="105"/>
        </w:rPr>
        <w:t> </w:t>
      </w:r>
      <w:r>
        <w:rPr>
          <w:color w:val="231F20"/>
          <w:w w:val="105"/>
        </w:rPr>
        <w:t>así</w:t>
      </w:r>
      <w:r>
        <w:rPr>
          <w:color w:val="231F20"/>
          <w:spacing w:val="-23"/>
          <w:w w:val="105"/>
        </w:rPr>
        <w:t> </w:t>
      </w:r>
      <w:r>
        <w:rPr>
          <w:color w:val="231F20"/>
          <w:w w:val="105"/>
        </w:rPr>
        <w:t>como</w:t>
      </w:r>
      <w:r>
        <w:rPr>
          <w:color w:val="231F20"/>
          <w:spacing w:val="-23"/>
          <w:w w:val="105"/>
        </w:rPr>
        <w:t> </w:t>
      </w:r>
      <w:r>
        <w:rPr>
          <w:color w:val="231F20"/>
          <w:w w:val="105"/>
        </w:rPr>
        <w:t>una</w:t>
      </w:r>
      <w:r>
        <w:rPr>
          <w:color w:val="231F20"/>
          <w:spacing w:val="-23"/>
          <w:w w:val="105"/>
        </w:rPr>
        <w:t> </w:t>
      </w:r>
      <w:r>
        <w:rPr>
          <w:color w:val="231F20"/>
          <w:w w:val="105"/>
        </w:rPr>
        <w:t>serie</w:t>
      </w:r>
      <w:r>
        <w:rPr>
          <w:color w:val="231F20"/>
          <w:spacing w:val="-23"/>
          <w:w w:val="105"/>
        </w:rPr>
        <w:t> </w:t>
      </w:r>
      <w:r>
        <w:rPr>
          <w:color w:val="231F20"/>
          <w:w w:val="105"/>
        </w:rPr>
        <w:t>de</w:t>
      </w:r>
      <w:r>
        <w:rPr>
          <w:color w:val="231F20"/>
          <w:spacing w:val="-23"/>
          <w:w w:val="105"/>
        </w:rPr>
        <w:t> </w:t>
      </w:r>
      <w:r>
        <w:rPr>
          <w:color w:val="231F20"/>
          <w:w w:val="105"/>
        </w:rPr>
        <w:t>acciones</w:t>
      </w:r>
      <w:r>
        <w:rPr>
          <w:color w:val="231F20"/>
          <w:spacing w:val="-23"/>
          <w:w w:val="105"/>
        </w:rPr>
        <w:t> </w:t>
      </w:r>
      <w:r>
        <w:rPr>
          <w:color w:val="231F20"/>
          <w:w w:val="105"/>
        </w:rPr>
        <w:t>tendien- tes a aumentar la desutilidad del trabajo, lo que puede generar que el salario de reserva de los externos aumente y se vuelva poco atractivo para</w:t>
      </w:r>
      <w:r>
        <w:rPr>
          <w:color w:val="231F20"/>
          <w:spacing w:val="-14"/>
          <w:w w:val="105"/>
        </w:rPr>
        <w:t> </w:t>
      </w:r>
      <w:r>
        <w:rPr>
          <w:color w:val="231F20"/>
          <w:w w:val="105"/>
        </w:rPr>
        <w:t>la</w:t>
      </w:r>
      <w:r>
        <w:rPr>
          <w:color w:val="231F20"/>
          <w:spacing w:val="-14"/>
          <w:w w:val="105"/>
        </w:rPr>
        <w:t> </w:t>
      </w:r>
      <w:r>
        <w:rPr>
          <w:color w:val="231F20"/>
          <w:w w:val="105"/>
        </w:rPr>
        <w:t>empresa</w:t>
      </w:r>
      <w:r>
        <w:rPr>
          <w:color w:val="231F20"/>
          <w:spacing w:val="-14"/>
          <w:w w:val="105"/>
        </w:rPr>
        <w:t> </w:t>
      </w:r>
      <w:r>
        <w:rPr>
          <w:color w:val="231F20"/>
          <w:w w:val="105"/>
        </w:rPr>
        <w:t>emplearlo.</w:t>
      </w:r>
      <w:r>
        <w:rPr>
          <w:color w:val="231F20"/>
          <w:spacing w:val="-18"/>
          <w:w w:val="105"/>
        </w:rPr>
        <w:t> </w:t>
      </w:r>
      <w:r>
        <w:rPr>
          <w:color w:val="231F20"/>
          <w:w w:val="105"/>
        </w:rPr>
        <w:t>Esta</w:t>
      </w:r>
      <w:r>
        <w:rPr>
          <w:color w:val="231F20"/>
          <w:spacing w:val="-14"/>
          <w:w w:val="105"/>
        </w:rPr>
        <w:t> </w:t>
      </w:r>
      <w:r>
        <w:rPr>
          <w:color w:val="231F20"/>
          <w:w w:val="105"/>
        </w:rPr>
        <w:t>situación</w:t>
      </w:r>
      <w:r>
        <w:rPr>
          <w:color w:val="231F20"/>
          <w:spacing w:val="-14"/>
          <w:w w:val="105"/>
        </w:rPr>
        <w:t> </w:t>
      </w:r>
      <w:r>
        <w:rPr>
          <w:color w:val="231F20"/>
          <w:w w:val="105"/>
        </w:rPr>
        <w:t>explica</w:t>
      </w:r>
      <w:r>
        <w:rPr>
          <w:color w:val="231F20"/>
          <w:spacing w:val="-14"/>
          <w:w w:val="105"/>
        </w:rPr>
        <w:t> </w:t>
      </w:r>
      <w:r>
        <w:rPr>
          <w:color w:val="231F20"/>
          <w:w w:val="105"/>
        </w:rPr>
        <w:t>por</w:t>
      </w:r>
      <w:r>
        <w:rPr>
          <w:color w:val="231F20"/>
          <w:spacing w:val="-14"/>
          <w:w w:val="105"/>
        </w:rPr>
        <w:t> </w:t>
      </w:r>
      <w:r>
        <w:rPr>
          <w:color w:val="231F20"/>
          <w:w w:val="105"/>
        </w:rPr>
        <w:t>qué</w:t>
      </w:r>
      <w:r>
        <w:rPr>
          <w:color w:val="231F20"/>
          <w:spacing w:val="-14"/>
          <w:w w:val="105"/>
        </w:rPr>
        <w:t> </w:t>
      </w:r>
      <w:r>
        <w:rPr>
          <w:color w:val="231F20"/>
          <w:w w:val="105"/>
        </w:rPr>
        <w:t>las</w:t>
      </w:r>
      <w:r>
        <w:rPr>
          <w:color w:val="231F20"/>
          <w:spacing w:val="-14"/>
          <w:w w:val="105"/>
        </w:rPr>
        <w:t> </w:t>
      </w:r>
      <w:r>
        <w:rPr>
          <w:color w:val="231F20"/>
          <w:w w:val="105"/>
        </w:rPr>
        <w:t>empresas con alta rotación laboral ofrecen a sus trabajadores pocos incentivos y escasas oportunidades para desarrollarse, lo que al final se traduce</w:t>
      </w:r>
      <w:r>
        <w:rPr>
          <w:color w:val="231F20"/>
          <w:spacing w:val="-13"/>
          <w:w w:val="105"/>
        </w:rPr>
        <w:t> </w:t>
      </w:r>
      <w:r>
        <w:rPr>
          <w:color w:val="231F20"/>
          <w:w w:val="105"/>
        </w:rPr>
        <w:t>en baja</w:t>
      </w:r>
      <w:r>
        <w:rPr>
          <w:color w:val="231F20"/>
          <w:spacing w:val="-21"/>
          <w:w w:val="105"/>
        </w:rPr>
        <w:t> </w:t>
      </w:r>
      <w:r>
        <w:rPr>
          <w:color w:val="231F20"/>
          <w:w w:val="105"/>
        </w:rPr>
        <w:t>productividad</w:t>
      </w:r>
      <w:r>
        <w:rPr>
          <w:color w:val="231F20"/>
          <w:spacing w:val="-21"/>
          <w:w w:val="105"/>
        </w:rPr>
        <w:t> </w:t>
      </w:r>
      <w:r>
        <w:rPr>
          <w:color w:val="231F20"/>
          <w:w w:val="105"/>
        </w:rPr>
        <w:t>y</w:t>
      </w:r>
      <w:r>
        <w:rPr>
          <w:color w:val="231F20"/>
          <w:spacing w:val="-21"/>
          <w:w w:val="105"/>
        </w:rPr>
        <w:t> </w:t>
      </w:r>
      <w:r>
        <w:rPr>
          <w:color w:val="231F20"/>
          <w:w w:val="105"/>
        </w:rPr>
        <w:t>altos</w:t>
      </w:r>
      <w:r>
        <w:rPr>
          <w:color w:val="231F20"/>
          <w:spacing w:val="-21"/>
          <w:w w:val="105"/>
        </w:rPr>
        <w:t> </w:t>
      </w:r>
      <w:r>
        <w:rPr>
          <w:color w:val="231F20"/>
          <w:w w:val="105"/>
        </w:rPr>
        <w:t>costos</w:t>
      </w:r>
      <w:r>
        <w:rPr>
          <w:color w:val="231F20"/>
          <w:spacing w:val="-21"/>
          <w:w w:val="105"/>
        </w:rPr>
        <w:t> </w:t>
      </w:r>
      <w:r>
        <w:rPr>
          <w:color w:val="231F20"/>
          <w:w w:val="105"/>
        </w:rPr>
        <w:t>para</w:t>
      </w:r>
      <w:r>
        <w:rPr>
          <w:color w:val="231F20"/>
          <w:spacing w:val="-21"/>
          <w:w w:val="105"/>
        </w:rPr>
        <w:t> </w:t>
      </w:r>
      <w:r>
        <w:rPr>
          <w:color w:val="231F20"/>
          <w:w w:val="105"/>
        </w:rPr>
        <w:t>la</w:t>
      </w:r>
      <w:r>
        <w:rPr>
          <w:color w:val="231F20"/>
          <w:spacing w:val="-21"/>
          <w:w w:val="105"/>
        </w:rPr>
        <w:t> </w:t>
      </w:r>
      <w:r>
        <w:rPr>
          <w:color w:val="231F20"/>
          <w:w w:val="105"/>
        </w:rPr>
        <w:t>empresa</w:t>
      </w:r>
      <w:r>
        <w:rPr>
          <w:color w:val="231F20"/>
          <w:spacing w:val="-21"/>
          <w:w w:val="105"/>
        </w:rPr>
        <w:t> </w:t>
      </w:r>
      <w:r>
        <w:rPr>
          <w:color w:val="231F20"/>
          <w:w w:val="105"/>
        </w:rPr>
        <w:t>(Ball,</w:t>
      </w:r>
      <w:r>
        <w:rPr>
          <w:color w:val="231F20"/>
          <w:spacing w:val="-27"/>
          <w:w w:val="105"/>
        </w:rPr>
        <w:t> </w:t>
      </w:r>
      <w:r>
        <w:rPr>
          <w:color w:val="231F20"/>
          <w:w w:val="105"/>
        </w:rPr>
        <w:t>1990).</w:t>
      </w:r>
    </w:p>
    <w:p>
      <w:pPr>
        <w:pStyle w:val="BodyText"/>
        <w:spacing w:line="241" w:lineRule="exact"/>
        <w:ind w:left="684" w:right="114"/>
      </w:pPr>
      <w:r>
        <w:rPr>
          <w:color w:val="231F20"/>
        </w:rPr>
        <w:t>La teoría internos-externos tiene las siguientes   implicaciones:</w:t>
      </w:r>
    </w:p>
    <w:p>
      <w:pPr>
        <w:pStyle w:val="BodyText"/>
        <w:spacing w:before="2"/>
        <w:rPr>
          <w:sz w:val="24"/>
        </w:rPr>
      </w:pPr>
    </w:p>
    <w:p>
      <w:pPr>
        <w:pStyle w:val="ListParagraph"/>
        <w:numPr>
          <w:ilvl w:val="2"/>
          <w:numId w:val="67"/>
        </w:numPr>
        <w:tabs>
          <w:tab w:pos="1328" w:val="left" w:leader="none"/>
        </w:tabs>
        <w:spacing w:line="259" w:lineRule="auto" w:before="0" w:after="0"/>
        <w:ind w:left="1327" w:right="115" w:hanging="360"/>
        <w:jc w:val="both"/>
        <w:rPr>
          <w:sz w:val="21"/>
        </w:rPr>
      </w:pPr>
      <w:r>
        <w:rPr>
          <w:color w:val="231F20"/>
          <w:w w:val="105"/>
          <w:sz w:val="21"/>
        </w:rPr>
        <w:t>Los</w:t>
      </w:r>
      <w:r>
        <w:rPr>
          <w:color w:val="231F20"/>
          <w:spacing w:val="-25"/>
          <w:w w:val="105"/>
          <w:sz w:val="21"/>
        </w:rPr>
        <w:t> </w:t>
      </w:r>
      <w:r>
        <w:rPr>
          <w:color w:val="231F20"/>
          <w:w w:val="105"/>
          <w:sz w:val="21"/>
        </w:rPr>
        <w:t>choques</w:t>
      </w:r>
      <w:r>
        <w:rPr>
          <w:color w:val="231F20"/>
          <w:spacing w:val="-25"/>
          <w:w w:val="105"/>
          <w:sz w:val="21"/>
        </w:rPr>
        <w:t> </w:t>
      </w:r>
      <w:r>
        <w:rPr>
          <w:color w:val="231F20"/>
          <w:w w:val="105"/>
          <w:sz w:val="21"/>
        </w:rPr>
        <w:t>agregados</w:t>
      </w:r>
      <w:r>
        <w:rPr>
          <w:color w:val="231F20"/>
          <w:spacing w:val="-25"/>
          <w:w w:val="105"/>
          <w:sz w:val="21"/>
        </w:rPr>
        <w:t> </w:t>
      </w:r>
      <w:r>
        <w:rPr>
          <w:color w:val="231F20"/>
          <w:w w:val="105"/>
          <w:sz w:val="21"/>
        </w:rPr>
        <w:t>pronunciados</w:t>
      </w:r>
      <w:r>
        <w:rPr>
          <w:color w:val="231F20"/>
          <w:spacing w:val="-25"/>
          <w:w w:val="105"/>
          <w:sz w:val="21"/>
        </w:rPr>
        <w:t> </w:t>
      </w:r>
      <w:r>
        <w:rPr>
          <w:color w:val="231F20"/>
          <w:w w:val="105"/>
          <w:sz w:val="21"/>
        </w:rPr>
        <w:t>sobre</w:t>
      </w:r>
      <w:r>
        <w:rPr>
          <w:color w:val="231F20"/>
          <w:spacing w:val="-25"/>
          <w:w w:val="105"/>
          <w:sz w:val="21"/>
        </w:rPr>
        <w:t> </w:t>
      </w:r>
      <w:r>
        <w:rPr>
          <w:color w:val="231F20"/>
          <w:w w:val="105"/>
          <w:sz w:val="21"/>
        </w:rPr>
        <w:t>la</w:t>
      </w:r>
      <w:r>
        <w:rPr>
          <w:color w:val="231F20"/>
          <w:spacing w:val="-25"/>
          <w:w w:val="105"/>
          <w:sz w:val="21"/>
        </w:rPr>
        <w:t> </w:t>
      </w:r>
      <w:r>
        <w:rPr>
          <w:color w:val="231F20"/>
          <w:w w:val="105"/>
          <w:sz w:val="21"/>
        </w:rPr>
        <w:t>demanda</w:t>
      </w:r>
      <w:r>
        <w:rPr>
          <w:color w:val="231F20"/>
          <w:spacing w:val="-25"/>
          <w:w w:val="105"/>
          <w:sz w:val="21"/>
        </w:rPr>
        <w:t> </w:t>
      </w:r>
      <w:r>
        <w:rPr>
          <w:color w:val="231F20"/>
          <w:w w:val="105"/>
          <w:sz w:val="21"/>
        </w:rPr>
        <w:t>de trabajo</w:t>
      </w:r>
      <w:r>
        <w:rPr>
          <w:color w:val="231F20"/>
          <w:spacing w:val="-27"/>
          <w:w w:val="105"/>
          <w:sz w:val="21"/>
        </w:rPr>
        <w:t> </w:t>
      </w:r>
      <w:r>
        <w:rPr>
          <w:color w:val="231F20"/>
          <w:w w:val="105"/>
          <w:sz w:val="21"/>
        </w:rPr>
        <w:t>pueden</w:t>
      </w:r>
      <w:r>
        <w:rPr>
          <w:color w:val="231F20"/>
          <w:spacing w:val="-27"/>
          <w:w w:val="105"/>
          <w:sz w:val="21"/>
        </w:rPr>
        <w:t> </w:t>
      </w:r>
      <w:r>
        <w:rPr>
          <w:color w:val="231F20"/>
          <w:w w:val="105"/>
          <w:sz w:val="21"/>
        </w:rPr>
        <w:t>tener</w:t>
      </w:r>
      <w:r>
        <w:rPr>
          <w:color w:val="231F20"/>
          <w:spacing w:val="-27"/>
          <w:w w:val="105"/>
          <w:sz w:val="21"/>
        </w:rPr>
        <w:t> </w:t>
      </w:r>
      <w:r>
        <w:rPr>
          <w:color w:val="231F20"/>
          <w:w w:val="105"/>
          <w:sz w:val="21"/>
        </w:rPr>
        <w:t>efectos</w:t>
      </w:r>
      <w:r>
        <w:rPr>
          <w:color w:val="231F20"/>
          <w:spacing w:val="-27"/>
          <w:w w:val="105"/>
          <w:sz w:val="21"/>
        </w:rPr>
        <w:t> </w:t>
      </w:r>
      <w:r>
        <w:rPr>
          <w:color w:val="231F20"/>
          <w:w w:val="105"/>
          <w:sz w:val="21"/>
        </w:rPr>
        <w:t>persistentes</w:t>
      </w:r>
      <w:r>
        <w:rPr>
          <w:color w:val="231F20"/>
          <w:spacing w:val="-27"/>
          <w:w w:val="105"/>
          <w:sz w:val="21"/>
        </w:rPr>
        <w:t> </w:t>
      </w:r>
      <w:r>
        <w:rPr>
          <w:color w:val="231F20"/>
          <w:w w:val="105"/>
          <w:sz w:val="21"/>
        </w:rPr>
        <w:t>sobre</w:t>
      </w:r>
      <w:r>
        <w:rPr>
          <w:color w:val="231F20"/>
          <w:spacing w:val="-27"/>
          <w:w w:val="105"/>
          <w:sz w:val="21"/>
        </w:rPr>
        <w:t> </w:t>
      </w:r>
      <w:r>
        <w:rPr>
          <w:color w:val="231F20"/>
          <w:w w:val="105"/>
          <w:sz w:val="21"/>
        </w:rPr>
        <w:t>los</w:t>
      </w:r>
      <w:r>
        <w:rPr>
          <w:color w:val="231F20"/>
          <w:spacing w:val="-27"/>
          <w:w w:val="105"/>
          <w:sz w:val="21"/>
        </w:rPr>
        <w:t> </w:t>
      </w:r>
      <w:r>
        <w:rPr>
          <w:color w:val="231F20"/>
          <w:w w:val="105"/>
          <w:sz w:val="21"/>
        </w:rPr>
        <w:t>salarios, el empleo y el</w:t>
      </w:r>
      <w:r>
        <w:rPr>
          <w:color w:val="231F20"/>
          <w:spacing w:val="-25"/>
          <w:w w:val="105"/>
          <w:sz w:val="21"/>
        </w:rPr>
        <w:t> </w:t>
      </w:r>
      <w:r>
        <w:rPr>
          <w:color w:val="231F20"/>
          <w:w w:val="105"/>
          <w:sz w:val="21"/>
        </w:rPr>
        <w:t>desempleo.</w:t>
      </w:r>
    </w:p>
    <w:p>
      <w:pPr>
        <w:pStyle w:val="ListParagraph"/>
        <w:numPr>
          <w:ilvl w:val="2"/>
          <w:numId w:val="67"/>
        </w:numPr>
        <w:tabs>
          <w:tab w:pos="1328" w:val="left" w:leader="none"/>
        </w:tabs>
        <w:spacing w:line="259" w:lineRule="auto" w:before="170" w:after="0"/>
        <w:ind w:left="1327" w:right="121" w:hanging="360"/>
        <w:jc w:val="both"/>
        <w:rPr>
          <w:sz w:val="21"/>
        </w:rPr>
      </w:pPr>
      <w:r>
        <w:rPr>
          <w:color w:val="231F20"/>
          <w:w w:val="105"/>
          <w:sz w:val="21"/>
        </w:rPr>
        <w:t>Cuando</w:t>
      </w:r>
      <w:r>
        <w:rPr>
          <w:color w:val="231F20"/>
          <w:spacing w:val="-37"/>
          <w:w w:val="105"/>
          <w:sz w:val="21"/>
        </w:rPr>
        <w:t> </w:t>
      </w:r>
      <w:r>
        <w:rPr>
          <w:color w:val="231F20"/>
          <w:w w:val="105"/>
          <w:sz w:val="21"/>
        </w:rPr>
        <w:t>los</w:t>
      </w:r>
      <w:r>
        <w:rPr>
          <w:color w:val="231F20"/>
          <w:spacing w:val="-37"/>
          <w:w w:val="105"/>
          <w:sz w:val="21"/>
        </w:rPr>
        <w:t> </w:t>
      </w:r>
      <w:r>
        <w:rPr>
          <w:color w:val="231F20"/>
          <w:w w:val="105"/>
          <w:sz w:val="21"/>
        </w:rPr>
        <w:t>choques</w:t>
      </w:r>
      <w:r>
        <w:rPr>
          <w:color w:val="231F20"/>
          <w:spacing w:val="-37"/>
          <w:w w:val="105"/>
          <w:sz w:val="21"/>
        </w:rPr>
        <w:t> </w:t>
      </w:r>
      <w:r>
        <w:rPr>
          <w:color w:val="231F20"/>
          <w:w w:val="105"/>
          <w:sz w:val="21"/>
        </w:rPr>
        <w:t>son</w:t>
      </w:r>
      <w:r>
        <w:rPr>
          <w:color w:val="231F20"/>
          <w:spacing w:val="-37"/>
          <w:w w:val="105"/>
          <w:sz w:val="21"/>
        </w:rPr>
        <w:t> </w:t>
      </w:r>
      <w:r>
        <w:rPr>
          <w:color w:val="231F20"/>
          <w:w w:val="105"/>
          <w:sz w:val="21"/>
        </w:rPr>
        <w:t>suaves,</w:t>
      </w:r>
      <w:r>
        <w:rPr>
          <w:color w:val="231F20"/>
          <w:spacing w:val="-41"/>
          <w:w w:val="105"/>
          <w:sz w:val="21"/>
        </w:rPr>
        <w:t> </w:t>
      </w:r>
      <w:r>
        <w:rPr>
          <w:color w:val="231F20"/>
          <w:w w:val="105"/>
          <w:sz w:val="21"/>
        </w:rPr>
        <w:t>las</w:t>
      </w:r>
      <w:r>
        <w:rPr>
          <w:color w:val="231F20"/>
          <w:spacing w:val="-37"/>
          <w:w w:val="105"/>
          <w:sz w:val="21"/>
        </w:rPr>
        <w:t> </w:t>
      </w:r>
      <w:r>
        <w:rPr>
          <w:color w:val="231F20"/>
          <w:w w:val="105"/>
          <w:sz w:val="21"/>
        </w:rPr>
        <w:t>empresas</w:t>
      </w:r>
      <w:r>
        <w:rPr>
          <w:color w:val="231F20"/>
          <w:spacing w:val="-37"/>
          <w:w w:val="105"/>
          <w:sz w:val="21"/>
        </w:rPr>
        <w:t> </w:t>
      </w:r>
      <w:r>
        <w:rPr>
          <w:color w:val="231F20"/>
          <w:w w:val="105"/>
          <w:sz w:val="21"/>
        </w:rPr>
        <w:t>con</w:t>
      </w:r>
      <w:r>
        <w:rPr>
          <w:color w:val="231F20"/>
          <w:spacing w:val="-37"/>
          <w:w w:val="105"/>
          <w:sz w:val="21"/>
        </w:rPr>
        <w:t> </w:t>
      </w:r>
      <w:r>
        <w:rPr>
          <w:color w:val="231F20"/>
          <w:w w:val="105"/>
          <w:sz w:val="21"/>
        </w:rPr>
        <w:t>altos</w:t>
      </w:r>
      <w:r>
        <w:rPr>
          <w:color w:val="231F20"/>
          <w:spacing w:val="-37"/>
          <w:w w:val="105"/>
          <w:sz w:val="21"/>
        </w:rPr>
        <w:t> </w:t>
      </w:r>
      <w:r>
        <w:rPr>
          <w:color w:val="231F20"/>
          <w:w w:val="105"/>
          <w:sz w:val="21"/>
        </w:rPr>
        <w:t>cos- tos</w:t>
      </w:r>
      <w:r>
        <w:rPr>
          <w:color w:val="231F20"/>
          <w:spacing w:val="-19"/>
          <w:w w:val="105"/>
          <w:sz w:val="21"/>
        </w:rPr>
        <w:t> </w:t>
      </w:r>
      <w:r>
        <w:rPr>
          <w:color w:val="231F20"/>
          <w:w w:val="105"/>
          <w:sz w:val="21"/>
        </w:rPr>
        <w:t>de</w:t>
      </w:r>
      <w:r>
        <w:rPr>
          <w:color w:val="231F20"/>
          <w:spacing w:val="-19"/>
          <w:w w:val="105"/>
          <w:sz w:val="21"/>
        </w:rPr>
        <w:t> </w:t>
      </w:r>
      <w:r>
        <w:rPr>
          <w:color w:val="231F20"/>
          <w:w w:val="105"/>
          <w:sz w:val="21"/>
        </w:rPr>
        <w:t>rotación</w:t>
      </w:r>
      <w:r>
        <w:rPr>
          <w:color w:val="231F20"/>
          <w:spacing w:val="-19"/>
          <w:w w:val="105"/>
          <w:sz w:val="21"/>
        </w:rPr>
        <w:t> </w:t>
      </w:r>
      <w:r>
        <w:rPr>
          <w:color w:val="231F20"/>
          <w:w w:val="105"/>
          <w:sz w:val="21"/>
        </w:rPr>
        <w:t>tienen</w:t>
      </w:r>
      <w:r>
        <w:rPr>
          <w:color w:val="231F20"/>
          <w:spacing w:val="-19"/>
          <w:w w:val="105"/>
          <w:sz w:val="21"/>
        </w:rPr>
        <w:t> </w:t>
      </w:r>
      <w:r>
        <w:rPr>
          <w:color w:val="231F20"/>
          <w:w w:val="105"/>
          <w:sz w:val="21"/>
        </w:rPr>
        <w:t>un</w:t>
      </w:r>
      <w:r>
        <w:rPr>
          <w:color w:val="231F20"/>
          <w:spacing w:val="-19"/>
          <w:w w:val="105"/>
          <w:sz w:val="21"/>
        </w:rPr>
        <w:t> </w:t>
      </w:r>
      <w:r>
        <w:rPr>
          <w:color w:val="231F20"/>
          <w:w w:val="105"/>
          <w:sz w:val="21"/>
        </w:rPr>
        <w:t>incentivo</w:t>
      </w:r>
      <w:r>
        <w:rPr>
          <w:color w:val="231F20"/>
          <w:spacing w:val="-19"/>
          <w:w w:val="105"/>
          <w:sz w:val="21"/>
        </w:rPr>
        <w:t> </w:t>
      </w:r>
      <w:r>
        <w:rPr>
          <w:color w:val="231F20"/>
          <w:w w:val="105"/>
          <w:sz w:val="21"/>
        </w:rPr>
        <w:t>para</w:t>
      </w:r>
      <w:r>
        <w:rPr>
          <w:color w:val="231F20"/>
          <w:spacing w:val="-19"/>
          <w:w w:val="105"/>
          <w:sz w:val="21"/>
        </w:rPr>
        <w:t> </w:t>
      </w:r>
      <w:r>
        <w:rPr>
          <w:color w:val="231F20"/>
          <w:w w:val="105"/>
          <w:sz w:val="21"/>
        </w:rPr>
        <w:t>ahorrar</w:t>
      </w:r>
      <w:r>
        <w:rPr>
          <w:color w:val="231F20"/>
          <w:spacing w:val="-19"/>
          <w:w w:val="105"/>
          <w:sz w:val="21"/>
        </w:rPr>
        <w:t> </w:t>
      </w:r>
      <w:r>
        <w:rPr>
          <w:color w:val="231F20"/>
          <w:w w:val="105"/>
          <w:sz w:val="21"/>
        </w:rPr>
        <w:t>trabajo</w:t>
      </w:r>
      <w:r>
        <w:rPr>
          <w:color w:val="231F20"/>
          <w:spacing w:val="-19"/>
          <w:w w:val="105"/>
          <w:sz w:val="21"/>
        </w:rPr>
        <w:t> </w:t>
      </w:r>
      <w:r>
        <w:rPr>
          <w:color w:val="231F20"/>
          <w:w w:val="105"/>
          <w:sz w:val="21"/>
        </w:rPr>
        <w:t>y</w:t>
      </w:r>
      <w:r>
        <w:rPr>
          <w:color w:val="231F20"/>
          <w:spacing w:val="-19"/>
          <w:w w:val="105"/>
          <w:sz w:val="21"/>
        </w:rPr>
        <w:t> </w:t>
      </w:r>
      <w:r>
        <w:rPr>
          <w:color w:val="231F20"/>
          <w:w w:val="105"/>
          <w:sz w:val="21"/>
        </w:rPr>
        <w:t>así reducir la variabilidad del</w:t>
      </w:r>
      <w:r>
        <w:rPr>
          <w:color w:val="231F20"/>
          <w:spacing w:val="-5"/>
          <w:w w:val="105"/>
          <w:sz w:val="21"/>
        </w:rPr>
        <w:t> </w:t>
      </w:r>
      <w:r>
        <w:rPr>
          <w:color w:val="231F20"/>
          <w:w w:val="105"/>
          <w:sz w:val="21"/>
        </w:rPr>
        <w:t>empleo.</w:t>
      </w:r>
    </w:p>
    <w:p>
      <w:pPr>
        <w:pStyle w:val="ListParagraph"/>
        <w:numPr>
          <w:ilvl w:val="2"/>
          <w:numId w:val="67"/>
        </w:numPr>
        <w:tabs>
          <w:tab w:pos="1328" w:val="left" w:leader="none"/>
        </w:tabs>
        <w:spacing w:line="259" w:lineRule="auto" w:before="170" w:after="0"/>
        <w:ind w:left="1327" w:right="121" w:hanging="360"/>
        <w:jc w:val="both"/>
        <w:rPr>
          <w:sz w:val="21"/>
        </w:rPr>
      </w:pPr>
      <w:r>
        <w:rPr>
          <w:color w:val="231F20"/>
          <w:w w:val="105"/>
          <w:sz w:val="21"/>
        </w:rPr>
        <w:t>El</w:t>
      </w:r>
      <w:r>
        <w:rPr>
          <w:color w:val="231F20"/>
          <w:spacing w:val="-8"/>
          <w:w w:val="105"/>
          <w:sz w:val="21"/>
        </w:rPr>
        <w:t> </w:t>
      </w:r>
      <w:r>
        <w:rPr>
          <w:color w:val="231F20"/>
          <w:w w:val="105"/>
          <w:sz w:val="21"/>
        </w:rPr>
        <w:t>modelo</w:t>
      </w:r>
      <w:r>
        <w:rPr>
          <w:color w:val="231F20"/>
          <w:spacing w:val="-8"/>
          <w:w w:val="105"/>
          <w:sz w:val="21"/>
        </w:rPr>
        <w:t> </w:t>
      </w:r>
      <w:r>
        <w:rPr>
          <w:color w:val="231F20"/>
          <w:w w:val="105"/>
          <w:sz w:val="21"/>
        </w:rPr>
        <w:t>internos-externos</w:t>
      </w:r>
      <w:r>
        <w:rPr>
          <w:color w:val="231F20"/>
          <w:spacing w:val="-8"/>
          <w:w w:val="105"/>
          <w:sz w:val="21"/>
        </w:rPr>
        <w:t> </w:t>
      </w:r>
      <w:r>
        <w:rPr>
          <w:color w:val="231F20"/>
          <w:w w:val="105"/>
          <w:sz w:val="21"/>
        </w:rPr>
        <w:t>provee</w:t>
      </w:r>
      <w:r>
        <w:rPr>
          <w:color w:val="231F20"/>
          <w:spacing w:val="-8"/>
          <w:w w:val="105"/>
          <w:sz w:val="21"/>
        </w:rPr>
        <w:t> </w:t>
      </w:r>
      <w:r>
        <w:rPr>
          <w:color w:val="231F20"/>
          <w:w w:val="105"/>
          <w:sz w:val="21"/>
        </w:rPr>
        <w:t>racionalidad</w:t>
      </w:r>
      <w:r>
        <w:rPr>
          <w:color w:val="231F20"/>
          <w:spacing w:val="-8"/>
          <w:w w:val="105"/>
          <w:sz w:val="21"/>
        </w:rPr>
        <w:t> </w:t>
      </w:r>
      <w:r>
        <w:rPr>
          <w:color w:val="231F20"/>
          <w:w w:val="105"/>
          <w:sz w:val="21"/>
        </w:rPr>
        <w:t>a</w:t>
      </w:r>
      <w:r>
        <w:rPr>
          <w:color w:val="231F20"/>
          <w:spacing w:val="-8"/>
          <w:w w:val="105"/>
          <w:sz w:val="21"/>
        </w:rPr>
        <w:t> </w:t>
      </w:r>
      <w:r>
        <w:rPr>
          <w:color w:val="231F20"/>
          <w:w w:val="105"/>
          <w:sz w:val="21"/>
        </w:rPr>
        <w:t>muchas características</w:t>
      </w:r>
      <w:r>
        <w:rPr>
          <w:color w:val="231F20"/>
          <w:spacing w:val="-31"/>
          <w:w w:val="105"/>
          <w:sz w:val="21"/>
        </w:rPr>
        <w:t> </w:t>
      </w:r>
      <w:r>
        <w:rPr>
          <w:color w:val="231F20"/>
          <w:w w:val="105"/>
          <w:sz w:val="21"/>
        </w:rPr>
        <w:t>asociadas</w:t>
      </w:r>
      <w:r>
        <w:rPr>
          <w:color w:val="231F20"/>
          <w:spacing w:val="-31"/>
          <w:w w:val="105"/>
          <w:sz w:val="21"/>
        </w:rPr>
        <w:t> </w:t>
      </w:r>
      <w:r>
        <w:rPr>
          <w:color w:val="231F20"/>
          <w:w w:val="105"/>
          <w:sz w:val="21"/>
        </w:rPr>
        <w:t>con</w:t>
      </w:r>
      <w:r>
        <w:rPr>
          <w:color w:val="231F20"/>
          <w:spacing w:val="-31"/>
          <w:w w:val="105"/>
          <w:sz w:val="21"/>
        </w:rPr>
        <w:t> </w:t>
      </w:r>
      <w:r>
        <w:rPr>
          <w:color w:val="231F20"/>
          <w:w w:val="105"/>
          <w:sz w:val="21"/>
        </w:rPr>
        <w:t>los</w:t>
      </w:r>
      <w:r>
        <w:rPr>
          <w:color w:val="231F20"/>
          <w:spacing w:val="-31"/>
          <w:w w:val="105"/>
          <w:sz w:val="21"/>
        </w:rPr>
        <w:t> </w:t>
      </w:r>
      <w:r>
        <w:rPr>
          <w:color w:val="231F20"/>
          <w:w w:val="105"/>
          <w:sz w:val="21"/>
        </w:rPr>
        <w:t>mercados</w:t>
      </w:r>
      <w:r>
        <w:rPr>
          <w:color w:val="231F20"/>
          <w:spacing w:val="-31"/>
          <w:w w:val="105"/>
          <w:sz w:val="21"/>
        </w:rPr>
        <w:t> </w:t>
      </w:r>
      <w:r>
        <w:rPr>
          <w:color w:val="231F20"/>
          <w:w w:val="105"/>
          <w:sz w:val="21"/>
        </w:rPr>
        <w:t>duales</w:t>
      </w:r>
      <w:r>
        <w:rPr>
          <w:color w:val="231F20"/>
          <w:spacing w:val="-31"/>
          <w:w w:val="105"/>
          <w:sz w:val="21"/>
        </w:rPr>
        <w:t> </w:t>
      </w:r>
      <w:r>
        <w:rPr>
          <w:color w:val="231F20"/>
          <w:w w:val="105"/>
          <w:sz w:val="21"/>
        </w:rPr>
        <w:t>de</w:t>
      </w:r>
      <w:r>
        <w:rPr>
          <w:color w:val="231F20"/>
          <w:spacing w:val="-31"/>
          <w:w w:val="105"/>
          <w:sz w:val="21"/>
        </w:rPr>
        <w:t> </w:t>
      </w:r>
      <w:r>
        <w:rPr>
          <w:color w:val="231F20"/>
          <w:w w:val="105"/>
          <w:sz w:val="21"/>
        </w:rPr>
        <w:t>traba- jo; por ejemplo, las brechas salariales entre distintas</w:t>
      </w:r>
      <w:r>
        <w:rPr>
          <w:color w:val="231F20"/>
          <w:spacing w:val="26"/>
          <w:w w:val="105"/>
          <w:sz w:val="21"/>
        </w:rPr>
        <w:t> </w:t>
      </w:r>
      <w:r>
        <w:rPr>
          <w:color w:val="231F20"/>
          <w:w w:val="105"/>
          <w:sz w:val="21"/>
        </w:rPr>
        <w:t>cate-</w:t>
      </w:r>
    </w:p>
    <w:p>
      <w:pPr>
        <w:spacing w:after="0" w:line="259" w:lineRule="auto"/>
        <w:jc w:val="both"/>
        <w:rPr>
          <w:sz w:val="21"/>
        </w:rPr>
        <w:sectPr>
          <w:pgSz w:w="9640" w:h="13890"/>
          <w:pgMar w:top="0" w:bottom="280" w:left="1300" w:right="1180"/>
        </w:sectPr>
      </w:pPr>
    </w:p>
    <w:p>
      <w:pPr>
        <w:pStyle w:val="BodyText"/>
        <w:spacing w:line="259" w:lineRule="auto" w:before="120"/>
        <w:ind w:left="1314" w:right="107"/>
      </w:pPr>
      <w:r>
        <w:rPr>
          <w:color w:val="231F20"/>
          <w:w w:val="105"/>
        </w:rPr>
        <w:t>gorías</w:t>
      </w:r>
      <w:r>
        <w:rPr>
          <w:color w:val="231F20"/>
          <w:spacing w:val="-17"/>
          <w:w w:val="105"/>
        </w:rPr>
        <w:t> </w:t>
      </w:r>
      <w:r>
        <w:rPr>
          <w:color w:val="231F20"/>
          <w:w w:val="105"/>
        </w:rPr>
        <w:t>de</w:t>
      </w:r>
      <w:r>
        <w:rPr>
          <w:color w:val="231F20"/>
          <w:spacing w:val="-17"/>
          <w:w w:val="105"/>
        </w:rPr>
        <w:t> </w:t>
      </w:r>
      <w:r>
        <w:rPr>
          <w:color w:val="231F20"/>
          <w:w w:val="105"/>
        </w:rPr>
        <w:t>calificación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trabajadores</w:t>
      </w:r>
      <w:r>
        <w:rPr>
          <w:color w:val="231F20"/>
          <w:spacing w:val="-17"/>
          <w:w w:val="105"/>
        </w:rPr>
        <w:t> </w:t>
      </w:r>
      <w:r>
        <w:rPr>
          <w:color w:val="231F20"/>
          <w:w w:val="105"/>
        </w:rPr>
        <w:t>o</w:t>
      </w:r>
      <w:r>
        <w:rPr>
          <w:color w:val="231F20"/>
          <w:spacing w:val="-17"/>
          <w:w w:val="105"/>
        </w:rPr>
        <w:t> </w:t>
      </w:r>
      <w:r>
        <w:rPr>
          <w:color w:val="231F20"/>
          <w:w w:val="105"/>
        </w:rPr>
        <w:t>las</w:t>
      </w:r>
      <w:r>
        <w:rPr>
          <w:color w:val="231F20"/>
          <w:spacing w:val="-17"/>
          <w:w w:val="105"/>
        </w:rPr>
        <w:t> </w:t>
      </w:r>
      <w:r>
        <w:rPr>
          <w:color w:val="231F20"/>
          <w:w w:val="105"/>
        </w:rPr>
        <w:t>prestaciones laborales</w:t>
      </w:r>
      <w:r>
        <w:rPr>
          <w:color w:val="231F20"/>
          <w:spacing w:val="-24"/>
          <w:w w:val="105"/>
        </w:rPr>
        <w:t> </w:t>
      </w:r>
      <w:r>
        <w:rPr>
          <w:color w:val="231F20"/>
          <w:w w:val="105"/>
        </w:rPr>
        <w:t>basadas</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antigüedad.</w:t>
      </w:r>
    </w:p>
    <w:p>
      <w:pPr>
        <w:pStyle w:val="ListParagraph"/>
        <w:numPr>
          <w:ilvl w:val="2"/>
          <w:numId w:val="67"/>
        </w:numPr>
        <w:tabs>
          <w:tab w:pos="1315" w:val="left" w:leader="none"/>
        </w:tabs>
        <w:spacing w:line="259" w:lineRule="auto" w:before="170" w:after="0"/>
        <w:ind w:left="1314" w:right="115" w:hanging="360"/>
        <w:jc w:val="both"/>
        <w:rPr>
          <w:sz w:val="21"/>
        </w:rPr>
      </w:pPr>
      <w:r>
        <w:rPr>
          <w:color w:val="231F20"/>
          <w:w w:val="105"/>
          <w:sz w:val="21"/>
        </w:rPr>
        <w:t>Ofrece</w:t>
      </w:r>
      <w:r>
        <w:rPr>
          <w:color w:val="231F20"/>
          <w:spacing w:val="-34"/>
          <w:w w:val="105"/>
          <w:sz w:val="21"/>
        </w:rPr>
        <w:t> </w:t>
      </w:r>
      <w:r>
        <w:rPr>
          <w:color w:val="231F20"/>
          <w:w w:val="105"/>
          <w:sz w:val="21"/>
        </w:rPr>
        <w:t>una</w:t>
      </w:r>
      <w:r>
        <w:rPr>
          <w:color w:val="231F20"/>
          <w:spacing w:val="-34"/>
          <w:w w:val="105"/>
          <w:sz w:val="21"/>
        </w:rPr>
        <w:t> </w:t>
      </w:r>
      <w:r>
        <w:rPr>
          <w:color w:val="231F20"/>
          <w:w w:val="105"/>
          <w:sz w:val="21"/>
        </w:rPr>
        <w:t>explicación</w:t>
      </w:r>
      <w:r>
        <w:rPr>
          <w:color w:val="231F20"/>
          <w:spacing w:val="-34"/>
          <w:w w:val="105"/>
          <w:sz w:val="21"/>
        </w:rPr>
        <w:t> </w:t>
      </w:r>
      <w:r>
        <w:rPr>
          <w:color w:val="231F20"/>
          <w:w w:val="105"/>
          <w:sz w:val="21"/>
        </w:rPr>
        <w:t>para</w:t>
      </w:r>
      <w:r>
        <w:rPr>
          <w:color w:val="231F20"/>
          <w:spacing w:val="-34"/>
          <w:w w:val="105"/>
          <w:sz w:val="21"/>
        </w:rPr>
        <w:t> </w:t>
      </w:r>
      <w:r>
        <w:rPr>
          <w:color w:val="231F20"/>
          <w:w w:val="105"/>
          <w:sz w:val="21"/>
        </w:rPr>
        <w:t>las</w:t>
      </w:r>
      <w:r>
        <w:rPr>
          <w:color w:val="231F20"/>
          <w:spacing w:val="-34"/>
          <w:w w:val="105"/>
          <w:sz w:val="21"/>
        </w:rPr>
        <w:t> </w:t>
      </w:r>
      <w:r>
        <w:rPr>
          <w:color w:val="231F20"/>
          <w:w w:val="105"/>
          <w:sz w:val="21"/>
        </w:rPr>
        <w:t>tasas</w:t>
      </w:r>
      <w:r>
        <w:rPr>
          <w:color w:val="231F20"/>
          <w:spacing w:val="-34"/>
          <w:w w:val="105"/>
          <w:sz w:val="21"/>
        </w:rPr>
        <w:t> </w:t>
      </w:r>
      <w:r>
        <w:rPr>
          <w:color w:val="231F20"/>
          <w:w w:val="105"/>
          <w:sz w:val="21"/>
        </w:rPr>
        <w:t>de</w:t>
      </w:r>
      <w:r>
        <w:rPr>
          <w:color w:val="231F20"/>
          <w:spacing w:val="-34"/>
          <w:w w:val="105"/>
          <w:sz w:val="21"/>
        </w:rPr>
        <w:t> </w:t>
      </w:r>
      <w:r>
        <w:rPr>
          <w:color w:val="231F20"/>
          <w:w w:val="105"/>
          <w:sz w:val="21"/>
        </w:rPr>
        <w:t>desempleo</w:t>
      </w:r>
      <w:r>
        <w:rPr>
          <w:color w:val="231F20"/>
          <w:spacing w:val="-34"/>
          <w:w w:val="105"/>
          <w:sz w:val="21"/>
        </w:rPr>
        <w:t> </w:t>
      </w:r>
      <w:r>
        <w:rPr>
          <w:color w:val="231F20"/>
          <w:w w:val="105"/>
          <w:sz w:val="21"/>
        </w:rPr>
        <w:t>relativa- mente</w:t>
      </w:r>
      <w:r>
        <w:rPr>
          <w:color w:val="231F20"/>
          <w:spacing w:val="-14"/>
          <w:w w:val="105"/>
          <w:sz w:val="21"/>
        </w:rPr>
        <w:t> </w:t>
      </w:r>
      <w:r>
        <w:rPr>
          <w:color w:val="231F20"/>
          <w:w w:val="105"/>
          <w:sz w:val="21"/>
        </w:rPr>
        <w:t>altas,</w:t>
      </w:r>
      <w:r>
        <w:rPr>
          <w:color w:val="231F20"/>
          <w:spacing w:val="-19"/>
          <w:w w:val="105"/>
          <w:sz w:val="21"/>
        </w:rPr>
        <w:t> </w:t>
      </w:r>
      <w:r>
        <w:rPr>
          <w:color w:val="231F20"/>
          <w:w w:val="105"/>
          <w:sz w:val="21"/>
        </w:rPr>
        <w:t>que</w:t>
      </w:r>
      <w:r>
        <w:rPr>
          <w:color w:val="231F20"/>
          <w:spacing w:val="-14"/>
          <w:w w:val="105"/>
          <w:sz w:val="21"/>
        </w:rPr>
        <w:t> </w:t>
      </w:r>
      <w:r>
        <w:rPr>
          <w:color w:val="231F20"/>
          <w:w w:val="105"/>
          <w:sz w:val="21"/>
        </w:rPr>
        <w:t>son</w:t>
      </w:r>
      <w:r>
        <w:rPr>
          <w:color w:val="231F20"/>
          <w:spacing w:val="-14"/>
          <w:w w:val="105"/>
          <w:sz w:val="21"/>
        </w:rPr>
        <w:t> </w:t>
      </w:r>
      <w:r>
        <w:rPr>
          <w:color w:val="231F20"/>
          <w:w w:val="105"/>
          <w:sz w:val="21"/>
        </w:rPr>
        <w:t>frecuentes</w:t>
      </w:r>
      <w:r>
        <w:rPr>
          <w:color w:val="231F20"/>
          <w:spacing w:val="-14"/>
          <w:w w:val="105"/>
          <w:sz w:val="21"/>
        </w:rPr>
        <w:t> </w:t>
      </w:r>
      <w:r>
        <w:rPr>
          <w:color w:val="231F20"/>
          <w:w w:val="105"/>
          <w:sz w:val="21"/>
        </w:rPr>
        <w:t>entre</w:t>
      </w:r>
      <w:r>
        <w:rPr>
          <w:color w:val="231F20"/>
          <w:spacing w:val="-14"/>
          <w:w w:val="105"/>
          <w:sz w:val="21"/>
        </w:rPr>
        <w:t> </w:t>
      </w:r>
      <w:r>
        <w:rPr>
          <w:color w:val="231F20"/>
          <w:w w:val="105"/>
          <w:sz w:val="21"/>
        </w:rPr>
        <w:t>los</w:t>
      </w:r>
      <w:r>
        <w:rPr>
          <w:color w:val="231F20"/>
          <w:spacing w:val="-14"/>
          <w:w w:val="105"/>
          <w:sz w:val="21"/>
        </w:rPr>
        <w:t> </w:t>
      </w:r>
      <w:r>
        <w:rPr>
          <w:color w:val="231F20"/>
          <w:w w:val="105"/>
          <w:sz w:val="21"/>
        </w:rPr>
        <w:t>jóvenes,</w:t>
      </w:r>
      <w:r>
        <w:rPr>
          <w:color w:val="231F20"/>
          <w:spacing w:val="-19"/>
          <w:w w:val="105"/>
          <w:sz w:val="21"/>
        </w:rPr>
        <w:t> </w:t>
      </w:r>
      <w:r>
        <w:rPr>
          <w:color w:val="231F20"/>
          <w:w w:val="105"/>
          <w:sz w:val="21"/>
        </w:rPr>
        <w:t>la</w:t>
      </w:r>
      <w:r>
        <w:rPr>
          <w:color w:val="231F20"/>
          <w:spacing w:val="-14"/>
          <w:w w:val="105"/>
          <w:sz w:val="21"/>
        </w:rPr>
        <w:t> </w:t>
      </w:r>
      <w:r>
        <w:rPr>
          <w:color w:val="231F20"/>
          <w:w w:val="105"/>
          <w:sz w:val="21"/>
        </w:rPr>
        <w:t>pobla- ción femenina y grupos</w:t>
      </w:r>
      <w:r>
        <w:rPr>
          <w:color w:val="231F20"/>
          <w:spacing w:val="-42"/>
          <w:w w:val="105"/>
          <w:sz w:val="21"/>
        </w:rPr>
        <w:t> </w:t>
      </w:r>
      <w:r>
        <w:rPr>
          <w:color w:val="231F20"/>
          <w:w w:val="105"/>
          <w:sz w:val="21"/>
        </w:rPr>
        <w:t>minoritarios.</w:t>
      </w:r>
    </w:p>
    <w:p>
      <w:pPr>
        <w:pStyle w:val="BodyText"/>
        <w:rPr>
          <w:sz w:val="20"/>
        </w:rPr>
      </w:pPr>
    </w:p>
    <w:p>
      <w:pPr>
        <w:pStyle w:val="BodyText"/>
        <w:rPr>
          <w:sz w:val="20"/>
        </w:rPr>
      </w:pPr>
    </w:p>
    <w:p>
      <w:pPr>
        <w:pStyle w:val="Heading2"/>
        <w:spacing w:before="154"/>
        <w:ind w:left="103"/>
      </w:pPr>
      <w:r>
        <w:rPr>
          <w:color w:val="231F20"/>
          <w:w w:val="95"/>
        </w:rPr>
        <w:t>Reflexiones finales</w:t>
      </w:r>
    </w:p>
    <w:p>
      <w:pPr>
        <w:pStyle w:val="BodyText"/>
        <w:rPr>
          <w:b/>
          <w:sz w:val="22"/>
        </w:rPr>
      </w:pPr>
    </w:p>
    <w:p>
      <w:pPr>
        <w:pStyle w:val="BodyText"/>
        <w:spacing w:line="259" w:lineRule="auto" w:before="160"/>
        <w:ind w:left="103" w:right="115"/>
        <w:jc w:val="both"/>
      </w:pPr>
      <w:r>
        <w:rPr>
          <w:color w:val="231F20"/>
          <w:spacing w:val="-6"/>
          <w:w w:val="105"/>
        </w:rPr>
        <w:t>Tras</w:t>
      </w:r>
      <w:r>
        <w:rPr>
          <w:color w:val="231F20"/>
          <w:spacing w:val="-25"/>
          <w:w w:val="105"/>
        </w:rPr>
        <w:t> </w:t>
      </w:r>
      <w:r>
        <w:rPr>
          <w:color w:val="231F20"/>
          <w:w w:val="105"/>
        </w:rPr>
        <w:t>la</w:t>
      </w:r>
      <w:r>
        <w:rPr>
          <w:color w:val="231F20"/>
          <w:spacing w:val="-25"/>
          <w:w w:val="105"/>
        </w:rPr>
        <w:t> </w:t>
      </w:r>
      <w:r>
        <w:rPr>
          <w:color w:val="231F20"/>
          <w:w w:val="105"/>
        </w:rPr>
        <w:t>revisión</w:t>
      </w:r>
      <w:r>
        <w:rPr>
          <w:color w:val="231F20"/>
          <w:spacing w:val="-25"/>
          <w:w w:val="105"/>
        </w:rPr>
        <w:t> </w:t>
      </w:r>
      <w:r>
        <w:rPr>
          <w:color w:val="231F20"/>
          <w:w w:val="105"/>
        </w:rPr>
        <w:t>de</w:t>
      </w:r>
      <w:r>
        <w:rPr>
          <w:color w:val="231F20"/>
          <w:spacing w:val="-25"/>
          <w:w w:val="105"/>
        </w:rPr>
        <w:t> </w:t>
      </w:r>
      <w:r>
        <w:rPr>
          <w:color w:val="231F20"/>
          <w:w w:val="105"/>
        </w:rPr>
        <w:t>los</w:t>
      </w:r>
      <w:r>
        <w:rPr>
          <w:color w:val="231F20"/>
          <w:spacing w:val="-25"/>
          <w:w w:val="105"/>
        </w:rPr>
        <w:t> </w:t>
      </w:r>
      <w:r>
        <w:rPr>
          <w:color w:val="231F20"/>
          <w:w w:val="105"/>
        </w:rPr>
        <w:t>distintos</w:t>
      </w:r>
      <w:r>
        <w:rPr>
          <w:color w:val="231F20"/>
          <w:spacing w:val="-25"/>
          <w:w w:val="105"/>
        </w:rPr>
        <w:t> </w:t>
      </w:r>
      <w:r>
        <w:rPr>
          <w:color w:val="231F20"/>
          <w:w w:val="105"/>
        </w:rPr>
        <w:t>enfoques</w:t>
      </w:r>
      <w:r>
        <w:rPr>
          <w:color w:val="231F20"/>
          <w:spacing w:val="-25"/>
          <w:w w:val="105"/>
        </w:rPr>
        <w:t> </w:t>
      </w:r>
      <w:r>
        <w:rPr>
          <w:color w:val="231F20"/>
          <w:w w:val="105"/>
        </w:rPr>
        <w:t>teóricos</w:t>
      </w:r>
      <w:r>
        <w:rPr>
          <w:color w:val="231F20"/>
          <w:spacing w:val="-25"/>
          <w:w w:val="105"/>
        </w:rPr>
        <w:t> </w:t>
      </w:r>
      <w:r>
        <w:rPr>
          <w:color w:val="231F20"/>
          <w:w w:val="105"/>
        </w:rPr>
        <w:t>de</w:t>
      </w:r>
      <w:r>
        <w:rPr>
          <w:color w:val="231F20"/>
          <w:spacing w:val="-25"/>
          <w:w w:val="105"/>
        </w:rPr>
        <w:t> </w:t>
      </w:r>
      <w:r>
        <w:rPr>
          <w:color w:val="231F20"/>
          <w:w w:val="105"/>
        </w:rPr>
        <w:t>corte</w:t>
      </w:r>
      <w:r>
        <w:rPr>
          <w:color w:val="231F20"/>
          <w:spacing w:val="-25"/>
          <w:w w:val="105"/>
        </w:rPr>
        <w:t> </w:t>
      </w:r>
      <w:r>
        <w:rPr>
          <w:color w:val="231F20"/>
          <w:w w:val="105"/>
        </w:rPr>
        <w:t>keynesiano,</w:t>
      </w:r>
      <w:r>
        <w:rPr>
          <w:color w:val="231F20"/>
          <w:spacing w:val="-29"/>
          <w:w w:val="105"/>
        </w:rPr>
        <w:t> </w:t>
      </w:r>
      <w:r>
        <w:rPr>
          <w:color w:val="231F20"/>
          <w:w w:val="105"/>
        </w:rPr>
        <w:t>se encontró</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general,</w:t>
      </w:r>
      <w:r>
        <w:rPr>
          <w:color w:val="231F20"/>
          <w:spacing w:val="-21"/>
          <w:w w:val="105"/>
        </w:rPr>
        <w:t> </w:t>
      </w:r>
      <w:r>
        <w:rPr>
          <w:color w:val="231F20"/>
          <w:w w:val="105"/>
        </w:rPr>
        <w:t>se</w:t>
      </w:r>
      <w:r>
        <w:rPr>
          <w:color w:val="231F20"/>
          <w:spacing w:val="-16"/>
          <w:w w:val="105"/>
        </w:rPr>
        <w:t> </w:t>
      </w:r>
      <w:r>
        <w:rPr>
          <w:color w:val="231F20"/>
          <w:w w:val="105"/>
        </w:rPr>
        <w:t>acepta</w:t>
      </w:r>
      <w:r>
        <w:rPr>
          <w:color w:val="231F20"/>
          <w:spacing w:val="-16"/>
          <w:w w:val="105"/>
        </w:rPr>
        <w:t> </w:t>
      </w:r>
      <w:r>
        <w:rPr>
          <w:color w:val="231F20"/>
          <w:w w:val="105"/>
        </w:rPr>
        <w:t>la</w:t>
      </w:r>
      <w:r>
        <w:rPr>
          <w:color w:val="231F20"/>
          <w:spacing w:val="-16"/>
          <w:w w:val="105"/>
        </w:rPr>
        <w:t> </w:t>
      </w:r>
      <w:r>
        <w:rPr>
          <w:color w:val="231F20"/>
          <w:w w:val="105"/>
        </w:rPr>
        <w:t>existencia</w:t>
      </w:r>
      <w:r>
        <w:rPr>
          <w:color w:val="231F20"/>
          <w:spacing w:val="-16"/>
          <w:w w:val="105"/>
        </w:rPr>
        <w:t> </w:t>
      </w:r>
      <w:r>
        <w:rPr>
          <w:color w:val="231F20"/>
          <w:w w:val="105"/>
        </w:rPr>
        <w:t>del</w:t>
      </w:r>
      <w:r>
        <w:rPr>
          <w:color w:val="231F20"/>
          <w:spacing w:val="-16"/>
          <w:w w:val="105"/>
        </w:rPr>
        <w:t> </w:t>
      </w:r>
      <w:r>
        <w:rPr>
          <w:color w:val="231F20"/>
          <w:w w:val="105"/>
        </w:rPr>
        <w:t>desempleo</w:t>
      </w:r>
      <w:r>
        <w:rPr>
          <w:color w:val="231F20"/>
          <w:spacing w:val="-16"/>
          <w:w w:val="105"/>
        </w:rPr>
        <w:t> </w:t>
      </w:r>
      <w:r>
        <w:rPr>
          <w:color w:val="231F20"/>
          <w:w w:val="105"/>
        </w:rPr>
        <w:t>involun- tario</w:t>
      </w:r>
      <w:r>
        <w:rPr>
          <w:color w:val="231F20"/>
          <w:spacing w:val="-30"/>
          <w:w w:val="105"/>
        </w:rPr>
        <w:t> </w:t>
      </w:r>
      <w:r>
        <w:rPr>
          <w:color w:val="231F20"/>
          <w:w w:val="105"/>
        </w:rPr>
        <w:t>al</w:t>
      </w:r>
      <w:r>
        <w:rPr>
          <w:color w:val="231F20"/>
          <w:spacing w:val="-30"/>
          <w:w w:val="105"/>
        </w:rPr>
        <w:t> </w:t>
      </w:r>
      <w:r>
        <w:rPr>
          <w:color w:val="231F20"/>
          <w:w w:val="105"/>
        </w:rPr>
        <w:t>considerar</w:t>
      </w:r>
      <w:r>
        <w:rPr>
          <w:color w:val="231F20"/>
          <w:spacing w:val="-30"/>
          <w:w w:val="105"/>
        </w:rPr>
        <w:t> </w:t>
      </w:r>
      <w:r>
        <w:rPr>
          <w:color w:val="231F20"/>
          <w:w w:val="105"/>
        </w:rPr>
        <w:t>que</w:t>
      </w:r>
      <w:r>
        <w:rPr>
          <w:color w:val="231F20"/>
          <w:spacing w:val="-30"/>
          <w:w w:val="105"/>
        </w:rPr>
        <w:t> </w:t>
      </w:r>
      <w:r>
        <w:rPr>
          <w:color w:val="231F20"/>
          <w:w w:val="105"/>
        </w:rPr>
        <w:t>los</w:t>
      </w:r>
      <w:r>
        <w:rPr>
          <w:color w:val="231F20"/>
          <w:spacing w:val="-30"/>
          <w:w w:val="105"/>
        </w:rPr>
        <w:t> </w:t>
      </w:r>
      <w:r>
        <w:rPr>
          <w:color w:val="231F20"/>
          <w:w w:val="105"/>
        </w:rPr>
        <w:t>salarios</w:t>
      </w:r>
      <w:r>
        <w:rPr>
          <w:color w:val="231F20"/>
          <w:spacing w:val="-30"/>
          <w:w w:val="105"/>
        </w:rPr>
        <w:t> </w:t>
      </w:r>
      <w:r>
        <w:rPr>
          <w:color w:val="231F20"/>
          <w:w w:val="105"/>
        </w:rPr>
        <w:t>son</w:t>
      </w:r>
      <w:r>
        <w:rPr>
          <w:color w:val="231F20"/>
          <w:spacing w:val="-30"/>
          <w:w w:val="105"/>
        </w:rPr>
        <w:t> </w:t>
      </w:r>
      <w:r>
        <w:rPr>
          <w:color w:val="231F20"/>
          <w:w w:val="105"/>
        </w:rPr>
        <w:t>rígidos</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baja</w:t>
      </w:r>
      <w:r>
        <w:rPr>
          <w:color w:val="231F20"/>
          <w:spacing w:val="-30"/>
          <w:w w:val="105"/>
        </w:rPr>
        <w:t> </w:t>
      </w:r>
      <w:r>
        <w:rPr>
          <w:color w:val="231F20"/>
          <w:w w:val="105"/>
        </w:rPr>
        <w:t>y</w:t>
      </w:r>
      <w:r>
        <w:rPr>
          <w:color w:val="231F20"/>
          <w:spacing w:val="-30"/>
          <w:w w:val="105"/>
        </w:rPr>
        <w:t> </w:t>
      </w:r>
      <w:r>
        <w:rPr>
          <w:color w:val="231F20"/>
          <w:w w:val="105"/>
        </w:rPr>
        <w:t>nunca</w:t>
      </w:r>
      <w:r>
        <w:rPr>
          <w:color w:val="231F20"/>
          <w:spacing w:val="-30"/>
          <w:w w:val="105"/>
        </w:rPr>
        <w:t> </w:t>
      </w:r>
      <w:r>
        <w:rPr>
          <w:color w:val="231F20"/>
          <w:w w:val="105"/>
        </w:rPr>
        <w:t>se</w:t>
      </w:r>
      <w:r>
        <w:rPr>
          <w:color w:val="231F20"/>
          <w:spacing w:val="-30"/>
          <w:w w:val="105"/>
        </w:rPr>
        <w:t> </w:t>
      </w:r>
      <w:r>
        <w:rPr>
          <w:color w:val="231F20"/>
          <w:w w:val="105"/>
        </w:rPr>
        <w:t>alcanza la</w:t>
      </w:r>
      <w:r>
        <w:rPr>
          <w:color w:val="231F20"/>
          <w:spacing w:val="-16"/>
          <w:w w:val="105"/>
        </w:rPr>
        <w:t> </w:t>
      </w:r>
      <w:r>
        <w:rPr>
          <w:color w:val="231F20"/>
          <w:w w:val="105"/>
        </w:rPr>
        <w:t>suficiente</w:t>
      </w:r>
      <w:r>
        <w:rPr>
          <w:color w:val="231F20"/>
          <w:spacing w:val="-16"/>
          <w:w w:val="105"/>
        </w:rPr>
        <w:t> </w:t>
      </w:r>
      <w:r>
        <w:rPr>
          <w:color w:val="231F20"/>
          <w:w w:val="105"/>
        </w:rPr>
        <w:t>flexibilidad</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salarios</w:t>
      </w:r>
      <w:r>
        <w:rPr>
          <w:color w:val="231F20"/>
          <w:spacing w:val="-16"/>
          <w:w w:val="105"/>
        </w:rPr>
        <w:t> </w:t>
      </w:r>
      <w:r>
        <w:rPr>
          <w:color w:val="231F20"/>
          <w:w w:val="105"/>
        </w:rPr>
        <w:t>nominales</w:t>
      </w:r>
      <w:r>
        <w:rPr>
          <w:color w:val="231F20"/>
          <w:spacing w:val="-16"/>
          <w:w w:val="105"/>
        </w:rPr>
        <w:t> </w:t>
      </w:r>
      <w:r>
        <w:rPr>
          <w:color w:val="231F20"/>
          <w:w w:val="105"/>
        </w:rPr>
        <w:t>para</w:t>
      </w:r>
      <w:r>
        <w:rPr>
          <w:color w:val="231F20"/>
          <w:spacing w:val="-16"/>
          <w:w w:val="105"/>
        </w:rPr>
        <w:t> </w:t>
      </w:r>
      <w:r>
        <w:rPr>
          <w:color w:val="231F20"/>
          <w:w w:val="105"/>
        </w:rPr>
        <w:t>llegar</w:t>
      </w:r>
      <w:r>
        <w:rPr>
          <w:color w:val="231F20"/>
          <w:spacing w:val="-16"/>
          <w:w w:val="105"/>
        </w:rPr>
        <w:t> </w:t>
      </w:r>
      <w:r>
        <w:rPr>
          <w:color w:val="231F20"/>
          <w:w w:val="105"/>
        </w:rPr>
        <w:t>al</w:t>
      </w:r>
      <w:r>
        <w:rPr>
          <w:color w:val="231F20"/>
          <w:spacing w:val="-16"/>
          <w:w w:val="105"/>
        </w:rPr>
        <w:t> </w:t>
      </w:r>
      <w:r>
        <w:rPr>
          <w:color w:val="231F20"/>
          <w:w w:val="105"/>
        </w:rPr>
        <w:t>equilibrio de pleno empleo. Además, se identificó que el empleo depende de la función</w:t>
      </w:r>
      <w:r>
        <w:rPr>
          <w:color w:val="231F20"/>
          <w:spacing w:val="-10"/>
          <w:w w:val="105"/>
        </w:rPr>
        <w:t> </w:t>
      </w:r>
      <w:r>
        <w:rPr>
          <w:color w:val="231F20"/>
          <w:w w:val="105"/>
        </w:rPr>
        <w:t>de</w:t>
      </w:r>
      <w:r>
        <w:rPr>
          <w:color w:val="231F20"/>
          <w:spacing w:val="-10"/>
          <w:w w:val="105"/>
        </w:rPr>
        <w:t> </w:t>
      </w:r>
      <w:r>
        <w:rPr>
          <w:color w:val="231F20"/>
          <w:w w:val="105"/>
        </w:rPr>
        <w:t>demanda</w:t>
      </w:r>
      <w:r>
        <w:rPr>
          <w:color w:val="231F20"/>
          <w:spacing w:val="-10"/>
          <w:w w:val="105"/>
        </w:rPr>
        <w:t> </w:t>
      </w:r>
      <w:r>
        <w:rPr>
          <w:color w:val="231F20"/>
          <w:w w:val="105"/>
        </w:rPr>
        <w:t>efectiva,</w:t>
      </w:r>
      <w:r>
        <w:rPr>
          <w:color w:val="231F20"/>
          <w:spacing w:val="-16"/>
          <w:w w:val="105"/>
        </w:rPr>
        <w:t> </w:t>
      </w:r>
      <w:r>
        <w:rPr>
          <w:color w:val="231F20"/>
          <w:w w:val="105"/>
        </w:rPr>
        <w:t>la</w:t>
      </w:r>
      <w:r>
        <w:rPr>
          <w:color w:val="231F20"/>
          <w:spacing w:val="-10"/>
          <w:w w:val="105"/>
        </w:rPr>
        <w:t> </w:t>
      </w:r>
      <w:r>
        <w:rPr>
          <w:color w:val="231F20"/>
          <w:w w:val="105"/>
        </w:rPr>
        <w:t>propensión</w:t>
      </w:r>
      <w:r>
        <w:rPr>
          <w:color w:val="231F20"/>
          <w:spacing w:val="-10"/>
          <w:w w:val="105"/>
        </w:rPr>
        <w:t> </w:t>
      </w:r>
      <w:r>
        <w:rPr>
          <w:color w:val="231F20"/>
          <w:w w:val="105"/>
        </w:rPr>
        <w:t>marginal</w:t>
      </w:r>
      <w:r>
        <w:rPr>
          <w:color w:val="231F20"/>
          <w:spacing w:val="-10"/>
          <w:w w:val="105"/>
        </w:rPr>
        <w:t> </w:t>
      </w:r>
      <w:r>
        <w:rPr>
          <w:color w:val="231F20"/>
          <w:w w:val="105"/>
        </w:rPr>
        <w:t>a</w:t>
      </w:r>
      <w:r>
        <w:rPr>
          <w:color w:val="231F20"/>
          <w:spacing w:val="-10"/>
          <w:w w:val="105"/>
        </w:rPr>
        <w:t> </w:t>
      </w:r>
      <w:r>
        <w:rPr>
          <w:color w:val="231F20"/>
          <w:w w:val="105"/>
        </w:rPr>
        <w:t>consumir</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ni- vel</w:t>
      </w:r>
      <w:r>
        <w:rPr>
          <w:color w:val="231F20"/>
          <w:spacing w:val="-14"/>
          <w:w w:val="105"/>
        </w:rPr>
        <w:t> </w:t>
      </w:r>
      <w:r>
        <w:rPr>
          <w:color w:val="231F20"/>
          <w:w w:val="105"/>
        </w:rPr>
        <w:t>de</w:t>
      </w:r>
      <w:r>
        <w:rPr>
          <w:color w:val="231F20"/>
          <w:spacing w:val="-14"/>
          <w:w w:val="105"/>
        </w:rPr>
        <w:t> </w:t>
      </w:r>
      <w:r>
        <w:rPr>
          <w:color w:val="231F20"/>
          <w:w w:val="105"/>
        </w:rPr>
        <w:t>inversión,</w:t>
      </w:r>
      <w:r>
        <w:rPr>
          <w:color w:val="231F20"/>
          <w:spacing w:val="-20"/>
          <w:w w:val="105"/>
        </w:rPr>
        <w:t> </w:t>
      </w:r>
      <w:r>
        <w:rPr>
          <w:color w:val="231F20"/>
          <w:w w:val="105"/>
        </w:rPr>
        <w:t>componente</w:t>
      </w:r>
      <w:r>
        <w:rPr>
          <w:color w:val="231F20"/>
          <w:spacing w:val="-14"/>
          <w:w w:val="105"/>
        </w:rPr>
        <w:t> </w:t>
      </w:r>
      <w:r>
        <w:rPr>
          <w:color w:val="231F20"/>
          <w:w w:val="105"/>
        </w:rPr>
        <w:t>que</w:t>
      </w:r>
      <w:r>
        <w:rPr>
          <w:color w:val="231F20"/>
          <w:spacing w:val="-14"/>
          <w:w w:val="105"/>
        </w:rPr>
        <w:t> </w:t>
      </w:r>
      <w:r>
        <w:rPr>
          <w:color w:val="231F20"/>
          <w:w w:val="105"/>
        </w:rPr>
        <w:t>es</w:t>
      </w:r>
      <w:r>
        <w:rPr>
          <w:color w:val="231F20"/>
          <w:spacing w:val="-14"/>
          <w:w w:val="105"/>
        </w:rPr>
        <w:t> </w:t>
      </w:r>
      <w:r>
        <w:rPr>
          <w:color w:val="231F20"/>
          <w:w w:val="105"/>
        </w:rPr>
        <w:t>altamente</w:t>
      </w:r>
      <w:r>
        <w:rPr>
          <w:color w:val="231F20"/>
          <w:spacing w:val="-14"/>
          <w:w w:val="105"/>
        </w:rPr>
        <w:t> </w:t>
      </w:r>
      <w:r>
        <w:rPr>
          <w:color w:val="231F20"/>
          <w:w w:val="105"/>
        </w:rPr>
        <w:t>volátil.</w:t>
      </w:r>
    </w:p>
    <w:p>
      <w:pPr>
        <w:pStyle w:val="BodyText"/>
        <w:spacing w:line="259" w:lineRule="auto"/>
        <w:ind w:left="103" w:right="108" w:firstLine="567"/>
        <w:jc w:val="right"/>
      </w:pPr>
      <w:r>
        <w:rPr>
          <w:color w:val="231F20"/>
          <w:w w:val="105"/>
        </w:rPr>
        <w:t>Al</w:t>
      </w:r>
      <w:r>
        <w:rPr>
          <w:color w:val="231F20"/>
          <w:spacing w:val="-18"/>
          <w:w w:val="105"/>
        </w:rPr>
        <w:t> </w:t>
      </w:r>
      <w:r>
        <w:rPr>
          <w:color w:val="231F20"/>
          <w:w w:val="105"/>
        </w:rPr>
        <w:t>no</w:t>
      </w:r>
      <w:r>
        <w:rPr>
          <w:color w:val="231F20"/>
          <w:spacing w:val="-18"/>
          <w:w w:val="105"/>
        </w:rPr>
        <w:t> </w:t>
      </w:r>
      <w:r>
        <w:rPr>
          <w:color w:val="231F20"/>
          <w:w w:val="105"/>
        </w:rPr>
        <w:t>existir</w:t>
      </w:r>
      <w:r>
        <w:rPr>
          <w:color w:val="231F20"/>
          <w:spacing w:val="-18"/>
          <w:w w:val="105"/>
        </w:rPr>
        <w:t> </w:t>
      </w:r>
      <w:r>
        <w:rPr>
          <w:color w:val="231F20"/>
          <w:w w:val="105"/>
        </w:rPr>
        <w:t>mecanismos</w:t>
      </w:r>
      <w:r>
        <w:rPr>
          <w:color w:val="231F20"/>
          <w:spacing w:val="-18"/>
          <w:w w:val="105"/>
        </w:rPr>
        <w:t> </w:t>
      </w:r>
      <w:r>
        <w:rPr>
          <w:color w:val="231F20"/>
          <w:w w:val="105"/>
        </w:rPr>
        <w:t>de</w:t>
      </w:r>
      <w:r>
        <w:rPr>
          <w:color w:val="231F20"/>
          <w:spacing w:val="-18"/>
          <w:w w:val="105"/>
        </w:rPr>
        <w:t> </w:t>
      </w:r>
      <w:r>
        <w:rPr>
          <w:color w:val="231F20"/>
          <w:w w:val="105"/>
        </w:rPr>
        <w:t>ajustes</w:t>
      </w:r>
      <w:r>
        <w:rPr>
          <w:color w:val="231F20"/>
          <w:spacing w:val="-18"/>
          <w:w w:val="105"/>
        </w:rPr>
        <w:t> </w:t>
      </w:r>
      <w:r>
        <w:rPr>
          <w:color w:val="231F20"/>
          <w:w w:val="105"/>
        </w:rPr>
        <w:t>automáticos</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spacing w:val="-3"/>
          <w:w w:val="105"/>
        </w:rPr>
        <w:t>mercados,</w:t>
      </w:r>
      <w:r>
        <w:rPr>
          <w:color w:val="231F20"/>
          <w:spacing w:val="-2"/>
          <w:w w:val="101"/>
        </w:rPr>
        <w:t> </w:t>
      </w:r>
      <w:r>
        <w:rPr>
          <w:color w:val="231F20"/>
          <w:w w:val="105"/>
        </w:rPr>
        <w:t>el</w:t>
      </w:r>
      <w:r>
        <w:rPr>
          <w:color w:val="231F20"/>
          <w:spacing w:val="-16"/>
          <w:w w:val="105"/>
        </w:rPr>
        <w:t> </w:t>
      </w:r>
      <w:r>
        <w:rPr>
          <w:color w:val="231F20"/>
          <w:spacing w:val="-3"/>
          <w:w w:val="105"/>
        </w:rPr>
        <w:t>keynesianismo</w:t>
      </w:r>
      <w:r>
        <w:rPr>
          <w:color w:val="231F20"/>
          <w:spacing w:val="-16"/>
          <w:w w:val="105"/>
        </w:rPr>
        <w:t> </w:t>
      </w:r>
      <w:r>
        <w:rPr>
          <w:color w:val="231F20"/>
          <w:w w:val="105"/>
        </w:rPr>
        <w:t>está</w:t>
      </w:r>
      <w:r>
        <w:rPr>
          <w:color w:val="231F20"/>
          <w:spacing w:val="-16"/>
          <w:w w:val="105"/>
        </w:rPr>
        <w:t> </w:t>
      </w:r>
      <w:r>
        <w:rPr>
          <w:color w:val="231F20"/>
          <w:w w:val="105"/>
        </w:rPr>
        <w:t>a</w:t>
      </w:r>
      <w:r>
        <w:rPr>
          <w:color w:val="231F20"/>
          <w:spacing w:val="-16"/>
          <w:w w:val="105"/>
        </w:rPr>
        <w:t> </w:t>
      </w:r>
      <w:r>
        <w:rPr>
          <w:color w:val="231F20"/>
          <w:w w:val="105"/>
        </w:rPr>
        <w:t>favor</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intervención</w:t>
      </w:r>
      <w:r>
        <w:rPr>
          <w:color w:val="231F20"/>
          <w:spacing w:val="-16"/>
          <w:w w:val="105"/>
        </w:rPr>
        <w:t> </w:t>
      </w:r>
      <w:r>
        <w:rPr>
          <w:color w:val="231F20"/>
          <w:w w:val="105"/>
        </w:rPr>
        <w:t>de</w:t>
      </w:r>
      <w:r>
        <w:rPr>
          <w:color w:val="231F20"/>
          <w:spacing w:val="-16"/>
          <w:w w:val="105"/>
        </w:rPr>
        <w:t> </w:t>
      </w:r>
      <w:r>
        <w:rPr>
          <w:color w:val="231F20"/>
          <w:w w:val="105"/>
        </w:rPr>
        <w:t>Estado</w:t>
      </w:r>
      <w:r>
        <w:rPr>
          <w:color w:val="231F20"/>
          <w:spacing w:val="-16"/>
          <w:w w:val="105"/>
        </w:rPr>
        <w:t> </w:t>
      </w:r>
      <w:r>
        <w:rPr>
          <w:color w:val="231F20"/>
          <w:w w:val="105"/>
        </w:rPr>
        <w:t>como</w:t>
      </w:r>
      <w:r>
        <w:rPr>
          <w:color w:val="231F20"/>
          <w:spacing w:val="-16"/>
          <w:w w:val="105"/>
        </w:rPr>
        <w:t> </w:t>
      </w:r>
      <w:r>
        <w:rPr>
          <w:color w:val="231F20"/>
          <w:spacing w:val="-2"/>
          <w:w w:val="105"/>
        </w:rPr>
        <w:t>agente</w:t>
      </w:r>
      <w:r>
        <w:rPr>
          <w:color w:val="231F20"/>
          <w:spacing w:val="-2"/>
          <w:w w:val="104"/>
        </w:rPr>
        <w:t> </w:t>
      </w:r>
      <w:r>
        <w:rPr>
          <w:color w:val="231F20"/>
          <w:spacing w:val="-3"/>
          <w:w w:val="105"/>
        </w:rPr>
        <w:t>regulador</w:t>
      </w:r>
      <w:r>
        <w:rPr>
          <w:color w:val="231F20"/>
          <w:spacing w:val="-17"/>
          <w:w w:val="105"/>
        </w:rPr>
        <w:t> </w:t>
      </w:r>
      <w:r>
        <w:rPr>
          <w:color w:val="231F20"/>
          <w:w w:val="105"/>
        </w:rPr>
        <w:t>del</w:t>
      </w:r>
      <w:r>
        <w:rPr>
          <w:color w:val="231F20"/>
          <w:spacing w:val="-17"/>
          <w:w w:val="105"/>
        </w:rPr>
        <w:t> </w:t>
      </w:r>
      <w:r>
        <w:rPr>
          <w:color w:val="231F20"/>
          <w:spacing w:val="-3"/>
          <w:w w:val="105"/>
        </w:rPr>
        <w:t>mercado</w:t>
      </w:r>
      <w:r>
        <w:rPr>
          <w:color w:val="231F20"/>
          <w:spacing w:val="-17"/>
          <w:w w:val="105"/>
        </w:rPr>
        <w:t> </w:t>
      </w:r>
      <w:r>
        <w:rPr>
          <w:color w:val="231F20"/>
          <w:w w:val="105"/>
        </w:rPr>
        <w:t>y</w:t>
      </w:r>
      <w:r>
        <w:rPr>
          <w:color w:val="231F20"/>
          <w:spacing w:val="-17"/>
          <w:w w:val="105"/>
        </w:rPr>
        <w:t> </w:t>
      </w:r>
      <w:r>
        <w:rPr>
          <w:color w:val="231F20"/>
          <w:w w:val="105"/>
        </w:rPr>
        <w:t>la</w:t>
      </w:r>
      <w:r>
        <w:rPr>
          <w:color w:val="231F20"/>
          <w:spacing w:val="-17"/>
          <w:w w:val="105"/>
        </w:rPr>
        <w:t> </w:t>
      </w:r>
      <w:r>
        <w:rPr>
          <w:color w:val="231F20"/>
          <w:w w:val="105"/>
        </w:rPr>
        <w:t>economía</w:t>
      </w:r>
      <w:r>
        <w:rPr>
          <w:color w:val="231F20"/>
          <w:spacing w:val="-17"/>
          <w:w w:val="105"/>
        </w:rPr>
        <w:t> </w:t>
      </w:r>
      <w:r>
        <w:rPr>
          <w:color w:val="231F20"/>
          <w:w w:val="105"/>
        </w:rPr>
        <w:t>en</w:t>
      </w:r>
      <w:r>
        <w:rPr>
          <w:color w:val="231F20"/>
          <w:spacing w:val="-17"/>
          <w:w w:val="105"/>
        </w:rPr>
        <w:t> </w:t>
      </w:r>
      <w:r>
        <w:rPr>
          <w:color w:val="231F20"/>
          <w:w w:val="105"/>
        </w:rPr>
        <w:t>su</w:t>
      </w:r>
      <w:r>
        <w:rPr>
          <w:color w:val="231F20"/>
          <w:spacing w:val="-17"/>
          <w:w w:val="105"/>
        </w:rPr>
        <w:t> </w:t>
      </w:r>
      <w:r>
        <w:rPr>
          <w:color w:val="231F20"/>
          <w:spacing w:val="-2"/>
          <w:w w:val="105"/>
        </w:rPr>
        <w:t>conjunto,</w:t>
      </w:r>
      <w:r>
        <w:rPr>
          <w:color w:val="231F20"/>
          <w:spacing w:val="-23"/>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debe</w:t>
      </w:r>
      <w:r>
        <w:rPr>
          <w:color w:val="231F20"/>
          <w:spacing w:val="-17"/>
          <w:w w:val="105"/>
        </w:rPr>
        <w:t> </w:t>
      </w:r>
      <w:r>
        <w:rPr>
          <w:color w:val="231F20"/>
          <w:spacing w:val="-2"/>
          <w:w w:val="105"/>
        </w:rPr>
        <w:t>ser</w:t>
      </w:r>
      <w:r>
        <w:rPr>
          <w:color w:val="231F20"/>
          <w:spacing w:val="-2"/>
          <w:w w:val="99"/>
        </w:rPr>
        <w:t> </w:t>
      </w:r>
      <w:r>
        <w:rPr>
          <w:color w:val="231F20"/>
          <w:w w:val="105"/>
        </w:rPr>
        <w:t>inversionista,</w:t>
      </w:r>
      <w:r>
        <w:rPr>
          <w:color w:val="231F20"/>
          <w:spacing w:val="-42"/>
          <w:w w:val="105"/>
        </w:rPr>
        <w:t> </w:t>
      </w:r>
      <w:r>
        <w:rPr>
          <w:color w:val="231F20"/>
          <w:w w:val="105"/>
        </w:rPr>
        <w:t>de</w:t>
      </w:r>
      <w:r>
        <w:rPr>
          <w:color w:val="231F20"/>
          <w:spacing w:val="-39"/>
          <w:w w:val="105"/>
        </w:rPr>
        <w:t> </w:t>
      </w:r>
      <w:r>
        <w:rPr>
          <w:color w:val="231F20"/>
          <w:w w:val="105"/>
        </w:rPr>
        <w:t>tal</w:t>
      </w:r>
      <w:r>
        <w:rPr>
          <w:color w:val="231F20"/>
          <w:spacing w:val="-39"/>
          <w:w w:val="105"/>
        </w:rPr>
        <w:t> </w:t>
      </w:r>
      <w:r>
        <w:rPr>
          <w:color w:val="231F20"/>
          <w:w w:val="105"/>
        </w:rPr>
        <w:t>forma</w:t>
      </w:r>
      <w:r>
        <w:rPr>
          <w:color w:val="231F20"/>
          <w:spacing w:val="-39"/>
          <w:w w:val="105"/>
        </w:rPr>
        <w:t> </w:t>
      </w:r>
      <w:r>
        <w:rPr>
          <w:color w:val="231F20"/>
          <w:w w:val="105"/>
        </w:rPr>
        <w:t>que</w:t>
      </w:r>
      <w:r>
        <w:rPr>
          <w:color w:val="231F20"/>
          <w:spacing w:val="-39"/>
          <w:w w:val="105"/>
        </w:rPr>
        <w:t> </w:t>
      </w:r>
      <w:r>
        <w:rPr>
          <w:color w:val="231F20"/>
          <w:w w:val="105"/>
        </w:rPr>
        <w:t>compense</w:t>
      </w:r>
      <w:r>
        <w:rPr>
          <w:color w:val="231F20"/>
          <w:spacing w:val="-39"/>
          <w:w w:val="105"/>
        </w:rPr>
        <w:t> </w:t>
      </w:r>
      <w:r>
        <w:rPr>
          <w:color w:val="231F20"/>
          <w:w w:val="105"/>
        </w:rPr>
        <w:t>la</w:t>
      </w:r>
      <w:r>
        <w:rPr>
          <w:color w:val="231F20"/>
          <w:spacing w:val="-39"/>
          <w:w w:val="105"/>
        </w:rPr>
        <w:t> </w:t>
      </w:r>
      <w:r>
        <w:rPr>
          <w:color w:val="231F20"/>
          <w:w w:val="105"/>
        </w:rPr>
        <w:t>insuficiente</w:t>
      </w:r>
      <w:r>
        <w:rPr>
          <w:color w:val="231F20"/>
          <w:spacing w:val="-39"/>
          <w:w w:val="105"/>
        </w:rPr>
        <w:t> </w:t>
      </w:r>
      <w:r>
        <w:rPr>
          <w:color w:val="231F20"/>
          <w:w w:val="105"/>
        </w:rPr>
        <w:t>inversión</w:t>
      </w:r>
      <w:r>
        <w:rPr>
          <w:color w:val="231F20"/>
          <w:spacing w:val="-39"/>
          <w:w w:val="105"/>
        </w:rPr>
        <w:t> </w:t>
      </w:r>
      <w:r>
        <w:rPr>
          <w:color w:val="231F20"/>
          <w:w w:val="105"/>
        </w:rPr>
        <w:t>privada.</w:t>
      </w:r>
      <w:r>
        <w:rPr>
          <w:color w:val="231F20"/>
          <w:spacing w:val="-2"/>
          <w:w w:val="103"/>
        </w:rPr>
        <w:t> </w:t>
      </w:r>
      <w:r>
        <w:rPr>
          <w:color w:val="231F20"/>
          <w:w w:val="105"/>
        </w:rPr>
        <w:t>Aunque</w:t>
      </w:r>
      <w:r>
        <w:rPr>
          <w:color w:val="231F20"/>
          <w:spacing w:val="-9"/>
          <w:w w:val="105"/>
        </w:rPr>
        <w:t> </w:t>
      </w:r>
      <w:r>
        <w:rPr>
          <w:color w:val="231F20"/>
          <w:w w:val="105"/>
        </w:rPr>
        <w:t>se</w:t>
      </w:r>
      <w:r>
        <w:rPr>
          <w:color w:val="231F20"/>
          <w:spacing w:val="-10"/>
          <w:w w:val="105"/>
        </w:rPr>
        <w:t> </w:t>
      </w:r>
      <w:r>
        <w:rPr>
          <w:color w:val="231F20"/>
          <w:spacing w:val="-3"/>
          <w:w w:val="105"/>
        </w:rPr>
        <w:t>encontraron</w:t>
      </w:r>
      <w:r>
        <w:rPr>
          <w:color w:val="231F20"/>
          <w:spacing w:val="-9"/>
          <w:w w:val="105"/>
        </w:rPr>
        <w:t> </w:t>
      </w:r>
      <w:r>
        <w:rPr>
          <w:color w:val="231F20"/>
          <w:spacing w:val="-3"/>
          <w:w w:val="105"/>
        </w:rPr>
        <w:t>discrepancias</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spacing w:val="-3"/>
          <w:w w:val="105"/>
        </w:rPr>
        <w:t>interrelaciones</w:t>
      </w:r>
      <w:r>
        <w:rPr>
          <w:color w:val="231F20"/>
          <w:spacing w:val="-9"/>
          <w:w w:val="105"/>
        </w:rPr>
        <w:t> </w:t>
      </w:r>
      <w:r>
        <w:rPr>
          <w:color w:val="231F20"/>
          <w:w w:val="105"/>
        </w:rPr>
        <w:t>de</w:t>
      </w:r>
      <w:r>
        <w:rPr>
          <w:color w:val="231F20"/>
          <w:spacing w:val="-9"/>
          <w:w w:val="105"/>
        </w:rPr>
        <w:t> </w:t>
      </w:r>
      <w:r>
        <w:rPr>
          <w:color w:val="231F20"/>
          <w:spacing w:val="-2"/>
          <w:w w:val="105"/>
        </w:rPr>
        <w:t>los</w:t>
      </w:r>
      <w:r>
        <w:rPr>
          <w:color w:val="231F20"/>
          <w:spacing w:val="-2"/>
          <w:w w:val="102"/>
        </w:rPr>
        <w:t> </w:t>
      </w:r>
      <w:r>
        <w:rPr>
          <w:color w:val="231F20"/>
          <w:w w:val="105"/>
        </w:rPr>
        <w:t>determinantes</w:t>
      </w:r>
      <w:r>
        <w:rPr>
          <w:color w:val="231F20"/>
          <w:spacing w:val="-18"/>
          <w:w w:val="105"/>
        </w:rPr>
        <w:t> </w:t>
      </w:r>
      <w:r>
        <w:rPr>
          <w:color w:val="231F20"/>
          <w:w w:val="105"/>
        </w:rPr>
        <w:t>del</w:t>
      </w:r>
      <w:r>
        <w:rPr>
          <w:color w:val="231F20"/>
          <w:spacing w:val="-18"/>
          <w:w w:val="105"/>
        </w:rPr>
        <w:t> </w:t>
      </w:r>
      <w:r>
        <w:rPr>
          <w:color w:val="231F20"/>
          <w:w w:val="105"/>
        </w:rPr>
        <w:t>empleo</w:t>
      </w:r>
      <w:r>
        <w:rPr>
          <w:color w:val="231F20"/>
          <w:spacing w:val="-18"/>
          <w:w w:val="105"/>
        </w:rPr>
        <w:t> </w:t>
      </w:r>
      <w:r>
        <w:rPr>
          <w:color w:val="231F20"/>
          <w:spacing w:val="-3"/>
          <w:w w:val="105"/>
        </w:rPr>
        <w:t>entre</w:t>
      </w:r>
      <w:r>
        <w:rPr>
          <w:color w:val="231F20"/>
          <w:spacing w:val="-18"/>
          <w:w w:val="105"/>
        </w:rPr>
        <w:t> </w:t>
      </w:r>
      <w:r>
        <w:rPr>
          <w:color w:val="231F20"/>
          <w:w w:val="105"/>
        </w:rPr>
        <w:t>las</w:t>
      </w:r>
      <w:r>
        <w:rPr>
          <w:color w:val="231F20"/>
          <w:spacing w:val="-18"/>
          <w:w w:val="105"/>
        </w:rPr>
        <w:t> </w:t>
      </w:r>
      <w:r>
        <w:rPr>
          <w:color w:val="231F20"/>
          <w:w w:val="105"/>
        </w:rPr>
        <w:t>corrientes</w:t>
      </w:r>
      <w:r>
        <w:rPr>
          <w:color w:val="231F20"/>
          <w:spacing w:val="-18"/>
          <w:w w:val="105"/>
        </w:rPr>
        <w:t> </w:t>
      </w:r>
      <w:r>
        <w:rPr>
          <w:color w:val="231F20"/>
          <w:spacing w:val="-3"/>
          <w:w w:val="105"/>
        </w:rPr>
        <w:t>postkeynesiana</w:t>
      </w:r>
      <w:r>
        <w:rPr>
          <w:color w:val="231F20"/>
          <w:spacing w:val="-18"/>
          <w:w w:val="105"/>
        </w:rPr>
        <w:t> </w:t>
      </w:r>
      <w:r>
        <w:rPr>
          <w:color w:val="231F20"/>
          <w:w w:val="105"/>
        </w:rPr>
        <w:t>y</w:t>
      </w:r>
      <w:r>
        <w:rPr>
          <w:color w:val="231F20"/>
          <w:spacing w:val="-18"/>
          <w:w w:val="105"/>
        </w:rPr>
        <w:t> </w:t>
      </w:r>
      <w:r>
        <w:rPr>
          <w:color w:val="231F20"/>
          <w:spacing w:val="-3"/>
          <w:w w:val="105"/>
        </w:rPr>
        <w:t>neokey-</w:t>
      </w:r>
      <w:r>
        <w:rPr>
          <w:color w:val="231F20"/>
          <w:w w:val="96"/>
        </w:rPr>
        <w:t> </w:t>
      </w:r>
      <w:r>
        <w:rPr>
          <w:color w:val="231F20"/>
        </w:rPr>
        <w:t>nesiana,</w:t>
      </w:r>
      <w:r>
        <w:rPr>
          <w:color w:val="231F20"/>
          <w:spacing w:val="-21"/>
        </w:rPr>
        <w:t> </w:t>
      </w:r>
      <w:r>
        <w:rPr>
          <w:color w:val="231F20"/>
        </w:rPr>
        <w:t>así</w:t>
      </w:r>
      <w:r>
        <w:rPr>
          <w:color w:val="231F20"/>
          <w:spacing w:val="-13"/>
        </w:rPr>
        <w:t> </w:t>
      </w:r>
      <w:r>
        <w:rPr>
          <w:color w:val="231F20"/>
        </w:rPr>
        <w:t>como</w:t>
      </w:r>
      <w:r>
        <w:rPr>
          <w:color w:val="231F20"/>
          <w:spacing w:val="-13"/>
        </w:rPr>
        <w:t> </w:t>
      </w:r>
      <w:r>
        <w:rPr>
          <w:color w:val="231F20"/>
        </w:rPr>
        <w:t>conclusiones</w:t>
      </w:r>
      <w:r>
        <w:rPr>
          <w:color w:val="231F20"/>
          <w:spacing w:val="-13"/>
        </w:rPr>
        <w:t> </w:t>
      </w:r>
      <w:r>
        <w:rPr>
          <w:color w:val="231F20"/>
        </w:rPr>
        <w:t>distintas</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que</w:t>
      </w:r>
      <w:r>
        <w:rPr>
          <w:color w:val="231F20"/>
          <w:spacing w:val="-13"/>
        </w:rPr>
        <w:t> </w:t>
      </w:r>
      <w:r>
        <w:rPr>
          <w:color w:val="231F20"/>
        </w:rPr>
        <w:t>llegan</w:t>
      </w:r>
      <w:r>
        <w:rPr>
          <w:color w:val="231F20"/>
          <w:spacing w:val="-13"/>
        </w:rPr>
        <w:t> </w:t>
      </w:r>
      <w:r>
        <w:rPr>
          <w:color w:val="231F20"/>
        </w:rPr>
        <w:t>ambos</w:t>
      </w:r>
      <w:r>
        <w:rPr>
          <w:color w:val="231F20"/>
          <w:spacing w:val="-13"/>
        </w:rPr>
        <w:t> </w:t>
      </w:r>
      <w:r>
        <w:rPr>
          <w:color w:val="231F20"/>
        </w:rPr>
        <w:t>enfoques,</w:t>
      </w:r>
      <w:r>
        <w:rPr>
          <w:color w:val="231F20"/>
          <w:spacing w:val="-2"/>
          <w:w w:val="103"/>
        </w:rPr>
        <w:t> </w:t>
      </w:r>
      <w:r>
        <w:rPr>
          <w:color w:val="231F20"/>
          <w:w w:val="105"/>
        </w:rPr>
        <w:t>en</w:t>
      </w:r>
      <w:r>
        <w:rPr>
          <w:color w:val="231F20"/>
          <w:spacing w:val="-29"/>
          <w:w w:val="105"/>
        </w:rPr>
        <w:t> </w:t>
      </w:r>
      <w:r>
        <w:rPr>
          <w:color w:val="231F20"/>
          <w:w w:val="105"/>
        </w:rPr>
        <w:t>general</w:t>
      </w:r>
      <w:r>
        <w:rPr>
          <w:color w:val="231F20"/>
          <w:spacing w:val="-29"/>
          <w:w w:val="105"/>
        </w:rPr>
        <w:t> </w:t>
      </w:r>
      <w:r>
        <w:rPr>
          <w:color w:val="231F20"/>
          <w:w w:val="105"/>
        </w:rPr>
        <w:t>mantienen</w:t>
      </w:r>
      <w:r>
        <w:rPr>
          <w:color w:val="231F20"/>
          <w:spacing w:val="-29"/>
          <w:w w:val="105"/>
        </w:rPr>
        <w:t> </w:t>
      </w:r>
      <w:r>
        <w:rPr>
          <w:color w:val="231F20"/>
          <w:w w:val="105"/>
        </w:rPr>
        <w:t>las</w:t>
      </w:r>
      <w:r>
        <w:rPr>
          <w:color w:val="231F20"/>
          <w:spacing w:val="-29"/>
          <w:w w:val="105"/>
        </w:rPr>
        <w:t> </w:t>
      </w:r>
      <w:r>
        <w:rPr>
          <w:color w:val="231F20"/>
          <w:w w:val="105"/>
        </w:rPr>
        <w:t>hipótesis</w:t>
      </w:r>
      <w:r>
        <w:rPr>
          <w:color w:val="231F20"/>
          <w:spacing w:val="-29"/>
          <w:w w:val="105"/>
        </w:rPr>
        <w:t> </w:t>
      </w:r>
      <w:r>
        <w:rPr>
          <w:color w:val="231F20"/>
          <w:w w:val="105"/>
        </w:rPr>
        <w:t>del</w:t>
      </w:r>
      <w:r>
        <w:rPr>
          <w:color w:val="231F20"/>
          <w:spacing w:val="-29"/>
          <w:w w:val="105"/>
        </w:rPr>
        <w:t> </w:t>
      </w:r>
      <w:r>
        <w:rPr>
          <w:color w:val="231F20"/>
          <w:w w:val="105"/>
        </w:rPr>
        <w:t>pensamiento</w:t>
      </w:r>
      <w:r>
        <w:rPr>
          <w:color w:val="231F20"/>
          <w:spacing w:val="-29"/>
          <w:w w:val="105"/>
        </w:rPr>
        <w:t> </w:t>
      </w:r>
      <w:r>
        <w:rPr>
          <w:color w:val="231F20"/>
          <w:spacing w:val="-3"/>
          <w:w w:val="105"/>
        </w:rPr>
        <w:t>keynesiano</w:t>
      </w:r>
      <w:r>
        <w:rPr>
          <w:color w:val="231F20"/>
          <w:spacing w:val="-29"/>
          <w:w w:val="105"/>
        </w:rPr>
        <w:t> </w:t>
      </w:r>
      <w:r>
        <w:rPr>
          <w:color w:val="231F20"/>
          <w:w w:val="105"/>
        </w:rPr>
        <w:t>original.</w:t>
      </w:r>
      <w:r>
        <w:rPr>
          <w:color w:val="231F20"/>
          <w:spacing w:val="-2"/>
          <w:w w:val="106"/>
        </w:rPr>
        <w:t> </w:t>
      </w:r>
      <w:r>
        <w:rPr>
          <w:color w:val="231F20"/>
          <w:w w:val="105"/>
        </w:rPr>
        <w:t>La nueva economía keynesiana (NEK), retoma estos</w:t>
      </w:r>
      <w:r>
        <w:rPr>
          <w:color w:val="231F20"/>
          <w:spacing w:val="54"/>
          <w:w w:val="105"/>
        </w:rPr>
        <w:t> </w:t>
      </w:r>
      <w:r>
        <w:rPr>
          <w:color w:val="231F20"/>
          <w:w w:val="105"/>
        </w:rPr>
        <w:t>supuestos,</w:t>
      </w:r>
    </w:p>
    <w:p>
      <w:pPr>
        <w:pStyle w:val="BodyText"/>
        <w:spacing w:line="259" w:lineRule="auto"/>
        <w:ind w:left="103" w:right="109"/>
        <w:jc w:val="both"/>
      </w:pPr>
      <w:r>
        <w:rPr>
          <w:color w:val="231F20"/>
          <w:w w:val="105"/>
        </w:rPr>
        <w:t>para desarrollar un conjunto de enfoques teóricos encaminados a ex- plicar más puntualmente el fenómeno del desempleo. En ese</w:t>
      </w:r>
      <w:r>
        <w:rPr>
          <w:color w:val="231F20"/>
          <w:spacing w:val="-22"/>
          <w:w w:val="105"/>
        </w:rPr>
        <w:t> </w:t>
      </w:r>
      <w:r>
        <w:rPr>
          <w:color w:val="231F20"/>
          <w:w w:val="105"/>
        </w:rPr>
        <w:t>contexto, incorpora</w:t>
      </w:r>
      <w:r>
        <w:rPr>
          <w:color w:val="231F20"/>
          <w:spacing w:val="-21"/>
          <w:w w:val="105"/>
        </w:rPr>
        <w:t> </w:t>
      </w:r>
      <w:r>
        <w:rPr>
          <w:color w:val="231F20"/>
          <w:w w:val="105"/>
        </w:rPr>
        <w:t>hipótesis</w:t>
      </w:r>
      <w:r>
        <w:rPr>
          <w:color w:val="231F20"/>
          <w:spacing w:val="-21"/>
          <w:w w:val="105"/>
        </w:rPr>
        <w:t> </w:t>
      </w:r>
      <w:r>
        <w:rPr>
          <w:color w:val="231F20"/>
          <w:w w:val="105"/>
        </w:rPr>
        <w:t>como</w:t>
      </w:r>
      <w:r>
        <w:rPr>
          <w:color w:val="231F20"/>
          <w:spacing w:val="-21"/>
          <w:w w:val="105"/>
        </w:rPr>
        <w:t> </w:t>
      </w:r>
      <w:r>
        <w:rPr>
          <w:color w:val="231F20"/>
          <w:w w:val="105"/>
        </w:rPr>
        <w:t>la</w:t>
      </w:r>
      <w:r>
        <w:rPr>
          <w:color w:val="231F20"/>
          <w:spacing w:val="-21"/>
          <w:w w:val="105"/>
        </w:rPr>
        <w:t> </w:t>
      </w:r>
      <w:r>
        <w:rPr>
          <w:color w:val="231F20"/>
          <w:w w:val="105"/>
        </w:rPr>
        <w:t>teoría</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salarios</w:t>
      </w:r>
      <w:r>
        <w:rPr>
          <w:color w:val="231F20"/>
          <w:spacing w:val="-21"/>
          <w:w w:val="105"/>
        </w:rPr>
        <w:t> </w:t>
      </w:r>
      <w:r>
        <w:rPr>
          <w:color w:val="231F20"/>
          <w:w w:val="105"/>
        </w:rPr>
        <w:t>de</w:t>
      </w:r>
      <w:r>
        <w:rPr>
          <w:color w:val="231F20"/>
          <w:spacing w:val="-21"/>
          <w:w w:val="105"/>
        </w:rPr>
        <w:t> </w:t>
      </w:r>
      <w:r>
        <w:rPr>
          <w:color w:val="231F20"/>
          <w:w w:val="105"/>
        </w:rPr>
        <w:t>eficiencia,</w:t>
      </w:r>
      <w:r>
        <w:rPr>
          <w:color w:val="231F20"/>
          <w:spacing w:val="-27"/>
          <w:w w:val="105"/>
        </w:rPr>
        <w:t> </w:t>
      </w:r>
      <w:r>
        <w:rPr>
          <w:color w:val="231F20"/>
          <w:w w:val="105"/>
        </w:rPr>
        <w:t>el</w:t>
      </w:r>
      <w:r>
        <w:rPr>
          <w:color w:val="231F20"/>
          <w:spacing w:val="-21"/>
          <w:w w:val="105"/>
        </w:rPr>
        <w:t> </w:t>
      </w:r>
      <w:r>
        <w:rPr>
          <w:color w:val="231F20"/>
          <w:w w:val="105"/>
        </w:rPr>
        <w:t>modelo de trabajadores internos-externos y el modelo de contratos implícitos, que permiten determinar el nivel de salario monetario y estimar los ni- veles</w:t>
      </w:r>
      <w:r>
        <w:rPr>
          <w:color w:val="231F20"/>
          <w:spacing w:val="-8"/>
          <w:w w:val="105"/>
        </w:rPr>
        <w:t> </w:t>
      </w:r>
      <w:r>
        <w:rPr>
          <w:color w:val="231F20"/>
          <w:w w:val="105"/>
        </w:rPr>
        <w:t>de</w:t>
      </w:r>
      <w:r>
        <w:rPr>
          <w:color w:val="231F20"/>
          <w:spacing w:val="-8"/>
          <w:w w:val="105"/>
        </w:rPr>
        <w:t> </w:t>
      </w:r>
      <w:r>
        <w:rPr>
          <w:color w:val="231F20"/>
          <w:w w:val="105"/>
        </w:rPr>
        <w:t>empleo.</w:t>
      </w:r>
      <w:r>
        <w:rPr>
          <w:color w:val="231F20"/>
          <w:spacing w:val="-16"/>
          <w:w w:val="105"/>
        </w:rPr>
        <w:t> </w:t>
      </w:r>
      <w:r>
        <w:rPr>
          <w:color w:val="231F20"/>
          <w:w w:val="105"/>
        </w:rPr>
        <w:t>Además,</w:t>
      </w:r>
      <w:r>
        <w:rPr>
          <w:color w:val="231F20"/>
          <w:spacing w:val="-13"/>
          <w:w w:val="105"/>
        </w:rPr>
        <w:t> </w:t>
      </w:r>
      <w:r>
        <w:rPr>
          <w:color w:val="231F20"/>
          <w:w w:val="105"/>
        </w:rPr>
        <w:t>en</w:t>
      </w:r>
      <w:r>
        <w:rPr>
          <w:color w:val="231F20"/>
          <w:spacing w:val="-8"/>
          <w:w w:val="105"/>
        </w:rPr>
        <w:t> </w:t>
      </w:r>
      <w:r>
        <w:rPr>
          <w:color w:val="231F20"/>
          <w:w w:val="105"/>
        </w:rPr>
        <w:t>sus</w:t>
      </w:r>
      <w:r>
        <w:rPr>
          <w:color w:val="231F20"/>
          <w:spacing w:val="-8"/>
          <w:w w:val="105"/>
        </w:rPr>
        <w:t> </w:t>
      </w:r>
      <w:r>
        <w:rPr>
          <w:color w:val="231F20"/>
          <w:w w:val="105"/>
        </w:rPr>
        <w:t>análisis</w:t>
      </w:r>
      <w:r>
        <w:rPr>
          <w:color w:val="231F20"/>
          <w:spacing w:val="-8"/>
          <w:w w:val="105"/>
        </w:rPr>
        <w:t> </w:t>
      </w:r>
      <w:r>
        <w:rPr>
          <w:color w:val="231F20"/>
          <w:w w:val="105"/>
        </w:rPr>
        <w:t>incorpora</w:t>
      </w:r>
      <w:r>
        <w:rPr>
          <w:color w:val="231F20"/>
          <w:spacing w:val="-8"/>
          <w:w w:val="105"/>
        </w:rPr>
        <w:t> </w:t>
      </w:r>
      <w:r>
        <w:rPr>
          <w:color w:val="231F20"/>
          <w:w w:val="105"/>
        </w:rPr>
        <w:t>elementos</w:t>
      </w:r>
      <w:r>
        <w:rPr>
          <w:color w:val="231F20"/>
          <w:spacing w:val="-8"/>
          <w:w w:val="105"/>
        </w:rPr>
        <w:t> </w:t>
      </w:r>
      <w:r>
        <w:rPr>
          <w:color w:val="231F20"/>
          <w:w w:val="105"/>
        </w:rPr>
        <w:t>como</w:t>
      </w:r>
      <w:r>
        <w:rPr>
          <w:color w:val="231F20"/>
          <w:spacing w:val="-8"/>
          <w:w w:val="105"/>
        </w:rPr>
        <w:t> </w:t>
      </w:r>
      <w:r>
        <w:rPr>
          <w:color w:val="231F20"/>
          <w:w w:val="105"/>
        </w:rPr>
        <w:t>la hipótesis</w:t>
      </w:r>
      <w:r>
        <w:rPr>
          <w:color w:val="231F20"/>
          <w:spacing w:val="-17"/>
          <w:w w:val="105"/>
        </w:rPr>
        <w:t> </w:t>
      </w:r>
      <w:r>
        <w:rPr>
          <w:color w:val="231F20"/>
          <w:w w:val="105"/>
        </w:rPr>
        <w:t>de</w:t>
      </w:r>
      <w:r>
        <w:rPr>
          <w:color w:val="231F20"/>
          <w:spacing w:val="-17"/>
          <w:w w:val="105"/>
        </w:rPr>
        <w:t> </w:t>
      </w:r>
      <w:r>
        <w:rPr>
          <w:color w:val="231F20"/>
          <w:w w:val="105"/>
        </w:rPr>
        <w:t>expectativas</w:t>
      </w:r>
      <w:r>
        <w:rPr>
          <w:color w:val="231F20"/>
          <w:spacing w:val="-17"/>
          <w:w w:val="105"/>
        </w:rPr>
        <w:t> </w:t>
      </w:r>
      <w:r>
        <w:rPr>
          <w:color w:val="231F20"/>
          <w:w w:val="105"/>
        </w:rPr>
        <w:t>racionales</w:t>
      </w:r>
      <w:r>
        <w:rPr>
          <w:color w:val="231F20"/>
          <w:spacing w:val="-17"/>
          <w:w w:val="105"/>
        </w:rPr>
        <w:t> </w:t>
      </w:r>
      <w:r>
        <w:rPr>
          <w:color w:val="231F20"/>
          <w:w w:val="105"/>
        </w:rPr>
        <w:t>(HER)</w:t>
      </w:r>
      <w:r>
        <w:rPr>
          <w:color w:val="231F20"/>
          <w:spacing w:val="-17"/>
          <w:w w:val="105"/>
        </w:rPr>
        <w:t> </w:t>
      </w:r>
      <w:r>
        <w:rPr>
          <w:color w:val="231F20"/>
          <w:w w:val="105"/>
        </w:rPr>
        <w:t>que</w:t>
      </w:r>
      <w:r>
        <w:rPr>
          <w:color w:val="231F20"/>
          <w:spacing w:val="-17"/>
          <w:w w:val="105"/>
        </w:rPr>
        <w:t> </w:t>
      </w:r>
      <w:r>
        <w:rPr>
          <w:color w:val="231F20"/>
          <w:w w:val="105"/>
        </w:rPr>
        <w:t>ayuda</w:t>
      </w:r>
      <w:r>
        <w:rPr>
          <w:color w:val="231F20"/>
          <w:spacing w:val="-17"/>
          <w:w w:val="105"/>
        </w:rPr>
        <w:t> </w:t>
      </w:r>
      <w:r>
        <w:rPr>
          <w:color w:val="231F20"/>
          <w:w w:val="105"/>
        </w:rPr>
        <w:t>a</w:t>
      </w:r>
      <w:r>
        <w:rPr>
          <w:color w:val="231F20"/>
          <w:spacing w:val="-17"/>
          <w:w w:val="105"/>
        </w:rPr>
        <w:t> </w:t>
      </w:r>
      <w:r>
        <w:rPr>
          <w:color w:val="231F20"/>
          <w:w w:val="105"/>
        </w:rPr>
        <w:t>explicar</w:t>
      </w:r>
      <w:r>
        <w:rPr>
          <w:color w:val="231F20"/>
          <w:spacing w:val="-17"/>
          <w:w w:val="105"/>
        </w:rPr>
        <w:t> </w:t>
      </w:r>
      <w:r>
        <w:rPr>
          <w:color w:val="231F20"/>
          <w:w w:val="105"/>
        </w:rPr>
        <w:t>el</w:t>
      </w:r>
      <w:r>
        <w:rPr>
          <w:color w:val="231F20"/>
          <w:spacing w:val="-17"/>
          <w:w w:val="105"/>
        </w:rPr>
        <w:t> </w:t>
      </w:r>
      <w:r>
        <w:rPr>
          <w:color w:val="231F20"/>
          <w:w w:val="105"/>
        </w:rPr>
        <w:t>com- portamiento</w:t>
      </w:r>
      <w:r>
        <w:rPr>
          <w:color w:val="231F20"/>
          <w:spacing w:val="-7"/>
          <w:w w:val="105"/>
        </w:rPr>
        <w:t> </w:t>
      </w:r>
      <w:r>
        <w:rPr>
          <w:color w:val="231F20"/>
          <w:w w:val="105"/>
        </w:rPr>
        <w:t>cíclico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salarios</w:t>
      </w:r>
      <w:r>
        <w:rPr>
          <w:color w:val="231F20"/>
          <w:spacing w:val="-7"/>
          <w:w w:val="105"/>
        </w:rPr>
        <w:t> </w:t>
      </w:r>
      <w:r>
        <w:rPr>
          <w:color w:val="231F20"/>
          <w:w w:val="105"/>
        </w:rPr>
        <w:t>y</w:t>
      </w:r>
      <w:r>
        <w:rPr>
          <w:color w:val="231F20"/>
          <w:spacing w:val="-7"/>
          <w:w w:val="105"/>
        </w:rPr>
        <w:t> </w:t>
      </w:r>
      <w:r>
        <w:rPr>
          <w:color w:val="231F20"/>
          <w:w w:val="105"/>
        </w:rPr>
        <w:t>el</w:t>
      </w:r>
      <w:r>
        <w:rPr>
          <w:color w:val="231F20"/>
          <w:spacing w:val="-7"/>
          <w:w w:val="105"/>
        </w:rPr>
        <w:t> </w:t>
      </w:r>
      <w:r>
        <w:rPr>
          <w:color w:val="231F20"/>
          <w:w w:val="105"/>
        </w:rPr>
        <w:t>empleo,</w:t>
      </w:r>
      <w:r>
        <w:rPr>
          <w:color w:val="231F20"/>
          <w:spacing w:val="-12"/>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situaciones</w:t>
      </w:r>
      <w:r>
        <w:rPr>
          <w:color w:val="231F20"/>
          <w:spacing w:val="-7"/>
          <w:w w:val="105"/>
        </w:rPr>
        <w:t> </w:t>
      </w:r>
      <w:r>
        <w:rPr>
          <w:color w:val="231F20"/>
          <w:w w:val="105"/>
        </w:rPr>
        <w:t>de equilibrios</w:t>
      </w:r>
      <w:r>
        <w:rPr>
          <w:color w:val="231F20"/>
          <w:spacing w:val="17"/>
          <w:w w:val="105"/>
        </w:rPr>
        <w:t> </w:t>
      </w:r>
      <w:r>
        <w:rPr>
          <w:color w:val="231F20"/>
          <w:w w:val="105"/>
        </w:rPr>
        <w:t>múltiples.</w:t>
      </w:r>
    </w:p>
    <w:p>
      <w:pPr>
        <w:pStyle w:val="BodyText"/>
        <w:spacing w:line="259" w:lineRule="auto"/>
        <w:ind w:left="103" w:right="108" w:firstLine="567"/>
        <w:jc w:val="both"/>
      </w:pPr>
      <w:r>
        <w:rPr>
          <w:color w:val="231F20"/>
          <w:w w:val="105"/>
        </w:rPr>
        <w:t>Dentro de la NEK han surgido distintas líneas de investigación, aunque</w:t>
      </w:r>
      <w:r>
        <w:rPr>
          <w:color w:val="231F20"/>
          <w:spacing w:val="-13"/>
          <w:w w:val="105"/>
        </w:rPr>
        <w:t> </w:t>
      </w:r>
      <w:r>
        <w:rPr>
          <w:color w:val="231F20"/>
          <w:w w:val="105"/>
        </w:rPr>
        <w:t>con</w:t>
      </w:r>
      <w:r>
        <w:rPr>
          <w:color w:val="231F20"/>
          <w:spacing w:val="-13"/>
          <w:w w:val="105"/>
        </w:rPr>
        <w:t> </w:t>
      </w:r>
      <w:r>
        <w:rPr>
          <w:color w:val="231F20"/>
          <w:w w:val="105"/>
        </w:rPr>
        <w:t>un</w:t>
      </w:r>
      <w:r>
        <w:rPr>
          <w:color w:val="231F20"/>
          <w:spacing w:val="-13"/>
          <w:w w:val="105"/>
        </w:rPr>
        <w:t> </w:t>
      </w:r>
      <w:r>
        <w:rPr>
          <w:color w:val="231F20"/>
          <w:w w:val="105"/>
        </w:rPr>
        <w:t>reto</w:t>
      </w:r>
      <w:r>
        <w:rPr>
          <w:color w:val="231F20"/>
          <w:spacing w:val="-13"/>
          <w:w w:val="105"/>
        </w:rPr>
        <w:t> </w:t>
      </w:r>
      <w:r>
        <w:rPr>
          <w:color w:val="231F20"/>
          <w:w w:val="105"/>
        </w:rPr>
        <w:t>común:</w:t>
      </w:r>
      <w:r>
        <w:rPr>
          <w:color w:val="231F20"/>
          <w:spacing w:val="-13"/>
          <w:w w:val="105"/>
        </w:rPr>
        <w:t> </w:t>
      </w:r>
      <w:r>
        <w:rPr>
          <w:color w:val="231F20"/>
          <w:w w:val="105"/>
        </w:rPr>
        <w:t>explicar</w:t>
      </w:r>
      <w:r>
        <w:rPr>
          <w:color w:val="231F20"/>
          <w:spacing w:val="-13"/>
          <w:w w:val="105"/>
        </w:rPr>
        <w:t> </w:t>
      </w:r>
      <w:r>
        <w:rPr>
          <w:color w:val="231F20"/>
          <w:w w:val="105"/>
        </w:rPr>
        <w:t>las</w:t>
      </w:r>
      <w:r>
        <w:rPr>
          <w:color w:val="231F20"/>
          <w:spacing w:val="-13"/>
          <w:w w:val="105"/>
        </w:rPr>
        <w:t> </w:t>
      </w:r>
      <w:r>
        <w:rPr>
          <w:color w:val="231F20"/>
          <w:w w:val="105"/>
        </w:rPr>
        <w:t>razones</w:t>
      </w:r>
      <w:r>
        <w:rPr>
          <w:color w:val="231F20"/>
          <w:spacing w:val="-13"/>
          <w:w w:val="105"/>
        </w:rPr>
        <w:t> </w:t>
      </w:r>
      <w:r>
        <w:rPr>
          <w:color w:val="231F20"/>
          <w:w w:val="105"/>
        </w:rPr>
        <w:t>por</w:t>
      </w:r>
      <w:r>
        <w:rPr>
          <w:color w:val="231F20"/>
          <w:spacing w:val="-13"/>
          <w:w w:val="105"/>
        </w:rPr>
        <w:t> </w:t>
      </w:r>
      <w:r>
        <w:rPr>
          <w:color w:val="231F20"/>
          <w:w w:val="105"/>
        </w:rPr>
        <w:t>las</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políticas monetarias</w:t>
      </w:r>
      <w:r>
        <w:rPr>
          <w:color w:val="231F20"/>
          <w:spacing w:val="-23"/>
          <w:w w:val="105"/>
        </w:rPr>
        <w:t> </w:t>
      </w:r>
      <w:r>
        <w:rPr>
          <w:color w:val="231F20"/>
          <w:w w:val="105"/>
        </w:rPr>
        <w:t>y</w:t>
      </w:r>
      <w:r>
        <w:rPr>
          <w:color w:val="231F20"/>
          <w:spacing w:val="-23"/>
          <w:w w:val="105"/>
        </w:rPr>
        <w:t> </w:t>
      </w:r>
      <w:r>
        <w:rPr>
          <w:color w:val="231F20"/>
          <w:w w:val="105"/>
        </w:rPr>
        <w:t>fiscales</w:t>
      </w:r>
      <w:r>
        <w:rPr>
          <w:color w:val="231F20"/>
          <w:spacing w:val="-23"/>
          <w:w w:val="105"/>
        </w:rPr>
        <w:t> </w:t>
      </w:r>
      <w:r>
        <w:rPr>
          <w:color w:val="231F20"/>
          <w:w w:val="105"/>
        </w:rPr>
        <w:t>pueden</w:t>
      </w:r>
      <w:r>
        <w:rPr>
          <w:color w:val="231F20"/>
          <w:spacing w:val="-23"/>
          <w:w w:val="105"/>
        </w:rPr>
        <w:t> </w:t>
      </w:r>
      <w:r>
        <w:rPr>
          <w:color w:val="231F20"/>
          <w:w w:val="105"/>
        </w:rPr>
        <w:t>no</w:t>
      </w:r>
      <w:r>
        <w:rPr>
          <w:color w:val="231F20"/>
          <w:spacing w:val="-23"/>
          <w:w w:val="105"/>
        </w:rPr>
        <w:t> </w:t>
      </w:r>
      <w:r>
        <w:rPr>
          <w:color w:val="231F20"/>
          <w:w w:val="105"/>
        </w:rPr>
        <w:t>ser</w:t>
      </w:r>
      <w:r>
        <w:rPr>
          <w:color w:val="231F20"/>
          <w:spacing w:val="-23"/>
          <w:w w:val="105"/>
        </w:rPr>
        <w:t> </w:t>
      </w:r>
      <w:r>
        <w:rPr>
          <w:color w:val="231F20"/>
          <w:w w:val="105"/>
        </w:rPr>
        <w:t>neutrales</w:t>
      </w:r>
      <w:r>
        <w:rPr>
          <w:color w:val="231F20"/>
          <w:spacing w:val="-23"/>
          <w:w w:val="105"/>
        </w:rPr>
        <w:t> </w:t>
      </w:r>
      <w:r>
        <w:rPr>
          <w:color w:val="231F20"/>
          <w:w w:val="105"/>
        </w:rPr>
        <w:t>y</w:t>
      </w:r>
      <w:r>
        <w:rPr>
          <w:color w:val="231F20"/>
          <w:spacing w:val="-23"/>
          <w:w w:val="105"/>
        </w:rPr>
        <w:t> </w:t>
      </w:r>
      <w:r>
        <w:rPr>
          <w:color w:val="231F20"/>
          <w:w w:val="105"/>
        </w:rPr>
        <w:t>la</w:t>
      </w:r>
      <w:r>
        <w:rPr>
          <w:color w:val="231F20"/>
          <w:spacing w:val="-23"/>
          <w:w w:val="105"/>
        </w:rPr>
        <w:t> </w:t>
      </w:r>
      <w:r>
        <w:rPr>
          <w:color w:val="231F20"/>
          <w:w w:val="105"/>
        </w:rPr>
        <w:t>existencia</w:t>
      </w:r>
      <w:r>
        <w:rPr>
          <w:color w:val="231F20"/>
          <w:spacing w:val="-23"/>
          <w:w w:val="105"/>
        </w:rPr>
        <w:t> </w:t>
      </w:r>
      <w:r>
        <w:rPr>
          <w:color w:val="231F20"/>
          <w:w w:val="105"/>
        </w:rPr>
        <w:t>de</w:t>
      </w:r>
      <w:r>
        <w:rPr>
          <w:color w:val="231F20"/>
          <w:spacing w:val="-23"/>
          <w:w w:val="105"/>
        </w:rPr>
        <w:t> </w:t>
      </w:r>
      <w:r>
        <w:rPr>
          <w:color w:val="231F20"/>
          <w:w w:val="105"/>
        </w:rPr>
        <w:t>desequi- librios</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mercados</w:t>
      </w:r>
      <w:r>
        <w:rPr>
          <w:color w:val="231F20"/>
          <w:spacing w:val="-15"/>
          <w:w w:val="105"/>
        </w:rPr>
        <w:t> </w:t>
      </w:r>
      <w:r>
        <w:rPr>
          <w:color w:val="231F20"/>
          <w:w w:val="105"/>
        </w:rPr>
        <w:t>de</w:t>
      </w:r>
      <w:r>
        <w:rPr>
          <w:color w:val="231F20"/>
          <w:spacing w:val="-15"/>
          <w:w w:val="105"/>
        </w:rPr>
        <w:t> </w:t>
      </w:r>
      <w:r>
        <w:rPr>
          <w:color w:val="231F20"/>
          <w:w w:val="105"/>
        </w:rPr>
        <w:t>bienes</w:t>
      </w:r>
      <w:r>
        <w:rPr>
          <w:color w:val="231F20"/>
          <w:spacing w:val="-15"/>
          <w:w w:val="105"/>
        </w:rPr>
        <w:t> </w:t>
      </w:r>
      <w:r>
        <w:rPr>
          <w:color w:val="231F20"/>
          <w:w w:val="105"/>
        </w:rPr>
        <w:t>y/o</w:t>
      </w:r>
      <w:r>
        <w:rPr>
          <w:color w:val="231F20"/>
          <w:spacing w:val="-15"/>
          <w:w w:val="105"/>
        </w:rPr>
        <w:t> </w:t>
      </w:r>
      <w:r>
        <w:rPr>
          <w:color w:val="231F20"/>
          <w:w w:val="105"/>
        </w:rPr>
        <w:t>de</w:t>
      </w:r>
      <w:r>
        <w:rPr>
          <w:color w:val="231F20"/>
          <w:spacing w:val="-15"/>
          <w:w w:val="105"/>
        </w:rPr>
        <w:t> </w:t>
      </w:r>
      <w:r>
        <w:rPr>
          <w:color w:val="231F20"/>
          <w:w w:val="105"/>
        </w:rPr>
        <w:t>trabajo.</w:t>
      </w:r>
      <w:r>
        <w:rPr>
          <w:color w:val="231F20"/>
          <w:spacing w:val="-20"/>
          <w:w w:val="105"/>
        </w:rPr>
        <w:t> </w:t>
      </w:r>
      <w:r>
        <w:rPr>
          <w:color w:val="231F20"/>
          <w:w w:val="105"/>
        </w:rPr>
        <w:t>Los</w:t>
      </w:r>
      <w:r>
        <w:rPr>
          <w:color w:val="231F20"/>
          <w:spacing w:val="-15"/>
          <w:w w:val="105"/>
        </w:rPr>
        <w:t> </w:t>
      </w:r>
      <w:r>
        <w:rPr>
          <w:color w:val="231F20"/>
          <w:w w:val="105"/>
        </w:rPr>
        <w:t>argumentos</w:t>
      </w:r>
      <w:r>
        <w:rPr>
          <w:color w:val="231F20"/>
          <w:spacing w:val="-15"/>
          <w:w w:val="105"/>
        </w:rPr>
        <w:t> </w:t>
      </w:r>
      <w:r>
        <w:rPr>
          <w:color w:val="231F20"/>
          <w:w w:val="105"/>
        </w:rPr>
        <w:t>utiliza- dos</w:t>
      </w:r>
      <w:r>
        <w:rPr>
          <w:color w:val="231F20"/>
          <w:spacing w:val="-18"/>
          <w:w w:val="105"/>
        </w:rPr>
        <w:t> </w:t>
      </w:r>
      <w:r>
        <w:rPr>
          <w:color w:val="231F20"/>
          <w:w w:val="105"/>
        </w:rPr>
        <w:t>con</w:t>
      </w:r>
      <w:r>
        <w:rPr>
          <w:color w:val="231F20"/>
          <w:spacing w:val="-18"/>
          <w:w w:val="105"/>
        </w:rPr>
        <w:t> </w:t>
      </w:r>
      <w:r>
        <w:rPr>
          <w:color w:val="231F20"/>
          <w:w w:val="105"/>
        </w:rPr>
        <w:t>mayor</w:t>
      </w:r>
      <w:r>
        <w:rPr>
          <w:color w:val="231F20"/>
          <w:spacing w:val="-18"/>
          <w:w w:val="105"/>
        </w:rPr>
        <w:t> </w:t>
      </w:r>
      <w:r>
        <w:rPr>
          <w:color w:val="231F20"/>
          <w:w w:val="105"/>
        </w:rPr>
        <w:t>frecuencia</w:t>
      </w:r>
      <w:r>
        <w:rPr>
          <w:color w:val="231F20"/>
          <w:spacing w:val="-18"/>
          <w:w w:val="105"/>
        </w:rPr>
        <w:t> </w:t>
      </w:r>
      <w:r>
        <w:rPr>
          <w:color w:val="231F20"/>
          <w:w w:val="105"/>
        </w:rPr>
        <w:t>han</w:t>
      </w:r>
      <w:r>
        <w:rPr>
          <w:color w:val="231F20"/>
          <w:spacing w:val="-18"/>
          <w:w w:val="105"/>
        </w:rPr>
        <w:t> </w:t>
      </w:r>
      <w:r>
        <w:rPr>
          <w:color w:val="231F20"/>
          <w:w w:val="105"/>
        </w:rPr>
        <w:t>sido</w:t>
      </w:r>
      <w:r>
        <w:rPr>
          <w:color w:val="231F20"/>
          <w:spacing w:val="-18"/>
          <w:w w:val="105"/>
        </w:rPr>
        <w:t> </w:t>
      </w:r>
      <w:r>
        <w:rPr>
          <w:color w:val="231F20"/>
          <w:w w:val="105"/>
        </w:rPr>
        <w:t>las</w:t>
      </w:r>
      <w:r>
        <w:rPr>
          <w:color w:val="231F20"/>
          <w:spacing w:val="-18"/>
          <w:w w:val="105"/>
        </w:rPr>
        <w:t> </w:t>
      </w:r>
      <w:r>
        <w:rPr>
          <w:color w:val="231F20"/>
          <w:w w:val="105"/>
        </w:rPr>
        <w:t>rigideces</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precios</w:t>
      </w:r>
      <w:r>
        <w:rPr>
          <w:color w:val="231F20"/>
          <w:spacing w:val="-18"/>
          <w:w w:val="105"/>
        </w:rPr>
        <w:t> </w:t>
      </w:r>
      <w:r>
        <w:rPr>
          <w:color w:val="231F20"/>
          <w:w w:val="105"/>
        </w:rPr>
        <w:t>y</w:t>
      </w:r>
      <w:r>
        <w:rPr>
          <w:color w:val="231F20"/>
          <w:spacing w:val="-18"/>
          <w:w w:val="105"/>
        </w:rPr>
        <w:t> </w:t>
      </w:r>
      <w:r>
        <w:rPr>
          <w:color w:val="231F20"/>
          <w:w w:val="105"/>
        </w:rPr>
        <w:t>salarios nominales,</w:t>
      </w:r>
      <w:r>
        <w:rPr>
          <w:color w:val="231F20"/>
          <w:spacing w:val="-13"/>
          <w:w w:val="105"/>
        </w:rPr>
        <w:t> </w:t>
      </w:r>
      <w:r>
        <w:rPr>
          <w:color w:val="231F20"/>
          <w:w w:val="105"/>
        </w:rPr>
        <w:t>competencia</w:t>
      </w:r>
      <w:r>
        <w:rPr>
          <w:color w:val="231F20"/>
          <w:spacing w:val="-6"/>
          <w:w w:val="105"/>
        </w:rPr>
        <w:t> </w:t>
      </w:r>
      <w:r>
        <w:rPr>
          <w:color w:val="231F20"/>
          <w:w w:val="105"/>
        </w:rPr>
        <w:t>imperfecta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mercado</w:t>
      </w:r>
      <w:r>
        <w:rPr>
          <w:color w:val="231F20"/>
          <w:spacing w:val="-6"/>
          <w:w w:val="105"/>
        </w:rPr>
        <w:t> </w:t>
      </w:r>
      <w:r>
        <w:rPr>
          <w:color w:val="231F20"/>
          <w:w w:val="105"/>
        </w:rPr>
        <w:t>de</w:t>
      </w:r>
      <w:r>
        <w:rPr>
          <w:color w:val="231F20"/>
          <w:spacing w:val="-6"/>
          <w:w w:val="105"/>
        </w:rPr>
        <w:t> </w:t>
      </w:r>
      <w:r>
        <w:rPr>
          <w:color w:val="231F20"/>
          <w:w w:val="105"/>
        </w:rPr>
        <w:t>trabajo</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de bienes,</w:t>
      </w:r>
      <w:r>
        <w:rPr>
          <w:color w:val="231F20"/>
          <w:spacing w:val="-24"/>
          <w:w w:val="105"/>
        </w:rPr>
        <w:t> </w:t>
      </w:r>
      <w:r>
        <w:rPr>
          <w:color w:val="231F20"/>
          <w:w w:val="105"/>
        </w:rPr>
        <w:t>y</w:t>
      </w:r>
      <w:r>
        <w:rPr>
          <w:color w:val="231F20"/>
          <w:spacing w:val="-18"/>
          <w:w w:val="105"/>
        </w:rPr>
        <w:t> </w:t>
      </w:r>
      <w:r>
        <w:rPr>
          <w:color w:val="231F20"/>
          <w:w w:val="105"/>
        </w:rPr>
        <w:t>asimetrías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información</w:t>
      </w:r>
      <w:r>
        <w:rPr>
          <w:color w:val="231F20"/>
          <w:spacing w:val="-18"/>
          <w:w w:val="105"/>
        </w:rPr>
        <w:t> </w:t>
      </w:r>
      <w:r>
        <w:rPr>
          <w:color w:val="231F20"/>
          <w:w w:val="105"/>
        </w:rPr>
        <w:t>y</w:t>
      </w:r>
      <w:r>
        <w:rPr>
          <w:color w:val="231F20"/>
          <w:spacing w:val="-18"/>
          <w:w w:val="105"/>
        </w:rPr>
        <w:t> </w:t>
      </w:r>
      <w:r>
        <w:rPr>
          <w:color w:val="231F20"/>
          <w:w w:val="105"/>
        </w:rPr>
        <w:t>racionamiento</w:t>
      </w:r>
      <w:r>
        <w:rPr>
          <w:color w:val="231F20"/>
          <w:spacing w:val="-18"/>
          <w:w w:val="105"/>
        </w:rPr>
        <w:t> </w:t>
      </w:r>
      <w:r>
        <w:rPr>
          <w:color w:val="231F20"/>
          <w:w w:val="105"/>
        </w:rPr>
        <w:t>del</w:t>
      </w:r>
      <w:r>
        <w:rPr>
          <w:color w:val="231F20"/>
          <w:spacing w:val="-18"/>
          <w:w w:val="105"/>
        </w:rPr>
        <w:t> </w:t>
      </w:r>
      <w:r>
        <w:rPr>
          <w:color w:val="231F20"/>
          <w:w w:val="105"/>
        </w:rPr>
        <w:t>crédito.</w:t>
      </w:r>
    </w:p>
    <w:p>
      <w:pPr>
        <w:pStyle w:val="BodyText"/>
        <w:rPr>
          <w:sz w:val="20"/>
        </w:rPr>
      </w:pPr>
    </w:p>
    <w:p>
      <w:pPr>
        <w:pStyle w:val="BodyText"/>
        <w:rPr>
          <w:sz w:val="20"/>
        </w:rPr>
      </w:pPr>
    </w:p>
    <w:p>
      <w:pPr>
        <w:pStyle w:val="BodyText"/>
        <w:spacing w:before="2"/>
        <w:rPr>
          <w:sz w:val="18"/>
        </w:rPr>
      </w:pPr>
    </w:p>
    <w:p>
      <w:pPr>
        <w:tabs>
          <w:tab w:pos="1317" w:val="left" w:leader="none"/>
        </w:tabs>
        <w:spacing w:before="0"/>
        <w:ind w:left="212" w:right="17" w:firstLine="0"/>
        <w:jc w:val="left"/>
        <w:rPr>
          <w:rFonts w:ascii="Calibri"/>
          <w:sz w:val="15"/>
        </w:rPr>
      </w:pPr>
      <w:r>
        <w:rPr/>
        <w:pict>
          <v:group style="position:absolute;margin-left:101.817299pt;margin-top:-20.299887pt;width:17.850pt;height:56.5pt;mso-position-horizontal-relative:page;mso-position-vertical-relative:paragraph;z-index:-237184" coordorigin="2036,-406" coordsize="357,1130">
            <v:line style="position:absolute" from="2211,4" to="2211,720" stroked="true" strokeweight=".3pt" strokecolor="#231f20"/>
            <v:shape style="position:absolute;left:2036;top:-232;width:356;height:609" type="#_x0000_t75" stroked="false">
              <v:imagedata r:id="rId18" o:title=""/>
            </v:shape>
            <v:shape style="position:absolute;left:2036;top:-406;width:356;height:783" type="#_x0000_t75" stroked="false">
              <v:imagedata r:id="rId19" o:title=""/>
            </v:shape>
            <w10:wrap type="none"/>
          </v:group>
        </w:pict>
      </w:r>
      <w:r>
        <w:rPr>
          <w:color w:val="414042"/>
          <w:w w:val="105"/>
          <w:position w:val="-5"/>
          <w:sz w:val="20"/>
        </w:rPr>
        <w:t>304</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160"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305</w:t>
      </w:r>
    </w:p>
    <w:p>
      <w:pPr>
        <w:pStyle w:val="BodyText"/>
        <w:rPr>
          <w:sz w:val="22"/>
        </w:rPr>
      </w:pPr>
    </w:p>
    <w:p>
      <w:pPr>
        <w:pStyle w:val="BodyText"/>
        <w:rPr>
          <w:sz w:val="22"/>
        </w:rPr>
      </w:pPr>
    </w:p>
    <w:p>
      <w:pPr>
        <w:pStyle w:val="Heading2"/>
        <w:spacing w:before="131"/>
        <w:ind w:right="114"/>
        <w:jc w:val="left"/>
      </w:pPr>
      <w:r>
        <w:rPr>
          <w:color w:val="231F20"/>
        </w:rPr>
        <w:t>Referencias</w:t>
      </w:r>
    </w:p>
    <w:p>
      <w:pPr>
        <w:pStyle w:val="BodyText"/>
        <w:rPr>
          <w:b/>
          <w:sz w:val="22"/>
        </w:rPr>
      </w:pPr>
    </w:p>
    <w:p>
      <w:pPr>
        <w:spacing w:line="259" w:lineRule="auto" w:before="160"/>
        <w:ind w:left="854" w:right="121" w:hanging="738"/>
        <w:jc w:val="both"/>
        <w:rPr>
          <w:sz w:val="21"/>
        </w:rPr>
      </w:pPr>
      <w:r>
        <w:rPr>
          <w:color w:val="231F20"/>
          <w:sz w:val="21"/>
        </w:rPr>
        <w:t>Akerlof,</w:t>
      </w:r>
      <w:r>
        <w:rPr>
          <w:color w:val="231F20"/>
          <w:spacing w:val="-11"/>
          <w:sz w:val="21"/>
        </w:rPr>
        <w:t> </w:t>
      </w:r>
      <w:r>
        <w:rPr>
          <w:color w:val="231F20"/>
          <w:sz w:val="21"/>
        </w:rPr>
        <w:t>G.</w:t>
      </w:r>
      <w:r>
        <w:rPr>
          <w:color w:val="231F20"/>
          <w:spacing w:val="-15"/>
          <w:sz w:val="21"/>
        </w:rPr>
        <w:t> </w:t>
      </w:r>
      <w:r>
        <w:rPr>
          <w:color w:val="231F20"/>
          <w:sz w:val="21"/>
        </w:rPr>
        <w:t>A.</w:t>
      </w:r>
      <w:r>
        <w:rPr>
          <w:color w:val="231F20"/>
          <w:spacing w:val="-11"/>
          <w:sz w:val="21"/>
        </w:rPr>
        <w:t> </w:t>
      </w:r>
      <w:r>
        <w:rPr>
          <w:color w:val="231F20"/>
          <w:sz w:val="21"/>
        </w:rPr>
        <w:t>y</w:t>
      </w:r>
      <w:r>
        <w:rPr>
          <w:color w:val="231F20"/>
          <w:spacing w:val="-9"/>
          <w:sz w:val="21"/>
        </w:rPr>
        <w:t> </w:t>
      </w:r>
      <w:r>
        <w:rPr>
          <w:color w:val="231F20"/>
          <w:spacing w:val="-3"/>
          <w:sz w:val="21"/>
        </w:rPr>
        <w:t>Yellen,</w:t>
      </w:r>
      <w:r>
        <w:rPr>
          <w:color w:val="231F20"/>
          <w:spacing w:val="-13"/>
          <w:sz w:val="21"/>
        </w:rPr>
        <w:t> </w:t>
      </w:r>
      <w:r>
        <w:rPr>
          <w:color w:val="231F20"/>
          <w:sz w:val="21"/>
        </w:rPr>
        <w:t>J.</w:t>
      </w:r>
      <w:r>
        <w:rPr>
          <w:color w:val="231F20"/>
          <w:spacing w:val="-11"/>
          <w:sz w:val="21"/>
        </w:rPr>
        <w:t> </w:t>
      </w:r>
      <w:r>
        <w:rPr>
          <w:color w:val="231F20"/>
          <w:sz w:val="21"/>
        </w:rPr>
        <w:t>L.</w:t>
      </w:r>
      <w:r>
        <w:rPr>
          <w:color w:val="231F20"/>
          <w:spacing w:val="-11"/>
          <w:sz w:val="21"/>
        </w:rPr>
        <w:t> </w:t>
      </w:r>
      <w:r>
        <w:rPr>
          <w:color w:val="231F20"/>
          <w:sz w:val="21"/>
        </w:rPr>
        <w:t>(1985).</w:t>
      </w:r>
      <w:r>
        <w:rPr>
          <w:color w:val="231F20"/>
          <w:spacing w:val="-11"/>
          <w:sz w:val="21"/>
        </w:rPr>
        <w:t> </w:t>
      </w:r>
      <w:r>
        <w:rPr>
          <w:color w:val="231F20"/>
          <w:spacing w:val="-8"/>
          <w:sz w:val="21"/>
        </w:rPr>
        <w:t>“A</w:t>
      </w:r>
      <w:r>
        <w:rPr>
          <w:color w:val="231F20"/>
          <w:spacing w:val="-7"/>
          <w:sz w:val="21"/>
        </w:rPr>
        <w:t> </w:t>
      </w:r>
      <w:r>
        <w:rPr>
          <w:color w:val="231F20"/>
          <w:sz w:val="21"/>
        </w:rPr>
        <w:t>Near-Rational</w:t>
      </w:r>
      <w:r>
        <w:rPr>
          <w:color w:val="231F20"/>
          <w:spacing w:val="-4"/>
          <w:sz w:val="21"/>
        </w:rPr>
        <w:t> </w:t>
      </w:r>
      <w:r>
        <w:rPr>
          <w:color w:val="231F20"/>
          <w:sz w:val="21"/>
        </w:rPr>
        <w:t>Model</w:t>
      </w:r>
      <w:r>
        <w:rPr>
          <w:color w:val="231F20"/>
          <w:spacing w:val="-4"/>
          <w:sz w:val="21"/>
        </w:rPr>
        <w:t> </w:t>
      </w:r>
      <w:r>
        <w:rPr>
          <w:color w:val="231F20"/>
          <w:sz w:val="21"/>
        </w:rPr>
        <w:t>of</w:t>
      </w:r>
      <w:r>
        <w:rPr>
          <w:color w:val="231F20"/>
          <w:spacing w:val="2"/>
          <w:sz w:val="21"/>
        </w:rPr>
        <w:t> </w:t>
      </w:r>
      <w:r>
        <w:rPr>
          <w:color w:val="231F20"/>
          <w:sz w:val="21"/>
        </w:rPr>
        <w:t>the</w:t>
      </w:r>
      <w:r>
        <w:rPr>
          <w:color w:val="231F20"/>
          <w:spacing w:val="-4"/>
          <w:sz w:val="21"/>
        </w:rPr>
        <w:t> </w:t>
      </w:r>
      <w:r>
        <w:rPr>
          <w:color w:val="231F20"/>
          <w:sz w:val="21"/>
        </w:rPr>
        <w:t>Business Cycle, with Wages and </w:t>
      </w:r>
      <w:r>
        <w:rPr>
          <w:color w:val="231F20"/>
          <w:spacing w:val="-3"/>
          <w:sz w:val="21"/>
        </w:rPr>
        <w:t>Price </w:t>
      </w:r>
      <w:r>
        <w:rPr>
          <w:color w:val="231F20"/>
          <w:sz w:val="21"/>
        </w:rPr>
        <w:t>Inertia” en: </w:t>
      </w:r>
      <w:r>
        <w:rPr>
          <w:i/>
          <w:color w:val="231F20"/>
          <w:sz w:val="21"/>
        </w:rPr>
        <w:t>The Quarterly Journal of </w:t>
      </w:r>
      <w:r>
        <w:rPr>
          <w:i/>
          <w:color w:val="231F20"/>
          <w:sz w:val="21"/>
        </w:rPr>
        <w:t>Economics</w:t>
      </w:r>
      <w:r>
        <w:rPr>
          <w:color w:val="231F20"/>
          <w:sz w:val="21"/>
        </w:rPr>
        <w:t>,</w:t>
      </w:r>
      <w:r>
        <w:rPr>
          <w:color w:val="231F20"/>
          <w:spacing w:val="-14"/>
          <w:sz w:val="21"/>
        </w:rPr>
        <w:t> </w:t>
      </w:r>
      <w:r>
        <w:rPr>
          <w:color w:val="231F20"/>
          <w:sz w:val="21"/>
        </w:rPr>
        <w:t>(100).</w:t>
      </w:r>
    </w:p>
    <w:p>
      <w:pPr>
        <w:spacing w:line="259" w:lineRule="auto" w:before="0"/>
        <w:ind w:left="854" w:right="121" w:hanging="738"/>
        <w:jc w:val="both"/>
        <w:rPr>
          <w:sz w:val="21"/>
        </w:rPr>
      </w:pPr>
      <w:r>
        <w:rPr>
          <w:color w:val="231F20"/>
          <w:w w:val="105"/>
          <w:sz w:val="21"/>
        </w:rPr>
        <w:t>Antunez,</w:t>
      </w:r>
      <w:r>
        <w:rPr>
          <w:color w:val="231F20"/>
          <w:spacing w:val="-31"/>
          <w:w w:val="105"/>
          <w:sz w:val="21"/>
        </w:rPr>
        <w:t> </w:t>
      </w:r>
      <w:r>
        <w:rPr>
          <w:color w:val="231F20"/>
          <w:w w:val="105"/>
          <w:sz w:val="21"/>
        </w:rPr>
        <w:t>C.</w:t>
      </w:r>
      <w:r>
        <w:rPr>
          <w:color w:val="231F20"/>
          <w:spacing w:val="-31"/>
          <w:w w:val="105"/>
          <w:sz w:val="21"/>
        </w:rPr>
        <w:t> </w:t>
      </w:r>
      <w:r>
        <w:rPr>
          <w:color w:val="231F20"/>
          <w:w w:val="105"/>
          <w:sz w:val="21"/>
        </w:rPr>
        <w:t>I.</w:t>
      </w:r>
      <w:r>
        <w:rPr>
          <w:color w:val="231F20"/>
          <w:spacing w:val="-31"/>
          <w:w w:val="105"/>
          <w:sz w:val="21"/>
        </w:rPr>
        <w:t> </w:t>
      </w:r>
      <w:r>
        <w:rPr>
          <w:color w:val="231F20"/>
          <w:w w:val="105"/>
          <w:sz w:val="21"/>
        </w:rPr>
        <w:t>(2009).</w:t>
      </w:r>
      <w:r>
        <w:rPr>
          <w:color w:val="231F20"/>
          <w:spacing w:val="-31"/>
          <w:w w:val="105"/>
          <w:sz w:val="21"/>
        </w:rPr>
        <w:t> </w:t>
      </w:r>
      <w:r>
        <w:rPr>
          <w:i/>
          <w:color w:val="231F20"/>
          <w:w w:val="105"/>
          <w:sz w:val="21"/>
        </w:rPr>
        <w:t>Modelos</w:t>
      </w:r>
      <w:r>
        <w:rPr>
          <w:i/>
          <w:color w:val="231F20"/>
          <w:spacing w:val="-27"/>
          <w:w w:val="105"/>
          <w:sz w:val="21"/>
        </w:rPr>
        <w:t> </w:t>
      </w:r>
      <w:r>
        <w:rPr>
          <w:i/>
          <w:color w:val="231F20"/>
          <w:w w:val="105"/>
          <w:sz w:val="21"/>
        </w:rPr>
        <w:t>de</w:t>
      </w:r>
      <w:r>
        <w:rPr>
          <w:i/>
          <w:color w:val="231F20"/>
          <w:spacing w:val="-27"/>
          <w:w w:val="105"/>
          <w:sz w:val="21"/>
        </w:rPr>
        <w:t> </w:t>
      </w:r>
      <w:r>
        <w:rPr>
          <w:i/>
          <w:color w:val="231F20"/>
          <w:w w:val="105"/>
          <w:sz w:val="21"/>
        </w:rPr>
        <w:t>crecimiento</w:t>
      </w:r>
      <w:r>
        <w:rPr>
          <w:i/>
          <w:color w:val="231F20"/>
          <w:spacing w:val="-27"/>
          <w:w w:val="105"/>
          <w:sz w:val="21"/>
        </w:rPr>
        <w:t> </w:t>
      </w:r>
      <w:r>
        <w:rPr>
          <w:i/>
          <w:color w:val="231F20"/>
          <w:w w:val="105"/>
          <w:sz w:val="21"/>
        </w:rPr>
        <w:t>económico.</w:t>
      </w:r>
      <w:r>
        <w:rPr>
          <w:i/>
          <w:color w:val="231F20"/>
          <w:spacing w:val="-31"/>
          <w:w w:val="105"/>
          <w:sz w:val="21"/>
        </w:rPr>
        <w:t> </w:t>
      </w:r>
      <w:r>
        <w:rPr>
          <w:color w:val="231F20"/>
          <w:spacing w:val="-4"/>
          <w:w w:val="105"/>
          <w:sz w:val="21"/>
        </w:rPr>
        <w:t>Perú:</w:t>
      </w:r>
      <w:r>
        <w:rPr>
          <w:color w:val="231F20"/>
          <w:spacing w:val="-27"/>
          <w:w w:val="105"/>
          <w:sz w:val="21"/>
        </w:rPr>
        <w:t> </w:t>
      </w:r>
      <w:r>
        <w:rPr>
          <w:color w:val="231F20"/>
          <w:w w:val="105"/>
          <w:sz w:val="21"/>
        </w:rPr>
        <w:t>Universi- dad</w:t>
      </w:r>
      <w:r>
        <w:rPr>
          <w:color w:val="231F20"/>
          <w:spacing w:val="-24"/>
          <w:w w:val="105"/>
          <w:sz w:val="21"/>
        </w:rPr>
        <w:t> </w:t>
      </w:r>
      <w:r>
        <w:rPr>
          <w:color w:val="231F20"/>
          <w:w w:val="105"/>
          <w:sz w:val="21"/>
        </w:rPr>
        <w:t>Nacional</w:t>
      </w:r>
      <w:r>
        <w:rPr>
          <w:color w:val="231F20"/>
          <w:spacing w:val="-24"/>
          <w:w w:val="105"/>
          <w:sz w:val="21"/>
        </w:rPr>
        <w:t> </w:t>
      </w:r>
      <w:r>
        <w:rPr>
          <w:color w:val="231F20"/>
          <w:w w:val="105"/>
          <w:sz w:val="21"/>
        </w:rPr>
        <w:t>Mayor</w:t>
      </w:r>
      <w:r>
        <w:rPr>
          <w:color w:val="231F20"/>
          <w:spacing w:val="-24"/>
          <w:w w:val="105"/>
          <w:sz w:val="21"/>
        </w:rPr>
        <w:t> </w:t>
      </w:r>
      <w:r>
        <w:rPr>
          <w:color w:val="231F20"/>
          <w:w w:val="105"/>
          <w:sz w:val="21"/>
        </w:rPr>
        <w:t>de</w:t>
      </w:r>
      <w:r>
        <w:rPr>
          <w:color w:val="231F20"/>
          <w:spacing w:val="-24"/>
          <w:w w:val="105"/>
          <w:sz w:val="21"/>
        </w:rPr>
        <w:t> </w:t>
      </w:r>
      <w:r>
        <w:rPr>
          <w:color w:val="231F20"/>
          <w:w w:val="105"/>
          <w:sz w:val="21"/>
        </w:rPr>
        <w:t>San</w:t>
      </w:r>
      <w:r>
        <w:rPr>
          <w:color w:val="231F20"/>
          <w:spacing w:val="-24"/>
          <w:w w:val="105"/>
          <w:sz w:val="21"/>
        </w:rPr>
        <w:t> </w:t>
      </w:r>
      <w:r>
        <w:rPr>
          <w:color w:val="231F20"/>
          <w:w w:val="105"/>
          <w:sz w:val="21"/>
        </w:rPr>
        <w:t>Marcos.</w:t>
      </w:r>
    </w:p>
    <w:p>
      <w:pPr>
        <w:spacing w:line="259" w:lineRule="auto" w:before="0"/>
        <w:ind w:left="854" w:right="126" w:hanging="737"/>
        <w:jc w:val="both"/>
        <w:rPr>
          <w:sz w:val="21"/>
        </w:rPr>
      </w:pPr>
      <w:r>
        <w:rPr>
          <w:color w:val="231F20"/>
          <w:sz w:val="21"/>
        </w:rPr>
        <w:t>Ball, L. (1990). “Insiders and Outsiders: A Review Essay” en: </w:t>
      </w:r>
      <w:r>
        <w:rPr>
          <w:i/>
          <w:color w:val="231F20"/>
          <w:sz w:val="21"/>
        </w:rPr>
        <w:t>Journal of </w:t>
      </w:r>
      <w:r>
        <w:rPr>
          <w:i/>
          <w:color w:val="231F20"/>
          <w:sz w:val="21"/>
        </w:rPr>
        <w:t>Monetary Economics</w:t>
      </w:r>
      <w:r>
        <w:rPr>
          <w:color w:val="231F20"/>
          <w:sz w:val="21"/>
        </w:rPr>
        <w:t>, 26(3), 459-469.</w:t>
      </w:r>
    </w:p>
    <w:p>
      <w:pPr>
        <w:spacing w:line="259" w:lineRule="auto" w:before="0"/>
        <w:ind w:left="854" w:right="121" w:hanging="737"/>
        <w:jc w:val="both"/>
        <w:rPr>
          <w:sz w:val="21"/>
        </w:rPr>
      </w:pPr>
      <w:r>
        <w:rPr>
          <w:color w:val="231F20"/>
          <w:sz w:val="21"/>
        </w:rPr>
        <w:t>Besada, B. (1981). </w:t>
      </w:r>
      <w:r>
        <w:rPr>
          <w:i/>
          <w:color w:val="231F20"/>
          <w:sz w:val="21"/>
        </w:rPr>
        <w:t>Estudio crítico de la teoría general de Keynes</w:t>
      </w:r>
      <w:r>
        <w:rPr>
          <w:color w:val="231F20"/>
          <w:sz w:val="21"/>
        </w:rPr>
        <w:t>. Cuba: Ed. Ciencias Sociales.</w:t>
      </w:r>
    </w:p>
    <w:p>
      <w:pPr>
        <w:pStyle w:val="BodyText"/>
        <w:spacing w:line="259" w:lineRule="auto"/>
        <w:ind w:left="854" w:right="115" w:hanging="738"/>
        <w:jc w:val="both"/>
      </w:pPr>
      <w:r>
        <w:rPr>
          <w:color w:val="231F20"/>
        </w:rPr>
        <w:t>Boyer, R. (2011). “Poskeynesianos y regulacionistas: ¿Una alternativa a</w:t>
      </w:r>
      <w:r>
        <w:rPr>
          <w:color w:val="231F20"/>
          <w:spacing w:val="-22"/>
        </w:rPr>
        <w:t> </w:t>
      </w:r>
      <w:r>
        <w:rPr>
          <w:color w:val="231F20"/>
        </w:rPr>
        <w:t>la crisis de la economía estándar?” en: </w:t>
      </w:r>
      <w:r>
        <w:rPr>
          <w:i/>
          <w:color w:val="231F20"/>
        </w:rPr>
        <w:t>Economía: </w:t>
      </w:r>
      <w:r>
        <w:rPr>
          <w:i/>
          <w:color w:val="231F20"/>
          <w:spacing w:val="-4"/>
        </w:rPr>
        <w:t>Teoría </w:t>
      </w:r>
      <w:r>
        <w:rPr>
          <w:i/>
          <w:color w:val="231F20"/>
        </w:rPr>
        <w:t>y Práctica</w:t>
      </w:r>
      <w:r>
        <w:rPr>
          <w:color w:val="231F20"/>
        </w:rPr>
        <w:t>, (35),</w:t>
      </w:r>
      <w:r>
        <w:rPr>
          <w:color w:val="231F20"/>
          <w:spacing w:val="-8"/>
        </w:rPr>
        <w:t> </w:t>
      </w:r>
      <w:r>
        <w:rPr>
          <w:color w:val="231F20"/>
        </w:rPr>
        <w:t>11-43.</w:t>
      </w:r>
    </w:p>
    <w:p>
      <w:pPr>
        <w:spacing w:line="259" w:lineRule="auto" w:before="0"/>
        <w:ind w:left="854" w:right="122" w:hanging="738"/>
        <w:jc w:val="both"/>
        <w:rPr>
          <w:sz w:val="21"/>
        </w:rPr>
      </w:pPr>
      <w:r>
        <w:rPr>
          <w:color w:val="231F20"/>
          <w:sz w:val="21"/>
        </w:rPr>
        <w:t>Caballero, A. (2006). </w:t>
      </w:r>
      <w:r>
        <w:rPr>
          <w:i/>
          <w:color w:val="231F20"/>
          <w:sz w:val="21"/>
        </w:rPr>
        <w:t>La economía post-keynesiana. Principios. </w:t>
      </w:r>
      <w:r>
        <w:rPr>
          <w:i/>
          <w:sz w:val="21"/>
        </w:rPr>
        <w:t>Estudios </w:t>
      </w:r>
      <w:r>
        <w:rPr>
          <w:i/>
          <w:sz w:val="21"/>
        </w:rPr>
        <w:t>de Economía Política</w:t>
      </w:r>
      <w:r>
        <w:rPr>
          <w:color w:val="231F20"/>
          <w:sz w:val="21"/>
        </w:rPr>
        <w:t>, (4), </w:t>
      </w:r>
      <w:r>
        <w:rPr>
          <w:sz w:val="21"/>
        </w:rPr>
        <w:t>93-103.</w:t>
      </w:r>
    </w:p>
    <w:p>
      <w:pPr>
        <w:pStyle w:val="BodyText"/>
        <w:spacing w:line="259" w:lineRule="auto"/>
        <w:ind w:left="854" w:right="122" w:hanging="738"/>
        <w:jc w:val="both"/>
      </w:pPr>
      <w:r>
        <w:rPr>
          <w:color w:val="231F20"/>
        </w:rPr>
        <w:t>Caraballo,</w:t>
      </w:r>
      <w:r>
        <w:rPr>
          <w:color w:val="231F20"/>
          <w:spacing w:val="-12"/>
        </w:rPr>
        <w:t> </w:t>
      </w:r>
      <w:r>
        <w:rPr>
          <w:color w:val="231F20"/>
        </w:rPr>
        <w:t>M.</w:t>
      </w:r>
      <w:r>
        <w:rPr>
          <w:color w:val="231F20"/>
          <w:spacing w:val="-17"/>
        </w:rPr>
        <w:t> </w:t>
      </w:r>
      <w:r>
        <w:rPr>
          <w:color w:val="231F20"/>
        </w:rPr>
        <w:t>Á.,</w:t>
      </w:r>
      <w:r>
        <w:rPr>
          <w:color w:val="231F20"/>
          <w:spacing w:val="-12"/>
        </w:rPr>
        <w:t> </w:t>
      </w:r>
      <w:r>
        <w:rPr>
          <w:color w:val="231F20"/>
        </w:rPr>
        <w:t>Galindo,</w:t>
      </w:r>
      <w:r>
        <w:rPr>
          <w:color w:val="231F20"/>
          <w:spacing w:val="-12"/>
        </w:rPr>
        <w:t> </w:t>
      </w:r>
      <w:r>
        <w:rPr>
          <w:color w:val="231F20"/>
        </w:rPr>
        <w:t>M.</w:t>
      </w:r>
      <w:r>
        <w:rPr>
          <w:color w:val="231F20"/>
          <w:spacing w:val="-17"/>
        </w:rPr>
        <w:t> </w:t>
      </w:r>
      <w:r>
        <w:rPr>
          <w:color w:val="231F20"/>
        </w:rPr>
        <w:t>A.</w:t>
      </w:r>
      <w:r>
        <w:rPr>
          <w:color w:val="231F20"/>
          <w:spacing w:val="-12"/>
        </w:rPr>
        <w:t> </w:t>
      </w:r>
      <w:r>
        <w:rPr>
          <w:color w:val="231F20"/>
        </w:rPr>
        <w:t>y</w:t>
      </w:r>
      <w:r>
        <w:rPr>
          <w:color w:val="231F20"/>
          <w:spacing w:val="-4"/>
        </w:rPr>
        <w:t> </w:t>
      </w:r>
      <w:r>
        <w:rPr>
          <w:color w:val="231F20"/>
        </w:rPr>
        <w:t>Usabiaga,</w:t>
      </w:r>
      <w:r>
        <w:rPr>
          <w:color w:val="231F20"/>
          <w:spacing w:val="-12"/>
        </w:rPr>
        <w:t> </w:t>
      </w:r>
      <w:r>
        <w:rPr>
          <w:color w:val="231F20"/>
        </w:rPr>
        <w:t>C.</w:t>
      </w:r>
      <w:r>
        <w:rPr>
          <w:color w:val="231F20"/>
          <w:spacing w:val="-12"/>
        </w:rPr>
        <w:t> </w:t>
      </w:r>
      <w:r>
        <w:rPr>
          <w:color w:val="231F20"/>
        </w:rPr>
        <w:t>(2000).</w:t>
      </w:r>
      <w:r>
        <w:rPr>
          <w:color w:val="231F20"/>
          <w:spacing w:val="-12"/>
        </w:rPr>
        <w:t> </w:t>
      </w:r>
      <w:r>
        <w:rPr>
          <w:color w:val="231F20"/>
        </w:rPr>
        <w:t>“La</w:t>
      </w:r>
      <w:r>
        <w:rPr>
          <w:color w:val="231F20"/>
          <w:spacing w:val="-4"/>
        </w:rPr>
        <w:t> </w:t>
      </w:r>
      <w:r>
        <w:rPr>
          <w:color w:val="231F20"/>
        </w:rPr>
        <w:t>relación</w:t>
      </w:r>
      <w:r>
        <w:rPr>
          <w:color w:val="231F20"/>
          <w:spacing w:val="-4"/>
        </w:rPr>
        <w:t> </w:t>
      </w:r>
      <w:r>
        <w:rPr>
          <w:color w:val="231F20"/>
        </w:rPr>
        <w:t>entre</w:t>
      </w:r>
      <w:r>
        <w:rPr>
          <w:color w:val="231F20"/>
          <w:spacing w:val="-4"/>
        </w:rPr>
        <w:t> </w:t>
      </w:r>
      <w:r>
        <w:rPr>
          <w:color w:val="231F20"/>
        </w:rPr>
        <w:t>la nueva economía keynesiana y la economía postkeynesiana: una interpretación” en: </w:t>
      </w:r>
      <w:r>
        <w:rPr>
          <w:i/>
          <w:color w:val="231F20"/>
        </w:rPr>
        <w:t>Boletín Económico de ICE</w:t>
      </w:r>
      <w:r>
        <w:rPr>
          <w:color w:val="231F20"/>
        </w:rPr>
        <w:t>, </w:t>
      </w:r>
      <w:r>
        <w:rPr>
          <w:color w:val="231F20"/>
          <w:spacing w:val="28"/>
        </w:rPr>
        <w:t> </w:t>
      </w:r>
      <w:r>
        <w:rPr>
          <w:color w:val="231F20"/>
        </w:rPr>
        <w:t>(2658).</w:t>
      </w:r>
    </w:p>
    <w:p>
      <w:pPr>
        <w:spacing w:line="259" w:lineRule="auto" w:before="0"/>
        <w:ind w:left="854" w:right="122" w:hanging="738"/>
        <w:jc w:val="both"/>
        <w:rPr>
          <w:sz w:val="21"/>
        </w:rPr>
      </w:pPr>
      <w:r>
        <w:rPr>
          <w:color w:val="231F20"/>
          <w:sz w:val="21"/>
        </w:rPr>
        <w:t>Colander, D. (1992). “New Keynesian Economics in Perspective” en: </w:t>
      </w:r>
      <w:r>
        <w:rPr>
          <w:i/>
          <w:color w:val="231F20"/>
          <w:sz w:val="21"/>
        </w:rPr>
        <w:t>East- </w:t>
      </w:r>
      <w:r>
        <w:rPr>
          <w:i/>
          <w:color w:val="231F20"/>
          <w:sz w:val="21"/>
        </w:rPr>
        <w:t>ern Economic Journal, </w:t>
      </w:r>
      <w:r>
        <w:rPr>
          <w:color w:val="231F20"/>
          <w:sz w:val="21"/>
        </w:rPr>
        <w:t>18(4), 437-448.</w:t>
      </w:r>
    </w:p>
    <w:p>
      <w:pPr>
        <w:spacing w:line="259" w:lineRule="auto" w:before="0"/>
        <w:ind w:left="854" w:right="121" w:hanging="738"/>
        <w:jc w:val="both"/>
        <w:rPr>
          <w:sz w:val="21"/>
        </w:rPr>
      </w:pPr>
      <w:r>
        <w:rPr>
          <w:color w:val="231F20"/>
          <w:sz w:val="21"/>
        </w:rPr>
        <w:t>Dixon,</w:t>
      </w:r>
      <w:r>
        <w:rPr>
          <w:color w:val="231F20"/>
          <w:spacing w:val="-10"/>
          <w:sz w:val="21"/>
        </w:rPr>
        <w:t> </w:t>
      </w:r>
      <w:r>
        <w:rPr>
          <w:color w:val="231F20"/>
          <w:sz w:val="21"/>
        </w:rPr>
        <w:t>H.</w:t>
      </w:r>
      <w:r>
        <w:rPr>
          <w:color w:val="231F20"/>
          <w:spacing w:val="-10"/>
          <w:sz w:val="21"/>
        </w:rPr>
        <w:t> </w:t>
      </w:r>
      <w:r>
        <w:rPr>
          <w:color w:val="231F20"/>
          <w:spacing w:val="-6"/>
          <w:sz w:val="21"/>
        </w:rPr>
        <w:t>D.</w:t>
      </w:r>
      <w:r>
        <w:rPr>
          <w:color w:val="231F20"/>
          <w:spacing w:val="-10"/>
          <w:sz w:val="21"/>
        </w:rPr>
        <w:t> </w:t>
      </w:r>
      <w:r>
        <w:rPr>
          <w:color w:val="231F20"/>
          <w:sz w:val="21"/>
        </w:rPr>
        <w:t>(2008).</w:t>
      </w:r>
      <w:r>
        <w:rPr>
          <w:color w:val="231F20"/>
          <w:spacing w:val="-10"/>
          <w:sz w:val="21"/>
        </w:rPr>
        <w:t> </w:t>
      </w:r>
      <w:r>
        <w:rPr>
          <w:color w:val="231F20"/>
          <w:sz w:val="21"/>
        </w:rPr>
        <w:t>“</w:t>
      </w:r>
      <w:r>
        <w:rPr>
          <w:sz w:val="21"/>
        </w:rPr>
        <w:t>New</w:t>
      </w:r>
      <w:r>
        <w:rPr>
          <w:spacing w:val="-3"/>
          <w:sz w:val="21"/>
        </w:rPr>
        <w:t> </w:t>
      </w:r>
      <w:r>
        <w:rPr>
          <w:sz w:val="21"/>
        </w:rPr>
        <w:t>Keynesian</w:t>
      </w:r>
      <w:r>
        <w:rPr>
          <w:spacing w:val="-3"/>
          <w:sz w:val="21"/>
        </w:rPr>
        <w:t> </w:t>
      </w:r>
      <w:r>
        <w:rPr>
          <w:sz w:val="21"/>
        </w:rPr>
        <w:t>Macroeconomics”</w:t>
      </w:r>
      <w:r>
        <w:rPr>
          <w:spacing w:val="-3"/>
          <w:sz w:val="21"/>
        </w:rPr>
        <w:t> </w:t>
      </w:r>
      <w:r>
        <w:rPr>
          <w:sz w:val="21"/>
        </w:rPr>
        <w:t>en:</w:t>
      </w:r>
      <w:r>
        <w:rPr>
          <w:spacing w:val="-3"/>
          <w:sz w:val="21"/>
        </w:rPr>
        <w:t> </w:t>
      </w:r>
      <w:r>
        <w:rPr>
          <w:sz w:val="21"/>
        </w:rPr>
        <w:t>Durlauf,</w:t>
      </w:r>
      <w:r>
        <w:rPr>
          <w:spacing w:val="-10"/>
          <w:sz w:val="21"/>
        </w:rPr>
        <w:t> </w:t>
      </w:r>
      <w:r>
        <w:rPr>
          <w:sz w:val="21"/>
        </w:rPr>
        <w:t>S.</w:t>
      </w:r>
      <w:r>
        <w:rPr>
          <w:spacing w:val="-10"/>
          <w:sz w:val="21"/>
        </w:rPr>
        <w:t> </w:t>
      </w:r>
      <w:r>
        <w:rPr>
          <w:sz w:val="21"/>
        </w:rPr>
        <w:t>N.</w:t>
      </w:r>
      <w:r>
        <w:rPr>
          <w:spacing w:val="-10"/>
          <w:sz w:val="21"/>
        </w:rPr>
        <w:t> </w:t>
      </w:r>
      <w:r>
        <w:rPr>
          <w:sz w:val="21"/>
        </w:rPr>
        <w:t>y Blume, L. E. (eds.). </w:t>
      </w:r>
      <w:r>
        <w:rPr>
          <w:i/>
          <w:sz w:val="21"/>
        </w:rPr>
        <w:t>The New Palgrave Dictionary of Economics</w:t>
      </w:r>
      <w:r>
        <w:rPr>
          <w:sz w:val="21"/>
        </w:rPr>
        <w:t>,</w:t>
      </w:r>
      <w:r>
        <w:rPr>
          <w:spacing w:val="-22"/>
          <w:sz w:val="21"/>
        </w:rPr>
        <w:t> </w:t>
      </w:r>
      <w:r>
        <w:rPr>
          <w:sz w:val="21"/>
        </w:rPr>
        <w:t>2</w:t>
      </w:r>
      <w:r>
        <w:rPr>
          <w:position w:val="7"/>
          <w:sz w:val="12"/>
        </w:rPr>
        <w:t>a </w:t>
      </w:r>
      <w:r>
        <w:rPr>
          <w:sz w:val="21"/>
        </w:rPr>
        <w:t>ed.</w:t>
      </w:r>
      <w:r>
        <w:rPr>
          <w:spacing w:val="18"/>
          <w:sz w:val="21"/>
        </w:rPr>
        <w:t> </w:t>
      </w:r>
      <w:r>
        <w:rPr>
          <w:sz w:val="21"/>
        </w:rPr>
        <w:t>Palgrave-Macmillan.</w:t>
      </w:r>
    </w:p>
    <w:p>
      <w:pPr>
        <w:spacing w:line="259" w:lineRule="auto" w:before="0"/>
        <w:ind w:left="854" w:right="115" w:hanging="738"/>
        <w:jc w:val="both"/>
        <w:rPr>
          <w:sz w:val="21"/>
        </w:rPr>
      </w:pPr>
      <w:r>
        <w:rPr>
          <w:color w:val="231F20"/>
          <w:sz w:val="21"/>
        </w:rPr>
        <w:t>Fischer, S. (1977). “Long-Term Contracts, Rational Expectations, and the Optimal Money Supply Rule” en: </w:t>
      </w:r>
      <w:r>
        <w:rPr>
          <w:i/>
          <w:color w:val="231F20"/>
          <w:sz w:val="21"/>
        </w:rPr>
        <w:t>Journal of Political Economy, </w:t>
      </w:r>
      <w:r>
        <w:rPr>
          <w:color w:val="231F20"/>
          <w:sz w:val="21"/>
        </w:rPr>
        <w:t>85(1), 191-205.</w:t>
      </w:r>
    </w:p>
    <w:p>
      <w:pPr>
        <w:spacing w:line="259" w:lineRule="auto" w:before="0"/>
        <w:ind w:left="854" w:right="121" w:hanging="738"/>
        <w:jc w:val="both"/>
        <w:rPr>
          <w:sz w:val="21"/>
        </w:rPr>
      </w:pPr>
      <w:r>
        <w:rPr>
          <w:color w:val="231F20"/>
          <w:w w:val="105"/>
          <w:sz w:val="21"/>
        </w:rPr>
        <w:t>Friedman, M. (1968). “The Role of Monetary Policy” en: </w:t>
      </w:r>
      <w:r>
        <w:rPr>
          <w:i/>
          <w:color w:val="231F20"/>
          <w:w w:val="105"/>
          <w:sz w:val="21"/>
        </w:rPr>
        <w:t>American Eco- </w:t>
      </w:r>
      <w:r>
        <w:rPr>
          <w:i/>
          <w:color w:val="231F20"/>
          <w:sz w:val="21"/>
        </w:rPr>
        <w:t>nomic Review</w:t>
      </w:r>
      <w:r>
        <w:rPr>
          <w:color w:val="231F20"/>
          <w:sz w:val="21"/>
        </w:rPr>
        <w:t>, 58(1), 1-17.</w:t>
      </w:r>
    </w:p>
    <w:p>
      <w:pPr>
        <w:spacing w:line="259" w:lineRule="auto" w:before="0"/>
        <w:ind w:left="854" w:right="127" w:hanging="737"/>
        <w:jc w:val="both"/>
        <w:rPr>
          <w:sz w:val="21"/>
        </w:rPr>
      </w:pPr>
      <w:r>
        <w:rPr>
          <w:color w:val="231F20"/>
          <w:sz w:val="21"/>
        </w:rPr>
        <w:t>Gordon, R. J. (1990).</w:t>
      </w:r>
      <w:r>
        <w:rPr>
          <w:color w:val="231F20"/>
          <w:spacing w:val="-42"/>
          <w:sz w:val="21"/>
        </w:rPr>
        <w:t> </w:t>
      </w:r>
      <w:r>
        <w:rPr>
          <w:color w:val="231F20"/>
          <w:sz w:val="21"/>
        </w:rPr>
        <w:t>“What Is New-Keynesian Economics?” en: </w:t>
      </w:r>
      <w:r>
        <w:rPr>
          <w:i/>
          <w:color w:val="231F20"/>
          <w:sz w:val="21"/>
        </w:rPr>
        <w:t>Journal of </w:t>
      </w:r>
      <w:r>
        <w:rPr>
          <w:i/>
          <w:color w:val="231F20"/>
          <w:sz w:val="21"/>
        </w:rPr>
        <w:t>Economic Literature</w:t>
      </w:r>
      <w:r>
        <w:rPr>
          <w:color w:val="231F20"/>
          <w:sz w:val="21"/>
        </w:rPr>
        <w:t>, 28(3),</w:t>
      </w:r>
      <w:r>
        <w:rPr>
          <w:color w:val="231F20"/>
          <w:spacing w:val="22"/>
          <w:sz w:val="21"/>
        </w:rPr>
        <w:t> </w:t>
      </w:r>
      <w:r>
        <w:rPr>
          <w:color w:val="231F20"/>
          <w:sz w:val="21"/>
        </w:rPr>
        <w:t>1115-1171.</w:t>
      </w:r>
    </w:p>
    <w:p>
      <w:pPr>
        <w:pStyle w:val="BodyText"/>
        <w:spacing w:line="259" w:lineRule="auto"/>
        <w:ind w:left="854" w:right="122" w:hanging="738"/>
        <w:jc w:val="both"/>
      </w:pPr>
      <w:r>
        <w:rPr>
          <w:color w:val="231F20"/>
        </w:rPr>
        <w:t>Hicks,</w:t>
      </w:r>
      <w:r>
        <w:rPr>
          <w:color w:val="231F20"/>
          <w:spacing w:val="-12"/>
        </w:rPr>
        <w:t> </w:t>
      </w:r>
      <w:r>
        <w:rPr>
          <w:color w:val="231F20"/>
        </w:rPr>
        <w:t>J.</w:t>
      </w:r>
      <w:r>
        <w:rPr>
          <w:color w:val="231F20"/>
          <w:spacing w:val="-10"/>
        </w:rPr>
        <w:t> </w:t>
      </w:r>
      <w:r>
        <w:rPr>
          <w:color w:val="231F20"/>
        </w:rPr>
        <w:t>R.</w:t>
      </w:r>
      <w:r>
        <w:rPr>
          <w:color w:val="231F20"/>
          <w:spacing w:val="-10"/>
        </w:rPr>
        <w:t> </w:t>
      </w:r>
      <w:r>
        <w:rPr>
          <w:color w:val="231F20"/>
        </w:rPr>
        <w:t>(1937).</w:t>
      </w:r>
      <w:r>
        <w:rPr>
          <w:color w:val="231F20"/>
          <w:spacing w:val="-10"/>
        </w:rPr>
        <w:t> </w:t>
      </w:r>
      <w:r>
        <w:rPr>
          <w:color w:val="231F20"/>
          <w:spacing w:val="-3"/>
        </w:rPr>
        <w:t>“Mr.</w:t>
      </w:r>
      <w:r>
        <w:rPr>
          <w:color w:val="231F20"/>
          <w:spacing w:val="-10"/>
        </w:rPr>
        <w:t> </w:t>
      </w:r>
      <w:r>
        <w:rPr>
          <w:color w:val="231F20"/>
        </w:rPr>
        <w:t>Keynes</w:t>
      </w:r>
      <w:r>
        <w:rPr>
          <w:color w:val="231F20"/>
          <w:spacing w:val="-4"/>
        </w:rPr>
        <w:t> </w:t>
      </w:r>
      <w:r>
        <w:rPr>
          <w:color w:val="231F20"/>
        </w:rPr>
        <w:t>and</w:t>
      </w:r>
      <w:r>
        <w:rPr>
          <w:color w:val="231F20"/>
          <w:spacing w:val="-4"/>
        </w:rPr>
        <w:t> </w:t>
      </w:r>
      <w:r>
        <w:rPr>
          <w:color w:val="231F20"/>
        </w:rPr>
        <w:t>the</w:t>
      </w:r>
      <w:r>
        <w:rPr>
          <w:color w:val="231F20"/>
          <w:spacing w:val="-4"/>
        </w:rPr>
        <w:t> </w:t>
      </w:r>
      <w:r>
        <w:rPr>
          <w:color w:val="231F20"/>
        </w:rPr>
        <w:t>‘Classics’,</w:t>
      </w:r>
      <w:r>
        <w:rPr>
          <w:color w:val="231F20"/>
          <w:spacing w:val="-10"/>
        </w:rPr>
        <w:t> </w:t>
      </w:r>
      <w:r>
        <w:rPr>
          <w:color w:val="231F20"/>
        </w:rPr>
        <w:t>a</w:t>
      </w:r>
      <w:r>
        <w:rPr>
          <w:color w:val="231F20"/>
          <w:spacing w:val="-4"/>
        </w:rPr>
        <w:t> </w:t>
      </w:r>
      <w:r>
        <w:rPr>
          <w:color w:val="231F20"/>
        </w:rPr>
        <w:t>Suggested</w:t>
      </w:r>
      <w:r>
        <w:rPr>
          <w:color w:val="231F20"/>
          <w:spacing w:val="-4"/>
        </w:rPr>
        <w:t> </w:t>
      </w:r>
      <w:r>
        <w:rPr>
          <w:color w:val="231F20"/>
        </w:rPr>
        <w:t>Interpreta- tion” en: </w:t>
      </w:r>
      <w:r>
        <w:rPr>
          <w:i/>
          <w:color w:val="231F20"/>
        </w:rPr>
        <w:t>Econometrica</w:t>
      </w:r>
      <w:r>
        <w:rPr>
          <w:color w:val="231F20"/>
        </w:rPr>
        <w:t>, 5(2),</w:t>
      </w:r>
      <w:r>
        <w:rPr>
          <w:color w:val="231F20"/>
          <w:spacing w:val="53"/>
        </w:rPr>
        <w:t> </w:t>
      </w:r>
      <w:r>
        <w:rPr>
          <w:color w:val="231F20"/>
        </w:rPr>
        <w:t>147-159.</w:t>
      </w:r>
    </w:p>
    <w:p>
      <w:pPr>
        <w:pStyle w:val="BodyText"/>
        <w:spacing w:line="259" w:lineRule="auto"/>
        <w:ind w:left="854" w:right="115" w:hanging="738"/>
        <w:jc w:val="both"/>
      </w:pPr>
      <w:r>
        <w:rPr>
          <w:color w:val="231F20"/>
          <w:w w:val="105"/>
        </w:rPr>
        <w:t>Kaldor, N. (1957). </w:t>
      </w:r>
      <w:r>
        <w:rPr>
          <w:color w:val="231F20"/>
          <w:spacing w:val="-8"/>
          <w:w w:val="105"/>
        </w:rPr>
        <w:t>“A </w:t>
      </w:r>
      <w:r>
        <w:rPr>
          <w:color w:val="231F20"/>
          <w:w w:val="105"/>
        </w:rPr>
        <w:t>model of economic growth” en: </w:t>
      </w:r>
      <w:r>
        <w:rPr>
          <w:i/>
          <w:color w:val="231F20"/>
          <w:w w:val="105"/>
        </w:rPr>
        <w:t>Economic</w:t>
      </w:r>
      <w:r>
        <w:rPr>
          <w:i/>
          <w:color w:val="231F20"/>
          <w:spacing w:val="-32"/>
          <w:w w:val="105"/>
        </w:rPr>
        <w:t> </w:t>
      </w:r>
      <w:r>
        <w:rPr>
          <w:i/>
          <w:color w:val="231F20"/>
          <w:w w:val="105"/>
        </w:rPr>
        <w:t>Journal</w:t>
      </w:r>
      <w:r>
        <w:rPr>
          <w:color w:val="231F20"/>
          <w:w w:val="105"/>
        </w:rPr>
        <w:t>, </w:t>
      </w:r>
      <w:r>
        <w:rPr>
          <w:color w:val="231F20"/>
        </w:rPr>
        <w:t>(67),</w:t>
      </w:r>
      <w:r>
        <w:rPr>
          <w:color w:val="231F20"/>
          <w:spacing w:val="3"/>
        </w:rPr>
        <w:t> </w:t>
      </w:r>
      <w:r>
        <w:rPr>
          <w:color w:val="231F20"/>
        </w:rPr>
        <w:t>591-624.</w:t>
      </w:r>
    </w:p>
    <w:p>
      <w:pPr>
        <w:spacing w:line="259" w:lineRule="auto" w:before="0"/>
        <w:ind w:left="854" w:right="122" w:hanging="738"/>
        <w:jc w:val="both"/>
        <w:rPr>
          <w:sz w:val="21"/>
        </w:rPr>
      </w:pPr>
      <w:r>
        <w:rPr>
          <w:color w:val="231F20"/>
          <w:sz w:val="21"/>
        </w:rPr>
        <w:t>Kalecki, M. (1954). </w:t>
      </w:r>
      <w:r>
        <w:rPr>
          <w:i/>
          <w:color w:val="231F20"/>
          <w:sz w:val="21"/>
        </w:rPr>
        <w:t>Teoría de la dinámica económica. Ensayos sobre los </w:t>
      </w:r>
      <w:r>
        <w:rPr>
          <w:i/>
          <w:color w:val="231F20"/>
          <w:sz w:val="21"/>
        </w:rPr>
        <w:t>movimientos cíclicos y de largo plazo en la economía capitalista. </w:t>
      </w:r>
      <w:r>
        <w:rPr>
          <w:color w:val="231F20"/>
          <w:sz w:val="21"/>
        </w:rPr>
        <w:t>México: FCE.</w:t>
      </w:r>
    </w:p>
    <w:p>
      <w:pPr>
        <w:spacing w:line="259" w:lineRule="auto" w:before="0"/>
        <w:ind w:left="854" w:right="116" w:hanging="738"/>
        <w:jc w:val="both"/>
        <w:rPr>
          <w:sz w:val="21"/>
        </w:rPr>
      </w:pPr>
      <w:r>
        <w:rPr>
          <w:color w:val="231F20"/>
          <w:sz w:val="21"/>
        </w:rPr>
        <w:t>Katz, L. </w:t>
      </w:r>
      <w:r>
        <w:rPr>
          <w:color w:val="231F20"/>
          <w:spacing w:val="-11"/>
          <w:sz w:val="21"/>
        </w:rPr>
        <w:t>F. </w:t>
      </w:r>
      <w:r>
        <w:rPr>
          <w:color w:val="231F20"/>
          <w:sz w:val="21"/>
        </w:rPr>
        <w:t>(1986). “Efficiency Wage Theories: A </w:t>
      </w:r>
      <w:r>
        <w:rPr>
          <w:color w:val="231F20"/>
          <w:spacing w:val="-3"/>
          <w:sz w:val="21"/>
        </w:rPr>
        <w:t>Partial </w:t>
      </w:r>
      <w:r>
        <w:rPr>
          <w:color w:val="231F20"/>
          <w:sz w:val="21"/>
        </w:rPr>
        <w:t>Evaluation” en: Fischer,</w:t>
      </w:r>
      <w:r>
        <w:rPr>
          <w:color w:val="231F20"/>
          <w:spacing w:val="-12"/>
          <w:sz w:val="21"/>
        </w:rPr>
        <w:t> </w:t>
      </w:r>
      <w:r>
        <w:rPr>
          <w:color w:val="231F20"/>
          <w:sz w:val="21"/>
        </w:rPr>
        <w:t>S.</w:t>
      </w:r>
      <w:r>
        <w:rPr>
          <w:color w:val="231F20"/>
          <w:spacing w:val="-12"/>
          <w:sz w:val="21"/>
        </w:rPr>
        <w:t> </w:t>
      </w:r>
      <w:r>
        <w:rPr>
          <w:color w:val="231F20"/>
          <w:sz w:val="21"/>
        </w:rPr>
        <w:t>(ed.).</w:t>
      </w:r>
      <w:r>
        <w:rPr>
          <w:color w:val="231F20"/>
          <w:spacing w:val="-12"/>
          <w:sz w:val="21"/>
        </w:rPr>
        <w:t> </w:t>
      </w:r>
      <w:r>
        <w:rPr>
          <w:i/>
          <w:color w:val="231F20"/>
          <w:sz w:val="21"/>
        </w:rPr>
        <w:t>NBER</w:t>
      </w:r>
      <w:r>
        <w:rPr>
          <w:i/>
          <w:color w:val="231F20"/>
          <w:spacing w:val="-5"/>
          <w:sz w:val="21"/>
        </w:rPr>
        <w:t> </w:t>
      </w:r>
      <w:r>
        <w:rPr>
          <w:i/>
          <w:color w:val="231F20"/>
          <w:sz w:val="21"/>
        </w:rPr>
        <w:t>Macroeconomics</w:t>
      </w:r>
      <w:r>
        <w:rPr>
          <w:i/>
          <w:color w:val="231F20"/>
          <w:spacing w:val="-10"/>
          <w:sz w:val="21"/>
        </w:rPr>
        <w:t> </w:t>
      </w:r>
      <w:r>
        <w:rPr>
          <w:i/>
          <w:color w:val="231F20"/>
          <w:sz w:val="21"/>
        </w:rPr>
        <w:t>Annual</w:t>
      </w:r>
      <w:r>
        <w:rPr>
          <w:i/>
          <w:color w:val="231F20"/>
          <w:spacing w:val="-5"/>
          <w:sz w:val="21"/>
        </w:rPr>
        <w:t> </w:t>
      </w:r>
      <w:r>
        <w:rPr>
          <w:i/>
          <w:color w:val="231F20"/>
          <w:sz w:val="21"/>
        </w:rPr>
        <w:t>1986</w:t>
      </w:r>
      <w:r>
        <w:rPr>
          <w:color w:val="231F20"/>
          <w:sz w:val="21"/>
        </w:rPr>
        <w:t>,</w:t>
      </w:r>
      <w:r>
        <w:rPr>
          <w:color w:val="231F20"/>
          <w:spacing w:val="-12"/>
          <w:sz w:val="21"/>
        </w:rPr>
        <w:t> </w:t>
      </w:r>
      <w:r>
        <w:rPr>
          <w:color w:val="231F20"/>
          <w:sz w:val="21"/>
        </w:rPr>
        <w:t>1,</w:t>
      </w:r>
      <w:r>
        <w:rPr>
          <w:color w:val="231F20"/>
          <w:spacing w:val="-12"/>
          <w:sz w:val="21"/>
        </w:rPr>
        <w:t> </w:t>
      </w:r>
      <w:r>
        <w:rPr>
          <w:color w:val="231F20"/>
          <w:sz w:val="21"/>
        </w:rPr>
        <w:t>235-290. EUA:</w:t>
      </w:r>
      <w:r>
        <w:rPr>
          <w:color w:val="231F20"/>
          <w:spacing w:val="-30"/>
          <w:sz w:val="21"/>
        </w:rPr>
        <w:t> </w:t>
      </w:r>
      <w:r>
        <w:rPr>
          <w:color w:val="231F20"/>
          <w:sz w:val="21"/>
        </w:rPr>
        <w:t>MIT</w:t>
      </w:r>
      <w:r>
        <w:rPr>
          <w:color w:val="231F20"/>
          <w:spacing w:val="-33"/>
          <w:sz w:val="21"/>
        </w:rPr>
        <w:t> </w:t>
      </w:r>
      <w:r>
        <w:rPr>
          <w:color w:val="231F20"/>
          <w:spacing w:val="-3"/>
          <w:sz w:val="21"/>
        </w:rPr>
        <w:t>Press.</w:t>
      </w:r>
    </w:p>
    <w:p>
      <w:pPr>
        <w:spacing w:after="0" w:line="259" w:lineRule="auto"/>
        <w:jc w:val="both"/>
        <w:rPr>
          <w:sz w:val="21"/>
        </w:rPr>
        <w:sectPr>
          <w:pgSz w:w="9640" w:h="13890"/>
          <w:pgMar w:top="0" w:bottom="280" w:left="1300" w:right="1180"/>
        </w:sectPr>
      </w:pPr>
    </w:p>
    <w:p>
      <w:pPr>
        <w:spacing w:before="120"/>
        <w:ind w:left="103" w:right="17" w:firstLine="0"/>
        <w:jc w:val="left"/>
        <w:rPr>
          <w:sz w:val="21"/>
        </w:rPr>
      </w:pPr>
      <w:r>
        <w:rPr>
          <w:color w:val="231F20"/>
          <w:w w:val="105"/>
          <w:sz w:val="21"/>
        </w:rPr>
        <w:t>Keynes,</w:t>
      </w:r>
      <w:r>
        <w:rPr>
          <w:color w:val="231F20"/>
          <w:spacing w:val="-37"/>
          <w:w w:val="105"/>
          <w:sz w:val="21"/>
        </w:rPr>
        <w:t> </w:t>
      </w:r>
      <w:r>
        <w:rPr>
          <w:color w:val="231F20"/>
          <w:w w:val="105"/>
          <w:sz w:val="21"/>
        </w:rPr>
        <w:t>J.</w:t>
      </w:r>
      <w:r>
        <w:rPr>
          <w:color w:val="231F20"/>
          <w:spacing w:val="-35"/>
          <w:w w:val="105"/>
          <w:sz w:val="21"/>
        </w:rPr>
        <w:t> </w:t>
      </w:r>
      <w:r>
        <w:rPr>
          <w:color w:val="231F20"/>
          <w:w w:val="105"/>
          <w:sz w:val="21"/>
        </w:rPr>
        <w:t>M.</w:t>
      </w:r>
      <w:r>
        <w:rPr>
          <w:color w:val="231F20"/>
          <w:spacing w:val="-35"/>
          <w:w w:val="105"/>
          <w:sz w:val="21"/>
        </w:rPr>
        <w:t> </w:t>
      </w:r>
      <w:r>
        <w:rPr>
          <w:color w:val="231F20"/>
          <w:w w:val="105"/>
          <w:sz w:val="21"/>
        </w:rPr>
        <w:t>(2010).</w:t>
      </w:r>
      <w:r>
        <w:rPr>
          <w:color w:val="231F20"/>
          <w:spacing w:val="-35"/>
          <w:w w:val="105"/>
          <w:sz w:val="21"/>
        </w:rPr>
        <w:t> </w:t>
      </w:r>
      <w:r>
        <w:rPr>
          <w:i/>
          <w:color w:val="231F20"/>
          <w:spacing w:val="-4"/>
          <w:w w:val="105"/>
          <w:sz w:val="21"/>
        </w:rPr>
        <w:t>Teoría</w:t>
      </w:r>
      <w:r>
        <w:rPr>
          <w:i/>
          <w:color w:val="231F20"/>
          <w:spacing w:val="-31"/>
          <w:w w:val="105"/>
          <w:sz w:val="21"/>
        </w:rPr>
        <w:t> </w:t>
      </w:r>
      <w:r>
        <w:rPr>
          <w:i/>
          <w:color w:val="231F20"/>
          <w:w w:val="105"/>
          <w:sz w:val="21"/>
        </w:rPr>
        <w:t>general</w:t>
      </w:r>
      <w:r>
        <w:rPr>
          <w:i/>
          <w:color w:val="231F20"/>
          <w:spacing w:val="-31"/>
          <w:w w:val="105"/>
          <w:sz w:val="21"/>
        </w:rPr>
        <w:t> </w:t>
      </w:r>
      <w:r>
        <w:rPr>
          <w:i/>
          <w:color w:val="231F20"/>
          <w:w w:val="105"/>
          <w:sz w:val="21"/>
        </w:rPr>
        <w:t>de</w:t>
      </w:r>
      <w:r>
        <w:rPr>
          <w:i/>
          <w:color w:val="231F20"/>
          <w:spacing w:val="-31"/>
          <w:w w:val="105"/>
          <w:sz w:val="21"/>
        </w:rPr>
        <w:t> </w:t>
      </w:r>
      <w:r>
        <w:rPr>
          <w:i/>
          <w:color w:val="231F20"/>
          <w:w w:val="105"/>
          <w:sz w:val="21"/>
        </w:rPr>
        <w:t>la</w:t>
      </w:r>
      <w:r>
        <w:rPr>
          <w:i/>
          <w:color w:val="231F20"/>
          <w:spacing w:val="-31"/>
          <w:w w:val="105"/>
          <w:sz w:val="21"/>
        </w:rPr>
        <w:t> </w:t>
      </w:r>
      <w:r>
        <w:rPr>
          <w:i/>
          <w:color w:val="231F20"/>
          <w:w w:val="105"/>
          <w:sz w:val="21"/>
        </w:rPr>
        <w:t>ocupación,</w:t>
      </w:r>
      <w:r>
        <w:rPr>
          <w:i/>
          <w:color w:val="231F20"/>
          <w:spacing w:val="-35"/>
          <w:w w:val="105"/>
          <w:sz w:val="21"/>
        </w:rPr>
        <w:t> </w:t>
      </w:r>
      <w:r>
        <w:rPr>
          <w:i/>
          <w:color w:val="231F20"/>
          <w:w w:val="105"/>
          <w:sz w:val="21"/>
        </w:rPr>
        <w:t>el</w:t>
      </w:r>
      <w:r>
        <w:rPr>
          <w:i/>
          <w:color w:val="231F20"/>
          <w:spacing w:val="-31"/>
          <w:w w:val="105"/>
          <w:sz w:val="21"/>
        </w:rPr>
        <w:t> </w:t>
      </w:r>
      <w:r>
        <w:rPr>
          <w:i/>
          <w:color w:val="231F20"/>
          <w:w w:val="105"/>
          <w:sz w:val="21"/>
        </w:rPr>
        <w:t>interés</w:t>
      </w:r>
      <w:r>
        <w:rPr>
          <w:i/>
          <w:color w:val="231F20"/>
          <w:spacing w:val="-31"/>
          <w:w w:val="105"/>
          <w:sz w:val="21"/>
        </w:rPr>
        <w:t> </w:t>
      </w:r>
      <w:r>
        <w:rPr>
          <w:i/>
          <w:color w:val="231F20"/>
          <w:w w:val="105"/>
          <w:sz w:val="21"/>
        </w:rPr>
        <w:t>y</w:t>
      </w:r>
      <w:r>
        <w:rPr>
          <w:i/>
          <w:color w:val="231F20"/>
          <w:spacing w:val="-31"/>
          <w:w w:val="105"/>
          <w:sz w:val="21"/>
        </w:rPr>
        <w:t> </w:t>
      </w:r>
      <w:r>
        <w:rPr>
          <w:i/>
          <w:color w:val="231F20"/>
          <w:w w:val="105"/>
          <w:sz w:val="21"/>
        </w:rPr>
        <w:t>el</w:t>
      </w:r>
      <w:r>
        <w:rPr>
          <w:i/>
          <w:color w:val="231F20"/>
          <w:spacing w:val="-31"/>
          <w:w w:val="105"/>
          <w:sz w:val="21"/>
        </w:rPr>
        <w:t> </w:t>
      </w:r>
      <w:r>
        <w:rPr>
          <w:i/>
          <w:color w:val="231F20"/>
          <w:w w:val="105"/>
          <w:sz w:val="21"/>
        </w:rPr>
        <w:t>dinero</w:t>
      </w:r>
      <w:r>
        <w:rPr>
          <w:color w:val="231F20"/>
          <w:w w:val="105"/>
          <w:sz w:val="21"/>
        </w:rPr>
        <w:t>.</w:t>
      </w:r>
    </w:p>
    <w:p>
      <w:pPr>
        <w:pStyle w:val="BodyText"/>
        <w:spacing w:before="18"/>
        <w:ind w:left="840" w:right="17"/>
      </w:pPr>
      <w:r>
        <w:rPr>
          <w:color w:val="231F20"/>
        </w:rPr>
        <w:t>México: FCE.</w:t>
      </w:r>
    </w:p>
    <w:p>
      <w:pPr>
        <w:pStyle w:val="BodyText"/>
        <w:spacing w:line="259" w:lineRule="auto" w:before="18"/>
        <w:ind w:left="840" w:right="115" w:hanging="738"/>
        <w:jc w:val="both"/>
      </w:pPr>
      <w:r>
        <w:rPr>
          <w:color w:val="231F20"/>
        </w:rPr>
        <w:t>Klein,</w:t>
      </w:r>
      <w:r>
        <w:rPr>
          <w:color w:val="231F20"/>
          <w:spacing w:val="-9"/>
        </w:rPr>
        <w:t> </w:t>
      </w:r>
      <w:r>
        <w:rPr>
          <w:color w:val="231F20"/>
        </w:rPr>
        <w:t>L.</w:t>
      </w:r>
      <w:r>
        <w:rPr>
          <w:color w:val="231F20"/>
          <w:spacing w:val="-9"/>
        </w:rPr>
        <w:t> </w:t>
      </w:r>
      <w:r>
        <w:rPr>
          <w:color w:val="231F20"/>
        </w:rPr>
        <w:t>R.</w:t>
      </w:r>
      <w:r>
        <w:rPr>
          <w:color w:val="231F20"/>
          <w:spacing w:val="-9"/>
        </w:rPr>
        <w:t> </w:t>
      </w:r>
      <w:r>
        <w:rPr>
          <w:color w:val="231F20"/>
        </w:rPr>
        <w:t>(1950).</w:t>
      </w:r>
      <w:r>
        <w:rPr>
          <w:color w:val="231F20"/>
          <w:spacing w:val="-9"/>
        </w:rPr>
        <w:t> </w:t>
      </w:r>
      <w:r>
        <w:rPr>
          <w:color w:val="231F20"/>
        </w:rPr>
        <w:t>“Stock</w:t>
      </w:r>
      <w:r>
        <w:rPr>
          <w:color w:val="231F20"/>
          <w:spacing w:val="-2"/>
        </w:rPr>
        <w:t> </w:t>
      </w:r>
      <w:r>
        <w:rPr>
          <w:color w:val="231F20"/>
        </w:rPr>
        <w:t>and</w:t>
      </w:r>
      <w:r>
        <w:rPr>
          <w:color w:val="231F20"/>
          <w:spacing w:val="-2"/>
        </w:rPr>
        <w:t> </w:t>
      </w:r>
      <w:r>
        <w:rPr>
          <w:color w:val="231F20"/>
        </w:rPr>
        <w:t>Flow</w:t>
      </w:r>
      <w:r>
        <w:rPr>
          <w:color w:val="231F20"/>
          <w:spacing w:val="-6"/>
        </w:rPr>
        <w:t> </w:t>
      </w:r>
      <w:r>
        <w:rPr>
          <w:color w:val="231F20"/>
        </w:rPr>
        <w:t>Analysis</w:t>
      </w:r>
      <w:r>
        <w:rPr>
          <w:color w:val="231F20"/>
          <w:spacing w:val="-2"/>
        </w:rPr>
        <w:t> </w:t>
      </w:r>
      <w:r>
        <w:rPr>
          <w:color w:val="231F20"/>
        </w:rPr>
        <w:t>in</w:t>
      </w:r>
      <w:r>
        <w:rPr>
          <w:color w:val="231F20"/>
          <w:spacing w:val="-2"/>
        </w:rPr>
        <w:t> </w:t>
      </w:r>
      <w:r>
        <w:rPr>
          <w:color w:val="231F20"/>
        </w:rPr>
        <w:t>Economics”</w:t>
      </w:r>
      <w:r>
        <w:rPr>
          <w:color w:val="231F20"/>
          <w:spacing w:val="-2"/>
        </w:rPr>
        <w:t> </w:t>
      </w:r>
      <w:r>
        <w:rPr>
          <w:color w:val="231F20"/>
        </w:rPr>
        <w:t>en:</w:t>
      </w:r>
      <w:r>
        <w:rPr>
          <w:color w:val="231F20"/>
          <w:spacing w:val="-2"/>
        </w:rPr>
        <w:t> </w:t>
      </w:r>
      <w:r>
        <w:rPr>
          <w:i/>
          <w:color w:val="231F20"/>
        </w:rPr>
        <w:t>Economet- </w:t>
      </w:r>
      <w:r>
        <w:rPr>
          <w:i/>
          <w:color w:val="231F20"/>
        </w:rPr>
        <w:t>rica</w:t>
      </w:r>
      <w:r>
        <w:rPr>
          <w:color w:val="231F20"/>
        </w:rPr>
        <w:t>, (18),</w:t>
      </w:r>
      <w:r>
        <w:rPr>
          <w:color w:val="231F20"/>
          <w:spacing w:val="-10"/>
        </w:rPr>
        <w:t> </w:t>
      </w:r>
      <w:r>
        <w:rPr>
          <w:color w:val="231F20"/>
        </w:rPr>
        <w:t>236-246.</w:t>
      </w:r>
    </w:p>
    <w:p>
      <w:pPr>
        <w:spacing w:line="259" w:lineRule="auto" w:before="0"/>
        <w:ind w:left="840" w:right="115" w:hanging="738"/>
        <w:jc w:val="both"/>
        <w:rPr>
          <w:sz w:val="21"/>
        </w:rPr>
      </w:pPr>
      <w:r>
        <w:rPr>
          <w:color w:val="231F20"/>
          <w:w w:val="105"/>
          <w:sz w:val="21"/>
        </w:rPr>
        <w:t>Koutsoyiannis,</w:t>
      </w:r>
      <w:r>
        <w:rPr>
          <w:color w:val="231F20"/>
          <w:spacing w:val="-22"/>
          <w:w w:val="105"/>
          <w:sz w:val="21"/>
        </w:rPr>
        <w:t> </w:t>
      </w:r>
      <w:r>
        <w:rPr>
          <w:color w:val="231F20"/>
          <w:w w:val="105"/>
          <w:sz w:val="21"/>
        </w:rPr>
        <w:t>A.</w:t>
      </w:r>
      <w:r>
        <w:rPr>
          <w:color w:val="231F20"/>
          <w:spacing w:val="-20"/>
          <w:w w:val="105"/>
          <w:sz w:val="21"/>
        </w:rPr>
        <w:t> </w:t>
      </w:r>
      <w:r>
        <w:rPr>
          <w:color w:val="231F20"/>
          <w:w w:val="105"/>
          <w:sz w:val="21"/>
        </w:rPr>
        <w:t>(2002).</w:t>
      </w:r>
      <w:r>
        <w:rPr>
          <w:color w:val="231F20"/>
          <w:spacing w:val="-20"/>
          <w:w w:val="105"/>
          <w:sz w:val="21"/>
        </w:rPr>
        <w:t> </w:t>
      </w:r>
      <w:r>
        <w:rPr>
          <w:i/>
          <w:color w:val="231F20"/>
          <w:w w:val="105"/>
          <w:sz w:val="21"/>
        </w:rPr>
        <w:t>Microeconomía</w:t>
      </w:r>
      <w:r>
        <w:rPr>
          <w:i/>
          <w:color w:val="231F20"/>
          <w:spacing w:val="-16"/>
          <w:w w:val="105"/>
          <w:sz w:val="21"/>
        </w:rPr>
        <w:t> </w:t>
      </w:r>
      <w:r>
        <w:rPr>
          <w:i/>
          <w:color w:val="231F20"/>
          <w:w w:val="105"/>
          <w:sz w:val="21"/>
        </w:rPr>
        <w:t>moderna</w:t>
      </w:r>
      <w:r>
        <w:rPr>
          <w:color w:val="231F20"/>
          <w:w w:val="105"/>
          <w:sz w:val="21"/>
        </w:rPr>
        <w:t>.</w:t>
      </w:r>
      <w:r>
        <w:rPr>
          <w:color w:val="231F20"/>
          <w:spacing w:val="-20"/>
          <w:w w:val="105"/>
          <w:sz w:val="21"/>
        </w:rPr>
        <w:t> </w:t>
      </w:r>
      <w:r>
        <w:rPr>
          <w:color w:val="231F20"/>
          <w:w w:val="105"/>
          <w:sz w:val="21"/>
        </w:rPr>
        <w:t>Buenos</w:t>
      </w:r>
      <w:r>
        <w:rPr>
          <w:color w:val="231F20"/>
          <w:spacing w:val="-19"/>
          <w:w w:val="105"/>
          <w:sz w:val="21"/>
        </w:rPr>
        <w:t> </w:t>
      </w:r>
      <w:r>
        <w:rPr>
          <w:color w:val="231F20"/>
          <w:w w:val="105"/>
          <w:sz w:val="21"/>
        </w:rPr>
        <w:t>Aires:</w:t>
      </w:r>
      <w:r>
        <w:rPr>
          <w:color w:val="231F20"/>
          <w:spacing w:val="-19"/>
          <w:w w:val="105"/>
          <w:sz w:val="21"/>
        </w:rPr>
        <w:t> </w:t>
      </w:r>
      <w:r>
        <w:rPr>
          <w:color w:val="231F20"/>
          <w:w w:val="105"/>
          <w:sz w:val="21"/>
        </w:rPr>
        <w:t>Amo- rrortu.</w:t>
      </w:r>
    </w:p>
    <w:p>
      <w:pPr>
        <w:spacing w:line="259" w:lineRule="auto" w:before="0"/>
        <w:ind w:left="840" w:right="114" w:hanging="738"/>
        <w:jc w:val="both"/>
        <w:rPr>
          <w:sz w:val="21"/>
        </w:rPr>
      </w:pPr>
      <w:r>
        <w:rPr>
          <w:color w:val="231F20"/>
          <w:sz w:val="21"/>
        </w:rPr>
        <w:t>Lavoie, M. (1992). </w:t>
      </w:r>
      <w:r>
        <w:rPr>
          <w:i/>
          <w:color w:val="231F20"/>
          <w:sz w:val="21"/>
        </w:rPr>
        <w:t>Foundations of Post-Keynesian Economic Analysis. </w:t>
      </w:r>
      <w:r>
        <w:rPr>
          <w:color w:val="231F20"/>
          <w:sz w:val="21"/>
        </w:rPr>
        <w:t>Al- dershot: Edward Elgar.</w:t>
      </w:r>
    </w:p>
    <w:p>
      <w:pPr>
        <w:spacing w:line="259" w:lineRule="auto" w:before="0"/>
        <w:ind w:left="840" w:right="115" w:hanging="738"/>
        <w:jc w:val="both"/>
        <w:rPr>
          <w:sz w:val="21"/>
        </w:rPr>
      </w:pPr>
      <w:r>
        <w:rPr>
          <w:color w:val="231F20"/>
          <w:sz w:val="21"/>
        </w:rPr>
        <w:t>Lavoie, M. (2006). </w:t>
      </w:r>
      <w:r>
        <w:rPr>
          <w:i/>
          <w:color w:val="231F20"/>
          <w:sz w:val="21"/>
        </w:rPr>
        <w:t>Introduction to Post-Keynesian Economics</w:t>
      </w:r>
      <w:r>
        <w:rPr>
          <w:color w:val="231F20"/>
          <w:sz w:val="21"/>
        </w:rPr>
        <w:t>. Nueva</w:t>
      </w:r>
      <w:r>
        <w:rPr>
          <w:color w:val="231F20"/>
          <w:spacing w:val="-41"/>
          <w:sz w:val="21"/>
        </w:rPr>
        <w:t> </w:t>
      </w:r>
      <w:r>
        <w:rPr>
          <w:color w:val="231F20"/>
          <w:spacing w:val="-4"/>
          <w:sz w:val="21"/>
        </w:rPr>
        <w:t>York: </w:t>
      </w:r>
      <w:r>
        <w:rPr>
          <w:color w:val="231F20"/>
          <w:sz w:val="21"/>
        </w:rPr>
        <w:t>Palgrave</w:t>
      </w:r>
      <w:r>
        <w:rPr>
          <w:color w:val="231F20"/>
          <w:spacing w:val="11"/>
          <w:sz w:val="21"/>
        </w:rPr>
        <w:t> </w:t>
      </w:r>
      <w:r>
        <w:rPr>
          <w:color w:val="231F20"/>
          <w:sz w:val="21"/>
        </w:rPr>
        <w:t>MacMillan.</w:t>
      </w:r>
    </w:p>
    <w:p>
      <w:pPr>
        <w:pStyle w:val="BodyText"/>
        <w:spacing w:line="259" w:lineRule="auto"/>
        <w:ind w:left="840" w:right="115" w:hanging="738"/>
        <w:jc w:val="both"/>
      </w:pPr>
      <w:r>
        <w:rPr>
          <w:color w:val="231F20"/>
        </w:rPr>
        <w:t>León-Díaz,</w:t>
      </w:r>
      <w:r>
        <w:rPr>
          <w:color w:val="231F20"/>
          <w:spacing w:val="-28"/>
        </w:rPr>
        <w:t> </w:t>
      </w:r>
      <w:r>
        <w:rPr>
          <w:color w:val="231F20"/>
        </w:rPr>
        <w:t>J.</w:t>
      </w:r>
      <w:r>
        <w:rPr>
          <w:color w:val="231F20"/>
          <w:spacing w:val="-28"/>
        </w:rPr>
        <w:t> </w:t>
      </w:r>
      <w:r>
        <w:rPr>
          <w:color w:val="231F20"/>
        </w:rPr>
        <w:t>J.</w:t>
      </w:r>
      <w:r>
        <w:rPr>
          <w:color w:val="231F20"/>
          <w:spacing w:val="-25"/>
        </w:rPr>
        <w:t> </w:t>
      </w:r>
      <w:r>
        <w:rPr>
          <w:color w:val="231F20"/>
        </w:rPr>
        <w:t>(2007).</w:t>
      </w:r>
      <w:r>
        <w:rPr>
          <w:color w:val="231F20"/>
          <w:spacing w:val="-25"/>
        </w:rPr>
        <w:t> </w:t>
      </w:r>
      <w:r>
        <w:rPr>
          <w:color w:val="231F20"/>
        </w:rPr>
        <w:t>“Keynesianismo,</w:t>
      </w:r>
      <w:r>
        <w:rPr>
          <w:color w:val="231F20"/>
          <w:spacing w:val="-25"/>
        </w:rPr>
        <w:t> </w:t>
      </w:r>
      <w:r>
        <w:rPr>
          <w:color w:val="231F20"/>
        </w:rPr>
        <w:t>Poskeynesianismo</w:t>
      </w:r>
      <w:r>
        <w:rPr>
          <w:color w:val="231F20"/>
          <w:spacing w:val="-19"/>
        </w:rPr>
        <w:t> </w:t>
      </w:r>
      <w:r>
        <w:rPr>
          <w:color w:val="231F20"/>
        </w:rPr>
        <w:t>y</w:t>
      </w:r>
      <w:r>
        <w:rPr>
          <w:color w:val="231F20"/>
          <w:spacing w:val="-19"/>
        </w:rPr>
        <w:t> </w:t>
      </w:r>
      <w:r>
        <w:rPr>
          <w:color w:val="231F20"/>
        </w:rPr>
        <w:t>Nuevokeyne- </w:t>
      </w:r>
      <w:r>
        <w:rPr>
          <w:color w:val="231F20"/>
          <w:w w:val="105"/>
        </w:rPr>
        <w:t>sianismo:</w:t>
      </w:r>
      <w:r>
        <w:rPr>
          <w:color w:val="231F20"/>
          <w:spacing w:val="-37"/>
          <w:w w:val="105"/>
        </w:rPr>
        <w:t> </w:t>
      </w:r>
      <w:r>
        <w:rPr>
          <w:color w:val="231F20"/>
          <w:spacing w:val="-5"/>
          <w:w w:val="105"/>
        </w:rPr>
        <w:t>¿Tres</w:t>
      </w:r>
      <w:r>
        <w:rPr>
          <w:color w:val="231F20"/>
          <w:spacing w:val="-37"/>
          <w:w w:val="105"/>
        </w:rPr>
        <w:t> </w:t>
      </w:r>
      <w:r>
        <w:rPr>
          <w:color w:val="231F20"/>
          <w:w w:val="105"/>
        </w:rPr>
        <w:t>doctrinas</w:t>
      </w:r>
      <w:r>
        <w:rPr>
          <w:color w:val="231F20"/>
          <w:spacing w:val="-37"/>
          <w:w w:val="105"/>
        </w:rPr>
        <w:t> </w:t>
      </w:r>
      <w:r>
        <w:rPr>
          <w:color w:val="231F20"/>
          <w:w w:val="105"/>
        </w:rPr>
        <w:t>diferentes</w:t>
      </w:r>
      <w:r>
        <w:rPr>
          <w:color w:val="231F20"/>
          <w:spacing w:val="-37"/>
          <w:w w:val="105"/>
        </w:rPr>
        <w:t> </w:t>
      </w:r>
      <w:r>
        <w:rPr>
          <w:color w:val="231F20"/>
          <w:w w:val="105"/>
        </w:rPr>
        <w:t>y</w:t>
      </w:r>
      <w:r>
        <w:rPr>
          <w:color w:val="231F20"/>
          <w:spacing w:val="-37"/>
          <w:w w:val="105"/>
        </w:rPr>
        <w:t> </w:t>
      </w:r>
      <w:r>
        <w:rPr>
          <w:color w:val="231F20"/>
          <w:w w:val="105"/>
        </w:rPr>
        <w:t>una</w:t>
      </w:r>
      <w:r>
        <w:rPr>
          <w:color w:val="231F20"/>
          <w:spacing w:val="-37"/>
          <w:w w:val="105"/>
        </w:rPr>
        <w:t> </w:t>
      </w:r>
      <w:r>
        <w:rPr>
          <w:color w:val="231F20"/>
          <w:w w:val="105"/>
        </w:rPr>
        <w:t>sola</w:t>
      </w:r>
      <w:r>
        <w:rPr>
          <w:color w:val="231F20"/>
          <w:spacing w:val="-37"/>
          <w:w w:val="105"/>
        </w:rPr>
        <w:t> </w:t>
      </w:r>
      <w:r>
        <w:rPr>
          <w:color w:val="231F20"/>
          <w:w w:val="105"/>
        </w:rPr>
        <w:t>teoría</w:t>
      </w:r>
      <w:r>
        <w:rPr>
          <w:color w:val="231F20"/>
          <w:spacing w:val="-37"/>
          <w:w w:val="105"/>
        </w:rPr>
        <w:t> </w:t>
      </w:r>
      <w:r>
        <w:rPr>
          <w:color w:val="231F20"/>
          <w:w w:val="105"/>
        </w:rPr>
        <w:t>verdadera?” Documento</w:t>
      </w:r>
      <w:r>
        <w:rPr>
          <w:color w:val="231F20"/>
          <w:spacing w:val="-13"/>
          <w:w w:val="105"/>
        </w:rPr>
        <w:t> </w:t>
      </w:r>
      <w:r>
        <w:rPr>
          <w:color w:val="231F20"/>
          <w:w w:val="105"/>
        </w:rPr>
        <w:t>de</w:t>
      </w:r>
      <w:r>
        <w:rPr>
          <w:color w:val="231F20"/>
          <w:spacing w:val="-13"/>
          <w:w w:val="105"/>
        </w:rPr>
        <w:t> </w:t>
      </w:r>
      <w:r>
        <w:rPr>
          <w:color w:val="231F20"/>
          <w:w w:val="105"/>
        </w:rPr>
        <w:t>trabajo</w:t>
      </w:r>
      <w:r>
        <w:rPr>
          <w:color w:val="231F20"/>
          <w:spacing w:val="-13"/>
          <w:w w:val="105"/>
        </w:rPr>
        <w:t> </w:t>
      </w:r>
      <w:r>
        <w:rPr>
          <w:color w:val="231F20"/>
          <w:w w:val="105"/>
        </w:rPr>
        <w:t>4600.</w:t>
      </w:r>
      <w:r>
        <w:rPr>
          <w:color w:val="231F20"/>
          <w:spacing w:val="-20"/>
          <w:w w:val="105"/>
        </w:rPr>
        <w:t> </w:t>
      </w:r>
      <w:r>
        <w:rPr>
          <w:color w:val="231F20"/>
          <w:w w:val="105"/>
        </w:rPr>
        <w:t>Alemania:</w:t>
      </w:r>
      <w:r>
        <w:rPr>
          <w:color w:val="231F20"/>
          <w:spacing w:val="-13"/>
          <w:w w:val="105"/>
        </w:rPr>
        <w:t> </w:t>
      </w:r>
      <w:r>
        <w:rPr>
          <w:color w:val="231F20"/>
          <w:w w:val="105"/>
        </w:rPr>
        <w:t>Munich</w:t>
      </w:r>
      <w:r>
        <w:rPr>
          <w:color w:val="231F20"/>
          <w:spacing w:val="-13"/>
          <w:w w:val="105"/>
        </w:rPr>
        <w:t> </w:t>
      </w:r>
      <w:r>
        <w:rPr>
          <w:color w:val="231F20"/>
          <w:w w:val="105"/>
        </w:rPr>
        <w:t>Personal</w:t>
      </w:r>
      <w:r>
        <w:rPr>
          <w:color w:val="231F20"/>
          <w:spacing w:val="-13"/>
          <w:w w:val="105"/>
        </w:rPr>
        <w:t> </w:t>
      </w:r>
      <w:r>
        <w:rPr>
          <w:color w:val="231F20"/>
          <w:w w:val="105"/>
        </w:rPr>
        <w:t>RePEc Archive. Disponible en:</w:t>
      </w:r>
      <w:r>
        <w:rPr>
          <w:color w:val="231F20"/>
          <w:spacing w:val="27"/>
          <w:w w:val="105"/>
        </w:rPr>
        <w:t> </w:t>
      </w:r>
      <w:hyperlink r:id="rId135">
        <w:r>
          <w:rPr>
            <w:color w:val="231F20"/>
            <w:w w:val="105"/>
          </w:rPr>
          <w:t>http://mpra.ub.uni-muenchen.de/4600/</w:t>
        </w:r>
      </w:hyperlink>
    </w:p>
    <w:p>
      <w:pPr>
        <w:spacing w:line="259" w:lineRule="auto" w:before="0"/>
        <w:ind w:left="840" w:right="108" w:hanging="738"/>
        <w:jc w:val="both"/>
        <w:rPr>
          <w:sz w:val="21"/>
        </w:rPr>
      </w:pPr>
      <w:r>
        <w:rPr>
          <w:color w:val="231F20"/>
          <w:w w:val="105"/>
          <w:sz w:val="21"/>
        </w:rPr>
        <w:t>León-León,</w:t>
      </w:r>
      <w:r>
        <w:rPr>
          <w:color w:val="231F20"/>
          <w:spacing w:val="-44"/>
          <w:w w:val="105"/>
          <w:sz w:val="21"/>
        </w:rPr>
        <w:t> </w:t>
      </w:r>
      <w:r>
        <w:rPr>
          <w:color w:val="231F20"/>
          <w:w w:val="105"/>
          <w:sz w:val="21"/>
        </w:rPr>
        <w:t>J.</w:t>
      </w:r>
      <w:r>
        <w:rPr>
          <w:color w:val="231F20"/>
          <w:spacing w:val="-43"/>
          <w:w w:val="105"/>
          <w:sz w:val="21"/>
        </w:rPr>
        <w:t> </w:t>
      </w:r>
      <w:r>
        <w:rPr>
          <w:color w:val="231F20"/>
          <w:w w:val="105"/>
          <w:sz w:val="21"/>
        </w:rPr>
        <w:t>(2008).</w:t>
      </w:r>
      <w:r>
        <w:rPr>
          <w:color w:val="231F20"/>
          <w:spacing w:val="-43"/>
          <w:w w:val="105"/>
          <w:sz w:val="21"/>
        </w:rPr>
        <w:t> </w:t>
      </w:r>
      <w:r>
        <w:rPr>
          <w:i/>
          <w:color w:val="231F20"/>
          <w:w w:val="105"/>
          <w:sz w:val="21"/>
        </w:rPr>
        <w:t>Orígenes</w:t>
      </w:r>
      <w:r>
        <w:rPr>
          <w:i/>
          <w:color w:val="231F20"/>
          <w:spacing w:val="-40"/>
          <w:w w:val="105"/>
          <w:sz w:val="21"/>
        </w:rPr>
        <w:t> </w:t>
      </w:r>
      <w:r>
        <w:rPr>
          <w:i/>
          <w:color w:val="231F20"/>
          <w:w w:val="105"/>
          <w:sz w:val="21"/>
        </w:rPr>
        <w:t>de</w:t>
      </w:r>
      <w:r>
        <w:rPr>
          <w:i/>
          <w:color w:val="231F20"/>
          <w:spacing w:val="-40"/>
          <w:w w:val="105"/>
          <w:sz w:val="21"/>
        </w:rPr>
        <w:t> </w:t>
      </w:r>
      <w:r>
        <w:rPr>
          <w:i/>
          <w:color w:val="231F20"/>
          <w:w w:val="105"/>
          <w:sz w:val="21"/>
        </w:rPr>
        <w:t>la</w:t>
      </w:r>
      <w:r>
        <w:rPr>
          <w:i/>
          <w:color w:val="231F20"/>
          <w:spacing w:val="-40"/>
          <w:w w:val="105"/>
          <w:sz w:val="21"/>
        </w:rPr>
        <w:t> </w:t>
      </w:r>
      <w:r>
        <w:rPr>
          <w:i/>
          <w:color w:val="231F20"/>
          <w:w w:val="105"/>
          <w:sz w:val="21"/>
        </w:rPr>
        <w:t>Nueva</w:t>
      </w:r>
      <w:r>
        <w:rPr>
          <w:i/>
          <w:color w:val="231F20"/>
          <w:spacing w:val="-40"/>
          <w:w w:val="105"/>
          <w:sz w:val="21"/>
        </w:rPr>
        <w:t> </w:t>
      </w:r>
      <w:r>
        <w:rPr>
          <w:i/>
          <w:color w:val="231F20"/>
          <w:w w:val="105"/>
          <w:sz w:val="21"/>
        </w:rPr>
        <w:t>Economía</w:t>
      </w:r>
      <w:r>
        <w:rPr>
          <w:i/>
          <w:color w:val="231F20"/>
          <w:spacing w:val="-40"/>
          <w:w w:val="105"/>
          <w:sz w:val="21"/>
        </w:rPr>
        <w:t> </w:t>
      </w:r>
      <w:r>
        <w:rPr>
          <w:i/>
          <w:color w:val="231F20"/>
          <w:w w:val="105"/>
          <w:sz w:val="21"/>
        </w:rPr>
        <w:t>Keynesiana</w:t>
      </w:r>
      <w:r>
        <w:rPr>
          <w:i/>
          <w:color w:val="231F20"/>
          <w:spacing w:val="-40"/>
          <w:w w:val="105"/>
          <w:sz w:val="21"/>
        </w:rPr>
        <w:t> </w:t>
      </w:r>
      <w:r>
        <w:rPr>
          <w:i/>
          <w:color w:val="231F20"/>
          <w:w w:val="105"/>
          <w:sz w:val="21"/>
        </w:rPr>
        <w:t>e</w:t>
      </w:r>
      <w:r>
        <w:rPr>
          <w:i/>
          <w:color w:val="231F20"/>
          <w:spacing w:val="-40"/>
          <w:w w:val="105"/>
          <w:sz w:val="21"/>
        </w:rPr>
        <w:t> </w:t>
      </w:r>
      <w:r>
        <w:rPr>
          <w:i/>
          <w:color w:val="231F20"/>
          <w:w w:val="105"/>
          <w:sz w:val="21"/>
        </w:rPr>
        <w:t>inter- </w:t>
      </w:r>
      <w:r>
        <w:rPr>
          <w:i/>
          <w:color w:val="231F20"/>
          <w:w w:val="105"/>
          <w:sz w:val="21"/>
        </w:rPr>
        <w:t>pretación del problema del desempleo. </w:t>
      </w:r>
      <w:r>
        <w:rPr>
          <w:color w:val="231F20"/>
          <w:w w:val="105"/>
          <w:sz w:val="21"/>
        </w:rPr>
        <w:t>Documento de trabajo. </w:t>
      </w:r>
      <w:r>
        <w:rPr>
          <w:color w:val="231F20"/>
          <w:sz w:val="21"/>
        </w:rPr>
        <w:t>México:</w:t>
      </w:r>
      <w:r>
        <w:rPr>
          <w:color w:val="231F20"/>
          <w:spacing w:val="55"/>
          <w:sz w:val="21"/>
        </w:rPr>
        <w:t> </w:t>
      </w:r>
      <w:r>
        <w:rPr>
          <w:color w:val="231F20"/>
          <w:sz w:val="21"/>
        </w:rPr>
        <w:t>UAM-Azcapotzalco.</w:t>
      </w:r>
    </w:p>
    <w:p>
      <w:pPr>
        <w:spacing w:line="259" w:lineRule="auto" w:before="0"/>
        <w:ind w:left="840" w:right="115" w:hanging="738"/>
        <w:jc w:val="both"/>
        <w:rPr>
          <w:sz w:val="21"/>
        </w:rPr>
      </w:pPr>
      <w:r>
        <w:rPr>
          <w:color w:val="231F20"/>
          <w:w w:val="105"/>
          <w:sz w:val="21"/>
        </w:rPr>
        <w:t>Lindbeck,</w:t>
      </w:r>
      <w:r>
        <w:rPr>
          <w:color w:val="231F20"/>
          <w:spacing w:val="-39"/>
          <w:w w:val="105"/>
          <w:sz w:val="21"/>
        </w:rPr>
        <w:t> </w:t>
      </w:r>
      <w:r>
        <w:rPr>
          <w:color w:val="231F20"/>
          <w:w w:val="105"/>
          <w:sz w:val="21"/>
        </w:rPr>
        <w:t>A.</w:t>
      </w:r>
      <w:r>
        <w:rPr>
          <w:color w:val="231F20"/>
          <w:spacing w:val="-36"/>
          <w:w w:val="105"/>
          <w:sz w:val="21"/>
        </w:rPr>
        <w:t> </w:t>
      </w:r>
      <w:r>
        <w:rPr>
          <w:color w:val="231F20"/>
          <w:w w:val="105"/>
          <w:sz w:val="21"/>
        </w:rPr>
        <w:t>y</w:t>
      </w:r>
      <w:r>
        <w:rPr>
          <w:color w:val="231F20"/>
          <w:spacing w:val="-33"/>
          <w:w w:val="105"/>
          <w:sz w:val="21"/>
        </w:rPr>
        <w:t> </w:t>
      </w:r>
      <w:r>
        <w:rPr>
          <w:color w:val="231F20"/>
          <w:w w:val="105"/>
          <w:sz w:val="21"/>
        </w:rPr>
        <w:t>Snower,</w:t>
      </w:r>
      <w:r>
        <w:rPr>
          <w:color w:val="231F20"/>
          <w:spacing w:val="-36"/>
          <w:w w:val="105"/>
          <w:sz w:val="21"/>
        </w:rPr>
        <w:t> </w:t>
      </w:r>
      <w:r>
        <w:rPr>
          <w:color w:val="231F20"/>
          <w:spacing w:val="-6"/>
          <w:w w:val="105"/>
          <w:sz w:val="21"/>
        </w:rPr>
        <w:t>D.</w:t>
      </w:r>
      <w:r>
        <w:rPr>
          <w:color w:val="231F20"/>
          <w:spacing w:val="-38"/>
          <w:w w:val="105"/>
          <w:sz w:val="21"/>
        </w:rPr>
        <w:t> </w:t>
      </w:r>
      <w:r>
        <w:rPr>
          <w:color w:val="231F20"/>
          <w:w w:val="105"/>
          <w:sz w:val="21"/>
        </w:rPr>
        <w:t>J.</w:t>
      </w:r>
      <w:r>
        <w:rPr>
          <w:color w:val="231F20"/>
          <w:spacing w:val="-36"/>
          <w:w w:val="105"/>
          <w:sz w:val="21"/>
        </w:rPr>
        <w:t> </w:t>
      </w:r>
      <w:r>
        <w:rPr>
          <w:color w:val="231F20"/>
          <w:w w:val="105"/>
          <w:sz w:val="21"/>
        </w:rPr>
        <w:t>(1988).</w:t>
      </w:r>
      <w:r>
        <w:rPr>
          <w:color w:val="231F20"/>
          <w:spacing w:val="-36"/>
          <w:w w:val="105"/>
          <w:sz w:val="21"/>
        </w:rPr>
        <w:t> </w:t>
      </w:r>
      <w:r>
        <w:rPr>
          <w:i/>
          <w:color w:val="231F20"/>
          <w:w w:val="105"/>
          <w:sz w:val="21"/>
        </w:rPr>
        <w:t>The</w:t>
      </w:r>
      <w:r>
        <w:rPr>
          <w:i/>
          <w:color w:val="231F20"/>
          <w:spacing w:val="-33"/>
          <w:w w:val="105"/>
          <w:sz w:val="21"/>
        </w:rPr>
        <w:t> </w:t>
      </w:r>
      <w:r>
        <w:rPr>
          <w:i/>
          <w:color w:val="231F20"/>
          <w:w w:val="105"/>
          <w:sz w:val="21"/>
        </w:rPr>
        <w:t>insider-outsider</w:t>
      </w:r>
      <w:r>
        <w:rPr>
          <w:i/>
          <w:color w:val="231F20"/>
          <w:spacing w:val="-33"/>
          <w:w w:val="105"/>
          <w:sz w:val="21"/>
        </w:rPr>
        <w:t> </w:t>
      </w:r>
      <w:r>
        <w:rPr>
          <w:i/>
          <w:color w:val="231F20"/>
          <w:w w:val="105"/>
          <w:sz w:val="21"/>
        </w:rPr>
        <w:t>theory</w:t>
      </w:r>
      <w:r>
        <w:rPr>
          <w:i/>
          <w:color w:val="231F20"/>
          <w:spacing w:val="-33"/>
          <w:w w:val="105"/>
          <w:sz w:val="21"/>
        </w:rPr>
        <w:t> </w:t>
      </w:r>
      <w:r>
        <w:rPr>
          <w:i/>
          <w:color w:val="231F20"/>
          <w:w w:val="105"/>
          <w:sz w:val="21"/>
        </w:rPr>
        <w:t>of</w:t>
      </w:r>
      <w:r>
        <w:rPr>
          <w:i/>
          <w:color w:val="231F20"/>
          <w:spacing w:val="-29"/>
          <w:w w:val="105"/>
          <w:sz w:val="21"/>
        </w:rPr>
        <w:t> </w:t>
      </w:r>
      <w:r>
        <w:rPr>
          <w:i/>
          <w:color w:val="231F20"/>
          <w:w w:val="105"/>
          <w:sz w:val="21"/>
        </w:rPr>
        <w:t>employ- </w:t>
      </w:r>
      <w:r>
        <w:rPr>
          <w:i/>
          <w:color w:val="231F20"/>
          <w:w w:val="105"/>
          <w:sz w:val="21"/>
        </w:rPr>
        <w:t>ment</w:t>
      </w:r>
      <w:r>
        <w:rPr>
          <w:i/>
          <w:color w:val="231F20"/>
          <w:spacing w:val="-32"/>
          <w:w w:val="105"/>
          <w:sz w:val="21"/>
        </w:rPr>
        <w:t> </w:t>
      </w:r>
      <w:r>
        <w:rPr>
          <w:i/>
          <w:color w:val="231F20"/>
          <w:w w:val="105"/>
          <w:sz w:val="21"/>
        </w:rPr>
        <w:t>and</w:t>
      </w:r>
      <w:r>
        <w:rPr>
          <w:i/>
          <w:color w:val="231F20"/>
          <w:spacing w:val="-32"/>
          <w:w w:val="105"/>
          <w:sz w:val="21"/>
        </w:rPr>
        <w:t> </w:t>
      </w:r>
      <w:r>
        <w:rPr>
          <w:i/>
          <w:color w:val="231F20"/>
          <w:w w:val="105"/>
          <w:sz w:val="21"/>
        </w:rPr>
        <w:t>unemployment</w:t>
      </w:r>
      <w:r>
        <w:rPr>
          <w:color w:val="231F20"/>
          <w:w w:val="105"/>
          <w:sz w:val="21"/>
        </w:rPr>
        <w:t>.</w:t>
      </w:r>
      <w:r>
        <w:rPr>
          <w:color w:val="231F20"/>
          <w:spacing w:val="-36"/>
          <w:w w:val="105"/>
          <w:sz w:val="21"/>
        </w:rPr>
        <w:t> </w:t>
      </w:r>
      <w:r>
        <w:rPr>
          <w:color w:val="231F20"/>
          <w:w w:val="105"/>
          <w:sz w:val="21"/>
        </w:rPr>
        <w:t>Cambridge,</w:t>
      </w:r>
      <w:r>
        <w:rPr>
          <w:color w:val="231F20"/>
          <w:spacing w:val="-36"/>
          <w:w w:val="105"/>
          <w:sz w:val="21"/>
        </w:rPr>
        <w:t> </w:t>
      </w:r>
      <w:r>
        <w:rPr>
          <w:color w:val="231F20"/>
          <w:w w:val="105"/>
          <w:sz w:val="21"/>
        </w:rPr>
        <w:t>Mass:</w:t>
      </w:r>
      <w:r>
        <w:rPr>
          <w:color w:val="231F20"/>
          <w:spacing w:val="-32"/>
          <w:w w:val="105"/>
          <w:sz w:val="21"/>
        </w:rPr>
        <w:t> </w:t>
      </w:r>
      <w:r>
        <w:rPr>
          <w:color w:val="231F20"/>
          <w:w w:val="105"/>
          <w:sz w:val="21"/>
        </w:rPr>
        <w:t>MIT</w:t>
      </w:r>
      <w:r>
        <w:rPr>
          <w:color w:val="231F20"/>
          <w:spacing w:val="-35"/>
          <w:w w:val="105"/>
          <w:sz w:val="21"/>
        </w:rPr>
        <w:t> </w:t>
      </w:r>
      <w:r>
        <w:rPr>
          <w:color w:val="231F20"/>
          <w:spacing w:val="-3"/>
          <w:w w:val="105"/>
          <w:sz w:val="21"/>
        </w:rPr>
        <w:t>Press.</w:t>
      </w:r>
    </w:p>
    <w:p>
      <w:pPr>
        <w:spacing w:line="259" w:lineRule="auto" w:before="0"/>
        <w:ind w:left="840" w:right="109" w:hanging="738"/>
        <w:jc w:val="both"/>
        <w:rPr>
          <w:sz w:val="21"/>
        </w:rPr>
      </w:pPr>
      <w:r>
        <w:rPr>
          <w:i/>
          <w:color w:val="231F20"/>
          <w:w w:val="105"/>
          <w:sz w:val="21"/>
        </w:rPr>
        <w:t>Lipsey</w:t>
      </w:r>
      <w:r>
        <w:rPr>
          <w:color w:val="231F20"/>
          <w:w w:val="105"/>
          <w:sz w:val="21"/>
        </w:rPr>
        <w:t>,</w:t>
      </w:r>
      <w:r>
        <w:rPr>
          <w:color w:val="231F20"/>
          <w:spacing w:val="-35"/>
          <w:w w:val="105"/>
          <w:sz w:val="21"/>
        </w:rPr>
        <w:t> </w:t>
      </w:r>
      <w:r>
        <w:rPr>
          <w:color w:val="231F20"/>
          <w:w w:val="105"/>
          <w:sz w:val="21"/>
        </w:rPr>
        <w:t>R.</w:t>
      </w:r>
      <w:r>
        <w:rPr>
          <w:color w:val="231F20"/>
          <w:spacing w:val="-35"/>
          <w:w w:val="105"/>
          <w:sz w:val="21"/>
        </w:rPr>
        <w:t> </w:t>
      </w:r>
      <w:r>
        <w:rPr>
          <w:color w:val="231F20"/>
          <w:w w:val="105"/>
          <w:sz w:val="21"/>
        </w:rPr>
        <w:t>G.</w:t>
      </w:r>
      <w:r>
        <w:rPr>
          <w:color w:val="231F20"/>
          <w:spacing w:val="-35"/>
          <w:w w:val="105"/>
          <w:sz w:val="21"/>
        </w:rPr>
        <w:t> </w:t>
      </w:r>
      <w:r>
        <w:rPr>
          <w:color w:val="231F20"/>
          <w:w w:val="105"/>
          <w:sz w:val="21"/>
        </w:rPr>
        <w:t>(1960).</w:t>
      </w:r>
      <w:r>
        <w:rPr>
          <w:color w:val="231F20"/>
          <w:spacing w:val="-38"/>
          <w:w w:val="105"/>
          <w:sz w:val="21"/>
        </w:rPr>
        <w:t> </w:t>
      </w:r>
      <w:r>
        <w:rPr>
          <w:color w:val="231F20"/>
          <w:w w:val="105"/>
          <w:sz w:val="21"/>
        </w:rPr>
        <w:t>The</w:t>
      </w:r>
      <w:r>
        <w:rPr>
          <w:color w:val="231F20"/>
          <w:spacing w:val="-31"/>
          <w:w w:val="105"/>
          <w:sz w:val="21"/>
        </w:rPr>
        <w:t> </w:t>
      </w:r>
      <w:r>
        <w:rPr>
          <w:i/>
          <w:color w:val="231F20"/>
          <w:w w:val="105"/>
          <w:sz w:val="21"/>
        </w:rPr>
        <w:t>Relation</w:t>
      </w:r>
      <w:r>
        <w:rPr>
          <w:i/>
          <w:color w:val="231F20"/>
          <w:spacing w:val="-31"/>
          <w:w w:val="105"/>
          <w:sz w:val="21"/>
        </w:rPr>
        <w:t> </w:t>
      </w:r>
      <w:r>
        <w:rPr>
          <w:i/>
          <w:color w:val="231F20"/>
          <w:w w:val="105"/>
          <w:sz w:val="21"/>
        </w:rPr>
        <w:t>between</w:t>
      </w:r>
      <w:r>
        <w:rPr>
          <w:i/>
          <w:color w:val="231F20"/>
          <w:spacing w:val="-31"/>
          <w:w w:val="105"/>
          <w:sz w:val="21"/>
        </w:rPr>
        <w:t> </w:t>
      </w:r>
      <w:r>
        <w:rPr>
          <w:i/>
          <w:color w:val="231F20"/>
          <w:w w:val="105"/>
          <w:sz w:val="21"/>
        </w:rPr>
        <w:t>Unemployment</w:t>
      </w:r>
      <w:r>
        <w:rPr>
          <w:i/>
          <w:color w:val="231F20"/>
          <w:spacing w:val="-31"/>
          <w:w w:val="105"/>
          <w:sz w:val="21"/>
        </w:rPr>
        <w:t> </w:t>
      </w:r>
      <w:r>
        <w:rPr>
          <w:color w:val="231F20"/>
          <w:w w:val="105"/>
          <w:sz w:val="21"/>
        </w:rPr>
        <w:t>and</w:t>
      </w:r>
      <w:r>
        <w:rPr>
          <w:color w:val="231F20"/>
          <w:spacing w:val="-31"/>
          <w:w w:val="105"/>
          <w:sz w:val="21"/>
        </w:rPr>
        <w:t> </w:t>
      </w:r>
      <w:r>
        <w:rPr>
          <w:color w:val="231F20"/>
          <w:w w:val="105"/>
          <w:sz w:val="21"/>
        </w:rPr>
        <w:t>the</w:t>
      </w:r>
      <w:r>
        <w:rPr>
          <w:color w:val="231F20"/>
          <w:spacing w:val="-31"/>
          <w:w w:val="105"/>
          <w:sz w:val="21"/>
        </w:rPr>
        <w:t> </w:t>
      </w:r>
      <w:r>
        <w:rPr>
          <w:i/>
          <w:color w:val="231F20"/>
          <w:w w:val="105"/>
          <w:sz w:val="21"/>
        </w:rPr>
        <w:t>rate</w:t>
      </w:r>
      <w:r>
        <w:rPr>
          <w:i/>
          <w:color w:val="231F20"/>
          <w:spacing w:val="-31"/>
          <w:w w:val="105"/>
          <w:sz w:val="21"/>
        </w:rPr>
        <w:t> </w:t>
      </w:r>
      <w:r>
        <w:rPr>
          <w:color w:val="231F20"/>
          <w:w w:val="105"/>
          <w:sz w:val="21"/>
        </w:rPr>
        <w:t>of </w:t>
      </w:r>
      <w:r>
        <w:rPr>
          <w:i/>
          <w:color w:val="231F20"/>
          <w:w w:val="105"/>
          <w:sz w:val="21"/>
        </w:rPr>
        <w:t>Change</w:t>
      </w:r>
      <w:r>
        <w:rPr>
          <w:i/>
          <w:color w:val="231F20"/>
          <w:spacing w:val="-33"/>
          <w:w w:val="105"/>
          <w:sz w:val="21"/>
        </w:rPr>
        <w:t> </w:t>
      </w:r>
      <w:r>
        <w:rPr>
          <w:color w:val="231F20"/>
          <w:w w:val="105"/>
          <w:sz w:val="21"/>
        </w:rPr>
        <w:t>of</w:t>
      </w:r>
      <w:r>
        <w:rPr>
          <w:color w:val="231F20"/>
          <w:spacing w:val="-33"/>
          <w:w w:val="105"/>
          <w:sz w:val="21"/>
        </w:rPr>
        <w:t> </w:t>
      </w:r>
      <w:r>
        <w:rPr>
          <w:i/>
          <w:color w:val="231F20"/>
          <w:w w:val="105"/>
          <w:sz w:val="21"/>
        </w:rPr>
        <w:t>Money</w:t>
      </w:r>
      <w:r>
        <w:rPr>
          <w:i/>
          <w:color w:val="231F20"/>
          <w:spacing w:val="-35"/>
          <w:w w:val="105"/>
          <w:sz w:val="21"/>
        </w:rPr>
        <w:t> </w:t>
      </w:r>
      <w:r>
        <w:rPr>
          <w:i/>
          <w:color w:val="231F20"/>
          <w:w w:val="105"/>
          <w:sz w:val="21"/>
        </w:rPr>
        <w:t>Wage</w:t>
      </w:r>
      <w:r>
        <w:rPr>
          <w:i/>
          <w:color w:val="231F20"/>
          <w:spacing w:val="-33"/>
          <w:w w:val="105"/>
          <w:sz w:val="21"/>
        </w:rPr>
        <w:t> </w:t>
      </w:r>
      <w:r>
        <w:rPr>
          <w:i/>
          <w:color w:val="231F20"/>
          <w:w w:val="105"/>
          <w:sz w:val="21"/>
        </w:rPr>
        <w:t>Rates</w:t>
      </w:r>
      <w:r>
        <w:rPr>
          <w:i/>
          <w:color w:val="231F20"/>
          <w:spacing w:val="-33"/>
          <w:w w:val="105"/>
          <w:sz w:val="21"/>
        </w:rPr>
        <w:t> </w:t>
      </w:r>
      <w:r>
        <w:rPr>
          <w:color w:val="231F20"/>
          <w:w w:val="105"/>
          <w:sz w:val="21"/>
        </w:rPr>
        <w:t>in</w:t>
      </w:r>
      <w:r>
        <w:rPr>
          <w:color w:val="231F20"/>
          <w:spacing w:val="-33"/>
          <w:w w:val="105"/>
          <w:sz w:val="21"/>
        </w:rPr>
        <w:t> </w:t>
      </w:r>
      <w:r>
        <w:rPr>
          <w:color w:val="231F20"/>
          <w:w w:val="105"/>
          <w:sz w:val="21"/>
        </w:rPr>
        <w:t>the</w:t>
      </w:r>
      <w:r>
        <w:rPr>
          <w:color w:val="231F20"/>
          <w:spacing w:val="-33"/>
          <w:w w:val="105"/>
          <w:sz w:val="21"/>
        </w:rPr>
        <w:t> </w:t>
      </w:r>
      <w:r>
        <w:rPr>
          <w:i/>
          <w:color w:val="231F20"/>
          <w:w w:val="105"/>
          <w:sz w:val="21"/>
        </w:rPr>
        <w:t>United</w:t>
      </w:r>
      <w:r>
        <w:rPr>
          <w:i/>
          <w:color w:val="231F20"/>
          <w:spacing w:val="-33"/>
          <w:w w:val="105"/>
          <w:sz w:val="21"/>
        </w:rPr>
        <w:t> </w:t>
      </w:r>
      <w:r>
        <w:rPr>
          <w:i/>
          <w:color w:val="231F20"/>
          <w:w w:val="105"/>
          <w:sz w:val="21"/>
        </w:rPr>
        <w:t>Kingdom,</w:t>
      </w:r>
      <w:r>
        <w:rPr>
          <w:i/>
          <w:color w:val="231F20"/>
          <w:spacing w:val="-37"/>
          <w:w w:val="105"/>
          <w:sz w:val="21"/>
        </w:rPr>
        <w:t> </w:t>
      </w:r>
      <w:r>
        <w:rPr>
          <w:i/>
          <w:color w:val="231F20"/>
          <w:w w:val="105"/>
          <w:sz w:val="21"/>
        </w:rPr>
        <w:t>1862-1957</w:t>
      </w:r>
      <w:r>
        <w:rPr>
          <w:color w:val="231F20"/>
          <w:w w:val="105"/>
          <w:sz w:val="21"/>
        </w:rPr>
        <w:t>, </w:t>
      </w:r>
      <w:r>
        <w:rPr>
          <w:color w:val="231F20"/>
          <w:sz w:val="21"/>
        </w:rPr>
        <w:t>a</w:t>
      </w:r>
      <w:r>
        <w:rPr>
          <w:color w:val="231F20"/>
          <w:spacing w:val="-9"/>
          <w:sz w:val="21"/>
        </w:rPr>
        <w:t> </w:t>
      </w:r>
      <w:r>
        <w:rPr>
          <w:i/>
          <w:color w:val="231F20"/>
          <w:sz w:val="21"/>
        </w:rPr>
        <w:t>Further</w:t>
      </w:r>
      <w:r>
        <w:rPr>
          <w:i/>
          <w:color w:val="231F20"/>
          <w:spacing w:val="-12"/>
          <w:sz w:val="21"/>
        </w:rPr>
        <w:t> </w:t>
      </w:r>
      <w:r>
        <w:rPr>
          <w:i/>
          <w:color w:val="231F20"/>
          <w:sz w:val="21"/>
        </w:rPr>
        <w:t>Analysis.</w:t>
      </w:r>
      <w:r>
        <w:rPr>
          <w:i/>
          <w:color w:val="231F20"/>
          <w:spacing w:val="-9"/>
          <w:sz w:val="21"/>
        </w:rPr>
        <w:t> </w:t>
      </w:r>
      <w:r>
        <w:rPr>
          <w:i/>
          <w:color w:val="231F20"/>
          <w:sz w:val="21"/>
        </w:rPr>
        <w:t>Economica</w:t>
      </w:r>
      <w:r>
        <w:rPr>
          <w:color w:val="231F20"/>
          <w:sz w:val="21"/>
        </w:rPr>
        <w:t>,</w:t>
      </w:r>
      <w:r>
        <w:rPr>
          <w:color w:val="231F20"/>
          <w:spacing w:val="-15"/>
          <w:sz w:val="21"/>
        </w:rPr>
        <w:t> </w:t>
      </w:r>
      <w:r>
        <w:rPr>
          <w:color w:val="231F20"/>
          <w:sz w:val="21"/>
        </w:rPr>
        <w:t>(27),</w:t>
      </w:r>
      <w:r>
        <w:rPr>
          <w:color w:val="231F20"/>
          <w:spacing w:val="-15"/>
          <w:sz w:val="21"/>
        </w:rPr>
        <w:t> </w:t>
      </w:r>
      <w:r>
        <w:rPr>
          <w:color w:val="231F20"/>
          <w:sz w:val="21"/>
        </w:rPr>
        <w:t>1-32.</w:t>
      </w:r>
    </w:p>
    <w:p>
      <w:pPr>
        <w:spacing w:line="241" w:lineRule="exact" w:before="0"/>
        <w:ind w:left="103" w:right="0" w:firstLine="0"/>
        <w:jc w:val="left"/>
        <w:rPr>
          <w:sz w:val="21"/>
        </w:rPr>
      </w:pPr>
      <w:r>
        <w:rPr>
          <w:color w:val="231F20"/>
          <w:sz w:val="21"/>
        </w:rPr>
        <w:t>Mankiw, N. G. y Romer, D. (eds.) (1991). </w:t>
      </w:r>
      <w:r>
        <w:rPr>
          <w:i/>
          <w:color w:val="231F20"/>
          <w:sz w:val="21"/>
        </w:rPr>
        <w:t>New Keynesian Economics. </w:t>
      </w:r>
      <w:r>
        <w:rPr>
          <w:color w:val="231F20"/>
          <w:sz w:val="21"/>
        </w:rPr>
        <w:t>T. I y</w:t>
      </w:r>
    </w:p>
    <w:p>
      <w:pPr>
        <w:pStyle w:val="BodyText"/>
        <w:spacing w:before="18"/>
        <w:ind w:left="840" w:right="17"/>
      </w:pPr>
      <w:r>
        <w:rPr>
          <w:color w:val="231F20"/>
        </w:rPr>
        <w:t>II. Londres: The MIT Press.</w:t>
      </w:r>
    </w:p>
    <w:p>
      <w:pPr>
        <w:spacing w:before="18"/>
        <w:ind w:left="103" w:right="17" w:firstLine="0"/>
        <w:jc w:val="left"/>
        <w:rPr>
          <w:sz w:val="21"/>
        </w:rPr>
      </w:pPr>
      <w:r>
        <w:rPr>
          <w:color w:val="231F20"/>
          <w:sz w:val="21"/>
        </w:rPr>
        <w:t>Marshall, A. (1920). </w:t>
      </w:r>
      <w:r>
        <w:rPr>
          <w:i/>
          <w:color w:val="231F20"/>
          <w:sz w:val="21"/>
        </w:rPr>
        <w:t>Principles of Economics</w:t>
      </w:r>
      <w:r>
        <w:rPr>
          <w:color w:val="231F20"/>
          <w:sz w:val="21"/>
        </w:rPr>
        <w:t>. Londres: Macmillan.</w:t>
      </w:r>
    </w:p>
    <w:p>
      <w:pPr>
        <w:pStyle w:val="BodyText"/>
        <w:spacing w:before="18"/>
        <w:ind w:left="103" w:right="17"/>
      </w:pPr>
      <w:r>
        <w:rPr>
          <w:color w:val="231F20"/>
          <w:w w:val="105"/>
        </w:rPr>
        <w:t>Mas,</w:t>
      </w:r>
      <w:r>
        <w:rPr>
          <w:color w:val="231F20"/>
          <w:spacing w:val="-39"/>
          <w:w w:val="105"/>
        </w:rPr>
        <w:t> </w:t>
      </w:r>
      <w:r>
        <w:rPr>
          <w:color w:val="231F20"/>
          <w:w w:val="105"/>
        </w:rPr>
        <w:t>A.</w:t>
      </w:r>
      <w:r>
        <w:rPr>
          <w:color w:val="231F20"/>
          <w:spacing w:val="-36"/>
          <w:w w:val="105"/>
        </w:rPr>
        <w:t> </w:t>
      </w:r>
      <w:r>
        <w:rPr>
          <w:color w:val="231F20"/>
          <w:w w:val="105"/>
        </w:rPr>
        <w:t>(1983).</w:t>
      </w:r>
      <w:r>
        <w:rPr>
          <w:color w:val="231F20"/>
          <w:spacing w:val="-36"/>
          <w:w w:val="105"/>
        </w:rPr>
        <w:t> </w:t>
      </w:r>
      <w:r>
        <w:rPr>
          <w:color w:val="231F20"/>
          <w:w w:val="105"/>
        </w:rPr>
        <w:t>“La</w:t>
      </w:r>
      <w:r>
        <w:rPr>
          <w:color w:val="231F20"/>
          <w:spacing w:val="-32"/>
          <w:w w:val="105"/>
        </w:rPr>
        <w:t> </w:t>
      </w:r>
      <w:r>
        <w:rPr>
          <w:color w:val="231F20"/>
          <w:w w:val="105"/>
        </w:rPr>
        <w:t>teoría</w:t>
      </w:r>
      <w:r>
        <w:rPr>
          <w:color w:val="231F20"/>
          <w:spacing w:val="-32"/>
          <w:w w:val="105"/>
        </w:rPr>
        <w:t> </w:t>
      </w:r>
      <w:r>
        <w:rPr>
          <w:color w:val="231F20"/>
          <w:w w:val="105"/>
        </w:rPr>
        <w:t>del</w:t>
      </w:r>
      <w:r>
        <w:rPr>
          <w:color w:val="231F20"/>
          <w:spacing w:val="-32"/>
          <w:w w:val="105"/>
        </w:rPr>
        <w:t> </w:t>
      </w:r>
      <w:r>
        <w:rPr>
          <w:color w:val="231F20"/>
          <w:w w:val="105"/>
        </w:rPr>
        <w:t>desempleo</w:t>
      </w:r>
      <w:r>
        <w:rPr>
          <w:color w:val="231F20"/>
          <w:spacing w:val="-32"/>
          <w:w w:val="105"/>
        </w:rPr>
        <w:t> </w:t>
      </w:r>
      <w:r>
        <w:rPr>
          <w:color w:val="231F20"/>
          <w:w w:val="105"/>
        </w:rPr>
        <w:t>en</w:t>
      </w:r>
      <w:r>
        <w:rPr>
          <w:color w:val="231F20"/>
          <w:spacing w:val="-32"/>
          <w:w w:val="105"/>
        </w:rPr>
        <w:t> </w:t>
      </w:r>
      <w:r>
        <w:rPr>
          <w:color w:val="231F20"/>
          <w:w w:val="105"/>
        </w:rPr>
        <w:t>Keynes</w:t>
      </w:r>
      <w:r>
        <w:rPr>
          <w:color w:val="231F20"/>
          <w:spacing w:val="-32"/>
          <w:w w:val="105"/>
        </w:rPr>
        <w:t> </w:t>
      </w:r>
      <w:r>
        <w:rPr>
          <w:color w:val="231F20"/>
          <w:w w:val="105"/>
        </w:rPr>
        <w:t>y</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actualidad”</w:t>
      </w:r>
      <w:r>
        <w:rPr>
          <w:color w:val="231F20"/>
          <w:spacing w:val="-32"/>
          <w:w w:val="105"/>
        </w:rPr>
        <w:t> </w:t>
      </w:r>
      <w:r>
        <w:rPr>
          <w:color w:val="231F20"/>
          <w:w w:val="105"/>
        </w:rPr>
        <w:t>en:</w:t>
      </w:r>
    </w:p>
    <w:p>
      <w:pPr>
        <w:spacing w:before="18"/>
        <w:ind w:left="840" w:right="17" w:firstLine="0"/>
        <w:jc w:val="left"/>
        <w:rPr>
          <w:sz w:val="21"/>
        </w:rPr>
      </w:pPr>
      <w:r>
        <w:rPr>
          <w:i/>
          <w:color w:val="231F20"/>
          <w:sz w:val="21"/>
        </w:rPr>
        <w:t>Información Comercial Española (ICE)</w:t>
      </w:r>
      <w:r>
        <w:rPr>
          <w:color w:val="231F20"/>
          <w:sz w:val="21"/>
        </w:rPr>
        <w:t>, (593), 67-73.</w:t>
      </w:r>
    </w:p>
    <w:p>
      <w:pPr>
        <w:pStyle w:val="BodyText"/>
        <w:spacing w:line="259" w:lineRule="auto" w:before="18"/>
        <w:ind w:left="840" w:right="115" w:hanging="738"/>
        <w:jc w:val="both"/>
      </w:pPr>
      <w:r>
        <w:rPr>
          <w:color w:val="231F20"/>
        </w:rPr>
        <w:t>Modigliani, F. (1944). “Liquidity preference and the theory of interest and Money” en: </w:t>
      </w:r>
      <w:r>
        <w:rPr>
          <w:i/>
          <w:color w:val="231F20"/>
        </w:rPr>
        <w:t>Econometrica</w:t>
      </w:r>
      <w:r>
        <w:rPr>
          <w:color w:val="231F20"/>
        </w:rPr>
        <w:t>, 12, (1), 45-88.</w:t>
      </w:r>
    </w:p>
    <w:p>
      <w:pPr>
        <w:spacing w:line="259" w:lineRule="auto" w:before="0"/>
        <w:ind w:left="840" w:right="115" w:hanging="738"/>
        <w:jc w:val="both"/>
        <w:rPr>
          <w:sz w:val="21"/>
        </w:rPr>
      </w:pPr>
      <w:r>
        <w:rPr>
          <w:color w:val="231F20"/>
          <w:w w:val="105"/>
          <w:sz w:val="21"/>
        </w:rPr>
        <w:t>Noriega, F. A. (2001). </w:t>
      </w:r>
      <w:r>
        <w:rPr>
          <w:i/>
          <w:color w:val="231F20"/>
          <w:w w:val="105"/>
          <w:sz w:val="21"/>
        </w:rPr>
        <w:t>Macroeconomía para el desarrollo. Teoría de la </w:t>
      </w:r>
      <w:r>
        <w:rPr>
          <w:i/>
          <w:color w:val="231F20"/>
          <w:w w:val="105"/>
          <w:sz w:val="21"/>
        </w:rPr>
        <w:t>inexistencia del mercado de trabajo</w:t>
      </w:r>
      <w:r>
        <w:rPr>
          <w:color w:val="231F20"/>
          <w:w w:val="105"/>
          <w:sz w:val="21"/>
        </w:rPr>
        <w:t>. México: McGraw Hill.</w:t>
      </w:r>
    </w:p>
    <w:p>
      <w:pPr>
        <w:pStyle w:val="BodyText"/>
        <w:spacing w:line="259" w:lineRule="auto"/>
        <w:ind w:left="104" w:right="109"/>
        <w:jc w:val="right"/>
      </w:pPr>
      <w:r>
        <w:rPr>
          <w:w w:val="105"/>
        </w:rPr>
        <w:t>Phelps,</w:t>
      </w:r>
      <w:r>
        <w:rPr>
          <w:spacing w:val="-18"/>
          <w:w w:val="105"/>
        </w:rPr>
        <w:t> </w:t>
      </w:r>
      <w:r>
        <w:rPr>
          <w:w w:val="105"/>
        </w:rPr>
        <w:t>E.</w:t>
      </w:r>
      <w:r>
        <w:rPr>
          <w:spacing w:val="-18"/>
          <w:w w:val="105"/>
        </w:rPr>
        <w:t> </w:t>
      </w:r>
      <w:r>
        <w:rPr>
          <w:w w:val="105"/>
        </w:rPr>
        <w:t>S.</w:t>
      </w:r>
      <w:r>
        <w:rPr>
          <w:spacing w:val="-18"/>
          <w:w w:val="105"/>
        </w:rPr>
        <w:t> </w:t>
      </w:r>
      <w:r>
        <w:rPr>
          <w:w w:val="105"/>
        </w:rPr>
        <w:t>(1967).</w:t>
      </w:r>
      <w:r>
        <w:rPr>
          <w:spacing w:val="-18"/>
          <w:w w:val="105"/>
        </w:rPr>
        <w:t> </w:t>
      </w:r>
      <w:r>
        <w:rPr>
          <w:w w:val="105"/>
        </w:rPr>
        <w:t>Phillips</w:t>
      </w:r>
      <w:r>
        <w:rPr>
          <w:spacing w:val="-14"/>
          <w:w w:val="105"/>
        </w:rPr>
        <w:t> </w:t>
      </w:r>
      <w:r>
        <w:rPr>
          <w:w w:val="105"/>
        </w:rPr>
        <w:t>Curves,</w:t>
      </w:r>
      <w:r>
        <w:rPr>
          <w:spacing w:val="-18"/>
          <w:w w:val="105"/>
        </w:rPr>
        <w:t> </w:t>
      </w:r>
      <w:r>
        <w:rPr>
          <w:w w:val="105"/>
        </w:rPr>
        <w:t>“Expectations</w:t>
      </w:r>
      <w:r>
        <w:rPr>
          <w:spacing w:val="-14"/>
          <w:w w:val="105"/>
        </w:rPr>
        <w:t> </w:t>
      </w:r>
      <w:r>
        <w:rPr>
          <w:w w:val="105"/>
        </w:rPr>
        <w:t>of</w:t>
      </w:r>
      <w:r>
        <w:rPr>
          <w:spacing w:val="-10"/>
          <w:w w:val="105"/>
        </w:rPr>
        <w:t> </w:t>
      </w:r>
      <w:r>
        <w:rPr>
          <w:w w:val="105"/>
        </w:rPr>
        <w:t>Inflation</w:t>
      </w:r>
      <w:r>
        <w:rPr>
          <w:spacing w:val="-14"/>
          <w:w w:val="105"/>
        </w:rPr>
        <w:t> </w:t>
      </w:r>
      <w:r>
        <w:rPr>
          <w:w w:val="105"/>
        </w:rPr>
        <w:t>and</w:t>
      </w:r>
      <w:r>
        <w:rPr>
          <w:spacing w:val="-14"/>
          <w:w w:val="105"/>
        </w:rPr>
        <w:t> </w:t>
      </w:r>
      <w:r>
        <w:rPr>
          <w:w w:val="105"/>
        </w:rPr>
        <w:t>Opti-</w:t>
      </w:r>
      <w:r>
        <w:rPr>
          <w:w w:val="96"/>
        </w:rPr>
        <w:t> </w:t>
      </w:r>
      <w:r>
        <w:rPr>
          <w:w w:val="105"/>
        </w:rPr>
        <w:t>mal</w:t>
      </w:r>
      <w:r>
        <w:rPr>
          <w:spacing w:val="-32"/>
          <w:w w:val="105"/>
        </w:rPr>
        <w:t> </w:t>
      </w:r>
      <w:r>
        <w:rPr>
          <w:w w:val="105"/>
        </w:rPr>
        <w:t>Unemployment</w:t>
      </w:r>
      <w:r>
        <w:rPr>
          <w:spacing w:val="-32"/>
          <w:w w:val="105"/>
        </w:rPr>
        <w:t> </w:t>
      </w:r>
      <w:r>
        <w:rPr>
          <w:w w:val="105"/>
        </w:rPr>
        <w:t>over</w:t>
      </w:r>
      <w:r>
        <w:rPr>
          <w:spacing w:val="-35"/>
          <w:w w:val="105"/>
        </w:rPr>
        <w:t> </w:t>
      </w:r>
      <w:r>
        <w:rPr>
          <w:w w:val="105"/>
        </w:rPr>
        <w:t>Time”</w:t>
      </w:r>
      <w:r>
        <w:rPr>
          <w:spacing w:val="-32"/>
          <w:w w:val="105"/>
        </w:rPr>
        <w:t> </w:t>
      </w:r>
      <w:r>
        <w:rPr>
          <w:w w:val="105"/>
        </w:rPr>
        <w:t>en.</w:t>
      </w:r>
      <w:r>
        <w:rPr>
          <w:spacing w:val="-36"/>
          <w:w w:val="105"/>
        </w:rPr>
        <w:t> </w:t>
      </w:r>
      <w:r>
        <w:rPr>
          <w:i/>
          <w:w w:val="105"/>
        </w:rPr>
        <w:t>Economica</w:t>
      </w:r>
      <w:r>
        <w:rPr>
          <w:w w:val="105"/>
        </w:rPr>
        <w:t>,</w:t>
      </w:r>
      <w:r>
        <w:rPr>
          <w:spacing w:val="-32"/>
          <w:w w:val="105"/>
        </w:rPr>
        <w:t> </w:t>
      </w:r>
      <w:r>
        <w:rPr>
          <w:w w:val="105"/>
        </w:rPr>
        <w:t>34(135),</w:t>
      </w:r>
      <w:r>
        <w:rPr>
          <w:spacing w:val="-36"/>
          <w:w w:val="105"/>
        </w:rPr>
        <w:t> </w:t>
      </w:r>
      <w:r>
        <w:rPr>
          <w:w w:val="105"/>
        </w:rPr>
        <w:t>254-281.</w:t>
      </w:r>
      <w:r>
        <w:rPr>
          <w:w w:val="102"/>
        </w:rPr>
        <w:t> </w:t>
      </w:r>
      <w:r>
        <w:rPr>
          <w:w w:val="105"/>
        </w:rPr>
        <w:t>Phelps,</w:t>
      </w:r>
      <w:r>
        <w:rPr>
          <w:spacing w:val="-42"/>
          <w:w w:val="105"/>
        </w:rPr>
        <w:t> </w:t>
      </w:r>
      <w:r>
        <w:rPr>
          <w:w w:val="105"/>
        </w:rPr>
        <w:t>E.</w:t>
      </w:r>
      <w:r>
        <w:rPr>
          <w:spacing w:val="-42"/>
          <w:w w:val="105"/>
        </w:rPr>
        <w:t> </w:t>
      </w:r>
      <w:r>
        <w:rPr>
          <w:w w:val="105"/>
        </w:rPr>
        <w:t>S.</w:t>
      </w:r>
      <w:r>
        <w:rPr>
          <w:spacing w:val="-42"/>
          <w:w w:val="105"/>
        </w:rPr>
        <w:t> </w:t>
      </w:r>
      <w:r>
        <w:rPr>
          <w:w w:val="105"/>
        </w:rPr>
        <w:t>(1968).</w:t>
      </w:r>
      <w:r>
        <w:rPr>
          <w:spacing w:val="-42"/>
          <w:w w:val="105"/>
        </w:rPr>
        <w:t> </w:t>
      </w:r>
      <w:r>
        <w:rPr>
          <w:w w:val="105"/>
        </w:rPr>
        <w:t>“Money-Wage</w:t>
      </w:r>
      <w:r>
        <w:rPr>
          <w:spacing w:val="-39"/>
          <w:w w:val="105"/>
        </w:rPr>
        <w:t> </w:t>
      </w:r>
      <w:r>
        <w:rPr>
          <w:w w:val="105"/>
        </w:rPr>
        <w:t>Dynamics</w:t>
      </w:r>
      <w:r>
        <w:rPr>
          <w:spacing w:val="-39"/>
          <w:w w:val="105"/>
        </w:rPr>
        <w:t> </w:t>
      </w:r>
      <w:r>
        <w:rPr>
          <w:w w:val="105"/>
        </w:rPr>
        <w:t>and</w:t>
      </w:r>
      <w:r>
        <w:rPr>
          <w:spacing w:val="-39"/>
          <w:w w:val="105"/>
        </w:rPr>
        <w:t> </w:t>
      </w:r>
      <w:r>
        <w:rPr>
          <w:w w:val="105"/>
        </w:rPr>
        <w:t>Labor-Market</w:t>
      </w:r>
      <w:r>
        <w:rPr>
          <w:spacing w:val="-39"/>
          <w:w w:val="105"/>
        </w:rPr>
        <w:t> </w:t>
      </w:r>
      <w:r>
        <w:rPr>
          <w:w w:val="105"/>
        </w:rPr>
        <w:t>Equilibri-</w:t>
      </w:r>
    </w:p>
    <w:p>
      <w:pPr>
        <w:spacing w:line="241" w:lineRule="exact" w:before="0"/>
        <w:ind w:left="840" w:right="17" w:firstLine="0"/>
        <w:jc w:val="left"/>
        <w:rPr>
          <w:sz w:val="21"/>
        </w:rPr>
      </w:pPr>
      <w:r>
        <w:rPr>
          <w:w w:val="105"/>
          <w:sz w:val="21"/>
        </w:rPr>
        <w:t>um” en: </w:t>
      </w:r>
      <w:r>
        <w:rPr>
          <w:i/>
          <w:w w:val="105"/>
          <w:sz w:val="21"/>
        </w:rPr>
        <w:t>Journal of Political Economy</w:t>
      </w:r>
      <w:r>
        <w:rPr>
          <w:w w:val="105"/>
          <w:sz w:val="21"/>
        </w:rPr>
        <w:t>, 76(4), 678-711.</w:t>
      </w:r>
    </w:p>
    <w:p>
      <w:pPr>
        <w:pStyle w:val="BodyText"/>
        <w:spacing w:line="259" w:lineRule="auto" w:before="18"/>
        <w:ind w:left="840" w:right="115" w:hanging="738"/>
        <w:jc w:val="both"/>
      </w:pPr>
      <w:r>
        <w:rPr>
          <w:w w:val="105"/>
        </w:rPr>
        <w:t>Phillips,</w:t>
      </w:r>
      <w:r>
        <w:rPr>
          <w:spacing w:val="-29"/>
          <w:w w:val="105"/>
        </w:rPr>
        <w:t> </w:t>
      </w:r>
      <w:r>
        <w:rPr>
          <w:w w:val="105"/>
        </w:rPr>
        <w:t>A.</w:t>
      </w:r>
      <w:r>
        <w:rPr>
          <w:spacing w:val="-29"/>
          <w:w w:val="105"/>
        </w:rPr>
        <w:t> </w:t>
      </w:r>
      <w:r>
        <w:rPr>
          <w:spacing w:val="-7"/>
          <w:w w:val="105"/>
        </w:rPr>
        <w:t>W.</w:t>
      </w:r>
      <w:r>
        <w:rPr>
          <w:spacing w:val="-27"/>
          <w:w w:val="105"/>
        </w:rPr>
        <w:t> </w:t>
      </w:r>
      <w:r>
        <w:rPr>
          <w:w w:val="105"/>
        </w:rPr>
        <w:t>(1958).</w:t>
      </w:r>
      <w:r>
        <w:rPr>
          <w:spacing w:val="-27"/>
          <w:w w:val="105"/>
        </w:rPr>
        <w:t> </w:t>
      </w:r>
      <w:r>
        <w:rPr>
          <w:w w:val="105"/>
        </w:rPr>
        <w:t>“The</w:t>
      </w:r>
      <w:r>
        <w:rPr>
          <w:spacing w:val="-22"/>
          <w:w w:val="105"/>
        </w:rPr>
        <w:t> </w:t>
      </w:r>
      <w:r>
        <w:rPr>
          <w:w w:val="105"/>
        </w:rPr>
        <w:t>Relationship</w:t>
      </w:r>
      <w:r>
        <w:rPr>
          <w:spacing w:val="-22"/>
          <w:w w:val="105"/>
        </w:rPr>
        <w:t> </w:t>
      </w:r>
      <w:r>
        <w:rPr>
          <w:w w:val="105"/>
        </w:rPr>
        <w:t>between</w:t>
      </w:r>
      <w:r>
        <w:rPr>
          <w:spacing w:val="-22"/>
          <w:w w:val="105"/>
        </w:rPr>
        <w:t> </w:t>
      </w:r>
      <w:r>
        <w:rPr>
          <w:w w:val="105"/>
        </w:rPr>
        <w:t>Unemployment</w:t>
      </w:r>
      <w:r>
        <w:rPr>
          <w:spacing w:val="-22"/>
          <w:w w:val="105"/>
        </w:rPr>
        <w:t> </w:t>
      </w:r>
      <w:r>
        <w:rPr>
          <w:w w:val="105"/>
        </w:rPr>
        <w:t>and</w:t>
      </w:r>
      <w:r>
        <w:rPr>
          <w:spacing w:val="-22"/>
          <w:w w:val="105"/>
        </w:rPr>
        <w:t> </w:t>
      </w:r>
      <w:r>
        <w:rPr>
          <w:w w:val="105"/>
        </w:rPr>
        <w:t>the Rate of Change of Money Wages in the United Kingdom 1861- 1957”</w:t>
      </w:r>
      <w:r>
        <w:rPr>
          <w:spacing w:val="-34"/>
          <w:w w:val="105"/>
        </w:rPr>
        <w:t> </w:t>
      </w:r>
      <w:r>
        <w:rPr>
          <w:w w:val="105"/>
        </w:rPr>
        <w:t>en:</w:t>
      </w:r>
      <w:r>
        <w:rPr>
          <w:spacing w:val="-34"/>
          <w:w w:val="105"/>
        </w:rPr>
        <w:t> </w:t>
      </w:r>
      <w:r>
        <w:rPr>
          <w:i/>
          <w:color w:val="231F20"/>
          <w:w w:val="105"/>
        </w:rPr>
        <w:t>Economica</w:t>
      </w:r>
      <w:r>
        <w:rPr>
          <w:color w:val="231F20"/>
          <w:w w:val="105"/>
        </w:rPr>
        <w:t>,</w:t>
      </w:r>
      <w:r>
        <w:rPr>
          <w:color w:val="231F20"/>
          <w:spacing w:val="-38"/>
          <w:w w:val="105"/>
        </w:rPr>
        <w:t> </w:t>
      </w:r>
      <w:r>
        <w:rPr>
          <w:color w:val="231F20"/>
          <w:w w:val="105"/>
        </w:rPr>
        <w:t>25(100),</w:t>
      </w:r>
      <w:r>
        <w:rPr>
          <w:color w:val="231F20"/>
          <w:spacing w:val="-38"/>
          <w:w w:val="105"/>
        </w:rPr>
        <w:t> </w:t>
      </w:r>
      <w:r>
        <w:rPr>
          <w:color w:val="231F20"/>
          <w:w w:val="105"/>
        </w:rPr>
        <w:t>283-299.</w:t>
      </w:r>
    </w:p>
    <w:p>
      <w:pPr>
        <w:pStyle w:val="BodyText"/>
        <w:spacing w:line="259" w:lineRule="auto"/>
        <w:ind w:left="103" w:right="105"/>
      </w:pPr>
      <w:r>
        <w:rPr>
          <w:color w:val="231F20"/>
          <w:w w:val="105"/>
        </w:rPr>
        <w:t>Pigou, A. C. (1933). </w:t>
      </w:r>
      <w:r>
        <w:rPr>
          <w:i/>
          <w:color w:val="231F20"/>
          <w:w w:val="105"/>
        </w:rPr>
        <w:t>Theory of Unemployment. </w:t>
      </w:r>
      <w:r>
        <w:rPr>
          <w:color w:val="231F20"/>
          <w:w w:val="105"/>
        </w:rPr>
        <w:t>Londres: Macmillan. </w:t>
      </w:r>
      <w:r>
        <w:rPr>
          <w:color w:val="231F20"/>
          <w:spacing w:val="-3"/>
          <w:w w:val="105"/>
        </w:rPr>
        <w:t>Poole, </w:t>
      </w:r>
      <w:r>
        <w:rPr>
          <w:color w:val="231F20"/>
          <w:spacing w:val="-7"/>
          <w:w w:val="105"/>
        </w:rPr>
        <w:t>W. </w:t>
      </w:r>
      <w:r>
        <w:rPr>
          <w:color w:val="231F20"/>
          <w:w w:val="105"/>
        </w:rPr>
        <w:t>(1970). “Optimal Choice of Monetary </w:t>
      </w:r>
      <w:r>
        <w:rPr>
          <w:color w:val="231F20"/>
          <w:spacing w:val="-3"/>
          <w:w w:val="105"/>
        </w:rPr>
        <w:t>Policy </w:t>
      </w:r>
      <w:r>
        <w:rPr>
          <w:color w:val="231F20"/>
          <w:w w:val="105"/>
        </w:rPr>
        <w:t>Instruments in </w:t>
      </w:r>
      <w:r>
        <w:rPr>
          <w:color w:val="231F20"/>
          <w:spacing w:val="50"/>
          <w:w w:val="105"/>
        </w:rPr>
        <w:t> </w:t>
      </w:r>
      <w:r>
        <w:rPr>
          <w:color w:val="231F20"/>
          <w:w w:val="105"/>
        </w:rPr>
        <w:t>a</w:t>
      </w:r>
    </w:p>
    <w:p>
      <w:pPr>
        <w:spacing w:line="259" w:lineRule="auto" w:before="0"/>
        <w:ind w:left="840" w:right="17" w:firstLine="0"/>
        <w:jc w:val="left"/>
        <w:rPr>
          <w:sz w:val="21"/>
        </w:rPr>
      </w:pPr>
      <w:r>
        <w:rPr>
          <w:color w:val="231F20"/>
          <w:w w:val="105"/>
          <w:sz w:val="21"/>
        </w:rPr>
        <w:t>Simple Stochastic Macro Model” en: </w:t>
      </w:r>
      <w:r>
        <w:rPr>
          <w:i/>
          <w:color w:val="231F20"/>
          <w:w w:val="105"/>
          <w:sz w:val="21"/>
        </w:rPr>
        <w:t>Quarterly Journal of Eco- </w:t>
      </w:r>
      <w:r>
        <w:rPr>
          <w:i/>
          <w:color w:val="231F20"/>
          <w:sz w:val="21"/>
        </w:rPr>
        <w:t>nomics</w:t>
      </w:r>
      <w:r>
        <w:rPr>
          <w:color w:val="231F20"/>
          <w:sz w:val="21"/>
        </w:rPr>
        <w:t>, 84(2), 197-216.</w:t>
      </w:r>
    </w:p>
    <w:p>
      <w:pPr>
        <w:pStyle w:val="BodyText"/>
        <w:rPr>
          <w:sz w:val="20"/>
        </w:rPr>
      </w:pPr>
    </w:p>
    <w:p>
      <w:pPr>
        <w:pStyle w:val="BodyText"/>
        <w:rPr>
          <w:sz w:val="20"/>
        </w:rPr>
      </w:pPr>
    </w:p>
    <w:p>
      <w:pPr>
        <w:pStyle w:val="BodyText"/>
        <w:spacing w:before="2"/>
        <w:rPr>
          <w:sz w:val="25"/>
        </w:rPr>
      </w:pPr>
    </w:p>
    <w:p>
      <w:pPr>
        <w:tabs>
          <w:tab w:pos="1317" w:val="left" w:leader="none"/>
        </w:tabs>
        <w:spacing w:before="70"/>
        <w:ind w:left="212" w:right="17" w:firstLine="0"/>
        <w:jc w:val="left"/>
        <w:rPr>
          <w:rFonts w:ascii="Calibri"/>
          <w:sz w:val="15"/>
        </w:rPr>
      </w:pPr>
      <w:r>
        <w:rPr/>
        <w:pict>
          <v:group style="position:absolute;margin-left:101.817299pt;margin-top:-16.799887pt;width:17.850pt;height:56.5pt;mso-position-horizontal-relative:page;mso-position-vertical-relative:paragraph;z-index:-237136" coordorigin="2036,-336" coordsize="357,1130">
            <v:line style="position:absolute" from="2211,74" to="2211,790" stroked="true" strokeweight=".3pt" strokecolor="#231f20"/>
            <v:shape style="position:absolute;left:2036;top:-162;width:356;height:609" type="#_x0000_t75" stroked="false">
              <v:imagedata r:id="rId18" o:title=""/>
            </v:shape>
            <v:shape style="position:absolute;left:2036;top:-336;width:356;height:783" type="#_x0000_t75" stroked="false">
              <v:imagedata r:id="rId19" o:title=""/>
            </v:shape>
            <w10:wrap type="none"/>
          </v:group>
        </w:pict>
      </w:r>
      <w:r>
        <w:rPr>
          <w:color w:val="414042"/>
          <w:w w:val="105"/>
          <w:position w:val="-5"/>
          <w:sz w:val="20"/>
        </w:rPr>
        <w:t>306</w:t>
        <w:tab/>
      </w:r>
      <w:r>
        <w:rPr>
          <w:rFonts w:ascii="Calibri"/>
          <w:color w:val="6D6E71"/>
          <w:w w:val="105"/>
          <w:sz w:val="15"/>
        </w:rPr>
        <w:t>Luis Brito</w:t>
      </w:r>
      <w:r>
        <w:rPr>
          <w:rFonts w:ascii="Calibri"/>
          <w:color w:val="6D6E71"/>
          <w:spacing w:val="-10"/>
          <w:w w:val="105"/>
          <w:sz w:val="15"/>
        </w:rPr>
        <w:t> </w:t>
      </w:r>
      <w:r>
        <w:rPr>
          <w:rFonts w:ascii="Calibri"/>
          <w:color w:val="6D6E71"/>
          <w:w w:val="105"/>
          <w:sz w:val="15"/>
        </w:rPr>
        <w:t>Cruz</w:t>
      </w:r>
    </w:p>
    <w:p>
      <w:pPr>
        <w:spacing w:after="0"/>
        <w:jc w:val="left"/>
        <w:rPr>
          <w:rFonts w:ascii="Calibri"/>
          <w:sz w:val="15"/>
        </w:rPr>
        <w:sectPr>
          <w:pgSz w:w="9640" w:h="13890"/>
          <w:pgMar w:top="1300" w:bottom="0" w:left="1200" w:right="1300"/>
        </w:sectPr>
      </w:pPr>
    </w:p>
    <w:p>
      <w:pPr>
        <w:pStyle w:val="BodyText"/>
        <w:rPr>
          <w:rFonts w:ascii="Calibri"/>
          <w:sz w:val="20"/>
        </w:rPr>
      </w:pPr>
    </w:p>
    <w:p>
      <w:pPr>
        <w:pStyle w:val="BodyText"/>
        <w:spacing w:before="8"/>
        <w:rPr>
          <w:rFonts w:ascii="Calibri"/>
          <w:sz w:val="20"/>
        </w:rPr>
      </w:pPr>
    </w:p>
    <w:p>
      <w:pPr>
        <w:tabs>
          <w:tab w:pos="6971" w:val="right" w:leader="none"/>
        </w:tabs>
        <w:spacing w:before="52"/>
        <w:ind w:left="285" w:right="0" w:firstLine="0"/>
        <w:jc w:val="left"/>
        <w:rPr>
          <w:sz w:val="20"/>
        </w:rPr>
      </w:pPr>
      <w:r>
        <w:rPr/>
        <w:pict>
          <v:line style="position:absolute;mso-position-horizontal-relative:page;mso-position-vertical-relative:paragraph;z-index:-237112" from="384.061005pt,-25.30427pt" to="384.061005pt,9.561580pt" stroked="true" strokeweight=".3pt" strokecolor="#231f20">
            <w10:wrap type="none"/>
          </v:line>
        </w:pict>
      </w:r>
      <w:r>
        <w:rPr>
          <w:rFonts w:ascii="Lucida Sans Unicode" w:hAnsi="Lucida Sans Unicode"/>
          <w:color w:val="6D6E71"/>
          <w:w w:val="105"/>
          <w:sz w:val="14"/>
        </w:rPr>
        <w:t>XII.</w:t>
      </w:r>
      <w:r>
        <w:rPr>
          <w:rFonts w:ascii="Lucida Sans Unicode" w:hAnsi="Lucida Sans Unicode"/>
          <w:color w:val="6D6E71"/>
          <w:spacing w:val="-11"/>
          <w:w w:val="105"/>
          <w:sz w:val="14"/>
        </w:rPr>
        <w:t> </w:t>
      </w:r>
      <w:r>
        <w:rPr>
          <w:rFonts w:ascii="Lucida Sans Unicode" w:hAnsi="Lucida Sans Unicode"/>
          <w:color w:val="6D6E71"/>
          <w:w w:val="105"/>
          <w:sz w:val="14"/>
        </w:rPr>
        <w:t>El</w:t>
      </w:r>
      <w:r>
        <w:rPr>
          <w:rFonts w:ascii="Lucida Sans Unicode" w:hAnsi="Lucida Sans Unicode"/>
          <w:color w:val="6D6E71"/>
          <w:spacing w:val="-11"/>
          <w:w w:val="105"/>
          <w:sz w:val="14"/>
        </w:rPr>
        <w:t> </w:t>
      </w:r>
      <w:r>
        <w:rPr>
          <w:rFonts w:ascii="Lucida Sans Unicode" w:hAnsi="Lucida Sans Unicode"/>
          <w:color w:val="6D6E71"/>
          <w:w w:val="105"/>
          <w:sz w:val="14"/>
        </w:rPr>
        <w:t>EmplEo</w:t>
      </w:r>
      <w:r>
        <w:rPr>
          <w:rFonts w:ascii="Lucida Sans Unicode" w:hAnsi="Lucida Sans Unicode"/>
          <w:color w:val="6D6E71"/>
          <w:spacing w:val="-11"/>
          <w:w w:val="105"/>
          <w:sz w:val="14"/>
        </w:rPr>
        <w:t> </w:t>
      </w:r>
      <w:r>
        <w:rPr>
          <w:rFonts w:ascii="Lucida Sans Unicode" w:hAnsi="Lucida Sans Unicode"/>
          <w:color w:val="6D6E71"/>
          <w:w w:val="105"/>
          <w:sz w:val="14"/>
        </w:rPr>
        <w:t>y</w:t>
      </w:r>
      <w:r>
        <w:rPr>
          <w:rFonts w:ascii="Lucida Sans Unicode" w:hAnsi="Lucida Sans Unicode"/>
          <w:color w:val="6D6E71"/>
          <w:spacing w:val="-11"/>
          <w:w w:val="105"/>
          <w:sz w:val="14"/>
        </w:rPr>
        <w:t> </w:t>
      </w:r>
      <w:r>
        <w:rPr>
          <w:rFonts w:ascii="Lucida Sans Unicode" w:hAnsi="Lucida Sans Unicode"/>
          <w:color w:val="6D6E71"/>
          <w:w w:val="115"/>
          <w:sz w:val="14"/>
        </w:rPr>
        <w:t>la</w:t>
      </w:r>
      <w:r>
        <w:rPr>
          <w:rFonts w:ascii="Lucida Sans Unicode" w:hAnsi="Lucida Sans Unicode"/>
          <w:color w:val="6D6E71"/>
          <w:spacing w:val="-15"/>
          <w:w w:val="115"/>
          <w:sz w:val="14"/>
        </w:rPr>
        <w:t> </w:t>
      </w:r>
      <w:r>
        <w:rPr>
          <w:rFonts w:ascii="Lucida Sans Unicode" w:hAnsi="Lucida Sans Unicode"/>
          <w:color w:val="6D6E71"/>
          <w:w w:val="105"/>
          <w:sz w:val="14"/>
        </w:rPr>
        <w:t>dEsocupacIón:</w:t>
      </w:r>
      <w:r>
        <w:rPr>
          <w:rFonts w:ascii="Lucida Sans Unicode" w:hAnsi="Lucida Sans Unicode"/>
          <w:color w:val="6D6E71"/>
          <w:spacing w:val="-11"/>
          <w:w w:val="105"/>
          <w:sz w:val="14"/>
        </w:rPr>
        <w:t> </w:t>
      </w:r>
      <w:r>
        <w:rPr>
          <w:rFonts w:ascii="Lucida Sans Unicode" w:hAnsi="Lucida Sans Unicode"/>
          <w:color w:val="6D6E71"/>
          <w:w w:val="105"/>
          <w:sz w:val="14"/>
        </w:rPr>
        <w:t>un</w:t>
      </w:r>
      <w:r>
        <w:rPr>
          <w:rFonts w:ascii="Lucida Sans Unicode" w:hAnsi="Lucida Sans Unicode"/>
          <w:color w:val="6D6E71"/>
          <w:spacing w:val="-11"/>
          <w:w w:val="105"/>
          <w:sz w:val="14"/>
        </w:rPr>
        <w:t> </w:t>
      </w:r>
      <w:r>
        <w:rPr>
          <w:rFonts w:ascii="Lucida Sans Unicode" w:hAnsi="Lucida Sans Unicode"/>
          <w:color w:val="6D6E71"/>
          <w:w w:val="105"/>
          <w:sz w:val="14"/>
        </w:rPr>
        <w:t>análIsIs</w:t>
      </w:r>
      <w:r>
        <w:rPr>
          <w:rFonts w:ascii="Lucida Sans Unicode" w:hAnsi="Lucida Sans Unicode"/>
          <w:color w:val="6D6E71"/>
          <w:spacing w:val="-11"/>
          <w:w w:val="105"/>
          <w:sz w:val="14"/>
        </w:rPr>
        <w:t> </w:t>
      </w:r>
      <w:r>
        <w:rPr>
          <w:rFonts w:ascii="Lucida Sans Unicode" w:hAnsi="Lucida Sans Unicode"/>
          <w:color w:val="6D6E71"/>
          <w:w w:val="105"/>
          <w:sz w:val="14"/>
        </w:rPr>
        <w:t>dEsdE</w:t>
      </w:r>
      <w:r>
        <w:rPr>
          <w:rFonts w:ascii="Lucida Sans Unicode" w:hAnsi="Lucida Sans Unicode"/>
          <w:color w:val="6D6E71"/>
          <w:spacing w:val="-11"/>
          <w:w w:val="105"/>
          <w:sz w:val="14"/>
        </w:rPr>
        <w:t> </w:t>
      </w:r>
      <w:r>
        <w:rPr>
          <w:rFonts w:ascii="Lucida Sans Unicode" w:hAnsi="Lucida Sans Unicode"/>
          <w:color w:val="6D6E71"/>
          <w:w w:val="105"/>
          <w:sz w:val="14"/>
        </w:rPr>
        <w:t>los</w:t>
      </w:r>
      <w:r>
        <w:rPr>
          <w:rFonts w:ascii="Lucida Sans Unicode" w:hAnsi="Lucida Sans Unicode"/>
          <w:color w:val="6D6E71"/>
          <w:spacing w:val="-11"/>
          <w:w w:val="105"/>
          <w:sz w:val="14"/>
        </w:rPr>
        <w:t> </w:t>
      </w:r>
      <w:r>
        <w:rPr>
          <w:rFonts w:ascii="Lucida Sans Unicode" w:hAnsi="Lucida Sans Unicode"/>
          <w:color w:val="6D6E71"/>
          <w:w w:val="105"/>
          <w:sz w:val="14"/>
        </w:rPr>
        <w:t>EnfoquEs</w:t>
      </w:r>
      <w:r>
        <w:rPr>
          <w:rFonts w:ascii="Lucida Sans Unicode" w:hAnsi="Lucida Sans Unicode"/>
          <w:color w:val="6D6E71"/>
          <w:spacing w:val="-11"/>
          <w:w w:val="105"/>
          <w:sz w:val="14"/>
        </w:rPr>
        <w:t> </w:t>
      </w:r>
      <w:r>
        <w:rPr>
          <w:rFonts w:ascii="Lucida Sans Unicode" w:hAnsi="Lucida Sans Unicode"/>
          <w:color w:val="6D6E71"/>
          <w:w w:val="105"/>
          <w:sz w:val="14"/>
        </w:rPr>
        <w:t>tEórIcos</w:t>
      </w:r>
      <w:r>
        <w:rPr>
          <w:rFonts w:ascii="Lucida Sans Unicode" w:hAnsi="Lucida Sans Unicode"/>
          <w:color w:val="6D6E71"/>
          <w:spacing w:val="-11"/>
          <w:w w:val="105"/>
          <w:sz w:val="14"/>
        </w:rPr>
        <w:t> </w:t>
      </w:r>
      <w:r>
        <w:rPr>
          <w:rFonts w:ascii="Lucida Sans Unicode" w:hAnsi="Lucida Sans Unicode"/>
          <w:color w:val="6D6E71"/>
          <w:w w:val="105"/>
          <w:sz w:val="14"/>
        </w:rPr>
        <w:t>kEynEsIanos</w:t>
      </w:r>
      <w:r>
        <w:rPr>
          <w:color w:val="414042"/>
          <w:w w:val="105"/>
          <w:position w:val="-3"/>
          <w:sz w:val="20"/>
        </w:rPr>
        <w:tab/>
        <w:t>307</w:t>
      </w:r>
    </w:p>
    <w:p>
      <w:pPr>
        <w:pStyle w:val="BodyText"/>
        <w:rPr>
          <w:sz w:val="20"/>
        </w:rPr>
      </w:pPr>
    </w:p>
    <w:p>
      <w:pPr>
        <w:pStyle w:val="BodyText"/>
        <w:rPr>
          <w:sz w:val="20"/>
        </w:rPr>
      </w:pPr>
    </w:p>
    <w:p>
      <w:pPr>
        <w:spacing w:line="259" w:lineRule="auto" w:before="176"/>
        <w:ind w:left="854" w:right="101" w:hanging="738"/>
        <w:jc w:val="both"/>
        <w:rPr>
          <w:sz w:val="21"/>
        </w:rPr>
      </w:pPr>
      <w:r>
        <w:rPr>
          <w:color w:val="231F20"/>
          <w:w w:val="105"/>
          <w:sz w:val="21"/>
        </w:rPr>
        <w:t>Robinson,</w:t>
      </w:r>
      <w:r>
        <w:rPr>
          <w:color w:val="231F20"/>
          <w:spacing w:val="-26"/>
          <w:w w:val="105"/>
          <w:sz w:val="21"/>
        </w:rPr>
        <w:t> </w:t>
      </w:r>
      <w:r>
        <w:rPr>
          <w:color w:val="231F20"/>
          <w:w w:val="105"/>
          <w:sz w:val="21"/>
        </w:rPr>
        <w:t>J.</w:t>
      </w:r>
      <w:r>
        <w:rPr>
          <w:color w:val="231F20"/>
          <w:spacing w:val="-24"/>
          <w:w w:val="105"/>
          <w:sz w:val="21"/>
        </w:rPr>
        <w:t> </w:t>
      </w:r>
      <w:r>
        <w:rPr>
          <w:color w:val="231F20"/>
          <w:w w:val="105"/>
          <w:sz w:val="21"/>
        </w:rPr>
        <w:t>(1962).</w:t>
      </w:r>
      <w:r>
        <w:rPr>
          <w:color w:val="231F20"/>
          <w:spacing w:val="-24"/>
          <w:w w:val="105"/>
          <w:sz w:val="21"/>
        </w:rPr>
        <w:t> </w:t>
      </w:r>
      <w:r>
        <w:rPr>
          <w:i/>
          <w:color w:val="231F20"/>
          <w:w w:val="105"/>
          <w:sz w:val="21"/>
        </w:rPr>
        <w:t>Essays</w:t>
      </w:r>
      <w:r>
        <w:rPr>
          <w:i/>
          <w:color w:val="231F20"/>
          <w:spacing w:val="-21"/>
          <w:w w:val="105"/>
          <w:sz w:val="21"/>
        </w:rPr>
        <w:t> </w:t>
      </w:r>
      <w:r>
        <w:rPr>
          <w:i/>
          <w:color w:val="231F20"/>
          <w:w w:val="105"/>
          <w:sz w:val="21"/>
        </w:rPr>
        <w:t>in</w:t>
      </w:r>
      <w:r>
        <w:rPr>
          <w:i/>
          <w:color w:val="231F20"/>
          <w:spacing w:val="-21"/>
          <w:w w:val="105"/>
          <w:sz w:val="21"/>
        </w:rPr>
        <w:t> </w:t>
      </w:r>
      <w:r>
        <w:rPr>
          <w:i/>
          <w:color w:val="231F20"/>
          <w:w w:val="105"/>
          <w:sz w:val="21"/>
        </w:rPr>
        <w:t>the</w:t>
      </w:r>
      <w:r>
        <w:rPr>
          <w:i/>
          <w:color w:val="231F20"/>
          <w:spacing w:val="-24"/>
          <w:w w:val="105"/>
          <w:sz w:val="21"/>
        </w:rPr>
        <w:t> </w:t>
      </w:r>
      <w:r>
        <w:rPr>
          <w:i/>
          <w:color w:val="231F20"/>
          <w:w w:val="105"/>
          <w:sz w:val="21"/>
        </w:rPr>
        <w:t>Theory</w:t>
      </w:r>
      <w:r>
        <w:rPr>
          <w:i/>
          <w:color w:val="231F20"/>
          <w:spacing w:val="-21"/>
          <w:w w:val="105"/>
          <w:sz w:val="21"/>
        </w:rPr>
        <w:t> </w:t>
      </w:r>
      <w:r>
        <w:rPr>
          <w:i/>
          <w:color w:val="231F20"/>
          <w:w w:val="105"/>
          <w:sz w:val="21"/>
        </w:rPr>
        <w:t>of</w:t>
      </w:r>
      <w:r>
        <w:rPr>
          <w:i/>
          <w:color w:val="231F20"/>
          <w:spacing w:val="-18"/>
          <w:w w:val="105"/>
          <w:sz w:val="21"/>
        </w:rPr>
        <w:t> </w:t>
      </w:r>
      <w:r>
        <w:rPr>
          <w:i/>
          <w:color w:val="231F20"/>
          <w:w w:val="105"/>
          <w:sz w:val="21"/>
        </w:rPr>
        <w:t>Economic</w:t>
      </w:r>
      <w:r>
        <w:rPr>
          <w:i/>
          <w:color w:val="231F20"/>
          <w:spacing w:val="-21"/>
          <w:w w:val="105"/>
          <w:sz w:val="21"/>
        </w:rPr>
        <w:t> </w:t>
      </w:r>
      <w:r>
        <w:rPr>
          <w:i/>
          <w:color w:val="231F20"/>
          <w:w w:val="105"/>
          <w:sz w:val="21"/>
        </w:rPr>
        <w:t>Growth.</w:t>
      </w:r>
      <w:r>
        <w:rPr>
          <w:i/>
          <w:color w:val="231F20"/>
          <w:spacing w:val="-21"/>
          <w:w w:val="105"/>
          <w:sz w:val="21"/>
        </w:rPr>
        <w:t> </w:t>
      </w:r>
      <w:r>
        <w:rPr>
          <w:color w:val="231F20"/>
          <w:w w:val="105"/>
          <w:sz w:val="21"/>
        </w:rPr>
        <w:t>Londres: Macmillan.</w:t>
      </w:r>
    </w:p>
    <w:p>
      <w:pPr>
        <w:spacing w:line="259" w:lineRule="auto" w:before="0"/>
        <w:ind w:left="854" w:right="101" w:hanging="737"/>
        <w:jc w:val="both"/>
        <w:rPr>
          <w:i/>
          <w:sz w:val="21"/>
        </w:rPr>
      </w:pPr>
      <w:r>
        <w:rPr>
          <w:color w:val="231F20"/>
          <w:w w:val="105"/>
          <w:sz w:val="21"/>
        </w:rPr>
        <w:t>Robinson,</w:t>
      </w:r>
      <w:r>
        <w:rPr>
          <w:color w:val="231F20"/>
          <w:spacing w:val="-16"/>
          <w:w w:val="105"/>
          <w:sz w:val="21"/>
        </w:rPr>
        <w:t> </w:t>
      </w:r>
      <w:r>
        <w:rPr>
          <w:color w:val="231F20"/>
          <w:w w:val="105"/>
          <w:sz w:val="21"/>
        </w:rPr>
        <w:t>J.</w:t>
      </w:r>
      <w:r>
        <w:rPr>
          <w:color w:val="231F20"/>
          <w:spacing w:val="-15"/>
          <w:w w:val="105"/>
          <w:sz w:val="21"/>
        </w:rPr>
        <w:t> </w:t>
      </w:r>
      <w:r>
        <w:rPr>
          <w:color w:val="231F20"/>
          <w:w w:val="105"/>
          <w:sz w:val="21"/>
        </w:rPr>
        <w:t>(1968).</w:t>
      </w:r>
      <w:r>
        <w:rPr>
          <w:color w:val="231F20"/>
          <w:spacing w:val="-15"/>
          <w:w w:val="105"/>
          <w:sz w:val="21"/>
        </w:rPr>
        <w:t> </w:t>
      </w:r>
      <w:r>
        <w:rPr>
          <w:i/>
          <w:color w:val="231F20"/>
          <w:w w:val="105"/>
          <w:sz w:val="21"/>
        </w:rPr>
        <w:t>Introducción</w:t>
      </w:r>
      <w:r>
        <w:rPr>
          <w:i/>
          <w:color w:val="231F20"/>
          <w:spacing w:val="-11"/>
          <w:w w:val="105"/>
          <w:sz w:val="21"/>
        </w:rPr>
        <w:t> </w:t>
      </w:r>
      <w:r>
        <w:rPr>
          <w:i/>
          <w:color w:val="231F20"/>
          <w:w w:val="105"/>
          <w:sz w:val="21"/>
        </w:rPr>
        <w:t>a</w:t>
      </w:r>
      <w:r>
        <w:rPr>
          <w:i/>
          <w:color w:val="231F20"/>
          <w:spacing w:val="-11"/>
          <w:w w:val="105"/>
          <w:sz w:val="21"/>
        </w:rPr>
        <w:t> </w:t>
      </w:r>
      <w:r>
        <w:rPr>
          <w:i/>
          <w:color w:val="231F20"/>
          <w:w w:val="105"/>
          <w:sz w:val="21"/>
        </w:rPr>
        <w:t>la</w:t>
      </w:r>
      <w:r>
        <w:rPr>
          <w:i/>
          <w:color w:val="231F20"/>
          <w:spacing w:val="-11"/>
          <w:w w:val="105"/>
          <w:sz w:val="21"/>
        </w:rPr>
        <w:t> </w:t>
      </w:r>
      <w:r>
        <w:rPr>
          <w:i/>
          <w:color w:val="231F20"/>
          <w:w w:val="105"/>
          <w:sz w:val="21"/>
        </w:rPr>
        <w:t>economía</w:t>
      </w:r>
      <w:r>
        <w:rPr>
          <w:i/>
          <w:color w:val="231F20"/>
          <w:spacing w:val="-11"/>
          <w:w w:val="105"/>
          <w:sz w:val="21"/>
        </w:rPr>
        <w:t> </w:t>
      </w:r>
      <w:r>
        <w:rPr>
          <w:i/>
          <w:color w:val="231F20"/>
          <w:w w:val="105"/>
          <w:sz w:val="21"/>
        </w:rPr>
        <w:t>marxista.</w:t>
      </w:r>
      <w:r>
        <w:rPr>
          <w:i/>
          <w:color w:val="231F20"/>
          <w:spacing w:val="-15"/>
          <w:w w:val="105"/>
          <w:sz w:val="21"/>
        </w:rPr>
        <w:t> </w:t>
      </w:r>
      <w:r>
        <w:rPr>
          <w:i/>
          <w:color w:val="231F20"/>
          <w:w w:val="105"/>
          <w:sz w:val="21"/>
        </w:rPr>
        <w:t>México:</w:t>
      </w:r>
      <w:r>
        <w:rPr>
          <w:i/>
          <w:color w:val="231F20"/>
          <w:spacing w:val="-11"/>
          <w:w w:val="105"/>
          <w:sz w:val="21"/>
        </w:rPr>
        <w:t> </w:t>
      </w:r>
      <w:r>
        <w:rPr>
          <w:i/>
          <w:color w:val="231F20"/>
          <w:w w:val="105"/>
          <w:sz w:val="21"/>
        </w:rPr>
        <w:t>Siglo </w:t>
      </w:r>
      <w:r>
        <w:rPr>
          <w:i/>
          <w:color w:val="231F20"/>
          <w:w w:val="105"/>
          <w:sz w:val="21"/>
        </w:rPr>
        <w:t>XXI.</w:t>
      </w:r>
    </w:p>
    <w:p>
      <w:pPr>
        <w:spacing w:line="259" w:lineRule="auto" w:before="0"/>
        <w:ind w:left="854" w:right="102" w:hanging="738"/>
        <w:jc w:val="both"/>
        <w:rPr>
          <w:i/>
          <w:sz w:val="21"/>
        </w:rPr>
      </w:pPr>
      <w:r>
        <w:rPr>
          <w:i/>
          <w:color w:val="231F20"/>
          <w:sz w:val="21"/>
        </w:rPr>
        <w:t>Robinson, J. (1981). Aspectos del desarrollo y del subdesarrollo. México: </w:t>
      </w:r>
      <w:r>
        <w:rPr>
          <w:i/>
          <w:color w:val="231F20"/>
          <w:sz w:val="21"/>
        </w:rPr>
        <w:t>FCE.</w:t>
      </w:r>
    </w:p>
    <w:p>
      <w:pPr>
        <w:pStyle w:val="BodyText"/>
        <w:spacing w:line="259" w:lineRule="auto"/>
        <w:ind w:left="854" w:right="103" w:hanging="738"/>
        <w:jc w:val="both"/>
      </w:pPr>
      <w:r>
        <w:rPr>
          <w:color w:val="231F20"/>
          <w:w w:val="105"/>
        </w:rPr>
        <w:t>Samuelson,</w:t>
      </w:r>
      <w:r>
        <w:rPr>
          <w:color w:val="231F20"/>
          <w:spacing w:val="-15"/>
          <w:w w:val="105"/>
        </w:rPr>
        <w:t> </w:t>
      </w:r>
      <w:r>
        <w:rPr>
          <w:color w:val="231F20"/>
          <w:spacing w:val="-16"/>
          <w:w w:val="105"/>
        </w:rPr>
        <w:t>P.</w:t>
      </w:r>
      <w:r>
        <w:rPr>
          <w:color w:val="231F20"/>
          <w:spacing w:val="-18"/>
          <w:w w:val="105"/>
        </w:rPr>
        <w:t> </w:t>
      </w:r>
      <w:r>
        <w:rPr>
          <w:color w:val="231F20"/>
          <w:w w:val="105"/>
        </w:rPr>
        <w:t>A.</w:t>
      </w:r>
      <w:r>
        <w:rPr>
          <w:color w:val="231F20"/>
          <w:spacing w:val="-15"/>
          <w:w w:val="105"/>
        </w:rPr>
        <w:t> </w:t>
      </w:r>
      <w:r>
        <w:rPr>
          <w:color w:val="231F20"/>
          <w:w w:val="105"/>
        </w:rPr>
        <w:t>y</w:t>
      </w:r>
      <w:r>
        <w:rPr>
          <w:color w:val="231F20"/>
          <w:spacing w:val="-9"/>
          <w:w w:val="105"/>
        </w:rPr>
        <w:t> </w:t>
      </w:r>
      <w:r>
        <w:rPr>
          <w:color w:val="231F20"/>
          <w:w w:val="105"/>
        </w:rPr>
        <w:t>Solow,</w:t>
      </w:r>
      <w:r>
        <w:rPr>
          <w:color w:val="231F20"/>
          <w:spacing w:val="-15"/>
          <w:w w:val="105"/>
        </w:rPr>
        <w:t> </w:t>
      </w:r>
      <w:r>
        <w:rPr>
          <w:color w:val="231F20"/>
          <w:w w:val="105"/>
        </w:rPr>
        <w:t>R.</w:t>
      </w:r>
      <w:r>
        <w:rPr>
          <w:color w:val="231F20"/>
          <w:spacing w:val="-15"/>
          <w:w w:val="105"/>
        </w:rPr>
        <w:t> </w:t>
      </w:r>
      <w:r>
        <w:rPr>
          <w:color w:val="231F20"/>
          <w:w w:val="105"/>
        </w:rPr>
        <w:t>M.</w:t>
      </w:r>
      <w:r>
        <w:rPr>
          <w:color w:val="231F20"/>
          <w:spacing w:val="-15"/>
          <w:w w:val="105"/>
        </w:rPr>
        <w:t> </w:t>
      </w:r>
      <w:r>
        <w:rPr>
          <w:color w:val="231F20"/>
          <w:w w:val="105"/>
        </w:rPr>
        <w:t>(1960).</w:t>
      </w:r>
      <w:r>
        <w:rPr>
          <w:color w:val="231F20"/>
          <w:spacing w:val="-15"/>
          <w:w w:val="105"/>
        </w:rPr>
        <w:t> </w:t>
      </w:r>
      <w:r>
        <w:rPr>
          <w:color w:val="231F20"/>
          <w:spacing w:val="-3"/>
          <w:w w:val="105"/>
        </w:rPr>
        <w:t>Problem</w:t>
      </w:r>
      <w:r>
        <w:rPr>
          <w:color w:val="231F20"/>
          <w:spacing w:val="-10"/>
          <w:w w:val="105"/>
        </w:rPr>
        <w:t> </w:t>
      </w:r>
      <w:r>
        <w:rPr>
          <w:color w:val="231F20"/>
          <w:w w:val="105"/>
        </w:rPr>
        <w:t>of</w:t>
      </w:r>
      <w:r>
        <w:rPr>
          <w:color w:val="231F20"/>
          <w:spacing w:val="-6"/>
          <w:w w:val="105"/>
        </w:rPr>
        <w:t> </w:t>
      </w:r>
      <w:r>
        <w:rPr>
          <w:color w:val="231F20"/>
          <w:w w:val="105"/>
        </w:rPr>
        <w:t>achieving</w:t>
      </w:r>
      <w:r>
        <w:rPr>
          <w:color w:val="231F20"/>
          <w:spacing w:val="-9"/>
          <w:w w:val="105"/>
        </w:rPr>
        <w:t> </w:t>
      </w:r>
      <w:r>
        <w:rPr>
          <w:color w:val="231F20"/>
          <w:w w:val="105"/>
        </w:rPr>
        <w:t>and</w:t>
      </w:r>
      <w:r>
        <w:rPr>
          <w:color w:val="231F20"/>
          <w:spacing w:val="-9"/>
          <w:w w:val="105"/>
        </w:rPr>
        <w:t> </w:t>
      </w:r>
      <w:r>
        <w:rPr>
          <w:color w:val="231F20"/>
          <w:w w:val="105"/>
        </w:rPr>
        <w:t>main- taining</w:t>
      </w:r>
      <w:r>
        <w:rPr>
          <w:color w:val="231F20"/>
          <w:spacing w:val="-19"/>
          <w:w w:val="105"/>
        </w:rPr>
        <w:t> </w:t>
      </w:r>
      <w:r>
        <w:rPr>
          <w:color w:val="231F20"/>
          <w:w w:val="105"/>
        </w:rPr>
        <w:t>a</w:t>
      </w:r>
      <w:r>
        <w:rPr>
          <w:color w:val="231F20"/>
          <w:spacing w:val="-19"/>
          <w:w w:val="105"/>
        </w:rPr>
        <w:t> </w:t>
      </w:r>
      <w:r>
        <w:rPr>
          <w:color w:val="231F20"/>
          <w:w w:val="105"/>
        </w:rPr>
        <w:t>stable</w:t>
      </w:r>
      <w:r>
        <w:rPr>
          <w:color w:val="231F20"/>
          <w:spacing w:val="-19"/>
          <w:w w:val="105"/>
        </w:rPr>
        <w:t> </w:t>
      </w:r>
      <w:r>
        <w:rPr>
          <w:color w:val="231F20"/>
          <w:w w:val="105"/>
        </w:rPr>
        <w:t>price</w:t>
      </w:r>
      <w:r>
        <w:rPr>
          <w:color w:val="231F20"/>
          <w:spacing w:val="-19"/>
          <w:w w:val="105"/>
        </w:rPr>
        <w:t> </w:t>
      </w:r>
      <w:r>
        <w:rPr>
          <w:color w:val="231F20"/>
          <w:w w:val="105"/>
        </w:rPr>
        <w:t>level:</w:t>
      </w:r>
      <w:r>
        <w:rPr>
          <w:color w:val="231F20"/>
          <w:spacing w:val="-19"/>
          <w:w w:val="105"/>
        </w:rPr>
        <w:t> </w:t>
      </w:r>
      <w:r>
        <w:rPr>
          <w:color w:val="231F20"/>
          <w:w w:val="105"/>
        </w:rPr>
        <w:t>analytical</w:t>
      </w:r>
      <w:r>
        <w:rPr>
          <w:color w:val="231F20"/>
          <w:spacing w:val="-19"/>
          <w:w w:val="105"/>
        </w:rPr>
        <w:t> </w:t>
      </w:r>
      <w:r>
        <w:rPr>
          <w:color w:val="231F20"/>
          <w:w w:val="105"/>
        </w:rPr>
        <w:t>aspects</w:t>
      </w:r>
      <w:r>
        <w:rPr>
          <w:color w:val="231F20"/>
          <w:spacing w:val="-19"/>
          <w:w w:val="105"/>
        </w:rPr>
        <w:t> </w:t>
      </w:r>
      <w:r>
        <w:rPr>
          <w:color w:val="231F20"/>
          <w:w w:val="105"/>
        </w:rPr>
        <w:t>of</w:t>
      </w:r>
      <w:r>
        <w:rPr>
          <w:color w:val="231F20"/>
          <w:spacing w:val="-14"/>
          <w:w w:val="105"/>
        </w:rPr>
        <w:t> </w:t>
      </w:r>
      <w:r>
        <w:rPr>
          <w:color w:val="231F20"/>
          <w:w w:val="105"/>
        </w:rPr>
        <w:t>anti-Inflation</w:t>
      </w:r>
      <w:r>
        <w:rPr>
          <w:color w:val="231F20"/>
          <w:spacing w:val="-19"/>
          <w:w w:val="105"/>
        </w:rPr>
        <w:t> </w:t>
      </w:r>
      <w:r>
        <w:rPr>
          <w:color w:val="231F20"/>
          <w:w w:val="105"/>
        </w:rPr>
        <w:t>pol- </w:t>
      </w:r>
      <w:r>
        <w:rPr>
          <w:color w:val="231F20"/>
        </w:rPr>
        <w:t>icy.</w:t>
      </w:r>
      <w:r>
        <w:rPr>
          <w:color w:val="231F20"/>
          <w:spacing w:val="-9"/>
        </w:rPr>
        <w:t> </w:t>
      </w:r>
      <w:r>
        <w:rPr>
          <w:i/>
          <w:color w:val="231F20"/>
        </w:rPr>
        <w:t>The</w:t>
      </w:r>
      <w:r>
        <w:rPr>
          <w:i/>
          <w:color w:val="231F20"/>
          <w:spacing w:val="-8"/>
        </w:rPr>
        <w:t> </w:t>
      </w:r>
      <w:r>
        <w:rPr>
          <w:i/>
          <w:color w:val="231F20"/>
        </w:rPr>
        <w:t>American</w:t>
      </w:r>
      <w:r>
        <w:rPr>
          <w:i/>
          <w:color w:val="231F20"/>
          <w:spacing w:val="-4"/>
        </w:rPr>
        <w:t> </w:t>
      </w:r>
      <w:r>
        <w:rPr>
          <w:i/>
          <w:color w:val="231F20"/>
        </w:rPr>
        <w:t>Economic</w:t>
      </w:r>
      <w:r>
        <w:rPr>
          <w:i/>
          <w:color w:val="231F20"/>
          <w:spacing w:val="-4"/>
        </w:rPr>
        <w:t> </w:t>
      </w:r>
      <w:r>
        <w:rPr>
          <w:i/>
          <w:color w:val="231F20"/>
        </w:rPr>
        <w:t>Review</w:t>
      </w:r>
      <w:r>
        <w:rPr>
          <w:color w:val="231F20"/>
        </w:rPr>
        <w:t>,</w:t>
      </w:r>
      <w:r>
        <w:rPr>
          <w:color w:val="231F20"/>
          <w:spacing w:val="-11"/>
        </w:rPr>
        <w:t> </w:t>
      </w:r>
      <w:r>
        <w:rPr>
          <w:color w:val="231F20"/>
        </w:rPr>
        <w:t>50(2),</w:t>
      </w:r>
      <w:r>
        <w:rPr>
          <w:color w:val="231F20"/>
          <w:spacing w:val="-11"/>
        </w:rPr>
        <w:t> </w:t>
      </w:r>
      <w:r>
        <w:rPr>
          <w:color w:val="231F20"/>
        </w:rPr>
        <w:t>177-94.</w:t>
      </w:r>
    </w:p>
    <w:p>
      <w:pPr>
        <w:spacing w:line="259" w:lineRule="auto" w:before="0"/>
        <w:ind w:left="854" w:right="102" w:hanging="737"/>
        <w:jc w:val="both"/>
        <w:rPr>
          <w:sz w:val="21"/>
        </w:rPr>
      </w:pPr>
      <w:r>
        <w:rPr>
          <w:i/>
          <w:color w:val="231F20"/>
          <w:sz w:val="21"/>
        </w:rPr>
        <w:t>Solow, </w:t>
      </w:r>
      <w:r>
        <w:rPr>
          <w:color w:val="231F20"/>
          <w:sz w:val="21"/>
        </w:rPr>
        <w:t>R. M. (</w:t>
      </w:r>
      <w:r>
        <w:rPr>
          <w:i/>
          <w:color w:val="231F20"/>
          <w:sz w:val="21"/>
        </w:rPr>
        <w:t>1979). Another possible </w:t>
      </w:r>
      <w:r>
        <w:rPr>
          <w:color w:val="231F20"/>
          <w:sz w:val="21"/>
        </w:rPr>
        <w:t>source of wage stickiness. </w:t>
      </w:r>
      <w:r>
        <w:rPr>
          <w:i/>
          <w:color w:val="231F20"/>
          <w:sz w:val="21"/>
        </w:rPr>
        <w:t>Journal </w:t>
      </w:r>
      <w:r>
        <w:rPr>
          <w:i/>
          <w:color w:val="231F20"/>
          <w:sz w:val="21"/>
        </w:rPr>
        <w:t>of Macroeconomics</w:t>
      </w:r>
      <w:r>
        <w:rPr>
          <w:color w:val="231F20"/>
          <w:sz w:val="21"/>
        </w:rPr>
        <w:t>, 1(1), 79-82.</w:t>
      </w:r>
    </w:p>
    <w:p>
      <w:pPr>
        <w:spacing w:line="259" w:lineRule="auto" w:before="0"/>
        <w:ind w:left="854" w:right="102" w:hanging="738"/>
        <w:jc w:val="both"/>
        <w:rPr>
          <w:sz w:val="21"/>
        </w:rPr>
      </w:pPr>
      <w:r>
        <w:rPr>
          <w:color w:val="231F20"/>
          <w:w w:val="105"/>
          <w:sz w:val="21"/>
        </w:rPr>
        <w:t>Tinbergen,</w:t>
      </w:r>
      <w:r>
        <w:rPr>
          <w:color w:val="231F20"/>
          <w:spacing w:val="-35"/>
          <w:w w:val="105"/>
          <w:sz w:val="21"/>
        </w:rPr>
        <w:t> </w:t>
      </w:r>
      <w:r>
        <w:rPr>
          <w:color w:val="231F20"/>
          <w:w w:val="105"/>
          <w:sz w:val="21"/>
        </w:rPr>
        <w:t>J.</w:t>
      </w:r>
      <w:r>
        <w:rPr>
          <w:color w:val="231F20"/>
          <w:spacing w:val="-34"/>
          <w:w w:val="105"/>
          <w:sz w:val="21"/>
        </w:rPr>
        <w:t> </w:t>
      </w:r>
      <w:r>
        <w:rPr>
          <w:color w:val="231F20"/>
          <w:w w:val="105"/>
          <w:sz w:val="21"/>
        </w:rPr>
        <w:t>(1952).</w:t>
      </w:r>
      <w:r>
        <w:rPr>
          <w:color w:val="231F20"/>
          <w:spacing w:val="-34"/>
          <w:w w:val="105"/>
          <w:sz w:val="21"/>
        </w:rPr>
        <w:t> </w:t>
      </w:r>
      <w:r>
        <w:rPr>
          <w:i/>
          <w:color w:val="231F20"/>
          <w:w w:val="105"/>
          <w:sz w:val="21"/>
        </w:rPr>
        <w:t>On</w:t>
      </w:r>
      <w:r>
        <w:rPr>
          <w:i/>
          <w:color w:val="231F20"/>
          <w:spacing w:val="-29"/>
          <w:w w:val="105"/>
          <w:sz w:val="21"/>
        </w:rPr>
        <w:t> </w:t>
      </w:r>
      <w:r>
        <w:rPr>
          <w:i/>
          <w:color w:val="231F20"/>
          <w:w w:val="105"/>
          <w:sz w:val="21"/>
        </w:rPr>
        <w:t>the</w:t>
      </w:r>
      <w:r>
        <w:rPr>
          <w:i/>
          <w:color w:val="231F20"/>
          <w:spacing w:val="-32"/>
          <w:w w:val="105"/>
          <w:sz w:val="21"/>
        </w:rPr>
        <w:t> </w:t>
      </w:r>
      <w:r>
        <w:rPr>
          <w:i/>
          <w:color w:val="231F20"/>
          <w:w w:val="105"/>
          <w:sz w:val="21"/>
        </w:rPr>
        <w:t>Theory</w:t>
      </w:r>
      <w:r>
        <w:rPr>
          <w:i/>
          <w:color w:val="231F20"/>
          <w:spacing w:val="-29"/>
          <w:w w:val="105"/>
          <w:sz w:val="21"/>
        </w:rPr>
        <w:t> </w:t>
      </w:r>
      <w:r>
        <w:rPr>
          <w:i/>
          <w:color w:val="231F20"/>
          <w:w w:val="105"/>
          <w:sz w:val="21"/>
        </w:rPr>
        <w:t>of</w:t>
      </w:r>
      <w:r>
        <w:rPr>
          <w:i/>
          <w:color w:val="231F20"/>
          <w:spacing w:val="-26"/>
          <w:w w:val="105"/>
          <w:sz w:val="21"/>
        </w:rPr>
        <w:t> </w:t>
      </w:r>
      <w:r>
        <w:rPr>
          <w:i/>
          <w:color w:val="231F20"/>
          <w:w w:val="105"/>
          <w:sz w:val="21"/>
        </w:rPr>
        <w:t>Economic</w:t>
      </w:r>
      <w:r>
        <w:rPr>
          <w:i/>
          <w:color w:val="231F20"/>
          <w:spacing w:val="-29"/>
          <w:w w:val="105"/>
          <w:sz w:val="21"/>
        </w:rPr>
        <w:t> </w:t>
      </w:r>
      <w:r>
        <w:rPr>
          <w:i/>
          <w:color w:val="231F20"/>
          <w:spacing w:val="-3"/>
          <w:w w:val="105"/>
          <w:sz w:val="21"/>
        </w:rPr>
        <w:t>Policy</w:t>
      </w:r>
      <w:r>
        <w:rPr>
          <w:color w:val="231F20"/>
          <w:spacing w:val="-3"/>
          <w:w w:val="105"/>
          <w:sz w:val="21"/>
        </w:rPr>
        <w:t>.</w:t>
      </w:r>
      <w:r>
        <w:rPr>
          <w:color w:val="231F20"/>
          <w:spacing w:val="-36"/>
          <w:w w:val="105"/>
          <w:sz w:val="21"/>
        </w:rPr>
        <w:t> </w:t>
      </w:r>
      <w:r>
        <w:rPr>
          <w:color w:val="231F20"/>
          <w:w w:val="105"/>
          <w:sz w:val="21"/>
        </w:rPr>
        <w:t>Amsterdam:</w:t>
      </w:r>
      <w:r>
        <w:rPr>
          <w:color w:val="231F20"/>
          <w:spacing w:val="-29"/>
          <w:w w:val="105"/>
          <w:sz w:val="21"/>
        </w:rPr>
        <w:t> </w:t>
      </w:r>
      <w:r>
        <w:rPr>
          <w:color w:val="231F20"/>
          <w:w w:val="105"/>
          <w:sz w:val="21"/>
        </w:rPr>
        <w:t>Nor- th-Holland.</w:t>
      </w:r>
    </w:p>
    <w:p>
      <w:pPr>
        <w:spacing w:after="0" w:line="259" w:lineRule="auto"/>
        <w:jc w:val="both"/>
        <w:rPr>
          <w:sz w:val="21"/>
        </w:rPr>
        <w:sectPr>
          <w:pgSz w:w="9640" w:h="13890"/>
          <w:pgMar w:top="0" w:bottom="280" w:left="1300" w:right="120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Heading2"/>
        <w:spacing w:before="121"/>
        <w:ind w:left="2242" w:right="114"/>
        <w:jc w:val="left"/>
      </w:pPr>
      <w:bookmarkStart w:name="_TOC_250000" w:id="4"/>
      <w:bookmarkEnd w:id="4"/>
      <w:r>
        <w:rPr>
          <w:color w:val="231F20"/>
          <w:w w:val="90"/>
        </w:rPr>
        <w:t>RESEÑAS  CURRICULARES</w:t>
      </w:r>
    </w:p>
    <w:p>
      <w:pPr>
        <w:pStyle w:val="BodyText"/>
        <w:rPr>
          <w:b/>
          <w:sz w:val="22"/>
        </w:rPr>
      </w:pPr>
    </w:p>
    <w:p>
      <w:pPr>
        <w:pStyle w:val="BodyText"/>
        <w:spacing w:line="259" w:lineRule="auto" w:before="160"/>
        <w:ind w:left="117" w:right="115"/>
        <w:jc w:val="both"/>
      </w:pPr>
      <w:r>
        <w:rPr>
          <w:color w:val="231F20"/>
          <w:w w:val="105"/>
        </w:rPr>
        <w:t>Daniel</w:t>
      </w:r>
      <w:r>
        <w:rPr>
          <w:color w:val="231F20"/>
          <w:spacing w:val="-32"/>
          <w:w w:val="105"/>
        </w:rPr>
        <w:t> </w:t>
      </w:r>
      <w:r>
        <w:rPr>
          <w:color w:val="231F20"/>
          <w:w w:val="105"/>
        </w:rPr>
        <w:t>Arturo</w:t>
      </w:r>
      <w:r>
        <w:rPr>
          <w:color w:val="231F20"/>
          <w:spacing w:val="-29"/>
          <w:w w:val="105"/>
        </w:rPr>
        <w:t> </w:t>
      </w:r>
      <w:r>
        <w:rPr>
          <w:color w:val="231F20"/>
          <w:w w:val="105"/>
        </w:rPr>
        <w:t>Cernas</w:t>
      </w:r>
      <w:r>
        <w:rPr>
          <w:color w:val="231F20"/>
          <w:spacing w:val="-29"/>
          <w:w w:val="105"/>
        </w:rPr>
        <w:t> </w:t>
      </w:r>
      <w:r>
        <w:rPr>
          <w:color w:val="231F20"/>
          <w:w w:val="105"/>
        </w:rPr>
        <w:t>Ortiz.</w:t>
      </w:r>
      <w:r>
        <w:rPr>
          <w:color w:val="231F20"/>
          <w:spacing w:val="-35"/>
          <w:w w:val="105"/>
        </w:rPr>
        <w:t> </w:t>
      </w:r>
      <w:r>
        <w:rPr>
          <w:color w:val="231F20"/>
          <w:w w:val="105"/>
        </w:rPr>
        <w:t>Doctor</w:t>
      </w:r>
      <w:r>
        <w:rPr>
          <w:color w:val="231F20"/>
          <w:spacing w:val="-29"/>
          <w:w w:val="105"/>
        </w:rPr>
        <w:t> </w:t>
      </w:r>
      <w:r>
        <w:rPr>
          <w:color w:val="231F20"/>
          <w:w w:val="105"/>
        </w:rPr>
        <w:t>en</w:t>
      </w:r>
      <w:r>
        <w:rPr>
          <w:color w:val="231F20"/>
          <w:spacing w:val="-32"/>
          <w:w w:val="105"/>
        </w:rPr>
        <w:t> </w:t>
      </w:r>
      <w:r>
        <w:rPr>
          <w:color w:val="231F20"/>
          <w:w w:val="105"/>
        </w:rPr>
        <w:t>Administración</w:t>
      </w:r>
      <w:r>
        <w:rPr>
          <w:color w:val="231F20"/>
          <w:spacing w:val="-29"/>
          <w:w w:val="105"/>
        </w:rPr>
        <w:t> </w:t>
      </w:r>
      <w:r>
        <w:rPr>
          <w:color w:val="231F20"/>
          <w:w w:val="105"/>
        </w:rPr>
        <w:t>(PhD</w:t>
      </w:r>
      <w:r>
        <w:rPr>
          <w:color w:val="231F20"/>
          <w:spacing w:val="-29"/>
          <w:w w:val="105"/>
        </w:rPr>
        <w:t> </w:t>
      </w:r>
      <w:r>
        <w:rPr>
          <w:color w:val="231F20"/>
          <w:w w:val="105"/>
        </w:rPr>
        <w:t>Management) por</w:t>
      </w:r>
      <w:r>
        <w:rPr>
          <w:color w:val="231F20"/>
          <w:spacing w:val="-23"/>
          <w:w w:val="105"/>
        </w:rPr>
        <w:t> </w:t>
      </w:r>
      <w:r>
        <w:rPr>
          <w:color w:val="231F20"/>
          <w:w w:val="105"/>
        </w:rPr>
        <w:t>la</w:t>
      </w:r>
      <w:r>
        <w:rPr>
          <w:color w:val="231F20"/>
          <w:spacing w:val="-23"/>
          <w:w w:val="105"/>
        </w:rPr>
        <w:t> </w:t>
      </w:r>
      <w:r>
        <w:rPr>
          <w:color w:val="231F20"/>
          <w:w w:val="105"/>
        </w:rPr>
        <w:t>Universidad</w:t>
      </w:r>
      <w:r>
        <w:rPr>
          <w:color w:val="231F20"/>
          <w:spacing w:val="-23"/>
          <w:w w:val="105"/>
        </w:rPr>
        <w:t> </w:t>
      </w:r>
      <w:r>
        <w:rPr>
          <w:color w:val="231F20"/>
          <w:w w:val="105"/>
        </w:rPr>
        <w:t>del</w:t>
      </w:r>
      <w:r>
        <w:rPr>
          <w:color w:val="231F20"/>
          <w:spacing w:val="-23"/>
          <w:w w:val="105"/>
        </w:rPr>
        <w:t> </w:t>
      </w:r>
      <w:r>
        <w:rPr>
          <w:color w:val="231F20"/>
          <w:w w:val="105"/>
        </w:rPr>
        <w:t>Norte</w:t>
      </w:r>
      <w:r>
        <w:rPr>
          <w:color w:val="231F20"/>
          <w:spacing w:val="-23"/>
          <w:w w:val="105"/>
        </w:rPr>
        <w:t> </w:t>
      </w:r>
      <w:r>
        <w:rPr>
          <w:color w:val="231F20"/>
          <w:w w:val="105"/>
        </w:rPr>
        <w:t>de</w:t>
      </w:r>
      <w:r>
        <w:rPr>
          <w:color w:val="231F20"/>
          <w:spacing w:val="-27"/>
          <w:w w:val="105"/>
        </w:rPr>
        <w:t> </w:t>
      </w:r>
      <w:r>
        <w:rPr>
          <w:color w:val="231F20"/>
          <w:spacing w:val="-4"/>
          <w:w w:val="105"/>
        </w:rPr>
        <w:t>Texas.</w:t>
      </w:r>
      <w:r>
        <w:rPr>
          <w:color w:val="231F20"/>
          <w:spacing w:val="-31"/>
          <w:w w:val="105"/>
        </w:rPr>
        <w:t> </w:t>
      </w:r>
      <w:r>
        <w:rPr>
          <w:color w:val="231F20"/>
          <w:w w:val="105"/>
        </w:rPr>
        <w:t>Adscrito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Facultad</w:t>
      </w:r>
      <w:r>
        <w:rPr>
          <w:color w:val="231F20"/>
          <w:spacing w:val="-23"/>
          <w:w w:val="105"/>
        </w:rPr>
        <w:t> </w:t>
      </w:r>
      <w:r>
        <w:rPr>
          <w:color w:val="231F20"/>
          <w:w w:val="105"/>
        </w:rPr>
        <w:t>de</w:t>
      </w:r>
      <w:r>
        <w:rPr>
          <w:color w:val="231F20"/>
          <w:spacing w:val="-23"/>
          <w:w w:val="105"/>
        </w:rPr>
        <w:t> </w:t>
      </w:r>
      <w:r>
        <w:rPr>
          <w:color w:val="231F20"/>
          <w:w w:val="105"/>
        </w:rPr>
        <w:t>Contadu- ría</w:t>
      </w:r>
      <w:r>
        <w:rPr>
          <w:color w:val="231F20"/>
          <w:spacing w:val="-8"/>
          <w:w w:val="105"/>
        </w:rPr>
        <w:t> </w:t>
      </w:r>
      <w:r>
        <w:rPr>
          <w:color w:val="231F20"/>
          <w:w w:val="105"/>
        </w:rPr>
        <w:t>y</w:t>
      </w:r>
      <w:r>
        <w:rPr>
          <w:color w:val="231F20"/>
          <w:spacing w:val="-12"/>
          <w:w w:val="105"/>
        </w:rPr>
        <w:t> </w:t>
      </w:r>
      <w:r>
        <w:rPr>
          <w:color w:val="231F20"/>
          <w:w w:val="105"/>
        </w:rPr>
        <w:t>Administración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12"/>
          <w:w w:val="105"/>
        </w:rPr>
        <w:t> </w:t>
      </w:r>
      <w:r>
        <w:rPr>
          <w:color w:val="231F20"/>
          <w:w w:val="105"/>
        </w:rPr>
        <w:t>Autónoma</w:t>
      </w:r>
      <w:r>
        <w:rPr>
          <w:color w:val="231F20"/>
          <w:spacing w:val="-8"/>
          <w:w w:val="105"/>
        </w:rPr>
        <w:t> </w:t>
      </w:r>
      <w:r>
        <w:rPr>
          <w:color w:val="231F20"/>
          <w:w w:val="105"/>
        </w:rPr>
        <w:t>del</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w w:val="105"/>
        </w:rPr>
        <w:t>México. Licenciatura</w:t>
      </w:r>
      <w:r>
        <w:rPr>
          <w:color w:val="231F20"/>
          <w:spacing w:val="-11"/>
          <w:w w:val="105"/>
        </w:rPr>
        <w:t> </w:t>
      </w:r>
      <w:r>
        <w:rPr>
          <w:color w:val="231F20"/>
          <w:w w:val="105"/>
        </w:rPr>
        <w:t>y</w:t>
      </w:r>
      <w:r>
        <w:rPr>
          <w:color w:val="231F20"/>
          <w:spacing w:val="-11"/>
          <w:w w:val="105"/>
        </w:rPr>
        <w:t> </w:t>
      </w:r>
      <w:r>
        <w:rPr>
          <w:color w:val="231F20"/>
          <w:w w:val="105"/>
        </w:rPr>
        <w:t>Maestría</w:t>
      </w:r>
      <w:r>
        <w:rPr>
          <w:color w:val="231F20"/>
          <w:spacing w:val="-11"/>
          <w:w w:val="105"/>
        </w:rPr>
        <w:t> </w:t>
      </w:r>
      <w:r>
        <w:rPr>
          <w:color w:val="231F20"/>
          <w:w w:val="105"/>
        </w:rPr>
        <w:t>en</w:t>
      </w:r>
      <w:r>
        <w:rPr>
          <w:color w:val="231F20"/>
          <w:spacing w:val="-13"/>
          <w:w w:val="105"/>
        </w:rPr>
        <w:t> </w:t>
      </w:r>
      <w:r>
        <w:rPr>
          <w:color w:val="231F20"/>
          <w:w w:val="105"/>
        </w:rPr>
        <w:t>Administración</w:t>
      </w:r>
      <w:r>
        <w:rPr>
          <w:color w:val="231F20"/>
          <w:spacing w:val="-11"/>
          <w:w w:val="105"/>
        </w:rPr>
        <w:t> </w:t>
      </w:r>
      <w:r>
        <w:rPr>
          <w:color w:val="231F20"/>
          <w:w w:val="105"/>
        </w:rPr>
        <w:t>por</w:t>
      </w:r>
      <w:r>
        <w:rPr>
          <w:color w:val="231F20"/>
          <w:spacing w:val="-11"/>
          <w:w w:val="105"/>
        </w:rPr>
        <w:t> </w:t>
      </w:r>
      <w:r>
        <w:rPr>
          <w:color w:val="231F20"/>
          <w:w w:val="105"/>
        </w:rPr>
        <w:t>la</w:t>
      </w:r>
      <w:r>
        <w:rPr>
          <w:color w:val="231F20"/>
          <w:spacing w:val="-11"/>
          <w:w w:val="105"/>
        </w:rPr>
        <w:t> </w:t>
      </w:r>
      <w:r>
        <w:rPr>
          <w:color w:val="231F20"/>
          <w:w w:val="105"/>
        </w:rPr>
        <w:t>Universidad</w:t>
      </w:r>
      <w:r>
        <w:rPr>
          <w:color w:val="231F20"/>
          <w:spacing w:val="-13"/>
          <w:w w:val="105"/>
        </w:rPr>
        <w:t> </w:t>
      </w:r>
      <w:r>
        <w:rPr>
          <w:color w:val="231F20"/>
          <w:w w:val="105"/>
        </w:rPr>
        <w:t>Autónoma del</w:t>
      </w:r>
      <w:r>
        <w:rPr>
          <w:color w:val="231F20"/>
          <w:spacing w:val="-11"/>
          <w:w w:val="105"/>
        </w:rPr>
        <w:t> </w:t>
      </w:r>
      <w:r>
        <w:rPr>
          <w:color w:val="231F20"/>
          <w:w w:val="105"/>
        </w:rPr>
        <w:t>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21"/>
          <w:w w:val="105"/>
        </w:rPr>
        <w:t> </w:t>
      </w:r>
      <w:r>
        <w:rPr>
          <w:color w:val="231F20"/>
          <w:w w:val="105"/>
        </w:rPr>
        <w:t>A</w:t>
      </w:r>
      <w:r>
        <w:rPr>
          <w:color w:val="231F20"/>
          <w:spacing w:val="-15"/>
          <w:w w:val="105"/>
        </w:rPr>
        <w:t> </w:t>
      </w:r>
      <w:r>
        <w:rPr>
          <w:color w:val="231F20"/>
          <w:w w:val="105"/>
        </w:rPr>
        <w:t>partir</w:t>
      </w:r>
      <w:r>
        <w:rPr>
          <w:color w:val="231F20"/>
          <w:spacing w:val="-11"/>
          <w:w w:val="105"/>
        </w:rPr>
        <w:t> </w:t>
      </w:r>
      <w:r>
        <w:rPr>
          <w:color w:val="231F20"/>
          <w:w w:val="105"/>
        </w:rPr>
        <w:t>de</w:t>
      </w:r>
      <w:r>
        <w:rPr>
          <w:color w:val="231F20"/>
          <w:spacing w:val="-11"/>
          <w:w w:val="105"/>
        </w:rPr>
        <w:t> </w:t>
      </w:r>
      <w:r>
        <w:rPr>
          <w:color w:val="231F20"/>
          <w:w w:val="105"/>
        </w:rPr>
        <w:t>2012</w:t>
      </w:r>
      <w:r>
        <w:rPr>
          <w:color w:val="231F20"/>
          <w:spacing w:val="-11"/>
          <w:w w:val="105"/>
        </w:rPr>
        <w:t> </w:t>
      </w:r>
      <w:r>
        <w:rPr>
          <w:color w:val="231F20"/>
          <w:w w:val="105"/>
        </w:rPr>
        <w:t>es</w:t>
      </w:r>
      <w:r>
        <w:rPr>
          <w:color w:val="231F20"/>
          <w:spacing w:val="-11"/>
          <w:w w:val="105"/>
        </w:rPr>
        <w:t> </w:t>
      </w:r>
      <w:r>
        <w:rPr>
          <w:color w:val="231F20"/>
          <w:w w:val="105"/>
        </w:rPr>
        <w:t>Investigador</w:t>
      </w:r>
      <w:r>
        <w:rPr>
          <w:color w:val="231F20"/>
          <w:spacing w:val="-11"/>
          <w:w w:val="105"/>
        </w:rPr>
        <w:t> </w:t>
      </w:r>
      <w:r>
        <w:rPr>
          <w:color w:val="231F20"/>
          <w:w w:val="105"/>
        </w:rPr>
        <w:t>de</w:t>
      </w:r>
      <w:r>
        <w:rPr>
          <w:color w:val="231F20"/>
          <w:spacing w:val="-16"/>
          <w:w w:val="105"/>
        </w:rPr>
        <w:t> </w:t>
      </w:r>
      <w:r>
        <w:rPr>
          <w:color w:val="231F20"/>
          <w:w w:val="105"/>
        </w:rPr>
        <w:t>Tiempo</w:t>
      </w:r>
      <w:r>
        <w:rPr>
          <w:color w:val="231F20"/>
          <w:spacing w:val="-11"/>
          <w:w w:val="105"/>
        </w:rPr>
        <w:t> </w:t>
      </w:r>
      <w:r>
        <w:rPr>
          <w:color w:val="231F20"/>
          <w:w w:val="105"/>
        </w:rPr>
        <w:t>Com- pleto.</w:t>
      </w:r>
      <w:r>
        <w:rPr>
          <w:color w:val="231F20"/>
          <w:spacing w:val="-24"/>
          <w:w w:val="105"/>
        </w:rPr>
        <w:t> </w:t>
      </w:r>
      <w:r>
        <w:rPr>
          <w:color w:val="231F20"/>
          <w:w w:val="105"/>
        </w:rPr>
        <w:t>Miembro</w:t>
      </w:r>
      <w:r>
        <w:rPr>
          <w:color w:val="231F20"/>
          <w:spacing w:val="-19"/>
          <w:w w:val="105"/>
        </w:rPr>
        <w:t> </w:t>
      </w:r>
      <w:r>
        <w:rPr>
          <w:color w:val="231F20"/>
          <w:w w:val="105"/>
        </w:rPr>
        <w:t>del</w:t>
      </w:r>
      <w:r>
        <w:rPr>
          <w:color w:val="231F20"/>
          <w:spacing w:val="-19"/>
          <w:w w:val="105"/>
        </w:rPr>
        <w:t> </w:t>
      </w:r>
      <w:r>
        <w:rPr>
          <w:color w:val="231F20"/>
          <w:w w:val="105"/>
        </w:rPr>
        <w:t>Sistema</w:t>
      </w:r>
      <w:r>
        <w:rPr>
          <w:color w:val="231F20"/>
          <w:spacing w:val="-19"/>
          <w:w w:val="105"/>
        </w:rPr>
        <w:t> </w:t>
      </w:r>
      <w:r>
        <w:rPr>
          <w:color w:val="231F20"/>
          <w:w w:val="105"/>
        </w:rPr>
        <w:t>Nacional</w:t>
      </w:r>
      <w:r>
        <w:rPr>
          <w:color w:val="231F20"/>
          <w:spacing w:val="-19"/>
          <w:w w:val="105"/>
        </w:rPr>
        <w:t> </w:t>
      </w:r>
      <w:r>
        <w:rPr>
          <w:color w:val="231F20"/>
          <w:w w:val="105"/>
        </w:rPr>
        <w:t>de</w:t>
      </w:r>
      <w:r>
        <w:rPr>
          <w:color w:val="231F20"/>
          <w:spacing w:val="-19"/>
          <w:w w:val="105"/>
        </w:rPr>
        <w:t> </w:t>
      </w:r>
      <w:r>
        <w:rPr>
          <w:color w:val="231F20"/>
          <w:w w:val="105"/>
        </w:rPr>
        <w:t>Investigadores</w:t>
      </w:r>
      <w:r>
        <w:rPr>
          <w:color w:val="231F20"/>
          <w:spacing w:val="-19"/>
          <w:w w:val="105"/>
        </w:rPr>
        <w:t> </w:t>
      </w:r>
      <w:r>
        <w:rPr>
          <w:color w:val="231F20"/>
          <w:w w:val="105"/>
        </w:rPr>
        <w:t>(Conacyt)</w:t>
      </w:r>
      <w:r>
        <w:rPr>
          <w:color w:val="231F20"/>
          <w:spacing w:val="-19"/>
          <w:w w:val="105"/>
        </w:rPr>
        <w:t> </w:t>
      </w:r>
      <w:r>
        <w:rPr>
          <w:color w:val="231F20"/>
          <w:w w:val="105"/>
        </w:rPr>
        <w:t>desde 2013. Integrante del Cuerpo Académico Gestión del Capital</w:t>
      </w:r>
      <w:r>
        <w:rPr>
          <w:color w:val="231F20"/>
          <w:spacing w:val="-32"/>
          <w:w w:val="105"/>
        </w:rPr>
        <w:t> </w:t>
      </w:r>
      <w:r>
        <w:rPr>
          <w:color w:val="231F20"/>
          <w:w w:val="105"/>
        </w:rPr>
        <w:t>Intelectual. Línea</w:t>
      </w:r>
      <w:r>
        <w:rPr>
          <w:color w:val="231F20"/>
          <w:spacing w:val="-38"/>
          <w:w w:val="105"/>
        </w:rPr>
        <w:t> </w:t>
      </w:r>
      <w:r>
        <w:rPr>
          <w:color w:val="231F20"/>
          <w:w w:val="105"/>
        </w:rPr>
        <w:t>de</w:t>
      </w:r>
      <w:r>
        <w:rPr>
          <w:color w:val="231F20"/>
          <w:spacing w:val="-38"/>
          <w:w w:val="105"/>
        </w:rPr>
        <w:t> </w:t>
      </w:r>
      <w:r>
        <w:rPr>
          <w:color w:val="231F20"/>
          <w:w w:val="105"/>
        </w:rPr>
        <w:t>Investigación:</w:t>
      </w:r>
      <w:r>
        <w:rPr>
          <w:color w:val="231F20"/>
          <w:spacing w:val="-38"/>
          <w:w w:val="105"/>
        </w:rPr>
        <w:t> </w:t>
      </w:r>
      <w:r>
        <w:rPr>
          <w:color w:val="231F20"/>
          <w:w w:val="105"/>
        </w:rPr>
        <w:t>Gestión</w:t>
      </w:r>
      <w:r>
        <w:rPr>
          <w:color w:val="231F20"/>
          <w:spacing w:val="-38"/>
          <w:w w:val="105"/>
        </w:rPr>
        <w:t> </w:t>
      </w:r>
      <w:r>
        <w:rPr>
          <w:color w:val="231F20"/>
          <w:w w:val="105"/>
        </w:rPr>
        <w:t>Estratégica</w:t>
      </w:r>
      <w:r>
        <w:rPr>
          <w:color w:val="231F20"/>
          <w:spacing w:val="-38"/>
          <w:w w:val="105"/>
        </w:rPr>
        <w:t> </w:t>
      </w:r>
      <w:r>
        <w:rPr>
          <w:color w:val="231F20"/>
          <w:w w:val="105"/>
        </w:rPr>
        <w:t>y</w:t>
      </w:r>
      <w:r>
        <w:rPr>
          <w:color w:val="231F20"/>
          <w:spacing w:val="-38"/>
          <w:w w:val="105"/>
        </w:rPr>
        <w:t> </w:t>
      </w:r>
      <w:r>
        <w:rPr>
          <w:color w:val="231F20"/>
          <w:w w:val="105"/>
        </w:rPr>
        <w:t>Capital</w:t>
      </w:r>
      <w:r>
        <w:rPr>
          <w:color w:val="231F20"/>
          <w:spacing w:val="-38"/>
          <w:w w:val="105"/>
        </w:rPr>
        <w:t> </w:t>
      </w:r>
      <w:r>
        <w:rPr>
          <w:color w:val="231F20"/>
          <w:w w:val="105"/>
        </w:rPr>
        <w:t>Intelectual:</w:t>
      </w:r>
      <w:r>
        <w:rPr>
          <w:color w:val="231F20"/>
          <w:spacing w:val="-38"/>
          <w:w w:val="105"/>
        </w:rPr>
        <w:t> </w:t>
      </w:r>
      <w:r>
        <w:rPr>
          <w:color w:val="231F20"/>
          <w:w w:val="105"/>
        </w:rPr>
        <w:t>danielar- </w:t>
      </w:r>
      <w:hyperlink r:id="rId136">
        <w:r>
          <w:rPr>
            <w:color w:val="231F20"/>
            <w:w w:val="105"/>
          </w:rPr>
          <w:t>turoc@yahoo.com.mx</w:t>
        </w:r>
      </w:hyperlink>
    </w:p>
    <w:p>
      <w:pPr>
        <w:pStyle w:val="BodyText"/>
        <w:spacing w:before="6"/>
        <w:rPr>
          <w:sz w:val="22"/>
        </w:rPr>
      </w:pPr>
    </w:p>
    <w:p>
      <w:pPr>
        <w:pStyle w:val="BodyText"/>
        <w:spacing w:line="259" w:lineRule="auto"/>
        <w:ind w:left="117" w:right="121"/>
        <w:jc w:val="both"/>
      </w:pPr>
      <w:r>
        <w:rPr>
          <w:color w:val="231F20"/>
          <w:w w:val="105"/>
        </w:rPr>
        <w:t>Elsa</w:t>
      </w:r>
      <w:r>
        <w:rPr>
          <w:color w:val="231F20"/>
          <w:spacing w:val="-31"/>
          <w:w w:val="105"/>
        </w:rPr>
        <w:t> </w:t>
      </w:r>
      <w:r>
        <w:rPr>
          <w:color w:val="231F20"/>
          <w:spacing w:val="-3"/>
          <w:w w:val="105"/>
        </w:rPr>
        <w:t>Mireya</w:t>
      </w:r>
      <w:r>
        <w:rPr>
          <w:color w:val="231F20"/>
          <w:spacing w:val="-31"/>
          <w:w w:val="105"/>
        </w:rPr>
        <w:t> </w:t>
      </w:r>
      <w:r>
        <w:rPr>
          <w:color w:val="231F20"/>
          <w:w w:val="105"/>
        </w:rPr>
        <w:t>Rosales</w:t>
      </w:r>
      <w:r>
        <w:rPr>
          <w:color w:val="231F20"/>
          <w:spacing w:val="-31"/>
          <w:w w:val="105"/>
        </w:rPr>
        <w:t> </w:t>
      </w:r>
      <w:r>
        <w:rPr>
          <w:color w:val="231F20"/>
          <w:w w:val="105"/>
        </w:rPr>
        <w:t>Estrada.</w:t>
      </w:r>
      <w:r>
        <w:rPr>
          <w:color w:val="231F20"/>
          <w:spacing w:val="-31"/>
          <w:w w:val="105"/>
        </w:rPr>
        <w:t> </w:t>
      </w:r>
      <w:r>
        <w:rPr>
          <w:color w:val="231F20"/>
          <w:w w:val="105"/>
        </w:rPr>
        <w:t>Doctora</w:t>
      </w:r>
      <w:r>
        <w:rPr>
          <w:color w:val="231F20"/>
          <w:spacing w:val="-31"/>
          <w:w w:val="105"/>
        </w:rPr>
        <w:t> </w:t>
      </w:r>
      <w:r>
        <w:rPr>
          <w:color w:val="231F20"/>
          <w:w w:val="105"/>
        </w:rPr>
        <w:t>en</w:t>
      </w:r>
      <w:r>
        <w:rPr>
          <w:color w:val="231F20"/>
          <w:spacing w:val="-31"/>
          <w:w w:val="105"/>
        </w:rPr>
        <w:t> </w:t>
      </w:r>
      <w:r>
        <w:rPr>
          <w:color w:val="231F20"/>
          <w:spacing w:val="-3"/>
          <w:w w:val="105"/>
        </w:rPr>
        <w:t>Derecho</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spacing w:val="-3"/>
          <w:w w:val="105"/>
        </w:rPr>
        <w:t>Empresa,</w:t>
      </w:r>
      <w:r>
        <w:rPr>
          <w:color w:val="231F20"/>
          <w:spacing w:val="-34"/>
          <w:w w:val="105"/>
        </w:rPr>
        <w:t> </w:t>
      </w:r>
      <w:r>
        <w:rPr>
          <w:color w:val="231F20"/>
          <w:spacing w:val="-3"/>
          <w:w w:val="105"/>
        </w:rPr>
        <w:t>egresa- </w:t>
      </w:r>
      <w:r>
        <w:rPr>
          <w:color w:val="231F20"/>
          <w:w w:val="105"/>
        </w:rPr>
        <w:t>da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Universidad</w:t>
      </w:r>
      <w:r>
        <w:rPr>
          <w:color w:val="231F20"/>
          <w:spacing w:val="-13"/>
          <w:w w:val="105"/>
        </w:rPr>
        <w:t> </w:t>
      </w:r>
      <w:r>
        <w:rPr>
          <w:color w:val="231F20"/>
          <w:w w:val="105"/>
        </w:rPr>
        <w:t>Anáhuac</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Universidad</w:t>
      </w:r>
      <w:r>
        <w:rPr>
          <w:color w:val="231F20"/>
          <w:spacing w:val="-9"/>
          <w:w w:val="105"/>
        </w:rPr>
        <w:t> </w:t>
      </w:r>
      <w:r>
        <w:rPr>
          <w:color w:val="231F20"/>
          <w:w w:val="105"/>
        </w:rPr>
        <w:t>Complútense</w:t>
      </w:r>
      <w:r>
        <w:rPr>
          <w:color w:val="231F20"/>
          <w:spacing w:val="-9"/>
          <w:w w:val="105"/>
        </w:rPr>
        <w:t> </w:t>
      </w:r>
      <w:r>
        <w:rPr>
          <w:color w:val="231F20"/>
          <w:w w:val="105"/>
        </w:rPr>
        <w:t>de</w:t>
      </w:r>
      <w:r>
        <w:rPr>
          <w:color w:val="231F20"/>
          <w:spacing w:val="-9"/>
          <w:w w:val="105"/>
        </w:rPr>
        <w:t> </w:t>
      </w:r>
      <w:r>
        <w:rPr>
          <w:color w:val="231F20"/>
          <w:w w:val="105"/>
        </w:rPr>
        <w:t>Ma- drid.</w:t>
      </w:r>
      <w:r>
        <w:rPr>
          <w:color w:val="231F20"/>
          <w:spacing w:val="-20"/>
          <w:w w:val="105"/>
        </w:rPr>
        <w:t> </w:t>
      </w:r>
      <w:r>
        <w:rPr>
          <w:color w:val="231F20"/>
          <w:w w:val="105"/>
        </w:rPr>
        <w:t>Maestra</w:t>
      </w:r>
      <w:r>
        <w:rPr>
          <w:color w:val="231F20"/>
          <w:spacing w:val="-17"/>
          <w:w w:val="105"/>
        </w:rPr>
        <w:t> </w:t>
      </w:r>
      <w:r>
        <w:rPr>
          <w:color w:val="231F20"/>
          <w:w w:val="105"/>
        </w:rPr>
        <w:t>en</w:t>
      </w:r>
      <w:r>
        <w:rPr>
          <w:color w:val="231F20"/>
          <w:spacing w:val="-19"/>
          <w:w w:val="105"/>
        </w:rPr>
        <w:t> </w:t>
      </w:r>
      <w:r>
        <w:rPr>
          <w:color w:val="231F20"/>
          <w:w w:val="105"/>
        </w:rPr>
        <w:t>Administración,</w:t>
      </w:r>
      <w:r>
        <w:rPr>
          <w:color w:val="231F20"/>
          <w:spacing w:val="-20"/>
          <w:w w:val="105"/>
        </w:rPr>
        <w:t> </w:t>
      </w:r>
      <w:r>
        <w:rPr>
          <w:color w:val="231F20"/>
          <w:w w:val="105"/>
        </w:rPr>
        <w:t>especialista</w:t>
      </w:r>
      <w:r>
        <w:rPr>
          <w:color w:val="231F20"/>
          <w:spacing w:val="-17"/>
          <w:w w:val="105"/>
        </w:rPr>
        <w:t> </w:t>
      </w:r>
      <w:r>
        <w:rPr>
          <w:color w:val="231F20"/>
          <w:w w:val="105"/>
        </w:rPr>
        <w:t>en</w:t>
      </w:r>
      <w:r>
        <w:rPr>
          <w:color w:val="231F20"/>
          <w:spacing w:val="-19"/>
          <w:w w:val="105"/>
        </w:rPr>
        <w:t> </w:t>
      </w:r>
      <w:r>
        <w:rPr>
          <w:color w:val="231F20"/>
          <w:spacing w:val="-3"/>
          <w:w w:val="105"/>
        </w:rPr>
        <w:t>Vinculación,</w:t>
      </w:r>
      <w:r>
        <w:rPr>
          <w:color w:val="231F20"/>
          <w:spacing w:val="-20"/>
          <w:w w:val="105"/>
        </w:rPr>
        <w:t> </w:t>
      </w:r>
      <w:r>
        <w:rPr>
          <w:color w:val="231F20"/>
          <w:w w:val="105"/>
        </w:rPr>
        <w:t>Licenciada en</w:t>
      </w:r>
      <w:r>
        <w:rPr>
          <w:color w:val="231F20"/>
          <w:spacing w:val="-21"/>
          <w:w w:val="105"/>
        </w:rPr>
        <w:t> </w:t>
      </w:r>
      <w:r>
        <w:rPr>
          <w:color w:val="231F20"/>
          <w:w w:val="105"/>
        </w:rPr>
        <w:t>Administración.</w:t>
      </w:r>
      <w:r>
        <w:rPr>
          <w:color w:val="231F20"/>
          <w:spacing w:val="-25"/>
          <w:w w:val="105"/>
        </w:rPr>
        <w:t> </w:t>
      </w:r>
      <w:r>
        <w:rPr>
          <w:color w:val="231F20"/>
          <w:w w:val="105"/>
        </w:rPr>
        <w:t>Actualmente</w:t>
      </w:r>
      <w:r>
        <w:rPr>
          <w:color w:val="231F20"/>
          <w:spacing w:val="-18"/>
          <w:w w:val="105"/>
        </w:rPr>
        <w:t> </w:t>
      </w:r>
      <w:r>
        <w:rPr>
          <w:color w:val="231F20"/>
          <w:spacing w:val="-4"/>
          <w:w w:val="105"/>
        </w:rPr>
        <w:t>Profesora</w:t>
      </w:r>
      <w:r>
        <w:rPr>
          <w:color w:val="231F20"/>
          <w:spacing w:val="-18"/>
          <w:w w:val="105"/>
        </w:rPr>
        <w:t> </w:t>
      </w:r>
      <w:r>
        <w:rPr>
          <w:color w:val="231F20"/>
          <w:w w:val="105"/>
        </w:rPr>
        <w:t>Investigadora</w:t>
      </w:r>
      <w:r>
        <w:rPr>
          <w:color w:val="231F20"/>
          <w:spacing w:val="-18"/>
          <w:w w:val="105"/>
        </w:rPr>
        <w:t> </w:t>
      </w:r>
      <w:r>
        <w:rPr>
          <w:color w:val="231F20"/>
          <w:w w:val="105"/>
        </w:rPr>
        <w:t>y</w:t>
      </w:r>
      <w:r>
        <w:rPr>
          <w:color w:val="231F20"/>
          <w:spacing w:val="-18"/>
          <w:w w:val="105"/>
        </w:rPr>
        <w:t> </w:t>
      </w:r>
      <w:r>
        <w:rPr>
          <w:color w:val="231F20"/>
          <w:spacing w:val="-3"/>
          <w:w w:val="105"/>
        </w:rPr>
        <w:t>Coordinadora </w:t>
      </w:r>
      <w:r>
        <w:rPr>
          <w:color w:val="231F20"/>
          <w:w w:val="105"/>
        </w:rPr>
        <w:t>de </w:t>
      </w:r>
      <w:r>
        <w:rPr>
          <w:color w:val="231F20"/>
          <w:spacing w:val="-3"/>
          <w:w w:val="105"/>
        </w:rPr>
        <w:t>Cooperación </w:t>
      </w:r>
      <w:r>
        <w:rPr>
          <w:color w:val="231F20"/>
          <w:w w:val="105"/>
        </w:rPr>
        <w:t>Internacional </w:t>
      </w:r>
      <w:r>
        <w:rPr>
          <w:color w:val="231F20"/>
          <w:spacing w:val="-3"/>
          <w:w w:val="105"/>
        </w:rPr>
        <w:t>Facultad </w:t>
      </w:r>
      <w:r>
        <w:rPr>
          <w:color w:val="231F20"/>
          <w:w w:val="105"/>
        </w:rPr>
        <w:t>de </w:t>
      </w:r>
      <w:r>
        <w:rPr>
          <w:color w:val="231F20"/>
          <w:spacing w:val="-2"/>
          <w:w w:val="105"/>
        </w:rPr>
        <w:t>Geografía </w:t>
      </w:r>
      <w:r>
        <w:rPr>
          <w:color w:val="231F20"/>
          <w:w w:val="105"/>
        </w:rPr>
        <w:t>de la Universidad Autónoma</w:t>
      </w:r>
      <w:r>
        <w:rPr>
          <w:color w:val="231F20"/>
          <w:spacing w:val="-18"/>
          <w:w w:val="105"/>
        </w:rPr>
        <w:t> </w:t>
      </w:r>
      <w:r>
        <w:rPr>
          <w:color w:val="231F20"/>
          <w:w w:val="105"/>
        </w:rPr>
        <w:t>del</w:t>
      </w:r>
      <w:r>
        <w:rPr>
          <w:color w:val="231F20"/>
          <w:spacing w:val="-18"/>
          <w:w w:val="105"/>
        </w:rPr>
        <w:t> </w:t>
      </w:r>
      <w:r>
        <w:rPr>
          <w:color w:val="231F20"/>
          <w:w w:val="105"/>
        </w:rPr>
        <w:t>Estado</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e</w:t>
      </w:r>
      <w:r>
        <w:rPr>
          <w:color w:val="231F20"/>
          <w:spacing w:val="-18"/>
          <w:w w:val="105"/>
        </w:rPr>
        <w:t> </w:t>
      </w:r>
      <w:r>
        <w:rPr>
          <w:color w:val="231F20"/>
          <w:w w:val="105"/>
        </w:rPr>
        <w:t>Instructora</w:t>
      </w:r>
      <w:r>
        <w:rPr>
          <w:color w:val="231F20"/>
          <w:spacing w:val="-18"/>
          <w:w w:val="105"/>
        </w:rPr>
        <w:t> </w:t>
      </w:r>
      <w:r>
        <w:rPr>
          <w:i/>
          <w:color w:val="231F20"/>
          <w:w w:val="105"/>
        </w:rPr>
        <w:t>coaching</w:t>
      </w:r>
      <w:r>
        <w:rPr>
          <w:i/>
          <w:color w:val="231F20"/>
          <w:spacing w:val="-18"/>
          <w:w w:val="105"/>
        </w:rPr>
        <w:t> </w:t>
      </w:r>
      <w:r>
        <w:rPr>
          <w:color w:val="231F20"/>
          <w:w w:val="105"/>
        </w:rPr>
        <w:t>y</w:t>
      </w:r>
      <w:r>
        <w:rPr>
          <w:color w:val="231F20"/>
          <w:spacing w:val="-18"/>
          <w:w w:val="105"/>
        </w:rPr>
        <w:t> </w:t>
      </w:r>
      <w:r>
        <w:rPr>
          <w:color w:val="231F20"/>
          <w:w w:val="105"/>
        </w:rPr>
        <w:t>habilidades</w:t>
      </w:r>
      <w:r>
        <w:rPr>
          <w:color w:val="231F20"/>
          <w:spacing w:val="-18"/>
          <w:w w:val="105"/>
        </w:rPr>
        <w:t> </w:t>
      </w:r>
      <w:r>
        <w:rPr>
          <w:color w:val="231F20"/>
          <w:w w:val="105"/>
        </w:rPr>
        <w:t>di- </w:t>
      </w:r>
      <w:r>
        <w:rPr>
          <w:color w:val="231F20"/>
          <w:spacing w:val="-3"/>
          <w:w w:val="105"/>
        </w:rPr>
        <w:t>rectivas.</w:t>
      </w:r>
      <w:r>
        <w:rPr>
          <w:color w:val="231F20"/>
          <w:spacing w:val="-34"/>
          <w:w w:val="105"/>
        </w:rPr>
        <w:t> </w:t>
      </w:r>
      <w:r>
        <w:rPr>
          <w:color w:val="231F20"/>
          <w:spacing w:val="-3"/>
          <w:w w:val="105"/>
        </w:rPr>
        <w:t>Conferencista</w:t>
      </w:r>
      <w:r>
        <w:rPr>
          <w:color w:val="231F20"/>
          <w:spacing w:val="-30"/>
          <w:w w:val="105"/>
        </w:rPr>
        <w:t> </w:t>
      </w:r>
      <w:r>
        <w:rPr>
          <w:color w:val="231F20"/>
          <w:w w:val="105"/>
        </w:rPr>
        <w:t>Nacional</w:t>
      </w:r>
      <w:r>
        <w:rPr>
          <w:color w:val="231F20"/>
          <w:spacing w:val="-30"/>
          <w:w w:val="105"/>
        </w:rPr>
        <w:t> </w:t>
      </w:r>
      <w:r>
        <w:rPr>
          <w:color w:val="231F20"/>
          <w:w w:val="105"/>
        </w:rPr>
        <w:t>e</w:t>
      </w:r>
      <w:r>
        <w:rPr>
          <w:color w:val="231F20"/>
          <w:spacing w:val="-30"/>
          <w:w w:val="105"/>
        </w:rPr>
        <w:t> </w:t>
      </w:r>
      <w:r>
        <w:rPr>
          <w:color w:val="231F20"/>
          <w:w w:val="105"/>
        </w:rPr>
        <w:t>Internacional.</w:t>
      </w:r>
      <w:r>
        <w:rPr>
          <w:color w:val="231F20"/>
          <w:spacing w:val="-34"/>
          <w:w w:val="105"/>
        </w:rPr>
        <w:t> </w:t>
      </w:r>
      <w:r>
        <w:rPr>
          <w:color w:val="231F20"/>
          <w:w w:val="105"/>
        </w:rPr>
        <w:t>Líneas</w:t>
      </w:r>
      <w:r>
        <w:rPr>
          <w:color w:val="231F20"/>
          <w:spacing w:val="-30"/>
          <w:w w:val="105"/>
        </w:rPr>
        <w:t> </w:t>
      </w:r>
      <w:r>
        <w:rPr>
          <w:color w:val="231F20"/>
          <w:w w:val="105"/>
        </w:rPr>
        <w:t>de</w:t>
      </w:r>
      <w:r>
        <w:rPr>
          <w:color w:val="231F20"/>
          <w:spacing w:val="-30"/>
          <w:w w:val="105"/>
        </w:rPr>
        <w:t> </w:t>
      </w:r>
      <w:r>
        <w:rPr>
          <w:color w:val="231F20"/>
          <w:w w:val="105"/>
        </w:rPr>
        <w:t>Investigación: </w:t>
      </w:r>
      <w:r>
        <w:rPr>
          <w:color w:val="231F20"/>
          <w:spacing w:val="-3"/>
          <w:w w:val="105"/>
        </w:rPr>
        <w:t>Capital </w:t>
      </w:r>
      <w:r>
        <w:rPr>
          <w:color w:val="231F20"/>
          <w:w w:val="105"/>
        </w:rPr>
        <w:t>Humano, Planeación </w:t>
      </w:r>
      <w:r>
        <w:rPr>
          <w:color w:val="231F20"/>
          <w:spacing w:val="-3"/>
          <w:w w:val="105"/>
        </w:rPr>
        <w:t>Estratégica </w:t>
      </w:r>
      <w:r>
        <w:rPr>
          <w:color w:val="231F20"/>
          <w:w w:val="105"/>
        </w:rPr>
        <w:t>en la </w:t>
      </w:r>
      <w:r>
        <w:rPr>
          <w:color w:val="231F20"/>
          <w:spacing w:val="-3"/>
          <w:w w:val="105"/>
        </w:rPr>
        <w:t>ordenación </w:t>
      </w:r>
      <w:r>
        <w:rPr>
          <w:color w:val="231F20"/>
          <w:w w:val="105"/>
        </w:rPr>
        <w:t>y gestión </w:t>
      </w:r>
      <w:r>
        <w:rPr>
          <w:color w:val="231F20"/>
          <w:spacing w:val="-2"/>
          <w:w w:val="105"/>
        </w:rPr>
        <w:t>del </w:t>
      </w:r>
      <w:r>
        <w:rPr>
          <w:color w:val="231F20"/>
          <w:w w:val="105"/>
        </w:rPr>
        <w:t>territorio</w:t>
      </w:r>
      <w:r>
        <w:rPr>
          <w:color w:val="231F20"/>
          <w:spacing w:val="-24"/>
          <w:w w:val="105"/>
        </w:rPr>
        <w:t> </w:t>
      </w:r>
      <w:r>
        <w:rPr>
          <w:color w:val="231F20"/>
          <w:w w:val="105"/>
        </w:rPr>
        <w:t>y</w:t>
      </w:r>
      <w:r>
        <w:rPr>
          <w:color w:val="231F20"/>
          <w:spacing w:val="-24"/>
          <w:w w:val="105"/>
        </w:rPr>
        <w:t> </w:t>
      </w:r>
      <w:r>
        <w:rPr>
          <w:color w:val="231F20"/>
          <w:spacing w:val="-2"/>
          <w:w w:val="105"/>
        </w:rPr>
        <w:t>Geografía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Salud.</w:t>
      </w:r>
      <w:r>
        <w:rPr>
          <w:color w:val="231F20"/>
          <w:spacing w:val="-30"/>
          <w:w w:val="105"/>
        </w:rPr>
        <w:t> </w:t>
      </w:r>
      <w:r>
        <w:rPr>
          <w:color w:val="231F20"/>
          <w:w w:val="105"/>
        </w:rPr>
        <w:t>Su</w:t>
      </w:r>
      <w:r>
        <w:rPr>
          <w:color w:val="231F20"/>
          <w:spacing w:val="-24"/>
          <w:w w:val="105"/>
        </w:rPr>
        <w:t> </w:t>
      </w:r>
      <w:r>
        <w:rPr>
          <w:color w:val="231F20"/>
          <w:w w:val="105"/>
        </w:rPr>
        <w:t>publicación</w:t>
      </w:r>
      <w:r>
        <w:rPr>
          <w:color w:val="231F20"/>
          <w:spacing w:val="-24"/>
          <w:w w:val="105"/>
        </w:rPr>
        <w:t> </w:t>
      </w:r>
      <w:r>
        <w:rPr>
          <w:color w:val="231F20"/>
          <w:w w:val="105"/>
        </w:rPr>
        <w:t>científica</w:t>
      </w:r>
      <w:r>
        <w:rPr>
          <w:color w:val="231F20"/>
          <w:spacing w:val="-24"/>
          <w:w w:val="105"/>
        </w:rPr>
        <w:t> </w:t>
      </w:r>
      <w:r>
        <w:rPr>
          <w:color w:val="231F20"/>
          <w:w w:val="105"/>
        </w:rPr>
        <w:t>incluye</w:t>
      </w:r>
      <w:r>
        <w:rPr>
          <w:color w:val="231F20"/>
          <w:spacing w:val="-24"/>
          <w:w w:val="105"/>
        </w:rPr>
        <w:t> </w:t>
      </w:r>
      <w:r>
        <w:rPr>
          <w:color w:val="231F20"/>
          <w:spacing w:val="-3"/>
          <w:w w:val="105"/>
        </w:rPr>
        <w:t>libros</w:t>
      </w:r>
      <w:r>
        <w:rPr>
          <w:color w:val="231F20"/>
          <w:spacing w:val="-24"/>
          <w:w w:val="105"/>
        </w:rPr>
        <w:t> </w:t>
      </w:r>
      <w:r>
        <w:rPr>
          <w:color w:val="231F20"/>
          <w:w w:val="105"/>
        </w:rPr>
        <w:t>y </w:t>
      </w:r>
      <w:r>
        <w:rPr>
          <w:color w:val="231F20"/>
          <w:spacing w:val="-2"/>
          <w:w w:val="105"/>
        </w:rPr>
        <w:t>artículos</w:t>
      </w:r>
      <w:r>
        <w:rPr>
          <w:color w:val="231F20"/>
          <w:spacing w:val="-42"/>
          <w:w w:val="105"/>
        </w:rPr>
        <w:t> </w:t>
      </w:r>
      <w:r>
        <w:rPr>
          <w:color w:val="231F20"/>
          <w:w w:val="105"/>
        </w:rPr>
        <w:t>en</w:t>
      </w:r>
      <w:r>
        <w:rPr>
          <w:color w:val="231F20"/>
          <w:spacing w:val="-42"/>
          <w:w w:val="105"/>
        </w:rPr>
        <w:t> </w:t>
      </w:r>
      <w:r>
        <w:rPr>
          <w:color w:val="231F20"/>
          <w:spacing w:val="-3"/>
          <w:w w:val="105"/>
        </w:rPr>
        <w:t>revistas</w:t>
      </w:r>
      <w:r>
        <w:rPr>
          <w:color w:val="231F20"/>
          <w:spacing w:val="-42"/>
          <w:w w:val="105"/>
        </w:rPr>
        <w:t> </w:t>
      </w:r>
      <w:r>
        <w:rPr>
          <w:color w:val="231F20"/>
          <w:w w:val="105"/>
        </w:rPr>
        <w:t>especializadas</w:t>
      </w:r>
      <w:r>
        <w:rPr>
          <w:color w:val="231F20"/>
          <w:spacing w:val="-42"/>
          <w:w w:val="105"/>
        </w:rPr>
        <w:t> </w:t>
      </w:r>
      <w:r>
        <w:rPr>
          <w:color w:val="231F20"/>
          <w:w w:val="105"/>
        </w:rPr>
        <w:t>como</w:t>
      </w:r>
      <w:r>
        <w:rPr>
          <w:color w:val="231F20"/>
          <w:spacing w:val="-42"/>
          <w:w w:val="105"/>
        </w:rPr>
        <w:t> </w:t>
      </w:r>
      <w:r>
        <w:rPr>
          <w:color w:val="231F20"/>
          <w:w w:val="105"/>
        </w:rPr>
        <w:t>International</w:t>
      </w:r>
      <w:r>
        <w:rPr>
          <w:color w:val="231F20"/>
          <w:spacing w:val="-43"/>
          <w:w w:val="105"/>
        </w:rPr>
        <w:t> </w:t>
      </w:r>
      <w:r>
        <w:rPr>
          <w:color w:val="231F20"/>
          <w:w w:val="105"/>
        </w:rPr>
        <w:t>Journal</w:t>
      </w:r>
      <w:r>
        <w:rPr>
          <w:color w:val="231F20"/>
          <w:spacing w:val="-42"/>
          <w:w w:val="105"/>
        </w:rPr>
        <w:t> </w:t>
      </w:r>
      <w:r>
        <w:rPr>
          <w:color w:val="231F20"/>
          <w:w w:val="105"/>
        </w:rPr>
        <w:t>of</w:t>
      </w:r>
      <w:r>
        <w:rPr>
          <w:color w:val="231F20"/>
          <w:spacing w:val="-40"/>
          <w:w w:val="105"/>
        </w:rPr>
        <w:t> </w:t>
      </w:r>
      <w:r>
        <w:rPr>
          <w:color w:val="231F20"/>
          <w:w w:val="105"/>
        </w:rPr>
        <w:t>Humani- </w:t>
      </w:r>
      <w:r>
        <w:rPr>
          <w:color w:val="231F20"/>
        </w:rPr>
        <w:t>ties</w:t>
      </w:r>
      <w:r>
        <w:rPr>
          <w:color w:val="231F20"/>
          <w:spacing w:val="-28"/>
        </w:rPr>
        <w:t> </w:t>
      </w:r>
      <w:r>
        <w:rPr>
          <w:color w:val="231F20"/>
        </w:rPr>
        <w:t>and</w:t>
      </w:r>
      <w:r>
        <w:rPr>
          <w:color w:val="231F20"/>
          <w:spacing w:val="-28"/>
        </w:rPr>
        <w:t> </w:t>
      </w:r>
      <w:r>
        <w:rPr>
          <w:color w:val="231F20"/>
        </w:rPr>
        <w:t>Social</w:t>
      </w:r>
      <w:r>
        <w:rPr>
          <w:color w:val="231F20"/>
          <w:spacing w:val="-28"/>
        </w:rPr>
        <w:t> </w:t>
      </w:r>
      <w:r>
        <w:rPr>
          <w:color w:val="231F20"/>
        </w:rPr>
        <w:t>Science;</w:t>
      </w:r>
      <w:r>
        <w:rPr>
          <w:color w:val="231F20"/>
          <w:spacing w:val="-28"/>
        </w:rPr>
        <w:t> </w:t>
      </w:r>
      <w:r>
        <w:rPr>
          <w:color w:val="231F20"/>
          <w:spacing w:val="-5"/>
        </w:rPr>
        <w:t>HYGEYA</w:t>
      </w:r>
      <w:r>
        <w:rPr>
          <w:color w:val="231F20"/>
          <w:spacing w:val="-31"/>
        </w:rPr>
        <w:t> </w:t>
      </w:r>
      <w:r>
        <w:rPr>
          <w:color w:val="231F20"/>
        </w:rPr>
        <w:t>(</w:t>
      </w:r>
      <w:r>
        <w:rPr>
          <w:color w:val="231F20"/>
          <w:spacing w:val="-28"/>
        </w:rPr>
        <w:t> </w:t>
      </w:r>
      <w:r>
        <w:rPr>
          <w:color w:val="231F20"/>
          <w:spacing w:val="-3"/>
        </w:rPr>
        <w:t>Latindex),</w:t>
      </w:r>
      <w:r>
        <w:rPr>
          <w:color w:val="231F20"/>
          <w:spacing w:val="-33"/>
        </w:rPr>
        <w:t> </w:t>
      </w:r>
      <w:r>
        <w:rPr>
          <w:color w:val="231F20"/>
        </w:rPr>
        <w:t>GESIG</w:t>
      </w:r>
      <w:r>
        <w:rPr>
          <w:color w:val="231F20"/>
          <w:spacing w:val="-28"/>
        </w:rPr>
        <w:t> </w:t>
      </w:r>
      <w:r>
        <w:rPr>
          <w:color w:val="231F20"/>
          <w:spacing w:val="-3"/>
        </w:rPr>
        <w:t>(Latidex)</w:t>
      </w:r>
      <w:r>
        <w:rPr>
          <w:color w:val="231F20"/>
          <w:spacing w:val="-28"/>
        </w:rPr>
        <w:t> </w:t>
      </w:r>
      <w:r>
        <w:rPr>
          <w:color w:val="231F20"/>
          <w:spacing w:val="-3"/>
        </w:rPr>
        <w:t>revista</w:t>
      </w:r>
      <w:r>
        <w:rPr>
          <w:color w:val="231F20"/>
          <w:spacing w:val="4"/>
        </w:rPr>
        <w:t> </w:t>
      </w:r>
      <w:r>
        <w:rPr>
          <w:color w:val="231F20"/>
        </w:rPr>
        <w:t>de</w:t>
      </w:r>
      <w:r>
        <w:rPr>
          <w:color w:val="231F20"/>
          <w:spacing w:val="-28"/>
        </w:rPr>
        <w:t> </w:t>
      </w:r>
      <w:r>
        <w:rPr>
          <w:color w:val="231F20"/>
        </w:rPr>
        <w:t>Sis- </w:t>
      </w:r>
      <w:r>
        <w:rPr>
          <w:color w:val="231F20"/>
          <w:w w:val="105"/>
        </w:rPr>
        <w:t>temas</w:t>
      </w:r>
      <w:r>
        <w:rPr>
          <w:color w:val="231F20"/>
          <w:spacing w:val="-41"/>
          <w:w w:val="105"/>
        </w:rPr>
        <w:t> </w:t>
      </w:r>
      <w:r>
        <w:rPr>
          <w:color w:val="231F20"/>
          <w:w w:val="105"/>
        </w:rPr>
        <w:t>de</w:t>
      </w:r>
      <w:r>
        <w:rPr>
          <w:color w:val="231F20"/>
          <w:spacing w:val="-18"/>
          <w:w w:val="105"/>
        </w:rPr>
        <w:t> </w:t>
      </w:r>
      <w:r>
        <w:rPr>
          <w:color w:val="231F20"/>
          <w:w w:val="105"/>
        </w:rPr>
        <w:t>Computación</w:t>
      </w:r>
      <w:r>
        <w:rPr>
          <w:color w:val="231F20"/>
          <w:spacing w:val="-41"/>
          <w:w w:val="105"/>
        </w:rPr>
        <w:t> </w:t>
      </w:r>
      <w:r>
        <w:rPr>
          <w:color w:val="231F20"/>
          <w:w w:val="105"/>
        </w:rPr>
        <w:t>–RSC</w:t>
      </w:r>
      <w:r>
        <w:rPr>
          <w:color w:val="231F20"/>
          <w:spacing w:val="-41"/>
          <w:w w:val="105"/>
        </w:rPr>
        <w:t> </w:t>
      </w:r>
      <w:r>
        <w:rPr>
          <w:color w:val="231F20"/>
          <w:w w:val="105"/>
        </w:rPr>
        <w:t>en</w:t>
      </w:r>
      <w:r>
        <w:rPr>
          <w:color w:val="231F20"/>
          <w:spacing w:val="-41"/>
          <w:w w:val="105"/>
        </w:rPr>
        <w:t> </w:t>
      </w:r>
      <w:r>
        <w:rPr>
          <w:color w:val="231F20"/>
          <w:w w:val="105"/>
        </w:rPr>
        <w:t>Brasil,</w:t>
      </w:r>
      <w:r>
        <w:rPr>
          <w:color w:val="231F20"/>
          <w:spacing w:val="-43"/>
          <w:w w:val="105"/>
        </w:rPr>
        <w:t> </w:t>
      </w:r>
      <w:r>
        <w:rPr>
          <w:color w:val="231F20"/>
          <w:spacing w:val="-2"/>
          <w:w w:val="105"/>
        </w:rPr>
        <w:t>RECAI,</w:t>
      </w:r>
      <w:r>
        <w:rPr>
          <w:color w:val="231F20"/>
          <w:spacing w:val="-43"/>
          <w:w w:val="105"/>
        </w:rPr>
        <w:t> </w:t>
      </w:r>
      <w:r>
        <w:rPr>
          <w:color w:val="231F20"/>
          <w:spacing w:val="-3"/>
          <w:w w:val="105"/>
        </w:rPr>
        <w:t>Legado</w:t>
      </w:r>
      <w:r>
        <w:rPr>
          <w:color w:val="231F20"/>
          <w:spacing w:val="-41"/>
          <w:w w:val="105"/>
        </w:rPr>
        <w:t> </w:t>
      </w:r>
      <w:r>
        <w:rPr>
          <w:color w:val="231F20"/>
          <w:spacing w:val="-3"/>
          <w:w w:val="105"/>
        </w:rPr>
        <w:t>entre</w:t>
      </w:r>
      <w:r>
        <w:rPr>
          <w:color w:val="231F20"/>
          <w:spacing w:val="-41"/>
          <w:w w:val="105"/>
        </w:rPr>
        <w:t> </w:t>
      </w:r>
      <w:r>
        <w:rPr>
          <w:color w:val="231F20"/>
          <w:spacing w:val="-2"/>
          <w:w w:val="105"/>
        </w:rPr>
        <w:t>otras.</w:t>
      </w:r>
      <w:r>
        <w:rPr>
          <w:color w:val="231F20"/>
          <w:spacing w:val="-43"/>
          <w:w w:val="105"/>
        </w:rPr>
        <w:t> </w:t>
      </w:r>
      <w:r>
        <w:rPr>
          <w:color w:val="231F20"/>
          <w:w w:val="105"/>
        </w:rPr>
        <w:t>Miem- </w:t>
      </w:r>
      <w:r>
        <w:rPr>
          <w:color w:val="231F20"/>
          <w:spacing w:val="-3"/>
          <w:w w:val="105"/>
        </w:rPr>
        <w:t>bro</w:t>
      </w:r>
      <w:r>
        <w:rPr>
          <w:color w:val="231F20"/>
          <w:spacing w:val="-38"/>
          <w:w w:val="105"/>
        </w:rPr>
        <w:t> </w:t>
      </w:r>
      <w:r>
        <w:rPr>
          <w:color w:val="231F20"/>
          <w:w w:val="105"/>
        </w:rPr>
        <w:t>de</w:t>
      </w:r>
      <w:r>
        <w:rPr>
          <w:color w:val="231F20"/>
          <w:spacing w:val="-38"/>
          <w:w w:val="105"/>
        </w:rPr>
        <w:t> </w:t>
      </w:r>
      <w:r>
        <w:rPr>
          <w:color w:val="231F20"/>
          <w:w w:val="105"/>
        </w:rPr>
        <w:t>comités</w:t>
      </w:r>
      <w:r>
        <w:rPr>
          <w:color w:val="231F20"/>
          <w:spacing w:val="-38"/>
          <w:w w:val="105"/>
        </w:rPr>
        <w:t> </w:t>
      </w:r>
      <w:r>
        <w:rPr>
          <w:color w:val="231F20"/>
          <w:w w:val="105"/>
        </w:rPr>
        <w:t>científicos</w:t>
      </w:r>
      <w:r>
        <w:rPr>
          <w:color w:val="231F20"/>
          <w:spacing w:val="-38"/>
          <w:w w:val="105"/>
        </w:rPr>
        <w:t> </w:t>
      </w:r>
      <w:r>
        <w:rPr>
          <w:color w:val="231F20"/>
          <w:w w:val="105"/>
        </w:rPr>
        <w:t>en</w:t>
      </w:r>
      <w:r>
        <w:rPr>
          <w:color w:val="231F20"/>
          <w:spacing w:val="-38"/>
          <w:w w:val="105"/>
        </w:rPr>
        <w:t> </w:t>
      </w:r>
      <w:r>
        <w:rPr>
          <w:color w:val="231F20"/>
          <w:w w:val="105"/>
        </w:rPr>
        <w:t>México</w:t>
      </w:r>
      <w:r>
        <w:rPr>
          <w:color w:val="231F20"/>
          <w:spacing w:val="-38"/>
          <w:w w:val="105"/>
        </w:rPr>
        <w:t> </w:t>
      </w:r>
      <w:r>
        <w:rPr>
          <w:color w:val="231F20"/>
          <w:w w:val="105"/>
        </w:rPr>
        <w:t>y</w:t>
      </w:r>
      <w:r>
        <w:rPr>
          <w:color w:val="231F20"/>
          <w:spacing w:val="-38"/>
          <w:w w:val="105"/>
        </w:rPr>
        <w:t> </w:t>
      </w:r>
      <w:r>
        <w:rPr>
          <w:color w:val="231F20"/>
          <w:w w:val="105"/>
        </w:rPr>
        <w:t>en</w:t>
      </w:r>
      <w:r>
        <w:rPr>
          <w:color w:val="231F20"/>
          <w:spacing w:val="-38"/>
          <w:w w:val="105"/>
        </w:rPr>
        <w:t> </w:t>
      </w:r>
      <w:r>
        <w:rPr>
          <w:color w:val="231F20"/>
          <w:w w:val="105"/>
        </w:rPr>
        <w:t>Brasil.</w:t>
      </w:r>
      <w:r>
        <w:rPr>
          <w:color w:val="231F20"/>
          <w:spacing w:val="-41"/>
          <w:w w:val="105"/>
        </w:rPr>
        <w:t> </w:t>
      </w:r>
      <w:r>
        <w:rPr>
          <w:color w:val="231F20"/>
          <w:w w:val="105"/>
        </w:rPr>
        <w:t>Reconocimiento</w:t>
      </w:r>
      <w:r>
        <w:rPr>
          <w:color w:val="231F20"/>
          <w:spacing w:val="-38"/>
          <w:w w:val="105"/>
        </w:rPr>
        <w:t> </w:t>
      </w:r>
      <w:r>
        <w:rPr>
          <w:color w:val="231F20"/>
          <w:w w:val="105"/>
        </w:rPr>
        <w:t>Nacional al</w:t>
      </w:r>
      <w:r>
        <w:rPr>
          <w:color w:val="231F20"/>
          <w:spacing w:val="-32"/>
          <w:w w:val="105"/>
        </w:rPr>
        <w:t> </w:t>
      </w:r>
      <w:r>
        <w:rPr>
          <w:color w:val="231F20"/>
          <w:w w:val="105"/>
        </w:rPr>
        <w:t>Mérito</w:t>
      </w:r>
      <w:r>
        <w:rPr>
          <w:color w:val="231F20"/>
          <w:spacing w:val="-34"/>
          <w:w w:val="105"/>
        </w:rPr>
        <w:t> </w:t>
      </w:r>
      <w:r>
        <w:rPr>
          <w:color w:val="231F20"/>
          <w:w w:val="105"/>
        </w:rPr>
        <w:t>Académico</w:t>
      </w:r>
      <w:r>
        <w:rPr>
          <w:color w:val="231F20"/>
          <w:spacing w:val="-34"/>
          <w:w w:val="105"/>
        </w:rPr>
        <w:t> </w:t>
      </w:r>
      <w:r>
        <w:rPr>
          <w:color w:val="231F20"/>
          <w:w w:val="105"/>
        </w:rPr>
        <w:t>ANFECA.</w:t>
      </w:r>
      <w:r>
        <w:rPr>
          <w:color w:val="231F20"/>
          <w:spacing w:val="-5"/>
          <w:w w:val="105"/>
        </w:rPr>
        <w:t> </w:t>
      </w:r>
      <w:r>
        <w:rPr>
          <w:color w:val="231F20"/>
          <w:spacing w:val="-4"/>
          <w:w w:val="105"/>
        </w:rPr>
        <w:t>Profesor</w:t>
      </w:r>
      <w:r>
        <w:rPr>
          <w:color w:val="231F20"/>
          <w:spacing w:val="-32"/>
          <w:w w:val="105"/>
        </w:rPr>
        <w:t> </w:t>
      </w:r>
      <w:r>
        <w:rPr>
          <w:color w:val="231F20"/>
          <w:spacing w:val="-2"/>
          <w:w w:val="105"/>
        </w:rPr>
        <w:t>Honorario</w:t>
      </w:r>
      <w:r>
        <w:rPr>
          <w:color w:val="231F20"/>
          <w:spacing w:val="-32"/>
          <w:w w:val="105"/>
        </w:rPr>
        <w:t> </w:t>
      </w:r>
      <w:r>
        <w:rPr>
          <w:color w:val="231F20"/>
          <w:w w:val="105"/>
        </w:rPr>
        <w:t>por</w:t>
      </w:r>
      <w:r>
        <w:rPr>
          <w:color w:val="231F20"/>
          <w:spacing w:val="-32"/>
          <w:w w:val="105"/>
        </w:rPr>
        <w:t> </w:t>
      </w:r>
      <w:r>
        <w:rPr>
          <w:color w:val="231F20"/>
          <w:w w:val="105"/>
        </w:rPr>
        <w:t>la</w:t>
      </w:r>
      <w:r>
        <w:rPr>
          <w:color w:val="231F20"/>
          <w:spacing w:val="-32"/>
          <w:w w:val="105"/>
        </w:rPr>
        <w:t> </w:t>
      </w:r>
      <w:r>
        <w:rPr>
          <w:color w:val="231F20"/>
          <w:w w:val="105"/>
        </w:rPr>
        <w:t>Universidad</w:t>
      </w:r>
      <w:r>
        <w:rPr>
          <w:color w:val="231F20"/>
          <w:spacing w:val="-32"/>
          <w:w w:val="105"/>
        </w:rPr>
        <w:t> </w:t>
      </w:r>
      <w:r>
        <w:rPr>
          <w:color w:val="231F20"/>
          <w:w w:val="105"/>
        </w:rPr>
        <w:t>Na- cional</w:t>
      </w:r>
      <w:r>
        <w:rPr>
          <w:color w:val="231F20"/>
          <w:spacing w:val="-14"/>
          <w:w w:val="105"/>
        </w:rPr>
        <w:t> </w:t>
      </w:r>
      <w:r>
        <w:rPr>
          <w:color w:val="231F20"/>
          <w:w w:val="105"/>
        </w:rPr>
        <w:t>de</w:t>
      </w:r>
      <w:r>
        <w:rPr>
          <w:color w:val="231F20"/>
          <w:spacing w:val="-14"/>
          <w:w w:val="105"/>
        </w:rPr>
        <w:t> </w:t>
      </w:r>
      <w:r>
        <w:rPr>
          <w:color w:val="231F20"/>
          <w:w w:val="105"/>
        </w:rPr>
        <w:t>San</w:t>
      </w:r>
      <w:r>
        <w:rPr>
          <w:color w:val="231F20"/>
          <w:spacing w:val="-15"/>
          <w:w w:val="105"/>
        </w:rPr>
        <w:t> </w:t>
      </w:r>
      <w:r>
        <w:rPr>
          <w:color w:val="231F20"/>
          <w:w w:val="105"/>
        </w:rPr>
        <w:t>Juan,</w:t>
      </w:r>
      <w:r>
        <w:rPr>
          <w:color w:val="231F20"/>
          <w:spacing w:val="-21"/>
          <w:w w:val="105"/>
        </w:rPr>
        <w:t> </w:t>
      </w:r>
      <w:r>
        <w:rPr>
          <w:color w:val="231F20"/>
          <w:spacing w:val="-3"/>
          <w:w w:val="105"/>
        </w:rPr>
        <w:t>Argentina</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la</w:t>
      </w:r>
      <w:r>
        <w:rPr>
          <w:color w:val="231F20"/>
          <w:spacing w:val="-14"/>
          <w:w w:val="105"/>
        </w:rPr>
        <w:t> </w:t>
      </w:r>
      <w:r>
        <w:rPr>
          <w:color w:val="231F20"/>
          <w:w w:val="105"/>
        </w:rPr>
        <w:t>Universidad</w:t>
      </w:r>
      <w:r>
        <w:rPr>
          <w:color w:val="231F20"/>
          <w:spacing w:val="-13"/>
          <w:w w:val="105"/>
        </w:rPr>
        <w:t> </w:t>
      </w:r>
      <w:r>
        <w:rPr>
          <w:color w:val="231F20"/>
          <w:w w:val="105"/>
        </w:rPr>
        <w:t>Estatal</w:t>
      </w:r>
      <w:r>
        <w:rPr>
          <w:color w:val="231F20"/>
          <w:spacing w:val="-14"/>
          <w:w w:val="105"/>
        </w:rPr>
        <w:t> </w:t>
      </w:r>
      <w:r>
        <w:rPr>
          <w:color w:val="231F20"/>
          <w:w w:val="105"/>
        </w:rPr>
        <w:t>de</w:t>
      </w:r>
      <w:r>
        <w:rPr>
          <w:color w:val="231F20"/>
          <w:spacing w:val="-14"/>
          <w:w w:val="105"/>
        </w:rPr>
        <w:t> </w:t>
      </w:r>
      <w:r>
        <w:rPr>
          <w:color w:val="231F20"/>
          <w:w w:val="105"/>
        </w:rPr>
        <w:t>Oklahoma en</w:t>
      </w:r>
      <w:r>
        <w:rPr>
          <w:color w:val="231F20"/>
          <w:spacing w:val="-22"/>
          <w:w w:val="105"/>
        </w:rPr>
        <w:t> </w:t>
      </w:r>
      <w:r>
        <w:rPr>
          <w:color w:val="231F20"/>
          <w:w w:val="105"/>
        </w:rPr>
        <w:t>Estados</w:t>
      </w:r>
      <w:r>
        <w:rPr>
          <w:color w:val="231F20"/>
          <w:spacing w:val="-22"/>
          <w:w w:val="105"/>
        </w:rPr>
        <w:t> </w:t>
      </w:r>
      <w:r>
        <w:rPr>
          <w:color w:val="231F20"/>
          <w:w w:val="105"/>
        </w:rPr>
        <w:t>Unidos.</w:t>
      </w:r>
      <w:r>
        <w:rPr>
          <w:color w:val="231F20"/>
          <w:spacing w:val="-26"/>
          <w:w w:val="105"/>
        </w:rPr>
        <w:t> </w:t>
      </w:r>
      <w:r>
        <w:rPr>
          <w:color w:val="231F20"/>
          <w:w w:val="105"/>
        </w:rPr>
        <w:t>Nota</w:t>
      </w:r>
      <w:r>
        <w:rPr>
          <w:color w:val="231F20"/>
          <w:spacing w:val="-22"/>
          <w:w w:val="105"/>
        </w:rPr>
        <w:t> </w:t>
      </w:r>
      <w:r>
        <w:rPr>
          <w:color w:val="231F20"/>
          <w:w w:val="105"/>
        </w:rPr>
        <w:t>Laudatoria</w:t>
      </w:r>
      <w:r>
        <w:rPr>
          <w:color w:val="231F20"/>
          <w:spacing w:val="-22"/>
          <w:w w:val="105"/>
        </w:rPr>
        <w:t> </w:t>
      </w:r>
      <w:r>
        <w:rPr>
          <w:color w:val="231F20"/>
          <w:w w:val="105"/>
        </w:rPr>
        <w:t>de</w:t>
      </w:r>
      <w:r>
        <w:rPr>
          <w:color w:val="231F20"/>
          <w:spacing w:val="-22"/>
          <w:w w:val="105"/>
        </w:rPr>
        <w:t> </w:t>
      </w:r>
      <w:r>
        <w:rPr>
          <w:color w:val="231F20"/>
          <w:w w:val="105"/>
        </w:rPr>
        <w:t>Reconocimiento</w:t>
      </w:r>
      <w:r>
        <w:rPr>
          <w:color w:val="231F20"/>
          <w:spacing w:val="-25"/>
          <w:w w:val="105"/>
        </w:rPr>
        <w:t> </w:t>
      </w:r>
      <w:r>
        <w:rPr>
          <w:color w:val="231F20"/>
          <w:w w:val="105"/>
        </w:rPr>
        <w:t>Académico</w:t>
      </w:r>
      <w:r>
        <w:rPr>
          <w:color w:val="231F20"/>
          <w:spacing w:val="-22"/>
          <w:w w:val="105"/>
        </w:rPr>
        <w:t> </w:t>
      </w:r>
      <w:r>
        <w:rPr>
          <w:color w:val="231F20"/>
          <w:spacing w:val="-2"/>
          <w:w w:val="105"/>
        </w:rPr>
        <w:t>que </w:t>
      </w:r>
      <w:r>
        <w:rPr>
          <w:color w:val="231F20"/>
          <w:spacing w:val="-3"/>
          <w:w w:val="105"/>
        </w:rPr>
        <w:t>otorga</w:t>
      </w:r>
      <w:r>
        <w:rPr>
          <w:color w:val="231F20"/>
          <w:spacing w:val="-8"/>
          <w:w w:val="105"/>
        </w:rPr>
        <w:t> </w:t>
      </w:r>
      <w:r>
        <w:rPr>
          <w:color w:val="231F20"/>
          <w:w w:val="105"/>
        </w:rPr>
        <w:t>la</w:t>
      </w:r>
      <w:r>
        <w:rPr>
          <w:color w:val="231F20"/>
          <w:spacing w:val="-8"/>
          <w:w w:val="105"/>
        </w:rPr>
        <w:t> </w:t>
      </w:r>
      <w:r>
        <w:rPr>
          <w:color w:val="231F20"/>
          <w:w w:val="105"/>
        </w:rPr>
        <w:t>Universidad</w:t>
      </w:r>
      <w:r>
        <w:rPr>
          <w:color w:val="231F20"/>
          <w:spacing w:val="-11"/>
          <w:w w:val="105"/>
        </w:rPr>
        <w:t> </w:t>
      </w:r>
      <w:r>
        <w:rPr>
          <w:color w:val="231F20"/>
          <w:w w:val="105"/>
        </w:rPr>
        <w:t>Autónoma</w:t>
      </w:r>
      <w:r>
        <w:rPr>
          <w:color w:val="231F20"/>
          <w:spacing w:val="-8"/>
          <w:w w:val="105"/>
        </w:rPr>
        <w:t> </w:t>
      </w:r>
      <w:r>
        <w:rPr>
          <w:color w:val="231F20"/>
          <w:w w:val="105"/>
        </w:rPr>
        <w:t>del</w:t>
      </w:r>
      <w:r>
        <w:rPr>
          <w:color w:val="231F20"/>
          <w:spacing w:val="-8"/>
          <w:w w:val="105"/>
        </w:rPr>
        <w:t> </w:t>
      </w:r>
      <w:r>
        <w:rPr>
          <w:color w:val="231F20"/>
          <w:w w:val="105"/>
        </w:rPr>
        <w:t>Estado</w:t>
      </w:r>
      <w:r>
        <w:rPr>
          <w:color w:val="231F20"/>
          <w:spacing w:val="-8"/>
          <w:w w:val="105"/>
        </w:rPr>
        <w:t> </w:t>
      </w:r>
      <w:r>
        <w:rPr>
          <w:color w:val="231F20"/>
          <w:w w:val="105"/>
        </w:rPr>
        <w:t>de</w:t>
      </w:r>
      <w:r>
        <w:rPr>
          <w:color w:val="231F20"/>
          <w:spacing w:val="-8"/>
          <w:w w:val="105"/>
        </w:rPr>
        <w:t> </w:t>
      </w:r>
      <w:r>
        <w:rPr>
          <w:color w:val="231F20"/>
          <w:spacing w:val="-3"/>
          <w:w w:val="105"/>
        </w:rPr>
        <w:t>México.</w:t>
      </w:r>
      <w:r>
        <w:rPr>
          <w:color w:val="231F20"/>
          <w:spacing w:val="-14"/>
          <w:w w:val="105"/>
        </w:rPr>
        <w:t> </w:t>
      </w:r>
      <w:r>
        <w:rPr>
          <w:color w:val="231F20"/>
          <w:spacing w:val="-3"/>
          <w:w w:val="105"/>
        </w:rPr>
        <w:t>Reconocimiento </w:t>
      </w:r>
      <w:r>
        <w:rPr>
          <w:color w:val="231F20"/>
          <w:w w:val="105"/>
        </w:rPr>
        <w:t>“Best</w:t>
      </w:r>
      <w:r>
        <w:rPr>
          <w:color w:val="231F20"/>
          <w:spacing w:val="-22"/>
          <w:w w:val="105"/>
        </w:rPr>
        <w:t> </w:t>
      </w:r>
      <w:r>
        <w:rPr>
          <w:color w:val="231F20"/>
          <w:spacing w:val="-4"/>
          <w:w w:val="105"/>
        </w:rPr>
        <w:t>Paper</w:t>
      </w:r>
      <w:r>
        <w:rPr>
          <w:color w:val="231F20"/>
          <w:spacing w:val="-25"/>
          <w:w w:val="105"/>
        </w:rPr>
        <w:t> </w:t>
      </w:r>
      <w:r>
        <w:rPr>
          <w:color w:val="231F20"/>
          <w:spacing w:val="-3"/>
          <w:w w:val="105"/>
        </w:rPr>
        <w:t>Award”</w:t>
      </w:r>
      <w:r>
        <w:rPr>
          <w:color w:val="231F20"/>
          <w:spacing w:val="-22"/>
          <w:w w:val="105"/>
        </w:rPr>
        <w:t> </w:t>
      </w:r>
      <w:r>
        <w:rPr>
          <w:color w:val="231F20"/>
          <w:w w:val="105"/>
        </w:rPr>
        <w:t>by</w:t>
      </w:r>
      <w:r>
        <w:rPr>
          <w:color w:val="231F20"/>
          <w:spacing w:val="-22"/>
          <w:w w:val="105"/>
        </w:rPr>
        <w:t> </w:t>
      </w:r>
      <w:r>
        <w:rPr>
          <w:color w:val="231F20"/>
          <w:w w:val="105"/>
        </w:rPr>
        <w:t>Business</w:t>
      </w:r>
      <w:r>
        <w:rPr>
          <w:color w:val="231F20"/>
          <w:spacing w:val="-22"/>
          <w:w w:val="105"/>
        </w:rPr>
        <w:t> </w:t>
      </w:r>
      <w:r>
        <w:rPr>
          <w:color w:val="231F20"/>
          <w:w w:val="105"/>
        </w:rPr>
        <w:t>and</w:t>
      </w:r>
      <w:r>
        <w:rPr>
          <w:color w:val="231F20"/>
          <w:spacing w:val="-22"/>
          <w:w w:val="105"/>
        </w:rPr>
        <w:t> </w:t>
      </w:r>
      <w:r>
        <w:rPr>
          <w:color w:val="231F20"/>
          <w:w w:val="105"/>
        </w:rPr>
        <w:t>applied</w:t>
      </w:r>
      <w:r>
        <w:rPr>
          <w:color w:val="231F20"/>
          <w:spacing w:val="-22"/>
          <w:w w:val="105"/>
        </w:rPr>
        <w:t> </w:t>
      </w:r>
      <w:r>
        <w:rPr>
          <w:color w:val="231F20"/>
          <w:w w:val="105"/>
        </w:rPr>
        <w:t>Sciences</w:t>
      </w:r>
      <w:r>
        <w:rPr>
          <w:color w:val="231F20"/>
          <w:spacing w:val="-25"/>
          <w:w w:val="105"/>
        </w:rPr>
        <w:t> </w:t>
      </w:r>
      <w:r>
        <w:rPr>
          <w:color w:val="231F20"/>
          <w:w w:val="105"/>
        </w:rPr>
        <w:t>Academy</w:t>
      </w:r>
      <w:r>
        <w:rPr>
          <w:color w:val="231F20"/>
          <w:spacing w:val="-22"/>
          <w:w w:val="105"/>
        </w:rPr>
        <w:t> </w:t>
      </w:r>
      <w:r>
        <w:rPr>
          <w:color w:val="231F20"/>
          <w:w w:val="105"/>
        </w:rPr>
        <w:t>of</w:t>
      </w:r>
      <w:r>
        <w:rPr>
          <w:color w:val="231F20"/>
          <w:spacing w:val="-19"/>
          <w:w w:val="105"/>
        </w:rPr>
        <w:t> </w:t>
      </w:r>
      <w:r>
        <w:rPr>
          <w:color w:val="231F20"/>
          <w:spacing w:val="-3"/>
          <w:w w:val="105"/>
        </w:rPr>
        <w:t>North </w:t>
      </w:r>
      <w:r>
        <w:rPr>
          <w:color w:val="231F20"/>
          <w:w w:val="105"/>
        </w:rPr>
        <w:t>America</w:t>
      </w:r>
      <w:r>
        <w:rPr>
          <w:color w:val="231F20"/>
          <w:spacing w:val="-24"/>
          <w:w w:val="105"/>
        </w:rPr>
        <w:t> </w:t>
      </w:r>
      <w:r>
        <w:rPr>
          <w:color w:val="231F20"/>
          <w:w w:val="105"/>
        </w:rPr>
        <w:t>2015.</w:t>
      </w:r>
      <w:r>
        <w:rPr>
          <w:color w:val="231F20"/>
          <w:spacing w:val="-29"/>
          <w:w w:val="105"/>
        </w:rPr>
        <w:t> </w:t>
      </w:r>
      <w:r>
        <w:rPr>
          <w:color w:val="231F20"/>
          <w:spacing w:val="-3"/>
          <w:w w:val="105"/>
        </w:rPr>
        <w:t>Correo</w:t>
      </w:r>
      <w:r>
        <w:rPr>
          <w:color w:val="231F20"/>
          <w:spacing w:val="-24"/>
          <w:w w:val="105"/>
        </w:rPr>
        <w:t> </w:t>
      </w:r>
      <w:r>
        <w:rPr>
          <w:color w:val="231F20"/>
          <w:spacing w:val="-3"/>
          <w:w w:val="105"/>
        </w:rPr>
        <w:t>electrónico:</w:t>
      </w:r>
      <w:r>
        <w:rPr>
          <w:color w:val="231F20"/>
          <w:spacing w:val="-24"/>
          <w:w w:val="105"/>
        </w:rPr>
        <w:t> </w:t>
      </w:r>
      <w:hyperlink r:id="rId137">
        <w:r>
          <w:rPr>
            <w:color w:val="231F20"/>
            <w:spacing w:val="-3"/>
            <w:w w:val="105"/>
          </w:rPr>
          <w:t>emr</w:t>
        </w:r>
      </w:hyperlink>
      <w:hyperlink r:id="rId138">
        <w:r>
          <w:rPr>
            <w:color w:val="231F20"/>
            <w:spacing w:val="-3"/>
            <w:w w:val="105"/>
          </w:rPr>
          <w:t>e2000@hotmail.com</w:t>
        </w:r>
      </w:hyperlink>
    </w:p>
    <w:p>
      <w:pPr>
        <w:pStyle w:val="BodyText"/>
        <w:spacing w:before="6"/>
        <w:rPr>
          <w:sz w:val="22"/>
        </w:rPr>
      </w:pPr>
    </w:p>
    <w:p>
      <w:pPr>
        <w:pStyle w:val="BodyText"/>
        <w:spacing w:line="259" w:lineRule="auto"/>
        <w:ind w:left="117" w:right="121"/>
        <w:jc w:val="both"/>
      </w:pPr>
      <w:r>
        <w:rPr>
          <w:color w:val="231F20"/>
          <w:w w:val="105"/>
        </w:rPr>
        <w:t>Felipe</w:t>
      </w:r>
      <w:r>
        <w:rPr>
          <w:color w:val="231F20"/>
          <w:spacing w:val="-24"/>
          <w:w w:val="105"/>
        </w:rPr>
        <w:t> </w:t>
      </w:r>
      <w:r>
        <w:rPr>
          <w:color w:val="231F20"/>
          <w:w w:val="105"/>
        </w:rPr>
        <w:t>Machorro</w:t>
      </w:r>
      <w:r>
        <w:rPr>
          <w:color w:val="231F20"/>
          <w:spacing w:val="-24"/>
          <w:w w:val="105"/>
        </w:rPr>
        <w:t> </w:t>
      </w:r>
      <w:r>
        <w:rPr>
          <w:color w:val="231F20"/>
          <w:w w:val="105"/>
        </w:rPr>
        <w:t>Ramos.</w:t>
      </w:r>
      <w:r>
        <w:rPr>
          <w:color w:val="231F20"/>
          <w:spacing w:val="-24"/>
          <w:w w:val="105"/>
        </w:rPr>
        <w:t> </w:t>
      </w:r>
      <w:r>
        <w:rPr>
          <w:color w:val="231F20"/>
          <w:w w:val="105"/>
        </w:rPr>
        <w:t>Cursó</w:t>
      </w:r>
      <w:r>
        <w:rPr>
          <w:color w:val="231F20"/>
          <w:spacing w:val="-24"/>
          <w:w w:val="105"/>
        </w:rPr>
        <w:t> </w:t>
      </w:r>
      <w:r>
        <w:rPr>
          <w:color w:val="231F20"/>
          <w:w w:val="105"/>
        </w:rPr>
        <w:t>la</w:t>
      </w:r>
      <w:r>
        <w:rPr>
          <w:color w:val="231F20"/>
          <w:spacing w:val="-24"/>
          <w:w w:val="105"/>
        </w:rPr>
        <w:t> </w:t>
      </w:r>
      <w:r>
        <w:rPr>
          <w:color w:val="231F20"/>
          <w:w w:val="105"/>
        </w:rPr>
        <w:t>Licenciatura</w:t>
      </w:r>
      <w:r>
        <w:rPr>
          <w:color w:val="231F20"/>
          <w:spacing w:val="-24"/>
          <w:w w:val="105"/>
        </w:rPr>
        <w:t> </w:t>
      </w:r>
      <w:r>
        <w:rPr>
          <w:color w:val="231F20"/>
          <w:w w:val="105"/>
        </w:rPr>
        <w:t>en</w:t>
      </w:r>
      <w:r>
        <w:rPr>
          <w:color w:val="231F20"/>
          <w:spacing w:val="-27"/>
          <w:w w:val="105"/>
        </w:rPr>
        <w:t> </w:t>
      </w:r>
      <w:r>
        <w:rPr>
          <w:color w:val="231F20"/>
          <w:w w:val="105"/>
        </w:rPr>
        <w:t>Administración</w:t>
      </w:r>
      <w:r>
        <w:rPr>
          <w:color w:val="231F20"/>
          <w:spacing w:val="-24"/>
          <w:w w:val="105"/>
        </w:rPr>
        <w:t> </w:t>
      </w:r>
      <w:r>
        <w:rPr>
          <w:color w:val="231F20"/>
          <w:w w:val="105"/>
        </w:rPr>
        <w:t>de</w:t>
      </w:r>
      <w:r>
        <w:rPr>
          <w:color w:val="231F20"/>
          <w:spacing w:val="-24"/>
          <w:w w:val="105"/>
        </w:rPr>
        <w:t> </w:t>
      </w:r>
      <w:r>
        <w:rPr>
          <w:color w:val="231F20"/>
          <w:w w:val="105"/>
        </w:rPr>
        <w:t>Em- presas</w:t>
      </w:r>
      <w:r>
        <w:rPr>
          <w:color w:val="231F20"/>
          <w:spacing w:val="-26"/>
          <w:w w:val="105"/>
        </w:rPr>
        <w:t> </w:t>
      </w:r>
      <w:r>
        <w:rPr>
          <w:color w:val="231F20"/>
          <w:w w:val="105"/>
        </w:rPr>
        <w:t>en</w:t>
      </w:r>
      <w:r>
        <w:rPr>
          <w:color w:val="231F20"/>
          <w:spacing w:val="-26"/>
          <w:w w:val="105"/>
        </w:rPr>
        <w:t> </w:t>
      </w:r>
      <w:r>
        <w:rPr>
          <w:color w:val="231F20"/>
          <w:w w:val="105"/>
        </w:rPr>
        <w:t>la</w:t>
      </w:r>
      <w:r>
        <w:rPr>
          <w:color w:val="231F20"/>
          <w:spacing w:val="-26"/>
          <w:w w:val="105"/>
        </w:rPr>
        <w:t> </w:t>
      </w:r>
      <w:r>
        <w:rPr>
          <w:color w:val="231F20"/>
          <w:w w:val="105"/>
        </w:rPr>
        <w:t>Facultad</w:t>
      </w:r>
      <w:r>
        <w:rPr>
          <w:color w:val="231F20"/>
          <w:spacing w:val="-26"/>
          <w:w w:val="105"/>
        </w:rPr>
        <w:t> </w:t>
      </w:r>
      <w:r>
        <w:rPr>
          <w:color w:val="231F20"/>
          <w:w w:val="105"/>
        </w:rPr>
        <w:t>de</w:t>
      </w:r>
      <w:r>
        <w:rPr>
          <w:color w:val="231F20"/>
          <w:spacing w:val="-26"/>
          <w:w w:val="105"/>
        </w:rPr>
        <w:t> </w:t>
      </w:r>
      <w:r>
        <w:rPr>
          <w:color w:val="231F20"/>
          <w:w w:val="105"/>
        </w:rPr>
        <w:t>Contaduría</w:t>
      </w:r>
      <w:r>
        <w:rPr>
          <w:color w:val="231F20"/>
          <w:spacing w:val="-26"/>
          <w:w w:val="105"/>
        </w:rPr>
        <w:t> </w:t>
      </w:r>
      <w:r>
        <w:rPr>
          <w:color w:val="231F20"/>
          <w:w w:val="105"/>
        </w:rPr>
        <w:t>y</w:t>
      </w:r>
      <w:r>
        <w:rPr>
          <w:color w:val="231F20"/>
          <w:spacing w:val="-29"/>
          <w:w w:val="105"/>
        </w:rPr>
        <w:t> </w:t>
      </w:r>
      <w:r>
        <w:rPr>
          <w:color w:val="231F20"/>
          <w:w w:val="105"/>
        </w:rPr>
        <w:t>Administración</w:t>
      </w:r>
      <w:r>
        <w:rPr>
          <w:color w:val="231F20"/>
          <w:spacing w:val="-26"/>
          <w:w w:val="105"/>
        </w:rPr>
        <w:t> </w:t>
      </w:r>
      <w:r>
        <w:rPr>
          <w:color w:val="231F20"/>
          <w:w w:val="105"/>
        </w:rPr>
        <w:t>Campus</w:t>
      </w:r>
      <w:r>
        <w:rPr>
          <w:color w:val="231F20"/>
          <w:spacing w:val="-26"/>
          <w:w w:val="105"/>
        </w:rPr>
        <w:t> </w:t>
      </w:r>
      <w:r>
        <w:rPr>
          <w:color w:val="231F20"/>
          <w:w w:val="105"/>
        </w:rPr>
        <w:t>Nogales</w:t>
      </w:r>
      <w:r>
        <w:rPr>
          <w:color w:val="231F20"/>
          <w:spacing w:val="-26"/>
          <w:w w:val="105"/>
        </w:rPr>
        <w:t> </w:t>
      </w:r>
      <w:r>
        <w:rPr>
          <w:color w:val="231F20"/>
          <w:w w:val="105"/>
        </w:rPr>
        <w:t>y la</w:t>
      </w:r>
      <w:r>
        <w:rPr>
          <w:color w:val="231F20"/>
          <w:spacing w:val="-15"/>
          <w:w w:val="105"/>
        </w:rPr>
        <w:t> </w:t>
      </w:r>
      <w:r>
        <w:rPr>
          <w:color w:val="231F20"/>
          <w:w w:val="105"/>
        </w:rPr>
        <w:t>Maestría</w:t>
      </w:r>
      <w:r>
        <w:rPr>
          <w:color w:val="231F20"/>
          <w:spacing w:val="-15"/>
          <w:w w:val="105"/>
        </w:rPr>
        <w:t> </w:t>
      </w:r>
      <w:r>
        <w:rPr>
          <w:color w:val="231F20"/>
          <w:w w:val="105"/>
        </w:rPr>
        <w:t>en</w:t>
      </w:r>
      <w:r>
        <w:rPr>
          <w:color w:val="231F20"/>
          <w:spacing w:val="-15"/>
          <w:w w:val="105"/>
        </w:rPr>
        <w:t> </w:t>
      </w:r>
      <w:r>
        <w:rPr>
          <w:color w:val="231F20"/>
          <w:w w:val="105"/>
        </w:rPr>
        <w:t>Ciencias</w:t>
      </w:r>
      <w:r>
        <w:rPr>
          <w:color w:val="231F20"/>
          <w:spacing w:val="-18"/>
          <w:w w:val="105"/>
        </w:rPr>
        <w:t> </w:t>
      </w:r>
      <w:r>
        <w:rPr>
          <w:color w:val="231F20"/>
          <w:w w:val="105"/>
        </w:rPr>
        <w:t>Administrativas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Instituto</w:t>
      </w:r>
      <w:r>
        <w:rPr>
          <w:color w:val="231F20"/>
          <w:spacing w:val="-15"/>
          <w:w w:val="105"/>
        </w:rPr>
        <w:t> </w:t>
      </w:r>
      <w:r>
        <w:rPr>
          <w:color w:val="231F20"/>
          <w:w w:val="105"/>
        </w:rPr>
        <w:t>de</w:t>
      </w:r>
      <w:r>
        <w:rPr>
          <w:color w:val="231F20"/>
          <w:spacing w:val="-15"/>
          <w:w w:val="105"/>
        </w:rPr>
        <w:t> </w:t>
      </w:r>
      <w:r>
        <w:rPr>
          <w:color w:val="231F20"/>
          <w:w w:val="105"/>
        </w:rPr>
        <w:t>Investigación</w:t>
      </w:r>
      <w:r>
        <w:rPr>
          <w:color w:val="231F20"/>
          <w:spacing w:val="-15"/>
          <w:w w:val="105"/>
        </w:rPr>
        <w:t> </w:t>
      </w:r>
      <w:r>
        <w:rPr>
          <w:color w:val="231F20"/>
          <w:w w:val="105"/>
        </w:rPr>
        <w:t>y Estudios</w:t>
      </w:r>
      <w:r>
        <w:rPr>
          <w:color w:val="231F20"/>
          <w:spacing w:val="-29"/>
          <w:w w:val="105"/>
        </w:rPr>
        <w:t> </w:t>
      </w:r>
      <w:r>
        <w:rPr>
          <w:color w:val="231F20"/>
          <w:w w:val="105"/>
        </w:rPr>
        <w:t>Superiores</w:t>
      </w:r>
      <w:r>
        <w:rPr>
          <w:color w:val="231F20"/>
          <w:spacing w:val="-29"/>
          <w:w w:val="105"/>
        </w:rPr>
        <w:t> </w:t>
      </w:r>
      <w:r>
        <w:rPr>
          <w:color w:val="231F20"/>
          <w:w w:val="105"/>
        </w:rPr>
        <w:t>de</w:t>
      </w:r>
      <w:r>
        <w:rPr>
          <w:color w:val="231F20"/>
          <w:spacing w:val="-29"/>
          <w:w w:val="105"/>
        </w:rPr>
        <w:t> </w:t>
      </w:r>
      <w:r>
        <w:rPr>
          <w:color w:val="231F20"/>
          <w:w w:val="105"/>
        </w:rPr>
        <w:t>las</w:t>
      </w:r>
      <w:r>
        <w:rPr>
          <w:color w:val="231F20"/>
          <w:spacing w:val="-29"/>
          <w:w w:val="105"/>
        </w:rPr>
        <w:t> </w:t>
      </w:r>
      <w:r>
        <w:rPr>
          <w:color w:val="231F20"/>
          <w:w w:val="105"/>
        </w:rPr>
        <w:t>Ciencias</w:t>
      </w:r>
      <w:r>
        <w:rPr>
          <w:color w:val="231F20"/>
          <w:spacing w:val="-32"/>
          <w:w w:val="105"/>
        </w:rPr>
        <w:t> </w:t>
      </w:r>
      <w:r>
        <w:rPr>
          <w:color w:val="231F20"/>
          <w:w w:val="105"/>
        </w:rPr>
        <w:t>Administrativas,</w:t>
      </w:r>
      <w:r>
        <w:rPr>
          <w:color w:val="231F20"/>
          <w:spacing w:val="-33"/>
          <w:w w:val="105"/>
        </w:rPr>
        <w:t> </w:t>
      </w:r>
      <w:r>
        <w:rPr>
          <w:color w:val="231F20"/>
          <w:w w:val="105"/>
        </w:rPr>
        <w:t>ambas</w:t>
      </w:r>
      <w:r>
        <w:rPr>
          <w:color w:val="231F20"/>
          <w:spacing w:val="-29"/>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w w:val="105"/>
        </w:rPr>
        <w:t>Univer- sidad</w:t>
      </w:r>
      <w:r>
        <w:rPr>
          <w:color w:val="231F20"/>
          <w:spacing w:val="-21"/>
          <w:w w:val="105"/>
        </w:rPr>
        <w:t> </w:t>
      </w:r>
      <w:r>
        <w:rPr>
          <w:color w:val="231F20"/>
          <w:w w:val="105"/>
        </w:rPr>
        <w:t>Veracruzana.</w:t>
      </w:r>
      <w:r>
        <w:rPr>
          <w:color w:val="231F20"/>
          <w:spacing w:val="-23"/>
          <w:w w:val="105"/>
        </w:rPr>
        <w:t> </w:t>
      </w:r>
      <w:r>
        <w:rPr>
          <w:color w:val="231F20"/>
          <w:w w:val="105"/>
        </w:rPr>
        <w:t>Realizó</w:t>
      </w:r>
      <w:r>
        <w:rPr>
          <w:color w:val="231F20"/>
          <w:spacing w:val="-19"/>
          <w:w w:val="105"/>
        </w:rPr>
        <w:t> </w:t>
      </w:r>
      <w:r>
        <w:rPr>
          <w:color w:val="231F20"/>
          <w:w w:val="105"/>
        </w:rPr>
        <w:t>los</w:t>
      </w:r>
      <w:r>
        <w:rPr>
          <w:color w:val="231F20"/>
          <w:spacing w:val="-19"/>
          <w:w w:val="105"/>
        </w:rPr>
        <w:t> </w:t>
      </w:r>
      <w:r>
        <w:rPr>
          <w:color w:val="231F20"/>
          <w:w w:val="105"/>
        </w:rPr>
        <w:t>estudios</w:t>
      </w:r>
      <w:r>
        <w:rPr>
          <w:color w:val="231F20"/>
          <w:spacing w:val="-19"/>
          <w:w w:val="105"/>
        </w:rPr>
        <w:t> </w:t>
      </w:r>
      <w:r>
        <w:rPr>
          <w:color w:val="231F20"/>
          <w:w w:val="105"/>
        </w:rPr>
        <w:t>del</w:t>
      </w:r>
      <w:r>
        <w:rPr>
          <w:color w:val="231F20"/>
          <w:spacing w:val="-19"/>
          <w:w w:val="105"/>
        </w:rPr>
        <w:t> </w:t>
      </w:r>
      <w:r>
        <w:rPr>
          <w:color w:val="231F20"/>
          <w:w w:val="105"/>
        </w:rPr>
        <w:t>Doctorado</w:t>
      </w:r>
      <w:r>
        <w:rPr>
          <w:color w:val="231F20"/>
          <w:spacing w:val="-19"/>
          <w:w w:val="105"/>
        </w:rPr>
        <w:t> </w:t>
      </w:r>
      <w:r>
        <w:rPr>
          <w:color w:val="231F20"/>
          <w:w w:val="105"/>
        </w:rPr>
        <w:t>en</w:t>
      </w:r>
      <w:r>
        <w:rPr>
          <w:color w:val="231F20"/>
          <w:spacing w:val="-19"/>
          <w:w w:val="105"/>
        </w:rPr>
        <w:t> </w:t>
      </w:r>
      <w:r>
        <w:rPr>
          <w:color w:val="231F20"/>
          <w:w w:val="105"/>
        </w:rPr>
        <w:t>Ciencias</w:t>
      </w:r>
      <w:r>
        <w:rPr>
          <w:color w:val="231F20"/>
          <w:spacing w:val="-19"/>
          <w:w w:val="105"/>
        </w:rPr>
        <w:t> </w:t>
      </w:r>
      <w:r>
        <w:rPr>
          <w:color w:val="231F20"/>
          <w:w w:val="105"/>
        </w:rPr>
        <w:t>Eco- nómico Administrativas en la Universidad Autónoma del Estado de</w:t>
      </w:r>
      <w:r>
        <w:rPr>
          <w:color w:val="231F20"/>
          <w:spacing w:val="-36"/>
          <w:w w:val="105"/>
        </w:rPr>
        <w:t> </w:t>
      </w:r>
      <w:r>
        <w:rPr>
          <w:color w:val="231F20"/>
          <w:w w:val="105"/>
        </w:rPr>
        <w:t>Mé- xico.</w:t>
      </w:r>
      <w:r>
        <w:rPr>
          <w:color w:val="231F20"/>
          <w:spacing w:val="-20"/>
          <w:w w:val="105"/>
        </w:rPr>
        <w:t> </w:t>
      </w:r>
      <w:r>
        <w:rPr>
          <w:color w:val="231F20"/>
          <w:w w:val="105"/>
        </w:rPr>
        <w:t>Actualmente</w:t>
      </w:r>
      <w:r>
        <w:rPr>
          <w:color w:val="231F20"/>
          <w:spacing w:val="-10"/>
          <w:w w:val="105"/>
        </w:rPr>
        <w:t> </w:t>
      </w:r>
      <w:r>
        <w:rPr>
          <w:color w:val="231F20"/>
          <w:w w:val="105"/>
        </w:rPr>
        <w:t>se</w:t>
      </w:r>
      <w:r>
        <w:rPr>
          <w:color w:val="231F20"/>
          <w:spacing w:val="-10"/>
          <w:w w:val="105"/>
        </w:rPr>
        <w:t> </w:t>
      </w:r>
      <w:r>
        <w:rPr>
          <w:color w:val="231F20"/>
          <w:w w:val="105"/>
        </w:rPr>
        <w:t>desempeña</w:t>
      </w:r>
      <w:r>
        <w:rPr>
          <w:color w:val="231F20"/>
          <w:spacing w:val="-10"/>
          <w:w w:val="105"/>
        </w:rPr>
        <w:t> </w:t>
      </w:r>
      <w:r>
        <w:rPr>
          <w:color w:val="231F20"/>
          <w:w w:val="105"/>
        </w:rPr>
        <w:t>como</w:t>
      </w:r>
      <w:r>
        <w:rPr>
          <w:color w:val="231F20"/>
          <w:spacing w:val="-10"/>
          <w:w w:val="105"/>
        </w:rPr>
        <w:t> </w:t>
      </w:r>
      <w:r>
        <w:rPr>
          <w:color w:val="231F20"/>
          <w:w w:val="105"/>
        </w:rPr>
        <w:t>profesor</w:t>
      </w:r>
      <w:r>
        <w:rPr>
          <w:color w:val="231F20"/>
          <w:spacing w:val="-10"/>
          <w:w w:val="105"/>
        </w:rPr>
        <w:t> </w:t>
      </w:r>
      <w:r>
        <w:rPr>
          <w:color w:val="231F20"/>
          <w:w w:val="105"/>
        </w:rPr>
        <w:t>investigador</w:t>
      </w:r>
      <w:r>
        <w:rPr>
          <w:color w:val="231F20"/>
          <w:spacing w:val="-10"/>
          <w:w w:val="105"/>
        </w:rPr>
        <w:t> </w:t>
      </w:r>
      <w:r>
        <w:rPr>
          <w:color w:val="231F20"/>
          <w:w w:val="105"/>
        </w:rPr>
        <w:t>de</w:t>
      </w:r>
      <w:r>
        <w:rPr>
          <w:color w:val="231F20"/>
          <w:spacing w:val="-10"/>
          <w:w w:val="105"/>
        </w:rPr>
        <w:t> </w:t>
      </w:r>
      <w:r>
        <w:rPr>
          <w:color w:val="231F20"/>
          <w:w w:val="105"/>
        </w:rPr>
        <w:t>tiempo completo</w:t>
      </w:r>
      <w:r>
        <w:rPr>
          <w:color w:val="231F20"/>
          <w:spacing w:val="-18"/>
          <w:w w:val="105"/>
        </w:rPr>
        <w:t> </w:t>
      </w:r>
      <w:r>
        <w:rPr>
          <w:color w:val="231F20"/>
          <w:w w:val="105"/>
        </w:rPr>
        <w:t>adscrito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División</w:t>
      </w:r>
      <w:r>
        <w:rPr>
          <w:color w:val="231F20"/>
          <w:spacing w:val="-18"/>
          <w:w w:val="105"/>
        </w:rPr>
        <w:t> </w:t>
      </w:r>
      <w:r>
        <w:rPr>
          <w:color w:val="231F20"/>
          <w:w w:val="105"/>
        </w:rPr>
        <w:t>de</w:t>
      </w:r>
      <w:r>
        <w:rPr>
          <w:color w:val="231F20"/>
          <w:spacing w:val="-18"/>
          <w:w w:val="105"/>
        </w:rPr>
        <w:t> </w:t>
      </w:r>
      <w:r>
        <w:rPr>
          <w:color w:val="231F20"/>
          <w:w w:val="105"/>
        </w:rPr>
        <w:t>Ingeniería</w:t>
      </w:r>
      <w:r>
        <w:rPr>
          <w:color w:val="231F20"/>
          <w:spacing w:val="-18"/>
          <w:w w:val="105"/>
        </w:rPr>
        <w:t> </w:t>
      </w:r>
      <w:r>
        <w:rPr>
          <w:color w:val="231F20"/>
          <w:w w:val="105"/>
        </w:rPr>
        <w:t>en</w:t>
      </w:r>
      <w:r>
        <w:rPr>
          <w:color w:val="231F20"/>
          <w:spacing w:val="-21"/>
          <w:w w:val="105"/>
        </w:rPr>
        <w:t> </w:t>
      </w:r>
      <w:r>
        <w:rPr>
          <w:color w:val="231F20"/>
          <w:w w:val="105"/>
        </w:rPr>
        <w:t>Administración</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Ins- tituto</w:t>
      </w:r>
      <w:r>
        <w:rPr>
          <w:color w:val="231F20"/>
          <w:spacing w:val="-22"/>
          <w:w w:val="105"/>
        </w:rPr>
        <w:t> </w:t>
      </w:r>
      <w:r>
        <w:rPr>
          <w:color w:val="231F20"/>
          <w:w w:val="105"/>
        </w:rPr>
        <w:t>Tecnológico</w:t>
      </w:r>
      <w:r>
        <w:rPr>
          <w:color w:val="231F20"/>
          <w:spacing w:val="-19"/>
          <w:w w:val="105"/>
        </w:rPr>
        <w:t> </w:t>
      </w:r>
      <w:r>
        <w:rPr>
          <w:color w:val="231F20"/>
          <w:w w:val="105"/>
        </w:rPr>
        <w:t>Superior</w:t>
      </w:r>
      <w:r>
        <w:rPr>
          <w:color w:val="231F20"/>
          <w:spacing w:val="-19"/>
          <w:w w:val="105"/>
        </w:rPr>
        <w:t> </w:t>
      </w:r>
      <w:r>
        <w:rPr>
          <w:color w:val="231F20"/>
          <w:w w:val="105"/>
        </w:rPr>
        <w:t>de</w:t>
      </w:r>
      <w:r>
        <w:rPr>
          <w:color w:val="231F20"/>
          <w:spacing w:val="-22"/>
          <w:w w:val="105"/>
        </w:rPr>
        <w:t> </w:t>
      </w:r>
      <w:r>
        <w:rPr>
          <w:color w:val="231F20"/>
          <w:w w:val="105"/>
        </w:rPr>
        <w:t>Tierra</w:t>
      </w:r>
      <w:r>
        <w:rPr>
          <w:color w:val="231F20"/>
          <w:spacing w:val="-19"/>
          <w:w w:val="105"/>
        </w:rPr>
        <w:t> </w:t>
      </w:r>
      <w:r>
        <w:rPr>
          <w:color w:val="231F20"/>
          <w:w w:val="105"/>
        </w:rPr>
        <w:t>Blanca,</w:t>
      </w:r>
      <w:r>
        <w:rPr>
          <w:color w:val="231F20"/>
          <w:spacing w:val="-26"/>
          <w:w w:val="105"/>
        </w:rPr>
        <w:t> </w:t>
      </w:r>
      <w:r>
        <w:rPr>
          <w:color w:val="231F20"/>
          <w:w w:val="105"/>
        </w:rPr>
        <w:t>Veracruz.</w:t>
      </w:r>
      <w:r>
        <w:rPr>
          <w:color w:val="231F20"/>
          <w:spacing w:val="-26"/>
          <w:w w:val="105"/>
        </w:rPr>
        <w:t> </w:t>
      </w:r>
      <w:r>
        <w:rPr>
          <w:color w:val="231F20"/>
          <w:w w:val="105"/>
        </w:rPr>
        <w:t>Áreas</w:t>
      </w:r>
      <w:r>
        <w:rPr>
          <w:color w:val="231F20"/>
          <w:spacing w:val="-19"/>
          <w:w w:val="105"/>
        </w:rPr>
        <w:t> </w:t>
      </w:r>
      <w:r>
        <w:rPr>
          <w:color w:val="231F20"/>
          <w:w w:val="105"/>
        </w:rPr>
        <w:t>de</w:t>
      </w:r>
      <w:r>
        <w:rPr>
          <w:color w:val="231F20"/>
          <w:spacing w:val="-19"/>
          <w:w w:val="105"/>
        </w:rPr>
        <w:t> </w:t>
      </w:r>
      <w:r>
        <w:rPr>
          <w:color w:val="231F20"/>
          <w:w w:val="105"/>
        </w:rPr>
        <w:t>interés:</w:t>
      </w:r>
    </w:p>
    <w:p>
      <w:pPr>
        <w:spacing w:after="0" w:line="259" w:lineRule="auto"/>
        <w:jc w:val="both"/>
        <w:sectPr>
          <w:pgSz w:w="9640" w:h="13890"/>
          <w:pgMar w:top="1300" w:bottom="280" w:left="1300" w:right="1180"/>
        </w:sectPr>
      </w:pPr>
    </w:p>
    <w:p>
      <w:pPr>
        <w:pStyle w:val="BodyText"/>
        <w:spacing w:line="259" w:lineRule="auto" w:before="120"/>
        <w:ind w:left="103" w:right="115"/>
        <w:jc w:val="both"/>
      </w:pPr>
      <w:r>
        <w:rPr>
          <w:color w:val="231F20"/>
          <w:w w:val="105"/>
        </w:rPr>
        <w:t>Capital Intelectual, Comportamiento Organizacional y Desempeño de Instituciones de Educación Superior.</w:t>
      </w:r>
    </w:p>
    <w:p>
      <w:pPr>
        <w:pStyle w:val="BodyText"/>
        <w:spacing w:before="6"/>
        <w:rPr>
          <w:sz w:val="22"/>
        </w:rPr>
      </w:pPr>
    </w:p>
    <w:p>
      <w:pPr>
        <w:pStyle w:val="BodyText"/>
        <w:spacing w:line="259" w:lineRule="auto"/>
        <w:ind w:left="103" w:right="115"/>
        <w:jc w:val="both"/>
      </w:pPr>
      <w:r>
        <w:rPr>
          <w:color w:val="231F20"/>
          <w:w w:val="105"/>
        </w:rPr>
        <w:t>Gabriela</w:t>
      </w:r>
      <w:r>
        <w:rPr>
          <w:color w:val="231F20"/>
          <w:spacing w:val="-28"/>
          <w:w w:val="105"/>
        </w:rPr>
        <w:t> </w:t>
      </w:r>
      <w:r>
        <w:rPr>
          <w:color w:val="231F20"/>
          <w:w w:val="105"/>
        </w:rPr>
        <w:t>Munguía</w:t>
      </w:r>
      <w:r>
        <w:rPr>
          <w:color w:val="231F20"/>
          <w:spacing w:val="-30"/>
          <w:w w:val="105"/>
        </w:rPr>
        <w:t> </w:t>
      </w:r>
      <w:r>
        <w:rPr>
          <w:color w:val="231F20"/>
          <w:w w:val="105"/>
        </w:rPr>
        <w:t>Vázquez.</w:t>
      </w:r>
      <w:r>
        <w:rPr>
          <w:color w:val="231F20"/>
          <w:spacing w:val="-28"/>
          <w:w w:val="105"/>
        </w:rPr>
        <w:t> </w:t>
      </w:r>
      <w:r>
        <w:rPr>
          <w:color w:val="231F20"/>
          <w:w w:val="105"/>
        </w:rPr>
        <w:t>Doctora</w:t>
      </w:r>
      <w:r>
        <w:rPr>
          <w:color w:val="231F20"/>
          <w:spacing w:val="-28"/>
          <w:w w:val="105"/>
        </w:rPr>
        <w:t> </w:t>
      </w:r>
      <w:r>
        <w:rPr>
          <w:color w:val="231F20"/>
          <w:w w:val="105"/>
        </w:rPr>
        <w:t>en</w:t>
      </w:r>
      <w:r>
        <w:rPr>
          <w:color w:val="231F20"/>
          <w:spacing w:val="-28"/>
          <w:w w:val="105"/>
        </w:rPr>
        <w:t> </w:t>
      </w:r>
      <w:r>
        <w:rPr>
          <w:color w:val="231F20"/>
          <w:w w:val="105"/>
        </w:rPr>
        <w:t>Ciencias</w:t>
      </w:r>
      <w:r>
        <w:rPr>
          <w:color w:val="231F20"/>
          <w:spacing w:val="-28"/>
          <w:w w:val="105"/>
        </w:rPr>
        <w:t> </w:t>
      </w:r>
      <w:r>
        <w:rPr>
          <w:color w:val="231F20"/>
          <w:w w:val="105"/>
        </w:rPr>
        <w:t>Económico</w:t>
      </w:r>
      <w:r>
        <w:rPr>
          <w:color w:val="231F20"/>
          <w:spacing w:val="-30"/>
          <w:w w:val="105"/>
        </w:rPr>
        <w:t> </w:t>
      </w:r>
      <w:r>
        <w:rPr>
          <w:color w:val="231F20"/>
          <w:w w:val="105"/>
        </w:rPr>
        <w:t>Administra- tivas,</w:t>
      </w:r>
      <w:r>
        <w:rPr>
          <w:color w:val="231F20"/>
          <w:spacing w:val="-35"/>
          <w:w w:val="105"/>
        </w:rPr>
        <w:t> </w:t>
      </w:r>
      <w:r>
        <w:rPr>
          <w:color w:val="231F20"/>
          <w:w w:val="105"/>
        </w:rPr>
        <w:t>Adscripción</w:t>
      </w:r>
      <w:r>
        <w:rPr>
          <w:color w:val="231F20"/>
          <w:spacing w:val="-27"/>
          <w:w w:val="105"/>
        </w:rPr>
        <w:t> </w:t>
      </w:r>
      <w:r>
        <w:rPr>
          <w:color w:val="231F20"/>
          <w:w w:val="105"/>
        </w:rPr>
        <w:t>Universidad</w:t>
      </w:r>
      <w:r>
        <w:rPr>
          <w:color w:val="231F20"/>
          <w:spacing w:val="-30"/>
          <w:w w:val="105"/>
        </w:rPr>
        <w:t> </w:t>
      </w:r>
      <w:r>
        <w:rPr>
          <w:color w:val="231F20"/>
          <w:w w:val="105"/>
        </w:rPr>
        <w:t>Autónoma</w:t>
      </w:r>
      <w:r>
        <w:rPr>
          <w:color w:val="231F20"/>
          <w:spacing w:val="-27"/>
          <w:w w:val="105"/>
        </w:rPr>
        <w:t> </w:t>
      </w:r>
      <w:r>
        <w:rPr>
          <w:color w:val="231F20"/>
          <w:w w:val="105"/>
        </w:rPr>
        <w:t>del</w:t>
      </w:r>
      <w:r>
        <w:rPr>
          <w:color w:val="231F20"/>
          <w:spacing w:val="-27"/>
          <w:w w:val="105"/>
        </w:rPr>
        <w:t> </w:t>
      </w:r>
      <w:r>
        <w:rPr>
          <w:color w:val="231F20"/>
          <w:w w:val="105"/>
        </w:rPr>
        <w:t>Estado</w:t>
      </w:r>
      <w:r>
        <w:rPr>
          <w:color w:val="231F20"/>
          <w:spacing w:val="-27"/>
          <w:w w:val="105"/>
        </w:rPr>
        <w:t> </w:t>
      </w:r>
      <w:r>
        <w:rPr>
          <w:color w:val="231F20"/>
          <w:w w:val="105"/>
        </w:rPr>
        <w:t>de</w:t>
      </w:r>
      <w:r>
        <w:rPr>
          <w:color w:val="231F20"/>
          <w:spacing w:val="-27"/>
          <w:w w:val="105"/>
        </w:rPr>
        <w:t> </w:t>
      </w:r>
      <w:r>
        <w:rPr>
          <w:color w:val="231F20"/>
          <w:w w:val="105"/>
        </w:rPr>
        <w:t>México.</w:t>
      </w:r>
      <w:r>
        <w:rPr>
          <w:color w:val="231F20"/>
          <w:spacing w:val="-33"/>
          <w:w w:val="105"/>
        </w:rPr>
        <w:t> </w:t>
      </w:r>
      <w:r>
        <w:rPr>
          <w:color w:val="231F20"/>
          <w:w w:val="105"/>
        </w:rPr>
        <w:t>Facultad de</w:t>
      </w:r>
      <w:r>
        <w:rPr>
          <w:color w:val="231F20"/>
          <w:spacing w:val="-38"/>
          <w:w w:val="105"/>
        </w:rPr>
        <w:t> </w:t>
      </w:r>
      <w:r>
        <w:rPr>
          <w:color w:val="231F20"/>
          <w:w w:val="105"/>
        </w:rPr>
        <w:t>Economía.</w:t>
      </w:r>
      <w:r>
        <w:rPr>
          <w:color w:val="231F20"/>
          <w:spacing w:val="-41"/>
          <w:w w:val="105"/>
        </w:rPr>
        <w:t> </w:t>
      </w:r>
      <w:r>
        <w:rPr>
          <w:color w:val="231F20"/>
          <w:w w:val="105"/>
        </w:rPr>
        <w:t>Líneas</w:t>
      </w:r>
      <w:r>
        <w:rPr>
          <w:color w:val="231F20"/>
          <w:spacing w:val="-38"/>
          <w:w w:val="105"/>
        </w:rPr>
        <w:t> </w:t>
      </w:r>
      <w:r>
        <w:rPr>
          <w:color w:val="231F20"/>
          <w:w w:val="105"/>
        </w:rPr>
        <w:t>de</w:t>
      </w:r>
      <w:r>
        <w:rPr>
          <w:color w:val="231F20"/>
          <w:spacing w:val="-38"/>
          <w:w w:val="105"/>
        </w:rPr>
        <w:t> </w:t>
      </w:r>
      <w:r>
        <w:rPr>
          <w:color w:val="231F20"/>
          <w:w w:val="105"/>
        </w:rPr>
        <w:t>Investigación</w:t>
      </w:r>
      <w:r>
        <w:rPr>
          <w:color w:val="231F20"/>
          <w:spacing w:val="-38"/>
          <w:w w:val="105"/>
        </w:rPr>
        <w:t> </w:t>
      </w:r>
      <w:r>
        <w:rPr>
          <w:color w:val="231F20"/>
          <w:w w:val="105"/>
        </w:rPr>
        <w:t>Economía</w:t>
      </w:r>
      <w:r>
        <w:rPr>
          <w:color w:val="231F20"/>
          <w:spacing w:val="-38"/>
          <w:w w:val="105"/>
        </w:rPr>
        <w:t> </w:t>
      </w:r>
      <w:r>
        <w:rPr>
          <w:color w:val="231F20"/>
          <w:w w:val="105"/>
        </w:rPr>
        <w:t>Internacional</w:t>
      </w:r>
      <w:r>
        <w:rPr>
          <w:color w:val="231F20"/>
          <w:spacing w:val="-38"/>
          <w:w w:val="105"/>
        </w:rPr>
        <w:t> </w:t>
      </w:r>
      <w:r>
        <w:rPr>
          <w:color w:val="231F20"/>
          <w:w w:val="105"/>
        </w:rPr>
        <w:t>y</w:t>
      </w:r>
      <w:r>
        <w:rPr>
          <w:color w:val="231F20"/>
          <w:spacing w:val="-38"/>
          <w:w w:val="105"/>
        </w:rPr>
        <w:t> </w:t>
      </w:r>
      <w:r>
        <w:rPr>
          <w:color w:val="231F20"/>
          <w:w w:val="105"/>
        </w:rPr>
        <w:t>Sectores </w:t>
      </w:r>
      <w:r>
        <w:rPr>
          <w:color w:val="231F20"/>
        </w:rPr>
        <w:t>Productivos. Pertenencia al Sistema Nacional de Investigadores</w:t>
      </w:r>
      <w:r>
        <w:rPr>
          <w:color w:val="231F20"/>
          <w:spacing w:val="-25"/>
        </w:rPr>
        <w:t> </w:t>
      </w:r>
      <w:r>
        <w:rPr>
          <w:color w:val="231F20"/>
        </w:rPr>
        <w:t>(Conacyt) </w:t>
      </w:r>
      <w:r>
        <w:rPr>
          <w:color w:val="231F20"/>
          <w:w w:val="105"/>
        </w:rPr>
        <w:t>desde</w:t>
      </w:r>
      <w:r>
        <w:rPr>
          <w:color w:val="231F20"/>
          <w:spacing w:val="-19"/>
          <w:w w:val="105"/>
        </w:rPr>
        <w:t> </w:t>
      </w:r>
      <w:r>
        <w:rPr>
          <w:color w:val="231F20"/>
          <w:w w:val="105"/>
        </w:rPr>
        <w:t>2015.</w:t>
      </w:r>
    </w:p>
    <w:p>
      <w:pPr>
        <w:pStyle w:val="BodyText"/>
        <w:spacing w:before="6"/>
        <w:rPr>
          <w:sz w:val="22"/>
        </w:rPr>
      </w:pPr>
    </w:p>
    <w:p>
      <w:pPr>
        <w:pStyle w:val="BodyText"/>
        <w:spacing w:line="259" w:lineRule="auto"/>
        <w:ind w:left="103" w:right="114"/>
        <w:jc w:val="both"/>
      </w:pPr>
      <w:r>
        <w:rPr>
          <w:color w:val="231F20"/>
          <w:w w:val="105"/>
        </w:rPr>
        <w:t>Joel</w:t>
      </w:r>
      <w:r>
        <w:rPr>
          <w:color w:val="231F20"/>
          <w:spacing w:val="-23"/>
          <w:w w:val="105"/>
        </w:rPr>
        <w:t> </w:t>
      </w:r>
      <w:r>
        <w:rPr>
          <w:color w:val="231F20"/>
          <w:w w:val="105"/>
        </w:rPr>
        <w:t>Martínez</w:t>
      </w:r>
      <w:r>
        <w:rPr>
          <w:color w:val="231F20"/>
          <w:spacing w:val="-23"/>
          <w:w w:val="105"/>
        </w:rPr>
        <w:t> </w:t>
      </w:r>
      <w:r>
        <w:rPr>
          <w:color w:val="231F20"/>
          <w:w w:val="105"/>
        </w:rPr>
        <w:t>Bello.</w:t>
      </w:r>
      <w:r>
        <w:rPr>
          <w:color w:val="231F20"/>
          <w:spacing w:val="-23"/>
          <w:w w:val="105"/>
        </w:rPr>
        <w:t> </w:t>
      </w:r>
      <w:r>
        <w:rPr>
          <w:color w:val="231F20"/>
          <w:w w:val="105"/>
        </w:rPr>
        <w:t>Profesor</w:t>
      </w:r>
      <w:r>
        <w:rPr>
          <w:color w:val="231F20"/>
          <w:spacing w:val="-23"/>
          <w:w w:val="105"/>
        </w:rPr>
        <w:t> </w:t>
      </w:r>
      <w:r>
        <w:rPr>
          <w:color w:val="231F20"/>
          <w:w w:val="105"/>
        </w:rPr>
        <w:t>de</w:t>
      </w:r>
      <w:r>
        <w:rPr>
          <w:color w:val="231F20"/>
          <w:spacing w:val="-27"/>
          <w:w w:val="105"/>
        </w:rPr>
        <w:t> </w:t>
      </w:r>
      <w:r>
        <w:rPr>
          <w:color w:val="231F20"/>
          <w:w w:val="105"/>
        </w:rPr>
        <w:t>Tiempo</w:t>
      </w:r>
      <w:r>
        <w:rPr>
          <w:color w:val="231F20"/>
          <w:spacing w:val="-23"/>
          <w:w w:val="105"/>
        </w:rPr>
        <w:t> </w:t>
      </w:r>
      <w:r>
        <w:rPr>
          <w:color w:val="231F20"/>
          <w:w w:val="105"/>
        </w:rPr>
        <w:t>completo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Facultad</w:t>
      </w:r>
      <w:r>
        <w:rPr>
          <w:color w:val="231F20"/>
          <w:spacing w:val="-23"/>
          <w:w w:val="105"/>
        </w:rPr>
        <w:t> </w:t>
      </w:r>
      <w:r>
        <w:rPr>
          <w:color w:val="231F20"/>
          <w:w w:val="105"/>
        </w:rPr>
        <w:t>de</w:t>
      </w:r>
      <w:r>
        <w:rPr>
          <w:color w:val="231F20"/>
          <w:spacing w:val="-23"/>
          <w:w w:val="105"/>
        </w:rPr>
        <w:t> </w:t>
      </w:r>
      <w:r>
        <w:rPr>
          <w:color w:val="231F20"/>
          <w:w w:val="105"/>
        </w:rPr>
        <w:t>Eco- nomía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Universidad</w:t>
      </w:r>
      <w:r>
        <w:rPr>
          <w:color w:val="231F20"/>
          <w:spacing w:val="-8"/>
          <w:w w:val="105"/>
        </w:rPr>
        <w:t> </w:t>
      </w:r>
      <w:r>
        <w:rPr>
          <w:color w:val="231F20"/>
          <w:w w:val="105"/>
        </w:rPr>
        <w:t>Autónoma</w:t>
      </w:r>
      <w:r>
        <w:rPr>
          <w:color w:val="231F20"/>
          <w:spacing w:val="-4"/>
          <w:w w:val="105"/>
        </w:rPr>
        <w:t> </w:t>
      </w:r>
      <w:r>
        <w:rPr>
          <w:color w:val="231F20"/>
          <w:w w:val="105"/>
        </w:rPr>
        <w:t>del</w:t>
      </w:r>
      <w:r>
        <w:rPr>
          <w:color w:val="231F20"/>
          <w:spacing w:val="-4"/>
          <w:w w:val="105"/>
        </w:rPr>
        <w:t> </w:t>
      </w:r>
      <w:r>
        <w:rPr>
          <w:color w:val="231F20"/>
          <w:w w:val="105"/>
        </w:rPr>
        <w:t>Estado</w:t>
      </w:r>
      <w:r>
        <w:rPr>
          <w:color w:val="231F20"/>
          <w:spacing w:val="-4"/>
          <w:w w:val="105"/>
        </w:rPr>
        <w:t> </w:t>
      </w:r>
      <w:r>
        <w:rPr>
          <w:color w:val="231F20"/>
          <w:w w:val="105"/>
        </w:rPr>
        <w:t>de</w:t>
      </w:r>
      <w:r>
        <w:rPr>
          <w:color w:val="231F20"/>
          <w:spacing w:val="-4"/>
          <w:w w:val="105"/>
        </w:rPr>
        <w:t> </w:t>
      </w:r>
      <w:r>
        <w:rPr>
          <w:color w:val="231F20"/>
          <w:w w:val="105"/>
        </w:rPr>
        <w:t>México,</w:t>
      </w:r>
      <w:r>
        <w:rPr>
          <w:color w:val="231F20"/>
          <w:spacing w:val="-10"/>
          <w:w w:val="105"/>
        </w:rPr>
        <w:t> </w:t>
      </w:r>
      <w:r>
        <w:rPr>
          <w:color w:val="231F20"/>
          <w:w w:val="105"/>
        </w:rPr>
        <w:t>Licenciado</w:t>
      </w:r>
      <w:r>
        <w:rPr>
          <w:color w:val="231F20"/>
          <w:spacing w:val="-4"/>
          <w:w w:val="105"/>
        </w:rPr>
        <w:t> </w:t>
      </w:r>
      <w:r>
        <w:rPr>
          <w:color w:val="231F20"/>
          <w:w w:val="105"/>
        </w:rPr>
        <w:t>y Maestro</w:t>
      </w:r>
      <w:r>
        <w:rPr>
          <w:color w:val="231F20"/>
          <w:spacing w:val="-13"/>
          <w:w w:val="105"/>
        </w:rPr>
        <w:t> </w:t>
      </w:r>
      <w:r>
        <w:rPr>
          <w:color w:val="231F20"/>
          <w:w w:val="105"/>
        </w:rPr>
        <w:t>en</w:t>
      </w:r>
      <w:r>
        <w:rPr>
          <w:color w:val="231F20"/>
          <w:spacing w:val="-13"/>
          <w:w w:val="105"/>
        </w:rPr>
        <w:t> </w:t>
      </w:r>
      <w:r>
        <w:rPr>
          <w:color w:val="231F20"/>
          <w:w w:val="105"/>
        </w:rPr>
        <w:t>Economía</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Facultad</w:t>
      </w:r>
      <w:r>
        <w:rPr>
          <w:color w:val="231F20"/>
          <w:spacing w:val="-13"/>
          <w:w w:val="105"/>
        </w:rPr>
        <w:t> </w:t>
      </w:r>
      <w:r>
        <w:rPr>
          <w:color w:val="231F20"/>
          <w:w w:val="105"/>
        </w:rPr>
        <w:t>de</w:t>
      </w:r>
      <w:r>
        <w:rPr>
          <w:color w:val="231F20"/>
          <w:spacing w:val="-13"/>
          <w:w w:val="105"/>
        </w:rPr>
        <w:t> </w:t>
      </w:r>
      <w:r>
        <w:rPr>
          <w:color w:val="231F20"/>
          <w:w w:val="105"/>
        </w:rPr>
        <w:t>Economía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UAEM;</w:t>
      </w:r>
      <w:r>
        <w:rPr>
          <w:color w:val="231F20"/>
          <w:spacing w:val="-13"/>
          <w:w w:val="105"/>
        </w:rPr>
        <w:t> </w:t>
      </w:r>
      <w:r>
        <w:rPr>
          <w:color w:val="231F20"/>
          <w:w w:val="105"/>
        </w:rPr>
        <w:t>Doctor en</w:t>
      </w:r>
      <w:r>
        <w:rPr>
          <w:color w:val="231F20"/>
          <w:spacing w:val="-9"/>
          <w:w w:val="105"/>
        </w:rPr>
        <w:t> </w:t>
      </w:r>
      <w:r>
        <w:rPr>
          <w:color w:val="231F20"/>
          <w:w w:val="105"/>
        </w:rPr>
        <w:t>Ciencias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Educación</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Colegio</w:t>
      </w:r>
      <w:r>
        <w:rPr>
          <w:color w:val="231F20"/>
          <w:spacing w:val="-9"/>
          <w:w w:val="105"/>
        </w:rPr>
        <w:t> </w:t>
      </w:r>
      <w:r>
        <w:rPr>
          <w:color w:val="231F20"/>
          <w:w w:val="105"/>
        </w:rPr>
        <w:t>de</w:t>
      </w:r>
      <w:r>
        <w:rPr>
          <w:color w:val="231F20"/>
          <w:spacing w:val="-9"/>
          <w:w w:val="105"/>
        </w:rPr>
        <w:t> </w:t>
      </w:r>
      <w:r>
        <w:rPr>
          <w:color w:val="231F20"/>
          <w:w w:val="105"/>
        </w:rPr>
        <w:t>Estudios</w:t>
      </w:r>
      <w:r>
        <w:rPr>
          <w:color w:val="231F20"/>
          <w:spacing w:val="-9"/>
          <w:w w:val="105"/>
        </w:rPr>
        <w:t> </w:t>
      </w:r>
      <w:r>
        <w:rPr>
          <w:color w:val="231F20"/>
          <w:w w:val="105"/>
        </w:rPr>
        <w:t>de</w:t>
      </w:r>
      <w:r>
        <w:rPr>
          <w:color w:val="231F20"/>
          <w:spacing w:val="-9"/>
          <w:w w:val="105"/>
        </w:rPr>
        <w:t> </w:t>
      </w:r>
      <w:r>
        <w:rPr>
          <w:color w:val="231F20"/>
          <w:spacing w:val="-3"/>
          <w:w w:val="105"/>
        </w:rPr>
        <w:t>Posgrado</w:t>
      </w:r>
      <w:r>
        <w:rPr>
          <w:color w:val="231F20"/>
          <w:spacing w:val="-9"/>
          <w:w w:val="105"/>
        </w:rPr>
        <w:t> </w:t>
      </w:r>
      <w:r>
        <w:rPr>
          <w:color w:val="231F20"/>
          <w:w w:val="105"/>
        </w:rPr>
        <w:t>de la Ciudad de México; ha desarrollado su actividad profesional en</w:t>
      </w:r>
      <w:r>
        <w:rPr>
          <w:color w:val="231F20"/>
          <w:spacing w:val="-13"/>
          <w:w w:val="105"/>
        </w:rPr>
        <w:t> </w:t>
      </w:r>
      <w:r>
        <w:rPr>
          <w:color w:val="231F20"/>
          <w:w w:val="105"/>
        </w:rPr>
        <w:t>diver- sas</w:t>
      </w:r>
      <w:r>
        <w:rPr>
          <w:color w:val="231F20"/>
          <w:spacing w:val="-19"/>
          <w:w w:val="105"/>
        </w:rPr>
        <w:t> </w:t>
      </w:r>
      <w:r>
        <w:rPr>
          <w:color w:val="231F20"/>
          <w:w w:val="105"/>
        </w:rPr>
        <w:t>áreas</w:t>
      </w:r>
      <w:r>
        <w:rPr>
          <w:color w:val="231F20"/>
          <w:spacing w:val="-19"/>
          <w:w w:val="105"/>
        </w:rPr>
        <w:t> </w:t>
      </w:r>
      <w:r>
        <w:rPr>
          <w:color w:val="231F20"/>
          <w:w w:val="105"/>
        </w:rPr>
        <w:t>académicas</w:t>
      </w:r>
      <w:r>
        <w:rPr>
          <w:color w:val="231F20"/>
          <w:spacing w:val="-19"/>
          <w:w w:val="105"/>
        </w:rPr>
        <w:t> </w:t>
      </w:r>
      <w:r>
        <w:rPr>
          <w:color w:val="231F20"/>
          <w:w w:val="105"/>
        </w:rPr>
        <w:t>y</w:t>
      </w:r>
      <w:r>
        <w:rPr>
          <w:color w:val="231F20"/>
          <w:spacing w:val="-19"/>
          <w:w w:val="105"/>
        </w:rPr>
        <w:t> </w:t>
      </w:r>
      <w:r>
        <w:rPr>
          <w:color w:val="231F20"/>
          <w:w w:val="105"/>
        </w:rPr>
        <w:t>administrativas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Universidad</w:t>
      </w:r>
      <w:r>
        <w:rPr>
          <w:color w:val="231F20"/>
          <w:spacing w:val="-22"/>
          <w:w w:val="105"/>
        </w:rPr>
        <w:t> </w:t>
      </w:r>
      <w:r>
        <w:rPr>
          <w:color w:val="231F20"/>
          <w:w w:val="105"/>
        </w:rPr>
        <w:t>Autónoma</w:t>
      </w:r>
      <w:r>
        <w:rPr>
          <w:color w:val="231F20"/>
          <w:spacing w:val="-19"/>
          <w:w w:val="105"/>
        </w:rPr>
        <w:t> </w:t>
      </w:r>
      <w:r>
        <w:rPr>
          <w:color w:val="231F20"/>
          <w:w w:val="105"/>
        </w:rPr>
        <w:t>del Estado de México, su producción ha sido publicada en revistas y libros científicos.</w:t>
      </w:r>
      <w:r>
        <w:rPr>
          <w:color w:val="231F20"/>
          <w:spacing w:val="-30"/>
          <w:w w:val="105"/>
        </w:rPr>
        <w:t> </w:t>
      </w:r>
      <w:r>
        <w:rPr>
          <w:color w:val="231F20"/>
          <w:w w:val="105"/>
        </w:rPr>
        <w:t>Áreas</w:t>
      </w:r>
      <w:r>
        <w:rPr>
          <w:color w:val="231F20"/>
          <w:spacing w:val="-22"/>
          <w:w w:val="105"/>
        </w:rPr>
        <w:t> </w:t>
      </w:r>
      <w:r>
        <w:rPr>
          <w:color w:val="231F20"/>
          <w:w w:val="105"/>
        </w:rPr>
        <w:t>de</w:t>
      </w:r>
      <w:r>
        <w:rPr>
          <w:color w:val="231F20"/>
          <w:spacing w:val="-22"/>
          <w:w w:val="105"/>
        </w:rPr>
        <w:t> </w:t>
      </w:r>
      <w:r>
        <w:rPr>
          <w:color w:val="231F20"/>
          <w:w w:val="105"/>
        </w:rPr>
        <w:t>estudio:</w:t>
      </w:r>
      <w:r>
        <w:rPr>
          <w:color w:val="231F20"/>
          <w:spacing w:val="-22"/>
          <w:w w:val="105"/>
        </w:rPr>
        <w:t> </w:t>
      </w:r>
      <w:r>
        <w:rPr>
          <w:color w:val="231F20"/>
          <w:w w:val="105"/>
        </w:rPr>
        <w:t>educación</w:t>
      </w:r>
      <w:r>
        <w:rPr>
          <w:color w:val="231F20"/>
          <w:spacing w:val="-22"/>
          <w:w w:val="105"/>
        </w:rPr>
        <w:t> </w:t>
      </w:r>
      <w:r>
        <w:rPr>
          <w:color w:val="231F20"/>
          <w:w w:val="105"/>
        </w:rPr>
        <w:t>y</w:t>
      </w:r>
      <w:r>
        <w:rPr>
          <w:color w:val="231F20"/>
          <w:spacing w:val="-22"/>
          <w:w w:val="105"/>
        </w:rPr>
        <w:t> </w:t>
      </w:r>
      <w:r>
        <w:rPr>
          <w:color w:val="231F20"/>
          <w:w w:val="105"/>
        </w:rPr>
        <w:t>microeconomía.</w:t>
      </w:r>
    </w:p>
    <w:p>
      <w:pPr>
        <w:pStyle w:val="BodyText"/>
        <w:spacing w:before="6"/>
        <w:rPr>
          <w:sz w:val="22"/>
        </w:rPr>
      </w:pPr>
    </w:p>
    <w:p>
      <w:pPr>
        <w:pStyle w:val="BodyText"/>
        <w:spacing w:line="259" w:lineRule="auto"/>
        <w:ind w:left="103" w:right="115"/>
        <w:jc w:val="both"/>
      </w:pPr>
      <w:r>
        <w:rPr>
          <w:color w:val="231F20"/>
          <w:w w:val="105"/>
        </w:rPr>
        <w:t>Juan</w:t>
      </w:r>
      <w:r>
        <w:rPr>
          <w:color w:val="231F20"/>
          <w:spacing w:val="-15"/>
          <w:w w:val="105"/>
        </w:rPr>
        <w:t> </w:t>
      </w:r>
      <w:r>
        <w:rPr>
          <w:color w:val="231F20"/>
          <w:w w:val="105"/>
        </w:rPr>
        <w:t>Andrés</w:t>
      </w:r>
      <w:r>
        <w:rPr>
          <w:color w:val="231F20"/>
          <w:spacing w:val="-12"/>
          <w:w w:val="105"/>
        </w:rPr>
        <w:t> </w:t>
      </w:r>
      <w:r>
        <w:rPr>
          <w:color w:val="231F20"/>
          <w:w w:val="105"/>
        </w:rPr>
        <w:t>Godínez</w:t>
      </w:r>
      <w:r>
        <w:rPr>
          <w:color w:val="231F20"/>
          <w:spacing w:val="-12"/>
          <w:w w:val="105"/>
        </w:rPr>
        <w:t> </w:t>
      </w:r>
      <w:r>
        <w:rPr>
          <w:color w:val="231F20"/>
          <w:w w:val="105"/>
        </w:rPr>
        <w:t>Enciso.</w:t>
      </w:r>
      <w:r>
        <w:rPr>
          <w:color w:val="231F20"/>
          <w:spacing w:val="-12"/>
          <w:w w:val="105"/>
        </w:rPr>
        <w:t> </w:t>
      </w:r>
      <w:r>
        <w:rPr>
          <w:color w:val="231F20"/>
          <w:w w:val="105"/>
        </w:rPr>
        <w:t>Profesor</w:t>
      </w:r>
      <w:r>
        <w:rPr>
          <w:color w:val="231F20"/>
          <w:spacing w:val="-12"/>
          <w:w w:val="105"/>
        </w:rPr>
        <w:t> </w:t>
      </w:r>
      <w:r>
        <w:rPr>
          <w:color w:val="231F20"/>
          <w:w w:val="105"/>
        </w:rPr>
        <w:t>e</w:t>
      </w:r>
      <w:r>
        <w:rPr>
          <w:color w:val="231F20"/>
          <w:spacing w:val="-12"/>
          <w:w w:val="105"/>
        </w:rPr>
        <w:t> </w:t>
      </w:r>
      <w:r>
        <w:rPr>
          <w:color w:val="231F20"/>
          <w:w w:val="105"/>
        </w:rPr>
        <w:t>Investigador</w:t>
      </w:r>
      <w:r>
        <w:rPr>
          <w:color w:val="231F20"/>
          <w:spacing w:val="-12"/>
          <w:w w:val="105"/>
        </w:rPr>
        <w:t> </w:t>
      </w:r>
      <w:r>
        <w:rPr>
          <w:color w:val="231F20"/>
          <w:w w:val="105"/>
        </w:rPr>
        <w:t>del</w:t>
      </w:r>
      <w:r>
        <w:rPr>
          <w:color w:val="231F20"/>
          <w:spacing w:val="-15"/>
          <w:w w:val="105"/>
        </w:rPr>
        <w:t> </w:t>
      </w:r>
      <w:r>
        <w:rPr>
          <w:color w:val="231F20"/>
          <w:w w:val="105"/>
        </w:rPr>
        <w:t>Área</w:t>
      </w:r>
      <w:r>
        <w:rPr>
          <w:color w:val="231F20"/>
          <w:spacing w:val="-12"/>
          <w:w w:val="105"/>
        </w:rPr>
        <w:t> </w:t>
      </w:r>
      <w:r>
        <w:rPr>
          <w:color w:val="231F20"/>
          <w:w w:val="105"/>
        </w:rPr>
        <w:t>de</w:t>
      </w:r>
      <w:r>
        <w:rPr>
          <w:color w:val="231F20"/>
          <w:spacing w:val="-12"/>
          <w:w w:val="105"/>
        </w:rPr>
        <w:t> </w:t>
      </w:r>
      <w:r>
        <w:rPr>
          <w:color w:val="231F20"/>
          <w:w w:val="105"/>
        </w:rPr>
        <w:t>Rela- ciones</w:t>
      </w:r>
      <w:r>
        <w:rPr>
          <w:color w:val="231F20"/>
          <w:spacing w:val="-19"/>
          <w:w w:val="105"/>
        </w:rPr>
        <w:t> </w:t>
      </w:r>
      <w:r>
        <w:rPr>
          <w:color w:val="231F20"/>
          <w:w w:val="105"/>
        </w:rPr>
        <w:t>Productivas</w:t>
      </w:r>
      <w:r>
        <w:rPr>
          <w:color w:val="231F20"/>
          <w:spacing w:val="-19"/>
          <w:w w:val="105"/>
        </w:rPr>
        <w:t> </w:t>
      </w:r>
      <w:r>
        <w:rPr>
          <w:color w:val="231F20"/>
          <w:w w:val="105"/>
        </w:rPr>
        <w:t>en</w:t>
      </w:r>
      <w:r>
        <w:rPr>
          <w:color w:val="231F20"/>
          <w:spacing w:val="-19"/>
          <w:w w:val="105"/>
        </w:rPr>
        <w:t> </w:t>
      </w:r>
      <w:r>
        <w:rPr>
          <w:color w:val="231F20"/>
          <w:w w:val="105"/>
        </w:rPr>
        <w:t>México</w:t>
      </w:r>
      <w:r>
        <w:rPr>
          <w:color w:val="231F20"/>
          <w:spacing w:val="-19"/>
          <w:w w:val="105"/>
        </w:rPr>
        <w:t> </w:t>
      </w:r>
      <w:r>
        <w:rPr>
          <w:color w:val="231F20"/>
          <w:w w:val="105"/>
        </w:rPr>
        <w:t>del</w:t>
      </w:r>
      <w:r>
        <w:rPr>
          <w:color w:val="231F20"/>
          <w:spacing w:val="-19"/>
          <w:w w:val="105"/>
        </w:rPr>
        <w:t> </w:t>
      </w:r>
      <w:r>
        <w:rPr>
          <w:color w:val="231F20"/>
          <w:w w:val="105"/>
        </w:rPr>
        <w:t>Departamento</w:t>
      </w:r>
      <w:r>
        <w:rPr>
          <w:color w:val="231F20"/>
          <w:spacing w:val="-19"/>
          <w:w w:val="105"/>
        </w:rPr>
        <w:t> </w:t>
      </w:r>
      <w:r>
        <w:rPr>
          <w:color w:val="231F20"/>
          <w:w w:val="105"/>
        </w:rPr>
        <w:t>de</w:t>
      </w:r>
      <w:r>
        <w:rPr>
          <w:color w:val="231F20"/>
          <w:spacing w:val="-19"/>
          <w:w w:val="105"/>
        </w:rPr>
        <w:t> </w:t>
      </w:r>
      <w:r>
        <w:rPr>
          <w:color w:val="231F20"/>
          <w:w w:val="105"/>
        </w:rPr>
        <w:t>Economía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Uni- versidad</w:t>
      </w:r>
      <w:r>
        <w:rPr>
          <w:color w:val="231F20"/>
          <w:spacing w:val="-18"/>
          <w:w w:val="105"/>
        </w:rPr>
        <w:t> </w:t>
      </w:r>
      <w:r>
        <w:rPr>
          <w:color w:val="231F20"/>
          <w:w w:val="105"/>
        </w:rPr>
        <w:t>Autónoma</w:t>
      </w:r>
      <w:r>
        <w:rPr>
          <w:color w:val="231F20"/>
          <w:spacing w:val="-14"/>
          <w:w w:val="105"/>
        </w:rPr>
        <w:t> </w:t>
      </w:r>
      <w:r>
        <w:rPr>
          <w:color w:val="231F20"/>
          <w:w w:val="105"/>
        </w:rPr>
        <w:t>Metropolitana,</w:t>
      </w:r>
      <w:r>
        <w:rPr>
          <w:color w:val="231F20"/>
          <w:spacing w:val="-21"/>
          <w:w w:val="105"/>
        </w:rPr>
        <w:t> </w:t>
      </w:r>
      <w:r>
        <w:rPr>
          <w:color w:val="231F20"/>
          <w:w w:val="105"/>
        </w:rPr>
        <w:t>unidad</w:t>
      </w:r>
      <w:r>
        <w:rPr>
          <w:color w:val="231F20"/>
          <w:spacing w:val="-18"/>
          <w:w w:val="105"/>
        </w:rPr>
        <w:t> </w:t>
      </w:r>
      <w:r>
        <w:rPr>
          <w:color w:val="231F20"/>
          <w:w w:val="105"/>
        </w:rPr>
        <w:t>Atzcapotzalco.</w:t>
      </w:r>
    </w:p>
    <w:p>
      <w:pPr>
        <w:pStyle w:val="BodyText"/>
        <w:spacing w:before="6"/>
        <w:rPr>
          <w:sz w:val="22"/>
        </w:rPr>
      </w:pPr>
    </w:p>
    <w:p>
      <w:pPr>
        <w:pStyle w:val="BodyText"/>
        <w:spacing w:line="259" w:lineRule="auto"/>
        <w:ind w:left="103" w:right="109"/>
        <w:jc w:val="both"/>
      </w:pPr>
      <w:r>
        <w:rPr>
          <w:color w:val="231F20"/>
          <w:w w:val="105"/>
        </w:rPr>
        <w:t>Liliana</w:t>
      </w:r>
      <w:r>
        <w:rPr>
          <w:color w:val="231F20"/>
          <w:spacing w:val="-35"/>
          <w:w w:val="105"/>
        </w:rPr>
        <w:t> </w:t>
      </w:r>
      <w:r>
        <w:rPr>
          <w:color w:val="231F20"/>
          <w:w w:val="105"/>
        </w:rPr>
        <w:t>Rendón</w:t>
      </w:r>
      <w:r>
        <w:rPr>
          <w:color w:val="231F20"/>
          <w:spacing w:val="-35"/>
          <w:w w:val="105"/>
        </w:rPr>
        <w:t> </w:t>
      </w:r>
      <w:r>
        <w:rPr>
          <w:color w:val="231F20"/>
          <w:w w:val="105"/>
        </w:rPr>
        <w:t>Rojas.</w:t>
      </w:r>
      <w:r>
        <w:rPr>
          <w:color w:val="231F20"/>
          <w:spacing w:val="-35"/>
          <w:w w:val="105"/>
        </w:rPr>
        <w:t> </w:t>
      </w:r>
      <w:r>
        <w:rPr>
          <w:color w:val="231F20"/>
          <w:w w:val="105"/>
        </w:rPr>
        <w:t>Es</w:t>
      </w:r>
      <w:r>
        <w:rPr>
          <w:color w:val="231F20"/>
          <w:spacing w:val="-35"/>
          <w:w w:val="105"/>
        </w:rPr>
        <w:t> </w:t>
      </w:r>
      <w:r>
        <w:rPr>
          <w:color w:val="231F20"/>
          <w:w w:val="105"/>
        </w:rPr>
        <w:t>doctora</w:t>
      </w:r>
      <w:r>
        <w:rPr>
          <w:color w:val="231F20"/>
          <w:spacing w:val="-35"/>
          <w:w w:val="105"/>
        </w:rPr>
        <w:t> </w:t>
      </w:r>
      <w:r>
        <w:rPr>
          <w:color w:val="231F20"/>
          <w:w w:val="105"/>
        </w:rPr>
        <w:t>en</w:t>
      </w:r>
      <w:r>
        <w:rPr>
          <w:color w:val="231F20"/>
          <w:spacing w:val="-35"/>
          <w:w w:val="105"/>
        </w:rPr>
        <w:t> </w:t>
      </w:r>
      <w:r>
        <w:rPr>
          <w:color w:val="231F20"/>
          <w:w w:val="105"/>
        </w:rPr>
        <w:t>Ciencias</w:t>
      </w:r>
      <w:r>
        <w:rPr>
          <w:color w:val="231F20"/>
          <w:spacing w:val="-35"/>
          <w:w w:val="105"/>
        </w:rPr>
        <w:t> </w:t>
      </w:r>
      <w:r>
        <w:rPr>
          <w:color w:val="231F20"/>
          <w:w w:val="105"/>
        </w:rPr>
        <w:t>Económico</w:t>
      </w:r>
      <w:r>
        <w:rPr>
          <w:color w:val="231F20"/>
          <w:spacing w:val="-37"/>
          <w:w w:val="105"/>
        </w:rPr>
        <w:t> </w:t>
      </w:r>
      <w:r>
        <w:rPr>
          <w:color w:val="231F20"/>
          <w:w w:val="105"/>
        </w:rPr>
        <w:t>Administrativas por la Universidad Autónoma del Estado de México. Estancia posdoc- toral en la Universidad Autónoma Metropolitana, Unidad Azcapotzalco. Su línea de investigación se enfoca al crecimiento económico regional manufacturero.</w:t>
      </w:r>
      <w:r>
        <w:rPr>
          <w:color w:val="231F20"/>
          <w:spacing w:val="-21"/>
          <w:w w:val="105"/>
        </w:rPr>
        <w:t> </w:t>
      </w:r>
      <w:r>
        <w:rPr>
          <w:color w:val="231F20"/>
          <w:w w:val="105"/>
        </w:rPr>
        <w:t>Entre</w:t>
      </w:r>
      <w:r>
        <w:rPr>
          <w:color w:val="231F20"/>
          <w:spacing w:val="-17"/>
          <w:w w:val="105"/>
        </w:rPr>
        <w:t> </w:t>
      </w:r>
      <w:r>
        <w:rPr>
          <w:color w:val="231F20"/>
          <w:w w:val="105"/>
        </w:rPr>
        <w:t>sus</w:t>
      </w:r>
      <w:r>
        <w:rPr>
          <w:color w:val="231F20"/>
          <w:spacing w:val="-17"/>
          <w:w w:val="105"/>
        </w:rPr>
        <w:t> </w:t>
      </w:r>
      <w:r>
        <w:rPr>
          <w:color w:val="231F20"/>
          <w:w w:val="105"/>
        </w:rPr>
        <w:t>publicaciones</w:t>
      </w:r>
      <w:r>
        <w:rPr>
          <w:color w:val="231F20"/>
          <w:spacing w:val="-17"/>
          <w:w w:val="105"/>
        </w:rPr>
        <w:t> </w:t>
      </w:r>
      <w:r>
        <w:rPr>
          <w:color w:val="231F20"/>
          <w:w w:val="105"/>
        </w:rPr>
        <w:t>(en</w:t>
      </w:r>
      <w:r>
        <w:rPr>
          <w:color w:val="231F20"/>
          <w:spacing w:val="-17"/>
          <w:w w:val="105"/>
        </w:rPr>
        <w:t> </w:t>
      </w:r>
      <w:r>
        <w:rPr>
          <w:color w:val="231F20"/>
          <w:w w:val="105"/>
        </w:rPr>
        <w:t>coautoría)</w:t>
      </w:r>
      <w:r>
        <w:rPr>
          <w:color w:val="231F20"/>
          <w:spacing w:val="-17"/>
          <w:w w:val="105"/>
        </w:rPr>
        <w:t> </w:t>
      </w:r>
      <w:r>
        <w:rPr>
          <w:color w:val="231F20"/>
          <w:w w:val="105"/>
        </w:rPr>
        <w:t>destacan:</w:t>
      </w:r>
      <w:r>
        <w:rPr>
          <w:color w:val="231F20"/>
          <w:spacing w:val="-17"/>
          <w:w w:val="105"/>
        </w:rPr>
        <w:t> </w:t>
      </w:r>
      <w:r>
        <w:rPr>
          <w:color w:val="231F20"/>
          <w:w w:val="105"/>
        </w:rPr>
        <w:t>“Espe- cialización y crecimiento manufacturero en dos regiones del Estado de México:</w:t>
      </w:r>
      <w:r>
        <w:rPr>
          <w:color w:val="231F20"/>
          <w:spacing w:val="-13"/>
          <w:w w:val="105"/>
        </w:rPr>
        <w:t> </w:t>
      </w:r>
      <w:r>
        <w:rPr>
          <w:color w:val="231F20"/>
          <w:w w:val="105"/>
        </w:rPr>
        <w:t>un</w:t>
      </w:r>
      <w:r>
        <w:rPr>
          <w:color w:val="231F20"/>
          <w:spacing w:val="-13"/>
          <w:w w:val="105"/>
        </w:rPr>
        <w:t> </w:t>
      </w:r>
      <w:r>
        <w:rPr>
          <w:color w:val="231F20"/>
          <w:w w:val="105"/>
        </w:rPr>
        <w:t>análisis</w:t>
      </w:r>
      <w:r>
        <w:rPr>
          <w:color w:val="231F20"/>
          <w:spacing w:val="-13"/>
          <w:w w:val="105"/>
        </w:rPr>
        <w:t> </w:t>
      </w:r>
      <w:r>
        <w:rPr>
          <w:color w:val="231F20"/>
          <w:spacing w:val="-3"/>
          <w:w w:val="105"/>
        </w:rPr>
        <w:t>comparativo”,</w:t>
      </w:r>
      <w:r>
        <w:rPr>
          <w:color w:val="231F20"/>
          <w:spacing w:val="-17"/>
          <w:w w:val="105"/>
        </w:rPr>
        <w:t> </w:t>
      </w:r>
      <w:r>
        <w:rPr>
          <w:i/>
          <w:color w:val="231F20"/>
          <w:w w:val="105"/>
        </w:rPr>
        <w:t>Economía,</w:t>
      </w:r>
      <w:r>
        <w:rPr>
          <w:i/>
          <w:color w:val="231F20"/>
          <w:spacing w:val="-20"/>
          <w:w w:val="105"/>
        </w:rPr>
        <w:t> </w:t>
      </w:r>
      <w:r>
        <w:rPr>
          <w:i/>
          <w:color w:val="231F20"/>
          <w:spacing w:val="-4"/>
          <w:w w:val="105"/>
        </w:rPr>
        <w:t>Teoría</w:t>
      </w:r>
      <w:r>
        <w:rPr>
          <w:i/>
          <w:color w:val="231F20"/>
          <w:spacing w:val="-13"/>
          <w:w w:val="105"/>
        </w:rPr>
        <w:t> </w:t>
      </w:r>
      <w:r>
        <w:rPr>
          <w:i/>
          <w:color w:val="231F20"/>
          <w:w w:val="105"/>
        </w:rPr>
        <w:t>y</w:t>
      </w:r>
      <w:r>
        <w:rPr>
          <w:i/>
          <w:color w:val="231F20"/>
          <w:spacing w:val="-13"/>
          <w:w w:val="105"/>
        </w:rPr>
        <w:t> </w:t>
      </w:r>
      <w:r>
        <w:rPr>
          <w:i/>
          <w:color w:val="231F20"/>
          <w:w w:val="105"/>
        </w:rPr>
        <w:t>Práctica</w:t>
      </w:r>
      <w:r>
        <w:rPr>
          <w:color w:val="231F20"/>
          <w:w w:val="105"/>
        </w:rPr>
        <w:t>,</w:t>
      </w:r>
      <w:r>
        <w:rPr>
          <w:color w:val="231F20"/>
          <w:spacing w:val="-17"/>
          <w:w w:val="105"/>
        </w:rPr>
        <w:t> </w:t>
      </w:r>
      <w:r>
        <w:rPr>
          <w:color w:val="231F20"/>
          <w:w w:val="105"/>
        </w:rPr>
        <w:t>Universi- dad</w:t>
      </w:r>
      <w:r>
        <w:rPr>
          <w:color w:val="231F20"/>
          <w:spacing w:val="-18"/>
          <w:w w:val="105"/>
        </w:rPr>
        <w:t> </w:t>
      </w:r>
      <w:r>
        <w:rPr>
          <w:color w:val="231F20"/>
          <w:w w:val="105"/>
        </w:rPr>
        <w:t>Autónoma</w:t>
      </w:r>
      <w:r>
        <w:rPr>
          <w:color w:val="231F20"/>
          <w:spacing w:val="-14"/>
          <w:w w:val="105"/>
        </w:rPr>
        <w:t> </w:t>
      </w:r>
      <w:r>
        <w:rPr>
          <w:color w:val="231F20"/>
          <w:w w:val="105"/>
        </w:rPr>
        <w:t>Metropolitana,</w:t>
      </w:r>
      <w:r>
        <w:rPr>
          <w:color w:val="231F20"/>
          <w:spacing w:val="-20"/>
          <w:w w:val="105"/>
        </w:rPr>
        <w:t> </w:t>
      </w:r>
      <w:r>
        <w:rPr>
          <w:color w:val="231F20"/>
          <w:w w:val="105"/>
        </w:rPr>
        <w:t>38,</w:t>
      </w:r>
      <w:r>
        <w:rPr>
          <w:color w:val="231F20"/>
          <w:spacing w:val="-20"/>
          <w:w w:val="105"/>
        </w:rPr>
        <w:t> </w:t>
      </w:r>
      <w:r>
        <w:rPr>
          <w:color w:val="231F20"/>
          <w:w w:val="105"/>
        </w:rPr>
        <w:t>México,</w:t>
      </w:r>
      <w:r>
        <w:rPr>
          <w:color w:val="231F20"/>
          <w:spacing w:val="-20"/>
          <w:w w:val="105"/>
        </w:rPr>
        <w:t> </w:t>
      </w:r>
      <w:r>
        <w:rPr>
          <w:color w:val="231F20"/>
          <w:w w:val="105"/>
        </w:rPr>
        <w:t>pp.11-148</w:t>
      </w:r>
      <w:r>
        <w:rPr>
          <w:color w:val="231F20"/>
          <w:spacing w:val="-14"/>
          <w:w w:val="105"/>
        </w:rPr>
        <w:t> </w:t>
      </w:r>
      <w:r>
        <w:rPr>
          <w:color w:val="231F20"/>
          <w:w w:val="105"/>
        </w:rPr>
        <w:t>(2013).</w:t>
      </w:r>
    </w:p>
    <w:p>
      <w:pPr>
        <w:pStyle w:val="BodyText"/>
        <w:spacing w:before="6"/>
        <w:rPr>
          <w:sz w:val="22"/>
        </w:rPr>
      </w:pPr>
    </w:p>
    <w:p>
      <w:pPr>
        <w:pStyle w:val="BodyText"/>
        <w:spacing w:line="259" w:lineRule="auto"/>
        <w:ind w:left="103" w:right="114"/>
        <w:jc w:val="both"/>
      </w:pPr>
      <w:r>
        <w:rPr>
          <w:color w:val="231F20"/>
          <w:w w:val="105"/>
        </w:rPr>
        <w:t>Lisy</w:t>
      </w:r>
      <w:r>
        <w:rPr>
          <w:color w:val="231F20"/>
          <w:spacing w:val="-10"/>
          <w:w w:val="105"/>
        </w:rPr>
        <w:t> </w:t>
      </w:r>
      <w:r>
        <w:rPr>
          <w:color w:val="231F20"/>
          <w:w w:val="105"/>
        </w:rPr>
        <w:t>Rubio</w:t>
      </w:r>
      <w:r>
        <w:rPr>
          <w:color w:val="231F20"/>
          <w:spacing w:val="-10"/>
          <w:w w:val="105"/>
        </w:rPr>
        <w:t> </w:t>
      </w:r>
      <w:r>
        <w:rPr>
          <w:color w:val="231F20"/>
          <w:w w:val="105"/>
        </w:rPr>
        <w:t>Hernández.</w:t>
      </w:r>
      <w:r>
        <w:rPr>
          <w:color w:val="231F20"/>
          <w:spacing w:val="-10"/>
          <w:w w:val="105"/>
        </w:rPr>
        <w:t> </w:t>
      </w:r>
      <w:r>
        <w:rPr>
          <w:color w:val="231F20"/>
          <w:w w:val="105"/>
        </w:rPr>
        <w:t>Doctora</w:t>
      </w:r>
      <w:r>
        <w:rPr>
          <w:color w:val="231F20"/>
          <w:spacing w:val="-10"/>
          <w:w w:val="105"/>
        </w:rPr>
        <w:t> </w:t>
      </w:r>
      <w:r>
        <w:rPr>
          <w:color w:val="231F20"/>
          <w:w w:val="105"/>
        </w:rPr>
        <w:t>en</w:t>
      </w:r>
      <w:r>
        <w:rPr>
          <w:color w:val="231F20"/>
          <w:spacing w:val="-10"/>
          <w:w w:val="105"/>
        </w:rPr>
        <w:t> </w:t>
      </w:r>
      <w:r>
        <w:rPr>
          <w:color w:val="231F20"/>
          <w:w w:val="105"/>
        </w:rPr>
        <w:t>Ciencias</w:t>
      </w:r>
      <w:r>
        <w:rPr>
          <w:color w:val="231F20"/>
          <w:spacing w:val="-10"/>
          <w:w w:val="105"/>
        </w:rPr>
        <w:t> </w:t>
      </w:r>
      <w:r>
        <w:rPr>
          <w:color w:val="231F20"/>
          <w:w w:val="105"/>
        </w:rPr>
        <w:t>Económico</w:t>
      </w:r>
      <w:r>
        <w:rPr>
          <w:color w:val="231F20"/>
          <w:spacing w:val="-13"/>
          <w:w w:val="105"/>
        </w:rPr>
        <w:t> </w:t>
      </w:r>
      <w:r>
        <w:rPr>
          <w:color w:val="231F20"/>
          <w:w w:val="105"/>
        </w:rPr>
        <w:t>Administrativas por</w:t>
      </w:r>
      <w:r>
        <w:rPr>
          <w:color w:val="231F20"/>
          <w:spacing w:val="-24"/>
          <w:w w:val="105"/>
        </w:rPr>
        <w:t> </w:t>
      </w:r>
      <w:r>
        <w:rPr>
          <w:color w:val="231F20"/>
          <w:w w:val="105"/>
        </w:rPr>
        <w:t>la</w:t>
      </w:r>
      <w:r>
        <w:rPr>
          <w:color w:val="231F20"/>
          <w:spacing w:val="-24"/>
          <w:w w:val="105"/>
        </w:rPr>
        <w:t> </w:t>
      </w:r>
      <w:r>
        <w:rPr>
          <w:color w:val="231F20"/>
          <w:w w:val="105"/>
        </w:rPr>
        <w:t>Universidad</w:t>
      </w:r>
      <w:r>
        <w:rPr>
          <w:color w:val="231F20"/>
          <w:spacing w:val="-27"/>
          <w:w w:val="105"/>
        </w:rPr>
        <w:t> </w:t>
      </w:r>
      <w:r>
        <w:rPr>
          <w:color w:val="231F20"/>
          <w:w w:val="105"/>
        </w:rPr>
        <w:t>Autónoma</w:t>
      </w:r>
      <w:r>
        <w:rPr>
          <w:color w:val="231F20"/>
          <w:spacing w:val="-24"/>
          <w:w w:val="105"/>
        </w:rPr>
        <w:t> </w:t>
      </w:r>
      <w:r>
        <w:rPr>
          <w:color w:val="231F20"/>
          <w:w w:val="105"/>
        </w:rPr>
        <w:t>del</w:t>
      </w:r>
      <w:r>
        <w:rPr>
          <w:color w:val="231F20"/>
          <w:spacing w:val="-24"/>
          <w:w w:val="105"/>
        </w:rPr>
        <w:t> </w:t>
      </w:r>
      <w:r>
        <w:rPr>
          <w:color w:val="231F20"/>
          <w:w w:val="105"/>
        </w:rPr>
        <w:t>Estado</w:t>
      </w:r>
      <w:r>
        <w:rPr>
          <w:color w:val="231F20"/>
          <w:spacing w:val="-24"/>
          <w:w w:val="105"/>
        </w:rPr>
        <w:t> </w:t>
      </w:r>
      <w:r>
        <w:rPr>
          <w:color w:val="231F20"/>
          <w:w w:val="105"/>
        </w:rPr>
        <w:t>de</w:t>
      </w:r>
      <w:r>
        <w:rPr>
          <w:color w:val="231F20"/>
          <w:spacing w:val="-24"/>
          <w:w w:val="105"/>
        </w:rPr>
        <w:t> </w:t>
      </w:r>
      <w:r>
        <w:rPr>
          <w:color w:val="231F20"/>
          <w:w w:val="105"/>
        </w:rPr>
        <w:t>México.</w:t>
      </w:r>
      <w:r>
        <w:rPr>
          <w:color w:val="231F20"/>
          <w:spacing w:val="-29"/>
          <w:w w:val="105"/>
        </w:rPr>
        <w:t> </w:t>
      </w:r>
      <w:r>
        <w:rPr>
          <w:color w:val="231F20"/>
          <w:w w:val="105"/>
        </w:rPr>
        <w:t>Maestra</w:t>
      </w:r>
      <w:r>
        <w:rPr>
          <w:color w:val="231F20"/>
          <w:spacing w:val="-24"/>
          <w:w w:val="105"/>
        </w:rPr>
        <w:t> </w:t>
      </w:r>
      <w:r>
        <w:rPr>
          <w:color w:val="231F20"/>
          <w:w w:val="105"/>
        </w:rPr>
        <w:t>en</w:t>
      </w:r>
      <w:r>
        <w:rPr>
          <w:color w:val="231F20"/>
          <w:spacing w:val="-27"/>
          <w:w w:val="105"/>
        </w:rPr>
        <w:t> </w:t>
      </w:r>
      <w:r>
        <w:rPr>
          <w:color w:val="231F20"/>
          <w:w w:val="105"/>
        </w:rPr>
        <w:t>Adminis- tración</w:t>
      </w:r>
      <w:r>
        <w:rPr>
          <w:color w:val="231F20"/>
          <w:spacing w:val="-19"/>
          <w:w w:val="105"/>
        </w:rPr>
        <w:t> </w:t>
      </w:r>
      <w:r>
        <w:rPr>
          <w:color w:val="231F20"/>
          <w:w w:val="105"/>
        </w:rPr>
        <w:t>de</w:t>
      </w:r>
      <w:r>
        <w:rPr>
          <w:color w:val="231F20"/>
          <w:spacing w:val="-19"/>
          <w:w w:val="105"/>
        </w:rPr>
        <w:t> </w:t>
      </w:r>
      <w:r>
        <w:rPr>
          <w:color w:val="231F20"/>
          <w:w w:val="105"/>
        </w:rPr>
        <w:t>Negocios</w:t>
      </w:r>
      <w:r>
        <w:rPr>
          <w:color w:val="231F20"/>
          <w:spacing w:val="-19"/>
          <w:w w:val="105"/>
        </w:rPr>
        <w:t> </w:t>
      </w:r>
      <w:r>
        <w:rPr>
          <w:color w:val="231F20"/>
          <w:w w:val="105"/>
        </w:rPr>
        <w:t>con</w:t>
      </w:r>
      <w:r>
        <w:rPr>
          <w:color w:val="231F20"/>
          <w:spacing w:val="-19"/>
          <w:w w:val="105"/>
        </w:rPr>
        <w:t> </w:t>
      </w:r>
      <w:r>
        <w:rPr>
          <w:color w:val="231F20"/>
          <w:w w:val="105"/>
        </w:rPr>
        <w:t>Finanzas</w:t>
      </w:r>
      <w:r>
        <w:rPr>
          <w:color w:val="231F20"/>
          <w:spacing w:val="-19"/>
          <w:w w:val="105"/>
        </w:rPr>
        <w:t> </w:t>
      </w:r>
      <w:r>
        <w:rPr>
          <w:color w:val="231F20"/>
          <w:w w:val="105"/>
        </w:rPr>
        <w:t>por</w:t>
      </w:r>
      <w:r>
        <w:rPr>
          <w:color w:val="231F20"/>
          <w:spacing w:val="-19"/>
          <w:w w:val="105"/>
        </w:rPr>
        <w:t> </w:t>
      </w:r>
      <w:r>
        <w:rPr>
          <w:color w:val="231F20"/>
          <w:w w:val="105"/>
        </w:rPr>
        <w:t>la</w:t>
      </w:r>
      <w:r>
        <w:rPr>
          <w:color w:val="231F20"/>
          <w:spacing w:val="-19"/>
          <w:w w:val="105"/>
        </w:rPr>
        <w:t> </w:t>
      </w:r>
      <w:r>
        <w:rPr>
          <w:color w:val="231F20"/>
          <w:w w:val="105"/>
        </w:rPr>
        <w:t>Universidad</w:t>
      </w:r>
      <w:r>
        <w:rPr>
          <w:color w:val="231F20"/>
          <w:spacing w:val="-23"/>
          <w:w w:val="105"/>
        </w:rPr>
        <w:t> </w:t>
      </w:r>
      <w:r>
        <w:rPr>
          <w:color w:val="231F20"/>
          <w:spacing w:val="-3"/>
          <w:w w:val="105"/>
        </w:rPr>
        <w:t>Tecmilenio</w:t>
      </w:r>
      <w:r>
        <w:rPr>
          <w:color w:val="231F20"/>
          <w:spacing w:val="-19"/>
          <w:w w:val="105"/>
        </w:rPr>
        <w:t> </w:t>
      </w:r>
      <w:r>
        <w:rPr>
          <w:color w:val="231F20"/>
          <w:w w:val="105"/>
        </w:rPr>
        <w:t>campus </w:t>
      </w:r>
      <w:r>
        <w:rPr>
          <w:color w:val="231F20"/>
          <w:spacing w:val="-4"/>
          <w:w w:val="105"/>
        </w:rPr>
        <w:t>Toluca </w:t>
      </w:r>
      <w:r>
        <w:rPr>
          <w:color w:val="231F20"/>
          <w:w w:val="105"/>
        </w:rPr>
        <w:t>e ingeniera industrial por el Instituto Tecnológico de Orizaba.</w:t>
      </w:r>
      <w:r>
        <w:rPr>
          <w:color w:val="231F20"/>
          <w:spacing w:val="-34"/>
          <w:w w:val="105"/>
        </w:rPr>
        <w:t> </w:t>
      </w:r>
      <w:r>
        <w:rPr>
          <w:color w:val="231F20"/>
          <w:w w:val="105"/>
        </w:rPr>
        <w:t>Es especialista y consultora en temas de mejora continua y proyectos de reducción de</w:t>
      </w:r>
      <w:r>
        <w:rPr>
          <w:color w:val="231F20"/>
          <w:spacing w:val="-35"/>
          <w:w w:val="105"/>
        </w:rPr>
        <w:t> </w:t>
      </w:r>
      <w:r>
        <w:rPr>
          <w:color w:val="231F20"/>
          <w:w w:val="105"/>
        </w:rPr>
        <w:t>costos.</w:t>
      </w:r>
    </w:p>
    <w:p>
      <w:pPr>
        <w:pStyle w:val="BodyText"/>
        <w:spacing w:before="6"/>
        <w:rPr>
          <w:sz w:val="22"/>
        </w:rPr>
      </w:pPr>
    </w:p>
    <w:p>
      <w:pPr>
        <w:pStyle w:val="BodyText"/>
        <w:spacing w:line="259" w:lineRule="auto"/>
        <w:ind w:left="103" w:right="115"/>
        <w:jc w:val="both"/>
      </w:pPr>
      <w:r>
        <w:rPr>
          <w:color w:val="231F20"/>
          <w:w w:val="105"/>
        </w:rPr>
        <w:t>Luis</w:t>
      </w:r>
      <w:r>
        <w:rPr>
          <w:color w:val="231F20"/>
          <w:spacing w:val="-21"/>
          <w:w w:val="105"/>
        </w:rPr>
        <w:t> </w:t>
      </w:r>
      <w:r>
        <w:rPr>
          <w:color w:val="231F20"/>
          <w:w w:val="105"/>
        </w:rPr>
        <w:t>Brito</w:t>
      </w:r>
      <w:r>
        <w:rPr>
          <w:color w:val="231F20"/>
          <w:spacing w:val="-21"/>
          <w:w w:val="105"/>
        </w:rPr>
        <w:t> </w:t>
      </w:r>
      <w:r>
        <w:rPr>
          <w:color w:val="231F20"/>
          <w:w w:val="105"/>
        </w:rPr>
        <w:t>Cruz.</w:t>
      </w:r>
      <w:r>
        <w:rPr>
          <w:color w:val="231F20"/>
          <w:spacing w:val="-21"/>
          <w:w w:val="105"/>
        </w:rPr>
        <w:t> </w:t>
      </w:r>
      <w:r>
        <w:rPr>
          <w:color w:val="231F20"/>
          <w:w w:val="105"/>
        </w:rPr>
        <w:t>Egresado</w:t>
      </w:r>
      <w:r>
        <w:rPr>
          <w:color w:val="231F20"/>
          <w:spacing w:val="-21"/>
          <w:w w:val="105"/>
        </w:rPr>
        <w:t> </w:t>
      </w:r>
      <w:r>
        <w:rPr>
          <w:color w:val="231F20"/>
          <w:w w:val="105"/>
        </w:rPr>
        <w:t>del</w:t>
      </w:r>
      <w:r>
        <w:rPr>
          <w:color w:val="231F20"/>
          <w:spacing w:val="-21"/>
          <w:w w:val="105"/>
        </w:rPr>
        <w:t> </w:t>
      </w:r>
      <w:r>
        <w:rPr>
          <w:color w:val="231F20"/>
          <w:w w:val="105"/>
        </w:rPr>
        <w:t>doctorado</w:t>
      </w:r>
      <w:r>
        <w:rPr>
          <w:color w:val="231F20"/>
          <w:spacing w:val="-21"/>
          <w:w w:val="105"/>
        </w:rPr>
        <w:t> </w:t>
      </w:r>
      <w:r>
        <w:rPr>
          <w:color w:val="231F20"/>
          <w:w w:val="105"/>
        </w:rPr>
        <w:t>en</w:t>
      </w:r>
      <w:r>
        <w:rPr>
          <w:color w:val="231F20"/>
          <w:spacing w:val="-21"/>
          <w:w w:val="105"/>
        </w:rPr>
        <w:t> </w:t>
      </w:r>
      <w:r>
        <w:rPr>
          <w:color w:val="231F20"/>
          <w:w w:val="105"/>
        </w:rPr>
        <w:t>ciencias</w:t>
      </w:r>
      <w:r>
        <w:rPr>
          <w:color w:val="231F20"/>
          <w:spacing w:val="-21"/>
          <w:w w:val="105"/>
        </w:rPr>
        <w:t> </w:t>
      </w:r>
      <w:r>
        <w:rPr>
          <w:color w:val="231F20"/>
          <w:w w:val="105"/>
        </w:rPr>
        <w:t>económico</w:t>
      </w:r>
      <w:r>
        <w:rPr>
          <w:color w:val="231F20"/>
          <w:spacing w:val="-21"/>
          <w:w w:val="105"/>
        </w:rPr>
        <w:t> </w:t>
      </w:r>
      <w:r>
        <w:rPr>
          <w:color w:val="231F20"/>
          <w:w w:val="105"/>
        </w:rPr>
        <w:t>adminis- trativas,</w:t>
      </w:r>
      <w:r>
        <w:rPr>
          <w:color w:val="231F20"/>
          <w:spacing w:val="-39"/>
          <w:w w:val="105"/>
        </w:rPr>
        <w:t> </w:t>
      </w:r>
      <w:r>
        <w:rPr>
          <w:color w:val="231F20"/>
          <w:w w:val="105"/>
        </w:rPr>
        <w:t>Facultad</w:t>
      </w:r>
      <w:r>
        <w:rPr>
          <w:color w:val="231F20"/>
          <w:spacing w:val="-35"/>
          <w:w w:val="105"/>
        </w:rPr>
        <w:t> </w:t>
      </w:r>
      <w:r>
        <w:rPr>
          <w:color w:val="231F20"/>
          <w:w w:val="105"/>
        </w:rPr>
        <w:t>de</w:t>
      </w:r>
      <w:r>
        <w:rPr>
          <w:color w:val="231F20"/>
          <w:spacing w:val="-35"/>
          <w:w w:val="105"/>
        </w:rPr>
        <w:t> </w:t>
      </w:r>
      <w:r>
        <w:rPr>
          <w:color w:val="231F20"/>
          <w:w w:val="105"/>
        </w:rPr>
        <w:t>Contaduría</w:t>
      </w:r>
      <w:r>
        <w:rPr>
          <w:color w:val="231F20"/>
          <w:spacing w:val="-35"/>
          <w:w w:val="105"/>
        </w:rPr>
        <w:t> </w:t>
      </w:r>
      <w:r>
        <w:rPr>
          <w:color w:val="231F20"/>
          <w:w w:val="105"/>
        </w:rPr>
        <w:t>y</w:t>
      </w:r>
      <w:r>
        <w:rPr>
          <w:color w:val="231F20"/>
          <w:spacing w:val="-37"/>
          <w:w w:val="105"/>
        </w:rPr>
        <w:t> </w:t>
      </w:r>
      <w:r>
        <w:rPr>
          <w:color w:val="231F20"/>
          <w:w w:val="105"/>
        </w:rPr>
        <w:t>Administración,</w:t>
      </w:r>
      <w:r>
        <w:rPr>
          <w:color w:val="231F20"/>
          <w:spacing w:val="-39"/>
          <w:w w:val="105"/>
        </w:rPr>
        <w:t> </w:t>
      </w:r>
      <w:r>
        <w:rPr>
          <w:color w:val="231F20"/>
          <w:w w:val="105"/>
        </w:rPr>
        <w:t>Universidad</w:t>
      </w:r>
      <w:r>
        <w:rPr>
          <w:color w:val="231F20"/>
          <w:spacing w:val="-37"/>
          <w:w w:val="105"/>
        </w:rPr>
        <w:t> </w:t>
      </w:r>
      <w:r>
        <w:rPr>
          <w:color w:val="231F20"/>
          <w:w w:val="105"/>
        </w:rPr>
        <w:t>Autónoma 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w:t>
      </w:r>
    </w:p>
    <w:p>
      <w:pPr>
        <w:pStyle w:val="BodyText"/>
        <w:rPr>
          <w:sz w:val="20"/>
        </w:rPr>
      </w:pPr>
    </w:p>
    <w:p>
      <w:pPr>
        <w:pStyle w:val="BodyText"/>
        <w:rPr>
          <w:sz w:val="20"/>
        </w:rPr>
      </w:pPr>
    </w:p>
    <w:p>
      <w:pPr>
        <w:pStyle w:val="BodyText"/>
        <w:rPr>
          <w:sz w:val="20"/>
        </w:rPr>
      </w:pPr>
    </w:p>
    <w:p>
      <w:pPr>
        <w:pStyle w:val="BodyText"/>
        <w:rPr>
          <w:sz w:val="20"/>
        </w:rPr>
      </w:pPr>
    </w:p>
    <w:p>
      <w:pPr>
        <w:spacing w:before="176"/>
        <w:ind w:left="212" w:right="17" w:firstLine="0"/>
        <w:jc w:val="left"/>
        <w:rPr>
          <w:sz w:val="20"/>
        </w:rPr>
      </w:pPr>
      <w:r>
        <w:rPr/>
        <w:pict>
          <v:group style="position:absolute;margin-left:101.817299pt;margin-top:-12.323716pt;width:17.850pt;height:56.5pt;mso-position-horizontal-relative:page;mso-position-vertical-relative:paragraph;z-index:10840" coordorigin="2036,-246" coordsize="357,1130">
            <v:line style="position:absolute" from="2211,164" to="2211,880" stroked="true" strokeweight=".35pt" strokecolor="#231f20"/>
            <v:shape style="position:absolute;left:2036;top:-246;width:356;height:783" type="#_x0000_t75" stroked="false">
              <v:imagedata r:id="rId19" o:title=""/>
            </v:shape>
            <w10:wrap type="none"/>
          </v:group>
        </w:pict>
      </w:r>
      <w:r>
        <w:rPr>
          <w:color w:val="414042"/>
          <w:sz w:val="20"/>
        </w:rPr>
        <w:t>310</w:t>
      </w:r>
    </w:p>
    <w:p>
      <w:pPr>
        <w:spacing w:after="0"/>
        <w:jc w:val="left"/>
        <w:rPr>
          <w:sz w:val="20"/>
        </w:rPr>
        <w:sectPr>
          <w:pgSz w:w="9640" w:h="13890"/>
          <w:pgMar w:top="1300" w:bottom="0" w:left="1200" w:right="1300"/>
        </w:sectPr>
      </w:pPr>
    </w:p>
    <w:p>
      <w:pPr>
        <w:pStyle w:val="BodyText"/>
        <w:rPr>
          <w:sz w:val="20"/>
        </w:rPr>
      </w:pPr>
    </w:p>
    <w:p>
      <w:pPr>
        <w:pStyle w:val="BodyText"/>
        <w:spacing w:before="2"/>
        <w:rPr>
          <w:sz w:val="23"/>
        </w:rPr>
      </w:pPr>
    </w:p>
    <w:p>
      <w:pPr>
        <w:tabs>
          <w:tab w:pos="6971" w:val="right" w:leader="none"/>
        </w:tabs>
        <w:spacing w:before="52"/>
        <w:ind w:left="4742" w:right="0" w:firstLine="0"/>
        <w:jc w:val="left"/>
        <w:rPr>
          <w:sz w:val="20"/>
        </w:rPr>
      </w:pPr>
      <w:r>
        <w:rPr/>
        <w:pict>
          <v:line style="position:absolute;mso-position-horizontal-relative:page;mso-position-vertical-relative:paragraph;z-index:-237064" from="384.061005pt,-25.30427pt" to="384.061005pt,9.561580pt" stroked="true" strokeweight=".35pt" strokecolor="#231f20">
            <w10:wrap type="none"/>
          </v:line>
        </w:pict>
      </w:r>
      <w:r>
        <w:rPr>
          <w:rFonts w:ascii="Lucida Sans Unicode" w:hAnsi="Lucida Sans Unicode"/>
          <w:color w:val="6D6E71"/>
          <w:sz w:val="14"/>
        </w:rPr>
        <w:t>RESEÑAS</w:t>
      </w:r>
      <w:r>
        <w:rPr>
          <w:rFonts w:ascii="Lucida Sans Unicode" w:hAnsi="Lucida Sans Unicode"/>
          <w:color w:val="6D6E71"/>
          <w:spacing w:val="-18"/>
          <w:sz w:val="14"/>
        </w:rPr>
        <w:t> </w:t>
      </w:r>
      <w:r>
        <w:rPr>
          <w:rFonts w:ascii="Lucida Sans Unicode" w:hAnsi="Lucida Sans Unicode"/>
          <w:color w:val="6D6E71"/>
          <w:sz w:val="14"/>
        </w:rPr>
        <w:t>CURRICULARES</w:t>
      </w:r>
      <w:r>
        <w:rPr>
          <w:color w:val="414042"/>
          <w:position w:val="-3"/>
          <w:sz w:val="20"/>
        </w:rPr>
        <w:tab/>
        <w:t>311</w:t>
      </w:r>
    </w:p>
    <w:p>
      <w:pPr>
        <w:pStyle w:val="BodyText"/>
        <w:rPr>
          <w:sz w:val="20"/>
        </w:rPr>
      </w:pPr>
    </w:p>
    <w:p>
      <w:pPr>
        <w:pStyle w:val="BodyText"/>
        <w:rPr>
          <w:sz w:val="20"/>
        </w:rPr>
      </w:pPr>
    </w:p>
    <w:p>
      <w:pPr>
        <w:spacing w:line="259" w:lineRule="auto" w:before="176"/>
        <w:ind w:left="117" w:right="115" w:firstLine="0"/>
        <w:jc w:val="both"/>
        <w:rPr>
          <w:sz w:val="21"/>
        </w:rPr>
      </w:pPr>
      <w:r>
        <w:rPr>
          <w:color w:val="231F20"/>
          <w:w w:val="105"/>
          <w:sz w:val="21"/>
        </w:rPr>
        <w:t>María</w:t>
      </w:r>
      <w:r>
        <w:rPr>
          <w:color w:val="231F20"/>
          <w:spacing w:val="-31"/>
          <w:w w:val="105"/>
          <w:sz w:val="21"/>
        </w:rPr>
        <w:t> </w:t>
      </w:r>
      <w:r>
        <w:rPr>
          <w:color w:val="231F20"/>
          <w:w w:val="105"/>
          <w:sz w:val="21"/>
        </w:rPr>
        <w:t>de</w:t>
      </w:r>
      <w:r>
        <w:rPr>
          <w:color w:val="231F20"/>
          <w:spacing w:val="-31"/>
          <w:w w:val="105"/>
          <w:sz w:val="21"/>
        </w:rPr>
        <w:t> </w:t>
      </w:r>
      <w:r>
        <w:rPr>
          <w:color w:val="231F20"/>
          <w:w w:val="105"/>
          <w:sz w:val="21"/>
        </w:rPr>
        <w:t>Lourdes</w:t>
      </w:r>
      <w:r>
        <w:rPr>
          <w:color w:val="231F20"/>
          <w:spacing w:val="-31"/>
          <w:w w:val="105"/>
          <w:sz w:val="21"/>
        </w:rPr>
        <w:t> </w:t>
      </w:r>
      <w:r>
        <w:rPr>
          <w:color w:val="231F20"/>
          <w:w w:val="105"/>
          <w:sz w:val="21"/>
        </w:rPr>
        <w:t>Nájera</w:t>
      </w:r>
      <w:r>
        <w:rPr>
          <w:color w:val="231F20"/>
          <w:spacing w:val="-31"/>
          <w:w w:val="105"/>
          <w:sz w:val="21"/>
        </w:rPr>
        <w:t> </w:t>
      </w:r>
      <w:r>
        <w:rPr>
          <w:color w:val="231F20"/>
          <w:w w:val="105"/>
          <w:sz w:val="21"/>
        </w:rPr>
        <w:t>López.</w:t>
      </w:r>
      <w:r>
        <w:rPr>
          <w:color w:val="231F20"/>
          <w:spacing w:val="-31"/>
          <w:w w:val="105"/>
          <w:sz w:val="21"/>
        </w:rPr>
        <w:t> </w:t>
      </w:r>
      <w:r>
        <w:rPr>
          <w:color w:val="231F20"/>
          <w:w w:val="105"/>
          <w:sz w:val="21"/>
        </w:rPr>
        <w:t>Candidata</w:t>
      </w:r>
      <w:r>
        <w:rPr>
          <w:color w:val="231F20"/>
          <w:spacing w:val="-31"/>
          <w:w w:val="105"/>
          <w:sz w:val="21"/>
        </w:rPr>
        <w:t> </w:t>
      </w:r>
      <w:r>
        <w:rPr>
          <w:color w:val="231F20"/>
          <w:w w:val="105"/>
          <w:sz w:val="21"/>
        </w:rPr>
        <w:t>a</w:t>
      </w:r>
      <w:r>
        <w:rPr>
          <w:color w:val="231F20"/>
          <w:spacing w:val="-31"/>
          <w:w w:val="105"/>
          <w:sz w:val="21"/>
        </w:rPr>
        <w:t> </w:t>
      </w:r>
      <w:r>
        <w:rPr>
          <w:color w:val="231F20"/>
          <w:w w:val="105"/>
          <w:sz w:val="21"/>
        </w:rPr>
        <w:t>Doctora</w:t>
      </w:r>
      <w:r>
        <w:rPr>
          <w:color w:val="231F20"/>
          <w:spacing w:val="-31"/>
          <w:w w:val="105"/>
          <w:sz w:val="21"/>
        </w:rPr>
        <w:t> </w:t>
      </w:r>
      <w:r>
        <w:rPr>
          <w:color w:val="231F20"/>
          <w:w w:val="105"/>
          <w:sz w:val="21"/>
        </w:rPr>
        <w:t>en</w:t>
      </w:r>
      <w:r>
        <w:rPr>
          <w:color w:val="231F20"/>
          <w:spacing w:val="-31"/>
          <w:w w:val="105"/>
          <w:sz w:val="21"/>
        </w:rPr>
        <w:t> </w:t>
      </w:r>
      <w:r>
        <w:rPr>
          <w:color w:val="231F20"/>
          <w:w w:val="105"/>
          <w:sz w:val="21"/>
        </w:rPr>
        <w:t>Ciencias</w:t>
      </w:r>
      <w:r>
        <w:rPr>
          <w:color w:val="231F20"/>
          <w:spacing w:val="-31"/>
          <w:w w:val="105"/>
          <w:sz w:val="21"/>
        </w:rPr>
        <w:t> </w:t>
      </w:r>
      <w:r>
        <w:rPr>
          <w:color w:val="231F20"/>
          <w:w w:val="105"/>
          <w:sz w:val="21"/>
        </w:rPr>
        <w:t>Econó- mico</w:t>
      </w:r>
      <w:r>
        <w:rPr>
          <w:color w:val="231F20"/>
          <w:spacing w:val="-17"/>
          <w:w w:val="105"/>
          <w:sz w:val="21"/>
        </w:rPr>
        <w:t> </w:t>
      </w:r>
      <w:r>
        <w:rPr>
          <w:color w:val="231F20"/>
          <w:w w:val="105"/>
          <w:sz w:val="21"/>
        </w:rPr>
        <w:t>Administrativo</w:t>
      </w:r>
      <w:r>
        <w:rPr>
          <w:color w:val="231F20"/>
          <w:spacing w:val="-14"/>
          <w:w w:val="105"/>
          <w:sz w:val="21"/>
        </w:rPr>
        <w:t> </w:t>
      </w:r>
      <w:r>
        <w:rPr>
          <w:color w:val="231F20"/>
          <w:w w:val="105"/>
          <w:sz w:val="21"/>
        </w:rPr>
        <w:t>(PNPC</w:t>
      </w:r>
      <w:r>
        <w:rPr>
          <w:color w:val="231F20"/>
          <w:spacing w:val="-14"/>
          <w:w w:val="105"/>
          <w:sz w:val="21"/>
        </w:rPr>
        <w:t> </w:t>
      </w:r>
      <w:r>
        <w:rPr>
          <w:color w:val="231F20"/>
          <w:w w:val="105"/>
          <w:sz w:val="21"/>
        </w:rPr>
        <w:t>CONACyT)</w:t>
      </w:r>
      <w:r>
        <w:rPr>
          <w:color w:val="231F20"/>
          <w:spacing w:val="-14"/>
          <w:w w:val="105"/>
          <w:sz w:val="21"/>
        </w:rPr>
        <w:t> </w:t>
      </w:r>
      <w:r>
        <w:rPr>
          <w:color w:val="231F20"/>
          <w:w w:val="105"/>
          <w:sz w:val="21"/>
        </w:rPr>
        <w:t>con</w:t>
      </w:r>
      <w:r>
        <w:rPr>
          <w:color w:val="231F20"/>
          <w:spacing w:val="-14"/>
          <w:w w:val="105"/>
          <w:sz w:val="21"/>
        </w:rPr>
        <w:t> </w:t>
      </w:r>
      <w:r>
        <w:rPr>
          <w:color w:val="231F20"/>
          <w:w w:val="105"/>
          <w:sz w:val="21"/>
        </w:rPr>
        <w:t>la</w:t>
      </w:r>
      <w:r>
        <w:rPr>
          <w:color w:val="231F20"/>
          <w:spacing w:val="-14"/>
          <w:w w:val="105"/>
          <w:sz w:val="21"/>
        </w:rPr>
        <w:t> </w:t>
      </w:r>
      <w:r>
        <w:rPr>
          <w:color w:val="231F20"/>
          <w:w w:val="105"/>
          <w:sz w:val="21"/>
        </w:rPr>
        <w:t>investigación</w:t>
      </w:r>
      <w:r>
        <w:rPr>
          <w:color w:val="231F20"/>
          <w:spacing w:val="-14"/>
          <w:w w:val="105"/>
          <w:sz w:val="21"/>
        </w:rPr>
        <w:t> </w:t>
      </w:r>
      <w:r>
        <w:rPr>
          <w:i/>
          <w:color w:val="231F20"/>
          <w:w w:val="105"/>
          <w:sz w:val="21"/>
        </w:rPr>
        <w:t>Modelación </w:t>
      </w:r>
      <w:r>
        <w:rPr>
          <w:i/>
          <w:color w:val="231F20"/>
          <w:w w:val="105"/>
          <w:sz w:val="21"/>
        </w:rPr>
        <w:t>de</w:t>
      </w:r>
      <w:r>
        <w:rPr>
          <w:i/>
          <w:color w:val="231F20"/>
          <w:spacing w:val="-31"/>
          <w:w w:val="105"/>
          <w:sz w:val="21"/>
        </w:rPr>
        <w:t> </w:t>
      </w:r>
      <w:r>
        <w:rPr>
          <w:i/>
          <w:color w:val="231F20"/>
          <w:w w:val="105"/>
          <w:sz w:val="21"/>
        </w:rPr>
        <w:t>precios</w:t>
      </w:r>
      <w:r>
        <w:rPr>
          <w:i/>
          <w:color w:val="231F20"/>
          <w:spacing w:val="-31"/>
          <w:w w:val="105"/>
          <w:sz w:val="21"/>
        </w:rPr>
        <w:t> </w:t>
      </w:r>
      <w:r>
        <w:rPr>
          <w:i/>
          <w:color w:val="231F20"/>
          <w:w w:val="105"/>
          <w:sz w:val="21"/>
        </w:rPr>
        <w:t>de</w:t>
      </w:r>
      <w:r>
        <w:rPr>
          <w:i/>
          <w:color w:val="231F20"/>
          <w:spacing w:val="-31"/>
          <w:w w:val="105"/>
          <w:sz w:val="21"/>
        </w:rPr>
        <w:t> </w:t>
      </w:r>
      <w:r>
        <w:rPr>
          <w:i/>
          <w:color w:val="231F20"/>
          <w:w w:val="105"/>
          <w:sz w:val="21"/>
        </w:rPr>
        <w:t>opciones</w:t>
      </w:r>
      <w:r>
        <w:rPr>
          <w:i/>
          <w:color w:val="231F20"/>
          <w:spacing w:val="-31"/>
          <w:w w:val="105"/>
          <w:sz w:val="21"/>
        </w:rPr>
        <w:t> </w:t>
      </w:r>
      <w:r>
        <w:rPr>
          <w:i/>
          <w:color w:val="231F20"/>
          <w:w w:val="105"/>
          <w:sz w:val="21"/>
        </w:rPr>
        <w:t>en</w:t>
      </w:r>
      <w:r>
        <w:rPr>
          <w:i/>
          <w:color w:val="231F20"/>
          <w:spacing w:val="-31"/>
          <w:w w:val="105"/>
          <w:sz w:val="21"/>
        </w:rPr>
        <w:t> </w:t>
      </w:r>
      <w:r>
        <w:rPr>
          <w:i/>
          <w:color w:val="231F20"/>
          <w:w w:val="105"/>
          <w:sz w:val="21"/>
        </w:rPr>
        <w:t>divisas</w:t>
      </w:r>
      <w:r>
        <w:rPr>
          <w:i/>
          <w:color w:val="231F20"/>
          <w:spacing w:val="-31"/>
          <w:w w:val="105"/>
          <w:sz w:val="21"/>
        </w:rPr>
        <w:t> </w:t>
      </w:r>
      <w:r>
        <w:rPr>
          <w:i/>
          <w:color w:val="231F20"/>
          <w:w w:val="105"/>
          <w:sz w:val="21"/>
        </w:rPr>
        <w:t>para</w:t>
      </w:r>
      <w:r>
        <w:rPr>
          <w:i/>
          <w:color w:val="231F20"/>
          <w:spacing w:val="-31"/>
          <w:w w:val="105"/>
          <w:sz w:val="21"/>
        </w:rPr>
        <w:t> </w:t>
      </w:r>
      <w:r>
        <w:rPr>
          <w:i/>
          <w:color w:val="231F20"/>
          <w:w w:val="105"/>
          <w:sz w:val="21"/>
        </w:rPr>
        <w:t>México</w:t>
      </w:r>
      <w:r>
        <w:rPr>
          <w:color w:val="231F20"/>
          <w:w w:val="105"/>
          <w:sz w:val="21"/>
        </w:rPr>
        <w:t>.</w:t>
      </w:r>
      <w:r>
        <w:rPr>
          <w:color w:val="231F20"/>
          <w:spacing w:val="-36"/>
          <w:w w:val="105"/>
          <w:sz w:val="21"/>
        </w:rPr>
        <w:t> </w:t>
      </w:r>
      <w:r>
        <w:rPr>
          <w:color w:val="231F20"/>
          <w:w w:val="105"/>
          <w:sz w:val="21"/>
        </w:rPr>
        <w:t>Maestra</w:t>
      </w:r>
      <w:r>
        <w:rPr>
          <w:color w:val="231F20"/>
          <w:spacing w:val="-31"/>
          <w:w w:val="105"/>
          <w:sz w:val="21"/>
        </w:rPr>
        <w:t> </w:t>
      </w:r>
      <w:r>
        <w:rPr>
          <w:color w:val="231F20"/>
          <w:w w:val="105"/>
          <w:sz w:val="21"/>
        </w:rPr>
        <w:t>en</w:t>
      </w:r>
      <w:r>
        <w:rPr>
          <w:color w:val="231F20"/>
          <w:spacing w:val="-31"/>
          <w:w w:val="105"/>
          <w:sz w:val="21"/>
        </w:rPr>
        <w:t> </w:t>
      </w:r>
      <w:r>
        <w:rPr>
          <w:color w:val="231F20"/>
          <w:w w:val="105"/>
          <w:sz w:val="21"/>
        </w:rPr>
        <w:t>Ingeniería</w:t>
      </w:r>
      <w:r>
        <w:rPr>
          <w:color w:val="231F20"/>
          <w:spacing w:val="-31"/>
          <w:w w:val="105"/>
          <w:sz w:val="21"/>
        </w:rPr>
        <w:t> </w:t>
      </w:r>
      <w:r>
        <w:rPr>
          <w:color w:val="231F20"/>
          <w:w w:val="105"/>
          <w:sz w:val="21"/>
        </w:rPr>
        <w:t>con la</w:t>
      </w:r>
      <w:r>
        <w:rPr>
          <w:color w:val="231F20"/>
          <w:spacing w:val="-14"/>
          <w:w w:val="105"/>
          <w:sz w:val="21"/>
        </w:rPr>
        <w:t> </w:t>
      </w:r>
      <w:r>
        <w:rPr>
          <w:color w:val="231F20"/>
          <w:w w:val="105"/>
          <w:sz w:val="21"/>
        </w:rPr>
        <w:t>investigación</w:t>
      </w:r>
      <w:r>
        <w:rPr>
          <w:color w:val="231F20"/>
          <w:spacing w:val="-14"/>
          <w:w w:val="105"/>
          <w:sz w:val="21"/>
        </w:rPr>
        <w:t> </w:t>
      </w:r>
      <w:r>
        <w:rPr>
          <w:i/>
          <w:color w:val="231F20"/>
          <w:w w:val="105"/>
          <w:sz w:val="21"/>
        </w:rPr>
        <w:t>Modelo</w:t>
      </w:r>
      <w:r>
        <w:rPr>
          <w:i/>
          <w:color w:val="231F20"/>
          <w:spacing w:val="-14"/>
          <w:w w:val="105"/>
          <w:sz w:val="21"/>
        </w:rPr>
        <w:t> </w:t>
      </w:r>
      <w:r>
        <w:rPr>
          <w:i/>
          <w:color w:val="231F20"/>
          <w:w w:val="105"/>
          <w:sz w:val="21"/>
        </w:rPr>
        <w:t>de</w:t>
      </w:r>
      <w:r>
        <w:rPr>
          <w:i/>
          <w:color w:val="231F20"/>
          <w:spacing w:val="-14"/>
          <w:w w:val="105"/>
          <w:sz w:val="21"/>
        </w:rPr>
        <w:t> </w:t>
      </w:r>
      <w:r>
        <w:rPr>
          <w:i/>
          <w:color w:val="231F20"/>
          <w:w w:val="105"/>
          <w:sz w:val="21"/>
        </w:rPr>
        <w:t>regulación</w:t>
      </w:r>
      <w:r>
        <w:rPr>
          <w:i/>
          <w:color w:val="231F20"/>
          <w:spacing w:val="-14"/>
          <w:w w:val="105"/>
          <w:sz w:val="21"/>
        </w:rPr>
        <w:t> </w:t>
      </w:r>
      <w:r>
        <w:rPr>
          <w:i/>
          <w:color w:val="231F20"/>
          <w:w w:val="105"/>
          <w:sz w:val="21"/>
        </w:rPr>
        <w:t>de</w:t>
      </w:r>
      <w:r>
        <w:rPr>
          <w:i/>
          <w:color w:val="231F20"/>
          <w:spacing w:val="-14"/>
          <w:w w:val="105"/>
          <w:sz w:val="21"/>
        </w:rPr>
        <w:t> </w:t>
      </w:r>
      <w:r>
        <w:rPr>
          <w:i/>
          <w:color w:val="231F20"/>
          <w:w w:val="105"/>
          <w:sz w:val="21"/>
        </w:rPr>
        <w:t>un</w:t>
      </w:r>
      <w:r>
        <w:rPr>
          <w:i/>
          <w:color w:val="231F20"/>
          <w:spacing w:val="-14"/>
          <w:w w:val="105"/>
          <w:sz w:val="21"/>
        </w:rPr>
        <w:t> </w:t>
      </w:r>
      <w:r>
        <w:rPr>
          <w:i/>
          <w:color w:val="231F20"/>
          <w:w w:val="105"/>
          <w:sz w:val="21"/>
        </w:rPr>
        <w:t>sistema</w:t>
      </w:r>
      <w:r>
        <w:rPr>
          <w:i/>
          <w:color w:val="231F20"/>
          <w:spacing w:val="-14"/>
          <w:w w:val="105"/>
          <w:sz w:val="21"/>
        </w:rPr>
        <w:t> </w:t>
      </w:r>
      <w:r>
        <w:rPr>
          <w:i/>
          <w:color w:val="231F20"/>
          <w:w w:val="105"/>
          <w:sz w:val="21"/>
        </w:rPr>
        <w:t>de</w:t>
      </w:r>
      <w:r>
        <w:rPr>
          <w:i/>
          <w:color w:val="231F20"/>
          <w:spacing w:val="-14"/>
          <w:w w:val="105"/>
          <w:sz w:val="21"/>
        </w:rPr>
        <w:t> </w:t>
      </w:r>
      <w:r>
        <w:rPr>
          <w:i/>
          <w:color w:val="231F20"/>
          <w:w w:val="105"/>
          <w:sz w:val="21"/>
        </w:rPr>
        <w:t>transporte,</w:t>
      </w:r>
      <w:r>
        <w:rPr>
          <w:i/>
          <w:color w:val="231F20"/>
          <w:spacing w:val="-20"/>
          <w:w w:val="105"/>
          <w:sz w:val="21"/>
        </w:rPr>
        <w:t> </w:t>
      </w:r>
      <w:r>
        <w:rPr>
          <w:i/>
          <w:color w:val="231F20"/>
          <w:w w:val="105"/>
          <w:sz w:val="21"/>
        </w:rPr>
        <w:t>caso </w:t>
      </w:r>
      <w:r>
        <w:rPr>
          <w:i/>
          <w:color w:val="231F20"/>
          <w:spacing w:val="-4"/>
          <w:w w:val="105"/>
          <w:sz w:val="21"/>
        </w:rPr>
        <w:t>Toluca</w:t>
      </w:r>
      <w:r>
        <w:rPr>
          <w:i/>
          <w:color w:val="231F20"/>
          <w:spacing w:val="-28"/>
          <w:w w:val="105"/>
          <w:sz w:val="21"/>
        </w:rPr>
        <w:t> </w:t>
      </w:r>
      <w:r>
        <w:rPr>
          <w:color w:val="231F20"/>
          <w:w w:val="105"/>
          <w:sz w:val="21"/>
        </w:rPr>
        <w:t>en</w:t>
      </w:r>
      <w:r>
        <w:rPr>
          <w:color w:val="231F20"/>
          <w:spacing w:val="-28"/>
          <w:w w:val="105"/>
          <w:sz w:val="21"/>
        </w:rPr>
        <w:t> </w:t>
      </w:r>
      <w:r>
        <w:rPr>
          <w:color w:val="231F20"/>
          <w:w w:val="105"/>
          <w:sz w:val="21"/>
        </w:rPr>
        <w:t>la</w:t>
      </w:r>
      <w:r>
        <w:rPr>
          <w:color w:val="231F20"/>
          <w:spacing w:val="-28"/>
          <w:w w:val="105"/>
          <w:sz w:val="21"/>
        </w:rPr>
        <w:t> </w:t>
      </w:r>
      <w:r>
        <w:rPr>
          <w:color w:val="231F20"/>
          <w:w w:val="105"/>
          <w:sz w:val="21"/>
        </w:rPr>
        <w:t>Facultad</w:t>
      </w:r>
      <w:r>
        <w:rPr>
          <w:color w:val="231F20"/>
          <w:spacing w:val="-28"/>
          <w:w w:val="105"/>
          <w:sz w:val="21"/>
        </w:rPr>
        <w:t> </w:t>
      </w:r>
      <w:r>
        <w:rPr>
          <w:color w:val="231F20"/>
          <w:w w:val="105"/>
          <w:sz w:val="21"/>
        </w:rPr>
        <w:t>de</w:t>
      </w:r>
      <w:r>
        <w:rPr>
          <w:color w:val="231F20"/>
          <w:spacing w:val="-28"/>
          <w:w w:val="105"/>
          <w:sz w:val="21"/>
        </w:rPr>
        <w:t> </w:t>
      </w:r>
      <w:r>
        <w:rPr>
          <w:color w:val="231F20"/>
          <w:w w:val="105"/>
          <w:sz w:val="21"/>
        </w:rPr>
        <w:t>Ingeniería.</w:t>
      </w:r>
      <w:r>
        <w:rPr>
          <w:color w:val="231F20"/>
          <w:spacing w:val="-33"/>
          <w:w w:val="105"/>
          <w:sz w:val="21"/>
        </w:rPr>
        <w:t> </w:t>
      </w:r>
      <w:r>
        <w:rPr>
          <w:color w:val="231F20"/>
          <w:w w:val="105"/>
          <w:sz w:val="21"/>
        </w:rPr>
        <w:t>Ingeniera</w:t>
      </w:r>
      <w:r>
        <w:rPr>
          <w:color w:val="231F20"/>
          <w:spacing w:val="-28"/>
          <w:w w:val="105"/>
          <w:sz w:val="21"/>
        </w:rPr>
        <w:t> </w:t>
      </w:r>
      <w:r>
        <w:rPr>
          <w:color w:val="231F20"/>
          <w:w w:val="105"/>
          <w:sz w:val="21"/>
        </w:rPr>
        <w:t>Civil,</w:t>
      </w:r>
      <w:r>
        <w:rPr>
          <w:color w:val="231F20"/>
          <w:spacing w:val="-33"/>
          <w:w w:val="105"/>
          <w:sz w:val="21"/>
        </w:rPr>
        <w:t> </w:t>
      </w:r>
      <w:r>
        <w:rPr>
          <w:color w:val="231F20"/>
          <w:w w:val="105"/>
          <w:sz w:val="21"/>
        </w:rPr>
        <w:t>graduada</w:t>
      </w:r>
      <w:r>
        <w:rPr>
          <w:color w:val="231F20"/>
          <w:spacing w:val="-28"/>
          <w:w w:val="105"/>
          <w:sz w:val="21"/>
        </w:rPr>
        <w:t> </w:t>
      </w:r>
      <w:r>
        <w:rPr>
          <w:color w:val="231F20"/>
          <w:w w:val="105"/>
          <w:sz w:val="21"/>
        </w:rPr>
        <w:t>con</w:t>
      </w:r>
      <w:r>
        <w:rPr>
          <w:color w:val="231F20"/>
          <w:spacing w:val="-28"/>
          <w:w w:val="105"/>
          <w:sz w:val="21"/>
        </w:rPr>
        <w:t> </w:t>
      </w:r>
      <w:r>
        <w:rPr>
          <w:color w:val="231F20"/>
          <w:w w:val="105"/>
          <w:sz w:val="21"/>
        </w:rPr>
        <w:t>el</w:t>
      </w:r>
      <w:r>
        <w:rPr>
          <w:color w:val="231F20"/>
          <w:spacing w:val="-28"/>
          <w:w w:val="105"/>
          <w:sz w:val="21"/>
        </w:rPr>
        <w:t> </w:t>
      </w:r>
      <w:r>
        <w:rPr>
          <w:i/>
          <w:color w:val="231F20"/>
          <w:w w:val="105"/>
          <w:sz w:val="21"/>
        </w:rPr>
        <w:t>Dise- </w:t>
      </w:r>
      <w:r>
        <w:rPr>
          <w:i/>
          <w:color w:val="231F20"/>
          <w:w w:val="105"/>
          <w:sz w:val="21"/>
        </w:rPr>
        <w:t>ño</w:t>
      </w:r>
      <w:r>
        <w:rPr>
          <w:i/>
          <w:color w:val="231F20"/>
          <w:spacing w:val="-16"/>
          <w:w w:val="105"/>
          <w:sz w:val="21"/>
        </w:rPr>
        <w:t> </w:t>
      </w:r>
      <w:r>
        <w:rPr>
          <w:i/>
          <w:color w:val="231F20"/>
          <w:w w:val="105"/>
          <w:sz w:val="21"/>
        </w:rPr>
        <w:t>experimental</w:t>
      </w:r>
      <w:r>
        <w:rPr>
          <w:i/>
          <w:color w:val="231F20"/>
          <w:spacing w:val="-16"/>
          <w:w w:val="105"/>
          <w:sz w:val="21"/>
        </w:rPr>
        <w:t> </w:t>
      </w:r>
      <w:r>
        <w:rPr>
          <w:i/>
          <w:color w:val="231F20"/>
          <w:w w:val="105"/>
          <w:sz w:val="21"/>
        </w:rPr>
        <w:t>de</w:t>
      </w:r>
      <w:r>
        <w:rPr>
          <w:i/>
          <w:color w:val="231F20"/>
          <w:spacing w:val="-16"/>
          <w:w w:val="105"/>
          <w:sz w:val="21"/>
        </w:rPr>
        <w:t> </w:t>
      </w:r>
      <w:r>
        <w:rPr>
          <w:i/>
          <w:color w:val="231F20"/>
          <w:w w:val="105"/>
          <w:sz w:val="21"/>
        </w:rPr>
        <w:t>3</w:t>
      </w:r>
      <w:r>
        <w:rPr>
          <w:i/>
          <w:color w:val="231F20"/>
          <w:w w:val="105"/>
          <w:position w:val="7"/>
          <w:sz w:val="12"/>
        </w:rPr>
        <w:t>3</w:t>
      </w:r>
      <w:r>
        <w:rPr>
          <w:i/>
          <w:color w:val="231F20"/>
          <w:spacing w:val="10"/>
          <w:w w:val="105"/>
          <w:position w:val="7"/>
          <w:sz w:val="12"/>
        </w:rPr>
        <w:t> </w:t>
      </w:r>
      <w:r>
        <w:rPr>
          <w:i/>
          <w:color w:val="231F20"/>
          <w:w w:val="105"/>
          <w:sz w:val="21"/>
        </w:rPr>
        <w:t>para</w:t>
      </w:r>
      <w:r>
        <w:rPr>
          <w:i/>
          <w:color w:val="231F20"/>
          <w:spacing w:val="-16"/>
          <w:w w:val="105"/>
          <w:sz w:val="21"/>
        </w:rPr>
        <w:t> </w:t>
      </w:r>
      <w:r>
        <w:rPr>
          <w:i/>
          <w:color w:val="231F20"/>
          <w:w w:val="105"/>
          <w:sz w:val="21"/>
        </w:rPr>
        <w:t>determinar</w:t>
      </w:r>
      <w:r>
        <w:rPr>
          <w:i/>
          <w:color w:val="231F20"/>
          <w:spacing w:val="-16"/>
          <w:w w:val="105"/>
          <w:sz w:val="21"/>
        </w:rPr>
        <w:t> </w:t>
      </w:r>
      <w:r>
        <w:rPr>
          <w:i/>
          <w:color w:val="231F20"/>
          <w:w w:val="105"/>
          <w:sz w:val="21"/>
        </w:rPr>
        <w:t>las</w:t>
      </w:r>
      <w:r>
        <w:rPr>
          <w:i/>
          <w:color w:val="231F20"/>
          <w:spacing w:val="-16"/>
          <w:w w:val="105"/>
          <w:sz w:val="21"/>
        </w:rPr>
        <w:t> </w:t>
      </w:r>
      <w:r>
        <w:rPr>
          <w:i/>
          <w:color w:val="231F20"/>
          <w:w w:val="105"/>
          <w:sz w:val="21"/>
        </w:rPr>
        <w:t>bases</w:t>
      </w:r>
      <w:r>
        <w:rPr>
          <w:i/>
          <w:color w:val="231F20"/>
          <w:spacing w:val="-16"/>
          <w:w w:val="105"/>
          <w:sz w:val="21"/>
        </w:rPr>
        <w:t> </w:t>
      </w:r>
      <w:r>
        <w:rPr>
          <w:i/>
          <w:color w:val="231F20"/>
          <w:w w:val="105"/>
          <w:sz w:val="21"/>
        </w:rPr>
        <w:t>racionales</w:t>
      </w:r>
      <w:r>
        <w:rPr>
          <w:i/>
          <w:color w:val="231F20"/>
          <w:spacing w:val="-16"/>
          <w:w w:val="105"/>
          <w:sz w:val="21"/>
        </w:rPr>
        <w:t> </w:t>
      </w:r>
      <w:r>
        <w:rPr>
          <w:i/>
          <w:color w:val="231F20"/>
          <w:w w:val="105"/>
          <w:sz w:val="21"/>
        </w:rPr>
        <w:t>de</w:t>
      </w:r>
      <w:r>
        <w:rPr>
          <w:i/>
          <w:color w:val="231F20"/>
          <w:spacing w:val="-16"/>
          <w:w w:val="105"/>
          <w:sz w:val="21"/>
        </w:rPr>
        <w:t> </w:t>
      </w:r>
      <w:r>
        <w:rPr>
          <w:i/>
          <w:color w:val="231F20"/>
          <w:w w:val="105"/>
          <w:sz w:val="21"/>
        </w:rPr>
        <w:t>los</w:t>
      </w:r>
      <w:r>
        <w:rPr>
          <w:i/>
          <w:color w:val="231F20"/>
          <w:spacing w:val="-16"/>
          <w:w w:val="105"/>
          <w:sz w:val="21"/>
        </w:rPr>
        <w:t> </w:t>
      </w:r>
      <w:r>
        <w:rPr>
          <w:i/>
          <w:color w:val="231F20"/>
          <w:w w:val="105"/>
          <w:sz w:val="21"/>
        </w:rPr>
        <w:t>méto- dos</w:t>
      </w:r>
      <w:r>
        <w:rPr>
          <w:i/>
          <w:color w:val="231F20"/>
          <w:spacing w:val="-38"/>
          <w:w w:val="105"/>
          <w:sz w:val="21"/>
        </w:rPr>
        <w:t> </w:t>
      </w:r>
      <w:r>
        <w:rPr>
          <w:i/>
          <w:color w:val="231F20"/>
          <w:w w:val="105"/>
          <w:sz w:val="21"/>
        </w:rPr>
        <w:t>de</w:t>
      </w:r>
      <w:r>
        <w:rPr>
          <w:i/>
          <w:color w:val="231F20"/>
          <w:spacing w:val="-38"/>
          <w:w w:val="105"/>
          <w:sz w:val="21"/>
        </w:rPr>
        <w:t> </w:t>
      </w:r>
      <w:r>
        <w:rPr>
          <w:i/>
          <w:color w:val="231F20"/>
          <w:w w:val="105"/>
          <w:sz w:val="21"/>
        </w:rPr>
        <w:t>dosificación</w:t>
      </w:r>
      <w:r>
        <w:rPr>
          <w:i/>
          <w:color w:val="231F20"/>
          <w:spacing w:val="-40"/>
          <w:w w:val="105"/>
          <w:sz w:val="21"/>
        </w:rPr>
        <w:t> </w:t>
      </w:r>
      <w:r>
        <w:rPr>
          <w:i/>
          <w:color w:val="231F20"/>
          <w:w w:val="105"/>
          <w:sz w:val="21"/>
        </w:rPr>
        <w:t>ACI</w:t>
      </w:r>
      <w:r>
        <w:rPr>
          <w:i/>
          <w:color w:val="231F20"/>
          <w:spacing w:val="-38"/>
          <w:w w:val="105"/>
          <w:sz w:val="21"/>
        </w:rPr>
        <w:t> </w:t>
      </w:r>
      <w:r>
        <w:rPr>
          <w:i/>
          <w:color w:val="231F20"/>
          <w:w w:val="105"/>
          <w:sz w:val="21"/>
        </w:rPr>
        <w:t>212;</w:t>
      </w:r>
      <w:r>
        <w:rPr>
          <w:i/>
          <w:color w:val="231F20"/>
          <w:spacing w:val="-38"/>
          <w:w w:val="105"/>
          <w:sz w:val="21"/>
        </w:rPr>
        <w:t> </w:t>
      </w:r>
      <w:r>
        <w:rPr>
          <w:i/>
          <w:color w:val="231F20"/>
          <w:w w:val="105"/>
          <w:sz w:val="21"/>
        </w:rPr>
        <w:t>PCA</w:t>
      </w:r>
      <w:r>
        <w:rPr>
          <w:i/>
          <w:color w:val="231F20"/>
          <w:spacing w:val="-40"/>
          <w:w w:val="105"/>
          <w:sz w:val="21"/>
        </w:rPr>
        <w:t> </w:t>
      </w:r>
      <w:r>
        <w:rPr>
          <w:i/>
          <w:color w:val="231F20"/>
          <w:w w:val="105"/>
          <w:sz w:val="21"/>
        </w:rPr>
        <w:t>y</w:t>
      </w:r>
      <w:r>
        <w:rPr>
          <w:i/>
          <w:color w:val="231F20"/>
          <w:spacing w:val="-38"/>
          <w:w w:val="105"/>
          <w:sz w:val="21"/>
        </w:rPr>
        <w:t> </w:t>
      </w:r>
      <w:r>
        <w:rPr>
          <w:i/>
          <w:color w:val="231F20"/>
          <w:w w:val="105"/>
          <w:sz w:val="21"/>
        </w:rPr>
        <w:t>Britisch</w:t>
      </w:r>
      <w:r>
        <w:rPr>
          <w:i/>
          <w:color w:val="231F20"/>
          <w:spacing w:val="-38"/>
          <w:w w:val="105"/>
          <w:sz w:val="21"/>
        </w:rPr>
        <w:t> </w:t>
      </w:r>
      <w:r>
        <w:rPr>
          <w:i/>
          <w:color w:val="231F20"/>
          <w:w w:val="105"/>
          <w:sz w:val="21"/>
        </w:rPr>
        <w:t>Code</w:t>
      </w:r>
      <w:r>
        <w:rPr>
          <w:i/>
          <w:color w:val="231F20"/>
          <w:spacing w:val="-38"/>
          <w:w w:val="105"/>
          <w:sz w:val="21"/>
        </w:rPr>
        <w:t> </w:t>
      </w:r>
      <w:r>
        <w:rPr>
          <w:i/>
          <w:color w:val="231F20"/>
          <w:w w:val="105"/>
          <w:sz w:val="21"/>
        </w:rPr>
        <w:t>of</w:t>
      </w:r>
      <w:r>
        <w:rPr>
          <w:i/>
          <w:color w:val="231F20"/>
          <w:spacing w:val="-35"/>
          <w:w w:val="105"/>
          <w:sz w:val="21"/>
        </w:rPr>
        <w:t> </w:t>
      </w:r>
      <w:r>
        <w:rPr>
          <w:i/>
          <w:color w:val="231F20"/>
          <w:w w:val="105"/>
          <w:sz w:val="21"/>
        </w:rPr>
        <w:t>Practice</w:t>
      </w:r>
      <w:r>
        <w:rPr>
          <w:i/>
          <w:color w:val="231F20"/>
          <w:spacing w:val="-38"/>
          <w:w w:val="105"/>
          <w:sz w:val="21"/>
        </w:rPr>
        <w:t> </w:t>
      </w:r>
      <w:r>
        <w:rPr>
          <w:color w:val="231F20"/>
          <w:w w:val="105"/>
          <w:sz w:val="21"/>
        </w:rPr>
        <w:t>en</w:t>
      </w:r>
      <w:r>
        <w:rPr>
          <w:color w:val="231F20"/>
          <w:spacing w:val="-38"/>
          <w:w w:val="105"/>
          <w:sz w:val="21"/>
        </w:rPr>
        <w:t> </w:t>
      </w:r>
      <w:r>
        <w:rPr>
          <w:color w:val="231F20"/>
          <w:w w:val="105"/>
          <w:sz w:val="21"/>
        </w:rPr>
        <w:t>la</w:t>
      </w:r>
      <w:r>
        <w:rPr>
          <w:color w:val="231F20"/>
          <w:spacing w:val="-38"/>
          <w:w w:val="105"/>
          <w:sz w:val="21"/>
        </w:rPr>
        <w:t> </w:t>
      </w:r>
      <w:r>
        <w:rPr>
          <w:color w:val="231F20"/>
          <w:w w:val="105"/>
          <w:sz w:val="21"/>
        </w:rPr>
        <w:t>Facultad de</w:t>
      </w:r>
      <w:r>
        <w:rPr>
          <w:color w:val="231F20"/>
          <w:spacing w:val="-22"/>
          <w:w w:val="105"/>
          <w:sz w:val="21"/>
        </w:rPr>
        <w:t> </w:t>
      </w:r>
      <w:r>
        <w:rPr>
          <w:color w:val="231F20"/>
          <w:w w:val="105"/>
          <w:sz w:val="21"/>
        </w:rPr>
        <w:t>Ingeniería.</w:t>
      </w:r>
      <w:r>
        <w:rPr>
          <w:color w:val="231F20"/>
          <w:spacing w:val="-31"/>
          <w:w w:val="105"/>
          <w:sz w:val="21"/>
        </w:rPr>
        <w:t> </w:t>
      </w:r>
      <w:r>
        <w:rPr>
          <w:color w:val="231F20"/>
          <w:spacing w:val="-5"/>
          <w:w w:val="105"/>
          <w:sz w:val="21"/>
        </w:rPr>
        <w:t>Todos</w:t>
      </w:r>
      <w:r>
        <w:rPr>
          <w:color w:val="231F20"/>
          <w:spacing w:val="-22"/>
          <w:w w:val="105"/>
          <w:sz w:val="21"/>
        </w:rPr>
        <w:t> </w:t>
      </w:r>
      <w:r>
        <w:rPr>
          <w:color w:val="231F20"/>
          <w:w w:val="105"/>
          <w:sz w:val="21"/>
        </w:rPr>
        <w:t>los</w:t>
      </w:r>
      <w:r>
        <w:rPr>
          <w:color w:val="231F20"/>
          <w:spacing w:val="-22"/>
          <w:w w:val="105"/>
          <w:sz w:val="21"/>
        </w:rPr>
        <w:t> </w:t>
      </w:r>
      <w:r>
        <w:rPr>
          <w:color w:val="231F20"/>
          <w:w w:val="105"/>
          <w:sz w:val="21"/>
        </w:rPr>
        <w:t>estudios</w:t>
      </w:r>
      <w:r>
        <w:rPr>
          <w:color w:val="231F20"/>
          <w:spacing w:val="-22"/>
          <w:w w:val="105"/>
          <w:sz w:val="21"/>
        </w:rPr>
        <w:t> </w:t>
      </w:r>
      <w:r>
        <w:rPr>
          <w:color w:val="231F20"/>
          <w:w w:val="105"/>
          <w:sz w:val="21"/>
        </w:rPr>
        <w:t>realizados</w:t>
      </w:r>
      <w:r>
        <w:rPr>
          <w:color w:val="231F20"/>
          <w:spacing w:val="-22"/>
          <w:w w:val="105"/>
          <w:sz w:val="21"/>
        </w:rPr>
        <w:t> </w:t>
      </w:r>
      <w:r>
        <w:rPr>
          <w:color w:val="231F20"/>
          <w:w w:val="105"/>
          <w:sz w:val="21"/>
        </w:rPr>
        <w:t>en</w:t>
      </w:r>
      <w:r>
        <w:rPr>
          <w:color w:val="231F20"/>
          <w:spacing w:val="-22"/>
          <w:w w:val="105"/>
          <w:sz w:val="21"/>
        </w:rPr>
        <w:t> </w:t>
      </w:r>
      <w:r>
        <w:rPr>
          <w:color w:val="231F20"/>
          <w:w w:val="105"/>
          <w:sz w:val="21"/>
        </w:rPr>
        <w:t>la</w:t>
      </w:r>
      <w:r>
        <w:rPr>
          <w:color w:val="231F20"/>
          <w:spacing w:val="-22"/>
          <w:w w:val="105"/>
          <w:sz w:val="21"/>
        </w:rPr>
        <w:t> </w:t>
      </w:r>
      <w:r>
        <w:rPr>
          <w:color w:val="231F20"/>
          <w:w w:val="105"/>
          <w:sz w:val="21"/>
        </w:rPr>
        <w:t>Universidad</w:t>
      </w:r>
      <w:r>
        <w:rPr>
          <w:color w:val="231F20"/>
          <w:spacing w:val="-25"/>
          <w:w w:val="105"/>
          <w:sz w:val="21"/>
        </w:rPr>
        <w:t> </w:t>
      </w:r>
      <w:r>
        <w:rPr>
          <w:color w:val="231F20"/>
          <w:w w:val="105"/>
          <w:sz w:val="21"/>
        </w:rPr>
        <w:t>Autónoma del Estado de México. Ha escrito publicaciones en CIENCIA</w:t>
      </w:r>
      <w:r>
        <w:rPr>
          <w:color w:val="231F20"/>
          <w:spacing w:val="-17"/>
          <w:w w:val="105"/>
          <w:sz w:val="21"/>
        </w:rPr>
        <w:t> </w:t>
      </w:r>
      <w:r>
        <w:rPr>
          <w:color w:val="231F20"/>
          <w:w w:val="105"/>
          <w:sz w:val="21"/>
        </w:rPr>
        <w:t>ergo-sum, en</w:t>
      </w:r>
      <w:r>
        <w:rPr>
          <w:color w:val="231F20"/>
          <w:spacing w:val="-15"/>
          <w:w w:val="105"/>
          <w:sz w:val="21"/>
        </w:rPr>
        <w:t> </w:t>
      </w:r>
      <w:r>
        <w:rPr>
          <w:color w:val="231F20"/>
          <w:w w:val="105"/>
          <w:sz w:val="21"/>
        </w:rPr>
        <w:t>International</w:t>
      </w:r>
      <w:r>
        <w:rPr>
          <w:color w:val="231F20"/>
          <w:spacing w:val="-17"/>
          <w:w w:val="105"/>
          <w:sz w:val="21"/>
        </w:rPr>
        <w:t> </w:t>
      </w:r>
      <w:r>
        <w:rPr>
          <w:color w:val="231F20"/>
          <w:w w:val="105"/>
          <w:sz w:val="21"/>
        </w:rPr>
        <w:t>Journal</w:t>
      </w:r>
      <w:r>
        <w:rPr>
          <w:color w:val="231F20"/>
          <w:spacing w:val="-15"/>
          <w:w w:val="105"/>
          <w:sz w:val="21"/>
        </w:rPr>
        <w:t> </w:t>
      </w:r>
      <w:r>
        <w:rPr>
          <w:color w:val="231F20"/>
          <w:w w:val="105"/>
          <w:sz w:val="21"/>
        </w:rPr>
        <w:t>of</w:t>
      </w:r>
      <w:r>
        <w:rPr>
          <w:color w:val="231F20"/>
          <w:spacing w:val="-10"/>
          <w:w w:val="105"/>
          <w:sz w:val="21"/>
        </w:rPr>
        <w:t> </w:t>
      </w:r>
      <w:r>
        <w:rPr>
          <w:color w:val="231F20"/>
          <w:w w:val="105"/>
          <w:sz w:val="21"/>
        </w:rPr>
        <w:t>Modern</w:t>
      </w:r>
      <w:r>
        <w:rPr>
          <w:color w:val="231F20"/>
          <w:spacing w:val="-15"/>
          <w:w w:val="105"/>
          <w:sz w:val="21"/>
        </w:rPr>
        <w:t> </w:t>
      </w:r>
      <w:r>
        <w:rPr>
          <w:color w:val="231F20"/>
          <w:w w:val="105"/>
          <w:sz w:val="21"/>
        </w:rPr>
        <w:t>Nonlinear</w:t>
      </w:r>
      <w:r>
        <w:rPr>
          <w:color w:val="231F20"/>
          <w:spacing w:val="-20"/>
          <w:w w:val="105"/>
          <w:sz w:val="21"/>
        </w:rPr>
        <w:t> </w:t>
      </w:r>
      <w:r>
        <w:rPr>
          <w:color w:val="231F20"/>
          <w:w w:val="105"/>
          <w:sz w:val="21"/>
        </w:rPr>
        <w:t>Theory</w:t>
      </w:r>
      <w:r>
        <w:rPr>
          <w:color w:val="231F20"/>
          <w:spacing w:val="-15"/>
          <w:w w:val="105"/>
          <w:sz w:val="21"/>
        </w:rPr>
        <w:t> </w:t>
      </w:r>
      <w:r>
        <w:rPr>
          <w:color w:val="231F20"/>
          <w:w w:val="105"/>
          <w:sz w:val="21"/>
        </w:rPr>
        <w:t>and</w:t>
      </w:r>
      <w:r>
        <w:rPr>
          <w:color w:val="231F20"/>
          <w:spacing w:val="-19"/>
          <w:w w:val="105"/>
          <w:sz w:val="21"/>
        </w:rPr>
        <w:t> </w:t>
      </w:r>
      <w:r>
        <w:rPr>
          <w:color w:val="231F20"/>
          <w:w w:val="105"/>
          <w:sz w:val="21"/>
        </w:rPr>
        <w:t>Application,</w:t>
      </w:r>
      <w:r>
        <w:rPr>
          <w:color w:val="231F20"/>
          <w:spacing w:val="-21"/>
          <w:w w:val="105"/>
          <w:sz w:val="21"/>
        </w:rPr>
        <w:t> </w:t>
      </w:r>
      <w:r>
        <w:rPr>
          <w:color w:val="231F20"/>
          <w:w w:val="105"/>
          <w:sz w:val="21"/>
        </w:rPr>
        <w:t>en </w:t>
      </w:r>
      <w:r>
        <w:rPr>
          <w:color w:val="231F20"/>
          <w:spacing w:val="-3"/>
          <w:w w:val="105"/>
          <w:sz w:val="21"/>
        </w:rPr>
        <w:t>Adv.</w:t>
      </w:r>
      <w:r>
        <w:rPr>
          <w:color w:val="231F20"/>
          <w:spacing w:val="-36"/>
          <w:w w:val="105"/>
          <w:sz w:val="21"/>
        </w:rPr>
        <w:t> </w:t>
      </w:r>
      <w:r>
        <w:rPr>
          <w:color w:val="231F20"/>
          <w:w w:val="105"/>
          <w:sz w:val="21"/>
        </w:rPr>
        <w:t>Studies</w:t>
      </w:r>
      <w:r>
        <w:rPr>
          <w:color w:val="231F20"/>
          <w:spacing w:val="-35"/>
          <w:w w:val="105"/>
          <w:sz w:val="21"/>
        </w:rPr>
        <w:t> </w:t>
      </w:r>
      <w:r>
        <w:rPr>
          <w:color w:val="231F20"/>
          <w:spacing w:val="-3"/>
          <w:w w:val="105"/>
          <w:sz w:val="21"/>
        </w:rPr>
        <w:t>Theor.</w:t>
      </w:r>
      <w:r>
        <w:rPr>
          <w:color w:val="231F20"/>
          <w:spacing w:val="-36"/>
          <w:w w:val="105"/>
          <w:sz w:val="21"/>
        </w:rPr>
        <w:t> </w:t>
      </w:r>
      <w:r>
        <w:rPr>
          <w:color w:val="231F20"/>
          <w:w w:val="105"/>
          <w:sz w:val="21"/>
        </w:rPr>
        <w:t>Phys,</w:t>
      </w:r>
      <w:r>
        <w:rPr>
          <w:color w:val="231F20"/>
          <w:spacing w:val="-36"/>
          <w:w w:val="105"/>
          <w:sz w:val="21"/>
        </w:rPr>
        <w:t> </w:t>
      </w:r>
      <w:r>
        <w:rPr>
          <w:color w:val="231F20"/>
          <w:w w:val="105"/>
          <w:sz w:val="21"/>
        </w:rPr>
        <w:t>International</w:t>
      </w:r>
      <w:r>
        <w:rPr>
          <w:color w:val="231F20"/>
          <w:spacing w:val="-34"/>
          <w:w w:val="105"/>
          <w:sz w:val="21"/>
        </w:rPr>
        <w:t> </w:t>
      </w:r>
      <w:r>
        <w:rPr>
          <w:color w:val="231F20"/>
          <w:w w:val="105"/>
          <w:sz w:val="21"/>
        </w:rPr>
        <w:t>Journal</w:t>
      </w:r>
      <w:r>
        <w:rPr>
          <w:color w:val="231F20"/>
          <w:spacing w:val="-32"/>
          <w:w w:val="105"/>
          <w:sz w:val="21"/>
        </w:rPr>
        <w:t> </w:t>
      </w:r>
      <w:r>
        <w:rPr>
          <w:color w:val="231F20"/>
          <w:w w:val="105"/>
          <w:sz w:val="21"/>
        </w:rPr>
        <w:t>of</w:t>
      </w:r>
      <w:r>
        <w:rPr>
          <w:color w:val="231F20"/>
          <w:spacing w:val="-29"/>
          <w:w w:val="105"/>
          <w:sz w:val="21"/>
        </w:rPr>
        <w:t> </w:t>
      </w:r>
      <w:r>
        <w:rPr>
          <w:color w:val="231F20"/>
          <w:w w:val="105"/>
          <w:sz w:val="21"/>
        </w:rPr>
        <w:t>Modern</w:t>
      </w:r>
      <w:r>
        <w:rPr>
          <w:color w:val="231F20"/>
          <w:spacing w:val="-32"/>
          <w:w w:val="105"/>
          <w:sz w:val="21"/>
        </w:rPr>
        <w:t> </w:t>
      </w:r>
      <w:r>
        <w:rPr>
          <w:color w:val="231F20"/>
          <w:w w:val="105"/>
          <w:sz w:val="21"/>
        </w:rPr>
        <w:t>Physics.</w:t>
      </w:r>
    </w:p>
    <w:p>
      <w:pPr>
        <w:pStyle w:val="BodyText"/>
        <w:spacing w:before="6"/>
        <w:rPr>
          <w:sz w:val="22"/>
        </w:rPr>
      </w:pPr>
    </w:p>
    <w:p>
      <w:pPr>
        <w:pStyle w:val="BodyText"/>
        <w:spacing w:line="259" w:lineRule="auto"/>
        <w:ind w:left="117" w:right="115"/>
        <w:jc w:val="both"/>
      </w:pPr>
      <w:r>
        <w:rPr>
          <w:color w:val="231F20"/>
          <w:w w:val="105"/>
        </w:rPr>
        <w:t>María</w:t>
      </w:r>
      <w:r>
        <w:rPr>
          <w:color w:val="231F20"/>
          <w:spacing w:val="-17"/>
          <w:w w:val="105"/>
        </w:rPr>
        <w:t> </w:t>
      </w:r>
      <w:r>
        <w:rPr>
          <w:color w:val="231F20"/>
          <w:w w:val="105"/>
        </w:rPr>
        <w:t>del</w:t>
      </w:r>
      <w:r>
        <w:rPr>
          <w:color w:val="231F20"/>
          <w:spacing w:val="-17"/>
          <w:w w:val="105"/>
        </w:rPr>
        <w:t> </w:t>
      </w:r>
      <w:r>
        <w:rPr>
          <w:color w:val="231F20"/>
          <w:w w:val="105"/>
        </w:rPr>
        <w:t>Carmen</w:t>
      </w:r>
      <w:r>
        <w:rPr>
          <w:color w:val="231F20"/>
          <w:spacing w:val="-17"/>
          <w:w w:val="105"/>
        </w:rPr>
        <w:t> </w:t>
      </w:r>
      <w:r>
        <w:rPr>
          <w:color w:val="231F20"/>
          <w:w w:val="105"/>
        </w:rPr>
        <w:t>Salgado</w:t>
      </w:r>
      <w:r>
        <w:rPr>
          <w:color w:val="231F20"/>
          <w:spacing w:val="-20"/>
          <w:w w:val="105"/>
        </w:rPr>
        <w:t> </w:t>
      </w:r>
      <w:r>
        <w:rPr>
          <w:color w:val="231F20"/>
          <w:w w:val="105"/>
        </w:rPr>
        <w:t>Vega.</w:t>
      </w:r>
      <w:r>
        <w:rPr>
          <w:color w:val="231F20"/>
          <w:spacing w:val="-17"/>
          <w:w w:val="105"/>
        </w:rPr>
        <w:t> </w:t>
      </w:r>
      <w:r>
        <w:rPr>
          <w:color w:val="231F20"/>
          <w:w w:val="105"/>
        </w:rPr>
        <w:t>Licenciada</w:t>
      </w:r>
      <w:r>
        <w:rPr>
          <w:color w:val="231F20"/>
          <w:spacing w:val="-17"/>
          <w:w w:val="105"/>
        </w:rPr>
        <w:t> </w:t>
      </w:r>
      <w:r>
        <w:rPr>
          <w:color w:val="231F20"/>
          <w:w w:val="105"/>
        </w:rPr>
        <w:t>en</w:t>
      </w:r>
      <w:r>
        <w:rPr>
          <w:color w:val="231F20"/>
          <w:spacing w:val="-17"/>
          <w:w w:val="105"/>
        </w:rPr>
        <w:t> </w:t>
      </w:r>
      <w:r>
        <w:rPr>
          <w:color w:val="231F20"/>
          <w:w w:val="105"/>
        </w:rPr>
        <w:t>Economía</w:t>
      </w:r>
      <w:r>
        <w:rPr>
          <w:color w:val="231F20"/>
          <w:spacing w:val="-17"/>
          <w:w w:val="105"/>
        </w:rPr>
        <w:t> </w:t>
      </w:r>
      <w:r>
        <w:rPr>
          <w:color w:val="231F20"/>
          <w:w w:val="105"/>
        </w:rPr>
        <w:t>y</w:t>
      </w:r>
      <w:r>
        <w:rPr>
          <w:color w:val="231F20"/>
          <w:spacing w:val="-17"/>
          <w:w w:val="105"/>
        </w:rPr>
        <w:t> </w:t>
      </w:r>
      <w:r>
        <w:rPr>
          <w:color w:val="231F20"/>
          <w:w w:val="105"/>
        </w:rPr>
        <w:t>Maestra</w:t>
      </w:r>
      <w:r>
        <w:rPr>
          <w:color w:val="231F20"/>
          <w:spacing w:val="-17"/>
          <w:w w:val="105"/>
        </w:rPr>
        <w:t> </w:t>
      </w:r>
      <w:r>
        <w:rPr>
          <w:color w:val="231F20"/>
          <w:w w:val="105"/>
        </w:rPr>
        <w:t>en Desarrollo</w:t>
      </w:r>
      <w:r>
        <w:rPr>
          <w:color w:val="231F20"/>
          <w:spacing w:val="-17"/>
          <w:w w:val="105"/>
        </w:rPr>
        <w:t> </w:t>
      </w:r>
      <w:r>
        <w:rPr>
          <w:color w:val="231F20"/>
          <w:w w:val="105"/>
        </w:rPr>
        <w:t>Regional</w:t>
      </w:r>
      <w:r>
        <w:rPr>
          <w:color w:val="231F20"/>
          <w:spacing w:val="-17"/>
          <w:w w:val="105"/>
        </w:rPr>
        <w:t> </w:t>
      </w:r>
      <w:r>
        <w:rPr>
          <w:color w:val="231F20"/>
          <w:w w:val="105"/>
        </w:rPr>
        <w:t>por</w:t>
      </w:r>
      <w:r>
        <w:rPr>
          <w:color w:val="231F20"/>
          <w:spacing w:val="-17"/>
          <w:w w:val="105"/>
        </w:rPr>
        <w:t> </w:t>
      </w:r>
      <w:r>
        <w:rPr>
          <w:color w:val="231F20"/>
          <w:w w:val="105"/>
        </w:rPr>
        <w:t>la</w:t>
      </w:r>
      <w:r>
        <w:rPr>
          <w:color w:val="231F20"/>
          <w:spacing w:val="-17"/>
          <w:w w:val="105"/>
        </w:rPr>
        <w:t> </w:t>
      </w:r>
      <w:r>
        <w:rPr>
          <w:color w:val="231F20"/>
          <w:w w:val="105"/>
        </w:rPr>
        <w:t>Universidad</w:t>
      </w:r>
      <w:r>
        <w:rPr>
          <w:color w:val="231F20"/>
          <w:spacing w:val="-20"/>
          <w:w w:val="105"/>
        </w:rPr>
        <w:t> </w:t>
      </w:r>
      <w:r>
        <w:rPr>
          <w:color w:val="231F20"/>
          <w:w w:val="105"/>
        </w:rPr>
        <w:t>Autónoma</w:t>
      </w:r>
      <w:r>
        <w:rPr>
          <w:color w:val="231F20"/>
          <w:spacing w:val="-17"/>
          <w:w w:val="105"/>
        </w:rPr>
        <w:t> </w:t>
      </w:r>
      <w:r>
        <w:rPr>
          <w:color w:val="231F20"/>
          <w:w w:val="105"/>
        </w:rPr>
        <w:t>del</w:t>
      </w:r>
      <w:r>
        <w:rPr>
          <w:color w:val="231F20"/>
          <w:spacing w:val="-17"/>
          <w:w w:val="105"/>
        </w:rPr>
        <w:t> </w:t>
      </w:r>
      <w:r>
        <w:rPr>
          <w:color w:val="231F20"/>
          <w:w w:val="105"/>
        </w:rPr>
        <w:t>Estado</w:t>
      </w:r>
      <w:r>
        <w:rPr>
          <w:color w:val="231F20"/>
          <w:spacing w:val="-17"/>
          <w:w w:val="105"/>
        </w:rPr>
        <w:t> </w:t>
      </w:r>
      <w:r>
        <w:rPr>
          <w:color w:val="231F20"/>
          <w:w w:val="105"/>
        </w:rPr>
        <w:t>de</w:t>
      </w:r>
      <w:r>
        <w:rPr>
          <w:color w:val="231F20"/>
          <w:spacing w:val="-17"/>
          <w:w w:val="105"/>
        </w:rPr>
        <w:t> </w:t>
      </w:r>
      <w:r>
        <w:rPr>
          <w:color w:val="231F20"/>
          <w:w w:val="105"/>
        </w:rPr>
        <w:t>México. Doctora</w:t>
      </w:r>
      <w:r>
        <w:rPr>
          <w:color w:val="231F20"/>
          <w:spacing w:val="-16"/>
          <w:w w:val="105"/>
        </w:rPr>
        <w:t> </w:t>
      </w:r>
      <w:r>
        <w:rPr>
          <w:color w:val="231F20"/>
          <w:w w:val="105"/>
        </w:rPr>
        <w:t>en</w:t>
      </w:r>
      <w:r>
        <w:rPr>
          <w:color w:val="231F20"/>
          <w:spacing w:val="30"/>
          <w:w w:val="105"/>
        </w:rPr>
        <w:t> </w:t>
      </w:r>
      <w:r>
        <w:rPr>
          <w:color w:val="231F20"/>
          <w:w w:val="105"/>
        </w:rPr>
        <w:t>Economía</w:t>
      </w:r>
      <w:r>
        <w:rPr>
          <w:color w:val="231F20"/>
          <w:spacing w:val="-16"/>
          <w:w w:val="105"/>
        </w:rPr>
        <w:t> </w:t>
      </w:r>
      <w:r>
        <w:rPr>
          <w:color w:val="231F20"/>
          <w:w w:val="105"/>
        </w:rPr>
        <w:t>por</w:t>
      </w:r>
      <w:r>
        <w:rPr>
          <w:color w:val="231F20"/>
          <w:spacing w:val="-16"/>
          <w:w w:val="105"/>
        </w:rPr>
        <w:t> </w:t>
      </w:r>
      <w:r>
        <w:rPr>
          <w:color w:val="231F20"/>
          <w:w w:val="105"/>
        </w:rPr>
        <w:t>la</w:t>
      </w:r>
      <w:r>
        <w:rPr>
          <w:color w:val="231F20"/>
          <w:spacing w:val="-16"/>
          <w:w w:val="105"/>
        </w:rPr>
        <w:t> </w:t>
      </w:r>
      <w:r>
        <w:rPr>
          <w:color w:val="231F20"/>
          <w:w w:val="105"/>
        </w:rPr>
        <w:t>Universidad</w:t>
      </w:r>
      <w:r>
        <w:rPr>
          <w:color w:val="231F20"/>
          <w:spacing w:val="-16"/>
          <w:w w:val="105"/>
        </w:rPr>
        <w:t> </w:t>
      </w:r>
      <w:r>
        <w:rPr>
          <w:color w:val="231F20"/>
          <w:w w:val="105"/>
        </w:rPr>
        <w:t>de</w:t>
      </w:r>
      <w:r>
        <w:rPr>
          <w:color w:val="231F20"/>
          <w:spacing w:val="-16"/>
          <w:w w:val="105"/>
        </w:rPr>
        <w:t> </w:t>
      </w:r>
      <w:r>
        <w:rPr>
          <w:color w:val="231F20"/>
          <w:w w:val="105"/>
        </w:rPr>
        <w:t>Salamanca,</w:t>
      </w:r>
      <w:r>
        <w:rPr>
          <w:color w:val="231F20"/>
          <w:spacing w:val="-21"/>
          <w:w w:val="105"/>
        </w:rPr>
        <w:t> </w:t>
      </w:r>
      <w:r>
        <w:rPr>
          <w:color w:val="231F20"/>
          <w:w w:val="105"/>
        </w:rPr>
        <w:t>España.</w:t>
      </w:r>
      <w:r>
        <w:rPr>
          <w:color w:val="231F20"/>
          <w:spacing w:val="-21"/>
          <w:w w:val="105"/>
        </w:rPr>
        <w:t> </w:t>
      </w:r>
      <w:r>
        <w:rPr>
          <w:color w:val="231F20"/>
          <w:spacing w:val="-3"/>
          <w:w w:val="105"/>
        </w:rPr>
        <w:t>Profe- </w:t>
      </w:r>
      <w:r>
        <w:rPr>
          <w:color w:val="231F20"/>
          <w:w w:val="105"/>
        </w:rPr>
        <w:t>sora</w:t>
      </w:r>
      <w:r>
        <w:rPr>
          <w:color w:val="231F20"/>
          <w:spacing w:val="-25"/>
          <w:w w:val="105"/>
        </w:rPr>
        <w:t> </w:t>
      </w:r>
      <w:r>
        <w:rPr>
          <w:color w:val="231F20"/>
          <w:w w:val="105"/>
        </w:rPr>
        <w:t>investigadora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Facultad</w:t>
      </w:r>
      <w:r>
        <w:rPr>
          <w:color w:val="231F20"/>
          <w:spacing w:val="-25"/>
          <w:w w:val="105"/>
        </w:rPr>
        <w:t> </w:t>
      </w:r>
      <w:r>
        <w:rPr>
          <w:color w:val="231F20"/>
          <w:w w:val="105"/>
        </w:rPr>
        <w:t>de</w:t>
      </w:r>
      <w:r>
        <w:rPr>
          <w:color w:val="231F20"/>
          <w:spacing w:val="-25"/>
          <w:w w:val="105"/>
        </w:rPr>
        <w:t> </w:t>
      </w:r>
      <w:r>
        <w:rPr>
          <w:color w:val="231F20"/>
          <w:w w:val="105"/>
        </w:rPr>
        <w:t>Economía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UAEM.</w:t>
      </w:r>
      <w:r>
        <w:rPr>
          <w:color w:val="231F20"/>
          <w:spacing w:val="-30"/>
          <w:w w:val="105"/>
        </w:rPr>
        <w:t> </w:t>
      </w:r>
      <w:r>
        <w:rPr>
          <w:color w:val="231F20"/>
          <w:w w:val="105"/>
        </w:rPr>
        <w:t>Miembro</w:t>
      </w:r>
      <w:r>
        <w:rPr>
          <w:color w:val="231F20"/>
          <w:spacing w:val="-25"/>
          <w:w w:val="105"/>
        </w:rPr>
        <w:t> </w:t>
      </w:r>
      <w:r>
        <w:rPr>
          <w:color w:val="231F20"/>
          <w:w w:val="105"/>
        </w:rPr>
        <w:t>del Sistema</w:t>
      </w:r>
      <w:r>
        <w:rPr>
          <w:color w:val="231F20"/>
          <w:spacing w:val="-40"/>
          <w:w w:val="105"/>
        </w:rPr>
        <w:t> </w:t>
      </w:r>
      <w:r>
        <w:rPr>
          <w:color w:val="231F20"/>
          <w:w w:val="105"/>
        </w:rPr>
        <w:t>Nacional</w:t>
      </w:r>
      <w:r>
        <w:rPr>
          <w:color w:val="231F20"/>
          <w:spacing w:val="-40"/>
          <w:w w:val="105"/>
        </w:rPr>
        <w:t> </w:t>
      </w:r>
      <w:r>
        <w:rPr>
          <w:color w:val="231F20"/>
          <w:w w:val="105"/>
        </w:rPr>
        <w:t>de</w:t>
      </w:r>
      <w:r>
        <w:rPr>
          <w:color w:val="231F20"/>
          <w:spacing w:val="-40"/>
          <w:w w:val="105"/>
        </w:rPr>
        <w:t> </w:t>
      </w:r>
      <w:r>
        <w:rPr>
          <w:color w:val="231F20"/>
          <w:w w:val="105"/>
        </w:rPr>
        <w:t>Investigadores</w:t>
      </w:r>
      <w:r>
        <w:rPr>
          <w:color w:val="231F20"/>
          <w:spacing w:val="-40"/>
          <w:w w:val="105"/>
        </w:rPr>
        <w:t> </w:t>
      </w:r>
      <w:r>
        <w:rPr>
          <w:color w:val="231F20"/>
          <w:w w:val="105"/>
        </w:rPr>
        <w:t>Nivel</w:t>
      </w:r>
      <w:r>
        <w:rPr>
          <w:color w:val="231F20"/>
          <w:spacing w:val="-40"/>
          <w:w w:val="105"/>
        </w:rPr>
        <w:t> </w:t>
      </w:r>
      <w:r>
        <w:rPr>
          <w:color w:val="231F20"/>
          <w:w w:val="105"/>
        </w:rPr>
        <w:t>I.</w:t>
      </w:r>
      <w:r>
        <w:rPr>
          <w:color w:val="231F20"/>
          <w:spacing w:val="-43"/>
          <w:w w:val="105"/>
        </w:rPr>
        <w:t> </w:t>
      </w:r>
      <w:r>
        <w:rPr>
          <w:color w:val="231F20"/>
          <w:spacing w:val="-3"/>
          <w:w w:val="105"/>
        </w:rPr>
        <w:t>Perfil</w:t>
      </w:r>
      <w:r>
        <w:rPr>
          <w:color w:val="231F20"/>
          <w:spacing w:val="-40"/>
          <w:w w:val="105"/>
        </w:rPr>
        <w:t> </w:t>
      </w:r>
      <w:r>
        <w:rPr>
          <w:color w:val="231F20"/>
          <w:spacing w:val="-5"/>
          <w:w w:val="105"/>
        </w:rPr>
        <w:t>PRODEP.</w:t>
      </w:r>
      <w:r>
        <w:rPr>
          <w:color w:val="231F20"/>
          <w:spacing w:val="-45"/>
          <w:w w:val="105"/>
        </w:rPr>
        <w:t> </w:t>
      </w:r>
      <w:r>
        <w:rPr>
          <w:color w:val="231F20"/>
          <w:spacing w:val="-5"/>
          <w:w w:val="105"/>
        </w:rPr>
        <w:t>Tesis</w:t>
      </w:r>
      <w:r>
        <w:rPr>
          <w:color w:val="231F20"/>
          <w:spacing w:val="-40"/>
          <w:w w:val="105"/>
        </w:rPr>
        <w:t> </w:t>
      </w:r>
      <w:r>
        <w:rPr>
          <w:color w:val="231F20"/>
          <w:w w:val="105"/>
        </w:rPr>
        <w:t>doctoral: Mercado</w:t>
      </w:r>
      <w:r>
        <w:rPr>
          <w:color w:val="231F20"/>
          <w:spacing w:val="-12"/>
          <w:w w:val="105"/>
        </w:rPr>
        <w:t> </w:t>
      </w:r>
      <w:r>
        <w:rPr>
          <w:color w:val="231F20"/>
          <w:w w:val="105"/>
        </w:rPr>
        <w:t>de</w:t>
      </w:r>
      <w:r>
        <w:rPr>
          <w:color w:val="231F20"/>
          <w:spacing w:val="-12"/>
          <w:w w:val="105"/>
        </w:rPr>
        <w:t> </w:t>
      </w:r>
      <w:r>
        <w:rPr>
          <w:color w:val="231F20"/>
          <w:w w:val="105"/>
        </w:rPr>
        <w:t>trabajo</w:t>
      </w:r>
      <w:r>
        <w:rPr>
          <w:color w:val="231F20"/>
          <w:spacing w:val="-12"/>
          <w:w w:val="105"/>
        </w:rPr>
        <w:t> </w:t>
      </w:r>
      <w:r>
        <w:rPr>
          <w:color w:val="231F20"/>
          <w:w w:val="105"/>
        </w:rPr>
        <w:t>y</w:t>
      </w:r>
      <w:r>
        <w:rPr>
          <w:color w:val="231F20"/>
          <w:spacing w:val="-12"/>
          <w:w w:val="105"/>
        </w:rPr>
        <w:t> </w:t>
      </w:r>
      <w:r>
        <w:rPr>
          <w:color w:val="231F20"/>
          <w:w w:val="105"/>
        </w:rPr>
        <w:t>educación</w:t>
      </w:r>
      <w:r>
        <w:rPr>
          <w:color w:val="231F20"/>
          <w:spacing w:val="-12"/>
          <w:w w:val="105"/>
        </w:rPr>
        <w:t> </w:t>
      </w:r>
      <w:r>
        <w:rPr>
          <w:color w:val="231F20"/>
          <w:w w:val="105"/>
        </w:rPr>
        <w:t>superior.</w:t>
      </w:r>
      <w:r>
        <w:rPr>
          <w:color w:val="231F20"/>
          <w:spacing w:val="-17"/>
          <w:w w:val="105"/>
        </w:rPr>
        <w:t> </w:t>
      </w:r>
      <w:r>
        <w:rPr>
          <w:color w:val="231F20"/>
          <w:w w:val="105"/>
        </w:rPr>
        <w:t>Líneas</w:t>
      </w:r>
      <w:r>
        <w:rPr>
          <w:color w:val="231F20"/>
          <w:spacing w:val="-12"/>
          <w:w w:val="105"/>
        </w:rPr>
        <w:t> </w:t>
      </w:r>
      <w:r>
        <w:rPr>
          <w:color w:val="231F20"/>
          <w:w w:val="105"/>
        </w:rPr>
        <w:t>de</w:t>
      </w:r>
      <w:r>
        <w:rPr>
          <w:color w:val="231F20"/>
          <w:spacing w:val="-12"/>
          <w:w w:val="105"/>
        </w:rPr>
        <w:t> </w:t>
      </w:r>
      <w:r>
        <w:rPr>
          <w:color w:val="231F20"/>
          <w:w w:val="105"/>
        </w:rPr>
        <w:t>Investigación</w:t>
      </w:r>
      <w:r>
        <w:rPr>
          <w:b/>
          <w:color w:val="231F20"/>
          <w:w w:val="105"/>
        </w:rPr>
        <w:t>:</w:t>
      </w:r>
      <w:r>
        <w:rPr>
          <w:b/>
          <w:color w:val="231F20"/>
          <w:spacing w:val="-12"/>
          <w:w w:val="105"/>
        </w:rPr>
        <w:t> </w:t>
      </w:r>
      <w:r>
        <w:rPr>
          <w:color w:val="231F20"/>
          <w:w w:val="105"/>
        </w:rPr>
        <w:t>Mer- cado</w:t>
      </w:r>
      <w:r>
        <w:rPr>
          <w:color w:val="231F20"/>
          <w:spacing w:val="-15"/>
          <w:w w:val="105"/>
        </w:rPr>
        <w:t> </w:t>
      </w:r>
      <w:r>
        <w:rPr>
          <w:color w:val="231F20"/>
          <w:w w:val="105"/>
        </w:rPr>
        <w:t>de</w:t>
      </w:r>
      <w:r>
        <w:rPr>
          <w:color w:val="231F20"/>
          <w:spacing w:val="-19"/>
          <w:w w:val="105"/>
        </w:rPr>
        <w:t> </w:t>
      </w:r>
      <w:r>
        <w:rPr>
          <w:color w:val="231F20"/>
          <w:spacing w:val="-4"/>
          <w:w w:val="105"/>
        </w:rPr>
        <w:t>Trabajo,</w:t>
      </w:r>
      <w:r>
        <w:rPr>
          <w:color w:val="231F20"/>
          <w:spacing w:val="-20"/>
          <w:w w:val="105"/>
        </w:rPr>
        <w:t> </w:t>
      </w:r>
      <w:r>
        <w:rPr>
          <w:color w:val="231F20"/>
          <w:w w:val="105"/>
        </w:rPr>
        <w:t>educación</w:t>
      </w:r>
      <w:r>
        <w:rPr>
          <w:color w:val="231F20"/>
          <w:spacing w:val="-15"/>
          <w:w w:val="105"/>
        </w:rPr>
        <w:t> </w:t>
      </w:r>
      <w:r>
        <w:rPr>
          <w:color w:val="231F20"/>
          <w:w w:val="105"/>
        </w:rPr>
        <w:t>y</w:t>
      </w:r>
      <w:r>
        <w:rPr>
          <w:color w:val="231F20"/>
          <w:spacing w:val="-15"/>
          <w:w w:val="105"/>
        </w:rPr>
        <w:t> </w:t>
      </w:r>
      <w:r>
        <w:rPr>
          <w:color w:val="231F20"/>
          <w:w w:val="105"/>
        </w:rPr>
        <w:t>desarrollo</w:t>
      </w:r>
      <w:r>
        <w:rPr>
          <w:color w:val="231F20"/>
          <w:spacing w:val="-15"/>
          <w:w w:val="105"/>
        </w:rPr>
        <w:t> </w:t>
      </w:r>
      <w:r>
        <w:rPr>
          <w:color w:val="231F20"/>
          <w:w w:val="105"/>
        </w:rPr>
        <w:t>regional.</w:t>
      </w:r>
      <w:r>
        <w:rPr>
          <w:color w:val="231F20"/>
          <w:spacing w:val="-20"/>
          <w:w w:val="105"/>
        </w:rPr>
        <w:t> </w:t>
      </w:r>
      <w:r>
        <w:rPr>
          <w:color w:val="231F20"/>
          <w:w w:val="105"/>
        </w:rPr>
        <w:t>Sus</w:t>
      </w:r>
      <w:r>
        <w:rPr>
          <w:color w:val="231F20"/>
          <w:spacing w:val="-15"/>
          <w:w w:val="105"/>
        </w:rPr>
        <w:t> </w:t>
      </w:r>
      <w:r>
        <w:rPr>
          <w:color w:val="231F20"/>
          <w:w w:val="105"/>
        </w:rPr>
        <w:t>publicaciones</w:t>
      </w:r>
      <w:r>
        <w:rPr>
          <w:color w:val="231F20"/>
          <w:spacing w:val="-15"/>
          <w:w w:val="105"/>
        </w:rPr>
        <w:t> </w:t>
      </w:r>
      <w:r>
        <w:rPr>
          <w:color w:val="231F20"/>
          <w:w w:val="105"/>
        </w:rPr>
        <w:t>son diversas</w:t>
      </w:r>
      <w:r>
        <w:rPr>
          <w:color w:val="231F20"/>
          <w:spacing w:val="-41"/>
          <w:w w:val="105"/>
        </w:rPr>
        <w:t> </w:t>
      </w:r>
      <w:r>
        <w:rPr>
          <w:color w:val="231F20"/>
          <w:w w:val="105"/>
        </w:rPr>
        <w:t>en</w:t>
      </w:r>
      <w:r>
        <w:rPr>
          <w:color w:val="231F20"/>
          <w:spacing w:val="-41"/>
          <w:w w:val="105"/>
        </w:rPr>
        <w:t> </w:t>
      </w:r>
      <w:r>
        <w:rPr>
          <w:color w:val="231F20"/>
          <w:w w:val="105"/>
        </w:rPr>
        <w:t>revistas</w:t>
      </w:r>
      <w:r>
        <w:rPr>
          <w:color w:val="231F20"/>
          <w:spacing w:val="-41"/>
          <w:w w:val="105"/>
        </w:rPr>
        <w:t> </w:t>
      </w:r>
      <w:r>
        <w:rPr>
          <w:color w:val="231F20"/>
          <w:w w:val="105"/>
        </w:rPr>
        <w:t>nacionales</w:t>
      </w:r>
      <w:r>
        <w:rPr>
          <w:color w:val="231F20"/>
          <w:spacing w:val="-41"/>
          <w:w w:val="105"/>
        </w:rPr>
        <w:t> </w:t>
      </w:r>
      <w:r>
        <w:rPr>
          <w:color w:val="231F20"/>
          <w:w w:val="105"/>
        </w:rPr>
        <w:t>e</w:t>
      </w:r>
      <w:r>
        <w:rPr>
          <w:color w:val="231F20"/>
          <w:spacing w:val="-41"/>
          <w:w w:val="105"/>
        </w:rPr>
        <w:t> </w:t>
      </w:r>
      <w:r>
        <w:rPr>
          <w:color w:val="231F20"/>
          <w:w w:val="105"/>
        </w:rPr>
        <w:t>internacionales.</w:t>
      </w:r>
    </w:p>
    <w:p>
      <w:pPr>
        <w:pStyle w:val="BodyText"/>
        <w:spacing w:before="6"/>
        <w:rPr>
          <w:sz w:val="22"/>
        </w:rPr>
      </w:pPr>
    </w:p>
    <w:p>
      <w:pPr>
        <w:pStyle w:val="BodyText"/>
        <w:spacing w:line="259" w:lineRule="auto"/>
        <w:ind w:left="117" w:right="121"/>
        <w:jc w:val="both"/>
      </w:pPr>
      <w:r>
        <w:rPr>
          <w:color w:val="231F20"/>
          <w:w w:val="105"/>
        </w:rPr>
        <w:t>María</w:t>
      </w:r>
      <w:r>
        <w:rPr>
          <w:color w:val="231F20"/>
          <w:spacing w:val="-12"/>
          <w:w w:val="105"/>
        </w:rPr>
        <w:t> </w:t>
      </w:r>
      <w:r>
        <w:rPr>
          <w:color w:val="231F20"/>
          <w:w w:val="105"/>
        </w:rPr>
        <w:t>del</w:t>
      </w:r>
      <w:r>
        <w:rPr>
          <w:color w:val="231F20"/>
          <w:spacing w:val="-12"/>
          <w:w w:val="105"/>
        </w:rPr>
        <w:t> </w:t>
      </w:r>
      <w:r>
        <w:rPr>
          <w:color w:val="231F20"/>
          <w:w w:val="105"/>
        </w:rPr>
        <w:t>Rocío</w:t>
      </w:r>
      <w:r>
        <w:rPr>
          <w:color w:val="231F20"/>
          <w:spacing w:val="-12"/>
          <w:w w:val="105"/>
        </w:rPr>
        <w:t> </w:t>
      </w:r>
      <w:r>
        <w:rPr>
          <w:color w:val="231F20"/>
          <w:w w:val="105"/>
        </w:rPr>
        <w:t>Gómez</w:t>
      </w:r>
      <w:r>
        <w:rPr>
          <w:color w:val="231F20"/>
          <w:spacing w:val="-12"/>
          <w:w w:val="105"/>
        </w:rPr>
        <w:t> </w:t>
      </w:r>
      <w:r>
        <w:rPr>
          <w:color w:val="231F20"/>
          <w:w w:val="105"/>
        </w:rPr>
        <w:t>Díaz.</w:t>
      </w:r>
      <w:r>
        <w:rPr>
          <w:color w:val="231F20"/>
          <w:spacing w:val="-12"/>
          <w:w w:val="105"/>
        </w:rPr>
        <w:t> </w:t>
      </w:r>
      <w:r>
        <w:rPr>
          <w:color w:val="231F20"/>
          <w:w w:val="105"/>
        </w:rPr>
        <w:t>Doctora</w:t>
      </w:r>
      <w:r>
        <w:rPr>
          <w:color w:val="231F20"/>
          <w:spacing w:val="-12"/>
          <w:w w:val="105"/>
        </w:rPr>
        <w:t> </w:t>
      </w:r>
      <w:r>
        <w:rPr>
          <w:color w:val="231F20"/>
          <w:w w:val="105"/>
        </w:rPr>
        <w:t>en</w:t>
      </w:r>
      <w:r>
        <w:rPr>
          <w:color w:val="231F20"/>
          <w:spacing w:val="-12"/>
          <w:w w:val="105"/>
        </w:rPr>
        <w:t> </w:t>
      </w:r>
      <w:r>
        <w:rPr>
          <w:color w:val="231F20"/>
          <w:w w:val="105"/>
        </w:rPr>
        <w:t>Ciencias</w:t>
      </w:r>
      <w:r>
        <w:rPr>
          <w:color w:val="231F20"/>
          <w:spacing w:val="-12"/>
          <w:w w:val="105"/>
        </w:rPr>
        <w:t> </w:t>
      </w:r>
      <w:r>
        <w:rPr>
          <w:color w:val="231F20"/>
          <w:w w:val="105"/>
        </w:rPr>
        <w:t>Económico</w:t>
      </w:r>
      <w:r>
        <w:rPr>
          <w:color w:val="231F20"/>
          <w:spacing w:val="-15"/>
          <w:w w:val="105"/>
        </w:rPr>
        <w:t> </w:t>
      </w:r>
      <w:r>
        <w:rPr>
          <w:color w:val="231F20"/>
          <w:w w:val="105"/>
        </w:rPr>
        <w:t>Adminis- trativas por la Universidad Autónoma del Estado de México. Miembro del</w:t>
      </w:r>
      <w:r>
        <w:rPr>
          <w:color w:val="231F20"/>
          <w:spacing w:val="-8"/>
          <w:w w:val="105"/>
        </w:rPr>
        <w:t> </w:t>
      </w:r>
      <w:r>
        <w:rPr>
          <w:color w:val="231F20"/>
          <w:w w:val="105"/>
        </w:rPr>
        <w:t>Sistema</w:t>
      </w:r>
      <w:r>
        <w:rPr>
          <w:color w:val="231F20"/>
          <w:spacing w:val="-8"/>
          <w:w w:val="105"/>
        </w:rPr>
        <w:t> </w:t>
      </w:r>
      <w:r>
        <w:rPr>
          <w:color w:val="231F20"/>
          <w:w w:val="105"/>
        </w:rPr>
        <w:t>Nacional</w:t>
      </w:r>
      <w:r>
        <w:rPr>
          <w:color w:val="231F20"/>
          <w:spacing w:val="-8"/>
          <w:w w:val="105"/>
        </w:rPr>
        <w:t> </w:t>
      </w:r>
      <w:r>
        <w:rPr>
          <w:color w:val="231F20"/>
          <w:w w:val="105"/>
        </w:rPr>
        <w:t>de</w:t>
      </w:r>
      <w:r>
        <w:rPr>
          <w:color w:val="231F20"/>
          <w:spacing w:val="-8"/>
          <w:w w:val="105"/>
        </w:rPr>
        <w:t> </w:t>
      </w:r>
      <w:r>
        <w:rPr>
          <w:color w:val="231F20"/>
          <w:w w:val="105"/>
        </w:rPr>
        <w:t>Investigación</w:t>
      </w:r>
      <w:r>
        <w:rPr>
          <w:color w:val="231F20"/>
          <w:spacing w:val="-8"/>
          <w:w w:val="105"/>
        </w:rPr>
        <w:t> </w:t>
      </w:r>
      <w:r>
        <w:rPr>
          <w:color w:val="231F20"/>
          <w:w w:val="105"/>
        </w:rPr>
        <w:t>en</w:t>
      </w:r>
      <w:r>
        <w:rPr>
          <w:color w:val="231F20"/>
          <w:spacing w:val="-8"/>
          <w:w w:val="105"/>
        </w:rPr>
        <w:t> </w:t>
      </w:r>
      <w:r>
        <w:rPr>
          <w:color w:val="231F20"/>
          <w:w w:val="105"/>
        </w:rPr>
        <w:t>México</w:t>
      </w:r>
      <w:r>
        <w:rPr>
          <w:color w:val="231F20"/>
          <w:spacing w:val="-8"/>
          <w:w w:val="105"/>
        </w:rPr>
        <w:t> </w:t>
      </w:r>
      <w:r>
        <w:rPr>
          <w:color w:val="231F20"/>
          <w:w w:val="105"/>
        </w:rPr>
        <w:t>y</w:t>
      </w:r>
      <w:r>
        <w:rPr>
          <w:color w:val="231F20"/>
          <w:spacing w:val="-8"/>
          <w:w w:val="105"/>
        </w:rPr>
        <w:t> </w:t>
      </w:r>
      <w:r>
        <w:rPr>
          <w:color w:val="231F20"/>
          <w:w w:val="105"/>
        </w:rPr>
        <w:t>profesora</w:t>
      </w:r>
      <w:r>
        <w:rPr>
          <w:color w:val="231F20"/>
          <w:spacing w:val="-8"/>
          <w:w w:val="105"/>
        </w:rPr>
        <w:t> </w:t>
      </w:r>
      <w:r>
        <w:rPr>
          <w:color w:val="231F20"/>
          <w:w w:val="105"/>
        </w:rPr>
        <w:t>de</w:t>
      </w:r>
      <w:r>
        <w:rPr>
          <w:color w:val="231F20"/>
          <w:spacing w:val="-8"/>
          <w:w w:val="105"/>
        </w:rPr>
        <w:t> </w:t>
      </w:r>
      <w:r>
        <w:rPr>
          <w:color w:val="231F20"/>
          <w:w w:val="105"/>
        </w:rPr>
        <w:t>tiempo completo en la Facultad de Contaduría y Administración de la misma universidad. Imparte cursos en licenciatura y posgrado. Integrante del cuerpo</w:t>
      </w:r>
      <w:r>
        <w:rPr>
          <w:color w:val="231F20"/>
          <w:spacing w:val="-23"/>
          <w:w w:val="105"/>
        </w:rPr>
        <w:t> </w:t>
      </w:r>
      <w:r>
        <w:rPr>
          <w:color w:val="231F20"/>
          <w:w w:val="105"/>
        </w:rPr>
        <w:t>académico</w:t>
      </w:r>
      <w:r>
        <w:rPr>
          <w:color w:val="231F20"/>
          <w:spacing w:val="-23"/>
          <w:w w:val="105"/>
        </w:rPr>
        <w:t> </w:t>
      </w:r>
      <w:r>
        <w:rPr>
          <w:color w:val="231F20"/>
          <w:w w:val="105"/>
        </w:rPr>
        <w:t>Gestión</w:t>
      </w:r>
      <w:r>
        <w:rPr>
          <w:color w:val="231F20"/>
          <w:spacing w:val="-23"/>
          <w:w w:val="105"/>
        </w:rPr>
        <w:t> </w:t>
      </w:r>
      <w:r>
        <w:rPr>
          <w:color w:val="231F20"/>
          <w:w w:val="105"/>
        </w:rPr>
        <w:t>del</w:t>
      </w:r>
      <w:r>
        <w:rPr>
          <w:color w:val="231F20"/>
          <w:spacing w:val="-23"/>
          <w:w w:val="105"/>
        </w:rPr>
        <w:t> </w:t>
      </w:r>
      <w:r>
        <w:rPr>
          <w:color w:val="231F20"/>
          <w:w w:val="105"/>
        </w:rPr>
        <w:t>Capital</w:t>
      </w:r>
      <w:r>
        <w:rPr>
          <w:color w:val="231F20"/>
          <w:spacing w:val="-23"/>
          <w:w w:val="105"/>
        </w:rPr>
        <w:t> </w:t>
      </w:r>
      <w:r>
        <w:rPr>
          <w:color w:val="231F20"/>
          <w:w w:val="105"/>
        </w:rPr>
        <w:t>Intelectual.</w:t>
      </w:r>
      <w:r>
        <w:rPr>
          <w:color w:val="231F20"/>
          <w:spacing w:val="-28"/>
          <w:w w:val="105"/>
        </w:rPr>
        <w:t> </w:t>
      </w:r>
      <w:r>
        <w:rPr>
          <w:color w:val="231F20"/>
          <w:w w:val="105"/>
        </w:rPr>
        <w:t>Ha</w:t>
      </w:r>
      <w:r>
        <w:rPr>
          <w:color w:val="231F20"/>
          <w:spacing w:val="-23"/>
          <w:w w:val="105"/>
        </w:rPr>
        <w:t> </w:t>
      </w:r>
      <w:r>
        <w:rPr>
          <w:color w:val="231F20"/>
          <w:w w:val="105"/>
        </w:rPr>
        <w:t>publicado</w:t>
      </w:r>
      <w:r>
        <w:rPr>
          <w:color w:val="231F20"/>
          <w:spacing w:val="-23"/>
          <w:w w:val="105"/>
        </w:rPr>
        <w:t> </w:t>
      </w:r>
      <w:r>
        <w:rPr>
          <w:color w:val="231F20"/>
          <w:w w:val="105"/>
        </w:rPr>
        <w:t>artículos científicos</w:t>
      </w:r>
      <w:r>
        <w:rPr>
          <w:color w:val="231F20"/>
          <w:spacing w:val="-25"/>
          <w:w w:val="105"/>
        </w:rPr>
        <w:t> </w:t>
      </w:r>
      <w:r>
        <w:rPr>
          <w:color w:val="231F20"/>
          <w:w w:val="105"/>
        </w:rPr>
        <w:t>y</w:t>
      </w:r>
      <w:r>
        <w:rPr>
          <w:color w:val="231F20"/>
          <w:spacing w:val="-25"/>
          <w:w w:val="105"/>
        </w:rPr>
        <w:t> </w:t>
      </w:r>
      <w:r>
        <w:rPr>
          <w:color w:val="231F20"/>
          <w:w w:val="105"/>
        </w:rPr>
        <w:t>un</w:t>
      </w:r>
      <w:r>
        <w:rPr>
          <w:color w:val="231F20"/>
          <w:spacing w:val="-25"/>
          <w:w w:val="105"/>
        </w:rPr>
        <w:t> </w:t>
      </w:r>
      <w:r>
        <w:rPr>
          <w:color w:val="231F20"/>
          <w:w w:val="105"/>
        </w:rPr>
        <w:t>libro</w:t>
      </w:r>
      <w:r>
        <w:rPr>
          <w:color w:val="231F20"/>
          <w:spacing w:val="-25"/>
          <w:w w:val="105"/>
        </w:rPr>
        <w:t> </w:t>
      </w:r>
      <w:r>
        <w:rPr>
          <w:color w:val="231F20"/>
          <w:w w:val="105"/>
        </w:rPr>
        <w:t>a</w:t>
      </w:r>
      <w:r>
        <w:rPr>
          <w:color w:val="231F20"/>
          <w:spacing w:val="-25"/>
          <w:w w:val="105"/>
        </w:rPr>
        <w:t> </w:t>
      </w:r>
      <w:r>
        <w:rPr>
          <w:color w:val="231F20"/>
          <w:w w:val="105"/>
        </w:rPr>
        <w:t>nivel</w:t>
      </w:r>
      <w:r>
        <w:rPr>
          <w:color w:val="231F20"/>
          <w:spacing w:val="-25"/>
          <w:w w:val="105"/>
        </w:rPr>
        <w:t> </w:t>
      </w:r>
      <w:r>
        <w:rPr>
          <w:color w:val="231F20"/>
          <w:w w:val="105"/>
        </w:rPr>
        <w:t>internacional.</w:t>
      </w:r>
      <w:r>
        <w:rPr>
          <w:color w:val="231F20"/>
          <w:spacing w:val="-30"/>
          <w:w w:val="105"/>
        </w:rPr>
        <w:t> </w:t>
      </w:r>
      <w:r>
        <w:rPr>
          <w:color w:val="231F20"/>
          <w:w w:val="105"/>
        </w:rPr>
        <w:t>Participa</w:t>
      </w:r>
      <w:r>
        <w:rPr>
          <w:color w:val="231F20"/>
          <w:spacing w:val="-25"/>
          <w:w w:val="105"/>
        </w:rPr>
        <w:t> </w:t>
      </w:r>
      <w:r>
        <w:rPr>
          <w:color w:val="231F20"/>
          <w:w w:val="105"/>
        </w:rPr>
        <w:t>como</w:t>
      </w:r>
      <w:r>
        <w:rPr>
          <w:color w:val="231F20"/>
          <w:spacing w:val="-25"/>
          <w:w w:val="105"/>
        </w:rPr>
        <w:t> </w:t>
      </w:r>
      <w:r>
        <w:rPr>
          <w:color w:val="231F20"/>
          <w:w w:val="105"/>
        </w:rPr>
        <w:t>ponente</w:t>
      </w:r>
      <w:r>
        <w:rPr>
          <w:color w:val="231F20"/>
          <w:spacing w:val="-25"/>
          <w:w w:val="105"/>
        </w:rPr>
        <w:t> </w:t>
      </w:r>
      <w:r>
        <w:rPr>
          <w:color w:val="231F20"/>
          <w:w w:val="105"/>
        </w:rPr>
        <w:t>en</w:t>
      </w:r>
      <w:r>
        <w:rPr>
          <w:color w:val="231F20"/>
          <w:spacing w:val="-25"/>
          <w:w w:val="105"/>
        </w:rPr>
        <w:t> </w:t>
      </w:r>
      <w:r>
        <w:rPr>
          <w:color w:val="231F20"/>
          <w:w w:val="105"/>
        </w:rPr>
        <w:t>con- gresos nacionales e internacionales. Sus investigaciones se</w:t>
      </w:r>
      <w:r>
        <w:rPr>
          <w:color w:val="231F20"/>
          <w:spacing w:val="-36"/>
          <w:w w:val="105"/>
        </w:rPr>
        <w:t> </w:t>
      </w:r>
      <w:r>
        <w:rPr>
          <w:color w:val="231F20"/>
          <w:w w:val="105"/>
        </w:rPr>
        <w:t>relacionan con gestión del conocimiento, capital intelectual, aprendizaje organiza- cional,</w:t>
      </w:r>
      <w:r>
        <w:rPr>
          <w:color w:val="231F20"/>
          <w:spacing w:val="-16"/>
          <w:w w:val="105"/>
        </w:rPr>
        <w:t> </w:t>
      </w:r>
      <w:r>
        <w:rPr>
          <w:color w:val="231F20"/>
          <w:w w:val="105"/>
        </w:rPr>
        <w:t>educación</w:t>
      </w:r>
      <w:r>
        <w:rPr>
          <w:color w:val="231F20"/>
          <w:spacing w:val="-11"/>
          <w:w w:val="105"/>
        </w:rPr>
        <w:t> </w:t>
      </w:r>
      <w:r>
        <w:rPr>
          <w:color w:val="231F20"/>
          <w:w w:val="105"/>
        </w:rPr>
        <w:t>profesional</w:t>
      </w:r>
      <w:r>
        <w:rPr>
          <w:color w:val="231F20"/>
          <w:spacing w:val="-11"/>
          <w:w w:val="105"/>
        </w:rPr>
        <w:t> </w:t>
      </w:r>
      <w:r>
        <w:rPr>
          <w:color w:val="231F20"/>
          <w:w w:val="105"/>
        </w:rPr>
        <w:t>y</w:t>
      </w:r>
      <w:r>
        <w:rPr>
          <w:color w:val="231F20"/>
          <w:spacing w:val="-11"/>
          <w:w w:val="105"/>
        </w:rPr>
        <w:t> </w:t>
      </w:r>
      <w:r>
        <w:rPr>
          <w:color w:val="231F20"/>
          <w:w w:val="105"/>
        </w:rPr>
        <w:t>comportamiento</w:t>
      </w:r>
      <w:r>
        <w:rPr>
          <w:color w:val="231F20"/>
          <w:spacing w:val="-11"/>
          <w:w w:val="105"/>
        </w:rPr>
        <w:t> </w:t>
      </w:r>
      <w:r>
        <w:rPr>
          <w:color w:val="231F20"/>
          <w:w w:val="105"/>
        </w:rPr>
        <w:t>humano.</w:t>
      </w:r>
      <w:r>
        <w:rPr>
          <w:color w:val="231F20"/>
          <w:spacing w:val="-16"/>
          <w:w w:val="105"/>
        </w:rPr>
        <w:t> </w:t>
      </w:r>
      <w:r>
        <w:rPr>
          <w:color w:val="231F20"/>
          <w:w w:val="105"/>
        </w:rPr>
        <w:t>Se</w:t>
      </w:r>
      <w:r>
        <w:rPr>
          <w:color w:val="231F20"/>
          <w:spacing w:val="-11"/>
          <w:w w:val="105"/>
        </w:rPr>
        <w:t> </w:t>
      </w:r>
      <w:r>
        <w:rPr>
          <w:color w:val="231F20"/>
          <w:w w:val="105"/>
        </w:rPr>
        <w:t>ha</w:t>
      </w:r>
      <w:r>
        <w:rPr>
          <w:color w:val="231F20"/>
          <w:spacing w:val="-11"/>
          <w:w w:val="105"/>
        </w:rPr>
        <w:t> </w:t>
      </w:r>
      <w:r>
        <w:rPr>
          <w:color w:val="231F20"/>
          <w:w w:val="105"/>
        </w:rPr>
        <w:t>desem- peñado</w:t>
      </w:r>
      <w:r>
        <w:rPr>
          <w:color w:val="231F20"/>
          <w:spacing w:val="-11"/>
          <w:w w:val="105"/>
        </w:rPr>
        <w:t> </w:t>
      </w:r>
      <w:r>
        <w:rPr>
          <w:color w:val="231F20"/>
          <w:w w:val="105"/>
        </w:rPr>
        <w:t>laboralmente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sector</w:t>
      </w:r>
      <w:r>
        <w:rPr>
          <w:color w:val="231F20"/>
          <w:spacing w:val="-11"/>
          <w:w w:val="105"/>
        </w:rPr>
        <w:t> </w:t>
      </w:r>
      <w:r>
        <w:rPr>
          <w:color w:val="231F20"/>
          <w:w w:val="105"/>
        </w:rPr>
        <w:t>privado</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sector</w:t>
      </w:r>
      <w:r>
        <w:rPr>
          <w:color w:val="231F20"/>
          <w:spacing w:val="-11"/>
          <w:w w:val="105"/>
        </w:rPr>
        <w:t> </w:t>
      </w:r>
      <w:r>
        <w:rPr>
          <w:color w:val="231F20"/>
          <w:w w:val="105"/>
        </w:rPr>
        <w:t>salud.</w:t>
      </w:r>
    </w:p>
    <w:p>
      <w:pPr>
        <w:pStyle w:val="BodyText"/>
        <w:spacing w:before="6"/>
        <w:rPr>
          <w:sz w:val="22"/>
        </w:rPr>
      </w:pPr>
    </w:p>
    <w:p>
      <w:pPr>
        <w:pStyle w:val="BodyText"/>
        <w:spacing w:line="259" w:lineRule="auto"/>
        <w:ind w:left="117" w:right="121"/>
        <w:jc w:val="both"/>
        <w:rPr>
          <w:i/>
        </w:rPr>
      </w:pPr>
      <w:r>
        <w:rPr>
          <w:color w:val="231F20"/>
        </w:rPr>
        <w:t>María del Rosario Demuner Flores. Doctora en Ciencias Económico Ad- ministrativas, profesora investigadora de la Facultad de Contaduría y Ad- ministración de la Universidad Autónoma del Estado de México. Línea de investigación: Tecnologías de Información y comunicación como capital estructural. Miembro del Sistema Nacional de Investigadores. Autora de libro </w:t>
      </w:r>
      <w:r>
        <w:rPr>
          <w:i/>
          <w:color w:val="231F20"/>
        </w:rPr>
        <w:t>Competitividad en PyMES </w:t>
      </w:r>
      <w:r>
        <w:rPr>
          <w:color w:val="231F20"/>
        </w:rPr>
        <w:t>y co autora del libro </w:t>
      </w:r>
      <w:r>
        <w:rPr>
          <w:i/>
          <w:color w:val="231F20"/>
        </w:rPr>
        <w:t>Redes sociales en </w:t>
      </w:r>
      <w:r>
        <w:rPr>
          <w:i/>
          <w:color w:val="231F20"/>
        </w:rPr>
        <w:t>organizaciones.</w:t>
      </w:r>
    </w:p>
    <w:p>
      <w:pPr>
        <w:spacing w:after="0" w:line="259" w:lineRule="auto"/>
        <w:jc w:val="both"/>
        <w:sectPr>
          <w:pgSz w:w="9640" w:h="13890"/>
          <w:pgMar w:top="0" w:bottom="280" w:left="1300" w:right="1180"/>
        </w:sectPr>
      </w:pPr>
    </w:p>
    <w:p>
      <w:pPr>
        <w:pStyle w:val="BodyText"/>
        <w:spacing w:line="259" w:lineRule="auto" w:before="120"/>
        <w:ind w:left="103" w:right="114"/>
        <w:jc w:val="both"/>
      </w:pPr>
      <w:r>
        <w:rPr>
          <w:color w:val="231F20"/>
          <w:w w:val="105"/>
        </w:rPr>
        <w:t>María</w:t>
      </w:r>
      <w:r>
        <w:rPr>
          <w:color w:val="231F20"/>
          <w:spacing w:val="-34"/>
          <w:w w:val="105"/>
        </w:rPr>
        <w:t> </w:t>
      </w:r>
      <w:r>
        <w:rPr>
          <w:color w:val="231F20"/>
          <w:w w:val="105"/>
        </w:rPr>
        <w:t>Vanessa</w:t>
      </w:r>
      <w:r>
        <w:rPr>
          <w:color w:val="231F20"/>
          <w:spacing w:val="-32"/>
          <w:w w:val="105"/>
        </w:rPr>
        <w:t> </w:t>
      </w:r>
      <w:r>
        <w:rPr>
          <w:color w:val="231F20"/>
          <w:w w:val="105"/>
        </w:rPr>
        <w:t>Romero</w:t>
      </w:r>
      <w:r>
        <w:rPr>
          <w:color w:val="231F20"/>
          <w:spacing w:val="-32"/>
          <w:w w:val="105"/>
        </w:rPr>
        <w:t> </w:t>
      </w:r>
      <w:r>
        <w:rPr>
          <w:color w:val="231F20"/>
          <w:w w:val="105"/>
        </w:rPr>
        <w:t>Ortiz.</w:t>
      </w:r>
      <w:r>
        <w:rPr>
          <w:color w:val="231F20"/>
          <w:spacing w:val="-36"/>
          <w:w w:val="105"/>
        </w:rPr>
        <w:t> </w:t>
      </w:r>
      <w:r>
        <w:rPr>
          <w:color w:val="231F20"/>
          <w:w w:val="105"/>
        </w:rPr>
        <w:t>Candidata</w:t>
      </w:r>
      <w:r>
        <w:rPr>
          <w:color w:val="231F20"/>
          <w:spacing w:val="-32"/>
          <w:w w:val="105"/>
        </w:rPr>
        <w:t> </w:t>
      </w:r>
      <w:r>
        <w:rPr>
          <w:color w:val="231F20"/>
          <w:w w:val="105"/>
        </w:rPr>
        <w:t>a</w:t>
      </w:r>
      <w:r>
        <w:rPr>
          <w:color w:val="231F20"/>
          <w:spacing w:val="-32"/>
          <w:w w:val="105"/>
        </w:rPr>
        <w:t> </w:t>
      </w:r>
      <w:r>
        <w:rPr>
          <w:color w:val="231F20"/>
          <w:w w:val="105"/>
        </w:rPr>
        <w:t>Doctora</w:t>
      </w:r>
      <w:r>
        <w:rPr>
          <w:color w:val="231F20"/>
          <w:spacing w:val="-32"/>
          <w:w w:val="105"/>
        </w:rPr>
        <w:t> </w:t>
      </w:r>
      <w:r>
        <w:rPr>
          <w:color w:val="231F20"/>
          <w:w w:val="105"/>
        </w:rPr>
        <w:t>en</w:t>
      </w:r>
      <w:r>
        <w:rPr>
          <w:color w:val="231F20"/>
          <w:spacing w:val="-32"/>
          <w:w w:val="105"/>
        </w:rPr>
        <w:t> </w:t>
      </w:r>
      <w:r>
        <w:rPr>
          <w:color w:val="231F20"/>
          <w:w w:val="105"/>
        </w:rPr>
        <w:t>Ciencias</w:t>
      </w:r>
      <w:r>
        <w:rPr>
          <w:color w:val="231F20"/>
          <w:spacing w:val="-32"/>
          <w:w w:val="105"/>
        </w:rPr>
        <w:t> </w:t>
      </w:r>
      <w:r>
        <w:rPr>
          <w:color w:val="231F20"/>
          <w:w w:val="105"/>
        </w:rPr>
        <w:t>Económi- co</w:t>
      </w:r>
      <w:r>
        <w:rPr>
          <w:color w:val="231F20"/>
          <w:spacing w:val="-10"/>
          <w:w w:val="105"/>
        </w:rPr>
        <w:t> </w:t>
      </w:r>
      <w:r>
        <w:rPr>
          <w:color w:val="231F20"/>
          <w:w w:val="105"/>
        </w:rPr>
        <w:t>Administrativas</w:t>
      </w:r>
      <w:r>
        <w:rPr>
          <w:color w:val="231F20"/>
          <w:spacing w:val="-7"/>
          <w:w w:val="105"/>
        </w:rPr>
        <w:t> </w:t>
      </w:r>
      <w:r>
        <w:rPr>
          <w:color w:val="231F20"/>
          <w:w w:val="105"/>
        </w:rPr>
        <w:t>(PNPC</w:t>
      </w:r>
      <w:r>
        <w:rPr>
          <w:color w:val="231F20"/>
          <w:spacing w:val="-7"/>
          <w:w w:val="105"/>
        </w:rPr>
        <w:t> </w:t>
      </w:r>
      <w:r>
        <w:rPr>
          <w:color w:val="231F20"/>
          <w:w w:val="105"/>
        </w:rPr>
        <w:t>CONACyT)</w:t>
      </w:r>
      <w:r>
        <w:rPr>
          <w:color w:val="231F20"/>
          <w:spacing w:val="-7"/>
          <w:w w:val="105"/>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Universidad</w:t>
      </w:r>
      <w:r>
        <w:rPr>
          <w:color w:val="231F20"/>
          <w:spacing w:val="-10"/>
          <w:w w:val="105"/>
        </w:rPr>
        <w:t> </w:t>
      </w:r>
      <w:r>
        <w:rPr>
          <w:color w:val="231F20"/>
          <w:w w:val="105"/>
        </w:rPr>
        <w:t>Autónoma</w:t>
      </w:r>
      <w:r>
        <w:rPr>
          <w:color w:val="231F20"/>
          <w:spacing w:val="-7"/>
          <w:w w:val="105"/>
        </w:rPr>
        <w:t> </w:t>
      </w:r>
      <w:r>
        <w:rPr>
          <w:color w:val="231F20"/>
          <w:w w:val="105"/>
        </w:rPr>
        <w:t>del Estado</w:t>
      </w:r>
      <w:r>
        <w:rPr>
          <w:color w:val="231F20"/>
          <w:spacing w:val="-20"/>
          <w:w w:val="105"/>
        </w:rPr>
        <w:t> </w:t>
      </w:r>
      <w:r>
        <w:rPr>
          <w:color w:val="231F20"/>
          <w:w w:val="105"/>
        </w:rPr>
        <w:t>de</w:t>
      </w:r>
      <w:r>
        <w:rPr>
          <w:color w:val="231F20"/>
          <w:spacing w:val="-20"/>
          <w:w w:val="105"/>
        </w:rPr>
        <w:t> </w:t>
      </w:r>
      <w:r>
        <w:rPr>
          <w:color w:val="231F20"/>
          <w:w w:val="105"/>
        </w:rPr>
        <w:t>México,</w:t>
      </w:r>
      <w:r>
        <w:rPr>
          <w:color w:val="231F20"/>
          <w:spacing w:val="-26"/>
          <w:w w:val="105"/>
        </w:rPr>
        <w:t> </w:t>
      </w:r>
      <w:r>
        <w:rPr>
          <w:color w:val="231F20"/>
          <w:w w:val="105"/>
        </w:rPr>
        <w:t>Master</w:t>
      </w:r>
      <w:r>
        <w:rPr>
          <w:color w:val="231F20"/>
          <w:spacing w:val="-20"/>
          <w:w w:val="105"/>
        </w:rPr>
        <w:t> </w:t>
      </w:r>
      <w:r>
        <w:rPr>
          <w:color w:val="231F20"/>
          <w:w w:val="105"/>
        </w:rPr>
        <w:t>en</w:t>
      </w:r>
      <w:r>
        <w:rPr>
          <w:color w:val="231F20"/>
          <w:spacing w:val="-20"/>
          <w:w w:val="105"/>
        </w:rPr>
        <w:t> </w:t>
      </w:r>
      <w:r>
        <w:rPr>
          <w:color w:val="231F20"/>
          <w:w w:val="105"/>
        </w:rPr>
        <w:t>Contabilidad</w:t>
      </w:r>
      <w:r>
        <w:rPr>
          <w:color w:val="231F20"/>
          <w:spacing w:val="-20"/>
          <w:w w:val="105"/>
        </w:rPr>
        <w:t> </w:t>
      </w:r>
      <w:r>
        <w:rPr>
          <w:color w:val="231F20"/>
          <w:w w:val="105"/>
        </w:rPr>
        <w:t>y</w:t>
      </w:r>
      <w:r>
        <w:rPr>
          <w:color w:val="231F20"/>
          <w:spacing w:val="-20"/>
          <w:w w:val="105"/>
        </w:rPr>
        <w:t> </w:t>
      </w:r>
      <w:r>
        <w:rPr>
          <w:color w:val="231F20"/>
          <w:w w:val="105"/>
        </w:rPr>
        <w:t>Gestión</w:t>
      </w:r>
      <w:r>
        <w:rPr>
          <w:color w:val="231F20"/>
          <w:spacing w:val="-20"/>
          <w:w w:val="105"/>
        </w:rPr>
        <w:t> </w:t>
      </w:r>
      <w:r>
        <w:rPr>
          <w:color w:val="231F20"/>
          <w:w w:val="105"/>
        </w:rPr>
        <w:t>Gubernamental</w:t>
      </w:r>
      <w:r>
        <w:rPr>
          <w:color w:val="231F20"/>
          <w:spacing w:val="-20"/>
          <w:w w:val="105"/>
        </w:rPr>
        <w:t> </w:t>
      </w:r>
      <w:r>
        <w:rPr>
          <w:color w:val="231F20"/>
          <w:w w:val="105"/>
        </w:rPr>
        <w:t>por la</w:t>
      </w:r>
      <w:r>
        <w:rPr>
          <w:color w:val="231F20"/>
          <w:spacing w:val="-33"/>
          <w:w w:val="105"/>
        </w:rPr>
        <w:t> </w:t>
      </w:r>
      <w:r>
        <w:rPr>
          <w:color w:val="231F20"/>
          <w:w w:val="105"/>
        </w:rPr>
        <w:t>Universidad</w:t>
      </w:r>
      <w:r>
        <w:rPr>
          <w:color w:val="231F20"/>
          <w:spacing w:val="-35"/>
          <w:w w:val="105"/>
        </w:rPr>
        <w:t> </w:t>
      </w:r>
      <w:r>
        <w:rPr>
          <w:color w:val="231F20"/>
          <w:w w:val="105"/>
        </w:rPr>
        <w:t>Veracruzana.</w:t>
      </w:r>
      <w:r>
        <w:rPr>
          <w:color w:val="231F20"/>
          <w:spacing w:val="-36"/>
          <w:w w:val="105"/>
        </w:rPr>
        <w:t> </w:t>
      </w:r>
      <w:r>
        <w:rPr>
          <w:color w:val="231F20"/>
          <w:w w:val="105"/>
        </w:rPr>
        <w:t>Profesora</w:t>
      </w:r>
      <w:r>
        <w:rPr>
          <w:color w:val="231F20"/>
          <w:spacing w:val="-33"/>
          <w:w w:val="105"/>
        </w:rPr>
        <w:t> </w:t>
      </w:r>
      <w:r>
        <w:rPr>
          <w:color w:val="231F20"/>
          <w:w w:val="105"/>
        </w:rPr>
        <w:t>investigadora</w:t>
      </w:r>
      <w:r>
        <w:rPr>
          <w:color w:val="231F20"/>
          <w:spacing w:val="-33"/>
          <w:w w:val="105"/>
        </w:rPr>
        <w:t> </w:t>
      </w:r>
      <w:r>
        <w:rPr>
          <w:color w:val="231F20"/>
          <w:w w:val="105"/>
        </w:rPr>
        <w:t>de</w:t>
      </w:r>
      <w:r>
        <w:rPr>
          <w:color w:val="231F20"/>
          <w:spacing w:val="-33"/>
          <w:w w:val="105"/>
        </w:rPr>
        <w:t> </w:t>
      </w:r>
      <w:r>
        <w:rPr>
          <w:color w:val="231F20"/>
          <w:w w:val="105"/>
        </w:rPr>
        <w:t>tiempo</w:t>
      </w:r>
      <w:r>
        <w:rPr>
          <w:color w:val="231F20"/>
          <w:spacing w:val="-33"/>
          <w:w w:val="105"/>
        </w:rPr>
        <w:t> </w:t>
      </w:r>
      <w:r>
        <w:rPr>
          <w:color w:val="231F20"/>
          <w:w w:val="105"/>
        </w:rPr>
        <w:t>completo para</w:t>
      </w:r>
      <w:r>
        <w:rPr>
          <w:color w:val="231F20"/>
          <w:spacing w:val="-14"/>
          <w:w w:val="105"/>
        </w:rPr>
        <w:t> </w:t>
      </w:r>
      <w:r>
        <w:rPr>
          <w:color w:val="231F20"/>
          <w:w w:val="105"/>
        </w:rPr>
        <w:t>el</w:t>
      </w:r>
      <w:r>
        <w:rPr>
          <w:color w:val="231F20"/>
          <w:spacing w:val="-18"/>
          <w:w w:val="105"/>
        </w:rPr>
        <w:t> </w:t>
      </w:r>
      <w:r>
        <w:rPr>
          <w:color w:val="231F20"/>
          <w:w w:val="105"/>
        </w:rPr>
        <w:t>Tecnológico</w:t>
      </w:r>
      <w:r>
        <w:rPr>
          <w:color w:val="231F20"/>
          <w:spacing w:val="-14"/>
          <w:w w:val="105"/>
        </w:rPr>
        <w:t> </w:t>
      </w:r>
      <w:r>
        <w:rPr>
          <w:color w:val="231F20"/>
          <w:w w:val="105"/>
        </w:rPr>
        <w:t>Nacional</w:t>
      </w:r>
      <w:r>
        <w:rPr>
          <w:color w:val="231F20"/>
          <w:spacing w:val="-14"/>
          <w:w w:val="105"/>
        </w:rPr>
        <w:t> </w:t>
      </w:r>
      <w:r>
        <w:rPr>
          <w:color w:val="231F20"/>
          <w:w w:val="105"/>
        </w:rPr>
        <w:t>de</w:t>
      </w:r>
      <w:r>
        <w:rPr>
          <w:color w:val="231F20"/>
          <w:spacing w:val="-14"/>
          <w:w w:val="105"/>
        </w:rPr>
        <w:t> </w:t>
      </w:r>
      <w:r>
        <w:rPr>
          <w:color w:val="231F20"/>
          <w:w w:val="105"/>
        </w:rPr>
        <w:t>México,</w:t>
      </w:r>
      <w:r>
        <w:rPr>
          <w:color w:val="231F20"/>
          <w:spacing w:val="-19"/>
          <w:w w:val="105"/>
        </w:rPr>
        <w:t> </w:t>
      </w:r>
      <w:r>
        <w:rPr>
          <w:color w:val="231F20"/>
          <w:w w:val="105"/>
        </w:rPr>
        <w:t>con</w:t>
      </w:r>
      <w:r>
        <w:rPr>
          <w:color w:val="231F20"/>
          <w:spacing w:val="-14"/>
          <w:w w:val="105"/>
        </w:rPr>
        <w:t> </w:t>
      </w:r>
      <w:r>
        <w:rPr>
          <w:color w:val="231F20"/>
          <w:w w:val="105"/>
        </w:rPr>
        <w:t>reconocimiento</w:t>
      </w:r>
      <w:r>
        <w:rPr>
          <w:color w:val="231F20"/>
          <w:spacing w:val="-14"/>
          <w:w w:val="105"/>
        </w:rPr>
        <w:t> </w:t>
      </w:r>
      <w:r>
        <w:rPr>
          <w:color w:val="231F20"/>
          <w:w w:val="105"/>
        </w:rPr>
        <w:t>a</w:t>
      </w:r>
      <w:r>
        <w:rPr>
          <w:color w:val="231F20"/>
          <w:spacing w:val="-14"/>
          <w:w w:val="105"/>
        </w:rPr>
        <w:t> </w:t>
      </w:r>
      <w:r>
        <w:rPr>
          <w:color w:val="231F20"/>
          <w:w w:val="105"/>
        </w:rPr>
        <w:t>perfil</w:t>
      </w:r>
      <w:r>
        <w:rPr>
          <w:color w:val="231F20"/>
          <w:spacing w:val="-14"/>
          <w:w w:val="105"/>
        </w:rPr>
        <w:t> </w:t>
      </w:r>
      <w:r>
        <w:rPr>
          <w:color w:val="231F20"/>
          <w:w w:val="105"/>
        </w:rPr>
        <w:t>de- seable</w:t>
      </w:r>
      <w:r>
        <w:rPr>
          <w:color w:val="231F20"/>
          <w:spacing w:val="-33"/>
          <w:w w:val="105"/>
        </w:rPr>
        <w:t> </w:t>
      </w:r>
      <w:r>
        <w:rPr>
          <w:color w:val="231F20"/>
          <w:spacing w:val="-5"/>
          <w:w w:val="105"/>
        </w:rPr>
        <w:t>PRODEP.</w:t>
      </w:r>
      <w:r>
        <w:rPr>
          <w:color w:val="231F20"/>
          <w:spacing w:val="-37"/>
          <w:w w:val="105"/>
        </w:rPr>
        <w:t> </w:t>
      </w:r>
      <w:r>
        <w:rPr>
          <w:color w:val="231F20"/>
          <w:w w:val="105"/>
        </w:rPr>
        <w:t>Ha</w:t>
      </w:r>
      <w:r>
        <w:rPr>
          <w:color w:val="231F20"/>
          <w:spacing w:val="-33"/>
          <w:w w:val="105"/>
        </w:rPr>
        <w:t> </w:t>
      </w:r>
      <w:r>
        <w:rPr>
          <w:color w:val="231F20"/>
          <w:w w:val="105"/>
        </w:rPr>
        <w:t>impartido</w:t>
      </w:r>
      <w:r>
        <w:rPr>
          <w:color w:val="231F20"/>
          <w:spacing w:val="-33"/>
          <w:w w:val="105"/>
        </w:rPr>
        <w:t> </w:t>
      </w:r>
      <w:r>
        <w:rPr>
          <w:color w:val="231F20"/>
          <w:w w:val="105"/>
        </w:rPr>
        <w:t>cátedra</w:t>
      </w:r>
      <w:r>
        <w:rPr>
          <w:color w:val="231F20"/>
          <w:spacing w:val="-33"/>
          <w:w w:val="105"/>
        </w:rPr>
        <w:t> </w:t>
      </w:r>
      <w:r>
        <w:rPr>
          <w:color w:val="231F20"/>
          <w:w w:val="105"/>
        </w:rPr>
        <w:t>a</w:t>
      </w:r>
      <w:r>
        <w:rPr>
          <w:color w:val="231F20"/>
          <w:spacing w:val="-33"/>
          <w:w w:val="105"/>
        </w:rPr>
        <w:t> </w:t>
      </w:r>
      <w:r>
        <w:rPr>
          <w:color w:val="231F20"/>
          <w:w w:val="105"/>
        </w:rPr>
        <w:t>nivel</w:t>
      </w:r>
      <w:r>
        <w:rPr>
          <w:color w:val="231F20"/>
          <w:spacing w:val="-33"/>
          <w:w w:val="105"/>
        </w:rPr>
        <w:t> </w:t>
      </w:r>
      <w:r>
        <w:rPr>
          <w:color w:val="231F20"/>
          <w:w w:val="105"/>
        </w:rPr>
        <w:t>nacional</w:t>
      </w:r>
      <w:r>
        <w:rPr>
          <w:color w:val="231F20"/>
          <w:spacing w:val="-33"/>
          <w:w w:val="105"/>
        </w:rPr>
        <w:t> </w:t>
      </w:r>
      <w:r>
        <w:rPr>
          <w:color w:val="231F20"/>
          <w:w w:val="105"/>
        </w:rPr>
        <w:t>e</w:t>
      </w:r>
      <w:r>
        <w:rPr>
          <w:color w:val="231F20"/>
          <w:spacing w:val="-33"/>
          <w:w w:val="105"/>
        </w:rPr>
        <w:t> </w:t>
      </w:r>
      <w:r>
        <w:rPr>
          <w:color w:val="231F20"/>
          <w:w w:val="105"/>
        </w:rPr>
        <w:t>internacional.</w:t>
      </w:r>
      <w:r>
        <w:rPr>
          <w:color w:val="231F20"/>
          <w:spacing w:val="-37"/>
          <w:w w:val="105"/>
        </w:rPr>
        <w:t> </w:t>
      </w:r>
      <w:r>
        <w:rPr>
          <w:color w:val="231F20"/>
          <w:w w:val="105"/>
        </w:rPr>
        <w:t>Su línea</w:t>
      </w:r>
      <w:r>
        <w:rPr>
          <w:color w:val="231F20"/>
          <w:spacing w:val="-23"/>
          <w:w w:val="105"/>
        </w:rPr>
        <w:t> </w:t>
      </w:r>
      <w:r>
        <w:rPr>
          <w:color w:val="231F20"/>
          <w:w w:val="105"/>
        </w:rPr>
        <w:t>de</w:t>
      </w:r>
      <w:r>
        <w:rPr>
          <w:color w:val="231F20"/>
          <w:spacing w:val="-23"/>
          <w:w w:val="105"/>
        </w:rPr>
        <w:t> </w:t>
      </w:r>
      <w:r>
        <w:rPr>
          <w:color w:val="231F20"/>
          <w:w w:val="105"/>
        </w:rPr>
        <w:t>investigación</w:t>
      </w:r>
      <w:r>
        <w:rPr>
          <w:color w:val="231F20"/>
          <w:spacing w:val="-23"/>
          <w:w w:val="105"/>
        </w:rPr>
        <w:t> </w:t>
      </w:r>
      <w:r>
        <w:rPr>
          <w:color w:val="231F20"/>
          <w:w w:val="105"/>
        </w:rPr>
        <w:t>versa</w:t>
      </w:r>
      <w:r>
        <w:rPr>
          <w:color w:val="231F20"/>
          <w:spacing w:val="-23"/>
          <w:w w:val="105"/>
        </w:rPr>
        <w:t> </w:t>
      </w:r>
      <w:r>
        <w:rPr>
          <w:color w:val="231F20"/>
          <w:w w:val="105"/>
        </w:rPr>
        <w:t>sobre</w:t>
      </w:r>
      <w:r>
        <w:rPr>
          <w:color w:val="231F20"/>
          <w:spacing w:val="-23"/>
          <w:w w:val="105"/>
        </w:rPr>
        <w:t> </w:t>
      </w:r>
      <w:r>
        <w:rPr>
          <w:color w:val="231F20"/>
          <w:w w:val="105"/>
        </w:rPr>
        <w:t>el</w:t>
      </w:r>
      <w:r>
        <w:rPr>
          <w:color w:val="231F20"/>
          <w:spacing w:val="-23"/>
          <w:w w:val="105"/>
        </w:rPr>
        <w:t> </w:t>
      </w:r>
      <w:r>
        <w:rPr>
          <w:color w:val="231F20"/>
          <w:w w:val="105"/>
        </w:rPr>
        <w:t>crimen</w:t>
      </w:r>
      <w:r>
        <w:rPr>
          <w:color w:val="231F20"/>
          <w:spacing w:val="-23"/>
          <w:w w:val="105"/>
        </w:rPr>
        <w:t> </w:t>
      </w:r>
      <w:r>
        <w:rPr>
          <w:color w:val="231F20"/>
          <w:w w:val="105"/>
        </w:rPr>
        <w:t>organizado</w:t>
      </w:r>
      <w:r>
        <w:rPr>
          <w:color w:val="231F20"/>
          <w:spacing w:val="-23"/>
          <w:w w:val="105"/>
        </w:rPr>
        <w:t> </w:t>
      </w:r>
      <w:r>
        <w:rPr>
          <w:color w:val="231F20"/>
          <w:w w:val="105"/>
        </w:rPr>
        <w:t>y</w:t>
      </w:r>
      <w:r>
        <w:rPr>
          <w:color w:val="231F20"/>
          <w:spacing w:val="-23"/>
          <w:w w:val="105"/>
        </w:rPr>
        <w:t> </w:t>
      </w:r>
      <w:r>
        <w:rPr>
          <w:color w:val="231F20"/>
          <w:w w:val="105"/>
        </w:rPr>
        <w:t>su</w:t>
      </w:r>
      <w:r>
        <w:rPr>
          <w:color w:val="231F20"/>
          <w:spacing w:val="-23"/>
          <w:w w:val="105"/>
        </w:rPr>
        <w:t> </w:t>
      </w:r>
      <w:r>
        <w:rPr>
          <w:color w:val="231F20"/>
          <w:w w:val="105"/>
        </w:rPr>
        <w:t>relación</w:t>
      </w:r>
      <w:r>
        <w:rPr>
          <w:color w:val="231F20"/>
          <w:spacing w:val="-23"/>
          <w:w w:val="105"/>
        </w:rPr>
        <w:t> </w:t>
      </w:r>
      <w:r>
        <w:rPr>
          <w:color w:val="231F20"/>
          <w:w w:val="105"/>
        </w:rPr>
        <w:t>con los</w:t>
      </w:r>
      <w:r>
        <w:rPr>
          <w:color w:val="231F20"/>
          <w:spacing w:val="14"/>
          <w:w w:val="105"/>
        </w:rPr>
        <w:t> </w:t>
      </w:r>
      <w:r>
        <w:rPr>
          <w:color w:val="231F20"/>
          <w:w w:val="105"/>
        </w:rPr>
        <w:t>sectores</w:t>
      </w:r>
      <w:r>
        <w:rPr>
          <w:color w:val="231F20"/>
          <w:spacing w:val="-24"/>
          <w:w w:val="105"/>
        </w:rPr>
        <w:t> </w:t>
      </w:r>
      <w:r>
        <w:rPr>
          <w:color w:val="231F20"/>
          <w:w w:val="105"/>
        </w:rPr>
        <w:t>económicos.</w:t>
      </w:r>
      <w:r>
        <w:rPr>
          <w:color w:val="231F20"/>
          <w:spacing w:val="-29"/>
          <w:w w:val="105"/>
        </w:rPr>
        <w:t> </w:t>
      </w:r>
      <w:r>
        <w:rPr>
          <w:color w:val="231F20"/>
          <w:w w:val="105"/>
        </w:rPr>
        <w:t>Cuenta</w:t>
      </w:r>
      <w:r>
        <w:rPr>
          <w:color w:val="231F20"/>
          <w:spacing w:val="-24"/>
          <w:w w:val="105"/>
        </w:rPr>
        <w:t> </w:t>
      </w:r>
      <w:r>
        <w:rPr>
          <w:color w:val="231F20"/>
          <w:w w:val="105"/>
        </w:rPr>
        <w:t>con</w:t>
      </w:r>
      <w:r>
        <w:rPr>
          <w:color w:val="231F20"/>
          <w:spacing w:val="-24"/>
          <w:w w:val="105"/>
        </w:rPr>
        <w:t> </w:t>
      </w:r>
      <w:r>
        <w:rPr>
          <w:color w:val="231F20"/>
          <w:w w:val="105"/>
        </w:rPr>
        <w:t>diversas</w:t>
      </w:r>
      <w:r>
        <w:rPr>
          <w:color w:val="231F20"/>
          <w:spacing w:val="-24"/>
          <w:w w:val="105"/>
        </w:rPr>
        <w:t> </w:t>
      </w:r>
      <w:r>
        <w:rPr>
          <w:color w:val="231F20"/>
          <w:w w:val="105"/>
        </w:rPr>
        <w:t>publicaciones</w:t>
      </w:r>
      <w:r>
        <w:rPr>
          <w:color w:val="231F20"/>
          <w:spacing w:val="-24"/>
          <w:w w:val="105"/>
        </w:rPr>
        <w:t> </w:t>
      </w:r>
      <w:r>
        <w:rPr>
          <w:color w:val="231F20"/>
          <w:w w:val="105"/>
        </w:rPr>
        <w:t>en</w:t>
      </w:r>
      <w:r>
        <w:rPr>
          <w:color w:val="231F20"/>
          <w:spacing w:val="-24"/>
          <w:w w:val="105"/>
        </w:rPr>
        <w:t> </w:t>
      </w:r>
      <w:r>
        <w:rPr>
          <w:color w:val="231F20"/>
          <w:w w:val="105"/>
        </w:rPr>
        <w:t>revistas nacionales</w:t>
      </w:r>
      <w:r>
        <w:rPr>
          <w:color w:val="231F20"/>
          <w:spacing w:val="-44"/>
          <w:w w:val="105"/>
        </w:rPr>
        <w:t> </w:t>
      </w:r>
      <w:r>
        <w:rPr>
          <w:color w:val="231F20"/>
          <w:w w:val="105"/>
        </w:rPr>
        <w:t>e</w:t>
      </w:r>
      <w:r>
        <w:rPr>
          <w:color w:val="231F20"/>
          <w:spacing w:val="-44"/>
          <w:w w:val="105"/>
        </w:rPr>
        <w:t> </w:t>
      </w:r>
      <w:r>
        <w:rPr>
          <w:color w:val="231F20"/>
          <w:w w:val="105"/>
        </w:rPr>
        <w:t>internacionales.</w:t>
      </w:r>
    </w:p>
    <w:p>
      <w:pPr>
        <w:pStyle w:val="BodyText"/>
        <w:spacing w:before="6"/>
        <w:rPr>
          <w:sz w:val="22"/>
        </w:rPr>
      </w:pPr>
    </w:p>
    <w:p>
      <w:pPr>
        <w:spacing w:line="259" w:lineRule="auto" w:before="0"/>
        <w:ind w:left="103" w:right="109" w:firstLine="0"/>
        <w:jc w:val="both"/>
        <w:rPr>
          <w:sz w:val="21"/>
        </w:rPr>
      </w:pPr>
      <w:r>
        <w:rPr>
          <w:color w:val="231F20"/>
          <w:sz w:val="21"/>
        </w:rPr>
        <w:t>Ma. de Lourdes Nájera López. Candidata a Doctora en Ciencias Econó- mico Administrativo (Programa de Calidad por CONACyT), con la investi- gación: </w:t>
      </w:r>
      <w:r>
        <w:rPr>
          <w:i/>
          <w:color w:val="231F20"/>
          <w:sz w:val="21"/>
        </w:rPr>
        <w:t>Modelación de precios de opciones en divisas para México</w:t>
      </w:r>
      <w:r>
        <w:rPr>
          <w:color w:val="231F20"/>
          <w:sz w:val="21"/>
        </w:rPr>
        <w:t>, en la Facultad de Economía. Maestra en Ingeniería con la investigación: </w:t>
      </w:r>
      <w:r>
        <w:rPr>
          <w:i/>
          <w:color w:val="231F20"/>
          <w:sz w:val="21"/>
        </w:rPr>
        <w:t>Mode- </w:t>
      </w:r>
      <w:r>
        <w:rPr>
          <w:i/>
          <w:color w:val="231F20"/>
          <w:sz w:val="21"/>
        </w:rPr>
        <w:t>lo de regulación de un sistema de transporte, caso </w:t>
      </w:r>
      <w:r>
        <w:rPr>
          <w:i/>
          <w:color w:val="231F20"/>
          <w:spacing w:val="-3"/>
          <w:sz w:val="21"/>
        </w:rPr>
        <w:t>Toluca</w:t>
      </w:r>
      <w:r>
        <w:rPr>
          <w:color w:val="231F20"/>
          <w:spacing w:val="-3"/>
          <w:sz w:val="21"/>
        </w:rPr>
        <w:t>, </w:t>
      </w:r>
      <w:r>
        <w:rPr>
          <w:color w:val="231F20"/>
          <w:sz w:val="21"/>
        </w:rPr>
        <w:t>en la Facultad de Ingeniería. Ingeniera Civil, graduada con el </w:t>
      </w:r>
      <w:r>
        <w:rPr>
          <w:i/>
          <w:color w:val="231F20"/>
          <w:sz w:val="21"/>
        </w:rPr>
        <w:t>Diseño experimental de 3</w:t>
      </w:r>
      <w:r>
        <w:rPr>
          <w:i/>
          <w:color w:val="231F20"/>
          <w:position w:val="7"/>
          <w:sz w:val="12"/>
        </w:rPr>
        <w:t>3 </w:t>
      </w:r>
      <w:r>
        <w:rPr>
          <w:i/>
          <w:color w:val="231F20"/>
          <w:sz w:val="21"/>
        </w:rPr>
        <w:t>para determinar las bases racionales de los métodos de dosificación ACI 212;</w:t>
      </w:r>
      <w:r>
        <w:rPr>
          <w:i/>
          <w:color w:val="231F20"/>
          <w:spacing w:val="-7"/>
          <w:sz w:val="21"/>
        </w:rPr>
        <w:t> </w:t>
      </w:r>
      <w:r>
        <w:rPr>
          <w:i/>
          <w:color w:val="231F20"/>
          <w:sz w:val="21"/>
        </w:rPr>
        <w:t>PCA</w:t>
      </w:r>
      <w:r>
        <w:rPr>
          <w:i/>
          <w:color w:val="231F20"/>
          <w:spacing w:val="-11"/>
          <w:sz w:val="21"/>
        </w:rPr>
        <w:t> </w:t>
      </w:r>
      <w:r>
        <w:rPr>
          <w:i/>
          <w:color w:val="231F20"/>
          <w:sz w:val="21"/>
        </w:rPr>
        <w:t>y</w:t>
      </w:r>
      <w:r>
        <w:rPr>
          <w:i/>
          <w:color w:val="231F20"/>
          <w:spacing w:val="-7"/>
          <w:sz w:val="21"/>
        </w:rPr>
        <w:t> </w:t>
      </w:r>
      <w:r>
        <w:rPr>
          <w:i/>
          <w:color w:val="231F20"/>
          <w:sz w:val="21"/>
        </w:rPr>
        <w:t>BRISTISH</w:t>
      </w:r>
      <w:r>
        <w:rPr>
          <w:i/>
          <w:color w:val="231F20"/>
          <w:spacing w:val="-7"/>
          <w:sz w:val="21"/>
        </w:rPr>
        <w:t> </w:t>
      </w:r>
      <w:r>
        <w:rPr>
          <w:i/>
          <w:color w:val="231F20"/>
          <w:sz w:val="21"/>
        </w:rPr>
        <w:t>CODE</w:t>
      </w:r>
      <w:r>
        <w:rPr>
          <w:i/>
          <w:color w:val="231F20"/>
          <w:spacing w:val="-7"/>
          <w:sz w:val="21"/>
        </w:rPr>
        <w:t> </w:t>
      </w:r>
      <w:r>
        <w:rPr>
          <w:i/>
          <w:color w:val="231F20"/>
          <w:sz w:val="21"/>
        </w:rPr>
        <w:t>OF</w:t>
      </w:r>
      <w:r>
        <w:rPr>
          <w:i/>
          <w:color w:val="231F20"/>
          <w:spacing w:val="-7"/>
          <w:sz w:val="21"/>
        </w:rPr>
        <w:t> </w:t>
      </w:r>
      <w:r>
        <w:rPr>
          <w:i/>
          <w:color w:val="231F20"/>
          <w:sz w:val="21"/>
        </w:rPr>
        <w:t>PRACTICE</w:t>
      </w:r>
      <w:r>
        <w:rPr>
          <w:color w:val="231F20"/>
          <w:sz w:val="21"/>
        </w:rPr>
        <w:t>,</w:t>
      </w:r>
      <w:r>
        <w:rPr>
          <w:color w:val="231F20"/>
          <w:spacing w:val="-12"/>
          <w:sz w:val="21"/>
        </w:rPr>
        <w:t> </w:t>
      </w:r>
      <w:r>
        <w:rPr>
          <w:color w:val="231F20"/>
          <w:sz w:val="21"/>
        </w:rPr>
        <w:t>en</w:t>
      </w:r>
      <w:r>
        <w:rPr>
          <w:color w:val="231F20"/>
          <w:spacing w:val="-7"/>
          <w:sz w:val="21"/>
        </w:rPr>
        <w:t> </w:t>
      </w:r>
      <w:r>
        <w:rPr>
          <w:color w:val="231F20"/>
          <w:sz w:val="21"/>
        </w:rPr>
        <w:t>la</w:t>
      </w:r>
      <w:r>
        <w:rPr>
          <w:color w:val="231F20"/>
          <w:spacing w:val="-7"/>
          <w:sz w:val="21"/>
        </w:rPr>
        <w:t> </w:t>
      </w:r>
      <w:r>
        <w:rPr>
          <w:color w:val="231F20"/>
          <w:sz w:val="21"/>
        </w:rPr>
        <w:t>Facultad</w:t>
      </w:r>
      <w:r>
        <w:rPr>
          <w:color w:val="231F20"/>
          <w:spacing w:val="-7"/>
          <w:sz w:val="21"/>
        </w:rPr>
        <w:t> </w:t>
      </w:r>
      <w:r>
        <w:rPr>
          <w:color w:val="231F20"/>
          <w:sz w:val="21"/>
        </w:rPr>
        <w:t>de</w:t>
      </w:r>
      <w:r>
        <w:rPr>
          <w:color w:val="231F20"/>
          <w:spacing w:val="-7"/>
          <w:sz w:val="21"/>
        </w:rPr>
        <w:t> </w:t>
      </w:r>
      <w:r>
        <w:rPr>
          <w:color w:val="231F20"/>
          <w:sz w:val="21"/>
        </w:rPr>
        <w:t>Ingeniería, todos los estudios realizados en la Universidad Autónoma del Estado de México. Ha escrito publicaciones en CIENCIA ergo-sum, en  Internatio- nal Journal of Modern Nonlinear Theory and Application, en </w:t>
      </w:r>
      <w:r>
        <w:rPr>
          <w:color w:val="231F20"/>
          <w:spacing w:val="-3"/>
          <w:sz w:val="21"/>
        </w:rPr>
        <w:t>Adv. </w:t>
      </w:r>
      <w:r>
        <w:rPr>
          <w:color w:val="231F20"/>
          <w:sz w:val="21"/>
        </w:rPr>
        <w:t>Studies </w:t>
      </w:r>
      <w:r>
        <w:rPr>
          <w:color w:val="231F20"/>
          <w:spacing w:val="-3"/>
          <w:sz w:val="21"/>
        </w:rPr>
        <w:t>Theor. </w:t>
      </w:r>
      <w:r>
        <w:rPr>
          <w:color w:val="231F20"/>
          <w:sz w:val="21"/>
        </w:rPr>
        <w:t>Phys, International Journal of Modern Physics, así como capítulos de libros científicos editados por la Universidad Autónoma del Estado de México. Se obtuvo el reconocimiento como investigación sobresaliente   en la Global Conference on Busines and Finance en mayo de 2014. ma- </w:t>
      </w:r>
      <w:hyperlink r:id="rId139">
        <w:r>
          <w:rPr>
            <w:color w:val="231F20"/>
            <w:sz w:val="21"/>
          </w:rPr>
          <w:t>lourdesnl@yahoo.com,</w:t>
        </w:r>
      </w:hyperlink>
      <w:r>
        <w:rPr>
          <w:color w:val="231F20"/>
          <w:spacing w:val="21"/>
          <w:sz w:val="21"/>
        </w:rPr>
        <w:t> </w:t>
      </w:r>
      <w:hyperlink r:id="rId140">
        <w:r>
          <w:rPr>
            <w:color w:val="231F20"/>
            <w:sz w:val="21"/>
          </w:rPr>
          <w:t>mlnajeral@uaemex.mx</w:t>
        </w:r>
      </w:hyperlink>
    </w:p>
    <w:p>
      <w:pPr>
        <w:pStyle w:val="BodyText"/>
        <w:spacing w:before="6"/>
        <w:rPr>
          <w:sz w:val="22"/>
        </w:rPr>
      </w:pPr>
    </w:p>
    <w:p>
      <w:pPr>
        <w:pStyle w:val="BodyText"/>
        <w:spacing w:line="259" w:lineRule="auto"/>
        <w:ind w:left="103" w:right="115"/>
        <w:jc w:val="both"/>
      </w:pPr>
      <w:r>
        <w:rPr>
          <w:color w:val="231F20"/>
          <w:w w:val="105"/>
        </w:rPr>
        <w:t>Máximo</w:t>
      </w:r>
      <w:r>
        <w:rPr>
          <w:color w:val="231F20"/>
          <w:spacing w:val="-25"/>
          <w:w w:val="105"/>
        </w:rPr>
        <w:t> </w:t>
      </w:r>
      <w:r>
        <w:rPr>
          <w:color w:val="231F20"/>
          <w:w w:val="105"/>
        </w:rPr>
        <w:t>Augusto</w:t>
      </w:r>
      <w:r>
        <w:rPr>
          <w:color w:val="231F20"/>
          <w:spacing w:val="-25"/>
          <w:w w:val="105"/>
        </w:rPr>
        <w:t> </w:t>
      </w:r>
      <w:r>
        <w:rPr>
          <w:color w:val="231F20"/>
          <w:w w:val="105"/>
        </w:rPr>
        <w:t>Agüero</w:t>
      </w:r>
      <w:r>
        <w:rPr>
          <w:color w:val="231F20"/>
          <w:spacing w:val="-23"/>
          <w:w w:val="105"/>
        </w:rPr>
        <w:t> </w:t>
      </w:r>
      <w:r>
        <w:rPr>
          <w:color w:val="231F20"/>
          <w:w w:val="105"/>
        </w:rPr>
        <w:t>Granados.</w:t>
      </w:r>
      <w:r>
        <w:rPr>
          <w:color w:val="231F20"/>
          <w:spacing w:val="-23"/>
          <w:w w:val="105"/>
        </w:rPr>
        <w:t> </w:t>
      </w:r>
      <w:r>
        <w:rPr>
          <w:color w:val="231F20"/>
          <w:w w:val="105"/>
        </w:rPr>
        <w:t>Profesor</w:t>
      </w:r>
      <w:r>
        <w:rPr>
          <w:color w:val="231F20"/>
          <w:spacing w:val="-23"/>
          <w:w w:val="105"/>
        </w:rPr>
        <w:t> </w:t>
      </w:r>
      <w:r>
        <w:rPr>
          <w:color w:val="231F20"/>
          <w:w w:val="105"/>
        </w:rPr>
        <w:t>investigador</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Facultad de</w:t>
      </w:r>
      <w:r>
        <w:rPr>
          <w:color w:val="231F20"/>
          <w:spacing w:val="-16"/>
          <w:w w:val="105"/>
        </w:rPr>
        <w:t> </w:t>
      </w:r>
      <w:r>
        <w:rPr>
          <w:color w:val="231F20"/>
          <w:w w:val="105"/>
        </w:rPr>
        <w:t>Ciencias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Universidad</w:t>
      </w:r>
      <w:r>
        <w:rPr>
          <w:color w:val="231F20"/>
          <w:spacing w:val="-20"/>
          <w:w w:val="105"/>
        </w:rPr>
        <w:t> </w:t>
      </w:r>
      <w:r>
        <w:rPr>
          <w:color w:val="231F20"/>
          <w:w w:val="105"/>
        </w:rPr>
        <w:t>Autónoma</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p>
    <w:p>
      <w:pPr>
        <w:pStyle w:val="BodyText"/>
        <w:spacing w:before="6"/>
        <w:rPr>
          <w:sz w:val="22"/>
        </w:rPr>
      </w:pPr>
    </w:p>
    <w:p>
      <w:pPr>
        <w:pStyle w:val="BodyText"/>
        <w:spacing w:line="259" w:lineRule="auto"/>
        <w:ind w:left="103" w:right="115"/>
        <w:jc w:val="both"/>
      </w:pPr>
      <w:r>
        <w:rPr>
          <w:color w:val="231F20"/>
          <w:spacing w:val="-3"/>
          <w:w w:val="105"/>
        </w:rPr>
        <w:t>Miguel Octavio </w:t>
      </w:r>
      <w:r>
        <w:rPr>
          <w:color w:val="231F20"/>
          <w:spacing w:val="-4"/>
          <w:w w:val="105"/>
        </w:rPr>
        <w:t>Caballero </w:t>
      </w:r>
      <w:r>
        <w:rPr>
          <w:color w:val="231F20"/>
          <w:spacing w:val="-3"/>
          <w:w w:val="105"/>
        </w:rPr>
        <w:t>Santín </w:t>
      </w:r>
      <w:r>
        <w:rPr>
          <w:color w:val="231F20"/>
          <w:w w:val="105"/>
        </w:rPr>
        <w:t>es </w:t>
      </w:r>
      <w:r>
        <w:rPr>
          <w:color w:val="231F20"/>
          <w:spacing w:val="-3"/>
          <w:w w:val="105"/>
        </w:rPr>
        <w:t>profesor </w:t>
      </w:r>
      <w:r>
        <w:rPr>
          <w:color w:val="231F20"/>
          <w:w w:val="105"/>
        </w:rPr>
        <w:t>de </w:t>
      </w:r>
      <w:r>
        <w:rPr>
          <w:color w:val="231F20"/>
          <w:spacing w:val="-3"/>
          <w:w w:val="105"/>
        </w:rPr>
        <w:t>tiempo completo </w:t>
      </w:r>
      <w:r>
        <w:rPr>
          <w:color w:val="231F20"/>
          <w:w w:val="105"/>
        </w:rPr>
        <w:t>en </w:t>
      </w:r>
      <w:r>
        <w:rPr>
          <w:color w:val="231F20"/>
          <w:spacing w:val="-3"/>
          <w:w w:val="105"/>
        </w:rPr>
        <w:t>la </w:t>
      </w:r>
      <w:r>
        <w:rPr>
          <w:color w:val="231F20"/>
          <w:spacing w:val="-4"/>
          <w:w w:val="105"/>
        </w:rPr>
        <w:t>Facultad</w:t>
      </w:r>
      <w:r>
        <w:rPr>
          <w:color w:val="231F20"/>
          <w:spacing w:val="-14"/>
          <w:w w:val="105"/>
        </w:rPr>
        <w:t> </w:t>
      </w:r>
      <w:r>
        <w:rPr>
          <w:color w:val="231F20"/>
          <w:w w:val="105"/>
        </w:rPr>
        <w:t>de</w:t>
      </w:r>
      <w:r>
        <w:rPr>
          <w:color w:val="231F20"/>
          <w:spacing w:val="-14"/>
          <w:w w:val="105"/>
        </w:rPr>
        <w:t> </w:t>
      </w:r>
      <w:r>
        <w:rPr>
          <w:color w:val="231F20"/>
          <w:spacing w:val="-3"/>
          <w:w w:val="105"/>
        </w:rPr>
        <w:t>Contaduría</w:t>
      </w:r>
      <w:r>
        <w:rPr>
          <w:color w:val="231F20"/>
          <w:spacing w:val="-14"/>
          <w:w w:val="105"/>
        </w:rPr>
        <w:t> </w:t>
      </w:r>
      <w:r>
        <w:rPr>
          <w:color w:val="231F20"/>
          <w:w w:val="105"/>
        </w:rPr>
        <w:t>y</w:t>
      </w:r>
      <w:r>
        <w:rPr>
          <w:color w:val="231F20"/>
          <w:spacing w:val="-18"/>
          <w:w w:val="105"/>
        </w:rPr>
        <w:t> </w:t>
      </w:r>
      <w:r>
        <w:rPr>
          <w:color w:val="231F20"/>
          <w:spacing w:val="-3"/>
          <w:w w:val="105"/>
        </w:rPr>
        <w:t>Administración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3"/>
          <w:w w:val="105"/>
        </w:rPr>
        <w:t>Universidad</w:t>
      </w:r>
      <w:r>
        <w:rPr>
          <w:color w:val="231F20"/>
          <w:spacing w:val="-18"/>
          <w:w w:val="105"/>
        </w:rPr>
        <w:t> </w:t>
      </w:r>
      <w:r>
        <w:rPr>
          <w:color w:val="231F20"/>
          <w:spacing w:val="-3"/>
          <w:w w:val="105"/>
        </w:rPr>
        <w:t>Autónoma</w:t>
      </w:r>
      <w:r>
        <w:rPr>
          <w:color w:val="231F20"/>
          <w:spacing w:val="-14"/>
          <w:w w:val="105"/>
        </w:rPr>
        <w:t> </w:t>
      </w:r>
      <w:r>
        <w:rPr>
          <w:color w:val="231F20"/>
          <w:spacing w:val="-3"/>
          <w:w w:val="105"/>
        </w:rPr>
        <w:t>del Estado</w:t>
      </w:r>
      <w:r>
        <w:rPr>
          <w:color w:val="231F20"/>
          <w:spacing w:val="-12"/>
          <w:w w:val="105"/>
        </w:rPr>
        <w:t> </w:t>
      </w:r>
      <w:r>
        <w:rPr>
          <w:color w:val="231F20"/>
          <w:w w:val="105"/>
        </w:rPr>
        <w:t>de</w:t>
      </w:r>
      <w:r>
        <w:rPr>
          <w:color w:val="231F20"/>
          <w:spacing w:val="-12"/>
          <w:w w:val="105"/>
        </w:rPr>
        <w:t> </w:t>
      </w:r>
      <w:r>
        <w:rPr>
          <w:color w:val="231F20"/>
          <w:spacing w:val="-3"/>
          <w:w w:val="105"/>
        </w:rPr>
        <w:t>México,</w:t>
      </w:r>
      <w:r>
        <w:rPr>
          <w:color w:val="231F20"/>
          <w:spacing w:val="-18"/>
          <w:w w:val="105"/>
        </w:rPr>
        <w:t> </w:t>
      </w:r>
      <w:r>
        <w:rPr>
          <w:color w:val="231F20"/>
          <w:spacing w:val="-3"/>
          <w:w w:val="105"/>
        </w:rPr>
        <w:t>donde</w:t>
      </w:r>
      <w:r>
        <w:rPr>
          <w:color w:val="231F20"/>
          <w:spacing w:val="-12"/>
          <w:w w:val="105"/>
        </w:rPr>
        <w:t> </w:t>
      </w:r>
      <w:r>
        <w:rPr>
          <w:color w:val="231F20"/>
          <w:spacing w:val="-3"/>
          <w:w w:val="105"/>
        </w:rPr>
        <w:t>conjuntamente</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spacing w:val="-3"/>
          <w:w w:val="105"/>
        </w:rPr>
        <w:t>Universidad</w:t>
      </w:r>
      <w:r>
        <w:rPr>
          <w:color w:val="231F20"/>
          <w:spacing w:val="-12"/>
          <w:w w:val="105"/>
        </w:rPr>
        <w:t> </w:t>
      </w:r>
      <w:r>
        <w:rPr>
          <w:color w:val="231F20"/>
          <w:w w:val="105"/>
        </w:rPr>
        <w:t>del</w:t>
      </w:r>
      <w:r>
        <w:rPr>
          <w:color w:val="231F20"/>
          <w:spacing w:val="-12"/>
          <w:w w:val="105"/>
        </w:rPr>
        <w:t> </w:t>
      </w:r>
      <w:r>
        <w:rPr>
          <w:color w:val="231F20"/>
          <w:spacing w:val="-3"/>
          <w:w w:val="105"/>
        </w:rPr>
        <w:t>Norte</w:t>
      </w:r>
      <w:r>
        <w:rPr>
          <w:color w:val="231F20"/>
          <w:spacing w:val="-12"/>
          <w:w w:val="105"/>
        </w:rPr>
        <w:t> </w:t>
      </w:r>
      <w:r>
        <w:rPr>
          <w:color w:val="231F20"/>
          <w:spacing w:val="-3"/>
          <w:w w:val="105"/>
        </w:rPr>
        <w:t>de </w:t>
      </w:r>
      <w:r>
        <w:rPr>
          <w:color w:val="231F20"/>
          <w:spacing w:val="-7"/>
          <w:w w:val="105"/>
        </w:rPr>
        <w:t>Texas </w:t>
      </w:r>
      <w:r>
        <w:rPr>
          <w:color w:val="231F20"/>
          <w:spacing w:val="-3"/>
          <w:w w:val="105"/>
        </w:rPr>
        <w:t>cursó </w:t>
      </w:r>
      <w:r>
        <w:rPr>
          <w:color w:val="231F20"/>
          <w:w w:val="105"/>
        </w:rPr>
        <w:t>la </w:t>
      </w:r>
      <w:r>
        <w:rPr>
          <w:color w:val="231F20"/>
          <w:spacing w:val="-3"/>
          <w:w w:val="105"/>
        </w:rPr>
        <w:t>Maestría </w:t>
      </w:r>
      <w:r>
        <w:rPr>
          <w:color w:val="231F20"/>
          <w:w w:val="105"/>
        </w:rPr>
        <w:t>en </w:t>
      </w:r>
      <w:r>
        <w:rPr>
          <w:color w:val="231F20"/>
          <w:spacing w:val="-3"/>
          <w:w w:val="105"/>
        </w:rPr>
        <w:t>Administración </w:t>
      </w:r>
      <w:r>
        <w:rPr>
          <w:color w:val="231F20"/>
          <w:w w:val="105"/>
        </w:rPr>
        <w:t>con </w:t>
      </w:r>
      <w:r>
        <w:rPr>
          <w:color w:val="231F20"/>
          <w:spacing w:val="-3"/>
          <w:w w:val="105"/>
        </w:rPr>
        <w:t>especialidad </w:t>
      </w:r>
      <w:r>
        <w:rPr>
          <w:color w:val="231F20"/>
          <w:w w:val="105"/>
        </w:rPr>
        <w:t>en </w:t>
      </w:r>
      <w:r>
        <w:rPr>
          <w:color w:val="231F20"/>
          <w:spacing w:val="-3"/>
          <w:w w:val="105"/>
        </w:rPr>
        <w:t>Gestión Empresarial. Doctor </w:t>
      </w:r>
      <w:r>
        <w:rPr>
          <w:color w:val="231F20"/>
          <w:w w:val="105"/>
        </w:rPr>
        <w:t>en </w:t>
      </w:r>
      <w:r>
        <w:rPr>
          <w:color w:val="231F20"/>
          <w:spacing w:val="-3"/>
          <w:w w:val="105"/>
        </w:rPr>
        <w:t>Educación. </w:t>
      </w:r>
      <w:r>
        <w:rPr>
          <w:color w:val="231F20"/>
          <w:spacing w:val="-5"/>
          <w:w w:val="105"/>
        </w:rPr>
        <w:t>Profesor </w:t>
      </w:r>
      <w:r>
        <w:rPr>
          <w:color w:val="231F20"/>
          <w:w w:val="105"/>
        </w:rPr>
        <w:t>de </w:t>
      </w:r>
      <w:r>
        <w:rPr>
          <w:color w:val="231F20"/>
          <w:spacing w:val="-4"/>
          <w:w w:val="105"/>
        </w:rPr>
        <w:t>asignatura </w:t>
      </w:r>
      <w:r>
        <w:rPr>
          <w:color w:val="231F20"/>
          <w:w w:val="105"/>
        </w:rPr>
        <w:t>y </w:t>
      </w:r>
      <w:r>
        <w:rPr>
          <w:color w:val="231F20"/>
          <w:spacing w:val="-3"/>
          <w:w w:val="105"/>
        </w:rPr>
        <w:t>asistente de investigación. Cuenta </w:t>
      </w:r>
      <w:r>
        <w:rPr>
          <w:color w:val="231F20"/>
          <w:w w:val="105"/>
        </w:rPr>
        <w:t>con </w:t>
      </w:r>
      <w:r>
        <w:rPr>
          <w:color w:val="231F20"/>
          <w:spacing w:val="-3"/>
          <w:w w:val="105"/>
        </w:rPr>
        <w:t>estudios </w:t>
      </w:r>
      <w:r>
        <w:rPr>
          <w:color w:val="231F20"/>
          <w:w w:val="105"/>
        </w:rPr>
        <w:t>en </w:t>
      </w:r>
      <w:r>
        <w:rPr>
          <w:color w:val="231F20"/>
          <w:spacing w:val="-4"/>
          <w:w w:val="105"/>
        </w:rPr>
        <w:t>Comercio </w:t>
      </w:r>
      <w:r>
        <w:rPr>
          <w:color w:val="231F20"/>
          <w:spacing w:val="-3"/>
          <w:w w:val="105"/>
        </w:rPr>
        <w:t>Internacional, Merca- dotecnia </w:t>
      </w:r>
      <w:r>
        <w:rPr>
          <w:color w:val="231F20"/>
          <w:w w:val="105"/>
        </w:rPr>
        <w:t>y </w:t>
      </w:r>
      <w:r>
        <w:rPr>
          <w:color w:val="231F20"/>
          <w:spacing w:val="-5"/>
          <w:w w:val="105"/>
        </w:rPr>
        <w:t>Tecnologías </w:t>
      </w:r>
      <w:r>
        <w:rPr>
          <w:color w:val="231F20"/>
          <w:w w:val="105"/>
        </w:rPr>
        <w:t>de </w:t>
      </w:r>
      <w:r>
        <w:rPr>
          <w:color w:val="231F20"/>
          <w:spacing w:val="-3"/>
          <w:w w:val="105"/>
        </w:rPr>
        <w:t>Información Educativas </w:t>
      </w:r>
      <w:r>
        <w:rPr>
          <w:color w:val="231F20"/>
          <w:w w:val="105"/>
        </w:rPr>
        <w:t>en el </w:t>
      </w:r>
      <w:r>
        <w:rPr>
          <w:color w:val="231F20"/>
          <w:spacing w:val="-5"/>
          <w:w w:val="105"/>
        </w:rPr>
        <w:t>Tecnológico </w:t>
      </w:r>
      <w:r>
        <w:rPr>
          <w:color w:val="231F20"/>
          <w:spacing w:val="-3"/>
          <w:w w:val="105"/>
        </w:rPr>
        <w:t>de </w:t>
      </w:r>
      <w:r>
        <w:rPr>
          <w:color w:val="231F20"/>
          <w:spacing w:val="-4"/>
          <w:w w:val="105"/>
        </w:rPr>
        <w:t>Monterrey.</w:t>
      </w:r>
      <w:r>
        <w:rPr>
          <w:color w:val="231F20"/>
          <w:spacing w:val="-29"/>
          <w:w w:val="105"/>
        </w:rPr>
        <w:t> </w:t>
      </w:r>
      <w:r>
        <w:rPr>
          <w:color w:val="231F20"/>
          <w:spacing w:val="-4"/>
          <w:w w:val="105"/>
        </w:rPr>
        <w:t>Áreas</w:t>
      </w:r>
      <w:r>
        <w:rPr>
          <w:color w:val="231F20"/>
          <w:spacing w:val="-18"/>
          <w:w w:val="105"/>
        </w:rPr>
        <w:t> </w:t>
      </w:r>
      <w:r>
        <w:rPr>
          <w:color w:val="231F20"/>
          <w:w w:val="105"/>
        </w:rPr>
        <w:t>de</w:t>
      </w:r>
      <w:r>
        <w:rPr>
          <w:color w:val="231F20"/>
          <w:spacing w:val="-18"/>
          <w:w w:val="105"/>
        </w:rPr>
        <w:t> </w:t>
      </w:r>
      <w:r>
        <w:rPr>
          <w:color w:val="231F20"/>
          <w:spacing w:val="-3"/>
          <w:w w:val="105"/>
        </w:rPr>
        <w:t>Interés:</w:t>
      </w:r>
      <w:r>
        <w:rPr>
          <w:color w:val="231F20"/>
          <w:spacing w:val="-18"/>
          <w:w w:val="105"/>
        </w:rPr>
        <w:t> </w:t>
      </w:r>
      <w:r>
        <w:rPr>
          <w:color w:val="231F20"/>
          <w:spacing w:val="-4"/>
          <w:w w:val="105"/>
        </w:rPr>
        <w:t>Comercio</w:t>
      </w:r>
      <w:r>
        <w:rPr>
          <w:color w:val="231F20"/>
          <w:spacing w:val="-18"/>
          <w:w w:val="105"/>
        </w:rPr>
        <w:t> </w:t>
      </w:r>
      <w:r>
        <w:rPr>
          <w:color w:val="231F20"/>
          <w:spacing w:val="-3"/>
          <w:w w:val="105"/>
        </w:rPr>
        <w:t>Internacional,</w:t>
      </w:r>
      <w:r>
        <w:rPr>
          <w:color w:val="231F20"/>
          <w:spacing w:val="-25"/>
          <w:w w:val="105"/>
        </w:rPr>
        <w:t> </w:t>
      </w:r>
      <w:r>
        <w:rPr>
          <w:color w:val="231F20"/>
          <w:spacing w:val="-4"/>
          <w:w w:val="105"/>
        </w:rPr>
        <w:t>Comportamiento</w:t>
      </w:r>
      <w:r>
        <w:rPr>
          <w:color w:val="231F20"/>
          <w:spacing w:val="-18"/>
          <w:w w:val="105"/>
        </w:rPr>
        <w:t> </w:t>
      </w:r>
      <w:r>
        <w:rPr>
          <w:color w:val="231F20"/>
          <w:spacing w:val="-3"/>
          <w:w w:val="105"/>
        </w:rPr>
        <w:t>del Consumidor</w:t>
      </w:r>
      <w:r>
        <w:rPr>
          <w:color w:val="231F20"/>
          <w:spacing w:val="-26"/>
          <w:w w:val="105"/>
        </w:rPr>
        <w:t> </w:t>
      </w:r>
      <w:r>
        <w:rPr>
          <w:color w:val="231F20"/>
          <w:w w:val="105"/>
        </w:rPr>
        <w:t>y</w:t>
      </w:r>
      <w:r>
        <w:rPr>
          <w:color w:val="231F20"/>
          <w:spacing w:val="-26"/>
          <w:w w:val="105"/>
        </w:rPr>
        <w:t> </w:t>
      </w:r>
      <w:r>
        <w:rPr>
          <w:color w:val="231F20"/>
          <w:spacing w:val="-3"/>
          <w:w w:val="105"/>
        </w:rPr>
        <w:t>Mercadotecnia.</w:t>
      </w:r>
      <w:r>
        <w:rPr>
          <w:color w:val="231F20"/>
          <w:spacing w:val="-30"/>
          <w:w w:val="105"/>
        </w:rPr>
        <w:t> </w:t>
      </w:r>
      <w:r>
        <w:rPr>
          <w:color w:val="231F20"/>
          <w:spacing w:val="-4"/>
          <w:w w:val="105"/>
        </w:rPr>
        <w:t>Correo</w:t>
      </w:r>
      <w:r>
        <w:rPr>
          <w:color w:val="231F20"/>
          <w:spacing w:val="-26"/>
          <w:w w:val="105"/>
        </w:rPr>
        <w:t> </w:t>
      </w:r>
      <w:r>
        <w:rPr>
          <w:color w:val="231F20"/>
          <w:spacing w:val="-3"/>
          <w:w w:val="105"/>
        </w:rPr>
        <w:t>electrónico</w:t>
      </w:r>
      <w:r>
        <w:rPr>
          <w:color w:val="231F20"/>
          <w:spacing w:val="-26"/>
          <w:w w:val="105"/>
        </w:rPr>
        <w:t> </w:t>
      </w:r>
      <w:hyperlink r:id="rId141">
        <w:r>
          <w:rPr>
            <w:color w:val="231F20"/>
            <w:spacing w:val="-3"/>
            <w:w w:val="105"/>
          </w:rPr>
          <w:t>miguel.ocs@gmail.com</w:t>
        </w:r>
      </w:hyperlink>
    </w:p>
    <w:p>
      <w:pPr>
        <w:pStyle w:val="BodyText"/>
        <w:spacing w:before="6"/>
        <w:rPr>
          <w:sz w:val="22"/>
        </w:rPr>
      </w:pPr>
    </w:p>
    <w:p>
      <w:pPr>
        <w:pStyle w:val="BodyText"/>
        <w:spacing w:line="259" w:lineRule="auto"/>
        <w:ind w:left="103" w:right="114"/>
        <w:jc w:val="both"/>
      </w:pPr>
      <w:r>
        <w:rPr>
          <w:color w:val="231F20"/>
          <w:w w:val="105"/>
        </w:rPr>
        <w:t>Patricia</w:t>
      </w:r>
      <w:r>
        <w:rPr>
          <w:color w:val="231F20"/>
          <w:spacing w:val="-31"/>
          <w:w w:val="105"/>
        </w:rPr>
        <w:t> </w:t>
      </w:r>
      <w:r>
        <w:rPr>
          <w:color w:val="231F20"/>
          <w:w w:val="105"/>
        </w:rPr>
        <w:t>García</w:t>
      </w:r>
      <w:r>
        <w:rPr>
          <w:color w:val="231F20"/>
          <w:spacing w:val="-31"/>
          <w:w w:val="105"/>
        </w:rPr>
        <w:t> </w:t>
      </w:r>
      <w:r>
        <w:rPr>
          <w:color w:val="231F20"/>
          <w:w w:val="105"/>
        </w:rPr>
        <w:t>Hernández.</w:t>
      </w:r>
      <w:r>
        <w:rPr>
          <w:color w:val="231F20"/>
          <w:spacing w:val="-31"/>
          <w:w w:val="105"/>
        </w:rPr>
        <w:t> </w:t>
      </w:r>
      <w:r>
        <w:rPr>
          <w:color w:val="231F20"/>
          <w:w w:val="105"/>
        </w:rPr>
        <w:t>Ingeniera</w:t>
      </w:r>
      <w:r>
        <w:rPr>
          <w:color w:val="231F20"/>
          <w:spacing w:val="-33"/>
          <w:w w:val="105"/>
        </w:rPr>
        <w:t> </w:t>
      </w:r>
      <w:r>
        <w:rPr>
          <w:color w:val="231F20"/>
          <w:w w:val="105"/>
        </w:rPr>
        <w:t>Agrónoma</w:t>
      </w:r>
      <w:r>
        <w:rPr>
          <w:color w:val="231F20"/>
          <w:spacing w:val="-31"/>
          <w:w w:val="105"/>
        </w:rPr>
        <w:t> </w:t>
      </w:r>
      <w:r>
        <w:rPr>
          <w:color w:val="231F20"/>
          <w:w w:val="105"/>
        </w:rPr>
        <w:t>Fitotecnista,</w:t>
      </w:r>
      <w:r>
        <w:rPr>
          <w:color w:val="231F20"/>
          <w:spacing w:val="-34"/>
          <w:w w:val="105"/>
        </w:rPr>
        <w:t> </w:t>
      </w:r>
      <w:r>
        <w:rPr>
          <w:color w:val="231F20"/>
          <w:w w:val="105"/>
        </w:rPr>
        <w:t>Maestra</w:t>
      </w:r>
      <w:r>
        <w:rPr>
          <w:color w:val="231F20"/>
          <w:spacing w:val="-31"/>
          <w:w w:val="105"/>
        </w:rPr>
        <w:t> </w:t>
      </w:r>
      <w:r>
        <w:rPr>
          <w:color w:val="231F20"/>
          <w:w w:val="105"/>
        </w:rPr>
        <w:t>en Administración</w:t>
      </w:r>
      <w:r>
        <w:rPr>
          <w:color w:val="231F20"/>
          <w:spacing w:val="-13"/>
          <w:w w:val="105"/>
        </w:rPr>
        <w:t> </w:t>
      </w:r>
      <w:r>
        <w:rPr>
          <w:color w:val="231F20"/>
          <w:w w:val="105"/>
        </w:rPr>
        <w:t>y</w:t>
      </w:r>
      <w:r>
        <w:rPr>
          <w:color w:val="231F20"/>
          <w:spacing w:val="-13"/>
          <w:w w:val="105"/>
        </w:rPr>
        <w:t> </w:t>
      </w:r>
      <w:r>
        <w:rPr>
          <w:color w:val="231F20"/>
          <w:w w:val="105"/>
        </w:rPr>
        <w:t>Doctora</w:t>
      </w:r>
      <w:r>
        <w:rPr>
          <w:color w:val="231F20"/>
          <w:spacing w:val="-13"/>
          <w:w w:val="105"/>
        </w:rPr>
        <w:t> </w:t>
      </w:r>
      <w:r>
        <w:rPr>
          <w:color w:val="231F20"/>
          <w:w w:val="105"/>
        </w:rPr>
        <w:t>en</w:t>
      </w:r>
      <w:r>
        <w:rPr>
          <w:color w:val="231F20"/>
          <w:spacing w:val="-13"/>
          <w:w w:val="105"/>
        </w:rPr>
        <w:t> </w:t>
      </w:r>
      <w:r>
        <w:rPr>
          <w:color w:val="231F20"/>
          <w:w w:val="105"/>
        </w:rPr>
        <w:t>Ciencias</w:t>
      </w:r>
      <w:r>
        <w:rPr>
          <w:color w:val="231F20"/>
          <w:spacing w:val="-13"/>
          <w:w w:val="105"/>
        </w:rPr>
        <w:t> </w:t>
      </w:r>
      <w:r>
        <w:rPr>
          <w:color w:val="231F20"/>
          <w:w w:val="105"/>
        </w:rPr>
        <w:t>Económico-Administrativas</w:t>
      </w:r>
      <w:r>
        <w:rPr>
          <w:color w:val="231F20"/>
          <w:spacing w:val="-13"/>
          <w:w w:val="105"/>
        </w:rPr>
        <w:t> </w:t>
      </w:r>
      <w:r>
        <w:rPr>
          <w:color w:val="231F20"/>
          <w:w w:val="105"/>
        </w:rPr>
        <w:t>por</w:t>
      </w:r>
      <w:r>
        <w:rPr>
          <w:color w:val="231F20"/>
          <w:spacing w:val="-13"/>
          <w:w w:val="105"/>
        </w:rPr>
        <w:t> </w:t>
      </w:r>
      <w:r>
        <w:rPr>
          <w:color w:val="231F20"/>
          <w:w w:val="105"/>
        </w:rPr>
        <w:t>la</w:t>
      </w:r>
    </w:p>
    <w:p>
      <w:pPr>
        <w:pStyle w:val="BodyText"/>
        <w:rPr>
          <w:sz w:val="20"/>
        </w:rPr>
      </w:pPr>
    </w:p>
    <w:p>
      <w:pPr>
        <w:pStyle w:val="BodyText"/>
        <w:rPr>
          <w:sz w:val="20"/>
        </w:rPr>
      </w:pPr>
    </w:p>
    <w:p>
      <w:pPr>
        <w:pStyle w:val="BodyText"/>
        <w:spacing w:before="6"/>
        <w:rPr>
          <w:sz w:val="27"/>
        </w:rPr>
      </w:pPr>
    </w:p>
    <w:p>
      <w:pPr>
        <w:spacing w:before="59"/>
        <w:ind w:left="212" w:right="17" w:firstLine="0"/>
        <w:jc w:val="left"/>
        <w:rPr>
          <w:sz w:val="20"/>
        </w:rPr>
      </w:pPr>
      <w:r>
        <w:rPr/>
        <w:pict>
          <v:group style="position:absolute;margin-left:101.817299pt;margin-top:-18.173717pt;width:17.850pt;height:56.5pt;mso-position-horizontal-relative:page;mso-position-vertical-relative:paragraph;z-index:10888" coordorigin="2036,-363" coordsize="357,1130">
            <v:line style="position:absolute" from="2211,47" to="2211,763" stroked="true" strokeweight=".35pt" strokecolor="#231f20"/>
            <v:shape style="position:absolute;left:2036;top:-363;width:356;height:783" type="#_x0000_t75" stroked="false">
              <v:imagedata r:id="rId19" o:title=""/>
            </v:shape>
            <w10:wrap type="none"/>
          </v:group>
        </w:pict>
      </w:r>
      <w:r>
        <w:rPr>
          <w:color w:val="414042"/>
          <w:sz w:val="20"/>
        </w:rPr>
        <w:t>312</w:t>
      </w:r>
    </w:p>
    <w:p>
      <w:pPr>
        <w:spacing w:after="0"/>
        <w:jc w:val="left"/>
        <w:rPr>
          <w:sz w:val="20"/>
        </w:rPr>
        <w:sectPr>
          <w:pgSz w:w="9640" w:h="13890"/>
          <w:pgMar w:top="1300" w:bottom="0" w:left="1200" w:right="1300"/>
        </w:sectPr>
      </w:pPr>
    </w:p>
    <w:p>
      <w:pPr>
        <w:pStyle w:val="BodyText"/>
        <w:rPr>
          <w:sz w:val="20"/>
        </w:rPr>
      </w:pPr>
    </w:p>
    <w:p>
      <w:pPr>
        <w:pStyle w:val="BodyText"/>
        <w:spacing w:before="2"/>
        <w:rPr>
          <w:sz w:val="23"/>
        </w:rPr>
      </w:pPr>
    </w:p>
    <w:p>
      <w:pPr>
        <w:tabs>
          <w:tab w:pos="6971" w:val="right" w:leader="none"/>
        </w:tabs>
        <w:spacing w:before="52"/>
        <w:ind w:left="4742" w:right="0" w:firstLine="0"/>
        <w:jc w:val="left"/>
        <w:rPr>
          <w:sz w:val="20"/>
        </w:rPr>
      </w:pPr>
      <w:r>
        <w:rPr/>
        <w:pict>
          <v:line style="position:absolute;mso-position-horizontal-relative:page;mso-position-vertical-relative:paragraph;z-index:-237016" from="384.061005pt,-25.30427pt" to="384.061005pt,9.561580pt" stroked="true" strokeweight=".35pt" strokecolor="#231f20">
            <w10:wrap type="none"/>
          </v:line>
        </w:pict>
      </w:r>
      <w:r>
        <w:rPr>
          <w:rFonts w:ascii="Lucida Sans Unicode" w:hAnsi="Lucida Sans Unicode"/>
          <w:color w:val="6D6E71"/>
          <w:sz w:val="14"/>
        </w:rPr>
        <w:t>RESEÑAS</w:t>
      </w:r>
      <w:r>
        <w:rPr>
          <w:rFonts w:ascii="Lucida Sans Unicode" w:hAnsi="Lucida Sans Unicode"/>
          <w:color w:val="6D6E71"/>
          <w:spacing w:val="-18"/>
          <w:sz w:val="14"/>
        </w:rPr>
        <w:t> </w:t>
      </w:r>
      <w:r>
        <w:rPr>
          <w:rFonts w:ascii="Lucida Sans Unicode" w:hAnsi="Lucida Sans Unicode"/>
          <w:color w:val="6D6E71"/>
          <w:sz w:val="14"/>
        </w:rPr>
        <w:t>CURRICULARES</w:t>
      </w:r>
      <w:r>
        <w:rPr>
          <w:color w:val="414042"/>
          <w:position w:val="-3"/>
          <w:sz w:val="20"/>
        </w:rPr>
        <w:tab/>
        <w:t>313</w:t>
      </w:r>
    </w:p>
    <w:p>
      <w:pPr>
        <w:pStyle w:val="BodyText"/>
        <w:rPr>
          <w:sz w:val="20"/>
        </w:rPr>
      </w:pPr>
    </w:p>
    <w:p>
      <w:pPr>
        <w:pStyle w:val="BodyText"/>
        <w:rPr>
          <w:sz w:val="20"/>
        </w:rPr>
      </w:pPr>
    </w:p>
    <w:p>
      <w:pPr>
        <w:pStyle w:val="BodyText"/>
        <w:spacing w:line="259" w:lineRule="auto" w:before="176"/>
        <w:ind w:left="117" w:right="121"/>
        <w:jc w:val="both"/>
      </w:pPr>
      <w:r>
        <w:rPr>
          <w:color w:val="231F20"/>
          <w:w w:val="105"/>
        </w:rPr>
        <w:t>Universidad Autónoma del Estado de México. Instructora empresarial certificada</w:t>
      </w:r>
      <w:r>
        <w:rPr>
          <w:color w:val="231F20"/>
          <w:spacing w:val="-26"/>
          <w:w w:val="105"/>
        </w:rPr>
        <w:t> </w:t>
      </w:r>
      <w:r>
        <w:rPr>
          <w:color w:val="231F20"/>
          <w:w w:val="105"/>
        </w:rPr>
        <w:t>por</w:t>
      </w:r>
      <w:r>
        <w:rPr>
          <w:color w:val="231F20"/>
          <w:spacing w:val="-26"/>
          <w:w w:val="105"/>
        </w:rPr>
        <w:t> </w:t>
      </w:r>
      <w:r>
        <w:rPr>
          <w:color w:val="231F20"/>
          <w:w w:val="105"/>
        </w:rPr>
        <w:t>Nafin</w:t>
      </w:r>
      <w:r>
        <w:rPr>
          <w:color w:val="231F20"/>
          <w:spacing w:val="-26"/>
          <w:w w:val="105"/>
        </w:rPr>
        <w:t> </w:t>
      </w:r>
      <w:r>
        <w:rPr>
          <w:color w:val="231F20"/>
          <w:w w:val="105"/>
        </w:rPr>
        <w:t>y</w:t>
      </w:r>
      <w:r>
        <w:rPr>
          <w:color w:val="231F20"/>
          <w:spacing w:val="-26"/>
          <w:w w:val="105"/>
        </w:rPr>
        <w:t> </w:t>
      </w:r>
      <w:r>
        <w:rPr>
          <w:color w:val="231F20"/>
          <w:w w:val="105"/>
        </w:rPr>
        <w:t>la</w:t>
      </w:r>
      <w:r>
        <w:rPr>
          <w:color w:val="231F20"/>
          <w:spacing w:val="-26"/>
          <w:w w:val="105"/>
        </w:rPr>
        <w:t> </w:t>
      </w:r>
      <w:r>
        <w:rPr>
          <w:color w:val="231F20"/>
          <w:w w:val="105"/>
        </w:rPr>
        <w:t>UAEMex,</w:t>
      </w:r>
      <w:r>
        <w:rPr>
          <w:color w:val="231F20"/>
          <w:spacing w:val="-31"/>
          <w:w w:val="105"/>
        </w:rPr>
        <w:t> </w:t>
      </w:r>
      <w:r>
        <w:rPr>
          <w:color w:val="231F20"/>
          <w:w w:val="105"/>
        </w:rPr>
        <w:t>Consultora</w:t>
      </w:r>
      <w:r>
        <w:rPr>
          <w:color w:val="231F20"/>
          <w:spacing w:val="-26"/>
          <w:w w:val="105"/>
        </w:rPr>
        <w:t> </w:t>
      </w:r>
      <w:r>
        <w:rPr>
          <w:color w:val="231F20"/>
          <w:w w:val="105"/>
        </w:rPr>
        <w:t>empresarial</w:t>
      </w:r>
      <w:r>
        <w:rPr>
          <w:color w:val="231F20"/>
          <w:spacing w:val="-26"/>
          <w:w w:val="105"/>
        </w:rPr>
        <w:t> </w:t>
      </w:r>
      <w:r>
        <w:rPr>
          <w:color w:val="231F20"/>
          <w:w w:val="105"/>
        </w:rPr>
        <w:t>certificada</w:t>
      </w:r>
      <w:r>
        <w:rPr>
          <w:color w:val="231F20"/>
          <w:spacing w:val="-26"/>
          <w:w w:val="105"/>
        </w:rPr>
        <w:t> </w:t>
      </w:r>
      <w:r>
        <w:rPr>
          <w:color w:val="231F20"/>
          <w:w w:val="105"/>
        </w:rPr>
        <w:t>por CONOCER.</w:t>
      </w:r>
      <w:r>
        <w:rPr>
          <w:color w:val="231F20"/>
          <w:spacing w:val="-23"/>
          <w:w w:val="105"/>
        </w:rPr>
        <w:t> </w:t>
      </w:r>
      <w:r>
        <w:rPr>
          <w:color w:val="231F20"/>
          <w:w w:val="105"/>
        </w:rPr>
        <w:t>Coordinadora</w:t>
      </w:r>
      <w:r>
        <w:rPr>
          <w:color w:val="231F20"/>
          <w:spacing w:val="-19"/>
          <w:w w:val="105"/>
        </w:rPr>
        <w:t> </w:t>
      </w:r>
      <w:r>
        <w:rPr>
          <w:color w:val="231F20"/>
          <w:w w:val="105"/>
        </w:rPr>
        <w:t>de</w:t>
      </w:r>
      <w:r>
        <w:rPr>
          <w:color w:val="231F20"/>
          <w:spacing w:val="-19"/>
          <w:w w:val="105"/>
        </w:rPr>
        <w:t> </w:t>
      </w:r>
      <w:r>
        <w:rPr>
          <w:color w:val="231F20"/>
          <w:w w:val="105"/>
        </w:rPr>
        <w:t>Desarrollo</w:t>
      </w:r>
      <w:r>
        <w:rPr>
          <w:color w:val="231F20"/>
          <w:spacing w:val="-19"/>
          <w:w w:val="105"/>
        </w:rPr>
        <w:t> </w:t>
      </w:r>
      <w:r>
        <w:rPr>
          <w:color w:val="231F20"/>
          <w:w w:val="105"/>
        </w:rPr>
        <w:t>Empresarial</w:t>
      </w:r>
      <w:r>
        <w:rPr>
          <w:color w:val="231F20"/>
          <w:spacing w:val="-19"/>
          <w:w w:val="105"/>
        </w:rPr>
        <w:t> </w:t>
      </w:r>
      <w:r>
        <w:rPr>
          <w:color w:val="231F20"/>
          <w:w w:val="105"/>
        </w:rPr>
        <w:t>del</w:t>
      </w:r>
      <w:r>
        <w:rPr>
          <w:color w:val="231F20"/>
          <w:spacing w:val="-19"/>
          <w:w w:val="105"/>
        </w:rPr>
        <w:t> </w:t>
      </w:r>
      <w:r>
        <w:rPr>
          <w:color w:val="231F20"/>
          <w:w w:val="105"/>
        </w:rPr>
        <w:t>Centro</w:t>
      </w:r>
      <w:r>
        <w:rPr>
          <w:color w:val="231F20"/>
          <w:spacing w:val="-19"/>
          <w:w w:val="105"/>
        </w:rPr>
        <w:t> </w:t>
      </w:r>
      <w:r>
        <w:rPr>
          <w:color w:val="231F20"/>
          <w:w w:val="105"/>
        </w:rPr>
        <w:t>Univer- sitario</w:t>
      </w:r>
      <w:r>
        <w:rPr>
          <w:color w:val="231F20"/>
          <w:spacing w:val="-31"/>
          <w:w w:val="105"/>
        </w:rPr>
        <w:t> </w:t>
      </w:r>
      <w:r>
        <w:rPr>
          <w:color w:val="231F20"/>
          <w:w w:val="105"/>
        </w:rPr>
        <w:t>UAEMex</w:t>
      </w:r>
      <w:r>
        <w:rPr>
          <w:color w:val="231F20"/>
          <w:spacing w:val="-34"/>
          <w:w w:val="105"/>
        </w:rPr>
        <w:t> </w:t>
      </w:r>
      <w:r>
        <w:rPr>
          <w:color w:val="231F20"/>
          <w:w w:val="105"/>
        </w:rPr>
        <w:t>Temascaltepec.</w:t>
      </w:r>
      <w:r>
        <w:rPr>
          <w:color w:val="231F20"/>
          <w:spacing w:val="-37"/>
          <w:w w:val="105"/>
        </w:rPr>
        <w:t> </w:t>
      </w:r>
      <w:r>
        <w:rPr>
          <w:color w:val="231F20"/>
          <w:w w:val="105"/>
        </w:rPr>
        <w:t>Asesora</w:t>
      </w:r>
      <w:r>
        <w:rPr>
          <w:color w:val="231F20"/>
          <w:spacing w:val="-31"/>
          <w:w w:val="105"/>
        </w:rPr>
        <w:t> </w:t>
      </w:r>
      <w:r>
        <w:rPr>
          <w:color w:val="231F20"/>
          <w:w w:val="105"/>
        </w:rPr>
        <w:t>de</w:t>
      </w:r>
      <w:r>
        <w:rPr>
          <w:color w:val="231F20"/>
          <w:spacing w:val="-31"/>
          <w:w w:val="105"/>
        </w:rPr>
        <w:t> </w:t>
      </w:r>
      <w:r>
        <w:rPr>
          <w:color w:val="231F20"/>
          <w:w w:val="105"/>
        </w:rPr>
        <w:t>negocios</w:t>
      </w:r>
      <w:r>
        <w:rPr>
          <w:color w:val="231F20"/>
          <w:spacing w:val="-31"/>
          <w:w w:val="105"/>
        </w:rPr>
        <w:t> </w:t>
      </w:r>
      <w:r>
        <w:rPr>
          <w:color w:val="231F20"/>
          <w:w w:val="105"/>
        </w:rPr>
        <w:t>en</w:t>
      </w:r>
      <w:r>
        <w:rPr>
          <w:color w:val="231F20"/>
          <w:spacing w:val="-31"/>
          <w:w w:val="105"/>
        </w:rPr>
        <w:t> </w:t>
      </w:r>
      <w:r>
        <w:rPr>
          <w:color w:val="231F20"/>
          <w:w w:val="105"/>
        </w:rPr>
        <w:t>las</w:t>
      </w:r>
      <w:r>
        <w:rPr>
          <w:color w:val="231F20"/>
          <w:spacing w:val="-31"/>
          <w:w w:val="105"/>
        </w:rPr>
        <w:t> </w:t>
      </w:r>
      <w:r>
        <w:rPr>
          <w:color w:val="231F20"/>
          <w:w w:val="105"/>
        </w:rPr>
        <w:t>incubadoras de</w:t>
      </w:r>
      <w:r>
        <w:rPr>
          <w:color w:val="231F20"/>
          <w:spacing w:val="-6"/>
          <w:w w:val="105"/>
        </w:rPr>
        <w:t> </w:t>
      </w:r>
      <w:r>
        <w:rPr>
          <w:color w:val="231F20"/>
          <w:w w:val="105"/>
        </w:rPr>
        <w:t>empresas</w:t>
      </w:r>
      <w:r>
        <w:rPr>
          <w:color w:val="231F20"/>
          <w:spacing w:val="-6"/>
          <w:w w:val="105"/>
        </w:rPr>
        <w:t> </w:t>
      </w:r>
      <w:r>
        <w:rPr>
          <w:color w:val="231F20"/>
          <w:w w:val="105"/>
        </w:rPr>
        <w:t>UAEMex</w:t>
      </w:r>
      <w:r>
        <w:rPr>
          <w:color w:val="231F20"/>
          <w:spacing w:val="-10"/>
          <w:w w:val="105"/>
        </w:rPr>
        <w:t> </w:t>
      </w:r>
      <w:r>
        <w:rPr>
          <w:color w:val="231F20"/>
          <w:spacing w:val="-3"/>
          <w:w w:val="105"/>
        </w:rPr>
        <w:t>Tenancingo</w:t>
      </w:r>
      <w:r>
        <w:rPr>
          <w:color w:val="231F20"/>
          <w:spacing w:val="-6"/>
          <w:w w:val="105"/>
        </w:rPr>
        <w:t> </w:t>
      </w:r>
      <w:r>
        <w:rPr>
          <w:color w:val="231F20"/>
          <w:w w:val="105"/>
        </w:rPr>
        <w:t>y</w:t>
      </w:r>
      <w:r>
        <w:rPr>
          <w:color w:val="231F20"/>
          <w:spacing w:val="-10"/>
          <w:w w:val="105"/>
        </w:rPr>
        <w:t> </w:t>
      </w:r>
      <w:r>
        <w:rPr>
          <w:color w:val="231F20"/>
          <w:w w:val="105"/>
        </w:rPr>
        <w:t>Temascaltepec.</w:t>
      </w:r>
      <w:r>
        <w:rPr>
          <w:color w:val="231F20"/>
          <w:spacing w:val="-11"/>
          <w:w w:val="105"/>
        </w:rPr>
        <w:t> </w:t>
      </w:r>
      <w:r>
        <w:rPr>
          <w:color w:val="231F20"/>
          <w:w w:val="105"/>
        </w:rPr>
        <w:t>Ha</w:t>
      </w:r>
      <w:r>
        <w:rPr>
          <w:color w:val="231F20"/>
          <w:spacing w:val="-6"/>
          <w:w w:val="105"/>
        </w:rPr>
        <w:t> </w:t>
      </w:r>
      <w:r>
        <w:rPr>
          <w:color w:val="231F20"/>
          <w:w w:val="105"/>
        </w:rPr>
        <w:t>participado</w:t>
      </w:r>
      <w:r>
        <w:rPr>
          <w:color w:val="231F20"/>
          <w:spacing w:val="-6"/>
          <w:w w:val="105"/>
        </w:rPr>
        <w:t> </w:t>
      </w:r>
      <w:r>
        <w:rPr>
          <w:color w:val="231F20"/>
          <w:w w:val="105"/>
        </w:rPr>
        <w:t>en congresos</w:t>
      </w:r>
      <w:r>
        <w:rPr>
          <w:color w:val="231F20"/>
          <w:spacing w:val="-21"/>
          <w:w w:val="105"/>
        </w:rPr>
        <w:t> </w:t>
      </w:r>
      <w:r>
        <w:rPr>
          <w:color w:val="231F20"/>
          <w:w w:val="105"/>
        </w:rPr>
        <w:t>y</w:t>
      </w:r>
      <w:r>
        <w:rPr>
          <w:color w:val="231F20"/>
          <w:spacing w:val="-21"/>
          <w:w w:val="105"/>
        </w:rPr>
        <w:t> </w:t>
      </w:r>
      <w:r>
        <w:rPr>
          <w:color w:val="231F20"/>
          <w:w w:val="105"/>
        </w:rPr>
        <w:t>publicado</w:t>
      </w:r>
      <w:r>
        <w:rPr>
          <w:color w:val="231F20"/>
          <w:spacing w:val="-21"/>
          <w:w w:val="105"/>
        </w:rPr>
        <w:t> </w:t>
      </w:r>
      <w:r>
        <w:rPr>
          <w:color w:val="231F20"/>
          <w:w w:val="105"/>
        </w:rPr>
        <w:t>en</w:t>
      </w:r>
      <w:r>
        <w:rPr>
          <w:color w:val="231F20"/>
          <w:spacing w:val="-21"/>
          <w:w w:val="105"/>
        </w:rPr>
        <w:t> </w:t>
      </w:r>
      <w:r>
        <w:rPr>
          <w:color w:val="231F20"/>
          <w:w w:val="105"/>
        </w:rPr>
        <w:t>revistas</w:t>
      </w:r>
      <w:r>
        <w:rPr>
          <w:color w:val="231F20"/>
          <w:spacing w:val="-21"/>
          <w:w w:val="105"/>
        </w:rPr>
        <w:t> </w:t>
      </w:r>
      <w:r>
        <w:rPr>
          <w:color w:val="231F20"/>
          <w:w w:val="105"/>
        </w:rPr>
        <w:t>nacionales</w:t>
      </w:r>
      <w:r>
        <w:rPr>
          <w:color w:val="231F20"/>
          <w:spacing w:val="-21"/>
          <w:w w:val="105"/>
        </w:rPr>
        <w:t> </w:t>
      </w:r>
      <w:r>
        <w:rPr>
          <w:color w:val="231F20"/>
          <w:w w:val="105"/>
        </w:rPr>
        <w:t>e</w:t>
      </w:r>
      <w:r>
        <w:rPr>
          <w:color w:val="231F20"/>
          <w:spacing w:val="-21"/>
          <w:w w:val="105"/>
        </w:rPr>
        <w:t> </w:t>
      </w:r>
      <w:r>
        <w:rPr>
          <w:color w:val="231F20"/>
          <w:w w:val="105"/>
        </w:rPr>
        <w:t>internacionales</w:t>
      </w:r>
      <w:r>
        <w:rPr>
          <w:color w:val="231F20"/>
          <w:spacing w:val="-21"/>
          <w:w w:val="105"/>
        </w:rPr>
        <w:t> </w:t>
      </w:r>
      <w:r>
        <w:rPr>
          <w:color w:val="231F20"/>
          <w:w w:val="105"/>
        </w:rPr>
        <w:t>sobre</w:t>
      </w:r>
      <w:r>
        <w:rPr>
          <w:color w:val="231F20"/>
          <w:spacing w:val="-21"/>
          <w:w w:val="105"/>
        </w:rPr>
        <w:t> </w:t>
      </w:r>
      <w:r>
        <w:rPr>
          <w:color w:val="231F20"/>
          <w:w w:val="105"/>
        </w:rPr>
        <w:t>te- máticas</w:t>
      </w:r>
      <w:r>
        <w:rPr>
          <w:color w:val="231F20"/>
          <w:spacing w:val="-28"/>
          <w:w w:val="105"/>
        </w:rPr>
        <w:t> </w:t>
      </w:r>
      <w:r>
        <w:rPr>
          <w:color w:val="231F20"/>
          <w:w w:val="105"/>
        </w:rPr>
        <w:t>de</w:t>
      </w:r>
      <w:r>
        <w:rPr>
          <w:color w:val="231F20"/>
          <w:spacing w:val="-28"/>
          <w:w w:val="105"/>
        </w:rPr>
        <w:t> </w:t>
      </w:r>
      <w:r>
        <w:rPr>
          <w:color w:val="231F20"/>
          <w:w w:val="105"/>
        </w:rPr>
        <w:t>Responsabilidad</w:t>
      </w:r>
      <w:r>
        <w:rPr>
          <w:color w:val="231F20"/>
          <w:spacing w:val="-28"/>
          <w:w w:val="105"/>
        </w:rPr>
        <w:t> </w:t>
      </w:r>
      <w:r>
        <w:rPr>
          <w:color w:val="231F20"/>
          <w:w w:val="105"/>
        </w:rPr>
        <w:t>Social</w:t>
      </w:r>
      <w:r>
        <w:rPr>
          <w:color w:val="231F20"/>
          <w:spacing w:val="-28"/>
          <w:w w:val="105"/>
        </w:rPr>
        <w:t> </w:t>
      </w:r>
      <w:r>
        <w:rPr>
          <w:color w:val="231F20"/>
          <w:w w:val="105"/>
        </w:rPr>
        <w:t>Empresarial,</w:t>
      </w:r>
      <w:r>
        <w:rPr>
          <w:color w:val="231F20"/>
          <w:spacing w:val="-31"/>
          <w:w w:val="105"/>
        </w:rPr>
        <w:t> </w:t>
      </w:r>
      <w:r>
        <w:rPr>
          <w:color w:val="231F20"/>
          <w:w w:val="105"/>
        </w:rPr>
        <w:t>Sustentabilidad</w:t>
      </w:r>
      <w:r>
        <w:rPr>
          <w:color w:val="231F20"/>
          <w:spacing w:val="-28"/>
          <w:w w:val="105"/>
        </w:rPr>
        <w:t> </w:t>
      </w:r>
      <w:r>
        <w:rPr>
          <w:color w:val="231F20"/>
          <w:w w:val="105"/>
        </w:rPr>
        <w:t>Organi- zacional</w:t>
      </w:r>
      <w:r>
        <w:rPr>
          <w:color w:val="231F20"/>
          <w:spacing w:val="-22"/>
          <w:w w:val="105"/>
        </w:rPr>
        <w:t> </w:t>
      </w:r>
      <w:r>
        <w:rPr>
          <w:color w:val="231F20"/>
          <w:w w:val="105"/>
        </w:rPr>
        <w:t>y</w:t>
      </w:r>
      <w:r>
        <w:rPr>
          <w:color w:val="231F20"/>
          <w:spacing w:val="-22"/>
          <w:w w:val="105"/>
        </w:rPr>
        <w:t> </w:t>
      </w:r>
      <w:r>
        <w:rPr>
          <w:color w:val="231F20"/>
          <w:w w:val="105"/>
        </w:rPr>
        <w:t>Emprendimiento,</w:t>
      </w:r>
      <w:r>
        <w:rPr>
          <w:color w:val="231F20"/>
          <w:spacing w:val="-27"/>
          <w:w w:val="105"/>
        </w:rPr>
        <w:t> </w:t>
      </w:r>
      <w:r>
        <w:rPr>
          <w:color w:val="231F20"/>
          <w:w w:val="105"/>
        </w:rPr>
        <w:t>entre</w:t>
      </w:r>
      <w:r>
        <w:rPr>
          <w:color w:val="231F20"/>
          <w:spacing w:val="-22"/>
          <w:w w:val="105"/>
        </w:rPr>
        <w:t> </w:t>
      </w:r>
      <w:r>
        <w:rPr>
          <w:color w:val="231F20"/>
          <w:w w:val="105"/>
        </w:rPr>
        <w:t>otros.</w:t>
      </w:r>
    </w:p>
    <w:p>
      <w:pPr>
        <w:pStyle w:val="BodyText"/>
        <w:spacing w:before="6"/>
        <w:rPr>
          <w:sz w:val="22"/>
        </w:rPr>
      </w:pPr>
    </w:p>
    <w:p>
      <w:pPr>
        <w:pStyle w:val="BodyText"/>
        <w:spacing w:line="259" w:lineRule="auto"/>
        <w:ind w:left="117" w:right="121"/>
        <w:jc w:val="both"/>
      </w:pPr>
      <w:r>
        <w:rPr>
          <w:color w:val="231F20"/>
          <w:w w:val="105"/>
        </w:rPr>
        <w:t>Patricia</w:t>
      </w:r>
      <w:r>
        <w:rPr>
          <w:color w:val="231F20"/>
          <w:spacing w:val="-17"/>
          <w:w w:val="105"/>
        </w:rPr>
        <w:t> </w:t>
      </w:r>
      <w:r>
        <w:rPr>
          <w:color w:val="231F20"/>
          <w:w w:val="105"/>
        </w:rPr>
        <w:t>Jiménez</w:t>
      </w:r>
      <w:r>
        <w:rPr>
          <w:color w:val="231F20"/>
          <w:spacing w:val="-20"/>
          <w:w w:val="105"/>
        </w:rPr>
        <w:t> </w:t>
      </w:r>
      <w:r>
        <w:rPr>
          <w:color w:val="231F20"/>
          <w:spacing w:val="-3"/>
          <w:w w:val="105"/>
        </w:rPr>
        <w:t>Terrazas.</w:t>
      </w:r>
      <w:r>
        <w:rPr>
          <w:color w:val="231F20"/>
          <w:spacing w:val="-16"/>
          <w:w w:val="105"/>
        </w:rPr>
        <w:t> </w:t>
      </w:r>
      <w:r>
        <w:rPr>
          <w:color w:val="231F20"/>
          <w:w w:val="105"/>
        </w:rPr>
        <w:t>Doctora</w:t>
      </w:r>
      <w:r>
        <w:rPr>
          <w:color w:val="231F20"/>
          <w:spacing w:val="-16"/>
          <w:w w:val="105"/>
        </w:rPr>
        <w:t> </w:t>
      </w:r>
      <w:r>
        <w:rPr>
          <w:color w:val="231F20"/>
          <w:w w:val="105"/>
        </w:rPr>
        <w:t>en</w:t>
      </w:r>
      <w:r>
        <w:rPr>
          <w:color w:val="231F20"/>
          <w:spacing w:val="-16"/>
          <w:w w:val="105"/>
        </w:rPr>
        <w:t> </w:t>
      </w:r>
      <w:r>
        <w:rPr>
          <w:color w:val="231F20"/>
          <w:w w:val="105"/>
        </w:rPr>
        <w:t>Ciencias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8"/>
          <w:w w:val="105"/>
        </w:rPr>
        <w:t> </w:t>
      </w:r>
      <w:r>
        <w:rPr>
          <w:color w:val="231F20"/>
          <w:w w:val="105"/>
        </w:rPr>
        <w:t>Administración</w:t>
      </w:r>
      <w:r>
        <w:rPr>
          <w:color w:val="231F20"/>
          <w:spacing w:val="-16"/>
          <w:w w:val="105"/>
        </w:rPr>
        <w:t> </w:t>
      </w:r>
      <w:r>
        <w:rPr>
          <w:color w:val="231F20"/>
          <w:w w:val="105"/>
        </w:rPr>
        <w:t>por la</w:t>
      </w:r>
      <w:r>
        <w:rPr>
          <w:color w:val="231F20"/>
          <w:spacing w:val="-6"/>
          <w:w w:val="105"/>
        </w:rPr>
        <w:t> </w:t>
      </w:r>
      <w:r>
        <w:rPr>
          <w:color w:val="231F20"/>
          <w:w w:val="105"/>
        </w:rPr>
        <w:t>Universidad</w:t>
      </w:r>
      <w:r>
        <w:rPr>
          <w:color w:val="231F20"/>
          <w:spacing w:val="-6"/>
          <w:w w:val="105"/>
        </w:rPr>
        <w:t> </w:t>
      </w:r>
      <w:r>
        <w:rPr>
          <w:color w:val="231F20"/>
          <w:w w:val="105"/>
        </w:rPr>
        <w:t>Nacional</w:t>
      </w:r>
      <w:r>
        <w:rPr>
          <w:color w:val="231F20"/>
          <w:spacing w:val="-9"/>
          <w:w w:val="105"/>
        </w:rPr>
        <w:t> </w:t>
      </w:r>
      <w:r>
        <w:rPr>
          <w:color w:val="231F20"/>
          <w:w w:val="105"/>
        </w:rPr>
        <w:t>Autónoma</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11"/>
          <w:w w:val="105"/>
        </w:rPr>
        <w:t> </w:t>
      </w:r>
      <w:r>
        <w:rPr>
          <w:color w:val="231F20"/>
          <w:w w:val="105"/>
        </w:rPr>
        <w:t>Docente</w:t>
      </w:r>
      <w:r>
        <w:rPr>
          <w:color w:val="231F20"/>
          <w:spacing w:val="-6"/>
          <w:w w:val="105"/>
        </w:rPr>
        <w:t> </w:t>
      </w:r>
      <w:r>
        <w:rPr>
          <w:color w:val="231F20"/>
          <w:w w:val="105"/>
        </w:rPr>
        <w:t>e</w:t>
      </w:r>
      <w:r>
        <w:rPr>
          <w:color w:val="231F20"/>
          <w:spacing w:val="-6"/>
          <w:w w:val="105"/>
        </w:rPr>
        <w:t> </w:t>
      </w:r>
      <w:r>
        <w:rPr>
          <w:color w:val="231F20"/>
          <w:w w:val="105"/>
        </w:rPr>
        <w:t>Investigadora del</w:t>
      </w:r>
      <w:r>
        <w:rPr>
          <w:color w:val="231F20"/>
          <w:spacing w:val="-17"/>
          <w:w w:val="105"/>
        </w:rPr>
        <w:t> </w:t>
      </w:r>
      <w:r>
        <w:rPr>
          <w:color w:val="231F20"/>
          <w:w w:val="105"/>
        </w:rPr>
        <w:t>Instituto</w:t>
      </w:r>
      <w:r>
        <w:rPr>
          <w:color w:val="231F20"/>
          <w:spacing w:val="-17"/>
          <w:w w:val="105"/>
        </w:rPr>
        <w:t> </w:t>
      </w:r>
      <w:r>
        <w:rPr>
          <w:color w:val="231F20"/>
          <w:w w:val="105"/>
        </w:rPr>
        <w:t>de</w:t>
      </w:r>
      <w:r>
        <w:rPr>
          <w:color w:val="231F20"/>
          <w:spacing w:val="-17"/>
          <w:w w:val="105"/>
        </w:rPr>
        <w:t> </w:t>
      </w:r>
      <w:r>
        <w:rPr>
          <w:color w:val="231F20"/>
          <w:w w:val="105"/>
        </w:rPr>
        <w:t>Ciencias</w:t>
      </w:r>
      <w:r>
        <w:rPr>
          <w:color w:val="231F20"/>
          <w:spacing w:val="-17"/>
          <w:w w:val="105"/>
        </w:rPr>
        <w:t> </w:t>
      </w:r>
      <w:r>
        <w:rPr>
          <w:color w:val="231F20"/>
          <w:w w:val="105"/>
        </w:rPr>
        <w:t>Sociales</w:t>
      </w:r>
      <w:r>
        <w:rPr>
          <w:color w:val="231F20"/>
          <w:spacing w:val="-17"/>
          <w:w w:val="105"/>
        </w:rPr>
        <w:t> </w:t>
      </w:r>
      <w:r>
        <w:rPr>
          <w:color w:val="231F20"/>
          <w:w w:val="105"/>
        </w:rPr>
        <w:t>y</w:t>
      </w:r>
      <w:r>
        <w:rPr>
          <w:color w:val="231F20"/>
          <w:spacing w:val="-20"/>
          <w:w w:val="105"/>
        </w:rPr>
        <w:t> </w:t>
      </w:r>
      <w:r>
        <w:rPr>
          <w:color w:val="231F20"/>
          <w:w w:val="105"/>
        </w:rPr>
        <w:t>Administración</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Universidad</w:t>
      </w:r>
      <w:r>
        <w:rPr>
          <w:color w:val="231F20"/>
          <w:spacing w:val="-20"/>
          <w:w w:val="105"/>
        </w:rPr>
        <w:t> </w:t>
      </w:r>
      <w:r>
        <w:rPr>
          <w:color w:val="231F20"/>
          <w:w w:val="105"/>
        </w:rPr>
        <w:t>Au- tónoma de Ciudad Juárez, en donde también coordina el Doctorado</w:t>
      </w:r>
      <w:r>
        <w:rPr>
          <w:color w:val="231F20"/>
          <w:spacing w:val="-27"/>
          <w:w w:val="105"/>
        </w:rPr>
        <w:t> </w:t>
      </w:r>
      <w:r>
        <w:rPr>
          <w:color w:val="231F20"/>
          <w:w w:val="105"/>
        </w:rPr>
        <w:t>en </w:t>
      </w:r>
      <w:r>
        <w:rPr>
          <w:color w:val="231F20"/>
        </w:rPr>
        <w:t>Ciencias Administrativas (PNPC-Conacyt). </w:t>
      </w:r>
      <w:r>
        <w:rPr>
          <w:color w:val="231F20"/>
          <w:spacing w:val="-3"/>
        </w:rPr>
        <w:t>Pertenece </w:t>
      </w:r>
      <w:r>
        <w:rPr>
          <w:color w:val="231F20"/>
        </w:rPr>
        <w:t>al Cuerpo Académi- </w:t>
      </w:r>
      <w:r>
        <w:rPr>
          <w:color w:val="231F20"/>
          <w:w w:val="105"/>
        </w:rPr>
        <w:t>co</w:t>
      </w:r>
      <w:r>
        <w:rPr>
          <w:color w:val="231F20"/>
          <w:spacing w:val="-5"/>
          <w:w w:val="105"/>
        </w:rPr>
        <w:t> </w:t>
      </w:r>
      <w:r>
        <w:rPr>
          <w:color w:val="231F20"/>
          <w:w w:val="105"/>
        </w:rPr>
        <w:t>Estudios</w:t>
      </w:r>
      <w:r>
        <w:rPr>
          <w:color w:val="231F20"/>
          <w:spacing w:val="-5"/>
          <w:w w:val="105"/>
        </w:rPr>
        <w:t> </w:t>
      </w:r>
      <w:r>
        <w:rPr>
          <w:color w:val="231F20"/>
          <w:w w:val="105"/>
        </w:rPr>
        <w:t>de</w:t>
      </w:r>
      <w:r>
        <w:rPr>
          <w:color w:val="231F20"/>
          <w:spacing w:val="-5"/>
          <w:w w:val="105"/>
        </w:rPr>
        <w:t> </w:t>
      </w:r>
      <w:r>
        <w:rPr>
          <w:color w:val="231F20"/>
          <w:w w:val="105"/>
        </w:rPr>
        <w:t>Comunicación</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7"/>
          <w:w w:val="105"/>
        </w:rPr>
        <w:t> </w:t>
      </w:r>
      <w:r>
        <w:rPr>
          <w:color w:val="231F20"/>
          <w:w w:val="105"/>
        </w:rPr>
        <w:t>Ámbito</w:t>
      </w:r>
      <w:r>
        <w:rPr>
          <w:color w:val="231F20"/>
          <w:spacing w:val="-5"/>
          <w:w w:val="105"/>
        </w:rPr>
        <w:t> </w:t>
      </w:r>
      <w:r>
        <w:rPr>
          <w:color w:val="231F20"/>
          <w:w w:val="105"/>
        </w:rPr>
        <w:t>Laboral</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Sociedad</w:t>
      </w:r>
      <w:r>
        <w:rPr>
          <w:color w:val="231F20"/>
          <w:spacing w:val="-5"/>
          <w:w w:val="105"/>
        </w:rPr>
        <w:t> </w:t>
      </w:r>
      <w:r>
        <w:rPr>
          <w:color w:val="231F20"/>
          <w:w w:val="105"/>
        </w:rPr>
        <w:t>y</w:t>
      </w:r>
      <w:r>
        <w:rPr>
          <w:color w:val="231F20"/>
          <w:spacing w:val="-5"/>
          <w:w w:val="105"/>
        </w:rPr>
        <w:t> </w:t>
      </w:r>
      <w:r>
        <w:rPr>
          <w:color w:val="231F20"/>
          <w:w w:val="105"/>
        </w:rPr>
        <w:t>a</w:t>
      </w:r>
      <w:r>
        <w:rPr>
          <w:color w:val="231F20"/>
          <w:spacing w:val="-5"/>
          <w:w w:val="105"/>
        </w:rPr>
        <w:t> </w:t>
      </w:r>
      <w:r>
        <w:rPr>
          <w:color w:val="231F20"/>
          <w:w w:val="105"/>
        </w:rPr>
        <w:t>la Línea</w:t>
      </w:r>
      <w:r>
        <w:rPr>
          <w:color w:val="231F20"/>
          <w:spacing w:val="-33"/>
          <w:w w:val="105"/>
        </w:rPr>
        <w:t> </w:t>
      </w:r>
      <w:r>
        <w:rPr>
          <w:color w:val="231F20"/>
          <w:w w:val="105"/>
        </w:rPr>
        <w:t>de</w:t>
      </w:r>
      <w:r>
        <w:rPr>
          <w:color w:val="231F20"/>
          <w:spacing w:val="-33"/>
          <w:w w:val="105"/>
        </w:rPr>
        <w:t> </w:t>
      </w:r>
      <w:r>
        <w:rPr>
          <w:color w:val="231F20"/>
          <w:w w:val="105"/>
        </w:rPr>
        <w:t>investigación</w:t>
      </w:r>
      <w:r>
        <w:rPr>
          <w:color w:val="231F20"/>
          <w:spacing w:val="-33"/>
          <w:w w:val="105"/>
        </w:rPr>
        <w:t> </w:t>
      </w:r>
      <w:r>
        <w:rPr>
          <w:color w:val="231F20"/>
          <w:w w:val="105"/>
        </w:rPr>
        <w:t>Estudios</w:t>
      </w:r>
      <w:r>
        <w:rPr>
          <w:color w:val="231F20"/>
          <w:spacing w:val="-33"/>
          <w:w w:val="105"/>
        </w:rPr>
        <w:t> </w:t>
      </w:r>
      <w:r>
        <w:rPr>
          <w:color w:val="231F20"/>
          <w:w w:val="105"/>
        </w:rPr>
        <w:t>de</w:t>
      </w:r>
      <w:r>
        <w:rPr>
          <w:color w:val="231F20"/>
          <w:spacing w:val="-33"/>
          <w:w w:val="105"/>
        </w:rPr>
        <w:t> </w:t>
      </w:r>
      <w:r>
        <w:rPr>
          <w:color w:val="231F20"/>
          <w:w w:val="105"/>
        </w:rPr>
        <w:t>Comunicación,</w:t>
      </w:r>
      <w:r>
        <w:rPr>
          <w:color w:val="231F20"/>
          <w:spacing w:val="-38"/>
          <w:w w:val="105"/>
        </w:rPr>
        <w:t> </w:t>
      </w:r>
      <w:r>
        <w:rPr>
          <w:color w:val="231F20"/>
          <w:w w:val="105"/>
        </w:rPr>
        <w:t>además</w:t>
      </w:r>
      <w:r>
        <w:rPr>
          <w:color w:val="231F20"/>
          <w:spacing w:val="-33"/>
          <w:w w:val="105"/>
        </w:rPr>
        <w:t> </w:t>
      </w:r>
      <w:r>
        <w:rPr>
          <w:color w:val="231F20"/>
          <w:w w:val="105"/>
        </w:rPr>
        <w:t>de</w:t>
      </w:r>
      <w:r>
        <w:rPr>
          <w:color w:val="231F20"/>
          <w:spacing w:val="-33"/>
          <w:w w:val="105"/>
        </w:rPr>
        <w:t> </w:t>
      </w:r>
      <w:r>
        <w:rPr>
          <w:color w:val="231F20"/>
          <w:w w:val="105"/>
        </w:rPr>
        <w:t>desarrollar la temática de socialización organizacional. Cuenta con perfil </w:t>
      </w:r>
      <w:r>
        <w:rPr>
          <w:color w:val="231F20"/>
          <w:spacing w:val="-3"/>
          <w:w w:val="105"/>
        </w:rPr>
        <w:t>Promep</w:t>
      </w:r>
      <w:r>
        <w:rPr>
          <w:color w:val="231F20"/>
          <w:spacing w:val="-30"/>
          <w:w w:val="105"/>
        </w:rPr>
        <w:t> </w:t>
      </w:r>
      <w:r>
        <w:rPr>
          <w:color w:val="231F20"/>
          <w:w w:val="105"/>
        </w:rPr>
        <w:t>y pertenencia</w:t>
      </w:r>
      <w:r>
        <w:rPr>
          <w:color w:val="231F20"/>
          <w:spacing w:val="-30"/>
          <w:w w:val="105"/>
        </w:rPr>
        <w:t> </w:t>
      </w:r>
      <w:r>
        <w:rPr>
          <w:color w:val="231F20"/>
          <w:w w:val="105"/>
        </w:rPr>
        <w:t>al</w:t>
      </w:r>
      <w:r>
        <w:rPr>
          <w:color w:val="231F20"/>
          <w:spacing w:val="-30"/>
          <w:w w:val="105"/>
        </w:rPr>
        <w:t> </w:t>
      </w:r>
      <w:r>
        <w:rPr>
          <w:color w:val="231F20"/>
          <w:w w:val="105"/>
        </w:rPr>
        <w:t>Sistema</w:t>
      </w:r>
      <w:r>
        <w:rPr>
          <w:color w:val="231F20"/>
          <w:spacing w:val="-30"/>
          <w:w w:val="105"/>
        </w:rPr>
        <w:t> </w:t>
      </w:r>
      <w:r>
        <w:rPr>
          <w:color w:val="231F20"/>
          <w:w w:val="105"/>
        </w:rPr>
        <w:t>Nacional</w:t>
      </w:r>
      <w:r>
        <w:rPr>
          <w:color w:val="231F20"/>
          <w:spacing w:val="-30"/>
          <w:w w:val="105"/>
        </w:rPr>
        <w:t> </w:t>
      </w:r>
      <w:r>
        <w:rPr>
          <w:color w:val="231F20"/>
          <w:w w:val="105"/>
        </w:rPr>
        <w:t>de</w:t>
      </w:r>
      <w:r>
        <w:rPr>
          <w:color w:val="231F20"/>
          <w:spacing w:val="-30"/>
          <w:w w:val="105"/>
        </w:rPr>
        <w:t> </w:t>
      </w:r>
      <w:r>
        <w:rPr>
          <w:color w:val="231F20"/>
          <w:w w:val="105"/>
        </w:rPr>
        <w:t>Investigadores.</w:t>
      </w:r>
    </w:p>
    <w:p>
      <w:pPr>
        <w:pStyle w:val="BodyText"/>
        <w:spacing w:before="6"/>
        <w:rPr>
          <w:sz w:val="22"/>
        </w:rPr>
      </w:pPr>
    </w:p>
    <w:p>
      <w:pPr>
        <w:pStyle w:val="BodyText"/>
        <w:spacing w:line="259" w:lineRule="auto"/>
        <w:ind w:left="117" w:right="116"/>
        <w:jc w:val="both"/>
      </w:pPr>
      <w:r>
        <w:rPr>
          <w:color w:val="231F20"/>
        </w:rPr>
        <w:t>Patricia Mercado Salgado. Originaria  de  la  ciudad  de  </w:t>
      </w:r>
      <w:r>
        <w:rPr>
          <w:color w:val="231F20"/>
          <w:spacing w:val="-3"/>
        </w:rPr>
        <w:t>Toluca,  </w:t>
      </w:r>
      <w:r>
        <w:rPr>
          <w:color w:val="231F20"/>
        </w:rPr>
        <w:t>Estado de México. Profesora de tiempo completo de la Facultad de Contadu-     ría y Administración de la Universidad Autónoma del Estado de México (UAEMex), donde cursó la Licenciatura y Maestría en Administración. El doctorado en Administración (Organizaciones) lo obtuvo en 2002 con mención honorífica en la Universidad Nacional Autónoma de México (UNAM). Imparte docencia a nivel licenciatura, maestría y doctorado en las áreas de Investigación en Administración y Recursos Humanos. Sus proyectos y productos de investigación abordan temas como grupos y trabajo en equipo, clima organizacional, inteligencia emocional, estrés laboral, desgaste profesional y acoso en el trabajo y capital intelectual, entre otros. Es miembro del Sistema Nacional de Investigadores (Cona- cyt) desde 2007. Correo:</w:t>
      </w:r>
      <w:r>
        <w:rPr>
          <w:color w:val="231F20"/>
          <w:spacing w:val="54"/>
        </w:rPr>
        <w:t> </w:t>
      </w:r>
      <w:hyperlink r:id="rId142">
        <w:r>
          <w:rPr>
            <w:color w:val="231F20"/>
          </w:rPr>
          <w:t>pat_mersal@yahoo.com</w:t>
        </w:r>
      </w:hyperlink>
    </w:p>
    <w:p>
      <w:pPr>
        <w:pStyle w:val="BodyText"/>
        <w:spacing w:before="6"/>
        <w:rPr>
          <w:sz w:val="22"/>
        </w:rPr>
      </w:pPr>
    </w:p>
    <w:p>
      <w:pPr>
        <w:pStyle w:val="BodyText"/>
        <w:spacing w:line="259" w:lineRule="auto"/>
        <w:ind w:left="117" w:right="121"/>
        <w:jc w:val="both"/>
      </w:pPr>
      <w:r>
        <w:rPr>
          <w:color w:val="231F20"/>
        </w:rPr>
        <w:t>Reyna </w:t>
      </w:r>
      <w:r>
        <w:rPr>
          <w:color w:val="231F20"/>
          <w:spacing w:val="-3"/>
        </w:rPr>
        <w:t>Vergara </w:t>
      </w:r>
      <w:r>
        <w:rPr>
          <w:color w:val="231F20"/>
        </w:rPr>
        <w:t>González. Licenciada y maestra en Economía por la Uni- versidad Autónoma del Estado de México. Doctora en Modelización Económica Aplicada por la Universidad Autónoma de Madrid. Directora  de la Facultad de Economía de la Universidad Autónoma del Estado de México. Reconocimiento a perfil deseable PROMEP para profesores de tiempo completo. Coordinadora del Observatorio Económico del Estado de México, CICE, Facultad de Economía, UAEM (01 junio 2011 – A la fe- cha). Líneas de investigación: macroeconomía y política </w:t>
      </w:r>
      <w:r>
        <w:rPr>
          <w:color w:val="231F20"/>
          <w:spacing w:val="53"/>
        </w:rPr>
        <w:t> </w:t>
      </w:r>
      <w:r>
        <w:rPr>
          <w:color w:val="231F20"/>
        </w:rPr>
        <w:t>monetaria.</w:t>
      </w:r>
    </w:p>
    <w:p>
      <w:pPr>
        <w:spacing w:after="0" w:line="259" w:lineRule="auto"/>
        <w:jc w:val="both"/>
        <w:sectPr>
          <w:pgSz w:w="9640" w:h="13890"/>
          <w:pgMar w:top="0" w:bottom="280" w:left="1300" w:right="1180"/>
        </w:sectPr>
      </w:pPr>
    </w:p>
    <w:p>
      <w:pPr>
        <w:spacing w:line="259" w:lineRule="auto" w:before="120"/>
        <w:ind w:left="103" w:right="114" w:firstLine="0"/>
        <w:jc w:val="both"/>
        <w:rPr>
          <w:sz w:val="21"/>
        </w:rPr>
      </w:pPr>
      <w:r>
        <w:rPr>
          <w:color w:val="231F20"/>
          <w:w w:val="105"/>
          <w:sz w:val="21"/>
        </w:rPr>
        <w:t>Roger</w:t>
      </w:r>
      <w:r>
        <w:rPr>
          <w:color w:val="231F20"/>
          <w:spacing w:val="-14"/>
          <w:w w:val="105"/>
          <w:sz w:val="21"/>
        </w:rPr>
        <w:t> </w:t>
      </w:r>
      <w:r>
        <w:rPr>
          <w:color w:val="231F20"/>
          <w:w w:val="105"/>
          <w:sz w:val="21"/>
        </w:rPr>
        <w:t>Alejandro</w:t>
      </w:r>
      <w:r>
        <w:rPr>
          <w:color w:val="231F20"/>
          <w:spacing w:val="-10"/>
          <w:w w:val="105"/>
          <w:sz w:val="21"/>
        </w:rPr>
        <w:t> </w:t>
      </w:r>
      <w:r>
        <w:rPr>
          <w:color w:val="231F20"/>
          <w:w w:val="105"/>
          <w:sz w:val="21"/>
        </w:rPr>
        <w:t>Banegas</w:t>
      </w:r>
      <w:r>
        <w:rPr>
          <w:color w:val="231F20"/>
          <w:spacing w:val="-10"/>
          <w:w w:val="105"/>
          <w:sz w:val="21"/>
        </w:rPr>
        <w:t> </w:t>
      </w:r>
      <w:r>
        <w:rPr>
          <w:color w:val="231F20"/>
          <w:w w:val="105"/>
          <w:sz w:val="21"/>
        </w:rPr>
        <w:t>Rivero.</w:t>
      </w:r>
      <w:r>
        <w:rPr>
          <w:color w:val="231F20"/>
          <w:spacing w:val="-10"/>
          <w:w w:val="105"/>
          <w:sz w:val="21"/>
        </w:rPr>
        <w:t> </w:t>
      </w:r>
      <w:r>
        <w:rPr>
          <w:color w:val="231F20"/>
          <w:w w:val="105"/>
          <w:sz w:val="21"/>
        </w:rPr>
        <w:t>Doctor</w:t>
      </w:r>
      <w:r>
        <w:rPr>
          <w:color w:val="231F20"/>
          <w:spacing w:val="-10"/>
          <w:w w:val="105"/>
          <w:sz w:val="21"/>
        </w:rPr>
        <w:t> </w:t>
      </w:r>
      <w:r>
        <w:rPr>
          <w:color w:val="231F20"/>
          <w:w w:val="105"/>
          <w:sz w:val="21"/>
        </w:rPr>
        <w:t>en</w:t>
      </w:r>
      <w:r>
        <w:rPr>
          <w:color w:val="231F20"/>
          <w:spacing w:val="-10"/>
          <w:w w:val="105"/>
          <w:sz w:val="21"/>
        </w:rPr>
        <w:t> </w:t>
      </w:r>
      <w:r>
        <w:rPr>
          <w:color w:val="231F20"/>
          <w:w w:val="105"/>
          <w:sz w:val="21"/>
        </w:rPr>
        <w:t>Ciencias</w:t>
      </w:r>
      <w:r>
        <w:rPr>
          <w:color w:val="231F20"/>
          <w:spacing w:val="-10"/>
          <w:w w:val="105"/>
          <w:sz w:val="21"/>
        </w:rPr>
        <w:t> </w:t>
      </w:r>
      <w:r>
        <w:rPr>
          <w:color w:val="231F20"/>
          <w:w w:val="105"/>
          <w:sz w:val="21"/>
        </w:rPr>
        <w:t>Económico</w:t>
      </w:r>
      <w:r>
        <w:rPr>
          <w:color w:val="231F20"/>
          <w:spacing w:val="-14"/>
          <w:w w:val="105"/>
          <w:sz w:val="21"/>
        </w:rPr>
        <w:t> </w:t>
      </w:r>
      <w:r>
        <w:rPr>
          <w:color w:val="231F20"/>
          <w:w w:val="105"/>
          <w:sz w:val="21"/>
        </w:rPr>
        <w:t>Admi- nistrativas por la Universidad Autónoma del Estado de México. Master en</w:t>
      </w:r>
      <w:r>
        <w:rPr>
          <w:color w:val="231F20"/>
          <w:spacing w:val="-20"/>
          <w:w w:val="105"/>
          <w:sz w:val="21"/>
        </w:rPr>
        <w:t> </w:t>
      </w:r>
      <w:r>
        <w:rPr>
          <w:color w:val="231F20"/>
          <w:w w:val="105"/>
          <w:sz w:val="21"/>
        </w:rPr>
        <w:t>Ciencias</w:t>
      </w:r>
      <w:r>
        <w:rPr>
          <w:color w:val="231F20"/>
          <w:spacing w:val="-20"/>
          <w:w w:val="105"/>
          <w:sz w:val="21"/>
        </w:rPr>
        <w:t> </w:t>
      </w:r>
      <w:r>
        <w:rPr>
          <w:color w:val="231F20"/>
          <w:w w:val="105"/>
          <w:sz w:val="21"/>
        </w:rPr>
        <w:t>de</w:t>
      </w:r>
      <w:r>
        <w:rPr>
          <w:color w:val="231F20"/>
          <w:spacing w:val="-20"/>
          <w:w w:val="105"/>
          <w:sz w:val="21"/>
        </w:rPr>
        <w:t> </w:t>
      </w:r>
      <w:r>
        <w:rPr>
          <w:color w:val="231F20"/>
          <w:w w:val="105"/>
          <w:sz w:val="21"/>
        </w:rPr>
        <w:t>las</w:t>
      </w:r>
      <w:r>
        <w:rPr>
          <w:color w:val="231F20"/>
          <w:spacing w:val="-20"/>
          <w:w w:val="105"/>
          <w:sz w:val="21"/>
        </w:rPr>
        <w:t> </w:t>
      </w:r>
      <w:r>
        <w:rPr>
          <w:color w:val="231F20"/>
          <w:w w:val="105"/>
          <w:sz w:val="21"/>
        </w:rPr>
        <w:t>Finanzas</w:t>
      </w:r>
      <w:r>
        <w:rPr>
          <w:color w:val="231F20"/>
          <w:spacing w:val="-20"/>
          <w:w w:val="105"/>
          <w:sz w:val="21"/>
        </w:rPr>
        <w:t> </w:t>
      </w:r>
      <w:r>
        <w:rPr>
          <w:color w:val="231F20"/>
          <w:w w:val="105"/>
          <w:sz w:val="21"/>
        </w:rPr>
        <w:t>Corporativas</w:t>
      </w:r>
      <w:r>
        <w:rPr>
          <w:color w:val="231F20"/>
          <w:spacing w:val="-20"/>
          <w:w w:val="105"/>
          <w:sz w:val="21"/>
        </w:rPr>
        <w:t> </w:t>
      </w:r>
      <w:r>
        <w:rPr>
          <w:color w:val="231F20"/>
          <w:w w:val="105"/>
          <w:sz w:val="21"/>
        </w:rPr>
        <w:t>y</w:t>
      </w:r>
      <w:r>
        <w:rPr>
          <w:color w:val="231F20"/>
          <w:spacing w:val="-20"/>
          <w:w w:val="105"/>
          <w:sz w:val="21"/>
        </w:rPr>
        <w:t> </w:t>
      </w:r>
      <w:r>
        <w:rPr>
          <w:color w:val="231F20"/>
          <w:w w:val="105"/>
          <w:sz w:val="21"/>
        </w:rPr>
        <w:t>Economista</w:t>
      </w:r>
      <w:r>
        <w:rPr>
          <w:color w:val="231F20"/>
          <w:spacing w:val="-20"/>
          <w:w w:val="105"/>
          <w:sz w:val="21"/>
        </w:rPr>
        <w:t> </w:t>
      </w:r>
      <w:r>
        <w:rPr>
          <w:color w:val="231F20"/>
          <w:w w:val="105"/>
          <w:sz w:val="21"/>
        </w:rPr>
        <w:t>como</w:t>
      </w:r>
      <w:r>
        <w:rPr>
          <w:color w:val="231F20"/>
          <w:spacing w:val="-20"/>
          <w:w w:val="105"/>
          <w:sz w:val="21"/>
        </w:rPr>
        <w:t> </w:t>
      </w:r>
      <w:r>
        <w:rPr>
          <w:color w:val="231F20"/>
          <w:w w:val="105"/>
          <w:sz w:val="21"/>
        </w:rPr>
        <w:t>formación básica</w:t>
      </w:r>
      <w:r>
        <w:rPr>
          <w:color w:val="231F20"/>
          <w:spacing w:val="-16"/>
          <w:w w:val="105"/>
          <w:sz w:val="21"/>
        </w:rPr>
        <w:t> </w:t>
      </w:r>
      <w:r>
        <w:rPr>
          <w:color w:val="231F20"/>
          <w:w w:val="105"/>
          <w:sz w:val="21"/>
        </w:rPr>
        <w:t>en</w:t>
      </w:r>
      <w:r>
        <w:rPr>
          <w:color w:val="231F20"/>
          <w:spacing w:val="-16"/>
          <w:w w:val="105"/>
          <w:sz w:val="21"/>
        </w:rPr>
        <w:t> </w:t>
      </w:r>
      <w:r>
        <w:rPr>
          <w:color w:val="231F20"/>
          <w:w w:val="105"/>
          <w:sz w:val="21"/>
        </w:rPr>
        <w:t>la</w:t>
      </w:r>
      <w:r>
        <w:rPr>
          <w:color w:val="231F20"/>
          <w:spacing w:val="-16"/>
          <w:w w:val="105"/>
          <w:sz w:val="21"/>
        </w:rPr>
        <w:t> </w:t>
      </w:r>
      <w:r>
        <w:rPr>
          <w:color w:val="231F20"/>
          <w:w w:val="105"/>
          <w:sz w:val="21"/>
        </w:rPr>
        <w:t>Universidad</w:t>
      </w:r>
      <w:r>
        <w:rPr>
          <w:color w:val="231F20"/>
          <w:spacing w:val="-18"/>
          <w:w w:val="105"/>
          <w:sz w:val="21"/>
        </w:rPr>
        <w:t> </w:t>
      </w:r>
      <w:r>
        <w:rPr>
          <w:color w:val="231F20"/>
          <w:w w:val="105"/>
          <w:sz w:val="21"/>
        </w:rPr>
        <w:t>Autónoma</w:t>
      </w:r>
      <w:r>
        <w:rPr>
          <w:color w:val="231F20"/>
          <w:spacing w:val="-16"/>
          <w:w w:val="105"/>
          <w:sz w:val="21"/>
        </w:rPr>
        <w:t> </w:t>
      </w:r>
      <w:r>
        <w:rPr>
          <w:color w:val="231F20"/>
          <w:w w:val="105"/>
          <w:sz w:val="21"/>
        </w:rPr>
        <w:t>Gabriel</w:t>
      </w:r>
      <w:r>
        <w:rPr>
          <w:color w:val="231F20"/>
          <w:spacing w:val="-16"/>
          <w:w w:val="105"/>
          <w:sz w:val="21"/>
        </w:rPr>
        <w:t> </w:t>
      </w:r>
      <w:r>
        <w:rPr>
          <w:color w:val="231F20"/>
          <w:w w:val="105"/>
          <w:sz w:val="21"/>
        </w:rPr>
        <w:t>René</w:t>
      </w:r>
      <w:r>
        <w:rPr>
          <w:color w:val="231F20"/>
          <w:spacing w:val="-16"/>
          <w:w w:val="105"/>
          <w:sz w:val="21"/>
        </w:rPr>
        <w:t> </w:t>
      </w:r>
      <w:r>
        <w:rPr>
          <w:color w:val="231F20"/>
          <w:w w:val="105"/>
          <w:sz w:val="21"/>
        </w:rPr>
        <w:t>Moreno</w:t>
      </w:r>
      <w:r>
        <w:rPr>
          <w:color w:val="231F20"/>
          <w:spacing w:val="-16"/>
          <w:w w:val="105"/>
          <w:sz w:val="21"/>
        </w:rPr>
        <w:t> </w:t>
      </w:r>
      <w:r>
        <w:rPr>
          <w:color w:val="231F20"/>
          <w:w w:val="105"/>
          <w:sz w:val="21"/>
        </w:rPr>
        <w:t>(UAGRM,</w:t>
      </w:r>
      <w:r>
        <w:rPr>
          <w:color w:val="231F20"/>
          <w:spacing w:val="-20"/>
          <w:w w:val="105"/>
          <w:sz w:val="21"/>
        </w:rPr>
        <w:t> </w:t>
      </w:r>
      <w:r>
        <w:rPr>
          <w:color w:val="231F20"/>
          <w:w w:val="105"/>
          <w:sz w:val="21"/>
        </w:rPr>
        <w:t>Bo- livia).</w:t>
      </w:r>
      <w:r>
        <w:rPr>
          <w:color w:val="231F20"/>
          <w:spacing w:val="-23"/>
          <w:w w:val="105"/>
          <w:sz w:val="21"/>
        </w:rPr>
        <w:t> </w:t>
      </w:r>
      <w:r>
        <w:rPr>
          <w:color w:val="231F20"/>
          <w:w w:val="105"/>
          <w:sz w:val="21"/>
        </w:rPr>
        <w:t>Publicaciones</w:t>
      </w:r>
      <w:r>
        <w:rPr>
          <w:color w:val="231F20"/>
          <w:spacing w:val="-20"/>
          <w:w w:val="105"/>
          <w:sz w:val="21"/>
        </w:rPr>
        <w:t> </w:t>
      </w:r>
      <w:r>
        <w:rPr>
          <w:color w:val="231F20"/>
          <w:w w:val="105"/>
          <w:sz w:val="21"/>
        </w:rPr>
        <w:t>recientes</w:t>
      </w:r>
      <w:r>
        <w:rPr>
          <w:color w:val="231F20"/>
          <w:spacing w:val="-20"/>
          <w:w w:val="105"/>
          <w:sz w:val="21"/>
        </w:rPr>
        <w:t> </w:t>
      </w:r>
      <w:r>
        <w:rPr>
          <w:color w:val="231F20"/>
          <w:w w:val="105"/>
          <w:sz w:val="21"/>
        </w:rPr>
        <w:t>en</w:t>
      </w:r>
      <w:r>
        <w:rPr>
          <w:color w:val="231F20"/>
          <w:spacing w:val="-20"/>
          <w:w w:val="105"/>
          <w:sz w:val="21"/>
        </w:rPr>
        <w:t> </w:t>
      </w:r>
      <w:r>
        <w:rPr>
          <w:color w:val="231F20"/>
          <w:w w:val="105"/>
          <w:sz w:val="21"/>
        </w:rPr>
        <w:t>revistas</w:t>
      </w:r>
      <w:r>
        <w:rPr>
          <w:color w:val="231F20"/>
          <w:spacing w:val="-20"/>
          <w:w w:val="105"/>
          <w:sz w:val="21"/>
        </w:rPr>
        <w:t> </w:t>
      </w:r>
      <w:r>
        <w:rPr>
          <w:color w:val="231F20"/>
          <w:w w:val="105"/>
          <w:sz w:val="21"/>
        </w:rPr>
        <w:t>científicas</w:t>
      </w:r>
      <w:r>
        <w:rPr>
          <w:color w:val="231F20"/>
          <w:spacing w:val="-20"/>
          <w:w w:val="105"/>
          <w:sz w:val="21"/>
        </w:rPr>
        <w:t> </w:t>
      </w:r>
      <w:r>
        <w:rPr>
          <w:color w:val="231F20"/>
          <w:w w:val="105"/>
          <w:sz w:val="21"/>
        </w:rPr>
        <w:t>arbitradas</w:t>
      </w:r>
      <w:r>
        <w:rPr>
          <w:color w:val="231F20"/>
          <w:spacing w:val="-20"/>
          <w:w w:val="105"/>
          <w:sz w:val="21"/>
        </w:rPr>
        <w:t> </w:t>
      </w:r>
      <w:r>
        <w:rPr>
          <w:color w:val="231F20"/>
          <w:w w:val="105"/>
          <w:sz w:val="21"/>
        </w:rPr>
        <w:t>e</w:t>
      </w:r>
      <w:r>
        <w:rPr>
          <w:color w:val="231F20"/>
          <w:spacing w:val="-20"/>
          <w:w w:val="105"/>
          <w:sz w:val="21"/>
        </w:rPr>
        <w:t> </w:t>
      </w:r>
      <w:r>
        <w:rPr>
          <w:color w:val="231F20"/>
          <w:w w:val="105"/>
          <w:sz w:val="21"/>
        </w:rPr>
        <w:t>indexa- das:</w:t>
      </w:r>
      <w:r>
        <w:rPr>
          <w:color w:val="231F20"/>
          <w:spacing w:val="-15"/>
          <w:w w:val="105"/>
          <w:sz w:val="21"/>
        </w:rPr>
        <w:t> </w:t>
      </w:r>
      <w:r>
        <w:rPr>
          <w:color w:val="231F20"/>
          <w:w w:val="105"/>
          <w:sz w:val="21"/>
        </w:rPr>
        <w:t>‘</w:t>
      </w:r>
      <w:r>
        <w:rPr>
          <w:i/>
          <w:color w:val="231F20"/>
          <w:w w:val="105"/>
          <w:sz w:val="21"/>
        </w:rPr>
        <w:t>Recursos</w:t>
      </w:r>
      <w:r>
        <w:rPr>
          <w:i/>
          <w:color w:val="231F20"/>
          <w:spacing w:val="-15"/>
          <w:w w:val="105"/>
          <w:sz w:val="21"/>
        </w:rPr>
        <w:t> </w:t>
      </w:r>
      <w:r>
        <w:rPr>
          <w:i/>
          <w:color w:val="231F20"/>
          <w:w w:val="105"/>
          <w:sz w:val="21"/>
        </w:rPr>
        <w:t>naturales</w:t>
      </w:r>
      <w:r>
        <w:rPr>
          <w:i/>
          <w:color w:val="231F20"/>
          <w:spacing w:val="-15"/>
          <w:w w:val="105"/>
          <w:sz w:val="21"/>
        </w:rPr>
        <w:t> </w:t>
      </w:r>
      <w:r>
        <w:rPr>
          <w:i/>
          <w:color w:val="231F20"/>
          <w:w w:val="105"/>
          <w:sz w:val="21"/>
        </w:rPr>
        <w:t>y</w:t>
      </w:r>
      <w:r>
        <w:rPr>
          <w:i/>
          <w:color w:val="231F20"/>
          <w:spacing w:val="-15"/>
          <w:w w:val="105"/>
          <w:sz w:val="21"/>
        </w:rPr>
        <w:t> </w:t>
      </w:r>
      <w:r>
        <w:rPr>
          <w:i/>
          <w:color w:val="231F20"/>
          <w:w w:val="105"/>
          <w:sz w:val="21"/>
        </w:rPr>
        <w:t>crecimiento</w:t>
      </w:r>
      <w:r>
        <w:rPr>
          <w:i/>
          <w:color w:val="231F20"/>
          <w:spacing w:val="-15"/>
          <w:w w:val="105"/>
          <w:sz w:val="21"/>
        </w:rPr>
        <w:t> </w:t>
      </w:r>
      <w:r>
        <w:rPr>
          <w:i/>
          <w:color w:val="231F20"/>
          <w:w w:val="105"/>
          <w:sz w:val="21"/>
        </w:rPr>
        <w:t>económico:</w:t>
      </w:r>
      <w:r>
        <w:rPr>
          <w:i/>
          <w:color w:val="231F20"/>
          <w:spacing w:val="-15"/>
          <w:w w:val="105"/>
          <w:sz w:val="21"/>
        </w:rPr>
        <w:t> </w:t>
      </w:r>
      <w:r>
        <w:rPr>
          <w:i/>
          <w:color w:val="231F20"/>
          <w:w w:val="105"/>
          <w:sz w:val="21"/>
        </w:rPr>
        <w:t>el</w:t>
      </w:r>
      <w:r>
        <w:rPr>
          <w:i/>
          <w:color w:val="231F20"/>
          <w:spacing w:val="-15"/>
          <w:w w:val="105"/>
          <w:sz w:val="21"/>
        </w:rPr>
        <w:t> </w:t>
      </w:r>
      <w:r>
        <w:rPr>
          <w:i/>
          <w:color w:val="231F20"/>
          <w:w w:val="105"/>
          <w:sz w:val="21"/>
        </w:rPr>
        <w:t>rol</w:t>
      </w:r>
      <w:r>
        <w:rPr>
          <w:i/>
          <w:color w:val="231F20"/>
          <w:spacing w:val="-15"/>
          <w:w w:val="105"/>
          <w:sz w:val="21"/>
        </w:rPr>
        <w:t> </w:t>
      </w:r>
      <w:r>
        <w:rPr>
          <w:i/>
          <w:color w:val="231F20"/>
          <w:w w:val="105"/>
          <w:sz w:val="21"/>
        </w:rPr>
        <w:t>de</w:t>
      </w:r>
      <w:r>
        <w:rPr>
          <w:i/>
          <w:color w:val="231F20"/>
          <w:spacing w:val="-15"/>
          <w:w w:val="105"/>
          <w:sz w:val="21"/>
        </w:rPr>
        <w:t> </w:t>
      </w:r>
      <w:r>
        <w:rPr>
          <w:i/>
          <w:color w:val="231F20"/>
          <w:w w:val="105"/>
          <w:sz w:val="21"/>
        </w:rPr>
        <w:t>la</w:t>
      </w:r>
      <w:r>
        <w:rPr>
          <w:i/>
          <w:color w:val="231F20"/>
          <w:spacing w:val="-15"/>
          <w:w w:val="105"/>
          <w:sz w:val="21"/>
        </w:rPr>
        <w:t> </w:t>
      </w:r>
      <w:r>
        <w:rPr>
          <w:i/>
          <w:color w:val="231F20"/>
          <w:w w:val="105"/>
          <w:sz w:val="21"/>
        </w:rPr>
        <w:t>inversión</w:t>
      </w:r>
      <w:r>
        <w:rPr>
          <w:color w:val="231F20"/>
          <w:w w:val="105"/>
          <w:sz w:val="21"/>
        </w:rPr>
        <w:t>; ‘</w:t>
      </w:r>
      <w:r>
        <w:rPr>
          <w:i/>
          <w:color w:val="231F20"/>
          <w:w w:val="105"/>
          <w:sz w:val="21"/>
        </w:rPr>
        <w:t>Institutional</w:t>
      </w:r>
      <w:r>
        <w:rPr>
          <w:i/>
          <w:color w:val="231F20"/>
          <w:spacing w:val="-25"/>
          <w:w w:val="105"/>
          <w:sz w:val="21"/>
        </w:rPr>
        <w:t> </w:t>
      </w:r>
      <w:r>
        <w:rPr>
          <w:i/>
          <w:color w:val="231F20"/>
          <w:w w:val="105"/>
          <w:sz w:val="21"/>
        </w:rPr>
        <w:t>Changes</w:t>
      </w:r>
      <w:r>
        <w:rPr>
          <w:i/>
          <w:color w:val="231F20"/>
          <w:spacing w:val="-25"/>
          <w:w w:val="105"/>
          <w:sz w:val="21"/>
        </w:rPr>
        <w:t> </w:t>
      </w:r>
      <w:r>
        <w:rPr>
          <w:i/>
          <w:color w:val="231F20"/>
          <w:w w:val="105"/>
          <w:sz w:val="21"/>
        </w:rPr>
        <w:t>and</w:t>
      </w:r>
      <w:r>
        <w:rPr>
          <w:i/>
          <w:color w:val="231F20"/>
          <w:spacing w:val="-25"/>
          <w:w w:val="105"/>
          <w:sz w:val="21"/>
        </w:rPr>
        <w:t> </w:t>
      </w:r>
      <w:r>
        <w:rPr>
          <w:i/>
          <w:color w:val="231F20"/>
          <w:w w:val="105"/>
          <w:sz w:val="21"/>
        </w:rPr>
        <w:t>Cyclical</w:t>
      </w:r>
      <w:r>
        <w:rPr>
          <w:i/>
          <w:color w:val="231F20"/>
          <w:spacing w:val="-28"/>
          <w:w w:val="105"/>
          <w:sz w:val="21"/>
        </w:rPr>
        <w:t> </w:t>
      </w:r>
      <w:r>
        <w:rPr>
          <w:i/>
          <w:color w:val="231F20"/>
          <w:spacing w:val="-3"/>
          <w:w w:val="105"/>
          <w:sz w:val="21"/>
        </w:rPr>
        <w:t>Transition</w:t>
      </w:r>
      <w:r>
        <w:rPr>
          <w:i/>
          <w:color w:val="231F20"/>
          <w:spacing w:val="-25"/>
          <w:w w:val="105"/>
          <w:sz w:val="21"/>
        </w:rPr>
        <w:t> </w:t>
      </w:r>
      <w:r>
        <w:rPr>
          <w:i/>
          <w:color w:val="231F20"/>
          <w:w w:val="105"/>
          <w:sz w:val="21"/>
        </w:rPr>
        <w:t>in</w:t>
      </w:r>
      <w:r>
        <w:rPr>
          <w:i/>
          <w:color w:val="231F20"/>
          <w:spacing w:val="-25"/>
          <w:w w:val="105"/>
          <w:sz w:val="21"/>
        </w:rPr>
        <w:t> </w:t>
      </w:r>
      <w:r>
        <w:rPr>
          <w:i/>
          <w:color w:val="231F20"/>
          <w:w w:val="105"/>
          <w:sz w:val="21"/>
        </w:rPr>
        <w:t>the</w:t>
      </w:r>
      <w:r>
        <w:rPr>
          <w:i/>
          <w:color w:val="231F20"/>
          <w:spacing w:val="-25"/>
          <w:w w:val="105"/>
          <w:sz w:val="21"/>
        </w:rPr>
        <w:t> </w:t>
      </w:r>
      <w:r>
        <w:rPr>
          <w:i/>
          <w:color w:val="231F20"/>
          <w:w w:val="105"/>
          <w:sz w:val="21"/>
        </w:rPr>
        <w:t>Fiscal</w:t>
      </w:r>
      <w:r>
        <w:rPr>
          <w:i/>
          <w:color w:val="231F20"/>
          <w:spacing w:val="-25"/>
          <w:w w:val="105"/>
          <w:sz w:val="21"/>
        </w:rPr>
        <w:t> </w:t>
      </w:r>
      <w:r>
        <w:rPr>
          <w:i/>
          <w:color w:val="231F20"/>
          <w:w w:val="105"/>
          <w:sz w:val="21"/>
        </w:rPr>
        <w:t>Stance</w:t>
      </w:r>
      <w:r>
        <w:rPr>
          <w:i/>
          <w:color w:val="231F20"/>
          <w:spacing w:val="-25"/>
          <w:w w:val="105"/>
          <w:sz w:val="21"/>
        </w:rPr>
        <w:t> </w:t>
      </w:r>
      <w:r>
        <w:rPr>
          <w:i/>
          <w:color w:val="231F20"/>
          <w:w w:val="105"/>
          <w:sz w:val="21"/>
        </w:rPr>
        <w:t>for</w:t>
      </w:r>
      <w:r>
        <w:rPr>
          <w:i/>
          <w:color w:val="231F20"/>
          <w:spacing w:val="-25"/>
          <w:w w:val="105"/>
          <w:sz w:val="21"/>
        </w:rPr>
        <w:t> </w:t>
      </w:r>
      <w:r>
        <w:rPr>
          <w:i/>
          <w:color w:val="231F20"/>
          <w:w w:val="105"/>
          <w:sz w:val="21"/>
        </w:rPr>
        <w:t>Boli- </w:t>
      </w:r>
      <w:r>
        <w:rPr>
          <w:i/>
          <w:color w:val="231F20"/>
          <w:w w:val="105"/>
          <w:sz w:val="21"/>
        </w:rPr>
        <w:t>via</w:t>
      </w:r>
      <w:r>
        <w:rPr>
          <w:i/>
          <w:color w:val="231F20"/>
          <w:spacing w:val="-9"/>
          <w:w w:val="105"/>
          <w:sz w:val="21"/>
        </w:rPr>
        <w:t> </w:t>
      </w:r>
      <w:r>
        <w:rPr>
          <w:i/>
          <w:color w:val="231F20"/>
          <w:w w:val="105"/>
          <w:sz w:val="21"/>
        </w:rPr>
        <w:t>(2003-2011)</w:t>
      </w:r>
      <w:r>
        <w:rPr>
          <w:color w:val="231F20"/>
          <w:w w:val="105"/>
          <w:sz w:val="21"/>
        </w:rPr>
        <w:t>;</w:t>
      </w:r>
      <w:r>
        <w:rPr>
          <w:color w:val="231F20"/>
          <w:spacing w:val="-9"/>
          <w:w w:val="105"/>
          <w:sz w:val="21"/>
        </w:rPr>
        <w:t> </w:t>
      </w:r>
      <w:r>
        <w:rPr>
          <w:i/>
          <w:color w:val="231F20"/>
          <w:w w:val="105"/>
          <w:sz w:val="21"/>
        </w:rPr>
        <w:t>‘Influencia</w:t>
      </w:r>
      <w:r>
        <w:rPr>
          <w:i/>
          <w:color w:val="231F20"/>
          <w:spacing w:val="-9"/>
          <w:w w:val="105"/>
          <w:sz w:val="21"/>
        </w:rPr>
        <w:t> </w:t>
      </w:r>
      <w:r>
        <w:rPr>
          <w:i/>
          <w:color w:val="231F20"/>
          <w:w w:val="105"/>
          <w:sz w:val="21"/>
        </w:rPr>
        <w:t>y</w:t>
      </w:r>
      <w:r>
        <w:rPr>
          <w:i/>
          <w:color w:val="231F20"/>
          <w:spacing w:val="-9"/>
          <w:w w:val="105"/>
          <w:sz w:val="21"/>
        </w:rPr>
        <w:t> </w:t>
      </w:r>
      <w:r>
        <w:rPr>
          <w:i/>
          <w:color w:val="231F20"/>
          <w:w w:val="105"/>
          <w:sz w:val="21"/>
        </w:rPr>
        <w:t>divergencia</w:t>
      </w:r>
      <w:r>
        <w:rPr>
          <w:i/>
          <w:color w:val="231F20"/>
          <w:spacing w:val="-9"/>
          <w:w w:val="105"/>
          <w:sz w:val="21"/>
        </w:rPr>
        <w:t> </w:t>
      </w:r>
      <w:r>
        <w:rPr>
          <w:i/>
          <w:color w:val="231F20"/>
          <w:w w:val="105"/>
          <w:sz w:val="21"/>
        </w:rPr>
        <w:t>de</w:t>
      </w:r>
      <w:r>
        <w:rPr>
          <w:i/>
          <w:color w:val="231F20"/>
          <w:spacing w:val="-9"/>
          <w:w w:val="105"/>
          <w:sz w:val="21"/>
        </w:rPr>
        <w:t> </w:t>
      </w:r>
      <w:r>
        <w:rPr>
          <w:i/>
          <w:color w:val="231F20"/>
          <w:w w:val="105"/>
          <w:sz w:val="21"/>
        </w:rPr>
        <w:t>los</w:t>
      </w:r>
      <w:r>
        <w:rPr>
          <w:i/>
          <w:color w:val="231F20"/>
          <w:spacing w:val="-9"/>
          <w:w w:val="105"/>
          <w:sz w:val="21"/>
        </w:rPr>
        <w:t> </w:t>
      </w:r>
      <w:r>
        <w:rPr>
          <w:i/>
          <w:color w:val="231F20"/>
          <w:w w:val="105"/>
          <w:sz w:val="21"/>
        </w:rPr>
        <w:t>choques</w:t>
      </w:r>
      <w:r>
        <w:rPr>
          <w:i/>
          <w:color w:val="231F20"/>
          <w:spacing w:val="-9"/>
          <w:w w:val="105"/>
          <w:sz w:val="21"/>
        </w:rPr>
        <w:t> </w:t>
      </w:r>
      <w:r>
        <w:rPr>
          <w:i/>
          <w:color w:val="231F20"/>
          <w:w w:val="105"/>
          <w:sz w:val="21"/>
        </w:rPr>
        <w:t>de</w:t>
      </w:r>
      <w:r>
        <w:rPr>
          <w:i/>
          <w:color w:val="231F20"/>
          <w:spacing w:val="-9"/>
          <w:w w:val="105"/>
          <w:sz w:val="21"/>
        </w:rPr>
        <w:t> </w:t>
      </w:r>
      <w:r>
        <w:rPr>
          <w:i/>
          <w:color w:val="231F20"/>
          <w:w w:val="105"/>
          <w:sz w:val="21"/>
        </w:rPr>
        <w:t>precios</w:t>
      </w:r>
      <w:r>
        <w:rPr>
          <w:i/>
          <w:color w:val="231F20"/>
          <w:spacing w:val="-9"/>
          <w:w w:val="105"/>
          <w:sz w:val="21"/>
        </w:rPr>
        <w:t> </w:t>
      </w:r>
      <w:r>
        <w:rPr>
          <w:i/>
          <w:color w:val="231F20"/>
          <w:w w:val="105"/>
          <w:sz w:val="21"/>
        </w:rPr>
        <w:t>del </w:t>
      </w:r>
      <w:r>
        <w:rPr>
          <w:i/>
          <w:color w:val="231F20"/>
          <w:w w:val="105"/>
          <w:sz w:val="21"/>
        </w:rPr>
        <w:t>petróleo en los precios del gas natural’</w:t>
      </w:r>
      <w:r>
        <w:rPr>
          <w:color w:val="231F20"/>
          <w:w w:val="105"/>
          <w:sz w:val="21"/>
        </w:rPr>
        <w:t>. Áreas de Interés: Crecimiento económico,</w:t>
      </w:r>
      <w:r>
        <w:rPr>
          <w:color w:val="231F20"/>
          <w:spacing w:val="-21"/>
          <w:w w:val="105"/>
          <w:sz w:val="21"/>
        </w:rPr>
        <w:t> </w:t>
      </w:r>
      <w:r>
        <w:rPr>
          <w:color w:val="231F20"/>
          <w:w w:val="105"/>
          <w:sz w:val="21"/>
        </w:rPr>
        <w:t>política</w:t>
      </w:r>
      <w:r>
        <w:rPr>
          <w:color w:val="231F20"/>
          <w:spacing w:val="-16"/>
          <w:w w:val="105"/>
          <w:sz w:val="21"/>
        </w:rPr>
        <w:t> </w:t>
      </w:r>
      <w:r>
        <w:rPr>
          <w:color w:val="231F20"/>
          <w:w w:val="105"/>
          <w:sz w:val="21"/>
        </w:rPr>
        <w:t>fiscal</w:t>
      </w:r>
      <w:r>
        <w:rPr>
          <w:color w:val="231F20"/>
          <w:spacing w:val="-16"/>
          <w:w w:val="105"/>
          <w:sz w:val="21"/>
        </w:rPr>
        <w:t> </w:t>
      </w:r>
      <w:r>
        <w:rPr>
          <w:color w:val="231F20"/>
          <w:w w:val="105"/>
          <w:sz w:val="21"/>
        </w:rPr>
        <w:t>y</w:t>
      </w:r>
      <w:r>
        <w:rPr>
          <w:color w:val="231F20"/>
          <w:spacing w:val="-16"/>
          <w:w w:val="105"/>
          <w:sz w:val="21"/>
        </w:rPr>
        <w:t> </w:t>
      </w:r>
      <w:r>
        <w:rPr>
          <w:color w:val="231F20"/>
          <w:w w:val="105"/>
          <w:sz w:val="21"/>
        </w:rPr>
        <w:t>choques</w:t>
      </w:r>
      <w:r>
        <w:rPr>
          <w:color w:val="231F20"/>
          <w:spacing w:val="-16"/>
          <w:w w:val="105"/>
          <w:sz w:val="21"/>
        </w:rPr>
        <w:t> </w:t>
      </w:r>
      <w:r>
        <w:rPr>
          <w:color w:val="231F20"/>
          <w:w w:val="105"/>
          <w:sz w:val="21"/>
        </w:rPr>
        <w:t>económicos</w:t>
      </w:r>
      <w:r>
        <w:rPr>
          <w:color w:val="231F20"/>
          <w:spacing w:val="-16"/>
          <w:w w:val="105"/>
          <w:sz w:val="21"/>
        </w:rPr>
        <w:t> </w:t>
      </w:r>
      <w:r>
        <w:rPr>
          <w:color w:val="231F20"/>
          <w:w w:val="105"/>
          <w:sz w:val="21"/>
        </w:rPr>
        <w:t>estructurales.</w:t>
      </w:r>
      <w:r>
        <w:rPr>
          <w:color w:val="231F20"/>
          <w:spacing w:val="-21"/>
          <w:w w:val="105"/>
          <w:sz w:val="21"/>
        </w:rPr>
        <w:t> </w:t>
      </w:r>
      <w:r>
        <w:rPr>
          <w:color w:val="231F20"/>
          <w:w w:val="105"/>
          <w:sz w:val="21"/>
        </w:rPr>
        <w:t>Profesor investigador de tiempo completo de la Facultad de Ciencias Económi- cas,</w:t>
      </w:r>
      <w:r>
        <w:rPr>
          <w:color w:val="231F20"/>
          <w:spacing w:val="-23"/>
          <w:w w:val="105"/>
          <w:sz w:val="21"/>
        </w:rPr>
        <w:t> </w:t>
      </w:r>
      <w:r>
        <w:rPr>
          <w:color w:val="231F20"/>
          <w:w w:val="105"/>
          <w:sz w:val="21"/>
        </w:rPr>
        <w:t>Administrativas</w:t>
      </w:r>
      <w:r>
        <w:rPr>
          <w:color w:val="231F20"/>
          <w:spacing w:val="-17"/>
          <w:w w:val="105"/>
          <w:sz w:val="21"/>
        </w:rPr>
        <w:t> </w:t>
      </w:r>
      <w:r>
        <w:rPr>
          <w:color w:val="231F20"/>
          <w:w w:val="105"/>
          <w:sz w:val="21"/>
        </w:rPr>
        <w:t>y</w:t>
      </w:r>
      <w:r>
        <w:rPr>
          <w:color w:val="231F20"/>
          <w:spacing w:val="-17"/>
          <w:w w:val="105"/>
          <w:sz w:val="21"/>
        </w:rPr>
        <w:t> </w:t>
      </w:r>
      <w:r>
        <w:rPr>
          <w:color w:val="231F20"/>
          <w:w w:val="105"/>
          <w:sz w:val="21"/>
        </w:rPr>
        <w:t>Financieras</w:t>
      </w:r>
      <w:r>
        <w:rPr>
          <w:color w:val="231F20"/>
          <w:spacing w:val="-17"/>
          <w:w w:val="105"/>
          <w:sz w:val="21"/>
        </w:rPr>
        <w:t> </w:t>
      </w:r>
      <w:r>
        <w:rPr>
          <w:color w:val="231F20"/>
          <w:w w:val="105"/>
          <w:sz w:val="21"/>
        </w:rPr>
        <w:t>(UAGRM).</w:t>
      </w:r>
      <w:r>
        <w:rPr>
          <w:color w:val="231F20"/>
          <w:spacing w:val="-21"/>
          <w:w w:val="105"/>
          <w:sz w:val="21"/>
        </w:rPr>
        <w:t> </w:t>
      </w:r>
      <w:r>
        <w:rPr>
          <w:color w:val="231F20"/>
          <w:w w:val="105"/>
          <w:sz w:val="21"/>
        </w:rPr>
        <w:t>Director</w:t>
      </w:r>
      <w:r>
        <w:rPr>
          <w:color w:val="231F20"/>
          <w:spacing w:val="-17"/>
          <w:w w:val="105"/>
          <w:sz w:val="21"/>
        </w:rPr>
        <w:t> </w:t>
      </w:r>
      <w:r>
        <w:rPr>
          <w:color w:val="231F20"/>
          <w:w w:val="105"/>
          <w:sz w:val="21"/>
        </w:rPr>
        <w:t>del</w:t>
      </w:r>
      <w:r>
        <w:rPr>
          <w:color w:val="231F20"/>
          <w:spacing w:val="-17"/>
          <w:w w:val="105"/>
          <w:sz w:val="21"/>
        </w:rPr>
        <w:t> </w:t>
      </w:r>
      <w:r>
        <w:rPr>
          <w:color w:val="231F20"/>
          <w:w w:val="105"/>
          <w:sz w:val="21"/>
        </w:rPr>
        <w:t>Instituto</w:t>
      </w:r>
      <w:r>
        <w:rPr>
          <w:color w:val="231F20"/>
          <w:spacing w:val="-17"/>
          <w:w w:val="105"/>
          <w:sz w:val="21"/>
        </w:rPr>
        <w:t> </w:t>
      </w:r>
      <w:r>
        <w:rPr>
          <w:color w:val="231F20"/>
          <w:w w:val="105"/>
          <w:sz w:val="21"/>
        </w:rPr>
        <w:t>de</w:t>
      </w:r>
      <w:r>
        <w:rPr>
          <w:color w:val="231F20"/>
          <w:spacing w:val="-17"/>
          <w:w w:val="105"/>
          <w:sz w:val="21"/>
        </w:rPr>
        <w:t> </w:t>
      </w:r>
      <w:r>
        <w:rPr>
          <w:color w:val="231F20"/>
          <w:w w:val="105"/>
          <w:sz w:val="21"/>
        </w:rPr>
        <w:t>In- vestigaciones</w:t>
      </w:r>
      <w:r>
        <w:rPr>
          <w:color w:val="231F20"/>
          <w:spacing w:val="-37"/>
          <w:w w:val="105"/>
          <w:sz w:val="21"/>
        </w:rPr>
        <w:t> </w:t>
      </w:r>
      <w:r>
        <w:rPr>
          <w:color w:val="231F20"/>
          <w:w w:val="105"/>
          <w:sz w:val="21"/>
        </w:rPr>
        <w:t>Económicas</w:t>
      </w:r>
      <w:r>
        <w:rPr>
          <w:color w:val="231F20"/>
          <w:spacing w:val="-37"/>
          <w:w w:val="105"/>
          <w:sz w:val="21"/>
        </w:rPr>
        <w:t> </w:t>
      </w:r>
      <w:r>
        <w:rPr>
          <w:color w:val="231F20"/>
          <w:w w:val="105"/>
          <w:sz w:val="21"/>
        </w:rPr>
        <w:t>y</w:t>
      </w:r>
      <w:r>
        <w:rPr>
          <w:color w:val="231F20"/>
          <w:spacing w:val="-37"/>
          <w:w w:val="105"/>
          <w:sz w:val="21"/>
        </w:rPr>
        <w:t> </w:t>
      </w:r>
      <w:r>
        <w:rPr>
          <w:color w:val="231F20"/>
          <w:w w:val="105"/>
          <w:sz w:val="21"/>
        </w:rPr>
        <w:t>Sociales</w:t>
      </w:r>
      <w:r>
        <w:rPr>
          <w:color w:val="231F20"/>
          <w:spacing w:val="-37"/>
          <w:w w:val="105"/>
          <w:sz w:val="21"/>
        </w:rPr>
        <w:t> </w:t>
      </w:r>
      <w:r>
        <w:rPr>
          <w:color w:val="231F20"/>
          <w:spacing w:val="-5"/>
          <w:w w:val="105"/>
          <w:sz w:val="21"/>
        </w:rPr>
        <w:t>‘José</w:t>
      </w:r>
      <w:r>
        <w:rPr>
          <w:color w:val="231F20"/>
          <w:spacing w:val="-37"/>
          <w:w w:val="105"/>
          <w:sz w:val="21"/>
        </w:rPr>
        <w:t> </w:t>
      </w:r>
      <w:r>
        <w:rPr>
          <w:color w:val="231F20"/>
          <w:w w:val="105"/>
          <w:sz w:val="21"/>
        </w:rPr>
        <w:t>Ortiz</w:t>
      </w:r>
      <w:r>
        <w:rPr>
          <w:color w:val="231F20"/>
          <w:spacing w:val="-37"/>
          <w:w w:val="105"/>
          <w:sz w:val="21"/>
        </w:rPr>
        <w:t> </w:t>
      </w:r>
      <w:r>
        <w:rPr>
          <w:color w:val="231F20"/>
          <w:spacing w:val="-3"/>
          <w:w w:val="105"/>
          <w:sz w:val="21"/>
        </w:rPr>
        <w:t>Mercado’.</w:t>
      </w:r>
    </w:p>
    <w:p>
      <w:pPr>
        <w:pStyle w:val="BodyText"/>
        <w:spacing w:before="6"/>
        <w:rPr>
          <w:sz w:val="22"/>
        </w:rPr>
      </w:pPr>
    </w:p>
    <w:p>
      <w:pPr>
        <w:pStyle w:val="BodyText"/>
        <w:spacing w:line="259" w:lineRule="auto"/>
        <w:ind w:left="103" w:right="110"/>
        <w:jc w:val="both"/>
      </w:pPr>
      <w:r>
        <w:rPr>
          <w:color w:val="231F20"/>
          <w:w w:val="105"/>
        </w:rPr>
        <w:t>Rosa</w:t>
      </w:r>
      <w:r>
        <w:rPr>
          <w:color w:val="231F20"/>
          <w:spacing w:val="-42"/>
          <w:w w:val="105"/>
        </w:rPr>
        <w:t> </w:t>
      </w:r>
      <w:r>
        <w:rPr>
          <w:color w:val="231F20"/>
          <w:w w:val="105"/>
        </w:rPr>
        <w:t>Azalea</w:t>
      </w:r>
      <w:r>
        <w:rPr>
          <w:color w:val="231F20"/>
          <w:spacing w:val="-41"/>
          <w:w w:val="105"/>
        </w:rPr>
        <w:t> </w:t>
      </w:r>
      <w:r>
        <w:rPr>
          <w:color w:val="231F20"/>
          <w:w w:val="105"/>
        </w:rPr>
        <w:t>Canales</w:t>
      </w:r>
      <w:r>
        <w:rPr>
          <w:color w:val="231F20"/>
          <w:spacing w:val="-41"/>
          <w:w w:val="105"/>
        </w:rPr>
        <w:t> </w:t>
      </w:r>
      <w:r>
        <w:rPr>
          <w:color w:val="231F20"/>
          <w:w w:val="105"/>
        </w:rPr>
        <w:t>García.</w:t>
      </w:r>
      <w:r>
        <w:rPr>
          <w:color w:val="231F20"/>
          <w:spacing w:val="-41"/>
          <w:w w:val="105"/>
        </w:rPr>
        <w:t> </w:t>
      </w:r>
      <w:r>
        <w:rPr>
          <w:color w:val="231F20"/>
          <w:w w:val="105"/>
        </w:rPr>
        <w:t>Licenciatura</w:t>
      </w:r>
      <w:r>
        <w:rPr>
          <w:color w:val="231F20"/>
          <w:spacing w:val="-41"/>
          <w:w w:val="105"/>
        </w:rPr>
        <w:t> </w:t>
      </w:r>
      <w:r>
        <w:rPr>
          <w:color w:val="231F20"/>
          <w:w w:val="105"/>
        </w:rPr>
        <w:t>en</w:t>
      </w:r>
      <w:r>
        <w:rPr>
          <w:color w:val="231F20"/>
          <w:spacing w:val="-41"/>
          <w:w w:val="105"/>
        </w:rPr>
        <w:t> </w:t>
      </w:r>
      <w:r>
        <w:rPr>
          <w:color w:val="231F20"/>
          <w:w w:val="105"/>
        </w:rPr>
        <w:t>Economía</w:t>
      </w:r>
      <w:r>
        <w:rPr>
          <w:color w:val="231F20"/>
          <w:spacing w:val="-41"/>
          <w:w w:val="105"/>
        </w:rPr>
        <w:t> </w:t>
      </w:r>
      <w:r>
        <w:rPr>
          <w:color w:val="231F20"/>
          <w:w w:val="105"/>
        </w:rPr>
        <w:t>en</w:t>
      </w:r>
      <w:r>
        <w:rPr>
          <w:color w:val="231F20"/>
          <w:spacing w:val="-41"/>
          <w:w w:val="105"/>
        </w:rPr>
        <w:t> </w:t>
      </w:r>
      <w:r>
        <w:rPr>
          <w:color w:val="231F20"/>
          <w:w w:val="105"/>
        </w:rPr>
        <w:t>la</w:t>
      </w:r>
      <w:r>
        <w:rPr>
          <w:color w:val="231F20"/>
          <w:spacing w:val="-41"/>
          <w:w w:val="105"/>
        </w:rPr>
        <w:t> </w:t>
      </w:r>
      <w:r>
        <w:rPr>
          <w:color w:val="231F20"/>
          <w:w w:val="105"/>
        </w:rPr>
        <w:t>Universidad Autónoma del Estado de México, Maestría en Economía con especiali- dad en Empresas, Finanzas e Innovación en la Universidad Autónoma Metropolitana, Unidad Atzcapotzalco. Doctorado en Ciencias</w:t>
      </w:r>
      <w:r>
        <w:rPr>
          <w:color w:val="231F20"/>
          <w:spacing w:val="-22"/>
          <w:w w:val="105"/>
        </w:rPr>
        <w:t> </w:t>
      </w:r>
      <w:r>
        <w:rPr>
          <w:color w:val="231F20"/>
          <w:w w:val="105"/>
        </w:rPr>
        <w:t>Económi- co-Administrativas por la Universidad Autónoma del Estado de</w:t>
      </w:r>
      <w:r>
        <w:rPr>
          <w:color w:val="231F20"/>
          <w:spacing w:val="-22"/>
          <w:w w:val="105"/>
        </w:rPr>
        <w:t> </w:t>
      </w:r>
      <w:r>
        <w:rPr>
          <w:color w:val="231F20"/>
          <w:w w:val="105"/>
        </w:rPr>
        <w:t>México. Cuenta con publicaciones a nivel nacional e internacional. Tiene perte- nencia</w:t>
      </w:r>
      <w:r>
        <w:rPr>
          <w:color w:val="231F20"/>
          <w:spacing w:val="-26"/>
          <w:w w:val="105"/>
        </w:rPr>
        <w:t> </w:t>
      </w:r>
      <w:r>
        <w:rPr>
          <w:color w:val="231F20"/>
          <w:w w:val="105"/>
        </w:rPr>
        <w:t>al</w:t>
      </w:r>
      <w:r>
        <w:rPr>
          <w:color w:val="231F20"/>
          <w:spacing w:val="-26"/>
          <w:w w:val="105"/>
        </w:rPr>
        <w:t> </w:t>
      </w:r>
      <w:r>
        <w:rPr>
          <w:color w:val="231F20"/>
          <w:w w:val="105"/>
        </w:rPr>
        <w:t>Sistema</w:t>
      </w:r>
      <w:r>
        <w:rPr>
          <w:color w:val="231F20"/>
          <w:spacing w:val="-26"/>
          <w:w w:val="105"/>
        </w:rPr>
        <w:t> </w:t>
      </w:r>
      <w:r>
        <w:rPr>
          <w:color w:val="231F20"/>
          <w:w w:val="105"/>
        </w:rPr>
        <w:t>Nacional</w:t>
      </w:r>
      <w:r>
        <w:rPr>
          <w:color w:val="231F20"/>
          <w:spacing w:val="-26"/>
          <w:w w:val="105"/>
        </w:rPr>
        <w:t> </w:t>
      </w:r>
      <w:r>
        <w:rPr>
          <w:color w:val="231F20"/>
          <w:w w:val="105"/>
        </w:rPr>
        <w:t>de</w:t>
      </w:r>
      <w:r>
        <w:rPr>
          <w:color w:val="231F20"/>
          <w:spacing w:val="-26"/>
          <w:w w:val="105"/>
        </w:rPr>
        <w:t> </w:t>
      </w:r>
      <w:r>
        <w:rPr>
          <w:color w:val="231F20"/>
          <w:w w:val="105"/>
        </w:rPr>
        <w:t>Investigadores</w:t>
      </w:r>
      <w:r>
        <w:rPr>
          <w:color w:val="231F20"/>
          <w:spacing w:val="-26"/>
          <w:w w:val="105"/>
        </w:rPr>
        <w:t> </w:t>
      </w:r>
      <w:r>
        <w:rPr>
          <w:color w:val="231F20"/>
          <w:w w:val="105"/>
        </w:rPr>
        <w:t>desde</w:t>
      </w:r>
      <w:r>
        <w:rPr>
          <w:color w:val="231F20"/>
          <w:spacing w:val="-26"/>
          <w:w w:val="105"/>
        </w:rPr>
        <w:t> </w:t>
      </w:r>
      <w:r>
        <w:rPr>
          <w:color w:val="231F20"/>
          <w:w w:val="105"/>
        </w:rPr>
        <w:t>2015.</w:t>
      </w:r>
    </w:p>
    <w:p>
      <w:pPr>
        <w:pStyle w:val="BodyText"/>
        <w:spacing w:before="6"/>
        <w:rPr>
          <w:sz w:val="22"/>
        </w:rPr>
      </w:pPr>
    </w:p>
    <w:p>
      <w:pPr>
        <w:pStyle w:val="BodyText"/>
        <w:spacing w:line="259" w:lineRule="auto"/>
        <w:ind w:left="103" w:right="109"/>
        <w:jc w:val="both"/>
      </w:pPr>
      <w:r>
        <w:rPr>
          <w:color w:val="231F20"/>
          <w:w w:val="105"/>
        </w:rPr>
        <w:t>Rosa</w:t>
      </w:r>
      <w:r>
        <w:rPr>
          <w:color w:val="231F20"/>
          <w:spacing w:val="-21"/>
          <w:w w:val="105"/>
        </w:rPr>
        <w:t> </w:t>
      </w:r>
      <w:r>
        <w:rPr>
          <w:color w:val="231F20"/>
          <w:w w:val="105"/>
        </w:rPr>
        <w:t>María</w:t>
      </w:r>
      <w:r>
        <w:rPr>
          <w:color w:val="231F20"/>
          <w:spacing w:val="-21"/>
          <w:w w:val="105"/>
        </w:rPr>
        <w:t> </w:t>
      </w:r>
      <w:r>
        <w:rPr>
          <w:color w:val="231F20"/>
          <w:w w:val="105"/>
        </w:rPr>
        <w:t>Nava</w:t>
      </w:r>
      <w:r>
        <w:rPr>
          <w:color w:val="231F20"/>
          <w:spacing w:val="-21"/>
          <w:w w:val="105"/>
        </w:rPr>
        <w:t> </w:t>
      </w:r>
      <w:r>
        <w:rPr>
          <w:color w:val="231F20"/>
          <w:w w:val="105"/>
        </w:rPr>
        <w:t>Rogel.</w:t>
      </w:r>
      <w:r>
        <w:rPr>
          <w:color w:val="231F20"/>
          <w:spacing w:val="-21"/>
          <w:w w:val="105"/>
        </w:rPr>
        <w:t> </w:t>
      </w:r>
      <w:r>
        <w:rPr>
          <w:color w:val="231F20"/>
          <w:w w:val="105"/>
        </w:rPr>
        <w:t>Profesora</w:t>
      </w:r>
      <w:r>
        <w:rPr>
          <w:color w:val="231F20"/>
          <w:spacing w:val="-21"/>
          <w:w w:val="105"/>
        </w:rPr>
        <w:t> </w:t>
      </w:r>
      <w:r>
        <w:rPr>
          <w:color w:val="231F20"/>
          <w:w w:val="105"/>
        </w:rPr>
        <w:t>investigadora</w:t>
      </w:r>
      <w:r>
        <w:rPr>
          <w:color w:val="231F20"/>
          <w:spacing w:val="-21"/>
          <w:w w:val="105"/>
        </w:rPr>
        <w:t> </w:t>
      </w:r>
      <w:r>
        <w:rPr>
          <w:color w:val="231F20"/>
          <w:w w:val="105"/>
        </w:rPr>
        <w:t>de</w:t>
      </w:r>
      <w:r>
        <w:rPr>
          <w:color w:val="231F20"/>
          <w:spacing w:val="-21"/>
          <w:w w:val="105"/>
        </w:rPr>
        <w:t> </w:t>
      </w:r>
      <w:r>
        <w:rPr>
          <w:color w:val="231F20"/>
          <w:w w:val="105"/>
        </w:rPr>
        <w:t>tiempo</w:t>
      </w:r>
      <w:r>
        <w:rPr>
          <w:color w:val="231F20"/>
          <w:spacing w:val="-21"/>
          <w:w w:val="105"/>
        </w:rPr>
        <w:t> </w:t>
      </w:r>
      <w:r>
        <w:rPr>
          <w:color w:val="231F20"/>
          <w:w w:val="105"/>
        </w:rPr>
        <w:t>completo</w:t>
      </w:r>
      <w:r>
        <w:rPr>
          <w:color w:val="231F20"/>
          <w:spacing w:val="-21"/>
          <w:w w:val="105"/>
        </w:rPr>
        <w:t> </w:t>
      </w:r>
      <w:r>
        <w:rPr>
          <w:color w:val="231F20"/>
          <w:w w:val="105"/>
        </w:rPr>
        <w:t>de la</w:t>
      </w:r>
      <w:r>
        <w:rPr>
          <w:color w:val="231F20"/>
          <w:spacing w:val="-15"/>
          <w:w w:val="105"/>
        </w:rPr>
        <w:t> </w:t>
      </w:r>
      <w:r>
        <w:rPr>
          <w:color w:val="231F20"/>
          <w:w w:val="105"/>
        </w:rPr>
        <w:t>Facultad</w:t>
      </w:r>
      <w:r>
        <w:rPr>
          <w:color w:val="231F20"/>
          <w:spacing w:val="-15"/>
          <w:w w:val="105"/>
        </w:rPr>
        <w:t> </w:t>
      </w:r>
      <w:r>
        <w:rPr>
          <w:color w:val="231F20"/>
          <w:w w:val="105"/>
        </w:rPr>
        <w:t>de</w:t>
      </w:r>
      <w:r>
        <w:rPr>
          <w:color w:val="231F20"/>
          <w:spacing w:val="-15"/>
          <w:w w:val="105"/>
        </w:rPr>
        <w:t> </w:t>
      </w:r>
      <w:r>
        <w:rPr>
          <w:color w:val="231F20"/>
          <w:w w:val="105"/>
        </w:rPr>
        <w:t>Contaduría</w:t>
      </w:r>
      <w:r>
        <w:rPr>
          <w:color w:val="231F20"/>
          <w:spacing w:val="-15"/>
          <w:w w:val="105"/>
        </w:rPr>
        <w:t> </w:t>
      </w:r>
      <w:r>
        <w:rPr>
          <w:color w:val="231F20"/>
          <w:w w:val="105"/>
        </w:rPr>
        <w:t>y</w:t>
      </w:r>
      <w:r>
        <w:rPr>
          <w:color w:val="231F20"/>
          <w:spacing w:val="-18"/>
          <w:w w:val="105"/>
        </w:rPr>
        <w:t> </w:t>
      </w:r>
      <w:r>
        <w:rPr>
          <w:color w:val="231F20"/>
          <w:w w:val="105"/>
        </w:rPr>
        <w:t>Administración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Universidad</w:t>
      </w:r>
      <w:r>
        <w:rPr>
          <w:color w:val="231F20"/>
          <w:spacing w:val="-18"/>
          <w:w w:val="105"/>
        </w:rPr>
        <w:t> </w:t>
      </w:r>
      <w:r>
        <w:rPr>
          <w:color w:val="231F20"/>
          <w:w w:val="105"/>
        </w:rPr>
        <w:t>Autónoma del</w:t>
      </w:r>
      <w:r>
        <w:rPr>
          <w:color w:val="231F20"/>
          <w:spacing w:val="-21"/>
          <w:w w:val="105"/>
        </w:rPr>
        <w:t> </w:t>
      </w:r>
      <w:r>
        <w:rPr>
          <w:color w:val="231F20"/>
          <w:w w:val="105"/>
        </w:rPr>
        <w:t>Estado</w:t>
      </w:r>
      <w:r>
        <w:rPr>
          <w:color w:val="231F20"/>
          <w:spacing w:val="-21"/>
          <w:w w:val="105"/>
        </w:rPr>
        <w:t> </w:t>
      </w:r>
      <w:r>
        <w:rPr>
          <w:color w:val="231F20"/>
          <w:w w:val="105"/>
        </w:rPr>
        <w:t>de</w:t>
      </w:r>
      <w:r>
        <w:rPr>
          <w:color w:val="231F20"/>
          <w:spacing w:val="-21"/>
          <w:w w:val="105"/>
        </w:rPr>
        <w:t> </w:t>
      </w:r>
      <w:r>
        <w:rPr>
          <w:color w:val="231F20"/>
          <w:w w:val="105"/>
        </w:rPr>
        <w:t>México,</w:t>
      </w:r>
      <w:r>
        <w:rPr>
          <w:color w:val="231F20"/>
          <w:spacing w:val="-26"/>
          <w:w w:val="105"/>
        </w:rPr>
        <w:t> </w:t>
      </w:r>
      <w:r>
        <w:rPr>
          <w:color w:val="231F20"/>
          <w:w w:val="105"/>
        </w:rPr>
        <w:t>Licenciada</w:t>
      </w:r>
      <w:r>
        <w:rPr>
          <w:color w:val="231F20"/>
          <w:spacing w:val="-21"/>
          <w:w w:val="105"/>
        </w:rPr>
        <w:t> </w:t>
      </w:r>
      <w:r>
        <w:rPr>
          <w:color w:val="231F20"/>
          <w:w w:val="105"/>
        </w:rPr>
        <w:t>en</w:t>
      </w:r>
      <w:r>
        <w:rPr>
          <w:color w:val="231F20"/>
          <w:spacing w:val="-21"/>
          <w:w w:val="105"/>
        </w:rPr>
        <w:t> </w:t>
      </w:r>
      <w:r>
        <w:rPr>
          <w:color w:val="231F20"/>
          <w:w w:val="105"/>
        </w:rPr>
        <w:t>Contador</w:t>
      </w:r>
      <w:r>
        <w:rPr>
          <w:color w:val="231F20"/>
          <w:spacing w:val="-21"/>
          <w:w w:val="105"/>
        </w:rPr>
        <w:t> </w:t>
      </w:r>
      <w:r>
        <w:rPr>
          <w:color w:val="231F20"/>
          <w:w w:val="105"/>
        </w:rPr>
        <w:t>Público</w:t>
      </w:r>
      <w:r>
        <w:rPr>
          <w:color w:val="231F20"/>
          <w:spacing w:val="-21"/>
          <w:w w:val="105"/>
        </w:rPr>
        <w:t> </w:t>
      </w:r>
      <w:r>
        <w:rPr>
          <w:color w:val="231F20"/>
          <w:w w:val="105"/>
        </w:rPr>
        <w:t>y</w:t>
      </w:r>
      <w:r>
        <w:rPr>
          <w:color w:val="231F20"/>
          <w:spacing w:val="-21"/>
          <w:w w:val="105"/>
        </w:rPr>
        <w:t> </w:t>
      </w:r>
      <w:r>
        <w:rPr>
          <w:color w:val="231F20"/>
          <w:w w:val="105"/>
        </w:rPr>
        <w:t>Maestría</w:t>
      </w:r>
      <w:r>
        <w:rPr>
          <w:color w:val="231F20"/>
          <w:spacing w:val="-21"/>
          <w:w w:val="105"/>
        </w:rPr>
        <w:t> </w:t>
      </w:r>
      <w:r>
        <w:rPr>
          <w:color w:val="231F20"/>
          <w:w w:val="105"/>
        </w:rPr>
        <w:t>en</w:t>
      </w:r>
      <w:r>
        <w:rPr>
          <w:color w:val="231F20"/>
          <w:spacing w:val="-24"/>
          <w:w w:val="105"/>
        </w:rPr>
        <w:t> </w:t>
      </w:r>
      <w:r>
        <w:rPr>
          <w:color w:val="231F20"/>
          <w:w w:val="105"/>
        </w:rPr>
        <w:t>Ad- ministración por el Instituto Tecnológico de Monterrey, Campus</w:t>
      </w:r>
      <w:r>
        <w:rPr>
          <w:color w:val="231F20"/>
          <w:spacing w:val="-27"/>
          <w:w w:val="105"/>
        </w:rPr>
        <w:t> </w:t>
      </w:r>
      <w:r>
        <w:rPr>
          <w:color w:val="231F20"/>
          <w:spacing w:val="-3"/>
          <w:w w:val="105"/>
        </w:rPr>
        <w:t>Toluca; </w:t>
      </w:r>
      <w:r>
        <w:rPr>
          <w:color w:val="231F20"/>
          <w:w w:val="105"/>
        </w:rPr>
        <w:t>Doctora</w:t>
      </w:r>
      <w:r>
        <w:rPr>
          <w:color w:val="231F20"/>
          <w:spacing w:val="-26"/>
          <w:w w:val="105"/>
        </w:rPr>
        <w:t> </w:t>
      </w:r>
      <w:r>
        <w:rPr>
          <w:color w:val="231F20"/>
          <w:w w:val="105"/>
        </w:rPr>
        <w:t>en</w:t>
      </w:r>
      <w:r>
        <w:rPr>
          <w:color w:val="231F20"/>
          <w:spacing w:val="-26"/>
          <w:w w:val="105"/>
        </w:rPr>
        <w:t> </w:t>
      </w:r>
      <w:r>
        <w:rPr>
          <w:color w:val="231F20"/>
          <w:w w:val="105"/>
        </w:rPr>
        <w:t>Ciencias</w:t>
      </w:r>
      <w:r>
        <w:rPr>
          <w:color w:val="231F20"/>
          <w:spacing w:val="-26"/>
          <w:w w:val="105"/>
        </w:rPr>
        <w:t> </w:t>
      </w:r>
      <w:r>
        <w:rPr>
          <w:color w:val="231F20"/>
          <w:w w:val="105"/>
        </w:rPr>
        <w:t>Económico</w:t>
      </w:r>
      <w:r>
        <w:rPr>
          <w:color w:val="231F20"/>
          <w:spacing w:val="-28"/>
          <w:w w:val="105"/>
        </w:rPr>
        <w:t> </w:t>
      </w:r>
      <w:r>
        <w:rPr>
          <w:color w:val="231F20"/>
          <w:w w:val="105"/>
        </w:rPr>
        <w:t>Administrativas</w:t>
      </w:r>
      <w:r>
        <w:rPr>
          <w:color w:val="231F20"/>
          <w:spacing w:val="-26"/>
          <w:w w:val="105"/>
        </w:rPr>
        <w:t> </w:t>
      </w:r>
      <w:r>
        <w:rPr>
          <w:color w:val="231F20"/>
          <w:w w:val="105"/>
        </w:rPr>
        <w:t>por</w:t>
      </w:r>
      <w:r>
        <w:rPr>
          <w:color w:val="231F20"/>
          <w:spacing w:val="-26"/>
          <w:w w:val="105"/>
        </w:rPr>
        <w:t> </w:t>
      </w:r>
      <w:r>
        <w:rPr>
          <w:color w:val="231F20"/>
          <w:w w:val="105"/>
        </w:rPr>
        <w:t>la</w:t>
      </w:r>
      <w:r>
        <w:rPr>
          <w:color w:val="231F20"/>
          <w:spacing w:val="-26"/>
          <w:w w:val="105"/>
        </w:rPr>
        <w:t> </w:t>
      </w:r>
      <w:r>
        <w:rPr>
          <w:color w:val="231F20"/>
          <w:w w:val="105"/>
        </w:rPr>
        <w:t>Universidad</w:t>
      </w:r>
      <w:r>
        <w:rPr>
          <w:color w:val="231F20"/>
          <w:spacing w:val="-28"/>
          <w:w w:val="105"/>
        </w:rPr>
        <w:t> </w:t>
      </w:r>
      <w:r>
        <w:rPr>
          <w:color w:val="231F20"/>
          <w:w w:val="105"/>
        </w:rPr>
        <w:t>Autó- noma del Estado de México. Integrante del Cuerpo Académico</w:t>
      </w:r>
      <w:r>
        <w:rPr>
          <w:color w:val="231F20"/>
          <w:spacing w:val="-41"/>
          <w:w w:val="105"/>
        </w:rPr>
        <w:t> </w:t>
      </w:r>
      <w:r>
        <w:rPr>
          <w:color w:val="231F20"/>
          <w:w w:val="105"/>
        </w:rPr>
        <w:t>Gestión del</w:t>
      </w:r>
      <w:r>
        <w:rPr>
          <w:color w:val="231F20"/>
          <w:spacing w:val="-7"/>
          <w:w w:val="105"/>
        </w:rPr>
        <w:t> </w:t>
      </w:r>
      <w:r>
        <w:rPr>
          <w:color w:val="231F20"/>
          <w:w w:val="105"/>
        </w:rPr>
        <w:t>Capital</w:t>
      </w:r>
      <w:r>
        <w:rPr>
          <w:color w:val="231F20"/>
          <w:spacing w:val="-7"/>
          <w:w w:val="105"/>
        </w:rPr>
        <w:t> </w:t>
      </w:r>
      <w:r>
        <w:rPr>
          <w:color w:val="231F20"/>
          <w:w w:val="105"/>
        </w:rPr>
        <w:t>Intelectual.</w:t>
      </w:r>
      <w:r>
        <w:rPr>
          <w:color w:val="231F20"/>
          <w:spacing w:val="-14"/>
          <w:w w:val="105"/>
        </w:rPr>
        <w:t> </w:t>
      </w:r>
      <w:r>
        <w:rPr>
          <w:color w:val="231F20"/>
          <w:w w:val="105"/>
        </w:rPr>
        <w:t>Su</w:t>
      </w:r>
      <w:r>
        <w:rPr>
          <w:color w:val="231F20"/>
          <w:spacing w:val="-7"/>
          <w:w w:val="105"/>
        </w:rPr>
        <w:t> </w:t>
      </w:r>
      <w:r>
        <w:rPr>
          <w:color w:val="231F20"/>
          <w:w w:val="105"/>
        </w:rPr>
        <w:t>producción</w:t>
      </w:r>
      <w:r>
        <w:rPr>
          <w:color w:val="231F20"/>
          <w:spacing w:val="-7"/>
          <w:w w:val="105"/>
        </w:rPr>
        <w:t> </w:t>
      </w:r>
      <w:r>
        <w:rPr>
          <w:color w:val="231F20"/>
          <w:w w:val="105"/>
        </w:rPr>
        <w:t>científica</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publicada</w:t>
      </w:r>
      <w:r>
        <w:rPr>
          <w:color w:val="231F20"/>
          <w:spacing w:val="-7"/>
          <w:w w:val="105"/>
        </w:rPr>
        <w:t> </w:t>
      </w:r>
      <w:r>
        <w:rPr>
          <w:color w:val="231F20"/>
          <w:w w:val="105"/>
        </w:rPr>
        <w:t>en</w:t>
      </w:r>
      <w:r>
        <w:rPr>
          <w:color w:val="231F20"/>
          <w:spacing w:val="-7"/>
          <w:w w:val="105"/>
        </w:rPr>
        <w:t> </w:t>
      </w:r>
      <w:r>
        <w:rPr>
          <w:color w:val="231F20"/>
          <w:w w:val="105"/>
        </w:rPr>
        <w:t>re- vistas</w:t>
      </w:r>
      <w:r>
        <w:rPr>
          <w:color w:val="231F20"/>
          <w:spacing w:val="-42"/>
          <w:w w:val="105"/>
        </w:rPr>
        <w:t> </w:t>
      </w:r>
      <w:r>
        <w:rPr>
          <w:color w:val="231F20"/>
          <w:w w:val="105"/>
        </w:rPr>
        <w:t>nacionales</w:t>
      </w:r>
      <w:r>
        <w:rPr>
          <w:color w:val="231F20"/>
          <w:spacing w:val="-42"/>
          <w:w w:val="105"/>
        </w:rPr>
        <w:t> </w:t>
      </w:r>
      <w:r>
        <w:rPr>
          <w:color w:val="231F20"/>
          <w:w w:val="105"/>
        </w:rPr>
        <w:t>e</w:t>
      </w:r>
      <w:r>
        <w:rPr>
          <w:color w:val="231F20"/>
          <w:spacing w:val="-42"/>
          <w:w w:val="105"/>
        </w:rPr>
        <w:t> </w:t>
      </w:r>
      <w:r>
        <w:rPr>
          <w:color w:val="231F20"/>
          <w:w w:val="105"/>
        </w:rPr>
        <w:t>internacionales.</w:t>
      </w:r>
      <w:r>
        <w:rPr>
          <w:color w:val="231F20"/>
          <w:spacing w:val="-42"/>
          <w:w w:val="105"/>
        </w:rPr>
        <w:t> </w:t>
      </w:r>
      <w:r>
        <w:rPr>
          <w:color w:val="231F20"/>
          <w:w w:val="105"/>
        </w:rPr>
        <w:t>Áreas</w:t>
      </w:r>
      <w:r>
        <w:rPr>
          <w:color w:val="231F20"/>
          <w:spacing w:val="-42"/>
          <w:w w:val="105"/>
        </w:rPr>
        <w:t> </w:t>
      </w:r>
      <w:r>
        <w:rPr>
          <w:color w:val="231F20"/>
          <w:w w:val="105"/>
        </w:rPr>
        <w:t>de</w:t>
      </w:r>
      <w:r>
        <w:rPr>
          <w:color w:val="231F20"/>
          <w:spacing w:val="-42"/>
          <w:w w:val="105"/>
        </w:rPr>
        <w:t> </w:t>
      </w:r>
      <w:r>
        <w:rPr>
          <w:color w:val="231F20"/>
          <w:w w:val="105"/>
        </w:rPr>
        <w:t>Interés:</w:t>
      </w:r>
      <w:r>
        <w:rPr>
          <w:color w:val="231F20"/>
          <w:spacing w:val="-42"/>
          <w:w w:val="105"/>
        </w:rPr>
        <w:t> </w:t>
      </w:r>
      <w:r>
        <w:rPr>
          <w:color w:val="231F20"/>
          <w:w w:val="105"/>
        </w:rPr>
        <w:t>Educación</w:t>
      </w:r>
      <w:r>
        <w:rPr>
          <w:color w:val="231F20"/>
          <w:spacing w:val="-42"/>
          <w:w w:val="105"/>
        </w:rPr>
        <w:t> </w:t>
      </w:r>
      <w:r>
        <w:rPr>
          <w:color w:val="231F20"/>
          <w:w w:val="105"/>
        </w:rPr>
        <w:t>Superior, Capital</w:t>
      </w:r>
      <w:r>
        <w:rPr>
          <w:color w:val="231F20"/>
          <w:spacing w:val="-19"/>
          <w:w w:val="105"/>
        </w:rPr>
        <w:t> </w:t>
      </w:r>
      <w:r>
        <w:rPr>
          <w:color w:val="231F20"/>
          <w:w w:val="105"/>
        </w:rPr>
        <w:t>Intelectual</w:t>
      </w:r>
      <w:r>
        <w:rPr>
          <w:color w:val="231F20"/>
          <w:spacing w:val="-19"/>
          <w:w w:val="105"/>
        </w:rPr>
        <w:t> </w:t>
      </w:r>
      <w:r>
        <w:rPr>
          <w:color w:val="231F20"/>
          <w:w w:val="105"/>
        </w:rPr>
        <w:t>y</w:t>
      </w:r>
      <w:r>
        <w:rPr>
          <w:color w:val="231F20"/>
          <w:spacing w:val="-19"/>
          <w:w w:val="105"/>
        </w:rPr>
        <w:t> </w:t>
      </w:r>
      <w:r>
        <w:rPr>
          <w:color w:val="231F20"/>
          <w:w w:val="105"/>
        </w:rPr>
        <w:t>modelos</w:t>
      </w:r>
      <w:r>
        <w:rPr>
          <w:color w:val="231F20"/>
          <w:spacing w:val="-19"/>
          <w:w w:val="105"/>
        </w:rPr>
        <w:t> </w:t>
      </w:r>
      <w:r>
        <w:rPr>
          <w:color w:val="231F20"/>
          <w:w w:val="105"/>
        </w:rPr>
        <w:t>multivariables.</w:t>
      </w:r>
    </w:p>
    <w:p>
      <w:pPr>
        <w:pStyle w:val="BodyText"/>
        <w:spacing w:before="6"/>
        <w:rPr>
          <w:sz w:val="22"/>
        </w:rPr>
      </w:pPr>
    </w:p>
    <w:p>
      <w:pPr>
        <w:pStyle w:val="BodyText"/>
        <w:spacing w:line="259" w:lineRule="auto"/>
        <w:ind w:left="103" w:right="114"/>
        <w:jc w:val="both"/>
      </w:pPr>
      <w:r>
        <w:rPr>
          <w:color w:val="231F20"/>
          <w:w w:val="105"/>
        </w:rPr>
        <w:t>Sara</w:t>
      </w:r>
      <w:r>
        <w:rPr>
          <w:color w:val="231F20"/>
          <w:spacing w:val="-32"/>
          <w:w w:val="105"/>
        </w:rPr>
        <w:t> </w:t>
      </w:r>
      <w:r>
        <w:rPr>
          <w:color w:val="231F20"/>
          <w:w w:val="105"/>
        </w:rPr>
        <w:t>Quiroz</w:t>
      </w:r>
      <w:r>
        <w:rPr>
          <w:color w:val="231F20"/>
          <w:spacing w:val="-32"/>
          <w:w w:val="105"/>
        </w:rPr>
        <w:t> </w:t>
      </w:r>
      <w:r>
        <w:rPr>
          <w:color w:val="231F20"/>
          <w:w w:val="105"/>
        </w:rPr>
        <w:t>Cuenca.</w:t>
      </w:r>
      <w:r>
        <w:rPr>
          <w:color w:val="231F20"/>
          <w:spacing w:val="-32"/>
          <w:w w:val="105"/>
        </w:rPr>
        <w:t> </w:t>
      </w:r>
      <w:r>
        <w:rPr>
          <w:color w:val="231F20"/>
          <w:w w:val="105"/>
        </w:rPr>
        <w:t>Doctora</w:t>
      </w:r>
      <w:r>
        <w:rPr>
          <w:color w:val="231F20"/>
          <w:spacing w:val="-32"/>
          <w:w w:val="105"/>
        </w:rPr>
        <w:t> </w:t>
      </w:r>
      <w:r>
        <w:rPr>
          <w:color w:val="231F20"/>
          <w:w w:val="105"/>
        </w:rPr>
        <w:t>en</w:t>
      </w:r>
      <w:r>
        <w:rPr>
          <w:color w:val="231F20"/>
          <w:spacing w:val="-32"/>
          <w:w w:val="105"/>
        </w:rPr>
        <w:t> </w:t>
      </w:r>
      <w:r>
        <w:rPr>
          <w:color w:val="231F20"/>
          <w:w w:val="105"/>
        </w:rPr>
        <w:t>Ciencias</w:t>
      </w:r>
      <w:r>
        <w:rPr>
          <w:color w:val="231F20"/>
          <w:spacing w:val="-32"/>
          <w:w w:val="105"/>
        </w:rPr>
        <w:t> </w:t>
      </w:r>
      <w:r>
        <w:rPr>
          <w:color w:val="231F20"/>
          <w:w w:val="105"/>
        </w:rPr>
        <w:t>Sociales.</w:t>
      </w:r>
      <w:r>
        <w:rPr>
          <w:color w:val="231F20"/>
          <w:spacing w:val="-38"/>
          <w:w w:val="105"/>
        </w:rPr>
        <w:t> </w:t>
      </w:r>
      <w:r>
        <w:rPr>
          <w:color w:val="231F20"/>
          <w:w w:val="105"/>
        </w:rPr>
        <w:t>Adscrita</w:t>
      </w:r>
      <w:r>
        <w:rPr>
          <w:color w:val="231F20"/>
          <w:spacing w:val="-32"/>
          <w:w w:val="105"/>
        </w:rPr>
        <w:t> </w:t>
      </w:r>
      <w:r>
        <w:rPr>
          <w:color w:val="231F20"/>
          <w:w w:val="105"/>
        </w:rPr>
        <w:t>a</w:t>
      </w:r>
      <w:r>
        <w:rPr>
          <w:color w:val="231F20"/>
          <w:spacing w:val="-32"/>
          <w:w w:val="105"/>
        </w:rPr>
        <w:t> </w:t>
      </w:r>
      <w:r>
        <w:rPr>
          <w:color w:val="231F20"/>
          <w:w w:val="105"/>
        </w:rPr>
        <w:t>la</w:t>
      </w:r>
      <w:r>
        <w:rPr>
          <w:color w:val="231F20"/>
          <w:spacing w:val="-32"/>
          <w:w w:val="105"/>
        </w:rPr>
        <w:t> </w:t>
      </w:r>
      <w:r>
        <w:rPr>
          <w:color w:val="231F20"/>
          <w:w w:val="105"/>
        </w:rPr>
        <w:t>Facultad de</w:t>
      </w:r>
      <w:r>
        <w:rPr>
          <w:color w:val="231F20"/>
          <w:spacing w:val="-16"/>
          <w:w w:val="105"/>
        </w:rPr>
        <w:t> </w:t>
      </w:r>
      <w:r>
        <w:rPr>
          <w:color w:val="231F20"/>
          <w:w w:val="105"/>
        </w:rPr>
        <w:t>Economia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Universidad</w:t>
      </w:r>
      <w:r>
        <w:rPr>
          <w:color w:val="231F20"/>
          <w:spacing w:val="-19"/>
          <w:w w:val="105"/>
        </w:rPr>
        <w:t> </w:t>
      </w:r>
      <w:r>
        <w:rPr>
          <w:color w:val="231F20"/>
          <w:w w:val="105"/>
        </w:rPr>
        <w:t>Autónoma</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21"/>
          <w:w w:val="105"/>
        </w:rPr>
        <w:t> </w:t>
      </w:r>
      <w:r>
        <w:rPr>
          <w:color w:val="231F20"/>
          <w:w w:val="105"/>
        </w:rPr>
        <w:t>Líneas de</w:t>
      </w:r>
      <w:r>
        <w:rPr>
          <w:color w:val="231F20"/>
          <w:spacing w:val="-36"/>
          <w:w w:val="105"/>
        </w:rPr>
        <w:t> </w:t>
      </w:r>
      <w:r>
        <w:rPr>
          <w:color w:val="231F20"/>
          <w:w w:val="105"/>
        </w:rPr>
        <w:t>Investigación:</w:t>
      </w:r>
      <w:r>
        <w:rPr>
          <w:color w:val="231F20"/>
          <w:spacing w:val="-36"/>
          <w:w w:val="105"/>
        </w:rPr>
        <w:t> </w:t>
      </w:r>
      <w:r>
        <w:rPr>
          <w:color w:val="231F20"/>
          <w:w w:val="105"/>
        </w:rPr>
        <w:t>Economía</w:t>
      </w:r>
      <w:r>
        <w:rPr>
          <w:color w:val="231F20"/>
          <w:spacing w:val="-36"/>
          <w:w w:val="105"/>
        </w:rPr>
        <w:t> </w:t>
      </w:r>
      <w:r>
        <w:rPr>
          <w:color w:val="231F20"/>
          <w:w w:val="105"/>
        </w:rPr>
        <w:t>Internacional</w:t>
      </w:r>
      <w:r>
        <w:rPr>
          <w:color w:val="231F20"/>
          <w:spacing w:val="-36"/>
          <w:w w:val="105"/>
        </w:rPr>
        <w:t> </w:t>
      </w:r>
      <w:r>
        <w:rPr>
          <w:color w:val="231F20"/>
          <w:w w:val="105"/>
        </w:rPr>
        <w:t>y</w:t>
      </w:r>
      <w:r>
        <w:rPr>
          <w:color w:val="231F20"/>
          <w:spacing w:val="-36"/>
          <w:w w:val="105"/>
        </w:rPr>
        <w:t> </w:t>
      </w:r>
      <w:r>
        <w:rPr>
          <w:color w:val="231F20"/>
          <w:w w:val="105"/>
        </w:rPr>
        <w:t>Sectores</w:t>
      </w:r>
      <w:r>
        <w:rPr>
          <w:color w:val="231F20"/>
          <w:spacing w:val="-36"/>
          <w:w w:val="105"/>
        </w:rPr>
        <w:t> </w:t>
      </w:r>
      <w:r>
        <w:rPr>
          <w:color w:val="231F20"/>
          <w:w w:val="105"/>
        </w:rPr>
        <w:t>Productivos.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spacing w:before="59"/>
        <w:ind w:left="212" w:right="17" w:firstLine="0"/>
        <w:jc w:val="left"/>
        <w:rPr>
          <w:sz w:val="20"/>
        </w:rPr>
      </w:pPr>
      <w:r>
        <w:rPr/>
        <w:pict>
          <v:group style="position:absolute;margin-left:101.817299pt;margin-top:-18.173717pt;width:17.850pt;height:56.5pt;mso-position-horizontal-relative:page;mso-position-vertical-relative:paragraph;z-index:10936" coordorigin="2036,-363" coordsize="357,1130">
            <v:line style="position:absolute" from="2211,47" to="2211,763" stroked="true" strokeweight=".35pt" strokecolor="#231f20"/>
            <v:shape style="position:absolute;left:2036;top:-363;width:356;height:783" type="#_x0000_t75" stroked="false">
              <v:imagedata r:id="rId19" o:title=""/>
            </v:shape>
            <w10:wrap type="none"/>
          </v:group>
        </w:pict>
      </w:r>
      <w:r>
        <w:rPr>
          <w:color w:val="414042"/>
          <w:sz w:val="20"/>
        </w:rPr>
        <w:t>314</w:t>
      </w:r>
    </w:p>
    <w:p>
      <w:pPr>
        <w:spacing w:after="0"/>
        <w:jc w:val="left"/>
        <w:rPr>
          <w:sz w:val="20"/>
        </w:rPr>
        <w:sectPr>
          <w:pgSz w:w="9640" w:h="13890"/>
          <w:pgMar w:top="1300" w:bottom="0" w:left="12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spacing w:line="225" w:lineRule="exact" w:before="53"/>
        <w:ind w:left="1244" w:right="1131" w:firstLine="0"/>
        <w:jc w:val="center"/>
        <w:rPr>
          <w:rFonts w:ascii="Times New Roman" w:hAnsi="Times New Roman"/>
          <w:sz w:val="20"/>
        </w:rPr>
      </w:pPr>
      <w:r>
        <w:rPr>
          <w:rFonts w:ascii="Times New Roman" w:hAnsi="Times New Roman"/>
          <w:color w:val="414042"/>
          <w:sz w:val="20"/>
        </w:rPr>
        <w:t>Aportaciones a los Estudios Económico-Administrativos</w:t>
      </w:r>
    </w:p>
    <w:p>
      <w:pPr>
        <w:spacing w:line="225" w:lineRule="exact" w:before="0"/>
        <w:ind w:left="1244" w:right="1131" w:firstLine="0"/>
        <w:jc w:val="center"/>
        <w:rPr>
          <w:rFonts w:ascii="Times New Roman" w:hAnsi="Times New Roman"/>
          <w:i/>
          <w:sz w:val="20"/>
        </w:rPr>
      </w:pPr>
      <w:r>
        <w:rPr>
          <w:rFonts w:ascii="Times New Roman" w:hAnsi="Times New Roman"/>
          <w:i/>
          <w:color w:val="414042"/>
          <w:sz w:val="20"/>
        </w:rPr>
        <w:t>Reflexiones teóricas y evidencias empíricas</w:t>
      </w:r>
    </w:p>
    <w:p>
      <w:pPr>
        <w:spacing w:line="271" w:lineRule="auto" w:before="130"/>
        <w:ind w:left="1256" w:right="1140" w:firstLine="0"/>
        <w:jc w:val="both"/>
        <w:rPr>
          <w:sz w:val="17"/>
        </w:rPr>
      </w:pPr>
      <w:r>
        <w:rPr>
          <w:color w:val="231F20"/>
          <w:sz w:val="17"/>
        </w:rPr>
        <w:t>de</w:t>
      </w:r>
      <w:r>
        <w:rPr>
          <w:color w:val="231F20"/>
          <w:spacing w:val="-15"/>
          <w:sz w:val="17"/>
        </w:rPr>
        <w:t> </w:t>
      </w:r>
      <w:r>
        <w:rPr>
          <w:color w:val="231F20"/>
          <w:sz w:val="17"/>
        </w:rPr>
        <w:t>Patricia</w:t>
      </w:r>
      <w:r>
        <w:rPr>
          <w:color w:val="231F20"/>
          <w:spacing w:val="-15"/>
          <w:sz w:val="17"/>
        </w:rPr>
        <w:t> </w:t>
      </w:r>
      <w:r>
        <w:rPr>
          <w:color w:val="231F20"/>
          <w:sz w:val="17"/>
        </w:rPr>
        <w:t>Mercado</w:t>
      </w:r>
      <w:r>
        <w:rPr>
          <w:color w:val="231F20"/>
          <w:spacing w:val="-15"/>
          <w:sz w:val="17"/>
        </w:rPr>
        <w:t> </w:t>
      </w:r>
      <w:r>
        <w:rPr>
          <w:color w:val="231F20"/>
          <w:sz w:val="17"/>
        </w:rPr>
        <w:t>Salgado</w:t>
      </w:r>
      <w:r>
        <w:rPr>
          <w:color w:val="231F20"/>
          <w:spacing w:val="-15"/>
          <w:sz w:val="17"/>
        </w:rPr>
        <w:t> </w:t>
      </w:r>
      <w:r>
        <w:rPr>
          <w:color w:val="231F20"/>
          <w:sz w:val="17"/>
        </w:rPr>
        <w:t>y</w:t>
      </w:r>
      <w:r>
        <w:rPr>
          <w:color w:val="231F20"/>
          <w:spacing w:val="-15"/>
          <w:sz w:val="17"/>
        </w:rPr>
        <w:t> </w:t>
      </w:r>
      <w:r>
        <w:rPr>
          <w:color w:val="231F20"/>
          <w:sz w:val="17"/>
        </w:rPr>
        <w:t>Daniel</w:t>
      </w:r>
      <w:r>
        <w:rPr>
          <w:color w:val="231F20"/>
          <w:spacing w:val="-15"/>
          <w:sz w:val="17"/>
        </w:rPr>
        <w:t> </w:t>
      </w:r>
      <w:r>
        <w:rPr>
          <w:color w:val="231F20"/>
          <w:sz w:val="17"/>
        </w:rPr>
        <w:t>Arturo</w:t>
      </w:r>
      <w:r>
        <w:rPr>
          <w:color w:val="231F20"/>
          <w:spacing w:val="-15"/>
          <w:sz w:val="17"/>
        </w:rPr>
        <w:t> </w:t>
      </w:r>
      <w:r>
        <w:rPr>
          <w:color w:val="231F20"/>
          <w:sz w:val="17"/>
        </w:rPr>
        <w:t>Cernas</w:t>
      </w:r>
      <w:r>
        <w:rPr>
          <w:color w:val="231F20"/>
          <w:spacing w:val="-15"/>
          <w:sz w:val="17"/>
        </w:rPr>
        <w:t> </w:t>
      </w:r>
      <w:r>
        <w:rPr>
          <w:color w:val="231F20"/>
          <w:sz w:val="17"/>
        </w:rPr>
        <w:t>Ortiz,</w:t>
      </w:r>
      <w:r>
        <w:rPr>
          <w:color w:val="231F20"/>
          <w:spacing w:val="-15"/>
          <w:sz w:val="17"/>
        </w:rPr>
        <w:t> </w:t>
      </w:r>
      <w:r>
        <w:rPr>
          <w:color w:val="231F20"/>
          <w:sz w:val="17"/>
        </w:rPr>
        <w:t>fue </w:t>
      </w:r>
      <w:r>
        <w:rPr>
          <w:color w:val="231F20"/>
          <w:spacing w:val="-3"/>
          <w:sz w:val="17"/>
        </w:rPr>
        <w:t>impreso</w:t>
      </w:r>
      <w:r>
        <w:rPr>
          <w:color w:val="231F20"/>
          <w:spacing w:val="-34"/>
          <w:sz w:val="17"/>
        </w:rPr>
        <w:t> </w:t>
      </w:r>
      <w:r>
        <w:rPr>
          <w:color w:val="231F20"/>
          <w:sz w:val="17"/>
        </w:rPr>
        <w:t>en</w:t>
      </w:r>
      <w:r>
        <w:rPr>
          <w:color w:val="231F20"/>
          <w:spacing w:val="-34"/>
          <w:sz w:val="17"/>
        </w:rPr>
        <w:t> </w:t>
      </w:r>
      <w:r>
        <w:rPr>
          <w:color w:val="231F20"/>
          <w:sz w:val="17"/>
        </w:rPr>
        <w:t>los</w:t>
      </w:r>
      <w:r>
        <w:rPr>
          <w:color w:val="231F20"/>
          <w:spacing w:val="-34"/>
          <w:sz w:val="17"/>
        </w:rPr>
        <w:t> </w:t>
      </w:r>
      <w:r>
        <w:rPr>
          <w:color w:val="231F20"/>
          <w:spacing w:val="-3"/>
          <w:sz w:val="17"/>
        </w:rPr>
        <w:t>talleres</w:t>
      </w:r>
      <w:r>
        <w:rPr>
          <w:color w:val="231F20"/>
          <w:spacing w:val="-34"/>
          <w:sz w:val="17"/>
        </w:rPr>
        <w:t> </w:t>
      </w:r>
      <w:r>
        <w:rPr>
          <w:color w:val="231F20"/>
          <w:sz w:val="17"/>
        </w:rPr>
        <w:t>de</w:t>
      </w:r>
      <w:r>
        <w:rPr>
          <w:color w:val="231F20"/>
          <w:spacing w:val="-34"/>
          <w:sz w:val="17"/>
        </w:rPr>
        <w:t> </w:t>
      </w:r>
      <w:r>
        <w:rPr>
          <w:color w:val="231F20"/>
          <w:spacing w:val="-3"/>
          <w:sz w:val="17"/>
        </w:rPr>
        <w:t>Editorial</w:t>
      </w:r>
      <w:r>
        <w:rPr>
          <w:color w:val="231F20"/>
          <w:spacing w:val="-34"/>
          <w:sz w:val="17"/>
        </w:rPr>
        <w:t> </w:t>
      </w:r>
      <w:r>
        <w:rPr>
          <w:color w:val="231F20"/>
          <w:sz w:val="16"/>
        </w:rPr>
        <w:t>CIGOME</w:t>
      </w:r>
      <w:r>
        <w:rPr>
          <w:color w:val="231F20"/>
          <w:sz w:val="17"/>
        </w:rPr>
        <w:t>,</w:t>
      </w:r>
      <w:r>
        <w:rPr>
          <w:color w:val="231F20"/>
          <w:spacing w:val="-34"/>
          <w:sz w:val="17"/>
        </w:rPr>
        <w:t> </w:t>
      </w:r>
      <w:r>
        <w:rPr>
          <w:color w:val="231F20"/>
          <w:spacing w:val="-3"/>
          <w:sz w:val="17"/>
        </w:rPr>
        <w:t>S.A.</w:t>
      </w:r>
      <w:r>
        <w:rPr>
          <w:color w:val="231F20"/>
          <w:spacing w:val="-34"/>
          <w:sz w:val="17"/>
        </w:rPr>
        <w:t> </w:t>
      </w:r>
      <w:r>
        <w:rPr>
          <w:color w:val="231F20"/>
          <w:sz w:val="17"/>
        </w:rPr>
        <w:t>de</w:t>
      </w:r>
      <w:r>
        <w:rPr>
          <w:color w:val="231F20"/>
          <w:spacing w:val="-34"/>
          <w:sz w:val="17"/>
        </w:rPr>
        <w:t> </w:t>
      </w:r>
      <w:r>
        <w:rPr>
          <w:color w:val="231F20"/>
          <w:spacing w:val="-7"/>
          <w:sz w:val="17"/>
        </w:rPr>
        <w:t>C.V.,</w:t>
      </w:r>
      <w:r>
        <w:rPr>
          <w:color w:val="231F20"/>
          <w:spacing w:val="-34"/>
          <w:sz w:val="17"/>
        </w:rPr>
        <w:t> </w:t>
      </w:r>
      <w:r>
        <w:rPr>
          <w:color w:val="231F20"/>
          <w:spacing w:val="-3"/>
          <w:sz w:val="17"/>
        </w:rPr>
        <w:t>Vialidad </w:t>
      </w:r>
      <w:r>
        <w:rPr>
          <w:color w:val="231F20"/>
          <w:sz w:val="17"/>
        </w:rPr>
        <w:t>Alfredo</w:t>
      </w:r>
      <w:r>
        <w:rPr>
          <w:color w:val="231F20"/>
          <w:spacing w:val="-15"/>
          <w:sz w:val="17"/>
        </w:rPr>
        <w:t> </w:t>
      </w:r>
      <w:r>
        <w:rPr>
          <w:color w:val="231F20"/>
          <w:sz w:val="17"/>
        </w:rPr>
        <w:t>del</w:t>
      </w:r>
      <w:r>
        <w:rPr>
          <w:color w:val="231F20"/>
          <w:spacing w:val="-15"/>
          <w:sz w:val="17"/>
        </w:rPr>
        <w:t> </w:t>
      </w:r>
      <w:r>
        <w:rPr>
          <w:color w:val="231F20"/>
          <w:sz w:val="17"/>
        </w:rPr>
        <w:t>Mazo</w:t>
      </w:r>
      <w:r>
        <w:rPr>
          <w:color w:val="231F20"/>
          <w:spacing w:val="-15"/>
          <w:sz w:val="17"/>
        </w:rPr>
        <w:t> </w:t>
      </w:r>
      <w:r>
        <w:rPr>
          <w:color w:val="231F20"/>
          <w:sz w:val="17"/>
        </w:rPr>
        <w:t>núm.</w:t>
      </w:r>
      <w:r>
        <w:rPr>
          <w:color w:val="231F20"/>
          <w:spacing w:val="-15"/>
          <w:sz w:val="17"/>
        </w:rPr>
        <w:t> </w:t>
      </w:r>
      <w:r>
        <w:rPr>
          <w:color w:val="231F20"/>
          <w:sz w:val="17"/>
        </w:rPr>
        <w:t>1524,</w:t>
      </w:r>
      <w:r>
        <w:rPr>
          <w:color w:val="231F20"/>
          <w:spacing w:val="-15"/>
          <w:sz w:val="17"/>
        </w:rPr>
        <w:t> </w:t>
      </w:r>
      <w:r>
        <w:rPr>
          <w:color w:val="231F20"/>
          <w:sz w:val="17"/>
        </w:rPr>
        <w:t>ex.</w:t>
      </w:r>
      <w:r>
        <w:rPr>
          <w:color w:val="231F20"/>
          <w:spacing w:val="-15"/>
          <w:sz w:val="17"/>
        </w:rPr>
        <w:t> </w:t>
      </w:r>
      <w:r>
        <w:rPr>
          <w:color w:val="231F20"/>
          <w:sz w:val="17"/>
        </w:rPr>
        <w:t>Hacienda</w:t>
      </w:r>
      <w:r>
        <w:rPr>
          <w:color w:val="231F20"/>
          <w:spacing w:val="-15"/>
          <w:sz w:val="17"/>
        </w:rPr>
        <w:t> </w:t>
      </w:r>
      <w:r>
        <w:rPr>
          <w:color w:val="231F20"/>
          <w:sz w:val="17"/>
        </w:rPr>
        <w:t>La</w:t>
      </w:r>
      <w:r>
        <w:rPr>
          <w:color w:val="231F20"/>
          <w:spacing w:val="-15"/>
          <w:sz w:val="17"/>
        </w:rPr>
        <w:t> </w:t>
      </w:r>
      <w:r>
        <w:rPr>
          <w:color w:val="231F20"/>
          <w:sz w:val="17"/>
        </w:rPr>
        <w:t>Magdalena</w:t>
      </w:r>
      <w:r>
        <w:rPr>
          <w:color w:val="231F20"/>
          <w:spacing w:val="-15"/>
          <w:sz w:val="17"/>
        </w:rPr>
        <w:t> </w:t>
      </w:r>
      <w:r>
        <w:rPr>
          <w:color w:val="231F20"/>
          <w:spacing w:val="-7"/>
          <w:sz w:val="17"/>
        </w:rPr>
        <w:t>C.P. </w:t>
      </w:r>
      <w:r>
        <w:rPr>
          <w:color w:val="231F20"/>
          <w:sz w:val="17"/>
        </w:rPr>
        <w:t>50010,</w:t>
      </w:r>
      <w:r>
        <w:rPr>
          <w:color w:val="231F20"/>
          <w:spacing w:val="-15"/>
          <w:sz w:val="17"/>
        </w:rPr>
        <w:t> </w:t>
      </w:r>
      <w:r>
        <w:rPr>
          <w:color w:val="231F20"/>
          <w:spacing w:val="-3"/>
          <w:sz w:val="17"/>
        </w:rPr>
        <w:t>Toluca,</w:t>
      </w:r>
      <w:r>
        <w:rPr>
          <w:color w:val="231F20"/>
          <w:spacing w:val="-15"/>
          <w:sz w:val="17"/>
        </w:rPr>
        <w:t> </w:t>
      </w:r>
      <w:r>
        <w:rPr>
          <w:color w:val="231F20"/>
          <w:sz w:val="17"/>
        </w:rPr>
        <w:t>México.</w:t>
      </w:r>
      <w:r>
        <w:rPr>
          <w:color w:val="231F20"/>
          <w:spacing w:val="-15"/>
          <w:sz w:val="17"/>
        </w:rPr>
        <w:t> </w:t>
      </w:r>
      <w:r>
        <w:rPr>
          <w:color w:val="231F20"/>
          <w:sz w:val="17"/>
        </w:rPr>
        <w:t>Su</w:t>
      </w:r>
      <w:r>
        <w:rPr>
          <w:color w:val="231F20"/>
          <w:spacing w:val="-15"/>
          <w:sz w:val="17"/>
        </w:rPr>
        <w:t> </w:t>
      </w:r>
      <w:r>
        <w:rPr>
          <w:color w:val="231F20"/>
          <w:sz w:val="17"/>
        </w:rPr>
        <w:t>edición</w:t>
      </w:r>
      <w:r>
        <w:rPr>
          <w:color w:val="231F20"/>
          <w:spacing w:val="-15"/>
          <w:sz w:val="17"/>
        </w:rPr>
        <w:t> </w:t>
      </w:r>
      <w:r>
        <w:rPr>
          <w:color w:val="231F20"/>
          <w:sz w:val="17"/>
        </w:rPr>
        <w:t>consta</w:t>
      </w:r>
      <w:r>
        <w:rPr>
          <w:color w:val="231F20"/>
          <w:spacing w:val="-15"/>
          <w:sz w:val="17"/>
        </w:rPr>
        <w:t> </w:t>
      </w:r>
      <w:r>
        <w:rPr>
          <w:color w:val="231F20"/>
          <w:sz w:val="17"/>
        </w:rPr>
        <w:t>de</w:t>
      </w:r>
      <w:r>
        <w:rPr>
          <w:color w:val="231F20"/>
          <w:spacing w:val="-15"/>
          <w:sz w:val="17"/>
        </w:rPr>
        <w:t> </w:t>
      </w:r>
      <w:r>
        <w:rPr>
          <w:color w:val="231F20"/>
          <w:sz w:val="17"/>
        </w:rPr>
        <w:t>300</w:t>
      </w:r>
      <w:r>
        <w:rPr>
          <w:color w:val="231F20"/>
          <w:spacing w:val="-15"/>
          <w:sz w:val="17"/>
        </w:rPr>
        <w:t> </w:t>
      </w:r>
      <w:r>
        <w:rPr>
          <w:color w:val="231F20"/>
          <w:sz w:val="17"/>
        </w:rPr>
        <w:t>ejemplares.</w:t>
      </w:r>
    </w:p>
    <w:p>
      <w:pPr>
        <w:pStyle w:val="BodyText"/>
        <w:spacing w:before="1"/>
        <w:rPr>
          <w:sz w:val="19"/>
        </w:rPr>
      </w:pPr>
    </w:p>
    <w:p>
      <w:pPr>
        <w:spacing w:before="0"/>
        <w:ind w:left="2111" w:right="1998" w:firstLine="0"/>
        <w:jc w:val="center"/>
        <w:rPr>
          <w:sz w:val="17"/>
        </w:rPr>
      </w:pPr>
      <w:r>
        <w:rPr>
          <w:color w:val="231F20"/>
          <w:w w:val="95"/>
          <w:sz w:val="17"/>
        </w:rPr>
        <w:t>Formación: Cristina Mireles Arriaga</w:t>
      </w:r>
    </w:p>
    <w:p>
      <w:pPr>
        <w:spacing w:line="271" w:lineRule="auto" w:before="24"/>
        <w:ind w:left="1244" w:right="1129" w:firstLine="0"/>
        <w:jc w:val="center"/>
        <w:rPr>
          <w:sz w:val="17"/>
        </w:rPr>
      </w:pPr>
      <w:r>
        <w:rPr>
          <w:color w:val="231F20"/>
          <w:sz w:val="17"/>
        </w:rPr>
        <w:t>Diseño</w:t>
      </w:r>
      <w:r>
        <w:rPr>
          <w:color w:val="231F20"/>
          <w:spacing w:val="-25"/>
          <w:sz w:val="17"/>
        </w:rPr>
        <w:t> </w:t>
      </w:r>
      <w:r>
        <w:rPr>
          <w:color w:val="231F20"/>
          <w:sz w:val="17"/>
        </w:rPr>
        <w:t>de</w:t>
      </w:r>
      <w:r>
        <w:rPr>
          <w:color w:val="231F20"/>
          <w:spacing w:val="-25"/>
          <w:sz w:val="17"/>
        </w:rPr>
        <w:t> </w:t>
      </w:r>
      <w:r>
        <w:rPr>
          <w:color w:val="231F20"/>
          <w:sz w:val="17"/>
        </w:rPr>
        <w:t>forros:</w:t>
      </w:r>
      <w:r>
        <w:rPr>
          <w:color w:val="231F20"/>
          <w:spacing w:val="-25"/>
          <w:sz w:val="17"/>
        </w:rPr>
        <w:t> </w:t>
      </w:r>
      <w:r>
        <w:rPr>
          <w:color w:val="231F20"/>
          <w:sz w:val="17"/>
        </w:rPr>
        <w:t>Juan</w:t>
      </w:r>
      <w:r>
        <w:rPr>
          <w:color w:val="231F20"/>
          <w:spacing w:val="-25"/>
          <w:sz w:val="17"/>
        </w:rPr>
        <w:t> </w:t>
      </w:r>
      <w:r>
        <w:rPr>
          <w:color w:val="231F20"/>
          <w:sz w:val="17"/>
        </w:rPr>
        <w:t>Manuel</w:t>
      </w:r>
      <w:r>
        <w:rPr>
          <w:color w:val="231F20"/>
          <w:spacing w:val="-25"/>
          <w:sz w:val="17"/>
        </w:rPr>
        <w:t> </w:t>
      </w:r>
      <w:r>
        <w:rPr>
          <w:color w:val="231F20"/>
          <w:sz w:val="17"/>
        </w:rPr>
        <w:t>García</w:t>
      </w:r>
      <w:r>
        <w:rPr>
          <w:color w:val="231F20"/>
          <w:spacing w:val="-25"/>
          <w:sz w:val="17"/>
        </w:rPr>
        <w:t> </w:t>
      </w:r>
      <w:r>
        <w:rPr>
          <w:color w:val="231F20"/>
          <w:sz w:val="17"/>
        </w:rPr>
        <w:t>Guerrero,</w:t>
      </w:r>
      <w:r>
        <w:rPr>
          <w:color w:val="231F20"/>
          <w:spacing w:val="-25"/>
          <w:sz w:val="17"/>
        </w:rPr>
        <w:t> </w:t>
      </w:r>
      <w:r>
        <w:rPr>
          <w:color w:val="231F20"/>
          <w:sz w:val="17"/>
        </w:rPr>
        <w:t>Nancy</w:t>
      </w:r>
      <w:r>
        <w:rPr>
          <w:color w:val="231F20"/>
          <w:spacing w:val="-25"/>
          <w:sz w:val="17"/>
        </w:rPr>
        <w:t> </w:t>
      </w:r>
      <w:r>
        <w:rPr>
          <w:color w:val="231F20"/>
          <w:sz w:val="17"/>
        </w:rPr>
        <w:t>Huerta </w:t>
      </w:r>
      <w:r>
        <w:rPr>
          <w:color w:val="231F20"/>
          <w:w w:val="95"/>
          <w:sz w:val="17"/>
        </w:rPr>
        <w:t>Vázquez y Cristina Mireles</w:t>
      </w:r>
      <w:r>
        <w:rPr>
          <w:color w:val="231F20"/>
          <w:spacing w:val="-12"/>
          <w:w w:val="95"/>
          <w:sz w:val="17"/>
        </w:rPr>
        <w:t> </w:t>
      </w:r>
      <w:r>
        <w:rPr>
          <w:color w:val="231F20"/>
          <w:w w:val="95"/>
          <w:sz w:val="17"/>
        </w:rPr>
        <w:t>Arriaga</w:t>
      </w:r>
    </w:p>
    <w:p>
      <w:pPr>
        <w:spacing w:line="271" w:lineRule="auto" w:before="0"/>
        <w:ind w:left="1244" w:right="1129" w:firstLine="0"/>
        <w:jc w:val="center"/>
        <w:rPr>
          <w:sz w:val="17"/>
        </w:rPr>
      </w:pPr>
      <w:r>
        <w:rPr>
          <w:color w:val="231F20"/>
          <w:sz w:val="17"/>
        </w:rPr>
        <w:t>Fotografía</w:t>
      </w:r>
      <w:r>
        <w:rPr>
          <w:color w:val="231F20"/>
          <w:spacing w:val="-27"/>
          <w:sz w:val="17"/>
        </w:rPr>
        <w:t> </w:t>
      </w:r>
      <w:r>
        <w:rPr>
          <w:color w:val="231F20"/>
          <w:sz w:val="17"/>
        </w:rPr>
        <w:t>original</w:t>
      </w:r>
      <w:r>
        <w:rPr>
          <w:color w:val="231F20"/>
          <w:spacing w:val="-27"/>
          <w:sz w:val="17"/>
        </w:rPr>
        <w:t> </w:t>
      </w:r>
      <w:r>
        <w:rPr>
          <w:color w:val="231F20"/>
          <w:sz w:val="17"/>
        </w:rPr>
        <w:t>de</w:t>
      </w:r>
      <w:r>
        <w:rPr>
          <w:color w:val="231F20"/>
          <w:spacing w:val="-27"/>
          <w:sz w:val="17"/>
        </w:rPr>
        <w:t> </w:t>
      </w:r>
      <w:r>
        <w:rPr>
          <w:color w:val="231F20"/>
          <w:sz w:val="17"/>
        </w:rPr>
        <w:t>portada:</w:t>
      </w:r>
      <w:r>
        <w:rPr>
          <w:color w:val="231F20"/>
          <w:spacing w:val="-27"/>
          <w:sz w:val="17"/>
        </w:rPr>
        <w:t> </w:t>
      </w:r>
      <w:r>
        <w:rPr>
          <w:color w:val="231F20"/>
          <w:sz w:val="17"/>
        </w:rPr>
        <w:t>Juan</w:t>
      </w:r>
      <w:r>
        <w:rPr>
          <w:color w:val="231F20"/>
          <w:spacing w:val="-27"/>
          <w:sz w:val="17"/>
        </w:rPr>
        <w:t> </w:t>
      </w:r>
      <w:r>
        <w:rPr>
          <w:color w:val="231F20"/>
          <w:sz w:val="17"/>
        </w:rPr>
        <w:t>Martín</w:t>
      </w:r>
      <w:r>
        <w:rPr>
          <w:color w:val="231F20"/>
          <w:spacing w:val="-27"/>
          <w:sz w:val="17"/>
        </w:rPr>
        <w:t> </w:t>
      </w:r>
      <w:r>
        <w:rPr>
          <w:color w:val="231F20"/>
          <w:sz w:val="17"/>
        </w:rPr>
        <w:t>Olivares</w:t>
      </w:r>
      <w:r>
        <w:rPr>
          <w:color w:val="231F20"/>
          <w:spacing w:val="-27"/>
          <w:sz w:val="17"/>
        </w:rPr>
        <w:t> </w:t>
      </w:r>
      <w:r>
        <w:rPr>
          <w:color w:val="231F20"/>
          <w:sz w:val="17"/>
        </w:rPr>
        <w:t>Orozco</w:t>
      </w:r>
      <w:r>
        <w:rPr>
          <w:color w:val="231F20"/>
          <w:w w:val="99"/>
          <w:sz w:val="17"/>
        </w:rPr>
        <w:t> </w:t>
      </w:r>
      <w:r>
        <w:rPr>
          <w:color w:val="231F20"/>
          <w:w w:val="95"/>
          <w:sz w:val="17"/>
        </w:rPr>
        <w:t>Corrección: César López Ruíz</w:t>
      </w:r>
      <w:r>
        <w:rPr>
          <w:color w:val="231F20"/>
          <w:spacing w:val="20"/>
          <w:w w:val="95"/>
          <w:sz w:val="17"/>
        </w:rPr>
        <w:t> </w:t>
      </w:r>
      <w:r>
        <w:rPr>
          <w:color w:val="231F20"/>
          <w:w w:val="95"/>
          <w:sz w:val="17"/>
        </w:rPr>
        <w:t>Esparza</w:t>
      </w:r>
    </w:p>
    <w:p>
      <w:pPr>
        <w:spacing w:before="0"/>
        <w:ind w:left="1244" w:right="1131" w:firstLine="0"/>
        <w:jc w:val="center"/>
        <w:rPr>
          <w:sz w:val="17"/>
        </w:rPr>
      </w:pPr>
      <w:r>
        <w:rPr>
          <w:color w:val="231F20"/>
          <w:w w:val="95"/>
          <w:sz w:val="17"/>
        </w:rPr>
        <w:t>Coordinación editorial: Patricia Vega Villavicencio</w:t>
      </w:r>
    </w:p>
    <w:p>
      <w:pPr>
        <w:spacing w:after="0"/>
        <w:jc w:val="center"/>
        <w:rPr>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p>
    <w:p>
      <w:pPr>
        <w:spacing w:after="0"/>
        <w:rPr>
          <w:rFonts w:ascii="Times New Roman"/>
          <w:sz w:val="17"/>
        </w:rPr>
        <w:sectPr>
          <w:pgSz w:w="9640" w:h="13890"/>
          <w:pgMar w:top="1300" w:bottom="280" w:left="1340" w:right="1340"/>
        </w:sectPr>
      </w:pPr>
    </w:p>
    <w:p>
      <w:pPr>
        <w:pStyle w:val="BodyText"/>
        <w:spacing w:before="4"/>
        <w:rPr>
          <w:rFonts w:ascii="Times New Roman"/>
          <w:sz w:val="17"/>
        </w:rPr>
      </w:pPr>
    </w:p>
    <w:sectPr>
      <w:pgSz w:w="9640" w:h="13890"/>
      <w:pgMar w:top="13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Arial">
    <w:altName w:val="Arial"/>
    <w:charset w:val="0"/>
    <w:family w:val="swiss"/>
    <w:pitch w:val="variable"/>
  </w:font>
  <w:font w:name="Calibri">
    <w:altName w:val="Calibri"/>
    <w:charset w:val="0"/>
    <w:family w:val="swiss"/>
    <w:pitch w:val="variable"/>
  </w:font>
  <w:font w:name="Palatino Linotype">
    <w:altName w:val="Palatino Linotype"/>
    <w:charset w:val="0"/>
    <w:family w:val="roman"/>
    <w:pitch w:val="variable"/>
  </w:font>
  <w:font w:name="Lucida Sans Unicode">
    <w:altName w:val="Lucida Sans Unicode"/>
    <w:charset w:val="0"/>
    <w:family w:val="swiss"/>
    <w:pitch w:val="variable"/>
  </w:font>
  <w:font w:name="Microsoft Sans Serif">
    <w:altName w:val="Microsoft Sans Serif"/>
    <w:charset w:val="0"/>
    <w:family w:val="swiss"/>
    <w:pitch w:val="variable"/>
  </w:font>
  <w:font w:name="Verdana">
    <w:altName w:val="Verdana"/>
    <w:charset w:val="0"/>
    <w:family w:val="swiss"/>
    <w:pitch w:val="variable"/>
  </w:font>
  <w:font w:name="Cambria Math">
    <w:altName w:val="Cambria Math"/>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0">
    <w:multiLevelType w:val="hybridMultilevel"/>
    <w:lvl w:ilvl="0">
      <w:start w:val="1"/>
      <w:numFmt w:val="lowerLetter"/>
      <w:lvlText w:val="(%1)"/>
      <w:lvlJc w:val="left"/>
      <w:pPr>
        <w:ind w:left="103" w:hanging="299"/>
        <w:jc w:val="left"/>
      </w:pPr>
      <w:rPr>
        <w:rFonts w:hint="default" w:ascii="Arial" w:hAnsi="Arial" w:eastAsia="Arial" w:cs="Arial"/>
        <w:color w:val="231F20"/>
        <w:w w:val="92"/>
        <w:sz w:val="21"/>
        <w:szCs w:val="21"/>
      </w:rPr>
    </w:lvl>
    <w:lvl w:ilvl="1">
      <w:start w:val="1"/>
      <w:numFmt w:val="bullet"/>
      <w:lvlText w:val="•"/>
      <w:lvlJc w:val="left"/>
      <w:pPr>
        <w:ind w:left="803" w:hanging="299"/>
      </w:pPr>
      <w:rPr>
        <w:rFonts w:hint="default"/>
      </w:rPr>
    </w:lvl>
    <w:lvl w:ilvl="2">
      <w:start w:val="1"/>
      <w:numFmt w:val="bullet"/>
      <w:lvlText w:val="•"/>
      <w:lvlJc w:val="left"/>
      <w:pPr>
        <w:ind w:left="1507" w:hanging="299"/>
      </w:pPr>
      <w:rPr>
        <w:rFonts w:hint="default"/>
      </w:rPr>
    </w:lvl>
    <w:lvl w:ilvl="3">
      <w:start w:val="1"/>
      <w:numFmt w:val="bullet"/>
      <w:lvlText w:val="•"/>
      <w:lvlJc w:val="left"/>
      <w:pPr>
        <w:ind w:left="2211" w:hanging="299"/>
      </w:pPr>
      <w:rPr>
        <w:rFonts w:hint="default"/>
      </w:rPr>
    </w:lvl>
    <w:lvl w:ilvl="4">
      <w:start w:val="1"/>
      <w:numFmt w:val="bullet"/>
      <w:lvlText w:val="•"/>
      <w:lvlJc w:val="left"/>
      <w:pPr>
        <w:ind w:left="2915" w:hanging="299"/>
      </w:pPr>
      <w:rPr>
        <w:rFonts w:hint="default"/>
      </w:rPr>
    </w:lvl>
    <w:lvl w:ilvl="5">
      <w:start w:val="1"/>
      <w:numFmt w:val="bullet"/>
      <w:lvlText w:val="•"/>
      <w:lvlJc w:val="left"/>
      <w:pPr>
        <w:ind w:left="3618" w:hanging="299"/>
      </w:pPr>
      <w:rPr>
        <w:rFonts w:hint="default"/>
      </w:rPr>
    </w:lvl>
    <w:lvl w:ilvl="6">
      <w:start w:val="1"/>
      <w:numFmt w:val="bullet"/>
      <w:lvlText w:val="•"/>
      <w:lvlJc w:val="left"/>
      <w:pPr>
        <w:ind w:left="4322" w:hanging="299"/>
      </w:pPr>
      <w:rPr>
        <w:rFonts w:hint="default"/>
      </w:rPr>
    </w:lvl>
    <w:lvl w:ilvl="7">
      <w:start w:val="1"/>
      <w:numFmt w:val="bullet"/>
      <w:lvlText w:val="•"/>
      <w:lvlJc w:val="left"/>
      <w:pPr>
        <w:ind w:left="5026" w:hanging="299"/>
      </w:pPr>
      <w:rPr>
        <w:rFonts w:hint="default"/>
      </w:rPr>
    </w:lvl>
    <w:lvl w:ilvl="8">
      <w:start w:val="1"/>
      <w:numFmt w:val="bullet"/>
      <w:lvlText w:val="•"/>
      <w:lvlJc w:val="left"/>
      <w:pPr>
        <w:ind w:left="5730" w:hanging="299"/>
      </w:pPr>
      <w:rPr>
        <w:rFonts w:hint="default"/>
      </w:rPr>
    </w:lvl>
  </w:abstractNum>
  <w:abstractNum w:abstractNumId="59">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58">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56">
    <w:multiLevelType w:val="hybridMultilevel"/>
    <w:lvl w:ilvl="0">
      <w:start w:val="1"/>
      <w:numFmt w:val="decimal"/>
      <w:lvlText w:val="%1."/>
      <w:lvlJc w:val="left"/>
      <w:pPr>
        <w:ind w:left="1325" w:hanging="360"/>
        <w:jc w:val="left"/>
      </w:pPr>
      <w:rPr>
        <w:rFonts w:hint="default" w:ascii="Arial" w:hAnsi="Arial" w:eastAsia="Arial" w:cs="Arial"/>
        <w:color w:val="231F20"/>
        <w:spacing w:val="-4"/>
        <w:w w:val="93"/>
        <w:sz w:val="21"/>
        <w:szCs w:val="21"/>
      </w:rPr>
    </w:lvl>
    <w:lvl w:ilvl="1">
      <w:start w:val="1"/>
      <w:numFmt w:val="bullet"/>
      <w:lvlText w:val="•"/>
      <w:lvlJc w:val="left"/>
      <w:pPr>
        <w:ind w:left="1909" w:hanging="360"/>
      </w:pPr>
      <w:rPr>
        <w:rFonts w:hint="default"/>
      </w:rPr>
    </w:lvl>
    <w:lvl w:ilvl="2">
      <w:start w:val="1"/>
      <w:numFmt w:val="bullet"/>
      <w:lvlText w:val="•"/>
      <w:lvlJc w:val="left"/>
      <w:pPr>
        <w:ind w:left="2499" w:hanging="360"/>
      </w:pPr>
      <w:rPr>
        <w:rFonts w:hint="default"/>
      </w:rPr>
    </w:lvl>
    <w:lvl w:ilvl="3">
      <w:start w:val="1"/>
      <w:numFmt w:val="bullet"/>
      <w:lvlText w:val="•"/>
      <w:lvlJc w:val="left"/>
      <w:pPr>
        <w:ind w:left="3089" w:hanging="360"/>
      </w:pPr>
      <w:rPr>
        <w:rFonts w:hint="default"/>
      </w:rPr>
    </w:lvl>
    <w:lvl w:ilvl="4">
      <w:start w:val="1"/>
      <w:numFmt w:val="bullet"/>
      <w:lvlText w:val="•"/>
      <w:lvlJc w:val="left"/>
      <w:pPr>
        <w:ind w:left="3679" w:hanging="360"/>
      </w:pPr>
      <w:rPr>
        <w:rFonts w:hint="default"/>
      </w:rPr>
    </w:lvl>
    <w:lvl w:ilvl="5">
      <w:start w:val="1"/>
      <w:numFmt w:val="bullet"/>
      <w:lvlText w:val="•"/>
      <w:lvlJc w:val="left"/>
      <w:pPr>
        <w:ind w:left="4268" w:hanging="360"/>
      </w:pPr>
      <w:rPr>
        <w:rFonts w:hint="default"/>
      </w:rPr>
    </w:lvl>
    <w:lvl w:ilvl="6">
      <w:start w:val="1"/>
      <w:numFmt w:val="bullet"/>
      <w:lvlText w:val="•"/>
      <w:lvlJc w:val="left"/>
      <w:pPr>
        <w:ind w:left="4858" w:hanging="360"/>
      </w:pPr>
      <w:rPr>
        <w:rFonts w:hint="default"/>
      </w:rPr>
    </w:lvl>
    <w:lvl w:ilvl="7">
      <w:start w:val="1"/>
      <w:numFmt w:val="bullet"/>
      <w:lvlText w:val="•"/>
      <w:lvlJc w:val="left"/>
      <w:pPr>
        <w:ind w:left="5448" w:hanging="360"/>
      </w:pPr>
      <w:rPr>
        <w:rFonts w:hint="default"/>
      </w:rPr>
    </w:lvl>
    <w:lvl w:ilvl="8">
      <w:start w:val="1"/>
      <w:numFmt w:val="bullet"/>
      <w:lvlText w:val="•"/>
      <w:lvlJc w:val="left"/>
      <w:pPr>
        <w:ind w:left="6038" w:hanging="360"/>
      </w:pPr>
      <w:rPr>
        <w:rFonts w:hint="default"/>
      </w:rPr>
    </w:lvl>
  </w:abstractNum>
  <w:abstractNum w:abstractNumId="52">
    <w:multiLevelType w:val="hybridMultilevel"/>
    <w:lvl w:ilvl="0">
      <w:start w:val="1"/>
      <w:numFmt w:val="bullet"/>
      <w:lvlText w:val="•"/>
      <w:lvlJc w:val="left"/>
      <w:pPr>
        <w:ind w:left="1321" w:hanging="360"/>
      </w:pPr>
      <w:rPr>
        <w:rFonts w:hint="default" w:ascii="Arial" w:hAnsi="Arial" w:eastAsia="Arial" w:cs="Arial"/>
        <w:color w:val="231F20"/>
        <w:w w:val="145"/>
        <w:sz w:val="12"/>
        <w:szCs w:val="12"/>
      </w:rPr>
    </w:lvl>
    <w:lvl w:ilvl="1">
      <w:start w:val="1"/>
      <w:numFmt w:val="bullet"/>
      <w:lvlText w:val="•"/>
      <w:lvlJc w:val="left"/>
      <w:pPr>
        <w:ind w:left="1897" w:hanging="360"/>
      </w:pPr>
      <w:rPr>
        <w:rFonts w:hint="default"/>
      </w:rPr>
    </w:lvl>
    <w:lvl w:ilvl="2">
      <w:start w:val="1"/>
      <w:numFmt w:val="bullet"/>
      <w:lvlText w:val="•"/>
      <w:lvlJc w:val="left"/>
      <w:pPr>
        <w:ind w:left="2475" w:hanging="360"/>
      </w:pPr>
      <w:rPr>
        <w:rFonts w:hint="default"/>
      </w:rPr>
    </w:lvl>
    <w:lvl w:ilvl="3">
      <w:start w:val="1"/>
      <w:numFmt w:val="bullet"/>
      <w:lvlText w:val="•"/>
      <w:lvlJc w:val="left"/>
      <w:pPr>
        <w:ind w:left="3053" w:hanging="360"/>
      </w:pPr>
      <w:rPr>
        <w:rFonts w:hint="default"/>
      </w:rPr>
    </w:lvl>
    <w:lvl w:ilvl="4">
      <w:start w:val="1"/>
      <w:numFmt w:val="bullet"/>
      <w:lvlText w:val="•"/>
      <w:lvlJc w:val="left"/>
      <w:pPr>
        <w:ind w:left="3631" w:hanging="360"/>
      </w:pPr>
      <w:rPr>
        <w:rFonts w:hint="default"/>
      </w:rPr>
    </w:lvl>
    <w:lvl w:ilvl="5">
      <w:start w:val="1"/>
      <w:numFmt w:val="bullet"/>
      <w:lvlText w:val="•"/>
      <w:lvlJc w:val="left"/>
      <w:pPr>
        <w:ind w:left="4208" w:hanging="360"/>
      </w:pPr>
      <w:rPr>
        <w:rFonts w:hint="default"/>
      </w:rPr>
    </w:lvl>
    <w:lvl w:ilvl="6">
      <w:start w:val="1"/>
      <w:numFmt w:val="bullet"/>
      <w:lvlText w:val="•"/>
      <w:lvlJc w:val="left"/>
      <w:pPr>
        <w:ind w:left="4786" w:hanging="360"/>
      </w:pPr>
      <w:rPr>
        <w:rFonts w:hint="default"/>
      </w:rPr>
    </w:lvl>
    <w:lvl w:ilvl="7">
      <w:start w:val="1"/>
      <w:numFmt w:val="bullet"/>
      <w:lvlText w:val="•"/>
      <w:lvlJc w:val="left"/>
      <w:pPr>
        <w:ind w:left="5364" w:hanging="360"/>
      </w:pPr>
      <w:rPr>
        <w:rFonts w:hint="default"/>
      </w:rPr>
    </w:lvl>
    <w:lvl w:ilvl="8">
      <w:start w:val="1"/>
      <w:numFmt w:val="bullet"/>
      <w:lvlText w:val="•"/>
      <w:lvlJc w:val="left"/>
      <w:pPr>
        <w:ind w:left="5942" w:hanging="360"/>
      </w:pPr>
      <w:rPr>
        <w:rFonts w:hint="default"/>
      </w:rPr>
    </w:lvl>
  </w:abstractNum>
  <w:abstractNum w:abstractNumId="51">
    <w:multiLevelType w:val="hybridMultilevel"/>
    <w:lvl w:ilvl="0">
      <w:start w:val="1"/>
      <w:numFmt w:val="lowerLetter"/>
      <w:lvlText w:val="%1."/>
      <w:lvlJc w:val="left"/>
      <w:pPr>
        <w:ind w:left="103" w:hanging="246"/>
        <w:jc w:val="left"/>
      </w:pPr>
      <w:rPr>
        <w:rFonts w:hint="default" w:ascii="Arial" w:hAnsi="Arial" w:eastAsia="Arial" w:cs="Arial"/>
        <w:color w:val="231F20"/>
        <w:w w:val="95"/>
        <w:sz w:val="21"/>
        <w:szCs w:val="21"/>
      </w:rPr>
    </w:lvl>
    <w:lvl w:ilvl="1">
      <w:start w:val="1"/>
      <w:numFmt w:val="bullet"/>
      <w:lvlText w:val="•"/>
      <w:lvlJc w:val="left"/>
      <w:pPr>
        <w:ind w:left="1326" w:hanging="360"/>
      </w:pPr>
      <w:rPr>
        <w:rFonts w:hint="default" w:ascii="Arial" w:hAnsi="Arial" w:eastAsia="Arial" w:cs="Arial"/>
        <w:color w:val="231F20"/>
        <w:w w:val="145"/>
        <w:sz w:val="12"/>
        <w:szCs w:val="12"/>
      </w:rPr>
    </w:lvl>
    <w:lvl w:ilvl="2">
      <w:start w:val="1"/>
      <w:numFmt w:val="bullet"/>
      <w:lvlText w:val="•"/>
      <w:lvlJc w:val="left"/>
      <w:pPr>
        <w:ind w:left="1966" w:hanging="360"/>
      </w:pPr>
      <w:rPr>
        <w:rFonts w:hint="default"/>
      </w:rPr>
    </w:lvl>
    <w:lvl w:ilvl="3">
      <w:start w:val="1"/>
      <w:numFmt w:val="bullet"/>
      <w:lvlText w:val="•"/>
      <w:lvlJc w:val="left"/>
      <w:pPr>
        <w:ind w:left="2612" w:hanging="360"/>
      </w:pPr>
      <w:rPr>
        <w:rFonts w:hint="default"/>
      </w:rPr>
    </w:lvl>
    <w:lvl w:ilvl="4">
      <w:start w:val="1"/>
      <w:numFmt w:val="bullet"/>
      <w:lvlText w:val="•"/>
      <w:lvlJc w:val="left"/>
      <w:pPr>
        <w:ind w:left="3259" w:hanging="360"/>
      </w:pPr>
      <w:rPr>
        <w:rFonts w:hint="default"/>
      </w:rPr>
    </w:lvl>
    <w:lvl w:ilvl="5">
      <w:start w:val="1"/>
      <w:numFmt w:val="bullet"/>
      <w:lvlText w:val="•"/>
      <w:lvlJc w:val="left"/>
      <w:pPr>
        <w:ind w:left="3905" w:hanging="360"/>
      </w:pPr>
      <w:rPr>
        <w:rFonts w:hint="default"/>
      </w:rPr>
    </w:lvl>
    <w:lvl w:ilvl="6">
      <w:start w:val="1"/>
      <w:numFmt w:val="bullet"/>
      <w:lvlText w:val="•"/>
      <w:lvlJc w:val="left"/>
      <w:pPr>
        <w:ind w:left="4552" w:hanging="360"/>
      </w:pPr>
      <w:rPr>
        <w:rFonts w:hint="default"/>
      </w:rPr>
    </w:lvl>
    <w:lvl w:ilvl="7">
      <w:start w:val="1"/>
      <w:numFmt w:val="bullet"/>
      <w:lvlText w:val="•"/>
      <w:lvlJc w:val="left"/>
      <w:pPr>
        <w:ind w:left="5198" w:hanging="360"/>
      </w:pPr>
      <w:rPr>
        <w:rFonts w:hint="default"/>
      </w:rPr>
    </w:lvl>
    <w:lvl w:ilvl="8">
      <w:start w:val="1"/>
      <w:numFmt w:val="bullet"/>
      <w:lvlText w:val="•"/>
      <w:lvlJc w:val="left"/>
      <w:pPr>
        <w:ind w:left="5844" w:hanging="360"/>
      </w:pPr>
      <w:rPr>
        <w:rFonts w:hint="default"/>
      </w:rPr>
    </w:lvl>
  </w:abstractNum>
  <w:abstractNum w:abstractNumId="50">
    <w:multiLevelType w:val="hybridMultilevel"/>
    <w:lvl w:ilvl="0">
      <w:start w:val="1"/>
      <w:numFmt w:val="lowerLetter"/>
      <w:lvlText w:val="%1)"/>
      <w:lvlJc w:val="left"/>
      <w:pPr>
        <w:ind w:left="1314"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48">
    <w:multiLevelType w:val="hybridMultilevel"/>
    <w:lvl w:ilvl="0">
      <w:start w:val="1"/>
      <w:numFmt w:val="bullet"/>
      <w:lvlText w:val="•"/>
      <w:lvlJc w:val="left"/>
      <w:pPr>
        <w:ind w:left="1327" w:hanging="360"/>
      </w:pPr>
      <w:rPr>
        <w:rFonts w:hint="default" w:ascii="Arial" w:hAnsi="Arial" w:eastAsia="Arial" w:cs="Arial"/>
        <w:color w:val="231F20"/>
        <w:w w:val="145"/>
        <w:sz w:val="12"/>
        <w:szCs w:val="12"/>
      </w:rPr>
    </w:lvl>
    <w:lvl w:ilvl="1">
      <w:start w:val="1"/>
      <w:numFmt w:val="bullet"/>
      <w:lvlText w:val="○"/>
      <w:lvlJc w:val="left"/>
      <w:pPr>
        <w:ind w:left="1704" w:hanging="360"/>
      </w:pPr>
      <w:rPr>
        <w:rFonts w:hint="default" w:ascii="Times New Roman" w:hAnsi="Times New Roman" w:eastAsia="Times New Roman" w:cs="Times New Roman"/>
        <w:color w:val="231F20"/>
        <w:w w:val="102"/>
        <w:sz w:val="12"/>
        <w:szCs w:val="12"/>
      </w:rPr>
    </w:lvl>
    <w:lvl w:ilvl="2">
      <w:start w:val="1"/>
      <w:numFmt w:val="bullet"/>
      <w:lvlText w:val="•"/>
      <w:lvlJc w:val="left"/>
      <w:pPr>
        <w:ind w:left="2306" w:hanging="360"/>
      </w:pPr>
      <w:rPr>
        <w:rFonts w:hint="default"/>
      </w:rPr>
    </w:lvl>
    <w:lvl w:ilvl="3">
      <w:start w:val="1"/>
      <w:numFmt w:val="bullet"/>
      <w:lvlText w:val="•"/>
      <w:lvlJc w:val="left"/>
      <w:pPr>
        <w:ind w:left="2912" w:hanging="360"/>
      </w:pPr>
      <w:rPr>
        <w:rFonts w:hint="default"/>
      </w:rPr>
    </w:lvl>
    <w:lvl w:ilvl="4">
      <w:start w:val="1"/>
      <w:numFmt w:val="bullet"/>
      <w:lvlText w:val="•"/>
      <w:lvlJc w:val="left"/>
      <w:pPr>
        <w:ind w:left="3519" w:hanging="360"/>
      </w:pPr>
      <w:rPr>
        <w:rFonts w:hint="default"/>
      </w:rPr>
    </w:lvl>
    <w:lvl w:ilvl="5">
      <w:start w:val="1"/>
      <w:numFmt w:val="bullet"/>
      <w:lvlText w:val="•"/>
      <w:lvlJc w:val="left"/>
      <w:pPr>
        <w:ind w:left="4125" w:hanging="360"/>
      </w:pPr>
      <w:rPr>
        <w:rFonts w:hint="default"/>
      </w:rPr>
    </w:lvl>
    <w:lvl w:ilvl="6">
      <w:start w:val="1"/>
      <w:numFmt w:val="bullet"/>
      <w:lvlText w:val="•"/>
      <w:lvlJc w:val="left"/>
      <w:pPr>
        <w:ind w:left="4732" w:hanging="360"/>
      </w:pPr>
      <w:rPr>
        <w:rFonts w:hint="default"/>
      </w:rPr>
    </w:lvl>
    <w:lvl w:ilvl="7">
      <w:start w:val="1"/>
      <w:numFmt w:val="bullet"/>
      <w:lvlText w:val="•"/>
      <w:lvlJc w:val="left"/>
      <w:pPr>
        <w:ind w:left="5338" w:hanging="360"/>
      </w:pPr>
      <w:rPr>
        <w:rFonts w:hint="default"/>
      </w:rPr>
    </w:lvl>
    <w:lvl w:ilvl="8">
      <w:start w:val="1"/>
      <w:numFmt w:val="bullet"/>
      <w:lvlText w:val="•"/>
      <w:lvlJc w:val="left"/>
      <w:pPr>
        <w:ind w:left="5944" w:hanging="360"/>
      </w:pPr>
      <w:rPr>
        <w:rFonts w:hint="default"/>
      </w:rPr>
    </w:lvl>
  </w:abstractNum>
  <w:abstractNum w:abstractNumId="38">
    <w:multiLevelType w:val="hybridMultilevel"/>
    <w:lvl w:ilvl="0">
      <w:start w:val="1"/>
      <w:numFmt w:val="decimal"/>
      <w:lvlText w:val="%1."/>
      <w:lvlJc w:val="left"/>
      <w:pPr>
        <w:ind w:left="1314"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37">
    <w:multiLevelType w:val="hybridMultilevel"/>
    <w:lvl w:ilvl="0">
      <w:start w:val="1"/>
      <w:numFmt w:val="decimal"/>
      <w:lvlText w:val="%1."/>
      <w:lvlJc w:val="left"/>
      <w:pPr>
        <w:ind w:left="1314"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35">
    <w:multiLevelType w:val="hybridMultilevel"/>
    <w:lvl w:ilvl="0">
      <w:start w:val="1"/>
      <w:numFmt w:val="bullet"/>
      <w:lvlText w:val="•"/>
      <w:lvlJc w:val="left"/>
      <w:pPr>
        <w:ind w:left="1327" w:hanging="360"/>
      </w:pPr>
      <w:rPr>
        <w:rFonts w:hint="default" w:ascii="Arial" w:hAnsi="Arial" w:eastAsia="Arial" w:cs="Arial"/>
        <w:color w:val="231F20"/>
        <w:w w:val="145"/>
        <w:sz w:val="12"/>
        <w:szCs w:val="12"/>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34">
    <w:multiLevelType w:val="hybridMultilevel"/>
    <w:lvl w:ilvl="0">
      <w:start w:val="1"/>
      <w:numFmt w:val="lowerLetter"/>
      <w:lvlText w:val="%1."/>
      <w:lvlJc w:val="left"/>
      <w:pPr>
        <w:ind w:left="1314" w:hanging="360"/>
        <w:jc w:val="left"/>
      </w:pPr>
      <w:rPr>
        <w:rFonts w:hint="default" w:ascii="Arial" w:hAnsi="Arial" w:eastAsia="Arial" w:cs="Arial"/>
        <w:color w:val="231F20"/>
        <w:w w:val="93"/>
        <w:sz w:val="21"/>
        <w:szCs w:val="21"/>
      </w:rPr>
    </w:lvl>
    <w:lvl w:ilvl="1">
      <w:start w:val="1"/>
      <w:numFmt w:val="decimal"/>
      <w:lvlText w:val="%2."/>
      <w:lvlJc w:val="left"/>
      <w:pPr>
        <w:ind w:left="1327" w:hanging="360"/>
        <w:jc w:val="left"/>
      </w:pPr>
      <w:rPr>
        <w:rFonts w:hint="default" w:ascii="Arial" w:hAnsi="Arial" w:eastAsia="Arial" w:cs="Arial"/>
        <w:color w:val="231F20"/>
        <w:w w:val="93"/>
        <w:sz w:val="21"/>
        <w:szCs w:val="21"/>
      </w:rPr>
    </w:lvl>
    <w:lvl w:ilvl="2">
      <w:start w:val="1"/>
      <w:numFmt w:val="bullet"/>
      <w:lvlText w:val="•"/>
      <w:lvlJc w:val="left"/>
      <w:pPr>
        <w:ind w:left="2463" w:hanging="360"/>
      </w:pPr>
      <w:rPr>
        <w:rFonts w:hint="default"/>
      </w:rPr>
    </w:lvl>
    <w:lvl w:ilvl="3">
      <w:start w:val="1"/>
      <w:numFmt w:val="bullet"/>
      <w:lvlText w:val="•"/>
      <w:lvlJc w:val="left"/>
      <w:pPr>
        <w:ind w:left="3035" w:hanging="360"/>
      </w:pPr>
      <w:rPr>
        <w:rFonts w:hint="default"/>
      </w:rPr>
    </w:lvl>
    <w:lvl w:ilvl="4">
      <w:start w:val="1"/>
      <w:numFmt w:val="bullet"/>
      <w:lvlText w:val="•"/>
      <w:lvlJc w:val="left"/>
      <w:pPr>
        <w:ind w:left="3607" w:hanging="360"/>
      </w:pPr>
      <w:rPr>
        <w:rFonts w:hint="default"/>
      </w:rPr>
    </w:lvl>
    <w:lvl w:ilvl="5">
      <w:start w:val="1"/>
      <w:numFmt w:val="bullet"/>
      <w:lvlText w:val="•"/>
      <w:lvlJc w:val="left"/>
      <w:pPr>
        <w:ind w:left="4178" w:hanging="360"/>
      </w:pPr>
      <w:rPr>
        <w:rFonts w:hint="default"/>
      </w:rPr>
    </w:lvl>
    <w:lvl w:ilvl="6">
      <w:start w:val="1"/>
      <w:numFmt w:val="bullet"/>
      <w:lvlText w:val="•"/>
      <w:lvlJc w:val="left"/>
      <w:pPr>
        <w:ind w:left="4750" w:hanging="360"/>
      </w:pPr>
      <w:rPr>
        <w:rFonts w:hint="default"/>
      </w:rPr>
    </w:lvl>
    <w:lvl w:ilvl="7">
      <w:start w:val="1"/>
      <w:numFmt w:val="bullet"/>
      <w:lvlText w:val="•"/>
      <w:lvlJc w:val="left"/>
      <w:pPr>
        <w:ind w:left="5322" w:hanging="360"/>
      </w:pPr>
      <w:rPr>
        <w:rFonts w:hint="default"/>
      </w:rPr>
    </w:lvl>
    <w:lvl w:ilvl="8">
      <w:start w:val="1"/>
      <w:numFmt w:val="bullet"/>
      <w:lvlText w:val="•"/>
      <w:lvlJc w:val="left"/>
      <w:pPr>
        <w:ind w:left="5894" w:hanging="360"/>
      </w:pPr>
      <w:rPr>
        <w:rFonts w:hint="default"/>
      </w:rPr>
    </w:lvl>
  </w:abstractNum>
  <w:abstractNum w:abstractNumId="32">
    <w:multiLevelType w:val="hybridMultilevel"/>
    <w:lvl w:ilvl="0">
      <w:start w:val="1"/>
      <w:numFmt w:val="decimal"/>
      <w:lvlText w:val="%1."/>
      <w:lvlJc w:val="left"/>
      <w:pPr>
        <w:ind w:left="1314"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31">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30">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24">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23">
    <w:multiLevelType w:val="hybridMultilevel"/>
    <w:lvl w:ilvl="0">
      <w:start w:val="1"/>
      <w:numFmt w:val="decimal"/>
      <w:lvlText w:val="%1."/>
      <w:lvlJc w:val="left"/>
      <w:pPr>
        <w:ind w:left="1327" w:hanging="360"/>
        <w:jc w:val="right"/>
      </w:pPr>
      <w:rPr>
        <w:rFonts w:hint="default" w:ascii="Arial" w:hAnsi="Arial" w:eastAsia="Arial" w:cs="Arial"/>
        <w:color w:val="231F20"/>
        <w:spacing w:val="-4"/>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18">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17">
    <w:multiLevelType w:val="hybridMultilevel"/>
    <w:lvl w:ilvl="0">
      <w:start w:val="1"/>
      <w:numFmt w:val="upperRoman"/>
      <w:lvlText w:val="%1."/>
      <w:lvlJc w:val="left"/>
      <w:pPr>
        <w:ind w:left="607" w:hanging="102"/>
        <w:jc w:val="right"/>
      </w:pPr>
      <w:rPr>
        <w:rFonts w:hint="default"/>
        <w:w w:val="73"/>
      </w:rPr>
    </w:lvl>
    <w:lvl w:ilvl="1">
      <w:start w:val="1"/>
      <w:numFmt w:val="bullet"/>
      <w:lvlText w:val="•"/>
      <w:lvlJc w:val="left"/>
      <w:pPr>
        <w:ind w:left="1660" w:hanging="102"/>
      </w:pPr>
      <w:rPr>
        <w:rFonts w:hint="default"/>
      </w:rPr>
    </w:lvl>
    <w:lvl w:ilvl="2">
      <w:start w:val="1"/>
      <w:numFmt w:val="bullet"/>
      <w:lvlText w:val="•"/>
      <w:lvlJc w:val="left"/>
      <w:pPr>
        <w:ind w:left="2268" w:hanging="102"/>
      </w:pPr>
      <w:rPr>
        <w:rFonts w:hint="default"/>
      </w:rPr>
    </w:lvl>
    <w:lvl w:ilvl="3">
      <w:start w:val="1"/>
      <w:numFmt w:val="bullet"/>
      <w:lvlText w:val="•"/>
      <w:lvlJc w:val="left"/>
      <w:pPr>
        <w:ind w:left="2877" w:hanging="102"/>
      </w:pPr>
      <w:rPr>
        <w:rFonts w:hint="default"/>
      </w:rPr>
    </w:lvl>
    <w:lvl w:ilvl="4">
      <w:start w:val="1"/>
      <w:numFmt w:val="bullet"/>
      <w:lvlText w:val="•"/>
      <w:lvlJc w:val="left"/>
      <w:pPr>
        <w:ind w:left="3485" w:hanging="102"/>
      </w:pPr>
      <w:rPr>
        <w:rFonts w:hint="default"/>
      </w:rPr>
    </w:lvl>
    <w:lvl w:ilvl="5">
      <w:start w:val="1"/>
      <w:numFmt w:val="bullet"/>
      <w:lvlText w:val="•"/>
      <w:lvlJc w:val="left"/>
      <w:pPr>
        <w:ind w:left="4094" w:hanging="102"/>
      </w:pPr>
      <w:rPr>
        <w:rFonts w:hint="default"/>
      </w:rPr>
    </w:lvl>
    <w:lvl w:ilvl="6">
      <w:start w:val="1"/>
      <w:numFmt w:val="bullet"/>
      <w:lvlText w:val="•"/>
      <w:lvlJc w:val="left"/>
      <w:pPr>
        <w:ind w:left="4703" w:hanging="102"/>
      </w:pPr>
      <w:rPr>
        <w:rFonts w:hint="default"/>
      </w:rPr>
    </w:lvl>
    <w:lvl w:ilvl="7">
      <w:start w:val="1"/>
      <w:numFmt w:val="bullet"/>
      <w:lvlText w:val="•"/>
      <w:lvlJc w:val="left"/>
      <w:pPr>
        <w:ind w:left="5311" w:hanging="102"/>
      </w:pPr>
      <w:rPr>
        <w:rFonts w:hint="default"/>
      </w:rPr>
    </w:lvl>
    <w:lvl w:ilvl="8">
      <w:start w:val="1"/>
      <w:numFmt w:val="bullet"/>
      <w:lvlText w:val="•"/>
      <w:lvlJc w:val="left"/>
      <w:pPr>
        <w:ind w:left="5920" w:hanging="102"/>
      </w:pPr>
      <w:rPr>
        <w:rFonts w:hint="default"/>
      </w:rPr>
    </w:lvl>
  </w:abstractNum>
  <w:abstractNum w:abstractNumId="16">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15">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14">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9">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6">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4">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3">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2">
    <w:multiLevelType w:val="hybridMultilevel"/>
    <w:lvl w:ilvl="0">
      <w:start w:val="1"/>
      <w:numFmt w:val="upperRoman"/>
      <w:lvlText w:val="%1."/>
      <w:lvlJc w:val="left"/>
      <w:pPr>
        <w:ind w:left="1426" w:hanging="102"/>
        <w:jc w:val="left"/>
      </w:pPr>
      <w:rPr>
        <w:rFonts w:hint="default" w:ascii="Lucida Sans Unicode" w:hAnsi="Lucida Sans Unicode" w:eastAsia="Lucida Sans Unicode" w:cs="Lucida Sans Unicode"/>
        <w:color w:val="6D6E71"/>
        <w:w w:val="73"/>
        <w:sz w:val="14"/>
        <w:szCs w:val="14"/>
      </w:rPr>
    </w:lvl>
    <w:lvl w:ilvl="1">
      <w:start w:val="1"/>
      <w:numFmt w:val="bullet"/>
      <w:lvlText w:val="•"/>
      <w:lvlJc w:val="left"/>
      <w:pPr>
        <w:ind w:left="1993" w:hanging="102"/>
      </w:pPr>
      <w:rPr>
        <w:rFonts w:hint="default"/>
      </w:rPr>
    </w:lvl>
    <w:lvl w:ilvl="2">
      <w:start w:val="1"/>
      <w:numFmt w:val="bullet"/>
      <w:lvlText w:val="•"/>
      <w:lvlJc w:val="left"/>
      <w:pPr>
        <w:ind w:left="2567" w:hanging="102"/>
      </w:pPr>
      <w:rPr>
        <w:rFonts w:hint="default"/>
      </w:rPr>
    </w:lvl>
    <w:lvl w:ilvl="3">
      <w:start w:val="1"/>
      <w:numFmt w:val="bullet"/>
      <w:lvlText w:val="•"/>
      <w:lvlJc w:val="left"/>
      <w:pPr>
        <w:ind w:left="3141" w:hanging="102"/>
      </w:pPr>
      <w:rPr>
        <w:rFonts w:hint="default"/>
      </w:rPr>
    </w:lvl>
    <w:lvl w:ilvl="4">
      <w:start w:val="1"/>
      <w:numFmt w:val="bullet"/>
      <w:lvlText w:val="•"/>
      <w:lvlJc w:val="left"/>
      <w:pPr>
        <w:ind w:left="3715" w:hanging="102"/>
      </w:pPr>
      <w:rPr>
        <w:rFonts w:hint="default"/>
      </w:rPr>
    </w:lvl>
    <w:lvl w:ilvl="5">
      <w:start w:val="1"/>
      <w:numFmt w:val="bullet"/>
      <w:lvlText w:val="•"/>
      <w:lvlJc w:val="left"/>
      <w:pPr>
        <w:ind w:left="4288" w:hanging="102"/>
      </w:pPr>
      <w:rPr>
        <w:rFonts w:hint="default"/>
      </w:rPr>
    </w:lvl>
    <w:lvl w:ilvl="6">
      <w:start w:val="1"/>
      <w:numFmt w:val="bullet"/>
      <w:lvlText w:val="•"/>
      <w:lvlJc w:val="left"/>
      <w:pPr>
        <w:ind w:left="4862" w:hanging="102"/>
      </w:pPr>
      <w:rPr>
        <w:rFonts w:hint="default"/>
      </w:rPr>
    </w:lvl>
    <w:lvl w:ilvl="7">
      <w:start w:val="1"/>
      <w:numFmt w:val="bullet"/>
      <w:lvlText w:val="•"/>
      <w:lvlJc w:val="left"/>
      <w:pPr>
        <w:ind w:left="5436" w:hanging="102"/>
      </w:pPr>
      <w:rPr>
        <w:rFonts w:hint="default"/>
      </w:rPr>
    </w:lvl>
    <w:lvl w:ilvl="8">
      <w:start w:val="1"/>
      <w:numFmt w:val="bullet"/>
      <w:lvlText w:val="•"/>
      <w:lvlJc w:val="left"/>
      <w:pPr>
        <w:ind w:left="6010" w:hanging="102"/>
      </w:pPr>
      <w:rPr>
        <w:rFonts w:hint="default"/>
      </w:rPr>
    </w:lvl>
  </w:abstractNum>
  <w:abstractNum w:abstractNumId="1">
    <w:multiLevelType w:val="hybridMultilevel"/>
    <w:lvl w:ilvl="0">
      <w:start w:val="1"/>
      <w:numFmt w:val="upperRoman"/>
      <w:lvlText w:val="%1."/>
      <w:lvlJc w:val="left"/>
      <w:pPr>
        <w:ind w:left="1263" w:hanging="179"/>
        <w:jc w:val="left"/>
      </w:pPr>
      <w:rPr>
        <w:rFonts w:hint="default" w:ascii="Calibri" w:hAnsi="Calibri" w:eastAsia="Calibri" w:cs="Calibri"/>
        <w:color w:val="FFFFFF"/>
        <w:w w:val="97"/>
        <w:sz w:val="24"/>
        <w:szCs w:val="24"/>
      </w:rPr>
    </w:lvl>
    <w:lvl w:ilvl="1">
      <w:start w:val="1"/>
      <w:numFmt w:val="bullet"/>
      <w:lvlText w:val="•"/>
      <w:lvlJc w:val="left"/>
      <w:pPr>
        <w:ind w:left="1841" w:hanging="179"/>
      </w:pPr>
      <w:rPr>
        <w:rFonts w:hint="default"/>
      </w:rPr>
    </w:lvl>
    <w:lvl w:ilvl="2">
      <w:start w:val="1"/>
      <w:numFmt w:val="bullet"/>
      <w:lvlText w:val="•"/>
      <w:lvlJc w:val="left"/>
      <w:pPr>
        <w:ind w:left="2423" w:hanging="179"/>
      </w:pPr>
      <w:rPr>
        <w:rFonts w:hint="default"/>
      </w:rPr>
    </w:lvl>
    <w:lvl w:ilvl="3">
      <w:start w:val="1"/>
      <w:numFmt w:val="bullet"/>
      <w:lvlText w:val="•"/>
      <w:lvlJc w:val="left"/>
      <w:pPr>
        <w:ind w:left="3005" w:hanging="179"/>
      </w:pPr>
      <w:rPr>
        <w:rFonts w:hint="default"/>
      </w:rPr>
    </w:lvl>
    <w:lvl w:ilvl="4">
      <w:start w:val="1"/>
      <w:numFmt w:val="bullet"/>
      <w:lvlText w:val="•"/>
      <w:lvlJc w:val="left"/>
      <w:pPr>
        <w:ind w:left="3587" w:hanging="179"/>
      </w:pPr>
      <w:rPr>
        <w:rFonts w:hint="default"/>
      </w:rPr>
    </w:lvl>
    <w:lvl w:ilvl="5">
      <w:start w:val="1"/>
      <w:numFmt w:val="bullet"/>
      <w:lvlText w:val="•"/>
      <w:lvlJc w:val="left"/>
      <w:pPr>
        <w:ind w:left="4168" w:hanging="179"/>
      </w:pPr>
      <w:rPr>
        <w:rFonts w:hint="default"/>
      </w:rPr>
    </w:lvl>
    <w:lvl w:ilvl="6">
      <w:start w:val="1"/>
      <w:numFmt w:val="bullet"/>
      <w:lvlText w:val="•"/>
      <w:lvlJc w:val="left"/>
      <w:pPr>
        <w:ind w:left="4750" w:hanging="179"/>
      </w:pPr>
      <w:rPr>
        <w:rFonts w:hint="default"/>
      </w:rPr>
    </w:lvl>
    <w:lvl w:ilvl="7">
      <w:start w:val="1"/>
      <w:numFmt w:val="bullet"/>
      <w:lvlText w:val="•"/>
      <w:lvlJc w:val="left"/>
      <w:pPr>
        <w:ind w:left="5332" w:hanging="179"/>
      </w:pPr>
      <w:rPr>
        <w:rFonts w:hint="default"/>
      </w:rPr>
    </w:lvl>
    <w:lvl w:ilvl="8">
      <w:start w:val="1"/>
      <w:numFmt w:val="bullet"/>
      <w:lvlText w:val="•"/>
      <w:lvlJc w:val="left"/>
      <w:pPr>
        <w:ind w:left="5914" w:hanging="179"/>
      </w:pPr>
      <w:rPr>
        <w:rFonts w:hint="default"/>
      </w:rPr>
    </w:lvl>
  </w:abstractNum>
  <w:abstractNum w:abstractNumId="66">
    <w:multiLevelType w:val="hybridMultilevel"/>
    <w:lvl w:ilvl="0">
      <w:start w:val="2"/>
      <w:numFmt w:val="lowerRoman"/>
      <w:lvlText w:val="%1)"/>
      <w:lvlJc w:val="left"/>
      <w:pPr>
        <w:ind w:left="117" w:hanging="223"/>
        <w:jc w:val="left"/>
      </w:pPr>
      <w:rPr>
        <w:rFonts w:hint="default" w:ascii="Arial" w:hAnsi="Arial" w:eastAsia="Arial" w:cs="Arial"/>
        <w:color w:val="231F20"/>
        <w:w w:val="102"/>
        <w:sz w:val="21"/>
        <w:szCs w:val="21"/>
      </w:rPr>
    </w:lvl>
    <w:lvl w:ilvl="1">
      <w:start w:val="1"/>
      <w:numFmt w:val="lowerLetter"/>
      <w:lvlText w:val="%2)"/>
      <w:lvlJc w:val="left"/>
      <w:pPr>
        <w:ind w:left="117" w:hanging="214"/>
        <w:jc w:val="left"/>
      </w:pPr>
      <w:rPr>
        <w:rFonts w:hint="default" w:ascii="Arial" w:hAnsi="Arial" w:eastAsia="Arial" w:cs="Arial"/>
        <w:color w:val="231F20"/>
        <w:spacing w:val="-3"/>
        <w:w w:val="93"/>
        <w:sz w:val="21"/>
        <w:szCs w:val="21"/>
      </w:rPr>
    </w:lvl>
    <w:lvl w:ilvl="2">
      <w:start w:val="1"/>
      <w:numFmt w:val="decimal"/>
      <w:lvlText w:val="%3."/>
      <w:lvlJc w:val="left"/>
      <w:pPr>
        <w:ind w:left="1327" w:hanging="360"/>
        <w:jc w:val="left"/>
      </w:pPr>
      <w:rPr>
        <w:rFonts w:hint="default" w:ascii="Arial" w:hAnsi="Arial" w:eastAsia="Arial" w:cs="Arial"/>
        <w:color w:val="231F20"/>
        <w:w w:val="93"/>
        <w:sz w:val="21"/>
        <w:szCs w:val="21"/>
      </w:rPr>
    </w:lvl>
    <w:lvl w:ilvl="3">
      <w:start w:val="1"/>
      <w:numFmt w:val="bullet"/>
      <w:lvlText w:val="•"/>
      <w:lvlJc w:val="left"/>
      <w:pPr>
        <w:ind w:left="2617" w:hanging="360"/>
      </w:pPr>
      <w:rPr>
        <w:rFonts w:hint="default"/>
      </w:rPr>
    </w:lvl>
    <w:lvl w:ilvl="4">
      <w:start w:val="1"/>
      <w:numFmt w:val="bullet"/>
      <w:lvlText w:val="•"/>
      <w:lvlJc w:val="left"/>
      <w:pPr>
        <w:ind w:left="3265" w:hanging="360"/>
      </w:pPr>
      <w:rPr>
        <w:rFonts w:hint="default"/>
      </w:rPr>
    </w:lvl>
    <w:lvl w:ilvl="5">
      <w:start w:val="1"/>
      <w:numFmt w:val="bullet"/>
      <w:lvlText w:val="•"/>
      <w:lvlJc w:val="left"/>
      <w:pPr>
        <w:ind w:left="3914" w:hanging="360"/>
      </w:pPr>
      <w:rPr>
        <w:rFonts w:hint="default"/>
      </w:rPr>
    </w:lvl>
    <w:lvl w:ilvl="6">
      <w:start w:val="1"/>
      <w:numFmt w:val="bullet"/>
      <w:lvlText w:val="•"/>
      <w:lvlJc w:val="left"/>
      <w:pPr>
        <w:ind w:left="4563" w:hanging="360"/>
      </w:pPr>
      <w:rPr>
        <w:rFonts w:hint="default"/>
      </w:rPr>
    </w:lvl>
    <w:lvl w:ilvl="7">
      <w:start w:val="1"/>
      <w:numFmt w:val="bullet"/>
      <w:lvlText w:val="•"/>
      <w:lvlJc w:val="left"/>
      <w:pPr>
        <w:ind w:left="5211" w:hanging="360"/>
      </w:pPr>
      <w:rPr>
        <w:rFonts w:hint="default"/>
      </w:rPr>
    </w:lvl>
    <w:lvl w:ilvl="8">
      <w:start w:val="1"/>
      <w:numFmt w:val="bullet"/>
      <w:lvlText w:val="•"/>
      <w:lvlJc w:val="left"/>
      <w:pPr>
        <w:ind w:left="5860" w:hanging="360"/>
      </w:pPr>
      <w:rPr>
        <w:rFonts w:hint="default"/>
      </w:rPr>
    </w:lvl>
  </w:abstractNum>
  <w:abstractNum w:abstractNumId="65">
    <w:multiLevelType w:val="hybridMultilevel"/>
    <w:lvl w:ilvl="0">
      <w:start w:val="12"/>
      <w:numFmt w:val="upperRoman"/>
      <w:lvlText w:val="%1."/>
      <w:lvlJc w:val="left"/>
      <w:pPr>
        <w:ind w:left="500" w:hanging="216"/>
        <w:jc w:val="left"/>
      </w:pPr>
      <w:rPr>
        <w:rFonts w:hint="default" w:ascii="Lucida Sans Unicode" w:hAnsi="Lucida Sans Unicode" w:eastAsia="Lucida Sans Unicode" w:cs="Lucida Sans Unicode"/>
        <w:color w:val="6D6E71"/>
        <w:w w:val="82"/>
        <w:sz w:val="14"/>
        <w:szCs w:val="14"/>
      </w:rPr>
    </w:lvl>
    <w:lvl w:ilvl="1">
      <w:start w:val="1"/>
      <w:numFmt w:val="lowerLetter"/>
      <w:lvlText w:val="%2."/>
      <w:lvlJc w:val="left"/>
      <w:pPr>
        <w:ind w:left="1327" w:hanging="360"/>
        <w:jc w:val="left"/>
      </w:pPr>
      <w:rPr>
        <w:rFonts w:hint="default" w:ascii="Arial" w:hAnsi="Arial" w:eastAsia="Arial" w:cs="Arial"/>
        <w:color w:val="231F20"/>
        <w:w w:val="93"/>
        <w:sz w:val="21"/>
        <w:szCs w:val="21"/>
      </w:rPr>
    </w:lvl>
    <w:lvl w:ilvl="2">
      <w:start w:val="1"/>
      <w:numFmt w:val="bullet"/>
      <w:lvlText w:val="•"/>
      <w:lvlJc w:val="left"/>
      <w:pPr>
        <w:ind w:left="1968" w:hanging="360"/>
      </w:pPr>
      <w:rPr>
        <w:rFonts w:hint="default"/>
      </w:rPr>
    </w:lvl>
    <w:lvl w:ilvl="3">
      <w:start w:val="1"/>
      <w:numFmt w:val="bullet"/>
      <w:lvlText w:val="•"/>
      <w:lvlJc w:val="left"/>
      <w:pPr>
        <w:ind w:left="2617" w:hanging="360"/>
      </w:pPr>
      <w:rPr>
        <w:rFonts w:hint="default"/>
      </w:rPr>
    </w:lvl>
    <w:lvl w:ilvl="4">
      <w:start w:val="1"/>
      <w:numFmt w:val="bullet"/>
      <w:lvlText w:val="•"/>
      <w:lvlJc w:val="left"/>
      <w:pPr>
        <w:ind w:left="3265" w:hanging="360"/>
      </w:pPr>
      <w:rPr>
        <w:rFonts w:hint="default"/>
      </w:rPr>
    </w:lvl>
    <w:lvl w:ilvl="5">
      <w:start w:val="1"/>
      <w:numFmt w:val="bullet"/>
      <w:lvlText w:val="•"/>
      <w:lvlJc w:val="left"/>
      <w:pPr>
        <w:ind w:left="3914" w:hanging="360"/>
      </w:pPr>
      <w:rPr>
        <w:rFonts w:hint="default"/>
      </w:rPr>
    </w:lvl>
    <w:lvl w:ilvl="6">
      <w:start w:val="1"/>
      <w:numFmt w:val="bullet"/>
      <w:lvlText w:val="•"/>
      <w:lvlJc w:val="left"/>
      <w:pPr>
        <w:ind w:left="4563" w:hanging="360"/>
      </w:pPr>
      <w:rPr>
        <w:rFonts w:hint="default"/>
      </w:rPr>
    </w:lvl>
    <w:lvl w:ilvl="7">
      <w:start w:val="1"/>
      <w:numFmt w:val="bullet"/>
      <w:lvlText w:val="•"/>
      <w:lvlJc w:val="left"/>
      <w:pPr>
        <w:ind w:left="5211" w:hanging="360"/>
      </w:pPr>
      <w:rPr>
        <w:rFonts w:hint="default"/>
      </w:rPr>
    </w:lvl>
    <w:lvl w:ilvl="8">
      <w:start w:val="1"/>
      <w:numFmt w:val="bullet"/>
      <w:lvlText w:val="•"/>
      <w:lvlJc w:val="left"/>
      <w:pPr>
        <w:ind w:left="5860" w:hanging="360"/>
      </w:pPr>
      <w:rPr>
        <w:rFonts w:hint="default"/>
      </w:rPr>
    </w:lvl>
  </w:abstractNum>
  <w:abstractNum w:abstractNumId="64">
    <w:multiLevelType w:val="hybridMultilevel"/>
    <w:lvl w:ilvl="0">
      <w:start w:val="1"/>
      <w:numFmt w:val="lowerLetter"/>
      <w:lvlText w:val="%1."/>
      <w:lvlJc w:val="left"/>
      <w:pPr>
        <w:ind w:left="1328" w:hanging="360"/>
        <w:jc w:val="left"/>
      </w:pPr>
      <w:rPr>
        <w:rFonts w:hint="default" w:ascii="Arial" w:hAnsi="Arial" w:eastAsia="Arial" w:cs="Arial"/>
        <w:color w:val="231F20"/>
        <w:w w:val="93"/>
        <w:sz w:val="21"/>
        <w:szCs w:val="21"/>
      </w:rPr>
    </w:lvl>
    <w:lvl w:ilvl="1">
      <w:start w:val="1"/>
      <w:numFmt w:val="bullet"/>
      <w:lvlText w:val="•"/>
      <w:lvlJc w:val="left"/>
      <w:pPr>
        <w:ind w:left="1899" w:hanging="360"/>
      </w:pPr>
      <w:rPr>
        <w:rFonts w:hint="default"/>
      </w:rPr>
    </w:lvl>
    <w:lvl w:ilvl="2">
      <w:start w:val="1"/>
      <w:numFmt w:val="bullet"/>
      <w:lvlText w:val="•"/>
      <w:lvlJc w:val="left"/>
      <w:pPr>
        <w:ind w:left="2479" w:hanging="360"/>
      </w:pPr>
      <w:rPr>
        <w:rFonts w:hint="default"/>
      </w:rPr>
    </w:lvl>
    <w:lvl w:ilvl="3">
      <w:start w:val="1"/>
      <w:numFmt w:val="bullet"/>
      <w:lvlText w:val="•"/>
      <w:lvlJc w:val="left"/>
      <w:pPr>
        <w:ind w:left="3059" w:hanging="360"/>
      </w:pPr>
      <w:rPr>
        <w:rFonts w:hint="default"/>
      </w:rPr>
    </w:lvl>
    <w:lvl w:ilvl="4">
      <w:start w:val="1"/>
      <w:numFmt w:val="bullet"/>
      <w:lvlText w:val="•"/>
      <w:lvlJc w:val="left"/>
      <w:pPr>
        <w:ind w:left="3639" w:hanging="360"/>
      </w:pPr>
      <w:rPr>
        <w:rFonts w:hint="default"/>
      </w:rPr>
    </w:lvl>
    <w:lvl w:ilvl="5">
      <w:start w:val="1"/>
      <w:numFmt w:val="bullet"/>
      <w:lvlText w:val="•"/>
      <w:lvlJc w:val="left"/>
      <w:pPr>
        <w:ind w:left="4218" w:hanging="360"/>
      </w:pPr>
      <w:rPr>
        <w:rFonts w:hint="default"/>
      </w:rPr>
    </w:lvl>
    <w:lvl w:ilvl="6">
      <w:start w:val="1"/>
      <w:numFmt w:val="bullet"/>
      <w:lvlText w:val="•"/>
      <w:lvlJc w:val="left"/>
      <w:pPr>
        <w:ind w:left="4798" w:hanging="360"/>
      </w:pPr>
      <w:rPr>
        <w:rFonts w:hint="default"/>
      </w:rPr>
    </w:lvl>
    <w:lvl w:ilvl="7">
      <w:start w:val="1"/>
      <w:numFmt w:val="bullet"/>
      <w:lvlText w:val="•"/>
      <w:lvlJc w:val="left"/>
      <w:pPr>
        <w:ind w:left="5378" w:hanging="360"/>
      </w:pPr>
      <w:rPr>
        <w:rFonts w:hint="default"/>
      </w:rPr>
    </w:lvl>
    <w:lvl w:ilvl="8">
      <w:start w:val="1"/>
      <w:numFmt w:val="bullet"/>
      <w:lvlText w:val="•"/>
      <w:lvlJc w:val="left"/>
      <w:pPr>
        <w:ind w:left="5958" w:hanging="360"/>
      </w:pPr>
      <w:rPr>
        <w:rFonts w:hint="default"/>
      </w:rPr>
    </w:lvl>
  </w:abstractNum>
  <w:abstractNum w:abstractNumId="63">
    <w:multiLevelType w:val="hybridMultilevel"/>
    <w:lvl w:ilvl="0">
      <w:start w:val="12"/>
      <w:numFmt w:val="upperRoman"/>
      <w:lvlText w:val="%1."/>
      <w:lvlJc w:val="left"/>
      <w:pPr>
        <w:ind w:left="500" w:hanging="216"/>
        <w:jc w:val="left"/>
      </w:pPr>
      <w:rPr>
        <w:rFonts w:hint="default" w:ascii="Lucida Sans Unicode" w:hAnsi="Lucida Sans Unicode" w:eastAsia="Lucida Sans Unicode" w:cs="Lucida Sans Unicode"/>
        <w:color w:val="6D6E71"/>
        <w:w w:val="82"/>
        <w:sz w:val="14"/>
        <w:szCs w:val="14"/>
      </w:rPr>
    </w:lvl>
    <w:lvl w:ilvl="1">
      <w:start w:val="1"/>
      <w:numFmt w:val="lowerLetter"/>
      <w:lvlText w:val="%2."/>
      <w:lvlJc w:val="left"/>
      <w:pPr>
        <w:ind w:left="1327" w:hanging="360"/>
        <w:jc w:val="left"/>
      </w:pPr>
      <w:rPr>
        <w:rFonts w:hint="default" w:ascii="Arial" w:hAnsi="Arial" w:eastAsia="Arial" w:cs="Arial"/>
        <w:color w:val="231F20"/>
        <w:w w:val="93"/>
        <w:sz w:val="21"/>
        <w:szCs w:val="21"/>
      </w:rPr>
    </w:lvl>
    <w:lvl w:ilvl="2">
      <w:start w:val="1"/>
      <w:numFmt w:val="bullet"/>
      <w:lvlText w:val="•"/>
      <w:lvlJc w:val="left"/>
      <w:pPr>
        <w:ind w:left="1968" w:hanging="360"/>
      </w:pPr>
      <w:rPr>
        <w:rFonts w:hint="default"/>
      </w:rPr>
    </w:lvl>
    <w:lvl w:ilvl="3">
      <w:start w:val="1"/>
      <w:numFmt w:val="bullet"/>
      <w:lvlText w:val="•"/>
      <w:lvlJc w:val="left"/>
      <w:pPr>
        <w:ind w:left="2617" w:hanging="360"/>
      </w:pPr>
      <w:rPr>
        <w:rFonts w:hint="default"/>
      </w:rPr>
    </w:lvl>
    <w:lvl w:ilvl="4">
      <w:start w:val="1"/>
      <w:numFmt w:val="bullet"/>
      <w:lvlText w:val="•"/>
      <w:lvlJc w:val="left"/>
      <w:pPr>
        <w:ind w:left="3265" w:hanging="360"/>
      </w:pPr>
      <w:rPr>
        <w:rFonts w:hint="default"/>
      </w:rPr>
    </w:lvl>
    <w:lvl w:ilvl="5">
      <w:start w:val="1"/>
      <w:numFmt w:val="bullet"/>
      <w:lvlText w:val="•"/>
      <w:lvlJc w:val="left"/>
      <w:pPr>
        <w:ind w:left="3914" w:hanging="360"/>
      </w:pPr>
      <w:rPr>
        <w:rFonts w:hint="default"/>
      </w:rPr>
    </w:lvl>
    <w:lvl w:ilvl="6">
      <w:start w:val="1"/>
      <w:numFmt w:val="bullet"/>
      <w:lvlText w:val="•"/>
      <w:lvlJc w:val="left"/>
      <w:pPr>
        <w:ind w:left="4563" w:hanging="360"/>
      </w:pPr>
      <w:rPr>
        <w:rFonts w:hint="default"/>
      </w:rPr>
    </w:lvl>
    <w:lvl w:ilvl="7">
      <w:start w:val="1"/>
      <w:numFmt w:val="bullet"/>
      <w:lvlText w:val="•"/>
      <w:lvlJc w:val="left"/>
      <w:pPr>
        <w:ind w:left="5211" w:hanging="360"/>
      </w:pPr>
      <w:rPr>
        <w:rFonts w:hint="default"/>
      </w:rPr>
    </w:lvl>
    <w:lvl w:ilvl="8">
      <w:start w:val="1"/>
      <w:numFmt w:val="bullet"/>
      <w:lvlText w:val="•"/>
      <w:lvlJc w:val="left"/>
      <w:pPr>
        <w:ind w:left="5860" w:hanging="360"/>
      </w:pPr>
      <w:rPr>
        <w:rFonts w:hint="default"/>
      </w:rPr>
    </w:lvl>
  </w:abstractNum>
  <w:abstractNum w:abstractNumId="62">
    <w:multiLevelType w:val="hybridMultilevel"/>
    <w:lvl w:ilvl="0">
      <w:start w:val="12"/>
      <w:numFmt w:val="upperRoman"/>
      <w:lvlText w:val="%1."/>
      <w:lvlJc w:val="left"/>
      <w:pPr>
        <w:ind w:left="500" w:hanging="216"/>
        <w:jc w:val="left"/>
      </w:pPr>
      <w:rPr>
        <w:rFonts w:hint="default" w:ascii="Lucida Sans Unicode" w:hAnsi="Lucida Sans Unicode" w:eastAsia="Lucida Sans Unicode" w:cs="Lucida Sans Unicode"/>
        <w:color w:val="6D6E71"/>
        <w:w w:val="82"/>
        <w:sz w:val="14"/>
        <w:szCs w:val="14"/>
      </w:rPr>
    </w:lvl>
    <w:lvl w:ilvl="1">
      <w:start w:val="1"/>
      <w:numFmt w:val="lowerLetter"/>
      <w:lvlText w:val="%2."/>
      <w:lvlJc w:val="left"/>
      <w:pPr>
        <w:ind w:left="1327" w:hanging="360"/>
        <w:jc w:val="left"/>
      </w:pPr>
      <w:rPr>
        <w:rFonts w:hint="default" w:ascii="Arial" w:hAnsi="Arial" w:eastAsia="Arial" w:cs="Arial"/>
        <w:color w:val="231F20"/>
        <w:spacing w:val="-2"/>
        <w:w w:val="93"/>
        <w:sz w:val="21"/>
        <w:szCs w:val="21"/>
      </w:rPr>
    </w:lvl>
    <w:lvl w:ilvl="2">
      <w:start w:val="1"/>
      <w:numFmt w:val="bullet"/>
      <w:lvlText w:val="•"/>
      <w:lvlJc w:val="left"/>
      <w:pPr>
        <w:ind w:left="1968" w:hanging="360"/>
      </w:pPr>
      <w:rPr>
        <w:rFonts w:hint="default"/>
      </w:rPr>
    </w:lvl>
    <w:lvl w:ilvl="3">
      <w:start w:val="1"/>
      <w:numFmt w:val="bullet"/>
      <w:lvlText w:val="•"/>
      <w:lvlJc w:val="left"/>
      <w:pPr>
        <w:ind w:left="2617" w:hanging="360"/>
      </w:pPr>
      <w:rPr>
        <w:rFonts w:hint="default"/>
      </w:rPr>
    </w:lvl>
    <w:lvl w:ilvl="4">
      <w:start w:val="1"/>
      <w:numFmt w:val="bullet"/>
      <w:lvlText w:val="•"/>
      <w:lvlJc w:val="left"/>
      <w:pPr>
        <w:ind w:left="3265" w:hanging="360"/>
      </w:pPr>
      <w:rPr>
        <w:rFonts w:hint="default"/>
      </w:rPr>
    </w:lvl>
    <w:lvl w:ilvl="5">
      <w:start w:val="1"/>
      <w:numFmt w:val="bullet"/>
      <w:lvlText w:val="•"/>
      <w:lvlJc w:val="left"/>
      <w:pPr>
        <w:ind w:left="3914" w:hanging="360"/>
      </w:pPr>
      <w:rPr>
        <w:rFonts w:hint="default"/>
      </w:rPr>
    </w:lvl>
    <w:lvl w:ilvl="6">
      <w:start w:val="1"/>
      <w:numFmt w:val="bullet"/>
      <w:lvlText w:val="•"/>
      <w:lvlJc w:val="left"/>
      <w:pPr>
        <w:ind w:left="4563" w:hanging="360"/>
      </w:pPr>
      <w:rPr>
        <w:rFonts w:hint="default"/>
      </w:rPr>
    </w:lvl>
    <w:lvl w:ilvl="7">
      <w:start w:val="1"/>
      <w:numFmt w:val="bullet"/>
      <w:lvlText w:val="•"/>
      <w:lvlJc w:val="left"/>
      <w:pPr>
        <w:ind w:left="5211" w:hanging="360"/>
      </w:pPr>
      <w:rPr>
        <w:rFonts w:hint="default"/>
      </w:rPr>
    </w:lvl>
    <w:lvl w:ilvl="8">
      <w:start w:val="1"/>
      <w:numFmt w:val="bullet"/>
      <w:lvlText w:val="•"/>
      <w:lvlJc w:val="left"/>
      <w:pPr>
        <w:ind w:left="5860" w:hanging="360"/>
      </w:pPr>
      <w:rPr>
        <w:rFonts w:hint="default"/>
      </w:rPr>
    </w:lvl>
  </w:abstractNum>
  <w:abstractNum w:abstractNumId="61">
    <w:multiLevelType w:val="hybridMultilevel"/>
    <w:lvl w:ilvl="0">
      <w:start w:val="11"/>
      <w:numFmt w:val="upperRoman"/>
      <w:lvlText w:val="%1."/>
      <w:lvlJc w:val="left"/>
      <w:pPr>
        <w:ind w:left="429" w:hanging="184"/>
        <w:jc w:val="right"/>
      </w:pPr>
      <w:rPr>
        <w:rFonts w:hint="default"/>
        <w:w w:val="83"/>
      </w:rPr>
    </w:lvl>
    <w:lvl w:ilvl="1">
      <w:start w:val="1"/>
      <w:numFmt w:val="bullet"/>
      <w:lvlText w:val="•"/>
      <w:lvlJc w:val="left"/>
      <w:pPr>
        <w:ind w:left="1093" w:hanging="184"/>
      </w:pPr>
      <w:rPr>
        <w:rFonts w:hint="default"/>
      </w:rPr>
    </w:lvl>
    <w:lvl w:ilvl="2">
      <w:start w:val="1"/>
      <w:numFmt w:val="bullet"/>
      <w:lvlText w:val="•"/>
      <w:lvlJc w:val="left"/>
      <w:pPr>
        <w:ind w:left="1767" w:hanging="184"/>
      </w:pPr>
      <w:rPr>
        <w:rFonts w:hint="default"/>
      </w:rPr>
    </w:lvl>
    <w:lvl w:ilvl="3">
      <w:start w:val="1"/>
      <w:numFmt w:val="bullet"/>
      <w:lvlText w:val="•"/>
      <w:lvlJc w:val="left"/>
      <w:pPr>
        <w:ind w:left="2441" w:hanging="184"/>
      </w:pPr>
      <w:rPr>
        <w:rFonts w:hint="default"/>
      </w:rPr>
    </w:lvl>
    <w:lvl w:ilvl="4">
      <w:start w:val="1"/>
      <w:numFmt w:val="bullet"/>
      <w:lvlText w:val="•"/>
      <w:lvlJc w:val="left"/>
      <w:pPr>
        <w:ind w:left="3115" w:hanging="184"/>
      </w:pPr>
      <w:rPr>
        <w:rFonts w:hint="default"/>
      </w:rPr>
    </w:lvl>
    <w:lvl w:ilvl="5">
      <w:start w:val="1"/>
      <w:numFmt w:val="bullet"/>
      <w:lvlText w:val="•"/>
      <w:lvlJc w:val="left"/>
      <w:pPr>
        <w:ind w:left="3788" w:hanging="184"/>
      </w:pPr>
      <w:rPr>
        <w:rFonts w:hint="default"/>
      </w:rPr>
    </w:lvl>
    <w:lvl w:ilvl="6">
      <w:start w:val="1"/>
      <w:numFmt w:val="bullet"/>
      <w:lvlText w:val="•"/>
      <w:lvlJc w:val="left"/>
      <w:pPr>
        <w:ind w:left="4462" w:hanging="184"/>
      </w:pPr>
      <w:rPr>
        <w:rFonts w:hint="default"/>
      </w:rPr>
    </w:lvl>
    <w:lvl w:ilvl="7">
      <w:start w:val="1"/>
      <w:numFmt w:val="bullet"/>
      <w:lvlText w:val="•"/>
      <w:lvlJc w:val="left"/>
      <w:pPr>
        <w:ind w:left="5136" w:hanging="184"/>
      </w:pPr>
      <w:rPr>
        <w:rFonts w:hint="default"/>
      </w:rPr>
    </w:lvl>
    <w:lvl w:ilvl="8">
      <w:start w:val="1"/>
      <w:numFmt w:val="bullet"/>
      <w:lvlText w:val="•"/>
      <w:lvlJc w:val="left"/>
      <w:pPr>
        <w:ind w:left="5810" w:hanging="184"/>
      </w:pPr>
      <w:rPr>
        <w:rFonts w:hint="default"/>
      </w:rPr>
    </w:lvl>
  </w:abstractNum>
  <w:abstractNum w:abstractNumId="57">
    <w:multiLevelType w:val="hybridMultilevel"/>
    <w:lvl w:ilvl="0">
      <w:start w:val="10"/>
      <w:numFmt w:val="upperRoman"/>
      <w:lvlText w:val="%1."/>
      <w:lvlJc w:val="left"/>
      <w:pPr>
        <w:ind w:left="404" w:hanging="153"/>
        <w:jc w:val="right"/>
      </w:pPr>
      <w:rPr>
        <w:rFonts w:hint="default"/>
        <w:w w:val="85"/>
      </w:rPr>
    </w:lvl>
    <w:lvl w:ilvl="1">
      <w:start w:val="1"/>
      <w:numFmt w:val="lowerLetter"/>
      <w:lvlText w:val="%2."/>
      <w:lvlJc w:val="left"/>
      <w:pPr>
        <w:ind w:left="1327" w:hanging="360"/>
        <w:jc w:val="left"/>
      </w:pPr>
      <w:rPr>
        <w:rFonts w:hint="default" w:ascii="Arial" w:hAnsi="Arial" w:eastAsia="Arial" w:cs="Arial"/>
        <w:color w:val="231F20"/>
        <w:w w:val="93"/>
        <w:sz w:val="21"/>
        <w:szCs w:val="21"/>
      </w:rPr>
    </w:lvl>
    <w:lvl w:ilvl="2">
      <w:start w:val="1"/>
      <w:numFmt w:val="bullet"/>
      <w:lvlText w:val="•"/>
      <w:lvlJc w:val="left"/>
      <w:pPr>
        <w:ind w:left="1440" w:hanging="360"/>
      </w:pPr>
      <w:rPr>
        <w:rFonts w:hint="default"/>
      </w:rPr>
    </w:lvl>
    <w:lvl w:ilvl="3">
      <w:start w:val="1"/>
      <w:numFmt w:val="bullet"/>
      <w:lvlText w:val="•"/>
      <w:lvlJc w:val="left"/>
      <w:pPr>
        <w:ind w:left="2154" w:hanging="360"/>
      </w:pPr>
      <w:rPr>
        <w:rFonts w:hint="default"/>
      </w:rPr>
    </w:lvl>
    <w:lvl w:ilvl="4">
      <w:start w:val="1"/>
      <w:numFmt w:val="bullet"/>
      <w:lvlText w:val="•"/>
      <w:lvlJc w:val="left"/>
      <w:pPr>
        <w:ind w:left="2869" w:hanging="360"/>
      </w:pPr>
      <w:rPr>
        <w:rFonts w:hint="default"/>
      </w:rPr>
    </w:lvl>
    <w:lvl w:ilvl="5">
      <w:start w:val="1"/>
      <w:numFmt w:val="bullet"/>
      <w:lvlText w:val="•"/>
      <w:lvlJc w:val="left"/>
      <w:pPr>
        <w:ind w:left="3584" w:hanging="360"/>
      </w:pPr>
      <w:rPr>
        <w:rFonts w:hint="default"/>
      </w:rPr>
    </w:lvl>
    <w:lvl w:ilvl="6">
      <w:start w:val="1"/>
      <w:numFmt w:val="bullet"/>
      <w:lvlText w:val="•"/>
      <w:lvlJc w:val="left"/>
      <w:pPr>
        <w:ind w:left="4298" w:hanging="360"/>
      </w:pPr>
      <w:rPr>
        <w:rFonts w:hint="default"/>
      </w:rPr>
    </w:lvl>
    <w:lvl w:ilvl="7">
      <w:start w:val="1"/>
      <w:numFmt w:val="bullet"/>
      <w:lvlText w:val="•"/>
      <w:lvlJc w:val="left"/>
      <w:pPr>
        <w:ind w:left="5013" w:hanging="360"/>
      </w:pPr>
      <w:rPr>
        <w:rFonts w:hint="default"/>
      </w:rPr>
    </w:lvl>
    <w:lvl w:ilvl="8">
      <w:start w:val="1"/>
      <w:numFmt w:val="bullet"/>
      <w:lvlText w:val="•"/>
      <w:lvlJc w:val="left"/>
      <w:pPr>
        <w:ind w:left="5728" w:hanging="360"/>
      </w:pPr>
      <w:rPr>
        <w:rFonts w:hint="default"/>
      </w:rPr>
    </w:lvl>
  </w:abstractNum>
  <w:abstractNum w:abstractNumId="55">
    <w:multiLevelType w:val="hybridMultilevel"/>
    <w:lvl w:ilvl="0">
      <w:start w:val="9"/>
      <w:numFmt w:val="upperRoman"/>
      <w:lvlText w:val="%1."/>
      <w:lvlJc w:val="left"/>
      <w:pPr>
        <w:ind w:left="2169" w:hanging="184"/>
        <w:jc w:val="right"/>
      </w:pPr>
      <w:rPr>
        <w:rFonts w:hint="default"/>
        <w:w w:val="83"/>
      </w:rPr>
    </w:lvl>
    <w:lvl w:ilvl="1">
      <w:start w:val="1"/>
      <w:numFmt w:val="bullet"/>
      <w:lvlText w:val="•"/>
      <w:lvlJc w:val="left"/>
      <w:pPr>
        <w:ind w:left="2570" w:hanging="184"/>
      </w:pPr>
      <w:rPr>
        <w:rFonts w:hint="default"/>
      </w:rPr>
    </w:lvl>
    <w:lvl w:ilvl="2">
      <w:start w:val="1"/>
      <w:numFmt w:val="bullet"/>
      <w:lvlText w:val="•"/>
      <w:lvlJc w:val="left"/>
      <w:pPr>
        <w:ind w:left="2980" w:hanging="184"/>
      </w:pPr>
      <w:rPr>
        <w:rFonts w:hint="default"/>
      </w:rPr>
    </w:lvl>
    <w:lvl w:ilvl="3">
      <w:start w:val="1"/>
      <w:numFmt w:val="bullet"/>
      <w:lvlText w:val="•"/>
      <w:lvlJc w:val="left"/>
      <w:pPr>
        <w:ind w:left="3390" w:hanging="184"/>
      </w:pPr>
      <w:rPr>
        <w:rFonts w:hint="default"/>
      </w:rPr>
    </w:lvl>
    <w:lvl w:ilvl="4">
      <w:start w:val="1"/>
      <w:numFmt w:val="bullet"/>
      <w:lvlText w:val="•"/>
      <w:lvlJc w:val="left"/>
      <w:pPr>
        <w:ind w:left="3800" w:hanging="184"/>
      </w:pPr>
      <w:rPr>
        <w:rFonts w:hint="default"/>
      </w:rPr>
    </w:lvl>
    <w:lvl w:ilvl="5">
      <w:start w:val="1"/>
      <w:numFmt w:val="bullet"/>
      <w:lvlText w:val="•"/>
      <w:lvlJc w:val="left"/>
      <w:pPr>
        <w:ind w:left="4210" w:hanging="184"/>
      </w:pPr>
      <w:rPr>
        <w:rFonts w:hint="default"/>
      </w:rPr>
    </w:lvl>
    <w:lvl w:ilvl="6">
      <w:start w:val="1"/>
      <w:numFmt w:val="bullet"/>
      <w:lvlText w:val="•"/>
      <w:lvlJc w:val="left"/>
      <w:pPr>
        <w:ind w:left="4620" w:hanging="184"/>
      </w:pPr>
      <w:rPr>
        <w:rFonts w:hint="default"/>
      </w:rPr>
    </w:lvl>
    <w:lvl w:ilvl="7">
      <w:start w:val="1"/>
      <w:numFmt w:val="bullet"/>
      <w:lvlText w:val="•"/>
      <w:lvlJc w:val="left"/>
      <w:pPr>
        <w:ind w:left="5030" w:hanging="184"/>
      </w:pPr>
      <w:rPr>
        <w:rFonts w:hint="default"/>
      </w:rPr>
    </w:lvl>
    <w:lvl w:ilvl="8">
      <w:start w:val="1"/>
      <w:numFmt w:val="bullet"/>
      <w:lvlText w:val="•"/>
      <w:lvlJc w:val="left"/>
      <w:pPr>
        <w:ind w:left="5440" w:hanging="184"/>
      </w:pPr>
      <w:rPr>
        <w:rFonts w:hint="default"/>
      </w:rPr>
    </w:lvl>
  </w:abstractNum>
  <w:abstractNum w:abstractNumId="54">
    <w:multiLevelType w:val="hybridMultilevel"/>
    <w:lvl w:ilvl="0">
      <w:start w:val="8"/>
      <w:numFmt w:val="upperRoman"/>
      <w:lvlText w:val="%1."/>
      <w:lvlJc w:val="left"/>
      <w:pPr>
        <w:ind w:left="2410" w:hanging="250"/>
        <w:jc w:val="right"/>
      </w:pPr>
      <w:rPr>
        <w:rFonts w:hint="default"/>
        <w:w w:val="81"/>
      </w:rPr>
    </w:lvl>
    <w:lvl w:ilvl="1">
      <w:start w:val="1"/>
      <w:numFmt w:val="bullet"/>
      <w:lvlText w:val="•"/>
      <w:lvlJc w:val="left"/>
      <w:pPr>
        <w:ind w:left="2420" w:hanging="250"/>
      </w:pPr>
      <w:rPr>
        <w:rFonts w:hint="default"/>
      </w:rPr>
    </w:lvl>
    <w:lvl w:ilvl="2">
      <w:start w:val="1"/>
      <w:numFmt w:val="bullet"/>
      <w:lvlText w:val="•"/>
      <w:lvlJc w:val="left"/>
      <w:pPr>
        <w:ind w:left="2846" w:hanging="250"/>
      </w:pPr>
      <w:rPr>
        <w:rFonts w:hint="default"/>
      </w:rPr>
    </w:lvl>
    <w:lvl w:ilvl="3">
      <w:start w:val="1"/>
      <w:numFmt w:val="bullet"/>
      <w:lvlText w:val="•"/>
      <w:lvlJc w:val="left"/>
      <w:pPr>
        <w:ind w:left="3273" w:hanging="250"/>
      </w:pPr>
      <w:rPr>
        <w:rFonts w:hint="default"/>
      </w:rPr>
    </w:lvl>
    <w:lvl w:ilvl="4">
      <w:start w:val="1"/>
      <w:numFmt w:val="bullet"/>
      <w:lvlText w:val="•"/>
      <w:lvlJc w:val="left"/>
      <w:pPr>
        <w:ind w:left="3700" w:hanging="250"/>
      </w:pPr>
      <w:rPr>
        <w:rFonts w:hint="default"/>
      </w:rPr>
    </w:lvl>
    <w:lvl w:ilvl="5">
      <w:start w:val="1"/>
      <w:numFmt w:val="bullet"/>
      <w:lvlText w:val="•"/>
      <w:lvlJc w:val="left"/>
      <w:pPr>
        <w:ind w:left="4126" w:hanging="250"/>
      </w:pPr>
      <w:rPr>
        <w:rFonts w:hint="default"/>
      </w:rPr>
    </w:lvl>
    <w:lvl w:ilvl="6">
      <w:start w:val="1"/>
      <w:numFmt w:val="bullet"/>
      <w:lvlText w:val="•"/>
      <w:lvlJc w:val="left"/>
      <w:pPr>
        <w:ind w:left="4553" w:hanging="250"/>
      </w:pPr>
      <w:rPr>
        <w:rFonts w:hint="default"/>
      </w:rPr>
    </w:lvl>
    <w:lvl w:ilvl="7">
      <w:start w:val="1"/>
      <w:numFmt w:val="bullet"/>
      <w:lvlText w:val="•"/>
      <w:lvlJc w:val="left"/>
      <w:pPr>
        <w:ind w:left="4980" w:hanging="250"/>
      </w:pPr>
      <w:rPr>
        <w:rFonts w:hint="default"/>
      </w:rPr>
    </w:lvl>
    <w:lvl w:ilvl="8">
      <w:start w:val="1"/>
      <w:numFmt w:val="bullet"/>
      <w:lvlText w:val="•"/>
      <w:lvlJc w:val="left"/>
      <w:pPr>
        <w:ind w:left="5406" w:hanging="250"/>
      </w:pPr>
      <w:rPr>
        <w:rFonts w:hint="default"/>
      </w:rPr>
    </w:lvl>
  </w:abstractNum>
  <w:abstractNum w:abstractNumId="53">
    <w:multiLevelType w:val="hybridMultilevel"/>
    <w:lvl w:ilvl="0">
      <w:start w:val="7"/>
      <w:numFmt w:val="upperRoman"/>
      <w:lvlText w:val="%1."/>
      <w:lvlJc w:val="left"/>
      <w:pPr>
        <w:ind w:left="883" w:hanging="218"/>
        <w:jc w:val="right"/>
      </w:pPr>
      <w:rPr>
        <w:rFonts w:hint="default"/>
        <w:w w:val="82"/>
      </w:rPr>
    </w:lvl>
    <w:lvl w:ilvl="1">
      <w:start w:val="1"/>
      <w:numFmt w:val="bullet"/>
      <w:lvlText w:val="•"/>
      <w:lvlJc w:val="left"/>
      <w:pPr>
        <w:ind w:left="2420" w:hanging="218"/>
      </w:pPr>
      <w:rPr>
        <w:rFonts w:hint="default"/>
      </w:rPr>
    </w:lvl>
    <w:lvl w:ilvl="2">
      <w:start w:val="1"/>
      <w:numFmt w:val="bullet"/>
      <w:lvlText w:val="•"/>
      <w:lvlJc w:val="left"/>
      <w:pPr>
        <w:ind w:left="2846" w:hanging="218"/>
      </w:pPr>
      <w:rPr>
        <w:rFonts w:hint="default"/>
      </w:rPr>
    </w:lvl>
    <w:lvl w:ilvl="3">
      <w:start w:val="1"/>
      <w:numFmt w:val="bullet"/>
      <w:lvlText w:val="•"/>
      <w:lvlJc w:val="left"/>
      <w:pPr>
        <w:ind w:left="3273" w:hanging="218"/>
      </w:pPr>
      <w:rPr>
        <w:rFonts w:hint="default"/>
      </w:rPr>
    </w:lvl>
    <w:lvl w:ilvl="4">
      <w:start w:val="1"/>
      <w:numFmt w:val="bullet"/>
      <w:lvlText w:val="•"/>
      <w:lvlJc w:val="left"/>
      <w:pPr>
        <w:ind w:left="3700" w:hanging="218"/>
      </w:pPr>
      <w:rPr>
        <w:rFonts w:hint="default"/>
      </w:rPr>
    </w:lvl>
    <w:lvl w:ilvl="5">
      <w:start w:val="1"/>
      <w:numFmt w:val="bullet"/>
      <w:lvlText w:val="•"/>
      <w:lvlJc w:val="left"/>
      <w:pPr>
        <w:ind w:left="4126" w:hanging="218"/>
      </w:pPr>
      <w:rPr>
        <w:rFonts w:hint="default"/>
      </w:rPr>
    </w:lvl>
    <w:lvl w:ilvl="6">
      <w:start w:val="1"/>
      <w:numFmt w:val="bullet"/>
      <w:lvlText w:val="•"/>
      <w:lvlJc w:val="left"/>
      <w:pPr>
        <w:ind w:left="4553" w:hanging="218"/>
      </w:pPr>
      <w:rPr>
        <w:rFonts w:hint="default"/>
      </w:rPr>
    </w:lvl>
    <w:lvl w:ilvl="7">
      <w:start w:val="1"/>
      <w:numFmt w:val="bullet"/>
      <w:lvlText w:val="•"/>
      <w:lvlJc w:val="left"/>
      <w:pPr>
        <w:ind w:left="4980" w:hanging="218"/>
      </w:pPr>
      <w:rPr>
        <w:rFonts w:hint="default"/>
      </w:rPr>
    </w:lvl>
    <w:lvl w:ilvl="8">
      <w:start w:val="1"/>
      <w:numFmt w:val="bullet"/>
      <w:lvlText w:val="•"/>
      <w:lvlJc w:val="left"/>
      <w:pPr>
        <w:ind w:left="5406" w:hanging="218"/>
      </w:pPr>
      <w:rPr>
        <w:rFonts w:hint="default"/>
      </w:rPr>
    </w:lvl>
  </w:abstractNum>
  <w:abstractNum w:abstractNumId="49">
    <w:multiLevelType w:val="hybridMultilevel"/>
    <w:lvl w:ilvl="0">
      <w:start w:val="1"/>
      <w:numFmt w:val="decimal"/>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47">
    <w:multiLevelType w:val="hybridMultilevel"/>
    <w:lvl w:ilvl="0">
      <w:start w:val="6"/>
      <w:numFmt w:val="upperRoman"/>
      <w:lvlText w:val="%1."/>
      <w:lvlJc w:val="left"/>
      <w:pPr>
        <w:ind w:left="236" w:hanging="187"/>
        <w:jc w:val="right"/>
      </w:pPr>
      <w:rPr>
        <w:rFonts w:hint="default"/>
        <w:w w:val="83"/>
      </w:rPr>
    </w:lvl>
    <w:lvl w:ilvl="1">
      <w:start w:val="1"/>
      <w:numFmt w:val="bullet"/>
      <w:lvlText w:val="•"/>
      <w:lvlJc w:val="left"/>
      <w:pPr>
        <w:ind w:left="2040" w:hanging="187"/>
      </w:pPr>
      <w:rPr>
        <w:rFonts w:hint="default"/>
      </w:rPr>
    </w:lvl>
    <w:lvl w:ilvl="2">
      <w:start w:val="1"/>
      <w:numFmt w:val="bullet"/>
      <w:lvlText w:val="•"/>
      <w:lvlJc w:val="left"/>
      <w:pPr>
        <w:ind w:left="2508" w:hanging="187"/>
      </w:pPr>
      <w:rPr>
        <w:rFonts w:hint="default"/>
      </w:rPr>
    </w:lvl>
    <w:lvl w:ilvl="3">
      <w:start w:val="1"/>
      <w:numFmt w:val="bullet"/>
      <w:lvlText w:val="•"/>
      <w:lvlJc w:val="left"/>
      <w:pPr>
        <w:ind w:left="2977" w:hanging="187"/>
      </w:pPr>
      <w:rPr>
        <w:rFonts w:hint="default"/>
      </w:rPr>
    </w:lvl>
    <w:lvl w:ilvl="4">
      <w:start w:val="1"/>
      <w:numFmt w:val="bullet"/>
      <w:lvlText w:val="•"/>
      <w:lvlJc w:val="left"/>
      <w:pPr>
        <w:ind w:left="3446" w:hanging="187"/>
      </w:pPr>
      <w:rPr>
        <w:rFonts w:hint="default"/>
      </w:rPr>
    </w:lvl>
    <w:lvl w:ilvl="5">
      <w:start w:val="1"/>
      <w:numFmt w:val="bullet"/>
      <w:lvlText w:val="•"/>
      <w:lvlJc w:val="left"/>
      <w:pPr>
        <w:ind w:left="3915" w:hanging="187"/>
      </w:pPr>
      <w:rPr>
        <w:rFonts w:hint="default"/>
      </w:rPr>
    </w:lvl>
    <w:lvl w:ilvl="6">
      <w:start w:val="1"/>
      <w:numFmt w:val="bullet"/>
      <w:lvlText w:val="•"/>
      <w:lvlJc w:val="left"/>
      <w:pPr>
        <w:ind w:left="4384" w:hanging="187"/>
      </w:pPr>
      <w:rPr>
        <w:rFonts w:hint="default"/>
      </w:rPr>
    </w:lvl>
    <w:lvl w:ilvl="7">
      <w:start w:val="1"/>
      <w:numFmt w:val="bullet"/>
      <w:lvlText w:val="•"/>
      <w:lvlJc w:val="left"/>
      <w:pPr>
        <w:ind w:left="4853" w:hanging="187"/>
      </w:pPr>
      <w:rPr>
        <w:rFonts w:hint="default"/>
      </w:rPr>
    </w:lvl>
    <w:lvl w:ilvl="8">
      <w:start w:val="1"/>
      <w:numFmt w:val="bullet"/>
      <w:lvlText w:val="•"/>
      <w:lvlJc w:val="left"/>
      <w:pPr>
        <w:ind w:left="5322" w:hanging="187"/>
      </w:pPr>
      <w:rPr>
        <w:rFonts w:hint="default"/>
      </w:rPr>
    </w:lvl>
  </w:abstractNum>
  <w:abstractNum w:abstractNumId="46">
    <w:multiLevelType w:val="hybridMultilevel"/>
    <w:lvl w:ilvl="0">
      <w:start w:val="1"/>
      <w:numFmt w:val="decimal"/>
      <w:lvlText w:val="%1)"/>
      <w:lvlJc w:val="left"/>
      <w:pPr>
        <w:ind w:left="319" w:hanging="214"/>
        <w:jc w:val="left"/>
      </w:pPr>
      <w:rPr>
        <w:rFonts w:hint="default" w:ascii="Microsoft Sans Serif" w:hAnsi="Microsoft Sans Serif" w:eastAsia="Microsoft Sans Serif" w:cs="Microsoft Sans Serif"/>
        <w:color w:val="231F20"/>
        <w:w w:val="101"/>
        <w:sz w:val="13"/>
        <w:szCs w:val="13"/>
      </w:rPr>
    </w:lvl>
    <w:lvl w:ilvl="1">
      <w:start w:val="1"/>
      <w:numFmt w:val="bullet"/>
      <w:lvlText w:val="•"/>
      <w:lvlJc w:val="left"/>
      <w:pPr>
        <w:ind w:left="432" w:hanging="214"/>
      </w:pPr>
      <w:rPr>
        <w:rFonts w:hint="default"/>
      </w:rPr>
    </w:lvl>
    <w:lvl w:ilvl="2">
      <w:start w:val="1"/>
      <w:numFmt w:val="bullet"/>
      <w:lvlText w:val="•"/>
      <w:lvlJc w:val="left"/>
      <w:pPr>
        <w:ind w:left="545" w:hanging="214"/>
      </w:pPr>
      <w:rPr>
        <w:rFonts w:hint="default"/>
      </w:rPr>
    </w:lvl>
    <w:lvl w:ilvl="3">
      <w:start w:val="1"/>
      <w:numFmt w:val="bullet"/>
      <w:lvlText w:val="•"/>
      <w:lvlJc w:val="left"/>
      <w:pPr>
        <w:ind w:left="658" w:hanging="214"/>
      </w:pPr>
      <w:rPr>
        <w:rFonts w:hint="default"/>
      </w:rPr>
    </w:lvl>
    <w:lvl w:ilvl="4">
      <w:start w:val="1"/>
      <w:numFmt w:val="bullet"/>
      <w:lvlText w:val="•"/>
      <w:lvlJc w:val="left"/>
      <w:pPr>
        <w:ind w:left="771" w:hanging="214"/>
      </w:pPr>
      <w:rPr>
        <w:rFonts w:hint="default"/>
      </w:rPr>
    </w:lvl>
    <w:lvl w:ilvl="5">
      <w:start w:val="1"/>
      <w:numFmt w:val="bullet"/>
      <w:lvlText w:val="•"/>
      <w:lvlJc w:val="left"/>
      <w:pPr>
        <w:ind w:left="884" w:hanging="214"/>
      </w:pPr>
      <w:rPr>
        <w:rFonts w:hint="default"/>
      </w:rPr>
    </w:lvl>
    <w:lvl w:ilvl="6">
      <w:start w:val="1"/>
      <w:numFmt w:val="bullet"/>
      <w:lvlText w:val="•"/>
      <w:lvlJc w:val="left"/>
      <w:pPr>
        <w:ind w:left="997" w:hanging="214"/>
      </w:pPr>
      <w:rPr>
        <w:rFonts w:hint="default"/>
      </w:rPr>
    </w:lvl>
    <w:lvl w:ilvl="7">
      <w:start w:val="1"/>
      <w:numFmt w:val="bullet"/>
      <w:lvlText w:val="•"/>
      <w:lvlJc w:val="left"/>
      <w:pPr>
        <w:ind w:left="1109" w:hanging="214"/>
      </w:pPr>
      <w:rPr>
        <w:rFonts w:hint="default"/>
      </w:rPr>
    </w:lvl>
    <w:lvl w:ilvl="8">
      <w:start w:val="1"/>
      <w:numFmt w:val="bullet"/>
      <w:lvlText w:val="•"/>
      <w:lvlJc w:val="left"/>
      <w:pPr>
        <w:ind w:left="1222" w:hanging="214"/>
      </w:pPr>
      <w:rPr>
        <w:rFonts w:hint="default"/>
      </w:rPr>
    </w:lvl>
  </w:abstractNum>
  <w:abstractNum w:abstractNumId="45">
    <w:multiLevelType w:val="hybridMultilevel"/>
    <w:lvl w:ilvl="0">
      <w:start w:val="1"/>
      <w:numFmt w:val="bullet"/>
      <w:lvlText w:val="•"/>
      <w:lvlJc w:val="left"/>
      <w:pPr>
        <w:ind w:left="284" w:hanging="143"/>
      </w:pPr>
      <w:rPr>
        <w:rFonts w:hint="default" w:ascii="Microsoft Sans Serif" w:hAnsi="Microsoft Sans Serif" w:eastAsia="Microsoft Sans Serif" w:cs="Microsoft Sans Serif"/>
        <w:color w:val="231F20"/>
        <w:w w:val="143"/>
        <w:sz w:val="10"/>
        <w:szCs w:val="10"/>
      </w:rPr>
    </w:lvl>
    <w:lvl w:ilvl="1">
      <w:start w:val="1"/>
      <w:numFmt w:val="bullet"/>
      <w:lvlText w:val="•"/>
      <w:lvlJc w:val="left"/>
      <w:pPr>
        <w:ind w:left="465" w:hanging="143"/>
      </w:pPr>
      <w:rPr>
        <w:rFonts w:hint="default"/>
      </w:rPr>
    </w:lvl>
    <w:lvl w:ilvl="2">
      <w:start w:val="1"/>
      <w:numFmt w:val="bullet"/>
      <w:lvlText w:val="•"/>
      <w:lvlJc w:val="left"/>
      <w:pPr>
        <w:ind w:left="650" w:hanging="143"/>
      </w:pPr>
      <w:rPr>
        <w:rFonts w:hint="default"/>
      </w:rPr>
    </w:lvl>
    <w:lvl w:ilvl="3">
      <w:start w:val="1"/>
      <w:numFmt w:val="bullet"/>
      <w:lvlText w:val="•"/>
      <w:lvlJc w:val="left"/>
      <w:pPr>
        <w:ind w:left="836" w:hanging="143"/>
      </w:pPr>
      <w:rPr>
        <w:rFonts w:hint="default"/>
      </w:rPr>
    </w:lvl>
    <w:lvl w:ilvl="4">
      <w:start w:val="1"/>
      <w:numFmt w:val="bullet"/>
      <w:lvlText w:val="•"/>
      <w:lvlJc w:val="left"/>
      <w:pPr>
        <w:ind w:left="1021" w:hanging="143"/>
      </w:pPr>
      <w:rPr>
        <w:rFonts w:hint="default"/>
      </w:rPr>
    </w:lvl>
    <w:lvl w:ilvl="5">
      <w:start w:val="1"/>
      <w:numFmt w:val="bullet"/>
      <w:lvlText w:val="•"/>
      <w:lvlJc w:val="left"/>
      <w:pPr>
        <w:ind w:left="1207" w:hanging="143"/>
      </w:pPr>
      <w:rPr>
        <w:rFonts w:hint="default"/>
      </w:rPr>
    </w:lvl>
    <w:lvl w:ilvl="6">
      <w:start w:val="1"/>
      <w:numFmt w:val="bullet"/>
      <w:lvlText w:val="•"/>
      <w:lvlJc w:val="left"/>
      <w:pPr>
        <w:ind w:left="1392" w:hanging="143"/>
      </w:pPr>
      <w:rPr>
        <w:rFonts w:hint="default"/>
      </w:rPr>
    </w:lvl>
    <w:lvl w:ilvl="7">
      <w:start w:val="1"/>
      <w:numFmt w:val="bullet"/>
      <w:lvlText w:val="•"/>
      <w:lvlJc w:val="left"/>
      <w:pPr>
        <w:ind w:left="1578" w:hanging="143"/>
      </w:pPr>
      <w:rPr>
        <w:rFonts w:hint="default"/>
      </w:rPr>
    </w:lvl>
    <w:lvl w:ilvl="8">
      <w:start w:val="1"/>
      <w:numFmt w:val="bullet"/>
      <w:lvlText w:val="•"/>
      <w:lvlJc w:val="left"/>
      <w:pPr>
        <w:ind w:left="1763" w:hanging="143"/>
      </w:pPr>
      <w:rPr>
        <w:rFonts w:hint="default"/>
      </w:rPr>
    </w:lvl>
  </w:abstractNum>
  <w:abstractNum w:abstractNumId="44">
    <w:multiLevelType w:val="hybridMultilevel"/>
    <w:lvl w:ilvl="0">
      <w:start w:val="1"/>
      <w:numFmt w:val="bullet"/>
      <w:lvlText w:val="•"/>
      <w:lvlJc w:val="left"/>
      <w:pPr>
        <w:ind w:left="246" w:hanging="143"/>
      </w:pPr>
      <w:rPr>
        <w:rFonts w:hint="default" w:ascii="Microsoft Sans Serif" w:hAnsi="Microsoft Sans Serif" w:eastAsia="Microsoft Sans Serif" w:cs="Microsoft Sans Serif"/>
        <w:color w:val="231F20"/>
        <w:w w:val="143"/>
        <w:sz w:val="10"/>
        <w:szCs w:val="10"/>
      </w:rPr>
    </w:lvl>
    <w:lvl w:ilvl="1">
      <w:start w:val="1"/>
      <w:numFmt w:val="bullet"/>
      <w:lvlText w:val="•"/>
      <w:lvlJc w:val="left"/>
      <w:pPr>
        <w:ind w:left="360" w:hanging="143"/>
      </w:pPr>
      <w:rPr>
        <w:rFonts w:hint="default"/>
      </w:rPr>
    </w:lvl>
    <w:lvl w:ilvl="2">
      <w:start w:val="1"/>
      <w:numFmt w:val="bullet"/>
      <w:lvlText w:val="•"/>
      <w:lvlJc w:val="left"/>
      <w:pPr>
        <w:ind w:left="480" w:hanging="143"/>
      </w:pPr>
      <w:rPr>
        <w:rFonts w:hint="default"/>
      </w:rPr>
    </w:lvl>
    <w:lvl w:ilvl="3">
      <w:start w:val="1"/>
      <w:numFmt w:val="bullet"/>
      <w:lvlText w:val="•"/>
      <w:lvlJc w:val="left"/>
      <w:pPr>
        <w:ind w:left="601" w:hanging="143"/>
      </w:pPr>
      <w:rPr>
        <w:rFonts w:hint="default"/>
      </w:rPr>
    </w:lvl>
    <w:lvl w:ilvl="4">
      <w:start w:val="1"/>
      <w:numFmt w:val="bullet"/>
      <w:lvlText w:val="•"/>
      <w:lvlJc w:val="left"/>
      <w:pPr>
        <w:ind w:left="721" w:hanging="143"/>
      </w:pPr>
      <w:rPr>
        <w:rFonts w:hint="default"/>
      </w:rPr>
    </w:lvl>
    <w:lvl w:ilvl="5">
      <w:start w:val="1"/>
      <w:numFmt w:val="bullet"/>
      <w:lvlText w:val="•"/>
      <w:lvlJc w:val="left"/>
      <w:pPr>
        <w:ind w:left="842" w:hanging="143"/>
      </w:pPr>
      <w:rPr>
        <w:rFonts w:hint="default"/>
      </w:rPr>
    </w:lvl>
    <w:lvl w:ilvl="6">
      <w:start w:val="1"/>
      <w:numFmt w:val="bullet"/>
      <w:lvlText w:val="•"/>
      <w:lvlJc w:val="left"/>
      <w:pPr>
        <w:ind w:left="962" w:hanging="143"/>
      </w:pPr>
      <w:rPr>
        <w:rFonts w:hint="default"/>
      </w:rPr>
    </w:lvl>
    <w:lvl w:ilvl="7">
      <w:start w:val="1"/>
      <w:numFmt w:val="bullet"/>
      <w:lvlText w:val="•"/>
      <w:lvlJc w:val="left"/>
      <w:pPr>
        <w:ind w:left="1082" w:hanging="143"/>
      </w:pPr>
      <w:rPr>
        <w:rFonts w:hint="default"/>
      </w:rPr>
    </w:lvl>
    <w:lvl w:ilvl="8">
      <w:start w:val="1"/>
      <w:numFmt w:val="bullet"/>
      <w:lvlText w:val="•"/>
      <w:lvlJc w:val="left"/>
      <w:pPr>
        <w:ind w:left="1203" w:hanging="143"/>
      </w:pPr>
      <w:rPr>
        <w:rFonts w:hint="default"/>
      </w:rPr>
    </w:lvl>
  </w:abstractNum>
  <w:abstractNum w:abstractNumId="43">
    <w:multiLevelType w:val="hybridMultilevel"/>
    <w:lvl w:ilvl="0">
      <w:start w:val="1"/>
      <w:numFmt w:val="bullet"/>
      <w:lvlText w:val="•"/>
      <w:lvlJc w:val="left"/>
      <w:pPr>
        <w:ind w:left="282" w:hanging="143"/>
      </w:pPr>
      <w:rPr>
        <w:rFonts w:hint="default" w:ascii="Microsoft Sans Serif" w:hAnsi="Microsoft Sans Serif" w:eastAsia="Microsoft Sans Serif" w:cs="Microsoft Sans Serif"/>
        <w:color w:val="231F20"/>
        <w:w w:val="143"/>
        <w:sz w:val="10"/>
        <w:szCs w:val="10"/>
      </w:rPr>
    </w:lvl>
    <w:lvl w:ilvl="1">
      <w:start w:val="1"/>
      <w:numFmt w:val="bullet"/>
      <w:lvlText w:val="•"/>
      <w:lvlJc w:val="left"/>
      <w:pPr>
        <w:ind w:left="465" w:hanging="143"/>
      </w:pPr>
      <w:rPr>
        <w:rFonts w:hint="default"/>
      </w:rPr>
    </w:lvl>
    <w:lvl w:ilvl="2">
      <w:start w:val="1"/>
      <w:numFmt w:val="bullet"/>
      <w:lvlText w:val="•"/>
      <w:lvlJc w:val="left"/>
      <w:pPr>
        <w:ind w:left="650" w:hanging="143"/>
      </w:pPr>
      <w:rPr>
        <w:rFonts w:hint="default"/>
      </w:rPr>
    </w:lvl>
    <w:lvl w:ilvl="3">
      <w:start w:val="1"/>
      <w:numFmt w:val="bullet"/>
      <w:lvlText w:val="•"/>
      <w:lvlJc w:val="left"/>
      <w:pPr>
        <w:ind w:left="835" w:hanging="143"/>
      </w:pPr>
      <w:rPr>
        <w:rFonts w:hint="default"/>
      </w:rPr>
    </w:lvl>
    <w:lvl w:ilvl="4">
      <w:start w:val="1"/>
      <w:numFmt w:val="bullet"/>
      <w:lvlText w:val="•"/>
      <w:lvlJc w:val="left"/>
      <w:pPr>
        <w:ind w:left="1020" w:hanging="143"/>
      </w:pPr>
      <w:rPr>
        <w:rFonts w:hint="default"/>
      </w:rPr>
    </w:lvl>
    <w:lvl w:ilvl="5">
      <w:start w:val="1"/>
      <w:numFmt w:val="bullet"/>
      <w:lvlText w:val="•"/>
      <w:lvlJc w:val="left"/>
      <w:pPr>
        <w:ind w:left="1205" w:hanging="143"/>
      </w:pPr>
      <w:rPr>
        <w:rFonts w:hint="default"/>
      </w:rPr>
    </w:lvl>
    <w:lvl w:ilvl="6">
      <w:start w:val="1"/>
      <w:numFmt w:val="bullet"/>
      <w:lvlText w:val="•"/>
      <w:lvlJc w:val="left"/>
      <w:pPr>
        <w:ind w:left="1390" w:hanging="143"/>
      </w:pPr>
      <w:rPr>
        <w:rFonts w:hint="default"/>
      </w:rPr>
    </w:lvl>
    <w:lvl w:ilvl="7">
      <w:start w:val="1"/>
      <w:numFmt w:val="bullet"/>
      <w:lvlText w:val="•"/>
      <w:lvlJc w:val="left"/>
      <w:pPr>
        <w:ind w:left="1575" w:hanging="143"/>
      </w:pPr>
      <w:rPr>
        <w:rFonts w:hint="default"/>
      </w:rPr>
    </w:lvl>
    <w:lvl w:ilvl="8">
      <w:start w:val="1"/>
      <w:numFmt w:val="bullet"/>
      <w:lvlText w:val="•"/>
      <w:lvlJc w:val="left"/>
      <w:pPr>
        <w:ind w:left="1760" w:hanging="143"/>
      </w:pPr>
      <w:rPr>
        <w:rFonts w:hint="default"/>
      </w:rPr>
    </w:lvl>
  </w:abstractNum>
  <w:abstractNum w:abstractNumId="42">
    <w:multiLevelType w:val="hybridMultilevel"/>
    <w:lvl w:ilvl="0">
      <w:start w:val="1"/>
      <w:numFmt w:val="bullet"/>
      <w:lvlText w:val="•"/>
      <w:lvlJc w:val="left"/>
      <w:pPr>
        <w:ind w:left="219" w:hanging="142"/>
      </w:pPr>
      <w:rPr>
        <w:rFonts w:hint="default" w:ascii="Arial" w:hAnsi="Arial" w:eastAsia="Arial" w:cs="Arial"/>
        <w:color w:val="231F20"/>
        <w:w w:val="148"/>
        <w:sz w:val="9"/>
        <w:szCs w:val="9"/>
      </w:rPr>
    </w:lvl>
    <w:lvl w:ilvl="1">
      <w:start w:val="1"/>
      <w:numFmt w:val="bullet"/>
      <w:lvlText w:val="•"/>
      <w:lvlJc w:val="left"/>
      <w:pPr>
        <w:ind w:left="713" w:hanging="142"/>
      </w:pPr>
      <w:rPr>
        <w:rFonts w:hint="default"/>
      </w:rPr>
    </w:lvl>
    <w:lvl w:ilvl="2">
      <w:start w:val="1"/>
      <w:numFmt w:val="bullet"/>
      <w:lvlText w:val="•"/>
      <w:lvlJc w:val="left"/>
      <w:pPr>
        <w:ind w:left="1207" w:hanging="142"/>
      </w:pPr>
      <w:rPr>
        <w:rFonts w:hint="default"/>
      </w:rPr>
    </w:lvl>
    <w:lvl w:ilvl="3">
      <w:start w:val="1"/>
      <w:numFmt w:val="bullet"/>
      <w:lvlText w:val="•"/>
      <w:lvlJc w:val="left"/>
      <w:pPr>
        <w:ind w:left="1700" w:hanging="142"/>
      </w:pPr>
      <w:rPr>
        <w:rFonts w:hint="default"/>
      </w:rPr>
    </w:lvl>
    <w:lvl w:ilvl="4">
      <w:start w:val="1"/>
      <w:numFmt w:val="bullet"/>
      <w:lvlText w:val="•"/>
      <w:lvlJc w:val="left"/>
      <w:pPr>
        <w:ind w:left="2194" w:hanging="142"/>
      </w:pPr>
      <w:rPr>
        <w:rFonts w:hint="default"/>
      </w:rPr>
    </w:lvl>
    <w:lvl w:ilvl="5">
      <w:start w:val="1"/>
      <w:numFmt w:val="bullet"/>
      <w:lvlText w:val="•"/>
      <w:lvlJc w:val="left"/>
      <w:pPr>
        <w:ind w:left="2687" w:hanging="142"/>
      </w:pPr>
      <w:rPr>
        <w:rFonts w:hint="default"/>
      </w:rPr>
    </w:lvl>
    <w:lvl w:ilvl="6">
      <w:start w:val="1"/>
      <w:numFmt w:val="bullet"/>
      <w:lvlText w:val="•"/>
      <w:lvlJc w:val="left"/>
      <w:pPr>
        <w:ind w:left="3181" w:hanging="142"/>
      </w:pPr>
      <w:rPr>
        <w:rFonts w:hint="default"/>
      </w:rPr>
    </w:lvl>
    <w:lvl w:ilvl="7">
      <w:start w:val="1"/>
      <w:numFmt w:val="bullet"/>
      <w:lvlText w:val="•"/>
      <w:lvlJc w:val="left"/>
      <w:pPr>
        <w:ind w:left="3675" w:hanging="142"/>
      </w:pPr>
      <w:rPr>
        <w:rFonts w:hint="default"/>
      </w:rPr>
    </w:lvl>
    <w:lvl w:ilvl="8">
      <w:start w:val="1"/>
      <w:numFmt w:val="bullet"/>
      <w:lvlText w:val="•"/>
      <w:lvlJc w:val="left"/>
      <w:pPr>
        <w:ind w:left="4168" w:hanging="142"/>
      </w:pPr>
      <w:rPr>
        <w:rFonts w:hint="default"/>
      </w:rPr>
    </w:lvl>
  </w:abstractNum>
  <w:abstractNum w:abstractNumId="41">
    <w:multiLevelType w:val="hybridMultilevel"/>
    <w:lvl w:ilvl="0">
      <w:start w:val="1"/>
      <w:numFmt w:val="bullet"/>
      <w:lvlText w:val="•"/>
      <w:lvlJc w:val="left"/>
      <w:pPr>
        <w:ind w:left="219" w:hanging="142"/>
      </w:pPr>
      <w:rPr>
        <w:rFonts w:hint="default" w:ascii="Arial" w:hAnsi="Arial" w:eastAsia="Arial" w:cs="Arial"/>
        <w:color w:val="231F20"/>
        <w:w w:val="148"/>
        <w:sz w:val="9"/>
        <w:szCs w:val="9"/>
      </w:rPr>
    </w:lvl>
    <w:lvl w:ilvl="1">
      <w:start w:val="1"/>
      <w:numFmt w:val="bullet"/>
      <w:lvlText w:val="•"/>
      <w:lvlJc w:val="left"/>
      <w:pPr>
        <w:ind w:left="713" w:hanging="142"/>
      </w:pPr>
      <w:rPr>
        <w:rFonts w:hint="default"/>
      </w:rPr>
    </w:lvl>
    <w:lvl w:ilvl="2">
      <w:start w:val="1"/>
      <w:numFmt w:val="bullet"/>
      <w:lvlText w:val="•"/>
      <w:lvlJc w:val="left"/>
      <w:pPr>
        <w:ind w:left="1207" w:hanging="142"/>
      </w:pPr>
      <w:rPr>
        <w:rFonts w:hint="default"/>
      </w:rPr>
    </w:lvl>
    <w:lvl w:ilvl="3">
      <w:start w:val="1"/>
      <w:numFmt w:val="bullet"/>
      <w:lvlText w:val="•"/>
      <w:lvlJc w:val="left"/>
      <w:pPr>
        <w:ind w:left="1700" w:hanging="142"/>
      </w:pPr>
      <w:rPr>
        <w:rFonts w:hint="default"/>
      </w:rPr>
    </w:lvl>
    <w:lvl w:ilvl="4">
      <w:start w:val="1"/>
      <w:numFmt w:val="bullet"/>
      <w:lvlText w:val="•"/>
      <w:lvlJc w:val="left"/>
      <w:pPr>
        <w:ind w:left="2194" w:hanging="142"/>
      </w:pPr>
      <w:rPr>
        <w:rFonts w:hint="default"/>
      </w:rPr>
    </w:lvl>
    <w:lvl w:ilvl="5">
      <w:start w:val="1"/>
      <w:numFmt w:val="bullet"/>
      <w:lvlText w:val="•"/>
      <w:lvlJc w:val="left"/>
      <w:pPr>
        <w:ind w:left="2687" w:hanging="142"/>
      </w:pPr>
      <w:rPr>
        <w:rFonts w:hint="default"/>
      </w:rPr>
    </w:lvl>
    <w:lvl w:ilvl="6">
      <w:start w:val="1"/>
      <w:numFmt w:val="bullet"/>
      <w:lvlText w:val="•"/>
      <w:lvlJc w:val="left"/>
      <w:pPr>
        <w:ind w:left="3181" w:hanging="142"/>
      </w:pPr>
      <w:rPr>
        <w:rFonts w:hint="default"/>
      </w:rPr>
    </w:lvl>
    <w:lvl w:ilvl="7">
      <w:start w:val="1"/>
      <w:numFmt w:val="bullet"/>
      <w:lvlText w:val="•"/>
      <w:lvlJc w:val="left"/>
      <w:pPr>
        <w:ind w:left="3675" w:hanging="142"/>
      </w:pPr>
      <w:rPr>
        <w:rFonts w:hint="default"/>
      </w:rPr>
    </w:lvl>
    <w:lvl w:ilvl="8">
      <w:start w:val="1"/>
      <w:numFmt w:val="bullet"/>
      <w:lvlText w:val="•"/>
      <w:lvlJc w:val="left"/>
      <w:pPr>
        <w:ind w:left="4168" w:hanging="142"/>
      </w:pPr>
      <w:rPr>
        <w:rFonts w:hint="default"/>
      </w:rPr>
    </w:lvl>
  </w:abstractNum>
  <w:abstractNum w:abstractNumId="40">
    <w:multiLevelType w:val="hybridMultilevel"/>
    <w:lvl w:ilvl="0">
      <w:start w:val="1"/>
      <w:numFmt w:val="bullet"/>
      <w:lvlText w:val="•"/>
      <w:lvlJc w:val="left"/>
      <w:pPr>
        <w:ind w:left="219" w:hanging="142"/>
      </w:pPr>
      <w:rPr>
        <w:rFonts w:hint="default" w:ascii="Arial" w:hAnsi="Arial" w:eastAsia="Arial" w:cs="Arial"/>
        <w:color w:val="231F20"/>
        <w:w w:val="148"/>
        <w:sz w:val="9"/>
        <w:szCs w:val="9"/>
      </w:rPr>
    </w:lvl>
    <w:lvl w:ilvl="1">
      <w:start w:val="1"/>
      <w:numFmt w:val="bullet"/>
      <w:lvlText w:val="•"/>
      <w:lvlJc w:val="left"/>
      <w:pPr>
        <w:ind w:left="713" w:hanging="142"/>
      </w:pPr>
      <w:rPr>
        <w:rFonts w:hint="default"/>
      </w:rPr>
    </w:lvl>
    <w:lvl w:ilvl="2">
      <w:start w:val="1"/>
      <w:numFmt w:val="bullet"/>
      <w:lvlText w:val="•"/>
      <w:lvlJc w:val="left"/>
      <w:pPr>
        <w:ind w:left="1207" w:hanging="142"/>
      </w:pPr>
      <w:rPr>
        <w:rFonts w:hint="default"/>
      </w:rPr>
    </w:lvl>
    <w:lvl w:ilvl="3">
      <w:start w:val="1"/>
      <w:numFmt w:val="bullet"/>
      <w:lvlText w:val="•"/>
      <w:lvlJc w:val="left"/>
      <w:pPr>
        <w:ind w:left="1700" w:hanging="142"/>
      </w:pPr>
      <w:rPr>
        <w:rFonts w:hint="default"/>
      </w:rPr>
    </w:lvl>
    <w:lvl w:ilvl="4">
      <w:start w:val="1"/>
      <w:numFmt w:val="bullet"/>
      <w:lvlText w:val="•"/>
      <w:lvlJc w:val="left"/>
      <w:pPr>
        <w:ind w:left="2194" w:hanging="142"/>
      </w:pPr>
      <w:rPr>
        <w:rFonts w:hint="default"/>
      </w:rPr>
    </w:lvl>
    <w:lvl w:ilvl="5">
      <w:start w:val="1"/>
      <w:numFmt w:val="bullet"/>
      <w:lvlText w:val="•"/>
      <w:lvlJc w:val="left"/>
      <w:pPr>
        <w:ind w:left="2687" w:hanging="142"/>
      </w:pPr>
      <w:rPr>
        <w:rFonts w:hint="default"/>
      </w:rPr>
    </w:lvl>
    <w:lvl w:ilvl="6">
      <w:start w:val="1"/>
      <w:numFmt w:val="bullet"/>
      <w:lvlText w:val="•"/>
      <w:lvlJc w:val="left"/>
      <w:pPr>
        <w:ind w:left="3181" w:hanging="142"/>
      </w:pPr>
      <w:rPr>
        <w:rFonts w:hint="default"/>
      </w:rPr>
    </w:lvl>
    <w:lvl w:ilvl="7">
      <w:start w:val="1"/>
      <w:numFmt w:val="bullet"/>
      <w:lvlText w:val="•"/>
      <w:lvlJc w:val="left"/>
      <w:pPr>
        <w:ind w:left="3675" w:hanging="142"/>
      </w:pPr>
      <w:rPr>
        <w:rFonts w:hint="default"/>
      </w:rPr>
    </w:lvl>
    <w:lvl w:ilvl="8">
      <w:start w:val="1"/>
      <w:numFmt w:val="bullet"/>
      <w:lvlText w:val="•"/>
      <w:lvlJc w:val="left"/>
      <w:pPr>
        <w:ind w:left="4168" w:hanging="142"/>
      </w:pPr>
      <w:rPr>
        <w:rFonts w:hint="default"/>
      </w:rPr>
    </w:lvl>
  </w:abstractNum>
  <w:abstractNum w:abstractNumId="39">
    <w:multiLevelType w:val="hybridMultilevel"/>
    <w:lvl w:ilvl="0">
      <w:start w:val="1"/>
      <w:numFmt w:val="bullet"/>
      <w:lvlText w:val="•"/>
      <w:lvlJc w:val="left"/>
      <w:pPr>
        <w:ind w:left="219" w:hanging="142"/>
      </w:pPr>
      <w:rPr>
        <w:rFonts w:hint="default" w:ascii="Arial" w:hAnsi="Arial" w:eastAsia="Arial" w:cs="Arial"/>
        <w:color w:val="231F20"/>
        <w:w w:val="148"/>
        <w:sz w:val="9"/>
        <w:szCs w:val="9"/>
      </w:rPr>
    </w:lvl>
    <w:lvl w:ilvl="1">
      <w:start w:val="1"/>
      <w:numFmt w:val="bullet"/>
      <w:lvlText w:val="•"/>
      <w:lvlJc w:val="left"/>
      <w:pPr>
        <w:ind w:left="713" w:hanging="142"/>
      </w:pPr>
      <w:rPr>
        <w:rFonts w:hint="default"/>
      </w:rPr>
    </w:lvl>
    <w:lvl w:ilvl="2">
      <w:start w:val="1"/>
      <w:numFmt w:val="bullet"/>
      <w:lvlText w:val="•"/>
      <w:lvlJc w:val="left"/>
      <w:pPr>
        <w:ind w:left="1207" w:hanging="142"/>
      </w:pPr>
      <w:rPr>
        <w:rFonts w:hint="default"/>
      </w:rPr>
    </w:lvl>
    <w:lvl w:ilvl="3">
      <w:start w:val="1"/>
      <w:numFmt w:val="bullet"/>
      <w:lvlText w:val="•"/>
      <w:lvlJc w:val="left"/>
      <w:pPr>
        <w:ind w:left="1700" w:hanging="142"/>
      </w:pPr>
      <w:rPr>
        <w:rFonts w:hint="default"/>
      </w:rPr>
    </w:lvl>
    <w:lvl w:ilvl="4">
      <w:start w:val="1"/>
      <w:numFmt w:val="bullet"/>
      <w:lvlText w:val="•"/>
      <w:lvlJc w:val="left"/>
      <w:pPr>
        <w:ind w:left="2194" w:hanging="142"/>
      </w:pPr>
      <w:rPr>
        <w:rFonts w:hint="default"/>
      </w:rPr>
    </w:lvl>
    <w:lvl w:ilvl="5">
      <w:start w:val="1"/>
      <w:numFmt w:val="bullet"/>
      <w:lvlText w:val="•"/>
      <w:lvlJc w:val="left"/>
      <w:pPr>
        <w:ind w:left="2687" w:hanging="142"/>
      </w:pPr>
      <w:rPr>
        <w:rFonts w:hint="default"/>
      </w:rPr>
    </w:lvl>
    <w:lvl w:ilvl="6">
      <w:start w:val="1"/>
      <w:numFmt w:val="bullet"/>
      <w:lvlText w:val="•"/>
      <w:lvlJc w:val="left"/>
      <w:pPr>
        <w:ind w:left="3181" w:hanging="142"/>
      </w:pPr>
      <w:rPr>
        <w:rFonts w:hint="default"/>
      </w:rPr>
    </w:lvl>
    <w:lvl w:ilvl="7">
      <w:start w:val="1"/>
      <w:numFmt w:val="bullet"/>
      <w:lvlText w:val="•"/>
      <w:lvlJc w:val="left"/>
      <w:pPr>
        <w:ind w:left="3675" w:hanging="142"/>
      </w:pPr>
      <w:rPr>
        <w:rFonts w:hint="default"/>
      </w:rPr>
    </w:lvl>
    <w:lvl w:ilvl="8">
      <w:start w:val="1"/>
      <w:numFmt w:val="bullet"/>
      <w:lvlText w:val="•"/>
      <w:lvlJc w:val="left"/>
      <w:pPr>
        <w:ind w:left="4168" w:hanging="142"/>
      </w:pPr>
      <w:rPr>
        <w:rFonts w:hint="default"/>
      </w:rPr>
    </w:lvl>
  </w:abstractNum>
  <w:abstractNum w:abstractNumId="36">
    <w:multiLevelType w:val="hybridMultilevel"/>
    <w:lvl w:ilvl="0">
      <w:start w:val="4"/>
      <w:numFmt w:val="upperRoman"/>
      <w:lvlText w:val="%1."/>
      <w:lvlJc w:val="left"/>
      <w:pPr>
        <w:ind w:left="375" w:hanging="187"/>
        <w:jc w:val="right"/>
      </w:pPr>
      <w:rPr>
        <w:rFonts w:hint="default"/>
        <w:w w:val="83"/>
      </w:rPr>
    </w:lvl>
    <w:lvl w:ilvl="1">
      <w:start w:val="5"/>
      <w:numFmt w:val="upperRoman"/>
      <w:lvlText w:val="%2."/>
      <w:lvlJc w:val="left"/>
      <w:pPr>
        <w:ind w:left="854" w:hanging="234"/>
        <w:jc w:val="right"/>
      </w:pPr>
      <w:rPr>
        <w:rFonts w:hint="default"/>
        <w:spacing w:val="-18"/>
        <w:w w:val="93"/>
      </w:rPr>
    </w:lvl>
    <w:lvl w:ilvl="2">
      <w:start w:val="1"/>
      <w:numFmt w:val="bullet"/>
      <w:lvlText w:val="•"/>
      <w:lvlJc w:val="left"/>
      <w:pPr>
        <w:ind w:left="2940" w:hanging="234"/>
      </w:pPr>
      <w:rPr>
        <w:rFonts w:hint="default"/>
      </w:rPr>
    </w:lvl>
    <w:lvl w:ilvl="3">
      <w:start w:val="1"/>
      <w:numFmt w:val="bullet"/>
      <w:lvlText w:val="•"/>
      <w:lvlJc w:val="left"/>
      <w:pPr>
        <w:ind w:left="3355" w:hanging="234"/>
      </w:pPr>
      <w:rPr>
        <w:rFonts w:hint="default"/>
      </w:rPr>
    </w:lvl>
    <w:lvl w:ilvl="4">
      <w:start w:val="1"/>
      <w:numFmt w:val="bullet"/>
      <w:lvlText w:val="•"/>
      <w:lvlJc w:val="left"/>
      <w:pPr>
        <w:ind w:left="3770" w:hanging="234"/>
      </w:pPr>
      <w:rPr>
        <w:rFonts w:hint="default"/>
      </w:rPr>
    </w:lvl>
    <w:lvl w:ilvl="5">
      <w:start w:val="1"/>
      <w:numFmt w:val="bullet"/>
      <w:lvlText w:val="•"/>
      <w:lvlJc w:val="left"/>
      <w:pPr>
        <w:ind w:left="4185" w:hanging="234"/>
      </w:pPr>
      <w:rPr>
        <w:rFonts w:hint="default"/>
      </w:rPr>
    </w:lvl>
    <w:lvl w:ilvl="6">
      <w:start w:val="1"/>
      <w:numFmt w:val="bullet"/>
      <w:lvlText w:val="•"/>
      <w:lvlJc w:val="left"/>
      <w:pPr>
        <w:ind w:left="4600" w:hanging="234"/>
      </w:pPr>
      <w:rPr>
        <w:rFonts w:hint="default"/>
      </w:rPr>
    </w:lvl>
    <w:lvl w:ilvl="7">
      <w:start w:val="1"/>
      <w:numFmt w:val="bullet"/>
      <w:lvlText w:val="•"/>
      <w:lvlJc w:val="left"/>
      <w:pPr>
        <w:ind w:left="5015" w:hanging="234"/>
      </w:pPr>
      <w:rPr>
        <w:rFonts w:hint="default"/>
      </w:rPr>
    </w:lvl>
    <w:lvl w:ilvl="8">
      <w:start w:val="1"/>
      <w:numFmt w:val="bullet"/>
      <w:lvlText w:val="•"/>
      <w:lvlJc w:val="left"/>
      <w:pPr>
        <w:ind w:left="5430" w:hanging="234"/>
      </w:pPr>
      <w:rPr>
        <w:rFonts w:hint="default"/>
      </w:rPr>
    </w:lvl>
  </w:abstractNum>
  <w:abstractNum w:abstractNumId="33">
    <w:multiLevelType w:val="hybridMultilevel"/>
    <w:lvl w:ilvl="0">
      <w:start w:val="3"/>
      <w:numFmt w:val="upperRoman"/>
      <w:lvlText w:val="%1."/>
      <w:lvlJc w:val="left"/>
      <w:pPr>
        <w:ind w:left="551" w:hanging="165"/>
        <w:jc w:val="right"/>
      </w:pPr>
      <w:rPr>
        <w:rFonts w:hint="default"/>
        <w:w w:val="75"/>
      </w:rPr>
    </w:lvl>
    <w:lvl w:ilvl="1">
      <w:start w:val="1"/>
      <w:numFmt w:val="bullet"/>
      <w:lvlText w:val="•"/>
      <w:lvlJc w:val="left"/>
      <w:pPr>
        <w:ind w:left="1240" w:hanging="165"/>
      </w:pPr>
      <w:rPr>
        <w:rFonts w:hint="default"/>
      </w:rPr>
    </w:lvl>
    <w:lvl w:ilvl="2">
      <w:start w:val="1"/>
      <w:numFmt w:val="bullet"/>
      <w:lvlText w:val="•"/>
      <w:lvlJc w:val="left"/>
      <w:pPr>
        <w:ind w:left="1897" w:hanging="165"/>
      </w:pPr>
      <w:rPr>
        <w:rFonts w:hint="default"/>
      </w:rPr>
    </w:lvl>
    <w:lvl w:ilvl="3">
      <w:start w:val="1"/>
      <w:numFmt w:val="bullet"/>
      <w:lvlText w:val="•"/>
      <w:lvlJc w:val="left"/>
      <w:pPr>
        <w:ind w:left="2555" w:hanging="165"/>
      </w:pPr>
      <w:rPr>
        <w:rFonts w:hint="default"/>
      </w:rPr>
    </w:lvl>
    <w:lvl w:ilvl="4">
      <w:start w:val="1"/>
      <w:numFmt w:val="bullet"/>
      <w:lvlText w:val="•"/>
      <w:lvlJc w:val="left"/>
      <w:pPr>
        <w:ind w:left="3212" w:hanging="165"/>
      </w:pPr>
      <w:rPr>
        <w:rFonts w:hint="default"/>
      </w:rPr>
    </w:lvl>
    <w:lvl w:ilvl="5">
      <w:start w:val="1"/>
      <w:numFmt w:val="bullet"/>
      <w:lvlText w:val="•"/>
      <w:lvlJc w:val="left"/>
      <w:pPr>
        <w:ind w:left="3870" w:hanging="165"/>
      </w:pPr>
      <w:rPr>
        <w:rFonts w:hint="default"/>
      </w:rPr>
    </w:lvl>
    <w:lvl w:ilvl="6">
      <w:start w:val="1"/>
      <w:numFmt w:val="bullet"/>
      <w:lvlText w:val="•"/>
      <w:lvlJc w:val="left"/>
      <w:pPr>
        <w:ind w:left="4527" w:hanging="165"/>
      </w:pPr>
      <w:rPr>
        <w:rFonts w:hint="default"/>
      </w:rPr>
    </w:lvl>
    <w:lvl w:ilvl="7">
      <w:start w:val="1"/>
      <w:numFmt w:val="bullet"/>
      <w:lvlText w:val="•"/>
      <w:lvlJc w:val="left"/>
      <w:pPr>
        <w:ind w:left="5185" w:hanging="165"/>
      </w:pPr>
      <w:rPr>
        <w:rFonts w:hint="default"/>
      </w:rPr>
    </w:lvl>
    <w:lvl w:ilvl="8">
      <w:start w:val="1"/>
      <w:numFmt w:val="bullet"/>
      <w:lvlText w:val="•"/>
      <w:lvlJc w:val="left"/>
      <w:pPr>
        <w:ind w:left="5842" w:hanging="165"/>
      </w:pPr>
      <w:rPr>
        <w:rFonts w:hint="default"/>
      </w:rPr>
    </w:lvl>
  </w:abstractNum>
  <w:abstractNum w:abstractNumId="29">
    <w:multiLevelType w:val="hybridMultilevel"/>
    <w:lvl w:ilvl="0">
      <w:start w:val="1"/>
      <w:numFmt w:val="decimal"/>
      <w:lvlText w:val="%1."/>
      <w:lvlJc w:val="left"/>
      <w:pPr>
        <w:ind w:left="304" w:hanging="227"/>
        <w:jc w:val="left"/>
      </w:pPr>
      <w:rPr>
        <w:rFonts w:hint="default" w:ascii="Arial" w:hAnsi="Arial" w:eastAsia="Arial" w:cs="Arial"/>
        <w:color w:val="231F20"/>
        <w:spacing w:val="-1"/>
        <w:w w:val="93"/>
        <w:sz w:val="18"/>
        <w:szCs w:val="18"/>
      </w:rPr>
    </w:lvl>
    <w:lvl w:ilvl="1">
      <w:start w:val="1"/>
      <w:numFmt w:val="bullet"/>
      <w:lvlText w:val="•"/>
      <w:lvlJc w:val="left"/>
      <w:pPr>
        <w:ind w:left="570" w:hanging="227"/>
      </w:pPr>
      <w:rPr>
        <w:rFonts w:hint="default"/>
      </w:rPr>
    </w:lvl>
    <w:lvl w:ilvl="2">
      <w:start w:val="1"/>
      <w:numFmt w:val="bullet"/>
      <w:lvlText w:val="•"/>
      <w:lvlJc w:val="left"/>
      <w:pPr>
        <w:ind w:left="841" w:hanging="227"/>
      </w:pPr>
      <w:rPr>
        <w:rFonts w:hint="default"/>
      </w:rPr>
    </w:lvl>
    <w:lvl w:ilvl="3">
      <w:start w:val="1"/>
      <w:numFmt w:val="bullet"/>
      <w:lvlText w:val="•"/>
      <w:lvlJc w:val="left"/>
      <w:pPr>
        <w:ind w:left="1111" w:hanging="227"/>
      </w:pPr>
      <w:rPr>
        <w:rFonts w:hint="default"/>
      </w:rPr>
    </w:lvl>
    <w:lvl w:ilvl="4">
      <w:start w:val="1"/>
      <w:numFmt w:val="bullet"/>
      <w:lvlText w:val="•"/>
      <w:lvlJc w:val="left"/>
      <w:pPr>
        <w:ind w:left="1382" w:hanging="227"/>
      </w:pPr>
      <w:rPr>
        <w:rFonts w:hint="default"/>
      </w:rPr>
    </w:lvl>
    <w:lvl w:ilvl="5">
      <w:start w:val="1"/>
      <w:numFmt w:val="bullet"/>
      <w:lvlText w:val="•"/>
      <w:lvlJc w:val="left"/>
      <w:pPr>
        <w:ind w:left="1652" w:hanging="227"/>
      </w:pPr>
      <w:rPr>
        <w:rFonts w:hint="default"/>
      </w:rPr>
    </w:lvl>
    <w:lvl w:ilvl="6">
      <w:start w:val="1"/>
      <w:numFmt w:val="bullet"/>
      <w:lvlText w:val="•"/>
      <w:lvlJc w:val="left"/>
      <w:pPr>
        <w:ind w:left="1923" w:hanging="227"/>
      </w:pPr>
      <w:rPr>
        <w:rFonts w:hint="default"/>
      </w:rPr>
    </w:lvl>
    <w:lvl w:ilvl="7">
      <w:start w:val="1"/>
      <w:numFmt w:val="bullet"/>
      <w:lvlText w:val="•"/>
      <w:lvlJc w:val="left"/>
      <w:pPr>
        <w:ind w:left="2194" w:hanging="227"/>
      </w:pPr>
      <w:rPr>
        <w:rFonts w:hint="default"/>
      </w:rPr>
    </w:lvl>
    <w:lvl w:ilvl="8">
      <w:start w:val="1"/>
      <w:numFmt w:val="bullet"/>
      <w:lvlText w:val="•"/>
      <w:lvlJc w:val="left"/>
      <w:pPr>
        <w:ind w:left="2464" w:hanging="227"/>
      </w:pPr>
      <w:rPr>
        <w:rFonts w:hint="default"/>
      </w:rPr>
    </w:lvl>
  </w:abstractNum>
  <w:abstractNum w:abstractNumId="28">
    <w:multiLevelType w:val="hybridMultilevel"/>
    <w:lvl w:ilvl="0">
      <w:start w:val="1"/>
      <w:numFmt w:val="decimal"/>
      <w:lvlText w:val="%1."/>
      <w:lvlJc w:val="left"/>
      <w:pPr>
        <w:ind w:left="304" w:hanging="227"/>
        <w:jc w:val="left"/>
      </w:pPr>
      <w:rPr>
        <w:rFonts w:hint="default" w:ascii="Arial" w:hAnsi="Arial" w:eastAsia="Arial" w:cs="Arial"/>
        <w:color w:val="231F20"/>
        <w:spacing w:val="-1"/>
        <w:w w:val="93"/>
        <w:sz w:val="18"/>
        <w:szCs w:val="18"/>
      </w:rPr>
    </w:lvl>
    <w:lvl w:ilvl="1">
      <w:start w:val="1"/>
      <w:numFmt w:val="bullet"/>
      <w:lvlText w:val="•"/>
      <w:lvlJc w:val="left"/>
      <w:pPr>
        <w:ind w:left="570" w:hanging="227"/>
      </w:pPr>
      <w:rPr>
        <w:rFonts w:hint="default"/>
      </w:rPr>
    </w:lvl>
    <w:lvl w:ilvl="2">
      <w:start w:val="1"/>
      <w:numFmt w:val="bullet"/>
      <w:lvlText w:val="•"/>
      <w:lvlJc w:val="left"/>
      <w:pPr>
        <w:ind w:left="841" w:hanging="227"/>
      </w:pPr>
      <w:rPr>
        <w:rFonts w:hint="default"/>
      </w:rPr>
    </w:lvl>
    <w:lvl w:ilvl="3">
      <w:start w:val="1"/>
      <w:numFmt w:val="bullet"/>
      <w:lvlText w:val="•"/>
      <w:lvlJc w:val="left"/>
      <w:pPr>
        <w:ind w:left="1111" w:hanging="227"/>
      </w:pPr>
      <w:rPr>
        <w:rFonts w:hint="default"/>
      </w:rPr>
    </w:lvl>
    <w:lvl w:ilvl="4">
      <w:start w:val="1"/>
      <w:numFmt w:val="bullet"/>
      <w:lvlText w:val="•"/>
      <w:lvlJc w:val="left"/>
      <w:pPr>
        <w:ind w:left="1382" w:hanging="227"/>
      </w:pPr>
      <w:rPr>
        <w:rFonts w:hint="default"/>
      </w:rPr>
    </w:lvl>
    <w:lvl w:ilvl="5">
      <w:start w:val="1"/>
      <w:numFmt w:val="bullet"/>
      <w:lvlText w:val="•"/>
      <w:lvlJc w:val="left"/>
      <w:pPr>
        <w:ind w:left="1652" w:hanging="227"/>
      </w:pPr>
      <w:rPr>
        <w:rFonts w:hint="default"/>
      </w:rPr>
    </w:lvl>
    <w:lvl w:ilvl="6">
      <w:start w:val="1"/>
      <w:numFmt w:val="bullet"/>
      <w:lvlText w:val="•"/>
      <w:lvlJc w:val="left"/>
      <w:pPr>
        <w:ind w:left="1923" w:hanging="227"/>
      </w:pPr>
      <w:rPr>
        <w:rFonts w:hint="default"/>
      </w:rPr>
    </w:lvl>
    <w:lvl w:ilvl="7">
      <w:start w:val="1"/>
      <w:numFmt w:val="bullet"/>
      <w:lvlText w:val="•"/>
      <w:lvlJc w:val="left"/>
      <w:pPr>
        <w:ind w:left="2194" w:hanging="227"/>
      </w:pPr>
      <w:rPr>
        <w:rFonts w:hint="default"/>
      </w:rPr>
    </w:lvl>
    <w:lvl w:ilvl="8">
      <w:start w:val="1"/>
      <w:numFmt w:val="bullet"/>
      <w:lvlText w:val="•"/>
      <w:lvlJc w:val="left"/>
      <w:pPr>
        <w:ind w:left="2464" w:hanging="227"/>
      </w:pPr>
      <w:rPr>
        <w:rFonts w:hint="default"/>
      </w:rPr>
    </w:lvl>
  </w:abstractNum>
  <w:abstractNum w:abstractNumId="27">
    <w:multiLevelType w:val="hybridMultilevel"/>
    <w:lvl w:ilvl="0">
      <w:start w:val="1"/>
      <w:numFmt w:val="decimal"/>
      <w:lvlText w:val="%1."/>
      <w:lvlJc w:val="left"/>
      <w:pPr>
        <w:ind w:left="304" w:hanging="227"/>
        <w:jc w:val="left"/>
      </w:pPr>
      <w:rPr>
        <w:rFonts w:hint="default" w:ascii="Arial" w:hAnsi="Arial" w:eastAsia="Arial" w:cs="Arial"/>
        <w:color w:val="231F20"/>
        <w:spacing w:val="-1"/>
        <w:w w:val="93"/>
        <w:sz w:val="18"/>
        <w:szCs w:val="18"/>
      </w:rPr>
    </w:lvl>
    <w:lvl w:ilvl="1">
      <w:start w:val="1"/>
      <w:numFmt w:val="bullet"/>
      <w:lvlText w:val="•"/>
      <w:lvlJc w:val="left"/>
      <w:pPr>
        <w:ind w:left="570" w:hanging="227"/>
      </w:pPr>
      <w:rPr>
        <w:rFonts w:hint="default"/>
      </w:rPr>
    </w:lvl>
    <w:lvl w:ilvl="2">
      <w:start w:val="1"/>
      <w:numFmt w:val="bullet"/>
      <w:lvlText w:val="•"/>
      <w:lvlJc w:val="left"/>
      <w:pPr>
        <w:ind w:left="841" w:hanging="227"/>
      </w:pPr>
      <w:rPr>
        <w:rFonts w:hint="default"/>
      </w:rPr>
    </w:lvl>
    <w:lvl w:ilvl="3">
      <w:start w:val="1"/>
      <w:numFmt w:val="bullet"/>
      <w:lvlText w:val="•"/>
      <w:lvlJc w:val="left"/>
      <w:pPr>
        <w:ind w:left="1111" w:hanging="227"/>
      </w:pPr>
      <w:rPr>
        <w:rFonts w:hint="default"/>
      </w:rPr>
    </w:lvl>
    <w:lvl w:ilvl="4">
      <w:start w:val="1"/>
      <w:numFmt w:val="bullet"/>
      <w:lvlText w:val="•"/>
      <w:lvlJc w:val="left"/>
      <w:pPr>
        <w:ind w:left="1382" w:hanging="227"/>
      </w:pPr>
      <w:rPr>
        <w:rFonts w:hint="default"/>
      </w:rPr>
    </w:lvl>
    <w:lvl w:ilvl="5">
      <w:start w:val="1"/>
      <w:numFmt w:val="bullet"/>
      <w:lvlText w:val="•"/>
      <w:lvlJc w:val="left"/>
      <w:pPr>
        <w:ind w:left="1652" w:hanging="227"/>
      </w:pPr>
      <w:rPr>
        <w:rFonts w:hint="default"/>
      </w:rPr>
    </w:lvl>
    <w:lvl w:ilvl="6">
      <w:start w:val="1"/>
      <w:numFmt w:val="bullet"/>
      <w:lvlText w:val="•"/>
      <w:lvlJc w:val="left"/>
      <w:pPr>
        <w:ind w:left="1923" w:hanging="227"/>
      </w:pPr>
      <w:rPr>
        <w:rFonts w:hint="default"/>
      </w:rPr>
    </w:lvl>
    <w:lvl w:ilvl="7">
      <w:start w:val="1"/>
      <w:numFmt w:val="bullet"/>
      <w:lvlText w:val="•"/>
      <w:lvlJc w:val="left"/>
      <w:pPr>
        <w:ind w:left="2194" w:hanging="227"/>
      </w:pPr>
      <w:rPr>
        <w:rFonts w:hint="default"/>
      </w:rPr>
    </w:lvl>
    <w:lvl w:ilvl="8">
      <w:start w:val="1"/>
      <w:numFmt w:val="bullet"/>
      <w:lvlText w:val="•"/>
      <w:lvlJc w:val="left"/>
      <w:pPr>
        <w:ind w:left="2464" w:hanging="227"/>
      </w:pPr>
      <w:rPr>
        <w:rFonts w:hint="default"/>
      </w:rPr>
    </w:lvl>
  </w:abstractNum>
  <w:abstractNum w:abstractNumId="26">
    <w:multiLevelType w:val="hybridMultilevel"/>
    <w:lvl w:ilvl="0">
      <w:start w:val="2"/>
      <w:numFmt w:val="upperRoman"/>
      <w:lvlText w:val="%1."/>
      <w:lvlJc w:val="left"/>
      <w:pPr>
        <w:ind w:left="925" w:hanging="133"/>
        <w:jc w:val="right"/>
      </w:pPr>
      <w:rPr>
        <w:rFonts w:hint="default"/>
        <w:w w:val="75"/>
      </w:rPr>
    </w:lvl>
    <w:lvl w:ilvl="1">
      <w:start w:val="1"/>
      <w:numFmt w:val="bullet"/>
      <w:lvlText w:val="•"/>
      <w:lvlJc w:val="left"/>
      <w:pPr>
        <w:ind w:left="1543" w:hanging="133"/>
      </w:pPr>
      <w:rPr>
        <w:rFonts w:hint="default"/>
      </w:rPr>
    </w:lvl>
    <w:lvl w:ilvl="2">
      <w:start w:val="1"/>
      <w:numFmt w:val="bullet"/>
      <w:lvlText w:val="•"/>
      <w:lvlJc w:val="left"/>
      <w:pPr>
        <w:ind w:left="2167" w:hanging="133"/>
      </w:pPr>
      <w:rPr>
        <w:rFonts w:hint="default"/>
      </w:rPr>
    </w:lvl>
    <w:lvl w:ilvl="3">
      <w:start w:val="1"/>
      <w:numFmt w:val="bullet"/>
      <w:lvlText w:val="•"/>
      <w:lvlJc w:val="left"/>
      <w:pPr>
        <w:ind w:left="2791" w:hanging="133"/>
      </w:pPr>
      <w:rPr>
        <w:rFonts w:hint="default"/>
      </w:rPr>
    </w:lvl>
    <w:lvl w:ilvl="4">
      <w:start w:val="1"/>
      <w:numFmt w:val="bullet"/>
      <w:lvlText w:val="•"/>
      <w:lvlJc w:val="left"/>
      <w:pPr>
        <w:ind w:left="3415" w:hanging="133"/>
      </w:pPr>
      <w:rPr>
        <w:rFonts w:hint="default"/>
      </w:rPr>
    </w:lvl>
    <w:lvl w:ilvl="5">
      <w:start w:val="1"/>
      <w:numFmt w:val="bullet"/>
      <w:lvlText w:val="•"/>
      <w:lvlJc w:val="left"/>
      <w:pPr>
        <w:ind w:left="4038" w:hanging="133"/>
      </w:pPr>
      <w:rPr>
        <w:rFonts w:hint="default"/>
      </w:rPr>
    </w:lvl>
    <w:lvl w:ilvl="6">
      <w:start w:val="1"/>
      <w:numFmt w:val="bullet"/>
      <w:lvlText w:val="•"/>
      <w:lvlJc w:val="left"/>
      <w:pPr>
        <w:ind w:left="4662" w:hanging="133"/>
      </w:pPr>
      <w:rPr>
        <w:rFonts w:hint="default"/>
      </w:rPr>
    </w:lvl>
    <w:lvl w:ilvl="7">
      <w:start w:val="1"/>
      <w:numFmt w:val="bullet"/>
      <w:lvlText w:val="•"/>
      <w:lvlJc w:val="left"/>
      <w:pPr>
        <w:ind w:left="5286" w:hanging="133"/>
      </w:pPr>
      <w:rPr>
        <w:rFonts w:hint="default"/>
      </w:rPr>
    </w:lvl>
    <w:lvl w:ilvl="8">
      <w:start w:val="1"/>
      <w:numFmt w:val="bullet"/>
      <w:lvlText w:val="•"/>
      <w:lvlJc w:val="left"/>
      <w:pPr>
        <w:ind w:left="5910" w:hanging="133"/>
      </w:pPr>
      <w:rPr>
        <w:rFonts w:hint="default"/>
      </w:rPr>
    </w:lvl>
  </w:abstractNum>
  <w:abstractNum w:abstractNumId="25">
    <w:multiLevelType w:val="hybridMultilevel"/>
    <w:lvl w:ilvl="0">
      <w:start w:val="1"/>
      <w:numFmt w:val="decimal"/>
      <w:lvlText w:val="%1."/>
      <w:lvlJc w:val="left"/>
      <w:pPr>
        <w:ind w:left="1314" w:hanging="360"/>
        <w:jc w:val="left"/>
      </w:pPr>
      <w:rPr>
        <w:rFonts w:hint="default" w:ascii="Arial" w:hAnsi="Arial" w:eastAsia="Arial" w:cs="Arial"/>
        <w:color w:val="231F20"/>
        <w:w w:val="93"/>
        <w:sz w:val="21"/>
        <w:szCs w:val="21"/>
      </w:rPr>
    </w:lvl>
    <w:lvl w:ilvl="1">
      <w:start w:val="1"/>
      <w:numFmt w:val="bullet"/>
      <w:lvlText w:val="•"/>
      <w:lvlJc w:val="left"/>
      <w:pPr>
        <w:ind w:left="1901" w:hanging="360"/>
      </w:pPr>
      <w:rPr>
        <w:rFonts w:hint="default"/>
      </w:rPr>
    </w:lvl>
    <w:lvl w:ilvl="2">
      <w:start w:val="1"/>
      <w:numFmt w:val="bullet"/>
      <w:lvlText w:val="•"/>
      <w:lvlJc w:val="left"/>
      <w:pPr>
        <w:ind w:left="2483" w:hanging="360"/>
      </w:pPr>
      <w:rPr>
        <w:rFonts w:hint="default"/>
      </w:rPr>
    </w:lvl>
    <w:lvl w:ilvl="3">
      <w:start w:val="1"/>
      <w:numFmt w:val="bullet"/>
      <w:lvlText w:val="•"/>
      <w:lvlJc w:val="left"/>
      <w:pPr>
        <w:ind w:left="3065" w:hanging="360"/>
      </w:pPr>
      <w:rPr>
        <w:rFonts w:hint="default"/>
      </w:rPr>
    </w:lvl>
    <w:lvl w:ilvl="4">
      <w:start w:val="1"/>
      <w:numFmt w:val="bullet"/>
      <w:lvlText w:val="•"/>
      <w:lvlJc w:val="left"/>
      <w:pPr>
        <w:ind w:left="3647" w:hanging="360"/>
      </w:pPr>
      <w:rPr>
        <w:rFonts w:hint="default"/>
      </w:rPr>
    </w:lvl>
    <w:lvl w:ilvl="5">
      <w:start w:val="1"/>
      <w:numFmt w:val="bullet"/>
      <w:lvlText w:val="•"/>
      <w:lvlJc w:val="left"/>
      <w:pPr>
        <w:ind w:left="422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392" w:hanging="360"/>
      </w:pPr>
      <w:rPr>
        <w:rFonts w:hint="default"/>
      </w:rPr>
    </w:lvl>
    <w:lvl w:ilvl="8">
      <w:start w:val="1"/>
      <w:numFmt w:val="bullet"/>
      <w:lvlText w:val="•"/>
      <w:lvlJc w:val="left"/>
      <w:pPr>
        <w:ind w:left="5974" w:hanging="360"/>
      </w:pPr>
      <w:rPr>
        <w:rFonts w:hint="default"/>
      </w:rPr>
    </w:lvl>
  </w:abstractNum>
  <w:abstractNum w:abstractNumId="22">
    <w:multiLevelType w:val="hybridMultilevel"/>
    <w:lvl w:ilvl="0">
      <w:start w:val="1"/>
      <w:numFmt w:val="bullet"/>
      <w:lvlText w:val="•"/>
      <w:lvlJc w:val="left"/>
      <w:pPr>
        <w:ind w:left="219" w:hanging="142"/>
      </w:pPr>
      <w:rPr>
        <w:rFonts w:hint="default" w:ascii="Arial" w:hAnsi="Arial" w:eastAsia="Arial" w:cs="Arial"/>
        <w:color w:val="231F20"/>
        <w:w w:val="149"/>
        <w:sz w:val="10"/>
        <w:szCs w:val="10"/>
      </w:rPr>
    </w:lvl>
    <w:lvl w:ilvl="1">
      <w:start w:val="1"/>
      <w:numFmt w:val="bullet"/>
      <w:lvlText w:val="•"/>
      <w:lvlJc w:val="left"/>
      <w:pPr>
        <w:ind w:left="888" w:hanging="142"/>
      </w:pPr>
      <w:rPr>
        <w:rFonts w:hint="default"/>
      </w:rPr>
    </w:lvl>
    <w:lvl w:ilvl="2">
      <w:start w:val="1"/>
      <w:numFmt w:val="bullet"/>
      <w:lvlText w:val="•"/>
      <w:lvlJc w:val="left"/>
      <w:pPr>
        <w:ind w:left="1557" w:hanging="142"/>
      </w:pPr>
      <w:rPr>
        <w:rFonts w:hint="default"/>
      </w:rPr>
    </w:lvl>
    <w:lvl w:ilvl="3">
      <w:start w:val="1"/>
      <w:numFmt w:val="bullet"/>
      <w:lvlText w:val="•"/>
      <w:lvlJc w:val="left"/>
      <w:pPr>
        <w:ind w:left="2225" w:hanging="142"/>
      </w:pPr>
      <w:rPr>
        <w:rFonts w:hint="default"/>
      </w:rPr>
    </w:lvl>
    <w:lvl w:ilvl="4">
      <w:start w:val="1"/>
      <w:numFmt w:val="bullet"/>
      <w:lvlText w:val="•"/>
      <w:lvlJc w:val="left"/>
      <w:pPr>
        <w:ind w:left="2894" w:hanging="142"/>
      </w:pPr>
      <w:rPr>
        <w:rFonts w:hint="default"/>
      </w:rPr>
    </w:lvl>
    <w:lvl w:ilvl="5">
      <w:start w:val="1"/>
      <w:numFmt w:val="bullet"/>
      <w:lvlText w:val="•"/>
      <w:lvlJc w:val="left"/>
      <w:pPr>
        <w:ind w:left="3563" w:hanging="142"/>
      </w:pPr>
      <w:rPr>
        <w:rFonts w:hint="default"/>
      </w:rPr>
    </w:lvl>
    <w:lvl w:ilvl="6">
      <w:start w:val="1"/>
      <w:numFmt w:val="bullet"/>
      <w:lvlText w:val="•"/>
      <w:lvlJc w:val="left"/>
      <w:pPr>
        <w:ind w:left="4231" w:hanging="142"/>
      </w:pPr>
      <w:rPr>
        <w:rFonts w:hint="default"/>
      </w:rPr>
    </w:lvl>
    <w:lvl w:ilvl="7">
      <w:start w:val="1"/>
      <w:numFmt w:val="bullet"/>
      <w:lvlText w:val="•"/>
      <w:lvlJc w:val="left"/>
      <w:pPr>
        <w:ind w:left="4900" w:hanging="142"/>
      </w:pPr>
      <w:rPr>
        <w:rFonts w:hint="default"/>
      </w:rPr>
    </w:lvl>
    <w:lvl w:ilvl="8">
      <w:start w:val="1"/>
      <w:numFmt w:val="bullet"/>
      <w:lvlText w:val="•"/>
      <w:lvlJc w:val="left"/>
      <w:pPr>
        <w:ind w:left="5569" w:hanging="142"/>
      </w:pPr>
      <w:rPr>
        <w:rFonts w:hint="default"/>
      </w:rPr>
    </w:lvl>
  </w:abstractNum>
  <w:abstractNum w:abstractNumId="21">
    <w:multiLevelType w:val="hybridMultilevel"/>
    <w:lvl w:ilvl="0">
      <w:start w:val="1"/>
      <w:numFmt w:val="bullet"/>
      <w:lvlText w:val="•"/>
      <w:lvlJc w:val="left"/>
      <w:pPr>
        <w:ind w:left="219" w:hanging="142"/>
      </w:pPr>
      <w:rPr>
        <w:rFonts w:hint="default" w:ascii="Arial" w:hAnsi="Arial" w:eastAsia="Arial" w:cs="Arial"/>
        <w:color w:val="231F20"/>
        <w:w w:val="149"/>
        <w:sz w:val="10"/>
        <w:szCs w:val="10"/>
      </w:rPr>
    </w:lvl>
    <w:lvl w:ilvl="1">
      <w:start w:val="1"/>
      <w:numFmt w:val="bullet"/>
      <w:lvlText w:val="•"/>
      <w:lvlJc w:val="left"/>
      <w:pPr>
        <w:ind w:left="888" w:hanging="142"/>
      </w:pPr>
      <w:rPr>
        <w:rFonts w:hint="default"/>
      </w:rPr>
    </w:lvl>
    <w:lvl w:ilvl="2">
      <w:start w:val="1"/>
      <w:numFmt w:val="bullet"/>
      <w:lvlText w:val="•"/>
      <w:lvlJc w:val="left"/>
      <w:pPr>
        <w:ind w:left="1557" w:hanging="142"/>
      </w:pPr>
      <w:rPr>
        <w:rFonts w:hint="default"/>
      </w:rPr>
    </w:lvl>
    <w:lvl w:ilvl="3">
      <w:start w:val="1"/>
      <w:numFmt w:val="bullet"/>
      <w:lvlText w:val="•"/>
      <w:lvlJc w:val="left"/>
      <w:pPr>
        <w:ind w:left="2225" w:hanging="142"/>
      </w:pPr>
      <w:rPr>
        <w:rFonts w:hint="default"/>
      </w:rPr>
    </w:lvl>
    <w:lvl w:ilvl="4">
      <w:start w:val="1"/>
      <w:numFmt w:val="bullet"/>
      <w:lvlText w:val="•"/>
      <w:lvlJc w:val="left"/>
      <w:pPr>
        <w:ind w:left="2894" w:hanging="142"/>
      </w:pPr>
      <w:rPr>
        <w:rFonts w:hint="default"/>
      </w:rPr>
    </w:lvl>
    <w:lvl w:ilvl="5">
      <w:start w:val="1"/>
      <w:numFmt w:val="bullet"/>
      <w:lvlText w:val="•"/>
      <w:lvlJc w:val="left"/>
      <w:pPr>
        <w:ind w:left="3563" w:hanging="142"/>
      </w:pPr>
      <w:rPr>
        <w:rFonts w:hint="default"/>
      </w:rPr>
    </w:lvl>
    <w:lvl w:ilvl="6">
      <w:start w:val="1"/>
      <w:numFmt w:val="bullet"/>
      <w:lvlText w:val="•"/>
      <w:lvlJc w:val="left"/>
      <w:pPr>
        <w:ind w:left="4231" w:hanging="142"/>
      </w:pPr>
      <w:rPr>
        <w:rFonts w:hint="default"/>
      </w:rPr>
    </w:lvl>
    <w:lvl w:ilvl="7">
      <w:start w:val="1"/>
      <w:numFmt w:val="bullet"/>
      <w:lvlText w:val="•"/>
      <w:lvlJc w:val="left"/>
      <w:pPr>
        <w:ind w:left="4900" w:hanging="142"/>
      </w:pPr>
      <w:rPr>
        <w:rFonts w:hint="default"/>
      </w:rPr>
    </w:lvl>
    <w:lvl w:ilvl="8">
      <w:start w:val="1"/>
      <w:numFmt w:val="bullet"/>
      <w:lvlText w:val="•"/>
      <w:lvlJc w:val="left"/>
      <w:pPr>
        <w:ind w:left="5569" w:hanging="142"/>
      </w:pPr>
      <w:rPr>
        <w:rFonts w:hint="default"/>
      </w:rPr>
    </w:lvl>
  </w:abstractNum>
  <w:abstractNum w:abstractNumId="20">
    <w:multiLevelType w:val="hybridMultilevel"/>
    <w:lvl w:ilvl="0">
      <w:start w:val="1"/>
      <w:numFmt w:val="bullet"/>
      <w:lvlText w:val="•"/>
      <w:lvlJc w:val="left"/>
      <w:pPr>
        <w:ind w:left="219" w:hanging="142"/>
      </w:pPr>
      <w:rPr>
        <w:rFonts w:hint="default" w:ascii="Arial" w:hAnsi="Arial" w:eastAsia="Arial" w:cs="Arial"/>
        <w:color w:val="231F20"/>
        <w:w w:val="149"/>
        <w:sz w:val="10"/>
        <w:szCs w:val="10"/>
      </w:rPr>
    </w:lvl>
    <w:lvl w:ilvl="1">
      <w:start w:val="1"/>
      <w:numFmt w:val="bullet"/>
      <w:lvlText w:val="•"/>
      <w:lvlJc w:val="left"/>
      <w:pPr>
        <w:ind w:left="888" w:hanging="142"/>
      </w:pPr>
      <w:rPr>
        <w:rFonts w:hint="default"/>
      </w:rPr>
    </w:lvl>
    <w:lvl w:ilvl="2">
      <w:start w:val="1"/>
      <w:numFmt w:val="bullet"/>
      <w:lvlText w:val="•"/>
      <w:lvlJc w:val="left"/>
      <w:pPr>
        <w:ind w:left="1557" w:hanging="142"/>
      </w:pPr>
      <w:rPr>
        <w:rFonts w:hint="default"/>
      </w:rPr>
    </w:lvl>
    <w:lvl w:ilvl="3">
      <w:start w:val="1"/>
      <w:numFmt w:val="bullet"/>
      <w:lvlText w:val="•"/>
      <w:lvlJc w:val="left"/>
      <w:pPr>
        <w:ind w:left="2225" w:hanging="142"/>
      </w:pPr>
      <w:rPr>
        <w:rFonts w:hint="default"/>
      </w:rPr>
    </w:lvl>
    <w:lvl w:ilvl="4">
      <w:start w:val="1"/>
      <w:numFmt w:val="bullet"/>
      <w:lvlText w:val="•"/>
      <w:lvlJc w:val="left"/>
      <w:pPr>
        <w:ind w:left="2894" w:hanging="142"/>
      </w:pPr>
      <w:rPr>
        <w:rFonts w:hint="default"/>
      </w:rPr>
    </w:lvl>
    <w:lvl w:ilvl="5">
      <w:start w:val="1"/>
      <w:numFmt w:val="bullet"/>
      <w:lvlText w:val="•"/>
      <w:lvlJc w:val="left"/>
      <w:pPr>
        <w:ind w:left="3563" w:hanging="142"/>
      </w:pPr>
      <w:rPr>
        <w:rFonts w:hint="default"/>
      </w:rPr>
    </w:lvl>
    <w:lvl w:ilvl="6">
      <w:start w:val="1"/>
      <w:numFmt w:val="bullet"/>
      <w:lvlText w:val="•"/>
      <w:lvlJc w:val="left"/>
      <w:pPr>
        <w:ind w:left="4231" w:hanging="142"/>
      </w:pPr>
      <w:rPr>
        <w:rFonts w:hint="default"/>
      </w:rPr>
    </w:lvl>
    <w:lvl w:ilvl="7">
      <w:start w:val="1"/>
      <w:numFmt w:val="bullet"/>
      <w:lvlText w:val="•"/>
      <w:lvlJc w:val="left"/>
      <w:pPr>
        <w:ind w:left="4900" w:hanging="142"/>
      </w:pPr>
      <w:rPr>
        <w:rFonts w:hint="default"/>
      </w:rPr>
    </w:lvl>
    <w:lvl w:ilvl="8">
      <w:start w:val="1"/>
      <w:numFmt w:val="bullet"/>
      <w:lvlText w:val="•"/>
      <w:lvlJc w:val="left"/>
      <w:pPr>
        <w:ind w:left="5569" w:hanging="142"/>
      </w:pPr>
      <w:rPr>
        <w:rFonts w:hint="default"/>
      </w:rPr>
    </w:lvl>
  </w:abstractNum>
  <w:abstractNum w:abstractNumId="19">
    <w:multiLevelType w:val="hybridMultilevel"/>
    <w:lvl w:ilvl="0">
      <w:start w:val="1"/>
      <w:numFmt w:val="bullet"/>
      <w:lvlText w:val="•"/>
      <w:lvlJc w:val="left"/>
      <w:pPr>
        <w:ind w:left="219" w:hanging="142"/>
      </w:pPr>
      <w:rPr>
        <w:rFonts w:hint="default" w:ascii="Arial" w:hAnsi="Arial" w:eastAsia="Arial" w:cs="Arial"/>
        <w:color w:val="231F20"/>
        <w:w w:val="149"/>
        <w:sz w:val="10"/>
        <w:szCs w:val="10"/>
      </w:rPr>
    </w:lvl>
    <w:lvl w:ilvl="1">
      <w:start w:val="1"/>
      <w:numFmt w:val="bullet"/>
      <w:lvlText w:val="•"/>
      <w:lvlJc w:val="left"/>
      <w:pPr>
        <w:ind w:left="400" w:hanging="142"/>
      </w:pPr>
      <w:rPr>
        <w:rFonts w:hint="default"/>
      </w:rPr>
    </w:lvl>
    <w:lvl w:ilvl="2">
      <w:start w:val="1"/>
      <w:numFmt w:val="bullet"/>
      <w:lvlText w:val="•"/>
      <w:lvlJc w:val="left"/>
      <w:pPr>
        <w:ind w:left="1122" w:hanging="142"/>
      </w:pPr>
      <w:rPr>
        <w:rFonts w:hint="default"/>
      </w:rPr>
    </w:lvl>
    <w:lvl w:ilvl="3">
      <w:start w:val="1"/>
      <w:numFmt w:val="bullet"/>
      <w:lvlText w:val="•"/>
      <w:lvlJc w:val="left"/>
      <w:pPr>
        <w:ind w:left="1845" w:hanging="142"/>
      </w:pPr>
      <w:rPr>
        <w:rFonts w:hint="default"/>
      </w:rPr>
    </w:lvl>
    <w:lvl w:ilvl="4">
      <w:start w:val="1"/>
      <w:numFmt w:val="bullet"/>
      <w:lvlText w:val="•"/>
      <w:lvlJc w:val="left"/>
      <w:pPr>
        <w:ind w:left="2568" w:hanging="142"/>
      </w:pPr>
      <w:rPr>
        <w:rFonts w:hint="default"/>
      </w:rPr>
    </w:lvl>
    <w:lvl w:ilvl="5">
      <w:start w:val="1"/>
      <w:numFmt w:val="bullet"/>
      <w:lvlText w:val="•"/>
      <w:lvlJc w:val="left"/>
      <w:pPr>
        <w:ind w:left="3291" w:hanging="142"/>
      </w:pPr>
      <w:rPr>
        <w:rFonts w:hint="default"/>
      </w:rPr>
    </w:lvl>
    <w:lvl w:ilvl="6">
      <w:start w:val="1"/>
      <w:numFmt w:val="bullet"/>
      <w:lvlText w:val="•"/>
      <w:lvlJc w:val="left"/>
      <w:pPr>
        <w:ind w:left="4014" w:hanging="142"/>
      </w:pPr>
      <w:rPr>
        <w:rFonts w:hint="default"/>
      </w:rPr>
    </w:lvl>
    <w:lvl w:ilvl="7">
      <w:start w:val="1"/>
      <w:numFmt w:val="bullet"/>
      <w:lvlText w:val="•"/>
      <w:lvlJc w:val="left"/>
      <w:pPr>
        <w:ind w:left="4737" w:hanging="142"/>
      </w:pPr>
      <w:rPr>
        <w:rFonts w:hint="default"/>
      </w:rPr>
    </w:lvl>
    <w:lvl w:ilvl="8">
      <w:start w:val="1"/>
      <w:numFmt w:val="bullet"/>
      <w:lvlText w:val="•"/>
      <w:lvlJc w:val="left"/>
      <w:pPr>
        <w:ind w:left="5460" w:hanging="142"/>
      </w:pPr>
      <w:rPr>
        <w:rFonts w:hint="default"/>
      </w:rPr>
    </w:lvl>
  </w:abstractNum>
  <w:abstractNum w:abstractNumId="13">
    <w:multiLevelType w:val="hybridMultilevel"/>
    <w:lvl w:ilvl="0">
      <w:start w:val="1"/>
      <w:numFmt w:val="bullet"/>
      <w:lvlText w:val="•"/>
      <w:lvlJc w:val="left"/>
      <w:pPr>
        <w:ind w:left="2058" w:hanging="142"/>
      </w:pPr>
      <w:rPr>
        <w:rFonts w:hint="default" w:ascii="Arial" w:hAnsi="Arial" w:eastAsia="Arial" w:cs="Arial"/>
        <w:color w:val="231F20"/>
        <w:w w:val="149"/>
        <w:sz w:val="10"/>
        <w:szCs w:val="10"/>
      </w:rPr>
    </w:lvl>
    <w:lvl w:ilvl="1">
      <w:start w:val="1"/>
      <w:numFmt w:val="bullet"/>
      <w:lvlText w:val="•"/>
      <w:lvlJc w:val="left"/>
      <w:pPr>
        <w:ind w:left="3020" w:hanging="142"/>
      </w:pPr>
      <w:rPr>
        <w:rFonts w:hint="default" w:ascii="Arial" w:hAnsi="Arial" w:eastAsia="Arial" w:cs="Arial"/>
        <w:color w:val="231F20"/>
        <w:w w:val="149"/>
        <w:sz w:val="10"/>
        <w:szCs w:val="10"/>
      </w:rPr>
    </w:lvl>
    <w:lvl w:ilvl="2">
      <w:start w:val="1"/>
      <w:numFmt w:val="bullet"/>
      <w:lvlText w:val="•"/>
      <w:lvlJc w:val="left"/>
      <w:pPr>
        <w:ind w:left="3452" w:hanging="142"/>
      </w:pPr>
      <w:rPr>
        <w:rFonts w:hint="default"/>
      </w:rPr>
    </w:lvl>
    <w:lvl w:ilvl="3">
      <w:start w:val="1"/>
      <w:numFmt w:val="bullet"/>
      <w:lvlText w:val="•"/>
      <w:lvlJc w:val="left"/>
      <w:pPr>
        <w:ind w:left="3885" w:hanging="142"/>
      </w:pPr>
      <w:rPr>
        <w:rFonts w:hint="default"/>
      </w:rPr>
    </w:lvl>
    <w:lvl w:ilvl="4">
      <w:start w:val="1"/>
      <w:numFmt w:val="bullet"/>
      <w:lvlText w:val="•"/>
      <w:lvlJc w:val="left"/>
      <w:pPr>
        <w:ind w:left="4318" w:hanging="142"/>
      </w:pPr>
      <w:rPr>
        <w:rFonts w:hint="default"/>
      </w:rPr>
    </w:lvl>
    <w:lvl w:ilvl="5">
      <w:start w:val="1"/>
      <w:numFmt w:val="bullet"/>
      <w:lvlText w:val="•"/>
      <w:lvlJc w:val="left"/>
      <w:pPr>
        <w:ind w:left="4750" w:hanging="142"/>
      </w:pPr>
      <w:rPr>
        <w:rFonts w:hint="default"/>
      </w:rPr>
    </w:lvl>
    <w:lvl w:ilvl="6">
      <w:start w:val="1"/>
      <w:numFmt w:val="bullet"/>
      <w:lvlText w:val="•"/>
      <w:lvlJc w:val="left"/>
      <w:pPr>
        <w:ind w:left="5183" w:hanging="142"/>
      </w:pPr>
      <w:rPr>
        <w:rFonts w:hint="default"/>
      </w:rPr>
    </w:lvl>
    <w:lvl w:ilvl="7">
      <w:start w:val="1"/>
      <w:numFmt w:val="bullet"/>
      <w:lvlText w:val="•"/>
      <w:lvlJc w:val="left"/>
      <w:pPr>
        <w:ind w:left="5616" w:hanging="142"/>
      </w:pPr>
      <w:rPr>
        <w:rFonts w:hint="default"/>
      </w:rPr>
    </w:lvl>
    <w:lvl w:ilvl="8">
      <w:start w:val="1"/>
      <w:numFmt w:val="bullet"/>
      <w:lvlText w:val="•"/>
      <w:lvlJc w:val="left"/>
      <w:pPr>
        <w:ind w:left="6049" w:hanging="142"/>
      </w:pPr>
      <w:rPr>
        <w:rFonts w:hint="default"/>
      </w:rPr>
    </w:lvl>
  </w:abstractNum>
  <w:abstractNum w:abstractNumId="12">
    <w:multiLevelType w:val="hybridMultilevel"/>
    <w:lvl w:ilvl="0">
      <w:start w:val="1"/>
      <w:numFmt w:val="bullet"/>
      <w:lvlText w:val="•"/>
      <w:lvlJc w:val="left"/>
      <w:pPr>
        <w:ind w:left="214" w:hanging="142"/>
      </w:pPr>
      <w:rPr>
        <w:rFonts w:hint="default" w:ascii="Arial" w:hAnsi="Arial" w:eastAsia="Arial" w:cs="Arial"/>
        <w:color w:val="231F20"/>
        <w:w w:val="149"/>
        <w:sz w:val="10"/>
        <w:szCs w:val="10"/>
      </w:rPr>
    </w:lvl>
    <w:lvl w:ilvl="1">
      <w:start w:val="1"/>
      <w:numFmt w:val="bullet"/>
      <w:lvlText w:val="•"/>
      <w:lvlJc w:val="left"/>
      <w:pPr>
        <w:ind w:left="427" w:hanging="142"/>
      </w:pPr>
      <w:rPr>
        <w:rFonts w:hint="default"/>
      </w:rPr>
    </w:lvl>
    <w:lvl w:ilvl="2">
      <w:start w:val="1"/>
      <w:numFmt w:val="bullet"/>
      <w:lvlText w:val="•"/>
      <w:lvlJc w:val="left"/>
      <w:pPr>
        <w:ind w:left="635" w:hanging="142"/>
      </w:pPr>
      <w:rPr>
        <w:rFonts w:hint="default"/>
      </w:rPr>
    </w:lvl>
    <w:lvl w:ilvl="3">
      <w:start w:val="1"/>
      <w:numFmt w:val="bullet"/>
      <w:lvlText w:val="•"/>
      <w:lvlJc w:val="left"/>
      <w:pPr>
        <w:ind w:left="843" w:hanging="142"/>
      </w:pPr>
      <w:rPr>
        <w:rFonts w:hint="default"/>
      </w:rPr>
    </w:lvl>
    <w:lvl w:ilvl="4">
      <w:start w:val="1"/>
      <w:numFmt w:val="bullet"/>
      <w:lvlText w:val="•"/>
      <w:lvlJc w:val="left"/>
      <w:pPr>
        <w:ind w:left="1050" w:hanging="142"/>
      </w:pPr>
      <w:rPr>
        <w:rFonts w:hint="default"/>
      </w:rPr>
    </w:lvl>
    <w:lvl w:ilvl="5">
      <w:start w:val="1"/>
      <w:numFmt w:val="bullet"/>
      <w:lvlText w:val="•"/>
      <w:lvlJc w:val="left"/>
      <w:pPr>
        <w:ind w:left="1258" w:hanging="142"/>
      </w:pPr>
      <w:rPr>
        <w:rFonts w:hint="default"/>
      </w:rPr>
    </w:lvl>
    <w:lvl w:ilvl="6">
      <w:start w:val="1"/>
      <w:numFmt w:val="bullet"/>
      <w:lvlText w:val="•"/>
      <w:lvlJc w:val="left"/>
      <w:pPr>
        <w:ind w:left="1466" w:hanging="142"/>
      </w:pPr>
      <w:rPr>
        <w:rFonts w:hint="default"/>
      </w:rPr>
    </w:lvl>
    <w:lvl w:ilvl="7">
      <w:start w:val="1"/>
      <w:numFmt w:val="bullet"/>
      <w:lvlText w:val="•"/>
      <w:lvlJc w:val="left"/>
      <w:pPr>
        <w:ind w:left="1674" w:hanging="142"/>
      </w:pPr>
      <w:rPr>
        <w:rFonts w:hint="default"/>
      </w:rPr>
    </w:lvl>
    <w:lvl w:ilvl="8">
      <w:start w:val="1"/>
      <w:numFmt w:val="bullet"/>
      <w:lvlText w:val="•"/>
      <w:lvlJc w:val="left"/>
      <w:pPr>
        <w:ind w:left="1881" w:hanging="142"/>
      </w:pPr>
      <w:rPr>
        <w:rFonts w:hint="default"/>
      </w:rPr>
    </w:lvl>
  </w:abstractNum>
  <w:abstractNum w:abstractNumId="11">
    <w:multiLevelType w:val="hybridMultilevel"/>
    <w:lvl w:ilvl="0">
      <w:start w:val="1"/>
      <w:numFmt w:val="bullet"/>
      <w:lvlText w:val="•"/>
      <w:lvlJc w:val="left"/>
      <w:pPr>
        <w:ind w:left="214" w:hanging="142"/>
      </w:pPr>
      <w:rPr>
        <w:rFonts w:hint="default" w:ascii="Arial" w:hAnsi="Arial" w:eastAsia="Arial" w:cs="Arial"/>
        <w:color w:val="231F20"/>
        <w:w w:val="149"/>
        <w:sz w:val="10"/>
        <w:szCs w:val="10"/>
      </w:rPr>
    </w:lvl>
    <w:lvl w:ilvl="1">
      <w:start w:val="1"/>
      <w:numFmt w:val="bullet"/>
      <w:lvlText w:val="•"/>
      <w:lvlJc w:val="left"/>
      <w:pPr>
        <w:ind w:left="427" w:hanging="142"/>
      </w:pPr>
      <w:rPr>
        <w:rFonts w:hint="default"/>
      </w:rPr>
    </w:lvl>
    <w:lvl w:ilvl="2">
      <w:start w:val="1"/>
      <w:numFmt w:val="bullet"/>
      <w:lvlText w:val="•"/>
      <w:lvlJc w:val="left"/>
      <w:pPr>
        <w:ind w:left="635" w:hanging="142"/>
      </w:pPr>
      <w:rPr>
        <w:rFonts w:hint="default"/>
      </w:rPr>
    </w:lvl>
    <w:lvl w:ilvl="3">
      <w:start w:val="1"/>
      <w:numFmt w:val="bullet"/>
      <w:lvlText w:val="•"/>
      <w:lvlJc w:val="left"/>
      <w:pPr>
        <w:ind w:left="843" w:hanging="142"/>
      </w:pPr>
      <w:rPr>
        <w:rFonts w:hint="default"/>
      </w:rPr>
    </w:lvl>
    <w:lvl w:ilvl="4">
      <w:start w:val="1"/>
      <w:numFmt w:val="bullet"/>
      <w:lvlText w:val="•"/>
      <w:lvlJc w:val="left"/>
      <w:pPr>
        <w:ind w:left="1050" w:hanging="142"/>
      </w:pPr>
      <w:rPr>
        <w:rFonts w:hint="default"/>
      </w:rPr>
    </w:lvl>
    <w:lvl w:ilvl="5">
      <w:start w:val="1"/>
      <w:numFmt w:val="bullet"/>
      <w:lvlText w:val="•"/>
      <w:lvlJc w:val="left"/>
      <w:pPr>
        <w:ind w:left="1258" w:hanging="142"/>
      </w:pPr>
      <w:rPr>
        <w:rFonts w:hint="default"/>
      </w:rPr>
    </w:lvl>
    <w:lvl w:ilvl="6">
      <w:start w:val="1"/>
      <w:numFmt w:val="bullet"/>
      <w:lvlText w:val="•"/>
      <w:lvlJc w:val="left"/>
      <w:pPr>
        <w:ind w:left="1466" w:hanging="142"/>
      </w:pPr>
      <w:rPr>
        <w:rFonts w:hint="default"/>
      </w:rPr>
    </w:lvl>
    <w:lvl w:ilvl="7">
      <w:start w:val="1"/>
      <w:numFmt w:val="bullet"/>
      <w:lvlText w:val="•"/>
      <w:lvlJc w:val="left"/>
      <w:pPr>
        <w:ind w:left="1674" w:hanging="142"/>
      </w:pPr>
      <w:rPr>
        <w:rFonts w:hint="default"/>
      </w:rPr>
    </w:lvl>
    <w:lvl w:ilvl="8">
      <w:start w:val="1"/>
      <w:numFmt w:val="bullet"/>
      <w:lvlText w:val="•"/>
      <w:lvlJc w:val="left"/>
      <w:pPr>
        <w:ind w:left="1881" w:hanging="142"/>
      </w:pPr>
      <w:rPr>
        <w:rFonts w:hint="default"/>
      </w:rPr>
    </w:lvl>
  </w:abstractNum>
  <w:abstractNum w:abstractNumId="10">
    <w:multiLevelType w:val="hybridMultilevel"/>
    <w:lvl w:ilvl="0">
      <w:start w:val="1"/>
      <w:numFmt w:val="bullet"/>
      <w:lvlText w:val="•"/>
      <w:lvlJc w:val="left"/>
      <w:pPr>
        <w:ind w:left="219" w:hanging="142"/>
      </w:pPr>
      <w:rPr>
        <w:rFonts w:hint="default" w:ascii="Arial" w:hAnsi="Arial" w:eastAsia="Arial" w:cs="Arial"/>
        <w:color w:val="231F20"/>
        <w:w w:val="149"/>
        <w:sz w:val="10"/>
        <w:szCs w:val="10"/>
      </w:rPr>
    </w:lvl>
    <w:lvl w:ilvl="1">
      <w:start w:val="1"/>
      <w:numFmt w:val="bullet"/>
      <w:lvlText w:val="•"/>
      <w:lvlJc w:val="left"/>
      <w:pPr>
        <w:ind w:left="428" w:hanging="142"/>
      </w:pPr>
      <w:rPr>
        <w:rFonts w:hint="default"/>
      </w:rPr>
    </w:lvl>
    <w:lvl w:ilvl="2">
      <w:start w:val="1"/>
      <w:numFmt w:val="bullet"/>
      <w:lvlText w:val="•"/>
      <w:lvlJc w:val="left"/>
      <w:pPr>
        <w:ind w:left="636" w:hanging="142"/>
      </w:pPr>
      <w:rPr>
        <w:rFonts w:hint="default"/>
      </w:rPr>
    </w:lvl>
    <w:lvl w:ilvl="3">
      <w:start w:val="1"/>
      <w:numFmt w:val="bullet"/>
      <w:lvlText w:val="•"/>
      <w:lvlJc w:val="left"/>
      <w:pPr>
        <w:ind w:left="844" w:hanging="142"/>
      </w:pPr>
      <w:rPr>
        <w:rFonts w:hint="default"/>
      </w:rPr>
    </w:lvl>
    <w:lvl w:ilvl="4">
      <w:start w:val="1"/>
      <w:numFmt w:val="bullet"/>
      <w:lvlText w:val="•"/>
      <w:lvlJc w:val="left"/>
      <w:pPr>
        <w:ind w:left="1052" w:hanging="142"/>
      </w:pPr>
      <w:rPr>
        <w:rFonts w:hint="default"/>
      </w:rPr>
    </w:lvl>
    <w:lvl w:ilvl="5">
      <w:start w:val="1"/>
      <w:numFmt w:val="bullet"/>
      <w:lvlText w:val="•"/>
      <w:lvlJc w:val="left"/>
      <w:pPr>
        <w:ind w:left="1261" w:hanging="142"/>
      </w:pPr>
      <w:rPr>
        <w:rFonts w:hint="default"/>
      </w:rPr>
    </w:lvl>
    <w:lvl w:ilvl="6">
      <w:start w:val="1"/>
      <w:numFmt w:val="bullet"/>
      <w:lvlText w:val="•"/>
      <w:lvlJc w:val="left"/>
      <w:pPr>
        <w:ind w:left="1469" w:hanging="142"/>
      </w:pPr>
      <w:rPr>
        <w:rFonts w:hint="default"/>
      </w:rPr>
    </w:lvl>
    <w:lvl w:ilvl="7">
      <w:start w:val="1"/>
      <w:numFmt w:val="bullet"/>
      <w:lvlText w:val="•"/>
      <w:lvlJc w:val="left"/>
      <w:pPr>
        <w:ind w:left="1677" w:hanging="142"/>
      </w:pPr>
      <w:rPr>
        <w:rFonts w:hint="default"/>
      </w:rPr>
    </w:lvl>
    <w:lvl w:ilvl="8">
      <w:start w:val="1"/>
      <w:numFmt w:val="bullet"/>
      <w:lvlText w:val="•"/>
      <w:lvlJc w:val="left"/>
      <w:pPr>
        <w:ind w:left="1885" w:hanging="142"/>
      </w:pPr>
      <w:rPr>
        <w:rFonts w:hint="default"/>
      </w:rPr>
    </w:lvl>
  </w:abstractNum>
  <w:abstractNum w:abstractNumId="8">
    <w:multiLevelType w:val="hybridMultilevel"/>
    <w:lvl w:ilvl="0">
      <w:start w:val="1"/>
      <w:numFmt w:val="decimal"/>
      <w:lvlText w:val="%1."/>
      <w:lvlJc w:val="left"/>
      <w:pPr>
        <w:ind w:left="304" w:hanging="227"/>
        <w:jc w:val="left"/>
      </w:pPr>
      <w:rPr>
        <w:rFonts w:hint="default" w:ascii="Arial" w:hAnsi="Arial" w:eastAsia="Arial" w:cs="Arial"/>
        <w:color w:val="231F20"/>
        <w:spacing w:val="-1"/>
        <w:w w:val="93"/>
        <w:sz w:val="18"/>
        <w:szCs w:val="18"/>
      </w:rPr>
    </w:lvl>
    <w:lvl w:ilvl="1">
      <w:start w:val="1"/>
      <w:numFmt w:val="bullet"/>
      <w:lvlText w:val="•"/>
      <w:lvlJc w:val="left"/>
      <w:pPr>
        <w:ind w:left="544" w:hanging="227"/>
      </w:pPr>
      <w:rPr>
        <w:rFonts w:hint="default"/>
      </w:rPr>
    </w:lvl>
    <w:lvl w:ilvl="2">
      <w:start w:val="1"/>
      <w:numFmt w:val="bullet"/>
      <w:lvlText w:val="•"/>
      <w:lvlJc w:val="left"/>
      <w:pPr>
        <w:ind w:left="788" w:hanging="227"/>
      </w:pPr>
      <w:rPr>
        <w:rFonts w:hint="default"/>
      </w:rPr>
    </w:lvl>
    <w:lvl w:ilvl="3">
      <w:start w:val="1"/>
      <w:numFmt w:val="bullet"/>
      <w:lvlText w:val="•"/>
      <w:lvlJc w:val="left"/>
      <w:pPr>
        <w:ind w:left="1033" w:hanging="227"/>
      </w:pPr>
      <w:rPr>
        <w:rFonts w:hint="default"/>
      </w:rPr>
    </w:lvl>
    <w:lvl w:ilvl="4">
      <w:start w:val="1"/>
      <w:numFmt w:val="bullet"/>
      <w:lvlText w:val="•"/>
      <w:lvlJc w:val="left"/>
      <w:pPr>
        <w:ind w:left="1277" w:hanging="227"/>
      </w:pPr>
      <w:rPr>
        <w:rFonts w:hint="default"/>
      </w:rPr>
    </w:lvl>
    <w:lvl w:ilvl="5">
      <w:start w:val="1"/>
      <w:numFmt w:val="bullet"/>
      <w:lvlText w:val="•"/>
      <w:lvlJc w:val="left"/>
      <w:pPr>
        <w:ind w:left="1521" w:hanging="227"/>
      </w:pPr>
      <w:rPr>
        <w:rFonts w:hint="default"/>
      </w:rPr>
    </w:lvl>
    <w:lvl w:ilvl="6">
      <w:start w:val="1"/>
      <w:numFmt w:val="bullet"/>
      <w:lvlText w:val="•"/>
      <w:lvlJc w:val="left"/>
      <w:pPr>
        <w:ind w:left="1766" w:hanging="227"/>
      </w:pPr>
      <w:rPr>
        <w:rFonts w:hint="default"/>
      </w:rPr>
    </w:lvl>
    <w:lvl w:ilvl="7">
      <w:start w:val="1"/>
      <w:numFmt w:val="bullet"/>
      <w:lvlText w:val="•"/>
      <w:lvlJc w:val="left"/>
      <w:pPr>
        <w:ind w:left="2010" w:hanging="227"/>
      </w:pPr>
      <w:rPr>
        <w:rFonts w:hint="default"/>
      </w:rPr>
    </w:lvl>
    <w:lvl w:ilvl="8">
      <w:start w:val="1"/>
      <w:numFmt w:val="bullet"/>
      <w:lvlText w:val="•"/>
      <w:lvlJc w:val="left"/>
      <w:pPr>
        <w:ind w:left="2254" w:hanging="227"/>
      </w:pPr>
      <w:rPr>
        <w:rFonts w:hint="default"/>
      </w:rPr>
    </w:lvl>
  </w:abstractNum>
  <w:abstractNum w:abstractNumId="7">
    <w:multiLevelType w:val="hybridMultilevel"/>
    <w:lvl w:ilvl="0">
      <w:start w:val="1"/>
      <w:numFmt w:val="decimal"/>
      <w:lvlText w:val="%1."/>
      <w:lvlJc w:val="left"/>
      <w:pPr>
        <w:ind w:left="304" w:hanging="227"/>
        <w:jc w:val="left"/>
      </w:pPr>
      <w:rPr>
        <w:rFonts w:hint="default" w:ascii="Arial" w:hAnsi="Arial" w:eastAsia="Arial" w:cs="Arial"/>
        <w:color w:val="231F20"/>
        <w:spacing w:val="-1"/>
        <w:w w:val="93"/>
        <w:sz w:val="18"/>
        <w:szCs w:val="18"/>
      </w:rPr>
    </w:lvl>
    <w:lvl w:ilvl="1">
      <w:start w:val="1"/>
      <w:numFmt w:val="bullet"/>
      <w:lvlText w:val="•"/>
      <w:lvlJc w:val="left"/>
      <w:pPr>
        <w:ind w:left="544" w:hanging="227"/>
      </w:pPr>
      <w:rPr>
        <w:rFonts w:hint="default"/>
      </w:rPr>
    </w:lvl>
    <w:lvl w:ilvl="2">
      <w:start w:val="1"/>
      <w:numFmt w:val="bullet"/>
      <w:lvlText w:val="•"/>
      <w:lvlJc w:val="left"/>
      <w:pPr>
        <w:ind w:left="788" w:hanging="227"/>
      </w:pPr>
      <w:rPr>
        <w:rFonts w:hint="default"/>
      </w:rPr>
    </w:lvl>
    <w:lvl w:ilvl="3">
      <w:start w:val="1"/>
      <w:numFmt w:val="bullet"/>
      <w:lvlText w:val="•"/>
      <w:lvlJc w:val="left"/>
      <w:pPr>
        <w:ind w:left="1033" w:hanging="227"/>
      </w:pPr>
      <w:rPr>
        <w:rFonts w:hint="default"/>
      </w:rPr>
    </w:lvl>
    <w:lvl w:ilvl="4">
      <w:start w:val="1"/>
      <w:numFmt w:val="bullet"/>
      <w:lvlText w:val="•"/>
      <w:lvlJc w:val="left"/>
      <w:pPr>
        <w:ind w:left="1277" w:hanging="227"/>
      </w:pPr>
      <w:rPr>
        <w:rFonts w:hint="default"/>
      </w:rPr>
    </w:lvl>
    <w:lvl w:ilvl="5">
      <w:start w:val="1"/>
      <w:numFmt w:val="bullet"/>
      <w:lvlText w:val="•"/>
      <w:lvlJc w:val="left"/>
      <w:pPr>
        <w:ind w:left="1521" w:hanging="227"/>
      </w:pPr>
      <w:rPr>
        <w:rFonts w:hint="default"/>
      </w:rPr>
    </w:lvl>
    <w:lvl w:ilvl="6">
      <w:start w:val="1"/>
      <w:numFmt w:val="bullet"/>
      <w:lvlText w:val="•"/>
      <w:lvlJc w:val="left"/>
      <w:pPr>
        <w:ind w:left="1766" w:hanging="227"/>
      </w:pPr>
      <w:rPr>
        <w:rFonts w:hint="default"/>
      </w:rPr>
    </w:lvl>
    <w:lvl w:ilvl="7">
      <w:start w:val="1"/>
      <w:numFmt w:val="bullet"/>
      <w:lvlText w:val="•"/>
      <w:lvlJc w:val="left"/>
      <w:pPr>
        <w:ind w:left="2010" w:hanging="227"/>
      </w:pPr>
      <w:rPr>
        <w:rFonts w:hint="default"/>
      </w:rPr>
    </w:lvl>
    <w:lvl w:ilvl="8">
      <w:start w:val="1"/>
      <w:numFmt w:val="bullet"/>
      <w:lvlText w:val="•"/>
      <w:lvlJc w:val="left"/>
      <w:pPr>
        <w:ind w:left="2254" w:hanging="227"/>
      </w:pPr>
      <w:rPr>
        <w:rFonts w:hint="default"/>
      </w:rPr>
    </w:lvl>
  </w:abstractNum>
  <w:abstractNum w:abstractNumId="5">
    <w:multiLevelType w:val="hybridMultilevel"/>
    <w:lvl w:ilvl="0">
      <w:start w:val="1"/>
      <w:numFmt w:val="lowerLetter"/>
      <w:lvlText w:val="%1."/>
      <w:lvlJc w:val="left"/>
      <w:pPr>
        <w:ind w:left="1327" w:hanging="360"/>
        <w:jc w:val="left"/>
      </w:pPr>
      <w:rPr>
        <w:rFonts w:hint="default" w:ascii="Arial" w:hAnsi="Arial" w:eastAsia="Arial" w:cs="Arial"/>
        <w:color w:val="231F20"/>
        <w:w w:val="93"/>
        <w:sz w:val="21"/>
        <w:szCs w:val="21"/>
      </w:rPr>
    </w:lvl>
    <w:lvl w:ilvl="1">
      <w:start w:val="1"/>
      <w:numFmt w:val="bullet"/>
      <w:lvlText w:val="•"/>
      <w:lvlJc w:val="left"/>
      <w:pPr>
        <w:ind w:left="1903" w:hanging="360"/>
      </w:pPr>
      <w:rPr>
        <w:rFonts w:hint="default"/>
      </w:rPr>
    </w:lvl>
    <w:lvl w:ilvl="2">
      <w:start w:val="1"/>
      <w:numFmt w:val="bullet"/>
      <w:lvlText w:val="•"/>
      <w:lvlJc w:val="left"/>
      <w:pPr>
        <w:ind w:left="2487" w:hanging="360"/>
      </w:pPr>
      <w:rPr>
        <w:rFonts w:hint="default"/>
      </w:rPr>
    </w:lvl>
    <w:lvl w:ilvl="3">
      <w:start w:val="1"/>
      <w:numFmt w:val="bullet"/>
      <w:lvlText w:val="•"/>
      <w:lvlJc w:val="left"/>
      <w:pPr>
        <w:ind w:left="3071" w:hanging="360"/>
      </w:pPr>
      <w:rPr>
        <w:rFonts w:hint="default"/>
      </w:rPr>
    </w:lvl>
    <w:lvl w:ilvl="4">
      <w:start w:val="1"/>
      <w:numFmt w:val="bullet"/>
      <w:lvlText w:val="•"/>
      <w:lvlJc w:val="left"/>
      <w:pPr>
        <w:ind w:left="3655" w:hanging="360"/>
      </w:pPr>
      <w:rPr>
        <w:rFonts w:hint="default"/>
      </w:rPr>
    </w:lvl>
    <w:lvl w:ilvl="5">
      <w:start w:val="1"/>
      <w:numFmt w:val="bullet"/>
      <w:lvlText w:val="•"/>
      <w:lvlJc w:val="left"/>
      <w:pPr>
        <w:ind w:left="4238" w:hanging="360"/>
      </w:pPr>
      <w:rPr>
        <w:rFonts w:hint="default"/>
      </w:rPr>
    </w:lvl>
    <w:lvl w:ilvl="6">
      <w:start w:val="1"/>
      <w:numFmt w:val="bullet"/>
      <w:lvlText w:val="•"/>
      <w:lvlJc w:val="left"/>
      <w:pPr>
        <w:ind w:left="4822" w:hanging="360"/>
      </w:pPr>
      <w:rPr>
        <w:rFonts w:hint="default"/>
      </w:rPr>
    </w:lvl>
    <w:lvl w:ilvl="7">
      <w:start w:val="1"/>
      <w:numFmt w:val="bullet"/>
      <w:lvlText w:val="•"/>
      <w:lvlJc w:val="left"/>
      <w:pPr>
        <w:ind w:left="5406" w:hanging="360"/>
      </w:pPr>
      <w:rPr>
        <w:rFonts w:hint="default"/>
      </w:rPr>
    </w:lvl>
    <w:lvl w:ilvl="8">
      <w:start w:val="1"/>
      <w:numFmt w:val="bullet"/>
      <w:lvlText w:val="•"/>
      <w:lvlJc w:val="left"/>
      <w:pPr>
        <w:ind w:left="5990" w:hanging="360"/>
      </w:pPr>
      <w:rPr>
        <w:rFonts w:hint="default"/>
      </w:rPr>
    </w:lvl>
  </w:abstractNum>
  <w:abstractNum w:abstractNumId="0">
    <w:multiLevelType w:val="hybridMultilevel"/>
    <w:lvl w:ilvl="0">
      <w:start w:val="4"/>
      <w:numFmt w:val="upperLetter"/>
      <w:lvlText w:val="%1"/>
      <w:lvlJc w:val="left"/>
      <w:pPr>
        <w:ind w:left="103" w:hanging="342"/>
        <w:jc w:val="left"/>
      </w:pPr>
      <w:rPr>
        <w:rFonts w:hint="default"/>
      </w:rPr>
    </w:lvl>
    <w:lvl w:ilvl="1">
      <w:start w:val="18"/>
      <w:numFmt w:val="upperLetter"/>
      <w:lvlText w:val="%1.%2."/>
      <w:lvlJc w:val="left"/>
      <w:pPr>
        <w:ind w:left="103" w:hanging="342"/>
        <w:jc w:val="left"/>
      </w:pPr>
      <w:rPr>
        <w:rFonts w:hint="default" w:ascii="Arial" w:hAnsi="Arial" w:eastAsia="Arial" w:cs="Arial"/>
        <w:color w:val="231F20"/>
        <w:spacing w:val="-2"/>
        <w:w w:val="95"/>
        <w:sz w:val="16"/>
        <w:szCs w:val="16"/>
      </w:rPr>
    </w:lvl>
    <w:lvl w:ilvl="2">
      <w:start w:val="1"/>
      <w:numFmt w:val="upperRoman"/>
      <w:lvlText w:val="%3."/>
      <w:lvlJc w:val="left"/>
      <w:pPr>
        <w:ind w:left="984" w:hanging="186"/>
        <w:jc w:val="right"/>
      </w:pPr>
      <w:rPr>
        <w:rFonts w:hint="default" w:ascii="Calibri" w:hAnsi="Calibri" w:eastAsia="Calibri" w:cs="Calibri"/>
        <w:color w:val="231F20"/>
        <w:spacing w:val="0"/>
        <w:w w:val="87"/>
        <w:sz w:val="22"/>
        <w:szCs w:val="22"/>
      </w:rPr>
    </w:lvl>
    <w:lvl w:ilvl="3">
      <w:start w:val="1"/>
      <w:numFmt w:val="bullet"/>
      <w:lvlText w:val="•"/>
      <w:lvlJc w:val="left"/>
      <w:pPr>
        <w:ind w:left="2308" w:hanging="186"/>
      </w:pPr>
      <w:rPr>
        <w:rFonts w:hint="default"/>
      </w:rPr>
    </w:lvl>
    <w:lvl w:ilvl="4">
      <w:start w:val="1"/>
      <w:numFmt w:val="bullet"/>
      <w:lvlText w:val="•"/>
      <w:lvlJc w:val="left"/>
      <w:pPr>
        <w:ind w:left="2972" w:hanging="186"/>
      </w:pPr>
      <w:rPr>
        <w:rFonts w:hint="default"/>
      </w:rPr>
    </w:lvl>
    <w:lvl w:ilvl="5">
      <w:start w:val="1"/>
      <w:numFmt w:val="bullet"/>
      <w:lvlText w:val="•"/>
      <w:lvlJc w:val="left"/>
      <w:pPr>
        <w:ind w:left="3636" w:hanging="186"/>
      </w:pPr>
      <w:rPr>
        <w:rFonts w:hint="default"/>
      </w:rPr>
    </w:lvl>
    <w:lvl w:ilvl="6">
      <w:start w:val="1"/>
      <w:numFmt w:val="bullet"/>
      <w:lvlText w:val="•"/>
      <w:lvlJc w:val="left"/>
      <w:pPr>
        <w:ind w:left="4301" w:hanging="186"/>
      </w:pPr>
      <w:rPr>
        <w:rFonts w:hint="default"/>
      </w:rPr>
    </w:lvl>
    <w:lvl w:ilvl="7">
      <w:start w:val="1"/>
      <w:numFmt w:val="bullet"/>
      <w:lvlText w:val="•"/>
      <w:lvlJc w:val="left"/>
      <w:pPr>
        <w:ind w:left="4965" w:hanging="186"/>
      </w:pPr>
      <w:rPr>
        <w:rFonts w:hint="default"/>
      </w:rPr>
    </w:lvl>
    <w:lvl w:ilvl="8">
      <w:start w:val="1"/>
      <w:numFmt w:val="bullet"/>
      <w:lvlText w:val="•"/>
      <w:lvlJc w:val="left"/>
      <w:pPr>
        <w:ind w:left="5629" w:hanging="186"/>
      </w:pPr>
      <w:rPr>
        <w:rFonts w:hint="default"/>
      </w:rPr>
    </w:lvl>
  </w:abstractNum>
  <w:num w:numId="61">
    <w:abstractNumId w:val="60"/>
  </w:num>
  <w:num w:numId="60">
    <w:abstractNumId w:val="59"/>
  </w:num>
  <w:num w:numId="59">
    <w:abstractNumId w:val="58"/>
  </w:num>
  <w:num w:numId="57">
    <w:abstractNumId w:val="56"/>
  </w:num>
  <w:num w:numId="53">
    <w:abstractNumId w:val="52"/>
  </w:num>
  <w:num w:numId="52">
    <w:abstractNumId w:val="51"/>
  </w:num>
  <w:num w:numId="51">
    <w:abstractNumId w:val="50"/>
  </w:num>
  <w:num w:numId="49">
    <w:abstractNumId w:val="48"/>
  </w:num>
  <w:num w:numId="39">
    <w:abstractNumId w:val="38"/>
  </w:num>
  <w:num w:numId="38">
    <w:abstractNumId w:val="37"/>
  </w:num>
  <w:num w:numId="36">
    <w:abstractNumId w:val="35"/>
  </w:num>
  <w:num w:numId="35">
    <w:abstractNumId w:val="34"/>
  </w:num>
  <w:num w:numId="33">
    <w:abstractNumId w:val="32"/>
  </w:num>
  <w:num w:numId="32">
    <w:abstractNumId w:val="31"/>
  </w:num>
  <w:num w:numId="31">
    <w:abstractNumId w:val="30"/>
  </w:num>
  <w:num w:numId="25">
    <w:abstractNumId w:val="24"/>
  </w:num>
  <w:num w:numId="24">
    <w:abstractNumId w:val="23"/>
  </w:num>
  <w:num w:numId="19">
    <w:abstractNumId w:val="18"/>
  </w:num>
  <w:num w:numId="18">
    <w:abstractNumId w:val="17"/>
  </w:num>
  <w:num w:numId="17">
    <w:abstractNumId w:val="16"/>
  </w:num>
  <w:num w:numId="16">
    <w:abstractNumId w:val="15"/>
  </w:num>
  <w:num w:numId="15">
    <w:abstractNumId w:val="14"/>
  </w:num>
  <w:num w:numId="10">
    <w:abstractNumId w:val="9"/>
  </w:num>
  <w:num w:numId="7">
    <w:abstractNumId w:val="6"/>
  </w:num>
  <w:num w:numId="5">
    <w:abstractNumId w:val="4"/>
  </w:num>
  <w:num w:numId="4">
    <w:abstractNumId w:val="3"/>
  </w:num>
  <w:num w:numId="3">
    <w:abstractNumId w:val="2"/>
  </w:num>
  <w:num w:numId="2">
    <w:abstractNumId w:val="1"/>
  </w:num>
  <w:num w:numId="67">
    <w:abstractNumId w:val="66"/>
  </w:num>
  <w:num w:numId="66">
    <w:abstractNumId w:val="65"/>
  </w:num>
  <w:num w:numId="65">
    <w:abstractNumId w:val="64"/>
  </w:num>
  <w:num w:numId="64">
    <w:abstractNumId w:val="63"/>
  </w:num>
  <w:num w:numId="63">
    <w:abstractNumId w:val="62"/>
  </w:num>
  <w:num w:numId="62">
    <w:abstractNumId w:val="61"/>
  </w:num>
  <w:num w:numId="58">
    <w:abstractNumId w:val="57"/>
  </w:num>
  <w:num w:numId="56">
    <w:abstractNumId w:val="55"/>
  </w:num>
  <w:num w:numId="55">
    <w:abstractNumId w:val="54"/>
  </w:num>
  <w:num w:numId="54">
    <w:abstractNumId w:val="53"/>
  </w:num>
  <w:num w:numId="50">
    <w:abstractNumId w:val="49"/>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7">
    <w:abstractNumId w:val="36"/>
  </w:num>
  <w:num w:numId="34">
    <w:abstractNumId w:val="33"/>
  </w:num>
  <w:num w:numId="30">
    <w:abstractNumId w:val="29"/>
  </w:num>
  <w:num w:numId="29">
    <w:abstractNumId w:val="28"/>
  </w:num>
  <w:num w:numId="28">
    <w:abstractNumId w:val="27"/>
  </w:num>
  <w:num w:numId="27">
    <w:abstractNumId w:val="26"/>
  </w:num>
  <w:num w:numId="26">
    <w:abstractNumId w:val="25"/>
  </w:num>
  <w:num w:numId="23">
    <w:abstractNumId w:val="22"/>
  </w:num>
  <w:num w:numId="22">
    <w:abstractNumId w:val="21"/>
  </w:num>
  <w:num w:numId="21">
    <w:abstractNumId w:val="20"/>
  </w:num>
  <w:num w:numId="20">
    <w:abstractNumId w:val="19"/>
  </w:num>
  <w:num w:numId="14">
    <w:abstractNumId w:val="13"/>
  </w:num>
  <w:num w:numId="13">
    <w:abstractNumId w:val="12"/>
  </w:num>
  <w:num w:numId="12">
    <w:abstractNumId w:val="11"/>
  </w:num>
  <w:num w:numId="11">
    <w:abstractNumId w:val="10"/>
  </w:num>
  <w:num w:numId="9">
    <w:abstractNumId w:val="8"/>
  </w:num>
  <w:num w:numId="8">
    <w:abstractNumId w:val="7"/>
  </w:num>
  <w:num w:numId="6">
    <w:abstractNumId w:val="5"/>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6" w:line="264" w:lineRule="exact"/>
      <w:ind w:left="814"/>
    </w:pPr>
    <w:rPr>
      <w:rFonts w:ascii="Calibri" w:hAnsi="Calibri" w:eastAsia="Calibri" w:cs="Calibri"/>
      <w:sz w:val="22"/>
      <w:szCs w:val="22"/>
    </w:rPr>
  </w:style>
  <w:style w:styleId="TOC2" w:type="paragraph">
    <w:name w:val="TOC 2"/>
    <w:basedOn w:val="Normal"/>
    <w:uiPriority w:val="1"/>
    <w:qFormat/>
    <w:pPr>
      <w:spacing w:before="56" w:line="264" w:lineRule="exact"/>
      <w:ind w:left="984" w:right="753"/>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1"/>
      <w:szCs w:val="21"/>
    </w:rPr>
  </w:style>
  <w:style w:styleId="Heading1" w:type="paragraph">
    <w:name w:val="Heading 1"/>
    <w:basedOn w:val="Normal"/>
    <w:uiPriority w:val="1"/>
    <w:qFormat/>
    <w:pPr>
      <w:spacing w:before="2" w:line="288" w:lineRule="exact"/>
      <w:ind w:right="3024"/>
      <w:jc w:val="right"/>
      <w:outlineLvl w:val="1"/>
    </w:pPr>
    <w:rPr>
      <w:rFonts w:ascii="Calibri" w:hAnsi="Calibri" w:eastAsia="Calibri" w:cs="Calibri"/>
      <w:sz w:val="24"/>
      <w:szCs w:val="24"/>
    </w:rPr>
  </w:style>
  <w:style w:styleId="Heading2" w:type="paragraph">
    <w:name w:val="Heading 2"/>
    <w:basedOn w:val="Normal"/>
    <w:uiPriority w:val="1"/>
    <w:qFormat/>
    <w:pPr>
      <w:ind w:left="117"/>
      <w:jc w:val="both"/>
      <w:outlineLvl w:val="2"/>
    </w:pPr>
    <w:rPr>
      <w:rFonts w:ascii="Arial" w:hAnsi="Arial" w:eastAsia="Arial" w:cs="Arial"/>
      <w:b/>
      <w:bCs/>
      <w:sz w:val="22"/>
      <w:szCs w:val="22"/>
    </w:rPr>
  </w:style>
  <w:style w:styleId="Heading3" w:type="paragraph">
    <w:name w:val="Heading 3"/>
    <w:basedOn w:val="Normal"/>
    <w:uiPriority w:val="1"/>
    <w:qFormat/>
    <w:pPr>
      <w:spacing w:line="264" w:lineRule="exact"/>
      <w:ind w:left="3931"/>
      <w:outlineLvl w:val="3"/>
    </w:pPr>
    <w:rPr>
      <w:rFonts w:ascii="Calibri" w:hAnsi="Calibri" w:eastAsia="Calibri" w:cs="Calibri"/>
      <w:sz w:val="22"/>
      <w:szCs w:val="22"/>
    </w:rPr>
  </w:style>
  <w:style w:styleId="ListParagraph" w:type="paragraph">
    <w:name w:val="List Paragraph"/>
    <w:basedOn w:val="Normal"/>
    <w:uiPriority w:val="1"/>
    <w:qFormat/>
    <w:pPr>
      <w:spacing w:before="170"/>
      <w:ind w:left="1327"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hyperlink" Target="http://www.uaemex.mx/" TargetMode="External"/><Relationship Id="rId16" Type="http://schemas.openxmlformats.org/officeDocument/2006/relationships/hyperlink" Target="http://www.dcea.fca.uaemex.mx/" TargetMode="External"/><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hyperlink" Target="http://dx.doi.org/10.5465/amj.2011.0652" TargetMode="External"/><Relationship Id="rId25" Type="http://schemas.openxmlformats.org/officeDocument/2006/relationships/hyperlink" Target="http://rocare.org/docs/Organizational%20Sustainability%20" TargetMode="External"/><Relationship Id="rId26" Type="http://schemas.openxmlformats.org/officeDocument/2006/relationships/hyperlink" Target="http://www.academia.edu/" TargetMode="External"/><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hyperlink" Target="http://www.cepal.org/" TargetMode="External"/><Relationship Id="rId31" Type="http://schemas.openxmlformats.org/officeDocument/2006/relationships/hyperlink" Target="http://www.imco.org.mx/" TargetMode="External"/><Relationship Id="rId32" Type="http://schemas.openxmlformats.org/officeDocument/2006/relationships/image" Target="media/image21.jpeg"/><Relationship Id="rId33" Type="http://schemas.openxmlformats.org/officeDocument/2006/relationships/hyperlink" Target="http://www.uv.mx/iiesca/revista2005-1/mu-" TargetMode="External"/><Relationship Id="rId34" Type="http://schemas.openxmlformats.org/officeDocument/2006/relationships/hyperlink" Target="http://www.undp.org.mx/img/pdf/informe_so-" TargetMode="External"/><Relationship Id="rId35" Type="http://schemas.openxmlformats.org/officeDocument/2006/relationships/hyperlink" Target="http://revista/" TargetMode="External"/><Relationship Id="rId36" Type="http://schemas.openxmlformats.org/officeDocument/2006/relationships/image" Target="media/image22.png"/><Relationship Id="rId37" Type="http://schemas.openxmlformats.org/officeDocument/2006/relationships/image" Target="media/image23.png"/><Relationship Id="rId38" Type="http://schemas.openxmlformats.org/officeDocument/2006/relationships/hyperlink" Target="http://www.mineducacion.gov.co/1621/arti-" TargetMode="External"/><Relationship Id="rId39" Type="http://schemas.openxmlformats.org/officeDocument/2006/relationships/hyperlink" Target="http://www.cna.gov/" TargetMode="External"/><Relationship Id="rId40" Type="http://schemas.openxmlformats.org/officeDocument/2006/relationships/image" Target="media/image24.png"/><Relationship Id="rId41" Type="http://schemas.openxmlformats.org/officeDocument/2006/relationships/image" Target="media/image25.png"/><Relationship Id="rId42" Type="http://schemas.openxmlformats.org/officeDocument/2006/relationships/image" Target="media/image26.png"/><Relationship Id="rId43" Type="http://schemas.openxmlformats.org/officeDocument/2006/relationships/image" Target="media/image27.png"/><Relationship Id="rId44" Type="http://schemas.openxmlformats.org/officeDocument/2006/relationships/image" Target="media/image28.png"/><Relationship Id="rId45" Type="http://schemas.openxmlformats.org/officeDocument/2006/relationships/image" Target="media/image29.png"/><Relationship Id="rId46" Type="http://schemas.openxmlformats.org/officeDocument/2006/relationships/image" Target="media/image30.png"/><Relationship Id="rId47" Type="http://schemas.openxmlformats.org/officeDocument/2006/relationships/image" Target="media/image31.png"/><Relationship Id="rId48" Type="http://schemas.openxmlformats.org/officeDocument/2006/relationships/image" Target="media/image32.png"/><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image" Target="media/image47.png"/><Relationship Id="rId64" Type="http://schemas.openxmlformats.org/officeDocument/2006/relationships/image" Target="media/image48.png"/><Relationship Id="rId65" Type="http://schemas.openxmlformats.org/officeDocument/2006/relationships/image" Target="media/image49.png"/><Relationship Id="rId66" Type="http://schemas.openxmlformats.org/officeDocument/2006/relationships/image" Target="media/image50.png"/><Relationship Id="rId67" Type="http://schemas.openxmlformats.org/officeDocument/2006/relationships/image" Target="media/image51.png"/><Relationship Id="rId68" Type="http://schemas.openxmlformats.org/officeDocument/2006/relationships/image" Target="media/image52.png"/><Relationship Id="rId69" Type="http://schemas.openxmlformats.org/officeDocument/2006/relationships/image" Target="media/image53.png"/><Relationship Id="rId70" Type="http://schemas.openxmlformats.org/officeDocument/2006/relationships/image" Target="media/image54.png"/><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image" Target="media/image57.png"/><Relationship Id="rId74" Type="http://schemas.openxmlformats.org/officeDocument/2006/relationships/image" Target="media/image58.png"/><Relationship Id="rId75" Type="http://schemas.openxmlformats.org/officeDocument/2006/relationships/hyperlink" Target="http://www/" TargetMode="External"/><Relationship Id="rId76" Type="http://schemas.openxmlformats.org/officeDocument/2006/relationships/hyperlink" Target="http://faculty.ucr.edu/%7Ehanneman/" TargetMode="External"/><Relationship Id="rId77" Type="http://schemas.openxmlformats.org/officeDocument/2006/relationships/hyperlink" Target="http://revista-redes/" TargetMode="External"/><Relationship Id="rId78" Type="http://schemas.openxmlformats.org/officeDocument/2006/relationships/hyperlink" Target="http://www.ub.edu/" TargetMode="External"/><Relationship Id="rId79" Type="http://schemas.openxmlformats.org/officeDocument/2006/relationships/hyperlink" Target="http://revis-/" TargetMode="External"/><Relationship Id="rId80" Type="http://schemas.openxmlformats.org/officeDocument/2006/relationships/hyperlink" Target="http://www.uoc.edu/in3/dt/20007/index" TargetMode="External"/><Relationship Id="rId81" Type="http://schemas.openxmlformats.org/officeDocument/2006/relationships/image" Target="media/image59.png"/><Relationship Id="rId82" Type="http://schemas.openxmlformats.org/officeDocument/2006/relationships/image" Target="media/image60.png"/><Relationship Id="rId83" Type="http://schemas.openxmlformats.org/officeDocument/2006/relationships/image" Target="media/image61.png"/><Relationship Id="rId84" Type="http://schemas.openxmlformats.org/officeDocument/2006/relationships/image" Target="media/image62.png"/><Relationship Id="rId85" Type="http://schemas.openxmlformats.org/officeDocument/2006/relationships/image" Target="media/image63.png"/><Relationship Id="rId86" Type="http://schemas.openxmlformats.org/officeDocument/2006/relationships/hyperlink" Target="http://www.grupobimbo.com/es/sa-" TargetMode="External"/><Relationship Id="rId87" Type="http://schemas.openxmlformats.org/officeDocument/2006/relationships/image" Target="media/image64.png"/><Relationship Id="rId88" Type="http://schemas.openxmlformats.org/officeDocument/2006/relationships/image" Target="media/image65.png"/><Relationship Id="rId89" Type="http://schemas.openxmlformats.org/officeDocument/2006/relationships/hyperlink" Target="http://it.kaizen.com/fileadmin/DATA/kaizen_it/Doc-" TargetMode="External"/><Relationship Id="rId90" Type="http://schemas.openxmlformats.org/officeDocument/2006/relationships/image" Target="media/image66.jpeg"/><Relationship Id="rId91" Type="http://schemas.openxmlformats.org/officeDocument/2006/relationships/image" Target="media/image67.jpeg"/><Relationship Id="rId92" Type="http://schemas.openxmlformats.org/officeDocument/2006/relationships/image" Target="media/image68.jpeg"/><Relationship Id="rId93" Type="http://schemas.openxmlformats.org/officeDocument/2006/relationships/image" Target="media/image69.jpeg"/><Relationship Id="rId94" Type="http://schemas.openxmlformats.org/officeDocument/2006/relationships/image" Target="media/image70.jpeg"/><Relationship Id="rId95" Type="http://schemas.openxmlformats.org/officeDocument/2006/relationships/image" Target="media/image71.jpeg"/><Relationship Id="rId96" Type="http://schemas.openxmlformats.org/officeDocument/2006/relationships/image" Target="media/image72.jpeg"/><Relationship Id="rId97" Type="http://schemas.openxmlformats.org/officeDocument/2006/relationships/image" Target="media/image73.jpeg"/><Relationship Id="rId98" Type="http://schemas.openxmlformats.org/officeDocument/2006/relationships/image" Target="media/image74.jpeg"/><Relationship Id="rId99" Type="http://schemas.openxmlformats.org/officeDocument/2006/relationships/image" Target="media/image75.jpeg"/><Relationship Id="rId100" Type="http://schemas.openxmlformats.org/officeDocument/2006/relationships/image" Target="media/image76.jpeg"/><Relationship Id="rId101" Type="http://schemas.openxmlformats.org/officeDocument/2006/relationships/image" Target="media/image77.png"/><Relationship Id="rId102" Type="http://schemas.openxmlformats.org/officeDocument/2006/relationships/image" Target="media/image78.jpeg"/><Relationship Id="rId103" Type="http://schemas.openxmlformats.org/officeDocument/2006/relationships/image" Target="media/image79.jpeg"/><Relationship Id="rId104" Type="http://schemas.openxmlformats.org/officeDocument/2006/relationships/image" Target="media/image80.jpeg"/><Relationship Id="rId105" Type="http://schemas.openxmlformats.org/officeDocument/2006/relationships/image" Target="media/image81.jpeg"/><Relationship Id="rId106" Type="http://schemas.openxmlformats.org/officeDocument/2006/relationships/image" Target="media/image82.jpeg"/><Relationship Id="rId107" Type="http://schemas.openxmlformats.org/officeDocument/2006/relationships/image" Target="media/image83.png"/><Relationship Id="rId108" Type="http://schemas.openxmlformats.org/officeDocument/2006/relationships/image" Target="media/image84.jpeg"/><Relationship Id="rId109" Type="http://schemas.openxmlformats.org/officeDocument/2006/relationships/image" Target="media/image85.jpeg"/><Relationship Id="rId110" Type="http://schemas.openxmlformats.org/officeDocument/2006/relationships/image" Target="media/image86.png"/><Relationship Id="rId111" Type="http://schemas.openxmlformats.org/officeDocument/2006/relationships/image" Target="media/image87.png"/><Relationship Id="rId112" Type="http://schemas.openxmlformats.org/officeDocument/2006/relationships/image" Target="media/image88.png"/><Relationship Id="rId113" Type="http://schemas.openxmlformats.org/officeDocument/2006/relationships/image" Target="media/image89.jpeg"/><Relationship Id="rId114" Type="http://schemas.openxmlformats.org/officeDocument/2006/relationships/image" Target="media/image90.jpeg"/><Relationship Id="rId115" Type="http://schemas.openxmlformats.org/officeDocument/2006/relationships/image" Target="media/image91.png"/><Relationship Id="rId116" Type="http://schemas.openxmlformats.org/officeDocument/2006/relationships/image" Target="media/image92.png"/><Relationship Id="rId117" Type="http://schemas.openxmlformats.org/officeDocument/2006/relationships/image" Target="media/image93.jpeg"/><Relationship Id="rId118" Type="http://schemas.openxmlformats.org/officeDocument/2006/relationships/image" Target="media/image94.png"/><Relationship Id="rId119" Type="http://schemas.openxmlformats.org/officeDocument/2006/relationships/image" Target="media/image95.png"/><Relationship Id="rId120" Type="http://schemas.openxmlformats.org/officeDocument/2006/relationships/image" Target="media/image96.png"/><Relationship Id="rId121" Type="http://schemas.openxmlformats.org/officeDocument/2006/relationships/image" Target="media/image97.png"/><Relationship Id="rId122" Type="http://schemas.openxmlformats.org/officeDocument/2006/relationships/image" Target="media/image98.png"/><Relationship Id="rId123" Type="http://schemas.openxmlformats.org/officeDocument/2006/relationships/image" Target="media/image99.png"/><Relationship Id="rId124" Type="http://schemas.openxmlformats.org/officeDocument/2006/relationships/image" Target="media/image100.png"/><Relationship Id="rId125" Type="http://schemas.openxmlformats.org/officeDocument/2006/relationships/image" Target="media/image101.png"/><Relationship Id="rId126" Type="http://schemas.openxmlformats.org/officeDocument/2006/relationships/image" Target="media/image102.png"/><Relationship Id="rId127" Type="http://schemas.openxmlformats.org/officeDocument/2006/relationships/image" Target="media/image103.png"/><Relationship Id="rId128" Type="http://schemas.openxmlformats.org/officeDocument/2006/relationships/hyperlink" Target="http://works/" TargetMode="External"/><Relationship Id="rId129" Type="http://schemas.openxmlformats.org/officeDocument/2006/relationships/hyperlink" Target="http://www.imf.org/" TargetMode="External"/><Relationship Id="rId130" Type="http://schemas.openxmlformats.org/officeDocument/2006/relationships/hyperlink" Target="http://www.wto.org/spanish/res_s/statis_s/its2001_s/its01_toc_s.htm" TargetMode="External"/><Relationship Id="rId131" Type="http://schemas.openxmlformats.org/officeDocument/2006/relationships/hyperlink" Target="http://eprints.ucm.es/6597/1/9502.pdf" TargetMode="External"/><Relationship Id="rId132" Type="http://schemas.openxmlformats.org/officeDocument/2006/relationships/hyperlink" Target="http://www.icesi.edu.co/departamentos/economia/publicacio-" TargetMode="External"/><Relationship Id="rId133" Type="http://schemas.openxmlformats.org/officeDocument/2006/relationships/hyperlink" Target="http://www.weforum.org/issues/glob-" TargetMode="External"/><Relationship Id="rId134" Type="http://schemas.openxmlformats.org/officeDocument/2006/relationships/hyperlink" Target="http://www.weforum.org/issues/glo-" TargetMode="External"/><Relationship Id="rId135" Type="http://schemas.openxmlformats.org/officeDocument/2006/relationships/hyperlink" Target="http://mpra.ub.uni-muenchen.de/4600/" TargetMode="External"/><Relationship Id="rId136" Type="http://schemas.openxmlformats.org/officeDocument/2006/relationships/hyperlink" Target="mailto:turoc@yahoo.com.mx" TargetMode="External"/><Relationship Id="rId137" Type="http://schemas.openxmlformats.org/officeDocument/2006/relationships/hyperlink" Target="mailto:emre2000@hotmail.com" TargetMode="External"/><Relationship Id="rId138" Type="http://schemas.openxmlformats.org/officeDocument/2006/relationships/hyperlink" Target="mailto:e2000@hotmail.com" TargetMode="External"/><Relationship Id="rId139" Type="http://schemas.openxmlformats.org/officeDocument/2006/relationships/hyperlink" Target="mailto:lourdesnl@yahoo.com" TargetMode="External"/><Relationship Id="rId140" Type="http://schemas.openxmlformats.org/officeDocument/2006/relationships/hyperlink" Target="mailto:mlnajeral@uaemex.mx" TargetMode="External"/><Relationship Id="rId141" Type="http://schemas.openxmlformats.org/officeDocument/2006/relationships/hyperlink" Target="mailto:miguel.ocs@gmail.com" TargetMode="External"/><Relationship Id="rId142" Type="http://schemas.openxmlformats.org/officeDocument/2006/relationships/hyperlink" Target="mailto:pat_mersal@yahoo.com" TargetMode="External"/><Relationship Id="rId1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2017-05-23T17:24:58Z</dcterms:created>
  <dcterms:modified xsi:type="dcterms:W3CDTF">2017-05-23T17:24:58Z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2016-05-13T00:00:00Z</vt:filetime>
  </property>
  <property fmtid="{D5CDD505-2E9C-101B-9397-08002B2CF9AE}" pid="3" name="Creator">
    <vt:lpwstr>Adobe InDesign CS6 (Macintosh)</vt:lpwstr>
  </property>
  <property fmtid="{D5CDD505-2E9C-101B-9397-08002B2CF9AE}" pid="4" name="LastSaved">
    <vt:filetime>2017-05-23T00:00:00Z</vt:filetime>
  </property>
</Properties>
</file>